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137" w:rsidRPr="00A31137" w:rsidRDefault="00A31137" w:rsidP="00A31137"/>
    <w:p w:rsidR="00A31137" w:rsidRPr="0079416E" w:rsidRDefault="00A31137" w:rsidP="00A31137">
      <w:pPr>
        <w:rPr>
          <w:b/>
          <w:sz w:val="40"/>
          <w:szCs w:val="40"/>
          <w:u w:val="single"/>
        </w:rPr>
      </w:pPr>
      <w:r w:rsidRPr="0079416E">
        <w:rPr>
          <w:b/>
          <w:sz w:val="40"/>
          <w:szCs w:val="40"/>
          <w:u w:val="single"/>
        </w:rPr>
        <w:t>1980-1999: America's Resurgence</w:t>
      </w:r>
    </w:p>
    <w:p w:rsidR="00A31137" w:rsidRPr="00A31137" w:rsidRDefault="00A31137" w:rsidP="00A31137">
      <w:r w:rsidRPr="00A31137">
        <w:t>Democratic Platform of 1980</w:t>
      </w:r>
    </w:p>
    <w:p w:rsidR="00A31137" w:rsidRPr="00A31137" w:rsidRDefault="00A31137" w:rsidP="00A31137">
      <w:r w:rsidRPr="00A31137">
        <w:t>Democratic Party plans under incumbent Jimmy Carter</w:t>
      </w:r>
    </w:p>
    <w:p w:rsidR="00A31137" w:rsidRPr="00A31137" w:rsidRDefault="00A31137" w:rsidP="00A31137">
      <w:r w:rsidRPr="00A31137">
        <w:t>Republican Platform of 1980</w:t>
      </w:r>
    </w:p>
    <w:p w:rsidR="00A31137" w:rsidRPr="00A31137" w:rsidRDefault="00A31137" w:rsidP="00A31137">
      <w:r w:rsidRPr="00A31137">
        <w:t>Republican plans under presidential candidate Ronald Reagan</w:t>
      </w:r>
    </w:p>
    <w:p w:rsidR="00A31137" w:rsidRPr="00A31137" w:rsidRDefault="00A31137" w:rsidP="00A31137">
      <w:r w:rsidRPr="00A31137">
        <w:t>Fullilove v. Klutznick, 448 U.S. 448 (1980)</w:t>
      </w:r>
    </w:p>
    <w:p w:rsidR="00A31137" w:rsidRPr="00A31137" w:rsidRDefault="00A31137" w:rsidP="00A31137">
      <w:r w:rsidRPr="00A31137">
        <w:t>The Court ruled that Congress may enact limited affirmative-action legislation with racial quotas in public works projects holding that justification comes from the Fourteenth Amendment's equal protection clause.</w:t>
      </w:r>
    </w:p>
    <w:p w:rsidR="00A31137" w:rsidRPr="00A31137" w:rsidRDefault="00A31137" w:rsidP="00A31137">
      <w:r w:rsidRPr="00A31137">
        <w:t>Carter's Nationwide Concession Address, November 4, 1980, 6:54 p.m., Pacific Time</w:t>
      </w:r>
    </w:p>
    <w:p w:rsidR="00A31137" w:rsidRPr="00A31137" w:rsidRDefault="00A31137" w:rsidP="00A31137">
      <w:r w:rsidRPr="00A31137">
        <w:t>Poignant concession to Ronald Reagan on winning the presidency. However, politically speaking, it was delivered too early: polls in the Western U.S. were still open.</w:t>
      </w:r>
    </w:p>
    <w:p w:rsidR="00A31137" w:rsidRPr="00A31137" w:rsidRDefault="00A31137" w:rsidP="00A31137">
      <w:r w:rsidRPr="00A31137">
        <w:t>Reagan's Inaugural Address, January 20, 1981</w:t>
      </w:r>
    </w:p>
    <w:p w:rsidR="00A31137" w:rsidRPr="00A31137" w:rsidRDefault="00A31137" w:rsidP="00A31137">
      <w:r w:rsidRPr="00A31137">
        <w:t>Reagan's optimistic look at the future. "In this present crisis, government is not the solution to our problem; government is the problem."</w:t>
      </w:r>
    </w:p>
    <w:p w:rsidR="00A31137" w:rsidRPr="00A31137" w:rsidRDefault="00A31137" w:rsidP="00A31137">
      <w:r w:rsidRPr="00A31137">
        <w:t>Toast at Inaugural Luncheon, January 20, 1981</w:t>
      </w:r>
    </w:p>
    <w:p w:rsidR="00A31137" w:rsidRPr="00A31137" w:rsidRDefault="00A31137" w:rsidP="00A31137">
      <w:r w:rsidRPr="00A31137">
        <w:t>Announcing the freeing of the 52 American hostages held captive in Iran for 444 days.</w:t>
      </w:r>
    </w:p>
    <w:p w:rsidR="00A31137" w:rsidRPr="00A31137" w:rsidRDefault="00A31137" w:rsidP="00A31137">
      <w:r w:rsidRPr="00A31137">
        <w:t>Announcement of Intent to Nominate Sandra Day O'Connor to Supreme Court, July 7, 1981</w:t>
      </w:r>
    </w:p>
    <w:p w:rsidR="00A31137" w:rsidRPr="00A31137" w:rsidRDefault="00A31137" w:rsidP="00A31137">
      <w:r w:rsidRPr="00A31137">
        <w:t>First woman to be nominated to be a justice of the Supreme Court. By a 99-0 vote, Senate confirmed her on September 21, 1981.</w:t>
      </w:r>
    </w:p>
    <w:p w:rsidR="00A31137" w:rsidRPr="00A31137" w:rsidRDefault="00A31137" w:rsidP="00A31137">
      <w:r w:rsidRPr="00A31137">
        <w:t>Reagan's Remarks to Reporters Following Congressional Action on Federal Tax Reduction Legislation, July 29, 1981</w:t>
      </w:r>
    </w:p>
    <w:p w:rsidR="00A31137" w:rsidRPr="00A31137" w:rsidRDefault="00A31137" w:rsidP="00A31137">
      <w:r w:rsidRPr="00A31137">
        <w:t>The President's remarks on tax reform saying, "this first 6 months of 1981 is going to mark the beginning of a new renaissance in America."</w:t>
      </w:r>
    </w:p>
    <w:p w:rsidR="00A31137" w:rsidRPr="00A31137" w:rsidRDefault="00A31137" w:rsidP="00A31137">
      <w:r w:rsidRPr="00A31137">
        <w:t>Announcement that Illegally Striking Air Traffic Controllers Who do not Report to Work Within 48 Hours Would be Terminated.</w:t>
      </w:r>
    </w:p>
    <w:p w:rsidR="00A31137" w:rsidRPr="00A31137" w:rsidRDefault="00A31137" w:rsidP="00A31137">
      <w:r w:rsidRPr="00A31137">
        <w:t>Nearly all 13,000 striking controllers defied this order and two days later were terminated.</w:t>
      </w:r>
    </w:p>
    <w:p w:rsidR="00A31137" w:rsidRPr="00A31137" w:rsidRDefault="00A31137" w:rsidP="00A31137">
      <w:r w:rsidRPr="00A31137">
        <w:t>Reagan's Address on Arms Control Negotiations, November 18, 1981</w:t>
      </w:r>
    </w:p>
    <w:p w:rsidR="00A31137" w:rsidRPr="00A31137" w:rsidRDefault="00A31137" w:rsidP="00A31137">
      <w:r w:rsidRPr="00A31137">
        <w:t>The President reaffirms his unwavering support for peace through strength and praises NATO for its peacekeeping ability.</w:t>
      </w:r>
    </w:p>
    <w:p w:rsidR="00A31137" w:rsidRPr="00A31137" w:rsidRDefault="00A31137" w:rsidP="00A31137">
      <w:r w:rsidRPr="00A31137">
        <w:t>Reagan's Address to the Nation Announcing Sanctions Against Polish Military Government, December 23, 1981</w:t>
      </w:r>
    </w:p>
    <w:p w:rsidR="00A31137" w:rsidRPr="00A31137" w:rsidRDefault="00A31137" w:rsidP="00A31137">
      <w:r w:rsidRPr="00A31137">
        <w:t>The President provides a Christmas message and then announces a broad group of sanctions aimed at the repressive Polish government and their crackdown on pro-democracy Solidarity members.</w:t>
      </w:r>
    </w:p>
    <w:p w:rsidR="00A31137" w:rsidRPr="00A31137" w:rsidRDefault="00A31137" w:rsidP="00A31137">
      <w:r w:rsidRPr="00A31137">
        <w:t>Reagan's Address to Members of the British Parliament, June 8, 1982</w:t>
      </w:r>
    </w:p>
    <w:p w:rsidR="00A31137" w:rsidRPr="00A31137" w:rsidRDefault="00A31137" w:rsidP="00A31137">
      <w:r w:rsidRPr="00A31137">
        <w:t>A reaffirmation of the NATO desire for peace and the need to continue to take a strong stand against communism and its threat to self determination and peace.</w:t>
      </w:r>
    </w:p>
    <w:p w:rsidR="00A31137" w:rsidRPr="00A31137" w:rsidRDefault="00A31137" w:rsidP="00A31137">
      <w:r w:rsidRPr="00A31137">
        <w:t>Reagan's Remarks Following Luncheon with Challenger Astronauts, June 1, 1982</w:t>
      </w:r>
    </w:p>
    <w:p w:rsidR="00A31137" w:rsidRPr="00A31137" w:rsidRDefault="00A31137" w:rsidP="00A31137">
      <w:r w:rsidRPr="00A31137">
        <w:t>Dr. Sally Ride, the first American woman scheduled to go into space, was one of the astronauts being honored.</w:t>
      </w:r>
    </w:p>
    <w:p w:rsidR="00A31137" w:rsidRPr="00A31137" w:rsidRDefault="00A31137" w:rsidP="00A31137">
      <w:r w:rsidRPr="00A31137">
        <w:t>Reagan's Remarks to Reporters on the Death of American and French Military Personnel in Beirut, Lebanon, October 23, 1983</w:t>
      </w:r>
    </w:p>
    <w:p w:rsidR="00A31137" w:rsidRPr="00A31137" w:rsidRDefault="00A31137" w:rsidP="00A31137">
      <w:r w:rsidRPr="00A31137">
        <w:t>A brief statement following the suicide terrorist bombing that killed over 260 U.S. Marines.</w:t>
      </w:r>
    </w:p>
    <w:p w:rsidR="00A31137" w:rsidRPr="00A31137" w:rsidRDefault="00A31137" w:rsidP="00A31137">
      <w:r w:rsidRPr="00A31137">
        <w:t>Deployment of U.S. Forces in Grenada, October 25, 1983</w:t>
      </w:r>
    </w:p>
    <w:p w:rsidR="00A31137" w:rsidRPr="00A31137" w:rsidRDefault="00A31137" w:rsidP="00A31137">
      <w:r w:rsidRPr="00A31137">
        <w:t>In response to near anarchy in their government and in an effort to protect over 1,000 Americans living there, the President sends in U.S. troops to restore order and subdue Cuban subversive threats.</w:t>
      </w:r>
    </w:p>
    <w:p w:rsidR="00A31137" w:rsidRPr="00A31137" w:rsidRDefault="00A31137" w:rsidP="00A31137">
      <w:r w:rsidRPr="00A31137">
        <w:t>Reagan's Address on U.S. and Soviet Relations on eve of Stockholm Disarmament Conference, January 16, 1984</w:t>
      </w:r>
    </w:p>
    <w:p w:rsidR="00A31137" w:rsidRPr="00A31137" w:rsidRDefault="00A31137" w:rsidP="00A31137">
      <w:r w:rsidRPr="00A31137">
        <w:t>"I believe that 1984 finds the United States in the strongest position in years to establish a constructive and realistic working relationship with the Soviet Union."</w:t>
      </w:r>
    </w:p>
    <w:p w:rsidR="00A31137" w:rsidRPr="00A31137" w:rsidRDefault="00A31137" w:rsidP="00A31137">
      <w:r w:rsidRPr="00A31137">
        <w:t>Reagan's State of the Union Address, January 25, 1984</w:t>
      </w:r>
    </w:p>
    <w:p w:rsidR="00A31137" w:rsidRPr="00A31137" w:rsidRDefault="00A31137" w:rsidP="00A31137">
      <w:r w:rsidRPr="00A31137">
        <w:t>" There is renewed energy and optimism throughout the land. America is back, standing tall, looking to the eighties with courage, confidence, and hope."</w:t>
      </w:r>
    </w:p>
    <w:p w:rsidR="00A31137" w:rsidRPr="00A31137" w:rsidRDefault="00A31137" w:rsidP="00A31137">
      <w:r w:rsidRPr="00A31137">
        <w:t>Reagan's Address to Nation on Trip to China, April 28, 1984</w:t>
      </w:r>
    </w:p>
    <w:p w:rsidR="00A31137" w:rsidRPr="00A31137" w:rsidRDefault="00A31137" w:rsidP="00A31137">
      <w:r w:rsidRPr="00A31137">
        <w:t>The President expresses his desire to continue amicable relations with China built on the back of the previous three Presidents.</w:t>
      </w:r>
    </w:p>
    <w:p w:rsidR="00A31137" w:rsidRPr="00A31137" w:rsidRDefault="00A31137" w:rsidP="00A31137">
      <w:r w:rsidRPr="00A31137">
        <w:t>Reagan's Statement on Signing the Education for Economic Security Act, August 11, 1984</w:t>
      </w:r>
    </w:p>
    <w:p w:rsidR="00A31137" w:rsidRPr="00A31137" w:rsidRDefault="00A31137" w:rsidP="00A31137">
      <w:r w:rsidRPr="00A31137">
        <w:t>"This bill responds to two deeply felt concerns of this administration: first, the need to improve the quality of science and mathematics education in our country and, second, the need to restore freedom of religious speech for students attending public schools."</w:t>
      </w:r>
    </w:p>
    <w:p w:rsidR="00A31137" w:rsidRPr="00A31137" w:rsidRDefault="00A31137" w:rsidP="00A31137">
      <w:r w:rsidRPr="00A31137">
        <w:t>Democratic Platform of 1984</w:t>
      </w:r>
    </w:p>
    <w:p w:rsidR="00A31137" w:rsidRPr="00A31137" w:rsidRDefault="00A31137" w:rsidP="00A31137">
      <w:r w:rsidRPr="00A31137">
        <w:t>The Democratic Party response to Reagan's first term under Presidential candidate Walter F. Mondale and Vice-Presidential candidate Geraldine Ferraro.</w:t>
      </w:r>
    </w:p>
    <w:p w:rsidR="00A31137" w:rsidRPr="00A31137" w:rsidRDefault="00A31137" w:rsidP="00A31137">
      <w:r w:rsidRPr="00A31137">
        <w:t>Republican Platform of 1984</w:t>
      </w:r>
    </w:p>
    <w:p w:rsidR="00A31137" w:rsidRPr="00A31137" w:rsidRDefault="00A31137" w:rsidP="00A31137">
      <w:r w:rsidRPr="00A31137">
        <w:t>The Republican plan for Reagan's second term.</w:t>
      </w:r>
    </w:p>
    <w:p w:rsidR="00A31137" w:rsidRPr="00A31137" w:rsidRDefault="00A31137" w:rsidP="00A31137">
      <w:r w:rsidRPr="00A31137">
        <w:t>Reagan's Address to Congress Following U.S.-Soviet Summit in Geneva, November 21, 1985</w:t>
      </w:r>
    </w:p>
    <w:p w:rsidR="00A31137" w:rsidRPr="00A31137" w:rsidRDefault="00A31137" w:rsidP="00A31137">
      <w:r w:rsidRPr="00A31137">
        <w:t>Ronald Reagan and Mikhail Gorbachev met privately for five hours in two separate meetings, November 19 and 20. The first summit between the two nations in six years.</w:t>
      </w:r>
    </w:p>
    <w:p w:rsidR="00A31137" w:rsidRPr="00A31137" w:rsidRDefault="00A31137" w:rsidP="00A31137">
      <w:r w:rsidRPr="00A31137">
        <w:t>Message on the First Observance of Martin Luther King, Jr. Day, January 14, 1986</w:t>
      </w:r>
    </w:p>
    <w:p w:rsidR="00A31137" w:rsidRPr="00A31137" w:rsidRDefault="00A31137" w:rsidP="00A31137">
      <w:r w:rsidRPr="00A31137">
        <w:t>"Dr. King forged a dream out of the values of his religion and the ideals of our nation's founders. He cherished the dream of a world where human dignity was respected, human rights were protected, and all stood equal before the law."</w:t>
      </w:r>
    </w:p>
    <w:p w:rsidR="00A31137" w:rsidRPr="00A31137" w:rsidRDefault="00A31137" w:rsidP="00A31137">
      <w:r w:rsidRPr="00A31137">
        <w:t>Interview of President Reagan by NBC Newsman, Tom Brokaw, Prior to Super Bowl XX, January 26, 1986</w:t>
      </w:r>
    </w:p>
    <w:p w:rsidR="00A31137" w:rsidRPr="00A31137" w:rsidRDefault="00A31137" w:rsidP="00A31137">
      <w:r w:rsidRPr="00A31137">
        <w:t>Sports, the National Character, and Memories</w:t>
      </w:r>
    </w:p>
    <w:p w:rsidR="00A31137" w:rsidRPr="00A31137" w:rsidRDefault="00A31137" w:rsidP="00A31137">
      <w:r w:rsidRPr="00A31137">
        <w:t>Reagan's Nationwide Address on the Explosion of the Space Shuttle Challenger.</w:t>
      </w:r>
    </w:p>
    <w:p w:rsidR="00A31137" w:rsidRPr="00A31137" w:rsidRDefault="00A31137" w:rsidP="00A31137">
      <w:r w:rsidRPr="00A31137">
        <w:t>"We will never forget them, nor the last time we saw them, this morning, as they prepared for their journey and waved goodbye and "slipped the surly bonds of earth" to "touch the face of God."</w:t>
      </w:r>
    </w:p>
    <w:p w:rsidR="00A31137" w:rsidRPr="00A31137" w:rsidRDefault="00A31137" w:rsidP="00A31137">
      <w:r w:rsidRPr="00A31137">
        <w:t>Reagan's State of the Union Address, February 4, 1986</w:t>
      </w:r>
    </w:p>
    <w:p w:rsidR="00A31137" w:rsidRPr="00A31137" w:rsidRDefault="00A31137" w:rsidP="00A31137">
      <w:r w:rsidRPr="00A31137">
        <w:t>Reagan recalls the last year and sets an agenda for the future.</w:t>
      </w:r>
    </w:p>
    <w:p w:rsidR="00A31137" w:rsidRPr="00A31137" w:rsidRDefault="00A31137" w:rsidP="00A31137">
      <w:r w:rsidRPr="00A31137">
        <w:t>Reagan's Address to Nation Regarding Air Strike Against Libya, April 14, 1986</w:t>
      </w:r>
    </w:p>
    <w:p w:rsidR="00A31137" w:rsidRPr="00A31137" w:rsidRDefault="00A31137" w:rsidP="00A31137">
      <w:r w:rsidRPr="00A31137">
        <w:t>The President's explanation of American air attacks on Tripoli in response to a terrorist bombing against U.S. military personnel in Berlin.</w:t>
      </w:r>
    </w:p>
    <w:p w:rsidR="00A31137" w:rsidRPr="00A31137" w:rsidRDefault="00A31137" w:rsidP="00A31137">
      <w:r w:rsidRPr="00A31137">
        <w:t>Radio Address on Tax Reform, June 7, 1986</w:t>
      </w:r>
    </w:p>
    <w:p w:rsidR="00A31137" w:rsidRPr="00A31137" w:rsidRDefault="00A31137" w:rsidP="00A31137">
      <w:r w:rsidRPr="00A31137">
        <w:t>Reagan details plans for additional sweeping tax reform.</w:t>
      </w:r>
    </w:p>
    <w:p w:rsidR="00A31137" w:rsidRPr="00A31137" w:rsidRDefault="00A31137" w:rsidP="00A31137">
      <w:r w:rsidRPr="00A31137">
        <w:t>Nomination of William H. Rehnquist To Be Chief Justice of the United States Supreme Court, June 17, 1986</w:t>
      </w:r>
    </w:p>
    <w:p w:rsidR="00A31137" w:rsidRPr="00A31137" w:rsidRDefault="00A31137" w:rsidP="00A31137">
      <w:r w:rsidRPr="00A31137">
        <w:t>William Rehnquist will replace Warren E. Burger as Chief Justice. Burger will retire from the Court and take charge of the Commission on the Bicentennial of the U.S. Constitution.</w:t>
      </w:r>
    </w:p>
    <w:p w:rsidR="00A31137" w:rsidRPr="00A31137" w:rsidRDefault="00A31137" w:rsidP="00A31137">
      <w:r w:rsidRPr="00A31137">
        <w:t>Nomination of Antonin Scalia as Associate Justice of the Supreme Court, June 17, 1986</w:t>
      </w:r>
    </w:p>
    <w:p w:rsidR="00A31137" w:rsidRPr="00A31137" w:rsidRDefault="00A31137" w:rsidP="00A31137">
      <w:r w:rsidRPr="00A31137">
        <w:t>Succeeding Associate Justice William H. Rehnquist, Reagan formalizes Scalia's nomination.</w:t>
      </w:r>
    </w:p>
    <w:p w:rsidR="00A31137" w:rsidRPr="00A31137" w:rsidRDefault="00A31137" w:rsidP="00A31137">
      <w:r w:rsidRPr="00A31137">
        <w:t>Reagan's Address to United Nations, September 25, 1986</w:t>
      </w:r>
    </w:p>
    <w:p w:rsidR="00A31137" w:rsidRPr="00A31137" w:rsidRDefault="00A31137" w:rsidP="00A31137">
      <w:r w:rsidRPr="00A31137">
        <w:t>Announcement of Tentative Agreements on World-wide ban on Medium Range Missiles.</w:t>
      </w:r>
    </w:p>
    <w:p w:rsidR="00A31137" w:rsidRPr="00A31137" w:rsidRDefault="00A31137" w:rsidP="00A31137">
      <w:r w:rsidRPr="00A31137">
        <w:t>Statement on the Soviet-United States Nuclear and Space Arms Negotiations, November 12, 1986</w:t>
      </w:r>
    </w:p>
    <w:p w:rsidR="00A31137" w:rsidRPr="00A31137" w:rsidRDefault="00A31137" w:rsidP="00A31137">
      <w:r w:rsidRPr="00A31137">
        <w:t>Details of Disarmament Discussions between Ronald Reagan and Mikhail Gorbachev.</w:t>
      </w:r>
    </w:p>
    <w:p w:rsidR="00A31137" w:rsidRPr="00A31137" w:rsidRDefault="00A31137" w:rsidP="00A31137">
      <w:r w:rsidRPr="00A31137">
        <w:t>Address to the Nation on the Iran Arms and Contra Aid Controversy, November 13, 1986</w:t>
      </w:r>
    </w:p>
    <w:p w:rsidR="00A31137" w:rsidRPr="00A31137" w:rsidRDefault="00A31137" w:rsidP="00A31137">
      <w:r w:rsidRPr="00A31137">
        <w:t>Announced on the eve of the 1986 Congressional Elections, this affair occupied the country's attention for the next nine months. Public hearings were held from May to August 1987.</w:t>
      </w:r>
    </w:p>
    <w:p w:rsidR="00A31137" w:rsidRPr="00A31137" w:rsidRDefault="00A31137" w:rsidP="00A31137">
      <w:r w:rsidRPr="00A31137">
        <w:t>Remarks on East-West Relations at the Brandenburg Gate in West Berlin, June 12, 1987</w:t>
      </w:r>
    </w:p>
    <w:p w:rsidR="00A31137" w:rsidRPr="00A31137" w:rsidRDefault="00A31137" w:rsidP="00A31137">
      <w:r w:rsidRPr="00A31137">
        <w:t>"Come here to this gate! Mr. Gorbachev, open this gate! Mr. Gorbachev, tear down this wall!"</w:t>
      </w:r>
    </w:p>
    <w:p w:rsidR="00A31137" w:rsidRPr="00A31137" w:rsidRDefault="00A31137" w:rsidP="00A31137">
      <w:r w:rsidRPr="00A31137">
        <w:t>America's Economic Bill of Rights, July 3, 1987</w:t>
      </w:r>
    </w:p>
    <w:p w:rsidR="00A31137" w:rsidRPr="00A31137" w:rsidRDefault="00A31137" w:rsidP="00A31137">
      <w:r w:rsidRPr="00A31137">
        <w:t>"The Founding Fathers of our country knew that without economic freedom there can be no political freedom." Reagan outlines the role of government in limiting restrictions on business.</w:t>
      </w:r>
    </w:p>
    <w:p w:rsidR="00A31137" w:rsidRPr="00A31137" w:rsidRDefault="00A31137" w:rsidP="00A31137">
      <w:r w:rsidRPr="00A31137">
        <w:t>Reagan's Radio Address on the Robert H. Bork Nomination and Economic Bill of Rights, July 4, 1987</w:t>
      </w:r>
    </w:p>
    <w:p w:rsidR="00A31137" w:rsidRPr="00A31137" w:rsidRDefault="00A31137" w:rsidP="00A31137">
      <w:r w:rsidRPr="00A31137">
        <w:t>The Bork nomination was later rejected by the Senate.</w:t>
      </w:r>
    </w:p>
    <w:p w:rsidR="00A31137" w:rsidRPr="00A31137" w:rsidRDefault="00A31137" w:rsidP="00A31137">
      <w:r w:rsidRPr="00A31137">
        <w:t>Reagan's Address to the Nation on the Iran Arms and Contra Aid Controversy, August 12, 1987</w:t>
      </w:r>
    </w:p>
    <w:p w:rsidR="00A31137" w:rsidRPr="00A31137" w:rsidRDefault="00A31137" w:rsidP="00A31137">
      <w:r w:rsidRPr="00A31137">
        <w:t>At the close of the Congressional investigation into the matter, the President explains his involvement.</w:t>
      </w:r>
    </w:p>
    <w:p w:rsidR="00A31137" w:rsidRPr="00A31137" w:rsidRDefault="00A31137" w:rsidP="00A31137">
      <w:r w:rsidRPr="00A31137">
        <w:t>Designation of Lieutenant General Colin L. Powell as Assistant to the President for National Security Affairs, November 5, 1987</w:t>
      </w:r>
    </w:p>
    <w:p w:rsidR="00A31137" w:rsidRPr="00A31137" w:rsidRDefault="00A31137" w:rsidP="00A31137">
      <w:r w:rsidRPr="00A31137">
        <w:t>Formal nomination of General Powell by the President</w:t>
      </w:r>
    </w:p>
    <w:p w:rsidR="00A31137" w:rsidRPr="00A31137" w:rsidRDefault="00A31137" w:rsidP="00A31137">
      <w:r w:rsidRPr="00A31137">
        <w:t>Remarks of Reagan and Gorbachev on Signing the Intermediate-Range Nuclear Forces Treaty, December 8, 1987</w:t>
      </w:r>
    </w:p>
    <w:p w:rsidR="00A31137" w:rsidRPr="00A31137" w:rsidRDefault="00A31137" w:rsidP="00A31137">
      <w:r w:rsidRPr="00A31137">
        <w:t>"For the first time in history, the language of 'arms control' was replaced by 'arms reduction'—in this case, the complete elimination of an entire class of U.S. and Soviet nuclear missiles."</w:t>
      </w:r>
    </w:p>
    <w:p w:rsidR="00A31137" w:rsidRPr="00A31137" w:rsidRDefault="00A31137" w:rsidP="00A31137">
      <w:r w:rsidRPr="00A31137">
        <w:t>Treaty Between the United States of America and the Union of Soviet Socialist Republics on the Elimination of Their Intermediate-Range and Shorter-Range Missiles, December 8, 1987</w:t>
      </w:r>
    </w:p>
    <w:p w:rsidR="00A31137" w:rsidRPr="00A31137" w:rsidRDefault="00A31137" w:rsidP="00A31137">
      <w:r w:rsidRPr="00A31137">
        <w:t>Unprecedented treaty signed in Washington D.C.</w:t>
      </w:r>
    </w:p>
    <w:p w:rsidR="00A31137" w:rsidRPr="00A31137" w:rsidRDefault="00A31137" w:rsidP="00A31137">
      <w:r w:rsidRPr="00A31137">
        <w:t>Reagan's Remarks and a Question-and-Answer Session With Students at Suitland High School in Suitland, Maryland, January 20, 1988</w:t>
      </w:r>
    </w:p>
    <w:p w:rsidR="00A31137" w:rsidRPr="00A31137" w:rsidRDefault="00A31137" w:rsidP="00A31137">
      <w:r w:rsidRPr="00A31137">
        <w:t>The President affirms his administration's commitment to education and answers student questions.</w:t>
      </w:r>
    </w:p>
    <w:p w:rsidR="00A31137" w:rsidRPr="00A31137" w:rsidRDefault="00A31137" w:rsidP="00A31137">
      <w:r w:rsidRPr="00A31137">
        <w:t>Reagan's State of the Union Address, January 25, 1988</w:t>
      </w:r>
    </w:p>
    <w:p w:rsidR="00A31137" w:rsidRPr="00A31137" w:rsidRDefault="00A31137" w:rsidP="00A31137">
      <w:r w:rsidRPr="00A31137">
        <w:t>"My message to you tonight is put on your work shoes; we're still on the job."</w:t>
      </w:r>
    </w:p>
    <w:p w:rsidR="00A31137" w:rsidRPr="00A31137" w:rsidRDefault="00A31137" w:rsidP="00A31137">
      <w:r w:rsidRPr="00A31137">
        <w:t>Reagan's Speech at Moscow State University, May 31, 1988</w:t>
      </w:r>
    </w:p>
    <w:p w:rsidR="00A31137" w:rsidRPr="00A31137" w:rsidRDefault="00A31137" w:rsidP="00A31137">
      <w:r w:rsidRPr="00A31137">
        <w:t>"I want to talk about a very different revolution that is taking place right now, quietly sweeping the globe without bloodshed or conflict. Its effects are peaceful, but they will fundamentally alter our world, shatter old assumptions, and reshape our lives."</w:t>
      </w:r>
    </w:p>
    <w:p w:rsidR="00A31137" w:rsidRPr="00A31137" w:rsidRDefault="00A31137" w:rsidP="00A31137">
      <w:r w:rsidRPr="00A31137">
        <w:t>Statement on the Destruction of an Iranian Jetliner by the United States Navy Over the Persian Gulf, July 3, 1988</w:t>
      </w:r>
    </w:p>
    <w:p w:rsidR="00A31137" w:rsidRPr="00A31137" w:rsidRDefault="00A31137" w:rsidP="00A31137">
      <w:r w:rsidRPr="00A31137">
        <w:t>All 290 passengers on the Iranian commercial airplane were killed.</w:t>
      </w:r>
    </w:p>
    <w:p w:rsidR="00A31137" w:rsidRPr="00A31137" w:rsidRDefault="00A31137" w:rsidP="00A31137">
      <w:r w:rsidRPr="00A31137">
        <w:t>Democratic Platform of 1988</w:t>
      </w:r>
    </w:p>
    <w:p w:rsidR="00A31137" w:rsidRPr="00A31137" w:rsidRDefault="00A31137" w:rsidP="00A31137">
      <w:r w:rsidRPr="00A31137">
        <w:t>Democratic Party blueprint under presidential candidate Michael S. Dukakis</w:t>
      </w:r>
    </w:p>
    <w:p w:rsidR="00A31137" w:rsidRPr="00A31137" w:rsidRDefault="00A31137" w:rsidP="00A31137">
      <w:r w:rsidRPr="00A31137">
        <w:t>Republican Platform of 1988</w:t>
      </w:r>
    </w:p>
    <w:p w:rsidR="00A31137" w:rsidRPr="00A31137" w:rsidRDefault="00A31137" w:rsidP="00A31137">
      <w:r w:rsidRPr="00A31137">
        <w:t>Republican plans under presidential candidate and Vice-President George Bush</w:t>
      </w:r>
    </w:p>
    <w:p w:rsidR="00A31137" w:rsidRPr="00A31137" w:rsidRDefault="00A31137" w:rsidP="00A31137">
      <w:r w:rsidRPr="00A31137">
        <w:t>Reagan's Farewell Address, January 11, 1989</w:t>
      </w:r>
    </w:p>
    <w:p w:rsidR="00A31137" w:rsidRPr="00A31137" w:rsidRDefault="00A31137" w:rsidP="00A31137">
      <w:r w:rsidRPr="00A31137">
        <w:t>"It's been the honor of my life to be your President." Reagan's last words from the Oval Office.</w:t>
      </w:r>
    </w:p>
    <w:p w:rsidR="00A31137" w:rsidRPr="00A31137" w:rsidRDefault="00A31137" w:rsidP="00A31137">
      <w:r w:rsidRPr="00A31137">
        <w:t>George Bush's Inaugural Address, January 20, 1989</w:t>
      </w:r>
    </w:p>
    <w:p w:rsidR="00A31137" w:rsidRPr="00A31137" w:rsidRDefault="00A31137" w:rsidP="00A31137">
      <w:r w:rsidRPr="00A31137">
        <w:t>"For a new breeze is blowing, and a world refreshed by freedom seems reborn. For in man's heart, if not in fact, the day of the dictator is over." President Bush speaks of a kinder Nation and a gentler world.</w:t>
      </w:r>
    </w:p>
    <w:p w:rsidR="00A31137" w:rsidRPr="00A31137" w:rsidRDefault="00A31137" w:rsidP="00A31137">
      <w:r w:rsidRPr="00A31137">
        <w:t>Bush's Address on Administration Goals Before a Joint Session of Congress, February 9, 1989</w:t>
      </w:r>
    </w:p>
    <w:p w:rsidR="00A31137" w:rsidRPr="00A31137" w:rsidRDefault="00A31137" w:rsidP="00A31137">
      <w:r w:rsidRPr="00A31137">
        <w:t>The President sets his agenda and priorities for his administration.</w:t>
      </w:r>
    </w:p>
    <w:p w:rsidR="00A31137" w:rsidRPr="00A31137" w:rsidRDefault="00A31137" w:rsidP="00A31137">
      <w:r w:rsidRPr="00A31137">
        <w:t>White House Fact Sheet on Combating Violent Crime, May 15, 1989</w:t>
      </w:r>
    </w:p>
    <w:p w:rsidR="00A31137" w:rsidRPr="00A31137" w:rsidRDefault="00A31137" w:rsidP="00A31137">
      <w:r w:rsidRPr="00A31137">
        <w:t>The President outlines his program designed to strengthen the Nation's criminal justice system and the Federal, State, and local law enforcement partnership.</w:t>
      </w:r>
    </w:p>
    <w:p w:rsidR="00A31137" w:rsidRPr="00A31137" w:rsidRDefault="00A31137" w:rsidP="00A31137">
      <w:r w:rsidRPr="00A31137">
        <w:t>Statement on the Chinese Government's Suppression of Student Demonstrations, June 3, 1989</w:t>
      </w:r>
    </w:p>
    <w:p w:rsidR="00A31137" w:rsidRPr="00A31137" w:rsidRDefault="00A31137" w:rsidP="00A31137">
      <w:r w:rsidRPr="00A31137">
        <w:t>Bush's statement denouncing the use of force in suppressing pro-democracy demonstrators in Tiananmen Square.</w:t>
      </w:r>
    </w:p>
    <w:p w:rsidR="00A31137" w:rsidRPr="00A31137" w:rsidRDefault="00A31137" w:rsidP="00A31137">
      <w:r w:rsidRPr="00A31137">
        <w:t>Bush's Remarks Announcing the Proposed Constitutional Amendment on Desecration of the Flag, June 30, 1989</w:t>
      </w:r>
    </w:p>
    <w:p w:rsidR="00A31137" w:rsidRPr="00A31137" w:rsidRDefault="00A31137" w:rsidP="00A31137">
      <w:r w:rsidRPr="00A31137">
        <w:t>"To the touch, this flag is merely fabric. But to the heart, the flag represents and reflects the fabric of our nation—our dreams, our destiny, our very fiber as a people."</w:t>
      </w:r>
    </w:p>
    <w:p w:rsidR="00A31137" w:rsidRPr="00A31137" w:rsidRDefault="00A31137" w:rsidP="00A31137">
      <w:r w:rsidRPr="00A31137">
        <w:t>Bush's Remarks at a White House Ceremony Commemorating the 25th Anniversary of the Civil Rights Act, June 30, 1989</w:t>
      </w:r>
    </w:p>
    <w:p w:rsidR="00A31137" w:rsidRPr="00A31137" w:rsidRDefault="00A31137" w:rsidP="00A31137">
      <w:r w:rsidRPr="00A31137">
        <w:t>The President uses the anniversary to detail the commitment of his administration to continuing the goals of the Civil Rights Act.</w:t>
      </w:r>
    </w:p>
    <w:p w:rsidR="00A31137" w:rsidRPr="00A31137" w:rsidRDefault="00A31137" w:rsidP="00A31137">
      <w:r w:rsidRPr="00A31137">
        <w:t>Bush's Statement on the Supreme Court's Decision on Abortion, July 3, 1989</w:t>
      </w:r>
    </w:p>
    <w:p w:rsidR="00A31137" w:rsidRPr="00A31137" w:rsidRDefault="00A31137" w:rsidP="00A31137">
      <w:r w:rsidRPr="00A31137">
        <w:t>In "Webster v. Reproductive Health Services" the Supreme Court ruled that States had the power to restrict abortion on demand. The President praised the decision.</w:t>
      </w:r>
    </w:p>
    <w:p w:rsidR="00A31137" w:rsidRPr="00A31137" w:rsidRDefault="00A31137" w:rsidP="00A31137">
      <w:r w:rsidRPr="00A31137">
        <w:t>Bush's Remarks on Receiving Proposed Line-Item Veto Legislation, August 4, 1989</w:t>
      </w:r>
    </w:p>
    <w:p w:rsidR="00A31137" w:rsidRPr="00A31137" w:rsidRDefault="00A31137" w:rsidP="00A31137">
      <w:r w:rsidRPr="00A31137">
        <w:t>The President endorses a proposed Line-Item Veto and urges its passage.</w:t>
      </w:r>
    </w:p>
    <w:p w:rsidR="00A31137" w:rsidRPr="00A31137" w:rsidRDefault="00A31137" w:rsidP="00A31137">
      <w:r w:rsidRPr="00A31137">
        <w:t>Bush's Remarks Announcing the Nomination of General Colin L. Powell To Be Chairman of the Joint Chiefs of Staff, August 10, 1989</w:t>
      </w:r>
    </w:p>
    <w:p w:rsidR="00A31137" w:rsidRPr="00A31137" w:rsidRDefault="00A31137" w:rsidP="00A31137">
      <w:r w:rsidRPr="00A31137">
        <w:t>The first black in American History to be nominated Chairman of the Joint Chiefs of Staff.</w:t>
      </w:r>
    </w:p>
    <w:p w:rsidR="00A31137" w:rsidRPr="00A31137" w:rsidRDefault="00A31137" w:rsidP="00A31137">
      <w:r w:rsidRPr="00A31137">
        <w:t>Bush's Remarks and a Question-and-Answer Session With Reporters on the Relaxation of East German Border Controls, November 9, 1989</w:t>
      </w:r>
    </w:p>
    <w:p w:rsidR="00A31137" w:rsidRPr="00A31137" w:rsidRDefault="00A31137" w:rsidP="00A31137">
      <w:r w:rsidRPr="00A31137">
        <w:t>Signaling the beginning of the end of the Berlin Wall, the President says, "I welcome the decision by the East German leadership to open the borders to those wishing to emigrate or travel."</w:t>
      </w:r>
    </w:p>
    <w:p w:rsidR="00A31137" w:rsidRPr="00A31137" w:rsidRDefault="00A31137" w:rsidP="00A31137">
      <w:r w:rsidRPr="00A31137">
        <w:t>Statement on the Observance of World AIDS Day, November 30, 1989</w:t>
      </w:r>
    </w:p>
    <w:p w:rsidR="00A31137" w:rsidRPr="00A31137" w:rsidRDefault="00A31137" w:rsidP="00A31137">
      <w:r w:rsidRPr="00A31137">
        <w:t>The President recommits to medical research to find a cure for AIDS.</w:t>
      </w:r>
    </w:p>
    <w:p w:rsidR="00A31137" w:rsidRPr="00A31137" w:rsidRDefault="00A31137" w:rsidP="00A31137">
      <w:r w:rsidRPr="00A31137">
        <w:t>Bush's Address to the Nation Announcing United States Military Action in Panama, December 20, 1989</w:t>
      </w:r>
    </w:p>
    <w:p w:rsidR="00A31137" w:rsidRPr="00A31137" w:rsidRDefault="00A31137" w:rsidP="00A31137">
      <w:r w:rsidRPr="00A31137">
        <w:t>Presidential explanation of U.S. Military operations to restore the elected government in Panama and apprehend dictator General Manuel Noriega.</w:t>
      </w:r>
    </w:p>
    <w:p w:rsidR="00A31137" w:rsidRPr="00A31137" w:rsidRDefault="00A31137" w:rsidP="00A31137">
      <w:r w:rsidRPr="00A31137">
        <w:t>Bush's Remarks on Signing the Earth Day Proclamation, January 3, 1990</w:t>
      </w:r>
    </w:p>
    <w:p w:rsidR="00A31137" w:rsidRPr="00A31137" w:rsidRDefault="00A31137" w:rsidP="00A31137">
      <w:r w:rsidRPr="00A31137">
        <w:t>"Across the country, citizens will be asked to make a personal and collective commitment to the protection of the environment, to think globally and act locally."</w:t>
      </w:r>
    </w:p>
    <w:p w:rsidR="00A31137" w:rsidRPr="00A31137" w:rsidRDefault="00A31137" w:rsidP="00A31137">
      <w:r w:rsidRPr="00A31137">
        <w:t>Bush's Statement on the Release of Nelson Mandela, February 10, 1990</w:t>
      </w:r>
    </w:p>
    <w:p w:rsidR="00A31137" w:rsidRPr="00A31137" w:rsidRDefault="00A31137" w:rsidP="00A31137">
      <w:r w:rsidRPr="00A31137">
        <w:t>Bush welcomes President de Klerk's decision to free Mandela as a step towards ending apartheid.</w:t>
      </w:r>
    </w:p>
    <w:p w:rsidR="00A31137" w:rsidRPr="00A31137" w:rsidRDefault="00A31137" w:rsidP="00A31137">
      <w:r w:rsidRPr="00A31137">
        <w:t>Bush's Memorandum on Federalism, February 16, 1990</w:t>
      </w:r>
    </w:p>
    <w:p w:rsidR="00A31137" w:rsidRPr="00A31137" w:rsidRDefault="00A31137" w:rsidP="00A31137">
      <w:r w:rsidRPr="00A31137">
        <w:t>In a memorandum for the heads of Executive Departments and Agencies, the President reaffirms the philosophy of Federalism in approaching relationships with the States.</w:t>
      </w:r>
    </w:p>
    <w:p w:rsidR="00A31137" w:rsidRPr="00A31137" w:rsidRDefault="00A31137" w:rsidP="00A31137">
      <w:r w:rsidRPr="00A31137">
        <w:t>Bush's Remarks Following Discussions With President Vaclav Havel of Czechoslovakia, February 20, 1990</w:t>
      </w:r>
    </w:p>
    <w:p w:rsidR="00A31137" w:rsidRPr="00A31137" w:rsidRDefault="00A31137" w:rsidP="00A31137">
      <w:r w:rsidRPr="00A31137">
        <w:t>Bush details the revolution to freedom and democracy that has taken place in Czechoslovakia.</w:t>
      </w:r>
    </w:p>
    <w:p w:rsidR="00A31137" w:rsidRPr="00A31137" w:rsidRDefault="00A31137" w:rsidP="00A31137">
      <w:r w:rsidRPr="00A31137">
        <w:t>Bush's Remarks at the Presentation of a Point of Light Award to Reef Relief and an Exchange With Reporters in Islamorada, Florida, April 22, 1990</w:t>
      </w:r>
    </w:p>
    <w:p w:rsidR="00A31137" w:rsidRPr="00A31137" w:rsidRDefault="00A31137" w:rsidP="00A31137">
      <w:r w:rsidRPr="00A31137">
        <w:t>This was the announcement of the 123rd daily "Point of Light" announced by the White House during the Bush Administration.</w:t>
      </w:r>
    </w:p>
    <w:p w:rsidR="00A31137" w:rsidRPr="00A31137" w:rsidRDefault="00A31137" w:rsidP="00A31137">
      <w:r w:rsidRPr="00A31137">
        <w:t>Bush's Remarks on the Release of Former Hostage Robert Polhill and an Exchange With Reporters, April 22, 1990</w:t>
      </w:r>
    </w:p>
    <w:p w:rsidR="00A31137" w:rsidRPr="00A31137" w:rsidRDefault="00A31137" w:rsidP="00A31137">
      <w:r w:rsidRPr="00A31137">
        <w:t>The President expresses satisfaction at the release and concern for those who are still being held abroad.</w:t>
      </w:r>
    </w:p>
    <w:p w:rsidR="00A31137" w:rsidRPr="00A31137" w:rsidRDefault="00A31137" w:rsidP="00A31137">
      <w:r w:rsidRPr="00A31137">
        <w:t>Bush's Remarks on Signing the Hate Crime Statistics Act, April 23, 1990</w:t>
      </w:r>
    </w:p>
    <w:p w:rsidR="00A31137" w:rsidRPr="00A31137" w:rsidRDefault="00A31137" w:rsidP="00A31137">
      <w:r w:rsidRPr="00A31137">
        <w:t>Bush strengthens laws protecting Americans from crimes motivated by religion, race, ethnicity, or sexual orientation.</w:t>
      </w:r>
    </w:p>
    <w:p w:rsidR="00A31137" w:rsidRPr="00A31137" w:rsidRDefault="00A31137" w:rsidP="00A31137">
      <w:r w:rsidRPr="00A31137">
        <w:t>Bush's Remarks at a White House Briefing for Conservative Leaders, April 26, 1990</w:t>
      </w:r>
    </w:p>
    <w:p w:rsidR="00A31137" w:rsidRPr="00A31137" w:rsidRDefault="00A31137" w:rsidP="00A31137">
      <w:r w:rsidRPr="00A31137">
        <w:t>"I'm delighted to be with a group for whom "conservatism" is not a catchword."</w:t>
      </w:r>
    </w:p>
    <w:p w:rsidR="00A31137" w:rsidRPr="00A31137" w:rsidRDefault="00A31137" w:rsidP="00A31137">
      <w:r w:rsidRPr="00A31137">
        <w:t>Bush's Remarks on Signing Soviet-United States Bilateral Agreements, June 1, 1990</w:t>
      </w:r>
    </w:p>
    <w:p w:rsidR="00A31137" w:rsidRPr="00A31137" w:rsidRDefault="00A31137" w:rsidP="00A31137">
      <w:r w:rsidRPr="00A31137">
        <w:t>Bush and President Gorbachev sign an agreement to eliminate the great majority of the chemical weapons, sign protocol on limiting nuclear testing and sign new agreement that update and expand the 1973 agreement on the peaceful uses of atomic energy.</w:t>
      </w:r>
    </w:p>
    <w:p w:rsidR="00A31137" w:rsidRPr="00A31137" w:rsidRDefault="00A31137" w:rsidP="00A31137">
      <w:r w:rsidRPr="00A31137">
        <w:t>Message to the House of Representatives Returning Without Approval the Hatch Act Reform Amendments of 1990, June 15, 1990</w:t>
      </w:r>
    </w:p>
    <w:p w:rsidR="00A31137" w:rsidRPr="00A31137" w:rsidRDefault="00A31137" w:rsidP="00A31137">
      <w:r w:rsidRPr="00A31137">
        <w:t>Bush's veto supports the 1939 Act which insulates Federal employees from political involvement and maintains their political neutrality.</w:t>
      </w:r>
    </w:p>
    <w:p w:rsidR="00A31137" w:rsidRPr="00A31137" w:rsidRDefault="00A31137" w:rsidP="00A31137">
      <w:r w:rsidRPr="00A31137">
        <w:t>Bush's Message to the Congress on the Declaration of a National Emergency With Respect to Iraq, August 3, 1990</w:t>
      </w:r>
    </w:p>
    <w:p w:rsidR="00A31137" w:rsidRPr="00A31137" w:rsidRDefault="00A31137" w:rsidP="00A31137">
      <w:r w:rsidRPr="00A31137">
        <w:t>The Presidential declaration initiating sanction against Iraq following the invasion of Kuwait.</w:t>
      </w:r>
    </w:p>
    <w:p w:rsidR="00A31137" w:rsidRPr="00A31137" w:rsidRDefault="00A31137" w:rsidP="00A31137">
      <w:r w:rsidRPr="00A31137">
        <w:t>Bush's Address to the Nation Announcing the Deployment of United States Armed Forces to Saudi Arabia, August 8, 1990</w:t>
      </w:r>
    </w:p>
    <w:p w:rsidR="00A31137" w:rsidRPr="00A31137" w:rsidRDefault="00A31137" w:rsidP="00A31137">
      <w:r w:rsidRPr="00A31137">
        <w:t>Announcement of Operation Desert Shield in Saudi Arabia which would eventually lead to Operation Desert Storm to liberate Kuwait</w:t>
      </w:r>
    </w:p>
    <w:p w:rsidR="00A31137" w:rsidRPr="00A31137" w:rsidRDefault="00A31137" w:rsidP="00A31137">
      <w:r w:rsidRPr="00A31137">
        <w:t>Soviet Union-United States Joint Statement on the Persian Gulf Crisis, September 9, 1990</w:t>
      </w:r>
    </w:p>
    <w:p w:rsidR="00A31137" w:rsidRPr="00A31137" w:rsidRDefault="00A31137" w:rsidP="00A31137">
      <w:r w:rsidRPr="00A31137">
        <w:t>"We are united in the belief that Iraq's aggression must not be tolerated. No peaceful international order is possible if larger states can devour their smaller neighbors."</w:t>
      </w:r>
    </w:p>
    <w:p w:rsidR="00A31137" w:rsidRPr="00A31137" w:rsidRDefault="00A31137" w:rsidP="00A31137">
      <w:r w:rsidRPr="00A31137">
        <w:t>Bush's Remarks Announcing a Federal Budget Agreement, September 30, 1990</w:t>
      </w:r>
    </w:p>
    <w:p w:rsidR="00A31137" w:rsidRPr="00A31137" w:rsidRDefault="00A31137" w:rsidP="00A31137">
      <w:r w:rsidRPr="00A31137">
        <w:t>The President's announcement of a bi-partisan budget agreement</w:t>
      </w:r>
    </w:p>
    <w:p w:rsidR="00A31137" w:rsidRPr="00A31137" w:rsidRDefault="00A31137" w:rsidP="00A31137">
      <w:r w:rsidRPr="00A31137">
        <w:t>Address Before the 45th Session of the United Nations General Assembly in New York, New York, October 1, 1990</w:t>
      </w:r>
    </w:p>
    <w:p w:rsidR="00A31137" w:rsidRPr="00A31137" w:rsidRDefault="00A31137" w:rsidP="00A31137">
      <w:r w:rsidRPr="00A31137">
        <w:t>Bush rallies the United Nations against Iraq following its invasion into Kuwait and calls for the world to band together to eliminate the barbaric ways of the past.</w:t>
      </w:r>
    </w:p>
    <w:p w:rsidR="00A31137" w:rsidRPr="00A31137" w:rsidRDefault="00A31137" w:rsidP="00A31137">
      <w:r w:rsidRPr="00A31137">
        <w:t>Spallone v. U.S., 493 U.S. 265 (1990)</w:t>
      </w:r>
    </w:p>
    <w:p w:rsidR="00A31137" w:rsidRPr="00A31137" w:rsidRDefault="00A31137" w:rsidP="00A31137">
      <w:r w:rsidRPr="00A31137">
        <w:t>Reversing earlier decisions, the Court held that individual members of a city council could not be prosecuted for not taking court-mandated action unless the council itself was prosecuted first.</w:t>
      </w:r>
    </w:p>
    <w:p w:rsidR="00A31137" w:rsidRPr="00A31137" w:rsidRDefault="00A31137" w:rsidP="00A31137">
      <w:r w:rsidRPr="00A31137">
        <w:t>Employment Div. v. Smith. 494 U.S. 872 (1990)</w:t>
      </w:r>
    </w:p>
    <w:p w:rsidR="00A31137" w:rsidRPr="00A31137" w:rsidRDefault="00A31137" w:rsidP="00A31137">
      <w:r w:rsidRPr="00A31137">
        <w:t>The Court upheld the removal of unemployment benefit denied because of failed drug tests caused by "sacramental" use of peyote thus supporting existing substance abuse laws over religious practices.</w:t>
      </w:r>
    </w:p>
    <w:p w:rsidR="00A31137" w:rsidRPr="00A31137" w:rsidRDefault="00A31137" w:rsidP="00A31137">
      <w:r w:rsidRPr="00A31137">
        <w:t>Missouri v. Jenkins, 495 U.S. 33 (1990)</w:t>
      </w:r>
    </w:p>
    <w:p w:rsidR="00A31137" w:rsidRPr="00A31137" w:rsidRDefault="00A31137" w:rsidP="00A31137">
      <w:r w:rsidRPr="00A31137">
        <w:t>The decision held that school districts could not raise property taxes to pay for desegregation programs but did not remove the federal court's ability to mandate it.</w:t>
      </w:r>
    </w:p>
    <w:p w:rsidR="00A31137" w:rsidRPr="00A31137" w:rsidRDefault="00A31137" w:rsidP="00A31137">
      <w:r w:rsidRPr="00A31137">
        <w:t>Board of Educ. v. Mergens, 496 U.S. 226 (1990)</w:t>
      </w:r>
    </w:p>
    <w:p w:rsidR="00A31137" w:rsidRPr="00A31137" w:rsidRDefault="00A31137" w:rsidP="00A31137">
      <w:r w:rsidRPr="00A31137">
        <w:t>The Court held that it was not an abuse of the First Amendment separation clause for students to organize non-curriculum oriented student clubs such as a Christian Club.</w:t>
      </w:r>
    </w:p>
    <w:p w:rsidR="00A31137" w:rsidRPr="00A31137" w:rsidRDefault="00A31137" w:rsidP="00A31137">
      <w:r w:rsidRPr="00A31137">
        <w:t>United States v. Eichman, 496 U.S. 310 (1990)</w:t>
      </w:r>
    </w:p>
    <w:p w:rsidR="00A31137" w:rsidRPr="00A31137" w:rsidRDefault="00A31137" w:rsidP="00A31137">
      <w:r w:rsidRPr="00A31137">
        <w:t>A decision generating public controversy holding the ability that allows for flag burning without prosecution under various state flag protection acts.</w:t>
      </w:r>
    </w:p>
    <w:p w:rsidR="00A31137" w:rsidRPr="00A31137" w:rsidRDefault="00A31137" w:rsidP="00A31137">
      <w:r w:rsidRPr="00A31137">
        <w:t>Rutan v. Republican Party, 497 U.S. 62 (1990)</w:t>
      </w:r>
    </w:p>
    <w:p w:rsidR="00A31137" w:rsidRPr="00A31137" w:rsidRDefault="00A31137" w:rsidP="00A31137">
      <w:r w:rsidRPr="00A31137">
        <w:t>"Promotions, transfers, and recalls based on political affiliation or support are an impermissible infringement on public employees' First Amendment rights.</w:t>
      </w:r>
    </w:p>
    <w:p w:rsidR="00A31137" w:rsidRPr="00A31137" w:rsidRDefault="00A31137" w:rsidP="00A31137">
      <w:r w:rsidRPr="00A31137">
        <w:t>Cruzan v. Director, MDH, 497 U.S. 261 (1990)</w:t>
      </w:r>
    </w:p>
    <w:p w:rsidR="00A31137" w:rsidRPr="00A31137" w:rsidRDefault="00A31137" w:rsidP="00A31137">
      <w:r w:rsidRPr="00A31137">
        <w:t>"The United States Constitution does not forbid Missouri to require that evidence of an incompetent's wishes as to the withdrawal of life-sustaining treatment be proved by clear and convincing evidence."</w:t>
      </w:r>
    </w:p>
    <w:p w:rsidR="00A31137" w:rsidRPr="00A31137" w:rsidRDefault="00A31137" w:rsidP="00A31137">
      <w:r w:rsidRPr="00A31137">
        <w:t>Hodgson v. Minnesota, 497 U.S. 417 (1990)</w:t>
      </w:r>
    </w:p>
    <w:p w:rsidR="00A31137" w:rsidRPr="00A31137" w:rsidRDefault="00A31137" w:rsidP="00A31137">
      <w:r w:rsidRPr="00A31137">
        <w:t>A modification of Roe v. Wade holding that states could require a 48-hour waiting period for abortions and may also demand that underage girls notify their parents before receiving the procedure.</w:t>
      </w:r>
    </w:p>
    <w:p w:rsidR="00A31137" w:rsidRPr="00A31137" w:rsidRDefault="00A31137" w:rsidP="00A31137">
      <w:r w:rsidRPr="00A31137">
        <w:t>Bush's Address to the Nation Announcing Allied Military Action in the Persian Gulf, January 16, 1991</w:t>
      </w:r>
    </w:p>
    <w:p w:rsidR="00A31137" w:rsidRPr="00A31137" w:rsidRDefault="00A31137" w:rsidP="00A31137">
      <w:r w:rsidRPr="00A31137">
        <w:t>The President announces that two hours earlier Operation Desert Storm began in an effort to liberate Kuwait.</w:t>
      </w:r>
    </w:p>
    <w:p w:rsidR="00A31137" w:rsidRPr="00A31137" w:rsidRDefault="00A31137" w:rsidP="00A31137">
      <w:r w:rsidRPr="00A31137">
        <w:t>Bush's Remarks Upon Presenting the Presidential Medal of Freedom to Margaret Thatcher, March 7, 1991</w:t>
      </w:r>
    </w:p>
    <w:p w:rsidR="00A31137" w:rsidRPr="00A31137" w:rsidRDefault="00A31137" w:rsidP="00A31137">
      <w:r w:rsidRPr="00A31137">
        <w:t>The President honors "The Iron Lady," British Prime Minister Margaret Thatcher as a great ally and strong force for democracy in the world.</w:t>
      </w:r>
    </w:p>
    <w:p w:rsidR="00A31137" w:rsidRPr="00A31137" w:rsidRDefault="00A31137" w:rsidP="00A31137">
      <w:r w:rsidRPr="00A31137">
        <w:t>Bush's Statement on the United Nations Persian Gulf Cease-Fire Resolution, April 3, 1991</w:t>
      </w:r>
    </w:p>
    <w:p w:rsidR="00A31137" w:rsidRPr="00A31137" w:rsidRDefault="00A31137" w:rsidP="00A31137">
      <w:r w:rsidRPr="00A31137">
        <w:t>"During these 8 months, the world community has stood up for what is right and just. It is now up to Iraq's Government to demonstrate that it is prepared to respect the will of the world community."</w:t>
      </w:r>
    </w:p>
    <w:p w:rsidR="00A31137" w:rsidRPr="00A31137" w:rsidRDefault="00A31137" w:rsidP="00A31137">
      <w:r w:rsidRPr="00A31137">
        <w:t>Bush's Message to the Senate Transmitting the Treaty on Conventional Armed Forces in Europe, July 9, 1991</w:t>
      </w:r>
    </w:p>
    <w:p w:rsidR="00A31137" w:rsidRPr="00A31137" w:rsidRDefault="00A31137" w:rsidP="00A31137">
      <w:r w:rsidRPr="00A31137">
        <w:t>The CFE Treaty would initiate steps to demilitarize Europe.</w:t>
      </w:r>
    </w:p>
    <w:p w:rsidR="00A31137" w:rsidRPr="00A31137" w:rsidRDefault="00A31137" w:rsidP="00A31137">
      <w:r w:rsidRPr="00A31137">
        <w:t>Bush's Message Honoring Civilians Killed During the Attempted Coup in the Soviet Union, August 24, 1991</w:t>
      </w:r>
    </w:p>
    <w:p w:rsidR="00A31137" w:rsidRPr="00A31137" w:rsidRDefault="00A31137" w:rsidP="00A31137">
      <w:r w:rsidRPr="00A31137">
        <w:t>Bush's tribute to those who died in a failed coup attempt against President Gorbachev.</w:t>
      </w:r>
    </w:p>
    <w:p w:rsidR="00A31137" w:rsidRPr="00A31137" w:rsidRDefault="00A31137" w:rsidP="00A31137">
      <w:r w:rsidRPr="00A31137">
        <w:t>Bush's Address to the Nation on the Supreme Court Nomination of Clarence Thomas, September 6, 1991</w:t>
      </w:r>
    </w:p>
    <w:p w:rsidR="00A31137" w:rsidRPr="00A31137" w:rsidRDefault="00A31137" w:rsidP="00A31137">
      <w:r w:rsidRPr="00A31137">
        <w:t>"Clarence Thomas has preserved the fabric of our Constitution as a judge on the U.S. Court of Appeals. And he will continue to do so on the Supreme Court."</w:t>
      </w:r>
    </w:p>
    <w:p w:rsidR="00A31137" w:rsidRPr="00A31137" w:rsidRDefault="00A31137" w:rsidP="00A31137">
      <w:r w:rsidRPr="00A31137">
        <w:t>Bush's Remarks on Signing the Civil Rights Act of 1991, November 21, 1991</w:t>
      </w:r>
    </w:p>
    <w:p w:rsidR="00A31137" w:rsidRPr="00A31137" w:rsidRDefault="00A31137" w:rsidP="00A31137">
      <w:r w:rsidRPr="00A31137">
        <w:t>"Today we celebrate a law that will fight the evil of discrimination while also building bridges of harmony between Americans of all races, sexes, creeds, and backgrounds."</w:t>
      </w:r>
    </w:p>
    <w:p w:rsidR="00A31137" w:rsidRPr="00A31137" w:rsidRDefault="00A31137" w:rsidP="00A31137">
      <w:r w:rsidRPr="00A31137">
        <w:t>Bush's Statement on the Resignation of Mikhail Gorbachev as President of the Soviet Union, December 25, 1991</w:t>
      </w:r>
    </w:p>
    <w:p w:rsidR="00A31137" w:rsidRPr="00A31137" w:rsidRDefault="00A31137" w:rsidP="00A31137">
      <w:r w:rsidRPr="00A31137">
        <w:t>"President Gorbachev is responsible for one of the most important developments of this century, the revolutionary transformation of a totalitarian dictatorship and the liberation of his people from its smothering embrace."</w:t>
      </w:r>
    </w:p>
    <w:p w:rsidR="00A31137" w:rsidRPr="00A31137" w:rsidRDefault="00A31137" w:rsidP="00A31137">
      <w:r w:rsidRPr="00A31137">
        <w:t>McCleskey v. Zant, 499 U.S. 467 (1991)</w:t>
      </w:r>
    </w:p>
    <w:p w:rsidR="00A31137" w:rsidRPr="00A31137" w:rsidRDefault="00A31137" w:rsidP="00A31137">
      <w:r w:rsidRPr="00A31137">
        <w:t>A procedural decision clarifying the abuse of writs to the Court in the context of voluntary jailhouse confessions from one inmate to another.</w:t>
      </w:r>
    </w:p>
    <w:p w:rsidR="00A31137" w:rsidRPr="00A31137" w:rsidRDefault="00A31137" w:rsidP="00A31137">
      <w:r w:rsidRPr="00A31137">
        <w:t>Rust v. Sullivan, 500 U.S. 173 (1991)</w:t>
      </w:r>
    </w:p>
    <w:p w:rsidR="00A31137" w:rsidRPr="00A31137" w:rsidRDefault="00A31137" w:rsidP="00A31137">
      <w:r w:rsidRPr="00A31137">
        <w:t>The Court held that Department of Health and Human Services Title X funds could not be used for abortion or its advocacy as a birth control method.</w:t>
      </w:r>
    </w:p>
    <w:p w:rsidR="00A31137" w:rsidRPr="00A31137" w:rsidRDefault="00A31137" w:rsidP="00A31137">
      <w:r w:rsidRPr="00A31137">
        <w:t>Airports Authority v. Citizens for Noise Abatement, 501 U.S. 252 (1991)</w:t>
      </w:r>
    </w:p>
    <w:p w:rsidR="00A31137" w:rsidRPr="00A31137" w:rsidRDefault="00A31137" w:rsidP="00A31137">
      <w:r w:rsidRPr="00A31137">
        <w:t>The Court held that in creating and transferring authority to manage two Washington, D.C. airports, Congress overstepped its powers.</w:t>
      </w:r>
    </w:p>
    <w:p w:rsidR="00A31137" w:rsidRPr="00A31137" w:rsidRDefault="00A31137" w:rsidP="00A31137">
      <w:r w:rsidRPr="00A31137">
        <w:t>Florida v. Bostick, 501 U.S. 429 (1991)</w:t>
      </w:r>
    </w:p>
    <w:p w:rsidR="00A31137" w:rsidRPr="00A31137" w:rsidRDefault="00A31137" w:rsidP="00A31137">
      <w:r w:rsidRPr="00A31137">
        <w:t>The decision held that random bus searches of passengers property with their consent is not unconstitutional.</w:t>
      </w:r>
    </w:p>
    <w:p w:rsidR="00A31137" w:rsidRPr="00A31137" w:rsidRDefault="00A31137" w:rsidP="00A31137">
      <w:r w:rsidRPr="00A31137">
        <w:t>Masson v. New Yorker Magazine, Inc., 501 U.S. 496 (1991)</w:t>
      </w:r>
    </w:p>
    <w:p w:rsidR="00A31137" w:rsidRPr="00A31137" w:rsidRDefault="00A31137" w:rsidP="00A31137">
      <w:r w:rsidRPr="00A31137">
        <w:t>The opinion reversed a lower court decision thus allowing a libel suit brought by an author against the New Yorker Magazine to go forward.</w:t>
      </w:r>
    </w:p>
    <w:p w:rsidR="00A31137" w:rsidRPr="00A31137" w:rsidRDefault="00A31137" w:rsidP="00A31137">
      <w:r w:rsidRPr="00A31137">
        <w:t>Barnes v. Glen Theatre, Inc., 501 U.S. 560 (1991)</w:t>
      </w:r>
    </w:p>
    <w:p w:rsidR="00A31137" w:rsidRPr="00A31137" w:rsidRDefault="00A31137" w:rsidP="00A31137">
      <w:r w:rsidRPr="00A31137">
        <w:t>The Court held that municipal public nudity statutes requiring nude dancers to wear pasties and a g-string do not violate the First Amendment.</w:t>
      </w:r>
    </w:p>
    <w:p w:rsidR="00A31137" w:rsidRPr="00A31137" w:rsidRDefault="00A31137" w:rsidP="00A31137">
      <w:r w:rsidRPr="00A31137">
        <w:t>Payne v. Tennessee, 501 U.S. 808 (1991)</w:t>
      </w:r>
    </w:p>
    <w:p w:rsidR="00A31137" w:rsidRPr="00A31137" w:rsidRDefault="00A31137" w:rsidP="00A31137">
      <w:r w:rsidRPr="00A31137">
        <w:t>"The Eighth Amendment erects no per se bar prohibiting a capital sentencing jury from considering "victim impact" evidence relating to the victim's personal characteristics and the emotional impact of the murder on the victim's family, or precluding a prosecutor from arguing such evidence at a capital sentencing hearing."</w:t>
      </w:r>
    </w:p>
    <w:p w:rsidR="00A31137" w:rsidRPr="00A31137" w:rsidRDefault="00A31137" w:rsidP="00A31137">
      <w:r w:rsidRPr="00A31137">
        <w:t>Gentile v. State Bar of Nevada, 501 U.S. 1030 (1991)</w:t>
      </w:r>
    </w:p>
    <w:p w:rsidR="00A31137" w:rsidRPr="00A31137" w:rsidRDefault="00A31137" w:rsidP="00A31137">
      <w:r w:rsidRPr="00A31137">
        <w:t>Reversed earlier decisions and allowed attorneys to be able to make statements to the press following a client's indictment.</w:t>
      </w:r>
    </w:p>
    <w:p w:rsidR="00A31137" w:rsidRPr="00A31137" w:rsidRDefault="00A31137" w:rsidP="00A31137">
      <w:r w:rsidRPr="00A31137">
        <w:t>Bush's State of the Union Address, January 28, 1992</w:t>
      </w:r>
    </w:p>
    <w:p w:rsidR="00A31137" w:rsidRPr="00A31137" w:rsidRDefault="00A31137" w:rsidP="00A31137">
      <w:r w:rsidRPr="00A31137">
        <w:t>"Communism died this year."</w:t>
      </w:r>
    </w:p>
    <w:p w:rsidR="00A31137" w:rsidRPr="00A31137" w:rsidRDefault="00A31137" w:rsidP="00A31137">
      <w:r w:rsidRPr="00A31137">
        <w:t>Bush's News Conference with President Boris Yeltsin of Russia, February 1, 1992</w:t>
      </w:r>
    </w:p>
    <w:p w:rsidR="00A31137" w:rsidRPr="00A31137" w:rsidRDefault="00A31137" w:rsidP="00A31137">
      <w:r w:rsidRPr="00A31137">
        <w:t>"Today, for the first time, an American President and the democratically elected President of an independent Russia have met, and we did so not as adversaries but as friends."</w:t>
      </w:r>
    </w:p>
    <w:p w:rsidR="00A31137" w:rsidRPr="00A31137" w:rsidRDefault="00A31137" w:rsidP="00A31137">
      <w:r w:rsidRPr="00A31137">
        <w:t>Bush's Remarks at the Opening Session of the Drug Summit in San Antonio, February 27, 1992</w:t>
      </w:r>
    </w:p>
    <w:p w:rsidR="00A31137" w:rsidRPr="00A31137" w:rsidRDefault="00A31137" w:rsidP="00A31137">
      <w:r w:rsidRPr="00A31137">
        <w:t>"We are all committed to defending democracy and its principles as we defeat the scourge of drugs."</w:t>
      </w:r>
    </w:p>
    <w:p w:rsidR="00A31137" w:rsidRPr="00A31137" w:rsidRDefault="00A31137" w:rsidP="00A31137">
      <w:r w:rsidRPr="00A31137">
        <w:t>Bush's Radio Address to the Nation on Welfare Reform, April 11, 1992</w:t>
      </w:r>
    </w:p>
    <w:p w:rsidR="00A31137" w:rsidRPr="00A31137" w:rsidRDefault="00A31137" w:rsidP="00A31137">
      <w:r w:rsidRPr="00A31137">
        <w:t>"We must structure our welfare programs so that they reverse policies which lock in a lifestyle of dependency and subtly destroy self-esteem. We must encourage family formation and family stability. Too often our welfare programs have encouraged exactly the opposite."</w:t>
      </w:r>
    </w:p>
    <w:p w:rsidR="00A31137" w:rsidRPr="00A31137" w:rsidRDefault="00A31137" w:rsidP="00A31137">
      <w:r w:rsidRPr="00A31137">
        <w:t>Bush's Address to the Nation on the Balanced Budget Amendment, June 10, 1992</w:t>
      </w:r>
    </w:p>
    <w:p w:rsidR="00A31137" w:rsidRPr="00A31137" w:rsidRDefault="00A31137" w:rsidP="00A31137">
      <w:r w:rsidRPr="00A31137">
        <w:t>"I am convinced that a balanced budget amendment is the only way to force the Federal Government, both the Congress and the executive branch, to live within its means."</w:t>
      </w:r>
    </w:p>
    <w:p w:rsidR="00A31137" w:rsidRPr="00A31137" w:rsidRDefault="00A31137" w:rsidP="00A31137">
      <w:r w:rsidRPr="00A31137">
        <w:t>Bush's News Conference with President Boris Yeltsin of Russia, June 17, 1992</w:t>
      </w:r>
    </w:p>
    <w:p w:rsidR="00A31137" w:rsidRPr="00A31137" w:rsidRDefault="00A31137" w:rsidP="00A31137">
      <w:r w:rsidRPr="00A31137">
        <w:t>"As a result of this first-ever U.S.-Russia summit we've indeed formed a truly new relationship, one of peace, friendship, trust, and growing partnership."</w:t>
      </w:r>
    </w:p>
    <w:p w:rsidR="00A31137" w:rsidRPr="00A31137" w:rsidRDefault="00A31137" w:rsidP="00A31137">
      <w:r w:rsidRPr="00A31137">
        <w:t xml:space="preserve">Lee v. Weisman, 505 U.S. 577 (1992) </w:t>
      </w:r>
    </w:p>
    <w:p w:rsidR="00A31137" w:rsidRPr="00A31137" w:rsidRDefault="00A31137" w:rsidP="00A31137">
      <w:r w:rsidRPr="00A31137">
        <w:t>5-4 decision of Supreme Court that nonsectarian prayer's at public school graduation ceremonies violates the establishment clause of the First Amendment.</w:t>
      </w:r>
    </w:p>
    <w:p w:rsidR="00A31137" w:rsidRPr="00A31137" w:rsidRDefault="00A31137" w:rsidP="00A31137">
      <w:r w:rsidRPr="00A31137">
        <w:t>Bush's Statement on the Supreme Court Decision on the Lee v. Weisman Case, June 24, 1992</w:t>
      </w:r>
    </w:p>
    <w:p w:rsidR="00A31137" w:rsidRPr="00A31137" w:rsidRDefault="00A31137" w:rsidP="00A31137">
      <w:r w:rsidRPr="00A31137">
        <w:t>Disappointment about Supreme Court decision not allowing nonsectarian prayer on public high school graduation services.</w:t>
      </w:r>
    </w:p>
    <w:p w:rsidR="00A31137" w:rsidRPr="00A31137" w:rsidRDefault="00A31137" w:rsidP="00A31137">
      <w:r w:rsidRPr="00A31137">
        <w:t>Democratic Platform of 1992</w:t>
      </w:r>
    </w:p>
    <w:p w:rsidR="00A31137" w:rsidRPr="00A31137" w:rsidRDefault="00A31137" w:rsidP="00A31137">
      <w:r w:rsidRPr="00A31137">
        <w:t>Democratic Party agenda under presidential candidate William J. Clinton</w:t>
      </w:r>
    </w:p>
    <w:p w:rsidR="00A31137" w:rsidRPr="00A31137" w:rsidRDefault="00A31137" w:rsidP="00A31137">
      <w:r w:rsidRPr="00A31137">
        <w:t>Republican Platform of 1992</w:t>
      </w:r>
    </w:p>
    <w:p w:rsidR="00A31137" w:rsidRPr="00A31137" w:rsidRDefault="00A31137" w:rsidP="00A31137">
      <w:r w:rsidRPr="00A31137">
        <w:t>Republican proposals under incumbent presidential candidate George Bush</w:t>
      </w:r>
    </w:p>
    <w:p w:rsidR="00A31137" w:rsidRPr="00A31137" w:rsidRDefault="00A31137" w:rsidP="00A31137">
      <w:r w:rsidRPr="00A31137">
        <w:t>Bush's Remarks in Houston on the Results of the Presidential Election, November 3, 1992</w:t>
      </w:r>
    </w:p>
    <w:p w:rsidR="00A31137" w:rsidRPr="00A31137" w:rsidRDefault="00A31137" w:rsidP="00A31137">
      <w:r w:rsidRPr="00A31137">
        <w:t>"I would like to thank so many of you who have worked beside me to improve America and to literally change the world."</w:t>
      </w:r>
    </w:p>
    <w:p w:rsidR="00A31137" w:rsidRPr="00A31137" w:rsidRDefault="00A31137" w:rsidP="00A31137">
      <w:r w:rsidRPr="00A31137">
        <w:t>Simon &amp; Schuster v. Crime Victims Bd., 502 U.S. 105 (1992)</w:t>
      </w:r>
    </w:p>
    <w:p w:rsidR="00A31137" w:rsidRPr="00A31137" w:rsidRDefault="00A31137" w:rsidP="00A31137">
      <w:r w:rsidRPr="00A31137">
        <w:t>The Court held that the New York "Son of Sam" laws barring criminals from profiting from the publication of books about the crimes are inconsistent with the First Amendment.</w:t>
      </w:r>
    </w:p>
    <w:p w:rsidR="00A31137" w:rsidRPr="00A31137" w:rsidRDefault="00A31137" w:rsidP="00A31137">
      <w:r w:rsidRPr="00A31137">
        <w:t>Wyoming v. Oklahoma, 502 U.S. 437 (1992)</w:t>
      </w:r>
    </w:p>
    <w:p w:rsidR="00A31137" w:rsidRPr="00A31137" w:rsidRDefault="00A31137" w:rsidP="00A31137">
      <w:r w:rsidRPr="00A31137">
        <w:t>The decision declared that Oklahoma violated the commerce clause by requiring that at least 10% of coal burned for hydroelectric power in that state be from Oklahoma.</w:t>
      </w:r>
    </w:p>
    <w:p w:rsidR="00A31137" w:rsidRPr="00A31137" w:rsidRDefault="00A31137" w:rsidP="00A31137">
      <w:r w:rsidRPr="00A31137">
        <w:t>General Motors Corp. v. Romein, 503 U.S. 181 (1992)</w:t>
      </w:r>
    </w:p>
    <w:p w:rsidR="00A31137" w:rsidRPr="00A31137" w:rsidRDefault="00A31137" w:rsidP="00A31137">
      <w:r w:rsidRPr="00A31137">
        <w:t>In a procedural decision the Court affirmed the ability to coordinate workers compensation benefits declaring it not to be a violation of due process or the contracts clause.</w:t>
      </w:r>
    </w:p>
    <w:p w:rsidR="00A31137" w:rsidRPr="00A31137" w:rsidRDefault="00A31137" w:rsidP="00A31137">
      <w:r w:rsidRPr="00A31137">
        <w:t>Fort Gratiot Landfill v. Mich. DNR, 504 U.S. 353 (1992)</w:t>
      </w:r>
    </w:p>
    <w:p w:rsidR="00A31137" w:rsidRPr="00A31137" w:rsidRDefault="00A31137" w:rsidP="00A31137">
      <w:r w:rsidRPr="00A31137">
        <w:t>The Court allowed for private landfills to accept waste from outside their county and state. Previous laws limiting this were in violation of the commerce clause.</w:t>
      </w:r>
    </w:p>
    <w:p w:rsidR="00A31137" w:rsidRPr="00A31137" w:rsidRDefault="00A31137" w:rsidP="00A31137">
      <w:r w:rsidRPr="00A31137">
        <w:t>Gade v. National Solid Wastes Management Association, 505 U.S. 88 (1992)</w:t>
      </w:r>
    </w:p>
    <w:p w:rsidR="00A31137" w:rsidRPr="00A31137" w:rsidRDefault="00A31137" w:rsidP="00A31137">
      <w:r w:rsidRPr="00A31137">
        <w:t>The Court held that Federal government standards under the Occupational Safety and Health Act take precedence over state standards.</w:t>
      </w:r>
    </w:p>
    <w:p w:rsidR="00A31137" w:rsidRPr="00A31137" w:rsidRDefault="00A31137" w:rsidP="00A31137">
      <w:r w:rsidRPr="00A31137">
        <w:t>New York v. United States, 505 U.S. 144 (1992)</w:t>
      </w:r>
    </w:p>
    <w:p w:rsidR="00A31137" w:rsidRPr="00A31137" w:rsidRDefault="00A31137" w:rsidP="00A31137">
      <w:r w:rsidRPr="00A31137">
        <w:t>The Court held that low-level radioactive waste policy is within the powers of Congress to control, however it violates the Tenth Amendment when states are forced to accept ownership of the waste.</w:t>
      </w:r>
    </w:p>
    <w:p w:rsidR="00A31137" w:rsidRPr="00A31137" w:rsidRDefault="00A31137" w:rsidP="00A31137">
      <w:r w:rsidRPr="00A31137">
        <w:t>R.A.V. v. City of St. Paul, 505 U.S. 377 (1992)</w:t>
      </w:r>
    </w:p>
    <w:p w:rsidR="00A31137" w:rsidRPr="00A31137" w:rsidRDefault="00A31137" w:rsidP="00A31137">
      <w:r w:rsidRPr="00A31137">
        <w:t>The decision held that state laws prohibiting certain conducts such as burning a cross on a lawn are enforceable by state laws.</w:t>
      </w:r>
    </w:p>
    <w:p w:rsidR="00A31137" w:rsidRPr="00A31137" w:rsidRDefault="00A31137" w:rsidP="00A31137">
      <w:r w:rsidRPr="00A31137">
        <w:t>Planned Parenthood v. Casey, 505 U.S. 833 (1992)</w:t>
      </w:r>
    </w:p>
    <w:p w:rsidR="00A31137" w:rsidRPr="00A31137" w:rsidRDefault="00A31137" w:rsidP="00A31137">
      <w:r w:rsidRPr="00A31137">
        <w:t>The Court retained the basic tenets of the Roe v. Wade decision while modifying certain other areas that deal with state control of abortion.</w:t>
      </w:r>
    </w:p>
    <w:p w:rsidR="00A31137" w:rsidRPr="00A31137" w:rsidRDefault="00A31137" w:rsidP="00A31137">
      <w:r w:rsidRPr="00A31137">
        <w:t>Lucas v. So. Carolina Coastal Council, 505 U.S. 1003 (1992)</w:t>
      </w:r>
    </w:p>
    <w:p w:rsidR="00A31137" w:rsidRPr="00A31137" w:rsidRDefault="00A31137" w:rsidP="00A31137">
      <w:r w:rsidRPr="00A31137">
        <w:t>A case which withdrew South Carolina's ability to apply certain acts to private property and claim rights to beach property without just compensation.</w:t>
      </w:r>
    </w:p>
    <w:p w:rsidR="00A31137" w:rsidRPr="00A31137" w:rsidRDefault="00A31137" w:rsidP="00A31137">
      <w:r w:rsidRPr="00A31137">
        <w:t>Bush's News Conference with President Boris Yeltsin of Russia in Moscow, January 3, 1993</w:t>
      </w:r>
    </w:p>
    <w:p w:rsidR="00A31137" w:rsidRPr="00A31137" w:rsidRDefault="00A31137" w:rsidP="00A31137">
      <w:r w:rsidRPr="00A31137">
        <w:t>Announcement of Signing the START II Treaty</w:t>
      </w:r>
    </w:p>
    <w:p w:rsidR="00A31137" w:rsidRPr="00A31137" w:rsidRDefault="00A31137" w:rsidP="00A31137">
      <w:r w:rsidRPr="00A31137">
        <w:t>William J. Clinton, Inaugural Address, January 20, 1993</w:t>
      </w:r>
    </w:p>
    <w:p w:rsidR="00A31137" w:rsidRPr="00A31137" w:rsidRDefault="00A31137" w:rsidP="00A31137">
      <w:r w:rsidRPr="00A31137">
        <w:t>"Though we marched to the music of our time, our mission is timeless. Each generation of Americans must define what it means to be an American."</w:t>
      </w:r>
    </w:p>
    <w:p w:rsidR="00A31137" w:rsidRPr="00A31137" w:rsidRDefault="00A31137" w:rsidP="00A31137">
      <w:r w:rsidRPr="00A31137">
        <w:t>Clinton's Remarks on Health Care Reform, January 25, 1993</w:t>
      </w:r>
    </w:p>
    <w:p w:rsidR="00A31137" w:rsidRPr="00A31137" w:rsidRDefault="00A31137" w:rsidP="00A31137">
      <w:r w:rsidRPr="00A31137">
        <w:t>" I am announcing the formation of the President's Task Force on National Health Reform. This task force will be chaired by the First Lady, Hillary Rodham Clinton."</w:t>
      </w:r>
    </w:p>
    <w:p w:rsidR="00A31137" w:rsidRPr="00A31137" w:rsidRDefault="00A31137" w:rsidP="00A31137">
      <w:r w:rsidRPr="00A31137">
        <w:t>Clinton's Memorandum on Ending Discrimination in the Armed Forces, January 29, 1993</w:t>
      </w:r>
    </w:p>
    <w:p w:rsidR="00A31137" w:rsidRPr="00A31137" w:rsidRDefault="00A31137" w:rsidP="00A31137">
      <w:r w:rsidRPr="00A31137">
        <w:t>The President asks for an order to be drafted that would end "discrimination on the basis of sexual orientation in determining who may serve in the Armed Forces of the United States."</w:t>
      </w:r>
    </w:p>
    <w:p w:rsidR="00A31137" w:rsidRPr="00A31137" w:rsidRDefault="00A31137" w:rsidP="00A31137">
      <w:r w:rsidRPr="00A31137">
        <w:t>Clinton's Radio Interview with Larry King, June 21, 1993</w:t>
      </w:r>
    </w:p>
    <w:p w:rsidR="00A31137" w:rsidRPr="00A31137" w:rsidRDefault="00A31137" w:rsidP="00A31137">
      <w:r w:rsidRPr="00A31137">
        <w:t>The President gets a chance to clarify his views on his economic program and NAFTA.</w:t>
      </w:r>
    </w:p>
    <w:p w:rsidR="00A31137" w:rsidRPr="00A31137" w:rsidRDefault="00A31137" w:rsidP="00A31137">
      <w:r w:rsidRPr="00A31137">
        <w:t>Clinton's Remarks Announcing the New Policy on Homosexuals in the Military, July 19, 1993</w:t>
      </w:r>
    </w:p>
    <w:p w:rsidR="00A31137" w:rsidRPr="00A31137" w:rsidRDefault="00A31137" w:rsidP="00A31137">
      <w:r w:rsidRPr="00A31137">
        <w:t>The President's rationale behind the "don't ask, don't tell." policy.</w:t>
      </w:r>
    </w:p>
    <w:p w:rsidR="00A31137" w:rsidRPr="00A31137" w:rsidRDefault="00A31137" w:rsidP="00A31137">
      <w:r w:rsidRPr="00A31137">
        <w:t>Clinton's Television Interview with Larry King, July 20, 1993</w:t>
      </w:r>
    </w:p>
    <w:p w:rsidR="00A31137" w:rsidRPr="00A31137" w:rsidRDefault="00A31137" w:rsidP="00A31137">
      <w:r w:rsidRPr="00A31137">
        <w:t>The President expounds on security, homosexuals in the military, reaction to criticism, disaster relief, Supreme Court nominees, national lottery, etc.</w:t>
      </w:r>
    </w:p>
    <w:p w:rsidR="00A31137" w:rsidRPr="00A31137" w:rsidRDefault="00A31137" w:rsidP="00A31137">
      <w:r w:rsidRPr="00A31137">
        <w:t>Clinton's Statement on Senate Action Confirming Ruth Bader Ginsburg as a Supreme Court Associate Justice, August 3, 1993</w:t>
      </w:r>
    </w:p>
    <w:p w:rsidR="00A31137" w:rsidRPr="00A31137" w:rsidRDefault="00A31137" w:rsidP="00A31137">
      <w:r w:rsidRPr="00A31137">
        <w:t>"I am extremely pleased at the swift and determined action by the U.S. Senate in overwhelmingly confirming Ruth Bader Ginsburg to the United States Supreme Court."</w:t>
      </w:r>
    </w:p>
    <w:p w:rsidR="00A31137" w:rsidRPr="00A31137" w:rsidRDefault="00A31137" w:rsidP="00A31137">
      <w:r w:rsidRPr="00A31137">
        <w:t>Clinton's Address to a Joint Session of the Congress on Health Care Reform, September 22, 1993</w:t>
      </w:r>
    </w:p>
    <w:p w:rsidR="00A31137" w:rsidRPr="00A31137" w:rsidRDefault="00A31137" w:rsidP="00A31137">
      <w:r w:rsidRPr="00A31137">
        <w:t>Clinton details the reform plan to bring about massive change in the delivery and payment of health care services.</w:t>
      </w:r>
    </w:p>
    <w:p w:rsidR="00A31137" w:rsidRPr="00A31137" w:rsidRDefault="00A31137" w:rsidP="00A31137">
      <w:r w:rsidRPr="00A31137">
        <w:t>Clinton's Remarks in the ABC News "Nightline" Town Meeting on Health Care Reform in Tampa, Florida, September 23, 1993</w:t>
      </w:r>
    </w:p>
    <w:p w:rsidR="00A31137" w:rsidRPr="00A31137" w:rsidRDefault="00A31137" w:rsidP="00A31137">
      <w:r w:rsidRPr="00A31137">
        <w:t>The President take another public forum to detail his sweeping health care reform plan.</w:t>
      </w:r>
    </w:p>
    <w:p w:rsidR="00A31137" w:rsidRPr="00A31137" w:rsidRDefault="00A31137" w:rsidP="00A31137">
      <w:r w:rsidRPr="00A31137">
        <w:t>Clinton's Statement on Support for the North American Free Trade Agreement, October 12, 1993</w:t>
      </w:r>
    </w:p>
    <w:p w:rsidR="00A31137" w:rsidRPr="00A31137" w:rsidRDefault="00A31137" w:rsidP="00A31137">
      <w:r w:rsidRPr="00A31137">
        <w:t>"NAFTA represents the best immediate opportunity to expand our markets and create new jobs at home."</w:t>
      </w:r>
    </w:p>
    <w:p w:rsidR="00A31137" w:rsidRPr="00A31137" w:rsidRDefault="00A31137" w:rsidP="00A31137">
      <w:r w:rsidRPr="00A31137">
        <w:t>Clinton's Remarks on Signing the Religious Freedom Restoration Act of 1993, November 16, 1993</w:t>
      </w:r>
    </w:p>
    <w:p w:rsidR="00A31137" w:rsidRPr="00A31137" w:rsidRDefault="00A31137" w:rsidP="00A31137">
      <w:r w:rsidRPr="00A31137">
        <w:t>"This act reverses the Supreme Court's decision Employment Division against Smith and reestablishes a standard that better protects all Americans of all faiths in the exercise of their religion in a way that I am convinced is far more consistent with the intent of the Founders of this Nation than the Supreme Court decision."</w:t>
      </w:r>
    </w:p>
    <w:p w:rsidR="00A31137" w:rsidRPr="00A31137" w:rsidRDefault="00A31137" w:rsidP="00A31137">
      <w:r w:rsidRPr="00A31137">
        <w:t>Lamb's Chapel v. Center Moriches Sch. Dist., 508 U.S. 384 (1993)</w:t>
      </w:r>
    </w:p>
    <w:p w:rsidR="00A31137" w:rsidRPr="00A31137" w:rsidRDefault="00A31137" w:rsidP="00A31137">
      <w:r w:rsidRPr="00A31137">
        <w:t>Allowed a Church to use a school to show a series of films the Court holding it did not violate the separation and establishment clauses of the First Amendment.</w:t>
      </w:r>
    </w:p>
    <w:p w:rsidR="00A31137" w:rsidRPr="00A31137" w:rsidRDefault="00A31137" w:rsidP="00A31137">
      <w:r w:rsidRPr="00A31137">
        <w:t>Wisconsin v. Mitchell, 508 U.S. 476 (1993)</w:t>
      </w:r>
    </w:p>
    <w:p w:rsidR="00A31137" w:rsidRPr="00A31137" w:rsidRDefault="00A31137" w:rsidP="00A31137">
      <w:r w:rsidRPr="00A31137">
        <w:t>The Court held it was not a violation of free speech or expression for a criminal to receive an increased sentence because race was a specific factor in his choosing victims for his crime.</w:t>
      </w:r>
    </w:p>
    <w:p w:rsidR="00A31137" w:rsidRPr="00A31137" w:rsidRDefault="00A31137" w:rsidP="00A31137">
      <w:r w:rsidRPr="00A31137">
        <w:t>Church of Lukumi Babalu Aye v. City of Hialeah, 508 U.S. 520 (1993)</w:t>
      </w:r>
    </w:p>
    <w:p w:rsidR="00A31137" w:rsidRPr="00A31137" w:rsidRDefault="00A31137" w:rsidP="00A31137">
      <w:r w:rsidRPr="00A31137">
        <w:t>The decision allowed for the slaughter of some animals for religious purposes holding that certain city ordinances that target religious behavior specifically are a violation of the First Amendment.</w:t>
      </w:r>
    </w:p>
    <w:p w:rsidR="00A31137" w:rsidRPr="00A31137" w:rsidRDefault="00A31137" w:rsidP="00A31137">
      <w:r w:rsidRPr="00A31137">
        <w:t>Zobrest v. Catalina Foothills School District, 509 U.S. 1 (1993)</w:t>
      </w:r>
    </w:p>
    <w:p w:rsidR="00A31137" w:rsidRPr="00A31137" w:rsidRDefault="00A31137" w:rsidP="00A31137">
      <w:r w:rsidRPr="00A31137">
        <w:t>Use of publicly funded interpreters for deaf students at a parochial school is not a violation of the First Amendment establishment clause.</w:t>
      </w:r>
    </w:p>
    <w:p w:rsidR="00A31137" w:rsidRPr="00A31137" w:rsidRDefault="00A31137" w:rsidP="00A31137">
      <w:r w:rsidRPr="00A31137">
        <w:t>Shaw v. Reno, 509 U.S. 630 (1993)</w:t>
      </w:r>
    </w:p>
    <w:p w:rsidR="00A31137" w:rsidRPr="00A31137" w:rsidRDefault="00A31137" w:rsidP="00A31137">
      <w:r w:rsidRPr="00A31137">
        <w:t>The Court held that states could realign voting districts according to race if it would increase the chance of electing a minority candidate finding that this practice does not violate the Voting Rights Act.</w:t>
      </w:r>
    </w:p>
    <w:p w:rsidR="00A31137" w:rsidRPr="00A31137" w:rsidRDefault="00A31137" w:rsidP="00A31137">
      <w:r w:rsidRPr="00A31137">
        <w:t>Capital Square Reveiw &amp; Advisory Board v. Pinette, 510 U.S. 1307 (1993)</w:t>
      </w:r>
    </w:p>
    <w:p w:rsidR="00A31137" w:rsidRPr="00A31137" w:rsidRDefault="00A31137" w:rsidP="00A31137">
      <w:r w:rsidRPr="00A31137">
        <w:t>The Court denied application for a stay asking for the removal of a privately placed latino cross on the grounds of the Ohio Statehouse which was to be voluntarily removed the following day.</w:t>
      </w:r>
    </w:p>
    <w:p w:rsidR="00A31137" w:rsidRPr="00A31137" w:rsidRDefault="00A31137" w:rsidP="00A31137">
      <w:r w:rsidRPr="00A31137">
        <w:t>Clinton's Address on the State of the Union, January 25, 1994</w:t>
      </w:r>
    </w:p>
    <w:p w:rsidR="00A31137" w:rsidRPr="00A31137" w:rsidRDefault="00A31137" w:rsidP="00A31137">
      <w:r w:rsidRPr="00A31137">
        <w:t>The President reviews the year and predicts a strong American presence in a changing world.</w:t>
      </w:r>
    </w:p>
    <w:p w:rsidR="00A31137" w:rsidRPr="00A31137" w:rsidRDefault="00A31137" w:rsidP="00A31137">
      <w:r w:rsidRPr="00A31137">
        <w:t>Planned Parenthood of S.E. Pa. v. Casey, 510 U.S. 1309 (1994)</w:t>
      </w:r>
    </w:p>
    <w:p w:rsidR="00A31137" w:rsidRPr="00A31137" w:rsidRDefault="00A31137" w:rsidP="00A31137">
      <w:r w:rsidRPr="00A31137">
        <w:t>Justice Souter refused to grant a stay as the state of Pennsylvania worked through issues of its Abortion Control Act.</w:t>
      </w:r>
    </w:p>
    <w:p w:rsidR="00A31137" w:rsidRPr="00A31137" w:rsidRDefault="00A31137" w:rsidP="00A31137">
      <w:r w:rsidRPr="00A31137">
        <w:t>Oregon Waste Systems, Inc. v. Dept. of Env. Qual., 511 U.S. 93 (1994)</w:t>
      </w:r>
    </w:p>
    <w:p w:rsidR="00A31137" w:rsidRPr="00A31137" w:rsidRDefault="00A31137" w:rsidP="00A31137">
      <w:r w:rsidRPr="00A31137">
        <w:t>The Court overruled an Oregon provision which charged out of state waste disposal customers a higher tax than instate customers calling it a violation of the commerce clause.</w:t>
      </w:r>
    </w:p>
    <w:p w:rsidR="00A31137" w:rsidRPr="00A31137" w:rsidRDefault="00A31137" w:rsidP="00A31137">
      <w:r w:rsidRPr="00A31137">
        <w:t>Clinton's Interview on MTV's "Enough is Enough" Forum, April 19, 1994</w:t>
      </w:r>
    </w:p>
    <w:p w:rsidR="00A31137" w:rsidRPr="00A31137" w:rsidRDefault="00A31137" w:rsidP="00A31137">
      <w:r w:rsidRPr="00A31137">
        <w:t>President Clinton answers candid inquiry from young people including the famous "boxers or briefs" question.</w:t>
      </w:r>
    </w:p>
    <w:p w:rsidR="00A31137" w:rsidRPr="00A31137" w:rsidRDefault="00A31137" w:rsidP="00A31137">
      <w:r w:rsidRPr="00A31137">
        <w:t>Clinton's Remarks Announcing Stephen G. Breyer as Supreme Court Associate</w:t>
      </w:r>
    </w:p>
    <w:p w:rsidR="00A31137" w:rsidRPr="00A31137" w:rsidRDefault="00A31137" w:rsidP="00A31137">
      <w:r w:rsidRPr="00A31137">
        <w:t>Justice Nominee and an Exchange With Reporters, May 13, 1994</w:t>
      </w:r>
    </w:p>
    <w:p w:rsidR="00A31137" w:rsidRPr="00A31137" w:rsidRDefault="00A31137" w:rsidP="00A31137">
      <w:r w:rsidRPr="00A31137">
        <w:t>Following the retirement of  Justice Harry Blackmun, the President nominates the successor to the high court.</w:t>
      </w:r>
    </w:p>
    <w:p w:rsidR="00A31137" w:rsidRPr="00A31137" w:rsidRDefault="00A31137" w:rsidP="00A31137">
      <w:r w:rsidRPr="00A31137">
        <w:t>C &amp; A Carbone, Inc. v. Town of Clarkstown, 511 U.S. 383 (1994)</w:t>
      </w:r>
    </w:p>
    <w:p w:rsidR="00A31137" w:rsidRPr="00A31137" w:rsidRDefault="00A31137" w:rsidP="00A31137">
      <w:r w:rsidRPr="00A31137">
        <w:t>Reversed a law in violation of the commerce clause which forced a recycling company to use town facilities.</w:t>
      </w:r>
    </w:p>
    <w:p w:rsidR="00A31137" w:rsidRPr="00A31137" w:rsidRDefault="00A31137" w:rsidP="00A31137">
      <w:r w:rsidRPr="00A31137">
        <w:t>West Lynn Creamery, Inc. v. Healy, 512 U.S. 186 (1994)</w:t>
      </w:r>
    </w:p>
    <w:p w:rsidR="00A31137" w:rsidRPr="00A31137" w:rsidRDefault="00A31137" w:rsidP="00A31137">
      <w:r w:rsidRPr="00A31137">
        <w:t>The Court struck down a Massachusetts milk law as a violation of the commerce clause.</w:t>
      </w:r>
    </w:p>
    <w:p w:rsidR="00A31137" w:rsidRPr="00A31137" w:rsidRDefault="00A31137" w:rsidP="00A31137">
      <w:r w:rsidRPr="00A31137">
        <w:t>Dolan v. City of Tigard, 512 U.S. 374 (1994)</w:t>
      </w:r>
    </w:p>
    <w:p w:rsidR="00A31137" w:rsidRPr="00A31137" w:rsidRDefault="00A31137" w:rsidP="00A31137">
      <w:r w:rsidRPr="00A31137">
        <w:t>A 5-4 decision reversing an Oregon statute which placed unreasonable restrictions on the use of private property in order to qualify for a building permit.</w:t>
      </w:r>
    </w:p>
    <w:p w:rsidR="00A31137" w:rsidRPr="00A31137" w:rsidRDefault="00A31137" w:rsidP="00A31137">
      <w:r w:rsidRPr="00A31137">
        <w:t>Board of Ed. v. Grumet, 512 U.S. 687 (1994)</w:t>
      </w:r>
    </w:p>
    <w:p w:rsidR="00A31137" w:rsidRPr="00A31137" w:rsidRDefault="00A31137" w:rsidP="00A31137">
      <w:r w:rsidRPr="00A31137">
        <w:t>The Court affirmed that realigning school districts to create a specific religious district violated the establishment clause of the First Amendment.</w:t>
      </w:r>
    </w:p>
    <w:p w:rsidR="00A31137" w:rsidRPr="00A31137" w:rsidRDefault="00A31137" w:rsidP="00A31137">
      <w:r w:rsidRPr="00A31137">
        <w:t>Clinton's Address to the Nation on Haiti, September 18, 1994</w:t>
      </w:r>
    </w:p>
    <w:p w:rsidR="00A31137" w:rsidRPr="00A31137" w:rsidRDefault="00A31137" w:rsidP="00A31137">
      <w:r w:rsidRPr="00A31137">
        <w:t>The President details the rationale for deploying U.S. troops to Haiti to stabilize the government.</w:t>
      </w:r>
    </w:p>
    <w:p w:rsidR="00A31137" w:rsidRPr="00A31137" w:rsidRDefault="00A31137" w:rsidP="00A31137">
      <w:r w:rsidRPr="00A31137">
        <w:t>Clinton's Remarks at the Signing Ceremony for the Israel-Jordan Peace Treaty, October 26, 1994</w:t>
      </w:r>
    </w:p>
    <w:p w:rsidR="00A31137" w:rsidRPr="00A31137" w:rsidRDefault="00A31137" w:rsidP="00A31137">
      <w:r w:rsidRPr="00A31137">
        <w:t>The President honors peace efforts between Prime Minister Rabin of Israel and King Hussein of Jordan.</w:t>
      </w:r>
    </w:p>
    <w:p w:rsidR="00A31137" w:rsidRPr="00A31137" w:rsidRDefault="00A31137" w:rsidP="00A31137">
      <w:r w:rsidRPr="00A31137">
        <w:t>Clinton's Address on the State of the Union, January 24, 1995</w:t>
      </w:r>
    </w:p>
    <w:p w:rsidR="00A31137" w:rsidRPr="00A31137" w:rsidRDefault="00A31137" w:rsidP="00A31137">
      <w:r w:rsidRPr="00A31137">
        <w:t>"We hear you. We will work together to earn the jobs you have given us. For we are the keepers of a sacred trust, and we must be faithful to it in this new and very demanding era."</w:t>
      </w:r>
    </w:p>
    <w:p w:rsidR="00A31137" w:rsidRPr="00A31137" w:rsidRDefault="00A31137" w:rsidP="00A31137">
      <w:r w:rsidRPr="00A31137">
        <w:t>Clinton's Statement on the Baseball Strike, January 26, 1995</w:t>
      </w:r>
    </w:p>
    <w:p w:rsidR="00A31137" w:rsidRPr="00A31137" w:rsidRDefault="00A31137" w:rsidP="00A31137">
      <w:r w:rsidRPr="00A31137">
        <w:t>President Clinton's statement urging a quick solution to the labor negotiations between owners and players to avoid postponing the regular season.</w:t>
      </w:r>
    </w:p>
    <w:p w:rsidR="00A31137" w:rsidRPr="00A31137" w:rsidRDefault="00A31137" w:rsidP="00A31137">
      <w:r w:rsidRPr="00A31137">
        <w:t>Clinton's Remarks on the Oklahoma City Bombing, April 19, 1995</w:t>
      </w:r>
    </w:p>
    <w:p w:rsidR="00A31137" w:rsidRPr="00A31137" w:rsidRDefault="00A31137" w:rsidP="00A31137">
      <w:r w:rsidRPr="00A31137">
        <w:t>The President offers consolation and pledges to find those responsible for the bombing of the Alfred P. Murrah Federal Building in which more than 160 people were killed.</w:t>
      </w:r>
    </w:p>
    <w:p w:rsidR="00A31137" w:rsidRPr="00A31137" w:rsidRDefault="00A31137" w:rsidP="00A31137">
      <w:r w:rsidRPr="00A31137">
        <w:t>United States v. Lopez, No. 93-1260 (1995)</w:t>
      </w:r>
    </w:p>
    <w:p w:rsidR="00A31137" w:rsidRPr="00A31137" w:rsidRDefault="00A31137" w:rsidP="00A31137">
      <w:r w:rsidRPr="00A31137">
        <w:t>The decision held that the Gun Free School Zones Act exceeds the Congress authority to restrict private citizens under the commerce clause.</w:t>
      </w:r>
    </w:p>
    <w:p w:rsidR="00A31137" w:rsidRPr="00A31137" w:rsidRDefault="00A31137" w:rsidP="00A31137">
      <w:r w:rsidRPr="00A31137">
        <w:t>U.S. Term Limits, Inc. v. Thornton, No. 93-1456 (1995)</w:t>
      </w:r>
    </w:p>
    <w:p w:rsidR="00A31137" w:rsidRPr="00A31137" w:rsidRDefault="00A31137" w:rsidP="00A31137">
      <w:r w:rsidRPr="00A31137">
        <w:t>The Court struck down an Arkansas term limitation statute as unconstitutional.</w:t>
      </w:r>
    </w:p>
    <w:p w:rsidR="00A31137" w:rsidRPr="00A31137" w:rsidRDefault="00A31137" w:rsidP="00A31137">
      <w:r w:rsidRPr="00A31137">
        <w:t>Adarand Constructors, Inc. v. Pena, No. 93-1841 (1995)</w:t>
      </w:r>
    </w:p>
    <w:p w:rsidR="00A31137" w:rsidRPr="00A31137" w:rsidRDefault="00A31137" w:rsidP="00A31137">
      <w:r w:rsidRPr="00A31137">
        <w:t>The Court remanded statutes which favored granting building contracts to "socially and economically disadvantaged" businesses finding that…"the Government's use of race-based presumptions in identifying such individuals, violates the equal protection component of the Fifth Amendment's Due Process Clause."</w:t>
      </w:r>
    </w:p>
    <w:p w:rsidR="00A31137" w:rsidRPr="00A31137" w:rsidRDefault="00A31137" w:rsidP="00A31137">
      <w:r w:rsidRPr="00A31137">
        <w:t>Florida Bar v. Went For It, Inc., No. 94-226 (1995)</w:t>
      </w:r>
    </w:p>
    <w:p w:rsidR="00A31137" w:rsidRPr="00A31137" w:rsidRDefault="00A31137" w:rsidP="00A31137">
      <w:r w:rsidRPr="00A31137">
        <w:t>The Court held that Florida Bar rules that prohibit an attorney from sending targeted advertising to potential clients within thirty days of an accident or disaster is not a violation of Fourteenth Amendment rights.</w:t>
      </w:r>
    </w:p>
    <w:p w:rsidR="00A31137" w:rsidRPr="00A31137" w:rsidRDefault="00A31137" w:rsidP="00A31137">
      <w:r w:rsidRPr="00A31137">
        <w:t>Hurley v. Irish-American Gay Group, No. 94-749 (1995)</w:t>
      </w:r>
    </w:p>
    <w:p w:rsidR="00A31137" w:rsidRPr="00A31137" w:rsidRDefault="00A31137" w:rsidP="00A31137">
      <w:r w:rsidRPr="00A31137">
        <w:t>The Court affirmed that exclusion of gay and lesbian groups in a St. Patrick's Day Parade is not a violation of the First Amendment.</w:t>
      </w:r>
    </w:p>
    <w:p w:rsidR="00A31137" w:rsidRPr="00A31137" w:rsidRDefault="00A31137" w:rsidP="00A31137">
      <w:r w:rsidRPr="00A31137">
        <w:t>Rosenberger v. Rector, Univ. of Virginia, No. 94-329 (1995)</w:t>
      </w:r>
    </w:p>
    <w:p w:rsidR="00A31137" w:rsidRPr="00A31137" w:rsidRDefault="00A31137" w:rsidP="00A31137">
      <w:r w:rsidRPr="00A31137">
        <w:t>The decision reversed earlier decisions which had refused payment of printing costs afforded to other groups by a university because of the viewpoint of the paper calling it a violation of the First Amendment.</w:t>
      </w:r>
    </w:p>
    <w:p w:rsidR="00A31137" w:rsidRPr="00A31137" w:rsidRDefault="00A31137" w:rsidP="00A31137">
      <w:r w:rsidRPr="00A31137">
        <w:t>Capitol Square Review &amp; Advisory Board v. Pinette, No. 94-780 (1995)</w:t>
      </w:r>
    </w:p>
    <w:p w:rsidR="00A31137" w:rsidRPr="00A31137" w:rsidRDefault="00A31137" w:rsidP="00A31137">
      <w:r w:rsidRPr="00A31137">
        <w:t>The Court affirmed a lower court decision to allow the Ku Klux Klan the ability to erect a cross on the grounds of the Ohio Statehouse.</w:t>
      </w:r>
    </w:p>
    <w:p w:rsidR="00A31137" w:rsidRPr="00A31137" w:rsidRDefault="00A31137" w:rsidP="00A31137">
      <w:r w:rsidRPr="00A31137">
        <w:t>Clinton's Remarks on the Death of Prime Minister Rabin, November 4, 1995</w:t>
      </w:r>
    </w:p>
    <w:p w:rsidR="00A31137" w:rsidRPr="00A31137" w:rsidRDefault="00A31137" w:rsidP="00A31137">
      <w:r w:rsidRPr="00A31137">
        <w:t>Clinton's remarks following the assassination of the Prime Minister of Israel.</w:t>
      </w:r>
    </w:p>
    <w:p w:rsidR="00A31137" w:rsidRPr="00A31137" w:rsidRDefault="00A31137" w:rsidP="00A31137">
      <w:r w:rsidRPr="00A31137">
        <w:t>Democratic Platform of 1996</w:t>
      </w:r>
    </w:p>
    <w:p w:rsidR="00A31137" w:rsidRPr="00A31137" w:rsidRDefault="00A31137" w:rsidP="00A31137">
      <w:r w:rsidRPr="00A31137">
        <w:t>The Democratic Party plan under incumbent presidential candidate Bill Clinton</w:t>
      </w:r>
    </w:p>
    <w:p w:rsidR="00A31137" w:rsidRPr="00A31137" w:rsidRDefault="00A31137" w:rsidP="00A31137">
      <w:r w:rsidRPr="00A31137">
        <w:t>Republican Platform of 1996</w:t>
      </w:r>
    </w:p>
    <w:p w:rsidR="00A31137" w:rsidRPr="00A31137" w:rsidRDefault="00A31137" w:rsidP="00A31137">
      <w:r w:rsidRPr="00A31137">
        <w:t>The Republican plan under presidential candidate Bob Dole</w:t>
      </w:r>
    </w:p>
    <w:p w:rsidR="00A31137" w:rsidRPr="00A31137" w:rsidRDefault="00A31137" w:rsidP="00A31137">
      <w:r w:rsidRPr="00A31137">
        <w:t>Clinton's Address on the State of the Union, January 23, 1996</w:t>
      </w:r>
    </w:p>
    <w:p w:rsidR="00A31137" w:rsidRPr="00A31137" w:rsidRDefault="00A31137" w:rsidP="00A31137">
      <w:r w:rsidRPr="00A31137">
        <w:t>The President reviews the year, hailing the strong economy and the need for confidence in the future.</w:t>
      </w:r>
    </w:p>
    <w:p w:rsidR="00A31137" w:rsidRPr="00A31137" w:rsidRDefault="00A31137" w:rsidP="00A31137">
      <w:r w:rsidRPr="00A31137">
        <w:t>Bennis v. Michigan, No. 94-8729 (1996)</w:t>
      </w:r>
    </w:p>
    <w:p w:rsidR="00A31137" w:rsidRPr="00A31137" w:rsidRDefault="00A31137" w:rsidP="00A31137">
      <w:r w:rsidRPr="00A31137">
        <w:t>The Court upheld the taking of a jointly owned automobile used by one of the owners in committing violations otherwise punishable by confiscation.</w:t>
      </w:r>
    </w:p>
    <w:p w:rsidR="00A31137" w:rsidRPr="00A31137" w:rsidRDefault="00A31137" w:rsidP="00A31137">
      <w:r w:rsidRPr="00A31137">
        <w:t>Seminole Tribe of Florida v. Florida, No. 94-12 (1996)</w:t>
      </w:r>
    </w:p>
    <w:p w:rsidR="00A31137" w:rsidRPr="00A31137" w:rsidRDefault="00A31137" w:rsidP="00A31137">
      <w:r w:rsidRPr="00A31137">
        <w:t>The decision helped define the rights of states and the extent of the powers of the Congress in terms of the Eleventh Amendment in a case rooted in the Indian Gaming Regulatory Act.</w:t>
      </w:r>
    </w:p>
    <w:p w:rsidR="00A31137" w:rsidRPr="00A31137" w:rsidRDefault="00A31137" w:rsidP="00A31137">
      <w:r w:rsidRPr="00A31137">
        <w:t>Morse v. Republican Party of Virginia, No. 94-203 (1996)</w:t>
      </w:r>
    </w:p>
    <w:p w:rsidR="00A31137" w:rsidRPr="00A31137" w:rsidRDefault="00A31137" w:rsidP="00A31137">
      <w:r w:rsidRPr="00A31137">
        <w:t>Charging delegates to a convention a registration fee in order to participate and vote is ruled a poll tax and in violation of the Voting Rights Act.</w:t>
      </w:r>
    </w:p>
    <w:p w:rsidR="00A31137" w:rsidRPr="00A31137" w:rsidRDefault="00A31137" w:rsidP="00A31137">
      <w:r w:rsidRPr="00A31137">
        <w:t>Clinton's Statement on Signing the Line Item Veto Act, April 9, 1996</w:t>
      </w:r>
    </w:p>
    <w:p w:rsidR="00A31137" w:rsidRPr="00A31137" w:rsidRDefault="00A31137" w:rsidP="00A31137">
      <w:r w:rsidRPr="00A31137">
        <w:t>In a bi-partisan effort to enable the President to eliminate unwanted legislation from a larger bill, the President signs the executive ability into effect.  The legislation would later be determined unconstitutional by the Supreme Court.</w:t>
      </w:r>
    </w:p>
    <w:p w:rsidR="00A31137" w:rsidRPr="00A31137" w:rsidRDefault="00A31137" w:rsidP="00A31137">
      <w:r w:rsidRPr="00A31137">
        <w:t>Liquormart, Inc. v. Rhode Island, No. 94-1140 (1996)</w:t>
      </w:r>
    </w:p>
    <w:p w:rsidR="00A31137" w:rsidRPr="00A31137" w:rsidRDefault="00A31137" w:rsidP="00A31137">
      <w:r w:rsidRPr="00A31137">
        <w:t>The Court struck down a ban on advertising Massachusetts liquor prices only at the point of sale. Thus allowing the liquor prices to be advertised in Rhode Island where most of the patrons to the store lived.</w:t>
      </w:r>
    </w:p>
    <w:p w:rsidR="00A31137" w:rsidRPr="00A31137" w:rsidRDefault="00A31137" w:rsidP="00A31137">
      <w:r w:rsidRPr="00A31137">
        <w:t>Romer v. Evans, No. 94-1039 (1996)</w:t>
      </w:r>
    </w:p>
    <w:p w:rsidR="00A31137" w:rsidRPr="00A31137" w:rsidRDefault="00A31137" w:rsidP="00A31137">
      <w:r w:rsidRPr="00A31137">
        <w:t>The Supreme Court held that an Amendment to the Colorado state constitution which prohibited any legislative, judicial or executive action based on sexual orientation violated the equal protection clause of the Fourteenth Amendment and was unconstitutional.</w:t>
      </w:r>
    </w:p>
    <w:p w:rsidR="00A31137" w:rsidRPr="00A31137" w:rsidRDefault="00A31137" w:rsidP="00A31137">
      <w:r w:rsidRPr="00A31137">
        <w:t>BMW of North America, Inc. v. Gore, No. 94-896 (1996)</w:t>
      </w:r>
    </w:p>
    <w:p w:rsidR="00A31137" w:rsidRPr="00A31137" w:rsidRDefault="00A31137" w:rsidP="00A31137">
      <w:r w:rsidRPr="00A31137">
        <w:t>The decision reversed a decision granting four million dollars in damages to a car owner who was not informed by the dealer that his car had been damaged in shipping and repaired without his knowledge.</w:t>
      </w:r>
    </w:p>
    <w:p w:rsidR="00A31137" w:rsidRPr="00A31137" w:rsidRDefault="00A31137" w:rsidP="00A31137">
      <w:r w:rsidRPr="00A31137">
        <w:t>Bush v. Vera, No. 94-805 (1996)</w:t>
      </w:r>
    </w:p>
    <w:p w:rsidR="00A31137" w:rsidRPr="00A31137" w:rsidRDefault="00A31137" w:rsidP="00A31137">
      <w:r w:rsidRPr="00A31137">
        <w:t>Affirmed that voting districts created in Texas which were aligned according to race do not meet the "strict scrutiny" standards and thus violate the Fourteenth Amendment.</w:t>
      </w:r>
    </w:p>
    <w:p w:rsidR="00A31137" w:rsidRPr="00A31137" w:rsidRDefault="00A31137" w:rsidP="00A31137">
      <w:r w:rsidRPr="00A31137">
        <w:t>Shaw v. Hunt, No. 94-923 (1996)</w:t>
      </w:r>
    </w:p>
    <w:p w:rsidR="00A31137" w:rsidRPr="00A31137" w:rsidRDefault="00A31137" w:rsidP="00A31137">
      <w:r w:rsidRPr="00A31137">
        <w:t>The Court affirmed that racial redistricting met the "strict scrutiny" standards and thus did not violate the Fourteenth Amendment as he state attempted to more fully comply with the Voting Rights Act of 1965.</w:t>
      </w:r>
    </w:p>
    <w:p w:rsidR="00A31137" w:rsidRPr="00A31137" w:rsidRDefault="00A31137" w:rsidP="00A31137">
      <w:r w:rsidRPr="00A31137">
        <w:t>Clinton's Remarks Announcing the Establishment of the Grand Staircase-Escalante National Monument at Grand Canyon National Park, Arizona, September 18, 1996</w:t>
      </w:r>
    </w:p>
    <w:p w:rsidR="00A31137" w:rsidRPr="00A31137" w:rsidRDefault="00A31137" w:rsidP="00A31137">
      <w:r w:rsidRPr="00A31137">
        <w:t>The President details his rationale for creating the National Monument.</w:t>
      </w:r>
    </w:p>
    <w:p w:rsidR="00A31137" w:rsidRPr="00A31137" w:rsidRDefault="00A31137" w:rsidP="00A31137">
      <w:r w:rsidRPr="00A31137">
        <w:t>Clinton's Remarks at a Victory Celebration in Little Rock, Arkansas, November 5, 1996</w:t>
      </w:r>
    </w:p>
    <w:p w:rsidR="00A31137" w:rsidRPr="00A31137" w:rsidRDefault="00A31137" w:rsidP="00A31137">
      <w:r w:rsidRPr="00A31137">
        <w:t>Following his presidential election victory over Bob Dole, the President thanks his supporters and talks of the future.</w:t>
      </w:r>
    </w:p>
    <w:p w:rsidR="00A31137" w:rsidRPr="00A31137" w:rsidRDefault="00A31137" w:rsidP="00A31137">
      <w:r w:rsidRPr="00A31137">
        <w:t>M.L.B. v. S.L.J., No. 95-853 (1996)</w:t>
      </w:r>
    </w:p>
    <w:p w:rsidR="00A31137" w:rsidRPr="00A31137" w:rsidRDefault="00A31137" w:rsidP="00A31137">
      <w:r w:rsidRPr="00A31137">
        <w:t>The Court ruled that a Mississippi statute removing a mother's parental rights because of her lack of ability to pay a preparation fee violated her due process rights of the Fifth and Fourteenth Amendments.</w:t>
      </w:r>
    </w:p>
    <w:p w:rsidR="00A31137" w:rsidRPr="00A31137" w:rsidRDefault="00A31137" w:rsidP="00A31137">
      <w:r w:rsidRPr="00A31137">
        <w:t>United States v. Watts, No. 95-1906</w:t>
      </w:r>
    </w:p>
    <w:p w:rsidR="00A31137" w:rsidRPr="00A31137" w:rsidRDefault="00A31137" w:rsidP="00A31137">
      <w:r w:rsidRPr="00A31137">
        <w:t>The Court held that prior proceedings, even if the defendant was acquitted may be used in determining sentencing.</w:t>
      </w:r>
    </w:p>
    <w:p w:rsidR="00A31137" w:rsidRPr="00A31137" w:rsidRDefault="00A31137" w:rsidP="00A31137">
      <w:r w:rsidRPr="00A31137">
        <w:t>William J. Clinton's Second Inaugural Address, January 20, 1997</w:t>
      </w:r>
    </w:p>
    <w:p w:rsidR="00A31137" w:rsidRPr="00A31137" w:rsidRDefault="00A31137" w:rsidP="00A31137">
      <w:r w:rsidRPr="00A31137">
        <w:t>"We must keep our old democracy forever young. Guided by the ancient vision of a promised land, let us set our sights upon a land of new promise." Clinton details his hopes for the next four years.</w:t>
      </w:r>
    </w:p>
    <w:p w:rsidR="00A31137" w:rsidRPr="00A31137" w:rsidRDefault="00A31137" w:rsidP="00A31137">
      <w:r w:rsidRPr="00A31137">
        <w:t>Clinton's Address on the State of the Union, February 4, 1997</w:t>
      </w:r>
    </w:p>
    <w:p w:rsidR="00A31137" w:rsidRPr="00A31137" w:rsidRDefault="00A31137" w:rsidP="00A31137">
      <w:r w:rsidRPr="00A31137">
        <w:t>The President sets his agenda for the coming years at the beginning of his second term, stressing there is much work to be done and that our enemy in this time is inaction.</w:t>
      </w:r>
    </w:p>
    <w:p w:rsidR="00A31137" w:rsidRPr="00A31137" w:rsidRDefault="00A31137" w:rsidP="00A31137">
      <w:r w:rsidRPr="00A31137">
        <w:t>Declaration of San Jose, May 8, 1997</w:t>
      </w:r>
    </w:p>
    <w:p w:rsidR="00A31137" w:rsidRPr="00A31137" w:rsidRDefault="00A31137" w:rsidP="00A31137">
      <w:r w:rsidRPr="00A31137">
        <w:t>A declaration of solidarity between the U.S., and Central America for continued democracy and mutual security.</w:t>
      </w:r>
    </w:p>
    <w:p w:rsidR="00A31137" w:rsidRPr="00A31137" w:rsidRDefault="00A31137" w:rsidP="00A31137">
      <w:r w:rsidRPr="00A31137">
        <w:t>Clinton's Statement on Signing the Balanced Budget Act of 1997, August 5, 1997</w:t>
      </w:r>
    </w:p>
    <w:p w:rsidR="00A31137" w:rsidRPr="00A31137" w:rsidRDefault="00A31137" w:rsidP="00A31137">
      <w:r w:rsidRPr="00A31137">
        <w:t>The President makes statements on legislation that will balance the federal budget and reverse the budget deficit.</w:t>
      </w:r>
    </w:p>
    <w:p w:rsidR="00A31137" w:rsidRPr="00A31137" w:rsidRDefault="00A31137" w:rsidP="00A31137">
      <w:r w:rsidRPr="00A31137">
        <w:t>Clinton's Statement on National Education Standards, January 8, 1998</w:t>
      </w:r>
    </w:p>
    <w:p w:rsidR="00A31137" w:rsidRPr="00A31137" w:rsidRDefault="00A31137" w:rsidP="00A31137">
      <w:r w:rsidRPr="00A31137">
        <w:t>The President reaffirms his commitment to establishing baseline national education standards.</w:t>
      </w:r>
    </w:p>
    <w:p w:rsidR="00A31137" w:rsidRPr="00A31137" w:rsidRDefault="00A31137" w:rsidP="00A31137">
      <w:r w:rsidRPr="00A31137">
        <w:t>Clinton's Remarks on the After-School Child Care Initiative, January 26, 1998</w:t>
      </w:r>
    </w:p>
    <w:p w:rsidR="00A31137" w:rsidRPr="00A31137" w:rsidRDefault="00A31137" w:rsidP="00A31137">
      <w:r w:rsidRPr="00A31137">
        <w:t>The statement made famous because of the President's strong denial of his relationship with Monica Lewinsky.</w:t>
      </w:r>
    </w:p>
    <w:p w:rsidR="00A31137" w:rsidRPr="00A31137" w:rsidRDefault="00A31137" w:rsidP="00A31137">
      <w:r w:rsidRPr="00A31137">
        <w:t>Clinton's Address on the State of the Union, January 27, 1998</w:t>
      </w:r>
    </w:p>
    <w:p w:rsidR="00A31137" w:rsidRPr="00A31137" w:rsidRDefault="00A31137" w:rsidP="00A31137">
      <w:r w:rsidRPr="00A31137">
        <w:t>The President details policies to take this country into the next millennium.</w:t>
      </w:r>
    </w:p>
    <w:p w:rsidR="00A31137" w:rsidRPr="00A31137" w:rsidRDefault="00A31137" w:rsidP="00A31137">
      <w:r w:rsidRPr="00A31137">
        <w:t>Clinton's BBC Interview with Prime Minister Tony Blair, May 16, 1998</w:t>
      </w:r>
    </w:p>
    <w:p w:rsidR="00A31137" w:rsidRPr="00A31137" w:rsidRDefault="00A31137" w:rsidP="00A31137">
      <w:r w:rsidRPr="00A31137">
        <w:t>The President and the British Prime Minister detail their policies and efforts for peace in Ireland.</w:t>
      </w:r>
    </w:p>
    <w:p w:rsidR="00A31137" w:rsidRPr="00A31137" w:rsidRDefault="00A31137" w:rsidP="00A31137">
      <w:r w:rsidRPr="00A31137">
        <w:t>Clinton's News Conference with President Jiang in Beijing, June 27, 1998</w:t>
      </w:r>
    </w:p>
    <w:p w:rsidR="00A31137" w:rsidRPr="00A31137" w:rsidRDefault="00A31137" w:rsidP="00A31137">
      <w:r w:rsidRPr="00A31137">
        <w:t>The Presidents of China and the U.S. clarify their country's position on a variety of issues.</w:t>
      </w:r>
    </w:p>
    <w:p w:rsidR="00A31137" w:rsidRPr="00A31137" w:rsidRDefault="00A31137" w:rsidP="00A31137">
      <w:r w:rsidRPr="00A31137">
        <w:t>Clinton's Remarks with Students at Beijing University, June 29, 1998</w:t>
      </w:r>
    </w:p>
    <w:p w:rsidR="00A31137" w:rsidRPr="00A31137" w:rsidRDefault="00A31137" w:rsidP="00A31137">
      <w:r w:rsidRPr="00A31137">
        <w:t>The President takes advantage of the chance to explain U.S. policy in response to questions from Chinese university students</w:t>
      </w:r>
    </w:p>
    <w:p w:rsidR="00A31137" w:rsidRPr="00A31137" w:rsidRDefault="00A31137" w:rsidP="00A31137">
      <w:r w:rsidRPr="00A31137">
        <w:t>Clinton's Address to the Nation on Testimony Before the Independent Counsel's Grand Jury, August 17, 1998</w:t>
      </w:r>
    </w:p>
    <w:p w:rsidR="00A31137" w:rsidRPr="00A31137" w:rsidRDefault="00A31137" w:rsidP="00A31137">
      <w:r w:rsidRPr="00A31137">
        <w:t>The President's four minute speech following his hours of video-taped testimony before the Grand Jury investigating him.</w:t>
      </w:r>
    </w:p>
    <w:p w:rsidR="00A31137" w:rsidRPr="00A31137" w:rsidRDefault="00A31137" w:rsidP="00A31137">
      <w:r w:rsidRPr="00A31137">
        <w:t>Clinton's Address on the State of the Union, January 19, 1999</w:t>
      </w:r>
    </w:p>
    <w:p w:rsidR="00A31137" w:rsidRPr="00A31137" w:rsidRDefault="00A31137" w:rsidP="00A31137">
      <w:r w:rsidRPr="00A31137">
        <w:t>The President details policies to take this country into the next millennium.</w:t>
      </w:r>
    </w:p>
    <w:p w:rsidR="00A31137" w:rsidRPr="00A31137" w:rsidRDefault="00A31137" w:rsidP="00A31137">
      <w:r w:rsidRPr="00A31137">
        <w:t>Clinton's Radio Address to the People of Kosovo, May 27, 1999</w:t>
      </w:r>
    </w:p>
    <w:p w:rsidR="00A31137" w:rsidRPr="00A31137" w:rsidRDefault="00A31137" w:rsidP="00A31137">
      <w:r w:rsidRPr="00A31137">
        <w:t>The President's "message of hope and solidarity to the Kosovar people."</w:t>
      </w:r>
    </w:p>
    <w:p w:rsidR="00A31137" w:rsidRPr="00A31137" w:rsidRDefault="00A31137" w:rsidP="00A31137"/>
    <w:p w:rsidR="00A31137" w:rsidRPr="00A31137" w:rsidRDefault="00A31137" w:rsidP="00A31137"/>
    <w:p w:rsidR="00A31137" w:rsidRPr="00A31137" w:rsidRDefault="00A31137" w:rsidP="00A31137">
      <w:r w:rsidRPr="00A31137">
        <w:t>Democratic Platform of 1980</w:t>
      </w:r>
    </w:p>
    <w:p w:rsidR="00A31137" w:rsidRPr="00A31137" w:rsidRDefault="00A31137" w:rsidP="00A31137">
      <w:r w:rsidRPr="00A31137">
        <w:t>Title:</w:t>
      </w:r>
      <w:r w:rsidRPr="00A31137">
        <w:tab/>
        <w:t>Democratic Platform of 1980</w:t>
      </w:r>
    </w:p>
    <w:p w:rsidR="00A31137" w:rsidRPr="00A31137" w:rsidRDefault="00A31137" w:rsidP="00A31137">
      <w:r w:rsidRPr="00A31137">
        <w:t>Author:</w:t>
      </w:r>
      <w:r w:rsidRPr="00A31137">
        <w:tab/>
        <w:t>Democratic Party</w:t>
      </w:r>
    </w:p>
    <w:p w:rsidR="00A31137" w:rsidRPr="00A31137" w:rsidRDefault="00A31137" w:rsidP="00A31137">
      <w:r w:rsidRPr="00A31137">
        <w:t>Date:</w:t>
      </w:r>
      <w:r w:rsidRPr="00A31137">
        <w:tab/>
        <w:t>1980</w:t>
      </w:r>
    </w:p>
    <w:p w:rsidR="00A31137" w:rsidRPr="00A31137" w:rsidRDefault="00A31137" w:rsidP="00A31137">
      <w:r w:rsidRPr="00A31137">
        <w:t>Source:</w:t>
      </w:r>
      <w:r w:rsidRPr="00A31137">
        <w:tab/>
        <w:t>1980 Democratic Party Platform Booklet</w:t>
      </w:r>
    </w:p>
    <w:p w:rsidR="00A31137" w:rsidRPr="00A31137" w:rsidRDefault="00A31137" w:rsidP="00A31137">
      <w:r w:rsidRPr="00A31137">
        <w:t>Preamble</w:t>
      </w:r>
    </w:p>
    <w:p w:rsidR="00A31137" w:rsidRPr="00A31137" w:rsidRDefault="00A31137" w:rsidP="00A31137">
      <w:r w:rsidRPr="00A31137">
        <w:t>1980 Democratic Platform, p.1</w:t>
      </w:r>
    </w:p>
    <w:p w:rsidR="00A31137" w:rsidRPr="00A31137" w:rsidRDefault="00A31137" w:rsidP="00A31137">
      <w:r w:rsidRPr="00A31137">
        <w:t>In its third century, America faces great challenges and an uncertain future. The decade that America now enters presents us with decisions as monumental and fundamental as those we faced during the Civil War, during two World Wars, and during the Great Depression. Our current task is different from each of these historic challenges. But in many ways the challenge is the same: to marshall the talents and spirit of the American people, to harness our enormous resources, and to face the future with confidence and hope.</w:t>
      </w:r>
    </w:p>
    <w:p w:rsidR="00A31137" w:rsidRPr="00A31137" w:rsidRDefault="00A31137" w:rsidP="00A31137">
      <w:r w:rsidRPr="00A31137">
        <w:t>1980 Democratic Platform, p.1</w:t>
      </w:r>
    </w:p>
    <w:p w:rsidR="00A31137" w:rsidRPr="00A31137" w:rsidRDefault="00A31137" w:rsidP="00A31137">
      <w:r w:rsidRPr="00A31137">
        <w:t>The task now before us is as global as the worldwide energy shortage, and as local as the plight of children in Appalachia. It reaches from the condition of older Eastern cities and the industries of the snowbelt, to the complex new demands of our sunbelt region and the special needs of our Western states. It is as basic as the entitlement of minorities and women to real equality in every aspect of the nation's life. It is as immediate as the refugee crisis in Miami and the natural disaster at Mount St. Helens. It is as futuristic as the exploration of space and the oceans. It is as idealistic as the spirit of liberty which imbues our Constitution. It requires nothing less than a continued dedication to Democratic principles by each element in our society—government, business, labor, and every citizen—to the promise and potential of our nation.</w:t>
      </w:r>
    </w:p>
    <w:p w:rsidR="00A31137" w:rsidRPr="00A31137" w:rsidRDefault="00A31137" w:rsidP="00A31137">
      <w:r w:rsidRPr="00A31137">
        <w:t>1980 Democratic Platform, p.1</w:t>
      </w:r>
    </w:p>
    <w:p w:rsidR="00A31137" w:rsidRPr="00A31137" w:rsidRDefault="00A31137" w:rsidP="00A31137">
      <w:r w:rsidRPr="00A31137">
        <w:t>We live in a time when effective policy requires an understanding of the web of competing values and interests which exist in our country. We must combine compassion with self-discipline. We must forego simplistic answers for long-term solutions to our problems.</w:t>
      </w:r>
    </w:p>
    <w:p w:rsidR="00A31137" w:rsidRPr="00A31137" w:rsidRDefault="00A31137" w:rsidP="00A31137">
      <w:r w:rsidRPr="00A31137">
        <w:t>1980 Democratic Platform, p.1</w:t>
      </w:r>
    </w:p>
    <w:p w:rsidR="00A31137" w:rsidRPr="00A31137" w:rsidRDefault="00A31137" w:rsidP="00A31137">
      <w:r w:rsidRPr="00A31137">
        <w:t>With the Republican leadership closing its eyes to the realities of our time and running for the Presidency on a program of the easy answer, of the pleasant-sounding political promise, it is time to take a page from Adlai Stevenson's 1952 presidential campaign—it is time "to talk sense to the American people." It is time to talk bluntly and candidly about our problems and our proposed solutions; to face up to our problems and respond to them.</w:t>
      </w:r>
    </w:p>
    <w:p w:rsidR="00A31137" w:rsidRPr="00A31137" w:rsidRDefault="00A31137" w:rsidP="00A31137">
      <w:r w:rsidRPr="00A31137">
        <w:t>1980 Democratic Platform, p.1</w:t>
      </w:r>
    </w:p>
    <w:p w:rsidR="00A31137" w:rsidRPr="00A31137" w:rsidRDefault="00A31137" w:rsidP="00A31137">
      <w:r w:rsidRPr="00A31137">
        <w:t>If we fail in this important task…if we fail to lay the issues squarely before the American people, we could well allow the federal government to revert to four years of Republicanism—neglect of the poor and disadvantaged, disdain for working men and women, compassion only for the rich and the privileged, failure to meet the challenges of energy, inflation and unemployment, and a breakdown of the partnership among local, state and federal governments. We as Democrats must not let this happen.</w:t>
      </w:r>
    </w:p>
    <w:p w:rsidR="00A31137" w:rsidRPr="00A31137" w:rsidRDefault="00A31137" w:rsidP="00A31137">
      <w:r w:rsidRPr="00A31137">
        <w:t>1980 Democratic Platform, p.1</w:t>
      </w:r>
    </w:p>
    <w:p w:rsidR="00A31137" w:rsidRPr="00A31137" w:rsidRDefault="00A31137" w:rsidP="00A31137">
      <w:r w:rsidRPr="00A31137">
        <w:t>After nearly four years in office, we Democrats have not solved all of America's problems.</w:t>
      </w:r>
    </w:p>
    <w:p w:rsidR="00A31137" w:rsidRPr="00A31137" w:rsidRDefault="00A31137" w:rsidP="00A31137">
      <w:r w:rsidRPr="00A31137">
        <w:t>1980 Democratic Platform, p.1</w:t>
      </w:r>
    </w:p>
    <w:p w:rsidR="00A31137" w:rsidRPr="00A31137" w:rsidRDefault="00A31137" w:rsidP="00A31137">
      <w:r w:rsidRPr="00A31137">
        <w:t>Most of these problems we inherited. Eight years of Republican politics left this nation weak, rudderless, unrespected and deeply divided.</w:t>
      </w:r>
    </w:p>
    <w:p w:rsidR="00A31137" w:rsidRPr="00A31137" w:rsidRDefault="00A31137" w:rsidP="00A31137">
      <w:r w:rsidRPr="00A31137">
        <w:t>1980 Democratic Platform, p.1</w:t>
      </w:r>
    </w:p>
    <w:p w:rsidR="00A31137" w:rsidRPr="00A31137" w:rsidRDefault="00A31137" w:rsidP="00A31137">
      <w:r w:rsidRPr="00A31137">
        <w:t>As a result of this legacy, despite our progress, inflation still erodes the standard of living of every American.</w:t>
      </w:r>
    </w:p>
    <w:p w:rsidR="00A31137" w:rsidRPr="00A31137" w:rsidRDefault="00A31137" w:rsidP="00A31137">
      <w:r w:rsidRPr="00A31137">
        <w:t>1980 Democratic Platform, p.1</w:t>
      </w:r>
    </w:p>
    <w:p w:rsidR="00A31137" w:rsidRPr="00A31137" w:rsidRDefault="00A31137" w:rsidP="00A31137">
      <w:r w:rsidRPr="00A31137">
        <w:t>As a result of this legacy, despite our progress, too many Americans are out of work.</w:t>
      </w:r>
    </w:p>
    <w:p w:rsidR="00A31137" w:rsidRPr="00A31137" w:rsidRDefault="00A31137" w:rsidP="00A31137">
      <w:r w:rsidRPr="00A31137">
        <w:t>1980 Democratic Platform, p.1</w:t>
      </w:r>
    </w:p>
    <w:p w:rsidR="00A31137" w:rsidRPr="00A31137" w:rsidRDefault="00A31137" w:rsidP="00A31137">
      <w:r w:rsidRPr="00A31137">
        <w:t>As a result of this legacy, despite our progress, complete equality for all citizens has yet to be achieved.</w:t>
      </w:r>
    </w:p>
    <w:p w:rsidR="00A31137" w:rsidRPr="00A31137" w:rsidRDefault="00A31137" w:rsidP="00A31137">
      <w:r w:rsidRPr="00A31137">
        <w:t>1980 Democratic Platform, p.1</w:t>
      </w:r>
    </w:p>
    <w:p w:rsidR="00A31137" w:rsidRPr="00A31137" w:rsidRDefault="00A31137" w:rsidP="00A31137">
      <w:r w:rsidRPr="00A31137">
        <w:t>As a result of this legacy, despite our progress, we still live in a very dangerous world, where competing ideologies and age-old animosities daily threaten the peace.</w:t>
      </w:r>
    </w:p>
    <w:p w:rsidR="00A31137" w:rsidRPr="00A31137" w:rsidRDefault="00A31137" w:rsidP="00A31137">
      <w:r w:rsidRPr="00A31137">
        <w:t>1980 Democratic Platform, p.1</w:t>
      </w:r>
    </w:p>
    <w:p w:rsidR="00A31137" w:rsidRPr="00A31137" w:rsidRDefault="00A31137" w:rsidP="00A31137">
      <w:r w:rsidRPr="00A31137">
        <w:t>As a result of this legacy, our nation is still subject to the oil pricing and production decisions of foreign countries.</w:t>
      </w:r>
    </w:p>
    <w:p w:rsidR="00A31137" w:rsidRPr="00A31137" w:rsidRDefault="00A31137" w:rsidP="00A31137">
      <w:r w:rsidRPr="00A31137">
        <w:t>1980 Democratic Platform, p.1</w:t>
      </w:r>
    </w:p>
    <w:p w:rsidR="00A31137" w:rsidRPr="00A31137" w:rsidRDefault="00A31137" w:rsidP="00A31137">
      <w:r w:rsidRPr="00A31137">
        <w:t>We will not run from these problems, nor will we fail. The record of the past four years is a testament to what the Democrats can do working together.</w:t>
      </w:r>
    </w:p>
    <w:p w:rsidR="00A31137" w:rsidRPr="00A31137" w:rsidRDefault="00A31137" w:rsidP="00A31137">
      <w:r w:rsidRPr="00A31137">
        <w:t>1980 Democratic Platform, p.1</w:t>
      </w:r>
    </w:p>
    <w:p w:rsidR="00A31137" w:rsidRPr="00A31137" w:rsidRDefault="00A31137" w:rsidP="00A31137">
      <w:r w:rsidRPr="00A31137">
        <w:t>Time and time again in these past four years, a Democratic Congress and a Democratic President proved that they were willing to make the tough decisions.</w:t>
      </w:r>
    </w:p>
    <w:p w:rsidR="00A31137" w:rsidRPr="00A31137" w:rsidRDefault="00A31137" w:rsidP="00A31137">
      <w:r w:rsidRPr="00A31137">
        <w:t>1980 Democratic Platform, p.2</w:t>
      </w:r>
    </w:p>
    <w:p w:rsidR="00A31137" w:rsidRPr="00A31137" w:rsidRDefault="00A31137" w:rsidP="00A31137">
      <w:r w:rsidRPr="00A31137">
        <w:t xml:space="preserve">Today, because of that Democratic partnership, we are a stronger nation.[p.2] </w:t>
      </w:r>
    </w:p>
    <w:p w:rsidR="00A31137" w:rsidRPr="00A31137" w:rsidRDefault="00A31137" w:rsidP="00A31137">
      <w:r w:rsidRPr="00A31137">
        <w:t>1980 Democratic Platform, p.2</w:t>
      </w:r>
    </w:p>
    <w:p w:rsidR="00A31137" w:rsidRPr="00A31137" w:rsidRDefault="00A31137" w:rsidP="00A31137">
      <w:r w:rsidRPr="00A31137">
        <w:t>Today, because of that Democratic partnership, we are at peace.</w:t>
      </w:r>
    </w:p>
    <w:p w:rsidR="00A31137" w:rsidRPr="00A31137" w:rsidRDefault="00A31137" w:rsidP="00A31137">
      <w:r w:rsidRPr="00A31137">
        <w:t>1980 Democratic Platform, p.2</w:t>
      </w:r>
    </w:p>
    <w:p w:rsidR="00A31137" w:rsidRPr="00A31137" w:rsidRDefault="00A31137" w:rsidP="00A31137">
      <w:r w:rsidRPr="00A31137">
        <w:t>Today, because of that Democratic partnership, we are a more just nation.</w:t>
      </w:r>
    </w:p>
    <w:p w:rsidR="00A31137" w:rsidRPr="00A31137" w:rsidRDefault="00A31137" w:rsidP="00A31137">
      <w:r w:rsidRPr="00A31137">
        <w:t>1980 Democratic Platform, p.2</w:t>
      </w:r>
    </w:p>
    <w:p w:rsidR="00A31137" w:rsidRPr="00A31137" w:rsidRDefault="00A31137" w:rsidP="00A31137">
      <w:r w:rsidRPr="00A31137">
        <w:t>Today, because of that Democratic partnership, honor and truth and integrity have been restored to our government and to our political process.</w:t>
      </w:r>
    </w:p>
    <w:p w:rsidR="00A31137" w:rsidRPr="00A31137" w:rsidRDefault="00A31137" w:rsidP="00A31137">
      <w:r w:rsidRPr="00A31137">
        <w:t>1980 Democratic Platform, p.2</w:t>
      </w:r>
    </w:p>
    <w:p w:rsidR="00A31137" w:rsidRPr="00A31137" w:rsidRDefault="00A31137" w:rsidP="00A31137">
      <w:r w:rsidRPr="00A31137">
        <w:t>And so this party looks to the future with determination and confidence.</w:t>
      </w:r>
    </w:p>
    <w:p w:rsidR="00A31137" w:rsidRPr="00A31137" w:rsidRDefault="00A31137" w:rsidP="00A31137">
      <w:r w:rsidRPr="00A31137">
        <w:t>1980 Democratic Platform, p.2</w:t>
      </w:r>
    </w:p>
    <w:p w:rsidR="00A31137" w:rsidRPr="00A31137" w:rsidRDefault="00A31137" w:rsidP="00A31137">
      <w:r w:rsidRPr="00A31137">
        <w:t>We have been and we shall remain the party of all Americans. We seek solutions that not only meet the needs of the many, but reaffirm our commitment to improve the conditions of the least fortunate in our society.</w:t>
      </w:r>
    </w:p>
    <w:p w:rsidR="00A31137" w:rsidRPr="00A31137" w:rsidRDefault="00A31137" w:rsidP="00A31137">
      <w:r w:rsidRPr="00A31137">
        <w:t>1980 Democratic Platform, p.2</w:t>
      </w:r>
    </w:p>
    <w:p w:rsidR="00A31137" w:rsidRPr="00A31137" w:rsidRDefault="00A31137" w:rsidP="00A31137">
      <w:r w:rsidRPr="00A31137">
        <w:t>In this platform we offer programs and solutions that represent our dedication to Democratic principles. They define a spirit as well as a program…a set of beliefs as well as a set of ideas. Time and events may alter their priority or prospects. But nothing will alter the defining spirit and values of thee Democratic Party.</w:t>
      </w:r>
    </w:p>
    <w:p w:rsidR="00A31137" w:rsidRPr="00A31137" w:rsidRDefault="00A31137" w:rsidP="00A31137">
      <w:r w:rsidRPr="00A31137">
        <w:t>1980 Democratic Platform, p.2</w:t>
      </w:r>
    </w:p>
    <w:p w:rsidR="00A31137" w:rsidRPr="00A31137" w:rsidRDefault="00A31137" w:rsidP="00A31137">
      <w:r w:rsidRPr="00A31137">
        <w:t>The platform of the Democratic Party is a contract with the people. We believe that accountability for Democratic principles goes hand in hand with dedication to those principles. The Democratic Party is proud of its historic heritage of commitment to the people of America. Fulfilling this platform will permit us to keep faith with that tradition.</w:t>
      </w:r>
    </w:p>
    <w:p w:rsidR="00A31137" w:rsidRPr="00A31137" w:rsidRDefault="00A31137" w:rsidP="00A31137">
      <w:r w:rsidRPr="00A31137">
        <w:t>Chapter I: The Economy</w:t>
      </w:r>
    </w:p>
    <w:p w:rsidR="00A31137" w:rsidRPr="00A31137" w:rsidRDefault="00A31137" w:rsidP="00A31137">
      <w:r w:rsidRPr="00A31137">
        <w:t>A Commitment to Economic Fairness</w:t>
      </w:r>
    </w:p>
    <w:p w:rsidR="00A31137" w:rsidRPr="00A31137" w:rsidRDefault="00A31137" w:rsidP="00A31137">
      <w:r w:rsidRPr="00A31137">
        <w:t>1980 Democratic Platform, p.2</w:t>
      </w:r>
    </w:p>
    <w:p w:rsidR="00A31137" w:rsidRPr="00A31137" w:rsidRDefault="00A31137" w:rsidP="00A31137">
      <w:r w:rsidRPr="00A31137">
        <w:t>The Democratic Party will take no action whose effect will be a significant increase in unemployment—no fiscal action, no monetary action, no budgetary action—if it is the assessment of either the Council of Economic Advisers or the Congressional Budget Office that such action will cause significantly greater unemployment.</w:t>
      </w:r>
    </w:p>
    <w:p w:rsidR="00A31137" w:rsidRPr="00A31137" w:rsidRDefault="00A31137" w:rsidP="00A31137">
      <w:r w:rsidRPr="00A31137">
        <w:t>1980 Democratic Platform, p.2</w:t>
      </w:r>
    </w:p>
    <w:p w:rsidR="00A31137" w:rsidRPr="00A31137" w:rsidRDefault="00A31137" w:rsidP="00A31137">
      <w:r w:rsidRPr="00A31137">
        <w:t>In all of our economic programs, the one overriding principle must be fairness. All Americans must bear a fair share of our economic burdens and reap a fair share of our economic benefits. High interest rates impose an unfair burden—on farmers, small businesses, and younger families buying homes. Recession imposes an unfair burden on those least able to bear it. Democratic economic policy must assure fairness for workers, the elderly, women, the poor, minorities and the majority who are middle income Americans. In 1980, we pledge a truly Democratic economic policy to secure a prosperous economic future.</w:t>
      </w:r>
    </w:p>
    <w:p w:rsidR="00A31137" w:rsidRPr="00A31137" w:rsidRDefault="00A31137" w:rsidP="00A31137">
      <w:r w:rsidRPr="00A31137">
        <w:t>Economic Strength</w:t>
      </w:r>
    </w:p>
    <w:p w:rsidR="00A31137" w:rsidRPr="00A31137" w:rsidRDefault="00A31137" w:rsidP="00A31137">
      <w:r w:rsidRPr="00A31137">
        <w:t>1980 Democratic Platform, p.2</w:t>
      </w:r>
    </w:p>
    <w:p w:rsidR="00A31137" w:rsidRPr="00A31137" w:rsidRDefault="00A31137" w:rsidP="00A31137">
      <w:r w:rsidRPr="00A31137">
        <w:t>While the past three and a half years of Democratic leadership have been years of growth for our economy, we now find ourselves in a recession.</w:t>
      </w:r>
    </w:p>
    <w:p w:rsidR="00A31137" w:rsidRPr="00A31137" w:rsidRDefault="00A31137" w:rsidP="00A31137">
      <w:r w:rsidRPr="00A31137">
        <w:t>1980 Democratic Platform, p.2</w:t>
      </w:r>
    </w:p>
    <w:p w:rsidR="00A31137" w:rsidRPr="00A31137" w:rsidRDefault="00A31137" w:rsidP="00A31137">
      <w:r w:rsidRPr="00A31137">
        <w:t>The Democratic Party is committed to taking the necessary steps to combat the current recession. However, we cannot abandon our fight against inflation. We must fight both of these problems at the same time; we are committed to do so. We will continue to pursue the fight against inflation in ways not designed or intended to increase unemployment.</w:t>
      </w:r>
    </w:p>
    <w:p w:rsidR="00A31137" w:rsidRPr="00A31137" w:rsidRDefault="00A31137" w:rsidP="00A31137">
      <w:r w:rsidRPr="00A31137">
        <w:t>1980 Democratic Platform, p.2</w:t>
      </w:r>
    </w:p>
    <w:p w:rsidR="00A31137" w:rsidRPr="00A31137" w:rsidRDefault="00A31137" w:rsidP="00A31137">
      <w:r w:rsidRPr="00A31137">
        <w:t>Our current economic situation is unique. In 1977, we inherited a severe recession from the Republicans. The Democratic Administration and the Democratic Congress acted quickly to reduce the unacceptably high levels of unemployment and to stimulate the economy. And we succeeded. We recovered from that deep recession and our economy was strengthened and revitalized. As that fight was won, the enormous increases in foreign oil prices—120 percent last year—and declining productivity fueled an inflationary spiral that also had to be fought. The Democrats did that, and inflation has begun to recede. In working to combat these dual problems, significant economic actions have been taken.</w:t>
      </w:r>
    </w:p>
    <w:p w:rsidR="00A31137" w:rsidRPr="00A31137" w:rsidRDefault="00A31137" w:rsidP="00A31137">
      <w:r w:rsidRPr="00A31137">
        <w:t>1980 Democratic Platform, p.2</w:t>
      </w:r>
    </w:p>
    <w:p w:rsidR="00A31137" w:rsidRPr="00A31137" w:rsidRDefault="00A31137" w:rsidP="00A31137">
      <w:r w:rsidRPr="00A31137">
        <w:t>Two tax cuts have been enacted, in 1977 and 1978, reducing taxes on individuals and businesses by an amount equal, this year, to about $40 billion.</w:t>
      </w:r>
    </w:p>
    <w:p w:rsidR="00A31137" w:rsidRPr="00A31137" w:rsidRDefault="00A31137" w:rsidP="00A31137">
      <w:r w:rsidRPr="00A31137">
        <w:t>1980 Democratic Platform, p.2</w:t>
      </w:r>
    </w:p>
    <w:p w:rsidR="00A31137" w:rsidRPr="00A31137" w:rsidRDefault="00A31137" w:rsidP="00A31137">
      <w:r w:rsidRPr="00A31137">
        <w:t>While meeting our national security and pressing domestic needs, the Democratic Partnership has restrained the increase in government spending in ways which have steadily reduced the deficit we inherited.</w:t>
      </w:r>
    </w:p>
    <w:p w:rsidR="00A31137" w:rsidRPr="00A31137" w:rsidRDefault="00A31137" w:rsidP="00A31137">
      <w:r w:rsidRPr="00A31137">
        <w:t>1980 Democratic Platform, p.2</w:t>
      </w:r>
    </w:p>
    <w:p w:rsidR="00A31137" w:rsidRPr="00A31137" w:rsidRDefault="00A31137" w:rsidP="00A31137">
      <w:r w:rsidRPr="00A31137">
        <w:t>Airline and banking regulatory reforms have been enacted; further regulatory reforms are now under consideration.</w:t>
      </w:r>
    </w:p>
    <w:p w:rsidR="00A31137" w:rsidRPr="00A31137" w:rsidRDefault="00A31137" w:rsidP="00A31137">
      <w:r w:rsidRPr="00A31137">
        <w:t>1980 Democratic Platform, p.2</w:t>
      </w:r>
    </w:p>
    <w:p w:rsidR="00A31137" w:rsidRPr="00A31137" w:rsidRDefault="00A31137" w:rsidP="00A31137">
      <w:r w:rsidRPr="00A31137">
        <w:t>In the effort to restrain inflation, a voluntary pay advisory committee has been established with labor, business, and public representatives pursuant to a National Accord.</w:t>
      </w:r>
    </w:p>
    <w:p w:rsidR="00A31137" w:rsidRPr="00A31137" w:rsidRDefault="00A31137" w:rsidP="00A31137">
      <w:r w:rsidRPr="00A31137">
        <w:t>1980 Democratic Platform, p.2</w:t>
      </w:r>
    </w:p>
    <w:p w:rsidR="00A31137" w:rsidRPr="00A31137" w:rsidRDefault="00A31137" w:rsidP="00A31137">
      <w:r w:rsidRPr="00A31137">
        <w:t>The first national export policy was developed; export and trade responsibilities were reorganized and strengthened; the Multilateral Trade Negotiations were completed; and the MTN Agreement was approved by the Congress.</w:t>
      </w:r>
    </w:p>
    <w:p w:rsidR="00A31137" w:rsidRPr="00A31137" w:rsidRDefault="00A31137" w:rsidP="00A31137">
      <w:r w:rsidRPr="00A31137">
        <w:t>1980 Democratic Platform, p.2</w:t>
      </w:r>
    </w:p>
    <w:p w:rsidR="00A31137" w:rsidRPr="00A31137" w:rsidRDefault="00A31137" w:rsidP="00A31137">
      <w:r w:rsidRPr="00A31137">
        <w:t>To ensure a greater impact for scarce federal dollars, grant and loan programs have been redirected to the areas of greatest need, and the formula programs have been redesigned to target the areas with the most serious problems.</w:t>
      </w:r>
    </w:p>
    <w:p w:rsidR="00A31137" w:rsidRPr="00A31137" w:rsidRDefault="00A31137" w:rsidP="00A31137">
      <w:r w:rsidRPr="00A31137">
        <w:t>1980 Democratic Platform, p.2</w:t>
      </w:r>
    </w:p>
    <w:p w:rsidR="00A31137" w:rsidRPr="00A31137" w:rsidRDefault="00A31137" w:rsidP="00A31137">
      <w:r w:rsidRPr="00A31137">
        <w:t>As a result of these economic actions:</w:t>
      </w:r>
    </w:p>
    <w:p w:rsidR="00A31137" w:rsidRPr="00A31137" w:rsidRDefault="00A31137" w:rsidP="00A31137">
      <w:r w:rsidRPr="00A31137">
        <w:t>1980 Democratic Platform, p.3</w:t>
      </w:r>
    </w:p>
    <w:p w:rsidR="00A31137" w:rsidRPr="00A31137" w:rsidRDefault="00A31137" w:rsidP="00A31137">
      <w:r w:rsidRPr="00A31137">
        <w:t>Employment—More than 8.5 million new jobs have [p.3] been added to the work force; about 1 million of those jobs are held by Blacks, and nearly an additional 1 million are held by Hispanics. Gains have been made by all groups—more men, more women, more minorities, and more young people are working than ever before in our history. Despite these gains, current unemployment is too high and must be lowered.</w:t>
      </w:r>
    </w:p>
    <w:p w:rsidR="00A31137" w:rsidRPr="00A31137" w:rsidRDefault="00A31137" w:rsidP="00A31137">
      <w:r w:rsidRPr="00A31137">
        <w:t>1980 Democratic Platform, p.3</w:t>
      </w:r>
    </w:p>
    <w:p w:rsidR="00A31137" w:rsidRPr="00A31137" w:rsidRDefault="00A31137" w:rsidP="00A31137">
      <w:r w:rsidRPr="00A31137">
        <w:t>Inflation—A strong anti-inflation program has been initiated and pursued aggressively, to deal both with the short-term inflation problem and with the long-term causes of inflation. The effects of the short-term effort are now evident: inflation is beginning to come down. Although some interest rates remain high, they are falling at record rates. This progress will continue as short-term actions continue to work and long-term initiatives begin to take hold.</w:t>
      </w:r>
    </w:p>
    <w:p w:rsidR="00A31137" w:rsidRPr="00A31137" w:rsidRDefault="00A31137" w:rsidP="00A31137">
      <w:r w:rsidRPr="00A31137">
        <w:t>1980 Democratic Platform, p.3</w:t>
      </w:r>
    </w:p>
    <w:p w:rsidR="00A31137" w:rsidRPr="00A31137" w:rsidRDefault="00A31137" w:rsidP="00A31137">
      <w:r w:rsidRPr="00A31137">
        <w:t>Economic Growth—Despite the economic declines of the past few months, for the first three years of the Carter Administration our economy was strong. For the 1977–1979 period:</w:t>
      </w:r>
    </w:p>
    <w:p w:rsidR="00A31137" w:rsidRPr="00A31137" w:rsidRDefault="00A31137" w:rsidP="00A31137">
      <w:r w:rsidRPr="00A31137">
        <w:t>1980 Democratic Platform, p.3</w:t>
      </w:r>
    </w:p>
    <w:p w:rsidR="00A31137" w:rsidRPr="00A31137" w:rsidRDefault="00A31137" w:rsidP="00A31137">
      <w:r w:rsidRPr="00A31137">
        <w:t>–Gross National Product increased by 11.8 percent in real terms.</w:t>
      </w:r>
    </w:p>
    <w:p w:rsidR="00A31137" w:rsidRPr="00A31137" w:rsidRDefault="00A31137" w:rsidP="00A31137">
      <w:r w:rsidRPr="00A31137">
        <w:t>1980 Democratic Platform, p.3</w:t>
      </w:r>
    </w:p>
    <w:p w:rsidR="00A31137" w:rsidRPr="00A31137" w:rsidRDefault="00A31137" w:rsidP="00A31137">
      <w:r w:rsidRPr="00A31137">
        <w:t>–Real after-tax income per person increased by 10.3 percent.</w:t>
      </w:r>
    </w:p>
    <w:p w:rsidR="00A31137" w:rsidRPr="00A31137" w:rsidRDefault="00A31137" w:rsidP="00A31137">
      <w:r w:rsidRPr="00A31137">
        <w:t>1980 Democratic Platform, p.3</w:t>
      </w:r>
    </w:p>
    <w:p w:rsidR="00A31137" w:rsidRPr="00A31137" w:rsidRDefault="00A31137" w:rsidP="00A31137">
      <w:r w:rsidRPr="00A31137">
        <w:t>–Industrial production increased by 14.8 percent.</w:t>
      </w:r>
    </w:p>
    <w:p w:rsidR="00A31137" w:rsidRPr="00A31137" w:rsidRDefault="00A31137" w:rsidP="00A31137">
      <w:r w:rsidRPr="00A31137">
        <w:t>1980 Democratic Platform, p.3</w:t>
      </w:r>
    </w:p>
    <w:p w:rsidR="00A31137" w:rsidRPr="00A31137" w:rsidRDefault="00A31137" w:rsidP="00A31137">
      <w:r w:rsidRPr="00A31137">
        <w:t>–Dividends increased by 36 percent.</w:t>
      </w:r>
    </w:p>
    <w:p w:rsidR="00A31137" w:rsidRPr="00A31137" w:rsidRDefault="00A31137" w:rsidP="00A31137">
      <w:r w:rsidRPr="00A31137">
        <w:t>1980 Democratic Platform, p.3</w:t>
      </w:r>
    </w:p>
    <w:p w:rsidR="00A31137" w:rsidRPr="00A31137" w:rsidRDefault="00A31137" w:rsidP="00A31137">
      <w:r w:rsidRPr="00A31137">
        <w:t>–Real business fixed investment increased by 22.9 percent.</w:t>
      </w:r>
    </w:p>
    <w:p w:rsidR="00A31137" w:rsidRPr="00A31137" w:rsidRDefault="00A31137" w:rsidP="00A31137">
      <w:r w:rsidRPr="00A31137">
        <w:t>1980 Democratic Platform, p.3</w:t>
      </w:r>
    </w:p>
    <w:p w:rsidR="00A31137" w:rsidRPr="00A31137" w:rsidRDefault="00A31137" w:rsidP="00A31137">
      <w:r w:rsidRPr="00A31137">
        <w:t>Energy—Our dependence on foreign off has decreased—in 1977 we imported 8.8 million barrels of oil per day, and our nation is now importing approximately 6.5 million per day, a decline of 26 percent.</w:t>
      </w:r>
    </w:p>
    <w:p w:rsidR="00A31137" w:rsidRPr="00A31137" w:rsidRDefault="00A31137" w:rsidP="00A31137">
      <w:r w:rsidRPr="00A31137">
        <w:t>Solving Economic Problems</w:t>
      </w:r>
    </w:p>
    <w:p w:rsidR="00A31137" w:rsidRPr="00A31137" w:rsidRDefault="00A31137" w:rsidP="00A31137">
      <w:r w:rsidRPr="00A31137">
        <w:t>1980 Democratic Platform, p.3</w:t>
      </w:r>
    </w:p>
    <w:p w:rsidR="00A31137" w:rsidRPr="00A31137" w:rsidRDefault="00A31137" w:rsidP="00A31137">
      <w:r w:rsidRPr="00A31137">
        <w:t>The Democratic Party commits itself to a strong economic program—one that builds on the progress we have made to date, one that corrects the very real problems we face now, one that is responsible, one that offers realistic hope, and one that can unify our Party. Such a Democratic program would contrast dramatically with the simplistic rhetoric and the traditional economic policies of the Republican Party.</w:t>
      </w:r>
    </w:p>
    <w:p w:rsidR="00A31137" w:rsidRPr="00A31137" w:rsidRDefault="00A31137" w:rsidP="00A31137">
      <w:r w:rsidRPr="00A31137">
        <w:t>1980 Democratic Platform, p.3</w:t>
      </w:r>
    </w:p>
    <w:p w:rsidR="00A31137" w:rsidRPr="00A31137" w:rsidRDefault="00A31137" w:rsidP="00A31137">
      <w:r w:rsidRPr="00A31137">
        <w:t>Full Employment—We specifically reaffirm our commitment to achieve all the goals of the Humphrey-Hawkins Full Employment Act within the currently prescribed dates in the Act, especially those relating to a joint reduction in unemployment and inflation. Full employment is important to the achievement of a rising standard of living, to the pursuit of sound justice, and to the strength and vitality of America.</w:t>
      </w:r>
    </w:p>
    <w:p w:rsidR="00A31137" w:rsidRPr="00A31137" w:rsidRDefault="00A31137" w:rsidP="00A31137">
      <w:r w:rsidRPr="00A31137">
        <w:t>1980 Democratic Platform, p.3</w:t>
      </w:r>
    </w:p>
    <w:p w:rsidR="00A31137" w:rsidRPr="00A31137" w:rsidRDefault="00A31137" w:rsidP="00A31137">
      <w:r w:rsidRPr="00A31137">
        <w:t>Anti-Recession Assistance—Immediately, we must undertake a short-term anti-recession program to reverse the tide of deepening recession and rising unemployment. Each percentage point increase in the unemployment rate adds $25 billion to the federal deficit.</w:t>
      </w:r>
    </w:p>
    <w:p w:rsidR="00A31137" w:rsidRPr="00A31137" w:rsidRDefault="00A31137" w:rsidP="00A31137">
      <w:r w:rsidRPr="00A31137">
        <w:t>1980 Democratic Platform, p.3</w:t>
      </w:r>
    </w:p>
    <w:p w:rsidR="00A31137" w:rsidRPr="00A31137" w:rsidRDefault="00A31137" w:rsidP="00A31137">
      <w:r w:rsidRPr="00A31137">
        <w:t>A Democratic anti-recession program must recognize that Blacks, Hispanics, other minorities, women and older workers bear the brunt of recession. We pledge a $12 billion anti-recession jobs program, providing at least 800,000 additional jobs, including full funding of the counter-cyclical assistance program for the cities, a major expansion of the youth employment and training program to give young people in our inner cities new hope, expanded training programs for women and displaced homemakers to give these workers a fair chance in the workplace, and new opportunities for the elderly to contribute their talents and skills.</w:t>
      </w:r>
    </w:p>
    <w:p w:rsidR="00A31137" w:rsidRPr="00A31137" w:rsidRDefault="00A31137" w:rsidP="00A31137">
      <w:r w:rsidRPr="00A31137">
        <w:t>1980 Democratic Platform, p.3</w:t>
      </w:r>
    </w:p>
    <w:p w:rsidR="00A31137" w:rsidRPr="00A31137" w:rsidRDefault="00A31137" w:rsidP="00A31137">
      <w:r w:rsidRPr="00A31137">
        <w:t>Coupling our need to rehabilitate our railroads with the need to create new job opportunities, we must commit ourselves to a $1 billion railroad renewal program which can employ 20,000 workers.</w:t>
      </w:r>
    </w:p>
    <w:p w:rsidR="00A31137" w:rsidRPr="00A31137" w:rsidRDefault="00A31137" w:rsidP="00A31137">
      <w:r w:rsidRPr="00A31137">
        <w:t>1980 Democratic Platform, p.3</w:t>
      </w:r>
    </w:p>
    <w:p w:rsidR="00A31137" w:rsidRPr="00A31137" w:rsidRDefault="00A31137" w:rsidP="00A31137">
      <w:r w:rsidRPr="00A31137">
        <w:t>We must take steps to restore the housing industry, including effective implementation of the Brooke-Cranston program, and the addition of 200,000 new units a year for low and moderate income families.</w:t>
      </w:r>
    </w:p>
    <w:p w:rsidR="00A31137" w:rsidRPr="00A31137" w:rsidRDefault="00A31137" w:rsidP="00A31137">
      <w:r w:rsidRPr="00A31137">
        <w:t>1980 Democratic Platform, p.3</w:t>
      </w:r>
    </w:p>
    <w:p w:rsidR="00A31137" w:rsidRPr="00A31137" w:rsidRDefault="00A31137" w:rsidP="00A31137">
      <w:r w:rsidRPr="00A31137">
        <w:t>National Accord—The National Accord with labor must be strengthened and continued. This enhances the unique opportunity afforded by a Democratic Administration for government, labor and business to work together to solve our inflationary and other economic problems.</w:t>
      </w:r>
    </w:p>
    <w:p w:rsidR="00A31137" w:rsidRPr="00A31137" w:rsidRDefault="00A31137" w:rsidP="00A31137">
      <w:r w:rsidRPr="00A31137">
        <w:t>1980 Democratic Platform, p.3</w:t>
      </w:r>
    </w:p>
    <w:p w:rsidR="00A31137" w:rsidRPr="00A31137" w:rsidRDefault="00A31137" w:rsidP="00A31137">
      <w:r w:rsidRPr="00A31137">
        <w:t>Tax Reductions—We commit ourselves to targeted tax reductions designed to stimulate production and combat recession as soon as it appears so that tax reductions will not have a disproportionately inflationary effect. We must avoid untargeted tax cuts which would increase inflation. Any tax reduction must, if it is to help solve pressing economic problems, follow certain guiding principles:</w:t>
      </w:r>
    </w:p>
    <w:p w:rsidR="00A31137" w:rsidRPr="00A31137" w:rsidRDefault="00A31137" w:rsidP="00A31137">
      <w:r w:rsidRPr="00A31137">
        <w:t>1980 Democratic Platform, p.3</w:t>
      </w:r>
    </w:p>
    <w:p w:rsidR="00A31137" w:rsidRPr="00A31137" w:rsidRDefault="00A31137" w:rsidP="00A31137">
      <w:r w:rsidRPr="00A31137">
        <w:t>–The inflationary impact must be minimized;</w:t>
      </w:r>
    </w:p>
    <w:p w:rsidR="00A31137" w:rsidRPr="00A31137" w:rsidRDefault="00A31137" w:rsidP="00A31137">
      <w:r w:rsidRPr="00A31137">
        <w:t>1980 Democratic Platform, p.3</w:t>
      </w:r>
    </w:p>
    <w:p w:rsidR="00A31137" w:rsidRPr="00A31137" w:rsidRDefault="00A31137" w:rsidP="00A31137">
      <w:r w:rsidRPr="00A31137">
        <w:t>–Reductions provided to individuals must be weighted to help low and middle income individuals and families, to improve consumer purchasing power, and to enhance a growing economy while maintaining and strengthening the overall progressive nature of the tax code;</w:t>
      </w:r>
    </w:p>
    <w:p w:rsidR="00A31137" w:rsidRPr="00A31137" w:rsidRDefault="00A31137" w:rsidP="00A31137">
      <w:r w:rsidRPr="00A31137">
        <w:t>1980 Democratic Platform, p.3</w:t>
      </w:r>
    </w:p>
    <w:p w:rsidR="00A31137" w:rsidRPr="00A31137" w:rsidRDefault="00A31137" w:rsidP="00A31137">
      <w:r w:rsidRPr="00A31137">
        <w:t xml:space="preserve">–Productivity, investment, capital formation, as well as incentives, must be encouraged, particularly in distressed areas and industries;[p.4] </w:t>
      </w:r>
    </w:p>
    <w:p w:rsidR="00A31137" w:rsidRPr="00A31137" w:rsidRDefault="00A31137" w:rsidP="00A31137">
      <w:r w:rsidRPr="00A31137">
        <w:t>1980 Democratic Platform, p.4</w:t>
      </w:r>
    </w:p>
    <w:p w:rsidR="00A31137" w:rsidRPr="00A31137" w:rsidRDefault="00A31137" w:rsidP="00A31137">
      <w:r w:rsidRPr="00A31137">
        <w:t>–The effect on our economy must be one which encourages job formation and business growth.</w:t>
      </w:r>
    </w:p>
    <w:p w:rsidR="00A31137" w:rsidRPr="00A31137" w:rsidRDefault="00A31137" w:rsidP="00A31137">
      <w:r w:rsidRPr="00A31137">
        <w:t>1980 Democratic Platform, p.4</w:t>
      </w:r>
    </w:p>
    <w:p w:rsidR="00A31137" w:rsidRPr="00A31137" w:rsidRDefault="00A31137" w:rsidP="00A31137">
      <w:r w:rsidRPr="00A31137">
        <w:t>Federal Spending—Spending restraint must be sensitive to those who look to the federal government for aid and assistance, especially to our nation's workers in times of high unemployment. At the same time, as long as inflationary pressures remain strong, fiscal prudence is essential to avoid destroying the progress made to date in reducing the inflation rate.</w:t>
      </w:r>
    </w:p>
    <w:p w:rsidR="00A31137" w:rsidRPr="00A31137" w:rsidRDefault="00A31137" w:rsidP="00A31137">
      <w:r w:rsidRPr="00A31137">
        <w:t>1980 Democratic Platform, p.4</w:t>
      </w:r>
    </w:p>
    <w:p w:rsidR="00A31137" w:rsidRPr="00A31137" w:rsidRDefault="00A31137" w:rsidP="00A31137">
      <w:r w:rsidRPr="00A31137">
        <w:t>Fiscal policy must remain a flexible economic tool. We oppose a Constitutional amendment requiring a balanced budget.</w:t>
      </w:r>
    </w:p>
    <w:p w:rsidR="00A31137" w:rsidRPr="00A31137" w:rsidRDefault="00A31137" w:rsidP="00A31137">
      <w:r w:rsidRPr="00A31137">
        <w:t>1980 Democratic Platform, p.4</w:t>
      </w:r>
    </w:p>
    <w:p w:rsidR="00A31137" w:rsidRPr="00A31137" w:rsidRDefault="00A31137" w:rsidP="00A31137">
      <w:r w:rsidRPr="00A31137">
        <w:t>Interest Rates—The Democratic Party has historically been committed to policies that result in low interest rates in order to help our nation's workers, small businesses, farmers and homeowners. Therefore, we must continue to pursue a tough anti-inflationary policy which will lead to an across-the-board reduction in interest rates on loans.</w:t>
      </w:r>
    </w:p>
    <w:p w:rsidR="00A31137" w:rsidRPr="00A31137" w:rsidRDefault="00A31137" w:rsidP="00A31137">
      <w:r w:rsidRPr="00A31137">
        <w:t>1980 Democratic Platform, p.4</w:t>
      </w:r>
    </w:p>
    <w:p w:rsidR="00A31137" w:rsidRPr="00A31137" w:rsidRDefault="00A31137" w:rsidP="00A31137">
      <w:r w:rsidRPr="00A31137">
        <w:t>In using monetary policy to fight inflation, the government should be sensitive to the special needs of areas of our economy most affected by high interest rates. The Federal Reserve shall use the tool of reserve requirements creatively in its effort to fight inflation. The Federal Reserve should also take particular care to make certain that it is aware of the concerns of labor, agriculture, housing, consumers and small business in its decision-making process. Finally, its Open Market Committee should continue to provide regular information to the public about its activities.</w:t>
      </w:r>
    </w:p>
    <w:p w:rsidR="00A31137" w:rsidRPr="00A31137" w:rsidRDefault="00A31137" w:rsidP="00A31137">
      <w:r w:rsidRPr="00A31137">
        <w:t>1980 Democratic Platform, p.4</w:t>
      </w:r>
    </w:p>
    <w:p w:rsidR="00A31137" w:rsidRPr="00A31137" w:rsidRDefault="00A31137" w:rsidP="00A31137">
      <w:r w:rsidRPr="00A31137">
        <w:t>Regulatory Reform—Consistent with our basic health, safety, and environmental goals, we must continue to deregulate over-regulated industries and to remove other unnecessary regulatory burdens on state and local governments and on the private sector, particularly those which inhibit competition.</w:t>
      </w:r>
    </w:p>
    <w:p w:rsidR="00A31137" w:rsidRPr="00A31137" w:rsidRDefault="00A31137" w:rsidP="00A31137">
      <w:r w:rsidRPr="00A31137">
        <w:t>1980 Democratic Platform, p.4</w:t>
      </w:r>
    </w:p>
    <w:p w:rsidR="00A31137" w:rsidRPr="00A31137" w:rsidRDefault="00A31137" w:rsidP="00A31137">
      <w:r w:rsidRPr="00A31137">
        <w:t>Targeting and Regional Balance—From the time of Franklin Roosevelt, the Democratic Party has dedicated itself to the principle that the federal government has a duty to ensure that all regions, states and localities share in the benefits of national economic prosperity and that none bears more than its share of economic adversity.</w:t>
      </w:r>
    </w:p>
    <w:p w:rsidR="00A31137" w:rsidRPr="00A31137" w:rsidRDefault="00A31137" w:rsidP="00A31137">
      <w:r w:rsidRPr="00A31137">
        <w:t>1980 Democratic Platform, p.4</w:t>
      </w:r>
    </w:p>
    <w:p w:rsidR="00A31137" w:rsidRPr="00A31137" w:rsidRDefault="00A31137" w:rsidP="00A31137">
      <w:r w:rsidRPr="00A31137">
        <w:t>Our 1976 platform stated: Even during periods of normal economic growth there are communities and regions of the country—particularly central cities and urban areas—that do not fully participate in national economic prosperity. The Democratic Party has supported national economic policies which have conscientiously sought to aid regions in the nation which have been afflicted with poverty, or newer regions which have needed resources for development. These policies were soundly conceived and have been successful. Today, we have different areas and regions in economic decline and once again face a problem of balanced economic growth. To restore balance, national economic policy should be designed to target federal resources in areas of greatest need.</w:t>
      </w:r>
    </w:p>
    <w:p w:rsidR="00A31137" w:rsidRPr="00A31137" w:rsidRDefault="00A31137" w:rsidP="00A31137">
      <w:r w:rsidRPr="00A31137">
        <w:t>1980 Democratic Platform, p.4</w:t>
      </w:r>
    </w:p>
    <w:p w:rsidR="00A31137" w:rsidRPr="00A31137" w:rsidRDefault="00A31137" w:rsidP="00A31137">
      <w:r w:rsidRPr="00A31137">
        <w:t>A Democratic Administration has welcomed and encouraged the sustained growth of the West and Southwest in recent years. Policies now in place ensure that this growth will continue and bring the greatest benefits to the nation as a whole.</w:t>
      </w:r>
    </w:p>
    <w:p w:rsidR="00A31137" w:rsidRPr="00A31137" w:rsidRDefault="00A31137" w:rsidP="00A31137">
      <w:r w:rsidRPr="00A31137">
        <w:t>1980 Democratic Platform, p.4</w:t>
      </w:r>
    </w:p>
    <w:p w:rsidR="00A31137" w:rsidRPr="00A31137" w:rsidRDefault="00A31137" w:rsidP="00A31137">
      <w:r w:rsidRPr="00A31137">
        <w:t>At the same time, a Democratic Administration will be committed to the economic growth and prosperity of the other regions of the nation. The era of federal policies directed exclusively to the development of one region or another should be succeeded by government-wide policies designed to bring about balanced and shared growth in all regions.</w:t>
      </w:r>
    </w:p>
    <w:p w:rsidR="00A31137" w:rsidRPr="00A31137" w:rsidRDefault="00A31137" w:rsidP="00A31137">
      <w:r w:rsidRPr="00A31137">
        <w:t>1980 Democratic Platform, p.4</w:t>
      </w:r>
    </w:p>
    <w:p w:rsidR="00A31137" w:rsidRPr="00A31137" w:rsidRDefault="00A31137" w:rsidP="00A31137">
      <w:r w:rsidRPr="00A31137">
        <w:t>To restore balance, we must continue to improve the targeting of federal programs in order to maximize their benefit to those most in need. To involve the private sector in solving our economic problems, and to reduce the burden on government, we must leverage federal dollars with funds from the private sector.</w:t>
      </w:r>
    </w:p>
    <w:p w:rsidR="00A31137" w:rsidRPr="00A31137" w:rsidRDefault="00A31137" w:rsidP="00A31137">
      <w:r w:rsidRPr="00A31137">
        <w:t>1980 Democratic Platform, p.4</w:t>
      </w:r>
    </w:p>
    <w:p w:rsidR="00A31137" w:rsidRPr="00A31137" w:rsidRDefault="00A31137" w:rsidP="00A31137">
      <w:r w:rsidRPr="00A31137">
        <w:t>Rebuilding American Industry by Increasing Economic Productivity and Competitiveness—The Democratic Party has a long tradition of innovation, foresight, and flexibility in creating policies to solve the nation's most urgent economic needs. We now stand at another watershed in our economic history which demands our Party's full attention, creative powers, resources, and skills. To revive productivity and revitalize our economy, we need a national effort to strengthen the American economy. It must include new tax depreciation rules to stimulate selective capital investment; a simplified tax code to assist business planning; removal of governmental regulations which are unnecessary and stifle business initiative; effective incentives for saving that do not discriminate against low and middle income taxpayers; reform in patent rules and new incentives for research and development, especially by small business; cooperative efforts with labor and management to retool the steel, auto and shipbuilding industries; and strengthened worker training programs to improve job opportunities and working skills.</w:t>
      </w:r>
    </w:p>
    <w:p w:rsidR="00A31137" w:rsidRPr="00A31137" w:rsidRDefault="00A31137" w:rsidP="00A31137">
      <w:r w:rsidRPr="00A31137">
        <w:t>1980 Democratic Platform, p.4</w:t>
      </w:r>
    </w:p>
    <w:p w:rsidR="00A31137" w:rsidRPr="00A31137" w:rsidRDefault="00A31137" w:rsidP="00A31137">
      <w:r w:rsidRPr="00A31137">
        <w:t>Encouraging investment, innovation, efficiency and downward pressure on prices also requires new measures to increase competition in our economy. In regulated sectors of our economy, government serves too often to entrench high price levels and stifle competition. Regulations must balance protective benefits against potentially adverse effects on competitiveness. Necessary regulations should be achieved at minimum cost and at reduced burden to industry. In unregulated sectors of the economy, we must increase antitrust enforcement; greatly improve the speed and efficiency of antitrust litigation; and renew efforts to prevent the [p.5] concentration of economic power—both in specific industries and across the economy as a whole—which operate to stifle growth and to fuel inflation.</w:t>
      </w:r>
    </w:p>
    <w:p w:rsidR="00A31137" w:rsidRPr="00A31137" w:rsidRDefault="00A31137" w:rsidP="00A31137">
      <w:r w:rsidRPr="00A31137">
        <w:t>1980 Democratic Platform, p.5</w:t>
      </w:r>
    </w:p>
    <w:p w:rsidR="00A31137" w:rsidRPr="00A31137" w:rsidRDefault="00A31137" w:rsidP="00A31137">
      <w:r w:rsidRPr="00A31137">
        <w:t>United States non-farm exports have risen 50 percent in real terms in the last three years. A Democratic President and a Democratic Congress have recognized and strengthened the export trade functions of the federal government. To create new markets for American products and strengthen the dollar, we must seek out new opportunities for American exports; help establish stable, long-term commercial relationships between nations; offer technical assistance to firms competing in world markets; promote reciprocal trading terms for nations doing business here; and help ensure that America's domestic retooling is consistent with new opportunities in foreign trade.</w:t>
      </w:r>
    </w:p>
    <w:p w:rsidR="00A31137" w:rsidRPr="00A31137" w:rsidRDefault="00A31137" w:rsidP="00A31137">
      <w:r w:rsidRPr="00A31137">
        <w:t>1980 Democratic Platform, p.5</w:t>
      </w:r>
    </w:p>
    <w:p w:rsidR="00A31137" w:rsidRPr="00A31137" w:rsidRDefault="00A31137" w:rsidP="00A31137">
      <w:r w:rsidRPr="00A31137">
        <w:t>One of our main goals in this effort will be to enable American industry to compete more effectively with foreign products. We must intensify our efforts to promote American exports and to ensure that our domestic industries and workers are not affected adversely by unfair trade practices, such as dumping. We must make international trade a major focus of our domestic and international policy. We will continue to support the development of trading companies which will compete more effectively in world markets. We must ensure that our efforts to lower tariff barriers are reciprocated by our trading partners. We recognize the superior productivity of American agriculture and the importance of agricultural exports to the balance of trade. We support continuing efforts to promote agricultural exports.</w:t>
      </w:r>
    </w:p>
    <w:p w:rsidR="00A31137" w:rsidRPr="00A31137" w:rsidRDefault="00A31137" w:rsidP="00A31137">
      <w:r w:rsidRPr="00A31137">
        <w:t>Ensuring Economic Equity</w:t>
      </w:r>
    </w:p>
    <w:p w:rsidR="00A31137" w:rsidRPr="00A31137" w:rsidRDefault="00A31137" w:rsidP="00A31137">
      <w:r w:rsidRPr="00A31137">
        <w:t>Budget</w:t>
      </w:r>
    </w:p>
    <w:p w:rsidR="00A31137" w:rsidRPr="00A31137" w:rsidRDefault="00A31137" w:rsidP="00A31137">
      <w:r w:rsidRPr="00A31137">
        <w:t>1980 Democratic Platform, p.5</w:t>
      </w:r>
    </w:p>
    <w:p w:rsidR="00A31137" w:rsidRPr="00A31137" w:rsidRDefault="00A31137" w:rsidP="00A31137">
      <w:r w:rsidRPr="00A31137">
        <w:t>The budget policy that has been put forth by the Democratic Party traditionally has been based on providing adequate federal resources to meet our nation's urgent needs. The current Democratic Partnership has continued that tradition while restraining the growth of the federal budget.</w:t>
      </w:r>
    </w:p>
    <w:p w:rsidR="00A31137" w:rsidRPr="00A31137" w:rsidRDefault="00A31137" w:rsidP="00A31137">
      <w:r w:rsidRPr="00A31137">
        <w:t>1980 Democratic Platform, p.5</w:t>
      </w:r>
    </w:p>
    <w:p w:rsidR="00A31137" w:rsidRPr="00A31137" w:rsidRDefault="00A31137" w:rsidP="00A31137">
      <w:r w:rsidRPr="00A31137">
        <w:t>We have increased support for vital domestic programs. We have increased funding for education by 75 percent over the Ford budget. We have increased Head Start by 73 percent, basic skills programs by 233 percent, bilingual education by 113 percent, Native American education by 124 percent, summer jobs by 66 percent. Job Corps by 157 percent, employment and training programs by 115 percent, Medicare by 54 percent, National Health Service Corps by 179 percent, Child Nutrition by 43 percent, and Women, Infants and Children (WIC) Program by 300 percent.</w:t>
      </w:r>
    </w:p>
    <w:p w:rsidR="00A31137" w:rsidRPr="00A31137" w:rsidRDefault="00A31137" w:rsidP="00A31137">
      <w:r w:rsidRPr="00A31137">
        <w:t>1980 Democratic Platform, p.5</w:t>
      </w:r>
    </w:p>
    <w:p w:rsidR="00A31137" w:rsidRPr="00A31137" w:rsidRDefault="00A31137" w:rsidP="00A31137">
      <w:r w:rsidRPr="00A31137">
        <w:t>We have been able to do this, while restraining the growth in federal spending, because the country has had a growing economy; tax cuts have been moderate; waste and fraud have been reduced; and aid has been targeted to those most in need.</w:t>
      </w:r>
    </w:p>
    <w:p w:rsidR="00A31137" w:rsidRPr="00A31137" w:rsidRDefault="00A31137" w:rsidP="00A31137">
      <w:r w:rsidRPr="00A31137">
        <w:t>1980 Democratic Platform, p.5</w:t>
      </w:r>
    </w:p>
    <w:p w:rsidR="00A31137" w:rsidRPr="00A31137" w:rsidRDefault="00A31137" w:rsidP="00A31137">
      <w:r w:rsidRPr="00A31137">
        <w:t>International events have required increased defense spending. The Soviet challenge cannot be ignored. We have had to reverse the steady decline in defense spending that occurred under the Republican Administration. A Democratic Administration and a Democratic Congress have done this; real defense spending has increased, in part through the elimination of waste and the emphasis on increased efficiency.</w:t>
      </w:r>
    </w:p>
    <w:p w:rsidR="00A31137" w:rsidRPr="00A31137" w:rsidRDefault="00A31137" w:rsidP="00A31137">
      <w:r w:rsidRPr="00A31137">
        <w:t>1980 Democratic Platform, p.5</w:t>
      </w:r>
    </w:p>
    <w:p w:rsidR="00A31137" w:rsidRPr="00A31137" w:rsidRDefault="00A31137" w:rsidP="00A31137">
      <w:r w:rsidRPr="00A31137">
        <w:t>In the eight years preceding the first Carter budget, real federal spending had been growing at an average rate of 3 percent each year. By contrast, between FY 1978 and 1981, real federal spending will have declined at an average annual rate of 0.6 percent.</w:t>
      </w:r>
    </w:p>
    <w:p w:rsidR="00A31137" w:rsidRPr="00A31137" w:rsidRDefault="00A31137" w:rsidP="00A31137">
      <w:r w:rsidRPr="00A31137">
        <w:t>1980 Democratic Platform, p.5</w:t>
      </w:r>
    </w:p>
    <w:p w:rsidR="00A31137" w:rsidRPr="00A31137" w:rsidRDefault="00A31137" w:rsidP="00A31137">
      <w:r w:rsidRPr="00A31137">
        <w:t>The federal budget has not been and must not be permitted to be an inflationary nor a recessionary force in our economy, but it also must not be permitted to ignore pressing human needs.</w:t>
      </w:r>
    </w:p>
    <w:p w:rsidR="00A31137" w:rsidRPr="00A31137" w:rsidRDefault="00A31137" w:rsidP="00A31137">
      <w:r w:rsidRPr="00A31137">
        <w:t>1980 Democratic Platform, p.5</w:t>
      </w:r>
    </w:p>
    <w:p w:rsidR="00A31137" w:rsidRPr="00A31137" w:rsidRDefault="00A31137" w:rsidP="00A31137">
      <w:r w:rsidRPr="00A31137">
        <w:t>We support the discipline of attempting to live within the limits of our anticipated revenues. Government must set the example of fiscal responsibility for all our citizens who are helping in the fight against inflation. Spending discipline allows us to concentrate our resources to meet our most pressing human needs.</w:t>
      </w:r>
    </w:p>
    <w:p w:rsidR="00A31137" w:rsidRPr="00A31137" w:rsidRDefault="00A31137" w:rsidP="00A31137">
      <w:r w:rsidRPr="00A31137">
        <w:t>1980 Democratic Platform, p.5</w:t>
      </w:r>
    </w:p>
    <w:p w:rsidR="00A31137" w:rsidRPr="00A31137" w:rsidRDefault="00A31137" w:rsidP="00A31137">
      <w:r w:rsidRPr="00A31137">
        <w:t>We as Democrats will continue our policy of opposing drastic cuts in social programs which impose unfair burdens on the poor and the aged, on women, on children and on minorities. We have always opposed and will continue to oppose imposition of ever greater burdens on the poor, who can least afford them.</w:t>
      </w:r>
    </w:p>
    <w:p w:rsidR="00A31137" w:rsidRPr="00A31137" w:rsidRDefault="00A31137" w:rsidP="00A31137">
      <w:r w:rsidRPr="00A31137">
        <w:t>1980 Democratic Platform, p.5</w:t>
      </w:r>
    </w:p>
    <w:p w:rsidR="00A31137" w:rsidRPr="00A31137" w:rsidRDefault="00A31137" w:rsidP="00A31137">
      <w:r w:rsidRPr="00A31137">
        <w:t>We also recommit ourselves to operating our government more efficiently, and concentrating our efforts on eliminating waste, fraud, and abuse in government programs to make our tax dollars go further.</w:t>
      </w:r>
    </w:p>
    <w:p w:rsidR="00A31137" w:rsidRPr="00A31137" w:rsidRDefault="00A31137" w:rsidP="00A31137">
      <w:r w:rsidRPr="00A31137">
        <w:t>Worker Protection</w:t>
      </w:r>
    </w:p>
    <w:p w:rsidR="00A31137" w:rsidRPr="00A31137" w:rsidRDefault="00A31137" w:rsidP="00A31137">
      <w:r w:rsidRPr="00A31137">
        <w:t>1980 Democratic Platform, p.5</w:t>
      </w:r>
    </w:p>
    <w:p w:rsidR="00A31137" w:rsidRPr="00A31137" w:rsidRDefault="00A31137" w:rsidP="00A31137">
      <w:r w:rsidRPr="00A31137">
        <w:t>The Democratic Administration has worked with Congress to take actions which protect our nation's workers from declining incomes, unsafe working conditions, and threats to their basic rights. The Democratic Party will not pursue a policy of high interest rates and unemployment as the means to fight inflation. We will take no action whose effect will be a significant increase in unemployment, no fiscal action, no monetary action, no budgetary action. The Democratic Party remains committed to policies that will not produce high interest rates or high unemployment.</w:t>
      </w:r>
    </w:p>
    <w:p w:rsidR="00A31137" w:rsidRPr="00A31137" w:rsidRDefault="00A31137" w:rsidP="00A31137">
      <w:r w:rsidRPr="00A31137">
        <w:t>1980 Democratic Platform, p.5</w:t>
      </w:r>
    </w:p>
    <w:p w:rsidR="00A31137" w:rsidRPr="00A31137" w:rsidRDefault="00A31137" w:rsidP="00A31137">
      <w:r w:rsidRPr="00A31137">
        <w:t>But much more needs to be done to protect our nation's workers. The Democratic Party has a long and proud tradition in this area and we must pledge to [p.6] continue our efforts over the next four years.</w:t>
      </w:r>
    </w:p>
    <w:p w:rsidR="00A31137" w:rsidRPr="00A31137" w:rsidRDefault="00A31137" w:rsidP="00A31137">
      <w:r w:rsidRPr="00A31137">
        <w:t>1980 Democratic Platform, p.6</w:t>
      </w:r>
    </w:p>
    <w:p w:rsidR="00A31137" w:rsidRPr="00A31137" w:rsidRDefault="00A31137" w:rsidP="00A31137">
      <w:r w:rsidRPr="00A31137">
        <w:t>Over a generation ago this nation established a labor policy whose purpose is to encourage the practice and procedure of collective bargaining and the right of workers to organize to obtain this goal. The Democratic Party is committed to extending the benefit of this policy to all workers and to removing the barriers to its administration.</w:t>
      </w:r>
    </w:p>
    <w:p w:rsidR="00A31137" w:rsidRPr="00A31137" w:rsidRDefault="00A31137" w:rsidP="00A31137">
      <w:r w:rsidRPr="00A31137">
        <w:t>1980 Democratic Platform, p.6</w:t>
      </w:r>
    </w:p>
    <w:p w:rsidR="00A31137" w:rsidRPr="00A31137" w:rsidRDefault="00A31137" w:rsidP="00A31137">
      <w:r w:rsidRPr="00A31137">
        <w:t>In the future the Democratic Party will concentrate on the following areas.</w:t>
      </w:r>
    </w:p>
    <w:p w:rsidR="00A31137" w:rsidRPr="00A31137" w:rsidRDefault="00A31137" w:rsidP="00A31137">
      <w:r w:rsidRPr="00A31137">
        <w:t>1980 Democratic Platform, p.6</w:t>
      </w:r>
    </w:p>
    <w:p w:rsidR="00A31137" w:rsidRPr="00A31137" w:rsidRDefault="00A31137" w:rsidP="00A31137">
      <w:r w:rsidRPr="00A31137">
        <w:t>Our labor laws should be reformed to permit better administration and enforcement, and particularly to prevent the inordinate delays and outright defiance by some employers of our labor laws. We can no longer tolerate the fact that certain employers are willing to bear the cost of sanctions which are in our current laws in order to violate the rights of those attempting to organize.</w:t>
      </w:r>
    </w:p>
    <w:p w:rsidR="00A31137" w:rsidRPr="00A31137" w:rsidRDefault="00A31137" w:rsidP="00A31137">
      <w:r w:rsidRPr="00A31137">
        <w:t>1980 Democratic Platform, p.6</w:t>
      </w:r>
    </w:p>
    <w:p w:rsidR="00A31137" w:rsidRPr="00A31137" w:rsidRDefault="00A31137" w:rsidP="00A31137">
      <w:r w:rsidRPr="00A31137">
        <w:t>OSHA protections should be properly administered, with the concern of the worker being the highest priority; legislative or administrative efforts to weaken OSHA's basic worker protection responsibilities are unacceptable. OSHA has significantly reduced workplace accidents and fatalities. We will not limit its scope for any reason, including the size of business, since all workers face significant workplace dangers. The Democratic Party strongly opposes and urges all actions to defeat legislation which weakens OSHA's critical protections.</w:t>
      </w:r>
    </w:p>
    <w:p w:rsidR="00A31137" w:rsidRPr="00A31137" w:rsidRDefault="00A31137" w:rsidP="00A31137">
      <w:r w:rsidRPr="00A31137">
        <w:t>1980 Democratic Platform, p.6</w:t>
      </w:r>
    </w:p>
    <w:p w:rsidR="00A31137" w:rsidRPr="00A31137" w:rsidRDefault="00A31137" w:rsidP="00A31137">
      <w:r w:rsidRPr="00A31137">
        <w:t>Hatch Act reforms should be enacted to give federal workers their basic First Amendment rights. We must protect federal workers from interruptions in their pay due to delays in the federal appropriations process and must seek ways to assure the comparability of pay scales between the federal and private sectors.</w:t>
      </w:r>
    </w:p>
    <w:p w:rsidR="00A31137" w:rsidRPr="00A31137" w:rsidRDefault="00A31137" w:rsidP="00A31137">
      <w:r w:rsidRPr="00A31137">
        <w:t>1980 Democratic Platform, p.6</w:t>
      </w:r>
    </w:p>
    <w:p w:rsidR="00A31137" w:rsidRPr="00A31137" w:rsidRDefault="00A31137" w:rsidP="00A31137">
      <w:r w:rsidRPr="00A31137">
        <w:t>We support the right of public employees and agricultural workers to organize and bargain collectively. We urge the adoption of appropriate federal legislation to ensure this goal.</w:t>
      </w:r>
    </w:p>
    <w:p w:rsidR="00A31137" w:rsidRPr="00A31137" w:rsidRDefault="00A31137" w:rsidP="00A31137">
      <w:r w:rsidRPr="00A31137">
        <w:t>1980 Democratic Platform, p.6</w:t>
      </w:r>
    </w:p>
    <w:p w:rsidR="00A31137" w:rsidRPr="00A31137" w:rsidRDefault="00A31137" w:rsidP="00A31137">
      <w:r w:rsidRPr="00A31137">
        <w:t>Legislation must be enacted to allow building trades workers the same peaceful picketing rights currently afforded industrial workers.</w:t>
      </w:r>
    </w:p>
    <w:p w:rsidR="00A31137" w:rsidRPr="00A31137" w:rsidRDefault="00A31137" w:rsidP="00A31137">
      <w:r w:rsidRPr="00A31137">
        <w:t>1980 Democratic Platform, p.6</w:t>
      </w:r>
    </w:p>
    <w:p w:rsidR="00A31137" w:rsidRPr="00A31137" w:rsidRDefault="00A31137" w:rsidP="00A31137">
      <w:r w:rsidRPr="00A31137">
        <w:t>All fair labor standards acts, such as the minimum wage and Davis-Bacon protections, must continue to be effectively enforced against employers seeking to circumvent their worker protections.</w:t>
      </w:r>
    </w:p>
    <w:p w:rsidR="00A31137" w:rsidRPr="00A31137" w:rsidRDefault="00A31137" w:rsidP="00A31137">
      <w:r w:rsidRPr="00A31137">
        <w:t>1980 Democratic Platform, p.6</w:t>
      </w:r>
    </w:p>
    <w:p w:rsidR="00A31137" w:rsidRPr="00A31137" w:rsidRDefault="00A31137" w:rsidP="00A31137">
      <w:r w:rsidRPr="00A31137">
        <w:t>Section 14-b of the Taft-Hartley Act should be repealed.</w:t>
      </w:r>
    </w:p>
    <w:p w:rsidR="00A31137" w:rsidRPr="00A31137" w:rsidRDefault="00A31137" w:rsidP="00A31137">
      <w:r w:rsidRPr="00A31137">
        <w:t>1980 Democratic Platform, p.6</w:t>
      </w:r>
    </w:p>
    <w:p w:rsidR="00A31137" w:rsidRPr="00A31137" w:rsidRDefault="00A31137" w:rsidP="00A31137">
      <w:r w:rsidRPr="00A31137">
        <w:t>Special assistance should be made available for unemployed workers in a distressed industry, such as the automobile, steel, and shipbuilding industries.</w:t>
      </w:r>
    </w:p>
    <w:p w:rsidR="00A31137" w:rsidRPr="00A31137" w:rsidRDefault="00A31137" w:rsidP="00A31137">
      <w:r w:rsidRPr="00A31137">
        <w:t>1980 Democratic Platform, p.6</w:t>
      </w:r>
    </w:p>
    <w:p w:rsidR="00A31137" w:rsidRPr="00A31137" w:rsidRDefault="00A31137" w:rsidP="00A31137">
      <w:r w:rsidRPr="00A31137">
        <w:t>We must improve and strengthen our trade adjustment assistance programs.</w:t>
      </w:r>
    </w:p>
    <w:p w:rsidR="00A31137" w:rsidRPr="00A31137" w:rsidRDefault="00A31137" w:rsidP="00A31137">
      <w:r w:rsidRPr="00A31137">
        <w:t>1980 Democratic Platform, p.6</w:t>
      </w:r>
    </w:p>
    <w:p w:rsidR="00A31137" w:rsidRPr="00A31137" w:rsidRDefault="00A31137" w:rsidP="00A31137">
      <w:r w:rsidRPr="00A31137">
        <w:t>We support federal legislation designed to give protection and human rights to those workers affected by plant closings.</w:t>
      </w:r>
    </w:p>
    <w:p w:rsidR="00A31137" w:rsidRPr="00A31137" w:rsidRDefault="00A31137" w:rsidP="00A31137">
      <w:r w:rsidRPr="00A31137">
        <w:t>1980 Democratic Platform, p.6</w:t>
      </w:r>
    </w:p>
    <w:p w:rsidR="00A31137" w:rsidRPr="00A31137" w:rsidRDefault="00A31137" w:rsidP="00A31137">
      <w:r w:rsidRPr="00A31137">
        <w:t>Just as we must protect workers in their workplace, so must we protect them when they are disabled by accidents or sicknesses resulting from their work. The Democratic Party supports federal legislation to assure adequate minimum benefit levels to those who are unemployed, including expansion of coverage to all wage and salary workers and extended benefits for the long-term unemployed. It must not artificially disregard those who have already been unemployed for a long time.</w:t>
      </w:r>
    </w:p>
    <w:p w:rsidR="00A31137" w:rsidRPr="00A31137" w:rsidRDefault="00A31137" w:rsidP="00A31137">
      <w:r w:rsidRPr="00A31137">
        <w:t>1980 Democratic Platform, p.6</w:t>
      </w:r>
    </w:p>
    <w:p w:rsidR="00A31137" w:rsidRPr="00A31137" w:rsidRDefault="00A31137" w:rsidP="00A31137">
      <w:r w:rsidRPr="00A31137">
        <w:t>We will continue to oppose a sub-minimum wage for youth and other workers and to support increases in the minimum wage so as to ensure an adequate income for all workers.</w:t>
      </w:r>
    </w:p>
    <w:p w:rsidR="00A31137" w:rsidRPr="00A31137" w:rsidRDefault="00A31137" w:rsidP="00A31137">
      <w:r w:rsidRPr="00A31137">
        <w:t>Small Business</w:t>
      </w:r>
    </w:p>
    <w:p w:rsidR="00A31137" w:rsidRPr="00A31137" w:rsidRDefault="00A31137" w:rsidP="00A31137">
      <w:r w:rsidRPr="00A31137">
        <w:t>1980 Democratic Platform, p.6</w:t>
      </w:r>
    </w:p>
    <w:p w:rsidR="00A31137" w:rsidRPr="00A31137" w:rsidRDefault="00A31137" w:rsidP="00A31137">
      <w:r w:rsidRPr="00A31137">
        <w:t>The prosperity of small business is an important national priority. Over half of the major innovations in the past twenty years have come from firms with less than 1,000 employees, and technological innovation has accounted for nearly half of America's economic growth. Small firms have a cost-per-scientist or engineer half that of larger firms. Ninety-six percent of the six million jobs created in the private sector between 1968 and 1976 came from small businesses—primarily firms in business less than four years, employing less than 20 workers. In contrast, the biggest 500 manufacturing companies—accounting for 80 percent of national output—employed precisely the same number of workers in 1968 as they did in 1976.</w:t>
      </w:r>
    </w:p>
    <w:p w:rsidR="00A31137" w:rsidRPr="00A31137" w:rsidRDefault="00A31137" w:rsidP="00A31137">
      <w:r w:rsidRPr="00A31137">
        <w:t>1980 Democratic Platform, p.6</w:t>
      </w:r>
    </w:p>
    <w:p w:rsidR="00A31137" w:rsidRPr="00A31137" w:rsidRDefault="00A31137" w:rsidP="00A31137">
      <w:r w:rsidRPr="00A31137">
        <w:t>Of course, larger firms may offer other economic benefits to society, but the contribution of small business is vital and unique, and no overall program for economic recovery will succeed unless it relies heavily on small businesses. For this reason, the Democratic Party commits itself to the first comprehensive program for small business in American history. That program will include the following measures.</w:t>
      </w:r>
    </w:p>
    <w:p w:rsidR="00A31137" w:rsidRPr="00A31137" w:rsidRDefault="00A31137" w:rsidP="00A31137">
      <w:r w:rsidRPr="00A31137">
        <w:t>1980 Democratic Platform, p.6</w:t>
      </w:r>
    </w:p>
    <w:p w:rsidR="00A31137" w:rsidRPr="00A31137" w:rsidRDefault="00A31137" w:rsidP="00A31137">
      <w:r w:rsidRPr="00A31137">
        <w:t>A prompt review and response for the recommendations of the White House Conference on Small Business.</w:t>
      </w:r>
    </w:p>
    <w:p w:rsidR="00A31137" w:rsidRPr="00A31137" w:rsidRDefault="00A31137" w:rsidP="00A31137">
      <w:r w:rsidRPr="00A31137">
        <w:t>1980 Democratic Platform, p.6</w:t>
      </w:r>
    </w:p>
    <w:p w:rsidR="00A31137" w:rsidRPr="00A31137" w:rsidRDefault="00A31137" w:rsidP="00A31137">
      <w:r w:rsidRPr="00A31137">
        <w:t>Legislation to transfer from the SBA to the Farmers Home Administration responsibility for providing loans to farmers in financial need.</w:t>
      </w:r>
    </w:p>
    <w:p w:rsidR="00A31137" w:rsidRPr="00A31137" w:rsidRDefault="00A31137" w:rsidP="00A31137">
      <w:r w:rsidRPr="00A31137">
        <w:t>1980 Democratic Platform, p.6</w:t>
      </w:r>
    </w:p>
    <w:p w:rsidR="00A31137" w:rsidRPr="00A31137" w:rsidRDefault="00A31137" w:rsidP="00A31137">
      <w:r w:rsidRPr="00A31137">
        <w:t>Allocation of a fair percentage of federal research funds to small business.</w:t>
      </w:r>
    </w:p>
    <w:p w:rsidR="00A31137" w:rsidRPr="00A31137" w:rsidRDefault="00A31137" w:rsidP="00A31137">
      <w:r w:rsidRPr="00A31137">
        <w:t>1980 Democratic Platform, p.6</w:t>
      </w:r>
    </w:p>
    <w:p w:rsidR="00A31137" w:rsidRPr="00A31137" w:rsidRDefault="00A31137" w:rsidP="00A31137">
      <w:r w:rsidRPr="00A31137">
        <w:t>Protection of small and independent businesses against takeover by giant conglomerates.</w:t>
      </w:r>
    </w:p>
    <w:p w:rsidR="00A31137" w:rsidRPr="00A31137" w:rsidRDefault="00A31137" w:rsidP="00A31137">
      <w:r w:rsidRPr="00A31137">
        <w:t>1980 Democratic Platform, p.6</w:t>
      </w:r>
    </w:p>
    <w:p w:rsidR="00A31137" w:rsidRPr="00A31137" w:rsidRDefault="00A31137" w:rsidP="00A31137">
      <w:r w:rsidRPr="00A31137">
        <w:t xml:space="preserve">Continued efforts to end federal regulations which reinforce barriers to entry by new and small firms and which thereby entrench the dominance of market leaders.[p.7] </w:t>
      </w:r>
    </w:p>
    <w:p w:rsidR="00A31137" w:rsidRPr="00A31137" w:rsidRDefault="00A31137" w:rsidP="00A31137">
      <w:r w:rsidRPr="00A31137">
        <w:t>1980 Democratic Platform, p.7</w:t>
      </w:r>
    </w:p>
    <w:p w:rsidR="00A31137" w:rsidRPr="00A31137" w:rsidRDefault="00A31137" w:rsidP="00A31137">
      <w:r w:rsidRPr="00A31137">
        <w:t>A review of regulations and requirements which impose unnecessary burdens upon smaller firms. Results should provide relief for smaller firms which now pay $12.7 billion a year to fill 850 million pages of government paperwork. We will adopt regulatory requirements to meet the needs of smaller firms, where such action will not interfere with the objectives of the regulation.</w:t>
      </w:r>
    </w:p>
    <w:p w:rsidR="00A31137" w:rsidRPr="00A31137" w:rsidRDefault="00A31137" w:rsidP="00A31137">
      <w:r w:rsidRPr="00A31137">
        <w:t>Minority Business</w:t>
      </w:r>
    </w:p>
    <w:p w:rsidR="00A31137" w:rsidRPr="00A31137" w:rsidRDefault="00A31137" w:rsidP="00A31137">
      <w:r w:rsidRPr="00A31137">
        <w:t>1980 Democratic Platform, p.7</w:t>
      </w:r>
    </w:p>
    <w:p w:rsidR="00A31137" w:rsidRPr="00A31137" w:rsidRDefault="00A31137" w:rsidP="00A31137">
      <w:r w:rsidRPr="00A31137">
        <w:t>A Democratic Congress and a Democratic Administration have worked together to increase opportunities for minority businesses, which have suffered from inadequate capitalization. Enormous progress has been made in the last four years.</w:t>
      </w:r>
    </w:p>
    <w:p w:rsidR="00A31137" w:rsidRPr="00A31137" w:rsidRDefault="00A31137" w:rsidP="00A31137">
      <w:r w:rsidRPr="00A31137">
        <w:t>1980 Democratic Platform, p.7</w:t>
      </w:r>
    </w:p>
    <w:p w:rsidR="00A31137" w:rsidRPr="00A31137" w:rsidRDefault="00A31137" w:rsidP="00A31137">
      <w:r w:rsidRPr="00A31137">
        <w:t>Federal procurement from minority-owned firms has increased by nearly two and a half times.</w:t>
      </w:r>
    </w:p>
    <w:p w:rsidR="00A31137" w:rsidRPr="00A31137" w:rsidRDefault="00A31137" w:rsidP="00A31137">
      <w:r w:rsidRPr="00A31137">
        <w:t>1980 Democratic Platform, p.7</w:t>
      </w:r>
    </w:p>
    <w:p w:rsidR="00A31137" w:rsidRPr="00A31137" w:rsidRDefault="00A31137" w:rsidP="00A31137">
      <w:r w:rsidRPr="00A31137">
        <w:t>Federal deposits in minority-owned banks have already doubled.</w:t>
      </w:r>
    </w:p>
    <w:p w:rsidR="00A31137" w:rsidRPr="00A31137" w:rsidRDefault="00A31137" w:rsidP="00A31137">
      <w:r w:rsidRPr="00A31137">
        <w:t>1980 Democratic Platform, p.7</w:t>
      </w:r>
    </w:p>
    <w:p w:rsidR="00A31137" w:rsidRPr="00A31137" w:rsidRDefault="00A31137" w:rsidP="00A31137">
      <w:r w:rsidRPr="00A31137">
        <w:t>Minority ownership of radio and television stations has increased by 65 percent.</w:t>
      </w:r>
    </w:p>
    <w:p w:rsidR="00A31137" w:rsidRPr="00A31137" w:rsidRDefault="00A31137" w:rsidP="00A31137">
      <w:r w:rsidRPr="00A31137">
        <w:t>1980 Democratic Platform, p.7</w:t>
      </w:r>
    </w:p>
    <w:p w:rsidR="00A31137" w:rsidRPr="00A31137" w:rsidRDefault="00A31137" w:rsidP="00A31137">
      <w:r w:rsidRPr="00A31137">
        <w:t>Almost 15 percent of the funds spent under the Local Public Works Act went to minority-owned firms.</w:t>
      </w:r>
    </w:p>
    <w:p w:rsidR="00A31137" w:rsidRPr="00A31137" w:rsidRDefault="00A31137" w:rsidP="00A31137">
      <w:r w:rsidRPr="00A31137">
        <w:t>1980 Democratic Platform, p.7</w:t>
      </w:r>
    </w:p>
    <w:p w:rsidR="00A31137" w:rsidRPr="00A31137" w:rsidRDefault="00A31137" w:rsidP="00A31137">
      <w:r w:rsidRPr="00A31137">
        <w:t>The Section 8(a) program operated by the Small Business Administration has been reformed and strengthened.</w:t>
      </w:r>
    </w:p>
    <w:p w:rsidR="00A31137" w:rsidRPr="00A31137" w:rsidRDefault="00A31137" w:rsidP="00A31137">
      <w:r w:rsidRPr="00A31137">
        <w:t>1980 Democratic Platform, p.7</w:t>
      </w:r>
    </w:p>
    <w:p w:rsidR="00A31137" w:rsidRPr="00A31137" w:rsidRDefault="00A31137" w:rsidP="00A31137">
      <w:r w:rsidRPr="00A31137">
        <w:t>The Democratic Party pledges itself to advance minority businesses, including Black, Hispanic, Asian/ Pacific Americans, Native Americans and other minorities to:</w:t>
      </w:r>
    </w:p>
    <w:p w:rsidR="00A31137" w:rsidRPr="00A31137" w:rsidRDefault="00A31137" w:rsidP="00A31137">
      <w:r w:rsidRPr="00A31137">
        <w:t>1980 Democratic Platform, p.7</w:t>
      </w:r>
    </w:p>
    <w:p w:rsidR="00A31137" w:rsidRPr="00A31137" w:rsidRDefault="00A31137" w:rsidP="00A31137">
      <w:r w:rsidRPr="00A31137">
        <w:t>–Increase the overall level of support and the overall level of federal procurement so that minority groups will receive additional benefits and opportunities.</w:t>
      </w:r>
    </w:p>
    <w:p w:rsidR="00A31137" w:rsidRPr="00A31137" w:rsidRDefault="00A31137" w:rsidP="00A31137">
      <w:r w:rsidRPr="00A31137">
        <w:t>1980 Democratic Platform, p.7</w:t>
      </w:r>
    </w:p>
    <w:p w:rsidR="00A31137" w:rsidRPr="00A31137" w:rsidRDefault="00A31137" w:rsidP="00A31137">
      <w:r w:rsidRPr="00A31137">
        <w:t>–Triple the 1980 level of federal procurement from minority-owned firms as we have tripled the 1977 levels in the past three years.</w:t>
      </w:r>
    </w:p>
    <w:p w:rsidR="00A31137" w:rsidRPr="00A31137" w:rsidRDefault="00A31137" w:rsidP="00A31137">
      <w:r w:rsidRPr="00A31137">
        <w:t>1980 Democratic Platform, p.7</w:t>
      </w:r>
    </w:p>
    <w:p w:rsidR="00A31137" w:rsidRPr="00A31137" w:rsidRDefault="00A31137" w:rsidP="00A31137">
      <w:r w:rsidRPr="00A31137">
        <w:t>–Increase substantially the targeting of Small Business Administration loans to minority-owned businesses.</w:t>
      </w:r>
    </w:p>
    <w:p w:rsidR="00A31137" w:rsidRPr="00A31137" w:rsidRDefault="00A31137" w:rsidP="00A31137">
      <w:r w:rsidRPr="00A31137">
        <w:t>1980 Democratic Platform, p.7</w:t>
      </w:r>
    </w:p>
    <w:p w:rsidR="00A31137" w:rsidRPr="00A31137" w:rsidRDefault="00A31137" w:rsidP="00A31137">
      <w:r w:rsidRPr="00A31137">
        <w:t>–Increase ownership of small businesses by minorities, especially in those areas which have traditionally been dosed to minorities, such as communications and newspapers.</w:t>
      </w:r>
    </w:p>
    <w:p w:rsidR="00A31137" w:rsidRPr="00A31137" w:rsidRDefault="00A31137" w:rsidP="00A31137">
      <w:r w:rsidRPr="00A31137">
        <w:t>1980 Democratic Platform, p.7</w:t>
      </w:r>
    </w:p>
    <w:p w:rsidR="00A31137" w:rsidRPr="00A31137" w:rsidRDefault="00A31137" w:rsidP="00A31137">
      <w:r w:rsidRPr="00A31137">
        <w:t>–Expand management, technical, and training assistance for minority firms, and strengthen minority capital development under the SBA's Minority Enterprise Small Business Investment Company (MESBIC) program.</w:t>
      </w:r>
    </w:p>
    <w:p w:rsidR="00A31137" w:rsidRPr="00A31137" w:rsidRDefault="00A31137" w:rsidP="00A31137">
      <w:r w:rsidRPr="00A31137">
        <w:t>1980 Democratic Platform, p.7</w:t>
      </w:r>
    </w:p>
    <w:p w:rsidR="00A31137" w:rsidRPr="00A31137" w:rsidRDefault="00A31137" w:rsidP="00A31137">
      <w:r w:rsidRPr="00A31137">
        <w:t>–Establish a Minority Business Development Agency in the Department of Commerce under statutory mandate.</w:t>
      </w:r>
    </w:p>
    <w:p w:rsidR="00A31137" w:rsidRPr="00A31137" w:rsidRDefault="00A31137" w:rsidP="00A31137">
      <w:r w:rsidRPr="00A31137">
        <w:t>1980 Democratic Platform, p.7</w:t>
      </w:r>
    </w:p>
    <w:p w:rsidR="00A31137" w:rsidRPr="00A31137" w:rsidRDefault="00A31137" w:rsidP="00A31137">
      <w:r w:rsidRPr="00A31137">
        <w:t>–Implement vigorously all set-aside provisions for minority businesses.</w:t>
      </w:r>
    </w:p>
    <w:p w:rsidR="00A31137" w:rsidRPr="00A31137" w:rsidRDefault="00A31137" w:rsidP="00A31137">
      <w:r w:rsidRPr="00A31137">
        <w:t>Women in Business</w:t>
      </w:r>
    </w:p>
    <w:p w:rsidR="00A31137" w:rsidRPr="00A31137" w:rsidRDefault="00A31137" w:rsidP="00A31137">
      <w:r w:rsidRPr="00A31137">
        <w:t>1980 Democratic Platform, p.7</w:t>
      </w:r>
    </w:p>
    <w:p w:rsidR="00A31137" w:rsidRPr="00A31137" w:rsidRDefault="00A31137" w:rsidP="00A31137">
      <w:r w:rsidRPr="00A31137">
        <w:t>The Democrats have exercised effective leadership in the field of support to women-owned businesses. A national policy was developed to support women's business enterprises, and SBA created the first program to help women entrepreneurs, President Carter has issued an Executive Order creating a national women's business enterprise policy and prescribing arrangements for developing, coordinating, and implementing a national program for women's business enterprise.</w:t>
      </w:r>
    </w:p>
    <w:p w:rsidR="00A31137" w:rsidRPr="00A31137" w:rsidRDefault="00A31137" w:rsidP="00A31137">
      <w:r w:rsidRPr="00A31137">
        <w:t>1980 Democratic Platform, p.7</w:t>
      </w:r>
    </w:p>
    <w:p w:rsidR="00A31137" w:rsidRPr="00A31137" w:rsidRDefault="00A31137" w:rsidP="00A31137">
      <w:r w:rsidRPr="00A31137">
        <w:t>Support of this program must be expanded through effective implementation of the Executive Order to ensure an equitable distribution of government prime and subcontracts to women business owners. Cabinet Secretaries and agency heads, working with the Office of Federal Procurement Policy, must monitor realistic goals established for the award of government business and financial support to women-owned businesses.</w:t>
      </w:r>
    </w:p>
    <w:p w:rsidR="00A31137" w:rsidRPr="00A31137" w:rsidRDefault="00A31137" w:rsidP="00A31137">
      <w:r w:rsidRPr="00A31137">
        <w:t>1980 Democratic Platform, p.7</w:t>
      </w:r>
    </w:p>
    <w:p w:rsidR="00A31137" w:rsidRPr="00A31137" w:rsidRDefault="00A31137" w:rsidP="00A31137">
      <w:r w:rsidRPr="00A31137">
        <w:t>As the key office within the federal government for these programs, the Office of Women's Business Enterprise in SBA must be strengthened through adequate staffing and funding, and should receive continued emphasis by key White House and Office of Management and Budget personnel.</w:t>
      </w:r>
    </w:p>
    <w:p w:rsidR="00A31137" w:rsidRPr="00A31137" w:rsidRDefault="00A31137" w:rsidP="00A31137">
      <w:r w:rsidRPr="00A31137">
        <w:t>Women and The Economy</w:t>
      </w:r>
    </w:p>
    <w:p w:rsidR="00A31137" w:rsidRPr="00A31137" w:rsidRDefault="00A31137" w:rsidP="00A31137">
      <w:r w:rsidRPr="00A31137">
        <w:t>1980 Democratic Platform, p.7</w:t>
      </w:r>
    </w:p>
    <w:p w:rsidR="00A31137" w:rsidRPr="00A31137" w:rsidRDefault="00A31137" w:rsidP="00A31137">
      <w:r w:rsidRPr="00A31137">
        <w:t>We pledge to secure the rights of working women, homemakers, minority women and elderly women to a fair share of our economy. A sound economy in the next four years is of vital importance to women, who are often at the bottom of the economic ladder. But if our economy is to be truly fair, additional steps are required to address the inequities that women now face.</w:t>
      </w:r>
    </w:p>
    <w:p w:rsidR="00A31137" w:rsidRPr="00A31137" w:rsidRDefault="00A31137" w:rsidP="00A31137">
      <w:r w:rsidRPr="00A31137">
        <w:t>1980 Democratic Platform, p.7</w:t>
      </w:r>
    </w:p>
    <w:p w:rsidR="00A31137" w:rsidRPr="00A31137" w:rsidRDefault="00A31137" w:rsidP="00A31137">
      <w:r w:rsidRPr="00A31137">
        <w:t>Special attention must be paid to the employment needs of women. Today, women who can find work earn, on average, only fifty-nine cents for every dollar earned by men.</w:t>
      </w:r>
    </w:p>
    <w:p w:rsidR="00A31137" w:rsidRPr="00A31137" w:rsidRDefault="00A31137" w:rsidP="00A31137">
      <w:r w:rsidRPr="00A31137">
        <w:t>1980 Democratic Platform, p.7</w:t>
      </w:r>
    </w:p>
    <w:p w:rsidR="00A31137" w:rsidRPr="00A31137" w:rsidRDefault="00A31137" w:rsidP="00A31137">
      <w:r w:rsidRPr="00A31137">
        <w:t>The Democratic Party, therefore, commits itself to strong steps to close the wage gap between men and women, to expand child care opportunities for families with working parents, to end the tax discrimination that penalizes married working couples, and to ensure that women can retire in dignity.</w:t>
      </w:r>
    </w:p>
    <w:p w:rsidR="00A31137" w:rsidRPr="00A31137" w:rsidRDefault="00A31137" w:rsidP="00A31137">
      <w:r w:rsidRPr="00A31137">
        <w:t>1980 Democratic Platform, p.7</w:t>
      </w:r>
    </w:p>
    <w:p w:rsidR="00A31137" w:rsidRPr="00A31137" w:rsidRDefault="00A31137" w:rsidP="00A31137">
      <w:r w:rsidRPr="00A31137">
        <w:t>We will strictly enforce existing anti-discrimination laws with respect to hiring, pay and promotions. We will adopt a full employment policy, with increased possibilities for part-time work Vocational programs for young women in our high schools and colleges will be equalized and expanded. Fields traditionally reserved for men…from construction to engineering…must [p.8] be opened to women, a goal which must be promoted through government incentives and federally sponsored training programs.</w:t>
      </w:r>
    </w:p>
    <w:p w:rsidR="00A31137" w:rsidRPr="00A31137" w:rsidRDefault="00A31137" w:rsidP="00A31137">
      <w:r w:rsidRPr="00A31137">
        <w:t>1980 Democratic Platform, p.8</w:t>
      </w:r>
    </w:p>
    <w:p w:rsidR="00A31137" w:rsidRPr="00A31137" w:rsidRDefault="00A31137" w:rsidP="00A31137">
      <w:r w:rsidRPr="00A31137">
        <w:t>Perhaps most important, the Democratic Party is committed to the principle of equal pay for work of comparable value. Through new job classification studies by the Department of Labor, job reclassification by the Office of Personnel Management and new legislation from Congress if necessary, we will ensure that women in both the public and private sectors are not only paid equally for work which is identical to that performed by men, but are also paid equally for work which is of comparable value to that performed by men.</w:t>
      </w:r>
    </w:p>
    <w:p w:rsidR="00A31137" w:rsidRPr="00A31137" w:rsidRDefault="00A31137" w:rsidP="00A31137">
      <w:r w:rsidRPr="00A31137">
        <w:t>1980 Democratic Platform, p.8</w:t>
      </w:r>
    </w:p>
    <w:p w:rsidR="00A31137" w:rsidRPr="00A31137" w:rsidRDefault="00A31137" w:rsidP="00A31137">
      <w:r w:rsidRPr="00A31137">
        <w:t>The Democratic Party must lead the way in ensuring that women and minorities are afforded real equality in the work force, neither displacing the other. As the nation's single largest employer, the hiring and promotion practices of the federal government must set an example. Every branch of government will be mandated not only to hire qualified women and minorities, but also affirmatively to seek out able minorities and women within the government for training and promotion. Opportunities for part-time work will be expanded and pay equalized to reflect the value of the work which is done.</w:t>
      </w:r>
    </w:p>
    <w:p w:rsidR="00A31137" w:rsidRPr="00A31137" w:rsidRDefault="00A31137" w:rsidP="00A31137">
      <w:r w:rsidRPr="00A31137">
        <w:t>Economic Inequities Facing Minorities</w:t>
      </w:r>
    </w:p>
    <w:p w:rsidR="00A31137" w:rsidRPr="00A31137" w:rsidRDefault="00A31137" w:rsidP="00A31137">
      <w:r w:rsidRPr="00A31137">
        <w:t>1980 Democratic Platform, p.8</w:t>
      </w:r>
    </w:p>
    <w:p w:rsidR="00A31137" w:rsidRPr="00A31137" w:rsidRDefault="00A31137" w:rsidP="00A31137">
      <w:r w:rsidRPr="00A31137">
        <w:t>We must expand jobs and job training including apprenticeship training programs for those who have special problems—groups such as the young, veterans, older workers, minorities, those with limited fluency in English, and the handicapped. The Democratic Party pledges that anyone who wants to learn the skills necessary to secure a job will be able to do so.</w:t>
      </w:r>
    </w:p>
    <w:p w:rsidR="00A31137" w:rsidRPr="00A31137" w:rsidRDefault="00A31137" w:rsidP="00A31137">
      <w:r w:rsidRPr="00A31137">
        <w:t>1980 Democratic Platform, p.8</w:t>
      </w:r>
    </w:p>
    <w:p w:rsidR="00A31137" w:rsidRPr="00A31137" w:rsidRDefault="00A31137" w:rsidP="00A31137">
      <w:r w:rsidRPr="00A31137">
        <w:t>We also must improve the quality of the programs designed to help the structurally unemployed. We must give trainees a better sense of what work will be like, assure a higher level of training, and undertake greater efforts to place people in jobs and help them adjust to the world of work. We should explore several methods for making such improvements, including performance funding. More money should go to those training programs which prove most successful. Particular emphasis should be given to training programs run by community-based organizations which have a superior record of success.</w:t>
      </w:r>
    </w:p>
    <w:p w:rsidR="00A31137" w:rsidRPr="00A31137" w:rsidRDefault="00A31137" w:rsidP="00A31137">
      <w:r w:rsidRPr="00A31137">
        <w:t>1980 Democratic Platform, p.8</w:t>
      </w:r>
    </w:p>
    <w:p w:rsidR="00A31137" w:rsidRPr="00A31137" w:rsidRDefault="00A31137" w:rsidP="00A31137">
      <w:r w:rsidRPr="00A31137">
        <w:t>Where public agencies have trouble reaching those who seem unemployable, and where the training they provide is not effective we should assist business to provide that training. We should ensure that business is not paid merely for hiring those that would be hired anyway, and that federal subsidies are truly training subsidies and not disguised wage subsidies.</w:t>
      </w:r>
    </w:p>
    <w:p w:rsidR="00A31137" w:rsidRPr="00A31137" w:rsidRDefault="00A31137" w:rsidP="00A31137">
      <w:r w:rsidRPr="00A31137">
        <w:t>1980 Democratic Platform, p.8</w:t>
      </w:r>
    </w:p>
    <w:p w:rsidR="00A31137" w:rsidRPr="00A31137" w:rsidRDefault="00A31137" w:rsidP="00A31137">
      <w:r w:rsidRPr="00A31137">
        <w:t>A major effort must be undertaken to address youth employment. Half the unemployed are under twenty-five. Teenage inner city unemployment is at disastrous levels of 50 percent or higher. The problem is one of both employment and employability—a lack of jobs and a lack of skills.</w:t>
      </w:r>
    </w:p>
    <w:p w:rsidR="00A31137" w:rsidRPr="00A31137" w:rsidRDefault="00A31137" w:rsidP="00A31137">
      <w:r w:rsidRPr="00A31137">
        <w:t>1980 Democratic Platform, p.8</w:t>
      </w:r>
    </w:p>
    <w:p w:rsidR="00A31137" w:rsidRPr="00A31137" w:rsidRDefault="00A31137" w:rsidP="00A31137">
      <w:r w:rsidRPr="00A31137">
        <w:t>We need new combinations of work experience and training for young people, new links between schools and the workplace, new ways to reach out to those who are out of school and out of work, but who have special need for skill development and job experience.</w:t>
      </w:r>
    </w:p>
    <w:p w:rsidR="00A31137" w:rsidRPr="00A31137" w:rsidRDefault="00A31137" w:rsidP="00A31137">
      <w:r w:rsidRPr="00A31137">
        <w:t>Consumer Protection</w:t>
      </w:r>
    </w:p>
    <w:p w:rsidR="00A31137" w:rsidRPr="00A31137" w:rsidRDefault="00A31137" w:rsidP="00A31137">
      <w:r w:rsidRPr="00A31137">
        <w:t>1980 Democratic Platform, p.8</w:t>
      </w:r>
    </w:p>
    <w:p w:rsidR="00A31137" w:rsidRPr="00A31137" w:rsidRDefault="00A31137" w:rsidP="00A31137">
      <w:r w:rsidRPr="00A31137">
        <w:t>Since the first administration of Franklin Roosevelt, the Democratic Party has stood as the Party which championed consumer rights. It is our tradition to support and enact policies which guarantee that the consumer is sovereign in the market place. It is our history to institute necessary government programs to protect the health, safety and economic well-being of the American consumer. And it is our way of governing to ensure that consumers have full opportunity to participate in the decision-making processes of government.</w:t>
      </w:r>
    </w:p>
    <w:p w:rsidR="00A31137" w:rsidRPr="00A31137" w:rsidRDefault="00A31137" w:rsidP="00A31137">
      <w:r w:rsidRPr="00A31137">
        <w:t>1980 Democratic Platform, p.8</w:t>
      </w:r>
    </w:p>
    <w:p w:rsidR="00A31137" w:rsidRPr="00A31137" w:rsidRDefault="00A31137" w:rsidP="00A31137">
      <w:r w:rsidRPr="00A31137">
        <w:t>Working together, the Democratic Administration and Congress have maintained that tradition. Prominent consumer advocates have been appointed to key government positions. A new National Consumer Cooperative Bank has been created, and a Fair Debt Collection Practices Act has been enacted. Each federal agency has been directed to establish procedures so that consumer needs and interests are adequately considered and addressed on a continual basis. The basic consumer protection authorities of the Federal Trade Commission have been preserved.</w:t>
      </w:r>
    </w:p>
    <w:p w:rsidR="00A31137" w:rsidRPr="00A31137" w:rsidRDefault="00A31137" w:rsidP="00A31137">
      <w:r w:rsidRPr="00A31137">
        <w:t>1980 Democratic Platform, p.8</w:t>
      </w:r>
    </w:p>
    <w:p w:rsidR="00A31137" w:rsidRPr="00A31137" w:rsidRDefault="00A31137" w:rsidP="00A31137">
      <w:r w:rsidRPr="00A31137">
        <w:t>Over the next four years, we must continue to guarantee and enhance the basic consumer rights to safety, to information, to choice and to a fair hearing.</w:t>
      </w:r>
    </w:p>
    <w:p w:rsidR="00A31137" w:rsidRPr="00A31137" w:rsidRDefault="00A31137" w:rsidP="00A31137">
      <w:r w:rsidRPr="00A31137">
        <w:t>1980 Democratic Platform, p.8</w:t>
      </w:r>
    </w:p>
    <w:p w:rsidR="00A31137" w:rsidRPr="00A31137" w:rsidRDefault="00A31137" w:rsidP="00A31137">
      <w:r w:rsidRPr="00A31137">
        <w:t>Government must continue its efforts to create a strong independent voice to ensure that the consumer's interest is considered in government proceedings. We pledge continued support for an independent consumer protection agency to protect the rights and interests of consumers. Until one is created, we must ensure that each department and agency of the government has established and adequately funded a consumer program which complies with the requirements of Executive Order 12160. Each agency must provide ample opportunity for public involvement in its proceedings and should strive to adopt a program to provide funds for consumers and small businesses to participate in those proceedings.</w:t>
      </w:r>
    </w:p>
    <w:p w:rsidR="00A31137" w:rsidRPr="00A31137" w:rsidRDefault="00A31137" w:rsidP="00A31137">
      <w:r w:rsidRPr="00A31137">
        <w:t>1980 Democratic Platform, p.8</w:t>
      </w:r>
    </w:p>
    <w:p w:rsidR="00A31137" w:rsidRPr="00A31137" w:rsidRDefault="00A31137" w:rsidP="00A31137">
      <w:r w:rsidRPr="00A31137">
        <w:t>We must continue our support of basic health, safety, environmental and consumer protection regulatory [p.9] programs and must undertake the following new initiatives to provide additional basic protections to consumers:</w:t>
      </w:r>
    </w:p>
    <w:p w:rsidR="00A31137" w:rsidRPr="00A31137" w:rsidRDefault="00A31137" w:rsidP="00A31137">
      <w:r w:rsidRPr="00A31137">
        <w:t>1980 Democratic Platform, p.9</w:t>
      </w:r>
    </w:p>
    <w:p w:rsidR="00A31137" w:rsidRPr="00A31137" w:rsidRDefault="00A31137" w:rsidP="00A31137">
      <w:r w:rsidRPr="00A31137">
        <w:t>–Comprehensive review of food safety and drug statutes, with particular emphasis on food labeling which discloses product ingredients.</w:t>
      </w:r>
    </w:p>
    <w:p w:rsidR="00A31137" w:rsidRPr="00A31137" w:rsidRDefault="00A31137" w:rsidP="00A31137">
      <w:r w:rsidRPr="00A31137">
        <w:t>1980 Democratic Platform, p.9</w:t>
      </w:r>
    </w:p>
    <w:p w:rsidR="00A31137" w:rsidRPr="00A31137" w:rsidRDefault="00A31137" w:rsidP="00A31137">
      <w:r w:rsidRPr="00A31137">
        <w:t>–Requirements for full warranties for new automobiles.</w:t>
      </w:r>
    </w:p>
    <w:p w:rsidR="00A31137" w:rsidRPr="00A31137" w:rsidRDefault="00A31137" w:rsidP="00A31137">
      <w:r w:rsidRPr="00A31137">
        <w:t>1980 Democratic Platform, p.9</w:t>
      </w:r>
    </w:p>
    <w:p w:rsidR="00A31137" w:rsidRPr="00A31137" w:rsidRDefault="00A31137" w:rsidP="00A31137">
      <w:r w:rsidRPr="00A31137">
        <w:t>–Class action reform to remove unnecessarily burdensome and expensive procedures.</w:t>
      </w:r>
    </w:p>
    <w:p w:rsidR="00A31137" w:rsidRPr="00A31137" w:rsidRDefault="00A31137" w:rsidP="00A31137">
      <w:r w:rsidRPr="00A31137">
        <w:t>1980 Democratic Platform, p.9</w:t>
      </w:r>
    </w:p>
    <w:p w:rsidR="00A31137" w:rsidRPr="00A31137" w:rsidRDefault="00A31137" w:rsidP="00A31137">
      <w:r w:rsidRPr="00A31137">
        <w:t>–Reform of requirements for legal standing to seek judicial redress.</w:t>
      </w:r>
    </w:p>
    <w:p w:rsidR="00A31137" w:rsidRPr="00A31137" w:rsidRDefault="00A31137" w:rsidP="00A31137">
      <w:r w:rsidRPr="00A31137">
        <w:t>1980 Democratic Platform, p.9</w:t>
      </w:r>
    </w:p>
    <w:p w:rsidR="00A31137" w:rsidRPr="00A31137" w:rsidRDefault="00A31137" w:rsidP="00A31137">
      <w:r w:rsidRPr="00A31137">
        <w:t>–Protection for consumers against dangerous products, including standards for automobile safety, clothing flammability, new drugs and chemicals, and food and children's products.</w:t>
      </w:r>
    </w:p>
    <w:p w:rsidR="00A31137" w:rsidRPr="00A31137" w:rsidRDefault="00A31137" w:rsidP="00A31137">
      <w:r w:rsidRPr="00A31137">
        <w:t>1980 Democratic Platform, p.9</w:t>
      </w:r>
    </w:p>
    <w:p w:rsidR="00A31137" w:rsidRPr="00A31137" w:rsidRDefault="00A31137" w:rsidP="00A31137">
      <w:r w:rsidRPr="00A31137">
        <w:t>–Vigorous enforcement of truth-in-lending, anti-redlining, and fair credit reporting laws.</w:t>
      </w:r>
    </w:p>
    <w:p w:rsidR="00A31137" w:rsidRPr="00A31137" w:rsidRDefault="00A31137" w:rsidP="00A31137">
      <w:r w:rsidRPr="00A31137">
        <w:t>1980 Democratic Platform, p.9</w:t>
      </w:r>
    </w:p>
    <w:p w:rsidR="00A31137" w:rsidRPr="00A31137" w:rsidRDefault="00A31137" w:rsidP="00A31137">
      <w:r w:rsidRPr="00A31137">
        <w:t>–Curtailment of abuses in sale of credit life insurance.</w:t>
      </w:r>
    </w:p>
    <w:p w:rsidR="00A31137" w:rsidRPr="00A31137" w:rsidRDefault="00A31137" w:rsidP="00A31137">
      <w:r w:rsidRPr="00A31137">
        <w:t>1980 Democratic Platform, p.9</w:t>
      </w:r>
    </w:p>
    <w:p w:rsidR="00A31137" w:rsidRPr="00A31137" w:rsidRDefault="00A31137" w:rsidP="00A31137">
      <w:r w:rsidRPr="00A31137">
        <w:t>While consumer regulatory programs are necessary to achieve social goals, we recognize that an effective competition policy frees the market place from regulation. Therefore, we support vigorous enforcement and strengthening of the antitrust laws. Legislation should be enacted to overturn the Illinois Brick case and allow consumers who are injured as a result of a violation of the antitrust laws to seek redress, whether or not they have dealt directly with the violator.</w:t>
      </w:r>
    </w:p>
    <w:p w:rsidR="00A31137" w:rsidRPr="00A31137" w:rsidRDefault="00A31137" w:rsidP="00A31137">
      <w:r w:rsidRPr="00A31137">
        <w:t>1980 Democratic Platform, p.9</w:t>
      </w:r>
    </w:p>
    <w:p w:rsidR="00A31137" w:rsidRPr="00A31137" w:rsidRDefault="00A31137" w:rsidP="00A31137">
      <w:r w:rsidRPr="00A31137">
        <w:t>We are committed to ensuring that America's poor do not suffer from lack of food. To this end, we support continued funding of the Food Stamp Program and expansion of the Women, Infant and Children (WIC) program.</w:t>
      </w:r>
    </w:p>
    <w:p w:rsidR="00A31137" w:rsidRPr="00A31137" w:rsidRDefault="00A31137" w:rsidP="00A31137">
      <w:r w:rsidRPr="00A31137">
        <w:t>1980 Democratic Platform, p.9</w:t>
      </w:r>
    </w:p>
    <w:p w:rsidR="00A31137" w:rsidRPr="00A31137" w:rsidRDefault="00A31137" w:rsidP="00A31137">
      <w:r w:rsidRPr="00A31137">
        <w:t>We support the efforts of the National Consumer Cooperative Bank to assist grass roots consumer organizations to undertake self-help programs.</w:t>
      </w:r>
    </w:p>
    <w:p w:rsidR="00A31137" w:rsidRPr="00A31137" w:rsidRDefault="00A31137" w:rsidP="00A31137">
      <w:r w:rsidRPr="00A31137">
        <w:t>1980 Democratic Platform, p.9</w:t>
      </w:r>
    </w:p>
    <w:p w:rsidR="00A31137" w:rsidRPr="00A31137" w:rsidRDefault="00A31137" w:rsidP="00A31137">
      <w:r w:rsidRPr="00A31137">
        <w:t>We support a nationwide program of consumer education to enable citizens to fully understand their rights in the market place, to be informed of the opportunities for participation in government decision-making, and to be equipped to make intelligent, rational consumer decisions.</w:t>
      </w:r>
    </w:p>
    <w:p w:rsidR="00A31137" w:rsidRPr="00A31137" w:rsidRDefault="00A31137" w:rsidP="00A31137">
      <w:r w:rsidRPr="00A31137">
        <w:t>Antitrust Enforcement</w:t>
      </w:r>
    </w:p>
    <w:p w:rsidR="00A31137" w:rsidRPr="00A31137" w:rsidRDefault="00A31137" w:rsidP="00A31137">
      <w:r w:rsidRPr="00A31137">
        <w:t>1980 Democratic Platform, p.9</w:t>
      </w:r>
    </w:p>
    <w:p w:rsidR="00A31137" w:rsidRPr="00A31137" w:rsidRDefault="00A31137" w:rsidP="00A31137">
      <w:r w:rsidRPr="00A31137">
        <w:t>America must commit itself to a free, open and competitive economy. We pledge vigorous antitrust enforcement in those areas of the economy which are not regulated by government and in those which are, we pledge an agency-by-agency review to prevent regulation from frustrating competition.</w:t>
      </w:r>
    </w:p>
    <w:p w:rsidR="00A31137" w:rsidRPr="00A31137" w:rsidRDefault="00A31137" w:rsidP="00A31137">
      <w:r w:rsidRPr="00A31137">
        <w:t>1980 Democratic Platform, p.9</w:t>
      </w:r>
    </w:p>
    <w:p w:rsidR="00A31137" w:rsidRPr="00A31137" w:rsidRDefault="00A31137" w:rsidP="00A31137">
      <w:r w:rsidRPr="00A31137">
        <w:t>To accomplish these goals, we must:</w:t>
      </w:r>
    </w:p>
    <w:p w:rsidR="00A31137" w:rsidRPr="00A31137" w:rsidRDefault="00A31137" w:rsidP="00A31137">
      <w:r w:rsidRPr="00A31137">
        <w:t>1980 Democratic Platform, p.9</w:t>
      </w:r>
    </w:p>
    <w:p w:rsidR="00A31137" w:rsidRPr="00A31137" w:rsidRDefault="00A31137" w:rsidP="00A31137">
      <w:r w:rsidRPr="00A31137">
        <w:t>–Enact the Illinois Brick legislation.</w:t>
      </w:r>
    </w:p>
    <w:p w:rsidR="00A31137" w:rsidRPr="00A31137" w:rsidRDefault="00A31137" w:rsidP="00A31137">
      <w:r w:rsidRPr="00A31137">
        <w:t>1980 Democratic Platform, p.9</w:t>
      </w:r>
    </w:p>
    <w:p w:rsidR="00A31137" w:rsidRPr="00A31137" w:rsidRDefault="00A31137" w:rsidP="00A31137">
      <w:r w:rsidRPr="00A31137">
        <w:t>–Permit consumers and other interested parties to seek enforcement of consent decrees issued in antitrust cases brought by government.</w:t>
      </w:r>
    </w:p>
    <w:p w:rsidR="00A31137" w:rsidRPr="00A31137" w:rsidRDefault="00A31137" w:rsidP="00A31137">
      <w:r w:rsidRPr="00A31137">
        <w:t>1980 Democratic Platform, p.9</w:t>
      </w:r>
    </w:p>
    <w:p w:rsidR="00A31137" w:rsidRPr="00A31137" w:rsidRDefault="00A31137" w:rsidP="00A31137">
      <w:r w:rsidRPr="00A31137">
        <w:t>– Prevent anti-competitive pricing by firms in concentrated industries, and combat price signalling and other forms of anti-competitive conduct which do not fall into the current legal categories of either monopoly or collusion.</w:t>
      </w:r>
    </w:p>
    <w:p w:rsidR="00A31137" w:rsidRPr="00A31137" w:rsidRDefault="00A31137" w:rsidP="00A31137">
      <w:r w:rsidRPr="00A31137">
        <w:t>1980 Democratic Platform, p.9</w:t>
      </w:r>
    </w:p>
    <w:p w:rsidR="00A31137" w:rsidRPr="00A31137" w:rsidRDefault="00A31137" w:rsidP="00A31137">
      <w:r w:rsidRPr="00A31137">
        <w:t>–Control conglomerate mergers, when such mergers undermine important economic, social and political values without offsetting economic benefits.</w:t>
      </w:r>
    </w:p>
    <w:p w:rsidR="00A31137" w:rsidRPr="00A31137" w:rsidRDefault="00A31137" w:rsidP="00A31137">
      <w:r w:rsidRPr="00A31137">
        <w:t>1980 Democratic Platform, p.9</w:t>
      </w:r>
    </w:p>
    <w:p w:rsidR="00A31137" w:rsidRPr="00A31137" w:rsidRDefault="00A31137" w:rsidP="00A31137">
      <w:r w:rsidRPr="00A31137">
        <w:t>–Reform antitrust procedures to speed up cases and deter dilatory conduct by any party.</w:t>
      </w:r>
    </w:p>
    <w:p w:rsidR="00A31137" w:rsidRPr="00A31137" w:rsidRDefault="00A31137" w:rsidP="00A31137">
      <w:r w:rsidRPr="00A31137">
        <w:t>1980 Democratic Platform, p.9</w:t>
      </w:r>
    </w:p>
    <w:p w:rsidR="00A31137" w:rsidRPr="00A31137" w:rsidRDefault="00A31137" w:rsidP="00A31137">
      <w:r w:rsidRPr="00A31137">
        <w:t>–Provide strong support for antitrust enforcement by the federal enforcement agencies.</w:t>
      </w:r>
    </w:p>
    <w:p w:rsidR="00A31137" w:rsidRPr="00A31137" w:rsidRDefault="00A31137" w:rsidP="00A31137">
      <w:r w:rsidRPr="00A31137">
        <w:t>1980 Democratic Platform, p.9</w:t>
      </w:r>
    </w:p>
    <w:p w:rsidR="00A31137" w:rsidRPr="00A31137" w:rsidRDefault="00A31137" w:rsidP="00A31137">
      <w:r w:rsidRPr="00A31137">
        <w:t>–Provide technical and financial support for the antitrust enforcement efforts of the state attorneys-general and other state antitrust agencies.</w:t>
      </w:r>
    </w:p>
    <w:p w:rsidR="00A31137" w:rsidRPr="00A31137" w:rsidRDefault="00A31137" w:rsidP="00A31137">
      <w:r w:rsidRPr="00A31137">
        <w:t>1980 Democratic Platform, p.9</w:t>
      </w:r>
    </w:p>
    <w:p w:rsidR="00A31137" w:rsidRPr="00A31137" w:rsidRDefault="00A31137" w:rsidP="00A31137">
      <w:r w:rsidRPr="00A31137">
        <w:t>–Develop a "single stop" clearance procedure to allow exporters to determine whether specific export agreements are permissible under the antitrust law.</w:t>
      </w:r>
    </w:p>
    <w:p w:rsidR="00A31137" w:rsidRPr="00A31137" w:rsidRDefault="00A31137" w:rsidP="00A31137">
      <w:r w:rsidRPr="00A31137">
        <w:t>Chapter II: Government and Human Needs</w:t>
      </w:r>
    </w:p>
    <w:p w:rsidR="00A31137" w:rsidRPr="00A31137" w:rsidRDefault="00A31137" w:rsidP="00A31137">
      <w:r w:rsidRPr="00A31137">
        <w:t>1980 Democratic Platform, p.9</w:t>
      </w:r>
    </w:p>
    <w:p w:rsidR="00A31137" w:rsidRPr="00A31137" w:rsidRDefault="00A31137" w:rsidP="00A31137">
      <w:r w:rsidRPr="00A31137">
        <w:t>The Democratic Party has properly been known as the Party of the people. We Democrats believe in making government responsive to the needs of the people…making it work for the people. We do not claim that government has all the answers to our problems, but we do believe that government has a legitimate role to play in searching for those answers and in applying those answers.</w:t>
      </w:r>
    </w:p>
    <w:p w:rsidR="00A31137" w:rsidRPr="00A31137" w:rsidRDefault="00A31137" w:rsidP="00A31137">
      <w:r w:rsidRPr="00A31137">
        <w:t>1980 Democratic Platform, p.9</w:t>
      </w:r>
    </w:p>
    <w:p w:rsidR="00A31137" w:rsidRPr="00A31137" w:rsidRDefault="00A31137" w:rsidP="00A31137">
      <w:r w:rsidRPr="00A31137">
        <w:t>The Democratic Party has a proud record of responding to the human needs of our citizens. After eight years of Republican government and systematic Republican efforts to dismantle all of the hard-won New Frontier and Great Society social programs, the Garter Administration and the Democratic Congress have resurrected, preserved and strengthened those programs which have proven effective.</w:t>
      </w:r>
    </w:p>
    <w:p w:rsidR="00A31137" w:rsidRPr="00A31137" w:rsidRDefault="00A31137" w:rsidP="00A31137">
      <w:r w:rsidRPr="00A31137">
        <w:t>1980 Democratic Platform, p.9</w:t>
      </w:r>
    </w:p>
    <w:p w:rsidR="00A31137" w:rsidRPr="00A31137" w:rsidRDefault="00A31137" w:rsidP="00A31137">
      <w:r w:rsidRPr="00A31137">
        <w:t>In the areas of health care, housing, education, welfare and social services, civil rights, and care for the disabled, elderly and veterans, a Democratic President and a Democratic Congress have put the federal government back in the business of serving our people.</w:t>
      </w:r>
    </w:p>
    <w:p w:rsidR="00A31137" w:rsidRPr="00A31137" w:rsidRDefault="00A31137" w:rsidP="00A31137">
      <w:r w:rsidRPr="00A31137">
        <w:t>1980 Democratic Platform, p.9</w:t>
      </w:r>
    </w:p>
    <w:p w:rsidR="00A31137" w:rsidRPr="00A31137" w:rsidRDefault="00A31137" w:rsidP="00A31137">
      <w:r w:rsidRPr="00A31137">
        <w:t>Our progress has been significant, and in many areas unprecedented. In 1980, the people must decide whether our country will continue that progress, or whether we will allow the federal government to revert to four years of Republicanism—which means neglect of the poor and disadvantaged, disdain for working men and women, and compassion only for the rich and the privileged.</w:t>
      </w:r>
    </w:p>
    <w:p w:rsidR="00A31137" w:rsidRPr="00A31137" w:rsidRDefault="00A31137" w:rsidP="00A31137">
      <w:r w:rsidRPr="00A31137">
        <w:t>1980 Democratic Platform, p.9</w:t>
      </w:r>
    </w:p>
    <w:p w:rsidR="00A31137" w:rsidRPr="00A31137" w:rsidRDefault="00A31137" w:rsidP="00A31137">
      <w:r w:rsidRPr="00A31137">
        <w:t xml:space="preserve">We will not allow this to happen. We pledge to build on the Democratic record of the past four years—to continue the process we have begun.[p.10] </w:t>
      </w:r>
    </w:p>
    <w:p w:rsidR="00A31137" w:rsidRPr="00A31137" w:rsidRDefault="00A31137" w:rsidP="00A31137">
      <w:r w:rsidRPr="00A31137">
        <w:t>1980 Democratic Platform, p.10</w:t>
      </w:r>
    </w:p>
    <w:p w:rsidR="00A31137" w:rsidRPr="00A31137" w:rsidRDefault="00A31137" w:rsidP="00A31137">
      <w:r w:rsidRPr="00A31137">
        <w:t>While we recognize the need for fiscal restraint—and have proposed specific steps toward that goal—we pledge as Democrats that for the sole and primary purpose of fiscal restraint alone, we will not support reductions in the funding of any program whose purpose is to serve the basic human needs of the most needy in our society—programs such as unemployment, income maintenance, food stamps, and efforts to enhance the educational, nutritional or health needs of children.</w:t>
      </w:r>
    </w:p>
    <w:p w:rsidR="00A31137" w:rsidRPr="00A31137" w:rsidRDefault="00A31137" w:rsidP="00A31137">
      <w:r w:rsidRPr="00A31137">
        <w:t>Health</w:t>
      </w:r>
    </w:p>
    <w:p w:rsidR="00A31137" w:rsidRPr="00A31137" w:rsidRDefault="00A31137" w:rsidP="00A31137">
      <w:r w:rsidRPr="00A31137">
        <w:t>1980 Democratic Platform, p.10</w:t>
      </w:r>
    </w:p>
    <w:p w:rsidR="00A31137" w:rsidRPr="00A31137" w:rsidRDefault="00A31137" w:rsidP="00A31137">
      <w:r w:rsidRPr="00A31137">
        <w:t>The Carter Administration and the Congress have worked closely together to improve the health care provided to all Americans. In many vital areas, there has been clear progress.</w:t>
      </w:r>
    </w:p>
    <w:p w:rsidR="00A31137" w:rsidRPr="00A31137" w:rsidRDefault="00A31137" w:rsidP="00A31137">
      <w:r w:rsidRPr="00A31137">
        <w:t>1980 Democratic Platform, p.10</w:t>
      </w:r>
    </w:p>
    <w:p w:rsidR="00A31137" w:rsidRPr="00A31137" w:rsidRDefault="00A31137" w:rsidP="00A31137">
      <w:r w:rsidRPr="00A31137">
        <w:t>The United States spent over $200 billion for health care in 1979. Despite these high expenditures and although we possess some of the finest hospitals and health professionals in the world, millions of Americans have little or no access to health care services. Incredibly, costs are predicted to soar to $400 billion by 1984, without improvement in either access to care or coverage of costs. Health care costs already consume ten cents of every dollar spent for goods and services.</w:t>
      </w:r>
    </w:p>
    <w:p w:rsidR="00A31137" w:rsidRPr="00A31137" w:rsidRDefault="00A31137" w:rsidP="00A31137">
      <w:r w:rsidRPr="00A31137">
        <w:t>1980 Democratic Platform, p.10</w:t>
      </w:r>
    </w:p>
    <w:p w:rsidR="00A31137" w:rsidRPr="00A31137" w:rsidRDefault="00A31137" w:rsidP="00A31137">
      <w:r w:rsidRPr="00A31137">
        <w:t>The answer to runaway medical costs is not, as Republicans propose, to pour money into a wasteful and inefficient system. The answer is not to cut back on benefits for the elderly and eligibility for the poor. The answer is to enact a comprehensive, universal national health insurance plan.</w:t>
      </w:r>
    </w:p>
    <w:p w:rsidR="00A31137" w:rsidRPr="00A31137" w:rsidRDefault="00A31137" w:rsidP="00A31137">
      <w:r w:rsidRPr="00A31137">
        <w:t>1980 Democratic Platform, p.10</w:t>
      </w:r>
    </w:p>
    <w:p w:rsidR="00A31137" w:rsidRPr="00A31137" w:rsidRDefault="00A31137" w:rsidP="00A31137">
      <w:r w:rsidRPr="00A31137">
        <w:t>To meet the goals of a program that will control costs and provide health coverage to every American, the Democratic Party pledges to seek a national health insurance program with the following features:</w:t>
      </w:r>
    </w:p>
    <w:p w:rsidR="00A31137" w:rsidRPr="00A31137" w:rsidRDefault="00A31137" w:rsidP="00A31137">
      <w:r w:rsidRPr="00A31137">
        <w:t>1980 Democratic Platform, p.10</w:t>
      </w:r>
    </w:p>
    <w:p w:rsidR="00A31137" w:rsidRPr="00A31137" w:rsidRDefault="00A31137" w:rsidP="00A31137">
      <w:r w:rsidRPr="00A31137">
        <w:t>–Universal coverage, without regard to place of employment, sex, age, marital status, or any other factor;</w:t>
      </w:r>
    </w:p>
    <w:p w:rsidR="00A31137" w:rsidRPr="00A31137" w:rsidRDefault="00A31137" w:rsidP="00A31137">
      <w:r w:rsidRPr="00A31137">
        <w:t>1980 Democratic Platform, p.10</w:t>
      </w:r>
    </w:p>
    <w:p w:rsidR="00A31137" w:rsidRPr="00A31137" w:rsidRDefault="00A31137" w:rsidP="00A31137">
      <w:r w:rsidRPr="00A31137">
        <w:t>–Comprehensive medical benefits, including preventive, diagnostic, therapeutic, health maintenance and rehabilitation services, and complete coverage of the costs of catastrophic illness or injury;</w:t>
      </w:r>
    </w:p>
    <w:p w:rsidR="00A31137" w:rsidRPr="00A31137" w:rsidRDefault="00A31137" w:rsidP="00A31137">
      <w:r w:rsidRPr="00A31137">
        <w:t>1980 Democratic Platform, p.10</w:t>
      </w:r>
    </w:p>
    <w:p w:rsidR="00A31137" w:rsidRPr="00A31137" w:rsidRDefault="00A31137" w:rsidP="00A31137">
      <w:r w:rsidRPr="00A31137">
        <w:t>–Aggressive cost containment provisions along with provisions to strengthen competitive forces in the market place;</w:t>
      </w:r>
    </w:p>
    <w:p w:rsidR="00A31137" w:rsidRPr="00A31137" w:rsidRDefault="00A31137" w:rsidP="00A31137">
      <w:r w:rsidRPr="00A31137">
        <w:t>1980 Democratic Platform, p.10</w:t>
      </w:r>
    </w:p>
    <w:p w:rsidR="00A31137" w:rsidRPr="00A31137" w:rsidRDefault="00A31137" w:rsidP="00A31137">
      <w:r w:rsidRPr="00A31137">
        <w:t>–Enhancement of the quality of care;</w:t>
      </w:r>
    </w:p>
    <w:p w:rsidR="00A31137" w:rsidRPr="00A31137" w:rsidRDefault="00A31137" w:rsidP="00A31137">
      <w:r w:rsidRPr="00A31137">
        <w:t>1980 Democratic Platform, p.10</w:t>
      </w:r>
    </w:p>
    <w:p w:rsidR="00A31137" w:rsidRPr="00A31137" w:rsidRDefault="00A31137" w:rsidP="00A31137">
      <w:r w:rsidRPr="00A31137">
        <w:t>–An end to the widespread use of exclusions that disadvantage women and that charge proportionately higher premiums to women;</w:t>
      </w:r>
    </w:p>
    <w:p w:rsidR="00A31137" w:rsidRPr="00A31137" w:rsidRDefault="00A31137" w:rsidP="00A31137">
      <w:r w:rsidRPr="00A31137">
        <w:t>1980 Democratic Platform, p.10</w:t>
      </w:r>
    </w:p>
    <w:p w:rsidR="00A31137" w:rsidRPr="00A31137" w:rsidRDefault="00A31137" w:rsidP="00A31137">
      <w:r w:rsidRPr="00A31137">
        <w:t>–Reform of the health care system, including encouragement of health maintenance organizations and other alternative delivery systems;</w:t>
      </w:r>
    </w:p>
    <w:p w:rsidR="00A31137" w:rsidRPr="00A31137" w:rsidRDefault="00A31137" w:rsidP="00A31137">
      <w:r w:rsidRPr="00A31137">
        <w:t>1980 Democratic Platform, p.10</w:t>
      </w:r>
    </w:p>
    <w:p w:rsidR="00A31137" w:rsidRPr="00A31137" w:rsidRDefault="00A31137" w:rsidP="00A31137">
      <w:r w:rsidRPr="00A31137">
        <w:t>–Building on the private health care delivery sector and preservation of the physician-patient relationship;</w:t>
      </w:r>
    </w:p>
    <w:p w:rsidR="00A31137" w:rsidRPr="00A31137" w:rsidRDefault="00A31137" w:rsidP="00A31137">
      <w:r w:rsidRPr="00A31137">
        <w:t>1980 Democratic Platform, p.10</w:t>
      </w:r>
    </w:p>
    <w:p w:rsidR="00A31137" w:rsidRPr="00A31137" w:rsidRDefault="00A31137" w:rsidP="00A31137">
      <w:r w:rsidRPr="00A31137">
        <w:t>–Provision for maximum individual choice of physician, other provider, and insurer;</w:t>
      </w:r>
    </w:p>
    <w:p w:rsidR="00A31137" w:rsidRPr="00A31137" w:rsidRDefault="00A31137" w:rsidP="00A31137">
      <w:r w:rsidRPr="00A31137">
        <w:t>1980 Democratic Platform, p.10</w:t>
      </w:r>
    </w:p>
    <w:p w:rsidR="00A31137" w:rsidRPr="00A31137" w:rsidRDefault="00A31137" w:rsidP="00A31137">
      <w:r w:rsidRPr="00A31137">
        <w:t>–Maintenance of the private insurance industry with appropriate public regulation;</w:t>
      </w:r>
    </w:p>
    <w:p w:rsidR="00A31137" w:rsidRPr="00A31137" w:rsidRDefault="00A31137" w:rsidP="00A31137">
      <w:r w:rsidRPr="00A31137">
        <w:t>1980 Democratic Platform, p.10</w:t>
      </w:r>
    </w:p>
    <w:p w:rsidR="00A31137" w:rsidRPr="00A31137" w:rsidRDefault="00A31137" w:rsidP="00A31137">
      <w:r w:rsidRPr="00A31137">
        <w:t>–Significant administrative and organizational roles for state and local government in setting policy and in resource planning;</w:t>
      </w:r>
    </w:p>
    <w:p w:rsidR="00A31137" w:rsidRPr="00A31137" w:rsidRDefault="00A31137" w:rsidP="00A31137">
      <w:r w:rsidRPr="00A31137">
        <w:t>1980 Democratic Platform, p.10</w:t>
      </w:r>
    </w:p>
    <w:p w:rsidR="00A31137" w:rsidRPr="00A31137" w:rsidRDefault="00A31137" w:rsidP="00A31137">
      <w:r w:rsidRPr="00A31137">
        <w:t>–Redistribution of services to ensure access to health care in underserved areas;</w:t>
      </w:r>
    </w:p>
    <w:p w:rsidR="00A31137" w:rsidRPr="00A31137" w:rsidRDefault="00A31137" w:rsidP="00A31137">
      <w:r w:rsidRPr="00A31137">
        <w:t>1980 Democratic Platform, p.10</w:t>
      </w:r>
    </w:p>
    <w:p w:rsidR="00A31137" w:rsidRPr="00A31137" w:rsidRDefault="00A31137" w:rsidP="00A31137">
      <w:r w:rsidRPr="00A31137">
        <w:t>–Improvement of non-institutional health services so that elderly, disabled, and other patients may remain in their homes and out of institutions; and</w:t>
      </w:r>
    </w:p>
    <w:p w:rsidR="00A31137" w:rsidRPr="00A31137" w:rsidRDefault="00A31137" w:rsidP="00A31137">
      <w:r w:rsidRPr="00A31137">
        <w:t>1980 Democratic Platform, p.10</w:t>
      </w:r>
    </w:p>
    <w:p w:rsidR="00A31137" w:rsidRPr="00A31137" w:rsidRDefault="00A31137" w:rsidP="00A31137">
      <w:r w:rsidRPr="00A31137">
        <w:t>Child Health Assurance Program—We must continue to emphasize preventive health care for all citizens. As part of this commitment, we call for the enactment of legislation during the 96th Congress to expand the current Medicaid program and make an additional 5 million low-income children eligible for Medicaid benefits and an additional 200,000 low-income pregnant women eligible for prenatal and postnatal care.</w:t>
      </w:r>
    </w:p>
    <w:p w:rsidR="00A31137" w:rsidRPr="00A31137" w:rsidRDefault="00A31137" w:rsidP="00A31137">
      <w:r w:rsidRPr="00A31137">
        <w:t>1980 Democratic Platform, p.10</w:t>
      </w:r>
    </w:p>
    <w:p w:rsidR="00A31137" w:rsidRPr="00A31137" w:rsidRDefault="00A31137" w:rsidP="00A31137">
      <w:r w:rsidRPr="00A31137">
        <w:t>Mental Health Systems Act—We must enact legislation to help the mentally ill, based on the recommendations of the President's Commission on Mental Health. The legislation should focus on deinstitutionalization of the chronically mentally ill, increased program flexibility at the local level, prevention, and the development of community-based mental health services. It is imperative that there be ongoing federal funding for the community-based mental health centers established under the 1963 Mental Health Act and that sufficient federal funding be provided for adequate staffing. We also endorse increased federal funding for ongoing training of mental health personnel in public facilities.</w:t>
      </w:r>
    </w:p>
    <w:p w:rsidR="00A31137" w:rsidRPr="00A31137" w:rsidRDefault="00A31137" w:rsidP="00A31137">
      <w:r w:rsidRPr="00A31137">
        <w:t>1980 Democratic Platform, p.10</w:t>
      </w:r>
    </w:p>
    <w:p w:rsidR="00A31137" w:rsidRPr="00A31137" w:rsidRDefault="00A31137" w:rsidP="00A31137">
      <w:r w:rsidRPr="00A31137">
        <w:t>In the 1980s we must move beyond these existing health care initiatives and tackle other problems as well.</w:t>
      </w:r>
    </w:p>
    <w:p w:rsidR="00A31137" w:rsidRPr="00A31137" w:rsidRDefault="00A31137" w:rsidP="00A31137">
      <w:r w:rsidRPr="00A31137">
        <w:t>1980 Democratic Platform, p.10</w:t>
      </w:r>
    </w:p>
    <w:p w:rsidR="00A31137" w:rsidRPr="00A31137" w:rsidRDefault="00A31137" w:rsidP="00A31137">
      <w:r w:rsidRPr="00A31137">
        <w:t>Long-Term Care—We must develop a new policy on long-term care for our elderly and disabled populations that controls the cost explosion and at the same time provides more humane care. We must establish alternatives to the present provisions for long-term care, including adequate support systems and physical and occupational therapy in the home and the community, to make it unnecessary to institutionalize people who could lead productive lives at home.</w:t>
      </w:r>
    </w:p>
    <w:p w:rsidR="00A31137" w:rsidRPr="00A31137" w:rsidRDefault="00A31137" w:rsidP="00A31137">
      <w:r w:rsidRPr="00A31137">
        <w:t>1980 Democratic Platform, p.10</w:t>
      </w:r>
    </w:p>
    <w:p w:rsidR="00A31137" w:rsidRPr="00A31137" w:rsidRDefault="00A31137" w:rsidP="00A31137">
      <w:r w:rsidRPr="00A31137">
        <w:t xml:space="preserve">We must support legislation to expand home health care services under Medicare and other health programs. Visits from doctors, nurses and other health personnel are a cost-effective and necessary program for the elderly who often cannot travel to medical facilities. Without home health services, many elderly citizens would be forced to give up their homes and shift their lives to institutions.[p.11] </w:t>
      </w:r>
    </w:p>
    <w:p w:rsidR="00A31137" w:rsidRPr="00A31137" w:rsidRDefault="00A31137" w:rsidP="00A31137">
      <w:r w:rsidRPr="00A31137">
        <w:t>1980 Democratic Platform, p.11</w:t>
      </w:r>
    </w:p>
    <w:p w:rsidR="00A31137" w:rsidRPr="00A31137" w:rsidRDefault="00A31137" w:rsidP="00A31137">
      <w:r w:rsidRPr="00A31137">
        <w:t>Multilingual Needs—We must support the utilization of bilingual interpreters in English-Spanish and other appropriate languages at federal and state-supported health care facilities. In addition, we support broader, more comprehensive health care for migrants.</w:t>
      </w:r>
    </w:p>
    <w:p w:rsidR="00A31137" w:rsidRPr="00A31137" w:rsidRDefault="00A31137" w:rsidP="00A31137">
      <w:r w:rsidRPr="00A31137">
        <w:t>1980 Democratic Platform, p.11</w:t>
      </w:r>
    </w:p>
    <w:p w:rsidR="00A31137" w:rsidRPr="00A31137" w:rsidRDefault="00A31137" w:rsidP="00A31137">
      <w:r w:rsidRPr="00A31137">
        <w:t>Health Care Personnel—This nation must maintain an adequate supply of health professionals and personnel. Particular emphasis should be given to programs which educate nurses and other health professionals and related personnel, especially for the traditionally underserved rural and inner city areas.</w:t>
      </w:r>
    </w:p>
    <w:p w:rsidR="00A31137" w:rsidRPr="00A31137" w:rsidRDefault="00A31137" w:rsidP="00A31137">
      <w:r w:rsidRPr="00A31137">
        <w:t>1980 Democratic Platform, p.11</w:t>
      </w:r>
    </w:p>
    <w:p w:rsidR="00A31137" w:rsidRPr="00A31137" w:rsidRDefault="00A31137" w:rsidP="00A31137">
      <w:r w:rsidRPr="00A31137">
        <w:t>The rising cost of education in health fields bars many who wish to enter these fields from doing so. In order to expand representation in the health professions of traditionally underrepresented groups, we support programs of financial assistance such as capitation grants. These programs must increase the presence of men and minorities in nursing, and must be targeted toward women and minorities in other health professions.</w:t>
      </w:r>
    </w:p>
    <w:p w:rsidR="00A31137" w:rsidRPr="00A31137" w:rsidRDefault="00A31137" w:rsidP="00A31137">
      <w:r w:rsidRPr="00A31137">
        <w:t>1980 Democratic Platform, p.11</w:t>
      </w:r>
    </w:p>
    <w:p w:rsidR="00A31137" w:rsidRPr="00A31137" w:rsidRDefault="00A31137" w:rsidP="00A31137">
      <w:r w:rsidRPr="00A31137">
        <w:t>Minority and Women Health Care Professionals—We recognize the need for a significant increase in the number of minority and women health care professionals. We are committed to placing greater emphasis on enrollment and retention of minorities and women in medical schools and related health education professional programs.</w:t>
      </w:r>
    </w:p>
    <w:p w:rsidR="00A31137" w:rsidRPr="00A31137" w:rsidRDefault="00A31137" w:rsidP="00A31137">
      <w:r w:rsidRPr="00A31137">
        <w:t>1980 Democratic Platform, p.11</w:t>
      </w:r>
    </w:p>
    <w:p w:rsidR="00A31137" w:rsidRPr="00A31137" w:rsidRDefault="00A31137" w:rsidP="00A31137">
      <w:r w:rsidRPr="00A31137">
        <w:t>We are also committed to placing a greater emphasis on medical research and services to meet the needs of minorities, women and children.</w:t>
      </w:r>
    </w:p>
    <w:p w:rsidR="00A31137" w:rsidRPr="00A31137" w:rsidRDefault="00A31137" w:rsidP="00A31137">
      <w:r w:rsidRPr="00A31137">
        <w:t>1980 Democratic Platform, p.11</w:t>
      </w:r>
    </w:p>
    <w:p w:rsidR="00A31137" w:rsidRPr="00A31137" w:rsidRDefault="00A31137" w:rsidP="00A31137">
      <w:r w:rsidRPr="00A31137">
        <w:t>Reproductive Rights—We fully recognize the religious and ethical concerns which many Americans have about abortion. We also recognize the belief of many Americans that a woman has a right to choose whether and when to have a child.</w:t>
      </w:r>
    </w:p>
    <w:p w:rsidR="00A31137" w:rsidRPr="00A31137" w:rsidRDefault="00A31137" w:rsidP="00A31137">
      <w:r w:rsidRPr="00A31137">
        <w:t>1980 Democratic Platform, p.11</w:t>
      </w:r>
    </w:p>
    <w:p w:rsidR="00A31137" w:rsidRPr="00A31137" w:rsidRDefault="00A31137" w:rsidP="00A31137">
      <w:r w:rsidRPr="00A31137">
        <w:t>The Democratic Party supports the 1973 Supreme Court decision on abortion rights as the law of the land and opposes any constitutional amendment to restrict or overturn that decision.</w:t>
      </w:r>
    </w:p>
    <w:p w:rsidR="00A31137" w:rsidRPr="00A31137" w:rsidRDefault="00A31137" w:rsidP="00A31137">
      <w:r w:rsidRPr="00A31137">
        <w:t>1980 Democratic Platform, p.11</w:t>
      </w:r>
    </w:p>
    <w:p w:rsidR="00A31137" w:rsidRPr="00A31137" w:rsidRDefault="00A31137" w:rsidP="00A31137">
      <w:r w:rsidRPr="00A31137">
        <w:t>Furthermore, we pledge to support the right to be free of environmental and worksite hazards to reproductive health of women and men.</w:t>
      </w:r>
    </w:p>
    <w:p w:rsidR="00A31137" w:rsidRPr="00A31137" w:rsidRDefault="00A31137" w:rsidP="00A31137">
      <w:r w:rsidRPr="00A31137">
        <w:t>1980 Democratic Platform, p.11</w:t>
      </w:r>
    </w:p>
    <w:p w:rsidR="00A31137" w:rsidRPr="00A31137" w:rsidRDefault="00A31137" w:rsidP="00A31137">
      <w:r w:rsidRPr="00A31137">
        <w:t>We further pledge to work for programs to improve the health and safety of pregnancy and childbirth, including adequate prenatal care, family planning, counseling, and services with special care to the needs of the poor, the isolated, the rural, and the young.</w:t>
      </w:r>
    </w:p>
    <w:p w:rsidR="00A31137" w:rsidRPr="00A31137" w:rsidRDefault="00A31137" w:rsidP="00A31137">
      <w:r w:rsidRPr="00A31137">
        <w:t>1980 Democratic Platform, p.11</w:t>
      </w:r>
    </w:p>
    <w:p w:rsidR="00A31137" w:rsidRPr="00A31137" w:rsidRDefault="00A31137" w:rsidP="00A31137">
      <w:r w:rsidRPr="00A31137">
        <w:t>Financially Distressed Public Hospitals—Frequently, the only sources of medical care for much of the inner city population is the public general hospital. The ever-increasing costs of providing high quality hospital services and the lack of insurance coverage for many of the patients served have jeopardized the financial stability of these institutions. Immediate support is required for financially distressed public hospitals that provide a major community service in urban and rural areas.</w:t>
      </w:r>
    </w:p>
    <w:p w:rsidR="00A31137" w:rsidRPr="00A31137" w:rsidRDefault="00A31137" w:rsidP="00A31137">
      <w:r w:rsidRPr="00A31137">
        <w:t>1980 Democratic Platform, p.11</w:t>
      </w:r>
    </w:p>
    <w:p w:rsidR="00A31137" w:rsidRPr="00A31137" w:rsidRDefault="00A31137" w:rsidP="00A31137">
      <w:r w:rsidRPr="00A31137">
        <w:t>In underserved areas where public hospitals have already been closed because of financial difficulty, we must explore methods for returning the needed hospitals to active service.</w:t>
      </w:r>
    </w:p>
    <w:p w:rsidR="00A31137" w:rsidRPr="00A31137" w:rsidRDefault="00A31137" w:rsidP="00A31137">
      <w:r w:rsidRPr="00A31137">
        <w:t>1980 Democratic Platform, p.11</w:t>
      </w:r>
    </w:p>
    <w:p w:rsidR="00A31137" w:rsidRPr="00A31137" w:rsidRDefault="00A31137" w:rsidP="00A31137">
      <w:r w:rsidRPr="00A31137">
        <w:t>We must develop financial stability for these hospitals. Our approach should stress system reforms to assure that more primary medical care is provided in free-standing community centers, while the hospital is used for referral services and hospitalization.</w:t>
      </w:r>
    </w:p>
    <w:p w:rsidR="00A31137" w:rsidRPr="00A31137" w:rsidRDefault="00A31137" w:rsidP="00A31137">
      <w:r w:rsidRPr="00A31137">
        <w:t>1980 Democratic Platform, p.11</w:t>
      </w:r>
    </w:p>
    <w:p w:rsidR="00A31137" w:rsidRPr="00A31137" w:rsidRDefault="00A31137" w:rsidP="00A31137">
      <w:r w:rsidRPr="00A31137">
        <w:t>Medicaid Reimbursement—The Democratic Party supports programs to make the Medicaid reimbursement formulae more equitable.</w:t>
      </w:r>
    </w:p>
    <w:p w:rsidR="00A31137" w:rsidRPr="00A31137" w:rsidRDefault="00A31137" w:rsidP="00A31137">
      <w:r w:rsidRPr="00A31137">
        <w:t>1980 Democratic Platform, p.11</w:t>
      </w:r>
    </w:p>
    <w:p w:rsidR="00A31137" w:rsidRPr="00A31137" w:rsidRDefault="00A31137" w:rsidP="00A31137">
      <w:r w:rsidRPr="00A31137">
        <w:t>Unnecessary Prescriptions—We must reduce unnecessary prescribing of drugs and guarantee the quality and safety of products that reach the market through improved approval procedures.</w:t>
      </w:r>
    </w:p>
    <w:p w:rsidR="00A31137" w:rsidRPr="00A31137" w:rsidRDefault="00A31137" w:rsidP="00A31137">
      <w:r w:rsidRPr="00A31137">
        <w:t>Substance Abuse</w:t>
      </w:r>
    </w:p>
    <w:p w:rsidR="00A31137" w:rsidRPr="00A31137" w:rsidRDefault="00A31137" w:rsidP="00A31137">
      <w:r w:rsidRPr="00A31137">
        <w:t>1980 Democratic Platform, p.11</w:t>
      </w:r>
    </w:p>
    <w:p w:rsidR="00A31137" w:rsidRPr="00A31137" w:rsidRDefault="00A31137" w:rsidP="00A31137">
      <w:r w:rsidRPr="00A31137">
        <w:t>Alcoholism and drug abuse are unique illnesses which not only impair the health of those who abuse those products, but impose costs on society as a whole—in production losses, in crimes to supply habits, and in fatalities on the highway.</w:t>
      </w:r>
    </w:p>
    <w:p w:rsidR="00A31137" w:rsidRPr="00A31137" w:rsidRDefault="00A31137" w:rsidP="00A31137">
      <w:r w:rsidRPr="00A31137">
        <w:t>1980 Democratic Platform, p.11</w:t>
      </w:r>
    </w:p>
    <w:p w:rsidR="00A31137" w:rsidRPr="00A31137" w:rsidRDefault="00A31137" w:rsidP="00A31137">
      <w:r w:rsidRPr="00A31137">
        <w:t>The Democratic Partnership has worked to reduce the serious national problem of substance abuse, and progress has been made.</w:t>
      </w:r>
    </w:p>
    <w:p w:rsidR="00A31137" w:rsidRPr="00A31137" w:rsidRDefault="00A31137" w:rsidP="00A31137">
      <w:r w:rsidRPr="00A31137">
        <w:t>1980 Democratic Platform, p.11</w:t>
      </w:r>
    </w:p>
    <w:p w:rsidR="00A31137" w:rsidRPr="00A31137" w:rsidRDefault="00A31137" w:rsidP="00A31137">
      <w:r w:rsidRPr="00A31137">
        <w:t>As a result, in part, of a major adolescent drug abuse prevention campaign, levels of drug abuse among adolescents have begun to decline. However, as long as abuse still exists, we consider it a major problem requiring our attention.</w:t>
      </w:r>
    </w:p>
    <w:p w:rsidR="00A31137" w:rsidRPr="00A31137" w:rsidRDefault="00A31137" w:rsidP="00A31137">
      <w:r w:rsidRPr="00A31137">
        <w:t>1980 Democratic Platform, p.11</w:t>
      </w:r>
    </w:p>
    <w:p w:rsidR="00A31137" w:rsidRPr="00A31137" w:rsidRDefault="00A31137" w:rsidP="00A31137">
      <w:r w:rsidRPr="00A31137">
        <w:t>Because of a coordinated, concerted attack on drug trafficking, heroin availability in the U.S. over the past four years has decreased by 44 percent; heroin-related injuries have declined by 50 percent.</w:t>
      </w:r>
    </w:p>
    <w:p w:rsidR="00A31137" w:rsidRPr="00A31137" w:rsidRDefault="00A31137" w:rsidP="00A31137">
      <w:r w:rsidRPr="00A31137">
        <w:t>1980 Democratic Platform, p.11</w:t>
      </w:r>
    </w:p>
    <w:p w:rsidR="00A31137" w:rsidRPr="00A31137" w:rsidRDefault="00A31137" w:rsidP="00A31137">
      <w:r w:rsidRPr="00A31137">
        <w:t>Progress made since 1977 must be continued.</w:t>
      </w:r>
    </w:p>
    <w:p w:rsidR="00A31137" w:rsidRPr="00A31137" w:rsidRDefault="00A31137" w:rsidP="00A31137">
      <w:r w:rsidRPr="00A31137">
        <w:t>1980 Democratic Platform, p.11</w:t>
      </w:r>
    </w:p>
    <w:p w:rsidR="00A31137" w:rsidRPr="00A31137" w:rsidRDefault="00A31137" w:rsidP="00A31137">
      <w:r w:rsidRPr="00A31137">
        <w:t>We must continue to focus on preventing substance abuse in the early years of adolescence by working with grassroots organizations and parent groups throughout the country.</w:t>
      </w:r>
    </w:p>
    <w:p w:rsidR="00A31137" w:rsidRPr="00A31137" w:rsidRDefault="00A31137" w:rsidP="00A31137">
      <w:r w:rsidRPr="00A31137">
        <w:t>1980 Democratic Platform, p.11</w:t>
      </w:r>
    </w:p>
    <w:p w:rsidR="00A31137" w:rsidRPr="00A31137" w:rsidRDefault="00A31137" w:rsidP="00A31137">
      <w:r w:rsidRPr="00A31137">
        <w:t>Special efforts must be made to strengthen prevention and rehabilitation resources in the major urban areas that are so acutely affected by drug and alcohol abuse problems because of the cumulative effect of joblessness, poor housing conditions and other factors.</w:t>
      </w:r>
    </w:p>
    <w:p w:rsidR="00A31137" w:rsidRPr="00A31137" w:rsidRDefault="00A31137" w:rsidP="00A31137">
      <w:r w:rsidRPr="00A31137">
        <w:t>1980 Democratic Platform, p.11</w:t>
      </w:r>
    </w:p>
    <w:p w:rsidR="00A31137" w:rsidRPr="00A31137" w:rsidRDefault="00A31137" w:rsidP="00A31137">
      <w:r w:rsidRPr="00A31137">
        <w:t>We must provide adequate funding for alcohol and drug abuse research and treatment centers designed to meet the special needs of women, and end the currently widespread discrimination, based on sex, age, [p.12] race, and ethnicity, in alcohol and drug abuse programs.</w:t>
      </w:r>
    </w:p>
    <w:p w:rsidR="00A31137" w:rsidRPr="00A31137" w:rsidRDefault="00A31137" w:rsidP="00A31137">
      <w:r w:rsidRPr="00A31137">
        <w:t>1980 Democratic Platform, p.12</w:t>
      </w:r>
    </w:p>
    <w:p w:rsidR="00A31137" w:rsidRPr="00A31137" w:rsidRDefault="00A31137" w:rsidP="00A31137">
      <w:r w:rsidRPr="00A31137">
        <w:t>We must treat addiction as a health problem and seek flexibility in administering Medicare and Medicaid for substance abuse treatment, especially alcohol and drug services.</w:t>
      </w:r>
    </w:p>
    <w:p w:rsidR="00A31137" w:rsidRPr="00A31137" w:rsidRDefault="00A31137" w:rsidP="00A31137">
      <w:r w:rsidRPr="00A31137">
        <w:t>1980 Democratic Platform, p.12</w:t>
      </w:r>
    </w:p>
    <w:p w:rsidR="00A31137" w:rsidRPr="00A31137" w:rsidRDefault="00A31137" w:rsidP="00A31137">
      <w:r w:rsidRPr="00A31137">
        <w:t>We must reduce the availability of heroin and other illicit narcotics in this country and in the source countries.</w:t>
      </w:r>
    </w:p>
    <w:p w:rsidR="00A31137" w:rsidRPr="00A31137" w:rsidRDefault="00A31137" w:rsidP="00A31137">
      <w:r w:rsidRPr="00A31137">
        <w:t>1980 Democratic Platform, p.12</w:t>
      </w:r>
    </w:p>
    <w:p w:rsidR="00A31137" w:rsidRPr="00A31137" w:rsidRDefault="00A31137" w:rsidP="00A31137">
      <w:r w:rsidRPr="00A31137">
        <w:t>We must conduct investigations leading to the prosecution and conviction of drug traffickers and to the forfeiture of financial and other assets acquired by their organizations.</w:t>
      </w:r>
    </w:p>
    <w:p w:rsidR="00A31137" w:rsidRPr="00A31137" w:rsidRDefault="00A31137" w:rsidP="00A31137">
      <w:r w:rsidRPr="00A31137">
        <w:t>Older Americans</w:t>
      </w:r>
    </w:p>
    <w:p w:rsidR="00A31137" w:rsidRPr="00A31137" w:rsidRDefault="00A31137" w:rsidP="00A31137">
      <w:r w:rsidRPr="00A31137">
        <w:t>1980 Democratic Platform, p.12</w:t>
      </w:r>
    </w:p>
    <w:p w:rsidR="00A31137" w:rsidRPr="00A31137" w:rsidRDefault="00A31137" w:rsidP="00A31137">
      <w:r w:rsidRPr="00A31137">
        <w:t>In other sections of this platform (for example, health and the extensive section on Social Security), we have listed programs and commitments for improving the status of older Americans. As a Party, we are aware of the demographic and biomedical developments that call for a high priority approach to the issues of retirement, work, and income maintenance for the growing number of older citizens.</w:t>
      </w:r>
    </w:p>
    <w:p w:rsidR="00A31137" w:rsidRPr="00A31137" w:rsidRDefault="00A31137" w:rsidP="00A31137">
      <w:r w:rsidRPr="00A31137">
        <w:t>1980 Democratic Platform, p.12</w:t>
      </w:r>
    </w:p>
    <w:p w:rsidR="00A31137" w:rsidRPr="00A31137" w:rsidRDefault="00A31137" w:rsidP="00A31137">
      <w:r w:rsidRPr="00A31137">
        <w:t>The Democratic Party stands for the achievement and maintenance of the quality of life for Americans in their later years. We speak for our future selves, as well as for the elderly of today.</w:t>
      </w:r>
    </w:p>
    <w:p w:rsidR="00A31137" w:rsidRPr="00A31137" w:rsidRDefault="00A31137" w:rsidP="00A31137">
      <w:r w:rsidRPr="00A31137">
        <w:t>1980 Democratic Platform, p.12</w:t>
      </w:r>
    </w:p>
    <w:p w:rsidR="00A31137" w:rsidRPr="00A31137" w:rsidRDefault="00A31137" w:rsidP="00A31137">
      <w:r w:rsidRPr="00A31137">
        <w:t>There has been substantial progress, but much remains to be done. Too many senior citizens (especially among minority groups) live close to or below the poverty line, in isolated conditions, and without access to needed services.</w:t>
      </w:r>
    </w:p>
    <w:p w:rsidR="00A31137" w:rsidRPr="00A31137" w:rsidRDefault="00A31137" w:rsidP="00A31137">
      <w:r w:rsidRPr="00A31137">
        <w:t>1980 Democratic Platform, p.12</w:t>
      </w:r>
    </w:p>
    <w:p w:rsidR="00A31137" w:rsidRPr="00A31137" w:rsidRDefault="00A31137" w:rsidP="00A31137">
      <w:r w:rsidRPr="00A31137">
        <w:t>The Democratic Party pledges to continue to improve the policies and programs which ensure a high quality of life for older Americans. This includes the following measures.</w:t>
      </w:r>
    </w:p>
    <w:p w:rsidR="00A31137" w:rsidRPr="00A31137" w:rsidRDefault="00A31137" w:rsidP="00A31137">
      <w:r w:rsidRPr="00A31137">
        <w:t>1980 Democratic Platform, p.12</w:t>
      </w:r>
    </w:p>
    <w:p w:rsidR="00A31137" w:rsidRPr="00A31137" w:rsidRDefault="00A31137" w:rsidP="00A31137">
      <w:r w:rsidRPr="00A31137">
        <w:t>All Americans, regardless of age, must be afforded an opportunity to participate in the mainstream of society, and in activities at local and national levels, as useful citizens. The 1967 Age Discrimination in Employment Act, and the milestone amendments to that Act in 1978, are concrete examples of this principle. So are programs such as senior centers, nutrition services, and home attendants, as well as those programs under ACTION, the Administration on Aging, and the Community Services Administration.</w:t>
      </w:r>
    </w:p>
    <w:p w:rsidR="00A31137" w:rsidRPr="00A31137" w:rsidRDefault="00A31137" w:rsidP="00A31137">
      <w:r w:rsidRPr="00A31137">
        <w:t>1980 Democratic Platform, p.12</w:t>
      </w:r>
    </w:p>
    <w:p w:rsidR="00A31137" w:rsidRPr="00A31137" w:rsidRDefault="00A31137" w:rsidP="00A31137">
      <w:r w:rsidRPr="00A31137">
        <w:t>Such programs have helped to diminish the conditions of dependency, isolation, and unnecessary institutionalization. We propose to continue and expand these programs to reach underserved areas and all segments of the elderly.</w:t>
      </w:r>
    </w:p>
    <w:p w:rsidR="00A31137" w:rsidRPr="00A31137" w:rsidRDefault="00A31137" w:rsidP="00A31137">
      <w:r w:rsidRPr="00A31137">
        <w:t>1980 Democratic Platform, p.12</w:t>
      </w:r>
    </w:p>
    <w:p w:rsidR="00A31137" w:rsidRPr="00A31137" w:rsidRDefault="00A31137" w:rsidP="00A31137">
      <w:r w:rsidRPr="00A31137">
        <w:t>The Democratic Party is proud of the passage of legislation to protect and improve private pensions through the Employees Retirement Income Security Act (ERISA), as well as current proposals to extend such protection to larger numbers of workers. No worker, after long years of employment, should lose his or her pension rights because of mobility, poor management, or economic reasons,</w:t>
      </w:r>
    </w:p>
    <w:p w:rsidR="00A31137" w:rsidRPr="00A31137" w:rsidRDefault="00A31137" w:rsidP="00A31137">
      <w:r w:rsidRPr="00A31137">
        <w:t>1980 Democratic Platform, p.12</w:t>
      </w:r>
    </w:p>
    <w:p w:rsidR="00A31137" w:rsidRPr="00A31137" w:rsidRDefault="00A31137" w:rsidP="00A31137">
      <w:r w:rsidRPr="00A31137">
        <w:t>Other priorities include working with the private sector to assure maintenance and expansion of employer-employee pension systems and continuing support of the federal-state partnership in SSI (Supplemental Security Income) for the least fortunate.</w:t>
      </w:r>
    </w:p>
    <w:p w:rsidR="00A31137" w:rsidRPr="00A31137" w:rsidRDefault="00A31137" w:rsidP="00A31137">
      <w:r w:rsidRPr="00A31137">
        <w:t>1980 Democratic Platform, p.12</w:t>
      </w:r>
    </w:p>
    <w:p w:rsidR="00A31137" w:rsidRPr="00A31137" w:rsidRDefault="00A31137" w:rsidP="00A31137">
      <w:r w:rsidRPr="00A31137">
        <w:t>A comprehensive program of long-term care services is a goal of the Democratic Party. The fastest growing segment of our population is the "very old" and the "frail elderly." The Democratic Party will continue to be concerned with the provision of services for these groups, increasingly composed of women without access to family care. This will include home attendant care, day centers, and quality institutional care for those elderly with functional disabilities who cannot rely on non-institutional alternatives.</w:t>
      </w:r>
    </w:p>
    <w:p w:rsidR="00A31137" w:rsidRPr="00A31137" w:rsidRDefault="00A31137" w:rsidP="00A31137">
      <w:r w:rsidRPr="00A31137">
        <w:t>1980 Democratic Platform, p.12</w:t>
      </w:r>
    </w:p>
    <w:p w:rsidR="00A31137" w:rsidRPr="00A31137" w:rsidRDefault="00A31137" w:rsidP="00A31137">
      <w:r w:rsidRPr="00A31137">
        <w:t>For many older citizens, continuing participation in the mainstream means continuing employment, or a return to the labor force as a result of widowhood or the "empty nest." In addition to increasing employment opportunities by raising the allowable mandatory retirement age, we must continue existing, and create new, programs for the retention and re-entry of adult and older Americans in our labor force, including the private and community service sectors.</w:t>
      </w:r>
    </w:p>
    <w:p w:rsidR="00A31137" w:rsidRPr="00A31137" w:rsidRDefault="00A31137" w:rsidP="00A31137">
      <w:r w:rsidRPr="00A31137">
        <w:t>1980 Democratic Platform, p.12</w:t>
      </w:r>
    </w:p>
    <w:p w:rsidR="00A31137" w:rsidRPr="00A31137" w:rsidRDefault="00A31137" w:rsidP="00A31137">
      <w:r w:rsidRPr="00A31137">
        <w:t>The Democratic Party will encourage the development of services by the public and private sectors to provide meals-on-wheels for those who need them; senior day centers; friendly visiting services; and similar supportive, educational-recreational, and outreach services.</w:t>
      </w:r>
    </w:p>
    <w:p w:rsidR="00A31137" w:rsidRPr="00A31137" w:rsidRDefault="00A31137" w:rsidP="00A31137">
      <w:r w:rsidRPr="00A31137">
        <w:t>1980 Democratic Platform, p.12</w:t>
      </w:r>
    </w:p>
    <w:p w:rsidR="00A31137" w:rsidRPr="00A31137" w:rsidRDefault="00A31137" w:rsidP="00A31137">
      <w:r w:rsidRPr="00A31137">
        <w:t>We pledge to make the elderly secure in the necessities of life. The Democratic Party pledges that it will seek to increase the number of meals served under Title III of the Older Americans Act until it covers at least a quarter of all older people at or near the poverty level while at least maintaining current services for those who are not in poverty. The Democratic Party will seek expanded funding provided for the Section 202 housing program for the elderly.</w:t>
      </w:r>
    </w:p>
    <w:p w:rsidR="00A31137" w:rsidRPr="00A31137" w:rsidRDefault="00A31137" w:rsidP="00A31137">
      <w:r w:rsidRPr="00A31137">
        <w:t>Social Security</w:t>
      </w:r>
    </w:p>
    <w:p w:rsidR="00A31137" w:rsidRPr="00A31137" w:rsidRDefault="00A31137" w:rsidP="00A31137">
      <w:r w:rsidRPr="00A31137">
        <w:t>1980 Democratic Platform, p.10</w:t>
      </w:r>
    </w:p>
    <w:p w:rsidR="00A31137" w:rsidRPr="00A31137" w:rsidRDefault="00A31137" w:rsidP="00A31137">
      <w:r w:rsidRPr="00A31137">
        <w:t>No group in our society deserves the commitment and respect of the Democratic Party more than the elderly. They have built the factories and mills of the nation. They have fought to defend our country. They have paid taxes to finance the growth of our cities and towns. They have worked and sacrificed for a lifetime to give their children a better chance to achieve their dreams. They have a continuing reservoir of talent, [p.13] skill and experience to contribute to our future.</w:t>
      </w:r>
    </w:p>
    <w:p w:rsidR="00A31137" w:rsidRPr="00A31137" w:rsidRDefault="00A31137" w:rsidP="00A31137">
      <w:r w:rsidRPr="00A31137">
        <w:t>1980 Democratic Platform, p.13</w:t>
      </w:r>
    </w:p>
    <w:p w:rsidR="00A31137" w:rsidRPr="00A31137" w:rsidRDefault="00A31137" w:rsidP="00A31137">
      <w:r w:rsidRPr="00A31137">
        <w:t>The basic program and guarantee for older citizens is Social Security. It is the single most successful social program ever undertaken by the federal government. Ninety-five percent of those reaching 65 are eligible for this program: without it, 60 percent of the elderly would have incomes below the poverty level.</w:t>
      </w:r>
    </w:p>
    <w:p w:rsidR="00A31137" w:rsidRPr="00A31137" w:rsidRDefault="00A31137" w:rsidP="00A31137">
      <w:r w:rsidRPr="00A31137">
        <w:t>1980 Democratic Platform, p.13</w:t>
      </w:r>
    </w:p>
    <w:p w:rsidR="00A31137" w:rsidRPr="00A31137" w:rsidRDefault="00A31137" w:rsidP="00A31137">
      <w:r w:rsidRPr="00A31137">
        <w:t>The Democratic Party will oppose any effort to tamper with the Social Security system by cutting or taxing benefits as a violation of the contract the American government has made with its people. We hereby make a covenant with the elderly of America that as we have kept the Social Security trust fund sound and solvent in the past, we shall keep it sound and solvent in the years ahead.</w:t>
      </w:r>
    </w:p>
    <w:p w:rsidR="00A31137" w:rsidRPr="00A31137" w:rsidRDefault="00A31137" w:rsidP="00A31137">
      <w:r w:rsidRPr="00A31137">
        <w:t>1980 Democratic Platform, p.13</w:t>
      </w:r>
    </w:p>
    <w:p w:rsidR="00A31137" w:rsidRPr="00A31137" w:rsidRDefault="00A31137" w:rsidP="00A31137">
      <w:r w:rsidRPr="00A31137">
        <w:t>In 1977, the Social Security system faced bankruptcy. The Carter Administration and the Congress enacted legislation ensuring the Social Security system's financial stability and making certain that each of the 35 million recipients received his or her monthly check without interruption. They also worked together to strengthen the benefits provided to</w:t>
      </w:r>
    </w:p>
    <w:p w:rsidR="00A31137" w:rsidRPr="00A31137" w:rsidRDefault="00A31137" w:rsidP="00A31137">
      <w:r w:rsidRPr="00A31137">
        <w:t>1980 Democratic Platform, p.13</w:t>
      </w:r>
    </w:p>
    <w:p w:rsidR="00A31137" w:rsidRPr="00A31137" w:rsidRDefault="00A31137" w:rsidP="00A31137">
      <w:r w:rsidRPr="00A31137">
        <w:t>Social Security recipients. As a result of our actions:</w:t>
      </w:r>
    </w:p>
    <w:p w:rsidR="00A31137" w:rsidRPr="00A31137" w:rsidRDefault="00A31137" w:rsidP="00A31137">
      <w:r w:rsidRPr="00A31137">
        <w:t>1980 Democratic Platform, p.13</w:t>
      </w:r>
    </w:p>
    <w:p w:rsidR="00A31137" w:rsidRPr="00A31137" w:rsidRDefault="00A31137" w:rsidP="00A31137">
      <w:r w:rsidRPr="00A31137">
        <w:t>–Workers have been protected against inflation;</w:t>
      </w:r>
    </w:p>
    <w:p w:rsidR="00A31137" w:rsidRPr="00A31137" w:rsidRDefault="00A31137" w:rsidP="00A31137">
      <w:r w:rsidRPr="00A31137">
        <w:t>1980 Democratic Platform, p.13</w:t>
      </w:r>
    </w:p>
    <w:p w:rsidR="00A31137" w:rsidRPr="00A31137" w:rsidRDefault="00A31137" w:rsidP="00A31137">
      <w:r w:rsidRPr="00A31137">
        <w:t>–Minimum benefit payments have been reformed to protect low-paid, long-time participants;</w:t>
      </w:r>
    </w:p>
    <w:p w:rsidR="00A31137" w:rsidRPr="00A31137" w:rsidRDefault="00A31137" w:rsidP="00A31137">
      <w:r w:rsidRPr="00A31137">
        <w:t>1980 Democratic Platform, p.13</w:t>
      </w:r>
    </w:p>
    <w:p w:rsidR="00A31137" w:rsidRPr="00A31137" w:rsidRDefault="00A31137" w:rsidP="00A31137">
      <w:r w:rsidRPr="00A31137">
        <w:t>–A 3 percent increase in primary benefit amounts has been added;</w:t>
      </w:r>
    </w:p>
    <w:p w:rsidR="00A31137" w:rsidRPr="00A31137" w:rsidRDefault="00A31137" w:rsidP="00A31137">
      <w:r w:rsidRPr="00A31137">
        <w:t>1980 Democratic Platform, p.13</w:t>
      </w:r>
    </w:p>
    <w:p w:rsidR="00A31137" w:rsidRPr="00A31137" w:rsidRDefault="00A31137" w:rsidP="00A31137">
      <w:r w:rsidRPr="00A31137">
        <w:t>–The retirement test has been liberalized. Despite our efforts, much remains to be done if the elderly are to receive the respect and dignity they have earned. Elderly households have only half the income of younger households. For women, the annual median income of those over 65 is only $2,800. One out of seven persons over 65 lives in poverty. Three-quarters of all elderly unmarried, widowed, or divorced women live in poverty. Millions of elderly persons live in special fear of crime. Health care costs for the elderly are now three and a half times the level for younger people. Actual out-of-pocket health expenditures for the elderly today are greater in real dollars than when Medicare was enacted.</w:t>
      </w:r>
    </w:p>
    <w:p w:rsidR="00A31137" w:rsidRPr="00A31137" w:rsidRDefault="00A31137" w:rsidP="00A31137">
      <w:r w:rsidRPr="00A31137">
        <w:t>1980 Democratic Platform, p.13</w:t>
      </w:r>
    </w:p>
    <w:p w:rsidR="00A31137" w:rsidRPr="00A31137" w:rsidRDefault="00A31137" w:rsidP="00A31137">
      <w:r w:rsidRPr="00A31137">
        <w:t>In the 1980s we must continue to work for a financially strong Social Security system. The levels and types of benefits, as well as rates and systems of financing, must be continually reviewed in light of current circumstances. Decisions affecting Social Security benefits should be measured by the standards of Social Security's goals, not by the program's impact on the federal budget.</w:t>
      </w:r>
    </w:p>
    <w:p w:rsidR="00A31137" w:rsidRPr="00A31137" w:rsidRDefault="00A31137" w:rsidP="00A31137">
      <w:r w:rsidRPr="00A31137">
        <w:t>1980 Democratic Platform, p.13</w:t>
      </w:r>
    </w:p>
    <w:p w:rsidR="00A31137" w:rsidRPr="00A31137" w:rsidRDefault="00A31137" w:rsidP="00A31137">
      <w:r w:rsidRPr="00A31137">
        <w:t>The Democratic Party is responsible for the adjustments of Social Security benefits to keep pace with increases in the cost of living. We remain committed to ensuring that these adjustments continue. We oppose any caps on Social Security benefits. No change in the index which determines cost of living adjustments should be made for the purpose of achieving smaller adjustments than those granted under the current index.</w:t>
      </w:r>
    </w:p>
    <w:p w:rsidR="00A31137" w:rsidRPr="00A31137" w:rsidRDefault="00A31137" w:rsidP="00A31137">
      <w:r w:rsidRPr="00A31137">
        <w:t>1980 Democratic Platform, p.13</w:t>
      </w:r>
    </w:p>
    <w:p w:rsidR="00A31137" w:rsidRPr="00A31137" w:rsidRDefault="00A31137" w:rsidP="00A31137">
      <w:r w:rsidRPr="00A31137">
        <w:t>We oppose efforts to raise the age at which Social Security benefits will be provided. Our Party seeks to protect and assist those most in need. We continue to be sensitive to the economic and physical plight of the older worker and the elderly. We therefore stand unalterably opposed to the taxation of any portion of Social Security benefits. Taxing Social Security benefits would mean real hardship for millions of retired Americans. If government needs to expand the tax base, additional taxation should be borne by those most able to pay.</w:t>
      </w:r>
    </w:p>
    <w:p w:rsidR="00A31137" w:rsidRPr="00A31137" w:rsidRDefault="00A31137" w:rsidP="00A31137">
      <w:r w:rsidRPr="00A31137">
        <w:t>1980 Democratic Platform, p.13</w:t>
      </w:r>
    </w:p>
    <w:p w:rsidR="00A31137" w:rsidRPr="00A31137" w:rsidRDefault="00A31137" w:rsidP="00A31137">
      <w:r w:rsidRPr="00A31137">
        <w:t>While these steps are critically important, they will not, standing alone, secure adequate income for the elderly women of this nation. To reach this goal, we must also move immediately to eliminate all the gender-based classifications in the Social Security system. We must consider the special needs of elderly women in future benefit increases. We must end the unfairness in the current system that penalizes two-worker families. We must devise a practical way for the Social Security system to recognize the contributions of homemakers, and thus ensure the resources they need to live in dignity in old age.</w:t>
      </w:r>
    </w:p>
    <w:p w:rsidR="00A31137" w:rsidRPr="00A31137" w:rsidRDefault="00A31137" w:rsidP="00A31137">
      <w:r w:rsidRPr="00A31137">
        <w:t>1980 Democratic Platform, p.13</w:t>
      </w:r>
    </w:p>
    <w:p w:rsidR="00A31137" w:rsidRPr="00A31137" w:rsidRDefault="00A31137" w:rsidP="00A31137">
      <w:r w:rsidRPr="00A31137">
        <w:t>Finally, the Democratic Party vehemently opposes all forms of age discrimination and commits itself to eliminating mandatory retirement. With the surety of a guillotine, mandatory retirement severs productive persons from their livelihood, shears their sense of self-worth, and squanders their talents.</w:t>
      </w:r>
    </w:p>
    <w:p w:rsidR="00A31137" w:rsidRPr="00A31137" w:rsidRDefault="00A31137" w:rsidP="00A31137">
      <w:r w:rsidRPr="00A31137">
        <w:t>Pensions</w:t>
      </w:r>
    </w:p>
    <w:p w:rsidR="00A31137" w:rsidRPr="00A31137" w:rsidRDefault="00A31137" w:rsidP="00A31137">
      <w:r w:rsidRPr="00A31137">
        <w:t>1980 Democratic Platform, p.13</w:t>
      </w:r>
    </w:p>
    <w:p w:rsidR="00A31137" w:rsidRPr="00A31137" w:rsidRDefault="00A31137" w:rsidP="00A31137">
      <w:r w:rsidRPr="00A31137">
        <w:t>Our nation's complex and uneven pension system is a continuing source of concern. To help address this important problem, President Carter created a Presidential Commission on Pension Policy, charged with developing recommendations to improve public and private, federal, state and local pension systems. We applaud this initiative. We must achieve an equitable pension system with improved benefit safeguards and adequate benefit levels.</w:t>
      </w:r>
    </w:p>
    <w:p w:rsidR="00A31137" w:rsidRPr="00A31137" w:rsidRDefault="00A31137" w:rsidP="00A31137">
      <w:r w:rsidRPr="00A31137">
        <w:t>1980 Democratic Platform, p.13</w:t>
      </w:r>
    </w:p>
    <w:p w:rsidR="00A31137" w:rsidRPr="00A31137" w:rsidRDefault="00A31137" w:rsidP="00A31137">
      <w:r w:rsidRPr="00A31137">
        <w:t>We urge the Commission to give special attention to recommendations which address the discrimination and hardships imposed on women in pension plans. Problem areas include, pension rights in divorce proceedings, lack of pension benefits for survivors when a worker dies before retirement age, the rules for establishing Individual Retirement Accounts, the vesting rules and participation in pension plans.</w:t>
      </w:r>
    </w:p>
    <w:p w:rsidR="00A31137" w:rsidRPr="00A31137" w:rsidRDefault="00A31137" w:rsidP="00A31137">
      <w:r w:rsidRPr="00A31137">
        <w:t>1980 Democratic Platform, p.13</w:t>
      </w:r>
    </w:p>
    <w:p w:rsidR="00A31137" w:rsidRPr="00A31137" w:rsidRDefault="00A31137" w:rsidP="00A31137">
      <w:r w:rsidRPr="00A31137">
        <w:t>We support strong programs of portability in teacher and other public employee retirement programs and [p.14] private pension plans in order to offer employees involved in geographic employment moves the opportunity to continue retirement security.</w:t>
      </w:r>
    </w:p>
    <w:p w:rsidR="00A31137" w:rsidRPr="00A31137" w:rsidRDefault="00A31137" w:rsidP="00A31137">
      <w:r w:rsidRPr="00A31137">
        <w:t>Welfare Reform</w:t>
      </w:r>
    </w:p>
    <w:p w:rsidR="00A31137" w:rsidRPr="00A31137" w:rsidRDefault="00A31137" w:rsidP="00A31137">
      <w:r w:rsidRPr="00A31137">
        <w:t>1980 Democratic Platform, p.14</w:t>
      </w:r>
    </w:p>
    <w:p w:rsidR="00A31137" w:rsidRPr="00A31137" w:rsidRDefault="00A31137" w:rsidP="00A31137">
      <w:r w:rsidRPr="00A31137">
        <w:t>The nation's welfare system continues to be inequitable and archaic. The existing organization of our delivery system is chaotic. The roles of the federal, state, and local governments, and of the courts are scrambled, with each vying for power and control over delivery. This confusion lends credence to public outrage.</w:t>
      </w:r>
    </w:p>
    <w:p w:rsidR="00A31137" w:rsidRPr="00A31137" w:rsidRDefault="00A31137" w:rsidP="00A31137">
      <w:r w:rsidRPr="00A31137">
        <w:t>1980 Democratic Platform, p.14</w:t>
      </w:r>
    </w:p>
    <w:p w:rsidR="00A31137" w:rsidRPr="00A31137" w:rsidRDefault="00A31137" w:rsidP="00A31137">
      <w:r w:rsidRPr="00A31137">
        <w:t>States and cities which make an honest effort to meet the welfare crisis find themselves in deepening fiscal difficulty. In the past few years, the federal share of welfare costs in many of these states has actually declined.</w:t>
      </w:r>
    </w:p>
    <w:p w:rsidR="00A31137" w:rsidRPr="00A31137" w:rsidRDefault="00A31137" w:rsidP="00A31137">
      <w:r w:rsidRPr="00A31137">
        <w:t>1980 Democratic Platform, p.14</w:t>
      </w:r>
    </w:p>
    <w:p w:rsidR="00A31137" w:rsidRPr="00A31137" w:rsidRDefault="00A31137" w:rsidP="00A31137">
      <w:r w:rsidRPr="00A31137">
        <w:t>The fiscal crisis of welfare recipients has also deepened, since states and localities are unable or unwilling to adjust benefits to prevent inflation from robbing them of their worth.</w:t>
      </w:r>
    </w:p>
    <w:p w:rsidR="00A31137" w:rsidRPr="00A31137" w:rsidRDefault="00A31137" w:rsidP="00A31137">
      <w:r w:rsidRPr="00A31137">
        <w:t>1980 Democratic Platform, p.14</w:t>
      </w:r>
    </w:p>
    <w:p w:rsidR="00A31137" w:rsidRPr="00A31137" w:rsidRDefault="00A31137" w:rsidP="00A31137">
      <w:r w:rsidRPr="00A31137">
        <w:t>The fiscal crisis for taxpayers continues, as states have little ability or incentive to reduce welfare error rates.</w:t>
      </w:r>
    </w:p>
    <w:p w:rsidR="00A31137" w:rsidRPr="00A31137" w:rsidRDefault="00A31137" w:rsidP="00A31137">
      <w:r w:rsidRPr="00A31137">
        <w:t>1980 Democratic Platform, p.14</w:t>
      </w:r>
    </w:p>
    <w:p w:rsidR="00A31137" w:rsidRPr="00A31137" w:rsidRDefault="00A31137" w:rsidP="00A31137">
      <w:r w:rsidRPr="00A31137">
        <w:t>Incentives continue that cause families to break apart and fathers to leave home so that children may survive. Disincentives continue for welfare families to seek work on their own; no regular method links welfare recipients to the work force.</w:t>
      </w:r>
    </w:p>
    <w:p w:rsidR="00A31137" w:rsidRPr="00A31137" w:rsidRDefault="00A31137" w:rsidP="00A31137">
      <w:r w:rsidRPr="00A31137">
        <w:t>1980 Democratic Platform, p.14</w:t>
      </w:r>
    </w:p>
    <w:p w:rsidR="00A31137" w:rsidRPr="00A31137" w:rsidRDefault="00A31137" w:rsidP="00A31137">
      <w:r w:rsidRPr="00A31137">
        <w:t>We are at a crossroad in the delivery of welfare. Serious reform is necessary if the inequities are to be remedied and administration improved.</w:t>
      </w:r>
    </w:p>
    <w:p w:rsidR="00A31137" w:rsidRPr="00A31137" w:rsidRDefault="00A31137" w:rsidP="00A31137">
      <w:r w:rsidRPr="00A31137">
        <w:t>1980 Democratic Platform, p.14</w:t>
      </w:r>
    </w:p>
    <w:p w:rsidR="00A31137" w:rsidRPr="00A31137" w:rsidRDefault="00A31137" w:rsidP="00A31137">
      <w:r w:rsidRPr="00A31137">
        <w:t>The various components must be reorganized and simplified, with each level of government performing those services most suited to its organizational structure, taking advantage of economies allowed by large-scale delivery where appropriate, and of customized services where they are required, always treating each person with fairness and equity.</w:t>
      </w:r>
    </w:p>
    <w:p w:rsidR="00A31137" w:rsidRPr="00A31137" w:rsidRDefault="00A31137" w:rsidP="00A31137">
      <w:r w:rsidRPr="00A31137">
        <w:t>1980 Democratic Platform, p.14</w:t>
      </w:r>
    </w:p>
    <w:p w:rsidR="00A31137" w:rsidRPr="00A31137" w:rsidRDefault="00A31137" w:rsidP="00A31137">
      <w:r w:rsidRPr="00A31137">
        <w:t>The components of an effective human service delivery system are these.</w:t>
      </w:r>
    </w:p>
    <w:p w:rsidR="00A31137" w:rsidRPr="00A31137" w:rsidRDefault="00A31137" w:rsidP="00A31137">
      <w:r w:rsidRPr="00A31137">
        <w:t>1980 Democratic Platform, p.14</w:t>
      </w:r>
    </w:p>
    <w:p w:rsidR="00A31137" w:rsidRPr="00A31137" w:rsidRDefault="00A31137" w:rsidP="00A31137">
      <w:r w:rsidRPr="00A31137">
        <w:t>Employment—We must require work or necessary training leading to work of every capable person, except for the elderly and those responsible for the care of small children. However, we cannot make this requirement effective unless we can assure employment first through the private sector and, if that is insufficient, through public employment. We must provide an income floor both for the working poor and the poor not in the labor market. We must adopt a simple schedule of work incentives that guarantees equitable levels of assistance to the working poor.</w:t>
      </w:r>
    </w:p>
    <w:p w:rsidR="00A31137" w:rsidRPr="00A31137" w:rsidRDefault="00A31137" w:rsidP="00A31137">
      <w:r w:rsidRPr="00A31137">
        <w:t>1980 Democratic Platform, p.14</w:t>
      </w:r>
    </w:p>
    <w:p w:rsidR="00A31137" w:rsidRPr="00A31137" w:rsidRDefault="00A31137" w:rsidP="00A31137">
      <w:r w:rsidRPr="00A31137">
        <w:t>The training and job program must emphasize supported work programs, in which welfare recipients receive intensive training, personnel counseling and help in the job search. Such services can lead to large increases in job placement, lower government expenditures and more productive workers.</w:t>
      </w:r>
    </w:p>
    <w:p w:rsidR="00A31137" w:rsidRPr="00A31137" w:rsidRDefault="00A31137" w:rsidP="00A31137">
      <w:r w:rsidRPr="00A31137">
        <w:t>1980 Democratic Platform, p.14</w:t>
      </w:r>
    </w:p>
    <w:p w:rsidR="00A31137" w:rsidRPr="00A31137" w:rsidRDefault="00A31137" w:rsidP="00A31137">
      <w:r w:rsidRPr="00A31137">
        <w:t>Income Transfer—For those persons who cannot work and who have no independent means of support, we must provide assistance in an integrated, humane, dignified, and simple manner. These problems are national in scope and require a unified, national response.</w:t>
      </w:r>
    </w:p>
    <w:p w:rsidR="00A31137" w:rsidRPr="00A31137" w:rsidRDefault="00A31137" w:rsidP="00A31137">
      <w:r w:rsidRPr="00A31137">
        <w:t>1980 Democratic Platform, p.14</w:t>
      </w:r>
    </w:p>
    <w:p w:rsidR="00A31137" w:rsidRPr="00A31137" w:rsidRDefault="00A31137" w:rsidP="00A31137">
      <w:r w:rsidRPr="00A31137">
        <w:t>Social Services—As society becomes more complex and faster paced, people such as senior citizens, handicapped, children, families, and those who need protection are under greater pressure and find it more difficult to find the help they need. As these issues vary among communities, communities should take the lead in design and provision of these services.</w:t>
      </w:r>
    </w:p>
    <w:p w:rsidR="00A31137" w:rsidRPr="00A31137" w:rsidRDefault="00A31137" w:rsidP="00A31137">
      <w:r w:rsidRPr="00A31137">
        <w:t>1980 Democratic Platform, p.14</w:t>
      </w:r>
    </w:p>
    <w:p w:rsidR="00A31137" w:rsidRPr="00A31137" w:rsidRDefault="00A31137" w:rsidP="00A31137">
      <w:r w:rsidRPr="00A31137">
        <w:t>Social services must continue to be developed and operated at the local level, close to the users, with knowledge of and sensitivity to both the particular problems of each case and the community's unique infrastructure, resources, and support networks.</w:t>
      </w:r>
    </w:p>
    <w:p w:rsidR="00A31137" w:rsidRPr="00A31137" w:rsidRDefault="00A31137" w:rsidP="00A31137">
      <w:r w:rsidRPr="00A31137">
        <w:t>1980 Democratic Platform, p.14</w:t>
      </w:r>
    </w:p>
    <w:p w:rsidR="00A31137" w:rsidRPr="00A31137" w:rsidRDefault="00A31137" w:rsidP="00A31137">
      <w:r w:rsidRPr="00A31137">
        <w:t>We must develop a community-level system for coordinating existing public and voluntary programs that support the family and individual initiative, and develop programs to fill existing gaps in order to provide the variety and extent of social services appropriate for each locality.</w:t>
      </w:r>
    </w:p>
    <w:p w:rsidR="00A31137" w:rsidRPr="00A31137" w:rsidRDefault="00A31137" w:rsidP="00A31137">
      <w:r w:rsidRPr="00A31137">
        <w:t>1980 Democratic Platform, p.14</w:t>
      </w:r>
    </w:p>
    <w:p w:rsidR="00A31137" w:rsidRPr="00A31137" w:rsidRDefault="00A31137" w:rsidP="00A31137">
      <w:r w:rsidRPr="00A31137">
        <w:t>Food Stamps—Hunger is one of the most debilitating and urgently felt human needs. A government pledged to a fairer distribution of wealth, income, and power, and to holding as a guiding concern the needs and aspirations of all, must also be a government which seeks to alleviate the hunger that results from economic conditions or personal circumstances. Over the years, the Food Stamp Program, expanded and made more responsive by a Democratic Congress and Administration, has become the bulwark of this nation's efforts to relieve hunger among its citizens.</w:t>
      </w:r>
    </w:p>
    <w:p w:rsidR="00A31137" w:rsidRPr="00A31137" w:rsidRDefault="00A31137" w:rsidP="00A31137">
      <w:r w:rsidRPr="00A31137">
        <w:t>1980 Democratic Platform, p.14</w:t>
      </w:r>
    </w:p>
    <w:p w:rsidR="00A31137" w:rsidRPr="00A31137" w:rsidRDefault="00A31137" w:rsidP="00A31137">
      <w:r w:rsidRPr="00A31137">
        <w:t>The only form of assistance which is available to all those in financial need—food stamps—provides an important cushion for poor people, including those whose incomes are temporarily disrupted by layoffs or regional unemployment, or whose age or physical handicap leaves them unable to work.</w:t>
      </w:r>
    </w:p>
    <w:p w:rsidR="00A31137" w:rsidRPr="00A31137" w:rsidRDefault="00A31137" w:rsidP="00A31137">
      <w:r w:rsidRPr="00A31137">
        <w:t>1980 Democratic Platform, p.14</w:t>
      </w:r>
    </w:p>
    <w:p w:rsidR="00A31137" w:rsidRPr="00A31137" w:rsidRDefault="00A31137" w:rsidP="00A31137">
      <w:r w:rsidRPr="00A31137">
        <w:t>As state and local governments modify other benefit programs on which low-income people depend, the Food Stamp Program becomes increasingly important. We will continue to work toward full employment in recognition of the importance of self-support. Until that goal can be attained, and for those who cannot be self-supporting, we remain committed to our current policy of full funding for the Food Stamp Program.</w:t>
      </w:r>
    </w:p>
    <w:p w:rsidR="00A31137" w:rsidRPr="00A31137" w:rsidRDefault="00A31137" w:rsidP="00A31137">
      <w:r w:rsidRPr="00A31137">
        <w:t>1980 Democratic Platform, p.15</w:t>
      </w:r>
    </w:p>
    <w:p w:rsidR="00A31137" w:rsidRPr="00A31137" w:rsidRDefault="00A31137" w:rsidP="00A31137">
      <w:r w:rsidRPr="00A31137">
        <w:t>Medical Care—Provision of medical care for the [p.15] poor remains essential. This is a critical part of the national health debate, and should be handled as such.</w:t>
      </w:r>
    </w:p>
    <w:p w:rsidR="00A31137" w:rsidRPr="00A31137" w:rsidRDefault="00A31137" w:rsidP="00A31137">
      <w:r w:rsidRPr="00A31137">
        <w:t>1980 Democratic Platform, p.15</w:t>
      </w:r>
    </w:p>
    <w:p w:rsidR="00A31137" w:rsidRPr="00A31137" w:rsidRDefault="00A31137" w:rsidP="00A31137">
      <w:r w:rsidRPr="00A31137">
        <w:t>These reforms may require an additional investment, but they offer the prospect of stabilization of welfare costs over the long run, and the assurance that the objective of this expenditure will be accomplished.</w:t>
      </w:r>
    </w:p>
    <w:p w:rsidR="00A31137" w:rsidRPr="00A31137" w:rsidRDefault="00A31137" w:rsidP="00A31137">
      <w:r w:rsidRPr="00A31137">
        <w:t>1980 Democratic Platform, p.15</w:t>
      </w:r>
    </w:p>
    <w:p w:rsidR="00A31137" w:rsidRPr="00A31137" w:rsidRDefault="00A31137" w:rsidP="00A31137">
      <w:r w:rsidRPr="00A31137">
        <w:t>Toward these goals, President Carter proposed welfare reform to the Congress in the form of the Work and Training Opportunities Act and the Social Welfare Reform Amendments Act. These two Acts would lift over two million people out of poverty by providing assistance to individuals and families to enable them to meet minimum income standards and by providing employment to those able to work. We must continue to work to ensure the passage of these two very important acts.</w:t>
      </w:r>
    </w:p>
    <w:p w:rsidR="00A31137" w:rsidRPr="00A31137" w:rsidRDefault="00A31137" w:rsidP="00A31137">
      <w:r w:rsidRPr="00A31137">
        <w:t>1980 Democratic Platform, p.15</w:t>
      </w:r>
    </w:p>
    <w:p w:rsidR="00A31137" w:rsidRPr="00A31137" w:rsidRDefault="00A31137" w:rsidP="00A31137">
      <w:r w:rsidRPr="00A31137">
        <w:t>As a means of providing immediate federal fiscal relief to state and local governments, the federal government will assume the local government's burden of welfare costs. Further, there should be a phased reduction in the states' share of welfare costs in the immediate future.</w:t>
      </w:r>
    </w:p>
    <w:p w:rsidR="00A31137" w:rsidRPr="00A31137" w:rsidRDefault="00A31137" w:rsidP="00A31137">
      <w:r w:rsidRPr="00A31137">
        <w:t>1980 Democratic Platform, p.15</w:t>
      </w:r>
    </w:p>
    <w:p w:rsidR="00A31137" w:rsidRPr="00A31137" w:rsidRDefault="00A31137" w:rsidP="00A31137">
      <w:r w:rsidRPr="00A31137">
        <w:t>The Democratic Party pledges in the immediate future to introduce legislation to accomplish these purposes in the next year.</w:t>
      </w:r>
    </w:p>
    <w:p w:rsidR="00A31137" w:rsidRPr="00A31137" w:rsidRDefault="00A31137" w:rsidP="00A31137">
      <w:r w:rsidRPr="00A31137">
        <w:t>1980 Democratic Platform, p.15</w:t>
      </w:r>
    </w:p>
    <w:p w:rsidR="00A31137" w:rsidRPr="00A31137" w:rsidRDefault="00A31137" w:rsidP="00A31137">
      <w:r w:rsidRPr="00A31137">
        <w:t>Welfare policies significantly affect families. Most persons receiving Aid to Families with Dependent Children, for example, are children or the mothers of young children. Many of these young mothers want to work. So, too, many others receiving welfare are well-suited to work and want to work. A companion to any effective welfare reform must be provision for adequate and available child care, so that parents can participate in training programs and in the work force.</w:t>
      </w:r>
    </w:p>
    <w:p w:rsidR="00A31137" w:rsidRPr="00A31137" w:rsidRDefault="00A31137" w:rsidP="00A31137">
      <w:r w:rsidRPr="00A31137">
        <w:t>1980 Democratic Platform, p.15</w:t>
      </w:r>
    </w:p>
    <w:p w:rsidR="00A31137" w:rsidRPr="00A31137" w:rsidRDefault="00A31137" w:rsidP="00A31137">
      <w:r w:rsidRPr="00A31137">
        <w:t>Government should not encourage the break-up of intact families. On the contrary, we must provide the help a family needs to survive a crisis together. In 1962, America took and action which has been one of the greatest contributors to family stability in the history of federal policy. For the first time, states were permitted to provide assistance to families with both parents, and still be eligible for general reimbursement. We reaffirm our support for the 1962 action and urge that states not providing assistance to unified families begin to do so. We must treat stable and broken families equally.</w:t>
      </w:r>
    </w:p>
    <w:p w:rsidR="00A31137" w:rsidRPr="00A31137" w:rsidRDefault="00A31137" w:rsidP="00A31137">
      <w:r w:rsidRPr="00A31137">
        <w:t>1980 Democratic Platform, p.15</w:t>
      </w:r>
    </w:p>
    <w:p w:rsidR="00A31137" w:rsidRPr="00A31137" w:rsidRDefault="00A31137" w:rsidP="00A31137">
      <w:r w:rsidRPr="00A31137">
        <w:t>The thirty-day waiting period for placement on the welfare rolls poses serious problems for individuals and families in dire need of assistance. We support efforts to streamline processing of new welfare recipients which also attempt to address the problem of administrative errors. Simplified rules and better administration machinery would significantly improve the operation of the welfare system.</w:t>
      </w:r>
    </w:p>
    <w:p w:rsidR="00A31137" w:rsidRPr="00A31137" w:rsidRDefault="00A31137" w:rsidP="00A31137">
      <w:r w:rsidRPr="00A31137">
        <w:t>1980 Democratic Platform, p.15</w:t>
      </w:r>
    </w:p>
    <w:p w:rsidR="00A31137" w:rsidRPr="00A31137" w:rsidRDefault="00A31137" w:rsidP="00A31137">
      <w:r w:rsidRPr="00A31137">
        <w:t>We strongly reject the Republican Platform proposal to transfer the responsibility for funding welfare costs entirely to the states. Such a proposal would not only worsen the fiscal situation of state and local governments, but would also lead to reduced benefits and services to those dependent on welfare programs. The Democratic policy is exactly the opposite—to provide greater assistance to state and local governments for their welfare costs and to improve benefits and services for those dependent on welfare.</w:t>
      </w:r>
    </w:p>
    <w:p w:rsidR="00A31137" w:rsidRPr="00A31137" w:rsidRDefault="00A31137" w:rsidP="00A31137">
      <w:r w:rsidRPr="00A31137">
        <w:t>Low Income Energy Assistance</w:t>
      </w:r>
    </w:p>
    <w:p w:rsidR="00A31137" w:rsidRPr="00A31137" w:rsidRDefault="00A31137" w:rsidP="00A31137">
      <w:r w:rsidRPr="00A31137">
        <w:t>1980 Democratic Platform, p.15</w:t>
      </w:r>
    </w:p>
    <w:p w:rsidR="00A31137" w:rsidRPr="00A31137" w:rsidRDefault="00A31137" w:rsidP="00A31137">
      <w:r w:rsidRPr="00A31137">
        <w:t>Our citizens see their family budgets stretched to the breaking point by an explosion of energy costs, while the profits of oil companies multiply to record levels. Last year's 120 percent increase in energy prices by OPEC led to a drastic decrease in the ability of needy families to pay for other necessities of life. The recently enacted low income energy assistance legislation is helping, but it is providing only $1 of help for every $4 in increased costs that have been imposed upon the poor. Significant expansion in this program is urgently needed, and we support such action as a major priority of our Party.</w:t>
      </w:r>
    </w:p>
    <w:p w:rsidR="00A31137" w:rsidRPr="00A31137" w:rsidRDefault="00A31137" w:rsidP="00A31137">
      <w:r w:rsidRPr="00A31137">
        <w:t>Veterans</w:t>
      </w:r>
    </w:p>
    <w:p w:rsidR="00A31137" w:rsidRPr="00A31137" w:rsidRDefault="00A31137" w:rsidP="00A31137">
      <w:r w:rsidRPr="00A31137">
        <w:t>1980 Democratic Platform, p.15</w:t>
      </w:r>
    </w:p>
    <w:p w:rsidR="00A31137" w:rsidRPr="00A31137" w:rsidRDefault="00A31137" w:rsidP="00A31137">
      <w:r w:rsidRPr="00A31137">
        <w:t>This Administration has worked to strengthen the federal government's commitment to our nation's veterans. The Veterans Administration has been given Cabinet-level participation. There have been three consecutive annual increases in VA compensation. The Veterans' and Survivors' Pension Improvement Act has assured veterans of and adequate minimum income. A treatment and rehabilitation program has been established for veterans with alcohol and drug-dependency disabilities. G.I. educational benefits have been considerably expanded. Unemployment among Vietnam veterans has been reduced. Veterans' health care has been improved. A process has been initiated for veterans to upgrade less than honorable discharges from the Vietnam War era.</w:t>
      </w:r>
    </w:p>
    <w:p w:rsidR="00A31137" w:rsidRPr="00A31137" w:rsidRDefault="00A31137" w:rsidP="00A31137">
      <w:r w:rsidRPr="00A31137">
        <w:t>1980 Democratic Platform, p.15</w:t>
      </w:r>
    </w:p>
    <w:p w:rsidR="00A31137" w:rsidRPr="00A31137" w:rsidRDefault="00A31137" w:rsidP="00A31137">
      <w:r w:rsidRPr="00A31137">
        <w:t>During the 1980s, we must commit ourselves to:</w:t>
      </w:r>
    </w:p>
    <w:p w:rsidR="00A31137" w:rsidRPr="00A31137" w:rsidRDefault="00A31137" w:rsidP="00A31137">
      <w:r w:rsidRPr="00A31137">
        <w:t>1980 Democratic Platform, p.15</w:t>
      </w:r>
    </w:p>
    <w:p w:rsidR="00A31137" w:rsidRPr="00A31137" w:rsidRDefault="00A31137" w:rsidP="00A31137">
      <w:r w:rsidRPr="00A31137">
        <w:t>–Equal opportunity and full voluntary participation in the military regardless of sex. We oppose quotas and/or percentages, rules, policies and practices which restrict or bar women from equal access to educational training and employment training and employment benefits which accrue during and after military service.</w:t>
      </w:r>
    </w:p>
    <w:p w:rsidR="00A31137" w:rsidRPr="00A31137" w:rsidRDefault="00A31137" w:rsidP="00A31137">
      <w:r w:rsidRPr="00A31137">
        <w:t>1980 Democratic Platform, p.15</w:t>
      </w:r>
    </w:p>
    <w:p w:rsidR="00A31137" w:rsidRPr="00A31137" w:rsidRDefault="00A31137" w:rsidP="00A31137">
      <w:r w:rsidRPr="00A31137">
        <w:t>–Continue improving education and training benefits and opportunities for veterans, especially those who are economically or educationally disadvantaged and those who are disabled.</w:t>
      </w:r>
    </w:p>
    <w:p w:rsidR="00A31137" w:rsidRPr="00A31137" w:rsidRDefault="00A31137" w:rsidP="00A31137">
      <w:r w:rsidRPr="00A31137">
        <w:t>1980 Democratic Platform, p.16</w:t>
      </w:r>
    </w:p>
    <w:p w:rsidR="00A31137" w:rsidRPr="00A31137" w:rsidRDefault="00A31137" w:rsidP="00A31137">
      <w:r w:rsidRPr="00A31137">
        <w:t>–Initiate and complete comprehensive epidemiological [p.16] studies on veterans exposed to certain defoliants used during the Vietnam War as well as on veterans or civilians exposed to above-ground nuclear explosion. We then must establish appropriate and sensitive VA health care programs for those determined to have suffered from such exposure or service.</w:t>
      </w:r>
    </w:p>
    <w:p w:rsidR="00A31137" w:rsidRPr="00A31137" w:rsidRDefault="00A31137" w:rsidP="00A31137">
      <w:r w:rsidRPr="00A31137">
        <w:t>1980 Democratic Platform, p.16</w:t>
      </w:r>
    </w:p>
    <w:p w:rsidR="00A31137" w:rsidRPr="00A31137" w:rsidRDefault="00A31137" w:rsidP="00A31137">
      <w:r w:rsidRPr="00A31137">
        <w:t>–Complete promptly the current Cabinet-level study on Agent Orange.</w:t>
      </w:r>
    </w:p>
    <w:p w:rsidR="00A31137" w:rsidRPr="00A31137" w:rsidRDefault="00A31137" w:rsidP="00A31137">
      <w:r w:rsidRPr="00A31137">
        <w:t>1980 Democratic Platform, p.16</w:t>
      </w:r>
    </w:p>
    <w:p w:rsidR="00A31137" w:rsidRPr="00A31137" w:rsidRDefault="00A31137" w:rsidP="00A31137">
      <w:r w:rsidRPr="00A31137">
        <w:t>–Strive to maintain and improve quality health care in an independent VA health care system.</w:t>
      </w:r>
    </w:p>
    <w:p w:rsidR="00A31137" w:rsidRPr="00A31137" w:rsidRDefault="00A31137" w:rsidP="00A31137">
      <w:r w:rsidRPr="00A31137">
        <w:t>1980 Democratic Platform, p.16</w:t>
      </w:r>
    </w:p>
    <w:p w:rsidR="00A31137" w:rsidRPr="00A31137" w:rsidRDefault="00A31137" w:rsidP="00A31137">
      <w:r w:rsidRPr="00A31137">
        <w:t>–Continue priority care to veterans with service-connected disabilities and seek ways of improving and developing special treatment for the ever-increasing aging veterans population, including burial benefit programs sensitive to the needs of veterans and their families in rural areas.</w:t>
      </w:r>
    </w:p>
    <w:p w:rsidR="00A31137" w:rsidRPr="00A31137" w:rsidRDefault="00A31137" w:rsidP="00A31137">
      <w:r w:rsidRPr="00A31137">
        <w:t>1980 Democratic Platform, p.16</w:t>
      </w:r>
    </w:p>
    <w:p w:rsidR="00A31137" w:rsidRPr="00A31137" w:rsidRDefault="00A31137" w:rsidP="00A31137">
      <w:r w:rsidRPr="00A31137">
        <w:t>–Provide authority for the construction of a memorial in the nation's capital to those who died in service to their country in Southeast Asia.</w:t>
      </w:r>
    </w:p>
    <w:p w:rsidR="00A31137" w:rsidRPr="00A31137" w:rsidRDefault="00A31137" w:rsidP="00A31137">
      <w:r w:rsidRPr="00A31137">
        <w:t>Education</w:t>
      </w:r>
    </w:p>
    <w:p w:rsidR="00A31137" w:rsidRPr="00A31137" w:rsidRDefault="00A31137" w:rsidP="00A31137">
      <w:r w:rsidRPr="00A31137">
        <w:t>1980 Democratic Platform, p.16</w:t>
      </w:r>
    </w:p>
    <w:p w:rsidR="00A31137" w:rsidRPr="00A31137" w:rsidRDefault="00A31137" w:rsidP="00A31137">
      <w:r w:rsidRPr="00A31137">
        <w:t>Perhaps the single most important factor in spurring productivity in our society is a skilled work force. We must begin to think of federal expenditures as capital investments, favoring those which are productive and which reduce future costs. In this context, education must be one of our highest priorities. Education is also the indispensable prerequisite for effective democracy. As Daniel Webster said, "On the diffusion of education among people rests the preservation and perpetuation of free institutions."</w:t>
      </w:r>
    </w:p>
    <w:p w:rsidR="00A31137" w:rsidRPr="00A31137" w:rsidRDefault="00A31137" w:rsidP="00A31137">
      <w:r w:rsidRPr="00A31137">
        <w:t>1980 Democratic Platform, p.16</w:t>
      </w:r>
    </w:p>
    <w:p w:rsidR="00A31137" w:rsidRPr="00A31137" w:rsidRDefault="00A31137" w:rsidP="00A31137">
      <w:r w:rsidRPr="00A31137">
        <w:t>The Democratic Party is strongly committed to education as the best hope for America's future. We applaud the leadership taken by a Democratic President and a Democratic Congress in strengthening federal programs for education.</w:t>
      </w:r>
    </w:p>
    <w:p w:rsidR="00A31137" w:rsidRPr="00A31137" w:rsidRDefault="00A31137" w:rsidP="00A31137">
      <w:r w:rsidRPr="00A31137">
        <w:t>1980 Democratic Platform, p.16</w:t>
      </w:r>
    </w:p>
    <w:p w:rsidR="00A31137" w:rsidRPr="00A31137" w:rsidRDefault="00A31137" w:rsidP="00A31137">
      <w:r w:rsidRPr="00A31137">
        <w:t>In the past four years:</w:t>
      </w:r>
    </w:p>
    <w:p w:rsidR="00A31137" w:rsidRPr="00A31137" w:rsidRDefault="00A31137" w:rsidP="00A31137">
      <w:r w:rsidRPr="00A31137">
        <w:t>1980 Democratic Platform, p.16</w:t>
      </w:r>
    </w:p>
    <w:p w:rsidR="00A31137" w:rsidRPr="00A31137" w:rsidRDefault="00A31137" w:rsidP="00A31137">
      <w:r w:rsidRPr="00A31137">
        <w:t>–Federal aid to education has increased by 73 percent—the greatest income increase in such a short period in our history.</w:t>
      </w:r>
    </w:p>
    <w:p w:rsidR="00A31137" w:rsidRPr="00A31137" w:rsidRDefault="00A31137" w:rsidP="00A31137">
      <w:r w:rsidRPr="00A31137">
        <w:t>1980 Democratic Platform, p.16</w:t>
      </w:r>
    </w:p>
    <w:p w:rsidR="00A31137" w:rsidRPr="00A31137" w:rsidRDefault="00A31137" w:rsidP="00A31137">
      <w:r w:rsidRPr="00A31137">
        <w:t>–Strong financial and administrative support has been provided for programs that enhance educational opportunities for women, minorities, American Indians and other native Americans, the handicapped, and students with lingered English-speaking ability and other special needs;</w:t>
      </w:r>
    </w:p>
    <w:p w:rsidR="00A31137" w:rsidRPr="00A31137" w:rsidRDefault="00A31137" w:rsidP="00A31137">
      <w:r w:rsidRPr="00A31137">
        <w:t>1980 Democratic Platform, p.16</w:t>
      </w:r>
    </w:p>
    <w:p w:rsidR="00A31137" w:rsidRPr="00A31137" w:rsidRDefault="00A31137" w:rsidP="00A31137">
      <w:r w:rsidRPr="00A31137">
        <w:t>–The Middle Income Student Assistance Act was adopted, expanding eligibility for need-based student financial aid to approximately one-third of the students enrolled in post-secondary education;</w:t>
      </w:r>
    </w:p>
    <w:p w:rsidR="00A31137" w:rsidRPr="00A31137" w:rsidRDefault="00A31137" w:rsidP="00A31137">
      <w:r w:rsidRPr="00A31137">
        <w:t>1980 Democratic Platform, p.16</w:t>
      </w:r>
    </w:p>
    <w:p w:rsidR="00A31137" w:rsidRPr="00A31137" w:rsidRDefault="00A31137" w:rsidP="00A31137">
      <w:r w:rsidRPr="00A31137">
        <w:t>–A number of legislative, regulatory and other administrative actions were taken to enhance benefits received by private school children from federal education programs; and</w:t>
      </w:r>
    </w:p>
    <w:p w:rsidR="00A31137" w:rsidRPr="00A31137" w:rsidRDefault="00A31137" w:rsidP="00A31137">
      <w:r w:rsidRPr="00A31137">
        <w:t>1980 Democratic Platform, p.16</w:t>
      </w:r>
    </w:p>
    <w:p w:rsidR="00A31137" w:rsidRPr="00A31137" w:rsidRDefault="00A31137" w:rsidP="00A31137">
      <w:r w:rsidRPr="00A31137">
        <w:t>–A new Department of Education was created to give education a stronger, more direct voice at the federal level, while at the same time reserving control over educational policy-making and operations to states, localities, and public and private institutions.</w:t>
      </w:r>
    </w:p>
    <w:p w:rsidR="00A31137" w:rsidRPr="00A31137" w:rsidRDefault="00A31137" w:rsidP="00A31137">
      <w:r w:rsidRPr="00A31137">
        <w:t>1980 Democratic Platform, p.16</w:t>
      </w:r>
    </w:p>
    <w:p w:rsidR="00A31137" w:rsidRPr="00A31137" w:rsidRDefault="00A31137" w:rsidP="00A31137">
      <w:r w:rsidRPr="00A31137">
        <w:t>Over the next four years, we pledge to continue our strong commitment to education. We will continue to support the Department of Education and assist in its all-important educational enterprise that involves three out of ten Americans.</w:t>
      </w:r>
    </w:p>
    <w:p w:rsidR="00A31137" w:rsidRPr="00A31137" w:rsidRDefault="00A31137" w:rsidP="00A31137">
      <w:r w:rsidRPr="00A31137">
        <w:t>1980 Democratic Platform, p.16</w:t>
      </w:r>
    </w:p>
    <w:p w:rsidR="00A31137" w:rsidRPr="00A31137" w:rsidRDefault="00A31137" w:rsidP="00A31137">
      <w:r w:rsidRPr="00A31137">
        <w:t>In this regard, we endorse the language of the legislation which emphasized the intent of Congress "to protect the rights of state and local governments and public and private institutions in the areas of educational policies and administration of programs…. "</w:t>
      </w:r>
    </w:p>
    <w:p w:rsidR="00A31137" w:rsidRPr="00A31137" w:rsidRDefault="00A31137" w:rsidP="00A31137">
      <w:r w:rsidRPr="00A31137">
        <w:t>1980 Democratic Platform, p.16</w:t>
      </w:r>
    </w:p>
    <w:p w:rsidR="00A31137" w:rsidRPr="00A31137" w:rsidRDefault="00A31137" w:rsidP="00A31137">
      <w:r w:rsidRPr="00A31137">
        <w:t>It is now a decade and a half since the passage—by a Democratic Congress at the behest of a Democratic Administration—of the landmark Elementary and Secondary Education Act of 1965. At the time, there were sound and compelling reasons to undergird all federal aid to education with specific purposes. The specific purposes remain compelling and the specific programs addressed to them must be maintained.</w:t>
      </w:r>
    </w:p>
    <w:p w:rsidR="00A31137" w:rsidRPr="00A31137" w:rsidRDefault="00A31137" w:rsidP="00A31137">
      <w:r w:rsidRPr="00A31137">
        <w:t>1980 Democratic Platform, p.16</w:t>
      </w:r>
    </w:p>
    <w:p w:rsidR="00A31137" w:rsidRPr="00A31137" w:rsidRDefault="00A31137" w:rsidP="00A31137">
      <w:r w:rsidRPr="00A31137">
        <w:t>Federal aid to education plays a significant role in guaranteeing that jurisdictions of differing financial capacity can spend equal amounts on schooling. We favor a steady increase in federal support with an emphasis on reducing inter- and intra-state disparities in ability to support quality education. The federal government and the states should be encouraged to equalize or take over educational expenses, relieving the overburdened property taxpayer.</w:t>
      </w:r>
    </w:p>
    <w:p w:rsidR="00A31137" w:rsidRPr="00A31137" w:rsidRDefault="00A31137" w:rsidP="00A31137">
      <w:r w:rsidRPr="00A31137">
        <w:t>1980 Democratic Platform, p.16</w:t>
      </w:r>
    </w:p>
    <w:p w:rsidR="00A31137" w:rsidRPr="00A31137" w:rsidRDefault="00A31137" w:rsidP="00A31137">
      <w:r w:rsidRPr="00A31137">
        <w:t>The Democratic Party renews its commitment to eliminating discrimination in education because of sex and demands full and expeditious enforcement of Title IX of the 1972 education amendments.</w:t>
      </w:r>
    </w:p>
    <w:p w:rsidR="00A31137" w:rsidRPr="00A31137" w:rsidRDefault="00A31137" w:rsidP="00A31137">
      <w:r w:rsidRPr="00A31137">
        <w:t>1980 Democratic Platform, p.16</w:t>
      </w:r>
    </w:p>
    <w:p w:rsidR="00A31137" w:rsidRPr="00A31137" w:rsidRDefault="00A31137" w:rsidP="00A31137">
      <w:r w:rsidRPr="00A31137">
        <w:t>The Democratic Party strongly urges that the federal government be sensitive to mandating state and local programs without adequate provision for funding. Such mandates force the state and/or local governments to increase taxes to fund such required programs.</w:t>
      </w:r>
    </w:p>
    <w:p w:rsidR="00A31137" w:rsidRPr="00A31137" w:rsidRDefault="00A31137" w:rsidP="00A31137">
      <w:r w:rsidRPr="00A31137">
        <w:t>1980 Democratic Platform, p.16</w:t>
      </w:r>
    </w:p>
    <w:p w:rsidR="00A31137" w:rsidRPr="00A31137" w:rsidRDefault="00A31137" w:rsidP="00A31137">
      <w:r w:rsidRPr="00A31137">
        <w:t>Equal educational opportunity is at the heart of the Democratic program for education. Equality of opportunity must sometimes translate to compensatory efforts. For the disadvantaged, the handicapped, those with limited English language skills, American Indians/Alaska Natives, Native Hawaiians, and other minorities, compensatory programs require concentrated federal spending.</w:t>
      </w:r>
    </w:p>
    <w:p w:rsidR="00A31137" w:rsidRPr="00A31137" w:rsidRDefault="00A31137" w:rsidP="00A31137">
      <w:r w:rsidRPr="00A31137">
        <w:t>1980 Democratic Platform, p.16</w:t>
      </w:r>
    </w:p>
    <w:p w:rsidR="00A31137" w:rsidRPr="00A31137" w:rsidRDefault="00A31137" w:rsidP="00A31137">
      <w:r w:rsidRPr="00A31137">
        <w:t>The Democratic Administration and Congress have supported a comprehensive program of compensatory education and have expanded it to include secondary [p.17] education. We will continue to target categorical assistance to low income and low achieving students.</w:t>
      </w:r>
    </w:p>
    <w:p w:rsidR="00A31137" w:rsidRPr="00A31137" w:rsidRDefault="00A31137" w:rsidP="00A31137">
      <w:r w:rsidRPr="00A31137">
        <w:t>1980 Democratic Platform, p.17</w:t>
      </w:r>
    </w:p>
    <w:p w:rsidR="00A31137" w:rsidRPr="00A31137" w:rsidRDefault="00A31137" w:rsidP="00A31137">
      <w:r w:rsidRPr="00A31137">
        <w:t>We reaffirm our strong support for Title I concentration grants for remedial instruction for low income students. The Democratic Party pledges to achieve full funding of concentration grants under Title I and to expand the Headstart and Follow-through programs.</w:t>
      </w:r>
    </w:p>
    <w:p w:rsidR="00A31137" w:rsidRPr="00A31137" w:rsidRDefault="00A31137" w:rsidP="00A31137">
      <w:r w:rsidRPr="00A31137">
        <w:t>1980 Democratic Platform, p.17</w:t>
      </w:r>
    </w:p>
    <w:p w:rsidR="00A31137" w:rsidRPr="00A31137" w:rsidRDefault="00A31137" w:rsidP="00A31137">
      <w:r w:rsidRPr="00A31137">
        <w:t>The Democratic Party will continue to advocate quality education in the Bureau of Indian Affairs and in tribally contracted schools to meet American Indian educational needs. The Democratic Party opposes the closing of schools serving American Indians and Alaska Natives without consultation with the tribes involved.</w:t>
      </w:r>
    </w:p>
    <w:p w:rsidR="00A31137" w:rsidRPr="00A31137" w:rsidRDefault="00A31137" w:rsidP="00A31137">
      <w:r w:rsidRPr="00A31137">
        <w:t>1980 Democratic Platform, p.17</w:t>
      </w:r>
    </w:p>
    <w:p w:rsidR="00A31137" w:rsidRPr="00A31137" w:rsidRDefault="00A31137" w:rsidP="00A31137">
      <w:r w:rsidRPr="00A31137">
        <w:t>The Democratic Party recognizes the need to maintain quality education for children in school districts affected by federal activities and installations. We therefore will continue to be sensitive to the financial problems of these school districts.</w:t>
      </w:r>
    </w:p>
    <w:p w:rsidR="00A31137" w:rsidRPr="00A31137" w:rsidRDefault="00A31137" w:rsidP="00A31137">
      <w:r w:rsidRPr="00A31137">
        <w:t>1980 Democratic Platform, p.17</w:t>
      </w:r>
    </w:p>
    <w:p w:rsidR="00A31137" w:rsidRPr="00A31137" w:rsidRDefault="00A31137" w:rsidP="00A31137">
      <w:r w:rsidRPr="00A31137">
        <w:t>School desegregation is an important tool in the effort to give all children equal educational opportunity. The Democratic Party continues to support programs aimed at achieving communities integrated both in terms of race and economic class through constitutional means. We encourage redrawing of attendance lines, pairing of schools, utilizing the "magnet school concept" as much as possible, and enforcing fair housing standards. Mandatory transportation of students beyond their neighborhoods for the purpose of desegregation remains a judicial tool of last resort.</w:t>
      </w:r>
    </w:p>
    <w:p w:rsidR="00A31137" w:rsidRPr="00A31137" w:rsidRDefault="00A31137" w:rsidP="00A31137">
      <w:r w:rsidRPr="00A31137">
        <w:t>1980 Democratic Platform, p.17</w:t>
      </w:r>
    </w:p>
    <w:p w:rsidR="00A31137" w:rsidRPr="00A31137" w:rsidRDefault="00A31137" w:rsidP="00A31137">
      <w:r w:rsidRPr="00A31137">
        <w:t>We call for strict compliance with civil rights requirements in hiring and promotion in school systems.</w:t>
      </w:r>
    </w:p>
    <w:p w:rsidR="00A31137" w:rsidRPr="00A31137" w:rsidRDefault="00A31137" w:rsidP="00A31137">
      <w:r w:rsidRPr="00A31137">
        <w:t>1980 Democratic Platform, p.17</w:t>
      </w:r>
    </w:p>
    <w:p w:rsidR="00A31137" w:rsidRPr="00A31137" w:rsidRDefault="00A31137" w:rsidP="00A31137">
      <w:r w:rsidRPr="00A31137">
        <w:t>We support an effective bilingual program to reach all limited-English-proficiency people who need such assistance.</w:t>
      </w:r>
    </w:p>
    <w:p w:rsidR="00A31137" w:rsidRPr="00A31137" w:rsidRDefault="00A31137" w:rsidP="00A31137">
      <w:r w:rsidRPr="00A31137">
        <w:t>1980 Democratic Platform, p.17</w:t>
      </w:r>
    </w:p>
    <w:p w:rsidR="00A31137" w:rsidRPr="00A31137" w:rsidRDefault="00A31137" w:rsidP="00A31137">
      <w:r w:rsidRPr="00A31137">
        <w:t>The Democratic Party supports efforts to broaden students' knowledge and appreciation of other cultures, languages and countries.</w:t>
      </w:r>
    </w:p>
    <w:p w:rsidR="00A31137" w:rsidRPr="00A31137" w:rsidRDefault="00A31137" w:rsidP="00A31137">
      <w:r w:rsidRPr="00A31137">
        <w:t>1980 Democratic Platform, p.17</w:t>
      </w:r>
    </w:p>
    <w:p w:rsidR="00A31137" w:rsidRPr="00A31137" w:rsidRDefault="00A31137" w:rsidP="00A31137">
      <w:r w:rsidRPr="00A31137">
        <w:t>We also support vocational and technical education through increased support for teacher training, personnel development, and upgrading and modernizing equipment and facilities to provide the skill and technical training to meet the workforce needs for business, industry, and government services. Increased emphasis on basic skills is essential to the success of vocational and technical training. Vocational and technical education is a viable tool for establishing people in their own business through entrepreneurship programs. Vocational and technical education contributes to the economic development and productivity of our nation by offering every person an opportunity to develop a marketable skill.</w:t>
      </w:r>
    </w:p>
    <w:p w:rsidR="00A31137" w:rsidRPr="00A31137" w:rsidRDefault="00A31137" w:rsidP="00A31137">
      <w:r w:rsidRPr="00A31137">
        <w:t>1980 Democratic Platform, p.17</w:t>
      </w:r>
    </w:p>
    <w:p w:rsidR="00A31137" w:rsidRPr="00A31137" w:rsidRDefault="00A31137" w:rsidP="00A31137">
      <w:r w:rsidRPr="00A31137">
        <w:t>The Party reaffirms its support of public school education and would not support any program or legislation that would create or promote economic, sociological or racial segregation. Our primary purpose in assisting elemental, and secondary education must be to assure a quality public school system for all students.</w:t>
      </w:r>
    </w:p>
    <w:p w:rsidR="00A31137" w:rsidRPr="00A31137" w:rsidRDefault="00A31137" w:rsidP="00A31137">
      <w:r w:rsidRPr="00A31137">
        <w:t>1980 Democratic Platform, p.17</w:t>
      </w:r>
    </w:p>
    <w:p w:rsidR="00A31137" w:rsidRPr="00A31137" w:rsidRDefault="00A31137" w:rsidP="00A31137">
      <w:r w:rsidRPr="00A31137">
        <w:t>Private schools, particularly parochial schools, are also an important part of our diverse educational system. The Party accepts its commitment to the support of a constitutionally acceptable method of providing tax aid for the education of all pupils in schools which do not racially discriminate, and excluding so-called segregation academies. Specifically, the Party will continue to advocate constitutionally permissible federal education legislation which provides for the equitable participation in federal programs of all low and moderate income pupils.</w:t>
      </w:r>
    </w:p>
    <w:p w:rsidR="00A31137" w:rsidRPr="00A31137" w:rsidRDefault="00A31137" w:rsidP="00A31137">
      <w:r w:rsidRPr="00A31137">
        <w:t>1980 Democratic Platform, p.17</w:t>
      </w:r>
    </w:p>
    <w:p w:rsidR="00A31137" w:rsidRPr="00A31137" w:rsidRDefault="00A31137" w:rsidP="00A31137">
      <w:r w:rsidRPr="00A31137">
        <w:t>The Democratic Party reaffirms its commitment to the concept and promise that every handicapped child should have a full and appropriate public education in the least restrictive environment. To assure the best placement and program for handicapped students, we support maximum involvement of the regular classroom teacher in placement planning for handicapped students with assurance of barrier-free access. We further support increasing the federal share of the costs of education for the handicapped.</w:t>
      </w:r>
    </w:p>
    <w:p w:rsidR="00A31137" w:rsidRPr="00A31137" w:rsidRDefault="00A31137" w:rsidP="00A31137">
      <w:r w:rsidRPr="00A31137">
        <w:t>1980 Democratic Platform, p.17</w:t>
      </w:r>
    </w:p>
    <w:p w:rsidR="00A31137" w:rsidRPr="00A31137" w:rsidRDefault="00A31137" w:rsidP="00A31137">
      <w:r w:rsidRPr="00A31137">
        <w:t>We applaud the actions taken by the government in strengthening federal programs for higher education. The nation must continue to ensure that our colleges and universities can provide quality higher education in the coming period of declining enrollment and rising operating costs.</w:t>
      </w:r>
    </w:p>
    <w:p w:rsidR="00A31137" w:rsidRPr="00A31137" w:rsidRDefault="00A31137" w:rsidP="00A31137">
      <w:r w:rsidRPr="00A31137">
        <w:t>1980 Democratic Platform, p.17</w:t>
      </w:r>
    </w:p>
    <w:p w:rsidR="00A31137" w:rsidRPr="00A31137" w:rsidRDefault="00A31137" w:rsidP="00A31137">
      <w:r w:rsidRPr="00A31137">
        <w:t>We are especially interested in extending post-secondary opportunities to students from low and middle income families, older students, and minorities. We believe that no able student should be denied a college education for reasons of cost.</w:t>
      </w:r>
    </w:p>
    <w:p w:rsidR="00A31137" w:rsidRPr="00A31137" w:rsidRDefault="00A31137" w:rsidP="00A31137">
      <w:r w:rsidRPr="00A31137">
        <w:t>1980 Democratic Platform, p.17</w:t>
      </w:r>
    </w:p>
    <w:p w:rsidR="00A31137" w:rsidRPr="00A31137" w:rsidRDefault="00A31137" w:rsidP="00A31137">
      <w:r w:rsidRPr="00A31137">
        <w:t>The Democratic Party is committed to a federal scholarship program adequate to meet the needs of all the underprivileged who could benefit from a college education. When those who are qualified for post-secondary education cannot afford to enter college, the nation ignores talent we cannot afford to lose. Basic Education Opportunity Grants, which offer both actress to a college education and the choice of a college, must continue to be strengthened and should be funded at full payment schedule.</w:t>
      </w:r>
    </w:p>
    <w:p w:rsidR="00A31137" w:rsidRPr="00A31137" w:rsidRDefault="00A31137" w:rsidP="00A31137">
      <w:r w:rsidRPr="00A31137">
        <w:t>1980 Democratic Platform, p.17</w:t>
      </w:r>
    </w:p>
    <w:p w:rsidR="00A31137" w:rsidRPr="00A31137" w:rsidRDefault="00A31137" w:rsidP="00A31137">
      <w:r w:rsidRPr="00A31137">
        <w:t>Likewise, campus-based programs of aid must be supported. With a coordinated and reliable system of grants, loans and work study, we can relieve the crisis in costs that could close all but the affluent colleges and universities.</w:t>
      </w:r>
    </w:p>
    <w:p w:rsidR="00A31137" w:rsidRPr="00A31137" w:rsidRDefault="00A31137" w:rsidP="00A31137">
      <w:r w:rsidRPr="00A31137">
        <w:t>1980 Democratic Platform, p.17</w:t>
      </w:r>
    </w:p>
    <w:p w:rsidR="00A31137" w:rsidRPr="00A31137" w:rsidRDefault="00A31137" w:rsidP="00A31137">
      <w:r w:rsidRPr="00A31137">
        <w:t>Since entry to institutions of higher learning is dependent upon a student's score on a standardized test, we support testing legislation which will assure that students will receive sufficient information relative to [p.18] their performance on the test to determine their strengths and weaknesses on the tests.</w:t>
      </w:r>
    </w:p>
    <w:p w:rsidR="00A31137" w:rsidRPr="00A31137" w:rsidRDefault="00A31137" w:rsidP="00A31137">
      <w:r w:rsidRPr="00A31137">
        <w:t>1980 Democratic Platform, p.18</w:t>
      </w:r>
    </w:p>
    <w:p w:rsidR="00A31137" w:rsidRPr="00A31137" w:rsidRDefault="00A31137" w:rsidP="00A31137">
      <w:r w:rsidRPr="00A31137">
        <w:t>Our institutions of higher education deserve both public and private backing. The Party supports the continuation of tax deductions for charitable gifts, recognizing that such gifts represent the margin of excellence in higher education and foster scholarly independence within our institutions of higher learning.</w:t>
      </w:r>
    </w:p>
    <w:p w:rsidR="00A31137" w:rsidRPr="00A31137" w:rsidRDefault="00A31137" w:rsidP="00A31137">
      <w:r w:rsidRPr="00A31137">
        <w:t>1980 Democratic Platform, p.18</w:t>
      </w:r>
    </w:p>
    <w:p w:rsidR="00A31137" w:rsidRPr="00A31137" w:rsidRDefault="00A31137" w:rsidP="00A31137">
      <w:r w:rsidRPr="00A31137">
        <w:t>The Democratic Party commits itself to the strengthening of graduate education and the support of basic and applied research. Graduate education, scholarship and research are of immense importance to the nation's economic and cultural development. Universities conduct most of the nation's basic research. Their graduate and research programs are the training grounds for the research personnel and professionals who discover knowledge and translate that knowledge into action.</w:t>
      </w:r>
    </w:p>
    <w:p w:rsidR="00A31137" w:rsidRPr="00A31137" w:rsidRDefault="00A31137" w:rsidP="00A31137">
      <w:r w:rsidRPr="00A31137">
        <w:t>1980 Democratic Platform, p.18</w:t>
      </w:r>
    </w:p>
    <w:p w:rsidR="00A31137" w:rsidRPr="00A31137" w:rsidRDefault="00A31137" w:rsidP="00A31137">
      <w:r w:rsidRPr="00A31137">
        <w:t>The federal role is critical to the quality of these endeavors. We reaffirm the federal responsibility for stable support of knowledge production and development of highly trained personnel in all areas of fundamental scientific and intellectual knowledge to meet social needs.</w:t>
      </w:r>
    </w:p>
    <w:p w:rsidR="00A31137" w:rsidRPr="00A31137" w:rsidRDefault="00A31137" w:rsidP="00A31137">
      <w:r w:rsidRPr="00A31137">
        <w:t>1980 Democratic Platform, p.18</w:t>
      </w:r>
    </w:p>
    <w:p w:rsidR="00A31137" w:rsidRPr="00A31137" w:rsidRDefault="00A31137" w:rsidP="00A31137">
      <w:r w:rsidRPr="00A31137">
        <w:t>High priority should be assigned to strengthening the national structure for graduate education, scholarship and research and ensuring that the most talented students, especially women and minorities, can gain access to these programs.</w:t>
      </w:r>
    </w:p>
    <w:p w:rsidR="00A31137" w:rsidRPr="00A31137" w:rsidRDefault="00A31137" w:rsidP="00A31137">
      <w:r w:rsidRPr="00A31137">
        <w:t>1980 Democratic Platform, p.18</w:t>
      </w:r>
    </w:p>
    <w:p w:rsidR="00A31137" w:rsidRPr="00A31137" w:rsidRDefault="00A31137" w:rsidP="00A31137">
      <w:r w:rsidRPr="00A31137">
        <w:t>Historically Black colleges and universities have played a pivotal role in educating minority students. The Democratic Party affirms its commitment to ensuring the financial viability and independence of these worthy institutions and supports expanded funding for Black institutions. The Democratic Party pledges to work vigorously for significant increases in programs which have traditionally provided funding for historically Black colleges and universities. Particular attention should be given to substantially increasing the share of funding Black colleges receive. We will substantially increase the level of participation of Black colleges in all federal programs for which they are eligible. In addition, we urge the establishment of an office within the Office of the Secretary of Education to ensure full executive implementation of the President's Black college directive. Similarly, colleges serving Hispanic, American Indian/Alaska Native, and Asian/Pacific Islander students should receive equal consideration in federal policies affecting their survival.</w:t>
      </w:r>
    </w:p>
    <w:p w:rsidR="00A31137" w:rsidRPr="00A31137" w:rsidRDefault="00A31137" w:rsidP="00A31137">
      <w:r w:rsidRPr="00A31137">
        <w:t>1980 Democratic Platform, p.18</w:t>
      </w:r>
    </w:p>
    <w:p w:rsidR="00A31137" w:rsidRPr="00A31137" w:rsidRDefault="00A31137" w:rsidP="00A31137">
      <w:r w:rsidRPr="00A31137">
        <w:t>Finally, educational quality should be strengthened through adequate support for libraries, federal leadership in educational research and development, and improved teacher training.</w:t>
      </w:r>
    </w:p>
    <w:p w:rsidR="00A31137" w:rsidRPr="00A31137" w:rsidRDefault="00A31137" w:rsidP="00A31137">
      <w:r w:rsidRPr="00A31137">
        <w:t>1980 Democratic Platform, p.18</w:t>
      </w:r>
    </w:p>
    <w:p w:rsidR="00A31137" w:rsidRPr="00A31137" w:rsidRDefault="00A31137" w:rsidP="00A31137">
      <w:r w:rsidRPr="00A31137">
        <w:t>The Democratic Party further urges the federal government to take into account the geographical barriers to access to educational and library materials which particularly affect the non-contiguous territories of the United States. A study should be conducted to review the possibility of sending airmail, at surface mail rates, said materials to and from the mainland U.S. and the non-contiguous territories of the U.S.</w:t>
      </w:r>
    </w:p>
    <w:p w:rsidR="00A31137" w:rsidRPr="00A31137" w:rsidRDefault="00A31137" w:rsidP="00A31137">
      <w:r w:rsidRPr="00A31137">
        <w:t>1980 Democratic Platform, p.18</w:t>
      </w:r>
    </w:p>
    <w:p w:rsidR="00A31137" w:rsidRPr="00A31137" w:rsidRDefault="00A31137" w:rsidP="00A31137">
      <w:r w:rsidRPr="00A31137">
        <w:t>The Party believes that improved teacher in-service training, building upon the successful "Teacher Center Model" implemented under this Administration, could contribute substantially to educational quality. We support the establishment of federally funded teacher centers in every state and will work toward a steady increase in the number of teachers served. Teacher centers should address such issues as bilingual, multi-cultural, non-racist, and non-sexist curricula.</w:t>
      </w:r>
    </w:p>
    <w:p w:rsidR="00A31137" w:rsidRPr="00A31137" w:rsidRDefault="00A31137" w:rsidP="00A31137">
      <w:r w:rsidRPr="00A31137">
        <w:t>1980 Democratic Platform, p.18</w:t>
      </w:r>
    </w:p>
    <w:p w:rsidR="00A31137" w:rsidRPr="00A31137" w:rsidRDefault="00A31137" w:rsidP="00A31137">
      <w:r w:rsidRPr="00A31137">
        <w:t>The Party continues to support adult education and training to upgrade basic skills.</w:t>
      </w:r>
    </w:p>
    <w:p w:rsidR="00A31137" w:rsidRPr="00A31137" w:rsidRDefault="00A31137" w:rsidP="00A31137">
      <w:r w:rsidRPr="00A31137">
        <w:t>1980 Democratic Platform, p.18</w:t>
      </w:r>
    </w:p>
    <w:p w:rsidR="00A31137" w:rsidRPr="00A31137" w:rsidRDefault="00A31137" w:rsidP="00A31137">
      <w:r w:rsidRPr="00A31137">
        <w:t>We propose federally financed family-centered developmental and educational child care programs available to all who need and desire them.</w:t>
      </w:r>
    </w:p>
    <w:p w:rsidR="00A31137" w:rsidRPr="00A31137" w:rsidRDefault="00A31137" w:rsidP="00A31137">
      <w:r w:rsidRPr="00A31137">
        <w:t>1980 Democratic Platform, p.18</w:t>
      </w:r>
    </w:p>
    <w:p w:rsidR="00A31137" w:rsidRPr="00A31137" w:rsidRDefault="00A31137" w:rsidP="00A31137">
      <w:r w:rsidRPr="00A31137">
        <w:t>We support efforts to provide for the basic nutritional needs of students. We support the availability of nutritious school breakfast, milk and lunch programs. Students who are hungry or malnourished can experience serious learning difficulties. The Democratic Party affirms its commitment to restore fair eligibility requirements for this program and to set fees at a level which does not unfairly deny students the ability to participate.</w:t>
      </w:r>
    </w:p>
    <w:p w:rsidR="00A31137" w:rsidRPr="00A31137" w:rsidRDefault="00A31137" w:rsidP="00A31137">
      <w:r w:rsidRPr="00A31137">
        <w:t>1980 Democratic Platform, p.18</w:t>
      </w:r>
    </w:p>
    <w:p w:rsidR="00A31137" w:rsidRPr="00A31137" w:rsidRDefault="00A31137" w:rsidP="00A31137">
      <w:r w:rsidRPr="00A31137">
        <w:t>The Democratic Party recognizes the importance of family and community involvement in public schools, and the impact their involvement can have on the quality of a child's educational environment. We support initiatives that will encourage parents and all members of the community to take an active interest in the educational future of our children.</w:t>
      </w:r>
    </w:p>
    <w:p w:rsidR="00A31137" w:rsidRPr="00A31137" w:rsidRDefault="00A31137" w:rsidP="00A31137">
      <w:r w:rsidRPr="00A31137">
        <w:t>Child Care</w:t>
      </w:r>
    </w:p>
    <w:p w:rsidR="00A31137" w:rsidRPr="00A31137" w:rsidRDefault="00A31137" w:rsidP="00A31137">
      <w:r w:rsidRPr="00A31137">
        <w:t>1980 Democratic Platform, p.19</w:t>
      </w:r>
    </w:p>
    <w:p w:rsidR="00A31137" w:rsidRPr="00A31137" w:rsidRDefault="00A31137" w:rsidP="00A31137">
      <w:r w:rsidRPr="00A31137">
        <w:t>While the American family structure has changed radically in recent years, the family remains the key unit of our society. When the needs of families and children are ignored the nation as a whole ultimately suffers. It is not only morally right, but also far less expensive, for government to assist children in growing up whole, strong and able, than to pay the bill later for children and adults with health, social and educational problems. Government cannot and should not attempt to displace the responsibilities of the family; to the contrary, the challenge is to formulate policies which will strengthen the family.</w:t>
      </w:r>
    </w:p>
    <w:p w:rsidR="00A31137" w:rsidRPr="00A31137" w:rsidRDefault="00A31137" w:rsidP="00A31137">
      <w:r w:rsidRPr="00A31137">
        <w:t>1980 Democratic Platform, p.19</w:t>
      </w:r>
    </w:p>
    <w:p w:rsidR="00A31137" w:rsidRPr="00A31137" w:rsidRDefault="00A31137" w:rsidP="00A31137">
      <w:r w:rsidRPr="00A31137">
        <w:t>The Democratic Party shall seek vigorously to enact [p.19] an adequately funded, comprehensive quality child-care program based upon a national commitment to meet the health, safety, and educational needs of all children. Such a program shall provide for alternative low-cost child care arrangements so that parents may decide what is in the best interests of their children. To ensure the availability of choices, the Child Care Tax Credit shall be revised to benefit low and moderate income families. National policies shall ensure the availability of child care services for all parents. Our programs shall also address themselves vigorously to the issues of flex-time work programs, job sharing, and incentives for child care in private industry, in recognition of the social responsibilities of all citizens to children and their parents as the guardians of our future.</w:t>
      </w:r>
    </w:p>
    <w:p w:rsidR="00A31137" w:rsidRPr="00A31137" w:rsidRDefault="00A31137" w:rsidP="00A31137">
      <w:r w:rsidRPr="00A31137">
        <w:t>Juvenile Justice</w:t>
      </w:r>
    </w:p>
    <w:p w:rsidR="00A31137" w:rsidRPr="00A31137" w:rsidRDefault="00A31137" w:rsidP="00A31137">
      <w:r w:rsidRPr="00A31137">
        <w:t>1980 Democratic Platform, p.19</w:t>
      </w:r>
    </w:p>
    <w:p w:rsidR="00A31137" w:rsidRPr="00A31137" w:rsidRDefault="00A31137" w:rsidP="00A31137">
      <w:r w:rsidRPr="00A31137">
        <w:t>Juvenile delinquency and other problems of young people, like truancy and running away, are often manifestations of serious problems in other areas—family, school, employment, or emotional disturbance. We are committed to maintaining and strengthening the Juvenile Justice and Delinquency Prevention Act of 1974 and the Runaway Youth Act to help deal with these problems. In particular, we reaffirm our commitment to ending unnecessary institutionalization of young people who have not committed serious crimes and strengthening preventive efforts and other services at the community level to help young people and their families in the sometimes difficult transition to adulthood. Equally important, we are committed to continuing reform in the juvenile courts to assure right of due process and adequate counsel to young people who become enmeshed in the juvenile justice system.</w:t>
      </w:r>
    </w:p>
    <w:p w:rsidR="00A31137" w:rsidRPr="00A31137" w:rsidRDefault="00A31137" w:rsidP="00A31137">
      <w:r w:rsidRPr="00A31137">
        <w:t>1980 Democratic Platform, p.19</w:t>
      </w:r>
    </w:p>
    <w:p w:rsidR="00A31137" w:rsidRPr="00A31137" w:rsidRDefault="00A31137" w:rsidP="00A31137">
      <w:r w:rsidRPr="00A31137">
        <w:t>We must continue and strengthen efforts at prison reform to upgrade the safety of our penal institutions. Our penal institutions enhance rehabilitation to offenders, and lower the recidivism level.</w:t>
      </w:r>
    </w:p>
    <w:p w:rsidR="00A31137" w:rsidRPr="00A31137" w:rsidRDefault="00A31137" w:rsidP="00A31137">
      <w:r w:rsidRPr="00A31137">
        <w:t>Families</w:t>
      </w:r>
    </w:p>
    <w:p w:rsidR="00A31137" w:rsidRPr="00A31137" w:rsidRDefault="00A31137" w:rsidP="00A31137">
      <w:r w:rsidRPr="00A31137">
        <w:t>1980 Democratic Platform, p.19</w:t>
      </w:r>
    </w:p>
    <w:p w:rsidR="00A31137" w:rsidRPr="00A31137" w:rsidRDefault="00A31137" w:rsidP="00A31137">
      <w:r w:rsidRPr="00A31137">
        <w:t>The Democratic Party supports efforts to make federal programs more sensitive to the needs of the family, in all its diverse forms.</w:t>
      </w:r>
    </w:p>
    <w:p w:rsidR="00A31137" w:rsidRPr="00A31137" w:rsidRDefault="00A31137" w:rsidP="00A31137">
      <w:r w:rsidRPr="00A31137">
        <w:t>Housing</w:t>
      </w:r>
    </w:p>
    <w:p w:rsidR="00A31137" w:rsidRPr="00A31137" w:rsidRDefault="00A31137" w:rsidP="00A31137">
      <w:r w:rsidRPr="00A31137">
        <w:t>1980 Democratic Platform, p.19</w:t>
      </w:r>
    </w:p>
    <w:p w:rsidR="00A31137" w:rsidRPr="00A31137" w:rsidRDefault="00A31137" w:rsidP="00A31137">
      <w:r w:rsidRPr="00A31137">
        <w:t>Since 1976, the Administration's efforts in the area of housing have concentrated on achieving an adequate housing supply. From 1977-1979, housing starts increased substantially over the level of the prior Republican Administration. Additionally, increased emphasis has been placed on saving our existing housing stock through rehabilitation.</w:t>
      </w:r>
    </w:p>
    <w:p w:rsidR="00A31137" w:rsidRPr="00A31137" w:rsidRDefault="00A31137" w:rsidP="00A31137">
      <w:r w:rsidRPr="00A31137">
        <w:t>1980 Democratic Platform, p.19</w:t>
      </w:r>
    </w:p>
    <w:p w:rsidR="00A31137" w:rsidRPr="00A31137" w:rsidRDefault="00A31137" w:rsidP="00A31137">
      <w:r w:rsidRPr="00A31137">
        <w:t>But the momentum to increase the housing supply for the 1980s has been threatened by the high rate of inflation. The downturn in economic activity during the first half of 1980 has created a period of severe difficulty for the housing industry and for those Americans in need of housing. These circumstances make it imperative that the Democratic Party redouble its efforts to meet the goal of a decent home in a suitable environment for every citizen. It is essential that we expand the construction and availability of affordable housing in order to match the growing needs of Americans during the 1980s and to help stabilize housing costs.</w:t>
      </w:r>
    </w:p>
    <w:p w:rsidR="00A31137" w:rsidRPr="00A31137" w:rsidRDefault="00A31137" w:rsidP="00A31137">
      <w:r w:rsidRPr="00A31137">
        <w:t>1980 Democratic Platform, p.19</w:t>
      </w:r>
    </w:p>
    <w:p w:rsidR="00A31137" w:rsidRPr="00A31137" w:rsidRDefault="00A31137" w:rsidP="00A31137">
      <w:r w:rsidRPr="00A31137">
        <w:t>Housing shortages and deterioration, and the need for economic development, are among the most critical problems facing local government today.</w:t>
      </w:r>
    </w:p>
    <w:p w:rsidR="00A31137" w:rsidRPr="00A31137" w:rsidRDefault="00A31137" w:rsidP="00A31137">
      <w:r w:rsidRPr="00A31137">
        <w:t>1980 Democratic Platform, p.19</w:t>
      </w:r>
    </w:p>
    <w:p w:rsidR="00A31137" w:rsidRPr="00A31137" w:rsidRDefault="00A31137" w:rsidP="00A31137">
      <w:r w:rsidRPr="00A31137">
        <w:t>Through a patchwork of programs and tax incentives developed over the past fifty years, this nation is now spending between $25 and $30 billion each year on housing and economic development. These funds must be redirected in a cogent manner, to provide a comprehensive response to the housing problem. This effort should be pressed forward with the same national will that put a man on the moon, and will be a major step toward the revitalization of our local economies.</w:t>
      </w:r>
    </w:p>
    <w:p w:rsidR="00A31137" w:rsidRPr="00A31137" w:rsidRDefault="00A31137" w:rsidP="00A31137">
      <w:r w:rsidRPr="00A31137">
        <w:t>1980 Democratic Platform, p.19</w:t>
      </w:r>
    </w:p>
    <w:p w:rsidR="00A31137" w:rsidRPr="00A31137" w:rsidRDefault="00A31137" w:rsidP="00A31137">
      <w:r w:rsidRPr="00A31137">
        <w:t>During the 1980s, we must work to meet the nation's need for available, affordable housing by:</w:t>
      </w:r>
    </w:p>
    <w:p w:rsidR="00A31137" w:rsidRPr="00A31137" w:rsidRDefault="00A31137" w:rsidP="00A31137">
      <w:r w:rsidRPr="00A31137">
        <w:t>1980 Democratic Platform, p.19</w:t>
      </w:r>
    </w:p>
    <w:p w:rsidR="00A31137" w:rsidRPr="00A31137" w:rsidRDefault="00A31137" w:rsidP="00A31137">
      <w:r w:rsidRPr="00A31137">
        <w:t>–Achieving steady, high levels of production;</w:t>
      </w:r>
    </w:p>
    <w:p w:rsidR="00A31137" w:rsidRPr="00A31137" w:rsidRDefault="00A31137" w:rsidP="00A31137">
      <w:r w:rsidRPr="00A31137">
        <w:t>1980 Democratic Platform, p.19</w:t>
      </w:r>
    </w:p>
    <w:p w:rsidR="00A31137" w:rsidRPr="00A31137" w:rsidRDefault="00A31137" w:rsidP="00A31137">
      <w:r w:rsidRPr="00A31137">
        <w:t>–Continuing progress toward a non-inflationary environment with lower interest rates;</w:t>
      </w:r>
    </w:p>
    <w:p w:rsidR="00A31137" w:rsidRPr="00A31137" w:rsidRDefault="00A31137" w:rsidP="00A31137">
      <w:r w:rsidRPr="00A31137">
        <w:t>1980 Democratic Platform, p.19</w:t>
      </w:r>
    </w:p>
    <w:p w:rsidR="00A31137" w:rsidRPr="00A31137" w:rsidRDefault="00A31137" w:rsidP="00A31137">
      <w:r w:rsidRPr="00A31137">
        <w:t>–Pursuing monetary and credit policies which are especially sensitive to the needs of the housing and construction industries in order to help provide jobs;</w:t>
      </w:r>
    </w:p>
    <w:p w:rsidR="00A31137" w:rsidRPr="00A31137" w:rsidRDefault="00A31137" w:rsidP="00A31137">
      <w:r w:rsidRPr="00A31137">
        <w:t>1980 Democratic Platform, p.19</w:t>
      </w:r>
    </w:p>
    <w:p w:rsidR="00A31137" w:rsidRPr="00A31137" w:rsidRDefault="00A31137" w:rsidP="00A31137">
      <w:r w:rsidRPr="00A31137">
        <w:t>–Continuing progress toward eliminating sub-standard housing and meeting the housing needs of this nation's low and moderate income families, the elderly, and the handicapped, including a substantial increase in the authorization for public housing and Section 8 rental housing assistance;</w:t>
      </w:r>
    </w:p>
    <w:p w:rsidR="00A31137" w:rsidRPr="00A31137" w:rsidRDefault="00A31137" w:rsidP="00A31137">
      <w:r w:rsidRPr="00A31137">
        <w:t>1980 Democratic Platform, p.19</w:t>
      </w:r>
    </w:p>
    <w:p w:rsidR="00A31137" w:rsidRPr="00A31137" w:rsidRDefault="00A31137" w:rsidP="00A31137">
      <w:r w:rsidRPr="00A31137">
        <w:t>–Expanding the coverage of the Fair Housing laws to prohibit discrimination against single parents or single persons;</w:t>
      </w:r>
    </w:p>
    <w:p w:rsidR="00A31137" w:rsidRPr="00A31137" w:rsidRDefault="00A31137" w:rsidP="00A31137">
      <w:r w:rsidRPr="00A31137">
        <w:t>1980 Democratic Platform, p.19</w:t>
      </w:r>
    </w:p>
    <w:p w:rsidR="00A31137" w:rsidRPr="00A31137" w:rsidRDefault="00A31137" w:rsidP="00A31137">
      <w:r w:rsidRPr="00A31137">
        <w:t>–Ensuring that federal housing projects meet the needs of single-parent families;</w:t>
      </w:r>
    </w:p>
    <w:p w:rsidR="00A31137" w:rsidRPr="00A31137" w:rsidRDefault="00A31137" w:rsidP="00A31137">
      <w:r w:rsidRPr="00A31137">
        <w:t>1980 Democratic Platform, p.19</w:t>
      </w:r>
    </w:p>
    <w:p w:rsidR="00A31137" w:rsidRPr="00A31137" w:rsidRDefault="00A31137" w:rsidP="00A31137">
      <w:r w:rsidRPr="00A31137">
        <w:t>–Strengthening our efforts to provide higher levels of multi-family housing production to meet the rental housing needs of the postwar generation in the 1980s;</w:t>
      </w:r>
    </w:p>
    <w:p w:rsidR="00A31137" w:rsidRPr="00A31137" w:rsidRDefault="00A31137" w:rsidP="00A31137">
      <w:r w:rsidRPr="00A31137">
        <w:t>1980 Democratic Platform, p.19</w:t>
      </w:r>
    </w:p>
    <w:p w:rsidR="00A31137" w:rsidRPr="00A31137" w:rsidRDefault="00A31137" w:rsidP="00A31137">
      <w:r w:rsidRPr="00A31137">
        <w:t xml:space="preserve">–Continuing the development and expansion of new financial instruments designed to attract increased capital to the housing sector throughout the interest rate cycle;[p.20] </w:t>
      </w:r>
    </w:p>
    <w:p w:rsidR="00A31137" w:rsidRPr="00A31137" w:rsidRDefault="00A31137" w:rsidP="00A31137">
      <w:r w:rsidRPr="00A31137">
        <w:t>1980 Democratic Platform, p.20</w:t>
      </w:r>
    </w:p>
    <w:p w:rsidR="00A31137" w:rsidRPr="00A31137" w:rsidRDefault="00A31137" w:rsidP="00A31137">
      <w:r w:rsidRPr="00A31137">
        <w:t>–Continuing to improve the efficiency and management of our housing programs;</w:t>
      </w:r>
    </w:p>
    <w:p w:rsidR="00A31137" w:rsidRPr="00A31137" w:rsidRDefault="00A31137" w:rsidP="00A31137">
      <w:r w:rsidRPr="00A31137">
        <w:t>1980 Democratic Platform, p.20</w:t>
      </w:r>
    </w:p>
    <w:p w:rsidR="00A31137" w:rsidRPr="00A31137" w:rsidRDefault="00A31137" w:rsidP="00A31137">
      <w:r w:rsidRPr="00A31137">
        <w:t>–Continuing support for efforts to improve our housing codes;</w:t>
      </w:r>
    </w:p>
    <w:p w:rsidR="00A31137" w:rsidRPr="00A31137" w:rsidRDefault="00A31137" w:rsidP="00A31137">
      <w:r w:rsidRPr="00A31137">
        <w:t>1980 Democratic Platform, p.20</w:t>
      </w:r>
    </w:p>
    <w:p w:rsidR="00A31137" w:rsidRPr="00A31137" w:rsidRDefault="00A31137" w:rsidP="00A31137">
      <w:r w:rsidRPr="00A31137">
        <w:t>–Expanding urban homestead and rehabilitation programs which will preserve neighborhoods in our cities for the people who live there;</w:t>
      </w:r>
    </w:p>
    <w:p w:rsidR="00A31137" w:rsidRPr="00A31137" w:rsidRDefault="00A31137" w:rsidP="00A31137">
      <w:r w:rsidRPr="00A31137">
        <w:t>1980 Democratic Platform, p.20</w:t>
      </w:r>
    </w:p>
    <w:p w:rsidR="00A31137" w:rsidRPr="00A31137" w:rsidRDefault="00A31137" w:rsidP="00A31137">
      <w:r w:rsidRPr="00A31137">
        <w:t>–Financing moderate income housing at below-market interest rates;</w:t>
      </w:r>
    </w:p>
    <w:p w:rsidR="00A31137" w:rsidRPr="00A31137" w:rsidRDefault="00A31137" w:rsidP="00A31137">
      <w:r w:rsidRPr="00A31137">
        <w:t>1980 Democratic Platform, p.20</w:t>
      </w:r>
    </w:p>
    <w:p w:rsidR="00A31137" w:rsidRPr="00A31137" w:rsidRDefault="00A31137" w:rsidP="00A31137">
      <w:r w:rsidRPr="00A31137">
        <w:t>–Adopting condominium conversion policies which protect tenants, particularly the elderly, against unfair and unreasonable conversion practices; and</w:t>
      </w:r>
    </w:p>
    <w:p w:rsidR="00A31137" w:rsidRPr="00A31137" w:rsidRDefault="00A31137" w:rsidP="00A31137">
      <w:r w:rsidRPr="00A31137">
        <w:t>1980 Democratic Platform, p.20</w:t>
      </w:r>
    </w:p>
    <w:p w:rsidR="00A31137" w:rsidRPr="00A31137" w:rsidRDefault="00A31137" w:rsidP="00A31137">
      <w:r w:rsidRPr="00A31137">
        <w:t>–Assisting cities, counties, and states which have effective programs to combat the growing and dangerous problem of housing abandonment.</w:t>
      </w:r>
    </w:p>
    <w:p w:rsidR="00A31137" w:rsidRPr="00A31137" w:rsidRDefault="00A31137" w:rsidP="00A31137">
      <w:r w:rsidRPr="00A31137">
        <w:t>Transportation</w:t>
      </w:r>
    </w:p>
    <w:p w:rsidR="00A31137" w:rsidRPr="00A31137" w:rsidRDefault="00A31137" w:rsidP="00A31137">
      <w:r w:rsidRPr="00A31137">
        <w:t>1980 Democratic Platform, p.20</w:t>
      </w:r>
    </w:p>
    <w:p w:rsidR="00A31137" w:rsidRPr="00A31137" w:rsidRDefault="00A31137" w:rsidP="00A31137">
      <w:r w:rsidRPr="00A31137">
        <w:t>Since 1977, the Carter Administration has worked closely with the Congress to improve all the transportation modes so essential to our nation. These efforts have resulted in the elimination of unnecessary regulations, the expansion of the federal commitment to mass transit, and the savings of billions of dollars for consumers. In the 1980s we must continue our efforts in the same direction.</w:t>
      </w:r>
    </w:p>
    <w:p w:rsidR="00A31137" w:rsidRPr="00A31137" w:rsidRDefault="00A31137" w:rsidP="00A31137">
      <w:r w:rsidRPr="00A31137">
        <w:t>1980 Democratic Platform, p.20</w:t>
      </w:r>
    </w:p>
    <w:p w:rsidR="00A31137" w:rsidRPr="00A31137" w:rsidRDefault="00A31137" w:rsidP="00A31137">
      <w:r w:rsidRPr="00A31137">
        <w:t>The Democratic Party commits itself to a balanced, competitive transportation system for the efficient movement of people and goods.</w:t>
      </w:r>
    </w:p>
    <w:p w:rsidR="00A31137" w:rsidRPr="00A31137" w:rsidRDefault="00A31137" w:rsidP="00A31137">
      <w:r w:rsidRPr="00A31137">
        <w:t>1980 Democratic Platform, p.20</w:t>
      </w:r>
    </w:p>
    <w:p w:rsidR="00A31137" w:rsidRPr="00A31137" w:rsidRDefault="00A31137" w:rsidP="00A31137">
      <w:r w:rsidRPr="00A31137">
        <w:t>The trucking industry must be deregulated, and legislation to do that is now in place. This legislation would open entry to new truckers, lift restrictions on the goods truckers may haul and the routes they may use, promote vigorous price competition, reduce regulatory delays and improve road safety.</w:t>
      </w:r>
    </w:p>
    <w:p w:rsidR="00A31137" w:rsidRPr="00A31137" w:rsidRDefault="00A31137" w:rsidP="00A31137">
      <w:r w:rsidRPr="00A31137">
        <w:t>1980 Democratic Platform, p.20</w:t>
      </w:r>
    </w:p>
    <w:p w:rsidR="00A31137" w:rsidRPr="00A31137" w:rsidRDefault="00A31137" w:rsidP="00A31137">
      <w:r w:rsidRPr="00A31137">
        <w:t>To improve their long-term viability, we must give railroads more flexibility in setting rates, without burdening excessively shippers dependent on rail service. Congress is now progressing on comprehensive legislation in this area. We expect regulatory reform of the railroad industry to speed the elimination of wasteful regulations and improve the facilities and equipment of railroads.</w:t>
      </w:r>
    </w:p>
    <w:p w:rsidR="00A31137" w:rsidRPr="00A31137" w:rsidRDefault="00A31137" w:rsidP="00A31137">
      <w:r w:rsidRPr="00A31137">
        <w:t>1980 Democratic Platform, p.20</w:t>
      </w:r>
    </w:p>
    <w:p w:rsidR="00A31137" w:rsidRPr="00A31137" w:rsidRDefault="00A31137" w:rsidP="00A31137">
      <w:r w:rsidRPr="00A31137">
        <w:t>Coal is a centerpiece of our nation's energy policy. We are concerned about the cost of transporting coal to its markets, particularly the cost of rail transportation. Within the context of regulatory reform, we must therefore be especially sensitive to the effects of railroad rates on coal. A healthy rail industry is of critical importance to our economy and our society.</w:t>
      </w:r>
    </w:p>
    <w:p w:rsidR="00A31137" w:rsidRPr="00A31137" w:rsidRDefault="00A31137" w:rsidP="00A31137">
      <w:r w:rsidRPr="00A31137">
        <w:t>1980 Democratic Platform, p.20</w:t>
      </w:r>
    </w:p>
    <w:p w:rsidR="00A31137" w:rsidRPr="00A31137" w:rsidRDefault="00A31137" w:rsidP="00A31137">
      <w:r w:rsidRPr="00A31137">
        <w:t>We must ensure, through such efforts as completion of high-speed rail passenger service in the Northeast Corridor, that railroads are an efficient means for personal travel. The decline in the nation's railroad system must be reversed. Tracks must be rehabilitated, equipment modernized and maintenance improved if the nation is to have a rail system that adequately meets the needs of passengers and shippers. We must ensure that flexibility in setting rates does not become a license either for anti-competitive pricing at the expense of consumers, or for anti-competitive mergers that create or maintain inordinate market power at the expense of consumers.</w:t>
      </w:r>
    </w:p>
    <w:p w:rsidR="00A31137" w:rsidRPr="00A31137" w:rsidRDefault="00A31137" w:rsidP="00A31137">
      <w:r w:rsidRPr="00A31137">
        <w:t>1980 Democratic Platform, p.20</w:t>
      </w:r>
    </w:p>
    <w:p w:rsidR="00A31137" w:rsidRPr="00A31137" w:rsidRDefault="00A31137" w:rsidP="00A31137">
      <w:r w:rsidRPr="00A31137">
        <w:t>The vital artery of urban America is mass transit. It saves energy by providing fuel-efficient alternatives to the automobile. For the poor, the elderly, the disabled, and many other city dwellers, there is no other transportation. If they are to travel at all, to go to work or to shop, they must rely on mass transit. Mass transit serves them, as well as the employers for whom they work and the businesses where they shop. It aids all of us, by unclogging our cities, cleansing our air, and increasing the economic health of our urban areas.</w:t>
      </w:r>
    </w:p>
    <w:p w:rsidR="00A31137" w:rsidRPr="00A31137" w:rsidRDefault="00A31137" w:rsidP="00A31137">
      <w:r w:rsidRPr="00A31137">
        <w:t>1980 Democratic Platform, p.20</w:t>
      </w:r>
    </w:p>
    <w:p w:rsidR="00A31137" w:rsidRPr="00A31137" w:rsidRDefault="00A31137" w:rsidP="00A31137">
      <w:r w:rsidRPr="00A31137">
        <w:t>The Democratic Party pledges to strengthen the nation's mass transit systems. Federal funds must be provided for maintenance and repair of deteriorating systems, and for new equipment purchases for growing systems. Federal aid formulae should be amended to give greater weight to ridership in the allocation of dollars. Reasonable operating subsidies must be provided to help subsidize rider fares.</w:t>
      </w:r>
    </w:p>
    <w:p w:rsidR="00A31137" w:rsidRPr="00A31137" w:rsidRDefault="00A31137" w:rsidP="00A31137">
      <w:r w:rsidRPr="00A31137">
        <w:t>1980 Democratic Platform, p.20</w:t>
      </w:r>
    </w:p>
    <w:p w:rsidR="00A31137" w:rsidRPr="00A31137" w:rsidRDefault="00A31137" w:rsidP="00A31137">
      <w:r w:rsidRPr="00A31137">
        <w:t>Mass transit is a high priority in our national transportation policy. We pledge support for significant increases in capital and operating subsidies for mass transit to enhance the reliability, safety, and affordability of existing and expanding systems.</w:t>
      </w:r>
      <w:r w:rsidRPr="00A31137">
        <w:cr/>
      </w:r>
    </w:p>
    <w:p w:rsidR="00A31137" w:rsidRPr="00A31137" w:rsidRDefault="00A31137" w:rsidP="00A31137">
      <w:r w:rsidRPr="00A31137">
        <w:t>1980 Democratic Platform, p.20</w:t>
      </w:r>
    </w:p>
    <w:p w:rsidR="00A31137" w:rsidRPr="00A31137" w:rsidRDefault="00A31137" w:rsidP="00A31137">
      <w:r w:rsidRPr="00A31137">
        <w:t>The auto industry and its workers must be assisted during this difficult time. We are committed to an intensive review of the automobile industry's fundamental problems, and to prompt, effective action to help ameliorate those problems. We are also committed to a strong trade adjustment program to help currently unemployed auto workers.</w:t>
      </w:r>
    </w:p>
    <w:p w:rsidR="00A31137" w:rsidRPr="00A31137" w:rsidRDefault="00A31137" w:rsidP="00A31137">
      <w:r w:rsidRPr="00A31137">
        <w:t>1980 Democratic Platform, p.20</w:t>
      </w:r>
    </w:p>
    <w:p w:rsidR="00A31137" w:rsidRPr="00A31137" w:rsidRDefault="00A31137" w:rsidP="00A31137">
      <w:r w:rsidRPr="00A31137">
        <w:t>To meet the needs of international commerce and national security, this nation must have a strong, competitive and efficient American-flag ocean transportation system. In recent years, there has been a significant reduction in the ability of our merchant marine to compete for the carriage of world commerce because of economic policies pursued by other nations. Action must be taken to revitalize our merchant marine.</w:t>
      </w:r>
    </w:p>
    <w:p w:rsidR="00A31137" w:rsidRPr="00A31137" w:rsidRDefault="00A31137" w:rsidP="00A31137">
      <w:r w:rsidRPr="00A31137">
        <w:t>1980 Democratic Platform, p.20</w:t>
      </w:r>
    </w:p>
    <w:p w:rsidR="00A31137" w:rsidRPr="00A31137" w:rsidRDefault="00A31137" w:rsidP="00A31137">
      <w:r w:rsidRPr="00A31137">
        <w:t>To achieve this objective, we must develop a coherent, consistent, and responsive maritime policy which will encourage the development and maintenance of an American-flag ocean transportation system, staffed with trained and efficient American personnel, and capable of carrying a substantial portion of our international [p.21] trade in a competitive and efficient manner. Our maritime policy must also lead to the development and maintenance of a domestic shipbuilding and ship repair mobilization base adequate to satisfy the commercial and national security, requirements of the United States. Furthermore, we pledge continued commitment to the Merchant Marine Act of 1970 and greater utilization of the private merchant marine by the Navy for its support functions.</w:t>
      </w:r>
    </w:p>
    <w:p w:rsidR="00A31137" w:rsidRPr="00A31137" w:rsidRDefault="00A31137" w:rsidP="00A31137">
      <w:r w:rsidRPr="00A31137">
        <w:t>Urban Policy</w:t>
      </w:r>
    </w:p>
    <w:p w:rsidR="00A31137" w:rsidRPr="00A31137" w:rsidRDefault="00A31137" w:rsidP="00A31137">
      <w:r w:rsidRPr="00A31137">
        <w:t>1980 Democratic Platform, p.20</w:t>
      </w:r>
    </w:p>
    <w:p w:rsidR="00A31137" w:rsidRPr="00A31137" w:rsidRDefault="00A31137" w:rsidP="00A31137">
      <w:r w:rsidRPr="00A31137">
        <w:t>During the campaign of 1975–1976, our nation's great cities and urban counties were mired in a depression. Unemployment was well above 10 percent in many cities and counties; private sector investment and jobs were leaving the great urban centers; poverty and other serious social problems were left unattended; a severe budget squeeze was causing layoffs and cutbacks in essential city services; and the public works of our cities had been allowed to decay. The nation's mayors spent a portion of the year urging Congress to override the Republican Administration's veto of vitally important anti-recession programs. Most seriously, the leadership and citizens of our great urban centers had lost the hope that the future would be better.</w:t>
      </w:r>
    </w:p>
    <w:p w:rsidR="00A31137" w:rsidRPr="00A31137" w:rsidRDefault="00A31137" w:rsidP="00A31137">
      <w:r w:rsidRPr="00A31137">
        <w:t>1980 Democratic Platform, p.21</w:t>
      </w:r>
    </w:p>
    <w:p w:rsidR="00A31137" w:rsidRPr="00A31137" w:rsidRDefault="00A31137" w:rsidP="00A31137">
      <w:r w:rsidRPr="00A31137">
        <w:t>Upon taking office, the Democratic Administration responded to these conditions immediately with an $11 billion anti-recession package and, one year later, with the nation's first comprehensive urban policy. The urban policy was the product of a unique effort which actively involved the elected officials of state and local government, representatives of labor, neighborhood organizations, civil rights groups and the members of Congress.</w:t>
      </w:r>
    </w:p>
    <w:p w:rsidR="00A31137" w:rsidRPr="00A31137" w:rsidRDefault="00A31137" w:rsidP="00A31137">
      <w:r w:rsidRPr="00A31137">
        <w:t>1980 Democratic Platform, p.21</w:t>
      </w:r>
    </w:p>
    <w:p w:rsidR="00A31137" w:rsidRPr="00A31137" w:rsidRDefault="00A31137" w:rsidP="00A31137">
      <w:r w:rsidRPr="00A31137">
        <w:t>These deliberations produced a blueprint to guide federal action toward cities. The Democratic Administration, in partnership with the Democratic Congress, has moved aggressively to implement parts of the urban policy. Some of these programs have already begun to contribute to the revitalization of the nation's older cities and to assure the continued health of the nation's growing cities. For example, the urban policy has:</w:t>
      </w:r>
    </w:p>
    <w:p w:rsidR="00A31137" w:rsidRPr="00A31137" w:rsidRDefault="00A31137" w:rsidP="00A31137">
      <w:r w:rsidRPr="00A31137">
        <w:t>1980 Democratic Platform, p.21</w:t>
      </w:r>
    </w:p>
    <w:p w:rsidR="00A31137" w:rsidRPr="00A31137" w:rsidRDefault="00A31137" w:rsidP="00A31137">
      <w:r w:rsidRPr="00A31137">
        <w:t>–Created the Urban Development Action Grant (UDAG) Program to encourage private investment and jobs to locate or remain in our nation's major cities. UDAG, which is funded at $675 million annually, has already leveraged more than $7 billion of private investment and created more than 200,000 permanent jobs;</w:t>
      </w:r>
    </w:p>
    <w:p w:rsidR="00A31137" w:rsidRPr="00A31137" w:rsidRDefault="00A31137" w:rsidP="00A31137">
      <w:r w:rsidRPr="00A31137">
        <w:t>1980 Democratic Platform, p.21</w:t>
      </w:r>
    </w:p>
    <w:p w:rsidR="00A31137" w:rsidRPr="00A31137" w:rsidRDefault="00A31137" w:rsidP="00A31137">
      <w:r w:rsidRPr="00A31137">
        <w:t>–Targeted federal government procurement, facilities and jobs to the high unemployment central cities;</w:t>
      </w:r>
    </w:p>
    <w:p w:rsidR="00A31137" w:rsidRPr="00A31137" w:rsidRDefault="00A31137" w:rsidP="00A31137">
      <w:r w:rsidRPr="00A31137">
        <w:t>1980 Democratic Platform, p.21</w:t>
      </w:r>
    </w:p>
    <w:p w:rsidR="00A31137" w:rsidRPr="00A31137" w:rsidRDefault="00A31137" w:rsidP="00A31137">
      <w:r w:rsidRPr="00A31137">
        <w:t>–Increased funding for the Community Development Block Grant program by more than 30 percent and proposed a formula change that provides substantial new aid to the older, more distressed cities and urban counties; and</w:t>
      </w:r>
    </w:p>
    <w:p w:rsidR="00A31137" w:rsidRPr="00A31137" w:rsidRDefault="00A31137" w:rsidP="00A31137">
      <w:r w:rsidRPr="00A31137">
        <w:t>1980 Democratic Platform, p.21</w:t>
      </w:r>
    </w:p>
    <w:p w:rsidR="00A31137" w:rsidRPr="00A31137" w:rsidRDefault="00A31137" w:rsidP="00A31137">
      <w:r w:rsidRPr="00A31137">
        <w:t>–Proposed a massive increase in the urban development programs of the Economic Development Administration.</w:t>
      </w:r>
    </w:p>
    <w:p w:rsidR="00A31137" w:rsidRPr="00A31137" w:rsidRDefault="00A31137" w:rsidP="00A31137">
      <w:r w:rsidRPr="00A31137">
        <w:t>1980 Democratic Platform, p.21</w:t>
      </w:r>
    </w:p>
    <w:p w:rsidR="00A31137" w:rsidRPr="00A31137" w:rsidRDefault="00A31137" w:rsidP="00A31137">
      <w:r w:rsidRPr="00A31137">
        <w:t>Although many gains have been made, we recognize that a great deal more remains to be done. This is especially true in those cities which have borne the brunt of the current recession. We recognize that no urban policy can completely succeed in a period of high inflation and deepening recession.</w:t>
      </w:r>
    </w:p>
    <w:p w:rsidR="00A31137" w:rsidRPr="00A31137" w:rsidRDefault="00A31137" w:rsidP="00A31137">
      <w:r w:rsidRPr="00A31137">
        <w:t>1980 Democratic Platform, p.21</w:t>
      </w:r>
    </w:p>
    <w:p w:rsidR="00A31137" w:rsidRPr="00A31137" w:rsidRDefault="00A31137" w:rsidP="00A31137">
      <w:r w:rsidRPr="00A31137">
        <w:t>In this platform, the Democratic Party dedicates itself to the strength and survival of urban America. We are committed to developing imaginative, compassionate steps to deal with the causes and effects of rising unemployment, to make our cities fiscally strong, to provide jobs and economic growth, to preserve neighborhoods and communities and to meet the basic human needs of urban residents.</w:t>
      </w:r>
    </w:p>
    <w:p w:rsidR="00A31137" w:rsidRPr="00A31137" w:rsidRDefault="00A31137" w:rsidP="00A31137">
      <w:r w:rsidRPr="00A31137">
        <w:t>1980 Democratic Platform, p.21</w:t>
      </w:r>
    </w:p>
    <w:p w:rsidR="00A31137" w:rsidRPr="00A31137" w:rsidRDefault="00A31137" w:rsidP="00A31137">
      <w:r w:rsidRPr="00A31137">
        <w:t>Our policies must include the following features:</w:t>
      </w:r>
    </w:p>
    <w:p w:rsidR="00A31137" w:rsidRPr="00A31137" w:rsidRDefault="00A31137" w:rsidP="00A31137">
      <w:r w:rsidRPr="00A31137">
        <w:t>1980 Democratic Platform, p.21</w:t>
      </w:r>
    </w:p>
    <w:p w:rsidR="00A31137" w:rsidRPr="00A31137" w:rsidRDefault="00A31137" w:rsidP="00A31137">
      <w:r w:rsidRPr="00A31137">
        <w:t>–A strong jobs policy which supports productive employment of people in the public sector and encourages employment in the private sector by attracting and strengthening business in the cities.</w:t>
      </w:r>
    </w:p>
    <w:p w:rsidR="00A31137" w:rsidRPr="00A31137" w:rsidRDefault="00A31137" w:rsidP="00A31137">
      <w:r w:rsidRPr="00A31137">
        <w:t>1980 Democratic Platform, p.21</w:t>
      </w:r>
    </w:p>
    <w:p w:rsidR="00A31137" w:rsidRPr="00A31137" w:rsidRDefault="00A31137" w:rsidP="00A31137">
      <w:r w:rsidRPr="00A31137">
        <w:t>This jobs policy—and the need to guarantee a job for every American who is able to work—is our single highest domestic priority, and will take precedence over all other domestic priorities.</w:t>
      </w:r>
    </w:p>
    <w:p w:rsidR="00A31137" w:rsidRPr="00A31137" w:rsidRDefault="00A31137" w:rsidP="00A31137">
      <w:r w:rsidRPr="00A31137">
        <w:t>1980 Democratic Platform, p.21</w:t>
      </w:r>
    </w:p>
    <w:p w:rsidR="00A31137" w:rsidRPr="00A31137" w:rsidRDefault="00A31137" w:rsidP="00A31137">
      <w:r w:rsidRPr="00A31137">
        <w:t>–Public works programs which help rebuild our cities' infrastructure and which provide the unemployed with the opportunity to rebuild their own neighborhoods;</w:t>
      </w:r>
    </w:p>
    <w:p w:rsidR="00A31137" w:rsidRPr="00A31137" w:rsidRDefault="00A31137" w:rsidP="00A31137">
      <w:r w:rsidRPr="00A31137">
        <w:t>1980 Democratic Platform, p.21</w:t>
      </w:r>
    </w:p>
    <w:p w:rsidR="00A31137" w:rsidRPr="00A31137" w:rsidRDefault="00A31137" w:rsidP="00A31137">
      <w:r w:rsidRPr="00A31137">
        <w:t>–Incentives for energy conservation by residents, business and industry in urban areas including incentives to convert oil facilities to coal and the construction of new coal-fired replacement plants;</w:t>
      </w:r>
    </w:p>
    <w:p w:rsidR="00A31137" w:rsidRPr="00A31137" w:rsidRDefault="00A31137" w:rsidP="00A31137">
      <w:r w:rsidRPr="00A31137">
        <w:t>1980 Democratic Platform, p.21</w:t>
      </w:r>
    </w:p>
    <w:p w:rsidR="00A31137" w:rsidRPr="00A31137" w:rsidRDefault="00A31137" w:rsidP="00A31137">
      <w:r w:rsidRPr="00A31137">
        <w:t>–Increased education and training programs with special attention to employment of youth, women, and minorities and to training people for private sector jobs;</w:t>
      </w:r>
    </w:p>
    <w:p w:rsidR="00A31137" w:rsidRPr="00A31137" w:rsidRDefault="00A31137" w:rsidP="00A31137">
      <w:r w:rsidRPr="00A31137">
        <w:t>1980 Democratic Platform, p.21</w:t>
      </w:r>
    </w:p>
    <w:p w:rsidR="00A31137" w:rsidRPr="00A31137" w:rsidRDefault="00A31137" w:rsidP="00A31137">
      <w:r w:rsidRPr="00A31137">
        <w:t>–National economic policies intended to maintain growth in our economy and reduce the inflation rate, thereby easing the fiscal burden on cities and their residents;</w:t>
      </w:r>
    </w:p>
    <w:p w:rsidR="00A31137" w:rsidRPr="00A31137" w:rsidRDefault="00A31137" w:rsidP="00A31137">
      <w:r w:rsidRPr="00A31137">
        <w:t>1980 Democratic Platform, p.21</w:t>
      </w:r>
    </w:p>
    <w:p w:rsidR="00A31137" w:rsidRPr="00A31137" w:rsidRDefault="00A31137" w:rsidP="00A31137">
      <w:r w:rsidRPr="00A31137">
        <w:t>–Prompt enactment of the Carter Administration's proposal to expand the economic development initiative programs of the Department of Commerce. When fully implemented, this initiative will provide more than $1 billion in new loan guarantees to our urban centers and will double the amount of economic development grants available;</w:t>
      </w:r>
    </w:p>
    <w:p w:rsidR="00A31137" w:rsidRPr="00A31137" w:rsidRDefault="00A31137" w:rsidP="00A31137">
      <w:r w:rsidRPr="00A31137">
        <w:t>1980 Democratic Platform, p.22</w:t>
      </w:r>
    </w:p>
    <w:p w:rsidR="00A31137" w:rsidRPr="00A31137" w:rsidRDefault="00A31137" w:rsidP="00A31137">
      <w:r w:rsidRPr="00A31137">
        <w:t>–Prompt enactment of the Administration's five-year [p.22] extension of the local government revenue sharing program, including a $500 million transitional aid program for the areas most in need;</w:t>
      </w:r>
    </w:p>
    <w:p w:rsidR="00A31137" w:rsidRPr="00A31137" w:rsidRDefault="00A31137" w:rsidP="00A31137">
      <w:r w:rsidRPr="00A31137">
        <w:t>1980 Democratic Platform, p.22</w:t>
      </w:r>
    </w:p>
    <w:p w:rsidR="00A31137" w:rsidRPr="00A31137" w:rsidRDefault="00A31137" w:rsidP="00A31137">
      <w:r w:rsidRPr="00A31137">
        <w:t>–A serious examination of the urban impact of the federal tax code, to ensure that businesses have substantial incentives to invest in our nation's neediest locales; and</w:t>
      </w:r>
    </w:p>
    <w:p w:rsidR="00A31137" w:rsidRPr="00A31137" w:rsidRDefault="00A31137" w:rsidP="00A31137">
      <w:r w:rsidRPr="00A31137">
        <w:t>1980 Democratic Platform, p.22</w:t>
      </w:r>
    </w:p>
    <w:p w:rsidR="00A31137" w:rsidRPr="00A31137" w:rsidRDefault="00A31137" w:rsidP="00A31137">
      <w:r w:rsidRPr="00A31137">
        <w:t>–Renewed efforts to consolidate existing grants-in-aid programs in order to provide state and local governments with the flexibility to use these programs efficiently.</w:t>
      </w:r>
    </w:p>
    <w:p w:rsidR="00A31137" w:rsidRPr="00A31137" w:rsidRDefault="00A31137" w:rsidP="00A31137">
      <w:r w:rsidRPr="00A31137">
        <w:t>1980 Democratic Platform, p.22</w:t>
      </w:r>
    </w:p>
    <w:p w:rsidR="00A31137" w:rsidRPr="00A31137" w:rsidRDefault="00A31137" w:rsidP="00A31137">
      <w:r w:rsidRPr="00A31137">
        <w:t>In the last analysis, we must recognize that America's cities are centers of people with needs…needs for jobs, decent housing and health care, affordable mass transit, quality education and streets where they can walk in safety. Each is a crucial part of any effective urban program. The Democratic Party is committed to placing the highest priority in our budgets and our programs on meeting these needs of city-dwellers.</w:t>
      </w:r>
    </w:p>
    <w:p w:rsidR="00A31137" w:rsidRPr="00A31137" w:rsidRDefault="00A31137" w:rsidP="00A31137">
      <w:r w:rsidRPr="00A31137">
        <w:t>Neighborhoods</w:t>
      </w:r>
    </w:p>
    <w:p w:rsidR="00A31137" w:rsidRPr="00A31137" w:rsidRDefault="00A31137" w:rsidP="00A31137">
      <w:r w:rsidRPr="00A31137">
        <w:t>1980 Democratic Platform, p.22</w:t>
      </w:r>
    </w:p>
    <w:p w:rsidR="00A31137" w:rsidRPr="00A31137" w:rsidRDefault="00A31137" w:rsidP="00A31137">
      <w:r w:rsidRPr="00A31137">
        <w:t>From the beginning of the Carter Administration, the government has worked to revitalize neighborhoods and to make them a central component of urban life. As a result of these efforts, the federal government now has a strong neighborhoods policy.</w:t>
      </w:r>
    </w:p>
    <w:p w:rsidR="00A31137" w:rsidRPr="00A31137" w:rsidRDefault="00A31137" w:rsidP="00A31137">
      <w:r w:rsidRPr="00A31137">
        <w:t>1980 Democratic Platform, p.22</w:t>
      </w:r>
    </w:p>
    <w:p w:rsidR="00A31137" w:rsidRPr="00A31137" w:rsidRDefault="00A31137" w:rsidP="00A31137">
      <w:r w:rsidRPr="00A31137">
        <w:t>During the 1980s we must continue to strengthen neighborhoods by:</w:t>
      </w:r>
    </w:p>
    <w:p w:rsidR="00A31137" w:rsidRPr="00A31137" w:rsidRDefault="00A31137" w:rsidP="00A31137">
      <w:r w:rsidRPr="00A31137">
        <w:t>1980 Democratic Platform, p.22</w:t>
      </w:r>
    </w:p>
    <w:p w:rsidR="00A31137" w:rsidRPr="00A31137" w:rsidRDefault="00A31137" w:rsidP="00A31137">
      <w:r w:rsidRPr="00A31137">
        <w:t>–Making neighborhood organizations partners with government and private sectors in neighborhood revitalization projects;</w:t>
      </w:r>
    </w:p>
    <w:p w:rsidR="00A31137" w:rsidRPr="00A31137" w:rsidRDefault="00A31137" w:rsidP="00A31137">
      <w:r w:rsidRPr="00A31137">
        <w:t>1980 Democratic Platform, p.22</w:t>
      </w:r>
    </w:p>
    <w:p w:rsidR="00A31137" w:rsidRPr="00A31137" w:rsidRDefault="00A31137" w:rsidP="00A31137">
      <w:r w:rsidRPr="00A31137">
        <w:t>–Continuing to make neighborhood concerns a major element of our urban policy;</w:t>
      </w:r>
    </w:p>
    <w:p w:rsidR="00A31137" w:rsidRPr="00A31137" w:rsidRDefault="00A31137" w:rsidP="00A31137">
      <w:r w:rsidRPr="00A31137">
        <w:t>1980 Democratic Platform, p.22</w:t>
      </w:r>
    </w:p>
    <w:p w:rsidR="00A31137" w:rsidRPr="00A31137" w:rsidRDefault="00A31137" w:rsidP="00A31137">
      <w:r w:rsidRPr="00A31137">
        <w:t>–Developing urban revitalization programs that can be achieved without displacing neighborhood residents; and</w:t>
      </w:r>
    </w:p>
    <w:p w:rsidR="00A31137" w:rsidRPr="00A31137" w:rsidRDefault="00A31137" w:rsidP="00A31137">
      <w:r w:rsidRPr="00A31137">
        <w:t>1980 Democratic Platform, p.22</w:t>
      </w:r>
    </w:p>
    <w:p w:rsidR="00A31137" w:rsidRPr="00A31137" w:rsidRDefault="00A31137" w:rsidP="00A31137">
      <w:r w:rsidRPr="00A31137">
        <w:t>–Continuing to reduce discriminatory redlining practices in the mortgage and insurance industries.</w:t>
      </w:r>
    </w:p>
    <w:p w:rsidR="00A31137" w:rsidRPr="00A31137" w:rsidRDefault="00A31137" w:rsidP="00A31137">
      <w:r w:rsidRPr="00A31137">
        <w:t>Small Community and Rural Development</w:t>
      </w:r>
    </w:p>
    <w:p w:rsidR="00A31137" w:rsidRPr="00A31137" w:rsidRDefault="00A31137" w:rsidP="00A31137">
      <w:r w:rsidRPr="00A31137">
        <w:t>1980 Democratic Platform, p.22</w:t>
      </w:r>
    </w:p>
    <w:p w:rsidR="00A31137" w:rsidRPr="00A31137" w:rsidRDefault="00A31137" w:rsidP="00A31137">
      <w:r w:rsidRPr="00A31137">
        <w:t>This Democratic Administration instituted the nation's first comprehensive small community and rural development policy. This policy establishes specific goals, directs numerous organizational and management changes, and initiates an extensive program of action to improve the quality of life for all rural Americans including American Indians/Alaska Natives, rural Hispanics, rural Blacks, and other minorities. Its principles emphasize the need for a strong partnership between the public and private sectors and among all levels of government. Recognizing rural America's great diversity and the limits of the federal role, the Administration's policy invites the nation's governors to establish rural affairs councils to define state rural development strategies and to advance federal-state coordination in addressing priority needs.</w:t>
      </w:r>
    </w:p>
    <w:p w:rsidR="00A31137" w:rsidRPr="00A31137" w:rsidRDefault="00A31137" w:rsidP="00A31137">
      <w:r w:rsidRPr="00A31137">
        <w:t>1980 Democratic Platform, p.22</w:t>
      </w:r>
    </w:p>
    <w:p w:rsidR="00A31137" w:rsidRPr="00A31137" w:rsidRDefault="00A31137" w:rsidP="00A31137">
      <w:r w:rsidRPr="00A31137">
        <w:t>Since assuming office in 1977, the Democratic Administration has acted to increase rural access to credit and capital, expand job opportunities, alleviate persistent rural poverty, rehabilitate substandard housing, address the shortage of health professionals in rural areas, improve the mobility of the rural transportation disadvantaged, and enhance educational and training opportunities for disadvantaged rural youth. For example, we have:</w:t>
      </w:r>
    </w:p>
    <w:p w:rsidR="00A31137" w:rsidRPr="00A31137" w:rsidRDefault="00A31137" w:rsidP="00A31137">
      <w:r w:rsidRPr="00A31137">
        <w:t>1980 Democratic Platform, p.22</w:t>
      </w:r>
    </w:p>
    <w:p w:rsidR="00A31137" w:rsidRPr="00A31137" w:rsidRDefault="00A31137" w:rsidP="00A31137">
      <w:r w:rsidRPr="00A31137">
        <w:t>–Addressed the problem of substandard housing through substantial increases in rural housing and community development assistance, and through revisions in minimum property standards to permit housing construction which is less expensive and better suited to rural conditions.</w:t>
      </w:r>
    </w:p>
    <w:p w:rsidR="00A31137" w:rsidRPr="00A31137" w:rsidRDefault="00A31137" w:rsidP="00A31137">
      <w:r w:rsidRPr="00A31137">
        <w:t>1980 Democratic Platform, p.22</w:t>
      </w:r>
    </w:p>
    <w:p w:rsidR="00A31137" w:rsidRPr="00A31137" w:rsidRDefault="00A31137" w:rsidP="00A31137">
      <w:r w:rsidRPr="00A31137">
        <w:t>–Improved rural access to credit and capital by tripling the economic development resources of the Farmers Home Administration.</w:t>
      </w:r>
    </w:p>
    <w:p w:rsidR="00A31137" w:rsidRPr="00A31137" w:rsidRDefault="00A31137" w:rsidP="00A31137">
      <w:r w:rsidRPr="00A31137">
        <w:t>1980 Democratic Platform, p.22</w:t>
      </w:r>
    </w:p>
    <w:p w:rsidR="00A31137" w:rsidRPr="00A31137" w:rsidRDefault="00A31137" w:rsidP="00A31137">
      <w:r w:rsidRPr="00A31137">
        <w:t>–Alleviated rural unemployment by doubling Department of Labor employment and training assistance to rural areas.</w:t>
      </w:r>
    </w:p>
    <w:p w:rsidR="00A31137" w:rsidRPr="00A31137" w:rsidRDefault="00A31137" w:rsidP="00A31137">
      <w:r w:rsidRPr="00A31137">
        <w:t>1980 Democratic Platform, p.22</w:t>
      </w:r>
    </w:p>
    <w:p w:rsidR="00A31137" w:rsidRPr="00A31137" w:rsidRDefault="00A31137" w:rsidP="00A31137">
      <w:r w:rsidRPr="00A31137">
        <w:t>–Addressed the shortage of doctors and other health professionals in rural areas through the Rural Health Clinic Services Act and a special initiative to construct 300 rural primary care health clinics by the end of 1981 in medically underserved areas.</w:t>
      </w:r>
    </w:p>
    <w:p w:rsidR="00A31137" w:rsidRPr="00A31137" w:rsidRDefault="00A31137" w:rsidP="00A31137">
      <w:r w:rsidRPr="00A31137">
        <w:t>1980 Democratic Platform, p.22</w:t>
      </w:r>
    </w:p>
    <w:p w:rsidR="00A31137" w:rsidRPr="00A31137" w:rsidRDefault="00A31137" w:rsidP="00A31137">
      <w:r w:rsidRPr="00A31137">
        <w:t>For the future, we must move aggressively to address long-standing rural problems and to implement fully the Administration's small community and rural development policy, with emphasis on:</w:t>
      </w:r>
    </w:p>
    <w:p w:rsidR="00A31137" w:rsidRPr="00A31137" w:rsidRDefault="00A31137" w:rsidP="00A31137">
      <w:r w:rsidRPr="00A31137">
        <w:t>1980 Democratic Platform, p.22</w:t>
      </w:r>
    </w:p>
    <w:p w:rsidR="00A31137" w:rsidRPr="00A31137" w:rsidRDefault="00A31137" w:rsidP="00A31137">
      <w:r w:rsidRPr="00A31137">
        <w:t>–Synthesizing efforts to improve the quality of life for American Indians/Alaska Natives. We must provide incentives for the development of an economic base that will improve the quality of life on reservations;</w:t>
      </w:r>
    </w:p>
    <w:p w:rsidR="00A31137" w:rsidRPr="00A31137" w:rsidRDefault="00A31137" w:rsidP="00A31137">
      <w:r w:rsidRPr="00A31137">
        <w:t>1980 Democratic Platform, p.22</w:t>
      </w:r>
    </w:p>
    <w:p w:rsidR="00A31137" w:rsidRPr="00A31137" w:rsidRDefault="00A31137" w:rsidP="00A31137">
      <w:r w:rsidRPr="00A31137">
        <w:t>–Ensuring that federal programs are administered in ways which encourage local solutions to local problems; target assistance to communities and individuals most in need; make federal investments in ways that leverage private sector investments and complement local and tribal investments; and make federal programs more accessible to rural jurisdiction, better adapted to rural circumstances and needs, and better coordinated in their administration and delivery;</w:t>
      </w:r>
    </w:p>
    <w:p w:rsidR="00A31137" w:rsidRPr="00A31137" w:rsidRDefault="00A31137" w:rsidP="00A31137">
      <w:r w:rsidRPr="00A31137">
        <w:t>1980 Democratic Platform, p.22</w:t>
      </w:r>
    </w:p>
    <w:p w:rsidR="00A31137" w:rsidRPr="00A31137" w:rsidRDefault="00A31137" w:rsidP="00A31137">
      <w:r w:rsidRPr="00A31137">
        <w:t>–Promoting rural energy self-sufficiency through improved rural transit and the application of alternative energy technologies on farms and in our rural homes and communities;</w:t>
      </w:r>
    </w:p>
    <w:p w:rsidR="00A31137" w:rsidRPr="00A31137" w:rsidRDefault="00A31137" w:rsidP="00A31137">
      <w:r w:rsidRPr="00A31137">
        <w:t>1980 Democratic Platform, p.22</w:t>
      </w:r>
    </w:p>
    <w:p w:rsidR="00A31137" w:rsidRPr="00A31137" w:rsidRDefault="00A31137" w:rsidP="00A31137">
      <w:r w:rsidRPr="00A31137">
        <w:t xml:space="preserve">–Passing satisfactory welfare reform legislation, with special attention to the needs of the rural disadvantaged;[p.23] </w:t>
      </w:r>
    </w:p>
    <w:p w:rsidR="00A31137" w:rsidRPr="00A31137" w:rsidRDefault="00A31137" w:rsidP="00A31137">
      <w:r w:rsidRPr="00A31137">
        <w:t>1980 Democratic Platform, p.23</w:t>
      </w:r>
    </w:p>
    <w:p w:rsidR="00A31137" w:rsidRPr="00A31137" w:rsidRDefault="00A31137" w:rsidP="00A31137">
      <w:r w:rsidRPr="00A31137">
        <w:t>–Protecting prime agricultural land as rural populations and the rural economy continue to grow;</w:t>
      </w:r>
    </w:p>
    <w:p w:rsidR="00A31137" w:rsidRPr="00A31137" w:rsidRDefault="00A31137" w:rsidP="00A31137">
      <w:r w:rsidRPr="00A31137">
        <w:t>1980 Democratic Platform, p.23</w:t>
      </w:r>
    </w:p>
    <w:p w:rsidR="00A31137" w:rsidRPr="00A31137" w:rsidRDefault="00A31137" w:rsidP="00A31137">
      <w:r w:rsidRPr="00A31137">
        <w:t>–Continuing to upgrade substandard rural housing to make it safe, decent, and sanitary;</w:t>
      </w:r>
    </w:p>
    <w:p w:rsidR="00A31137" w:rsidRPr="00A31137" w:rsidRDefault="00A31137" w:rsidP="00A31137">
      <w:r w:rsidRPr="00A31137">
        <w:t>1980 Democratic Platform, p.23</w:t>
      </w:r>
    </w:p>
    <w:p w:rsidR="00A31137" w:rsidRPr="00A31137" w:rsidRDefault="00A31137" w:rsidP="00A31137">
      <w:r w:rsidRPr="00A31137">
        <w:t>–Giving full attention to the health, education, and other basic needs of rural citizens, especially the young, the old, and the poor; and</w:t>
      </w:r>
    </w:p>
    <w:p w:rsidR="00A31137" w:rsidRPr="00A31137" w:rsidRDefault="00A31137" w:rsidP="00A31137">
      <w:r w:rsidRPr="00A31137">
        <w:t>1980 Democratic Platform, p.23</w:t>
      </w:r>
    </w:p>
    <w:p w:rsidR="00A31137" w:rsidRPr="00A31137" w:rsidRDefault="00A31137" w:rsidP="00A31137">
      <w:r w:rsidRPr="00A31137">
        <w:t>–Providing low cost electric and telephone services to rural areas through the Rural Electrification Administration and the hundreds of rural cooperatives that provide these services.</w:t>
      </w:r>
    </w:p>
    <w:p w:rsidR="00A31137" w:rsidRPr="00A31137" w:rsidRDefault="00A31137" w:rsidP="00A31137">
      <w:r w:rsidRPr="00A31137">
        <w:t>Science and Technology</w:t>
      </w:r>
    </w:p>
    <w:p w:rsidR="00A31137" w:rsidRPr="00A31137" w:rsidRDefault="00A31137" w:rsidP="00A31137">
      <w:r w:rsidRPr="00A31137">
        <w:t>1980 Democratic Platform, p.23</w:t>
      </w:r>
    </w:p>
    <w:p w:rsidR="00A31137" w:rsidRPr="00A31137" w:rsidRDefault="00A31137" w:rsidP="00A31137">
      <w:r w:rsidRPr="00A31137">
        <w:t>The Nixon-Ford Administration permitted serious decline in the state of science and technology in our country.</w:t>
      </w:r>
    </w:p>
    <w:p w:rsidR="00A31137" w:rsidRPr="00A31137" w:rsidRDefault="00A31137" w:rsidP="00A31137">
      <w:r w:rsidRPr="00A31137">
        <w:t>1980 Democratic Platform, p.23</w:t>
      </w:r>
    </w:p>
    <w:p w:rsidR="00A31137" w:rsidRPr="00A31137" w:rsidRDefault="00A31137" w:rsidP="00A31137">
      <w:r w:rsidRPr="00A31137">
        <w:t>There had been a decade of erosion of federal support of research and development. The funding of basic research in particular was far below its peak level of the mid-1960s.</w:t>
      </w:r>
    </w:p>
    <w:p w:rsidR="00A31137" w:rsidRPr="00A31137" w:rsidRDefault="00A31137" w:rsidP="00A31137">
      <w:r w:rsidRPr="00A31137">
        <w:t>1980 Democratic Platform, p.23</w:t>
      </w:r>
    </w:p>
    <w:p w:rsidR="00A31137" w:rsidRPr="00A31137" w:rsidRDefault="00A31137" w:rsidP="00A31137">
      <w:r w:rsidRPr="00A31137">
        <w:t>Science and technology advice had been seriously downgraded and removed from the White House, until pressures from the science and engineering community had it restored through an act of Congress.</w:t>
      </w:r>
    </w:p>
    <w:p w:rsidR="00A31137" w:rsidRPr="00A31137" w:rsidRDefault="00A31137" w:rsidP="00A31137">
      <w:r w:rsidRPr="00A31137">
        <w:t>1980 Democratic Platform, p.23</w:t>
      </w:r>
    </w:p>
    <w:p w:rsidR="00A31137" w:rsidRPr="00A31137" w:rsidRDefault="00A31137" w:rsidP="00A31137">
      <w:r w:rsidRPr="00A31137">
        <w:t>The previous decline in support had affected opportunities in science and engineering. It had resulted in the inadequate replacement of facilities and instrumentation and their growing obsolescence in the face of new scientific advances and needs.</w:t>
      </w:r>
    </w:p>
    <w:p w:rsidR="00A31137" w:rsidRPr="00A31137" w:rsidRDefault="00A31137" w:rsidP="00A31137">
      <w:r w:rsidRPr="00A31137">
        <w:t>1980 Democratic Platform, p.23</w:t>
      </w:r>
    </w:p>
    <w:p w:rsidR="00A31137" w:rsidRPr="00A31137" w:rsidRDefault="00A31137" w:rsidP="00A31137">
      <w:r w:rsidRPr="00A31137">
        <w:t>Not only the work of our academic research centers, but also our technological innovation and economic competitiveness were impaired by this erosion of federal support.</w:t>
      </w:r>
    </w:p>
    <w:p w:rsidR="00A31137" w:rsidRPr="00A31137" w:rsidRDefault="00A31137" w:rsidP="00A31137">
      <w:r w:rsidRPr="00A31137">
        <w:t>1980 Democratic Platform, p.23</w:t>
      </w:r>
    </w:p>
    <w:p w:rsidR="00A31137" w:rsidRPr="00A31137" w:rsidRDefault="00A31137" w:rsidP="00A31137">
      <w:r w:rsidRPr="00A31137">
        <w:t>To counter these conditions and help revitalize the country's science and technology, the Carter Administration, working with Congress has taken a number of steps. The Office of Science and Technology Policy has been strengthened and upgraded. Growth has been restored in the budgets for federal research and development activities. Basic biomedical research has been strengthened to increase our fundamental knowledge of health and disease.</w:t>
      </w:r>
    </w:p>
    <w:p w:rsidR="00A31137" w:rsidRPr="00A31137" w:rsidRDefault="00A31137" w:rsidP="00A31137">
      <w:r w:rsidRPr="00A31137">
        <w:t>1980 Democratic Platform, p.23</w:t>
      </w:r>
    </w:p>
    <w:p w:rsidR="00A31137" w:rsidRPr="00A31137" w:rsidRDefault="00A31137" w:rsidP="00A31137">
      <w:r w:rsidRPr="00A31137">
        <w:t>These are just a few of the innovations that have been made. Our scientific and technological agenda remains unfinished. The 1980s offer great promise. During the next four years, we will work to:</w:t>
      </w:r>
    </w:p>
    <w:p w:rsidR="00A31137" w:rsidRPr="00A31137" w:rsidRDefault="00A31137" w:rsidP="00A31137">
      <w:r w:rsidRPr="00A31137">
        <w:t>1980 Democratic Platform, p.23</w:t>
      </w:r>
    </w:p>
    <w:p w:rsidR="00A31137" w:rsidRPr="00A31137" w:rsidRDefault="00A31137" w:rsidP="00A31137">
      <w:r w:rsidRPr="00A31137">
        <w:t>–Continue to strengthen our science and technology and provide for continuity and stability of support to research and development;</w:t>
      </w:r>
    </w:p>
    <w:p w:rsidR="00A31137" w:rsidRPr="00A31137" w:rsidRDefault="00A31137" w:rsidP="00A31137">
      <w:r w:rsidRPr="00A31137">
        <w:t>1980 Democratic Platform, p.23</w:t>
      </w:r>
    </w:p>
    <w:p w:rsidR="00A31137" w:rsidRPr="00A31137" w:rsidRDefault="00A31137" w:rsidP="00A31137">
      <w:r w:rsidRPr="00A31137">
        <w:t>–Continue to monitor the flow of talent into science and engineering and provide the appropriate training and opportunities to ensure an adequate number of well-trained scientists and engineers in the coming years, with particular emphasis on women and minorities;</w:t>
      </w:r>
    </w:p>
    <w:p w:rsidR="00A31137" w:rsidRPr="00A31137" w:rsidRDefault="00A31137" w:rsidP="00A31137">
      <w:r w:rsidRPr="00A31137">
        <w:t>1980 Democratic Platform, p.23</w:t>
      </w:r>
    </w:p>
    <w:p w:rsidR="00A31137" w:rsidRPr="00A31137" w:rsidRDefault="00A31137" w:rsidP="00A31137">
      <w:r w:rsidRPr="00A31137">
        <w:t>–Pay continued attention to the support of research facilities to make certain they remain among the best in the world;</w:t>
      </w:r>
    </w:p>
    <w:p w:rsidR="00A31137" w:rsidRPr="00A31137" w:rsidRDefault="00A31137" w:rsidP="00A31137">
      <w:r w:rsidRPr="00A31137">
        <w:t>1980 Democratic Platform, p.23</w:t>
      </w:r>
    </w:p>
    <w:p w:rsidR="00A31137" w:rsidRPr="00A31137" w:rsidRDefault="00A31137" w:rsidP="00A31137">
      <w:r w:rsidRPr="00A31137">
        <w:t>–Successfully launch the Space Shuttle, take advantage of the many opportunities it offers to make space activities more economic and productive, and release new resources for the future scientific exploration of space; and</w:t>
      </w:r>
    </w:p>
    <w:p w:rsidR="00A31137" w:rsidRPr="00A31137" w:rsidRDefault="00A31137" w:rsidP="00A31137">
      <w:r w:rsidRPr="00A31137">
        <w:t>1980 Democratic Platform, p.23</w:t>
      </w:r>
    </w:p>
    <w:p w:rsidR="00A31137" w:rsidRPr="00A31137" w:rsidRDefault="00A31137" w:rsidP="00A31137">
      <w:r w:rsidRPr="00A31137">
        <w:t>–Expand our programs of cooperation in science and technology with all nations who seek development and a stable, peaceful world.</w:t>
      </w:r>
    </w:p>
    <w:p w:rsidR="00A31137" w:rsidRPr="00A31137" w:rsidRDefault="00A31137" w:rsidP="00A31137">
      <w:r w:rsidRPr="00A31137">
        <w:t>1980 Democratic Platform, p.23</w:t>
      </w:r>
    </w:p>
    <w:p w:rsidR="00A31137" w:rsidRPr="00A31137" w:rsidRDefault="00A31137" w:rsidP="00A31137">
      <w:r w:rsidRPr="00A31137">
        <w:t>In sum, we must continue to expand our scientific and technological capabilities and apply them to the needs of people everywhere.</w:t>
      </w:r>
    </w:p>
    <w:p w:rsidR="00A31137" w:rsidRPr="00A31137" w:rsidRDefault="00A31137" w:rsidP="00A31137">
      <w:r w:rsidRPr="00A31137">
        <w:t>The Arts and the Humanities</w:t>
      </w:r>
    </w:p>
    <w:p w:rsidR="00A31137" w:rsidRPr="00A31137" w:rsidRDefault="00A31137" w:rsidP="00A31137">
      <w:r w:rsidRPr="00A31137">
        <w:t>1980 Democratic Platform, p.23</w:t>
      </w:r>
    </w:p>
    <w:p w:rsidR="00A31137" w:rsidRPr="00A31137" w:rsidRDefault="00A31137" w:rsidP="00A31137">
      <w:r w:rsidRPr="00A31137">
        <w:t>The arts and humanities are a precious national resource.</w:t>
      </w:r>
    </w:p>
    <w:p w:rsidR="00A31137" w:rsidRPr="00A31137" w:rsidRDefault="00A31137" w:rsidP="00A31137">
      <w:r w:rsidRPr="00A31137">
        <w:t>1980 Democratic Platform, p.23</w:t>
      </w:r>
    </w:p>
    <w:p w:rsidR="00A31137" w:rsidRPr="00A31137" w:rsidRDefault="00A31137" w:rsidP="00A31137">
      <w:r w:rsidRPr="00A31137">
        <w:t>Federal commitment to the arts and humanities has been strengthened since 1977 by expanding government funding and services to arts institutions, individual artists, scholars, and teachers. The budgets for the National Endowment for the Arts and the National Endowment for the Humanities have increased substantially. The Federal Council on the Arts and Humanities has been reactivated. Policies of the Carter Administration have fostered high standards of creativity across our nation. The Administration has encouraged the arts and humanities through appropriate federal programs for the citizens of our smallest communities, as well as those of our largest cities. During the 1980s, the Party is committed to:</w:t>
      </w:r>
    </w:p>
    <w:p w:rsidR="00A31137" w:rsidRPr="00A31137" w:rsidRDefault="00A31137" w:rsidP="00A31137">
      <w:r w:rsidRPr="00A31137">
        <w:t>1980 Democratic Platform, p.23</w:t>
      </w:r>
    </w:p>
    <w:p w:rsidR="00A31137" w:rsidRPr="00A31137" w:rsidRDefault="00A31137" w:rsidP="00A31137">
      <w:r w:rsidRPr="00A31137">
        <w:t>–Continuing federal encouragement and support for institutions relating to the arts and to learning in the humanities;</w:t>
      </w:r>
    </w:p>
    <w:p w:rsidR="00A31137" w:rsidRPr="00A31137" w:rsidRDefault="00A31137" w:rsidP="00A31137">
      <w:r w:rsidRPr="00A31137">
        <w:t>1980 Democratic Platform, p.23</w:t>
      </w:r>
    </w:p>
    <w:p w:rsidR="00A31137" w:rsidRPr="00A31137" w:rsidRDefault="00A31137" w:rsidP="00A31137">
      <w:r w:rsidRPr="00A31137">
        <w:t>–Encouraging business participation in a comprehensive effort to achieve a truly mixed economy of support for the arts and humanities by individuals, foundations, corporations and governments at every level;</w:t>
      </w:r>
    </w:p>
    <w:p w:rsidR="00A31137" w:rsidRPr="00A31137" w:rsidRDefault="00A31137" w:rsidP="00A31137">
      <w:r w:rsidRPr="00A31137">
        <w:t>1980 Democratic Platform, p.23</w:t>
      </w:r>
    </w:p>
    <w:p w:rsidR="00A31137" w:rsidRPr="00A31137" w:rsidRDefault="00A31137" w:rsidP="00A31137">
      <w:r w:rsidRPr="00A31137">
        <w:t>–Exploring a variety of mechanisms to nurture the creative talent of our citizens and build audiences for their work;</w:t>
      </w:r>
    </w:p>
    <w:p w:rsidR="00A31137" w:rsidRPr="00A31137" w:rsidRDefault="00A31137" w:rsidP="00A31137">
      <w:r w:rsidRPr="00A31137">
        <w:t>1980 Democratic Platform, p.23</w:t>
      </w:r>
    </w:p>
    <w:p w:rsidR="00A31137" w:rsidRPr="00A31137" w:rsidRDefault="00A31137" w:rsidP="00A31137">
      <w:r w:rsidRPr="00A31137">
        <w:t>–Supporting strong, active National Endowments both for the Arts and the Humanities, and strengthening the Public Broadcasting System; and</w:t>
      </w:r>
    </w:p>
    <w:p w:rsidR="00A31137" w:rsidRPr="00A31137" w:rsidRDefault="00A31137" w:rsidP="00A31137">
      <w:r w:rsidRPr="00A31137">
        <w:t>1980 Democratic Platform, p.23</w:t>
      </w:r>
    </w:p>
    <w:p w:rsidR="00A31137" w:rsidRPr="00A31137" w:rsidRDefault="00A31137" w:rsidP="00A31137">
      <w:r w:rsidRPr="00A31137">
        <w:t xml:space="preserve">–Seeking greater recognition for the rich cultural tradition of the nation's minorities. We will work to meet the cultural needs of minorities, encourage their greater participation in the performing arts on a national level, and provide grants for the arts in low-income neighborhoods.[p.24] </w:t>
      </w:r>
    </w:p>
    <w:p w:rsidR="00A31137" w:rsidRPr="00A31137" w:rsidRDefault="00A31137" w:rsidP="00A31137">
      <w:r w:rsidRPr="00A31137">
        <w:t>Ensuring Basic Rights and Liberties</w:t>
      </w:r>
    </w:p>
    <w:p w:rsidR="00A31137" w:rsidRPr="00A31137" w:rsidRDefault="00A31137" w:rsidP="00A31137">
      <w:r w:rsidRPr="00A31137">
        <w:t>Equal Rights Amendment</w:t>
      </w:r>
    </w:p>
    <w:p w:rsidR="00A31137" w:rsidRPr="00A31137" w:rsidRDefault="00A31137" w:rsidP="00A31137">
      <w:r w:rsidRPr="00A31137">
        <w:t>1980 Democratic Platform, p.24</w:t>
      </w:r>
    </w:p>
    <w:p w:rsidR="00A31137" w:rsidRPr="00A31137" w:rsidRDefault="00A31137" w:rsidP="00A31137">
      <w:r w:rsidRPr="00A31137">
        <w:t>The Democratic Party recognizes that every issue of importance to this nation and its future concerns women as well as men. As workers and consumers, as parents and heads of households, women are vitally concerned with the economy, energy, foreign policy, and every other issue addressed in this platform. The concerns of women cannot be limited to a portion of the platform; they must be reflected in every section of our Party's policy.</w:t>
      </w:r>
    </w:p>
    <w:p w:rsidR="00A31137" w:rsidRPr="00A31137" w:rsidRDefault="00A31137" w:rsidP="00A31137">
      <w:r w:rsidRPr="00A31137">
        <w:t>1980 Democratic Platform, p.24</w:t>
      </w:r>
    </w:p>
    <w:p w:rsidR="00A31137" w:rsidRPr="00A31137" w:rsidRDefault="00A31137" w:rsidP="00A31137">
      <w:r w:rsidRPr="00A31137">
        <w:t>Them is, however, a particular concern of women which deserves special emphasis—their entitlement to full equality in our society.</w:t>
      </w:r>
    </w:p>
    <w:p w:rsidR="00A31137" w:rsidRPr="00A31137" w:rsidRDefault="00A31137" w:rsidP="00A31137">
      <w:r w:rsidRPr="00A31137">
        <w:t>1980 Democratic Platform, p.24</w:t>
      </w:r>
    </w:p>
    <w:p w:rsidR="00A31137" w:rsidRPr="00A31137" w:rsidRDefault="00A31137" w:rsidP="00A31137">
      <w:r w:rsidRPr="00A31137">
        <w:t>Women are a majority of the population. Yet their equality is not recognized in the Constitution or enforced as the law of the land. The choices faced by women—such as whether to seek employment or work at home, what career or profession to enter, and how to combine employment and family responsibilities—continue to be circumscribe by stereotypes and prejudices. Minority women face the dual discrimination of racism and sexism.</w:t>
      </w:r>
    </w:p>
    <w:p w:rsidR="00A31137" w:rsidRPr="00A31137" w:rsidRDefault="00A31137" w:rsidP="00A31137">
      <w:r w:rsidRPr="00A31137">
        <w:t>1980 Democratic Platform, p.24</w:t>
      </w:r>
    </w:p>
    <w:p w:rsidR="00A31137" w:rsidRPr="00A31137" w:rsidRDefault="00A31137" w:rsidP="00A31137">
      <w:r w:rsidRPr="00A31137">
        <w:t>In the 1980s, the Democratic Party commits itself to a Constitution, economy, and society open to women on an equal basis with men.</w:t>
      </w:r>
    </w:p>
    <w:p w:rsidR="00A31137" w:rsidRPr="00A31137" w:rsidRDefault="00A31137" w:rsidP="00A31137">
      <w:r w:rsidRPr="00A31137">
        <w:t>1980 Democratic Platform, p.24</w:t>
      </w:r>
    </w:p>
    <w:p w:rsidR="00A31137" w:rsidRPr="00A31137" w:rsidRDefault="00A31137" w:rsidP="00A31137">
      <w:r w:rsidRPr="00A31137">
        <w:t>The primary route to that new horizon is fabrication of the Equal Rights Amendment. A Democratic Congress, working with women's leaders, labor, civil and religious organizations, first enacted ERA in Congress and later extended the deadline for ratification. Now, the Democratic Party must ensure that ERA at last becomes the 27th Amendment to the Constitution. We oppose efforts to rescind ERA in states which have a;ready ratified the amendment, and we shall insist that at past recessions are invalid.</w:t>
      </w:r>
    </w:p>
    <w:p w:rsidR="00A31137" w:rsidRPr="00A31137" w:rsidRDefault="00A31137" w:rsidP="00A31137">
      <w:r w:rsidRPr="00A31137">
        <w:t>1980 Democratic Platform, p.24</w:t>
      </w:r>
    </w:p>
    <w:p w:rsidR="00A31137" w:rsidRPr="00A31137" w:rsidRDefault="00A31137" w:rsidP="00A31137">
      <w:r w:rsidRPr="00A31137">
        <w:t>In view of the high priority which the Democratic Party places on ratification of the ERA, the Democratic National Committee renews its commitment not to hold national or multi-state meetings, conferences, or conventions in states which have not yet ratified the ERA. The Democratic Party shall withhold financial support and technical campaign assistance from candidates who do not support the ERA. The Democratic Party further urges all national organizations to support the boycott of the unratified states by not holding national meetings, conferences, or conventions in those states.</w:t>
      </w:r>
    </w:p>
    <w:p w:rsidR="00A31137" w:rsidRPr="00A31137" w:rsidRDefault="00A31137" w:rsidP="00A31137">
      <w:r w:rsidRPr="00A31137">
        <w:t>1980 Democratic Platform, p.24</w:t>
      </w:r>
    </w:p>
    <w:p w:rsidR="00A31137" w:rsidRPr="00A31137" w:rsidRDefault="00A31137" w:rsidP="00A31137">
      <w:r w:rsidRPr="00A31137">
        <w:t>Furthermore, the Democratic Party shall seek to eliminate sex-based discrimination and inequities from all aspects of our society.</w:t>
      </w:r>
    </w:p>
    <w:p w:rsidR="00A31137" w:rsidRPr="00A31137" w:rsidRDefault="00A31137" w:rsidP="00A31137">
      <w:r w:rsidRPr="00A31137">
        <w:t>Civil Rights</w:t>
      </w:r>
    </w:p>
    <w:p w:rsidR="00A31137" w:rsidRPr="00A31137" w:rsidRDefault="00A31137" w:rsidP="00A31137">
      <w:r w:rsidRPr="00A31137">
        <w:t>1980 Democratic Platform, p.24</w:t>
      </w:r>
    </w:p>
    <w:p w:rsidR="00A31137" w:rsidRPr="00A31137" w:rsidRDefault="00A31137" w:rsidP="00A31137">
      <w:r w:rsidRPr="00A31137">
        <w:t>The Democratic Party firmly commits itself to protect the civil rights of every citizen and to pursue justice and equal treatment under the law for all citizens.</w:t>
      </w:r>
    </w:p>
    <w:p w:rsidR="00A31137" w:rsidRPr="00A31137" w:rsidRDefault="00A31137" w:rsidP="00A31137">
      <w:r w:rsidRPr="00A31137">
        <w:t>1980 Democratic Platform, p.24</w:t>
      </w:r>
    </w:p>
    <w:p w:rsidR="00A31137" w:rsidRPr="00A31137" w:rsidRDefault="00A31137" w:rsidP="00A31137">
      <w:r w:rsidRPr="00A31137">
        <w:t>In the 1960s, enormous progress was made in authorizing civil rights for all our citizens. In many areas, the promises of the civil rights efforts of the 1960s have been met, but much more remains to be done.</w:t>
      </w:r>
    </w:p>
    <w:p w:rsidR="00A31137" w:rsidRPr="00A31137" w:rsidRDefault="00A31137" w:rsidP="00A31137">
      <w:r w:rsidRPr="00A31137">
        <w:t>1980 Democratic Platform, p.24</w:t>
      </w:r>
    </w:p>
    <w:p w:rsidR="00A31137" w:rsidRPr="00A31137" w:rsidRDefault="00A31137" w:rsidP="00A31137">
      <w:r w:rsidRPr="00A31137">
        <w:t>An effective affirmative action program is an essential component of our commitment to expanding civil rights protections. The federal government must be a model for private employers, making special efforts in recruitment, training, and promotion to aid minority Americans in overcoming both the historic patterns and the historic burdens of discrimination.</w:t>
      </w:r>
    </w:p>
    <w:p w:rsidR="00A31137" w:rsidRPr="00A31137" w:rsidRDefault="00A31137" w:rsidP="00A31137">
      <w:r w:rsidRPr="00A31137">
        <w:t>1980 Democratic Platform, p.24</w:t>
      </w:r>
    </w:p>
    <w:p w:rsidR="00A31137" w:rsidRPr="00A31137" w:rsidRDefault="00A31137" w:rsidP="00A31137">
      <w:r w:rsidRPr="00A31137">
        <w:t>We call on the public and private sectors to live up to and enforce all civil rights laws and regulations, i.e., Equal Employment Opportunity Programs, Title VI and Title VII of the Civil Rights Act, the Fair Housing Laws, and affirmative action requirements.</w:t>
      </w:r>
    </w:p>
    <w:p w:rsidR="00A31137" w:rsidRPr="00A31137" w:rsidRDefault="00A31137" w:rsidP="00A31137">
      <w:r w:rsidRPr="00A31137">
        <w:t>1980 Democratic Platform, p.24</w:t>
      </w:r>
    </w:p>
    <w:p w:rsidR="00A31137" w:rsidRPr="00A31137" w:rsidRDefault="00A31137" w:rsidP="00A31137">
      <w:r w:rsidRPr="00A31137">
        <w:t>We advocate strengthening the Office of Civil Rights in the Department of Education and in the Department of Health and Human Resources.</w:t>
      </w:r>
    </w:p>
    <w:p w:rsidR="00A31137" w:rsidRPr="00A31137" w:rsidRDefault="00A31137" w:rsidP="00A31137">
      <w:r w:rsidRPr="00A31137">
        <w:t>1980 Democratic Platform, p.24</w:t>
      </w:r>
    </w:p>
    <w:p w:rsidR="00A31137" w:rsidRPr="00A31137" w:rsidRDefault="00A31137" w:rsidP="00A31137">
      <w:r w:rsidRPr="00A31137">
        <w:t>We oppose efforts to undermine the Supreme Court's historic mandate of school desegregation, and we support affirmative action goals to overturn patterns of discrimination in education and employment.</w:t>
      </w:r>
    </w:p>
    <w:p w:rsidR="00A31137" w:rsidRPr="00A31137" w:rsidRDefault="00A31137" w:rsidP="00A31137">
      <w:r w:rsidRPr="00A31137">
        <w:t>1980 Democratic Platform, p.24</w:t>
      </w:r>
    </w:p>
    <w:p w:rsidR="00A31137" w:rsidRPr="00A31137" w:rsidRDefault="00A31137" w:rsidP="00A31137">
      <w:r w:rsidRPr="00A31137">
        <w:t>Ethnic, racial and other minorities continue to be victims of police abuse, persistent harassment and excessive use of force. In 1979, the Community Relations Service of the Department of Justice noted that "alleged use of deadly force by police and the reaction of minorities was a major force of racial unrest in the nation in 1978." In response to this finding:</w:t>
      </w:r>
    </w:p>
    <w:p w:rsidR="00A31137" w:rsidRPr="00A31137" w:rsidRDefault="00A31137" w:rsidP="00A31137">
      <w:r w:rsidRPr="00A31137">
        <w:t>1980 Democratic Platform, p.24</w:t>
      </w:r>
    </w:p>
    <w:p w:rsidR="00A31137" w:rsidRPr="00A31137" w:rsidRDefault="00A31137" w:rsidP="00A31137">
      <w:r w:rsidRPr="00A31137">
        <w:t>–We call for the Department of Justice's Civil Rights Division to develop uniform federal guidelines and penalties for the use of undue force by local law enforcement agencies;</w:t>
      </w:r>
    </w:p>
    <w:p w:rsidR="00A31137" w:rsidRPr="00A31137" w:rsidRDefault="00A31137" w:rsidP="00A31137">
      <w:r w:rsidRPr="00A31137">
        <w:t>1980 Democratic Platform, p.24</w:t>
      </w:r>
    </w:p>
    <w:p w:rsidR="00A31137" w:rsidRPr="00A31137" w:rsidRDefault="00A31137" w:rsidP="00A31137">
      <w:r w:rsidRPr="00A31137">
        <w:t>–We call for the Department of Justice's Civil Rights Division to establish civil rights units at appropriate U.S. Attorneys' offices; and</w:t>
      </w:r>
    </w:p>
    <w:p w:rsidR="00A31137" w:rsidRPr="00A31137" w:rsidRDefault="00A31137" w:rsidP="00A31137">
      <w:r w:rsidRPr="00A31137">
        <w:t>1980 Democratic Platform, p.24</w:t>
      </w:r>
    </w:p>
    <w:p w:rsidR="00A31137" w:rsidRPr="00A31137" w:rsidRDefault="00A31137" w:rsidP="00A31137">
      <w:r w:rsidRPr="00A31137">
        <w:t>–We call on the Department of Justice to move concurrently with federal prosecutors so that if a failure to obtain conviction takes place at the state or local level, federal prosecution can occur swiftly.</w:t>
      </w:r>
    </w:p>
    <w:p w:rsidR="00A31137" w:rsidRPr="00A31137" w:rsidRDefault="00A31137" w:rsidP="00A31137">
      <w:r w:rsidRPr="00A31137">
        <w:t>1980 Democratic Platform, p.24</w:t>
      </w:r>
    </w:p>
    <w:p w:rsidR="00A31137" w:rsidRPr="00A31137" w:rsidRDefault="00A31137" w:rsidP="00A31137">
      <w:r w:rsidRPr="00A31137">
        <w:t>The Democratic Party strongly condemns the Ku Klux Klan and the American Nazi Party. We pledge vigorous federal prosecution of actions by the Klan and American Nazi Party that violate federal law, including the creation of such laws in jurisdictions where [p.25] they do not exist. We further condemn those acts, symbols, and rituals. including cross-burnings, associated with anti-civil rights activities. We urge every state and local government to pursue vigorous prosecution of actions by the Klan and Nazi party that violate state or local law.</w:t>
      </w:r>
    </w:p>
    <w:p w:rsidR="00A31137" w:rsidRPr="00A31137" w:rsidRDefault="00A31137" w:rsidP="00A31137">
      <w:r w:rsidRPr="00A31137">
        <w:t>1980 Democratic Platform, p.25</w:t>
      </w:r>
    </w:p>
    <w:p w:rsidR="00A31137" w:rsidRPr="00A31137" w:rsidRDefault="00A31137" w:rsidP="00A31137">
      <w:r w:rsidRPr="00A31137">
        <w:t>The Democratic Party asserts that the Immigration and Naturalization Service, in enforcing the immigration laws, must recognize its obligation to respect fully the human and constitutional rights of all within our borders. Such respect must include an end to practices affecting Hispanic, Caribbean, and Asian/Pacific American communities such as "neighborhood sweeps" and stop and search procedures which are discriminatory or without probable cause.</w:t>
      </w:r>
    </w:p>
    <w:p w:rsidR="00A31137" w:rsidRPr="00A31137" w:rsidRDefault="00A31137" w:rsidP="00A31137">
      <w:r w:rsidRPr="00A31137">
        <w:t>1980 Democratic Platform, p.25</w:t>
      </w:r>
    </w:p>
    <w:p w:rsidR="00A31137" w:rsidRPr="00A31137" w:rsidRDefault="00A31137" w:rsidP="00A31137">
      <w:r w:rsidRPr="00A31137">
        <w:t>Our commitment to civil rights embraces not only a commitment to legal equality, but a commitment to economic justice as well. It embraces a recognition of the right of every citizen—Black and Hispanic, American Indian and Alaska Native, Asian/Pacific Americans, and the majority who are women—to a fair share in our economy. When that opportunity is denied, and the promise of social justice is unfulfilled, the risks of tension and disorder in our cities are increased. The Democratic Party condemns violence and civil disorder wherever they occur. But, we also pledge to attack the underlying injustices that contribute to such violence so that no person need feel condemned to a life of poverty and despair.</w:t>
      </w:r>
    </w:p>
    <w:p w:rsidR="00A31137" w:rsidRPr="00A31137" w:rsidRDefault="00A31137" w:rsidP="00A31137">
      <w:r w:rsidRPr="00A31137">
        <w:t>1980 Democratic Platform, p.25</w:t>
      </w:r>
    </w:p>
    <w:p w:rsidR="00A31137" w:rsidRPr="00A31137" w:rsidRDefault="00A31137" w:rsidP="00A31137">
      <w:r w:rsidRPr="00A31137">
        <w:t>The Democratic record provides a solid basis for future progress. There should be little doubt that virtually no progress would occur under a Republican Administration. Over the next four years, our Party must strengthen and improve what has already been accomplished.</w:t>
      </w:r>
    </w:p>
    <w:p w:rsidR="00A31137" w:rsidRPr="00A31137" w:rsidRDefault="00A31137" w:rsidP="00A31137">
      <w:r w:rsidRPr="00A31137">
        <w:t>1980 Democratic Platform, p.25</w:t>
      </w:r>
    </w:p>
    <w:p w:rsidR="00A31137" w:rsidRPr="00A31137" w:rsidRDefault="00A31137" w:rsidP="00A31137">
      <w:r w:rsidRPr="00A31137">
        <w:t>Both the ERA and District of Columbia Voting Rights Amendments to the Constitution must be ratified and our full commitment must be given to those efforts.</w:t>
      </w:r>
    </w:p>
    <w:p w:rsidR="00A31137" w:rsidRPr="00A31137" w:rsidRDefault="00A31137" w:rsidP="00A31137">
      <w:r w:rsidRPr="00A31137">
        <w:t>1980 Democratic Platform, p.25</w:t>
      </w:r>
    </w:p>
    <w:p w:rsidR="00A31137" w:rsidRPr="00A31137" w:rsidRDefault="00A31137" w:rsidP="00A31137">
      <w:r w:rsidRPr="00A31137">
        <w:t>The Fair Housing Act must be amended to give the Department of Housing and Urban Development greater enforcement ability, including cease and desist authority.</w:t>
      </w:r>
    </w:p>
    <w:p w:rsidR="00A31137" w:rsidRPr="00A31137" w:rsidRDefault="00A31137" w:rsidP="00A31137">
      <w:r w:rsidRPr="00A31137">
        <w:t>1980 Democratic Platform, p.25</w:t>
      </w:r>
    </w:p>
    <w:p w:rsidR="00A31137" w:rsidRPr="00A31137" w:rsidRDefault="00A31137" w:rsidP="00A31137">
      <w:r w:rsidRPr="00A31137">
        <w:t>The Equal Pay and the Age Discrimination Acts must be strongly and effectively enforced by the Equal Employment Opportunity Commission.</w:t>
      </w:r>
    </w:p>
    <w:p w:rsidR="00A31137" w:rsidRPr="00A31137" w:rsidRDefault="00A31137" w:rsidP="00A31137">
      <w:r w:rsidRPr="00A31137">
        <w:t>1980 Democratic Platform, p.25</w:t>
      </w:r>
    </w:p>
    <w:p w:rsidR="00A31137" w:rsidRPr="00A31137" w:rsidRDefault="00A31137" w:rsidP="00A31137">
      <w:r w:rsidRPr="00A31137">
        <w:t>To end discrimination against language minorities, we must enforce vigorously the amendments to the Voting Rights Act of 1975 to assist Hispanic citizens. We must recognize the value of cultural diversity in education, expand bilingual facilities, and guarantee full protection of the civil and human rights of all workers.</w:t>
      </w:r>
    </w:p>
    <w:p w:rsidR="00A31137" w:rsidRPr="00A31137" w:rsidRDefault="00A31137" w:rsidP="00A31137">
      <w:r w:rsidRPr="00A31137">
        <w:t>1980 Democratic Platform, p.25</w:t>
      </w:r>
    </w:p>
    <w:p w:rsidR="00A31137" w:rsidRPr="00A31137" w:rsidRDefault="00A31137" w:rsidP="00A31137">
      <w:r w:rsidRPr="00A31137">
        <w:t>We must affirm the dignity. of all people and the right of each individual to have equal access to and participation in the institutions and services of our society.. All groups must be protected from discrimination based on race, color, religion, national origin, language, age, sex or sexual orientation. This includes specifically the right of foreign citizens to enter this country. Appropriate legislative and administrative actions to achieve these goals should be undertaken.</w:t>
      </w:r>
    </w:p>
    <w:p w:rsidR="00A31137" w:rsidRPr="00A31137" w:rsidRDefault="00A31137" w:rsidP="00A31137">
      <w:r w:rsidRPr="00A31137">
        <w:t>1980 Democratic Platform, p.25</w:t>
      </w:r>
    </w:p>
    <w:p w:rsidR="00A31137" w:rsidRPr="00A31137" w:rsidRDefault="00A31137" w:rsidP="00A31137">
      <w:r w:rsidRPr="00A31137">
        <w:t>We are concerned about the opportunity for minorities to be adequately represented on trial juries if the trend toward smaller juries continues. Efforts must be initiated to correct this possible underrepresentation.</w:t>
      </w:r>
    </w:p>
    <w:p w:rsidR="00A31137" w:rsidRPr="00A31137" w:rsidRDefault="00A31137" w:rsidP="00A31137">
      <w:r w:rsidRPr="00A31137">
        <w:t>Civil Liberties</w:t>
      </w:r>
    </w:p>
    <w:p w:rsidR="00A31137" w:rsidRPr="00A31137" w:rsidRDefault="00A31137" w:rsidP="00A31137">
      <w:r w:rsidRPr="00A31137">
        <w:t>1980 Democratic Platform, p.25</w:t>
      </w:r>
    </w:p>
    <w:p w:rsidR="00A31137" w:rsidRPr="00A31137" w:rsidRDefault="00A31137" w:rsidP="00A31137">
      <w:r w:rsidRPr="00A31137">
        <w:t>The Democratic Party has been actively committed to protecting fundamental civil liberties. Toward that end, over the past four years, the Carter Administration and the Democratic Congress have enacted legislation to control the use of wiretaps by the government in the pursuit of foreign intelligence; developed the government's first comprehensive program to protect privacy; and worked to enact a criminal code which scrupulously protects civil liberties.</w:t>
      </w:r>
    </w:p>
    <w:p w:rsidR="00A31137" w:rsidRPr="00A31137" w:rsidRDefault="00A31137" w:rsidP="00A31137">
      <w:r w:rsidRPr="00A31137">
        <w:t>1980 Democratic Platform, p.25</w:t>
      </w:r>
    </w:p>
    <w:p w:rsidR="00A31137" w:rsidRPr="00A31137" w:rsidRDefault="00A31137" w:rsidP="00A31137">
      <w:r w:rsidRPr="00A31137">
        <w:t>As we enter the 1980s, we must enact grand jury reform; revise the Uniform Code of Military Justice; enact charters for the FBI and the intelligence agencies which recognize vital civil liberty concerns while enabling those agencies to perform their important national security tasks; shape legislation to overturn the Supreme Court Stanford Daily decision; and enact a criminal code which meets the very real concerns about protecting civil liberties, and which does not interfere with existing workers' rights.</w:t>
      </w:r>
    </w:p>
    <w:p w:rsidR="00A31137" w:rsidRPr="00A31137" w:rsidRDefault="00A31137" w:rsidP="00A31137">
      <w:r w:rsidRPr="00A31137">
        <w:t>1980 Democratic Platform, p.25</w:t>
      </w:r>
    </w:p>
    <w:p w:rsidR="00A31137" w:rsidRPr="00A31137" w:rsidRDefault="00A31137" w:rsidP="00A31137">
      <w:r w:rsidRPr="00A31137">
        <w:t>We call for passage of legislation to charter the purposes, prerogatives, and restraints on the Federal Bureau of Investigation, the Central Intelligence Agency, and other intelligence agencies of government with full protection for the civil rights and liberties of American citizens living at home or abroad. Under no circumstances should American citizens be investigated because of their beliefs.</w:t>
      </w:r>
    </w:p>
    <w:p w:rsidR="00A31137" w:rsidRPr="00A31137" w:rsidRDefault="00A31137" w:rsidP="00A31137">
      <w:r w:rsidRPr="00A31137">
        <w:t>1980 Democratic Platform, p.25</w:t>
      </w:r>
    </w:p>
    <w:p w:rsidR="00A31137" w:rsidRPr="00A31137" w:rsidRDefault="00A31137" w:rsidP="00A31137">
      <w:r w:rsidRPr="00A31137">
        <w:t>We support the concept that no employee should be discharged without just cause.</w:t>
      </w:r>
    </w:p>
    <w:p w:rsidR="00A31137" w:rsidRPr="00A31137" w:rsidRDefault="00A31137" w:rsidP="00A31137">
      <w:r w:rsidRPr="00A31137">
        <w:t>Privacy</w:t>
      </w:r>
    </w:p>
    <w:p w:rsidR="00A31137" w:rsidRPr="00A31137" w:rsidRDefault="00A31137" w:rsidP="00A31137">
      <w:r w:rsidRPr="00A31137">
        <w:t>1980 Democratic Platform, p.25</w:t>
      </w:r>
    </w:p>
    <w:p w:rsidR="00A31137" w:rsidRPr="00A31137" w:rsidRDefault="00A31137" w:rsidP="00A31137">
      <w:r w:rsidRPr="00A31137">
        <w:t>Social and technological changes are threatening our citizens' privacy. To meet this challenge, the Carter Administration has developed the first comprehensive: privacy policy. Under this policy, administrative action has been taken to cut the number of federal [p.26] files on individuals and legislation has been passed to protect the privacy of telephone conversations and bank accounts.</w:t>
      </w:r>
    </w:p>
    <w:p w:rsidR="00A31137" w:rsidRPr="00A31137" w:rsidRDefault="00A31137" w:rsidP="00A31137">
      <w:r w:rsidRPr="00A31137">
        <w:t>1980 Democratic Platform, p.26</w:t>
      </w:r>
    </w:p>
    <w:p w:rsidR="00A31137" w:rsidRPr="00A31137" w:rsidRDefault="00A31137" w:rsidP="00A31137">
      <w:r w:rsidRPr="00A31137">
        <w:t>In the 1980s we must complete this privacy agenda. Broad legislation must be enacted to protect financial, insurance, medical, and research records. We must have these safeguards to preserve a healthy balance between efficiency and privacy.</w:t>
      </w:r>
    </w:p>
    <w:p w:rsidR="00A31137" w:rsidRPr="00A31137" w:rsidRDefault="00A31137" w:rsidP="00A31137">
      <w:r w:rsidRPr="00A31137">
        <w:t>1980 Democratic Platform, p.26</w:t>
      </w:r>
    </w:p>
    <w:p w:rsidR="00A31137" w:rsidRPr="00A31137" w:rsidRDefault="00A31137" w:rsidP="00A31137">
      <w:r w:rsidRPr="00A31137">
        <w:t>The Democratic Party recognizes reproductive freedom as a fundamental human right. We therefore oppose government interference in the reproductive decisions of Americans, especially those government programs or legislative restrictions that deny poor Americans their fight to privacy by funding or advocating one or a limited number of reproductive choices only.</w:t>
      </w:r>
    </w:p>
    <w:p w:rsidR="00A31137" w:rsidRPr="00A31137" w:rsidRDefault="00A31137" w:rsidP="00A31137">
      <w:r w:rsidRPr="00A31137">
        <w:t>1980 Democratic Platform, p.26</w:t>
      </w:r>
    </w:p>
    <w:p w:rsidR="00A31137" w:rsidRPr="00A31137" w:rsidRDefault="00A31137" w:rsidP="00A31137">
      <w:r w:rsidRPr="00A31137">
        <w:t>Specifically, the Democratic Party opposes involuntary or uninformed sterilization for women and men, and opposes restrictions on funding for health services for the poor that deny poor women especially the right to exercise a constitutionally-guaranteed right to privacy.</w:t>
      </w:r>
    </w:p>
    <w:p w:rsidR="00A31137" w:rsidRPr="00A31137" w:rsidRDefault="00A31137" w:rsidP="00A31137">
      <w:r w:rsidRPr="00A31137">
        <w:t>1980 Democratic Platform, p.26</w:t>
      </w:r>
    </w:p>
    <w:p w:rsidR="00A31137" w:rsidRPr="00A31137" w:rsidRDefault="00A31137" w:rsidP="00A31137">
      <w:r w:rsidRPr="00A31137">
        <w:t>Federal legislation is also necessary to protect workers from the abuse of their rights and invasion of their privacy resulting from increased employer use of polygraphs and other so-called "truth test" devices. Workers should have the right to review all records retained by their employers relating to medical and employment information.</w:t>
      </w:r>
    </w:p>
    <w:p w:rsidR="00A31137" w:rsidRPr="00A31137" w:rsidRDefault="00A31137" w:rsidP="00A31137">
      <w:r w:rsidRPr="00A31137">
        <w:t>Appointments</w:t>
      </w:r>
    </w:p>
    <w:p w:rsidR="00A31137" w:rsidRPr="00A31137" w:rsidRDefault="00A31137" w:rsidP="00A31137">
      <w:r w:rsidRPr="00A31137">
        <w:t>1980 Democratic Platform, p.26</w:t>
      </w:r>
    </w:p>
    <w:p w:rsidR="00A31137" w:rsidRPr="00A31137" w:rsidRDefault="00A31137" w:rsidP="00A31137">
      <w:r w:rsidRPr="00A31137">
        <w:t>One of President Carter's highest priorities has been to increase significantly the number of women, Blacks, Hispanics and other minorities in the federal government. That has been done.</w:t>
      </w:r>
    </w:p>
    <w:p w:rsidR="00A31137" w:rsidRPr="00A31137" w:rsidRDefault="00A31137" w:rsidP="00A31137">
      <w:r w:rsidRPr="00A31137">
        <w:t>1980 Democratic Platform, p.26</w:t>
      </w:r>
    </w:p>
    <w:p w:rsidR="00A31137" w:rsidRPr="00A31137" w:rsidRDefault="00A31137" w:rsidP="00A31137">
      <w:r w:rsidRPr="00A31137">
        <w:t>More women, Blacks and Hispanics have been appointed to senior government positions than during any other Administration in history.</w:t>
      </w:r>
    </w:p>
    <w:p w:rsidR="00A31137" w:rsidRPr="00A31137" w:rsidRDefault="00A31137" w:rsidP="00A31137">
      <w:r w:rsidRPr="00A31137">
        <w:t>1980 Democratic Platform, p.26</w:t>
      </w:r>
    </w:p>
    <w:p w:rsidR="00A31137" w:rsidRPr="00A31137" w:rsidRDefault="00A31137" w:rsidP="00A31137">
      <w:r w:rsidRPr="00A31137">
        <w:t>Of the six women who have served in Cabinet positions, three have been Carter appointees.</w:t>
      </w:r>
    </w:p>
    <w:p w:rsidR="00A31137" w:rsidRPr="00A31137" w:rsidRDefault="00A31137" w:rsidP="00A31137">
      <w:r w:rsidRPr="00A31137">
        <w:t>1980 Democratic Platform, p.26</w:t>
      </w:r>
    </w:p>
    <w:p w:rsidR="00A31137" w:rsidRPr="00A31137" w:rsidRDefault="00A31137" w:rsidP="00A31137">
      <w:r w:rsidRPr="00A31137">
        <w:t>More women, Blacks and Hispanics have been appointed to federal judgeships during the Carter Administration than during all previous Administrations in history.</w:t>
      </w:r>
    </w:p>
    <w:p w:rsidR="00A31137" w:rsidRPr="00A31137" w:rsidRDefault="00A31137" w:rsidP="00A31137">
      <w:r w:rsidRPr="00A31137">
        <w:t>1980 Democratic Platform, p.26</w:t>
      </w:r>
    </w:p>
    <w:p w:rsidR="00A31137" w:rsidRPr="00A31137" w:rsidRDefault="00A31137" w:rsidP="00A31137">
      <w:r w:rsidRPr="00A31137">
        <w:t>Of the 39 women federal judges, 35 have been Carter appointees; of the 38 Black federal judges, 19 have been Carter appointees; of the 14 Hispanic judges, 5 have been Carter appointees.</w:t>
      </w:r>
    </w:p>
    <w:p w:rsidR="00A31137" w:rsidRPr="00A31137" w:rsidRDefault="00A31137" w:rsidP="00A31137">
      <w:r w:rsidRPr="00A31137">
        <w:t>1980 Democratic Platform, p.26</w:t>
      </w:r>
    </w:p>
    <w:p w:rsidR="00A31137" w:rsidRPr="00A31137" w:rsidRDefault="00A31137" w:rsidP="00A31137">
      <w:r w:rsidRPr="00A31137">
        <w:t>This record must be continued. The Democratic Party is committed to continue and strengthen the policy of appointing more women and minorities to federal positions at all levels including the Supreme Court.</w:t>
      </w:r>
    </w:p>
    <w:p w:rsidR="00A31137" w:rsidRPr="00A31137" w:rsidRDefault="00A31137" w:rsidP="00A31137">
      <w:r w:rsidRPr="00A31137">
        <w:t>Handicapped</w:t>
      </w:r>
    </w:p>
    <w:p w:rsidR="00A31137" w:rsidRPr="00A31137" w:rsidRDefault="00A31137" w:rsidP="00A31137">
      <w:r w:rsidRPr="00A31137">
        <w:t>1980 Democratic Platform, p.26</w:t>
      </w:r>
    </w:p>
    <w:p w:rsidR="00A31137" w:rsidRPr="00A31137" w:rsidRDefault="00A31137" w:rsidP="00A31137">
      <w:r w:rsidRPr="00A31137">
        <w:t>Great strides have been made toward ending discrimination against the handicapped, through increased employment and education opportunities and greater access to public facilities and services.</w:t>
      </w:r>
    </w:p>
    <w:p w:rsidR="00A31137" w:rsidRPr="00A31137" w:rsidRDefault="00A31137" w:rsidP="00A31137">
      <w:r w:rsidRPr="00A31137">
        <w:t>1980 Democratic Platform, p.26</w:t>
      </w:r>
    </w:p>
    <w:p w:rsidR="00A31137" w:rsidRPr="00A31137" w:rsidRDefault="00A31137" w:rsidP="00A31137">
      <w:r w:rsidRPr="00A31137">
        <w:t>In the 1980s, we must continue to work towards the goals of eliminating discrimination and opening opportunities.</w:t>
      </w:r>
    </w:p>
    <w:p w:rsidR="00A31137" w:rsidRPr="00A31137" w:rsidRDefault="00A31137" w:rsidP="00A31137">
      <w:r w:rsidRPr="00A31137">
        <w:t>1980 Democratic Platform, p.26</w:t>
      </w:r>
    </w:p>
    <w:p w:rsidR="00A31137" w:rsidRPr="00A31137" w:rsidRDefault="00A31137" w:rsidP="00A31137">
      <w:r w:rsidRPr="00A31137">
        <w:t>All federal agencies must complete their Section 504 regulations and implement them effectively.</w:t>
      </w:r>
    </w:p>
    <w:p w:rsidR="00A31137" w:rsidRPr="00A31137" w:rsidRDefault="00A31137" w:rsidP="00A31137">
      <w:r w:rsidRPr="00A31137">
        <w:t>1980 Democratic Platform, p.26</w:t>
      </w:r>
    </w:p>
    <w:p w:rsidR="00A31137" w:rsidRPr="00A31137" w:rsidRDefault="00A31137" w:rsidP="00A31137">
      <w:r w:rsidRPr="00A31137">
        <w:t>We must continue to expand opportunities for independent living.</w:t>
      </w:r>
    </w:p>
    <w:p w:rsidR="00A31137" w:rsidRPr="00A31137" w:rsidRDefault="00A31137" w:rsidP="00A31137">
      <w:r w:rsidRPr="00A31137">
        <w:t>1980 Democratic Platform, p.26</w:t>
      </w:r>
    </w:p>
    <w:p w:rsidR="00A31137" w:rsidRPr="00A31137" w:rsidRDefault="00A31137" w:rsidP="00A31137">
      <w:r w:rsidRPr="00A31137">
        <w:t>The Fair Housing Act and Title VI of the Civil Rights Act must be amended to include the handicapped.</w:t>
      </w:r>
    </w:p>
    <w:p w:rsidR="00A31137" w:rsidRPr="00A31137" w:rsidRDefault="00A31137" w:rsidP="00A31137">
      <w:r w:rsidRPr="00A31137">
        <w:t>1980 Democratic Platform, p.26</w:t>
      </w:r>
    </w:p>
    <w:p w:rsidR="00A31137" w:rsidRPr="00A31137" w:rsidRDefault="00A31137" w:rsidP="00A31137">
      <w:r w:rsidRPr="00A31137">
        <w:t>We must face the task of making federal facilities and modes of transportation fully accessible.</w:t>
      </w:r>
    </w:p>
    <w:p w:rsidR="00A31137" w:rsidRPr="00A31137" w:rsidRDefault="00A31137" w:rsidP="00A31137">
      <w:r w:rsidRPr="00A31137">
        <w:t>1980 Democratic Platform, p.26</w:t>
      </w:r>
    </w:p>
    <w:p w:rsidR="00A31137" w:rsidRPr="00A31137" w:rsidRDefault="00A31137" w:rsidP="00A31137">
      <w:r w:rsidRPr="00A31137">
        <w:t>Job opportunities and job training for the handicapped, including apprenticeship training programs, must be expanded.</w:t>
      </w:r>
    </w:p>
    <w:p w:rsidR="00A31137" w:rsidRPr="00A31137" w:rsidRDefault="00A31137" w:rsidP="00A31137">
      <w:r w:rsidRPr="00A31137">
        <w:t>1980 Democratic Platform, p.26</w:t>
      </w:r>
    </w:p>
    <w:p w:rsidR="00A31137" w:rsidRPr="00A31137" w:rsidRDefault="00A31137" w:rsidP="00A31137">
      <w:r w:rsidRPr="00A31137">
        <w:t>We must make the most basic American civil right—the right to vote—fully available to the handicapped.</w:t>
      </w:r>
    </w:p>
    <w:p w:rsidR="00A31137" w:rsidRPr="00A31137" w:rsidRDefault="00A31137" w:rsidP="00A31137">
      <w:r w:rsidRPr="00A31137">
        <w:t>Dr. Martin Luther King Jr.</w:t>
      </w:r>
    </w:p>
    <w:p w:rsidR="00A31137" w:rsidRPr="00A31137" w:rsidRDefault="00A31137" w:rsidP="00A31137">
      <w:r w:rsidRPr="00A31137">
        <w:t>1980 Democratic Platform, p.26</w:t>
      </w:r>
    </w:p>
    <w:p w:rsidR="00A31137" w:rsidRPr="00A31137" w:rsidRDefault="00A31137" w:rsidP="00A31137">
      <w:r w:rsidRPr="00A31137">
        <w:t>Dr. Martin Luther King Jr. led this nation's effort to provide all of its citizens with civil rights and equal opportunities. His commitment to human rights, peace and non-violence stands as a monument to humanity and courage. To honor this outstanding national leader, we must enact legislation that will commemorate his birthday as a national holiday.</w:t>
      </w:r>
    </w:p>
    <w:p w:rsidR="00A31137" w:rsidRPr="00A31137" w:rsidRDefault="00A31137" w:rsidP="00A31137">
      <w:r w:rsidRPr="00A31137">
        <w:t>Domestic Violence</w:t>
      </w:r>
    </w:p>
    <w:p w:rsidR="00A31137" w:rsidRPr="00A31137" w:rsidRDefault="00A31137" w:rsidP="00A31137">
      <w:r w:rsidRPr="00A31137">
        <w:t>1980 Democratic Platform, p.26</w:t>
      </w:r>
    </w:p>
    <w:p w:rsidR="00A31137" w:rsidRPr="00A31137" w:rsidRDefault="00A31137" w:rsidP="00A31137">
      <w:r w:rsidRPr="00A31137">
        <w:t>Each year, 3 to 6 million Americans are injured in acts of domestic violence. To combat this violence the Carter Administration has initiated a government-wide effort to assist and educate victims and rehabilitate victimizers, including:</w:t>
      </w:r>
    </w:p>
    <w:p w:rsidR="00A31137" w:rsidRPr="00A31137" w:rsidRDefault="00A31137" w:rsidP="00A31137">
      <w:r w:rsidRPr="00A31137">
        <w:t>1980 Democratic Platform, p.26</w:t>
      </w:r>
    </w:p>
    <w:p w:rsidR="00A31137" w:rsidRPr="00A31137" w:rsidRDefault="00A31137" w:rsidP="00A31137">
      <w:r w:rsidRPr="00A31137">
        <w:t>–The formation of a new Office of Domestic Violence in the Department of Health and Human Services; and</w:t>
      </w:r>
    </w:p>
    <w:p w:rsidR="00A31137" w:rsidRPr="00A31137" w:rsidRDefault="00A31137" w:rsidP="00A31137">
      <w:r w:rsidRPr="00A31137">
        <w:t>1980 Democratic Platform, p.26</w:t>
      </w:r>
    </w:p>
    <w:p w:rsidR="00A31137" w:rsidRPr="00A31137" w:rsidRDefault="00A31137" w:rsidP="00A31137">
      <w:r w:rsidRPr="00A31137">
        <w:t>–Amendments to the Child Abuse Prevention and Treatment Act which provides funds to state and community groups.</w:t>
      </w:r>
    </w:p>
    <w:p w:rsidR="00A31137" w:rsidRPr="00A31137" w:rsidRDefault="00A31137" w:rsidP="00A31137">
      <w:r w:rsidRPr="00A31137">
        <w:t>1980 Democratic Platform, p.26</w:t>
      </w:r>
    </w:p>
    <w:p w:rsidR="00A31137" w:rsidRPr="00A31137" w:rsidRDefault="00A31137" w:rsidP="00A31137">
      <w:r w:rsidRPr="00A31137">
        <w:t>The President has signed the Protection of Children Against Sexual Exploitation Act; HUD has developed demonstration projects for shelters for battered women: the Community Services Administration has established a pilot Family Crisis Center Program to [p.27] assist low-income battered women and children; and the U.S. Commission on Civil Rights held a Consultation on Battered Women in 1978.</w:t>
      </w:r>
    </w:p>
    <w:p w:rsidR="00A31137" w:rsidRPr="00A31137" w:rsidRDefault="00A31137" w:rsidP="00A31137">
      <w:r w:rsidRPr="00A31137">
        <w:t>1980 Democratic Platform, p.27</w:t>
      </w:r>
    </w:p>
    <w:p w:rsidR="00A31137" w:rsidRPr="00A31137" w:rsidRDefault="00A31137" w:rsidP="00A31137">
      <w:r w:rsidRPr="00A31137">
        <w:t>Existing federal programs have been coordinated through the Interdepartmental Committee on Domestic Violence, chaired by the Secretary, of Health and Human Services. The Democratic Administration must continue to support the passage of the legislation before the Congress, HR 2977, which would provide direct, immediate assistance to victims effectively and sensitively.</w:t>
      </w:r>
    </w:p>
    <w:p w:rsidR="00A31137" w:rsidRPr="00A31137" w:rsidRDefault="00A31137" w:rsidP="00A31137">
      <w:r w:rsidRPr="00A31137">
        <w:t>Insular Areas</w:t>
      </w:r>
    </w:p>
    <w:p w:rsidR="00A31137" w:rsidRPr="00A31137" w:rsidRDefault="00A31137" w:rsidP="00A31137">
      <w:r w:rsidRPr="00A31137">
        <w:t>1980 Democratic Platform, p.27</w:t>
      </w:r>
    </w:p>
    <w:p w:rsidR="00A31137" w:rsidRPr="00A31137" w:rsidRDefault="00A31137" w:rsidP="00A31137">
      <w:r w:rsidRPr="00A31137">
        <w:t>We must be firmly committed to self-determination for the Virgin Islands, Guam, American Samoa and the Northern Mariana Islands, and vigorously support the realization of whatever political status aspirations are democratically chosen by their peoples. The unique cultures, fragile economies, and locations of our Caribbean and Pacific Islands are distinct assets to the United States which require the sensitive application of policy. We are committed to pursuing initiatives we have begun to stimulate insular economic development, enhance treatment under federal programs, provide vitally needed special assistance and coordinate and rationalize policies. These measures will result in greater self-sufficiency and balanced growth.</w:t>
      </w:r>
    </w:p>
    <w:p w:rsidR="00A31137" w:rsidRPr="00A31137" w:rsidRDefault="00A31137" w:rsidP="00A31137">
      <w:r w:rsidRPr="00A31137">
        <w:t>Puerto Rico</w:t>
      </w:r>
    </w:p>
    <w:p w:rsidR="00A31137" w:rsidRPr="00A31137" w:rsidRDefault="00A31137" w:rsidP="00A31137">
      <w:r w:rsidRPr="00A31137">
        <w:t>1980 Democratic Platform, p.27</w:t>
      </w:r>
    </w:p>
    <w:p w:rsidR="00A31137" w:rsidRPr="00A31137" w:rsidRDefault="00A31137" w:rsidP="00A31137">
      <w:r w:rsidRPr="00A31137">
        <w:t>We are committed to Puerto Rico's right to enjoy full self-determination and a relationship that can evolve in ways that will most benefit U.S. citizens in Puerto Rico. The Democratic Party respects and supports the desire of the people of Puerto Rico to associate, by their own will freely expressed in a peaceful and democratic process, in permanent union with the United States either as a commonwealth or as a state, or to become an independent nation. We are also committed to respect the cultural heritage of the people of Puerto Rico and to the elimination of discriminatory or unfair treatment of Puerto Ricans, as American citizens under federal programs.</w:t>
      </w:r>
    </w:p>
    <w:p w:rsidR="00A31137" w:rsidRPr="00A31137" w:rsidRDefault="00A31137" w:rsidP="00A31137">
      <w:r w:rsidRPr="00A31137">
        <w:t>American Indians</w:t>
      </w:r>
    </w:p>
    <w:p w:rsidR="00A31137" w:rsidRPr="00A31137" w:rsidRDefault="00A31137" w:rsidP="00A31137">
      <w:r w:rsidRPr="00A31137">
        <w:t>1980 Democratic Platform, p.27</w:t>
      </w:r>
    </w:p>
    <w:p w:rsidR="00A31137" w:rsidRPr="00A31137" w:rsidRDefault="00A31137" w:rsidP="00A31137">
      <w:r w:rsidRPr="00A31137">
        <w:t>The Carter Administration has upheld and defended the historic special relationship between the federal government and Indian tribes. In addition, it has strongly supported the policy of self-determination and the right to practice the ancestral religions that are important to many tribal members. More than $24 million over the next ten years has been committed to assist Indian tribes with energy resources in making decisions about the development and protection of these resources. The Administration has firmly reiterated its fundamental opposition to the policy of termination which was so detrimental to Indians and their relationship with the federal government.</w:t>
      </w:r>
    </w:p>
    <w:p w:rsidR="00A31137" w:rsidRPr="00A31137" w:rsidRDefault="00A31137" w:rsidP="00A31137">
      <w:r w:rsidRPr="00A31137">
        <w:t>1980 Democratic Platform, p.27</w:t>
      </w:r>
    </w:p>
    <w:p w:rsidR="00A31137" w:rsidRPr="00A31137" w:rsidRDefault="00A31137" w:rsidP="00A31137">
      <w:r w:rsidRPr="00A31137">
        <w:t>These policies must continue as the federal government finds better means of dealing effectively and compassionately with Indian tribes and individuals. The federal government must honor its treaty commitments. The federal government must redouble its efforts to improve the housing, health care, education and general welfare of Indians. Finally, the federal government must work as an equal partner with tribes as they decide for themselves the best means of managing their substantial energy resources.</w:t>
      </w:r>
    </w:p>
    <w:p w:rsidR="00A31137" w:rsidRPr="00A31137" w:rsidRDefault="00A31137" w:rsidP="00A31137">
      <w:r w:rsidRPr="00A31137">
        <w:t>Ethnic America</w:t>
      </w:r>
    </w:p>
    <w:p w:rsidR="00A31137" w:rsidRPr="00A31137" w:rsidRDefault="00A31137" w:rsidP="00A31137">
      <w:r w:rsidRPr="00A31137">
        <w:t>1980 Democratic Platform, p.27</w:t>
      </w:r>
    </w:p>
    <w:p w:rsidR="00A31137" w:rsidRPr="00A31137" w:rsidRDefault="00A31137" w:rsidP="00A31137">
      <w:r w:rsidRPr="00A31137">
        <w:t>President Carter has stated that the composition of American society is analogous to a beautiful mosaic. Each separate part retains its own integrity and identity while adding to and being part of the whole.</w:t>
      </w:r>
    </w:p>
    <w:p w:rsidR="00A31137" w:rsidRPr="00A31137" w:rsidRDefault="00A31137" w:rsidP="00A31137">
      <w:r w:rsidRPr="00A31137">
        <w:t>1980 Democratic Platform, p.27</w:t>
      </w:r>
    </w:p>
    <w:p w:rsidR="00A31137" w:rsidRPr="00A31137" w:rsidRDefault="00A31137" w:rsidP="00A31137">
      <w:r w:rsidRPr="00A31137">
        <w:t>America is a pluralistic society. Each of us must learn to live, communicate, and cooperate with persons of other cultures. Our public policies and programs must reflect this pluralism. Immigrants from every nation and their descendants have made numerous contributions to this country, economically, politically and socially. They have traditionally been the backbone of the labor movement and an integral part of the Democratic Party.</w:t>
      </w:r>
    </w:p>
    <w:p w:rsidR="00A31137" w:rsidRPr="00A31137" w:rsidRDefault="00A31137" w:rsidP="00A31137">
      <w:r w:rsidRPr="00A31137">
        <w:t>1980 Democratic Platform, p.27</w:t>
      </w:r>
    </w:p>
    <w:p w:rsidR="00A31137" w:rsidRPr="00A31137" w:rsidRDefault="00A31137" w:rsidP="00A31137">
      <w:r w:rsidRPr="00A31137">
        <w:t>Ethnic Americans share the concerns of all Americans. They too are concerned about decent housing, health care, equal employment opportunities, care of the elderly, and education. In addition, ethnic Americans have some concerns of their own. They want to preserve the culture and language of their former homeland. They want to be integrated into the political, social and economic mainstream of American society, but at the same time they are concerned about the foreign policy issues that affect their native countries. We as a nation must be sensitive to their concerns.</w:t>
      </w:r>
    </w:p>
    <w:p w:rsidR="00A31137" w:rsidRPr="00A31137" w:rsidRDefault="00A31137" w:rsidP="00A31137">
      <w:r w:rsidRPr="00A31137">
        <w:t>1980 Democratic Platform, p.27</w:t>
      </w:r>
    </w:p>
    <w:p w:rsidR="00A31137" w:rsidRPr="00A31137" w:rsidRDefault="00A31137" w:rsidP="00A31137">
      <w:r w:rsidRPr="00A31137">
        <w:t xml:space="preserve">President Carter established the Office of Ethnic Affairs and charged it with a broad and diverse mission. The predominant functions of the office are to link the Administration and its ethnic constituents, to foster the concept of pluralism, and to enable all Americans to partake equally in the American way of life.[p.28] </w:t>
      </w:r>
    </w:p>
    <w:p w:rsidR="00A31137" w:rsidRPr="00A31137" w:rsidRDefault="00A31137" w:rsidP="00A31137">
      <w:r w:rsidRPr="00A31137">
        <w:t>Americans Living Abroad</w:t>
      </w:r>
    </w:p>
    <w:p w:rsidR="00A31137" w:rsidRPr="00A31137" w:rsidRDefault="00A31137" w:rsidP="00A31137">
      <w:r w:rsidRPr="00A31137">
        <w:t>1980 Democratic Platform, p.28</w:t>
      </w:r>
    </w:p>
    <w:p w:rsidR="00A31137" w:rsidRPr="00A31137" w:rsidRDefault="00A31137" w:rsidP="00A31137">
      <w:r w:rsidRPr="00A31137">
        <w:t>Almost 3 million American citizens live overseas, both as government employees and private citizens. We know only too well the dangers and sacrifices some of these government officials face in serving their country. With the threat of terrorism and political unrest always present, we are committed to improving the security of our embassies and missions abroad. Our government must work with other governments to ensure that Americans are protected while performing their vital duties in the interest of the United States.</w:t>
      </w:r>
    </w:p>
    <w:p w:rsidR="00A31137" w:rsidRPr="00A31137" w:rsidRDefault="00A31137" w:rsidP="00A31137">
      <w:r w:rsidRPr="00A31137">
        <w:t>1980 Democratic Platform, p.28</w:t>
      </w:r>
    </w:p>
    <w:p w:rsidR="00A31137" w:rsidRPr="00A31137" w:rsidRDefault="00A31137" w:rsidP="00A31137">
      <w:r w:rsidRPr="00A31137">
        <w:t>We also recognize the contributions of private citizens living overseas in bringing American ideals and culture to other lands and in helping the U.S. economy by promoting exports and increased trade with other countries.</w:t>
      </w:r>
    </w:p>
    <w:p w:rsidR="00A31137" w:rsidRPr="00A31137" w:rsidRDefault="00A31137" w:rsidP="00A31137">
      <w:r w:rsidRPr="00A31137">
        <w:t>1980 Democratic Platform, p.28</w:t>
      </w:r>
    </w:p>
    <w:p w:rsidR="00A31137" w:rsidRPr="00A31137" w:rsidRDefault="00A31137" w:rsidP="00A31137">
      <w:r w:rsidRPr="00A31137">
        <w:t>The President's Export Council has recommended that in order to encourage American exports and redress trade imbalances, the United States should conform with the practices of other major trading nations. Existing disincentives should be removed, so that Americans working abroad can compete more equitably and effectively with citizens from other nations.</w:t>
      </w:r>
    </w:p>
    <w:p w:rsidR="00A31137" w:rsidRPr="00A31137" w:rsidRDefault="00A31137" w:rsidP="00A31137">
      <w:r w:rsidRPr="00A31137">
        <w:t>1980 Democratic Platform, p.28</w:t>
      </w:r>
    </w:p>
    <w:p w:rsidR="00A31137" w:rsidRPr="00A31137" w:rsidRDefault="00A31137" w:rsidP="00A31137">
      <w:r w:rsidRPr="00A31137">
        <w:t>The Administration must continue to support changes in the law which make it simpler for American parents to ensure that their children born overseas are not denied U.S. citizenship.</w:t>
      </w:r>
    </w:p>
    <w:p w:rsidR="00A31137" w:rsidRPr="00A31137" w:rsidRDefault="00A31137" w:rsidP="00A31137">
      <w:r w:rsidRPr="00A31137">
        <w:t>1980 Democratic Platform, p.28</w:t>
      </w:r>
    </w:p>
    <w:p w:rsidR="00A31137" w:rsidRPr="00A31137" w:rsidRDefault="00A31137" w:rsidP="00A31137">
      <w:r w:rsidRPr="00A31137">
        <w:t>We also believe that Medicare should be made available to Americans abroad who are eligible for Social Security.</w:t>
      </w:r>
    </w:p>
    <w:p w:rsidR="00A31137" w:rsidRPr="00A31137" w:rsidRDefault="00A31137" w:rsidP="00A31137">
      <w:r w:rsidRPr="00A31137">
        <w:t>Chapter III: Government Operation and Reform</w:t>
      </w:r>
    </w:p>
    <w:p w:rsidR="00A31137" w:rsidRPr="00A31137" w:rsidRDefault="00A31137" w:rsidP="00A31137">
      <w:r w:rsidRPr="00A31137">
        <w:t>Making Government Effective and Efficient</w:t>
      </w:r>
    </w:p>
    <w:p w:rsidR="00A31137" w:rsidRPr="00A31137" w:rsidRDefault="00A31137" w:rsidP="00A31137">
      <w:r w:rsidRPr="00A31137">
        <w:t>1980 Democratic Platform, p.28</w:t>
      </w:r>
    </w:p>
    <w:p w:rsidR="00A31137" w:rsidRPr="00A31137" w:rsidRDefault="00A31137" w:rsidP="00A31137">
      <w:r w:rsidRPr="00A31137">
        <w:t>The Democratic Party has long stood for an active, responsive, vigorous government. Democrats of our generation have a special obligation to ensure that government is also efficient and well managed.</w:t>
      </w:r>
    </w:p>
    <w:p w:rsidR="00A31137" w:rsidRPr="00A31137" w:rsidRDefault="00A31137" w:rsidP="00A31137">
      <w:r w:rsidRPr="00A31137">
        <w:t>1980 Democratic Platform, p.28</w:t>
      </w:r>
    </w:p>
    <w:p w:rsidR="00A31137" w:rsidRPr="00A31137" w:rsidRDefault="00A31137" w:rsidP="00A31137">
      <w:r w:rsidRPr="00A31137">
        <w:t>We understand full well the importance of this obligation. We realize that even the most brilliantly conceived federal programs are doomed to failure if they are not intelligently and efficiently managed.</w:t>
      </w:r>
    </w:p>
    <w:p w:rsidR="00A31137" w:rsidRPr="00A31137" w:rsidRDefault="00A31137" w:rsidP="00A31137">
      <w:r w:rsidRPr="00A31137">
        <w:t>1980 Democratic Platform, p.28</w:t>
      </w:r>
    </w:p>
    <w:p w:rsidR="00A31137" w:rsidRPr="00A31137" w:rsidRDefault="00A31137" w:rsidP="00A31137">
      <w:r w:rsidRPr="00A31137">
        <w:t>The kind of government we Democrats stand for is a government that cares and knows how to translate that caring into effective action; a government whose heart and head are working in concert.</w:t>
      </w:r>
    </w:p>
    <w:p w:rsidR="00A31137" w:rsidRPr="00A31137" w:rsidRDefault="00A31137" w:rsidP="00A31137">
      <w:r w:rsidRPr="00A31137">
        <w:t>1980 Democratic Platform, p.28</w:t>
      </w:r>
    </w:p>
    <w:p w:rsidR="00A31137" w:rsidRPr="00A31137" w:rsidRDefault="00A31137" w:rsidP="00A31137">
      <w:r w:rsidRPr="00A31137">
        <w:t>Over the last rotor years the Democratic Administration and the Democratic Congress have built a dramatic government reform record. In the years ahead we must carefully implement the changes we have made, and we must pursue additional measures to provide the efficient government the people have a right to expect.</w:t>
      </w:r>
    </w:p>
    <w:p w:rsidR="00A31137" w:rsidRPr="00A31137" w:rsidRDefault="00A31137" w:rsidP="00A31137">
      <w:r w:rsidRPr="00A31137">
        <w:t>Regulatory Reform</w:t>
      </w:r>
    </w:p>
    <w:p w:rsidR="00A31137" w:rsidRPr="00A31137" w:rsidRDefault="00A31137" w:rsidP="00A31137">
      <w:r w:rsidRPr="00A31137">
        <w:t>1980 Democratic Platform, p.28</w:t>
      </w:r>
    </w:p>
    <w:p w:rsidR="00A31137" w:rsidRPr="00A31137" w:rsidRDefault="00A31137" w:rsidP="00A31137">
      <w:r w:rsidRPr="00A31137">
        <w:t>Federal regulations are needed to protect consumers and providers in the areas of health, safety, and the environment. Four years ago, however, the overall regulatory machine desperately needed an overhaul. Some rules served only to protect favored industries against competition, at the public's expense. Others imposed conflicting or needlessly costly requirements.</w:t>
      </w:r>
    </w:p>
    <w:p w:rsidR="00A31137" w:rsidRPr="00A31137" w:rsidRDefault="00A31137" w:rsidP="00A31137">
      <w:r w:rsidRPr="00A31137">
        <w:t>1980 Democratic Platform, p.28</w:t>
      </w:r>
    </w:p>
    <w:p w:rsidR="00A31137" w:rsidRPr="00A31137" w:rsidRDefault="00A31137" w:rsidP="00A31137">
      <w:r w:rsidRPr="00A31137">
        <w:t>For decades, the economy has been hamstrung by anticompetitive regulations. A Democratic Administration and a Democratic Congress are completing the most sweeping deregulation in history. Actions already taken and bills currently pending are revamping the rules governing airlines, banking, trucking, railroads, and telecommunications. Airline deregulation in its first year of operation alone has saved passengers over 2.5 billion dollars.</w:t>
      </w:r>
    </w:p>
    <w:p w:rsidR="00A31137" w:rsidRPr="00A31137" w:rsidRDefault="00A31137" w:rsidP="00A31137">
      <w:r w:rsidRPr="00A31137">
        <w:t>1980 Democratic Platform, p.28</w:t>
      </w:r>
    </w:p>
    <w:p w:rsidR="00A31137" w:rsidRPr="00A31137" w:rsidRDefault="00A31137" w:rsidP="00A31137">
      <w:r w:rsidRPr="00A31137">
        <w:t>For the regulatory programs our country does need, the Administration has established a new management system. Under Executive Order 12044, agencies are reviewing and eliminating outdated rules and analyzing the full impact of new rules before they are issued. They are developing alternative regulatory approaches which can reduce compliance costs without sacrificing goals. They are increasing public participation in the regulatory process. The Regulatory Council is publishing the first government-wide list of upcoming rules, the Regulatory Calendar, and is using it to eliminate conflict and duplication.</w:t>
      </w:r>
    </w:p>
    <w:p w:rsidR="00A31137" w:rsidRPr="00A31137" w:rsidRDefault="00A31137" w:rsidP="00A31137">
      <w:r w:rsidRPr="00A31137">
        <w:t>1980 Democratic Platform, p.28</w:t>
      </w:r>
    </w:p>
    <w:p w:rsidR="00A31137" w:rsidRPr="00A31137" w:rsidRDefault="00A31137" w:rsidP="00A31137">
      <w:r w:rsidRPr="00A31137">
        <w:t>The challenges of the eighties will place great demands on our regulatory system. The reforms we have put in place are building machinery that can meet those challenges. However, much work lies ahead to implement the steps we have taken and go further.</w:t>
      </w:r>
    </w:p>
    <w:p w:rsidR="00A31137" w:rsidRPr="00A31137" w:rsidRDefault="00A31137" w:rsidP="00A31137">
      <w:r w:rsidRPr="00A31137">
        <w:t>1980 Democratic Platform, p.28</w:t>
      </w:r>
    </w:p>
    <w:p w:rsidR="00A31137" w:rsidRPr="00A31137" w:rsidRDefault="00A31137" w:rsidP="00A31137">
      <w:r w:rsidRPr="00A31137">
        <w:t>We must continue to conduct an agency-by-agency review to make regulation less intrusive and more effective.</w:t>
      </w:r>
    </w:p>
    <w:p w:rsidR="00A31137" w:rsidRPr="00A31137" w:rsidRDefault="00A31137" w:rsidP="00A31137">
      <w:r w:rsidRPr="00A31137">
        <w:t>1980 Democratic Platform, p.28</w:t>
      </w:r>
    </w:p>
    <w:p w:rsidR="00A31137" w:rsidRPr="00A31137" w:rsidRDefault="00A31137" w:rsidP="00A31137">
      <w:r w:rsidRPr="00A31137">
        <w:t>We must find and remove barriers that prevent steady progress toward competition in each industry.</w:t>
      </w:r>
    </w:p>
    <w:p w:rsidR="00A31137" w:rsidRPr="00A31137" w:rsidRDefault="00A31137" w:rsidP="00A31137">
      <w:r w:rsidRPr="00A31137">
        <w:t>1980 Democratic Platform, p.28</w:t>
      </w:r>
    </w:p>
    <w:p w:rsidR="00A31137" w:rsidRPr="00A31137" w:rsidRDefault="00A31137" w:rsidP="00A31137">
      <w:r w:rsidRPr="00A31137">
        <w:t>On the management side, we must increase the use of cost-effective regulatory techniques, without adversely affecting worker health or safety.</w:t>
      </w:r>
    </w:p>
    <w:p w:rsidR="00A31137" w:rsidRPr="00A31137" w:rsidRDefault="00A31137" w:rsidP="00A31137">
      <w:r w:rsidRPr="00A31137">
        <w:t>1980 Democratic Platform, p.28</w:t>
      </w:r>
    </w:p>
    <w:p w:rsidR="00A31137" w:rsidRPr="00A31137" w:rsidRDefault="00A31137" w:rsidP="00A31137">
      <w:r w:rsidRPr="00A31137">
        <w:t>We must strengthen our research programs to ensure that we set sensible priorities for regulatory action.</w:t>
      </w:r>
    </w:p>
    <w:p w:rsidR="00A31137" w:rsidRPr="00A31137" w:rsidRDefault="00A31137" w:rsidP="00A31137">
      <w:r w:rsidRPr="00A31137">
        <w:t>1980 Democratic Platform, p.28</w:t>
      </w:r>
    </w:p>
    <w:p w:rsidR="00A31137" w:rsidRPr="00A31137" w:rsidRDefault="00A31137" w:rsidP="00A31137">
      <w:r w:rsidRPr="00A31137">
        <w:t>We must eliminate those delays, layers of review, and litigation that unduly tie up the process.</w:t>
      </w:r>
    </w:p>
    <w:p w:rsidR="00A31137" w:rsidRPr="00A31137" w:rsidRDefault="00A31137" w:rsidP="00A31137">
      <w:r w:rsidRPr="00A31137">
        <w:t>1980 Democratic Platform, p.28</w:t>
      </w:r>
    </w:p>
    <w:p w:rsidR="00A31137" w:rsidRPr="00A31137" w:rsidRDefault="00A31137" w:rsidP="00A31137">
      <w:r w:rsidRPr="00A31137">
        <w:t>We must make the regulatory process accessible to all members of the public who are affected.</w:t>
      </w:r>
    </w:p>
    <w:p w:rsidR="00A31137" w:rsidRPr="00A31137" w:rsidRDefault="00A31137" w:rsidP="00A31137">
      <w:r w:rsidRPr="00A31137">
        <w:t>1980 Democratic Platform, p.28</w:t>
      </w:r>
    </w:p>
    <w:p w:rsidR="00A31137" w:rsidRPr="00A31137" w:rsidRDefault="00A31137" w:rsidP="00A31137">
      <w:r w:rsidRPr="00A31137">
        <w:t>We must oppose special interest efforts to undermine the ability of federal agencies to protect consumers, the environment, or public health and safety; and efforts to enable federal agencies to override or exempt [p.29] state or federal protections of the environment or public health and safety.</w:t>
      </w:r>
    </w:p>
    <w:p w:rsidR="00A31137" w:rsidRPr="00A31137" w:rsidRDefault="00A31137" w:rsidP="00A31137">
      <w:r w:rsidRPr="00A31137">
        <w:t>Tax Reform</w:t>
      </w:r>
    </w:p>
    <w:p w:rsidR="00A31137" w:rsidRPr="00A31137" w:rsidRDefault="00A31137" w:rsidP="00A31137">
      <w:r w:rsidRPr="00A31137">
        <w:t>1980 Democratic Platform, p.29</w:t>
      </w:r>
    </w:p>
    <w:p w:rsidR="00A31137" w:rsidRPr="00A31137" w:rsidRDefault="00A31137" w:rsidP="00A31137">
      <w:r w:rsidRPr="00A31137">
        <w:t>In 1976, this Party pledged to seek fundamental tax reform, for we believed that our tax system had lost much of its needed fairness and equity. President Carter honored that pledge by proposing to Congress the most comprehensive and far-reaching set of tax reform proposals ever made by any Administration. That proposal would have dosed over $9 billion worth of tax loopholes, simplified our tax laws, and provided funds for substantial tax reduction for low and middle income taxpayers.</w:t>
      </w:r>
    </w:p>
    <w:p w:rsidR="00A31137" w:rsidRPr="00A31137" w:rsidRDefault="00A31137" w:rsidP="00A31137">
      <w:r w:rsidRPr="00A31137">
        <w:t>1980 Democratic Platform, p.29</w:t>
      </w:r>
    </w:p>
    <w:p w:rsidR="00A31137" w:rsidRPr="00A31137" w:rsidRDefault="00A31137" w:rsidP="00A31137">
      <w:r w:rsidRPr="00A31137">
        <w:t>Once again, we call on Congress to legislate meaningful tax reform. We cannot any longer allow the special interests to preserve their particular benefits and loopholes at the expense of the average taxpayers. The fight for tax reform must go forward, and the Party pledges to be a part of that important effort. Therefore, we pledge to seek tax reforms which:</w:t>
      </w:r>
    </w:p>
    <w:p w:rsidR="00A31137" w:rsidRPr="00A31137" w:rsidRDefault="00A31137" w:rsidP="00A31137">
      <w:r w:rsidRPr="00A31137">
        <w:t>1980 Democratic Platform, p.29</w:t>
      </w:r>
    </w:p>
    <w:p w:rsidR="00A31137" w:rsidRPr="00A31137" w:rsidRDefault="00A31137" w:rsidP="00A31137">
      <w:r w:rsidRPr="00A31137">
        <w:t>–Encourage savings by low and middle income taxpayers;</w:t>
      </w:r>
    </w:p>
    <w:p w:rsidR="00A31137" w:rsidRPr="00A31137" w:rsidRDefault="00A31137" w:rsidP="00A31137">
      <w:r w:rsidRPr="00A31137">
        <w:t>1980 Democratic Platform, p.29</w:t>
      </w:r>
    </w:p>
    <w:p w:rsidR="00A31137" w:rsidRPr="00A31137" w:rsidRDefault="00A31137" w:rsidP="00A31137">
      <w:r w:rsidRPr="00A31137">
        <w:t>–Close tax loopholes which benefit only special interests at the expense of the average taxpayer and use the proceeds to bring relief to low and middle income Americans;</w:t>
      </w:r>
    </w:p>
    <w:p w:rsidR="00A31137" w:rsidRPr="00A31137" w:rsidRDefault="00A31137" w:rsidP="00A31137">
      <w:r w:rsidRPr="00A31137">
        <w:t>1980 Democratic Platform, p.29</w:t>
      </w:r>
    </w:p>
    <w:p w:rsidR="00A31137" w:rsidRPr="00A31137" w:rsidRDefault="00A31137" w:rsidP="00A31137">
      <w:r w:rsidRPr="00A31137">
        <w:t>–Simplify the tax code and ease the burden on taxpayers in the preparation of their tax returns;</w:t>
      </w:r>
    </w:p>
    <w:p w:rsidR="00A31137" w:rsidRPr="00A31137" w:rsidRDefault="00A31137" w:rsidP="00A31137">
      <w:r w:rsidRPr="00A31137">
        <w:t>1980 Democratic Platform, p.29</w:t>
      </w:r>
    </w:p>
    <w:p w:rsidR="00A31137" w:rsidRPr="00A31137" w:rsidRDefault="00A31137" w:rsidP="00A31137">
      <w:r w:rsidRPr="00A31137">
        <w:t>–Encourage capital formation, innovation and new production in the United States;</w:t>
      </w:r>
    </w:p>
    <w:p w:rsidR="00A31137" w:rsidRPr="00A31137" w:rsidRDefault="00A31137" w:rsidP="00A31137">
      <w:r w:rsidRPr="00A31137">
        <w:t>1980 Democratic Platform, p.29</w:t>
      </w:r>
    </w:p>
    <w:p w:rsidR="00A31137" w:rsidRPr="00A31137" w:rsidRDefault="00A31137" w:rsidP="00A31137">
      <w:r w:rsidRPr="00A31137">
        <w:t>–Curb tax deductions, like those for three-martini lunches, conventions, first class travel, and other expense account deductions, which encourage consumption, discourage saving, and thus impede productivity;</w:t>
      </w:r>
    </w:p>
    <w:p w:rsidR="00A31137" w:rsidRPr="00A31137" w:rsidRDefault="00A31137" w:rsidP="00A31137">
      <w:r w:rsidRPr="00A31137">
        <w:t>1980 Democratic Platform, p.29</w:t>
      </w:r>
    </w:p>
    <w:p w:rsidR="00A31137" w:rsidRPr="00A31137" w:rsidRDefault="00A31137" w:rsidP="00A31137">
      <w:r w:rsidRPr="00A31137">
        <w:t>–End tax discrimination that penalizes married working couples; and</w:t>
      </w:r>
    </w:p>
    <w:p w:rsidR="00A31137" w:rsidRPr="00A31137" w:rsidRDefault="00A31137" w:rsidP="00A31137">
      <w:r w:rsidRPr="00A31137">
        <w:t>1980 Democratic Platform, p.29</w:t>
      </w:r>
    </w:p>
    <w:p w:rsidR="00A31137" w:rsidRPr="00A31137" w:rsidRDefault="00A31137" w:rsidP="00A31137">
      <w:r w:rsidRPr="00A31137">
        <w:t>–End abuses in the tax treatment of foreign sources, such as special tax treatment and incentives for multi-national corporations that drain jobs and capital from the American economy.</w:t>
      </w:r>
    </w:p>
    <w:p w:rsidR="00A31137" w:rsidRPr="00A31137" w:rsidRDefault="00A31137" w:rsidP="00A31137">
      <w:r w:rsidRPr="00A31137">
        <w:t>1980 Democratic Platform, p.29</w:t>
      </w:r>
    </w:p>
    <w:p w:rsidR="00A31137" w:rsidRPr="00A31137" w:rsidRDefault="00A31137" w:rsidP="00A31137">
      <w:r w:rsidRPr="00A31137">
        <w:t>Capital formation is essential both to control inflation and to encourage growth. New tax reform efforts are needed to increase savings and investment, promote the principle of progressive taxation, close loopholes, and maintain adequate levels of federal revenue.</w:t>
      </w:r>
    </w:p>
    <w:p w:rsidR="00A31137" w:rsidRPr="00A31137" w:rsidRDefault="00A31137" w:rsidP="00A31137">
      <w:r w:rsidRPr="00A31137">
        <w:t>Management</w:t>
      </w:r>
    </w:p>
    <w:p w:rsidR="00A31137" w:rsidRPr="00A31137" w:rsidRDefault="00A31137" w:rsidP="00A31137">
      <w:r w:rsidRPr="00A31137">
        <w:t>1980 Democratic Platform, p.29</w:t>
      </w:r>
    </w:p>
    <w:p w:rsidR="00A31137" w:rsidRPr="00A31137" w:rsidRDefault="00A31137" w:rsidP="00A31137">
      <w:r w:rsidRPr="00A31137">
        <w:t>The need to restrain federal spending means that every dollar of the budget must be spent in the most efficient way possible. To achieve this, the Democratic Partnership has been working to streamline the management of the federal government and eliminate waste and fraud from federal programs. Real progress has been made in these important areas.</w:t>
      </w:r>
    </w:p>
    <w:p w:rsidR="00A31137" w:rsidRPr="00A31137" w:rsidRDefault="00A31137" w:rsidP="00A31137">
      <w:r w:rsidRPr="00A31137">
        <w:t>1980 Democratic Platform, p.29</w:t>
      </w:r>
    </w:p>
    <w:p w:rsidR="00A31137" w:rsidRPr="00A31137" w:rsidRDefault="00A31137" w:rsidP="00A31137">
      <w:r w:rsidRPr="00A31137">
        <w:t>While these reforms have produced substantial savings for the taxpayers, they must be sustained in the coming years to realize their full potential.</w:t>
      </w:r>
    </w:p>
    <w:p w:rsidR="00A31137" w:rsidRPr="00A31137" w:rsidRDefault="00A31137" w:rsidP="00A31137">
      <w:r w:rsidRPr="00A31137">
        <w:t>1980 Democratic Platform, p.29</w:t>
      </w:r>
    </w:p>
    <w:p w:rsidR="00A31137" w:rsidRPr="00A31137" w:rsidRDefault="00A31137" w:rsidP="00A31137">
      <w:r w:rsidRPr="00A31137">
        <w:t>The Civil Service Reform Act can be used to encourage improved productivity of the federal government.</w:t>
      </w:r>
    </w:p>
    <w:p w:rsidR="00A31137" w:rsidRPr="00A31137" w:rsidRDefault="00A31137" w:rsidP="00A31137">
      <w:r w:rsidRPr="00A31137">
        <w:t>1980 Democratic Platform, p.29</w:t>
      </w:r>
    </w:p>
    <w:p w:rsidR="00A31137" w:rsidRPr="00A31137" w:rsidRDefault="00A31137" w:rsidP="00A31137">
      <w:r w:rsidRPr="00A31137">
        <w:t>More business-like control of our assets, placing the government's operations on a sound financial basis, must be used to produce real savings.</w:t>
      </w:r>
    </w:p>
    <w:p w:rsidR="00A31137" w:rsidRPr="00A31137" w:rsidRDefault="00A31137" w:rsidP="00A31137">
      <w:r w:rsidRPr="00A31137">
        <w:t>1980 Democratic Platform, p.29</w:t>
      </w:r>
    </w:p>
    <w:p w:rsidR="00A31137" w:rsidRPr="00A31137" w:rsidRDefault="00A31137" w:rsidP="00A31137">
      <w:r w:rsidRPr="00A31137">
        <w:t>Special investigations and improved accounting systems must be used to attack fraud, abuse and wasteful practices.</w:t>
      </w:r>
    </w:p>
    <w:p w:rsidR="00A31137" w:rsidRPr="00A31137" w:rsidRDefault="00A31137" w:rsidP="00A31137">
      <w:r w:rsidRPr="00A31137">
        <w:t>1980 Democratic Platform, p.29</w:t>
      </w:r>
    </w:p>
    <w:p w:rsidR="00A31137" w:rsidRPr="00A31137" w:rsidRDefault="00A31137" w:rsidP="00A31137">
      <w:r w:rsidRPr="00A31137">
        <w:t>Efforts must be continued to improve the delivery of services to citizens through greater accountability, consolidation and coordination in program administration, and elimination of unnecessary red tape and duplication.</w:t>
      </w:r>
    </w:p>
    <w:p w:rsidR="00A31137" w:rsidRPr="00A31137" w:rsidRDefault="00A31137" w:rsidP="00A31137">
      <w:r w:rsidRPr="00A31137">
        <w:t>Government Openness and Integrity</w:t>
      </w:r>
    </w:p>
    <w:p w:rsidR="00A31137" w:rsidRPr="00A31137" w:rsidRDefault="00A31137" w:rsidP="00A31137">
      <w:r w:rsidRPr="00A31137">
        <w:t>1980 Democratic Platform, p.29</w:t>
      </w:r>
    </w:p>
    <w:p w:rsidR="00A31137" w:rsidRPr="00A31137" w:rsidRDefault="00A31137" w:rsidP="00A31137">
      <w:r w:rsidRPr="00A31137">
        <w:t>Under the Nixon-Ford Administration the federal government was closed to all but a privileged few and the public had lost faith in the integrity of its public servants.</w:t>
      </w:r>
    </w:p>
    <w:p w:rsidR="00A31137" w:rsidRPr="00A31137" w:rsidRDefault="00A31137" w:rsidP="00A31137">
      <w:r w:rsidRPr="00A31137">
        <w:t>1980 Democratic Platform, p.29</w:t>
      </w:r>
    </w:p>
    <w:p w:rsidR="00A31137" w:rsidRPr="00A31137" w:rsidRDefault="00A31137" w:rsidP="00A31137">
      <w:r w:rsidRPr="00A31137">
        <w:t>The Democratic Party takes pride in its long and outstanding record of leadership in opening up the processes of government to genuine participation by the people, and in making government truly responsive to the basic needs of all the American people.</w:t>
      </w:r>
    </w:p>
    <w:p w:rsidR="00A31137" w:rsidRPr="00A31137" w:rsidRDefault="00A31137" w:rsidP="00A31137">
      <w:r w:rsidRPr="00A31137">
        <w:t>1980 Democratic Platform, p.29</w:t>
      </w:r>
    </w:p>
    <w:p w:rsidR="00A31137" w:rsidRPr="00A31137" w:rsidRDefault="00A31137" w:rsidP="00A31137">
      <w:r w:rsidRPr="00A31137">
        <w:t>For the last four years, the Carter Administration and the Democratic Congress have devoted a great deal of time and resources to opening government processes and ensuring the integrity of government officials.</w:t>
      </w:r>
    </w:p>
    <w:p w:rsidR="00A31137" w:rsidRPr="00A31137" w:rsidRDefault="00A31137" w:rsidP="00A31137">
      <w:r w:rsidRPr="00A31137">
        <w:t>1980 Democratic Platform, p.29</w:t>
      </w:r>
    </w:p>
    <w:p w:rsidR="00A31137" w:rsidRPr="00A31137" w:rsidRDefault="00A31137" w:rsidP="00A31137">
      <w:r w:rsidRPr="00A31137">
        <w:t>The Ethics in Government Act now requires all senior government officials to make a full financial disclosure and severely limits the "revolving door" practice that has developed among former federal employees of representing private parties before the federal agencies in which they recently held significant positions.</w:t>
      </w:r>
    </w:p>
    <w:p w:rsidR="00A31137" w:rsidRPr="00A31137" w:rsidRDefault="00A31137" w:rsidP="00A31137">
      <w:r w:rsidRPr="00A31137">
        <w:t>1980 Democratic Platform, p.29</w:t>
      </w:r>
    </w:p>
    <w:p w:rsidR="00A31137" w:rsidRPr="00A31137" w:rsidRDefault="00A31137" w:rsidP="00A31137">
      <w:r w:rsidRPr="00A31137">
        <w:t>A statutory provision has now been made for the appointment of a special prosecutor in eases of alleged wrong-doing by senior government officials.</w:t>
      </w:r>
    </w:p>
    <w:p w:rsidR="00A31137" w:rsidRPr="00A31137" w:rsidRDefault="00A31137" w:rsidP="00A31137">
      <w:r w:rsidRPr="00A31137">
        <w:t>1980 Democratic Platform, p.29</w:t>
      </w:r>
    </w:p>
    <w:p w:rsidR="00A31137" w:rsidRPr="00A31137" w:rsidRDefault="00A31137" w:rsidP="00A31137">
      <w:r w:rsidRPr="00A31137">
        <w:t>"Whistle-blowers" in the federal government (those who report waste and illegalities) have now been given special statutory protection to prevent possible retribution.</w:t>
      </w:r>
    </w:p>
    <w:p w:rsidR="00A31137" w:rsidRPr="00A31137" w:rsidRDefault="00A31137" w:rsidP="00A31137">
      <w:r w:rsidRPr="00A31137">
        <w:t>1980 Democratic Platform, p.29</w:t>
      </w:r>
    </w:p>
    <w:p w:rsidR="00A31137" w:rsidRPr="00A31137" w:rsidRDefault="00A31137" w:rsidP="00A31137">
      <w:r w:rsidRPr="00A31137">
        <w:t>An Executive Order has been issued significantly reducing the amount of classified information and increasing the amount of classified material to be released [p.30] over the next decade by about 250 million pages.</w:t>
      </w:r>
    </w:p>
    <w:p w:rsidR="00A31137" w:rsidRPr="00A31137" w:rsidRDefault="00A31137" w:rsidP="00A31137">
      <w:r w:rsidRPr="00A31137">
        <w:t>1980 Democratic Platform, p.30</w:t>
      </w:r>
    </w:p>
    <w:p w:rsidR="00A31137" w:rsidRPr="00A31137" w:rsidRDefault="00A31137" w:rsidP="00A31137">
      <w:r w:rsidRPr="00A31137">
        <w:t>As a result of actions such as these, trust and confidence in government officials have been restored. In the coming years, we must ensure full implementation of these initiatives. We must also work toward lobby law reform which is needed to ensure full disclosure of Congressional and executive lobbying activities.</w:t>
      </w:r>
    </w:p>
    <w:p w:rsidR="00A31137" w:rsidRPr="00A31137" w:rsidRDefault="00A31137" w:rsidP="00A31137">
      <w:r w:rsidRPr="00A31137">
        <w:t>Law Enforcement</w:t>
      </w:r>
    </w:p>
    <w:p w:rsidR="00A31137" w:rsidRPr="00A31137" w:rsidRDefault="00A31137" w:rsidP="00A31137">
      <w:r w:rsidRPr="00A31137">
        <w:t>1980 Democratic Platform, p.29</w:t>
      </w:r>
    </w:p>
    <w:p w:rsidR="00A31137" w:rsidRPr="00A31137" w:rsidRDefault="00A31137" w:rsidP="00A31137">
      <w:r w:rsidRPr="00A31137">
        <w:t>Numerous changes were necessary when the Democrats took office in 1976. The essential trust between police officers and the public they protect had deteriorated. Funds committed by Congress had been terribly misspent during the eight Republican years.</w:t>
      </w:r>
    </w:p>
    <w:p w:rsidR="00A31137" w:rsidRPr="00A31137" w:rsidRDefault="00A31137" w:rsidP="00A31137">
      <w:r w:rsidRPr="00A31137">
        <w:t>1980 Democratic Platform, p.30</w:t>
      </w:r>
    </w:p>
    <w:p w:rsidR="00A31137" w:rsidRPr="00A31137" w:rsidRDefault="00A31137" w:rsidP="00A31137">
      <w:r w:rsidRPr="00A31137">
        <w:t>The Carter Administration has taken solid steps toward correcting this serious problem. It has formalized the relationship between federal and state law enforcement officials to ensure maximum cooperation between federal and state agencies. It has taken long strides toward creating and implementing uniform national guidelines for federal prisons and encouraging state penal institutions to use the same guidelines.</w:t>
      </w:r>
    </w:p>
    <w:p w:rsidR="00A31137" w:rsidRPr="00A31137" w:rsidRDefault="00A31137" w:rsidP="00A31137">
      <w:r w:rsidRPr="00A31137">
        <w:t>1980 Democratic Platform, p.30</w:t>
      </w:r>
    </w:p>
    <w:p w:rsidR="00A31137" w:rsidRPr="00A31137" w:rsidRDefault="00A31137" w:rsidP="00A31137">
      <w:r w:rsidRPr="00A31137">
        <w:t>The Democratic Party supports the enactment of a revised federal criminal code which simplifies the currently complex federal criminal law in order to make our federal criminal justice efforts more effective, and repeals antiquated laws while fully protecting all civil liberties. As that effort proceeds, we must ensure that the rights of workers to engage in peaceful picketing during labor disputes are fully protected.</w:t>
      </w:r>
    </w:p>
    <w:p w:rsidR="00A31137" w:rsidRPr="00A31137" w:rsidRDefault="00A31137" w:rsidP="00A31137">
      <w:r w:rsidRPr="00A31137">
        <w:t>1980 Democratic Platform, p.30</w:t>
      </w:r>
    </w:p>
    <w:p w:rsidR="00A31137" w:rsidRPr="00A31137" w:rsidRDefault="00A31137" w:rsidP="00A31137">
      <w:r w:rsidRPr="00A31137">
        <w:t>The Democratic Party affirms the right of sports-men to possess guns for purely hunting and target-shooting purposes. However, handguns simplify and intensify violent crime. Ways must be found to curtail the availability of these weapons. The Democratic Party supports enactment of federal legislation to strengthen the presently inadequate regulations over the manufacture, assembly, distribution, and possession of handguns and to ban "Saturday night specials."</w:t>
      </w:r>
    </w:p>
    <w:p w:rsidR="00A31137" w:rsidRPr="00A31137" w:rsidRDefault="00A31137" w:rsidP="00A31137">
      <w:r w:rsidRPr="00A31137">
        <w:t>1980 Democratic Platform, p.30</w:t>
      </w:r>
    </w:p>
    <w:p w:rsidR="00A31137" w:rsidRPr="00A31137" w:rsidRDefault="00A31137" w:rsidP="00A31137">
      <w:r w:rsidRPr="00A31137">
        <w:t>Most important, the government has used its own resources to resolve satisfactorily concerns over the use of deadly force. The Administration has made progress toward the preparation of uniform guidelines for all police departments. They have also utilized the conciliation services available through the Community Relations Service to establish closer working ties among the police and community organizations.</w:t>
      </w:r>
    </w:p>
    <w:p w:rsidR="00A31137" w:rsidRPr="00A31137" w:rsidRDefault="00A31137" w:rsidP="00A31137">
      <w:r w:rsidRPr="00A31137">
        <w:t>1980 Democratic Platform, p.30</w:t>
      </w:r>
    </w:p>
    <w:p w:rsidR="00A31137" w:rsidRPr="00A31137" w:rsidRDefault="00A31137" w:rsidP="00A31137">
      <w:r w:rsidRPr="00A31137">
        <w:t>The Democratic Party is pledged to continuing its strong record of providing needed assistance to local law enforcement. The new Law Enforcement Assistance Act, enacted by a Democratic Administration and a Democratic Congress, provides an important framework for this purpose. We are committed to using this framework effectively, in close cooperation with state and local law enforcement authorities.</w:t>
      </w:r>
    </w:p>
    <w:p w:rsidR="00A31137" w:rsidRPr="00A31137" w:rsidRDefault="00A31137" w:rsidP="00A31137">
      <w:r w:rsidRPr="00A31137">
        <w:t>1980 Democratic Platform, p.30</w:t>
      </w:r>
    </w:p>
    <w:p w:rsidR="00A31137" w:rsidRPr="00A31137" w:rsidRDefault="00A31137" w:rsidP="00A31137">
      <w:r w:rsidRPr="00A31137">
        <w:t>We reaffirm our support for the Juvenile Justice and Delinquency Act and the Runaway Youth Act as responses to the serious challenge of youth crime.</w:t>
      </w:r>
    </w:p>
    <w:p w:rsidR="00A31137" w:rsidRPr="00A31137" w:rsidRDefault="00A31137" w:rsidP="00A31137">
      <w:r w:rsidRPr="00A31137">
        <w:t>1980 Democratic Platform, p.30</w:t>
      </w:r>
    </w:p>
    <w:p w:rsidR="00A31137" w:rsidRPr="00A31137" w:rsidRDefault="00A31137" w:rsidP="00A31137">
      <w:r w:rsidRPr="00A31137">
        <w:t>We must continue and strengthen efforts at prison reform, to upgrade the safety of our penal institutions, to enhance rehabilitation of offenders, and to lower the recidivism level.</w:t>
      </w:r>
    </w:p>
    <w:p w:rsidR="00A31137" w:rsidRPr="00A31137" w:rsidRDefault="00A31137" w:rsidP="00A31137">
      <w:r w:rsidRPr="00A31137">
        <w:t>1980 Democratic Platform, p.30</w:t>
      </w:r>
    </w:p>
    <w:p w:rsidR="00A31137" w:rsidRPr="00A31137" w:rsidRDefault="00A31137" w:rsidP="00A31137">
      <w:r w:rsidRPr="00A31137">
        <w:t>We support federal assistance to the victims of crime, including special programs to assist the elderly and to aid the victims of rape and domestic violence. Further efforts should be made to demonstrate the feasibility of restitution by the perpetrators of crime.</w:t>
      </w:r>
    </w:p>
    <w:p w:rsidR="00A31137" w:rsidRPr="00A31137" w:rsidRDefault="00A31137" w:rsidP="00A31137">
      <w:r w:rsidRPr="00A31137">
        <w:t>1980 Democratic Platform, p.30</w:t>
      </w:r>
    </w:p>
    <w:p w:rsidR="00A31137" w:rsidRPr="00A31137" w:rsidRDefault="00A31137" w:rsidP="00A31137">
      <w:r w:rsidRPr="00A31137">
        <w:t>As we work toward improved law enforcement, we must not permit or sanction excessive or illegal police force.</w:t>
      </w:r>
    </w:p>
    <w:p w:rsidR="00A31137" w:rsidRPr="00A31137" w:rsidRDefault="00A31137" w:rsidP="00A31137">
      <w:r w:rsidRPr="00A31137">
        <w:t>1980 Democratic Platform, p.30</w:t>
      </w:r>
    </w:p>
    <w:p w:rsidR="00A31137" w:rsidRPr="00A31137" w:rsidRDefault="00A31137" w:rsidP="00A31137">
      <w:r w:rsidRPr="00A31137">
        <w:t>Minorities in some areas have been discriminated against by such police actions, and we must take every action at the federal, state, and local level to prevent that from happening in the future, including a renewed commitment to affirmative action in the hiring of law enforcement personnel, establishment of civil rights units at appropriate U.S. Attorneys' offices, and swift investigation and prosecution of suspected civil rights violations.</w:t>
      </w:r>
    </w:p>
    <w:p w:rsidR="00A31137" w:rsidRPr="00A31137" w:rsidRDefault="00A31137" w:rsidP="00A31137">
      <w:r w:rsidRPr="00A31137">
        <w:t>Paperwork Reduction</w:t>
      </w:r>
    </w:p>
    <w:p w:rsidR="00A31137" w:rsidRPr="00A31137" w:rsidRDefault="00A31137" w:rsidP="00A31137">
      <w:r w:rsidRPr="00A31137">
        <w:t>1980 Democratic Platform, p.30</w:t>
      </w:r>
    </w:p>
    <w:p w:rsidR="00A31137" w:rsidRPr="00A31137" w:rsidRDefault="00A31137" w:rsidP="00A31137">
      <w:r w:rsidRPr="00A31137">
        <w:t>Over the years the federal government has imposed more and more paperwork on the private sector. The Carter Administration has stopped that trend and worked to cut the paperwork burden. We have eliminated unnecessary forms, simplified and consolidated needed forms, and discouraged creation of new paperwork requirements. As a result, the federal paperwork burden has been cut 15 percent, or 127 million man-hours.</w:t>
      </w:r>
    </w:p>
    <w:p w:rsidR="00A31137" w:rsidRPr="00A31137" w:rsidRDefault="00A31137" w:rsidP="00A31137">
      <w:r w:rsidRPr="00A31137">
        <w:t>1980 Democratic Platform, p.30</w:t>
      </w:r>
    </w:p>
    <w:p w:rsidR="00A31137" w:rsidRPr="00A31137" w:rsidRDefault="00A31137" w:rsidP="00A31137">
      <w:r w:rsidRPr="00A31137">
        <w:t>The Administration is currently putting into place the tools we will need to continue and expand this program. In November 1979, President Carter signed an Executive Order that created the first "paperwork budget." This program will limit the reporting time each agency can impose on the public. In addition, the President has ordered agencies to tailor their forms to reduce the burden on individuals and small business.</w:t>
      </w:r>
    </w:p>
    <w:p w:rsidR="00A31137" w:rsidRPr="00A31137" w:rsidRDefault="00A31137" w:rsidP="00A31137">
      <w:r w:rsidRPr="00A31137">
        <w:t>1980 Democratic Platform, p.30</w:t>
      </w:r>
    </w:p>
    <w:p w:rsidR="00A31137" w:rsidRPr="00A31137" w:rsidRDefault="00A31137" w:rsidP="00A31137">
      <w:r w:rsidRPr="00A31137">
        <w:t xml:space="preserve">We need further legislation. We urge a continuation of the effort to reduce government documents to simple English, easily understandable by all. The Administration is working with Congress to pass a Paperwork Reduction Act, which will close wide loopholes in the current oversight process.[p.31] </w:t>
      </w:r>
    </w:p>
    <w:p w:rsidR="00A31137" w:rsidRPr="00A31137" w:rsidRDefault="00A31137" w:rsidP="00A31137">
      <w:r w:rsidRPr="00A31137">
        <w:t>Election Reform</w:t>
      </w:r>
    </w:p>
    <w:p w:rsidR="00A31137" w:rsidRPr="00A31137" w:rsidRDefault="00A31137" w:rsidP="00A31137">
      <w:r w:rsidRPr="00A31137">
        <w:t>1980 Democratic Platform, p.31</w:t>
      </w:r>
    </w:p>
    <w:p w:rsidR="00A31137" w:rsidRPr="00A31137" w:rsidRDefault="00A31137" w:rsidP="00A31137">
      <w:r w:rsidRPr="00A31137">
        <w:t>Recent reforms in the election process have aided immeasurably in opening the process to more people and have begun to reduce the influence of special interests. The limitations on campaign contributions and the public financing of Presidential elections are two reforms which have worked very well. Business political action committees continue to spend excessively, however. Further reform in this area is essential. In the 1980s we need to enact reforms which will:</w:t>
      </w:r>
    </w:p>
    <w:p w:rsidR="00A31137" w:rsidRPr="00A31137" w:rsidRDefault="00A31137" w:rsidP="00A31137">
      <w:r w:rsidRPr="00A31137">
        <w:t>1980 Democratic Platform, p.31</w:t>
      </w:r>
    </w:p>
    <w:p w:rsidR="00A31137" w:rsidRPr="00A31137" w:rsidRDefault="00A31137" w:rsidP="00A31137">
      <w:r w:rsidRPr="00A31137">
        <w:t>–Provide for public financing of Congressional campaigns;</w:t>
      </w:r>
    </w:p>
    <w:p w:rsidR="00A31137" w:rsidRPr="00A31137" w:rsidRDefault="00A31137" w:rsidP="00A31137">
      <w:r w:rsidRPr="00A31137">
        <w:t>1980 Democratic Platform, p.31</w:t>
      </w:r>
    </w:p>
    <w:p w:rsidR="00A31137" w:rsidRPr="00A31137" w:rsidRDefault="00A31137" w:rsidP="00A31137">
      <w:r w:rsidRPr="00A31137">
        <w:t>–Lower contribution limits for political action committees;</w:t>
      </w:r>
    </w:p>
    <w:p w:rsidR="00A31137" w:rsidRPr="00A31137" w:rsidRDefault="00A31137" w:rsidP="00A31137">
      <w:r w:rsidRPr="00A31137">
        <w:t>1980 Democratic Platform, p.31</w:t>
      </w:r>
    </w:p>
    <w:p w:rsidR="00A31137" w:rsidRPr="00A31137" w:rsidRDefault="00A31137" w:rsidP="00A31137">
      <w:r w:rsidRPr="00A31137">
        <w:t>–Close the loophole that allows private spending in Presidential elections contrary to the intent of the election law reforms;</w:t>
      </w:r>
    </w:p>
    <w:p w:rsidR="00A31137" w:rsidRPr="00A31137" w:rsidRDefault="00A31137" w:rsidP="00A31137">
      <w:r w:rsidRPr="00A31137">
        <w:t>1980 Democratic Platform, p.31</w:t>
      </w:r>
    </w:p>
    <w:p w:rsidR="00A31137" w:rsidRPr="00A31137" w:rsidRDefault="00A31137" w:rsidP="00A31137">
      <w:r w:rsidRPr="00A31137">
        <w:t>–Encourage voter participation in elections through use of simplified procedures for registration in states that lack mail or election day registration procedures, and by resisting efforts to reduce access to bilingual ballots; and</w:t>
      </w:r>
    </w:p>
    <w:p w:rsidR="00A31137" w:rsidRPr="00A31137" w:rsidRDefault="00A31137" w:rsidP="00A31137">
      <w:r w:rsidRPr="00A31137">
        <w:t>1980 Democratic Platform, p.31</w:t>
      </w:r>
    </w:p>
    <w:p w:rsidR="00A31137" w:rsidRPr="00A31137" w:rsidRDefault="00A31137" w:rsidP="00A31137">
      <w:r w:rsidRPr="00A31137">
        <w:t>–Increase opportunities for full participation in all areas of party and government affairs by the low and moderate income majority of Americans.</w:t>
      </w:r>
    </w:p>
    <w:p w:rsidR="00A31137" w:rsidRPr="00A31137" w:rsidRDefault="00A31137" w:rsidP="00A31137">
      <w:r w:rsidRPr="00A31137">
        <w:t>Postal Service</w:t>
      </w:r>
    </w:p>
    <w:p w:rsidR="00A31137" w:rsidRPr="00A31137" w:rsidRDefault="00A31137" w:rsidP="00A31137">
      <w:r w:rsidRPr="00A31137">
        <w:t>1980 Democratic Platform, p.31</w:t>
      </w:r>
    </w:p>
    <w:p w:rsidR="00A31137" w:rsidRPr="00A31137" w:rsidRDefault="00A31137" w:rsidP="00A31137">
      <w:r w:rsidRPr="00A31137">
        <w:t>The private expression statutes guarantee the protection and security of the mail for all Americans. They are essential to the maintenance of a national postal system, which will require an adequate public service subsidy to assure the delivery of mail to all Americans.</w:t>
      </w:r>
    </w:p>
    <w:p w:rsidR="00A31137" w:rsidRPr="00A31137" w:rsidRDefault="00A31137" w:rsidP="00A31137">
      <w:r w:rsidRPr="00A31137">
        <w:t>Chapter IV: Energy, Natural Resources, Environment and Agriculture</w:t>
      </w:r>
    </w:p>
    <w:p w:rsidR="00A31137" w:rsidRPr="00A31137" w:rsidRDefault="00A31137" w:rsidP="00A31137">
      <w:r w:rsidRPr="00A31137">
        <w:t>Energy</w:t>
      </w:r>
    </w:p>
    <w:p w:rsidR="00A31137" w:rsidRPr="00A31137" w:rsidRDefault="00A31137" w:rsidP="00A31137">
      <w:r w:rsidRPr="00A31137">
        <w:t>1980 Democratic Platform, p.31</w:t>
      </w:r>
    </w:p>
    <w:p w:rsidR="00A31137" w:rsidRPr="00A31137" w:rsidRDefault="00A31137" w:rsidP="00A31137">
      <w:r w:rsidRPr="00A31137">
        <w:t>For the past four years, the Democratic Party's highest legislative priority has been the development of our nation's first comprehensive energy policy. Our actions were necessitated by the Republican Administration's policy that fostered dependence on foreign oil. This Republican legacy led to America's petroleum paralysis, which weakened our security, undermined our strength abroad, threatened our environment and endangered our economic health.</w:t>
      </w:r>
    </w:p>
    <w:p w:rsidR="00A31137" w:rsidRPr="00A31137" w:rsidRDefault="00A31137" w:rsidP="00A31137">
      <w:r w:rsidRPr="00A31137">
        <w:t>1980 Democratic Platform, p.31</w:t>
      </w:r>
    </w:p>
    <w:p w:rsidR="00A31137" w:rsidRPr="00A31137" w:rsidRDefault="00A31137" w:rsidP="00A31137">
      <w:r w:rsidRPr="00A31137">
        <w:t>In perhaps no other domestic area did we inherit such a dangerous situation:</w:t>
      </w:r>
    </w:p>
    <w:p w:rsidR="00A31137" w:rsidRPr="00A31137" w:rsidRDefault="00A31137" w:rsidP="00A31137">
      <w:r w:rsidRPr="00A31137">
        <w:t>1980 Democratic Platform, p.31</w:t>
      </w:r>
    </w:p>
    <w:p w:rsidR="00A31137" w:rsidRPr="00A31137" w:rsidRDefault="00A31137" w:rsidP="00A31137">
      <w:r w:rsidRPr="00A31137">
        <w:t>–Domestic production of oil and natural gas was steadily declining, with price controls discouraging exploration and production;</w:t>
      </w:r>
    </w:p>
    <w:p w:rsidR="00A31137" w:rsidRPr="00A31137" w:rsidRDefault="00A31137" w:rsidP="00A31137">
      <w:r w:rsidRPr="00A31137">
        <w:t>1980 Democratic Platform, p.31</w:t>
      </w:r>
    </w:p>
    <w:p w:rsidR="00A31137" w:rsidRPr="00A31137" w:rsidRDefault="00A31137" w:rsidP="00A31137">
      <w:r w:rsidRPr="00A31137">
        <w:t>–Natural gas shortages were regularly plaguing parts of our country;</w:t>
      </w:r>
    </w:p>
    <w:p w:rsidR="00A31137" w:rsidRPr="00A31137" w:rsidRDefault="00A31137" w:rsidP="00A31137">
      <w:r w:rsidRPr="00A31137">
        <w:t>1980 Democratic Platform, p.31</w:t>
      </w:r>
    </w:p>
    <w:p w:rsidR="00A31137" w:rsidRPr="00A31137" w:rsidRDefault="00A31137" w:rsidP="00A31137">
      <w:r w:rsidRPr="00A31137">
        <w:t>–Our dependence on foreign oil was increasing every year;</w:t>
      </w:r>
    </w:p>
    <w:p w:rsidR="00A31137" w:rsidRPr="00A31137" w:rsidRDefault="00A31137" w:rsidP="00A31137">
      <w:r w:rsidRPr="00A31137">
        <w:t>1980 Democratic Platform, p.31</w:t>
      </w:r>
    </w:p>
    <w:p w:rsidR="00A31137" w:rsidRPr="00A31137" w:rsidRDefault="00A31137" w:rsidP="00A31137">
      <w:r w:rsidRPr="00A31137">
        <w:t>–Wasteful energy practices existed in our industries, homes and transportation;</w:t>
      </w:r>
    </w:p>
    <w:p w:rsidR="00A31137" w:rsidRPr="00A31137" w:rsidRDefault="00A31137" w:rsidP="00A31137">
      <w:r w:rsidRPr="00A31137">
        <w:t>1980 Democratic Platform, p.31</w:t>
      </w:r>
    </w:p>
    <w:p w:rsidR="00A31137" w:rsidRPr="00A31137" w:rsidRDefault="00A31137" w:rsidP="00A31137">
      <w:r w:rsidRPr="00A31137">
        <w:t>–Solar and other renewable energy resources were being almost completely ignored;</w:t>
      </w:r>
    </w:p>
    <w:p w:rsidR="00A31137" w:rsidRPr="00A31137" w:rsidRDefault="00A31137" w:rsidP="00A31137">
      <w:r w:rsidRPr="00A31137">
        <w:t>1980 Democratic Platform, p.31</w:t>
      </w:r>
    </w:p>
    <w:p w:rsidR="00A31137" w:rsidRPr="00A31137" w:rsidRDefault="00A31137" w:rsidP="00A31137">
      <w:r w:rsidRPr="00A31137">
        <w:t>–Synthetic fuel production had been stalled;</w:t>
      </w:r>
    </w:p>
    <w:p w:rsidR="00A31137" w:rsidRPr="00A31137" w:rsidRDefault="00A31137" w:rsidP="00A31137">
      <w:r w:rsidRPr="00A31137">
        <w:t>1980 Democratic Platform, p.31</w:t>
      </w:r>
    </w:p>
    <w:p w:rsidR="00A31137" w:rsidRPr="00A31137" w:rsidRDefault="00A31137" w:rsidP="00A31137">
      <w:r w:rsidRPr="00A31137">
        <w:t>–The federal government was not promoting energy conservation;</w:t>
      </w:r>
    </w:p>
    <w:p w:rsidR="00A31137" w:rsidRPr="00A31137" w:rsidRDefault="00A31137" w:rsidP="00A31137">
      <w:r w:rsidRPr="00A31137">
        <w:t>1980 Democratic Platform, p.31</w:t>
      </w:r>
    </w:p>
    <w:p w:rsidR="00A31137" w:rsidRPr="00A31137" w:rsidRDefault="00A31137" w:rsidP="00A31137">
      <w:r w:rsidRPr="00A31137">
        <w:t>–Our allies were unwilling to make adequate efforts to reduce their energy consumption; and</w:t>
      </w:r>
    </w:p>
    <w:p w:rsidR="00A31137" w:rsidRPr="00A31137" w:rsidRDefault="00A31137" w:rsidP="00A31137">
      <w:r w:rsidRPr="00A31137">
        <w:t>1980 Democratic Platform, p.31</w:t>
      </w:r>
    </w:p>
    <w:p w:rsidR="00A31137" w:rsidRPr="00A31137" w:rsidRDefault="00A31137" w:rsidP="00A31137">
      <w:r w:rsidRPr="00A31137">
        <w:t>–Our energy policy was being made by nearly a dozen different agencies and bureaus throughout the federal government.</w:t>
      </w:r>
    </w:p>
    <w:p w:rsidR="00A31137" w:rsidRPr="00A31137" w:rsidRDefault="00A31137" w:rsidP="00A31137">
      <w:r w:rsidRPr="00A31137">
        <w:t>1980 Democratic Platform, p.31</w:t>
      </w:r>
    </w:p>
    <w:p w:rsidR="00A31137" w:rsidRPr="00A31137" w:rsidRDefault="00A31137" w:rsidP="00A31137">
      <w:r w:rsidRPr="00A31137">
        <w:t>The struggle to develop an energy policy was difficult and time-consuming. Tough decisions, especially in the area of oil price decontrol, were necessary to reduce our dependence of foreign oil.</w:t>
      </w:r>
    </w:p>
    <w:p w:rsidR="00A31137" w:rsidRPr="00A31137" w:rsidRDefault="00A31137" w:rsidP="00A31137">
      <w:r w:rsidRPr="00A31137">
        <w:t>1980 Democratic Platform, p.31</w:t>
      </w:r>
    </w:p>
    <w:p w:rsidR="00A31137" w:rsidRPr="00A31137" w:rsidRDefault="00A31137" w:rsidP="00A31137">
      <w:r w:rsidRPr="00A31137">
        <w:t>Not all of our energy problems have been solved. Yet the achievements of the past four years leave little doubt that we are finally serious about the problems caused by our excessive reliance on foreign oil. As a result of our national energy policy, oil imports will be cut in half by the end of this decade, saving our nation hundreds of billions of dollars. A framework is now in place that will permit further progress in the 1980s. Our economic security demands that we drastically reduce the massive flow of dollars into the OPEC treasuries and oil company bank accounts at the expense of American consumers and business.</w:t>
      </w:r>
    </w:p>
    <w:p w:rsidR="00A31137" w:rsidRPr="00A31137" w:rsidRDefault="00A31137" w:rsidP="00A31137">
      <w:r w:rsidRPr="00A31137">
        <w:t>1980 Democratic Platform, p.31</w:t>
      </w:r>
    </w:p>
    <w:p w:rsidR="00A31137" w:rsidRPr="00A31137" w:rsidRDefault="00A31137" w:rsidP="00A31137">
      <w:r w:rsidRPr="00A31137">
        <w:t>Our progress on energy has been realized because we have achieved four principal goals:</w:t>
      </w:r>
    </w:p>
    <w:p w:rsidR="00A31137" w:rsidRPr="00A31137" w:rsidRDefault="00A31137" w:rsidP="00A31137">
      <w:r w:rsidRPr="00A31137">
        <w:t>1980 Democratic Platform, p.31</w:t>
      </w:r>
    </w:p>
    <w:p w:rsidR="00A31137" w:rsidRPr="00A31137" w:rsidRDefault="00A31137" w:rsidP="00A31137">
      <w:r w:rsidRPr="00A31137">
        <w:t>–Incentives have been provided for the production of new energy sources;</w:t>
      </w:r>
    </w:p>
    <w:p w:rsidR="00A31137" w:rsidRPr="00A31137" w:rsidRDefault="00A31137" w:rsidP="00A31137">
      <w:r w:rsidRPr="00A31137">
        <w:t>1980 Democratic Platform, p.31</w:t>
      </w:r>
    </w:p>
    <w:p w:rsidR="00A31137" w:rsidRPr="00A31137" w:rsidRDefault="00A31137" w:rsidP="00A31137">
      <w:r w:rsidRPr="00A31137">
        <w:t>–Incentives for new oil production have been added, together with a windfall profits tax, which will fund low income energy assistance and energy research and development;</w:t>
      </w:r>
    </w:p>
    <w:p w:rsidR="00A31137" w:rsidRPr="00A31137" w:rsidRDefault="00A31137" w:rsidP="00A31137">
      <w:r w:rsidRPr="00A31137">
        <w:t>1980 Democratic Platform, p.31</w:t>
      </w:r>
    </w:p>
    <w:p w:rsidR="00A31137" w:rsidRPr="00A31137" w:rsidRDefault="00A31137" w:rsidP="00A31137">
      <w:r w:rsidRPr="00A31137">
        <w:t>–Incentives have been provided to encourage conservation of our existing energy resources; and</w:t>
      </w:r>
    </w:p>
    <w:p w:rsidR="00A31137" w:rsidRPr="00A31137" w:rsidRDefault="00A31137" w:rsidP="00A31137">
      <w:r w:rsidRPr="00A31137">
        <w:t>1980 Democratic Platform, p.31</w:t>
      </w:r>
    </w:p>
    <w:p w:rsidR="00A31137" w:rsidRPr="00A31137" w:rsidRDefault="00A31137" w:rsidP="00A31137">
      <w:r w:rsidRPr="00A31137">
        <w:t>–Improved international energy cooperation has reduced our dependence on OPEC.</w:t>
      </w:r>
    </w:p>
    <w:p w:rsidR="00A31137" w:rsidRPr="00A31137" w:rsidRDefault="00A31137" w:rsidP="00A31137">
      <w:r w:rsidRPr="00A31137">
        <w:t>1980 Democratic Platform, p.31</w:t>
      </w:r>
    </w:p>
    <w:p w:rsidR="00A31137" w:rsidRPr="00A31137" w:rsidRDefault="00A31137" w:rsidP="00A31137">
      <w:r w:rsidRPr="00A31137">
        <w:t>These actions have produced enormous energy benefits to our nation:</w:t>
      </w:r>
    </w:p>
    <w:p w:rsidR="00A31137" w:rsidRPr="00A31137" w:rsidRDefault="00A31137" w:rsidP="00A31137">
      <w:r w:rsidRPr="00A31137">
        <w:t>1980 Democratic Platform, p.31</w:t>
      </w:r>
    </w:p>
    <w:p w:rsidR="00A31137" w:rsidRPr="00A31137" w:rsidRDefault="00A31137" w:rsidP="00A31137">
      <w:r w:rsidRPr="00A31137">
        <w:t>–We are importing one million barrels of oil a day less than last year;</w:t>
      </w:r>
    </w:p>
    <w:p w:rsidR="00A31137" w:rsidRPr="00A31137" w:rsidRDefault="00A31137" w:rsidP="00A31137">
      <w:r w:rsidRPr="00A31137">
        <w:t>1980 Democratic Platform, p.31</w:t>
      </w:r>
    </w:p>
    <w:p w:rsidR="00A31137" w:rsidRPr="00A31137" w:rsidRDefault="00A31137" w:rsidP="00A31137">
      <w:r w:rsidRPr="00A31137">
        <w:t>–Domestic natural gas exploration and production are at record-high levels;</w:t>
      </w:r>
    </w:p>
    <w:p w:rsidR="00A31137" w:rsidRPr="00A31137" w:rsidRDefault="00A31137" w:rsidP="00A31137">
      <w:r w:rsidRPr="00A31137">
        <w:t>1980 Democratic Platform, p.31</w:t>
      </w:r>
    </w:p>
    <w:p w:rsidR="00A31137" w:rsidRPr="00A31137" w:rsidRDefault="00A31137" w:rsidP="00A31137">
      <w:r w:rsidRPr="00A31137">
        <w:t>Domestic oil exploration is at a 20-year high, and the decline in domestic production has been averted;</w:t>
      </w:r>
    </w:p>
    <w:p w:rsidR="00A31137" w:rsidRPr="00A31137" w:rsidRDefault="00A31137" w:rsidP="00A31137">
      <w:r w:rsidRPr="00A31137">
        <w:t>1980 Democratic Platform, p.31</w:t>
      </w:r>
    </w:p>
    <w:p w:rsidR="00A31137" w:rsidRPr="00A31137" w:rsidRDefault="00A31137" w:rsidP="00A31137">
      <w:r w:rsidRPr="00A31137">
        <w:t>–Per capita energy consumption is decreasing;</w:t>
      </w:r>
    </w:p>
    <w:p w:rsidR="00A31137" w:rsidRPr="00A31137" w:rsidRDefault="00A31137" w:rsidP="00A31137">
      <w:r w:rsidRPr="00A31137">
        <w:t>1980 Democratic Platform, p.31</w:t>
      </w:r>
    </w:p>
    <w:p w:rsidR="00A31137" w:rsidRPr="00A31137" w:rsidRDefault="00A31137" w:rsidP="00A31137">
      <w:r w:rsidRPr="00A31137">
        <w:t>–Use of solar energy has increased considerably,[p.32] and gasohol production has increased by 600 percent;</w:t>
      </w:r>
    </w:p>
    <w:p w:rsidR="00A31137" w:rsidRPr="00A31137" w:rsidRDefault="00A31137" w:rsidP="00A31137">
      <w:r w:rsidRPr="00A31137">
        <w:t>1980 Democratic Platform, p.32</w:t>
      </w:r>
    </w:p>
    <w:p w:rsidR="00A31137" w:rsidRPr="00A31137" w:rsidRDefault="00A31137" w:rsidP="00A31137">
      <w:r w:rsidRPr="00A31137">
        <w:t>–Coal production has increased, and foreign markets for our coal have been developed;</w:t>
      </w:r>
    </w:p>
    <w:p w:rsidR="00A31137" w:rsidRPr="00A31137" w:rsidRDefault="00A31137" w:rsidP="00A31137">
      <w:r w:rsidRPr="00A31137">
        <w:t>1980 Democratic Platform, p.32</w:t>
      </w:r>
    </w:p>
    <w:p w:rsidR="00A31137" w:rsidRPr="00A31137" w:rsidRDefault="00A31137" w:rsidP="00A31137">
      <w:r w:rsidRPr="00A31137">
        <w:t>–Gasoline consumption is 8 percent less than last year.</w:t>
      </w:r>
    </w:p>
    <w:p w:rsidR="00A31137" w:rsidRPr="00A31137" w:rsidRDefault="00A31137" w:rsidP="00A31137">
      <w:r w:rsidRPr="00A31137">
        <w:t>1980 Democratic Platform, p.32</w:t>
      </w:r>
    </w:p>
    <w:p w:rsidR="00A31137" w:rsidRPr="00A31137" w:rsidRDefault="00A31137" w:rsidP="00A31137">
      <w:r w:rsidRPr="00A31137">
        <w:t>In the 1980s, this program can be improved, as the framework laid in the last four years is used to ensure our energy security for all time.</w:t>
      </w:r>
    </w:p>
    <w:p w:rsidR="00A31137" w:rsidRPr="00A31137" w:rsidRDefault="00A31137" w:rsidP="00A31137">
      <w:r w:rsidRPr="00A31137">
        <w:t>1980 Democratic Platform, p.32</w:t>
      </w:r>
    </w:p>
    <w:p w:rsidR="00A31137" w:rsidRPr="00A31137" w:rsidRDefault="00A31137" w:rsidP="00A31137">
      <w:r w:rsidRPr="00A31137">
        <w:t>America's energy future requires a continued strong national policy based on two fundamental principles: efficient use of energy that will conserve our resources, preserve our economy and create jobs for Americans; and development of secure, environmentally safe and reasonably priced energy sources.</w:t>
      </w:r>
    </w:p>
    <w:p w:rsidR="00A31137" w:rsidRPr="00A31137" w:rsidRDefault="00A31137" w:rsidP="00A31137">
      <w:r w:rsidRPr="00A31137">
        <w:t>1980 Democratic Platform, p.32</w:t>
      </w:r>
    </w:p>
    <w:p w:rsidR="00A31137" w:rsidRPr="00A31137" w:rsidRDefault="00A31137" w:rsidP="00A31137">
      <w:r w:rsidRPr="00A31137">
        <w:t>It is—and must be—the goal of the Democratic Party to mobilize this nation to use energy efficiently without asking Americans to suffer the loss of our strong economy and hard-earned standard of living. Energy efficiency, especially in buildings, transportation, and industrial production, must be made this nation's top priority.</w:t>
      </w:r>
    </w:p>
    <w:p w:rsidR="00A31137" w:rsidRPr="00A31137" w:rsidRDefault="00A31137" w:rsidP="00A31137">
      <w:r w:rsidRPr="00A31137">
        <w:t>1980 Democratic Platform, p.32</w:t>
      </w:r>
    </w:p>
    <w:p w:rsidR="00A31137" w:rsidRPr="00A31137" w:rsidRDefault="00A31137" w:rsidP="00A31137">
      <w:r w:rsidRPr="00A31137">
        <w:t>The following specific actions must be taken.</w:t>
      </w:r>
    </w:p>
    <w:p w:rsidR="00A31137" w:rsidRPr="00A31137" w:rsidRDefault="00A31137" w:rsidP="00A31137">
      <w:r w:rsidRPr="00A31137">
        <w:t>1980 Democratic Platform, p.32</w:t>
      </w:r>
    </w:p>
    <w:p w:rsidR="00A31137" w:rsidRPr="00A31137" w:rsidRDefault="00A31137" w:rsidP="00A31137">
      <w:r w:rsidRPr="00A31137">
        <w:t>We must make energy conservation our highest priority, not only to reduce our dependence on foreign oil, but also to guarantee that our children and grandchildren have an adequate supply of energy. If we can convince one of every four drivers exceeding the 55 mile per hour speed limit to reduce their speed, we can save 100,000 barrels a day. Conservation is the cheapest form of energy production.</w:t>
      </w:r>
    </w:p>
    <w:p w:rsidR="00A31137" w:rsidRPr="00A31137" w:rsidRDefault="00A31137" w:rsidP="00A31137">
      <w:r w:rsidRPr="00A31137">
        <w:t>1980 Democratic Platform, p.32</w:t>
      </w:r>
    </w:p>
    <w:p w:rsidR="00A31137" w:rsidRPr="00A31137" w:rsidRDefault="00A31137" w:rsidP="00A31137">
      <w:r w:rsidRPr="00A31137">
        <w:t>We must establish a massive residential energy conservation grant program. We must provide subsidized loans, direct financial assistance, and other substantial incentives to make all residences in the United States energy efficient, through upgraded insulation, heating, cooling and waterheating. Special incentives should he afforded for the use of renewable energy resources such as passive and active solar energy systems. Our goal should be to ensure that all economically justified energy efficiency investments are made by 1990.</w:t>
      </w:r>
    </w:p>
    <w:p w:rsidR="00A31137" w:rsidRPr="00A31137" w:rsidRDefault="00A31137" w:rsidP="00A31137">
      <w:r w:rsidRPr="00A31137">
        <w:t>1980 Democratic Platform, p.32</w:t>
      </w:r>
    </w:p>
    <w:p w:rsidR="00A31137" w:rsidRPr="00A31137" w:rsidRDefault="00A31137" w:rsidP="00A31137">
      <w:r w:rsidRPr="00A31137">
        <w:t>We should use our energy programs to aid in rebuilding the industrial heartland. Industry must be given financial incentives to improve the energy efficiency of industrial processes and to build substantial amounts of generating capacity through co-generation.</w:t>
      </w:r>
    </w:p>
    <w:p w:rsidR="00A31137" w:rsidRPr="00A31137" w:rsidRDefault="00A31137" w:rsidP="00A31137">
      <w:r w:rsidRPr="00A31137">
        <w:t>1980 Democratic Platform, p.32</w:t>
      </w:r>
    </w:p>
    <w:p w:rsidR="00A31137" w:rsidRPr="00A31137" w:rsidRDefault="00A31137" w:rsidP="00A31137">
      <w:r w:rsidRPr="00A31137">
        <w:t>We must implement mandatory Building Energy Performance Standards (BEPS) to encourage the design and construction of energy efficient buildings. Energy efficiency standards should apply to all new construction. Implementation of energy efficiency standards should begin with federal government buildings. In addition, the federal government should lead the way in implementing solar and energy efficiency improvements programs through its loan and insurance agencies by requiring energy conservation standards for federally assisted properties.</w:t>
      </w:r>
    </w:p>
    <w:p w:rsidR="00A31137" w:rsidRPr="00A31137" w:rsidRDefault="00A31137" w:rsidP="00A31137">
      <w:r w:rsidRPr="00A31137">
        <w:t>1980 Democratic Platform, p.32</w:t>
      </w:r>
    </w:p>
    <w:p w:rsidR="00A31137" w:rsidRPr="00A31137" w:rsidRDefault="00A31137" w:rsidP="00A31137">
      <w:r w:rsidRPr="00A31137">
        <w:t>In recognition of the potential for substantial energy savings if our most efficient methods of transportation are utilized, we must provide direct economic assistance where private capital is unavailable to improve those means of transport.</w:t>
      </w:r>
    </w:p>
    <w:p w:rsidR="00A31137" w:rsidRPr="00A31137" w:rsidRDefault="00A31137" w:rsidP="00A31137">
      <w:r w:rsidRPr="00A31137">
        <w:t>1980 Democratic Platform, p.32</w:t>
      </w:r>
    </w:p>
    <w:p w:rsidR="00A31137" w:rsidRPr="00A31137" w:rsidRDefault="00A31137" w:rsidP="00A31137">
      <w:r w:rsidRPr="00A31137">
        <w:t>Major new efforts must be launched to develop synthetic and alternative renewable energy sources. In pursuing a strong program of synthetic fuel plants we must also be sensitive to environmental and water concerns. The federal government must help eliminate red tape involved in the construction of vital energy facilities. The Energy Mobilization Board, an essential mechanism to speed the construction of vital energy facilities, should be able to override state and local substantive law only with the consent of Congress and the President.</w:t>
      </w:r>
    </w:p>
    <w:p w:rsidR="00A31137" w:rsidRPr="00A31137" w:rsidRDefault="00A31137" w:rsidP="00A31137">
      <w:r w:rsidRPr="00A31137">
        <w:t>1980 Democratic Platform, p.32</w:t>
      </w:r>
    </w:p>
    <w:p w:rsidR="00A31137" w:rsidRPr="00A31137" w:rsidRDefault="00A31137" w:rsidP="00A31137">
      <w:r w:rsidRPr="00A31137">
        <w:t>The Democratic Party regards coal as our nation's greatest energy resource. It must play a decisive role in America's energy future. We must increase our use of coal. To accomplish this, we must see that shippers are not overburdened with excessive rates for transportation. Severance taxes levied for depletion of natural resources should be equitable. We must make clean coal conversion a reality. To this end, we will assist utilities that are large enough to permit coal conversion while maintaining or improving air quality. We must also provide incentives for industrial boiler coal conversion. Goal conversion can and must be accomplished in a manner that protects public health, nationally, regionally and locally. It can and must increase the use of coal, reduce the demand for oil, and provide employment where jobs are needed the most.</w:t>
      </w:r>
    </w:p>
    <w:p w:rsidR="00A31137" w:rsidRPr="00A31137" w:rsidRDefault="00A31137" w:rsidP="00A31137">
      <w:r w:rsidRPr="00A31137">
        <w:t>1980 Democratic Platform, p.32</w:t>
      </w:r>
    </w:p>
    <w:p w:rsidR="00A31137" w:rsidRPr="00A31137" w:rsidRDefault="00A31137" w:rsidP="00A31137">
      <w:r w:rsidRPr="00A31137">
        <w:t>The federal government should accept its responsibility as trustee for the American Indian and Alaska Native tribes to ensure that tribal resources develop at a pace that preserves the existing life-style and that the tribes participate in the contracting process for resource development with full knowledge of the environmental tradeoffs. The federal government must continue to cooperate with tribal governments in such matters as changes in the use of sacred and religious areas. The Democratic Party believes that American Indian and Alaska Native reservations should remain the permanent homeland for these peoples.</w:t>
      </w:r>
    </w:p>
    <w:p w:rsidR="00A31137" w:rsidRPr="00A31137" w:rsidRDefault="00A31137" w:rsidP="00A31137">
      <w:r w:rsidRPr="00A31137">
        <w:t>1980 Democratic Platform, p.32</w:t>
      </w:r>
    </w:p>
    <w:p w:rsidR="00A31137" w:rsidRPr="00A31137" w:rsidRDefault="00A31137" w:rsidP="00A31137">
      <w:r w:rsidRPr="00A31137">
        <w:t>We recognize that Hawaii, U.S. territories and Trust territories in the Pacific Basin are particularly vulnerable because of their total dependence on imported oil for meeting their energy needs. These insular areas do not have access to the alternative sources of energy that are available elsewhere. Consequently, the Democratic Party recommends that these areas, where feasible, be chosen as sites for demonstration[p.33] and/or pilot alternative energy projects, especially ocean thermal energy conversion, solar and wind.</w:t>
      </w:r>
    </w:p>
    <w:p w:rsidR="00A31137" w:rsidRPr="00A31137" w:rsidRDefault="00A31137" w:rsidP="00A31137">
      <w:r w:rsidRPr="00A31137">
        <w:t>1980 Democratic Platform, p.33</w:t>
      </w:r>
    </w:p>
    <w:p w:rsidR="00A31137" w:rsidRPr="00A31137" w:rsidRDefault="00A31137" w:rsidP="00A31137">
      <w:r w:rsidRPr="00A31137">
        <w:t>We must lead the Western World in developing a program for increased use of coal in Europe, Japan, and the developing nations.</w:t>
      </w:r>
    </w:p>
    <w:p w:rsidR="00A31137" w:rsidRPr="00A31137" w:rsidRDefault="00A31137" w:rsidP="00A31137">
      <w:r w:rsidRPr="00A31137">
        <w:t>1980 Democratic Platform, p.33</w:t>
      </w:r>
    </w:p>
    <w:p w:rsidR="00A31137" w:rsidRPr="00A31137" w:rsidRDefault="00A31137" w:rsidP="00A31137">
      <w:r w:rsidRPr="00A31137">
        <w:t>Oil exploration on federal lands must be accelerated, consistent with environmental protections.</w:t>
      </w:r>
    </w:p>
    <w:p w:rsidR="00A31137" w:rsidRPr="00A31137" w:rsidRDefault="00A31137" w:rsidP="00A31137">
      <w:r w:rsidRPr="00A31137">
        <w:t>1980 Democratic Platform, p.33</w:t>
      </w:r>
    </w:p>
    <w:p w:rsidR="00A31137" w:rsidRPr="00A31137" w:rsidRDefault="00A31137" w:rsidP="00A31137">
      <w:r w:rsidRPr="00A31137">
        <w:t>Offshore energy leasing and development should be conditioned on full protection of the environment and marine resources. Lease sales should proceed only after appropriate safeguards necessary to preserve and protect vital natural resources are put in place. The determination of what safeguards are needed must be based on a complete assessment of the effects of offshore activity on the marine and coastal environment, and must be made in conjunction with the Environmental Protection Agency and the National Oceanic and Atmospheric Agency, the federal agencies charged with protecting our nation's fisheries and other environmental resources.</w:t>
      </w:r>
    </w:p>
    <w:p w:rsidR="00A31137" w:rsidRPr="00A31137" w:rsidRDefault="00A31137" w:rsidP="00A31137">
      <w:r w:rsidRPr="00A31137">
        <w:t>1980 Democratic Platform, p.33</w:t>
      </w:r>
    </w:p>
    <w:p w:rsidR="00A31137" w:rsidRPr="00A31137" w:rsidRDefault="00A31137" w:rsidP="00A31137">
      <w:r w:rsidRPr="00A31137">
        <w:t>Solar energy use must be increased, and strong efforts, including continued financial support, must be undertaken to make certain that we achieve the goal of having solar energy account for 20 percent of our total energy by the year 2000.</w:t>
      </w:r>
    </w:p>
    <w:p w:rsidR="00A31137" w:rsidRPr="00A31137" w:rsidRDefault="00A31137" w:rsidP="00A31137">
      <w:r w:rsidRPr="00A31137">
        <w:t>1980 Democratic Platform, p.33</w:t>
      </w:r>
    </w:p>
    <w:p w:rsidR="00A31137" w:rsidRPr="00A31137" w:rsidRDefault="00A31137" w:rsidP="00A31137">
      <w:r w:rsidRPr="00A31137">
        <w:t>To ensure that we reach the 20 percent goal, the Democratic Party commits itself to a federal program for solar or other renewable resources that exceeds the federal commitment to synthetic fuels. A greater share of federal funds should be committed to basic research and must be devoted to the development of renewable energy resources and fusion research and development. Moreover, we support the commercialization of solar, wind, low-head hydro, biomass and other renewable resources as quickly as possible through direct assistance, investment and loan guarantees in addition to monies available from the solar bank. The Democratic Party vigorously supports substantial funding for the construction of an engineering test facility for fusion technology. Fusion energy is a safe, clean alternative source of energy which can be used to generate electricity efficiently.</w:t>
      </w:r>
    </w:p>
    <w:p w:rsidR="00A31137" w:rsidRPr="00A31137" w:rsidRDefault="00A31137" w:rsidP="00A31137">
      <w:r w:rsidRPr="00A31137">
        <w:t>1980 Democratic Platform, p.33</w:t>
      </w:r>
    </w:p>
    <w:p w:rsidR="00A31137" w:rsidRPr="00A31137" w:rsidRDefault="00A31137" w:rsidP="00A31137">
      <w:r w:rsidRPr="00A31137">
        <w:t>We must encourage research and development of hydrogen or electric powered vehicles. We must fully commit ourselves to an alcohol fuel program. The federal government should expand its use of alcohol fuels in government and military vehicles. This will help reduce surplus feed grain and help to stabilize prices. The Democratic Party pledges that production of fuel-grade alcohol will be increased until at least a target of 500 million barrels of ethanol by 1981 is achieved.</w:t>
      </w:r>
    </w:p>
    <w:p w:rsidR="00A31137" w:rsidRPr="00A31137" w:rsidRDefault="00A31137" w:rsidP="00A31137">
      <w:r w:rsidRPr="00A31137">
        <w:t>1980 Democratic Platform, p.33</w:t>
      </w:r>
    </w:p>
    <w:p w:rsidR="00A31137" w:rsidRPr="00A31137" w:rsidRDefault="00A31137" w:rsidP="00A31137">
      <w:r w:rsidRPr="00A31137">
        <w:t>A stand-by gasoline rationing plan must be adopted for use in the event of a serious energy supply interruption. In times of supply interruption, rationing is essential for equitable and prompt distribution of gas to the public. The Strategic Petroleum Reserve should be filled as market conditions permit, consistent with the requirements of existing law.</w:t>
      </w:r>
    </w:p>
    <w:p w:rsidR="00A31137" w:rsidRPr="00A31137" w:rsidRDefault="00A31137" w:rsidP="00A31137">
      <w:r w:rsidRPr="00A31137">
        <w:t>1980 Democratic Platform, p.33</w:t>
      </w:r>
    </w:p>
    <w:p w:rsidR="00A31137" w:rsidRPr="00A31137" w:rsidRDefault="00A31137" w:rsidP="00A31137">
      <w:r w:rsidRPr="00A31137">
        <w:t>We must impose a moratorium on the acquisition of competing coal companies and solar energy companies by major oil companies.</w:t>
      </w:r>
    </w:p>
    <w:p w:rsidR="00A31137" w:rsidRPr="00A31137" w:rsidRDefault="00A31137" w:rsidP="00A31137">
      <w:r w:rsidRPr="00A31137">
        <w:t>1980 Democratic Platform, p.33</w:t>
      </w:r>
    </w:p>
    <w:p w:rsidR="00A31137" w:rsidRPr="00A31137" w:rsidRDefault="00A31137" w:rsidP="00A31137">
      <w:r w:rsidRPr="00A31137">
        <w:t>Legislation must be enacted to prohibit purchases by oil companies of energy or non-energy companies unless the purchase would enhance competition.</w:t>
      </w:r>
    </w:p>
    <w:p w:rsidR="00A31137" w:rsidRPr="00A31137" w:rsidRDefault="00A31137" w:rsidP="00A31137">
      <w:r w:rsidRPr="00A31137">
        <w:t>1980 Democratic Platform, p.33</w:t>
      </w:r>
    </w:p>
    <w:p w:rsidR="00A31137" w:rsidRPr="00A31137" w:rsidRDefault="00A31137" w:rsidP="00A31137">
      <w:r w:rsidRPr="00A31137">
        <w:t>The major oil companies must be responsible and accountable in their production, importation and distribution of fossil fuels. Oil is as basic to our economy, defense, and general welfare as electric power and money. Consequently, the oil companies must be invested with public purpose. To accomplish this objective, we support strengthened leasing regulations, reporting requirements and monitoring by the departments of Energy and Justice.</w:t>
      </w:r>
    </w:p>
    <w:p w:rsidR="00A31137" w:rsidRPr="00A31137" w:rsidRDefault="00A31137" w:rsidP="00A31137">
      <w:r w:rsidRPr="00A31137">
        <w:t>1980 Democratic Platform, p.33</w:t>
      </w:r>
    </w:p>
    <w:p w:rsidR="00A31137" w:rsidRPr="00A31137" w:rsidRDefault="00A31137" w:rsidP="00A31137">
      <w:r w:rsidRPr="00A31137">
        <w:t>Thorough investigations of the compliance of the off companies with energy price laws and regulations must be continued, and tough penalties imposed in the event of non-compliance. The Department of Energy, consistent with the law, should share its energy data with the Department of Justice and the Federal Trade Commission.</w:t>
      </w:r>
    </w:p>
    <w:p w:rsidR="00A31137" w:rsidRPr="00A31137" w:rsidRDefault="00A31137" w:rsidP="00A31137">
      <w:r w:rsidRPr="00A31137">
        <w:t>1980 Democratic Platform, p.33</w:t>
      </w:r>
    </w:p>
    <w:p w:rsidR="00A31137" w:rsidRPr="00A31137" w:rsidRDefault="00A31137" w:rsidP="00A31137">
      <w:r w:rsidRPr="00A31137">
        <w:t>We must make conservation and renewable energy our nation's energy priorities for the future. Through the federal government's commitment to renewable energy sources and energy efficiency, and as alternative fuels become available in the future, we will retire nuclear power plants in an orderly manner.</w:t>
      </w:r>
    </w:p>
    <w:p w:rsidR="00A31137" w:rsidRPr="00A31137" w:rsidRDefault="00A31137" w:rsidP="00A31137">
      <w:r w:rsidRPr="00A31137">
        <w:t>1980 Democratic Platform, p.33</w:t>
      </w:r>
    </w:p>
    <w:p w:rsidR="00A31137" w:rsidRPr="00A31137" w:rsidRDefault="00A31137" w:rsidP="00A31137">
      <w:r w:rsidRPr="00A31137">
        <w:t>We must give the highest priority to dealing with the nuclear waste disposal problem. Current efforts to develop a safe, environmentally sound nuclear waste disposal plan must be continued and intensified.</w:t>
      </w:r>
    </w:p>
    <w:p w:rsidR="00A31137" w:rsidRPr="00A31137" w:rsidRDefault="00A31137" w:rsidP="00A31137">
      <w:r w:rsidRPr="00A31137">
        <w:t>1980 Democratic Platform, p.33</w:t>
      </w:r>
    </w:p>
    <w:p w:rsidR="00A31137" w:rsidRPr="00A31137" w:rsidRDefault="00A31137" w:rsidP="00A31137">
      <w:r w:rsidRPr="00A31137">
        <w:t>The NRC shall issue no licenses or permits for new nuclear plants until the Kemeny Commission recommendations are fully implemented.</w:t>
      </w:r>
    </w:p>
    <w:p w:rsidR="00A31137" w:rsidRPr="00A31137" w:rsidRDefault="00A31137" w:rsidP="00A31137">
      <w:r w:rsidRPr="00A31137">
        <w:t>1980 Democratic Platform, p.33</w:t>
      </w:r>
    </w:p>
    <w:p w:rsidR="00A31137" w:rsidRPr="00A31137" w:rsidRDefault="00A31137" w:rsidP="00A31137">
      <w:r w:rsidRPr="00A31137">
        <w:t>Existing plants must be required to meet the safer recommendations of the Kemeny Commission. The Democratic Party supports prompt implementation of their recommendations. No plant unable to meet these standards can be allowed to operate.</w:t>
      </w:r>
    </w:p>
    <w:p w:rsidR="00A31137" w:rsidRPr="00A31137" w:rsidRDefault="00A31137" w:rsidP="00A31137">
      <w:r w:rsidRPr="00A31137">
        <w:t>1980 Democratic Platform, p.33</w:t>
      </w:r>
    </w:p>
    <w:p w:rsidR="00A31137" w:rsidRPr="00A31137" w:rsidRDefault="00A31137" w:rsidP="00A31137">
      <w:r w:rsidRPr="00A31137">
        <w:t>Safe permanent disposal of all high-level radioactive waste and transuranic waste should be the primary responsibility of the federal government, in consultation and concurrence with state, local, tribal, and territorial governments throughout the entire decision-making process, including the actual siting and operation of repositories. Neither the federal government nor the state or tribal or territorial governments should be permitted to act in a manner that forces an unsafe resolution of this problem or prevents a safe resolution from being accomplished. It is, therefore, essential that state and tribal governments, acting according to</w:t>
      </w:r>
    </w:p>
    <w:p w:rsidR="00A31137" w:rsidRPr="00A31137" w:rsidRDefault="00A31137" w:rsidP="00A31137">
      <w:r w:rsidRPr="00A31137">
        <w:t xml:space="preserve">1980 Democratic Platform, p.34 </w:t>
      </w:r>
    </w:p>
    <w:p w:rsidR="00A31137" w:rsidRPr="00A31137" w:rsidRDefault="00A31137" w:rsidP="00A31137">
      <w:r w:rsidRPr="00A31137">
        <w:t>[p.34] their constitutional processes, have the power to reject unsafe sites within their borders. Clear standards should be developed so that the courts may determine whether the federal government or a state or tribe is acting in an arbitrary manner. Every state should be responsible for the management and disposal of all low-level waste generated by non-defense sources within its boundaries. Where appropriate, this responsibility should be exercised through state regional compacts. There should be more federal funding for research and development of safer, more efficient methods of radioactive waste disposal.</w:t>
      </w:r>
    </w:p>
    <w:p w:rsidR="00A31137" w:rsidRPr="00A31137" w:rsidRDefault="00A31137" w:rsidP="00A31137">
      <w:r w:rsidRPr="00A31137">
        <w:t>1980 Democratic Platform, p.34</w:t>
      </w:r>
    </w:p>
    <w:p w:rsidR="00A31137" w:rsidRPr="00A31137" w:rsidRDefault="00A31137" w:rsidP="00A31137">
      <w:r w:rsidRPr="00A31137">
        <w:t>Funds generated by the Windfall Profits Tax must be used to expand mass transit. Federal assistance should be provided for construction and operation costs.</w:t>
      </w:r>
    </w:p>
    <w:p w:rsidR="00A31137" w:rsidRPr="00A31137" w:rsidRDefault="00A31137" w:rsidP="00A31137">
      <w:r w:rsidRPr="00A31137">
        <w:t>Environment</w:t>
      </w:r>
    </w:p>
    <w:p w:rsidR="00A31137" w:rsidRPr="00A31137" w:rsidRDefault="00A31137" w:rsidP="00A31137">
      <w:r w:rsidRPr="00A31137">
        <w:t>1980 Democratic Platform, p.34</w:t>
      </w:r>
    </w:p>
    <w:p w:rsidR="00A31137" w:rsidRPr="00A31137" w:rsidRDefault="00A31137" w:rsidP="00A31137">
      <w:r w:rsidRPr="00A31137">
        <w:t>We are charged with the stewardship of an irreplaceable environment. The Democratic Party must continue to be as environmentally progressive in the future as it has been in the past. Progress in environmental quality—a major achievement of the 1970s—must continue in the 1980s. The environmental problems we face today are, if anything, more challenging and urgent than those of ten years ago.</w:t>
      </w:r>
    </w:p>
    <w:p w:rsidR="00A31137" w:rsidRPr="00A31137" w:rsidRDefault="00A31137" w:rsidP="00A31137">
      <w:r w:rsidRPr="00A31137">
        <w:t>1980 Democratic Platform, p.34</w:t>
      </w:r>
    </w:p>
    <w:p w:rsidR="00A31137" w:rsidRPr="00A31137" w:rsidRDefault="00A31137" w:rsidP="00A31137">
      <w:r w:rsidRPr="00A31137">
        <w:t>The great strides we have taken during the past few years are the best evidence of our commitment to resource conservation and environmental restoration. We have compiled a proud record.</w:t>
      </w:r>
    </w:p>
    <w:p w:rsidR="00A31137" w:rsidRPr="00A31137" w:rsidRDefault="00A31137" w:rsidP="00A31137">
      <w:r w:rsidRPr="00A31137">
        <w:t>1980 Democratic Platform, p.34</w:t>
      </w:r>
    </w:p>
    <w:p w:rsidR="00A31137" w:rsidRPr="00A31137" w:rsidRDefault="00A31137" w:rsidP="00A31137">
      <w:r w:rsidRPr="00A31137">
        <w:t>During the next four years, we must carry forward vigorously with these important policies, and move to address a series of new challenges.</w:t>
      </w:r>
    </w:p>
    <w:p w:rsidR="00A31137" w:rsidRPr="00A31137" w:rsidRDefault="00A31137" w:rsidP="00A31137">
      <w:r w:rsidRPr="00A31137">
        <w:t>1980 Democratic Platform, p.34</w:t>
      </w:r>
    </w:p>
    <w:p w:rsidR="00A31137" w:rsidRPr="00A31137" w:rsidRDefault="00A31137" w:rsidP="00A31137">
      <w:r w:rsidRPr="00A31137">
        <w:t>We must move decisively to protect our countryside and our coastline from overdevelopment and mismanagement. Major efforts are now underway to solve such problems as disappearing farmland and development on our barrier islands. These efforts should help forge a strong national consensus behind the realization that protection must be balanced with the need to properly manage and utilize our land resources during the 1980s.</w:t>
      </w:r>
    </w:p>
    <w:p w:rsidR="00A31137" w:rsidRPr="00A31137" w:rsidRDefault="00A31137" w:rsidP="00A31137">
      <w:r w:rsidRPr="00A31137">
        <w:t>1980 Democratic Platform, p.34</w:t>
      </w:r>
    </w:p>
    <w:p w:rsidR="00A31137" w:rsidRPr="00A31137" w:rsidRDefault="00A31137" w:rsidP="00A31137">
      <w:r w:rsidRPr="00A31137">
        <w:t>We must develop new and improved working relationships among federal, state, local, tribal, and territorial governments and private interests, to manage effectively our programs for increased domestic energy production and their impact on people, water, air, and the environment in general. All of our energy development efforts should be carried out without sacrificing environmental quality.</w:t>
      </w:r>
    </w:p>
    <w:p w:rsidR="00A31137" w:rsidRPr="00A31137" w:rsidRDefault="00A31137" w:rsidP="00A31137">
      <w:r w:rsidRPr="00A31137">
        <w:t>1980 Democratic Platform, p.34</w:t>
      </w:r>
    </w:p>
    <w:p w:rsidR="00A31137" w:rsidRPr="00A31137" w:rsidRDefault="00A31137" w:rsidP="00A31137">
      <w:r w:rsidRPr="00A31137">
        <w:t>We must continue on the path to a sustainable energy future—a future based increasingly on renewable resources and energy conservation. Our national goal of having 20 percent of our energy from renewable resources in the year 2000 must become a working target, not a forgotten slogan. Conservation must remain the cornerstone of our national energy supply.</w:t>
      </w:r>
    </w:p>
    <w:p w:rsidR="00A31137" w:rsidRPr="00A31137" w:rsidRDefault="00A31137" w:rsidP="00A31137">
      <w:r w:rsidRPr="00A31137">
        <w:t>1980 Democratic Platform, p.34</w:t>
      </w:r>
    </w:p>
    <w:p w:rsidR="00A31137" w:rsidRPr="00A31137" w:rsidRDefault="00A31137" w:rsidP="00A31137">
      <w:r w:rsidRPr="00A31137">
        <w:t>New efforts at home and abroad will be required in the early 1980s to face squarely such global problems as the destruction of forests, the loss of countless irreplaceable species, growing world population, acid rain, and carbon dioxide buildup.</w:t>
      </w:r>
    </w:p>
    <w:p w:rsidR="00A31137" w:rsidRPr="00A31137" w:rsidRDefault="00A31137" w:rsidP="00A31137">
      <w:r w:rsidRPr="00A31137">
        <w:t>1980 Democratic Platform, p.34</w:t>
      </w:r>
    </w:p>
    <w:p w:rsidR="00A31137" w:rsidRPr="00A31137" w:rsidRDefault="00A31137" w:rsidP="00A31137">
      <w:r w:rsidRPr="00A31137">
        <w:t>Passage by Congress of the hazardous waste cleanup proposal will provide the basis for a major effort beginning in 1981 to clean up the thousands of hazardous waste dump sites across the country. Toxic chemicals are a serious threat to the health of our people. We must continue our programs to improve agency performance in many areas, such as protection of groundwater, in order to better protect the public.</w:t>
      </w:r>
    </w:p>
    <w:p w:rsidR="00A31137" w:rsidRPr="00A31137" w:rsidRDefault="00A31137" w:rsidP="00A31137">
      <w:r w:rsidRPr="00A31137">
        <w:t>1980 Democratic Platform, p.34</w:t>
      </w:r>
    </w:p>
    <w:p w:rsidR="00A31137" w:rsidRPr="00A31137" w:rsidRDefault="00A31137" w:rsidP="00A31137">
      <w:r w:rsidRPr="00A31137">
        <w:t>We must strive to ensure that environmental regulations cost no more than necessary and are streamlined to eliminate waste, duplication and delay. We must not lose sight of the fact that the benefits of these regulations far outweigh their costs. We must work to reform legislation without deforming it.</w:t>
      </w:r>
    </w:p>
    <w:p w:rsidR="00A31137" w:rsidRPr="00A31137" w:rsidRDefault="00A31137" w:rsidP="00A31137">
      <w:r w:rsidRPr="00A31137">
        <w:t>1980 Democratic Platform, p.34</w:t>
      </w:r>
    </w:p>
    <w:p w:rsidR="00A31137" w:rsidRPr="00A31137" w:rsidRDefault="00A31137" w:rsidP="00A31137">
      <w:r w:rsidRPr="00A31137">
        <w:t>We support the allocation of resources to the Environmental Protection Agency and other environmental agencies sufficient to carry out their mandates.</w:t>
      </w:r>
    </w:p>
    <w:p w:rsidR="00A31137" w:rsidRPr="00A31137" w:rsidRDefault="00A31137" w:rsidP="00A31137">
      <w:r w:rsidRPr="00A31137">
        <w:t>1980 Democratic Platform, p.34</w:t>
      </w:r>
    </w:p>
    <w:p w:rsidR="00A31137" w:rsidRPr="00A31137" w:rsidRDefault="00A31137" w:rsidP="00A31137">
      <w:r w:rsidRPr="00A31137">
        <w:t>We support strict adherence to automobile pollution standards.</w:t>
      </w:r>
    </w:p>
    <w:p w:rsidR="00A31137" w:rsidRPr="00A31137" w:rsidRDefault="00A31137" w:rsidP="00A31137">
      <w:r w:rsidRPr="00A31137">
        <w:t>1980 Democratic Platform, p.34</w:t>
      </w:r>
    </w:p>
    <w:p w:rsidR="00A31137" w:rsidRPr="00A31137" w:rsidRDefault="00A31137" w:rsidP="00A31137">
      <w:r w:rsidRPr="00A31137">
        <w:t>We will support policies to eliminate acid rain pollution from power plant emissions.</w:t>
      </w:r>
    </w:p>
    <w:p w:rsidR="00A31137" w:rsidRPr="00A31137" w:rsidRDefault="00A31137" w:rsidP="00A31137">
      <w:r w:rsidRPr="00A31137">
        <w:t>1980 Democratic Platform, p.34</w:t>
      </w:r>
    </w:p>
    <w:p w:rsidR="00A31137" w:rsidRPr="00A31137" w:rsidRDefault="00A31137" w:rsidP="00A31137">
      <w:r w:rsidRPr="00A31137">
        <w:t>We will commit ourselves to efficient transportation alternatives, including mass transit, car pooling, van pooling, employer based commuter plans, and hydrogen and electric commuter vehicles.</w:t>
      </w:r>
    </w:p>
    <w:p w:rsidR="00A31137" w:rsidRPr="00A31137" w:rsidRDefault="00A31137" w:rsidP="00A31137">
      <w:r w:rsidRPr="00A31137">
        <w:t>1980 Democratic Platform, p.34</w:t>
      </w:r>
    </w:p>
    <w:p w:rsidR="00A31137" w:rsidRPr="00A31137" w:rsidRDefault="00A31137" w:rsidP="00A31137">
      <w:r w:rsidRPr="00A31137">
        <w:t>We will continue to fight noise pollution in our urban centers and job sites.</w:t>
      </w:r>
    </w:p>
    <w:p w:rsidR="00A31137" w:rsidRPr="00A31137" w:rsidRDefault="00A31137" w:rsidP="00A31137">
      <w:r w:rsidRPr="00A31137">
        <w:t>1980 Democratic Platform, p.34</w:t>
      </w:r>
    </w:p>
    <w:p w:rsidR="00A31137" w:rsidRPr="00A31137" w:rsidRDefault="00A31137" w:rsidP="00A31137">
      <w:r w:rsidRPr="00A31137">
        <w:t>We will encourage the recycling of municipal solid waste.</w:t>
      </w:r>
    </w:p>
    <w:p w:rsidR="00A31137" w:rsidRPr="00A31137" w:rsidRDefault="00A31137" w:rsidP="00A31137">
      <w:r w:rsidRPr="00A31137">
        <w:t>1980 Democratic Platform, p.34</w:t>
      </w:r>
    </w:p>
    <w:p w:rsidR="00A31137" w:rsidRPr="00A31137" w:rsidRDefault="00A31137" w:rsidP="00A31137">
      <w:r w:rsidRPr="00A31137">
        <w:t>We will seek a strong "super-fund" law financed by government and industry.</w:t>
      </w:r>
    </w:p>
    <w:p w:rsidR="00A31137" w:rsidRPr="00A31137" w:rsidRDefault="00A31137" w:rsidP="00A31137">
      <w:r w:rsidRPr="00A31137">
        <w:t>1980 Democratic Platform, p.34</w:t>
      </w:r>
    </w:p>
    <w:p w:rsidR="00A31137" w:rsidRPr="00A31137" w:rsidRDefault="00A31137" w:rsidP="00A31137">
      <w:r w:rsidRPr="00A31137">
        <w:t>We must continue to pursue offshore energy leasing to stimulate our domestic oil and gas production and reduce our dependence on foreign oil consistent with environmental and marine concerns.</w:t>
      </w:r>
    </w:p>
    <w:p w:rsidR="00A31137" w:rsidRPr="00A31137" w:rsidRDefault="00A31137" w:rsidP="00A31137">
      <w:r w:rsidRPr="00A31137">
        <w:t>1980 Democratic Platform, p.34</w:t>
      </w:r>
    </w:p>
    <w:p w:rsidR="00A31137" w:rsidRPr="00A31137" w:rsidRDefault="00A31137" w:rsidP="00A31137">
      <w:r w:rsidRPr="00A31137">
        <w:t>We will fund adequately the Land and Water Conservation Fund to protect our national park system.</w:t>
      </w:r>
    </w:p>
    <w:p w:rsidR="00A31137" w:rsidRPr="00A31137" w:rsidRDefault="00A31137" w:rsidP="00A31137">
      <w:r w:rsidRPr="00A31137">
        <w:t>1980 Democratic Platform, p.34</w:t>
      </w:r>
    </w:p>
    <w:p w:rsidR="00A31137" w:rsidRPr="00A31137" w:rsidRDefault="00A31137" w:rsidP="00A31137">
      <w:r w:rsidRPr="00A31137">
        <w:t>We will implement vigorously the Toxic Substances Control Act.</w:t>
      </w:r>
    </w:p>
    <w:p w:rsidR="00A31137" w:rsidRPr="00A31137" w:rsidRDefault="00A31137" w:rsidP="00A31137">
      <w:r w:rsidRPr="00A31137">
        <w:t>1980 Democratic Platform, p.34</w:t>
      </w:r>
    </w:p>
    <w:p w:rsidR="00A31137" w:rsidRPr="00A31137" w:rsidRDefault="00A31137" w:rsidP="00A31137">
      <w:r w:rsidRPr="00A31137">
        <w:t>Often, actions by one nation affect the economic growth and the quality of life in other nations. Such actions can be influenced by international agreement and incentives.</w:t>
      </w:r>
    </w:p>
    <w:p w:rsidR="00A31137" w:rsidRPr="00A31137" w:rsidRDefault="00A31137" w:rsidP="00A31137">
      <w:r w:rsidRPr="00A31137">
        <w:t>1980 Democratic Platform, p.34</w:t>
      </w:r>
    </w:p>
    <w:p w:rsidR="00A31137" w:rsidRPr="00A31137" w:rsidRDefault="00A31137" w:rsidP="00A31137">
      <w:r w:rsidRPr="00A31137">
        <w:t>To defend against environmental risks that cross national frontiers, international cooperation must be extended to new areas, such as acid rain, deforestation and desertification, buildup of carbon dioxide in the [p.35] atmosphere, thinning of the ozone shield, air and water pollution, oil spills, chemicals in the environment, and disposal of radioactive waste.</w:t>
      </w:r>
    </w:p>
    <w:p w:rsidR="00A31137" w:rsidRPr="00A31137" w:rsidRDefault="00A31137" w:rsidP="00A31137">
      <w:r w:rsidRPr="00A31137">
        <w:t>Water</w:t>
      </w:r>
    </w:p>
    <w:p w:rsidR="00A31137" w:rsidRPr="00A31137" w:rsidRDefault="00A31137" w:rsidP="00A31137">
      <w:r w:rsidRPr="00A31137">
        <w:t>1980 Democratic Platform, p.35</w:t>
      </w:r>
    </w:p>
    <w:p w:rsidR="00A31137" w:rsidRPr="00A31137" w:rsidRDefault="00A31137" w:rsidP="00A31137">
      <w:r w:rsidRPr="00A31137">
        <w:t>Water is a necessity to all, and represents life itself to much of the American Union. We recognize especially the singular dependence of the Western states on scarce water supplies. The development of navigation, irrigation, flood control, and hydroelectric projects is vital to the economic health of the West, and correspondingly to the entire nation.</w:t>
      </w:r>
    </w:p>
    <w:p w:rsidR="00A31137" w:rsidRPr="00A31137" w:rsidRDefault="00A31137" w:rsidP="00A31137">
      <w:r w:rsidRPr="00A31137">
        <w:t>1980 Democratic Platform, p.35</w:t>
      </w:r>
    </w:p>
    <w:p w:rsidR="00A31137" w:rsidRPr="00A31137" w:rsidRDefault="00A31137" w:rsidP="00A31137">
      <w:r w:rsidRPr="00A31137">
        <w:t>Working with Congress, the Democratic Administration will implement a national water policy which recognizes the special needs of the West. Toward this end, we support the modern standards and valid cost-benefit analysis suggested by the Federal Water Resources Council. We support a federal study, in partnership with the affected states, to explore possibilities and recommend alternatives relative to importation of water into arid and semi-arid states. We also support state, local, and tribal participation in all phases of water programs within their respective jurisdictions.</w:t>
      </w:r>
    </w:p>
    <w:p w:rsidR="00A31137" w:rsidRPr="00A31137" w:rsidRDefault="00A31137" w:rsidP="00A31137">
      <w:r w:rsidRPr="00A31137">
        <w:t>Democratic Party Platforms: 1976 and 1980,  p.35</w:t>
      </w:r>
    </w:p>
    <w:p w:rsidR="00A31137" w:rsidRPr="00A31137" w:rsidRDefault="00A31137" w:rsidP="00A31137">
      <w:r w:rsidRPr="00A31137">
        <w:t>Recently, water programs across the nation have become enmeshed in controversy and conflicting values. It is not unusual for a federal water project to take a generation from the time it is authorized to the time construction actually begins.</w:t>
      </w:r>
    </w:p>
    <w:p w:rsidR="00A31137" w:rsidRPr="00A31137" w:rsidRDefault="00A31137" w:rsidP="00A31137">
      <w:r w:rsidRPr="00A31137">
        <w:t>Democratic Party Platforms: 1976 and 1980,  p.35</w:t>
      </w:r>
    </w:p>
    <w:p w:rsidR="00A31137" w:rsidRPr="00A31137" w:rsidRDefault="00A31137" w:rsidP="00A31137">
      <w:r w:rsidRPr="00A31137">
        <w:t>Yet the national need for expanded and accelerated investment in water development grows ever more pressing, and is increasingly acknowledged. If, as but one example, we are to develop our unequaled coal resources as a substitute for imported oil, we will require expansion of water transportation and improvement of seaports beyond the imagination of even those early Americans who sensed the path to empire in our inland waterways. The development of synthetic fuels, which must of necessity be concentrated in states with sparse water supplies, is an enormous challenge to engineering and science.</w:t>
      </w:r>
    </w:p>
    <w:p w:rsidR="00A31137" w:rsidRPr="00A31137" w:rsidRDefault="00A31137" w:rsidP="00A31137">
      <w:r w:rsidRPr="00A31137">
        <w:t>Democratic Party Platforms: 1976 and 1980,  p.35</w:t>
      </w:r>
    </w:p>
    <w:p w:rsidR="00A31137" w:rsidRPr="00A31137" w:rsidRDefault="00A31137" w:rsidP="00A31137">
      <w:r w:rsidRPr="00A31137">
        <w:t>Similarly, the task of reindustrialization requires that we recognize the water development needs of all sections of the nation.</w:t>
      </w:r>
    </w:p>
    <w:p w:rsidR="00A31137" w:rsidRPr="00A31137" w:rsidRDefault="00A31137" w:rsidP="00A31137">
      <w:r w:rsidRPr="00A31137">
        <w:t>Democratic Party Platforms: 1976 and 1980,  p.35</w:t>
      </w:r>
    </w:p>
    <w:p w:rsidR="00A31137" w:rsidRPr="00A31137" w:rsidRDefault="00A31137" w:rsidP="00A31137">
      <w:r w:rsidRPr="00A31137">
        <w:t>Water to supply steel mills and automobile factories, to provide for the needs of commercial cities and associated suburbs, makes a legitimate and pressing claim on national priorities.</w:t>
      </w:r>
    </w:p>
    <w:p w:rsidR="00A31137" w:rsidRPr="00A31137" w:rsidRDefault="00A31137" w:rsidP="00A31137">
      <w:r w:rsidRPr="00A31137">
        <w:t>Democratic Party Platforms: 1976 and 1980,  p.35</w:t>
      </w:r>
    </w:p>
    <w:p w:rsidR="00A31137" w:rsidRPr="00A31137" w:rsidRDefault="00A31137" w:rsidP="00A31137">
      <w:r w:rsidRPr="00A31137">
        <w:t>We recognize the need to develop a truly national water program which responds to the needs of each region of our country in an active and effective manner and which recognizes the social effects of water projects.</w:t>
      </w:r>
    </w:p>
    <w:p w:rsidR="00A31137" w:rsidRPr="00A31137" w:rsidRDefault="00A31137" w:rsidP="00A31137">
      <w:r w:rsidRPr="00A31137">
        <w:t>Democratic Party Platforms: 1976 and 1980,  p.35</w:t>
      </w:r>
    </w:p>
    <w:p w:rsidR="00A31137" w:rsidRPr="00A31137" w:rsidRDefault="00A31137" w:rsidP="00A31137">
      <w:r w:rsidRPr="00A31137">
        <w:t>The Democratic Party strongly supports the desalinization of sea water and the development of water resources in those areas of the country where water is scarce.</w:t>
      </w:r>
    </w:p>
    <w:p w:rsidR="00A31137" w:rsidRPr="00A31137" w:rsidRDefault="00A31137" w:rsidP="00A31137">
      <w:r w:rsidRPr="00A31137">
        <w:t>Agriculture</w:t>
      </w:r>
    </w:p>
    <w:p w:rsidR="00A31137" w:rsidRPr="00A31137" w:rsidRDefault="00A31137" w:rsidP="00A31137">
      <w:r w:rsidRPr="00A31137">
        <w:t>1980 Democratic Platform, p.35</w:t>
      </w:r>
    </w:p>
    <w:p w:rsidR="00A31137" w:rsidRPr="00A31137" w:rsidRDefault="00A31137" w:rsidP="00A31137">
      <w:r w:rsidRPr="00A31137">
        <w:t>America's farmers are among the most vital economic forces of the nation. Because of their extraordinary productivity, Americas farm workers provide more food and fiber per person at a lower cost than their counterparts in any other country. American consumers have a more certain food supply than consumers in any other nation, even though a third of our farm production is sold abroad each year.</w:t>
      </w:r>
    </w:p>
    <w:p w:rsidR="00A31137" w:rsidRPr="00A31137" w:rsidRDefault="00A31137" w:rsidP="00A31137">
      <w:r w:rsidRPr="00A31137">
        <w:t>Democratic Party Platforms: 1976 and 1980,  p.35</w:t>
      </w:r>
    </w:p>
    <w:p w:rsidR="00A31137" w:rsidRPr="00A31137" w:rsidRDefault="00A31137" w:rsidP="00A31137">
      <w:r w:rsidRPr="00A31137">
        <w:t>In 1977, the Democratic Administration inherited a farm economy marked by serious over-production and badly outdated price support programs. Farm prices and incomes were plummeting, partly in response to misguided attempts at price controls. The livestock sector was in its third straight year of loss, and a herd liquidation of unprecedented scale was under way.</w:t>
      </w:r>
    </w:p>
    <w:p w:rsidR="00A31137" w:rsidRPr="00A31137" w:rsidRDefault="00A31137" w:rsidP="00A31137">
      <w:r w:rsidRPr="00A31137">
        <w:t>Democratic Party Platforms: 1976 and 1980,  p.35</w:t>
      </w:r>
    </w:p>
    <w:p w:rsidR="00A31137" w:rsidRPr="00A31137" w:rsidRDefault="00A31137" w:rsidP="00A31137">
      <w:r w:rsidRPr="00A31137">
        <w:t>Because of actions taken by the Democratic Administration and Democratic Congress, this situation was turned around in 1978 and 1979. U.S. agriculture was put back on a track of steady, sustained growth and improvement. The sharp decline of farm prices and farm incomes was reversed. An aggressive program of export promotion resulted in record high agricultural exports in each of the past three years.</w:t>
      </w:r>
    </w:p>
    <w:p w:rsidR="00A31137" w:rsidRPr="00A31137" w:rsidRDefault="00A31137" w:rsidP="00A31137">
      <w:r w:rsidRPr="00A31137">
        <w:t>Democratic Party Platforms: 1976 and 1980,  p.35</w:t>
      </w:r>
    </w:p>
    <w:p w:rsidR="00A31137" w:rsidRPr="00A31137" w:rsidRDefault="00A31137" w:rsidP="00A31137">
      <w:r w:rsidRPr="00A31137">
        <w:t>Recently, however, the nation's farm economy has been hurt by reduced prices; high costs of production, including energy, inflation, equipment, and high interest rates. As a result, our nation's farmers are facing a time of hardship.</w:t>
      </w:r>
    </w:p>
    <w:p w:rsidR="00A31137" w:rsidRPr="00A31137" w:rsidRDefault="00A31137" w:rsidP="00A31137">
      <w:r w:rsidRPr="00A31137">
        <w:t>Democratic Party Platforms: 1976 and 1980,  p.35</w:t>
      </w:r>
    </w:p>
    <w:p w:rsidR="00A31137" w:rsidRPr="00A31137" w:rsidRDefault="00A31137" w:rsidP="00A31137">
      <w:r w:rsidRPr="00A31137">
        <w:t>Agricultural policy in the 1980s must strengthen the forces which made American farmers the most productive in the world and American agriculture the hope of hungry people everywhere. In this way, we can ensure a decade of prosperity for farmers and of agricultural abundance for America's consumers.</w:t>
      </w:r>
    </w:p>
    <w:p w:rsidR="00A31137" w:rsidRPr="00A31137" w:rsidRDefault="00A31137" w:rsidP="00A31137">
      <w:r w:rsidRPr="00A31137">
        <w:t>Democratic Party Platforms: 1976 and 1980,  p.35</w:t>
      </w:r>
    </w:p>
    <w:p w:rsidR="00A31137" w:rsidRPr="00A31137" w:rsidRDefault="00A31137" w:rsidP="00A31137">
      <w:r w:rsidRPr="00A31137">
        <w:t>The Democratic Party pledges itself to the following goals.</w:t>
      </w:r>
    </w:p>
    <w:p w:rsidR="00A31137" w:rsidRPr="00A31137" w:rsidRDefault="00A31137" w:rsidP="00A31137">
      <w:r w:rsidRPr="00A31137">
        <w:t>Democratic Party Platforms: 1976 and 1980,  p.35</w:t>
      </w:r>
    </w:p>
    <w:p w:rsidR="00A31137" w:rsidRPr="00A31137" w:rsidRDefault="00A31137" w:rsidP="00A31137">
      <w:r w:rsidRPr="00A31137">
        <w:t>Continued attention to expanding farm exports—American agriculture's long-run interests remain firmly tied to the sale of U.S. farm products abroad. Despite the significant progress made to date, it is important that we continue to work at breaking down barriers to trade and capitalizing on our nation's enormous advantage in the production of food and fiber.</w:t>
      </w:r>
    </w:p>
    <w:p w:rsidR="00A31137" w:rsidRPr="00A31137" w:rsidRDefault="00A31137" w:rsidP="00A31137">
      <w:r w:rsidRPr="00A31137">
        <w:t>Democratic Party Platforms: 1976 and 1980,  p.35</w:t>
      </w:r>
    </w:p>
    <w:p w:rsidR="00A31137" w:rsidRPr="00A31137" w:rsidRDefault="00A31137" w:rsidP="00A31137">
      <w:r w:rsidRPr="00A31137">
        <w:t>If food is to be used as an instrument of foreign policy, it is inoperative that farm income be protected. Farmers must have access to free markets.</w:t>
      </w:r>
    </w:p>
    <w:p w:rsidR="00A31137" w:rsidRPr="00A31137" w:rsidRDefault="00A31137" w:rsidP="00A31137">
      <w:r w:rsidRPr="00A31137">
        <w:t>Democratic Party Platforms: 1976 and 1980,  p.35</w:t>
      </w:r>
    </w:p>
    <w:p w:rsidR="00A31137" w:rsidRPr="00A31137" w:rsidRDefault="00A31137" w:rsidP="00A31137">
      <w:r w:rsidRPr="00A31137">
        <w:t>Recognizing the patriotic sacrifices made by the American farmer during the agricultural embargo protesting the invasion of Afghanistan, we commend the agricultural community's contribution in the field [p.36] of foreign affairs. Except in time of war or grave threats to national security, the federal government should impose no future embargoes on agricultural products.</w:t>
      </w:r>
    </w:p>
    <w:p w:rsidR="00A31137" w:rsidRPr="00A31137" w:rsidRDefault="00A31137" w:rsidP="00A31137">
      <w:r w:rsidRPr="00A31137">
        <w:t>1980 Democratic Platform, p.36</w:t>
      </w:r>
    </w:p>
    <w:p w:rsidR="00A31137" w:rsidRPr="00A31137" w:rsidRDefault="00A31137" w:rsidP="00A31137">
      <w:r w:rsidRPr="00A31137">
        <w:t>Protecting farm prices and farm income— Rapidly rising costs of production, especially energy costs, make it imperative that we increase the level of support for farm prices and income by increasing target prices to cover the cost of production. For those farm products not covered by target prices, such as soy-beans, cattle, hogs, poultry, sugar cane, and sugar beets, we pledge support programs that will maintain viable domestic production. Low cost farm credit should be extended with the least possible delay in times of stress from decreased farm income or disasters.</w:t>
      </w:r>
    </w:p>
    <w:p w:rsidR="00A31137" w:rsidRPr="00A31137" w:rsidRDefault="00A31137" w:rsidP="00A31137">
      <w:r w:rsidRPr="00A31137">
        <w:t>Democratic Party Platforms: 1976 and 1980,  p.36</w:t>
      </w:r>
    </w:p>
    <w:p w:rsidR="00A31137" w:rsidRPr="00A31137" w:rsidRDefault="00A31137" w:rsidP="00A31137">
      <w:r w:rsidRPr="00A31137">
        <w:t>It is in the nation's long-run interest that returns to farmers keep pace with rising costs to ensure a fair return on investment.</w:t>
      </w:r>
    </w:p>
    <w:p w:rsidR="00A31137" w:rsidRPr="00A31137" w:rsidRDefault="00A31137" w:rsidP="00A31137">
      <w:r w:rsidRPr="00A31137">
        <w:t>Democratic Party Platforms: 1976 and 1980,  p.36</w:t>
      </w:r>
    </w:p>
    <w:p w:rsidR="00A31137" w:rsidRPr="00A31137" w:rsidRDefault="00A31137" w:rsidP="00A31137">
      <w:r w:rsidRPr="00A31137">
        <w:t>Measures to protect and further enhance agricultural productivity—Although agricultural productivity remains high in comparison with productivity in the non-farm sector, its rate of increase has slowed over the past two or three decades. This trend must be reversed through greater attention to the effects of regulatory actions, increased support for agricultural research, and intensified efforts to conserve our vital land and water resources.</w:t>
      </w:r>
    </w:p>
    <w:p w:rsidR="00A31137" w:rsidRPr="00A31137" w:rsidRDefault="00A31137" w:rsidP="00A31137">
      <w:r w:rsidRPr="00A31137">
        <w:t>Democratic Party Platforms: 1976 and 1980,  p.36</w:t>
      </w:r>
    </w:p>
    <w:p w:rsidR="00A31137" w:rsidRPr="00A31137" w:rsidRDefault="00A31137" w:rsidP="00A31137">
      <w:r w:rsidRPr="00A31137">
        <w:t>Rebuilding our agricultural transportation system—The transportation system which moves our agricultural products to their final markets, including ports for export shipment, has been strained to the limit. While needed improvements have begun, through such measures as trucking and rail deregulation and the expansion of Lock and Dam 26 (on the Mississippi River at Alton, Illinois), more intensive efforts will be required in the future. In the ease of railroads, a rebuilding effort will be required.</w:t>
      </w:r>
    </w:p>
    <w:p w:rsidR="00A31137" w:rsidRPr="00A31137" w:rsidRDefault="00A31137" w:rsidP="00A31137">
      <w:r w:rsidRPr="00A31137">
        <w:t>Democratic Party Platforms: 1976 and 1980,  p.36</w:t>
      </w:r>
    </w:p>
    <w:p w:rsidR="00A31137" w:rsidRPr="00A31137" w:rsidRDefault="00A31137" w:rsidP="00A31137">
      <w:r w:rsidRPr="00A31137">
        <w:t>Protecting our soil resource—American agriculture is critically dependent on the productivity of its soil. Without careful and consistent stewardship of this important resource, it can become depleted. An assessment of our nation's conservation needs is now underway. We must be prepared to act on the findings of this assessment. Emergency procedures should be enacted to increase soil conservation incentives for construction of watersheds, tile intake terraces, and other soil saving practices.</w:t>
      </w:r>
    </w:p>
    <w:p w:rsidR="00A31137" w:rsidRPr="00A31137" w:rsidRDefault="00A31137" w:rsidP="00A31137">
      <w:r w:rsidRPr="00A31137">
        <w:t>Democratic Party Platforms: 1976 and 1980,  p.36</w:t>
      </w:r>
    </w:p>
    <w:p w:rsidR="00A31137" w:rsidRPr="00A31137" w:rsidRDefault="00A31137" w:rsidP="00A31137">
      <w:r w:rsidRPr="00A31137">
        <w:t>Protecting family farms—The real genius of American agriculture is the role and prominence of the farm family. It is this form of organization that provides agriculture with its vitality, independent spirit, and progressiveness. We must protect farmers from land speculators, giant farm combinations, and foreign buyers. We support laws requiring disclosure of all foreign ownership of farmland and we will continue to monitor such ownership to determine its impact on our farms.</w:t>
      </w:r>
    </w:p>
    <w:p w:rsidR="00A31137" w:rsidRPr="00A31137" w:rsidRDefault="00A31137" w:rsidP="00A31137">
      <w:r w:rsidRPr="00A31137">
        <w:t>Democratic Party Platforms: 1976 and 1980,  p.36</w:t>
      </w:r>
    </w:p>
    <w:p w:rsidR="00A31137" w:rsidRPr="00A31137" w:rsidRDefault="00A31137" w:rsidP="00A31137">
      <w:r w:rsidRPr="00A31137">
        <w:t>While we recognize the need to modernize the 1902 Reclamation Act, we reaffirm our support for its intent—to assure that the federal subsidy program assists only family farmers.</w:t>
      </w:r>
    </w:p>
    <w:p w:rsidR="00A31137" w:rsidRPr="00A31137" w:rsidRDefault="00A31137" w:rsidP="00A31137">
      <w:r w:rsidRPr="00A31137">
        <w:t>Democratic Party Platforms: 1976 and 1980,  p.36</w:t>
      </w:r>
    </w:p>
    <w:p w:rsidR="00A31137" w:rsidRPr="00A31137" w:rsidRDefault="00A31137" w:rsidP="00A31137">
      <w:r w:rsidRPr="00A31137">
        <w:t>We support reforms in the estate tax to strengthen the stability of family farms.</w:t>
      </w:r>
    </w:p>
    <w:p w:rsidR="00A31137" w:rsidRPr="00A31137" w:rsidRDefault="00A31137" w:rsidP="00A31137">
      <w:r w:rsidRPr="00A31137">
        <w:t>Democratic Party Platforms: 1976 and 1980,  p.36</w:t>
      </w:r>
    </w:p>
    <w:p w:rsidR="00A31137" w:rsidRPr="00A31137" w:rsidRDefault="00A31137" w:rsidP="00A31137">
      <w:r w:rsidRPr="00A31137">
        <w:t>Farmer Involvement—There is a continuing need to devise better ways of involving people in the decisions of their government, particularly in those decisions that have direct and important effects on their lives. We realize the need for a strong cattle industry and for ranchers' involvement in the development of farm programs. Considerable progress has been made in this regard, but more is required.</w:t>
      </w:r>
    </w:p>
    <w:p w:rsidR="00A31137" w:rsidRPr="00A31137" w:rsidRDefault="00A31137" w:rsidP="00A31137">
      <w:r w:rsidRPr="00A31137">
        <w:t>Democratic Party Platforms: 1976 and 1980,  p.36</w:t>
      </w:r>
    </w:p>
    <w:p w:rsidR="00A31137" w:rsidRPr="00A31137" w:rsidRDefault="00A31137" w:rsidP="00A31137">
      <w:r w:rsidRPr="00A31137">
        <w:t>Capper-Volstead Act—We reaffirm our strong support for agricultural cooperatives and bargaining associations to engage in vigorous programs to pack, process and market their members' crops as provided for in the Capper-Volstead Act.</w:t>
      </w:r>
    </w:p>
    <w:p w:rsidR="00A31137" w:rsidRPr="00A31137" w:rsidRDefault="00A31137" w:rsidP="00A31137">
      <w:r w:rsidRPr="00A31137">
        <w:t>Democratic Party Platforms: 1976 and 1980,  p.36</w:t>
      </w:r>
    </w:p>
    <w:p w:rsidR="00A31137" w:rsidRPr="00A31137" w:rsidRDefault="00A31137" w:rsidP="00A31137">
      <w:r w:rsidRPr="00A31137">
        <w:t>Farm labor—We must vigorously enforce existing laws relating to farm labor organization and recognize the right of farm workers to bargain collectively, while ensuring the legal rights of farmers.</w:t>
      </w:r>
    </w:p>
    <w:p w:rsidR="00A31137" w:rsidRPr="00A31137" w:rsidRDefault="00A31137" w:rsidP="00A31137">
      <w:r w:rsidRPr="00A31137">
        <w:t>Democratic Party Platforms: 1976 and 1980,  p.36</w:t>
      </w:r>
    </w:p>
    <w:p w:rsidR="00A31137" w:rsidRPr="00A31137" w:rsidRDefault="00A31137" w:rsidP="00A31137">
      <w:r w:rsidRPr="00A31137">
        <w:t>Farm mechanization—We support restraining programs for farm workers displaced by mechanized farming.</w:t>
      </w:r>
    </w:p>
    <w:p w:rsidR="00A31137" w:rsidRPr="00A31137" w:rsidRDefault="00A31137" w:rsidP="00A31137">
      <w:r w:rsidRPr="00A31137">
        <w:t>Forestry</w:t>
      </w:r>
    </w:p>
    <w:p w:rsidR="00A31137" w:rsidRPr="00A31137" w:rsidRDefault="00A31137" w:rsidP="00A31137">
      <w:r w:rsidRPr="00A31137">
        <w:t>1980 Democratic Platform, p.36</w:t>
      </w:r>
    </w:p>
    <w:p w:rsidR="00A31137" w:rsidRPr="00A31137" w:rsidRDefault="00A31137" w:rsidP="00A31137">
      <w:r w:rsidRPr="00A31137">
        <w:t>America's national forests contain a national treasure that provides recreation, wilderness, fish and wildlife, and timber products.</w:t>
      </w:r>
    </w:p>
    <w:p w:rsidR="00A31137" w:rsidRPr="00A31137" w:rsidRDefault="00A31137" w:rsidP="00A31137">
      <w:r w:rsidRPr="00A31137">
        <w:t>Democratic Party Platforms: 1976 and 1980,  p.36</w:t>
      </w:r>
    </w:p>
    <w:p w:rsidR="00A31137" w:rsidRPr="00A31137" w:rsidRDefault="00A31137" w:rsidP="00A31137">
      <w:r w:rsidRPr="00A31137">
        <w:t>We reaffirm the Democratic Party's traditional support for multiple-use management to ensure the survival of these precious resources for this generation and generations to come.</w:t>
      </w:r>
    </w:p>
    <w:p w:rsidR="00A31137" w:rsidRPr="00A31137" w:rsidRDefault="00A31137" w:rsidP="00A31137">
      <w:r w:rsidRPr="00A31137">
        <w:t>Democratic Party Platforms: 1976 and 1980,  p.36</w:t>
      </w:r>
    </w:p>
    <w:p w:rsidR="00A31137" w:rsidRPr="00A31137" w:rsidRDefault="00A31137" w:rsidP="00A31137">
      <w:r w:rsidRPr="00A31137">
        <w:t>We call for the speedy resolution by Congress of the Roadless Area Review and Evaluation, stimulated by this Administration, to determine which areas are best suited for wilderness and which should be released for timber harvest and multiple-use management.</w:t>
      </w:r>
    </w:p>
    <w:p w:rsidR="00A31137" w:rsidRPr="00A31137" w:rsidRDefault="00A31137" w:rsidP="00A31137">
      <w:r w:rsidRPr="00A31137">
        <w:t>Democratic Party Platforms: 1976 and 1980,  p.36</w:t>
      </w:r>
    </w:p>
    <w:p w:rsidR="00A31137" w:rsidRPr="00A31137" w:rsidRDefault="00A31137" w:rsidP="00A31137">
      <w:r w:rsidRPr="00A31137">
        <w:t>We support continued assistance to private, non-industrial forest owners to increase their management potential.</w:t>
      </w:r>
    </w:p>
    <w:p w:rsidR="00A31137" w:rsidRPr="00A31137" w:rsidRDefault="00A31137" w:rsidP="00A31137">
      <w:r w:rsidRPr="00A31137">
        <w:t>Democratic Party Platforms: 1976 and 1980,  p.36</w:t>
      </w:r>
    </w:p>
    <w:p w:rsidR="00A31137" w:rsidRPr="00A31137" w:rsidRDefault="00A31137" w:rsidP="00A31137">
      <w:r w:rsidRPr="00A31137">
        <w:t>On federal lands identified as part of our timber resource, we support:</w:t>
      </w:r>
    </w:p>
    <w:p w:rsidR="00A31137" w:rsidRPr="00A31137" w:rsidRDefault="00A31137" w:rsidP="00A31137">
      <w:r w:rsidRPr="00A31137">
        <w:t>Democratic Party Platforms: 1976 and 1980,  p.36</w:t>
      </w:r>
    </w:p>
    <w:p w:rsidR="00A31137" w:rsidRPr="00A31137" w:rsidRDefault="00A31137" w:rsidP="00A31137">
      <w:r w:rsidRPr="00A31137">
        <w:t>–Management policies which, consistent with sound, complete land management plans, will result in the highest timber yields, when trees are mature, and which can be sustained over the long term;</w:t>
      </w:r>
    </w:p>
    <w:p w:rsidR="00A31137" w:rsidRPr="00A31137" w:rsidRDefault="00A31137" w:rsidP="00A31137">
      <w:r w:rsidRPr="00A31137">
        <w:t>Democratic Party Platforms: 1976 and 1980,  p.36</w:t>
      </w:r>
    </w:p>
    <w:p w:rsidR="00A31137" w:rsidRPr="00A31137" w:rsidRDefault="00A31137" w:rsidP="00A31137">
      <w:r w:rsidRPr="00A31137">
        <w:t>–Concentration of timber sales on areas of greater potential;</w:t>
      </w:r>
    </w:p>
    <w:p w:rsidR="00A31137" w:rsidRPr="00A31137" w:rsidRDefault="00A31137" w:rsidP="00A31137">
      <w:r w:rsidRPr="00A31137">
        <w:t>1980 Democratic Platform, p.37</w:t>
      </w:r>
    </w:p>
    <w:p w:rsidR="00A31137" w:rsidRPr="00A31137" w:rsidRDefault="00A31137" w:rsidP="00A31137">
      <w:r w:rsidRPr="00A31137">
        <w:t>–Management [p.37] of these irreplaceable and environmentally unique areas to maintain perpetually their value; and</w:t>
      </w:r>
    </w:p>
    <w:p w:rsidR="00A31137" w:rsidRPr="00A31137" w:rsidRDefault="00A31137" w:rsidP="00A31137">
      <w:r w:rsidRPr="00A31137">
        <w:t>Democratic Party Platforms: 1976 and 1980,  p.37</w:t>
      </w:r>
    </w:p>
    <w:p w:rsidR="00A31137" w:rsidRPr="00A31137" w:rsidRDefault="00A31137" w:rsidP="00A31137">
      <w:r w:rsidRPr="00A31137">
        <w:t>–Provision of adequate access facilities for all of these uses.</w:t>
      </w:r>
    </w:p>
    <w:p w:rsidR="00A31137" w:rsidRPr="00A31137" w:rsidRDefault="00A31137" w:rsidP="00A31137">
      <w:r w:rsidRPr="00A31137">
        <w:t>Democratic Party Platforms: 1976 and 1980,  p.37</w:t>
      </w:r>
    </w:p>
    <w:p w:rsidR="00A31137" w:rsidRPr="00A31137" w:rsidRDefault="00A31137" w:rsidP="00A31137">
      <w:r w:rsidRPr="00A31137">
        <w:t>We shall insist that administration of public lands by the Department of Interior be fair and equitable. The interest of the state within which such public lands lie must be of paramount importance in the decision-making process. We encourage all federal agencies to consult with the states on such matters.</w:t>
      </w:r>
    </w:p>
    <w:p w:rsidR="00A31137" w:rsidRPr="00A31137" w:rsidRDefault="00A31137" w:rsidP="00A31137">
      <w:r w:rsidRPr="00A31137">
        <w:t>Fisheries</w:t>
      </w:r>
    </w:p>
    <w:p w:rsidR="00A31137" w:rsidRPr="00A31137" w:rsidRDefault="00A31137" w:rsidP="00A31137">
      <w:r w:rsidRPr="00A31137">
        <w:t>1980 Democratic Platform, p.36</w:t>
      </w:r>
    </w:p>
    <w:p w:rsidR="00A31137" w:rsidRPr="00A31137" w:rsidRDefault="00A31137" w:rsidP="00A31137">
      <w:r w:rsidRPr="00A31137">
        <w:t>Under the Democratic Administration the U.S. fishing industry has made substantial progress, as evidenced by the following:</w:t>
      </w:r>
    </w:p>
    <w:p w:rsidR="00A31137" w:rsidRPr="00A31137" w:rsidRDefault="00A31137" w:rsidP="00A31137">
      <w:r w:rsidRPr="00A31137">
        <w:t>Democratic Party Platforms: 1976 and 1980,  p.37</w:t>
      </w:r>
    </w:p>
    <w:p w:rsidR="00A31137" w:rsidRPr="00A31137" w:rsidRDefault="00A31137" w:rsidP="00A31137">
      <w:r w:rsidRPr="00A31137">
        <w:t>–Commercial landings of fish in 1979 were up 45 percent in value and 21 percent in quantity compared with 1977;</w:t>
      </w:r>
    </w:p>
    <w:p w:rsidR="00A31137" w:rsidRPr="00A31137" w:rsidRDefault="00A31137" w:rsidP="00A31137">
      <w:r w:rsidRPr="00A31137">
        <w:t>Democratic Party Platforms: 1976 and 1980,  p.37</w:t>
      </w:r>
    </w:p>
    <w:p w:rsidR="00A31137" w:rsidRPr="00A31137" w:rsidRDefault="00A31137" w:rsidP="00A31137">
      <w:r w:rsidRPr="00A31137">
        <w:t>–The U.S. share of the catch in our 200-mile fisheries conservation zone increased from 27 percent in 1978 to 33 percent in 1979;</w:t>
      </w:r>
    </w:p>
    <w:p w:rsidR="00A31137" w:rsidRPr="00A31137" w:rsidRDefault="00A31137" w:rsidP="00A31137">
      <w:r w:rsidRPr="00A31137">
        <w:t>Democratic Party Platforms: 1976 and 1980,  p.37</w:t>
      </w:r>
    </w:p>
    <w:p w:rsidR="00A31137" w:rsidRPr="00A31137" w:rsidRDefault="00A31137" w:rsidP="00A31137">
      <w:r w:rsidRPr="00A31137">
        <w:t>–Over the same period, the foreign catch of fish in the U.S. 200-mile zone dropped 6 percent, and 29 percent from the average for the five preceding years;</w:t>
      </w:r>
    </w:p>
    <w:p w:rsidR="00A31137" w:rsidRPr="00A31137" w:rsidRDefault="00A31137" w:rsidP="00A31137">
      <w:r w:rsidRPr="00A31137">
        <w:t>Democratic Party Platforms: 1976 and 1980,  p.37</w:t>
      </w:r>
    </w:p>
    <w:p w:rsidR="00A31137" w:rsidRPr="00A31137" w:rsidRDefault="00A31137" w:rsidP="00A31137">
      <w:r w:rsidRPr="00A31137">
        <w:t>–The U.S. has moved from fifth in the world in 1977 to fourth in 1978 in total commercial fish landings; and</w:t>
      </w:r>
    </w:p>
    <w:p w:rsidR="00A31137" w:rsidRPr="00A31137" w:rsidRDefault="00A31137" w:rsidP="00A31137">
      <w:r w:rsidRPr="00A31137">
        <w:t>Democratic Party Platforms: 1976 and 1980,  p.37</w:t>
      </w:r>
    </w:p>
    <w:p w:rsidR="00A31137" w:rsidRPr="00A31137" w:rsidRDefault="00A31137" w:rsidP="00A31137">
      <w:r w:rsidRPr="00A31137">
        <w:t>–Exports of U.S. edible fishery products in 1979 were up 116 percent in value and 67 percent in quantity compared with 1977.</w:t>
      </w:r>
    </w:p>
    <w:p w:rsidR="00A31137" w:rsidRPr="00A31137" w:rsidRDefault="00A31137" w:rsidP="00A31137">
      <w:r w:rsidRPr="00A31137">
        <w:t>Democratic Party Platforms: 1976 and 1980,  p.37</w:t>
      </w:r>
    </w:p>
    <w:p w:rsidR="00A31137" w:rsidRPr="00A31137" w:rsidRDefault="00A31137" w:rsidP="00A31137">
      <w:r w:rsidRPr="00A31137">
        <w:t>While such trends are encouraging, there remains a tremendous potential for growth. By volume, 67 percent, and by value, 34 percent, of the harvest in the fishery conservation zone is still taken by foreign vessels. The value of the catch to foreign fishermen was $470 million in 1979.</w:t>
      </w:r>
    </w:p>
    <w:p w:rsidR="00A31137" w:rsidRPr="00A31137" w:rsidRDefault="00A31137" w:rsidP="00A31137">
      <w:r w:rsidRPr="00A31137">
        <w:t>Democratic Party Platforms: 1976 and 1980,  p.37</w:t>
      </w:r>
    </w:p>
    <w:p w:rsidR="00A31137" w:rsidRPr="00A31137" w:rsidRDefault="00A31137" w:rsidP="00A31137">
      <w:r w:rsidRPr="00A31137">
        <w:t>The need for more rapid growth of the U.S. fishing industry is illustrated by the fact that imports of fisheries' products outweighed exports by $1.7 billion last year. With full development of our industry, this deficit could be erased. Moreover, 43,000 new jobs could be created.</w:t>
      </w:r>
    </w:p>
    <w:p w:rsidR="00A31137" w:rsidRPr="00A31137" w:rsidRDefault="00A31137" w:rsidP="00A31137">
      <w:r w:rsidRPr="00A31137">
        <w:t>Democratic Party Platforms: 1976 and 1980,  p.37</w:t>
      </w:r>
    </w:p>
    <w:p w:rsidR="00A31137" w:rsidRPr="00A31137" w:rsidRDefault="00A31137" w:rsidP="00A31137">
      <w:r w:rsidRPr="00A31137">
        <w:t>One-fifth of the world's fish are found in waters off the United States. We pledge to continue the development of our fishing industry so that the U.S. achieves self-sufficiency in this sector and fully utilizes the valuable and abundant fisheries resources off our shores. To this end, continuing effort in the following areas is needed:</w:t>
      </w:r>
    </w:p>
    <w:p w:rsidR="00A31137" w:rsidRPr="00A31137" w:rsidRDefault="00A31137" w:rsidP="00A31137">
      <w:r w:rsidRPr="00A31137">
        <w:t>Democratic Party Platforms: 1976 and 1980,  p.37</w:t>
      </w:r>
    </w:p>
    <w:p w:rsidR="00A31137" w:rsidRPr="00A31137" w:rsidRDefault="00A31137" w:rsidP="00A31137">
      <w:r w:rsidRPr="00A31137">
        <w:t>–Develop a balanced U.S. harvesting processing and marketing capability on a geographical and fishery-by-fishery basis;</w:t>
      </w:r>
    </w:p>
    <w:p w:rsidR="00A31137" w:rsidRPr="00A31137" w:rsidRDefault="00A31137" w:rsidP="00A31137">
      <w:r w:rsidRPr="00A31137">
        <w:t>Democratic Party Platforms: 1976 and 1980,  p.37</w:t>
      </w:r>
    </w:p>
    <w:p w:rsidR="00A31137" w:rsidRPr="00A31137" w:rsidRDefault="00A31137" w:rsidP="00A31137">
      <w:r w:rsidRPr="00A31137">
        <w:t>–Continue to phase out foreign fishing within our 200-mile zone;</w:t>
      </w:r>
    </w:p>
    <w:p w:rsidR="00A31137" w:rsidRPr="00A31137" w:rsidRDefault="00A31137" w:rsidP="00A31137">
      <w:r w:rsidRPr="00A31137">
        <w:t>Democratic Party Platforms: 1976 and 1980,  p.37</w:t>
      </w:r>
    </w:p>
    <w:p w:rsidR="00A31137" w:rsidRPr="00A31137" w:rsidRDefault="00A31137" w:rsidP="00A31137">
      <w:r w:rsidRPr="00A31137">
        <w:t>–Target efforts to stimulate and expand those fisheries that are presently unutilized and underutilized;</w:t>
      </w:r>
    </w:p>
    <w:p w:rsidR="00A31137" w:rsidRPr="00A31137" w:rsidRDefault="00A31137" w:rsidP="00A31137">
      <w:r w:rsidRPr="00A31137">
        <w:t>Democratic Party Platforms: 1976 and 1980,  p.37</w:t>
      </w:r>
    </w:p>
    <w:p w:rsidR="00A31137" w:rsidRPr="00A31137" w:rsidRDefault="00A31137" w:rsidP="00A31137">
      <w:r w:rsidRPr="00A31137">
        <w:t>–Increase research and development through cooperative federal-private efforts with emphasis on industry initiatives;</w:t>
      </w:r>
    </w:p>
    <w:p w:rsidR="00A31137" w:rsidRPr="00A31137" w:rsidRDefault="00A31137" w:rsidP="00A31137">
      <w:r w:rsidRPr="00A31137">
        <w:t>Democratic Party Platforms: 1976 and 1980,  p.37</w:t>
      </w:r>
    </w:p>
    <w:p w:rsidR="00A31137" w:rsidRPr="00A31137" w:rsidRDefault="00A31137" w:rsidP="00A31137">
      <w:r w:rsidRPr="00A31137">
        <w:t>–Encourage the availability of capital in sectors where it is particularly needed;</w:t>
      </w:r>
    </w:p>
    <w:p w:rsidR="00A31137" w:rsidRPr="00A31137" w:rsidRDefault="00A31137" w:rsidP="00A31137">
      <w:r w:rsidRPr="00A31137">
        <w:t>Democratic Party Platforms: 1976 and 1980,  p.37</w:t>
      </w:r>
    </w:p>
    <w:p w:rsidR="00A31137" w:rsidRPr="00A31137" w:rsidRDefault="00A31137" w:rsidP="00A31137">
      <w:r w:rsidRPr="00A31137">
        <w:t>–Promote market development, and to that end, continue to allocate surplus fishery resources of the U.S. 200-mile zone to foreign nations in order to stimulate improved access to their markets for our fish products;</w:t>
      </w:r>
    </w:p>
    <w:p w:rsidR="00A31137" w:rsidRPr="00A31137" w:rsidRDefault="00A31137" w:rsidP="00A31137">
      <w:r w:rsidRPr="00A31137">
        <w:t>Democratic Party Platforms: 1976 and 1980,  p.37</w:t>
      </w:r>
    </w:p>
    <w:p w:rsidR="00A31137" w:rsidRPr="00A31137" w:rsidRDefault="00A31137" w:rsidP="00A31137">
      <w:r w:rsidRPr="00A31137">
        <w:t>–Enhance conservation and management of U.S. fishery resources and in that effort, increase observer coverage of foreign fishing operations in the 200-mile zone;</w:t>
      </w:r>
    </w:p>
    <w:p w:rsidR="00A31137" w:rsidRPr="00A31137" w:rsidRDefault="00A31137" w:rsidP="00A31137">
      <w:r w:rsidRPr="00A31137">
        <w:t>Democratic Party Platforms: 1976 and 1980,  p.37</w:t>
      </w:r>
    </w:p>
    <w:p w:rsidR="00A31137" w:rsidRPr="00A31137" w:rsidRDefault="00A31137" w:rsidP="00A31137">
      <w:r w:rsidRPr="00A31137">
        <w:t>–Work toward ensuring that a fair share of the costs of conservation, management, research and enforcement in the 200-mile zone is borne by foreign fishermen who enjoy access to our surplus fishery resources;</w:t>
      </w:r>
    </w:p>
    <w:p w:rsidR="00A31137" w:rsidRPr="00A31137" w:rsidRDefault="00A31137" w:rsidP="00A31137">
      <w:r w:rsidRPr="00A31137">
        <w:t>Democratic Party Platforms: 1976 and 1980,  p.37</w:t>
      </w:r>
    </w:p>
    <w:p w:rsidR="00A31137" w:rsidRPr="00A31137" w:rsidRDefault="00A31137" w:rsidP="00A31137">
      <w:r w:rsidRPr="00A31137">
        <w:t>–Assist the U.S. distant-water fleets through international agreements;</w:t>
      </w:r>
    </w:p>
    <w:p w:rsidR="00A31137" w:rsidRPr="00A31137" w:rsidRDefault="00A31137" w:rsidP="00A31137">
      <w:r w:rsidRPr="00A31137">
        <w:t>Democratic Party Platforms: 1976 and 1980,  p.37</w:t>
      </w:r>
    </w:p>
    <w:p w:rsidR="00A31137" w:rsidRPr="00A31137" w:rsidRDefault="00A31137" w:rsidP="00A31137">
      <w:r w:rsidRPr="00A31137">
        <w:t>–Support an international ocean regime for fisheries management through successful completion of Law-of-the-Sea negotiations;</w:t>
      </w:r>
    </w:p>
    <w:p w:rsidR="00A31137" w:rsidRPr="00A31137" w:rsidRDefault="00A31137" w:rsidP="00A31137">
      <w:r w:rsidRPr="00A31137">
        <w:t>Democratic Party Platforms: 1976 and 1980,  p.37</w:t>
      </w:r>
    </w:p>
    <w:p w:rsidR="00A31137" w:rsidRPr="00A31137" w:rsidRDefault="00A31137" w:rsidP="00A31137">
      <w:r w:rsidRPr="00A31137">
        <w:t>–Encourage development of a diversified U.S. aquaculture industry;</w:t>
      </w:r>
    </w:p>
    <w:p w:rsidR="00A31137" w:rsidRPr="00A31137" w:rsidRDefault="00A31137" w:rsidP="00A31137">
      <w:r w:rsidRPr="00A31137">
        <w:t>Democratic Party Platforms: 1976 and 1980,  p.37</w:t>
      </w:r>
    </w:p>
    <w:p w:rsidR="00A31137" w:rsidRPr="00A31137" w:rsidRDefault="00A31137" w:rsidP="00A31137">
      <w:r w:rsidRPr="00A31137">
        <w:t>–Protect, restore and enhance fish habitats;</w:t>
      </w:r>
    </w:p>
    <w:p w:rsidR="00A31137" w:rsidRPr="00A31137" w:rsidRDefault="00A31137" w:rsidP="00A31137">
      <w:r w:rsidRPr="00A31137">
        <w:t>Democratic Party Platforms: 1976 and 1980,  p.37</w:t>
      </w:r>
    </w:p>
    <w:p w:rsidR="00A31137" w:rsidRPr="00A31137" w:rsidRDefault="00A31137" w:rsidP="00A31137">
      <w:r w:rsidRPr="00A31137">
        <w:t>–Continue support for research, propagation and management of our anadromous fish resource; and</w:t>
      </w:r>
    </w:p>
    <w:p w:rsidR="00A31137" w:rsidRPr="00A31137" w:rsidRDefault="00A31137" w:rsidP="00A31137">
      <w:r w:rsidRPr="00A31137">
        <w:t>Democratic Party Platforms: 1976 and 1980,  p.37</w:t>
      </w:r>
    </w:p>
    <w:p w:rsidR="00A31137" w:rsidRPr="00A31137" w:rsidRDefault="00A31137" w:rsidP="00A31137">
      <w:r w:rsidRPr="00A31137">
        <w:t>–In recognition of its economic and recreational importance, accord a high priority to maintaining and improving marine sports fishing.</w:t>
      </w:r>
    </w:p>
    <w:p w:rsidR="00A31137" w:rsidRPr="00A31137" w:rsidRDefault="00A31137" w:rsidP="00A31137">
      <w:r w:rsidRPr="00A31137">
        <w:t>Chapter V: Foreign Policy</w:t>
      </w:r>
    </w:p>
    <w:p w:rsidR="00A31137" w:rsidRPr="00A31137" w:rsidRDefault="00A31137" w:rsidP="00A31137">
      <w:r w:rsidRPr="00A31137">
        <w:t>Introduction</w:t>
      </w:r>
    </w:p>
    <w:p w:rsidR="00A31137" w:rsidRPr="00A31137" w:rsidRDefault="00A31137" w:rsidP="00A31137">
      <w:r w:rsidRPr="00A31137">
        <w:t>1980 Democratic Platform, p.36</w:t>
      </w:r>
    </w:p>
    <w:p w:rsidR="00A31137" w:rsidRPr="00A31137" w:rsidRDefault="00A31137" w:rsidP="00A31137">
      <w:r w:rsidRPr="00A31137">
        <w:t>When the Democratic Party came into office almost four years ago, the most dangerous threat to America's position in the world was the profound disillusionment and mistrust which the American people felt for their own government. This had reached the point where the very term "national security" had become synonymous with the abuse of power, deceit and violation of public trust. It undermined our capacity to defend our interests and to play our proper role in the world at a time when Soviet power was continuing to grow.</w:t>
      </w:r>
    </w:p>
    <w:p w:rsidR="00A31137" w:rsidRPr="00A31137" w:rsidRDefault="00A31137" w:rsidP="00A31137">
      <w:r w:rsidRPr="00A31137">
        <w:t>1980 Democratic Platform, p.37</w:t>
      </w:r>
    </w:p>
    <w:p w:rsidR="00A31137" w:rsidRPr="00A31137" w:rsidRDefault="00A31137" w:rsidP="00A31137">
      <w:r w:rsidRPr="00A31137">
        <w:t>The hallmark of the previous eight years of Republican Administration had been to emphasize the primacy of power politics irrespective of compatibility with American values and with the increasing power [p.38] of the Soviet Union. The result was disrespect abroad and discontent at home.</w:t>
      </w:r>
    </w:p>
    <w:p w:rsidR="00A31137" w:rsidRPr="00A31137" w:rsidRDefault="00A31137" w:rsidP="00A31137">
      <w:r w:rsidRPr="00A31137">
        <w:t>1980 Democratic Platform, p.38</w:t>
      </w:r>
    </w:p>
    <w:p w:rsidR="00A31137" w:rsidRPr="00A31137" w:rsidRDefault="00A31137" w:rsidP="00A31137">
      <w:r w:rsidRPr="00A31137">
        <w:t>The Democratic Party was determined to make our values a central factor in shaping American foreign policy. The one-sided emphasis of the previous Republican Administration had led many Americans to a suspicion of power, and in some respects, even to rejection of military strength. The American people longed to see their country once again identified with widespread human aspirations. The Democratic Party understood, if the Republicans did not, that this is essential to preserve our long-term interest in the world.</w:t>
      </w:r>
    </w:p>
    <w:p w:rsidR="00A31137" w:rsidRPr="00A31137" w:rsidRDefault="00A31137" w:rsidP="00A31137">
      <w:r w:rsidRPr="00A31137">
        <w:t>1980 Democratic Platform, p.38</w:t>
      </w:r>
    </w:p>
    <w:p w:rsidR="00A31137" w:rsidRPr="00A31137" w:rsidRDefault="00A31137" w:rsidP="00A31137">
      <w:r w:rsidRPr="00A31137">
        <w:t>The Democratic Administration sought to reconcile these two requirements of American foreign policy—principle and strength. Both are required to maintain a constructive and secure relationship between America and the rest of the world. We have tried to make clear the continuing importance of American strength in a world of change. Without such strength, there is a genuine risk that global change will deteriorate into anarchy to be exploited by our adversaries' military power. Thus, the revival of American strength has been a central preoccupation of the Democratic Administration.</w:t>
      </w:r>
    </w:p>
    <w:p w:rsidR="00A31137" w:rsidRPr="00A31137" w:rsidRDefault="00A31137" w:rsidP="00A31137">
      <w:r w:rsidRPr="00A31137">
        <w:t>1980 Democratic Platform, p.38</w:t>
      </w:r>
    </w:p>
    <w:p w:rsidR="00A31137" w:rsidRPr="00A31137" w:rsidRDefault="00A31137" w:rsidP="00A31137">
      <w:r w:rsidRPr="00A31137">
        <w:t>The use of American power is necessary as a means of shaping not only a more secure, but also a more decent world. To shape a decent world, we must pursue objectives that are moral, that make clear our support for the aspirations of mankind and that are rooted in the ideals of the American people.</w:t>
      </w:r>
    </w:p>
    <w:p w:rsidR="00A31137" w:rsidRPr="00A31137" w:rsidRDefault="00A31137" w:rsidP="00A31137">
      <w:r w:rsidRPr="00A31137">
        <w:t>1980 Democratic Platform, p.38</w:t>
      </w:r>
    </w:p>
    <w:p w:rsidR="00A31137" w:rsidRPr="00A31137" w:rsidRDefault="00A31137" w:rsidP="00A31137">
      <w:r w:rsidRPr="00A31137">
        <w:t>That is why the Democrats have stressed human rights. That is why America once again has supported the aspirations of the vast majority of the world's population for greater human justice and freedom. As we continue to strive to solve our own internal problems, we are proud of the values for which the United States has always stood. We should continue to be a beacon of liberty around the world and to effectively and positively state America's case for freedom to the world through various governmental and nongovernmental channels.</w:t>
      </w:r>
    </w:p>
    <w:p w:rsidR="00A31137" w:rsidRPr="00A31137" w:rsidRDefault="00A31137" w:rsidP="00A31137">
      <w:r w:rsidRPr="00A31137">
        <w:t>1980 Democratic Platform, p.38</w:t>
      </w:r>
    </w:p>
    <w:p w:rsidR="00A31137" w:rsidRPr="00A31137" w:rsidRDefault="00A31137" w:rsidP="00A31137">
      <w:r w:rsidRPr="00A31137">
        <w:t>A foreign policy which seeks to blend our ideals and our strength does not easily reduce itself to simple statements.</w:t>
      </w:r>
    </w:p>
    <w:p w:rsidR="00A31137" w:rsidRPr="00A31137" w:rsidRDefault="00A31137" w:rsidP="00A31137">
      <w:r w:rsidRPr="00A31137">
        <w:t>1980 Democratic Platform, p.38</w:t>
      </w:r>
    </w:p>
    <w:p w:rsidR="00A31137" w:rsidRPr="00A31137" w:rsidRDefault="00A31137" w:rsidP="00A31137">
      <w:r w:rsidRPr="00A31137">
        <w:t>First, we must consistently strengthen our relations with like-minded industrial democracies. In meeting the dangers of the coming decade the United States will consult closely with our Allies to advance common security and political goals. As a result of annual summit meetings, coordinated economic policies and effective programs of international energy conservation have been fashioned. With the cooperation of rich and poor nations alike, a new international trade agreement has been reached which safeguards our free enterprise system from protectionism and gives us greater economic opportunity in the world, while it gives the developing world a stake in the stability of the world's economy.</w:t>
      </w:r>
    </w:p>
    <w:p w:rsidR="00A31137" w:rsidRPr="00A31137" w:rsidRDefault="00A31137" w:rsidP="00A31137">
      <w:r w:rsidRPr="00A31137">
        <w:t>1980 Democratic Platform, p.38</w:t>
      </w:r>
    </w:p>
    <w:p w:rsidR="00A31137" w:rsidRPr="00A31137" w:rsidRDefault="00A31137" w:rsidP="00A31137">
      <w:r w:rsidRPr="00A31137">
        <w:t>Second, we must continue to improve our relations with the Third World by being sensitive to their legitimate aspirations. The United States should be a positive force for peaceful change in responding to ferment in the Third World. Today, thanks to a number of steps that have been taken—strengthening the international aid institutions, the Panama Canal treaties, the Zimbabwe settlement, the normalization of relations with China—the United States has a healthier and more productive relationship with these countries.</w:t>
      </w:r>
    </w:p>
    <w:p w:rsidR="00A31137" w:rsidRPr="00A31137" w:rsidRDefault="00A31137" w:rsidP="00A31137">
      <w:r w:rsidRPr="00A31137">
        <w:t>1980 Democratic Platform, p.38</w:t>
      </w:r>
    </w:p>
    <w:p w:rsidR="00A31137" w:rsidRPr="00A31137" w:rsidRDefault="00A31137" w:rsidP="00A31137">
      <w:r w:rsidRPr="00A31137">
        <w:t>Our third objective must be peace in the Middle East. The Carter Administration has pursued this objective with determination and together with the leaders of Israel and Egypt, has overcome great obstacles in the last three years. America made this commitment for two fundamental reasons—morality and national security.</w:t>
      </w:r>
    </w:p>
    <w:p w:rsidR="00A31137" w:rsidRPr="00A31137" w:rsidRDefault="00A31137" w:rsidP="00A31137">
      <w:r w:rsidRPr="00A31137">
        <w:t>1980 Democratic Platform, p.38</w:t>
      </w:r>
    </w:p>
    <w:p w:rsidR="00A31137" w:rsidRPr="00A31137" w:rsidRDefault="00A31137" w:rsidP="00A31137">
      <w:r w:rsidRPr="00A31137">
        <w:t>Our nation feels a profound moral obligation to sustain and assure the security of Israel. That is why our relationship with Israel is, in most respects, a unique one. Israel is the single democracy, the most stable government, the most strategic asset and our closest ally in the region.</w:t>
      </w:r>
    </w:p>
    <w:p w:rsidR="00A31137" w:rsidRPr="00A31137" w:rsidRDefault="00A31137" w:rsidP="00A31137">
      <w:r w:rsidRPr="00A31137">
        <w:t>1980 Democratic Platform, p.38</w:t>
      </w:r>
    </w:p>
    <w:p w:rsidR="00A31137" w:rsidRPr="00A31137" w:rsidRDefault="00A31137" w:rsidP="00A31137">
      <w:r w:rsidRPr="00A31137">
        <w:t>To fulfill this imperative, we must move towards peace in the Middle East. Without peace, there is a growing prospect, indeed inevitability, that this region will become radicalized, susceptible to foreign intrusion, and possibly involved in another war. Thus, peace in the Middle East also is vital for our national security interests.</w:t>
      </w:r>
    </w:p>
    <w:p w:rsidR="00A31137" w:rsidRPr="00A31137" w:rsidRDefault="00A31137" w:rsidP="00A31137">
      <w:r w:rsidRPr="00A31137">
        <w:t>1980 Democratic Platform, p.38</w:t>
      </w:r>
    </w:p>
    <w:p w:rsidR="00A31137" w:rsidRPr="00A31137" w:rsidRDefault="00A31137" w:rsidP="00A31137">
      <w:r w:rsidRPr="00A31137">
        <w:t>The strength of these two impulses—our moral commitment and national security—has sustained the Democratic Administration in many difficult trials. The result has been the first peace ever between Israel and an Arab country, as well as the eventual prospect of a wider comprehensive agreement which will assure peace and security to all parties concerned. Our goal is to make the Middle East an area of stability and progress in which the United States can play a full and constructive role.</w:t>
      </w:r>
    </w:p>
    <w:p w:rsidR="00A31137" w:rsidRPr="00A31137" w:rsidRDefault="00A31137" w:rsidP="00A31137">
      <w:r w:rsidRPr="00A31137">
        <w:t>1980 Democratic Platform, p.38</w:t>
      </w:r>
    </w:p>
    <w:p w:rsidR="00A31137" w:rsidRPr="00A31137" w:rsidRDefault="00A31137" w:rsidP="00A31137">
      <w:r w:rsidRPr="00A31137">
        <w:t>Our fourth major objective is to strengthen the military security of the United States and our Allies at a time when trends in the military balance have become increasingly adverse. America is now, and will continue to be, the strongest power on earth. It was the Democratic Party's greatest hope that we could, in fact, reduce our military effort. But realities of the world situation, including the unremitting buildup of Soviet military forces, required that we begin early to reverse the decade-long decline in American defense efforts.</w:t>
      </w:r>
    </w:p>
    <w:p w:rsidR="00A31137" w:rsidRPr="00A31137" w:rsidRDefault="00A31137" w:rsidP="00A31137">
      <w:r w:rsidRPr="00A31137">
        <w:t>1980 Democratic Platform, p.39</w:t>
      </w:r>
    </w:p>
    <w:p w:rsidR="00A31137" w:rsidRPr="00A31137" w:rsidRDefault="00A31137" w:rsidP="00A31137">
      <w:r w:rsidRPr="00A31137">
        <w:t>[p.39]In 1977,  the United States joined with NATO to develop, for the first time in the history of the Alliance, a long-term defense program calling for 3 percent annual real growth in our collective defense efforts. This is being fulfilled. In the first year, the Democratic Administration decided that the U.S. needed an enhanced strategic posture and policy to deal with the increased first strike capability of the Soviet Union. To this end basic commitments were made regarding U.S. strategic capabilities for the late 1980s, in particular, the MX land-based mobile ICBM deterrent. Finally, development is now underway of a rapid deployment force capable of defending our interests and protecting our friends in those parts of the world where American military forces are not regularly present.</w:t>
      </w:r>
    </w:p>
    <w:p w:rsidR="00A31137" w:rsidRPr="00A31137" w:rsidRDefault="00A31137" w:rsidP="00A31137">
      <w:r w:rsidRPr="00A31137">
        <w:t>1980 Democratic Platform, p.39</w:t>
      </w:r>
    </w:p>
    <w:p w:rsidR="00A31137" w:rsidRPr="00A31137" w:rsidRDefault="00A31137" w:rsidP="00A31137">
      <w:r w:rsidRPr="00A31137">
        <w:t>At the same time, the Democratic Administration has determined to cut waste in defense spending. The B-1 bomber was cancelled because it was technologically obsolete. A defense bill containing unnecessary expenditures for a new nuclear carrier, while neglecting the readiness of our day-to-day forces, was vetoed and the veto was sustained. These decisions involved difficult choices, but the result is a leaner, stronger American military posture.</w:t>
      </w:r>
    </w:p>
    <w:p w:rsidR="00A31137" w:rsidRPr="00A31137" w:rsidRDefault="00A31137" w:rsidP="00A31137">
      <w:r w:rsidRPr="00A31137">
        <w:t>1980 Democratic Platform, p.39</w:t>
      </w:r>
    </w:p>
    <w:p w:rsidR="00A31137" w:rsidRPr="00A31137" w:rsidRDefault="00A31137" w:rsidP="00A31137">
      <w:r w:rsidRPr="00A31137">
        <w:t>As a fifth objective the Democrats have been and remain committed to arms control, especially to strategic arms limitations, and to maintain a firm and balanced relationship with the Soviet Union. Our resolve to pursue this goal remains as strong as ever.</w:t>
      </w:r>
      <w:r w:rsidRPr="00A31137">
        <w:cr/>
      </w:r>
    </w:p>
    <w:p w:rsidR="00A31137" w:rsidRPr="00A31137" w:rsidRDefault="00A31137" w:rsidP="00A31137">
      <w:r w:rsidRPr="00A31137">
        <w:t>1980 Democratic Platform, p.39</w:t>
      </w:r>
    </w:p>
    <w:p w:rsidR="00A31137" w:rsidRPr="00A31137" w:rsidRDefault="00A31137" w:rsidP="00A31137">
      <w:r w:rsidRPr="00A31137">
        <w:t>To avoid the danger to all mankind from an intensification of the strategic arms competition, and to curb a possible acceleration of the nuclear arms race while awaiting the ratification of the SALT II Treaty, we endorse the policy of continuing to take no action which would be inconsistent with its object and purpose, so long as the Soviet Union does likewise,</w:t>
      </w:r>
    </w:p>
    <w:p w:rsidR="00A31137" w:rsidRPr="00A31137" w:rsidRDefault="00A31137" w:rsidP="00A31137">
      <w:r w:rsidRPr="00A31137">
        <w:t>1980 Democratic Platform, p.39</w:t>
      </w:r>
    </w:p>
    <w:p w:rsidR="00A31137" w:rsidRPr="00A31137" w:rsidRDefault="00A31137" w:rsidP="00A31137">
      <w:r w:rsidRPr="00A31137">
        <w:t>Arms control and strategic arms limitation are of crucial importance to us and to all other people. The Salt II Agreement is a major accomplishment of the Democratic Administration. It contributes directly to our national security, and we will seek its ratification at the earliest feasible time.</w:t>
      </w:r>
    </w:p>
    <w:p w:rsidR="00A31137" w:rsidRPr="00A31137" w:rsidRDefault="00A31137" w:rsidP="00A31137">
      <w:r w:rsidRPr="00A31137">
        <w:t>Defense</w:t>
      </w:r>
    </w:p>
    <w:p w:rsidR="00A31137" w:rsidRPr="00A31137" w:rsidRDefault="00A31137" w:rsidP="00A31137">
      <w:r w:rsidRPr="00A31137">
        <w:t>1980 Democratic Platform, p.39</w:t>
      </w:r>
    </w:p>
    <w:p w:rsidR="00A31137" w:rsidRPr="00A31137" w:rsidRDefault="00A31137" w:rsidP="00A31137">
      <w:r w:rsidRPr="00A31137">
        <w:t>America's military strength is and must be unsurpassed. The Democratic Administration has moved to reverse the threatened decline in America's world position. While claiming concern for our nation's defense preparedness, the Nixon-Ford Administration presided over a steady decline of 33 percent in real U.S. military pending between 1968 and 1976.</w:t>
      </w:r>
    </w:p>
    <w:p w:rsidR="00A31137" w:rsidRPr="00A31137" w:rsidRDefault="00A31137" w:rsidP="00A31137">
      <w:r w:rsidRPr="00A31137">
        <w:t>1980 Democratic Platform, p.39</w:t>
      </w:r>
    </w:p>
    <w:p w:rsidR="00A31137" w:rsidRPr="00A31137" w:rsidRDefault="00A31137" w:rsidP="00A31137">
      <w:r w:rsidRPr="00A31137">
        <w:t>As a result of the joint efforts of the Democratic Administration and Congress, there has been a real increase in our defense spending every year since 1976.</w:t>
      </w:r>
    </w:p>
    <w:p w:rsidR="00A31137" w:rsidRPr="00A31137" w:rsidRDefault="00A31137" w:rsidP="00A31137">
      <w:r w:rsidRPr="00A31137">
        <w:t>1980 Democratic Platform, p.39</w:t>
      </w:r>
    </w:p>
    <w:p w:rsidR="00A31137" w:rsidRPr="00A31137" w:rsidRDefault="00A31137" w:rsidP="00A31137">
      <w:r w:rsidRPr="00A31137">
        <w:t>This increase is necessary in order to compensate for the decline in U.S. military strength over the previous eight years and to assure a high quality of military personnel, an effective nuclear deterrent capability, a capable conventional fighting force and an improved intelligence capability. We will act to further improve intelligence gathering and analysis.</w:t>
      </w:r>
    </w:p>
    <w:p w:rsidR="00A31137" w:rsidRPr="00A31137" w:rsidRDefault="00A31137" w:rsidP="00A31137">
      <w:r w:rsidRPr="00A31137">
        <w:t>1980 Democratic Platform, p.39</w:t>
      </w:r>
    </w:p>
    <w:p w:rsidR="00A31137" w:rsidRPr="00A31137" w:rsidRDefault="00A31137" w:rsidP="00A31137">
      <w:r w:rsidRPr="00A31137">
        <w:t>We must be careful that our defense dollars are spent wisely. We must make sure that we develop and deploy practical weapons and that we have the resources to ensure that the men and women who must operate these weapons have the skill to do so.</w:t>
      </w:r>
    </w:p>
    <w:p w:rsidR="00A31137" w:rsidRPr="00A31137" w:rsidRDefault="00A31137" w:rsidP="00A31137">
      <w:r w:rsidRPr="00A31137">
        <w:t>1980 Democratic Platform, p.39</w:t>
      </w:r>
    </w:p>
    <w:p w:rsidR="00A31137" w:rsidRPr="00A31137" w:rsidRDefault="00A31137" w:rsidP="00A31137">
      <w:r w:rsidRPr="00A31137">
        <w:t>The serious question of manpower shortages must be addressed promptly. In order to prevent the necessity of a peacetime draft, the all-volunteer force must have wage standards which will retain experienced personnel or recruit new personnel upon whom an increasingly sophisticated military heavily depends.</w:t>
      </w:r>
    </w:p>
    <w:p w:rsidR="00A31137" w:rsidRPr="00A31137" w:rsidRDefault="00A31137" w:rsidP="00A31137">
      <w:r w:rsidRPr="00A31137">
        <w:t>1980 Democratic Platform, p.39</w:t>
      </w:r>
    </w:p>
    <w:p w:rsidR="00A31137" w:rsidRPr="00A31137" w:rsidRDefault="00A31137" w:rsidP="00A31137">
      <w:r w:rsidRPr="00A31137">
        <w:t>We will upgrade the combat readiness of our armed forces. We will give the highest priority to combat training, to an effective Reserve and Guard force, and to sufficient supplies, spare parts, fuel and ammunition. Registration of 18-year-olds is intended to enable the United States to mobilize more rapidly in the event of an emergency, which is the only time it should be used. We do not favor a peacetime draft or the exclusion of women from registration. We will seek ways to expand voluntary service in both the armed forces and non-military programs such as VISTA, the Young Adult Conservation Corps, and the Peace Corps.</w:t>
      </w:r>
    </w:p>
    <w:p w:rsidR="00A31137" w:rsidRPr="00A31137" w:rsidRDefault="00A31137" w:rsidP="00A31137">
      <w:r w:rsidRPr="00A31137">
        <w:t>1980 Democratic Platform, p.39</w:t>
      </w:r>
    </w:p>
    <w:p w:rsidR="00A31137" w:rsidRPr="00A31137" w:rsidRDefault="00A31137" w:rsidP="00A31137">
      <w:r w:rsidRPr="00A31137">
        <w:t>We need to go forward to protect our retaliatory capabilities in the face of continuing Soviet advances in their strategic forces.</w:t>
      </w:r>
    </w:p>
    <w:p w:rsidR="00A31137" w:rsidRPr="00A31137" w:rsidRDefault="00A31137" w:rsidP="00A31137">
      <w:r w:rsidRPr="00A31137">
        <w:t>1980 Democratic Platform, p.39</w:t>
      </w:r>
    </w:p>
    <w:p w:rsidR="00A31137" w:rsidRPr="00A31137" w:rsidRDefault="00A31137" w:rsidP="00A31137">
      <w:r w:rsidRPr="00A31137">
        <w:t>The nation has moved to modernize its strategic deterrent through the MX, Trident, and cruise missile systems. The MX missile deployment will enhance the survivability of our land-based intercontinental ballistic missile force. Cruise missiles will modernize our strategic air deterrent, and the new Trident submarine, with a missile range of over 4,000 miles, will both improve and help guarantee the invulnerability of our nuclear deterrent.</w:t>
      </w:r>
    </w:p>
    <w:p w:rsidR="00A31137" w:rsidRPr="00A31137" w:rsidRDefault="00A31137" w:rsidP="00A31137">
      <w:r w:rsidRPr="00A31137">
        <w:t>1980 Democratic Platform, p.39</w:t>
      </w:r>
    </w:p>
    <w:p w:rsidR="00A31137" w:rsidRPr="00A31137" w:rsidRDefault="00A31137" w:rsidP="00A31137">
      <w:r w:rsidRPr="00A31137">
        <w:t>The United States has acted to correct the dangerous military imbalance which had developed in Europe by initiating and obtaining Allied support for a long overdue NATO long-term defense program and proceeding toward the deployment in Europe of long-range theater nuclear deterrents to counter the Soviet buildup of such weaponry in Europe. Our commitment to increase defense speeding by at least 3 percent per year is crucial to the maintenance of Allied consensus and confidence in his regard. We need to modernize our conventional military capabilities so that we can better protect American lives and American an interests abroad.[p.40]</w:t>
      </w:r>
    </w:p>
    <w:p w:rsidR="00A31137" w:rsidRPr="00A31137" w:rsidRDefault="00A31137" w:rsidP="00A31137">
      <w:r w:rsidRPr="00A31137">
        <w:t>1980 Democratic Platform, p.40</w:t>
      </w:r>
    </w:p>
    <w:p w:rsidR="00A31137" w:rsidRPr="00A31137" w:rsidRDefault="00A31137" w:rsidP="00A31137">
      <w:r w:rsidRPr="00A31137">
        <w:t>The Democratic Administration has acted to improve our ability to make rapid responses to contingencies by organizing and supporting rapid deployment forces capable of responding to military problems in any part of the world where our vital interests are threatened. To that end, we favor the development and production of a new fleet of cargo aircraft with intercontinental range, the design and procurement of a force of Maritime Propositioning ships that will carry heavy equipment and supplies for three Marine Corps brigades, and an increase in regional military exercises, in cooperation with friendly states. We have given particular attention to developing the facilities and capabilities to further support the policy of the United States with regard to the Persian Gulf enunciated by President Carter in the State of the Union address on January 23, 1980: "Let our position be absolutely dear: an attempt by any outside force to gain control of the Persian Gulf region will be regarded as an assault on the vital interests of the United States of America and such an assault will be repelled by any means necessary, including military force."</w:t>
      </w:r>
    </w:p>
    <w:p w:rsidR="00A31137" w:rsidRPr="00A31137" w:rsidRDefault="00A31137" w:rsidP="00A31137">
      <w:r w:rsidRPr="00A31137">
        <w:t>1980 Democratic Platform, p.40</w:t>
      </w:r>
    </w:p>
    <w:p w:rsidR="00A31137" w:rsidRPr="00A31137" w:rsidRDefault="00A31137" w:rsidP="00A31137">
      <w:r w:rsidRPr="00A31137">
        <w:t>We are confident that the negotiation of American overseas military facilities in support of this effort as well as in other areas of the world will be conducted with respect for the independence, integrity and cultural values of the host countries.</w:t>
      </w:r>
    </w:p>
    <w:p w:rsidR="00A31137" w:rsidRPr="00A31137" w:rsidRDefault="00A31137" w:rsidP="00A31137">
      <w:r w:rsidRPr="00A31137">
        <w:t>1980 Democratic Platform, p.40</w:t>
      </w:r>
    </w:p>
    <w:p w:rsidR="00A31137" w:rsidRPr="00A31137" w:rsidRDefault="00A31137" w:rsidP="00A31137">
      <w:r w:rsidRPr="00A31137">
        <w:t>The Democratic Party recognizes the strategic value of Israel and that peace in the Middle East requires a military secure Israel. Because Middle East nations that have not joined the peace process have been able to purchase the latest sophisticated Soviet and other weaponry, the technological advantage which Israel holds over its adversaries has been jeopardized. The progress of the peace talks means that Israel has gained considerable security advantages from peace with Egypt. At the same time, Israel will lose some of the tactical advantages previously provided by territory occupied in 1967. Any further war Israel fights could take place close to its population centers. Therefore, we pledge a continued high level of U.S. military support for Israel.</w:t>
      </w:r>
    </w:p>
    <w:p w:rsidR="00A31137" w:rsidRPr="00A31137" w:rsidRDefault="00A31137" w:rsidP="00A31137">
      <w:r w:rsidRPr="00A31137">
        <w:t>U.S.-Soviet Relations</w:t>
      </w:r>
    </w:p>
    <w:p w:rsidR="00A31137" w:rsidRPr="00A31137" w:rsidRDefault="00A31137" w:rsidP="00A31137">
      <w:r w:rsidRPr="00A31137">
        <w:t>1980 Democratic Platform, p.40</w:t>
      </w:r>
    </w:p>
    <w:p w:rsidR="00A31137" w:rsidRPr="00A31137" w:rsidRDefault="00A31137" w:rsidP="00A31137">
      <w:r w:rsidRPr="00A31137">
        <w:t>A strong, consistent, and principled policy toward the Soviet Union is a vital element of our foreign policy everywhere. The Democratic Administration will use all its resources—including both firm diplomacy and military power—to deter adventurism and to make restraint the only acceptable course available to our adversaries.</w:t>
      </w:r>
    </w:p>
    <w:p w:rsidR="00A31137" w:rsidRPr="00A31137" w:rsidRDefault="00A31137" w:rsidP="00A31137">
      <w:r w:rsidRPr="00A31137">
        <w:t>1980 Democratic Platform, p.40</w:t>
      </w:r>
    </w:p>
    <w:p w:rsidR="00A31137" w:rsidRPr="00A31137" w:rsidRDefault="00A31137" w:rsidP="00A31137">
      <w:r w:rsidRPr="00A31137">
        <w:t>We stand ready to pursue good faith negotiations with the Soviet Union at every opportunity on a wide range of issues including strategic arms forces in the European theater, and other matters which would contribute to peace and a more genuine and reciprocal detente.</w:t>
      </w:r>
    </w:p>
    <w:p w:rsidR="00A31137" w:rsidRPr="00A31137" w:rsidRDefault="00A31137" w:rsidP="00A31137">
      <w:r w:rsidRPr="00A31137">
        <w:t>1980 Democratic Platform, p.40</w:t>
      </w:r>
    </w:p>
    <w:p w:rsidR="00A31137" w:rsidRPr="00A31137" w:rsidRDefault="00A31137" w:rsidP="00A31137">
      <w:r w:rsidRPr="00A31137">
        <w:t>At the heart of our policy toward the Soviet Union must be a clear recognition of the reality of Soviet power. We must reject the easy mythology that the Soviets see the world as we do. A long-term strategy for the 1980s requires a dear view of the Soviet Union, a view without illusion that our adversary is either benign or omnipotent.</w:t>
      </w:r>
    </w:p>
    <w:p w:rsidR="00A31137" w:rsidRPr="00A31137" w:rsidRDefault="00A31137" w:rsidP="00A31137">
      <w:r w:rsidRPr="00A31137">
        <w:t>1980 Democratic Platform, p.40</w:t>
      </w:r>
    </w:p>
    <w:p w:rsidR="00A31137" w:rsidRPr="00A31137" w:rsidRDefault="00A31137" w:rsidP="00A31137">
      <w:r w:rsidRPr="00A31137">
        <w:t>The Soviet attack on Afghanistan, the murder of its leaders, and the ruthless effort to exterminate those resisting the Soviet invasion have violated all norms of international law and practice and have been thoroughly condemned by the international community.</w:t>
      </w:r>
    </w:p>
    <w:p w:rsidR="00A31137" w:rsidRPr="00A31137" w:rsidRDefault="00A31137" w:rsidP="00A31137">
      <w:r w:rsidRPr="00A31137">
        <w:t>1980 Democratic Platform, p.40</w:t>
      </w:r>
    </w:p>
    <w:p w:rsidR="00A31137" w:rsidRPr="00A31137" w:rsidRDefault="00A31137" w:rsidP="00A31137">
      <w:r w:rsidRPr="00A31137">
        <w:t>This attempt to subjugate an independent, non-aligned Islamic people is a callous violation of international law, the United Nations Charter, and the principle of restraint which underlies detente.</w:t>
      </w:r>
    </w:p>
    <w:p w:rsidR="00A31137" w:rsidRPr="00A31137" w:rsidRDefault="00A31137" w:rsidP="00A31137">
      <w:r w:rsidRPr="00A31137">
        <w:t>1980 Democratic Platform, p.40</w:t>
      </w:r>
    </w:p>
    <w:p w:rsidR="00A31137" w:rsidRPr="00A31137" w:rsidRDefault="00A31137" w:rsidP="00A31137">
      <w:r w:rsidRPr="00A31137">
        <w:t>This invasion places the Soviet armed forces within fighter aircraft range of the Straits of Hormuz, the lifeline of the bulk of the world's exportable oil.</w:t>
      </w:r>
    </w:p>
    <w:p w:rsidR="00A31137" w:rsidRPr="00A31137" w:rsidRDefault="00A31137" w:rsidP="00A31137">
      <w:r w:rsidRPr="00A31137">
        <w:t>1980 Democratic Platform, p.40</w:t>
      </w:r>
    </w:p>
    <w:p w:rsidR="00A31137" w:rsidRPr="00A31137" w:rsidRDefault="00A31137" w:rsidP="00A31137">
      <w:r w:rsidRPr="00A31137">
        <w:t>It creates fear and instability among our friends in the region who are already buffeted by the disintegration of Iran as a stabilizing force.</w:t>
      </w:r>
    </w:p>
    <w:p w:rsidR="00A31137" w:rsidRPr="00A31137" w:rsidRDefault="00A31137" w:rsidP="00A31137">
      <w:r w:rsidRPr="00A31137">
        <w:t>1980 Democratic Platform, p.40</w:t>
      </w:r>
    </w:p>
    <w:p w:rsidR="00A31137" w:rsidRPr="00A31137" w:rsidRDefault="00A31137" w:rsidP="00A31137">
      <w:r w:rsidRPr="00A31137">
        <w:t>More broadly, the success or failure of Soviet military aggression will affect present and future Soviet leaders' readiness to use force to gain their ends.</w:t>
      </w:r>
    </w:p>
    <w:p w:rsidR="00A31137" w:rsidRPr="00A31137" w:rsidRDefault="00A31137" w:rsidP="00A31137">
      <w:r w:rsidRPr="00A31137">
        <w:t>1980 Democratic Platform, p.40</w:t>
      </w:r>
    </w:p>
    <w:p w:rsidR="00A31137" w:rsidRPr="00A31137" w:rsidRDefault="00A31137" w:rsidP="00A31137">
      <w:r w:rsidRPr="00A31137">
        <w:t>Hence, it is a threat not only to our strategic interests in the region but to world peace.</w:t>
      </w:r>
    </w:p>
    <w:p w:rsidR="00A31137" w:rsidRPr="00A31137" w:rsidRDefault="00A31137" w:rsidP="00A31137">
      <w:r w:rsidRPr="00A31137">
        <w:t>1980 Democratic Platform, p.40</w:t>
      </w:r>
    </w:p>
    <w:p w:rsidR="00A31137" w:rsidRPr="00A31137" w:rsidRDefault="00A31137" w:rsidP="00A31137">
      <w:r w:rsidRPr="00A31137">
        <w:t>A strong American response to the illegal and brutal invasion of Afghanistan serves our nation's security interests. It must and will be sustained, as long as Soviet troops remain there.</w:t>
      </w:r>
    </w:p>
    <w:p w:rsidR="00A31137" w:rsidRPr="00A31137" w:rsidRDefault="00A31137" w:rsidP="00A31137">
      <w:r w:rsidRPr="00A31137">
        <w:t>1980 Democratic Platform, p.40</w:t>
      </w:r>
    </w:p>
    <w:p w:rsidR="00A31137" w:rsidRPr="00A31137" w:rsidRDefault="00A31137" w:rsidP="00A31137">
      <w:r w:rsidRPr="00A31137">
        <w:t>In response to the Soviet invasion, the United States has cut grain exports, curbed high technology trade and interrupted scientific and cultural relations.</w:t>
      </w:r>
    </w:p>
    <w:p w:rsidR="00A31137" w:rsidRPr="00A31137" w:rsidRDefault="00A31137" w:rsidP="00A31137">
      <w:r w:rsidRPr="00A31137">
        <w:t>1980 Democratic Platform, p.40</w:t>
      </w:r>
    </w:p>
    <w:p w:rsidR="00A31137" w:rsidRPr="00A31137" w:rsidRDefault="00A31137" w:rsidP="00A31137">
      <w:r w:rsidRPr="00A31137">
        <w:t>The United States has also committed itself to a boycott of Moscow as the site of the Olympic Games. To attend while the Soviet armed might brutally seeks to crush the national liberation movement in Afghanistan would be a travesty of the Olympic spirit.</w:t>
      </w:r>
    </w:p>
    <w:p w:rsidR="00A31137" w:rsidRPr="00A31137" w:rsidRDefault="00A31137" w:rsidP="00A31137">
      <w:r w:rsidRPr="00A31137">
        <w:t>1980 Democratic Platform, p.40</w:t>
      </w:r>
    </w:p>
    <w:p w:rsidR="00A31137" w:rsidRPr="00A31137" w:rsidRDefault="00A31137" w:rsidP="00A31137">
      <w:r w:rsidRPr="00A31137">
        <w:t>We must continue to support U.S. actions such as the Olympic boycott and trade restrictions in order to show determined opposition to Soviet aggression. We insist on immediate Soviet withdrawal from Afghanistan and the reestablishment of a non-aligned, independent government which is supported by the people of Afghanistan. The Soviet invasion of Afghanistan makes it extremely important that the United States be ready to aid those in the Third World resisting Soviet, Cuban, and East German domination.</w:t>
      </w:r>
    </w:p>
    <w:p w:rsidR="00A31137" w:rsidRPr="00A31137" w:rsidRDefault="00A31137" w:rsidP="00A31137">
      <w:r w:rsidRPr="00A31137">
        <w:t>1980 Democratic Platform, p.40</w:t>
      </w:r>
    </w:p>
    <w:p w:rsidR="00A31137" w:rsidRPr="00A31137" w:rsidRDefault="00A31137" w:rsidP="00A31137">
      <w:r w:rsidRPr="00A31137">
        <w:t>While the invasion of Afghanistan has sidetracked our pursuit of a productive relationship with the Soviet Union, the Democratic Party supports efforts to [p.41] strengthen ties to the nations of Eastern Europe. Treating each of those nations with sensitivity to its individual situation, the U.S. has steadily improved relations with the people of Hungary, Poland, and Romania. While Soviet conduct has profoundly damaged East-West relations, the U.S. should continue to draw distinctions, to the extent possible, between the sanctions it imposes on economic dealings with Moscow and similar relations with some other members of the Warsaw Pact, as long as they are not diverting that trade, in grain or items under export control, to the use of the Soviet Union and as long as they are willing to maintain a constructive dialogue on issues of concern and significance to the United States.</w:t>
      </w:r>
    </w:p>
    <w:p w:rsidR="00A31137" w:rsidRPr="00A31137" w:rsidRDefault="00A31137" w:rsidP="00A31137">
      <w:r w:rsidRPr="00A31137">
        <w:t>1980 Democratic Platform, p.41</w:t>
      </w:r>
    </w:p>
    <w:p w:rsidR="00A31137" w:rsidRPr="00A31137" w:rsidRDefault="00A31137" w:rsidP="00A31137">
      <w:r w:rsidRPr="00A31137">
        <w:t>Through the measures now being taken, including both denial of economic benefits and the Olympic boycott, as well as our efforts to enhance the security of the region more directly affected, the objective should be to make the Soviets pay a price for their act of international aggression. We should continue to do so along with efforts to strengthen our national defense. We cannot permit this attack across an international border, with the threat it poses to the region and thus to the strategic balance, to go unanswered. Only firmness now can prevent new adventures later.</w:t>
      </w:r>
    </w:p>
    <w:p w:rsidR="00A31137" w:rsidRPr="00A31137" w:rsidRDefault="00A31137" w:rsidP="00A31137">
      <w:r w:rsidRPr="00A31137">
        <w:t>1980 Democratic Platform, p.41</w:t>
      </w:r>
    </w:p>
    <w:p w:rsidR="00A31137" w:rsidRPr="00A31137" w:rsidRDefault="00A31137" w:rsidP="00A31137">
      <w:r w:rsidRPr="00A31137">
        <w:t>The Democratic Administration will also seek to reverse the recent sharp downturn in Soviet Jewish emigration and to obtain the release of dissidents now detained in the Soviet Union, including 41 members of the Helsinki Watch Groups who are in Soviet prisons, labor camps and banishment for their human rights activity. We will pursue our human rights concerns as a necessary part of overall progress on the range of political, military and economic issues between the United States and the Soviet Union—including the possibility of improved, mutually beneficial economic relations between our two countries.</w:t>
      </w:r>
    </w:p>
    <w:p w:rsidR="00A31137" w:rsidRPr="00A31137" w:rsidRDefault="00A31137" w:rsidP="00A31137">
      <w:r w:rsidRPr="00A31137">
        <w:t>1980 Democratic Platform, p.41</w:t>
      </w:r>
    </w:p>
    <w:p w:rsidR="00A31137" w:rsidRPr="00A31137" w:rsidRDefault="00A31137" w:rsidP="00A31137">
      <w:r w:rsidRPr="00A31137">
        <w:t>Consideration of human rights should be a permanent feature of U.S.-Soviet relations. We salute those Soviet citizens active in the Moscow, Ukrainian, Lithuanian, Armenian, and Georgian Helsinki Monitoring Groups, assert our support of the courageous human rights advocate, Nobel Peace Prize Winner, Dr. Andrei Sakharov, and call for Dr. Sakharov's release from forced exile as well as the release of all political prisoners in the U.S.S.R.</w:t>
      </w:r>
    </w:p>
    <w:p w:rsidR="00A31137" w:rsidRPr="00A31137" w:rsidRDefault="00A31137" w:rsidP="00A31137">
      <w:r w:rsidRPr="00A31137">
        <w:t>1980 Democratic Platform, p.41</w:t>
      </w:r>
    </w:p>
    <w:p w:rsidR="00A31137" w:rsidRPr="00A31137" w:rsidRDefault="00A31137" w:rsidP="00A31137">
      <w:r w:rsidRPr="00A31137">
        <w:t>We pledge that a Democratic Administration will raise the question of the Soviet violation of human rights at all appropriate international forums.</w:t>
      </w:r>
    </w:p>
    <w:p w:rsidR="00A31137" w:rsidRPr="00A31137" w:rsidRDefault="00A31137" w:rsidP="00A31137">
      <w:r w:rsidRPr="00A31137">
        <w:t>Arms Control</w:t>
      </w:r>
    </w:p>
    <w:p w:rsidR="00A31137" w:rsidRPr="00A31137" w:rsidRDefault="00A31137" w:rsidP="00A31137">
      <w:r w:rsidRPr="00A31137">
        <w:t>1980 Democratic Platform, p.41</w:t>
      </w:r>
    </w:p>
    <w:p w:rsidR="00A31137" w:rsidRPr="00A31137" w:rsidRDefault="00A31137" w:rsidP="00A31137">
      <w:r w:rsidRPr="00A31137">
        <w:t>The SALT II Treaty also serves our security interests. It is a vital step in an arms control process that can begin to lift from humanity the shadow of nuclear war. That process, also, must be sustained.</w:t>
      </w:r>
    </w:p>
    <w:p w:rsidR="00A31137" w:rsidRPr="00A31137" w:rsidRDefault="00A31137" w:rsidP="00A31137">
      <w:r w:rsidRPr="00A31137">
        <w:t>1980 Democratic Platform, p.41</w:t>
      </w:r>
    </w:p>
    <w:p w:rsidR="00A31137" w:rsidRPr="00A31137" w:rsidRDefault="00A31137" w:rsidP="00A31137">
      <w:r w:rsidRPr="00A31137">
        <w:t>Soviet aggression against Afghanistan has delayed the course of ratification of the SALT II Treaty, but we must continue to pursue both security priorities: deterrence of Soviet aggression and balanced arms control agreements. Both the response to Afghanistan and the SALT II Treaty serve this purpose.</w:t>
      </w:r>
    </w:p>
    <w:p w:rsidR="00A31137" w:rsidRPr="00A31137" w:rsidRDefault="00A31137" w:rsidP="00A31137">
      <w:r w:rsidRPr="00A31137">
        <w:t>1980 Democratic Platform, p.41</w:t>
      </w:r>
    </w:p>
    <w:p w:rsidR="00A31137" w:rsidRPr="00A31137" w:rsidRDefault="00A31137" w:rsidP="00A31137">
      <w:r w:rsidRPr="00A31137">
        <w:t>The SALT Treaty is in the U.S. interest because it is an important way of restraining Soviet behavior.</w:t>
      </w:r>
    </w:p>
    <w:p w:rsidR="00A31137" w:rsidRPr="00A31137" w:rsidRDefault="00A31137" w:rsidP="00A31137">
      <w:r w:rsidRPr="00A31137">
        <w:t>1980 Democratic Platform, p.41</w:t>
      </w:r>
    </w:p>
    <w:p w:rsidR="00A31137" w:rsidRPr="00A31137" w:rsidRDefault="00A31137" w:rsidP="00A31137">
      <w:r w:rsidRPr="00A31137">
        <w:t>Without SALT II, the Soviets could have hundreds more missiles and thousands more nuclear warheads than the Treaty permits. Under the Treaty, they would have to eliminate many nuclear weapons they already have.</w:t>
      </w:r>
    </w:p>
    <w:p w:rsidR="00A31137" w:rsidRPr="00A31137" w:rsidRDefault="00A31137" w:rsidP="00A31137">
      <w:r w:rsidRPr="00A31137">
        <w:t>1980 Democratic Platform, p.41</w:t>
      </w:r>
    </w:p>
    <w:p w:rsidR="00A31137" w:rsidRPr="00A31137" w:rsidRDefault="00A31137" w:rsidP="00A31137">
      <w:r w:rsidRPr="00A31137">
        <w:t>The Treaty helps sustain a strong American position in the world. Our Allies and other nations around the world know the SALT II Treaty serves their security interests as well as ours. American support for arms control is important to our standing in the international community, the same community that has rebuked the Soviets for their attempted suppression of Afghanistan. It is also important to our efforts to organize an enduring response to the growing threat to Europe of the Soviet SS-20 nuclear missiles and to Soviet aggression in Afghanistan.</w:t>
      </w:r>
    </w:p>
    <w:p w:rsidR="00A31137" w:rsidRPr="00A31137" w:rsidRDefault="00A31137" w:rsidP="00A31137">
      <w:r w:rsidRPr="00A31137">
        <w:t>1980 Democratic Platform, p.41</w:t>
      </w:r>
    </w:p>
    <w:p w:rsidR="00A31137" w:rsidRPr="00A31137" w:rsidRDefault="00A31137" w:rsidP="00A31137">
      <w:r w:rsidRPr="00A31137">
        <w:t>Along with support for SALT, we seek to maintain a stable conventional and theater nuclear balance in Europe. We will support modernization programs in which European countries bear their fair share of the cost and other burdens. At the same time, we will ensure that no possibility for effective limits on theater nuclear weapons is left unexplored. The Democratic Administration will join with our NATO allies in making far-reaching, equitable, and verifiable proposals for nuclear and conventional arms control in Europe.</w:t>
      </w:r>
    </w:p>
    <w:p w:rsidR="00A31137" w:rsidRPr="00A31137" w:rsidRDefault="00A31137" w:rsidP="00A31137">
      <w:r w:rsidRPr="00A31137">
        <w:t>1980 Democratic Platform, p.41</w:t>
      </w:r>
    </w:p>
    <w:p w:rsidR="00A31137" w:rsidRPr="00A31137" w:rsidRDefault="00A31137" w:rsidP="00A31137">
      <w:r w:rsidRPr="00A31137">
        <w:t>The Democratic Party wants an arms control process to continue, just as it wants to sustain strong policies against Soviet aggression in Afghanistan. We understand that both build peace and make our nation more secure. Accordingly, we must persist in a strong policy regarding the Soviet aggression, and we must seek ratification of SALT as soon as it is feasible.</w:t>
      </w:r>
    </w:p>
    <w:p w:rsidR="00A31137" w:rsidRPr="00A31137" w:rsidRDefault="00A31137" w:rsidP="00A31137">
      <w:r w:rsidRPr="00A31137">
        <w:t>1980 Democratic Platform, p.41</w:t>
      </w:r>
    </w:p>
    <w:p w:rsidR="00A31137" w:rsidRPr="00A31137" w:rsidRDefault="00A31137" w:rsidP="00A31137">
      <w:r w:rsidRPr="00A31137">
        <w:t>A Democratic Administration will not accept an indefinite deferral of strategic arms control. On the basis of review and planning of U.S. security requirements in the coming decade, we are determined to pursue negotiations with the Soviet Union, aimed at the achievement of strategic stability and, for the first time, of major reductions and qualitative limits on strategic systems. The American SALT proposals in March 1977 were the first effort to seek such reductions, which remain the goal and justification of arms control. A Democratic Administration will treat the Soviet government's readiness to negotiate verifiable, substantial and significant reductions and qualitative [p.42] limits as a test of its seriousness about arms control and the compatibility of its approach to arms control with that of the United States.</w:t>
      </w:r>
    </w:p>
    <w:p w:rsidR="00A31137" w:rsidRPr="00A31137" w:rsidRDefault="00A31137" w:rsidP="00A31137">
      <w:r w:rsidRPr="00A31137">
        <w:t>1980 Democratic Platform, p.42</w:t>
      </w:r>
    </w:p>
    <w:p w:rsidR="00A31137" w:rsidRPr="00A31137" w:rsidRDefault="00A31137" w:rsidP="00A31137">
      <w:r w:rsidRPr="00A31137">
        <w:t>We will pursue other arms control opportunities that can enhance both our national security and the prospects of peace. In particular, the Democratic Administration will pursue a Comprehensive Nuclear Test Ban Treaty. Such a treaty is vital to our hopes to control the proliferation of nuclear weapons. Following the 1980 Review Conference on the Nuclear NonProliferation Treaty, we will step up our efforts to expand adherence to the treaty, to strengthen international safeguards and controls over nuclear materials, equipment and technology, and to forestall the spread of nuclear explosive capabilities. In any peaceful nuclear supply, we will continue to seek the full application of international safeguards and undertakings not to explode nuclear devices.</w:t>
      </w:r>
    </w:p>
    <w:p w:rsidR="00A31137" w:rsidRPr="00A31137" w:rsidRDefault="00A31137" w:rsidP="00A31137">
      <w:r w:rsidRPr="00A31137">
        <w:t>1980 Democratic Platform, p.42</w:t>
      </w:r>
    </w:p>
    <w:p w:rsidR="00A31137" w:rsidRPr="00A31137" w:rsidRDefault="00A31137" w:rsidP="00A31137">
      <w:r w:rsidRPr="00A31137">
        <w:t>We have placed significant limits on our conventional arms transfers and will vigorously press other arms suppliers and recipients to accept mutual restraints.</w:t>
      </w:r>
    </w:p>
    <w:p w:rsidR="00A31137" w:rsidRPr="00A31137" w:rsidRDefault="00A31137" w:rsidP="00A31137">
      <w:r w:rsidRPr="00A31137">
        <w:t>1980 Democratic Platform, p.42</w:t>
      </w:r>
    </w:p>
    <w:p w:rsidR="00A31137" w:rsidRPr="00A31137" w:rsidRDefault="00A31137" w:rsidP="00A31137">
      <w:r w:rsidRPr="00A31137">
        <w:t>The Democratic Administration has increased our capacity to counter national terrorism, both on a national basis and in coordination with other governments, and to deal with acts of terrorism including hostage-taking committed either by individuals or by governments. We will strengthen multilateral arrangements for contingency planning, information sharing, military coordination, and the isolation of countries that harbor terrorists.</w:t>
      </w:r>
    </w:p>
    <w:p w:rsidR="00A31137" w:rsidRPr="00A31137" w:rsidRDefault="00A31137" w:rsidP="00A31137">
      <w:r w:rsidRPr="00A31137">
        <w:t>Human Rights</w:t>
      </w:r>
    </w:p>
    <w:p w:rsidR="00A31137" w:rsidRPr="00A31137" w:rsidRDefault="00A31137" w:rsidP="00A31137">
      <w:r w:rsidRPr="00A31137">
        <w:t>1980 Democratic Platform, p.42</w:t>
      </w:r>
    </w:p>
    <w:p w:rsidR="00A31137" w:rsidRPr="00A31137" w:rsidRDefault="00A31137" w:rsidP="00A31137">
      <w:r w:rsidRPr="00A31137">
        <w:t>In the area of international affairs, the Democratic Administration has placed America's power in the service of a more decent world by once again living up to our own values and working in a formal, deliberate way to foster the principles set out in the Universal Declaration of Human Rights.</w:t>
      </w:r>
    </w:p>
    <w:p w:rsidR="00A31137" w:rsidRPr="00A31137" w:rsidRDefault="00A31137" w:rsidP="00A31137">
      <w:r w:rsidRPr="00A31137">
        <w:t>1980 Democratic Platform, p.42</w:t>
      </w:r>
    </w:p>
    <w:p w:rsidR="00A31137" w:rsidRPr="00A31137" w:rsidRDefault="00A31137" w:rsidP="00A31137">
      <w:r w:rsidRPr="00A31137">
        <w:t>This has been accomplished through a strong commitment to human rights, which must be seen not only as a moral imperative but as the only secure and enduring basis upon which a truly stable world order can he fashioned. There have been successes in Asia, Latin America, and elsewhere in the world. We must be undaunted by the increasing repression in the Soviet Union. We support measures designed to restrict trade with the Soviet Union until such time as Soviet emigration policy is made fair and non-restrictive.</w:t>
      </w:r>
    </w:p>
    <w:p w:rsidR="00A31137" w:rsidRPr="00A31137" w:rsidRDefault="00A31137" w:rsidP="00A31137">
      <w:r w:rsidRPr="00A31137">
        <w:t>1980 Democratic Platform, p.42</w:t>
      </w:r>
    </w:p>
    <w:p w:rsidR="00A31137" w:rsidRPr="00A31137" w:rsidRDefault="00A31137" w:rsidP="00A31137">
      <w:r w:rsidRPr="00A31137">
        <w:t>We must be vigilant about human rights violations in any country in which they occur including South Africa. We note in particular that many of the Communist-dominated countries are persistent violators of the most basic human freedoms—the right to free speech, the right to religious freedom, the right to travel and emigrate, and the right to be free from arbitrary harassment.</w:t>
      </w:r>
    </w:p>
    <w:p w:rsidR="00A31137" w:rsidRPr="00A31137" w:rsidRDefault="00A31137" w:rsidP="00A31137">
      <w:r w:rsidRPr="00A31137">
        <w:t>1980 Democratic Platform, p.42</w:t>
      </w:r>
    </w:p>
    <w:p w:rsidR="00A31137" w:rsidRPr="00A31137" w:rsidRDefault="00A31137" w:rsidP="00A31137">
      <w:r w:rsidRPr="00A31137">
        <w:t>We support Senate ratification of the Genocide Convention and the International Covenants on Human Rights as soon as possible.</w:t>
      </w:r>
    </w:p>
    <w:p w:rsidR="00A31137" w:rsidRPr="00A31137" w:rsidRDefault="00A31137" w:rsidP="00A31137">
      <w:r w:rsidRPr="00A31137">
        <w:t>1980 Democratic Platform, p.42</w:t>
      </w:r>
    </w:p>
    <w:p w:rsidR="00A31137" w:rsidRPr="00A31137" w:rsidRDefault="00A31137" w:rsidP="00A31137">
      <w:r w:rsidRPr="00A31137">
        <w:t>We support continuation of the leadership role taken by the United States in the area of human rights and urge that the Democratic Administration continue to speak out openly and forcefully on human rights violations whenever and wherever they occur.</w:t>
      </w:r>
    </w:p>
    <w:p w:rsidR="00A31137" w:rsidRPr="00A31137" w:rsidRDefault="00A31137" w:rsidP="00A31137">
      <w:r w:rsidRPr="00A31137">
        <w:t>1980 Democratic Platform, p.42</w:t>
      </w:r>
    </w:p>
    <w:p w:rsidR="00A31137" w:rsidRPr="00A31137" w:rsidRDefault="00A31137" w:rsidP="00A31137">
      <w:r w:rsidRPr="00A31137">
        <w:t>We will fulfill the letter and the spirit of current law by denying assistance to governments that violate fundamental human rights, except for that aid which is clearly humanitarian. We also recognize the exception for assistance that is required for overriding security purposes, but that exception should not he used as an excuse for ignoring abuses of human rights.</w:t>
      </w:r>
    </w:p>
    <w:p w:rsidR="00A31137" w:rsidRPr="00A31137" w:rsidRDefault="00A31137" w:rsidP="00A31137">
      <w:r w:rsidRPr="00A31137">
        <w:t>1980 Democratic Platform, p.42</w:t>
      </w:r>
    </w:p>
    <w:p w:rsidR="00A31137" w:rsidRPr="00A31137" w:rsidRDefault="00A31137" w:rsidP="00A31137">
      <w:r w:rsidRPr="00A31137">
        <w:t>We will provide additional assistance and support, as needed, to governments that strive successfully for greater political liberty and protection of human rights.</w:t>
      </w:r>
    </w:p>
    <w:p w:rsidR="00A31137" w:rsidRPr="00A31137" w:rsidRDefault="00A31137" w:rsidP="00A31137">
      <w:r w:rsidRPr="00A31137">
        <w:t>Refugees and Migration</w:t>
      </w:r>
    </w:p>
    <w:p w:rsidR="00A31137" w:rsidRPr="00A31137" w:rsidRDefault="00A31137" w:rsidP="00A31137">
      <w:r w:rsidRPr="00A31137">
        <w:t>1980 Democratic Platform, p.42</w:t>
      </w:r>
    </w:p>
    <w:p w:rsidR="00A31137" w:rsidRPr="00A31137" w:rsidRDefault="00A31137" w:rsidP="00A31137">
      <w:r w:rsidRPr="00A31137">
        <w:t>America's roots are found in the immigrants and refugees who have come to our shores to build new lives in a new world. The Democratic Party pledges to honor our historic commitment to this heritage.</w:t>
      </w:r>
    </w:p>
    <w:p w:rsidR="00A31137" w:rsidRPr="00A31137" w:rsidRDefault="00A31137" w:rsidP="00A31137">
      <w:r w:rsidRPr="00A31137">
        <w:t>1980 Democratic Platform, p.42</w:t>
      </w:r>
    </w:p>
    <w:p w:rsidR="00A31137" w:rsidRPr="00A31137" w:rsidRDefault="00A31137" w:rsidP="00A31137">
      <w:r w:rsidRPr="00A31137">
        <w:t>The first comprehensive reform of this nation's refugee policies in over 25 years was completed with the signing in March 1980 of the Refugee Act of 1980, based on legislation submitted to Congress by the Carter Administration in March 1979.</w:t>
      </w:r>
    </w:p>
    <w:p w:rsidR="00A31137" w:rsidRPr="00A31137" w:rsidRDefault="00A31137" w:rsidP="00A31137">
      <w:r w:rsidRPr="00A31137">
        <w:t>1980 Democratic Platform, p.42</w:t>
      </w:r>
    </w:p>
    <w:p w:rsidR="00A31137" w:rsidRPr="00A31137" w:rsidRDefault="00A31137" w:rsidP="00A31137">
      <w:r w:rsidRPr="00A31137">
        <w:t>This act offers a comprehensive alternative to the chaotic movement and the inefficient and inequitable administration of past refugee programs in the United States. We favor the full use of refugee legislation now to cope with the flow of Cuban and Haitian refugees, and to help the states, local communities and voluntary agencies resettle them across our land. We urge that monies be distributed to voluntary agencies fairly so that aid is distributed to all refugees without discrimination.</w:t>
      </w:r>
    </w:p>
    <w:p w:rsidR="00A31137" w:rsidRPr="00A31137" w:rsidRDefault="00A31137" w:rsidP="00A31137">
      <w:r w:rsidRPr="00A31137">
        <w:t>1980 Democratic Platform, p.42</w:t>
      </w:r>
    </w:p>
    <w:p w:rsidR="00A31137" w:rsidRPr="00A31137" w:rsidRDefault="00A31137" w:rsidP="00A31137">
      <w:r w:rsidRPr="00A31137">
        <w:t>The Administration also established the first refugee coordination office in the Department of State under the leadership of a special ambassador and coordinator for refugee affairs and programs.</w:t>
      </w:r>
    </w:p>
    <w:p w:rsidR="00A31137" w:rsidRPr="00A31137" w:rsidRDefault="00A31137" w:rsidP="00A31137">
      <w:r w:rsidRPr="00A31137">
        <w:t>1980 Democratic Platform, p.42</w:t>
      </w:r>
    </w:p>
    <w:p w:rsidR="00A31137" w:rsidRPr="00A31137" w:rsidRDefault="00A31137" w:rsidP="00A31137">
      <w:r w:rsidRPr="00A31137">
        <w:t>The new legislation and the coordinator's office will bring common sense and consolidation to our nation's previously fragmented, inconsistent, and, in many ways, outdated refugee and immigration policies.</w:t>
      </w:r>
    </w:p>
    <w:p w:rsidR="00A31137" w:rsidRPr="00A31137" w:rsidRDefault="00A31137" w:rsidP="00A31137">
      <w:r w:rsidRPr="00A31137">
        <w:t>1980 Democratic Platform, p.42</w:t>
      </w:r>
    </w:p>
    <w:p w:rsidR="00A31137" w:rsidRPr="00A31137" w:rsidRDefault="00A31137" w:rsidP="00A31137">
      <w:r w:rsidRPr="00A31137">
        <w:t>A Select Commission on Immigration and Refugee Policy is now at work to further reform the system. We pledge oar support to the goals and purposes of the [p.43] Commission, and we urge the Administration to move aggressively in this area once the Commission submits its report.</w:t>
      </w:r>
    </w:p>
    <w:p w:rsidR="00A31137" w:rsidRPr="00A31137" w:rsidRDefault="00A31137" w:rsidP="00A31137">
      <w:r w:rsidRPr="00A31137">
        <w:t>1980 Democratic Platform, p.43</w:t>
      </w:r>
    </w:p>
    <w:p w:rsidR="00A31137" w:rsidRPr="00A31137" w:rsidRDefault="00A31137" w:rsidP="00A31137">
      <w:r w:rsidRPr="00A31137">
        <w:t>Once that report has been completed, we must work to resolve the issue of undocumented residents in a fair and humane way. We will oppose any legislation designed to allow workers into the country to undercut U.S. wages and working conditions, and which would re-establish the bracero program of the past.</w:t>
      </w:r>
    </w:p>
    <w:p w:rsidR="00A31137" w:rsidRPr="00A31137" w:rsidRDefault="00A31137" w:rsidP="00A31137">
      <w:r w:rsidRPr="00A31137">
        <w:t>1980 Democratic Platform, p.43</w:t>
      </w:r>
    </w:p>
    <w:p w:rsidR="00A31137" w:rsidRPr="00A31137" w:rsidRDefault="00A31137" w:rsidP="00A31137">
      <w:r w:rsidRPr="00A31137">
        <w:t>World population projections, as well as international economic indicators—especially in the Third World—forewarn us that migration pressures will mount rapidly in many areas of the world in the decade ahead. Our own situation of undocumented workers underscores how difficult it is to deal with economic and employment forces that are beyond any nation's immediate control. Most of Europe, and many parts of Latin America and Asia, face similar dilemmas. For example, Mexico faces the pressure of migration from Central America.</w:t>
      </w:r>
    </w:p>
    <w:p w:rsidR="00A31137" w:rsidRPr="00A31137" w:rsidRDefault="00A31137" w:rsidP="00A31137">
      <w:r w:rsidRPr="00A31137">
        <w:t>1980 Democratic Platform, p.43</w:t>
      </w:r>
    </w:p>
    <w:p w:rsidR="00A31137" w:rsidRPr="00A31137" w:rsidRDefault="00A31137" w:rsidP="00A31137">
      <w:r w:rsidRPr="00A31137">
        <w:t>We will work with other nations to develop international policies to regularize population movement and to protect the human rights of migrants even as we protect the jobs of American workers and the economic interest of the United States. In this hemisphere, such a policy will require close cooperation with our neighbors, especially Mexico and Canada.</w:t>
      </w:r>
    </w:p>
    <w:p w:rsidR="00A31137" w:rsidRPr="00A31137" w:rsidRDefault="00A31137" w:rsidP="00A31137">
      <w:r w:rsidRPr="00A31137">
        <w:t>1980 Democratic Platform, p.43</w:t>
      </w:r>
    </w:p>
    <w:p w:rsidR="00A31137" w:rsidRPr="00A31137" w:rsidRDefault="00A31137" w:rsidP="00A31137">
      <w:r w:rsidRPr="00A31137">
        <w:t>We must also work to resolve the difficult problems presented by the immigration from Haiti and from the more recent immigration from Cuba. In doing so, we must ensure that there is no discrimination in the treatment afforded to the Cubans or Haitians. We must also work to ensure that future Cuban immigration is handled in an orderly way, consistent with our laws. To ameliorate the impact on state and local communities and school districts of the influx of new immigrants from Cuba and Haiti, we must provide the affected areas with special fiscal assistance.</w:t>
      </w:r>
    </w:p>
    <w:p w:rsidR="00A31137" w:rsidRPr="00A31137" w:rsidRDefault="00A31137" w:rsidP="00A31137">
      <w:r w:rsidRPr="00A31137">
        <w:t>1980 Democratic Platform, p.43</w:t>
      </w:r>
    </w:p>
    <w:p w:rsidR="00A31137" w:rsidRPr="00A31137" w:rsidRDefault="00A31137" w:rsidP="00A31137">
      <w:r w:rsidRPr="00A31137">
        <w:t>We support continued financial backing of international relief programs such as those financed by the United States, the International Red Cross, UNICEF and the private, non-profit organizations to aid the starving people of Kampuehea. We also endorse such support for the Cambodian refugees and encourage participation in the campaign of the National Cambodian Crisis Committee.</w:t>
      </w:r>
    </w:p>
    <w:p w:rsidR="00A31137" w:rsidRPr="00A31137" w:rsidRDefault="00A31137" w:rsidP="00A31137">
      <w:r w:rsidRPr="00A31137">
        <w:t>1980 Democratic Platform, p.43</w:t>
      </w:r>
    </w:p>
    <w:p w:rsidR="00A31137" w:rsidRPr="00A31137" w:rsidRDefault="00A31137" w:rsidP="00A31137">
      <w:r w:rsidRPr="00A31137">
        <w:t>We support, through U.S. contributions to the UN High Commissioner for Refugees and other means, aid for the mounting Afghan refugee population in Pakistan and other desperate refugee situations.</w:t>
      </w:r>
    </w:p>
    <w:p w:rsidR="00A31137" w:rsidRPr="00A31137" w:rsidRDefault="00A31137" w:rsidP="00A31137">
      <w:r w:rsidRPr="00A31137">
        <w:t>The Middle East</w:t>
      </w:r>
    </w:p>
    <w:p w:rsidR="00A31137" w:rsidRPr="00A31137" w:rsidRDefault="00A31137" w:rsidP="00A31137">
      <w:r w:rsidRPr="00A31137">
        <w:t>1980 Democratic Platform, p.43</w:t>
      </w:r>
    </w:p>
    <w:p w:rsidR="00A31137" w:rsidRPr="00A31137" w:rsidRDefault="00A31137" w:rsidP="00A31137">
      <w:r w:rsidRPr="00A31137">
        <w:t>When the Democratic Administration began in 1977, the prospects for peace in the Middle East were bleak. Despite efforts over thirty years, Israel still faced an Arab world that was totally hostile to it; it was still denied any movement towards its dream of living at peace with its neighbors, behind secure and recognized frontiers.</w:t>
      </w:r>
    </w:p>
    <w:p w:rsidR="00A31137" w:rsidRPr="00A31137" w:rsidRDefault="00A31137" w:rsidP="00A31137">
      <w:r w:rsidRPr="00A31137">
        <w:t>1980 Democratic Platform, p.43</w:t>
      </w:r>
    </w:p>
    <w:p w:rsidR="00A31137" w:rsidRPr="00A31137" w:rsidRDefault="00A31137" w:rsidP="00A31137">
      <w:r w:rsidRPr="00A31137">
        <w:t>Almost immediately after his inauguration, President Carter undertook to move the peace process forward. Following the historic visit of President Sadat to Jerusalem, the Administration's efforts led to Camp David, where the two presidents and Prime Minister Begin in thirteen days created the Camp David Accords—the most promising effort in three decades for creating a genuine and lasting peace in the Middle East.</w:t>
      </w:r>
    </w:p>
    <w:p w:rsidR="00A31137" w:rsidRPr="00A31137" w:rsidRDefault="00A31137" w:rsidP="00A31137">
      <w:r w:rsidRPr="00A31137">
        <w:t>1980 Democratic Platform, p.43</w:t>
      </w:r>
    </w:p>
    <w:p w:rsidR="00A31137" w:rsidRPr="00A31137" w:rsidRDefault="00A31137" w:rsidP="00A31137">
      <w:r w:rsidRPr="00A31137">
        <w:t>Following President Carter's trip to the Middle East in March 1979, Prime Minister Begin and President Sadat signed the Israel-Egypt peace treaty at the White House. A year later, that treaty has led to the transfer of two-thirds of the Sinai to Egypt—along with the Sinai oil fields; ambassadors have been exchanged; borders have been opened; and normalization of relations is well underway. Israel has finally gained peace with its largest Arab neighbor. In sum, this Democratic Administration has done more to achieve Israel's dream of peace than any other Administration in thirty years.</w:t>
      </w:r>
    </w:p>
    <w:p w:rsidR="00A31137" w:rsidRPr="00A31137" w:rsidRDefault="00A31137" w:rsidP="00A31137">
      <w:r w:rsidRPr="00A31137">
        <w:t>1980 Democratic Platform, p.43</w:t>
      </w:r>
    </w:p>
    <w:p w:rsidR="00A31137" w:rsidRPr="00A31137" w:rsidRDefault="00A31137" w:rsidP="00A31137">
      <w:r w:rsidRPr="00A31137">
        <w:t>Negotiations are continuing under the Camp David framework on full autonomy for the inhabitants of the West Bank and Gaza, in order to preserve fully Israel's security while permitting the Palestinians living in the territories to participate in determining their own future. The United States is a full partner in negotiations between Israel and Egypt to provide for a five-year transitional regime in the West Bank and Gaza.</w:t>
      </w:r>
    </w:p>
    <w:p w:rsidR="00A31137" w:rsidRPr="00A31137" w:rsidRDefault="00A31137" w:rsidP="00A31137">
      <w:r w:rsidRPr="00A31137">
        <w:t>1980 Democratic Platform, p.43</w:t>
      </w:r>
    </w:p>
    <w:p w:rsidR="00A31137" w:rsidRPr="00A31137" w:rsidRDefault="00A31137" w:rsidP="00A31137">
      <w:r w:rsidRPr="00A31137">
        <w:t>It is recognized that the Democratic Administration has to proceed with special care and sensitivity resulting from its deep engagement in the delicate process of promoting a wider peace for Israel.</w:t>
      </w:r>
    </w:p>
    <w:p w:rsidR="00A31137" w:rsidRPr="00A31137" w:rsidRDefault="00A31137" w:rsidP="00A31137">
      <w:r w:rsidRPr="00A31137">
        <w:t>1980 Democratic Platform, p.43</w:t>
      </w:r>
    </w:p>
    <w:p w:rsidR="00A31137" w:rsidRPr="00A31137" w:rsidRDefault="00A31137" w:rsidP="00A31137">
      <w:r w:rsidRPr="00A31137">
        <w:t>At the same time, the United States' commitment to the independence, security, and future of Israel has been strengthened. Nearly half of all U.S. aid to Israel since its creation as a sovereign state—more than $10 billion—has been requested during the last three and a half years. We provide Israel with modern military equipment and we fully support Israel's efforts to create a just and lasting peace with all of its Arab neighbors.</w:t>
      </w:r>
    </w:p>
    <w:p w:rsidR="00A31137" w:rsidRPr="00A31137" w:rsidRDefault="00A31137" w:rsidP="00A31137">
      <w:r w:rsidRPr="00A31137">
        <w:t>1980 Democratic Platform, p.43</w:t>
      </w:r>
    </w:p>
    <w:p w:rsidR="00A31137" w:rsidRPr="00A31137" w:rsidRDefault="00A31137" w:rsidP="00A31137">
      <w:r w:rsidRPr="00A31137">
        <w:t>U.S. policy is—and should continue to be—guided also by the following principles.</w:t>
      </w:r>
    </w:p>
    <w:p w:rsidR="00A31137" w:rsidRPr="00A31137" w:rsidRDefault="00A31137" w:rsidP="00A31137">
      <w:r w:rsidRPr="00A31137">
        <w:t>1980 Democratic Platform, p.43</w:t>
      </w:r>
    </w:p>
    <w:p w:rsidR="00A31137" w:rsidRPr="00A31137" w:rsidRDefault="00A31137" w:rsidP="00A31137">
      <w:r w:rsidRPr="00A31137">
        <w:t>UN Security council Resolution 242, unchanged, and the Camp David Accords are the basis for peace in the Middle East.</w:t>
      </w:r>
    </w:p>
    <w:p w:rsidR="00A31137" w:rsidRPr="00A31137" w:rsidRDefault="00A31137" w:rsidP="00A31137">
      <w:r w:rsidRPr="00A31137">
        <w:t>1980 Democratic Platform, p.43</w:t>
      </w:r>
    </w:p>
    <w:p w:rsidR="00A31137" w:rsidRPr="00A31137" w:rsidRDefault="00A31137" w:rsidP="00A31137">
      <w:r w:rsidRPr="00A31137">
        <w:t>We support Israel's security, and will continue to provide generous military and economic aid to that end.</w:t>
      </w:r>
    </w:p>
    <w:p w:rsidR="00A31137" w:rsidRPr="00A31137" w:rsidRDefault="00A31137" w:rsidP="00A31137">
      <w:r w:rsidRPr="00A31137">
        <w:t>1980 Democratic Platform, p.44</w:t>
      </w:r>
    </w:p>
    <w:p w:rsidR="00A31137" w:rsidRPr="00A31137" w:rsidRDefault="00A31137" w:rsidP="00A31137">
      <w:r w:rsidRPr="00A31137">
        <w:t>[p.44]We pledge not to provide Israel's potential enemies with sophisticated offensive equipment that could endanger the security of Israel.</w:t>
      </w:r>
    </w:p>
    <w:p w:rsidR="00A31137" w:rsidRPr="00A31137" w:rsidRDefault="00A31137" w:rsidP="00A31137">
      <w:r w:rsidRPr="00A31137">
        <w:t>1980 Democratic Platform, p.44</w:t>
      </w:r>
    </w:p>
    <w:p w:rsidR="00A31137" w:rsidRPr="00A31137" w:rsidRDefault="00A31137" w:rsidP="00A31137">
      <w:r w:rsidRPr="00A31137">
        <w:t>Jerusalem should remain forever undivided, with free access to the holy places for people of all faiths.</w:t>
      </w:r>
    </w:p>
    <w:p w:rsidR="00A31137" w:rsidRPr="00A31137" w:rsidRDefault="00A31137" w:rsidP="00A31137">
      <w:r w:rsidRPr="00A31137">
        <w:t>1980 Democratic Platform, p.44</w:t>
      </w:r>
    </w:p>
    <w:p w:rsidR="00A31137" w:rsidRPr="00A31137" w:rsidRDefault="00A31137" w:rsidP="00A31137">
      <w:r w:rsidRPr="00A31137">
        <w:t>We oppose creation of an independent Palestinian state.</w:t>
      </w:r>
    </w:p>
    <w:p w:rsidR="00A31137" w:rsidRPr="00A31137" w:rsidRDefault="00A31137" w:rsidP="00A31137">
      <w:r w:rsidRPr="00A31137">
        <w:t>1980 Democratic Platform, p.44</w:t>
      </w:r>
    </w:p>
    <w:p w:rsidR="00A31137" w:rsidRPr="00A31137" w:rsidRDefault="00A31137" w:rsidP="00A31137">
      <w:r w:rsidRPr="00A31137">
        <w:t>We will not negotiate with or recognize the Palestinian Liberation Organization, unless and until it accepts Israel's right to exist and UN Security Council Resolutions 242 and 338. It is also long past time for an end to all terrorism and other acts of violence against Israel.</w:t>
      </w:r>
    </w:p>
    <w:p w:rsidR="00A31137" w:rsidRPr="00A31137" w:rsidRDefault="00A31137" w:rsidP="00A31137">
      <w:r w:rsidRPr="00A31137">
        <w:t>1980 Democratic Platform, p.44</w:t>
      </w:r>
    </w:p>
    <w:p w:rsidR="00A31137" w:rsidRPr="00A31137" w:rsidRDefault="00A31137" w:rsidP="00A31137">
      <w:r w:rsidRPr="00A31137">
        <w:t>We have not and will not use our aid to Israel as a bargaining tool; and we will never permit oil policies to influence our policy toward peace or our support for Israel.</w:t>
      </w:r>
    </w:p>
    <w:p w:rsidR="00A31137" w:rsidRPr="00A31137" w:rsidRDefault="00A31137" w:rsidP="00A31137">
      <w:r w:rsidRPr="00A31137">
        <w:t>1980 Democratic Platform, p.44</w:t>
      </w:r>
    </w:p>
    <w:p w:rsidR="00A31137" w:rsidRPr="00A31137" w:rsidRDefault="00A31137" w:rsidP="00A31137">
      <w:r w:rsidRPr="00A31137">
        <w:t>As stated in the 1976 platform, the Democratic Party recognizes and supports "the established status of Jerusalem as the capital of Israel, with free access to all its holy places provided to all faiths. As a symbol of this stand, the U.S. Embassy should be moved from Tel Aviv to Jerusalem."</w:t>
      </w:r>
    </w:p>
    <w:p w:rsidR="00A31137" w:rsidRPr="00A31137" w:rsidRDefault="00A31137" w:rsidP="00A31137">
      <w:r w:rsidRPr="00A31137">
        <w:t>1980 Democratic Platform, p.44</w:t>
      </w:r>
    </w:p>
    <w:p w:rsidR="00A31137" w:rsidRPr="00A31137" w:rsidRDefault="00A31137" w:rsidP="00A31137">
      <w:r w:rsidRPr="00A31137">
        <w:t>Elsewhere in the Middle East, we support the improvement of relations with moderate Arab states. We support the independence, sovereignty, and integrity of Lebanon. We earl upon all states in the region to support the historic efforts of Israel and Egypt to build a comprehensive peace.</w:t>
      </w:r>
    </w:p>
    <w:p w:rsidR="00A31137" w:rsidRPr="00A31137" w:rsidRDefault="00A31137" w:rsidP="00A31137">
      <w:r w:rsidRPr="00A31137">
        <w:t>1980 Democratic Platform, p.44</w:t>
      </w:r>
    </w:p>
    <w:p w:rsidR="00A31137" w:rsidRPr="00A31137" w:rsidRDefault="00A31137" w:rsidP="00A31137">
      <w:r w:rsidRPr="00A31137">
        <w:t>We believe a cooperative effort among the nations of the Middle East and the United States can help provide needed assistance to Israel and her Middle East neighbors engaging in the peace process with Israel in the vital areas of refugee resettlement, agricultural development, water development, health and medical facilities, and productivity and trade. A planning group should be created to pursue an effort to provide this type of assistance.</w:t>
      </w:r>
    </w:p>
    <w:p w:rsidR="00A31137" w:rsidRPr="00A31137" w:rsidRDefault="00A31137" w:rsidP="00A31137">
      <w:r w:rsidRPr="00A31137">
        <w:t>1980 Democratic Platform, p.44</w:t>
      </w:r>
    </w:p>
    <w:p w:rsidR="00A31137" w:rsidRPr="00A31137" w:rsidRDefault="00A31137" w:rsidP="00A31137">
      <w:r w:rsidRPr="00A31137">
        <w:t>The Democratic Administration will also take needed measures to protect American interests in the Persian Gulf, including energy security, regional stability, and national independence. This will require sophisticated diplomacy as well as military capability. We will seek both to counter external threats and to encourage necessary political and economic development. In the end, our allies have an equal or greater interest than we in the security of oil supply and regional stability, and the Democratic Administration will continue to cooperate with them in a common strategy and to share common burdens.</w:t>
      </w:r>
    </w:p>
    <w:p w:rsidR="00A31137" w:rsidRPr="00A31137" w:rsidRDefault="00A31137" w:rsidP="00A31137">
      <w:r w:rsidRPr="00A31137">
        <w:t>1980 Democratic Platform, p.44</w:t>
      </w:r>
    </w:p>
    <w:p w:rsidR="00A31137" w:rsidRPr="00A31137" w:rsidRDefault="00A31137" w:rsidP="00A31137">
      <w:r w:rsidRPr="00A31137">
        <w:t>We condemn the government of Iran for its outrageous conduct in the taking of our diplomatic personnel as hostages. We insist upon respect for the principle—as repeatedly enunciated by the UN Security Council and the International Court of Justice—of the inviolability for diplomatic personnel. We call upon all governments to abide by and uphold this basic tenet of civilized international conduct.</w:t>
      </w:r>
    </w:p>
    <w:p w:rsidR="00A31137" w:rsidRPr="00A31137" w:rsidRDefault="00A31137" w:rsidP="00A31137">
      <w:r w:rsidRPr="00A31137">
        <w:t>1980 Democratic Platform, p.44</w:t>
      </w:r>
    </w:p>
    <w:p w:rsidR="00A31137" w:rsidRPr="00A31137" w:rsidRDefault="00A31137" w:rsidP="00A31137">
      <w:r w:rsidRPr="00A31137">
        <w:t>In the region as a whole, we must end our dangerous dependence on foreign oil. Only in this way can our foreign policy counter effectively the pressures of OPEC and of Soviet power poised above the Persian Gulf in Afghanistan. The Democratic Administration will fulfill its commitments to the Strategic Petroleum Reserve to protect America against an oil embargo. As we reduce oil consumption and dependence on OPEC, we will be able to bargain on equal terms with the OPEC states for an assurance of more certain supplies of oil at more stable prices.</w:t>
      </w:r>
    </w:p>
    <w:p w:rsidR="00A31137" w:rsidRPr="00A31137" w:rsidRDefault="00A31137" w:rsidP="00A31137">
      <w:r w:rsidRPr="00A31137">
        <w:t>Europe and Japan</w:t>
      </w:r>
    </w:p>
    <w:p w:rsidR="00A31137" w:rsidRPr="00A31137" w:rsidRDefault="00A31137" w:rsidP="00A31137">
      <w:r w:rsidRPr="00A31137">
        <w:t>1980 Democratic Platform, p.44</w:t>
      </w:r>
    </w:p>
    <w:p w:rsidR="00A31137" w:rsidRPr="00A31137" w:rsidRDefault="00A31137" w:rsidP="00A31137">
      <w:r w:rsidRPr="00A31137">
        <w:t>America and her allies must continue the mutual confidence and commitment, the sense of common purpose, that marked our relations for decades. The problems we face are global in scope. We cannot begin to solve them if each of us goes a separate way. We must learn to work in partnership, on an increasing range of problems, in areas such as Africa and the Persian Gulf, and on worldwide economic and security issues.</w:t>
      </w:r>
    </w:p>
    <w:p w:rsidR="00A31137" w:rsidRPr="00A31137" w:rsidRDefault="00A31137" w:rsidP="00A31137">
      <w:r w:rsidRPr="00A31137">
        <w:t>1980 Democratic Platform, p.44</w:t>
      </w:r>
    </w:p>
    <w:p w:rsidR="00A31137" w:rsidRPr="00A31137" w:rsidRDefault="00A31137" w:rsidP="00A31137">
      <w:r w:rsidRPr="00A31137">
        <w:t>The Democratic Administration will be committed to a strong NATO and a stable military balance in Europe. We will pursue both modernization of NATO conventional and nuclear forces and equitable limitations between NATO and the Warsaw Pact.</w:t>
      </w:r>
    </w:p>
    <w:p w:rsidR="00A31137" w:rsidRPr="00A31137" w:rsidRDefault="00A31137" w:rsidP="00A31137">
      <w:r w:rsidRPr="00A31137">
        <w:t>1980 Democratic Platform, p.44</w:t>
      </w:r>
    </w:p>
    <w:p w:rsidR="00A31137" w:rsidRPr="00A31137" w:rsidRDefault="00A31137" w:rsidP="00A31137">
      <w:r w:rsidRPr="00A31137">
        <w:t>The Democratic Administration will seek collective solutions to the common economic problems of inflation, unemployment, energy, trade and monetary. relations which confront us and our allies. This will require increased cooperation and coordination among all OECD countries.</w:t>
      </w:r>
    </w:p>
    <w:p w:rsidR="00A31137" w:rsidRPr="00A31137" w:rsidRDefault="00A31137" w:rsidP="00A31137">
      <w:r w:rsidRPr="00A31137">
        <w:t>1980 Democratic Platform, p.44</w:t>
      </w:r>
    </w:p>
    <w:p w:rsidR="00A31137" w:rsidRPr="00A31137" w:rsidRDefault="00A31137" w:rsidP="00A31137">
      <w:r w:rsidRPr="00A31137">
        <w:t>The Democratic Administration will continue to support the growth and cohesion of the European community, and will increase our support for Greece, Spain and Portugal, which have rejoined the ranks of democracy.</w:t>
      </w:r>
    </w:p>
    <w:p w:rsidR="00A31137" w:rsidRPr="00A31137" w:rsidRDefault="00A31137" w:rsidP="00A31137">
      <w:r w:rsidRPr="00A31137">
        <w:t>1980 Democratic Platform, p.44</w:t>
      </w:r>
    </w:p>
    <w:p w:rsidR="00A31137" w:rsidRPr="00A31137" w:rsidRDefault="00A31137" w:rsidP="00A31137">
      <w:r w:rsidRPr="00A31137">
        <w:t>We have been particularly concerned about the need to maintain strategic stability in the eastern Mediterranean. To this end, we have worked with Congress toward the resolution of differences between Greece and Turkey over Cyprus and other divisive issues. We have worked toward a balanced treatment of both countries in our assistance programs.</w:t>
      </w:r>
    </w:p>
    <w:p w:rsidR="00A31137" w:rsidRPr="00A31137" w:rsidRDefault="00A31137" w:rsidP="00A31137">
      <w:r w:rsidRPr="00A31137">
        <w:t>1980 Democratic Platform, p.44</w:t>
      </w:r>
    </w:p>
    <w:p w:rsidR="00A31137" w:rsidRPr="00A31137" w:rsidRDefault="00A31137" w:rsidP="00A31137">
      <w:r w:rsidRPr="00A31137">
        <w:t>We will give priority to the reintegration of Greece into NATO's military structure and to the strengthening of NATO's southern flank, including the economic progress of each of our allies in southern Europe.</w:t>
      </w:r>
    </w:p>
    <w:p w:rsidR="00A31137" w:rsidRPr="00A31137" w:rsidRDefault="00A31137" w:rsidP="00A31137">
      <w:r w:rsidRPr="00A31137">
        <w:t>1980 Democratic Platform, p.45</w:t>
      </w:r>
    </w:p>
    <w:p w:rsidR="00A31137" w:rsidRPr="00A31137" w:rsidRDefault="00A31137" w:rsidP="00A31137">
      <w:r w:rsidRPr="00A31137">
        <w:t>[p.45]We have worked towards a fair settlement of the Cyprus issue by giving our support to the United Nations efforts to encourage intercommunal talks. We agree with Secretary General Waldheim's opinion that such talks, if properly used, represent the best possible solution to a just and lasting political settlement of the Cyprus problem based on the legitimate rights of the two communities.</w:t>
      </w:r>
    </w:p>
    <w:p w:rsidR="00A31137" w:rsidRPr="00A31137" w:rsidRDefault="00A31137" w:rsidP="00A31137">
      <w:r w:rsidRPr="00A31137">
        <w:t>1980 Democratic Platform, p.45</w:t>
      </w:r>
    </w:p>
    <w:p w:rsidR="00A31137" w:rsidRPr="00A31137" w:rsidRDefault="00A31137" w:rsidP="00A31137">
      <w:r w:rsidRPr="00A31137">
        <w:t>We must do all that is possible, consistent with our interest in a strong NATO in southern Europe and stability in the eastern Mediterranean, to encourage a fair settlement of the Cyprus issue, which has caused so much suffering in that area.</w:t>
      </w:r>
    </w:p>
    <w:p w:rsidR="00A31137" w:rsidRPr="00A31137" w:rsidRDefault="00A31137" w:rsidP="00A31137">
      <w:r w:rsidRPr="00A31137">
        <w:t>1980 Democratic Platform, p.45</w:t>
      </w:r>
    </w:p>
    <w:p w:rsidR="00A31137" w:rsidRPr="00A31137" w:rsidRDefault="00A31137" w:rsidP="00A31137">
      <w:r w:rsidRPr="00A31137">
        <w:t>We will press strongly for the full implementation of UN Resolution 3212 in order to bring about an agreed resolution to the tragic conflict in Cyprus; including the withdrawal of all Turkish military forces from Cyprus, the safe return of all refugees to their homes, full cooperation of all parties with a negotiated solution and a full peace and respect for human rights in Cyprus.</w:t>
      </w:r>
    </w:p>
    <w:p w:rsidR="00A31137" w:rsidRPr="00A31137" w:rsidRDefault="00A31137" w:rsidP="00A31137">
      <w:r w:rsidRPr="00A31137">
        <w:t>1980 Democratic Platform, p.45</w:t>
      </w:r>
    </w:p>
    <w:p w:rsidR="00A31137" w:rsidRPr="00A31137" w:rsidRDefault="00A31137" w:rsidP="00A31137">
      <w:r w:rsidRPr="00A31137">
        <w:t>Consistent with our traditional concern for peace and human rights, the next Democratic Administration will play a positive role in seeking peace in Northern Ireland. We condemn the violence on all sides. We will encourage progress toward a long-term solution based upon consent of all parties to the conflict, based on the principle of Irish unity. We take note of the Saint Patrick's Day statement "…that the solution offering the greatest promise of permanent peace is to end the division of the Irish people" and its urging of "…the British Government to express its interest in the unity of Ireland and to join with the government of Ireland in working to achieve peace and reconciliation." New political structures which are created should protect human rights, and should be acceptable to both Great Britain and Ireland and to both parts of the community of Northern Ireland.</w:t>
      </w:r>
    </w:p>
    <w:p w:rsidR="00A31137" w:rsidRPr="00A31137" w:rsidRDefault="00A31137" w:rsidP="00A31137">
      <w:r w:rsidRPr="00A31137">
        <w:t>1980 Democratic Platform, p.45</w:t>
      </w:r>
    </w:p>
    <w:p w:rsidR="00A31137" w:rsidRPr="00A31137" w:rsidRDefault="00A31137" w:rsidP="00A31137">
      <w:r w:rsidRPr="00A31137">
        <w:t>Our relations with Japan have moved to a new level of maturity and cooperation. The United States is able to deal with patience and understanding on a wide range of difficult and contentious economic issues. In the foreign policy and security area, Japan's record in support of U.S. foreign policy objectives is second to none. We will continue to nurture this relationship.</w:t>
      </w:r>
    </w:p>
    <w:p w:rsidR="00A31137" w:rsidRPr="00A31137" w:rsidRDefault="00A31137" w:rsidP="00A31137">
      <w:r w:rsidRPr="00A31137">
        <w:t>The International Economy</w:t>
      </w:r>
    </w:p>
    <w:p w:rsidR="00A31137" w:rsidRPr="00A31137" w:rsidRDefault="00A31137" w:rsidP="00A31137">
      <w:r w:rsidRPr="00A31137">
        <w:t>1980 Democratic Platform, p.45</w:t>
      </w:r>
    </w:p>
    <w:p w:rsidR="00A31137" w:rsidRPr="00A31137" w:rsidRDefault="00A31137" w:rsidP="00A31137">
      <w:r w:rsidRPr="00A31137">
        <w:t>A vigorous American foreign policy and a sustained defense effort depend on the strength of the U.S. economy and its ability to compete in the international marketplace.</w:t>
      </w:r>
    </w:p>
    <w:p w:rsidR="00A31137" w:rsidRPr="00A31137" w:rsidRDefault="00A31137" w:rsidP="00A31137">
      <w:r w:rsidRPr="00A31137">
        <w:t>1980 Democratic Platform, p.45</w:t>
      </w:r>
    </w:p>
    <w:p w:rsidR="00A31137" w:rsidRPr="00A31137" w:rsidRDefault="00A31137" w:rsidP="00A31137">
      <w:r w:rsidRPr="00A31137">
        <w:t>Through annual economic summits in London, Bonn, Tokyo and Venice, we have established a sound basis for economic progress in the 1980s by improving the coordination of our economic policies. We have sought to strengthen international institutions to deal with our common problems; to reduce worldwide inflation, which undermines Western security and prosperity; to encourage investment and innovation to increase productivity; and simultaneously to find ways to reduce unemployment, especially among our youth. We have made substantial progress, but the battle continues.</w:t>
      </w:r>
    </w:p>
    <w:p w:rsidR="00A31137" w:rsidRPr="00A31137" w:rsidRDefault="00A31137" w:rsidP="00A31137">
      <w:r w:rsidRPr="00A31137">
        <w:t>1980 Democratic Platform, p.45</w:t>
      </w:r>
    </w:p>
    <w:p w:rsidR="00A31137" w:rsidRPr="00A31137" w:rsidRDefault="00A31137" w:rsidP="00A31137">
      <w:r w:rsidRPr="00A31137">
        <w:t>The Democratic Administration, which has wrestled with these issues over the past three and a half years, pledges a renewed effort to revitalize the world economy and to maintain our position as the leader of the free world's economic forces.</w:t>
      </w:r>
    </w:p>
    <w:p w:rsidR="00A31137" w:rsidRPr="00A31137" w:rsidRDefault="00A31137" w:rsidP="00A31137">
      <w:r w:rsidRPr="00A31137">
        <w:t>Trade</w:t>
      </w:r>
    </w:p>
    <w:p w:rsidR="00A31137" w:rsidRPr="00A31137" w:rsidRDefault="00A31137" w:rsidP="00A31137">
      <w:r w:rsidRPr="00A31137">
        <w:t>1980 Democratic Platform, p.45</w:t>
      </w:r>
    </w:p>
    <w:p w:rsidR="00A31137" w:rsidRPr="00A31137" w:rsidRDefault="00A31137" w:rsidP="00A31137">
      <w:r w:rsidRPr="00A31137">
        <w:t>In 1976, we called for trade policies that would benefit economic growth. Trade promotes new jobs for American workers, new markets for farmers and businessmen, and lower prices for consumers. But trade can also cause dislocations within the economy, and we have sought—and will continue to seek—ways to ease the burden of adjustment to foreign competition without impeding the process of structural change so vital to our economic health. We favor a free international trading system, but that system must also be fair. We will not allow our workers and industries to be displaced by unfair import competition. We have entered orderly marketing agreements and other arrangements in areas such as color television, footwear and textiles, to help promote the competitive position of American industry. Others may be necessary.</w:t>
      </w:r>
    </w:p>
    <w:p w:rsidR="00A31137" w:rsidRPr="00A31137" w:rsidRDefault="00A31137" w:rsidP="00A31137">
      <w:r w:rsidRPr="00A31137">
        <w:t>1980 Democratic Platform, p.45</w:t>
      </w:r>
    </w:p>
    <w:p w:rsidR="00A31137" w:rsidRPr="00A31137" w:rsidRDefault="00A31137" w:rsidP="00A31137">
      <w:r w:rsidRPr="00A31137">
        <w:t>Last year, we successfully concluded the Multilateral Trade Negotiations, an ambitious set of negotiations designed to reduce barriers to international trade. Before the Democratic Administration took office, these negotiations had proceeded at a snail's pace, and there had been a growing risk of failure which could have sparked a trade war damaging to our interests. It was the imaginative leadership of this Administration which breathed new life into an otherwise somnolent negotiation.</w:t>
      </w:r>
    </w:p>
    <w:p w:rsidR="00A31137" w:rsidRPr="00A31137" w:rsidRDefault="00A31137" w:rsidP="00A31137">
      <w:r w:rsidRPr="00A31137">
        <w:t>1980 Democratic Platform, p.45</w:t>
      </w:r>
    </w:p>
    <w:p w:rsidR="00A31137" w:rsidRPr="00A31137" w:rsidRDefault="00A31137" w:rsidP="00A31137">
      <w:r w:rsidRPr="00A31137">
        <w:t>To strengthen the U.S. economy and improve our competitive position in the world economy, U.S. export-import policy must be based on the principle of fair trade that will enhance our exports while safeguarding domestic industry from unfair trade practices. In assuring orderly foreign trade, the U.S. must require observance of our trade laws, as well as cooperation with our trade policies if economic disruption is to be avoided. This will require:</w:t>
      </w:r>
    </w:p>
    <w:p w:rsidR="00A31137" w:rsidRPr="00A31137" w:rsidRDefault="00A31137" w:rsidP="00A31137">
      <w:r w:rsidRPr="00A31137">
        <w:t>1980 Democratic Platform, p.46</w:t>
      </w:r>
    </w:p>
    <w:p w:rsidR="00A31137" w:rsidRPr="00A31137" w:rsidRDefault="00A31137" w:rsidP="00A31137">
      <w:r w:rsidRPr="00A31137">
        <w:t>[p.46]–Encouragement of exert expansion through vigorous negotiations to open foreign markets and enforce U.S. rights;</w:t>
      </w:r>
    </w:p>
    <w:p w:rsidR="00A31137" w:rsidRPr="00A31137" w:rsidRDefault="00A31137" w:rsidP="00A31137">
      <w:r w:rsidRPr="00A31137">
        <w:t>1980 Democratic Platform, p.46</w:t>
      </w:r>
    </w:p>
    <w:p w:rsidR="00A31137" w:rsidRPr="00A31137" w:rsidRDefault="00A31137" w:rsidP="00A31137">
      <w:r w:rsidRPr="00A31137">
        <w:t>–The government to take swift, effective antidumping actions and enforce all U.S. trade laws to assure an end to unfair trade practices that lead to the export of American jobs;</w:t>
      </w:r>
    </w:p>
    <w:p w:rsidR="00A31137" w:rsidRPr="00A31137" w:rsidRDefault="00A31137" w:rsidP="00A31137">
      <w:r w:rsidRPr="00A31137">
        <w:t>1980 Democratic Platform, p.46</w:t>
      </w:r>
    </w:p>
    <w:p w:rsidR="00A31137" w:rsidRPr="00A31137" w:rsidRDefault="00A31137" w:rsidP="00A31137">
      <w:r w:rsidRPr="00A31137">
        <w:t>–Regulations of imports of textiles and apparel in accordance with current laws and agreements;</w:t>
      </w:r>
    </w:p>
    <w:p w:rsidR="00A31137" w:rsidRPr="00A31137" w:rsidRDefault="00A31137" w:rsidP="00A31137">
      <w:r w:rsidRPr="00A31137">
        <w:t>1980 Democratic Platform, p.46</w:t>
      </w:r>
    </w:p>
    <w:p w:rsidR="00A31137" w:rsidRPr="00A31137" w:rsidRDefault="00A31137" w:rsidP="00A31137">
      <w:r w:rsidRPr="00A31137">
        <w:t>–Enforcement of customs laws through the assessment of appropriate penalties. Imports, exports, technology transfers, money flows and investments must be reported in accordance with current laws, monitored and regulated to protect U.S. interests; and</w:t>
      </w:r>
    </w:p>
    <w:p w:rsidR="00A31137" w:rsidRPr="00A31137" w:rsidRDefault="00A31137" w:rsidP="00A31137">
      <w:r w:rsidRPr="00A31137">
        <w:t>1980 Democratic Platform, p.46</w:t>
      </w:r>
    </w:p>
    <w:p w:rsidR="00A31137" w:rsidRPr="00A31137" w:rsidRDefault="00A31137" w:rsidP="00A31137">
      <w:r w:rsidRPr="00A31137">
        <w:t>–Implementation of the government procurement code only as negotiated and on a truly reciprocal basis.</w:t>
      </w:r>
    </w:p>
    <w:p w:rsidR="00A31137" w:rsidRPr="00A31137" w:rsidRDefault="00A31137" w:rsidP="00A31137">
      <w:r w:rsidRPr="00A31137">
        <w:t>1980 Democratic Platform, p.46</w:t>
      </w:r>
    </w:p>
    <w:p w:rsidR="00A31137" w:rsidRPr="00A31137" w:rsidRDefault="00A31137" w:rsidP="00A31137">
      <w:r w:rsidRPr="00A31137">
        <w:t>We bargained long and hard to obtain concessions which would benefit Americans and open new markets to U.S. producers of both agricultural and industrial goods. The agreements, which won the overwhelming support of the U.S. Congress, achieved that objective. They represent a sensible balance of benefits. At the same time, they will ensure a liberal, but fair, international trading environment for the 1980s.</w:t>
      </w:r>
    </w:p>
    <w:p w:rsidR="00A31137" w:rsidRPr="00A31137" w:rsidRDefault="00A31137" w:rsidP="00A31137">
      <w:r w:rsidRPr="00A31137">
        <w:t>Monetary Affairs</w:t>
      </w:r>
    </w:p>
    <w:p w:rsidR="00A31137" w:rsidRPr="00A31137" w:rsidRDefault="00A31137" w:rsidP="00A31137">
      <w:r w:rsidRPr="00A31137">
        <w:t>1980 Democratic Platform, p.46</w:t>
      </w:r>
    </w:p>
    <w:p w:rsidR="00A31137" w:rsidRPr="00A31137" w:rsidRDefault="00A31137" w:rsidP="00A31137">
      <w:r w:rsidRPr="00A31137">
        <w:t>We will continue to take whatever actions are necessary to maintain a sound and stable dollar. We will cooperate with other nations to minimize exchange rate disturbances. We fully support efforts underway to strengthen the ability of international financial institutions to adapt to changing needs and to facilitate the recycling of funds from the surplus off-producing nations to those countries facing large, oil-induced deficits. We will urge OPEC countries to participate constructively in this process.</w:t>
      </w:r>
    </w:p>
    <w:p w:rsidR="00A31137" w:rsidRPr="00A31137" w:rsidRDefault="00A31137" w:rsidP="00A31137">
      <w:r w:rsidRPr="00A31137">
        <w:t>International Energy Cooperation</w:t>
      </w:r>
    </w:p>
    <w:p w:rsidR="00A31137" w:rsidRPr="00A31137" w:rsidRDefault="00A31137" w:rsidP="00A31137">
      <w:r w:rsidRPr="00A31137">
        <w:t>1980 Democratic Platform, p.46</w:t>
      </w:r>
    </w:p>
    <w:p w:rsidR="00A31137" w:rsidRPr="00A31137" w:rsidRDefault="00A31137" w:rsidP="00A31137">
      <w:r w:rsidRPr="00A31137">
        <w:t>We have cooperated with other industrial countries, at summit meetings and in the International Energy Agency, in developing joint programs to conserve oil and increase production of alternative energy sources. Only through a truly global effort can the present imbalance between energy supply and demand be redressed. We will continue to support such efforts, showing our leadership by continuing the actions that have reduced oil consumption and imports by a greater proportion in the U.S. than in any other industrial country in the last year. We will work with our partners abroad to elicit increased effort by them, even as we seek increased U.S. effort at home, to the same ends.</w:t>
      </w:r>
    </w:p>
    <w:p w:rsidR="00A31137" w:rsidRPr="00A31137" w:rsidRDefault="00A31137" w:rsidP="00A31137">
      <w:r w:rsidRPr="00A31137">
        <w:t>The Developing World</w:t>
      </w:r>
    </w:p>
    <w:p w:rsidR="00A31137" w:rsidRPr="00A31137" w:rsidRDefault="00A31137" w:rsidP="00A31137">
      <w:r w:rsidRPr="00A31137">
        <w:t>1980 Democratic Platform, p.46</w:t>
      </w:r>
    </w:p>
    <w:p w:rsidR="00A31137" w:rsidRPr="00A31137" w:rsidRDefault="00A31137" w:rsidP="00A31137">
      <w:r w:rsidRPr="00A31137">
        <w:t>Under the previous Republican Administration, the nations of the Third World viewed the United States as uninterested in or hostile to the need to treat the North-South economic issues which are of greatest importance to developing countries. Since then, the United States has adopted a range of economic policies on trade (MTN, Generalized System of Preferences expansion), commodities (Common Fund, sugar, coffee, tin), aid (International Financial Institutions replenishments) which have demonstrated that the Carter administration is responsive to the aspirations of peoples in developing countries.</w:t>
      </w:r>
    </w:p>
    <w:p w:rsidR="00A31137" w:rsidRPr="00A31137" w:rsidRDefault="00A31137" w:rsidP="00A31137">
      <w:r w:rsidRPr="00A31137">
        <w:t>1980 Democratic Platform, p.46</w:t>
      </w:r>
    </w:p>
    <w:p w:rsidR="00A31137" w:rsidRPr="00A31137" w:rsidRDefault="00A31137" w:rsidP="00A31137">
      <w:r w:rsidRPr="00A31137">
        <w:t>But this task is only begun. We share the globe with more than 4 billion people, more than three-quarters of whom live in developing nations, most of them poor. By the end of this century, the population of developing countries will grow by about 1.7 billion people. Their prospects for jobs, food, and peace will increasingly affect our own prospects. These nations can be the fastest growing market for our exports, as they are today, or they can become sources for new immigration and hostility toward the industrial democracies.</w:t>
      </w:r>
    </w:p>
    <w:p w:rsidR="00A31137" w:rsidRPr="00A31137" w:rsidRDefault="00A31137" w:rsidP="00A31137">
      <w:r w:rsidRPr="00A31137">
        <w:t>1980 Democratic Platform, p.46</w:t>
      </w:r>
    </w:p>
    <w:p w:rsidR="00A31137" w:rsidRPr="00A31137" w:rsidRDefault="00A31137" w:rsidP="00A31137">
      <w:r w:rsidRPr="00A31137">
        <w:t>Thus, America's defense, energy, and economic security depend on stability and growth not only among our allies, but among our friends in the Third World. It is unacceptable that the United States ranks 13th among 17 major industrial powers in percentage of GNP devoted to development assistance.</w:t>
      </w:r>
    </w:p>
    <w:p w:rsidR="00A31137" w:rsidRPr="00A31137" w:rsidRDefault="00A31137" w:rsidP="00A31137">
      <w:r w:rsidRPr="00A31137">
        <w:t>1980 Democratic Platform, p.46</w:t>
      </w:r>
    </w:p>
    <w:p w:rsidR="00A31137" w:rsidRPr="00A31137" w:rsidRDefault="00A31137" w:rsidP="00A31137">
      <w:r w:rsidRPr="00A31137">
        <w:t>The Democratic Administration will work with the Congress to develop and sustain policies and programs of economic cooperation with the developing nations, guided by the test of mutual interest. We will approach the global negotiations next year on economic relations between the industrial North and developing South in this positive spirit. We will contribute the United States' fair share to the capital of the multilateral development banks and agencies, and we will continue substantial and innovative U.S. programs of direct development assistance to low-income countries.</w:t>
      </w:r>
    </w:p>
    <w:p w:rsidR="00A31137" w:rsidRPr="00A31137" w:rsidRDefault="00A31137" w:rsidP="00A31137">
      <w:r w:rsidRPr="00A31137">
        <w:t>1980 Democratic Platform, p.46</w:t>
      </w:r>
    </w:p>
    <w:p w:rsidR="00A31137" w:rsidRPr="00A31137" w:rsidRDefault="00A31137" w:rsidP="00A31137">
      <w:r w:rsidRPr="00A31137">
        <w:t>These policies will be reflected in further concentration of U.S. development assistance in countries that make good use of aid and on programs that address the basic needs of poor people, especially food, health, and voluntary family planning services. We will increase U.S. and multilateral technical and financial assistance to oil-importing nations for the development of their energy resource. The participation of U.S. private enterprises in the economic growth of developing nations will be selectively encouraged, with due regard for our own employment objectives.</w:t>
      </w:r>
    </w:p>
    <w:p w:rsidR="00A31137" w:rsidRPr="00A31137" w:rsidRDefault="00A31137" w:rsidP="00A31137">
      <w:r w:rsidRPr="00A31137">
        <w:t>1980 Democratic Platform, p.47</w:t>
      </w:r>
    </w:p>
    <w:p w:rsidR="00A31137" w:rsidRPr="00A31137" w:rsidRDefault="00A31137" w:rsidP="00A31137">
      <w:r w:rsidRPr="00A31137">
        <w:t>[p.47]We are deeply concerned about the growing problem of world hunger as reported by the President's Commission on World Hunger. We are determined to increase our resources, and to seek a similar increase on the part of other nations, with a view toward solving this problem by the end of the century.</w:t>
      </w:r>
    </w:p>
    <w:p w:rsidR="00A31137" w:rsidRPr="00A31137" w:rsidRDefault="00A31137" w:rsidP="00A31137">
      <w:r w:rsidRPr="00A31137">
        <w:t>1980 Democratic Platform, p.47</w:t>
      </w:r>
    </w:p>
    <w:p w:rsidR="00A31137" w:rsidRPr="00A31137" w:rsidRDefault="00A31137" w:rsidP="00A31137">
      <w:r w:rsidRPr="00A31137">
        <w:t>Together with our allies, the Democratic Administration will challenge OPEC and the Communist nations to reach a new collective worldwide commitment to economic development. All sides must increase their contributions for this development, so that the world may escape the spectre of international bankruptcy from rising energy costs and rising burdens of debt. Development in the Third World is vital to international political and economic stability and therefore to our own national security.</w:t>
      </w:r>
    </w:p>
    <w:p w:rsidR="00A31137" w:rsidRPr="00A31137" w:rsidRDefault="00A31137" w:rsidP="00A31137">
      <w:r w:rsidRPr="00A31137">
        <w:t>1980 Democratic Platform, p.47</w:t>
      </w:r>
    </w:p>
    <w:p w:rsidR="00A31137" w:rsidRPr="00A31137" w:rsidRDefault="00A31137" w:rsidP="00A31137">
      <w:r w:rsidRPr="00A31137">
        <w:t>In all of our relations with developing nations, we will actively promote the cause of human rights and express America's abhorrence of the denial of freedom.</w:t>
      </w:r>
    </w:p>
    <w:p w:rsidR="00A31137" w:rsidRPr="00A31137" w:rsidRDefault="00A31137" w:rsidP="00A31137">
      <w:r w:rsidRPr="00A31137">
        <w:t>1980 Democratic Platform, p.47</w:t>
      </w:r>
    </w:p>
    <w:p w:rsidR="00A31137" w:rsidRPr="00A31137" w:rsidRDefault="00A31137" w:rsidP="00A31137">
      <w:r w:rsidRPr="00A31137">
        <w:t>Our security depends critically on events in the Middle East, Asia, Latin America, and Africa, events marked by either the pursuit of goals common to or conflicting with our interests. We will continue to cooperate with key friendly developing nations in security relations and in economic measures ensuring our mutual security. Great care will be exercised in our security assistance activities to avoid stimulating regional arms races or needlessly diverting resources from development to armament.</w:t>
      </w:r>
    </w:p>
    <w:p w:rsidR="00A31137" w:rsidRPr="00A31137" w:rsidRDefault="00A31137" w:rsidP="00A31137">
      <w:r w:rsidRPr="00A31137">
        <w:t>The Third World</w:t>
      </w:r>
    </w:p>
    <w:p w:rsidR="00A31137" w:rsidRPr="00A31137" w:rsidRDefault="00A31137" w:rsidP="00A31137">
      <w:r w:rsidRPr="00A31137">
        <w:t>1980 Democratic Platform, p.46</w:t>
      </w:r>
    </w:p>
    <w:p w:rsidR="00A31137" w:rsidRPr="00A31137" w:rsidRDefault="00A31137" w:rsidP="00A31137">
      <w:r w:rsidRPr="00A31137">
        <w:t>Under the previous Republican Administration relations with the Third World were at their nadir. The United States appeared hostile and indifferent to the developing world's aspirations for greater justice, respect, and dignity. All this has changed.</w:t>
      </w:r>
    </w:p>
    <w:p w:rsidR="00A31137" w:rsidRPr="00A31137" w:rsidRDefault="00A31137" w:rsidP="00A31137">
      <w:r w:rsidRPr="00A31137">
        <w:t>Latin America and the Caribbean</w:t>
      </w:r>
    </w:p>
    <w:p w:rsidR="00A31137" w:rsidRPr="00A31137" w:rsidRDefault="00A31137" w:rsidP="00A31137">
      <w:r w:rsidRPr="00A31137">
        <w:t>1980 Democratic Platform, p.46</w:t>
      </w:r>
    </w:p>
    <w:p w:rsidR="00A31137" w:rsidRPr="00A31137" w:rsidRDefault="00A31137" w:rsidP="00A31137">
      <w:r w:rsidRPr="00A31137">
        <w:t>In stark contrast to the policies of previous Republican Administrations, this Democratic Administration has begun to forge a new, collaborative relationship with nations of Latin America and the Caribbean; one resting on a firm commitment to human rights, democratization, increased economic and industrial development, and non-intervention.</w:t>
      </w:r>
    </w:p>
    <w:p w:rsidR="00A31137" w:rsidRPr="00A31137" w:rsidRDefault="00A31137" w:rsidP="00A31137">
      <w:r w:rsidRPr="00A31137">
        <w:t>1980 Democratic Platform, p.47</w:t>
      </w:r>
    </w:p>
    <w:p w:rsidR="00A31137" w:rsidRPr="00A31137" w:rsidRDefault="00A31137" w:rsidP="00A31137">
      <w:r w:rsidRPr="00A31137">
        <w:t>We must now move innovatively to strengthen our ties with our neighbors in the Western Hemisphere, first to obviate any vacuum for outside intervention and second to promote bilateral approaches for social progress and economic development including energy resources.</w:t>
      </w:r>
    </w:p>
    <w:p w:rsidR="00A31137" w:rsidRPr="00A31137" w:rsidRDefault="00A31137" w:rsidP="00A31137">
      <w:r w:rsidRPr="00A31137">
        <w:t>1980 Democratic Platform, p.47</w:t>
      </w:r>
    </w:p>
    <w:p w:rsidR="00A31137" w:rsidRPr="00A31137" w:rsidRDefault="00A31137" w:rsidP="00A31137">
      <w:r w:rsidRPr="00A31137">
        <w:t>Through systematic and structural high level attention to the problems of the Western Hemisphere we will mobilize the resources of our government to achieve this end. One such possibility to be considered is to appoint an Under Secretary of State for the Western Hemisphere. This would encourage both economic and political freedom throughout the Hemisphere.</w:t>
      </w:r>
    </w:p>
    <w:p w:rsidR="00A31137" w:rsidRPr="00A31137" w:rsidRDefault="00A31137" w:rsidP="00A31137">
      <w:r w:rsidRPr="00A31137">
        <w:t>1980 Democratic Platform, p.47</w:t>
      </w:r>
    </w:p>
    <w:p w:rsidR="00A31137" w:rsidRPr="00A31137" w:rsidRDefault="00A31137" w:rsidP="00A31137">
      <w:r w:rsidRPr="00A31137">
        <w:t>We have given particular attention to developing a more balanced relationship with Mexico, a country with which we share so many important interests and also problems.</w:t>
      </w:r>
    </w:p>
    <w:p w:rsidR="00A31137" w:rsidRPr="00A31137" w:rsidRDefault="00A31137" w:rsidP="00A31137">
      <w:r w:rsidRPr="00A31137">
        <w:t>1980 Democratic Platform, p.47</w:t>
      </w:r>
    </w:p>
    <w:p w:rsidR="00A31137" w:rsidRPr="00A31137" w:rsidRDefault="00A31137" w:rsidP="00A31137">
      <w:r w:rsidRPr="00A31137">
        <w:t>The successful negotiation of the Panama Canal Treaties—after fourteen fruitless years of effort—was seen as an indication of our willingness to treat Latin America on the basis of mutual respect. With those treaties ratified, the United States in 1980 is not only identified with the cause of human rights and democracy, but also we have opened a new chapter in our relations with the nations of this Hemisphere. Moreover, through regular multilateral consultations at all levels, more balanced relationships with the nations in the region have been forged.</w:t>
      </w:r>
    </w:p>
    <w:p w:rsidR="00A31137" w:rsidRPr="00A31137" w:rsidRDefault="00A31137" w:rsidP="00A31137">
      <w:r w:rsidRPr="00A31137">
        <w:t>1980 Democratic Platform, p.47</w:t>
      </w:r>
    </w:p>
    <w:p w:rsidR="00A31137" w:rsidRPr="00A31137" w:rsidRDefault="00A31137" w:rsidP="00A31137">
      <w:r w:rsidRPr="00A31137">
        <w:t>The United States has worked hard to encourage the expansion of democracy in Latin America, respect for human rights, and the preservation of national independence and integrity from the threat of Soviet and Cuban intervention.</w:t>
      </w:r>
    </w:p>
    <w:p w:rsidR="00A31137" w:rsidRPr="00A31137" w:rsidRDefault="00A31137" w:rsidP="00A31137">
      <w:r w:rsidRPr="00A31137">
        <w:t>1980 Democratic Platform, p.47</w:t>
      </w:r>
    </w:p>
    <w:p w:rsidR="00A31137" w:rsidRPr="00A31137" w:rsidRDefault="00A31137" w:rsidP="00A31137">
      <w:r w:rsidRPr="00A31137">
        <w:t>For the first time, an approach has been developed and tailored to the unique needs and aspirations of the Caribbean area. The Administration has supported change within a Democratic framework; more than doubled aid programs; and worked with twenty-nine other nations and fifteen international institutions to establish the Caribbean Group for Cooperation in Economic Development, which has quadrupled external aid to the region.</w:t>
      </w:r>
    </w:p>
    <w:p w:rsidR="00A31137" w:rsidRPr="00A31137" w:rsidRDefault="00A31137" w:rsidP="00A31137">
      <w:r w:rsidRPr="00A31137">
        <w:t>1980 Democratic Platform, p.47</w:t>
      </w:r>
    </w:p>
    <w:p w:rsidR="00A31137" w:rsidRPr="00A31137" w:rsidRDefault="00A31137" w:rsidP="00A31137">
      <w:r w:rsidRPr="00A31137">
        <w:t>Through strengthened relations with the Caribbean Community and the Andean Pact, the Administration has worked to enhance subregional cooperation as well.</w:t>
      </w:r>
    </w:p>
    <w:p w:rsidR="00A31137" w:rsidRPr="00A31137" w:rsidRDefault="00A31137" w:rsidP="00A31137">
      <w:r w:rsidRPr="00A31137">
        <w:t>1980 Democratic Platform, p.47</w:t>
      </w:r>
    </w:p>
    <w:p w:rsidR="00A31137" w:rsidRPr="00A31137" w:rsidRDefault="00A31137" w:rsidP="00A31137">
      <w:r w:rsidRPr="00A31137">
        <w:t>President Carter has worked for peace in the region. By signing Protocol I of the Treaty of Tlatelolco, President Carter has demonstrated his support for nonproliferation objectives in the Hemisphere. We support its ratification. By supporting regional efforts at arms restraints, the United States has taken the lead in trying to reduce the possibilities for conflict in the region.</w:t>
      </w:r>
    </w:p>
    <w:p w:rsidR="00A31137" w:rsidRPr="00A31137" w:rsidRDefault="00A31137" w:rsidP="00A31137">
      <w:r w:rsidRPr="00A31137">
        <w:t>1980 Democratic Platform, p.47</w:t>
      </w:r>
    </w:p>
    <w:p w:rsidR="00A31137" w:rsidRPr="00A31137" w:rsidRDefault="00A31137" w:rsidP="00A31137">
      <w:r w:rsidRPr="00A31137">
        <w:t xml:space="preserve">We reaffirm our commitment to the protection of universally recognized and fundamental human rights throughout the Americas by urging that the Senate ratify the American Convention on Human Rights, which was signed by' President Carter in June 1977.[p.48] </w:t>
      </w:r>
    </w:p>
    <w:p w:rsidR="00A31137" w:rsidRPr="00A31137" w:rsidRDefault="00A31137" w:rsidP="00A31137">
      <w:r w:rsidRPr="00A31137">
        <w:t>1980 Democratic Platform, p.48</w:t>
      </w:r>
    </w:p>
    <w:p w:rsidR="00A31137" w:rsidRPr="00A31137" w:rsidRDefault="00A31137" w:rsidP="00A31137">
      <w:r w:rsidRPr="00A31137">
        <w:t>We will join with other like-minded states in pursuing human rights, democracy, and economic development throughout the region. We will uphold our own law and terminate all aid except for clearly humanitarian purposes to human rights violators. In our relationships with Argentina, Chile, El Salvador, Guatemala, Haiti and others throughout the Hemisphere we will press further for respect for human rights and political liberalization. In Central America especially, we will align ourselves with those who are trying to build a better future out of the aftermath of tyranny, corruption and civil war.</w:t>
      </w:r>
    </w:p>
    <w:p w:rsidR="00A31137" w:rsidRPr="00A31137" w:rsidRDefault="00A31137" w:rsidP="00A31137">
      <w:r w:rsidRPr="00A31137">
        <w:t>1980 Democratic Platform, p.48</w:t>
      </w:r>
    </w:p>
    <w:p w:rsidR="00A31137" w:rsidRPr="00A31137" w:rsidRDefault="00A31137" w:rsidP="00A31137">
      <w:r w:rsidRPr="00A31137">
        <w:t>We will oppose a spiral of confrontation with Cuba, for its own sake, but we will not evade the real issues between that country and the United States. Under no condition will we accept a Soviet military offensive capability based in Cuba or anywhere else in the Hemisphere.</w:t>
      </w:r>
    </w:p>
    <w:p w:rsidR="00A31137" w:rsidRPr="00A31137" w:rsidRDefault="00A31137" w:rsidP="00A31137">
      <w:r w:rsidRPr="00A31137">
        <w:t>1980 Democratic Platform, p.48</w:t>
      </w:r>
    </w:p>
    <w:p w:rsidR="00A31137" w:rsidRPr="00A31137" w:rsidRDefault="00A31137" w:rsidP="00A31137">
      <w:r w:rsidRPr="00A31137">
        <w:t>In order to permit the pursuit of normal relations between our countries, Cuba should stop its disorderly movement of those seeking to leave; it should cooperate with the international community to develop a fair and orderly emigration program; it must withdraw its armed forces from Africa; it must cease subversive activities throughout the Hemisphere; and it should follow the principles of the American Convention on Human Rights.</w:t>
      </w:r>
    </w:p>
    <w:p w:rsidR="00A31137" w:rsidRPr="00A31137" w:rsidRDefault="00A31137" w:rsidP="00A31137">
      <w:r w:rsidRPr="00A31137">
        <w:t>Asia</w:t>
      </w:r>
    </w:p>
    <w:p w:rsidR="00A31137" w:rsidRPr="00A31137" w:rsidRDefault="00A31137" w:rsidP="00A31137">
      <w:r w:rsidRPr="00A31137">
        <w:t>1980 Democratic Platform, p.48</w:t>
      </w:r>
    </w:p>
    <w:p w:rsidR="00A31137" w:rsidRPr="00A31137" w:rsidRDefault="00A31137" w:rsidP="00A31137">
      <w:r w:rsidRPr="00A31137">
        <w:t>The establishment of normal diplomatic and economic relations with China is an historic foreign policy achievement.</w:t>
      </w:r>
    </w:p>
    <w:p w:rsidR="00A31137" w:rsidRPr="00A31137" w:rsidRDefault="00A31137" w:rsidP="00A31137">
      <w:r w:rsidRPr="00A31137">
        <w:t>1980 Democratic Platform, p.48</w:t>
      </w:r>
    </w:p>
    <w:p w:rsidR="00A31137" w:rsidRPr="00A31137" w:rsidRDefault="00A31137" w:rsidP="00A31137">
      <w:r w:rsidRPr="00A31137">
        <w:t>Progress in U.S.-China relations was stalled in 1977, but with patience, political courage and historic vision, the deadlock was broken by this Democratic Administration.</w:t>
      </w:r>
    </w:p>
    <w:p w:rsidR="00A31137" w:rsidRPr="00A31137" w:rsidRDefault="00A31137" w:rsidP="00A31137">
      <w:r w:rsidRPr="00A31137">
        <w:t>1980 Democratic Platform, p.48</w:t>
      </w:r>
    </w:p>
    <w:p w:rsidR="00A31137" w:rsidRPr="00A31137" w:rsidRDefault="00A31137" w:rsidP="00A31137">
      <w:r w:rsidRPr="00A31137">
        <w:t>In the fifteen months since normalization, the benefits of normalization have already become clear: trade, travel, cultural exchange, and, most important of all, the security and stability of the Pacific region is greater now than in any time in this century.</w:t>
      </w:r>
    </w:p>
    <w:p w:rsidR="00A31137" w:rsidRPr="00A31137" w:rsidRDefault="00A31137" w:rsidP="00A31137">
      <w:r w:rsidRPr="00A31137">
        <w:t>1980 Democratic Platform, p.48</w:t>
      </w:r>
    </w:p>
    <w:p w:rsidR="00A31137" w:rsidRPr="00A31137" w:rsidRDefault="00A31137" w:rsidP="00A31137">
      <w:r w:rsidRPr="00A31137">
        <w:t>The Democratic Party commits itself to a broadening and deepening of our relationship with China in a way that will benefit both our peoples and the peace and security of the world. We will continue to seek new areas where the United States and China can cooperate in support of common interests. We have not and will not play "China cards" or other dangerous games; nor will we allow our relationship with any other country to impede our efforts to continue the process of normalization of relations with China.</w:t>
      </w:r>
    </w:p>
    <w:p w:rsidR="00A31137" w:rsidRPr="00A31137" w:rsidRDefault="00A31137" w:rsidP="00A31137">
      <w:r w:rsidRPr="00A31137">
        <w:t>1980 Democratic Platform, p.48</w:t>
      </w:r>
    </w:p>
    <w:p w:rsidR="00A31137" w:rsidRPr="00A31137" w:rsidRDefault="00A31137" w:rsidP="00A31137">
      <w:r w:rsidRPr="00A31137">
        <w:t>In 1976, the so-called Koreagate affair had badly hurt our ties to Korea. A friendly and increasingly frank dialogue with the Korean government has been promoted. We will continue not only to fulfill our commitment to security, but equally to the promotion of a more democratic government. North and South Korea have renewed their dialogue and made a difficult but hopeful start down a long, uncertain road. In our relationships with the Philippines, Taiwan and others in the region, we will also press for political liberalization and human rights.</w:t>
      </w:r>
    </w:p>
    <w:p w:rsidR="00A31137" w:rsidRPr="00A31137" w:rsidRDefault="00A31137" w:rsidP="00A31137">
      <w:r w:rsidRPr="00A31137">
        <w:t>1980 Democratic Platform, p.48</w:t>
      </w:r>
    </w:p>
    <w:p w:rsidR="00A31137" w:rsidRPr="00A31137" w:rsidRDefault="00A31137" w:rsidP="00A31137">
      <w:r w:rsidRPr="00A31137">
        <w:t>With ASEAN, the Democratic Administration has developed a coherent and supportive approach, encouraging the cohesion of those five nations just at the time when their unity was being tested by the Vietnamese aggression in Kampuchea. ASEAN now stands as one of the most viable regional organizations in the world. The Democratic Party recognize the important role the U.S. territories and other emerging island states in the Pacific Basin play in the solidification of defense and economic ties with the ASEAN nations. The Democratic Party commits itself to humanitarian aid to the people of East Timor.</w:t>
      </w:r>
    </w:p>
    <w:p w:rsidR="00A31137" w:rsidRPr="00A31137" w:rsidRDefault="00A31137" w:rsidP="00A31137">
      <w:r w:rsidRPr="00A31137">
        <w:t>Africa</w:t>
      </w:r>
    </w:p>
    <w:p w:rsidR="00A31137" w:rsidRPr="00A31137" w:rsidRDefault="00A31137" w:rsidP="00A31137">
      <w:r w:rsidRPr="00A31137">
        <w:t>1980 Democratic Platform, p.48</w:t>
      </w:r>
    </w:p>
    <w:p w:rsidR="00A31137" w:rsidRPr="00A31137" w:rsidRDefault="00A31137" w:rsidP="00A31137">
      <w:r w:rsidRPr="00A31137">
        <w:t>Africa will be of central importance to American foreign policy in the 1980s. By the end of the previous Republican Administration in 1977, the United States had little credibility in Black Africa for they had made little or no attempt to see African problems from an African perspective. Our policy had no clearly defined goals. As a consequence, our attempts to bring an end to the war in Southern Africa were ineffective. We were becoming, in African eyes, irrelevant—even antagonistic—to African aspirations.</w:t>
      </w:r>
    </w:p>
    <w:p w:rsidR="00A31137" w:rsidRPr="00A31137" w:rsidRDefault="00A31137" w:rsidP="00A31137">
      <w:r w:rsidRPr="00A31137">
        <w:t>1980 Democratic Platform, p.48</w:t>
      </w:r>
    </w:p>
    <w:p w:rsidR="00A31137" w:rsidRPr="00A31137" w:rsidRDefault="00A31137" w:rsidP="00A31137">
      <w:r w:rsidRPr="00A31137">
        <w:t>The Democratic Administration developed a long-term African policy—a policy that is viable on its own merits and does not treat Africa as an appendage to great power competition. It recognized the need for a new approach to the Continent, an approach based on mutual respect, fundamental concern for human rights and the necessity for economic justice.</w:t>
      </w:r>
    </w:p>
    <w:p w:rsidR="00A31137" w:rsidRPr="00A31137" w:rsidRDefault="00A31137" w:rsidP="00A31137">
      <w:r w:rsidRPr="00A31137">
        <w:t>1980 Democratic Platform, p.48</w:t>
      </w:r>
    </w:p>
    <w:p w:rsidR="00A31137" w:rsidRPr="00A31137" w:rsidRDefault="00A31137" w:rsidP="00A31137">
      <w:r w:rsidRPr="00A31137">
        <w:t>Considerable success has been achieved, perhaps most notably in Southern Africa. Our diplomatic efforts there have been instrumental in helping to bring about a peaceful settlement in Rhodesia—now Zimbabwe—while lessening Soviet/Cuban influence in the area. We will continue to assist in the reconstruction and development of an independent Zimbabwe, as a means of promoting stability in the region.</w:t>
      </w:r>
    </w:p>
    <w:p w:rsidR="00A31137" w:rsidRPr="00A31137" w:rsidRDefault="00A31137" w:rsidP="00A31137">
      <w:r w:rsidRPr="00A31137">
        <w:t>1980 Democratic Platform, p.48</w:t>
      </w:r>
    </w:p>
    <w:p w:rsidR="00A31137" w:rsidRPr="00A31137" w:rsidRDefault="00A31137" w:rsidP="00A31137">
      <w:r w:rsidRPr="00A31137">
        <w:t>Much remains to be done. Many of the fifty African nations are politically unstable and economically weak—partially as a result of their colonial heritage, but increasingly due to endemic drought and the economic dislocation resulting from ever-rising energy costs.</w:t>
      </w:r>
    </w:p>
    <w:p w:rsidR="00A31137" w:rsidRPr="00A31137" w:rsidRDefault="00A31137" w:rsidP="00A31137">
      <w:r w:rsidRPr="00A31137">
        <w:t>1980 Democratic Platform, p.48</w:t>
      </w:r>
    </w:p>
    <w:p w:rsidR="00A31137" w:rsidRPr="00A31137" w:rsidRDefault="00A31137" w:rsidP="00A31137">
      <w:r w:rsidRPr="00A31137">
        <w:t>The Democratic Party pledges itself to continue efforts to improve U.S. relations with all African nations, [p.49] on the basis of mutual respect and a mutual commitment to enhance economic justice and human dignity everywhere, with particular emphasis on the recurrent problem of drought and starvation. U.S. aid in the form of grain and foodstuffs must be continued but, in addition, we must seek with African governments ways of removing famine permanently from the African Continent.</w:t>
      </w:r>
    </w:p>
    <w:p w:rsidR="00A31137" w:rsidRPr="00A31137" w:rsidRDefault="00A31137" w:rsidP="00A31137">
      <w:r w:rsidRPr="00A31137">
        <w:t>1980 Democratic Platform, p.49</w:t>
      </w:r>
    </w:p>
    <w:p w:rsidR="00A31137" w:rsidRPr="00A31137" w:rsidRDefault="00A31137" w:rsidP="00A31137">
      <w:r w:rsidRPr="00A31137">
        <w:t>The Democratic Party pledges itself to the process of economic reconstruction in Zimbabwe within the context of a coherent multi-donor development plan for all the cooperating nations of the Southern African region.</w:t>
      </w:r>
    </w:p>
    <w:p w:rsidR="00A31137" w:rsidRPr="00A31137" w:rsidRDefault="00A31137" w:rsidP="00A31137">
      <w:r w:rsidRPr="00A31137">
        <w:t>1980 Democratic Platform, p.49</w:t>
      </w:r>
    </w:p>
    <w:p w:rsidR="00A31137" w:rsidRPr="00A31137" w:rsidRDefault="00A31137" w:rsidP="00A31137">
      <w:r w:rsidRPr="00A31137">
        <w:t>The Democratic Party pledges active support for self-determination in Namibia, and for full social and economic justice for all the peoples of Southern Africa.</w:t>
      </w:r>
    </w:p>
    <w:p w:rsidR="00A31137" w:rsidRPr="00A31137" w:rsidRDefault="00A31137" w:rsidP="00A31137">
      <w:r w:rsidRPr="00A31137">
        <w:t>1980 Democratic Platform, p.49</w:t>
      </w:r>
    </w:p>
    <w:p w:rsidR="00A31137" w:rsidRPr="00A31137" w:rsidRDefault="00A31137" w:rsidP="00A31137">
      <w:r w:rsidRPr="00A31137">
        <w:t>The Democratic Administration will press for the withdrawal of Soviet and Cuban troops.</w:t>
      </w:r>
    </w:p>
    <w:p w:rsidR="00A31137" w:rsidRPr="00A31137" w:rsidRDefault="00A31137" w:rsidP="00A31137">
      <w:r w:rsidRPr="00A31137">
        <w:t>1980 Democratic Platform, p.49</w:t>
      </w:r>
    </w:p>
    <w:p w:rsidR="00A31137" w:rsidRPr="00A31137" w:rsidRDefault="00A31137" w:rsidP="00A31137">
      <w:r w:rsidRPr="00A31137">
        <w:t>In Southern Africa, we will exert our influence to promote progress toward majority rule and to end the racist system of apartheid. We condemn the brutal suppression of Black Native African people in Soweto and Capetown by the South African regime and support increased political and economic pressure on this oppressive regime, through legal sanctions.</w:t>
      </w:r>
    </w:p>
    <w:p w:rsidR="00A31137" w:rsidRPr="00A31137" w:rsidRDefault="00A31137" w:rsidP="00A31137">
      <w:r w:rsidRPr="00A31137">
        <w:t>1980 Democratic Platform, p.49</w:t>
      </w:r>
    </w:p>
    <w:p w:rsidR="00A31137" w:rsidRPr="00A31137" w:rsidRDefault="00A31137" w:rsidP="00A31137">
      <w:r w:rsidRPr="00A31137">
        <w:t>We support increased pressure through legal diplomatic sanctions on the oppressive South African regime. Initially we will divest, under legal procedures, South African holdings of all public institutions and deploy full legal economic sanctions until that government abandons its undemocratic apartheid system.</w:t>
      </w:r>
    </w:p>
    <w:p w:rsidR="00A31137" w:rsidRPr="00A31137" w:rsidRDefault="00A31137" w:rsidP="00A31137">
      <w:r w:rsidRPr="00A31137">
        <w:t>1980 Democratic Platform, p.49</w:t>
      </w:r>
    </w:p>
    <w:p w:rsidR="00A31137" w:rsidRPr="00A31137" w:rsidRDefault="00A31137" w:rsidP="00A31137">
      <w:r w:rsidRPr="00A31137">
        <w:t>Following the removal of Cuban troops from Angola, we will seek to normalize relations with Angola. We will strengthen relations with nations committed to the objectives of economic development, respect for human rights and political liberalization. In the western Sahara we will support a negotiated settlement to the conflict.</w:t>
      </w:r>
    </w:p>
    <w:p w:rsidR="00A31137" w:rsidRPr="00A31137" w:rsidRDefault="00A31137" w:rsidP="00A31137">
      <w:r w:rsidRPr="00A31137">
        <w:t>The United Nations and International Agencies</w:t>
      </w:r>
    </w:p>
    <w:p w:rsidR="00A31137" w:rsidRPr="00A31137" w:rsidRDefault="00A31137" w:rsidP="00A31137">
      <w:r w:rsidRPr="00A31137">
        <w:t>1980 Democratic Platform, p.48</w:t>
      </w:r>
    </w:p>
    <w:p w:rsidR="00A31137" w:rsidRPr="00A31137" w:rsidRDefault="00A31137" w:rsidP="00A31137">
      <w:r w:rsidRPr="00A31137">
        <w:t>In each of the regions of the globe, international organizations and agencies will be tested in the coming decade and will play an increasingly crucial role. The United Nations remains the only forum where rich and poor, East and West, and neutral nations can come together to air their grievances, participate in respected forums of world opinion, and find mechanisms to resolve disputes without resort to force. In particular, in recent months the UN has been a forum for expressing the world's condemnation and rejection of both the hostage-taking in Iran and the Soviet invasion of Afghanistan.</w:t>
      </w:r>
    </w:p>
    <w:p w:rsidR="00A31137" w:rsidRPr="00A31137" w:rsidRDefault="00A31137" w:rsidP="00A31137">
      <w:r w:rsidRPr="00A31137">
        <w:t>1980 Democratic Platform, p.49</w:t>
      </w:r>
    </w:p>
    <w:p w:rsidR="00A31137" w:rsidRPr="00A31137" w:rsidRDefault="00A31137" w:rsidP="00A31137">
      <w:r w:rsidRPr="00A31137">
        <w:t>The United Nations is also vital in other ways—through its international refugee efforts, coordination of development assistance, support for agricultural research, and worldwide eradication of disease.</w:t>
      </w:r>
    </w:p>
    <w:p w:rsidR="00A31137" w:rsidRPr="00A31137" w:rsidRDefault="00A31137" w:rsidP="00A31137">
      <w:r w:rsidRPr="00A31137">
        <w:t>1980 Democratic Platform, p.49</w:t>
      </w:r>
    </w:p>
    <w:p w:rsidR="00A31137" w:rsidRPr="00A31137" w:rsidRDefault="00A31137" w:rsidP="00A31137">
      <w:r w:rsidRPr="00A31137">
        <w:t>In the next decade, international monetary and development institutions will also be under increasing pressure. Their efforts must be expanded to meet more fully the urgent needs of the two-thirds of the world's population which suffers the damaging and depressing effects of underdevelopment.</w:t>
      </w:r>
    </w:p>
    <w:p w:rsidR="00A31137" w:rsidRPr="00A31137" w:rsidRDefault="00A31137" w:rsidP="00A31137">
      <w:r w:rsidRPr="00A31137">
        <w:t>1980 Democratic Platform, p.49</w:t>
      </w:r>
    </w:p>
    <w:p w:rsidR="00A31137" w:rsidRPr="00A31137" w:rsidRDefault="00A31137" w:rsidP="00A31137">
      <w:r w:rsidRPr="00A31137">
        <w:t>The United Nations and these agencies perform a vital role in the search for peace. They deserve America's continuing support—and they will receive it from the Democratic Administration. We support the U.S. position on freedom of the press to be voted again in Belgrade during the 1980 UNESCO meeting.</w:t>
      </w:r>
    </w:p>
    <w:p w:rsidR="00A31137" w:rsidRPr="00A31137" w:rsidRDefault="00A31137" w:rsidP="00A31137">
      <w:r w:rsidRPr="00A31137">
        <w:t>1980 Democratic Platform, p.49</w:t>
      </w:r>
    </w:p>
    <w:p w:rsidR="00A31137" w:rsidRPr="00A31137" w:rsidRDefault="00A31137" w:rsidP="00A31137">
      <w:r w:rsidRPr="00A31137">
        <w:t>We support the call in Section 503 of the Foreign Relations Authorization Act of 1978, for the United States to make "a major effort toward reforming and restructuring the United Nations system."</w:t>
      </w:r>
    </w:p>
    <w:p w:rsidR="00A31137" w:rsidRPr="00A31137" w:rsidRDefault="00A31137" w:rsidP="00A31137">
      <w:r w:rsidRPr="00A31137">
        <w:t>1980 Democratic Platform, p.49</w:t>
      </w:r>
    </w:p>
    <w:p w:rsidR="00A31137" w:rsidRPr="00A31137" w:rsidRDefault="00A31137" w:rsidP="00A31137">
      <w:r w:rsidRPr="00A31137">
        <w:t>We also endorse that portion of the President's report to Congress in March, 1978 on UN reform and restructuring which calls for the Senate "to reexamine the Connally reservation," "the creation of a U.N. Peacekeeping Reserve composed of national contingents trained in peacekeeping functions," the establishment of "a new UN senior post as High Commissioner of Human Rights," and the development of autonomous sources of income for the international community.</w:t>
      </w:r>
    </w:p>
    <w:p w:rsidR="00A31137" w:rsidRPr="00A31137" w:rsidRDefault="00A31137" w:rsidP="00A31137">
      <w:r w:rsidRPr="00A31137">
        <w:t>1980 Democratic Platform, p.49</w:t>
      </w:r>
    </w:p>
    <w:p w:rsidR="00A31137" w:rsidRPr="00A31137" w:rsidRDefault="00A31137" w:rsidP="00A31137">
      <w:r w:rsidRPr="00A31137">
        <w:t>We will work toward new structures which will enhance the UN in the fields of economic development, including international trade organizations, higher education, volunteer service, mediation and conciliation, international disarmament, implementation of the Law of the Sea Agreement, and controlling international terrorism.</w:t>
      </w:r>
    </w:p>
    <w:p w:rsidR="00A31137" w:rsidRPr="00A31137" w:rsidRDefault="00A31137" w:rsidP="00A31137">
      <w:r w:rsidRPr="00A31137">
        <w:t>Into the 1980s</w:t>
      </w:r>
    </w:p>
    <w:p w:rsidR="00A31137" w:rsidRPr="00A31137" w:rsidRDefault="00A31137" w:rsidP="00A31137">
      <w:r w:rsidRPr="00A31137">
        <w:t>1980 Democratic Platform, p.49</w:t>
      </w:r>
    </w:p>
    <w:p w:rsidR="00A31137" w:rsidRPr="00A31137" w:rsidRDefault="00A31137" w:rsidP="00A31137">
      <w:r w:rsidRPr="00A31137">
        <w:t>As we look to the 1980s, we have a full and challenging agenda.</w:t>
      </w:r>
    </w:p>
    <w:p w:rsidR="00A31137" w:rsidRPr="00A31137" w:rsidRDefault="00A31137" w:rsidP="00A31137">
      <w:r w:rsidRPr="00A31137">
        <w:t>1980 Democratic Platform, p.49</w:t>
      </w:r>
    </w:p>
    <w:p w:rsidR="00A31137" w:rsidRPr="00A31137" w:rsidRDefault="00A31137" w:rsidP="00A31137">
      <w:r w:rsidRPr="00A31137">
        <w:t>With our Allies, we face the challenge of building greater unity of action while preserving the diversity of our democracies. Europe is increasingly united and is finding its own identity and voice. We must forge new links of consultation and revive the political process within the North Atlantic Alliance so that Europe remains America's partner in meeting the challenges to our common security and economic interests. We must find ways to include Japan in this process, broadening the mechanisms for cooperation which exist in current international forums, such as the Seven-Nation Summit.</w:t>
      </w:r>
    </w:p>
    <w:p w:rsidR="00A31137" w:rsidRPr="00A31137" w:rsidRDefault="00A31137" w:rsidP="00A31137">
      <w:r w:rsidRPr="00A31137">
        <w:t>1980 Democratic Platform, p.49</w:t>
      </w:r>
    </w:p>
    <w:p w:rsidR="00A31137" w:rsidRPr="00A31137" w:rsidRDefault="00A31137" w:rsidP="00A31137">
      <w:r w:rsidRPr="00A31137">
        <w:t>With the Third World countries, we must continue to do our part in the realization of their aspirations for justice, respect, and freedom. We must continue to [p.50] work for full political participation by all in South Africa, including independence and majority rule in Namibia. We must work to strengthen democracy in the Caribbean and Central America in the face of efforts by the Cubans to export their failed revolution. Throughout Latin America, we must continue to cooperate for the realization of greater human rights and the fulfillment of basic human needs. In Asia, we must continue to strengthen our relationships with our friends and Allies as they confront the twin dangers flowing from the Soviet invasion of Afghanistan and the Soviet-backed invasion of Cambodia.</w:t>
      </w:r>
    </w:p>
    <w:p w:rsidR="00A31137" w:rsidRPr="00A31137" w:rsidRDefault="00A31137" w:rsidP="00A31137">
      <w:r w:rsidRPr="00A31137">
        <w:t>1980 Democratic Platform, p.50</w:t>
      </w:r>
    </w:p>
    <w:p w:rsidR="00A31137" w:rsidRPr="00A31137" w:rsidRDefault="00A31137" w:rsidP="00A31137">
      <w:r w:rsidRPr="00A31137">
        <w:t>We must persevere with the Middle East peace process. There is no viable alternative. We can welcome initiatives from other countries so long as they contribute to the Camp David process that is leading toward a comprehensive peace in that region. But we will oppose efforts that undermine Camp David while offering no viable alternative. Our goal is to see the achievement of a comprehensive peace for all parties.</w:t>
      </w:r>
    </w:p>
    <w:p w:rsidR="00A31137" w:rsidRPr="00A31137" w:rsidRDefault="00A31137" w:rsidP="00A31137">
      <w:r w:rsidRPr="00A31137">
        <w:t>1980 Democratic Platform, p.50</w:t>
      </w:r>
    </w:p>
    <w:p w:rsidR="00A31137" w:rsidRPr="00A31137" w:rsidRDefault="00A31137" w:rsidP="00A31137">
      <w:r w:rsidRPr="00A31137">
        <w:t>With our defenses, we will continue to meet the requirements of the Administration's five-year defense program, including the deployment of the MX missile, cruise missiles, the Trident submarine, and long-range theater nuclear forces in Europe. At the same time, we intend to increase readiness and strengthen the All-Volunteer Force with a standby system of draft registration. We will continue with our Allies to meet the commitments of the long-term NATO defense program and, as we strengthen our military capabilities and presence in Southwest Asia and the region of the Persian Gulf, we will look to our Allies to assume more of the burden for the defense and security of Europe. Finally, we must recognize that development assistance represents a crucial part of our national security. As such, we may have to make a greater contribution of resources to these programs.</w:t>
      </w:r>
    </w:p>
    <w:p w:rsidR="00A31137" w:rsidRPr="00A31137" w:rsidRDefault="00A31137" w:rsidP="00A31137">
      <w:r w:rsidRPr="00A31137">
        <w:t>1980 Democratic Platform, p.50</w:t>
      </w:r>
    </w:p>
    <w:p w:rsidR="00A31137" w:rsidRPr="00A31137" w:rsidRDefault="00A31137" w:rsidP="00A31137">
      <w:r w:rsidRPr="00A31137">
        <w:t>In the field of arms control, in addition to ratification of SALT II, we must proceed to more comprehensive and drastic reductions and qualitative limitations on strategic nuclear forces. SALT III must also include effective limitations and reductions in long-range theater nuclear forces based on the principle of equality. We must pursue to a conclusion a comprehensive test ban, effective curbs in the international traffic of conventional arms and a more rigorously effective international regime to prevent the spread of nuclear weapons and weapons technology. We must bring to at least an initial conclusion the negotiations for mutual and balanced force reductions in Europe. The decade of the 1980s is not to become the decade of violence. We must make renewed efforts to stabilize the arms competition and widen the scrape of arms control arrangements.</w:t>
      </w:r>
    </w:p>
    <w:p w:rsidR="00A31137" w:rsidRPr="00A31137" w:rsidRDefault="00A31137" w:rsidP="00A31137">
      <w:r w:rsidRPr="00A31137">
        <w:t>1980 Democratic Platform, p.50</w:t>
      </w:r>
    </w:p>
    <w:p w:rsidR="00A31137" w:rsidRPr="00A31137" w:rsidRDefault="00A31137" w:rsidP="00A31137">
      <w:r w:rsidRPr="00A31137">
        <w:t>As we look to the future, we hope the progress in arms control and the strength and determination we shall demonstrate in the face of Soviet aggression in Afghanistan will soon result in the fashioning of stronger, more productive relationship with the Soviet Union. We favor a genuine detente—one with equivalent benefits to ourselves and the Soviets, one that is based on genuine restraint, one that benefits all mankind by harnessing the enormous potential of our two societies for cooperation rather than competition and confrontation. This will take patience, but we shall persevere for the prize is peace.</w:t>
      </w:r>
    </w:p>
    <w:p w:rsidR="00A31137" w:rsidRPr="00A31137" w:rsidRDefault="00A31137" w:rsidP="00A31137">
      <w:r w:rsidRPr="00A31137">
        <w:t>1980 Democratic Platform, p.50</w:t>
      </w:r>
    </w:p>
    <w:p w:rsidR="00A31137" w:rsidRPr="00A31137" w:rsidRDefault="00A31137" w:rsidP="00A31137">
      <w:r w:rsidRPr="00A31137">
        <w:t xml:space="preserve">By reaffirming America's values as the centerpiece of our foreign policy and by pursuing realistically the requirements of military strength, the Democratic Party is forging a new and broader consensus among the American people in support of our foreign policy. We are turning the tide against the paralysis of despair that came from a tragic war in Asia and political scandal at home. We are restoring America to its rightful place, not only as the strongest nation in the world but as the nation which is the champion of human justice and freedom.[p.50] </w:t>
      </w:r>
    </w:p>
    <w:p w:rsidR="00A31137" w:rsidRPr="00A31137" w:rsidRDefault="00A31137" w:rsidP="00A31137">
      <w:r w:rsidRPr="00A31137">
        <w:t>Republican Platform of 1980</w:t>
      </w:r>
    </w:p>
    <w:p w:rsidR="00A31137" w:rsidRPr="00A31137" w:rsidRDefault="00A31137" w:rsidP="00A31137">
      <w:r w:rsidRPr="00A31137">
        <w:t>Title:</w:t>
      </w:r>
      <w:r w:rsidRPr="00A31137">
        <w:tab/>
        <w:t>Republican Platform of 1980</w:t>
      </w:r>
    </w:p>
    <w:p w:rsidR="00A31137" w:rsidRPr="00A31137" w:rsidRDefault="00A31137" w:rsidP="00A31137">
      <w:r w:rsidRPr="00A31137">
        <w:t>Author:</w:t>
      </w:r>
      <w:r w:rsidRPr="00A31137">
        <w:tab/>
        <w:t>Republican Party</w:t>
      </w:r>
    </w:p>
    <w:p w:rsidR="00A31137" w:rsidRPr="00A31137" w:rsidRDefault="00A31137" w:rsidP="00A31137">
      <w:r w:rsidRPr="00A31137">
        <w:t>Date:</w:t>
      </w:r>
      <w:r w:rsidRPr="00A31137">
        <w:tab/>
        <w:t>1980</w:t>
      </w:r>
    </w:p>
    <w:p w:rsidR="00A31137" w:rsidRPr="00A31137" w:rsidRDefault="00A31137" w:rsidP="00A31137">
      <w:r w:rsidRPr="00A31137">
        <w:t>Source:</w:t>
      </w:r>
      <w:r w:rsidRPr="00A31137">
        <w:tab/>
        <w:t>1980 Republican Party Platform Booklet</w:t>
      </w:r>
    </w:p>
    <w:p w:rsidR="00A31137" w:rsidRPr="00A31137" w:rsidRDefault="00A31137" w:rsidP="00A31137">
      <w:r w:rsidRPr="00A31137">
        <w:t>Adopted by the Republican National Convention,</w:t>
      </w:r>
    </w:p>
    <w:p w:rsidR="00A31137" w:rsidRPr="00A31137" w:rsidRDefault="00A31137" w:rsidP="00A31137">
      <w:r w:rsidRPr="00A31137">
        <w:t>July 15, 1980, Detroit, Mich.</w:t>
      </w:r>
    </w:p>
    <w:p w:rsidR="00A31137" w:rsidRPr="00A31137" w:rsidRDefault="00A31137" w:rsidP="00A31137">
      <w:r w:rsidRPr="00A31137">
        <w:t>Republican Platform: A Preamble</w:t>
      </w:r>
    </w:p>
    <w:p w:rsidR="00A31137" w:rsidRPr="00A31137" w:rsidRDefault="00A31137" w:rsidP="00A31137">
      <w:r w:rsidRPr="00A31137">
        <w:t>1980 Republican Platform, p.3</w:t>
      </w:r>
    </w:p>
    <w:p w:rsidR="00A31137" w:rsidRPr="00A31137" w:rsidRDefault="00A31137" w:rsidP="00A31137">
      <w:r w:rsidRPr="00A31137">
        <w:t>The Republican Party convenes, presents this platform, and selects its nominees at a time of crisis. America is adrift. Our country moves agonizingly, aimlessly, almost helplessly into one of the most dangerous and disorderly periods in history.</w:t>
      </w:r>
    </w:p>
    <w:p w:rsidR="00A31137" w:rsidRPr="00A31137" w:rsidRDefault="00A31137" w:rsidP="00A31137">
      <w:r w:rsidRPr="00A31137">
        <w:t>1980 Republican Platform, p.3</w:t>
      </w:r>
    </w:p>
    <w:p w:rsidR="00A31137" w:rsidRPr="00A31137" w:rsidRDefault="00A31137" w:rsidP="00A31137">
      <w:r w:rsidRPr="00A31137">
        <w:t>At home, our economy careens, whiplashed from one extreme to another. Earlier this year, inflation skyrocketed to its highest levels in more than a century; weeks later, the economy plummeted, suffering its steepest slide on record. Prices escalate at more than 10 percent a year. More than eight million people seek employment. Manufacturing plants lie idle across the country. The hopes and aspirations of our people are being smothered.</w:t>
      </w:r>
    </w:p>
    <w:p w:rsidR="00A31137" w:rsidRPr="00A31137" w:rsidRDefault="00A31137" w:rsidP="00A31137">
      <w:r w:rsidRPr="00A31137">
        <w:t>1980 Republican Platform, p.3</w:t>
      </w:r>
    </w:p>
    <w:p w:rsidR="00A31137" w:rsidRPr="00A31137" w:rsidRDefault="00A31137" w:rsidP="00A31137">
      <w:r w:rsidRPr="00A31137">
        <w:t>Overseas, conditions already perilous, deteriorate. The Soviet Union for the first time is acquiring the means to obliterate or cripple our land-based missile system and blackmail us into submission. Marxist tyrannies spread more rapidly through the Third World and Latin America. Our alliances are frayed in Europe and elsewhere. Our energy supplies become even more dependent on uncertain foreign suppliers. In the ultimate humiliation, militant terrorists in Iran continue to toy with the lives of Americans.</w:t>
      </w:r>
      <w:r w:rsidRPr="00A31137">
        <w:cr/>
      </w:r>
    </w:p>
    <w:p w:rsidR="00A31137" w:rsidRPr="00A31137" w:rsidRDefault="00A31137" w:rsidP="00A31137">
      <w:r w:rsidRPr="00A31137">
        <w:t>1980 Republican Platform, p.3</w:t>
      </w:r>
    </w:p>
    <w:p w:rsidR="00A31137" w:rsidRPr="00A31137" w:rsidRDefault="00A31137" w:rsidP="00A31137">
      <w:r w:rsidRPr="00A31137">
        <w:t>These events are not isolated, or unrelated. They are signposts. They mark a continuing downward spiral in economic vitality and international influence. Should the trend continue, the 1980s promise to be our most dangerous years since World War II. History could record, if we let the drift go on, that the American experiment, so marvelously successful for 200 years, came strangely, needlessly, tragically to a dismal end early in our third century.</w:t>
      </w:r>
    </w:p>
    <w:p w:rsidR="00A31137" w:rsidRPr="00A31137" w:rsidRDefault="00A31137" w:rsidP="00A31137">
      <w:r w:rsidRPr="00A31137">
        <w:t>1980 Republican Platform, p.3</w:t>
      </w:r>
    </w:p>
    <w:p w:rsidR="00A31137" w:rsidRPr="00A31137" w:rsidRDefault="00A31137" w:rsidP="00A31137">
      <w:r w:rsidRPr="00A31137">
        <w:t>By far the most galling aspect of it all is that the chief architects of our decline—Democratic politicians—are without program or ideas to reverse it. Divided, leaderless, unseeing, uncomprehending, they plod on with listless offerings of pale imitations of the same policies they have pursued so long, knowing full well their futility. The Carter Administration is the unhappy and inevitable consequence of decades of increasingly outmoded Democratic domination of our national life. Over the past four years it has repeatedly demonstrated that it has no basic goals other than the perpetuation of its own rule and no guiding principle other than the fleeting insights provided by the latest opinion poll. Policies announced one day are disavowed or ignored the next, sowing confusion among Americans at home and havoc among our friends abroad.</w:t>
      </w:r>
    </w:p>
    <w:p w:rsidR="00A31137" w:rsidRPr="00A31137" w:rsidRDefault="00A31137" w:rsidP="00A31137">
      <w:r w:rsidRPr="00A31137">
        <w:t>1980 Republican Platform, p.3</w:t>
      </w:r>
    </w:p>
    <w:p w:rsidR="00A31137" w:rsidRPr="00A31137" w:rsidRDefault="00A31137" w:rsidP="00A31137">
      <w:r w:rsidRPr="00A31137">
        <w:t>Republicans, Democrats, and Independents have been watching and reading these signs. They have been watching incredulously as disaster after disaster unfolds. They now have had enough. They are rising up in 1980 to say that this confusion must end; this drift must end; we must pull ourselves together as a people before we slide irretrievably into the abyss.</w:t>
      </w:r>
    </w:p>
    <w:p w:rsidR="00A31137" w:rsidRPr="00A31137" w:rsidRDefault="00A31137" w:rsidP="00A31137">
      <w:r w:rsidRPr="00A31137">
        <w:t>1980 Republican Platform, p.3</w:t>
      </w:r>
    </w:p>
    <w:p w:rsidR="00A31137" w:rsidRPr="00A31137" w:rsidRDefault="00A31137" w:rsidP="00A31137">
      <w:r w:rsidRPr="00A31137">
        <w:t>It doesn't have to be this way; it doesn't have to stay this way. We, the Republican Party, hold ourselves forth as the Party best able to arrest and reverse the decline. We offer new ideas and candidates, from the top of our ticket to the bottom, who can bring to local and national leadership firm, steady hands and confidence and eagerness. We have unparalleled unity within our own ranks, especially between our presidential nominee and our Congressional membership. Most important, we go forth to the people with ideas and programs for the future that are as powerful and compelling as they are fresh. Together, we offer a new beginning for America.</w:t>
      </w:r>
    </w:p>
    <w:p w:rsidR="00A31137" w:rsidRPr="00A31137" w:rsidRDefault="00A31137" w:rsidP="00A31137">
      <w:r w:rsidRPr="00A31137">
        <w:t>1980 Republican Platform, p.3</w:t>
      </w:r>
    </w:p>
    <w:p w:rsidR="00A31137" w:rsidRPr="00A31137" w:rsidRDefault="00A31137" w:rsidP="00A31137">
      <w:r w:rsidRPr="00A31137">
        <w:t>Our foremost goal here at home is simple: economic growth and full employment without inflation. Sweeping change in economic policy in America is needed so that Mr. Carter's promise of hard times and austerity—his one promise well kept—can be replaced with Republican policies that promise economic growth and job creation. It is our belief that the stagflation of recent years not only has consigned millions of citizens to hardship but also has bottled up the enormous ingenuity and creative powers of our people. Those energies will not be released by the sterile policies of the past: we specifically reject the Carter doctrine that inflation can be reduced only by throwing people out of work. Prosperity will not be regained simply by government fiat. Rather, we must offer broad new incentives to labor and capital to stimulate a great outpouring of private goods and services and to create an abundance of jobs. From America's grass roots to the White House we will stand united as a party behind a bold program of tax rate reductions, spending restraints, and regulatory reforms that will inject new life into the economic bloodstream of this country.</w:t>
      </w:r>
    </w:p>
    <w:p w:rsidR="00A31137" w:rsidRPr="00A31137" w:rsidRDefault="00A31137" w:rsidP="00A31137">
      <w:r w:rsidRPr="00A31137">
        <w:t>1980 Republican Platform, p.3</w:t>
      </w:r>
    </w:p>
    <w:p w:rsidR="00A31137" w:rsidRPr="00A31137" w:rsidRDefault="00A31137" w:rsidP="00A31137">
      <w:r w:rsidRPr="00A31137">
        <w:t>Overseas, our goal is equally simple and direct: to preserve a world at peace by keeping America strong. This philosophy once occupied a hallowed place in American diplomacy, but it was casually, even cavalierly dismissed at the outset by the Carter Administration—and the results have been shattering. Never before in modern history has the United States endured as many ppp [p.4] humiliations, insults, and defeats as it has during the past four years: our ambassadors murdered, our embassies burned, our warnings ignored, our diplomacy scorned, our diplomats kidnapped. The Carter Administration has shown that it neither understands totalitarianism nor appreciates the way tyrants take advantage of weakness. The brutal invasion of Afghanistan promises to be only the forerunner of much more serious threats to the West—and to world peace—should the Carter Administration somehow cling to power.</w:t>
      </w:r>
    </w:p>
    <w:p w:rsidR="00A31137" w:rsidRPr="00A31137" w:rsidRDefault="00A31137" w:rsidP="00A31137">
      <w:r w:rsidRPr="00A31137">
        <w:t>1980 Republican Platform, p.4</w:t>
      </w:r>
    </w:p>
    <w:p w:rsidR="00A31137" w:rsidRPr="00A31137" w:rsidRDefault="00A31137" w:rsidP="00A31137">
      <w:r w:rsidRPr="00A31137">
        <w:t>Republicans are united in a belief that America's international humiliation and decline can be reversed only by strong presidential leadership and a consistent, far-sighted foreign policy, supported by a major upgrading of our military forces, a strengthening of our commitments to our allies, and a resolve that our national interests be vigorously protected. Ultimately, those who practice strength and firmness truly guard the peace.</w:t>
      </w:r>
    </w:p>
    <w:p w:rsidR="00A31137" w:rsidRPr="00A31137" w:rsidRDefault="00A31137" w:rsidP="00A31137">
      <w:r w:rsidRPr="00A31137">
        <w:t>1980 Republican Platform, p.4</w:t>
      </w:r>
    </w:p>
    <w:p w:rsidR="00A31137" w:rsidRPr="00A31137" w:rsidRDefault="00A31137" w:rsidP="00A31137">
      <w:r w:rsidRPr="00A31137">
        <w:t>This platform addresses many concerns of our Party. We seek to restore the family, the neighborhood, the community, and the workplace as vital alternatives in our national life to ever-expanding federal power.</w:t>
      </w:r>
    </w:p>
    <w:p w:rsidR="00A31137" w:rsidRPr="00A31137" w:rsidRDefault="00A31137" w:rsidP="00A31137">
      <w:r w:rsidRPr="00A31137">
        <w:t>1980 Republican Platform, p.4</w:t>
      </w:r>
    </w:p>
    <w:p w:rsidR="00A31137" w:rsidRPr="00A31137" w:rsidRDefault="00A31137" w:rsidP="00A31137">
      <w:r w:rsidRPr="00A31137">
        <w:t>We affirm our deep commitment to the fulfillment of the hopes and aspirations of all Americans—blacks and whites, women and men, the young and old, rural and urban.</w:t>
      </w:r>
    </w:p>
    <w:p w:rsidR="00A31137" w:rsidRPr="00A31137" w:rsidRDefault="00A31137" w:rsidP="00A31137">
      <w:r w:rsidRPr="00A31137">
        <w:t>1980 Republican Platform, p.4</w:t>
      </w:r>
    </w:p>
    <w:p w:rsidR="00A31137" w:rsidRPr="00A31137" w:rsidRDefault="00A31137" w:rsidP="00A31137">
      <w:r w:rsidRPr="00A31137">
        <w:t>For too many years, the political debate in America has been conducted in terms set by the Democrats. They believe that every time new problems arise beyond the power of men and women as individuals to solve, it becomes the duty of government to solve them, as if there were never any alternative. Republicans disagree and have always taken the side of the individual, whose freedoms are threatened by the big government that Democratic idea has spawned. Our case for the individual is stronger than ever. A defense of the individual against government was never more needed. And we will continue to mount it.</w:t>
      </w:r>
    </w:p>
    <w:p w:rsidR="00A31137" w:rsidRPr="00A31137" w:rsidRDefault="00A31137" w:rsidP="00A31137">
      <w:r w:rsidRPr="00A31137">
        <w:t>1980 Republican Platform, p.4</w:t>
      </w:r>
    </w:p>
    <w:p w:rsidR="00A31137" w:rsidRPr="00A31137" w:rsidRDefault="00A31137" w:rsidP="00A31137">
      <w:r w:rsidRPr="00A31137">
        <w:t>But we will redefine and broaden the debate by transcending the narrow terms of government and the individual; those are not the only two realities in America. Our society consists of more than that; so should the political debate. We will reemphasize those vital communities like the family, the neighborhood, the workplace, and others which are found at the center of society, between government and the individual. We will restore and strengthen their ability to solve problems in the places where people spend their daily lives and can turn to each other for support and help.</w:t>
      </w:r>
    </w:p>
    <w:p w:rsidR="00A31137" w:rsidRPr="00A31137" w:rsidRDefault="00A31137" w:rsidP="00A31137">
      <w:r w:rsidRPr="00A31137">
        <w:t>1980 Republican Platform, p.4</w:t>
      </w:r>
    </w:p>
    <w:p w:rsidR="00A31137" w:rsidRPr="00A31137" w:rsidRDefault="00A31137" w:rsidP="00A31137">
      <w:r w:rsidRPr="00A31137">
        <w:t>We seek energy independence through economic policies that free up our energy production and encourage conservation. We seek improvements in health care, education, housing, and opportunities for youth. We seek new avenues for the needy to break out of the tragic cycle of dependency. All of these goals—and many others—we confidently expect to achieve through a rebirth of liberty and resurgence of private initiatives, for we believe that at the root of most of our troubles today is the misguided and discredited philosophy of an all-powerful government, ceaselessly striving to subsidize, manipulate, and control individuals. But it is the individual, not the government, who reigns at the center of our Republican philosophy.</w:t>
      </w:r>
    </w:p>
    <w:p w:rsidR="00A31137" w:rsidRPr="00A31137" w:rsidRDefault="00A31137" w:rsidP="00A31137">
      <w:r w:rsidRPr="00A31137">
        <w:t>1980 Republican Platform, p.4</w:t>
      </w:r>
    </w:p>
    <w:p w:rsidR="00A31137" w:rsidRPr="00A31137" w:rsidRDefault="00A31137" w:rsidP="00A31137">
      <w:r w:rsidRPr="00A31137">
        <w:t>To those Democrats who say Americans must be content to passively accept the gradual but inexorable decline of America, we answer: The American people have hardly begun to marshal their talents and resources or realize the accomplishments and dreams that only freedom can inspire.</w:t>
      </w:r>
    </w:p>
    <w:p w:rsidR="00A31137" w:rsidRPr="00A31137" w:rsidRDefault="00A31137" w:rsidP="00A31137">
      <w:r w:rsidRPr="00A31137">
        <w:t>1980 Republican Platform, p.4</w:t>
      </w:r>
    </w:p>
    <w:p w:rsidR="00A31137" w:rsidRPr="00A31137" w:rsidRDefault="00A31137" w:rsidP="00A31137">
      <w:r w:rsidRPr="00A31137">
        <w:t>To those Democrats who say we face an "age of limits," we ask: Who knows the limit to what Americans can do when their capacity for work, creativity, optimism, and faith is enhanced and supported by strong and responsive political leadership and ideals.</w:t>
      </w:r>
    </w:p>
    <w:p w:rsidR="00A31137" w:rsidRPr="00A31137" w:rsidRDefault="00A31137" w:rsidP="00A31137">
      <w:r w:rsidRPr="00A31137">
        <w:t>1980 Republican Platform, p.4</w:t>
      </w:r>
    </w:p>
    <w:p w:rsidR="00A31137" w:rsidRPr="00A31137" w:rsidRDefault="00A31137" w:rsidP="00A31137">
      <w:r w:rsidRPr="00A31137">
        <w:t>To those who, with Mr. Carter, say the American people suffer from a national "malaise," we respond: The only malaise in this country is found in the leadership of the Democratic Party, in the White House and in Congress. Its symptoms are an incompetence to lead, a refusal to change, and a reluctance to act. This malaise has become epidemic in Washington. Its cure is government led by Republicans who share the values of the majority of Americans.</w:t>
      </w:r>
    </w:p>
    <w:p w:rsidR="00A31137" w:rsidRPr="00A31137" w:rsidRDefault="00A31137" w:rsidP="00A31137">
      <w:r w:rsidRPr="00A31137">
        <w:t>1980 Republican Platform, p.4</w:t>
      </w:r>
    </w:p>
    <w:p w:rsidR="00A31137" w:rsidRPr="00A31137" w:rsidRDefault="00A31137" w:rsidP="00A31137">
      <w:r w:rsidRPr="00A31137">
        <w:t>Republicans pledge a restoration of balance in American society. But society cannot be balanced by the actions of government or of individuals alone. Balance is found at society's vital center, where we find the family and the neighborhood and the workplace.</w:t>
      </w:r>
    </w:p>
    <w:p w:rsidR="00A31137" w:rsidRPr="00A31137" w:rsidRDefault="00A31137" w:rsidP="00A31137">
      <w:r w:rsidRPr="00A31137">
        <w:t>1980 Republican Platform, p.4</w:t>
      </w:r>
    </w:p>
    <w:p w:rsidR="00A31137" w:rsidRPr="00A31137" w:rsidRDefault="00A31137" w:rsidP="00A31137">
      <w:r w:rsidRPr="00A31137">
        <w:t>America will not, however, achieve any of these goals on its present course nor under its present leadership. The uncharted course of Mr. Carter will lead surely to catastrophe. By reversing our economic decline, by reversing our international decline, we can and will resurrect our dreams.</w:t>
      </w:r>
    </w:p>
    <w:p w:rsidR="00A31137" w:rsidRPr="00A31137" w:rsidRDefault="00A31137" w:rsidP="00A31137">
      <w:r w:rsidRPr="00A31137">
        <w:t>1980 Republican Platform, p.4</w:t>
      </w:r>
    </w:p>
    <w:p w:rsidR="00A31137" w:rsidRPr="00A31137" w:rsidRDefault="00A31137" w:rsidP="00A31137">
      <w:r w:rsidRPr="00A31137">
        <w:t>And so, in this 1980 Republican Platform, we call out to the American people: With God's help, let us now, together, make America great again; let us now, together, make a new beginning.</w:t>
      </w:r>
    </w:p>
    <w:p w:rsidR="00A31137" w:rsidRPr="00A31137" w:rsidRDefault="00A31137" w:rsidP="00A31137">
      <w:r w:rsidRPr="00A31137">
        <w:t>Free Individuals in a Free Society</w:t>
      </w:r>
    </w:p>
    <w:p w:rsidR="00A31137" w:rsidRPr="00A31137" w:rsidRDefault="00A31137" w:rsidP="00A31137">
      <w:r w:rsidRPr="00A31137">
        <w:t>1980 Republican Platform, p.4</w:t>
      </w:r>
    </w:p>
    <w:p w:rsidR="00A31137" w:rsidRPr="00A31137" w:rsidRDefault="00A31137" w:rsidP="00A31137">
      <w:r w:rsidRPr="00A31137">
        <w:t>It has long been a fundamental conviction of the Republican Party that government should foster in our society a climate of maximum individual liberty and freedom of choice. Properly informed, our people as individuals or acting through instruments of popular consultation can make the right decisions affecting personal or general welfare, free of pervasive and heavy-handed intrusion by the central government into the decisionmaking process. This tenet is the genius of representative democracy.</w:t>
      </w:r>
    </w:p>
    <w:p w:rsidR="00A31137" w:rsidRPr="00A31137" w:rsidRDefault="00A31137" w:rsidP="00A31137">
      <w:r w:rsidRPr="00A31137">
        <w:t>1980 Republican Platform, p.4</w:t>
      </w:r>
    </w:p>
    <w:p w:rsidR="00A31137" w:rsidRPr="00A31137" w:rsidRDefault="00A31137" w:rsidP="00A31137">
      <w:r w:rsidRPr="00A31137">
        <w:t xml:space="preserve">Republicans also treasure the ethnic, cultural, and regional diversity of our people. This diversity fosters a dynamism in American society that is the envy of the world.ppp [p.5] </w:t>
      </w:r>
    </w:p>
    <w:p w:rsidR="00A31137" w:rsidRPr="00A31137" w:rsidRDefault="00A31137" w:rsidP="00A31137">
      <w:r w:rsidRPr="00A31137">
        <w:t>Taxes</w:t>
      </w:r>
    </w:p>
    <w:p w:rsidR="00A31137" w:rsidRPr="00A31137" w:rsidRDefault="00A31137" w:rsidP="00A31137">
      <w:r w:rsidRPr="00A31137">
        <w:t>1980 Republican Platform, p.5</w:t>
      </w:r>
    </w:p>
    <w:p w:rsidR="00A31137" w:rsidRPr="00A31137" w:rsidRDefault="00A31137" w:rsidP="00A31137">
      <w:r w:rsidRPr="00A31137">
        <w:t>Elsewhere in this platform we discuss the benefits, for society as a whole, of reduced taxation, particularly in terms of economic growth. But we believe it is essential to cut personal tax rates out of fairness to the individual.</w:t>
      </w:r>
    </w:p>
    <w:p w:rsidR="00A31137" w:rsidRPr="00A31137" w:rsidRDefault="00A31137" w:rsidP="00A31137">
      <w:r w:rsidRPr="00A31137">
        <w:t>1980 Republican Platform, p.5</w:t>
      </w:r>
    </w:p>
    <w:p w:rsidR="00A31137" w:rsidRPr="00A31137" w:rsidRDefault="00A31137" w:rsidP="00A31137">
      <w:r w:rsidRPr="00A31137">
        <w:t>Presently, the aggregate burden of taxation is so great that the average American spends a substantial part of every year, in effect, working for government.</w:t>
      </w:r>
    </w:p>
    <w:p w:rsidR="00A31137" w:rsidRPr="00A31137" w:rsidRDefault="00A31137" w:rsidP="00A31137">
      <w:r w:rsidRPr="00A31137">
        <w:t>1980 Republican Platform, p.5</w:t>
      </w:r>
    </w:p>
    <w:p w:rsidR="00A31137" w:rsidRPr="00A31137" w:rsidRDefault="00A31137" w:rsidP="00A31137">
      <w:r w:rsidRPr="00A31137">
        <w:t>Substantial tax rate reductions are needed to offset the massive tax increases facing the working men and women of this country. Over the next four years, federal taxes are projected to increase by over $500 billion due to the Carter Administration's policies. American families are already paying taxes at higher rates than ever in our history; as a result of these Carter policies, the rates will go even higher. The direct and indirect burden of federal taxes alone, imposed on the average family earning $20,000, has risen to $5,451—over 27 percent of the family's gross income. During the Carter term, the federal tax alone on this family will have risen $2,000.</w:t>
      </w:r>
    </w:p>
    <w:p w:rsidR="00A31137" w:rsidRPr="00A31137" w:rsidRDefault="00A31137" w:rsidP="00A31137">
      <w:r w:rsidRPr="00A31137">
        <w:t>1980 Republican Platform, p.5</w:t>
      </w:r>
    </w:p>
    <w:p w:rsidR="00A31137" w:rsidRPr="00A31137" w:rsidRDefault="00A31137" w:rsidP="00A31137">
      <w:r w:rsidRPr="00A31137">
        <w:t>The Republican Party believes balancing the budget is essential but opposes the Democrats' attempt to do so through higher taxes. We believe that an essential aspect of balancing the budget is spending restraint by the federal government and higher economic growth, not higher tax burdens on working men and women.</w:t>
      </w:r>
    </w:p>
    <w:p w:rsidR="00A31137" w:rsidRPr="00A31137" w:rsidRDefault="00A31137" w:rsidP="00A31137">
      <w:r w:rsidRPr="00A31137">
        <w:t>1980 Republican Platform, p.5</w:t>
      </w:r>
    </w:p>
    <w:p w:rsidR="00A31137" w:rsidRPr="00A31137" w:rsidRDefault="00A31137" w:rsidP="00A31137">
      <w:r w:rsidRPr="00A31137">
        <w:t>Policies of the Democratic Party are taxing work, saving, investment, productivity, and the rewards for human ingenuity. These same tax policies subsidize debt, unemployment, and consumption. The present structure of the personal income tax system is designed to broaden the gap between effort and reward.</w:t>
      </w:r>
    </w:p>
    <w:p w:rsidR="00A31137" w:rsidRPr="00A31137" w:rsidRDefault="00A31137" w:rsidP="00A31137">
      <w:r w:rsidRPr="00A31137">
        <w:t>1980 Republican Platform, p.5</w:t>
      </w:r>
    </w:p>
    <w:p w:rsidR="00A31137" w:rsidRPr="00A31137" w:rsidRDefault="00A31137" w:rsidP="00A31137">
      <w:r w:rsidRPr="00A31137">
        <w:t>Therefore, the Republican Party supports across-the-board reductions in personal income tax rates, phased in over three years, which will reduce tax rates from the range of 14 to 70 percent to a range from 10 to 50 percent.</w:t>
      </w:r>
    </w:p>
    <w:p w:rsidR="00A31137" w:rsidRPr="00A31137" w:rsidRDefault="00A31137" w:rsidP="00A31137">
      <w:r w:rsidRPr="00A31137">
        <w:t>1980 Republican Platform, p.5</w:t>
      </w:r>
    </w:p>
    <w:p w:rsidR="00A31137" w:rsidRPr="00A31137" w:rsidRDefault="00A31137" w:rsidP="00A31137">
      <w:r w:rsidRPr="00A31137">
        <w:t>For most Americans, these reduced tax rates will slow the rate at which taxes rise. This will assure workers and savers greater rewards for greater effort by lowering the rate at which added earnings would be taxed.</w:t>
      </w:r>
    </w:p>
    <w:p w:rsidR="00A31137" w:rsidRPr="00A31137" w:rsidRDefault="00A31137" w:rsidP="00A31137">
      <w:r w:rsidRPr="00A31137">
        <w:t>1980 Republican Platform, p.5</w:t>
      </w:r>
    </w:p>
    <w:p w:rsidR="00A31137" w:rsidRPr="00A31137" w:rsidRDefault="00A31137" w:rsidP="00A31137">
      <w:r w:rsidRPr="00A31137">
        <w:t>These reductions have been before the Congress for three years in the Roth-Kemp legislation. The proposal will not only provide relief for all American taxpayers, but also promote non-inflationary economic growth by restoring the incentive to save, invest, and produce. These restored incentives will in turn increase investment and help reinvigorate American business and industry, leading to the creation of more jobs. In fact, Governor Reagan and Congressional Republicans have already taken the first step. Working together, they have boldly offered the American people a 10 percent tax rate cut for 1981, which will stimulate growth in our economy, and a simplification and liberalization of depreciation schedules to create more jobs.</w:t>
      </w:r>
    </w:p>
    <w:p w:rsidR="00A31137" w:rsidRPr="00A31137" w:rsidRDefault="00A31137" w:rsidP="00A31137">
      <w:r w:rsidRPr="00A31137">
        <w:t>1980 Republican Platform, p.5</w:t>
      </w:r>
    </w:p>
    <w:p w:rsidR="00A31137" w:rsidRPr="00A31137" w:rsidRDefault="00A31137" w:rsidP="00A31137">
      <w:r w:rsidRPr="00A31137">
        <w:t>Once tax rates are reduced, Republicans will move to end tax bracket creep caused by inflation. We support tax indexing to protect taxpayers from the automatic tax increases caused when cost-of-living wage increases move them into higher tax brackets.</w:t>
      </w:r>
    </w:p>
    <w:p w:rsidR="00A31137" w:rsidRPr="00A31137" w:rsidRDefault="00A31137" w:rsidP="00A31137">
      <w:r w:rsidRPr="00A31137">
        <w:t>1980 Republican Platform, p.5</w:t>
      </w:r>
    </w:p>
    <w:p w:rsidR="00A31137" w:rsidRPr="00A31137" w:rsidRDefault="00A31137" w:rsidP="00A31137">
      <w:r w:rsidRPr="00A31137">
        <w:t>Tax rate reductions will generate increases in economic growth, output, and income which will ultimately generate increased revenues. The greater justification for these cuts, however, lies in the right of individuals to keep and use the money they earn.</w:t>
      </w:r>
    </w:p>
    <w:p w:rsidR="00A31137" w:rsidRPr="00A31137" w:rsidRDefault="00A31137" w:rsidP="00A31137">
      <w:r w:rsidRPr="00A31137">
        <w:t>Improving the welfare system</w:t>
      </w:r>
    </w:p>
    <w:p w:rsidR="00A31137" w:rsidRPr="00A31137" w:rsidRDefault="00A31137" w:rsidP="00A31137">
      <w:r w:rsidRPr="00A31137">
        <w:t>1980 Republican Platform, p.5</w:t>
      </w:r>
    </w:p>
    <w:p w:rsidR="00A31137" w:rsidRPr="00A31137" w:rsidRDefault="00A31137" w:rsidP="00A31137">
      <w:r w:rsidRPr="00A31137">
        <w:t>The measure of a country's compassion is how it treats the least fortunate. In every society there will be some who cannot work, often through no fault of their own.</w:t>
      </w:r>
    </w:p>
    <w:p w:rsidR="00A31137" w:rsidRPr="00A31137" w:rsidRDefault="00A31137" w:rsidP="00A31137">
      <w:r w:rsidRPr="00A31137">
        <w:t>1980 Republican Platform, p.5</w:t>
      </w:r>
    </w:p>
    <w:p w:rsidR="00A31137" w:rsidRPr="00A31137" w:rsidRDefault="00A31137" w:rsidP="00A31137">
      <w:r w:rsidRPr="00A31137">
        <w:t>Yet current federal government efforts to help them have become counterproductive, perpetuating and aggravating the very conditions of dependence they seek to relieve. The Democratic Congress has produced a jumble of degrading, dehumanizing, wasteful, overlapping, and inefficient programs that invite waste and fraud but inadequately assist the needy poor.</w:t>
      </w:r>
    </w:p>
    <w:p w:rsidR="00A31137" w:rsidRPr="00A31137" w:rsidRDefault="00A31137" w:rsidP="00A31137">
      <w:r w:rsidRPr="00A31137">
        <w:t>1980 Republican Platform, p.5</w:t>
      </w:r>
    </w:p>
    <w:p w:rsidR="00A31137" w:rsidRPr="00A31137" w:rsidRDefault="00A31137" w:rsidP="00A31137">
      <w:r w:rsidRPr="00A31137">
        <w:t>Poverty is defined not by income statistics alone, but by an individual's true situation and prospects. For two generations, especially since the mid–1960s, the Democrats have deliberately perpetuated a status of federally subsidized poverty and manipulated dependency for millions of Americans. This is especially so for blacks and Hispanics, many of whom remain pawns of the bureaucracy, trapped outside the social and economic mainstream of American life.</w:t>
      </w:r>
    </w:p>
    <w:p w:rsidR="00A31137" w:rsidRPr="00A31137" w:rsidRDefault="00A31137" w:rsidP="00A31137">
      <w:r w:rsidRPr="00A31137">
        <w:t>1980 Republican Platform, p.5</w:t>
      </w:r>
    </w:p>
    <w:p w:rsidR="00A31137" w:rsidRPr="00A31137" w:rsidRDefault="00A31137" w:rsidP="00A31137">
      <w:r w:rsidRPr="00A31137">
        <w:t>For those on welfare, our nation's tax policies provide a penalty for getting a job. This is especially so for those whose new income from a job is either equal to, or marginally greater than, the amount received on welfare. In these cases, due to taxes, the individual's earned income is actually less than welfare benefits. This is the "poverty trap" which will continue to hold millions of Americans as long as they continue to be punished for working.</w:t>
      </w:r>
    </w:p>
    <w:p w:rsidR="00A31137" w:rsidRPr="00A31137" w:rsidRDefault="00A31137" w:rsidP="00A31137">
      <w:r w:rsidRPr="00A31137">
        <w:t>1980 Republican Platform, p.5</w:t>
      </w:r>
    </w:p>
    <w:p w:rsidR="00A31137" w:rsidRPr="00A31137" w:rsidRDefault="00A31137" w:rsidP="00A31137">
      <w:r w:rsidRPr="00A31137">
        <w:t>The Carter Administration and the Democratic Party continue to foster that dependency. Our nation's welfare problems will not be solved merely by providing increased benefits. Public service jobs are not a substitute for employable skills, nor can increases in the food stamp program by themselves provide for individual dignity. By fostering dependency and discouraging self-reliance, the Democratic Party has created a welfare constituency dependent on its continual subsidies.</w:t>
      </w:r>
    </w:p>
    <w:p w:rsidR="00A31137" w:rsidRPr="00A31137" w:rsidRDefault="00A31137" w:rsidP="00A31137">
      <w:r w:rsidRPr="00A31137">
        <w:t>1980 Republican Platform, p.5</w:t>
      </w:r>
    </w:p>
    <w:p w:rsidR="00A31137" w:rsidRPr="00A31137" w:rsidRDefault="00A31137" w:rsidP="00A31137">
      <w:r w:rsidRPr="00A31137">
        <w:t>The Carter Administration has proposed, and its allies in the House of Representatives actually voted for, legislation to nationalize welfare, which would have cost additional billions and made millions more dependent ppp [p.6] upon public assistance. The Democrats have presided over—and must take the blame for—the most monstrous expansion and abuse of the food stamp program to date. They have been either unable or unwilling to attack the welfare fraud that diverts resources away from the truly poor. They have sacrificed the needy to the greedy, and sent the welfare bills to the taxpayers.</w:t>
      </w:r>
    </w:p>
    <w:p w:rsidR="00A31137" w:rsidRPr="00A31137" w:rsidRDefault="00A31137" w:rsidP="00A31137">
      <w:r w:rsidRPr="00A31137">
        <w:t>1980 Republican Platform, p.6</w:t>
      </w:r>
    </w:p>
    <w:p w:rsidR="00A31137" w:rsidRPr="00A31137" w:rsidRDefault="00A31137" w:rsidP="00A31137">
      <w:r w:rsidRPr="00A31137">
        <w:t>We categorically reject the notion of a guaranteed annual income, no matter how it may be disguised, which would destroy the fiber of our economy and doom the poor to perpetual dependence.</w:t>
      </w:r>
    </w:p>
    <w:p w:rsidR="00A31137" w:rsidRPr="00A31137" w:rsidRDefault="00A31137" w:rsidP="00A31137">
      <w:r w:rsidRPr="00A31137">
        <w:t>1980 Republican Platform, p.6</w:t>
      </w:r>
    </w:p>
    <w:p w:rsidR="00A31137" w:rsidRPr="00A31137" w:rsidRDefault="00A31137" w:rsidP="00A31137">
      <w:r w:rsidRPr="00A31137">
        <w:t>As a party we commit ourselves to a welfare policy that is truly reflective of our people's true sense of compassion and charity as well as an appreciation of every individual's need for dignity and self-respect. We pledge a system that will:</w:t>
      </w:r>
    </w:p>
    <w:p w:rsidR="00A31137" w:rsidRPr="00A31137" w:rsidRDefault="00A31137" w:rsidP="00A31137">
      <w:r w:rsidRPr="00A31137">
        <w:t>1980 Republican Platform, p.6</w:t>
      </w:r>
    </w:p>
    <w:p w:rsidR="00A31137" w:rsidRPr="00A31137" w:rsidRDefault="00A31137" w:rsidP="00A31137">
      <w:r w:rsidRPr="00A31137">
        <w:t>Provide adequate living standards for the truly needy;</w:t>
      </w:r>
    </w:p>
    <w:p w:rsidR="00A31137" w:rsidRPr="00A31137" w:rsidRDefault="00A31137" w:rsidP="00A31137">
      <w:r w:rsidRPr="00A31137">
        <w:t>1980 Republican Platform, p.6</w:t>
      </w:r>
    </w:p>
    <w:p w:rsidR="00A31137" w:rsidRPr="00A31137" w:rsidRDefault="00A31137" w:rsidP="00A31137">
      <w:r w:rsidRPr="00A31137">
        <w:t>End welfare fraud by removing ineligibles from the welfare rolls, tightening food stamp eligibility requirements, and ending aid to illegal aliens and the voluntarily unemployed;</w:t>
      </w:r>
    </w:p>
    <w:p w:rsidR="00A31137" w:rsidRPr="00A31137" w:rsidRDefault="00A31137" w:rsidP="00A31137">
      <w:r w:rsidRPr="00A31137">
        <w:t>1980 Republican Platform, p.6</w:t>
      </w:r>
    </w:p>
    <w:p w:rsidR="00A31137" w:rsidRPr="00A31137" w:rsidRDefault="00A31137" w:rsidP="00A31137">
      <w:r w:rsidRPr="00A31137">
        <w:t>Strengthen work incentives, particularly directed at the productive involvement of able-bodied persons in useful community work projects;</w:t>
      </w:r>
    </w:p>
    <w:p w:rsidR="00A31137" w:rsidRPr="00A31137" w:rsidRDefault="00A31137" w:rsidP="00A31137">
      <w:r w:rsidRPr="00A31137">
        <w:t>1980 Republican Platform, p.6</w:t>
      </w:r>
    </w:p>
    <w:p w:rsidR="00A31137" w:rsidRPr="00A31137" w:rsidRDefault="00A31137" w:rsidP="00A31137">
      <w:r w:rsidRPr="00A31137">
        <w:t>Provide educational and vocational incentives to allow recipients to become self-supporting; and</w:t>
      </w:r>
    </w:p>
    <w:p w:rsidR="00A31137" w:rsidRPr="00A31137" w:rsidRDefault="00A31137" w:rsidP="00A31137">
      <w:r w:rsidRPr="00A31137">
        <w:t>1980 Republican Platform, p.6</w:t>
      </w:r>
    </w:p>
    <w:p w:rsidR="00A31137" w:rsidRPr="00A31137" w:rsidRDefault="00A31137" w:rsidP="00A31137">
      <w:r w:rsidRPr="00A31137">
        <w:t>Better coordinate federal efforts with local and state social welfare agencies and strengthen local and state administrative functions.</w:t>
      </w:r>
    </w:p>
    <w:p w:rsidR="00A31137" w:rsidRPr="00A31137" w:rsidRDefault="00A31137" w:rsidP="00A31137">
      <w:r w:rsidRPr="00A31137">
        <w:t>1980 Republican Platform, p.6</w:t>
      </w:r>
    </w:p>
    <w:p w:rsidR="00A31137" w:rsidRPr="00A31137" w:rsidRDefault="00A31137" w:rsidP="00A31137">
      <w:r w:rsidRPr="00A31137">
        <w:t>We oppose federalizing the welfare system; local levels of government are most aware of the needs in their communities. We support a block grant program that will help return control of welfare programs to the states. Decisions about who gets welfare, and how much, can be better made on the local level.</w:t>
      </w:r>
    </w:p>
    <w:p w:rsidR="00A31137" w:rsidRPr="00A31137" w:rsidRDefault="00A31137" w:rsidP="00A31137">
      <w:r w:rsidRPr="00A31137">
        <w:t>1980 Republican Platform, p.6</w:t>
      </w:r>
    </w:p>
    <w:p w:rsidR="00A31137" w:rsidRPr="00A31137" w:rsidRDefault="00A31137" w:rsidP="00A31137">
      <w:r w:rsidRPr="00A31137">
        <w:t>Those features of the present law, particularly the food stamp program, that draw into assistance programs people who are capable of paying for their own needs should be corrected. The humanitarian purpose of such programs must not be corrupted by eligibility loopholes. Food stamp program reforms proposed by Republicans in Congress would accomplish the twin goals of directing resources to those most in need and streamlining administration.</w:t>
      </w:r>
    </w:p>
    <w:p w:rsidR="00A31137" w:rsidRPr="00A31137" w:rsidRDefault="00A31137" w:rsidP="00A31137">
      <w:r w:rsidRPr="00A31137">
        <w:t>1980 Republican Platform, p.6</w:t>
      </w:r>
    </w:p>
    <w:p w:rsidR="00A31137" w:rsidRPr="00A31137" w:rsidRDefault="00A31137" w:rsidP="00A31137">
      <w:r w:rsidRPr="00A31137">
        <w:t>Through long association with government programs, the word "welfare" has come to be perceived almost exclusively as tax-supported aid to the needy. But in its most inclusive sense—and as Americans understood it from the beginning of the Republic—such aid also encompasses those charitable works performed by private citizens, families, and social, ethnic, and religious organizations. Policies of the federal government leading to high taxes, rising inflation, and bureaucratic empire-building have made it difficult and often impossible for such individuals and groups to exercise their charitable instincts. We believe that government policies that fight inflation, reduce tax rates, and end bureaucratic excesses can help make private effort by the American people once again a major force in those works of charity which are the true signs of a progressive and humane society.</w:t>
      </w:r>
    </w:p>
    <w:p w:rsidR="00A31137" w:rsidRPr="00A31137" w:rsidRDefault="00A31137" w:rsidP="00A31137">
      <w:r w:rsidRPr="00A31137">
        <w:t>Veterans</w:t>
      </w:r>
    </w:p>
    <w:p w:rsidR="00A31137" w:rsidRPr="00A31137" w:rsidRDefault="00A31137" w:rsidP="00A31137">
      <w:r w:rsidRPr="00A31137">
        <w:t>1980 Republican Platform, p.6</w:t>
      </w:r>
    </w:p>
    <w:p w:rsidR="00A31137" w:rsidRPr="00A31137" w:rsidRDefault="00A31137" w:rsidP="00A31137">
      <w:r w:rsidRPr="00A31137">
        <w:t>Republicans recognize the very special sacrifice of those who have served in our nation's armed forces. Individual rights and societal values are only as strong as a nation's commitment to defend them. Because of this our country must never forget its appreciation of and obligation to our veterans.</w:t>
      </w:r>
    </w:p>
    <w:p w:rsidR="00A31137" w:rsidRPr="00A31137" w:rsidRDefault="00A31137" w:rsidP="00A31137">
      <w:r w:rsidRPr="00A31137">
        <w:t>1980 Republican Platform, p.6</w:t>
      </w:r>
    </w:p>
    <w:p w:rsidR="00A31137" w:rsidRPr="00A31137" w:rsidRDefault="00A31137" w:rsidP="00A31137">
      <w:r w:rsidRPr="00A31137">
        <w:t>Today the veteran population numbers 30 million. This is the largest veteran population in our nation's history. We recognize the major sacrifices they have made for their fellow Americans.</w:t>
      </w:r>
    </w:p>
    <w:p w:rsidR="00A31137" w:rsidRPr="00A31137" w:rsidRDefault="00A31137" w:rsidP="00A31137">
      <w:r w:rsidRPr="00A31137">
        <w:t>1980 Republican Platform, p.6</w:t>
      </w:r>
    </w:p>
    <w:p w:rsidR="00A31137" w:rsidRPr="00A31137" w:rsidRDefault="00A31137" w:rsidP="00A31137">
      <w:r w:rsidRPr="00A31137">
        <w:t>We will maintain the integrity of the Veterans Administration. We will seek to keep it separate and distinct from other federal agencies as the single agency for the administration of all veterans' programs. In particular we feel it is of vital importance to continue and expand the health-programs provided to veterans through the Veterans Administration hospitals. Here we see the need for increased access to care, especially for older veterans.</w:t>
      </w:r>
    </w:p>
    <w:p w:rsidR="00A31137" w:rsidRPr="00A31137" w:rsidRDefault="00A31137" w:rsidP="00A31137">
      <w:r w:rsidRPr="00A31137">
        <w:t>1980 Republican Platform, p.6</w:t>
      </w:r>
    </w:p>
    <w:p w:rsidR="00A31137" w:rsidRPr="00A31137" w:rsidRDefault="00A31137" w:rsidP="00A31137">
      <w:r w:rsidRPr="00A31137">
        <w:t>We further advocate continued and expanded health care for our Vietnam veterans and consider it vital for the Veterans Administration to continue its programs for the rehabilitation of the disabled as well as its job training efforts.</w:t>
      </w:r>
    </w:p>
    <w:p w:rsidR="00A31137" w:rsidRPr="00A31137" w:rsidRDefault="00A31137" w:rsidP="00A31137">
      <w:r w:rsidRPr="00A31137">
        <w:t>1980 Republican Platform, p.6</w:t>
      </w:r>
    </w:p>
    <w:p w:rsidR="00A31137" w:rsidRPr="00A31137" w:rsidRDefault="00A31137" w:rsidP="00A31137">
      <w:r w:rsidRPr="00A31137">
        <w:t>We are committed to providing timely and adequate adjustments in compensation for service-disabled veterans and the survivors of those who died as a result of their service. We are also committed to maintaining the pension program for those who have served during a period of war, for those who were disabled and impoverished, and for their widows and orphans.</w:t>
      </w:r>
    </w:p>
    <w:p w:rsidR="00A31137" w:rsidRPr="00A31137" w:rsidRDefault="00A31137" w:rsidP="00A31137">
      <w:r w:rsidRPr="00A31137">
        <w:t>1980 Republican Platform, p.6</w:t>
      </w:r>
    </w:p>
    <w:p w:rsidR="00A31137" w:rsidRPr="00A31137" w:rsidRDefault="00A31137" w:rsidP="00A31137">
      <w:r w:rsidRPr="00A31137">
        <w:t>We will support measures to provide for every veteran at death a final resting place for his remains in a national cemetery, and for costs of transportation thereto.</w:t>
      </w:r>
    </w:p>
    <w:p w:rsidR="00A31137" w:rsidRPr="00A31137" w:rsidRDefault="00A31137" w:rsidP="00A31137">
      <w:r w:rsidRPr="00A31137">
        <w:t>1980 Republican Platform, p.6</w:t>
      </w:r>
    </w:p>
    <w:p w:rsidR="00A31137" w:rsidRPr="00A31137" w:rsidRDefault="00A31137" w:rsidP="00A31137">
      <w:r w:rsidRPr="00A31137">
        <w:t>Veterans preference in federal employment in all departments and agencies will be continued and strictly enforced.</w:t>
      </w:r>
    </w:p>
    <w:p w:rsidR="00A31137" w:rsidRPr="00A31137" w:rsidRDefault="00A31137" w:rsidP="00A31137">
      <w:r w:rsidRPr="00A31137">
        <w:t>1980 Republican Platform, p.6</w:t>
      </w:r>
    </w:p>
    <w:p w:rsidR="00A31137" w:rsidRPr="00A31137" w:rsidRDefault="00A31137" w:rsidP="00A31137">
      <w:r w:rsidRPr="00A31137">
        <w:t>Retired military benefits deserve more than the cursory attention given them by a Department of Defense otherwise interested in on-going programs. We believe that such benefits should be administered by the Veterans Administration.</w:t>
      </w:r>
    </w:p>
    <w:p w:rsidR="00A31137" w:rsidRPr="00A31137" w:rsidRDefault="00A31137" w:rsidP="00A31137">
      <w:r w:rsidRPr="00A31137">
        <w:t>Private property</w:t>
      </w:r>
    </w:p>
    <w:p w:rsidR="00A31137" w:rsidRPr="00A31137" w:rsidRDefault="00A31137" w:rsidP="00A31137">
      <w:r w:rsidRPr="00A31137">
        <w:t>1980 Republican Platform, p.6</w:t>
      </w:r>
    </w:p>
    <w:p w:rsidR="00A31137" w:rsidRPr="00A31137" w:rsidRDefault="00A31137" w:rsidP="00A31137">
      <w:r w:rsidRPr="00A31137">
        <w:t>The widespread distribution of private property ownership is the cornerstone of American liberty. Without it neither our free enterprise system nor our republican form of government could long endure.</w:t>
      </w:r>
    </w:p>
    <w:p w:rsidR="00A31137" w:rsidRPr="00A31137" w:rsidRDefault="00A31137" w:rsidP="00A31137">
      <w:r w:rsidRPr="00A31137">
        <w:t>1980 Republican Platform, p.6</w:t>
      </w:r>
    </w:p>
    <w:p w:rsidR="00A31137" w:rsidRPr="00A31137" w:rsidRDefault="00A31137" w:rsidP="00A31137">
      <w:r w:rsidRPr="00A31137">
        <w:t>Under Democratic rule, the federal government has become an aggressive enemy of the human right to private property ownership. ppp [p.7] It has dissipated savings through depreciation of the dollar, enforced price controls on private exchange of goods, attempted to enforce severe land use controls, and mistreated hundreds of thousands of national park and forest inholders.</w:t>
      </w:r>
    </w:p>
    <w:p w:rsidR="00A31137" w:rsidRPr="00A31137" w:rsidRDefault="00A31137" w:rsidP="00A31137">
      <w:r w:rsidRPr="00A31137">
        <w:t>1980 Republican Platform, p.7</w:t>
      </w:r>
    </w:p>
    <w:p w:rsidR="00A31137" w:rsidRPr="00A31137" w:rsidRDefault="00A31137" w:rsidP="00A31137">
      <w:r w:rsidRPr="00A31137">
        <w:t>The next Republican Administration will reverse this baneful trend. It will not only protect the cherished human right of property ownership, but will also work to help millions of Americans—particularly those from disadvantaged groups—to share in the ownership of the wealth of their nation.</w:t>
      </w:r>
    </w:p>
    <w:p w:rsidR="00A31137" w:rsidRPr="00A31137" w:rsidRDefault="00A31137" w:rsidP="00A31137">
      <w:r w:rsidRPr="00A31137">
        <w:t>Transportation—Personal mobility</w:t>
      </w:r>
    </w:p>
    <w:p w:rsidR="00A31137" w:rsidRPr="00A31137" w:rsidRDefault="00A31137" w:rsidP="00A31137">
      <w:r w:rsidRPr="00A31137">
        <w:t>1980 Republican Platform, p.7</w:t>
      </w:r>
    </w:p>
    <w:p w:rsidR="00A31137" w:rsidRPr="00A31137" w:rsidRDefault="00A31137" w:rsidP="00A31137">
      <w:r w:rsidRPr="00A31137">
        <w:t>Americans enjoy greater personal mobility than any other people on earth, largely as a result of the availability of automobiles and our modern highway system. Republicans reject the elitist notion that Americans must be forced out of their cars. Instead, we vigorously support the right of personal mobility and freedom as exemplified by the automobile and our modern highway system. While recognizing the importance of fuel efficiency and alternate modes of transportation, we quickly acknowledge that for millions of Americans there is no substitute on the horizon for the automobile. We reaffirm our support for a healthy domestic automobile industry, complete with continued support for the highway trust fund, which is the fairest method yet devised for financing America's highway system.</w:t>
      </w:r>
    </w:p>
    <w:p w:rsidR="00A31137" w:rsidRPr="00A31137" w:rsidRDefault="00A31137" w:rsidP="00A31137">
      <w:r w:rsidRPr="00A31137">
        <w:t>1980 Republican Platform, p.7</w:t>
      </w:r>
    </w:p>
    <w:p w:rsidR="00A31137" w:rsidRPr="00A31137" w:rsidRDefault="00A31137" w:rsidP="00A31137">
      <w:r w:rsidRPr="00A31137">
        <w:t>Republicans recognize the need for further improvement in highway safety. Projections indicate that highway fatalities may exceed 60,000 per year in the coming decades. Republicans support accelerated cost-effective efforts to improve highway, automobile, and individual driver safety.</w:t>
      </w:r>
    </w:p>
    <w:p w:rsidR="00A31137" w:rsidRPr="00A31137" w:rsidRDefault="00A31137" w:rsidP="00A31137">
      <w:r w:rsidRPr="00A31137">
        <w:t>Privacy</w:t>
      </w:r>
    </w:p>
    <w:p w:rsidR="00A31137" w:rsidRPr="00A31137" w:rsidRDefault="00A31137" w:rsidP="00A31137">
      <w:r w:rsidRPr="00A31137">
        <w:t>1980 Republican Platform, p.7</w:t>
      </w:r>
    </w:p>
    <w:p w:rsidR="00A31137" w:rsidRPr="00A31137" w:rsidRDefault="00A31137" w:rsidP="00A31137">
      <w:r w:rsidRPr="00A31137">
        <w:t>The essence of freedom is the right of law-abiding individuals to life, liberty, and the pursuit of happiness without undue governmental intervention. Yet government in recent years, particularly at the federal level, has overwhelmed citizens with demands for personal information and has accumulated vast amounts of such data through the IRS, the Social Security Administration, the Bureau of the Census, and other agencies. Under certain limited circumstances, such information can serve legitimate societal interests, but there must be protection against abuse.</w:t>
      </w:r>
    </w:p>
    <w:p w:rsidR="00A31137" w:rsidRPr="00A31137" w:rsidRDefault="00A31137" w:rsidP="00A31137">
      <w:r w:rsidRPr="00A31137">
        <w:t>1980 Republican Platform, p.7</w:t>
      </w:r>
    </w:p>
    <w:p w:rsidR="00A31137" w:rsidRPr="00A31137" w:rsidRDefault="00A31137" w:rsidP="00A31137">
      <w:r w:rsidRPr="00A31137">
        <w:t>Republicans share the concerns of our citizens as to the nature, use, and final disposition of the volume of personal information being collected. We are alarmed by Washington's growing collection and dissemination of such data. There must be protection against its misuse or disclosure.</w:t>
      </w:r>
    </w:p>
    <w:p w:rsidR="00A31137" w:rsidRPr="00A31137" w:rsidRDefault="00A31137" w:rsidP="00A31137">
      <w:r w:rsidRPr="00A31137">
        <w:t>1980 Republican Platform, p.7</w:t>
      </w:r>
    </w:p>
    <w:p w:rsidR="00A31137" w:rsidRPr="00A31137" w:rsidRDefault="00A31137" w:rsidP="00A31137">
      <w:r w:rsidRPr="00A31137">
        <w:t>The Republican Party commits itself to guaranteeing an individual's right of privacy. We support efforts of state governments to ensure individual privacy.</w:t>
      </w:r>
    </w:p>
    <w:p w:rsidR="00A31137" w:rsidRPr="00A31137" w:rsidRDefault="00A31137" w:rsidP="00A31137">
      <w:r w:rsidRPr="00A31137">
        <w:t>Black Americans</w:t>
      </w:r>
    </w:p>
    <w:p w:rsidR="00A31137" w:rsidRPr="00A31137" w:rsidRDefault="00A31137" w:rsidP="00A31137">
      <w:r w:rsidRPr="00A31137">
        <w:t>1980 Republican Platform, p.7</w:t>
      </w:r>
    </w:p>
    <w:p w:rsidR="00A31137" w:rsidRPr="00A31137" w:rsidRDefault="00A31137" w:rsidP="00A31137">
      <w:r w:rsidRPr="00A31137">
        <w:t>For millions of black Americans, the past four years have been a long trail of broken promises and broken dreams. The Carter Administration entered office with a pledge to 'all minorities' of a brighter economic future. Today there are more black Americans unemployed than on the day Mr. Carter became President. The unemployment rate of black teenagers is once again rising sharply. And the median income of black families has declined to less than 60 percent of white family income.</w:t>
      </w:r>
    </w:p>
    <w:p w:rsidR="00A31137" w:rsidRPr="00A31137" w:rsidRDefault="00A31137" w:rsidP="00A31137">
      <w:r w:rsidRPr="00A31137">
        <w:t>1980 Republican Platform, p.7</w:t>
      </w:r>
    </w:p>
    <w:p w:rsidR="00A31137" w:rsidRPr="00A31137" w:rsidRDefault="00A31137" w:rsidP="00A31137">
      <w:r w:rsidRPr="00A31137">
        <w:t>Republicans will not make idle promises to blacks and other minorities; we are beyond the day when any American can live off rhetoric or political platitudes.</w:t>
      </w:r>
    </w:p>
    <w:p w:rsidR="00A31137" w:rsidRPr="00A31137" w:rsidRDefault="00A31137" w:rsidP="00A31137">
      <w:r w:rsidRPr="00A31137">
        <w:t>1980 Republican Platform, p.7</w:t>
      </w:r>
    </w:p>
    <w:p w:rsidR="00A31137" w:rsidRPr="00A31137" w:rsidRDefault="00A31137" w:rsidP="00A31137">
      <w:r w:rsidRPr="00A31137">
        <w:t>Our Party specifically rejects the philosophy of the Carter Administration that unemployment is the answer to inflation. We abhor the notion that our cities should become battlegrounds in the fight against inflation and that the jobs of black Americans should be sacrificed in an attempt to counterbalance the inflationary excess of government. Nor are we prepared to accept the practice of turning the poor into permanent wards of the state, trading their political support for continued financial assistance.</w:t>
      </w:r>
    </w:p>
    <w:p w:rsidR="00A31137" w:rsidRPr="00A31137" w:rsidRDefault="00A31137" w:rsidP="00A31137">
      <w:r w:rsidRPr="00A31137">
        <w:t>1980 Republican Platform, p.7</w:t>
      </w:r>
    </w:p>
    <w:p w:rsidR="00A31137" w:rsidRPr="00A31137" w:rsidRDefault="00A31137" w:rsidP="00A31137">
      <w:r w:rsidRPr="00A31137">
        <w:t>Our fundamental answer to the economic problems of black Americans is the same answer we make to all Americans—full employment without inflation through economic growth. First and foremost, we are committed to a policy of economic expansion through tax-rate reductions, spending restraint, regulatory reform, and other incentives.</w:t>
      </w:r>
    </w:p>
    <w:p w:rsidR="00A31137" w:rsidRPr="00A31137" w:rsidRDefault="00A31137" w:rsidP="00A31137">
      <w:r w:rsidRPr="00A31137">
        <w:t>1980 Republican Platform, p.7</w:t>
      </w:r>
    </w:p>
    <w:p w:rsidR="00A31137" w:rsidRPr="00A31137" w:rsidRDefault="00A31137" w:rsidP="00A31137">
      <w:r w:rsidRPr="00A31137">
        <w:t>As the Party of Lincoln, we remain equally and steadfastly committed to the equality of rights for all citizens, regardless of race. Although this nation has not yet eliminated all vestiges of racism over the years we are heartened by the progress that has been made, we are proud of the role that our Party has played, and we are dedicated to standing shoulder to shoulder with black Americans in that cause.</w:t>
      </w:r>
    </w:p>
    <w:p w:rsidR="00A31137" w:rsidRPr="00A31137" w:rsidRDefault="00A31137" w:rsidP="00A31137">
      <w:r w:rsidRPr="00A31137">
        <w:t>1980 Republican Platform, p.7</w:t>
      </w:r>
    </w:p>
    <w:p w:rsidR="00A31137" w:rsidRPr="00A31137" w:rsidRDefault="00A31137" w:rsidP="00A31137">
      <w:r w:rsidRPr="00A31137">
        <w:t>Elsewhere in this platform, we set forth a number of specific proposals that will also serve to improve the quality of life for blacks. During the next four years we are committed to policies that will:</w:t>
      </w:r>
    </w:p>
    <w:p w:rsidR="00A31137" w:rsidRPr="00A31137" w:rsidRDefault="00A31137" w:rsidP="00A31137">
      <w:r w:rsidRPr="00A31137">
        <w:t>1980 Republican Platform, p.7</w:t>
      </w:r>
    </w:p>
    <w:p w:rsidR="00A31137" w:rsidRPr="00A31137" w:rsidRDefault="00A31137" w:rsidP="00A31137">
      <w:r w:rsidRPr="00A31137">
        <w:t>Encourage local governments to designate specific enterprise zones within depressed areas that will promote new jobs, new and expanded businesses, and new economic vitality;</w:t>
      </w:r>
    </w:p>
    <w:p w:rsidR="00A31137" w:rsidRPr="00A31137" w:rsidRDefault="00A31137" w:rsidP="00A31137">
      <w:r w:rsidRPr="00A31137">
        <w:t>1980 Republican Platform, p.7</w:t>
      </w:r>
    </w:p>
    <w:p w:rsidR="00A31137" w:rsidRPr="00A31137" w:rsidRDefault="00A31137" w:rsidP="00A31137">
      <w:r w:rsidRPr="00A31137">
        <w:t>Open new opportunities for black men and women to begin small businesses of their own by, among other steps, removing excessive regulations, disincentives for venture capital, and other barriers erected by the government;</w:t>
      </w:r>
    </w:p>
    <w:p w:rsidR="00A31137" w:rsidRPr="00A31137" w:rsidRDefault="00A31137" w:rsidP="00A31137">
      <w:r w:rsidRPr="00A31137">
        <w:t>1980 Republican Platform, p.7</w:t>
      </w:r>
    </w:p>
    <w:p w:rsidR="00A31137" w:rsidRPr="00A31137" w:rsidRDefault="00A31137" w:rsidP="00A31137">
      <w:r w:rsidRPr="00A31137">
        <w:t>Bring strong, effective enforcement of federal civil rights statutes, especially those dealing with threats to physical safety and security which have recently been increasing; and</w:t>
      </w:r>
    </w:p>
    <w:p w:rsidR="00A31137" w:rsidRPr="00A31137" w:rsidRDefault="00A31137" w:rsidP="00A31137">
      <w:r w:rsidRPr="00A31137">
        <w:t>1980 Republican Platform, p.8</w:t>
      </w:r>
    </w:p>
    <w:p w:rsidR="00A31137" w:rsidRPr="00A31137" w:rsidRDefault="00A31137" w:rsidP="00A31137">
      <w:r w:rsidRPr="00A31137">
        <w:t>Ensure that the federal government follows a non-discriminatory system of ppp [p.8] appointments up and down the line, with a careful eye for qualified minority aspirants. Hispanic Americans</w:t>
      </w:r>
    </w:p>
    <w:p w:rsidR="00A31137" w:rsidRPr="00A31137" w:rsidRDefault="00A31137" w:rsidP="00A31137">
      <w:r w:rsidRPr="00A31137">
        <w:t>1980 Republican Platform, p.8</w:t>
      </w:r>
    </w:p>
    <w:p w:rsidR="00A31137" w:rsidRPr="00A31137" w:rsidRDefault="00A31137" w:rsidP="00A31137">
      <w:r w:rsidRPr="00A31137">
        <w:t>Hispanics are rapidly becoming the largest minority in the country and are one of the major pillars in our cultural, social, and economic life. Diverse in character, proud in heritage, they are greatly enriching the American melting pot.</w:t>
      </w:r>
    </w:p>
    <w:p w:rsidR="00A31137" w:rsidRPr="00A31137" w:rsidRDefault="00A31137" w:rsidP="00A31137">
      <w:r w:rsidRPr="00A31137">
        <w:t>1980 Republican Platform, p.8</w:t>
      </w:r>
    </w:p>
    <w:p w:rsidR="00A31137" w:rsidRPr="00A31137" w:rsidRDefault="00A31137" w:rsidP="00A31137">
      <w:r w:rsidRPr="00A31137">
        <w:t>Hispanics seek only the full rights of citizenship—in education, in law enforcement, in housing—and an equal opportunity to achieve economic security. Unfortunately, those desires have not always been fulfilled; as in so many other areas, the Carter Administration has been long on rhetoric and short on action in its approach to the Hispanic community.</w:t>
      </w:r>
    </w:p>
    <w:p w:rsidR="00A31137" w:rsidRPr="00A31137" w:rsidRDefault="00A31137" w:rsidP="00A31137">
      <w:r w:rsidRPr="00A31137">
        <w:t>1980 Republican Platform, p.8</w:t>
      </w:r>
    </w:p>
    <w:p w:rsidR="00A31137" w:rsidRPr="00A31137" w:rsidRDefault="00A31137" w:rsidP="00A31137">
      <w:r w:rsidRPr="00A31137">
        <w:t>We pledge to pursue policies that will help to make the opportunities of American life a reality for Hispanics. The economic policies enunciated in this platform will, we believe, create new jobs for Hispanic teenagers and adults and will also open up new business opportunities for them. We also believe there should be local educational programs which enable those who grew up learning another language such as Spanish to become proficient in English while also maintaining their own language and cultural heritage. Neither Hispanics nor any other American citizens should be barred from education or employment opportunities because English is not their first language.</w:t>
      </w:r>
    </w:p>
    <w:p w:rsidR="00A31137" w:rsidRPr="00A31137" w:rsidRDefault="00A31137" w:rsidP="00A31137">
      <w:r w:rsidRPr="00A31137">
        <w:t>The handicapped</w:t>
      </w:r>
    </w:p>
    <w:p w:rsidR="00A31137" w:rsidRPr="00A31137" w:rsidRDefault="00A31137" w:rsidP="00A31137">
      <w:r w:rsidRPr="00A31137">
        <w:t>1980 Republican Platform, p.8</w:t>
      </w:r>
    </w:p>
    <w:p w:rsidR="00A31137" w:rsidRPr="00A31137" w:rsidRDefault="00A31137" w:rsidP="00A31137">
      <w:r w:rsidRPr="00A31137">
        <w:t>The Republican Party strongly believes that handicapped persons must be admitted into the mainstream of American society. It endorses efforts to enable our handicapped population to enjoy a useful and productive life.</w:t>
      </w:r>
    </w:p>
    <w:p w:rsidR="00A31137" w:rsidRPr="00A31137" w:rsidRDefault="00A31137" w:rsidP="00A31137">
      <w:r w:rsidRPr="00A31137">
        <w:t>1980 Republican Platform, p.8</w:t>
      </w:r>
    </w:p>
    <w:p w:rsidR="00A31137" w:rsidRPr="00A31137" w:rsidRDefault="00A31137" w:rsidP="00A31137">
      <w:r w:rsidRPr="00A31137">
        <w:t>Too often in the past, barriers have been raised to their education, employment, transportation, health care, housing, recreation, and insurance. We support a concerted national effort to eliminate discrimination in all these areas. Specifically we support tax incentives for the removal of architectural and transportation barriers. We pledge continued efforts to improve communications for the handicapped and to promote a healthy, constructive attitude toward them in our society.</w:t>
      </w:r>
    </w:p>
    <w:p w:rsidR="00A31137" w:rsidRPr="00A31137" w:rsidRDefault="00A31137" w:rsidP="00A31137">
      <w:r w:rsidRPr="00A31137">
        <w:t>Women's rights</w:t>
      </w:r>
    </w:p>
    <w:p w:rsidR="00A31137" w:rsidRPr="00A31137" w:rsidRDefault="00A31137" w:rsidP="00A31137">
      <w:r w:rsidRPr="00A31137">
        <w:t>1980 Republican Platform, p.8</w:t>
      </w:r>
    </w:p>
    <w:p w:rsidR="00A31137" w:rsidRPr="00A31137" w:rsidRDefault="00A31137" w:rsidP="00A31137">
      <w:r w:rsidRPr="00A31137">
        <w:t>We acknowledge the legitimate efforts of those who support or oppose ratification of the Equal Rights Amendment.</w:t>
      </w:r>
    </w:p>
    <w:p w:rsidR="00A31137" w:rsidRPr="00A31137" w:rsidRDefault="00A31137" w:rsidP="00A31137">
      <w:r w:rsidRPr="00A31137">
        <w:t>1980 Republican Platform, p.8</w:t>
      </w:r>
    </w:p>
    <w:p w:rsidR="00A31137" w:rsidRPr="00A31137" w:rsidRDefault="00A31137" w:rsidP="00A31137">
      <w:r w:rsidRPr="00A31137">
        <w:t>We reaffirm our Party's historic commitment to equal rights and equality for women.</w:t>
      </w:r>
    </w:p>
    <w:p w:rsidR="00A31137" w:rsidRPr="00A31137" w:rsidRDefault="00A31137" w:rsidP="00A31137">
      <w:r w:rsidRPr="00A31137">
        <w:t>1980 Republican Platform, p.8</w:t>
      </w:r>
    </w:p>
    <w:p w:rsidR="00A31137" w:rsidRPr="00A31137" w:rsidRDefault="00A31137" w:rsidP="00A31137">
      <w:r w:rsidRPr="00A31137">
        <w:t>We support equal rights and equal opportunities for women, without taking away traditional rights of women such as exemption from the military draft. We support the enforcement of all equal opportunity laws and urge the elimination of discrimination against women. We oppose any move which would give the federal government more power over families.</w:t>
      </w:r>
    </w:p>
    <w:p w:rsidR="00A31137" w:rsidRPr="00A31137" w:rsidRDefault="00A31137" w:rsidP="00A31137">
      <w:r w:rsidRPr="00A31137">
        <w:t>1980 Republican Platform, p.8</w:t>
      </w:r>
    </w:p>
    <w:p w:rsidR="00A31137" w:rsidRPr="00A31137" w:rsidRDefault="00A31137" w:rsidP="00A31137">
      <w:r w:rsidRPr="00A31137">
        <w:t>Ratification of the Equal Rights Amendment is now in the hands of state legislatures, and the issues of the time extension and rescission are in the courts. The states have a constitutional right to accept or reject a constitutional amendment without federal interference or pressure. At the direction of the White House, federal departments launched pressure against states which refused to ratify ERA. Regardless of one's position on ERA, we demand that this practice cease.</w:t>
      </w:r>
    </w:p>
    <w:p w:rsidR="00A31137" w:rsidRPr="00A31137" w:rsidRDefault="00A31137" w:rsidP="00A31137">
      <w:r w:rsidRPr="00A31137">
        <w:t>1980 Republican Platform, p.8</w:t>
      </w:r>
    </w:p>
    <w:p w:rsidR="00A31137" w:rsidRPr="00A31137" w:rsidRDefault="00A31137" w:rsidP="00A31137">
      <w:r w:rsidRPr="00A31137">
        <w:t>At this time, women of America comprise 53 percent of the population and over 42 percent of the work force. By 1990, we anticipate that 51 percent of the population will be women, and there will be approximately 57 million in the work force. Therefore, the following urgent problems must be resolved.</w:t>
      </w:r>
    </w:p>
    <w:p w:rsidR="00A31137" w:rsidRPr="00A31137" w:rsidRDefault="00A31137" w:rsidP="00A31137">
      <w:r w:rsidRPr="00A31137">
        <w:t>1980 Republican Platform, p.8</w:t>
      </w:r>
    </w:p>
    <w:p w:rsidR="00A31137" w:rsidRPr="00A31137" w:rsidRDefault="00A31137" w:rsidP="00A31137">
      <w:r w:rsidRPr="00A31137">
        <w:t>Total integration of the work force (not separate but equal) is necessary to bring women equality in pay;</w:t>
      </w:r>
    </w:p>
    <w:p w:rsidR="00A31137" w:rsidRPr="00A31137" w:rsidRDefault="00A31137" w:rsidP="00A31137">
      <w:r w:rsidRPr="00A31137">
        <w:t>1980 Republican Platform, p.8</w:t>
      </w:r>
    </w:p>
    <w:p w:rsidR="00A31137" w:rsidRPr="00A31137" w:rsidRDefault="00A31137" w:rsidP="00A31137">
      <w:r w:rsidRPr="00A31137">
        <w:t>Girls and young women must be given improved early career counseling and job training to widen the opportunities for them in the world of work;</w:t>
      </w:r>
    </w:p>
    <w:p w:rsidR="00A31137" w:rsidRPr="00A31137" w:rsidRDefault="00A31137" w:rsidP="00A31137">
      <w:r w:rsidRPr="00A31137">
        <w:t>1980 Republican Platform, p.8</w:t>
      </w:r>
    </w:p>
    <w:p w:rsidR="00A31137" w:rsidRPr="00A31137" w:rsidRDefault="00A31137" w:rsidP="00A31137">
      <w:r w:rsidRPr="00A31137">
        <w:t>Women's worth in the society and in the jobs they hold, at home or in the workplace, must be re-evaluated to improve the conditions of women workers concentrated in low-status, low-paying jobs;</w:t>
      </w:r>
    </w:p>
    <w:p w:rsidR="00A31137" w:rsidRPr="00A31137" w:rsidRDefault="00A31137" w:rsidP="00A31137">
      <w:r w:rsidRPr="00A31137">
        <w:t>1980 Republican Platform, p.8</w:t>
      </w:r>
    </w:p>
    <w:p w:rsidR="00A31137" w:rsidRPr="00A31137" w:rsidRDefault="00A31137" w:rsidP="00A31137">
      <w:r w:rsidRPr="00A31137">
        <w:t>Equal opportunity for credit and other assistance must be assured to women in small businesses; and</w:t>
      </w:r>
    </w:p>
    <w:p w:rsidR="00A31137" w:rsidRPr="00A31137" w:rsidRDefault="00A31137" w:rsidP="00A31137">
      <w:r w:rsidRPr="00A31137">
        <w:t>1980 Republican Platform, p.8</w:t>
      </w:r>
    </w:p>
    <w:p w:rsidR="00A31137" w:rsidRPr="00A31137" w:rsidRDefault="00A31137" w:rsidP="00A31137">
      <w:r w:rsidRPr="00A31137">
        <w:t>One of the most critical problems in our nation today is that of inadequate child care for the working mother. As champions of the free enterprise system, of the individual, and of the idea that the best solutions to most problems rest at the community level, Republicans must find ways to meet this, the working woman's need. The scope of this problem is fully realized only when it is understood that many female heads of households are at the poverty level and that they have a very large percentage of the nation's children.</w:t>
      </w:r>
    </w:p>
    <w:p w:rsidR="00A31137" w:rsidRPr="00A31137" w:rsidRDefault="00A31137" w:rsidP="00A31137">
      <w:r w:rsidRPr="00A31137">
        <w:t>1980 Republican Platform, p.8</w:t>
      </w:r>
    </w:p>
    <w:p w:rsidR="00A31137" w:rsidRPr="00A31137" w:rsidRDefault="00A31137" w:rsidP="00A31137">
      <w:r w:rsidRPr="00A31137">
        <w:t>The important secret about old age in America today is that it is primarily a woman's issue, and those over 65 are the fastest growing segment of the population. With current population trends, by the year 2020, 15.5 percent of our population will be over 65; by 2035, women in this age group will outnumber men by 13 million.</w:t>
      </w:r>
    </w:p>
    <w:p w:rsidR="00A31137" w:rsidRPr="00A31137" w:rsidRDefault="00A31137" w:rsidP="00A31137">
      <w:r w:rsidRPr="00A31137">
        <w:t>1980 Republican Platform, p.8</w:t>
      </w:r>
    </w:p>
    <w:p w:rsidR="00A31137" w:rsidRPr="00A31137" w:rsidRDefault="00A31137" w:rsidP="00A31137">
      <w:r w:rsidRPr="00A31137">
        <w:t>In 1980, 42 percent of women between 55 and 64 are in the work force. Half of the six million elderly women who live alone have incomes of $3,700 or less, and black women in that category have a median income of $2,600. How do they survive with the present rate of inflation? The lower salaries they earned as working women are now reflected in lower retirement benefits, if they have any at all. The Social Security system is still biased against women, and non-existent pension plans combine with that to produce a [p.9] bereft elderly woman. The Republican Party must not and will not let this continue.</w:t>
      </w:r>
    </w:p>
    <w:p w:rsidR="00A31137" w:rsidRPr="00A31137" w:rsidRDefault="00A31137" w:rsidP="00A31137">
      <w:r w:rsidRPr="00A31137">
        <w:t>1980 Republican Platform, p.9</w:t>
      </w:r>
    </w:p>
    <w:p w:rsidR="00A31137" w:rsidRPr="00A31137" w:rsidRDefault="00A31137" w:rsidP="00A31137">
      <w:r w:rsidRPr="00A31137">
        <w:t>We reaffirm our belief in the traditional role and values of the family in our society. The damage being done today to the family takes its greatest toll on the woman. Whether it be through divorce, widowhood, economic problems, or the suffering of children, the impact is greatest on women. The importance of support for the mother and homemaker in maintaining the values of this country cannot be over-emphasized.</w:t>
      </w:r>
    </w:p>
    <w:p w:rsidR="00A31137" w:rsidRPr="00A31137" w:rsidRDefault="00A31137" w:rsidP="00A31137">
      <w:r w:rsidRPr="00A31137">
        <w:t>1980 Republican Platform, p.9</w:t>
      </w:r>
    </w:p>
    <w:p w:rsidR="00A31137" w:rsidRPr="00A31137" w:rsidRDefault="00A31137" w:rsidP="00A31137">
      <w:r w:rsidRPr="00A31137">
        <w:t>In other sections of this platform, we call for greater equity in the tax treatment of working spouses. We deplore this marriage tax which penalizes married two-worker families. We call for a reduction in the estate tax burden, which creates hardships for widows and minor children. We also pledge to address any remaining inequities in the treatment of women under the Social Security system.</w:t>
      </w:r>
    </w:p>
    <w:p w:rsidR="00A31137" w:rsidRPr="00A31137" w:rsidRDefault="00A31137" w:rsidP="00A31137">
      <w:r w:rsidRPr="00A31137">
        <w:t>1980 Republican Platform, p.9</w:t>
      </w:r>
    </w:p>
    <w:p w:rsidR="00A31137" w:rsidRPr="00A31137" w:rsidRDefault="00A31137" w:rsidP="00A31137">
      <w:r w:rsidRPr="00A31137">
        <w:t>Women know better than anyone the decline in the quality of life that is occurring in America today. The peril to the United States and especially to women must be stressed. Women understand domestic, consumer, and economic issues more deeply because they usually manage the households and have the responsibility for them. With this responsibility must also come greater opportunity for the achievement and total equality toward solution of problems.</w:t>
      </w:r>
    </w:p>
    <w:p w:rsidR="00A31137" w:rsidRPr="00A31137" w:rsidRDefault="00A31137" w:rsidP="00A31137">
      <w:r w:rsidRPr="00A31137">
        <w:t>Equal rights</w:t>
      </w:r>
    </w:p>
    <w:p w:rsidR="00A31137" w:rsidRPr="00A31137" w:rsidRDefault="00A31137" w:rsidP="00A31137">
      <w:r w:rsidRPr="00A31137">
        <w:t>1980 Republican Platform, p.9</w:t>
      </w:r>
    </w:p>
    <w:p w:rsidR="00A31137" w:rsidRPr="00A31137" w:rsidRDefault="00A31137" w:rsidP="00A31137">
      <w:r w:rsidRPr="00A31137">
        <w:t>The truths we hold and the values we share affirm that no individual should be victimized by unfair discrimination because of race, sex, advanced age, physical handicap, difference of national origin or religion, or economic circumstance. However, equal opportunity should not be jeopardized by bureaucratic regulations and decisions which rely on quotas, ratios, and numerical requirements to exclude some individuals in favor of others, thereby rendering such regulations and decisions inherently discriminatory.</w:t>
      </w:r>
    </w:p>
    <w:p w:rsidR="00A31137" w:rsidRPr="00A31137" w:rsidRDefault="00A31137" w:rsidP="00A31137">
      <w:r w:rsidRPr="00A31137">
        <w:t>1980 Republican Platform, p.9</w:t>
      </w:r>
    </w:p>
    <w:p w:rsidR="00A31137" w:rsidRPr="00A31137" w:rsidRDefault="00A31137" w:rsidP="00A31137">
      <w:r w:rsidRPr="00A31137">
        <w:t>We pledge vigorous enforcement of laws to assure equal treatment in job recruitment, hiring, promotion, pay, credit, mortgage access, and housing.</w:t>
      </w:r>
    </w:p>
    <w:p w:rsidR="00A31137" w:rsidRPr="00A31137" w:rsidRDefault="00A31137" w:rsidP="00A31137">
      <w:r w:rsidRPr="00A31137">
        <w:t>1980 Republican Platform, p.9</w:t>
      </w:r>
    </w:p>
    <w:p w:rsidR="00A31137" w:rsidRPr="00A31137" w:rsidRDefault="00A31137" w:rsidP="00A31137">
      <w:r w:rsidRPr="00A31137">
        <w:t>Millions of Americans who trace their heritage to the nations of Eastern, Central, and Southern Europe have for too long seen their values neglected. The time has come to go beyond the ritual election year praise given to Ethnic Americans. We must make them an integral part of government. We must make recognition of their values an integral part of government policy. The Republican Party will take positive steps to see to it that these Americans, along with others too long neglected, have the opportunity to share the power, as well as the burdens of our society. The came holds true of our Asian-American citizens from the cultures of the Orient.</w:t>
      </w:r>
    </w:p>
    <w:p w:rsidR="00A31137" w:rsidRPr="00A31137" w:rsidRDefault="00A31137" w:rsidP="00A31137">
      <w:r w:rsidRPr="00A31137">
        <w:t>1980 Republican Platform, p.9</w:t>
      </w:r>
    </w:p>
    <w:p w:rsidR="00A31137" w:rsidRPr="00A31137" w:rsidRDefault="00A31137" w:rsidP="00A31137">
      <w:r w:rsidRPr="00A31137">
        <w:t>As a party we also recognize our commitment to Native Americans. We pledge to continue to honor our trusted relationship with them and we reaffirm our federal policy of self-determination. We support the assumption by Indians, Aleuts, and Eskimos themselves of the decisions and planning which will affect their lives and the end of undue federal influence on those plans and decisions.</w:t>
      </w:r>
    </w:p>
    <w:p w:rsidR="00A31137" w:rsidRPr="00A31137" w:rsidRDefault="00A31137" w:rsidP="00A31137">
      <w:r w:rsidRPr="00A31137">
        <w:t>1980 Republican Platform, p.9</w:t>
      </w:r>
    </w:p>
    <w:p w:rsidR="00A31137" w:rsidRPr="00A31137" w:rsidRDefault="00A31137" w:rsidP="00A31137">
      <w:r w:rsidRPr="00A31137">
        <w:t>Puerto Rico has been a territory of the United States since 1898. The Republican Party vigorously supports the right of the United States citizens of Puerto Rico to be admitted into the Union as a fully sovereign state after they freely so determine. We believe that the statehood alternative is the only logical solution to the problem of inequality of the United States citizens of Puerto Rico within the framework of the federal Constitution, with full recognition within the concept of a multicultural society of the citizens' right to retain their Spanish language and traditions. Therefore we pledge to support the enactment of the necessary legislation to allow the people of Puerto Rico to exercise their right to apply for admission into the Union at the earliest possible date after the presidential election of 1980.</w:t>
      </w:r>
    </w:p>
    <w:p w:rsidR="00A31137" w:rsidRPr="00A31137" w:rsidRDefault="00A31137" w:rsidP="00A31137">
      <w:r w:rsidRPr="00A31137">
        <w:t>1980 Republican Platform, p.9</w:t>
      </w:r>
    </w:p>
    <w:p w:rsidR="00A31137" w:rsidRPr="00A31137" w:rsidRDefault="00A31137" w:rsidP="00A31137">
      <w:r w:rsidRPr="00A31137">
        <w:t>We also pledge that such decision of the people of Puerto Rico will be implemented through the approval of an admission bill. This bill will provide for the Island's smooth transition from its territorial fiscal system to that of a member of the Union. This enactment will enable the new state of Puerto Rico to stand economically on an equal footing with the rest of the states and to assume gradually its fiscal responsibilities as a state.</w:t>
      </w:r>
    </w:p>
    <w:p w:rsidR="00A31137" w:rsidRPr="00A31137" w:rsidRDefault="00A31137" w:rsidP="00A31137">
      <w:r w:rsidRPr="00A31137">
        <w:t>1980 Republican Platform, p.9</w:t>
      </w:r>
    </w:p>
    <w:p w:rsidR="00A31137" w:rsidRPr="00A31137" w:rsidRDefault="00A31137" w:rsidP="00A31137">
      <w:r w:rsidRPr="00A31137">
        <w:t>We continue to favor whatever action may be necessary to permit American citizens resident in the United States territories of the Virgin Islands and Guam to vote for President and Vice President in national elections.</w:t>
      </w:r>
    </w:p>
    <w:p w:rsidR="00A31137" w:rsidRPr="00A31137" w:rsidRDefault="00A31137" w:rsidP="00A31137">
      <w:r w:rsidRPr="00A31137">
        <w:t>Abortion</w:t>
      </w:r>
    </w:p>
    <w:p w:rsidR="00A31137" w:rsidRPr="00A31137" w:rsidRDefault="00A31137" w:rsidP="00A31137">
      <w:r w:rsidRPr="00A31137">
        <w:t>1980 Republican Platform, p.9</w:t>
      </w:r>
    </w:p>
    <w:p w:rsidR="00A31137" w:rsidRPr="00A31137" w:rsidRDefault="00A31137" w:rsidP="00A31137">
      <w:r w:rsidRPr="00A31137">
        <w:t>There can be no doubt that the question of abortion, despite the complex nature of its various issues, is ultimately concerned with equality of rights under the law. While we recognize differing views on this question among Americans in general—and in our own Party—we affirm our support of a constitutional amendment to restore protection of the right to life for unborn children. We also support the Congressional efforts to restrict the use of taxpayers' dollars for abortion.</w:t>
      </w:r>
    </w:p>
    <w:p w:rsidR="00A31137" w:rsidRPr="00A31137" w:rsidRDefault="00A31137" w:rsidP="00A31137">
      <w:r w:rsidRPr="00A31137">
        <w:t>1980 Republican Platform, p.9</w:t>
      </w:r>
    </w:p>
    <w:p w:rsidR="00A31137" w:rsidRPr="00A31137" w:rsidRDefault="00A31137" w:rsidP="00A31137">
      <w:r w:rsidRPr="00A31137">
        <w:t>We protest the Supreme Court's intrusion into the family structure through its denial of the parent's obligation and right to guide their minor children.</w:t>
      </w:r>
    </w:p>
    <w:p w:rsidR="00A31137" w:rsidRPr="00A31137" w:rsidRDefault="00A31137" w:rsidP="00A31137">
      <w:r w:rsidRPr="00A31137">
        <w:t>Strong Families</w:t>
      </w:r>
    </w:p>
    <w:p w:rsidR="00A31137" w:rsidRPr="00A31137" w:rsidRDefault="00A31137" w:rsidP="00A31137">
      <w:r w:rsidRPr="00A31137">
        <w:t>1980 Republican Platform, p.9</w:t>
      </w:r>
    </w:p>
    <w:p w:rsidR="00A31137" w:rsidRPr="00A31137" w:rsidRDefault="00A31137" w:rsidP="00A31137">
      <w:r w:rsidRPr="00A31137">
        <w:t>The family is the foundation of our social order. It is the school of democracy. Its daily lessons—cooperation, tolerance, mutual concern, responsibility, industry—are fundamental to the order and progress of our Republic. But the Democrats have shunted the family aside. They have given its power to the bureaucracy, its jurisdiction to the [p.10] courts, and its resources to government grantors. For the first time in our history, there is real concern that the family may not survive.</w:t>
      </w:r>
    </w:p>
    <w:p w:rsidR="00A31137" w:rsidRPr="00A31137" w:rsidRDefault="00A31137" w:rsidP="00A31137">
      <w:r w:rsidRPr="00A31137">
        <w:t>1980 Republican Platform, p.10</w:t>
      </w:r>
    </w:p>
    <w:p w:rsidR="00A31137" w:rsidRPr="00A31137" w:rsidRDefault="00A31137" w:rsidP="00A31137">
      <w:r w:rsidRPr="00A31137">
        <w:t>Government may be strong enough to destroy families, but it can never replace them.</w:t>
      </w:r>
    </w:p>
    <w:p w:rsidR="00A31137" w:rsidRPr="00A31137" w:rsidRDefault="00A31137" w:rsidP="00A31137">
      <w:r w:rsidRPr="00A31137">
        <w:t>1980 Republican Platform, p.10</w:t>
      </w:r>
    </w:p>
    <w:p w:rsidR="00A31137" w:rsidRPr="00A31137" w:rsidRDefault="00A31137" w:rsidP="00A31137">
      <w:r w:rsidRPr="00A31137">
        <w:t>Unlike the Democrats, we do not advocate new federal bureaucracies with ominous power to shape a national family order. Rather, we insist that all domestic policies, from child care and schooling to Social Security and the tax code, must be formulated with the family in mind.</w:t>
      </w:r>
    </w:p>
    <w:p w:rsidR="00A31137" w:rsidRPr="00A31137" w:rsidRDefault="00A31137" w:rsidP="00A31137">
      <w:r w:rsidRPr="00A31137">
        <w:t>Education</w:t>
      </w:r>
    </w:p>
    <w:p w:rsidR="00A31137" w:rsidRPr="00A31137" w:rsidRDefault="00A31137" w:rsidP="00A31137">
      <w:r w:rsidRPr="00A31137">
        <w:t>1980 Republican Platform, p.10</w:t>
      </w:r>
    </w:p>
    <w:p w:rsidR="00A31137" w:rsidRPr="00A31137" w:rsidRDefault="00A31137" w:rsidP="00A31137">
      <w:r w:rsidRPr="00A31137">
        <w:t>Next to religious training and the home, education is the most important means by which families hand down to each new generation their ideals and beliefs. It is a pillar of a free society. But today, parents are losing control of their children's schooling. The Democratic Congress and its counterparts in many states have launched one fad after another, building huge new bureaucracies to misspend our taxes. The result has been a shocking drop in student performance, lack of basics in the classroom, forced busing, teacher strikes, manipulative and sometimes amoral indoctrination.</w:t>
      </w:r>
    </w:p>
    <w:p w:rsidR="00A31137" w:rsidRPr="00A31137" w:rsidRDefault="00A31137" w:rsidP="00A31137">
      <w:r w:rsidRPr="00A31137">
        <w:t>1980 Republican Platform, p.10</w:t>
      </w:r>
    </w:p>
    <w:p w:rsidR="00A31137" w:rsidRPr="00A31137" w:rsidRDefault="00A31137" w:rsidP="00A31137">
      <w:r w:rsidRPr="00A31137">
        <w:t>The Republican Party is determined to restore common sense and quality to education for the sake of all students, especially those for whom learning is the highway to equal opportunity. Because federal assistance should help local school districts, not tie them up in red tape, we will strive to replace the crazy quilt of wasteful programs with a system of block grants that will restore decisionmaking to local officials responsible to voters and parents. We recognize the need to preserve, within the structure of block grants, special educational opportunities for the handicapped, the disadvantaged, and other needy students attending public and private nonprofit elementary and secondary schools.</w:t>
      </w:r>
    </w:p>
    <w:p w:rsidR="00A31137" w:rsidRPr="00A31137" w:rsidRDefault="00A31137" w:rsidP="00A31137">
      <w:r w:rsidRPr="00A31137">
        <w:t>1980 Republican Platform, p.10</w:t>
      </w:r>
    </w:p>
    <w:p w:rsidR="00A31137" w:rsidRPr="00A31137" w:rsidRDefault="00A31137" w:rsidP="00A31137">
      <w:r w:rsidRPr="00A31137">
        <w:t>We hail the teachers of America. Their dedication to our children is often taken for granted, and they are frequently underpaid for long hours and selfless service, especially in comparison with other public employees.</w:t>
      </w:r>
    </w:p>
    <w:p w:rsidR="00A31137" w:rsidRPr="00A31137" w:rsidRDefault="00A31137" w:rsidP="00A31137">
      <w:r w:rsidRPr="00A31137">
        <w:t>1980 Republican Platform, p.10</w:t>
      </w:r>
    </w:p>
    <w:p w:rsidR="00A31137" w:rsidRPr="00A31137" w:rsidRDefault="00A31137" w:rsidP="00A31137">
      <w:r w:rsidRPr="00A31137">
        <w:t>We understand and sympathize with the plight of America's public school teachers, who so frequently find their time and attention diverted from their teaching responsibilities to the task of complying with federal reporting requirements. America has a great stake in maintaining standards of high quality in public education. The Republican Party recognizes that the achievement of those standards is possible only to the extent that teachers are allowed the time and freedom to teach. To that end, the Republican Party supports deregulation by the federal government of public education, and encourages the elimination of the federal Department of Education.</w:t>
      </w:r>
    </w:p>
    <w:p w:rsidR="00A31137" w:rsidRPr="00A31137" w:rsidRDefault="00A31137" w:rsidP="00A31137">
      <w:r w:rsidRPr="00A31137">
        <w:t>1980 Republican Platform, p.10</w:t>
      </w:r>
    </w:p>
    <w:p w:rsidR="00A31137" w:rsidRPr="00A31137" w:rsidRDefault="00A31137" w:rsidP="00A31137">
      <w:r w:rsidRPr="00A31137">
        <w:t>We further sympathize with the right of qualified teachers to be employed by any school district wishing to hire them, without the necessity of their becoming enrolled with any bargaining agency or group. We oppose any federal action, including any action on the part of the Department of Education, to establish "agency shops" in public schools.</w:t>
      </w:r>
    </w:p>
    <w:p w:rsidR="00A31137" w:rsidRPr="00A31137" w:rsidRDefault="00A31137" w:rsidP="00A31137">
      <w:r w:rsidRPr="00A31137">
        <w:t>1980 Republican Platform, p.10</w:t>
      </w:r>
    </w:p>
    <w:p w:rsidR="00A31137" w:rsidRPr="00A31137" w:rsidRDefault="00A31137" w:rsidP="00A31137">
      <w:r w:rsidRPr="00A31137">
        <w:t>We support Republican initiatives in the Congress to restore the right of individuals to participate in voluntary, non-denominational prayer in schools and other public facilities.</w:t>
      </w:r>
    </w:p>
    <w:p w:rsidR="00A31137" w:rsidRPr="00A31137" w:rsidRDefault="00A31137" w:rsidP="00A31137">
      <w:r w:rsidRPr="00A31137">
        <w:t>1980 Republican Platform, p.10</w:t>
      </w:r>
    </w:p>
    <w:p w:rsidR="00A31137" w:rsidRPr="00A31137" w:rsidRDefault="00A31137" w:rsidP="00A31137">
      <w:r w:rsidRPr="00A31137">
        <w:t>Our goal is quality education for all of America's children, with a special commitment to those who must overcome handicap, deprivation, or discrimination. That is why we condemn the forced busing of school children to achieve arbitrary racial quotas. Busing has been a prescription for disaster, blighting whole communities across the land with its divisive impact. It has failed to improve the quality of education, while diverting funds from programs that could make the difference between success and failure for the poor, the disabled, and minority children.</w:t>
      </w:r>
    </w:p>
    <w:p w:rsidR="00A31137" w:rsidRPr="00A31137" w:rsidRDefault="00A31137" w:rsidP="00A31137">
      <w:r w:rsidRPr="00A31137">
        <w:t>1980 Republican Platform, p.10</w:t>
      </w:r>
    </w:p>
    <w:p w:rsidR="00A31137" w:rsidRPr="00A31137" w:rsidRDefault="00A31137" w:rsidP="00A31137">
      <w:r w:rsidRPr="00A31137">
        <w:t>We must halt forced busing and get on with the education of all our children, focusing on the real causes of their problems, especially lack of economic opportunity.</w:t>
      </w:r>
    </w:p>
    <w:p w:rsidR="00A31137" w:rsidRPr="00A31137" w:rsidRDefault="00A31137" w:rsidP="00A31137">
      <w:r w:rsidRPr="00A31137">
        <w:t>1980 Republican Platform, p.10</w:t>
      </w:r>
    </w:p>
    <w:p w:rsidR="00A31137" w:rsidRPr="00A31137" w:rsidRDefault="00A31137" w:rsidP="00A31137">
      <w:r w:rsidRPr="00A31137">
        <w:t>Federal education policy must be based on the primacy of parental rights and responsibility. Toward that end, we reaffirm our support for a system of educational assistance based on tax credits that will in part compensate parents for their financial sacrifices in paying tuition at the elementary, secondary, and post-secondary level. This is a matter of fairness, especially for low-income families, most of whom would be free for the first time to choose for their children those schools which best correspond to their own cultural and moral values. In this way, the schools will be strengthened by the families' involvement, and the families' strengths will be reinforced by supportive cultural institutions.</w:t>
      </w:r>
    </w:p>
    <w:p w:rsidR="00A31137" w:rsidRPr="00A31137" w:rsidRDefault="00A31137" w:rsidP="00A31137">
      <w:r w:rsidRPr="00A31137">
        <w:t>1980 Republican Platform, p.10</w:t>
      </w:r>
    </w:p>
    <w:p w:rsidR="00A31137" w:rsidRPr="00A31137" w:rsidRDefault="00A31137" w:rsidP="00A31137">
      <w:r w:rsidRPr="00A31137">
        <w:t>We are dismayed that the Carter Administration cruelly reneged on promises made during the 1976 campaign. Wielding the threat of his veto, Mr. Carter led the fight against Republican attempts to make tuition tax credits a reality.</w:t>
      </w:r>
    </w:p>
    <w:p w:rsidR="00A31137" w:rsidRPr="00A31137" w:rsidRDefault="00A31137" w:rsidP="00A31137">
      <w:r w:rsidRPr="00A31137">
        <w:t>1980 Republican Platform, p.10</w:t>
      </w:r>
    </w:p>
    <w:p w:rsidR="00A31137" w:rsidRPr="00A31137" w:rsidRDefault="00A31137" w:rsidP="00A31137">
      <w:r w:rsidRPr="00A31137">
        <w:t>Next year, a Republican White House will assist, not sabotage, Congressional efforts to enact tuition tax relief into law.</w:t>
      </w:r>
    </w:p>
    <w:p w:rsidR="00A31137" w:rsidRPr="00A31137" w:rsidRDefault="00A31137" w:rsidP="00A31137">
      <w:r w:rsidRPr="00A31137">
        <w:t>1980 Republican Platform, p.10</w:t>
      </w:r>
    </w:p>
    <w:p w:rsidR="00A31137" w:rsidRPr="00A31137" w:rsidRDefault="00A31137" w:rsidP="00A31137">
      <w:r w:rsidRPr="00A31137">
        <w:t>We will halt the unconstitutional regulatory vendetta launched by Mr. Carter's IRS Commissioner against independent schools.</w:t>
      </w:r>
    </w:p>
    <w:p w:rsidR="00A31137" w:rsidRPr="00A31137" w:rsidRDefault="00A31137" w:rsidP="00A31137">
      <w:r w:rsidRPr="00A31137">
        <w:t>1980 Republican Platform, p.10</w:t>
      </w:r>
    </w:p>
    <w:p w:rsidR="00A31137" w:rsidRPr="00A31137" w:rsidRDefault="00A31137" w:rsidP="00A31137">
      <w:r w:rsidRPr="00A31137">
        <w:t>We will hold the federal bureaucracy accountable for its harassment of colleges and universities and will clear away the tangle of regulation that has unconscionably driven up their expenses and tuitions. We will respect the rights of state and local authorities in the management of their school systems.</w:t>
      </w:r>
    </w:p>
    <w:p w:rsidR="00A31137" w:rsidRPr="00A31137" w:rsidRDefault="00A31137" w:rsidP="00A31137">
      <w:r w:rsidRPr="00A31137">
        <w:t>1980 Republican Platform, p.10</w:t>
      </w:r>
    </w:p>
    <w:p w:rsidR="00A31137" w:rsidRPr="00A31137" w:rsidRDefault="00A31137" w:rsidP="00A31137">
      <w:r w:rsidRPr="00A31137">
        <w:t xml:space="preserve">The commitment of the American people to provide educational opportunities for all has resulted in a tremendous expansion of schools at all levels. And the more we reduce the federal proportion of taxation, the more resources will be left to sustain and develop state and local institutions.[p.11] </w:t>
      </w:r>
    </w:p>
    <w:p w:rsidR="00A31137" w:rsidRPr="00A31137" w:rsidRDefault="00A31137" w:rsidP="00A31137">
      <w:r w:rsidRPr="00A31137">
        <w:t>Health</w:t>
      </w:r>
    </w:p>
    <w:p w:rsidR="00A31137" w:rsidRPr="00A31137" w:rsidRDefault="00A31137" w:rsidP="00A31137">
      <w:r w:rsidRPr="00A31137">
        <w:t>1980 Republican Platform, p.11</w:t>
      </w:r>
    </w:p>
    <w:p w:rsidR="00A31137" w:rsidRPr="00A31137" w:rsidRDefault="00A31137" w:rsidP="00A31137">
      <w:r w:rsidRPr="00A31137">
        <w:t>Our country's unequalled system of medical care, bringing greater benefits to more people than anywhere else on earth, is a splendid example of how Americans have taken care of their own needs with private institutions.</w:t>
      </w:r>
    </w:p>
    <w:p w:rsidR="00A31137" w:rsidRPr="00A31137" w:rsidRDefault="00A31137" w:rsidP="00A31137">
      <w:r w:rsidRPr="00A31137">
        <w:t>1980 Republican Platform, p.11</w:t>
      </w:r>
    </w:p>
    <w:p w:rsidR="00A31137" w:rsidRPr="00A31137" w:rsidRDefault="00A31137" w:rsidP="00A31137">
      <w:r w:rsidRPr="00A31137">
        <w:t>Significant as these achievements are, we must not be complacent. Health care costs continue to rise, farther and faster than they should, and threaten to spiral beyond the reach of many families. The causes are the Democratic Congress' inflationary spending and excessive and expensive regulations.</w:t>
      </w:r>
    </w:p>
    <w:p w:rsidR="00A31137" w:rsidRPr="00A31137" w:rsidRDefault="00A31137" w:rsidP="00A31137">
      <w:r w:rsidRPr="00A31137">
        <w:t>1980 Republican Platform, p.11</w:t>
      </w:r>
    </w:p>
    <w:p w:rsidR="00A31137" w:rsidRPr="00A31137" w:rsidRDefault="00A31137" w:rsidP="00A31137">
      <w:r w:rsidRPr="00A31137">
        <w:t>Republicans unequivocally oppose socialized medicine, in whatever guise it is presented by the Democratic Party. We reject the creation of a national health service and all proposals for compulsory national health insurance.</w:t>
      </w:r>
    </w:p>
    <w:p w:rsidR="00A31137" w:rsidRPr="00A31137" w:rsidRDefault="00A31137" w:rsidP="00A31137">
      <w:r w:rsidRPr="00A31137">
        <w:t>1980 Republican Platform, p.11</w:t>
      </w:r>
    </w:p>
    <w:p w:rsidR="00A31137" w:rsidRPr="00A31137" w:rsidRDefault="00A31137" w:rsidP="00A31137">
      <w:r w:rsidRPr="00A31137">
        <w:t>Our country has made spectacular gains in health care in recent decades. Most families are now covered by private insurance, Medicare, or in the case of the poor, the entirely free services under Medicaid.</w:t>
      </w:r>
    </w:p>
    <w:p w:rsidR="00A31137" w:rsidRPr="00A31137" w:rsidRDefault="00A31137" w:rsidP="00A31137">
      <w:r w:rsidRPr="00A31137">
        <w:t>1980 Republican Platform, p.11</w:t>
      </w:r>
    </w:p>
    <w:p w:rsidR="00A31137" w:rsidRPr="00A31137" w:rsidRDefault="00A31137" w:rsidP="00A31137">
      <w:r w:rsidRPr="00A31137">
        <w:t>Republicans recognize that many health care problems can be solved if government will work closely with the private sector to find remedies that will enhance our current system of excellent care. We applaud, as an example, the voluntary effort which has been undertaken by our nation's hospitals to control costs. The results have been encouraging. More remains to be done.</w:t>
      </w:r>
    </w:p>
    <w:p w:rsidR="00A31137" w:rsidRPr="00A31137" w:rsidRDefault="00A31137" w:rsidP="00A31137">
      <w:r w:rsidRPr="00A31137">
        <w:t>1980 Republican Platform, p.11</w:t>
      </w:r>
    </w:p>
    <w:p w:rsidR="00A31137" w:rsidRPr="00A31137" w:rsidRDefault="00A31137" w:rsidP="00A31137">
      <w:r w:rsidRPr="00A31137">
        <w:t>What ails American medicine is government meddling and the strait-jacket of federal programs. The prescription for good health care is deregulation and an emphasis upon consumer rights and patient choice.</w:t>
      </w:r>
    </w:p>
    <w:p w:rsidR="00A31137" w:rsidRPr="00A31137" w:rsidRDefault="00A31137" w:rsidP="00A31137">
      <w:r w:rsidRPr="00A31137">
        <w:t>1980 Republican Platform, p.11</w:t>
      </w:r>
    </w:p>
    <w:p w:rsidR="00A31137" w:rsidRPr="00A31137" w:rsidRDefault="00A31137" w:rsidP="00A31137">
      <w:r w:rsidRPr="00A31137">
        <w:t>As consumers of health care, individual Americans and their families should be able to make their own choices about health care protection. We propose to assist them in so doing through tax and financial incentives. These could enable them to choose their own health coverage, including protection from the catastrophic costs of major long-term illness, without compulsory regimentation.</w:t>
      </w:r>
    </w:p>
    <w:p w:rsidR="00A31137" w:rsidRPr="00A31137" w:rsidRDefault="00A31137" w:rsidP="00A31137">
      <w:r w:rsidRPr="00A31137">
        <w:t>1980 Republican Platform, p.11</w:t>
      </w:r>
    </w:p>
    <w:p w:rsidR="00A31137" w:rsidRPr="00A31137" w:rsidRDefault="00A31137" w:rsidP="00A31137">
      <w:r w:rsidRPr="00A31137">
        <w:t>Americans should be protected against financial disaster brought on by medical expenses. We recognize both the need to provide assistance in many cases and the responsibility of citizens to provide for their own needs. By using tax incentives and reforming federal medical assistance programs, government and the private sector can jointly develop compassionate and innovative means to provide financial relief when it is most needed.</w:t>
      </w:r>
    </w:p>
    <w:p w:rsidR="00A31137" w:rsidRPr="00A31137" w:rsidRDefault="00A31137" w:rsidP="00A31137">
      <w:r w:rsidRPr="00A31137">
        <w:t>1980 Republican Platform, p.11</w:t>
      </w:r>
    </w:p>
    <w:p w:rsidR="00A31137" w:rsidRPr="00A31137" w:rsidRDefault="00A31137" w:rsidP="00A31137">
      <w:r w:rsidRPr="00A31137">
        <w:t>We endorse alternatives to institutional care. Not only is it costly but it also separates individuals from the supportive environment of family and friends. This is especially important for the elderly and those requiring long-term care. We advocate the reform of Medicare to encourage home-based care whenever feasible. In addition, we encourage the development of innovative alternate health care delivery systems and other out-patient services at the local level.</w:t>
      </w:r>
    </w:p>
    <w:p w:rsidR="00A31137" w:rsidRPr="00A31137" w:rsidRDefault="00A31137" w:rsidP="00A31137">
      <w:r w:rsidRPr="00A31137">
        <w:t>1980 Republican Platform, p.11</w:t>
      </w:r>
    </w:p>
    <w:p w:rsidR="00A31137" w:rsidRPr="00A31137" w:rsidRDefault="00A31137" w:rsidP="00A31137">
      <w:r w:rsidRPr="00A31137">
        <w:t>We must maintain our commitment to the aged and to the poor by providing quality care through Medicare and Medicaid. These programs need the careful, detailed reevaluation they have never received from the Democrats, who have characteristically neglected their financial stability. We believe that the needs of those who depend upon these programs, particularly the elderly, can be better served, especially when a Republican Administration cracks down on fraud and abuse so that program monies can be directed toward those truly in need. In the case of Medicaid, we will aid the states in restoring its financial integrity and its local direction.</w:t>
      </w:r>
    </w:p>
    <w:p w:rsidR="00A31137" w:rsidRPr="00A31137" w:rsidRDefault="00A31137" w:rsidP="00A31137">
      <w:r w:rsidRPr="00A31137">
        <w:t>1980 Republican Platform, p.11</w:t>
      </w:r>
    </w:p>
    <w:p w:rsidR="00A31137" w:rsidRPr="00A31137" w:rsidRDefault="00A31137" w:rsidP="00A31137">
      <w:r w:rsidRPr="00A31137">
        <w:t>We welcome the long-overdue emphasis on preventive health care and physical fitness that is making Americans more aware than ever of their personal responsibility for good health. Today's enthusiasm and emphasis on staying well holds the promise of dramatically improved health and well-being in the decades ahead. Additionally, health professionals, as well as individuals, have long recognized that preventing illness or injury is much less expensive than treating it. Therefore, preventive medicine combined with good personal health habits and health education, can make a major impact on the cost of health care. Employers and employees, unions and business associations, families, schools, and neighborhood groups all have important parts in what is becoming a national crusade for better living.</w:t>
      </w:r>
    </w:p>
    <w:p w:rsidR="00A31137" w:rsidRPr="00A31137" w:rsidRDefault="00A31137" w:rsidP="00A31137">
      <w:r w:rsidRPr="00A31137">
        <w:t>Youth</w:t>
      </w:r>
    </w:p>
    <w:p w:rsidR="00A31137" w:rsidRPr="00A31137" w:rsidRDefault="00A31137" w:rsidP="00A31137">
      <w:r w:rsidRPr="00A31137">
        <w:t>1980 Republican Platform, p.11</w:t>
      </w:r>
    </w:p>
    <w:p w:rsidR="00A31137" w:rsidRPr="00A31137" w:rsidRDefault="00A31137" w:rsidP="00A31137">
      <w:r w:rsidRPr="00A31137">
        <w:t>The Republican Party recognizes that young people want the opportunity to exercise the rights and responsibilities of adults.</w:t>
      </w:r>
    </w:p>
    <w:p w:rsidR="00A31137" w:rsidRPr="00A31137" w:rsidRDefault="00A31137" w:rsidP="00A31137">
      <w:r w:rsidRPr="00A31137">
        <w:t>1980 Republican Platform, p.11</w:t>
      </w:r>
    </w:p>
    <w:p w:rsidR="00A31137" w:rsidRPr="00A31137" w:rsidRDefault="00A31137" w:rsidP="00A31137">
      <w:r w:rsidRPr="00A31137">
        <w:t>The Republican agenda for making educational and employment opportunities available to our youth has been addressed in detail in other sections of this platform.</w:t>
      </w:r>
    </w:p>
    <w:p w:rsidR="00A31137" w:rsidRPr="00A31137" w:rsidRDefault="00A31137" w:rsidP="00A31137">
      <w:r w:rsidRPr="00A31137">
        <w:t>1980 Republican Platform, p.11</w:t>
      </w:r>
    </w:p>
    <w:p w:rsidR="00A31137" w:rsidRPr="00A31137" w:rsidRDefault="00A31137" w:rsidP="00A31137">
      <w:r w:rsidRPr="00A31137">
        <w:t>Republicans are committed to the enactment of a youth differential in the minimum wage and other vitally needed incentives for the creation of jobs for our young.</w:t>
      </w:r>
    </w:p>
    <w:p w:rsidR="00A31137" w:rsidRPr="00A31137" w:rsidRDefault="00A31137" w:rsidP="00A31137">
      <w:r w:rsidRPr="00A31137">
        <w:t>1980 Republican Platform, p.11</w:t>
      </w:r>
    </w:p>
    <w:p w:rsidR="00A31137" w:rsidRPr="00A31137" w:rsidRDefault="00A31137" w:rsidP="00A31137">
      <w:r w:rsidRPr="00A31137">
        <w:t>In addition, we reaffirm our commitment to broaden the involvement of young people in all phases of the political process—as voters, party workers and leaders, candidates and elected officials, and participants in government at all levels.</w:t>
      </w:r>
    </w:p>
    <w:p w:rsidR="00A31137" w:rsidRPr="00A31137" w:rsidRDefault="00A31137" w:rsidP="00A31137">
      <w:r w:rsidRPr="00A31137">
        <w:t>1980 Republican Platform, p.11</w:t>
      </w:r>
    </w:p>
    <w:p w:rsidR="00A31137" w:rsidRPr="00A31137" w:rsidRDefault="00A31137" w:rsidP="00A31137">
      <w:r w:rsidRPr="00A31137">
        <w:t>We pledge, as we have elsewhere in this platform, efforts to create an environment which will enable our nation's youth:</w:t>
      </w:r>
    </w:p>
    <w:p w:rsidR="00A31137" w:rsidRPr="00A31137" w:rsidRDefault="00A31137" w:rsidP="00A31137">
      <w:r w:rsidRPr="00A31137">
        <w:t>1980 Republican Platform, p.11</w:t>
      </w:r>
    </w:p>
    <w:p w:rsidR="00A31137" w:rsidRPr="00A31137" w:rsidRDefault="00A31137" w:rsidP="00A31137">
      <w:r w:rsidRPr="00A31137">
        <w:t>To live in a society which is safe and free;</w:t>
      </w:r>
    </w:p>
    <w:p w:rsidR="00A31137" w:rsidRPr="00A31137" w:rsidRDefault="00A31137" w:rsidP="00A31137">
      <w:r w:rsidRPr="00A31137">
        <w:t>1980 Republican Platform, p.11</w:t>
      </w:r>
    </w:p>
    <w:p w:rsidR="00A31137" w:rsidRPr="00A31137" w:rsidRDefault="00A31137" w:rsidP="00A31137">
      <w:r w:rsidRPr="00A31137">
        <w:t>To pursue personal, educational, and vocational goals to the utmost of their abilities;</w:t>
      </w:r>
    </w:p>
    <w:p w:rsidR="00A31137" w:rsidRPr="00A31137" w:rsidRDefault="00A31137" w:rsidP="00A31137">
      <w:r w:rsidRPr="00A31137">
        <w:t>1980 Republican Platform, p.11</w:t>
      </w:r>
    </w:p>
    <w:p w:rsidR="00A31137" w:rsidRPr="00A31137" w:rsidRDefault="00A31137" w:rsidP="00A31137">
      <w:r w:rsidRPr="00A31137">
        <w:t>To experience the support, encouragement, and strength that come from maintenance of the family and its values; and</w:t>
      </w:r>
    </w:p>
    <w:p w:rsidR="00A31137" w:rsidRPr="00A31137" w:rsidRDefault="00A31137" w:rsidP="00A31137">
      <w:r w:rsidRPr="00A31137">
        <w:t>1980 Republican Platform, p.11</w:t>
      </w:r>
    </w:p>
    <w:p w:rsidR="00A31137" w:rsidRPr="00A31137" w:rsidRDefault="00A31137" w:rsidP="00A31137">
      <w:r w:rsidRPr="00A31137">
        <w:t xml:space="preserve">To know the stimulus of challenge, renewal through encouragement, provision of opportunities, and the growth that comes from responsible participation in numerous aspects of our society.[p.12] </w:t>
      </w:r>
    </w:p>
    <w:p w:rsidR="00A31137" w:rsidRPr="00A31137" w:rsidRDefault="00A31137" w:rsidP="00A31137">
      <w:r w:rsidRPr="00A31137">
        <w:t>Older Americans</w:t>
      </w:r>
    </w:p>
    <w:p w:rsidR="00A31137" w:rsidRPr="00A31137" w:rsidRDefault="00A31137" w:rsidP="00A31137">
      <w:r w:rsidRPr="00A31137">
        <w:t>1980 Republican Platform, p.12</w:t>
      </w:r>
    </w:p>
    <w:p w:rsidR="00A31137" w:rsidRPr="00A31137" w:rsidRDefault="00A31137" w:rsidP="00A31137">
      <w:r w:rsidRPr="00A31137">
        <w:t>Inflation is called "the cruellest tax." It strikes most cruelly at the elderly, especially those on fixed incomes. It strikes viciously at the sick and the infirm, and those who are alone in the world.</w:t>
      </w:r>
    </w:p>
    <w:p w:rsidR="00A31137" w:rsidRPr="00A31137" w:rsidRDefault="00A31137" w:rsidP="00A31137">
      <w:r w:rsidRPr="00A31137">
        <w:t>1980 Republican Platform, p.12</w:t>
      </w:r>
    </w:p>
    <w:p w:rsidR="00A31137" w:rsidRPr="00A31137" w:rsidRDefault="00A31137" w:rsidP="00A31137">
      <w:r w:rsidRPr="00A31137">
        <w:t>Inflation has robbed our elderly of dignity and security. An entire generation of responsible and productive citizens who toiled and saved a full working life to build up a retirement nest egg now finds that it cannot survive on its savings. Today's inflation rates dwarf yesterday's interest rates, and the pensions and annuities of our elderly citizens cannot keep up with the rising cost of living. Millions of once-proud and independent elderly Americans face a future of welfare dependency and despair.</w:t>
      </w:r>
    </w:p>
    <w:p w:rsidR="00A31137" w:rsidRPr="00A31137" w:rsidRDefault="00A31137" w:rsidP="00A31137">
      <w:r w:rsidRPr="00A31137">
        <w:t>1980 Republican Platform, p.12</w:t>
      </w:r>
    </w:p>
    <w:p w:rsidR="00A31137" w:rsidRPr="00A31137" w:rsidRDefault="00A31137" w:rsidP="00A31137">
      <w:r w:rsidRPr="00A31137">
        <w:t>We propose to assist families, and individuals of all ages, to meet the needs of the elderly, primarily through vigorous private initiative. Only a comprehensive reduction in tax rates will enable families to save for retirement income, and to protect that income from ravaging inflation. Only new tax exemptions and incentives can make it possible for many families to afford to care for their older members at home.</w:t>
      </w:r>
    </w:p>
    <w:p w:rsidR="00A31137" w:rsidRPr="00A31137" w:rsidRDefault="00A31137" w:rsidP="00A31137">
      <w:r w:rsidRPr="00A31137">
        <w:t>1980 Republican Platform, p.12</w:t>
      </w:r>
    </w:p>
    <w:p w:rsidR="00A31137" w:rsidRPr="00A31137" w:rsidRDefault="00A31137" w:rsidP="00A31137">
      <w:r w:rsidRPr="00A31137">
        <w:t>Present laws can create obstacles to older Americans' remaining in the family home. Federal programs for the elderly, such as Medicare and Supplemental Security Income, must address, humanely and generously, the special circumstances of those who choose to stay with thir families rather than enter a nursing home or other institution.</w:t>
      </w:r>
    </w:p>
    <w:p w:rsidR="00A31137" w:rsidRPr="00A31137" w:rsidRDefault="00A31137" w:rsidP="00A31137">
      <w:r w:rsidRPr="00A31137">
        <w:t>1980 Republican Platform, p.12</w:t>
      </w:r>
    </w:p>
    <w:p w:rsidR="00A31137" w:rsidRPr="00A31137" w:rsidRDefault="00A31137" w:rsidP="00A31137">
      <w:r w:rsidRPr="00A31137">
        <w:t>Social Security is one of this nation's most vital commitments to our senior citizens. We commit the Republican Party to first save, and then strengthen, this fundamental contract between our government and its productive citizens.</w:t>
      </w:r>
    </w:p>
    <w:p w:rsidR="00A31137" w:rsidRPr="00A31137" w:rsidRDefault="00A31137" w:rsidP="00A31137">
      <w:r w:rsidRPr="00A31137">
        <w:t>1980 Republican Platform, p.12</w:t>
      </w:r>
    </w:p>
    <w:p w:rsidR="00A31137" w:rsidRPr="00A31137" w:rsidRDefault="00A31137" w:rsidP="00A31137">
      <w:r w:rsidRPr="00A31137">
        <w:t>Republicans consider older Americans a community asset, not a national problem. We are committed to using the sadly wasted talents of the aged throughout our society, which sorely needs their experience and wisdom. To that end, and as a matter of basic fairness, we proudly reaffirm our opposition to mandatory retirement and our long-standing Republican commitment to end the Democrats' limitation on earnings for elderly Social Security recipients. In addition, the Republican Party is strongly opposed to the taxation of Social Security benefits and we pledge to oppose any attempts to tax these benefits.</w:t>
      </w:r>
    </w:p>
    <w:p w:rsidR="00A31137" w:rsidRPr="00A31137" w:rsidRDefault="00A31137" w:rsidP="00A31137">
      <w:r w:rsidRPr="00A31137">
        <w:t>1980 Republican Platform, p.12</w:t>
      </w:r>
    </w:p>
    <w:p w:rsidR="00A31137" w:rsidRPr="00A31137" w:rsidRDefault="00A31137" w:rsidP="00A31137">
      <w:r w:rsidRPr="00A31137">
        <w:t>Republicans have resisted Democratic electioneering schemes to spend away the Social Security trust funds for political purposes. Now the bill has come due, and the workers of America are staggering under their new tax burdens. This must stop.</w:t>
      </w:r>
    </w:p>
    <w:p w:rsidR="00A31137" w:rsidRPr="00A31137" w:rsidRDefault="00A31137" w:rsidP="00A31137">
      <w:r w:rsidRPr="00A31137">
        <w:t>1980 Republican Platform, p.12</w:t>
      </w:r>
    </w:p>
    <w:p w:rsidR="00A31137" w:rsidRPr="00A31137" w:rsidRDefault="00A31137" w:rsidP="00A31137">
      <w:r w:rsidRPr="00A31137">
        <w:t>Precisely because Social Security is a precious lifeline for millions of the elderly, orphaned, and disabled, we insist that its financing be sound and stable. We will preserve Social Security for its original purpose.</w:t>
      </w:r>
    </w:p>
    <w:p w:rsidR="00A31137" w:rsidRPr="00A31137" w:rsidRDefault="00A31137" w:rsidP="00A31137">
      <w:r w:rsidRPr="00A31137">
        <w:t>1980 Republican Platform, p.12</w:t>
      </w:r>
    </w:p>
    <w:p w:rsidR="00A31137" w:rsidRPr="00A31137" w:rsidRDefault="00A31137" w:rsidP="00A31137">
      <w:r w:rsidRPr="00A31137">
        <w:t>The problems of Social Security financing are only an aspect of the overriding problems of the economy which Democratic mismanagement has produced. There is but one answer, the comprehensive tax rate reduction to which Republicans are committed. To save Social Security, we have no choice but to redirect our economy toward growth. To meet this country's commitments to Social Security recipients, present and future, we need more people at work, earning more money, thereby paying more into the trust funds. That same growth can balance the federal budget with lower taxes, over time reducing inflation, which falls so cruelly on senior citizens whose income is fixed by the size of their public or private pension.</w:t>
      </w:r>
    </w:p>
    <w:p w:rsidR="00A31137" w:rsidRPr="00A31137" w:rsidRDefault="00A31137" w:rsidP="00A31137">
      <w:r w:rsidRPr="00A31137">
        <w:t>1980 Republican Platform, p.12</w:t>
      </w:r>
    </w:p>
    <w:p w:rsidR="00A31137" w:rsidRPr="00A31137" w:rsidRDefault="00A31137" w:rsidP="00A31137">
      <w:r w:rsidRPr="00A31137">
        <w:t>We pledge to clean up the much-abused disability system. We will also expand eligibility for Individual Retirement Accounts to enable more persons to plan for their retirement years.</w:t>
      </w:r>
    </w:p>
    <w:p w:rsidR="00A31137" w:rsidRPr="00A31137" w:rsidRDefault="00A31137" w:rsidP="00A31137">
      <w:r w:rsidRPr="00A31137">
        <w:t>The Welfare System</w:t>
      </w:r>
    </w:p>
    <w:p w:rsidR="00A31137" w:rsidRPr="00A31137" w:rsidRDefault="00A31137" w:rsidP="00A31137">
      <w:r w:rsidRPr="00A31137">
        <w:t>1980 Republican Platform, p.12</w:t>
      </w:r>
    </w:p>
    <w:p w:rsidR="00A31137" w:rsidRPr="00A31137" w:rsidRDefault="00A31137" w:rsidP="00A31137">
      <w:r w:rsidRPr="00A31137">
        <w:t>The Republican agenda for welfare reform has been discussed in a previous section, but we think it important to stress that central to it is the preservation of the families the system is designed to serve. The current system does not do this. Neither would guaranteed annual income schemes. By supplanting parental responsibility and by denying children parental guidance and economic support, they encourage and reward the fragmentation of families. This is unconscionable. The values and strengths of the family provide a vital element in breaking the bonds of poverty.</w:t>
      </w:r>
    </w:p>
    <w:p w:rsidR="00A31137" w:rsidRPr="00A31137" w:rsidRDefault="00A31137" w:rsidP="00A31137">
      <w:r w:rsidRPr="00A31137">
        <w:t>1980 Republican Platform, p.12</w:t>
      </w:r>
    </w:p>
    <w:p w:rsidR="00A31137" w:rsidRPr="00A31137" w:rsidRDefault="00A31137" w:rsidP="00A31137">
      <w:r w:rsidRPr="00A31137">
        <w:t>Ultimately, the Republican Party supports the orderly, wholesale transfer of all welfare functions to the states along with the tax sources to finance them.</w:t>
      </w:r>
    </w:p>
    <w:p w:rsidR="00A31137" w:rsidRPr="00A31137" w:rsidRDefault="00A31137" w:rsidP="00A31137">
      <w:r w:rsidRPr="00A31137">
        <w:t>The Family Economy</w:t>
      </w:r>
    </w:p>
    <w:p w:rsidR="00A31137" w:rsidRPr="00A31137" w:rsidRDefault="00A31137" w:rsidP="00A31137">
      <w:r w:rsidRPr="00A31137">
        <w:t>1980 Republican Platform, p.12</w:t>
      </w:r>
    </w:p>
    <w:p w:rsidR="00A31137" w:rsidRPr="00A31137" w:rsidRDefault="00A31137" w:rsidP="00A31137">
      <w:r w:rsidRPr="00A31137">
        <w:t>It is increasingly common for both husbands and wives to work outside the home. Often, it occurs out of economic necessity, and it creates major difficulties for families with children, especially those of pre-school age. On one hand, they are striving to improve the economic well-being of their family; on the other, they are concerned about the physical and emotional well-being of their children. This dilemma is further aggravated in instances of single parenthood due to death or divorce.</w:t>
      </w:r>
    </w:p>
    <w:p w:rsidR="00A31137" w:rsidRPr="00A31137" w:rsidRDefault="00A31137" w:rsidP="00A31137">
      <w:r w:rsidRPr="00A31137">
        <w:t>1980 Republican Platform, p.12</w:t>
      </w:r>
    </w:p>
    <w:p w:rsidR="00A31137" w:rsidRPr="00A31137" w:rsidRDefault="00A31137" w:rsidP="00A31137">
      <w:r w:rsidRPr="00A31137">
        <w:t>Recognizing these problems, we pledge to increase the availability of non-institutional child care. We see a special role for local, private organizations in meeting this need.</w:t>
      </w:r>
    </w:p>
    <w:p w:rsidR="00A31137" w:rsidRPr="00A31137" w:rsidRDefault="00A31137" w:rsidP="00A31137">
      <w:r w:rsidRPr="00A31137">
        <w:t>1980 Republican Platform, p.12</w:t>
      </w:r>
    </w:p>
    <w:p w:rsidR="00A31137" w:rsidRPr="00A31137" w:rsidRDefault="00A31137" w:rsidP="00A31137">
      <w:r w:rsidRPr="00A31137">
        <w:t>We disapprove of the bias in the federal tax system against working spouses, whose combined incomes are taxed at a proportionately higher rate than if they were single. We deplore this "marriage tax" and call for equity in the tax treatment of families.</w:t>
      </w:r>
    </w:p>
    <w:p w:rsidR="00A31137" w:rsidRPr="00A31137" w:rsidRDefault="00A31137" w:rsidP="00A31137">
      <w:r w:rsidRPr="00A31137">
        <w:t>1980 Republican Platform, p.12</w:t>
      </w:r>
    </w:p>
    <w:p w:rsidR="00A31137" w:rsidRPr="00A31137" w:rsidRDefault="00A31137" w:rsidP="00A31137">
      <w:r w:rsidRPr="00A31137">
        <w:t>We applaud our society's increasing awareness of the role of homemakers in the economy, not apart from the work force but as a very special part of it: the part that combines the labor of a full-time job, the skills of a [p.13] profession, and the commitment of the most dedicated volunteer. Recognizing that home-making is as important as any other profession, we endorse expanded eligibility for Individual Retirement Accounts for homemakers and will explore other ways to advance their standing and security.</w:t>
      </w:r>
      <w:r w:rsidRPr="00A31137">
        <w:cr/>
      </w:r>
    </w:p>
    <w:p w:rsidR="00A31137" w:rsidRPr="00A31137" w:rsidRDefault="00A31137" w:rsidP="00A31137">
      <w:r w:rsidRPr="00A31137">
        <w:t>Family protection</w:t>
      </w:r>
    </w:p>
    <w:p w:rsidR="00A31137" w:rsidRPr="00A31137" w:rsidRDefault="00A31137" w:rsidP="00A31137">
      <w:r w:rsidRPr="00A31137">
        <w:t>1980 Republican Platform, p.13</w:t>
      </w:r>
    </w:p>
    <w:p w:rsidR="00A31137" w:rsidRPr="00A31137" w:rsidRDefault="00A31137" w:rsidP="00A31137">
      <w:r w:rsidRPr="00A31137">
        <w:t>In view of the continuing efforts of the present Administration to define and influence the family through such federally funded conferences as the White House Conference on Families, we express our support for legislation protecting and defending the traditional American family against the ongoing erosion of its base in our society.</w:t>
      </w:r>
    </w:p>
    <w:p w:rsidR="00A31137" w:rsidRPr="00A31137" w:rsidRDefault="00A31137" w:rsidP="00A31137">
      <w:r w:rsidRPr="00A31137">
        <w:t>Handicapped people</w:t>
      </w:r>
    </w:p>
    <w:p w:rsidR="00A31137" w:rsidRPr="00A31137" w:rsidRDefault="00A31137" w:rsidP="00A31137">
      <w:r w:rsidRPr="00A31137">
        <w:t>1980 Republican Platform, p.13</w:t>
      </w:r>
    </w:p>
    <w:p w:rsidR="00A31137" w:rsidRPr="00A31137" w:rsidRDefault="00A31137" w:rsidP="00A31137">
      <w:r w:rsidRPr="00A31137">
        <w:t>Republicans will seek every effective means to enable families more easily to assist their handicapped members and to provide for their education and special medical and therapeutic needs. In the case of handicapped children particularly, flexibility must be maintained in programs of public assistance so that, whenever possible, these youngsters may remain at home rather than in institutions.</w:t>
      </w:r>
    </w:p>
    <w:p w:rsidR="00A31137" w:rsidRPr="00A31137" w:rsidRDefault="00A31137" w:rsidP="00A31137">
      <w:r w:rsidRPr="00A31137">
        <w:t>1980 Republican Platform, p.13</w:t>
      </w:r>
    </w:p>
    <w:p w:rsidR="00A31137" w:rsidRPr="00A31137" w:rsidRDefault="00A31137" w:rsidP="00A31137">
      <w:r w:rsidRPr="00A31137">
        <w:t>Targeted tax relief can make it possible for parents to keep such a child at home without foregoing essential professional assistance. Similarly, tax incentives can assist those outside the home, in the neighborhood and the workplace, who undertake to train, hire, or house the handicapped.</w:t>
      </w:r>
    </w:p>
    <w:p w:rsidR="00A31137" w:rsidRPr="00A31137" w:rsidRDefault="00A31137" w:rsidP="00A31137">
      <w:r w:rsidRPr="00A31137">
        <w:t>Secure and Prosperous Neighborhoods</w:t>
      </w:r>
    </w:p>
    <w:p w:rsidR="00A31137" w:rsidRPr="00A31137" w:rsidRDefault="00A31137" w:rsidP="00A31137">
      <w:r w:rsidRPr="00A31137">
        <w:t>1980 Republican Platform, p.13</w:t>
      </w:r>
    </w:p>
    <w:p w:rsidR="00A31137" w:rsidRPr="00A31137" w:rsidRDefault="00A31137" w:rsidP="00A31137">
      <w:r w:rsidRPr="00A31137">
        <w:t>The quality of American neighborhoods is the ultimate test of the success or failure of government policies for the cities, for housing, and for law enforcement.</w:t>
      </w:r>
    </w:p>
    <w:p w:rsidR="00A31137" w:rsidRPr="00A31137" w:rsidRDefault="00A31137" w:rsidP="00A31137">
      <w:r w:rsidRPr="00A31137">
        <w:t>1980 Republican Platform, p.13</w:t>
      </w:r>
    </w:p>
    <w:p w:rsidR="00A31137" w:rsidRPr="00A31137" w:rsidRDefault="00A31137" w:rsidP="00A31137">
      <w:r w:rsidRPr="00A31137">
        <w:t>Obsessed with the demands of special interest groups and preoccupied with the design of expensive "comprehensive" programs, the Democrats in Congress and the Administration have lost sight of that simple but important criterion. They have proposed more social and fiscal tinkering with our cities and towns.</w:t>
      </w:r>
    </w:p>
    <w:p w:rsidR="00A31137" w:rsidRPr="00A31137" w:rsidRDefault="00A31137" w:rsidP="00A31137">
      <w:r w:rsidRPr="00A31137">
        <w:t>1980 Republican Platform, p.13</w:t>
      </w:r>
    </w:p>
    <w:p w:rsidR="00A31137" w:rsidRPr="00A31137" w:rsidRDefault="00A31137" w:rsidP="00A31137">
      <w:r w:rsidRPr="00A31137">
        <w:t>Republicans will address the real problems that face Americans In their neighborhoods day by day—deterioration and urban blight, dangerous streets and violent crime that make millions of Americans, especially senior citizens, fearful in their own neighborhoods and prisoners in their own homes.</w:t>
      </w:r>
    </w:p>
    <w:p w:rsidR="00A31137" w:rsidRPr="00A31137" w:rsidRDefault="00A31137" w:rsidP="00A31137">
      <w:r w:rsidRPr="00A31137">
        <w:t>1980 Republican Platform, p.13</w:t>
      </w:r>
    </w:p>
    <w:p w:rsidR="00A31137" w:rsidRPr="00A31137" w:rsidRDefault="00A31137" w:rsidP="00A31137">
      <w:r w:rsidRPr="00A31137">
        <w:t>In the summer of 1980, Americans suffer a rising national unemployment rate, now at nearly eight percent, and double-digit inflation and interest rates. As Republicans meet in Detroit, the policies of the Carter Administration and the Democratic Congress have pushed the economy into recession and have resulted in unemployment approaching 20 percent in our host city.</w:t>
      </w:r>
    </w:p>
    <w:p w:rsidR="00A31137" w:rsidRPr="00A31137" w:rsidRDefault="00A31137" w:rsidP="00A31137">
      <w:r w:rsidRPr="00A31137">
        <w:t>1980 Republican Platform, p.13</w:t>
      </w:r>
    </w:p>
    <w:p w:rsidR="00A31137" w:rsidRPr="00A31137" w:rsidRDefault="00A31137" w:rsidP="00A31137">
      <w:r w:rsidRPr="00A31137">
        <w:t>The people of Detroit have worked long and hard to revitalize their city, and the evidence of its rebirth is impressive. Their efforts have been severely set back by Carter Administration policies outside or this or any city's control. The grim evidence is manifested in jobs lost as a direct consequence of bankrupt economic policies which have fostered this recession. Republicans will address and resolve the real problems of today's economy, problems that destroy jobs and deny even the hope of homeownership to millions of American families. We are, moreover, committed to nurturing the spirit of self-help and cooperation through which so many neighborhoods have revitalized themselves and served their residents.</w:t>
      </w:r>
    </w:p>
    <w:p w:rsidR="00A31137" w:rsidRPr="00A31137" w:rsidRDefault="00A31137" w:rsidP="00A31137">
      <w:r w:rsidRPr="00A31137">
        <w:t>Neighborhood self-help</w:t>
      </w:r>
    </w:p>
    <w:p w:rsidR="00A31137" w:rsidRPr="00A31137" w:rsidRDefault="00A31137" w:rsidP="00A31137">
      <w:r w:rsidRPr="00A31137">
        <w:t>1980 Republican Platform, p.13</w:t>
      </w:r>
    </w:p>
    <w:p w:rsidR="00A31137" w:rsidRPr="00A31137" w:rsidRDefault="00A31137" w:rsidP="00A31137">
      <w:r w:rsidRPr="00A31137">
        <w:t>The American ethic of neighbor helping neighbor has been an essential factor in the building of our nation. Republicans are committed to the preservation of this great tradition.</w:t>
      </w:r>
    </w:p>
    <w:p w:rsidR="00A31137" w:rsidRPr="00A31137" w:rsidRDefault="00A31137" w:rsidP="00A31137">
      <w:r w:rsidRPr="00A31137">
        <w:t>1980 Republican Platform, p.13</w:t>
      </w:r>
    </w:p>
    <w:p w:rsidR="00A31137" w:rsidRPr="00A31137" w:rsidRDefault="00A31137" w:rsidP="00A31137">
      <w:r w:rsidRPr="00A31137">
        <w:t>To help non-governmental community programs aid in serving the needs of poor, disabled, or other disadvantaged, we support permitting taxpayers to deduct charitable contributions from their federal income tax whether they itemize or not.</w:t>
      </w:r>
    </w:p>
    <w:p w:rsidR="00A31137" w:rsidRPr="00A31137" w:rsidRDefault="00A31137" w:rsidP="00A31137">
      <w:r w:rsidRPr="00A31137">
        <w:t>1980 Republican Platform, p.13</w:t>
      </w:r>
    </w:p>
    <w:p w:rsidR="00A31137" w:rsidRPr="00A31137" w:rsidRDefault="00A31137" w:rsidP="00A31137">
      <w:r w:rsidRPr="00A31137">
        <w:t>In contrast, the Democrats' assault against Meals-on-Wheels highlights their insensitivity to the neighborly spirit that motivates so many Americans. For over 25 years, voluntary Meals-on-Wheels organizations have been feeding needy homebound citizens—usually the elderly—with funding from local private charitable sources. Promising for the first time to "help" these neighborhood volunteer efforts in 1978, the Democratic Congress and Administration instead used the carrot of federal funding and the stick of federal regulation to crowd out private ventures.</w:t>
      </w:r>
    </w:p>
    <w:p w:rsidR="00A31137" w:rsidRPr="00A31137" w:rsidRDefault="00A31137" w:rsidP="00A31137">
      <w:r w:rsidRPr="00A31137">
        <w:t>1980 Republican Platform, p.13</w:t>
      </w:r>
    </w:p>
    <w:p w:rsidR="00A31137" w:rsidRPr="00A31137" w:rsidRDefault="00A31137" w:rsidP="00A31137">
      <w:r w:rsidRPr="00A31137">
        <w:t>Government must never elbow aside private institutions—schools, churches, volunteer groups, labor and professional associations—in meeting the social needs in our neighborhoods and communities.</w:t>
      </w:r>
    </w:p>
    <w:p w:rsidR="00A31137" w:rsidRPr="00A31137" w:rsidRDefault="00A31137" w:rsidP="00A31137">
      <w:r w:rsidRPr="00A31137">
        <w:t>Neighborhood revitalization</w:t>
      </w:r>
    </w:p>
    <w:p w:rsidR="00A31137" w:rsidRPr="00A31137" w:rsidRDefault="00A31137" w:rsidP="00A31137">
      <w:r w:rsidRPr="00A31137">
        <w:t>1980 Republican Platform, p.13</w:t>
      </w:r>
    </w:p>
    <w:p w:rsidR="00A31137" w:rsidRPr="00A31137" w:rsidRDefault="00A31137" w:rsidP="00A31137">
      <w:r w:rsidRPr="00A31137">
        <w:t>The city is the focus for the lives of millions of Americans. Its neighborhoods are places of familiarity, of belonging, of tradition and continuity. They are arenas for civic action and creative self-help. The human scale of the neighborhood encourages citizens to exercise leadership, to invest their talents, energies, and resources, and to work together to create a better life for their families.</w:t>
      </w:r>
    </w:p>
    <w:p w:rsidR="00A31137" w:rsidRPr="00A31137" w:rsidRDefault="00A31137" w:rsidP="00A31137">
      <w:r w:rsidRPr="00A31137">
        <w:t>1980 Republican Platform, p.13</w:t>
      </w:r>
    </w:p>
    <w:p w:rsidR="00A31137" w:rsidRPr="00A31137" w:rsidRDefault="00A31137" w:rsidP="00A31137">
      <w:r w:rsidRPr="00A31137">
        <w:t>Republican economic programs will create conditions for rebirth of citizen activity in neighborhoods and cities across the land. In a Republican economic climate, America's cities can once again produce, build, and grow.</w:t>
      </w:r>
    </w:p>
    <w:p w:rsidR="00A31137" w:rsidRPr="00A31137" w:rsidRDefault="00A31137" w:rsidP="00A31137">
      <w:r w:rsidRPr="00A31137">
        <w:t>1980 Republican Platform, p.13</w:t>
      </w:r>
    </w:p>
    <w:p w:rsidR="00A31137" w:rsidRPr="00A31137" w:rsidRDefault="00A31137" w:rsidP="00A31137">
      <w:r w:rsidRPr="00A31137">
        <w:t>A Republican Administration will focus its efforts to revitalize neighborhoods in five areas. We will:</w:t>
      </w:r>
    </w:p>
    <w:p w:rsidR="00A31137" w:rsidRPr="00A31137" w:rsidRDefault="00A31137" w:rsidP="00A31137">
      <w:r w:rsidRPr="00A31137">
        <w:t>1980 Republican Platform, p.13</w:t>
      </w:r>
    </w:p>
    <w:p w:rsidR="00A31137" w:rsidRPr="00A31137" w:rsidRDefault="00A31137" w:rsidP="00A31137">
      <w:r w:rsidRPr="00A31137">
        <w:t>Cut taxes, increase incentives to save, restore sound money, and stimulate capital investment to create jobs;</w:t>
      </w:r>
    </w:p>
    <w:p w:rsidR="00A31137" w:rsidRPr="00A31137" w:rsidRDefault="00A31137" w:rsidP="00A31137">
      <w:r w:rsidRPr="00A31137">
        <w:t>1980 Republican Platform, p.13</w:t>
      </w:r>
    </w:p>
    <w:p w:rsidR="00A31137" w:rsidRPr="00A31137" w:rsidRDefault="00A31137" w:rsidP="00A31137">
      <w:r w:rsidRPr="00A31137">
        <w:t>Create and apply new tax incentives for employees and employers alike to stimulate economic growth and reduce red-tape for business ventures. Local government will be [p.14] invited to designate specific depressed areas as jobs and enterprise zones;</w:t>
      </w:r>
    </w:p>
    <w:p w:rsidR="00A31137" w:rsidRPr="00A31137" w:rsidRDefault="00A31137" w:rsidP="00A31137">
      <w:r w:rsidRPr="00A31137">
        <w:t>1980 Republican Platform, p.14</w:t>
      </w:r>
    </w:p>
    <w:p w:rsidR="00A31137" w:rsidRPr="00A31137" w:rsidRDefault="00A31137" w:rsidP="00A31137">
      <w:r w:rsidRPr="00A31137">
        <w:t>Encourage our cities to undertake neighborhood revitalization and preservation programs in cooperation with the three essential local interests: local government, neighborhood property owners and residents, and local financial institutions;</w:t>
      </w:r>
    </w:p>
    <w:p w:rsidR="00A31137" w:rsidRPr="00A31137" w:rsidRDefault="00A31137" w:rsidP="00A31137">
      <w:r w:rsidRPr="00A31137">
        <w:t>1980 Republican Platform, p.14</w:t>
      </w:r>
    </w:p>
    <w:p w:rsidR="00A31137" w:rsidRPr="00A31137" w:rsidRDefault="00A31137" w:rsidP="00A31137">
      <w:r w:rsidRPr="00A31137">
        <w:t>Replace the categorical aid programs with block grant or revenue sharing programs and, where appropriate, transfer the programs, along with the tax sources to pay for them, back to the state and local governments; and</w:t>
      </w:r>
    </w:p>
    <w:p w:rsidR="00A31137" w:rsidRPr="00A31137" w:rsidRDefault="00A31137" w:rsidP="00A31137">
      <w:r w:rsidRPr="00A31137">
        <w:t>1980 Republican Platform, p.14</w:t>
      </w:r>
    </w:p>
    <w:p w:rsidR="00A31137" w:rsidRPr="00A31137" w:rsidRDefault="00A31137" w:rsidP="00A31137">
      <w:r w:rsidRPr="00A31137">
        <w:t>Remain fully committed to the fair enforcement of all federal civil rights statutes and continue minority business enterprise and similar programs begun by Republican Administrations but bungled by overregulation and duplication during the Carter Administration.</w:t>
      </w:r>
    </w:p>
    <w:p w:rsidR="00A31137" w:rsidRPr="00A31137" w:rsidRDefault="00A31137" w:rsidP="00A31137">
      <w:r w:rsidRPr="00A31137">
        <w:t>1980 Republican Platform, p.14</w:t>
      </w:r>
    </w:p>
    <w:p w:rsidR="00A31137" w:rsidRPr="00A31137" w:rsidRDefault="00A31137" w:rsidP="00A31137">
      <w:r w:rsidRPr="00A31137">
        <w:t>Republican programs will revitalize the inner cities. New jobs will be created. The federal government's role will be substantially reduced. The individual citizen will reclaim his or her independence.</w:t>
      </w:r>
    </w:p>
    <w:p w:rsidR="00A31137" w:rsidRPr="00A31137" w:rsidRDefault="00A31137" w:rsidP="00A31137">
      <w:r w:rsidRPr="00A31137">
        <w:t>1980 Republican Platform, p.14</w:t>
      </w:r>
    </w:p>
    <w:p w:rsidR="00A31137" w:rsidRPr="00A31137" w:rsidRDefault="00A31137" w:rsidP="00A31137">
      <w:r w:rsidRPr="00A31137">
        <w:t>The revitalization of American cities will proceed from the revitalization of the neighborhoods. Cities and neighborhoods are no more nor less than the people who inhabit them. Their strengths and weaknesses provide their character. If they are to grow, it is the people who must seize the initiative and lead.</w:t>
      </w:r>
    </w:p>
    <w:p w:rsidR="00A31137" w:rsidRPr="00A31137" w:rsidRDefault="00A31137" w:rsidP="00A31137">
      <w:r w:rsidRPr="00A31137">
        <w:t>Housing and homeownership</w:t>
      </w:r>
    </w:p>
    <w:p w:rsidR="00A31137" w:rsidRPr="00A31137" w:rsidRDefault="00A31137" w:rsidP="00A31137">
      <w:r w:rsidRPr="00A31137">
        <w:t>1980 Republican Platform, p.14</w:t>
      </w:r>
    </w:p>
    <w:p w:rsidR="00A31137" w:rsidRPr="00A31137" w:rsidRDefault="00A31137" w:rsidP="00A31137">
      <w:r w:rsidRPr="00A31137">
        <w:t>Our citizens must have a real opportunity to live in decent, affordable housing. Due to the disastrous policies of the Carter Administration and the Democratic Congress, however, the goal of homeownership and all that aspiration entails is now in jeopardy. These irrational policies have been catastrophic to the housing industry. The highest home mortgage interest rates in the history of the United States have depressed housing starts to the lowest level since World War II. Democratic policies guarantee shortages in owner-occupied and rental housing.</w:t>
      </w:r>
    </w:p>
    <w:p w:rsidR="00A31137" w:rsidRPr="00A31137" w:rsidRDefault="00A31137" w:rsidP="00A31137">
      <w:r w:rsidRPr="00A31137">
        <w:t>1980 Republican Platform, p.14</w:t>
      </w:r>
    </w:p>
    <w:p w:rsidR="00A31137" w:rsidRPr="00A31137" w:rsidRDefault="00A31137" w:rsidP="00A31137">
      <w:r w:rsidRPr="00A31137">
        <w:t>As many as 1.4 million people who depend upon homebuilding for work may lose their jobs in this recession. Many already have. In addition to the toll taken on millions of American families, intolerable pressures will build on state, local, and federal budgets as tax revenues decline and expenditures increase to aid the unemployed.</w:t>
      </w:r>
    </w:p>
    <w:p w:rsidR="00A31137" w:rsidRPr="00A31137" w:rsidRDefault="00A31137" w:rsidP="00A31137">
      <w:r w:rsidRPr="00A31137">
        <w:t>1980 Republican Platform, p.14</w:t>
      </w:r>
    </w:p>
    <w:p w:rsidR="00A31137" w:rsidRPr="00A31137" w:rsidRDefault="00A31137" w:rsidP="00A31137">
      <w:r w:rsidRPr="00A31137">
        <w:t>We support financing and tax incentives to encourage the construction of rental housing as an essential addition to our housing inventory.</w:t>
      </w:r>
    </w:p>
    <w:p w:rsidR="00A31137" w:rsidRPr="00A31137" w:rsidRDefault="00A31137" w:rsidP="00A31137">
      <w:r w:rsidRPr="00A31137">
        <w:t>1980 Republican Platform, p.14</w:t>
      </w:r>
    </w:p>
    <w:p w:rsidR="00A31137" w:rsidRPr="00A31137" w:rsidRDefault="00A31137" w:rsidP="00A31137">
      <w:r w:rsidRPr="00A31137">
        <w:t>Prospective first-time home buyers simply cannot afford to buy. The affordability of housing has become a crisis. The high rates of inflation have driven mortgage payments, house prices, and down-payment requirements beyond the means of close to 80 percent of young American families. In order to assist the record number of young families who wish to become home buyers, we propose to implement a young family housing initiative, which would include several elements such as: urban homesteading, savings and tax reforms, and innovative alternate mortgage instruments to help meet monthly payment requirements without federal subsidies. To assist older homeowners, again without federal subsidy, we urge more extensive availability of the reverse annuity mortgage which allows older homeowners to withdraw the substantial equity they have built up in their homes and thus supplement their retirement income. In order to slow increases in housing costs, regulations which artificially limit housing production and raise housing costs must be eliminated.</w:t>
      </w:r>
    </w:p>
    <w:p w:rsidR="00A31137" w:rsidRPr="00A31137" w:rsidRDefault="00A31137" w:rsidP="00A31137">
      <w:r w:rsidRPr="00A31137">
        <w:t>1980 Republican Platform, p.14</w:t>
      </w:r>
    </w:p>
    <w:p w:rsidR="00A31137" w:rsidRPr="00A31137" w:rsidRDefault="00A31137" w:rsidP="00A31137">
      <w:r w:rsidRPr="00A31137">
        <w:t>We favor expansion of the Republican-sponsored urban homesteading program as a means of restoring abandoned housing. This innovative program is locally administered, returns property to the tax rolls, and develops new ownership and stability within our neighborhoods.</w:t>
      </w:r>
    </w:p>
    <w:p w:rsidR="00A31137" w:rsidRPr="00A31137" w:rsidRDefault="00A31137" w:rsidP="00A31137">
      <w:r w:rsidRPr="00A31137">
        <w:t>1980 Republican Platform, p.14</w:t>
      </w:r>
    </w:p>
    <w:p w:rsidR="00A31137" w:rsidRPr="00A31137" w:rsidRDefault="00A31137" w:rsidP="00A31137">
      <w:r w:rsidRPr="00A31137">
        <w:t>The collapse of new home production and the distress of the housing finance system are closely related. The stop and go economic policies of the past year have created extreme volatility in financial markets which have made it impossible for thrift institutions to supply housing credit at a reasonable cost.</w:t>
      </w:r>
    </w:p>
    <w:p w:rsidR="00A31137" w:rsidRPr="00A31137" w:rsidRDefault="00A31137" w:rsidP="00A31137">
      <w:r w:rsidRPr="00A31137">
        <w:t>1980 Republican Platform, p.14</w:t>
      </w:r>
    </w:p>
    <w:p w:rsidR="00A31137" w:rsidRPr="00A31137" w:rsidRDefault="00A31137" w:rsidP="00A31137">
      <w:r w:rsidRPr="00A31137">
        <w:t>A set of policies aimed at higher and more stable levels of housing production will simultaneously reduce housing costs and unemployment in the economy. To assure a stable and continuous flow of funds for home mortgage financing, we pledge to allow responsible use of mortgage revenue bonds. We will work to change the tax laws to encourage savings so that young families will be able to afford their dreams.</w:t>
      </w:r>
    </w:p>
    <w:p w:rsidR="00A31137" w:rsidRPr="00A31137" w:rsidRDefault="00A31137" w:rsidP="00A31137">
      <w:r w:rsidRPr="00A31137">
        <w:t>1980 Republican Platform, p.14</w:t>
      </w:r>
    </w:p>
    <w:p w:rsidR="00A31137" w:rsidRPr="00A31137" w:rsidRDefault="00A31137" w:rsidP="00A31137">
      <w:r w:rsidRPr="00A31137">
        <w:t>Specifically, we will support legislation to lower tax rates on savings in order to increase funds available for housing. This will help particularly to make homeownership an accessible dream for younger families, encouraging them not to despair of ever having a home of their own, but to begin working and saving for it now. We oppose any attempts to end the income tax deductibility of mortgage interest and property taxes.</w:t>
      </w:r>
    </w:p>
    <w:p w:rsidR="00A31137" w:rsidRPr="00A31137" w:rsidRDefault="00A31137" w:rsidP="00A31137">
      <w:r w:rsidRPr="00A31137">
        <w:t>1980 Republican Platform, p.14</w:t>
      </w:r>
    </w:p>
    <w:p w:rsidR="00A31137" w:rsidRPr="00A31137" w:rsidRDefault="00A31137" w:rsidP="00A31137">
      <w:r w:rsidRPr="00A31137">
        <w:t>Republicans will also end the mismanagement and waste that has characterized the Department of Housing and Urban Development during the Carter Administration. As presently structured, HUD programs present local governments and developers with a maze of bureaucracy, complicated applications, and inflexible requirements, often unsuited to local needs. Such programs often infringe upon the right of local governments to retain jurisdiction over their own zoning laws and building codes. As a result, their cost is so high that relatively few of the needy are ultimately housed or helped. Republicans will replace many of HUD's categorical programs with decentralized block grants to provide more efficient and responsive housing assistance to the elderly, the handicapped, and the poor. In remaining programs, particular emphasis should be [p.15] given to rehabilitation and preservation of existing housing stock as a priority in federal housing policy.</w:t>
      </w:r>
    </w:p>
    <w:p w:rsidR="00A31137" w:rsidRPr="00A31137" w:rsidRDefault="00A31137" w:rsidP="00A31137">
      <w:r w:rsidRPr="00A31137">
        <w:t>Crime</w:t>
      </w:r>
    </w:p>
    <w:p w:rsidR="00A31137" w:rsidRPr="00A31137" w:rsidRDefault="00A31137" w:rsidP="00A31137">
      <w:r w:rsidRPr="00A31137">
        <w:t>1980 Republican Platform, p.15</w:t>
      </w:r>
    </w:p>
    <w:p w:rsidR="00A31137" w:rsidRPr="00A31137" w:rsidRDefault="00A31137" w:rsidP="00A31137">
      <w:r w:rsidRPr="00A31137">
        <w:t>Safety and security are vital to the health and well-being of people in their neighborhoods and communities. Republicans are committed to ensuring that neighborhoods will be safe places in which families and individuals can live, and we support and encourage community crime fighting efforts such as neighborhood crime watch and court monitoring programs.</w:t>
      </w:r>
    </w:p>
    <w:p w:rsidR="00A31137" w:rsidRPr="00A31137" w:rsidRDefault="00A31137" w:rsidP="00A31137">
      <w:r w:rsidRPr="00A31137">
        <w:t>1980 Republican Platform, p.15</w:t>
      </w:r>
    </w:p>
    <w:p w:rsidR="00A31137" w:rsidRPr="00A31137" w:rsidRDefault="00A31137" w:rsidP="00A31137">
      <w:r w:rsidRPr="00A31137">
        <w:t>First, we believe that Republican economic proposals, more particularly those proposals which strengthen society and smaller communities discussed elsewhere in this document, will go a long way toward stabilizing American society.</w:t>
      </w:r>
    </w:p>
    <w:p w:rsidR="00A31137" w:rsidRPr="00A31137" w:rsidRDefault="00A31137" w:rsidP="00A31137">
      <w:r w:rsidRPr="00A31137">
        <w:t>1980 Republican Platform, p.15</w:t>
      </w:r>
    </w:p>
    <w:p w:rsidR="00A31137" w:rsidRPr="00A31137" w:rsidRDefault="00A31137" w:rsidP="00A31137">
      <w:r w:rsidRPr="00A31137">
        <w:t>Second, we support a vigorous and effective effort on the part of law enforcement agencies. Although we recognize the vital role of federal law enforcement agencies, we realize that the most effective weapons against crime are state and local agencies.</w:t>
      </w:r>
    </w:p>
    <w:p w:rsidR="00A31137" w:rsidRPr="00A31137" w:rsidRDefault="00A31137" w:rsidP="00A31137">
      <w:r w:rsidRPr="00A31137">
        <w:t>1980 Republican Platform, p.15</w:t>
      </w:r>
    </w:p>
    <w:p w:rsidR="00A31137" w:rsidRPr="00A31137" w:rsidRDefault="00A31137" w:rsidP="00A31137">
      <w:r w:rsidRPr="00A31137">
        <w:t>Just as vital to efforts to stem crime is the fair but firm and speedy application of criminal penalties. The existence and application of strong penalties are effective disincentives to criminal actions. Yet these disincentives will only be as strong as our court system's willingness to use them.</w:t>
      </w:r>
    </w:p>
    <w:p w:rsidR="00A31137" w:rsidRPr="00A31137" w:rsidRDefault="00A31137" w:rsidP="00A31137">
      <w:r w:rsidRPr="00A31137">
        <w:t>1980 Republican Platform, p.15</w:t>
      </w:r>
    </w:p>
    <w:p w:rsidR="00A31137" w:rsidRPr="00A31137" w:rsidRDefault="00A31137" w:rsidP="00A31137">
      <w:r w:rsidRPr="00A31137">
        <w:t>We believe that the death penalty serves as an effective deterrent to capital crime and should be applied by the federal government and by states which approve it as an appropriate penalty for certain major crimes.</w:t>
      </w:r>
    </w:p>
    <w:p w:rsidR="00A31137" w:rsidRPr="00A31137" w:rsidRDefault="00A31137" w:rsidP="00A31137">
      <w:r w:rsidRPr="00A31137">
        <w:t>1980 Republican Platform, p.15</w:t>
      </w:r>
    </w:p>
    <w:p w:rsidR="00A31137" w:rsidRPr="00A31137" w:rsidRDefault="00A31137" w:rsidP="00A31137">
      <w:r w:rsidRPr="00A31137">
        <w:t>We believe the right of citizens to keep and bear arms must be preserved. Accordingly, we oppose federal registration of firearms. Mandatory sentences for commission of armed felonies are the most effective means to deter abuse of this right. We therefore support Congressional initiatives to remove those provisions of the Gun Control Act of 1968 that do not significantly impact on crime but serve rather to restrain the law-abiding citizen in his legitimate use of firearms.</w:t>
      </w:r>
    </w:p>
    <w:p w:rsidR="00A31137" w:rsidRPr="00A31137" w:rsidRDefault="00A31137" w:rsidP="00A31137">
      <w:r w:rsidRPr="00A31137">
        <w:t>1980 Republican Platform, p.15</w:t>
      </w:r>
    </w:p>
    <w:p w:rsidR="00A31137" w:rsidRPr="00A31137" w:rsidRDefault="00A31137" w:rsidP="00A31137">
      <w:r w:rsidRPr="00A31137">
        <w:t>In recent years, a murderous epidemic of drug abuse has swept our country. Mr. Carter, through his policies and his personnel, has demonstrated little interest in stopping its ravages. Republicans consider drug abuse an intolerable threat to our society, especially to the young. We pledge a government that will take seriously its responsibility to curb illegal drug traffic. We will first and most urgently restore the ability of the FBI to act effectively in this area. Republican government will work with local law enforcement agencies to apprehend and firmly punish drug pushers and drug smugglers with mandatory sentences where appropriate. We support efforts to crack down on the sale and advertising of drug paraphernalia. Private, nonprofit drug abuse rehabilitation agencies have taken the lead in fighting drug abuse, and they deserve greater cooperation and flexibility from federal, state, and local agencies and grant programs. We pledge the enactment of legislation to ban the utilization of federal funds by grantees of the Legal Services Corporation to render their services in cases involving the pushing or smuggling of drugs as well as in cases of repeat offenders. We commend the religious leaders, community activists, parents, and local officials who are working with fervor and dedication to protect young Americans from the drug plague.</w:t>
      </w:r>
    </w:p>
    <w:p w:rsidR="00A31137" w:rsidRPr="00A31137" w:rsidRDefault="00A31137" w:rsidP="00A31137">
      <w:r w:rsidRPr="00A31137">
        <w:t>Urban transportation</w:t>
      </w:r>
    </w:p>
    <w:p w:rsidR="00A31137" w:rsidRPr="00A31137" w:rsidRDefault="00A31137" w:rsidP="00A31137">
      <w:r w:rsidRPr="00A31137">
        <w:t>1980 Republican Platform, p.15</w:t>
      </w:r>
    </w:p>
    <w:p w:rsidR="00A31137" w:rsidRPr="00A31137" w:rsidRDefault="00A31137" w:rsidP="00A31137">
      <w:r w:rsidRPr="00A31137">
        <w:t>The complex problems of mobility, congestion, and energy resources demand creative solutions if we are to improve the living conditions of our urban areas. Many urban centers of our nation need dependable and affordable mass transit systems. The first line of responsibility must lie with the local governments. They must be given the latitude to design and implement the transportation system best suited to their singular circumstances. Republicans believe we should encourage effective competition among diverse modes of transportation. The role of the federal government should be one of giving financial and technical support to local authorities, through surface transportation block grants. Because of the long planning and construction times inherent in bus, rail, and other mass transit systems, a consistent and dependable source of revenue should be established.</w:t>
      </w:r>
    </w:p>
    <w:p w:rsidR="00A31137" w:rsidRPr="00A31137" w:rsidRDefault="00A31137" w:rsidP="00A31137">
      <w:r w:rsidRPr="00A31137">
        <w:t>1980 Republican Platform, p.15</w:t>
      </w:r>
    </w:p>
    <w:p w:rsidR="00A31137" w:rsidRPr="00A31137" w:rsidRDefault="00A31137" w:rsidP="00A31137">
      <w:r w:rsidRPr="00A31137">
        <w:t>Mass transportation offers the prospect for significant energy conservation. In addition, both management and labor agree that ease of access to the workplace is an important factor in employment decisions and industrial plant location. Lack of adequate access is a major reason why businesses have moved out of crowded urban areas, resulting in lower tax bases for cities. To encourage existing businesses to remain in urban centers and to attract new businesses to urban areas, it is vital that adequate public and private transportation facilities be provided.</w:t>
      </w:r>
    </w:p>
    <w:p w:rsidR="00A31137" w:rsidRPr="00A31137" w:rsidRDefault="00A31137" w:rsidP="00A31137">
      <w:r w:rsidRPr="00A31137">
        <w:t>Rural transportation</w:t>
      </w:r>
    </w:p>
    <w:p w:rsidR="00A31137" w:rsidRPr="00A31137" w:rsidRDefault="00A31137" w:rsidP="00A31137">
      <w:r w:rsidRPr="00A31137">
        <w:t>1980 Republican Platform, p.15</w:t>
      </w:r>
    </w:p>
    <w:p w:rsidR="00A31137" w:rsidRPr="00A31137" w:rsidRDefault="00A31137" w:rsidP="00A31137">
      <w:r w:rsidRPr="00A31137">
        <w:t>Republicans recognize the importance of transportation in the rural areas of America.</w:t>
      </w:r>
    </w:p>
    <w:p w:rsidR="00A31137" w:rsidRPr="00A31137" w:rsidRDefault="00A31137" w:rsidP="00A31137">
      <w:r w:rsidRPr="00A31137">
        <w:t>1980 Republican Platform, p.15</w:t>
      </w:r>
    </w:p>
    <w:p w:rsidR="00A31137" w:rsidRPr="00A31137" w:rsidRDefault="00A31137" w:rsidP="00A31137">
      <w:r w:rsidRPr="00A31137">
        <w:t>Public transit is becoming more significant to rural areas as the costs of energy rise. While public transit will not replace the importance of private vehicles in rural America, it can serve as a vital adjunct to transportation in neighborhoods throughout rural America.</w:t>
      </w:r>
    </w:p>
    <w:p w:rsidR="00A31137" w:rsidRPr="00A31137" w:rsidRDefault="00A31137" w:rsidP="00A31137">
      <w:r w:rsidRPr="00A31137">
        <w:t>Jobs and the Workplace</w:t>
      </w:r>
    </w:p>
    <w:p w:rsidR="00A31137" w:rsidRPr="00A31137" w:rsidRDefault="00A31137" w:rsidP="00A31137">
      <w:r w:rsidRPr="00A31137">
        <w:t>1980 Republican Platform, p.15</w:t>
      </w:r>
    </w:p>
    <w:p w:rsidR="00A31137" w:rsidRPr="00A31137" w:rsidRDefault="00A31137" w:rsidP="00A31137">
      <w:r w:rsidRPr="00A31137">
        <w:t>We propose to put Americans back to work again by restoring real growth without inflation to the United States economy. Republican programs and initiatives detailed in this platform will create millions of additional new jobs in the American workplace. As a result of Mr. Carter's recession, more than eight million Americans are now out of work.</w:t>
      </w:r>
    </w:p>
    <w:p w:rsidR="00A31137" w:rsidRPr="00A31137" w:rsidRDefault="00A31137" w:rsidP="00A31137">
      <w:r w:rsidRPr="00A31137">
        <w:t>1980 Republican Platform, p.15</w:t>
      </w:r>
    </w:p>
    <w:p w:rsidR="00A31137" w:rsidRPr="00A31137" w:rsidRDefault="00A31137" w:rsidP="00A31137">
      <w:r w:rsidRPr="00A31137">
        <w:t>Sweeping change in America's economic policy is needed. We must replace the Carter Administration's promise of hard times and austerity—one promise which has been [p.16] kept—with Republican policies that restore economic growth and create more jobs.</w:t>
      </w:r>
    </w:p>
    <w:p w:rsidR="00A31137" w:rsidRPr="00A31137" w:rsidRDefault="00A31137" w:rsidP="00A31137">
      <w:r w:rsidRPr="00A31137">
        <w:t>1980 Republican Platform, p.16</w:t>
      </w:r>
    </w:p>
    <w:p w:rsidR="00A31137" w:rsidRPr="00A31137" w:rsidRDefault="00A31137" w:rsidP="00A31137">
      <w:r w:rsidRPr="00A31137">
        <w:t>The Democratic Congress and the Carter Administration are espousing programs that candidate Carter in 1976 said were inhumane: using recession, unemployment, high interest rates, and high taxes to fight inflation. The Democrats are now trying to stop inflation with a recession, a bankrupt policy which is throwing millions of Americans out of work. They say Americans must tighten their belts, abandon their dreams, and accept higher taxes, less take-home pay, fewer jobs, and no growth in the national economy.</w:t>
      </w:r>
    </w:p>
    <w:p w:rsidR="00A31137" w:rsidRPr="00A31137" w:rsidRDefault="00A31137" w:rsidP="00A31137">
      <w:r w:rsidRPr="00A31137">
        <w:t>1980 Republican Platform, p.16</w:t>
      </w:r>
    </w:p>
    <w:p w:rsidR="00A31137" w:rsidRPr="00A31137" w:rsidRDefault="00A31137" w:rsidP="00A31137">
      <w:r w:rsidRPr="00A31137">
        <w:t>We categorically reject this approach. Inflation is too much money chasing too few goods. Shutting down our nation's factories and throwing millions of people out of work leads only to shortages and higher prices.</w:t>
      </w:r>
    </w:p>
    <w:p w:rsidR="00A31137" w:rsidRPr="00A31137" w:rsidRDefault="00A31137" w:rsidP="00A31137">
      <w:r w:rsidRPr="00A31137">
        <w:t>1980 Republican Platform, p.16</w:t>
      </w:r>
    </w:p>
    <w:p w:rsidR="00A31137" w:rsidRPr="00A31137" w:rsidRDefault="00A31137" w:rsidP="00A31137">
      <w:r w:rsidRPr="00A31137">
        <w:t>We believe inflation can only be controlled by monetary and spending restraint, combined with sharp reductions in the tax and regulatory barriers to savings, investment, production, and jobs.</w:t>
      </w:r>
    </w:p>
    <w:p w:rsidR="00A31137" w:rsidRPr="00A31137" w:rsidRDefault="00A31137" w:rsidP="00A31137">
      <w:r w:rsidRPr="00A31137">
        <w:t>The need for growth and its impact on workers</w:t>
      </w:r>
    </w:p>
    <w:p w:rsidR="00A31137" w:rsidRPr="00A31137" w:rsidRDefault="00A31137" w:rsidP="00A31137">
      <w:r w:rsidRPr="00A31137">
        <w:t>1980 Republican Platform, p.16</w:t>
      </w:r>
    </w:p>
    <w:p w:rsidR="00A31137" w:rsidRPr="00A31137" w:rsidRDefault="00A31137" w:rsidP="00A31137">
      <w:r w:rsidRPr="00A31137">
        <w:t>The Republican Party believes nothing is more important to our nation's defense and social well-being than economic growth.</w:t>
      </w:r>
    </w:p>
    <w:p w:rsidR="00A31137" w:rsidRPr="00A31137" w:rsidRDefault="00A31137" w:rsidP="00A31137">
      <w:r w:rsidRPr="00A31137">
        <w:t>1980 Republican Platform, p.16</w:t>
      </w:r>
    </w:p>
    <w:p w:rsidR="00A31137" w:rsidRPr="00A31137" w:rsidRDefault="00A31137" w:rsidP="00A31137">
      <w:r w:rsidRPr="00A31137">
        <w:t>Since 1973, the U.S. economy has grown in real terms at a rate of only 1.9 percent a year. This is barely half of the 3.7 percent annual growth rate we experienced between 1950 and 1973 and well below the 4.6 percent growth rate we enjoyed between 1961 and 1969. If our economy continues to grow at its current rate of less than two percent a year, our Gross National Product (GNP) will barely reach $3 trillion by 1990.</w:t>
      </w:r>
    </w:p>
    <w:p w:rsidR="00A31137" w:rsidRPr="00A31137" w:rsidRDefault="00A31137" w:rsidP="00A31137">
      <w:r w:rsidRPr="00A31137">
        <w:t>1980 Republican Platform, p.16</w:t>
      </w:r>
    </w:p>
    <w:p w:rsidR="00A31137" w:rsidRPr="00A31137" w:rsidRDefault="00A31137" w:rsidP="00A31137">
      <w:r w:rsidRPr="00A31137">
        <w:t>But if we can regain the growth we experienced during the economic boom of the 1960s, our GNP will reach nearly $4 trillion by the end of the decade, nearly one-third higher.</w:t>
      </w:r>
    </w:p>
    <w:p w:rsidR="00A31137" w:rsidRPr="00A31137" w:rsidRDefault="00A31137" w:rsidP="00A31137">
      <w:r w:rsidRPr="00A31137">
        <w:t>1980 Republican Platform, p.16</w:t>
      </w:r>
    </w:p>
    <w:p w:rsidR="00A31137" w:rsidRPr="00A31137" w:rsidRDefault="00A31137" w:rsidP="00A31137">
      <w:r w:rsidRPr="00A31137">
        <w:t>With this kind of economic growth, incomes would be substantially higher and jobs would be plentiful. Federal revenues would be high enough to provide for a balanced budget, adequate funding of health, education and social spending, and unquestioned military preeminence, with enough left over to reduce payroll and income taxes on American workers and retirees. Economic growth would generate price stability as the expanding economy eliminated budget deficits and avoided pressure on the Federal Reserve to create more money. And the social gains from economic growth would be enormous. Faster growth, higher incomes, and plentiful jobs are exactly what the unemployed, the underprivileged, and minorities have been seeking for many years.</w:t>
      </w:r>
    </w:p>
    <w:p w:rsidR="00A31137" w:rsidRPr="00A31137" w:rsidRDefault="00A31137" w:rsidP="00A31137">
      <w:r w:rsidRPr="00A31137">
        <w:t>1980 Republican Platform, p.16</w:t>
      </w:r>
    </w:p>
    <w:p w:rsidR="00A31137" w:rsidRPr="00A31137" w:rsidRDefault="00A31137" w:rsidP="00A31137">
      <w:r w:rsidRPr="00A31137">
        <w:t>All working men and women of America have much to gain from economic growth and a healthy business environment. It enhances their bargaining position by fostering competition among potential employers to provide more attractive working conditions, better retirement and health benefits, higher wages and salaries, and generally improving job security. A stagnant economy, which Democratic policies have brought about, decreases competition among business for workers, discourages improved employee benefits, reduces income levels, and dramatically increases unemployment.</w:t>
      </w:r>
    </w:p>
    <w:p w:rsidR="00A31137" w:rsidRPr="00A31137" w:rsidRDefault="00A31137" w:rsidP="00A31137">
      <w:r w:rsidRPr="00A31137">
        <w:t>Savings, productivity, and jobs</w:t>
      </w:r>
    </w:p>
    <w:p w:rsidR="00A31137" w:rsidRPr="00A31137" w:rsidRDefault="00A31137" w:rsidP="00A31137">
      <w:r w:rsidRPr="00A31137">
        <w:t>1980 Republican Platform, p.16</w:t>
      </w:r>
    </w:p>
    <w:p w:rsidR="00A31137" w:rsidRPr="00A31137" w:rsidRDefault="00A31137" w:rsidP="00A31137">
      <w:r w:rsidRPr="00A31137">
        <w:t>Savings and investment are the keys to economic growth. Only that part of national income which goes into savings and which is not consumed by government deficits is available to finance real economic growth.</w:t>
      </w:r>
    </w:p>
    <w:p w:rsidR="00A31137" w:rsidRPr="00A31137" w:rsidRDefault="00A31137" w:rsidP="00A31137">
      <w:r w:rsidRPr="00A31137">
        <w:t>1980 Republican Platform, p.16</w:t>
      </w:r>
    </w:p>
    <w:p w:rsidR="00A31137" w:rsidRPr="00A31137" w:rsidRDefault="00A31137" w:rsidP="00A31137">
      <w:r w:rsidRPr="00A31137">
        <w:t>Americans now save less than any other people in the Western world because inflation and the high rates of taxation imposed by the Carter Administration and the Democratic Congress have destroyed their ability and incentive to save and invest. This has strangled economic growth, choked off private initiative, pushed up prices, and retarded productivity and job creation.</w:t>
      </w:r>
    </w:p>
    <w:p w:rsidR="00A31137" w:rsidRPr="00A31137" w:rsidRDefault="00A31137" w:rsidP="00A31137">
      <w:r w:rsidRPr="00A31137">
        <w:t>1980 Republican Platform, p.16</w:t>
      </w:r>
    </w:p>
    <w:p w:rsidR="00A31137" w:rsidRPr="00A31137" w:rsidRDefault="00A31137" w:rsidP="00A31137">
      <w:r w:rsidRPr="00A31137">
        <w:t>The sharp drop in the growth of American productivity is the main reason why Americans' average real weekly earnings are no more than they were 19 years ago. This problem has worsened to the point that workers earn eight percent less in real purchasing power as the Carter term comes to a close than they did when it began.</w:t>
      </w:r>
    </w:p>
    <w:p w:rsidR="00A31137" w:rsidRPr="00A31137" w:rsidRDefault="00A31137" w:rsidP="00A31137">
      <w:r w:rsidRPr="00A31137">
        <w:t>1980 Republican Platform, p.16</w:t>
      </w:r>
    </w:p>
    <w:p w:rsidR="00A31137" w:rsidRPr="00A31137" w:rsidRDefault="00A31137" w:rsidP="00A31137">
      <w:r w:rsidRPr="00A31137">
        <w:t>The 25 years of Democratic domination of the Congress have cost us a generation of lost opportunities. The Carter Administration in particular has opposed every Republican effort to restore the health of the economy through lower taxes on work effort, savings, and the modernization of America's productive machinery.</w:t>
      </w:r>
    </w:p>
    <w:p w:rsidR="00A31137" w:rsidRPr="00A31137" w:rsidRDefault="00A31137" w:rsidP="00A31137">
      <w:r w:rsidRPr="00A31137">
        <w:t>1980 Republican Platform, p.16</w:t>
      </w:r>
    </w:p>
    <w:p w:rsidR="00A31137" w:rsidRPr="00A31137" w:rsidRDefault="00A31137" w:rsidP="00A31137">
      <w:r w:rsidRPr="00A31137">
        <w:t>Republicans are committed to an economic policy based on lower tax rates and a reduced rate of government spending.</w:t>
      </w:r>
    </w:p>
    <w:p w:rsidR="00A31137" w:rsidRPr="00A31137" w:rsidRDefault="00A31137" w:rsidP="00A31137">
      <w:r w:rsidRPr="00A31137">
        <w:t>1980 Republican Platform, p.16</w:t>
      </w:r>
    </w:p>
    <w:p w:rsidR="00A31137" w:rsidRPr="00A31137" w:rsidRDefault="00A31137" w:rsidP="00A31137">
      <w:r w:rsidRPr="00A31137">
        <w:t>Therefore, the Republican Party pledges to:</w:t>
      </w:r>
    </w:p>
    <w:p w:rsidR="00A31137" w:rsidRPr="00A31137" w:rsidRDefault="00A31137" w:rsidP="00A31137">
      <w:r w:rsidRPr="00A31137">
        <w:t>1980 Republican Platform, p.16</w:t>
      </w:r>
    </w:p>
    <w:p w:rsidR="00A31137" w:rsidRPr="00A31137" w:rsidRDefault="00A31137" w:rsidP="00A31137">
      <w:r w:rsidRPr="00A31137">
        <w:t>Reduce tax rates on individuals and businesses to increase incentives for all Americans and to encourage more savings, investment, output and productivity, and more jobs for Americans;</w:t>
      </w:r>
    </w:p>
    <w:p w:rsidR="00A31137" w:rsidRPr="00A31137" w:rsidRDefault="00A31137" w:rsidP="00A31137">
      <w:r w:rsidRPr="00A31137">
        <w:t>1980 Republican Platform, p.16</w:t>
      </w:r>
    </w:p>
    <w:p w:rsidR="00A31137" w:rsidRPr="00A31137" w:rsidRDefault="00A31137" w:rsidP="00A31137">
      <w:r w:rsidRPr="00A31137">
        <w:t>Provide special incentives for saving by lowering the tax rates on savings and investment income;</w:t>
      </w:r>
    </w:p>
    <w:p w:rsidR="00A31137" w:rsidRPr="00A31137" w:rsidRDefault="00A31137" w:rsidP="00A31137">
      <w:r w:rsidRPr="00A31137">
        <w:t>1980 Republican Platform, p.16</w:t>
      </w:r>
    </w:p>
    <w:p w:rsidR="00A31137" w:rsidRPr="00A31137" w:rsidRDefault="00A31137" w:rsidP="00A31137">
      <w:r w:rsidRPr="00A31137">
        <w:t>Revitalize our productive capacities by simplifying and accelerating tax depreciation schedules for facilities, structures, equipment, and vehicles;</w:t>
      </w:r>
    </w:p>
    <w:p w:rsidR="00A31137" w:rsidRPr="00A31137" w:rsidRDefault="00A31137" w:rsidP="00A31137">
      <w:r w:rsidRPr="00A31137">
        <w:t>1980 Republican Platform, p.16</w:t>
      </w:r>
    </w:p>
    <w:p w:rsidR="00A31137" w:rsidRPr="00A31137" w:rsidRDefault="00A31137" w:rsidP="00A31137">
      <w:r w:rsidRPr="00A31137">
        <w:t>Limit government spending to a fixed and smaller percentage of the Gross National Product; and</w:t>
      </w:r>
    </w:p>
    <w:p w:rsidR="00A31137" w:rsidRPr="00A31137" w:rsidRDefault="00A31137" w:rsidP="00A31137">
      <w:r w:rsidRPr="00A31137">
        <w:t>1980 Republican Platform, p.16</w:t>
      </w:r>
    </w:p>
    <w:p w:rsidR="00A31137" w:rsidRPr="00A31137" w:rsidRDefault="00A31137" w:rsidP="00A31137">
      <w:r w:rsidRPr="00A31137">
        <w:t>Balance the budget without tax increases at these lower levels of taxation and spending.</w:t>
      </w:r>
    </w:p>
    <w:p w:rsidR="00A31137" w:rsidRPr="00A31137" w:rsidRDefault="00A31137" w:rsidP="00A31137">
      <w:r w:rsidRPr="00A31137">
        <w:t>1980 Republican Platform, p.16</w:t>
      </w:r>
    </w:p>
    <w:p w:rsidR="00A31137" w:rsidRPr="00A31137" w:rsidRDefault="00A31137" w:rsidP="00A31137">
      <w:r w:rsidRPr="00A31137">
        <w:t>We also oppose Carter proposals to impose withholding on dividend and interest income. They would serve as a disincentive to save and invest and create needless paper-work burdens for government, business, industry, and the private citizen. They would literally rob the saver of the benefits of interest compounding and automatic dividend reinvestment programs.</w:t>
      </w:r>
    </w:p>
    <w:p w:rsidR="00A31137" w:rsidRPr="00A31137" w:rsidRDefault="00A31137" w:rsidP="00A31137">
      <w:r w:rsidRPr="00A31137">
        <w:t>1980 Republican Platform, p.17</w:t>
      </w:r>
    </w:p>
    <w:p w:rsidR="00A31137" w:rsidRPr="00A31137" w:rsidRDefault="00A31137" w:rsidP="00A31137">
      <w:r w:rsidRPr="00A31137">
        <w:t>[p.17] Unless taxes are reduced and federal spending is restrained, our nation's economy faces continued inflation, recession, and economic stagnation. Tax fate reductions and spending restraint will restore the savings and investment needed to create new jobs, increase living standards, and restore our competitive position in the world.</w:t>
      </w:r>
    </w:p>
    <w:p w:rsidR="00A31137" w:rsidRPr="00A31137" w:rsidRDefault="00A31137" w:rsidP="00A31137">
      <w:r w:rsidRPr="00A31137">
        <w:t>Employment safety-net</w:t>
      </w:r>
    </w:p>
    <w:p w:rsidR="00A31137" w:rsidRPr="00A31137" w:rsidRDefault="00A31137" w:rsidP="00A31137">
      <w:r w:rsidRPr="00A31137">
        <w:t>1980 Republican Platform, p.17</w:t>
      </w:r>
    </w:p>
    <w:p w:rsidR="00A31137" w:rsidRPr="00A31137" w:rsidRDefault="00A31137" w:rsidP="00A31137">
      <w:r w:rsidRPr="00A31137">
        <w:t>To those individuals who have lost their jobs because of the Carter recession, we pledge to ensure that they receive their rightfully earned unemployment compensation benefits.</w:t>
      </w:r>
    </w:p>
    <w:p w:rsidR="00A31137" w:rsidRPr="00A31137" w:rsidRDefault="00A31137" w:rsidP="00A31137">
      <w:r w:rsidRPr="00A31137">
        <w:t>1980 Republican Platform, p.17</w:t>
      </w:r>
    </w:p>
    <w:p w:rsidR="00A31137" w:rsidRPr="00A31137" w:rsidRDefault="00A31137" w:rsidP="00A31137">
      <w:r w:rsidRPr="00A31137">
        <w:t>The Republican Party recognizes the need to provide workers who have lost their jobs because of technological obsolescence or imports the opportunity to adjust to changing economic conditions. In particular, we will seek ways to assist workers threatened by foreign competition.</w:t>
      </w:r>
    </w:p>
    <w:p w:rsidR="00A31137" w:rsidRPr="00A31137" w:rsidRDefault="00A31137" w:rsidP="00A31137">
      <w:r w:rsidRPr="00A31137">
        <w:t>1980 Republican Platform, p.17</w:t>
      </w:r>
    </w:p>
    <w:p w:rsidR="00A31137" w:rsidRPr="00A31137" w:rsidRDefault="00A31137" w:rsidP="00A31137">
      <w:r w:rsidRPr="00A31137">
        <w:t>The Democratic Administration's inability to ensure fairness and equity between our nation and some of our trading partners has resulted in massive unemployment in many core industries. As we meet in Detroit, this Party takes special notice that among the hardest hit have been the automotive workers whose jobs are now targeted by aggressive foreign competition. Much of this problem is a result of the present Administration's inability to negotiate foreign trade agreements which do not jeopardize American jobs. We will take steps to ensure competitiveness of our domestic industries to protect American jobs. But for workers who have already lost their jobs, we will provide assistance, incentives for job refraining and placement, and job search and relocation allowances. Toward this end, we will pursue specific tax and regulatory changes to revitalize America's troubled basic industries. We will also seek the aid of private individuals, businesses, and non-profit organizations to formulate creative new self-supporting answers to training and placement problems as well as non-governmental sources of temporary financial support.</w:t>
      </w:r>
    </w:p>
    <w:p w:rsidR="00A31137" w:rsidRPr="00A31137" w:rsidRDefault="00A31137" w:rsidP="00A31137">
      <w:r w:rsidRPr="00A31137">
        <w:t>1980 Republican Platform, p.17</w:t>
      </w:r>
    </w:p>
    <w:p w:rsidR="00A31137" w:rsidRPr="00A31137" w:rsidRDefault="00A31137" w:rsidP="00A31137">
      <w:r w:rsidRPr="00A31137">
        <w:t>The Republican Party believes that protectionist tariffs and quotas are detrimental to our economic well-being. Nevertheless, we insist that our trading partners offer our nation the same level of equity, access, and fairness that we have shown them. The mutual benefits of trade require that it be conducted in the spirit of reciprocity. The Republican Party will consider appropriate measures necessary to restore equal and fair competition between ourselves and our trading partners.</w:t>
      </w:r>
    </w:p>
    <w:p w:rsidR="00A31137" w:rsidRPr="00A31137" w:rsidRDefault="00A31137" w:rsidP="00A31137">
      <w:r w:rsidRPr="00A31137">
        <w:t>1980 Republican Platform, p.17</w:t>
      </w:r>
    </w:p>
    <w:p w:rsidR="00A31137" w:rsidRPr="00A31137" w:rsidRDefault="00A31137" w:rsidP="00A31137">
      <w:r w:rsidRPr="00A31137">
        <w:t>The international exchange of goods and services must take place under free and unfettered conditions of market entry.</w:t>
      </w:r>
    </w:p>
    <w:p w:rsidR="00A31137" w:rsidRPr="00A31137" w:rsidRDefault="00A31137" w:rsidP="00A31137">
      <w:r w:rsidRPr="00A31137">
        <w:t>Training and skills</w:t>
      </w:r>
    </w:p>
    <w:p w:rsidR="00A31137" w:rsidRPr="00A31137" w:rsidRDefault="00A31137" w:rsidP="00A31137">
      <w:r w:rsidRPr="00A31137">
        <w:t>1980 Republican Platform, p.17</w:t>
      </w:r>
    </w:p>
    <w:p w:rsidR="00A31137" w:rsidRPr="00A31137" w:rsidRDefault="00A31137" w:rsidP="00A31137">
      <w:r w:rsidRPr="00A31137">
        <w:t>Unemployment is a growing problem for millions of Americans, but it is an unparalleled disaster for minority Americans. As this country's economic growth has slowed over the past decade, unemployment has become more intractable. The gravity of the crisis is so severe that as we entered the present recession, unemployment was over six percent for the entire labor force but it was 33 percent for minority youth. In addition, the black unemployment rate was 10.8 percent and youth between the ages of 16 and 24 continued to account for about one-half of the total unemployed.</w:t>
      </w:r>
    </w:p>
    <w:p w:rsidR="00A31137" w:rsidRPr="00A31137" w:rsidRDefault="00A31137" w:rsidP="00A31137">
      <w:r w:rsidRPr="00A31137">
        <w:t>1980 Republican Platform, p.17</w:t>
      </w:r>
    </w:p>
    <w:p w:rsidR="00A31137" w:rsidRPr="00A31137" w:rsidRDefault="00A31137" w:rsidP="00A31137">
      <w:r w:rsidRPr="00A31137">
        <w:t>Despite the almost $100 billion spent on well-intended public sector employment and training programs, the structural unemployment problem continues to fester among minorities and young people. In addition to providing a growth climate for job creation, specific and targeted programs must be developed to alleviate these problems.</w:t>
      </w:r>
    </w:p>
    <w:p w:rsidR="00A31137" w:rsidRPr="00A31137" w:rsidRDefault="00A31137" w:rsidP="00A31137">
      <w:r w:rsidRPr="00A31137">
        <w:t>1980 Republican Platform, p.17</w:t>
      </w:r>
    </w:p>
    <w:p w:rsidR="00A31137" w:rsidRPr="00A31137" w:rsidRDefault="00A31137" w:rsidP="00A31137">
      <w:r w:rsidRPr="00A31137">
        <w:t>Since four out of every five jobs are in the private sector, the success of federal employment efforts is dependent on private sector participation. It must be recognized as the ultimate location for unsubsidized jobs, as the provider of means to attain this end, and as an active participant in the formulation of employment and training policies on the local and national level. Throughout America, the private and independent sectors have repeatedly helped in the creation of minority business through donated counseling and consulting services. They have encouraged equal opportunity hiring practices within their own industries and have built nonprofit, self-supporting training centers where the products produced during training are sold to support the programs.</w:t>
      </w:r>
    </w:p>
    <w:p w:rsidR="00A31137" w:rsidRPr="00A31137" w:rsidRDefault="00A31137" w:rsidP="00A31137">
      <w:r w:rsidRPr="00A31137">
        <w:t>1980 Republican Platform, p.17</w:t>
      </w:r>
    </w:p>
    <w:p w:rsidR="00A31137" w:rsidRPr="00A31137" w:rsidRDefault="00A31137" w:rsidP="00A31137">
      <w:r w:rsidRPr="00A31137">
        <w:t>A coordinated approach needs to be developed which maximizes the use of existing community resources, offers adequate incentives to the private sector, focuses on both large and small business, and minimizes red tape.</w:t>
      </w:r>
    </w:p>
    <w:p w:rsidR="00A31137" w:rsidRPr="00A31137" w:rsidRDefault="00A31137" w:rsidP="00A31137">
      <w:r w:rsidRPr="00A31137">
        <w:t>1980 Republican Platform, p.17</w:t>
      </w:r>
    </w:p>
    <w:p w:rsidR="00A31137" w:rsidRPr="00A31137" w:rsidRDefault="00A31137" w:rsidP="00A31137">
      <w:r w:rsidRPr="00A31137">
        <w:t>in recognizing the seriousness of the youth employment problem, Republicans also realize that a job alone will do very little to move a disadvantaged young person beyond the poverty line. Republicans support the creation of comprehensive programs for disadvantaged youth which would offer pre-employment training, education, instruction, and job placement and retention services. Republicans support efforts to establish and maintain programs which seek to match the needs of the private sector and our young people as efficiently and effectively as possible. We also support expansion of proven skill training practices, such as apprenticeship, as well as private schools and trade schools. These methods can provide quality training and point toward the acquisition of specific job skills leading to specific employment goals.</w:t>
      </w:r>
    </w:p>
    <w:p w:rsidR="00A31137" w:rsidRPr="00A31137" w:rsidRDefault="00A31137" w:rsidP="00A31137">
      <w:r w:rsidRPr="00A31137">
        <w:t>1980 Republican Platform, p.17</w:t>
      </w:r>
    </w:p>
    <w:p w:rsidR="00A31137" w:rsidRPr="00A31137" w:rsidRDefault="00A31137" w:rsidP="00A31137">
      <w:r w:rsidRPr="00A31137">
        <w:t>We will encourage and foster the growth of new organizations operated by public-private partnerships to help forge a closer link between the schools and private employers. These institutions can afford in-school and out-of-school disadvantaged youth the opportunity to upgrade basic [p.18] skills, acquire work habits and orientation to work, and move directly from successful completion of the program to private unsubsidized jobs.</w:t>
      </w:r>
    </w:p>
    <w:p w:rsidR="00A31137" w:rsidRPr="00A31137" w:rsidRDefault="00A31137" w:rsidP="00A31137">
      <w:r w:rsidRPr="00A31137">
        <w:t>1980 Republican Platform, p.18</w:t>
      </w:r>
    </w:p>
    <w:p w:rsidR="00A31137" w:rsidRPr="00A31137" w:rsidRDefault="00A31137" w:rsidP="00A31137">
      <w:r w:rsidRPr="00A31137">
        <w:t>We believe that present laws create additional barriers for unemployed youth. One of the keys to resolving the youth unemployment problem is to reduce the cost to private employers of hiring young people who lack the necessary skills and experience to become immediately productive. Unfortunately, current government policy makes it too expensive for employers to hire unskilled youths. We urge a reduction of payroll tax rates, a youth differential for the minimum wage, and alleviation of other costs of employment until a young person can be a productive employee.</w:t>
      </w:r>
    </w:p>
    <w:p w:rsidR="00A31137" w:rsidRPr="00A31137" w:rsidRDefault="00A31137" w:rsidP="00A31137">
      <w:r w:rsidRPr="00A31137">
        <w:t>Small business</w:t>
      </w:r>
    </w:p>
    <w:p w:rsidR="00A31137" w:rsidRPr="00A31137" w:rsidRDefault="00A31137" w:rsidP="00A31137">
      <w:r w:rsidRPr="00A31137">
        <w:t>1980 Republican Platform, p.18</w:t>
      </w:r>
    </w:p>
    <w:p w:rsidR="00A31137" w:rsidRPr="00A31137" w:rsidRDefault="00A31137" w:rsidP="00A31137">
      <w:r w:rsidRPr="00A31137">
        <w:t>Small business is the backbone of the American economy, with unique strengths and problems which must be recognized and addressed. For more than half of all American workers, the workplace is a small business. Small business is family business both in the sense that many of them are owned and operated by single families, and also because most American families rely not only on the goods and services, but on the jobs produced there for their livelihood and standard of living.</w:t>
      </w:r>
    </w:p>
    <w:p w:rsidR="00A31137" w:rsidRPr="00A31137" w:rsidRDefault="00A31137" w:rsidP="00A31137">
      <w:r w:rsidRPr="00A31137">
        <w:t>1980 Republican Platform, p.18</w:t>
      </w:r>
    </w:p>
    <w:p w:rsidR="00A31137" w:rsidRPr="00A31137" w:rsidRDefault="00A31137" w:rsidP="00A31137">
      <w:r w:rsidRPr="00A31137">
        <w:t>Republicans have demonstrated their sensitivity to the problems of the small business community. The Carter Administration held a conference to learn what Republicans have long known. In the Congress, we have been working to pass legislation to solve small business problems and achieve the very goals later identified by that conference. A 1978 initiative by the late Representative Bill Steiger reduced the capital gains tax rates which were destroying capital formation in America. Under the leadership of Republicans in Congress, efforts to simplify and liberalize the restrictive depreciation schedule are a top priority. Another proposal long advocated by our Party is the drive to encourage the entrepreneur by reform of the regulatory laws which stifle the very life of business through fines, threats, and harassment. Republicans realize the immediate necessity of reducing the regulatory burden to give small business a fighting chance against the federal agencies. We believe that wherever feasible, small business should be exempt from regulations and, where exemption is not feasible, small business should be subject to a less onerous tier of regulation. We have offered legislation to reimburse small businessmen who successfully challenge the federal government in court. Republicans believe the number one priority for small business in America is the achievement of lower business and personal tax rates for small businessmen and women and we intend to work to secure them.</w:t>
      </w:r>
    </w:p>
    <w:p w:rsidR="00A31137" w:rsidRPr="00A31137" w:rsidRDefault="00A31137" w:rsidP="00A31137">
      <w:r w:rsidRPr="00A31137">
        <w:t>1980 Republican Platform, p.18</w:t>
      </w:r>
    </w:p>
    <w:p w:rsidR="00A31137" w:rsidRPr="00A31137" w:rsidRDefault="00A31137" w:rsidP="00A31137">
      <w:r w:rsidRPr="00A31137">
        <w:t>All of these initiatives will receive immediate attention from a Republican Administration and Congress. Without such changes as these, the small entrepreneur, who takes the risks which help make the economy grow and provides over 90 percent of all new jobs annually, will be an endangered species.</w:t>
      </w:r>
    </w:p>
    <w:p w:rsidR="00A31137" w:rsidRPr="00A31137" w:rsidRDefault="00A31137" w:rsidP="00A31137">
      <w:r w:rsidRPr="00A31137">
        <w:t>1980 Republican Platform, p.18</w:t>
      </w:r>
    </w:p>
    <w:p w:rsidR="00A31137" w:rsidRPr="00A31137" w:rsidRDefault="00A31137" w:rsidP="00A31137">
      <w:r w:rsidRPr="00A31137">
        <w:t>By fostering small business growth, we are promoting permanent private sector solutions to the unemployment problem. We will continue to provide for small business needs by enacting a substantial increase in the surtax exemption. The heavy estate tax burden imposed on the American people is threatening the life savings of millions of our families, forcing spouses and children to sell their homes, businesses, and family farms to pay the estate taxes. To encourage continuity of family ownership, we will seek to ease this tax burden on all Americans and abolish excessive inheritance taxes to allow families to retain and pass on their small businesses and family farms.</w:t>
      </w:r>
    </w:p>
    <w:p w:rsidR="00A31137" w:rsidRPr="00A31137" w:rsidRDefault="00A31137" w:rsidP="00A31137">
      <w:r w:rsidRPr="00A31137">
        <w:t>1980 Republican Platform, p.18</w:t>
      </w:r>
    </w:p>
    <w:p w:rsidR="00A31137" w:rsidRPr="00A31137" w:rsidRDefault="00A31137" w:rsidP="00A31137">
      <w:r w:rsidRPr="00A31137">
        <w:t>We will reform the patent laws to facilitate innovation and we will further this goal by encouraging a greater share of federal research and development be done by small businesses. Finally, we will reform those tax laws which make it more profitable to break up a small business or merge it into a conglomerate than to allow it to grow and develop as an independent business.</w:t>
      </w:r>
    </w:p>
    <w:p w:rsidR="00A31137" w:rsidRPr="00A31137" w:rsidRDefault="00A31137" w:rsidP="00A31137">
      <w:r w:rsidRPr="00A31137">
        <w:t>Fairness to the worker</w:t>
      </w:r>
    </w:p>
    <w:p w:rsidR="00A31137" w:rsidRPr="00A31137" w:rsidRDefault="00A31137" w:rsidP="00A31137">
      <w:r w:rsidRPr="00A31137">
        <w:t>1980 Republican Platform, p.18</w:t>
      </w:r>
    </w:p>
    <w:p w:rsidR="00A31137" w:rsidRPr="00A31137" w:rsidRDefault="00A31137" w:rsidP="00A31137">
      <w:r w:rsidRPr="00A31137">
        <w:t>The Republican Party is committed to full employment without inflation. We will seek to provide more jobs, increase the standard of living, and ensure equitable treatment on the job for all American workers by stimulating economic growth.</w:t>
      </w:r>
    </w:p>
    <w:p w:rsidR="00A31137" w:rsidRPr="00A31137" w:rsidRDefault="00A31137" w:rsidP="00A31137">
      <w:r w:rsidRPr="00A31137">
        <w:t>1980 Republican Platform, p.18</w:t>
      </w:r>
    </w:p>
    <w:p w:rsidR="00A31137" w:rsidRPr="00A31137" w:rsidRDefault="00A31137" w:rsidP="00A31137">
      <w:r w:rsidRPr="00A31137">
        <w:t>We reaffirm our commitment to the fundamental principle of fairness in labor relations, including the legal right of unions to organize workers and to represent them through collective bargaining consistent with state laws and free from unnecessary government involvement. We applaud the mutual efforts of labor and management to improve the quality of work life.</w:t>
      </w:r>
    </w:p>
    <w:p w:rsidR="00A31137" w:rsidRPr="00A31137" w:rsidRDefault="00A31137" w:rsidP="00A31137">
      <w:r w:rsidRPr="00A31137">
        <w:t>1980 Republican Platform, p.18</w:t>
      </w:r>
    </w:p>
    <w:p w:rsidR="00A31137" w:rsidRPr="00A31137" w:rsidRDefault="00A31137" w:rsidP="00A31137">
      <w:r w:rsidRPr="00A31137">
        <w:t>Wage demands today often represent the attempt of working men and women to catch up with government-caused inflation and high tax rates. With the blessing of the Democrats' majority in Congress, the Council on Wage and Price Stability has put a de facto ceiling of seven to eight and one-half percent on workers' wages, while the Administration devalues their paychecks at a rate of 13 to 15 percent. The government, not the worker, is the principal cause of inflation.</w:t>
      </w:r>
    </w:p>
    <w:p w:rsidR="00A31137" w:rsidRPr="00A31137" w:rsidRDefault="00A31137" w:rsidP="00A31137">
      <w:r w:rsidRPr="00A31137">
        <w:t>1980 Republican Platform, p.18</w:t>
      </w:r>
    </w:p>
    <w:p w:rsidR="00A31137" w:rsidRPr="00A31137" w:rsidRDefault="00A31137" w:rsidP="00A31137">
      <w:r w:rsidRPr="00A31137">
        <w:t>We recognize the need for governmental oversight of the health and safety of the workplace, without interfering in the economic well-being of employers or the job security of workers.</w:t>
      </w:r>
    </w:p>
    <w:p w:rsidR="00A31137" w:rsidRPr="00A31137" w:rsidRDefault="00A31137" w:rsidP="00A31137">
      <w:r w:rsidRPr="00A31137">
        <w:t>1980 Republican Platform, p.18</w:t>
      </w:r>
    </w:p>
    <w:p w:rsidR="00A31137" w:rsidRPr="00A31137" w:rsidRDefault="00A31137" w:rsidP="00A31137">
      <w:r w:rsidRPr="00A31137">
        <w:t>The Republican Party reaffirms its long-standing support for the right of states to enact "Right-to-Work" laws under section 14(b) of the Taft-Hartley Act.</w:t>
      </w:r>
    </w:p>
    <w:p w:rsidR="00A31137" w:rsidRPr="00A31137" w:rsidRDefault="00A31137" w:rsidP="00A31137">
      <w:r w:rsidRPr="00A31137">
        <w:t>1980 Republican Platform, p.18</w:t>
      </w:r>
    </w:p>
    <w:p w:rsidR="00A31137" w:rsidRPr="00A31137" w:rsidRDefault="00A31137" w:rsidP="00A31137">
      <w:r w:rsidRPr="00A31137">
        <w:t>The political freedom of every worker must be protected. Therefore, the Republican Party strongly supports protections against [p.19] the practice of using compulsory dues and fees for partisan political purposes.</w:t>
      </w:r>
    </w:p>
    <w:p w:rsidR="00A31137" w:rsidRPr="00A31137" w:rsidRDefault="00A31137" w:rsidP="00A31137">
      <w:r w:rsidRPr="00A31137">
        <w:t>Fairness to the consumer</w:t>
      </w:r>
    </w:p>
    <w:p w:rsidR="00A31137" w:rsidRPr="00A31137" w:rsidRDefault="00A31137" w:rsidP="00A31137">
      <w:r w:rsidRPr="00A31137">
        <w:t>1980 Republican Platform, p.19</w:t>
      </w:r>
    </w:p>
    <w:p w:rsidR="00A31137" w:rsidRPr="00A31137" w:rsidRDefault="00A31137" w:rsidP="00A31137">
      <w:r w:rsidRPr="00A31137">
        <w:t>The Republican Party shares the concerns of consumers that there be full disclosure and fairness in the marketplace. We recognize that government regulation and taxes add significantly to costs of goods and services to the consumer, reducing the standard of living for all Americans. For example, safety and environmental standards, some of which are counterproductive, increase the average price of a new car by over $700. Compliance with those regulations alone costs motorists as much as $12 billion a year.</w:t>
      </w:r>
    </w:p>
    <w:p w:rsidR="00A31137" w:rsidRPr="00A31137" w:rsidRDefault="00A31137" w:rsidP="00A31137">
      <w:r w:rsidRPr="00A31137">
        <w:t>1980 Republican Platform, p.19</w:t>
      </w:r>
    </w:p>
    <w:p w:rsidR="00A31137" w:rsidRPr="00A31137" w:rsidRDefault="00A31137" w:rsidP="00A31137">
      <w:r w:rsidRPr="00A31137">
        <w:t>Fairness to the consumer, like fairness to the employer and the worker, requires that government perform certain limited functions and enforce certain safeguards to ensure that equity, free competition, and safety exist in the free market economy. However, government action is not itself the solution to consumer problems; in fact, it has become in large measure a part of the problem. By consistent enforcement of law and enhancement of fair competition, government can and should help the consumer.</w:t>
      </w:r>
    </w:p>
    <w:p w:rsidR="00A31137" w:rsidRPr="00A31137" w:rsidRDefault="00A31137" w:rsidP="00A31137">
      <w:r w:rsidRPr="00A31137">
        <w:t>1980 Republican Platform, p.19</w:t>
      </w:r>
    </w:p>
    <w:p w:rsidR="00A31137" w:rsidRPr="00A31137" w:rsidRDefault="00A31137" w:rsidP="00A31137">
      <w:r w:rsidRPr="00A31137">
        <w:t>An informed consumer making economic choices and decisions in the marketplace is the best regulator of the free enterprise system. Consumers are also taxpayers, workers, investors, shoppers, farmers, and producers. The Republican Party recognizes the need for consumer protection but feels that such protection will not be enhanced by the creation of a new consumer protection bureaucracy. Just as there can be no single monolithic consumer viewpoint, so the Republican Party opposes the funding of special self-proclaimed advocates to represent consumer interests in federal agency proceedings.</w:t>
      </w:r>
    </w:p>
    <w:p w:rsidR="00A31137" w:rsidRPr="00A31137" w:rsidRDefault="00A31137" w:rsidP="00A31137">
      <w:r w:rsidRPr="00A31137">
        <w:t>Fairness to the employer</w:t>
      </w:r>
    </w:p>
    <w:p w:rsidR="00A31137" w:rsidRPr="00A31137" w:rsidRDefault="00A31137" w:rsidP="00A31137">
      <w:r w:rsidRPr="00A31137">
        <w:t>1980 Republican Platform, p.19</w:t>
      </w:r>
    </w:p>
    <w:p w:rsidR="00A31137" w:rsidRPr="00A31137" w:rsidRDefault="00A31137" w:rsidP="00A31137">
      <w:r w:rsidRPr="00A31137">
        <w:t>The Republican Party declares war on government overregulation. We pledge to cut down on federal paperwork, cut out excessive regulation, and cut back the bloated bureaucracy.</w:t>
      </w:r>
    </w:p>
    <w:p w:rsidR="00A31137" w:rsidRPr="00A31137" w:rsidRDefault="00A31137" w:rsidP="00A31137">
      <w:r w:rsidRPr="00A31137">
        <w:t>1980 Republican Platform, p.19</w:t>
      </w:r>
    </w:p>
    <w:p w:rsidR="00A31137" w:rsidRPr="00A31137" w:rsidRDefault="00A31137" w:rsidP="00A31137">
      <w:r w:rsidRPr="00A31137">
        <w:t>In addressing these problems we recognize that overregulation is particularly harmful to America's small businesses whose survival is often threatened by the excessive costs of complying with government rules and handling federal paperwork.</w:t>
      </w:r>
    </w:p>
    <w:p w:rsidR="00A31137" w:rsidRPr="00A31137" w:rsidRDefault="00A31137" w:rsidP="00A31137">
      <w:r w:rsidRPr="00A31137">
        <w:t>1980 Republican Platform, p.19</w:t>
      </w:r>
    </w:p>
    <w:p w:rsidR="00A31137" w:rsidRPr="00A31137" w:rsidRDefault="00A31137" w:rsidP="00A31137">
      <w:r w:rsidRPr="00A31137">
        <w:t>While we recognize the role of the federal government in establishing certain minimum standards designed to improve the quality of life in America, we reaffirm our conviction that these standards can best be attained through innovative efforts of American business without the federal government mandating the methods of attainment.</w:t>
      </w:r>
    </w:p>
    <w:p w:rsidR="00A31137" w:rsidRPr="00A31137" w:rsidRDefault="00A31137" w:rsidP="00A31137">
      <w:r w:rsidRPr="00A31137">
        <w:t>1980 Republican Platform, p.19</w:t>
      </w:r>
    </w:p>
    <w:p w:rsidR="00A31137" w:rsidRPr="00A31137" w:rsidRDefault="00A31137" w:rsidP="00A31137">
      <w:r w:rsidRPr="00A31137">
        <w:t>The extraordinary growth of government, particularly since the middle 1960s, has brought mounting costs to society which, in turn, have added to inflationary pressures, reduced productivity, discouraged new investment, destroyed jobs, and increased bureaucratic intrusion into everyday life.</w:t>
      </w:r>
    </w:p>
    <w:p w:rsidR="00A31137" w:rsidRPr="00A31137" w:rsidRDefault="00A31137" w:rsidP="00A31137">
      <w:r w:rsidRPr="00A31137">
        <w:t>1980 Republican Platform, p.19</w:t>
      </w:r>
    </w:p>
    <w:p w:rsidR="00A31137" w:rsidRPr="00A31137" w:rsidRDefault="00A31137" w:rsidP="00A31137">
      <w:r w:rsidRPr="00A31137">
        <w:t>Regulatory costs are now running in excess of $100 billion each year, or about $1,800 for every American family. Federal paperwork annually costs businesses from $25 to $32 billion. According to official figures, it takes individuals and business firms over 143 million man-hours to complete 4,400 different federal forms each year. Government regulation produces many indirect immeasurable costs as well and has led to increased bureaucratization of industry. Regulation also restricts personal choices, tends to undermine America's democratic public institutions, and threatens to destroy the private, competitive free market economy it was originally designed to protect.</w:t>
      </w:r>
    </w:p>
    <w:p w:rsidR="00A31137" w:rsidRPr="00A31137" w:rsidRDefault="00A31137" w:rsidP="00A31137">
      <w:r w:rsidRPr="00A31137">
        <w:t>Government reform</w:t>
      </w:r>
    </w:p>
    <w:p w:rsidR="00A31137" w:rsidRPr="00A31137" w:rsidRDefault="00A31137" w:rsidP="00A31137">
      <w:r w:rsidRPr="00A31137">
        <w:t>1980 Republican Platform, p.19</w:t>
      </w:r>
    </w:p>
    <w:p w:rsidR="00A31137" w:rsidRPr="00A31137" w:rsidRDefault="00A31137" w:rsidP="00A31137">
      <w:r w:rsidRPr="00A31137">
        <w:t>In the face of a crisis of overregulation, the Carter Administration and the Democrats who control Congress have failed to recognize the problems facing workers, employers, and consumers and seem unable to come to grips with the underlying causes. While belatedly supporting transportation deregulation programs initiated by previous Republican Administrations, they have embarked on ambitious new schemes to tighten Washington's hold on energy and education. They have ignored or sidetracked Republican proposals to eliminate wasteful and outmoded spending programs and regulations. They have combined to push through more legislation and create additional programs which expand the size and power of the federal bureaucracy at the expense of ordinary taxpayers, consumers, and businesses. In contradiction to 1976 Carter campaign promises to cut back on regulation, the number of pages in the Federal Register devoted to new rules and regulations has increased from 57,072 in 1976 to 77,497 in 1979 and will approach 90,000 by the end of 1980.</w:t>
      </w:r>
    </w:p>
    <w:p w:rsidR="00A31137" w:rsidRPr="00A31137" w:rsidRDefault="00A31137" w:rsidP="00A31137">
      <w:r w:rsidRPr="00A31137">
        <w:t>1980 Republican Platform, p.19</w:t>
      </w:r>
    </w:p>
    <w:p w:rsidR="00A31137" w:rsidRPr="00A31137" w:rsidRDefault="00A31137" w:rsidP="00A31137">
      <w:r w:rsidRPr="00A31137">
        <w:t>The result of Democratic rule in both the White House and the Congress is that government power has grown unchecked. Excessive regulation remains a major component of our Nation's spiraling inflation and continues to stifle private initiative, individual freedom, and state and local government autonomy.</w:t>
      </w:r>
    </w:p>
    <w:p w:rsidR="00A31137" w:rsidRPr="00A31137" w:rsidRDefault="00A31137" w:rsidP="00A31137">
      <w:r w:rsidRPr="00A31137">
        <w:t>1980 Republican Platform, p.19</w:t>
      </w:r>
    </w:p>
    <w:p w:rsidR="00A31137" w:rsidRPr="00A31137" w:rsidRDefault="00A31137" w:rsidP="00A31137">
      <w:r w:rsidRPr="00A31137">
        <w:t>The Republican Party pledges itself to a comprehensive program of government reform. We propose to enact a temporary moratorium on all new federal regulations that diminish the supply of goods and services and add significantly to inflation. Such a moratorium will be consistent with the goal of achieving a safe and healthy working environment. We shall work to reduce substantially the regulatory and paperwork burdens on small businesses.</w:t>
      </w:r>
    </w:p>
    <w:p w:rsidR="00A31137" w:rsidRPr="00A31137" w:rsidRDefault="00A31137" w:rsidP="00A31137">
      <w:r w:rsidRPr="00A31137">
        <w:t>1980 Republican Platform, p.19</w:t>
      </w:r>
    </w:p>
    <w:p w:rsidR="00A31137" w:rsidRPr="00A31137" w:rsidRDefault="00A31137" w:rsidP="00A31137">
      <w:r w:rsidRPr="00A31137">
        <w:t>We encourage management and labor to form joint safety and health committees to make the workplace a better place to produce goods and services. At the same time we believe that the arbitrary and high-handed tactics used by OSHA bureaucrats must end. OSHA should concentrate its resources on encouraging voluntary compliance by employers and monitoring situations where [p.20] close federal supervision is needed and serious hazards are most likely to occur. OSHA should be required to consult with, advise, and assist businesses in coping with the regulatory burden before imposing any penalty for noncompliance. Small businesses and employers with good safety records should be exempt from safety inspections, and penalties should be increased for those with consistently poor performance.</w:t>
      </w:r>
    </w:p>
    <w:p w:rsidR="00A31137" w:rsidRPr="00A31137" w:rsidRDefault="00A31137" w:rsidP="00A31137">
      <w:r w:rsidRPr="00A31137">
        <w:t>Agriculture</w:t>
      </w:r>
    </w:p>
    <w:p w:rsidR="00A31137" w:rsidRPr="00A31137" w:rsidRDefault="00A31137" w:rsidP="00A31137">
      <w:r w:rsidRPr="00A31137">
        <w:t>1980 Republican Platform, p.20</w:t>
      </w:r>
    </w:p>
    <w:p w:rsidR="00A31137" w:rsidRPr="00A31137" w:rsidRDefault="00A31137" w:rsidP="00A31137">
      <w:r w:rsidRPr="00A31137">
        <w:t>In no American workplace is there to be found greater productivity, cooperation, neighborly concern, creative use of applied science, information and relevant research, honesty, perseverance, hard work, and independence than on the farm and ranch.</w:t>
      </w:r>
    </w:p>
    <w:p w:rsidR="00A31137" w:rsidRPr="00A31137" w:rsidRDefault="00A31137" w:rsidP="00A31137">
      <w:r w:rsidRPr="00A31137">
        <w:t>1980 Republican Platform, p.20</w:t>
      </w:r>
    </w:p>
    <w:p w:rsidR="00A31137" w:rsidRPr="00A31137" w:rsidRDefault="00A31137" w:rsidP="00A31137">
      <w:r w:rsidRPr="00A31137">
        <w:t>The Republican Party takes pride in the ability of American farmers to provide abundant, high quality, and nutritious food and fiber for all our citizens including those most in need and to millions throughout the world, and at the same time to supply the largest single component in our export balance of trade.</w:t>
      </w:r>
    </w:p>
    <w:p w:rsidR="00A31137" w:rsidRPr="00A31137" w:rsidRDefault="00A31137" w:rsidP="00A31137">
      <w:r w:rsidRPr="00A31137">
        <w:t>Crisis in Agriculture</w:t>
      </w:r>
    </w:p>
    <w:p w:rsidR="00A31137" w:rsidRPr="00A31137" w:rsidRDefault="00A31137" w:rsidP="00A31137">
      <w:r w:rsidRPr="00A31137">
        <w:t>1980 Republican Platform, p.20</w:t>
      </w:r>
    </w:p>
    <w:p w:rsidR="00A31137" w:rsidRPr="00A31137" w:rsidRDefault="00A31137" w:rsidP="00A31137">
      <w:r w:rsidRPr="00A31137">
        <w:t>Four years of the Carter Administration and 25 consecutive years of a Congress controlled by Democrats have brought farmers and ranchers to the brink of disaster and the hardest times they have known since the Great Depression. In the last four years, more than 100,000 family farms have failed as farm income has plummeted. Even the present Administration's own figures show a decrease in real net farm income of some 40 percent in the last year alone—from $33 billion in 1979 to less than $22 billion projected for 1980.</w:t>
      </w:r>
    </w:p>
    <w:p w:rsidR="00A31137" w:rsidRPr="00A31137" w:rsidRDefault="00A31137" w:rsidP="00A31137">
      <w:r w:rsidRPr="00A31137">
        <w:t>1980 Republican Platform, p.20</w:t>
      </w:r>
    </w:p>
    <w:p w:rsidR="00A31137" w:rsidRPr="00A31137" w:rsidRDefault="00A31137" w:rsidP="00A31137">
      <w:r w:rsidRPr="00A31137">
        <w:t>The Democratic Party and the Carter Administration have abused their authority and failed in their responsibility to provide sound agricultural policies. Republicans pledge to make life in rural America prosperous again. We will:</w:t>
      </w:r>
    </w:p>
    <w:p w:rsidR="00A31137" w:rsidRPr="00A31137" w:rsidRDefault="00A31137" w:rsidP="00A31137">
      <w:r w:rsidRPr="00A31137">
        <w:t>1980 Republican Platform, p.20</w:t>
      </w:r>
    </w:p>
    <w:p w:rsidR="00A31137" w:rsidRPr="00A31137" w:rsidRDefault="00A31137" w:rsidP="00A31137">
      <w:r w:rsidRPr="00A31137">
        <w:t>Increase net farm income by supporting and refining programs to bring profitable farm prices with the goal of surpassing parity levels in a market-oriented agricultural economy;</w:t>
      </w:r>
    </w:p>
    <w:p w:rsidR="00A31137" w:rsidRPr="00A31137" w:rsidRDefault="00A31137" w:rsidP="00A31137">
      <w:r w:rsidRPr="00A31137">
        <w:t>1980 Republican Platform, p.20</w:t>
      </w:r>
    </w:p>
    <w:p w:rsidR="00A31137" w:rsidRPr="00A31137" w:rsidRDefault="00A31137" w:rsidP="00A31137">
      <w:r w:rsidRPr="00A31137">
        <w:t>Control inflation by adopting sound fiscal and monetary policies and by eliminating excessive and unnecessary federal regulations;</w:t>
      </w:r>
    </w:p>
    <w:p w:rsidR="00A31137" w:rsidRPr="00A31137" w:rsidRDefault="00A31137" w:rsidP="00A31137">
      <w:r w:rsidRPr="00A31137">
        <w:t>1980 Republican Platform, p.20</w:t>
      </w:r>
    </w:p>
    <w:p w:rsidR="00A31137" w:rsidRPr="00A31137" w:rsidRDefault="00A31137" w:rsidP="00A31137">
      <w:r w:rsidRPr="00A31137">
        <w:t>Expand markets at home by effectively utilizing the advantages of the energy potential for farm, forestry, and other biomass products. We encourage the continued innovative efforts in developing alcohol and other renewable energy sources and equipment for both on-farm and commercial use;</w:t>
      </w:r>
    </w:p>
    <w:p w:rsidR="00A31137" w:rsidRPr="00A31137" w:rsidRDefault="00A31137" w:rsidP="00A31137">
      <w:r w:rsidRPr="00A31137">
        <w:t>1980 Republican Platform, p.20</w:t>
      </w:r>
    </w:p>
    <w:p w:rsidR="00A31137" w:rsidRPr="00A31137" w:rsidRDefault="00A31137" w:rsidP="00A31137">
      <w:r w:rsidRPr="00A31137">
        <w:t>Aggressively expand markets abroad by effectively using the Eisenhower Food for Peace program and revolving credit incentives, working to remove foreign restraints on American products, and encouraging the development of dependable new markets in developing countries;</w:t>
      </w:r>
    </w:p>
    <w:p w:rsidR="00A31137" w:rsidRPr="00A31137" w:rsidRDefault="00A31137" w:rsidP="00A31137">
      <w:r w:rsidRPr="00A31137">
        <w:t>1980 Republican Platform, p.20</w:t>
      </w:r>
    </w:p>
    <w:p w:rsidR="00A31137" w:rsidRPr="00A31137" w:rsidRDefault="00A31137" w:rsidP="00A31137">
      <w:r w:rsidRPr="00A31137">
        <w:t>Assure a priority allocation of fuel for U.S. agriculture, including food and fiber production, transportation, and processing; and</w:t>
      </w:r>
    </w:p>
    <w:p w:rsidR="00A31137" w:rsidRPr="00A31137" w:rsidRDefault="00A31137" w:rsidP="00A31137">
      <w:r w:rsidRPr="00A31137">
        <w:t>1980 Republican Platform, p.20</w:t>
      </w:r>
    </w:p>
    <w:p w:rsidR="00A31137" w:rsidRPr="00A31137" w:rsidRDefault="00A31137" w:rsidP="00A31137">
      <w:r w:rsidRPr="00A31137">
        <w:t>Combine efforts to encourage the renewable resource timber production capability of privately-owned forests and woodlands with a federal program committed to multiple-use (timber, recreation, wildlife, watershed and/or range management) where federal land has not been designated as wilderness.</w:t>
      </w:r>
    </w:p>
    <w:p w:rsidR="00A31137" w:rsidRPr="00A31137" w:rsidRDefault="00A31137" w:rsidP="00A31137">
      <w:r w:rsidRPr="00A31137">
        <w:t>Rural America</w:t>
      </w:r>
    </w:p>
    <w:p w:rsidR="00A31137" w:rsidRPr="00A31137" w:rsidRDefault="00A31137" w:rsidP="00A31137">
      <w:r w:rsidRPr="00A31137">
        <w:t>1980 Republican Platform, p.20</w:t>
      </w:r>
    </w:p>
    <w:p w:rsidR="00A31137" w:rsidRPr="00A31137" w:rsidRDefault="00A31137" w:rsidP="00A31137">
      <w:r w:rsidRPr="00A31137">
        <w:t>Attention to the quality of life in our rural areas is a vital necessity because rural Americans impart a special strength to the national character. It is our goal to assure that all rural citizens—whether they are farmers or not—have the same consideration in matters of economic development, in energy, credit and transportation availability, and in employment opportunities which is given to those who live in towns and cities. The opportunity for non-farm jobs enhances the ability of people to live and work in rural America in the decade ahead, and our dedication to a prosperous and energetic rural America is part and parcel of our commitment to make America great again.</w:t>
      </w:r>
    </w:p>
    <w:p w:rsidR="00A31137" w:rsidRPr="00A31137" w:rsidRDefault="00A31137" w:rsidP="00A31137">
      <w:r w:rsidRPr="00A31137">
        <w:t>Expand Export Markets</w:t>
      </w:r>
    </w:p>
    <w:p w:rsidR="00A31137" w:rsidRPr="00A31137" w:rsidRDefault="00A31137" w:rsidP="00A31137">
      <w:r w:rsidRPr="00A31137">
        <w:t>1980 Republican Platform, p.20</w:t>
      </w:r>
    </w:p>
    <w:p w:rsidR="00A31137" w:rsidRPr="00A31137" w:rsidRDefault="00A31137" w:rsidP="00A31137">
      <w:r w:rsidRPr="00A31137">
        <w:t>Agriculture's contribution to the U.S. trade balance makes it especially fitting that an aggressive market development program to establish dependable new markets for farm exports will be a vital part of the policies to restore profitability to American agriculture. Republicans will ensure that:</w:t>
      </w:r>
    </w:p>
    <w:p w:rsidR="00A31137" w:rsidRPr="00A31137" w:rsidRDefault="00A31137" w:rsidP="00A31137">
      <w:r w:rsidRPr="00A31137">
        <w:t>1980 Republican Platform, p.20</w:t>
      </w:r>
    </w:p>
    <w:p w:rsidR="00A31137" w:rsidRPr="00A31137" w:rsidRDefault="00A31137" w:rsidP="00A31137">
      <w:r w:rsidRPr="00A31137">
        <w:t>International trade is conducted on the basis of fair and effective competition and that all imported agricultural products meet the same standards of quality that are required of American producers;</w:t>
      </w:r>
    </w:p>
    <w:p w:rsidR="00A31137" w:rsidRPr="00A31137" w:rsidRDefault="00A31137" w:rsidP="00A31137">
      <w:r w:rsidRPr="00A31137">
        <w:t>1980 Republican Platform, p.20</w:t>
      </w:r>
    </w:p>
    <w:p w:rsidR="00A31137" w:rsidRPr="00A31137" w:rsidRDefault="00A31137" w:rsidP="00A31137">
      <w:r w:rsidRPr="00A31137">
        <w:t>The General Agreement on Tariffs and Trade becomes a meaningful vehicle for handling agricultural trade problems and grievances;</w:t>
      </w:r>
    </w:p>
    <w:p w:rsidR="00A31137" w:rsidRPr="00A31137" w:rsidRDefault="00A31137" w:rsidP="00A31137">
      <w:r w:rsidRPr="00A31137">
        <w:t>1980 Republican Platform, p.20</w:t>
      </w:r>
    </w:p>
    <w:p w:rsidR="00A31137" w:rsidRPr="00A31137" w:rsidRDefault="00A31137" w:rsidP="00A31137">
      <w:r w:rsidRPr="00A31137">
        <w:t>An aggressive agricultural market development program and the streamlining of the export marketing system is given top national priority;</w:t>
      </w:r>
    </w:p>
    <w:p w:rsidR="00A31137" w:rsidRPr="00A31137" w:rsidRDefault="00A31137" w:rsidP="00A31137">
      <w:r w:rsidRPr="00A31137">
        <w:t>1980 Republican Platform, p.20</w:t>
      </w:r>
    </w:p>
    <w:p w:rsidR="00A31137" w:rsidRPr="00A31137" w:rsidRDefault="00A31137" w:rsidP="00A31137">
      <w:r w:rsidRPr="00A31137">
        <w:t>Government-to-government sales of agricultural commodities be eliminated, except as specifically provided by law;</w:t>
      </w:r>
    </w:p>
    <w:p w:rsidR="00A31137" w:rsidRPr="00A31137" w:rsidRDefault="00A31137" w:rsidP="00A31137">
      <w:r w:rsidRPr="00A31137">
        <w:t>1980 Republican Platform, p.20</w:t>
      </w:r>
    </w:p>
    <w:p w:rsidR="00A31137" w:rsidRPr="00A31137" w:rsidRDefault="00A31137" w:rsidP="00A31137">
      <w:r w:rsidRPr="00A31137">
        <w:t>The future of U.S. agricultural commodities is protected from the economic evils of predatory dumping by other producing nations and that the domestic production of these commodities, so important to the survival of individuals and small rural communities is preserved; and</w:t>
      </w:r>
    </w:p>
    <w:p w:rsidR="00A31137" w:rsidRPr="00A31137" w:rsidRDefault="00A31137" w:rsidP="00A31137">
      <w:r w:rsidRPr="00A31137">
        <w:t>1980 Republican Platform, p.20</w:t>
      </w:r>
    </w:p>
    <w:p w:rsidR="00A31137" w:rsidRPr="00A31137" w:rsidRDefault="00A31137" w:rsidP="00A31137">
      <w:r w:rsidRPr="00A31137">
        <w:t>The important and productive potential of the commercial seafood industry is given encouragement.</w:t>
      </w:r>
    </w:p>
    <w:p w:rsidR="00A31137" w:rsidRPr="00A31137" w:rsidRDefault="00A31137" w:rsidP="00A31137">
      <w:r w:rsidRPr="00A31137">
        <w:t>Farmer-Held Reserves</w:t>
      </w:r>
    </w:p>
    <w:p w:rsidR="00A31137" w:rsidRPr="00A31137" w:rsidRDefault="00A31137" w:rsidP="00A31137">
      <w:r w:rsidRPr="00A31137">
        <w:t>1980 Republican Platform, p.20</w:t>
      </w:r>
    </w:p>
    <w:p w:rsidR="00A31137" w:rsidRPr="00A31137" w:rsidRDefault="00A31137" w:rsidP="00A31137">
      <w:r w:rsidRPr="00A31137">
        <w:t>We support farmer-owned grain reserves, should they become necessary, and adamantly oppose government-controlled reserves.</w:t>
      </w:r>
    </w:p>
    <w:p w:rsidR="00A31137" w:rsidRPr="00A31137" w:rsidRDefault="00A31137" w:rsidP="00A31137">
      <w:r w:rsidRPr="00A31137">
        <w:t>Grain Embargo</w:t>
      </w:r>
    </w:p>
    <w:p w:rsidR="00A31137" w:rsidRPr="00A31137" w:rsidRDefault="00A31137" w:rsidP="00A31137">
      <w:r w:rsidRPr="00A31137">
        <w:t>1980 Republican Platform, p.21</w:t>
      </w:r>
    </w:p>
    <w:p w:rsidR="00A31137" w:rsidRPr="00A31137" w:rsidRDefault="00A31137" w:rsidP="00A31137">
      <w:r w:rsidRPr="00A31137">
        <w:t>[p.21] We believe that agricultural embargoes are only symbolic and are ineffective tools of foreign policy. We oppose singling out American farmers to bear the brunt of Carter's ill-conceived, ineffective, and improperly implemented grain embargo. The Carter grain embargo should be terminated immediately.</w:t>
      </w:r>
    </w:p>
    <w:p w:rsidR="00A31137" w:rsidRPr="00A31137" w:rsidRDefault="00A31137" w:rsidP="00A31137">
      <w:r w:rsidRPr="00A31137">
        <w:t>Excessive Regulation of Agriculture</w:t>
      </w:r>
    </w:p>
    <w:p w:rsidR="00A31137" w:rsidRPr="00A31137" w:rsidRDefault="00A31137" w:rsidP="00A31137">
      <w:r w:rsidRPr="00A31137">
        <w:t>1980 Republican Platform, p.21</w:t>
      </w:r>
    </w:p>
    <w:p w:rsidR="00A31137" w:rsidRPr="00A31137" w:rsidRDefault="00A31137" w:rsidP="00A31137">
      <w:r w:rsidRPr="00A31137">
        <w:t>The crushing burden of excessive federal regulations such as many of those imposed on farmers, ranchers, foresters, and commercial fishermen by OSHA, EPA, the Departments of Agriculture, Labor, Justice, Interior, and other government entities are unrealistic and unnecessary.</w:t>
      </w:r>
    </w:p>
    <w:p w:rsidR="00A31137" w:rsidRPr="00A31137" w:rsidRDefault="00A31137" w:rsidP="00A31137">
      <w:r w:rsidRPr="00A31137">
        <w:t>1980 Republican Platform, p.21</w:t>
      </w:r>
    </w:p>
    <w:p w:rsidR="00A31137" w:rsidRPr="00A31137" w:rsidRDefault="00A31137" w:rsidP="00A31137">
      <w:r w:rsidRPr="00A31137">
        <w:t>We pledge a sensible approach to reduce excessive federal regulation that is draining the profitability from farming, ranching, and commercial fishing. Especially high on the agenda for changes in policy under Republican leadership are such regulatory issues as the Interior Department's ineffective predator control policies, EPA and FDA's excessive adherence to "zero risk" policies relative to the use of pesticides, herbicides, antibiotics, food additives, preservatives, and the like.</w:t>
      </w:r>
    </w:p>
    <w:p w:rsidR="00A31137" w:rsidRPr="00A31137" w:rsidRDefault="00A31137" w:rsidP="00A31137">
      <w:r w:rsidRPr="00A31137">
        <w:t>Soil and Water Conservation</w:t>
      </w:r>
    </w:p>
    <w:p w:rsidR="00A31137" w:rsidRPr="00A31137" w:rsidRDefault="00A31137" w:rsidP="00A31137">
      <w:r w:rsidRPr="00A31137">
        <w:t>1980 Republican Platform, p.21</w:t>
      </w:r>
    </w:p>
    <w:p w:rsidR="00A31137" w:rsidRPr="00A31137" w:rsidRDefault="00A31137" w:rsidP="00A31137">
      <w:r w:rsidRPr="00A31137">
        <w:t>We believe the strong soil and water conservation stewardship to which farmers, ranchers, watermen, and rural Americans are devoted is exemplary, and encourage appropriate local, state, and federal programs to give conservation practices vitality. Voluntary participation with adequate incentives is essential to the effective conservation of our soil and water resources.</w:t>
      </w:r>
    </w:p>
    <w:p w:rsidR="00A31137" w:rsidRPr="00A31137" w:rsidRDefault="00A31137" w:rsidP="00A31137">
      <w:r w:rsidRPr="00A31137">
        <w:t>Water Policy</w:t>
      </w:r>
    </w:p>
    <w:p w:rsidR="00A31137" w:rsidRPr="00A31137" w:rsidRDefault="00A31137" w:rsidP="00A31137">
      <w:r w:rsidRPr="00A31137">
        <w:t>1980 Republican Platform, p.21</w:t>
      </w:r>
    </w:p>
    <w:p w:rsidR="00A31137" w:rsidRPr="00A31137" w:rsidRDefault="00A31137" w:rsidP="00A31137">
      <w:r w:rsidRPr="00A31137">
        <w:t>The conservation and development of the nation's water resources are vital requisites for rebuilding America's national strength. The natural abundance of water can no longer be taken for granted. The impending crisis in water could be far more serious than our energy problems unless we act now. A dynamic water policy, which addresses our national diversity in climate, geography, and patterns of land ownership, and includes all requirements across the spectrum of water use, including Reclamation policy, will be a priority of the Republican Administration working with the advice and counsel of state and local interests. We must develop a partnership between the federal and state governments which will not destroy traditional state supremacy in water law. Further, there must be cooperation between the Executive Branch and Congress in developing and implementing that policy. Lack of such partnership has resulted in four years of bitter confrontation between the states and the obstructive policies of the Democratic Administration. The Congress has been frustrated in its efforts to conserve and develop our water resources. Working together, the states and the federal government can meet the impending water crisis through innovative and alternative approaches to such problems as cleaning our lakes and rivers, reducing toxic pollution, developing multiple-use projects, and achieving a workable balance between the many competing demands on our water resources.</w:t>
      </w:r>
    </w:p>
    <w:p w:rsidR="00A31137" w:rsidRPr="00A31137" w:rsidRDefault="00A31137" w:rsidP="00A31137">
      <w:r w:rsidRPr="00A31137">
        <w:t>Agricultural Labor</w:t>
      </w:r>
    </w:p>
    <w:p w:rsidR="00A31137" w:rsidRPr="00A31137" w:rsidRDefault="00A31137" w:rsidP="00A31137">
      <w:r w:rsidRPr="00A31137">
        <w:t>1980 Republican Platform, p.21</w:t>
      </w:r>
    </w:p>
    <w:p w:rsidR="00A31137" w:rsidRPr="00A31137" w:rsidRDefault="00A31137" w:rsidP="00A31137">
      <w:r w:rsidRPr="00A31137">
        <w:t>Comprehensive labor legislation, which will be fair to American workers and encourage better relations with our neighbors in Mexico and Canada with whom we wish to establish a working North American Accord, is an essential endeavor. We deplore disruptive work stoppages which interrupt the supply of food to consumers.</w:t>
      </w:r>
    </w:p>
    <w:p w:rsidR="00A31137" w:rsidRPr="00A31137" w:rsidRDefault="00A31137" w:rsidP="00A31137">
      <w:r w:rsidRPr="00A31137">
        <w:t>Taxation</w:t>
      </w:r>
    </w:p>
    <w:p w:rsidR="00A31137" w:rsidRPr="00A31137" w:rsidRDefault="00A31137" w:rsidP="00A31137">
      <w:r w:rsidRPr="00A31137">
        <w:t>1980 Republican Platform, p.21</w:t>
      </w:r>
    </w:p>
    <w:p w:rsidR="00A31137" w:rsidRPr="00A31137" w:rsidRDefault="00A31137" w:rsidP="00A31137">
      <w:r w:rsidRPr="00A31137">
        <w:t>Federal estate and gift taxes have a particularly pernicious effect on family farms. Young farmers who inherit farm property are often forced to sell off part of the family farm to pay taxes. Once these taxes are paid, young farmers often must begin their careers deeply in debt. Our tax laws must be reformed to encourage rather than discourage family farming and ranching.</w:t>
      </w:r>
    </w:p>
    <w:p w:rsidR="00A31137" w:rsidRPr="00A31137" w:rsidRDefault="00A31137" w:rsidP="00A31137">
      <w:r w:rsidRPr="00A31137">
        <w:t>1980 Republican Platform, p.21</w:t>
      </w:r>
    </w:p>
    <w:p w:rsidR="00A31137" w:rsidRPr="00A31137" w:rsidRDefault="00A31137" w:rsidP="00A31137">
      <w:r w:rsidRPr="00A31137">
        <w:t>We deplore the imposition of present excessive estate and gift taxes on family farms. We support the use of lower, productivity-based valuation when farms are transferred within the family. Further, we believe that no spouse should pay estate taxes on farm property inherited from a husband or wife. We support the Republican tax cut proposal which provides accelerated depreciation and expanded investment tax credits to farm vehicles, equipment, and structures. Finally, we support legislation which would remove tax advantages foreign investors realize on the sale of U.S. forests, farmland, and other real estate.</w:t>
      </w:r>
    </w:p>
    <w:p w:rsidR="00A31137" w:rsidRPr="00A31137" w:rsidRDefault="00A31137" w:rsidP="00A31137">
      <w:r w:rsidRPr="00A31137">
        <w:t>Rural Transportation</w:t>
      </w:r>
    </w:p>
    <w:p w:rsidR="00A31137" w:rsidRPr="00A31137" w:rsidRDefault="00A31137" w:rsidP="00A31137">
      <w:r w:rsidRPr="00A31137">
        <w:t>1980 Republican Platform, p.21</w:t>
      </w:r>
    </w:p>
    <w:p w:rsidR="00A31137" w:rsidRPr="00A31137" w:rsidRDefault="00A31137" w:rsidP="00A31137">
      <w:r w:rsidRPr="00A31137">
        <w:t>It is essential to the well-being and security of our nation that an adequate rural transportation system be restored as a vital link between rural areas and their markets, both domestic and export. Overall, we pledge to eliminate those rules and regulations which restrict the free flow of commerce and trade of agricultural products and encourage an environment that will enhance the private development and improvement of all modes of transportation to move agricultural production swiftly, safely, and economically. Recognizing the inherent advantages of each mode of transportation, the Republican Party will work to encourage and allow those advantages to be utilized on a balanced and equitable basis.</w:t>
      </w:r>
    </w:p>
    <w:p w:rsidR="00A31137" w:rsidRPr="00A31137" w:rsidRDefault="00A31137" w:rsidP="00A31137">
      <w:r w:rsidRPr="00A31137">
        <w:t>1980 Republican Platform, p.21</w:t>
      </w:r>
    </w:p>
    <w:p w:rsidR="00A31137" w:rsidRPr="00A31137" w:rsidRDefault="00A31137" w:rsidP="00A31137">
      <w:r w:rsidRPr="00A31137">
        <w:t>We believe the federal 55 miles per hour speed limit is counterproductive and contributes to higher costs of goods and services to all communities, particularly in rural America. The most effective, no-cost federal assistance program available would be for each state to set its own speed limit.</w:t>
      </w:r>
    </w:p>
    <w:p w:rsidR="00A31137" w:rsidRPr="00A31137" w:rsidRDefault="00A31137" w:rsidP="00A31137">
      <w:r w:rsidRPr="00A31137">
        <w:t>A Strong USDA</w:t>
      </w:r>
    </w:p>
    <w:p w:rsidR="00A31137" w:rsidRPr="00A31137" w:rsidRDefault="00A31137" w:rsidP="00A31137">
      <w:r w:rsidRPr="00A31137">
        <w:t>1980 Republican Platform, p.22</w:t>
      </w:r>
    </w:p>
    <w:p w:rsidR="00A31137" w:rsidRPr="00A31137" w:rsidRDefault="00A31137" w:rsidP="00A31137">
      <w:r w:rsidRPr="00A31137">
        <w:t>[p.22] We pledge an Administration dedicated to restoring profitability to agriculture. A top priority will be the selection of a qualified and effective Secretary and policy staff who will speak up for American farmers—and a President who will listen.</w:t>
      </w:r>
    </w:p>
    <w:p w:rsidR="00A31137" w:rsidRPr="00A31137" w:rsidRDefault="00A31137" w:rsidP="00A31137">
      <w:r w:rsidRPr="00A31137">
        <w:t>1980 Republican Platform, p.22</w:t>
      </w:r>
    </w:p>
    <w:p w:rsidR="00A31137" w:rsidRPr="00A31137" w:rsidRDefault="00A31137" w:rsidP="00A31137">
      <w:r w:rsidRPr="00A31137">
        <w:t>America's preeminence in agriculture is rooted in a system of agricultural research, extension, and teaching—unique and unequalled in the world. Land Grant Universities focus on problems of national, regional, and local concern. Cooperative extension, operating in every county of the United States and its territories, brings the results of USDA and Land Grant University research to farmers and ranchers, rural women, consumers, agribusiness, and to youth through 4-H programs.</w:t>
      </w:r>
    </w:p>
    <w:p w:rsidR="00A31137" w:rsidRPr="00A31137" w:rsidRDefault="00A31137" w:rsidP="00A31137">
      <w:r w:rsidRPr="00A31137">
        <w:t>Food Safety</w:t>
      </w:r>
    </w:p>
    <w:p w:rsidR="00A31137" w:rsidRPr="00A31137" w:rsidRDefault="00A31137" w:rsidP="00A31137">
      <w:r w:rsidRPr="00A31137">
        <w:t>1980 Republican Platform, p.22</w:t>
      </w:r>
    </w:p>
    <w:p w:rsidR="00A31137" w:rsidRPr="00A31137" w:rsidRDefault="00A31137" w:rsidP="00A31137">
      <w:r w:rsidRPr="00A31137">
        <w:t>The Republican Party favors a legislative effort to revise and modernize our food safety laws, providing guidelines for risk assessment, benefit assessment, peer review, and regulatory flexibility which are consistent with other government health and safety policies.</w:t>
      </w:r>
    </w:p>
    <w:p w:rsidR="00A31137" w:rsidRPr="00A31137" w:rsidRDefault="00A31137" w:rsidP="00A31137">
      <w:r w:rsidRPr="00A31137">
        <w:t>Cooperatives</w:t>
      </w:r>
    </w:p>
    <w:p w:rsidR="00A31137" w:rsidRPr="00A31137" w:rsidRDefault="00A31137" w:rsidP="00A31137">
      <w:r w:rsidRPr="00A31137">
        <w:t>1980 Republican Platform, p.22</w:t>
      </w:r>
    </w:p>
    <w:p w:rsidR="00A31137" w:rsidRPr="00A31137" w:rsidRDefault="00A31137" w:rsidP="00A31137">
      <w:r w:rsidRPr="00A31137">
        <w:t>We believe farmer cooperatives and rural electric and telephone cooperatives provide essential benefits to farmers and the rural Americans they serve, and we support exclusive jurisdiction of USDA in the effective administration of the Capper-Volstead Act.</w:t>
      </w:r>
    </w:p>
    <w:p w:rsidR="00A31137" w:rsidRPr="00A31137" w:rsidRDefault="00A31137" w:rsidP="00A31137">
      <w:r w:rsidRPr="00A31137">
        <w:t>1980 Republican Platform, p.22</w:t>
      </w:r>
    </w:p>
    <w:p w:rsidR="00A31137" w:rsidRPr="00A31137" w:rsidRDefault="00A31137" w:rsidP="00A31137">
      <w:r w:rsidRPr="00A31137">
        <w:t>We Republicans pledge ourselves to work with farmers, ranchers, and our friends and neighbors to make America great again.</w:t>
      </w:r>
    </w:p>
    <w:p w:rsidR="00A31137" w:rsidRPr="00A31137" w:rsidRDefault="00A31137" w:rsidP="00A31137">
      <w:r w:rsidRPr="00A31137">
        <w:t>The Nation</w:t>
      </w:r>
    </w:p>
    <w:p w:rsidR="00A31137" w:rsidRPr="00A31137" w:rsidRDefault="00A31137" w:rsidP="00A31137">
      <w:r w:rsidRPr="00A31137">
        <w:t>1980 Republican Platform, p.22</w:t>
      </w:r>
    </w:p>
    <w:p w:rsidR="00A31137" w:rsidRPr="00A31137" w:rsidRDefault="00A31137" w:rsidP="00A31137">
      <w:r w:rsidRPr="00A31137">
        <w:t>Though a relatively young nation among those of western civilization, we are possessed of one of the oldest institutions of government extant. Steeped in the Judeo-Christian ethic and in Anglo-Saxon theories of law and right, our legal and political institutions have evolved over many generations to form a stable system that serves free men and women well. It governs a people of multifarious heritage dispersed across a great continent of marked geographical contrasts. It presides over a diverse economy that in its collective whole is the largest, most powerful, and most resilient in the world. In the two centuries of its life, though it has from time to time been sorely tested by constitutional, economic, and social crises, it has stood and not been found wanting. Its timeless strength, coupled with and reinforced by the faith and good will, the wisdom and confidence of the people from whom it derives its powers, has preserved us as a nation of enormous vitality.</w:t>
      </w:r>
    </w:p>
    <w:p w:rsidR="00A31137" w:rsidRPr="00A31137" w:rsidRDefault="00A31137" w:rsidP="00A31137">
      <w:r w:rsidRPr="00A31137">
        <w:t>1980 Republican Platform, p.22</w:t>
      </w:r>
    </w:p>
    <w:p w:rsidR="00A31137" w:rsidRPr="00A31137" w:rsidRDefault="00A31137" w:rsidP="00A31137">
      <w:r w:rsidRPr="00A31137">
        <w:t>The intent of the Founders, embraced and reflected by succeeding generations of Americans, was that the Central government should perform only those functions which are necessary concomitants of nationality, preserve order, and do for people only those things which they cannot do for themselves. The durability of our system lies in its flexibility and its accommodation to diversity and changing circumstance. It is notable as much for what it permits as for what it proscribes. Government must ever be the servant of the nation, not its master.</w:t>
      </w:r>
    </w:p>
    <w:p w:rsidR="00A31137" w:rsidRPr="00A31137" w:rsidRDefault="00A31137" w:rsidP="00A31137">
      <w:r w:rsidRPr="00A31137">
        <w:t>Big government</w:t>
      </w:r>
    </w:p>
    <w:p w:rsidR="00A31137" w:rsidRPr="00A31137" w:rsidRDefault="00A31137" w:rsidP="00A31137">
      <w:r w:rsidRPr="00A31137">
        <w:t>1980 Republican Platform, p.22</w:t>
      </w:r>
    </w:p>
    <w:p w:rsidR="00A31137" w:rsidRPr="00A31137" w:rsidRDefault="00A31137" w:rsidP="00A31137">
      <w:r w:rsidRPr="00A31137">
        <w:t>Under the guise of providing for the common good, Democratic Party domination of the body politic over the last 47 years has produced a central government of vastly expanded size, scope, and rigidity. Confidence in government, especially big government, has been the chief casualty of too many promises made and broken, too many commitments unkept. It is time for change— time to de-emphasize big bureaucracies—time to shift the focus of national politics from expanding government's power to that of restoring the strength of smaller communities such as the family, the neighborhood, and the workplace.</w:t>
      </w:r>
    </w:p>
    <w:p w:rsidR="00A31137" w:rsidRPr="00A31137" w:rsidRDefault="00A31137" w:rsidP="00A31137">
      <w:r w:rsidRPr="00A31137">
        <w:t>1980 Republican Platform, p.22</w:t>
      </w:r>
    </w:p>
    <w:p w:rsidR="00A31137" w:rsidRPr="00A31137" w:rsidRDefault="00A31137" w:rsidP="00A31137">
      <w:r w:rsidRPr="00A31137">
        <w:t>Government's power to take and tax, to regulate and require, has already reached extravagant proportions. As government's power continues to grow, the "consent of the governed" will diminish. Republicans support an end to the growth of the federal government and pledge to return the decisionmaking process to the smaller communities of society.</w:t>
      </w:r>
    </w:p>
    <w:p w:rsidR="00A31137" w:rsidRPr="00A31137" w:rsidRDefault="00A31137" w:rsidP="00A31137">
      <w:r w:rsidRPr="00A31137">
        <w:t>1980 Republican Platform, p.22</w:t>
      </w:r>
    </w:p>
    <w:p w:rsidR="00A31137" w:rsidRPr="00A31137" w:rsidRDefault="00A31137" w:rsidP="00A31137">
      <w:r w:rsidRPr="00A31137">
        <w:t>The emergence of policies and programs which will revitalize the free enterprise system and reverse the trend toward regulation is essential. To sustain the implementation of such policy, it is necessary to raise the public awareness and understanding that our free enterprise system is the source of all income, government and private, and raise the individual's awareness of his or her vested interest in its growth and vitality.</w:t>
      </w:r>
    </w:p>
    <w:p w:rsidR="00A31137" w:rsidRPr="00A31137" w:rsidRDefault="00A31137" w:rsidP="00A31137">
      <w:r w:rsidRPr="00A31137">
        <w:t>1980 Republican Platform, p.22</w:t>
      </w:r>
    </w:p>
    <w:p w:rsidR="00A31137" w:rsidRPr="00A31137" w:rsidRDefault="00A31137" w:rsidP="00A31137">
      <w:r w:rsidRPr="00A31137">
        <w:t>The Republican Party believes that it is important to develop a growing constituency which recognizes its direct relationship to the health and success of free enterprise, and realizes the negative impact of excessive regulation. Education and involvement in the system are the best means to accomplish this. To this end, we will actively pursue new and expanding opportunities for all Americans to become more directly involved in our free enterprise system.</w:t>
      </w:r>
    </w:p>
    <w:p w:rsidR="00A31137" w:rsidRPr="00A31137" w:rsidRDefault="00A31137" w:rsidP="00A31137">
      <w:r w:rsidRPr="00A31137">
        <w:t>Government reorganization</w:t>
      </w:r>
    </w:p>
    <w:p w:rsidR="00A31137" w:rsidRPr="00A31137" w:rsidRDefault="00A31137" w:rsidP="00A31137">
      <w:r w:rsidRPr="00A31137">
        <w:t>1980 Republican Platform, p.22</w:t>
      </w:r>
    </w:p>
    <w:p w:rsidR="00A31137" w:rsidRPr="00A31137" w:rsidRDefault="00A31137" w:rsidP="00A31137">
      <w:r w:rsidRPr="00A31137">
        <w:t>The Republican Party reaffirms its belief in the decentralization of the federal government and in the traditional American principle that the best government is the one closest to the people. There, it is less costly, more accountable, and more responsive to people's needs. Against the prevailing trend toward increased Centralization of government under the Democrats, Republicans succeeded in the 1970s in initiating large scale revenue sharing and block grant programs to disperse the power of the federal government and share it with the states and localities.</w:t>
      </w:r>
    </w:p>
    <w:p w:rsidR="00A31137" w:rsidRPr="00A31137" w:rsidRDefault="00A31137" w:rsidP="00A31137">
      <w:r w:rsidRPr="00A31137">
        <w:t>1980 Republican Platform, p.22</w:t>
      </w:r>
    </w:p>
    <w:p w:rsidR="00A31137" w:rsidRPr="00A31137" w:rsidRDefault="00A31137" w:rsidP="00A31137">
      <w:r w:rsidRPr="00A31137">
        <w:t>Our states and localities have the talent, wisdom, and determination to respond to the [p.23] variety of demands made upon them. Block grants and revenue sharing provide local government with the means and the flexibility to solve their own problems in ways most appropriate for each locale. Unlike categorical grants, they do not lock states and localities into priorities and needs perceived by Washington. They are also more efficient because block grants and revenue sharing relieve both local government and the federal government from the costly and complicated process of program application, implementation, and review associated with the categorical grant system.</w:t>
      </w:r>
    </w:p>
    <w:p w:rsidR="00A31137" w:rsidRPr="00A31137" w:rsidRDefault="00A31137" w:rsidP="00A31137">
      <w:r w:rsidRPr="00A31137">
        <w:t>1980 Republican Platform, p.23</w:t>
      </w:r>
    </w:p>
    <w:p w:rsidR="00A31137" w:rsidRPr="00A31137" w:rsidRDefault="00A31137" w:rsidP="00A31137">
      <w:r w:rsidRPr="00A31137">
        <w:t>We pledge to continue and redouble our efforts to return power to the state and local governments. The regionalization of government encouraged by federal policies diminishes the responsiveness of state and local governments and impairs the power of the people to control their destiny.</w:t>
      </w:r>
    </w:p>
    <w:p w:rsidR="00A31137" w:rsidRPr="00A31137" w:rsidRDefault="00A31137" w:rsidP="00A31137">
      <w:r w:rsidRPr="00A31137">
        <w:t>1980 Republican Platform, p.23</w:t>
      </w:r>
    </w:p>
    <w:p w:rsidR="00A31137" w:rsidRPr="00A31137" w:rsidRDefault="00A31137" w:rsidP="00A31137">
      <w:r w:rsidRPr="00A31137">
        <w:t>While Republican efforts have been focused on sharing revenue and the power that goes with it, the Carter Administration has been preoccupied with the reorganization and consolidation of central authority. As a result, we have the Departments of Energy and Education, for example, but no more oil and gas, or learning, to show for it.</w:t>
      </w:r>
    </w:p>
    <w:p w:rsidR="00A31137" w:rsidRPr="00A31137" w:rsidRDefault="00A31137" w:rsidP="00A31137">
      <w:r w:rsidRPr="00A31137">
        <w:t>1980 Republican Platform, p.23</w:t>
      </w:r>
    </w:p>
    <w:p w:rsidR="00A31137" w:rsidRPr="00A31137" w:rsidRDefault="00A31137" w:rsidP="00A31137">
      <w:r w:rsidRPr="00A31137">
        <w:t>When we mistakenly rely on government to solve all our problems we ignore the abilities of people to solve their own problems. We pledge to renew the dispersion of power from the federal government to the states and localities. But this will not be enough. We pledge to extend the process so that power can be transferred as well to non-governmental institutions.</w:t>
      </w:r>
    </w:p>
    <w:p w:rsidR="00A31137" w:rsidRPr="00A31137" w:rsidRDefault="00A31137" w:rsidP="00A31137">
      <w:r w:rsidRPr="00A31137">
        <w:t>Government reform</w:t>
      </w:r>
    </w:p>
    <w:p w:rsidR="00A31137" w:rsidRPr="00A31137" w:rsidRDefault="00A31137" w:rsidP="00A31137">
      <w:r w:rsidRPr="00A31137">
        <w:t>1980 Republican Platform, p.23</w:t>
      </w:r>
    </w:p>
    <w:p w:rsidR="00A31137" w:rsidRPr="00A31137" w:rsidRDefault="00A31137" w:rsidP="00A31137">
      <w:r w:rsidRPr="00A31137">
        <w:t>We favor the establishment or a commission of distinguished citizens to recommend ways of reorganizing and reducing the size and scope of the Executive Branch. Federal departments, agencies, and bureaus should be consolidated where possible to end waste and improve the delivery of essential services. Republicans pledge to eliminate bureaucratic red tape and reduce government paperwork. Agencies should be made to justify every official form and filing requirement. Where possible, we favor deregulation, especially in the energy, transportation, and communications industries. We believe that the marketplace, rather than the bureaucrats, should regulate management decisions.</w:t>
      </w:r>
    </w:p>
    <w:p w:rsidR="00A31137" w:rsidRPr="00A31137" w:rsidRDefault="00A31137" w:rsidP="00A31137">
      <w:r w:rsidRPr="00A31137">
        <w:t>1980 Republican Platform, p.23</w:t>
      </w:r>
    </w:p>
    <w:p w:rsidR="00A31137" w:rsidRPr="00A31137" w:rsidRDefault="00A31137" w:rsidP="00A31137">
      <w:r w:rsidRPr="00A31137">
        <w:t>The unremitting delegation of authority to the rule-makers by successive Democratic Congresses and the abuse of that authority have led to our current crisis of overregulation. For that reason, we support use of the Congressional veto, sunset laws, and strict budgetary control of the bureaucracies as a means of eliminating unnecessary spending and regulations. Agencies should be required to review existing regulations and eliminate those that are outmoded, duplicative, or contradictory. They must conduct cost-benefit analyses of major proposed regulations to determine their impact on the economy, on public health and safety, on state and local government, and on competition. We recommend legislation which would eliminate the present presumption of validity in favor of federal regulations. We also support legislation to require the federal government to provide restitution to those who have been wrongfully injured by agency actions. We oppose the use of tax monies by any federal agency to pay the expenses of intervenors in the rule-making process.</w:t>
      </w:r>
    </w:p>
    <w:p w:rsidR="00A31137" w:rsidRPr="00A31137" w:rsidRDefault="00A31137" w:rsidP="00A31137">
      <w:r w:rsidRPr="00A31137">
        <w:t>1980 Republican Platform, p.23</w:t>
      </w:r>
    </w:p>
    <w:p w:rsidR="00A31137" w:rsidRPr="00A31137" w:rsidRDefault="00A31137" w:rsidP="00A31137">
      <w:r w:rsidRPr="00A31137">
        <w:t>We recognize that there are dangers inherent in the rapid growth of the federal bureaucracy, especially the arbitrary nature of its discretionary power and the abuses of procedural safeguards. Accordingly, we pledge to work for fundamental changes in the federal Administrative Procedures Act in order to give citizens the same constitutional protections before a government agency that they have in a courtroom. Among these reforms are requirements that agencies publish in the Federal Register all rules and statements of policy before they are adopted, that a person be guaranteed written notice and the opportunity to submit facts and arguments in any adjudicatory proceeding, that an agency decision be consistent with prior decisions unless otherwise provided by law, and that a person may seek judicial review without first exhausting his or her administrative remedies. At the same time we urge the Congress to strengthen its oversight to ensure that the agencies comply with the deadlines, report filing, and other requirements mandated by law.</w:t>
      </w:r>
    </w:p>
    <w:p w:rsidR="00A31137" w:rsidRPr="00A31137" w:rsidRDefault="00A31137" w:rsidP="00A31137">
      <w:r w:rsidRPr="00A31137">
        <w:t>1980 Republican Platform, p.23</w:t>
      </w:r>
    </w:p>
    <w:p w:rsidR="00A31137" w:rsidRPr="00A31137" w:rsidRDefault="00A31137" w:rsidP="00A31137">
      <w:r w:rsidRPr="00A31137">
        <w:t>We propose to repeal federal restrictions and rewrite federal standards which hinder minorities from finding employment, starting their own businesses, gaining valuable work experience, or enjoying the fruits of their own labors.</w:t>
      </w:r>
    </w:p>
    <w:p w:rsidR="00A31137" w:rsidRPr="00A31137" w:rsidRDefault="00A31137" w:rsidP="00A31137">
      <w:r w:rsidRPr="00A31137">
        <w:t>1980 Republican Platform, p.23</w:t>
      </w:r>
    </w:p>
    <w:p w:rsidR="00A31137" w:rsidRPr="00A31137" w:rsidRDefault="00A31137" w:rsidP="00A31137">
      <w:r w:rsidRPr="00A31137">
        <w:t>Because there are too many federal employees in comparison to private sector employees, there should be no further increase in the number of civilian federal employees if that would increase the ratio of federal employees to private sector employees over the present ratio.</w:t>
      </w:r>
    </w:p>
    <w:p w:rsidR="00A31137" w:rsidRPr="00A31137" w:rsidRDefault="00A31137" w:rsidP="00A31137">
      <w:r w:rsidRPr="00A31137">
        <w:t>Election reform</w:t>
      </w:r>
    </w:p>
    <w:p w:rsidR="00A31137" w:rsidRPr="00A31137" w:rsidRDefault="00A31137" w:rsidP="00A31137">
      <w:r w:rsidRPr="00A31137">
        <w:t>1980 Republican Platform, p.23</w:t>
      </w:r>
    </w:p>
    <w:p w:rsidR="00A31137" w:rsidRPr="00A31137" w:rsidRDefault="00A31137" w:rsidP="00A31137">
      <w:r w:rsidRPr="00A31137">
        <w:t>The Republican Party has consistently encouraged full participation in our electoral processes and is disturbed by the steady decline in voter participation in the United States in recent years. We believe that the increased voter turnout during the past year in Republican campaigns is due to dissatisfaction with Democratic officials and their failure to heed popular demands to cut taxes, restrain spending, curb inflation, and drastically reduce regulation.</w:t>
      </w:r>
    </w:p>
    <w:p w:rsidR="00A31137" w:rsidRPr="00A31137" w:rsidRDefault="00A31137" w:rsidP="00A31137">
      <w:r w:rsidRPr="00A31137">
        <w:t>1980 Republican Platform, p.23</w:t>
      </w:r>
    </w:p>
    <w:p w:rsidR="00A31137" w:rsidRPr="00A31137" w:rsidRDefault="00A31137" w:rsidP="00A31137">
      <w:r w:rsidRPr="00A31137">
        <w:t>Republicans support public policies that will promote electoral participation without compromising ballot-box security. We strongly oppose national postcard voter registration schemes because they are an open invitation to fraud.</w:t>
      </w:r>
    </w:p>
    <w:p w:rsidR="00A31137" w:rsidRPr="00A31137" w:rsidRDefault="00A31137" w:rsidP="00A31137">
      <w:r w:rsidRPr="00A31137">
        <w:t>1980 Republican Platform, p.24</w:t>
      </w:r>
    </w:p>
    <w:p w:rsidR="00A31137" w:rsidRPr="00A31137" w:rsidRDefault="00A31137" w:rsidP="00A31137">
      <w:r w:rsidRPr="00A31137">
        <w:t>Republicans support public policies that [p.24] encourage political activity by individual citizens. We support the repeal of those restrictive campaign spending limitations that tend to create obstacles to local grass roots participation in federal elections. We also oppose the proposed financing of Congressional campaigns with taxpayers' dollars as an effort by the Democratic Party to protect its incumbent Members of Congress with a tax subsidy. We prefer the present system of having the states and party rules determine the presidential nominating process to the concept of a uniform national primary which would only add to the already high costs of, and excessive federal intrusion into, presidential campaigns.</w:t>
      </w:r>
    </w:p>
    <w:p w:rsidR="00A31137" w:rsidRPr="00A31137" w:rsidRDefault="00A31137" w:rsidP="00A31137">
      <w:r w:rsidRPr="00A31137">
        <w:t>1980 Republican Platform, p.24</w:t>
      </w:r>
    </w:p>
    <w:p w:rsidR="00A31137" w:rsidRPr="00A31137" w:rsidRDefault="00A31137" w:rsidP="00A31137">
      <w:r w:rsidRPr="00A31137">
        <w:t>We support the critical roles of competitive political parties in the recruitment of candidates, the conduct of campaigns, and the development of broad-based public policy responsive to the people. We urge Congress and state legislatures to frame their regulations of campaign finance, their nominating systems, and other election laws to strengthen rather than weaken parties.</w:t>
      </w:r>
    </w:p>
    <w:p w:rsidR="00A31137" w:rsidRPr="00A31137" w:rsidRDefault="00A31137" w:rsidP="00A31137">
      <w:r w:rsidRPr="00A31137">
        <w:t>Arts and Humanities</w:t>
      </w:r>
    </w:p>
    <w:p w:rsidR="00A31137" w:rsidRPr="00A31137" w:rsidRDefault="00A31137" w:rsidP="00A31137">
      <w:r w:rsidRPr="00A31137">
        <w:t>1980 Republican Platform, p.24</w:t>
      </w:r>
    </w:p>
    <w:p w:rsidR="00A31137" w:rsidRPr="00A31137" w:rsidRDefault="00A31137" w:rsidP="00A31137">
      <w:r w:rsidRPr="00A31137">
        <w:t>Recent Republican Administrations led the way in bringing together private support and governmental encouragement to effect a tremendous expansion of artistic and scholarly endeavor. The Carter Administration has crudely politicized these programs, lowering their standards of excellence and increasing federal control over them.</w:t>
      </w:r>
    </w:p>
    <w:p w:rsidR="00A31137" w:rsidRPr="00A31137" w:rsidRDefault="00A31137" w:rsidP="00A31137">
      <w:r w:rsidRPr="00A31137">
        <w:t>1980 Republican Platform, p.24</w:t>
      </w:r>
    </w:p>
    <w:p w:rsidR="00A31137" w:rsidRPr="00A31137" w:rsidRDefault="00A31137" w:rsidP="00A31137">
      <w:r w:rsidRPr="00A31137">
        <w:t>The Republican Party will restore the sound economy which is absolutely necessary for the arts and humanities to flourish. We will restore, as well, the integrity of federal programs in this area. Most important, to ensure the continued primacy of private funding for the arts, we reiterate our support of broader tax incentives for contributions to charitable and cultural organizations.</w:t>
      </w:r>
    </w:p>
    <w:p w:rsidR="00A31137" w:rsidRPr="00A31137" w:rsidRDefault="00A31137" w:rsidP="00A31137">
      <w:r w:rsidRPr="00A31137">
        <w:t>Transportation</w:t>
      </w:r>
    </w:p>
    <w:p w:rsidR="00A31137" w:rsidRPr="00A31137" w:rsidRDefault="00A31137" w:rsidP="00A31137">
      <w:r w:rsidRPr="00A31137">
        <w:t>1980 Republican Platform, p.24</w:t>
      </w:r>
    </w:p>
    <w:p w:rsidR="00A31137" w:rsidRPr="00A31137" w:rsidRDefault="00A31137" w:rsidP="00A31137">
      <w:r w:rsidRPr="00A31137">
        <w:t>America's transportation system must be designed to meet the requirements of the people, not to dictate what those requirements should be. Essential to any industrialized country is a transportation system which provides efficient and reliable service for both the movement of people and freight, urban and rural, domestic and foreign. Our nation has one of the finest transportation systems in the world but there is a danger that it will be unable to meet the future needs of a growing America.</w:t>
      </w:r>
    </w:p>
    <w:p w:rsidR="00A31137" w:rsidRPr="00A31137" w:rsidRDefault="00A31137" w:rsidP="00A31137">
      <w:r w:rsidRPr="00A31137">
        <w:t>1980 Republican Platform, p.24</w:t>
      </w:r>
    </w:p>
    <w:p w:rsidR="00A31137" w:rsidRPr="00A31137" w:rsidRDefault="00A31137" w:rsidP="00A31137">
      <w:r w:rsidRPr="00A31137">
        <w:t>Present levels of public and private investment will not preserve the existing system. For example, highways are deteriorating twice as fast as they are being rebuilt and inadequate rehabilitation will soon cost users more in reduced service levels than the cost of adequate rehabilitation.</w:t>
      </w:r>
    </w:p>
    <w:p w:rsidR="00A31137" w:rsidRPr="00A31137" w:rsidRDefault="00A31137" w:rsidP="00A31137">
      <w:r w:rsidRPr="00A31137">
        <w:t>1980 Republican Platform, p.24</w:t>
      </w:r>
    </w:p>
    <w:p w:rsidR="00A31137" w:rsidRPr="00A31137" w:rsidRDefault="00A31137" w:rsidP="00A31137">
      <w:r w:rsidRPr="00A31137">
        <w:t>The demand for transportation will grow dramatically in the next two decades with people-miles travelled increasing by over 50 percent and freight ton-miles more than doubling.</w:t>
      </w:r>
    </w:p>
    <w:p w:rsidR="00A31137" w:rsidRPr="00A31137" w:rsidRDefault="00A31137" w:rsidP="00A31137">
      <w:r w:rsidRPr="00A31137">
        <w:t>1980 Republican Platform, p.24</w:t>
      </w:r>
    </w:p>
    <w:p w:rsidR="00A31137" w:rsidRPr="00A31137" w:rsidRDefault="00A31137" w:rsidP="00A31137">
      <w:r w:rsidRPr="00A31137">
        <w:t>Government overregulation is inhibiting the return on investment necessary to attract capital for future growth and jobs creation.</w:t>
      </w:r>
    </w:p>
    <w:p w:rsidR="00A31137" w:rsidRPr="00A31137" w:rsidRDefault="00A31137" w:rsidP="00A31137">
      <w:r w:rsidRPr="00A31137">
        <w:t>1980 Republican Platform, p.24</w:t>
      </w:r>
    </w:p>
    <w:p w:rsidR="00A31137" w:rsidRPr="00A31137" w:rsidRDefault="00A31137" w:rsidP="00A31137">
      <w:r w:rsidRPr="00A31137">
        <w:t>A maze of federal agencies, Congressional committees, and conflicting policies is driving up costs and retarding innovation.</w:t>
      </w:r>
    </w:p>
    <w:p w:rsidR="00A31137" w:rsidRPr="00A31137" w:rsidRDefault="00A31137" w:rsidP="00A31137">
      <w:r w:rsidRPr="00A31137">
        <w:t>1980 Republican Platform, p.24</w:t>
      </w:r>
    </w:p>
    <w:p w:rsidR="00A31137" w:rsidRPr="00A31137" w:rsidRDefault="00A31137" w:rsidP="00A31137">
      <w:r w:rsidRPr="00A31137">
        <w:t>A lackluster energy policy, impeding production of oil, coal, and other forms of energy is endangering transportation's ability to keep up with demand.</w:t>
      </w:r>
    </w:p>
    <w:p w:rsidR="00A31137" w:rsidRPr="00A31137" w:rsidRDefault="00A31137" w:rsidP="00A31137">
      <w:r w:rsidRPr="00A31137">
        <w:t>1980 Republican Platform, p.24</w:t>
      </w:r>
    </w:p>
    <w:p w:rsidR="00A31137" w:rsidRPr="00A31137" w:rsidRDefault="00A31137" w:rsidP="00A31137">
      <w:r w:rsidRPr="00A31137">
        <w:t>Consequently, the role of government in transportation must he redefined. The forces of the free market must he brought to bear to promote competition, reduce costs, and improve the return on investment to stimulate capital formation in the private sector. The role of government must change from one of overbearing regulation to one of providing incentives for technological and innovative developments, while assuring through anti-trust enforcement that neither predatory competitive pricing nor price gouging of captive customers will occur.</w:t>
      </w:r>
    </w:p>
    <w:p w:rsidR="00A31137" w:rsidRPr="00A31137" w:rsidRDefault="00A31137" w:rsidP="00A31137">
      <w:r w:rsidRPr="00A31137">
        <w:t>1980 Republican Platform, p.24</w:t>
      </w:r>
    </w:p>
    <w:p w:rsidR="00A31137" w:rsidRPr="00A31137" w:rsidRDefault="00A31137" w:rsidP="00A31137">
      <w:r w:rsidRPr="00A31137">
        <w:t>Increased emphasis must he placed on the importance of having a well-balanced national transportation system where highways, passenger vehicles, buses, trucks, pipe-lines, and rail, water, and air transportation each provide those services which it does best, while offering the widest range of reasonable choices for both passenger and freight movement. A sound transportation system is a prerequisite for the vision of America that Republicans embrace—a prosperous, growing nation where dreams can still come true.</w:t>
      </w:r>
    </w:p>
    <w:p w:rsidR="00A31137" w:rsidRPr="00A31137" w:rsidRDefault="00A31137" w:rsidP="00A31137">
      <w:r w:rsidRPr="00A31137">
        <w:t>Energy</w:t>
      </w:r>
    </w:p>
    <w:p w:rsidR="00A31137" w:rsidRPr="00A31137" w:rsidRDefault="00A31137" w:rsidP="00A31137">
      <w:r w:rsidRPr="00A31137">
        <w:t>1980 Republican Platform, p.24</w:t>
      </w:r>
    </w:p>
    <w:p w:rsidR="00A31137" w:rsidRPr="00A31137" w:rsidRDefault="00A31137" w:rsidP="00A31137">
      <w:r w:rsidRPr="00A31137">
        <w:t>Energy is the lifeblood of our economy. Without adequate energy supplies now and in the future, the jobs of American men and women, the security of their lives, and their ability to provide for their families will be threatened and their standard of living will he lowered. Every American is painfully aware that our national energy situation has deteriorated badly over the past four years of Democratic control. Gasoline prices have more than doubled. Our oil import bill has risen 96 percent. Our energy supplies have become increasingly vulnerable because U.S. oil production outside of Alaska is now 28 percent below 1973 levels. The threat of sudden shortages, curtailments, and gas lines has become a recurring reality.</w:t>
      </w:r>
    </w:p>
    <w:p w:rsidR="00A31137" w:rsidRPr="00A31137" w:rsidRDefault="00A31137" w:rsidP="00A31137">
      <w:r w:rsidRPr="00A31137">
        <w:t>1980 Republican Platform, p.24</w:t>
      </w:r>
    </w:p>
    <w:p w:rsidR="00A31137" w:rsidRPr="00A31137" w:rsidRDefault="00A31137" w:rsidP="00A31137">
      <w:r w:rsidRPr="00A31137">
        <w:t>This steady deterioration has not only compounded our economic problems of inflation, recession, and dollar weakness, but even more importantly, it has infected our confidence as a nation. Energy shortages, spiralling costs, and increasing insecurity are beginning to darken our basic hopes and expectations for the future.</w:t>
      </w:r>
    </w:p>
    <w:p w:rsidR="00A31137" w:rsidRPr="00A31137" w:rsidRDefault="00A31137" w:rsidP="00A31137">
      <w:r w:rsidRPr="00A31137">
        <w:t>1980 Republican Platform, p.24</w:t>
      </w:r>
    </w:p>
    <w:p w:rsidR="00A31137" w:rsidRPr="00A31137" w:rsidRDefault="00A31137" w:rsidP="00A31137">
      <w:r w:rsidRPr="00A31137">
        <w:t>The National Association for the Advancement of Colored People has very accurately focused on the effects that a no-growth energy policy will have on the opportunities of America's black people and other minorities. The NAACP said that "a pessimistic attitude toward energy supplies for the future…[p.25] cannot satisfy the fundamental requirement of a society of expanding economic opportunity."</w:t>
      </w:r>
    </w:p>
    <w:p w:rsidR="00A31137" w:rsidRPr="00A31137" w:rsidRDefault="00A31137" w:rsidP="00A31137">
      <w:r w:rsidRPr="00A31137">
        <w:t>1980 Republican Platform, p.25</w:t>
      </w:r>
    </w:p>
    <w:p w:rsidR="00A31137" w:rsidRPr="00A31137" w:rsidRDefault="00A31137" w:rsidP="00A31137">
      <w:r w:rsidRPr="00A31137">
        <w:t>In commenting on the Carter energy proposals, the Association said, "We cannot accept the notion that our people are best served by a policy based upon the inevitability of energy shortage and the need for government to allocate an ever diminishing supply among competing interests.… (The plan) reflects the absence of a black perspective in its development."</w:t>
      </w:r>
    </w:p>
    <w:p w:rsidR="00A31137" w:rsidRPr="00A31137" w:rsidRDefault="00A31137" w:rsidP="00A31137">
      <w:r w:rsidRPr="00A31137">
        <w:t>1980 Republican Platform, p.25</w:t>
      </w:r>
    </w:p>
    <w:p w:rsidR="00A31137" w:rsidRPr="00A31137" w:rsidRDefault="00A31137" w:rsidP="00A31137">
      <w:r w:rsidRPr="00A31137">
        <w:t>Three and one-half years ago, President Carter declared energy the "moral equivalent of war" and sent Congress 109 recommendations for action, including the creation of a new Department of Energy. Since then, the federal budget for government's energy bureaucracy has grown to about $10 billion per year and more then 20,000 pages of new energy regulations and guidelines have been issued. But these have not fostered the production of a single extra unit of energy.</w:t>
      </w:r>
    </w:p>
    <w:p w:rsidR="00A31137" w:rsidRPr="00A31137" w:rsidRDefault="00A31137" w:rsidP="00A31137">
      <w:r w:rsidRPr="00A31137">
        <w:t>1980 Republican Platform, p.25</w:t>
      </w:r>
    </w:p>
    <w:p w:rsidR="00A31137" w:rsidRPr="00A31137" w:rsidRDefault="00A31137" w:rsidP="00A31137">
      <w:r w:rsidRPr="00A31137">
        <w:t>The Democratic Congress has joined in the stampede, taking action on 304 energy bills since 1977. As a result, the federal bureaucracy is busy from coast to coast allocating gasoline, setting building temperatures, printing rationing coupons, and readying standby plans to ban weekend boating, close factories, and pass out "no drive day" stickers to American motorists—all the time saying, "We must make do with less." Never before in the history of American government has so much been done at such great expense with such dismal results.</w:t>
      </w:r>
    </w:p>
    <w:p w:rsidR="00A31137" w:rsidRPr="00A31137" w:rsidRDefault="00A31137" w:rsidP="00A31137">
      <w:r w:rsidRPr="00A31137">
        <w:t>1980 Republican Platform, p.25</w:t>
      </w:r>
    </w:p>
    <w:p w:rsidR="00A31137" w:rsidRPr="00A31137" w:rsidRDefault="00A31137" w:rsidP="00A31137">
      <w:r w:rsidRPr="00A31137">
        <w:t>Republicans believe this disappointing cycle of shrinking energy prospects and expanding government regulation and meddling is wholly unnecessary. We believe that the proven American values of individual enterprise can solve our energy problems. This optimism stands in stark contrast to the grim predictions of the Democrats who have controlled Congress for the last 25 years.</w:t>
      </w:r>
    </w:p>
    <w:p w:rsidR="00A31137" w:rsidRPr="00A31137" w:rsidRDefault="00A31137" w:rsidP="00A31137">
      <w:r w:rsidRPr="00A31137">
        <w:t>1980 Republican Platform, p.25</w:t>
      </w:r>
    </w:p>
    <w:p w:rsidR="00A31137" w:rsidRPr="00A31137" w:rsidRDefault="00A31137" w:rsidP="00A31137">
      <w:r w:rsidRPr="00A31137">
        <w:t>They seem to believe not only that we are a nation without resources, but also that we have lost our resourcefulness. Republicans believe in the common sense of the American people rather than a complex web of government controls and interventions that threaten America's ability to grow. We are committed to an alternative strategy of aggressively boosting the nation's energy supplies; stimulating new energy technology and more efficient energy use; restoring maximum feasible choice and freedom in the marketplace for energy consumers and producers alike; and eliminating energy shortages and disruptions, which are a roadblock to renewed national economic growth, rising living standards, and a reawakening of the hopes and dreams of the American people for a better and more abundant future.</w:t>
      </w:r>
    </w:p>
    <w:p w:rsidR="00A31137" w:rsidRPr="00A31137" w:rsidRDefault="00A31137" w:rsidP="00A31137">
      <w:r w:rsidRPr="00A31137">
        <w:t>1980 Republican Platform, p.25</w:t>
      </w:r>
    </w:p>
    <w:p w:rsidR="00A31137" w:rsidRPr="00A31137" w:rsidRDefault="00A31137" w:rsidP="00A31137">
      <w:r w:rsidRPr="00A31137">
        <w:t>We believe the United States must proceed on a steady and orderly path toward energy self-sufficiency. But in the interim, our pressing need for insurance against supply disruption should not be made hostage to the whims of foreign governments, as is presently the case under the Carter Administration. We believe it is necessary to resume rapid filling of strategic oil reserves to planned levels of 500 million barrels in the short-term and ultimately to the one billion barrel level and to ensure that non-contiguous ares of the United States have their fair share of emergency oil reserves stored within their respective boundaries, as authorized by the Energy Policy and Conservation Act of 1975.</w:t>
      </w:r>
    </w:p>
    <w:p w:rsidR="00A31137" w:rsidRPr="00A31137" w:rsidRDefault="00A31137" w:rsidP="00A31137">
      <w:r w:rsidRPr="00A31137">
        <w:t>1980 Republican Platform, p.25</w:t>
      </w:r>
    </w:p>
    <w:p w:rsidR="00A31137" w:rsidRPr="00A31137" w:rsidRDefault="00A31137" w:rsidP="00A31137">
      <w:r w:rsidRPr="00A31137">
        <w:t>In order to increase domestic production of energy, Republicans advocate the decontrol of the price at the well head of oil and gas. We believe that the so-called windfall profits tax (which is unrelated to profit) should be repealed as it applies to small volume royalty owners, new oil, stripper wells, tertiary-recovery, and heavy crude oil, and that the phase-out of the tax on old oil should be accelerated. This tax legislation should be amended to include a plowback provision. We will seek decontrol of prices on all oil products and an end to government authority to allocate petroleum supplies except in national emergency. We also believe that market restrictions on the use of natural gas should be eliminated.</w:t>
      </w:r>
    </w:p>
    <w:p w:rsidR="00A31137" w:rsidRPr="00A31137" w:rsidRDefault="00A31137" w:rsidP="00A31137">
      <w:r w:rsidRPr="00A31137">
        <w:t>1980 Republican Platform, p.25</w:t>
      </w:r>
    </w:p>
    <w:p w:rsidR="00A31137" w:rsidRPr="00A31137" w:rsidRDefault="00A31137" w:rsidP="00A31137">
      <w:r w:rsidRPr="00A31137">
        <w:t>Coal, our most abundant energy resource, can bridge the gap between our other present energy sources and the renewable energy sources of the future. The coal industry has been virtually ignored by the Carter Administration and the Democratic Congress. In 1977, President Carter promised to double coal production by 1985. Instead, because of obstructionist actions of the Administration, coal production has increased by only 11 percent to date and future prospects are dim. Today, thousands of coal miners are out of work and without hope for the future.</w:t>
      </w:r>
    </w:p>
    <w:p w:rsidR="00A31137" w:rsidRPr="00A31137" w:rsidRDefault="00A31137" w:rsidP="00A31137">
      <w:r w:rsidRPr="00A31137">
        <w:t>1980 Republican Platform, p.25</w:t>
      </w:r>
    </w:p>
    <w:p w:rsidR="00A31137" w:rsidRPr="00A31137" w:rsidRDefault="00A31137" w:rsidP="00A31137">
      <w:r w:rsidRPr="00A31137">
        <w:t>Republicans support a comprehensive program of regulatory reform, improved incentives, and revision of cumbersome and overly stringent Clean Air Act regulations. This program will speed conversion of utility, industrial, and large commercial oil-burning boilers to coal to the greatest extent feasible, thus substantially cutting our dependence on foreign oil. This program must begin immediately on a priority basis and be completed at the earliest date possible.</w:t>
      </w:r>
    </w:p>
    <w:p w:rsidR="00A31137" w:rsidRPr="00A31137" w:rsidRDefault="00A31137" w:rsidP="00A31137">
      <w:r w:rsidRPr="00A31137">
        <w:t>1980 Republican Platform, p.25</w:t>
      </w:r>
    </w:p>
    <w:p w:rsidR="00A31137" w:rsidRPr="00A31137" w:rsidRDefault="00A31137" w:rsidP="00A31137">
      <w:r w:rsidRPr="00A31137">
        <w:t>To effectively utilize this vast resource, our coal transportation systems must be up-graded and the government controls on them relaxed. Government regulation regarding the mining and use of coal must be simplified. We will propose a policy which will assure that governmental restraints, other then necessary and reasonable environmental controls, do not prevent the use of coal. We also reaffirm that mined lands must be returned to beneficial use and that states, in accordance with past Congressional mandate, have the primary responsibility to implement rules concerning the mining of coal which are adapted to the states' unique characteristics.</w:t>
      </w:r>
    </w:p>
    <w:p w:rsidR="00A31137" w:rsidRPr="00A31137" w:rsidRDefault="00A31137" w:rsidP="00A31137">
      <w:r w:rsidRPr="00A31137">
        <w:t>1980 Republican Platform, p.26</w:t>
      </w:r>
    </w:p>
    <w:p w:rsidR="00A31137" w:rsidRPr="00A31137" w:rsidRDefault="00A31137" w:rsidP="00A31137">
      <w:r w:rsidRPr="00A31137">
        <w:t>[p.26] Coal, gas, and nuclear fission offer the best intermediate solutions to America's energy needs. We support accelerated use of nuclear energy through technologies that have been proven efficient and safe. The safe operation, as well as design, of nuclear generating plants will have our highest priority to assure the continued availability of this important energy source. The design and operation of these plants can be guaranteed in less than the 10 to 12 year lead time now required to license and build them. We believe that the licensing process can and should be streamlined through consolidation of the present process and the use of standardized reactor designs.</w:t>
      </w:r>
    </w:p>
    <w:p w:rsidR="00A31137" w:rsidRPr="00A31137" w:rsidRDefault="00A31137" w:rsidP="00A31137">
      <w:r w:rsidRPr="00A31137">
        <w:t>1980 Republican Platform, p.26</w:t>
      </w:r>
    </w:p>
    <w:p w:rsidR="00A31137" w:rsidRPr="00A31137" w:rsidRDefault="00A31137" w:rsidP="00A31137">
      <w:r w:rsidRPr="00A31137">
        <w:t>The Three Mile Island incident suggests the need for certain reforms, such as in the area of operator training, but illustrates that properly designed and operated nuclear plants do not endanger public health or safety. We further encourage the research, development, and demonstration of the breeder reactor, with its potential for safely contributing to our nation's future energy supplies.</w:t>
      </w:r>
    </w:p>
    <w:p w:rsidR="00A31137" w:rsidRPr="00A31137" w:rsidRDefault="00A31137" w:rsidP="00A31137">
      <w:r w:rsidRPr="00A31137">
        <w:t>1980 Republican Platform, p.26</w:t>
      </w:r>
    </w:p>
    <w:p w:rsidR="00A31137" w:rsidRPr="00A31137" w:rsidRDefault="00A31137" w:rsidP="00A31137">
      <w:r w:rsidRPr="00A31137">
        <w:t>Nuclear power development requires sound plans for nuclear waste disposal and storage and reprocessing of spent fuel. Technical solutions to these problems exist, and decisive federal action to choose and implement solutions is essential. The Democratic-controlled Congress and Administration have failed to address the spent fuel problem. A Republican Congress and Administration will immediately begin to implement plans for regional away-from-reactor storage of spent fuel with the goal of implementation of a program no later than 1984.</w:t>
      </w:r>
    </w:p>
    <w:p w:rsidR="00A31137" w:rsidRPr="00A31137" w:rsidRDefault="00A31137" w:rsidP="00A31137">
      <w:r w:rsidRPr="00A31137">
        <w:t>1980 Republican Platform, p.26</w:t>
      </w:r>
    </w:p>
    <w:p w:rsidR="00A31137" w:rsidRPr="00A31137" w:rsidRDefault="00A31137" w:rsidP="00A31137">
      <w:r w:rsidRPr="00A31137">
        <w:t>Republicans are committed to the rapid development of permanent storage facilities for nuclear wastes. Since waste disposal is a national responsibility, no state should bear an unacceptable share of this responsibility.</w:t>
      </w:r>
    </w:p>
    <w:p w:rsidR="00A31137" w:rsidRPr="00A31137" w:rsidRDefault="00A31137" w:rsidP="00A31137">
      <w:r w:rsidRPr="00A31137">
        <w:t>1980 Republican Platform, p.26</w:t>
      </w:r>
    </w:p>
    <w:p w:rsidR="00A31137" w:rsidRPr="00A31137" w:rsidRDefault="00A31137" w:rsidP="00A31137">
      <w:r w:rsidRPr="00A31137">
        <w:t>Republicans will also move toward reprocessing of spent fuel.</w:t>
      </w:r>
    </w:p>
    <w:p w:rsidR="00A31137" w:rsidRPr="00A31137" w:rsidRDefault="00A31137" w:rsidP="00A31137">
      <w:r w:rsidRPr="00A31137">
        <w:t>1980 Republican Platform, p.26</w:t>
      </w:r>
    </w:p>
    <w:p w:rsidR="00A31137" w:rsidRPr="00A31137" w:rsidRDefault="00A31137" w:rsidP="00A31137">
      <w:r w:rsidRPr="00A31137">
        <w:t>Republicans will continue to support the development of new technologies to develop liquid, gaseous, and solid hydrocarbons which can be derived from coal, oil shale, and tar sands. The decontrol of oil and gas prices will eliminate any necessity for government support for a synthetic fuel industry except possibly for limited demonstration projects. Clean air, water, waste disposal, mine reclamation, and leasing rules must be made rational and final to accelerate private investment.</w:t>
      </w:r>
    </w:p>
    <w:p w:rsidR="00A31137" w:rsidRPr="00A31137" w:rsidRDefault="00A31137" w:rsidP="00A31137">
      <w:r w:rsidRPr="00A31137">
        <w:t>1980 Republican Platform, p.26</w:t>
      </w:r>
    </w:p>
    <w:p w:rsidR="00A31137" w:rsidRPr="00A31137" w:rsidRDefault="00A31137" w:rsidP="00A31137">
      <w:r w:rsidRPr="00A31137">
        <w:t>Gasohol is an important, immediately available source of energy that is helping to extend our petroleum reserves. We encourage development of a domestic gasohol industry.</w:t>
      </w:r>
    </w:p>
    <w:p w:rsidR="00A31137" w:rsidRPr="00A31137" w:rsidRDefault="00A31137" w:rsidP="00A31137">
      <w:r w:rsidRPr="00A31137">
        <w:t>1980 Republican Platform, p.26</w:t>
      </w:r>
    </w:p>
    <w:p w:rsidR="00A31137" w:rsidRPr="00A31137" w:rsidRDefault="00A31137" w:rsidP="00A31137">
      <w:r w:rsidRPr="00A31137">
        <w:t>We also believe the government must continue supporting productive research to speed the development of renewable energy technologies, including solar energy, geothermal, wind, nuclear fusion, alcohol synthesis, and biomass, to provide the next generation of energy sources.</w:t>
      </w:r>
    </w:p>
    <w:p w:rsidR="00A31137" w:rsidRPr="00A31137" w:rsidRDefault="00A31137" w:rsidP="00A31137">
      <w:r w:rsidRPr="00A31137">
        <w:t>1980 Republican Platform, p.26</w:t>
      </w:r>
    </w:p>
    <w:p w:rsidR="00A31137" w:rsidRPr="00A31137" w:rsidRDefault="00A31137" w:rsidP="00A31137">
      <w:r w:rsidRPr="00A31137">
        <w:t>Conservation clearly plays a vital role in the consideration and formulation of national energy policy. Republicans reject, however, the position of the Democrats which is to conserve through government fiat, Republicans understand that free markets based on the collective priorities and judgments of individual consumers will efficiently allocate the energy supplies to their most highly valued uses. We also believe that the role of government is best performed by structuring creative cost-effective incentives to achieve energy efficiency and conservation.</w:t>
      </w:r>
    </w:p>
    <w:p w:rsidR="00A31137" w:rsidRPr="00A31137" w:rsidRDefault="00A31137" w:rsidP="00A31137">
      <w:r w:rsidRPr="00A31137">
        <w:t>1980 Republican Platform, p.26</w:t>
      </w:r>
    </w:p>
    <w:p w:rsidR="00A31137" w:rsidRPr="00A31137" w:rsidRDefault="00A31137" w:rsidP="00A31137">
      <w:r w:rsidRPr="00A31137">
        <w:t>We reject unequivocally punitive gasoline and other energy taxes designed to artificially suppress energy consumption.</w:t>
      </w:r>
    </w:p>
    <w:p w:rsidR="00A31137" w:rsidRPr="00A31137" w:rsidRDefault="00A31137" w:rsidP="00A31137">
      <w:r w:rsidRPr="00A31137">
        <w:t>1980 Republican Platform, p.26</w:t>
      </w:r>
    </w:p>
    <w:p w:rsidR="00A31137" w:rsidRPr="00A31137" w:rsidRDefault="00A31137" w:rsidP="00A31137">
      <w:r w:rsidRPr="00A31137">
        <w:t>Much inefficient energy use results from government subsidization of imported oil and holding the price of natural gas substantially below its market value. When the price of energy is held artificially low, there is no incentive for conservation. This kind of energy consumption stems not from the excesses of the public, but the foolish policy distortions of government. Every BTU of genuine energy "waste" in our economy would rapidly disappear if we immediately and completely dismantle all remaining energy price controls and subsidies.</w:t>
      </w:r>
    </w:p>
    <w:p w:rsidR="00A31137" w:rsidRPr="00A31137" w:rsidRDefault="00A31137" w:rsidP="00A31137">
      <w:r w:rsidRPr="00A31137">
        <w:t>1980 Republican Platform, p.26</w:t>
      </w:r>
    </w:p>
    <w:p w:rsidR="00A31137" w:rsidRPr="00A31137" w:rsidRDefault="00A31137" w:rsidP="00A31137">
      <w:r w:rsidRPr="00A31137">
        <w:t>A Republican policy of decontrol, development of our domestic energy resources, and incentives for new supply and conservation technologies will substantially reduce our dependence on imported oil. We reject the Carter Administration's incessant excuse that the high price of imported oil and OPEC are the primary cause of inflation and recession at home and a weak dollar and declining balance of payments abroad. The fastest way to bring international oil prices under control is to stop printing so recklessly the dollars in which those prices are denominated. Fully 60 percent of the world oil price increase since 1973 represents the depreciation of our dollars rather than an increase in the real price of oil.</w:t>
      </w:r>
    </w:p>
    <w:p w:rsidR="00A31137" w:rsidRPr="00A31137" w:rsidRDefault="00A31137" w:rsidP="00A31137">
      <w:r w:rsidRPr="00A31137">
        <w:t>1980 Republican Platform, p.26</w:t>
      </w:r>
    </w:p>
    <w:p w:rsidR="00A31137" w:rsidRPr="00A31137" w:rsidRDefault="00A31137" w:rsidP="00A31137">
      <w:r w:rsidRPr="00A31137">
        <w:t>Virtually all major environmental legislation in the past decade reflected a bipartisan concern over the need to maintain a clean and healthful environment. While the new environmental policies have resulted in improving air quality, cleaner waters, and more careful analysis of toxic chemicals, the price paid has far exceeded the direct and necessary cost of designing and installing new control technology. In the energy area, the increased complexity of regulations, together with continual changes in the standards imposed, have brought about tremendous delays in the planning and construction of new facilities ranging from electric power plants to oil refineries, pipelines, and synthetic fuel plants.</w:t>
      </w:r>
    </w:p>
    <w:p w:rsidR="00A31137" w:rsidRPr="00A31137" w:rsidRDefault="00A31137" w:rsidP="00A31137">
      <w:r w:rsidRPr="00A31137">
        <w:t>1980 Republican Platform, p.26</w:t>
      </w:r>
    </w:p>
    <w:p w:rsidR="00A31137" w:rsidRPr="00A31137" w:rsidRDefault="00A31137" w:rsidP="00A31137">
      <w:r w:rsidRPr="00A31137">
        <w:t>Republicans believe that an effective balance between energy and environmental goals can be achieved. We can ensure that government requirements are firmly grounded on the best scientific evidence available, that they are enforced evenhandedly and [p.27] predictably, and that the process of their development and enforcement has finality.</w:t>
      </w:r>
    </w:p>
    <w:p w:rsidR="00A31137" w:rsidRPr="00A31137" w:rsidRDefault="00A31137" w:rsidP="00A31137">
      <w:r w:rsidRPr="00A31137">
        <w:t>1980 Republican Platform, p.27</w:t>
      </w:r>
    </w:p>
    <w:p w:rsidR="00A31137" w:rsidRPr="00A31137" w:rsidRDefault="00A31137" w:rsidP="00A31137">
      <w:r w:rsidRPr="00A31137">
        <w:t>Republicans condemn the Democrats' withdrawal of a massive amount of the most promising federal lands from prospective energy development, including the rich potential of our Outer Continental shelf. It has been estimated that by the end of the 1980s resources from government-controlled acreage could yield over two million barrels of oil per day and four trillion cubic feet of gas per year, the equivalent of nearly all of our imports from OPEC countries. It is clear that restrictive leasing policies have driven us further to depend on OPEC by severely impairing the exploration for, and development of, domestic oil, gas, and coal resources, thereby aggravating our balance of trade deficit and making our country less secure. Republicans will move toward making available all suitable federal lands for multiple use purposes including exploration and production of energy resources.</w:t>
      </w:r>
    </w:p>
    <w:p w:rsidR="00A31137" w:rsidRPr="00A31137" w:rsidRDefault="00A31137" w:rsidP="00A31137">
      <w:r w:rsidRPr="00A31137">
        <w:t>1980 Republican Platform, p.27</w:t>
      </w:r>
    </w:p>
    <w:p w:rsidR="00A31137" w:rsidRPr="00A31137" w:rsidRDefault="00A31137" w:rsidP="00A31137">
      <w:r w:rsidRPr="00A31137">
        <w:t>Republicans believe that in order to address our energy problem we must maximize our domestic energy production capability. In the short term, therefore, the nation must move forward on all fronts simultaneously, including oil and gas, coal, and nuclear. In the longer term, renewable resources must be brought significantly on line to replace conventional sources. Finally, in conjunction with this all-out production initiative, we must strive to maximize conservation and the efficient use of energy.</w:t>
      </w:r>
    </w:p>
    <w:p w:rsidR="00A31137" w:rsidRPr="00A31137" w:rsidRDefault="00A31137" w:rsidP="00A31137">
      <w:r w:rsidRPr="00A31137">
        <w:t>1980 Republican Platform, p.27</w:t>
      </w:r>
    </w:p>
    <w:p w:rsidR="00A31137" w:rsidRPr="00A31137" w:rsidRDefault="00A31137" w:rsidP="00A31137">
      <w:r w:rsidRPr="00A31137">
        <w:t>The return to the traditions that gave vitality and strength to this nation is urgent.</w:t>
      </w:r>
    </w:p>
    <w:p w:rsidR="00A31137" w:rsidRPr="00A31137" w:rsidRDefault="00A31137" w:rsidP="00A31137">
      <w:r w:rsidRPr="00A31137">
        <w:t>1980 Republican Platform, p.27</w:t>
      </w:r>
    </w:p>
    <w:p w:rsidR="00A31137" w:rsidRPr="00A31137" w:rsidRDefault="00A31137" w:rsidP="00A31137">
      <w:r w:rsidRPr="00A31137">
        <w:t>The free world—indeed western civilization—needs a strong United States. That strength requires a prospering economy. That economy will be secure with a vigorous domestic energy industry. That vigor can only be achieved in an atmosphere of freedom—one that encourages individual initiatives and personal resourcefulness.</w:t>
      </w:r>
    </w:p>
    <w:p w:rsidR="00A31137" w:rsidRPr="00A31137" w:rsidRDefault="00A31137" w:rsidP="00A31137">
      <w:r w:rsidRPr="00A31137">
        <w:t>Environment</w:t>
      </w:r>
    </w:p>
    <w:p w:rsidR="00A31137" w:rsidRPr="00A31137" w:rsidRDefault="00A31137" w:rsidP="00A31137">
      <w:r w:rsidRPr="00A31137">
        <w:t>1980 Republican Platform, p.27</w:t>
      </w:r>
    </w:p>
    <w:p w:rsidR="00A31137" w:rsidRPr="00A31137" w:rsidRDefault="00A31137" w:rsidP="00A31137">
      <w:r w:rsidRPr="00A31137">
        <w:t>The Republican Party reaffirms its long-standing commitment to the conservation and wise management of America's renewable natural resources.</w:t>
      </w:r>
    </w:p>
    <w:p w:rsidR="00A31137" w:rsidRPr="00A31137" w:rsidRDefault="00A31137" w:rsidP="00A31137">
      <w:r w:rsidRPr="00A31137">
        <w:t>1980 Republican Platform, p.27</w:t>
      </w:r>
    </w:p>
    <w:p w:rsidR="00A31137" w:rsidRPr="00A31137" w:rsidRDefault="00A31137" w:rsidP="00A31137">
      <w:r w:rsidRPr="00A31137">
        <w:t>We believe that a healthy environment is essential to the present and future well-being of our people, and to sustainable national growth.</w:t>
      </w:r>
    </w:p>
    <w:p w:rsidR="00A31137" w:rsidRPr="00A31137" w:rsidRDefault="00A31137" w:rsidP="00A31137">
      <w:r w:rsidRPr="00A31137">
        <w:t>1980 Republican Platform, p.27</w:t>
      </w:r>
    </w:p>
    <w:p w:rsidR="00A31137" w:rsidRPr="00A31137" w:rsidRDefault="00A31137" w:rsidP="00A31137">
      <w:r w:rsidRPr="00A31137">
        <w:t>The nature of environmental pollution is such that a government role is necessary to ensure its control and the proper protection of public health. Much progress has been made in achieving the goals of clean air, clean water, and control of toxic wastes. At the same time, we believe that it is imperative that environmental laws and regulations be reviewed and, where necessary, reformed to ensure that the benefits achieved justify the costs imposed. Too often, current regulations are so rigid and narrow that even individual innovations that improve the environment cannot be implemented. We believe, in particular, that regulatory procedures must be reformed to expedite decisionmaking. Endless delay harms both the environment and the economy.</w:t>
      </w:r>
    </w:p>
    <w:p w:rsidR="00A31137" w:rsidRPr="00A31137" w:rsidRDefault="00A31137" w:rsidP="00A31137">
      <w:r w:rsidRPr="00A31137">
        <w:t>1980 Republican Platform, p.27</w:t>
      </w:r>
    </w:p>
    <w:p w:rsidR="00A31137" w:rsidRPr="00A31137" w:rsidRDefault="00A31137" w:rsidP="00A31137">
      <w:r w:rsidRPr="00A31137">
        <w:t>We strongly affirm that environmental protection must not become a cover for a "no-growth" policy and a shrinking economy. Our economy can continue to grow in an acceptable environment.</w:t>
      </w:r>
    </w:p>
    <w:p w:rsidR="00A31137" w:rsidRPr="00A31137" w:rsidRDefault="00A31137" w:rsidP="00A31137">
      <w:r w:rsidRPr="00A31137">
        <w:t>1980 Republican Platform, p.27</w:t>
      </w:r>
    </w:p>
    <w:p w:rsidR="00A31137" w:rsidRPr="00A31137" w:rsidRDefault="00A31137" w:rsidP="00A31137">
      <w:r w:rsidRPr="00A31137">
        <w:t>We believe that agricultural policy should give emphasis to the stewardship of the nation's soil and water resources. The permanent loss of productive farm land is a growing problem and we encourage states and local communities to adopt policies that help maintain and protect productive agricultural land as a national asset.</w:t>
      </w:r>
    </w:p>
    <w:p w:rsidR="00A31137" w:rsidRPr="00A31137" w:rsidRDefault="00A31137" w:rsidP="00A31137">
      <w:r w:rsidRPr="00A31137">
        <w:t>Immigration and refugee policy</w:t>
      </w:r>
    </w:p>
    <w:p w:rsidR="00A31137" w:rsidRPr="00A31137" w:rsidRDefault="00A31137" w:rsidP="00A31137">
      <w:r w:rsidRPr="00A31137">
        <w:t>1980 Republican Platform, p.27</w:t>
      </w:r>
    </w:p>
    <w:p w:rsidR="00A31137" w:rsidRPr="00A31137" w:rsidRDefault="00A31137" w:rsidP="00A31137">
      <w:r w:rsidRPr="00A31137">
        <w:t>Residence in the United States is one of the most precious and valued of conditions. The traditional hospitality of the American people has been severely tested by recent events, but it remains the strongest in the world. Republicans are proud that our people have opened their arms and hearts to strangers from abroad and we favor an immigration and refugee policy which is consistent with this tradition. We believe that to the fullest extent possible those immigrants should be admitted who will make a positive contribution to America and who are willing to accept the fundamental American values and way of life. At the same time, United States immigration and refugee policy must reflect the interests of our national security and economic well-being. Immigration into this country must not be determined solely by foreign governments or even by the millions of people around the world who wish to come to America. The federal government has a duty to adopt immigration laws and follow enforcement procedures which will fairly and effectively implement the immigration policy desired by the American people.</w:t>
      </w:r>
    </w:p>
    <w:p w:rsidR="00A31137" w:rsidRPr="00A31137" w:rsidRDefault="00A31137" w:rsidP="00A31137">
      <w:r w:rsidRPr="00A31137">
        <w:t>1980 Republican Platform, p.27</w:t>
      </w:r>
    </w:p>
    <w:p w:rsidR="00A31137" w:rsidRPr="00A31137" w:rsidRDefault="00A31137" w:rsidP="00A31137">
      <w:r w:rsidRPr="00A31137">
        <w:t>The immediate adoption of this policy is essential to an orderly approach to the great problem of oppressed people seeking entry, so that the deserving can be accepted in America without adding to their hardships.</w:t>
      </w:r>
    </w:p>
    <w:p w:rsidR="00A31137" w:rsidRPr="00A31137" w:rsidRDefault="00A31137" w:rsidP="00A31137">
      <w:r w:rsidRPr="00A31137">
        <w:t>1980 Republican Platform, p.27</w:t>
      </w:r>
    </w:p>
    <w:p w:rsidR="00A31137" w:rsidRPr="00A31137" w:rsidRDefault="00A31137" w:rsidP="00A31137">
      <w:r w:rsidRPr="00A31137">
        <w:t>The refugee problem is an international problem and every effort should be made to coordinate plans for absorbing refugee populations with regional bodies, such as the Organization of American States and the Association of South East Asian Nations, on a global basis.</w:t>
      </w:r>
    </w:p>
    <w:p w:rsidR="00A31137" w:rsidRPr="00A31137" w:rsidRDefault="00A31137" w:rsidP="00A31137">
      <w:r w:rsidRPr="00A31137">
        <w:t>The judiciary</w:t>
      </w:r>
    </w:p>
    <w:p w:rsidR="00A31137" w:rsidRPr="00A31137" w:rsidRDefault="00A31137" w:rsidP="00A31137">
      <w:r w:rsidRPr="00A31137">
        <w:t>1980 Republican Platform, p.27</w:t>
      </w:r>
    </w:p>
    <w:p w:rsidR="00A31137" w:rsidRPr="00A31137" w:rsidRDefault="00A31137" w:rsidP="00A31137">
      <w:r w:rsidRPr="00A31137">
        <w:t>Under Mr. Carter, many, appointments to federal judgeships have been particularly disappointing. By his partisan nominations, he has violated his explicit campaign promise of 1976 and has blatantly disregarded the public interest. We pledge to reverse that deplorable trend, through the appointment of women and men who respect and reflect the values of the American people, and whose judicial philosophy is characterized by the highest regard for protecting the rights of law-abiding citizens, and is consistent with [p.28] the belief in the decentralization of the federal government and efforts to return decisionmaking power to state and local elected officials.</w:t>
      </w:r>
    </w:p>
    <w:p w:rsidR="00A31137" w:rsidRPr="00A31137" w:rsidRDefault="00A31137" w:rsidP="00A31137">
      <w:r w:rsidRPr="00A31137">
        <w:t>1980 Republican Platform, p.28</w:t>
      </w:r>
    </w:p>
    <w:p w:rsidR="00A31137" w:rsidRPr="00A31137" w:rsidRDefault="00A31137" w:rsidP="00A31137">
      <w:r w:rsidRPr="00A31137">
        <w:t>We will work for the appointment of judges at all levels of the judiciary who respect traditional family values and the sanctity of innocent human life.</w:t>
      </w:r>
    </w:p>
    <w:p w:rsidR="00A31137" w:rsidRPr="00A31137" w:rsidRDefault="00A31137" w:rsidP="00A31137">
      <w:r w:rsidRPr="00A31137">
        <w:t>Taxes and government spending</w:t>
      </w:r>
    </w:p>
    <w:p w:rsidR="00A31137" w:rsidRPr="00A31137" w:rsidRDefault="00A31137" w:rsidP="00A31137">
      <w:r w:rsidRPr="00A31137">
        <w:t>1980 Republican Platform, p.28</w:t>
      </w:r>
    </w:p>
    <w:p w:rsidR="00A31137" w:rsidRPr="00A31137" w:rsidRDefault="00A31137" w:rsidP="00A31137">
      <w:r w:rsidRPr="00A31137">
        <w:t>Elsewhere in this platform, we have pledged for the sale of individual freedom and economic growth to cut personal income tax rates for all. Republicans believe that these tax rate reductions should be complemented by firm limitations on the growth of federal spending as provided by the Roth-Kemp Bill. The Republican Party, therefore, pledges to place limits on federal spending as a percent of the Gross National Product. It is now over 21 percent. We pledge to reduce it. If federal spending is reduced as tax cuts are phased in, there will be sufficient budget surpluses to fund the tax cuts, and allow for reasonable growth in necessary program spending.</w:t>
      </w:r>
    </w:p>
    <w:p w:rsidR="00A31137" w:rsidRPr="00A31137" w:rsidRDefault="00A31137" w:rsidP="00A31137">
      <w:r w:rsidRPr="00A31137">
        <w:t>1980 Republican Platform, p.28</w:t>
      </w:r>
    </w:p>
    <w:p w:rsidR="00A31137" w:rsidRPr="00A31137" w:rsidRDefault="00A31137" w:rsidP="00A31137">
      <w:r w:rsidRPr="00A31137">
        <w:t>By increasing economic growth, tax rate reduction will reduce the need for government spending on unemployment, welfare, and public jobs programs. However, the Republican Party will also halt excessive government spending by eliminating waste, fraud, and duplication.</w:t>
      </w:r>
    </w:p>
    <w:p w:rsidR="00A31137" w:rsidRPr="00A31137" w:rsidRDefault="00A31137" w:rsidP="00A31137">
      <w:r w:rsidRPr="00A31137">
        <w:t>1980 Republican Platform, p.28</w:t>
      </w:r>
    </w:p>
    <w:p w:rsidR="00A31137" w:rsidRPr="00A31137" w:rsidRDefault="00A31137" w:rsidP="00A31137">
      <w:r w:rsidRPr="00A31137">
        <w:t>We believe that the Congressional budget process has failed to control federal spending. Indeed, because of its big spending bias, the budget process has actually contributed to higher levels of social spending, has prevented necessary growth in defense spending, and has been used to frustrate every Republican attempt to lower tax rates to promote economic growth.</w:t>
      </w:r>
    </w:p>
    <w:p w:rsidR="00A31137" w:rsidRPr="00A31137" w:rsidRDefault="00A31137" w:rsidP="00A31137">
      <w:r w:rsidRPr="00A31137">
        <w:t>1980 Republican Platform, p.28</w:t>
      </w:r>
    </w:p>
    <w:p w:rsidR="00A31137" w:rsidRPr="00A31137" w:rsidRDefault="00A31137" w:rsidP="00A31137">
      <w:r w:rsidRPr="00A31137">
        <w:t>The immediate burden of reducing federal spending rests on the shoulders of the President and the Congress. We believe a Republican President and a Republican Congress can balance the budget and reduce spending through legislative actions, eliminating the necessity for a Constitutional amendment to compel it. However, if necessary, the Republican Party will seek to adopt a Constitutional amendment to limit federal spending and balance the budget, except in time of national emergency as determined by a two-thirds vote of Congress.</w:t>
      </w:r>
    </w:p>
    <w:p w:rsidR="00A31137" w:rsidRPr="00A31137" w:rsidRDefault="00A31137" w:rsidP="00A31137">
      <w:r w:rsidRPr="00A31137">
        <w:t>Government lending</w:t>
      </w:r>
    </w:p>
    <w:p w:rsidR="00A31137" w:rsidRPr="00A31137" w:rsidRDefault="00A31137" w:rsidP="00A31137">
      <w:r w:rsidRPr="00A31137">
        <w:t>1980 Republican Platform, p.28</w:t>
      </w:r>
    </w:p>
    <w:p w:rsidR="00A31137" w:rsidRPr="00A31137" w:rsidRDefault="00A31137" w:rsidP="00A31137">
      <w:r w:rsidRPr="00A31137">
        <w:t>Not only has the Democratic Congress failed to control spending, but in the last 10 years federal credit assistance programs have soared out of control.</w:t>
      </w:r>
    </w:p>
    <w:p w:rsidR="00A31137" w:rsidRPr="00A31137" w:rsidRDefault="00A31137" w:rsidP="00A31137">
      <w:r w:rsidRPr="00A31137">
        <w:t>1980 Republican Platform, p.28</w:t>
      </w:r>
    </w:p>
    <w:p w:rsidR="00A31137" w:rsidRPr="00A31137" w:rsidRDefault="00A31137" w:rsidP="00A31137">
      <w:r w:rsidRPr="00A31137">
        <w:t>Many federal loan guarantees and related credit programs are off-budget. As a result, no one knows the nature and extent of our obligations or the effect such practices have on our economy. The best estimate is that outstanding federal credit is now close to $600 billion.</w:t>
      </w:r>
    </w:p>
    <w:p w:rsidR="00A31137" w:rsidRPr="00A31137" w:rsidRDefault="00A31137" w:rsidP="00A31137">
      <w:r w:rsidRPr="00A31137">
        <w:t>1980 Republican Platform, p.28</w:t>
      </w:r>
    </w:p>
    <w:p w:rsidR="00A31137" w:rsidRPr="00A31137" w:rsidRDefault="00A31137" w:rsidP="00A31137">
      <w:r w:rsidRPr="00A31137">
        <w:t>Runaway government lending can be just as dangerous as runaway federal spending.</w:t>
      </w:r>
    </w:p>
    <w:p w:rsidR="00A31137" w:rsidRPr="00A31137" w:rsidRDefault="00A31137" w:rsidP="00A31137">
      <w:r w:rsidRPr="00A31137">
        <w:t>1980 Republican Platform, p.28</w:t>
      </w:r>
    </w:p>
    <w:p w:rsidR="00A31137" w:rsidRPr="00A31137" w:rsidRDefault="00A31137" w:rsidP="00A31137">
      <w:r w:rsidRPr="00A31137">
        <w:t>The Republican Party will establish a workable federal credit policy that will bring order to the reckless lending practices of the past.</w:t>
      </w:r>
    </w:p>
    <w:p w:rsidR="00A31137" w:rsidRPr="00A31137" w:rsidRDefault="00A31137" w:rsidP="00A31137">
      <w:r w:rsidRPr="00A31137">
        <w:t>Inflation</w:t>
      </w:r>
    </w:p>
    <w:p w:rsidR="00A31137" w:rsidRPr="00A31137" w:rsidRDefault="00A31137" w:rsidP="00A31137">
      <w:r w:rsidRPr="00A31137">
        <w:t>1980 Republican Platform, p.28</w:t>
      </w:r>
    </w:p>
    <w:p w:rsidR="00A31137" w:rsidRPr="00A31137" w:rsidRDefault="00A31137" w:rsidP="00A31137">
      <w:r w:rsidRPr="00A31137">
        <w:t>We consider inflation and its impact on jobs to be the greatest domestic threat facing our nation today. Mr. Carter must go! For what he has done to the dollar; for what he has done to the life savings of millions of Americans; for what he has done to retirees seeking a secure old age; for what he has done to young families aspiring to a home, an education for their children, and a rising living standard, Mr. Carter must not have another four years in office.</w:t>
      </w:r>
    </w:p>
    <w:p w:rsidR="00A31137" w:rsidRPr="00A31137" w:rsidRDefault="00A31137" w:rsidP="00A31137">
      <w:r w:rsidRPr="00A31137">
        <w:t>1980 Republican Platform, p.28</w:t>
      </w:r>
    </w:p>
    <w:p w:rsidR="00A31137" w:rsidRPr="00A31137" w:rsidRDefault="00A31137" w:rsidP="00A31137">
      <w:r w:rsidRPr="00A31137">
        <w:t>In his three and one-half years in office, Mr. Carter has presented and supported policies which carried inflation from 4.8 percent in 1976 to a peak of 18 percent during 1980.</w:t>
      </w:r>
    </w:p>
    <w:p w:rsidR="00A31137" w:rsidRPr="00A31137" w:rsidRDefault="00A31137" w:rsidP="00A31137">
      <w:r w:rsidRPr="00A31137">
        <w:t>1980 Republican Platform, p.28</w:t>
      </w:r>
    </w:p>
    <w:p w:rsidR="00A31137" w:rsidRPr="00A31137" w:rsidRDefault="00A31137" w:rsidP="00A31137">
      <w:r w:rsidRPr="00A31137">
        <w:t>He has fostered a 50 percent increase in federal spending, an increase of more than $200 billion, boosting spending in an era of scarce resources, and driving up prices.</w:t>
      </w:r>
    </w:p>
    <w:p w:rsidR="00A31137" w:rsidRPr="00A31137" w:rsidRDefault="00A31137" w:rsidP="00A31137">
      <w:r w:rsidRPr="00A31137">
        <w:t>1980 Republican Platform, p.28</w:t>
      </w:r>
    </w:p>
    <w:p w:rsidR="00A31137" w:rsidRPr="00A31137" w:rsidRDefault="00A31137" w:rsidP="00A31137">
      <w:r w:rsidRPr="00A31137">
        <w:t>He has through both inaction and deliberate policy permitted or forced tax increases of more than 70 percent, more than $250 billion, directly increasing the cost of living and the costs of hiring and producing. This has crippled living standards, productivity, and our ability to compete in the world. It has led to reduced output, scarcity, and higher prices.</w:t>
      </w:r>
    </w:p>
    <w:p w:rsidR="00A31137" w:rsidRPr="00A31137" w:rsidRDefault="00A31137" w:rsidP="00A31137">
      <w:r w:rsidRPr="00A31137">
        <w:t>1980 Republican Platform, p.28</w:t>
      </w:r>
    </w:p>
    <w:p w:rsidR="00A31137" w:rsidRPr="00A31137" w:rsidRDefault="00A31137" w:rsidP="00A31137">
      <w:r w:rsidRPr="00A31137">
        <w:t>He has imposed burdensome regulations and controls on production which have reduced the availability of domestic goods and energy resources, increased our dependence on imports, particularly in the energy area, driven down the value of the dollar, and driven up prices.</w:t>
      </w:r>
    </w:p>
    <w:p w:rsidR="00A31137" w:rsidRPr="00A31137" w:rsidRDefault="00A31137" w:rsidP="00A31137">
      <w:r w:rsidRPr="00A31137">
        <w:t>1980 Republican Platform, p.28</w:t>
      </w:r>
    </w:p>
    <w:p w:rsidR="00A31137" w:rsidRPr="00A31137" w:rsidRDefault="00A31137" w:rsidP="00A31137">
      <w:r w:rsidRPr="00A31137">
        <w:t>He has permitted continuing federal budget deficits and increased federal borrowing, forcing higher interest rates and inflationary money creation, increasing prices.</w:t>
      </w:r>
    </w:p>
    <w:p w:rsidR="00A31137" w:rsidRPr="00A31137" w:rsidRDefault="00A31137" w:rsidP="00A31137">
      <w:r w:rsidRPr="00A31137">
        <w:t>1980 Republican Platform, p.28</w:t>
      </w:r>
    </w:p>
    <w:p w:rsidR="00A31137" w:rsidRPr="00A31137" w:rsidRDefault="00A31137" w:rsidP="00A31137">
      <w:r w:rsidRPr="00A31137">
        <w:t>The inflation policies of the Carter Administration have been inconsistent, counterproductive, and tragically inept. Mr. Carter has blamed everyone from OPEC to the American people themselves for this crisis of inflation—everyone, that is, but his own Administration and its policies which have been the true cause of inflation.</w:t>
      </w:r>
    </w:p>
    <w:p w:rsidR="00A31137" w:rsidRPr="00A31137" w:rsidRDefault="00A31137" w:rsidP="00A31137">
      <w:r w:rsidRPr="00A31137">
        <w:t>1980 Republican Platform, p.28</w:t>
      </w:r>
    </w:p>
    <w:p w:rsidR="00A31137" w:rsidRPr="00A31137" w:rsidRDefault="00A31137" w:rsidP="00A31137">
      <w:r w:rsidRPr="00A31137">
        <w:t>Inflation is too much money chasing too few goods. Much can be done to increase the growth of real output. But ultimately price stability requires a non-inflationary rate of growth of the money supply in line with the real growth of the economy. If the supply of dollars rapidly outstrips the quantity of goods, year in, year out, inflation is inevitable.</w:t>
      </w:r>
    </w:p>
    <w:p w:rsidR="00A31137" w:rsidRPr="00A31137" w:rsidRDefault="00A31137" w:rsidP="00A31137">
      <w:r w:rsidRPr="00A31137">
        <w:t>1980 Republican Platform, p.28</w:t>
      </w:r>
    </w:p>
    <w:p w:rsidR="00A31137" w:rsidRPr="00A31137" w:rsidRDefault="00A31137" w:rsidP="00A31137">
      <w:r w:rsidRPr="00A31137">
        <w:t>Ultimately, inflation is a decline in the value of the dollar, the monetary standard, in terms of the goods it can buy. Until the decade of the 1970s, monetary policy was automatically linked to the overriding objective of maintaining a stable dollar value. The [p.29] severing of the dollar's link with real commodities in the 1960s and 1970s, in order to pursue economic goals other than dollar stability, has unleashed hyper-inflationary forces at home and monetary disorder abroad, without bringing any of the desired economic benefits. One of the most urgent tasks in the period ahead will be the restoration of a dependable monetary standard—that is, an end to inflation.</w:t>
      </w:r>
    </w:p>
    <w:p w:rsidR="00A31137" w:rsidRPr="00A31137" w:rsidRDefault="00A31137" w:rsidP="00A31137">
      <w:r w:rsidRPr="00A31137">
        <w:t>1980 Republican Platform, p.29</w:t>
      </w:r>
    </w:p>
    <w:p w:rsidR="00A31137" w:rsidRPr="00A31137" w:rsidRDefault="00A31137" w:rsidP="00A31137">
      <w:r w:rsidRPr="00A31137">
        <w:t>Lower tax rates, less spending, and a balanced budget are the keys to maintaining real growth and full employment as we end inflation by putting our monetary policy back on track. Monetary and fiscal policy must each play its part if we are to achieve our joint goals of full employment and price stability.</w:t>
      </w:r>
    </w:p>
    <w:p w:rsidR="00A31137" w:rsidRPr="00A31137" w:rsidRDefault="00A31137" w:rsidP="00A31137">
      <w:r w:rsidRPr="00A31137">
        <w:t>1980 Republican Platform, p.29</w:t>
      </w:r>
    </w:p>
    <w:p w:rsidR="00A31137" w:rsidRPr="00A31137" w:rsidRDefault="00A31137" w:rsidP="00A31137">
      <w:r w:rsidRPr="00A31137">
        <w:t>Unfortunately, Mr. Carter and the Democratic Congress seek to derail our nation's money creation policies by taking away the independence of the Federal Reserve Board. The same people who have so massively expanded government spending should not be allowed politically to dominate our monetary policy. The independence of the Federal Reserve System must be preserved.</w:t>
      </w:r>
    </w:p>
    <w:p w:rsidR="00A31137" w:rsidRPr="00A31137" w:rsidRDefault="00A31137" w:rsidP="00A31137">
      <w:r w:rsidRPr="00A31137">
        <w:t>1980 Republican Platform, p.29</w:t>
      </w:r>
    </w:p>
    <w:p w:rsidR="00A31137" w:rsidRPr="00A31137" w:rsidRDefault="00A31137" w:rsidP="00A31137">
      <w:r w:rsidRPr="00A31137">
        <w:t>The Republican Party believes inflation can be controlled only by fiscal and monetary restraint, combined with sharp reductions in the tax and regulatory disincentives for savings, investment, and productivity. Therefore, the Republican Party opposes the imposition of wage and price controls and credit controls.</w:t>
      </w:r>
    </w:p>
    <w:p w:rsidR="00A31137" w:rsidRPr="00A31137" w:rsidRDefault="00A31137" w:rsidP="00A31137">
      <w:r w:rsidRPr="00A31137">
        <w:t>1980 Republican Platform, p.29</w:t>
      </w:r>
    </w:p>
    <w:p w:rsidR="00A31137" w:rsidRPr="00A31137" w:rsidRDefault="00A31137" w:rsidP="00A31137">
      <w:r w:rsidRPr="00A31137">
        <w:t>Controls will not stop inflation, as past experience has shown. Wage and price controls will only result in shortages, inequities, black markets, and ultimately higher prices. We reject this short-sighted and misguided approach.</w:t>
      </w:r>
    </w:p>
    <w:p w:rsidR="00A31137" w:rsidRPr="00A31137" w:rsidRDefault="00A31137" w:rsidP="00A31137">
      <w:r w:rsidRPr="00A31137">
        <w:t>Peace and Freedom</w:t>
      </w:r>
    </w:p>
    <w:p w:rsidR="00A31137" w:rsidRPr="00A31137" w:rsidRDefault="00A31137" w:rsidP="00A31137">
      <w:r w:rsidRPr="00A31137">
        <w:t>Prologue</w:t>
      </w:r>
    </w:p>
    <w:p w:rsidR="00A31137" w:rsidRPr="00A31137" w:rsidRDefault="00A31137" w:rsidP="00A31137">
      <w:r w:rsidRPr="00A31137">
        <w:t>1980 Republican Platform, p.29</w:t>
      </w:r>
    </w:p>
    <w:p w:rsidR="00A31137" w:rsidRPr="00A31137" w:rsidRDefault="00A31137" w:rsidP="00A31137">
      <w:r w:rsidRPr="00A31137">
        <w:t>At the start of the 1980s, the United States faces the most serious challenge to its survival in the two centuries of its existence. Our ability to meet this challenge demands a foreign policy firmly rooted in principle. Our economic and social welfare in the 1980s may depend as much on our foreign and defense policy as it does on domestic policy. The Republican Party reasserts that it is the solemn purpose of our foreign policy to secure the people and free institutions of our nation against every peril; to hearten and fortify the love of freedom everywhere in the world; and to achieve a secure environment in the world in which freedom, democracy, and justice may flourish.</w:t>
      </w:r>
    </w:p>
    <w:p w:rsidR="00A31137" w:rsidRPr="00A31137" w:rsidRDefault="00A31137" w:rsidP="00A31137">
      <w:r w:rsidRPr="00A31137">
        <w:t>1980 Republican Platform, p.29</w:t>
      </w:r>
    </w:p>
    <w:p w:rsidR="00A31137" w:rsidRPr="00A31137" w:rsidRDefault="00A31137" w:rsidP="00A31137">
      <w:r w:rsidRPr="00A31137">
        <w:t>For three and one-half years, the Carter Administration has been without a coherent strategic concept to guide foreign policy, oblivious to the scope and magnitude of the threat posed to our security, and devoid of competence to provide leadership and direction to the free world. The Administration's conduct of foreign policy has undermined our friends abroad, and led our meet dangerous adversaries to miscalculate the willingness of the American people to resist aggression. Republicans support a policy of peace through strength; weakness provokes aggression.</w:t>
      </w:r>
    </w:p>
    <w:p w:rsidR="00A31137" w:rsidRPr="00A31137" w:rsidRDefault="00A31137" w:rsidP="00A31137">
      <w:r w:rsidRPr="00A31137">
        <w:t>1980 Republican Platform, p.29</w:t>
      </w:r>
    </w:p>
    <w:p w:rsidR="00A31137" w:rsidRPr="00A31137" w:rsidRDefault="00A31137" w:rsidP="00A31137">
      <w:r w:rsidRPr="00A31137">
        <w:t>For three and one-half years the Carter Administration has given us a foreign policy not of constancy and credibility, but of chaos, confusion, and failure. It has produced an image of our country as a vacillating and reactive nation, unable to define its place in the world, the goals it seeks, or the means to pursue them. Despite the Administration's rhetoric, the most flagrant offenders of human rights including the Soviet Union, Vietnam, and Cuba have been the beneficiaries of Administration good will, while nations friendly to the United States have suffered the loss of U.S. commercial access and economic and military assistance.</w:t>
      </w:r>
    </w:p>
    <w:p w:rsidR="00A31137" w:rsidRPr="00A31137" w:rsidRDefault="00A31137" w:rsidP="00A31137">
      <w:r w:rsidRPr="00A31137">
        <w:t>1980 Republican Platform, p.29</w:t>
      </w:r>
    </w:p>
    <w:p w:rsidR="00A31137" w:rsidRPr="00A31137" w:rsidRDefault="00A31137" w:rsidP="00A31137">
      <w:r w:rsidRPr="00A31137">
        <w:t>The threat to the United States and its allies is not only a military one. We face a threat from international terrorism. Our access to energy and raw material resources is challenged by civil unrest, Soviet-sponsored subversion, and economic combinations in restraint of free trade. Our first line of defense, our network of friendly nations and alliances, has been undermined by the inept conduct of foreign affairs.</w:t>
      </w:r>
    </w:p>
    <w:p w:rsidR="00A31137" w:rsidRPr="00A31137" w:rsidRDefault="00A31137" w:rsidP="00A31137">
      <w:r w:rsidRPr="00A31137">
        <w:t>1980 Republican Platform, p.29</w:t>
      </w:r>
    </w:p>
    <w:p w:rsidR="00A31137" w:rsidRPr="00A31137" w:rsidRDefault="00A31137" w:rsidP="00A31137">
      <w:r w:rsidRPr="00A31137">
        <w:t>American policy since World War II has rested upon the pillars of collective security, military and technological superiority, and economic strength, and upon the perception by our adversaries that the United States possesses the will to use its power where necessary to protect its freedom. These tenets have enabled a commonwealth of free and independent nations to enjoy the benefits and confidence that come from expanding economic interchange in peace and bilateral and multilateral support in time of war. The entire structure of peace was guaranteed by American and allied military power sufficient to deter conflict, or to prevail in conflict if deterrence should fail.</w:t>
      </w:r>
    </w:p>
    <w:p w:rsidR="00A31137" w:rsidRPr="00A31137" w:rsidRDefault="00A31137" w:rsidP="00A31137">
      <w:r w:rsidRPr="00A31137">
        <w:t>1980 Republican Platform, p.29</w:t>
      </w:r>
    </w:p>
    <w:p w:rsidR="00A31137" w:rsidRPr="00A31137" w:rsidRDefault="00A31137" w:rsidP="00A31137">
      <w:r w:rsidRPr="00A31137">
        <w:t>The Administration's neglect of America's defense posture in the face of overwhelming evidence of a threatening military buildup is without parallel since the 1930s. The scope and magnitude of the growth of Soviet military power threatens American interest at every level, from the nuclear threat to our survival, to our ability to protect the lives and property of American citizens abroad.</w:t>
      </w:r>
    </w:p>
    <w:p w:rsidR="00A31137" w:rsidRPr="00A31137" w:rsidRDefault="00A31137" w:rsidP="00A31137">
      <w:r w:rsidRPr="00A31137">
        <w:t>1980 Republican Platform, p.29</w:t>
      </w:r>
    </w:p>
    <w:p w:rsidR="00A31137" w:rsidRPr="00A31137" w:rsidRDefault="00A31137" w:rsidP="00A31137">
      <w:r w:rsidRPr="00A31137">
        <w:t>Despite clear danger signals indicating that Soviet nuclear power would overtake that of the United States by the early 1980s, threatening the survival of the United States and making possible, for the first time in post-war history, political coercion and defeat, the Administration reduced the size and capability of our nuclear forces.</w:t>
      </w:r>
    </w:p>
    <w:p w:rsidR="00A31137" w:rsidRPr="00A31137" w:rsidRDefault="00A31137" w:rsidP="00A31137">
      <w:r w:rsidRPr="00A31137">
        <w:t>1980 Republican Platform, p.29</w:t>
      </w:r>
    </w:p>
    <w:p w:rsidR="00A31137" w:rsidRPr="00A31137" w:rsidRDefault="00A31137" w:rsidP="00A31137">
      <w:r w:rsidRPr="00A31137">
        <w:t>Despite clear danger signals indicating that the Soviet Union was using Cuban, East German, and now Nicaraguan, as well as its own, military forces to extend its power to Africa, Asia, and the Western Hemisphere, the Administration often undermined the [p.30] very governments under attack. As a result, a clear and present danger threatens the energy and raw material lifelines of the Western world.</w:t>
      </w:r>
    </w:p>
    <w:p w:rsidR="00A31137" w:rsidRPr="00A31137" w:rsidRDefault="00A31137" w:rsidP="00A31137">
      <w:r w:rsidRPr="00A31137">
        <w:t>1980 Republican Platform, p.30</w:t>
      </w:r>
    </w:p>
    <w:p w:rsidR="00A31137" w:rsidRPr="00A31137" w:rsidRDefault="00A31137" w:rsidP="00A31137">
      <w:r w:rsidRPr="00A31137">
        <w:t>Despite clear danger signals indicating that the Soviet Union was augmenting its military threat to the nations of Western Europe, American defense programs such as the enhanced radiation warhead and cruise missiles, which could have offset that buildup, were cancelled or delayed—to the dismay of allies who depend upon American military power for their security.</w:t>
      </w:r>
    </w:p>
    <w:p w:rsidR="00A31137" w:rsidRPr="00A31137" w:rsidRDefault="00A31137" w:rsidP="00A31137">
      <w:r w:rsidRPr="00A31137">
        <w:t>1980 Republican Platform, p.30</w:t>
      </w:r>
    </w:p>
    <w:p w:rsidR="00A31137" w:rsidRPr="00A31137" w:rsidRDefault="00A31137" w:rsidP="00A31137">
      <w:r w:rsidRPr="00A31137">
        <w:t>The evidence of the Soviet threat to American security has never been more stark and unambiguous, nor has any President ever been more oblivious to this threat and its potential consequences.</w:t>
      </w:r>
    </w:p>
    <w:p w:rsidR="00A31137" w:rsidRPr="00A31137" w:rsidRDefault="00A31137" w:rsidP="00A31137">
      <w:r w:rsidRPr="00A31137">
        <w:t>1980 Republican Platform, p.30</w:t>
      </w:r>
    </w:p>
    <w:p w:rsidR="00A31137" w:rsidRPr="00A31137" w:rsidRDefault="00A31137" w:rsidP="00A31137">
      <w:r w:rsidRPr="00A31137">
        <w:t>The entire Western world faces complex and multi-dimensional threats to its access to energy and raw material resources. The growth of Soviet military power poses a direct threat to the petroleum resources of the Persian Gulf now that its military forces deployed in Afghanistan are less than 300 miles from the Straits of Hormuz, through which half the free world's energy supplies flow.</w:t>
      </w:r>
    </w:p>
    <w:p w:rsidR="00A31137" w:rsidRPr="00A31137" w:rsidRDefault="00A31137" w:rsidP="00A31137">
      <w:r w:rsidRPr="00A31137">
        <w:t>1980 Republican Platform, p.30</w:t>
      </w:r>
    </w:p>
    <w:p w:rsidR="00A31137" w:rsidRPr="00A31137" w:rsidRDefault="00A31137" w:rsidP="00A31137">
      <w:r w:rsidRPr="00A31137">
        <w:t>Soviet efforts to gain bases in areas astride the major sea lanes of the world have been successful due to their use of military power, either directly or indirectly or through Cuban and other Soviet bloc forces. Since the Carter Administration took office in 1977, the Soviets or their clients have taken over Afghanistan, Cambodia, Ethiopia, and South Yemen, and have solidified their grasp on a host of other nations in the developing world. The Soviet noose is now being drawn around southern Africa, the West's more abundant single source of critical raw materials.</w:t>
      </w:r>
    </w:p>
    <w:p w:rsidR="00A31137" w:rsidRPr="00A31137" w:rsidRDefault="00A31137" w:rsidP="00A31137">
      <w:r w:rsidRPr="00A31137">
        <w:t>1980 Republican Platform, p.30</w:t>
      </w:r>
    </w:p>
    <w:p w:rsidR="00A31137" w:rsidRPr="00A31137" w:rsidRDefault="00A31137" w:rsidP="00A31137">
      <w:r w:rsidRPr="00A31137">
        <w:t>The failure of the United States to respond to direct threats to its security has left American citizens vulnerable to terrorist assaults as well. American diplomatic personnel have been subject to seizure and assault by terrorists throughout the world without drawing a meaningful Administration response.</w:t>
      </w:r>
    </w:p>
    <w:p w:rsidR="00A31137" w:rsidRPr="00A31137" w:rsidRDefault="00A31137" w:rsidP="00A31137">
      <w:r w:rsidRPr="00A31137">
        <w:t>1980 Republican Platform, p.30</w:t>
      </w:r>
    </w:p>
    <w:p w:rsidR="00A31137" w:rsidRPr="00A31137" w:rsidRDefault="00A31137" w:rsidP="00A31137">
      <w:r w:rsidRPr="00A31137">
        <w:t>No failure of the Administration has been so catastrophic as its failure of leadership. Mired in incompetence, bereft of strategic vision and purpose, the President's failure to shoulder the burden of leadership in the Western alliance has placed America in danger without parallel since December 7, 1941. The United States cannot abdicate that role without inducing a diplomatic and eventually a military catastrophe.</w:t>
      </w:r>
    </w:p>
    <w:p w:rsidR="00A31137" w:rsidRPr="00A31137" w:rsidRDefault="00A31137" w:rsidP="00A31137">
      <w:r w:rsidRPr="00A31137">
        <w:t>1980 Republican Platform, p.30</w:t>
      </w:r>
    </w:p>
    <w:p w:rsidR="00A31137" w:rsidRPr="00A31137" w:rsidRDefault="00A31137" w:rsidP="00A31137">
      <w:r w:rsidRPr="00A31137">
        <w:t>Republicans realize that if the challenges of the 1980s are not met, we will continue to lose the respect of the world, our honor, and in the end, our freedom. Republicans pledge to meet these challenges with confidence and strength. We pledge to restore to the United States and its people a government with conviction in our cause, a government that will restore to our great nation its self-respect, its self-confidence, and its national pride.</w:t>
      </w:r>
    </w:p>
    <w:p w:rsidR="00A31137" w:rsidRPr="00A31137" w:rsidRDefault="00A31137" w:rsidP="00A31137">
      <w:r w:rsidRPr="00A31137">
        <w:t>National Security</w:t>
      </w:r>
    </w:p>
    <w:p w:rsidR="00A31137" w:rsidRPr="00A31137" w:rsidRDefault="00A31137" w:rsidP="00A31137">
      <w:r w:rsidRPr="00A31137">
        <w:t>Defense budget trends</w:t>
      </w:r>
    </w:p>
    <w:p w:rsidR="00A31137" w:rsidRPr="00A31137" w:rsidRDefault="00A31137" w:rsidP="00A31137">
      <w:r w:rsidRPr="00A31137">
        <w:t>1980 Republican Platform, p.30</w:t>
      </w:r>
    </w:p>
    <w:p w:rsidR="00A31137" w:rsidRPr="00A31137" w:rsidRDefault="00A31137" w:rsidP="00A31137">
      <w:r w:rsidRPr="00A31137">
        <w:t>In the late 1960s, the Republicans returned to the White House, inheriting a war in Southeast Asia. Because of this war, they also inherited a Fiscal Year (FY) 1968 defense budget which, if calculated in constant 1981 dollars to account for inflation, had risen to over $194 billion from $148 billion in FY 1961, the last Eisenhower year. By the beginning of the second Nixon Administration, U.S. forces were totally disengaged from Southeast Asia. The FY 1974 defense budget had dropped back to $139 billion, and the country had reaped its desired "peace dividend" of an over $50 billion reduction in annual defense spending. During this period, between 1969 and 1973, the Democrats who controlled Congress, led by Senators Mondale and Muskie, cut almost $45 billion from Nixon defense requests. Until 1975, Congress continued to ignore long-range defense needs, and made severe cuts in Republican defense proposals. The Ford Administration, however, succeeded in reversing this trend. From a low point of $134 billion in FY 1975, the FY 1976 defense budget rose, in response to President Ford's request, to $139 billion; and in FY 1977 it rose again to $147 billion.</w:t>
      </w:r>
    </w:p>
    <w:p w:rsidR="00A31137" w:rsidRPr="00A31137" w:rsidRDefault="00A31137" w:rsidP="00A31137">
      <w:r w:rsidRPr="00A31137">
        <w:t>1980 Republican Platform, p.30</w:t>
      </w:r>
    </w:p>
    <w:p w:rsidR="00A31137" w:rsidRPr="00A31137" w:rsidRDefault="00A31137" w:rsidP="00A31137">
      <w:r w:rsidRPr="00A31137">
        <w:t>Despite the growing sentiment for a stronger defense, candidate Carter ran on a promise of massive cuts in U.S. defense spending, one promise he has kept. In his first three years in the White House, Mr. Carter reduced defense spending by over $38 billion from President Ford's last Five Year Defense Plan. Now, in his last year in office, faced with the total collapse of his foreign policy, and with his policy advisers and their assumptions disgraced, he has finally proposed an increase beyond the rate of inflation in defense spending. But this growth for 1981 will be less than one percent.</w:t>
      </w:r>
    </w:p>
    <w:p w:rsidR="00A31137" w:rsidRPr="00A31137" w:rsidRDefault="00A31137" w:rsidP="00A31137">
      <w:r w:rsidRPr="00A31137">
        <w:t>1980 Republican Platform, p.30</w:t>
      </w:r>
    </w:p>
    <w:p w:rsidR="00A31137" w:rsidRPr="00A31137" w:rsidRDefault="00A31137" w:rsidP="00A31137">
      <w:r w:rsidRPr="00A31137">
        <w:t>We deplore Mr. Carter's personal attempts to rewrite history on defense budgets. His tough speeches before military audiences cannot hide his continuing opposition to Congressional defense increases. The four chiefs of the armed services have each characterized the Carter defense program as "inadequate" to meet the military threat posed to the United States. We associate ourselves with the characterization by Democratic Congressional leaders of the President's behavior on defense as "hypocritical." We would go further; it is disgraceful.</w:t>
      </w:r>
    </w:p>
    <w:p w:rsidR="00A31137" w:rsidRPr="00A31137" w:rsidRDefault="00A31137" w:rsidP="00A31137">
      <w:r w:rsidRPr="00A31137">
        <w:t>1980 Republican Platform, p.30</w:t>
      </w:r>
    </w:p>
    <w:p w:rsidR="00A31137" w:rsidRPr="00A31137" w:rsidRDefault="00A31137" w:rsidP="00A31137">
      <w:r w:rsidRPr="00A31137">
        <w:t>Mr. Carter cut back, cancelled, or delayed every strategic initiative proposed by President Ford. He cancelled production of the Minuteman missile and the B-1 bomber. He delayed all cruise missiles, the MX missile, the Trident submarine and the Trident II missile. He did this while the Soviet Union deployed the Backfire bomber and designed two additional bombers equal in capability to the B-1, and while it deployed four new large ICBMs and developed four others.</w:t>
      </w:r>
    </w:p>
    <w:p w:rsidR="00A31137" w:rsidRPr="00A31137" w:rsidRDefault="00A31137" w:rsidP="00A31137">
      <w:r w:rsidRPr="00A31137">
        <w:t>1980 Republican Platform, p.30</w:t>
      </w:r>
    </w:p>
    <w:p w:rsidR="00A31137" w:rsidRPr="00A31137" w:rsidRDefault="00A31137" w:rsidP="00A31137">
      <w:r w:rsidRPr="00A31137">
        <w:t>Mr. Carter postponed production and deployment of enhanced radiation (neutron) [p.31] warheads while the Soviet Union deployed the SS–20 mobile missile and the Backfire bomber against Western Europe. He cut President Ford's proposed shipbuilding plan in half. He vetoed a nuclear aircraft carrier. He did this while the Soviet Union pursued an aggressive shipbuilding program capable of giving them worldwide naval supremacy in the 1980s unless current trends are reversed immediately. Mr. Carter opposed efforts to correct the terribly inadequate pay rates for our military personnel and stood by as the alarming exodus of trained and skilled personnel from the services quickened. At the same time, the Soviet Union increased its military manpower to a level of 4.8 million, more than double that of the United States.</w:t>
      </w:r>
    </w:p>
    <w:p w:rsidR="00A31137" w:rsidRPr="00A31137" w:rsidRDefault="00A31137" w:rsidP="00A31137">
      <w:r w:rsidRPr="00A31137">
        <w:t>1980 Republican Platform, p.31</w:t>
      </w:r>
    </w:p>
    <w:p w:rsidR="00A31137" w:rsidRPr="00A31137" w:rsidRDefault="00A31137" w:rsidP="00A31137">
      <w:r w:rsidRPr="00A31137">
        <w:t>Recovery from the Carter Administration's neglect will require effort, but Americans know that effort is the unavoidable precondition to peace and economic prosperity. The Soviet Union is now devoting over $50 billion more to defense annually than the United States, achieving military superiority as a result. We have depleted our capital and must now devote the resources essential to catching up. The Secretary of Defense has stated that even if we were to maintain a constant increase in our spending of five percent in real terms, it would require 40 years for us to catch up.</w:t>
      </w:r>
    </w:p>
    <w:p w:rsidR="00A31137" w:rsidRPr="00A31137" w:rsidRDefault="00A31137" w:rsidP="00A31137">
      <w:r w:rsidRPr="00A31137">
        <w:t>1980 Republican Platform, p.31</w:t>
      </w:r>
    </w:p>
    <w:p w:rsidR="00A31137" w:rsidRPr="00A31137" w:rsidRDefault="00A31137" w:rsidP="00A31137">
      <w:r w:rsidRPr="00A31137">
        <w:t>Republicans commit themselves to an immediate increase in defense spending to be applied judiciously to critically needed programs. We will build toward a sustained defense expenditure sufficient to close the gap with the Soviets, and ultimately reach the position of military superiority that the American people demand.</w:t>
      </w:r>
    </w:p>
    <w:p w:rsidR="00A31137" w:rsidRPr="00A31137" w:rsidRDefault="00A31137" w:rsidP="00A31137">
      <w:r w:rsidRPr="00A31137">
        <w:t>Defense strategy</w:t>
      </w:r>
    </w:p>
    <w:p w:rsidR="00A31137" w:rsidRPr="00A31137" w:rsidRDefault="00A31137" w:rsidP="00A31137">
      <w:r w:rsidRPr="00A31137">
        <w:t>1980 Republican Platform, p.31</w:t>
      </w:r>
    </w:p>
    <w:p w:rsidR="00A31137" w:rsidRPr="00A31137" w:rsidRDefault="00A31137" w:rsidP="00A31137">
      <w:r w:rsidRPr="00A31137">
        <w:t>More is required than reversing our military decline alone. We have seen in recent years how an Administration, possessed of dwindling but still substantial strength, has stood paralyzed in the face of an inexorable march of Soviet or Soviet-sponsored aggression. To be effective in preserving our interests, we must pursue a comprehensive military strategy which guides both the design and employment of our forces. Such a strategy must proceed from a sober analysis of the diverse threats before us.</w:t>
      </w:r>
    </w:p>
    <w:p w:rsidR="00A31137" w:rsidRPr="00A31137" w:rsidRDefault="00A31137" w:rsidP="00A31137">
      <w:r w:rsidRPr="00A31137">
        <w:t>1980 Republican Platform, p.31</w:t>
      </w:r>
    </w:p>
    <w:p w:rsidR="00A31137" w:rsidRPr="00A31137" w:rsidRDefault="00A31137" w:rsidP="00A31137">
      <w:r w:rsidRPr="00A31137">
        <w:t>Republicans approve and endorse a national strategy of peace through strength as set forth in House Concurrent Resolution 306. We urge speedy approval of this legislation by both the U.S. House of Representatives and the U.S. Senate as a means of making clear to the world that the United States has not forgotten that the price of peace is eternal vigilance against tyranny. Therefore we commend to all Americans the text of House Concurrent Resolution 306 which reads as follows:</w:t>
      </w:r>
    </w:p>
    <w:p w:rsidR="00A31137" w:rsidRPr="00A31137" w:rsidRDefault="00A31137" w:rsidP="00A31137">
      <w:r w:rsidRPr="00A31137">
        <w:t>1980 Republican Platform, p.31</w:t>
      </w:r>
    </w:p>
    <w:p w:rsidR="00A31137" w:rsidRPr="00A31137" w:rsidRDefault="00A31137" w:rsidP="00A31137">
      <w:r w:rsidRPr="00A31137">
        <w:t>The foreign policy of the United States should reflect a national strategy of peace through strength. The general principles and goals of this strategy would be:</w:t>
      </w:r>
    </w:p>
    <w:p w:rsidR="00A31137" w:rsidRPr="00A31137" w:rsidRDefault="00A31137" w:rsidP="00A31137">
      <w:r w:rsidRPr="00A31137">
        <w:t>1980 Republican Platform, p.31</w:t>
      </w:r>
    </w:p>
    <w:p w:rsidR="00A31137" w:rsidRPr="00A31137" w:rsidRDefault="00A31137" w:rsidP="00A31137">
      <w:r w:rsidRPr="00A31137">
        <w:t>To inspire, focus, and unite the national will and determination to achieve peace and freedom;</w:t>
      </w:r>
    </w:p>
    <w:p w:rsidR="00A31137" w:rsidRPr="00A31137" w:rsidRDefault="00A31137" w:rsidP="00A31137">
      <w:r w:rsidRPr="00A31137">
        <w:t>1980 Republican Platform, p.31</w:t>
      </w:r>
    </w:p>
    <w:p w:rsidR="00A31137" w:rsidRPr="00A31137" w:rsidRDefault="00A31137" w:rsidP="00A31137">
      <w:r w:rsidRPr="00A31137">
        <w:t>To achieve overall military and technological superiority over the Soviet Union;</w:t>
      </w:r>
    </w:p>
    <w:p w:rsidR="00A31137" w:rsidRPr="00A31137" w:rsidRDefault="00A31137" w:rsidP="00A31137">
      <w:r w:rsidRPr="00A31137">
        <w:t>1980 Republican Platform, p.31</w:t>
      </w:r>
    </w:p>
    <w:p w:rsidR="00A31137" w:rsidRPr="00A31137" w:rsidRDefault="00A31137" w:rsidP="00A31137">
      <w:r w:rsidRPr="00A31137">
        <w:t>To create a strategic and civil defense which would protect the American people against nuclear war at least as well as the Soviet population is protected;</w:t>
      </w:r>
    </w:p>
    <w:p w:rsidR="00A31137" w:rsidRPr="00A31137" w:rsidRDefault="00A31137" w:rsidP="00A31137">
      <w:r w:rsidRPr="00A31137">
        <w:t>1980 Republican Platform, p.31</w:t>
      </w:r>
    </w:p>
    <w:p w:rsidR="00A31137" w:rsidRPr="00A31137" w:rsidRDefault="00A31137" w:rsidP="00A31137">
      <w:r w:rsidRPr="00A31137">
        <w:t>To accept no arms control agreement which in any way jeopardizes the security of the United States or its allies, or which locks the United States into a position of military inferiority;</w:t>
      </w:r>
    </w:p>
    <w:p w:rsidR="00A31137" w:rsidRPr="00A31137" w:rsidRDefault="00A31137" w:rsidP="00A31137">
      <w:r w:rsidRPr="00A31137">
        <w:t>1980 Republican Platform, p.31</w:t>
      </w:r>
    </w:p>
    <w:p w:rsidR="00A31137" w:rsidRPr="00A31137" w:rsidRDefault="00A31137" w:rsidP="00A31137">
      <w:r w:rsidRPr="00A31137">
        <w:t>To reestablish effective security and intelligence capabilities;</w:t>
      </w:r>
    </w:p>
    <w:p w:rsidR="00A31137" w:rsidRPr="00A31137" w:rsidRDefault="00A31137" w:rsidP="00A31137">
      <w:r w:rsidRPr="00A31137">
        <w:t>1980 Republican Platform, p.31</w:t>
      </w:r>
    </w:p>
    <w:p w:rsidR="00A31137" w:rsidRPr="00A31137" w:rsidRDefault="00A31137" w:rsidP="00A31137">
      <w:r w:rsidRPr="00A31137">
        <w:t>To pursue positive non-military means to roll back the growth of communism;</w:t>
      </w:r>
    </w:p>
    <w:p w:rsidR="00A31137" w:rsidRPr="00A31137" w:rsidRDefault="00A31137" w:rsidP="00A31137">
      <w:r w:rsidRPr="00A31137">
        <w:t>1980 Republican Platform, p.31</w:t>
      </w:r>
    </w:p>
    <w:p w:rsidR="00A31137" w:rsidRPr="00A31137" w:rsidRDefault="00A31137" w:rsidP="00A31137">
      <w:r w:rsidRPr="00A31137">
        <w:t>To help our allies and other non-Communist countries defend themselves against Communist aggression; and</w:t>
      </w:r>
    </w:p>
    <w:p w:rsidR="00A31137" w:rsidRPr="00A31137" w:rsidRDefault="00A31137" w:rsidP="00A31137">
      <w:r w:rsidRPr="00A31137">
        <w:t>1980 Republican Platform, p.31</w:t>
      </w:r>
    </w:p>
    <w:p w:rsidR="00A31137" w:rsidRPr="00A31137" w:rsidRDefault="00A31137" w:rsidP="00A31137">
      <w:r w:rsidRPr="00A31137">
        <w:t>To maintain a strong economy and protect our overseas sources of energy and other vital raw materials.</w:t>
      </w:r>
    </w:p>
    <w:p w:rsidR="00A31137" w:rsidRPr="00A31137" w:rsidRDefault="00A31137" w:rsidP="00A31137">
      <w:r w:rsidRPr="00A31137">
        <w:t>1980 Republican Platform, p.31</w:t>
      </w:r>
    </w:p>
    <w:p w:rsidR="00A31137" w:rsidRPr="00A31137" w:rsidRDefault="00A31137" w:rsidP="00A31137">
      <w:r w:rsidRPr="00A31137">
        <w:t>Our strategy must encompass the levels of force required to deter each level of foresee-able attack and to prevail in conflict in the event deterrence fails. The detailed analysis that must form the intellectual basis for elaboration of such a strategy will be the first priority of a Republican Administration. It must be based upon the following principles.</w:t>
      </w:r>
    </w:p>
    <w:p w:rsidR="00A31137" w:rsidRPr="00A31137" w:rsidRDefault="00A31137" w:rsidP="00A31137">
      <w:r w:rsidRPr="00A31137">
        <w:t>Nuclear forces</w:t>
      </w:r>
    </w:p>
    <w:p w:rsidR="00A31137" w:rsidRPr="00A31137" w:rsidRDefault="00A31137" w:rsidP="00A31137">
      <w:r w:rsidRPr="00A31137">
        <w:t>1980 Republican Platform, p.31</w:t>
      </w:r>
    </w:p>
    <w:p w:rsidR="00A31137" w:rsidRPr="00A31137" w:rsidRDefault="00A31137" w:rsidP="00A31137">
      <w:r w:rsidRPr="00A31137">
        <w:t>Nuclear weapons are the ultimate military guarantor of American security and that of our allies. Yet since 1977, the United States has moved from essential equivalence to inferiority in strategic nuclear forces with the Soviet Union. This decline has resulted from Mr. Carter's cancellation or delay of strategic initiatives like the B–1 bomber, the MX missile, and the Trident II submarine missile programs and from his decisions to close the Minuteman production line and forego production of enhanced radiation weapons.</w:t>
      </w:r>
    </w:p>
    <w:p w:rsidR="00A31137" w:rsidRPr="00A31137" w:rsidRDefault="00A31137" w:rsidP="00A31137">
      <w:r w:rsidRPr="00A31137">
        <w:t>1980 Republican Platform, p.31</w:t>
      </w:r>
    </w:p>
    <w:p w:rsidR="00A31137" w:rsidRPr="00A31137" w:rsidRDefault="00A31137" w:rsidP="00A31137">
      <w:r w:rsidRPr="00A31137">
        <w:t>As the disparity between American and Soviet strategic nuclear forces grows over the next three years, most U.S. land-based missiles, heavy bombers, and submarines in port will become vulnerable to a Soviet first-strike. Such a situation invites diplomatic blackmail and coercion of the United States by the Soviet Union during the coming decade.</w:t>
      </w:r>
    </w:p>
    <w:p w:rsidR="00A31137" w:rsidRPr="00A31137" w:rsidRDefault="00A31137" w:rsidP="00A31137">
      <w:r w:rsidRPr="00A31137">
        <w:t>1980 Republican Platform, p.31</w:t>
      </w:r>
    </w:p>
    <w:p w:rsidR="00A31137" w:rsidRPr="00A31137" w:rsidRDefault="00A31137" w:rsidP="00A31137">
      <w:r w:rsidRPr="00A31137">
        <w:t>An administration that can defend its interest only by threatening the mass extermination of civilians, as Mr. Carter implied in 1979, dooms itself to strategic, and eventually geo-political, paralysis. Such a strategy is simply not credible and, therefore is ineffectual. Yet the declining survivability of the U.S. ICBM force in the early 1980s will make this condition unavoidable unless prompt measures are taken. Our objective must be to assure the survivability of U.S. forces possessing an unquestioned, prompt, hard-target counterforce capability sufficient to disarm Soviet military targets in a second [p.32] strike. We reject the mutual-assured-destruction (MAD) strategy of the Carter Administration which limits the President during crises to a Hobson's choice between mass mutual suicide and surrender. We propose, instead, a credible strategy which will deter a Soviet attack by the clear capability of our forces to survive and ultimately to destroy Soviet military targets.</w:t>
      </w:r>
    </w:p>
    <w:p w:rsidR="00A31137" w:rsidRPr="00A31137" w:rsidRDefault="00A31137" w:rsidP="00A31137">
      <w:r w:rsidRPr="00A31137">
        <w:t>1980 Republican Platform, p.32</w:t>
      </w:r>
    </w:p>
    <w:p w:rsidR="00A31137" w:rsidRPr="00A31137" w:rsidRDefault="00A31137" w:rsidP="00A31137">
      <w:r w:rsidRPr="00A31137">
        <w:t>In order to counter the problem of ICBM vulnerability, we will propose a number of initiatives to provide the necessary survivability of the ICBM force in as timely and effective a manner as possible. In addition, we will proceed with:</w:t>
      </w:r>
    </w:p>
    <w:p w:rsidR="00A31137" w:rsidRPr="00A31137" w:rsidRDefault="00A31137" w:rsidP="00A31137">
      <w:r w:rsidRPr="00A31137">
        <w:t>1980 Republican Platform, p.32</w:t>
      </w:r>
    </w:p>
    <w:p w:rsidR="00A31137" w:rsidRPr="00A31137" w:rsidRDefault="00A31137" w:rsidP="00A31137">
      <w:r w:rsidRPr="00A31137">
        <w:t>The earliest possible deployment of the MX missile in a prudent survivable configuration;</w:t>
      </w:r>
    </w:p>
    <w:p w:rsidR="00A31137" w:rsidRPr="00A31137" w:rsidRDefault="00A31137" w:rsidP="00A31137">
      <w:r w:rsidRPr="00A31137">
        <w:t>1980 Republican Platform, p.32</w:t>
      </w:r>
    </w:p>
    <w:p w:rsidR="00A31137" w:rsidRPr="00A31137" w:rsidRDefault="00A31137" w:rsidP="00A31137">
      <w:r w:rsidRPr="00A31137">
        <w:t>Accelerated development and deployment of a new manned strategic penetrating bomber that will exploit the $5.5 billion already invested in the B–1, while employing the most advanced technology available;</w:t>
      </w:r>
    </w:p>
    <w:p w:rsidR="00A31137" w:rsidRPr="00A31137" w:rsidRDefault="00A31137" w:rsidP="00A31137">
      <w:r w:rsidRPr="00A31137">
        <w:t>1980 Republican Platform, p.32</w:t>
      </w:r>
    </w:p>
    <w:p w:rsidR="00A31137" w:rsidRPr="00A31137" w:rsidRDefault="00A31137" w:rsidP="00A31137">
      <w:r w:rsidRPr="00A31137">
        <w:t>Deployment of an air defense system comprised of dedicated modern interceptor aircraft and early warning support systems;</w:t>
      </w:r>
    </w:p>
    <w:p w:rsidR="00A31137" w:rsidRPr="00A31137" w:rsidRDefault="00A31137" w:rsidP="00A31137">
      <w:r w:rsidRPr="00A31137">
        <w:t>1980 Republican Platform, p.32</w:t>
      </w:r>
    </w:p>
    <w:p w:rsidR="00A31137" w:rsidRPr="00A31137" w:rsidRDefault="00A31137" w:rsidP="00A31137">
      <w:r w:rsidRPr="00A31137">
        <w:t>Acceleration of development and deployment of strategic cruise missiles deployed on aircraft, on land, and on ships and submarines</w:t>
      </w:r>
    </w:p>
    <w:p w:rsidR="00A31137" w:rsidRPr="00A31137" w:rsidRDefault="00A31137" w:rsidP="00A31137">
      <w:r w:rsidRPr="00A31137">
        <w:t>1980 Republican Platform, p.32</w:t>
      </w:r>
    </w:p>
    <w:p w:rsidR="00A31137" w:rsidRPr="00A31137" w:rsidRDefault="00A31137" w:rsidP="00A31137">
      <w:r w:rsidRPr="00A31137">
        <w:t>Modernization of the military command and control system to assure the responsiveness of U.S. strategic nuclear forces to presidential command in peace or war; and</w:t>
      </w:r>
    </w:p>
    <w:p w:rsidR="00A31137" w:rsidRPr="00A31137" w:rsidRDefault="00A31137" w:rsidP="00A31137">
      <w:r w:rsidRPr="00A31137">
        <w:t>1980 Republican Platform, p.32</w:t>
      </w:r>
    </w:p>
    <w:p w:rsidR="00A31137" w:rsidRPr="00A31137" w:rsidRDefault="00A31137" w:rsidP="00A31137">
      <w:r w:rsidRPr="00A31137">
        <w:t>Vigorous research and development of an effective anti-ballistic missile system, such as is already at hand in the Soviet Union, as well as more modern ABM technologies.</w:t>
      </w:r>
    </w:p>
    <w:p w:rsidR="00A31137" w:rsidRPr="00A31137" w:rsidRDefault="00A31137" w:rsidP="00A31137">
      <w:r w:rsidRPr="00A31137">
        <w:t>1980 Republican Platform, p.32</w:t>
      </w:r>
    </w:p>
    <w:p w:rsidR="00A31137" w:rsidRPr="00A31137" w:rsidRDefault="00A31137" w:rsidP="00A31137">
      <w:r w:rsidRPr="00A31137">
        <w:t>For more than 20 years, commencing in the mid-1950s, the United States has maintained tactical nuclear weapons in Europe for the purpose of assuring against deep penetrations into the West by the Soviet forces. Since 1977, however, the Administration has allowed our former superiority to erode to the point where we now face a more than three-to-one disadvantage.</w:t>
      </w:r>
    </w:p>
    <w:p w:rsidR="00A31137" w:rsidRPr="00A31137" w:rsidRDefault="00A31137" w:rsidP="00A31137">
      <w:r w:rsidRPr="00A31137">
        <w:t>1980 Republican Platform, p.32</w:t>
      </w:r>
    </w:p>
    <w:p w:rsidR="00A31137" w:rsidRPr="00A31137" w:rsidRDefault="00A31137" w:rsidP="00A31137">
      <w:r w:rsidRPr="00A31137">
        <w:t>A Republican Administration will strive for early modernization of our theater nuclear forces so that a seamless web of deterrence can be maintained against all levels of attack, and our credibility with our European allies is restored. In consultation with them we will proceed with deployments in Europe of medium-range cruise missiles, ballistic missiles, enhanced radiation war-heads, and the modernization of nuclear artillery.</w:t>
      </w:r>
    </w:p>
    <w:p w:rsidR="00A31137" w:rsidRPr="00A31137" w:rsidRDefault="00A31137" w:rsidP="00A31137">
      <w:r w:rsidRPr="00A31137">
        <w:t>Conventional forces</w:t>
      </w:r>
    </w:p>
    <w:p w:rsidR="00A31137" w:rsidRPr="00A31137" w:rsidRDefault="00A31137" w:rsidP="00A31137">
      <w:r w:rsidRPr="00A31137">
        <w:t>1980 Republican Platform, p.32</w:t>
      </w:r>
    </w:p>
    <w:p w:rsidR="00A31137" w:rsidRPr="00A31137" w:rsidRDefault="00A31137" w:rsidP="00A31137">
      <w:r w:rsidRPr="00A31137">
        <w:t>The greatest single result of our loss of nuclear parity has been the manifest increase in the willingness of the Soviet Union to take risks at the conventional level. Emboldened by the Carter Administration's failure to challenge their use of surrogate Cuban forces in Africa and the later Soviet presence in Angola, Ethiopia, and South Yemen, the Soviets, for the first time in postwar history, employed their own army units outside of the Soviet bloc in a brutal invasion of Afghanistan. The invasion presents chilling evidence of the mounting threat and raises fundamental questions with respect to United States strategy.</w:t>
      </w:r>
    </w:p>
    <w:p w:rsidR="00A31137" w:rsidRPr="00A31137" w:rsidRDefault="00A31137" w:rsidP="00A31137">
      <w:r w:rsidRPr="00A31137">
        <w:t>1980 Republican Platform, p.32</w:t>
      </w:r>
    </w:p>
    <w:p w:rsidR="00A31137" w:rsidRPr="00A31137" w:rsidRDefault="00A31137" w:rsidP="00A31137">
      <w:r w:rsidRPr="00A31137">
        <w:t>We believe it is not feasible at this time, and in the long term would be unworkable, to deploy massive U.S. ground forces to such areas as the Persian Gulf on a permanent basis as we do in Europe and elsewhere. A more effective strategy must be built on the dual pillars of maintaining a limited full-time presence in the area as a credible interdiction force, combined with the clear capability to reinforce this presence rapidly with the forces necessary to prevail in battle. In addition, the strategy must envision military action elsewhere at points of Soviet vulnerability—an expression of the classic doctrine of global maneuver.</w:t>
      </w:r>
    </w:p>
    <w:p w:rsidR="00A31137" w:rsidRPr="00A31137" w:rsidRDefault="00A31137" w:rsidP="00A31137">
      <w:r w:rsidRPr="00A31137">
        <w:t>1980 Republican Platform, p.32</w:t>
      </w:r>
    </w:p>
    <w:p w:rsidR="00A31137" w:rsidRPr="00A31137" w:rsidRDefault="00A31137" w:rsidP="00A31137">
      <w:r w:rsidRPr="00A31137">
        <w:t>The forces essential to the support of such a strategy must include a much-improved Navy, the force most suitable for maintaining U.S. presence in threatened areas and protecting sea lines of communication. In addition, we will require a substantial improvement in the air and sea mobility forces and improved access to regional installations. A Republican Administration will propose their substantial improvement, to include the establishment of a permanent fleet in the Indian Ocean. We will also improve contingency planning for the use and expansion of our commercial maritime fleet and a new rational approach to emergency use of our civil aircraft fleet.</w:t>
      </w:r>
    </w:p>
    <w:p w:rsidR="00A31137" w:rsidRPr="00A31137" w:rsidRDefault="00A31137" w:rsidP="00A31137">
      <w:r w:rsidRPr="00A31137">
        <w:t>1980 Republican Platform, p.32</w:t>
      </w:r>
    </w:p>
    <w:p w:rsidR="00A31137" w:rsidRPr="00A31137" w:rsidRDefault="00A31137" w:rsidP="00A31137">
      <w:r w:rsidRPr="00A31137">
        <w:t>The budget cuts imposed by Mr. Carter on the Army and his restoration of the supremacy of systems analysis in the Pentagon have resulted in slowdowns, deferrals, and cost increases in nine vitally needed Army procurement programs in armor, firepower, air defense, and helicopters. These critical and long-delayed modernization programs must be restored to economical production rates and must be speeded into the field. Of equal importance is the need to bring our stocks of ammunition, spare parts, and supplies—now at woefully inadequate levels—to a standard that will enable us to sustain our forces in conflict.</w:t>
      </w:r>
    </w:p>
    <w:p w:rsidR="00A31137" w:rsidRPr="00A31137" w:rsidRDefault="00A31137" w:rsidP="00A31137">
      <w:r w:rsidRPr="00A31137">
        <w:t>1980 Republican Platform, p.32</w:t>
      </w:r>
    </w:p>
    <w:p w:rsidR="00A31137" w:rsidRPr="00A31137" w:rsidRDefault="00A31137" w:rsidP="00A31137">
      <w:r w:rsidRPr="00A31137">
        <w:t>In addition to the strategic programs needed for our Air Force, we pledge to restore tactical aircraft development and procurement to economical levels and to speed the achievement of 26 modernized wings of aircraft able to conduct missions at night, in all weather conditions, and against the most sophisticated adversary.</w:t>
      </w:r>
    </w:p>
    <w:p w:rsidR="00A31137" w:rsidRPr="00A31137" w:rsidRDefault="00A31137" w:rsidP="00A31137">
      <w:r w:rsidRPr="00A31137">
        <w:t>1980 Republican Platform, p.32</w:t>
      </w:r>
    </w:p>
    <w:p w:rsidR="00A31137" w:rsidRPr="00A31137" w:rsidRDefault="00A31137" w:rsidP="00A31137">
      <w:r w:rsidRPr="00A31137">
        <w:t>We pledge to increase substantially our intra- and inter-theater airlift capability and to increase our aerial tanker fleet through procurement and speedy modernization. Of all of the services, the Navy and Marines have suffered most from Mr. Carter's cuts. Their share of the defense budget has shrunk from 40 to 33 percent during the Carter Administration. Mr. Carter slashed President Ford's 157 ship, five-year construction [p.33] program to 83. He has slowed the Trident submarine and requested only one attack submarine each year in spite of a Soviet three-to-one advantage. He vetoed the Fiscal Year 1979 Defense Authorization Bill because it included an aircraft carrier which a year later Congress forced him to accept. For the fourth straight year he has requested fewer than half of the 325 aircraft needed annually to stay even with peacetime attrition and modernization requirements. He has requested fewer than one-third of the amphibious ships needed just to keep the current level of capability for the Marines, and he has opposed Marine tactical aircraft and helicopter modernization.</w:t>
      </w:r>
    </w:p>
    <w:p w:rsidR="00A31137" w:rsidRPr="00A31137" w:rsidRDefault="00A31137" w:rsidP="00A31137">
      <w:r w:rsidRPr="00A31137">
        <w:t>1980 Republican Platform, p.33</w:t>
      </w:r>
    </w:p>
    <w:p w:rsidR="00A31137" w:rsidRPr="00A31137" w:rsidRDefault="00A31137" w:rsidP="00A31137">
      <w:r w:rsidRPr="00A31137">
        <w:t>The current Chief of Naval Operations has testified that, "We are trying to meet a three ocean requirement with a one-and-a-half ocean Navy." Republicans pledge to reverse Mr. Carter's dismantling of U.S. naval and Marine forces. We will restore our fleet to 600 ships at a rate equal to or exceeding that planned by President Ford. We will build more aircraft carriers, submarines, and amphibious ships. We will restore naval and Marine aircraft procurement to economical rates enabling rapid modernization of the current forces, and expansion to meet the requirements of additional aircraft carriers.</w:t>
      </w:r>
    </w:p>
    <w:p w:rsidR="00A31137" w:rsidRPr="00A31137" w:rsidRDefault="00A31137" w:rsidP="00A31137">
      <w:r w:rsidRPr="00A31137">
        <w:t>Defense manpower and the draft</w:t>
      </w:r>
    </w:p>
    <w:p w:rsidR="00A31137" w:rsidRPr="00A31137" w:rsidRDefault="00A31137" w:rsidP="00A31137">
      <w:r w:rsidRPr="00A31137">
        <w:t>1980 Republican Platform, p.33</w:t>
      </w:r>
    </w:p>
    <w:p w:rsidR="00A31137" w:rsidRPr="00A31137" w:rsidRDefault="00A31137" w:rsidP="00A31137">
      <w:r w:rsidRPr="00A31137">
        <w:t>The Republican Party is not prepared to accept a peacetime draft at this time. Under Mr. Carter, the all-volunteer force has not been given a fair chance to succeed. The unconscionable mismanagement and neglect of personnel policy by the Carter Administration has made a shambles of the all-volunteer force concept.</w:t>
      </w:r>
    </w:p>
    <w:p w:rsidR="00A31137" w:rsidRPr="00A31137" w:rsidRDefault="00A31137" w:rsidP="00A31137">
      <w:r w:rsidRPr="00A31137">
        <w:t>1980 Republican Platform, p.33</w:t>
      </w:r>
    </w:p>
    <w:p w:rsidR="00A31137" w:rsidRPr="00A31137" w:rsidRDefault="00A31137" w:rsidP="00A31137">
      <w:r w:rsidRPr="00A31137">
        <w:t>Perhaps the most compelling vulnerability of our forces results from the dramatic exodus of the core of highly skilled men and women who form the backbone of our military strength. This loss is the direct result of neglect by the Commander-in-Chief.</w:t>
      </w:r>
    </w:p>
    <w:p w:rsidR="00A31137" w:rsidRPr="00A31137" w:rsidRDefault="00A31137" w:rsidP="00A31137">
      <w:r w:rsidRPr="00A31137">
        <w:t>1980 Republican Platform, p.33</w:t>
      </w:r>
    </w:p>
    <w:p w:rsidR="00A31137" w:rsidRPr="00A31137" w:rsidRDefault="00A31137" w:rsidP="00A31137">
      <w:r w:rsidRPr="00A31137">
        <w:t>The sustained malign neglect of our military manpower is nothing short of a national scandal. This Administration's active assault on military benefits and military retirement has been accompanied by an enforced pay-cap set at half the inflation rate. The average military family has lost between 14 percent and 25 percent in purchasing power over the past seven years. Officers and skilled enlisted personnel are leaving in droves, and 250,000 of our servicemen qualify for public assistance. Many of our career people earn less than the minimum wage. The services are currently short 70,000 senior enlisted personnel. This scandal is the direct result of Mr. Carter's willful downgrading of the military and inept mismanagement of personnel policy. As a top priority, the Republican Party pledges to end this national disgrace.</w:t>
      </w:r>
    </w:p>
    <w:p w:rsidR="00A31137" w:rsidRPr="00A31137" w:rsidRDefault="00A31137" w:rsidP="00A31137">
      <w:r w:rsidRPr="00A31137">
        <w:t>1980 Republican Platform, p.33</w:t>
      </w:r>
    </w:p>
    <w:p w:rsidR="00A31137" w:rsidRPr="00A31137" w:rsidRDefault="00A31137" w:rsidP="00A31137">
      <w:r w:rsidRPr="00A31137">
        <w:t>We pledge to restore a national attitude of pride and gratitude for the service of our men and women in the armed forces. We will act immediately to correct the great inequities in pay and benefits of career military personnel. Specifically, we support immediate action to:</w:t>
      </w:r>
    </w:p>
    <w:p w:rsidR="00A31137" w:rsidRPr="00A31137" w:rsidRDefault="00A31137" w:rsidP="00A31137">
      <w:r w:rsidRPr="00A31137">
        <w:t>1980 Republican Platform, p.33</w:t>
      </w:r>
    </w:p>
    <w:p w:rsidR="00A31137" w:rsidRPr="00A31137" w:rsidRDefault="00A31137" w:rsidP="00A31137">
      <w:r w:rsidRPr="00A31137">
        <w:t>Provide for an increase in military pay targeted in particular toward the career grades now experiencing the greatest attrition;</w:t>
      </w:r>
    </w:p>
    <w:p w:rsidR="00A31137" w:rsidRPr="00A31137" w:rsidRDefault="00A31137" w:rsidP="00A31137">
      <w:r w:rsidRPr="00A31137">
        <w:t>1980 Republican Platform, p.33</w:t>
      </w:r>
    </w:p>
    <w:p w:rsidR="00A31137" w:rsidRPr="00A31137" w:rsidRDefault="00A31137" w:rsidP="00A31137">
      <w:r w:rsidRPr="00A31137">
        <w:t>Increase enlistment and reenlistment bonuses;</w:t>
      </w:r>
    </w:p>
    <w:p w:rsidR="00A31137" w:rsidRPr="00A31137" w:rsidRDefault="00A31137" w:rsidP="00A31137">
      <w:r w:rsidRPr="00A31137">
        <w:t>1980 Republican Platform, p.33</w:t>
      </w:r>
    </w:p>
    <w:p w:rsidR="00A31137" w:rsidRPr="00A31137" w:rsidRDefault="00A31137" w:rsidP="00A31137">
      <w:r w:rsidRPr="00A31137">
        <w:t>Improve continuation bonuses for aviators;</w:t>
      </w:r>
    </w:p>
    <w:p w:rsidR="00A31137" w:rsidRPr="00A31137" w:rsidRDefault="00A31137" w:rsidP="00A31137">
      <w:r w:rsidRPr="00A31137">
        <w:t>1980 Republican Platform, p.33</w:t>
      </w:r>
    </w:p>
    <w:p w:rsidR="00A31137" w:rsidRPr="00A31137" w:rsidRDefault="00A31137" w:rsidP="00A31137">
      <w:r w:rsidRPr="00A31137">
        <w:t>Increase per diem travel allowances;</w:t>
      </w:r>
    </w:p>
    <w:p w:rsidR="00A31137" w:rsidRPr="00A31137" w:rsidRDefault="00A31137" w:rsidP="00A31137">
      <w:r w:rsidRPr="00A31137">
        <w:t>1980 Republican Platform, p.33</w:t>
      </w:r>
    </w:p>
    <w:p w:rsidR="00A31137" w:rsidRPr="00A31137" w:rsidRDefault="00A31137" w:rsidP="00A31137">
      <w:r w:rsidRPr="00A31137">
        <w:t>Increase the allowance for moving mobile homes;</w:t>
      </w:r>
    </w:p>
    <w:p w:rsidR="00A31137" w:rsidRPr="00A31137" w:rsidRDefault="00A31137" w:rsidP="00A31137">
      <w:r w:rsidRPr="00A31137">
        <w:t>1980 Republican Platform, p.33</w:t>
      </w:r>
    </w:p>
    <w:p w:rsidR="00A31137" w:rsidRPr="00A31137" w:rsidRDefault="00A31137" w:rsidP="00A31137">
      <w:r w:rsidRPr="00A31137">
        <w:t>Provide family separation allowances for Junior personnel; and</w:t>
      </w:r>
    </w:p>
    <w:p w:rsidR="00A31137" w:rsidRPr="00A31137" w:rsidRDefault="00A31137" w:rsidP="00A31137">
      <w:r w:rsidRPr="00A31137">
        <w:t>1980 Republican Platform, p.33</w:t>
      </w:r>
    </w:p>
    <w:p w:rsidR="00A31137" w:rsidRPr="00A31137" w:rsidRDefault="00A31137" w:rsidP="00A31137">
      <w:r w:rsidRPr="00A31137">
        <w:t>Expand benefit entitlement under the CHAMPUS program.</w:t>
      </w:r>
    </w:p>
    <w:p w:rsidR="00A31137" w:rsidRPr="00A31137" w:rsidRDefault="00A31137" w:rsidP="00A31137">
      <w:r w:rsidRPr="00A31137">
        <w:t>1980 Republican Platform, p.33</w:t>
      </w:r>
    </w:p>
    <w:p w:rsidR="00A31137" w:rsidRPr="00A31137" w:rsidRDefault="00A31137" w:rsidP="00A31137">
      <w:r w:rsidRPr="00A31137">
        <w:t>A Republican Administration will index military pay and allowances to protect military personnel from absorbing the burden of inflation. We pledge that the profession of arms will be restored to its rightful place as a prominent expression of patriotism in America.</w:t>
      </w:r>
    </w:p>
    <w:p w:rsidR="00A31137" w:rsidRPr="00A31137" w:rsidRDefault="00A31137" w:rsidP="00A31137">
      <w:r w:rsidRPr="00A31137">
        <w:t>1980 Republican Platform, p.33</w:t>
      </w:r>
    </w:p>
    <w:p w:rsidR="00A31137" w:rsidRPr="00A31137" w:rsidRDefault="00A31137" w:rsidP="00A31137">
      <w:r w:rsidRPr="00A31137">
        <w:t>In order to attract recruits of high ability, a Republican Administration will act to re-introduce G.I. Bill benefits for those completing two years active service. We will press for enactment of legislation denying federal funds to any educational institution that impedes access of military recruiters to their students. We regard as a serious loss the decision of many of our finest institutions of higher learning to discontinue their military officer training programs. The leadership of our armed forces must include the best trained minds in our nation. Republicans call upon our colleges and universities to shoulder their responsibilities in the defense of freedom. We will investigate legislative inducements toward this end. We will not consider a peacetime draft unless a well-managed, Congressionally-funded, full-scale effort to improve the all-volunteer force does not meet expectations.</w:t>
      </w:r>
    </w:p>
    <w:p w:rsidR="00A31137" w:rsidRPr="00A31137" w:rsidRDefault="00A31137" w:rsidP="00A31137">
      <w:r w:rsidRPr="00A31137">
        <w:t>Reserve forces</w:t>
      </w:r>
    </w:p>
    <w:p w:rsidR="00A31137" w:rsidRPr="00A31137" w:rsidRDefault="00A31137" w:rsidP="00A31137">
      <w:r w:rsidRPr="00A31137">
        <w:t>1980 Republican Platform, p.33</w:t>
      </w:r>
    </w:p>
    <w:p w:rsidR="00A31137" w:rsidRPr="00A31137" w:rsidRDefault="00A31137" w:rsidP="00A31137">
      <w:r w:rsidRPr="00A31137">
        <w:t>The armed forces of the U.S. are today critically dependent upon our nation's Reserve components for both combat arms and combat support. The Army Reserve and National Guard provide one-third of the Army's combat divisions, 80 percent of its independent combat brigades, one-half of its artillery battalions, and one-third of its special forces groups. The Navy Reserve provides 90 percent of the Navy's ocean mine sweeping and two-thirds of its mobile construction battalions. The Air Force Reserve and Air National Guard provide all of our strategic interceptors, 60 percent of our tactical airlift, and one-third of our tactical fighters. Reserve and National Guard units may be mobilized for even the smallest of conflicts and many such units today are expected to deploy immediately with the active duty units they support.</w:t>
      </w:r>
    </w:p>
    <w:p w:rsidR="00A31137" w:rsidRPr="00A31137" w:rsidRDefault="00A31137" w:rsidP="00A31137">
      <w:r w:rsidRPr="00A31137">
        <w:t>1980 Republican Platform, p.33</w:t>
      </w:r>
    </w:p>
    <w:p w:rsidR="00A31137" w:rsidRPr="00A31137" w:rsidRDefault="00A31137" w:rsidP="00A31137">
      <w:r w:rsidRPr="00A31137">
        <w:t>Today, however, the reserves are ill-equipped, underpaid, and undermanned by several hundred thousand personnel. Proper [p.34] equipment, realistic, challenging training, and greater full-time support must be made available. We must ensure that all Americans take note of the proud and vital role played by the Reserve and National Guard components of the Armed Forces of the United States.</w:t>
      </w:r>
    </w:p>
    <w:p w:rsidR="00A31137" w:rsidRPr="00A31137" w:rsidRDefault="00A31137" w:rsidP="00A31137">
      <w:r w:rsidRPr="00A31137">
        <w:t>Readiness and industrial preparedness</w:t>
      </w:r>
    </w:p>
    <w:p w:rsidR="00A31137" w:rsidRPr="00A31137" w:rsidRDefault="00A31137" w:rsidP="00A31137">
      <w:r w:rsidRPr="00A31137">
        <w:t>1980 Republican Platform, p.34</w:t>
      </w:r>
    </w:p>
    <w:p w:rsidR="00A31137" w:rsidRPr="00A31137" w:rsidRDefault="00A31137" w:rsidP="00A31137">
      <w:r w:rsidRPr="00A31137">
        <w:t>History records that readiness for war is the surest means of preventing it. Lack of preparedness is the most dangerously provocative course we can take. Yet funding requests for sufficient fuel, spare parts, ammunition, and supplies for U.S. war reserves have been cut each year for the past four years from the minimum quantities the armed services have stated they need. This has left the U.S. Armed Forces at their lowest state of preparedness since 1950, seriously compromising their ability to sustain a military conflict.</w:t>
      </w:r>
    </w:p>
    <w:p w:rsidR="00A31137" w:rsidRPr="00A31137" w:rsidRDefault="00A31137" w:rsidP="00A31137">
      <w:r w:rsidRPr="00A31137">
        <w:t>1980 Republican Platform, p.34</w:t>
      </w:r>
    </w:p>
    <w:p w:rsidR="00A31137" w:rsidRPr="00A31137" w:rsidRDefault="00A31137" w:rsidP="00A31137">
      <w:r w:rsidRPr="00A31137">
        <w:t>Crippling shortages of spare parts, fuel, and ammunition compromise the ability of the armed forces to sustain a major military conflict. Some critical types of ammunition could not support combat operations for more than a week although we are committed to holding a 90-day inventory of major ammunition types. In addition, critical facilities such as airfields, ammunition depots, maintenance installations, and living quarters for our troops are in serious disrepair. The backlog of deferred maintenance and the underfunded purchase of vital combat consumables is so vast that years of effort will be required to rebuild U.S. forces to the required level of readiness.</w:t>
      </w:r>
    </w:p>
    <w:p w:rsidR="00A31137" w:rsidRPr="00A31137" w:rsidRDefault="00A31137" w:rsidP="00A31137">
      <w:r w:rsidRPr="00A31137">
        <w:t>1980 Republican Platform, p.34</w:t>
      </w:r>
    </w:p>
    <w:p w:rsidR="00A31137" w:rsidRPr="00A31137" w:rsidRDefault="00A31137" w:rsidP="00A31137">
      <w:r w:rsidRPr="00A31137">
        <w:t>The problem of maintaining the day-to-day combat readiness of the U.S. Armed Forces is compounded by the reduced ability of American industry to respond to wartime contingencies. Reduced acquisition of equipment for the modernization of the armed forces and the Carter Administration's failure to maintain combat readiness have eroded the incentive of American industry to maintain capacity adequate to potential defense requirements.</w:t>
      </w:r>
    </w:p>
    <w:p w:rsidR="00A31137" w:rsidRPr="00A31137" w:rsidRDefault="00A31137" w:rsidP="00A31137">
      <w:r w:rsidRPr="00A31137">
        <w:t>1980 Republican Platform, p.34</w:t>
      </w:r>
    </w:p>
    <w:p w:rsidR="00A31137" w:rsidRPr="00A31137" w:rsidRDefault="00A31137" w:rsidP="00A31137">
      <w:r w:rsidRPr="00A31137">
        <w:t>Republicans pledge to make the combat readiness of U.S. Armed Forces and the preparedness of the industrial base to a top priority.</w:t>
      </w:r>
    </w:p>
    <w:p w:rsidR="00A31137" w:rsidRPr="00A31137" w:rsidRDefault="00A31137" w:rsidP="00A31137">
      <w:r w:rsidRPr="00A31137">
        <w:t>Research and development</w:t>
      </w:r>
    </w:p>
    <w:p w:rsidR="00A31137" w:rsidRPr="00A31137" w:rsidRDefault="00A31137" w:rsidP="00A31137">
      <w:r w:rsidRPr="00A31137">
        <w:t>1980 Republican Platform, p.34</w:t>
      </w:r>
    </w:p>
    <w:p w:rsidR="00A31137" w:rsidRPr="00A31137" w:rsidRDefault="00A31137" w:rsidP="00A31137">
      <w:r w:rsidRPr="00A31137">
        <w:t>Research and Development (R &amp; D) provides a critical means by which our nation can cope with threats to our security. In the past, the United States' qualitative and technological superiority provided a foundation for our military superiority. Yet we are now on the verge of losing this advantage to the Soviet Union because of Mr. Carter's opposition to real increases in the R &amp; D effort. Delays imposed on the R &amp; D process now allow seven to 10 years or more to elapse between the time when a new weapon system is proposed and when it becomes available.</w:t>
      </w:r>
    </w:p>
    <w:p w:rsidR="00A31137" w:rsidRPr="00A31137" w:rsidRDefault="00A31137" w:rsidP="00A31137">
      <w:r w:rsidRPr="00A31137">
        <w:t>1980 Republican Platform, p.34</w:t>
      </w:r>
    </w:p>
    <w:p w:rsidR="00A31137" w:rsidRPr="00A31137" w:rsidRDefault="00A31137" w:rsidP="00A31137">
      <w:r w:rsidRPr="00A31137">
        <w:t>The Soviet Union now invests nearly twice as much in military research and development as does the United States. This disparity in effort threatens American technological superiority in the mid-1980s and could result in Soviet breakthroughs in advanced weapon systems.</w:t>
      </w:r>
    </w:p>
    <w:p w:rsidR="00A31137" w:rsidRPr="00A31137" w:rsidRDefault="00A31137" w:rsidP="00A31137">
      <w:r w:rsidRPr="00A31137">
        <w:t>1980 Republican Platform, p.34</w:t>
      </w:r>
    </w:p>
    <w:p w:rsidR="00A31137" w:rsidRPr="00A31137" w:rsidRDefault="00A31137" w:rsidP="00A31137">
      <w:r w:rsidRPr="00A31137">
        <w:t>Republicans pledge to revitalize America's military research and development efforts, from basic research through the deployment of weapons and support systems, to assure that our vital security needs will be met for the balance of the century. We will seek increased funding to guarantee American superiority in this critical area and to enable us to deal with possible breakthroughs in anti-missile defense, anti-satellite killers, directed energy systems, and the military and civilian exploitation of space.</w:t>
      </w:r>
      <w:r w:rsidRPr="00A31137">
        <w:cr/>
      </w:r>
    </w:p>
    <w:p w:rsidR="00A31137" w:rsidRPr="00A31137" w:rsidRDefault="00A31137" w:rsidP="00A31137">
      <w:r w:rsidRPr="00A31137">
        <w:t>1980 Republican Platform, p.34</w:t>
      </w:r>
    </w:p>
    <w:p w:rsidR="00A31137" w:rsidRPr="00A31137" w:rsidRDefault="00A31137" w:rsidP="00A31137">
      <w:r w:rsidRPr="00A31137">
        <w:t>America's technological advantage has always depended upon its interaction with our civilian science and technology sector. The economic policy of the Carter Administration has severely encumbered private research and development efforts, thereby depriving both our civil and military sectors of the fruits of scientific innovation.</w:t>
      </w:r>
    </w:p>
    <w:p w:rsidR="00A31137" w:rsidRPr="00A31137" w:rsidRDefault="00A31137" w:rsidP="00A31137">
      <w:r w:rsidRPr="00A31137">
        <w:t>1980 Republican Platform, p.34</w:t>
      </w:r>
    </w:p>
    <w:p w:rsidR="00A31137" w:rsidRPr="00A31137" w:rsidRDefault="00A31137" w:rsidP="00A31137">
      <w:r w:rsidRPr="00A31137">
        <w:t>Underfunding of beneficial government-sponsored research efforts in basic and applied scientific research has disrupted the benefits of years of effective effort. In particular, America's preeminence in the exploration of space is threatened by the failure of the Carter Administration to fund fully the Space Shuttle program (with its acknowledged benefits for both the civil and military applications) as well as advanced exploration programs. Republicans pledge to support a vigorous space research program.</w:t>
      </w:r>
    </w:p>
    <w:p w:rsidR="00A31137" w:rsidRPr="00A31137" w:rsidRDefault="00A31137" w:rsidP="00A31137">
      <w:r w:rsidRPr="00A31137">
        <w:t>Management and organization</w:t>
      </w:r>
    </w:p>
    <w:p w:rsidR="00A31137" w:rsidRPr="00A31137" w:rsidRDefault="00A31137" w:rsidP="00A31137">
      <w:r w:rsidRPr="00A31137">
        <w:t>1980 Republican Platform, p.34</w:t>
      </w:r>
    </w:p>
    <w:p w:rsidR="00A31137" w:rsidRPr="00A31137" w:rsidRDefault="00A31137" w:rsidP="00A31137">
      <w:r w:rsidRPr="00A31137">
        <w:t>The Republican Party pledges to reform the defense programming and budgeting management system established by the Carter Administration. The ill-informed, capricious intrusions of the Office of Management and Budget and the Department of Defense Office of Program Analysis and Evaluation have brought defense planning full circle to the worst faults of the McNamara years. Orderly planning by the military services has become impossible. Waste, inefficiency, and paralysis have been the hallmarks of Carter Administration defense planning and budgeting. This has resulted in huge cost overruns and in protracted delays in placing advanced systems in the field.</w:t>
      </w:r>
    </w:p>
    <w:p w:rsidR="00A31137" w:rsidRPr="00A31137" w:rsidRDefault="00A31137" w:rsidP="00A31137">
      <w:r w:rsidRPr="00A31137">
        <w:t>National intelligence</w:t>
      </w:r>
    </w:p>
    <w:p w:rsidR="00A31137" w:rsidRPr="00A31137" w:rsidRDefault="00A31137" w:rsidP="00A31137">
      <w:r w:rsidRPr="00A31137">
        <w:t>1980 Republican Platform, p.34</w:t>
      </w:r>
    </w:p>
    <w:p w:rsidR="00A31137" w:rsidRPr="00A31137" w:rsidRDefault="00A31137" w:rsidP="00A31137">
      <w:r w:rsidRPr="00A31137">
        <w:t>At a time of increasing danger, the U.S. intelligence community has lost much of its ability to supply the President, senior U.S. officials, and the Congress with accurate and timely analyses concerning fundamental threats to our nation's security. Morale and public confidence have been eroded and American citizens and friendly foreign intelligence services have become increasingly reluctant to cooperate with U.S. agencies. As a result of such problems, the U.S. Intelligence community has incorrectly assessed [p.35] critical foreign developments, as in Iran, and has, above all, underestimated the size and purpose of the Soviet Union's military efforts.</w:t>
      </w:r>
    </w:p>
    <w:p w:rsidR="00A31137" w:rsidRPr="00A31137" w:rsidRDefault="00A31137" w:rsidP="00A31137">
      <w:r w:rsidRPr="00A31137">
        <w:t>1980 Republican Platform, p.35</w:t>
      </w:r>
    </w:p>
    <w:p w:rsidR="00A31137" w:rsidRPr="00A31137" w:rsidRDefault="00A31137" w:rsidP="00A31137">
      <w:r w:rsidRPr="00A31137">
        <w:t>We believe that a strong national consensus has emerged on the need to make our intelligence community a reliable and productive instrument of national policy once again. In pursuing its objectives, the Soviet Union and its surrogates operate by a far different set of rules than does the United States. We do not favor countering their efforts by mirroring their tactics. However, the United States requires a realistic assessment of the threats it faces, and it must have the best intelligence capability in the world. Republicans pledge this for the United States.</w:t>
      </w:r>
    </w:p>
    <w:p w:rsidR="00A31137" w:rsidRPr="00A31137" w:rsidRDefault="00A31137" w:rsidP="00A31137">
      <w:r w:rsidRPr="00A31137">
        <w:t>1980 Republican Platform, p.35</w:t>
      </w:r>
    </w:p>
    <w:p w:rsidR="00A31137" w:rsidRPr="00A31137" w:rsidRDefault="00A31137" w:rsidP="00A31137">
      <w:r w:rsidRPr="00A31137">
        <w:t>A Republican Administration will seek to improve U.S. Intelligence capabilities for technical and clandestine collection, cogent analysis, coordinated counterintelligence, and covert action.</w:t>
      </w:r>
    </w:p>
    <w:p w:rsidR="00A31137" w:rsidRPr="00A31137" w:rsidRDefault="00A31137" w:rsidP="00A31137">
      <w:r w:rsidRPr="00A31137">
        <w:t>1980 Republican Platform, p.35</w:t>
      </w:r>
    </w:p>
    <w:p w:rsidR="00A31137" w:rsidRPr="00A31137" w:rsidRDefault="00A31137" w:rsidP="00A31137">
      <w:r w:rsidRPr="00A31137">
        <w:t>We will reestablish the President's Foreign intelligence Advisory Board, abolished by the Carter Administration, as a permanent nonpartisan body of distinguished Americans to perform a constant audit of national intelligence research and performance. We will propose methods of providing alternative intelligence estimates in order to improve the quality of the estimates by constructive competition.</w:t>
      </w:r>
    </w:p>
    <w:p w:rsidR="00A31137" w:rsidRPr="00A31137" w:rsidRDefault="00A31137" w:rsidP="00A31137">
      <w:r w:rsidRPr="00A31137">
        <w:t>1980 Republican Platform, p.35</w:t>
      </w:r>
    </w:p>
    <w:p w:rsidR="00A31137" w:rsidRPr="00A31137" w:rsidRDefault="00A31137" w:rsidP="00A31137">
      <w:r w:rsidRPr="00A31137">
        <w:t>Republicans will undertake an urgent effort to rebuild the intelligence agencies, and to give full support to their knowledgeable and dedicated staffs. We will propose legislation to enable intelligence officers and their agents to operate safely and efficiently abroad.</w:t>
      </w:r>
    </w:p>
    <w:p w:rsidR="00A31137" w:rsidRPr="00A31137" w:rsidRDefault="00A31137" w:rsidP="00A31137">
      <w:r w:rsidRPr="00A31137">
        <w:t>1980 Republican Platform, p.35</w:t>
      </w:r>
    </w:p>
    <w:p w:rsidR="00A31137" w:rsidRPr="00A31137" w:rsidRDefault="00A31137" w:rsidP="00A31137">
      <w:r w:rsidRPr="00A31137">
        <w:t>We will support legislation to invoke criminal sanctions against anyone who discloses the identities of U.S. intelligence officers abroad or who makes unauthorized disclosures of U.S. intelligence sources and methods.</w:t>
      </w:r>
    </w:p>
    <w:p w:rsidR="00A31137" w:rsidRPr="00A31137" w:rsidRDefault="00A31137" w:rsidP="00A31137">
      <w:r w:rsidRPr="00A31137">
        <w:t>1980 Republican Platform, p.35</w:t>
      </w:r>
    </w:p>
    <w:p w:rsidR="00A31137" w:rsidRPr="00A31137" w:rsidRDefault="00A31137" w:rsidP="00A31137">
      <w:r w:rsidRPr="00A31137">
        <w:t>We will support amendments to the Freedom of information Act and the Privacy Act to permit meaningful background checks on individuals being considered for sensitive positions and to reduce costly and capricious requests to the intelligence agencies.</w:t>
      </w:r>
    </w:p>
    <w:p w:rsidR="00A31137" w:rsidRPr="00A31137" w:rsidRDefault="00A31137" w:rsidP="00A31137">
      <w:r w:rsidRPr="00A31137">
        <w:t>1980 Republican Platform, p.35</w:t>
      </w:r>
    </w:p>
    <w:p w:rsidR="00A31137" w:rsidRPr="00A31137" w:rsidRDefault="00A31137" w:rsidP="00A31137">
      <w:r w:rsidRPr="00A31137">
        <w:t>We will provide our government with the capability to help influence international events vital to our national security interests, a capability which only the United States among the major powers has denied itself.</w:t>
      </w:r>
    </w:p>
    <w:p w:rsidR="00A31137" w:rsidRPr="00A31137" w:rsidRDefault="00A31137" w:rsidP="00A31137">
      <w:r w:rsidRPr="00A31137">
        <w:t>1980 Republican Platform, p.35</w:t>
      </w:r>
    </w:p>
    <w:p w:rsidR="00A31137" w:rsidRPr="00A31137" w:rsidRDefault="00A31137" w:rsidP="00A31137">
      <w:r w:rsidRPr="00A31137">
        <w:t>A Republican Administration will seek adequate safeguards to ensure that past abuses will not recur, but we will seek the repeal of ill-considered restrictions sponsored by Democrats, which have debilitated U.S. intelligence capabilities while easing the intelligence collection and subversion efforts of our adversaries.</w:t>
      </w:r>
    </w:p>
    <w:p w:rsidR="00A31137" w:rsidRPr="00A31137" w:rsidRDefault="00A31137" w:rsidP="00A31137">
      <w:r w:rsidRPr="00A31137">
        <w:t>Terrorism</w:t>
      </w:r>
    </w:p>
    <w:p w:rsidR="00A31137" w:rsidRPr="00A31137" w:rsidRDefault="00A31137" w:rsidP="00A31137">
      <w:r w:rsidRPr="00A31137">
        <w:t>1980 Republican Platform, p.35</w:t>
      </w:r>
    </w:p>
    <w:p w:rsidR="00A31137" w:rsidRPr="00A31137" w:rsidRDefault="00A31137" w:rsidP="00A31137">
      <w:r w:rsidRPr="00A31137">
        <w:t>In the decade of the seventies, all civilized nations were shaken by a wave of widespread, international terrorist attacks. Time and again, nations and individuals have been subjected to extortion and murder at the hands of extremists who reject the rule of law, civil order, and the sanctity of individual human rights. Terrorism has been elevated to the level of overt national policy as authorities in Iran, encouraged by the Soviet Union, have held 53 Americans captive for more than eight months. Comprehensive support of international terrorist organizations has been a central, though generally covert, element of Soviet foreign policy.</w:t>
      </w:r>
    </w:p>
    <w:p w:rsidR="00A31137" w:rsidRPr="00A31137" w:rsidRDefault="00A31137" w:rsidP="00A31137">
      <w:r w:rsidRPr="00A31137">
        <w:t>1980 Republican Platform, p.35</w:t>
      </w:r>
    </w:p>
    <w:p w:rsidR="00A31137" w:rsidRPr="00A31137" w:rsidRDefault="00A31137" w:rsidP="00A31137">
      <w:r w:rsidRPr="00A31137">
        <w:t>Republicans believe that this tragic history contains lessons that must serve as the basis for a determined international effort to end this era of terrorism. We believe that certain principles have emerged from incidents in which states have defeated terrorist attacks, and we believe the United States should take the lead in a multilateral drive to eliminate the terrorist threat. A first requirement is the establishment of a military capability to deal promptly and effectively with any terrorist acts. We cannot afford, as in the abortive Iranian rescue mission, to allow months to pass while we prepare responses.</w:t>
      </w:r>
    </w:p>
    <w:p w:rsidR="00A31137" w:rsidRPr="00A31137" w:rsidRDefault="00A31137" w:rsidP="00A31137">
      <w:r w:rsidRPr="00A31137">
        <w:t>1980 Republican Platform, p.35</w:t>
      </w:r>
    </w:p>
    <w:p w:rsidR="00A31137" w:rsidRPr="00A31137" w:rsidRDefault="00A31137" w:rsidP="00A31137">
      <w:r w:rsidRPr="00A31137">
        <w:t>The United States must provide the leadership to forge an international consensus that firmness and refusal to concede are ultimately the only effective deterrents to terrorism. The United States should take the lead in combating international terrorism. We must recognize and be prepared to deal with the reality of expanded Soviet sponsorship of international terrorist movements. Development of an effective antiterrorist military capability and establishment of a Congressional and Executive capability to oversee our internal security efforts will no longer be neglected.</w:t>
      </w:r>
    </w:p>
    <w:p w:rsidR="00A31137" w:rsidRPr="00A31137" w:rsidRDefault="00A31137" w:rsidP="00A31137">
      <w:r w:rsidRPr="00A31137">
        <w:t>The role of arms control in defense policy</w:t>
      </w:r>
    </w:p>
    <w:p w:rsidR="00A31137" w:rsidRPr="00A31137" w:rsidRDefault="00A31137" w:rsidP="00A31137">
      <w:r w:rsidRPr="00A31137">
        <w:t>1980 Republican Platform, p.35</w:t>
      </w:r>
    </w:p>
    <w:p w:rsidR="00A31137" w:rsidRPr="00A31137" w:rsidRDefault="00A31137" w:rsidP="00A31137">
      <w:r w:rsidRPr="00A31137">
        <w:t>The Republican approach to arms control has been markedly different from that of the Democratic Party. It has been based on three fundamental premises:</w:t>
      </w:r>
    </w:p>
    <w:p w:rsidR="00A31137" w:rsidRPr="00A31137" w:rsidRDefault="00A31137" w:rsidP="00A31137">
      <w:r w:rsidRPr="00A31137">
        <w:t>1980 Republican Platform, p.35</w:t>
      </w:r>
    </w:p>
    <w:p w:rsidR="00A31137" w:rsidRPr="00A31137" w:rsidRDefault="00A31137" w:rsidP="00A31137">
      <w:r w:rsidRPr="00A31137">
        <w:t>First, before arms control negotiations may be undertaken, the security of the United States must be assured by the funding and deployment of strong military forces sufficient to deter conflict at any level or to prevail in battle should aggression occur;</w:t>
      </w:r>
      <w:r w:rsidRPr="00A31137">
        <w:cr/>
      </w:r>
    </w:p>
    <w:p w:rsidR="00A31137" w:rsidRPr="00A31137" w:rsidRDefault="00A31137" w:rsidP="00A31137">
      <w:r w:rsidRPr="00A31137">
        <w:t>1980 Republican Platform, p.35</w:t>
      </w:r>
    </w:p>
    <w:p w:rsidR="00A31137" w:rsidRPr="00A31137" w:rsidRDefault="00A31137" w:rsidP="00A31137">
      <w:r w:rsidRPr="00A31137">
        <w:t>Second, negotiations must be conducted on the basis of strict reciprocity of benefits—unilateral restraint by the U.S. has failed to bring reductions by the Soviet Union; and</w:t>
      </w:r>
    </w:p>
    <w:p w:rsidR="00A31137" w:rsidRPr="00A31137" w:rsidRDefault="00A31137" w:rsidP="00A31137">
      <w:r w:rsidRPr="00A31137">
        <w:t>1980 Republican Platform, p.35</w:t>
      </w:r>
    </w:p>
    <w:p w:rsidR="00A31137" w:rsidRPr="00A31137" w:rsidRDefault="00A31137" w:rsidP="00A31137">
      <w:r w:rsidRPr="00A31137">
        <w:t>Third, arms control negotiations, once entered, represent an important political and military undertaking that cannot be divorced from the broader political and military behavior of the parties.</w:t>
      </w:r>
    </w:p>
    <w:p w:rsidR="00A31137" w:rsidRPr="00A31137" w:rsidRDefault="00A31137" w:rsidP="00A31137">
      <w:r w:rsidRPr="00A31137">
        <w:t>1980 Republican Platform, p.35</w:t>
      </w:r>
    </w:p>
    <w:p w:rsidR="00A31137" w:rsidRPr="00A31137" w:rsidRDefault="00A31137" w:rsidP="00A31137">
      <w:r w:rsidRPr="00A31137">
        <w:t>A Republican Administration will pursue arms control solely on the principles outlined above.</w:t>
      </w:r>
    </w:p>
    <w:p w:rsidR="00A31137" w:rsidRPr="00A31137" w:rsidRDefault="00A31137" w:rsidP="00A31137">
      <w:r w:rsidRPr="00A31137">
        <w:t>1980 Republican Platform, p.35</w:t>
      </w:r>
    </w:p>
    <w:p w:rsidR="00A31137" w:rsidRPr="00A31137" w:rsidRDefault="00A31137" w:rsidP="00A31137">
      <w:r w:rsidRPr="00A31137">
        <w:t>During the past three and one-half years, the Carter Administration's policy has been [p.36] diametrically opposed to these principles. First, by its willful cancellation or delay of essential strategic military programs such as the B-1, the MX missile, and the Trident submarine, it has seriously damaged the credibility and effectiveness of the U.S. deterrent force. Second, by not insisting upon corresponding concessions from the Soviet Union it has, in effect, practiced unilateral disarmament and removed any incentives for the Soviets to negotiate for what they could obviously achieve by waiting. The Republican Party rejects the fundamentally flawed SALT II treaty negotiated by the Carter Administration.</w:t>
      </w:r>
    </w:p>
    <w:p w:rsidR="00A31137" w:rsidRPr="00A31137" w:rsidRDefault="00A31137" w:rsidP="00A31137">
      <w:r w:rsidRPr="00A31137">
        <w:t>1980 Republican Platform, p.36</w:t>
      </w:r>
    </w:p>
    <w:p w:rsidR="00A31137" w:rsidRPr="00A31137" w:rsidRDefault="00A31137" w:rsidP="00A31137">
      <w:r w:rsidRPr="00A31137">
        <w:t>The Republican Party deplores the attempts of the Carter Administration to cover up Soviet non-compliance with arms control agreements including the now overwhelming evidence of blatant Soviet violation of the Biological Warfare Convention by secret production of biological agents at Sverdlovsk.</w:t>
      </w:r>
    </w:p>
    <w:p w:rsidR="00A31137" w:rsidRPr="00A31137" w:rsidRDefault="00A31137" w:rsidP="00A31137">
      <w:r w:rsidRPr="00A31137">
        <w:t>1980 Republican Platform, p.36</w:t>
      </w:r>
    </w:p>
    <w:p w:rsidR="00A31137" w:rsidRPr="00A31137" w:rsidRDefault="00A31137" w:rsidP="00A31137">
      <w:r w:rsidRPr="00A31137">
        <w:t>In our platform four years ago, we stated that, "The growth of civilian nuclear technology and the rising demand for nuclear power as an alternative to increasingly costly fossil fuel resources, combine to require our recognition of the potential dangers associated with such development." We called for the formation of new multilateral arrangements to control the export of sensitive nuclear technologies. Unfortunately, the Carter Administration has failed to provide the leadership and creative diplomacy essential to forging effective international safeguards and cooperation in this vital area. In particular we oppose and deplore the pending delivery to India of nuclear material which can be directed to the manufacture of weapons.</w:t>
      </w:r>
    </w:p>
    <w:p w:rsidR="00A31137" w:rsidRPr="00A31137" w:rsidRDefault="00A31137" w:rsidP="00A31137">
      <w:r w:rsidRPr="00A31137">
        <w:t>1980 Republican Platform, p.36</w:t>
      </w:r>
    </w:p>
    <w:p w:rsidR="00A31137" w:rsidRPr="00A31137" w:rsidRDefault="00A31137" w:rsidP="00A31137">
      <w:r w:rsidRPr="00A31137">
        <w:t>The Republican Party reaffirms its commitment to the early establishment of effective multilateral arrangements for the safe management and monitoring of all transfers and uses of nuclear materials in the international market.</w:t>
      </w:r>
    </w:p>
    <w:p w:rsidR="00A31137" w:rsidRPr="00A31137" w:rsidRDefault="00A31137" w:rsidP="00A31137">
      <w:r w:rsidRPr="00A31137">
        <w:t>Foreign Policy</w:t>
      </w:r>
    </w:p>
    <w:p w:rsidR="00A31137" w:rsidRPr="00A31137" w:rsidRDefault="00A31137" w:rsidP="00A31137">
      <w:r w:rsidRPr="00A31137">
        <w:t>U.S.—Soviet relations</w:t>
      </w:r>
    </w:p>
    <w:p w:rsidR="00A31137" w:rsidRPr="00A31137" w:rsidRDefault="00A31137" w:rsidP="00A31137">
      <w:r w:rsidRPr="00A31137">
        <w:t>1980 Republican Platform, p.36</w:t>
      </w:r>
    </w:p>
    <w:p w:rsidR="00A31137" w:rsidRPr="00A31137" w:rsidRDefault="00A31137" w:rsidP="00A31137">
      <w:r w:rsidRPr="00A31137">
        <w:t>The premier challenge facing the United States, its allies, and the entire globe is to check the Soviet Union's global ambitions. This challenge must be met, for the present danger is greater than ever before in the 200-year history of the United States. The Soviet Union is still accelerating its drive for military superiority and is intensifying its military pressure and its ideological combat against the industrial democracies and the vulnerable developing nations of the world.</w:t>
      </w:r>
    </w:p>
    <w:p w:rsidR="00A31137" w:rsidRPr="00A31137" w:rsidRDefault="00A31137" w:rsidP="00A31137">
      <w:r w:rsidRPr="00A31137">
        <w:t>1980 Republican Platform, p.36</w:t>
      </w:r>
    </w:p>
    <w:p w:rsidR="00A31137" w:rsidRPr="00A31137" w:rsidRDefault="00A31137" w:rsidP="00A31137">
      <w:r w:rsidRPr="00A31137">
        <w:t>Republicans believe that the United States can only negotiate with the Soviet Union from a position of unquestioned principle and unquestioned strength. Unlike Mr. Carter, we see nothing "inordinate" in our nation's historic judgment about the goals, tactics, and dangers of Soviet communism. Unlike the Carter Administration, we are not surprised by the brutal Soviet invasion of Afghanistan or by other Soviet violations of major international agreements regulating international behavior, human rights, and the use of military force. And, unlike the Carter Administration, we will not base our policies toward the Soviet Union on naive expectations, unilateral concessions, futile rhetoric, and insignificant maneuvers.</w:t>
      </w:r>
    </w:p>
    <w:p w:rsidR="00A31137" w:rsidRPr="00A31137" w:rsidRDefault="00A31137" w:rsidP="00A31137">
      <w:r w:rsidRPr="00A31137">
        <w:t>1980 Republican Platform, p.36</w:t>
      </w:r>
    </w:p>
    <w:p w:rsidR="00A31137" w:rsidRPr="00A31137" w:rsidRDefault="00A31137" w:rsidP="00A31137">
      <w:r w:rsidRPr="00A31137">
        <w:t>As the Soviet Union continues in its expansionist course, the potential for dangerous confrontations has increased. Republicans will strive to resolve critical issues through peaceful negotiations, but we recognize that negotiations conducted from a position of military weakness can result only in further damage to American interests.</w:t>
      </w:r>
    </w:p>
    <w:p w:rsidR="00A31137" w:rsidRPr="00A31137" w:rsidRDefault="00A31137" w:rsidP="00A31137">
      <w:r w:rsidRPr="00A31137">
        <w:t>1980 Republican Platform, p.36</w:t>
      </w:r>
    </w:p>
    <w:p w:rsidR="00A31137" w:rsidRPr="00A31137" w:rsidRDefault="00A31137" w:rsidP="00A31137">
      <w:r w:rsidRPr="00A31137">
        <w:t>A Republican Administration will continue to seek to negotiate arms reductions in Soviet strategic weapons, in Soviet bloc force levels in Central Europe, and in other areas that may be amenable to reductions or limitations. We will pursue hard bargaining for equitable, verifiable, and enforceable agreements. We will accept no agreement for the sake of having an agreement, and will accept no agreements that do not fundamentally enhance our national security.</w:t>
      </w:r>
    </w:p>
    <w:p w:rsidR="00A31137" w:rsidRPr="00A31137" w:rsidRDefault="00A31137" w:rsidP="00A31137">
      <w:r w:rsidRPr="00A31137">
        <w:t>1980 Republican Platform, p.36</w:t>
      </w:r>
    </w:p>
    <w:p w:rsidR="00A31137" w:rsidRPr="00A31137" w:rsidRDefault="00A31137" w:rsidP="00A31137">
      <w:r w:rsidRPr="00A31137">
        <w:t>Republicans oppose the transfer of high technology to the Soviet Union and its Eastern European satellites, such as has been done in the past, permitting development of sophisticated military hardware which threatens the United States and our allies. The Carter Administration has encouraged the most extensive raid on American technology by the Soviet bloc since World War II. The Soviet Union has gained invaluable scientific expertise in electronics, computer sciences, manufacturing techniques, mining, transportation, aviation, agriculture, and a host of other disciplines. This has contributed to the ability of the Soviet Union to divert investment and manpower from their civilian economy to their armed forces. The fruits of Soviet access to American technology will improve the performance of the Soviet military establishment for years to come. The matter is compounded by the practice of subsidized financing of much of the Soviet bloc's acquisition of American technology through U.S. financial institutions.</w:t>
      </w:r>
    </w:p>
    <w:p w:rsidR="00A31137" w:rsidRPr="00A31137" w:rsidRDefault="00A31137" w:rsidP="00A31137">
      <w:r w:rsidRPr="00A31137">
        <w:t>1980 Republican Platform, p.36</w:t>
      </w:r>
    </w:p>
    <w:p w:rsidR="00A31137" w:rsidRPr="00A31137" w:rsidRDefault="00A31137" w:rsidP="00A31137">
      <w:r w:rsidRPr="00A31137">
        <w:t>Republicans pledge to stop the flow of technology to the Soviet Union that could contribute, directly or indirectly, to the growth of their military power. This objective will be pursued by a Republican Administration with our allies and other friendly nations as well. We will ensure that the Soviet Union fully understands that it will be expected to fulfill all of the commercial and diplomatic obligations it has undertaken in its international agreements.</w:t>
      </w:r>
    </w:p>
    <w:p w:rsidR="00A31137" w:rsidRPr="00A31137" w:rsidRDefault="00A31137" w:rsidP="00A31137">
      <w:r w:rsidRPr="00A31137">
        <w:t>1980 Republican Platform, p.36</w:t>
      </w:r>
    </w:p>
    <w:p w:rsidR="00A31137" w:rsidRPr="00A31137" w:rsidRDefault="00A31137" w:rsidP="00A31137">
      <w:r w:rsidRPr="00A31137">
        <w:t>We oppose Mr. Carter's singling out the American farmer to bear the brunt of his failed foreign policy by imposition of a partial and incompetently managed grain embargo. Because of his failure to obtain cooperation from other grain exporting countries, the [p.37] embargo has been a travesty and a substitute for policy. We call for the immediate lifting of this embargo.</w:t>
      </w:r>
    </w:p>
    <w:p w:rsidR="00A31137" w:rsidRPr="00A31137" w:rsidRDefault="00A31137" w:rsidP="00A31137">
      <w:r w:rsidRPr="00A31137">
        <w:t>1980 Republican Platform, p.37</w:t>
      </w:r>
    </w:p>
    <w:p w:rsidR="00A31137" w:rsidRPr="00A31137" w:rsidRDefault="00A31137" w:rsidP="00A31137">
      <w:r w:rsidRPr="00A31137">
        <w:t>We reaffirm our commitment to press the Soviet Union to implement the United Nations Declaration on Human Rights and the Helsinki Agreements which guarantee rights such as the free interchange of information and the right to emigrate. A Republican Administration will press the Soviet Union to end its harassment and imprisonment of those who speak in opposition to official policy, who seek to worship according to their religious beliefs, or who represent diverse ethnic minorities and nationalities.</w:t>
      </w:r>
    </w:p>
    <w:p w:rsidR="00A31137" w:rsidRPr="00A31137" w:rsidRDefault="00A31137" w:rsidP="00A31137">
      <w:r w:rsidRPr="00A31137">
        <w:t>1980 Republican Platform, p.37</w:t>
      </w:r>
    </w:p>
    <w:p w:rsidR="00A31137" w:rsidRPr="00A31137" w:rsidRDefault="00A31137" w:rsidP="00A31137">
      <w:r w:rsidRPr="00A31137">
        <w:t>Republicans deplore growing anti-Semitism in the Soviet Union and the mistreatment of "refuseniks" by Soviet authorities. The decline in exit visas to Soviet Jews and others seeking religious freedom and the promulgation of ever more rigorous conditions inhibiting their emigration are a fundamental affront to human rights and the U.N. Charter. Republicans will make the subject of emigration from the Soviet Union a central issue in Soviet-American relations. Human rights in the Soviet Union will not be ignored as it has been during the Carter Administration. As a party to the Helsinki Conference Final Act, a Republican Administration will insist on full Soviet compliance with the humanitarian provisions of the agreement.</w:t>
      </w:r>
    </w:p>
    <w:p w:rsidR="00A31137" w:rsidRPr="00A31137" w:rsidRDefault="00A31137" w:rsidP="00A31137">
      <w:r w:rsidRPr="00A31137">
        <w:t>1980 Republican Platform, p.37</w:t>
      </w:r>
    </w:p>
    <w:p w:rsidR="00A31137" w:rsidRPr="00A31137" w:rsidRDefault="00A31137" w:rsidP="00A31137">
      <w:r w:rsidRPr="00A31137">
        <w:t>Republicans pledge our continued support for the people of Cuba and the captive nations of Central and Eastern Europe in their hope to achieve self-determination. We stand firmly for the independence of Yugoslavia. We support self-determination and genuine independence for new captive nations of Africa and Latin America threatened by the growing domination of Soviet power.</w:t>
      </w:r>
    </w:p>
    <w:p w:rsidR="00A31137" w:rsidRPr="00A31137" w:rsidRDefault="00A31137" w:rsidP="00A31137">
      <w:r w:rsidRPr="00A31137">
        <w:t>1980 Republican Platform, p.37</w:t>
      </w:r>
    </w:p>
    <w:p w:rsidR="00A31137" w:rsidRPr="00A31137" w:rsidRDefault="00A31137" w:rsidP="00A31137">
      <w:r w:rsidRPr="00A31137">
        <w:t>A Republican Administration will end the sustained Carter policy of misleading the American people about Soviet policies and behavior. We will spare no efforts to publicize to the world the fundamental differences in the two systems and will strengthen such means as the international Communications Agency, the Voice of America, Radio Free Europe, and Radio Liberty actively to articulate U.S. values and policies, and to highlight the weaknesses of totalitarianism.</w:t>
      </w:r>
    </w:p>
    <w:p w:rsidR="00A31137" w:rsidRPr="00A31137" w:rsidRDefault="00A31137" w:rsidP="00A31137">
      <w:r w:rsidRPr="00A31137">
        <w:t>1980 Republican Platform, p.37</w:t>
      </w:r>
    </w:p>
    <w:p w:rsidR="00A31137" w:rsidRPr="00A31137" w:rsidRDefault="00A31137" w:rsidP="00A31137">
      <w:r w:rsidRPr="00A31137">
        <w:t>We pledge to end the Carter cover-up of Soviet violations of SALT I and II, to end the cover-up of Soviet violation of the Biological Warfare Convention, and to end the cover-up of Soviet use of gas and chemical weapons in Afghanistan and elsewhere.</w:t>
      </w:r>
    </w:p>
    <w:p w:rsidR="00A31137" w:rsidRPr="00A31137" w:rsidRDefault="00A31137" w:rsidP="00A31137">
      <w:r w:rsidRPr="00A31137">
        <w:t>NATO and Western Europe</w:t>
      </w:r>
    </w:p>
    <w:p w:rsidR="00A31137" w:rsidRPr="00A31137" w:rsidRDefault="00A31137" w:rsidP="00A31137">
      <w:r w:rsidRPr="00A31137">
        <w:t>1980 Republican Platform, p.37</w:t>
      </w:r>
    </w:p>
    <w:p w:rsidR="00A31137" w:rsidRPr="00A31137" w:rsidRDefault="00A31137" w:rsidP="00A31137">
      <w:r w:rsidRPr="00A31137">
        <w:t>Since its inception three decades ago, the North Atlantic Treaty Organization has expressed the collective will of free nations to resist totalitarian aggression. As a cornerstone of the Western Alliance, NATO has stood on the firm foundations of American strategic strength, joint Allied defense efforts, and cooperative diplomacy based on shared interest and close consultations. The Republican Party recognizes that NATO serves the vital interest of the entire Western world and over the years we have continued to give the Alliance our undiminished and bipartisan support.</w:t>
      </w:r>
    </w:p>
    <w:p w:rsidR="00A31137" w:rsidRPr="00A31137" w:rsidRDefault="00A31137" w:rsidP="00A31137">
      <w:r w:rsidRPr="00A31137">
        <w:t>1980 Republican Platform, p.37</w:t>
      </w:r>
    </w:p>
    <w:p w:rsidR="00A31137" w:rsidRPr="00A31137" w:rsidRDefault="00A31137" w:rsidP="00A31137">
      <w:r w:rsidRPr="00A31137">
        <w:t>Republicans deplore the current drifts toward neutralism in Western Europe. We recognize that NATO and our Western Allies today face the greatest array of threats in their history, both from within and from without. Through its inept policies, the Carter Administration has substantially contributed to the evident erosion of Alliance security and confidence in the U.S. A Republican Administration, as one of its highest priorities and in close concert with our NATO partners, will therefore ensure that the United States leads a concerted effort to rebuild a strong, confident Alliance fully prepared to meet the threats and the challenges of the 1980s.</w:t>
      </w:r>
    </w:p>
    <w:p w:rsidR="00A31137" w:rsidRPr="00A31137" w:rsidRDefault="00A31137" w:rsidP="00A31137">
      <w:r w:rsidRPr="00A31137">
        <w:t>1980 Republican Platform, p.37</w:t>
      </w:r>
    </w:p>
    <w:p w:rsidR="00A31137" w:rsidRPr="00A31137" w:rsidRDefault="00A31137" w:rsidP="00A31137">
      <w:r w:rsidRPr="00A31137">
        <w:t>The chief external threat to NATO is that of developing Soviet military superiority. In a period of supposed "detente," the NATO nations have too often cut back or delayed essential defense programs and too often placed excessive hopes in arms control negotiations, while the Soviet-dominated Warsaw Pact has been transformed into the world's most powerful offensive military force.</w:t>
      </w:r>
    </w:p>
    <w:p w:rsidR="00A31137" w:rsidRPr="00A31137" w:rsidRDefault="00A31137" w:rsidP="00A31137">
      <w:r w:rsidRPr="00A31137">
        <w:t>1980 Republican Platform, p.37</w:t>
      </w:r>
    </w:p>
    <w:p w:rsidR="00A31137" w:rsidRPr="00A31137" w:rsidRDefault="00A31137" w:rsidP="00A31137">
      <w:r w:rsidRPr="00A31137">
        <w:t>Three-and-a-half years of Carter Administration policies have resulted in an increased threat to vital Alliance security interests. Mr. Carter's unilateral cancellations, reductions, and long delays in the B-1, Trident, MX, cruise-missile, and ship-building programs have increased the vulnerability of the U.S. strategic triad and have contributed to a developing strategic imbalance which undermines the foundation of Western deterrent and defense capabilities. His fundamentally flawed SALT II treaty would have codified Western inferiority. His reversals on the development and deployment of the "enhanced radiation" or neutron weapon, his treatment of future theater nuclear force modernization negotiations, and his manner of dealing with terrorist actions directed against Americans abroad, further undermined Alliance solidarity and security.</w:t>
      </w:r>
    </w:p>
    <w:p w:rsidR="00A31137" w:rsidRPr="00A31137" w:rsidRDefault="00A31137" w:rsidP="00A31137">
      <w:r w:rsidRPr="00A31137">
        <w:t>1980 Republican Platform, p.37</w:t>
      </w:r>
    </w:p>
    <w:p w:rsidR="00A31137" w:rsidRPr="00A31137" w:rsidRDefault="00A31137" w:rsidP="00A31137">
      <w:r w:rsidRPr="00A31137">
        <w:t>These Carter Administration inconsistencies have caused disunity in the Alliance. We have seen confusion in the fields of trade, fiscal, and energy policies. The lack of close coordination regarding Iran, the Middle East, Afghanistan, the Olympic boycott, nuclear proliferation, East-West trade, human rights, North-South issues, and a host of other international issues affecting Alliance interests, has reinforced Allied concerns. Republicans are concerned that these Carter Administration actions have increased Allied temptation to conduct independent diplomacy and to seek accommodation in the face of pressure from the Soviet Union. In this regard, we categorically reject unilateral moratoria on [p.38] the deployment by the U.S. and NATO of theater nuclear weapons. Further, Republicans will oppose arms control agreements that interfere with the transfer of military technology to our allies.</w:t>
      </w:r>
    </w:p>
    <w:p w:rsidR="00A31137" w:rsidRPr="00A31137" w:rsidRDefault="00A31137" w:rsidP="00A31137">
      <w:r w:rsidRPr="00A31137">
        <w:t>1980 Republican Platform, p.38</w:t>
      </w:r>
    </w:p>
    <w:p w:rsidR="00A31137" w:rsidRPr="00A31137" w:rsidRDefault="00A31137" w:rsidP="00A31137">
      <w:r w:rsidRPr="00A31137">
        <w:t>In pledging renewed United States leadership, cooperation, and consultation, Republicans assert their expectation that each of the allies will bear a fair share of the common defense effort and that they will work closely together in support of common Alliance goals. Defense budgets, weapons acquisition, force readiness, and diplomatic coordination need to be substantially increased and improved. Within Europe as well as in areas beyond Europe which affect the shared vital interests of the Alliance, we will seek to increase our cooperative efforts, including increased planning for joint actions to meet common threats.</w:t>
      </w:r>
    </w:p>
    <w:p w:rsidR="00A31137" w:rsidRPr="00A31137" w:rsidRDefault="00A31137" w:rsidP="00A31137">
      <w:r w:rsidRPr="00A31137">
        <w:t>1980 Republican Platform, p.38</w:t>
      </w:r>
    </w:p>
    <w:p w:rsidR="00A31137" w:rsidRPr="00A31137" w:rsidRDefault="00A31137" w:rsidP="00A31137">
      <w:r w:rsidRPr="00A31137">
        <w:t>The Republican Party recognizes the vital importance of countries defending the regions of NATO. We will search for an early resolution of problems that currently inhibit the effective participation of all the nations of NATO's southern region and we call for the integration of Spain into the North Atlantic Alliance.</w:t>
      </w:r>
    </w:p>
    <w:p w:rsidR="00A31137" w:rsidRPr="00A31137" w:rsidRDefault="00A31137" w:rsidP="00A31137">
      <w:r w:rsidRPr="00A31137">
        <w:t>Middle East, Persian Gulf</w:t>
      </w:r>
    </w:p>
    <w:p w:rsidR="00A31137" w:rsidRPr="00A31137" w:rsidRDefault="00A31137" w:rsidP="00A31137">
      <w:r w:rsidRPr="00A31137">
        <w:t>1980 Republican Platform, p.38</w:t>
      </w:r>
    </w:p>
    <w:p w:rsidR="00A31137" w:rsidRPr="00A31137" w:rsidRDefault="00A31137" w:rsidP="00A31137">
      <w:r w:rsidRPr="00A31137">
        <w:t>In the past three years, the nations of the Middle East and Persian Gulf have suffered an unprecedented level of political, economic, and military turmoil. The Soviet Union has been prompt in turning these sources of instability to its advantage and is now in an excellent position to exploit the chaos in Iran and to foment similar upheavals in other countries in the region. Today, the countries of the Middle East and Persian Gulf are encircled as never before by Soviet advisers and troops based in the Horn of Africa, South Yemen, and Afghanistan. Moreover, the Soviets have close political and military ties with other states in the region.</w:t>
      </w:r>
    </w:p>
    <w:p w:rsidR="00A31137" w:rsidRPr="00A31137" w:rsidRDefault="00A31137" w:rsidP="00A31137">
      <w:r w:rsidRPr="00A31137">
        <w:t>1980 Republican Platform, p.38</w:t>
      </w:r>
    </w:p>
    <w:p w:rsidR="00A31137" w:rsidRPr="00A31137" w:rsidRDefault="00A31137" w:rsidP="00A31137">
      <w:r w:rsidRPr="00A31137">
        <w:t>The Soviet goal is clear—to use subversion and the threat of military intervention to establish a controlling influence over the region's resource-rich states, and thereby to gain decisive political and economic leverage over Western and Third World nations vulnerable to economic coercion. The first signs of Soviet success in this undertaking are already evidenced in the recent proposal by European countries to associate the Palestinian Liberation Organization in the West Bank autonomy talks.</w:t>
      </w:r>
    </w:p>
    <w:p w:rsidR="00A31137" w:rsidRPr="00A31137" w:rsidRDefault="00A31137" w:rsidP="00A31137">
      <w:r w:rsidRPr="00A31137">
        <w:t>1980 Republican Platform, p.38</w:t>
      </w:r>
    </w:p>
    <w:p w:rsidR="00A31137" w:rsidRPr="00A31137" w:rsidRDefault="00A31137" w:rsidP="00A31137">
      <w:r w:rsidRPr="00A31137">
        <w:t>Republicans believe that the restoration of order and stability to the region must be premised upon an understanding of the interrelationship between Soviet and radical Palestinian goals, the fundamental requirements of stable economic development and marketing of the area's resources, and the growing ferment among Islamic radical groups. Republicans believe that a wise and credible United States policy must make clear that our foremost concern is for the long-term peaceful development of all states in the region, not purely a self-serving exploitation of its resources. Our goal is to bring a just and lasting peace to the Arab-Israeli conflict.</w:t>
      </w:r>
    </w:p>
    <w:p w:rsidR="00A31137" w:rsidRPr="00A31137" w:rsidRDefault="00A31137" w:rsidP="00A31137">
      <w:r w:rsidRPr="00A31137">
        <w:t>1980 Republican Platform, p.38</w:t>
      </w:r>
    </w:p>
    <w:p w:rsidR="00A31137" w:rsidRPr="00A31137" w:rsidRDefault="00A31137" w:rsidP="00A31137">
      <w:r w:rsidRPr="00A31137">
        <w:t>With respect to an ultimate peace settlement, Republicans reject any call for involvement of the PLO as not in keeping with the long-term interests of either Israel or the Palestinian Arabs. The imputation of legitimacy to organizations not yet willing to acknowledge the fundamental right to existence of the State of Israel is wrong. Repeated indications, even when subsequently denied, of the Carter Administration's involvement with the PLO has done serious harm to the credibility of U.S. policy in the Middle East and has encouraged the PLO's position of intransigence. We believe the establishment of a Palestinian State on the West Bank would be destabilizing and harmful to the peace process.</w:t>
      </w:r>
    </w:p>
    <w:p w:rsidR="00A31137" w:rsidRPr="00A31137" w:rsidRDefault="00A31137" w:rsidP="00A31137">
      <w:r w:rsidRPr="00A31137">
        <w:t>1980 Republican Platform, p.38</w:t>
      </w:r>
    </w:p>
    <w:p w:rsidR="00A31137" w:rsidRPr="00A31137" w:rsidRDefault="00A31137" w:rsidP="00A31137">
      <w:r w:rsidRPr="00A31137">
        <w:t>Our long- and short-term policies for the area must be developed in consultation with our NATO allies, Israel, Egypt, and other friends in the area, and we will spare no effort in seeking their consultation throughout the policy process, not merely demand their acquiescence to our plans.</w:t>
      </w:r>
    </w:p>
    <w:p w:rsidR="00A31137" w:rsidRPr="00A31137" w:rsidRDefault="00A31137" w:rsidP="00A31137">
      <w:r w:rsidRPr="00A31137">
        <w:t>1980 Republican Platform, p.38</w:t>
      </w:r>
    </w:p>
    <w:p w:rsidR="00A31137" w:rsidRPr="00A31137" w:rsidRDefault="00A31137" w:rsidP="00A31137">
      <w:r w:rsidRPr="00A31137">
        <w:t>The sovereignty, security, and integrity of the State of Israel is a moral imperative and serves the strategic interests of the United States. Republicans reaffirm our fundamental and enduring commitment to this principle. We will continue to honor our nation's commitment through political, economic, diplomatic, and military aid. We fully recognize the strategic importance of Israel and the deterrent role of its armed forces in the Middle East and East-West military equations.</w:t>
      </w:r>
    </w:p>
    <w:p w:rsidR="00A31137" w:rsidRPr="00A31137" w:rsidRDefault="00A31137" w:rsidP="00A31137">
      <w:r w:rsidRPr="00A31137">
        <w:t>1980 Republican Platform, p.38</w:t>
      </w:r>
    </w:p>
    <w:p w:rsidR="00A31137" w:rsidRPr="00A31137" w:rsidRDefault="00A31137" w:rsidP="00A31137">
      <w:r w:rsidRPr="00A31137">
        <w:t>Republicans recognize that a just and durable peace for all nations of the region is the best guarantee of continued stability and is vital to deterring further Soviet inroads. Peace between Israel and its neighbors requires direct negotiations among the states involved. Accordingly, a Republican Administration will encourage the peace process now in progress between Egypt and Israel, will seek to broaden it, and will welcome those Arab nations willing to live in peace with Israel. We are encouraged by the support given to the Middle East peace process by Sudan and Groan and the progress brought about by the strong and effective leadership of their governments.</w:t>
      </w:r>
    </w:p>
    <w:p w:rsidR="00A31137" w:rsidRPr="00A31137" w:rsidRDefault="00A31137" w:rsidP="00A31137">
      <w:r w:rsidRPr="00A31137">
        <w:t>1980 Republican Platform, p.38</w:t>
      </w:r>
    </w:p>
    <w:p w:rsidR="00A31137" w:rsidRPr="00A31137" w:rsidRDefault="00A31137" w:rsidP="00A31137">
      <w:r w:rsidRPr="00A31137">
        <w:t>We applaud the vision and courage of Egyptian President Anwar Sadat and we pledge to build our relationship with Egypt in cultural affairs, economic development, and military cooperation.</w:t>
      </w:r>
    </w:p>
    <w:p w:rsidR="00A31137" w:rsidRPr="00A31137" w:rsidRDefault="00A31137" w:rsidP="00A31137">
      <w:r w:rsidRPr="00A31137">
        <w:t>1980 Republican Platform, p.38</w:t>
      </w:r>
    </w:p>
    <w:p w:rsidR="00A31137" w:rsidRPr="00A31137" w:rsidRDefault="00A31137" w:rsidP="00A31137">
      <w:r w:rsidRPr="00A31137">
        <w:t>Republicans recognize that the Carter Administration's vacillations have left friend and foe alike unsure as to United States' policies. While reemphasizing our commitment to Israel, a Republican Administration will pursue close ties and friendship with moderate Arab states. We will initiate the economic and military framework for assuring long-term stability in the internal [p.39] development of regional states and an orderly marketplace for the area's resources. We will make clear that any reimposition of an oil embargo would be viewed as a hostile act. We will oppose discriminatory practices, including boycotts, and we will discourage arms sales which contribute to regional instability.</w:t>
      </w:r>
    </w:p>
    <w:p w:rsidR="00A31137" w:rsidRPr="00A31137" w:rsidRDefault="00A31137" w:rsidP="00A31137">
      <w:r w:rsidRPr="00A31137">
        <w:t>1980 Republican Platform, p.39</w:t>
      </w:r>
    </w:p>
    <w:p w:rsidR="00A31137" w:rsidRPr="00A31137" w:rsidRDefault="00A31137" w:rsidP="00A31137">
      <w:r w:rsidRPr="00A31137">
        <w:t>Republicans believe that Jerusalem should remain an undivided city with continued free and unimpeded access to all holy places by people of all faiths.</w:t>
      </w:r>
    </w:p>
    <w:p w:rsidR="00A31137" w:rsidRPr="00A31137" w:rsidRDefault="00A31137" w:rsidP="00A31137">
      <w:r w:rsidRPr="00A31137">
        <w:t>The Americas</w:t>
      </w:r>
    </w:p>
    <w:p w:rsidR="00A31137" w:rsidRPr="00A31137" w:rsidRDefault="00A31137" w:rsidP="00A31137">
      <w:r w:rsidRPr="00A31137">
        <w:t>1980 Republican Platform, p.39</w:t>
      </w:r>
    </w:p>
    <w:p w:rsidR="00A31137" w:rsidRPr="00A31137" w:rsidRDefault="00A31137" w:rsidP="00A31137">
      <w:r w:rsidRPr="00A31137">
        <w:t>Latin America is an area of primary interest for the United States. Yet, the Carter Administration's policies have encouraged a precipitous decline in United States relations with virtually every country in the region. The nations of South and Central America have been battered by the Carter Administration's economic and diplomatic sanctions linked to its undifferentiated charges of human rights violations.</w:t>
      </w:r>
    </w:p>
    <w:p w:rsidR="00A31137" w:rsidRPr="00A31137" w:rsidRDefault="00A31137" w:rsidP="00A31137">
      <w:r w:rsidRPr="00A31137">
        <w:t>1980 Republican Platform, p.39</w:t>
      </w:r>
    </w:p>
    <w:p w:rsidR="00A31137" w:rsidRPr="00A31137" w:rsidRDefault="00A31137" w:rsidP="00A31137">
      <w:r w:rsidRPr="00A31137">
        <w:t>In the Caribbean and Central America, the Carter Administration stands by while Castro's totalitarian Cuba, financed, directed, and supplied by the Soviet Union, aggressively trains, arms, and supports forces of warfare and revolution throughout the Western hemisphere. Yet the Carter Administration has steadily denied these threats and in many cases has actively worked to undermine governments and parties opposed to the expansion of Soviet power. This must end.</w:t>
      </w:r>
    </w:p>
    <w:p w:rsidR="00A31137" w:rsidRPr="00A31137" w:rsidRDefault="00A31137" w:rsidP="00A31137">
      <w:r w:rsidRPr="00A31137">
        <w:t>1980 Republican Platform, p.39</w:t>
      </w:r>
    </w:p>
    <w:p w:rsidR="00A31137" w:rsidRPr="00A31137" w:rsidRDefault="00A31137" w:rsidP="00A31137">
      <w:r w:rsidRPr="00A31137">
        <w:t>We deplore the Marxist Sandinista take-over of Nicaragua and the Marxist attempts to destabilize El Salvador, Guatemala, and Honduras. We do not support United States assistance to any Marxist government in this hemisphere and we oppose the Carter Administration aid program for the government of Nicaragua. However, we will support the efforts of the Nicaraguan people to establish a free and independent government.</w:t>
      </w:r>
    </w:p>
    <w:p w:rsidR="00A31137" w:rsidRPr="00A31137" w:rsidRDefault="00A31137" w:rsidP="00A31137">
      <w:r w:rsidRPr="00A31137">
        <w:t>1980 Republican Platform, p.39</w:t>
      </w:r>
    </w:p>
    <w:p w:rsidR="00A31137" w:rsidRPr="00A31137" w:rsidRDefault="00A31137" w:rsidP="00A31137">
      <w:r w:rsidRPr="00A31137">
        <w:t>Republicans deplore the dangerous and incomprehensible Carter Administration policies toward Cuba. The Administration has done nothing about the Soviet combat brigade stationed there, or about the transfer of new Soviet offensive weapons to Cuba in the form of modern MIG aircraft and submarines. It has done nothing about the Soviet pilots flying air defense missions in Cuba or about the extensive improvements to Soviet military bases, particularly the submarine facilities in Cienfuegos, and the expanded Soviet intelligence facilities near Havana.</w:t>
      </w:r>
    </w:p>
    <w:p w:rsidR="00A31137" w:rsidRPr="00A31137" w:rsidRDefault="00A31137" w:rsidP="00A31137">
      <w:r w:rsidRPr="00A31137">
        <w:t>1980 Republican Platform, p.39</w:t>
      </w:r>
    </w:p>
    <w:p w:rsidR="00A31137" w:rsidRPr="00A31137" w:rsidRDefault="00A31137" w:rsidP="00A31137">
      <w:r w:rsidRPr="00A31137">
        <w:t>Republicans recognize the importance of our relations within this hemisphere and pledge a strong new United States policy in the Americas. We will stand firm with countries seeking to develop their societies while combating the subversion and violence exported by Cuba and Moscow. We will return to the fundamental principle of treating a friend as a friend and self-proclaimed enemies as enemies, without apology. We will make it clear to the Soviet Union and Cuba that their subversion and their build-up of offensive military forces is unacceptable.</w:t>
      </w:r>
    </w:p>
    <w:p w:rsidR="00A31137" w:rsidRPr="00A31137" w:rsidRDefault="00A31137" w:rsidP="00A31137">
      <w:r w:rsidRPr="00A31137">
        <w:t>1980 Republican Platform, p.39</w:t>
      </w:r>
    </w:p>
    <w:p w:rsidR="00A31137" w:rsidRPr="00A31137" w:rsidRDefault="00A31137" w:rsidP="00A31137">
      <w:r w:rsidRPr="00A31137">
        <w:t>Republicans recognize the special importance of Puerto Rico and the United States Virgin Islands in the defense of freedom in the Caribbean. We believe that Puerto Rico's admission to the Union would demonstrate our common purpose in the face of growing Soviet and Cuban pressure in that area.</w:t>
      </w:r>
    </w:p>
    <w:p w:rsidR="00A31137" w:rsidRPr="00A31137" w:rsidRDefault="00A31137" w:rsidP="00A31137">
      <w:r w:rsidRPr="00A31137">
        <w:t>1980 Republican Platform, p.39</w:t>
      </w:r>
    </w:p>
    <w:p w:rsidR="00A31137" w:rsidRPr="00A31137" w:rsidRDefault="00A31137" w:rsidP="00A31137">
      <w:r w:rsidRPr="00A31137">
        <w:t>Republicans recognize the fundamental importance of Mexico and restoration of good working relations with that country will be of highest priority. A new Republican Administration will immediately begin high-level, comprehensive negotiations, seeking solutions to common problems on the basis of mutual interest and recognizing that each country has unique contributions to make in resolving practical problems.</w:t>
      </w:r>
    </w:p>
    <w:p w:rsidR="00A31137" w:rsidRPr="00A31137" w:rsidRDefault="00A31137" w:rsidP="00A31137">
      <w:r w:rsidRPr="00A31137">
        <w:t>1980 Republican Platform, p.39</w:t>
      </w:r>
    </w:p>
    <w:p w:rsidR="00A31137" w:rsidRPr="00A31137" w:rsidRDefault="00A31137" w:rsidP="00A31137">
      <w:r w:rsidRPr="00A31137">
        <w:t>Republicans pledge to reestablish close and cooperative relations with the nations of Central and South America and repair the diplomatic damage done by the Carter Administration. We pledge understanding and assistance in the efforts of these nations, and their neighbors, to deal seriously with serious domestic problems.</w:t>
      </w:r>
    </w:p>
    <w:p w:rsidR="00A31137" w:rsidRPr="00A31137" w:rsidRDefault="00A31137" w:rsidP="00A31137">
      <w:r w:rsidRPr="00A31137">
        <w:t>1980 Republican Platform, p.39</w:t>
      </w:r>
    </w:p>
    <w:p w:rsidR="00A31137" w:rsidRPr="00A31137" w:rsidRDefault="00A31137" w:rsidP="00A31137">
      <w:r w:rsidRPr="00A31137">
        <w:t>We pledge to ensure that the Panama Canal remains open, secure, and free of hostile control.</w:t>
      </w:r>
    </w:p>
    <w:p w:rsidR="00A31137" w:rsidRPr="00A31137" w:rsidRDefault="00A31137" w:rsidP="00A31137">
      <w:r w:rsidRPr="00A31137">
        <w:t>1980 Republican Platform, p.39</w:t>
      </w:r>
    </w:p>
    <w:p w:rsidR="00A31137" w:rsidRPr="00A31137" w:rsidRDefault="00A31137" w:rsidP="00A31137">
      <w:r w:rsidRPr="00A31137">
        <w:t>The reservations and understandings to the Panama Canal treaties, including those assuring the United States of primary responsibility of protecting and defending the Canal, are an integral part of those treaties and we will hold Panama to strict interpretation of the language of the treaties, clearly established by the legislative history of Senate adoption of amendments, reservations, and understandings at the time of Senate approval of the treaties.</w:t>
      </w:r>
    </w:p>
    <w:p w:rsidR="00A31137" w:rsidRPr="00A31137" w:rsidRDefault="00A31137" w:rsidP="00A31137">
      <w:r w:rsidRPr="00A31137">
        <w:t>1980 Republican Platform, p.39</w:t>
      </w:r>
    </w:p>
    <w:p w:rsidR="00A31137" w:rsidRPr="00A31137" w:rsidRDefault="00A31137" w:rsidP="00A31137">
      <w:r w:rsidRPr="00A31137">
        <w:t>We would remind the American taxpayers that President Carter gave repeated assurances that the Panama Canal treaties would not cost the American taxpayers "one thin dime," and we emphasize the fact that implementing the Panama Canal treaties will cost them $4.2 billion.</w:t>
      </w:r>
    </w:p>
    <w:p w:rsidR="00A31137" w:rsidRPr="00A31137" w:rsidRDefault="00A31137" w:rsidP="00A31137">
      <w:r w:rsidRPr="00A31137">
        <w:t>1980 Republican Platform, p.39</w:t>
      </w:r>
    </w:p>
    <w:p w:rsidR="00A31137" w:rsidRPr="00A31137" w:rsidRDefault="00A31137" w:rsidP="00A31137">
      <w:r w:rsidRPr="00A31137">
        <w:t>We will work closely with Canada as our most important trading partner in the hemisphere. We will foster the deep affinity that exists between our two nations and our policies will be based on mutual understanding and complete equality.</w:t>
      </w:r>
    </w:p>
    <w:p w:rsidR="00A31137" w:rsidRPr="00A31137" w:rsidRDefault="00A31137" w:rsidP="00A31137">
      <w:r w:rsidRPr="00A31137">
        <w:t>1980 Republican Platform, p.39</w:t>
      </w:r>
    </w:p>
    <w:p w:rsidR="00A31137" w:rsidRPr="00A31137" w:rsidRDefault="00A31137" w:rsidP="00A31137">
      <w:r w:rsidRPr="00A31137">
        <w:t>We will seek a North America Accord designed to foster close cooperation and mutual benefit between the United States, Canada, and Mexico.</w:t>
      </w:r>
    </w:p>
    <w:p w:rsidR="00A31137" w:rsidRPr="00A31137" w:rsidRDefault="00A31137" w:rsidP="00A31137">
      <w:r w:rsidRPr="00A31137">
        <w:t>1980 Republican Platform, p.39</w:t>
      </w:r>
    </w:p>
    <w:p w:rsidR="00A31137" w:rsidRPr="00A31137" w:rsidRDefault="00A31137" w:rsidP="00A31137">
      <w:r w:rsidRPr="00A31137">
        <w:t>A new Republican Administration will, in close cooperation with its neighbors, seek to work together to build prosperity and to strengthen common efforts to combat externally produced revolution and violence.</w:t>
      </w:r>
    </w:p>
    <w:p w:rsidR="00A31137" w:rsidRPr="00A31137" w:rsidRDefault="00A31137" w:rsidP="00A31137">
      <w:r w:rsidRPr="00A31137">
        <w:t>Asia and the Pacific</w:t>
      </w:r>
    </w:p>
    <w:p w:rsidR="00A31137" w:rsidRPr="00A31137" w:rsidRDefault="00A31137" w:rsidP="00A31137">
      <w:r w:rsidRPr="00A31137">
        <w:t>1980 Republican Platform, p.39</w:t>
      </w:r>
    </w:p>
    <w:p w:rsidR="00A31137" w:rsidRPr="00A31137" w:rsidRDefault="00A31137" w:rsidP="00A31137">
      <w:r w:rsidRPr="00A31137">
        <w:t>The United States is and must remain a Pacific power. It is our vital interest to maintain U.S. guaranteed stability in the [p.40] area. Republicans recognize the dangerous shifts in power that have accelerated under the current Democratic Administration. The balance on the Korean peninsula has shifted dangerously toward the North. Soviet naval forces in Asia and the Pacific have steadily increased and are now at least equal to U.S. naval forces there. Unilateral cancellation by the United States of the mutual defense pact with Taiwan and the abrupt announcement of withdrawal of U.S. ground forces from Korea, have led countries throughout the region to question the value of alliance with the United States.</w:t>
      </w:r>
    </w:p>
    <w:p w:rsidR="00A31137" w:rsidRPr="00A31137" w:rsidRDefault="00A31137" w:rsidP="00A31137">
      <w:r w:rsidRPr="00A31137">
        <w:t>1980 Republican Platform, p.40</w:t>
      </w:r>
    </w:p>
    <w:p w:rsidR="00A31137" w:rsidRPr="00A31137" w:rsidRDefault="00A31137" w:rsidP="00A31137">
      <w:r w:rsidRPr="00A31137">
        <w:t>A new Republican Administration will restore a strong American role in Asia and the Pacific. We will make it clear that any military action which threatens the independence of America's allies and friends will bring a response sufficient to make its cost prohibitive to potential adversaries.</w:t>
      </w:r>
    </w:p>
    <w:p w:rsidR="00A31137" w:rsidRPr="00A31137" w:rsidRDefault="00A31137" w:rsidP="00A31137">
      <w:r w:rsidRPr="00A31137">
        <w:t>1980 Republican Platform, p.40</w:t>
      </w:r>
    </w:p>
    <w:p w:rsidR="00A31137" w:rsidRPr="00A31137" w:rsidRDefault="00A31137" w:rsidP="00A31137">
      <w:r w:rsidRPr="00A31137">
        <w:t>Japan will continue to be a pillar of American policy in Asia. Republicans recognize the mutual interests and special relationships that exist between the two countries in their commitment to democracy and in trade, defense, and cultural matters. A new Republican Administration will work closely with the Japans government to resolve outstanding trade and energy problems on an equitable basis. We strongly support a substantially increased Japanese national defense effort and reaffirm that our long-range objectives of military security and a balancing of the expanded Soviet military presence in the region are of mutual interest.</w:t>
      </w:r>
    </w:p>
    <w:p w:rsidR="00A31137" w:rsidRPr="00A31137" w:rsidRDefault="00A31137" w:rsidP="00A31137">
      <w:r w:rsidRPr="00A31137">
        <w:t>1980 Republican Platform, p.40</w:t>
      </w:r>
    </w:p>
    <w:p w:rsidR="00A31137" w:rsidRPr="00A31137" w:rsidRDefault="00A31137" w:rsidP="00A31137">
      <w:r w:rsidRPr="00A31137">
        <w:t>Republicans recognize the unique danger presented to our ally, South Korea. We will encourage continued efforts to expand political participation and individual liberties within the country, but will recognize the special problems brought on by subversion and potential aggression from the North. We will maintain American ground and air forces in South Korea, and will not reduce our presence further. Our treaty commitments to South Korea will be restated in unequivocal terms and we will reestablish the process of close consultations between our governments.</w:t>
      </w:r>
    </w:p>
    <w:p w:rsidR="00A31137" w:rsidRPr="00A31137" w:rsidRDefault="00A31137" w:rsidP="00A31137">
      <w:r w:rsidRPr="00A31137">
        <w:t>1980 Republican Platform, p.40</w:t>
      </w:r>
    </w:p>
    <w:p w:rsidR="00A31137" w:rsidRPr="00A31137" w:rsidRDefault="00A31137" w:rsidP="00A31137">
      <w:r w:rsidRPr="00A31137">
        <w:t>We reaffirm our special and historic relationships with the Philippines, Singapore, Malaysia, Indonesia, Thailand, New Zealand, and Australia. Republicans will recognize the long friendship with these countries and will cultivate and strengthen our diplomatic and trade relationships.</w:t>
      </w:r>
    </w:p>
    <w:p w:rsidR="00A31137" w:rsidRPr="00A31137" w:rsidRDefault="00A31137" w:rsidP="00A31137">
      <w:r w:rsidRPr="00A31137">
        <w:t>1980 Republican Platform, p.40</w:t>
      </w:r>
    </w:p>
    <w:p w:rsidR="00A31137" w:rsidRPr="00A31137" w:rsidRDefault="00A31137" w:rsidP="00A31137">
      <w:r w:rsidRPr="00A31137">
        <w:t>We deplore the brutal acts of Communist Vietnam against the people of Cambodia and Laos. We recognize that the suffering of refugees from these ravaged countries represents a major moral challenge to the world and one of the great human tragedies of modern times. A Republican Administration will work actively to bring relief to these suffering people, especially those who have sought refuge in Thailand. We value the special contribution the people of Thailand have made to the refugees by opening their borders and saving hundreds of thousands of them from death, and we pledge to provide full economic aid and military material to assist Thailand in repelling Vietnamese aggression.</w:t>
      </w:r>
    </w:p>
    <w:p w:rsidR="00A31137" w:rsidRPr="00A31137" w:rsidRDefault="00A31137" w:rsidP="00A31137">
      <w:r w:rsidRPr="00A31137">
        <w:t>1980 Republican Platform, p.40</w:t>
      </w:r>
    </w:p>
    <w:p w:rsidR="00A31137" w:rsidRPr="00A31137" w:rsidRDefault="00A31137" w:rsidP="00A31137">
      <w:r w:rsidRPr="00A31137">
        <w:t>We believe that no expanded relations with Communist Vietnam should be pursued while it continues its course of brutal expansionism and genocide. We pledge that a Republican Administration will press for full accounting of Americans still listed as missing in action.</w:t>
      </w:r>
    </w:p>
    <w:p w:rsidR="00A31137" w:rsidRPr="00A31137" w:rsidRDefault="00A31137" w:rsidP="00A31137">
      <w:r w:rsidRPr="00A31137">
        <w:t>1980 Republican Platform, p.40</w:t>
      </w:r>
    </w:p>
    <w:p w:rsidR="00A31137" w:rsidRPr="00A31137" w:rsidRDefault="00A31137" w:rsidP="00A31137">
      <w:r w:rsidRPr="00A31137">
        <w:t>Recognizing the growing importance of the People's Republic of China in world affairs, Republicans—who took the historic initiative in opening the lines of communication with that nation—will continue the process of building a working relationship with the PRC. Growing contacts between the United States and the People's Republic of China reflect the interests of both nations, as well as some common perceptions of recent changes in the global military balance. We will not ignore the profound differences in our respective philosophies, governmental institutions, policies, and concepts of individual liberty.</w:t>
      </w:r>
    </w:p>
    <w:p w:rsidR="00A31137" w:rsidRPr="00A31137" w:rsidRDefault="00A31137" w:rsidP="00A31137">
      <w:r w:rsidRPr="00A31137">
        <w:t>1980 Republican Platform, p.40</w:t>
      </w:r>
    </w:p>
    <w:p w:rsidR="00A31137" w:rsidRPr="00A31137" w:rsidRDefault="00A31137" w:rsidP="00A31137">
      <w:r w:rsidRPr="00A31137">
        <w:t>We will strive for the creation of conditions that will foster the peaceful elaboration of our relationship with the People's Republic of China. We will exercise due caution and prudence with respect to our own vital interests, especially in the field of expanding trade, including the transfer of sophisticated technology with potential offensive military applications. The relationship between the two countries must be based on mutual respect and reciprocity, with due regard for the need to maintain peace and stability in Asia.</w:t>
      </w:r>
    </w:p>
    <w:p w:rsidR="00A31137" w:rsidRPr="00A31137" w:rsidRDefault="00A31137" w:rsidP="00A31137">
      <w:r w:rsidRPr="00A31137">
        <w:t>1980 Republican Platform, p.40</w:t>
      </w:r>
    </w:p>
    <w:p w:rsidR="00A31137" w:rsidRPr="00A31137" w:rsidRDefault="00A31137" w:rsidP="00A31137">
      <w:r w:rsidRPr="00A31137">
        <w:t>At the same time, we deplore the Carter Administration's treatment of Taiwan, our long-time ally and friend. We pledge that our concern for the safety and security of the 17 million people of Taiwan will be constant. We would regard any attempt to alter Taiwan's status by force as a threat to peace in the region. We declare that the Republican Administration, in strengthening relations with Taiwan, will create conditions leading to the expansion of trade, and will give priority consideration to Taiwan's defense requirements.</w:t>
      </w:r>
    </w:p>
    <w:p w:rsidR="00A31137" w:rsidRPr="00A31137" w:rsidRDefault="00A31137" w:rsidP="00A31137">
      <w:r w:rsidRPr="00A31137">
        <w:t>Africa</w:t>
      </w:r>
    </w:p>
    <w:p w:rsidR="00A31137" w:rsidRPr="00A31137" w:rsidRDefault="00A31137" w:rsidP="00A31137">
      <w:r w:rsidRPr="00A31137">
        <w:t>1980 Republican Platform, p.40</w:t>
      </w:r>
    </w:p>
    <w:p w:rsidR="00A31137" w:rsidRPr="00A31137" w:rsidRDefault="00A31137" w:rsidP="00A31137">
      <w:r w:rsidRPr="00A31137">
        <w:t>The Republican Party supports the principle and process of self-determination in Africa. We reaffirm our commitment to this principle and pledge our strong opposition to the effort of the Soviet Union and its militant allies to subvert this process. Soviet bases, tens of thousands of Cuban troops, and Soviet-bloc subversion are unacceptable.</w:t>
      </w:r>
    </w:p>
    <w:p w:rsidR="00A31137" w:rsidRPr="00A31137" w:rsidRDefault="00A31137" w:rsidP="00A31137">
      <w:r w:rsidRPr="00A31137">
        <w:t>1980 Republican Platform, p.40</w:t>
      </w:r>
    </w:p>
    <w:p w:rsidR="00A31137" w:rsidRPr="00A31137" w:rsidRDefault="00A31137" w:rsidP="00A31137">
      <w:r w:rsidRPr="00A31137">
        <w:t>We recognize that much is at stake in Africa and that the United States and the industrial West have vital interests there—economically, strategically, and politically. Working closely with our allies, a Republican Administration will seek to assist the countries of Africa with our presence, our markets, our know-how, and our investment. We will work to create a climate of economic and political development and confidence. [p.41] We will encourage and assist business to play a major role in support of regional industrial development programs, mineral complexes, and agricultural self-sufficiency.</w:t>
      </w:r>
    </w:p>
    <w:p w:rsidR="00A31137" w:rsidRPr="00A31137" w:rsidRDefault="00A31137" w:rsidP="00A31137">
      <w:r w:rsidRPr="00A31137">
        <w:t>1980 Republican Platform, p.41</w:t>
      </w:r>
    </w:p>
    <w:p w:rsidR="00A31137" w:rsidRPr="00A31137" w:rsidRDefault="00A31137" w:rsidP="00A31137">
      <w:r w:rsidRPr="00A31137">
        <w:t>Republicans believe that African nations, if given a choice, will reject the Marxist, totalitarian model being forcibly imposed by the Soviet Union and its surrogates including Cuban and Nicaraguan troops as well as East German secret police. We believe that they know the Communist powers have relatively little to offer them and that, for the most part, the African peoples are convinced that the West is central to world stability and economic growth on which their own fortunes ultimately depend.</w:t>
      </w:r>
    </w:p>
    <w:p w:rsidR="00A31137" w:rsidRPr="00A31137" w:rsidRDefault="00A31137" w:rsidP="00A31137">
      <w:r w:rsidRPr="00A31137">
        <w:t>1980 Republican Platform, p.41</w:t>
      </w:r>
    </w:p>
    <w:p w:rsidR="00A31137" w:rsidRPr="00A31137" w:rsidRDefault="00A31137" w:rsidP="00A31137">
      <w:r w:rsidRPr="00A31137">
        <w:t>A Republican Administration will adhere to policies that reflect the complex origins of African conflicts, demonstrate that we know what U.S. interests are, and back those interests in meaningful ways. We will recognize the important role of economic and military assistance programs and will devote major resources to assisting African development and stability when such aid is given on a bilateral basis and contributes directly to American interests on the continent.</w:t>
      </w:r>
    </w:p>
    <w:p w:rsidR="00A31137" w:rsidRPr="00A31137" w:rsidRDefault="00A31137" w:rsidP="00A31137">
      <w:r w:rsidRPr="00A31137">
        <w:t>1980 Republican Platform, p.41</w:t>
      </w:r>
    </w:p>
    <w:p w:rsidR="00A31137" w:rsidRPr="00A31137" w:rsidRDefault="00A31137" w:rsidP="00A31137">
      <w:r w:rsidRPr="00A31137">
        <w:t>In Southern Africa, American policies must be guided by commonsense and by our own humanitarian principles. Republicans believe that our history has meaning for Africa in demonstrating that a multiracial society with guarantees of individual rights is possible and can work. We must remain open and helpful to all parties, whether in the new Zimbabwe, in Namibia, or in the Republic of South Africa. A Republican Administration will not endorse situations or constitutions, in whatever society, which are racist in purpose or in effect. It will not expect miracles, but will press for genuine progress in achieving goals consistent with American ideals.</w:t>
      </w:r>
    </w:p>
    <w:p w:rsidR="00A31137" w:rsidRPr="00A31137" w:rsidRDefault="00A31137" w:rsidP="00A31137">
      <w:r w:rsidRPr="00A31137">
        <w:t>Foreign assistance and regional security</w:t>
      </w:r>
    </w:p>
    <w:p w:rsidR="00A31137" w:rsidRPr="00A31137" w:rsidRDefault="00A31137" w:rsidP="00A31137">
      <w:r w:rsidRPr="00A31137">
        <w:t>1980 Republican Platform, p.41</w:t>
      </w:r>
    </w:p>
    <w:p w:rsidR="00A31137" w:rsidRPr="00A31137" w:rsidRDefault="00A31137" w:rsidP="00A31137">
      <w:r w:rsidRPr="00A31137">
        <w:t>The United States has included foreign assistance and regional security as a major element of its foreign policy for four decades. Properly administered and focused, foreign assistance can be an effective means of promoting United States foreign policy objectives, and serve to enhance American security by assisting friendly nations to become stronger and more capable of defending themselves and their regions against foreign subversion and attack.</w:t>
      </w:r>
    </w:p>
    <w:p w:rsidR="00A31137" w:rsidRPr="00A31137" w:rsidRDefault="00A31137" w:rsidP="00A31137">
      <w:r w:rsidRPr="00A31137">
        <w:t>1980 Republican Platform, p.41</w:t>
      </w:r>
    </w:p>
    <w:p w:rsidR="00A31137" w:rsidRPr="00A31137" w:rsidRDefault="00A31137" w:rsidP="00A31137">
      <w:r w:rsidRPr="00A31137">
        <w:t>The threat posed to individual Third World nations is beyond the means of any one of them to counter alone. A Republican Administration will seek to strengthen and assist regional security arrangements among nations prepared to assume the burden of their defense.</w:t>
      </w:r>
    </w:p>
    <w:p w:rsidR="00A31137" w:rsidRPr="00A31137" w:rsidRDefault="00A31137" w:rsidP="00A31137">
      <w:r w:rsidRPr="00A31137">
        <w:t>1980 Republican Platform, p.41</w:t>
      </w:r>
    </w:p>
    <w:p w:rsidR="00A31137" w:rsidRPr="00A31137" w:rsidRDefault="00A31137" w:rsidP="00A31137">
      <w:r w:rsidRPr="00A31137">
        <w:t>No longer should American foreign assistance programs seek to force acceptance of American governmental forms. The principal consideration should be whether or not extending assistance to a nation or group of nations will advance America's interests and objectives. The single-minded attempt to force acceptance of U.S. values and standards of democracy has undermined several friendly nations, and has made possible the advance of Soviet interests in Asia, the Middle East, Africa, and in the Western Hemisphere in the past four years.</w:t>
      </w:r>
    </w:p>
    <w:p w:rsidR="00A31137" w:rsidRPr="00A31137" w:rsidRDefault="00A31137" w:rsidP="00A31137">
      <w:r w:rsidRPr="00A31137">
        <w:t>1980 Republican Platform, p.41</w:t>
      </w:r>
    </w:p>
    <w:p w:rsidR="00A31137" w:rsidRPr="00A31137" w:rsidRDefault="00A31137" w:rsidP="00A31137">
      <w:r w:rsidRPr="00A31137">
        <w:t>American foreign economic assistance is not a charitable venture; charity is most effectively carried out by private entities. Only by private economic development by the people of the nations involved has poverty ever been overcome. U.S. foreign economic assistance should have a catalytic effect on indigenous economic development, and should only be extended when it is consistent with America's foreign policy interest. America's foreign assistance programs should be a vehicle for exporting the American idea.</w:t>
      </w:r>
    </w:p>
    <w:p w:rsidR="00A31137" w:rsidRPr="00A31137" w:rsidRDefault="00A31137" w:rsidP="00A31137">
      <w:r w:rsidRPr="00A31137">
        <w:t>1980 Republican Platform, p.41</w:t>
      </w:r>
    </w:p>
    <w:p w:rsidR="00A31137" w:rsidRPr="00A31137" w:rsidRDefault="00A31137" w:rsidP="00A31137">
      <w:r w:rsidRPr="00A31137">
        <w:t>A Republican Administration will emphasize bilateral assistance programs whenever possible. Bilateral programs provide the best assurance that aid programs will be fully accountable to the American taxpayer, and wholly consistent with our foreign policy interests.</w:t>
      </w:r>
    </w:p>
    <w:p w:rsidR="00A31137" w:rsidRPr="00A31137" w:rsidRDefault="00A31137" w:rsidP="00A31137">
      <w:r w:rsidRPr="00A31137">
        <w:t>1980 Republican Platform, p.41</w:t>
      </w:r>
    </w:p>
    <w:p w:rsidR="00A31137" w:rsidRPr="00A31137" w:rsidRDefault="00A31137" w:rsidP="00A31137">
      <w:r w:rsidRPr="00A31137">
        <w:t>The effort of the Carter Administration to diminish the role of American military assistance and foreign military sales in our foreign policy has had several negative effects:</w:t>
      </w:r>
    </w:p>
    <w:p w:rsidR="00A31137" w:rsidRPr="00A31137" w:rsidRDefault="00A31137" w:rsidP="00A31137">
      <w:r w:rsidRPr="00A31137">
        <w:t>1980 Republican Platform, p.41</w:t>
      </w:r>
    </w:p>
    <w:p w:rsidR="00A31137" w:rsidRPr="00A31137" w:rsidRDefault="00A31137" w:rsidP="00A31137">
      <w:r w:rsidRPr="00A31137">
        <w:t>It has resulted in the export of many thousands of American jobs as the Soviet Union, Britain, and France have taken sales prohibited to American manufacturers;</w:t>
      </w:r>
    </w:p>
    <w:p w:rsidR="00A31137" w:rsidRPr="00A31137" w:rsidRDefault="00A31137" w:rsidP="00A31137">
      <w:r w:rsidRPr="00A31137">
        <w:t>1980 Republican Platform, p.41</w:t>
      </w:r>
    </w:p>
    <w:p w:rsidR="00A31137" w:rsidRPr="00A31137" w:rsidRDefault="00A31137" w:rsidP="00A31137">
      <w:r w:rsidRPr="00A31137">
        <w:t>It has reduced the ability of friendly nations to defend their independence against Soviet-sponsored subversion, resulting in several cases in abject takeovers by overtly pro-Soviet regimes; and</w:t>
      </w:r>
    </w:p>
    <w:p w:rsidR="00A31137" w:rsidRPr="00A31137" w:rsidRDefault="00A31137" w:rsidP="00A31137">
      <w:r w:rsidRPr="00A31137">
        <w:t>1980 Republican Platform, p.41</w:t>
      </w:r>
    </w:p>
    <w:p w:rsidR="00A31137" w:rsidRPr="00A31137" w:rsidRDefault="00A31137" w:rsidP="00A31137">
      <w:r w:rsidRPr="00A31137">
        <w:t>It has weakened the fabric of the U.S. alliance structure by making the U.S. appear to be an unreliable ally, a trend which can only lead to the undesirable attempt by nations fearful of their security to seek to acquire their own nuclear weapons.</w:t>
      </w:r>
    </w:p>
    <w:p w:rsidR="00A31137" w:rsidRPr="00A31137" w:rsidRDefault="00A31137" w:rsidP="00A31137">
      <w:r w:rsidRPr="00A31137">
        <w:t>1980 Republican Platform, p.41</w:t>
      </w:r>
    </w:p>
    <w:p w:rsidR="00A31137" w:rsidRPr="00A31137" w:rsidRDefault="00A31137" w:rsidP="00A31137">
      <w:r w:rsidRPr="00A31137">
        <w:t>Decisions to provide military assistance should be made on the basis of U.S. foreign policy objectives. Such assistance to any nation need not imply complete approval of a regime's domestic policy. Republicans pledge to strengthen America's presence abroad by well-constructed programs of military assistance to promote national and regional security.</w:t>
      </w:r>
    </w:p>
    <w:p w:rsidR="00A31137" w:rsidRPr="00A31137" w:rsidRDefault="00A31137" w:rsidP="00A31137">
      <w:r w:rsidRPr="00A31137">
        <w:t>1980 Republican Platform, p.41</w:t>
      </w:r>
    </w:p>
    <w:p w:rsidR="00A31137" w:rsidRPr="00A31137" w:rsidRDefault="00A31137" w:rsidP="00A31137">
      <w:r w:rsidRPr="00A31137">
        <w:t>The manipulation of foreign arms sales has been one of the most seriously abused policy initiatives of the Carter Administration. The establishment of arbitrary ceilings on foreign sales, and the complex procedural and policy guidelines governing such sales have impeded the support of U.S. foreign policy objectives abroad. Friendly and allied nations alike have had to turn elsewhere for arms. This has stimulated the growth of a new arms industry in developing nations. Republicans pledge to reform and rebuild U.S. military assistance and foreign arms sales policies so that they will serve American interests in [p.42] promoting regional security arrangements and the individual defense needs of friendly nations.</w:t>
      </w:r>
    </w:p>
    <w:p w:rsidR="00A31137" w:rsidRPr="00A31137" w:rsidRDefault="00A31137" w:rsidP="00A31137">
      <w:r w:rsidRPr="00A31137">
        <w:t>International Economic Policy</w:t>
      </w:r>
    </w:p>
    <w:p w:rsidR="00A31137" w:rsidRPr="00A31137" w:rsidRDefault="00A31137" w:rsidP="00A31137">
      <w:r w:rsidRPr="00A31137">
        <w:t>International trade and economic policy</w:t>
      </w:r>
    </w:p>
    <w:p w:rsidR="00A31137" w:rsidRPr="00A31137" w:rsidRDefault="00A31137" w:rsidP="00A31137">
      <w:r w:rsidRPr="00A31137">
        <w:t>1980 Republican Platform, p.42</w:t>
      </w:r>
    </w:p>
    <w:p w:rsidR="00A31137" w:rsidRPr="00A31137" w:rsidRDefault="00A31137" w:rsidP="00A31137">
      <w:r w:rsidRPr="00A31137">
        <w:t>The American economy has an abundance of human and material resources, but nevertheless, it is part of a larger global economy. Our domestic prosperity and international competitiveness depend upon our participation in the international economy. Moreover, our security interests are in part determined by international economic factors. Yet the Carter Administration has largely ignored the role of international economics in relations between the United States and friendly nations throughout the world. The Administration has conducted its international economic policy at cross-purposes with other dimensions of its foreign policy, resulting in strains within the Western alliance and a general decline in the domestic prosperity. Under a Republican Administration, our international economic policy will be harmonized with our foreign and defense policies to leave no doubt as to the strategy and purpose of American policy.</w:t>
      </w:r>
    </w:p>
    <w:p w:rsidR="00A31137" w:rsidRPr="00A31137" w:rsidRDefault="00A31137" w:rsidP="00A31137">
      <w:r w:rsidRPr="00A31137">
        <w:t>1980 Republican Platform, p.42</w:t>
      </w:r>
    </w:p>
    <w:p w:rsidR="00A31137" w:rsidRPr="00A31137" w:rsidRDefault="00A31137" w:rsidP="00A31137">
      <w:r w:rsidRPr="00A31137">
        <w:t>The economic policy of the Carter Administration has led to the most serious decline in the value of the dollar in history. The ability of Americans to purchase goods and services or to invest abroad has been diminished by Carter Administration policies devaluing the dollar. Republicans will conduct international economic policy in a manner that will stabilize the value of the dollar at home and abroad.</w:t>
      </w:r>
    </w:p>
    <w:p w:rsidR="00A31137" w:rsidRPr="00A31137" w:rsidRDefault="00A31137" w:rsidP="00A31137">
      <w:r w:rsidRPr="00A31137">
        <w:t>1980 Republican Platform, p.42</w:t>
      </w:r>
    </w:p>
    <w:p w:rsidR="00A31137" w:rsidRPr="00A31137" w:rsidRDefault="00A31137" w:rsidP="00A31137">
      <w:r w:rsidRPr="00A31137">
        <w:t>The Republican Party believes the United States must adopt an aggressive export policy. For too long, our trade policy has been geared toward helping our foreign trading partners. Now, we have to put the United States back on the world export map. We helped pull other countries out of the post-World War II economic chaos: it is time to remedy our own crisis. Trade, especially exporting, must be high on our list of national priorities. The Republicans will put it there and will promote trade to ensure the long-term health of the U.S. economy.</w:t>
      </w:r>
    </w:p>
    <w:p w:rsidR="00A31137" w:rsidRPr="00A31137" w:rsidRDefault="00A31137" w:rsidP="00A31137">
      <w:r w:rsidRPr="00A31137">
        <w:t>1980 Republican Platform, p.42</w:t>
      </w:r>
    </w:p>
    <w:p w:rsidR="00A31137" w:rsidRPr="00A31137" w:rsidRDefault="00A31137" w:rsidP="00A31137">
      <w:r w:rsidRPr="00A31137">
        <w:t>Exports can play a key role in strengthening the U.S. economy, creating jobs and improving our standard of living. A $15 billion increase in exports can increase employment by 1,000,000, the Gross National Product by $37 billion per year, and private investment by $4 billion per year. Nevertheless, the Carter Administration has placed exporting at the bottom of its priority list. The present Administration's trade policies lack coordination, cohesiveness, and true commitment to improving our export performance. Rather than helping to create strong exporters in the United States and thereby create more Jobs for Americans, the Carter Administration's trade policies have discouraged traders. At best, the Administration has adopted a passive approach to trade, merely reacting to changing world economies, rather than actively seeking to promote a global structure that best addresses America's needs. As a result, we lag seriously behind our foreign competitors in trade performance and economic strength. Export promotion will be a central objective of international economic policy in a Republican Administration.</w:t>
      </w:r>
    </w:p>
    <w:p w:rsidR="00A31137" w:rsidRPr="00A31137" w:rsidRDefault="00A31137" w:rsidP="00A31137">
      <w:r w:rsidRPr="00A31137">
        <w:t>1980 Republican Platform, p.42</w:t>
      </w:r>
    </w:p>
    <w:p w:rsidR="00A31137" w:rsidRPr="00A31137" w:rsidRDefault="00A31137" w:rsidP="00A31137">
      <w:r w:rsidRPr="00A31137">
        <w:t>A Republican Administration will emphasize a policy of free trade, but will expect our trading partners to do so as well. The failure of the Carter Administration energetically to pursue negotiations designed to improve the access of American exports to foreign markets has contributed, in part, to protectionist sentiment.</w:t>
      </w:r>
    </w:p>
    <w:p w:rsidR="00A31137" w:rsidRPr="00A31137" w:rsidRDefault="00A31137" w:rsidP="00A31137">
      <w:r w:rsidRPr="00A31137">
        <w:t>1980 Republican Platform, p.42</w:t>
      </w:r>
    </w:p>
    <w:p w:rsidR="00A31137" w:rsidRPr="00A31137" w:rsidRDefault="00A31137" w:rsidP="00A31137">
      <w:r w:rsidRPr="00A31137">
        <w:t>Domestic problems—over-burdensome government regulations, excessive taxation, inflationary monetary policy, and an unstable economy—have contributed to the protectionist sentiments as well. We realize that protectionist legislation has engendered retaliation by America's trading partners in the past resulting in "beggar thy neighbor" policies that had such disastrous consequences in the 1930s.</w:t>
      </w:r>
    </w:p>
    <w:p w:rsidR="00A31137" w:rsidRPr="00A31137" w:rsidRDefault="00A31137" w:rsidP="00A31137">
      <w:r w:rsidRPr="00A31137">
        <w:t>1980 Republican Platform, p.42</w:t>
      </w:r>
    </w:p>
    <w:p w:rsidR="00A31137" w:rsidRPr="00A31137" w:rsidRDefault="00A31137" w:rsidP="00A31137">
      <w:r w:rsidRPr="00A31137">
        <w:t>Republicans are committed to protect American Jobs and American workers first and foremost. The Republican Party believes in free trade, and we will insist that our trade policy be based on the principles of reciprocity and equity. We oppose subsidies, tariff and non-tariff barriers that unfairly restrict access of American products to foreign markets. We will not stand idly by as the jobs of millions of Americans in domestic industries, such as automobiles, textiles, steel, and electronics are jeopardized and lost. We pledge to strengthen trade agreements and to change the Carter economic policies that have undermined the capability of American agriculture and industry to compete abroad.</w:t>
      </w:r>
    </w:p>
    <w:p w:rsidR="00A31137" w:rsidRPr="00A31137" w:rsidRDefault="00A31137" w:rsidP="00A31137">
      <w:r w:rsidRPr="00A31137">
        <w:t>1980 Republican Platform, p.42</w:t>
      </w:r>
    </w:p>
    <w:p w:rsidR="00A31137" w:rsidRPr="00A31137" w:rsidRDefault="00A31137" w:rsidP="00A31137">
      <w:r w:rsidRPr="00A31137">
        <w:t>Republicans believe that this nation's international trade balance can be improved through the elimination of disincentives for exporters. Statutory and regulatory requirements that inhibit exports should be reviewed and, where practical, eliminated. We further recognize that government can play a role in promoting international trade by establishing incentives for exports, especially those for small and medium size business. We pledge also to work with our trading partners to eliminate subsidies to exports and dumping.</w:t>
      </w:r>
    </w:p>
    <w:p w:rsidR="00A31137" w:rsidRPr="00A31137" w:rsidRDefault="00A31137" w:rsidP="00A31137">
      <w:r w:rsidRPr="00A31137">
        <w:t>1980 Republican Platform, p.42</w:t>
      </w:r>
    </w:p>
    <w:p w:rsidR="00A31137" w:rsidRPr="00A31137" w:rsidRDefault="00A31137" w:rsidP="00A31137">
      <w:r w:rsidRPr="00A31137">
        <w:t>The ability of the United States to compete in foreign markets is hampered by the excessive taxation of Americans working abroad who contribute to our domestic well-being by promoting international trade. Increased exports to our trading partners result in jobs and a rising standard of living at home. Carter Administration policy has the effect of discouraging the presence of American businessmen abroad due to the unfairly high level of taxation levied against them. A Republican Administration will support legislation designed to eliminate this [p.43] inequity so that American citizens can fully participate in international commerce without fear of discriminatory taxation.</w:t>
      </w:r>
    </w:p>
    <w:p w:rsidR="00A31137" w:rsidRPr="00A31137" w:rsidRDefault="00A31137" w:rsidP="00A31137">
      <w:r w:rsidRPr="00A31137">
        <w:t>1980 Republican Platform, p.43</w:t>
      </w:r>
    </w:p>
    <w:p w:rsidR="00A31137" w:rsidRPr="00A31137" w:rsidRDefault="00A31137" w:rsidP="00A31137">
      <w:r w:rsidRPr="00A31137">
        <w:t>Our nation must have a strong, competitive, and efficient merchant marine to meet the needs of our international commerce and our national security. We must arrest the significant decline of recent years in the ability of American-flag shipping to compete effectively for the carriage of world commerce. A Republican Administration will revitalize our merchant marine through a responsive and sustained policy. We will encourage the development and maintenance of an American-flag ocean transportation system, staffed with trained American personnel and capable of carrying a substantial portion of our international trade in a competitive and efficient manner. We will promote the development and support of a domestic shipbuilding and ship-repair mobilization base adequate to both the commercial and the national security requirements of the United States.</w:t>
      </w:r>
    </w:p>
    <w:p w:rsidR="00A31137" w:rsidRPr="00A31137" w:rsidRDefault="00A31137" w:rsidP="00A31137">
      <w:r w:rsidRPr="00A31137">
        <w:t>The security of energy and raw materials access</w:t>
      </w:r>
    </w:p>
    <w:p w:rsidR="00A31137" w:rsidRPr="00A31137" w:rsidRDefault="00A31137" w:rsidP="00A31137">
      <w:r w:rsidRPr="00A31137">
        <w:t>1980 Republican Platform, p.43</w:t>
      </w:r>
    </w:p>
    <w:p w:rsidR="00A31137" w:rsidRPr="00A31137" w:rsidRDefault="00A31137" w:rsidP="00A31137">
      <w:r w:rsidRPr="00A31137">
        <w:t>The security of America's foreign sources of energy and raw material supply can no longer be ignored. The United States imports 50 percent of it domestic petroleum requirements, and depends upon foreign sources for 22 of the 74 non-fuel raw materials essential to a modern industrial economy, Nine of the most critical raw materials are almost entirely (i.e., more than 90 percent) located abroad. In contrast, the Soviet Union imports only two critical minerals at a level in excess of 50 percent of domestic consumption.</w:t>
      </w:r>
    </w:p>
    <w:p w:rsidR="00A31137" w:rsidRPr="00A31137" w:rsidRDefault="00A31137" w:rsidP="00A31137">
      <w:r w:rsidRPr="00A31137">
        <w:t>1980 Republican Platform, p.43</w:t>
      </w:r>
    </w:p>
    <w:p w:rsidR="00A31137" w:rsidRPr="00A31137" w:rsidRDefault="00A31137" w:rsidP="00A31137">
      <w:r w:rsidRPr="00A31137">
        <w:t>Reducing reliance on uncertain foreign sources and assuring access to foreign energy and raw materials require the harmonization of economic policy with our defense and foreign policy. Domestic economic and regulatory policy must be adjusted to remove impediments to greater development of our own energy and raw materials resources. Democratic policies for federal land management, taxation, monetary policy, and economic regulation have served to increase America's dependence on foreign sources of energy and raw materials. Republicans pledge to work to eliminate domestic disincentives to the exploitation of these resources.</w:t>
      </w:r>
    </w:p>
    <w:p w:rsidR="00A31137" w:rsidRPr="00A31137" w:rsidRDefault="00A31137" w:rsidP="00A31137">
      <w:r w:rsidRPr="00A31137">
        <w:t>1980 Republican Platform, p.43</w:t>
      </w:r>
    </w:p>
    <w:p w:rsidR="00A31137" w:rsidRPr="00A31137" w:rsidRDefault="00A31137" w:rsidP="00A31137">
      <w:r w:rsidRPr="00A31137">
        <w:t>Multilateral negotiations have thus far insufficiently focused attention on U.S. long-term security requirements. A pertinent example of this phenomenon is the Law of the Sea Conference, where negotiations have served to inhibit U.S. exploration of the sea-bed for its abundant mineral resources. Too much concern has been lavished on nations unable to carry out sea-bed mining, with insufficient attention paid to gaining early American access to it. A Republican Administration will conduct multilateral negotiations in a manner that reflects America's abilities and long-term interest in access to raw material and energy resources.</w:t>
      </w:r>
    </w:p>
    <w:p w:rsidR="00A31137" w:rsidRPr="00A31137" w:rsidRDefault="00A31137" w:rsidP="00A31137">
      <w:r w:rsidRPr="00A31137">
        <w:t>1980 Republican Platform, p.43</w:t>
      </w:r>
    </w:p>
    <w:p w:rsidR="00A31137" w:rsidRPr="00A31137" w:rsidRDefault="00A31137" w:rsidP="00A31137">
      <w:r w:rsidRPr="00A31137">
        <w:t>Resource access will assume an important place in defense and economic planning under a Republican Administration. Since America's allies are, in most cases, more dependent than the U.S. on foreign sources of energy and raw materials, they too have a vital interest in the defense of their access to these critical resources. Republicans pledge to promote allied defense cooperation to assure protection from military threats to overseas resources.</w:t>
      </w:r>
    </w:p>
    <w:p w:rsidR="00A31137" w:rsidRPr="00A31137" w:rsidRDefault="00A31137" w:rsidP="00A31137">
      <w:r w:rsidRPr="00A31137">
        <w:t>Fullilove v. Klutznick, 1980</w:t>
      </w:r>
    </w:p>
    <w:p w:rsidR="00A31137" w:rsidRPr="00A31137" w:rsidRDefault="00A31137" w:rsidP="00A31137">
      <w:r w:rsidRPr="00A31137">
        <w:t>Title:</w:t>
      </w:r>
      <w:r w:rsidRPr="00A31137">
        <w:tab/>
        <w:t>Fullilove v. Klutznick</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Decided July 2, 1980</w:t>
      </w:r>
    </w:p>
    <w:p w:rsidR="00A31137" w:rsidRPr="00A31137" w:rsidRDefault="00A31137" w:rsidP="00A31137">
      <w:r w:rsidRPr="00A31137">
        <w:t>Source:</w:t>
      </w:r>
      <w:r w:rsidRPr="00A31137">
        <w:tab/>
        <w:t>448 U.S. 448</w:t>
      </w:r>
    </w:p>
    <w:p w:rsidR="00A31137" w:rsidRPr="00A31137" w:rsidRDefault="00A31137" w:rsidP="00A31137">
      <w:r w:rsidRPr="00A31137">
        <w:t>This case was argued November 27, 1979, and was decided Decided July 2, 1980.</w:t>
      </w:r>
    </w:p>
    <w:p w:rsidR="00A31137" w:rsidRPr="00A31137" w:rsidRDefault="00A31137" w:rsidP="00A31137">
      <w:r w:rsidRPr="00A31137">
        <w:t>CERTIORARI TO THE UNITED STATES COURT OF APPEALS</w:t>
      </w:r>
    </w:p>
    <w:p w:rsidR="00A31137" w:rsidRPr="00A31137" w:rsidRDefault="00A31137" w:rsidP="00A31137">
      <w:r w:rsidRPr="00A31137">
        <w:t>FOR THE SECOND CIRCUIT</w:t>
      </w:r>
    </w:p>
    <w:p w:rsidR="00A31137" w:rsidRPr="00A31137" w:rsidRDefault="00A31137" w:rsidP="00A31137">
      <w:r w:rsidRPr="00A31137">
        <w:t>Syllabus</w:t>
      </w:r>
    </w:p>
    <w:p w:rsidR="00A31137" w:rsidRPr="00A31137" w:rsidRDefault="00A31137" w:rsidP="00A31137">
      <w:r w:rsidRPr="00A31137">
        <w:t>1980, Fullilove v. Klutznick, 448 U.S. 448</w:t>
      </w:r>
    </w:p>
    <w:p w:rsidR="00A31137" w:rsidRPr="00A31137" w:rsidRDefault="00A31137" w:rsidP="00A31137">
      <w:r w:rsidRPr="00A31137">
        <w:t>The "minority business enterprise" (MBE) provision of the Public Works Employment Act of 1977 (1977 Act) requires that, absent an administrative waiver, at least 10% of federal funds granted for local public works projects must be used by the state or local grantee to procure services or supplies from businesses owned by minority group members, defined as United States citizens "who are Negroes, Spanish-speaking, Orientals, Indians, Eskimos, and Aleuts." Under implementing regulations and guidelines, grantees and their private prime contractors are required, to the extent feasible, in fulfilling the 10% MBE requirement, to seek out all available, qualified, bona fide MBE's, to provide technical assistance as needed, to lower or waive bonding requirements where feasible, to solicit the aid of the Office of Minority Business Enterprise, the Small Business Administration, or other sources for assisting MBE's in obtaining required working capital, and to give guidance through the intricacies of the bidding process. The administrative program, which recognizes that contracts will be awarded to bona fide MBE's even though they are not the lowest bidders if their bids reflect merely attempts to cover costs inflated by the present effects of prior disadvantage and discrimination, provides for handling grantee applications for administrative waiver of the 10% MBE requirement on a case-by-case basis if infeasibility is demonstrated by a showing that, despite affirmative efforts, such level of participation cannot be achieved without departing from the program's objectives. The program also provides an administrative mechanism to ensure that only bona fide MBE's are encompassed by the program, and to prevent unjust participation by minority firms whose access to public contracting opportunities is not impaired by the effects of prior discrimination.</w:t>
      </w:r>
    </w:p>
    <w:p w:rsidR="00A31137" w:rsidRPr="00A31137" w:rsidRDefault="00A31137" w:rsidP="00A31137">
      <w:r w:rsidRPr="00A31137">
        <w:t>1980, Fullilove v. Klutznick, 448 U.S. 448</w:t>
      </w:r>
    </w:p>
    <w:p w:rsidR="00A31137" w:rsidRPr="00A31137" w:rsidRDefault="00A31137" w:rsidP="00A31137">
      <w:r w:rsidRPr="00A31137">
        <w:t>Petitioners, several associations of construction contractors and subcontractors and a firm engaged in heating, ventilation, and air conditioning work, filed suit for declaratory and injunctive relief in Federal District Court, alleging that they had sustained economic injury due to enforcement of the MBE requirement, and that the MBE provision, on its face, violated, inter alia, the Equal Protection Clause of the Fourteenth [448 U.S. 449] Amendment and the equal protection component of the Due Process Clause of the Fifth Amendment. The District Court upheld the validity of the MBE program, and the Court of Appeals affirmed.</w:t>
      </w:r>
    </w:p>
    <w:p w:rsidR="00A31137" w:rsidRPr="00A31137" w:rsidRDefault="00A31137" w:rsidP="00A31137">
      <w:r w:rsidRPr="00A31137">
        <w:t>1980, Fullilove v. Klutznick, 448 U.S. 449</w:t>
      </w:r>
    </w:p>
    <w:p w:rsidR="00A31137" w:rsidRPr="00A31137" w:rsidRDefault="00A31137" w:rsidP="00A31137">
      <w:r w:rsidRPr="00A31137">
        <w:t>Held: The judgment is affirmed. Pp.  456-492; 517-522.</w:t>
      </w:r>
    </w:p>
    <w:p w:rsidR="00A31137" w:rsidRPr="00A31137" w:rsidRDefault="00A31137" w:rsidP="00A31137">
      <w:r w:rsidRPr="00A31137">
        <w:t>1980, Fullilove v. Klutznick, 448 U.S. 449</w:t>
      </w:r>
    </w:p>
    <w:p w:rsidR="00A31137" w:rsidRPr="00A31137" w:rsidRDefault="00A31137" w:rsidP="00A31137">
      <w:r w:rsidRPr="00A31137">
        <w:t>584 F.2d 600, affirmed.</w:t>
      </w:r>
    </w:p>
    <w:p w:rsidR="00A31137" w:rsidRPr="00A31137" w:rsidRDefault="00A31137" w:rsidP="00A31137">
      <w:r w:rsidRPr="00A31137">
        <w:t>1980, Fullilove v. Klutznick, 448 U.S. 449</w:t>
      </w:r>
    </w:p>
    <w:p w:rsidR="00A31137" w:rsidRPr="00A31137" w:rsidRDefault="00A31137" w:rsidP="00A31137">
      <w:r w:rsidRPr="00A31137">
        <w:t>MR. CHIEF .JUSTICE BURGER, joined by MR. JUSTICE WHITE and MR. JUSTICE POWELL, concluded that the MBE provision of the 1977 Act, on its face, does not violate the Constitution. Pp.  456-492.</w:t>
      </w:r>
    </w:p>
    <w:p w:rsidR="00A31137" w:rsidRPr="00A31137" w:rsidRDefault="00A31137" w:rsidP="00A31137">
      <w:r w:rsidRPr="00A31137">
        <w:t>1980, Fullilove v. Klutznick, 448 U.S. 449</w:t>
      </w:r>
    </w:p>
    <w:p w:rsidR="00A31137" w:rsidRPr="00A31137" w:rsidRDefault="00A31137" w:rsidP="00A31137">
      <w:r w:rsidRPr="00A31137">
        <w:t>(a) Viewed against the legislative and administrative background of the 1977 Act, the legislative objectives of the MBE provision and of the administrative program thereunder were to ensure—without mandating the allocation of federal funds according to inflexible percentages solely based on race or ethnicity—that, to the extent federal funds were granted under the 1977 Act, grantees who elected to participate would not employ procurement practices that Congress had decided might result in perpetuation of the effects of prior discrimination which had impaired or foreclosed access by minority businesses to public contracting opportunities. Pp.  456-472.</w:t>
      </w:r>
    </w:p>
    <w:p w:rsidR="00A31137" w:rsidRPr="00A31137" w:rsidRDefault="00A31137" w:rsidP="00A31137">
      <w:r w:rsidRPr="00A31137">
        <w:t>1980, Fullilove v. Klutznick, 448 U.S. 449</w:t>
      </w:r>
    </w:p>
    <w:p w:rsidR="00A31137" w:rsidRPr="00A31137" w:rsidRDefault="00A31137" w:rsidP="00A31137">
      <w:r w:rsidRPr="00A31137">
        <w:t>(b) In considering the constitutionality of the MBE provision, it first must be determined whether the objectives of the legislation are within Congress' power. Pp.  472-480.</w:t>
      </w:r>
    </w:p>
    <w:p w:rsidR="00A31137" w:rsidRPr="00A31137" w:rsidRDefault="00A31137" w:rsidP="00A31137">
      <w:r w:rsidRPr="00A31137">
        <w:t>1980, Fullilove v. Klutznick, 448 U.S. 449</w:t>
      </w:r>
    </w:p>
    <w:p w:rsidR="00A31137" w:rsidRPr="00A31137" w:rsidRDefault="00A31137" w:rsidP="00A31137">
      <w:r w:rsidRPr="00A31137">
        <w:t>(i) The 1977 Act, as primarily an exercise of Congress' Spending Power under Art. I, § 8, cl. 1, "to provide for the…general Welfare," conditions receipt of federal moneys upon the receipt's compliance with federal statutory and administrative directives. Since the reach of the Spending Power is at least as broad as Congress' regulatory powers, if Congress, pursuant to its regulatory powers, could have achieved the objectives of the MBE program, then it may do so under the Spending Power. Pp.  473-475</w:t>
      </w:r>
    </w:p>
    <w:p w:rsidR="00A31137" w:rsidRPr="00A31137" w:rsidRDefault="00A31137" w:rsidP="00A31137">
      <w:r w:rsidRPr="00A31137">
        <w:t>1980, Fullilove v. Klutznick, 448 U.S. 449</w:t>
      </w:r>
    </w:p>
    <w:p w:rsidR="00A31137" w:rsidRPr="00A31137" w:rsidRDefault="00A31137" w:rsidP="00A31137">
      <w:r w:rsidRPr="00A31137">
        <w:t>(ii) Insofar as the MBE program pertains to the actions of private prime contractors, including those not responsible for any violation of antidiscrimination laws, Congress could have achieved its objectives under the Commerce Clause. The legislative history shows that there was a rational basis for Congress to conclude that the subcontracting practices of prime contractors could perpetuate the prevailing impaired access by minority businesses to public contracting opportunities, and that this inequity has an effect on interstate commerce. Pp.  475-476.</w:t>
      </w:r>
    </w:p>
    <w:p w:rsidR="00A31137" w:rsidRPr="00A31137" w:rsidRDefault="00A31137" w:rsidP="00A31137">
      <w:r w:rsidRPr="00A31137">
        <w:t>1980, Fullilove v. Klutznick, 448 U.S. 449</w:t>
      </w:r>
    </w:p>
    <w:p w:rsidR="00A31137" w:rsidRPr="00A31137" w:rsidRDefault="00A31137" w:rsidP="00A31137">
      <w:r w:rsidRPr="00A31137">
        <w:t>(iii) Insofar as the MBE program pertains to the actions of state and local grantees, Congress could have achieved its objectives by use of its power under § 5 of the Fourteenth Amendment "to enforce, by appropriate legislation" the equal protection guarantee of that Amendment. Congress had abundant historical basis from which it could conclude [448 U.S. 450] that traditional procurement practices, when applied to minority businesses, could perpetuate the effects of prior discrimination, and that the prospective elimination of such barriers to minority-firm access to public contracting opportunities was appropriate to ensure that those businesses were not denied equal opportunity to participate in federal grants to state and local governments, which is one aspect of the equal protection of the laws. Cf., e.g., Katzenbach v. Morgan, 384 U.S. 641; Oregon v. Mitchell, 400 U.S. 112. Pp.  476-478.</w:t>
      </w:r>
    </w:p>
    <w:p w:rsidR="00A31137" w:rsidRPr="00A31137" w:rsidRDefault="00A31137" w:rsidP="00A31137">
      <w:r w:rsidRPr="00A31137">
        <w:t>1980, Fullilove v. Klutznick, 448 U.S. 450</w:t>
      </w:r>
    </w:p>
    <w:p w:rsidR="00A31137" w:rsidRPr="00A31137" w:rsidRDefault="00A31137" w:rsidP="00A31137">
      <w:r w:rsidRPr="00A31137">
        <w:t>(iv) Thus, the objectives of the MBE provision are within the scope of Congress' Spending Power. Cf. Lau v. Nichols, 414 U.S. 563. Pp.  479-480.</w:t>
      </w:r>
    </w:p>
    <w:p w:rsidR="00A31137" w:rsidRPr="00A31137" w:rsidRDefault="00A31137" w:rsidP="00A31137">
      <w:r w:rsidRPr="00A31137">
        <w:t>1980, Fullilove v. Klutznick, 448 U.S. 450</w:t>
      </w:r>
    </w:p>
    <w:p w:rsidR="00A31137" w:rsidRPr="00A31137" w:rsidRDefault="00A31137" w:rsidP="00A31137">
      <w:r w:rsidRPr="00A31137">
        <w:t>(c) Congress' use here of racial and ethnic criteria as a condition attached to a federal grant is a valid means to accomplish its constitutional objectives, and the MBE provision, on its face, does not violate the equal protection component of the Due Process Clause of the Fifth Amendment. Pp.  480-492.</w:t>
      </w:r>
    </w:p>
    <w:p w:rsidR="00A31137" w:rsidRPr="00A31137" w:rsidRDefault="00A31137" w:rsidP="00A31137">
      <w:r w:rsidRPr="00A31137">
        <w:t>1980, Fullilove v. Klutznick, 448 U.S. 450</w:t>
      </w:r>
    </w:p>
    <w:p w:rsidR="00A31137" w:rsidRPr="00A31137" w:rsidRDefault="00A31137" w:rsidP="00A31137">
      <w:r w:rsidRPr="00A31137">
        <w:t>(i) In the MBE program's remedial context, there is no requirement that Congress act in a wholly "color-blind" fashion. Cf., e.g., Swann v. Charlotte-Mecklenberg Board of Education, 402 U.S. l; McDaniel v. Barresi, 402 U.S. 39; North Carolina Board of Education v. Swann, 402 U.S. 43. Pp.  482-484.</w:t>
      </w:r>
    </w:p>
    <w:p w:rsidR="00A31137" w:rsidRPr="00A31137" w:rsidRDefault="00A31137" w:rsidP="00A31137">
      <w:r w:rsidRPr="00A31137">
        <w:t>1980, Fullilove v. Klutznick, 448 U.S. 450</w:t>
      </w:r>
    </w:p>
    <w:p w:rsidR="00A31137" w:rsidRPr="00A31137" w:rsidRDefault="00A31137" w:rsidP="00A31137">
      <w:r w:rsidRPr="00A31137">
        <w:t>(ii) The MBE program is not constitutionally defective because it may disappoint the expectations of access to a portion of government contracting opportunities of nonminority firms who may themselves be innocent of any prior discriminatory actions. When effectuating a limited and properly tailored remedy to cure the effects of prior discrimination, such "a sharing of the burden" by innocent parties is not impermissible. Franks v. Bowman Transportation Co., 424 U.S. 747, 777. Pp.  484-485.</w:t>
      </w:r>
    </w:p>
    <w:p w:rsidR="00A31137" w:rsidRPr="00A31137" w:rsidRDefault="00A31137" w:rsidP="00A31137">
      <w:r w:rsidRPr="00A31137">
        <w:t>1980, Fullilove v. Klutznick, 448 U.S. 450</w:t>
      </w:r>
    </w:p>
    <w:p w:rsidR="00A31137" w:rsidRPr="00A31137" w:rsidRDefault="00A31137" w:rsidP="00A31137">
      <w:r w:rsidRPr="00A31137">
        <w:t xml:space="preserve">(iii) Nor is the MBE program invalid as being underinclusive in that it limits its benefit to specified minority groups, rather than extending its remedial objectives to all businesses whose access to government contracting is impaired by the effects of disadvantage or discrimination. Congress has not sought to give select minority groups a preferred standing in the construction industry, but has embarked on a remedial program to place them on a more equitable footing with respect to public contracting opportunities, and there has been no showing that Congress inadvertently effected an invidious discrimination by excluding from coverage an identifiable minority group that has been the victim of a degree of disadvantage and discrimination equal to or greater than that suffered by the groups encompassed by the MBE program. Pp.  485-486. [448 U.S. 451] </w:t>
      </w:r>
    </w:p>
    <w:p w:rsidR="00A31137" w:rsidRPr="00A31137" w:rsidRDefault="00A31137" w:rsidP="00A31137">
      <w:r w:rsidRPr="00A31137">
        <w:t>1980, Fullilove v. Klutznick, 448 U.S. 451</w:t>
      </w:r>
    </w:p>
    <w:p w:rsidR="00A31137" w:rsidRPr="00A31137" w:rsidRDefault="00A31137" w:rsidP="00A31137">
      <w:r w:rsidRPr="00A31137">
        <w:t>(iv) The contention that the MBE program, on its face, is overinclusive in that it bestows a benefit on businesses identified by racial or ethnic criteria which cannot be justified on the basis of competitive criteria or as a remedy for the present effects of identified prior discrimination is also without merit. The MBE provision, with due account for its administrative program, provides a reasonable assurance that application of racial or ethnic criteria will be narrowly limited to accomplishing Congress' remedial objectives, and that misapplications of the program will be promptly and adequately remedied administratively. In particular, the administrative program provides waiver and exemption procedures to identify and eliminate from participation MBE's who are not "bona fide," or who attempt to exploit the remedial aspects of the program by charging an unreasonable price not attributable to the present effects of past discrimination. Moreover, grantees may obtain a waiver if they demonstrate that their best efforts will not achieve or have not achieved the 10% target for minority firm participation within the limitations of the program's remedial objectives. The MBE provision may be viewed as a pilot project, appropriately limited in extent and duration and subject to reassessment and reevaluation by the Congress prior to any extension or reenactment. Pp.  486-489.</w:t>
      </w:r>
    </w:p>
    <w:p w:rsidR="00A31137" w:rsidRPr="00A31137" w:rsidRDefault="00A31137" w:rsidP="00A31137">
      <w:r w:rsidRPr="00A31137">
        <w:t>1980, Fullilove v. Klutznick, 448 U.S. 451</w:t>
      </w:r>
    </w:p>
    <w:p w:rsidR="00A31137" w:rsidRPr="00A31137" w:rsidRDefault="00A31137" w:rsidP="00A31137">
      <w:r w:rsidRPr="00A31137">
        <w:t>(d) In the continuing effort to achieve the goal of equality of economic opportunity, Congress has latitude to try new techniques such as the limited use of racial and ethnic criteria to accomplish remedial objectives, especially in programs where voluntary cooperation is induced by placing conditions on federal expenditures. When a program narrowly tailored by Congress to achieve its objectives comes under judicial review, it should be upheld if the courts are satisfied that the legislative objectives and projected administration of the program give reasonable assurance that the program will function within constitutional limitations. Pp.  490-492.</w:t>
      </w:r>
    </w:p>
    <w:p w:rsidR="00A31137" w:rsidRPr="00A31137" w:rsidRDefault="00A31137" w:rsidP="00A31137">
      <w:r w:rsidRPr="00A31137">
        <w:t>1980, Fullilove v. Klutznick, 448 U.S. 451</w:t>
      </w:r>
    </w:p>
    <w:p w:rsidR="00A31137" w:rsidRPr="00A31137" w:rsidRDefault="00A31137" w:rsidP="00A31137">
      <w:r w:rsidRPr="00A31137">
        <w:t>MR. JUSTICE MARSHALL, joined by MR. JUSTICE BRENNAN and MR. JUSTICE BLACKMUN, concurring in the judgment, concluded that the proper inquiry for determining the constitutionality of racial classifications that provide benefits to minorities for the purpose of remedying the present effects of past racial discrimination is whether the classifications serve important governmental objectives and are substantially related to achievement of those objectives, University of California Regents v. Bakke, 438 U.S. 265,  359 (opinion of BRENNAN, WHITE, MARSHALL, and BLACKMUN, JJ., concurring in judgment in part and dissenting in part), and that, judged under this standard, the 10% minority set-aside provision of the 1977 Act is plainly constitutional, the racial classifications being substantially related to the achievement of the important and [448 U.S. 452] congressionally articulated goal of remedying the present effects of past racial discrimination. Pp. 517-521.</w:t>
      </w:r>
    </w:p>
    <w:p w:rsidR="00A31137" w:rsidRPr="00A31137" w:rsidRDefault="00A31137" w:rsidP="00A31137">
      <w:r w:rsidRPr="00A31137">
        <w:t>1980, Fullilove v. Klutznick, 448 U.S. 452</w:t>
      </w:r>
    </w:p>
    <w:p w:rsidR="00A31137" w:rsidRPr="00A31137" w:rsidRDefault="00A31137" w:rsidP="00A31137">
      <w:r w:rsidRPr="00A31137">
        <w:t xml:space="preserve">BURGER, C.J., announced the judgment of the Court and delivered an opinion, in which WHITE and POWELL, JJ., joined. POWELL, J., filed a concurring opinion, post, p.  495. MARSHALL, J., filed an opinion concurring in the judgment, in which BRENNAN and BLACKMUN, J.J., joined, post p.  517. STEWART, J., filed a dissenting opinion, in which REHNQUIST, J., joined, post, p.  522. STEVENS, J., filed a dissenting opinion, post, p.  532. [448 U.S. 453] </w:t>
      </w:r>
    </w:p>
    <w:p w:rsidR="00A31137" w:rsidRPr="00A31137" w:rsidRDefault="00A31137" w:rsidP="00A31137">
      <w:r w:rsidRPr="00A31137">
        <w:t>BURGER, J., lead opinion</w:t>
      </w:r>
    </w:p>
    <w:p w:rsidR="00A31137" w:rsidRPr="00A31137" w:rsidRDefault="00A31137" w:rsidP="00A31137">
      <w:r w:rsidRPr="00A31137">
        <w:t>1980, Fullilove v. Klutznick, 448 U.S. 453</w:t>
      </w:r>
    </w:p>
    <w:p w:rsidR="00A31137" w:rsidRPr="00A31137" w:rsidRDefault="00A31137" w:rsidP="00A31137">
      <w:r w:rsidRPr="00A31137">
        <w:t>MR. CHIEF JUSTICE BURGER announced the judgment of the Court and delivered an opinion, in which MR. JUSTICE WHITE and MR. JUSTICE POWELL joined.</w:t>
      </w:r>
    </w:p>
    <w:p w:rsidR="00A31137" w:rsidRPr="00A31137" w:rsidRDefault="00A31137" w:rsidP="00A31137">
      <w:r w:rsidRPr="00A31137">
        <w:t>1980, Fullilove v. Klutznick, 448 U.S. 453</w:t>
      </w:r>
    </w:p>
    <w:p w:rsidR="00A31137" w:rsidRPr="00A31137" w:rsidRDefault="00A31137" w:rsidP="00A31137">
      <w:r w:rsidRPr="00A31137">
        <w:t>We granted certiorari to consider a facial constitutional challenge to a requirement in a congressional spending program that, absent an administrative waiver, 10% of the federal funds granted for local public works projects must be used by the state or local grantee to procure services or supplies from businesses owned and controlled by members of statutorily identified minority groups. 441 U.S. 960 (1979).</w:t>
      </w:r>
    </w:p>
    <w:p w:rsidR="00A31137" w:rsidRPr="00A31137" w:rsidRDefault="00A31137" w:rsidP="00A31137">
      <w:r w:rsidRPr="00A31137">
        <w:t>I</w:t>
      </w:r>
    </w:p>
    <w:p w:rsidR="00A31137" w:rsidRPr="00A31137" w:rsidRDefault="00A31137" w:rsidP="00A31137">
      <w:r w:rsidRPr="00A31137">
        <w:t>1980, Fullilove v. Klutznick, 448 U.S. 453</w:t>
      </w:r>
    </w:p>
    <w:p w:rsidR="00A31137" w:rsidRPr="00A31137" w:rsidRDefault="00A31137" w:rsidP="00A31137">
      <w:r w:rsidRPr="00A31137">
        <w:t>In May, 1977, Congress enacted the Public Works Employment Act of 1977, Pub.L. 928, 91 Stat. 116, which amended the Local Public Works Capital Development and Investment Act of 1976, Pub.L. 9369, 90 Stat. 999, 42 U.S.C. § 6701 et seq. The 1977 amendments authorized an additional $4 billion appropriation for federal grants to be made by the Secretary of Commerce, acting through the Economic Development Administration (EDA), to state and local governmental entities for use in local public works projects. Among the changes made was the addition of the provision that has [448 U.S. 454] become the focus of this litigation. Section 103(f)(2) of the 1977 Act, referred to as the "minority business enterprise" or "MBE" provision, requires that: 1</w:t>
      </w:r>
    </w:p>
    <w:p w:rsidR="00A31137" w:rsidRPr="00A31137" w:rsidRDefault="00A31137" w:rsidP="00A31137">
      <w:r w:rsidRPr="00A31137">
        <w:t>1980, Fullilove v. Klutznick, 448 U.S. 454</w:t>
      </w:r>
    </w:p>
    <w:p w:rsidR="00A31137" w:rsidRPr="00A31137" w:rsidRDefault="00A31137" w:rsidP="00A31137">
      <w:r w:rsidRPr="00A31137">
        <w:t>Except to the extent that the Secretary determines otherwise, no grant shall be made under this Act for any local public works project unless the applicant gives satisfactory assurance to the Secretary that at least 10 per centum of the amount of each grant shall be expended for minority business enterprises. For purposes of this paragraph, the term "minority business enterprise" means a business at least 50 per centum of which is owned by minority group members or, in case of a publicly owned business, at least 51 per centum of the stock of which is owned by minority group members. For the purposes of the preceding sentence, minority group members are citizens of the United States who are Negroes, Spanish-speaking, Orientals, Indians, Eskimos, and Aleuts.</w:t>
      </w:r>
    </w:p>
    <w:p w:rsidR="00A31137" w:rsidRPr="00A31137" w:rsidRDefault="00A31137" w:rsidP="00A31137">
      <w:r w:rsidRPr="00A31137">
        <w:t>1980, Fullilove v. Klutznick, 448 U.S. 454</w:t>
      </w:r>
    </w:p>
    <w:p w:rsidR="00A31137" w:rsidRPr="00A31137" w:rsidRDefault="00A31137" w:rsidP="00A31137">
      <w:r w:rsidRPr="00A31137">
        <w:t xml:space="preserve">In late May, 1977, the Secretary promulgated regulations governing administration of the grant program which were amended two months later. 2 In August, 1977, the EDA issued guidelines supplementing the statute and regulations with respect to minority business participation in local public works grants, 3 and in October, 1977, the EDA issued a technical bulletin promulgating detailed instructions and information to assist grantees and their contractors in meeting the 10% MBE requirement. 4 [448 U.S. 455] </w:t>
      </w:r>
    </w:p>
    <w:p w:rsidR="00A31137" w:rsidRPr="00A31137" w:rsidRDefault="00A31137" w:rsidP="00A31137">
      <w:r w:rsidRPr="00A31137">
        <w:t>1980, Fullilove v. Klutznick, 448 U.S. 455</w:t>
      </w:r>
    </w:p>
    <w:p w:rsidR="00A31137" w:rsidRPr="00A31137" w:rsidRDefault="00A31137" w:rsidP="00A31137">
      <w:r w:rsidRPr="00A31137">
        <w:t>On November 30, 1977, petitioners filed a complaint in the United States District Court for the Southern District of New York seeking declaratory and injunctive relief to enjoin enforcement of the MBE provision. Named as defendants were the Secretary of Commerce, as the program administrator, and the State and City of New York, as actual and potential project grantees. Petitioners are several associations of construction contractors and subcontractors, and a firm engaged in heating, ventilation, and air conditioning work. Their complaint alleged that they had sustained economic injury due to enforcement of the 10% MBE requirement, and that the MBE provision, on its face, violated the Equal Protection Clause of the Fourteenth Amendment, the equal protection component of the Due Process Clause of the Fifth Amendment, and various statutory antidiscrimination provisions. 5</w:t>
      </w:r>
    </w:p>
    <w:p w:rsidR="00A31137" w:rsidRPr="00A31137" w:rsidRDefault="00A31137" w:rsidP="00A31137">
      <w:r w:rsidRPr="00A31137">
        <w:t>1980, Fullilove v. Klutznick, 448 U.S. 455</w:t>
      </w:r>
    </w:p>
    <w:p w:rsidR="00A31137" w:rsidRPr="00A31137" w:rsidRDefault="00A31137" w:rsidP="00A31137">
      <w:r w:rsidRPr="00A31137">
        <w:t>After a hearing held the day the complaint was filed, the District Court denied a requested temporary restraining order and scheduled the matter for an expedited hearing on the merits. On December 19, 1977, the District Court issued a memorandum opinion upholding the validity of the MBE program and denying the injunctive relief sought. Fullilove v. Kreps, 443 F.Supp. 253 (1977).</w:t>
      </w:r>
    </w:p>
    <w:p w:rsidR="00A31137" w:rsidRPr="00A31137" w:rsidRDefault="00A31137" w:rsidP="00A31137">
      <w:r w:rsidRPr="00A31137">
        <w:t>1980, Fullilove v. Klutznick, 448 U.S. 455</w:t>
      </w:r>
    </w:p>
    <w:p w:rsidR="00A31137" w:rsidRPr="00A31137" w:rsidRDefault="00A31137" w:rsidP="00A31137">
      <w:r w:rsidRPr="00A31137">
        <w:t>The United States Court of Appeals for the Second Circuit affirmed, 584 F.2d 600 (1978), holding that, "even under the most exacting standard of review, the MBE provision passes constitutional muster." Id. at 603. Considered in the context of many years of governmental efforts to remedy past racial and ethnic discrimination, the court found it [448 U.S. 456] "difficult to imagine" any purpose for the program other than to remedy such discrimination. Id. at 605. In its view, a number of factors contributed to the legitimacy of the MBE provision, most significant of which was the narrowed focus and limited extent of the statutory and administrative program, in size, impact, and duration, id. at 607-608; the court looked also to the holdings of other Courts of Appeals and District Courts that the MBE program was constitutional, id. at 608-609. 6 It expressly rejected petitioners' contention that the 10% MBE requirement violated the equal protection guarantees of the Constitution. 7 Id. at 609.</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1980, Fullilove v. Klutznick, 448 U.S. 456</w:t>
      </w:r>
    </w:p>
    <w:p w:rsidR="00A31137" w:rsidRPr="00A31137" w:rsidRDefault="00A31137" w:rsidP="00A31137">
      <w:r w:rsidRPr="00A31137">
        <w:t>The MBE provision was enacted as part of the Public Works Employment Act of 1977, which made various amendments to Title I of the Local Public Works Capital Development and Investment Act of 1976. The 1976 Act was intended [448 U.S. 457] as a short-term measure to alleviate the problem of national unemployment and to stimulate the national economy by assisting state and local governments to build needed public facilities. 8 To accomplish these objectives, the Congress authorized the Secretary of Commerce, acting through the EDA, to make grants to state and local governments for construction, renovation, repair, or other improvement of local public works projects. 9 The 1976 Act placed a number of restrictions on project eligibility designed to assure that federal moneys were targeted to accomplish the legislative purposes. 10 It established criteria to determine grant priorities and to apportion federal funds among political jurisdictions. 11 Those criteria directed grant funds toward areas of high unemployment. 12 The statute authorized the appropriation of up to $2 billion for a period ending in September, 1977; 13 this appropriation was soon consumed by grants made under the program.</w:t>
      </w:r>
    </w:p>
    <w:p w:rsidR="00A31137" w:rsidRPr="00A31137" w:rsidRDefault="00A31137" w:rsidP="00A31137">
      <w:r w:rsidRPr="00A31137">
        <w:t>1980, Fullilove v. Klutznick, 448 U.S. 457</w:t>
      </w:r>
    </w:p>
    <w:p w:rsidR="00A31137" w:rsidRPr="00A31137" w:rsidRDefault="00A31137" w:rsidP="00A31137">
      <w:r w:rsidRPr="00A31137">
        <w:t>Early in 1977, Congress began consideration of expanded appropriations and amendments to the grant program. Under administration of the 1976 appropriation, referred to as "Round I" of the local public works program, applicants seeking some $25 billion in grants had competed for the $2 billion in available funds; of nearly 25,000 applications, only some 2,000 were granted. 14 The results provoked widespread [448 U.S. 458] concern for the fairness of the allocation process. 15 Because the 1977 Act would authorize the appropriation of an additional $4 billion to fund "Round II" of the grant program, 16 the congressional hearings and debates concerning the amendment focused primarily on the politically sensitive problems of priority and geographic distribution of grants under the supplemental appropriation. 17 The result of this attention was inclusion in the 1977 Act of provisions revising the allocation criteria of the 1976 legislation. Those provisions, however, retained the underlying objective to direct funds into areas of high unemployment. 18 The 1977 Act also added new restrictions on applicants seeking to qualify for federal grants; 19 among these was the MBE provision.</w:t>
      </w:r>
    </w:p>
    <w:p w:rsidR="00A31137" w:rsidRPr="00A31137" w:rsidRDefault="00A31137" w:rsidP="00A31137">
      <w:r w:rsidRPr="00A31137">
        <w:t>1980, Fullilove v. Klutznick, 448 U.S. 458</w:t>
      </w:r>
    </w:p>
    <w:p w:rsidR="00A31137" w:rsidRPr="00A31137" w:rsidRDefault="00A31137" w:rsidP="00A31137">
      <w:r w:rsidRPr="00A31137">
        <w:t>The origin of the provision was an amendment to the House version of the 1977 Act, H.R. 11, offered on the floor of the House on February 23, 1977, by Representative Mitchell of Maryland. 20 As offered, the amendment provided: 21</w:t>
      </w:r>
    </w:p>
    <w:p w:rsidR="00A31137" w:rsidRPr="00A31137" w:rsidRDefault="00A31137" w:rsidP="00A31137">
      <w:r w:rsidRPr="00A31137">
        <w:t>1980, Fullilove v. Klutznick, 448 U.S. 458</w:t>
      </w:r>
    </w:p>
    <w:p w:rsidR="00A31137" w:rsidRPr="00A31137" w:rsidRDefault="00A31137" w:rsidP="00A31137">
      <w:r w:rsidRPr="00A31137">
        <w:t>Notwithstanding any other provision of law, no grant shall be made under this Act for any local public works project unless at least 10 per centum of the articles, materials, and supplies which will be used in such project are procured from minority business enterprises. For purposes of this paragraph, the term "minority business [448 U.S. 459] enterprise" means a business at least 50 percent of which is owned by minority group members or, in case of publicly owned businesses, at least 51 percent of the stock of which is owned by minority group members. For the purposes of the preceding sentence, minority group members are citizens of the United States who are Negroes, Spanish-speaking, Orientals, Indians, Eskimos, and Aleuts.</w:t>
      </w:r>
    </w:p>
    <w:p w:rsidR="00A31137" w:rsidRPr="00A31137" w:rsidRDefault="00A31137" w:rsidP="00A31137">
      <w:r w:rsidRPr="00A31137">
        <w:t>1980, Fullilove v. Klutznick, 448 U.S. 459</w:t>
      </w:r>
    </w:p>
    <w:p w:rsidR="00A31137" w:rsidRPr="00A31137" w:rsidRDefault="00A31137" w:rsidP="00A31137">
      <w:r w:rsidRPr="00A31137">
        <w:t>The sponsor stated that the objective of the amendment was to direct funds into the minority business community, a sector of the economy sorely in need of economic stimulus but which, on the basis of past experience with Government procurement programs, could not be expected to benefit significantly from the public works program as then formulated. 22 He cited the marked statistical disparity that, in fiscal year 1976 less than 1% of all federal procurement was concluded with minority business enterprises, although minorities comprised 15-18% of the population. 23 When the amendment was put forward during debate on H.R. 11, 24 Representative Mitchell reiterated the need to ensure that minority firms would obtain a fair opportunity to share in the benefits of this Government program. 25</w:t>
      </w:r>
    </w:p>
    <w:p w:rsidR="00A31137" w:rsidRPr="00A31137" w:rsidRDefault="00A31137" w:rsidP="00A31137">
      <w:r w:rsidRPr="00A31137">
        <w:t>1980, Fullilove v. Klutznick, 448 U.S. 459</w:t>
      </w:r>
    </w:p>
    <w:p w:rsidR="00A31137" w:rsidRPr="00A31137" w:rsidRDefault="00A31137" w:rsidP="00A31137">
      <w:r w:rsidRPr="00A31137">
        <w:t>The amendment was put forward not as a new concept, but rather one building upon prior administrative practice. [448 U.S. 460] In his introductory remarks, the sponsor rested his proposal squarely on the ongoing program under § 8(a) of the Small Business Act, Pub.L. 85-536, § 2, 72 Stat. 389, which, as will become evident, served as a model for the administrative program developed to enforce the MBE provision: 26</w:t>
      </w:r>
    </w:p>
    <w:p w:rsidR="00A31137" w:rsidRPr="00A31137" w:rsidRDefault="00A31137" w:rsidP="00A31137">
      <w:r w:rsidRPr="00A31137">
        <w:t>1980, Fullilove v. Klutznick, 448 U.S. 460</w:t>
      </w:r>
    </w:p>
    <w:p w:rsidR="00A31137" w:rsidRPr="00A31137" w:rsidRDefault="00A31137" w:rsidP="00A31137">
      <w:r w:rsidRPr="00A31137">
        <w:t>The first point in opposition will be that you cannot have a set-aside. Well, Madam Chairman, we have been doing this for the last 10 years in Government. The 8-A set-aside under SBA has been tested in the courts more than 30 times and has been found to be legitimate and bona fide. We are doing it in this bill.</w:t>
      </w:r>
    </w:p>
    <w:p w:rsidR="00A31137" w:rsidRPr="00A31137" w:rsidRDefault="00A31137" w:rsidP="00A31137">
      <w:r w:rsidRPr="00A31137">
        <w:t>1980, Fullilove v. Klutznick, 448 U.S. 460</w:t>
      </w:r>
    </w:p>
    <w:p w:rsidR="00A31137" w:rsidRPr="00A31137" w:rsidRDefault="00A31137" w:rsidP="00A31137">
      <w:r w:rsidRPr="00A31137">
        <w:t>Although the proposed MBE provision, on its face, appeared mandatory, requiring compliance with the 10% minority participation requirement "[n]otwithstanding any other provision of law," its sponsor gave assurances that existing administrative practice would ensure flexibility in administration if, with respect to a particular project, compliance with the 10% requirement proved infeasible. 27</w:t>
      </w:r>
    </w:p>
    <w:p w:rsidR="00A31137" w:rsidRPr="00A31137" w:rsidRDefault="00A31137" w:rsidP="00A31137">
      <w:r w:rsidRPr="00A31137">
        <w:t>1980, Fullilove v. Klutznick, 448 U.S. 460</w:t>
      </w:r>
    </w:p>
    <w:p w:rsidR="00A31137" w:rsidRPr="00A31137" w:rsidRDefault="00A31137" w:rsidP="00A31137">
      <w:r w:rsidRPr="00A31137">
        <w:t>Representative Roe of New Jersey then suggested a change of language expressing the twin intentions (1) that the federal administrator would have discretion to waive the 10% requirement where its application was not feasible, and (2) that the grantee would be mandated to achieve at least 10% participation by minority businesses unless infeasibility was demonstrated. 28 He proposed as a substitute for the first sentence of the amendment the language that eventually was enacted: 29</w:t>
      </w:r>
    </w:p>
    <w:p w:rsidR="00A31137" w:rsidRPr="00A31137" w:rsidRDefault="00A31137" w:rsidP="00A31137">
      <w:r w:rsidRPr="00A31137">
        <w:t>1980, Fullilove v. Klutznick, 448 U.S. 460</w:t>
      </w:r>
    </w:p>
    <w:p w:rsidR="00A31137" w:rsidRPr="00A31137" w:rsidRDefault="00A31137" w:rsidP="00A31137">
      <w:r w:rsidRPr="00A31137">
        <w:t>Except to the extent that the Secretary determines otherwise, no grant shall be made under this Act for any local public works project unless the applicant gives satisfactory assurance to the Secretary that at least 10 percent [448 U.S. 461] of the amount of each grant shall be expended for minority business enterprises.</w:t>
      </w:r>
    </w:p>
    <w:p w:rsidR="00A31137" w:rsidRPr="00A31137" w:rsidRDefault="00A31137" w:rsidP="00A31137">
      <w:r w:rsidRPr="00A31137">
        <w:t>1980, Fullilove v. Klutznick, 448 U.S. 461</w:t>
      </w:r>
    </w:p>
    <w:p w:rsidR="00A31137" w:rsidRPr="00A31137" w:rsidRDefault="00A31137" w:rsidP="00A31137">
      <w:r w:rsidRPr="00A31137">
        <w:t>The sponsor fully accepted the suggested clarification because it retained the directive that the initial burden of compliance would fall on the grantee. That allocation of burden was necessary because, as he put it,</w:t>
      </w:r>
    </w:p>
    <w:p w:rsidR="00A31137" w:rsidRPr="00A31137" w:rsidRDefault="00A31137" w:rsidP="00A31137">
      <w:r w:rsidRPr="00A31137">
        <w:t>1980, Fullilove v. Klutznick, 448 U.S. 461</w:t>
      </w:r>
    </w:p>
    <w:p w:rsidR="00A31137" w:rsidRPr="00A31137" w:rsidRDefault="00A31137" w:rsidP="00A31137">
      <w:r w:rsidRPr="00A31137">
        <w:t>every agency of the Government has tried to figure out a way to avoid doing this very thing. Believe me, these bureaucracies can come up with 10,000 ways to avoid doing it. 30</w:t>
      </w:r>
    </w:p>
    <w:p w:rsidR="00A31137" w:rsidRPr="00A31137" w:rsidRDefault="00A31137" w:rsidP="00A31137">
      <w:r w:rsidRPr="00A31137">
        <w:t>1980, Fullilove v. Klutznick, 448 U.S. 461</w:t>
      </w:r>
    </w:p>
    <w:p w:rsidR="00A31137" w:rsidRPr="00A31137" w:rsidRDefault="00A31137" w:rsidP="00A31137">
      <w:r w:rsidRPr="00A31137">
        <w:t>Other supporters of the MBE amendment echoed the sponsor's concern that a number of factors, difficult to isolate or quantify, seemed to impair access by minority businesses to public contracting opportunities. Representative Conyers of Michigan spoke of the frustration of the existing situation, in which, due to the intricacies of the bidding process and through no fault of their own, minority contractors and businessmen were unable to gain access to government contracting opportunities. 31</w:t>
      </w:r>
    </w:p>
    <w:p w:rsidR="00A31137" w:rsidRPr="00A31137" w:rsidRDefault="00A31137" w:rsidP="00A31137">
      <w:r w:rsidRPr="00A31137">
        <w:t>1980, Fullilove v. Klutznick, 448 U.S. 461</w:t>
      </w:r>
    </w:p>
    <w:p w:rsidR="00A31137" w:rsidRPr="00A31137" w:rsidRDefault="00A31137" w:rsidP="00A31137">
      <w:r w:rsidRPr="00A31137">
        <w:t>Representative Biaggi of New York then spoke to the need for the amendment to "promote a sense of economic equality in this Nation." He expressed the view that, without the amendment, "this legislation may be potentially inequitable to minority businesses and workers" in that it would perpetuate the historic practices that have precluded minority businesses from effective participation in public contracting opportunities. 32 The amendment was accepted by the House. 33</w:t>
      </w:r>
    </w:p>
    <w:p w:rsidR="00A31137" w:rsidRPr="00A31137" w:rsidRDefault="00A31137" w:rsidP="00A31137">
      <w:r w:rsidRPr="00A31137">
        <w:t>1980, Fullilove v. Klutznick, 448 U.S. 461</w:t>
      </w:r>
    </w:p>
    <w:p w:rsidR="00A31137" w:rsidRPr="00A31137" w:rsidRDefault="00A31137" w:rsidP="00A31137">
      <w:r w:rsidRPr="00A31137">
        <w:t>Two weeks later, the Senate considered S. 427, its package of amendments to the Local Public Works Capital Development and Investment Act of 1976. At that time Senator Brooke of Massachusetts introduced an MBE amendment, [448 U.S. 462] worded somewhat differently than the House version, but aimed at achieving the same objectives. 34 His statement in support of the 10% requirement reiterated and summarized the various expressions on the House side that the amendment was necessary to ensure that minority businesses were not deprived of access to the government contracting opportunities generated by the public works program. 35</w:t>
      </w:r>
    </w:p>
    <w:p w:rsidR="00A31137" w:rsidRPr="00A31137" w:rsidRDefault="00A31137" w:rsidP="00A31137">
      <w:r w:rsidRPr="00A31137">
        <w:t>1980, Fullilove v. Klutznick, 448 U.S. 462</w:t>
      </w:r>
    </w:p>
    <w:p w:rsidR="00A31137" w:rsidRPr="00A31137" w:rsidRDefault="00A31137" w:rsidP="00A31137">
      <w:r w:rsidRPr="00A31137">
        <w:t>The Senate adopted the amendment without debate. 36 The Conference Committee, called to resolve differences between the House and Senate versions of the Public Works Employment Act of 1977, adopted the language approved by the House for the MBE provision. 37 The Conference Reports added only the comment: "This provision shall be dependent on the availability of minority business enterprises located in the project area." 38</w:t>
      </w:r>
    </w:p>
    <w:p w:rsidR="00A31137" w:rsidRPr="00A31137" w:rsidRDefault="00A31137" w:rsidP="00A31137">
      <w:r w:rsidRPr="00A31137">
        <w:t>1980, Fullilove v. Klutznick, 448 U.S. 462</w:t>
      </w:r>
    </w:p>
    <w:p w:rsidR="00A31137" w:rsidRPr="00A31137" w:rsidRDefault="00A31137" w:rsidP="00A31137">
      <w:r w:rsidRPr="00A31137">
        <w:t>The device of a 10% MBE participation requirement, subject to administrative waiver, was thought to be required to assure minority business participation; otherwise, it was thought that repetition of the prior experience could be expected, [448 U.S. 463] with participation by minority business accounting for an inordinately small percentage of government contracting. The causes of this disparity were perceived as involving the longstanding existence and maintenance of barriers impairing access by minority enterprises to public contracting opportunities, or sometimes as involving more direct discrimination, but not as relating to lack—as Senator Brooke put it—"of capable and qualified minority enterprises who are ready and willing to work." 39   In the words of its sponsor, the MBE provision was "designed to begin to redress this grievance that has been extant for so long." 40</w:t>
      </w:r>
    </w:p>
    <w:p w:rsidR="00A31137" w:rsidRPr="00A31137" w:rsidRDefault="00A31137" w:rsidP="00A31137">
      <w:r w:rsidRPr="00A31137">
        <w:t>B</w:t>
      </w:r>
    </w:p>
    <w:p w:rsidR="00A31137" w:rsidRPr="00A31137" w:rsidRDefault="00A31137" w:rsidP="00A31137">
      <w:r w:rsidRPr="00A31137">
        <w:t>1980, Fullilove v. Klutznick, 448 U.S. 463</w:t>
      </w:r>
    </w:p>
    <w:p w:rsidR="00A31137" w:rsidRPr="00A31137" w:rsidRDefault="00A31137" w:rsidP="00A31137">
      <w:r w:rsidRPr="00A31137">
        <w:t>The legislative objectives of the MBE provision must be considered against the background of ongoing efforts directed toward deliverance of the century-old promise of equality of economic opportunity. The sponsors of the MBE provision in the House and the Senate expressly linked the provision to the existing administrative programs promoting minority opportunity in government procurement, particularly those related to § 8(a) of the Small Business Act of 1953. 41 Section 8(a) delegates to the Small Business Administration (SBA) an authority and an obligation "whenever it determines such action is necessary" to enter into contracts with any procurement agency of the Federal Government to furnish required goods or services, and, in turn, to enter into subcontracts with small businesses for the performance of such contracts. This authority lay dormant for a decade. Commencing in 1968, however, the SBA was directed by the President 42 to develop a program pursuant to its § 8(a) authority to assist small [448 U.S. 464] business concerns owned and controlled by "socially or economically disadvantaged" persons to achieve a competitive position in the economy.</w:t>
      </w:r>
    </w:p>
    <w:p w:rsidR="00A31137" w:rsidRPr="00A31137" w:rsidRDefault="00A31137" w:rsidP="00A31137">
      <w:r w:rsidRPr="00A31137">
        <w:t>1980, Fullilove v. Klutznick, 448 U.S. 464</w:t>
      </w:r>
    </w:p>
    <w:p w:rsidR="00A31137" w:rsidRPr="00A31137" w:rsidRDefault="00A31137" w:rsidP="00A31137">
      <w:r w:rsidRPr="00A31137">
        <w:t>At the time the MBE provision was enacted, the regulations governing the § 8(a) program defined "social or economic disadvantage" as follows: 43</w:t>
      </w:r>
    </w:p>
    <w:p w:rsidR="00A31137" w:rsidRPr="00A31137" w:rsidRDefault="00A31137" w:rsidP="00A31137">
      <w:r w:rsidRPr="00A31137">
        <w:t>1980, Fullilove v. Klutznick, 448 U.S. 464</w:t>
      </w:r>
    </w:p>
    <w:p w:rsidR="00A31137" w:rsidRPr="00A31137" w:rsidRDefault="00A31137" w:rsidP="00A31137">
      <w:r w:rsidRPr="00A31137">
        <w:t>An applicant concern must be owned and controlled by one or more persons who have been deprived of the opportunity to develop and maintain a competitive position in the economy because of social or economic disadvantage. Such disadvantage may arise from cultural, social, chronic economic circumstances or background, or other similar cause. Such persons include, but are not limited to, black Americans, American Indians, Spanish-Americans, oriental Americans, Eskimos, and Aleuts….</w:t>
      </w:r>
    </w:p>
    <w:p w:rsidR="00A31137" w:rsidRPr="00A31137" w:rsidRDefault="00A31137" w:rsidP="00A31137">
      <w:r w:rsidRPr="00A31137">
        <w:t>1980, Fullilove v. Klutznick, 448 U.S. 464</w:t>
      </w:r>
    </w:p>
    <w:p w:rsidR="00A31137" w:rsidRPr="00A31137" w:rsidRDefault="00A31137" w:rsidP="00A31137">
      <w:r w:rsidRPr="00A31137">
        <w:t xml:space="preserve">The guidelines accompanying these regulations provided that a minority business could not be maintained in the program, even when owned and controlled by members of the identified minority groups, if it appeared that the business had not been deprived of the opportunity to develop and maintain a competitive position in the economy because of social or economic disadvantage. 44 [448 U.S. 465] </w:t>
      </w:r>
    </w:p>
    <w:p w:rsidR="00A31137" w:rsidRPr="00A31137" w:rsidRDefault="00A31137" w:rsidP="00A31137">
      <w:r w:rsidRPr="00A31137">
        <w:t>1980, Fullilove v. Klutznick, 448 U.S. 465</w:t>
      </w:r>
    </w:p>
    <w:p w:rsidR="00A31137" w:rsidRPr="00A31137" w:rsidRDefault="00A31137" w:rsidP="00A31137">
      <w:r w:rsidRPr="00A31137">
        <w:t>As the Congress began consideration of the Public Works Employment Act of 1977, the House Committee on Small Business issued a lengthy Report summarizing its activities, including its evaluation of the ongoing § 8(a) program. 45 One chapter of the Report, entitled "Minority Enterprises and Allied Problems of Small Business," summarized a 1975 Committee Report of the same title dealing with this subject matter. 46 The original Report, prepared by the House Subcommittee on SBA Oversight and Minority Enterprise, observed: 47</w:t>
      </w:r>
    </w:p>
    <w:p w:rsidR="00A31137" w:rsidRPr="00A31137" w:rsidRDefault="00A31137" w:rsidP="00A31137">
      <w:r w:rsidRPr="00A31137">
        <w:t>1980, Fullilove v. Klutznick, 448 U.S. 465</w:t>
      </w:r>
    </w:p>
    <w:p w:rsidR="00A31137" w:rsidRPr="00A31137" w:rsidRDefault="00A31137" w:rsidP="00A31137">
      <w:r w:rsidRPr="00A31137">
        <w:t>The subcommittee is acutely aware that the economic policies of this Nation must function within and be guided by our constitutional system which guarantees "equal protection of the laws." The effects of past inequities stemming from racial prejudice have not remained in the past. The Congress has recognized the reality that past discriminatory practices have, to some degree, adversely affected our present economic system.</w:t>
      </w:r>
    </w:p>
    <w:p w:rsidR="00A31137" w:rsidRPr="00A31137" w:rsidRDefault="00A31137" w:rsidP="00A31137">
      <w:r w:rsidRPr="00A31137">
        <w:t>1980, Fullilove v. Klutznick, 448 U.S. 465</w:t>
      </w:r>
    </w:p>
    <w:p w:rsidR="00A31137" w:rsidRPr="00A31137" w:rsidRDefault="00A31137" w:rsidP="00A31137">
      <w:r w:rsidRPr="00A31137">
        <w:t>While minority persons comprise about 16 percent of the Nation's population, of the 13 million businesses in the United States, only 382,000, or approximately 3.0 percent, are owned by minority individuals. The most recent data from the Department of Commerce also indicates that the gross receipts of all businesses in this country totals about $2,540.8 billion, and, of this amount, only $16.6 billion, or about 0.65 percent was realized by minority business concerns.</w:t>
      </w:r>
    </w:p>
    <w:p w:rsidR="00A31137" w:rsidRPr="00A31137" w:rsidRDefault="00A31137" w:rsidP="00A31137">
      <w:r w:rsidRPr="00A31137">
        <w:t>1980, Fullilove v. Klutznick, 448 U.S. 465</w:t>
      </w:r>
    </w:p>
    <w:p w:rsidR="00A31137" w:rsidRPr="00A31137" w:rsidRDefault="00A31137" w:rsidP="00A31137">
      <w:r w:rsidRPr="00A31137">
        <w:t>These statistics are not the result of random chance. The presumption must be made that past discriminatory systems have resulted in present economic inequities. In order to right this situation, the Congress has formulated certain remedial programs designed to uplift those socially [448 U.S. 466] or economically disadvantaged persons to a level where they may effectively participate in the business mainstream of our economy.*</w:t>
      </w:r>
    </w:p>
    <w:p w:rsidR="00A31137" w:rsidRPr="00A31137" w:rsidRDefault="00A31137" w:rsidP="00A31137">
      <w:r w:rsidRPr="00A31137">
        <w:t>1980, Fullilove v. Klutznick, 448 U.S. 466</w:t>
      </w:r>
    </w:p>
    <w:p w:rsidR="00A31137" w:rsidRPr="00A31137" w:rsidRDefault="00A31137" w:rsidP="00A31137">
      <w:r w:rsidRPr="00A31137">
        <w:t>* For the purposes of this report, the term "minority" shall include only such minority individuals as are considered to be economically or socially disadvantaged. 48</w:t>
      </w:r>
    </w:p>
    <w:p w:rsidR="00A31137" w:rsidRPr="00A31137" w:rsidRDefault="00A31137" w:rsidP="00A31137">
      <w:r w:rsidRPr="00A31137">
        <w:t>1980, Fullilove v. Klutznick, 448 U.S. 466</w:t>
      </w:r>
    </w:p>
    <w:p w:rsidR="00A31137" w:rsidRPr="00A31137" w:rsidRDefault="00A31137" w:rsidP="00A31137">
      <w:r w:rsidRPr="00A31137">
        <w:t>The 1975 Report gave particular attention to the § 8(a) program, expressing disappointment with its limited effectiveness. 49 With specific reference to Government construction contracting, the Report concluded,</w:t>
      </w:r>
    </w:p>
    <w:p w:rsidR="00A31137" w:rsidRPr="00A31137" w:rsidRDefault="00A31137" w:rsidP="00A31137">
      <w:r w:rsidRPr="00A31137">
        <w:t>1980, Fullilove v. Klutznick, 448 U.S. 466</w:t>
      </w:r>
    </w:p>
    <w:p w:rsidR="00A31137" w:rsidRPr="00A31137" w:rsidRDefault="00A31137" w:rsidP="00A31137">
      <w:r w:rsidRPr="00A31137">
        <w:t>there are substantial § 8(a) opportunities in the area of Federal construction, but…the practices of some agencies preclude the realization of this potential. 50</w:t>
      </w:r>
    </w:p>
    <w:p w:rsidR="00A31137" w:rsidRPr="00A31137" w:rsidRDefault="00A31137" w:rsidP="00A31137">
      <w:r w:rsidRPr="00A31137">
        <w:t>1980, Fullilove v. Klutznick, 448 U.S. 466</w:t>
      </w:r>
    </w:p>
    <w:p w:rsidR="00A31137" w:rsidRPr="00A31137" w:rsidRDefault="00A31137" w:rsidP="00A31137">
      <w:r w:rsidRPr="00A31137">
        <w:t>The Subcommittee took "full notice…as evidence for its consideration" of reports submitted to the Congress by the General Accounting Office and by the U.S. Commission on Civil Rights, which reflected a similar dissatisfaction with the effectiveness of the § 8(a) program. 51 The [448 U.S. 467] Civil Rights Commission report discussed at some length the barriers encountered by minority businesses in gaining access to government contracting opportunities at the federal, state, and local levels. 52 Among the major difficulties confronting minority businesses were deficiencies in working capital, inability to meet bonding requirements, disabilities caused by an inadequate "track record," lack of awareness of bidding opportunities, unfamiliarity with bidding procedures, preselection before the formal advertising process, and the exercise of discretion by government procurement officers to disfavor minority businesses. 53</w:t>
      </w:r>
    </w:p>
    <w:p w:rsidR="00A31137" w:rsidRPr="00A31137" w:rsidRDefault="00A31137" w:rsidP="00A31137">
      <w:r w:rsidRPr="00A31137">
        <w:t>1980, Fullilove v. Klutznick, 448 U.S. 467</w:t>
      </w:r>
    </w:p>
    <w:p w:rsidR="00A31137" w:rsidRPr="00A31137" w:rsidRDefault="00A31137" w:rsidP="00A31137">
      <w:r w:rsidRPr="00A31137">
        <w:t>The Subcommittee Report also gave consideration to the operations of the Office of Minority Business Enterprise, an agency of the Department of Commerce organized pursuant to Executive Orders 54 to formulate and coordinate federal efforts to assist the development of minority businesses. The Report concluded that OMBE efforts were "totally inadequate" to achieve its policy of increasing opportunities for subcontracting by minority businesses on public contracts. OMBE efforts were hampered by a "glaring lack of specific objectives which each prime contractor should be required to achieve," by a "lack of enforcement provisions," and by a "lack of any meaningful monitoring system." 55</w:t>
      </w:r>
    </w:p>
    <w:p w:rsidR="00A31137" w:rsidRPr="00A31137" w:rsidRDefault="00A31137" w:rsidP="00A31137">
      <w:r w:rsidRPr="00A31137">
        <w:t>1980, Fullilove v. Klutznick, 448 U.S. 467</w:t>
      </w:r>
    </w:p>
    <w:p w:rsidR="00A31137" w:rsidRPr="00A31137" w:rsidRDefault="00A31137" w:rsidP="00A31137">
      <w:r w:rsidRPr="00A31137">
        <w:t xml:space="preserve">Against this backdrop of legislative and administrative programs, it is inconceivable that Members of both Houses were not fully aware of the objectives of the MBE provision and of the reasons prompting its enactment. [448 U.S. 468] </w:t>
      </w:r>
    </w:p>
    <w:p w:rsidR="00A31137" w:rsidRPr="00A31137" w:rsidRDefault="00A31137" w:rsidP="00A31137">
      <w:r w:rsidRPr="00A31137">
        <w:t>C</w:t>
      </w:r>
    </w:p>
    <w:p w:rsidR="00A31137" w:rsidRPr="00A31137" w:rsidRDefault="00A31137" w:rsidP="00A31137">
      <w:r w:rsidRPr="00A31137">
        <w:t>1980, Fullilove v. Klutznick, 448 U.S. 468</w:t>
      </w:r>
    </w:p>
    <w:p w:rsidR="00A31137" w:rsidRPr="00A31137" w:rsidRDefault="00A31137" w:rsidP="00A31137">
      <w:r w:rsidRPr="00A31137">
        <w:t>Although the statutory MBE provision itself outlines only the bare bones of the federal program, it makes a number of critical determinations: the decision to initiate a limited racial and ethnic preference; the specification of a minimum level for minority business participation; the identification of the minority groups that are to be encompassed by the program; and the provision for an administrative waiver where application of the program is not feasible. Congress relied on the administrative agency to flesh out this skeleton, pursuant to delegated rulemaking authority, and to develop an administrative operation consistent with legislative intentions and objectives.</w:t>
      </w:r>
    </w:p>
    <w:p w:rsidR="00A31137" w:rsidRPr="00A31137" w:rsidRDefault="00A31137" w:rsidP="00A31137">
      <w:r w:rsidRPr="00A31137">
        <w:t>1980, Fullilove v. Klutznick, 448 U.S. 468</w:t>
      </w:r>
    </w:p>
    <w:p w:rsidR="00A31137" w:rsidRPr="00A31137" w:rsidRDefault="00A31137" w:rsidP="00A31137">
      <w:r w:rsidRPr="00A31137">
        <w:t>As required by the Public Works Employment Act of 1977, the Secretary of Commerce promulgated regulations to set into motion "Round II" of the federal grant program. 56 The regulations require that construction projects funded under the legislation must be performed under contracts awarded by competitive bidding, unless the federal administrator has made a determination that, in the circumstances relating to a particular project, some other method is in the public interest. Where competitive bidding is employed, the regulations echo the statute's requirement that contracts are to be awarded on the basis of the "lowest responsive bid submitted by a bidder meeting established criteria of responsibility," and they also restate the MBE requirement. 57</w:t>
      </w:r>
    </w:p>
    <w:p w:rsidR="00A31137" w:rsidRPr="00A31137" w:rsidRDefault="00A31137" w:rsidP="00A31137">
      <w:r w:rsidRPr="00A31137">
        <w:t>1980, Fullilove v. Klutznick, 448 U.S. 468</w:t>
      </w:r>
    </w:p>
    <w:p w:rsidR="00A31137" w:rsidRPr="00A31137" w:rsidRDefault="00A31137" w:rsidP="00A31137">
      <w:r w:rsidRPr="00A31137">
        <w:t>EDA also has published guidelines devoted entirely to the administration of the MBE provision. The guidelines outline the obligations of the grantee to seek out all available, qualified, bona fide MBE's, to provide technical assistance as needed, to lower or waive bonding requirements where [448 U.S. 469] feasible, to solicit the aid of the Office of Minority Business Enterprise, the SBA, or other sources for assisting MBE's in obtaining required working capital, and to give guidance through the intricacies of the bidding process. 58</w:t>
      </w:r>
    </w:p>
    <w:p w:rsidR="00A31137" w:rsidRPr="00A31137" w:rsidRDefault="00A31137" w:rsidP="00A31137">
      <w:r w:rsidRPr="00A31137">
        <w:t>1980, Fullilove v. Klutznick, 448 U.S. 469</w:t>
      </w:r>
    </w:p>
    <w:p w:rsidR="00A31137" w:rsidRPr="00A31137" w:rsidRDefault="00A31137" w:rsidP="00A31137">
      <w:r w:rsidRPr="00A31137">
        <w:t>EDA regulations contemplate that, as anticipated by Congress, most local public works projects will entail the award of a predominant prime contract, with the prime contractor assuming the above grantee obligations for fulfilling the 10% MBE requirement. 59 The EDA guidelines specify that, when prime contractors are selected through competitive bidding, bids for the prime contract "shall be considered by the Grantee to be responsive only if at least 10 percent of the contract funds are to be expended for MBE's." 60 The administrative program envisions that competitive incentive will motivate aspirant prime contractors to perform their obligations under the MBE provision so as to qualify as "responsive" bidders. And, since the contract is to be awarded to the lowest responsive bidder, the same incentive is expected to motivate prime contractors to seek out the most competitive of the available, qualified, bona fide minority firms. This too is consistent with the legislative intention. 61</w:t>
      </w:r>
    </w:p>
    <w:p w:rsidR="00A31137" w:rsidRPr="00A31137" w:rsidRDefault="00A31137" w:rsidP="00A31137">
      <w:r w:rsidRPr="00A31137">
        <w:t>1980, Fullilove v. Klutznick, 448 U.S. 469</w:t>
      </w:r>
    </w:p>
    <w:p w:rsidR="00A31137" w:rsidRPr="00A31137" w:rsidRDefault="00A31137" w:rsidP="00A31137">
      <w:r w:rsidRPr="00A31137">
        <w:t>The EDA guidelines also outline the projected administration of applications for waiver of the 10% MBE requirement, which may be sought by the grantee either before or during the bidding process. 62 The Technical Bulletin issued by EDA discusses in greater detail the processing of waiver requests, clarifying certain issues left open by the guidelines. It specifies that waivers may be total or partial, depending on [448 U.S. 470] the circumstances, 63 and it illustrates the projected operation of the waiver procedure by posing hypothetical questions with projected administrative responses. One such hypothetical is of particular interest, for it indicates the limitations on the scope of the racial or ethnic preference contemplated by the federal program when a grantee or its prime contractor is confronted with an available, qualified, bona fide minority business enterprise who is not the lowest competitive bidder. The hypothetical provides: 64</w:t>
      </w:r>
    </w:p>
    <w:p w:rsidR="00A31137" w:rsidRPr="00A31137" w:rsidRDefault="00A31137" w:rsidP="00A31137">
      <w:r w:rsidRPr="00A31137">
        <w:t>1980, Fullilove v. Klutznick, 448 U.S. 470</w:t>
      </w:r>
    </w:p>
    <w:p w:rsidR="00A31137" w:rsidRPr="00A31137" w:rsidRDefault="00A31137" w:rsidP="00A31137">
      <w:r w:rsidRPr="00A31137">
        <w:t>Question: Should a request for waiver of the 10% requirement based on an unreasonable price asked by an MBE ever be granted?</w:t>
      </w:r>
    </w:p>
    <w:p w:rsidR="00A31137" w:rsidRPr="00A31137" w:rsidRDefault="00A31137" w:rsidP="00A31137">
      <w:r w:rsidRPr="00A31137">
        <w:t>1980, Fullilove v. Klutznick, 448 U.S. 470</w:t>
      </w:r>
    </w:p>
    <w:p w:rsidR="00A31137" w:rsidRPr="00A31137" w:rsidRDefault="00A31137" w:rsidP="00A31137">
      <w:r w:rsidRPr="00A31137">
        <w:t>Answer: It is possible to imagine situations where an MBE might ask a price for its product or services that is unreasonable and where, therefore, a waiver is justified. However, before a waiver request will be honored, the following determinations will be made:</w:t>
      </w:r>
    </w:p>
    <w:p w:rsidR="00A31137" w:rsidRPr="00A31137" w:rsidRDefault="00A31137" w:rsidP="00A31137">
      <w:r w:rsidRPr="00A31137">
        <w:t>1980, Fullilove v. Klutznick, 448 U.S. 470</w:t>
      </w:r>
    </w:p>
    <w:p w:rsidR="00A31137" w:rsidRPr="00A31137" w:rsidRDefault="00A31137" w:rsidP="00A31137">
      <w:r w:rsidRPr="00A31137">
        <w:t>a) The MBE's quote is unreasonably priced. This determination should be based on the nature of the product or service of the subcontractor, the geographic location of the site and of the subcontractor, prices of similar products or services in the relevant market area, and general business conditions in the market area. Furthermore, a subcontractor's price should not be considered unreasonable if he is merely trying to cover his costs because the price results from disadvantage which affects the MBE's cost of doing business or results from discrimination.</w:t>
      </w:r>
    </w:p>
    <w:p w:rsidR="00A31137" w:rsidRPr="00A31137" w:rsidRDefault="00A31137" w:rsidP="00A31137">
      <w:r w:rsidRPr="00A31137">
        <w:t>1980, Fullilove v. Klutznick, 448 U.S. 470</w:t>
      </w:r>
    </w:p>
    <w:p w:rsidR="00A31137" w:rsidRPr="00A31137" w:rsidRDefault="00A31137" w:rsidP="00A31137">
      <w:r w:rsidRPr="00A31137">
        <w:t>b) The contractor has contacted other MBEs and has no meaningful choice but to accept an unreasonably high price.</w:t>
      </w:r>
    </w:p>
    <w:p w:rsidR="00A31137" w:rsidRPr="00A31137" w:rsidRDefault="00A31137" w:rsidP="00A31137">
      <w:r w:rsidRPr="00A31137">
        <w:t>1980, Fullilove v. Klutznick, 448 U.S. 470</w:t>
      </w:r>
    </w:p>
    <w:p w:rsidR="00A31137" w:rsidRPr="00A31137" w:rsidRDefault="00A31137" w:rsidP="00A31137">
      <w:r w:rsidRPr="00A31137">
        <w:t>This announced policy makes clear the administrative understanding that a waiver or partial waiver is justified (and will [448 U.S. 471] be granted) to avoid subcontracting with a minority business enterprise at an "unreasonable" price, i.e., a price above competitive levels which cannot be attributed to the minority firm's attempt to cover costs inflated by the present effects of disadvantage or discrimination.</w:t>
      </w:r>
    </w:p>
    <w:p w:rsidR="00A31137" w:rsidRPr="00A31137" w:rsidRDefault="00A31137" w:rsidP="00A31137">
      <w:r w:rsidRPr="00A31137">
        <w:t>1980, Fullilove v. Klutznick, 448 U.S. 471</w:t>
      </w:r>
    </w:p>
    <w:p w:rsidR="00A31137" w:rsidRPr="00A31137" w:rsidRDefault="00A31137" w:rsidP="00A31137">
      <w:r w:rsidRPr="00A31137">
        <w:t>This administrative approach is consistent with the legislative intention. It will be recalled that, in the Report of the House Subcommittee on SBA Oversight and Minority Enterprise, the Subcommittee took special care to note that, when using the term "minority," it intended to include "only such minority individuals as are considered to be economically or socially disadvantaged." 65 The Subcommittee also was cognizant of existing administrative regulations designed to ensure that firms maintained on the lists of bona fide minority business enterprises be those whose competitive position is impaired by the effects of disadvantage and discrimination. In its Report, the Subcommittee expressed its intention that these criteria continue to govern administration of the SBA's § 8(a) program. 66 The sponsors of the MBE provision, in their reliance on prior administrative practice, intended that the term "minority business enterprise" would be given that same limited application; this even found expression in the legislative debates, where Representative Roe made the point: 67</w:t>
      </w:r>
    </w:p>
    <w:p w:rsidR="00A31137" w:rsidRPr="00A31137" w:rsidRDefault="00A31137" w:rsidP="00A31137">
      <w:r w:rsidRPr="00A31137">
        <w:t>1980, Fullilove v. Klutznick, 448 U.S. 471</w:t>
      </w:r>
    </w:p>
    <w:p w:rsidR="00A31137" w:rsidRPr="00A31137" w:rsidRDefault="00A31137" w:rsidP="00A31137">
      <w:r w:rsidRPr="00A31137">
        <w:t>[W]hen we are talking about companies held by minority groups…[c]ertainly people of a variety of backgrounds are included in that. That is not really a measurement. They are talking about people in the minority and deprived.</w:t>
      </w:r>
    </w:p>
    <w:p w:rsidR="00A31137" w:rsidRPr="00A31137" w:rsidRDefault="00A31137" w:rsidP="00A31137">
      <w:r w:rsidRPr="00A31137">
        <w:t>1980, Fullilove v. Klutznick, 448 U.S. 471</w:t>
      </w:r>
    </w:p>
    <w:p w:rsidR="00A31137" w:rsidRPr="00A31137" w:rsidRDefault="00A31137" w:rsidP="00A31137">
      <w:r w:rsidRPr="00A31137">
        <w:t>The EDA Technical Bulletin provides other elaboration of the MBE provision. It clarifies the definition of "minority [448 U.S. 472] group members." 68 It also indicates EDA's intention</w:t>
      </w:r>
    </w:p>
    <w:p w:rsidR="00A31137" w:rsidRPr="00A31137" w:rsidRDefault="00A31137" w:rsidP="00A31137">
      <w:r w:rsidRPr="00A31137">
        <w:t>1980, Fullilove v. Klutznick, 448 U.S. 472</w:t>
      </w:r>
    </w:p>
    <w:p w:rsidR="00A31137" w:rsidRPr="00A31137" w:rsidRDefault="00A31137" w:rsidP="00A31137">
      <w:r w:rsidRPr="00A31137">
        <w:t>to allow credit for utilization of MBEs only for those contracts in which involvement constitutes a basis for strengthening the long-term and continuing participation of the MBE in the construction and related industries. 69</w:t>
      </w:r>
    </w:p>
    <w:p w:rsidR="00A31137" w:rsidRPr="00A31137" w:rsidRDefault="00A31137" w:rsidP="00A31137">
      <w:r w:rsidRPr="00A31137">
        <w:t>1980, Fullilove v. Klutznick, 448 U.S. 472</w:t>
      </w:r>
    </w:p>
    <w:p w:rsidR="00A31137" w:rsidRPr="00A31137" w:rsidRDefault="00A31137" w:rsidP="00A31137">
      <w:r w:rsidRPr="00A31137">
        <w:t>Finally, the Bulletin outlines a procedure for the processing of complaints of "unjust participation by an enterprise or individuals in the MBE program," or of improper administration of the MBE requirement. 70</w:t>
      </w:r>
    </w:p>
    <w:p w:rsidR="00A31137" w:rsidRPr="00A31137" w:rsidRDefault="00A31137" w:rsidP="00A31137">
      <w:r w:rsidRPr="00A31137">
        <w:t>III</w:t>
      </w:r>
    </w:p>
    <w:p w:rsidR="00A31137" w:rsidRPr="00A31137" w:rsidRDefault="00A31137" w:rsidP="00A31137">
      <w:r w:rsidRPr="00A31137">
        <w:t>1980, Fullilove v. Klutznick, 448 U.S. 472</w:t>
      </w:r>
    </w:p>
    <w:p w:rsidR="00A31137" w:rsidRPr="00A31137" w:rsidRDefault="00A31137" w:rsidP="00A31137">
      <w:r w:rsidRPr="00A31137">
        <w:t xml:space="preserve">When we are required to pass on the constitutionality of an Act of Congress, we assume "the gravest and most delicate duty that this Court is called on to perform." Blodgett v. Holden, 275 U.S. 142, 148 (1927) (opinion of Holmes, J.). A program that employs racial or ethnic criteria, even in a remedial context, calls for close examination; yet we are bound to approach our task with appropriate deference to the Congress, a coequal branch charged by the Constitution with the power to "provide for the…general Welfare of the United States" and "to enforce, by appropriate legislation," the equal protection guarantees of the Fourteenth Amendment. Art. I, § 8, cl. 1; Amdt. 14, § 5. In Columbia Broadcasting System, Inc. v. Democratic National Committee, 412 U.S. 94,  102 (1973), we accorded "great weight to the decisions of Congress" even though the legislation implicated fundamental constitutional rights guaranteed by the First Amendment. The rule is not different when a congressional program raises equal protection concerns. See, e.g., Cleland v. National College of Business, 435 U.S. 213 (1978); Mathews v. De Castro, 429 U.S. 181 (1976). [448 U.S. 473] </w:t>
      </w:r>
    </w:p>
    <w:p w:rsidR="00A31137" w:rsidRPr="00A31137" w:rsidRDefault="00A31137" w:rsidP="00A31137">
      <w:r w:rsidRPr="00A31137">
        <w:t>1980, Fullilove v. Klutznick, 448 U.S. 473</w:t>
      </w:r>
    </w:p>
    <w:p w:rsidR="00A31137" w:rsidRPr="00A31137" w:rsidRDefault="00A31137" w:rsidP="00A31137">
      <w:r w:rsidRPr="00A31137">
        <w:t>Here we pass, not on a choice made by a single judge or a school board, but on a considered decision of the Congress and the President. However, in no sense does that render it immune from judicial scrutiny, and it "is not to say we 'defer' to the judgment of the Congress…on a constitutional question," or that we would hesitate to invoke the Constitution should we determine that Congress has overstepped the bounds of its constitutional power. Columbia Broadcasting, supra at  103.</w:t>
      </w:r>
    </w:p>
    <w:p w:rsidR="00A31137" w:rsidRPr="00A31137" w:rsidRDefault="00A31137" w:rsidP="00A31137">
      <w:r w:rsidRPr="00A31137">
        <w:t>1980, Fullilove v. Klutznick, 448 U.S. 473</w:t>
      </w:r>
    </w:p>
    <w:p w:rsidR="00A31137" w:rsidRPr="00A31137" w:rsidRDefault="00A31137" w:rsidP="00A31137">
      <w:r w:rsidRPr="00A31137">
        <w:t>The clear objective of the MBE provision is disclosed by our necessarily extended review of its legislative and administrative background. The program was designed to ensure that, to the extent federal funds were granted under the Public Works Employment Act of 1977, grantees who elect to participate would not employ procurement practices that Congress had decided might result in perpetuation of the effects of prior discrimination which had impaired or foreclosed access by minority businesses to public contracting opportunities. The MBE program does not mandate the allocation of federal funds according to inflexible percentages solely based on race or ethnicity.</w:t>
      </w:r>
    </w:p>
    <w:p w:rsidR="00A31137" w:rsidRPr="00A31137" w:rsidRDefault="00A31137" w:rsidP="00A31137">
      <w:r w:rsidRPr="00A31137">
        <w:t>1980, Fullilove v. Klutznick, 448 U.S. 473</w:t>
      </w:r>
    </w:p>
    <w:p w:rsidR="00A31137" w:rsidRPr="00A31137" w:rsidRDefault="00A31137" w:rsidP="00A31137">
      <w:r w:rsidRPr="00A31137">
        <w:t>Our analysis proceeds in two steps. At the outset, we must inquire whether the objectives of this legislation are within the power of Congress. If so, we must go on to decide whether the limited use of racial and ethnic criteria, in the context presented, is a constitutionally permissible means for achieving the congressional objectives and does not violate the equal protection component of the Due Process Clause of the Fifth Amendment.</w:t>
      </w:r>
    </w:p>
    <w:p w:rsidR="00A31137" w:rsidRPr="00A31137" w:rsidRDefault="00A31137" w:rsidP="00A31137">
      <w:r w:rsidRPr="00A31137">
        <w:t>A</w:t>
      </w:r>
    </w:p>
    <w:p w:rsidR="00A31137" w:rsidRPr="00A31137" w:rsidRDefault="00A31137" w:rsidP="00A31137">
      <w:r w:rsidRPr="00A31137">
        <w:t>(1)</w:t>
      </w:r>
    </w:p>
    <w:p w:rsidR="00A31137" w:rsidRPr="00A31137" w:rsidRDefault="00A31137" w:rsidP="00A31137">
      <w:r w:rsidRPr="00A31137">
        <w:t>1980, Fullilove v. Klutznick, 448 U.S. 473</w:t>
      </w:r>
    </w:p>
    <w:p w:rsidR="00A31137" w:rsidRPr="00A31137" w:rsidRDefault="00A31137" w:rsidP="00A31137">
      <w:r w:rsidRPr="00A31137">
        <w:t>In enacting the MBE provision, it is clear that Congress employed an amalgam of its specifically delegated powers. The Public Works Employment Act of 1977, by its very nature, is primarily an exercise of the Spending Power. U.S. [448 U.S. 474] Const., Art. I, 8, cl. 1. This Court has recognized that the power to "provide for the…general Welfare" is an independent grant of legislative authority, distinct from other broad congressional powers. Buckley v. Valeo, 424 U.S. 1, 90-91 (1976); United States v. Butler, 297 U.S. 1, 65-66 (1936). Congress has frequently employed the Spending Power to further broad policy objectives by conditioning receipt of federal moneys upon compliance by the recipient with federal statutory and administrative directives. This Court has repeatedly upheld against constitutional challenge the use of this technique to induce governments and private parties to cooperate voluntarily with federal policy. E.g., California Bankers Assn. v. Shultz, 416 U.S. 21 (1974); Lau v. Nichols, 414 U.S. 563 (1974); Oklahoma v. CSC, 330 U.S. 127 (1947); Helvering v. Davis, 301 U.S. 619 (1937); Steward Machine Co. v. Davis, 301 U.S. 548 (1937).</w:t>
      </w:r>
    </w:p>
    <w:p w:rsidR="00A31137" w:rsidRPr="00A31137" w:rsidRDefault="00A31137" w:rsidP="00A31137">
      <w:r w:rsidRPr="00A31137">
        <w:t>1980, Fullilove v. Klutznick, 448 U.S. 474</w:t>
      </w:r>
    </w:p>
    <w:p w:rsidR="00A31137" w:rsidRPr="00A31137" w:rsidRDefault="00A31137" w:rsidP="00A31137">
      <w:r w:rsidRPr="00A31137">
        <w:t xml:space="preserve">The MBE program is structured within this familiar legislative pattern. The program conditions receipt of public works grants upon agreement by the state or local governmental grantee that at least 10% of the federal funds will be devoted to contracts with minority businesses, to the extent this can be accomplished by overcoming barriers to access and by awarding contracts to bona fide MBE's. It is further conditioned to require that MBE bids on these contracts are competitively priced, or might have been competitively priced but for the present effects of prior discrimination. Admittedly, the problems of administering this program with respect to these conditions may be formidable. Although the primary responsibility for ensuring minority participation falls upon the grantee, when the procurement practices of the grantee involve the award of a prime contract to a general or prime contractor, the obligations to assure minority participation devolve upon the private contracting party; this is a contractual condition of eligibility for award of the prime contract. [448 U.S. 475] </w:t>
      </w:r>
    </w:p>
    <w:p w:rsidR="00A31137" w:rsidRPr="00A31137" w:rsidRDefault="00A31137" w:rsidP="00A31137">
      <w:r w:rsidRPr="00A31137">
        <w:t>1980, Fullilove v. Klutznick, 448 U.S. 475</w:t>
      </w:r>
    </w:p>
    <w:p w:rsidR="00A31137" w:rsidRPr="00A31137" w:rsidRDefault="00A31137" w:rsidP="00A31137">
      <w:r w:rsidRPr="00A31137">
        <w:t>Here we need not explore the outermost limitations on the objectives attainable through such an application of the Spending Power. The reach of the Spending Power, within its sphere, is at least as broad as the regulatory powers of Congress. If, pursuant to its regulatory powers, Congress could have achieved the objectives of the MBE program, then it may do so under the Spending Power. And we have no difficulty perceiving a basis for accomplishing the objectives of the MBE program through the Commerce Power insofar as the program objectives pertain to the action of private contracting parties, and through the power to enforce the equal protection guarantees of the Fourteenth Amendment insofar as the program objectives pertain to the action of state and local grantees.</w:t>
      </w:r>
    </w:p>
    <w:p w:rsidR="00A31137" w:rsidRPr="00A31137" w:rsidRDefault="00A31137" w:rsidP="00A31137">
      <w:r w:rsidRPr="00A31137">
        <w:t>(2)</w:t>
      </w:r>
    </w:p>
    <w:p w:rsidR="00A31137" w:rsidRPr="00A31137" w:rsidRDefault="00A31137" w:rsidP="00A31137">
      <w:r w:rsidRPr="00A31137">
        <w:t>1980, Fullilove v. Klutznick, 448 U.S. 475</w:t>
      </w:r>
    </w:p>
    <w:p w:rsidR="00A31137" w:rsidRPr="00A31137" w:rsidRDefault="00A31137" w:rsidP="00A31137">
      <w:r w:rsidRPr="00A31137">
        <w:t>We turn first to the Commerce Power. U.S.Const., Art. I, § 8, cl. 3. Had Congress chosen to do so, it could have drawn on the Commerce Clause to regulate the practices of prime contractors on federally funded public works projects. Katzenbach v. McClung, 379 U.S. 294 (1964); Heart of Atlanta Motel, Inc. v. United States, 379 U.S. 241 (1964). The legislative history of the MBE provision shows that there was a rational basis for Congress to conclude that the subcontracting practices of prime contractors could perpetuate the prevailing impaired access by minority businesses to public contracting opportunities, and that this inequity has an effect on interstate commerce. Thus, Congress could take necessary and proper action to remedy the situation. Ibid.</w:t>
      </w:r>
    </w:p>
    <w:p w:rsidR="00A31137" w:rsidRPr="00A31137" w:rsidRDefault="00A31137" w:rsidP="00A31137">
      <w:r w:rsidRPr="00A31137">
        <w:t>1980, Fullilove v. Klutznick, 448 U.S. 475</w:t>
      </w:r>
    </w:p>
    <w:p w:rsidR="00A31137" w:rsidRPr="00A31137" w:rsidRDefault="00A31137" w:rsidP="00A31137">
      <w:r w:rsidRPr="00A31137">
        <w:t>It is not necessary that these prime contractors be shown responsible for any violation of antidiscrimination laws. Our cases dealing with application of Title VII of the Civil Rights Act of 1964, 78 Stat. 253, as amended, express no doubt of the congressional authority to prohibit practices "challenged as perpetuating the effects of [not unlawful] discrimination occurring prior to the effective date of the Act." Franks v. [448 U.S. 476] Bowman Transportation Co., 424 U.S. 747, 761 (1976); see California Brewers Assn. v. Bryant, 444 U.S. 598 (1980); Teamsters v. United States, 431 U.S. 324 (1977); Albemarle Paper Co. v. Moody, 422 U.S. 405 (1975); Griggs v. Duke Power Co., 401 U.S. 424 (1971). Insofar as the MBE program pertains to the actions of private prime contractors, the Congress could have achieved its objectives under the Commerce Clause. We conclude that, in this respect, the objectives of the MBE provision are within the scope of the Spending Power.</w:t>
      </w:r>
    </w:p>
    <w:p w:rsidR="00A31137" w:rsidRPr="00A31137" w:rsidRDefault="00A31137" w:rsidP="00A31137">
      <w:r w:rsidRPr="00A31137">
        <w:t>(3)</w:t>
      </w:r>
    </w:p>
    <w:p w:rsidR="00A31137" w:rsidRPr="00A31137" w:rsidRDefault="00A31137" w:rsidP="00A31137">
      <w:r w:rsidRPr="00A31137">
        <w:t>1980, Fullilove v. Klutznick, 448 U.S. 476</w:t>
      </w:r>
    </w:p>
    <w:p w:rsidR="00A31137" w:rsidRPr="00A31137" w:rsidRDefault="00A31137" w:rsidP="00A31137">
      <w:r w:rsidRPr="00A31137">
        <w:t>In certain contexts, there are limitations on the reach of the Commerce Power to regulate the actions of state and local governments. National League of Cities v. Usery, 426 U.S. 833 (1976). To avoid such complications, we look to § 5 of the Fourteenth Amendment for the power to regulate the procurement practices of state and local grantees of federal funds. Fitzpatrick v. Bitzer, 427 U.S. 445 (1976). A review of our cases persuades us that the objectives of the MBE program are within the power of Congress under § 5 "to enforce, by appropriate legislation," the equal protection guarantees of the Fourteenth Amendment.</w:t>
      </w:r>
    </w:p>
    <w:p w:rsidR="00A31137" w:rsidRPr="00A31137" w:rsidRDefault="00A31137" w:rsidP="00A31137">
      <w:r w:rsidRPr="00A31137">
        <w:t>1980, Fullilove v. Klutznick, 448 U.S. 476</w:t>
      </w:r>
    </w:p>
    <w:p w:rsidR="00A31137" w:rsidRPr="00A31137" w:rsidRDefault="00A31137" w:rsidP="00A31137">
      <w:r w:rsidRPr="00A31137">
        <w:t>In Katzenbach v. Morgan, 384 U.S. 641 (1966), we equated the scope of this authority with the broad powers expressed in the Necessary and Proper Clause, U.S.Const., Art. I, § 8, cl. 18.</w:t>
      </w:r>
    </w:p>
    <w:p w:rsidR="00A31137" w:rsidRPr="00A31137" w:rsidRDefault="00A31137" w:rsidP="00A31137">
      <w:r w:rsidRPr="00A31137">
        <w:t>1980, Fullilove v. Klutznick, 448 U.S. 476</w:t>
      </w:r>
    </w:p>
    <w:p w:rsidR="00A31137" w:rsidRPr="00A31137" w:rsidRDefault="00A31137" w:rsidP="00A31137">
      <w:r w:rsidRPr="00A31137">
        <w:t>Correctly viewed, § 5 is a positive grant of legislative power authorizing Congress to exercise its discretion in determining whether and what legislation is needed to secure the guarantees of the Fourteenth Amendment.</w:t>
      </w:r>
    </w:p>
    <w:p w:rsidR="00A31137" w:rsidRPr="00A31137" w:rsidRDefault="00A31137" w:rsidP="00A31137">
      <w:r w:rsidRPr="00A31137">
        <w:t>1980, Fullilove v. Klutznick, 448 U.S. 476</w:t>
      </w:r>
    </w:p>
    <w:p w:rsidR="00A31137" w:rsidRPr="00A31137" w:rsidRDefault="00A31137" w:rsidP="00A31137">
      <w:r w:rsidRPr="00A31137">
        <w:t>384 U.S. at  651. In Katzenbach, the Court upheld § 4(e) of the Voting Rights Act of 1965, 79 Stat. 439, 42 U.S.C.1973b(e), which prohibited application of state English language literacy requirements to otherwise qualified voters who had completed the sixth grade in an accredited American school in [448 U.S. 477] which a language other than English was the predominant medium of instruction. To uphold this exercise of congressional authority, the Court found no prerequisite that application of a literacy requirement violate the Equal Protection Clause. 384 U.S. at 648-649. It was enough that the Court could perceive a basis upon which Congress could reasonably predicate a judgment that application of literacy qualifications within the compass of § 4(e) would discriminate in terms of access to the ballot and consequently in terms of access to the provision or administration of governmental programs. Id. at 652-653.</w:t>
      </w:r>
    </w:p>
    <w:p w:rsidR="00A31137" w:rsidRPr="00A31137" w:rsidRDefault="00A31137" w:rsidP="00A31137">
      <w:r w:rsidRPr="00A31137">
        <w:t>1980, Fullilove v. Klutznick, 448 U.S. 477</w:t>
      </w:r>
    </w:p>
    <w:p w:rsidR="00A31137" w:rsidRPr="00A31137" w:rsidRDefault="00A31137" w:rsidP="00A31137">
      <w:r w:rsidRPr="00A31137">
        <w:t>Four years later, in Oregon v. Mitchell, 400 U.S. 112 (1970), we upheld § 201 of the Voting Rights Act Amendments of 1970, 84 Stat. 315, which imposed a 5-year nationwide prohibition on the use of various voter-qualification tests and devices in federal, state, and local elections. The Court was unanimous, albeit in separate opinions, in concluding that Congress was within its authority to prohibit the use of such voter qualifications; Congress could reasonably determine that its legislation was an appropriate method of attacking the perpetuation of prior purposeful discrimination, even though the use of these tests or devices might have discriminatory effects only. See City of Rome v. United States, 446 U.S. 156, 176-177 (1980). Our cases reviewing the parallel power of Congress to enforce the provisions of the Fifteenth Amendment, U.S.Const., Amdt. 15, § 2, confirm that congressional authority extends beyond the prohibition of purposeful discrimination to encompass state action that has discriminatory impact perpetuating the effects of past discrimination. South Carolina v. Katzenbach, 383 U.S. 301 (1966); cf. City of Rome, supra.</w:t>
      </w:r>
    </w:p>
    <w:p w:rsidR="00A31137" w:rsidRPr="00A31137" w:rsidRDefault="00A31137" w:rsidP="00A31137">
      <w:r w:rsidRPr="00A31137">
        <w:t>1980, Fullilove v. Klutznick, 448 U.S. 477</w:t>
      </w:r>
    </w:p>
    <w:p w:rsidR="00A31137" w:rsidRPr="00A31137" w:rsidRDefault="00A31137" w:rsidP="00A31137">
      <w:r w:rsidRPr="00A31137">
        <w:t>With respect to the MBE provision, Congress had abundant evidence from which it could conclude that minority businesses have been denied effective participation in public contracting opportunities by procurement practices that perpetuated [448 U.S. 478] the effects of prior discrimination. Congress, of course, may legislate without compiling the kind of "record" appropriate with respect to judicial or administrative proceedings. Congress had before it, among other data, evidence of a long history of marked disparity in the percentage of public contracts awarded to minority business enterprises. This disparity was considered to result not from any lack of capable and qualified minority businesses, but from the existence and maintenance of barriers to competitive access which had their roots in racial and ethnic discrimination, and which continue today, even absent any intentional discrimination or other unlawful conduct. Although much of this history related to the experience of minority businesses in the area of federal procurement, there was direct evidence before the Congress that this pattern of disadvantage and discrimination existed with respect to state and local construction contracting as well. In relation to the MBE provision, Congress acted within its competence to determine that the problem was national in scope.</w:t>
      </w:r>
    </w:p>
    <w:p w:rsidR="00A31137" w:rsidRPr="00A31137" w:rsidRDefault="00A31137" w:rsidP="00A31137">
      <w:r w:rsidRPr="00A31137">
        <w:t>1980, Fullilove v. Klutznick, 448 U.S. 478</w:t>
      </w:r>
    </w:p>
    <w:p w:rsidR="00A31137" w:rsidRPr="00A31137" w:rsidRDefault="00A31137" w:rsidP="00A31137">
      <w:r w:rsidRPr="00A31137">
        <w:t xml:space="preserve">Although the Act recites no preambulary "findings" on the subject, we are satisfied that Congress had abundant historical basis from which it could conclude that traditional procurement practices, when applied to minority businesses, could perpetuate the effects of prior discrimination. Accordingly, Congress reasonably determined that the prospective elimination of these barriers to minority firm access to public contracting opportunities generated by the 1977 Act was appropriate to ensure that those businesses were not denied equal opportunity to participate in federal grants to state and local governments, which is one aspect of the equal protection of the laws. Insofar as the MBE program pertains to the actions of state and local grantees, Congress could have achieved its objectives by use of its power under § 5 of the Fourteenth Amendment. We conclude that, in this respect, the objectives of the MBE provision are within the scope of the Spending Power. [448 U.S. 479] </w:t>
      </w:r>
    </w:p>
    <w:p w:rsidR="00A31137" w:rsidRPr="00A31137" w:rsidRDefault="00A31137" w:rsidP="00A31137">
      <w:r w:rsidRPr="00A31137">
        <w:t>(4)</w:t>
      </w:r>
    </w:p>
    <w:p w:rsidR="00A31137" w:rsidRPr="00A31137" w:rsidRDefault="00A31137" w:rsidP="00A31137">
      <w:r w:rsidRPr="00A31137">
        <w:t>1980, Fullilove v. Klutznick, 448 U.S. 479</w:t>
      </w:r>
    </w:p>
    <w:p w:rsidR="00A31137" w:rsidRPr="00A31137" w:rsidRDefault="00A31137" w:rsidP="00A31137">
      <w:r w:rsidRPr="00A31137">
        <w:t>There are relevant similarities between the MBE program and the federal spending program reviewed in Lau v. Nichols, 414 U.S. 563 (1974). In Lau, a language barrier "effectively foreclosed" non-English-speaking Chinese pupils from access to the educational opportunities offered by the San Francisco public school system. Id. at 564-566. It had not been shown that this had resulted from any discrimination, purposeful or otherwise, or from other unlawful acts. Nevertheless, we upheld the constitutionality of a federal regulation applicable to public school systems receiving federal funds that prohibited the utilization of</w:t>
      </w:r>
    </w:p>
    <w:p w:rsidR="00A31137" w:rsidRPr="00A31137" w:rsidRDefault="00A31137" w:rsidP="00A31137">
      <w:r w:rsidRPr="00A31137">
        <w:t>1980, Fullilove v. Klutznick, 448 U.S. 479</w:t>
      </w:r>
    </w:p>
    <w:p w:rsidR="00A31137" w:rsidRPr="00A31137" w:rsidRDefault="00A31137" w:rsidP="00A31137">
      <w:r w:rsidRPr="00A31137">
        <w:t>criteria or methods of administration which have the effect…of defeating or substantially impairing accomplishment of the objectives of the [educational] program as respect individuals of a particular race, color, or national origin.</w:t>
      </w:r>
    </w:p>
    <w:p w:rsidR="00A31137" w:rsidRPr="00A31137" w:rsidRDefault="00A31137" w:rsidP="00A31137">
      <w:r w:rsidRPr="00A31137">
        <w:t>1980, Fullilove v. Klutznick, 448 U.S. 479</w:t>
      </w:r>
    </w:p>
    <w:p w:rsidR="00A31137" w:rsidRPr="00A31137" w:rsidRDefault="00A31137" w:rsidP="00A31137">
      <w:r w:rsidRPr="00A31137">
        <w:t>Id. at 568 (emphasis added). Moreover, we upheld application to the San Francisco school system, as a recipient of federal funds, of a requirement that,</w:t>
      </w:r>
    </w:p>
    <w:p w:rsidR="00A31137" w:rsidRPr="00A31137" w:rsidRDefault="00A31137" w:rsidP="00A31137">
      <w:r w:rsidRPr="00A31137">
        <w:t>1980, Fullilove v. Klutznick, 448 U.S. 479</w:t>
      </w:r>
    </w:p>
    <w:p w:rsidR="00A31137" w:rsidRPr="00A31137" w:rsidRDefault="00A31137" w:rsidP="00A31137">
      <w:r w:rsidRPr="00A31137">
        <w:t>[w]here inability to speak and understand the English language excludes national origin minority group children from effective participation in the educational program offered by a school district, the district must take affirmative steps to rectify the language deficiency in order to open its instructional program to these students.</w:t>
      </w:r>
    </w:p>
    <w:p w:rsidR="00A31137" w:rsidRPr="00A31137" w:rsidRDefault="00A31137" w:rsidP="00A31137">
      <w:r w:rsidRPr="00A31137">
        <w:t>1980, Fullilove v. Klutznick, 448 U.S. 479</w:t>
      </w:r>
    </w:p>
    <w:p w:rsidR="00A31137" w:rsidRPr="00A31137" w:rsidRDefault="00A31137" w:rsidP="00A31137">
      <w:r w:rsidRPr="00A31137">
        <w:t>Ibid.</w:t>
      </w:r>
    </w:p>
    <w:p w:rsidR="00A31137" w:rsidRPr="00A31137" w:rsidRDefault="00A31137" w:rsidP="00A31137">
      <w:r w:rsidRPr="00A31137">
        <w:t>1980, Fullilove v. Klutznick, 448 U.S. 479</w:t>
      </w:r>
    </w:p>
    <w:p w:rsidR="00A31137" w:rsidRPr="00A31137" w:rsidRDefault="00A31137" w:rsidP="00A31137">
      <w:r w:rsidRPr="00A31137">
        <w:t>It is true that the MBE provision differs from the program approved in Lau in that the MBE program directly employs racial and ethnic criteria as a means to accomplish congressional objectives; however, these objectives are essentially the same as those approved in Lau. Our holding in Lau is instructive on the exercise of congressional authority by way of the MBE provision. The MBE program, like the federal regulations reviewed in Lau, primarily regulates state action in the use of federal funds voluntarily sought and accepted by the grantees subject to statutory and administrative conditions. The MBE participation requirement is directed at [448 U.S. 480] the utilization of criteria, methods, or practices thought by Congress to have the effect of defeating, or substantially impairing, access by the minority business community to public funds made available by congressional appropriations.</w:t>
      </w:r>
    </w:p>
    <w:p w:rsidR="00A31137" w:rsidRPr="00A31137" w:rsidRDefault="00A31137" w:rsidP="00A31137">
      <w:r w:rsidRPr="00A31137">
        <w:t>B</w:t>
      </w:r>
    </w:p>
    <w:p w:rsidR="00A31137" w:rsidRPr="00A31137" w:rsidRDefault="00A31137" w:rsidP="00A31137">
      <w:r w:rsidRPr="00A31137">
        <w:t>1980, Fullilove v. Klutznick, 448 U.S. 480</w:t>
      </w:r>
    </w:p>
    <w:p w:rsidR="00A31137" w:rsidRPr="00A31137" w:rsidRDefault="00A31137" w:rsidP="00A31137">
      <w:r w:rsidRPr="00A31137">
        <w:t>We now turn to the question whether, as a means to accomplish these plainly constitutional objectives, Congress may use racial and ethnic criteria, in this limited way, as a condition attached to a federal grant. We are mindful that</w:t>
      </w:r>
    </w:p>
    <w:p w:rsidR="00A31137" w:rsidRPr="00A31137" w:rsidRDefault="00A31137" w:rsidP="00A31137">
      <w:r w:rsidRPr="00A31137">
        <w:t>1980, Fullilove v. Klutznick, 448 U.S. 480</w:t>
      </w:r>
    </w:p>
    <w:p w:rsidR="00A31137" w:rsidRPr="00A31137" w:rsidRDefault="00A31137" w:rsidP="00A31137">
      <w:r w:rsidRPr="00A31137">
        <w:t>[i]n no matter should we pay more deference to the opinion of Congress than in its choice of instrumentalities to perform a function that is within its power,</w:t>
      </w:r>
    </w:p>
    <w:p w:rsidR="00A31137" w:rsidRPr="00A31137" w:rsidRDefault="00A31137" w:rsidP="00A31137">
      <w:r w:rsidRPr="00A31137">
        <w:t>1980, Fullilove v. Klutznick, 448 U.S. 480</w:t>
      </w:r>
    </w:p>
    <w:p w:rsidR="00A31137" w:rsidRPr="00A31137" w:rsidRDefault="00A31137" w:rsidP="00A31137">
      <w:r w:rsidRPr="00A31137">
        <w:t>National Mutual Insurance Co. v. Tidewater Transfer Co., 337 U.S. 582, 603 (1949) (opinion of Jackson, J.). However, Congress may employ racial or ethnic classifications in exercising its Spending or other legislative powers only if those classifications do not violate the equal protection component of the Due Process Clause of the Fifth Amendment. We recognize the need for careful judicial evaluation to assure that any congressional program that employs racial or ethnic criteria to accomplish the objective of remedying the present effects of past discrimination is narrowly tailored to the achievement of that goal.</w:t>
      </w:r>
    </w:p>
    <w:p w:rsidR="00A31137" w:rsidRPr="00A31137" w:rsidRDefault="00A31137" w:rsidP="00A31137">
      <w:r w:rsidRPr="00A31137">
        <w:t>1980, Fullilove v. Klutznick, 448 U.S. 480</w:t>
      </w:r>
    </w:p>
    <w:p w:rsidR="00A31137" w:rsidRPr="00A31137" w:rsidRDefault="00A31137" w:rsidP="00A31137">
      <w:r w:rsidRPr="00A31137">
        <w:t>Again, we stress the limited scope of our inquiry. Here we are not dealing with a remedial decree of a court, but with the legislative authority of Congress. Furthermore, petitioners have challenged the constitutionality of the MBE provision on its face; they have not sought damages or other specific relief for injury allegedly flowing from specific applications of the program; nor have they attempted to show that, as applied in identified situations, the MBE provision violated the constitutional or statutory rights of any party to this case. 71 In [448 U.S. 481] these circumstances, given a reasonable construction and in light of its projected administration, if we find the MBE program, on its face, to be free of constitutional defects, it must be upheld as within congressional power. Parker v. Levy, 417 U.S. 733, 760 (1974); Fortson v. Dorsey, 379 U.S. 433, 438-439 (1965); Aptheker v. Secretary of State, 378 U.S. 500,  515 (1964); see United States v. Raines, 362 U.S. 17, 20-24 (1960).</w:t>
      </w:r>
    </w:p>
    <w:p w:rsidR="00A31137" w:rsidRPr="00A31137" w:rsidRDefault="00A31137" w:rsidP="00A31137">
      <w:r w:rsidRPr="00A31137">
        <w:t>1980, Fullilove v. Klutznick, 448 U.S. 481</w:t>
      </w:r>
    </w:p>
    <w:p w:rsidR="00A31137" w:rsidRPr="00A31137" w:rsidRDefault="00A31137" w:rsidP="00A31137">
      <w:r w:rsidRPr="00A31137">
        <w:t>Our review of the regulations and guidelines governing administration of the MBE provision reveals that Congress enacted the program as a strictly remedial measure; moreover, it is a remedy that functions prospectively, in the manner of an injunctive decree. Pursuant to the administrative program, grantees and their prime contractors are required to seek out all available, qualified, bona fide MBE's; they are required to provide technical assistance as needed, to lower or waive bonding requirements where feasible, to solicit the aid of the Office of Minority Business Enterprise, the SBA, or other sources for assisting MBE's to obtain required working capital, and to give guidance through the intricacies of the bidding process. Supra at 468-469. The program assumes that grantees who undertake these efforts in good faith will obtain at least 10% participation by minority business enterprises. It is recognized that, to achieve this target, contracts will be awarded to available qualified bona fide MBE's even though they are not the lowest competitive bidders, so long as their higher bids, when challenged, are found to reflect merely attempts to cover costs inflated by the present effects of prior disadvantage and discrimination. Supra at 470-471. There is available to the grantee a provision authorized by Congress for administrative waiver on [448 U.S. 482] a case-by-case basis should there be a demonstration that, despite affirmative efforts, this level of participation cannot be achieved without departing from the objectives of the program. Supra at 469-470. There is also an administrative mechanism, including a complaint procedure, to ensure that only bona fide MBE's are encompassed by the remedial program, and to prevent unjust participation in the program by those minority firms whose access to public contracting opportunities is not impaired by the effects of prior discrimination. Supra at 471-472.</w:t>
      </w:r>
    </w:p>
    <w:p w:rsidR="00A31137" w:rsidRPr="00A31137" w:rsidRDefault="00A31137" w:rsidP="00A31137">
      <w:r w:rsidRPr="00A31137">
        <w:t>(1)</w:t>
      </w:r>
    </w:p>
    <w:p w:rsidR="00A31137" w:rsidRPr="00A31137" w:rsidRDefault="00A31137" w:rsidP="00A31137">
      <w:r w:rsidRPr="00A31137">
        <w:t>1980, Fullilove v. Klutznick, 448 U.S. 482</w:t>
      </w:r>
    </w:p>
    <w:p w:rsidR="00A31137" w:rsidRPr="00A31137" w:rsidRDefault="00A31137" w:rsidP="00A31137">
      <w:r w:rsidRPr="00A31137">
        <w:t>As a threshold matter, we reject the contention that, in the remedial context, the Congress must act in a wholly "color-blind" fashion. In Swann v. Charlotte-Mecklenburg Board of Education, 402 U.S. 1, 18-21 (1971), we rejected this argument in considering a court-formulated school desegregation remedy on the basis that examination of the racial composition of student bodies was an unavoidable starting point, and that racially based attendance assignments were permissible so long as no absolute racial balance of each school was required. In McDaniel v. Barresi, 402 U.S. 39, 41 (1971), citing Swann, we observed:</w:t>
      </w:r>
    </w:p>
    <w:p w:rsidR="00A31137" w:rsidRPr="00A31137" w:rsidRDefault="00A31137" w:rsidP="00A31137">
      <w:r w:rsidRPr="00A31137">
        <w:t>1980, Fullilove v. Klutznick, 448 U.S. 482</w:t>
      </w:r>
    </w:p>
    <w:p w:rsidR="00A31137" w:rsidRPr="00A31137" w:rsidRDefault="00A31137" w:rsidP="00A31137">
      <w:r w:rsidRPr="00A31137">
        <w:t>In this remedial process, steps will almost invariably require that students be assigned "differently because of their race." Any other approach would freeze the status quo that is the very target of all desegregation processes.</w:t>
      </w:r>
    </w:p>
    <w:p w:rsidR="00A31137" w:rsidRPr="00A31137" w:rsidRDefault="00A31137" w:rsidP="00A31137">
      <w:r w:rsidRPr="00A31137">
        <w:t>1980, Fullilove v. Klutznick, 448 U.S. 482</w:t>
      </w:r>
    </w:p>
    <w:p w:rsidR="00A31137" w:rsidRPr="00A31137" w:rsidRDefault="00A31137" w:rsidP="00A31137">
      <w:r w:rsidRPr="00A31137">
        <w:t>(Citations omitted.) And in North Carolina Board of Education v. Swann, 402 U.S. 43 (1971), we invalidated a state law that absolutely forbade assignment of any student on account of race, because it foreclosed implementation of desegregation plans that were designed to remedy constitutional violations. We held that</w:t>
      </w:r>
    </w:p>
    <w:p w:rsidR="00A31137" w:rsidRPr="00A31137" w:rsidRDefault="00A31137" w:rsidP="00A31137">
      <w:r w:rsidRPr="00A31137">
        <w:t>1980, Fullilove v. Klutznick, 448 U.S. 482</w:t>
      </w:r>
    </w:p>
    <w:p w:rsidR="00A31137" w:rsidRPr="00A31137" w:rsidRDefault="00A31137" w:rsidP="00A31137">
      <w:r w:rsidRPr="00A31137">
        <w:t>[j]ust as the race of students must be considered in determining whether a constitutional violation has occurred, so also must race be considered in formulating a remedy.</w:t>
      </w:r>
    </w:p>
    <w:p w:rsidR="00A31137" w:rsidRPr="00A31137" w:rsidRDefault="00A31137" w:rsidP="00A31137">
      <w:r w:rsidRPr="00A31137">
        <w:t>1980, Fullilove v. Klutznick, 448 U.S. 482</w:t>
      </w:r>
    </w:p>
    <w:p w:rsidR="00A31137" w:rsidRPr="00A31137" w:rsidRDefault="00A31137" w:rsidP="00A31137">
      <w:r w:rsidRPr="00A31137">
        <w:t xml:space="preserve">Id. at  46. [448 U.S. 483] </w:t>
      </w:r>
    </w:p>
    <w:p w:rsidR="00A31137" w:rsidRPr="00A31137" w:rsidRDefault="00A31137" w:rsidP="00A31137">
      <w:r w:rsidRPr="00A31137">
        <w:t>1980, Fullilove v. Klutznick, 448 U.S. 483</w:t>
      </w:r>
    </w:p>
    <w:p w:rsidR="00A31137" w:rsidRPr="00A31137" w:rsidRDefault="00A31137" w:rsidP="00A31137">
      <w:r w:rsidRPr="00A31137">
        <w:t>In these school desegregation cases we dealt with the authority of a federal court to formulate a remedy for unconstitutional racial discrimination. However, the authority of a court to incorporate racial criteria into a remedial decree also extends to statutory violations. Where federal antidiscrimination laws have been violated, an equitable remedy may, in the appropriate case, include a racial or ethnic factor. Franks v. Bowman Transportation Co., 424 U.S. 747 (1976); see Teamsters v. United States, 431 U.S. 324 (1977); Albemarle Paper Co. v. Moody, 422 U.S. 405 (1975). In another setting, we have held that a state may employ racial criteria that are reasonably necessary to assure compliance with federal voting rights legislation, even though the state action does not entail the remedy of a constitutional violation. United Jewish Organizations of Williamsburgh, Inc. v. Carey, 430 U.S. 144, 147-165 (1977) (opinion of WHITE, J., joined by BRENNAN, BLACKMUN, and STEVENS, JJ.); id. at 180-187 (BURGER, C.J., dissenting on other grounds).</w:t>
      </w:r>
    </w:p>
    <w:p w:rsidR="00A31137" w:rsidRPr="00A31137" w:rsidRDefault="00A31137" w:rsidP="00A31137">
      <w:r w:rsidRPr="00A31137">
        <w:t>1980, Fullilove v. Klutznick, 448 U.S. 483</w:t>
      </w:r>
    </w:p>
    <w:p w:rsidR="00A31137" w:rsidRPr="00A31137" w:rsidRDefault="00A31137" w:rsidP="00A31137">
      <w:r w:rsidRPr="00A31137">
        <w:t>When we have discussed the remedial powers of a federal court, we have been alert to the limitation that</w:t>
      </w:r>
    </w:p>
    <w:p w:rsidR="00A31137" w:rsidRPr="00A31137" w:rsidRDefault="00A31137" w:rsidP="00A31137">
      <w:r w:rsidRPr="00A31137">
        <w:t>1980, Fullilove v. Klutznick, 448 U.S. 483</w:t>
      </w:r>
    </w:p>
    <w:p w:rsidR="00A31137" w:rsidRPr="00A31137" w:rsidRDefault="00A31137" w:rsidP="00A31137">
      <w:r w:rsidRPr="00A31137">
        <w:t>[t]he power of the federal courts to restructure the operation of local and state governmental entities "is not plenary…. " [A] federal court is required to tailor "the scope of the remedy" to fit the nature and extent of the…violation.</w:t>
      </w:r>
    </w:p>
    <w:p w:rsidR="00A31137" w:rsidRPr="00A31137" w:rsidRDefault="00A31137" w:rsidP="00A31137">
      <w:r w:rsidRPr="00A31137">
        <w:t>1980, Fullilove v. Klutznick, 448 U.S. 483</w:t>
      </w:r>
    </w:p>
    <w:p w:rsidR="00A31137" w:rsidRPr="00A31137" w:rsidRDefault="00A31137" w:rsidP="00A31137">
      <w:r w:rsidRPr="00A31137">
        <w:t>Dayton Board of Education v. Brinkman, 433 U.S. 406, 419-420 (1977) (quoting Milliken v. Bradley, 418 U.S. 717,  738 (1974), and Swann v. Charlotte-Mecklenburg Board of Education, supra at  16).</w:t>
      </w:r>
    </w:p>
    <w:p w:rsidR="00A31137" w:rsidRPr="00A31137" w:rsidRDefault="00A31137" w:rsidP="00A31137">
      <w:r w:rsidRPr="00A31137">
        <w:t>1980, Fullilove v. Klutznick, 448 U.S. 483</w:t>
      </w:r>
    </w:p>
    <w:p w:rsidR="00A31137" w:rsidRPr="00A31137" w:rsidRDefault="00A31137" w:rsidP="00A31137">
      <w:r w:rsidRPr="00A31137">
        <w:t>Here we deal, as we noted earlier, not with the limited remedial powers of a federal court, for example, but with the broad remedial powers of Congress. It is fundamental that in no organ of government, state or federal, does there repose a more comprehensive remedial power than in the Congress, expressly charged by the Constitution with competence and authority to enforce equal protection guarantees. Congress not only may induce voluntary action to assure compliance [448 U.S. 484] with existing federal statutory or constitutional antidiscrimination provisions, but also where Congress has authority to declare certain conduct unlawful, it may, as here, authorize and induce state action to avoid such conduct. Supra at 473-480.</w:t>
      </w:r>
    </w:p>
    <w:p w:rsidR="00A31137" w:rsidRPr="00A31137" w:rsidRDefault="00A31137" w:rsidP="00A31137">
      <w:r w:rsidRPr="00A31137">
        <w:t>(2)</w:t>
      </w:r>
    </w:p>
    <w:p w:rsidR="00A31137" w:rsidRPr="00A31137" w:rsidRDefault="00A31137" w:rsidP="00A31137">
      <w:r w:rsidRPr="00A31137">
        <w:t>1980, Fullilove v. Klutznick, 448 U.S. 484</w:t>
      </w:r>
    </w:p>
    <w:p w:rsidR="00A31137" w:rsidRPr="00A31137" w:rsidRDefault="00A31137" w:rsidP="00A31137">
      <w:r w:rsidRPr="00A31137">
        <w:t>A more specific challenge to the MBE program is the charge that it impermissibly deprives nonminority businesses of access to at least some portion of the government contracting opportunities generated by the Act. It must be conceded that, by its objective of remedying the historical impairment of access, the MBE provision can have the effect of awarding some contracts to MBE's which otherwise might be awarded to other businesses, who may themselves be innocent of any prior discriminatory actions. Failure of nonminority firms to receive certain contracts is, of course, an incidental consequence of the program, not part of its objective; similarly, past impairment of minority-firm access to public contracting opportunities may have been an incidental consequence of "business as usual" by public contracting agencies and among prime contractors.</w:t>
      </w:r>
    </w:p>
    <w:p w:rsidR="00A31137" w:rsidRPr="00A31137" w:rsidRDefault="00A31137" w:rsidP="00A31137">
      <w:r w:rsidRPr="00A31137">
        <w:t>1980, Fullilove v. Klutznick, 448 U.S. 484</w:t>
      </w:r>
    </w:p>
    <w:p w:rsidR="00A31137" w:rsidRPr="00A31137" w:rsidRDefault="00A31137" w:rsidP="00A31137">
      <w:r w:rsidRPr="00A31137">
        <w:t>It is not a constitutional defect in this program that it may disappoint the expectations of nonminority firms. When effectuating a limited and properly tailored remedy to cure the effects of prior discrimination, such "a sharing of the burden" by innocent parties is not impermissible. Franks, supra at 777; see Albemarle Paper Co., supra; United Jewish Organizations, supra. The actual "burden" shouldered by nonminority firms is relatively light in this connection when we consider the scope of this public works program as compared with overall construction contracting opportunities. 72 Moreover, although we may assume that the complaining [448 U.S. 485] parties are innocent of any discriminatory conduct, it was within congressional power to act on the assumption that in the past some nonminority businesses may have reaped competitive benefit over the years from the virtual exclusion of minority firms from these contracting opportunities.</w:t>
      </w:r>
    </w:p>
    <w:p w:rsidR="00A31137" w:rsidRPr="00A31137" w:rsidRDefault="00A31137" w:rsidP="00A31137">
      <w:r w:rsidRPr="00A31137">
        <w:t>(3)</w:t>
      </w:r>
    </w:p>
    <w:p w:rsidR="00A31137" w:rsidRPr="00A31137" w:rsidRDefault="00A31137" w:rsidP="00A31137">
      <w:r w:rsidRPr="00A31137">
        <w:t>1980, Fullilove v. Klutznick, 448 U.S. 485</w:t>
      </w:r>
    </w:p>
    <w:p w:rsidR="00A31137" w:rsidRPr="00A31137" w:rsidRDefault="00A31137" w:rsidP="00A31137">
      <w:r w:rsidRPr="00A31137">
        <w:t>Another challenge to the validity of the MBE program is the assertion that it is underinclusive—that it limits its benefit to specified minority groups, rather than extending its remedial objectives to all businesses whose access to government contracting is impaired by the effects of disadvantage or discrimination. Such an extension would, of course, be appropriate for Congress to provide; it is not a function for the courts.</w:t>
      </w:r>
    </w:p>
    <w:p w:rsidR="00A31137" w:rsidRPr="00A31137" w:rsidRDefault="00A31137" w:rsidP="00A31137">
      <w:r w:rsidRPr="00A31137">
        <w:t>1980, Fullilove v. Klutznick, 448 U.S. 485</w:t>
      </w:r>
    </w:p>
    <w:p w:rsidR="00A31137" w:rsidRPr="00A31137" w:rsidRDefault="00A31137" w:rsidP="00A31137">
      <w:r w:rsidRPr="00A31137">
        <w:t>Even in this context, the well established concept that a legislature may take one step at a time to remedy only part of a broader problem is not without relevance. See Dandridge v. Williams, 397 U.S. 471 (1970); Williamson v. Lee Optical Co., 348 U.S. 483 (1955). We are not reviewing a federal program that seeks to confer a preferred status upon a nondisadvantaged minority or to give special assistance to only one of several groups established to be similarly disadvantaged minorities. Even in such a setting, the Congress is not without a certain authority. See, e.g., Personnel Administrator of Massachusetts v. Feeney, 442 U.S. 256 (1979); Califano v. Webster, 430 U.S. 313 (1977); Morton v Mancari, 417 U.S. 535 (1974).</w:t>
      </w:r>
    </w:p>
    <w:p w:rsidR="00A31137" w:rsidRPr="00A31137" w:rsidRDefault="00A31137" w:rsidP="00A31137">
      <w:r w:rsidRPr="00A31137">
        <w:t>1980, Fullilove v. Klutznick, 448 U.S. 485</w:t>
      </w:r>
    </w:p>
    <w:p w:rsidR="00A31137" w:rsidRPr="00A31137" w:rsidRDefault="00A31137" w:rsidP="00A31137">
      <w:r w:rsidRPr="00A31137">
        <w:t>The Congress has not sought to give select minority groups a preferred standing in the construction industry, but has [448 U.S. 486] embarked on a remedial program to place them on a more equitable footing with respect to public contracting opportunities. There has been no showing in this case that Congress has inadvertently effected an invidious discrimination by excluding from coverage an identifiable minority group that has been the victim of a degree of disadvantage and discrimination equal to or greater than that suffered by the groups encompassed by the MBE program. It is not inconceivable that, on very special facts, a case might be made to challenge the congressional decision to limit MBE eligibility to the particular minority groups identified in the Act. See Vance v. Bradley, 440 U.S. 93, 109-112 (1979); Oregon v. Mitchell, 400 U.S. at  240 (opinion of BRENNAN, WHITE, and MARSHALL, JJ.). But on this record, we find no basis to hold that Congress is without authority to undertake the kind of limited remedial effort represented by the MBE program. Congress, not the courts, has the heavy burden of dealing with a host of intractable economic and social problems</w:t>
      </w:r>
    </w:p>
    <w:p w:rsidR="00A31137" w:rsidRPr="00A31137" w:rsidRDefault="00A31137" w:rsidP="00A31137">
      <w:r w:rsidRPr="00A31137">
        <w:t>(4)</w:t>
      </w:r>
    </w:p>
    <w:p w:rsidR="00A31137" w:rsidRPr="00A31137" w:rsidRDefault="00A31137" w:rsidP="00A31137">
      <w:r w:rsidRPr="00A31137">
        <w:t>1980, Fullilove v. Klutznick, 448 U.S. 486</w:t>
      </w:r>
    </w:p>
    <w:p w:rsidR="00A31137" w:rsidRPr="00A31137" w:rsidRDefault="00A31137" w:rsidP="00A31137">
      <w:r w:rsidRPr="00A31137">
        <w:t>It is also contended that the MBE program is overinclusive—that it bestows a benefit on businesses identified by racial or ethnic criteria which cannot be justified on the basis of competitive criteria or as a remedy for the present effects of identified prior discrimination. It is conceivable that a particular application of the program may have this effect; however, the peculiarities of specific applications are not before us in this case. We are not presented here with a challenge involving a specific award of a construction contract or the denial of a waiver request; such questions of specific application must await future cases.</w:t>
      </w:r>
    </w:p>
    <w:p w:rsidR="00A31137" w:rsidRPr="00A31137" w:rsidRDefault="00A31137" w:rsidP="00A31137">
      <w:r w:rsidRPr="00A31137">
        <w:t>1980, Fullilove v. Klutznick, 448 U.S. 486</w:t>
      </w:r>
    </w:p>
    <w:p w:rsidR="00A31137" w:rsidRPr="00A31137" w:rsidRDefault="00A31137" w:rsidP="00A31137">
      <w:r w:rsidRPr="00A31137">
        <w:t>This does not mean that the claim of overinclusiveness is entitled to no consideration in the present case. The history of governmental tolerance of practices using racial or ethnic criteria for the purpose or with the effect of imposing an invidious discrimination must alert us to the deleterious [448 U.S. 487] effects of even benign racial or ethnic classifications when they stray from narrow remedial justifications. Even in the context of a facial challenge such as is presented in this case, the MBE provision cannot pass muster unless, with due account for its administrative program, it provides a reasonable assurance that application of racial or ethnic criteria will be limited to accomplishing the remedial objectives of Congress, and that misapplications of the program will be promptly and adequately remedied administratively.</w:t>
      </w:r>
    </w:p>
    <w:p w:rsidR="00A31137" w:rsidRPr="00A31137" w:rsidRDefault="00A31137" w:rsidP="00A31137">
      <w:r w:rsidRPr="00A31137">
        <w:t>1980, Fullilove v. Klutznick, 448 U.S. 487</w:t>
      </w:r>
    </w:p>
    <w:p w:rsidR="00A31137" w:rsidRPr="00A31137" w:rsidRDefault="00A31137" w:rsidP="00A31137">
      <w:r w:rsidRPr="00A31137">
        <w:t>It is significant that the administrative scheme provides for waiver and exemption. Two fundamental congressional assumptions underlie the MBE program: (1) that the present effects of past discrimination have impaired the competitive position of businesses owned and controlled by members of minority groups; and (2) that affirmative efforts to eliminate barriers to minority firm access, and to evaluate bids with adjustment for the present effects of past discrimination, would assure that at least 10% of the federal funds granted under the Public Works Employment Act of 1977 would be accounted for by contracts with available, qualified, bona fide minority business enterprises. Each of these assumptions may be rebutted in the administrative process.</w:t>
      </w:r>
    </w:p>
    <w:p w:rsidR="00A31137" w:rsidRPr="00A31137" w:rsidRDefault="00A31137" w:rsidP="00A31137">
      <w:r w:rsidRPr="00A31137">
        <w:t>1980, Fullilove v. Klutznick, 448 U.S. 487</w:t>
      </w:r>
    </w:p>
    <w:p w:rsidR="00A31137" w:rsidRPr="00A31137" w:rsidRDefault="00A31137" w:rsidP="00A31137">
      <w:r w:rsidRPr="00A31137">
        <w:t>The administrative program contains measures to effectuate the congressional objective of assuring legitimate participation by disadvantaged MBE's. Administrative definition has tightened some less definite aspects of the statutory identification of the minority groups encompassed by the program. 73 There is administrative scrutiny to identify and [448 U.S. 488] eliminate from participation in the program MBE's who are not "bona fide" within the regulations and guidelines; for example, spurious minority-front entities can be exposed. A significant aspect of this surveillance is the complaint procedure available for reporting "unjust participation by an enterprise or individuals in the MBE program." Supra at  472. And even as to specific contract awards, waiver is available to avoid dealing with an MBE who is attempting to exploit the remedial aspects of the program by charging an unreasonable price, i.e., a price not attributable to the present effects of past discrimination. Supra at 469-471. We must assume that Congress intended close scrutiny of false claims and prompt action on them.</w:t>
      </w:r>
    </w:p>
    <w:p w:rsidR="00A31137" w:rsidRPr="00A31137" w:rsidRDefault="00A31137" w:rsidP="00A31137">
      <w:r w:rsidRPr="00A31137">
        <w:t>1980, Fullilove v. Klutznick, 448 U.S. 488</w:t>
      </w:r>
    </w:p>
    <w:p w:rsidR="00A31137" w:rsidRPr="00A31137" w:rsidRDefault="00A31137" w:rsidP="00A31137">
      <w:r w:rsidRPr="00A31137">
        <w:t xml:space="preserve">Grantees are given the opportunity to demonstrate that their best efforts will not succeed or have not succeeded in achieving the statutory 10% target for minority firm participation within the limitations of the program's remedial objectives. In these circumstances, a waiver or partial waiver is available once compliance has been demonstrated. A waiver may be sought and granted at any time during the contracting process, or even prior to letting contracts, if the facts warrant. [448 U.S. 489] </w:t>
      </w:r>
    </w:p>
    <w:p w:rsidR="00A31137" w:rsidRPr="00A31137" w:rsidRDefault="00A31137" w:rsidP="00A31137">
      <w:r w:rsidRPr="00A31137">
        <w:t>1980, Fullilove v. Klutznick, 448 U.S. 489</w:t>
      </w:r>
    </w:p>
    <w:p w:rsidR="00A31137" w:rsidRPr="00A31137" w:rsidRDefault="00A31137" w:rsidP="00A31137">
      <w:r w:rsidRPr="00A31137">
        <w:t>Nor is the program defective because a waiver may be sought only by the grantee, and not by prime contractors who may experience difficulty in fulfilling contract obligations to assure minority participation. It may be administratively cumbersome, but the wisdom of concentrating responsibility at the grantee level is not for us to evaluate; the purpose is to allow the EDA to maintain close supervision of the operation of the MBE provision. The administrative complaint mechanism allows for grievances of prime contractors who assert that a grantee has failed to seek a waiver in an appropriate case. Finally, we note that, where private parties, as opposed to governmental entities, transgress the limitations inherent in the MBE program, the possibility of constitutional violation is more removed. See Steelworkers v. Weber, 443 U.S. 193, 20 (1979).</w:t>
      </w:r>
    </w:p>
    <w:p w:rsidR="00A31137" w:rsidRPr="00A31137" w:rsidRDefault="00A31137" w:rsidP="00A31137">
      <w:r w:rsidRPr="00A31137">
        <w:t>1980, Fullilove v. Klutznick, 448 U.S. 489</w:t>
      </w:r>
    </w:p>
    <w:p w:rsidR="00A31137" w:rsidRPr="00A31137" w:rsidRDefault="00A31137" w:rsidP="00A31137">
      <w:r w:rsidRPr="00A31137">
        <w:t xml:space="preserve">That the use of racial and ethnic criteria is premised on assumptions rebuttable in the administrative process gives reasonable assurance that application of the MBE program will be limited to accomplishing the remedial objectives contemplated by Congress, and that misapplications of the racial and ethnic criteria can be remedied. In dealing with this facial challenge to the statute, doubts must be resolved in support of the congressional judgment that this limited program is a necessary step to effectuate the constitutional mandate for equality of economic opportunity. The MBE provision may be viewed as a pilot project, appropriately limited in extent and duration, and subject to reassessment and reevaluation by the Congress prior to any extension or reenactment. 74 Miscarriages of administration could have only a transitory economic impact on businesses not encompassed by the program, and would not be irremediable. [448 U.S. 490] </w:t>
      </w:r>
    </w:p>
    <w:p w:rsidR="00A31137" w:rsidRPr="00A31137" w:rsidRDefault="00A31137" w:rsidP="00A31137">
      <w:r w:rsidRPr="00A31137">
        <w:t>IV</w:t>
      </w:r>
    </w:p>
    <w:p w:rsidR="00A31137" w:rsidRPr="00A31137" w:rsidRDefault="00A31137" w:rsidP="00A31137">
      <w:r w:rsidRPr="00A31137">
        <w:t>1980, Fullilove v. Klutznick, 448 U.S. 490</w:t>
      </w:r>
    </w:p>
    <w:p w:rsidR="00A31137" w:rsidRPr="00A31137" w:rsidRDefault="00A31137" w:rsidP="00A31137">
      <w:r w:rsidRPr="00A31137">
        <w:t>Congress, after due consideration, perceived a pressing need to move forward with new approaches in the continuing effort to achieve the goal of equality of economic opportunity. In this effort, Congress has necessary latitude to try new techniques such as the limited use of racial and ethnic criteria to accomplish remedial objectives; this is especially so in programs where voluntary cooperation with remedial measures is induced by placing conditions on federal expenditures. That the program may press the outer limits of congressional authority affords no basis for striking it down.</w:t>
      </w:r>
    </w:p>
    <w:p w:rsidR="00A31137" w:rsidRPr="00A31137" w:rsidRDefault="00A31137" w:rsidP="00A31137">
      <w:r w:rsidRPr="00A31137">
        <w:t>1980, Fullilove v. Klutznick, 448 U.S. 490</w:t>
      </w:r>
    </w:p>
    <w:p w:rsidR="00A31137" w:rsidRPr="00A31137" w:rsidRDefault="00A31137" w:rsidP="00A31137">
      <w:r w:rsidRPr="00A31137">
        <w:t>Petitioners have mounted a facial challenge to a program developed by the politically responsive branches of Government. For its part, the Congress must proceed only with programs narrowly tailored to achieve its objectives, subject to continuing evaluation and reassessment; administration of the programs must be vigilant and flexible; and, when such a program comes under judicial review, courts must be satisfied that the legislative objectives and projected administration give reasonable assurance that the program will function within constitutional limitations. But as Mr. Justice Jackson admonished in a different context in 1941: 75</w:t>
      </w:r>
    </w:p>
    <w:p w:rsidR="00A31137" w:rsidRPr="00A31137" w:rsidRDefault="00A31137" w:rsidP="00A31137">
      <w:r w:rsidRPr="00A31137">
        <w:t>1980, Fullilove v. Klutznick, 448 U.S. 490</w:t>
      </w:r>
    </w:p>
    <w:p w:rsidR="00A31137" w:rsidRPr="00A31137" w:rsidRDefault="00A31137" w:rsidP="00A31137">
      <w:r w:rsidRPr="00A31137">
        <w:t>The Supreme Court can maintain itself and succeed in its tasks only if the counsels of self-restraint urged most earnestly by members of the Court itself are humbly and faithfully heeded. After the forces of conservatism and liberalism, of radicalism and reaction, of emotion and of self-interest are all caught up in the legislative process and averaged and come to rest in some compromise measure such as the Missouri Compromise, the N.R.A. the A.A.A., a minimum wage law, or some other legislative policy, a decision striking it down closes an area of compromise in which conflicts have actually, if only [448 U.S. 491] temporarily, been composed. Each such decision takes away from our democratic federalism another of its defenses against domestic disorder and violence. The vice of judicial supremacy, as exerted for ninety years in the field of policy, has been its progressive closing of the avenues to peaceful and democratic conciliation of our social and economic conflicts.</w:t>
      </w:r>
    </w:p>
    <w:p w:rsidR="00A31137" w:rsidRPr="00A31137" w:rsidRDefault="00A31137" w:rsidP="00A31137">
      <w:r w:rsidRPr="00A31137">
        <w:t>1980, Fullilove v. Klutznick, 448 U.S. 491</w:t>
      </w:r>
    </w:p>
    <w:p w:rsidR="00A31137" w:rsidRPr="00A31137" w:rsidRDefault="00A31137" w:rsidP="00A31137">
      <w:r w:rsidRPr="00A31137">
        <w:t>Mr. Justice Jackson reiterated these thoughts shortly before his death in what was to be the last of his Godkin Lectures: 76</w:t>
      </w:r>
    </w:p>
    <w:p w:rsidR="00A31137" w:rsidRPr="00A31137" w:rsidRDefault="00A31137" w:rsidP="00A31137">
      <w:r w:rsidRPr="00A31137">
        <w:t>1980, Fullilove v. Klutznick, 448 U.S. 491</w:t>
      </w:r>
    </w:p>
    <w:p w:rsidR="00A31137" w:rsidRPr="00A31137" w:rsidRDefault="00A31137" w:rsidP="00A31137">
      <w:r w:rsidRPr="00A31137">
        <w:t>I have said that, in these matters, the Court must respect the limitations on its own powers, because judicial usurpation is to me no more justifiable and no more promising of permanent good to the country than any other kind. So I presuppose a Court that will not depart from the judicial process, will not go beyond resolving cases and controversies brought to it in conventional form, and will not consciously encroach upon the functions of its coordinate branches.</w:t>
      </w:r>
    </w:p>
    <w:p w:rsidR="00A31137" w:rsidRPr="00A31137" w:rsidRDefault="00A31137" w:rsidP="00A31137">
      <w:r w:rsidRPr="00A31137">
        <w:t>1980, Fullilove v. Klutznick, 448 U.S. 491</w:t>
      </w:r>
    </w:p>
    <w:p w:rsidR="00A31137" w:rsidRPr="00A31137" w:rsidRDefault="00A31137" w:rsidP="00A31137">
      <w:r w:rsidRPr="00A31137">
        <w:t>In a different context, to be sure, that is, in discussing the latitude which should be allowed to states in trying to meet social and economic problems, Mr. Justice Brandeis had this to say:</w:t>
      </w:r>
    </w:p>
    <w:p w:rsidR="00A31137" w:rsidRPr="00A31137" w:rsidRDefault="00A31137" w:rsidP="00A31137">
      <w:r w:rsidRPr="00A31137">
        <w:t>1980, Fullilove v. Klutznick, 448 U.S. 491</w:t>
      </w:r>
    </w:p>
    <w:p w:rsidR="00A31137" w:rsidRPr="00A31137" w:rsidRDefault="00A31137" w:rsidP="00A31137">
      <w:r w:rsidRPr="00A31137">
        <w:t>To stay experimentation in things social and economic is a grave responsibility. Denial of the right to experiment may be fraught with serious consequences to the Nation.</w:t>
      </w:r>
    </w:p>
    <w:p w:rsidR="00A31137" w:rsidRPr="00A31137" w:rsidRDefault="00A31137" w:rsidP="00A31137">
      <w:r w:rsidRPr="00A31137">
        <w:t>1980, Fullilove v. Klutznick, 448 U.S. 491</w:t>
      </w:r>
    </w:p>
    <w:p w:rsidR="00A31137" w:rsidRPr="00A31137" w:rsidRDefault="00A31137" w:rsidP="00A31137">
      <w:r w:rsidRPr="00A31137">
        <w:t>New State Ice Co. v. Liebmann, 285 U.S. 262,  311 (1932) (dissenting opinion).</w:t>
      </w:r>
    </w:p>
    <w:p w:rsidR="00A31137" w:rsidRPr="00A31137" w:rsidRDefault="00A31137" w:rsidP="00A31137">
      <w:r w:rsidRPr="00A31137">
        <w:t>1980, Fullilove v. Klutznick, 448 U.S. 491</w:t>
      </w:r>
    </w:p>
    <w:p w:rsidR="00A31137" w:rsidRPr="00A31137" w:rsidRDefault="00A31137" w:rsidP="00A31137">
      <w:r w:rsidRPr="00A31137">
        <w:t>Any preference based on racial or ethnic criteria must necessarily receive a most searching examination to make sure that it does not conflict with constitutional guarantees. This case is one which requires, and which has received, that kind [448 U.S. 492] of examination. This opinion does not adopt, either expressly or implicitly, the formulas of analysis articulated in such cases as University of California Regents v. Bakke, 438 U.S. 265 (1978). However, our analysis demonstrates that the MBE provision would survive judicial review under either "test" articulated in the several Bakke opinions. The MBE provision of the Public Works Employment Act of 1977 does not violate the Constitution. 77</w:t>
      </w:r>
    </w:p>
    <w:p w:rsidR="00A31137" w:rsidRPr="00A31137" w:rsidRDefault="00A31137" w:rsidP="00A31137">
      <w:r w:rsidRPr="00A31137">
        <w:t>1980, Fullilove v. Klutznick, 448 U.S. 492</w:t>
      </w:r>
    </w:p>
    <w:p w:rsidR="00A31137" w:rsidRPr="00A31137" w:rsidRDefault="00A31137" w:rsidP="00A31137">
      <w:r w:rsidRPr="00A31137">
        <w:t>Affirmed.</w:t>
      </w:r>
    </w:p>
    <w:p w:rsidR="00A31137" w:rsidRPr="00A31137" w:rsidRDefault="00A31137" w:rsidP="00A31137">
      <w:r w:rsidRPr="00A31137">
        <w:t>APPENDIX TO OPINION OF BURGER, C.J.</w:t>
      </w:r>
    </w:p>
    <w:p w:rsidR="00A31137" w:rsidRPr="00A31137" w:rsidRDefault="00A31137" w:rsidP="00A31137">
      <w:r w:rsidRPr="00A31137">
        <w:t>1980, Fullilove v. Klutznick, 448 U.S. 492</w:t>
      </w:r>
    </w:p>
    <w:p w:rsidR="00A31137" w:rsidRPr="00A31137" w:rsidRDefault="00A31137" w:rsidP="00A31137">
      <w:r w:rsidRPr="00A31137">
        <w:t>¶ 1. The EDA Guidelines, at 2-7, provide in relevant part:</w:t>
      </w:r>
    </w:p>
    <w:p w:rsidR="00A31137" w:rsidRPr="00A31137" w:rsidRDefault="00A31137" w:rsidP="00A31137">
      <w:r w:rsidRPr="00A31137">
        <w:t>1980, Fullilove v. Klutznick, 448 U.S. 492</w:t>
      </w:r>
    </w:p>
    <w:p w:rsidR="00A31137" w:rsidRPr="00A31137" w:rsidRDefault="00A31137" w:rsidP="00A31137">
      <w:r w:rsidRPr="00A31137">
        <w:t>The primary obligation for carrying out the 10% MBE participation requirement rests with EDA Grantees…. The Grantee and those of its contractors which will make subcontracts or purchase substantial supplies from other firms (hereinafter referred to as "prime contractors") must seek out all available bon fide MBE's and make every effort to use as many of them as possible on the project.</w:t>
      </w:r>
    </w:p>
    <w:p w:rsidR="00A31137" w:rsidRPr="00A31137" w:rsidRDefault="00A31137" w:rsidP="00A31137">
      <w:r w:rsidRPr="00A31137">
        <w:t>1980, Fullilove v. Klutznick, 448 U.S. 492</w:t>
      </w:r>
    </w:p>
    <w:p w:rsidR="00A31137" w:rsidRPr="00A31137" w:rsidRDefault="00A31137" w:rsidP="00A31137">
      <w:r w:rsidRPr="00A31137">
        <w:t>An MBE is bona fide if the minority group ownership interests are real and continuing, and not created solely to meet 10% MBE requirements. For example, the minority group owners or stockholders should possess control over management, interest in capital and interest in earnings commensurate with the percentage of ownership [448 U.S. 493] on which the claim of minority ownership status is based….</w:t>
      </w:r>
    </w:p>
    <w:p w:rsidR="00A31137" w:rsidRPr="00A31137" w:rsidRDefault="00A31137" w:rsidP="00A31137">
      <w:r w:rsidRPr="00A31137">
        <w:t>1980, Fullilove v. Klutznick, 448 U.S. 493</w:t>
      </w:r>
    </w:p>
    <w:p w:rsidR="00A31137" w:rsidRPr="00A31137" w:rsidRDefault="00A31137" w:rsidP="00A31137">
      <w:r w:rsidRPr="00A31137">
        <w:t>An MBE is available if the project is located in the market area of the MBE and the MBE can perform project services or supply project materials at the time they are needed. The relevant market area depends on the kind of services or supplies which are needed…. EDA will require that Grantees and prime contractors engage MBE's from as wide a market area as is economically feasible.</w:t>
      </w:r>
    </w:p>
    <w:p w:rsidR="00A31137" w:rsidRPr="00A31137" w:rsidRDefault="00A31137" w:rsidP="00A31137">
      <w:r w:rsidRPr="00A31137">
        <w:t>1980, Fullilove v. Klutznick, 448 U.S. 493</w:t>
      </w:r>
    </w:p>
    <w:p w:rsidR="00A31137" w:rsidRPr="00A31137" w:rsidRDefault="00A31137" w:rsidP="00A31137">
      <w:r w:rsidRPr="00A31137">
        <w:t>An MBE is qualified if it can perform the services or supply the materials that are needed. Grantees and prime contractors will be expected to use MBE's with less experience than available nonminority enterprises, and should expect to provide technical assistance to MBE's as needed. Inability to obtain bonding will ordinarily not disqualify an MBE. Grantees and prime contractors are expected to help MBE's obtain bonding, to include MBE's in any overall bond or to waive bonding where feasible. The Small Business Administration (SBA) is prepared to provide a 90% guarantee for the bond of any MBE participating in an LPW [local public works] project. Lack of working capital will not ordinarily disqualify an MBE. SBA is prepared to provide working capital assistance to any MBE participating in an LPW project. Grantees and prime contractors are expected to assist MBE's in obtaining working capital through SBA or otherwise.</w:t>
      </w:r>
    </w:p>
    <w:p w:rsidR="00A31137" w:rsidRPr="00A31137" w:rsidRDefault="00A31137" w:rsidP="00A31137">
      <w:r w:rsidRPr="00A31137">
        <w:t>1980, Fullilove v. Klutznick, 448 U.S. 493</w:t>
      </w:r>
    </w:p>
    <w:p w:rsidR="00A31137" w:rsidRPr="00A31137" w:rsidRDefault="00A31137" w:rsidP="00A31137">
      <w:r w:rsidRPr="00A31137">
        <w:t>…[E]very Grantee should make sure that it knows the names, addresses and qualifications of all relevant MBE's which would include the project location in their market areas…. Grantees should also hold prebid conferences to which they invite interested contractors and representatives of…MBE support organizations.</w:t>
      </w:r>
    </w:p>
    <w:p w:rsidR="00A31137" w:rsidRPr="00A31137" w:rsidRDefault="00A31137" w:rsidP="00A31137">
      <w:r w:rsidRPr="00A31137">
        <w:t>1980, Fullilove v. Klutznick, 448 U.S. 493</w:t>
      </w:r>
    </w:p>
    <w:p w:rsidR="00A31137" w:rsidRPr="00A31137" w:rsidRDefault="00A31137" w:rsidP="00A31137">
      <w:r w:rsidRPr="00A31137">
        <w:t>Arrangements have been made through the Office of Minority Business Enterprise…to provide assistance [448 U.S. 494] to Grantees and prime contractors in fulfilling the 10% MBE requirement….</w:t>
      </w:r>
    </w:p>
    <w:p w:rsidR="00A31137" w:rsidRPr="00A31137" w:rsidRDefault="00A31137" w:rsidP="00A31137">
      <w:r w:rsidRPr="00A31137">
        <w:t>1980, Fullilove v. Klutznick, 448 U.S. 494</w:t>
      </w:r>
    </w:p>
    <w:p w:rsidR="00A31137" w:rsidRPr="00A31137" w:rsidRDefault="00A31137" w:rsidP="00A31137">
      <w:r w:rsidRPr="00A31137">
        <w:t>Grantees and prime contractors should also be aware of other support which is available from the Small Business Administration….</w:t>
      </w:r>
    </w:p>
    <w:p w:rsidR="00A31137" w:rsidRPr="00A31137" w:rsidRDefault="00A31137" w:rsidP="00A31137">
      <w:r w:rsidRPr="00A31137">
        <w:t>1980, Fullilove v. Klutznick, 448 U.S. 494</w:t>
      </w:r>
    </w:p>
    <w:p w:rsidR="00A31137" w:rsidRPr="00A31137" w:rsidRDefault="00A31137" w:rsidP="00A31137">
      <w:r w:rsidRPr="00A31137">
        <w:t>…[T]he Grantee must monitor the performance of its prime contractors to make sure that their commitments to expend funds for MBE's are being fulfilled…. Grantees should administer every project tightly….</w:t>
      </w:r>
    </w:p>
    <w:p w:rsidR="00A31137" w:rsidRPr="00A31137" w:rsidRDefault="00A31137" w:rsidP="00A31137">
      <w:r w:rsidRPr="00A31137">
        <w:t>1980, Fullilove v. Klutznick, 448 U.S. 494</w:t>
      </w:r>
    </w:p>
    <w:p w:rsidR="00A31137" w:rsidRPr="00A31137" w:rsidRDefault="00A31137" w:rsidP="00A31137">
      <w:r w:rsidRPr="00A31137">
        <w:t>¶ 2. The EDA guidelines, at 13-15, provide in relevant part:</w:t>
      </w:r>
    </w:p>
    <w:p w:rsidR="00A31137" w:rsidRPr="00A31137" w:rsidRDefault="00A31137" w:rsidP="00A31137">
      <w:r w:rsidRPr="00A31137">
        <w:t>1980, Fullilove v. Klutznick, 448 U.S. 494</w:t>
      </w:r>
    </w:p>
    <w:p w:rsidR="00A31137" w:rsidRPr="00A31137" w:rsidRDefault="00A31137" w:rsidP="00A31137">
      <w:r w:rsidRPr="00A31137">
        <w:t>Although a provision for waiver is included under this section of the Act, EDA will only approve a waiver under exceptional circumstances. The Grantee must demonstrate that there are not sufficient, relevant, qualified minority business enterprises whose market areas include the project location to justify a waiver. The Grantee must detail in its waiver request the efforts the Grantee and potential contractors have exerted to locate and enlist MBE's. The request must indicate the specific MBE's which were contacted and the reason each MBE was not used….</w:t>
      </w:r>
    </w:p>
    <w:p w:rsidR="00A31137" w:rsidRPr="00A31137" w:rsidRDefault="00A31137" w:rsidP="00A31137">
      <w:r w:rsidRPr="00A31137">
        <w:t>*    *    *    *</w:t>
      </w:r>
    </w:p>
    <w:p w:rsidR="00A31137" w:rsidRPr="00A31137" w:rsidRDefault="00A31137" w:rsidP="00A31137">
      <w:r w:rsidRPr="00A31137">
        <w:t>1980, Fullilove v. Klutznick, 448 U.S. 494</w:t>
      </w:r>
    </w:p>
    <w:p w:rsidR="00A31137" w:rsidRPr="00A31137" w:rsidRDefault="00A31137" w:rsidP="00A31137">
      <w:r w:rsidRPr="00A31137">
        <w:t>Only the Grantee can request a waiver…. Such a waiver request would ordinarily be made after the initial bidding or negotiation procedures proved unsuccessful….</w:t>
      </w:r>
    </w:p>
    <w:p w:rsidR="00A31137" w:rsidRPr="00A31137" w:rsidRDefault="00A31137" w:rsidP="00A31137">
      <w:r w:rsidRPr="00A31137">
        <w:t>*    *    *    *</w:t>
      </w:r>
    </w:p>
    <w:p w:rsidR="00A31137" w:rsidRPr="00A31137" w:rsidRDefault="00A31137" w:rsidP="00A31137">
      <w:r w:rsidRPr="00A31137">
        <w:t>1980, Fullilove v. Klutznick, 448 U.S. 494</w:t>
      </w:r>
    </w:p>
    <w:p w:rsidR="00A31137" w:rsidRPr="00A31137" w:rsidRDefault="00A31137" w:rsidP="00A31137">
      <w:r w:rsidRPr="00A31137">
        <w:t>[A] Grantee situated in an area where the minority population is very small may apply for a waiver before requesting bids on its project or projects….</w:t>
      </w:r>
    </w:p>
    <w:p w:rsidR="00A31137" w:rsidRPr="00A31137" w:rsidRDefault="00A31137" w:rsidP="00A31137">
      <w:r w:rsidRPr="00A31137">
        <w:t>1980, Fullilove v. Klutznick, 448 U.S. 494</w:t>
      </w:r>
    </w:p>
    <w:p w:rsidR="00A31137" w:rsidRPr="00A31137" w:rsidRDefault="00A31137" w:rsidP="00A31137">
      <w:r w:rsidRPr="00A31137">
        <w:t>¶ 3. The EDA Technical Bulletin, at 1, provides the following definitions:</w:t>
      </w:r>
    </w:p>
    <w:p w:rsidR="00A31137" w:rsidRPr="00A31137" w:rsidRDefault="00A31137" w:rsidP="00A31137">
      <w:r w:rsidRPr="00A31137">
        <w:t>1980, Fullilove v. Klutznick, 448 U.S. 494</w:t>
      </w:r>
    </w:p>
    <w:p w:rsidR="00A31137" w:rsidRPr="00A31137" w:rsidRDefault="00A31137" w:rsidP="00A31137">
      <w:r w:rsidRPr="00A31137">
        <w:t>a) Negro—An individual of the black race of African origin.</w:t>
      </w:r>
    </w:p>
    <w:p w:rsidR="00A31137" w:rsidRPr="00A31137" w:rsidRDefault="00A31137" w:rsidP="00A31137">
      <w:r w:rsidRPr="00A31137">
        <w:t>1980, Fullilove v. Klutznick, 448 U.S. 494</w:t>
      </w:r>
    </w:p>
    <w:p w:rsidR="00A31137" w:rsidRPr="00A31137" w:rsidRDefault="00A31137" w:rsidP="00A31137">
      <w:r w:rsidRPr="00A31137">
        <w:t xml:space="preserve">b) Spanish-speaking—An individual of a Spanish-speaking culture and origin or parentage. [448 U.S. 495] </w:t>
      </w:r>
    </w:p>
    <w:p w:rsidR="00A31137" w:rsidRPr="00A31137" w:rsidRDefault="00A31137" w:rsidP="00A31137">
      <w:r w:rsidRPr="00A31137">
        <w:t>1980, Fullilove v. Klutznick, 448 U.S. 495</w:t>
      </w:r>
    </w:p>
    <w:p w:rsidR="00A31137" w:rsidRPr="00A31137" w:rsidRDefault="00A31137" w:rsidP="00A31137">
      <w:r w:rsidRPr="00A31137">
        <w:t>c) Oriental—An individual of a culture, origin or parentage traceable to the areas south of the Soviet Union, East of Iran, inclusive of islands adjacent thereto, and out to the Pacific including but not limited to Indonesia, Indochina, Malaysia, Hawaii and the Philippines.</w:t>
      </w:r>
    </w:p>
    <w:p w:rsidR="00A31137" w:rsidRPr="00A31137" w:rsidRDefault="00A31137" w:rsidP="00A31137">
      <w:r w:rsidRPr="00A31137">
        <w:t>1980, Fullilove v. Klutznick, 448 U.S. 495</w:t>
      </w:r>
    </w:p>
    <w:p w:rsidR="00A31137" w:rsidRPr="00A31137" w:rsidRDefault="00A31137" w:rsidP="00A31137">
      <w:r w:rsidRPr="00A31137">
        <w:t>d) Indian—An individual having origins in any of the original people of North America and who is recognized as an Indian by either a tribe, tribal organization or a suitable authority in the community. (A suitable authority in the community may be: educational institutions, religious organizations, or state agencies.)</w:t>
      </w:r>
    </w:p>
    <w:p w:rsidR="00A31137" w:rsidRPr="00A31137" w:rsidRDefault="00A31137" w:rsidP="00A31137">
      <w:r w:rsidRPr="00A31137">
        <w:t>1980, Fullilove v. Klutznick, 448 U.S. 495</w:t>
      </w:r>
    </w:p>
    <w:p w:rsidR="00A31137" w:rsidRPr="00A31137" w:rsidRDefault="00A31137" w:rsidP="00A31137">
      <w:r w:rsidRPr="00A31137">
        <w:t>e) Eskimo—An individual having origins in any of the original peoples of Alaska.</w:t>
      </w:r>
    </w:p>
    <w:p w:rsidR="00A31137" w:rsidRPr="00A31137" w:rsidRDefault="00A31137" w:rsidP="00A31137">
      <w:r w:rsidRPr="00A31137">
        <w:t>1980, Fullilove v. Klutznick, 448 U.S. 495</w:t>
      </w:r>
    </w:p>
    <w:p w:rsidR="00A31137" w:rsidRPr="00A31137" w:rsidRDefault="00A31137" w:rsidP="00A31137">
      <w:r w:rsidRPr="00A31137">
        <w:t>f) Aleut—An individual having origins in any of the original peoples of the Aleutian Islands.</w:t>
      </w:r>
    </w:p>
    <w:p w:rsidR="00A31137" w:rsidRPr="00A31137" w:rsidRDefault="00A31137" w:rsidP="00A31137">
      <w:r w:rsidRPr="00A31137">
        <w:t>1980, Fullilove v. Klutznick, 448 U.S. 495</w:t>
      </w:r>
    </w:p>
    <w:p w:rsidR="00A31137" w:rsidRPr="00A31137" w:rsidRDefault="00A31137" w:rsidP="00A31137">
      <w:r w:rsidRPr="00A31137">
        <w:t>¶ 4. The EDA Technical Bulletin, at 19, provides in relevant part:</w:t>
      </w:r>
    </w:p>
    <w:p w:rsidR="00A31137" w:rsidRPr="00A31137" w:rsidRDefault="00A31137" w:rsidP="00A31137">
      <w:r w:rsidRPr="00A31137">
        <w:t>1980, Fullilove v. Klutznick, 448 U.S. 495</w:t>
      </w:r>
    </w:p>
    <w:p w:rsidR="00A31137" w:rsidRPr="00A31137" w:rsidRDefault="00A31137" w:rsidP="00A31137">
      <w:r w:rsidRPr="00A31137">
        <w:t>Any person or organization with information indicating unjust participation by an enterprise or individuals in the MBE program or who believes that the MBE participation requirement is being improperly applied should contact the appropriate EDA grantee and provide a detailed statement of the basis for the complaint.</w:t>
      </w:r>
    </w:p>
    <w:p w:rsidR="00A31137" w:rsidRPr="00A31137" w:rsidRDefault="00A31137" w:rsidP="00A31137">
      <w:r w:rsidRPr="00A31137">
        <w:t>1980, Fullilove v. Klutznick, 448 U.S. 495</w:t>
      </w:r>
    </w:p>
    <w:p w:rsidR="00A31137" w:rsidRPr="00A31137" w:rsidRDefault="00A31137" w:rsidP="00A31137">
      <w:r w:rsidRPr="00A31137">
        <w:t>Upon receipt of a complaint, the grantee should attempt to resolve the issues in dispute. In the event the grantee requires assistance in reaching a determination, the grantee should contact the Civil Rights Specialist in the appropriate Regional Office.</w:t>
      </w:r>
    </w:p>
    <w:p w:rsidR="00A31137" w:rsidRPr="00A31137" w:rsidRDefault="00A31137" w:rsidP="00A31137">
      <w:r w:rsidRPr="00A31137">
        <w:t>1980, Fullilove v. Klutznick, 448 U.S. 495</w:t>
      </w:r>
    </w:p>
    <w:p w:rsidR="00A31137" w:rsidRPr="00A31137" w:rsidRDefault="00A31137" w:rsidP="00A31137">
      <w:r w:rsidRPr="00A31137">
        <w:t>If the complainant believes that the grantee has not satisfactorily resolved the issues raised in his complaint, he may personally contact the EDA Regional Office.</w:t>
      </w:r>
    </w:p>
    <w:p w:rsidR="00A31137" w:rsidRPr="00A31137" w:rsidRDefault="00A31137" w:rsidP="00A31137">
      <w:r w:rsidRPr="00A31137">
        <w:t>POWELL, J., concurring</w:t>
      </w:r>
    </w:p>
    <w:p w:rsidR="00A31137" w:rsidRPr="00A31137" w:rsidRDefault="00A31137" w:rsidP="00A31137">
      <w:r w:rsidRPr="00A31137">
        <w:t>1980, Fullilove v. Klutznick, 448 U.S. 495</w:t>
      </w:r>
    </w:p>
    <w:p w:rsidR="00A31137" w:rsidRPr="00A31137" w:rsidRDefault="00A31137" w:rsidP="00A31137">
      <w:r w:rsidRPr="00A31137">
        <w:t>MR. JUSTICE POWELL, concurring.</w:t>
      </w:r>
    </w:p>
    <w:p w:rsidR="00A31137" w:rsidRPr="00A31137" w:rsidRDefault="00A31137" w:rsidP="00A31137">
      <w:r w:rsidRPr="00A31137">
        <w:t>1980, Fullilove v. Klutznick, 448 U.S. 495</w:t>
      </w:r>
    </w:p>
    <w:p w:rsidR="00A31137" w:rsidRPr="00A31137" w:rsidRDefault="00A31137" w:rsidP="00A31137">
      <w:r w:rsidRPr="00A31137">
        <w:t>Although I would place greater emphasis than THE CHIEF JUSTICE on the need to articulate judicial standards of review [448 U.S. 496] in conventional terms, I view his opinion announcing the judgment as substantially in accord with my own views. Accordingly, I join that opinion and write separately to apply the analysis set forth by my opinion in University of California Regents v. Bakke, 438 U.S. 265 (1978) (hereinafter Bakke).</w:t>
      </w:r>
    </w:p>
    <w:p w:rsidR="00A31137" w:rsidRPr="00A31137" w:rsidRDefault="00A31137" w:rsidP="00A31137">
      <w:r w:rsidRPr="00A31137">
        <w:t>1980, Fullilove v. Klutznick, 448 U.S. 496</w:t>
      </w:r>
    </w:p>
    <w:p w:rsidR="00A31137" w:rsidRPr="00A31137" w:rsidRDefault="00A31137" w:rsidP="00A31137">
      <w:r w:rsidRPr="00A31137">
        <w:t>The question in this case is whether Congress may enact the requirement in § 103(f)(2) of the Public Works Employment Act of 1977 (PWEA), that 10% of federal grants for local public work projects funded by the Act be set aside for minority business enterprises. Section 103(f)(2) employs a racial classification that is constitutionally prohibited unless it is a necessary means of advancing a compelling governmental interest. Bakke, supra, at  299,  305; see In re Griffiths, 413 U.S. 717, 721-722 (1973); Loving v. Virginia, 388 U.S. 1,  11 (1967); McLaughlin v. Florida, 379 U.S. 184,  196 (1964). For the reason stated in my Bakke opinion, I consider adherence to this standard as important and consistent with precedent.</w:t>
      </w:r>
    </w:p>
    <w:p w:rsidR="00A31137" w:rsidRPr="00A31137" w:rsidRDefault="00A31137" w:rsidP="00A31137">
      <w:r w:rsidRPr="00A31137">
        <w:t>1980, Fullilove v. Klutznick, 448 U.S. 496</w:t>
      </w:r>
    </w:p>
    <w:p w:rsidR="00A31137" w:rsidRPr="00A31137" w:rsidRDefault="00A31137" w:rsidP="00A31137">
      <w:r w:rsidRPr="00A31137">
        <w:t xml:space="preserve">The Equal Protection Clause, and the equal protection component of the Due Process Clause of the Fifth Amendment, demand that any governmental distinction among groups must be justifiable. Different standards of review applied to different sorts of classifications simply illustrate the principle that some classifications are less likely to be legitimate than others. Racial classifications must be assessed under the most stringent level of review, because immutable characteristics, which bear no relation to individual merit or need, are irrelevant to almost every governmental decision. See, e.g., Anderson v. Martin, 375 U.S. 399, 402-404 (1964). In this case, however, I believe that § 103(f)(2) is justified as a remedy that serves the compelling governmental interest in eradicating the continuing effects of past discrimination identified by Congress. 1 [448 U.S. 497] </w:t>
      </w:r>
    </w:p>
    <w:p w:rsidR="00A31137" w:rsidRPr="00A31137" w:rsidRDefault="00A31137" w:rsidP="00A31137">
      <w:r w:rsidRPr="00A31137">
        <w:t>I</w:t>
      </w:r>
    </w:p>
    <w:p w:rsidR="00A31137" w:rsidRPr="00A31137" w:rsidRDefault="00A31137" w:rsidP="00A31137">
      <w:r w:rsidRPr="00A31137">
        <w:t>1980, Fullilove v. Klutznick, 448 U.S. 497</w:t>
      </w:r>
    </w:p>
    <w:p w:rsidR="00A31137" w:rsidRPr="00A31137" w:rsidRDefault="00A31137" w:rsidP="00A31137">
      <w:r w:rsidRPr="00A31137">
        <w:t>Racial preference never can constitute a compelling state interest.</w:t>
      </w:r>
    </w:p>
    <w:p w:rsidR="00A31137" w:rsidRPr="00A31137" w:rsidRDefault="00A31137" w:rsidP="00A31137">
      <w:r w:rsidRPr="00A31137">
        <w:t>1980, Fullilove v. Klutznick, 448 U.S. 497</w:t>
      </w:r>
    </w:p>
    <w:p w:rsidR="00A31137" w:rsidRPr="00A31137" w:rsidRDefault="00A31137" w:rsidP="00A31137">
      <w:r w:rsidRPr="00A31137">
        <w:t>"Distinctions between citizens solely because of their ancestry" [are] "odious to a free people whose institutions are founded upon the doctrine of equality."</w:t>
      </w:r>
    </w:p>
    <w:p w:rsidR="00A31137" w:rsidRPr="00A31137" w:rsidRDefault="00A31137" w:rsidP="00A31137">
      <w:r w:rsidRPr="00A31137">
        <w:t>1980, Fullilove v. Klutznick, 448 U.S. 497</w:t>
      </w:r>
    </w:p>
    <w:p w:rsidR="00A31137" w:rsidRPr="00A31137" w:rsidRDefault="00A31137" w:rsidP="00A31137">
      <w:r w:rsidRPr="00A31137">
        <w:t>Loving v. Virginia, supra at  11, quoting Hirabayashi v. United States, 320 U.S. 81,  100 (1943). Thus, if the set-aside merely expresses a congressional desire to prefer one racial or ethnic group over another, § 103(f)(2) violates the equal protection component in the Due Process Clause of the Fifth Amendment. See Bolling v. Sharpe, 347 U.S. 497,  499 (1954) .</w:t>
      </w:r>
    </w:p>
    <w:p w:rsidR="00A31137" w:rsidRPr="00A31137" w:rsidRDefault="00A31137" w:rsidP="00A31137">
      <w:r w:rsidRPr="00A31137">
        <w:t>1980, Fullilove v. Klutznick, 448 U.S. 497</w:t>
      </w:r>
    </w:p>
    <w:p w:rsidR="00A31137" w:rsidRPr="00A31137" w:rsidRDefault="00A31137" w:rsidP="00A31137">
      <w:r w:rsidRPr="00A31137">
        <w:t>The Government does have a legitimate interest in ameliorating the disabling effects of identified discrimination. Bakke, supra, at  307; see, e.g., Keyes v. School District No. 1, Denver, Colo., 413 U.S. 189,  236 (1973) (POWELL, J., concurring in part and dissenting in part); McDaniel v. Barresi, 402 U.S. 39, 41 (1971); North Carolina Board of Education v. Swann, 402 U.S. 43,  45 46 (1971); Green v. County School Board, 391 U.S. 430, 437-438 (1968). The existence of illegal discrimination justifies the imposition of a remedy that will "make persons whole for injuries suffered on account of unlawful…discrimination." Albemarle Paper Co. v. Moody, 422 U.S. 405, 418 (1975). A critical inquiry, therefore, is whether § 103(f)(2) was enacted as a means of redressing such discrimination. But this Court has never approved race-conscious remedies absent judicial, administrative, or legislative findings of constitutional or statutory violations. Bakke, supra, at  307; see, e.g., Teamsters v. United [448 U.S. 498] States, 431 U.S. 324, 367-376 (1977); United Jewish Organizations v. Carey, 430 U.S. 144, 155-159 (1977) (opinion of WHITE, J.); South Carolina v. Katzenbach, 383 U.S. 301, 308-315 (1966).</w:t>
      </w:r>
    </w:p>
    <w:p w:rsidR="00A31137" w:rsidRPr="00A31137" w:rsidRDefault="00A31137" w:rsidP="00A31137">
      <w:r w:rsidRPr="00A31137">
        <w:t>1980, Fullilove v. Klutznick, 448 U.S. 498</w:t>
      </w:r>
    </w:p>
    <w:p w:rsidR="00A31137" w:rsidRPr="00A31137" w:rsidRDefault="00A31137" w:rsidP="00A31137">
      <w:r w:rsidRPr="00A31137">
        <w:t>Because the distinction between permissible remedial action and impermissible racial preference rests on the existence of a constitutional or statutory violation, the legitimate interest in creating a race-conscious remedy is not compelling unless an appropriate governmental authority has found that such a violation has occurred. In other words, two requirements must be met. First, the governmental body that attempts to impose a race-conscious remedy must have the authority to act in response to identified discrimination. Cf. Hampton v. Mow Sun Wong, 426 U.S. 88, 103 (1976). Second, the governmental body must make findings that demonstrate the existence of illegal discrimination. In Bakke, the Regents failed both requirements. They were entrusted only with educational functions, and they made no findings of past discrimination. Thus, no compelling governmental interest was present to justify the use of a racial quota in medical school admissions. Bakke, supra at 309-310.</w:t>
      </w:r>
    </w:p>
    <w:p w:rsidR="00A31137" w:rsidRPr="00A31137" w:rsidRDefault="00A31137" w:rsidP="00A31137">
      <w:r w:rsidRPr="00A31137">
        <w:t>1980, Fullilove v. Klutznick, 448 U.S. 498</w:t>
      </w:r>
    </w:p>
    <w:p w:rsidR="00A31137" w:rsidRPr="00A31137" w:rsidRDefault="00A31137" w:rsidP="00A31137">
      <w:r w:rsidRPr="00A31137">
        <w:t>Our past cases also establish that, even if the government proffers a compelling interest to support reliance upon a suspect classification, the means selected must be narrowly drawn to fulfill the governmental purpose. In re Griffiths, supra at 721-722. In Bakke, for example, the state university did have a compelling interest in the attainment of a diverse student body. But the method selected to achieve that end, the use of a fixed admissions quota, was not appropriate. The Regents' quota system eliminated some nonminority applicants from all consideration for a specified number of seats in the entering class, although it allowed minority applicants to compete for all available seats. 438 U.S. at 275-276. In contrast, an admissions program that recognizes race as a factor, but not the sole factor, in assessing an applicant's qualifications serves the university's interest in diversity [448 U.S. 499] while ensuring that each applicant receives fair and competitive consideration. Id. at 317-318.</w:t>
      </w:r>
    </w:p>
    <w:p w:rsidR="00A31137" w:rsidRPr="00A31137" w:rsidRDefault="00A31137" w:rsidP="00A31137">
      <w:r w:rsidRPr="00A31137">
        <w:t>1980, Fullilove v. Klutznick, 448 U.S. 499</w:t>
      </w:r>
    </w:p>
    <w:p w:rsidR="00A31137" w:rsidRPr="00A31137" w:rsidRDefault="00A31137" w:rsidP="00A31137">
      <w:r w:rsidRPr="00A31137">
        <w:t>In reviewing the constitutionality of § 103(f)(2), we must decide (i) whether Congress is competent to make findings of unlawful discrimination; (ii) if so, whether sufficient findings have been made to establish that unlawful discrimination has affected adversely minority business enterprises, and (iii) whether the 10% set-aside is a permissible means for redressing identifiable past discrimination. None of these questions may be answered without explicit recognition that we are reviewing an Act of Congress.</w:t>
      </w:r>
    </w:p>
    <w:p w:rsidR="00A31137" w:rsidRPr="00A31137" w:rsidRDefault="00A31137" w:rsidP="00A31137">
      <w:r w:rsidRPr="00A31137">
        <w:t>II</w:t>
      </w:r>
    </w:p>
    <w:p w:rsidR="00A31137" w:rsidRPr="00A31137" w:rsidRDefault="00A31137" w:rsidP="00A31137">
      <w:r w:rsidRPr="00A31137">
        <w:t>1980, Fullilove v. Klutznick, 448 U.S. 499</w:t>
      </w:r>
    </w:p>
    <w:p w:rsidR="00A31137" w:rsidRPr="00A31137" w:rsidRDefault="00A31137" w:rsidP="00A31137">
      <w:r w:rsidRPr="00A31137">
        <w:t>The history of this Court's review of congressional action demonstrates beyond question that the National Legislature is competent to find constitutional and statutory violations. Unlike the Regents of the University of California, Congress properly may—and indeed must—address directly the problems of discrimination in our society. See Heart of Atlanta Motel, Inc. v. United States, 379 U.S. 241,  257 (1964). In Katzenbach v. McClung, 379 U.S. 294,  304 (1964), for example, this Court held that Congress had the power under the Commerce Clause to prohibit racial discrimination in public restaurants on the basis of its "finding[s] that [such discrimination] had a direct and adverse effect on the free flow of interstate commerce."</w:t>
      </w:r>
    </w:p>
    <w:p w:rsidR="00A31137" w:rsidRPr="00A31137" w:rsidRDefault="00A31137" w:rsidP="00A31137">
      <w:r w:rsidRPr="00A31137">
        <w:t>1980, Fullilove v. Klutznick, 448 U.S. 499</w:t>
      </w:r>
    </w:p>
    <w:p w:rsidR="00A31137" w:rsidRPr="00A31137" w:rsidRDefault="00A31137" w:rsidP="00A31137">
      <w:r w:rsidRPr="00A31137">
        <w:t>Similarly, after hearing "overwhelming" evidence of private employment discrimination, see H.R.Rep. No. 914, 88th Cong., 1st Sess., pt. 2, p. 26 (1963), Congress enacted Title VII of the Civil Rights Act of 1964 in order</w:t>
      </w:r>
    </w:p>
    <w:p w:rsidR="00A31137" w:rsidRPr="00A31137" w:rsidRDefault="00A31137" w:rsidP="00A31137">
      <w:r w:rsidRPr="00A31137">
        <w:t>1980, Fullilove v. Klutznick, 448 U.S. 499</w:t>
      </w:r>
    </w:p>
    <w:p w:rsidR="00A31137" w:rsidRPr="00A31137" w:rsidRDefault="00A31137" w:rsidP="00A31137">
      <w:r w:rsidRPr="00A31137">
        <w:t>to assure equality of employment opportunities and to eliminate those discriminatory practices and devices which have fostered racially stratified job environments to the disadvantage of minority citizens.</w:t>
      </w:r>
    </w:p>
    <w:p w:rsidR="00A31137" w:rsidRPr="00A31137" w:rsidRDefault="00A31137" w:rsidP="00A31137">
      <w:r w:rsidRPr="00A31137">
        <w:t>1980, Fullilove v. Klutznick, 448 U.S. 499</w:t>
      </w:r>
    </w:p>
    <w:p w:rsidR="00A31137" w:rsidRPr="00A31137" w:rsidRDefault="00A31137" w:rsidP="00A31137">
      <w:r w:rsidRPr="00A31137">
        <w:t>McDonnell Douglas Corp. v. Green, 411 U.S. 792, 800 (1973). Acting to further the purposes of Title VII, Congress vested in the federal courts broad equitable discretion [448 U.S. 500] to ensure that</w:t>
      </w:r>
    </w:p>
    <w:p w:rsidR="00A31137" w:rsidRPr="00A31137" w:rsidRDefault="00A31137" w:rsidP="00A31137">
      <w:r w:rsidRPr="00A31137">
        <w:t>1980, Fullilove v. Klutznick, 448 U.S. 500</w:t>
      </w:r>
    </w:p>
    <w:p w:rsidR="00A31137" w:rsidRPr="00A31137" w:rsidRDefault="00A31137" w:rsidP="00A31137">
      <w:r w:rsidRPr="00A31137">
        <w:t>"persons aggrieved by the consequences and effects of the unlawful employment practice be, so far as possible, restored to a position where they would have been were it not for the unlawful discrimination."</w:t>
      </w:r>
    </w:p>
    <w:p w:rsidR="00A31137" w:rsidRPr="00A31137" w:rsidRDefault="00A31137" w:rsidP="00A31137">
      <w:r w:rsidRPr="00A31137">
        <w:t>1980, Fullilove v. Klutznick, 448 U.S. 500</w:t>
      </w:r>
    </w:p>
    <w:p w:rsidR="00A31137" w:rsidRPr="00A31137" w:rsidRDefault="00A31137" w:rsidP="00A31137">
      <w:r w:rsidRPr="00A31137">
        <w:t>Franks v. Bowman Transportation Co., 424 U.S. 747, 764 (1976), quoting Section-by-Section Analysis of H.R. 1746, accompanying the Equal Employment Opportunity Act of 1972—Conference Report, 118 Cong.Rec. 7166, 7168 (1972).</w:t>
      </w:r>
    </w:p>
    <w:p w:rsidR="00A31137" w:rsidRPr="00A31137" w:rsidRDefault="00A31137" w:rsidP="00A31137">
      <w:r w:rsidRPr="00A31137">
        <w:t>1980, Fullilove v. Klutznick, 448 U.S. 500</w:t>
      </w:r>
    </w:p>
    <w:p w:rsidR="00A31137" w:rsidRPr="00A31137" w:rsidRDefault="00A31137" w:rsidP="00A31137">
      <w:r w:rsidRPr="00A31137">
        <w:t>In addition, Congress has been given the unique constitutional power of legislating to enforce the provisions of the Thirteenth, Fourteenth, and Fifteenth Amendments. 2 At an early date, the Court stated that "[i]t is the power of Congress which has been enlarged" by the enforcement provisions of the post-Civil War Amendments. Ex parte Virginia, 100 U.S. 339,  345 (1880). In Jones v. Alfred H. Mayer &amp; Co., 392 U.S. 409, 441-443 (1968), the Court recognized Congress' competence to determine that private action inhibiting the right to acquire and convey real property was racial discrimination forbidden by the Thirteenth Amendment. Subsequently, we held that Congress' enactment of 42 U.S.C. § 1981 pursuant to its powers under the Thirteenth Amendment, see Runyon v. McCrary, 427 U.S. 160, 168-170, 179 (1976), provides to all persons a federal remedy for racial discrimination in private employment. See McDonald v. Sante Fe Transportation Co., 427 U.S. 273, 295-296 (1976); Johnson v. Railway Express Agency, Inc., 421 U.S. 454, 459-460 (1975).</w:t>
      </w:r>
    </w:p>
    <w:p w:rsidR="00A31137" w:rsidRPr="00A31137" w:rsidRDefault="00A31137" w:rsidP="00A31137">
      <w:r w:rsidRPr="00A31137">
        <w:t>1980, Fullilove v. Klutznick, 448 U.S. 500</w:t>
      </w:r>
    </w:p>
    <w:p w:rsidR="00A31137" w:rsidRPr="00A31137" w:rsidRDefault="00A31137" w:rsidP="00A31137">
      <w:r w:rsidRPr="00A31137">
        <w:t>In Katzenbach v. Morgan, 384 U.S. 641 (1966), the Court considered whether § 5 of the Fourteenth Amendment gave Congress the power to enact § 4(e) of the Voting Rights Act of 1965, 42 U.S.C. § 1973b(e). Section 4(e) provides [448 U.S. 501] that no person educated in Puerto Rico may be denied the right to vote in any election for failure to read or write the English language. The Court held that Congress was empowered to enact § 4(e) as a remedy for discrimination against the Puerto Rican community. 384 U.S. at 652-653. Implicit in its holding was the Court's belief that Congress had the authority to find, and had found, that members of this minority group had suffered governmental discrimination.</w:t>
      </w:r>
    </w:p>
    <w:p w:rsidR="00A31137" w:rsidRPr="00A31137" w:rsidRDefault="00A31137" w:rsidP="00A31137">
      <w:r w:rsidRPr="00A31137">
        <w:t>1980, Fullilove v. Klutznick, 448 U.S. 501</w:t>
      </w:r>
    </w:p>
    <w:p w:rsidR="00A31137" w:rsidRPr="00A31137" w:rsidRDefault="00A31137" w:rsidP="00A31137">
      <w:r w:rsidRPr="00A31137">
        <w:t xml:space="preserve">Congress' authority to find and provide for the redress of constitutional violations also has been confirmed in cases construing the Enforcement Clause of the Fifteenth Amendment. In South Carolina v. Katzenbach, 383 U.S. at  308, for example, the Court upheld the Voting Rights Act of 1965, 42 U.S.C. § 1973 et seq., as an appropriate remedy for violations of the Fifteenth Amendment. It noted that Congress had found "insidious and pervasive" discrimination demanding "ster[n] and…elaborate" measures. 383 U.S. at  309. Most relevant to our present inquiry was the Court's express approval of Congress' decision to "prescrib[e] remedies for voting discrimination which go into effect without the need for prior adjudication." Id. at 327-328. 3 [448 U.S. 502] </w:t>
      </w:r>
    </w:p>
    <w:p w:rsidR="00A31137" w:rsidRPr="00A31137" w:rsidRDefault="00A31137" w:rsidP="00A31137">
      <w:r w:rsidRPr="00A31137">
        <w:t>1980, Fullilove v. Klutznick, 448 U.S. 502</w:t>
      </w:r>
    </w:p>
    <w:p w:rsidR="00A31137" w:rsidRPr="00A31137" w:rsidRDefault="00A31137" w:rsidP="00A31137">
      <w:r w:rsidRPr="00A31137">
        <w:t>It is beyond question, therefore, that Congress has the authority to identify unlawful discriminatory practices, to prohibit those practices, and to prescribe remedies to eradicate their continuing effects. The next inquiry is whether Congress has made findings adequate to support its determination that minority contractors have suffered extensive discrimination.</w:t>
      </w:r>
    </w:p>
    <w:p w:rsidR="00A31137" w:rsidRPr="00A31137" w:rsidRDefault="00A31137" w:rsidP="00A31137">
      <w:r w:rsidRPr="00A31137">
        <w:t>III</w:t>
      </w:r>
    </w:p>
    <w:p w:rsidR="00A31137" w:rsidRPr="00A31137" w:rsidRDefault="00A31137" w:rsidP="00A31137">
      <w:r w:rsidRPr="00A31137">
        <w:t>A</w:t>
      </w:r>
    </w:p>
    <w:p w:rsidR="00A31137" w:rsidRPr="00A31137" w:rsidRDefault="00A31137" w:rsidP="00A31137">
      <w:r w:rsidRPr="00A31137">
        <w:t>1980, Fullilove v. Klutznick, 448 U.S. 502</w:t>
      </w:r>
    </w:p>
    <w:p w:rsidR="00A31137" w:rsidRPr="00A31137" w:rsidRDefault="00A31137" w:rsidP="00A31137">
      <w:r w:rsidRPr="00A31137">
        <w:t>The petitioners contend that the legislative history of § 103(f)(2) reflects no congressional finding of statutory or constitutional violations. Crucial to that contention is the assertion that a reviewing court may not look beyond the legislative history of the PWEA itself for evidence that Congress believed it was combating invidious discrimination. But petitioners' theory would erect an artificial barrier to full understanding of the legislative process.</w:t>
      </w:r>
    </w:p>
    <w:p w:rsidR="00A31137" w:rsidRPr="00A31137" w:rsidRDefault="00A31137" w:rsidP="00A31137">
      <w:r w:rsidRPr="00A31137">
        <w:t>1980, Fullilove v. Klutznick, 448 U.S. 502</w:t>
      </w:r>
    </w:p>
    <w:p w:rsidR="00A31137" w:rsidRPr="00A31137" w:rsidRDefault="00A31137" w:rsidP="00A31137">
      <w:r w:rsidRPr="00A31137">
        <w:t>Congress is not an adjudicatory body called upon to resolve specific disputes between competing adversaries. Its constitutional role is to be representative, rather than impartial, to make policy, rather than to apply settled principles of law. The petitioners' contention that this Court should treat the debates on § 103(f)(2) as the complete "record" of congressional decisionmaking underlying that statute is essentially a plea that we treat Congress as if it were a lower federal court. But Congress is not expected to act as though it were duty bound to find facts and make conclusions of law. The creation of national rules for the governance of our society simply does not entail the same concept of recordmaking that is appropriate to a judicial or administrative proceeding. Congress has no responsibility to confine its vision to the facts and evidence adduced by particular parties. Instead, its special [448 U.S. 503] attribute as a legislative body lies in its broader mission to investigate and consider all facts and opinions that may be relevant to the resolution of an issue. One appropriate source is the information and expertise that Congress acquires in the consideration and enactment of earlier legislation. After Congress has legislated repeatedly in an area of national concern, its Members gain experience that may reduce the need for fresh hearings or prolonged debate when Congress again considers action in that area.</w:t>
      </w:r>
    </w:p>
    <w:p w:rsidR="00A31137" w:rsidRPr="00A31137" w:rsidRDefault="00A31137" w:rsidP="00A31137">
      <w:r w:rsidRPr="00A31137">
        <w:t>1980, Fullilove v. Klutznick, 448 U.S. 503</w:t>
      </w:r>
    </w:p>
    <w:p w:rsidR="00A31137" w:rsidRPr="00A31137" w:rsidRDefault="00A31137" w:rsidP="00A31137">
      <w:r w:rsidRPr="00A31137">
        <w:t>Acceptance of petitioners' argument would force Congress to make specific factual findings with respect to each legislative action. Such a requirement would mark an unprecedented imposition of adjudicatory procedures upon a coordinate branch of Government. Neither the Constitution nor our democratic tradition warrants such a constraint on the legislative process. I therefore conclude that we are not confined in this case to an examination of the legislative history of § 103(f)(2) alone. Rather, we properly may examine the total contemporary record of congressional action dealing with the problems of racial discrimination against minority business enterprises.</w:t>
      </w:r>
    </w:p>
    <w:p w:rsidR="00A31137" w:rsidRPr="00A31137" w:rsidRDefault="00A31137" w:rsidP="00A31137">
      <w:r w:rsidRPr="00A31137">
        <w:t>B</w:t>
      </w:r>
    </w:p>
    <w:p w:rsidR="00A31137" w:rsidRPr="00A31137" w:rsidRDefault="00A31137" w:rsidP="00A31137">
      <w:r w:rsidRPr="00A31137">
        <w:t>1980, Fullilove v. Klutznick, 448 U.S. 503</w:t>
      </w:r>
    </w:p>
    <w:p w:rsidR="00A31137" w:rsidRPr="00A31137" w:rsidRDefault="00A31137" w:rsidP="00A31137">
      <w:r w:rsidRPr="00A31137">
        <w:t>In my view, the legislative history of § 103(f)(2) demonstrates that Congress reasonably concluded that private and governmental discrimination had contributed to the negligible percentage of public contracts awarded minority contractors. 4 [448 U.S. 504] The opinion of THE CHIEF JUSTICE provides a careful overview of the relevant legislative history, see ante at 456-467, to which only a few words need be added.</w:t>
      </w:r>
    </w:p>
    <w:p w:rsidR="00A31137" w:rsidRPr="00A31137" w:rsidRDefault="00A31137" w:rsidP="00A31137">
      <w:r w:rsidRPr="00A31137">
        <w:t>1980, Fullilove v. Klutznick, 448 U.S. 504</w:t>
      </w:r>
    </w:p>
    <w:p w:rsidR="00A31137" w:rsidRPr="00A31137" w:rsidRDefault="00A31137" w:rsidP="00A31137">
      <w:r w:rsidRPr="00A31137">
        <w:t>Section 103(f)(2) originated in an amendment introduced on the floor of the House of Representatives by Representative Mitchell. Congressman Mitchell noted that the Federal Government was already operating a set-aside program under § 8(a) of the Small Business Act, 15 U.S.C. § 637(a). He described his proposal as</w:t>
      </w:r>
    </w:p>
    <w:p w:rsidR="00A31137" w:rsidRPr="00A31137" w:rsidRDefault="00A31137" w:rsidP="00A31137">
      <w:r w:rsidRPr="00A31137">
        <w:t>1980, Fullilove v. Klutznick, 448 U.S. 504</w:t>
      </w:r>
    </w:p>
    <w:p w:rsidR="00A31137" w:rsidRPr="00A31137" w:rsidRDefault="00A31137" w:rsidP="00A31137">
      <w:r w:rsidRPr="00A31137">
        <w:t>the only sensible way for us to begin to develop a viable economic system for minorities in this country, with the ultimate result being that we are going to eventually be able to…end certain programs which are merely support survival programs for people which do not contribute to the economy.</w:t>
      </w:r>
    </w:p>
    <w:p w:rsidR="00A31137" w:rsidRPr="00A31137" w:rsidRDefault="00A31137" w:rsidP="00A31137">
      <w:r w:rsidRPr="00A31137">
        <w:t>1980, Fullilove v. Klutznick, 448 U.S. 504</w:t>
      </w:r>
    </w:p>
    <w:p w:rsidR="00A31137" w:rsidRPr="00A31137" w:rsidRDefault="00A31137" w:rsidP="00A31137">
      <w:r w:rsidRPr="00A31137">
        <w:t>123 Cong.Rec. 5327 (1977). 5 Senator Brooke, who introduced a similar measure in the Senate, reminded the Senate of the special provisions previously enacted into § 8(a) of the Small Business Act and the Railroad Revitalization and Regulatory Reform Act of 1976, 90 Stat. 149, 49 U.S.D. § 1657a, which, he stated, demonstrated the validity of his amendment. 123 Cong. Rec. 7155-7156 (1977).</w:t>
      </w:r>
    </w:p>
    <w:p w:rsidR="00A31137" w:rsidRPr="00A31137" w:rsidRDefault="00A31137" w:rsidP="00A31137">
      <w:r w:rsidRPr="00A31137">
        <w:t>1980, Fullilove v. Klutznick, 448 U.S. 504</w:t>
      </w:r>
    </w:p>
    <w:p w:rsidR="00A31137" w:rsidRPr="00A31137" w:rsidRDefault="00A31137" w:rsidP="00A31137">
      <w:r w:rsidRPr="00A31137">
        <w:t>Section 8(a) of the Small Business Act provides that the Small Business Administration may enter into contracts with the Federal Government and subcontract them out to small businesses. The Small Business Administration has been directed by Executive Order to employ § 8(a) to aid socially and economically disadvantaged persons. Ante at 463-464. 6 [448 U.S. 505] The operation of the § 8(a) program was reviewed by congressional Committees between 1972 and 1977. In 1972, the House Subcommittee on Minority Small Business Enterprise found that minority businessmen face economic difficulties that "are the result of past social standards which linger as characteristics of minorities as a group." H.R.Rep. No. 92-1615, p. 3 (1972). In 1975, the House Subcommittee on SBA Oversight and Minority Enterprise concluded that "[t]he effect of past inequities stemming from racial prejudice have not remained in the past," and that low participation by minorities in the economy was the result of "past discriminatory practices." H.R.Rep. No. 91 68, pp. 1-2 (1975). In 1977, the House Committee on Small Business found that</w:t>
      </w:r>
    </w:p>
    <w:p w:rsidR="00A31137" w:rsidRPr="00A31137" w:rsidRDefault="00A31137" w:rsidP="00A31137">
      <w:r w:rsidRPr="00A31137">
        <w:t>1980, Fullilove v. Klutznick, 448 U.S. 505</w:t>
      </w:r>
    </w:p>
    <w:p w:rsidR="00A31137" w:rsidRPr="00A31137" w:rsidRDefault="00A31137" w:rsidP="00A31137">
      <w:r w:rsidRPr="00A31137">
        <w:t>over the years, there has developed a business system which has traditionally excluded measurable minority participation. In the past more than the present, this system of conducting business transactions overtly precluded minority input. Currently, we more often encounter a business system which is racially neutral on its face, but, because of past overt social and economic discrimination, is presently operating, in effect, to perpetuate these past inequities.</w:t>
      </w:r>
    </w:p>
    <w:p w:rsidR="00A31137" w:rsidRPr="00A31137" w:rsidRDefault="00A31137" w:rsidP="00A31137">
      <w:r w:rsidRPr="00A31137">
        <w:t>1980, Fullilove v. Klutznick, 448 U.S. 505</w:t>
      </w:r>
    </w:p>
    <w:p w:rsidR="00A31137" w:rsidRPr="00A31137" w:rsidRDefault="00A31137" w:rsidP="00A31137">
      <w:r w:rsidRPr="00A31137">
        <w:t>H.R.Rep. No. 94-1791, p. 182 (1977). [448 U.S. 506] The Committee's Report was issued on January 3, 1977, less than two months before Representative Mitchell introduced § 103(f)(2) into the House of Representatives. 7</w:t>
      </w:r>
    </w:p>
    <w:p w:rsidR="00A31137" w:rsidRPr="00A31137" w:rsidRDefault="00A31137" w:rsidP="00A31137">
      <w:r w:rsidRPr="00A31137">
        <w:t>1980, Fullilove v. Klutznick, 448 U.S. 506</w:t>
      </w:r>
    </w:p>
    <w:p w:rsidR="00A31137" w:rsidRPr="00A31137" w:rsidRDefault="00A31137" w:rsidP="00A31137">
      <w:r w:rsidRPr="00A31137">
        <w:t xml:space="preserve">In light of these legislative materials and the discussion of legislative history contained in THE CHIEF JUSTICE's opinion, I believe that a court must accept as established the conclusion that purposeful discrimination contributed significantly to the small percentage of federal contracting funds that minority business enterprises have received. Refusals to subcontract work to minority contractors may, depending upon the identity of the discriminating party, violate Title VI of the Civil Rights Act of 1964, 42 U.S.C. § 2000d et seq., or 42 U.S.C. § 1981, or the Fourteenth Amendment. Although the discriminatory activities were not identified with the exactitude expected in judicial or administrative adjudication, it must be remembered that "Congress may paint with a much broader brush than may this Court…. " Oregon v. Mitchell, 400 U.S. 112,  284 (1970) (STEWART, J., concurring in part and dissenting in part). 8 [448 U.S. 507] </w:t>
      </w:r>
    </w:p>
    <w:p w:rsidR="00A31137" w:rsidRPr="00A31137" w:rsidRDefault="00A31137" w:rsidP="00A31137">
      <w:r w:rsidRPr="00A31137">
        <w:t>IV</w:t>
      </w:r>
    </w:p>
    <w:p w:rsidR="00A31137" w:rsidRPr="00A31137" w:rsidRDefault="00A31137" w:rsidP="00A31137">
      <w:r w:rsidRPr="00A31137">
        <w:t>1980, Fullilove v. Klutznick, 448 U.S. 507</w:t>
      </w:r>
    </w:p>
    <w:p w:rsidR="00A31137" w:rsidRPr="00A31137" w:rsidRDefault="00A31137" w:rsidP="00A31137">
      <w:r w:rsidRPr="00A31137">
        <w:t>Under this Court's established doctrine, a racial classification is suspect and subject to strict judicial scrutiny. As noted in Part I, the government may employ such a classification only when necessary to accomplish a compelling governmental purpose. See Bakke, 438 U.S. at  305. The conclusion that Congress found a compelling governmental interest in redressing identified discrimination against minority contractors therefore leads to the inquiry whether use of a 10% set-aside is a constitutionally appropriate means of serving that interest. In the past, this "means" test has been virtually impossible to satisfy. Only two of this Court's modern cases have held the use of racial classifications to be constitutional. See Korematsu v. United States, 323 U.S. 214 (1944); Hirabayshi v. United States, 320 U.S. 81 (1943). Indeed, the failure of legislative action to survive strict scrutiny has led some to wonder whether our review of racial classifications has been strict in theory, but fatal in fact. See Gunther, The Supreme Court, 1971 Term—Foreword: In Search of Evolving Doctrine on a Changing Court: A Model for a Newer Equal Protection, 86 Harv.L.Rev. 1, 8 (1972).</w:t>
      </w:r>
    </w:p>
    <w:p w:rsidR="00A31137" w:rsidRPr="00A31137" w:rsidRDefault="00A31137" w:rsidP="00A31137">
      <w:r w:rsidRPr="00A31137">
        <w:t>A</w:t>
      </w:r>
    </w:p>
    <w:p w:rsidR="00A31137" w:rsidRPr="00A31137" w:rsidRDefault="00A31137" w:rsidP="00A31137">
      <w:r w:rsidRPr="00A31137">
        <w:t>1980, Fullilove v. Klutznick, 448 U.S. 507</w:t>
      </w:r>
    </w:p>
    <w:p w:rsidR="00A31137" w:rsidRPr="00A31137" w:rsidRDefault="00A31137" w:rsidP="00A31137">
      <w:r w:rsidRPr="00A31137">
        <w:t>Application of the "means" test necessarily demands an understanding of the type of congressional action at issue. This is not a case in which Congress has employed a racial classification solely as a means to confer a racial preference. Such a purpose plainly would be unconstitutional. Supra [448 U.S. 508] at  497. Nor has Congress sought to employ a racially conscious means to further a nonracial goal. In such instances, a nonracial means should be available to further the legitimate governmental purpose. See Bakke, supra at 310-311.</w:t>
      </w:r>
    </w:p>
    <w:p w:rsidR="00A31137" w:rsidRPr="00A31137" w:rsidRDefault="00A31137" w:rsidP="00A31137">
      <w:r w:rsidRPr="00A31137">
        <w:t>1980, Fullilove v. Klutznick, 448 U.S. 508</w:t>
      </w:r>
    </w:p>
    <w:p w:rsidR="00A31137" w:rsidRPr="00A31137" w:rsidRDefault="00A31137" w:rsidP="00A31137">
      <w:r w:rsidRPr="00A31137">
        <w:t>Enactment of the set-aside is designed to serve the compelling governmental interest in redressing racial discrimination. As this Court has recognized, the implementation of any affirmative remedy for redress of racial discrimination is likely to affect persons differently depending upon their race. See, e.g., North Carolina Board of Education v. Swann, 402 U.S. at 45-46. Although federal courts may not order or approve remedies that exceed the scope of a constitutional violation, see Milliken v. Bradley, 433 U.S. 267, 280-281 (1977); Dayton Board of Education v. Brinkman, 433 U.S. 406 (1977); Austin Independent School District v. United States, 429 U.S. 990, 991 (1976) (POWELL, J., concurring), this Court has not required remedial plans to be limited to the least restrictive means of implementation. We have recognized that the choice of remedies to redress racial discrimination is "a balancing process left, within appropriate constitutional or statutory limits, to the sound discretion of the trial court." Franks v. Bowman Transportation Co., 424 U.S. at 794 (POWELL, J., concurring in part and dissenting in part).</w:t>
      </w:r>
    </w:p>
    <w:p w:rsidR="00A31137" w:rsidRPr="00A31137" w:rsidRDefault="00A31137" w:rsidP="00A31137">
      <w:r w:rsidRPr="00A31137">
        <w:t>1980, Fullilove v. Klutznick, 448 U.S. 508</w:t>
      </w:r>
    </w:p>
    <w:p w:rsidR="00A31137" w:rsidRPr="00A31137" w:rsidRDefault="00A31137" w:rsidP="00A31137">
      <w:r w:rsidRPr="00A31137">
        <w:t>I believe that the Enforcement Clauses of the Thirteenth and Fourteenth Amendments give Congress a similar measure of discretion to choose a suitable remedy for the redress of racial discrimination. The legislative history of § 5 of the Fourteenth Amendment is particularly instructive. Senator Howard, the member of the Joint Committee on Reconstruction who introduced the Amendment into the Senate, described § 5 as "a direct affirmative delegation of power to Congress to carry out all the principles of all [the] guarantees" of § 1 of the Amendment. Cong.Globe, 39th Cong., 1st Sess., 2766 (1866). Furthermore, he stated that § 5</w:t>
      </w:r>
    </w:p>
    <w:p w:rsidR="00A31137" w:rsidRPr="00A31137" w:rsidRDefault="00A31137" w:rsidP="00A31137">
      <w:r w:rsidRPr="00A31137">
        <w:t>1980, Fullilove v. Klutznick, 448 U.S. 508</w:t>
      </w:r>
    </w:p>
    <w:p w:rsidR="00A31137" w:rsidRPr="00A31137" w:rsidRDefault="00A31137" w:rsidP="00A31137">
      <w:r w:rsidRPr="00A31137">
        <w:t>casts upon the Congress the responsibility of seeing to it, for the future, that all the sections of the amendment [448 U.S. 509] are carried out in good faith, and that no State infringes the rights of persons or property. I look upon this clause as indispensable for the reason that it thus imposes upon the Congress this power and this duty.</w:t>
      </w:r>
    </w:p>
    <w:p w:rsidR="00A31137" w:rsidRPr="00A31137" w:rsidRDefault="00A31137" w:rsidP="00A31137">
      <w:r w:rsidRPr="00A31137">
        <w:t>1980, Fullilove v. Klutznick, 448 U.S. 509</w:t>
      </w:r>
    </w:p>
    <w:p w:rsidR="00A31137" w:rsidRPr="00A31137" w:rsidRDefault="00A31137" w:rsidP="00A31137">
      <w:r w:rsidRPr="00A31137">
        <w:t>Id. at 2768. Senator Howard's emphasis on the importance of congressional action to effectuate the goals of the Fourteenth Amendment was echoed by other Members of Congress. Representative Stevens, also a member of the Reconstruction Committee, said that the Fourteenth Amendment "allows Congress to correct the unjust legislation of the States," id. at 2459, and Senator Poland wished to leave no doubt "as to the power of Congress to enforce principles lying at the very foundation of all republican government…. " Id. at 2961. See id. at 2512-2513 (remarks of Rep. Raymond); id. at 2511 (Rep. Eliot); Ex parte Virginia, 100 U.S. at  345. 9</w:t>
      </w:r>
    </w:p>
    <w:p w:rsidR="00A31137" w:rsidRPr="00A31137" w:rsidRDefault="00A31137" w:rsidP="00A31137">
      <w:r w:rsidRPr="00A31137">
        <w:t>1980, Fullilove v. Klutznick, 448 U.S. 509</w:t>
      </w:r>
    </w:p>
    <w:p w:rsidR="00A31137" w:rsidRPr="00A31137" w:rsidRDefault="00A31137" w:rsidP="00A31137">
      <w:r w:rsidRPr="00A31137">
        <w:t>Although the Framers of the Fourteenth Amendment may have contemplated that Congress, rather than the federal courts, would be the prime force behind enforcement of the Fourteenth Amendment, see 6 C. Fairman, History of the Supreme Court of the United States: Reconstruction and Reunion, Part 1, pp. 1295, 1296 (1971), they did not believe that congressional action would be unreviewable by this Court. Several Members of Congress emphasized that a primary purpose of the Fourteenth Amendment was to place the provisions of the Civil Rights Act of 1866 "in the eternal firmament of the Constitution." Cong.Globe, 39th Cong., 1st Sess., 2462 (1866) (remarks of Rep. Garfield). See id. at 2459 (remarks of Rep. Stevens); id. at 2465 (remarks of Rep. Thayer); id. at 2498 (remarks of Rep. Broomall). By 1866, Members of Congress fully understood that judicial review was the means by which action of the Legislative and Executive [448 U.S. 510] Branches would be required to conform to the Constitution. See, e.g., Marbury v. Madison, 1 Cranch 137 (1803).</w:t>
      </w:r>
    </w:p>
    <w:p w:rsidR="00A31137" w:rsidRPr="00A31137" w:rsidRDefault="00A31137" w:rsidP="00A31137">
      <w:r w:rsidRPr="00A31137">
        <w:t>1980, Fullilove v. Klutznick, 448 U.S. 510</w:t>
      </w:r>
    </w:p>
    <w:p w:rsidR="00A31137" w:rsidRPr="00A31137" w:rsidRDefault="00A31137" w:rsidP="00A31137">
      <w:r w:rsidRPr="00A31137">
        <w:t>I conclude, therefore, that the Enforcement Clauses of the Thirteenth and Fourteenth Amendments confer upon Congress the authority to select reasonable remedies to advance the compelling state interest in repairing the effects of discrimination. But that authority must be exercised in a manner that does not erode the guarantees of these Amendments. The Judicial Branch has the special responsibility to make a searching inquiry into the justification for employing a race-conscious remedy. Courts must be sensitive to the possibility that less intrusive means might serve the compelling state interest equally as well. I believe that Congress' choice of a remedy should be upheld, however, if the means selected are equitable and reasonably necessary to the redress of identified discrimination. Such a test allows the Congress to exercise necessary discretion, but preserves the essential safeguard of judicial review of racial classifications.</w:t>
      </w:r>
    </w:p>
    <w:p w:rsidR="00A31137" w:rsidRPr="00A31137" w:rsidRDefault="00A31137" w:rsidP="00A31137">
      <w:r w:rsidRPr="00A31137">
        <w:t>B</w:t>
      </w:r>
    </w:p>
    <w:p w:rsidR="00A31137" w:rsidRPr="00A31137" w:rsidRDefault="00A31137" w:rsidP="00A31137">
      <w:r w:rsidRPr="00A31137">
        <w:t>1980, Fullilove v. Klutznick, 448 U.S. 510</w:t>
      </w:r>
    </w:p>
    <w:p w:rsidR="00A31137" w:rsidRPr="00A31137" w:rsidRDefault="00A31137" w:rsidP="00A31137">
      <w:r w:rsidRPr="00A31137">
        <w:t>When reviewing the selection by Congress of a race-conscious remedy, it is instructive to note the factors upon which the Courts of Appeals have relied in a closely analogous area. Courts reviewing the proper scope of race-conscious hiring remedies have considered (i) the efficacy of alternative remedies, NAACP v. Allen, 493 F.2d 614, 619 (CA5 1974); Vulcan Society Inc. v. Civil Service Comm'n, 490 F.2d 387, 398 (CA2 1973), (ii) the planned duration of the remedy, id. at 399; United States v Wood, Wire &amp; Metal Lathers Local 6, 471 F.2d 408, 414, n. 12 (CA2), cert. denied, 412 U.S. 939 (1973), (iii) the relationship between the percentage of minority workers to be employed and the percentage of minority group members in the relevant population or workforce, Association Against Discrimination v. Bridgeport, 594 F.2d 306, 311 (CA2 1979); Boston Chapter NAACP v. Beecher, 504 F.2d 1017, 1026-1027 (CA1 1974), cert. denied, [448 U.S. 511] 421 U.S. 910 (1975); Bridgeport Guardians, Inc. v. Bridgeport Civil Service Comm'n, 482 F.2d 1333, 1341 (CA2 1973) cert. denied, 421 U.S. 991 (1975); Carter v. Gallagher, 452 F.2d 315, 331 (CA8) (en banc), cert. denied, 406 U.S. 950 (1972), and (iv) the availability of waiver provisions if the hiring plan could not be met, Associated General Contractors, Inc. v. Altshuler, 490 F.2d 9, 18-19 (CA1 1973), cert. denied, 416 U.S. 957 (1974).</w:t>
      </w:r>
    </w:p>
    <w:p w:rsidR="00A31137" w:rsidRPr="00A31137" w:rsidRDefault="00A31137" w:rsidP="00A31137">
      <w:r w:rsidRPr="00A31137">
        <w:t>1980, Fullilove v. Klutznick, 448 U.S. 511</w:t>
      </w:r>
    </w:p>
    <w:p w:rsidR="00A31137" w:rsidRPr="00A31137" w:rsidRDefault="00A31137" w:rsidP="00A31137">
      <w:r w:rsidRPr="00A31137">
        <w:t>By the time Congress enacted § 103(f)(2) in 1977, it knew that other remedies had failed to ameliorate the effects of racial discrimination in the construction industry. Although the problem had been addressed by antidiscrimination legislation, executive action to remedy employment discrimination in the construction industry, and federal aid to minority businesses, the fact remained that minority contractors were receiving less than 1% of federal contracts. See 123 Cong.Rec. 7156 (1977) (remarks of Sen. Brooke). Congress also knew that economic recession threatened the construction industry as a whole. Section 103(f)(2) was enacted as part of a bill designed to stimulate the economy by appropriating $4 billion in federal funds for new public construction. Since the emergency public construction funds were to be distributed quickly, 10 any remedial provision designed to prevent those funds from perpetuating past discrimination also had to be effective promptly. Moreover, Congress understood that any effective remedial program had to provide minority contractors the experience necessary for continued success without federal assistance. 11 And Congress knew that the [448 U.S. 512] ability of minority group members to gain experience had been frustrated by the difficulty of entering the construction trades. 12 The set-aside program adopted as part of this emergency [448 U.S. 513] legislation serves each of these concerns because it takes effect as soon as funds are expended under PWEA, and because it provides minority contractors' with experience that could enable them to compete without governmental assistance.</w:t>
      </w:r>
    </w:p>
    <w:p w:rsidR="00A31137" w:rsidRPr="00A31137" w:rsidRDefault="00A31137" w:rsidP="00A31137">
      <w:r w:rsidRPr="00A31137">
        <w:t>1980, Fullilove v. Klutznick, 448 U.S. 513</w:t>
      </w:r>
    </w:p>
    <w:p w:rsidR="00A31137" w:rsidRPr="00A31137" w:rsidRDefault="00A31137" w:rsidP="00A31137">
      <w:r w:rsidRPr="00A31137">
        <w:t>The 103(f)(2) set-aside is not a permanent part of federal contracting requirements. As soon as the PWEA program concludes, this set-aside program ends. The temporary nature of this remedy ensures that a race-conscious program will not last longer than the discriminatory effects it is designed to eliminate. It will be necessary for Congress to reexamine the need for a race-conscious remedy before it extends or reenacts § 103(f)(2) .</w:t>
      </w:r>
    </w:p>
    <w:p w:rsidR="00A31137" w:rsidRPr="00A31137" w:rsidRDefault="00A31137" w:rsidP="00A31137">
      <w:r w:rsidRPr="00A31137">
        <w:t>1980, Fullilove v. Klutznick, 448 U.S. 513</w:t>
      </w:r>
    </w:p>
    <w:p w:rsidR="00A31137" w:rsidRPr="00A31137" w:rsidRDefault="00A31137" w:rsidP="00A31137">
      <w:r w:rsidRPr="00A31137">
        <w:t>The percentage chosen for the set-aside is within the scope of congressional discretion. The Courts of Appeals have approved temporary hiring remedies insuring that the percentage of minority group workers in a business or governmental agency will be reasonably related to the percentage of minority group members in the relevant population. Boston Chapter NAACP v. Beecher, 504 F.2d at 1027; Bridgeport Guardians, Inc. v. Bridgeport, 482 F.2d at 1341; Carter v. Gallagher, 452 F.2d at 331. Only 4% of contractors are members of minority groups, see Fullilove v. Kreps, 584 F.2d 600, 608 (CA2 1978), although minority group members constitute about 17% of the national population, see Constructors Association of Western Pennsylvania v. Kreps, 441 F.Supp. 936, 951 (WD Pa.1977), aff'd, 573 F.2d 811 (CA3 1978). The choice of a 10% set-aside thus falls roughly halfway [448 U.S. 514] between the present percentage of minority contractors and the percentage of minority group members in the Nation.</w:t>
      </w:r>
    </w:p>
    <w:p w:rsidR="00A31137" w:rsidRPr="00A31137" w:rsidRDefault="00A31137" w:rsidP="00A31137">
      <w:r w:rsidRPr="00A31137">
        <w:t>1980, Fullilove v. Klutznick, 448 U.S. 514</w:t>
      </w:r>
    </w:p>
    <w:p w:rsidR="00A31137" w:rsidRPr="00A31137" w:rsidRDefault="00A31137" w:rsidP="00A31137">
      <w:r w:rsidRPr="00A31137">
        <w:t>Although the set-aside is pegged at a reasonable figure, its effect might be unfair if it were applied rigidly in areas of the country where minority group members constitute a small percentage of the population. To meet this concern, Congress enacted a waiver provision into § 103(f)(2). The factors governing issuance of a waiver include the availability of qualified minority contractors in a particular geographic area, the size of the locale's minority population, and the efforts made to find minority contractors. U.S. Dept. of Commerce, Local Public Works Program, Round II, Guidelines for 10 Minority Business Participation LPW Grants (1977); App. 165a-167a. We have been told that 1,261 waivers had been granted by September 9, 1979. Brief for Secretary of Commerce 62, n. 37.</w:t>
      </w:r>
    </w:p>
    <w:p w:rsidR="00A31137" w:rsidRPr="00A31137" w:rsidRDefault="00A31137" w:rsidP="00A31137">
      <w:r w:rsidRPr="00A31137">
        <w:t>C</w:t>
      </w:r>
    </w:p>
    <w:p w:rsidR="00A31137" w:rsidRPr="00A31137" w:rsidRDefault="00A31137" w:rsidP="00A31137">
      <w:r w:rsidRPr="00A31137">
        <w:t>1980, Fullilove v. Klutznick, 448 U.S. 514</w:t>
      </w:r>
    </w:p>
    <w:p w:rsidR="00A31137" w:rsidRPr="00A31137" w:rsidRDefault="00A31137" w:rsidP="00A31137">
      <w:r w:rsidRPr="00A31137">
        <w:t>A race-conscious remedy should not be approved without consideration of an additional crucial factor—the effect of the set-aside upon innocent third parties. See Teamsters v. United States, 431 U.S. at 374-375. In this case, the petitioners contend with some force that they have been asked to bear the burden of the set-aside even though they are innocent of wrongdoing. I do not believe, however, that their burden is so great that the set-aside must be disapproved. As noted above, Congress knew that minority contractors were receiving only 1% of federal contracts at the time the set-aside was enacted. The PWA appropriated $4 billion for public work projects, of which it could be expected that approximately $400 million would go to minority contractors. The Court of Appeals calculated that the set-aside would reserve about 0.25% of all the funds expended yearly on construction work in the United States for approximately 4% of the Nation's contractors who are members of a minority group. 584 F.2d at 607-608. The set-aside would have [448 U.S. 515] no effect on the ability of the remaining 96% of contractors to compete for 99.75% of construction funds. In my view, the effect of the set-aside is limited, and so widely dispersed that its use is consistent with fundamental fairness. 13</w:t>
      </w:r>
    </w:p>
    <w:p w:rsidR="00A31137" w:rsidRPr="00A31137" w:rsidRDefault="00A31137" w:rsidP="00A31137">
      <w:r w:rsidRPr="00A31137">
        <w:t>1980, Fullilove v. Klutznick, 448 U.S. 515</w:t>
      </w:r>
    </w:p>
    <w:p w:rsidR="00A31137" w:rsidRPr="00A31137" w:rsidRDefault="00A31137" w:rsidP="00A31137">
      <w:r w:rsidRPr="00A31137">
        <w:t xml:space="preserve">Consideration of these factors persuades me that the set-aside is a reasonably necessary means of furthering the compelling governmental interest in redressing the discrimination that affects minority contractors. Any marginal unfairness to innocent nonminority contractors is not sufficiently significant—or sufficiently identifiable—to outweigh the governmental interest served by § 103(f)(2). When Congress acts to remedy identified discrimination, it may exercise discretion in choosing a remedy that is reasonably necessary to accomplish its purpose. Whatever the exact breadth of that discretion, I believe that it encompasses the selection of the set-aside in this case. 14 [448 U.S. 516] </w:t>
      </w:r>
    </w:p>
    <w:p w:rsidR="00A31137" w:rsidRPr="00A31137" w:rsidRDefault="00A31137" w:rsidP="00A31137">
      <w:r w:rsidRPr="00A31137">
        <w:t>V</w:t>
      </w:r>
    </w:p>
    <w:p w:rsidR="00A31137" w:rsidRPr="00A31137" w:rsidRDefault="00A31137" w:rsidP="00A31137">
      <w:r w:rsidRPr="00A31137">
        <w:t>1980, Fullilove v. Klutznick, 448 U.S. 516</w:t>
      </w:r>
    </w:p>
    <w:p w:rsidR="00A31137" w:rsidRPr="00A31137" w:rsidRDefault="00A31137" w:rsidP="00A31137">
      <w:r w:rsidRPr="00A31137">
        <w:t>In the history of this Court and this county, few questions have been more divisive than those arising from governmental action taken on the basis of race. Indeed, our own decisions played no small part in the tragic legacy of government-sanctioned discrimination. See Plessy v. Ferguson, 163 U.S. 537 (1896); Dred Scott v. Sandford, 19 How. 393 (1857). At least since the decision in Brown v. Board of Education, 347 U.S. 483 (1954), the Court has been resolute in its dedication to the principle that the Constitution envisions a Nation where race is irrelevant. The time cannot come too soon when no governmental decision will be based upon immutable characteristics of pigmentation or origin. But in our quest to achieve a society free from racial classification, we cannot ignore the claims of those who still suffer from the effects of identifiable discrimination.</w:t>
      </w:r>
    </w:p>
    <w:p w:rsidR="00A31137" w:rsidRPr="00A31137" w:rsidRDefault="00A31137" w:rsidP="00A31137">
      <w:r w:rsidRPr="00A31137">
        <w:t>1980, Fullilove v. Klutznick, 448 U.S. 516</w:t>
      </w:r>
    </w:p>
    <w:p w:rsidR="00A31137" w:rsidRPr="00A31137" w:rsidRDefault="00A31137" w:rsidP="00A31137">
      <w:r w:rsidRPr="00A31137">
        <w:t>Distinguishing the rights of all citizens to be free from racial classifications from the rights of some citizens to be made whole is a perplexing, but necessary, judicial task. When we first confronted such an issue in Bakke, I concluded that the Regents of the University of California were not competent to make, and had not made, findings sufficient to uphold the use of the race-conscious remedy they adopted. As my opinion made clear, I believe that the use of racial classifications, which are fundamentally at odds with the ideals of a democratic society implicit in the Due Process and Equal Protection Clauses, cannot be imposed simply to serve transient social or political goals, however worthy they may be. But the issue here turns on the scope of congressional power, and Congress has been given a unique constitutional role in the enforcement of the post-Civil War Amendments. In this case, where Congress determined that minority contractors were victims of purposeful discrimination and where [448 U.S. 517] Congress chose a reasonably necessary means to effectuate its purpose, I find no constitutional reason to invalidate § 103 (f)(2). 15</w:t>
      </w:r>
    </w:p>
    <w:p w:rsidR="00A31137" w:rsidRPr="00A31137" w:rsidRDefault="00A31137" w:rsidP="00A31137">
      <w:r w:rsidRPr="00A31137">
        <w:t>MARSHALL, J., concurring</w:t>
      </w:r>
    </w:p>
    <w:p w:rsidR="00A31137" w:rsidRPr="00A31137" w:rsidRDefault="00A31137" w:rsidP="00A31137">
      <w:r w:rsidRPr="00A31137">
        <w:t>1980, Fullilove v. Klutznick, 448 U.S. 517</w:t>
      </w:r>
    </w:p>
    <w:p w:rsidR="00A31137" w:rsidRPr="00A31137" w:rsidRDefault="00A31137" w:rsidP="00A31137">
      <w:r w:rsidRPr="00A31137">
        <w:t>MR. JUSTICE MARSHALL, with whom MR. JUSTICE BRENNAN and MR. JUSTICE BLACKMUN join, concurring in the judgment.</w:t>
      </w:r>
    </w:p>
    <w:p w:rsidR="00A31137" w:rsidRPr="00A31137" w:rsidRDefault="00A31137" w:rsidP="00A31137">
      <w:r w:rsidRPr="00A31137">
        <w:t>1980, Fullilove v. Klutznick, 448 U.S. 517</w:t>
      </w:r>
    </w:p>
    <w:p w:rsidR="00A31137" w:rsidRPr="00A31137" w:rsidRDefault="00A31137" w:rsidP="00A31137">
      <w:r w:rsidRPr="00A31137">
        <w:t>My resolution of the constitutional issue in this case is governed by the separate opinion I coauthored in University of California Regents v. Bakke, 438 U.S. 265, 324-379 (1978). In my view, the 10% minority set-aside provision of the Public Works Employment Act of 1977 passes constitutional muster under the standard announced in that opinion. 1</w:t>
      </w:r>
    </w:p>
    <w:p w:rsidR="00A31137" w:rsidRPr="00A31137" w:rsidRDefault="00A31137" w:rsidP="00A31137">
      <w:r w:rsidRPr="00A31137">
        <w:t>I</w:t>
      </w:r>
    </w:p>
    <w:p w:rsidR="00A31137" w:rsidRPr="00A31137" w:rsidRDefault="00A31137" w:rsidP="00A31137">
      <w:r w:rsidRPr="00A31137">
        <w:t>1980, Fullilove v. Klutznick, 448 U.S. 517</w:t>
      </w:r>
    </w:p>
    <w:p w:rsidR="00A31137" w:rsidRPr="00A31137" w:rsidRDefault="00A31137" w:rsidP="00A31137">
      <w:r w:rsidRPr="00A31137">
        <w:t>In Bakke, I joined my Brothers BRENNAN, WHITE, and BLACKMUN in articulating the view that "racial classifications are not per se invalid under [the Equal Protection Clause of] the Fourteenth Amendment." Id. at  356 (opinion concurring in judgment in part and dissenting in part) (hereinafter cited as joint separate opinion). 2 We acknowledged that</w:t>
      </w:r>
    </w:p>
    <w:p w:rsidR="00A31137" w:rsidRPr="00A31137" w:rsidRDefault="00A31137" w:rsidP="00A31137">
      <w:r w:rsidRPr="00A31137">
        <w:t>1980, Fullilove v. Klutznick, 448 U.S. 517</w:t>
      </w:r>
    </w:p>
    <w:p w:rsidR="00A31137" w:rsidRPr="00A31137" w:rsidRDefault="00A31137" w:rsidP="00A31137">
      <w:r w:rsidRPr="00A31137">
        <w:t>a [448 U.S. 518] government practice or statute which…contains "suspect classifications" is to be subjected to "strict scrutiny," and can be justified only if it furthers a compelling government purpose and, even then, only if no less restrictive alternative is available.</w:t>
      </w:r>
    </w:p>
    <w:p w:rsidR="00A31137" w:rsidRPr="00A31137" w:rsidRDefault="00A31137" w:rsidP="00A31137">
      <w:r w:rsidRPr="00A31137">
        <w:t>1980, Fullilove v. Klutznick, 448 U.S. 518</w:t>
      </w:r>
    </w:p>
    <w:p w:rsidR="00A31137" w:rsidRPr="00A31137" w:rsidRDefault="00A31137" w:rsidP="00A31137">
      <w:r w:rsidRPr="00A31137">
        <w:t>Id. at  357. Thus, we reiterated the traditional view that racial classifications are prohibited if they are irrelevant. Ibid. In addition, we firmly adhered to</w:t>
      </w:r>
    </w:p>
    <w:p w:rsidR="00A31137" w:rsidRPr="00A31137" w:rsidRDefault="00A31137" w:rsidP="00A31137">
      <w:r w:rsidRPr="00A31137">
        <w:t>1980, Fullilove v. Klutznick, 448 U.S. 518</w:t>
      </w:r>
    </w:p>
    <w:p w:rsidR="00A31137" w:rsidRPr="00A31137" w:rsidRDefault="00A31137" w:rsidP="00A31137">
      <w:r w:rsidRPr="00A31137">
        <w:t>the cardinal principle that racial classifications that stigmatize—because they are drawn on the presumption that one race is inferior to another or because they put the weight of government behind racial hatred and separatism—are invalid without more.</w:t>
      </w:r>
    </w:p>
    <w:p w:rsidR="00A31137" w:rsidRPr="00A31137" w:rsidRDefault="00A31137" w:rsidP="00A31137">
      <w:r w:rsidRPr="00A31137">
        <w:t>1980, Fullilove v. Klutznick, 448 U.S. 518</w:t>
      </w:r>
    </w:p>
    <w:p w:rsidR="00A31137" w:rsidRPr="00A31137" w:rsidRDefault="00A31137" w:rsidP="00A31137">
      <w:r w:rsidRPr="00A31137">
        <w:t>Id. at 357-358.</w:t>
      </w:r>
    </w:p>
    <w:p w:rsidR="00A31137" w:rsidRPr="00A31137" w:rsidRDefault="00A31137" w:rsidP="00A31137">
      <w:r w:rsidRPr="00A31137">
        <w:t>1980, Fullilove v. Klutznick, 448 U.S. 518</w:t>
      </w:r>
    </w:p>
    <w:p w:rsidR="00A31137" w:rsidRPr="00A31137" w:rsidRDefault="00A31137" w:rsidP="00A31137">
      <w:r w:rsidRPr="00A31137">
        <w:t>We recognized, however, that these principles outlawing the irrelevant or pernicious use of race were inapposite to racial classifications that provide benefits to minorities for the purpose of remedying the present effects of past racial discrimination. 3 Such classifications may disadvantage some whites, but whites, as a class, lack the</w:t>
      </w:r>
    </w:p>
    <w:p w:rsidR="00A31137" w:rsidRPr="00A31137" w:rsidRDefault="00A31137" w:rsidP="00A31137">
      <w:r w:rsidRPr="00A31137">
        <w:t>1980, Fullilove v. Klutznick, 448 U.S. 518</w:t>
      </w:r>
    </w:p>
    <w:p w:rsidR="00A31137" w:rsidRPr="00A31137" w:rsidRDefault="00A31137" w:rsidP="00A31137">
      <w:r w:rsidRPr="00A31137">
        <w:t>"traditional indicia of suspectness: the class is not saddled with such disabilities, or subjected to such a history of purposeful unequal treatment, or relegated to such a position of political powerlessness as to command extraordinary protection from the majoritarian political process."</w:t>
      </w:r>
    </w:p>
    <w:p w:rsidR="00A31137" w:rsidRPr="00A31137" w:rsidRDefault="00A31137" w:rsidP="00A31137">
      <w:r w:rsidRPr="00A31137">
        <w:t>1980, Fullilove v. Klutznick, 448 U.S. 518</w:t>
      </w:r>
    </w:p>
    <w:p w:rsidR="00A31137" w:rsidRPr="00A31137" w:rsidRDefault="00A31137" w:rsidP="00A31137">
      <w:r w:rsidRPr="00A31137">
        <w:t>Id. at  357 (quoting San Antonio Independent School District v. Rodriguez, 411 U.S. 1,  28 (1973)). See also United States v. Carolene Products Co., 304U.S. [448 U.S. 519]  144,  152, n. 4 (1938). Because the consideration of race is relevant to remedying the continuing effects of past racial discrimination, and because governmental programs employing racial classifications for remedial purposes can be crafted to avoid stigmatization, we concluded that such programs should not be subjected to conventional "strict scrutiny"—scrutiny that is strict in theory, but fatal in fact. Bakke, supra, at  362 (joint separate opinion).</w:t>
      </w:r>
    </w:p>
    <w:p w:rsidR="00A31137" w:rsidRPr="00A31137" w:rsidRDefault="00A31137" w:rsidP="00A31137">
      <w:r w:rsidRPr="00A31137">
        <w:t>1980, Fullilove v. Klutznick, 448 U.S. 519</w:t>
      </w:r>
    </w:p>
    <w:p w:rsidR="00A31137" w:rsidRPr="00A31137" w:rsidRDefault="00A31137" w:rsidP="00A31137">
      <w:r w:rsidRPr="00A31137">
        <w:t>Nor did we determine that such programs should be analyzed under the minimally rigorous rational basis standard of review. 438 U.S. at  358. We recognized that race has often been used to stigmatize politically powerless segments of society, and that efforts to ameliorate the effects of past discrimination could be based on paternalistic stereotyping, not on a careful consideration of modern social conditions. In addition, we acknowledged that governmental classification on the immutable characteristic of race runs counter to the deep national belief that state-sanctioned benefits and burdens should bear some relationship to individual merit and responsibility. Id. at 360-361.</w:t>
      </w:r>
    </w:p>
    <w:p w:rsidR="00A31137" w:rsidRPr="00A31137" w:rsidRDefault="00A31137" w:rsidP="00A31137">
      <w:r w:rsidRPr="00A31137">
        <w:t>1980, Fullilove v. Klutznick, 448 U.S. 519</w:t>
      </w:r>
    </w:p>
    <w:p w:rsidR="00A31137" w:rsidRPr="00A31137" w:rsidRDefault="00A31137" w:rsidP="00A31137">
      <w:r w:rsidRPr="00A31137">
        <w:t>We concluded, therefore, that, because a racial classification ostensibly designed for remedial purposes is susceptible to misuse, it may be justified only by showing "an important and articulated purpose for its use." Id. at  361.</w:t>
      </w:r>
    </w:p>
    <w:p w:rsidR="00A31137" w:rsidRPr="00A31137" w:rsidRDefault="00A31137" w:rsidP="00A31137">
      <w:r w:rsidRPr="00A31137">
        <w:t>1980, Fullilove v. Klutznick, 448 U.S. 519</w:t>
      </w:r>
    </w:p>
    <w:p w:rsidR="00A31137" w:rsidRPr="00A31137" w:rsidRDefault="00A31137" w:rsidP="00A31137">
      <w:r w:rsidRPr="00A31137">
        <w:t>In addition, any statute must be stricken that stigmatizes any group or that singles out those least well represented in the political process to bear the brunt of a benign program.</w:t>
      </w:r>
    </w:p>
    <w:p w:rsidR="00A31137" w:rsidRPr="00A31137" w:rsidRDefault="00A31137" w:rsidP="00A31137">
      <w:r w:rsidRPr="00A31137">
        <w:t>1980, Fullilove v. Klutznick, 448 U.S. 519</w:t>
      </w:r>
    </w:p>
    <w:p w:rsidR="00A31137" w:rsidRPr="00A31137" w:rsidRDefault="00A31137" w:rsidP="00A31137">
      <w:r w:rsidRPr="00A31137">
        <w:t>Ibid. In our view, then, the proper inquiry is whether racial classifications designed to further remedial purposes serve important governmental objectives and are substantially related to achievement of those objectives. Id. at  359.</w:t>
      </w:r>
    </w:p>
    <w:p w:rsidR="00A31137" w:rsidRPr="00A31137" w:rsidRDefault="00A31137" w:rsidP="00A31137">
      <w:r w:rsidRPr="00A31137">
        <w:t>II</w:t>
      </w:r>
    </w:p>
    <w:p w:rsidR="00A31137" w:rsidRPr="00A31137" w:rsidRDefault="00A31137" w:rsidP="00A31137">
      <w:r w:rsidRPr="00A31137">
        <w:t>1980, Fullilove v. Klutznick, 448 U.S. 519</w:t>
      </w:r>
    </w:p>
    <w:p w:rsidR="00A31137" w:rsidRPr="00A31137" w:rsidRDefault="00A31137" w:rsidP="00A31137">
      <w:r w:rsidRPr="00A31137">
        <w:t xml:space="preserve">Judged under this standard, the 10 minority set-aside provision at issue in this case is plainly constitutional. Indeed, the question is not even a close one. [448 U.S. 520] </w:t>
      </w:r>
    </w:p>
    <w:p w:rsidR="00A31137" w:rsidRPr="00A31137" w:rsidRDefault="00A31137" w:rsidP="00A31137">
      <w:r w:rsidRPr="00A31137">
        <w:t>1980, Fullilove v. Klutznick, 448 U.S. 520</w:t>
      </w:r>
    </w:p>
    <w:p w:rsidR="00A31137" w:rsidRPr="00A31137" w:rsidRDefault="00A31137" w:rsidP="00A31137">
      <w:r w:rsidRPr="00A31137">
        <w:t>As MR. CHIEF JUSTICE BURGER demonstrates, see ante at 456-467, it is indisputable that Congress' articulated purpose for enacting the set-aside provision was to remedy the present effects of past racial discrimination. See also the concurring opinion of my Brother POWELL, ante at 503-506. Congress had a sound basis for concluding that minority-owned construction enterprises, though capable, qualified, and ready and willing to work, have received a disproportionately small amount of public contracting business because of the continuing effects of past discrimination. Here, as in Bakke, 438 U.S. at  362 (joint separate opinion), "minority underrepresentation is substantial and chronic, and…the handicap of past discrimination is impeding access of minorities to" the benefits of the governmental program. In these circumstances, remedying these present effects of past racial discrimination is a sufficiently important governmental interest to justify the use of racial classification. Ibid. See generally id. at 362-373. 4</w:t>
      </w:r>
    </w:p>
    <w:p w:rsidR="00A31137" w:rsidRPr="00A31137" w:rsidRDefault="00A31137" w:rsidP="00A31137">
      <w:r w:rsidRPr="00A31137">
        <w:t>1980, Fullilove v. Klutznick, 448 U.S. 520</w:t>
      </w:r>
    </w:p>
    <w:p w:rsidR="00A31137" w:rsidRPr="00A31137" w:rsidRDefault="00A31137" w:rsidP="00A31137">
      <w:r w:rsidRPr="00A31137">
        <w:t>Because the means chosen by Congress to implement the set-aside provision are substantially related to the achievement [448 U.S. 521] of its remedial purpose, the provision also meets the second prong of our Bakke test. Congress reasonably determined that race-conscious means were necessary to break down the barriers confronting participation by minority enterprises in federally funded public works projects. That the set-aside creates a quota in favor of qualified and available minority business enterprises does not necessarily indicate that it stigmatizes. As our opinion stated in Bakke, "[f]or purposes of constitutional adjudication, there is no difference between" setting aside</w:t>
      </w:r>
    </w:p>
    <w:p w:rsidR="00A31137" w:rsidRPr="00A31137" w:rsidRDefault="00A31137" w:rsidP="00A31137">
      <w:r w:rsidRPr="00A31137">
        <w:t>1980, Fullilove v. Klutznick, 448 U.S. 521</w:t>
      </w:r>
    </w:p>
    <w:p w:rsidR="00A31137" w:rsidRPr="00A31137" w:rsidRDefault="00A31137" w:rsidP="00A31137">
      <w:r w:rsidRPr="00A31137">
        <w:t>a predetermined number of places for qualified minority applicants, rather than using minority status as a positive factor to be considered in evaluating the applications of disadvantaged minority applicants.</w:t>
      </w:r>
    </w:p>
    <w:p w:rsidR="00A31137" w:rsidRPr="00A31137" w:rsidRDefault="00A31137" w:rsidP="00A31137">
      <w:r w:rsidRPr="00A31137">
        <w:t>1980, Fullilove v. Klutznick, 448 U.S. 521</w:t>
      </w:r>
    </w:p>
    <w:p w:rsidR="00A31137" w:rsidRPr="00A31137" w:rsidRDefault="00A31137" w:rsidP="00A31137">
      <w:r w:rsidRPr="00A31137">
        <w:t>Id. at  378. The set-aside, as enacted by Congress and implemented by the Secretary of Commerce, is carefully tailored to remedy racial discrimination while, at the same time, avoiding stigmatization and penalizing those least able to protect themselves in the political process. See ante at 480-489. Cf. the concurring opinion of my Brother POWELL, ante at 508-515. Since under the set-aside provision a contract may be awarded to a minority enterprise only if it is qualified to do the work, the provision stigmatizes as inferior neither a minority firm that benefits from it nor a nonminority firm that is burdened by it. Nor does the set-aside "establish a quota in the invidious sense of a ceiling," Bakke, supra at  375 (joint separate opinion), on the number of minority firms that can be awarded public works contracts. In addition, the set-aside affects only a miniscule amount of the funds annually expended in the United States for construction work. See ante at 481-485, n. 72.</w:t>
      </w:r>
    </w:p>
    <w:p w:rsidR="00A31137" w:rsidRPr="00A31137" w:rsidRDefault="00A31137" w:rsidP="00A31137">
      <w:r w:rsidRPr="00A31137">
        <w:t>1980, Fullilove v. Klutznick, 448 U.S. 521</w:t>
      </w:r>
    </w:p>
    <w:p w:rsidR="00A31137" w:rsidRPr="00A31137" w:rsidRDefault="00A31137" w:rsidP="00A31137">
      <w:r w:rsidRPr="00A31137">
        <w:t xml:space="preserve">In sum, it is clear to me that the racial classifications employed in the set-aside provision are substantially related to the achievement of the important and congressionally articulated goal of remedying the present effects of past racial discrimination. The provision, therefore, passes muster under the equal protection standard I adopted in Bakke. [448 U.S. 522] </w:t>
      </w:r>
    </w:p>
    <w:p w:rsidR="00A31137" w:rsidRPr="00A31137" w:rsidRDefault="00A31137" w:rsidP="00A31137">
      <w:r w:rsidRPr="00A31137">
        <w:t>III</w:t>
      </w:r>
    </w:p>
    <w:p w:rsidR="00A31137" w:rsidRPr="00A31137" w:rsidRDefault="00A31137" w:rsidP="00A31137">
      <w:r w:rsidRPr="00A31137">
        <w:t>1980, Fullilove v. Klutznick, 448 U.S. 522</w:t>
      </w:r>
    </w:p>
    <w:p w:rsidR="00A31137" w:rsidRPr="00A31137" w:rsidRDefault="00A31137" w:rsidP="00A31137">
      <w:r w:rsidRPr="00A31137">
        <w:t>In my separate opinion in Bakke, 438 U.S. at 387-396, I recounted the "ingenious and pervasive forms of discrimination against the Negro" long condoned under the Constitution, and concluded that "[t]he position of the Negro today in America is the tragic but inevitable consequence of centuries of unequal treatment." Id. at  387,  395. I there stated:</w:t>
      </w:r>
    </w:p>
    <w:p w:rsidR="00A31137" w:rsidRPr="00A31137" w:rsidRDefault="00A31137" w:rsidP="00A31137">
      <w:r w:rsidRPr="00A31137">
        <w:t>1980, Fullilove v. Klutznick, 448 U.S. 522</w:t>
      </w:r>
    </w:p>
    <w:p w:rsidR="00A31137" w:rsidRPr="00A31137" w:rsidRDefault="00A31137" w:rsidP="00A31137">
      <w:r w:rsidRPr="00A31137">
        <w:t>It is because of a legacy of unequal treatment that we now must permit the institutions of this society to give consideration to race in making decisions about who will hold the positions of influence, affluence, and prestige in America. For far too long, the doors to those positions have been shut to Negroes. If we are ever to become a fully integrated society, one in which the color of a person's skin will not determine the opportunities available to him or her, we must be willing to take steps to open those doors.</w:t>
      </w:r>
    </w:p>
    <w:p w:rsidR="00A31137" w:rsidRPr="00A31137" w:rsidRDefault="00A31137" w:rsidP="00A31137">
      <w:r w:rsidRPr="00A31137">
        <w:t>1980, Fullilove v. Klutznick, 448 U.S. 522</w:t>
      </w:r>
    </w:p>
    <w:p w:rsidR="00A31137" w:rsidRPr="00A31137" w:rsidRDefault="00A31137" w:rsidP="00A31137">
      <w:r w:rsidRPr="00A31137">
        <w:t>Id. at 401-402. Those doors cannot be fully opened without the acceptance of race-conscious remedies. As my Brother BLACKMUN observed in Bakke: "In order to get beyond racism, we must first take account of race. There is no other way." Id. at  407 (separate opinion).</w:t>
      </w:r>
    </w:p>
    <w:p w:rsidR="00A31137" w:rsidRPr="00A31137" w:rsidRDefault="00A31137" w:rsidP="00A31137">
      <w:r w:rsidRPr="00A31137">
        <w:t>1980, Fullilove v. Klutznick, 448 U.S. 522</w:t>
      </w:r>
    </w:p>
    <w:p w:rsidR="00A31137" w:rsidRPr="00A31137" w:rsidRDefault="00A31137" w:rsidP="00A31137">
      <w:r w:rsidRPr="00A31137">
        <w:t>Congress recognized these realities when it enacted the minority set-aside provision at issue in this case. Today, by upholding this race-conscious remedy, the Court accords Congress the authority necessary to undertake the task of moving our society toward a state of meaningful equality of opportunity, not an abstract version of equality in which the effects of past discrimination would be forever frozen into our social fabric. I applaud this result. Accordingly, I concur in the judgment of the Court.</w:t>
      </w:r>
    </w:p>
    <w:p w:rsidR="00A31137" w:rsidRPr="00A31137" w:rsidRDefault="00A31137" w:rsidP="00A31137">
      <w:r w:rsidRPr="00A31137">
        <w:t>STEWART, J., dissenting</w:t>
      </w:r>
    </w:p>
    <w:p w:rsidR="00A31137" w:rsidRPr="00A31137" w:rsidRDefault="00A31137" w:rsidP="00A31137">
      <w:r w:rsidRPr="00A31137">
        <w:t>1980, Fullilove v. Klutznick, 448 U.S. 522</w:t>
      </w:r>
    </w:p>
    <w:p w:rsidR="00A31137" w:rsidRPr="00A31137" w:rsidRDefault="00A31137" w:rsidP="00A31137">
      <w:r w:rsidRPr="00A31137">
        <w:t>MR. JUSTICE STEWART, with whom MR. JUSTICE REHNQUIST joins, dissenting.</w:t>
      </w:r>
    </w:p>
    <w:p w:rsidR="00A31137" w:rsidRPr="00A31137" w:rsidRDefault="00A31137" w:rsidP="00A31137">
      <w:r w:rsidRPr="00A31137">
        <w:t>1980, Fullilove v. Klutznick, 448 U.S. 522</w:t>
      </w:r>
    </w:p>
    <w:p w:rsidR="00A31137" w:rsidRPr="00A31137" w:rsidRDefault="00A31137" w:rsidP="00A31137">
      <w:r w:rsidRPr="00A31137">
        <w:t>Our Constitution is color-blind, and neither knows nor tolerates classes among citizens…. The law regards man [448 U.S. 523] as man, and takes no account of his surroundings or of his color….</w:t>
      </w:r>
    </w:p>
    <w:p w:rsidR="00A31137" w:rsidRPr="00A31137" w:rsidRDefault="00A31137" w:rsidP="00A31137">
      <w:r w:rsidRPr="00A31137">
        <w:t>1980, Fullilove v. Klutznick, 448 U.S. 523</w:t>
      </w:r>
    </w:p>
    <w:p w:rsidR="00A31137" w:rsidRPr="00A31137" w:rsidRDefault="00A31137" w:rsidP="00A31137">
      <w:r w:rsidRPr="00A31137">
        <w:t>Those words were written by a Member of this Court 84 years ago. Plessy v. Ferguson, 163 U.S. 537,  559 (Harlan, J., dissenting). His colleagues disagreed with him, and held that a statute that required the separation of people on the basis of their race was constitutionally valid because it was a "reasonable" exercise of legislative power, and had been "enacted in good faith for the promotion [of] the public good…. " Id. at  550. Today, the Court upholds a statute that accords a preference to citizens who are "Negroes, Spanish-speaking, Orientals, Indians, Eskimos, and Aleuts," for much the same reasons. I think today's decision is wrong for the same reason that Plessy v. Ferguson was wrong, and I respectfully dissent.</w:t>
      </w:r>
    </w:p>
    <w:p w:rsidR="00A31137" w:rsidRPr="00A31137" w:rsidRDefault="00A31137" w:rsidP="00A31137">
      <w:r w:rsidRPr="00A31137">
        <w:t>A</w:t>
      </w:r>
    </w:p>
    <w:p w:rsidR="00A31137" w:rsidRPr="00A31137" w:rsidRDefault="00A31137" w:rsidP="00A31137">
      <w:r w:rsidRPr="00A31137">
        <w:t>1980, Fullilove v. Klutznick, 448 U.S. 523</w:t>
      </w:r>
    </w:p>
    <w:p w:rsidR="00A31137" w:rsidRPr="00A31137" w:rsidRDefault="00A31137" w:rsidP="00A31137">
      <w:r w:rsidRPr="00A31137">
        <w:t xml:space="preserve">The equal protection standard of the Constitution has one clear and central meaning—it absolutely prohibits invidious discrimination by government. That standard must be met by every State under the Equal Protection Clause of the Fourteenth Amendment. Loving v. Virginia, 388 U.S. 1,  10; Hill v. Texas, 316 U.S. 400; Strauder v. West Virginia, 100 U.S. 303, 307-308; Slaughter-House Cases, 16 Wall. 36, 71-72. And that standard must be met by the United States itself under the Due Process Clause of the Fifth Amendment. Washington v. Davis, 426 U.S. 229,  239; Bolling v. Sharpe, 347 U.S. 497. 1 Under our Constitution, any official action that treats a person differently on account of his race or ethnic origin is inherently suspect, and presumptively invalid. McLaughlin v. Florida, 379 U.S. 184,  192; Bolling v. Sharpe, supra at  499; Korematsu v. United States, 323 U.S. 214,  216. 2 [448 U.S. 524] </w:t>
      </w:r>
    </w:p>
    <w:p w:rsidR="00A31137" w:rsidRPr="00A31137" w:rsidRDefault="00A31137" w:rsidP="00A31137">
      <w:r w:rsidRPr="00A31137">
        <w:t>1980, Fullilove v. Klutznick, 448 U.S. 524</w:t>
      </w:r>
    </w:p>
    <w:p w:rsidR="00A31137" w:rsidRPr="00A31137" w:rsidRDefault="00A31137" w:rsidP="00A31137">
      <w:r w:rsidRPr="00A31137">
        <w:t xml:space="preserve">The hostility of the Constitution to racial classifications by government has been manifested in many cases decided by this Court. See e.g., Loving v. Virginia, supra; McLaughlin v. Florida, supra; Brown v. Board of Education, 347 U.S. 483; Missouri ex rel. Gaines v. Canada, 305 U.S. 337. And our cases have made clear that the Constitution is wholly neutral in forbidding such racial discrimination, whatever the race may be of those who are its victims. In Anderson v. Martin, 375 U.S. 399, for instance, the Court dealt with a state law that required that the race of each candidate for election to public office be designated on the nomination papers and ballots. Although the law applied equally to candidates of whatever race, the Court held that it nonetheless violated the constitutional standard of equal protection. "We see no relevance," the Court said, "in the State's pointing up the race of the candidate as bearing upon his qualifications for office." Id. at  403 (emphasis added). Similarly, in Loving v. Virginia, supra, and McLaughlin v. Florida, supra, the Court held that statutes outlawing miscegenation and interracial cohabitation were constitutionally invalid, even though the laws penalized all violators equally. The laws were unconstitutional for the simple reason that they penalized individuals solely because of their race, whatever their race might be. See also Goss v. Board of Education, 373 U.S. 683; Buchanan v. Warley, 245 U.S. 60. 3 [448 U.S. 525] </w:t>
      </w:r>
    </w:p>
    <w:p w:rsidR="00A31137" w:rsidRPr="00A31137" w:rsidRDefault="00A31137" w:rsidP="00A31137">
      <w:r w:rsidRPr="00A31137">
        <w:t>1980, Fullilove v. Klutznick, 448 U.S. 525</w:t>
      </w:r>
    </w:p>
    <w:p w:rsidR="00A31137" w:rsidRPr="00A31137" w:rsidRDefault="00A31137" w:rsidP="00A31137">
      <w:r w:rsidRPr="00A31137">
        <w:t>This history contains one clear lesson. Under our Constitution, the government may never act to the detriment of a person solely because of that person's race. 4 The color of a person's skin and the country of his origin are immutable facts that bear no relation to ability, disadvantage, moral culpability, or any other characteristics of constitutionally permissible interest to government.</w:t>
      </w:r>
    </w:p>
    <w:p w:rsidR="00A31137" w:rsidRPr="00A31137" w:rsidRDefault="00A31137" w:rsidP="00A31137">
      <w:r w:rsidRPr="00A31137">
        <w:t>1980, Fullilove v. Klutznick, 448 U.S. 525</w:t>
      </w:r>
    </w:p>
    <w:p w:rsidR="00A31137" w:rsidRPr="00A31137" w:rsidRDefault="00A31137" w:rsidP="00A31137">
      <w:r w:rsidRPr="00A31137">
        <w:t>Distinctions between citizens solely because of their ancestry are, by their very nature, odious to a free people whose institutions are founded upon the doctrine of equality.</w:t>
      </w:r>
    </w:p>
    <w:p w:rsidR="00A31137" w:rsidRPr="00A31137" w:rsidRDefault="00A31137" w:rsidP="00A31137">
      <w:r w:rsidRPr="00A31137">
        <w:t>1980, Fullilove v. Klutznick, 448 U.S. 525</w:t>
      </w:r>
    </w:p>
    <w:p w:rsidR="00A31137" w:rsidRPr="00A31137" w:rsidRDefault="00A31137" w:rsidP="00A31137">
      <w:r w:rsidRPr="00A31137">
        <w:t>Hirabayashi v. United States, 320 U.S. 81,  100, quoted in Loving v. Virginia, supra, at  11. 5 [448 U.S. 526] In short, racial discrimination is, by definition, invidious discrimination.</w:t>
      </w:r>
    </w:p>
    <w:p w:rsidR="00A31137" w:rsidRPr="00A31137" w:rsidRDefault="00A31137" w:rsidP="00A31137">
      <w:r w:rsidRPr="00A31137">
        <w:t>1980, Fullilove v. Klutznick, 448 U.S. 526</w:t>
      </w:r>
    </w:p>
    <w:p w:rsidR="00A31137" w:rsidRPr="00A31137" w:rsidRDefault="00A31137" w:rsidP="00A31137">
      <w:r w:rsidRPr="00A31137">
        <w:t>The rule cannot be any different when the persons injured by a racially biased law are not members of a racial minority. The guarantee of equal protection is "universal in [its] application, to all persons…without regard to any differences of race, of color, or of nationality." Yick Wo v. Hopkins, 118 U.S. 356,  369. See In re Griffiths, 413 U.S. 717; Hernandez v. Texas, 347 U.S. 475; Truax v. Raich, 239 U.S. 33, 39-43; Strauder v. West Virginia, 100 U.S. at  308. The command of the equal protection guarantee is simple, but unequivocal: in the words of the Fourteenth Amendment: "No State shall…deny to any person…the equal protection of the laws." Nothing in this language singles out some "persons" for more "equal" treatment than others. Rather, as the Court made clear in Shelley v. Kraemer, 334 U.S. 1,  22, the benefits afforded by the Equal Protection Clause "are, by its terms, guaranteed to the individual. [They] are personal rights." From the perspective of a person detrimentally affected by a racially discriminatory law, the arbitrariness and unfairness is entirely the same, whatever his skin color and whatever the law's purpose, be it purportedly "for the promotion of the public good" or otherwise.</w:t>
      </w:r>
    </w:p>
    <w:p w:rsidR="00A31137" w:rsidRPr="00A31137" w:rsidRDefault="00A31137" w:rsidP="00A31137">
      <w:r w:rsidRPr="00A31137">
        <w:t>1980, Fullilove v. Klutznick, 448 U.S. 526</w:t>
      </w:r>
    </w:p>
    <w:p w:rsidR="00A31137" w:rsidRPr="00A31137" w:rsidRDefault="00A31137" w:rsidP="00A31137">
      <w:r w:rsidRPr="00A31137">
        <w:t>No one disputes the self-evident proposition that Congress has broad discretion under its spending power to disburse the revenues of the United States as it deems best, and to set conditions on the receipt of the funds disbursed. No one disputes that Congress has the authority under the Commerce Clause to regulate contracting practices on federally funded public works projects, or that it enjoys broad powers under § 5 of the Fourteenth Amendment "to enforce by appropriate legislation" the provisions of that Amendment. But these self-evident truisms do not begin to answer the question before us in this case. For, in the exercise of its powers, Congress must obey the Constitution, just as the legislatures of all the States must obey the Constitution in the exercise of their [448 U.S. 527] powers. If a law is unconstitutional, it is no less unconstitutional just because it is a product of the Congress of the United States.</w:t>
      </w:r>
    </w:p>
    <w:p w:rsidR="00A31137" w:rsidRPr="00A31137" w:rsidRDefault="00A31137" w:rsidP="00A31137">
      <w:r w:rsidRPr="00A31137">
        <w:t>B</w:t>
      </w:r>
    </w:p>
    <w:p w:rsidR="00A31137" w:rsidRPr="00A31137" w:rsidRDefault="00A31137" w:rsidP="00A31137">
      <w:r w:rsidRPr="00A31137">
        <w:t>1980, Fullilove v. Klutznick, 448 U.S. 527</w:t>
      </w:r>
    </w:p>
    <w:p w:rsidR="00A31137" w:rsidRPr="00A31137" w:rsidRDefault="00A31137" w:rsidP="00A31137">
      <w:r w:rsidRPr="00A31137">
        <w:t>On its face, the minority business enterprise (MBE) provision at issue in this case denies the equal protection of the law. The Public Works Employment Act of 1977 directs that all project construction shall be performed by those private contractors who submit the lowest competitive bids and who meet established criteria of responsibility. 42 U.S.C. § 6705(e)(1) (1976 ed., Supp. II). One class of contracting firms—defined solely according to the racial and ethnic attributes of their owners—is, however, excepted from the full rigor of these requirements with respect to a percentage of each federal grant. The statute, on its face and in effect, thus bars a class to which the petitioners belong from having the opportunity to receive a government benefit, and bars the members of that class solely on the basis of their race or ethnic background. This is precisely the kind of law that the guarantee of equal protection forbids.</w:t>
      </w:r>
    </w:p>
    <w:p w:rsidR="00A31137" w:rsidRPr="00A31137" w:rsidRDefault="00A31137" w:rsidP="00A31137">
      <w:r w:rsidRPr="00A31137">
        <w:t>1980, Fullilove v. Klutznick, 448 U.S. 527</w:t>
      </w:r>
    </w:p>
    <w:p w:rsidR="00A31137" w:rsidRPr="00A31137" w:rsidRDefault="00A31137" w:rsidP="00A31137">
      <w:r w:rsidRPr="00A31137">
        <w:t>The Court's attempt to characterize the law as a proper remedial measure to counteract the effects of past or present racial discrimination is remarkably unconvincing. The Legislative Branch of government is not a court of equity. It has neither the dispassionate objectivity nor the flexibility that are needed to mold a race-conscious remedy around the single objective of eliminating the effects of past or present discrimination. 6</w:t>
      </w:r>
    </w:p>
    <w:p w:rsidR="00A31137" w:rsidRPr="00A31137" w:rsidRDefault="00A31137" w:rsidP="00A31137">
      <w:r w:rsidRPr="00A31137">
        <w:t>1980, Fullilove v. Klutznick, 448 U.S. 527</w:t>
      </w:r>
    </w:p>
    <w:p w:rsidR="00A31137" w:rsidRPr="00A31137" w:rsidRDefault="00A31137" w:rsidP="00A31137">
      <w:r w:rsidRPr="00A31137">
        <w:t>But even assuming that Congress has the power, under § 5 of the Fourteenth Amendment or some other constitutional provision, [448 U.S. 528] to remedy previous illegal racial discrimination, there is no evidence that Congress has, in the past, engaged in racial discrimination in its disbursement of federal contracting funds. The MBE provision thus pushes the limits of any such justification far beyond the equal protection standard of the Constitution. Certainly, nothing in the Constitution gives Congress any greater authority to impose detriments on the basis of race than is afforded the Judicial Branch. 7 And a judicial decree that imposes burdens on the basis of race can be upheld only where its sole purpose is to eradicate the actual effects of illegal race discrimination. See Pasadena City Board of Education v. Spangler, 427 U.S. 424.</w:t>
      </w:r>
    </w:p>
    <w:p w:rsidR="00A31137" w:rsidRPr="00A31137" w:rsidRDefault="00A31137" w:rsidP="00A31137">
      <w:r w:rsidRPr="00A31137">
        <w:t>1980, Fullilove v. Klutznick, 448 U.S. 528</w:t>
      </w:r>
    </w:p>
    <w:p w:rsidR="00A31137" w:rsidRPr="00A31137" w:rsidRDefault="00A31137" w:rsidP="00A31137">
      <w:r w:rsidRPr="00A31137">
        <w:t>The provision at issue here does not satisfy this condition. Its legislative history suggests that it had at least two other objectives in addition to that of counteracting the effects of past or present racial discrimination in the public works construction industry. 8 One such purpose appears to have been to assure [448 U.S. 529] to minority contractors a certain percentage of federally funded public works contracts. 9 But, since the guarantee of equal protection immunizes from capricious governmental treatment "persons"—not "races"—it can never countenance laws that seek racial balance as a goal in and of itself.</w:t>
      </w:r>
    </w:p>
    <w:p w:rsidR="00A31137" w:rsidRPr="00A31137" w:rsidRDefault="00A31137" w:rsidP="00A31137">
      <w:r w:rsidRPr="00A31137">
        <w:t>1980, Fullilove v. Klutznick, 448 U.S. 529</w:t>
      </w:r>
    </w:p>
    <w:p w:rsidR="00A31137" w:rsidRPr="00A31137" w:rsidRDefault="00A31137" w:rsidP="00A31137">
      <w:r w:rsidRPr="00A31137">
        <w:t>Preferring members of any one group for no reason other than race or ethnic origin is discrimination for its own sake. This the Constitution forbids.</w:t>
      </w:r>
    </w:p>
    <w:p w:rsidR="00A31137" w:rsidRPr="00A31137" w:rsidRDefault="00A31137" w:rsidP="00A31137">
      <w:r w:rsidRPr="00A31137">
        <w:t>1980, Fullilove v. Klutznick, 448 U.S. 529</w:t>
      </w:r>
    </w:p>
    <w:p w:rsidR="00A31137" w:rsidRPr="00A31137" w:rsidRDefault="00A31137" w:rsidP="00A31137">
      <w:r w:rsidRPr="00A31137">
        <w:t xml:space="preserve">University of California Regents v. Bakke, 438 U.S. 265,  307 (opinion of POWELL, J.). Second, there are indications that the MBE provision may have been enacted to compensate for the effects of social, educational, and economic "disadvantage." 10 No race, however, has a monopoly on social, educational, or economic [448 U.S. 530] disadvantage, 11 and any law that indulges in such a presumption clearly violates the constitutional guarantee of equal protection. Since the MBE provision was, in whole or in part, designed to effectuate objectives other than the elimination of the effects of racial discrimination, it cannot stand as a remedy that comports with the strictures of equal protection, even if it otherwise could. 12 [448 U.S. 531] </w:t>
      </w:r>
    </w:p>
    <w:p w:rsidR="00A31137" w:rsidRPr="00A31137" w:rsidRDefault="00A31137" w:rsidP="00A31137">
      <w:r w:rsidRPr="00A31137">
        <w:t>C</w:t>
      </w:r>
    </w:p>
    <w:p w:rsidR="00A31137" w:rsidRPr="00A31137" w:rsidRDefault="00A31137" w:rsidP="00A31137">
      <w:r w:rsidRPr="00A31137">
        <w:t>1980, Fullilove v. Klutznick, 448 U.S. 531</w:t>
      </w:r>
    </w:p>
    <w:p w:rsidR="00A31137" w:rsidRPr="00A31137" w:rsidRDefault="00A31137" w:rsidP="00A31137">
      <w:r w:rsidRPr="00A31137">
        <w:t>The Fourteenth Amendment was adopted to ensure that every person must be treated equally by each State, regardless of the color of his skin. The Amendment promised to carry to its necessary conclusion a fundamental principle upon which this Nation had been founded—that the law would honor no preference based on lineage. 13 Tragically, the promise of 1868 was not immediately fulfilled, and decades passed before the States and the Federal Government were finally directed to eliminate detrimental classifications based on race. Today, the Court derails this achievement, and places its imprimatur on the creation once again by government of privileges based on birth.</w:t>
      </w:r>
    </w:p>
    <w:p w:rsidR="00A31137" w:rsidRPr="00A31137" w:rsidRDefault="00A31137" w:rsidP="00A31137">
      <w:r w:rsidRPr="00A31137">
        <w:t>1980, Fullilove v. Klutznick, 448 U.S. 531</w:t>
      </w:r>
    </w:p>
    <w:p w:rsidR="00A31137" w:rsidRPr="00A31137" w:rsidRDefault="00A31137" w:rsidP="00A31137">
      <w:r w:rsidRPr="00A31137">
        <w:t>The Court, moreover, takes this drastic step without, in my opinion, seriously considering the ramifications of its decision. Laws that operate on the basis of race require definitions of race. Because of the Court's decision today, our statute books will once again have to contain laws that reflect the odious practice of delineating the qualities that make one person a Negro and make another white. 14 Moreover, racial discrimination, even "good faith" racial discrimination, is inevitably a two-edged sword.</w:t>
      </w:r>
    </w:p>
    <w:p w:rsidR="00A31137" w:rsidRPr="00A31137" w:rsidRDefault="00A31137" w:rsidP="00A31137">
      <w:r w:rsidRPr="00A31137">
        <w:t>1980, Fullilove v. Klutznick, 448 U.S. 531</w:t>
      </w:r>
    </w:p>
    <w:p w:rsidR="00A31137" w:rsidRPr="00A31137" w:rsidRDefault="00A31137" w:rsidP="00A31137">
      <w:r w:rsidRPr="00A31137">
        <w:t>[P]referential programs may only reinforce common stereotypes holding that certain groups are unable to achieve success without special protection based on a factor having no relationship to individual worth.</w:t>
      </w:r>
    </w:p>
    <w:p w:rsidR="00A31137" w:rsidRPr="00A31137" w:rsidRDefault="00A31137" w:rsidP="00A31137">
      <w:r w:rsidRPr="00A31137">
        <w:t>1980, Fullilove v. Klutznick, 448 U.S. 531</w:t>
      </w:r>
    </w:p>
    <w:p w:rsidR="00A31137" w:rsidRPr="00A31137" w:rsidRDefault="00A31137" w:rsidP="00A31137">
      <w:r w:rsidRPr="00A31137">
        <w:t>University of California Regents v. Bakke, supra, at  298 (opinion [448 U.S. 532] of POWELL, J.). Most importantly, by making race a relevant criterion once again in its own affairs, the Government implicitly teaches the public that the apportionment of rewards and penalties can legitimately be made according to race—rather than according to merit or ability—and that people can, and perhaps should, view themselves and others in terms of their racial characteristics. Notions of "racial entitlement" will be fostered, and private discrimination will necessarily be encouraged. 15 See Hughes v. Superior Court, 339 U.S. 460, 463-464; T. Eastland &amp; W. Bennett, Counting by Race 139-170 (1979); Van Alstyne, Rites of Passage: Race, the Supreme Court, and the Constitution, 46 U.Chi.L.Rev. 775 (1979).</w:t>
      </w:r>
    </w:p>
    <w:p w:rsidR="00A31137" w:rsidRPr="00A31137" w:rsidRDefault="00A31137" w:rsidP="00A31137">
      <w:r w:rsidRPr="00A31137">
        <w:t>1980, Fullilove v. Klutznick, 448 U.S. 532</w:t>
      </w:r>
    </w:p>
    <w:p w:rsidR="00A31137" w:rsidRPr="00A31137" w:rsidRDefault="00A31137" w:rsidP="00A31137">
      <w:r w:rsidRPr="00A31137">
        <w:t>There are those who think that we need a new Constitution, and their views may someday prevail. But under the Constitution we have, one practice in which government may never engage is the practice of racism—not even "temporarily," and not even as an "experiment."</w:t>
      </w:r>
    </w:p>
    <w:p w:rsidR="00A31137" w:rsidRPr="00A31137" w:rsidRDefault="00A31137" w:rsidP="00A31137">
      <w:r w:rsidRPr="00A31137">
        <w:t>1980, Fullilove v. Klutznick, 448 U.S. 532</w:t>
      </w:r>
    </w:p>
    <w:p w:rsidR="00A31137" w:rsidRPr="00A31137" w:rsidRDefault="00A31137" w:rsidP="00A31137">
      <w:r w:rsidRPr="00A31137">
        <w:t>For these reasons, I would reverse the judgment of the Court of Appeals.</w:t>
      </w:r>
    </w:p>
    <w:p w:rsidR="00A31137" w:rsidRPr="00A31137" w:rsidRDefault="00A31137" w:rsidP="00A31137">
      <w:r w:rsidRPr="00A31137">
        <w:t>STEVENS, J., dissenting</w:t>
      </w:r>
    </w:p>
    <w:p w:rsidR="00A31137" w:rsidRPr="00A31137" w:rsidRDefault="00A31137" w:rsidP="00A31137">
      <w:r w:rsidRPr="00A31137">
        <w:t>1980, Fullilove v. Klutznick, 448 U.S. 532</w:t>
      </w:r>
    </w:p>
    <w:p w:rsidR="00A31137" w:rsidRPr="00A31137" w:rsidRDefault="00A31137" w:rsidP="00A31137">
      <w:r w:rsidRPr="00A31137">
        <w:t>MR. JUSTICE STEVENS dissenting.</w:t>
      </w:r>
    </w:p>
    <w:p w:rsidR="00A31137" w:rsidRPr="00A31137" w:rsidRDefault="00A31137" w:rsidP="00A31137">
      <w:r w:rsidRPr="00A31137">
        <w:t>1980, Fullilove v. Klutznick, 448 U.S. 532</w:t>
      </w:r>
    </w:p>
    <w:p w:rsidR="00A31137" w:rsidRPr="00A31137" w:rsidRDefault="00A31137" w:rsidP="00A31137">
      <w:r w:rsidRPr="00A31137">
        <w:t>The 10% set-aside contained in the Public Works Employment Act of 1977 (Act), 91 Stat. 116, creates monopoly privileges in a $400 million market for a class of investors defined solely by racial characteristics. The direct beneficiaries of these monopoly privileges are the relatively small number of persons within the racial classification who represent the entrepreneurial subclass—those who have, or can borrow, working capital.</w:t>
      </w:r>
    </w:p>
    <w:p w:rsidR="00A31137" w:rsidRPr="00A31137" w:rsidRDefault="00A31137" w:rsidP="00A31137">
      <w:r w:rsidRPr="00A31137">
        <w:t>1980, Fullilove v. Klutznick, 448 U.S. 532</w:t>
      </w:r>
    </w:p>
    <w:p w:rsidR="00A31137" w:rsidRPr="00A31137" w:rsidRDefault="00A31137" w:rsidP="00A31137">
      <w:r w:rsidRPr="00A31137">
        <w:t>History teaches us that the costs associated with a sovereign's grant of exclusive privileges often encompass more [448 U.S. 533] than the high prices and shoddy workmanship that are familiar handmaidens of monopoly; they engender animosity and discontent, as well. The economic consequences of using noble birth as a basis for classification in 18th-century France, though disastrous, were nothing as compared with the terror that was engendered in the name of "egalite" and "fraternite." Grants of privilege on the basis of characteristics acquired at birth are far from an unmixed blessing.</w:t>
      </w:r>
    </w:p>
    <w:p w:rsidR="00A31137" w:rsidRPr="00A31137" w:rsidRDefault="00A31137" w:rsidP="00A31137">
      <w:r w:rsidRPr="00A31137">
        <w:t>1980, Fullilove v. Klutznick, 448 U.S. 533</w:t>
      </w:r>
    </w:p>
    <w:p w:rsidR="00A31137" w:rsidRPr="00A31137" w:rsidRDefault="00A31137" w:rsidP="00A31137">
      <w:r w:rsidRPr="00A31137">
        <w:t>Our historic aversion to titles of nobility 1 is only one aspect of our commitment to the proposition that the sovereign has a fundamental duty to govern impartially. 2 When government accords different treatment to different persons, there must be a reason for the difference. 3 Because racial [448 U.S. 534] characteristics so seldom provide a relevant basis for disparate treatment, 4 and because classifications based on race are potentially so harmful to the entire body politic, 5 it is especially [448 U.S. 535] important that the reasons for any such classification be clearly identified and unquestionably legitimate.</w:t>
      </w:r>
    </w:p>
    <w:p w:rsidR="00A31137" w:rsidRPr="00A31137" w:rsidRDefault="00A31137" w:rsidP="00A31137">
      <w:r w:rsidRPr="00A31137">
        <w:t>1980, Fullilove v. Klutznick, 448 U.S. 535</w:t>
      </w:r>
    </w:p>
    <w:p w:rsidR="00A31137" w:rsidRPr="00A31137" w:rsidRDefault="00A31137" w:rsidP="00A31137">
      <w:r w:rsidRPr="00A31137">
        <w:t>The statutory definition of the preferred class includes "citizens of the United States who are Negroes, Spanish-speaking, Orientals, Indians, Eskimos, and Aleuts." All aliens and all nonmembers of the racial class are excluded. No economic, social, geographical, or historical criteria are relevant for exclusion or inclusion. There is not one word in the remainder of the Act or in the legislative history that explains why any Congressman or Senator favored this particular definition over any other or that identifies the common characteristics that every member of the preferred class was believed to share. 6 Nor does the Act or its history explain [448 U.S. 536] why 10% of the total appropriation was the proper amount to set aside for investors in each of the six racial subclasses. 7</w:t>
      </w:r>
    </w:p>
    <w:p w:rsidR="00A31137" w:rsidRPr="00A31137" w:rsidRDefault="00A31137" w:rsidP="00A31137">
      <w:r w:rsidRPr="00A31137">
        <w:t>1980, Fullilove v. Klutznick, 448 U.S. 536</w:t>
      </w:r>
    </w:p>
    <w:p w:rsidR="00A31137" w:rsidRPr="00A31137" w:rsidRDefault="00A31137" w:rsidP="00A31137">
      <w:r w:rsidRPr="00A31137">
        <w:t xml:space="preserve">Four different, though somewhat interrelated, justifications for the racial classification in this Act have been advanced: first, that the 10% set-aside is a form of reparation for past injuries to the entire membership of the class; second, that it is an appropriate remedy for past discrimination against minority business enterprises that have been denied access to public contracts; third, that the members of the favored class have a special entitlement to "a piece of the action" when government is distributing benefits; and, fourth, that the program is an appropriate method of fostering greater minority participation in a competitive economy. Each of these asserted justifications merits separate scrutiny. [448 U.S. 537] </w:t>
      </w:r>
    </w:p>
    <w:p w:rsidR="00A31137" w:rsidRPr="00A31137" w:rsidRDefault="00A31137" w:rsidP="00A31137">
      <w:r w:rsidRPr="00A31137">
        <w:t>I</w:t>
      </w:r>
    </w:p>
    <w:p w:rsidR="00A31137" w:rsidRPr="00A31137" w:rsidRDefault="00A31137" w:rsidP="00A31137">
      <w:r w:rsidRPr="00A31137">
        <w:t>1980, Fullilove v. Klutznick, 448 U.S. 537</w:t>
      </w:r>
    </w:p>
    <w:p w:rsidR="00A31137" w:rsidRPr="00A31137" w:rsidRDefault="00A31137" w:rsidP="00A31137">
      <w:r w:rsidRPr="00A31137">
        <w:t>Racial characteristics may serve to define a group of persons who have suffered a special wrong and who, therefore, are entitled to special reparations. Congress has recognized, for example, that the United States has treated some Indian tribes unjustly, and has created procedures for allowing members of the injured classes to obtain classwide relief. See, e.g., Delaware Tribal Business Committee v. Weeks, 430 U.S. 73. But, as I have formerly suggested, if Congress is to authorize a recovery for a class of similarly situated victims of a past wrong, it has an obligation to distribute that recovery among the members of the injured class in an evenhanded way. See id. at 97-98 (STEVENS, J., dissenting). Moreover, in such a case, the amount of the award should bear some rational relationship to the extent of the harm it is intended to cure.</w:t>
      </w:r>
    </w:p>
    <w:p w:rsidR="00A31137" w:rsidRPr="00A31137" w:rsidRDefault="00A31137" w:rsidP="00A31137">
      <w:r w:rsidRPr="00A31137">
        <w:t>1980, Fullilove v. Klutznick, 448 U.S. 537</w:t>
      </w:r>
    </w:p>
    <w:p w:rsidR="00A31137" w:rsidRPr="00A31137" w:rsidRDefault="00A31137" w:rsidP="00A31137">
      <w:r w:rsidRPr="00A31137">
        <w:t>In his eloquent separate opinion in University of California Regents v. Bakke, 438 U.S. 265,  387, MR. JUSTICE MARSHALL recounted the tragic class-based discrimination against Negroes that is an indelible part of America's history. I assume that the wrong committed against the Negro class is both so serious and so pervasive that it would constitutionally justify an appropriate class-wide recovery measured by a sum certain for every member of the injured class. Whether our resources are adequate to support a fair remedy of that character is a policy question I have neither the authority nor the wisdom to address. But that serious class-wide wrong cannot, in itself, justify the particular classification Congress has made in this Act. Racial classifications are simply too pernicious to permit any but the most exact connection between justification and classification. Quite obviously, the history of discrimination against. black citizens in America cannot justify a grant of privileges to Eskimos or Indians.</w:t>
      </w:r>
    </w:p>
    <w:p w:rsidR="00A31137" w:rsidRPr="00A31137" w:rsidRDefault="00A31137" w:rsidP="00A31137">
      <w:r w:rsidRPr="00A31137">
        <w:t>1980, Fullilove v. Klutznick, 448 U.S. 537</w:t>
      </w:r>
    </w:p>
    <w:p w:rsidR="00A31137" w:rsidRPr="00A31137" w:rsidRDefault="00A31137" w:rsidP="00A31137">
      <w:r w:rsidRPr="00A31137">
        <w:t>Even if we assume that each of the six racial subclasses has suffered its own special injury at some time in our history, [448 U.S. 538] surely it does not necessarily follow that each of those subclasses suffered harm of identical magnitude. Although "the Negro was dragged to this country in chains to be sold in slavery," Bakke, supra, at 387 (opinion of MARSHALL, J.), the "Spanish-speaking" subclass came voluntarily, frequently without invitation, and the Indians, the Eskimos and the Aleuts had an opportunity to exploit America's resources before the ancestors of most American citizens arrived. There is no reason to assume, and nothing in the legislative history suggests, much less demonstrates, that each of the subclasses is equally entitled to reparations from the United States Government. 8</w:t>
      </w:r>
    </w:p>
    <w:p w:rsidR="00A31137" w:rsidRPr="00A31137" w:rsidRDefault="00A31137" w:rsidP="00A31137">
      <w:r w:rsidRPr="00A31137">
        <w:t>1980, Fullilove v. Klutznick, 448 U.S. 538</w:t>
      </w:r>
    </w:p>
    <w:p w:rsidR="00A31137" w:rsidRPr="00A31137" w:rsidRDefault="00A31137" w:rsidP="00A31137">
      <w:r w:rsidRPr="00A31137">
        <w:t>At best, the statutory preference is a somewhat perverse form of reparation for the members of the injured classes. For those who are the most disadvantaged within each class are the least likely to receive any benefit from the special privilege even though they are the persons most likely still to be suffering the consequences of the past wrong. 9 A random [448 U.S. 539] distribution to a favored few is a poor form of compensation for an injury shared by many.</w:t>
      </w:r>
    </w:p>
    <w:p w:rsidR="00A31137" w:rsidRPr="00A31137" w:rsidRDefault="00A31137" w:rsidP="00A31137">
      <w:r w:rsidRPr="00A31137">
        <w:t>1980, Fullilove v. Klutznick, 448 U.S. 539</w:t>
      </w:r>
    </w:p>
    <w:p w:rsidR="00A31137" w:rsidRPr="00A31137" w:rsidRDefault="00A31137" w:rsidP="00A31137">
      <w:r w:rsidRPr="00A31137">
        <w:t>My principal objection to the reparation justification for this legislation, however, cuts more deeply than my concern about its inequitable character. We can never either erase or ignore the history that MR. JUSTICE MARSHAL has recounted. But if that history can justify such a random distribution of benefits on racial lines as that embodied in this statutory scheme, it will serve not merely as a basis for remedial legislation, but rather as a permanent source of justification for grants of special privileges. For if there is no duty to attempt either to measure the recovery by the wrong or to distribute that recovery within the injured class in an evenhanded way, our history will adequately support a legislative preference for almost any ethnic, religious, or racial group with the political strength to negotiate "a piece of the action" for its members.</w:t>
      </w:r>
    </w:p>
    <w:p w:rsidR="00A31137" w:rsidRPr="00A31137" w:rsidRDefault="00A31137" w:rsidP="00A31137">
      <w:r w:rsidRPr="00A31137">
        <w:t>1980, Fullilove v. Klutznick, 448 U.S. 539</w:t>
      </w:r>
    </w:p>
    <w:p w:rsidR="00A31137" w:rsidRPr="00A31137" w:rsidRDefault="00A31137" w:rsidP="00A31137">
      <w:r w:rsidRPr="00A31137">
        <w:t>Although I do not dispute the validity of the assumption that each of the subclasses identified in the Act has suffered a severe wrong at some time in the past, I cannot accept this slapdash statute as a legitimate method of providing classwide relief.</w:t>
      </w:r>
    </w:p>
    <w:p w:rsidR="00A31137" w:rsidRPr="00A31137" w:rsidRDefault="00A31137" w:rsidP="00A31137">
      <w:r w:rsidRPr="00A31137">
        <w:t>II</w:t>
      </w:r>
    </w:p>
    <w:p w:rsidR="00A31137" w:rsidRPr="00A31137" w:rsidRDefault="00A31137" w:rsidP="00A31137">
      <w:r w:rsidRPr="00A31137">
        <w:t>1980, Fullilove v. Klutznick, 448 U.S. 539</w:t>
      </w:r>
    </w:p>
    <w:p w:rsidR="00A31137" w:rsidRPr="00A31137" w:rsidRDefault="00A31137" w:rsidP="00A31137">
      <w:r w:rsidRPr="00A31137">
        <w:t>The Act may also be viewed as a much narrower remedial measure—one designed to grant relief to the specific minority business enterprises that have been denied access to public contracts by discriminatory practices.</w:t>
      </w:r>
    </w:p>
    <w:p w:rsidR="00A31137" w:rsidRPr="00A31137" w:rsidRDefault="00A31137" w:rsidP="00A31137">
      <w:r w:rsidRPr="00A31137">
        <w:t>1980, Fullilove v. Klutznick, 448 U.S. 539</w:t>
      </w:r>
    </w:p>
    <w:p w:rsidR="00A31137" w:rsidRPr="00A31137" w:rsidRDefault="00A31137" w:rsidP="00A31137">
      <w:r w:rsidRPr="00A31137">
        <w:t>The legislative history of the Act does not tell us when, or how often, any minority business enterprise was denied such access. Nevertheless, it is reasonable to infer that the number of such incidents has been relatively small in recent years. For, as noted by the Solicitor General, in the last 20 years, Congress has enacted numerous statutes designed to eliminate discrimination and its effects from federally funded [448 U.S. 540] programs. 10 Title VI of the Civil Rights Act of 1964 unequivocally and comprehensively prohibits discrimination on the basis of race in any program or activity receiving federal financial assistance. In view of the scarcity of litigated claims on behalf of minority business enterprises during this period, and the lack of any contrary evidence in the legislative record, it is appropriate to presume that the law has generally been obeyed.</w:t>
      </w:r>
    </w:p>
    <w:p w:rsidR="00A31137" w:rsidRPr="00A31137" w:rsidRDefault="00A31137" w:rsidP="00A31137">
      <w:r w:rsidRPr="00A31137">
        <w:t>1980, Fullilove v. Klutznick, 448 U.S. 540</w:t>
      </w:r>
    </w:p>
    <w:p w:rsidR="00A31137" w:rsidRPr="00A31137" w:rsidRDefault="00A31137" w:rsidP="00A31137">
      <w:r w:rsidRPr="00A31137">
        <w:t>Assuming, however, that some firms have been denied public business for racial reasons, the instant statutory remedy is nevertheless demonstrably much broader than is necessary to right any such past wrong. For the statute grants the special preference to a class that includes (1) those minority-owned firms that have successfully obtained business in the past on a free competitive basis and undoubtedly are capable of doing so in the future as well; (2) firms that have never attempted to obtain any public business in the past; (3) firms that were initially formed after the Act was passed, including those that may have been organized simply to take advantage of its provisions; 11 (4) firms that have tried to obtain public business but were unsuccessful for reasons that are unrelated to the racial characteristics of their stockholders; [448 U.S. 541] and (5) those firms that have been victimized by racial discrimination.</w:t>
      </w:r>
    </w:p>
    <w:p w:rsidR="00A31137" w:rsidRPr="00A31137" w:rsidRDefault="00A31137" w:rsidP="00A31137">
      <w:r w:rsidRPr="00A31137">
        <w:t>1980, Fullilove v. Klutznick, 448 U.S. 541</w:t>
      </w:r>
    </w:p>
    <w:p w:rsidR="00A31137" w:rsidRPr="00A31137" w:rsidRDefault="00A31137" w:rsidP="00A31137">
      <w:r w:rsidRPr="00A31137">
        <w:t>Since there is no reason to believe that any of the firms in the first four categories had been wrongfully excluded from the market for public contracts, the statutory preference for those firms cannot be justified as a remedial measure. And since a judicial remedy was already available for the firms in the fifth category, 12 it seems inappropriate to regard the preference as a remedy designed to redress any specific wrongs. 13 In any event, since it is highly unlikely that the composition of the fifth category is at all representative of the entire lass of firms to which the statute grants a valuable preference, it is ill-fitting to characterize this as a "narrowly tailored" remedial measure. 14</w:t>
      </w:r>
    </w:p>
    <w:p w:rsidR="00A31137" w:rsidRPr="00A31137" w:rsidRDefault="00A31137" w:rsidP="00A31137">
      <w:r w:rsidRPr="00A31137">
        <w:t>III</w:t>
      </w:r>
    </w:p>
    <w:p w:rsidR="00A31137" w:rsidRPr="00A31137" w:rsidRDefault="00A31137" w:rsidP="00A31137">
      <w:r w:rsidRPr="00A31137">
        <w:t>1980, Fullilove v. Klutznick, 448 U.S. 541</w:t>
      </w:r>
    </w:p>
    <w:p w:rsidR="00A31137" w:rsidRPr="00A31137" w:rsidRDefault="00A31137" w:rsidP="00A31137">
      <w:r w:rsidRPr="00A31137">
        <w:t>The legislative history of the Act discloses that there is a group of legislators in Congress identified as the "Black Caucus," and that members of that group argued that, if the Federal Government was going to provide $ 4 billion of new [448 U.S. 542] public contract business, their constituents were entitled to "a piece of the action."</w:t>
      </w:r>
    </w:p>
    <w:p w:rsidR="00A31137" w:rsidRPr="00A31137" w:rsidRDefault="00A31137" w:rsidP="00A31137">
      <w:r w:rsidRPr="00A31137">
        <w:t>1980, Fullilove v. Klutznick, 448 U.S. 542</w:t>
      </w:r>
    </w:p>
    <w:p w:rsidR="00A31137" w:rsidRPr="00A31137" w:rsidRDefault="00A31137" w:rsidP="00A31137">
      <w:r w:rsidRPr="00A31137">
        <w:t>It is neither unusual nor reprehensible for Congressmen to promote the authorization of public construction in their districts. The flow of capital and employment into a district inevitably has both direct and indirect consequences that are beneficial. As MR. JUSTICE BRENNAN noted in Elrod v. Burns, 427 U.S. 347, however, the award of such contracts may become a form of political patronage that is dispensed by the party in power. 15 Although the practice of awarding such contracts to political allies may be as much a part of our history as the employment practices condemned in Elrod, it would surely be unconstitutional for the legislature to specify that all, or a certain portion, of the contracts authorized by a specific statute must be given to businesses controlled by members of one political party or another. That would be true even if the legislative majority was convinced that a grossly disproportionate share had been awarded to members of the opposite party in previous years.</w:t>
      </w:r>
    </w:p>
    <w:p w:rsidR="00A31137" w:rsidRPr="00A31137" w:rsidRDefault="00A31137" w:rsidP="00A31137">
      <w:r w:rsidRPr="00A31137">
        <w:t>1980, Fullilove v. Klutznick, 448 U.S. 542</w:t>
      </w:r>
    </w:p>
    <w:p w:rsidR="00A31137" w:rsidRPr="00A31137" w:rsidRDefault="00A31137" w:rsidP="00A31137">
      <w:r w:rsidRPr="00A31137">
        <w:t>In the short run, our political processes might benefit from legislation that enhanced the ability of representatives of minority groups to disseminate patronage to their political backers. But in the long run, any rule that authorized the award of public business on a racial basis would be just as objectionable as one that awarded such business on a purely partisan basis.</w:t>
      </w:r>
    </w:p>
    <w:p w:rsidR="00A31137" w:rsidRPr="00A31137" w:rsidRDefault="00A31137" w:rsidP="00A31137">
      <w:r w:rsidRPr="00A31137">
        <w:t>1980, Fullilove v. Klutznick, 448 U.S. 542</w:t>
      </w:r>
    </w:p>
    <w:p w:rsidR="00A31137" w:rsidRPr="00A31137" w:rsidRDefault="00A31137" w:rsidP="00A31137">
      <w:r w:rsidRPr="00A31137">
        <w:t>The legislators' interest in providing their constituents with favored access to benefits distributed by the Federal Government is, in my opinion, a plainly impermissible justification for this racial classification.</w:t>
      </w:r>
    </w:p>
    <w:p w:rsidR="00A31137" w:rsidRPr="00A31137" w:rsidRDefault="00A31137" w:rsidP="00A31137">
      <w:r w:rsidRPr="00A31137">
        <w:t>IV</w:t>
      </w:r>
    </w:p>
    <w:p w:rsidR="00A31137" w:rsidRPr="00A31137" w:rsidRDefault="00A31137" w:rsidP="00A31137">
      <w:r w:rsidRPr="00A31137">
        <w:t>1980, Fullilove v. Klutznick, 448 U.S. 542</w:t>
      </w:r>
    </w:p>
    <w:p w:rsidR="00A31137" w:rsidRPr="00A31137" w:rsidRDefault="00A31137" w:rsidP="00A31137">
      <w:r w:rsidRPr="00A31137">
        <w:t>The interest in facilitating and encouraging the participation [448 U.S. 543] by minority business enterprises in the economy is unquestionably legitimate. Any barrier to such entry and growth—whether grounded in the law or in irrational prejudice—should be vigorously and thoroughly removed. Equality of economic and investment opportunity is a goal of no less importance than equality of employment opportunity. This statute, however, is not designed to remove any barriers to entry. Nor does its sparse legislative history detail any insuperable or even significant obstacles to entry into the competitive market.</w:t>
      </w:r>
    </w:p>
    <w:p w:rsidR="00A31137" w:rsidRPr="00A31137" w:rsidRDefault="00A31137" w:rsidP="00A31137">
      <w:r w:rsidRPr="00A31137">
        <w:t>1980, Fullilove v. Klutznick, 448 U.S. 543</w:t>
      </w:r>
    </w:p>
    <w:p w:rsidR="00A31137" w:rsidRPr="00A31137" w:rsidRDefault="00A31137" w:rsidP="00A31137">
      <w:r w:rsidRPr="00A31137">
        <w:t>Three difficulties encountered by minority business enterprises in seeking governmental business on a competitive basis are identified in the legislative history. There were references to (1) unfamiliarity with bidding procedures followed by procurement officers, (2) difficulties in obtaining financing, and (3) past discrimination in the construction industry.</w:t>
      </w:r>
    </w:p>
    <w:p w:rsidR="00A31137" w:rsidRPr="00A31137" w:rsidRDefault="00A31137" w:rsidP="00A31137">
      <w:r w:rsidRPr="00A31137">
        <w:t>1980, Fullilove v. Klutznick, 448 U.S. 543</w:t>
      </w:r>
    </w:p>
    <w:p w:rsidR="00A31137" w:rsidRPr="00A31137" w:rsidRDefault="00A31137" w:rsidP="00A31137">
      <w:r w:rsidRPr="00A31137">
        <w:t>The first concern is no doubt a real problem for all businesses seeking access to the public contract market for the first time. It justifies a thorough review of bidding practices to make sure that they are intelligible and accessible to all. It by no means justifies an assumption that minority business enterprises are any less able to prepare and submit bids in proper form than are any other businessmen. Consequently, that concern does not justify a statutory classification on racial grounds.</w:t>
      </w:r>
    </w:p>
    <w:p w:rsidR="00A31137" w:rsidRPr="00A31137" w:rsidRDefault="00A31137" w:rsidP="00A31137">
      <w:r w:rsidRPr="00A31137">
        <w:t>1980, Fullilove v. Klutznick, 448 U.S. 543</w:t>
      </w:r>
    </w:p>
    <w:p w:rsidR="00A31137" w:rsidRPr="00A31137" w:rsidRDefault="00A31137" w:rsidP="00A31137">
      <w:r w:rsidRPr="00A31137">
        <w:t>The second concern would justify legislation prohibiting private discrimination in lending practices or authorizing special public financing for firms that have been or are unable to borrow money for reasons unrelated to their credit rating. It would not be an adequate justification for a requirement that a fixed percentage of all loans made by national banks be made to Eskimos or Orientals regardless of their ability to repay the loans. Nor, it seems to me, does it provide a sufficient justification for granting a preference to a broad class that includes, at one extreme, firms that have no credit [448 U.S. 544] problem 16 and, at the other extreme, firms whose unsatisfactory credit rating will prevent them from taking advantage of the statutory preference even though they are otherwise qualified to do the work. At best, the preference for minority business enterprises is a crude and inadequate response to the evils that flow from discriminatory lending practices.</w:t>
      </w:r>
    </w:p>
    <w:p w:rsidR="00A31137" w:rsidRPr="00A31137" w:rsidRDefault="00A31137" w:rsidP="00A31137">
      <w:r w:rsidRPr="00A31137">
        <w:t>1980, Fullilove v. Klutznick, 448 U.S. 544</w:t>
      </w:r>
    </w:p>
    <w:p w:rsidR="00A31137" w:rsidRPr="00A31137" w:rsidRDefault="00A31137" w:rsidP="00A31137">
      <w:r w:rsidRPr="00A31137">
        <w:t>The question whether the history of past discrimination has created barriers that can only be overcome by an unusual measure of this kind is more difficult to evaluate. In analyzing this question, I think it is essential to draw a distinction between obstacles placed in the path of minority business enterprises by others and characteristics of those firms that may impair their ability to compete.</w:t>
      </w:r>
    </w:p>
    <w:p w:rsidR="00A31137" w:rsidRPr="00A31137" w:rsidRDefault="00A31137" w:rsidP="00A31137">
      <w:r w:rsidRPr="00A31137">
        <w:t>1980, Fullilove v. Klutznick, 448 U.S. 544</w:t>
      </w:r>
    </w:p>
    <w:p w:rsidR="00A31137" w:rsidRPr="00A31137" w:rsidRDefault="00A31137" w:rsidP="00A31137">
      <w:r w:rsidRPr="00A31137">
        <w:t>It is unfortunately but unquestionably true that irrational racial prejudice persists today and continues to obstruct minority participation in a variety of economic pursuits, presumably including the construction industry. But there are two reasons why this legislation will not eliminate, or even tend to eliminate, such prejudice. First, prejudice is less likely to be a significant factor in the public sector of the economy than in the private sector because both federal and [448 U.S. 545] state laws have prohibited discrimination in the award of public contracts for many years. Second, and of greater importance, an absolute preference that is unrelated to a minority firm's ability to perform a contract inevitably will engender resentment on the part of competitors excluded from the market for a purely racial reason and skepticism on the part of customers and suppliers aware of the statutory classification. It thus seems clear to me that this Act cannot be defended as an appropriate method of reducing racial prejudice.</w:t>
      </w:r>
    </w:p>
    <w:p w:rsidR="00A31137" w:rsidRPr="00A31137" w:rsidRDefault="00A31137" w:rsidP="00A31137">
      <w:r w:rsidRPr="00A31137">
        <w:t>1980, Fullilove v. Klutznick, 448 U.S. 545</w:t>
      </w:r>
    </w:p>
    <w:p w:rsidR="00A31137" w:rsidRPr="00A31137" w:rsidRDefault="00A31137" w:rsidP="00A31137">
      <w:r w:rsidRPr="00A31137">
        <w:t xml:space="preserve">The argument that our history of discrimination has left the entire membership of each of the six racial classes identified in the Act less able to compete in a free market than others is more easily stated than proved. The reduction in prejudice that has occurred during the last generation has accomplished much less than was anticipated; it nevertheless remains true that increased opportunities have produced an ever-increasing number of demonstrations that members of disadvantaged races are entirely capable not merely of competing on an equal basis, but also of excelling in the most demanding professions. But, even though it is not the actual predicate for this legislation, a statute of this kind inevitably is perceived by many as resting on an assumption that those who are granted this special preference are less qualified in some respect that is identified purely by their race. 17 Because that perception—especially when fostered by the Congress of the United States—can only exacerbate, rather than reduce, racial prejudice, it will delay the time when race will become a truly irrelevant, or at least insignificant, factor. Unless Congress clearly articulates the need and basis for a racial classification, and also tailors the classification to its justification, the Court should not uphold this kind of statute. [448 U.S. 546] </w:t>
      </w:r>
    </w:p>
    <w:p w:rsidR="00A31137" w:rsidRPr="00A31137" w:rsidRDefault="00A31137" w:rsidP="00A31137">
      <w:r w:rsidRPr="00A31137">
        <w:t>1980, Fullilove v. Klutznick, 448 U.S. 546</w:t>
      </w:r>
    </w:p>
    <w:p w:rsidR="00A31137" w:rsidRPr="00A31137" w:rsidRDefault="00A31137" w:rsidP="00A31137">
      <w:r w:rsidRPr="00A31137">
        <w:t>This Act has a character that is fundamentally different from a carefully drafted remedial measure like the Voting Rights Act of 1965. A consideration of some of the dramatic differences between these two legislative responses to racial injustice reveals not merely a difference in legislative craftsmanship, but a difference of constitutional significance. Whereas the enactment of the Voting Rights Act was preceded by exhaustive hearings and debates concerning discriminatory denial of access to the electoral process, and became effective in specific States only after specific findings were made, this statute authorizes an automatic nationwide preference for all members of a diverse racial class regardless of their possible interest in the particular geographic areas where the public contracts are to be performed. Just why a wealthy Negro or Spanish-speaking investor should have a preferred status in bidding on a construction contract in Alaska—or a citizen of Eskimo ancestry should have a preference in Miami or Detroit—is difficult to understand in light of either the asserted remedial character of the set-aside or the more basic purposes of the public works legislation.</w:t>
      </w:r>
    </w:p>
    <w:p w:rsidR="00A31137" w:rsidRPr="00A31137" w:rsidRDefault="00A31137" w:rsidP="00A31137">
      <w:r w:rsidRPr="00A31137">
        <w:t>1980, Fullilove v. Klutznick, 448 U.S. 546</w:t>
      </w:r>
    </w:p>
    <w:p w:rsidR="00A31137" w:rsidRPr="00A31137" w:rsidRDefault="00A31137" w:rsidP="00A31137">
      <w:r w:rsidRPr="00A31137">
        <w:t>The Voting Rights Act addressed the problem of denial of access to the electoral process. By outlawing specific practices, such as poll taxes and special tests, the statute removed old barriers to equal access; by requiring preclearance of changes in voting practices in covered States, it precluded the erection of new barriers. The Act before us today does not outlaw any existing barriers to access to the economic market, and does nothing to prevent the erection of new barriers. On the contrary, it adopts the fundamentally different approach of creating a new set of barriers of its own.</w:t>
      </w:r>
    </w:p>
    <w:p w:rsidR="00A31137" w:rsidRPr="00A31137" w:rsidRDefault="00A31137" w:rsidP="00A31137">
      <w:r w:rsidRPr="00A31137">
        <w:t>1980, Fullilove v. Klutznick, 448 U.S. 546</w:t>
      </w:r>
    </w:p>
    <w:p w:rsidR="00A31137" w:rsidRPr="00A31137" w:rsidRDefault="00A31137" w:rsidP="00A31137">
      <w:r w:rsidRPr="00A31137">
        <w:t>A comparable approach in the electoral context would support a rule requiring that at least 10% of the candidates elected to the legislature be members of specified racial minorities. Surely that would be an effective way of ensuring black citizens the representation that has long been their due. [448 U.S. 547] Quite obviously, however, such a measure would merely create the kind of inequality that an impartial sovereign cannot tolerate. Yet that is precisely the kind of "remedy" that this Act authorizes. In both political and economic contexts, we have a legitimate interest in seeing that those who were disadvantaged in the past may succeed in the future. But neither an election nor a market can be equally accessible to all if race provides a basis for placing a special value on votes or dollars.</w:t>
      </w:r>
    </w:p>
    <w:p w:rsidR="00A31137" w:rsidRPr="00A31137" w:rsidRDefault="00A31137" w:rsidP="00A31137">
      <w:r w:rsidRPr="00A31137">
        <w:t>1980, Fullilove v. Klutznick, 448 U.S. 547</w:t>
      </w:r>
    </w:p>
    <w:p w:rsidR="00A31137" w:rsidRPr="00A31137" w:rsidRDefault="00A31137" w:rsidP="00A31137">
      <w:r w:rsidRPr="00A31137">
        <w:t>The ultimate goal must be to eliminate entirely from governmental decisionmaking such irrelevant factors as a human being's race. The removal of barriers to access to political and economic processes serves that goal. 18 But the creation of new barriers can only frustrate true progress. For as MR. JUSTICE POWELL 19 and Mr. Justice Douglas 20 have perceptively observed, such protective barriers reinforce habitual ways of thinking in terms of classes, instead of individuals. Preferences based on characteristics acquired at birth foster intolerance and antagonism against the entire membership of the favored classes. 21 For this reason, I am firmly convinced [448 U.S. 548] that this "temporary measure" will disserve the goal of equal opportunity.</w:t>
      </w:r>
    </w:p>
    <w:p w:rsidR="00A31137" w:rsidRPr="00A31137" w:rsidRDefault="00A31137" w:rsidP="00A31137">
      <w:r w:rsidRPr="00A31137">
        <w:t>V</w:t>
      </w:r>
    </w:p>
    <w:p w:rsidR="00A31137" w:rsidRPr="00A31137" w:rsidRDefault="00A31137" w:rsidP="00A31137">
      <w:r w:rsidRPr="00A31137">
        <w:t>1980, Fullilove v. Klutznick, 448 U.S. 548</w:t>
      </w:r>
    </w:p>
    <w:p w:rsidR="00A31137" w:rsidRPr="00A31137" w:rsidRDefault="00A31137" w:rsidP="00A31137">
      <w:r w:rsidRPr="00A31137">
        <w:t>A judge's opinion that a statute reflects a profoundly unwise policy determination is an insufficient reason for concluding that it is unconstitutional. Congress has broad power to spend money to provide for the "general Welfare of the United States," to "regulate Commerce…among the several States," to enforce the Civil War Amendments, and to discriminate between aliens and citizens. See Hampton v. Mow Sun Won, 426 U.S. 88, 101-102, n. 21. 22 But the exercise of these broad powers is subject to the constraints imposed by the Due Process Clause of the Fifth Amendment. That Clause has both substantive and procedural components; it performs the office of both the Due Process and Equal Protection Clauses of the Fourteenth Amendment in requiring that the federal sovereign act impartially.</w:t>
      </w:r>
    </w:p>
    <w:p w:rsidR="00A31137" w:rsidRPr="00A31137" w:rsidRDefault="00A31137" w:rsidP="00A31137">
      <w:r w:rsidRPr="00A31137">
        <w:t>1980, Fullilove v. Klutznick, 448 U.S. 548</w:t>
      </w:r>
    </w:p>
    <w:p w:rsidR="00A31137" w:rsidRPr="00A31137" w:rsidRDefault="00A31137" w:rsidP="00A31137">
      <w:r w:rsidRPr="00A31137">
        <w:t>Unlike MR. JUSTICE STEWART and MR. JUSTICE REHNQUIST, however, I am not convinced that the Clause contains an absolute prohibition against any statutory classification based on race. I am nonetheless persuaded that it does impose a special obligation to scrutinize any governmental decisionmaking process that draws nationwide distinctions between citizens on the basis of their race and incidentally also discriminates against noncitizens in the preferred racial classes. 23 [448 U.S. 549] For just as procedural safeguards are necessary to guarantee impartial decisionmaking in the judicial process, so can they play a vital part in preserving the impartial character of the legislative process. 24</w:t>
      </w:r>
    </w:p>
    <w:p w:rsidR="00A31137" w:rsidRPr="00A31137" w:rsidRDefault="00A31137" w:rsidP="00A31137">
      <w:r w:rsidRPr="00A31137">
        <w:t>1980, Fullilove v. Klutznick, 448 U.S. 549</w:t>
      </w:r>
    </w:p>
    <w:p w:rsidR="00A31137" w:rsidRPr="00A31137" w:rsidRDefault="00A31137" w:rsidP="00A31137">
      <w:r w:rsidRPr="00A31137">
        <w:t>In both its substantive and procedural aspects, this Act is markedly different from the normal product of the legislative decisionmaking process. The very fact that Congress, for the first time in the Nation's history, has created a broad legislative classification for entitlement to benefits based solely on racial characteristics identifies a dramatic difference between this Act and the thousands of statutes that preceded it. This dramatic point of departure is not even mentioned in the statement of purpose of the Act or in the Reports of either the House or the Senate Committee that processed the legislation, 25 and was not the subject of any testimony or inquiry [448 U.S. 550] in any legislative hearing on the bill that was enacted. It is true that there was a brief discussion on the floor of the House, as well as in the Senate, on two different days, but only a handful of legislators spoke, and there was virtually no debate. This kind of perfunctory consideration of an unprecedented policy decision of profound constitutional importance to the Nation is comparable to the accidental malfunction of the legislative process that led to what I regarded as a totally unjustified discrimination in Delaware Tribal Business Committee v. Weeks, 430 U.S. at 97.</w:t>
      </w:r>
    </w:p>
    <w:p w:rsidR="00A31137" w:rsidRPr="00A31137" w:rsidRDefault="00A31137" w:rsidP="00A31137">
      <w:r w:rsidRPr="00A31137">
        <w:t>1980, Fullilove v. Klutznick, 448 U.S. 550</w:t>
      </w:r>
    </w:p>
    <w:p w:rsidR="00A31137" w:rsidRPr="00A31137" w:rsidRDefault="00A31137" w:rsidP="00A31137">
      <w:r w:rsidRPr="00A31137">
        <w:t>Although it is traditional for judges to accord the same presumption of regularity to the legislative process no matter how obvious it may be that a busy Congress has acted precipitately, I see no reason why the character of their procedures may not be considered relevant to the decision whether the legislative product has caused a deprivation of liberty or property without due process of law. 26 Whenever [448 U.S. 551] Congress creates a classification that would be subject to strict scrutiny under the Equal Protection Clause of the Fourteenth Amendment if it had been fashioned by a state legislature, it seems to me that judicial review should include a consideration of the procedural character of the decisionmaking process. 27 A holding that the classification was not adequately preceded by a consideration of less drastic alternatives or adequately explained by a statement of legislative purpose would be far less intrusive than a final determination that the substance of the decision is not "narrowly tailored to the achievement of that goal." 28 Cf. THE CHIEF JUSTICE's opinion, ante at  480; MR. JUSTICE MARSHALL's opinion concurring in the judgment, ante at  521. If the general language of the Due Process Clause of the Fifth Amendment [448 U.S. 552] authorizes this Court to review Acts of Congress under the standards of the Equal Protection Clause of the Fourteenth Amendment—a clause that cannot be found in the Fifth Amendment—there can be no separation of powers objection to a more tentative holding of unconstitutionality based on a failure to follow procedures that guarantee the kind of deliberation that a fundamental constitutional issue of this kind obviously merits. 29</w:t>
      </w:r>
    </w:p>
    <w:p w:rsidR="00A31137" w:rsidRPr="00A31137" w:rsidRDefault="00A31137" w:rsidP="00A31137">
      <w:r w:rsidRPr="00A31137">
        <w:t>1980, Fullilove v. Klutznick, 448 U.S. 552</w:t>
      </w:r>
    </w:p>
    <w:p w:rsidR="00A31137" w:rsidRPr="00A31137" w:rsidRDefault="00A31137" w:rsidP="00A31137">
      <w:r w:rsidRPr="00A31137">
        <w:t>In all events, rather than take the substantive position expressed in MR. JUSTICE STEWART's dissenting opinion, I would hold this statute unconstitutional on a narrower ground. It cannot fairly be characterized as a "narrowly tailored" racial classification, because it simply raises too many serious questions that Congress failed to answer or even to address in a responsible way. 30 The risk that habitual attitudes toward [448 U.S. 553] classes of persons, rather than analysis of the relevant characteristics of the class, will serve as a basis for a legislative classification is present when benefits are distributed, as well as when burdens are imposed. In the past, traditional attitudes too often provided the only explanation for discrimination against women, aliens, illegitimates, and black citizens. Today, there is a danger that awareness of past injustice will lead to automatic acceptance of new classifications that are not, in fact, justified by attributes characteristic of the class as a whole.</w:t>
      </w:r>
    </w:p>
    <w:p w:rsidR="00A31137" w:rsidRPr="00A31137" w:rsidRDefault="00A31137" w:rsidP="00A31137">
      <w:r w:rsidRPr="00A31137">
        <w:t>1980, Fullilove v. Klutznick, 448 U.S. 553</w:t>
      </w:r>
    </w:p>
    <w:p w:rsidR="00A31137" w:rsidRPr="00A31137" w:rsidRDefault="00A31137" w:rsidP="00A31137">
      <w:r w:rsidRPr="00A31137">
        <w:t>When Congress creates a special preference, or a special disability, for a class of persons, it should identify the characteristic that justifies the special treatment. 31 When the classification is defined in racial terms, I believe that such particular identification is imperative.</w:t>
      </w:r>
    </w:p>
    <w:p w:rsidR="00A31137" w:rsidRPr="00A31137" w:rsidRDefault="00A31137" w:rsidP="00A31137">
      <w:r w:rsidRPr="00A31137">
        <w:t>1980, Fullilove v. Klutznick, 448 U.S. 553</w:t>
      </w:r>
    </w:p>
    <w:p w:rsidR="00A31137" w:rsidRPr="00A31137" w:rsidRDefault="00A31137" w:rsidP="00A31137">
      <w:r w:rsidRPr="00A31137">
        <w:t>In this case, only two conceivable bases for differentiating the preferred classes from society as a whole have occurred to me: (1) that they were the victims of unfair treatment in the past and (2) that they are less able to compete in the future. Although the first of these factors would justify an appropriate remedy for past wrongs, for reasons that I have already stated, this statute is not such a remedial measure. The second factor is simply not true. Nothing in the record of this case, the legislative history of the Act, or experience that we [448 U.S. 554] may notice judicially provides any support for such a proposition. It is up to Congress to demonstrate that its unique statutory preference is justified by a relevant characteristic that is shared by the members of the preferred class. In my opinion, because it has failed to make that demonstration, it has also failed to discharge its duty to govern impartially embodied in the Fifth Amendment to the United States Constitution.</w:t>
      </w:r>
    </w:p>
    <w:p w:rsidR="00A31137" w:rsidRPr="00A31137" w:rsidRDefault="00A31137" w:rsidP="00A31137">
      <w:r w:rsidRPr="00A31137">
        <w:t>1980, Fullilove v. Klutznick, 448 U.S. 554</w:t>
      </w:r>
    </w:p>
    <w:p w:rsidR="00A31137" w:rsidRPr="00A31137" w:rsidRDefault="00A31137" w:rsidP="00A31137">
      <w:r w:rsidRPr="00A31137">
        <w:t>I respectfully dissent.</w:t>
      </w:r>
    </w:p>
    <w:p w:rsidR="00A31137" w:rsidRPr="00A31137" w:rsidRDefault="00A31137" w:rsidP="00A31137">
      <w:r w:rsidRPr="00A31137">
        <w:t>Footnotes</w:t>
      </w:r>
    </w:p>
    <w:p w:rsidR="00A31137" w:rsidRPr="00A31137" w:rsidRDefault="00A31137" w:rsidP="00A31137">
      <w:r w:rsidRPr="00A31137">
        <w:t>BURGER, J., lead opinion (Footnotes)</w:t>
      </w:r>
    </w:p>
    <w:p w:rsidR="00A31137" w:rsidRPr="00A31137" w:rsidRDefault="00A31137" w:rsidP="00A31137">
      <w:r w:rsidRPr="00A31137">
        <w:t>1980, Fullilove v. Klutznick, 448 U.S. 554</w:t>
      </w:r>
    </w:p>
    <w:p w:rsidR="00A31137" w:rsidRPr="00A31137" w:rsidRDefault="00A31137" w:rsidP="00A31137">
      <w:r w:rsidRPr="00A31137">
        <w:t>1. 91 Stat. 116, 42 U.S.C. § 6705(f)(2) (1976 ed., Supp. II).</w:t>
      </w:r>
    </w:p>
    <w:p w:rsidR="00A31137" w:rsidRPr="00A31137" w:rsidRDefault="00A31137" w:rsidP="00A31137">
      <w:r w:rsidRPr="00A31137">
        <w:t>1980, Fullilove v. Klutznick, 448 U.S. 554</w:t>
      </w:r>
    </w:p>
    <w:p w:rsidR="00A31137" w:rsidRPr="00A31137" w:rsidRDefault="00A31137" w:rsidP="00A31137">
      <w:r w:rsidRPr="00A31137">
        <w:t>2. 42 Fed.Reg. 27432 (1977), as amended by 42 Fed.Reg. 35822 (1977); 13 CFR Part 317 (1978).</w:t>
      </w:r>
    </w:p>
    <w:p w:rsidR="00A31137" w:rsidRPr="00A31137" w:rsidRDefault="00A31137" w:rsidP="00A31137">
      <w:r w:rsidRPr="00A31137">
        <w:t>1980, Fullilove v. Klutznick, 448 U.S. 554</w:t>
      </w:r>
    </w:p>
    <w:p w:rsidR="00A31137" w:rsidRPr="00A31137" w:rsidRDefault="00A31137" w:rsidP="00A31137">
      <w:r w:rsidRPr="00A31137">
        <w:t>3. U.S. Dept. of Commerce, Economic Development Administration, Local Public Works Program, Round II, Guidelines For 10% Minority Business Participation In LPW Grants (1977) (hereinafter Guidelines); App. 156a-167a.</w:t>
      </w:r>
    </w:p>
    <w:p w:rsidR="00A31137" w:rsidRPr="00A31137" w:rsidRDefault="00A31137" w:rsidP="00A31137">
      <w:r w:rsidRPr="00A31137">
        <w:t>1980, Fullilove v. Klutznick, 448 U.S. 554</w:t>
      </w:r>
    </w:p>
    <w:p w:rsidR="00A31137" w:rsidRPr="00A31137" w:rsidRDefault="00A31137" w:rsidP="00A31137">
      <w:r w:rsidRPr="00A31137">
        <w:t>4. U.S. Dept. of Commerce, Economic Development Administration, EDA Minority Business Enterprise (MBE) Technical Bulletin (Additional Assistance and Information Available to Grantees and Their Contractors In Meeting The 10% MBE Requirement) (1977) (hereinafter Technical Bulletin); App. 129a-155a.</w:t>
      </w:r>
    </w:p>
    <w:p w:rsidR="00A31137" w:rsidRPr="00A31137" w:rsidRDefault="00A31137" w:rsidP="00A31137">
      <w:r w:rsidRPr="00A31137">
        <w:t>1980, Fullilove v. Klutznick, 448 U.S. 554</w:t>
      </w:r>
    </w:p>
    <w:p w:rsidR="00A31137" w:rsidRPr="00A31137" w:rsidRDefault="00A31137" w:rsidP="00A31137">
      <w:r w:rsidRPr="00A31137">
        <w:t>5. 42 U.S.C. §§ 1981, 1983, 1985; Title VI, § 601 of the Civil Rights Act of 1964, 78 Stat. 252, 42 U.S.C. § 2000d; Title VII, § 701 et seq. of the Civil Rights Act of 1964, 78 Stat. 253, as amended, 42 U.S.C. § 2000e et seq.</w:t>
      </w:r>
    </w:p>
    <w:p w:rsidR="00A31137" w:rsidRPr="00A31137" w:rsidRDefault="00A31137" w:rsidP="00A31137">
      <w:r w:rsidRPr="00A31137">
        <w:t>1980, Fullilove v. Klutznick, 448 U.S. 554</w:t>
      </w:r>
    </w:p>
    <w:p w:rsidR="00A31137" w:rsidRPr="00A31137" w:rsidRDefault="00A31137" w:rsidP="00A31137">
      <w:r w:rsidRPr="00A31137">
        <w:t>6. Ohio Contractors Assn. v. Economic Development Administration, 580 F.2d 213 (CA6 1978); Constructors Assn. v. Kreps, 573 F.2d 811 (CA3 1978); Rhode Island Chapter, Associated General Contractors v. Kreps, 450 F.Supp. 338 (RI 1978); Associated General Contractors v. Secretary of Commerce, No. 77-4218 (Kan. Feb. 9, 1978); Carolinas Branch, Associated General Contractors v. Kreps, 442 F.Supp. 392 (SC 1977); Ohio Contractors Assn. v. Economic Development Administration, 452 F.Supp. 1013 (SD Ohio 1977); Montana Contractors' Assn. v. Secretary of Commerce, 439 F.Supp. 1331 (Mont.1977); Florida East Coast Chapter v. Secretary of Commerce, No. 77-8351 (SD Fla. Nov. 3, 1977); but see Associated General Contractors v. Secretary of Commerce, 441 F.Supp. 955 (CD Cal.1977), vacated and remanded for consideration of mootness, 438 U.S. 909 (1978), on remand, 459 F.Supp. 766 (CD Cal.), vacated and remanded sub nom. Armistead v. Associated General Contractors of California, post, p. 908.</w:t>
      </w:r>
    </w:p>
    <w:p w:rsidR="00A31137" w:rsidRPr="00A31137" w:rsidRDefault="00A31137" w:rsidP="00A31137">
      <w:r w:rsidRPr="00A31137">
        <w:t>1980, Fullilove v. Klutznick, 448 U.S. 554</w:t>
      </w:r>
    </w:p>
    <w:p w:rsidR="00A31137" w:rsidRPr="00A31137" w:rsidRDefault="00A31137" w:rsidP="00A31137">
      <w:r w:rsidRPr="00A31137">
        <w:t>7. Both the Court of Appeals and the District Court rejected petitioners' various statutory arguments without extended discussion. 584 F.2d at 608, n. 15; 443 F.Supp. at 262.</w:t>
      </w:r>
    </w:p>
    <w:p w:rsidR="00A31137" w:rsidRPr="00A31137" w:rsidRDefault="00A31137" w:rsidP="00A31137">
      <w:r w:rsidRPr="00A31137">
        <w:t>1980, Fullilove v. Klutznick, 448 U.S. 554</w:t>
      </w:r>
    </w:p>
    <w:p w:rsidR="00A31137" w:rsidRPr="00A31137" w:rsidRDefault="00A31137" w:rsidP="00A31137">
      <w:r w:rsidRPr="00A31137">
        <w:t>8. H.R.Rep. No. 91077, p. 2 (1976). The bill discussed in this Report was accepted by the Conference Committee in preference to the Senate version. S.Conf.Rep. No. 94-939, p. 1 (1976); H.R.Conf. Rep. No. 94-1260, p. 1 (1976).</w:t>
      </w:r>
    </w:p>
    <w:p w:rsidR="00A31137" w:rsidRPr="00A31137" w:rsidRDefault="00A31137" w:rsidP="00A31137">
      <w:r w:rsidRPr="00A31137">
        <w:t>1980, Fullilove v. Klutznick, 448 U.S. 554</w:t>
      </w:r>
    </w:p>
    <w:p w:rsidR="00A31137" w:rsidRPr="00A31137" w:rsidRDefault="00A31137" w:rsidP="00A31137">
      <w:r w:rsidRPr="00A31137">
        <w:t>9. 90 Stat. 999, 42 U.S.C. § 6702.</w:t>
      </w:r>
    </w:p>
    <w:p w:rsidR="00A31137" w:rsidRPr="00A31137" w:rsidRDefault="00A31137" w:rsidP="00A31137">
      <w:r w:rsidRPr="00A31137">
        <w:t>1980, Fullilove v. Klutznick, 448 U.S. 554</w:t>
      </w:r>
    </w:p>
    <w:p w:rsidR="00A31137" w:rsidRPr="00A31137" w:rsidRDefault="00A31137" w:rsidP="00A31137">
      <w:r w:rsidRPr="00A31137">
        <w:t>10. 90 Stat. 1000, 42 U.S.C. § 6705.</w:t>
      </w:r>
    </w:p>
    <w:p w:rsidR="00A31137" w:rsidRPr="00A31137" w:rsidRDefault="00A31137" w:rsidP="00A31137">
      <w:r w:rsidRPr="00A31137">
        <w:t>1980, Fullilove v. Klutznick, 448 U.S. 554</w:t>
      </w:r>
    </w:p>
    <w:p w:rsidR="00A31137" w:rsidRPr="00A31137" w:rsidRDefault="00A31137" w:rsidP="00A31137">
      <w:r w:rsidRPr="00A31137">
        <w:t>11. 90 Stat. 1000, 42 U.S.C. § 6707.</w:t>
      </w:r>
    </w:p>
    <w:p w:rsidR="00A31137" w:rsidRPr="00A31137" w:rsidRDefault="00A31137" w:rsidP="00A31137">
      <w:r w:rsidRPr="00A31137">
        <w:t>1980, Fullilove v. Klutznick, 448 U.S. 554</w:t>
      </w:r>
    </w:p>
    <w:p w:rsidR="00A31137" w:rsidRPr="00A31137" w:rsidRDefault="00A31137" w:rsidP="00A31137">
      <w:r w:rsidRPr="00A31137">
        <w:t>12. 90 Stat. 1001, 42 U.S.C. § 6707(c).</w:t>
      </w:r>
    </w:p>
    <w:p w:rsidR="00A31137" w:rsidRPr="00A31137" w:rsidRDefault="00A31137" w:rsidP="00A31137">
      <w:r w:rsidRPr="00A31137">
        <w:t>1980, Fullilove v. Klutznick, 448 U.S. 554</w:t>
      </w:r>
    </w:p>
    <w:p w:rsidR="00A31137" w:rsidRPr="00A31137" w:rsidRDefault="00A31137" w:rsidP="00A31137">
      <w:r w:rsidRPr="00A31137">
        <w:t>13. 90 Stat. 1002, 42 U.S.C. § 6710. The actual appropriation of the full amount authorized was made several weeks later. Pub.L. 94-447, 90 Stat. 1497.</w:t>
      </w:r>
    </w:p>
    <w:p w:rsidR="00A31137" w:rsidRPr="00A31137" w:rsidRDefault="00A31137" w:rsidP="00A31137">
      <w:r w:rsidRPr="00A31137">
        <w:t>1980, Fullilove v. Klutznick, 448 U.S. 554</w:t>
      </w:r>
    </w:p>
    <w:p w:rsidR="00A31137" w:rsidRPr="00A31137" w:rsidRDefault="00A31137" w:rsidP="00A31137">
      <w:r w:rsidRPr="00A31137">
        <w:t>14. 123 Cong.Rec. 2136 (1977) (remarks of Sen. Randolph).</w:t>
      </w:r>
    </w:p>
    <w:p w:rsidR="00A31137" w:rsidRPr="00A31137" w:rsidRDefault="00A31137" w:rsidP="00A31137">
      <w:r w:rsidRPr="00A31137">
        <w:t>1980, Fullilove v. Klutznick, 448 U.S. 554</w:t>
      </w:r>
    </w:p>
    <w:p w:rsidR="00A31137" w:rsidRPr="00A31137" w:rsidRDefault="00A31137" w:rsidP="00A31137">
      <w:r w:rsidRPr="00A31137">
        <w:t>15. See, e.g., Hearings on H.R. 11 and Related Bills before the Subcommittee on Economic Development of the House Committee on Public Works and Transportation, 95th Cong., 1st Sess. (1977); H.R.Rep. No. 95-20 (1977); S.Rep. No. 95-38 (1977).</w:t>
      </w:r>
    </w:p>
    <w:p w:rsidR="00A31137" w:rsidRPr="00A31137" w:rsidRDefault="00A31137" w:rsidP="00A31137">
      <w:r w:rsidRPr="00A31137">
        <w:t>1980, Fullilove v. Klutznick, 448 U.S. 554</w:t>
      </w:r>
    </w:p>
    <w:p w:rsidR="00A31137" w:rsidRPr="00A31137" w:rsidRDefault="00A31137" w:rsidP="00A31137">
      <w:r w:rsidRPr="00A31137">
        <w:t>16. 91 Stat. 119, 42 U.S.C. § 6710 (1976 ed., Supp. II). The actual appropriation of the full authorized amount was made the same day. Pub.L. 95-29, 91 Stat. 123.</w:t>
      </w:r>
    </w:p>
    <w:p w:rsidR="00A31137" w:rsidRPr="00A31137" w:rsidRDefault="00A31137" w:rsidP="00A31137">
      <w:r w:rsidRPr="00A31137">
        <w:t>1980, Fullilove v. Klutznick, 448 U.S. 554</w:t>
      </w:r>
    </w:p>
    <w:p w:rsidR="00A31137" w:rsidRPr="00A31137" w:rsidRDefault="00A31137" w:rsidP="00A31137">
      <w:r w:rsidRPr="00A31137">
        <w:t>17. E.g., Hearings, supra, n. 15; 123 Cong.Rec. 5290-5353 (1977); id. at 7097-7176.</w:t>
      </w:r>
    </w:p>
    <w:p w:rsidR="00A31137" w:rsidRPr="00A31137" w:rsidRDefault="00A31137" w:rsidP="00A31137">
      <w:r w:rsidRPr="00A31137">
        <w:t>1980, Fullilove v. Klutznick, 448 U.S. 554</w:t>
      </w:r>
    </w:p>
    <w:p w:rsidR="00A31137" w:rsidRPr="00A31137" w:rsidRDefault="00A31137" w:rsidP="00A31137">
      <w:r w:rsidRPr="00A31137">
        <w:t>18. 91 Stat. 117, 42 U.S.C. § 6707 (1976 ed., Supp. II).</w:t>
      </w:r>
    </w:p>
    <w:p w:rsidR="00A31137" w:rsidRPr="00A31137" w:rsidRDefault="00A31137" w:rsidP="00A31137">
      <w:r w:rsidRPr="00A31137">
        <w:t>1980, Fullilove v. Klutznick, 448 U.S. 554</w:t>
      </w:r>
    </w:p>
    <w:p w:rsidR="00A31137" w:rsidRPr="00A31137" w:rsidRDefault="00A31137" w:rsidP="00A31137">
      <w:r w:rsidRPr="00A31137">
        <w:t>19. 91 Stat. 116, 42 U.S.C. § 6705 (1976 ed., Supp. II).</w:t>
      </w:r>
    </w:p>
    <w:p w:rsidR="00A31137" w:rsidRPr="00A31137" w:rsidRDefault="00A31137" w:rsidP="00A31137">
      <w:r w:rsidRPr="00A31137">
        <w:t>1980, Fullilove v. Klutznick, 448 U.S. 554</w:t>
      </w:r>
    </w:p>
    <w:p w:rsidR="00A31137" w:rsidRPr="00A31137" w:rsidRDefault="00A31137" w:rsidP="00A31137">
      <w:r w:rsidRPr="00A31137">
        <w:t>20. 123 Cong.Rec. 5097 (1977) (remarks of Rep. Mitchell).</w:t>
      </w:r>
    </w:p>
    <w:p w:rsidR="00A31137" w:rsidRPr="00A31137" w:rsidRDefault="00A31137" w:rsidP="00A31137">
      <w:r w:rsidRPr="00A31137">
        <w:t>1980, Fullilove v. Klutznick, 448 U.S. 554</w:t>
      </w:r>
    </w:p>
    <w:p w:rsidR="00A31137" w:rsidRPr="00A31137" w:rsidRDefault="00A31137" w:rsidP="00A31137">
      <w:r w:rsidRPr="00A31137">
        <w:t>21. Id. at 5098.</w:t>
      </w:r>
    </w:p>
    <w:p w:rsidR="00A31137" w:rsidRPr="00A31137" w:rsidRDefault="00A31137" w:rsidP="00A31137">
      <w:r w:rsidRPr="00A31137">
        <w:t>1980, Fullilove v. Klutznick, 448 U.S. 554</w:t>
      </w:r>
    </w:p>
    <w:p w:rsidR="00A31137" w:rsidRPr="00A31137" w:rsidRDefault="00A31137" w:rsidP="00A31137">
      <w:r w:rsidRPr="00A31137">
        <w:t>22. Id. at 5097-5098</w:t>
      </w:r>
    </w:p>
    <w:p w:rsidR="00A31137" w:rsidRPr="00A31137" w:rsidRDefault="00A31137" w:rsidP="00A31137">
      <w:r w:rsidRPr="00A31137">
        <w:t>1980, Fullilove v. Klutznick, 448 U.S. 554</w:t>
      </w:r>
    </w:p>
    <w:p w:rsidR="00A31137" w:rsidRPr="00A31137" w:rsidRDefault="00A31137" w:rsidP="00A31137">
      <w:r w:rsidRPr="00A31137">
        <w:t>23. Id. at 5098.</w:t>
      </w:r>
    </w:p>
    <w:p w:rsidR="00A31137" w:rsidRPr="00A31137" w:rsidRDefault="00A31137" w:rsidP="00A31137">
      <w:r w:rsidRPr="00A31137">
        <w:t>1980, Fullilove v. Klutznick, 448 U.S. 554</w:t>
      </w:r>
    </w:p>
    <w:p w:rsidR="00A31137" w:rsidRPr="00A31137" w:rsidRDefault="00A31137" w:rsidP="00A31137">
      <w:r w:rsidRPr="00A31137">
        <w:t>24. Id. at 5327. As reintroduced, the first sentence of the amendment was modified to provide:</w:t>
      </w:r>
    </w:p>
    <w:p w:rsidR="00A31137" w:rsidRPr="00A31137" w:rsidRDefault="00A31137" w:rsidP="00A31137">
      <w:r w:rsidRPr="00A31137">
        <w:t>1980, Fullilove v. Klutznick, 448 U.S. 554</w:t>
      </w:r>
    </w:p>
    <w:p w:rsidR="00A31137" w:rsidRPr="00A31137" w:rsidRDefault="00A31137" w:rsidP="00A31137">
      <w:r w:rsidRPr="00A31137">
        <w:t>Notwithstanding any other provision of law, no grant shall be made under this Act for any local public works project unless at least 10 per centum of the dollar volume of each contract shall be set aside for minority business enterprise and, or, unless at least 10 per centum of the articles, materials, and supplies which will be used in such project are procured from minority business enterprises.</w:t>
      </w:r>
    </w:p>
    <w:p w:rsidR="00A31137" w:rsidRPr="00A31137" w:rsidRDefault="00A31137" w:rsidP="00A31137">
      <w:r w:rsidRPr="00A31137">
        <w:t>1980, Fullilove v. Klutznick, 448 U.S. 554</w:t>
      </w:r>
    </w:p>
    <w:p w:rsidR="00A31137" w:rsidRPr="00A31137" w:rsidRDefault="00A31137" w:rsidP="00A31137">
      <w:r w:rsidRPr="00A31137">
        <w:t>25. Id. at 5327-5328.</w:t>
      </w:r>
    </w:p>
    <w:p w:rsidR="00A31137" w:rsidRPr="00A31137" w:rsidRDefault="00A31137" w:rsidP="00A31137">
      <w:r w:rsidRPr="00A31137">
        <w:t>1980, Fullilove v. Klutznick, 448 U.S. 554</w:t>
      </w:r>
    </w:p>
    <w:p w:rsidR="00A31137" w:rsidRPr="00A31137" w:rsidRDefault="00A31137" w:rsidP="00A31137">
      <w:r w:rsidRPr="00A31137">
        <w:t>26. Id. at 5327.</w:t>
      </w:r>
    </w:p>
    <w:p w:rsidR="00A31137" w:rsidRPr="00A31137" w:rsidRDefault="00A31137" w:rsidP="00A31137">
      <w:r w:rsidRPr="00A31137">
        <w:t>1980, Fullilove v. Klutznick, 448 U.S. 554</w:t>
      </w:r>
    </w:p>
    <w:p w:rsidR="00A31137" w:rsidRPr="00A31137" w:rsidRDefault="00A31137" w:rsidP="00A31137">
      <w:r w:rsidRPr="00A31137">
        <w:t>27. Id. at 5327-5328</w:t>
      </w:r>
    </w:p>
    <w:p w:rsidR="00A31137" w:rsidRPr="00A31137" w:rsidRDefault="00A31137" w:rsidP="00A31137">
      <w:r w:rsidRPr="00A31137">
        <w:t>1980, Fullilove v. Klutznick, 448 U.S. 554</w:t>
      </w:r>
    </w:p>
    <w:p w:rsidR="00A31137" w:rsidRPr="00A31137" w:rsidRDefault="00A31137" w:rsidP="00A31137">
      <w:r w:rsidRPr="00A31137">
        <w:t>28. Id. at 5328 (remarks of Rep. Roe)</w:t>
      </w:r>
    </w:p>
    <w:p w:rsidR="00A31137" w:rsidRPr="00A31137" w:rsidRDefault="00A31137" w:rsidP="00A31137">
      <w:r w:rsidRPr="00A31137">
        <w:t>1980, Fullilove v. Klutznick, 448 U.S. 554</w:t>
      </w:r>
    </w:p>
    <w:p w:rsidR="00A31137" w:rsidRPr="00A31137" w:rsidRDefault="00A31137" w:rsidP="00A31137">
      <w:r w:rsidRPr="00A31137">
        <w:t>29. Ibid.</w:t>
      </w:r>
    </w:p>
    <w:p w:rsidR="00A31137" w:rsidRPr="00A31137" w:rsidRDefault="00A31137" w:rsidP="00A31137">
      <w:r w:rsidRPr="00A31137">
        <w:t>1980, Fullilove v. Klutznick, 448 U.S. 554</w:t>
      </w:r>
    </w:p>
    <w:p w:rsidR="00A31137" w:rsidRPr="00A31137" w:rsidRDefault="00A31137" w:rsidP="00A31137">
      <w:r w:rsidRPr="00A31137">
        <w:t>30. Id. at 5329 (remarks of Rep. Mitchell).</w:t>
      </w:r>
    </w:p>
    <w:p w:rsidR="00A31137" w:rsidRPr="00A31137" w:rsidRDefault="00A31137" w:rsidP="00A31137">
      <w:r w:rsidRPr="00A31137">
        <w:t>1980, Fullilove v. Klutznick, 448 U.S. 554</w:t>
      </w:r>
    </w:p>
    <w:p w:rsidR="00A31137" w:rsidRPr="00A31137" w:rsidRDefault="00A31137" w:rsidP="00A31137">
      <w:r w:rsidRPr="00A31137">
        <w:t>31. Id. at 5330 (remarks of Rep. Conyers).</w:t>
      </w:r>
    </w:p>
    <w:p w:rsidR="00A31137" w:rsidRPr="00A31137" w:rsidRDefault="00A31137" w:rsidP="00A31137">
      <w:r w:rsidRPr="00A31137">
        <w:t>1980, Fullilove v. Klutznick, 448 U.S. 554</w:t>
      </w:r>
    </w:p>
    <w:p w:rsidR="00A31137" w:rsidRPr="00A31137" w:rsidRDefault="00A31137" w:rsidP="00A31137">
      <w:r w:rsidRPr="00A31137">
        <w:t>32. Id. at 5331 (remarks of Rep. Biaggi).</w:t>
      </w:r>
    </w:p>
    <w:p w:rsidR="00A31137" w:rsidRPr="00A31137" w:rsidRDefault="00A31137" w:rsidP="00A31137">
      <w:r w:rsidRPr="00A31137">
        <w:t>1980, Fullilove v. Klutznick, 448 U.S. 554</w:t>
      </w:r>
    </w:p>
    <w:p w:rsidR="00A31137" w:rsidRPr="00A31137" w:rsidRDefault="00A31137" w:rsidP="00A31137">
      <w:r w:rsidRPr="00A31137">
        <w:t>33. Id. at 5332.</w:t>
      </w:r>
    </w:p>
    <w:p w:rsidR="00A31137" w:rsidRPr="00A31137" w:rsidRDefault="00A31137" w:rsidP="00A31137">
      <w:r w:rsidRPr="00A31137">
        <w:t>1980, Fullilove v. Klutznick, 448 U.S. 554</w:t>
      </w:r>
    </w:p>
    <w:p w:rsidR="00A31137" w:rsidRPr="00A31137" w:rsidRDefault="00A31137" w:rsidP="00A31137">
      <w:r w:rsidRPr="00A31137">
        <w:t>34. Id. at 7155-7156 (remarks of Sen. Brooke). The first paragraph of Senator Brooke's formulation was identical to the version originally offered by Representative Mitchell, quoted in the text, supra at 458-459. A second paragraph of Senator Brooke's amendment provided:</w:t>
      </w:r>
    </w:p>
    <w:p w:rsidR="00A31137" w:rsidRPr="00A31137" w:rsidRDefault="00A31137" w:rsidP="00A31137">
      <w:r w:rsidRPr="00A31137">
        <w:t>1980, Fullilove v. Klutznick, 448 U.S. 554</w:t>
      </w:r>
    </w:p>
    <w:p w:rsidR="00A31137" w:rsidRPr="00A31137" w:rsidRDefault="00A31137" w:rsidP="00A31137">
      <w:r w:rsidRPr="00A31137">
        <w:t>This section shall not be interpreted to defund projects with less than 10 percent minority participation in areas with minority population of less than 5 percent. In that event, the correct level of minority participation will be predetermined by the Secretary in consultation with EDA and based upon its lists of qualified minority contractors and its solicitation of competitive bids from all minority firms on those lists,</w:t>
      </w:r>
    </w:p>
    <w:p w:rsidR="00A31137" w:rsidRPr="00A31137" w:rsidRDefault="00A31137" w:rsidP="00A31137">
      <w:r w:rsidRPr="00A31137">
        <w:t>1980, Fullilove v. Klutznick, 448 U.S. 554</w:t>
      </w:r>
    </w:p>
    <w:p w:rsidR="00A31137" w:rsidRPr="00A31137" w:rsidRDefault="00A31137" w:rsidP="00A31137">
      <w:r w:rsidRPr="00A31137">
        <w:t>123 Cong.Rec. 7156 (1977).</w:t>
      </w:r>
    </w:p>
    <w:p w:rsidR="00A31137" w:rsidRPr="00A31137" w:rsidRDefault="00A31137" w:rsidP="00A31137">
      <w:r w:rsidRPr="00A31137">
        <w:t>1980, Fullilove v. Klutznick, 448 U.S. 554</w:t>
      </w:r>
    </w:p>
    <w:p w:rsidR="00A31137" w:rsidRPr="00A31137" w:rsidRDefault="00A31137" w:rsidP="00A31137">
      <w:r w:rsidRPr="00A31137">
        <w:t>35. Ibid.</w:t>
      </w:r>
    </w:p>
    <w:p w:rsidR="00A31137" w:rsidRPr="00A31137" w:rsidRDefault="00A31137" w:rsidP="00A31137">
      <w:r w:rsidRPr="00A31137">
        <w:t>1980, Fullilove v. Klutznick, 448 U.S. 554</w:t>
      </w:r>
    </w:p>
    <w:p w:rsidR="00A31137" w:rsidRPr="00A31137" w:rsidRDefault="00A31137" w:rsidP="00A31137">
      <w:r w:rsidRPr="00A31137">
        <w:t>36. Ibid.</w:t>
      </w:r>
    </w:p>
    <w:p w:rsidR="00A31137" w:rsidRPr="00A31137" w:rsidRDefault="00A31137" w:rsidP="00A31137">
      <w:r w:rsidRPr="00A31137">
        <w:t>1980, Fullilove v. Klutznick, 448 U.S. 554</w:t>
      </w:r>
    </w:p>
    <w:p w:rsidR="00A31137" w:rsidRPr="00A31137" w:rsidRDefault="00A31137" w:rsidP="00A31137">
      <w:r w:rsidRPr="00A31137">
        <w:t>37. S.Conf.Rep. No. 95-110, P. 11 (1977); H.R.Conf.Rep. No. 95230, p. 11 (1977).</w:t>
      </w:r>
    </w:p>
    <w:p w:rsidR="00A31137" w:rsidRPr="00A31137" w:rsidRDefault="00A31137" w:rsidP="00A31137">
      <w:r w:rsidRPr="00A31137">
        <w:t>1980, Fullilove v. Klutznick, 448 U.S. 554</w:t>
      </w:r>
    </w:p>
    <w:p w:rsidR="00A31137" w:rsidRPr="00A31137" w:rsidRDefault="00A31137" w:rsidP="00A31137">
      <w:r w:rsidRPr="00A31137">
        <w:t>38. Ibid. The Conference Committee bill was agreed to by the Senate, 123 Cong.Rec. 12941-12942 (1977), and by the House, id., at 13242-13257, and was signed into law on May 13, 1977.</w:t>
      </w:r>
    </w:p>
    <w:p w:rsidR="00A31137" w:rsidRPr="00A31137" w:rsidRDefault="00A31137" w:rsidP="00A31137">
      <w:r w:rsidRPr="00A31137">
        <w:t>1980, Fullilove v. Klutznick, 448 U.S. 554</w:t>
      </w:r>
    </w:p>
    <w:p w:rsidR="00A31137" w:rsidRPr="00A31137" w:rsidRDefault="00A31137" w:rsidP="00A31137">
      <w:r w:rsidRPr="00A31137">
        <w:t>39. Id. at 7156 (remarks of Sen. Broke).</w:t>
      </w:r>
    </w:p>
    <w:p w:rsidR="00A31137" w:rsidRPr="00A31137" w:rsidRDefault="00A31137" w:rsidP="00A31137">
      <w:r w:rsidRPr="00A31137">
        <w:t>1980, Fullilove v. Klutznick, 448 U.S. 554</w:t>
      </w:r>
    </w:p>
    <w:p w:rsidR="00A31137" w:rsidRPr="00A31137" w:rsidRDefault="00A31137" w:rsidP="00A31137">
      <w:r w:rsidRPr="00A31137">
        <w:t>40. Id. at 5330 (remarks of Rep. Mitchell).</w:t>
      </w:r>
    </w:p>
    <w:p w:rsidR="00A31137" w:rsidRPr="00A31137" w:rsidRDefault="00A31137" w:rsidP="00A31137">
      <w:r w:rsidRPr="00A31137">
        <w:t>1980, Fullilove v. Klutznick, 448 U.S. 554</w:t>
      </w:r>
    </w:p>
    <w:p w:rsidR="00A31137" w:rsidRPr="00A31137" w:rsidRDefault="00A31137" w:rsidP="00A31137">
      <w:r w:rsidRPr="00A31137">
        <w:t>41. Id. at 5327; id. at 7156 (remarks of Sen. Brooke).</w:t>
      </w:r>
    </w:p>
    <w:p w:rsidR="00A31137" w:rsidRPr="00A31137" w:rsidRDefault="00A31137" w:rsidP="00A31137">
      <w:r w:rsidRPr="00A31137">
        <w:t>1980, Fullilove v. Klutznick, 448 U.S. 554</w:t>
      </w:r>
    </w:p>
    <w:p w:rsidR="00A31137" w:rsidRPr="00A31137" w:rsidRDefault="00A31137" w:rsidP="00A31137">
      <w:r w:rsidRPr="00A31137">
        <w:t>42. Exec.Order No. 11375, 3 CFR 684 (1966-1970 Comp.); Exec.Order No. 11518, 3 CFR 907 (1966-1970 Comp.).</w:t>
      </w:r>
    </w:p>
    <w:p w:rsidR="00A31137" w:rsidRPr="00A31137" w:rsidRDefault="00A31137" w:rsidP="00A31137">
      <w:r w:rsidRPr="00A31137">
        <w:t>1980, Fullilove v. Klutznick, 448 U.S. 554</w:t>
      </w:r>
    </w:p>
    <w:p w:rsidR="00A31137" w:rsidRPr="00A31137" w:rsidRDefault="00A31137" w:rsidP="00A31137">
      <w:r w:rsidRPr="00A31137">
        <w:t>43. 13 CFR § 124.8-1(c)(1) (1977).</w:t>
      </w:r>
    </w:p>
    <w:p w:rsidR="00A31137" w:rsidRPr="00A31137" w:rsidRDefault="00A31137" w:rsidP="00A31137">
      <w:r w:rsidRPr="00A31137">
        <w:t>1980, Fullilove v. Klutznick, 448 U.S. 554</w:t>
      </w:r>
    </w:p>
    <w:p w:rsidR="00A31137" w:rsidRPr="00A31137" w:rsidRDefault="00A31137" w:rsidP="00A31137">
      <w:r w:rsidRPr="00A31137">
        <w:t>44. U.S. Small Business Administration, Office of Business Development, Section 8(a) Program, Standard Operating Procedure 15-16 (1976); see H.R.Rep. No. 94-468, p. 30 (1975) ("[T]he relevant rules and regulations require such applicant to identify with the disadvantages of his or her racial group generally, and that such disadvantages must have personally affected the applicant's ability to enter into the mainstream of the business system"); U.S. Small Business Administration, Office of Minority Small Business and Capital Ownership Development, MSB &amp; COD Programs, Standard Operating Procedure 20 (1979) ("The social disadvantage of individuals, including those within the above-named [racial and ethnic] groups, shall be determined by SBA on a case-by-case basis. Membership alone in any group is not conclusive that an individual is socially disadvantaged") .</w:t>
      </w:r>
    </w:p>
    <w:p w:rsidR="00A31137" w:rsidRPr="00A31137" w:rsidRDefault="00A31137" w:rsidP="00A31137">
      <w:r w:rsidRPr="00A31137">
        <w:t>1980, Fullilove v. Klutznick, 448 U.S. 554</w:t>
      </w:r>
    </w:p>
    <w:p w:rsidR="00A31137" w:rsidRPr="00A31137" w:rsidRDefault="00A31137" w:rsidP="00A31137">
      <w:r w:rsidRPr="00A31137">
        <w:t>45. H.R.Rep. No. 94-1791 (1977).</w:t>
      </w:r>
    </w:p>
    <w:p w:rsidR="00A31137" w:rsidRPr="00A31137" w:rsidRDefault="00A31137" w:rsidP="00A31137">
      <w:r w:rsidRPr="00A31137">
        <w:t>1980, Fullilove v. Klutznick, 448 U.S. 554</w:t>
      </w:r>
    </w:p>
    <w:p w:rsidR="00A31137" w:rsidRPr="00A31137" w:rsidRDefault="00A31137" w:rsidP="00A31137">
      <w:r w:rsidRPr="00A31137">
        <w:t>46. Id. at 124-149</w:t>
      </w:r>
    </w:p>
    <w:p w:rsidR="00A31137" w:rsidRPr="00A31137" w:rsidRDefault="00A31137" w:rsidP="00A31137">
      <w:r w:rsidRPr="00A31137">
        <w:t>1980, Fullilove v. Klutznick, 448 U.S. 554</w:t>
      </w:r>
    </w:p>
    <w:p w:rsidR="00A31137" w:rsidRPr="00A31137" w:rsidRDefault="00A31137" w:rsidP="00A31137">
      <w:r w:rsidRPr="00A31137">
        <w:t>47. H.R.Rep. No. 94-468, pp. 1-2 (1975) (emphasis added).</w:t>
      </w:r>
    </w:p>
    <w:p w:rsidR="00A31137" w:rsidRPr="00A31137" w:rsidRDefault="00A31137" w:rsidP="00A31137">
      <w:r w:rsidRPr="00A31137">
        <w:t>1980, Fullilove v. Klutznick, 448 U.S. 554</w:t>
      </w:r>
    </w:p>
    <w:p w:rsidR="00A31137" w:rsidRPr="00A31137" w:rsidRDefault="00A31137" w:rsidP="00A31137">
      <w:r w:rsidRPr="00A31137">
        <w:t>48. Another chapter of the 1977 Report of the House Committee on Small Business summarized a review of the SBA's Security Bond Guarantee Program, making specific reference to minority business participation in the construction industry:</w:t>
      </w:r>
    </w:p>
    <w:p w:rsidR="00A31137" w:rsidRPr="00A31137" w:rsidRDefault="00A31137" w:rsidP="00A31137">
      <w:r w:rsidRPr="00A31137">
        <w:t>1980, Fullilove v. Klutznick, 448 U.S. 554</w:t>
      </w:r>
    </w:p>
    <w:p w:rsidR="00A31137" w:rsidRPr="00A31137" w:rsidRDefault="00A31137" w:rsidP="00A31137">
      <w:r w:rsidRPr="00A31137">
        <w:t>The very basic problem disclosed by the testimony is that, over the years, there has developed a business system which has traditionally excluded measurable minority participation. In the past, more than the present, this system of conducting business transactions overtly precluded minority input. Currently, we more often encounter a business system which is racially neutral on its face, but, because of past overt social and economic discrimination, is presently operating, in effect, to perpetuate these past inequities. Minorities, until recently, have not participated to any measurable extent, in our total business system generally, or in the construction industry, in particular.</w:t>
      </w:r>
    </w:p>
    <w:p w:rsidR="00A31137" w:rsidRPr="00A31137" w:rsidRDefault="00A31137" w:rsidP="00A31137">
      <w:r w:rsidRPr="00A31137">
        <w:t>1980, Fullilove v. Klutznick, 448 U.S. 554</w:t>
      </w:r>
    </w:p>
    <w:p w:rsidR="00A31137" w:rsidRPr="00A31137" w:rsidRDefault="00A31137" w:rsidP="00A31137">
      <w:r w:rsidRPr="00A31137">
        <w:t>H.R.Rep. No. 94-1791, p. 182 (1977), summarizing H.R.Rep. No. 94-840, p. 17 (1976).</w:t>
      </w:r>
    </w:p>
    <w:p w:rsidR="00A31137" w:rsidRPr="00A31137" w:rsidRDefault="00A31137" w:rsidP="00A31137">
      <w:r w:rsidRPr="00A31137">
        <w:t>1980, Fullilove v. Klutznick, 448 U.S. 554</w:t>
      </w:r>
    </w:p>
    <w:p w:rsidR="00A31137" w:rsidRPr="00A31137" w:rsidRDefault="00A31137" w:rsidP="00A31137">
      <w:r w:rsidRPr="00A31137">
        <w:t>49. H.R.Rep. No. 94-468, pp. 28-30 (1975).</w:t>
      </w:r>
    </w:p>
    <w:p w:rsidR="00A31137" w:rsidRPr="00A31137" w:rsidRDefault="00A31137" w:rsidP="00A31137">
      <w:r w:rsidRPr="00A31137">
        <w:t>1980, Fullilove v. Klutznick, 448 U.S. 554</w:t>
      </w:r>
    </w:p>
    <w:p w:rsidR="00A31137" w:rsidRPr="00A31137" w:rsidRDefault="00A31137" w:rsidP="00A31137">
      <w:r w:rsidRPr="00A31137">
        <w:t>50. Id. at 29.</w:t>
      </w:r>
    </w:p>
    <w:p w:rsidR="00A31137" w:rsidRPr="00A31137" w:rsidRDefault="00A31137" w:rsidP="00A31137">
      <w:r w:rsidRPr="00A31137">
        <w:t>1980, Fullilove v. Klutznick, 448 U.S. 554</w:t>
      </w:r>
    </w:p>
    <w:p w:rsidR="00A31137" w:rsidRPr="00A31137" w:rsidRDefault="00A31137" w:rsidP="00A31137">
      <w:r w:rsidRPr="00A31137">
        <w:t>51. Id. at 11; U.S. General Accounting Office, Questionable Effectiveness of the § 8(a) Procurement Program, GGD-75-57 (1975); U.S. Comm'n on Civil Rights, Minorities and Women as Government Contractors (May 1975).</w:t>
      </w:r>
    </w:p>
    <w:p w:rsidR="00A31137" w:rsidRPr="00A31137" w:rsidRDefault="00A31137" w:rsidP="00A31137">
      <w:r w:rsidRPr="00A31137">
        <w:t>1980, Fullilove v. Klutznick, 448 U.S. 554</w:t>
      </w:r>
    </w:p>
    <w:p w:rsidR="00A31137" w:rsidRPr="00A31137" w:rsidRDefault="00A31137" w:rsidP="00A31137">
      <w:r w:rsidRPr="00A31137">
        <w:t>52. Id. at 16-28, 86-88.</w:t>
      </w:r>
    </w:p>
    <w:p w:rsidR="00A31137" w:rsidRPr="00A31137" w:rsidRDefault="00A31137" w:rsidP="00A31137">
      <w:r w:rsidRPr="00A31137">
        <w:t>1980, Fullilove v. Klutznick, 448 U.S. 554</w:t>
      </w:r>
    </w:p>
    <w:p w:rsidR="00A31137" w:rsidRPr="00A31137" w:rsidRDefault="00A31137" w:rsidP="00A31137">
      <w:r w:rsidRPr="00A31137">
        <w:t>53. Ibid.</w:t>
      </w:r>
    </w:p>
    <w:p w:rsidR="00A31137" w:rsidRPr="00A31137" w:rsidRDefault="00A31137" w:rsidP="00A31137">
      <w:r w:rsidRPr="00A31137">
        <w:t>1980, Fullilove v. Klutznick, 448 U.S. 554</w:t>
      </w:r>
    </w:p>
    <w:p w:rsidR="00A31137" w:rsidRPr="00A31137" w:rsidRDefault="00A31137" w:rsidP="00A31137">
      <w:r w:rsidRPr="00A31137">
        <w:t>54. Exec.Order No. 11458, 3 CFR 779 (1966-1970 Comp.); Exec.Order No. 11625, 3 CFR 616 (1971-1975 Comp.).</w:t>
      </w:r>
    </w:p>
    <w:p w:rsidR="00A31137" w:rsidRPr="00A31137" w:rsidRDefault="00A31137" w:rsidP="00A31137">
      <w:r w:rsidRPr="00A31137">
        <w:t>1980, Fullilove v. Klutznick, 448 U.S. 554</w:t>
      </w:r>
    </w:p>
    <w:p w:rsidR="00A31137" w:rsidRPr="00A31137" w:rsidRDefault="00A31137" w:rsidP="00A31137">
      <w:r w:rsidRPr="00A31137">
        <w:t>55. H.R.Rep. No. 94-468, p. 32 (1975). For other congressional observations with respect to the effect of past discrimination on current business opportunities for minorities, see, e.g., H.R.Rep. No. 92-1615, p. 3 (1972); H.R.Rep. No. 95-949, p. 8 (1978); S.Rep. No. 95-1070, pp. 1415 (1978); S.Rep. No. 96-31, pp. 107, 123-124 (1979); see also, e.g., H.R.Doc. No. 92-169, p. 4 (1971); H.R.Doc. No. 92-194, p. 1 (1972).</w:t>
      </w:r>
    </w:p>
    <w:p w:rsidR="00A31137" w:rsidRPr="00A31137" w:rsidRDefault="00A31137" w:rsidP="00A31137">
      <w:r w:rsidRPr="00A31137">
        <w:t>1980, Fullilove v. Klutznick, 448 U.S. 554</w:t>
      </w:r>
    </w:p>
    <w:p w:rsidR="00A31137" w:rsidRPr="00A31137" w:rsidRDefault="00A31137" w:rsidP="00A31137">
      <w:r w:rsidRPr="00A31137">
        <w:t>56. 91 Stat. 117, 42 U.S.C. § 6706 (1976 ed., Supp. II); 3 CFR Part 317 (1978).</w:t>
      </w:r>
    </w:p>
    <w:p w:rsidR="00A31137" w:rsidRPr="00A31137" w:rsidRDefault="00A31137" w:rsidP="00A31137">
      <w:r w:rsidRPr="00A31137">
        <w:t>1980, Fullilove v. Klutznick, 448 U.S. 554</w:t>
      </w:r>
    </w:p>
    <w:p w:rsidR="00A31137" w:rsidRPr="00A31137" w:rsidRDefault="00A31137" w:rsidP="00A31137">
      <w:r w:rsidRPr="00A31137">
        <w:t>57. 91 Stat. 116, 42 U.S.C. § 6705(e)(1) (1976 ed., Supp. II); 13 CFR § 317.19 (1978).</w:t>
      </w:r>
    </w:p>
    <w:p w:rsidR="00A31137" w:rsidRPr="00A31137" w:rsidRDefault="00A31137" w:rsidP="00A31137">
      <w:r w:rsidRPr="00A31137">
        <w:t>1980, Fullilove v. Klutznick, 448 U.S. 554</w:t>
      </w:r>
    </w:p>
    <w:p w:rsidR="00A31137" w:rsidRPr="00A31137" w:rsidRDefault="00A31137" w:rsidP="00A31137">
      <w:r w:rsidRPr="00A31137">
        <w:t>58. Guidelines 2-7; App. l57a-160a. The relevant portions of the Guidelines are set out in the Appendix to this opinion, ¶  1.</w:t>
      </w:r>
    </w:p>
    <w:p w:rsidR="00A31137" w:rsidRPr="00A31137" w:rsidRDefault="00A31137" w:rsidP="00A31137">
      <w:r w:rsidRPr="00A31137">
        <w:t>1980, Fullilove v. Klutznick, 448 U.S. 554</w:t>
      </w:r>
    </w:p>
    <w:p w:rsidR="00A31137" w:rsidRPr="00A31137" w:rsidRDefault="00A31137" w:rsidP="00A31137">
      <w:r w:rsidRPr="00A31137">
        <w:t>59. Guidelines 2; App. 157a; see 123 Cong.Rec. 5327-5328 (1977) (remarks of Rep. Mitchell and Rep. Roe).</w:t>
      </w:r>
    </w:p>
    <w:p w:rsidR="00A31137" w:rsidRPr="00A31137" w:rsidRDefault="00A31137" w:rsidP="00A31137">
      <w:r w:rsidRPr="00A31137">
        <w:t>1980, Fullilove v. Klutznick, 448 U.S. 554</w:t>
      </w:r>
    </w:p>
    <w:p w:rsidR="00A31137" w:rsidRPr="00A31137" w:rsidRDefault="00A31137" w:rsidP="00A31137">
      <w:r w:rsidRPr="00A31137">
        <w:t>60. Guidelines 8; App. 161a.</w:t>
      </w:r>
    </w:p>
    <w:p w:rsidR="00A31137" w:rsidRPr="00A31137" w:rsidRDefault="00A31137" w:rsidP="00A31137">
      <w:r w:rsidRPr="00A31137">
        <w:t>1980, Fullilove v. Klutznick, 448 U.S. 554</w:t>
      </w:r>
    </w:p>
    <w:p w:rsidR="00A31137" w:rsidRPr="00A31137" w:rsidRDefault="00A31137" w:rsidP="00A31137">
      <w:r w:rsidRPr="00A31137">
        <w:t>61. See 123 Cong.Rec. 5327-5328 (1977) (remarks of Rep. Mitchell and Rep. Roe).</w:t>
      </w:r>
    </w:p>
    <w:p w:rsidR="00A31137" w:rsidRPr="00A31137" w:rsidRDefault="00A31137" w:rsidP="00A31137">
      <w:r w:rsidRPr="00A31137">
        <w:t>1980, Fullilove v. Klutznick, 448 U.S. 554</w:t>
      </w:r>
    </w:p>
    <w:p w:rsidR="00A31137" w:rsidRPr="00A31137" w:rsidRDefault="00A31137" w:rsidP="00A31137">
      <w:r w:rsidRPr="00A31137">
        <w:t>62. Guidelines 13-16; App. 165a-167a. The relevant portions Of the Guidelines are set out in the Appendix to this opinion, ¶  2.</w:t>
      </w:r>
    </w:p>
    <w:p w:rsidR="00A31137" w:rsidRPr="00A31137" w:rsidRDefault="00A31137" w:rsidP="00A31137">
      <w:r w:rsidRPr="00A31137">
        <w:t>1980, Fullilove v. Klutznick, 448 U.S. 554</w:t>
      </w:r>
    </w:p>
    <w:p w:rsidR="00A31137" w:rsidRPr="00A31137" w:rsidRDefault="00A31137" w:rsidP="00A31137">
      <w:r w:rsidRPr="00A31137">
        <w:t>63. Technical Bulletin 5; App. 136a.</w:t>
      </w:r>
    </w:p>
    <w:p w:rsidR="00A31137" w:rsidRPr="00A31137" w:rsidRDefault="00A31137" w:rsidP="00A31137">
      <w:r w:rsidRPr="00A31137">
        <w:t>1980, Fullilove v. Klutznick, 448 U.S. 554</w:t>
      </w:r>
    </w:p>
    <w:p w:rsidR="00A31137" w:rsidRPr="00A31137" w:rsidRDefault="00A31137" w:rsidP="00A31137">
      <w:r w:rsidRPr="00A31137">
        <w:t>64. Technical Bulletin 9-10; App. 143a.</w:t>
      </w:r>
    </w:p>
    <w:p w:rsidR="00A31137" w:rsidRPr="00A31137" w:rsidRDefault="00A31137" w:rsidP="00A31137">
      <w:r w:rsidRPr="00A31137">
        <w:t>1980, Fullilove v. Klutznick, 448 U.S. 554</w:t>
      </w:r>
    </w:p>
    <w:p w:rsidR="00A31137" w:rsidRPr="00A31137" w:rsidRDefault="00A31137" w:rsidP="00A31137">
      <w:r w:rsidRPr="00A31137">
        <w:t>65. Text accompanying n. 48, supra.</w:t>
      </w:r>
    </w:p>
    <w:p w:rsidR="00A31137" w:rsidRPr="00A31137" w:rsidRDefault="00A31137" w:rsidP="00A31137">
      <w:r w:rsidRPr="00A31137">
        <w:t>1980, Fullilove v. Klutznick, 448 U.S. 554</w:t>
      </w:r>
    </w:p>
    <w:p w:rsidR="00A31137" w:rsidRPr="00A31137" w:rsidRDefault="00A31137" w:rsidP="00A31137">
      <w:r w:rsidRPr="00A31137">
        <w:t>66. H.R.Rep. No. 94-468, p. 30 (1975).</w:t>
      </w:r>
    </w:p>
    <w:p w:rsidR="00A31137" w:rsidRPr="00A31137" w:rsidRDefault="00A31137" w:rsidP="00A31137">
      <w:r w:rsidRPr="00A31137">
        <w:t>1980, Fullilove v. Klutznick, 448 U.S. 554</w:t>
      </w:r>
    </w:p>
    <w:p w:rsidR="00A31137" w:rsidRPr="00A31137" w:rsidRDefault="00A31137" w:rsidP="00A31137">
      <w:r w:rsidRPr="00A31137">
        <w:t>67. 123 Cong.Rec. 5330 (1977) (remarks of Rep. Roe).</w:t>
      </w:r>
    </w:p>
    <w:p w:rsidR="00A31137" w:rsidRPr="00A31137" w:rsidRDefault="00A31137" w:rsidP="00A31137">
      <w:r w:rsidRPr="00A31137">
        <w:t>1980, Fullilove v. Klutznick, 448 U.S. 554</w:t>
      </w:r>
    </w:p>
    <w:p w:rsidR="00A31137" w:rsidRPr="00A31137" w:rsidRDefault="00A31137" w:rsidP="00A31137">
      <w:r w:rsidRPr="00A31137">
        <w:t>68. Technical Bulletin 1; App. 131a-132a. These definitions are set out in the Appendix to this opinion, ¶  3.</w:t>
      </w:r>
    </w:p>
    <w:p w:rsidR="00A31137" w:rsidRPr="00A31137" w:rsidRDefault="00A31137" w:rsidP="00A31137">
      <w:r w:rsidRPr="00A31137">
        <w:t>1980, Fullilove v. Klutznick, 448 U.S. 554</w:t>
      </w:r>
    </w:p>
    <w:p w:rsidR="00A31137" w:rsidRPr="00A31137" w:rsidRDefault="00A31137" w:rsidP="00A31137">
      <w:r w:rsidRPr="00A31137">
        <w:t>69. Technical Bulletin 3; App. 135a.</w:t>
      </w:r>
    </w:p>
    <w:p w:rsidR="00A31137" w:rsidRPr="00A31137" w:rsidRDefault="00A31137" w:rsidP="00A31137">
      <w:r w:rsidRPr="00A31137">
        <w:t>1980, Fullilove v. Klutznick, 448 U.S. 554</w:t>
      </w:r>
    </w:p>
    <w:p w:rsidR="00A31137" w:rsidRPr="00A31137" w:rsidRDefault="00A31137" w:rsidP="00A31137">
      <w:r w:rsidRPr="00A31137">
        <w:t>70. Technical Bulletin 19; App. 155a. The relevant portions of the Technical Bulletin are set out in the Appendix to this opinion, ¶  4.</w:t>
      </w:r>
    </w:p>
    <w:p w:rsidR="00A31137" w:rsidRPr="00A31137" w:rsidRDefault="00A31137" w:rsidP="00A31137">
      <w:r w:rsidRPr="00A31137">
        <w:t>1980, Fullilove v. Klutznick, 448 U.S. 554</w:t>
      </w:r>
    </w:p>
    <w:p w:rsidR="00A31137" w:rsidRPr="00A31137" w:rsidRDefault="00A31137" w:rsidP="00A31137">
      <w:r w:rsidRPr="00A31137">
        <w:t>71. In their complaint, in order to establish standing to challenge the validity of the program, petitioners alleged as "[s]pecific examples" of economic injury three instances where one of their number assertedly would have been awarded a public works contract but for enforcement of the MBE provision. Petitioners requested only declaratory and injunctive relief against continued enforcement of the MBE provision; they did not seek any remedy for these specific instances of assertedly unlawful discrimination. App. 12a-13a, 17a-19a.</w:t>
      </w:r>
    </w:p>
    <w:p w:rsidR="00A31137" w:rsidRPr="00A31137" w:rsidRDefault="00A31137" w:rsidP="00A31137">
      <w:r w:rsidRPr="00A31137">
        <w:t>1980, Fullilove v. Klutznick, 448 U.S. 554</w:t>
      </w:r>
    </w:p>
    <w:p w:rsidR="00A31137" w:rsidRPr="00A31137" w:rsidRDefault="00A31137" w:rsidP="00A31137">
      <w:r w:rsidRPr="00A31137">
        <w:t>72. The Court of Appeals relied upon Department of Commerce statistics to calculate that the $4.2 billion in federal grants conditioned upon compliance with the MBE provision amounted to about 2.5% of the total of nearly $170 billion spent on construction in the United States during 1977. Thus, the 10% minimum minority business participation contemplated by this program would account for only 0.25% of the annual expenditure for construction work in the United States. Fullilove v. Kreps, 584 F.2d at 607.</w:t>
      </w:r>
    </w:p>
    <w:p w:rsidR="00A31137" w:rsidRPr="00A31137" w:rsidRDefault="00A31137" w:rsidP="00A31137">
      <w:r w:rsidRPr="00A31137">
        <w:t>1980, Fullilove v. Klutznick, 448 U.S. 554</w:t>
      </w:r>
    </w:p>
    <w:p w:rsidR="00A31137" w:rsidRPr="00A31137" w:rsidRDefault="00A31137" w:rsidP="00A31137">
      <w:r w:rsidRPr="00A31137">
        <w:t>73. The MBE provision, 42 U.S.C. § 6705(f)(2) (1976 ed., Supp. II), classifies as a minority business enterprise any</w:t>
      </w:r>
    </w:p>
    <w:p w:rsidR="00A31137" w:rsidRPr="00A31137" w:rsidRDefault="00A31137" w:rsidP="00A31137">
      <w:r w:rsidRPr="00A31137">
        <w:t>1980, Fullilove v. Klutznick, 448 U.S. 554</w:t>
      </w:r>
    </w:p>
    <w:p w:rsidR="00A31137" w:rsidRPr="00A31137" w:rsidRDefault="00A31137" w:rsidP="00A31137">
      <w:r w:rsidRPr="00A31137">
        <w:t>business at least 50 per centum of which is owned by minority group members or, in the case of a publicly owned business, at least 51 per centum of the stock of which is owned by minority group members.</w:t>
      </w:r>
    </w:p>
    <w:p w:rsidR="00A31137" w:rsidRPr="00A31137" w:rsidRDefault="00A31137" w:rsidP="00A31137">
      <w:r w:rsidRPr="00A31137">
        <w:t>1980, Fullilove v. Klutznick, 448 U.S. 554</w:t>
      </w:r>
    </w:p>
    <w:p w:rsidR="00A31137" w:rsidRPr="00A31137" w:rsidRDefault="00A31137" w:rsidP="00A31137">
      <w:r w:rsidRPr="00A31137">
        <w:t>Minority group members are defined as "citizens of the United States who are Negroes, Spanish-speaking, Orientals, Indians, Eskimos and Aleuts." The administrative definitions are set out in the Appendix to this opinion, ¶  3. These categories also are classified as minorities in the regulations implementing the nondiscrimination requirements of the Railroad Revitalization and Regulatory Reform Act of 1976, 45 U.S.C. § 803, see 49 CFR § 265.5(j) (1978), on which Congress relied as precedent for the MBE provision. See 123 Cong.Rec. 7156 (1977) (remarks of Sen. Brooke). The House Subcommittee on SBA Oversight and Minority Enterprise, whose activities played a significant part in the legislative history of the MBE provision, also recognized that these categories were included within the Federal Government's definition of "minority business enterprise." H.R.Rep. No. 94-468, pp. 20-21 (1975). The specific inclusion of these groups in the MBE provision demonstrates that Congress concluded they were victims of discrimination. Petitioners did not press any challenge to Congress' classification categories in the Court of Appeals; there is no reason for this Court to pass upon the issue at this time.</w:t>
      </w:r>
    </w:p>
    <w:p w:rsidR="00A31137" w:rsidRPr="00A31137" w:rsidRDefault="00A31137" w:rsidP="00A31137">
      <w:r w:rsidRPr="00A31137">
        <w:t>1980, Fullilove v. Klutznick, 448 U.S. 554</w:t>
      </w:r>
    </w:p>
    <w:p w:rsidR="00A31137" w:rsidRPr="00A31137" w:rsidRDefault="00A31137" w:rsidP="00A31137">
      <w:r w:rsidRPr="00A31137">
        <w:t>74. Cf. GAO, Report to the Congress, Minority Firms on Local Public Works Projects—Mixed Results, CED-79-9 (Jan. 16, 1979); U.S. Dept. of Commerce, Economic Development Administration, Local Public Works Program Interim Report on 10 Percent Minority Business Enterprise Requirement (Sept. 1978).</w:t>
      </w:r>
    </w:p>
    <w:p w:rsidR="00A31137" w:rsidRPr="00A31137" w:rsidRDefault="00A31137" w:rsidP="00A31137">
      <w:r w:rsidRPr="00A31137">
        <w:t>1980, Fullilove v. Klutznick, 448 U.S. 554</w:t>
      </w:r>
    </w:p>
    <w:p w:rsidR="00A31137" w:rsidRPr="00A31137" w:rsidRDefault="00A31137" w:rsidP="00A31137">
      <w:r w:rsidRPr="00A31137">
        <w:t>75. R. Jackson, The Struggle for Judicial Supremacy 321 (1941).</w:t>
      </w:r>
    </w:p>
    <w:p w:rsidR="00A31137" w:rsidRPr="00A31137" w:rsidRDefault="00A31137" w:rsidP="00A31137">
      <w:r w:rsidRPr="00A31137">
        <w:t>1980, Fullilove v. Klutznick, 448 U.S. 554</w:t>
      </w:r>
    </w:p>
    <w:p w:rsidR="00A31137" w:rsidRPr="00A31137" w:rsidRDefault="00A31137" w:rsidP="00A31137">
      <w:r w:rsidRPr="00A31137">
        <w:t>76. R. Jackson, The Supreme Court in the American System of Government 61-62 (1955).</w:t>
      </w:r>
    </w:p>
    <w:p w:rsidR="00A31137" w:rsidRPr="00A31137" w:rsidRDefault="00A31137" w:rsidP="00A31137">
      <w:r w:rsidRPr="00A31137">
        <w:t>1980, Fullilove v. Klutznick, 448 U.S. 554</w:t>
      </w:r>
    </w:p>
    <w:p w:rsidR="00A31137" w:rsidRPr="00A31137" w:rsidRDefault="00A31137" w:rsidP="00A31137">
      <w:r w:rsidRPr="00A31137">
        <w:t>77. Although the complaint alleged that the MBE program violated several federal statutes, n. 5, supra, the only statutory argument urged upon us is that the MBE provision is inconsistent with Title VI of the Civil Rights Act of 1964. We perceive no inconsistency between the requirements of Title VI and those of the MBE provision. To the extent any statutory inconsistencies might be asserted, the MBE provision—the later, more specific enactment—must be deemed to control. See, e.g., Morton v. Mancari, 417 U.S. 535, 550-551 (1974); Preiser v. Rodriguez, 411 U.S. 475, 489-490 (1973); Bulova Watch Co. v. United States, 365 U.S. 753, 758 (1961); United States v. Borden Co., 308 U.S. 188, 198-202 (1939)</w:t>
      </w:r>
    </w:p>
    <w:p w:rsidR="00A31137" w:rsidRPr="00A31137" w:rsidRDefault="00A31137" w:rsidP="00A31137">
      <w:r w:rsidRPr="00A31137">
        <w:t>POWELL, J., concurring (Footnotes)</w:t>
      </w:r>
    </w:p>
    <w:p w:rsidR="00A31137" w:rsidRPr="00A31137" w:rsidRDefault="00A31137" w:rsidP="00A31137">
      <w:r w:rsidRPr="00A31137">
        <w:t>1980, Fullilove v. Klutznick, 448 U.S. 554</w:t>
      </w:r>
    </w:p>
    <w:p w:rsidR="00A31137" w:rsidRPr="00A31137" w:rsidRDefault="00A31137" w:rsidP="00A31137">
      <w:r w:rsidRPr="00A31137">
        <w:t>1. Although racial classifications require strict judicial scrutiny, I do not agree that the Constitution prohibits all racial classification. MR. JUSTICE STEWART recognizes the principle that I believe is applicable:</w:t>
      </w:r>
    </w:p>
    <w:p w:rsidR="00A31137" w:rsidRPr="00A31137" w:rsidRDefault="00A31137" w:rsidP="00A31137">
      <w:r w:rsidRPr="00A31137">
        <w:t>1980, Fullilove v. Klutznick, 448 U.S. 554</w:t>
      </w:r>
    </w:p>
    <w:p w:rsidR="00A31137" w:rsidRPr="00A31137" w:rsidRDefault="00A31137" w:rsidP="00A31137">
      <w:r w:rsidRPr="00A31137">
        <w:t>Under our Constitution, any official action that treats a person differently on account of his race or ethnic origin is inherently suspect and presumptively invalid.</w:t>
      </w:r>
    </w:p>
    <w:p w:rsidR="00A31137" w:rsidRPr="00A31137" w:rsidRDefault="00A31137" w:rsidP="00A31137">
      <w:r w:rsidRPr="00A31137">
        <w:t>1980, Fullilove v. Klutznick, 448 U.S. 554</w:t>
      </w:r>
    </w:p>
    <w:p w:rsidR="00A31137" w:rsidRPr="00A31137" w:rsidRDefault="00A31137" w:rsidP="00A31137">
      <w:r w:rsidRPr="00A31137">
        <w:t>Post at  523. But, in narrowly defined circumstances, that presumption may be rebutted. Cf. Lee v. Washington, 390 U.S. 333, 334 (1968) (Black, Harlan, and STEWART, JJ., concurring).</w:t>
      </w:r>
    </w:p>
    <w:p w:rsidR="00A31137" w:rsidRPr="00A31137" w:rsidRDefault="00A31137" w:rsidP="00A31137">
      <w:r w:rsidRPr="00A31137">
        <w:t>1980, Fullilove v. Klutznick, 448 U.S. 554</w:t>
      </w:r>
    </w:p>
    <w:p w:rsidR="00A31137" w:rsidRPr="00A31137" w:rsidRDefault="00A31137" w:rsidP="00A31137">
      <w:r w:rsidRPr="00A31137">
        <w:t>2. Section 2 of the Thirteenth Amendment, which abolished slavery, provides that "Congress shall have power to enforce this article by appropriate legislation." In virtually identical language, § 5 of the Fourteenth Amendment and § 2 of the Fifteenth Amendment give Congress the power to enforce the provisions of those Amendments.</w:t>
      </w:r>
    </w:p>
    <w:p w:rsidR="00A31137" w:rsidRPr="00A31137" w:rsidRDefault="00A31137" w:rsidP="00A31137">
      <w:r w:rsidRPr="00A31137">
        <w:t>1980, Fullilove v. Klutznick, 448 U.S. 554</w:t>
      </w:r>
    </w:p>
    <w:p w:rsidR="00A31137" w:rsidRPr="00A31137" w:rsidRDefault="00A31137" w:rsidP="00A31137">
      <w:r w:rsidRPr="00A31137">
        <w:t>3. Among the remedies approved in South Carolina v. Katzenbach was the temporary suspension of literacy tests in some jurisdictions. The Voting Rights Act Amendments of 1970, 42 U.S.C. § 1973aa et seq., temporarily banned the use of literacy tests in all jurisdictions. In Oregon v. Mitchell, 400 U.S. 112 (1970), this Court, speaking through five separate opinions, unanimously upheld that action as a proper exercise of Congress' authority under the post-Civil War Amendments. See id. at  117 (Black, J.); id. at  135 (Douglas, J.); id. at  152 (Harlan, J.); id. at  229 (BRENNAN, WHITE, and MARSHALL, JJ.); id. at  281 (STEWART, J., with whom BURGER, C.J. and BLACKMUN, J., concurred). MR. JUSTICE STEWART said:</w:t>
      </w:r>
    </w:p>
    <w:p w:rsidR="00A31137" w:rsidRPr="00A31137" w:rsidRDefault="00A31137" w:rsidP="00A31137">
      <w:r w:rsidRPr="00A31137">
        <w:t>1980, Fullilove v. Klutznick, 448 U.S. 554</w:t>
      </w:r>
    </w:p>
    <w:p w:rsidR="00A31137" w:rsidRPr="00A31137" w:rsidRDefault="00A31137" w:rsidP="00A31137">
      <w:r w:rsidRPr="00A31137">
        <w:t>Congress was not required to make state-by-state findings concerning…actual impact of literacy requirements on the Negro citizen's access to the ballot box. In the interests of uniformity, Congress may paint with a much broader brush than may this Court, which must confine itself to the judicial function of deciding individual cases and controversies upon individual records. The findings that Congress made when it enacted the Voting Rights Act of 1965 would have supported a nationwide ban on literacy tests.</w:t>
      </w:r>
    </w:p>
    <w:p w:rsidR="00A31137" w:rsidRPr="00A31137" w:rsidRDefault="00A31137" w:rsidP="00A31137">
      <w:r w:rsidRPr="00A31137">
        <w:t>1980, Fullilove v. Klutznick, 448 U.S. 554</w:t>
      </w:r>
    </w:p>
    <w:p w:rsidR="00A31137" w:rsidRPr="00A31137" w:rsidRDefault="00A31137" w:rsidP="00A31137">
      <w:r w:rsidRPr="00A31137">
        <w:t>Id. at 284 (citation omitted).</w:t>
      </w:r>
    </w:p>
    <w:p w:rsidR="00A31137" w:rsidRPr="00A31137" w:rsidRDefault="00A31137" w:rsidP="00A31137">
      <w:r w:rsidRPr="00A31137">
        <w:t>1980, Fullilove v. Klutznick, 448 U.S. 554</w:t>
      </w:r>
    </w:p>
    <w:p w:rsidR="00A31137" w:rsidRPr="00A31137" w:rsidRDefault="00A31137" w:rsidP="00A31137">
      <w:r w:rsidRPr="00A31137">
        <w:t>4. I cannot accept the suggestion of the Court of Appeals that § 103(f)(2) must be viewed as serving a compelling state interest if the reviewing court can "perceive a basis" for legislative action. Fullilove v. Kreps, 584 F.2d 600, 604-605 (1978), quoting Katzenbach v. Morgan, 384 U.S. 641,  656 (1966). The "perceive a basis" standard refers to congressional authority to act, not to the distinct question whether that action violates the Due Process Clause of the Fifth Amendment.</w:t>
      </w:r>
    </w:p>
    <w:p w:rsidR="00A31137" w:rsidRPr="00A31137" w:rsidRDefault="00A31137" w:rsidP="00A31137">
      <w:r w:rsidRPr="00A31137">
        <w:t>1980, Fullilove v. Klutznick, 448 U.S. 554</w:t>
      </w:r>
    </w:p>
    <w:p w:rsidR="00A31137" w:rsidRPr="00A31137" w:rsidRDefault="00A31137" w:rsidP="00A31137">
      <w:r w:rsidRPr="00A31137">
        <w:t>In my view, a court should uphold a reasonable congressional finding of discrimination. A more stringent standard of review would impinge upon Congress' ability to address problems of discrimination, see supra at 500-503; a standard requiring a court to "perceive a basis" is essentially meaningless in this context. Such a test might allow a court to justify legislative action even in the absence of affirmative evidence of congressional findings.</w:t>
      </w:r>
    </w:p>
    <w:p w:rsidR="00A31137" w:rsidRPr="00A31137" w:rsidRDefault="00A31137" w:rsidP="00A31137">
      <w:r w:rsidRPr="00A31137">
        <w:t>1980, Fullilove v. Klutznick, 448 U.S. 554</w:t>
      </w:r>
    </w:p>
    <w:p w:rsidR="00A31137" w:rsidRPr="00A31137" w:rsidRDefault="00A31137" w:rsidP="00A31137">
      <w:r w:rsidRPr="00A31137">
        <w:t>5. During subsequent debate in the House, Representative Conyers emphasized that minority businesses, "through no fault of their own, simply have not been able to get their foot in the door." 123 Cong.Rec. 5330 (1977); see id. at 5331 (remarks of Rep. Biaggi).</w:t>
      </w:r>
    </w:p>
    <w:p w:rsidR="00A31137" w:rsidRPr="00A31137" w:rsidRDefault="00A31137" w:rsidP="00A31137">
      <w:r w:rsidRPr="00A31137">
        <w:t>1980, Fullilove v. Klutznick, 448 U.S. 554</w:t>
      </w:r>
    </w:p>
    <w:p w:rsidR="00A31137" w:rsidRPr="00A31137" w:rsidRDefault="00A31137" w:rsidP="00A31137">
      <w:r w:rsidRPr="00A31137">
        <w:t>6. In 1969, 1970, and 1971, the President issued Executive Orders directing federal aid for minority business enterprises. See Exec.Order No. 11458, 3 CFR 779 (1966 1970 Comp.); Exec.Order No. 11518, 3 CFR 907 (1966-1970 Comp.); Exec.Order No. 11625, 3 CFR 616 (1971-1975 Comp.). The President noted that</w:t>
      </w:r>
    </w:p>
    <w:p w:rsidR="00A31137" w:rsidRPr="00A31137" w:rsidRDefault="00A31137" w:rsidP="00A31137">
      <w:r w:rsidRPr="00A31137">
        <w:t>1980, Fullilove v. Klutznick, 448 U.S. 554</w:t>
      </w:r>
    </w:p>
    <w:p w:rsidR="00A31137" w:rsidRPr="00A31137" w:rsidRDefault="00A31137" w:rsidP="00A31137">
      <w:r w:rsidRPr="00A31137">
        <w:t>members of certain minority groups, through no fault of their own, have been denied the full opportunity to [participate in the free enterprise system],</w:t>
      </w:r>
    </w:p>
    <w:p w:rsidR="00A31137" w:rsidRPr="00A31137" w:rsidRDefault="00A31137" w:rsidP="00A31137">
      <w:r w:rsidRPr="00A31137">
        <w:t>1980, Fullilove v. Klutznick, 448 U.S. 554</w:t>
      </w:r>
    </w:p>
    <w:p w:rsidR="00A31137" w:rsidRPr="00A31137" w:rsidRDefault="00A31137" w:rsidP="00A31137">
      <w:r w:rsidRPr="00A31137">
        <w:t>Exec.Order No. 11518, 3 CFR 908 (1966-1970 Comp.), and that the</w:t>
      </w:r>
    </w:p>
    <w:p w:rsidR="00A31137" w:rsidRPr="00A31137" w:rsidRDefault="00A31137" w:rsidP="00A31137">
      <w:r w:rsidRPr="00A31137">
        <w:t>1980, Fullilove v. Klutznick, 448 U.S. 554</w:t>
      </w:r>
    </w:p>
    <w:p w:rsidR="00A31137" w:rsidRPr="00A31137" w:rsidRDefault="00A31137" w:rsidP="00A31137">
      <w:r w:rsidRPr="00A31137">
        <w:t>opportunity for full participation in our free enterprise system by socially and economically disadvantaged persons is essential if we are to obtain social and economic justice.</w:t>
      </w:r>
    </w:p>
    <w:p w:rsidR="00A31137" w:rsidRPr="00A31137" w:rsidRDefault="00A31137" w:rsidP="00A31137">
      <w:r w:rsidRPr="00A31137">
        <w:t>1980, Fullilove v. Klutznick, 448 U.S. 554</w:t>
      </w:r>
    </w:p>
    <w:p w:rsidR="00A31137" w:rsidRPr="00A31137" w:rsidRDefault="00A31137" w:rsidP="00A31137">
      <w:r w:rsidRPr="00A31137">
        <w:t>Exec.Order No. 11625, 3 CFR 616 (1971-1975 Comp.). Assistance to minority business enterprises through the § 8(a) program has been designed to promote the goals of these Executive Orders. Ray Baillie Trash Hauling, Inc. . Kleppe, 477 F.2d 696, 706 (CA5 1973), cert. denied, 415 U.S. 914 (1974).</w:t>
      </w:r>
    </w:p>
    <w:p w:rsidR="00A31137" w:rsidRPr="00A31137" w:rsidRDefault="00A31137" w:rsidP="00A31137">
      <w:r w:rsidRPr="00A31137">
        <w:t>1980, Fullilove v. Klutznick, 448 U.S. 554</w:t>
      </w:r>
    </w:p>
    <w:p w:rsidR="00A31137" w:rsidRPr="00A31137" w:rsidRDefault="00A31137" w:rsidP="00A31137">
      <w:r w:rsidRPr="00A31137">
        <w:t>7. Two sections of the Railroad Revitalization and Regulatory Reform Act also reflect Congress' recognition of the need for remedial steps on behalf of minority businesses. Section 905, 45 U.S.C. § 803, prohibits discrimination in any activity funded by the Act, and § 906, 49 U.S.C. § 1657a, establishes a Minority Resource Center to assist minority businessmen to obtain contracts and business opportunities related to the maintenance and rehabilitation of railroads. The provisions were enacted by a Congress that recognized the</w:t>
      </w:r>
    </w:p>
    <w:p w:rsidR="00A31137" w:rsidRPr="00A31137" w:rsidRDefault="00A31137" w:rsidP="00A31137">
      <w:r w:rsidRPr="00A31137">
        <w:t>1980, Fullilove v. Klutznick, 448 U.S. 554</w:t>
      </w:r>
    </w:p>
    <w:p w:rsidR="00A31137" w:rsidRPr="00A31137" w:rsidRDefault="00A31137" w:rsidP="00A31137">
      <w:r w:rsidRPr="00A31137">
        <w:t>established national policy, since at least the passage of the Civil Rights Act of 1964, to encourage and assist in the development of minority business enterprise.</w:t>
      </w:r>
    </w:p>
    <w:p w:rsidR="00A31137" w:rsidRPr="00A31137" w:rsidRDefault="00A31137" w:rsidP="00A31137">
      <w:r w:rsidRPr="00A31137">
        <w:t>1980, Fullilove v. Klutznick, 448 U.S. 554</w:t>
      </w:r>
    </w:p>
    <w:p w:rsidR="00A31137" w:rsidRPr="00A31137" w:rsidRDefault="00A31137" w:rsidP="00A31137">
      <w:r w:rsidRPr="00A31137">
        <w:t>S.Rep. No. 94 499, p. 44 (1975) (Commerce Committee). In January, 1977, the Department of Transportation issued regulations pursuant to 45 U.S.C. § 803(d) that require contractors to formulate affirmative action programs to ensure that minority businesses receive a fair proportion of contract opportunities. See 49 CFR §§ 265.9-265.17 (1978). See also nn.  11 and  12, infra.</w:t>
      </w:r>
    </w:p>
    <w:p w:rsidR="00A31137" w:rsidRPr="00A31137" w:rsidRDefault="00A31137" w:rsidP="00A31137">
      <w:r w:rsidRPr="00A31137">
        <w:t>1980, Fullilove v. Klutznick, 448 U.S. 554</w:t>
      </w:r>
    </w:p>
    <w:p w:rsidR="00A31137" w:rsidRPr="00A31137" w:rsidRDefault="00A31137" w:rsidP="00A31137">
      <w:r w:rsidRPr="00A31137">
        <w:t>8. Although this record suffices to support the congressional judgment that minority contractors suffered identifiable discrimination, Congress need not be content with findings that merely meet constitutional standards. Race-conscious remedies, popularly referred to as affirmative action programs, almost invariably affect some innocent persons. See infra at  514. Respect and support for the law, especially in an area as sensitive as this, depend in large measure upon the public's perception of fairness. See Bakke, 438 U.S. 265,  319, n. 53 (1978); J. Wilkinson, From Brown to Bakke 264-266 (1979); Perry, Modern Equal Protection: A Conceptualization and Appraisal, 79 Colum.L.Rev. 1023, 1048-1049 (1979). It therefore is important that the legislative record supporting race-conscious remedies contain evidence that satisfies fair-minded people that the congressional action is just.</w:t>
      </w:r>
    </w:p>
    <w:p w:rsidR="00A31137" w:rsidRPr="00A31137" w:rsidRDefault="00A31137" w:rsidP="00A31137">
      <w:r w:rsidRPr="00A31137">
        <w:t>1980, Fullilove v. Klutznick, 448 U.S. 554</w:t>
      </w:r>
    </w:p>
    <w:p w:rsidR="00A31137" w:rsidRPr="00A31137" w:rsidRDefault="00A31137" w:rsidP="00A31137">
      <w:r w:rsidRPr="00A31137">
        <w:t>9. See also Jones v. Alfred H. Mayer &amp; Co., 392 U.S. 409, 440-441 (1968), quoting Cong.Globe, 39th Cong., 1st Sess., 322 (1866) (remarks of Sen. Trumbull on Congress' authority under the Thirteenth Amendment).</w:t>
      </w:r>
    </w:p>
    <w:p w:rsidR="00A31137" w:rsidRPr="00A31137" w:rsidRDefault="00A31137" w:rsidP="00A31137">
      <w:r w:rsidRPr="00A31137">
        <w:t>1980, Fullilove v. Klutznick, 448 U.S. 554</w:t>
      </w:r>
    </w:p>
    <w:p w:rsidR="00A31137" w:rsidRPr="00A31137" w:rsidRDefault="00A31137" w:rsidP="00A31137">
      <w:r w:rsidRPr="00A31137">
        <w:t>10. The PWEA provides that federal moneys be committed to state and local grantees by September 30, 1977. 42 U.S.C. § 6707 (h)(1) (1976 ed., Supp. II). Action on applications for funds was to be taken within 60 days after receipt of the application, § 6706, and on-site work was to begin within 90 days of project approval, § 6705(d).</w:t>
      </w:r>
    </w:p>
    <w:p w:rsidR="00A31137" w:rsidRPr="00A31137" w:rsidRDefault="00A31137" w:rsidP="00A31137">
      <w:r w:rsidRPr="00A31137">
        <w:t>1980, Fullilove v. Klutznick, 448 U.S. 554</w:t>
      </w:r>
    </w:p>
    <w:p w:rsidR="00A31137" w:rsidRPr="00A31137" w:rsidRDefault="00A31137" w:rsidP="00A31137">
      <w:r w:rsidRPr="00A31137">
        <w:t>11. In 1972, a congressional oversight Committee addressed the "complex problem—how to achieve economic prosperity despite a long history of racial bias." See H.R.Rep. No. 92-1615, p. 3 (1972) (Select Committee on Small Business). The Committee explained how the effects of discrimination translate into economic barriers:</w:t>
      </w:r>
    </w:p>
    <w:p w:rsidR="00A31137" w:rsidRPr="00A31137" w:rsidRDefault="00A31137" w:rsidP="00A31137">
      <w:r w:rsidRPr="00A31137">
        <w:t>1980, Fullilove v. Klutznick, 448 U.S. 554</w:t>
      </w:r>
    </w:p>
    <w:p w:rsidR="00A31137" w:rsidRPr="00A31137" w:rsidRDefault="00A31137" w:rsidP="00A31137">
      <w:r w:rsidRPr="00A31137">
        <w:t>In attempting to increase their participation as entrepreneurs in our economy, the minority businessman usually encounters several major problems. These problems, which are economic in nature, are the result of past social standards which linger as characteristics of minorities as a group.</w:t>
      </w:r>
    </w:p>
    <w:p w:rsidR="00A31137" w:rsidRPr="00A31137" w:rsidRDefault="00A31137" w:rsidP="00A31137">
      <w:r w:rsidRPr="00A31137">
        <w:t>1980, Fullilove v. Klutznick, 448 U.S. 554</w:t>
      </w:r>
    </w:p>
    <w:p w:rsidR="00A31137" w:rsidRPr="00A31137" w:rsidRDefault="00A31137" w:rsidP="00A31137">
      <w:r w:rsidRPr="00A31137">
        <w:t>The minority entrepreneur is faced initially with the lack of capital, the most serious problem of all beginning minorities or other entrepreneurs. Because minorities as a group are not traditionally holders of large amounts of capital, the entrepreneur must go outside his community in order to obtain the needed capital. Lending firms require substantial security and a track record in order to lend funds, security which the minority businessmen usually cannot provide. Because he cannot produce either, he is often turned down.</w:t>
      </w:r>
    </w:p>
    <w:p w:rsidR="00A31137" w:rsidRPr="00A31137" w:rsidRDefault="00A31137" w:rsidP="00A31137">
      <w:r w:rsidRPr="00A31137">
        <w:t>*    *    *    *</w:t>
      </w:r>
    </w:p>
    <w:p w:rsidR="00A31137" w:rsidRPr="00A31137" w:rsidRDefault="00A31137" w:rsidP="00A31137">
      <w:r w:rsidRPr="00A31137">
        <w:t>1980, Fullilove v. Klutznick, 448 U.S. 554</w:t>
      </w:r>
    </w:p>
    <w:p w:rsidR="00A31137" w:rsidRPr="00A31137" w:rsidRDefault="00A31137" w:rsidP="00A31137">
      <w:r w:rsidRPr="00A31137">
        <w:t>Functional expertise is a necessity for the successful operation of any enterprise. Minorities have traditionally assumed the role of the labor force in business, with few gaining access to positions whereby they could learn not only the physical operation of the enterprise, but also the internal functions of management.</w:t>
      </w:r>
    </w:p>
    <w:p w:rsidR="00A31137" w:rsidRPr="00A31137" w:rsidRDefault="00A31137" w:rsidP="00A31137">
      <w:r w:rsidRPr="00A31137">
        <w:t>1980, Fullilove v. Klutznick, 448 U.S. 554</w:t>
      </w:r>
    </w:p>
    <w:p w:rsidR="00A31137" w:rsidRPr="00A31137" w:rsidRDefault="00A31137" w:rsidP="00A31137">
      <w:r w:rsidRPr="00A31137">
        <w:t>Id. at 3-4.</w:t>
      </w:r>
    </w:p>
    <w:p w:rsidR="00A31137" w:rsidRPr="00A31137" w:rsidRDefault="00A31137" w:rsidP="00A31137">
      <w:r w:rsidRPr="00A31137">
        <w:t>1980, Fullilove v. Klutznick, 448 U.S. 554</w:t>
      </w:r>
    </w:p>
    <w:p w:rsidR="00A31137" w:rsidRPr="00A31137" w:rsidRDefault="00A31137" w:rsidP="00A31137">
      <w:r w:rsidRPr="00A31137">
        <w:t>12. When Senator Brooke introduced the PWEA set-aside in the Senate, he stated that aid to minority businesses also would help to alleviate problems of minority unemployment. 123 Cong.Rec. 7156 (1977). Congress had considered the need to remedy employment discrimination in the construction industry when it refused to override the "Philadelphia Plan." The "Philadelphia Plan," promulgated by the Department of Labor in 1969, required all federal contractors to use hiring goals in order to redress past discrimination. See Contractors Association of Eastern Pennsylvania v. Secretary of Labor, 442 F.2d 159, 163 (CA3), cert. denied, 404 U.S. 854 (1971). Later that year, the House of Representatives refused to adopt an amendment to an appropriations bill that would have had the effect of overruling the Labor Department's order. 115 Cong.Rec. 40921 (1969). The Senate, which had approved such an amendment, then voted to recede from its position. Id. at 40749.</w:t>
      </w:r>
    </w:p>
    <w:p w:rsidR="00A31137" w:rsidRPr="00A31137" w:rsidRDefault="00A31137" w:rsidP="00A31137">
      <w:r w:rsidRPr="00A31137">
        <w:t>1980, Fullilove v. Klutznick, 448 U.S. 554</w:t>
      </w:r>
    </w:p>
    <w:p w:rsidR="00A31137" w:rsidRPr="00A31137" w:rsidRDefault="00A31137" w:rsidP="00A31137">
      <w:r w:rsidRPr="00A31137">
        <w:t>During the Senate debate, several legislators argued that implementation of the Philadelphia Plan was necessary to ensure equal opportunity. See id. at 40740 (remarks of Sen. Scott); id. at 40741 (remarks of Sen. Griffith); id. at 40744 (remarks of Sen. Bayh). Senator Percy argued that the Plan was needed to redress discrimination against blacks in the construction industry. Id. at 40742-40743. The day following the Senate vote to recede from its earlier position, Senator Kennedy noted "exceptionally blatant" racial discrimination in the construction trades. He commended the Senate's decision that "the Philadelphia Plan should be a useful and necessary tool for insuring equitable employment of minorities." Id. at 41072.</w:t>
      </w:r>
    </w:p>
    <w:p w:rsidR="00A31137" w:rsidRPr="00A31137" w:rsidRDefault="00A31137" w:rsidP="00A31137">
      <w:r w:rsidRPr="00A31137">
        <w:t>1980, Fullilove v. Klutznick, 448 U.S. 554</w:t>
      </w:r>
    </w:p>
    <w:p w:rsidR="00A31137" w:rsidRPr="00A31137" w:rsidRDefault="00A31137" w:rsidP="00A31137">
      <w:r w:rsidRPr="00A31137">
        <w:t>13. Although I believe that the burden placed upon nonminority contractors is not unconstitutional, I reject the suggestion that it is legally irrelevant. Apparently on the theory that Congress could have enacted no set-aside and provided $400 million less in funding, the Secretary of Commerce argues that "[n]onminorities have lost no right or legitimate expectation by the addition of Section 103(f)(2) to the 1976 Act." Brief for Secretary of Commerce 61. But the United States may not employ unconstitutional classifications, or base a decision upon unconstitutional considerations, when it provides a benefit to which a recipient is not legally entitled. Cf. Califano v. Goldfarb, 430 U.S. 199, 210-212 (1977) (opinion of BRENNAN, J.); Richardson v. Belcher, 404 U.S. 78, 81 (1971) ("To characterize an Act of Congress as conferring a 'public benefit' does not, of course, immunize it from scrutiny under the Fifth Amendment").</w:t>
      </w:r>
    </w:p>
    <w:p w:rsidR="00A31137" w:rsidRPr="00A31137" w:rsidRDefault="00A31137" w:rsidP="00A31137">
      <w:r w:rsidRPr="00A31137">
        <w:t>1980, Fullilove v. Klutznick, 448 U.S. 554</w:t>
      </w:r>
    </w:p>
    <w:p w:rsidR="00A31137" w:rsidRPr="00A31137" w:rsidRDefault="00A31137" w:rsidP="00A31137">
      <w:r w:rsidRPr="00A31137">
        <w:t>14. Petitioners have suggested a variety of alternative programs that could be used in order to aid minority business enterprises in the construction industry. My view that this set-aside is within the discretion of Congress does not imply that other methods are unavailable to Congress. Nor do I conclude that use of a set-aside always will be an appropriate remedy, or that the selection of a set-aside by any other governmental body would be constitutional. See Bakke, 438 U.S. at 309-310. The degree of specificity required in the findings of discrimination and the breadth of discretion in the choice of remedies may vary with the nature and authority of a governmental body.</w:t>
      </w:r>
    </w:p>
    <w:p w:rsidR="00A31137" w:rsidRPr="00A31137" w:rsidRDefault="00A31137" w:rsidP="00A31137">
      <w:r w:rsidRPr="00A31137">
        <w:t>1980, Fullilove v. Klutznick, 448 U.S. 554</w:t>
      </w:r>
    </w:p>
    <w:p w:rsidR="00A31137" w:rsidRPr="00A31137" w:rsidRDefault="00A31137" w:rsidP="00A31137">
      <w:r w:rsidRPr="00A31137">
        <w:t>15. Petitioners also contend that § 103(f)(2) violates Title VI of the Civil Rights Act of 1964, 42 U.S.C. § 2000d et seq. Because I believe that the set-aside is constitutional, I also conclude that the program does not violate Title VI. See Bakke, 438 U.S. at  287 (opinion of POWELL, J.); id. at 348-350 (opinion of BRENNAN, WHITE, MARSHALL, and BLACKMUN, JJ.).</w:t>
      </w:r>
    </w:p>
    <w:p w:rsidR="00A31137" w:rsidRPr="00A31137" w:rsidRDefault="00A31137" w:rsidP="00A31137">
      <w:r w:rsidRPr="00A31137">
        <w:t>MARSHALL, J., concurring (Footnotes)</w:t>
      </w:r>
    </w:p>
    <w:p w:rsidR="00A31137" w:rsidRPr="00A31137" w:rsidRDefault="00A31137" w:rsidP="00A31137">
      <w:r w:rsidRPr="00A31137">
        <w:t>1980, Fullilove v. Klutznick, 448 U.S. 554</w:t>
      </w:r>
    </w:p>
    <w:p w:rsidR="00A31137" w:rsidRPr="00A31137" w:rsidRDefault="00A31137" w:rsidP="00A31137">
      <w:r w:rsidRPr="00A31137">
        <w:t>1. On the authority of Bakke, it is also clear to me that the set-aside provision does not violate Title VI of the Civil Rights Act of 1964, 42 U.S.C. § 2000d et seq. In Bakke, five Members of the Court were of the view that the prohibitions of Title VI—which outlaws racial discrimination in any program or activity receiving federal financial assistance,—are coextensive with the equal protection guarantee of the Fourteenth Amendment. See 438 U.S. at  328 (opinion of BRENNAN, WHITE, MARSHALL, and BLACKMUN, JJ.); id. at  287 (opinion of POWELL, J.).</w:t>
      </w:r>
    </w:p>
    <w:p w:rsidR="00A31137" w:rsidRPr="00A31137" w:rsidRDefault="00A31137" w:rsidP="00A31137">
      <w:r w:rsidRPr="00A31137">
        <w:t>1980, Fullilove v. Klutznick, 448 U.S. 554</w:t>
      </w:r>
    </w:p>
    <w:p w:rsidR="00A31137" w:rsidRPr="00A31137" w:rsidRDefault="00A31137" w:rsidP="00A31137">
      <w:r w:rsidRPr="00A31137">
        <w:t>2. In Bakke, the issue was whether a special minority admissions program of a state medical school violated the Equal Protection Clause of the Fourteenth Amendment. In the present case, the issue is whether the minority set-aside provision violates the equal protection component of the Due Process Clause of the Fifth Amendment. As noted in Bakke, "'[e]qual protection analysis in the Fifth Amendment area is the same as that under the Fourteenth Amendment.'" Id. at  367, n. 43 (joint separate opinion) (quoting Buckley v. Valeo, 424 U.S. 1,  93 (1976) (per curiam)) .</w:t>
      </w:r>
    </w:p>
    <w:p w:rsidR="00A31137" w:rsidRPr="00A31137" w:rsidRDefault="00A31137" w:rsidP="00A31137">
      <w:r w:rsidRPr="00A31137">
        <w:t>1980, Fullilove v. Klutznick, 448 U.S. 554</w:t>
      </w:r>
    </w:p>
    <w:p w:rsidR="00A31137" w:rsidRPr="00A31137" w:rsidRDefault="00A31137" w:rsidP="00A31137">
      <w:r w:rsidRPr="00A31137">
        <w:t>3. In Bakke, the Medical School of the University of California at Davis had adopted a special admissions program in which 16 out of the 100 places in each entering class were reserved for disadvantaged minorities. A major purpose of this program was to ameliorate the present effects of past racial discrimination. See 438 U.S. at  362 (joint separate opinion); id. at 305-306 (opinion of POWELL, J.).</w:t>
      </w:r>
    </w:p>
    <w:p w:rsidR="00A31137" w:rsidRPr="00A31137" w:rsidRDefault="00A31137" w:rsidP="00A31137">
      <w:r w:rsidRPr="00A31137">
        <w:t>1980, Fullilove v. Klutznick, 448 U.S. 554</w:t>
      </w:r>
    </w:p>
    <w:p w:rsidR="00A31137" w:rsidRPr="00A31137" w:rsidRDefault="00A31137" w:rsidP="00A31137">
      <w:r w:rsidRPr="00A31137">
        <w:t>4. Petitioners argue that the set-aside is invalid because Congress did not create a sufficient legislative record to support its conclusion that racial classifications were required to ameliorate the present effects of past racial discrimination. In petitioners' view, Congress must make particularized findings that past violations of the Equal Protection Clause and antidiscrimination statutes have a current effect on the construction industry.</w:t>
      </w:r>
    </w:p>
    <w:p w:rsidR="00A31137" w:rsidRPr="00A31137" w:rsidRDefault="00A31137" w:rsidP="00A31137">
      <w:r w:rsidRPr="00A31137">
        <w:t>1980, Fullilove v. Klutznick, 448 U.S. 554</w:t>
      </w:r>
    </w:p>
    <w:p w:rsidR="00A31137" w:rsidRPr="00A31137" w:rsidRDefault="00A31137" w:rsidP="00A31137">
      <w:r w:rsidRPr="00A31137">
        <w:t>This approach is fundamentally misguided. Unlike the courts, Congress is engaged in the broad mission of framing general social rules, not adjudicating individual disputes. Our prior decisions recognize Congress' authority to</w:t>
      </w:r>
    </w:p>
    <w:p w:rsidR="00A31137" w:rsidRPr="00A31137" w:rsidRDefault="00A31137" w:rsidP="00A31137">
      <w:r w:rsidRPr="00A31137">
        <w:t>1980, Fullilove v. Klutznick, 448 U.S. 554</w:t>
      </w:r>
    </w:p>
    <w:p w:rsidR="00A31137" w:rsidRPr="00A31137" w:rsidRDefault="00A31137" w:rsidP="00A31137">
      <w:r w:rsidRPr="00A31137">
        <w:t>require or authorize preferential treatment for those likely disadvantaged by societal racial discrimination. Such legislation has been sustained even without a requirement of findings of intentional racial discrimination by those required or authorized to accord preferential treatment, or a case-by-case determination that those to be benefited suffered from racial discrimination.</w:t>
      </w:r>
    </w:p>
    <w:p w:rsidR="00A31137" w:rsidRPr="00A31137" w:rsidRDefault="00A31137" w:rsidP="00A31137">
      <w:r w:rsidRPr="00A31137">
        <w:t>1980, Fullilove v. Klutznick, 448 U.S. 554</w:t>
      </w:r>
    </w:p>
    <w:p w:rsidR="00A31137" w:rsidRPr="00A31137" w:rsidRDefault="00A31137" w:rsidP="00A31137">
      <w:r w:rsidRPr="00A31137">
        <w:t>Bakke, 438 U.S. at  366 (joint separate opinion) . See also ante at  478; the concurring opinion of my Brother POWELL, ante, at 502-503.</w:t>
      </w:r>
    </w:p>
    <w:p w:rsidR="00A31137" w:rsidRPr="00A31137" w:rsidRDefault="00A31137" w:rsidP="00A31137">
      <w:r w:rsidRPr="00A31137">
        <w:t>STEWART, J., dissenting (Footnotes)</w:t>
      </w:r>
    </w:p>
    <w:p w:rsidR="00A31137" w:rsidRPr="00A31137" w:rsidRDefault="00A31137" w:rsidP="00A31137">
      <w:r w:rsidRPr="00A31137">
        <w:t>1980, Fullilove v. Klutznick, 448 U.S. 554</w:t>
      </w:r>
    </w:p>
    <w:p w:rsidR="00A31137" w:rsidRPr="00A31137" w:rsidRDefault="00A31137" w:rsidP="00A31137">
      <w:r w:rsidRPr="00A31137">
        <w:t>1. "Equal protection analysis in the Fifth Amendment area is the same as that under the Fourteenth Amendment." Buckley v. Valeo, 424 U.S. 1,  93.</w:t>
      </w:r>
    </w:p>
    <w:p w:rsidR="00A31137" w:rsidRPr="00A31137" w:rsidRDefault="00A31137" w:rsidP="00A31137">
      <w:r w:rsidRPr="00A31137">
        <w:t>1980, Fullilove v. Klutznick, 448 U.S. 554</w:t>
      </w:r>
    </w:p>
    <w:p w:rsidR="00A31137" w:rsidRPr="00A31137" w:rsidRDefault="00A31137" w:rsidP="00A31137">
      <w:r w:rsidRPr="00A31137">
        <w:t>2. By contrast, nothing in the Constitution prohibits a private person from discriminating on the basis of race in his personal or business affairs. See Steelworkers v. Weber, 443 U.S. 193. The Fourteenth Amendment limits only the actions of the States; the Fifth Amendment limits only the actions of the National Government.</w:t>
      </w:r>
    </w:p>
    <w:p w:rsidR="00A31137" w:rsidRPr="00A31137" w:rsidRDefault="00A31137" w:rsidP="00A31137">
      <w:r w:rsidRPr="00A31137">
        <w:t>1980, Fullilove v. Klutznick, 448 U.S. 554</w:t>
      </w:r>
    </w:p>
    <w:p w:rsidR="00A31137" w:rsidRPr="00A31137" w:rsidRDefault="00A31137" w:rsidP="00A31137">
      <w:r w:rsidRPr="00A31137">
        <w:t>3. University of California Regents v. Bakke, 438 U.S. 265, and United Jewish Organizations v. Carey, 430 U.S. 144, do not suggest a different rule. The Court in Bakke invalidated the racially preferential admissions program that had deprived Bakke of equal access to a place in the medical school of a state university. In United Jewish Organizations v. Carey, a state legislature had apportioned certain voting districts with an awareness of their racial composition. Since the plaintiffs there had "failed to show that the legislative reapportionment plan had either the purpose or the effect of discriminating against them on the basis of their race," no constitutional violation had occurred. 430 U.S. at 179-180 (concurring opinion). No person in that case was deprived of his electoral franchise.</w:t>
      </w:r>
    </w:p>
    <w:p w:rsidR="00A31137" w:rsidRPr="00A31137" w:rsidRDefault="00A31137" w:rsidP="00A31137">
      <w:r w:rsidRPr="00A31137">
        <w:t>1980, Fullilove v. Klutznick, 448 U.S. 554</w:t>
      </w:r>
    </w:p>
    <w:p w:rsidR="00A31137" w:rsidRPr="00A31137" w:rsidRDefault="00A31137" w:rsidP="00A31137">
      <w:r w:rsidRPr="00A31137">
        <w:t>More than 35 years ago, during the Second World War, this Court did find constitutional a governmental program imposing injury on the basis of race. See Korematsu v. United States, 323 U.S. 214; Hirabayashi v. United States, 320 U.S. 81. Significantly, those cases were decided not only in time of war, but also in an era before the Court had held that the Due Process Clause of the Fifth Amendment imposes the same equal protection standard upon the Federal Government that the Fourteenth Amendment imposes upon the States. See Bolling v. Sharpe, 347 U.S. 497.</w:t>
      </w:r>
    </w:p>
    <w:p w:rsidR="00A31137" w:rsidRPr="00A31137" w:rsidRDefault="00A31137" w:rsidP="00A31137">
      <w:r w:rsidRPr="00A31137">
        <w:t>1980, Fullilove v. Klutznick, 448 U.S. 554</w:t>
      </w:r>
    </w:p>
    <w:p w:rsidR="00A31137" w:rsidRPr="00A31137" w:rsidRDefault="00A31137" w:rsidP="00A31137">
      <w:r w:rsidRPr="00A31137">
        <w:t>4. A court of equity may, of course, take race into account in devising a remedial decree to undo a violation of a law prohibiting discrimination on the basis of race. See Teamsters v. United States, 431 U.S. 324; Franks v. Bowman Transportation Co., 424 U.S. 747; Swann v. Charlotte-Mecklenburg Board of Education, 402 U.S. 1, 18-32. But such a judicial decree, following litigation in which a violation of law has been determined, is wholly different from generalized legislation that awards benefits and imposes detriments dependent upon the race of the recipients. See text in Part B, infra.</w:t>
      </w:r>
    </w:p>
    <w:p w:rsidR="00A31137" w:rsidRPr="00A31137" w:rsidRDefault="00A31137" w:rsidP="00A31137">
      <w:r w:rsidRPr="00A31137">
        <w:t>1980, Fullilove v. Klutznick, 448 U.S. 554</w:t>
      </w:r>
    </w:p>
    <w:p w:rsidR="00A31137" w:rsidRPr="00A31137" w:rsidRDefault="00A31137" w:rsidP="00A31137">
      <w:r w:rsidRPr="00A31137">
        <w:t>5. As Mr. Justice Murphy wrote in dissenting from the Court's opinion and judgment in Korematsu v. United States, supra at  242:</w:t>
      </w:r>
    </w:p>
    <w:p w:rsidR="00A31137" w:rsidRPr="00A31137" w:rsidRDefault="00A31137" w:rsidP="00A31137">
      <w:r w:rsidRPr="00A31137">
        <w:t>1980, Fullilove v. Klutznick, 448 U.S. 554</w:t>
      </w:r>
    </w:p>
    <w:p w:rsidR="00A31137" w:rsidRPr="00A31137" w:rsidRDefault="00A31137" w:rsidP="00A31137">
      <w:r w:rsidRPr="00A31137">
        <w:t>Racial discrimination in any form and in any degree has no justifiable part whatever in our democratic way of life. It is unattractive in any setting, but it is utterly revolting among a free people who have embraced the principles set forth in the Constitution of the United States.</w:t>
      </w:r>
    </w:p>
    <w:p w:rsidR="00A31137" w:rsidRPr="00A31137" w:rsidRDefault="00A31137" w:rsidP="00A31137">
      <w:r w:rsidRPr="00A31137">
        <w:t>1980, Fullilove v. Klutznick, 448 U.S. 554</w:t>
      </w:r>
    </w:p>
    <w:p w:rsidR="00A31137" w:rsidRPr="00A31137" w:rsidRDefault="00A31137" w:rsidP="00A31137">
      <w:r w:rsidRPr="00A31137">
        <w:t>See also DeFunis v. Odegaard, 416 U.S. 312, 331-344 (Douglas, J., dissenting); A. Bickel, The Morality of Consent 132-133 (1975).</w:t>
      </w:r>
    </w:p>
    <w:p w:rsidR="00A31137" w:rsidRPr="00A31137" w:rsidRDefault="00A31137" w:rsidP="00A31137">
      <w:r w:rsidRPr="00A31137">
        <w:t>1980, Fullilove v. Klutznick, 448 U.S. 554</w:t>
      </w:r>
    </w:p>
    <w:p w:rsidR="00A31137" w:rsidRPr="00A31137" w:rsidRDefault="00A31137" w:rsidP="00A31137">
      <w:r w:rsidRPr="00A31137">
        <w:t>6. See n. 4, supra. In McDaniel v. Barresi, 402 U.S. 39, the Court approved a county's voluntary race-conscious redrafting of its public school pupil assignment system in order to eliminate the effects of past unconstitutional racial segregation of the pupils. But no pupil was deprived of a public school education as a result.</w:t>
      </w:r>
    </w:p>
    <w:p w:rsidR="00A31137" w:rsidRPr="00A31137" w:rsidRDefault="00A31137" w:rsidP="00A31137">
      <w:r w:rsidRPr="00A31137">
        <w:t>1980, Fullilove v. Klutznick, 448 U.S. 554</w:t>
      </w:r>
    </w:p>
    <w:p w:rsidR="00A31137" w:rsidRPr="00A31137" w:rsidRDefault="00A31137" w:rsidP="00A31137">
      <w:r w:rsidRPr="00A31137">
        <w:t>7. Section 2 of the Thirteenth Amendment gives Congress the authority to "enforce" the provisions of § 1 of the same Amendment, and § 5 of the Fourteenth Amendment provides that "[t]he Congress shall have power to enforce, by appropriate legislation, the provisions of this article." Neither section grants to Congress the authority to require the States to flout their obligation under § 1 of the Fourteenth Amendment to afford "the equal protection of the laws" or the power to enact legislation that itself violates the equal protection component of the Fifth Amendment.</w:t>
      </w:r>
    </w:p>
    <w:p w:rsidR="00A31137" w:rsidRPr="00A31137" w:rsidRDefault="00A31137" w:rsidP="00A31137">
      <w:r w:rsidRPr="00A31137">
        <w:t>1980, Fullilove v. Klutznick, 448 U.S. 554</w:t>
      </w:r>
    </w:p>
    <w:p w:rsidR="00A31137" w:rsidRPr="00A31137" w:rsidRDefault="00A31137" w:rsidP="00A31137">
      <w:r w:rsidRPr="00A31137">
        <w:t>8. The legislative history of the MBE provision itself contains not one mention of racial discrimination or the need to provide a mechanism to correct the effects of such discrimination. From the context of the Act, however, it is reasonable to infer that the program was enacted, at least in part, to remedy perceived past and present racial discrimination. In 1977, Congress knew that many minority business enterprises had historically suffered racial discrimination in the economy as a whole and in the construction industry in particular. See H.R.Rep. No. 94-1791, pp. 182-183 (1977); H.R.Rep. No. 94-468, pp. 1-2 (1975); To Amend and Extend the Local Public Works Capital Development and Investment Act: Hearings on H.R. 11 and Related Bills before the Subcommittee on Economic Development of the House Committee on Public Works and Transportation, 95th Cong., 1st Sess., 939 (1977) (statement of Rep. Conyers). Some of this discrimination may well, in fact, have violated one or more of the state and federal antidiscrimination laws.</w:t>
      </w:r>
    </w:p>
    <w:p w:rsidR="00A31137" w:rsidRPr="00A31137" w:rsidRDefault="00A31137" w:rsidP="00A31137">
      <w:r w:rsidRPr="00A31137">
        <w:t>1980, Fullilove v. Klutznick, 448 U.S. 554</w:t>
      </w:r>
    </w:p>
    <w:p w:rsidR="00A31137" w:rsidRPr="00A31137" w:rsidRDefault="00A31137" w:rsidP="00A31137">
      <w:r w:rsidRPr="00A31137">
        <w:t>9. See 123 Cong.Rec. 5327 (1977) (Rep. Mitchell) ("all [the MBE provision] attempts to do is to provide that those who are in minority businesses get a fair share of the action from this public works legislation") (emphasis supplied). Moreover, sponsors of the legislation repeatedly referred to the low participation rate of minority businesses in federal procurement programs. See id. at 5331 (Rep. Biaggi); id. at 5327-5328 (Rep. Mitchell); id. at 5097-5098 (Rep. Mitchell); id. at 7156 (Sen. Brooke).</w:t>
      </w:r>
    </w:p>
    <w:p w:rsidR="00A31137" w:rsidRPr="00A31137" w:rsidRDefault="00A31137" w:rsidP="00A31137">
      <w:r w:rsidRPr="00A31137">
        <w:t>1980, Fullilove v. Klutznick, 448 U.S. 554</w:t>
      </w:r>
    </w:p>
    <w:p w:rsidR="00A31137" w:rsidRPr="00A31137" w:rsidRDefault="00A31137" w:rsidP="00A31137">
      <w:r w:rsidRPr="00A31137">
        <w:t>10. See id. at 5330 (Rep. Conyers) ("minority contractors and businessmen who are trying to enter in on the bidding process…get the 'works' almost every time. The bidding process is one whose intricacies defy the imaginations of most of us here"). That the elimination of "disadvantage" is one of the program's objectives is an inference that finds support in the agency's own interpretation of the statute. See U.S. Dept. of Commerce, Economic Development Administration, EDA Minority Business Enterprise Technical Bulletin (Additional Assistance and Information Available to Grantees and Their Contractors In Meeting The 10% MBE Requirement) 9-10 (1977) (Technical Bulletin) ("a [minority] subcontractor's price should not be considered unreasonable if he is merely trying to cover his costs because the price results from disadvantage which affect the MBE's costs of doing business or results from discrimination." (emphasis added)).</w:t>
      </w:r>
    </w:p>
    <w:p w:rsidR="00A31137" w:rsidRPr="00A31137" w:rsidRDefault="00A31137" w:rsidP="00A31137">
      <w:r w:rsidRPr="00A31137">
        <w:t>1980, Fullilove v. Klutznick, 448 U.S. 554</w:t>
      </w:r>
    </w:p>
    <w:p w:rsidR="00A31137" w:rsidRPr="00A31137" w:rsidRDefault="00A31137" w:rsidP="00A31137">
      <w:r w:rsidRPr="00A31137">
        <w:t>11. For instance, in 1978, 83.4% of persons over the age of 25 who had not completed high school were "white," see U.S. Dept. of Commerce Bureau of the Census, Statistical Abstract of the United States 145 (1979), and, in 1977, 79.0% of households with annual incomes of less than $ 5,000 were "white," see id. at 458.</w:t>
      </w:r>
    </w:p>
    <w:p w:rsidR="00A31137" w:rsidRPr="00A31137" w:rsidRDefault="00A31137" w:rsidP="00A31137">
      <w:r w:rsidRPr="00A31137">
        <w:t>1980, Fullilove v. Klutznick, 448 U.S. 554</w:t>
      </w:r>
    </w:p>
    <w:p w:rsidR="00A31137" w:rsidRPr="00A31137" w:rsidRDefault="00A31137" w:rsidP="00A31137">
      <w:r w:rsidRPr="00A31137">
        <w:t>12. Moreover, even a properly based judicial decree will be struck down if the scope of the remedy it provides is not carefully tailored to fit the nature and extent of the violation. See Dayton Board of Education v. Brinkman, 433 U.S. 406, 419-40; Milliiken v. Bradley, 418 U.S. 717. Here, assuming that the MBE provision was intended solely as a remedy for past and present racial discrimination, it sweeps far too broadly. It directs every state and local government covered by the program to set aside 10% of its grant for minority business enterprises. Waivers from that requirement are permitted, but only where insufficient numbers of minority businesses capable of doing the work at nonexorbitant prices are located in the relevant contracting area. No waiver is provided for any governmental entity that can prove a history free of racial discrimination. Nor is any exemption permitted for nonminority contractors that are able to demonstrate that they have not engaged in racially discriminatory behavior. Finally, the statute makes no attempt to direct the aid it provides solely toward those minority contracting firms that arguably still suffer from the effects of past or present discrimination.</w:t>
      </w:r>
    </w:p>
    <w:p w:rsidR="00A31137" w:rsidRPr="00A31137" w:rsidRDefault="00A31137" w:rsidP="00A31137">
      <w:r w:rsidRPr="00A31137">
        <w:t>1980, Fullilove v. Klutznick, 448 U.S. 554</w:t>
      </w:r>
    </w:p>
    <w:p w:rsidR="00A31137" w:rsidRPr="00A31137" w:rsidRDefault="00A31137" w:rsidP="00A31137">
      <w:r w:rsidRPr="00A31137">
        <w:t>These are not the characteristics of a racially conscious remedial decree that is closely tailored to the evil to be corrected. In today's society, it constitutes far too gross an oversimplification to assume that every single Negro, Spanish-speaking citizen, Oriental, Indian, Eskimo, and Aleut potentially interested in construction contracting currently suffers from the effects of past or present racial discrimination. Since the MBE set-aside must be viewed as resting upon such an assumption, it necessarily paints with too broad a brush. Except to make whole the identified victims of racial discrimination, the guarantee of equal protection prohibits the government from taking detrimental action against innocent people on the basis of the sins of others of their own race.</w:t>
      </w:r>
    </w:p>
    <w:p w:rsidR="00A31137" w:rsidRPr="00A31137" w:rsidRDefault="00A31137" w:rsidP="00A31137">
      <w:r w:rsidRPr="00A31137">
        <w:t>1980, Fullilove v. Klutznick, 448 U.S. 554</w:t>
      </w:r>
    </w:p>
    <w:p w:rsidR="00A31137" w:rsidRPr="00A31137" w:rsidRDefault="00A31137" w:rsidP="00A31137">
      <w:r w:rsidRPr="00A31137">
        <w:t>13. The Framers of our Constitution lived at a time when the Old World still tolerated in the shadow of ancient feudal traditions. As products of the Age of Enlightenment, they set out to establish a society that recognized no distinctions among white men on account of their birth. See U.S.Const., Art. I, § 9, cl. 8 ("No Title of Nobility shall be granted by the United States"). The words Thomas Jefferson wrote in 1776 in the Declaration of Independence, however, contained the seeds of a far broader principle: "We hold these truths to be self-evident: that all men are created equal…. "</w:t>
      </w:r>
    </w:p>
    <w:p w:rsidR="00A31137" w:rsidRPr="00A31137" w:rsidRDefault="00A31137" w:rsidP="00A31137">
      <w:r w:rsidRPr="00A31137">
        <w:t>1980, Fullilove v. Klutznick, 448 U.S. 554</w:t>
      </w:r>
    </w:p>
    <w:p w:rsidR="00A31137" w:rsidRPr="00A31137" w:rsidRDefault="00A31137" w:rsidP="00A31137">
      <w:r w:rsidRPr="00A31137">
        <w:t>14. See Technical Bulletin, supra, n. 10, at 1. Cf. Ga.Code § 53-312 (1937); Tex.Penal Code, Art. 493 (Vernon 1938).</w:t>
      </w:r>
    </w:p>
    <w:p w:rsidR="00A31137" w:rsidRPr="00A31137" w:rsidRDefault="00A31137" w:rsidP="00A31137">
      <w:r w:rsidRPr="00A31137">
        <w:t>1980, Fullilove v. Klutznick, 448 U.S. 554</w:t>
      </w:r>
    </w:p>
    <w:p w:rsidR="00A31137" w:rsidRPr="00A31137" w:rsidRDefault="00A31137" w:rsidP="00A31137">
      <w:r w:rsidRPr="00A31137">
        <w:t>15. "Our Government is the potent, the omnipresent teacher. For good or for ill, it teaches the whole people by its example." Olmstead v. United States, 277 U.S. 438,  485 (Brandeis, J., dissenting).</w:t>
      </w:r>
    </w:p>
    <w:p w:rsidR="00A31137" w:rsidRPr="00A31137" w:rsidRDefault="00A31137" w:rsidP="00A31137">
      <w:r w:rsidRPr="00A31137">
        <w:t>STEVENS, J., dissenting (Footnotes)</w:t>
      </w:r>
    </w:p>
    <w:p w:rsidR="00A31137" w:rsidRPr="00A31137" w:rsidRDefault="00A31137" w:rsidP="00A31137">
      <w:r w:rsidRPr="00A31137">
        <w:t>1980, Fullilove v. Klutznick, 448 U.S. 554</w:t>
      </w:r>
    </w:p>
    <w:p w:rsidR="00A31137" w:rsidRPr="00A31137" w:rsidRDefault="00A31137" w:rsidP="00A31137">
      <w:r w:rsidRPr="00A31137">
        <w:t>1.</w:t>
      </w:r>
    </w:p>
    <w:p w:rsidR="00A31137" w:rsidRPr="00A31137" w:rsidRDefault="00A31137" w:rsidP="00A31137">
      <w:r w:rsidRPr="00A31137">
        <w:t>1980, Fullilove v. Klutznick, 448 U.S. 554</w:t>
      </w:r>
    </w:p>
    <w:p w:rsidR="00A31137" w:rsidRPr="00A31137" w:rsidRDefault="00A31137" w:rsidP="00A31137">
      <w:r w:rsidRPr="00A31137">
        <w:t>Such pure discrimination is most certainly not a "legitimate purpose" for our Federal Government, which should be especially sensitive to discrimination on grounds of birth.</w:t>
      </w:r>
    </w:p>
    <w:p w:rsidR="00A31137" w:rsidRPr="00A31137" w:rsidRDefault="00A31137" w:rsidP="00A31137">
      <w:r w:rsidRPr="00A31137">
        <w:t>1980, Fullilove v. Klutznick, 448 U.S. 554</w:t>
      </w:r>
    </w:p>
    <w:p w:rsidR="00A31137" w:rsidRPr="00A31137" w:rsidRDefault="00A31137" w:rsidP="00A31137">
      <w:r w:rsidRPr="00A31137">
        <w:t>Distinctions between citizens solely because of their ancestry are, by their very nature, odious to a free people whose institutions are founded upon the doctrine of equality.</w:t>
      </w:r>
    </w:p>
    <w:p w:rsidR="00A31137" w:rsidRPr="00A31137" w:rsidRDefault="00A31137" w:rsidP="00A31137">
      <w:r w:rsidRPr="00A31137">
        <w:t>1980, Fullilove v. Klutznick, 448 U.S. 554</w:t>
      </w:r>
    </w:p>
    <w:p w:rsidR="00A31137" w:rsidRPr="00A31137" w:rsidRDefault="00A31137" w:rsidP="00A31137">
      <w:r w:rsidRPr="00A31137">
        <w:t>Hirabayashi v. United States, 320 U.S. 81,  100. From its inception, the Federal Government has been directed to treat all its citizens as having been "created equal" in the eyes of the law. The Declaration of Independence states:</w:t>
      </w:r>
    </w:p>
    <w:p w:rsidR="00A31137" w:rsidRPr="00A31137" w:rsidRDefault="00A31137" w:rsidP="00A31137">
      <w:r w:rsidRPr="00A31137">
        <w:t>1980, Fullilove v. Klutznick, 448 U.S. 554</w:t>
      </w:r>
    </w:p>
    <w:p w:rsidR="00A31137" w:rsidRPr="00A31137" w:rsidRDefault="00A31137" w:rsidP="00A31137">
      <w:r w:rsidRPr="00A31137">
        <w:t>We hold these truths to be self-evident, that all men are created equal, that they are endowed by their Creator with certain unalienable Rights, that among these are Life, Liberty and the pursuit of Happiness.</w:t>
      </w:r>
    </w:p>
    <w:p w:rsidR="00A31137" w:rsidRPr="00A31137" w:rsidRDefault="00A31137" w:rsidP="00A31137">
      <w:r w:rsidRPr="00A31137">
        <w:t>1980, Fullilove v. Klutznick, 448 U.S. 554</w:t>
      </w:r>
    </w:p>
    <w:p w:rsidR="00A31137" w:rsidRPr="00A31137" w:rsidRDefault="00A31137" w:rsidP="00A31137">
      <w:r w:rsidRPr="00A31137">
        <w:t>And the rationale behind the prohibition against the grant of any title of nobility by the United States, see U.S.Const., Art. I, § 9, cl. 8, equally would prohibit the United States from attaching any badge of ignobility to a citizen at birth.</w:t>
      </w:r>
    </w:p>
    <w:p w:rsidR="00A31137" w:rsidRPr="00A31137" w:rsidRDefault="00A31137" w:rsidP="00A31137">
      <w:r w:rsidRPr="00A31137">
        <w:t>1980, Fullilove v. Klutznick, 448 U.S. 554</w:t>
      </w:r>
    </w:p>
    <w:p w:rsidR="00A31137" w:rsidRPr="00A31137" w:rsidRDefault="00A31137" w:rsidP="00A31137">
      <w:r w:rsidRPr="00A31137">
        <w:t>Mathews v. Lucas, 427 U.S. 495, 520-521, n. 3 (STEVENS, J., dissenting).</w:t>
      </w:r>
    </w:p>
    <w:p w:rsidR="00A31137" w:rsidRPr="00A31137" w:rsidRDefault="00A31137" w:rsidP="00A31137">
      <w:r w:rsidRPr="00A31137">
        <w:t>1980, Fullilove v. Klutznick, 448 U.S. 554</w:t>
      </w:r>
    </w:p>
    <w:p w:rsidR="00A31137" w:rsidRPr="00A31137" w:rsidRDefault="00A31137" w:rsidP="00A31137">
      <w:r w:rsidRPr="00A31137">
        <w:t>2.</w:t>
      </w:r>
    </w:p>
    <w:p w:rsidR="00A31137" w:rsidRPr="00A31137" w:rsidRDefault="00A31137" w:rsidP="00A31137">
      <w:r w:rsidRPr="00A31137">
        <w:t>1980, Fullilove v. Klutznick, 448 U.S. 554</w:t>
      </w:r>
    </w:p>
    <w:p w:rsidR="00A31137" w:rsidRPr="00A31137" w:rsidRDefault="00A31137" w:rsidP="00A31137">
      <w:r w:rsidRPr="00A31137">
        <w:t xml:space="preserve"> The federal sovereign, like the States, must govern impartially. The concept of equal justice under law is served by the Fifth Amendment's guarantee of due process, as well as by the Equal Protection Clause of the Fourteenth Amendment.</w:t>
      </w:r>
    </w:p>
    <w:p w:rsidR="00A31137" w:rsidRPr="00A31137" w:rsidRDefault="00A31137" w:rsidP="00A31137">
      <w:r w:rsidRPr="00A31137">
        <w:t>1980, Fullilove v. Klutznick, 448 U.S. 554</w:t>
      </w:r>
    </w:p>
    <w:p w:rsidR="00A31137" w:rsidRPr="00A31137" w:rsidRDefault="00A31137" w:rsidP="00A31137">
      <w:r w:rsidRPr="00A31137">
        <w:t>Hampton v. Mow Sun Wong, 426 U.S. 88, 100. See also Harris v. McRae, ante at  349, 356-357 (STEVENS, J., dissenting); Craig v. Boren, 429 U.S. 190,  211 (STEVENS, J., concurring).</w:t>
      </w:r>
    </w:p>
    <w:p w:rsidR="00A31137" w:rsidRPr="00A31137" w:rsidRDefault="00A31137" w:rsidP="00A31137">
      <w:r w:rsidRPr="00A31137">
        <w:t>1980, Fullilove v. Klutznick, 448 U.S. 554</w:t>
      </w:r>
    </w:p>
    <w:p w:rsidR="00A31137" w:rsidRPr="00A31137" w:rsidRDefault="00A31137" w:rsidP="00A31137">
      <w:r w:rsidRPr="00A31137">
        <w:t>3.</w:t>
      </w:r>
    </w:p>
    <w:p w:rsidR="00A31137" w:rsidRPr="00A31137" w:rsidRDefault="00A31137" w:rsidP="00A31137">
      <w:r w:rsidRPr="00A31137">
        <w:t>1980, Fullilove v. Klutznick, 448 U.S. 554</w:t>
      </w:r>
    </w:p>
    <w:p w:rsidR="00A31137" w:rsidRPr="00A31137" w:rsidRDefault="00A31137" w:rsidP="00A31137">
      <w:r w:rsidRPr="00A31137">
        <w:t>As a matter of principle, and in view of my attitude toward the equal protection clause, I do not think differences of treatment under law should be approved on classification because of differences unrelated to the legislative purposes. The equal protection clause ceases to assure either equality or protection if it is avoided by any conceivable difference that can be pointed out between those bound and those left free. This Court has often announced the principle that the differentiation must have an appropriate relation to the object of the legislation or ordinance.</w:t>
      </w:r>
    </w:p>
    <w:p w:rsidR="00A31137" w:rsidRPr="00A31137" w:rsidRDefault="00A31137" w:rsidP="00A31137">
      <w:r w:rsidRPr="00A31137">
        <w:t>1980, Fullilove v. Klutznick, 448 U.S. 554</w:t>
      </w:r>
    </w:p>
    <w:p w:rsidR="00A31137" w:rsidRPr="00A31137" w:rsidRDefault="00A31137" w:rsidP="00A31137">
      <w:r w:rsidRPr="00A31137">
        <w:t>Railway Express Agency, Inc. v. New York, 336 U.S. 106,  115 (Jackson, J., concurring) .</w:t>
      </w:r>
    </w:p>
    <w:p w:rsidR="00A31137" w:rsidRPr="00A31137" w:rsidRDefault="00A31137" w:rsidP="00A31137">
      <w:r w:rsidRPr="00A31137">
        <w:t>1980, Fullilove v. Klutznick, 448 U.S. 554</w:t>
      </w:r>
    </w:p>
    <w:p w:rsidR="00A31137" w:rsidRPr="00A31137" w:rsidRDefault="00A31137" w:rsidP="00A31137">
      <w:r w:rsidRPr="00A31137">
        <w:t>4.</w:t>
      </w:r>
    </w:p>
    <w:p w:rsidR="00A31137" w:rsidRPr="00A31137" w:rsidRDefault="00A31137" w:rsidP="00A31137">
      <w:r w:rsidRPr="00A31137">
        <w:t>1980, Fullilove v. Klutznick, 448 U.S. 554</w:t>
      </w:r>
    </w:p>
    <w:p w:rsidR="00A31137" w:rsidRPr="00A31137" w:rsidRDefault="00A31137" w:rsidP="00A31137">
      <w:r w:rsidRPr="00A31137">
        <w:t>Habit, rather than analysis, makes it seem acceptable and natural to distinguish between male and female, alien and citizens, legitimate and illegitimate; for too much of our history, there was the same inertia in distinguishing between black and white. But that sort of stereotyped reaction may have no rational relationship—other than pure prejudicial discrimination—to the stated purpose for which the classification is being made.</w:t>
      </w:r>
    </w:p>
    <w:p w:rsidR="00A31137" w:rsidRPr="00A31137" w:rsidRDefault="00A31137" w:rsidP="00A31137">
      <w:r w:rsidRPr="00A31137">
        <w:t>1980, Fullilove v. Klutznick, 448 U.S. 554</w:t>
      </w:r>
    </w:p>
    <w:p w:rsidR="00A31137" w:rsidRPr="00A31137" w:rsidRDefault="00A31137" w:rsidP="00A31137">
      <w:r w:rsidRPr="00A31137">
        <w:t>Mathews v. Lucas, supra at 520-521 (STEVENS, J., dissenting) (footnote omitted).</w:t>
      </w:r>
    </w:p>
    <w:p w:rsidR="00A31137" w:rsidRPr="00A31137" w:rsidRDefault="00A31137" w:rsidP="00A31137">
      <w:r w:rsidRPr="00A31137">
        <w:t>1980, Fullilove v. Klutznick, 448 U.S. 554</w:t>
      </w:r>
    </w:p>
    <w:p w:rsidR="00A31137" w:rsidRPr="00A31137" w:rsidRDefault="00A31137" w:rsidP="00A31137">
      <w:r w:rsidRPr="00A31137">
        <w:t>5. Indeed, the very attempt to define with precision a beneficiary's qualifying racial characteristics is repugnant to our constitutional ideals. The so-called guidelines developed by the Economic Development Administration, see the appendix to the opinion of THE CHIEF JUSTICE, p. 3, ante at 494-495, are so general as to be fairly innocuous; as a consequence, they are too vague to be useful. For example, it is unclear whether the firm described in n.  16, infra, would be eligible for the 10% set-aside. If the National Government is to make a serious effort to define racial classes by criteria that can be administered objectively, it must study precedents such as the First Regulation to the Reichs Citizenship Law of November 14, 1935, translated in 4 Nazi Conspiracy and Aggression, Document No. 1417-PS, pp. 8-9 (1946):</w:t>
      </w:r>
    </w:p>
    <w:p w:rsidR="00A31137" w:rsidRPr="00A31137" w:rsidRDefault="00A31137" w:rsidP="00A31137">
      <w:r w:rsidRPr="00A31137">
        <w:t>1980, Fullilove v. Klutznick, 448 U.S. 554</w:t>
      </w:r>
    </w:p>
    <w:p w:rsidR="00A31137" w:rsidRPr="00A31137" w:rsidRDefault="00A31137" w:rsidP="00A31137">
      <w:r w:rsidRPr="00A31137">
        <w:t>On the basis of Article 3, Reichs Citizenship Law, of 15 Sept. 1935 (RGB1. I, page 146) the following is ordered:</w:t>
      </w:r>
    </w:p>
    <w:p w:rsidR="00A31137" w:rsidRPr="00A31137" w:rsidRDefault="00A31137" w:rsidP="00A31137">
      <w:r w:rsidRPr="00A31137">
        <w:t>*    *    *    *</w:t>
      </w:r>
    </w:p>
    <w:p w:rsidR="00A31137" w:rsidRPr="00A31137" w:rsidRDefault="00A31137" w:rsidP="00A31137">
      <w:r w:rsidRPr="00A31137">
        <w:t>Article 5</w:t>
      </w:r>
    </w:p>
    <w:p w:rsidR="00A31137" w:rsidRPr="00A31137" w:rsidRDefault="00A31137" w:rsidP="00A31137">
      <w:r w:rsidRPr="00A31137">
        <w:t>1980, Fullilove v. Klutznick, 448 U.S. 554</w:t>
      </w:r>
    </w:p>
    <w:p w:rsidR="00A31137" w:rsidRPr="00A31137" w:rsidRDefault="00A31137" w:rsidP="00A31137">
      <w:r w:rsidRPr="00A31137">
        <w:t>1. A Jew is anyone who descended from at least three grandparents who were racially full Jews. Article 2, par. 2, second sentence will apply.</w:t>
      </w:r>
    </w:p>
    <w:p w:rsidR="00A31137" w:rsidRPr="00A31137" w:rsidRDefault="00A31137" w:rsidP="00A31137">
      <w:r w:rsidRPr="00A31137">
        <w:t>1980, Fullilove v. Klutznick, 448 U.S. 554</w:t>
      </w:r>
    </w:p>
    <w:p w:rsidR="00A31137" w:rsidRPr="00A31137" w:rsidRDefault="00A31137" w:rsidP="00A31137">
      <w:r w:rsidRPr="00A31137">
        <w:t>2. A Jew is also one who descended from two full Jewish parents, if: (a) he belonged to the Jewish religious community at the time this law was issued, or who joined the community later; (b) he was married to a Jewish person, at the time the law was issued, or married one subsequently; (c) he is the offspring from a marriage with a Jew, in the sense of Section 1, which was contracted after the Law for the protection of German blood and German honor became effective (RGB1. I, page 1146 of 15 Sept. 1935); (d) he is the offspring of an extramarital relationship, with a Jew, according to Section 1, and will be born out of wedlock after July 31, 1936.</w:t>
      </w:r>
    </w:p>
    <w:p w:rsidR="00A31137" w:rsidRPr="00A31137" w:rsidRDefault="00A31137" w:rsidP="00A31137">
      <w:r w:rsidRPr="00A31137">
        <w:t>1980, Fullilove v. Klutznick, 448 U.S. 554</w:t>
      </w:r>
    </w:p>
    <w:p w:rsidR="00A31137" w:rsidRPr="00A31137" w:rsidRDefault="00A31137" w:rsidP="00A31137">
      <w:r w:rsidRPr="00A31137">
        <w:t>6. In 1968, almost 10 years before the Act was passed, the Small Business Administration had developed a program to assist small business concerns owned or controlled by "socially or economically disadvantaged persons." The agency's description of persons eligible for such assistance stated that such</w:t>
      </w:r>
    </w:p>
    <w:p w:rsidR="00A31137" w:rsidRPr="00A31137" w:rsidRDefault="00A31137" w:rsidP="00A31137">
      <w:r w:rsidRPr="00A31137">
        <w:t>1980, Fullilove v. Klutznick, 448 U.S. 554</w:t>
      </w:r>
    </w:p>
    <w:p w:rsidR="00A31137" w:rsidRPr="00A31137" w:rsidRDefault="00A31137" w:rsidP="00A31137">
      <w:r w:rsidRPr="00A31137">
        <w:t>persons include, but are not limited to, black Americans, American Indians, Spanish-Americans, oriental Americans, Eskimos and Aleuts….</w:t>
      </w:r>
    </w:p>
    <w:p w:rsidR="00A31137" w:rsidRPr="00A31137" w:rsidRDefault="00A31137" w:rsidP="00A31137">
      <w:r w:rsidRPr="00A31137">
        <w:t>1980, Fullilove v. Klutznick, 448 U.S. 554</w:t>
      </w:r>
    </w:p>
    <w:p w:rsidR="00A31137" w:rsidRPr="00A31137" w:rsidRDefault="00A31137" w:rsidP="00A31137">
      <w:r w:rsidRPr="00A31137">
        <w:t>See opinion of THE CHIEF JUSTICE, ante at 463-464. This may be the source of the definition of the class at issue in this case. See also ante at 487-488, n. 73. But the SBA's class of socially or economically disadvantaged persons neither included all persons in the racial class nor excluded all nonmembers of the racial class. Race was used as no more than a factor in identifying the class of the disadvantaged. The difference between the statutory quota involved in this case and the SBA's 1968 description of those whose businesses were to be assisted under § 8(a) of the Small Business Act is thus at least as great as the difference between the University of California's racial quota and the Harvard admissions system that MR. JUSTICE POWELL regarded as critical in University of California Regents v. Bakke, 438 U.S. 265, 315-318.</w:t>
      </w:r>
    </w:p>
    <w:p w:rsidR="00A31137" w:rsidRPr="00A31137" w:rsidRDefault="00A31137" w:rsidP="00A31137">
      <w:r w:rsidRPr="00A31137">
        <w:t>1980, Fullilove v. Klutznick, 448 U.S. 554</w:t>
      </w:r>
    </w:p>
    <w:p w:rsidR="00A31137" w:rsidRPr="00A31137" w:rsidRDefault="00A31137" w:rsidP="00A31137">
      <w:r w:rsidRPr="00A31137">
        <w:t>7. It was noted that the value of the federal contracts awarded to minority business firms in prior years had amounted to less than 1% of the total; since the statutory set-aside of 10% may be satisfied by subcontracts to minority business enterprises, it is possible that compliance with the statute would not change the 1% figure.</w:t>
      </w:r>
    </w:p>
    <w:p w:rsidR="00A31137" w:rsidRPr="00A31137" w:rsidRDefault="00A31137" w:rsidP="00A31137">
      <w:r w:rsidRPr="00A31137">
        <w:t>1980, Fullilove v. Klutznick, 448 U.S. 554</w:t>
      </w:r>
    </w:p>
    <w:p w:rsidR="00A31137" w:rsidRPr="00A31137" w:rsidRDefault="00A31137" w:rsidP="00A31137">
      <w:r w:rsidRPr="00A31137">
        <w:t>The legislative history also revealed that minority business enterprises represented about 3 or 4% of all eligible firms; the history does not indicate, however, whether the 10% figure was intended to provide the existing firms with three times as much business as they could expect to receive on a random basis, or to encourage members of the class to acquire or form new firms. An Economic Development Administration guideline arguably implies that new investments made in order to take advantage of the 10% set-aside would not be considered "bona fide." See appendix to the opinion of THE CHIEF JUSTICE, ante at  492.</w:t>
      </w:r>
    </w:p>
    <w:p w:rsidR="00A31137" w:rsidRPr="00A31137" w:rsidRDefault="00A31137" w:rsidP="00A31137">
      <w:r w:rsidRPr="00A31137">
        <w:t>1980, Fullilove v. Klutznick, 448 U.S. 554</w:t>
      </w:r>
    </w:p>
    <w:p w:rsidR="00A31137" w:rsidRPr="00A31137" w:rsidRDefault="00A31137" w:rsidP="00A31137">
      <w:r w:rsidRPr="00A31137">
        <w:t>The 10% figure bears no special relationship to the relative size of the entire racial class, to any of the six subclasses, or to the population of the subclasses in the areas where they primarily reside. The Aleuts and the Eskimos, for example, respectively represent less than 1% and 7% of the population of Alaska, see The New Columbia Encyclopedia 47, 59, 891 (4th ed.1975), while Spanish-speaking or Negro citizens represent a majority or almost a majority in a large number of urban areas.</w:t>
      </w:r>
    </w:p>
    <w:p w:rsidR="00A31137" w:rsidRPr="00A31137" w:rsidRDefault="00A31137" w:rsidP="00A31137">
      <w:r w:rsidRPr="00A31137">
        <w:t>1980, Fullilove v. Klutznick, 448 U.S. 554</w:t>
      </w:r>
    </w:p>
    <w:p w:rsidR="00A31137" w:rsidRPr="00A31137" w:rsidRDefault="00A31137" w:rsidP="00A31137">
      <w:r w:rsidRPr="00A31137">
        <w:t>8. Ironically, the Aleuts appear to have been ruthlessly exploited at some point in their history by Russian fur traders. See The New Columbia Encyclopedia, supra at 59.</w:t>
      </w:r>
    </w:p>
    <w:p w:rsidR="00A31137" w:rsidRPr="00A31137" w:rsidRDefault="00A31137" w:rsidP="00A31137">
      <w:r w:rsidRPr="00A31137">
        <w:t>1980, Fullilove v. Klutznick, 448 U.S. 554</w:t>
      </w:r>
    </w:p>
    <w:p w:rsidR="00A31137" w:rsidRPr="00A31137" w:rsidRDefault="00A31137" w:rsidP="00A31137">
      <w:r w:rsidRPr="00A31137">
        <w:t>9. For a similar reason, the discrimination against males condemned in Califano v. Goldfarb, 430 U.S. 199, could not be justified as a remedy for past discrimination against females. That case involved a statutory provision which relieved widows from the obligation of proving dependency on their deceased spouses in order to obtain benefits, but did not similarly relieve widowers.</w:t>
      </w:r>
    </w:p>
    <w:p w:rsidR="00A31137" w:rsidRPr="00A31137" w:rsidRDefault="00A31137" w:rsidP="00A31137">
      <w:r w:rsidRPr="00A31137">
        <w:t>1980, Fullilove v. Klutznick, 448 U.S. 554</w:t>
      </w:r>
    </w:p>
    <w:p w:rsidR="00A31137" w:rsidRPr="00A31137" w:rsidRDefault="00A31137" w:rsidP="00A31137">
      <w:r w:rsidRPr="00A31137">
        <w:t>The widows who benefit from the disparate treatment are those who were sufficiently successful in the job market to become nondependent on their husbands. Such a widow is the least likely to need special benefits. The widow most in need is the one who is "suddenly forced into a job market with which she is unfamiliar, and in which, because of her former economic dependency, she will have fewer skills to offer." [Kahn v. Shevin, 416 U.S. 351,] 354. To accept the Kahn justification, we must presume that Congress deliberately gave a special benefit to those females least likely to have been victims of the historic discrimination discussed in Kahn.</w:t>
      </w:r>
    </w:p>
    <w:p w:rsidR="00A31137" w:rsidRPr="00A31137" w:rsidRDefault="00A31137" w:rsidP="00A31137">
      <w:r w:rsidRPr="00A31137">
        <w:t>1980, Fullilove v. Klutznick, 448 U.S. 554</w:t>
      </w:r>
    </w:p>
    <w:p w:rsidR="00A31137" w:rsidRPr="00A31137" w:rsidRDefault="00A31137" w:rsidP="00A31137">
      <w:r w:rsidRPr="00A31137">
        <w:t>Id. at  221 (STEVENS, J., concurring in judgment).</w:t>
      </w:r>
    </w:p>
    <w:p w:rsidR="00A31137" w:rsidRPr="00A31137" w:rsidRDefault="00A31137" w:rsidP="00A31137">
      <w:r w:rsidRPr="00A31137">
        <w:t>1980, Fullilove v. Klutznick, 448 U.S. 554</w:t>
      </w:r>
    </w:p>
    <w:p w:rsidR="00A31137" w:rsidRPr="00A31137" w:rsidRDefault="00A31137" w:rsidP="00A31137">
      <w:r w:rsidRPr="00A31137">
        <w:t>10.</w:t>
      </w:r>
    </w:p>
    <w:p w:rsidR="00A31137" w:rsidRPr="00A31137" w:rsidRDefault="00A31137" w:rsidP="00A31137">
      <w:r w:rsidRPr="00A31137">
        <w:t>1980, Fullilove v. Klutznick, 448 U.S. 554</w:t>
      </w:r>
    </w:p>
    <w:p w:rsidR="00A31137" w:rsidRPr="00A31137" w:rsidRDefault="00A31137" w:rsidP="00A31137">
      <w:r w:rsidRPr="00A31137">
        <w:t>The statute with the most comprehensive coverage is Title VI of the Civil Rights Act of 1964, 42 U.S.C. 2000d et seq., which broadly prohibits discrimination on the basis of race, color, or national origin in any program or activity receiving federal financial assistance. Since the passage of Title VI, many other specific federal grant statutes have contained similar prohibitions against discrimination in particular funded activities. See, e.g., State and Local Fiscal Assistance Amendments of 1976, 31 U.S.C. 1242; Energy Conservation and Production Act, 42 U.S.C. 6870; Housing and Community Development Act of 1974, 42 U.S.C. 5309; Comprehensive Employment and Training Act of 1973, 29 U.S.C. 991.</w:t>
      </w:r>
    </w:p>
    <w:p w:rsidR="00A31137" w:rsidRPr="00A31137" w:rsidRDefault="00A31137" w:rsidP="00A31137">
      <w:r w:rsidRPr="00A31137">
        <w:t>1980, Fullilove v. Klutznick, 448 U.S. 554</w:t>
      </w:r>
    </w:p>
    <w:p w:rsidR="00A31137" w:rsidRPr="00A31137" w:rsidRDefault="00A31137" w:rsidP="00A31137">
      <w:r w:rsidRPr="00A31137">
        <w:t>Brief for Secretary of Commerce 21, n. 7.</w:t>
      </w:r>
    </w:p>
    <w:p w:rsidR="00A31137" w:rsidRPr="00A31137" w:rsidRDefault="00A31137" w:rsidP="00A31137">
      <w:r w:rsidRPr="00A31137">
        <w:t>1980, Fullilove v. Klutznick, 448 U.S. 554</w:t>
      </w:r>
    </w:p>
    <w:p w:rsidR="00A31137" w:rsidRPr="00A31137" w:rsidRDefault="00A31137" w:rsidP="00A31137">
      <w:r w:rsidRPr="00A31137">
        <w:t>11. Although the plain language of the statute appears to include such firms, as I have already noted, n. 7, supra, the EDA guidelines may consider such newly formed firms ineligible for the statutory set-aside.</w:t>
      </w:r>
    </w:p>
    <w:p w:rsidR="00A31137" w:rsidRPr="00A31137" w:rsidRDefault="00A31137" w:rsidP="00A31137">
      <w:r w:rsidRPr="00A31137">
        <w:t>1980, Fullilove v. Klutznick, 448 U.S. 554</w:t>
      </w:r>
    </w:p>
    <w:p w:rsidR="00A31137" w:rsidRPr="00A31137" w:rsidRDefault="00A31137" w:rsidP="00A31137">
      <w:r w:rsidRPr="00A31137">
        <w:t>12. See University of California Regents v. Bakke, 438 U.S. at 418-421 (opinion of STEVENS, J.). See also § 207(d) of the Public Works Employment Act of 1976, 90 Stat. 1008, 42 U.S.C. § 6727(d).</w:t>
      </w:r>
    </w:p>
    <w:p w:rsidR="00A31137" w:rsidRPr="00A31137" w:rsidRDefault="00A31137" w:rsidP="00A31137">
      <w:r w:rsidRPr="00A31137">
        <w:t>1980, Fullilove v. Klutznick, 448 U.S. 554</w:t>
      </w:r>
    </w:p>
    <w:p w:rsidR="00A31137" w:rsidRPr="00A31137" w:rsidRDefault="00A31137" w:rsidP="00A31137">
      <w:r w:rsidRPr="00A31137">
        <w:t>13. I recognize that the EDA has issued a Technical Bulletin, relied on heavily by THE CHIEF JUSTICE, ante at 469-472, which distinguishes between higher bids quoted by minority subcontractors which are attributable to the effects of disadvantage or discrimination and those which are not. That is, according to the Bulletin, if it is determined that a subcontractor's uncompetitive high price is not attributable to the effects of discrimination, a contractor may be entitled to relief from the 10% set-aside requirement. But even assuming that the Technical Bulletin accurately reflects Congress' intent in enacting the set-aside, it is not easy to envision how one could realistically demonstrate with any degree of precision, if at all, the extent to which a bid has been inflated by the effects of disadvantage or past discrimination. Consequently, while THE CHIEF JUSTICE describes the set-aside as a remedial measure, it plainly operates as a flat quota.</w:t>
      </w:r>
    </w:p>
    <w:p w:rsidR="00A31137" w:rsidRPr="00A31137" w:rsidRDefault="00A31137" w:rsidP="00A31137">
      <w:r w:rsidRPr="00A31137">
        <w:t>1980, Fullilove v. Klutznick, 448 U.S. 554</w:t>
      </w:r>
    </w:p>
    <w:p w:rsidR="00A31137" w:rsidRPr="00A31137" w:rsidRDefault="00A31137" w:rsidP="00A31137">
      <w:r w:rsidRPr="00A31137">
        <w:t>14. See THE CHIEF JUSTICE's opinion, ante at  480.</w:t>
      </w:r>
    </w:p>
    <w:p w:rsidR="00A31137" w:rsidRPr="00A31137" w:rsidRDefault="00A31137" w:rsidP="00A31137">
      <w:r w:rsidRPr="00A31137">
        <w:t>1980, Fullilove v. Klutznick, 448 U.S. 554</w:t>
      </w:r>
    </w:p>
    <w:p w:rsidR="00A31137" w:rsidRPr="00A31137" w:rsidRDefault="00A31137" w:rsidP="00A31137">
      <w:r w:rsidRPr="00A31137">
        <w:t>15. "Non-officeholders may be the beneficiaries of lucrative government contracts for highway construction, buildings, and supplies." 427 U.S. at  353</w:t>
      </w:r>
    </w:p>
    <w:p w:rsidR="00A31137" w:rsidRPr="00A31137" w:rsidRDefault="00A31137" w:rsidP="00A31137">
      <w:r w:rsidRPr="00A31137">
        <w:t>1980, Fullilove v. Klutznick, 448 U.S. 554</w:t>
      </w:r>
    </w:p>
    <w:p w:rsidR="00A31137" w:rsidRPr="00A31137" w:rsidRDefault="00A31137" w:rsidP="00A31137">
      <w:r w:rsidRPr="00A31137">
        <w:t>16. An example of such a firm was disclosed in the record of a recent case involving a claimed preference for a firm controlled by Indian shareholders:</w:t>
      </w:r>
    </w:p>
    <w:p w:rsidR="00A31137" w:rsidRPr="00A31137" w:rsidRDefault="00A31137" w:rsidP="00A31137">
      <w:r w:rsidRPr="00A31137">
        <w:t>1980, Fullilove v. Klutznick, 448 U.S. 554</w:t>
      </w:r>
    </w:p>
    <w:p w:rsidR="00A31137" w:rsidRPr="00A31137" w:rsidRDefault="00A31137" w:rsidP="00A31137">
      <w:r w:rsidRPr="00A31137">
        <w:t>Based on the facts that were developed in the District Court,…the Indian community in general does not benefit from the [Bureau of Indian Affairs'] interpretation of [the Buy Indian Act].</w:t>
      </w:r>
    </w:p>
    <w:p w:rsidR="00A31137" w:rsidRPr="00A31137" w:rsidRDefault="00A31137" w:rsidP="00A31137">
      <w:r w:rsidRPr="00A31137">
        <w:t>1980, Fullilove v. Klutznick, 448 U.S. 554</w:t>
      </w:r>
    </w:p>
    <w:p w:rsidR="00A31137" w:rsidRPr="00A31137" w:rsidRDefault="00A31137" w:rsidP="00A31137">
      <w:r w:rsidRPr="00A31137">
        <w:t>The facts that were developed in the District Court show that the beneficiaries of this interpretation were the owners of Indian Nations Construction Company. The president of that company is a one-fourth degree Indian who is an administrative law judge for the Department of Health, Education, and Welfare by occupation. The vice-president of that company was a one-quarter blood Choctaw who is a self-employed rancher and who states his net worth at just under a half million dollars. The treasurer and general manager of that corporation is a non-Indian and he states his net worth at $ 1.3 million.</w:t>
      </w:r>
    </w:p>
    <w:p w:rsidR="00A31137" w:rsidRPr="00A31137" w:rsidRDefault="00A31137" w:rsidP="00A31137">
      <w:r w:rsidRPr="00A31137">
        <w:t>1980, Fullilove v. Klutznick, 448 U.S. 554</w:t>
      </w:r>
    </w:p>
    <w:p w:rsidR="00A31137" w:rsidRPr="00A31137" w:rsidRDefault="00A31137" w:rsidP="00A31137">
      <w:r w:rsidRPr="00A31137">
        <w:t>Tr of Oral Arg. in Andrus v. Glover Construction Co., O.T. 1979, No. 798, pp. 227.</w:t>
      </w:r>
    </w:p>
    <w:p w:rsidR="00A31137" w:rsidRPr="00A31137" w:rsidRDefault="00A31137" w:rsidP="00A31137">
      <w:r w:rsidRPr="00A31137">
        <w:t>1980, Fullilove v. Klutznick, 448 U.S. 554</w:t>
      </w:r>
    </w:p>
    <w:p w:rsidR="00A31137" w:rsidRPr="00A31137" w:rsidRDefault="00A31137" w:rsidP="00A31137">
      <w:r w:rsidRPr="00A31137">
        <w:t>17. See United Jewish Organizations v. Carey, 430 U.S. 144, 173-174 (BRENNAN, J., concurring in part):</w:t>
      </w:r>
    </w:p>
    <w:p w:rsidR="00A31137" w:rsidRPr="00A31137" w:rsidRDefault="00A31137" w:rsidP="00A31137">
      <w:r w:rsidRPr="00A31137">
        <w:t>1980, Fullilove v. Klutznick, 448 U.S. 554</w:t>
      </w:r>
    </w:p>
    <w:p w:rsidR="00A31137" w:rsidRPr="00A31137" w:rsidRDefault="00A31137" w:rsidP="00A31137">
      <w:r w:rsidRPr="00A31137">
        <w:t>[E]ven preferential treatment may act to stigmatize its recipient groups, for although intended to correct systemic or institutional inequities, such a policy may imply to some the recipients' inferiority and especial need for protection.</w:t>
      </w:r>
    </w:p>
    <w:p w:rsidR="00A31137" w:rsidRPr="00A31137" w:rsidRDefault="00A31137" w:rsidP="00A31137">
      <w:r w:rsidRPr="00A31137">
        <w:t>1980, Fullilove v. Klutznick, 448 U.S. 554</w:t>
      </w:r>
    </w:p>
    <w:p w:rsidR="00A31137" w:rsidRPr="00A31137" w:rsidRDefault="00A31137" w:rsidP="00A31137">
      <w:r w:rsidRPr="00A31137">
        <w:t>18.</w:t>
      </w:r>
    </w:p>
    <w:p w:rsidR="00A31137" w:rsidRPr="00A31137" w:rsidRDefault="00A31137" w:rsidP="00A31137">
      <w:r w:rsidRPr="00A31137">
        <w:t>1980, Fullilove v. Klutznick, 448 U.S. 554</w:t>
      </w:r>
    </w:p>
    <w:p w:rsidR="00A31137" w:rsidRPr="00A31137" w:rsidRDefault="00A31137" w:rsidP="00A31137">
      <w:r w:rsidRPr="00A31137">
        <w:t>The Equal Protection Clause commands the elimination of racial barriers, not their creation in order to satisfy our theory as to how society ought to be organized.</w:t>
      </w:r>
    </w:p>
    <w:p w:rsidR="00A31137" w:rsidRPr="00A31137" w:rsidRDefault="00A31137" w:rsidP="00A31137">
      <w:r w:rsidRPr="00A31137">
        <w:t>1980, Fullilove v. Klutznick, 448 U.S. 554</w:t>
      </w:r>
    </w:p>
    <w:p w:rsidR="00A31137" w:rsidRPr="00A31137" w:rsidRDefault="00A31137" w:rsidP="00A31137">
      <w:r w:rsidRPr="00A31137">
        <w:t>DeFunis v. Odegaard, 416 U.S. 312,  342 (Douglas, J., dissenting).</w:t>
      </w:r>
    </w:p>
    <w:p w:rsidR="00A31137" w:rsidRPr="00A31137" w:rsidRDefault="00A31137" w:rsidP="00A31137">
      <w:r w:rsidRPr="00A31137">
        <w:t>1980, Fullilove v. Klutznick, 448 U.S. 554</w:t>
      </w:r>
    </w:p>
    <w:p w:rsidR="00A31137" w:rsidRPr="00A31137" w:rsidRDefault="00A31137" w:rsidP="00A31137">
      <w:r w:rsidRPr="00A31137">
        <w:t>19. See University of California Regents v. Bakke, 438 U.S. at  298.</w:t>
      </w:r>
    </w:p>
    <w:p w:rsidR="00A31137" w:rsidRPr="00A31137" w:rsidRDefault="00A31137" w:rsidP="00A31137">
      <w:r w:rsidRPr="00A31137">
        <w:t>1980, Fullilove v. Klutznick, 448 U.S. 554</w:t>
      </w:r>
    </w:p>
    <w:p w:rsidR="00A31137" w:rsidRPr="00A31137" w:rsidRDefault="00A31137" w:rsidP="00A31137">
      <w:r w:rsidRPr="00A31137">
        <w:t>20. DeFunis v. Odegaard, supra at  343 (dissenting opinion).</w:t>
      </w:r>
    </w:p>
    <w:p w:rsidR="00A31137" w:rsidRPr="00A31137" w:rsidRDefault="00A31137" w:rsidP="00A31137">
      <w:r w:rsidRPr="00A31137">
        <w:t>1980, Fullilove v. Klutznick, 448 U.S. 554</w:t>
      </w:r>
    </w:p>
    <w:p w:rsidR="00A31137" w:rsidRPr="00A31137" w:rsidRDefault="00A31137" w:rsidP="00A31137">
      <w:r w:rsidRPr="00A31137">
        <w:t>21. In his Bakke opinion, supra, MR JUSTICE POWELL stated:</w:t>
      </w:r>
    </w:p>
    <w:p w:rsidR="00A31137" w:rsidRPr="00A31137" w:rsidRDefault="00A31137" w:rsidP="00A31137">
      <w:r w:rsidRPr="00A31137">
        <w:t>1980, Fullilove v. Klutznick, 448 U.S. 554</w:t>
      </w:r>
    </w:p>
    <w:p w:rsidR="00A31137" w:rsidRPr="00A31137" w:rsidRDefault="00A31137" w:rsidP="00A31137">
      <w:r w:rsidRPr="00A31137">
        <w:t>It is far too late to argue that the guarantee of equal protection to all persons permits the recognition of special wards entitled to a degree of protection greater than that accorded others.</w:t>
      </w:r>
    </w:p>
    <w:p w:rsidR="00A31137" w:rsidRPr="00A31137" w:rsidRDefault="00A31137" w:rsidP="00A31137">
      <w:r w:rsidRPr="00A31137">
        <w:t>1980, Fullilove v. Klutznick, 448 U.S. 554</w:t>
      </w:r>
    </w:p>
    <w:p w:rsidR="00A31137" w:rsidRPr="00A31137" w:rsidRDefault="00A31137" w:rsidP="00A31137">
      <w:r w:rsidRPr="00A31137">
        <w:t>438 U.S. at  295. In support of that proposition, he quoted Professor Bickel's comment on the self-contradiction of that argument:</w:t>
      </w:r>
    </w:p>
    <w:p w:rsidR="00A31137" w:rsidRPr="00A31137" w:rsidRDefault="00A31137" w:rsidP="00A31137">
      <w:r w:rsidRPr="00A31137">
        <w:t>1980, Fullilove v. Klutznick, 448 U.S. 554</w:t>
      </w:r>
    </w:p>
    <w:p w:rsidR="00A31137" w:rsidRPr="00A31137" w:rsidRDefault="00A31137" w:rsidP="00A31137">
      <w:r w:rsidRPr="00A31137">
        <w:t>"The lesson of the great decisions of the Supreme Court and the lesson of contemporary history have been the same for at least a generation: discrimination on the basis of race is illegal, immoral, unconstitutional, inherently wrong, and destructive of democratic society."</w:t>
      </w:r>
    </w:p>
    <w:p w:rsidR="00A31137" w:rsidRPr="00A31137" w:rsidRDefault="00A31137" w:rsidP="00A31137">
      <w:r w:rsidRPr="00A31137">
        <w:t>1980, Fullilove v. Klutznick, 448 U.S. 554</w:t>
      </w:r>
    </w:p>
    <w:p w:rsidR="00A31137" w:rsidRPr="00A31137" w:rsidRDefault="00A31137" w:rsidP="00A31137">
      <w:r w:rsidRPr="00A31137">
        <w:t>Id. at  295, n. 35.</w:t>
      </w:r>
    </w:p>
    <w:p w:rsidR="00A31137" w:rsidRPr="00A31137" w:rsidRDefault="00A31137" w:rsidP="00A31137">
      <w:r w:rsidRPr="00A31137">
        <w:t>1980, Fullilove v. Klutznick, 448 U.S. 554</w:t>
      </w:r>
    </w:p>
    <w:p w:rsidR="00A31137" w:rsidRPr="00A31137" w:rsidRDefault="00A31137" w:rsidP="00A31137">
      <w:r w:rsidRPr="00A31137">
        <w:t>22. This preferential set-aside specifically discriminates in favor of citizens of the United States. See supra at  535.</w:t>
      </w:r>
    </w:p>
    <w:p w:rsidR="00A31137" w:rsidRPr="00A31137" w:rsidRDefault="00A31137" w:rsidP="00A31137">
      <w:r w:rsidRPr="00A31137">
        <w:t>1980, Fullilove v. Klutznick, 448 U.S. 554</w:t>
      </w:r>
    </w:p>
    <w:p w:rsidR="00A31137" w:rsidRPr="00A31137" w:rsidRDefault="00A31137" w:rsidP="00A31137">
      <w:r w:rsidRPr="00A31137">
        <w:t>23.</w:t>
      </w:r>
    </w:p>
    <w:p w:rsidR="00A31137" w:rsidRPr="00A31137" w:rsidRDefault="00A31137" w:rsidP="00A31137">
      <w:r w:rsidRPr="00A31137">
        <w:t>1980, Fullilove v. Klutznick, 448 U.S. 554</w:t>
      </w:r>
    </w:p>
    <w:p w:rsidR="00A31137" w:rsidRPr="00A31137" w:rsidRDefault="00A31137" w:rsidP="00A31137">
      <w:r w:rsidRPr="00A31137">
        <w:t>When the Federal Government asserts an overriding national interest as justification for a discriminatory rule which would violate the Equal Protection Clause if adopted by a State, due process requires that there be a legitimate basis for presuming that the rule was actually intended to serve that interest.</w:t>
      </w:r>
    </w:p>
    <w:p w:rsidR="00A31137" w:rsidRPr="00A31137" w:rsidRDefault="00A31137" w:rsidP="00A31137">
      <w:r w:rsidRPr="00A31137">
        <w:t>1980, Fullilove v. Klutznick, 448 U.S. 554</w:t>
      </w:r>
    </w:p>
    <w:p w:rsidR="00A31137" w:rsidRPr="00A31137" w:rsidRDefault="00A31137" w:rsidP="00A31137">
      <w:r w:rsidRPr="00A31137">
        <w:t>Hampton v. Mow Sun Wong, 426 U.S. 88, 103.</w:t>
      </w:r>
    </w:p>
    <w:p w:rsidR="00A31137" w:rsidRPr="00A31137" w:rsidRDefault="00A31137" w:rsidP="00A31137">
      <w:r w:rsidRPr="00A31137">
        <w:t>1980, Fullilove v. Klutznick, 448 U.S. 554</w:t>
      </w:r>
    </w:p>
    <w:p w:rsidR="00A31137" w:rsidRPr="00A31137" w:rsidRDefault="00A31137" w:rsidP="00A31137">
      <w:r w:rsidRPr="00A31137">
        <w:t>It is perfectly clear that neither the Congress nor the President has ever required the Civil Service Commission to adopt the citizenship requirement as a condition of eligibility for employment in the federal civil service. On the other hand, in view of the fact that the policy has been in effect since the Commission was created in 1883, it is fair to infer that both the Legislature and the Executive have been aware of the policy and have acquiesced in it. In order to decide whether such acquiescence should give the Commission rule the same support as an express statutory or Presidential command, it is appropriate to review the extent to which the policy has been given consideration by Congress or the President, and the nature of the authority specifically delegated to the Commission.</w:t>
      </w:r>
    </w:p>
    <w:p w:rsidR="00A31137" w:rsidRPr="00A31137" w:rsidRDefault="00A31137" w:rsidP="00A31137">
      <w:r w:rsidRPr="00A31137">
        <w:t>1980, Fullilove v. Klutznick, 448 U.S. 554</w:t>
      </w:r>
    </w:p>
    <w:p w:rsidR="00A31137" w:rsidRPr="00A31137" w:rsidRDefault="00A31137" w:rsidP="00A31137">
      <w:r w:rsidRPr="00A31137">
        <w:t>Id. at 105.</w:t>
      </w:r>
    </w:p>
    <w:p w:rsidR="00A31137" w:rsidRPr="00A31137" w:rsidRDefault="00A31137" w:rsidP="00A31137">
      <w:r w:rsidRPr="00A31137">
        <w:t>1980, Fullilove v. Klutznick, 448 U.S. 554</w:t>
      </w:r>
    </w:p>
    <w:p w:rsidR="00A31137" w:rsidRPr="00A31137" w:rsidRDefault="00A31137" w:rsidP="00A31137">
      <w:r w:rsidRPr="00A31137">
        <w:t>24. See Linde, Due Process of Lawmaking, 55 Neb.L.Rev.197, 255 (1976):</w:t>
      </w:r>
    </w:p>
    <w:p w:rsidR="00A31137" w:rsidRPr="00A31137" w:rsidRDefault="00A31137" w:rsidP="00A31137">
      <w:r w:rsidRPr="00A31137">
        <w:t>1980, Fullilove v. Klutznick, 448 U.S. 554</w:t>
      </w:r>
    </w:p>
    <w:p w:rsidR="00A31137" w:rsidRPr="00A31137" w:rsidRDefault="00A31137" w:rsidP="00A31137">
      <w:r w:rsidRPr="00A31137">
        <w:t>For the last few years have reawakened our appreciation of the primacy of process over product in a free society, the knowledge that no ends can be better than the means of their achievement. "The highest morality is almost always the morality of process," Professor Bickel wrote about Watergate a few months before his untimely death. If this republic is remembered in the distant history of law, it is likely to be for its enduring adherence to legitimate institutions and processes, not for its perfection of unique principles of justice and certainly not for the rationality of its laws. This recognition now may well take our attention beyond the processes of adjudication and of executive government to a new concern with the due process of lawmaking.</w:t>
      </w:r>
    </w:p>
    <w:p w:rsidR="00A31137" w:rsidRPr="00A31137" w:rsidRDefault="00A31137" w:rsidP="00A31137">
      <w:r w:rsidRPr="00A31137">
        <w:t>1980, Fullilove v. Klutznick, 448 U.S. 554</w:t>
      </w:r>
    </w:p>
    <w:p w:rsidR="00A31137" w:rsidRPr="00A31137" w:rsidRDefault="00A31137" w:rsidP="00A31137">
      <w:r w:rsidRPr="00A31137">
        <w:t>(Footnote omitted.)</w:t>
      </w:r>
    </w:p>
    <w:p w:rsidR="00A31137" w:rsidRPr="00A31137" w:rsidRDefault="00A31137" w:rsidP="00A31137">
      <w:r w:rsidRPr="00A31137">
        <w:t>1980, Fullilove v. Klutznick, 448 U.S. 554</w:t>
      </w:r>
    </w:p>
    <w:p w:rsidR="00A31137" w:rsidRPr="00A31137" w:rsidRDefault="00A31137" w:rsidP="00A31137">
      <w:r w:rsidRPr="00A31137">
        <w:t>25. The only reference to any minority business enterprises in the Senate Report was a suggestion that Indians had been receiving too great a share of the public contracts. The Report stated:</w:t>
      </w:r>
    </w:p>
    <w:p w:rsidR="00A31137" w:rsidRPr="00A31137" w:rsidRDefault="00A31137" w:rsidP="00A31137">
      <w:r w:rsidRPr="00A31137">
        <w:t>1980, Fullilove v. Klutznick, 448 U.S. 554</w:t>
      </w:r>
    </w:p>
    <w:p w:rsidR="00A31137" w:rsidRPr="00A31137" w:rsidRDefault="00A31137" w:rsidP="00A31137">
      <w:r w:rsidRPr="00A31137">
        <w:t>Some concern was expressed that Indian with exceptionally high structural unemployment levels—were awarded projects at a per capita value far in excess of non-Indian communities.</w:t>
      </w:r>
    </w:p>
    <w:p w:rsidR="00A31137" w:rsidRPr="00A31137" w:rsidRDefault="00A31137" w:rsidP="00A31137">
      <w:r w:rsidRPr="00A31137">
        <w:t>1980, Fullilove v. Klutznick, 448 U.S. 554</w:t>
      </w:r>
    </w:p>
    <w:p w:rsidR="00A31137" w:rsidRPr="00A31137" w:rsidRDefault="00A31137" w:rsidP="00A31137">
      <w:r w:rsidRPr="00A31137">
        <w:t>S.Rep. No. 938, p. 3 (1977).</w:t>
      </w:r>
    </w:p>
    <w:p w:rsidR="00A31137" w:rsidRPr="00A31137" w:rsidRDefault="00A31137" w:rsidP="00A31137">
      <w:r w:rsidRPr="00A31137">
        <w:t>1980, Fullilove v. Klutznick, 448 U.S. 554</w:t>
      </w:r>
    </w:p>
    <w:p w:rsidR="00A31137" w:rsidRPr="00A31137" w:rsidRDefault="00A31137" w:rsidP="00A31137">
      <w:r w:rsidRPr="00A31137">
        <w:t>The Court quotes three paragraphs from a lengthy Report issued by the House Committee on Small Business in 1977, ante at 465-466, implying that the contents of that Report were considered by Congress when it enacted the 10% minority set-aside. But that Report was not mentioned by anyone during the very brief discussion of the set-aside amendment. When one considers the vast quantity of written material turned out by the dozens of congressional committees and subcommittees these days, it is unrealistic to assume that a significant number of legislators read, or even were aware of, that Report. Even if they did, the Report does not contain an explanation of this 10% set-aside for six racial subclasses.</w:t>
      </w:r>
    </w:p>
    <w:p w:rsidR="00A31137" w:rsidRPr="00A31137" w:rsidRDefault="00A31137" w:rsidP="00A31137">
      <w:r w:rsidRPr="00A31137">
        <w:t>1980, Fullilove v. Klutznick, 448 U.S. 554</w:t>
      </w:r>
    </w:p>
    <w:p w:rsidR="00A31137" w:rsidRPr="00A31137" w:rsidRDefault="00A31137" w:rsidP="00A31137">
      <w:r w:rsidRPr="00A31137">
        <w:t>Indeed, the broad racial classification in this Act is totally unexplained. Although the legislative history discussed by THE CHIEF JUSTICE and by MR. JUSTICE POWELL explains why Negro citizens are included within the preferred class, there is absolutely no discussion of why Spanish-speaking, Orientals, Indians, Eskimos, and Aleuts were also included. See n. 6, supra.</w:t>
      </w:r>
    </w:p>
    <w:p w:rsidR="00A31137" w:rsidRPr="00A31137" w:rsidRDefault="00A31137" w:rsidP="00A31137">
      <w:r w:rsidRPr="00A31137">
        <w:t>1980, Fullilove v. Klutznick, 448 U.S. 554</w:t>
      </w:r>
    </w:p>
    <w:p w:rsidR="00A31137" w:rsidRPr="00A31137" w:rsidRDefault="00A31137" w:rsidP="00A31137">
      <w:r w:rsidRPr="00A31137">
        <w:t>26.</w:t>
      </w:r>
    </w:p>
    <w:p w:rsidR="00A31137" w:rsidRPr="00A31137" w:rsidRDefault="00A31137" w:rsidP="00A31137">
      <w:r w:rsidRPr="00A31137">
        <w:t>1980, Fullilove v. Klutznick, 448 U.S. 554</w:t>
      </w:r>
    </w:p>
    <w:p w:rsidR="00A31137" w:rsidRPr="00A31137" w:rsidRDefault="00A31137" w:rsidP="00A31137">
      <w:r w:rsidRPr="00A31137">
        <w:t>It is not a new thought that "to guarantee the democratic legitimacy of political decisions by establishing essential rules for the political process" is the central function of judicial review, as Dean Rostow and Professor Strong, among others, have argued.</w:t>
      </w:r>
    </w:p>
    <w:p w:rsidR="00A31137" w:rsidRPr="00A31137" w:rsidRDefault="00A31137" w:rsidP="00A31137">
      <w:r w:rsidRPr="00A31137">
        <w:t>1980, Fullilove v. Klutznick, 448 U.S. 554</w:t>
      </w:r>
    </w:p>
    <w:p w:rsidR="00A31137" w:rsidRPr="00A31137" w:rsidRDefault="00A31137" w:rsidP="00A31137">
      <w:r w:rsidRPr="00A31137">
        <w:t>Linde, supra, 55 Neb.L.Rev. at 251</w:t>
      </w:r>
    </w:p>
    <w:p w:rsidR="00A31137" w:rsidRPr="00A31137" w:rsidRDefault="00A31137" w:rsidP="00A31137">
      <w:r w:rsidRPr="00A31137">
        <w:t>1980, Fullilove v. Klutznick, 448 U.S. 554</w:t>
      </w:r>
    </w:p>
    <w:p w:rsidR="00A31137" w:rsidRPr="00A31137" w:rsidRDefault="00A31137" w:rsidP="00A31137">
      <w:r w:rsidRPr="00A31137">
        <w:t>27. See Sandalow, Judicial Protection of Minorities, 75 Mich.L.Rev. 1162, 1188 (1977):</w:t>
      </w:r>
    </w:p>
    <w:p w:rsidR="00A31137" w:rsidRPr="00A31137" w:rsidRDefault="00A31137" w:rsidP="00A31137">
      <w:r w:rsidRPr="00A31137">
        <w:t>1980, Fullilove v. Klutznick, 448 U.S. 554</w:t>
      </w:r>
    </w:p>
    <w:p w:rsidR="00A31137" w:rsidRPr="00A31137" w:rsidRDefault="00A31137" w:rsidP="00A31137">
      <w:r w:rsidRPr="00A31137">
        <w:t>[I]f governmental action trenches upon values that may reasonably be regarded as fundamental, that action should be the product of a deliberate and broadly based political judgment. The stronger the argument that governmental action does encroach upon such values, the greater the need to assure that it is the product of a process that is entitled to speak for the society. Legislation that has failed to engage the attention of Congress, like the decisions of subordinate governmental institutions, does not meet that test, for it is likely to be the product of partial political pressures that are not broadly reflective of the society as a whole.</w:t>
      </w:r>
    </w:p>
    <w:p w:rsidR="00A31137" w:rsidRPr="00A31137" w:rsidRDefault="00A31137" w:rsidP="00A31137">
      <w:r w:rsidRPr="00A31137">
        <w:t>1980, Fullilove v. Klutznick, 448 U.S. 554</w:t>
      </w:r>
    </w:p>
    <w:p w:rsidR="00A31137" w:rsidRPr="00A31137" w:rsidRDefault="00A31137" w:rsidP="00A31137">
      <w:r w:rsidRPr="00A31137">
        <w:t>28.</w:t>
      </w:r>
    </w:p>
    <w:p w:rsidR="00A31137" w:rsidRPr="00A31137" w:rsidRDefault="00A31137" w:rsidP="00A31137">
      <w:r w:rsidRPr="00A31137">
        <w:t>1980, Fullilove v. Klutznick, 448 U.S. 554</w:t>
      </w:r>
    </w:p>
    <w:p w:rsidR="00A31137" w:rsidRPr="00A31137" w:rsidRDefault="00A31137" w:rsidP="00A31137">
      <w:r w:rsidRPr="00A31137">
        <w:t>Fear of legislative resentment at judicial interference is not borne out by experience where procedural review exists, any more than it was after the Supreme Court told Congress that it had used faulty procedure in unseating Representative Adam Clayton Powell. It is far more cause for resentment to invalidate the substance of a policy that the politically accountable branches and their constituents support than to invalidate a lawmaking procedure that can be repeated correctly, yet we take substantive judicial review for granted. Strikingly, the reverse view of propriety prevails in a number of nations where courts have never been empowered to set aside policies legitimately enacted into law but do have power to test the process of legitimate enactment.</w:t>
      </w:r>
    </w:p>
    <w:p w:rsidR="00A31137" w:rsidRPr="00A31137" w:rsidRDefault="00A31137" w:rsidP="00A31137">
      <w:r w:rsidRPr="00A31137">
        <w:t>1980, Fullilove v. Klutznick, 448 U.S. 554</w:t>
      </w:r>
    </w:p>
    <w:p w:rsidR="00A31137" w:rsidRPr="00A31137" w:rsidRDefault="00A31137" w:rsidP="00A31137">
      <w:r w:rsidRPr="00A31137">
        <w:t>Linde, supra, 55 Neb.L.Rev. at 243 (footnotes omitted).</w:t>
      </w:r>
    </w:p>
    <w:p w:rsidR="00A31137" w:rsidRPr="00A31137" w:rsidRDefault="00A31137" w:rsidP="00A31137">
      <w:r w:rsidRPr="00A31137">
        <w:t>1980, Fullilove v. Klutznick, 448 U.S. 554</w:t>
      </w:r>
    </w:p>
    <w:p w:rsidR="00A31137" w:rsidRPr="00A31137" w:rsidRDefault="00A31137" w:rsidP="00A31137">
      <w:r w:rsidRPr="00A31137">
        <w:t>29. The conclusion to THE CHIEF JUSTICE's opinion states:</w:t>
      </w:r>
    </w:p>
    <w:p w:rsidR="00A31137" w:rsidRPr="00A31137" w:rsidRDefault="00A31137" w:rsidP="00A31137">
      <w:r w:rsidRPr="00A31137">
        <w:t>1980, Fullilove v. Klutznick, 448 U.S. 554</w:t>
      </w:r>
    </w:p>
    <w:p w:rsidR="00A31137" w:rsidRPr="00A31137" w:rsidRDefault="00A31137" w:rsidP="00A31137">
      <w:r w:rsidRPr="00A31137">
        <w:t>Any preference based on racial or ethnic criteria must necessarily receive a most searching examination to make sure that it does not conflict with constitutional guarantees.</w:t>
      </w:r>
    </w:p>
    <w:p w:rsidR="00A31137" w:rsidRPr="00A31137" w:rsidRDefault="00A31137" w:rsidP="00A31137">
      <w:r w:rsidRPr="00A31137">
        <w:t>1980, Fullilove v. Klutznick, 448 U.S. 554</w:t>
      </w:r>
    </w:p>
    <w:p w:rsidR="00A31137" w:rsidRPr="00A31137" w:rsidRDefault="00A31137" w:rsidP="00A31137">
      <w:r w:rsidRPr="00A31137">
        <w:t>Ante at  491 (emphasis added). I agree with this statement, but it seems to me that due process requires that the "most searching examination" be conducted in the first instance by Congress, rather than by a federal court.</w:t>
      </w:r>
    </w:p>
    <w:p w:rsidR="00A31137" w:rsidRPr="00A31137" w:rsidRDefault="00A31137" w:rsidP="00A31137">
      <w:r w:rsidRPr="00A31137">
        <w:t>1980, Fullilove v. Klutznick, 448 U.S. 554</w:t>
      </w:r>
    </w:p>
    <w:p w:rsidR="00A31137" w:rsidRPr="00A31137" w:rsidRDefault="00A31137" w:rsidP="00A31137">
      <w:r w:rsidRPr="00A31137">
        <w:t>30. For example, why were these six racial classifications, and no others, included in the preferred class? Why are aliens excluded from the preference although they are not otherwise ineligible for public contracts? What percentage of Oriental blood or what degree of Spanish-speaking skill is required for membership in the preferred class? How does the legacy of slavery and the history of discrimination against the descendants of its victims support a preference for Spanish-speaking citizens who may be directly competing with black citizens in some overpopulated communities? Why is a preference given only to owners of business enterprises, and why is that preference unaccompanied by any requirement concerning the employment of disadvantaged persons? Is the preference limited to a subclass of persons who can prove that they are subject to a special disability caused by past discrimination, as the Court's opinion indicates? Or is every member of the racial class entitled to a preference, as the statutory language seems plainly to indicate? Are businesses formed just to take advantage of the preference eligible?</w:t>
      </w:r>
    </w:p>
    <w:p w:rsidR="00A31137" w:rsidRPr="00A31137" w:rsidRDefault="00A31137" w:rsidP="00A31137">
      <w:r w:rsidRPr="00A31137">
        <w:t>1980, Fullilove v. Klutznick, 448 U.S. 554</w:t>
      </w:r>
    </w:p>
    <w:p w:rsidR="00A31137" w:rsidRPr="00A31137" w:rsidRDefault="00A31137" w:rsidP="00A31137">
      <w:r w:rsidRPr="00A31137">
        <w:t>31.</w:t>
      </w:r>
    </w:p>
    <w:p w:rsidR="00A31137" w:rsidRPr="00A31137" w:rsidRDefault="00A31137" w:rsidP="00A31137">
      <w:r w:rsidRPr="00A31137">
        <w:t>1980, Fullilove v. Klutznick, 448 U.S. 554</w:t>
      </w:r>
    </w:p>
    <w:p w:rsidR="00A31137" w:rsidRPr="00A31137" w:rsidRDefault="00A31137" w:rsidP="00A31137">
      <w:r w:rsidRPr="00A31137">
        <w:t>Of course, a general rule may not define the benefited class by reference to a distinction which irrationally differentiates between identically situated persons. Differences in race, religion, or political affiliation could not rationally justify a difference in eligibility for social security benefits, for such differences are totally irrelevant to the question whether one person is economically dependent on another. But a distinction between married persons and unmarried persons is of a different character.</w:t>
      </w:r>
    </w:p>
    <w:p w:rsidR="00A31137" w:rsidRPr="00A31137" w:rsidRDefault="00A31137" w:rsidP="00A31137">
      <w:r w:rsidRPr="00A31137">
        <w:t>1980, Fullilove v. Klutznick, 448 U.S. 554</w:t>
      </w:r>
    </w:p>
    <w:p w:rsidR="00A31137" w:rsidRPr="00A31137" w:rsidRDefault="00A31137" w:rsidP="00A31137">
      <w:r w:rsidRPr="00A31137">
        <w:t>Califano v. Jobst, 434 U.S. 47, 53.</w:t>
      </w:r>
    </w:p>
    <w:p w:rsidR="00A31137" w:rsidRPr="00A31137" w:rsidRDefault="00A31137" w:rsidP="00A31137">
      <w:r w:rsidRPr="00A31137">
        <w:t>1980, Fullilove v. Klutznick, 448 U.S. 554</w:t>
      </w:r>
    </w:p>
    <w:p w:rsidR="00A31137" w:rsidRPr="00A31137" w:rsidRDefault="00A31137" w:rsidP="00A31137">
      <w:r w:rsidRPr="00A31137">
        <w:t>If there is no group characteristic that explains the discrimination, one can only conclude that it is without any justification that has not already been rejected by the Court.</w:t>
      </w:r>
    </w:p>
    <w:p w:rsidR="00A31137" w:rsidRPr="00A31137" w:rsidRDefault="00A31137" w:rsidP="00A31137">
      <w:r w:rsidRPr="00A31137">
        <w:t>1980, Fullilove v. Klutznick, 448 U.S. 554</w:t>
      </w:r>
    </w:p>
    <w:p w:rsidR="00A31137" w:rsidRPr="00A31137" w:rsidRDefault="00A31137" w:rsidP="00A31137">
      <w:r w:rsidRPr="00A31137">
        <w:t>Foley v. Connelie, 435 U.S. 291, 312 (STEVENS, J., dissenting).</w:t>
      </w:r>
    </w:p>
    <w:p w:rsidR="00A31137" w:rsidRPr="00A31137" w:rsidRDefault="00A31137" w:rsidP="00A31137">
      <w:r w:rsidRPr="00A31137">
        <w:t>President Carter's Remarks on the Outcome of the 1980 Presidential Election</w:t>
      </w:r>
    </w:p>
    <w:p w:rsidR="00A31137" w:rsidRPr="00A31137" w:rsidRDefault="00A31137" w:rsidP="00A31137">
      <w:r w:rsidRPr="00A31137">
        <w:t>Title:</w:t>
      </w:r>
      <w:r w:rsidRPr="00A31137">
        <w:tab/>
        <w:t>President Carter's Remarks on the Outcome of the 1980 Presidential Election</w:t>
      </w:r>
    </w:p>
    <w:p w:rsidR="00A31137" w:rsidRPr="00A31137" w:rsidRDefault="00A31137" w:rsidP="00A31137">
      <w:r w:rsidRPr="00A31137">
        <w:t>Author:</w:t>
      </w:r>
      <w:r w:rsidRPr="00A31137">
        <w:tab/>
        <w:t>Jimmy Carter</w:t>
      </w:r>
    </w:p>
    <w:p w:rsidR="00A31137" w:rsidRPr="00A31137" w:rsidRDefault="00A31137" w:rsidP="00A31137">
      <w:r w:rsidRPr="00A31137">
        <w:t>Date:</w:t>
      </w:r>
      <w:r w:rsidRPr="00A31137">
        <w:tab/>
        <w:t>November 4, 1980</w:t>
      </w:r>
    </w:p>
    <w:p w:rsidR="00A31137" w:rsidRPr="00A31137" w:rsidRDefault="00A31137" w:rsidP="00A31137">
      <w:r w:rsidRPr="00A31137">
        <w:t>Source:</w:t>
      </w:r>
      <w:r w:rsidRPr="00A31137">
        <w:tab/>
        <w:t>Public Papers of the Presidents, Jimmy Carter, 1980, pp.2687-2688</w:t>
      </w:r>
    </w:p>
    <w:p w:rsidR="00A31137" w:rsidRPr="00A31137" w:rsidRDefault="00A31137" w:rsidP="00A31137">
      <w:r w:rsidRPr="00A31137">
        <w:t>Public Papers of the Presidents, Carter, 1980, p.2687</w:t>
      </w:r>
    </w:p>
    <w:p w:rsidR="00A31137" w:rsidRPr="00A31137" w:rsidRDefault="00A31137" w:rsidP="00A31137">
      <w:r w:rsidRPr="00A31137">
        <w:t>I promised you 4 years ago that I would never lie to you. So, I can't stand here tonight and say it doesn't hurt.</w:t>
      </w:r>
    </w:p>
    <w:p w:rsidR="00A31137" w:rsidRPr="00A31137" w:rsidRDefault="00A31137" w:rsidP="00A31137">
      <w:r w:rsidRPr="00A31137">
        <w:t>Public Papers of the Presidents, Carter, 1980, p.2687</w:t>
      </w:r>
    </w:p>
    <w:p w:rsidR="00A31137" w:rsidRPr="00A31137" w:rsidRDefault="00A31137" w:rsidP="00A31137">
      <w:r w:rsidRPr="00A31137">
        <w:t>The people of the United States have made their choice, and, of course, I accept that decision but, I have to admit, not with the same enthusiasm that I accepted the decision 4 years ago. I have a deep appreciation of the system, however, that lets people make the free choice about who will lead them for the next 4 years.</w:t>
      </w:r>
    </w:p>
    <w:p w:rsidR="00A31137" w:rsidRPr="00A31137" w:rsidRDefault="00A31137" w:rsidP="00A31137">
      <w:r w:rsidRPr="00A31137">
        <w:t>Public Papers of the Presidents, Carter, 1980, p.2687</w:t>
      </w:r>
    </w:p>
    <w:p w:rsidR="00A31137" w:rsidRPr="00A31137" w:rsidRDefault="00A31137" w:rsidP="00A31137">
      <w:r w:rsidRPr="00A31137">
        <w:t>About an hour ago I called Governor Reagan in California, and I told him that I congratulated him for a fine victory. I look forward to working closely with him during the next few weeks. We'll have a very fine transition period. I told him I wanted the best one in history. And I then sent him this telegram, and I'll read it to you. "It's now apparent that the American people have chosen you as the next President. I congratulate you and pledge to you our fullest support and cooperation in bringing about an orderly transition of government in the weeks ahead. My best wishes are with you and your family as you undertake the responsibilities that lie before you." And I signed it Jimmy Carter.</w:t>
      </w:r>
    </w:p>
    <w:p w:rsidR="00A31137" w:rsidRPr="00A31137" w:rsidRDefault="00A31137" w:rsidP="00A31137">
      <w:r w:rsidRPr="00A31137">
        <w:t>Public Papers of the Presidents, Carter, 1980, p.2687</w:t>
      </w:r>
    </w:p>
    <w:p w:rsidR="00A31137" w:rsidRPr="00A31137" w:rsidRDefault="00A31137" w:rsidP="00A31137">
      <w:r w:rsidRPr="00A31137">
        <w:t>I have been blessed as only a few people ever have, to help shape the destiny of this Nation. In that effort I've had your faithful support. In some ways I've been the most fortunate of Presidents, because I've had the daily aid of a wise man and a good man at my side, in my judgment the best Vice President anybody ever had, Fritz Mondale.</w:t>
      </w:r>
    </w:p>
    <w:p w:rsidR="00A31137" w:rsidRPr="00A31137" w:rsidRDefault="00A31137" w:rsidP="00A31137">
      <w:r w:rsidRPr="00A31137">
        <w:t>Public Papers of the Presidents, Carter, 1980, p.2687</w:t>
      </w:r>
    </w:p>
    <w:p w:rsidR="00A31137" w:rsidRPr="00A31137" w:rsidRDefault="00A31137" w:rsidP="00A31137">
      <w:r w:rsidRPr="00A31137">
        <w:t>I've not achieved all I set out to do; perhaps no one ever does. But we have faced the tough issues. We've stood for and we've fought for and we have achieved some very important goals for our country. These efforts will not end with this administration. The effort must go on. Nor will the progress that we have made be lost when we leave office. The great principles that have guided this Nation since its very founding will continue to guide America through the challenges of the future.</w:t>
      </w:r>
    </w:p>
    <w:p w:rsidR="00A31137" w:rsidRPr="00A31137" w:rsidRDefault="00A31137" w:rsidP="00A31137">
      <w:r w:rsidRPr="00A31137">
        <w:t>Public Papers of the Presidents, Carter, 1980, p.2687</w:t>
      </w:r>
    </w:p>
    <w:p w:rsidR="00A31137" w:rsidRPr="00A31137" w:rsidRDefault="00A31137" w:rsidP="00A31137">
      <w:r w:rsidRPr="00A31137">
        <w:t>This has been a long and hard-fought campaign, as you well know. But we must now come together as a united and a unified people to solve the problems that are still before us, to meet the challenges of a new decade. And I urge all of you to join in with me in a sincere and fruitful effort to support my successor when he undertakes this great responsibility as President of the greatest nation on Earth.</w:t>
      </w:r>
    </w:p>
    <w:p w:rsidR="00A31137" w:rsidRPr="00A31137" w:rsidRDefault="00A31137" w:rsidP="00A31137">
      <w:r w:rsidRPr="00A31137">
        <w:t>Public Papers of the Presidents, Carter, 1980, p.2687</w:t>
      </w:r>
    </w:p>
    <w:p w:rsidR="00A31137" w:rsidRPr="00A31137" w:rsidRDefault="00A31137" w:rsidP="00A31137">
      <w:r w:rsidRPr="00A31137">
        <w:t>Ours is a special country, because our vast economic and military strength give us a special responsibility for seeking solutions to the problems that confront the world. But our influence will always be greater when we live up to those principles of freedom, of justice, of human rights, for all people.</w:t>
      </w:r>
    </w:p>
    <w:p w:rsidR="00A31137" w:rsidRPr="00A31137" w:rsidRDefault="00A31137" w:rsidP="00A31137">
      <w:r w:rsidRPr="00A31137">
        <w:t>Public Papers of the Presidents, Carter, 1980, p.2687–p.2688</w:t>
      </w:r>
    </w:p>
    <w:p w:rsidR="00A31137" w:rsidRPr="00A31137" w:rsidRDefault="00A31137" w:rsidP="00A31137">
      <w:r w:rsidRPr="00A31137">
        <w:t>God has been good to me, and God has been good to this country, and I'm truly [p.2688] thankful. I'm thankful for having been able to serve you in this capacity, thankful for the successes that we have had, thankful that to the end you were with me and every good thing that I tried to do.</w:t>
      </w:r>
    </w:p>
    <w:p w:rsidR="00A31137" w:rsidRPr="00A31137" w:rsidRDefault="00A31137" w:rsidP="00A31137">
      <w:r w:rsidRPr="00A31137">
        <w:t>Public Papers of the Presidents, Carter, 1980, p.2688</w:t>
      </w:r>
    </w:p>
    <w:p w:rsidR="00A31137" w:rsidRPr="00A31137" w:rsidRDefault="00A31137" w:rsidP="00A31137">
      <w:r w:rsidRPr="00A31137">
        <w:t>There's an old Yiddish proverb that I've often thought of in the days and months that I've held this office. It says simply, "God gives burdens; also shoulders." In all the days and months when I have served you and served this country, you've readily given me your shoulders, your faith, and your prayers. No man could ask any more of his friends.</w:t>
      </w:r>
    </w:p>
    <w:p w:rsidR="00A31137" w:rsidRPr="00A31137" w:rsidRDefault="00A31137" w:rsidP="00A31137">
      <w:r w:rsidRPr="00A31137">
        <w:t>Public Papers of the Presidents, Carter, 1980, p.2688</w:t>
      </w:r>
    </w:p>
    <w:p w:rsidR="00A31137" w:rsidRPr="00A31137" w:rsidRDefault="00A31137" w:rsidP="00A31137">
      <w:r w:rsidRPr="00A31137">
        <w:t>I've wanted to serve as President because I love this country and because I love the people of this Nation. Finally, let me say that I am disappointed tonight, but I have not lost either love.</w:t>
      </w:r>
    </w:p>
    <w:p w:rsidR="00A31137" w:rsidRPr="00A31137" w:rsidRDefault="00A31137" w:rsidP="00A31137">
      <w:r w:rsidRPr="00A31137">
        <w:t>Public Papers of the Presidents, Carter, 1980, p.2688</w:t>
      </w:r>
    </w:p>
    <w:p w:rsidR="00A31137" w:rsidRPr="00A31137" w:rsidRDefault="00A31137" w:rsidP="00A31137">
      <w:r w:rsidRPr="00A31137">
        <w:t>Thank you very much.</w:t>
      </w:r>
    </w:p>
    <w:p w:rsidR="00A31137" w:rsidRPr="00A31137" w:rsidRDefault="00A31137" w:rsidP="00A31137">
      <w:r w:rsidRPr="00A31137">
        <w:t>Public Papers of the Presidents, Carter, 1980, p.2688</w:t>
      </w:r>
    </w:p>
    <w:p w:rsidR="00A31137" w:rsidRPr="00A31137" w:rsidRDefault="00A31137" w:rsidP="00A31137">
      <w:r w:rsidRPr="00A31137">
        <w:t>NOTE: The President spoke at 9:54 p.m. at the Sheraton Washington Hotel. His remarks were broadcast live on nationwide television.</w:t>
      </w:r>
    </w:p>
    <w:p w:rsidR="00A31137" w:rsidRPr="00A31137" w:rsidRDefault="00A31137" w:rsidP="00A31137">
      <w:r w:rsidRPr="00A31137">
        <w:t>Ronald Reagan's First Inaugural Address, 1981</w:t>
      </w:r>
    </w:p>
    <w:p w:rsidR="00A31137" w:rsidRPr="00A31137" w:rsidRDefault="00A31137" w:rsidP="00A31137">
      <w:r w:rsidRPr="00A31137">
        <w:t>Title:</w:t>
      </w:r>
      <w:r w:rsidRPr="00A31137">
        <w:tab/>
        <w:t>President Reagan's First Inaugural Address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20, 1981</w:t>
      </w:r>
    </w:p>
    <w:p w:rsidR="00A31137" w:rsidRPr="00A31137" w:rsidRDefault="00A31137" w:rsidP="00A31137">
      <w:r w:rsidRPr="00A31137">
        <w:t>Source:</w:t>
      </w:r>
      <w:r w:rsidRPr="00A31137">
        <w:tab/>
        <w:t>Public Papers of the Presidents, Reagan, 1981, pp.1-4</w:t>
      </w:r>
    </w:p>
    <w:p w:rsidR="00A31137" w:rsidRPr="00A31137" w:rsidRDefault="00A31137" w:rsidP="00A31137">
      <w:r w:rsidRPr="00A31137">
        <w:t>Public Papers of Reagan, 1981, p.1</w:t>
      </w:r>
    </w:p>
    <w:p w:rsidR="00A31137" w:rsidRPr="00A31137" w:rsidRDefault="00A31137" w:rsidP="00A31137">
      <w:r w:rsidRPr="00A31137">
        <w:t>Senator Hatfield, Mr. Chief Justice, Mr. President, Vice President Bush, Vice President Mondale, Senator Baker, Speaker O'Neill, Reverend Moomaw, and my fellow citizens:</w:t>
      </w:r>
    </w:p>
    <w:p w:rsidR="00A31137" w:rsidRPr="00A31137" w:rsidRDefault="00A31137" w:rsidP="00A31137">
      <w:r w:rsidRPr="00A31137">
        <w:t>Public Papers of Reagan, 1981, p.1</w:t>
      </w:r>
    </w:p>
    <w:p w:rsidR="00A31137" w:rsidRPr="00A31137" w:rsidRDefault="00A31137" w:rsidP="00A31137">
      <w:r w:rsidRPr="00A31137">
        <w:t>To a few of us here today this is a solemn and most momentous occasion, and yet in the history of our nation it is a commonplace occurrence. The orderly transfer of authority as called for in the Constitution routinely takes place, as it has for almost two centuries, and few of us stop to think how unique we really are. In the eyes of many in the world, this every 4-year ceremony we accept as normal is nothing less than a miracle.</w:t>
      </w:r>
    </w:p>
    <w:p w:rsidR="00A31137" w:rsidRPr="00A31137" w:rsidRDefault="00A31137" w:rsidP="00A31137">
      <w:r w:rsidRPr="00A31137">
        <w:t>Public Papers of Reagan, 1981, p.1</w:t>
      </w:r>
    </w:p>
    <w:p w:rsidR="00A31137" w:rsidRPr="00A31137" w:rsidRDefault="00A31137" w:rsidP="00A31137">
      <w:r w:rsidRPr="00A31137">
        <w:t>Mr. President, I want our fellow citizens to know how much you did to carry on this tradition. By your gracious cooperation in the transition process, you have shown a watching world that we are a united people pledged to maintaining a political system which guarantees individual liberty to a greater degree than any other, and I thank you and your people for all your help in maintaining the continuity which is the bulwark of our Republic.</w:t>
      </w:r>
    </w:p>
    <w:p w:rsidR="00A31137" w:rsidRPr="00A31137" w:rsidRDefault="00A31137" w:rsidP="00A31137">
      <w:r w:rsidRPr="00A31137">
        <w:t>Public Papers of Reagan, 1981, p.1</w:t>
      </w:r>
    </w:p>
    <w:p w:rsidR="00A31137" w:rsidRPr="00A31137" w:rsidRDefault="00A31137" w:rsidP="00A31137">
      <w:r w:rsidRPr="00A31137">
        <w:t>The business of our nation goes forward. These United States are confronted with an economic affliction of great proportions. We suffer from the longest and one of the worst sustained inflations in our national history. It distorts our economic decisions, penalizes thrift, and crushes the struggling young and the fixed-income elderly alike. It threatens to shatter the lives of millions of our people.</w:t>
      </w:r>
    </w:p>
    <w:p w:rsidR="00A31137" w:rsidRPr="00A31137" w:rsidRDefault="00A31137" w:rsidP="00A31137">
      <w:r w:rsidRPr="00A31137">
        <w:t>Public Papers of Reagan, 1981, p.1</w:t>
      </w:r>
    </w:p>
    <w:p w:rsidR="00A31137" w:rsidRPr="00A31137" w:rsidRDefault="00A31137" w:rsidP="00A31137">
      <w:r w:rsidRPr="00A31137">
        <w:t>Idle industries have cast workers into unemployment, human misery, and personal indignity. Those who do work are denied a fair return for their labor by a tax system which penalizes successful achievement and keeps us from maintaining full productivity.</w:t>
      </w:r>
    </w:p>
    <w:p w:rsidR="00A31137" w:rsidRPr="00A31137" w:rsidRDefault="00A31137" w:rsidP="00A31137">
      <w:r w:rsidRPr="00A31137">
        <w:t>Public Papers of Reagan, 1981, p.1</w:t>
      </w:r>
    </w:p>
    <w:p w:rsidR="00A31137" w:rsidRPr="00A31137" w:rsidRDefault="00A31137" w:rsidP="00A31137">
      <w:r w:rsidRPr="00A31137">
        <w:t>But great as our tax burden is, it has not kept pace with public spending. For decades we have piled deficit upon deficit, mortgaging our future and our children's future for the temporary convenience of. the present. To continue this long trend is to guarantee tremendous social, cultural, political, and economic upheavals.</w:t>
      </w:r>
    </w:p>
    <w:p w:rsidR="00A31137" w:rsidRPr="00A31137" w:rsidRDefault="00A31137" w:rsidP="00A31137">
      <w:r w:rsidRPr="00A31137">
        <w:t>Public Papers of Reagan, 1981, p.1</w:t>
      </w:r>
    </w:p>
    <w:p w:rsidR="00A31137" w:rsidRPr="00A31137" w:rsidRDefault="00A31137" w:rsidP="00A31137">
      <w:r w:rsidRPr="00A31137">
        <w:t>You and I, as individuals, can, by borrowing, live beyond our means, but for only a limited period of time. Why, then, should we think that collectively, as a nation, we're not bound by that same limitation? We must act today in order to preserve tomorrow. And let there be no misunderstanding: We are going to begin to act, beginning today.</w:t>
      </w:r>
    </w:p>
    <w:p w:rsidR="00A31137" w:rsidRPr="00A31137" w:rsidRDefault="00A31137" w:rsidP="00A31137">
      <w:r w:rsidRPr="00A31137">
        <w:t>Public Papers of Reagan, 1981, p.1</w:t>
      </w:r>
    </w:p>
    <w:p w:rsidR="00A31137" w:rsidRPr="00A31137" w:rsidRDefault="00A31137" w:rsidP="00A31137">
      <w:r w:rsidRPr="00A31137">
        <w:t>The economic ills we suffer have come upon us over several decades. They will not go away in days, weeks, or months, but they will go away. They will go away because we as Americans have the capacity now, as we've had in the past, to do whatever needs to be done to preserve this last and greatest bastion of freedom.</w:t>
      </w:r>
    </w:p>
    <w:p w:rsidR="00A31137" w:rsidRPr="00A31137" w:rsidRDefault="00A31137" w:rsidP="00A31137">
      <w:r w:rsidRPr="00A31137">
        <w:t>Public Papers of Reagan, 1981, p.1</w:t>
      </w:r>
    </w:p>
    <w:p w:rsidR="00A31137" w:rsidRPr="00A31137" w:rsidRDefault="00A31137" w:rsidP="00A31137">
      <w:r w:rsidRPr="00A31137">
        <w:t>In this present crisis, government is not the solution to our problem; government is the problem. From time to time we've been tempted to believe that society has become too complex to be managed by self-rule, that government by an elite group is superior to government for, by, and of the people. Well, if no one among us is capable of governing himself, then who among us has the capacity to govern someone else? All of us together, in and out of government, must bear the burden. The solutions we seek must be equitable, with no one group singled out to pay a higher price.</w:t>
      </w:r>
    </w:p>
    <w:p w:rsidR="00A31137" w:rsidRPr="00A31137" w:rsidRDefault="00A31137" w:rsidP="00A31137">
      <w:r w:rsidRPr="00A31137">
        <w:t>Public Papers of Reagan, 1981, p.1–p.2</w:t>
      </w:r>
    </w:p>
    <w:p w:rsidR="00A31137" w:rsidRPr="00A31137" w:rsidRDefault="00A31137" w:rsidP="00A31137">
      <w:r w:rsidRPr="00A31137">
        <w:t>We hear much of special interest groups. Well, our concern must be for a special interest group that has been too long neglected. It knows no sectional boundaries or ethnic and racial divisions, and it crosses political party lines. It is made up of men and women who raise our food, patrol our streets, man our mines and factories, teach our children, keep our homes, and heal us [p.2] when we're sick—professionals, industrialists, shopkeepers, clerks, tabbies, and truck drivers. They are, in short, "We the people," this breed called Americans.</w:t>
      </w:r>
    </w:p>
    <w:p w:rsidR="00A31137" w:rsidRPr="00A31137" w:rsidRDefault="00A31137" w:rsidP="00A31137">
      <w:r w:rsidRPr="00A31137">
        <w:t>Public Papers of Reagan, 1981, p.2</w:t>
      </w:r>
    </w:p>
    <w:p w:rsidR="00A31137" w:rsidRPr="00A31137" w:rsidRDefault="00A31137" w:rsidP="00A31137">
      <w:r w:rsidRPr="00A31137">
        <w:t>Well, this administration's objective will be a healthy, vigorous, growing economy that provides equal opportunities for all Americans, with no barriers born of bigotry or discrimination. Putting America back to work means putting all Americans back to work. Ending inflation means freeing all Americans from the terror of runaway living costs. All must share in the productive work of this "new beginning," and all must share in the bounty of a revived economy. With the idealism and fair play which are the core of our system and our strength, we can have a strong and prosperous America, at peace with itself and the world.</w:t>
      </w:r>
    </w:p>
    <w:p w:rsidR="00A31137" w:rsidRPr="00A31137" w:rsidRDefault="00A31137" w:rsidP="00A31137">
      <w:r w:rsidRPr="00A31137">
        <w:t>Public Papers of Reagan, 1981, p.2</w:t>
      </w:r>
    </w:p>
    <w:p w:rsidR="00A31137" w:rsidRPr="00A31137" w:rsidRDefault="00A31137" w:rsidP="00A31137">
      <w:r w:rsidRPr="00A31137">
        <w:t>So, as we begin, let us take inventory. We are a nation that has a government—not the other way around. And this makes us special among the nations of the Earth. Our government has no power except that granted it by the people. It is time to check and reverse the growth of government, which shows signs of having grown beyond the consent of the governed.</w:t>
      </w:r>
    </w:p>
    <w:p w:rsidR="00A31137" w:rsidRPr="00A31137" w:rsidRDefault="00A31137" w:rsidP="00A31137">
      <w:r w:rsidRPr="00A31137">
        <w:t>Public Papers of Reagan, 1981, p.2</w:t>
      </w:r>
    </w:p>
    <w:p w:rsidR="00A31137" w:rsidRPr="00A31137" w:rsidRDefault="00A31137" w:rsidP="00A31137">
      <w:r w:rsidRPr="00A31137">
        <w:t>It is my intention to curb the size and influence of the Federal establishment and to demand recognition of the distinction between the powers granted to the Federal Government and those reserved to the States or to the people. All of us need to be reminded that the Federal Government did not create the States; the States created the Federal Government.</w:t>
      </w:r>
    </w:p>
    <w:p w:rsidR="00A31137" w:rsidRPr="00A31137" w:rsidRDefault="00A31137" w:rsidP="00A31137">
      <w:r w:rsidRPr="00A31137">
        <w:t>Public Papers of Reagan, 1981, p.2</w:t>
      </w:r>
    </w:p>
    <w:p w:rsidR="00A31137" w:rsidRPr="00A31137" w:rsidRDefault="00A31137" w:rsidP="00A31137">
      <w:r w:rsidRPr="00A31137">
        <w:t>Now, so there will be no misunderstanding, it's not my intention to do away with government. It is rather to make it work-work with us, not over us; to stand by our side, not ride on our back. Government can and must provide opportunity, not smother it; foster productivity, not stifle it.</w:t>
      </w:r>
    </w:p>
    <w:p w:rsidR="00A31137" w:rsidRPr="00A31137" w:rsidRDefault="00A31137" w:rsidP="00A31137">
      <w:r w:rsidRPr="00A31137">
        <w:t>Public Papers of Reagan, 1981, p.2</w:t>
      </w:r>
    </w:p>
    <w:p w:rsidR="00A31137" w:rsidRPr="00A31137" w:rsidRDefault="00A31137" w:rsidP="00A31137">
      <w:r w:rsidRPr="00A31137">
        <w:t>If we look to the answer as to why for so many years we achieved so much, prospered as no other people on Earth, it was because here in this land we unleashed the energy and individual genius of man to a greater extent than has ever been done before. Freedom and the dignity of the individual have been more available and assured here than in any other place on Earth. The price for this freedom at times has been high, but we have never been unwilling to pay that price.</w:t>
      </w:r>
    </w:p>
    <w:p w:rsidR="00A31137" w:rsidRPr="00A31137" w:rsidRDefault="00A31137" w:rsidP="00A31137">
      <w:r w:rsidRPr="00A31137">
        <w:t>Public Papers of Reagan, 1981, p.2</w:t>
      </w:r>
    </w:p>
    <w:p w:rsidR="00A31137" w:rsidRPr="00A31137" w:rsidRDefault="00A31137" w:rsidP="00A31137">
      <w:r w:rsidRPr="00A31137">
        <w:t>It is no coincidence that our present troubles parallel and are proportionate to the intervention and intrusion in our lives that result from unnecessary and excessive growth of government. It is time for us to realize that we're too great a nation to limit ourselves to small dreams. We're not, as some would have us believe, doomed to an inevitable decline. I do not believe in a fate that will fall on us no matter what we do. I do believe in a fate that will fall on us if we do nothing. So, with all the creative energy at our command, let us begin an era of national renewal. Let us renew our determination, our courage, and our strength. And let us renew our faith and our hope.</w:t>
      </w:r>
    </w:p>
    <w:p w:rsidR="00A31137" w:rsidRPr="00A31137" w:rsidRDefault="00A31137" w:rsidP="00A31137">
      <w:r w:rsidRPr="00A31137">
        <w:t>Public Papers of Reagan, 1981, p.2</w:t>
      </w:r>
    </w:p>
    <w:p w:rsidR="00A31137" w:rsidRPr="00A31137" w:rsidRDefault="00A31137" w:rsidP="00A31137">
      <w:r w:rsidRPr="00A31137">
        <w:t>We have every right to dream heroic dreams. Those who say that we're in a time when there are not heroes, they just don't know where to look. You can see heroes every day going in and out of factory gates. Others, a handful in number, produce enough food to feed all of us and then the world beyond. You meet heroes across a counter, and they're on both sides of that counter. There are entrepreneurs with faith in themselves and faith in an idea who create new jobs, new wealth and opportunity. They're individuals and families whose taxes support the government and whose voluntary gifts support church, charity, culture, art, and education. Their patriotism is quiet, but deep. Their values sustain our national life.</w:t>
      </w:r>
    </w:p>
    <w:p w:rsidR="00A31137" w:rsidRPr="00A31137" w:rsidRDefault="00A31137" w:rsidP="00A31137">
      <w:r w:rsidRPr="00A31137">
        <w:t>Public Papers of Reagan, 1981, p.2</w:t>
      </w:r>
    </w:p>
    <w:p w:rsidR="00A31137" w:rsidRPr="00A31137" w:rsidRDefault="00A31137" w:rsidP="00A31137">
      <w:r w:rsidRPr="00A31137">
        <w:t>Now, I have used the words "they" and "their" in speaking of these heroes. I could say "you" and "your," because I'm addressing the heroes of whom I speak—you, the citizens of this blessed land. Your dreams, your hopes, your goals are going to be the dreams, the hopes, and the goals of this administration, so help me God.</w:t>
      </w:r>
    </w:p>
    <w:p w:rsidR="00A31137" w:rsidRPr="00A31137" w:rsidRDefault="00A31137" w:rsidP="00A31137">
      <w:r w:rsidRPr="00A31137">
        <w:t>Public Papers of Reagan, 1981, p.2</w:t>
      </w:r>
    </w:p>
    <w:p w:rsidR="00A31137" w:rsidRPr="00A31137" w:rsidRDefault="00A31137" w:rsidP="00A31137">
      <w:r w:rsidRPr="00A31137">
        <w:t>We shall reflect the compassion that is so much a part of your makeup. How can we love our country and not love our countrymen; and loving them, reach out a hand when they fall, heal them when they're sick, and provide opportunity to make them self-sufficient so they will be equal in fact and not just in theory?</w:t>
      </w:r>
    </w:p>
    <w:p w:rsidR="00A31137" w:rsidRPr="00A31137" w:rsidRDefault="00A31137" w:rsidP="00A31137">
      <w:r w:rsidRPr="00A31137">
        <w:t>Public Papers of Reagan, 1981, p.3</w:t>
      </w:r>
    </w:p>
    <w:p w:rsidR="00A31137" w:rsidRPr="00A31137" w:rsidRDefault="00A31137" w:rsidP="00A31137">
      <w:r w:rsidRPr="00A31137">
        <w:t>Can we solve the problems confronting us? Well, the answer is an unequivocal and emphatic "yes." To paraphrase Winston Churchill, I did not take the oath I've just taken with the intention of presiding over the dissolution of the world's strongest economy.</w:t>
      </w:r>
    </w:p>
    <w:p w:rsidR="00A31137" w:rsidRPr="00A31137" w:rsidRDefault="00A31137" w:rsidP="00A31137">
      <w:r w:rsidRPr="00A31137">
        <w:t>Public Papers of Reagan, 1981, p.3</w:t>
      </w:r>
    </w:p>
    <w:p w:rsidR="00A31137" w:rsidRPr="00A31137" w:rsidRDefault="00A31137" w:rsidP="00A31137">
      <w:r w:rsidRPr="00A31137">
        <w:t>In the days ahead I will propose removing the roadblocks that have slowed our economy and reduced productivity. Steps will be taken aimed at restoring the balance between the various levels of government. Progress may be slow, measured in inches and feet, not miles, but we will progress. It is time to reawaken this industrial giant, to get government back within its means, and to lighten our punitive tax burden. And these will be our first priorities, and on these principles there will be no compromise.</w:t>
      </w:r>
    </w:p>
    <w:p w:rsidR="00A31137" w:rsidRPr="00A31137" w:rsidRDefault="00A31137" w:rsidP="00A31137">
      <w:r w:rsidRPr="00A31137">
        <w:t>Public Papers of Reagan, 1981, p.3</w:t>
      </w:r>
    </w:p>
    <w:p w:rsidR="00A31137" w:rsidRPr="00A31137" w:rsidRDefault="00A31137" w:rsidP="00A31137">
      <w:r w:rsidRPr="00A31137">
        <w:t>On the eve of our struggle for independence a man who might have been one of the greatest among the Founding Fathers, Dr. Joseph Warren, president of the Massachusetts Congress, said to his fellow Americans, "Our country is in danger, but not to be despaired of…. On you depend the fortunes of America. You are to decide the important questions upon which rests the happiness and the liberty of millions yet unborn. Act worthy of yourselves."</w:t>
      </w:r>
    </w:p>
    <w:p w:rsidR="00A31137" w:rsidRPr="00A31137" w:rsidRDefault="00A31137" w:rsidP="00A31137">
      <w:r w:rsidRPr="00A31137">
        <w:t>Public Papers of Reagan, 1981, p.3</w:t>
      </w:r>
    </w:p>
    <w:p w:rsidR="00A31137" w:rsidRPr="00A31137" w:rsidRDefault="00A31137" w:rsidP="00A31137">
      <w:r w:rsidRPr="00A31137">
        <w:t>Well, I believe we, the Americans of today, are ready to act worthy of ourselves, ready to do what must be done to ensure happiness and liberty for ourselves, our children, and our children's children. And as we renew ourselves here in our own land, we will be seen as having greater strength throughout the world. We will again be the exemplar of freedom and a beacon of hope for those who do not now have freedom.</w:t>
      </w:r>
    </w:p>
    <w:p w:rsidR="00A31137" w:rsidRPr="00A31137" w:rsidRDefault="00A31137" w:rsidP="00A31137">
      <w:r w:rsidRPr="00A31137">
        <w:t>Public Papers of Reagan, 1981, p.3</w:t>
      </w:r>
    </w:p>
    <w:p w:rsidR="00A31137" w:rsidRPr="00A31137" w:rsidRDefault="00A31137" w:rsidP="00A31137">
      <w:r w:rsidRPr="00A31137">
        <w:t>To those neighbors and allies who share our freedom, we will strengthen our historic ties and assure them of our support and firm commitment. We will match loyalty with loyalty. We will strive for mutually beneficial relations. We will not use our friendship to impose on their sovereignty, for our own sovereignty is not for sale.</w:t>
      </w:r>
    </w:p>
    <w:p w:rsidR="00A31137" w:rsidRPr="00A31137" w:rsidRDefault="00A31137" w:rsidP="00A31137">
      <w:r w:rsidRPr="00A31137">
        <w:t>Public Papers of Reagan, 1981, p.3</w:t>
      </w:r>
    </w:p>
    <w:p w:rsidR="00A31137" w:rsidRPr="00A31137" w:rsidRDefault="00A31137" w:rsidP="00A31137">
      <w:r w:rsidRPr="00A31137">
        <w:t>As for the enemies of freedom, those who are potential adversaries, they will be reminded that peace is the highest aspiration of the American people. We will negotiate for it, sacrifice for it; we will not surrender for it, now or ever.</w:t>
      </w:r>
    </w:p>
    <w:p w:rsidR="00A31137" w:rsidRPr="00A31137" w:rsidRDefault="00A31137" w:rsidP="00A31137">
      <w:r w:rsidRPr="00A31137">
        <w:t>Public Papers of Reagan, 1981, p.3</w:t>
      </w:r>
    </w:p>
    <w:p w:rsidR="00A31137" w:rsidRPr="00A31137" w:rsidRDefault="00A31137" w:rsidP="00A31137">
      <w:r w:rsidRPr="00A31137">
        <w:t>Our forbearance should never be misunderstood. Our reluctance for conflict should not be misjudged as a failure of will. When action is required to preserve our national security, we will act. We will maintain sufficient strength to prevail if need be, knowing that if we do so we have the best chance of never having to use that strength.</w:t>
      </w:r>
    </w:p>
    <w:p w:rsidR="00A31137" w:rsidRPr="00A31137" w:rsidRDefault="00A31137" w:rsidP="00A31137">
      <w:r w:rsidRPr="00A31137">
        <w:t>Public Papers of Reagan, 1981, p.3</w:t>
      </w:r>
    </w:p>
    <w:p w:rsidR="00A31137" w:rsidRPr="00A31137" w:rsidRDefault="00A31137" w:rsidP="00A31137">
      <w:r w:rsidRPr="00A31137">
        <w:t>Above all, we must realize that no arsenal or no weapon in the arsenals of the world is so formidable as the will and moral courage of free men and women. It is a weapon our adversaries in today's world do not have. It is a weapon that we as Americans do have. Let that be understood by those who practice terrorism and prey upon their neighbors.</w:t>
      </w:r>
    </w:p>
    <w:p w:rsidR="00A31137" w:rsidRPr="00A31137" w:rsidRDefault="00A31137" w:rsidP="00A31137">
      <w:r w:rsidRPr="00A31137">
        <w:t>Public Papers of Reagan, 1981, p.3</w:t>
      </w:r>
    </w:p>
    <w:p w:rsidR="00A31137" w:rsidRPr="00A31137" w:rsidRDefault="00A31137" w:rsidP="00A31137">
      <w:r w:rsidRPr="00A31137">
        <w:t>I'm told that tens of thousands of prayer meetings are being held on this day, and for that I'm deeply grateful. We are a nation under God, and I believe God intended for us to be free. It would be fitting and good, I think, if on each Inaugural Day in future years it should be declared a day of prayer.</w:t>
      </w:r>
    </w:p>
    <w:p w:rsidR="00A31137" w:rsidRPr="00A31137" w:rsidRDefault="00A31137" w:rsidP="00A31137">
      <w:r w:rsidRPr="00A31137">
        <w:t>Public Papers of Reagan, 1981, p.3</w:t>
      </w:r>
    </w:p>
    <w:p w:rsidR="00A31137" w:rsidRPr="00A31137" w:rsidRDefault="00A31137" w:rsidP="00A31137">
      <w:r w:rsidRPr="00A31137">
        <w:t>This is the first time in our history that this ceremony has been held, as you've been told, on this West Front of the Capitol. Standing here, one faces a magnificent vista, opening up on this city's special beauty and history. At the end of this open mall are those shrines to the giants on whose shoulders we stand.</w:t>
      </w:r>
    </w:p>
    <w:p w:rsidR="00A31137" w:rsidRPr="00A31137" w:rsidRDefault="00A31137" w:rsidP="00A31137">
      <w:r w:rsidRPr="00A31137">
        <w:t>Public Papers of Reagan, 1981, p.3</w:t>
      </w:r>
    </w:p>
    <w:p w:rsidR="00A31137" w:rsidRPr="00A31137" w:rsidRDefault="00A31137" w:rsidP="00A31137">
      <w:r w:rsidRPr="00A31137">
        <w:t>Directly in front of me, the monument to a monumental man, George Washington, father of our country. A man of humility who came to greatness reluctantly. He led America out of revolutionary victory into infant nationhood. Off to one side, the stately memorial to Thomas Jefferson. The Declaration of Independence flames with his eloquence. And then, beyond the Reflecting Pool, the dignified columns of the Lincoln Memorial. Whoever would understand in his heart the meaning of America will find it in the life of Abraham Lincoln.</w:t>
      </w:r>
    </w:p>
    <w:p w:rsidR="00A31137" w:rsidRPr="00A31137" w:rsidRDefault="00A31137" w:rsidP="00A31137">
      <w:r w:rsidRPr="00A31137">
        <w:t>Public Papers of Reagan, 1981, p.3–p.4</w:t>
      </w:r>
    </w:p>
    <w:p w:rsidR="00A31137" w:rsidRPr="00A31137" w:rsidRDefault="00A31137" w:rsidP="00A31137">
      <w:r w:rsidRPr="00A31137">
        <w:t>Beyond those monuments to heroism is the Potomac River, and on the far shore the sloping hills of Arlington National Cemetery, with its row upon row of simple white markers bearing crosses or Stars of David. [p.4] They add up to only a tiny fraction of the price that has been paid for our freedom.</w:t>
      </w:r>
    </w:p>
    <w:p w:rsidR="00A31137" w:rsidRPr="00A31137" w:rsidRDefault="00A31137" w:rsidP="00A31137">
      <w:r w:rsidRPr="00A31137">
        <w:t>Public Papers of Reagan, 1981, p.4</w:t>
      </w:r>
    </w:p>
    <w:p w:rsidR="00A31137" w:rsidRPr="00A31137" w:rsidRDefault="00A31137" w:rsidP="00A31137">
      <w:r w:rsidRPr="00A31137">
        <w:t>Each one of those markers is a monument to the kind of hero I spoke of earlier. Their lives ended in places called Belleau Wood, The Argonne, Omaha Beach, Salerno, and halfway around the world on Guadalcanal, Tarawa, Pork Chop Hill, the Chosin Reservoir, and in a hundred rice paddies and jungles of a place called Vietnam.</w:t>
      </w:r>
    </w:p>
    <w:p w:rsidR="00A31137" w:rsidRPr="00A31137" w:rsidRDefault="00A31137" w:rsidP="00A31137">
      <w:r w:rsidRPr="00A31137">
        <w:t>Public Papers of Reagan, 1981, p.4</w:t>
      </w:r>
    </w:p>
    <w:p w:rsidR="00A31137" w:rsidRPr="00A31137" w:rsidRDefault="00A31137" w:rsidP="00A31137">
      <w:r w:rsidRPr="00A31137">
        <w:t>Under one such marker lies a young man, Martin Treptow, who left his job in a small town barbershop in 1917 to go to France with the famed Rainbow Division. There, on the western front, he was killed trying to carry a message between battalions under heavy artillery fire.</w:t>
      </w:r>
    </w:p>
    <w:p w:rsidR="00A31137" w:rsidRPr="00A31137" w:rsidRDefault="00A31137" w:rsidP="00A31137">
      <w:r w:rsidRPr="00A31137">
        <w:t>Public Papers of Reagan, 1981, p.4</w:t>
      </w:r>
    </w:p>
    <w:p w:rsidR="00A31137" w:rsidRPr="00A31137" w:rsidRDefault="00A31137" w:rsidP="00A31137">
      <w:r w:rsidRPr="00A31137">
        <w:t>We're told that on his body was found a diary. On the flyleaf under the heading, "My Pledge," he had written these words: "America must win this war. Therefore I will work, I will save, I will sacrifice, I will endure, I will fight cheerfully and do my utmost, as if the issue of the whole struggle depended on me alone."</w:t>
      </w:r>
    </w:p>
    <w:p w:rsidR="00A31137" w:rsidRPr="00A31137" w:rsidRDefault="00A31137" w:rsidP="00A31137">
      <w:r w:rsidRPr="00A31137">
        <w:t>Public Papers of Reagan, 1981, p.4</w:t>
      </w:r>
    </w:p>
    <w:p w:rsidR="00A31137" w:rsidRPr="00A31137" w:rsidRDefault="00A31137" w:rsidP="00A31137">
      <w:r w:rsidRPr="00A31137">
        <w:t>The crisis we are facing today does not require of us the kind of sacrifice that Martin Treptow and so many thousands of others were called upon to make. It does require, however, our best effort and our willingness to believe in ourselves and to believe in our capacity to perform great deeds, to believe that together with God's help we can and will resolve the problems which now confront us.</w:t>
      </w:r>
    </w:p>
    <w:p w:rsidR="00A31137" w:rsidRPr="00A31137" w:rsidRDefault="00A31137" w:rsidP="00A31137">
      <w:r w:rsidRPr="00A31137">
        <w:t>Public Papers of Reagan, 1981, p.4</w:t>
      </w:r>
    </w:p>
    <w:p w:rsidR="00A31137" w:rsidRPr="00A31137" w:rsidRDefault="00A31137" w:rsidP="00A31137">
      <w:r w:rsidRPr="00A31137">
        <w:t>And after all, why shouldn't we believe that? We are Americans.</w:t>
      </w:r>
    </w:p>
    <w:p w:rsidR="00A31137" w:rsidRPr="00A31137" w:rsidRDefault="00A31137" w:rsidP="00A31137">
      <w:r w:rsidRPr="00A31137">
        <w:t>Public Papers of Reagan, 1981, p.4</w:t>
      </w:r>
    </w:p>
    <w:p w:rsidR="00A31137" w:rsidRPr="00A31137" w:rsidRDefault="00A31137" w:rsidP="00A31137">
      <w:r w:rsidRPr="00A31137">
        <w:t>God bless you, and thank you.</w:t>
      </w:r>
    </w:p>
    <w:p w:rsidR="00A31137" w:rsidRPr="00A31137" w:rsidRDefault="00A31137" w:rsidP="00A31137">
      <w:r w:rsidRPr="00A31137">
        <w:t>Public Papers of Reagan, 1981, p.4</w:t>
      </w:r>
    </w:p>
    <w:p w:rsidR="00A31137" w:rsidRPr="00A31137" w:rsidRDefault="00A31137" w:rsidP="00A31137">
      <w:r w:rsidRPr="00A31137">
        <w:t>NOTE: The President spoke at 12 noon from a platform erected at the West Front of the Capitol. Immediately before the address, the oath of office was administered by Chief Justice Warren E. Burger.</w:t>
      </w:r>
    </w:p>
    <w:p w:rsidR="00A31137" w:rsidRPr="00A31137" w:rsidRDefault="00A31137" w:rsidP="00A31137">
      <w:r w:rsidRPr="00A31137">
        <w:t>Public Papers of Reagan, 1981, p.4</w:t>
      </w:r>
    </w:p>
    <w:p w:rsidR="00A31137" w:rsidRPr="00A31137" w:rsidRDefault="00A31137" w:rsidP="00A31137">
      <w:r w:rsidRPr="00A31137">
        <w:t>In his opening remarks, the President referred to Rev. Donn D. Moomaw, senior pastor, Bel Air Presbyterian Church, Los Angeles, California.</w:t>
      </w:r>
    </w:p>
    <w:p w:rsidR="00A31137" w:rsidRPr="00A31137" w:rsidRDefault="00A31137" w:rsidP="00A31137">
      <w:r w:rsidRPr="00A31137">
        <w:t>Public Papers of Reagan, 1981, p.4</w:t>
      </w:r>
    </w:p>
    <w:p w:rsidR="00A31137" w:rsidRPr="00A31137" w:rsidRDefault="00A31137" w:rsidP="00A31137">
      <w:r w:rsidRPr="00A31137">
        <w:t>The address was broadcast live on radio and television.</w:t>
      </w:r>
    </w:p>
    <w:p w:rsidR="00A31137" w:rsidRPr="00A31137" w:rsidRDefault="00A31137" w:rsidP="00A31137">
      <w:r w:rsidRPr="00A31137">
        <w:t>Reagan's Announcement of the Release of American Hostages from Iran, 1981</w:t>
      </w:r>
    </w:p>
    <w:p w:rsidR="00A31137" w:rsidRPr="00A31137" w:rsidRDefault="00A31137" w:rsidP="00A31137">
      <w:r w:rsidRPr="00A31137">
        <w:t>Title:</w:t>
      </w:r>
      <w:r w:rsidRPr="00A31137">
        <w:tab/>
        <w:t>Announcement of the Release of American Hostages from Iran</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20, 1981</w:t>
      </w:r>
    </w:p>
    <w:p w:rsidR="00A31137" w:rsidRPr="00A31137" w:rsidRDefault="00A31137" w:rsidP="00A31137">
      <w:r w:rsidRPr="00A31137">
        <w:t>Source:</w:t>
      </w:r>
      <w:r w:rsidRPr="00A31137">
        <w:tab/>
        <w:t>Public Papers of the Presidents, Reagan, 1981, pp.16-17</w:t>
      </w:r>
    </w:p>
    <w:p w:rsidR="00A31137" w:rsidRPr="00A31137" w:rsidRDefault="00A31137" w:rsidP="00A31137">
      <w:r w:rsidRPr="00A31137">
        <w:t>[The following remarks were made during a toast at President Reagan's inaugural luncheon.]</w:t>
      </w:r>
    </w:p>
    <w:p w:rsidR="00A31137" w:rsidRPr="00A31137" w:rsidRDefault="00A31137" w:rsidP="00A31137">
      <w:r w:rsidRPr="00A31137">
        <w:t>Public Papers of Reagan, 1981, p.16</w:t>
      </w:r>
    </w:p>
    <w:p w:rsidR="00A31137" w:rsidRPr="00A31137" w:rsidRDefault="00A31137" w:rsidP="00A31137">
      <w:r w:rsidRPr="00A31137">
        <w:t>Senator Mark Hatfield, Speaker O'Neill, the others here who are hosting this very beautiful luncheon:</w:t>
      </w:r>
    </w:p>
    <w:p w:rsidR="00A31137" w:rsidRPr="00A31137" w:rsidRDefault="00A31137" w:rsidP="00A31137">
      <w:r w:rsidRPr="00A31137">
        <w:t>Public Papers of Reagan, 1981, p.16</w:t>
      </w:r>
    </w:p>
    <w:p w:rsidR="00A31137" w:rsidRPr="00A31137" w:rsidRDefault="00A31137" w:rsidP="00A31137">
      <w:r w:rsidRPr="00A31137">
        <w:t>I'm going to take the liberty of speaking for my partner, George, for Barbara and Nancy, in responding to this toast.</w:t>
      </w:r>
    </w:p>
    <w:p w:rsidR="00A31137" w:rsidRPr="00A31137" w:rsidRDefault="00A31137" w:rsidP="00A31137">
      <w:r w:rsidRPr="00A31137">
        <w:t>Public Papers of Reagan, 1981, p.16</w:t>
      </w:r>
    </w:p>
    <w:p w:rsidR="00A31137" w:rsidRPr="00A31137" w:rsidRDefault="00A31137" w:rsidP="00A31137">
      <w:r w:rsidRPr="00A31137">
        <w:t>Twice this morning, in the ceremony, was mentioned the fact of the unusualness in this world of what has taken place here today, the orderly transfer, the continuity of government that has gone on, and that, I think, is the envy of the world.</w:t>
      </w:r>
    </w:p>
    <w:p w:rsidR="00A31137" w:rsidRPr="00A31137" w:rsidRDefault="00A31137" w:rsidP="00A31137">
      <w:r w:rsidRPr="00A31137">
        <w:t>Public Papers of Reagan, 1981, p.16</w:t>
      </w:r>
    </w:p>
    <w:p w:rsidR="00A31137" w:rsidRPr="00A31137" w:rsidRDefault="00A31137" w:rsidP="00A31137">
      <w:r w:rsidRPr="00A31137">
        <w:t>Now, there's even more of unity represented here today. The crystalware Speaker Tip O'Neill graciously provided from the House side. The plates have come from the Senate. The wine is from California, but I didn't have a thing to do with that. [Laughter] It just turned out that way.</w:t>
      </w:r>
    </w:p>
    <w:p w:rsidR="00A31137" w:rsidRPr="00A31137" w:rsidRDefault="00A31137" w:rsidP="00A31137">
      <w:r w:rsidRPr="00A31137">
        <w:t>Public Papers of Reagan, 1981, p.16</w:t>
      </w:r>
    </w:p>
    <w:p w:rsidR="00A31137" w:rsidRPr="00A31137" w:rsidRDefault="00A31137" w:rsidP="00A31137">
      <w:r w:rsidRPr="00A31137">
        <w:t>But I would like to drink to the idea that this great system that sometimes puts us in adversary relationships—and perhaps sometimes unnecessarily so—but was based on checks and balances to ensure that we do what is right for the people, that that kind of cooperation will continue. I'm delighted to be a guest here in the House of the Congress, and I look forward to coming back. I look forward to you being guests with us. I look forward to working with you on behalf of the people and that this partnership will continue.</w:t>
      </w:r>
    </w:p>
    <w:p w:rsidR="00A31137" w:rsidRPr="00A31137" w:rsidRDefault="00A31137" w:rsidP="00A31137">
      <w:r w:rsidRPr="00A31137">
        <w:t>Public Papers of Reagan, 1981, p.16</w:t>
      </w:r>
    </w:p>
    <w:p w:rsidR="00A31137" w:rsidRPr="00A31137" w:rsidRDefault="00A31137" w:rsidP="00A31137">
      <w:r w:rsidRPr="00A31137">
        <w:t>And now, to conclude the toast, with thanks to Almighty God, I have been given a tag-line, the get-off line that everyone wants for the end of a toast or a speech or anything else. Some 30 minutes ago, the planes bearing our prisoners left Iranian airspace and are now free of Iran.</w:t>
      </w:r>
    </w:p>
    <w:p w:rsidR="00A31137" w:rsidRPr="00A31137" w:rsidRDefault="00A31137" w:rsidP="00A31137">
      <w:r w:rsidRPr="00A31137">
        <w:t>Public Papers of Reagan, 1981, p.17</w:t>
      </w:r>
    </w:p>
    <w:p w:rsidR="00A31137" w:rsidRPr="00A31137" w:rsidRDefault="00A31137" w:rsidP="00A31137">
      <w:r w:rsidRPr="00A31137">
        <w:t>So, we can all drink to this one: To all of us, together, doing what we all know we can do to make this country what it should be, what it can be, what it always has been.</w:t>
      </w:r>
    </w:p>
    <w:p w:rsidR="00A31137" w:rsidRPr="00A31137" w:rsidRDefault="00A31137" w:rsidP="00A31137">
      <w:r w:rsidRPr="00A31137">
        <w:t>Public Papers of Reagan, 1981, p.17</w:t>
      </w:r>
    </w:p>
    <w:p w:rsidR="00A31137" w:rsidRPr="00A31137" w:rsidRDefault="00A31137" w:rsidP="00A31137">
      <w:r w:rsidRPr="00A31137">
        <w:t>Thank you all.</w:t>
      </w:r>
    </w:p>
    <w:p w:rsidR="00A31137" w:rsidRPr="00A31137" w:rsidRDefault="00A31137" w:rsidP="00A31137">
      <w:r w:rsidRPr="00A31137">
        <w:t>Public Papers of Reagan, 1981, p.17</w:t>
      </w:r>
    </w:p>
    <w:p w:rsidR="00A31137" w:rsidRPr="00A31137" w:rsidRDefault="00A31137" w:rsidP="00A31137">
      <w:r w:rsidRPr="00A31137">
        <w:t>Note: The President spoke at 2:15 p.m. in Statuary Hall at the Capitol.</w:t>
      </w:r>
    </w:p>
    <w:p w:rsidR="00A31137" w:rsidRPr="00A31137" w:rsidRDefault="00A31137" w:rsidP="00A31137">
      <w:r w:rsidRPr="00A31137">
        <w:t>Reagan's Remarks Announcing the Intention to Nominate Sandra Day O'Connor to Be an Associate Justice of the U.S. Supreme Court, 1981</w:t>
      </w:r>
    </w:p>
    <w:p w:rsidR="00A31137" w:rsidRPr="00A31137" w:rsidRDefault="00A31137" w:rsidP="00A31137">
      <w:r w:rsidRPr="00A31137">
        <w:t>Title:</w:t>
      </w:r>
      <w:r w:rsidRPr="00A31137">
        <w:tab/>
        <w:t>Reagan's Remarks Announcing the Intention to Nominate Sandra Day O'Connor to Be an Associate Justice of the U.S. Supreme Court</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July 7, 1981</w:t>
      </w:r>
    </w:p>
    <w:p w:rsidR="00A31137" w:rsidRPr="00A31137" w:rsidRDefault="00A31137" w:rsidP="00A31137">
      <w:r w:rsidRPr="00A31137">
        <w:t>Source:</w:t>
      </w:r>
      <w:r w:rsidRPr="00A31137">
        <w:tab/>
        <w:t>Public Papers of the Presidents, Reagan, 1981, pp.596-597</w:t>
      </w:r>
    </w:p>
    <w:p w:rsidR="00A31137" w:rsidRPr="00A31137" w:rsidRDefault="00A31137" w:rsidP="00A31137">
      <w:r w:rsidRPr="00A31137">
        <w:t>Public Papers of Reagan, 1981, p.596</w:t>
      </w:r>
    </w:p>
    <w:p w:rsidR="00A31137" w:rsidRPr="00A31137" w:rsidRDefault="00A31137" w:rsidP="00A31137">
      <w:r w:rsidRPr="00A31137">
        <w:t>The President. Ladies and gentlemen, I have a statement to make. And then following that statement, if there are any questions you might have, I shall refer you to the Attorney General.</w:t>
      </w:r>
    </w:p>
    <w:p w:rsidR="00A31137" w:rsidRPr="00A31137" w:rsidRDefault="00A31137" w:rsidP="00A31137">
      <w:r w:rsidRPr="00A31137">
        <w:t>Public Papers of Reagan, 1981, p.596</w:t>
      </w:r>
    </w:p>
    <w:p w:rsidR="00A31137" w:rsidRPr="00A31137" w:rsidRDefault="00A31137" w:rsidP="00A31137">
      <w:r w:rsidRPr="00A31137">
        <w:t>As President of the United States, I have the honor and the privilege to pick thousands of appointees for positions in Federal Government. Each is important and deserves a great deal of care for each individual called upon to make his or her contribution, often at personal sacrifice, to shaping the policy of the Nation. Thus each has an obligation to you, in varying degrees, has an impact on your life.</w:t>
      </w:r>
    </w:p>
    <w:p w:rsidR="00A31137" w:rsidRPr="00A31137" w:rsidRDefault="00A31137" w:rsidP="00A31137">
      <w:r w:rsidRPr="00A31137">
        <w:t>Public Papers of Reagan, 1981, p.596</w:t>
      </w:r>
    </w:p>
    <w:p w:rsidR="00A31137" w:rsidRPr="00A31137" w:rsidRDefault="00A31137" w:rsidP="00A31137">
      <w:r w:rsidRPr="00A31137">
        <w:t>In addition, as President, I have the privilege to make a certain number of nominations which have a more lasting influence on our lives, for they are the lifetime appointments of those men and women called upon to serve in the judiciary in our Federal district courts and courts of appeals. These individuals dispense justice and provide for us these most cherished guarantees of protections of our criminal and civil laws. But, without doubt, the most awesome appointment is a guarantee to us of so many things, because it is a President—as a President, I can make an appointment to the United States Supreme Court.</w:t>
      </w:r>
    </w:p>
    <w:p w:rsidR="00A31137" w:rsidRPr="00A31137" w:rsidRDefault="00A31137" w:rsidP="00A31137">
      <w:r w:rsidRPr="00A31137">
        <w:t>Public Papers of Reagan, 1981, p.596</w:t>
      </w:r>
    </w:p>
    <w:p w:rsidR="00A31137" w:rsidRPr="00A31137" w:rsidRDefault="00A31137" w:rsidP="00A31137">
      <w:r w:rsidRPr="00A31137">
        <w:t>Those who sit in the Supreme Court interpret the laws of our land and truly do leave their footprints on the sands of time. Long after the policies of Presidents and Senators and Congressmen of any given era may have passed from public memory, they'll be remembered.</w:t>
      </w:r>
    </w:p>
    <w:p w:rsidR="00A31137" w:rsidRPr="00A31137" w:rsidRDefault="00A31137" w:rsidP="00A31137">
      <w:r w:rsidRPr="00A31137">
        <w:t>Public Papers of Reagan, 1981, p.596</w:t>
      </w:r>
    </w:p>
    <w:p w:rsidR="00A31137" w:rsidRPr="00A31137" w:rsidRDefault="00A31137" w:rsidP="00A31137">
      <w:r w:rsidRPr="00A31137">
        <w:t>After very careful review and consideration, I have made the decision as to my nominee to fill the vacancy on the United States Supreme Court created by the resignation of Justice Stewart. Since I am aware of the great amount of speculation about this appointment, I want to share this very important decision with you as soon as possible.</w:t>
      </w:r>
    </w:p>
    <w:p w:rsidR="00A31137" w:rsidRPr="00A31137" w:rsidRDefault="00A31137" w:rsidP="00A31137">
      <w:r w:rsidRPr="00A31137">
        <w:t>Public Papers of Reagan, 1981, p.596</w:t>
      </w:r>
    </w:p>
    <w:p w:rsidR="00A31137" w:rsidRPr="00A31137" w:rsidRDefault="00A31137" w:rsidP="00A31137">
      <w:r w:rsidRPr="00A31137">
        <w:t>Needless to say, most of the speculation has centered on the question of whether I would consider a woman to fill this first vacancy. As the press has accurately pointed out, during my campaign for the Presidency I made a commitment that one of my first appointments to the Supreme Court vacancy would be the most qualified woman that I could possibly find.</w:t>
      </w:r>
    </w:p>
    <w:p w:rsidR="00A31137" w:rsidRPr="00A31137" w:rsidRDefault="00A31137" w:rsidP="00A31137">
      <w:r w:rsidRPr="00A31137">
        <w:t>Public Papers of Reagan, 1981, p.596</w:t>
      </w:r>
    </w:p>
    <w:p w:rsidR="00A31137" w:rsidRPr="00A31137" w:rsidRDefault="00A31137" w:rsidP="00A31137">
      <w:r w:rsidRPr="00A31137">
        <w:t>Now, this is not to say that I would appoint a woman merely to do so. That would not be fair to women nor to future generations of all Americans whose lives are so deeply affected by decisions of the Court. Rather, I pledged to appoint a woman who meets the very high standards that I demand of all court appointees. I have identified such a person.</w:t>
      </w:r>
    </w:p>
    <w:p w:rsidR="00A31137" w:rsidRPr="00A31137" w:rsidRDefault="00A31137" w:rsidP="00A31137">
      <w:r w:rsidRPr="00A31137">
        <w:t>Public Papers of Reagan, 1981, p.596</w:t>
      </w:r>
    </w:p>
    <w:p w:rsidR="00A31137" w:rsidRPr="00A31137" w:rsidRDefault="00A31137" w:rsidP="00A31137">
      <w:r w:rsidRPr="00A31137">
        <w:t>So today, I'm pleased to announce that upon completion of all the necessary checks by the Federal Bureau of Investigation, I will send to the Senate the nomination of Judge Sandra Day O'Connor of Arizona Court of Appeals for confirmation as an Associate Justice of the United States Supreme Court.</w:t>
      </w:r>
    </w:p>
    <w:p w:rsidR="00A31137" w:rsidRPr="00A31137" w:rsidRDefault="00A31137" w:rsidP="00A31137">
      <w:r w:rsidRPr="00A31137">
        <w:t>Public Papers of Reagan, 1981, p.596–p.597</w:t>
      </w:r>
    </w:p>
    <w:p w:rsidR="00A31137" w:rsidRPr="00A31137" w:rsidRDefault="00A31137" w:rsidP="00A31137">
      <w:r w:rsidRPr="00A31137">
        <w:t>She is truly a person for all seasons, possessing those unique qualities of temperament, [p.597] fairness, intellectual capacity, and devotion to the public good which have characterized the 101 brethren who have preceded her. I commend her to you, and I urge the Senate's swift bipartisan confirmation so that as soon as possible she may take her seat on the Court and her place in history.</w:t>
      </w:r>
    </w:p>
    <w:p w:rsidR="00A31137" w:rsidRPr="00A31137" w:rsidRDefault="00A31137" w:rsidP="00A31137">
      <w:r w:rsidRPr="00A31137">
        <w:t>Public Papers of Reagan, 1981, p.597</w:t>
      </w:r>
    </w:p>
    <w:p w:rsidR="00A31137" w:rsidRPr="00A31137" w:rsidRDefault="00A31137" w:rsidP="00A31137">
      <w:r w:rsidRPr="00A31137">
        <w:t>Reporter. Do you agree with her position on abortion, Mr. President?</w:t>
      </w:r>
    </w:p>
    <w:p w:rsidR="00A31137" w:rsidRPr="00A31137" w:rsidRDefault="00A31137" w:rsidP="00A31137">
      <w:r w:rsidRPr="00A31137">
        <w:t>Public Papers of Reagan, 1981, p.597</w:t>
      </w:r>
    </w:p>
    <w:p w:rsidR="00A31137" w:rsidRPr="00A31137" w:rsidRDefault="00A31137" w:rsidP="00A31137">
      <w:r w:rsidRPr="00A31137">
        <w:t>The President. I said that I was going to turn over all questions to the Attorney General here and let him answer the questions.</w:t>
      </w:r>
    </w:p>
    <w:p w:rsidR="00A31137" w:rsidRPr="00A31137" w:rsidRDefault="00A31137" w:rsidP="00A31137">
      <w:r w:rsidRPr="00A31137">
        <w:t>Public Papers of Reagan, 1981, p.597</w:t>
      </w:r>
    </w:p>
    <w:p w:rsidR="00A31137" w:rsidRPr="00A31137" w:rsidRDefault="00A31137" w:rsidP="00A31137">
      <w:r w:rsidRPr="00A31137">
        <w:t>Q. But the right-to-life people object, and we just wonder if—</w:t>
      </w:r>
    </w:p>
    <w:p w:rsidR="00A31137" w:rsidRPr="00A31137" w:rsidRDefault="00A31137" w:rsidP="00A31137">
      <w:r w:rsidRPr="00A31137">
        <w:t>Public Papers of Reagan, 1981, p.597</w:t>
      </w:r>
    </w:p>
    <w:p w:rsidR="00A31137" w:rsidRPr="00A31137" w:rsidRDefault="00A31137" w:rsidP="00A31137">
      <w:r w:rsidRPr="00A31137">
        <w:t>The President. All those questions the Attorney General is prepared to answer.</w:t>
      </w:r>
    </w:p>
    <w:p w:rsidR="00A31137" w:rsidRPr="00A31137" w:rsidRDefault="00A31137" w:rsidP="00A31137">
      <w:r w:rsidRPr="00A31137">
        <w:t>Public Papers of Reagan, 1981, p.597</w:t>
      </w:r>
    </w:p>
    <w:p w:rsidR="00A31137" w:rsidRPr="00A31137" w:rsidRDefault="00A31137" w:rsidP="00A31137">
      <w:r w:rsidRPr="00A31137">
        <w:t>Q. But, Mr. President, you have such a firm position on that. Can you give us your feelings about her position on that?</w:t>
      </w:r>
    </w:p>
    <w:p w:rsidR="00A31137" w:rsidRPr="00A31137" w:rsidRDefault="00A31137" w:rsidP="00A31137">
      <w:r w:rsidRPr="00A31137">
        <w:t>Public Papers of Reagan, 1981, p.597</w:t>
      </w:r>
    </w:p>
    <w:p w:rsidR="00A31137" w:rsidRPr="00A31137" w:rsidRDefault="00A31137" w:rsidP="00A31137">
      <w:r w:rsidRPr="00A31137">
        <w:t>The President. I am completely satisfied.</w:t>
      </w:r>
    </w:p>
    <w:p w:rsidR="00A31137" w:rsidRPr="00A31137" w:rsidRDefault="00A31137" w:rsidP="00A31137">
      <w:r w:rsidRPr="00A31137">
        <w:t>Public Papers of Reagan, 1981, p.597</w:t>
      </w:r>
    </w:p>
    <w:p w:rsidR="00A31137" w:rsidRPr="00A31137" w:rsidRDefault="00A31137" w:rsidP="00A31137">
      <w:r w:rsidRPr="00A31137">
        <w:t>Q. On her right-to-life position?</w:t>
      </w:r>
    </w:p>
    <w:p w:rsidR="00A31137" w:rsidRPr="00A31137" w:rsidRDefault="00A31137" w:rsidP="00A31137">
      <w:r w:rsidRPr="00A31137">
        <w:t>Public Papers of Reagan, 1981, p.597</w:t>
      </w:r>
    </w:p>
    <w:p w:rsidR="00A31137" w:rsidRPr="00A31137" w:rsidRDefault="00A31137" w:rsidP="00A31137">
      <w:r w:rsidRPr="00A31137">
        <w:t>The President. Yes.</w:t>
      </w:r>
    </w:p>
    <w:p w:rsidR="00A31137" w:rsidRPr="00A31137" w:rsidRDefault="00A31137" w:rsidP="00A31137">
      <w:r w:rsidRPr="00A31137">
        <w:t>Public Papers of Reagan, 1981, p.597</w:t>
      </w:r>
    </w:p>
    <w:p w:rsidR="00A31137" w:rsidRPr="00A31137" w:rsidRDefault="00A31137" w:rsidP="00A31137">
      <w:r w:rsidRPr="00A31137">
        <w:t>Q. And did you interview her personally?</w:t>
      </w:r>
    </w:p>
    <w:p w:rsidR="00A31137" w:rsidRPr="00A31137" w:rsidRDefault="00A31137" w:rsidP="00A31137">
      <w:r w:rsidRPr="00A31137">
        <w:t>Public Papers of Reagan, 1981, p.597</w:t>
      </w:r>
    </w:p>
    <w:p w:rsidR="00A31137" w:rsidRPr="00A31137" w:rsidRDefault="00A31137" w:rsidP="00A31137">
      <w:r w:rsidRPr="00A31137">
        <w:t>The President. Yes.</w:t>
      </w:r>
    </w:p>
    <w:p w:rsidR="00A31137" w:rsidRPr="00A31137" w:rsidRDefault="00A31137" w:rsidP="00A31137">
      <w:r w:rsidRPr="00A31137">
        <w:t>Public Papers of Reagan, 1981, p.597</w:t>
      </w:r>
    </w:p>
    <w:p w:rsidR="00A31137" w:rsidRPr="00A31137" w:rsidRDefault="00A31137" w:rsidP="00A31137">
      <w:r w:rsidRPr="00A31137">
        <w:t>Note: The President spoke at 10:46 a.m. to reporters assembled in the Briefing Room at the White House. His remarks were broadcast live on radio and television.</w:t>
      </w:r>
    </w:p>
    <w:p w:rsidR="00A31137" w:rsidRPr="00A31137" w:rsidRDefault="00A31137" w:rsidP="00A31137">
      <w:r w:rsidRPr="00A31137">
        <w:t>Public Papers of Reagan, 1981, p.597</w:t>
      </w:r>
    </w:p>
    <w:p w:rsidR="00A31137" w:rsidRPr="00A31137" w:rsidRDefault="00A31137" w:rsidP="00A31137">
      <w:r w:rsidRPr="00A31137">
        <w:t>The Office of the Press Secretary also released a transcript of Attorney General William French Smith's question-and-answer session with the reporters.</w:t>
      </w:r>
    </w:p>
    <w:p w:rsidR="00A31137" w:rsidRPr="00A31137" w:rsidRDefault="00A31137" w:rsidP="00A31137">
      <w:r w:rsidRPr="00A31137">
        <w:t>Public Papers of Reagan, 1981, p.597</w:t>
      </w:r>
    </w:p>
    <w:p w:rsidR="00A31137" w:rsidRPr="00A31137" w:rsidRDefault="00A31137" w:rsidP="00A31137">
      <w:r w:rsidRPr="00A31137">
        <w:t>Later in the day, Deputy Press Secretary Larry M. Speakes announced that the President and Judge O'Connor had met in the Oval Office on July 1. Also attending the meeting were the Attorney General and members of the White House staff</w:t>
      </w:r>
    </w:p>
    <w:p w:rsidR="00A31137" w:rsidRPr="00A31137" w:rsidRDefault="00A31137" w:rsidP="00A31137">
      <w:r w:rsidRPr="00A31137">
        <w:t>Reagan's Remarks Following Congressional Action on Federal Tax Reduction Legislation, 1981</w:t>
      </w:r>
    </w:p>
    <w:p w:rsidR="00A31137" w:rsidRPr="00A31137" w:rsidRDefault="00A31137" w:rsidP="00A31137">
      <w:r w:rsidRPr="00A31137">
        <w:t>Title:</w:t>
      </w:r>
      <w:r w:rsidRPr="00A31137">
        <w:tab/>
        <w:t>Remarks Following Congressional Action on Federal Tax Reduction Legislation</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July 29, 1981</w:t>
      </w:r>
    </w:p>
    <w:p w:rsidR="00A31137" w:rsidRPr="00A31137" w:rsidRDefault="00A31137" w:rsidP="00A31137">
      <w:r w:rsidRPr="00A31137">
        <w:t>Source:</w:t>
      </w:r>
      <w:r w:rsidRPr="00A31137">
        <w:tab/>
        <w:t>Public Papers of the Presidents, Reagan, 1981, pp.675-676</w:t>
      </w:r>
    </w:p>
    <w:p w:rsidR="00A31137" w:rsidRPr="00A31137" w:rsidRDefault="00A31137" w:rsidP="00A31137">
      <w:r w:rsidRPr="00A31137">
        <w:t>Public Papers of Reagan, 1981, p.675</w:t>
      </w:r>
    </w:p>
    <w:p w:rsidR="00A31137" w:rsidRPr="00A31137" w:rsidRDefault="00A31137" w:rsidP="00A31137">
      <w:r w:rsidRPr="00A31137">
        <w:t>The President. From the bottom of my heart, I want to express my thanks to the Congress for responding this afternoon to the pleas of millions of taxpayers. The victory we've just won doesn't belong to any one individual or one party or one administration. The victories—as a matter of fact, because there have been more than one today—are for all the people. A strong bipartisan coalition of Congress, Republicans and Democrats together, has virtually assured the first real tax cut that this country has had in nearly 20 years. And it has also removed one of the most important remaining challenges on our agenda for prosperity.</w:t>
      </w:r>
    </w:p>
    <w:p w:rsidR="00A31137" w:rsidRPr="00A31137" w:rsidRDefault="00A31137" w:rsidP="00A31137">
      <w:r w:rsidRPr="00A31137">
        <w:t>Public Papers of Reagan, 1981, p.675</w:t>
      </w:r>
    </w:p>
    <w:p w:rsidR="00A31137" w:rsidRPr="00A31137" w:rsidRDefault="00A31137" w:rsidP="00A31137">
      <w:r w:rsidRPr="00A31137">
        <w:t>I believe this first 6 months of 1981 is going to mark the beginning of a new renaissance in America. Now we can face the future with confidence and courage, because we know we're united, and we know that we are a government of the people, by the people, and for the people.</w:t>
      </w:r>
    </w:p>
    <w:p w:rsidR="00A31137" w:rsidRPr="00A31137" w:rsidRDefault="00A31137" w:rsidP="00A31137">
      <w:r w:rsidRPr="00A31137">
        <w:t>Public Papers of Reagan, 1981, p.675</w:t>
      </w:r>
    </w:p>
    <w:p w:rsidR="00A31137" w:rsidRPr="00A31137" w:rsidRDefault="00A31137" w:rsidP="00A31137">
      <w:r w:rsidRPr="00A31137">
        <w:t>No one should doubt the difficulties that we still face, but we have made a new beginning. We're back on the right road; we're making progress. And if we keep working together, we can reach that new era of prosperity that we all want. And as we do, we'll be showing the world that our democratic system of government works because you, the people, make it work.</w:t>
      </w:r>
    </w:p>
    <w:p w:rsidR="00A31137" w:rsidRPr="00A31137" w:rsidRDefault="00A31137" w:rsidP="00A31137">
      <w:r w:rsidRPr="00A31137">
        <w:t>Public Papers of Reagan, 1981, p.675</w:t>
      </w:r>
    </w:p>
    <w:p w:rsidR="00A31137" w:rsidRPr="00A31137" w:rsidRDefault="00A31137" w:rsidP="00A31137">
      <w:r w:rsidRPr="00A31137">
        <w:t>Thank you very much.</w:t>
      </w:r>
    </w:p>
    <w:p w:rsidR="00A31137" w:rsidRPr="00A31137" w:rsidRDefault="00A31137" w:rsidP="00A31137">
      <w:r w:rsidRPr="00A31137">
        <w:t>Public Papers of Reagan, 1981, p.675</w:t>
      </w:r>
    </w:p>
    <w:p w:rsidR="00A31137" w:rsidRPr="00A31137" w:rsidRDefault="00A31137" w:rsidP="00A31137">
      <w:r w:rsidRPr="00A31137">
        <w:t>Q. Sir, have you now got your program in place? Ought it now to work the way you envision it?</w:t>
      </w:r>
    </w:p>
    <w:p w:rsidR="00A31137" w:rsidRPr="00A31137" w:rsidRDefault="00A31137" w:rsidP="00A31137">
      <w:r w:rsidRPr="00A31137">
        <w:t>Public Papers of Reagan, 1981, p.675</w:t>
      </w:r>
    </w:p>
    <w:p w:rsidR="00A31137" w:rsidRPr="00A31137" w:rsidRDefault="00A31137" w:rsidP="00A31137">
      <w:r w:rsidRPr="00A31137">
        <w:t>The President. Yes. Because of the bipartisan nature, there have been changes from the original program that we submitted, but the bulk of that program, the theme as we wanted it put together, is there. And as you know, the vote was completely bipartisan—238 to 195 in the House and in the Senate this afternoon, 89 to 11.</w:t>
      </w:r>
    </w:p>
    <w:p w:rsidR="00A31137" w:rsidRPr="00A31137" w:rsidRDefault="00A31137" w:rsidP="00A31137">
      <w:r w:rsidRPr="00A31137">
        <w:t>Public Papers of Reagan, 1981, p.675</w:t>
      </w:r>
    </w:p>
    <w:p w:rsidR="00A31137" w:rsidRPr="00A31137" w:rsidRDefault="00A31137" w:rsidP="00A31137">
      <w:r w:rsidRPr="00A31137">
        <w:t>Q. When is all this prosperity going to come about, and did you make any promises today that will cost the American people a lot of money?</w:t>
      </w:r>
    </w:p>
    <w:p w:rsidR="00A31137" w:rsidRPr="00A31137" w:rsidRDefault="00A31137" w:rsidP="00A31137">
      <w:r w:rsidRPr="00A31137">
        <w:t>Public Papers of Reagan, 1981, p.675</w:t>
      </w:r>
    </w:p>
    <w:p w:rsidR="00A31137" w:rsidRPr="00A31137" w:rsidRDefault="00A31137" w:rsidP="00A31137">
      <w:r w:rsidRPr="00A31137">
        <w:t>The President. No, not a bit. As a matter of fact, I had several of the—even those gentlemen that I called who didn't feel that they could go with our plan have remarked that they'll testify there's been no arm-twisting or anything of that kind.</w:t>
      </w:r>
    </w:p>
    <w:p w:rsidR="00A31137" w:rsidRPr="00A31137" w:rsidRDefault="00A31137" w:rsidP="00A31137">
      <w:r w:rsidRPr="00A31137">
        <w:t>Public Papers of Reagan, 1981, p.675</w:t>
      </w:r>
    </w:p>
    <w:p w:rsidR="00A31137" w:rsidRPr="00A31137" w:rsidRDefault="00A31137" w:rsidP="00A31137">
      <w:r w:rsidRPr="00A31137">
        <w:t>Q. When will we see the prosperity, Mr. President?</w:t>
      </w:r>
    </w:p>
    <w:p w:rsidR="00A31137" w:rsidRPr="00A31137" w:rsidRDefault="00A31137" w:rsidP="00A31137">
      <w:r w:rsidRPr="00A31137">
        <w:t>Public Papers of Reagan, 1981, p.675</w:t>
      </w:r>
    </w:p>
    <w:p w:rsidR="00A31137" w:rsidRPr="00A31137" w:rsidRDefault="00A31137" w:rsidP="00A31137">
      <w:r w:rsidRPr="00A31137">
        <w:t>The President. Well, I said that there were difficulties that we face. We've been a long time—we've been decades coming to the point where we are, and you're not going to cure this overnight. But I think this program—as a matter of fact, I think the very fact of its passage before the program begins to show the results is going to have a psychological effect that we will see in the expectation of the people here and in the business community. But it's going to take—that's why it's a 3-year program, it's going to take those 3 years.</w:t>
      </w:r>
    </w:p>
    <w:p w:rsidR="00A31137" w:rsidRPr="00A31137" w:rsidRDefault="00A31137" w:rsidP="00A31137">
      <w:r w:rsidRPr="00A31137">
        <w:t>Public Papers of Reagan, 1981, p.675</w:t>
      </w:r>
    </w:p>
    <w:p w:rsidR="00A31137" w:rsidRPr="00A31137" w:rsidRDefault="00A31137" w:rsidP="00A31137">
      <w:r w:rsidRPr="00A31137">
        <w:t>Q. How about by the end of the year, Mr. President, will Americans start to feel relief by the end of the year?</w:t>
      </w:r>
    </w:p>
    <w:p w:rsidR="00A31137" w:rsidRPr="00A31137" w:rsidRDefault="00A31137" w:rsidP="00A31137">
      <w:r w:rsidRPr="00A31137">
        <w:t>Public Papers of Reagan, 1981, p.675</w:t>
      </w:r>
    </w:p>
    <w:p w:rsidR="00A31137" w:rsidRPr="00A31137" w:rsidRDefault="00A31137" w:rsidP="00A31137">
      <w:r w:rsidRPr="00A31137">
        <w:t>The President. I think that we should be seeing some signs by then. But remember, it's a 3-year program because that was our target, that we wouldn't be reaching our goal for 3 years. The effect of the tax cuts in putting money back into the economy, well, those can't be seen until that money is invested in the economy. And of course, the budget cuts in government are going to be felt as they begin to take place in the 1982 budget year that begins October 1st.</w:t>
      </w:r>
    </w:p>
    <w:p w:rsidR="00A31137" w:rsidRPr="00A31137" w:rsidRDefault="00A31137" w:rsidP="00A31137">
      <w:r w:rsidRPr="00A31137">
        <w:t>Public Papers of Reagan, 1981, p.675</w:t>
      </w:r>
    </w:p>
    <w:p w:rsidR="00A31137" w:rsidRPr="00A31137" w:rsidRDefault="00A31137" w:rsidP="00A31137">
      <w:r w:rsidRPr="00A31137">
        <w:t>Q. What are you going to focus on next?</w:t>
      </w:r>
    </w:p>
    <w:p w:rsidR="00A31137" w:rsidRPr="00A31137" w:rsidRDefault="00A31137" w:rsidP="00A31137">
      <w:r w:rsidRPr="00A31137">
        <w:t>Public Papers of Reagan, 1981, p.675–p.676</w:t>
      </w:r>
    </w:p>
    <w:p w:rsidR="00A31137" w:rsidRPr="00A31137" w:rsidRDefault="00A31137" w:rsidP="00A31137">
      <w:r w:rsidRPr="00A31137">
        <w:t>The President. I think there are a lot of things that maybe are, you might say, in the beginnings, in the works now, but matters that have to be dealt with that we're talking about that have to do with our relations with other countries. There's the Middle East situation and this, too, is looking better. At least we've stopped the bulk of the violence there. But our building up of our defenses, our going forward with the [p.676] plans for discussing reduction of armaments with the Soviet Union—there are many social issues to be settled, also. I don't think that we'll close up the desk and go fishing.</w:t>
      </w:r>
    </w:p>
    <w:p w:rsidR="00A31137" w:rsidRPr="00A31137" w:rsidRDefault="00A31137" w:rsidP="00A31137">
      <w:r w:rsidRPr="00A31137">
        <w:t>Public Papers of Reagan, 1981, p.676</w:t>
      </w:r>
    </w:p>
    <w:p w:rsidR="00A31137" w:rsidRPr="00A31137" w:rsidRDefault="00A31137" w:rsidP="00A31137">
      <w:r w:rsidRPr="00A31137">
        <w:t>Q. The Senate Intelligence Committee seems to have cleared Mr. Casey. What's your reaction to that?</w:t>
      </w:r>
    </w:p>
    <w:p w:rsidR="00A31137" w:rsidRPr="00A31137" w:rsidRDefault="00A31137" w:rsidP="00A31137">
      <w:r w:rsidRPr="00A31137">
        <w:t>Public Papers of Reagan, 1981, p.676</w:t>
      </w:r>
    </w:p>
    <w:p w:rsidR="00A31137" w:rsidRPr="00A31137" w:rsidRDefault="00A31137" w:rsidP="00A31137">
      <w:r w:rsidRPr="00A31137">
        <w:t>The President. They didn't seem to, they unanimously said they wanted him to remain as Director of the CIA. I'm not surprised, because we knew that those first wild charges and accusations had no substantiation behind them. And we're very pleased with that.</w:t>
      </w:r>
    </w:p>
    <w:p w:rsidR="00A31137" w:rsidRPr="00A31137" w:rsidRDefault="00A31137" w:rsidP="00A31137">
      <w:r w:rsidRPr="00A31137">
        <w:t>Public Papers of Reagan, 1981, p.676</w:t>
      </w:r>
    </w:p>
    <w:p w:rsidR="00A31137" w:rsidRPr="00A31137" w:rsidRDefault="00A31137" w:rsidP="00A31137">
      <w:r w:rsidRPr="00A31137">
        <w:t>Q. Any personal message for Speaker O'Neill? Any last words? [Laughter]</w:t>
      </w:r>
    </w:p>
    <w:p w:rsidR="00A31137" w:rsidRPr="00A31137" w:rsidRDefault="00A31137" w:rsidP="00A31137">
      <w:r w:rsidRPr="00A31137">
        <w:t>Public Papers of Reagan, 1981, p.676</w:t>
      </w:r>
    </w:p>
    <w:p w:rsidR="00A31137" w:rsidRPr="00A31137" w:rsidRDefault="00A31137" w:rsidP="00A31137">
      <w:r w:rsidRPr="00A31137">
        <w:t>The President. No, the Speaker and I have decided that after 6 o'clock, we're friends.</w:t>
      </w:r>
    </w:p>
    <w:p w:rsidR="00A31137" w:rsidRPr="00A31137" w:rsidRDefault="00A31137" w:rsidP="00A31137">
      <w:r w:rsidRPr="00A31137">
        <w:t>Public Papers of Reagan, 1981, p.676</w:t>
      </w:r>
    </w:p>
    <w:p w:rsidR="00A31137" w:rsidRPr="00A31137" w:rsidRDefault="00A31137" w:rsidP="00A31137">
      <w:r w:rsidRPr="00A31137">
        <w:t>Q. Well, when you're the winner it's easy to be kind. [Laughter]</w:t>
      </w:r>
    </w:p>
    <w:p w:rsidR="00A31137" w:rsidRPr="00A31137" w:rsidRDefault="00A31137" w:rsidP="00A31137">
      <w:r w:rsidRPr="00A31137">
        <w:t>Public Papers of Reagan, 1981, p.676</w:t>
      </w:r>
    </w:p>
    <w:p w:rsidR="00A31137" w:rsidRPr="00A31137" w:rsidRDefault="00A31137" w:rsidP="00A31137">
      <w:r w:rsidRPr="00A31137">
        <w:t>Q. If you didn't arm-twist, what brought them all along?</w:t>
      </w:r>
    </w:p>
    <w:p w:rsidR="00A31137" w:rsidRPr="00A31137" w:rsidRDefault="00A31137" w:rsidP="00A31137">
      <w:r w:rsidRPr="00A31137">
        <w:t>Public Papers of Reagan, 1981, p.676</w:t>
      </w:r>
    </w:p>
    <w:p w:rsidR="00A31137" w:rsidRPr="00A31137" w:rsidRDefault="00A31137" w:rsidP="00A31137">
      <w:r w:rsidRPr="00A31137">
        <w:t>The President. Actually, Helen, [Helen Thomas, United Press International] what we did was when we talked to them, we said, "Remember, in 6 months we have come from tax cut versus no cut at all." That was the first position against us. And now it came to a choice of which tax cut. And what we discussed was, in every meeting and every phone call, I said that I happened to believe that our plan was better geared to getting the economy going again; did they have any questions, any particular concerns that I could speak to? And many of them did and would take a point or two, and I would give them what I thought was the proper answer to the questions they raised.</w:t>
      </w:r>
    </w:p>
    <w:p w:rsidR="00A31137" w:rsidRPr="00A31137" w:rsidRDefault="00A31137" w:rsidP="00A31137">
      <w:r w:rsidRPr="00A31137">
        <w:t>Public Papers of Reagan, 1981, p.676</w:t>
      </w:r>
    </w:p>
    <w:p w:rsidR="00A31137" w:rsidRPr="00A31137" w:rsidRDefault="00A31137" w:rsidP="00A31137">
      <w:r w:rsidRPr="00A31137">
        <w:t>And I had some outstanding help from a number of people, but particularly from a very fine salesman named Secretary Don Regan. We were able to clarify points that, for many of them, that did put them on our side. In some instances, there were those who sincerely felt the other way, and there was never any animus or anything else. I understood their position, and that's what the game's all about.</w:t>
      </w:r>
    </w:p>
    <w:p w:rsidR="00A31137" w:rsidRPr="00A31137" w:rsidRDefault="00A31137" w:rsidP="00A31137">
      <w:r w:rsidRPr="00A31137">
        <w:t>Public Papers of Reagan, 1981, p.676</w:t>
      </w:r>
    </w:p>
    <w:p w:rsidR="00A31137" w:rsidRPr="00A31137" w:rsidRDefault="00A31137" w:rsidP="00A31137">
      <w:r w:rsidRPr="00A31137">
        <w:t>Q. There were absolutely no secret promises at all?</w:t>
      </w:r>
    </w:p>
    <w:p w:rsidR="00A31137" w:rsidRPr="00A31137" w:rsidRDefault="00A31137" w:rsidP="00A31137">
      <w:r w:rsidRPr="00A31137">
        <w:t>Public Papers of Reagan, 1981, p.676</w:t>
      </w:r>
    </w:p>
    <w:p w:rsidR="00A31137" w:rsidRPr="00A31137" w:rsidRDefault="00A31137" w:rsidP="00A31137">
      <w:r w:rsidRPr="00A31137">
        <w:t>The President. Nope. No.</w:t>
      </w:r>
    </w:p>
    <w:p w:rsidR="00A31137" w:rsidRPr="00A31137" w:rsidRDefault="00A31137" w:rsidP="00A31137">
      <w:r w:rsidRPr="00A31137">
        <w:t>Public Papers of Reagan, 1981, p.676</w:t>
      </w:r>
    </w:p>
    <w:p w:rsidR="00A31137" w:rsidRPr="00A31137" w:rsidRDefault="00A31137" w:rsidP="00A31137">
      <w:r w:rsidRPr="00A31137">
        <w:t>Mr. Speakes. Okay, let's stop there. Thank you.</w:t>
      </w:r>
    </w:p>
    <w:p w:rsidR="00A31137" w:rsidRPr="00A31137" w:rsidRDefault="00A31137" w:rsidP="00A31137">
      <w:r w:rsidRPr="00A31137">
        <w:t>Public Papers of Reagan, 1981, p.676</w:t>
      </w:r>
    </w:p>
    <w:p w:rsidR="00A31137" w:rsidRPr="00A31137" w:rsidRDefault="00A31137" w:rsidP="00A31137">
      <w:r w:rsidRPr="00A31137">
        <w:t>Q. Are you going to invite O'Neill over for a glass of champagne?</w:t>
      </w:r>
    </w:p>
    <w:p w:rsidR="00A31137" w:rsidRPr="00A31137" w:rsidRDefault="00A31137" w:rsidP="00A31137">
      <w:r w:rsidRPr="00A31137">
        <w:t>Public Papers of Reagan, 1981, p.676</w:t>
      </w:r>
    </w:p>
    <w:p w:rsidR="00A31137" w:rsidRPr="00A31137" w:rsidRDefault="00A31137" w:rsidP="00A31137">
      <w:r w:rsidRPr="00A31137">
        <w:t>The President. He's sure welcome.</w:t>
      </w:r>
    </w:p>
    <w:p w:rsidR="00A31137" w:rsidRPr="00A31137" w:rsidRDefault="00A31137" w:rsidP="00A31137">
      <w:r w:rsidRPr="00A31137">
        <w:t>Public Papers of Reagan, 1981, p.676</w:t>
      </w:r>
    </w:p>
    <w:p w:rsidR="00A31137" w:rsidRPr="00A31137" w:rsidRDefault="00A31137" w:rsidP="00A31137">
      <w:r w:rsidRPr="00A31137">
        <w:t>Q. Thank you, sir.</w:t>
      </w:r>
    </w:p>
    <w:p w:rsidR="00A31137" w:rsidRPr="00A31137" w:rsidRDefault="00A31137" w:rsidP="00A31137">
      <w:r w:rsidRPr="00A31137">
        <w:t>Public Papers of Reagan, 1981, p.676</w:t>
      </w:r>
    </w:p>
    <w:p w:rsidR="00A31137" w:rsidRPr="00A31137" w:rsidRDefault="00A31137" w:rsidP="00A31137">
      <w:r w:rsidRPr="00A31137">
        <w:t>Note: The President spoke at 5:35 p.m. in the Oval Office at the White House.</w:t>
      </w:r>
    </w:p>
    <w:p w:rsidR="00A31137" w:rsidRPr="00A31137" w:rsidRDefault="00A31137" w:rsidP="00A31137">
      <w:r w:rsidRPr="00A31137">
        <w:t>Public Papers of Reagan, 1981, p.676</w:t>
      </w:r>
    </w:p>
    <w:p w:rsidR="00A31137" w:rsidRPr="00A31137" w:rsidRDefault="00A31137" w:rsidP="00A31137">
      <w:r w:rsidRPr="00A31137">
        <w:t>Larry M. Speakes is Deputy Assistant to the President and Deputy Press Secretary.</w:t>
      </w:r>
    </w:p>
    <w:p w:rsidR="00A31137" w:rsidRPr="00A31137" w:rsidRDefault="00A31137" w:rsidP="00A31137">
      <w:r w:rsidRPr="00A31137">
        <w:t>President Reagan's Statements on the Air Traffic Controllers Strike, 1981</w:t>
      </w:r>
    </w:p>
    <w:p w:rsidR="00A31137" w:rsidRPr="00A31137" w:rsidRDefault="00A31137" w:rsidP="00A31137">
      <w:r w:rsidRPr="00A31137">
        <w:t>Title:</w:t>
      </w:r>
      <w:r w:rsidRPr="00A31137">
        <w:tab/>
        <w:t>Statements on the Air Traffic Controllers Strike</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August 3, 1981</w:t>
      </w:r>
    </w:p>
    <w:p w:rsidR="00A31137" w:rsidRPr="00A31137" w:rsidRDefault="00A31137" w:rsidP="00A31137">
      <w:r w:rsidRPr="00A31137">
        <w:t>Source:</w:t>
      </w:r>
      <w:r w:rsidRPr="00A31137">
        <w:tab/>
        <w:t>Public Papers of the Presidents, Reagan, 1981, pp.687-690</w:t>
      </w:r>
    </w:p>
    <w:p w:rsidR="00A31137" w:rsidRPr="00A31137" w:rsidRDefault="00A31137" w:rsidP="00A31137">
      <w:r w:rsidRPr="00A31137">
        <w:t>Public Papers of Reagan, 1981, p.687</w:t>
      </w:r>
    </w:p>
    <w:p w:rsidR="00A31137" w:rsidRPr="00A31137" w:rsidRDefault="00A31137" w:rsidP="00A31137">
      <w:r w:rsidRPr="00A31137">
        <w:t>The President. This morning at 7 a.m. the union representing those who man America's air traffic control facilities called a strike. This was the culmination of 7 months of negotiations between the Federal Aviation Administration and the union. At one point in these negotiations agreement was reached and signed by both sides, granting a $40 million increase in salaries and benefits. This is twice what other government employees can expect. It was granted in recognition of the difficulties inherent in the work these people perform. Now, however, the union demands are 17 times what had been agreed to—$681 million. This would impose a tax burden on their fellow citizens which is unacceptable.</w:t>
      </w:r>
    </w:p>
    <w:p w:rsidR="00A31137" w:rsidRPr="00A31137" w:rsidRDefault="00A31137" w:rsidP="00A31137">
      <w:r w:rsidRPr="00A31137">
        <w:t>Public Papers of Reagan, 1981, p.687</w:t>
      </w:r>
    </w:p>
    <w:p w:rsidR="00A31137" w:rsidRPr="00A31137" w:rsidRDefault="00A31137" w:rsidP="00A31137">
      <w:r w:rsidRPr="00A31137">
        <w:t>I would like to thank the supervisors and controllers who are on the job today, helping to get the nation's air system operating safely. In the New York area, for example, four supervisors were scheduled to report for work, and 17 additionally volunteered. At National Airport a traffic controller told a newsperson he had resigned from the union and reported to work because, "How can I ask my kids to obey the law if I don't?" This is a great tribute to America.</w:t>
      </w:r>
    </w:p>
    <w:p w:rsidR="00A31137" w:rsidRPr="00A31137" w:rsidRDefault="00A31137" w:rsidP="00A31137">
      <w:r w:rsidRPr="00A31137">
        <w:t>Public Papers of Reagan, 1981, p.687</w:t>
      </w:r>
    </w:p>
    <w:p w:rsidR="00A31137" w:rsidRPr="00A31137" w:rsidRDefault="00A31137" w:rsidP="00A31137">
      <w:r w:rsidRPr="00A31137">
        <w:t>Let me make one thing plain. I respect the right of workers in the private sector to strike. Indeed, as president of my own union, I led the first strike ever called by that union. I guess I'm maybe the first one to ever hold this office who is a lifetime member of an AFL-CIO union. But we cannot compare labor-management relations in the private sector with government. Government cannot close down the assembly line. It has to provide without interruption the protective services which are government's reason for being.</w:t>
      </w:r>
    </w:p>
    <w:p w:rsidR="00A31137" w:rsidRPr="00A31137" w:rsidRDefault="00A31137" w:rsidP="00A31137">
      <w:r w:rsidRPr="00A31137">
        <w:t>Public Papers of Reagan, 1981, p.687</w:t>
      </w:r>
    </w:p>
    <w:p w:rsidR="00A31137" w:rsidRPr="00A31137" w:rsidRDefault="00A31137" w:rsidP="00A31137">
      <w:r w:rsidRPr="00A31137">
        <w:t>It was in recognition of this that the Congress passed a law forbidding strikes by government employees against the public safety. Let me read the solemn oath taken by each of these employees, a sworn affidavit, when they accepted their jobs: "I am not participating in any strike against the Government of the United States or any agency thereof, and I will not so participate while an employee of the Government of the United States or any agency thereof."</w:t>
      </w:r>
    </w:p>
    <w:p w:rsidR="00A31137" w:rsidRPr="00A31137" w:rsidRDefault="00A31137" w:rsidP="00A31137">
      <w:r w:rsidRPr="00A31137">
        <w:t>Public Papers of Reagan, 1981, p.687</w:t>
      </w:r>
    </w:p>
    <w:p w:rsidR="00A31137" w:rsidRPr="00A31137" w:rsidRDefault="00A31137" w:rsidP="00A31137">
      <w:r w:rsidRPr="00A31137">
        <w:t>It is for this reason that I must tell those who fail to report for duty this morning they are in violation of the law, and if they do not report for work within 48 hours, they have forfeited their jobs and will be terminated.</w:t>
      </w:r>
    </w:p>
    <w:p w:rsidR="00A31137" w:rsidRPr="00A31137" w:rsidRDefault="00A31137" w:rsidP="00A31137">
      <w:r w:rsidRPr="00A31137">
        <w:t>Public Papers of Reagan, 1981, p.687</w:t>
      </w:r>
    </w:p>
    <w:p w:rsidR="00A31137" w:rsidRPr="00A31137" w:rsidRDefault="00A31137" w:rsidP="00A31137">
      <w:r w:rsidRPr="00A31137">
        <w:t>Q. Mr. President, are you going to order any union members who violate the law to go to jail?</w:t>
      </w:r>
    </w:p>
    <w:p w:rsidR="00A31137" w:rsidRPr="00A31137" w:rsidRDefault="00A31137" w:rsidP="00A31137">
      <w:r w:rsidRPr="00A31137">
        <w:t>Public Papers of Reagan, 1981, p.687</w:t>
      </w:r>
    </w:p>
    <w:p w:rsidR="00A31137" w:rsidRPr="00A31137" w:rsidRDefault="00A31137" w:rsidP="00A31137">
      <w:r w:rsidRPr="00A31137">
        <w:t>The President. Well, I have some people around here, and maybe I should refer that question to the Attorney General.</w:t>
      </w:r>
    </w:p>
    <w:p w:rsidR="00A31137" w:rsidRPr="00A31137" w:rsidRDefault="00A31137" w:rsidP="00A31137">
      <w:r w:rsidRPr="00A31137">
        <w:t>Public Papers of Reagan, 1981, p.687</w:t>
      </w:r>
    </w:p>
    <w:p w:rsidR="00A31137" w:rsidRPr="00A31137" w:rsidRDefault="00A31137" w:rsidP="00A31137">
      <w:r w:rsidRPr="00A31137">
        <w:t>Q. Do you think that they should go to jail, Mr. President, anybody who violates this law?</w:t>
      </w:r>
    </w:p>
    <w:p w:rsidR="00A31137" w:rsidRPr="00A31137" w:rsidRDefault="00A31137" w:rsidP="00A31137">
      <w:r w:rsidRPr="00A31137">
        <w:t>Public Papers of Reagan, 1981, p.687</w:t>
      </w:r>
    </w:p>
    <w:p w:rsidR="00A31137" w:rsidRPr="00A31137" w:rsidRDefault="00A31137" w:rsidP="00A31137">
      <w:r w:rsidRPr="00A31137">
        <w:t>The President. I told you what I think should be done. They're terminated.</w:t>
      </w:r>
    </w:p>
    <w:p w:rsidR="00A31137" w:rsidRPr="00A31137" w:rsidRDefault="00A31137" w:rsidP="00A31137">
      <w:r w:rsidRPr="00A31137">
        <w:t>Public Papers of Reagan, 1981, p.687</w:t>
      </w:r>
    </w:p>
    <w:p w:rsidR="00A31137" w:rsidRPr="00A31137" w:rsidRDefault="00A31137" w:rsidP="00A31137">
      <w:r w:rsidRPr="00A31137">
        <w:t>The Attorney General. Well, as the President has said, striking under these circumstances constitutes a violation of the law, and we intend to initiate in appropriate cases criminal proceedings against those who have violated the law.</w:t>
      </w:r>
    </w:p>
    <w:p w:rsidR="00A31137" w:rsidRPr="00A31137" w:rsidRDefault="00A31137" w:rsidP="00A31137">
      <w:r w:rsidRPr="00A31137">
        <w:t>Public Papers of Reagan, 1981, p.687</w:t>
      </w:r>
    </w:p>
    <w:p w:rsidR="00A31137" w:rsidRPr="00A31137" w:rsidRDefault="00A31137" w:rsidP="00A31137">
      <w:r w:rsidRPr="00A31137">
        <w:t>Q. How quickly will you initiate criminal proceedings, Mr. Attorney General?</w:t>
      </w:r>
    </w:p>
    <w:p w:rsidR="00A31137" w:rsidRPr="00A31137" w:rsidRDefault="00A31137" w:rsidP="00A31137">
      <w:r w:rsidRPr="00A31137">
        <w:t>Public Papers of Reagan, 1981, p.687–p.688</w:t>
      </w:r>
    </w:p>
    <w:p w:rsidR="00A31137" w:rsidRPr="00A31137" w:rsidRDefault="00A31137" w:rsidP="00A31137">
      <w:r w:rsidRPr="00A31137">
        <w:t>The Attorney General. We will initiate those proceedings as soon as we can. [p.688] Q. Today?</w:t>
      </w:r>
    </w:p>
    <w:p w:rsidR="00A31137" w:rsidRPr="00A31137" w:rsidRDefault="00A31137" w:rsidP="00A31137">
      <w:r w:rsidRPr="00A31137">
        <w:t>Public Papers of Reagan, 1981, p.688</w:t>
      </w:r>
    </w:p>
    <w:p w:rsidR="00A31137" w:rsidRPr="00A31137" w:rsidRDefault="00A31137" w:rsidP="00A31137">
      <w:r w:rsidRPr="00A31137">
        <w:t>The Attorney General. The process will be underway probably by noon today.</w:t>
      </w:r>
    </w:p>
    <w:p w:rsidR="00A31137" w:rsidRPr="00A31137" w:rsidRDefault="00A31137" w:rsidP="00A31137">
      <w:r w:rsidRPr="00A31137">
        <w:t>Public Papers of Reagan, 1981, p.688</w:t>
      </w:r>
    </w:p>
    <w:p w:rsidR="00A31137" w:rsidRPr="00A31137" w:rsidRDefault="00A31137" w:rsidP="00A31137">
      <w:r w:rsidRPr="00A31137">
        <w:t>Q. Are you going to try and fine the union $1 million per day?</w:t>
      </w:r>
    </w:p>
    <w:p w:rsidR="00A31137" w:rsidRPr="00A31137" w:rsidRDefault="00A31137" w:rsidP="00A31137">
      <w:r w:rsidRPr="00A31137">
        <w:t>Public Papers of Reagan, 1981, p.688</w:t>
      </w:r>
    </w:p>
    <w:p w:rsidR="00A31137" w:rsidRPr="00A31137" w:rsidRDefault="00A31137" w:rsidP="00A31137">
      <w:r w:rsidRPr="00A31137">
        <w:t>The Attorney General. Well, that's the prerogative of the court. In the event that any individuals are found guilty of contempt of a court order, the penalty for that, of course, is imposed by the court.</w:t>
      </w:r>
    </w:p>
    <w:p w:rsidR="00A31137" w:rsidRPr="00A31137" w:rsidRDefault="00A31137" w:rsidP="00A31137">
      <w:r w:rsidRPr="00A31137">
        <w:t>Public Papers of Reagan, 1981, p.688</w:t>
      </w:r>
    </w:p>
    <w:p w:rsidR="00A31137" w:rsidRPr="00A31137" w:rsidRDefault="00A31137" w:rsidP="00A31137">
      <w:r w:rsidRPr="00A31137">
        <w:t>Q. How much more is the government prepared to offer the union?</w:t>
      </w:r>
    </w:p>
    <w:p w:rsidR="00A31137" w:rsidRPr="00A31137" w:rsidRDefault="00A31137" w:rsidP="00A31137">
      <w:r w:rsidRPr="00A31137">
        <w:t>Public Papers of Reagan, 1981, p.688</w:t>
      </w:r>
    </w:p>
    <w:p w:rsidR="00A31137" w:rsidRPr="00A31137" w:rsidRDefault="00A31137" w:rsidP="00A31137">
      <w:r w:rsidRPr="00A31137">
        <w:t>The Secretary of Transportation. We think we had a very satisfactory offer on the table. It's twice what other Government employees are going to get—11.4 percent. Their demands were so unreasonable there was no spot to negotiate, when you're talking to somebody 17 times away from where you presently are. We do not plan to increase our offer to the union.</w:t>
      </w:r>
    </w:p>
    <w:p w:rsidR="00A31137" w:rsidRPr="00A31137" w:rsidRDefault="00A31137" w:rsidP="00A31137">
      <w:r w:rsidRPr="00A31137">
        <w:t>Public Papers of Reagan, 1981, p.688</w:t>
      </w:r>
    </w:p>
    <w:p w:rsidR="00A31137" w:rsidRPr="00A31137" w:rsidRDefault="00A31137" w:rsidP="00A31137">
      <w:r w:rsidRPr="00A31137">
        <w:t>Q. Under no circumstances?</w:t>
      </w:r>
    </w:p>
    <w:p w:rsidR="00A31137" w:rsidRPr="00A31137" w:rsidRDefault="00A31137" w:rsidP="00A31137">
      <w:r w:rsidRPr="00A31137">
        <w:t>Public Papers of Reagan, 1981, p.688</w:t>
      </w:r>
    </w:p>
    <w:p w:rsidR="00A31137" w:rsidRPr="00A31137" w:rsidRDefault="00A31137" w:rsidP="00A31137">
      <w:r w:rsidRPr="00A31137">
        <w:t>The Secretary of Transportation. As far as I'm concerned, under no circumstance.</w:t>
      </w:r>
    </w:p>
    <w:p w:rsidR="00A31137" w:rsidRPr="00A31137" w:rsidRDefault="00A31137" w:rsidP="00A31137">
      <w:r w:rsidRPr="00A31137">
        <w:t>Public Papers of Reagan, 1981, p.688</w:t>
      </w:r>
    </w:p>
    <w:p w:rsidR="00A31137" w:rsidRPr="00A31137" w:rsidRDefault="00A31137" w:rsidP="00A31137">
      <w:r w:rsidRPr="00A31137">
        <w:t>Q. Will you continue to meet with them? The Secretary of Transportation. We will not meet with the union as long as they're on strike. When they're off of strike, and assuming that they are not decertified, we will meet with the union and try to negotiate a satisfactory contract.</w:t>
      </w:r>
    </w:p>
    <w:p w:rsidR="00A31137" w:rsidRPr="00A31137" w:rsidRDefault="00A31137" w:rsidP="00A31137">
      <w:r w:rsidRPr="00A31137">
        <w:t>Public Papers of Reagan, 1981, p.688</w:t>
      </w:r>
    </w:p>
    <w:p w:rsidR="00A31137" w:rsidRPr="00A31137" w:rsidRDefault="00A31137" w:rsidP="00A31137">
      <w:r w:rsidRPr="00A31137">
        <w:t>Q. Do you have any idea how it's going at the airports around the country?</w:t>
      </w:r>
    </w:p>
    <w:p w:rsidR="00A31137" w:rsidRPr="00A31137" w:rsidRDefault="00A31137" w:rsidP="00A31137">
      <w:r w:rsidRPr="00A31137">
        <w:t>Public Papers of Reagan, 1981, p.688</w:t>
      </w:r>
    </w:p>
    <w:p w:rsidR="00A31137" w:rsidRPr="00A31137" w:rsidRDefault="00A31137" w:rsidP="00A31137">
      <w:r w:rsidRPr="00A31137">
        <w:t>The Secretary of Transportation. Relatively, it's going quite well. We're operating somewhat in excess of 50 percent capacity. We could increase that. We have determined, until we feel we're in total control of the system, that we will not increase that. Also, as you probably know, we have some rather severe weather in the Midwest, and our first priority is safety.</w:t>
      </w:r>
    </w:p>
    <w:p w:rsidR="00A31137" w:rsidRPr="00A31137" w:rsidRDefault="00A31137" w:rsidP="00A31137">
      <w:r w:rsidRPr="00A31137">
        <w:t>Public Papers of Reagan, 1981, p.688</w:t>
      </w:r>
    </w:p>
    <w:p w:rsidR="00A31137" w:rsidRPr="00A31137" w:rsidRDefault="00A31137" w:rsidP="00A31137">
      <w:r w:rsidRPr="00A31137">
        <w:t>Q. What can you tell us about possible decertification of the union and impoundment of its strike funds?</w:t>
      </w:r>
    </w:p>
    <w:p w:rsidR="00A31137" w:rsidRPr="00A31137" w:rsidRDefault="00A31137" w:rsidP="00A31137">
      <w:r w:rsidRPr="00A31137">
        <w:t>Public Papers of Reagan, 1981, p.688</w:t>
      </w:r>
    </w:p>
    <w:p w:rsidR="00A31137" w:rsidRPr="00A31137" w:rsidRDefault="00A31137" w:rsidP="00A31137">
      <w:r w:rsidRPr="00A31137">
        <w:t>The Secretary of Transportation. There has been a court action to impound the strike fund of $3.5 million. We are going before the National Labor Relations Authority this morning and ask for decertification of the union.</w:t>
      </w:r>
    </w:p>
    <w:p w:rsidR="00A31137" w:rsidRPr="00A31137" w:rsidRDefault="00A31137" w:rsidP="00A31137">
      <w:r w:rsidRPr="00A31137">
        <w:t>Public Papers of Reagan, 1981, p.688</w:t>
      </w:r>
    </w:p>
    <w:p w:rsidR="00A31137" w:rsidRPr="00A31137" w:rsidRDefault="00A31137" w:rsidP="00A31137">
      <w:r w:rsidRPr="00A31137">
        <w:t>Q. When you say that you're not going to increase your offer, are you referring to the original offer or the last offer which you've made? Is that still valid?</w:t>
      </w:r>
    </w:p>
    <w:p w:rsidR="00A31137" w:rsidRPr="00A31137" w:rsidRDefault="00A31137" w:rsidP="00A31137">
      <w:r w:rsidRPr="00A31137">
        <w:t>Public Papers of Reagan, 1981, p.688</w:t>
      </w:r>
    </w:p>
    <w:p w:rsidR="00A31137" w:rsidRPr="00A31137" w:rsidRDefault="00A31137" w:rsidP="00A31137">
      <w:r w:rsidRPr="00A31137">
        <w:t>The Secretary of Transportation. The last offer we made in present value was exactly the same as the first offer. Mr. Poll 1 asked me about 11 o'clock last evening if he could phase the increase in over a period of time. For that reason, we phased it in over a longer period of time. It would have given him a larger increase in terms of where he would be when the next negotiations started, but in present value it was the $40 million originally on the table.</w:t>
      </w:r>
    </w:p>
    <w:p w:rsidR="00A31137" w:rsidRPr="00A31137" w:rsidRDefault="00A31137" w:rsidP="00A31137">
      <w:r w:rsidRPr="00A31137">
        <w:t>1 Robert Poll, president, Professional Air Traffic Controllers Organization.</w:t>
      </w:r>
    </w:p>
    <w:p w:rsidR="00A31137" w:rsidRPr="00A31137" w:rsidRDefault="00A31137" w:rsidP="00A31137">
      <w:r w:rsidRPr="00A31137">
        <w:t>Public Papers of Reagan, 1981, p.688</w:t>
      </w:r>
    </w:p>
    <w:p w:rsidR="00A31137" w:rsidRPr="00A31137" w:rsidRDefault="00A31137" w:rsidP="00A31137">
      <w:r w:rsidRPr="00A31137">
        <w:t>Q. Mr. Attorney General, in seeking criminal action against the union leaders, will you seek to put them in jail if they do not order these people back to work?</w:t>
      </w:r>
    </w:p>
    <w:p w:rsidR="00A31137" w:rsidRPr="00A31137" w:rsidRDefault="00A31137" w:rsidP="00A31137">
      <w:r w:rsidRPr="00A31137">
        <w:t>Public Papers of Reagan, 1981, p.688</w:t>
      </w:r>
    </w:p>
    <w:p w:rsidR="00A31137" w:rsidRPr="00A31137" w:rsidRDefault="00A31137" w:rsidP="00A31137">
      <w:r w:rsidRPr="00A31137">
        <w:t>The Attorney General. Well, we will seek whatever penalty is appropriate under the circumstances in each individual case.</w:t>
      </w:r>
    </w:p>
    <w:p w:rsidR="00A31137" w:rsidRPr="00A31137" w:rsidRDefault="00A31137" w:rsidP="00A31137">
      <w:r w:rsidRPr="00A31137">
        <w:t>Public Papers of Reagan, 1981, p.688</w:t>
      </w:r>
    </w:p>
    <w:p w:rsidR="00A31137" w:rsidRPr="00A31137" w:rsidRDefault="00A31137" w:rsidP="00A31137">
      <w:r w:rsidRPr="00A31137">
        <w:t>Q. Do you think that is an appropriate circumstance?</w:t>
      </w:r>
    </w:p>
    <w:p w:rsidR="00A31137" w:rsidRPr="00A31137" w:rsidRDefault="00A31137" w:rsidP="00A31137">
      <w:r w:rsidRPr="00A31137">
        <w:t>Public Papers of Reagan, 1981, p.688</w:t>
      </w:r>
    </w:p>
    <w:p w:rsidR="00A31137" w:rsidRPr="00A31137" w:rsidRDefault="00A31137" w:rsidP="00A31137">
      <w:r w:rsidRPr="00A31137">
        <w:t>The Attorney General. It is certainly one of the penalties that is provided for in the law, and in appropriate cases, we could very well seek that penalty.</w:t>
      </w:r>
    </w:p>
    <w:p w:rsidR="00A31137" w:rsidRPr="00A31137" w:rsidRDefault="00A31137" w:rsidP="00A31137">
      <w:r w:rsidRPr="00A31137">
        <w:t>Public Papers of Reagan, 1981, p.688</w:t>
      </w:r>
    </w:p>
    <w:p w:rsidR="00A31137" w:rsidRPr="00A31137" w:rsidRDefault="00A31137" w:rsidP="00A31137">
      <w:r w:rsidRPr="00A31137">
        <w:t>Q. What's appropriate?</w:t>
      </w:r>
    </w:p>
    <w:p w:rsidR="00A31137" w:rsidRPr="00A31137" w:rsidRDefault="00A31137" w:rsidP="00A31137">
      <w:r w:rsidRPr="00A31137">
        <w:t>Public Papers of Reagan, 1981, p.688</w:t>
      </w:r>
    </w:p>
    <w:p w:rsidR="00A31137" w:rsidRPr="00A31137" w:rsidRDefault="00A31137" w:rsidP="00A31137">
      <w:r w:rsidRPr="00A31137">
        <w:t>The Attorney General. Well, that depends upon the fact of each case.</w:t>
      </w:r>
    </w:p>
    <w:p w:rsidR="00A31137" w:rsidRPr="00A31137" w:rsidRDefault="00A31137" w:rsidP="00A31137">
      <w:r w:rsidRPr="00A31137">
        <w:t>Public Papers of Reagan, 1981, p.688</w:t>
      </w:r>
    </w:p>
    <w:p w:rsidR="00A31137" w:rsidRPr="00A31137" w:rsidRDefault="00A31137" w:rsidP="00A31137">
      <w:r w:rsidRPr="00A31137">
        <w:t>Q. What makes the difference?</w:t>
      </w:r>
    </w:p>
    <w:p w:rsidR="00A31137" w:rsidRPr="00A31137" w:rsidRDefault="00A31137" w:rsidP="00A31137">
      <w:r w:rsidRPr="00A31137">
        <w:t>Public Papers of Reagan, 1981, p.688</w:t>
      </w:r>
    </w:p>
    <w:p w:rsidR="00A31137" w:rsidRPr="00A31137" w:rsidRDefault="00A31137" w:rsidP="00A31137">
      <w:r w:rsidRPr="00A31137">
        <w:t>Q. Can I go back to my "fine" question? How much would you like to see the union fined every day?</w:t>
      </w:r>
    </w:p>
    <w:p w:rsidR="00A31137" w:rsidRPr="00A31137" w:rsidRDefault="00A31137" w:rsidP="00A31137">
      <w:r w:rsidRPr="00A31137">
        <w:t>Public Papers of Reagan, 1981, p.688</w:t>
      </w:r>
    </w:p>
    <w:p w:rsidR="00A31137" w:rsidRPr="00A31137" w:rsidRDefault="00A31137" w:rsidP="00A31137">
      <w:r w:rsidRPr="00A31137">
        <w:t>The Attorney General. Well, there's no way to answer that question. We would just have to wait until we get into court, see what the circumstances are, and determine what position we would take in the various cases under the facts as they develop.</w:t>
      </w:r>
    </w:p>
    <w:p w:rsidR="00A31137" w:rsidRPr="00A31137" w:rsidRDefault="00A31137" w:rsidP="00A31137">
      <w:r w:rsidRPr="00A31137">
        <w:t>Public Papers of Reagan, 1981, p.688</w:t>
      </w:r>
    </w:p>
    <w:p w:rsidR="00A31137" w:rsidRPr="00A31137" w:rsidRDefault="00A31137" w:rsidP="00A31137">
      <w:r w:rsidRPr="00A31137">
        <w:t>Q. But you won't go to court and ask the court for a specific amount?</w:t>
      </w:r>
    </w:p>
    <w:p w:rsidR="00A31137" w:rsidRPr="00A31137" w:rsidRDefault="00A31137" w:rsidP="00A31137">
      <w:r w:rsidRPr="00A31137">
        <w:t>Public Papers of Reagan, 1981, p.688</w:t>
      </w:r>
    </w:p>
    <w:p w:rsidR="00A31137" w:rsidRPr="00A31137" w:rsidRDefault="00A31137" w:rsidP="00A31137">
      <w:r w:rsidRPr="00A31137">
        <w:t>The Attorney General. Well, I'm sure we will when we reach that point, but there's no way to pick a figure now.</w:t>
      </w:r>
    </w:p>
    <w:p w:rsidR="00A31137" w:rsidRPr="00A31137" w:rsidRDefault="00A31137" w:rsidP="00A31137">
      <w:r w:rsidRPr="00A31137">
        <w:t>Public Papers of Reagan, 1981, p.688</w:t>
      </w:r>
    </w:p>
    <w:p w:rsidR="00A31137" w:rsidRPr="00A31137" w:rsidRDefault="00A31137" w:rsidP="00A31137">
      <w:r w:rsidRPr="00A31137">
        <w:t>Q. Mr. President, will you delay your trip to California or cancel it if the strike is still on later this week?</w:t>
      </w:r>
    </w:p>
    <w:p w:rsidR="00A31137" w:rsidRPr="00A31137" w:rsidRDefault="00A31137" w:rsidP="00A31137">
      <w:r w:rsidRPr="00A31137">
        <w:t>Public Papers of Reagan, 1981, p.688–p.689</w:t>
      </w:r>
    </w:p>
    <w:p w:rsidR="00A31137" w:rsidRPr="00A31137" w:rsidRDefault="00A31137" w:rsidP="00A31137">
      <w:r w:rsidRPr="00A31137">
        <w:t>The President. If any situation should arise that would require my presence here, [p.689] naturally I will do that. So, that will be a decision that awaits what's going to happen. May I just—because I have to be back in there for another appointment—may I just say one thing on top of this? With all this talk of penalties and everything else, I hope that you'll emphasize, again, the possibility of termination, because I believe that there are a great many of those people—and they're fine people—who have been swept up in this and probably have not really considered the result—the fact that they had taken an oath, the fact that this is now in violation of the law, as that one supervisor referred to with regard to his children. And I am hoping that they will in a sense remove themselves from the lawbreaker situation by returning to their posts.</w:t>
      </w:r>
    </w:p>
    <w:p w:rsidR="00A31137" w:rsidRPr="00A31137" w:rsidRDefault="00A31137" w:rsidP="00A31137">
      <w:r w:rsidRPr="00A31137">
        <w:t>Public Papers of Reagan, 1981, p.689</w:t>
      </w:r>
    </w:p>
    <w:p w:rsidR="00A31137" w:rsidRPr="00A31137" w:rsidRDefault="00A31137" w:rsidP="00A31137">
      <w:r w:rsidRPr="00A31137">
        <w:t>I have no way to know whether this had been conveyed to them by their union leaders, who had been informed that this would be the result of a strike.</w:t>
      </w:r>
    </w:p>
    <w:p w:rsidR="00A31137" w:rsidRPr="00A31137" w:rsidRDefault="00A31137" w:rsidP="00A31137">
      <w:r w:rsidRPr="00A31137">
        <w:t>Public Papers of Reagan, 1981, p.689</w:t>
      </w:r>
    </w:p>
    <w:p w:rsidR="00A31137" w:rsidRPr="00A31137" w:rsidRDefault="00A31137" w:rsidP="00A31137">
      <w:r w:rsidRPr="00A31137">
        <w:t>Q. Your deadline is 7 o'clock Wednesday morning for them to return to work?The President. Forty-eight hours.</w:t>
      </w:r>
    </w:p>
    <w:p w:rsidR="00A31137" w:rsidRPr="00A31137" w:rsidRDefault="00A31137" w:rsidP="00A31137">
      <w:r w:rsidRPr="00A31137">
        <w:t>Public Papers of Reagan, 1981, p.689</w:t>
      </w:r>
    </w:p>
    <w:p w:rsidR="00A31137" w:rsidRPr="00A31137" w:rsidRDefault="00A31137" w:rsidP="00A31137">
      <w:r w:rsidRPr="00A31137">
        <w:t>The Secretary of Transportation. It's 11 o'clock Wednesday morning.</w:t>
      </w:r>
    </w:p>
    <w:p w:rsidR="00A31137" w:rsidRPr="00A31137" w:rsidRDefault="00A31137" w:rsidP="00A31137">
      <w:r w:rsidRPr="00A31137">
        <w:t>Public Papers of Reagan, 1981, p.689</w:t>
      </w:r>
    </w:p>
    <w:p w:rsidR="00A31137" w:rsidRPr="00A31137" w:rsidRDefault="00A31137" w:rsidP="00A31137">
      <w:r w:rsidRPr="00A31137">
        <w:t>Q. Mr. President, why have you taken such strong action as your first action? Why not some lesser action at this point?</w:t>
      </w:r>
    </w:p>
    <w:p w:rsidR="00A31137" w:rsidRPr="00A31137" w:rsidRDefault="00A31137" w:rsidP="00A31137">
      <w:r w:rsidRPr="00A31137">
        <w:t>Public Papers of Reagan, 1981, p.689</w:t>
      </w:r>
    </w:p>
    <w:p w:rsidR="00A31137" w:rsidRPr="00A31137" w:rsidRDefault="00A31137" w:rsidP="00A31137">
      <w:r w:rsidRPr="00A31137">
        <w:t>The President. What lesser action can there be? The law is very explicit. They are violating the law. And as I say, we called this to the attention of their leadership. Whether this was conveyed to the membership before they voted to strike, I don't know. But this is one of the reasons why there can be no further negotiation while this situation continues. You can't sit and negotiate with a union that's in violation of the law.</w:t>
      </w:r>
    </w:p>
    <w:p w:rsidR="00A31137" w:rsidRPr="00A31137" w:rsidRDefault="00A31137" w:rsidP="00A31137">
      <w:r w:rsidRPr="00A31137">
        <w:t>Public Papers of Reagan, 1981, p.689</w:t>
      </w:r>
    </w:p>
    <w:p w:rsidR="00A31137" w:rsidRPr="00A31137" w:rsidRDefault="00A31137" w:rsidP="00A31137">
      <w:r w:rsidRPr="00A31137">
        <w:t>The Secretary of Transportation. And their oath.</w:t>
      </w:r>
    </w:p>
    <w:p w:rsidR="00A31137" w:rsidRPr="00A31137" w:rsidRDefault="00A31137" w:rsidP="00A31137">
      <w:r w:rsidRPr="00A31137">
        <w:t>Public Papers of Reagan, 1981, p.689</w:t>
      </w:r>
    </w:p>
    <w:p w:rsidR="00A31137" w:rsidRPr="00A31137" w:rsidRDefault="00A31137" w:rsidP="00A31137">
      <w:r w:rsidRPr="00A31137">
        <w:t>The President. And their oath.</w:t>
      </w:r>
    </w:p>
    <w:p w:rsidR="00A31137" w:rsidRPr="00A31137" w:rsidRDefault="00A31137" w:rsidP="00A31137">
      <w:r w:rsidRPr="00A31137">
        <w:t>Public Papers of Reagan, 1981, p.689</w:t>
      </w:r>
    </w:p>
    <w:p w:rsidR="00A31137" w:rsidRPr="00A31137" w:rsidRDefault="00A31137" w:rsidP="00A31137">
      <w:r w:rsidRPr="00A31137">
        <w:t>Q. Are you more likely to proceed in the criminal direction toward the leadership than the rank and file, Mr. President?</w:t>
      </w:r>
    </w:p>
    <w:p w:rsidR="00A31137" w:rsidRPr="00A31137" w:rsidRDefault="00A31137" w:rsidP="00A31137">
      <w:r w:rsidRPr="00A31137">
        <w:t>Public Papers of Reagan, 1981, p.689</w:t>
      </w:r>
    </w:p>
    <w:p w:rsidR="00A31137" w:rsidRPr="00A31137" w:rsidRDefault="00A31137" w:rsidP="00A31137">
      <w:r w:rsidRPr="00A31137">
        <w:t>The President. Well, that again is not for me to answer.</w:t>
      </w:r>
    </w:p>
    <w:p w:rsidR="00A31137" w:rsidRPr="00A31137" w:rsidRDefault="00A31137" w:rsidP="00A31137">
      <w:r w:rsidRPr="00A31137">
        <w:t>Public Papers of Reagan, 1981, p.689</w:t>
      </w:r>
    </w:p>
    <w:p w:rsidR="00A31137" w:rsidRPr="00A31137" w:rsidRDefault="00A31137" w:rsidP="00A31137">
      <w:r w:rsidRPr="00A31137">
        <w:t>Q. Mr. Secretary, what can you tell us about the possible use of military air controllers—how many, how quickly can they get on the job?</w:t>
      </w:r>
    </w:p>
    <w:p w:rsidR="00A31137" w:rsidRPr="00A31137" w:rsidRDefault="00A31137" w:rsidP="00A31137">
      <w:r w:rsidRPr="00A31137">
        <w:t>Public Papers of Reagan, 1981, p.689</w:t>
      </w:r>
    </w:p>
    <w:p w:rsidR="00A31137" w:rsidRPr="00A31137" w:rsidRDefault="00A31137" w:rsidP="00A31137">
      <w:r w:rsidRPr="00A31137">
        <w:t>The Secretary of Transportation. In answer to the previous question, we will move both civil and criminal, probably more civil than criminal, and we now have papers in the U.S. attorneys' offices, under the Attorney General, in about 20 locations around the country where would be involved two or three principal people.</w:t>
      </w:r>
    </w:p>
    <w:p w:rsidR="00A31137" w:rsidRPr="00A31137" w:rsidRDefault="00A31137" w:rsidP="00A31137">
      <w:r w:rsidRPr="00A31137">
        <w:t>Public Papers of Reagan, 1981, p.689</w:t>
      </w:r>
    </w:p>
    <w:p w:rsidR="00A31137" w:rsidRPr="00A31137" w:rsidRDefault="00A31137" w:rsidP="00A31137">
      <w:r w:rsidRPr="00A31137">
        <w:t>As far as the military personnel are concerned, they are going to fundamentally be backup to the supervisory personnel. We had 150 on the job, supposedly, about a half-hour ago. We're going to increase that to somewhere between 700 and 850.</w:t>
      </w:r>
    </w:p>
    <w:p w:rsidR="00A31137" w:rsidRPr="00A31137" w:rsidRDefault="00A31137" w:rsidP="00A31137">
      <w:r w:rsidRPr="00A31137">
        <w:t>Public Papers of Reagan, 1981, p.689</w:t>
      </w:r>
    </w:p>
    <w:p w:rsidR="00A31137" w:rsidRPr="00A31137" w:rsidRDefault="00A31137" w:rsidP="00A31137">
      <w:r w:rsidRPr="00A31137">
        <w:t>Q. Mr. Secretary, are you ready to hire other people should these other people not return?</w:t>
      </w:r>
    </w:p>
    <w:p w:rsidR="00A31137" w:rsidRPr="00A31137" w:rsidRDefault="00A31137" w:rsidP="00A31137">
      <w:r w:rsidRPr="00A31137">
        <w:t>Public Papers of Reagan, 1981, p.689</w:t>
      </w:r>
    </w:p>
    <w:p w:rsidR="00A31137" w:rsidRPr="00A31137" w:rsidRDefault="00A31137" w:rsidP="00A31137">
      <w:r w:rsidRPr="00A31137">
        <w:t>The Secretary of Transportation. Yes, we will, and we hope we do not reach that point. Again as the President said, we're hoping these people come back to work. They do a fine job. If that does not take place, we have a training school, as you know. We will be advertising. We have a number of applicants right now. There's a waiting list in terms of people that want to be controllers, and we'll start retraining and reorganize the entire FAA traffic controller group.</w:t>
      </w:r>
    </w:p>
    <w:p w:rsidR="00A31137" w:rsidRPr="00A31137" w:rsidRDefault="00A31137" w:rsidP="00A31137">
      <w:r w:rsidRPr="00A31137">
        <w:t>Public Papers of Reagan, 1981, p.689</w:t>
      </w:r>
    </w:p>
    <w:p w:rsidR="00A31137" w:rsidRPr="00A31137" w:rsidRDefault="00A31137" w:rsidP="00A31137">
      <w:r w:rsidRPr="00A31137">
        <w:t>Q. Just to clarify, is your deadline 7 a.m. Wednesday or 11 o'clock?</w:t>
      </w:r>
    </w:p>
    <w:p w:rsidR="00A31137" w:rsidRPr="00A31137" w:rsidRDefault="00A31137" w:rsidP="00A31137">
      <w:r w:rsidRPr="00A31137">
        <w:t>Public Papers of Reagan, 1981, p.689</w:t>
      </w:r>
    </w:p>
    <w:p w:rsidR="00A31137" w:rsidRPr="00A31137" w:rsidRDefault="00A31137" w:rsidP="00A31137">
      <w:r w:rsidRPr="00A31137">
        <w:t>The Secretary of Transportation. It's 11 a.m. Wednesday. The President said 48 hours, and that would be 48 hours.</w:t>
      </w:r>
    </w:p>
    <w:p w:rsidR="00A31137" w:rsidRPr="00A31137" w:rsidRDefault="00A31137" w:rsidP="00A31137">
      <w:r w:rsidRPr="00A31137">
        <w:t>Public Papers of Reagan, 1981, p.689</w:t>
      </w:r>
    </w:p>
    <w:p w:rsidR="00A31137" w:rsidRPr="00A31137" w:rsidRDefault="00A31137" w:rsidP="00A31137">
      <w:r w:rsidRPr="00A31137">
        <w:t>Q. If you actually fire these people, won't it put your air traffic control system in a hole for years to come, since you can't just cook up a controller in—[inaudible]?</w:t>
      </w:r>
    </w:p>
    <w:p w:rsidR="00A31137" w:rsidRPr="00A31137" w:rsidRDefault="00A31137" w:rsidP="00A31137">
      <w:r w:rsidRPr="00A31137">
        <w:t>Public Papers of Reagan, 1981, p.689</w:t>
      </w:r>
    </w:p>
    <w:p w:rsidR="00A31137" w:rsidRPr="00A31137" w:rsidRDefault="00A31137" w:rsidP="00A31137">
      <w:r w:rsidRPr="00A31137">
        <w:t>The Secretary of Transportation. That obviously depends on how many return to work. Right now we're able to operate the system. In some areas, we've been very gratified by the support we've received. In other areas, we've been disappointed. And until I see the numbers, there's no way I can answer that question.</w:t>
      </w:r>
    </w:p>
    <w:p w:rsidR="00A31137" w:rsidRPr="00A31137" w:rsidRDefault="00A31137" w:rsidP="00A31137">
      <w:r w:rsidRPr="00A31137">
        <w:t>Public Papers of Reagan, 1981, p.689</w:t>
      </w:r>
    </w:p>
    <w:p w:rsidR="00A31137" w:rsidRPr="00A31137" w:rsidRDefault="00A31137" w:rsidP="00A31137">
      <w:r w:rsidRPr="00A31137">
        <w:t>Q. Mr. Lewis, did you tell the union leadership when you were talking to them that their members would be fired if they went out on strike?</w:t>
      </w:r>
    </w:p>
    <w:p w:rsidR="00A31137" w:rsidRPr="00A31137" w:rsidRDefault="00A31137" w:rsidP="00A31137">
      <w:r w:rsidRPr="00A31137">
        <w:t>Public Papers of Reagan, 1981, p.689–p.690</w:t>
      </w:r>
    </w:p>
    <w:p w:rsidR="00A31137" w:rsidRPr="00A31137" w:rsidRDefault="00A31137" w:rsidP="00A31137">
      <w:r w:rsidRPr="00A31137">
        <w:t>The Secretary of Transportation. I told Mr. Poll yesterday that the President gave me three instructions in terms of the firmness of the negotiations: one is there would [p.690] be no amnesty; the second there would be no negotiations during the strike; and third is that if they went on strike, these people would no longer be government employees.</w:t>
      </w:r>
    </w:p>
    <w:p w:rsidR="00A31137" w:rsidRPr="00A31137" w:rsidRDefault="00A31137" w:rsidP="00A31137">
      <w:r w:rsidRPr="00A31137">
        <w:t>Public Papers of Reagan, 1981, p.690</w:t>
      </w:r>
    </w:p>
    <w:p w:rsidR="00A31137" w:rsidRPr="00A31137" w:rsidRDefault="00A31137" w:rsidP="00A31137">
      <w:r w:rsidRPr="00A31137">
        <w:t>Q. Mr. Secretary, you said no negotiations. What about informal meetings of any kind with Mr. Poll?</w:t>
      </w:r>
    </w:p>
    <w:p w:rsidR="00A31137" w:rsidRPr="00A31137" w:rsidRDefault="00A31137" w:rsidP="00A31137">
      <w:r w:rsidRPr="00A31137">
        <w:t>Public Papers of Reagan, 1981, p.690</w:t>
      </w:r>
    </w:p>
    <w:p w:rsidR="00A31137" w:rsidRPr="00A31137" w:rsidRDefault="00A31137" w:rsidP="00A31137">
      <w:r w:rsidRPr="00A31137">
        <w:t>The Secretary of Transportation. We will have no meetings until the strike is terminated with the union.</w:t>
      </w:r>
    </w:p>
    <w:p w:rsidR="00A31137" w:rsidRPr="00A31137" w:rsidRDefault="00A31137" w:rsidP="00A31137">
      <w:r w:rsidRPr="00A31137">
        <w:t>Public Papers of Reagan, 1981, p.690</w:t>
      </w:r>
    </w:p>
    <w:p w:rsidR="00A31137" w:rsidRPr="00A31137" w:rsidRDefault="00A31137" w:rsidP="00A31137">
      <w:r w:rsidRPr="00A31137">
        <w:t>Q. Have you served Poll at this point? Has he been served by the Attorney General?</w:t>
      </w:r>
    </w:p>
    <w:p w:rsidR="00A31137" w:rsidRPr="00A31137" w:rsidRDefault="00A31137" w:rsidP="00A31137">
      <w:r w:rsidRPr="00A31137">
        <w:t>Public Papers of Reagan, 1981, p.690</w:t>
      </w:r>
    </w:p>
    <w:p w:rsidR="00A31137" w:rsidRPr="00A31137" w:rsidRDefault="00A31137" w:rsidP="00A31137">
      <w:r w:rsidRPr="00A31137">
        <w:t>The Attorney General. In the civil action that was filed this morning, the service was made on the attorney for the union, and the court has determined that that was appropriate service on all of the officers of the union.</w:t>
      </w:r>
    </w:p>
    <w:p w:rsidR="00A31137" w:rsidRPr="00A31137" w:rsidRDefault="00A31137" w:rsidP="00A31137">
      <w:r w:rsidRPr="00A31137">
        <w:t>Public Papers of Reagan, 1981, p.690</w:t>
      </w:r>
    </w:p>
    <w:p w:rsidR="00A31137" w:rsidRPr="00A31137" w:rsidRDefault="00A31137" w:rsidP="00A31137">
      <w:r w:rsidRPr="00A31137">
        <w:t>Q. My previous question about whether you're going to take a harder line on the leadership than rank and file in terms of any criminal prosecution, can you give us an answer on that?</w:t>
      </w:r>
    </w:p>
    <w:p w:rsidR="00A31137" w:rsidRPr="00A31137" w:rsidRDefault="00A31137" w:rsidP="00A31137">
      <w:r w:rsidRPr="00A31137">
        <w:t>Public Papers of Reagan, 1981, p.690</w:t>
      </w:r>
    </w:p>
    <w:p w:rsidR="00A31137" w:rsidRPr="00A31137" w:rsidRDefault="00A31137" w:rsidP="00A31137">
      <w:r w:rsidRPr="00A31137">
        <w:t>The Attorney General. No, I can't answer that except to say that each case will be investigated on its own merits, and action will be taken as appropriate in each of those cases.</w:t>
      </w:r>
    </w:p>
    <w:p w:rsidR="00A31137" w:rsidRPr="00A31137" w:rsidRDefault="00A31137" w:rsidP="00A31137">
      <w:r w:rsidRPr="00A31137">
        <w:t>Public Papers of Reagan, 1981, p.690</w:t>
      </w:r>
    </w:p>
    <w:p w:rsidR="00A31137" w:rsidRPr="00A31137" w:rsidRDefault="00A31137" w:rsidP="00A31137">
      <w:r w:rsidRPr="00A31137">
        <w:t>Q. Mr. Lewis, do you know how many applications for controller jobs you have on file now?</w:t>
      </w:r>
    </w:p>
    <w:p w:rsidR="00A31137" w:rsidRPr="00A31137" w:rsidRDefault="00A31137" w:rsidP="00A31137">
      <w:r w:rsidRPr="00A31137">
        <w:t>Public Papers of Reagan, 1981, p.690</w:t>
      </w:r>
    </w:p>
    <w:p w:rsidR="00A31137" w:rsidRPr="00A31137" w:rsidRDefault="00A31137" w:rsidP="00A31137">
      <w:r w:rsidRPr="00A31137">
        <w:t>The Secretary of Transportation. I do not know. I'm going to check when I get back. I am aware there's a waiting list, and I do not have the figure. If you care to have that, you can call our office, and we'll tell you. Also, we'll be advertising and recruiting people for this job if necessary.</w:t>
      </w:r>
    </w:p>
    <w:p w:rsidR="00A31137" w:rsidRPr="00A31137" w:rsidRDefault="00A31137" w:rsidP="00A31137">
      <w:r w:rsidRPr="00A31137">
        <w:t>Public Papers of Reagan, 1981, p.690</w:t>
      </w:r>
    </w:p>
    <w:p w:rsidR="00A31137" w:rsidRPr="00A31137" w:rsidRDefault="00A31137" w:rsidP="00A31137">
      <w:r w:rsidRPr="00A31137">
        <w:t>Q. Mr. Secretary, how long are you prepared to hold out if there's a partial but not complete strike?</w:t>
      </w:r>
    </w:p>
    <w:p w:rsidR="00A31137" w:rsidRPr="00A31137" w:rsidRDefault="00A31137" w:rsidP="00A31137">
      <w:r w:rsidRPr="00A31137">
        <w:t>Public Papers of Reagan, 1981, p.690</w:t>
      </w:r>
    </w:p>
    <w:p w:rsidR="00A31137" w:rsidRPr="00A31137" w:rsidRDefault="00A31137" w:rsidP="00A31137">
      <w:r w:rsidRPr="00A31137">
        <w:t>The Secretary of Transportation. I think the President made it very clear that as of 48 hours from now, if the people are not back on the job, they will not be government employees at any time in the future.</w:t>
      </w:r>
    </w:p>
    <w:p w:rsidR="00A31137" w:rsidRPr="00A31137" w:rsidRDefault="00A31137" w:rsidP="00A31137">
      <w:r w:rsidRPr="00A31137">
        <w:t>Public Papers of Reagan, 1981, p.690</w:t>
      </w:r>
    </w:p>
    <w:p w:rsidR="00A31137" w:rsidRPr="00A31137" w:rsidRDefault="00A31137" w:rsidP="00A31137">
      <w:r w:rsidRPr="00A31137">
        <w:t>Q. How long are you prepared to run the air controller system—[ inaudible]?</w:t>
      </w:r>
    </w:p>
    <w:p w:rsidR="00A31137" w:rsidRPr="00A31137" w:rsidRDefault="00A31137" w:rsidP="00A31137">
      <w:r w:rsidRPr="00A31137">
        <w:t>Public Papers of Reagan, 1981, p.690</w:t>
      </w:r>
    </w:p>
    <w:p w:rsidR="00A31137" w:rsidRPr="00A31137" w:rsidRDefault="00A31137" w:rsidP="00A31137">
      <w:r w:rsidRPr="00A31137">
        <w:t>The Secretary of Transportation. For years, if we have to.</w:t>
      </w:r>
    </w:p>
    <w:p w:rsidR="00A31137" w:rsidRPr="00A31137" w:rsidRDefault="00A31137" w:rsidP="00A31137">
      <w:r w:rsidRPr="00A31137">
        <w:t>Public Papers of Reagan, 1981, p.690</w:t>
      </w:r>
    </w:p>
    <w:p w:rsidR="00A31137" w:rsidRPr="00A31137" w:rsidRDefault="00A31137" w:rsidP="00A31137">
      <w:r w:rsidRPr="00A31137">
        <w:t>Q. How long does it take to train a new controller, from the waiting list?</w:t>
      </w:r>
    </w:p>
    <w:p w:rsidR="00A31137" w:rsidRPr="00A31137" w:rsidRDefault="00A31137" w:rsidP="00A31137">
      <w:r w:rsidRPr="00A31137">
        <w:t>Public Papers of Reagan, 1981, p.690</w:t>
      </w:r>
    </w:p>
    <w:p w:rsidR="00A31137" w:rsidRPr="00A31137" w:rsidRDefault="00A31137" w:rsidP="00A31137">
      <w:r w:rsidRPr="00A31137">
        <w:t>The Secretary of Transportation. It varies; it depends on the type of center they're going to be in. For someone to start in the system and work through the more minor office types of control situations till they get to, let's say, a Chicago or a Washington National, it takes about 3 years. So in this case, what we'll have to do if some of the major metropolitan areas are shut down or a considerable portion is shut down, we'll be bringing people in from other areas that are qualified and then start bringing people through the training schools in the smaller cities and smaller airports.</w:t>
      </w:r>
    </w:p>
    <w:p w:rsidR="00A31137" w:rsidRPr="00A31137" w:rsidRDefault="00A31137" w:rsidP="00A31137">
      <w:r w:rsidRPr="00A31137">
        <w:t>Public Papers of Reagan, 1981, p.690</w:t>
      </w:r>
    </w:p>
    <w:p w:rsidR="00A31137" w:rsidRPr="00A31137" w:rsidRDefault="00A31137" w:rsidP="00A31137">
      <w:r w:rsidRPr="00A31137">
        <w:t>Q. Mr. Secretary, have you definitely made your final offer to the union?</w:t>
      </w:r>
    </w:p>
    <w:p w:rsidR="00A31137" w:rsidRPr="00A31137" w:rsidRDefault="00A31137" w:rsidP="00A31137">
      <w:r w:rsidRPr="00A31137">
        <w:t>Public Papers of Reagan, 1981, p.690</w:t>
      </w:r>
    </w:p>
    <w:p w:rsidR="00A31137" w:rsidRPr="00A31137" w:rsidRDefault="00A31137" w:rsidP="00A31137">
      <w:r w:rsidRPr="00A31137">
        <w:t>The Secretary of Transportation. Yes, we have.</w:t>
      </w:r>
    </w:p>
    <w:p w:rsidR="00A31137" w:rsidRPr="00A31137" w:rsidRDefault="00A31137" w:rsidP="00A31137">
      <w:r w:rsidRPr="00A31137">
        <w:t>Public Papers of Reagan, 1981, p.690</w:t>
      </w:r>
    </w:p>
    <w:p w:rsidR="00A31137" w:rsidRPr="00A31137" w:rsidRDefault="00A31137" w:rsidP="00A31137">
      <w:r w:rsidRPr="00A31137">
        <w:t>Q. Thank you.</w:t>
      </w:r>
    </w:p>
    <w:p w:rsidR="00A31137" w:rsidRPr="00A31137" w:rsidRDefault="00A31137" w:rsidP="00A31137">
      <w:r w:rsidRPr="00A31137">
        <w:t>Public Papers of Reagan, 1981, p.690</w:t>
      </w:r>
    </w:p>
    <w:p w:rsidR="00A31137" w:rsidRPr="00A31137" w:rsidRDefault="00A31137" w:rsidP="00A31137">
      <w:r w:rsidRPr="00A31137">
        <w:t>Note: The President read the statement to reporters at 10:55 a.m. in the Rose Garden at the White House.</w:t>
      </w:r>
    </w:p>
    <w:p w:rsidR="00A31137" w:rsidRPr="00A31137" w:rsidRDefault="00A31137" w:rsidP="00A31137">
      <w:r w:rsidRPr="00A31137">
        <w:t>President Reagan's Remarks to Members of the National Press Club on Arms Reduction and Nuclear Weapons, 1981</w:t>
      </w:r>
    </w:p>
    <w:p w:rsidR="00A31137" w:rsidRPr="00A31137" w:rsidRDefault="00A31137" w:rsidP="00A31137">
      <w:r w:rsidRPr="00A31137">
        <w:t>Title:</w:t>
      </w:r>
      <w:r w:rsidRPr="00A31137">
        <w:tab/>
        <w:t>President Reagan's Remarks to Members of the National Press Club on Arms Reduction and Nuclear Weapons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November 18, 1981</w:t>
      </w:r>
    </w:p>
    <w:p w:rsidR="00A31137" w:rsidRPr="00A31137" w:rsidRDefault="00A31137" w:rsidP="00A31137">
      <w:r w:rsidRPr="00A31137">
        <w:t>Source:</w:t>
      </w:r>
      <w:r w:rsidRPr="00A31137">
        <w:tab/>
        <w:t>Public Papers of the Presidents, Reagan, 1981, pp.1062-1067</w:t>
      </w:r>
    </w:p>
    <w:p w:rsidR="00A31137" w:rsidRPr="00A31137" w:rsidRDefault="00A31137" w:rsidP="00A31137">
      <w:r w:rsidRPr="00A31137">
        <w:t>Public Papers of Reagan, 1981, p.1062</w:t>
      </w:r>
    </w:p>
    <w:p w:rsidR="00A31137" w:rsidRPr="00A31137" w:rsidRDefault="00A31137" w:rsidP="00A31137">
      <w:r w:rsidRPr="00A31137">
        <w:t>Officers, ladies and gentlemen of the National Press Club and, as of a very short time ago, fellow members:</w:t>
      </w:r>
    </w:p>
    <w:p w:rsidR="00A31137" w:rsidRPr="00A31137" w:rsidRDefault="00A31137" w:rsidP="00A31137">
      <w:r w:rsidRPr="00A31137">
        <w:t>Public Papers of Reagan, 1981, p.1062–p.1063</w:t>
      </w:r>
    </w:p>
    <w:p w:rsidR="00A31137" w:rsidRPr="00A31137" w:rsidRDefault="00A31137" w:rsidP="00A31137">
      <w:r w:rsidRPr="00A31137">
        <w:t>Back in April while in the hospital I had, as you can readily understand, a lot of time for reflection. And one day I decided to send a personal, handwritten letter to Soviet President Leonid Brezhnev reminding him that we had met about 10 years ago in San Clemente, California, as he and [p.1063] President Nixon were concluding a series of meetings that had brought hope to all the world. Never had peace and good will seemed closer at hand.</w:t>
      </w:r>
    </w:p>
    <w:p w:rsidR="00A31137" w:rsidRPr="00A31137" w:rsidRDefault="00A31137" w:rsidP="00A31137">
      <w:r w:rsidRPr="00A31137">
        <w:t>Public Papers of Reagan, 1981, p.1063</w:t>
      </w:r>
    </w:p>
    <w:p w:rsidR="00A31137" w:rsidRPr="00A31137" w:rsidRDefault="00A31137" w:rsidP="00A31137">
      <w:r w:rsidRPr="00A31137">
        <w:t>I'd like to read you a few paragraphs from that letter. "Mr. President: When we met, I asked if you were aware that the hopes and aspirations of millions of people throughout the world were dependent on the decisions that would be reached in those meetings. You took my hand in both of yours and assured me that you were aware of that and that you were dedicated with all your heart and soul and mind to fulfilling those hopes and dreams."</w:t>
      </w:r>
    </w:p>
    <w:p w:rsidR="00A31137" w:rsidRPr="00A31137" w:rsidRDefault="00A31137" w:rsidP="00A31137">
      <w:r w:rsidRPr="00A31137">
        <w:t>Public Papers of Reagan, 1981, p.1063</w:t>
      </w:r>
    </w:p>
    <w:p w:rsidR="00A31137" w:rsidRPr="00A31137" w:rsidRDefault="00A31137" w:rsidP="00A31137">
      <w:r w:rsidRPr="00A31137">
        <w:t>I went on in my letter to say: "The people of the world still share that hope. Indeed, the peoples of the world, despite differences in racial and ethnic origin, have very much in common. They want the dignity of having some control over their individual lives, their destiny. They want to work at the craft or trade of their own choosing and to be fairly rewarded. They want to raise their families in peace without harming anyone or suffering harm themselves. Government exists for their convenience, not the other way around.</w:t>
      </w:r>
    </w:p>
    <w:p w:rsidR="00A31137" w:rsidRPr="00A31137" w:rsidRDefault="00A31137" w:rsidP="00A31137">
      <w:r w:rsidRPr="00A31137">
        <w:t>Public Papers of Reagan, 1981, p.1063</w:t>
      </w:r>
    </w:p>
    <w:p w:rsidR="00A31137" w:rsidRPr="00A31137" w:rsidRDefault="00A31137" w:rsidP="00A31137">
      <w:r w:rsidRPr="00A31137">
        <w:t>"If they are incapable, as some would have us believe, of self-government, then where among them do we find any who are capable of governing others?</w:t>
      </w:r>
    </w:p>
    <w:p w:rsidR="00A31137" w:rsidRPr="00A31137" w:rsidRDefault="00A31137" w:rsidP="00A31137">
      <w:r w:rsidRPr="00A31137">
        <w:t>Public Papers of Reagan, 1981, p.1063</w:t>
      </w:r>
    </w:p>
    <w:p w:rsidR="00A31137" w:rsidRPr="00A31137" w:rsidRDefault="00A31137" w:rsidP="00A31137">
      <w:r w:rsidRPr="00A31137">
        <w:t>"Is it possible that we have permitted ideology, political and economic philosophies, and governmental policies to keep us from considering the very real, everyday problems of our peoples? Will the average Soviet family be better off or even aware that the Soviet Union has imposed a government of its own choice on the people of Afghanistan? Is life better for the people of Cuba because the Cuban military dictate who shall govern the people of Angola?</w:t>
      </w:r>
    </w:p>
    <w:p w:rsidR="00A31137" w:rsidRPr="00A31137" w:rsidRDefault="00A31137" w:rsidP="00A31137">
      <w:r w:rsidRPr="00A31137">
        <w:t>Public Papers of Reagan, 1981, p.1063</w:t>
      </w:r>
    </w:p>
    <w:p w:rsidR="00A31137" w:rsidRPr="00A31137" w:rsidRDefault="00A31137" w:rsidP="00A31137">
      <w:r w:rsidRPr="00A31137">
        <w:t>"It is often implied that such things have been made necessary because of territorial ambitions of the United States; that we have imperialistic designs, and thus constitute a threat to your own security and that of the newly emerging nations. Not only is there no evidence to support such a charge, there is solid evidence that the United States, .when it could have dominated the world with no risk to itself, made no effort whatsoever to do so.</w:t>
      </w:r>
    </w:p>
    <w:p w:rsidR="00A31137" w:rsidRPr="00A31137" w:rsidRDefault="00A31137" w:rsidP="00A31137">
      <w:r w:rsidRPr="00A31137">
        <w:t>Public Papers of Reagan, 1981, p.1063</w:t>
      </w:r>
    </w:p>
    <w:p w:rsidR="00A31137" w:rsidRPr="00A31137" w:rsidRDefault="00A31137" w:rsidP="00A31137">
      <w:r w:rsidRPr="00A31137">
        <w:t>"When World War II ended, the United States had the only undamaged industrial power in the world. Our military might was at its peak, and we alone had the ultimate weapon, the nuclear weapon, with the unquestioned ability to deliver it anywhere in the world. If we had sought world domination then, who could have opposed us'?</w:t>
      </w:r>
    </w:p>
    <w:p w:rsidR="00A31137" w:rsidRPr="00A31137" w:rsidRDefault="00A31137" w:rsidP="00A31137">
      <w:r w:rsidRPr="00A31137">
        <w:t>Public Papers of Reagan, 1981, p.1063</w:t>
      </w:r>
    </w:p>
    <w:p w:rsidR="00A31137" w:rsidRPr="00A31137" w:rsidRDefault="00A31137" w:rsidP="00A31137">
      <w:r w:rsidRPr="00A31137">
        <w:t>"But the United States followed a different course, one unique in all the history of mankind. We used our power and wealth to rebuild the war-ravished economies of the world, including those of the nations who had been our enemies. May I say, there is absolutely no substance to charges that the United States is guilty of imperialism or attempts to impose its will on other countries, by use of force."</w:t>
      </w:r>
    </w:p>
    <w:p w:rsidR="00A31137" w:rsidRPr="00A31137" w:rsidRDefault="00A31137" w:rsidP="00A31137">
      <w:r w:rsidRPr="00A31137">
        <w:t>Public Papers of Reagan, 1981, p.1063</w:t>
      </w:r>
    </w:p>
    <w:p w:rsidR="00A31137" w:rsidRPr="00A31137" w:rsidRDefault="00A31137" w:rsidP="00A31137">
      <w:r w:rsidRPr="00A31137">
        <w:t>I continued my letter by saying—or concluded my letter, I should say—by saying, "Mr. President, should we not be concerned with eliminating the obstacles which prevent our people, those you and I represent, from achieving their most cherished goals?"</w:t>
      </w:r>
    </w:p>
    <w:p w:rsidR="00A31137" w:rsidRPr="00A31137" w:rsidRDefault="00A31137" w:rsidP="00A31137">
      <w:r w:rsidRPr="00A31137">
        <w:t>Public Papers of Reagan, 1981, p.1063</w:t>
      </w:r>
    </w:p>
    <w:p w:rsidR="00A31137" w:rsidRPr="00A31137" w:rsidRDefault="00A31137" w:rsidP="00A31137">
      <w:r w:rsidRPr="00A31137">
        <w:t>Well, it's in the same spirit that I want to speak today to this audience and the people of the world about America's program for peace and the coming negotiations which begin November 30th in Geneva, Switzerland. Specifically, I want to present our program for preserving peace in Europe and our wider program for arms control.</w:t>
      </w:r>
    </w:p>
    <w:p w:rsidR="00A31137" w:rsidRPr="00A31137" w:rsidRDefault="00A31137" w:rsidP="00A31137">
      <w:r w:rsidRPr="00A31137">
        <w:t>Public Papers of Reagan, 1981, p.1063</w:t>
      </w:r>
    </w:p>
    <w:p w:rsidR="00A31137" w:rsidRPr="00A31137" w:rsidRDefault="00A31137" w:rsidP="00A31137">
      <w:r w:rsidRPr="00A31137">
        <w:t>Twice in my lifetime, I have seen the peoples of Europe plunged into the tragedy of war. Twice in my lifetime, Europe has suffered destruction and military occupation in wars that statesmen proved powerless to prevent, soldiers unable to contain, and ordinary citizens unable to escape. And twice in my lifetime, young Americans have bled their lives into the soil of those battlefields not to enrich or enlarge our domain, but to restore the peace and independence of our friends and Allies.</w:t>
      </w:r>
    </w:p>
    <w:p w:rsidR="00A31137" w:rsidRPr="00A31137" w:rsidRDefault="00A31137" w:rsidP="00A31137">
      <w:r w:rsidRPr="00A31137">
        <w:t>Public Papers of Reagan, 1981, p.1063</w:t>
      </w:r>
    </w:p>
    <w:p w:rsidR="00A31137" w:rsidRPr="00A31137" w:rsidRDefault="00A31137" w:rsidP="00A31137">
      <w:r w:rsidRPr="00A31137">
        <w:t>All of us who lived through those troubled times share a common resolve that they must never come again. And most of us share a common appreciation of the Atlantic Alliance that has made a peaceful, free, and prosperous Western Europe in the post-war era possible.</w:t>
      </w:r>
    </w:p>
    <w:p w:rsidR="00A31137" w:rsidRPr="00A31137" w:rsidRDefault="00A31137" w:rsidP="00A31137">
      <w:r w:rsidRPr="00A31137">
        <w:t>Public Papers of Reagan, 1981, p.1064</w:t>
      </w:r>
    </w:p>
    <w:p w:rsidR="00A31137" w:rsidRPr="00A31137" w:rsidRDefault="00A31137" w:rsidP="00A31137">
      <w:r w:rsidRPr="00A31137">
        <w:t>But today, a new generation is emerging on both sides of the Atlantic. Its members were not present at the creation of the North Atlantic Alliance. Many of them don't fully understand its roots in defending freedom and rebuilding a war-torn continent. Some young people question why we need weapons, particularly nuclear weapons, to deter war and to assure peaceful development. They fear that the accumulation of weapons itself may lead to conflagration. Some even propose unilateral disarmament.</w:t>
      </w:r>
    </w:p>
    <w:p w:rsidR="00A31137" w:rsidRPr="00A31137" w:rsidRDefault="00A31137" w:rsidP="00A31137">
      <w:r w:rsidRPr="00A31137">
        <w:t>Public Papers of Reagan, 1981, p.1064</w:t>
      </w:r>
    </w:p>
    <w:p w:rsidR="00A31137" w:rsidRPr="00A31137" w:rsidRDefault="00A31137" w:rsidP="00A31137">
      <w:r w:rsidRPr="00A31137">
        <w:t>I understand their concerns. Their questions deserve to be answered. But we have an obligation to answer their questions on the basis of judgment and reason and experience. Our policies have resulted in the longest European peace in this century. Wouldn't a rash departure from these policies, as some now suggest, endanger that peace?</w:t>
      </w:r>
    </w:p>
    <w:p w:rsidR="00A31137" w:rsidRPr="00A31137" w:rsidRDefault="00A31137" w:rsidP="00A31137">
      <w:r w:rsidRPr="00A31137">
        <w:t>Public Papers of Reagan, 1981, p.1064</w:t>
      </w:r>
    </w:p>
    <w:p w:rsidR="00A31137" w:rsidRPr="00A31137" w:rsidRDefault="00A31137" w:rsidP="00A31137">
      <w:r w:rsidRPr="00A31137">
        <w:t>From its founding, the Atlantic Alliance has preserved the peace through unity, deterrence, and dialog. First, we and our Allies have stood united by the firm commitment that an attack upon any one of us would be considered an attack upon us all. Second, we and our Allies have deterred aggression by maintaining forces strong enough to ensure that any aggressor would lose more from an attack than he could possibly gain. And third, we and our Allies have engaged the Soviets in a dialog about mutual restraint and arms limitations, hoping to reduce the risk of war and the burden of armaments and to lower the barriers that divide East from West.</w:t>
      </w:r>
    </w:p>
    <w:p w:rsidR="00A31137" w:rsidRPr="00A31137" w:rsidRDefault="00A31137" w:rsidP="00A31137">
      <w:r w:rsidRPr="00A31137">
        <w:t>Public Papers of Reagan, 1981, p.1064</w:t>
      </w:r>
    </w:p>
    <w:p w:rsidR="00A31137" w:rsidRPr="00A31137" w:rsidRDefault="00A31137" w:rsidP="00A31137">
      <w:r w:rsidRPr="00A31137">
        <w:t>These three elements of our policy have preserved the peace in Europe for more than a third of a century. They can preserve it for generations to come, so long as we pursue them with sufficient will and vigor.</w:t>
      </w:r>
    </w:p>
    <w:p w:rsidR="00A31137" w:rsidRPr="00A31137" w:rsidRDefault="00A31137" w:rsidP="00A31137">
      <w:r w:rsidRPr="00A31137">
        <w:t>Public Papers of Reagan, 1981, p.1064</w:t>
      </w:r>
    </w:p>
    <w:p w:rsidR="00A31137" w:rsidRPr="00A31137" w:rsidRDefault="00A31137" w:rsidP="00A31137">
      <w:r w:rsidRPr="00A31137">
        <w:t>Today, I wish to reaffirm America's commitment to the Atlantic Alliance and our resolve to sustain the peace. And from my conversations with allied leaders, I know that they also remain true to this tried and proven course.</w:t>
      </w:r>
    </w:p>
    <w:p w:rsidR="00A31137" w:rsidRPr="00A31137" w:rsidRDefault="00A31137" w:rsidP="00A31137">
      <w:r w:rsidRPr="00A31137">
        <w:t>Public Papers of Reagan, 1981, p.1064</w:t>
      </w:r>
    </w:p>
    <w:p w:rsidR="00A31137" w:rsidRPr="00A31137" w:rsidRDefault="00A31137" w:rsidP="00A31137">
      <w:r w:rsidRPr="00A31137">
        <w:t>NATO's policy of peace is based on restraint and balance. No NATO weapons, conventional or nuclear, will ever be used in Europe except in response to attack. NATO's defense plans have been responsible and restrained. The Allies remain strong, united, and resolute. But the momentum of the continuing Soviet military buildup threatens both the conventional and the nuclear balance.</w:t>
      </w:r>
    </w:p>
    <w:p w:rsidR="00A31137" w:rsidRPr="00A31137" w:rsidRDefault="00A31137" w:rsidP="00A31137">
      <w:r w:rsidRPr="00A31137">
        <w:t>Public Papers of Reagan, 1981, p.1064</w:t>
      </w:r>
    </w:p>
    <w:p w:rsidR="00A31137" w:rsidRPr="00A31137" w:rsidRDefault="00A31137" w:rsidP="00A31137">
      <w:r w:rsidRPr="00A31137">
        <w:t>Consider the facts. Over the past decade, the United States reduced the size of its Armed Forces and decreased its military spending. The Soviets steadily increased the number of men under arms. They now number more than double those of the United States. Over the same period, the Soviets expanded their real military spending by about one-third. The Soviet Union increased its inventory of tanks to some 50,000, compared to our 11,000. Historically a land power, they transformed their navy from a coastal defense force to an open ocean fleet, while the United States, a sea power with transoceanic alliances, cut its fleet in half.</w:t>
      </w:r>
    </w:p>
    <w:p w:rsidR="00A31137" w:rsidRPr="00A31137" w:rsidRDefault="00A31137" w:rsidP="00A31137">
      <w:r w:rsidRPr="00A31137">
        <w:t>Public Papers of Reagan, 1981, p.1064</w:t>
      </w:r>
    </w:p>
    <w:p w:rsidR="00A31137" w:rsidRPr="00A31137" w:rsidRDefault="00A31137" w:rsidP="00A31137">
      <w:r w:rsidRPr="00A31137">
        <w:t>During a period when NATO deployed no new intermediate-range nuclear missiles and actually withdrew 1,000 nuclear warheads, the Soviet Union deployed more than 750 nuclear warheads on the new SS20 missiles alone.</w:t>
      </w:r>
    </w:p>
    <w:p w:rsidR="00A31137" w:rsidRPr="00A31137" w:rsidRDefault="00A31137" w:rsidP="00A31137">
      <w:r w:rsidRPr="00A31137">
        <w:t>Public Papers of Reagan, 1981, p.1064</w:t>
      </w:r>
    </w:p>
    <w:p w:rsidR="00A31137" w:rsidRPr="00A31137" w:rsidRDefault="00A31137" w:rsidP="00A31137">
      <w:r w:rsidRPr="00A31137">
        <w:t>Our response to this relentless buildup of Soviet military power has been restrained but firm. We have made decisions to strengthen all three legs of the strategic triad: sea-, land-, and air-based. We have proposed a defense program in the United States for the next 5 years which will remedy the neglect of the past decade and restore the eroding balance on which our security depends.</w:t>
      </w:r>
    </w:p>
    <w:p w:rsidR="00A31137" w:rsidRPr="00A31137" w:rsidRDefault="00A31137" w:rsidP="00A31137">
      <w:r w:rsidRPr="00A31137">
        <w:t>Public Papers of Reagan, 1981, p.1064</w:t>
      </w:r>
    </w:p>
    <w:p w:rsidR="00A31137" w:rsidRPr="00A31137" w:rsidRDefault="00A31137" w:rsidP="00A31137">
      <w:r w:rsidRPr="00A31137">
        <w:t>I would like to discuss more specifically the growing threat to Western Europe which is posed by the continuing deployment of certain Soviet intermediate-range nuclear missiles. The Soviet Union has three different type such missile systems: the SS20, the SS-4, and the SS-5, all with the range capable of reaching virtually all of Western Europe. There are other Soviet weapon systems which also represent a major threat.</w:t>
      </w:r>
    </w:p>
    <w:p w:rsidR="00A31137" w:rsidRPr="00A31137" w:rsidRDefault="00A31137" w:rsidP="00A31137">
      <w:r w:rsidRPr="00A31137">
        <w:t>Public Papers of Reagan, 1981, p.1064–p.1065</w:t>
      </w:r>
    </w:p>
    <w:p w:rsidR="00A31137" w:rsidRPr="00A31137" w:rsidRDefault="00A31137" w:rsidP="00A31137">
      <w:r w:rsidRPr="00A31137">
        <w:t>Now, the only answer to these systems is a comparable threat to Soviet threats, to Soviet targets; in other words, a deterrent preventing the use of these Soviet weapons by the counterthreat of a like response [p.1065] against their own territory. At present, however, there is no equivalent deterrent to these Soviet intermediate missiles. And the Soviets continue to add one new SS-20 a week.</w:t>
      </w:r>
    </w:p>
    <w:p w:rsidR="00A31137" w:rsidRPr="00A31137" w:rsidRDefault="00A31137" w:rsidP="00A31137">
      <w:r w:rsidRPr="00A31137">
        <w:t>Public Papers of Reagan, 1981, p.1065</w:t>
      </w:r>
    </w:p>
    <w:p w:rsidR="00A31137" w:rsidRPr="00A31137" w:rsidRDefault="00A31137" w:rsidP="00A31137">
      <w:r w:rsidRPr="00A31137">
        <w:t>To counter this, the Allies agreed in 1979, as part of a two-track decision, to deploy as a deterrent land-based cruise missiles and Pershing II missiles capable of reaching targets in the Soviet Union. These missiles are to be deployed in several countries of Western Europe. This relatively limited force in no way serves as a substitute for the much larger strategic umbrella spread over our NATO Allies. Rather, it provides a vital link between conventional shorter-range nuclear forces in Europe and intercontinental forces in the United States.</w:t>
      </w:r>
    </w:p>
    <w:p w:rsidR="00A31137" w:rsidRPr="00A31137" w:rsidRDefault="00A31137" w:rsidP="00A31137">
      <w:r w:rsidRPr="00A31137">
        <w:t>Public Papers of Reagan, 1981, p.1065</w:t>
      </w:r>
    </w:p>
    <w:p w:rsidR="00A31137" w:rsidRPr="00A31137" w:rsidRDefault="00A31137" w:rsidP="00A31137">
      <w:r w:rsidRPr="00A31137">
        <w:t>Deployment of these systems will demonstrate to the Soviet Union that this link cannot be broken. Deterring war depends on the perceived ability of our forces to perform effectively. The more effective our forces are, the less likely it is that we'll have to use them. So, we and our allies are proceeding to modernize NATO's nuclear forces of intermediate range to meet increased Soviet deployments of nuclear systems threatening Western Europe.</w:t>
      </w:r>
    </w:p>
    <w:p w:rsidR="00A31137" w:rsidRPr="00A31137" w:rsidRDefault="00A31137" w:rsidP="00A31137">
      <w:r w:rsidRPr="00A31137">
        <w:t>Public Papers of Reagan, 1981, p.1065</w:t>
      </w:r>
    </w:p>
    <w:p w:rsidR="00A31137" w:rsidRPr="00A31137" w:rsidRDefault="00A31137" w:rsidP="00A31137">
      <w:r w:rsidRPr="00A31137">
        <w:t>Let me turn now to our hopes for arms control negotiations. There's a tendency to make this entire subject overly complex. I want to be clear and concise. I told you of the letter I wrote to President Brezhnev last April. Well, I've just sent another message to the Soviet leadership. It's a simple, straightforward, yet, historic message. The United States proposes the mutual reduction of conventional intermediate-range nuclear and strategic forces. Specifically, I have proposed a four-point agenda to achieve this objective in my letter to President Brezhnev.</w:t>
      </w:r>
    </w:p>
    <w:p w:rsidR="00A31137" w:rsidRPr="00A31137" w:rsidRDefault="00A31137" w:rsidP="00A31137">
      <w:r w:rsidRPr="00A31137">
        <w:t>Public Papers of Reagan, 1981, p.1065</w:t>
      </w:r>
    </w:p>
    <w:p w:rsidR="00A31137" w:rsidRPr="00A31137" w:rsidRDefault="00A31137" w:rsidP="00A31137">
      <w:r w:rsidRPr="00A31137">
        <w:t>The first and most important point concerns the Geneva negotiations. As part of the 1979 two-track decision, NATO made a commitment to seek arms control negotiations with the Soviet Union on intermediate range nuclear forces. The United States has been preparing for these negotiations through close consultation with our NATO partners.</w:t>
      </w:r>
    </w:p>
    <w:p w:rsidR="00A31137" w:rsidRPr="00A31137" w:rsidRDefault="00A31137" w:rsidP="00A31137">
      <w:r w:rsidRPr="00A31137">
        <w:t>Public Papers of Reagan, 1981, p.1065</w:t>
      </w:r>
    </w:p>
    <w:p w:rsidR="00A31137" w:rsidRPr="00A31137" w:rsidRDefault="00A31137" w:rsidP="00A31137">
      <w:r w:rsidRPr="00A31137">
        <w:t>We're now ready to set forth our proposal. I have informed President Brezhnev that when our delegation travels to the negotiations on intermediate range, land-based nuclear missiles in Geneva on the 30th of this month, my representatives will present the following proposal: The United States is prepared to cancel its deployment of Pershing II and ground-launch cruise missiles if the Soviets will dismantle their SS-20, SS-4, and SS-5 missiles. This would be an historic step. With Soviet agreement, we could together substantially reduce the dread threat of nuclear war which hangs over the people of Europe. This, like the first footstep on the Moon, would be a giant step for mankind.</w:t>
      </w:r>
    </w:p>
    <w:p w:rsidR="00A31137" w:rsidRPr="00A31137" w:rsidRDefault="00A31137" w:rsidP="00A31137">
      <w:r w:rsidRPr="00A31137">
        <w:t>Public Papers of Reagan, 1981, p.1065</w:t>
      </w:r>
    </w:p>
    <w:p w:rsidR="00A31137" w:rsidRPr="00A31137" w:rsidRDefault="00A31137" w:rsidP="00A31137">
      <w:r w:rsidRPr="00A31137">
        <w:t>Now, we intend to negotiate in good faith and go to Geneva willing to listen to and consider the proposals of our Soviet counterparts, but let me call to your attention the background against which our proposal is made.</w:t>
      </w:r>
    </w:p>
    <w:p w:rsidR="00A31137" w:rsidRPr="00A31137" w:rsidRDefault="00A31137" w:rsidP="00A31137">
      <w:r w:rsidRPr="00A31137">
        <w:t>Public Papers of Reagan, 1981, p.1065</w:t>
      </w:r>
    </w:p>
    <w:p w:rsidR="00A31137" w:rsidRPr="00A31137" w:rsidRDefault="00A31137" w:rsidP="00A31137">
      <w:r w:rsidRPr="00A31137">
        <w:t>During the past 6 years while the United States deployed no new intermediate-range missiles and withdrew 1,000 nuclear warheads from Europe, the Soviet Union deployed 750 warheads on mobile, accurate ballistic missiles. They now have 1,100 warheads on the SS-20s, SS-4s and 5s. And the United States has no comparable missiles. Indeed, the United States dismantled the last such missile in Europe over 15 years ago.</w:t>
      </w:r>
    </w:p>
    <w:p w:rsidR="00A31137" w:rsidRPr="00A31137" w:rsidRDefault="00A31137" w:rsidP="00A31137">
      <w:r w:rsidRPr="00A31137">
        <w:t>Public Papers of Reagan, 1981, p.1065</w:t>
      </w:r>
    </w:p>
    <w:p w:rsidR="00A31137" w:rsidRPr="00A31137" w:rsidRDefault="00A31137" w:rsidP="00A31137">
      <w:r w:rsidRPr="00A31137">
        <w:t>As we look to the future of the negotiations, it's also important to address certain Soviet claims, which left unrefuted could become critical barriers to real progress in arms control.</w:t>
      </w:r>
    </w:p>
    <w:p w:rsidR="00A31137" w:rsidRPr="00A31137" w:rsidRDefault="00A31137" w:rsidP="00A31137">
      <w:r w:rsidRPr="00A31137">
        <w:t>Public Papers of Reagan, 1981, p.1065</w:t>
      </w:r>
    </w:p>
    <w:p w:rsidR="00A31137" w:rsidRPr="00A31137" w:rsidRDefault="00A31137" w:rsidP="00A31137">
      <w:r w:rsidRPr="00A31137">
        <w:t>The Soviets assert that a balance of intermediate range nuclear forces already exists. That assertion is wrong. By any objective measure, as this chart indicates, the Soviet Union has developed an increasingly overwhelming advantage. They now enjoy a superiority on the order of six to one. The red is the Soviet buildup; the blue is our own. That is 1975, and that is 1981.</w:t>
      </w:r>
    </w:p>
    <w:p w:rsidR="00A31137" w:rsidRPr="00A31137" w:rsidRDefault="00A31137" w:rsidP="00A31137">
      <w:r w:rsidRPr="00A31137">
        <w:t>Public Papers of Reagan, 1981, p.1065–p.1066</w:t>
      </w:r>
    </w:p>
    <w:p w:rsidR="00A31137" w:rsidRPr="00A31137" w:rsidRDefault="00A31137" w:rsidP="00A31137">
      <w:r w:rsidRPr="00A31137">
        <w:t>Now, Soviet spokesmen have suggested that moving their SS-20s behind the Ural Mountains will remove the threat to Europe. Well, as this map demonstrates, the SS-20s, even if deployed behind the Urals, will have a range that puts almost all of Western Europe—the great cities—Rome, [p.1066] Athens, Paris, London, Brussels, Amsterdam, Berlin, and so many more—all of Scandinavia, all of the Middle East, all of northern Africa, all within range of these missiles which, incidentally, are mobile and can be moved on shorter notice. These little images mark the present location which would give them a range clear out into the Atlantic.</w:t>
      </w:r>
    </w:p>
    <w:p w:rsidR="00A31137" w:rsidRPr="00A31137" w:rsidRDefault="00A31137" w:rsidP="00A31137">
      <w:r w:rsidRPr="00A31137">
        <w:t>Public Papers of Reagan, 1981, p.1066</w:t>
      </w:r>
    </w:p>
    <w:p w:rsidR="00A31137" w:rsidRPr="00A31137" w:rsidRDefault="00A31137" w:rsidP="00A31137">
      <w:r w:rsidRPr="00A31137">
        <w:t>The second proposal that I've made to President Brezhnev concerns strategic weapons. The United States proposes to open negotiations on strategic arms as soon as possible next year.</w:t>
      </w:r>
    </w:p>
    <w:p w:rsidR="00A31137" w:rsidRPr="00A31137" w:rsidRDefault="00A31137" w:rsidP="00A31137">
      <w:r w:rsidRPr="00A31137">
        <w:t>Public Papers of Reagan, 1981, p.1066</w:t>
      </w:r>
    </w:p>
    <w:p w:rsidR="00A31137" w:rsidRPr="00A31137" w:rsidRDefault="00A31137" w:rsidP="00A31137">
      <w:r w:rsidRPr="00A31137">
        <w:t>I have instructed Secretary Haig to discuss the timing of such meetings with Soviet representatives. Substance, however, is far more important than timing. As our proposal for the Geneva talks this month illustrates, we can make proposals for genuinely serious reductions, but only if we take the time to prepare carefully.</w:t>
      </w:r>
    </w:p>
    <w:p w:rsidR="00A31137" w:rsidRPr="00A31137" w:rsidRDefault="00A31137" w:rsidP="00A31137">
      <w:r w:rsidRPr="00A31137">
        <w:t>Public Papers of Reagan, 1981, p.1066</w:t>
      </w:r>
    </w:p>
    <w:p w:rsidR="00A31137" w:rsidRPr="00A31137" w:rsidRDefault="00A31137" w:rsidP="00A31137">
      <w:r w:rsidRPr="00A31137">
        <w:t>The United States has been preparing carefully for resumption of strategic arms negotiations because we don't want a repetition of past disappointments. We don't want an arms control process that sends hopes soaring only to end in dashed expectations.</w:t>
      </w:r>
    </w:p>
    <w:p w:rsidR="00A31137" w:rsidRPr="00A31137" w:rsidRDefault="00A31137" w:rsidP="00A31137">
      <w:r w:rsidRPr="00A31137">
        <w:t>Public Papers of Reagan, 1981, p.1066</w:t>
      </w:r>
    </w:p>
    <w:p w:rsidR="00A31137" w:rsidRPr="00A31137" w:rsidRDefault="00A31137" w:rsidP="00A31137">
      <w:r w:rsidRPr="00A31137">
        <w:t>Now, I have informed President Brezhnev that we will seek to negotiate substantial reductions in nuclear arms which would result in levels that are equal and verifiable. Our approach to verification will be to emphasize openness and creativity, rather than the secrecy and suspicion which have undermined confidence in arms control in the past.</w:t>
      </w:r>
    </w:p>
    <w:p w:rsidR="00A31137" w:rsidRPr="00A31137" w:rsidRDefault="00A31137" w:rsidP="00A31137">
      <w:r w:rsidRPr="00A31137">
        <w:t>Public Papers of Reagan, 1981, p.1066</w:t>
      </w:r>
    </w:p>
    <w:p w:rsidR="00A31137" w:rsidRPr="00A31137" w:rsidRDefault="00A31137" w:rsidP="00A31137">
      <w:r w:rsidRPr="00A31137">
        <w:t>While we can hope to benefit from work done over the past decade in strategic arms negotiations, let us agree to do more than simply begin where these previous efforts left off. We can and should attempt major qualitative and quantitative progress. Only such progress can fulfill the hopes of our own people and the rest of the world. And let us see how far we can go in achieving truly substantial reductions in our strategic arsenals.</w:t>
      </w:r>
    </w:p>
    <w:p w:rsidR="00A31137" w:rsidRPr="00A31137" w:rsidRDefault="00A31137" w:rsidP="00A31137">
      <w:r w:rsidRPr="00A31137">
        <w:t>Public Papers of Reagan, 1981, p.1066</w:t>
      </w:r>
    </w:p>
    <w:p w:rsidR="00A31137" w:rsidRPr="00A31137" w:rsidRDefault="00A31137" w:rsidP="00A31137">
      <w:r w:rsidRPr="00A31137">
        <w:t>To symbolize this fundamental change in direction, we will call these negotiations STABT—Strategic Arms Reduction Talks.</w:t>
      </w:r>
    </w:p>
    <w:p w:rsidR="00A31137" w:rsidRPr="00A31137" w:rsidRDefault="00A31137" w:rsidP="00A31137">
      <w:r w:rsidRPr="00A31137">
        <w:t>Public Papers of Reagan, 1981, p.1066</w:t>
      </w:r>
    </w:p>
    <w:p w:rsidR="00A31137" w:rsidRPr="00A31137" w:rsidRDefault="00A31137" w:rsidP="00A31137">
      <w:r w:rsidRPr="00A31137">
        <w:t>The third proposal I've made to the Soviet Union is that we act to achieve equality at lower levels of conventional forces in Europe. The defense needs of the Soviet Union hardly call for maintaining more combat divisions in East Germany today than were in the whole Allied invasion force that landed in Normandy on D-Day. The Soviet Union could make no more convincing contribution to peace in Europe, and in the world, than by agreeing to reduce its conventional forces significantly and constrain the potential for sudden aggression.</w:t>
      </w:r>
    </w:p>
    <w:p w:rsidR="00A31137" w:rsidRPr="00A31137" w:rsidRDefault="00A31137" w:rsidP="00A31137">
      <w:r w:rsidRPr="00A31137">
        <w:t>Public Papers of Reagan, 1981, p.1066</w:t>
      </w:r>
    </w:p>
    <w:p w:rsidR="00A31137" w:rsidRPr="00A31137" w:rsidRDefault="00A31137" w:rsidP="00A31137">
      <w:r w:rsidRPr="00A31137">
        <w:t>Finally, I have pointed out to President Brezhnev that to maintain peace we must reduce the risks of surprise attack and the chance of war arising out of uncertainty or miscalculation.</w:t>
      </w:r>
    </w:p>
    <w:p w:rsidR="00A31137" w:rsidRPr="00A31137" w:rsidRDefault="00A31137" w:rsidP="00A31137">
      <w:r w:rsidRPr="00A31137">
        <w:t>Public Papers of Reagan, 1981, p.1066</w:t>
      </w:r>
    </w:p>
    <w:p w:rsidR="00A31137" w:rsidRPr="00A31137" w:rsidRDefault="00A31137" w:rsidP="00A31137">
      <w:r w:rsidRPr="00A31137">
        <w:t>I am renewing our proposal for a conference to develop effective measures that would reduce these dangers. At the current Madrid meeting of the Conference on Security and Cooperation in Europe, we're laying the foundation for a Western-proposed conference on disarmament in Europe. This conference would discuss new measures to enhance stability and security in Europe. Agreement in this conference is within reach. I urge the Soviet Union to join us and many other nations who are ready to launch this important enterprise.</w:t>
      </w:r>
    </w:p>
    <w:p w:rsidR="00A31137" w:rsidRPr="00A31137" w:rsidRDefault="00A31137" w:rsidP="00A31137">
      <w:r w:rsidRPr="00A31137">
        <w:t>Public Papers of Reagan, 1981, p.1066</w:t>
      </w:r>
    </w:p>
    <w:p w:rsidR="00A31137" w:rsidRPr="00A31137" w:rsidRDefault="00A31137" w:rsidP="00A31137">
      <w:r w:rsidRPr="00A31137">
        <w:t>All of these proposals are based on the same fair-minded principles—substantial, militarily significant reduction in forces, equal ceilings for similar types of forces, and adequate provisions for verification.</w:t>
      </w:r>
    </w:p>
    <w:p w:rsidR="00A31137" w:rsidRPr="00A31137" w:rsidRDefault="00A31137" w:rsidP="00A31137">
      <w:r w:rsidRPr="00A31137">
        <w:t>Public Papers of Reagan, 1981, p.1066</w:t>
      </w:r>
    </w:p>
    <w:p w:rsidR="00A31137" w:rsidRPr="00A31137" w:rsidRDefault="00A31137" w:rsidP="00A31137">
      <w:r w:rsidRPr="00A31137">
        <w:t>My administration, our country, and I are committed to achieving arms reductions agreements based on these principles. Today I have outlined the kinds of bold, equitable proposals which the world expects of us. But we cannot reduce arms unilaterally. Success can only come if the Soviet Union will share our commitment, if it will demonstrate that its often-repeated professions of concern for peace will be matched by positive action.</w:t>
      </w:r>
    </w:p>
    <w:p w:rsidR="00A31137" w:rsidRPr="00A31137" w:rsidRDefault="00A31137" w:rsidP="00A31137">
      <w:r w:rsidRPr="00A31137">
        <w:t>Public Papers of Reagan, 1981, p.1066</w:t>
      </w:r>
    </w:p>
    <w:p w:rsidR="00A31137" w:rsidRPr="00A31137" w:rsidRDefault="00A31137" w:rsidP="00A31137">
      <w:r w:rsidRPr="00A31137">
        <w:t>Preservation of peace in Europe and the pursuit of arms reduction talks are of fundamental importance. But we must also help to bring peace and security to regions now torn by conflict, external intervention, and war.</w:t>
      </w:r>
    </w:p>
    <w:p w:rsidR="00A31137" w:rsidRPr="00A31137" w:rsidRDefault="00A31137" w:rsidP="00A31137">
      <w:r w:rsidRPr="00A31137">
        <w:t>Public Papers of Reagan, 1981, p.1067</w:t>
      </w:r>
    </w:p>
    <w:p w:rsidR="00A31137" w:rsidRPr="00A31137" w:rsidRDefault="00A31137" w:rsidP="00A31137">
      <w:r w:rsidRPr="00A31137">
        <w:t>The American concept of peace goes well beyond the absence of war. We foresee a flowering of economic growth and individual liberty in a world at peace.</w:t>
      </w:r>
    </w:p>
    <w:p w:rsidR="00A31137" w:rsidRPr="00A31137" w:rsidRDefault="00A31137" w:rsidP="00A31137">
      <w:r w:rsidRPr="00A31137">
        <w:t>Public Papers of Reagan, 1981, p.1067</w:t>
      </w:r>
    </w:p>
    <w:p w:rsidR="00A31137" w:rsidRPr="00A31137" w:rsidRDefault="00A31137" w:rsidP="00A31137">
      <w:r w:rsidRPr="00A31137">
        <w:t>At the economic summit conference in Cancun, I met with the leaders of 21 nations and sketched out our approach to global economic growth. We want to eliminate the barriers to trade and investment which hinder these critical incentives to growth, and we're working to develop new programs to help the poorest nations achieve self-sustaining growth.</w:t>
      </w:r>
    </w:p>
    <w:p w:rsidR="00A31137" w:rsidRPr="00A31137" w:rsidRDefault="00A31137" w:rsidP="00A31137">
      <w:r w:rsidRPr="00A31137">
        <w:t>Public Papers of Reagan, 1981, p.1067</w:t>
      </w:r>
    </w:p>
    <w:p w:rsidR="00A31137" w:rsidRPr="00A31137" w:rsidRDefault="00A31137" w:rsidP="00A31137">
      <w:r w:rsidRPr="00A31137">
        <w:t>And terms like "peace" and "security", we have to say, have little meaning for the oppressed and the destitute. They also mean little to the individual whose state has stripped him of human freedom and dignity. Wherever there is oppression, we must strive for the peace and security of individuals as well as states. We must recognize that progress and the pursuit of liberty is a necessary complement to military security. Nowhere has this fundamental truth been more boldly and clearly stated than in the Helsinki Accords of 1975. These accords have not yet been translated into living reality.</w:t>
      </w:r>
    </w:p>
    <w:p w:rsidR="00A31137" w:rsidRPr="00A31137" w:rsidRDefault="00A31137" w:rsidP="00A31137">
      <w:r w:rsidRPr="00A31137">
        <w:t>Public Papers of Reagan, 1981, p.1067</w:t>
      </w:r>
    </w:p>
    <w:p w:rsidR="00A31137" w:rsidRPr="00A31137" w:rsidRDefault="00A31137" w:rsidP="00A31137">
      <w:r w:rsidRPr="00A31137">
        <w:t>Today I've announced an agenda that can help to achieve peace, security, and freedom across the globe. In particular, I have made an important offer to forego entirely deployment of new American missiles in Europe if the Soviet Union is prepared to respond on an equal footing.</w:t>
      </w:r>
    </w:p>
    <w:p w:rsidR="00A31137" w:rsidRPr="00A31137" w:rsidRDefault="00A31137" w:rsidP="00A31137">
      <w:r w:rsidRPr="00A31137">
        <w:t>Public Papers of Reagan, 1981, p.1067</w:t>
      </w:r>
    </w:p>
    <w:p w:rsidR="00A31137" w:rsidRPr="00A31137" w:rsidRDefault="00A31137" w:rsidP="00A31137">
      <w:r w:rsidRPr="00A31137">
        <w:t>There is no reason why people in any part of the world should have to live in permanent fear of war or its spectre. I believe the time has come for all nations to act in a responsible spirit that doesn't threaten other states. I believe the time is right to move forward on arms control and the resolution of critical regional disputes at the conference table. Nothing will have a higher priority for me and for the American people over the coming months and years.</w:t>
      </w:r>
    </w:p>
    <w:p w:rsidR="00A31137" w:rsidRPr="00A31137" w:rsidRDefault="00A31137" w:rsidP="00A31137">
      <w:r w:rsidRPr="00A31137">
        <w:t>Public Papers of Reagan, 1981, p.1067</w:t>
      </w:r>
    </w:p>
    <w:p w:rsidR="00A31137" w:rsidRPr="00A31137" w:rsidRDefault="00A31137" w:rsidP="00A31137">
      <w:r w:rsidRPr="00A31137">
        <w:t>Addressing the United Nations 20 years ago, another American President described the goal that we still pursue today. He said, "If we all can persevere, if we can look beyond our shores and ambitions, then surely the age will dawn in which the strong are just and the weak secure and the peace preserved."</w:t>
      </w:r>
    </w:p>
    <w:p w:rsidR="00A31137" w:rsidRPr="00A31137" w:rsidRDefault="00A31137" w:rsidP="00A31137">
      <w:r w:rsidRPr="00A31137">
        <w:t>Public Papers of Reagan, 1981, p.1067</w:t>
      </w:r>
    </w:p>
    <w:p w:rsidR="00A31137" w:rsidRPr="00A31137" w:rsidRDefault="00A31137" w:rsidP="00A31137">
      <w:r w:rsidRPr="00A31137">
        <w:t>He didn't live to see that goal achieved. I invite all nations to join with America today in the quest for such a world.</w:t>
      </w:r>
    </w:p>
    <w:p w:rsidR="00A31137" w:rsidRPr="00A31137" w:rsidRDefault="00A31137" w:rsidP="00A31137">
      <w:r w:rsidRPr="00A31137">
        <w:t>Thank you.</w:t>
      </w:r>
    </w:p>
    <w:p w:rsidR="00A31137" w:rsidRPr="00A31137" w:rsidRDefault="00A31137" w:rsidP="00A31137">
      <w:r w:rsidRPr="00A31137">
        <w:t>Public Papers of Reagan, 1981, p.1067</w:t>
      </w:r>
    </w:p>
    <w:p w:rsidR="00A31137" w:rsidRPr="00A31137" w:rsidRDefault="00A31137" w:rsidP="00A31137">
      <w:r w:rsidRPr="00A31137">
        <w:t>Note: The President spoke at 10 a.m. at the National Press Club Building. His address was broadcast live on radio and television.</w:t>
      </w:r>
    </w:p>
    <w:p w:rsidR="00A31137" w:rsidRPr="00A31137" w:rsidRDefault="00A31137" w:rsidP="00A31137">
      <w:r w:rsidRPr="00A31137">
        <w:t>President Reagan's Address to the Nation About Christmas and the Situation in Poland, 1981</w:t>
      </w:r>
    </w:p>
    <w:p w:rsidR="00A31137" w:rsidRPr="00A31137" w:rsidRDefault="00A31137" w:rsidP="00A31137">
      <w:r w:rsidRPr="00A31137">
        <w:t>Title:</w:t>
      </w:r>
      <w:r w:rsidRPr="00A31137">
        <w:tab/>
        <w:t>President Reagan's Address to the Nation About Christmas and the Situation in Poland</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December 23, 1981</w:t>
      </w:r>
    </w:p>
    <w:p w:rsidR="00A31137" w:rsidRPr="00A31137" w:rsidRDefault="00A31137" w:rsidP="00A31137">
      <w:r w:rsidRPr="00A31137">
        <w:t>Source:</w:t>
      </w:r>
      <w:r w:rsidRPr="00A31137">
        <w:tab/>
        <w:t>Public Papers of the Presidents, Reagan, 1981, pp.1185-1188</w:t>
      </w:r>
    </w:p>
    <w:p w:rsidR="00A31137" w:rsidRPr="00A31137" w:rsidRDefault="00A31137" w:rsidP="00A31137">
      <w:r w:rsidRPr="00A31137">
        <w:t>Public Papers of Reagan, 1981, p.1185</w:t>
      </w:r>
    </w:p>
    <w:p w:rsidR="00A31137" w:rsidRPr="00A31137" w:rsidRDefault="00A31137" w:rsidP="00A31137">
      <w:r w:rsidRPr="00A31137">
        <w:t>Good evening.</w:t>
      </w:r>
    </w:p>
    <w:p w:rsidR="00A31137" w:rsidRPr="00A31137" w:rsidRDefault="00A31137" w:rsidP="00A31137">
      <w:r w:rsidRPr="00A31137">
        <w:t>Public Papers of Reagan, 1981, p.1185</w:t>
      </w:r>
    </w:p>
    <w:p w:rsidR="00A31137" w:rsidRPr="00A31137" w:rsidRDefault="00A31137" w:rsidP="00A31137">
      <w:r w:rsidRPr="00A31137">
        <w:t>At Christmas time, every home takes on a special beauty, a special warmth, and that's certainly true of the White House, where so many famous Americans have spent their Christmases over the years. This fine old home, the people's house, has seen so much, been so much a part of all our lives and history. It's been humbling and inspiring for Nancy and me to be spending our first Christmas in this place.</w:t>
      </w:r>
    </w:p>
    <w:p w:rsidR="00A31137" w:rsidRPr="00A31137" w:rsidRDefault="00A31137" w:rsidP="00A31137">
      <w:r w:rsidRPr="00A31137">
        <w:t>Public Papers of Reagan, 1981, p.1185</w:t>
      </w:r>
    </w:p>
    <w:p w:rsidR="00A31137" w:rsidRPr="00A31137" w:rsidRDefault="00A31137" w:rsidP="00A31137">
      <w:r w:rsidRPr="00A31137">
        <w:t>We've lived here as your tenants for almost a year now, and what a year it's been. As a people we've been through quite a lot—moments of joy, of tragedy, and of real achievement—moments that I believe have brought us all closer together. G. K. Chesterton once said that the world would never starve for wonders, but only for the want of wonder.</w:t>
      </w:r>
    </w:p>
    <w:p w:rsidR="00A31137" w:rsidRPr="00A31137" w:rsidRDefault="00A31137" w:rsidP="00A31137">
      <w:r w:rsidRPr="00A31137">
        <w:t>Public Papers of Reagan, 1981, p.1185</w:t>
      </w:r>
    </w:p>
    <w:p w:rsidR="00A31137" w:rsidRPr="00A31137" w:rsidRDefault="00A31137" w:rsidP="00A31137">
      <w:r w:rsidRPr="00A31137">
        <w:t>At this special time of year, we all renew our sense of wonder in recalling the story of the first Christmas in Bethlehem, nearly 2,000 year ago.</w:t>
      </w:r>
    </w:p>
    <w:p w:rsidR="00A31137" w:rsidRPr="00A31137" w:rsidRDefault="00A31137" w:rsidP="00A31137">
      <w:r w:rsidRPr="00A31137">
        <w:t>Public Papers of Reagan, 1981, p.1185</w:t>
      </w:r>
    </w:p>
    <w:p w:rsidR="00A31137" w:rsidRPr="00A31137" w:rsidRDefault="00A31137" w:rsidP="00A31137">
      <w:r w:rsidRPr="00A31137">
        <w:t>Some celebrate Christmas as the birthday of a great and good philosopher and teacher. Others of us believe in the divinity of the child born in Bethlehem, that he was and is the promised Prince of Peace. Yes, we've questioned why he who could perform miracles chose to come among us as a helpless babe, but maybe that was his first miracle, his first great lesson that we should learn to care for one another.</w:t>
      </w:r>
    </w:p>
    <w:p w:rsidR="00A31137" w:rsidRPr="00A31137" w:rsidRDefault="00A31137" w:rsidP="00A31137">
      <w:r w:rsidRPr="00A31137">
        <w:t>Public Papers of Reagan, 1981, p.1185</w:t>
      </w:r>
    </w:p>
    <w:p w:rsidR="00A31137" w:rsidRPr="00A31137" w:rsidRDefault="00A31137" w:rsidP="00A31137">
      <w:r w:rsidRPr="00A31137">
        <w:t>Tonight, in millions of American homes, the glow of the Christmas tree is a reflection of the love Jesus taught us. Like the shepherds and wise men of that first Christmas, we Americans have always tried to follow a higher light, a star, if you will. At lonely campfire vigils along the frontier, in the darkest days of the Great Depression, through war and peace, the twin beacons of faith and freedom have brightened the American sky. At times our footsteps may have faltered, but trusting in God's help, we've never lost our way.</w:t>
      </w:r>
    </w:p>
    <w:p w:rsidR="00A31137" w:rsidRPr="00A31137" w:rsidRDefault="00A31137" w:rsidP="00A31137">
      <w:r w:rsidRPr="00A31137">
        <w:t>Public Papers of Reagan, 1981, p.1185</w:t>
      </w:r>
    </w:p>
    <w:p w:rsidR="00A31137" w:rsidRPr="00A31137" w:rsidRDefault="00A31137" w:rsidP="00A31137">
      <w:r w:rsidRPr="00A31137">
        <w:t>Just across the way from the White House stand the two great emblems of the holiday season: a Menorah, symbolizing the Jewish festival of Hanukkah, and the National Christmas Tree, a beautiful towering blue spruce from Pennsylvania. Like the National Christmas Tree, our country is a living, growing thing planted in rich American soil. Only our devoted care can bring it to full flower. So, let this holiday season be for us a time of rededication.</w:t>
      </w:r>
    </w:p>
    <w:p w:rsidR="00A31137" w:rsidRPr="00A31137" w:rsidRDefault="00A31137" w:rsidP="00A31137">
      <w:r w:rsidRPr="00A31137">
        <w:t>Public Papers of Reagan, 1981, p.1185</w:t>
      </w:r>
    </w:p>
    <w:p w:rsidR="00A31137" w:rsidRPr="00A31137" w:rsidRDefault="00A31137" w:rsidP="00A31137">
      <w:r w:rsidRPr="00A31137">
        <w:t>Even as we rejoice, however, let us remember that for some Americans, this will not be as happy a Christmas as it should be. I know a little of what they feel. I remember one Christmas Eve during the Great Depression, my father opening what he thought was a Christmas greeting. It was a notice that he no longer had a job.</w:t>
      </w:r>
    </w:p>
    <w:p w:rsidR="00A31137" w:rsidRPr="00A31137" w:rsidRDefault="00A31137" w:rsidP="00A31137">
      <w:r w:rsidRPr="00A31137">
        <w:t>Public Papers of Reagan, 1981, p.1185</w:t>
      </w:r>
    </w:p>
    <w:p w:rsidR="00A31137" w:rsidRPr="00A31137" w:rsidRDefault="00A31137" w:rsidP="00A31137">
      <w:r w:rsidRPr="00A31137">
        <w:t>Over the past year, we've begun the long, hard work of economic recovery. Our goal is an America in which every citizen who needs and wants a job can get a job. Our program for recovery has only been in place for 12 weeks now, but it is beginning to work. With your help and prayers, it will succeed. We're winning the battle against inflation, runaway government spending and taxation, and that victory will mean more economic growth, more jobs, and more opportunity for all Americans.</w:t>
      </w:r>
    </w:p>
    <w:p w:rsidR="00A31137" w:rsidRPr="00A31137" w:rsidRDefault="00A31137" w:rsidP="00A31137">
      <w:r w:rsidRPr="00A31137">
        <w:t>Public Papers of Reagan, 1981, p.1186</w:t>
      </w:r>
    </w:p>
    <w:p w:rsidR="00A31137" w:rsidRPr="00A31137" w:rsidRDefault="00A31137" w:rsidP="00A31137">
      <w:r w:rsidRPr="00A31137">
        <w:t>A few months before he took up residence in this house, one of my predecessors, John Kennedy, tried to sum up the temper of the times with a quote from an author closely tied to Christmas, Charles Dickens. We were living, he said, in the best of times and the worst of times. Well, in some ways that's even more true today. The world is full of peril, as well as promise. Too many of its people, even now, live in the shadow of want and tyranny.</w:t>
      </w:r>
    </w:p>
    <w:p w:rsidR="00A31137" w:rsidRPr="00A31137" w:rsidRDefault="00A31137" w:rsidP="00A31137">
      <w:r w:rsidRPr="00A31137">
        <w:t>Public Papers of Reagan, 1981, p.1186</w:t>
      </w:r>
    </w:p>
    <w:p w:rsidR="00A31137" w:rsidRPr="00A31137" w:rsidRDefault="00A31137" w:rsidP="00A31137">
      <w:r w:rsidRPr="00A31137">
        <w:t>As I speak to you tonight, the fate of a proud and ancient nation hangs in the balance. For a thousand years, Christmas has been celebrated in Poland, a land of deep religious faith, but this Christmas brings little joy to the courageous Polish people. They have been betrayed by their own government.</w:t>
      </w:r>
    </w:p>
    <w:p w:rsidR="00A31137" w:rsidRPr="00A31137" w:rsidRDefault="00A31137" w:rsidP="00A31137">
      <w:r w:rsidRPr="00A31137">
        <w:t>Public Papers of Reagan, 1981, p.1186</w:t>
      </w:r>
    </w:p>
    <w:p w:rsidR="00A31137" w:rsidRPr="00A31137" w:rsidRDefault="00A31137" w:rsidP="00A31137">
      <w:r w:rsidRPr="00A31137">
        <w:t>The men who rule them and their totalitarian allies fear the very freedom that the Polish people cherish. They have answered the stirrings of liberty with brute force, killings, mass arrests, and the setting up of concentration camps. Lech Walesa and other Solidarity leaders are imprisoned, their fate unknown. Factories, mines, universities, and homes have been assaulted.</w:t>
      </w:r>
    </w:p>
    <w:p w:rsidR="00A31137" w:rsidRPr="00A31137" w:rsidRDefault="00A31137" w:rsidP="00A31137">
      <w:r w:rsidRPr="00A31137">
        <w:t>Public Papers of Reagan, 1981, p.1186</w:t>
      </w:r>
    </w:p>
    <w:p w:rsidR="00A31137" w:rsidRPr="00A31137" w:rsidRDefault="00A31137" w:rsidP="00A31137">
      <w:r w:rsidRPr="00A31137">
        <w:t>The Polish Government has trampled underfoot solemn commitments to the UN Charter and the Helsinki accords. It has even broken the Gdansk agreement of. August 1980, by which the Polish Government recognized the basic right of its people to form free trade unions and to strike.</w:t>
      </w:r>
    </w:p>
    <w:p w:rsidR="00A31137" w:rsidRPr="00A31137" w:rsidRDefault="00A31137" w:rsidP="00A31137">
      <w:r w:rsidRPr="00A31137">
        <w:t>Public Papers of Reagan, 1981, p.1186</w:t>
      </w:r>
    </w:p>
    <w:p w:rsidR="00A31137" w:rsidRPr="00A31137" w:rsidRDefault="00A31137" w:rsidP="00A31137">
      <w:r w:rsidRPr="00A31137">
        <w:t>The tragic events now occurring in Poland, almost 2 years to the day after the Soviet invasion Of Afghanistan, have been precipitated by public and secret pressure from the Soviet Union. It is no coincidence that Soviet Marshal Kulikov, chief of the Warsaw Pact forces, and other senior Red Army officers were in Poland while these outrages were being initiated. And it is no coincidence that the martial law proclamations imposed in December by the Polish Government were being printed in the Soviet Union in September.</w:t>
      </w:r>
    </w:p>
    <w:p w:rsidR="00A31137" w:rsidRPr="00A31137" w:rsidRDefault="00A31137" w:rsidP="00A31137">
      <w:r w:rsidRPr="00A31137">
        <w:t>Public Papers of Reagan, 1981, p.1186</w:t>
      </w:r>
    </w:p>
    <w:p w:rsidR="00A31137" w:rsidRPr="00A31137" w:rsidRDefault="00A31137" w:rsidP="00A31137">
      <w:r w:rsidRPr="00A31137">
        <w:t>The target of this depression [repression] is the Solidarity Movement, but in attacking Solidarity its enemies attack an entire people. Ten million of Poland's 36 million citizens are members of Solidarity. Taken together with their families, they account for the overwhelming majority of the Polish nation. By persecuting Solidarity the Polish Government wages war against its own people.</w:t>
      </w:r>
    </w:p>
    <w:p w:rsidR="00A31137" w:rsidRPr="00A31137" w:rsidRDefault="00A31137" w:rsidP="00A31137">
      <w:r w:rsidRPr="00A31137">
        <w:t>Public Papers of Reagan, 1981, p.1186</w:t>
      </w:r>
    </w:p>
    <w:p w:rsidR="00A31137" w:rsidRPr="00A31137" w:rsidRDefault="00A31137" w:rsidP="00A31137">
      <w:r w:rsidRPr="00A31137">
        <w:t>I urge the Polish Government and its allies to consider the consequences of their actions. How can they possibly justify using naked force to crush a people who ask for nothing more than the right to lead their own lives in freedom and dignity? Brute force may intimidate, but it cannot form the basis of an enduring society, and the ailing Polish economy cannot be rebuilt with terror tactics.</w:t>
      </w:r>
    </w:p>
    <w:p w:rsidR="00A31137" w:rsidRPr="00A31137" w:rsidRDefault="00A31137" w:rsidP="00A31137">
      <w:r w:rsidRPr="00A31137">
        <w:t>Public Papers of Reagan, 1981, p.1186</w:t>
      </w:r>
    </w:p>
    <w:p w:rsidR="00A31137" w:rsidRPr="00A31137" w:rsidRDefault="00A31137" w:rsidP="00A31137">
      <w:r w:rsidRPr="00A31137">
        <w:t>Poland needs cooperation between its government and its people, not military oppression. If the Polish Government will honor the commitments it has made to human rights in documents like the Gdansk agreement, we in America will gladly do our share to help the shattered Polish economy, just as we helped the countries of Europe after both World Wars.</w:t>
      </w:r>
    </w:p>
    <w:p w:rsidR="00A31137" w:rsidRPr="00A31137" w:rsidRDefault="00A31137" w:rsidP="00A31137">
      <w:r w:rsidRPr="00A31137">
        <w:t>Public Papers of Reagan, 1981, p.1186</w:t>
      </w:r>
    </w:p>
    <w:p w:rsidR="00A31137" w:rsidRPr="00A31137" w:rsidRDefault="00A31137" w:rsidP="00A31137">
      <w:r w:rsidRPr="00A31137">
        <w:t>It's ironic that we offered, and Poland expressed interest in accepting, our help after World War II. The Soviet Union intervened then and refused to allow such help to Poland. But if the forces of tyranny in Poland, and those who incite them from without, do not relent, they should prepare themselves for serious consequences. Already, throughout the Free World, citizens have publicly demonstrated their support for the Polish people. Our government, and those of our allies, have expressed moral revulsion at the police state tactics of Poland's oppressors. The Church has also spoken out, in spite of threats and intimidation. But our reaction cannot stop there.</w:t>
      </w:r>
    </w:p>
    <w:p w:rsidR="00A31137" w:rsidRPr="00A31137" w:rsidRDefault="00A31137" w:rsidP="00A31137">
      <w:r w:rsidRPr="00A31137">
        <w:t>Public Papers of Reagan, 1981, p.1186</w:t>
      </w:r>
    </w:p>
    <w:p w:rsidR="00A31137" w:rsidRPr="00A31137" w:rsidRDefault="00A31137" w:rsidP="00A31137">
      <w:r w:rsidRPr="00A31137">
        <w:t>I want emphatically to state tonight that if the outrages in Poland do not cease, we cannot and will not conduct "business as usual" with the perpetrators and those who aid and abet them. Make no mistake, their crime will cost them dearly in their future dealings with America 'and free peoples everywhere. I do not make this statement lightly or without serious reflection.</w:t>
      </w:r>
    </w:p>
    <w:p w:rsidR="00A31137" w:rsidRPr="00A31137" w:rsidRDefault="00A31137" w:rsidP="00A31137">
      <w:r w:rsidRPr="00A31137">
        <w:t>Public Papers of Reagan, 1981, p.1186–p.1187</w:t>
      </w:r>
    </w:p>
    <w:p w:rsidR="00A31137" w:rsidRPr="00A31137" w:rsidRDefault="00A31137" w:rsidP="00A31137">
      <w:r w:rsidRPr="00A31137">
        <w:t>We have been measured and deliberate in our reaction to the tragic events in Poland. We have not acted in haste, and the steps I will outline tonight and others we [p.1187] may take in the days ahead are firm, just, and reasonable.</w:t>
      </w:r>
    </w:p>
    <w:p w:rsidR="00A31137" w:rsidRPr="00A31137" w:rsidRDefault="00A31137" w:rsidP="00A31137">
      <w:r w:rsidRPr="00A31137">
        <w:t>Public Papers of Reagan, 1981, p.1187</w:t>
      </w:r>
    </w:p>
    <w:p w:rsidR="00A31137" w:rsidRPr="00A31137" w:rsidRDefault="00A31137" w:rsidP="00A31137">
      <w:r w:rsidRPr="00A31137">
        <w:t>In order to aid the suffering Polish people during this critical period, we will continue the shipment of food through private humanitarian channels, but only so long as we know that the Polish people themselves receive the food. The neighboring country of Austria has opened her doors to refugees from Poland. I have therefore directed that American assistance, including supplies of basic foodstuffs, be offered to aid the Austrians in providing for these refugees.</w:t>
      </w:r>
    </w:p>
    <w:p w:rsidR="00A31137" w:rsidRPr="00A31137" w:rsidRDefault="00A31137" w:rsidP="00A31137">
      <w:r w:rsidRPr="00A31137">
        <w:t>Public Papers of Reagan, 1981, p.1187</w:t>
      </w:r>
    </w:p>
    <w:p w:rsidR="00A31137" w:rsidRPr="00A31137" w:rsidRDefault="00A31137" w:rsidP="00A31137">
      <w:r w:rsidRPr="00A31137">
        <w:t>But to underscore our fundamental opposition to the repressive actions taken by the Polish Government against its own people, the administration has suspended all government-sponsored shipments of agricultural and dairy' products to the Polish Government. This suspension will remain in force until absolute assurances are received that distribution of these products is monitored and guaranteed by independent agencies. We must be sure that every bit of food provided by America goes to the Polish people, not to their oppressors.</w:t>
      </w:r>
    </w:p>
    <w:p w:rsidR="00A31137" w:rsidRPr="00A31137" w:rsidRDefault="00A31137" w:rsidP="00A31137">
      <w:r w:rsidRPr="00A31137">
        <w:t>Public Papers of Reagan, 1981, p.1187</w:t>
      </w:r>
    </w:p>
    <w:p w:rsidR="00A31137" w:rsidRPr="00A31137" w:rsidRDefault="00A31137" w:rsidP="00A31137">
      <w:r w:rsidRPr="00A31137">
        <w:t>The United States is taking immediate action to suspend major elements of our economic relationships with the Polish Government. We have halted the renewal of the Export-Import Bank's line of export credit insurance to the Polish Government. We will suspend Polish civil aviation privileges in the United States. We are suspending the right of Poland's fishing fleet to operate in American waters. And we're proposing to our allies the further restriction of high technology exports to Poland.</w:t>
      </w:r>
    </w:p>
    <w:p w:rsidR="00A31137" w:rsidRPr="00A31137" w:rsidRDefault="00A31137" w:rsidP="00A31137">
      <w:r w:rsidRPr="00A31137">
        <w:t>Public Papers of Reagan, 1981, p.1187</w:t>
      </w:r>
    </w:p>
    <w:p w:rsidR="00A31137" w:rsidRPr="00A31137" w:rsidRDefault="00A31137" w:rsidP="00A31137">
      <w:r w:rsidRPr="00A31137">
        <w:t>These actions are not directed against the Polish people. They are a warning to the Government of Poland that free men cannot and will not stand idly by in the face of brutal repression. To underscore this point, I've written a letter to General Jaruzelski, head of the Polish Government. In it, I outlined the steps we're taking and warned of the serious consequences if the Polish Government continues to use violence against its populace. I've urged him to free those in arbitrary detention, to lift martial law, and to restore the internationally recognized rights of the Polish people to free speech and association.</w:t>
      </w:r>
    </w:p>
    <w:p w:rsidR="00A31137" w:rsidRPr="00A31137" w:rsidRDefault="00A31137" w:rsidP="00A31137">
      <w:r w:rsidRPr="00A31137">
        <w:t>Public Papers of Reagan, 1981, p.1187</w:t>
      </w:r>
    </w:p>
    <w:p w:rsidR="00A31137" w:rsidRPr="00A31137" w:rsidRDefault="00A31137" w:rsidP="00A31137">
      <w:r w:rsidRPr="00A31137">
        <w:t>The Soviet Union, through its threats and pressures, deserves a major share of blame for the developments in Poland. So, I have also sent a letter to President Brezhnev urging him to permit the restoration of basic human rights in Poland provided for in the Helsinki Final Act. In it, I informed him that if this repression continues, the United States will have no choice but to take further concrete political and economic measures affecting our relationship.</w:t>
      </w:r>
    </w:p>
    <w:p w:rsidR="00A31137" w:rsidRPr="00A31137" w:rsidRDefault="00A31137" w:rsidP="00A31137">
      <w:r w:rsidRPr="00A31137">
        <w:t>Public Papers of Reagan, 1981, p.1187</w:t>
      </w:r>
    </w:p>
    <w:p w:rsidR="00A31137" w:rsidRPr="00A31137" w:rsidRDefault="00A31137" w:rsidP="00A31137">
      <w:r w:rsidRPr="00A31137">
        <w:t>When 19th century Polish patriots rose against foreign oppressors, their rallying cry was, "For our freedom and yours." Well, that motto still rings true in our time. There is a spirit of solidarity abroad in the world tonight that no physical force can crush. It crosses national boundaries and enters into the hearts of men and women everywhere. In factories, farms, and schools, in cities and towns around the globe, we the people of the Free World stand as one with our Polish brothers and sisters. Their cause is ours, and our prayers and hopes go out to them this Christmas.</w:t>
      </w:r>
    </w:p>
    <w:p w:rsidR="00A31137" w:rsidRPr="00A31137" w:rsidRDefault="00A31137" w:rsidP="00A31137">
      <w:r w:rsidRPr="00A31137">
        <w:t>Public Papers of Reagan, 1981, p.1187</w:t>
      </w:r>
    </w:p>
    <w:p w:rsidR="00A31137" w:rsidRPr="00A31137" w:rsidRDefault="00A31137" w:rsidP="00A31137">
      <w:r w:rsidRPr="00A31137">
        <w:t>Yesterday, I met in this very room with Romuald Spasowski, the distinguished former Polish Ambassador who has sought asylum in our country in protest of the suppression of his native land. He told me that one of the ways the Polish people have demonstrated their solidarity in the face of martial law is by placing lighted candles in their windows to show that the light of liberty still glows in their hearts.</w:t>
      </w:r>
    </w:p>
    <w:p w:rsidR="00A31137" w:rsidRPr="00A31137" w:rsidRDefault="00A31137" w:rsidP="00A31137">
      <w:r w:rsidRPr="00A31137">
        <w:t>Public Papers of Reagan, 1981, p.1187</w:t>
      </w:r>
    </w:p>
    <w:p w:rsidR="00A31137" w:rsidRPr="00A31137" w:rsidRDefault="00A31137" w:rsidP="00A31137">
      <w:r w:rsidRPr="00A31137">
        <w:t>Ambassador Spasowski requested that on Christmas Eve a lighted candle will burn in the White House window as a small but certain beacon of our solidarity with the Polish people. I urge all of you to do the same tomorrow night, on Christmas Eve, as a personal statement of your commitment to the steps we're taking to support the brave people of Poland in their time of troubles.</w:t>
      </w:r>
    </w:p>
    <w:p w:rsidR="00A31137" w:rsidRPr="00A31137" w:rsidRDefault="00A31137" w:rsidP="00A31137">
      <w:r w:rsidRPr="00A31137">
        <w:t>Public Papers of Reagan, 1981, p.1187–p.1188</w:t>
      </w:r>
    </w:p>
    <w:p w:rsidR="00A31137" w:rsidRPr="00A31137" w:rsidRDefault="00A31137" w:rsidP="00A31137">
      <w:r w:rsidRPr="00A31137">
        <w:t>Once, earlier in this century, an evil influence threatened that the lights were going out all over the world. Let the light of millions of candles in American homes give notice that the light of freedom is not going to be extinguished. We are blessed with a freedom and abundance denied to so many. Let those candles remind us that [p.1188] these blessings bring with them a solid obligation, an obligation to the God who guides us, an obligation to the heritage of liberty and dignity handed down to us by our forefathers and an obligation to the children of the world, whose future will be shaped by the way we live our lives today.</w:t>
      </w:r>
    </w:p>
    <w:p w:rsidR="00A31137" w:rsidRPr="00A31137" w:rsidRDefault="00A31137" w:rsidP="00A31137">
      <w:r w:rsidRPr="00A31137">
        <w:t>Public Papers of Reagan, 1981, p.1188</w:t>
      </w:r>
    </w:p>
    <w:p w:rsidR="00A31137" w:rsidRPr="00A31137" w:rsidRDefault="00A31137" w:rsidP="00A31137">
      <w:r w:rsidRPr="00A31137">
        <w:t>Christmas means so much because of one special child. But Christmas also reminds us that all children are special, that they are gifts from God, gifts beyond price that mean more than any presents money can buy. In their love and laughter, in our hopes for their future lies the true meaning of Christmas.</w:t>
      </w:r>
    </w:p>
    <w:p w:rsidR="00A31137" w:rsidRPr="00A31137" w:rsidRDefault="00A31137" w:rsidP="00A31137">
      <w:r w:rsidRPr="00A31137">
        <w:t>Public Papers of Reagan, 1981, p.1188</w:t>
      </w:r>
    </w:p>
    <w:p w:rsidR="00A31137" w:rsidRPr="00A31137" w:rsidRDefault="00A31137" w:rsidP="00A31137">
      <w:r w:rsidRPr="00A31137">
        <w:t>So, in a spirit of gratitude for what we've been able to achieve together over the past year and looking forward to all that we hope to achieve together in the years ahead, Nancy and I want to wish you all the best of holiday seasons. As Charles Dickens, whom I quoted a few moments ago, said so well in "A Christmas Carol," "God bless us, every one."</w:t>
      </w:r>
    </w:p>
    <w:p w:rsidR="00A31137" w:rsidRPr="00A31137" w:rsidRDefault="00A31137" w:rsidP="00A31137">
      <w:r w:rsidRPr="00A31137">
        <w:t>Public Papers of Reagan, 1981, p.1188</w:t>
      </w:r>
    </w:p>
    <w:p w:rsidR="00A31137" w:rsidRPr="00A31137" w:rsidRDefault="00A31137" w:rsidP="00A31137">
      <w:r w:rsidRPr="00A31137">
        <w:t>Good night.</w:t>
      </w:r>
    </w:p>
    <w:p w:rsidR="00A31137" w:rsidRPr="00A31137" w:rsidRDefault="00A31137" w:rsidP="00A31137">
      <w:r w:rsidRPr="00A31137">
        <w:t>Public Papers of Reagan, 1981, p.1188</w:t>
      </w:r>
    </w:p>
    <w:p w:rsidR="00A31137" w:rsidRPr="00A31137" w:rsidRDefault="00A31137" w:rsidP="00A31137">
      <w:r w:rsidRPr="00A31137">
        <w:t>Note: The President spoke at 9 p.m. from the Oval Office at the White House. The address was broadcast live on nationwide radio and television.</w:t>
      </w:r>
    </w:p>
    <w:p w:rsidR="00A31137" w:rsidRPr="00A31137" w:rsidRDefault="00A31137" w:rsidP="00A31137">
      <w:r w:rsidRPr="00A31137">
        <w:t>President Reagan's Address to Members of the British Parliament, 1982</w:t>
      </w:r>
    </w:p>
    <w:p w:rsidR="00A31137" w:rsidRPr="00A31137" w:rsidRDefault="00A31137" w:rsidP="00A31137">
      <w:r w:rsidRPr="00A31137">
        <w:t>Title:</w:t>
      </w:r>
      <w:r w:rsidRPr="00A31137">
        <w:tab/>
        <w:t>President Reagan's Address to Members of the British Parliament</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June 8, 1982</w:t>
      </w:r>
    </w:p>
    <w:p w:rsidR="00A31137" w:rsidRPr="00A31137" w:rsidRDefault="00A31137" w:rsidP="00A31137">
      <w:r w:rsidRPr="00A31137">
        <w:t>Source:</w:t>
      </w:r>
      <w:r w:rsidRPr="00A31137">
        <w:tab/>
        <w:t>Public Papers of the Presidents, Reagan, 1982, pp.742-748</w:t>
      </w:r>
    </w:p>
    <w:p w:rsidR="00A31137" w:rsidRPr="00A31137" w:rsidRDefault="00A31137" w:rsidP="00A31137">
      <w:r w:rsidRPr="00A31137">
        <w:t>Public Papers of Reagan, 1982, p.742</w:t>
      </w:r>
    </w:p>
    <w:p w:rsidR="00A31137" w:rsidRPr="00A31137" w:rsidRDefault="00A31137" w:rsidP="00A31137">
      <w:r w:rsidRPr="00A31137">
        <w:t>My Lord Chancellor, Mr. Speaker:</w:t>
      </w:r>
    </w:p>
    <w:p w:rsidR="00A31137" w:rsidRPr="00A31137" w:rsidRDefault="00A31137" w:rsidP="00A31137">
      <w:r w:rsidRPr="00A31137">
        <w:t>Public Papers of Reagan, 1982, p.742</w:t>
      </w:r>
    </w:p>
    <w:p w:rsidR="00A31137" w:rsidRPr="00A31137" w:rsidRDefault="00A31137" w:rsidP="00A31137">
      <w:r w:rsidRPr="00A31137">
        <w:t>The journey of which this visit forms a part is a long one. Already it has taken me to two great cities of the West, Rome and Paris, and to the economic summit at Versailles. And there, once again, our sister democracies have proved that even in a time of severe economic strain, free peoples can work together freely and voluntarily to address problems as serious as inflation, unemployment, trade, and economic development in a spirit of cooperation and solidarity.</w:t>
      </w:r>
    </w:p>
    <w:p w:rsidR="00A31137" w:rsidRPr="00A31137" w:rsidRDefault="00A31137" w:rsidP="00A31137">
      <w:r w:rsidRPr="00A31137">
        <w:t>Public Papers of Reagan, 1982, p.742</w:t>
      </w:r>
    </w:p>
    <w:p w:rsidR="00A31137" w:rsidRPr="00A31137" w:rsidRDefault="00A31137" w:rsidP="00A31137">
      <w:r w:rsidRPr="00A31137">
        <w:t>Other milestones lie ahead. Later this week, in Germany, we and our NATO allies will discuss measures for our joint defense and America's latest initiatives for a more peaceful, secure world through arms reductions.</w:t>
      </w:r>
    </w:p>
    <w:p w:rsidR="00A31137" w:rsidRPr="00A31137" w:rsidRDefault="00A31137" w:rsidP="00A31137">
      <w:r w:rsidRPr="00A31137">
        <w:t>Public Papers of Reagan, 1982, p.742</w:t>
      </w:r>
    </w:p>
    <w:p w:rsidR="00A31137" w:rsidRPr="00A31137" w:rsidRDefault="00A31137" w:rsidP="00A31137">
      <w:r w:rsidRPr="00A31137">
        <w:t>Each stop of this trip is important, but among them all, this moment occupies a special place in my heart and in the hearts of my countrymen—a moment of kinship and homecoming in these hallowed halls.</w:t>
      </w:r>
    </w:p>
    <w:p w:rsidR="00A31137" w:rsidRPr="00A31137" w:rsidRDefault="00A31137" w:rsidP="00A31137">
      <w:r w:rsidRPr="00A31137">
        <w:t>Public Papers of Reagan, 1982, p.742</w:t>
      </w:r>
    </w:p>
    <w:p w:rsidR="00A31137" w:rsidRPr="00A31137" w:rsidRDefault="00A31137" w:rsidP="00A31137">
      <w:r w:rsidRPr="00A31137">
        <w:t>Speaking for all Americans, I want to say how very much at home we feel in your house. Every American would, because this is, as we have been so eloquently told, one of democracy's shrines. Here the rights of free people and the processes of representation have been debated and refined.</w:t>
      </w:r>
    </w:p>
    <w:p w:rsidR="00A31137" w:rsidRPr="00A31137" w:rsidRDefault="00A31137" w:rsidP="00A31137">
      <w:r w:rsidRPr="00A31137">
        <w:t>Public Papers of Reagan, 1982, p.742</w:t>
      </w:r>
    </w:p>
    <w:p w:rsidR="00A31137" w:rsidRPr="00A31137" w:rsidRDefault="00A31137" w:rsidP="00A31137">
      <w:r w:rsidRPr="00A31137">
        <w:t>It has been said that an institution is the lengthening shadow of a man. This institution is the lengthening shadow of all the men and women who have sat here and all those who have voted to send representatives here.</w:t>
      </w:r>
    </w:p>
    <w:p w:rsidR="00A31137" w:rsidRPr="00A31137" w:rsidRDefault="00A31137" w:rsidP="00A31137">
      <w:r w:rsidRPr="00A31137">
        <w:t>Public Papers of Reagan, 1982, p.742</w:t>
      </w:r>
    </w:p>
    <w:p w:rsidR="00A31137" w:rsidRPr="00A31137" w:rsidRDefault="00A31137" w:rsidP="00A31137">
      <w:r w:rsidRPr="00A31137">
        <w:t>This is my second visit to Great Britain as President of the United States. My first opportunity to stand on British soil occurred almost a year and a half ago when your Prime Minister graciously hosted a diplomatic dinner at the British Embassy in Washington. Mrs. Thatcher said then that she hoped I was not distressed to find staring down at me from the grand staircase a portrait of His Royal Majesty King George III. She suggested it was best to let bygones be bygones, and in view of our two countries' remarkable friendship in succeeding years, she added that most Englishmen today would agree with Thomas Jefferson that "a little rebellion now and then is a very good thing." [Laughter]</w:t>
      </w:r>
    </w:p>
    <w:p w:rsidR="00A31137" w:rsidRPr="00A31137" w:rsidRDefault="00A31137" w:rsidP="00A31137">
      <w:r w:rsidRPr="00A31137">
        <w:t>Public Papers of Reagan, 1982, p.742</w:t>
      </w:r>
    </w:p>
    <w:p w:rsidR="00A31137" w:rsidRPr="00A31137" w:rsidRDefault="00A31137" w:rsidP="00A31137">
      <w:r w:rsidRPr="00A31137">
        <w:t>Well, from here I will go to Bonn and then Berlin, where there stands a grim symbol of power untamed. The Berlin Wall, that dreadful gray gash across the city, is in its third decade. It is the fitting signature of the regime that built it.</w:t>
      </w:r>
    </w:p>
    <w:p w:rsidR="00A31137" w:rsidRPr="00A31137" w:rsidRDefault="00A31137" w:rsidP="00A31137">
      <w:r w:rsidRPr="00A31137">
        <w:t>Public Papers of Reagan, 1982, p.742</w:t>
      </w:r>
    </w:p>
    <w:p w:rsidR="00A31137" w:rsidRPr="00A31137" w:rsidRDefault="00A31137" w:rsidP="00A31137">
      <w:r w:rsidRPr="00A31137">
        <w:t>And a few hundred kilometers behind the Berlin Wall, there is another symbol. In the center of Warsaw, there is a sign that notes the distances to two capitals. In one direction it points toward Moscow. In the other it points toward Brussels, headquarters of Western Europe's tangible unity. The marker says that the distances from Warsaw to Moscow and Warsaw to Brussels are equal. The sign makes this point: Poland is not East or West. Poland is at the center of European civilization. It has contributed mightily to that civilization. It is doing., so today by being magnificently unreconciled to oppression.</w:t>
      </w:r>
    </w:p>
    <w:p w:rsidR="00A31137" w:rsidRPr="00A31137" w:rsidRDefault="00A31137" w:rsidP="00A31137">
      <w:r w:rsidRPr="00A31137">
        <w:t>Public Papers of Reagan, 1982, p.742–p.743</w:t>
      </w:r>
    </w:p>
    <w:p w:rsidR="00A31137" w:rsidRPr="00A31137" w:rsidRDefault="00A31137" w:rsidP="00A31137">
      <w:r w:rsidRPr="00A31137">
        <w:t>Poland's struggle to be Poland and to secure the basic rights we often take for [p.743] granted demonstrates why we dare not take those rights for granted. Gladstone, defending the Reform Bill of 1866, declared, "You cannot fight against the future. Time is on our side." It was easier to believe in the march of democracy in Gladstone's day—in that high noon of Victorian optimism.</w:t>
      </w:r>
    </w:p>
    <w:p w:rsidR="00A31137" w:rsidRPr="00A31137" w:rsidRDefault="00A31137" w:rsidP="00A31137">
      <w:r w:rsidRPr="00A31137">
        <w:t>Public Papers of Reagan, 1982, p.743</w:t>
      </w:r>
    </w:p>
    <w:p w:rsidR="00A31137" w:rsidRPr="00A31137" w:rsidRDefault="00A31137" w:rsidP="00A31137">
      <w:r w:rsidRPr="00A31137">
        <w:t>We're approaching the end of a bloody century plagued by a terrible political invention-totalitarianism. Optimism comes less easily today, not because democracy is less vigorous, but because democracy's enemies have refined their instruments of repression. Yet optimism is in order, because day by day democracy is proving itself to be a not-at-all-fragile flower. From Stettin on the Baltic to Varna on the Black Sea, the regimes planted by totalitarianism have had more than 30 years to establish their legitimacy. But none—not one regime—has yet been able to risk free elections. Regimes planted by bayonets do not take root.</w:t>
      </w:r>
    </w:p>
    <w:p w:rsidR="00A31137" w:rsidRPr="00A31137" w:rsidRDefault="00A31137" w:rsidP="00A31137">
      <w:r w:rsidRPr="00A31137">
        <w:t>Public Papers of Reagan, 1982, p.743</w:t>
      </w:r>
    </w:p>
    <w:p w:rsidR="00A31137" w:rsidRPr="00A31137" w:rsidRDefault="00A31137" w:rsidP="00A31137">
      <w:r w:rsidRPr="00A31137">
        <w:t>The strength of the Solidarity movement in Poland demonstrates the truth told in an underground joke in the Soviet Union. It is that the Soviet Union would remain a one-party nation even if an opposition party were permitted, because everyone would join the opposition party. [Laughter]</w:t>
      </w:r>
    </w:p>
    <w:p w:rsidR="00A31137" w:rsidRPr="00A31137" w:rsidRDefault="00A31137" w:rsidP="00A31137">
      <w:r w:rsidRPr="00A31137">
        <w:t>Public Papers of Reagan, 1982, p.743</w:t>
      </w:r>
    </w:p>
    <w:p w:rsidR="00A31137" w:rsidRPr="00A31137" w:rsidRDefault="00A31137" w:rsidP="00A31137">
      <w:r w:rsidRPr="00A31137">
        <w:t>America's time as a player on the stage of world history has been brief. I think understanding this fact has always made you patient with your younger cousins—well, not always patient. I do recall that on one occasion, Sir Winston Churchill said in exasperation about one of our most distinguished diplomats: "He is the only case I know of a bull who carries his china shop with him." [Laughter]</w:t>
      </w:r>
    </w:p>
    <w:p w:rsidR="00A31137" w:rsidRPr="00A31137" w:rsidRDefault="00A31137" w:rsidP="00A31137">
      <w:r w:rsidRPr="00A31137">
        <w:t>Public Papers of Reagan, 1982, p.743</w:t>
      </w:r>
    </w:p>
    <w:p w:rsidR="00A31137" w:rsidRPr="00A31137" w:rsidRDefault="00A31137" w:rsidP="00A31137">
      <w:r w:rsidRPr="00A31137">
        <w:t>But witty as Sir Winston was, he also had that special attribute of great statesmen-the gift of vision, the willingness to see the future based on the experience of the past. It is this sense of history, this understanding of the past that I want to talk with you about today, for it is in remembering what we share of the past that our two nations can make common cause for the future.</w:t>
      </w:r>
    </w:p>
    <w:p w:rsidR="00A31137" w:rsidRPr="00A31137" w:rsidRDefault="00A31137" w:rsidP="00A31137">
      <w:r w:rsidRPr="00A31137">
        <w:t>Public Papers of Reagan, 1982, p.743</w:t>
      </w:r>
    </w:p>
    <w:p w:rsidR="00A31137" w:rsidRPr="00A31137" w:rsidRDefault="00A31137" w:rsidP="00A31137">
      <w:r w:rsidRPr="00A31137">
        <w:t>We have not inherited an easy world. If developments like the Industrial Revolution, which began here in England, and the gifts of science and technology have made life much easier for us, they have also made it more dangerous. There are threats now to our freedom, indeed to our very existence, that other generations could never even have imagined.</w:t>
      </w:r>
    </w:p>
    <w:p w:rsidR="00A31137" w:rsidRPr="00A31137" w:rsidRDefault="00A31137" w:rsidP="00A31137">
      <w:r w:rsidRPr="00A31137">
        <w:t>Public Papers of Reagan, 1982, p.743</w:t>
      </w:r>
    </w:p>
    <w:p w:rsidR="00A31137" w:rsidRPr="00A31137" w:rsidRDefault="00A31137" w:rsidP="00A31137">
      <w:r w:rsidRPr="00A31137">
        <w:t>There is first the threat of global war. No President, no Congress, no Prime Minister, no Parliament can spend a day entirely free of this threat. And I don't have to tell you that in today's world the existence of nuclear weapons could mean, if not the extinction of mankind, then surely the end of civilization as we know it. That's why negotiations on intermediate-range nuclear forces now underway in Europe and the START talks—Strategic Arms Reduction Talks—which will begin later this month, are not just critical to American or Western policy; they are critical to mankind. Our commitment to early success in these negotiations is firm and unshakable, and our purpose is clear: reducing the risk of war by reducing the means of waging war on both sides.</w:t>
      </w:r>
    </w:p>
    <w:p w:rsidR="00A31137" w:rsidRPr="00A31137" w:rsidRDefault="00A31137" w:rsidP="00A31137">
      <w:r w:rsidRPr="00A31137">
        <w:t>Public Papers of Reagan, 1982, p.743</w:t>
      </w:r>
    </w:p>
    <w:p w:rsidR="00A31137" w:rsidRPr="00A31137" w:rsidRDefault="00A31137" w:rsidP="00A31137">
      <w:r w:rsidRPr="00A31137">
        <w:t>At the same time there is a threat posed to human freedom by the enormous power of the modern state. History teaches the dangers of government that overreaches-political control taking precedence over free economic growth, secret police, mindless bureaucracy, all combining to stifle individual excellence and personal freedom.</w:t>
      </w:r>
    </w:p>
    <w:p w:rsidR="00A31137" w:rsidRPr="00A31137" w:rsidRDefault="00A31137" w:rsidP="00A31137">
      <w:r w:rsidRPr="00A31137">
        <w:t>Public Papers of Reagan, 1982, p.743</w:t>
      </w:r>
    </w:p>
    <w:p w:rsidR="00A31137" w:rsidRPr="00A31137" w:rsidRDefault="00A31137" w:rsidP="00A31137">
      <w:r w:rsidRPr="00A31137">
        <w:t>Now, I'm aware that among us here and throughout Europe there is legitimate disagreement over the extent to which the public sector should play a role in a nation's economy and life. But on one point all of us are united—our abhorrence of dictatorship in all its forms, but most particularly totalitarianism and the terrible inhumanities it has caused in our time—the great purge, Auschwitz and Dachau, the Gulag, and Cambodia.</w:t>
      </w:r>
    </w:p>
    <w:p w:rsidR="00A31137" w:rsidRPr="00A31137" w:rsidRDefault="00A31137" w:rsidP="00A31137">
      <w:r w:rsidRPr="00A31137">
        <w:t>Public Papers of Reagan, 1982, p.743–p.744</w:t>
      </w:r>
    </w:p>
    <w:p w:rsidR="00A31137" w:rsidRPr="00A31137" w:rsidRDefault="00A31137" w:rsidP="00A31137">
      <w:r w:rsidRPr="00A31137">
        <w:t>Historians looking back at our time will note the consistent restraint and peaceful intentions of the West. They will note that it was the democracies who refused to use the threat of their nuclear monopoly in the forties and early fifties for territorial or imperial gain. Had that nuclear monopoly been in the hands of the Communist world, the map of Europe—indeed, the world-would look very different today. And certainly they will note it was not the democracies that invaded Afghanistan or suppressed [p.744] Polish Solidarity or used chemical and toxin warfare in Afghanistan and Southeast Asia</w:t>
      </w:r>
    </w:p>
    <w:p w:rsidR="00A31137" w:rsidRPr="00A31137" w:rsidRDefault="00A31137" w:rsidP="00A31137">
      <w:r w:rsidRPr="00A31137">
        <w:t>Public Papers of Reagan, 1982, p.744</w:t>
      </w:r>
    </w:p>
    <w:p w:rsidR="00A31137" w:rsidRPr="00A31137" w:rsidRDefault="00A31137" w:rsidP="00A31137">
      <w:r w:rsidRPr="00A31137">
        <w:t>If history teaches anything it teaches self-delusion in the face of unpleasant facts is folly. We see around us today the marks of our terrible dilemma—predictions of doomsday, antinuclear demonstrations, an arms race in which the West must, for its own protection, be an unwilling participant. At the same time we see totalitarian forces in the world who seek subversion and conflict around the globe to further their barbarous assault on the human spirit. What, then, is our course? Must civilization perish in a hail of fiery atoms? Must freedom wither in a quiet, deadening accommodation with totalitarian evil?</w:t>
      </w:r>
    </w:p>
    <w:p w:rsidR="00A31137" w:rsidRPr="00A31137" w:rsidRDefault="00A31137" w:rsidP="00A31137">
      <w:r w:rsidRPr="00A31137">
        <w:t>Public Papers of Reagan, 1982, p.744</w:t>
      </w:r>
    </w:p>
    <w:p w:rsidR="00A31137" w:rsidRPr="00A31137" w:rsidRDefault="00A31137" w:rsidP="00A31137">
      <w:r w:rsidRPr="00A31137">
        <w:t>Sir Winston Churchill refused to accept the inevitability of war or even that it was imminent. He said, "I do not believe that Soviet Russia desires war. What they desire is the fruits of war and the indefinite expansion of their power and doctrines. But what we have to consider here today while time remains is the permanent prevention of war and the establishment of conditions of freedom and democracy as rapidly as possible in all countries."</w:t>
      </w:r>
    </w:p>
    <w:p w:rsidR="00A31137" w:rsidRPr="00A31137" w:rsidRDefault="00A31137" w:rsidP="00A31137">
      <w:r w:rsidRPr="00A31137">
        <w:t>Public Papers of Reagan, 1982, p.744</w:t>
      </w:r>
    </w:p>
    <w:p w:rsidR="00A31137" w:rsidRPr="00A31137" w:rsidRDefault="00A31137" w:rsidP="00A31137">
      <w:r w:rsidRPr="00A31137">
        <w:t>Well, this is precisely our mission today: to preserve freedom as well as peace. It may not be easy to see; but I believe we live now at a turning point.</w:t>
      </w:r>
    </w:p>
    <w:p w:rsidR="00A31137" w:rsidRPr="00A31137" w:rsidRDefault="00A31137" w:rsidP="00A31137">
      <w:r w:rsidRPr="00A31137">
        <w:t>Public Papers of Reagan, 1982, p.744</w:t>
      </w:r>
    </w:p>
    <w:p w:rsidR="00A31137" w:rsidRPr="00A31137" w:rsidRDefault="00A31137" w:rsidP="00A31137">
      <w:r w:rsidRPr="00A31137">
        <w:t>In an ironic sense Karl Marx was right. We are witnessing today a great revolutionary crisis, a crisis where the demands of the economic order are conflicting directly with those of the political order. But the crisis is happening not in the free, non-Marxist West, but in the home of Marxist-Leninism, the Soviet Union. It is the Soviet Union that runs against the tide of history by denying human freedom and human dignity to its citizens. It also is in deep economic difficulty. The rate of growth in the national product has been steadily declining since the Fifties and is less than half of what it was then.</w:t>
      </w:r>
    </w:p>
    <w:p w:rsidR="00A31137" w:rsidRPr="00A31137" w:rsidRDefault="00A31137" w:rsidP="00A31137">
      <w:r w:rsidRPr="00A31137">
        <w:t>Public Papers of Reagan, 1982, p.744</w:t>
      </w:r>
    </w:p>
    <w:p w:rsidR="00A31137" w:rsidRPr="00A31137" w:rsidRDefault="00A31137" w:rsidP="00A31137">
      <w:r w:rsidRPr="00A31137">
        <w:t xml:space="preserve"> The dimensions of this failure are astounding: A country which employs one fifth of its population in agriculture is unable to feed its own people. Were it not for the private sector, the tiny private sector tolerated in Soviet agriculture, the country might be on the brink of famine. These private plots occupy a bare 3 percent of the arable land but account for nearly one-quarter of Soviet farm output and nearly one-third of meat products and vegetables. Overcentralized, with little or no incentives, year after year the Soviet system pours its best resource into the making of instruments of destruction. The constant shrinkage of economic growth combined with the growth of military production is putting a heavy strain on the Soviet people. What we see here is a political structure that no longer corresponds to its economic base, a society where productive forces are hampered by political ones.</w:t>
      </w:r>
    </w:p>
    <w:p w:rsidR="00A31137" w:rsidRPr="00A31137" w:rsidRDefault="00A31137" w:rsidP="00A31137">
      <w:r w:rsidRPr="00A31137">
        <w:t>Public Papers of Reagan, 1982, p.744</w:t>
      </w:r>
    </w:p>
    <w:p w:rsidR="00A31137" w:rsidRPr="00A31137" w:rsidRDefault="00A31137" w:rsidP="00A31137">
      <w:r w:rsidRPr="00A31137">
        <w:t>The decay of the Soviet experiment should come as no surprise to us. Wherever the comparisons have been made between free and closed societies-West Germany and East Germany, Austria and Czechoslovakia, Malaysia and Vietnam—it is the democratic countries what are prosperous and responsive to the needs of their people. And one of the simple but overwhelming facts of our time is this: Of all the millions of refugees we've seen in the modern world, their flight is always away from, not toward the Communist world. Today on the NATO line, our military forces face east to prevent a possible invasion. On the other side of the line, the Soviet forces also face east to prevent their people from leaving.</w:t>
      </w:r>
    </w:p>
    <w:p w:rsidR="00A31137" w:rsidRPr="00A31137" w:rsidRDefault="00A31137" w:rsidP="00A31137">
      <w:r w:rsidRPr="00A31137">
        <w:t>Public Papers of Reagan, 1982, p.744</w:t>
      </w:r>
    </w:p>
    <w:p w:rsidR="00A31137" w:rsidRPr="00A31137" w:rsidRDefault="00A31137" w:rsidP="00A31137">
      <w:r w:rsidRPr="00A31137">
        <w:t>The hard evidence of totalitarian rule has caused in mankind an uprising of the intellect and will. Whether it is the growth of the new schools of economics in America or England or the appearance of the so-called new philosophers in France, there is one unifying thread running through the intellectual work of these groups—rejection of the arbitrary power of the state, the refusal to subordinate the rights of the individual to the superstate, the realization that collectivism stifles all the best human impulses.</w:t>
      </w:r>
    </w:p>
    <w:p w:rsidR="00A31137" w:rsidRPr="00A31137" w:rsidRDefault="00A31137" w:rsidP="00A31137">
      <w:r w:rsidRPr="00A31137">
        <w:t>Public Papers of Reagan, 1982, p.744–p.745</w:t>
      </w:r>
    </w:p>
    <w:p w:rsidR="00A31137" w:rsidRPr="00A31137" w:rsidRDefault="00A31137" w:rsidP="00A31137">
      <w:r w:rsidRPr="00A31137">
        <w:t xml:space="preserve"> Since the exodus from Egypt, historians have written of those who sacrificed and struggled for freedom—the stand at Thermopylae, the revolt of Spartacus, the storming of the Bastille, the Warsaw uprising in World War II. More recently we've seen evidence of this same human impulse in one of the developing nations in Central [p.745] America. For months and months the world news media covered the fighting in El Salvador. Day after day we were treated to stories and film slanted toward the brave freedom-fighters battling oppressive government forces in behalf of the silent, suffering people of that tortured country.</w:t>
      </w:r>
    </w:p>
    <w:p w:rsidR="00A31137" w:rsidRPr="00A31137" w:rsidRDefault="00A31137" w:rsidP="00A31137">
      <w:r w:rsidRPr="00A31137">
        <w:t>Public Papers of Reagan, 1982, p.745</w:t>
      </w:r>
    </w:p>
    <w:p w:rsidR="00A31137" w:rsidRPr="00A31137" w:rsidRDefault="00A31137" w:rsidP="00A31137">
      <w:r w:rsidRPr="00A31137">
        <w:t>And then one day those silent, suffering people were offered a chance to vote, to choose the kind of government they wanted. Suddenly the freedom-fighters in the hills were exposed for what they really are—Cuban-backed guerrillas who want power for themselves, and their backers, not democracy for the people. They threatened death to any who voted, and destroyed hundreds of buses and trucks to keep the people from getting to the polling places. But on election day, the people of El Salvador, an unprecedented 1.4 million of them, braved ambush and gunfire, and trudged for miles to vote for freedom.</w:t>
      </w:r>
    </w:p>
    <w:p w:rsidR="00A31137" w:rsidRPr="00A31137" w:rsidRDefault="00A31137" w:rsidP="00A31137">
      <w:r w:rsidRPr="00A31137">
        <w:t>Public Papers of Reagan, 1982, p.745</w:t>
      </w:r>
    </w:p>
    <w:p w:rsidR="00A31137" w:rsidRPr="00A31137" w:rsidRDefault="00A31137" w:rsidP="00A31137">
      <w:r w:rsidRPr="00A31137">
        <w:t>They stood for hours in the hot sun waiting for their turn to vote. Members of our Congress who went there as observers told me of a women who was wounded by rifle fire on the way to the polls, who refused to leave the line to have her wound treated until after she had voted. A grandmother, who had been told by the guerrillas she would be killed when she returned from the polls, and she told the guerrillas, "You can kill me, you can kill my family, kill my neighbors, but you can't kill us all." The real freedom-fighters of El Salvador turned out to be the people of that country-the young, the old, the in-between.</w:t>
      </w:r>
    </w:p>
    <w:p w:rsidR="00A31137" w:rsidRPr="00A31137" w:rsidRDefault="00A31137" w:rsidP="00A31137">
      <w:r w:rsidRPr="00A31137">
        <w:t>Public Papers of Reagan, 1982, p.745</w:t>
      </w:r>
    </w:p>
    <w:p w:rsidR="00A31137" w:rsidRPr="00A31137" w:rsidRDefault="00A31137" w:rsidP="00A31137">
      <w:r w:rsidRPr="00A31137">
        <w:t>Strange, but in my own country there's been little if any news coverage of that war since the election. Now, perhaps they'll say it's-well, because there are newer struggles now.</w:t>
      </w:r>
    </w:p>
    <w:p w:rsidR="00A31137" w:rsidRPr="00A31137" w:rsidRDefault="00A31137" w:rsidP="00A31137">
      <w:r w:rsidRPr="00A31137">
        <w:t>Public Papers of Reagan, 1982, p.745</w:t>
      </w:r>
    </w:p>
    <w:p w:rsidR="00A31137" w:rsidRPr="00A31137" w:rsidRDefault="00A31137" w:rsidP="00A31137">
      <w:r w:rsidRPr="00A31137">
        <w:t>On distant islands in the South Atlantic young men are fighting for Britain. And, yes, voices have been raised protesting their sacrifice for lumps of rock and earth so far away. But those young men aren't fighting for mere real estate. They fight for a cause—for the belief that armed aggression must not be allowed to succeed, and the people must participate in the decisions of government—[applause]—the decisions of government under the rule of law. If there had been firmer support for that principle some 45 years ago, perhaps our generation wouldn't have suffered the bloodletting of World War II.</w:t>
      </w:r>
    </w:p>
    <w:p w:rsidR="00A31137" w:rsidRPr="00A31137" w:rsidRDefault="00A31137" w:rsidP="00A31137">
      <w:r w:rsidRPr="00A31137">
        <w:t>Public Papers of Reagan, 1982, p.745</w:t>
      </w:r>
    </w:p>
    <w:p w:rsidR="00A31137" w:rsidRPr="00A31137" w:rsidRDefault="00A31137" w:rsidP="00A31137">
      <w:r w:rsidRPr="00A31137">
        <w:t>In the Middle East now the guns sound once more, this time in Lebanon, a country that for too long has had to endure the tragedy of civil war, terrorism, and foreign intervention and occupation. The fighting in Lebanon on the part of all parties must stop, and Israel should bring its forces home. But this is not enough. We must all work to stamp out the scourge of terrorism that in the Middle East makes war an ever-present threat.</w:t>
      </w:r>
    </w:p>
    <w:p w:rsidR="00A31137" w:rsidRPr="00A31137" w:rsidRDefault="00A31137" w:rsidP="00A31137">
      <w:r w:rsidRPr="00A31137">
        <w:t>Public Papers of Reagan, 1982, p.745</w:t>
      </w:r>
    </w:p>
    <w:p w:rsidR="00A31137" w:rsidRPr="00A31137" w:rsidRDefault="00A31137" w:rsidP="00A31137">
      <w:r w:rsidRPr="00A31137">
        <w:t>But beyond the troublespots lies a deeper, more positive pattern. Around the world today, the democratic revolution is gathering new strength. In India a critical test has been passed with the peaceful change of governing political parties. In Africa, Nigeria is moving into remarkable and unmistakable ways to build and strengthen its democratic institutions. In the Caribbean and Central America, 16 of 24 countries have freely elected governments. And in the United Nations, 8 of the 10 developing nations which have joined that body in the past 5 years are democracies.</w:t>
      </w:r>
    </w:p>
    <w:p w:rsidR="00A31137" w:rsidRPr="00A31137" w:rsidRDefault="00A31137" w:rsidP="00A31137">
      <w:r w:rsidRPr="00A31137">
        <w:t>Public Papers of Reagan, 1982, p.745</w:t>
      </w:r>
    </w:p>
    <w:p w:rsidR="00A31137" w:rsidRPr="00A31137" w:rsidRDefault="00A31137" w:rsidP="00A31137">
      <w:r w:rsidRPr="00A31137">
        <w:t>In the Communist world as well, man's instinctive desire for freedom and self-determination surfaces again and again. To be sure, there are grim reminders of how brutally the police state attempts to snuff out this quest for self-rule—1953 in East Germany, 1956 in Hungary, 1968 in Czechoslovakia, 1981 in Poland. But the struggle continues in Poland. And we know that there are even those who strive and suffer for freedom within the confines of the Soviet Union itself. How we conduct ourselves here in the Western democracies will determine whether this trend continues.</w:t>
      </w:r>
    </w:p>
    <w:p w:rsidR="00A31137" w:rsidRPr="00A31137" w:rsidRDefault="00A31137" w:rsidP="00A31137">
      <w:r w:rsidRPr="00A31137">
        <w:t>Public Papers of Reagan, 1982, p.745</w:t>
      </w:r>
    </w:p>
    <w:p w:rsidR="00A31137" w:rsidRPr="00A31137" w:rsidRDefault="00A31137" w:rsidP="00A31137">
      <w:r w:rsidRPr="00A31137">
        <w:t>No, democracy is not a fragile flower. Still it needs cultivating. If the rest of this century is to witness the gradual growth of freedom and democratic ideals, we must take actions to assist the campaign for democracy.</w:t>
      </w:r>
    </w:p>
    <w:p w:rsidR="00A31137" w:rsidRPr="00A31137" w:rsidRDefault="00A31137" w:rsidP="00A31137">
      <w:r w:rsidRPr="00A31137">
        <w:t>Public Papers of Reagan, 1982, p.745–p.746</w:t>
      </w:r>
    </w:p>
    <w:p w:rsidR="00A31137" w:rsidRPr="00A31137" w:rsidRDefault="00A31137" w:rsidP="00A31137">
      <w:r w:rsidRPr="00A31137">
        <w:t>Some argue that we should encourage democratic change in right-wing dictatorships, but not in Communist regimes. Well, to accept this preposterous notion—as some [p.746] well-meaning people have—is to invite the argument that once countries achieve a nuclear capability, they should be allowed an undisturbed reign of terror over their own citizens. We reject this course.</w:t>
      </w:r>
    </w:p>
    <w:p w:rsidR="00A31137" w:rsidRPr="00A31137" w:rsidRDefault="00A31137" w:rsidP="00A31137">
      <w:r w:rsidRPr="00A31137">
        <w:t>Public Papers of Reagan, 1982, p.746</w:t>
      </w:r>
    </w:p>
    <w:p w:rsidR="00A31137" w:rsidRPr="00A31137" w:rsidRDefault="00A31137" w:rsidP="00A31137">
      <w:r w:rsidRPr="00A31137">
        <w:t>As for the Soviet view, Chairman Brezhnev repeatedly has stressed that the competition of ideas and systems must continue and that this is entirely consistent with relaxation of tensions and peace.</w:t>
      </w:r>
    </w:p>
    <w:p w:rsidR="00A31137" w:rsidRPr="00A31137" w:rsidRDefault="00A31137" w:rsidP="00A31137">
      <w:r w:rsidRPr="00A31137">
        <w:t>Public Papers of Reagan, 1982, p.746</w:t>
      </w:r>
    </w:p>
    <w:p w:rsidR="00A31137" w:rsidRPr="00A31137" w:rsidRDefault="00A31137" w:rsidP="00A31137">
      <w:r w:rsidRPr="00A31137">
        <w:t>Well, we ask only that these systems begin by living up to their own constitutions, abiding by their own laws, and complying with the international obligations they have undertaken. We ask only for a process, a direction, a basic code of decency, not for an instant transformation.</w:t>
      </w:r>
    </w:p>
    <w:p w:rsidR="00A31137" w:rsidRPr="00A31137" w:rsidRDefault="00A31137" w:rsidP="00A31137">
      <w:r w:rsidRPr="00A31137">
        <w:t>Public Papers of Reagan, 1982, p.746</w:t>
      </w:r>
    </w:p>
    <w:p w:rsidR="00A31137" w:rsidRPr="00A31137" w:rsidRDefault="00A31137" w:rsidP="00A31137">
      <w:r w:rsidRPr="00A31137">
        <w:t>We cannot ignore the fact that even without our encouragement there has been and will continue to be repeated explosions against repression and dictatorships. The Soviet Union itself is not immune to this reality. Any system is inherently unstable that has no peaceful means to legitimize its leaders. In such cases, the very repressiveness of the state ultimately drives people to resist it, if necessary, by force.</w:t>
      </w:r>
    </w:p>
    <w:p w:rsidR="00A31137" w:rsidRPr="00A31137" w:rsidRDefault="00A31137" w:rsidP="00A31137">
      <w:r w:rsidRPr="00A31137">
        <w:t>Public Papers of Reagan, 1982, p.746</w:t>
      </w:r>
    </w:p>
    <w:p w:rsidR="00A31137" w:rsidRPr="00A31137" w:rsidRDefault="00A31137" w:rsidP="00A31137">
      <w:r w:rsidRPr="00A31137">
        <w:t>While we must be cautious about forcing the pace of change, we must not hesitate to declare our ultimate objectives and to take concrete actions to move toward them. We must be staunch in our conviction that freedom is not the sole prerogative of a lucky few, but the inalienable and universal right of all human beings. So states the United Nations Universal Declaration of Human Rights, which, among other things, guarantees free elections.</w:t>
      </w:r>
    </w:p>
    <w:p w:rsidR="00A31137" w:rsidRPr="00A31137" w:rsidRDefault="00A31137" w:rsidP="00A31137">
      <w:r w:rsidRPr="00A31137">
        <w:t>Public Papers of Reagan, 1982, p.746</w:t>
      </w:r>
    </w:p>
    <w:p w:rsidR="00A31137" w:rsidRPr="00A31137" w:rsidRDefault="00A31137" w:rsidP="00A31137">
      <w:r w:rsidRPr="00A31137">
        <w:t>The objective I propose is quite simple to state: to foster the infrastructure of democracy, the system of a free press, unions, political parties, universities, which allows a people to choose their own way to develop their own culture, to reconcile their own differences through peaceful means.</w:t>
      </w:r>
    </w:p>
    <w:p w:rsidR="00A31137" w:rsidRPr="00A31137" w:rsidRDefault="00A31137" w:rsidP="00A31137">
      <w:r w:rsidRPr="00A31137">
        <w:t>Public Papers of Reagan, 1982, p.746</w:t>
      </w:r>
    </w:p>
    <w:p w:rsidR="00A31137" w:rsidRPr="00A31137" w:rsidRDefault="00A31137" w:rsidP="00A31137">
      <w:r w:rsidRPr="00A31137">
        <w:t>This is not cultural imperialism, it is providing the means for genuine self-determination and protection for diversity. Democracy already flourishes in countries with very different cultures and historical experiences. It would be cultural condescension, or worse, to say that any people prefer dictatorship to democracy. Who would voluntarily choose not to have the right to vote, decide to purchase government propaganda handouts instead of independent newspapers, prefer government to worker-controlled unions, opt for land to be owned by the state instead of those who till it, want government repression of religious liberty, a single political party instead of a free choice, a rigid cultural orthodoxy instead of democratic tolerance and diversity?</w:t>
      </w:r>
    </w:p>
    <w:p w:rsidR="00A31137" w:rsidRPr="00A31137" w:rsidRDefault="00A31137" w:rsidP="00A31137">
      <w:r w:rsidRPr="00A31137">
        <w:t>Public Papers of Reagan, 1982, p.746</w:t>
      </w:r>
    </w:p>
    <w:p w:rsidR="00A31137" w:rsidRPr="00A31137" w:rsidRDefault="00A31137" w:rsidP="00A31137">
      <w:r w:rsidRPr="00A31137">
        <w:t>Since 1917 the Soviet Union has given covert political training and assistance to Marxist-Leninists in many countries. Of course, it also has promoted the use of violence and subversion by these same forces. Over the past several decades, West European and other Social Democrats, Christian Democrats, and leaders have offered open assistance to fraternal, political, and social institutions to bring about peaceful and democratic progress. Appropriately, for a vigorous new democracy, the Federal Republic of Germany's political foundations have become a major force in this effort.</w:t>
      </w:r>
    </w:p>
    <w:p w:rsidR="00A31137" w:rsidRPr="00A31137" w:rsidRDefault="00A31137" w:rsidP="00A31137">
      <w:r w:rsidRPr="00A31137">
        <w:t>Public Papers of Reagan, 1982, p.746</w:t>
      </w:r>
    </w:p>
    <w:p w:rsidR="00A31137" w:rsidRPr="00A31137" w:rsidRDefault="00A31137" w:rsidP="00A31137">
      <w:r w:rsidRPr="00A31137">
        <w:t>We in America now intend to take additional steps, as many of our allies have already done, toward realizing this same goal. The chairmen and other leaders of the national Republican and Democratic Party organizations are initiating a study with the bipartisan American political foundation to determine how the United States can best contribute as a nation to the global campaign for democracy now gathering force. They will have the cooperation of congressional leaders of both parties, along with representatives of business, labor, and other major institutions in our society. I look forward to receiving their recommendations and to working with these institutions and the Congress in the common task of strengthening democracy throughout the world.</w:t>
      </w:r>
    </w:p>
    <w:p w:rsidR="00A31137" w:rsidRPr="00A31137" w:rsidRDefault="00A31137" w:rsidP="00A31137">
      <w:r w:rsidRPr="00A31137">
        <w:t>Public Papers of Reagan, 1982, p.746</w:t>
      </w:r>
    </w:p>
    <w:p w:rsidR="00A31137" w:rsidRPr="00A31137" w:rsidRDefault="00A31137" w:rsidP="00A31137">
      <w:r w:rsidRPr="00A31137">
        <w:t>It is time that we committed ourselves as a nation—in both the pubic and private sectors—to assisting democratic development.</w:t>
      </w:r>
    </w:p>
    <w:p w:rsidR="00A31137" w:rsidRPr="00A31137" w:rsidRDefault="00A31137" w:rsidP="00A31137">
      <w:r w:rsidRPr="00A31137">
        <w:t>Public Papers of Reagan, 1982, p.746</w:t>
      </w:r>
    </w:p>
    <w:p w:rsidR="00A31137" w:rsidRPr="00A31137" w:rsidRDefault="00A31137" w:rsidP="00A31137">
      <w:r w:rsidRPr="00A31137">
        <w:t>We plan to consult with leaders of other nations as well. There is a proposal before the Council of Europe to invite parliamentarians from democratic countries to a meeting next year in Strasbourg. That prestigious gathering could consider ways to help democratic political movements.</w:t>
      </w:r>
    </w:p>
    <w:p w:rsidR="00A31137" w:rsidRPr="00A31137" w:rsidRDefault="00A31137" w:rsidP="00A31137">
      <w:r w:rsidRPr="00A31137">
        <w:t>Public Papers of Reagan, 1982, p.746–p.747</w:t>
      </w:r>
    </w:p>
    <w:p w:rsidR="00A31137" w:rsidRPr="00A31137" w:rsidRDefault="00A31137" w:rsidP="00A31137">
      <w:r w:rsidRPr="00A31137">
        <w:t>This November in Washington there will [p.747] take place an international meeting on free elections. And next spring there will be a conference of world authorities on constitutionalism and self-government hosted by the Chief Justice of the United States. Authorities from a number of developing and developed countries—judges, philosophers, and politicians with practical experience-have agreed to explore how to turn principle into practice and further the rule of law.</w:t>
      </w:r>
    </w:p>
    <w:p w:rsidR="00A31137" w:rsidRPr="00A31137" w:rsidRDefault="00A31137" w:rsidP="00A31137">
      <w:r w:rsidRPr="00A31137">
        <w:t>Public Papers of Reagan, 1982, p.747</w:t>
      </w:r>
    </w:p>
    <w:p w:rsidR="00A31137" w:rsidRPr="00A31137" w:rsidRDefault="00A31137" w:rsidP="00A31137">
      <w:r w:rsidRPr="00A31137">
        <w:t>At the same time, we invite the Soviet Union to consider with us how the competition of ideas and values—which it is committed to support—can be conducted on a peaceful and reciprocal basis. For example, I am prepared to offer President Brezhnev an opportunity to speak to the American people on our television if he will allow me the same opportunity with the Soviet people. We also suggest that panels of our newsmen periodically appear on each other's television to discuss major events.</w:t>
      </w:r>
    </w:p>
    <w:p w:rsidR="00A31137" w:rsidRPr="00A31137" w:rsidRDefault="00A31137" w:rsidP="00A31137">
      <w:r w:rsidRPr="00A31137">
        <w:t>Public Papers of Reagan, 1982, p.747</w:t>
      </w:r>
    </w:p>
    <w:p w:rsidR="00A31137" w:rsidRPr="00A31137" w:rsidRDefault="00A31137" w:rsidP="00A31137">
      <w:r w:rsidRPr="00A31137">
        <w:t>Now, I don't wish to sound overly optimistic, yet the Soviet Union is not immune from the reality of what is going on in the world. It has happened in the past—a small ruling elite either mistakenly attempts to ease domestic unrest through greater repression and foreign adventure, or it chooses a wiser course. It begins to allow its people a voice in their own destiny. Even if this latter process is not realized soon, I believe the renewed strength of the democratic movement, complemented by a global campaign for freedom, will strengthen the prospects for arms control and a world at peace.</w:t>
      </w:r>
    </w:p>
    <w:p w:rsidR="00A31137" w:rsidRPr="00A31137" w:rsidRDefault="00A31137" w:rsidP="00A31137">
      <w:r w:rsidRPr="00A31137">
        <w:t>Public Papers of Reagan, 1982, p.747</w:t>
      </w:r>
    </w:p>
    <w:p w:rsidR="00A31137" w:rsidRPr="00A31137" w:rsidRDefault="00A31137" w:rsidP="00A31137">
      <w:r w:rsidRPr="00A31137">
        <w:t>I have discussed on other occasions, including my address on May 9th, the elements of Western policies toward the Soviet Union to safeguard our interests and protect the peace. What I am describing now is a plan and a hope for the long term—the march of freedom and democracy which will leave Marxism-Leninism on the ashheap of history as it has left other tyrannies which stifle the freedom and muzzle the self-expression of the people. And that's why we must continue our efforts to strengthen NATO even as we move forward with our Zero-Option initiative in the negotiations on intermediate-range forces and our proposal for a one-third reduction in strategic ballistic missile warheads.</w:t>
      </w:r>
    </w:p>
    <w:p w:rsidR="00A31137" w:rsidRPr="00A31137" w:rsidRDefault="00A31137" w:rsidP="00A31137">
      <w:r w:rsidRPr="00A31137">
        <w:t>Public Papers of Reagan, 1982, p.747</w:t>
      </w:r>
    </w:p>
    <w:p w:rsidR="00A31137" w:rsidRPr="00A31137" w:rsidRDefault="00A31137" w:rsidP="00A31137">
      <w:r w:rsidRPr="00A31137">
        <w:t>Our military strength is a prerequisite to peace, but let it be clear we maintain this strength in the hope it will never be used, for the ultimate determinant in the struggle that's now going on in the world will not be bombs and rockets, but a test of wills and ideas, a trial of spiritual resolve, the values we hold, the beliefs we cherish, the ideals to which we are dedicated.</w:t>
      </w:r>
    </w:p>
    <w:p w:rsidR="00A31137" w:rsidRPr="00A31137" w:rsidRDefault="00A31137" w:rsidP="00A31137">
      <w:r w:rsidRPr="00A31137">
        <w:t>Public Papers of Reagan, 1982, p.747</w:t>
      </w:r>
    </w:p>
    <w:p w:rsidR="00A31137" w:rsidRPr="00A31137" w:rsidRDefault="00A31137" w:rsidP="00A31137">
      <w:r w:rsidRPr="00A31137">
        <w:t>The British people know that, given strong leadership, time and a little bit of hope, the forces of good ultimately rally and triumph over evil. Here among you is the cradle of self-government, the Mother of Parliaments. Here is the enduring greatness of the British contribution to mankind, the great civilized ideas: individual liberty, representative government, and the rule of law under God.</w:t>
      </w:r>
    </w:p>
    <w:p w:rsidR="00A31137" w:rsidRPr="00A31137" w:rsidRDefault="00A31137" w:rsidP="00A31137">
      <w:r w:rsidRPr="00A31137">
        <w:t>Public Papers of Reagan, 1982, p.747</w:t>
      </w:r>
    </w:p>
    <w:p w:rsidR="00A31137" w:rsidRPr="00A31137" w:rsidRDefault="00A31137" w:rsidP="00A31137">
      <w:r w:rsidRPr="00A31137">
        <w:t>I've often wondered about the shyness of some of us in the West about standing for these ideals that have done so much to ease the plight of man and the hardships of our imperfect world. This reluctance to use those vast resources at our command reminds me of the elderly lady whose home was bombed in the Blitz. As the rescuers moved about, they found a bottle of brandy she'd stored behind the staircase, which was all that was left standing. And since she was barely conscious, one of the workers pulled the cork to give her a taste of it. She came around immediately and said, "Here now-there now, put it back. That's for emergencies." [Laughter]</w:t>
      </w:r>
    </w:p>
    <w:p w:rsidR="00A31137" w:rsidRPr="00A31137" w:rsidRDefault="00A31137" w:rsidP="00A31137">
      <w:r w:rsidRPr="00A31137">
        <w:t>Public Papers of Reagan, 1982, p.747</w:t>
      </w:r>
    </w:p>
    <w:p w:rsidR="00A31137" w:rsidRPr="00A31137" w:rsidRDefault="00A31137" w:rsidP="00A31137">
      <w:r w:rsidRPr="00A31137">
        <w:t>Well, the emergency is upon us. Let us be shy no longer. Let us go to our strength. Let us offer hope. Let us tell the world that a new age is not only possible but probable.</w:t>
      </w:r>
    </w:p>
    <w:p w:rsidR="00A31137" w:rsidRPr="00A31137" w:rsidRDefault="00A31137" w:rsidP="00A31137">
      <w:r w:rsidRPr="00A31137">
        <w:t>Public Papers of Reagan, 1982, p.747–p.748</w:t>
      </w:r>
    </w:p>
    <w:p w:rsidR="00A31137" w:rsidRPr="00A31137" w:rsidRDefault="00A31137" w:rsidP="00A31137">
      <w:r w:rsidRPr="00A31137">
        <w:t>During the dark days of the Second World War, when this island was incandescent with courage, Winston Churchill exclaimed about Britain's adversaries, "What kind of a people do they think we are?" Well, Britain's adversaries found out what extraordinary people the British are. But all the democracies paid a terrible price for allowing the dictators to underestimate us. We dare not make that mistake again. So, let us ask ourselves, "What kind of people do we think we are?" And let us answer, "Free people, worthy of freedom and determined [p.748] not only to remain so but to help others gain their freedom as well."</w:t>
      </w:r>
    </w:p>
    <w:p w:rsidR="00A31137" w:rsidRPr="00A31137" w:rsidRDefault="00A31137" w:rsidP="00A31137">
      <w:r w:rsidRPr="00A31137">
        <w:t>Public Papers of Reagan, 1982, p.748</w:t>
      </w:r>
    </w:p>
    <w:p w:rsidR="00A31137" w:rsidRPr="00A31137" w:rsidRDefault="00A31137" w:rsidP="00A31137">
      <w:r w:rsidRPr="00A31137">
        <w:t>Sir Winston led his people to great victory in war and then lost an election just as the fruits of victory were about to be enjoyed. But he left office honorably, and, as it turned out, temporarily, knowing that the liberty of his people was more important than the fate of any single leader. History recalls his greatness in ways no dictator will ever know. And he left us a message of hope for the future, as timely now as when he first uttered it, as opposition leader in the Commons nearly 27 years ago, when he said, "When we look back on all the perils through which we have passed and at the mighty foes that we have laid low and all the dark and deadly designs that we have frustrated, why should we fear for our future? We have," he said, "come safely through the worst."</w:t>
      </w:r>
    </w:p>
    <w:p w:rsidR="00A31137" w:rsidRPr="00A31137" w:rsidRDefault="00A31137" w:rsidP="00A31137">
      <w:r w:rsidRPr="00A31137">
        <w:t>Public Papers of Reagan, 1982, p.748</w:t>
      </w:r>
    </w:p>
    <w:p w:rsidR="00A31137" w:rsidRPr="00A31137" w:rsidRDefault="00A31137" w:rsidP="00A31137">
      <w:r w:rsidRPr="00A31137">
        <w:t>Well, the task I've set forth will long outlive our own generation. But together, we too have come through the worst. Let us now begin a major effort to secure the best—a crusade for freedom that will engage the faith and fortitude of the next generation. For the sake of peace and justice, let us move toward a world in which all people are at last free to determine their own destiny.</w:t>
      </w:r>
    </w:p>
    <w:p w:rsidR="00A31137" w:rsidRPr="00A31137" w:rsidRDefault="00A31137" w:rsidP="00A31137">
      <w:r w:rsidRPr="00A31137">
        <w:t>Public Papers of Reagan, 1982, p.748</w:t>
      </w:r>
    </w:p>
    <w:p w:rsidR="00A31137" w:rsidRPr="00A31137" w:rsidRDefault="00A31137" w:rsidP="00A31137">
      <w:r w:rsidRPr="00A31137">
        <w:t>Thank you.</w:t>
      </w:r>
    </w:p>
    <w:p w:rsidR="00A31137" w:rsidRPr="00A31137" w:rsidRDefault="00A31137" w:rsidP="00A31137">
      <w:r w:rsidRPr="00A31137">
        <w:t>Public Papers of Reagan, 1982, p.748</w:t>
      </w:r>
    </w:p>
    <w:p w:rsidR="00A31137" w:rsidRPr="00A31137" w:rsidRDefault="00A31137" w:rsidP="00A31137">
      <w:r w:rsidRPr="00A31137">
        <w:t>NOTE: The President spoke at 12:14 p.m. in the Royal Gallery at the Palace of Westminster in London.</w:t>
      </w:r>
    </w:p>
    <w:p w:rsidR="00A31137" w:rsidRPr="00A31137" w:rsidRDefault="00A31137" w:rsidP="00A31137">
      <w:r w:rsidRPr="00A31137">
        <w:t>Public Papers of Reagan, 1982, p.748</w:t>
      </w:r>
    </w:p>
    <w:p w:rsidR="00A31137" w:rsidRPr="00A31137" w:rsidRDefault="00A31137" w:rsidP="00A31137">
      <w:r w:rsidRPr="00A31137">
        <w:t>On the previous evening, the President was greeted by Queen Elizabeth II in an arrival ceremony at Windsor Castle, near Windsor, England. Later, the Queen hosted a private dinner for the President.</w:t>
      </w:r>
    </w:p>
    <w:p w:rsidR="00A31137" w:rsidRPr="00A31137" w:rsidRDefault="00A31137" w:rsidP="00A31137">
      <w:r w:rsidRPr="00A31137">
        <w:t>Public Papers of Reagan, 1982, p.748</w:t>
      </w:r>
    </w:p>
    <w:p w:rsidR="00A31137" w:rsidRPr="00A31137" w:rsidRDefault="00A31137" w:rsidP="00A31137">
      <w:r w:rsidRPr="00A31137">
        <w:t>On the morning of June 8, the President and the Queen spent part of the morning horseback riding on the Windsor Castle grounds.</w:t>
      </w:r>
    </w:p>
    <w:p w:rsidR="00A31137" w:rsidRPr="00A31137" w:rsidRDefault="00A31137" w:rsidP="00A31137">
      <w:r w:rsidRPr="00A31137">
        <w:t>President Reagan's Remarks to Reporters Following Lunch With the Space Shuttle Challenger Astronauts, 1983</w:t>
      </w:r>
    </w:p>
    <w:p w:rsidR="00A31137" w:rsidRPr="00A31137" w:rsidRDefault="00A31137" w:rsidP="00A31137">
      <w:r w:rsidRPr="00A31137">
        <w:t>Title:</w:t>
      </w:r>
      <w:r w:rsidRPr="00A31137">
        <w:tab/>
        <w:t>President Reagan's Remarks to Reporters Following Lunch With the Space Shuttle Challenger Astronauts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June 1, 1983</w:t>
      </w:r>
    </w:p>
    <w:p w:rsidR="00A31137" w:rsidRPr="00A31137" w:rsidRDefault="00A31137" w:rsidP="00A31137">
      <w:r w:rsidRPr="00A31137">
        <w:t>Source:</w:t>
      </w:r>
      <w:r w:rsidRPr="00A31137">
        <w:tab/>
        <w:t>Public Papers of the Presidents, Reagan, 1983, pp.805-806</w:t>
      </w:r>
    </w:p>
    <w:p w:rsidR="00A31137" w:rsidRPr="00A31137" w:rsidRDefault="00A31137" w:rsidP="00A31137">
      <w:r w:rsidRPr="00A31137">
        <w:t>Public Papers of Reagan, 1983, p.805</w:t>
      </w:r>
    </w:p>
    <w:p w:rsidR="00A31137" w:rsidRPr="00A31137" w:rsidRDefault="00A31137" w:rsidP="00A31137">
      <w:r w:rsidRPr="00A31137">
        <w:t>The President. I have just had lunch with the crew of the space shuttle. And it was quite a lunch—squeezed it from a plastic bag. [Laughter] No, we really didn't, but I wanted to meet with Captain Crippen, Captain Hauck, Colonel Fabian, Dr. Ride, and Dr. Thagard to let them know how much we look forward to the flight of the seventh space shuttle.</w:t>
      </w:r>
    </w:p>
    <w:p w:rsidR="00A31137" w:rsidRPr="00A31137" w:rsidRDefault="00A31137" w:rsidP="00A31137">
      <w:r w:rsidRPr="00A31137">
        <w:t>Public Papers of Reagan, 1983, p.805</w:t>
      </w:r>
    </w:p>
    <w:p w:rsidR="00A31137" w:rsidRPr="00A31137" w:rsidRDefault="00A31137" w:rsidP="00A31137">
      <w:r w:rsidRPr="00A31137">
        <w:t>This mission is a mission of firsts. It is the first space flight of an American woman, Dr. Sally Ride; the first shuttle landing at Kennedy Space Center; the first launch of a five-member crew. And I know, come June 18th about 7:32 a.m., you're also going to be first in the hearts of your countrymen. A little bit of every American will be up there with you, and needless to say, you'll carry our pride and our prayers as you head into space.</w:t>
      </w:r>
    </w:p>
    <w:p w:rsidR="00A31137" w:rsidRPr="00A31137" w:rsidRDefault="00A31137" w:rsidP="00A31137">
      <w:r w:rsidRPr="00A31137">
        <w:t>Public Papers of Reagan, 1983, p.805</w:t>
      </w:r>
    </w:p>
    <w:p w:rsidR="00A31137" w:rsidRPr="00A31137" w:rsidRDefault="00A31137" w:rsidP="00A31137">
      <w:r w:rsidRPr="00A31137">
        <w:t>This will be the second flight of the Challenger. And, as I said to the crew of the first flight, "You genuinely are challengers." You're daring the future and the old ways of thinking that kept us from—or kept us looking at the heavens, instead of traveling to them. And you and that white spacecraft you fly represent the hope of the future.</w:t>
      </w:r>
    </w:p>
    <w:p w:rsidR="00A31137" w:rsidRPr="00A31137" w:rsidRDefault="00A31137" w:rsidP="00A31137">
      <w:r w:rsidRPr="00A31137">
        <w:t>Public Papers of Reagan, 1983, p.805</w:t>
      </w:r>
    </w:p>
    <w:p w:rsidR="00A31137" w:rsidRPr="00A31137" w:rsidRDefault="00A31137" w:rsidP="00A31137">
      <w:r w:rsidRPr="00A31137">
        <w:t>Now, I don't want to delay the flight, so I won't give a full-fledged speech. But, I did want to say publicly and personally how very honored America is to have public servants of your dedication, your courage and intelligence; and, on behalf of all your fellow citizens, to wish you a very successful flight and to say Godspeed and God bless you for all that you're doing.</w:t>
      </w:r>
    </w:p>
    <w:p w:rsidR="00A31137" w:rsidRPr="00A31137" w:rsidRDefault="00A31137" w:rsidP="00A31137">
      <w:r w:rsidRPr="00A31137">
        <w:t>Public Papers of Reagan, 1983, p.805</w:t>
      </w:r>
    </w:p>
    <w:p w:rsidR="00A31137" w:rsidRPr="00A31137" w:rsidRDefault="00A31137" w:rsidP="00A31137">
      <w:r w:rsidRPr="00A31137">
        <w:t>Crew members. Thank you, Mr. President.</w:t>
      </w:r>
    </w:p>
    <w:p w:rsidR="00A31137" w:rsidRPr="00A31137" w:rsidRDefault="00A31137" w:rsidP="00A31137">
      <w:r w:rsidRPr="00A31137">
        <w:t>Public Papers of Reagan, 1983, p.805</w:t>
      </w:r>
    </w:p>
    <w:p w:rsidR="00A31137" w:rsidRPr="00A31137" w:rsidRDefault="00A31137" w:rsidP="00A31137">
      <w:r w:rsidRPr="00A31137">
        <w:t>Q. Mr. President, why don't you go along with them—become the first President to go into space? [Laughter]</w:t>
      </w:r>
    </w:p>
    <w:p w:rsidR="00A31137" w:rsidRPr="00A31137" w:rsidRDefault="00A31137" w:rsidP="00A31137">
      <w:r w:rsidRPr="00A31137">
        <w:t>Public Papers of Reagan, 1983, p.805</w:t>
      </w:r>
    </w:p>
    <w:p w:rsidR="00A31137" w:rsidRPr="00A31137" w:rsidRDefault="00A31137" w:rsidP="00A31137">
      <w:r w:rsidRPr="00A31137">
        <w:t>The President. Well, I'm a little hurt, because several flights ago I asked them if they would stop and pick me up on the way to Edwards Air Force Base, and they haven't done it. [Laughter]</w:t>
      </w:r>
    </w:p>
    <w:p w:rsidR="00A31137" w:rsidRPr="00A31137" w:rsidRDefault="00A31137" w:rsidP="00A31137">
      <w:r w:rsidRPr="00A31137">
        <w:t>Public Papers of Reagan, 1983, p.805</w:t>
      </w:r>
    </w:p>
    <w:p w:rsidR="00A31137" w:rsidRPr="00A31137" w:rsidRDefault="00A31137" w:rsidP="00A31137">
      <w:r w:rsidRPr="00A31137">
        <w:t>Q. [Inaudible]—see the launch? [Inaudible]-going to see the launch?</w:t>
      </w:r>
    </w:p>
    <w:p w:rsidR="00A31137" w:rsidRPr="00A31137" w:rsidRDefault="00A31137" w:rsidP="00A31137">
      <w:r w:rsidRPr="00A31137">
        <w:t>Public Papers of Reagan, 1983, p.805</w:t>
      </w:r>
    </w:p>
    <w:p w:rsidR="00A31137" w:rsidRPr="00A31137" w:rsidRDefault="00A31137" w:rsidP="00A31137">
      <w:r w:rsidRPr="00A31137">
        <w:t>The President. What?</w:t>
      </w:r>
    </w:p>
    <w:p w:rsidR="00A31137" w:rsidRPr="00A31137" w:rsidRDefault="00A31137" w:rsidP="00A31137">
      <w:r w:rsidRPr="00A31137">
        <w:t>Public Papers of Reagan, 1983, p.805</w:t>
      </w:r>
    </w:p>
    <w:p w:rsidR="00A31137" w:rsidRPr="00A31137" w:rsidRDefault="00A31137" w:rsidP="00A31137">
      <w:r w:rsidRPr="00A31137">
        <w:t>Q. Would you like to see the launch?</w:t>
      </w:r>
    </w:p>
    <w:p w:rsidR="00A31137" w:rsidRPr="00A31137" w:rsidRDefault="00A31137" w:rsidP="00A31137">
      <w:r w:rsidRPr="00A31137">
        <w:t>Public Papers of Reagan, 1983, p.805</w:t>
      </w:r>
    </w:p>
    <w:p w:rsidR="00A31137" w:rsidRPr="00A31137" w:rsidRDefault="00A31137" w:rsidP="00A31137">
      <w:r w:rsidRPr="00A31137">
        <w:t>The President. I'd like to see it, but I don't think there's going to be an opportunity to do that.</w:t>
      </w:r>
    </w:p>
    <w:p w:rsidR="00A31137" w:rsidRPr="00A31137" w:rsidRDefault="00A31137" w:rsidP="00A31137">
      <w:r w:rsidRPr="00A31137">
        <w:t>Public Papers of Reagan, 1983, p.805</w:t>
      </w:r>
    </w:p>
    <w:p w:rsidR="00A31137" w:rsidRPr="00A31137" w:rsidRDefault="00A31137" w:rsidP="00A31137">
      <w:r w:rsidRPr="00A31137">
        <w:t>Q. Mr. President, are you giving up on builddown?</w:t>
      </w:r>
    </w:p>
    <w:p w:rsidR="00A31137" w:rsidRPr="00A31137" w:rsidRDefault="00A31137" w:rsidP="00A31137">
      <w:r w:rsidRPr="00A31137">
        <w:t>Public Papers of Reagan, 1983, p.805</w:t>
      </w:r>
    </w:p>
    <w:p w:rsidR="00A31137" w:rsidRPr="00A31137" w:rsidRDefault="00A31137" w:rsidP="00A31137">
      <w:r w:rsidRPr="00A31137">
        <w:t>The President. What?</w:t>
      </w:r>
    </w:p>
    <w:p w:rsidR="00A31137" w:rsidRPr="00A31137" w:rsidRDefault="00A31137" w:rsidP="00A31137">
      <w:r w:rsidRPr="00A31137">
        <w:t>Public Papers of Reagan, 1983, p.806</w:t>
      </w:r>
    </w:p>
    <w:p w:rsidR="00A31137" w:rsidRPr="00A31137" w:rsidRDefault="00A31137" w:rsidP="00A31137">
      <w:r w:rsidRPr="00A31137">
        <w:t>Q. Are you backing away from the builddown idea?</w:t>
      </w:r>
    </w:p>
    <w:p w:rsidR="00A31137" w:rsidRPr="00A31137" w:rsidRDefault="00A31137" w:rsidP="00A31137">
      <w:r w:rsidRPr="00A31137">
        <w:t>Public Papers of Reagan, 1983, p.806</w:t>
      </w:r>
    </w:p>
    <w:p w:rsidR="00A31137" w:rsidRPr="00A31137" w:rsidRDefault="00A31137" w:rsidP="00A31137">
      <w:r w:rsidRPr="00A31137">
        <w:t>Q. Does Chancellor Kohl have a role to play in setting up a summit, sir?</w:t>
      </w:r>
    </w:p>
    <w:p w:rsidR="00A31137" w:rsidRPr="00A31137" w:rsidRDefault="00A31137" w:rsidP="00A31137">
      <w:r w:rsidRPr="00A31137">
        <w:t>Public Papers of Reagan, 1983, p.806</w:t>
      </w:r>
    </w:p>
    <w:p w:rsidR="00A31137" w:rsidRPr="00A31137" w:rsidRDefault="00A31137" w:rsidP="00A31137">
      <w:r w:rsidRPr="00A31137">
        <w:t>Deputy Press Secretary Speakes. That's about enough.</w:t>
      </w:r>
    </w:p>
    <w:p w:rsidR="00A31137" w:rsidRPr="00A31137" w:rsidRDefault="00A31137" w:rsidP="00A31137">
      <w:r w:rsidRPr="00A31137">
        <w:t>Public Papers of Reagan, 1983, p.806</w:t>
      </w:r>
    </w:p>
    <w:p w:rsidR="00A31137" w:rsidRPr="00A31137" w:rsidRDefault="00A31137" w:rsidP="00A31137">
      <w:r w:rsidRPr="00A31137">
        <w:t>Q. Wait, let the man speak for himself.</w:t>
      </w:r>
    </w:p>
    <w:p w:rsidR="00A31137" w:rsidRPr="00A31137" w:rsidRDefault="00A31137" w:rsidP="00A31137">
      <w:r w:rsidRPr="00A31137">
        <w:t>Public Papers of Reagan, 1983, p.806</w:t>
      </w:r>
    </w:p>
    <w:p w:rsidR="00A31137" w:rsidRPr="00A31137" w:rsidRDefault="00A31137" w:rsidP="00A31137">
      <w:r w:rsidRPr="00A31137">
        <w:t>Q. Let him talk, Larry.</w:t>
      </w:r>
    </w:p>
    <w:p w:rsidR="00A31137" w:rsidRPr="00A31137" w:rsidRDefault="00A31137" w:rsidP="00A31137">
      <w:r w:rsidRPr="00A31137">
        <w:t>Public Papers of Reagan, 1983, p.806</w:t>
      </w:r>
    </w:p>
    <w:p w:rsidR="00A31137" w:rsidRPr="00A31137" w:rsidRDefault="00A31137" w:rsidP="00A31137">
      <w:r w:rsidRPr="00A31137">
        <w:t>Mr. Speakes. He doesn't want to speak to you.</w:t>
      </w:r>
    </w:p>
    <w:p w:rsidR="00A31137" w:rsidRPr="00A31137" w:rsidRDefault="00A31137" w:rsidP="00A31137">
      <w:r w:rsidRPr="00A31137">
        <w:t>Public Papers of Reagan, 1983, p.806</w:t>
      </w:r>
    </w:p>
    <w:p w:rsidR="00A31137" w:rsidRPr="00A31137" w:rsidRDefault="00A31137" w:rsidP="00A31137">
      <w:r w:rsidRPr="00A31137">
        <w:t>Q. You're not the President. Who elected you? [Laughter] That's what they always tell me.</w:t>
      </w:r>
    </w:p>
    <w:p w:rsidR="00A31137" w:rsidRPr="00A31137" w:rsidRDefault="00A31137" w:rsidP="00A31137">
      <w:r w:rsidRPr="00A31137">
        <w:t>Public Papers of Reagan, 1983, p.806</w:t>
      </w:r>
    </w:p>
    <w:p w:rsidR="00A31137" w:rsidRPr="00A31137" w:rsidRDefault="00A31137" w:rsidP="00A31137">
      <w:r w:rsidRPr="00A31137">
        <w:t>Mr. Speakes. I may be running.</w:t>
      </w:r>
    </w:p>
    <w:p w:rsidR="00A31137" w:rsidRPr="00A31137" w:rsidRDefault="00A31137" w:rsidP="00A31137">
      <w:r w:rsidRPr="00A31137">
        <w:t>Public Papers of Reagan, 1983, p.806</w:t>
      </w:r>
    </w:p>
    <w:p w:rsidR="00A31137" w:rsidRPr="00A31137" w:rsidRDefault="00A31137" w:rsidP="00A31137">
      <w:r w:rsidRPr="00A31137">
        <w:t>Q. Does Chancellor Kohl have a role to play in setting up a summit?</w:t>
      </w:r>
    </w:p>
    <w:p w:rsidR="00A31137" w:rsidRPr="00A31137" w:rsidRDefault="00A31137" w:rsidP="00A31137">
      <w:r w:rsidRPr="00A31137">
        <w:t>Public Papers of Reagan, 1983, p.806</w:t>
      </w:r>
    </w:p>
    <w:p w:rsidR="00A31137" w:rsidRPr="00A31137" w:rsidRDefault="00A31137" w:rsidP="00A31137">
      <w:r w:rsidRPr="00A31137">
        <w:t>The President. Please, you're all just welcome here. I hope it doesn't rain on you.</w:t>
      </w:r>
    </w:p>
    <w:p w:rsidR="00A31137" w:rsidRPr="00A31137" w:rsidRDefault="00A31137" w:rsidP="00A31137">
      <w:r w:rsidRPr="00A31137">
        <w:t>Public Papers of Reagan, 1983, p.806</w:t>
      </w:r>
    </w:p>
    <w:p w:rsidR="00A31137" w:rsidRPr="00A31137" w:rsidRDefault="00A31137" w:rsidP="00A31137">
      <w:r w:rsidRPr="00A31137">
        <w:t>Q. If you go along, you can become the first spacey President. [Laughter]</w:t>
      </w:r>
    </w:p>
    <w:p w:rsidR="00A31137" w:rsidRPr="00A31137" w:rsidRDefault="00A31137" w:rsidP="00A31137">
      <w:r w:rsidRPr="00A31137">
        <w:t>Public Papers of Reagan, 1983, p.806</w:t>
      </w:r>
    </w:p>
    <w:p w:rsidR="00A31137" w:rsidRPr="00A31137" w:rsidRDefault="00A31137" w:rsidP="00A31137">
      <w:r w:rsidRPr="00A31137">
        <w:t>The President. [Inaudible]</w:t>
      </w:r>
    </w:p>
    <w:p w:rsidR="00A31137" w:rsidRPr="00A31137" w:rsidRDefault="00A31137" w:rsidP="00A31137">
      <w:r w:rsidRPr="00A31137">
        <w:t>Public Papers of Reagan, 1983, p.806</w:t>
      </w:r>
    </w:p>
    <w:p w:rsidR="00A31137" w:rsidRPr="00A31137" w:rsidRDefault="00A31137" w:rsidP="00A31137">
      <w:r w:rsidRPr="00A31137">
        <w:t>Q. What?</w:t>
      </w:r>
    </w:p>
    <w:p w:rsidR="00A31137" w:rsidRPr="00A31137" w:rsidRDefault="00A31137" w:rsidP="00A31137">
      <w:r w:rsidRPr="00A31137">
        <w:t>Public Papers of Reagan, 1983, p.806</w:t>
      </w:r>
    </w:p>
    <w:p w:rsidR="00A31137" w:rsidRPr="00A31137" w:rsidRDefault="00A31137" w:rsidP="00A31137">
      <w:r w:rsidRPr="00A31137">
        <w:t>The President. Sam [Sam Donaldson, ABC News] has spoken for all who are way out. [Laughter]</w:t>
      </w:r>
    </w:p>
    <w:p w:rsidR="00A31137" w:rsidRPr="00A31137" w:rsidRDefault="00A31137" w:rsidP="00A31137">
      <w:r w:rsidRPr="00A31137">
        <w:t>Public Papers of Reagan, 1983, p.806</w:t>
      </w:r>
    </w:p>
    <w:p w:rsidR="00A31137" w:rsidRPr="00A31137" w:rsidRDefault="00A31137" w:rsidP="00A31137">
      <w:r w:rsidRPr="00A31137">
        <w:t>NOTE: The President spoke at 1:05 p.m. on the South Grounds of the White House.</w:t>
      </w:r>
    </w:p>
    <w:p w:rsidR="00A31137" w:rsidRPr="00A31137" w:rsidRDefault="00A31137" w:rsidP="00A31137">
      <w:r w:rsidRPr="00A31137">
        <w:t>President Reagan's Remarks on the Death of American and French Military Personnel in Beirut, Lebanon, 1983</w:t>
      </w:r>
    </w:p>
    <w:p w:rsidR="00A31137" w:rsidRPr="00A31137" w:rsidRDefault="00A31137" w:rsidP="00A31137">
      <w:r w:rsidRPr="00A31137">
        <w:t>Title:</w:t>
      </w:r>
      <w:r w:rsidRPr="00A31137">
        <w:tab/>
        <w:t>President Reagan's Remarks on the Death of American and French Military Personnel in Beirut, Lebanon</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October 23, 1983</w:t>
      </w:r>
    </w:p>
    <w:p w:rsidR="00A31137" w:rsidRPr="00A31137" w:rsidRDefault="00A31137" w:rsidP="00A31137">
      <w:r w:rsidRPr="00A31137">
        <w:t>Source:</w:t>
      </w:r>
      <w:r w:rsidRPr="00A31137">
        <w:tab/>
        <w:t>Public Papers of the Presidents, Reagan, 1983, p.1498</w:t>
      </w:r>
    </w:p>
    <w:p w:rsidR="00A31137" w:rsidRPr="00A31137" w:rsidRDefault="00A31137" w:rsidP="00A31137">
      <w:r w:rsidRPr="00A31137">
        <w:t>Public Papers of Reagan, 1983, p.1498</w:t>
      </w:r>
    </w:p>
    <w:p w:rsidR="00A31137" w:rsidRPr="00A31137" w:rsidRDefault="00A31137" w:rsidP="00A31137">
      <w:r w:rsidRPr="00A31137">
        <w:t>I'm not going to take any questions this morning because we're going right into meetings on the events that have taken place on this tragic weekend. But I would like to make this statement:</w:t>
      </w:r>
    </w:p>
    <w:p w:rsidR="00A31137" w:rsidRPr="00A31137" w:rsidRDefault="00A31137" w:rsidP="00A31137">
      <w:r w:rsidRPr="00A31137">
        <w:t>Public Papers of Reagan, 1983, p.1498</w:t>
      </w:r>
    </w:p>
    <w:p w:rsidR="00A31137" w:rsidRPr="00A31137" w:rsidRDefault="00A31137" w:rsidP="00A31137">
      <w:r w:rsidRPr="00A31137">
        <w:t>I know there are no words that can express our sorrow and grief over the loss of those splendid young men and the injury to so many others. I know there are no words, also, that can ease the burden of grief for the families of those young men.</w:t>
      </w:r>
    </w:p>
    <w:p w:rsidR="00A31137" w:rsidRPr="00A31137" w:rsidRDefault="00A31137" w:rsidP="00A31137">
      <w:r w:rsidRPr="00A31137">
        <w:t>Public Papers of Reagan, 1983, p.1498</w:t>
      </w:r>
    </w:p>
    <w:p w:rsidR="00A31137" w:rsidRPr="00A31137" w:rsidRDefault="00A31137" w:rsidP="00A31137">
      <w:r w:rsidRPr="00A31137">
        <w:t>Likewise, there are no words to properly express our outrage and, I think, the outrage of all Americans at the despicable act, following as it does on the one perpetrated several months ago, in the spring, that took the lives of scores of people at our Embassy in that same city, in Beirut.</w:t>
      </w:r>
    </w:p>
    <w:p w:rsidR="00A31137" w:rsidRPr="00A31137" w:rsidRDefault="00A31137" w:rsidP="00A31137">
      <w:r w:rsidRPr="00A31137">
        <w:t>Public Papers of Reagan, 1983, p.1498</w:t>
      </w:r>
    </w:p>
    <w:p w:rsidR="00A31137" w:rsidRPr="00A31137" w:rsidRDefault="00A31137" w:rsidP="00A31137">
      <w:r w:rsidRPr="00A31137">
        <w:t>But I think we should all recognize that these deeds make so evident the bestial nature of those who would assume power if they could have their way and drive us out of that area that we must be more determined than ever that they cannot take over that vital and strategic area of the Earth or, for that matter, any other part of the Earth.</w:t>
      </w:r>
    </w:p>
    <w:p w:rsidR="00A31137" w:rsidRPr="00A31137" w:rsidRDefault="00A31137" w:rsidP="00A31137">
      <w:r w:rsidRPr="00A31137">
        <w:t>Public Papers of Reagan, 1983, p.1498</w:t>
      </w:r>
    </w:p>
    <w:p w:rsidR="00A31137" w:rsidRPr="00A31137" w:rsidRDefault="00A31137" w:rsidP="00A31137">
      <w:r w:rsidRPr="00A31137">
        <w:t>Thank you.</w:t>
      </w:r>
    </w:p>
    <w:p w:rsidR="00A31137" w:rsidRPr="00A31137" w:rsidRDefault="00A31137" w:rsidP="00A31137">
      <w:r w:rsidRPr="00A31137">
        <w:t>Public Papers of Reagan, 1983, p.1498</w:t>
      </w:r>
    </w:p>
    <w:p w:rsidR="00A31137" w:rsidRPr="00A31137" w:rsidRDefault="00A31137" w:rsidP="00A31137">
      <w:r w:rsidRPr="00A31137">
        <w:t>NOTE: The President spoke at 8:38 a.m. at the South Portico of the White House. He was returning from a weekend stay in Augusta, Ga., after conferring for several hours with his advisers on the bombing incidents.</w:t>
      </w:r>
    </w:p>
    <w:p w:rsidR="00A31137" w:rsidRPr="00A31137" w:rsidRDefault="00A31137" w:rsidP="00A31137">
      <w:r w:rsidRPr="00A31137">
        <w:t>President Reagan's Letter on the Deployment of United States Forces in Grenada, 1983</w:t>
      </w:r>
    </w:p>
    <w:p w:rsidR="00A31137" w:rsidRPr="00A31137" w:rsidRDefault="00A31137" w:rsidP="00A31137">
      <w:r w:rsidRPr="00A31137">
        <w:t>Title:</w:t>
      </w:r>
      <w:r w:rsidRPr="00A31137">
        <w:tab/>
        <w:t>President Reagan's Letter on the Deployment of United States Forces in Grenada</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October 25, 1983</w:t>
      </w:r>
    </w:p>
    <w:p w:rsidR="00A31137" w:rsidRPr="00A31137" w:rsidRDefault="00A31137" w:rsidP="00A31137">
      <w:r w:rsidRPr="00A31137">
        <w:t>Source:</w:t>
      </w:r>
      <w:r w:rsidRPr="00A31137">
        <w:tab/>
        <w:t>Public Papers of the Presidents, Reagan, 1983, pp.1512-1513</w:t>
      </w:r>
    </w:p>
    <w:p w:rsidR="00A31137" w:rsidRPr="00A31137" w:rsidRDefault="00A31137" w:rsidP="00A31137">
      <w:r w:rsidRPr="00A31137">
        <w:t>[The letter was sent to the Speaker of the House and the President Pro Tempore of the Senate.]</w:t>
      </w:r>
    </w:p>
    <w:p w:rsidR="00A31137" w:rsidRPr="00A31137" w:rsidRDefault="00A31137" w:rsidP="00A31137">
      <w:r w:rsidRPr="00A31137">
        <w:t>Public Papers of Reagan, 1983, p.1512</w:t>
      </w:r>
    </w:p>
    <w:p w:rsidR="00A31137" w:rsidRPr="00A31137" w:rsidRDefault="00A31137" w:rsidP="00A31137">
      <w:r w:rsidRPr="00A31137">
        <w:t>Dear Mr. Speaker: (Dear Mr. President:)</w:t>
      </w:r>
    </w:p>
    <w:p w:rsidR="00A31137" w:rsidRPr="00A31137" w:rsidRDefault="00A31137" w:rsidP="00A31137">
      <w:r w:rsidRPr="00A31137">
        <w:t>Public Papers of Reagan, 1983, p.1512</w:t>
      </w:r>
    </w:p>
    <w:p w:rsidR="00A31137" w:rsidRPr="00A31137" w:rsidRDefault="00A31137" w:rsidP="00A31137">
      <w:r w:rsidRPr="00A31137">
        <w:t>On October 12, a violent series of events in Grenada was set in motion, which led to the murder of Prime Minister Maurice Bishop and a number of his Cabinet colleagues, as well as the deaths of a number of civilians. Over 40 killings were reported. There was no government ensuring the protection of life and property and restoring law and order. The only indication of authority was an announcement that a barbaric shoot-to-kill curfew was in effect. Under these circumstances, we were necessarily concerned about the safety of innocent lives on the island, including those of up to 1,000 United States citizens.</w:t>
      </w:r>
    </w:p>
    <w:p w:rsidR="00A31137" w:rsidRPr="00A31137" w:rsidRDefault="00A31137" w:rsidP="00A31137">
      <w:r w:rsidRPr="00A31137">
        <w:t>Public Papers of Reagan, 1983, p.1512</w:t>
      </w:r>
    </w:p>
    <w:p w:rsidR="00A31137" w:rsidRPr="00A31137" w:rsidRDefault="00A31137" w:rsidP="00A31137">
      <w:r w:rsidRPr="00A31137">
        <w:t>The Organization of Eastern Caribbean States (OECS) became seriously concerned by the deteriorating conditions in the member State of Grenada. The other members of the OECS are Antigua, Dominica, Montserrat, St. Kitts/Nevis, Saint Lucia, and Saint Vincent and the Grenadines. We were formally advised that the Authority of Heads of Government of Member States of the OECS, acting pursuant to the Treaty establishing the OECS, met in emergency session on October 21. The meeting took note of the anarchic conditions and the serious violations of human rights and bloodshed that had occurred, and the consequent unprecedented threat to the peace and security of the region created by the vacuum of authority in Grenada. The OECS determined to take immediate, necessary steps to restore order in Grenada so as to protect against further loss of life, pending the restoration of effective governmental institutions. To this end, the OECS formed a collective security force comprising elements from member States to restore order in Grenada and requested the immediate cooperation of a number of friendly countries, including the governments of Barbados, Jamaica and the United States, in these efforts. In response to this call for assistance and in view of the overriding importance of protecting the lives of the United States citizens in Grenada, I have authorized the Armed Forces of the United States to participate along with these other nations in this collective security force.</w:t>
      </w:r>
    </w:p>
    <w:p w:rsidR="00A31137" w:rsidRPr="00A31137" w:rsidRDefault="00A31137" w:rsidP="00A31137">
      <w:r w:rsidRPr="00A31137">
        <w:t>Public Papers of Reagan, 1983, p.1513</w:t>
      </w:r>
    </w:p>
    <w:p w:rsidR="00A31137" w:rsidRPr="00A31137" w:rsidRDefault="00A31137" w:rsidP="00A31137">
      <w:r w:rsidRPr="00A31137">
        <w:t>In accordance with my desire that the Congress be informed on this matter, and consistent with the War Powers Resolution, 1 am providing this report on this deployment of the United States Armed Forces.</w:t>
      </w:r>
    </w:p>
    <w:p w:rsidR="00A31137" w:rsidRPr="00A31137" w:rsidRDefault="00A31137" w:rsidP="00A31137">
      <w:r w:rsidRPr="00A31137">
        <w:t>Public Papers of Reagan, 1983, p.1513</w:t>
      </w:r>
    </w:p>
    <w:p w:rsidR="00A31137" w:rsidRPr="00A31137" w:rsidRDefault="00A31137" w:rsidP="00A31137">
      <w:r w:rsidRPr="00A31137">
        <w:t>Today at about 5:00 AM Eastern Daylight Time, approximately 1,900 United States Army and United States Marine Corps personnel began landing in Grenada. They were supported by elements of the United States Navy and the United States Air Force. Member States of the OECS along with Jamaica and Barbados are providing approximately 300 personnel. This deployment of United States Armed Forces is being undertaken pursuant to my constitutional authority with respect to the conduct of foreign relations and as Commander-in-Chief of the United States Armed Forces.</w:t>
      </w:r>
    </w:p>
    <w:p w:rsidR="00A31137" w:rsidRPr="00A31137" w:rsidRDefault="00A31137" w:rsidP="00A31137">
      <w:r w:rsidRPr="00A31137">
        <w:t>Public Papers of Reagan, 1983, p.1513</w:t>
      </w:r>
    </w:p>
    <w:p w:rsidR="00A31137" w:rsidRPr="00A31137" w:rsidRDefault="00A31137" w:rsidP="00A31137">
      <w:r w:rsidRPr="00A31137">
        <w:t>Although it is not possible at this time to predict the duration of the temporary presence of United States Armed Forces in Grenada, our objectives in providing this support are clear. They are to join the OECS collective security forces in assisting the restoration of conditions of law and order and of governmental institutions to the island of Grenada, and to facilitate the protection and evacuation of United States citizens. Our forces will remain only so long as their presence is required.</w:t>
      </w:r>
    </w:p>
    <w:p w:rsidR="00A31137" w:rsidRPr="00A31137" w:rsidRDefault="00A31137" w:rsidP="00A31137">
      <w:r w:rsidRPr="00A31137">
        <w:t>Public Papers of Reagan, 1983, p.1513</w:t>
      </w:r>
    </w:p>
    <w:p w:rsidR="00A31137" w:rsidRPr="00A31137" w:rsidRDefault="00A31137" w:rsidP="00A31137">
      <w:r w:rsidRPr="00A31137">
        <w:t>Sincerely,</w:t>
      </w:r>
    </w:p>
    <w:p w:rsidR="00A31137" w:rsidRPr="00A31137" w:rsidRDefault="00A31137" w:rsidP="00A31137">
      <w:r w:rsidRPr="00A31137">
        <w:t>RONALD REAGAN</w:t>
      </w:r>
    </w:p>
    <w:p w:rsidR="00A31137" w:rsidRPr="00A31137" w:rsidRDefault="00A31137" w:rsidP="00A31137">
      <w:r w:rsidRPr="00A31137">
        <w:t>Public Papers of Reagan, 1983, p.1513</w:t>
      </w:r>
    </w:p>
    <w:p w:rsidR="00A31137" w:rsidRPr="00A31137" w:rsidRDefault="00A31137" w:rsidP="00A31137">
      <w:r w:rsidRPr="00A31137">
        <w:t>NOTE: This is the text of identical letters addressed to Thomas P. O'Neill, Jr., Speaker of the House of Representatives, and Strom Thurmond, President pro tempore of the Senate.</w:t>
      </w:r>
    </w:p>
    <w:p w:rsidR="00A31137" w:rsidRPr="00A31137" w:rsidRDefault="00A31137" w:rsidP="00A31137">
      <w:r w:rsidRPr="00A31137">
        <w:t>President Reagan's Address to the Nation and Other Countries on United States-Soviet Relations, 1984</w:t>
      </w:r>
    </w:p>
    <w:p w:rsidR="00A31137" w:rsidRPr="00A31137" w:rsidRDefault="00A31137" w:rsidP="00A31137">
      <w:r w:rsidRPr="00A31137">
        <w:t>Title:</w:t>
      </w:r>
      <w:r w:rsidRPr="00A31137">
        <w:tab/>
        <w:t>President Reagan's Address to the Nation and Other Countries on United States-Soviet Relations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16, 1984</w:t>
      </w:r>
    </w:p>
    <w:p w:rsidR="00A31137" w:rsidRPr="00A31137" w:rsidRDefault="00A31137" w:rsidP="00A31137">
      <w:r w:rsidRPr="00A31137">
        <w:t>Source:</w:t>
      </w:r>
      <w:r w:rsidRPr="00A31137">
        <w:tab/>
        <w:t>Public Papers of the Presidents, Reagan, 1984, pp.40-44</w:t>
      </w:r>
    </w:p>
    <w:p w:rsidR="00A31137" w:rsidRPr="00A31137" w:rsidRDefault="00A31137" w:rsidP="00A31137">
      <w:r w:rsidRPr="00A31137">
        <w:t>Public Papers of Reagan, 1984, p.40</w:t>
      </w:r>
    </w:p>
    <w:p w:rsidR="00A31137" w:rsidRPr="00A31137" w:rsidRDefault="00A31137" w:rsidP="00A31137">
      <w:r w:rsidRPr="00A31137">
        <w:t>During these first days of 1984, I would like to share with you and the people of the world my thoughts on a subject of great importance to the cause of peace—relations between the United States and the Soviet Union.</w:t>
      </w:r>
    </w:p>
    <w:p w:rsidR="00A31137" w:rsidRPr="00A31137" w:rsidRDefault="00A31137" w:rsidP="00A31137">
      <w:r w:rsidRPr="00A31137">
        <w:t>Public Papers of Reagan, 1984, p.40</w:t>
      </w:r>
    </w:p>
    <w:p w:rsidR="00A31137" w:rsidRPr="00A31137" w:rsidRDefault="00A31137" w:rsidP="00A31137">
      <w:r w:rsidRPr="00A31137">
        <w:t>Tomorrow the United States will join the Soviet Union and 33 other nations at a European disarmament conference in Stockholm. The conference will search for practical and meaningful ways to increase European security and preserve peace. We will be in Stockholm with the heartfelt wishes of our people for genuine progress.</w:t>
      </w:r>
    </w:p>
    <w:p w:rsidR="00A31137" w:rsidRPr="00A31137" w:rsidRDefault="00A31137" w:rsidP="00A31137">
      <w:r w:rsidRPr="00A31137">
        <w:t>Public Papers of Reagan, 1984, p.40</w:t>
      </w:r>
    </w:p>
    <w:p w:rsidR="00A31137" w:rsidRPr="00A31137" w:rsidRDefault="00A31137" w:rsidP="00A31137">
      <w:r w:rsidRPr="00A31137">
        <w:t>We live in a time of challenges to peace, but also of opportunities to peace. Through times of difficulty and frustration, America's highest aspiration has never wavered. We have and will continue to struggle for a lasting peace that enhances dignity for men and women everywhere.</w:t>
      </w:r>
    </w:p>
    <w:p w:rsidR="00A31137" w:rsidRPr="00A31137" w:rsidRDefault="00A31137" w:rsidP="00A31137">
      <w:r w:rsidRPr="00A31137">
        <w:t>Public Papers of Reagan, 1984, p.40</w:t>
      </w:r>
    </w:p>
    <w:p w:rsidR="00A31137" w:rsidRPr="00A31137" w:rsidRDefault="00A31137" w:rsidP="00A31137">
      <w:r w:rsidRPr="00A31137">
        <w:t>I believe that 1984 finds the United States in the strongest position in years to establish a constructive and realistic working relationship with the Soviet Union. We've come a long way since the decade of the seventies, years when the United States seemed filled with self-doubt and neglected its defenses, while the Soviet Union increased its military might and sought to expand its influence by armed forces and threat.</w:t>
      </w:r>
    </w:p>
    <w:p w:rsidR="00A31137" w:rsidRPr="00A31137" w:rsidRDefault="00A31137" w:rsidP="00A31137">
      <w:r w:rsidRPr="00A31137">
        <w:t>Public Papers of Reagan, 1984, p.40</w:t>
      </w:r>
    </w:p>
    <w:p w:rsidR="00A31137" w:rsidRPr="00A31137" w:rsidRDefault="00A31137" w:rsidP="00A31137">
      <w:r w:rsidRPr="00A31137">
        <w:t>Over the last 10 years, the Soviets devoted twice as much of their gross national product to military expenditures as the United States, produced six times as many ICBM's, four times as many tanks, twice as many combat aircraft. And they began deploying the SS-20 intermediate-range missile at a time when the United States had no comparable Weapon.</w:t>
      </w:r>
    </w:p>
    <w:p w:rsidR="00A31137" w:rsidRPr="00A31137" w:rsidRDefault="00A31137" w:rsidP="00A31137">
      <w:r w:rsidRPr="00A31137">
        <w:t>Public Papers of Reagan, 1984, p.40</w:t>
      </w:r>
    </w:p>
    <w:p w:rsidR="00A31137" w:rsidRPr="00A31137" w:rsidRDefault="00A31137" w:rsidP="00A31137">
      <w:r w:rsidRPr="00A31137">
        <w:t>History teaches that wars begin when governments believe the price of aggression is cheap. To keep the peace, we and our allies must be strong enough to convince any potential aggressor that war could bring no benefit, only disaster. So, when we neglected our defenses, the risks of serious confrontation grew.</w:t>
      </w:r>
    </w:p>
    <w:p w:rsidR="00A31137" w:rsidRPr="00A31137" w:rsidRDefault="00A31137" w:rsidP="00A31137">
      <w:r w:rsidRPr="00A31137">
        <w:t>Public Papers of Reagan, 1984, p.40</w:t>
      </w:r>
    </w:p>
    <w:p w:rsidR="00A31137" w:rsidRPr="00A31137" w:rsidRDefault="00A31137" w:rsidP="00A31137">
      <w:r w:rsidRPr="00A31137">
        <w:t>Three years ago, we embraced a mandate from the American people to change course, and we have. With the support of the American people and the Congress we halted America's decline. Our economy is now in the midst of the best recovery since the sixties. Our defenses are being rebuilt, our alliances are solid, and our commitment to defend our values has never been more clear.</w:t>
      </w:r>
    </w:p>
    <w:p w:rsidR="00A31137" w:rsidRPr="00A31137" w:rsidRDefault="00A31137" w:rsidP="00A31137">
      <w:r w:rsidRPr="00A31137">
        <w:t>Public Papers of Reagan, 1984, p.40</w:t>
      </w:r>
    </w:p>
    <w:p w:rsidR="00A31137" w:rsidRPr="00A31137" w:rsidRDefault="00A31137" w:rsidP="00A31137">
      <w:r w:rsidRPr="00A31137">
        <w:t>America's recovery may have taken Soviet leaders by surprise. They may have counted on us to keep weakening ourselves. They've been saying for years that our demise was inevitable. They said it so often they probably started believing it. Well, if so, I think they can see now they were wrong.</w:t>
      </w:r>
    </w:p>
    <w:p w:rsidR="00A31137" w:rsidRPr="00A31137" w:rsidRDefault="00A31137" w:rsidP="00A31137">
      <w:r w:rsidRPr="00A31137">
        <w:t>Public Papers of Reagan, 1984, p.40</w:t>
      </w:r>
    </w:p>
    <w:p w:rsidR="00A31137" w:rsidRPr="00A31137" w:rsidRDefault="00A31137" w:rsidP="00A31137">
      <w:r w:rsidRPr="00A31137">
        <w:t>This may be the reason that we've been hearing such strident rhetoric from the Kremlin recently. These harsh words have led some to speak of heightened uncertainty and an increased danger of conflict. This is understandable but profoundly mistaken.</w:t>
      </w:r>
    </w:p>
    <w:p w:rsidR="00A31137" w:rsidRPr="00A31137" w:rsidRDefault="00A31137" w:rsidP="00A31137">
      <w:r w:rsidRPr="00A31137">
        <w:t>Public Papers of Reagan, 1984, p.40</w:t>
      </w:r>
    </w:p>
    <w:p w:rsidR="00A31137" w:rsidRPr="00A31137" w:rsidRDefault="00A31137" w:rsidP="00A31137">
      <w:r w:rsidRPr="00A31137">
        <w:t>Look beyond the words, and one fact stands out: America's deterrence is more credible, and it is making the world a safer place—safer because now there is less danger that the Soviet leadership will underestimate our strength or question our resolve.</w:t>
      </w:r>
    </w:p>
    <w:p w:rsidR="00A31137" w:rsidRPr="00A31137" w:rsidRDefault="00A31137" w:rsidP="00A31137">
      <w:r w:rsidRPr="00A31137">
        <w:t>Public Papers of Reagan, 1984, p.40–p.41</w:t>
      </w:r>
    </w:p>
    <w:p w:rsidR="00A31137" w:rsidRPr="00A31137" w:rsidRDefault="00A31137" w:rsidP="00A31137">
      <w:r w:rsidRPr="00A31137">
        <w:t>Yes, we are safer now, but to say that our restored deterrence has made the world [p.41] safer is not to say that it's safe enough. We're witnessing tragic conflicts in many parts of the world. Nuclear arsenals are far too high, and our working relationship with the Soviet Union is not what it must be. These are conditions which must be addressed and improved.</w:t>
      </w:r>
    </w:p>
    <w:p w:rsidR="00A31137" w:rsidRPr="00A31137" w:rsidRDefault="00A31137" w:rsidP="00A31137">
      <w:r w:rsidRPr="00A31137">
        <w:t>Public Papers of Reagan, 1984, p.41</w:t>
      </w:r>
    </w:p>
    <w:p w:rsidR="00A31137" w:rsidRPr="00A31137" w:rsidRDefault="00A31137" w:rsidP="00A31137">
      <w:r w:rsidRPr="00A31137">
        <w:t>Deterrence is essential to preserve peace and protect our way of life, but deterrence is not the beginning and end of our policy toward the Soviet Union. We must and will engage the Soviets in a dialog as serious and constructive as possible—a dialog that will serve to promote peace in the troubled regions of the world, reduce the level of arms, and build a constructive working relationship.</w:t>
      </w:r>
    </w:p>
    <w:p w:rsidR="00A31137" w:rsidRPr="00A31137" w:rsidRDefault="00A31137" w:rsidP="00A31137">
      <w:r w:rsidRPr="00A31137">
        <w:t>Public Papers of Reagan, 1984, p.41</w:t>
      </w:r>
    </w:p>
    <w:p w:rsidR="00A31137" w:rsidRPr="00A31137" w:rsidRDefault="00A31137" w:rsidP="00A31137">
      <w:r w:rsidRPr="00A31137">
        <w:t>Neither we nor the Soviet Union can wish away the differences between our two societies and our philosophies, but we should always remember that we do have common interests and the foremost among them is to avoid war and reduce the level of arms.</w:t>
      </w:r>
    </w:p>
    <w:p w:rsidR="00A31137" w:rsidRPr="00A31137" w:rsidRDefault="00A31137" w:rsidP="00A31137">
      <w:r w:rsidRPr="00A31137">
        <w:t>Public Papers of Reagan, 1984, p.41</w:t>
      </w:r>
    </w:p>
    <w:p w:rsidR="00A31137" w:rsidRPr="00A31137" w:rsidRDefault="00A31137" w:rsidP="00A31137">
      <w:r w:rsidRPr="00A31137">
        <w:t>There is no rational alternative but to steer a course which I would call credible deterrence and peaceful competition. And if we do so, we might find areas in which we could engage in constructive cooperation. Our strength and vision of progress provide the basis for demonstrating with equal conviction our commitment to stay secure and to find peaceful solutions to problems through negotiations. That's why 1984 is a year of opportunities for peace.</w:t>
      </w:r>
    </w:p>
    <w:p w:rsidR="00A31137" w:rsidRPr="00A31137" w:rsidRDefault="00A31137" w:rsidP="00A31137">
      <w:r w:rsidRPr="00A31137">
        <w:t>Public Papers of Reagan, 1984, p.41</w:t>
      </w:r>
    </w:p>
    <w:p w:rsidR="00A31137" w:rsidRPr="00A31137" w:rsidRDefault="00A31137" w:rsidP="00A31137">
      <w:r w:rsidRPr="00A31137">
        <w:t>But if the United States and the Soviet Union are to rise to the challenges facing us and seize the opportunities for peace, we must do more to find areas of mutual interest and then build on them.</w:t>
      </w:r>
    </w:p>
    <w:p w:rsidR="00A31137" w:rsidRPr="00A31137" w:rsidRDefault="00A31137" w:rsidP="00A31137">
      <w:r w:rsidRPr="00A31137">
        <w:t>Public Papers of Reagan, 1984, p.41</w:t>
      </w:r>
    </w:p>
    <w:p w:rsidR="00A31137" w:rsidRPr="00A31137" w:rsidRDefault="00A31137" w:rsidP="00A31137">
      <w:r w:rsidRPr="00A31137">
        <w:t>I propose that our governments make a major effort to see if we can make progress in three broad problem areas. First, we need to find ways to reduce, and eventually to eliminate, the threat and use of force in solving international disputes.</w:t>
      </w:r>
    </w:p>
    <w:p w:rsidR="00A31137" w:rsidRPr="00A31137" w:rsidRDefault="00A31137" w:rsidP="00A31137">
      <w:r w:rsidRPr="00A31137">
        <w:t>Public Papers of Reagan, 1984, p.41</w:t>
      </w:r>
    </w:p>
    <w:p w:rsidR="00A31137" w:rsidRPr="00A31137" w:rsidRDefault="00A31137" w:rsidP="00A31137">
      <w:r w:rsidRPr="00A31137">
        <w:t>The world has witnessed more than 100 major conflicts since the end of World War II. Today there are armed conflicts in the Middle East, Afghanistan, Southeast Asia, Central America, and Africa. In other regions, independent nations are confronted by heavily armed neighbors seeking to dominate by threatening attack or subversion. Most of these conflicts have their origins in local problems, but many have been exploited by the Soviet Union and its surrogates. And, of course, Afghanistan has suffered an outright Soviet invasion.</w:t>
      </w:r>
    </w:p>
    <w:p w:rsidR="00A31137" w:rsidRPr="00A31137" w:rsidRDefault="00A31137" w:rsidP="00A31137">
      <w:r w:rsidRPr="00A31137">
        <w:t>Public Papers of Reagan, 1984, p.41</w:t>
      </w:r>
    </w:p>
    <w:p w:rsidR="00A31137" w:rsidRPr="00A31137" w:rsidRDefault="00A31137" w:rsidP="00A31137">
      <w:r w:rsidRPr="00A31137">
        <w:t>Fueling regional conflicts and exporting violence only exacerbate local tensions, increase suffering, and make solutions to real social and economic problems more difficult. Further, such activity carries with it the risk of larger confrontations. Would it not be better and safer if we could work together to assist people in areas of conflict in finding peaceful solutions to their problems? That should be our mutual goal.</w:t>
      </w:r>
    </w:p>
    <w:p w:rsidR="00A31137" w:rsidRPr="00A31137" w:rsidRDefault="00A31137" w:rsidP="00A31137">
      <w:r w:rsidRPr="00A31137">
        <w:t>Public Papers of Reagan, 1984, p.41</w:t>
      </w:r>
    </w:p>
    <w:p w:rsidR="00A31137" w:rsidRPr="00A31137" w:rsidRDefault="00A31137" w:rsidP="00A31137">
      <w:r w:rsidRPr="00A31137">
        <w:t>But we must recognize that the gap in American and Soviet perceptions and policy is so great that our immediate objective must be more modest. As a first step, our governments should jointly examine concrete actions that we both can take to reduce the risk of U.S.-Soviet confrontation in these areas. And if we succeed, we should be able to move beyond this immediate objective.</w:t>
      </w:r>
    </w:p>
    <w:p w:rsidR="00A31137" w:rsidRPr="00A31137" w:rsidRDefault="00A31137" w:rsidP="00A31137">
      <w:r w:rsidRPr="00A31137">
        <w:t>Public Papers of Reagan, 1984, p.41</w:t>
      </w:r>
    </w:p>
    <w:p w:rsidR="00A31137" w:rsidRPr="00A31137" w:rsidRDefault="00A31137" w:rsidP="00A31137">
      <w:r w:rsidRPr="00A31137">
        <w:t>Our second task should be to find ways to reduce the vast stockpiles of armaments in the world. It's tragic to see the world's developing nations spending more than $150 billion a year on armed forces—some 20 percent of their national budgets. We must find ways to reverse the vicious cycle of threat and response which drives arms races everywhere it occurs.</w:t>
      </w:r>
    </w:p>
    <w:p w:rsidR="00A31137" w:rsidRPr="00A31137" w:rsidRDefault="00A31137" w:rsidP="00A31137">
      <w:r w:rsidRPr="00A31137">
        <w:t>Public Papers of Reagan, 1984, p.41</w:t>
      </w:r>
    </w:p>
    <w:p w:rsidR="00A31137" w:rsidRPr="00A31137" w:rsidRDefault="00A31137" w:rsidP="00A31137">
      <w:r w:rsidRPr="00A31137">
        <w:t>With regard to nuclear weapons, the simple truth is America's total nuclear stockpile has declined. Today we have far fewer nuclear weapons than we had 20 years ago, and in terms of its total destructive power, our nuclear stockpile is at the lowest level in 25 years.</w:t>
      </w:r>
    </w:p>
    <w:p w:rsidR="00A31137" w:rsidRPr="00A31137" w:rsidRDefault="00A31137" w:rsidP="00A31137">
      <w:r w:rsidRPr="00A31137">
        <w:t>Public Papers of Reagan, 1984, p.41</w:t>
      </w:r>
    </w:p>
    <w:p w:rsidR="00A31137" w:rsidRPr="00A31137" w:rsidRDefault="00A31137" w:rsidP="00A31137">
      <w:r w:rsidRPr="00A31137">
        <w:t>Just 3 months ago, we and our allies agreed to withdraw 1,400 nuclear weapons from Western Europe. This comes after the withdrawal of 1,000 nuclear weapons from Europe 3 years ago. Even if all our planned intermediate-range missiles have to be deployed in Europe over the next 5 years-and we hope this will not be necessary—we will have eliminated five existing nuclear weapons for each new weapon deployed.</w:t>
      </w:r>
    </w:p>
    <w:p w:rsidR="00A31137" w:rsidRPr="00A31137" w:rsidRDefault="00A31137" w:rsidP="00A31137">
      <w:r w:rsidRPr="00A31137">
        <w:t>Public Papers of Reagan, 1984, p.41–p.42</w:t>
      </w:r>
    </w:p>
    <w:p w:rsidR="00A31137" w:rsidRPr="00A31137" w:rsidRDefault="00A31137" w:rsidP="00A31137">
      <w:r w:rsidRPr="00A31137">
        <w:t>But this is not enough. We must accelerate our efforts to reach agreements that will greatly reduce nuclear arsenals, provide [p.42] greater stability, and build confidence.</w:t>
      </w:r>
    </w:p>
    <w:p w:rsidR="00A31137" w:rsidRPr="00A31137" w:rsidRDefault="00A31137" w:rsidP="00A31137">
      <w:r w:rsidRPr="00A31137">
        <w:t>Public Papers of Reagan, 1984, p.42</w:t>
      </w:r>
    </w:p>
    <w:p w:rsidR="00A31137" w:rsidRPr="00A31137" w:rsidRDefault="00A31137" w:rsidP="00A31137">
      <w:r w:rsidRPr="00A31137">
        <w:t>Our third task is to establish a better working relationship with each other, one marked by greater cooperation and understanding. Cooperation and understanding are built on deeds, not words. Complying with agreements helps; violating them hurts. Respecting the rights of individual citizens bolsters the relationship; denying these rights harms it. Expanding contacts across borders and permitting a free exchange or interchange of information and ideas increase confidence; sealing off one's people from the rest of the world reduces it. Peaceful trade helps, while organized theft of industrial secrets certainly hurts.</w:t>
      </w:r>
    </w:p>
    <w:p w:rsidR="00A31137" w:rsidRPr="00A31137" w:rsidRDefault="00A31137" w:rsidP="00A31137">
      <w:r w:rsidRPr="00A31137">
        <w:t>Public Papers of Reagan, 1984, p.42</w:t>
      </w:r>
    </w:p>
    <w:p w:rsidR="00A31137" w:rsidRPr="00A31137" w:rsidRDefault="00A31137" w:rsidP="00A31137">
      <w:r w:rsidRPr="00A31137">
        <w:t>Cooperation and understanding are especially important to arms control. In recent years we've had serious concerns about Soviet compliance with agreements and treaties. Compliance is important because we seek truly effective arms control. However, there's been mounting evidence that provisions of agreements have been violated and that advantage has been taken of ambiguities in our agreements.</w:t>
      </w:r>
    </w:p>
    <w:p w:rsidR="00A31137" w:rsidRPr="00A31137" w:rsidRDefault="00A31137" w:rsidP="00A31137">
      <w:r w:rsidRPr="00A31137">
        <w:t>Public Papers of Reagan, 1984, p.42</w:t>
      </w:r>
    </w:p>
    <w:p w:rsidR="00A31137" w:rsidRPr="00A31137" w:rsidRDefault="00A31137" w:rsidP="00A31137">
      <w:r w:rsidRPr="00A31137">
        <w:t>In response to a congressional request, a report on this will be submitted in the next few days. It is clear that we cannot simply assume that agreements negotiated will be fulfilled. We must take the Soviet compliance record into account, both in the development of our defense program and in our approach to arms control.</w:t>
      </w:r>
    </w:p>
    <w:p w:rsidR="00A31137" w:rsidRPr="00A31137" w:rsidRDefault="00A31137" w:rsidP="00A31137">
      <w:r w:rsidRPr="00A31137">
        <w:t>Public Papers of Reagan, 1984, p.42</w:t>
      </w:r>
    </w:p>
    <w:p w:rsidR="00A31137" w:rsidRPr="00A31137" w:rsidRDefault="00A31137" w:rsidP="00A31137">
      <w:r w:rsidRPr="00A31137">
        <w:t>In our discussions with the Soviet Union, we will work to remove the obstacles which threaten to undermine existing agreements and a broader arms control process. Examples I've cited illustrate why our relationship with the Soviet Union is not what it should be. We have a long way to go, but we're determined to try and try again. We may have to start in small ways, but start we must.</w:t>
      </w:r>
    </w:p>
    <w:p w:rsidR="00A31137" w:rsidRPr="00A31137" w:rsidRDefault="00A31137" w:rsidP="00A31137">
      <w:r w:rsidRPr="00A31137">
        <w:t>Public Papers of Reagan, 1984, p.42</w:t>
      </w:r>
    </w:p>
    <w:p w:rsidR="00A31137" w:rsidRPr="00A31137" w:rsidRDefault="00A31137" w:rsidP="00A31137">
      <w:r w:rsidRPr="00A31137">
        <w:t>In working on these tasks, our approach is based on three guiding principles—realism, strength, and dialog. Realism means we must start with a clear-eyed understanding of the world we live in. We must recognize that we are in a long-term competition with a government that does not share our notions of individual liberties at home and peaceful change abroad. We must be frank in acknowledging our differences and unafraid to promote our values.</w:t>
      </w:r>
    </w:p>
    <w:p w:rsidR="00A31137" w:rsidRPr="00A31137" w:rsidRDefault="00A31137" w:rsidP="00A31137">
      <w:r w:rsidRPr="00A31137">
        <w:t>Public Papers of Reagan, 1984, p.42</w:t>
      </w:r>
    </w:p>
    <w:p w:rsidR="00A31137" w:rsidRPr="00A31137" w:rsidRDefault="00A31137" w:rsidP="00A31137">
      <w:r w:rsidRPr="00A31137">
        <w:t>Strength is essential to negotiate successfully and protect our interests. If we're weak, we can do neither. Strength is more than military power. Economic strength is crucial, and America's economy is leading the world into recovery. Equally important is our strength of spirit and unity among our people at home and with our allies abroad. We're stronger in all these areas than we were 3 years ago. Our strength is necessary to deter war and to facilitate negotiated solutions. Soviet leaders know it makes sense to compromise only if they can get something in return. Well, America can now offer something in return.</w:t>
      </w:r>
    </w:p>
    <w:p w:rsidR="00A31137" w:rsidRPr="00A31137" w:rsidRDefault="00A31137" w:rsidP="00A31137">
      <w:r w:rsidRPr="00A31137">
        <w:t>Public Papers of Reagan, 1984, p.42</w:t>
      </w:r>
    </w:p>
    <w:p w:rsidR="00A31137" w:rsidRPr="00A31137" w:rsidRDefault="00A31137" w:rsidP="00A31137">
      <w:r w:rsidRPr="00A31137">
        <w:t>Strength and dialog go hand in hand, and we're determined to deal with our differences peacefully through negotiations. We're prepared to discuss the problems that divide us and to work for practical, fair solutions on the basis of mutual compromise. We will never retreat from negotiations.</w:t>
      </w:r>
    </w:p>
    <w:p w:rsidR="00A31137" w:rsidRPr="00A31137" w:rsidRDefault="00A31137" w:rsidP="00A31137">
      <w:r w:rsidRPr="00A31137">
        <w:t>Public Papers of Reagan, 1984, p.42</w:t>
      </w:r>
    </w:p>
    <w:p w:rsidR="00A31137" w:rsidRPr="00A31137" w:rsidRDefault="00A31137" w:rsidP="00A31137">
      <w:r w:rsidRPr="00A31137">
        <w:t>I have openly expressed my view of the Soviet system. I don't know why this should come as a surprise to Soviet leaders who've never shied from expressing their view of our system. But this doesn't mean that we can't deal with each other. We don't refuse to talk when the Soviets call us imperialist aggressors and worse, or because they cling to the fantasy of a Communist triumph over democracy. The fact that neither of us likes the other system is no reason to refuse to talk. Living in this nuclear age makes it imperative that we do talk. Our commitment to dialog is firm and unshakeable, but we insist that our negotiations deal with real problems, not atmospherics.</w:t>
      </w:r>
    </w:p>
    <w:p w:rsidR="00A31137" w:rsidRPr="00A31137" w:rsidRDefault="00A31137" w:rsidP="00A31137">
      <w:r w:rsidRPr="00A31137">
        <w:t>Public Papers of Reagan, 1984, p.42</w:t>
      </w:r>
    </w:p>
    <w:p w:rsidR="00A31137" w:rsidRPr="00A31137" w:rsidRDefault="00A31137" w:rsidP="00A31137">
      <w:r w:rsidRPr="00A31137">
        <w:t>In our approach to negotiations, reducing the risk of war, and especially nuclear war, is priority number one. A nuclear conflict could well be mankind's last. And that is why I proposed over 2 years ago the zero option for intermediate-range missiles. Our aim was and continues to be to eliminate an entire class of nuclear arms. Indeed, I support a zero option for all nuclear arms. As I've said before, my dream is to see the day when nuclear weapons will be banished from the face of the Earth.</w:t>
      </w:r>
    </w:p>
    <w:p w:rsidR="00A31137" w:rsidRPr="00A31137" w:rsidRDefault="00A31137" w:rsidP="00A31137">
      <w:r w:rsidRPr="00A31137">
        <w:t>Public Papers of Reagan, 1984, p.42–p.43</w:t>
      </w:r>
    </w:p>
    <w:p w:rsidR="00A31137" w:rsidRPr="00A31137" w:rsidRDefault="00A31137" w:rsidP="00A31137">
      <w:r w:rsidRPr="00A31137">
        <w:t>Last month the Soviet Defense Minister [p.43] stated that his country would do everything to avert the threat of war. Well, these are encouraging words, but now is the time to move from words to deed. The opportunity for progress in arms control exists. The Soviet leaders should take advantage of it.</w:t>
      </w:r>
    </w:p>
    <w:p w:rsidR="00A31137" w:rsidRPr="00A31137" w:rsidRDefault="00A31137" w:rsidP="00A31137">
      <w:r w:rsidRPr="00A31137">
        <w:t>Public Papers of Reagan, 1984, p.43</w:t>
      </w:r>
    </w:p>
    <w:p w:rsidR="00A31137" w:rsidRPr="00A31137" w:rsidRDefault="00A31137" w:rsidP="00A31137">
      <w:r w:rsidRPr="00A31137">
        <w:t>We have proposed a set of initiatives that would reduce substantially nuclear arsenals and reduce the risk of nuclear confrontation.</w:t>
      </w:r>
    </w:p>
    <w:p w:rsidR="00A31137" w:rsidRPr="00A31137" w:rsidRDefault="00A31137" w:rsidP="00A31137">
      <w:r w:rsidRPr="00A31137">
        <w:t>Public Papers of Reagan, 1984, p.43</w:t>
      </w:r>
    </w:p>
    <w:p w:rsidR="00A31137" w:rsidRPr="00A31137" w:rsidRDefault="00A31137" w:rsidP="00A31137">
      <w:r w:rsidRPr="00A31137">
        <w:t>The world regrets—certainly we do—that the Soviet Union broke off negotiations on intermediate-range nuclear forces and has not set a date for the resumption of the talks on strategic arms and on conventional forces in Europe. Our negotiators are ready to return to the negotiating table to work toward agreements in INF, START, and MBFR. We will negotiate in good faith. Whenever the Soviet Union is ready to do likewise, we'll meet them halfway.</w:t>
      </w:r>
    </w:p>
    <w:p w:rsidR="00A31137" w:rsidRPr="00A31137" w:rsidRDefault="00A31137" w:rsidP="00A31137">
      <w:r w:rsidRPr="00A31137">
        <w:t>Public Papers of Reagan, 1984, p.43</w:t>
      </w:r>
    </w:p>
    <w:p w:rsidR="00A31137" w:rsidRPr="00A31137" w:rsidRDefault="00A31137" w:rsidP="00A31137">
      <w:r w:rsidRPr="00A31137">
        <w:t>We seek to reduce nuclear arsenals and to reduce the chances for dangerous misunderstanding and miscalculations, so we have put forward proposals for what we call confidence-building measures. They cover a wide range of activities. In the Geneva negotiations, we proposed to exchange advance notification of missile tests and major military exercises. Following up on congressional suggestions, we also proposed a number of ways to improve direct channels of communications. Last week, we had productive discussions with the Soviets here in Washington on improving communications, including the hotline.</w:t>
      </w:r>
    </w:p>
    <w:p w:rsidR="00A31137" w:rsidRPr="00A31137" w:rsidRDefault="00A31137" w:rsidP="00A31137">
      <w:r w:rsidRPr="00A31137">
        <w:t>Public Papers of Reagan, 1984, p.43</w:t>
      </w:r>
    </w:p>
    <w:p w:rsidR="00A31137" w:rsidRPr="00A31137" w:rsidRDefault="00A31137" w:rsidP="00A31137">
      <w:r w:rsidRPr="00A31137">
        <w:t>Now these bilateral proposals will be broadened at the conference in Stockholm. We're working with our allies to develop practical, meaningful ways to reduce the uncertainty and potential for misinterpretation surrounding military activities and to diminish the risk of surprise attack.</w:t>
      </w:r>
    </w:p>
    <w:p w:rsidR="00A31137" w:rsidRPr="00A31137" w:rsidRDefault="00A31137" w:rsidP="00A31137">
      <w:r w:rsidRPr="00A31137">
        <w:t>Public Papers of Reagan, 1984, p.43</w:t>
      </w:r>
    </w:p>
    <w:p w:rsidR="00A31137" w:rsidRPr="00A31137" w:rsidRDefault="00A31137" w:rsidP="00A31137">
      <w:r w:rsidRPr="00A31137">
        <w:t>Arms control has long been the most visible area of U.S.-Soviet dialog. But a durable peace also requires ways for both of us to diffuse tensions and regional conflicts.</w:t>
      </w:r>
    </w:p>
    <w:p w:rsidR="00A31137" w:rsidRPr="00A31137" w:rsidRDefault="00A31137" w:rsidP="00A31137">
      <w:r w:rsidRPr="00A31137">
        <w:t>Public Papers of Reagan, 1984, p.43</w:t>
      </w:r>
    </w:p>
    <w:p w:rsidR="00A31137" w:rsidRPr="00A31137" w:rsidRDefault="00A31137" w:rsidP="00A31137">
      <w:r w:rsidRPr="00A31137">
        <w:t>Take the Middle East as an example. Everyone's interest would be served by stability in the region, and our efforts are directed toward that goal. The Soviets could help reduce tensions there instead of introducing sophisticated weapons into the area. This would certainly help us to deal more positively with other aspects of our relationship.</w:t>
      </w:r>
    </w:p>
    <w:p w:rsidR="00A31137" w:rsidRPr="00A31137" w:rsidRDefault="00A31137" w:rsidP="00A31137">
      <w:r w:rsidRPr="00A31137">
        <w:t>Public Papers of Reagan, 1984, p.43</w:t>
      </w:r>
    </w:p>
    <w:p w:rsidR="00A31137" w:rsidRPr="00A31137" w:rsidRDefault="00A31137" w:rsidP="00A31137">
      <w:r w:rsidRPr="00A31137">
        <w:t>Another major problem in our relationship with the Soviet Union is human rights. Soviet practices in this area, as much as any other issue, have created the mistrust and ill will that hangs over our relationship. Moral considerations alone compel us to express our deep concern over prisoners of conscience in the Soviet Union and over the virtual halt in the emigration of Jews, Armenians, and others who wish to join their families abroad.</w:t>
      </w:r>
    </w:p>
    <w:p w:rsidR="00A31137" w:rsidRPr="00A31137" w:rsidRDefault="00A31137" w:rsidP="00A31137">
      <w:r w:rsidRPr="00A31137">
        <w:t>Public Papers of Reagan, 1984, p.43</w:t>
      </w:r>
    </w:p>
    <w:p w:rsidR="00A31137" w:rsidRPr="00A31137" w:rsidRDefault="00A31137" w:rsidP="00A31137">
      <w:r w:rsidRPr="00A31137">
        <w:t>Our request is simple and straightforward: that the Soviet Union live up to its obligations. It has freely assumed those obligations under international covenants, in particular its commitments under the Helsinki accords.</w:t>
      </w:r>
    </w:p>
    <w:p w:rsidR="00A31137" w:rsidRPr="00A31137" w:rsidRDefault="00A31137" w:rsidP="00A31137">
      <w:r w:rsidRPr="00A31137">
        <w:t>Public Papers of Reagan, 1984, p.43</w:t>
      </w:r>
    </w:p>
    <w:p w:rsidR="00A31137" w:rsidRPr="00A31137" w:rsidRDefault="00A31137" w:rsidP="00A31137">
      <w:r w:rsidRPr="00A31137">
        <w:t>Experience has shown that greater respect for human rights can contribute to progress in other areas of the Soviet-American relationship. Conflicts of interest between the United States and the Soviet Union are real, but we can and must keep the peace between our two nations and make it a better and more peaceful world for all mankind.</w:t>
      </w:r>
    </w:p>
    <w:p w:rsidR="00A31137" w:rsidRPr="00A31137" w:rsidRDefault="00A31137" w:rsidP="00A31137">
      <w:r w:rsidRPr="00A31137">
        <w:t>Public Papers of Reagan, 1984, p.43</w:t>
      </w:r>
    </w:p>
    <w:p w:rsidR="00A31137" w:rsidRPr="00A31137" w:rsidRDefault="00A31137" w:rsidP="00A31137">
      <w:r w:rsidRPr="00A31137">
        <w:t>Our policy toward the Soviet Union—a policy of credible deterrence, peaceful competition, and constructive cooperation—will serve our two nations and people everywhere. It is a policy not just for this year, but for the long term. It's a challenge for Americans; it is also a challenge for the Soviets. If they cannot meet us halfway, we will be prepared to protect our interests and those of our friends and allies.</w:t>
      </w:r>
    </w:p>
    <w:p w:rsidR="00A31137" w:rsidRPr="00A31137" w:rsidRDefault="00A31137" w:rsidP="00A31137">
      <w:r w:rsidRPr="00A31137">
        <w:t>Public Papers of Reagan, 1984, p.43</w:t>
      </w:r>
    </w:p>
    <w:p w:rsidR="00A31137" w:rsidRPr="00A31137" w:rsidRDefault="00A31137" w:rsidP="00A31137">
      <w:r w:rsidRPr="00A31137">
        <w:t>But we want more than deterrence. We seek genuine cooperation. We seek progress for peace. Cooperation begins With communication. And, as I've said, we'll stay at the negotiating tables in Geneva and Vienna. Furthermore, Secretary Shultz will be meeting this week with Soviet Foreign Minister Gromyko in Stockholm. This meeting should be followed by others, so that high-level consultations become a regular and normal component of U.S.-Soviet relations.</w:t>
      </w:r>
    </w:p>
    <w:p w:rsidR="00A31137" w:rsidRPr="00A31137" w:rsidRDefault="00A31137" w:rsidP="00A31137">
      <w:r w:rsidRPr="00A31137">
        <w:t>Public Papers of Reagan, 1984, p.43–p.44</w:t>
      </w:r>
    </w:p>
    <w:p w:rsidR="00A31137" w:rsidRPr="00A31137" w:rsidRDefault="00A31137" w:rsidP="00A31137">
      <w:r w:rsidRPr="00A31137">
        <w:t>Our challenge is peaceful. It will bring out the best in us. It also calls for the best in the Soviet Union. We do not threaten the Soviet Union. Freedom poses no threat. It is the language of progress. We proved this 35 [p.44] years ago when we had a monopoly on nuclear weapons and could have tried to dominate the world, but we didn't. Instead, we used our power to write a new chapter in the history of mankind. We helped rebuild war-ravaged economies in Europe and the Far East, including those of nations who had been our enemies. Indeed, those former enemies are now among our staunchest friends.</w:t>
      </w:r>
    </w:p>
    <w:p w:rsidR="00A31137" w:rsidRPr="00A31137" w:rsidRDefault="00A31137" w:rsidP="00A31137">
      <w:r w:rsidRPr="00A31137">
        <w:t>Public Papers of Reagan, 1984, p.44</w:t>
      </w:r>
    </w:p>
    <w:p w:rsidR="00A31137" w:rsidRPr="00A31137" w:rsidRDefault="00A31137" w:rsidP="00A31137">
      <w:r w:rsidRPr="00A31137">
        <w:t>We can't predict how the Soviet leaders will respond to our challenge. But the people of our two countries share with all mankind the dream of eliminating the risk of nuclear war. It's not an impossible dream, because eliminating these risks are so clearly a vital interest for all of us. Our two countries have never fought each other. There's no reason why we ever should. Indeed, we fought common enemies in World War II. Today our common enemies are poverty, disease, and above all, war.</w:t>
      </w:r>
    </w:p>
    <w:p w:rsidR="00A31137" w:rsidRPr="00A31137" w:rsidRDefault="00A31137" w:rsidP="00A31137">
      <w:r w:rsidRPr="00A31137">
        <w:t>Public Papers of Reagan, 1984, p.44</w:t>
      </w:r>
    </w:p>
    <w:p w:rsidR="00A31137" w:rsidRPr="00A31137" w:rsidRDefault="00A31137" w:rsidP="00A31137">
      <w:r w:rsidRPr="00A31137">
        <w:t>More than 20 years ago, President Kennedy defined an approach that is as valid today as when he announced it. "So let us not be blind to our differences," he said, "but let us also direct attention to our common interests and to the means by which those differences can be resolved."</w:t>
      </w:r>
    </w:p>
    <w:p w:rsidR="00A31137" w:rsidRPr="00A31137" w:rsidRDefault="00A31137" w:rsidP="00A31137">
      <w:r w:rsidRPr="00A31137">
        <w:t>Public Papers of Reagan, 1984, p.44</w:t>
      </w:r>
    </w:p>
    <w:p w:rsidR="00A31137" w:rsidRPr="00A31137" w:rsidRDefault="00A31137" w:rsidP="00A31137">
      <w:r w:rsidRPr="00A31137">
        <w:t>Well, those differences are differences in governmental structure and philosophy. The common interests have to do with the things of everyday life for people everywhere. Just suppose with me for a moment that an Ivan and an Anya could find themselves, oh, say, in a waiting room, or sharing a shelter from the rain or a storm with a Jim and Sally, and there was no language barrier to keep them from getting acquainted. Would they then debate the differences between their respective governments? Or would they find themselves comparing notes about their children and what each other did for a living?</w:t>
      </w:r>
    </w:p>
    <w:p w:rsidR="00A31137" w:rsidRPr="00A31137" w:rsidRDefault="00A31137" w:rsidP="00A31137">
      <w:r w:rsidRPr="00A31137">
        <w:t>Public Papers of Reagan, 1984, p.44</w:t>
      </w:r>
    </w:p>
    <w:p w:rsidR="00A31137" w:rsidRPr="00A31137" w:rsidRDefault="00A31137" w:rsidP="00A31137">
      <w:r w:rsidRPr="00A31137">
        <w:t>Before they parted company, they would probably have touched on ambitions and hobbies and what they wanted for their children and problems of making ends meet. And as they went their separate ways, maybe Anya would be saying to Ivan, "Wasn't she nice? She also teaches music." Or Jim would be telling Sally what Ivan did or didn't like about his boss. They might even have decided they were all going to get together for dinner some evening soon. Above all, they would have proven that people don't make wars.</w:t>
      </w:r>
    </w:p>
    <w:p w:rsidR="00A31137" w:rsidRPr="00A31137" w:rsidRDefault="00A31137" w:rsidP="00A31137">
      <w:r w:rsidRPr="00A31137">
        <w:t>Public Papers of Reagan, 1984, p.44</w:t>
      </w:r>
    </w:p>
    <w:p w:rsidR="00A31137" w:rsidRPr="00A31137" w:rsidRDefault="00A31137" w:rsidP="00A31137">
      <w:r w:rsidRPr="00A31137">
        <w:t>People want to raise their children in a world without fear and without war. They want to have some of the good things over and above bare subsistence that make life worth living. They want to work at some craft, trade, or profession that gives them satisfaction and a sense of worth. Their common interests cross all borders.</w:t>
      </w:r>
    </w:p>
    <w:p w:rsidR="00A31137" w:rsidRPr="00A31137" w:rsidRDefault="00A31137" w:rsidP="00A31137">
      <w:r w:rsidRPr="00A31137">
        <w:t>Public Papers of Reagan, 1984, p.44</w:t>
      </w:r>
    </w:p>
    <w:p w:rsidR="00A31137" w:rsidRPr="00A31137" w:rsidRDefault="00A31137" w:rsidP="00A31137">
      <w:r w:rsidRPr="00A31137">
        <w:t>If the Soviet Government wants peace, then there will be peace. Together we can strengthen peace, reduce the level of arms, and know in doing so that we have helped fulfill the hopes and dreams of those we represent and, indeed, of people everywhere. Let us begin now.</w:t>
      </w:r>
    </w:p>
    <w:p w:rsidR="00A31137" w:rsidRPr="00A31137" w:rsidRDefault="00A31137" w:rsidP="00A31137">
      <w:r w:rsidRPr="00A31137">
        <w:t>Public Papers of Reagan, 1984, p.44</w:t>
      </w:r>
    </w:p>
    <w:p w:rsidR="00A31137" w:rsidRPr="00A31137" w:rsidRDefault="00A31137" w:rsidP="00A31137">
      <w:r w:rsidRPr="00A31137">
        <w:t>Thank you.</w:t>
      </w:r>
    </w:p>
    <w:p w:rsidR="00A31137" w:rsidRPr="00A31137" w:rsidRDefault="00A31137" w:rsidP="00A31137">
      <w:r w:rsidRPr="00A31137">
        <w:t>Public Papers of Reagan, 1984, p.44</w:t>
      </w:r>
    </w:p>
    <w:p w:rsidR="00A31137" w:rsidRPr="00A31137" w:rsidRDefault="00A31137" w:rsidP="00A31137">
      <w:r w:rsidRPr="00A31137">
        <w:t>NOTE: The President spoke at 10 a.m. in the East Room at the White House.</w:t>
      </w:r>
    </w:p>
    <w:p w:rsidR="00A31137" w:rsidRPr="00A31137" w:rsidRDefault="00A31137" w:rsidP="00A31137">
      <w:r w:rsidRPr="00A31137">
        <w:t>President Reagan's State of the Union Address, 1984</w:t>
      </w:r>
    </w:p>
    <w:p w:rsidR="00A31137" w:rsidRPr="00A31137" w:rsidRDefault="00A31137" w:rsidP="00A31137">
      <w:r w:rsidRPr="00A31137">
        <w:t>Title:</w:t>
      </w:r>
      <w:r w:rsidRPr="00A31137">
        <w:tab/>
        <w:t>President Reagan's State of the Union Address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25, 1984</w:t>
      </w:r>
    </w:p>
    <w:p w:rsidR="00A31137" w:rsidRPr="00A31137" w:rsidRDefault="00A31137" w:rsidP="00A31137">
      <w:r w:rsidRPr="00A31137">
        <w:t>Source:</w:t>
      </w:r>
      <w:r w:rsidRPr="00A31137">
        <w:tab/>
        <w:t>Public Papers of the Presidents, Reagan, 1984, pp.87-94</w:t>
      </w:r>
    </w:p>
    <w:p w:rsidR="00A31137" w:rsidRPr="00A31137" w:rsidRDefault="00A31137" w:rsidP="00A31137">
      <w:r w:rsidRPr="00A31137">
        <w:t>Public Papers of Reagan, 1984, p.87</w:t>
      </w:r>
    </w:p>
    <w:p w:rsidR="00A31137" w:rsidRPr="00A31137" w:rsidRDefault="00A31137" w:rsidP="00A31137">
      <w:r w:rsidRPr="00A31137">
        <w:t>Mr. Speaker, Mr. President, distinguished Members of the Congress, honored guests, and fellow citizens:</w:t>
      </w:r>
    </w:p>
    <w:p w:rsidR="00A31137" w:rsidRPr="00A31137" w:rsidRDefault="00A31137" w:rsidP="00A31137">
      <w:r w:rsidRPr="00A31137">
        <w:t>Public Papers of Reagan, 1984, p.87</w:t>
      </w:r>
    </w:p>
    <w:p w:rsidR="00A31137" w:rsidRPr="00A31137" w:rsidRDefault="00A31137" w:rsidP="00A31137">
      <w:r w:rsidRPr="00A31137">
        <w:t>Once again, in keeping with time-honored tradition, I have come to report to you on the state of the Union, and I'm pleased to report that America is much improved, and there's good reason to believe that improvement will continue through the days to come.</w:t>
      </w:r>
    </w:p>
    <w:p w:rsidR="00A31137" w:rsidRPr="00A31137" w:rsidRDefault="00A31137" w:rsidP="00A31137">
      <w:r w:rsidRPr="00A31137">
        <w:t>Public Papers of Reagan, 1984, p.87</w:t>
      </w:r>
    </w:p>
    <w:p w:rsidR="00A31137" w:rsidRPr="00A31137" w:rsidRDefault="00A31137" w:rsidP="00A31137">
      <w:r w:rsidRPr="00A31137">
        <w:t>You and I have had some honest and open differences in the year past. But they didn't keep us from joining hands in bipartisan cooperation to stop a long decline that had drained this nation's spirit and eroded its health. There is renewed energy and optimism throughout the land. America is back, standing tall, looking to the eighties with courage, confidence, and hope.</w:t>
      </w:r>
    </w:p>
    <w:p w:rsidR="00A31137" w:rsidRPr="00A31137" w:rsidRDefault="00A31137" w:rsidP="00A31137">
      <w:r w:rsidRPr="00A31137">
        <w:t>Public Papers of Reagan, 1984, p.87</w:t>
      </w:r>
    </w:p>
    <w:p w:rsidR="00A31137" w:rsidRPr="00A31137" w:rsidRDefault="00A31137" w:rsidP="00A31137">
      <w:r w:rsidRPr="00A31137">
        <w:t>The problems we're overcoming are not the heritage of one person, party, or even one generation. It's just the tendency of government to grow, for practices and programs to become the nearest thing to eternal life we'll ever see on this Earth. [Laughter] And there's always that well-intentioned chorus of voices saying, "With a little more power and a little more money, we could do so much for the people." For a time we forgot the American dream isn't one of making government bigger; it's keeping faith with the mighty spirit of free people under God.</w:t>
      </w:r>
    </w:p>
    <w:p w:rsidR="00A31137" w:rsidRPr="00A31137" w:rsidRDefault="00A31137" w:rsidP="00A31137">
      <w:r w:rsidRPr="00A31137">
        <w:t>Public Papers of Reagan, 1984, p.87</w:t>
      </w:r>
    </w:p>
    <w:p w:rsidR="00A31137" w:rsidRPr="00A31137" w:rsidRDefault="00A31137" w:rsidP="00A31137">
      <w:r w:rsidRPr="00A31137">
        <w:t>As we came to the decade of the eighties, we faced the worst crisis in our postwar history. In the seventies were years of rising problems and falling confidence. There was a feeling government had grown beyond the consent of the governed. Families felt helpless in the face of mounting inflation and the indignity of taxes that reduced reward for hard work, thrift, and risktaking. All this was overlaid by an evergrowing web of rules and regulations.</w:t>
      </w:r>
    </w:p>
    <w:p w:rsidR="00A31137" w:rsidRPr="00A31137" w:rsidRDefault="00A31137" w:rsidP="00A31137">
      <w:r w:rsidRPr="00A31137">
        <w:t>Public Papers of Reagan, 1984, p.87</w:t>
      </w:r>
    </w:p>
    <w:p w:rsidR="00A31137" w:rsidRPr="00A31137" w:rsidRDefault="00A31137" w:rsidP="00A31137">
      <w:r w:rsidRPr="00A31137">
        <w:t>On the international scene, we had an uncomfortable feeling that we'd lost the respect of friend and foe. Some questioned whether we had the will to defend peace and freedom. But America is too great for small dreams. There was a hunger in the land for a spiritual revival; if you will, a crusade for renewal. The American people said: Let us look to the future with confidence, both at home and abroad. Let us give freedom a chance.</w:t>
      </w:r>
    </w:p>
    <w:p w:rsidR="00A31137" w:rsidRPr="00A31137" w:rsidRDefault="00A31137" w:rsidP="00A31137">
      <w:r w:rsidRPr="00A31137">
        <w:t>Public Papers of Reagan, 1984, p.87</w:t>
      </w:r>
    </w:p>
    <w:p w:rsidR="00A31137" w:rsidRPr="00A31137" w:rsidRDefault="00A31137" w:rsidP="00A31137">
      <w:r w:rsidRPr="00A31137">
        <w:t>Americans were ready to make a new beginning, and together we have done it. We're confronting our problems one by one. Hope is alive tonight for millions of young families and senior citizens set free from unfair tax increases and crushing inflation. Inflation has been beaten down from 12.4 to 3.2 percent, and that's a great victory for all the people. The prime rate has been cut almost in half, and we must work together to bring it down even more.</w:t>
      </w:r>
    </w:p>
    <w:p w:rsidR="00A31137" w:rsidRPr="00A31137" w:rsidRDefault="00A31137" w:rsidP="00A31137">
      <w:r w:rsidRPr="00A31137">
        <w:t>Public Papers of Reagan, 1984, p.87</w:t>
      </w:r>
    </w:p>
    <w:p w:rsidR="00A31137" w:rsidRPr="00A31137" w:rsidRDefault="00A31137" w:rsidP="00A31137">
      <w:r w:rsidRPr="00A31137">
        <w:t>Together, we passed the first across-the-board tax reduction for everyone since the Kennedy tax cuts. Next year, tax rates will be indexed so inflation can't push people into higher brackets when they get cost-of-living pay raises. Government must never again use inflation to profit at the people's expense.</w:t>
      </w:r>
    </w:p>
    <w:p w:rsidR="00A31137" w:rsidRPr="00A31137" w:rsidRDefault="00A31137" w:rsidP="00A31137">
      <w:r w:rsidRPr="00A31137">
        <w:t>Public Papers of Reagan, 1984, p.87</w:t>
      </w:r>
    </w:p>
    <w:p w:rsidR="00A31137" w:rsidRPr="00A31137" w:rsidRDefault="00A31137" w:rsidP="00A31137">
      <w:r w:rsidRPr="00A31137">
        <w:t>Today a working family earning $25,000 has $1,100 more in purchasing power than if tax and inflation rates were still at the 1980 levels. Real after-tax income increased 5 percent last year. And economic deregulation of key industries like transportation has offered more chances—or choices, I should say, to consumers and new changes—or chances for entrepreneurs and protecting safety. Tonight, we can report and be proud of one of the best recoveries in decades. Send away the handwringers and the doubting Thomases. Hope is reborn for couples dreaming of owning homes and for risktakers with vision to create tomorrow's opportunities.</w:t>
      </w:r>
    </w:p>
    <w:p w:rsidR="00A31137" w:rsidRPr="00A31137" w:rsidRDefault="00A31137" w:rsidP="00A31137">
      <w:r w:rsidRPr="00A31137">
        <w:t>Public Papers of Reagan, 1984, p.87–p.88</w:t>
      </w:r>
    </w:p>
    <w:p w:rsidR="00A31137" w:rsidRPr="00A31137" w:rsidRDefault="00A31137" w:rsidP="00A31137">
      <w:r w:rsidRPr="00A31137">
        <w:t>The spirit of enterprise is sparked by the sunrise industries of high-tech and by small business people with big ideas—people like Barbara Proctor, who rose from a ghetto to build a multimillion-dollar advertising agency in Chicago; Carlos Perez, a Cuban [p.88] refugee, who turned $27 and a dream into a successful importing business in Coral Gables, Florida.</w:t>
      </w:r>
    </w:p>
    <w:p w:rsidR="00A31137" w:rsidRPr="00A31137" w:rsidRDefault="00A31137" w:rsidP="00A31137">
      <w:r w:rsidRPr="00A31137">
        <w:t>Public Papers of Reagan, 1984, p.88</w:t>
      </w:r>
    </w:p>
    <w:p w:rsidR="00A31137" w:rsidRPr="00A31137" w:rsidRDefault="00A31137" w:rsidP="00A31137">
      <w:r w:rsidRPr="00A31137">
        <w:t>People like these are heroes for the eighties. They helped 4 million Americans find jobs in 1983. More people are drawing paychecks tonight than ever before. And Congress helps—or progress helps everyone-well, Congress does too—[laughter]——everyone. In 1983 women filled 73 percent of all the new jobs in managerial, professional, and technical fields.</w:t>
      </w:r>
    </w:p>
    <w:p w:rsidR="00A31137" w:rsidRPr="00A31137" w:rsidRDefault="00A31137" w:rsidP="00A31137">
      <w:r w:rsidRPr="00A31137">
        <w:t>Public Papers of Reagan, 1984, p.88</w:t>
      </w:r>
    </w:p>
    <w:p w:rsidR="00A31137" w:rsidRPr="00A31137" w:rsidRDefault="00A31137" w:rsidP="00A31137">
      <w:r w:rsidRPr="00A31137">
        <w:t>But we know that many of our fellow countrymen are still out of work, wondering what will come of their hopes and dreams. Can we love America and not reach out to tell them: You are not forgotten; we will not rest until each of you can reach as high as your God-given talents will take you.</w:t>
      </w:r>
    </w:p>
    <w:p w:rsidR="00A31137" w:rsidRPr="00A31137" w:rsidRDefault="00A31137" w:rsidP="00A31137">
      <w:r w:rsidRPr="00A31137">
        <w:t>Public Papers of Reagan, 1984, p.88</w:t>
      </w:r>
    </w:p>
    <w:p w:rsidR="00A31137" w:rsidRPr="00A31137" w:rsidRDefault="00A31137" w:rsidP="00A31137">
      <w:r w:rsidRPr="00A31137">
        <w:t>The heart of America is strong; it's good and true. The cynics were wrong; America never was a sick society. We're seeing rededication to bedrock values of faith, family, work, neighborhood, peace, and freedom—values that help bring us together as one people, from the youngest child to the most senior citizen.</w:t>
      </w:r>
    </w:p>
    <w:p w:rsidR="00A31137" w:rsidRPr="00A31137" w:rsidRDefault="00A31137" w:rsidP="00A31137">
      <w:r w:rsidRPr="00A31137">
        <w:t>Public Papers of Reagan, 1984, p.88</w:t>
      </w:r>
    </w:p>
    <w:p w:rsidR="00A31137" w:rsidRPr="00A31137" w:rsidRDefault="00A31137" w:rsidP="00A31137">
      <w:r w:rsidRPr="00A31137">
        <w:t>The Congress deserves America's thanks for helping us restore pride and credibility to our military. And I hope that you're as proud as I am of the young men and women in uniform who have volunteered to man the ramparts in defense of freedom and whose dedication, valor, and skill increases so much our chance of living in a world at peace.</w:t>
      </w:r>
    </w:p>
    <w:p w:rsidR="00A31137" w:rsidRPr="00A31137" w:rsidRDefault="00A31137" w:rsidP="00A31137">
      <w:r w:rsidRPr="00A31137">
        <w:t>Public Papers of Reagan, 1984, p.88</w:t>
      </w:r>
    </w:p>
    <w:p w:rsidR="00A31137" w:rsidRPr="00A31137" w:rsidRDefault="00A31137" w:rsidP="00A31137">
      <w:r w:rsidRPr="00A31137">
        <w:t>People everywhere hunger for peace and a better life. The tide of the future is a freedom tide, and our struggle for democracy cannot and will not be denied. This nation champions peace that enshrines liberty, democratic rights, and dignity for every individual. America's new strength, confidence, and purpose are carrying hope and opportunity far from our shores. A world economic recovery is underway. It began here.</w:t>
      </w:r>
    </w:p>
    <w:p w:rsidR="00A31137" w:rsidRPr="00A31137" w:rsidRDefault="00A31137" w:rsidP="00A31137">
      <w:r w:rsidRPr="00A31137">
        <w:t>Public Papers of Reagan, 1984, p.88</w:t>
      </w:r>
    </w:p>
    <w:p w:rsidR="00A31137" w:rsidRPr="00A31137" w:rsidRDefault="00A31137" w:rsidP="00A31137">
      <w:r w:rsidRPr="00A31137">
        <w:t>We've journeyed far, but we have much farther to go. Franklin Roosevelt told us 50 years ago this month: "Civilization can not go back; civilization must not stand still. We have undertaken new methods. It is our task to perfect, to improve, to alter when necessary, but in all cases to go forward."</w:t>
      </w:r>
    </w:p>
    <w:p w:rsidR="00A31137" w:rsidRPr="00A31137" w:rsidRDefault="00A31137" w:rsidP="00A31137">
      <w:r w:rsidRPr="00A31137">
        <w:t>Public Papers of Reagan, 1984, p.88</w:t>
      </w:r>
    </w:p>
    <w:p w:rsidR="00A31137" w:rsidRPr="00A31137" w:rsidRDefault="00A31137" w:rsidP="00A31137">
      <w:r w:rsidRPr="00A31137">
        <w:t>It's time to move forward again, time for America to take freedom's next step. Let us unite tonight behind four great goals to keep America free, secure, and at peace in the eighties together.</w:t>
      </w:r>
    </w:p>
    <w:p w:rsidR="00A31137" w:rsidRPr="00A31137" w:rsidRDefault="00A31137" w:rsidP="00A31137">
      <w:r w:rsidRPr="00A31137">
        <w:t>Public Papers of Reagan, 1984, p.88</w:t>
      </w:r>
    </w:p>
    <w:p w:rsidR="00A31137" w:rsidRPr="00A31137" w:rsidRDefault="00A31137" w:rsidP="00A31137">
      <w:r w:rsidRPr="00A31137">
        <w:t>We can ensure steady economic growth. We can develop America's next frontier. We can strengthen our traditional values. And we can build a meaningful peace to protect our loved ones and this shining star of faith that has guided millions from tyranny to the safe harbor of freedom, progress, and hope.</w:t>
      </w:r>
    </w:p>
    <w:p w:rsidR="00A31137" w:rsidRPr="00A31137" w:rsidRDefault="00A31137" w:rsidP="00A31137">
      <w:r w:rsidRPr="00A31137">
        <w:t>Public Papers of Reagan, 1984, p.88</w:t>
      </w:r>
    </w:p>
    <w:p w:rsidR="00A31137" w:rsidRPr="00A31137" w:rsidRDefault="00A31137" w:rsidP="00A31137">
      <w:r w:rsidRPr="00A31137">
        <w:t>Doing these things will open wider the gates of opportunity, provide greater security for all, with no barriers of bigotry or discrimination.</w:t>
      </w:r>
    </w:p>
    <w:p w:rsidR="00A31137" w:rsidRPr="00A31137" w:rsidRDefault="00A31137" w:rsidP="00A31137">
      <w:r w:rsidRPr="00A31137">
        <w:t>Public Papers of Reagan, 1984, p.88</w:t>
      </w:r>
    </w:p>
    <w:p w:rsidR="00A31137" w:rsidRPr="00A31137" w:rsidRDefault="00A31137" w:rsidP="00A31137">
      <w:r w:rsidRPr="00A31137">
        <w:t>The key to a dynamic decade is vigorous economic growth, our first great goal. We might well begin with common sense in Federal budgeting: government spending no more than government takes in.</w:t>
      </w:r>
    </w:p>
    <w:p w:rsidR="00A31137" w:rsidRPr="00A31137" w:rsidRDefault="00A31137" w:rsidP="00A31137">
      <w:r w:rsidRPr="00A31137">
        <w:t>Public Papers of Reagan, 1984, p.88</w:t>
      </w:r>
    </w:p>
    <w:p w:rsidR="00A31137" w:rsidRPr="00A31137" w:rsidRDefault="00A31137" w:rsidP="00A31137">
      <w:r w:rsidRPr="00A31137">
        <w:t>We must bring Federal deficits down. But how we do that makes all the difference.</w:t>
      </w:r>
    </w:p>
    <w:p w:rsidR="00A31137" w:rsidRPr="00A31137" w:rsidRDefault="00A31137" w:rsidP="00A31137">
      <w:r w:rsidRPr="00A31137">
        <w:t>Public Papers of Reagan, 1984, p.88</w:t>
      </w:r>
    </w:p>
    <w:p w:rsidR="00A31137" w:rsidRPr="00A31137" w:rsidRDefault="00A31137" w:rsidP="00A31137">
      <w:r w:rsidRPr="00A31137">
        <w:t>We can begin by limiting the size and scope of government. Under the leadership of Vice President Bush, we have reduced the growth of Federal regulations by more than 25 percent and cut well over 300 million hours of government-required paperwork each year. This will save the public more than $150 billion over the next 10 years.</w:t>
      </w:r>
    </w:p>
    <w:p w:rsidR="00A31137" w:rsidRPr="00A31137" w:rsidRDefault="00A31137" w:rsidP="00A31137">
      <w:r w:rsidRPr="00A31137">
        <w:t>Public Papers of Reagan, 1984, p.88</w:t>
      </w:r>
    </w:p>
    <w:p w:rsidR="00A31137" w:rsidRPr="00A31137" w:rsidRDefault="00A31137" w:rsidP="00A31137">
      <w:r w:rsidRPr="00A31137">
        <w:t>The Grace commission has given us some 2,500 recommendations for reducing wasteful spending, and they're being examined throughout the administration. Federal spending growth has been cut from 17.4 percent in 1980 to less than half of that today, and we have already achieved over $300 billion in budget savings for the period of 1982 to '86. But that's only a little more than half of what we sought. Government is still spending too large a percentage of the total economy.</w:t>
      </w:r>
    </w:p>
    <w:p w:rsidR="00A31137" w:rsidRPr="00A31137" w:rsidRDefault="00A31137" w:rsidP="00A31137">
      <w:r w:rsidRPr="00A31137">
        <w:t>Public Papers of Reagan, 1984, p.88–p.89</w:t>
      </w:r>
    </w:p>
    <w:p w:rsidR="00A31137" w:rsidRPr="00A31137" w:rsidRDefault="00A31137" w:rsidP="00A31137">
      <w:r w:rsidRPr="00A31137">
        <w:t>Now, some insist that any further budget savings must be obtained by reducing the portion spent on defense. This ignores the fact that national defense is solely the responsibility of the Federal Government; indeed, it is its prime responsibility. And yet defense spending is less than a third of [p.89] the total budget. During the years of President Kennedy and of the years before that, defense was almost half the total budget. And then came several years in which our military capability was allowed to deteriorate to a very dangerous degree. We are just now restoring, through the essential modernization of our conventional and strategic forces, our capability to meet our present and future security needs. We dare not shirk our responsibility to keep America free, secure, and at peace.</w:t>
      </w:r>
    </w:p>
    <w:p w:rsidR="00A31137" w:rsidRPr="00A31137" w:rsidRDefault="00A31137" w:rsidP="00A31137">
      <w:r w:rsidRPr="00A31137">
        <w:t>Public Papers of Reagan, 1984, p.89</w:t>
      </w:r>
    </w:p>
    <w:p w:rsidR="00A31137" w:rsidRPr="00A31137" w:rsidRDefault="00A31137" w:rsidP="00A31137">
      <w:r w:rsidRPr="00A31137">
        <w:t>The last decade saw domestic spending surge literally out of control. But the basis for such spending had been laid in previous years. A pattern of overspending has been in place for half a century. As the national debt grew, we were told not to worry, that we owed it to ourselves.</w:t>
      </w:r>
    </w:p>
    <w:p w:rsidR="00A31137" w:rsidRPr="00A31137" w:rsidRDefault="00A31137" w:rsidP="00A31137">
      <w:r w:rsidRPr="00A31137">
        <w:t>Public Papers of Reagan, 1984, p.89</w:t>
      </w:r>
    </w:p>
    <w:p w:rsidR="00A31137" w:rsidRPr="00A31137" w:rsidRDefault="00A31137" w:rsidP="00A31137">
      <w:r w:rsidRPr="00A31137">
        <w:t>Now we know that deficits are a cause for worry. But there's a difference of opinion as to whether taxes should be increased, spending cut, or some of both. Fear is expressed that government borrowing to fund the deficit could inhibit the economic recovery by taking capital needed for business and industrial expansion. Well, I think that debate is missing an important point. Whether government borrows or increases taxes, it will be taking the same amount of money from the private sector, and, either way, that's too much. Simple fairness dictates that government must not raise taxes on families struggling to pay their bills. The root of the problem is that government's share is more than we can afford if we're to have a sound economy.</w:t>
      </w:r>
    </w:p>
    <w:p w:rsidR="00A31137" w:rsidRPr="00A31137" w:rsidRDefault="00A31137" w:rsidP="00A31137">
      <w:r w:rsidRPr="00A31137">
        <w:t>Public Papers of Reagan, 1984, p.89</w:t>
      </w:r>
    </w:p>
    <w:p w:rsidR="00A31137" w:rsidRPr="00A31137" w:rsidRDefault="00A31137" w:rsidP="00A31137">
      <w:r w:rsidRPr="00A31137">
        <w:t>We must bring down the deficits to ensure continued economic growth. In the budget that I will submit on February 1st, I will recommend measures that will reduce the deficit over the next 5 years. Many of these will be unfinished business from last year's budget.</w:t>
      </w:r>
    </w:p>
    <w:p w:rsidR="00A31137" w:rsidRPr="00A31137" w:rsidRDefault="00A31137" w:rsidP="00A31137">
      <w:r w:rsidRPr="00A31137">
        <w:t>Public Papers of Reagan, 1984, p.89</w:t>
      </w:r>
    </w:p>
    <w:p w:rsidR="00A31137" w:rsidRPr="00A31137" w:rsidRDefault="00A31137" w:rsidP="00A31137">
      <w:r w:rsidRPr="00A31137">
        <w:t>Some could be enacted quickly if we could join in a serious effort to address this problem. I spoke today with Speaker of the House O'Neill, Senate Majority Leader Baker, Senate Minority Leader Byrd, and House Minority Leader Michel. I asked them if they would designate congressional representatives to meet with representatives of the administration to try to reach prompt agreement on a bipartisan deficit reduction plan. I know it would take a long, hard struggle to agree on a full-scale plan. So, what I have proposed is that we first see if we can agree on a down payment.</w:t>
      </w:r>
    </w:p>
    <w:p w:rsidR="00A31137" w:rsidRPr="00A31137" w:rsidRDefault="00A31137" w:rsidP="00A31137">
      <w:r w:rsidRPr="00A31137">
        <w:t>Public Papers of Reagan, 1984, p.89</w:t>
      </w:r>
    </w:p>
    <w:p w:rsidR="00A31137" w:rsidRPr="00A31137" w:rsidRDefault="00A31137" w:rsidP="00A31137">
      <w:r w:rsidRPr="00A31137">
        <w:t>Now, I believe there is basis for such an agreement, one that could reduce the deficits by about a hundred billion dollars over the next 3 years. We could focus on some of the less contentious spending cuts that are still pending before the Congress. These could be combined with measures to close certain tax loopholes, measures that the Treasury Department has previously said to be worthy of support. In addition, we could examine the possibility of achieving further outlay savings based on the work of the Grace commission.</w:t>
      </w:r>
    </w:p>
    <w:p w:rsidR="00A31137" w:rsidRPr="00A31137" w:rsidRDefault="00A31137" w:rsidP="00A31137">
      <w:r w:rsidRPr="00A31137">
        <w:t>Public Papers of Reagan, 1984, p.89</w:t>
      </w:r>
    </w:p>
    <w:p w:rsidR="00A31137" w:rsidRPr="00A31137" w:rsidRDefault="00A31137" w:rsidP="00A31137">
      <w:r w:rsidRPr="00A31137">
        <w:t>If the congressional leadership is willing, my representatives will be prepared to meet with theirs at the earliest possible time. I would hope the leadership might agree on an expedited timetable in which to develop and enact that down payment.</w:t>
      </w:r>
    </w:p>
    <w:p w:rsidR="00A31137" w:rsidRPr="00A31137" w:rsidRDefault="00A31137" w:rsidP="00A31137">
      <w:r w:rsidRPr="00A31137">
        <w:t>Public Papers of Reagan, 1984, p.89</w:t>
      </w:r>
    </w:p>
    <w:p w:rsidR="00A31137" w:rsidRPr="00A31137" w:rsidRDefault="00A31137" w:rsidP="00A31137">
      <w:r w:rsidRPr="00A31137">
        <w:t>But a down payment alone is not enough to break us out of the deficit problem. It could help us start on the right path. Yet, we must do more. So, I propose that we begin exploring how together we can make structural reforms to curb the built-in growth of spending.</w:t>
      </w:r>
    </w:p>
    <w:p w:rsidR="00A31137" w:rsidRPr="00A31137" w:rsidRDefault="00A31137" w:rsidP="00A31137">
      <w:r w:rsidRPr="00A31137">
        <w:t>Public Papers of Reagan, 1984, p.89</w:t>
      </w:r>
    </w:p>
    <w:p w:rsidR="00A31137" w:rsidRPr="00A31137" w:rsidRDefault="00A31137" w:rsidP="00A31137">
      <w:r w:rsidRPr="00A31137">
        <w:t>I also propose improvements in the budgeting process. Some 43 of our 50 States grant their Governors the right to veto individual items in appropriation bills without having to veto the entire bill. California is one of those 43 States. As Governor, I found this line-item veto was a powerful tool against wasteful or extravagant spending. It works in 43 States. Let's put it to work in Washington for all the people.</w:t>
      </w:r>
    </w:p>
    <w:p w:rsidR="00A31137" w:rsidRPr="00A31137" w:rsidRDefault="00A31137" w:rsidP="00A31137">
      <w:r w:rsidRPr="00A31137">
        <w:t>Public Papers of Reagan, 1984, p.89</w:t>
      </w:r>
    </w:p>
    <w:p w:rsidR="00A31137" w:rsidRPr="00A31137" w:rsidRDefault="00A31137" w:rsidP="00A31137">
      <w:r w:rsidRPr="00A31137">
        <w:t>It would be most effective if done by constitutional amendment. The majority of Americans approve of such an amendment, just as they and I approve of an amendment mandating a balanced Federal budget. Many States also have this protection in their constitutions.</w:t>
      </w:r>
    </w:p>
    <w:p w:rsidR="00A31137" w:rsidRPr="00A31137" w:rsidRDefault="00A31137" w:rsidP="00A31137">
      <w:r w:rsidRPr="00A31137">
        <w:t>Public Papers of Reagan, 1984, p.89–p.90</w:t>
      </w:r>
    </w:p>
    <w:p w:rsidR="00A31137" w:rsidRPr="00A31137" w:rsidRDefault="00A31137" w:rsidP="00A31137">
      <w:r w:rsidRPr="00A31137">
        <w:t>To talk of meeting the present situation by increasing taxes is a Band-Aid solution which does nothing to cure an illness that's been coming on for half a century—to say nothing of the fact that it poses a real threat to economic recovery. Let's remember that [p.90] a substantial amount of income tax is presently owed and not paid by people in the underground economy. It would be immoral to make those who are paying taxes pay more to compensate for those who aren't paying their share.</w:t>
      </w:r>
    </w:p>
    <w:p w:rsidR="00A31137" w:rsidRPr="00A31137" w:rsidRDefault="00A31137" w:rsidP="00A31137">
      <w:r w:rsidRPr="00A31137">
        <w:t>Public Papers of Reagan, 1984, p.90</w:t>
      </w:r>
    </w:p>
    <w:p w:rsidR="00A31137" w:rsidRPr="00A31137" w:rsidRDefault="00A31137" w:rsidP="00A31137">
      <w:r w:rsidRPr="00A31137">
        <w:t>There's a better way. Let us go forward with an historic reform for fairness, simplicity, and incentives for growth. I am asking Secretary Don Regan for a plan for action to simplify the entire tax code, so all taxpayers, big and small, are treated more fairly. And I believe such a plan could result in that underground economy being brought into the sunlight of honest tax compliance. And it could make the tax base broader, so personal tax rates could come down, not go up. I've asked that specific recommendations, consistent with those objectives, be presented to me by December 1984.</w:t>
      </w:r>
    </w:p>
    <w:p w:rsidR="00A31137" w:rsidRPr="00A31137" w:rsidRDefault="00A31137" w:rsidP="00A31137">
      <w:r w:rsidRPr="00A31137">
        <w:t>Public Papers of Reagan, 1984, p.90</w:t>
      </w:r>
    </w:p>
    <w:p w:rsidR="00A31137" w:rsidRPr="00A31137" w:rsidRDefault="00A31137" w:rsidP="00A31137">
      <w:r w:rsidRPr="00A31137">
        <w:t>Our second great goal is to build on America's pioneer spirit—[laughter]—I said something funny? [Laughter] I said America's next frontier—and that's to develop that frontier. A sparkling economy spurs initiatives, sunrise industries, and makes older ones more competitive.</w:t>
      </w:r>
    </w:p>
    <w:p w:rsidR="00A31137" w:rsidRPr="00A31137" w:rsidRDefault="00A31137" w:rsidP="00A31137">
      <w:r w:rsidRPr="00A31137">
        <w:t>Public Papers of Reagan, 1984, p.90</w:t>
      </w:r>
    </w:p>
    <w:p w:rsidR="00A31137" w:rsidRPr="00A31137" w:rsidRDefault="00A31137" w:rsidP="00A31137">
      <w:r w:rsidRPr="00A31137">
        <w:t>Nowhere is this more important than our next frontier: space. Nowhere do we so effectively demonstrate our technological leadership and ability to make life better on Earth. The Space Age is barely a quarter of a century old. But already we've pushed civilization forward with our advances in science and technology. Opportunities and jobs will multiply as we cross new thresholds of knowledge and reach deeper into the unknown.</w:t>
      </w:r>
    </w:p>
    <w:p w:rsidR="00A31137" w:rsidRPr="00A31137" w:rsidRDefault="00A31137" w:rsidP="00A31137">
      <w:r w:rsidRPr="00A31137">
        <w:t>Public Papers of Reagan, 1984, p.90</w:t>
      </w:r>
    </w:p>
    <w:p w:rsidR="00A31137" w:rsidRPr="00A31137" w:rsidRDefault="00A31137" w:rsidP="00A31137">
      <w:r w:rsidRPr="00A31137">
        <w:t>Our progress in space—taking giant steps for all mankind—is a tribute to American teamwork and excellence. Our finest minds in government, industry, and academia have all pulled together. And we can be proud to say: We are first; we are the best; and we are so because we're free.</w:t>
      </w:r>
    </w:p>
    <w:p w:rsidR="00A31137" w:rsidRPr="00A31137" w:rsidRDefault="00A31137" w:rsidP="00A31137">
      <w:r w:rsidRPr="00A31137">
        <w:t>Public Papers of Reagan, 1984, p.90</w:t>
      </w:r>
    </w:p>
    <w:p w:rsidR="00A31137" w:rsidRPr="00A31137" w:rsidRDefault="00A31137" w:rsidP="00A31137">
      <w:r w:rsidRPr="00A31137">
        <w:t>America has always been greatest when we dared to be great. We can reach for greatness again. We can follow our dreams to distant stars, living and working in space for peaceful, economic, and scientific gain. Tonight, I am directing NASA to develop a permanently manned space station and to do it within a decade.</w:t>
      </w:r>
    </w:p>
    <w:p w:rsidR="00A31137" w:rsidRPr="00A31137" w:rsidRDefault="00A31137" w:rsidP="00A31137">
      <w:r w:rsidRPr="00A31137">
        <w:t>Public Papers of Reagan, 1984, p.90</w:t>
      </w:r>
    </w:p>
    <w:p w:rsidR="00A31137" w:rsidRPr="00A31137" w:rsidRDefault="00A31137" w:rsidP="00A31137">
      <w:r w:rsidRPr="00A31137">
        <w:t>A space station will permit quantum leaps in our research in science, communications, in metals, and in lifesaving medicines which could be manufactured only in space. We want our friends to help us meet these challenges and share in their benefits. NASA will invite other countries to participate so we can strengthen peace, build prosperity, and expand freedom for all who share our goals.</w:t>
      </w:r>
    </w:p>
    <w:p w:rsidR="00A31137" w:rsidRPr="00A31137" w:rsidRDefault="00A31137" w:rsidP="00A31137">
      <w:r w:rsidRPr="00A31137">
        <w:t>Public Papers of Reagan, 1984, p.90</w:t>
      </w:r>
    </w:p>
    <w:p w:rsidR="00A31137" w:rsidRPr="00A31137" w:rsidRDefault="00A31137" w:rsidP="00A31137">
      <w:r w:rsidRPr="00A31137">
        <w:t>Just as the oceans opened up a new world for clipper ships and Yankee traders, space holds enormous potential for commerce today. The market for space transportation could surpass our capacity to develop it. Companies interested in putting payloads into space must have ready access to private sector launch services. The Department of Transportation will help an expendable launch services industry to get off the ground. We'll soon implement a number of executive initiatives, develop proposals to ease regulatory constraints, and, with NASA's help, promote private sector investment in space.</w:t>
      </w:r>
    </w:p>
    <w:p w:rsidR="00A31137" w:rsidRPr="00A31137" w:rsidRDefault="00A31137" w:rsidP="00A31137">
      <w:r w:rsidRPr="00A31137">
        <w:t>Public Papers of Reagan, 1984, p.90</w:t>
      </w:r>
    </w:p>
    <w:p w:rsidR="00A31137" w:rsidRPr="00A31137" w:rsidRDefault="00A31137" w:rsidP="00A31137">
      <w:r w:rsidRPr="00A31137">
        <w:t>And as we develop the frontier of space, let us remember our responsibility to preserve our older resources here on Earth. Preservation of our environment is not a liberal or conservative challenge, it's common sense.</w:t>
      </w:r>
    </w:p>
    <w:p w:rsidR="00A31137" w:rsidRPr="00A31137" w:rsidRDefault="00A31137" w:rsidP="00A31137">
      <w:r w:rsidRPr="00A31137">
        <w:t>Public Papers of Reagan, 1984, p.90</w:t>
      </w:r>
    </w:p>
    <w:p w:rsidR="00A31137" w:rsidRPr="00A31137" w:rsidRDefault="00A31137" w:rsidP="00A31137">
      <w:r w:rsidRPr="00A31137">
        <w:t>Though this is a time of budget constraints, I have requested for EPA one of the largest percentage budget increases of any agency. We will begin the long, necessary effort to clean up a productive recreational area and a special national resource—the Chesapeake Bay.</w:t>
      </w:r>
    </w:p>
    <w:p w:rsidR="00A31137" w:rsidRPr="00A31137" w:rsidRDefault="00A31137" w:rsidP="00A31137">
      <w:r w:rsidRPr="00A31137">
        <w:t>Public Papers of Reagan, 1984, p.90</w:t>
      </w:r>
    </w:p>
    <w:p w:rsidR="00A31137" w:rsidRPr="00A31137" w:rsidRDefault="00A31137" w:rsidP="00A31137">
      <w:r w:rsidRPr="00A31137">
        <w:t>To reduce the threat posed by abandoned hazardous waste dumps, EPA will spend $410 million. And I will request a supplemental increase of 50 million. And because the Superfund law expires in 1985, I've asked Bill Ruckelshaus to develop a proposal for its extension so there'll be additional time to complete this important task.</w:t>
      </w:r>
    </w:p>
    <w:p w:rsidR="00A31137" w:rsidRPr="00A31137" w:rsidRDefault="00A31137" w:rsidP="00A31137">
      <w:r w:rsidRPr="00A31137">
        <w:t>Public Papers of Reagan, 1984, p.90</w:t>
      </w:r>
    </w:p>
    <w:p w:rsidR="00A31137" w:rsidRPr="00A31137" w:rsidRDefault="00A31137" w:rsidP="00A31137">
      <w:r w:rsidRPr="00A31137">
        <w:t>On the question of acid rain, which concerns people in many areas of the United States and Canada, I'm proposing a research program that doubles our current funding. And we'll take additional action to restore our lakes and develop new technology to reduce pollution that causes acid rain.</w:t>
      </w:r>
    </w:p>
    <w:p w:rsidR="00A31137" w:rsidRPr="00A31137" w:rsidRDefault="00A31137" w:rsidP="00A31137">
      <w:r w:rsidRPr="00A31137">
        <w:t>Public Papers of Reagan, 1984, p.90–p.91</w:t>
      </w:r>
    </w:p>
    <w:p w:rsidR="00A31137" w:rsidRPr="00A31137" w:rsidRDefault="00A31137" w:rsidP="00A31137">
      <w:r w:rsidRPr="00A31137">
        <w:t>We have greatly improved the conditions [p.91] of our natural resources. We'll ask the Congress for $157 million beginning in 1985 to acquire new park and conservation lands. The Department of the Interior will encourage careful, selective exploration and production on our vital resources in an Exclusive Economic Zone within the 200-mile limit off our coasts—but with strict adherence to environmental laws and with fuller State and public participation.</w:t>
      </w:r>
    </w:p>
    <w:p w:rsidR="00A31137" w:rsidRPr="00A31137" w:rsidRDefault="00A31137" w:rsidP="00A31137">
      <w:r w:rsidRPr="00A31137">
        <w:t>Public Papers of Reagan, 1984, p.91</w:t>
      </w:r>
    </w:p>
    <w:p w:rsidR="00A31137" w:rsidRPr="00A31137" w:rsidRDefault="00A31137" w:rsidP="00A31137">
      <w:r w:rsidRPr="00A31137">
        <w:t>But our most precious resources, our greatest hope for the future, are the minds and hearts of our people, especially our children. We can help them build tomorrow by strengthening our community of shared values. This must be our third great goal. For us, faith, work, family, neighborhood, freedom, and peace are not just words; they're expressions of what America means, definitions of what makes us a good and loving people.</w:t>
      </w:r>
    </w:p>
    <w:p w:rsidR="00A31137" w:rsidRPr="00A31137" w:rsidRDefault="00A31137" w:rsidP="00A31137">
      <w:r w:rsidRPr="00A31137">
        <w:t>Public Papers of Reagan, 1984, p.91</w:t>
      </w:r>
    </w:p>
    <w:p w:rsidR="00A31137" w:rsidRPr="00A31137" w:rsidRDefault="00A31137" w:rsidP="00A31137">
      <w:r w:rsidRPr="00A31137">
        <w:t>Families stand at the center of our society. And every family has a personal stake in promoting excellence in education. Excellence does not begin in Washington. A 600-percent increase in Federal spending on education between 1960 and 1980 was accompanied by a steady decline in Scholastic Aptitude Test scores. Excellence must begin in our homes and neighborhood schools, where it's the responsibility of every parent and teacher and the right of every child.</w:t>
      </w:r>
    </w:p>
    <w:p w:rsidR="00A31137" w:rsidRPr="00A31137" w:rsidRDefault="00A31137" w:rsidP="00A31137">
      <w:r w:rsidRPr="00A31137">
        <w:t>Public Papers of Reagan, 1984, p.91</w:t>
      </w:r>
    </w:p>
    <w:p w:rsidR="00A31137" w:rsidRPr="00A31137" w:rsidRDefault="00A31137" w:rsidP="00A31137">
      <w:r w:rsidRPr="00A31137">
        <w:t>Our children come first, and that's why I established a bipartisan National Commission on Excellence in Education, to help us chart a commonsense course for better education. And already, communities are implementing the Commission's recommendations. Schools are reporting progress in math and reading skills. But we must do more to restore discipline to schools; and we must encourage the teaching of new basics, reward teachers of merit, enforce tougher standards, and put our parents back in charge.</w:t>
      </w:r>
    </w:p>
    <w:p w:rsidR="00A31137" w:rsidRPr="00A31137" w:rsidRDefault="00A31137" w:rsidP="00A31137">
      <w:r w:rsidRPr="00A31137">
        <w:t>Public Papers of Reagan, 1984, p.91</w:t>
      </w:r>
    </w:p>
    <w:p w:rsidR="00A31137" w:rsidRPr="00A31137" w:rsidRDefault="00A31137" w:rsidP="00A31137">
      <w:r w:rsidRPr="00A31137">
        <w:t>I will continue to press for tuition tax credits to expand opportunities for families and to soften the double payment for those paying public school taxes and private school tuition. Our proposal would target assistance to low- and middle-income families. Just as more incentives are needed within our schools, greater competition is needed among our schools. Without standards and competition, there can be no champions, no records broken, no excellence in education or any other walk of life.</w:t>
      </w:r>
    </w:p>
    <w:p w:rsidR="00A31137" w:rsidRPr="00A31137" w:rsidRDefault="00A31137" w:rsidP="00A31137">
      <w:r w:rsidRPr="00A31137">
        <w:t>Public Papers of Reagan, 1984, p.91</w:t>
      </w:r>
    </w:p>
    <w:p w:rsidR="00A31137" w:rsidRPr="00A31137" w:rsidRDefault="00A31137" w:rsidP="00A31137">
      <w:r w:rsidRPr="00A31137">
        <w:t>And while I'm on this subject, each day your Members observe a 200-year-old tradition meant to signify America is one nation under God. I must ask: If you can begin your day with a member of the clergy standing right here leading you in prayer, then why can't freedom to acknowledge God be enjoyed again by children in every schoolroom across this land?</w:t>
      </w:r>
    </w:p>
    <w:p w:rsidR="00A31137" w:rsidRPr="00A31137" w:rsidRDefault="00A31137" w:rsidP="00A31137">
      <w:r w:rsidRPr="00A31137">
        <w:t>Public Papers of Reagan, 1984, p.91</w:t>
      </w:r>
    </w:p>
    <w:p w:rsidR="00A31137" w:rsidRPr="00A31137" w:rsidRDefault="00A31137" w:rsidP="00A31137">
      <w:r w:rsidRPr="00A31137">
        <w:t>America was founded by people who believed that God was their rock of safety. He is ours. I recognize we must be cautious in claiming that God is on our side, but I think it's all right to keep asking if we're on His side.</w:t>
      </w:r>
    </w:p>
    <w:p w:rsidR="00A31137" w:rsidRPr="00A31137" w:rsidRDefault="00A31137" w:rsidP="00A31137">
      <w:r w:rsidRPr="00A31137">
        <w:t>Public Papers of Reagan, 1984, p.91</w:t>
      </w:r>
    </w:p>
    <w:p w:rsidR="00A31137" w:rsidRPr="00A31137" w:rsidRDefault="00A31137" w:rsidP="00A31137">
      <w:r w:rsidRPr="00A31137">
        <w:t>During our first 3 years, we have joined bipartisan efforts to restore protection of the law to unborn children. Now, I know this issue is very controversial. But unless and until it can be proven that an unborn child is not a living human being, can we justify assuming without proof that it isn't? No one has yet offered such proof; indeed, all the evidence is to the contrary. We should rise above bitterness and reproach, and if Americans could come together in a spirit of understanding and helping, then we could find positive solutions to the tragedy of abortion.</w:t>
      </w:r>
    </w:p>
    <w:p w:rsidR="00A31137" w:rsidRPr="00A31137" w:rsidRDefault="00A31137" w:rsidP="00A31137">
      <w:r w:rsidRPr="00A31137">
        <w:t>Public Papers of Reagan, 1984, p.91</w:t>
      </w:r>
    </w:p>
    <w:p w:rsidR="00A31137" w:rsidRPr="00A31137" w:rsidRDefault="00A31137" w:rsidP="00A31137">
      <w:r w:rsidRPr="00A31137">
        <w:t>Economic recovery, better education, rededication to values, all show the spirit of renewal gaining the upper hand. And all will improve family life in the eighties. But families need more. They need assurance that they and their loved ones can walk the streets of America without being afraid. Parents need to know their children will not be victims of child pornography and abduction. This year we will intensify our drive against these and other horrible crimes like sexual abuse and family violence.</w:t>
      </w:r>
    </w:p>
    <w:p w:rsidR="00A31137" w:rsidRPr="00A31137" w:rsidRDefault="00A31137" w:rsidP="00A31137">
      <w:r w:rsidRPr="00A31137">
        <w:t>Public Papers of Reagan, 1984, p.91</w:t>
      </w:r>
    </w:p>
    <w:p w:rsidR="00A31137" w:rsidRPr="00A31137" w:rsidRDefault="00A31137" w:rsidP="00A31137">
      <w:r w:rsidRPr="00A31137">
        <w:t>Already our efforts to crack down on career criminals, organized crime, drugpushers, and to enforce tougher sentences and paroles are having effect. In 1982 the crime rate dropped by 4.3 percent, the biggest decline since 1972. Protecting victims is just as important as safeguarding the rights of defendants.</w:t>
      </w:r>
    </w:p>
    <w:p w:rsidR="00A31137" w:rsidRPr="00A31137" w:rsidRDefault="00A31137" w:rsidP="00A31137">
      <w:r w:rsidRPr="00A31137">
        <w:t>Public Papers of Reagan, 1984, p.92</w:t>
      </w:r>
    </w:p>
    <w:p w:rsidR="00A31137" w:rsidRPr="00A31137" w:rsidRDefault="00A31137" w:rsidP="00A31137">
      <w:r w:rsidRPr="00A31137">
        <w:t>Opportunities for all Americans will increase if we move forward in fair housing and work to ensure women's rights, provide for equitable treatment in pension benefits and Individual Retirement Accounts, facilitate child care, and enforce delinquent parent support payments.</w:t>
      </w:r>
    </w:p>
    <w:p w:rsidR="00A31137" w:rsidRPr="00A31137" w:rsidRDefault="00A31137" w:rsidP="00A31137">
      <w:r w:rsidRPr="00A31137">
        <w:t>Public Papers of Reagan, 1984, p.92</w:t>
      </w:r>
    </w:p>
    <w:p w:rsidR="00A31137" w:rsidRPr="00A31137" w:rsidRDefault="00A31137" w:rsidP="00A31137">
      <w:r w:rsidRPr="00A31137">
        <w:t>It's not just the home but the workplace and community that sustain our values and shape our future. So, I ask your help in assisting more communities to break the bondage of dependency. Help us to free enterprise by permitting debate and voting "yes" on our proposal for enterprise zones in America. This has been before you for 2 years. Its passage can help high-unemployment areas by creating jobs and restoring neighborhoods.</w:t>
      </w:r>
    </w:p>
    <w:p w:rsidR="00A31137" w:rsidRPr="00A31137" w:rsidRDefault="00A31137" w:rsidP="00A31137">
      <w:r w:rsidRPr="00A31137">
        <w:t>Public Papers of Reagan, 1984, p.92</w:t>
      </w:r>
    </w:p>
    <w:p w:rsidR="00A31137" w:rsidRPr="00A31137" w:rsidRDefault="00A31137" w:rsidP="00A31137">
      <w:r w:rsidRPr="00A31137">
        <w:t>A society bursting with opportunities, reaching for its future with confidence, sustained by faith, fair play, and a conviction that good and courageous people will flourish when they're free—these are the secrets of a strong and prosperous America at peace with itself and the world.</w:t>
      </w:r>
    </w:p>
    <w:p w:rsidR="00A31137" w:rsidRPr="00A31137" w:rsidRDefault="00A31137" w:rsidP="00A31137">
      <w:r w:rsidRPr="00A31137">
        <w:t>Public Papers of Reagan, 1984, p.92</w:t>
      </w:r>
    </w:p>
    <w:p w:rsidR="00A31137" w:rsidRPr="00A31137" w:rsidRDefault="00A31137" w:rsidP="00A31137">
      <w:r w:rsidRPr="00A31137">
        <w:t>A lasting and meaningful peace is our fourth great goal. It is our highest aspiration. And our record is clear: Americans resort to force only when we must. We have never been aggressors. We have always struggled to defend freedom and democracy.</w:t>
      </w:r>
    </w:p>
    <w:p w:rsidR="00A31137" w:rsidRPr="00A31137" w:rsidRDefault="00A31137" w:rsidP="00A31137">
      <w:r w:rsidRPr="00A31137">
        <w:t>Public Papers of Reagan, 1984, p.92</w:t>
      </w:r>
    </w:p>
    <w:p w:rsidR="00A31137" w:rsidRPr="00A31137" w:rsidRDefault="00A31137" w:rsidP="00A31137">
      <w:r w:rsidRPr="00A31137">
        <w:t>We have no territorial ambitions. We occupy no countries. We build no walls to lock people in. Americans build the future. And our vision of a better life for farmers, merchants, and working people, from the Americas to Asia, begins with a simple premise: The future is best decided by ballots, not bullets.</w:t>
      </w:r>
    </w:p>
    <w:p w:rsidR="00A31137" w:rsidRPr="00A31137" w:rsidRDefault="00A31137" w:rsidP="00A31137">
      <w:r w:rsidRPr="00A31137">
        <w:t>Public Papers of Reagan, 1984, p.92</w:t>
      </w:r>
    </w:p>
    <w:p w:rsidR="00A31137" w:rsidRPr="00A31137" w:rsidRDefault="00A31137" w:rsidP="00A31137">
      <w:r w:rsidRPr="00A31137">
        <w:t>Governments which rest upon the consent of the governed do not wage war on their neighbors. Only when people are given a personal stake in deciding their own destiny, benefiting from their own risks, do they create societies that are prosperous, progressive, and free. Tonight, it is democracies that offer hope by feeding the hungry, prolonging life, and eliminating drudgery.</w:t>
      </w:r>
    </w:p>
    <w:p w:rsidR="00A31137" w:rsidRPr="00A31137" w:rsidRDefault="00A31137" w:rsidP="00A31137">
      <w:r w:rsidRPr="00A31137">
        <w:t>Public Papers of Reagan, 1984, p.92</w:t>
      </w:r>
    </w:p>
    <w:p w:rsidR="00A31137" w:rsidRPr="00A31137" w:rsidRDefault="00A31137" w:rsidP="00A31137">
      <w:r w:rsidRPr="00A31137">
        <w:t>When it comes to keeping America strong, free, and at peace, there should be no Republicans or Democrats, just patriotic Americans. We can decide the tough issues not by who is right, but by what is right.</w:t>
      </w:r>
    </w:p>
    <w:p w:rsidR="00A31137" w:rsidRPr="00A31137" w:rsidRDefault="00A31137" w:rsidP="00A31137">
      <w:r w:rsidRPr="00A31137">
        <w:t>Public Papers of Reagan, 1984, p.92</w:t>
      </w:r>
    </w:p>
    <w:p w:rsidR="00A31137" w:rsidRPr="00A31137" w:rsidRDefault="00A31137" w:rsidP="00A31137">
      <w:r w:rsidRPr="00A31137">
        <w:t>Together, we can continue to advance our agenda for peace. We can establish a more stable basis for peaceful relations with the Soviet Union; strengthen allied relations across the board; achieve real and equitable reductions in the levels of nuclear arms; reinforce our peacemaking efforts in the Middle East, Central America, and southern Africa; or assist developing countries, particularly our neighbors in the Western Hemisphere; and assist in the development of democratic institutions throughout the world.</w:t>
      </w:r>
    </w:p>
    <w:p w:rsidR="00A31137" w:rsidRPr="00A31137" w:rsidRDefault="00A31137" w:rsidP="00A31137">
      <w:r w:rsidRPr="00A31137">
        <w:t>Public Papers of Reagan, 1984, p.92</w:t>
      </w:r>
    </w:p>
    <w:p w:rsidR="00A31137" w:rsidRPr="00A31137" w:rsidRDefault="00A31137" w:rsidP="00A31137">
      <w:r w:rsidRPr="00A31137">
        <w:t>The wisdom of our bipartisan cooperation was seen in the work of the Scowcroft commission, which strengthened our ability to deter war and protect peace. In that same spirit, I urge you to move forward with the Henry Jackson plan to implement the recommendations of the Bipartisan Commission on Central America.</w:t>
      </w:r>
    </w:p>
    <w:p w:rsidR="00A31137" w:rsidRPr="00A31137" w:rsidRDefault="00A31137" w:rsidP="00A31137">
      <w:r w:rsidRPr="00A31137">
        <w:t>Public Papers of Reagan, 1984, p.92</w:t>
      </w:r>
    </w:p>
    <w:p w:rsidR="00A31137" w:rsidRPr="00A31137" w:rsidRDefault="00A31137" w:rsidP="00A31137">
      <w:r w:rsidRPr="00A31137">
        <w:t>Your joint resolution on the multinational peacekeeping force in Lebanon is also serving the cause of peace. We are making progress in Lebanon. For nearly 10 years, the Lebanese have lived from tragedy to tragedy with no hope for their future. Now the multinational peacekeeping force and our marines are helping them break their cycle of despair. There is hope for a free, independent, and sovereign Lebanon. We must have the courage to give peace a chance. And we must not be driven from our objectives for peace in Lebanon by state-sponsored terrorism. We have seen this ugly specter in Beirut, Kuwait, and Rangoon. It demands international attention. I will forward shortly legislative proposals to help combat terrorism. And I will be seeking support from our allies for concerted action.</w:t>
      </w:r>
    </w:p>
    <w:p w:rsidR="00A31137" w:rsidRPr="00A31137" w:rsidRDefault="00A31137" w:rsidP="00A31137">
      <w:r w:rsidRPr="00A31137">
        <w:t>Public Papers of Reagan, 1984, p.92</w:t>
      </w:r>
    </w:p>
    <w:p w:rsidR="00A31137" w:rsidRPr="00A31137" w:rsidRDefault="00A31137" w:rsidP="00A31137">
      <w:r w:rsidRPr="00A31137">
        <w:t>Our NATO alliance is strong. 1983 was a banner year for political courage. And we have strengthened our partnerships and our friendships in the Far East. We're committed to dialog, deterrence, and promoting prosperity. We'll work with our trading partners for a new round of negotiations in support of freer world trade, greater competition, and more open markets.</w:t>
      </w:r>
    </w:p>
    <w:p w:rsidR="00A31137" w:rsidRPr="00A31137" w:rsidRDefault="00A31137" w:rsidP="00A31137">
      <w:r w:rsidRPr="00A31137">
        <w:t>Public Papers of Reagan, 1984, p.92–p.93</w:t>
      </w:r>
    </w:p>
    <w:p w:rsidR="00A31137" w:rsidRPr="00A31137" w:rsidRDefault="00A31137" w:rsidP="00A31137">
      <w:r w:rsidRPr="00A31137">
        <w:t>A rebirth of bipartisan cooperation, of economic growth, and military deterrence, [p.93] and a growing spirit of unity among our people at home and our allies abroad underline a fundamental and far-reaching change: The United States is safer, stronger, and more secure in 1984 than before. We can now move with confidence to seize the opportunities for peace, and we will.</w:t>
      </w:r>
    </w:p>
    <w:p w:rsidR="00A31137" w:rsidRPr="00A31137" w:rsidRDefault="00A31137" w:rsidP="00A31137">
      <w:r w:rsidRPr="00A31137">
        <w:t>Public Papers of Reagan, 1984, p.93</w:t>
      </w:r>
    </w:p>
    <w:p w:rsidR="00A31137" w:rsidRPr="00A31137" w:rsidRDefault="00A31137" w:rsidP="00A31137">
      <w:r w:rsidRPr="00A31137">
        <w:t>Tonight, I want to speak to the people of the Soviet Union, to tell them it's true that our governments have had serious differences, but our sons and daughters have never fought each other in war. And if we Americans have our way, they never will.</w:t>
      </w:r>
    </w:p>
    <w:p w:rsidR="00A31137" w:rsidRPr="00A31137" w:rsidRDefault="00A31137" w:rsidP="00A31137">
      <w:r w:rsidRPr="00A31137">
        <w:t>Public Papers of Reagan, 1984, p.93</w:t>
      </w:r>
    </w:p>
    <w:p w:rsidR="00A31137" w:rsidRPr="00A31137" w:rsidRDefault="00A31137" w:rsidP="00A31137">
      <w:r w:rsidRPr="00A31137">
        <w:t>People of the Soviet Union, there is only one sane policy, for your country and mine, to preserve our civilization in this modern age: A nuclear war cannot be won and must never be fought. The only value in our two nations possessing nuclear weapons is to make sure they will never be used. But then would it not be better to do away with them entirely?</w:t>
      </w:r>
    </w:p>
    <w:p w:rsidR="00A31137" w:rsidRPr="00A31137" w:rsidRDefault="00A31137" w:rsidP="00A31137">
      <w:r w:rsidRPr="00A31137">
        <w:t>Public Papers of Reagan, 1984, p.93</w:t>
      </w:r>
    </w:p>
    <w:p w:rsidR="00A31137" w:rsidRPr="00A31137" w:rsidRDefault="00A31137" w:rsidP="00A31137">
      <w:r w:rsidRPr="00A31137">
        <w:t>People of the Soviet, President Dwight Eisenhower, who fought by your side in World War II, said the essential struggle "is not merely man against man or nation against nation. It is man against war." Americans are people of peace. If your government wants peace, there will be peace. We can come together in faith and friendship to build a safer and far better world for our children and our children's children. And the whole world will rejoice. That is my message to you.</w:t>
      </w:r>
    </w:p>
    <w:p w:rsidR="00A31137" w:rsidRPr="00A31137" w:rsidRDefault="00A31137" w:rsidP="00A31137">
      <w:r w:rsidRPr="00A31137">
        <w:t>Public Papers of Reagan, 1984, p.93</w:t>
      </w:r>
    </w:p>
    <w:p w:rsidR="00A31137" w:rsidRPr="00A31137" w:rsidRDefault="00A31137" w:rsidP="00A31137">
      <w:r w:rsidRPr="00A31137">
        <w:t>Some days when life seems hard and we reach out for values to sustain us or a friend to help us, we find a person who reminds us what it means to be Americans.</w:t>
      </w:r>
    </w:p>
    <w:p w:rsidR="00A31137" w:rsidRPr="00A31137" w:rsidRDefault="00A31137" w:rsidP="00A31137">
      <w:r w:rsidRPr="00A31137">
        <w:t>Public Papers of Reagan, 1984, p.93</w:t>
      </w:r>
    </w:p>
    <w:p w:rsidR="00A31137" w:rsidRPr="00A31137" w:rsidRDefault="00A31137" w:rsidP="00A31137">
      <w:r w:rsidRPr="00A31137">
        <w:t>Sergeant Stephen Trujillo, a medic in the 2d Ranger Battalion, 75th Infantry, was in the first helicopter to land at the compound held by Cuban forces in Grenada. He saw three other helicopters crash. Despite the imminent explosion of the burning aircraft, he never hesitated. He ran across 25 yards of open terrain through enemy fire to rescue wounded soldiers. He directed two other medics, administered first aid, and returned again and again to the crash site to carry his wounded friends to safety.</w:t>
      </w:r>
    </w:p>
    <w:p w:rsidR="00A31137" w:rsidRPr="00A31137" w:rsidRDefault="00A31137" w:rsidP="00A31137">
      <w:r w:rsidRPr="00A31137">
        <w:t>Public Papers of Reagan, 1984, p.93</w:t>
      </w:r>
    </w:p>
    <w:p w:rsidR="00A31137" w:rsidRPr="00A31137" w:rsidRDefault="00A31137" w:rsidP="00A31137">
      <w:r w:rsidRPr="00A31137">
        <w:t>Sergeant Trujillo, you and your fellow service men and women not only saved innocent lives; you set a nation free. You inspire us as a force for freedom, not for despotism; and, yes, for peace, not conquest. God bless you.</w:t>
      </w:r>
    </w:p>
    <w:p w:rsidR="00A31137" w:rsidRPr="00A31137" w:rsidRDefault="00A31137" w:rsidP="00A31137">
      <w:r w:rsidRPr="00A31137">
        <w:t>Public Papers of Reagan, 1984, p.93</w:t>
      </w:r>
    </w:p>
    <w:p w:rsidR="00A31137" w:rsidRPr="00A31137" w:rsidRDefault="00A31137" w:rsidP="00A31137">
      <w:r w:rsidRPr="00A31137">
        <w:t>And then there are unsung heroes: single parents, couples, church and civic volunteers. Their hearts carry without complaint the pains of family and community problems. They soothe our sorrow, heal our wounds, calm our fears, and share our joy.</w:t>
      </w:r>
    </w:p>
    <w:p w:rsidR="00A31137" w:rsidRPr="00A31137" w:rsidRDefault="00A31137" w:rsidP="00A31137">
      <w:r w:rsidRPr="00A31137">
        <w:t>Public Papers of Reagan, 1984, p.93</w:t>
      </w:r>
    </w:p>
    <w:p w:rsidR="00A31137" w:rsidRPr="00A31137" w:rsidRDefault="00A31137" w:rsidP="00A31137">
      <w:r w:rsidRPr="00A31137">
        <w:t>A person like Father Ritter is always there. His Covenant House programs in New York and Houston provide shelter and help to thousands of frightened and abused children each year. The same is true of Dr. Charles Carson. Paralyzed in a plane crash, he still believed nothing is impossible. Today in Minnesota, he works 80 hours a week without pay, helping pioneer the field of computer-controlled walking. He has given hope to 500,000 paralyzed Americans that some day they may walk again.</w:t>
      </w:r>
    </w:p>
    <w:p w:rsidR="00A31137" w:rsidRPr="00A31137" w:rsidRDefault="00A31137" w:rsidP="00A31137">
      <w:r w:rsidRPr="00A31137">
        <w:t>Public Papers of Reagan, 1984, p.93</w:t>
      </w:r>
    </w:p>
    <w:p w:rsidR="00A31137" w:rsidRPr="00A31137" w:rsidRDefault="00A31137" w:rsidP="00A31137">
      <w:r w:rsidRPr="00A31137">
        <w:t>How can we not believe in the greatness of America? How can we not do what is right and needed to preserve this last best hope of man on Earth? After all our struggles to restore America, to revive confidence in our country, hope for our future, after all our hard-won victories earned through the patience and courage of every citizen, we cannot, must not, and will not turn back. We will finish our job. How could we do less? We're Americans.</w:t>
      </w:r>
    </w:p>
    <w:p w:rsidR="00A31137" w:rsidRPr="00A31137" w:rsidRDefault="00A31137" w:rsidP="00A31137">
      <w:r w:rsidRPr="00A31137">
        <w:t>Public Papers of Reagan, 1984, p.93</w:t>
      </w:r>
    </w:p>
    <w:p w:rsidR="00A31137" w:rsidRPr="00A31137" w:rsidRDefault="00A31137" w:rsidP="00A31137">
      <w:r w:rsidRPr="00A31137">
        <w:t>Carl Sandburg said, "I see America not in the setting sun of a black night of despair · . . I see America in the crimson light of a rising sun fresh from the burning, creative hand of God…I see great days ahead for men and women of will and vision."</w:t>
      </w:r>
    </w:p>
    <w:p w:rsidR="00A31137" w:rsidRPr="00A31137" w:rsidRDefault="00A31137" w:rsidP="00A31137">
      <w:r w:rsidRPr="00A31137">
        <w:t>Public Papers of Reagan, 1984, p.93</w:t>
      </w:r>
    </w:p>
    <w:p w:rsidR="00A31137" w:rsidRPr="00A31137" w:rsidRDefault="00A31137" w:rsidP="00A31137">
      <w:r w:rsidRPr="00A31137">
        <w:t>I've never felt more strongly that America's best days and democracy's best days lie ahead. We're a powerful force for good. With faith and courage, we can perform great deeds and take freedom's next step. And we will. We will carry on the tradition of a good and worthy people who have brought light where there was darkness, warmth where there was cold, medicine where there was disease, food where there was hunger, and peace where there was only bloodshed.</w:t>
      </w:r>
    </w:p>
    <w:p w:rsidR="00A31137" w:rsidRPr="00A31137" w:rsidRDefault="00A31137" w:rsidP="00A31137">
      <w:r w:rsidRPr="00A31137">
        <w:t>Public Papers of Reagan, 1984, p.93–p.94</w:t>
      </w:r>
    </w:p>
    <w:p w:rsidR="00A31137" w:rsidRPr="00A31137" w:rsidRDefault="00A31137" w:rsidP="00A31137">
      <w:r w:rsidRPr="00A31137">
        <w:t>Let us be sure that those who come after will say of us in our time, that in our time we did everything that could be done. We finished the race; we kept them free; we [p.94] kept the faith.</w:t>
      </w:r>
    </w:p>
    <w:p w:rsidR="00A31137" w:rsidRPr="00A31137" w:rsidRDefault="00A31137" w:rsidP="00A31137">
      <w:r w:rsidRPr="00A31137">
        <w:t>Public Papers of Reagan, 1984, p.94</w:t>
      </w:r>
    </w:p>
    <w:p w:rsidR="00A31137" w:rsidRPr="00A31137" w:rsidRDefault="00A31137" w:rsidP="00A31137">
      <w:r w:rsidRPr="00A31137">
        <w:t>Thank you very much. God bless you, and God bless America.</w:t>
      </w:r>
    </w:p>
    <w:p w:rsidR="00A31137" w:rsidRPr="00A31137" w:rsidRDefault="00A31137" w:rsidP="00A31137">
      <w:r w:rsidRPr="00A31137">
        <w:t>Public Papers of Reagan, 1984, p.94</w:t>
      </w:r>
    </w:p>
    <w:p w:rsidR="00A31137" w:rsidRPr="00A31137" w:rsidRDefault="00A31137" w:rsidP="00A31137">
      <w:r w:rsidRPr="00A31137">
        <w:t>NOTE: The President spoke at 9:02 p.m. in the House Chamber of the Capitol He was introduced by Thomas P. O'Neill, Jr., Speaker of the House of Representatives. The address was broadcast live on nationwide radio and television.</w:t>
      </w:r>
    </w:p>
    <w:p w:rsidR="00A31137" w:rsidRPr="00A31137" w:rsidRDefault="00A31137" w:rsidP="00A31137">
      <w:r w:rsidRPr="00A31137">
        <w:t>President Reagan's Radio Address to the Nation on the Trip to China, 1984</w:t>
      </w:r>
    </w:p>
    <w:p w:rsidR="00A31137" w:rsidRPr="00A31137" w:rsidRDefault="00A31137" w:rsidP="00A31137">
      <w:r w:rsidRPr="00A31137">
        <w:t>Title:</w:t>
      </w:r>
      <w:r w:rsidRPr="00A31137">
        <w:tab/>
        <w:t>President Reagan's Radio Address to the Nation on the Trip to China</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April 28, 1984</w:t>
      </w:r>
    </w:p>
    <w:p w:rsidR="00A31137" w:rsidRPr="00A31137" w:rsidRDefault="00A31137" w:rsidP="00A31137">
      <w:r w:rsidRPr="00A31137">
        <w:t>Source:</w:t>
      </w:r>
      <w:r w:rsidRPr="00A31137">
        <w:tab/>
        <w:t>Public Papers of the Presidents, Reagan, 1984, pp.593-594</w:t>
      </w:r>
    </w:p>
    <w:p w:rsidR="00A31137" w:rsidRPr="00A31137" w:rsidRDefault="00A31137" w:rsidP="00A31137">
      <w:r w:rsidRPr="00A31137">
        <w:t>Public Papers of Reagan, 1984, p.593</w:t>
      </w:r>
    </w:p>
    <w:p w:rsidR="00A31137" w:rsidRPr="00A31137" w:rsidRDefault="00A31137" w:rsidP="00A31137">
      <w:r w:rsidRPr="00A31137">
        <w:t>My fellow Americans:</w:t>
      </w:r>
    </w:p>
    <w:p w:rsidR="00A31137" w:rsidRPr="00A31137" w:rsidRDefault="00A31137" w:rsidP="00A31137">
      <w:r w:rsidRPr="00A31137">
        <w:t>Public Papers of Reagan, 1984, p.593</w:t>
      </w:r>
    </w:p>
    <w:p w:rsidR="00A31137" w:rsidRPr="00A31137" w:rsidRDefault="00A31137" w:rsidP="00A31137">
      <w:r w:rsidRPr="00A31137">
        <w:t>I'm sure you've heard that Nancy and I are traveling a long way from home this week. We've already flown more than 9,000 miles, stopping off in the beautiful islands of Hawaii to visit the citizens of our 50th State; and then across the International Dateline to Guam, where the rays of each sunrise first touch the Stars and Stripes; and then on to our primary destination, China, one of the world's oldest civilizations and a country of great importance in today's Pacific community of nations.</w:t>
      </w:r>
    </w:p>
    <w:p w:rsidR="00A31137" w:rsidRPr="00A31137" w:rsidRDefault="00A31137" w:rsidP="00A31137">
      <w:r w:rsidRPr="00A31137">
        <w:t>Public Papers of Reagan, 1984, p.593</w:t>
      </w:r>
    </w:p>
    <w:p w:rsidR="00A31137" w:rsidRPr="00A31137" w:rsidRDefault="00A31137" w:rsidP="00A31137">
      <w:r w:rsidRPr="00A31137">
        <w:t>This is our second trip to Asia in the last 6 months. It demonstrates our awareness of America's responsibility as a Pacific leader in the search for regional security and economic well-being. The stability and prosperity of this region are of crucial importance to the United States. The nations comprising the Pacific Basin represent our fastest growing trading markets. Many say that the 21st century will be the century of the Pacific.</w:t>
      </w:r>
    </w:p>
    <w:p w:rsidR="00A31137" w:rsidRPr="00A31137" w:rsidRDefault="00A31137" w:rsidP="00A31137">
      <w:r w:rsidRPr="00A31137">
        <w:t>Public Papers of Reagan, 1984, p.593–p.594</w:t>
      </w:r>
    </w:p>
    <w:p w:rsidR="00A31137" w:rsidRPr="00A31137" w:rsidRDefault="00A31137" w:rsidP="00A31137">
      <w:r w:rsidRPr="00A31137">
        <w:t>Our relations with China have continued to develop through the last four administrations, ever since President Nixon made his historic journey here in 1972. In 1978 the Chinese leadership decided to chart a new course for their country, permitting more [p.594] economic freedom for the people in an effort to modernize their economy. Not surprisingly, the results have been positive.</w:t>
      </w:r>
    </w:p>
    <w:p w:rsidR="00A31137" w:rsidRPr="00A31137" w:rsidRDefault="00A31137" w:rsidP="00A31137">
      <w:r w:rsidRPr="00A31137">
        <w:t>Public Papers of Reagan, 1984, p.594</w:t>
      </w:r>
    </w:p>
    <w:p w:rsidR="00A31137" w:rsidRPr="00A31137" w:rsidRDefault="00A31137" w:rsidP="00A31137">
      <w:r w:rsidRPr="00A31137">
        <w:t>Today China's efforts to modernize, foster the spirit of enterprise, open its doors to the West, and expand areas of mutual cooperation while opposing Soviet aggression make it a nation of increasing importance to America and to prospects for peace and prosperity in the Pacific.</w:t>
      </w:r>
    </w:p>
    <w:p w:rsidR="00A31137" w:rsidRPr="00A31137" w:rsidRDefault="00A31137" w:rsidP="00A31137">
      <w:r w:rsidRPr="00A31137">
        <w:t>Public Papers of Reagan, 1984, p.594</w:t>
      </w:r>
    </w:p>
    <w:p w:rsidR="00A31137" w:rsidRPr="00A31137" w:rsidRDefault="00A31137" w:rsidP="00A31137">
      <w:r w:rsidRPr="00A31137">
        <w:t>When Nancy and I arrived in Beijing, we were touched by the friendly hospitality of the Chinese people, and we've been delighted to see the sweeping vistas, the bustling activity, and the many hallmarks of history in this great, old city.</w:t>
      </w:r>
    </w:p>
    <w:p w:rsidR="00A31137" w:rsidRPr="00A31137" w:rsidRDefault="00A31137" w:rsidP="00A31137">
      <w:r w:rsidRPr="00A31137">
        <w:t>Public Papers of Reagan, 1984, p.594</w:t>
      </w:r>
    </w:p>
    <w:p w:rsidR="00A31137" w:rsidRPr="00A31137" w:rsidRDefault="00A31137" w:rsidP="00A31137">
      <w:r w:rsidRPr="00A31137">
        <w:t>In Beijing, narrow residential streets, traditional one-story houses, and treasures like the Forbidden City, a former Imperial Palace, first erected in 1420, are interspersed with modern high-rises and wide avenues. The streets are normally filled with people riding bicycles. All of you who like bikeriding would love Beijing.</w:t>
      </w:r>
    </w:p>
    <w:p w:rsidR="00A31137" w:rsidRPr="00A31137" w:rsidRDefault="00A31137" w:rsidP="00A31137">
      <w:r w:rsidRPr="00A31137">
        <w:t>Public Papers of Reagan, 1984, p.594</w:t>
      </w:r>
    </w:p>
    <w:p w:rsidR="00A31137" w:rsidRPr="00A31137" w:rsidRDefault="00A31137" w:rsidP="00A31137">
      <w:r w:rsidRPr="00A31137">
        <w:t>From the first moment, our schedule has been fully packed. I've already had extensive meetings with the Chinese leaders-President Li, Prime Minister Zhao, General Secretary Hu, and Chairman Deng. I had the honor of addressing a large group of Chinese and American leaders in science and industry in the Great Hall of the People, and I've spoken to the people of China over Chinese television.</w:t>
      </w:r>
    </w:p>
    <w:p w:rsidR="00A31137" w:rsidRPr="00A31137" w:rsidRDefault="00A31137" w:rsidP="00A31137">
      <w:r w:rsidRPr="00A31137">
        <w:t>Public Papers of Reagan, 1984, p.594</w:t>
      </w:r>
    </w:p>
    <w:p w:rsidR="00A31137" w:rsidRPr="00A31137" w:rsidRDefault="00A31137" w:rsidP="00A31137">
      <w:r w:rsidRPr="00A31137">
        <w:t>We've also squeezed in some side trips-first, to the magnificent Great Wall, built by the Chinese more than 2,000 years ago to protect their country from outside invaders; and tomorrow, to the ancient city of Xi'an, an archeological treasure considered the cradle of Chinese civilization and located in a fertile plain near the Yellow River.</w:t>
      </w:r>
    </w:p>
    <w:p w:rsidR="00A31137" w:rsidRPr="00A31137" w:rsidRDefault="00A31137" w:rsidP="00A31137">
      <w:r w:rsidRPr="00A31137">
        <w:t>Public Papers of Reagan, 1984, p.594</w:t>
      </w:r>
    </w:p>
    <w:p w:rsidR="00A31137" w:rsidRPr="00A31137" w:rsidRDefault="00A31137" w:rsidP="00A31137">
      <w:r w:rsidRPr="00A31137">
        <w:t>In all of our meetings and appearances, I've stressed one overriding point—different as to our two forms of government-different as they may be, the common interests that bind our two peoples are even greater. Namely, our determination to build a better life and to resist aggressors who violate the rights of law-abiding nations and endanger world peace.</w:t>
      </w:r>
    </w:p>
    <w:p w:rsidR="00A31137" w:rsidRPr="00A31137" w:rsidRDefault="00A31137" w:rsidP="00A31137">
      <w:r w:rsidRPr="00A31137">
        <w:t>Public Papers of Reagan, 1984, p.594</w:t>
      </w:r>
    </w:p>
    <w:p w:rsidR="00A31137" w:rsidRPr="00A31137" w:rsidRDefault="00A31137" w:rsidP="00A31137">
      <w:r w:rsidRPr="00A31137">
        <w:t>When people have the opportunity to communicate, cooperate, and engage in commerce, they can often produce astonishing results. We've already agreed to cooperate more closely in the areas of trade, technology, investment, and exchange of scientific and managerial expertise. And we've reached an important agreement on the peaceful uses of nuclear energy for economic development.</w:t>
      </w:r>
    </w:p>
    <w:p w:rsidR="00A31137" w:rsidRPr="00A31137" w:rsidRDefault="00A31137" w:rsidP="00A31137">
      <w:r w:rsidRPr="00A31137">
        <w:t>Public Papers of Reagan, 1984, p.594</w:t>
      </w:r>
    </w:p>
    <w:p w:rsidR="00A31137" w:rsidRPr="00A31137" w:rsidRDefault="00A31137" w:rsidP="00A31137">
      <w:r w:rsidRPr="00A31137">
        <w:t>Our last stop in China will be Shanghai, a center of culture and commerce. We plan to visit the Shanghai Foxboro Company, where Americans and Chinese are making high technology equipment to help advance China's industries. And I'll also visit with the students at Fudan University and speak to them about the meaning of America, the challenges our people face, and the dreams we share.</w:t>
      </w:r>
    </w:p>
    <w:p w:rsidR="00A31137" w:rsidRPr="00A31137" w:rsidRDefault="00A31137" w:rsidP="00A31137">
      <w:r w:rsidRPr="00A31137">
        <w:t>Public Papers of Reagan, 1984, p.594</w:t>
      </w:r>
    </w:p>
    <w:p w:rsidR="00A31137" w:rsidRPr="00A31137" w:rsidRDefault="00A31137" w:rsidP="00A31137">
      <w:r w:rsidRPr="00A31137">
        <w:t>We can learn much from the rich history of China and from the wisdom and character of her people. And I've told the Chinese that Americans are people of peace, filled with the spirit of innovation and a passion for progress to make tomorrow better than today.</w:t>
      </w:r>
    </w:p>
    <w:p w:rsidR="00A31137" w:rsidRPr="00A31137" w:rsidRDefault="00A31137" w:rsidP="00A31137">
      <w:r w:rsidRPr="00A31137">
        <w:t>Public Papers of Reagan, 1984, p.594</w:t>
      </w:r>
    </w:p>
    <w:p w:rsidR="00A31137" w:rsidRPr="00A31137" w:rsidRDefault="00A31137" w:rsidP="00A31137">
      <w:r w:rsidRPr="00A31137">
        <w:t>Our two nations are poised to take an historic step forward on the path of peaceful cooperation and economic development. I'm confident that our trip will be a significant success, resulting in a stronger U.S.-China relationship than before. For Americans, this will mean more jobs and a better chance for a peaceful world.</w:t>
      </w:r>
    </w:p>
    <w:p w:rsidR="00A31137" w:rsidRPr="00A31137" w:rsidRDefault="00A31137" w:rsidP="00A31137">
      <w:r w:rsidRPr="00A31137">
        <w:t>Public Papers of Reagan, 1984, p.594</w:t>
      </w:r>
    </w:p>
    <w:p w:rsidR="00A31137" w:rsidRPr="00A31137" w:rsidRDefault="00A31137" w:rsidP="00A31137">
      <w:r w:rsidRPr="00A31137">
        <w:t>Until next week, thanks for listening, and God bless you.</w:t>
      </w:r>
    </w:p>
    <w:p w:rsidR="00A31137" w:rsidRPr="00A31137" w:rsidRDefault="00A31137" w:rsidP="00A31137">
      <w:r w:rsidRPr="00A31137">
        <w:t>Public Papers of Reagan, 1984, p.594</w:t>
      </w:r>
    </w:p>
    <w:p w:rsidR="00A31137" w:rsidRPr="00A31137" w:rsidRDefault="00A31137" w:rsidP="00A31137">
      <w:r w:rsidRPr="00A31137">
        <w:t>NOTE: The President recorded his address at the Diaoyutai State Guest House on Saturday, April 28, Beijing time, for broadcast on Saturday, April 28, in the United States.</w:t>
      </w:r>
    </w:p>
    <w:p w:rsidR="00A31137" w:rsidRPr="00A31137" w:rsidRDefault="00A31137" w:rsidP="00A31137">
      <w:r w:rsidRPr="00A31137">
        <w:t>Public Papers of Reagan, 1984, p.594</w:t>
      </w:r>
    </w:p>
    <w:p w:rsidR="00A31137" w:rsidRPr="00A31137" w:rsidRDefault="00A31137" w:rsidP="00A31137">
      <w:r w:rsidRPr="00A31137">
        <w:t>As printed above, this item follows the text of the White House press release, which was released by the Office of the Press Secretary in Beijing on April 29.</w:t>
      </w:r>
    </w:p>
    <w:p w:rsidR="00A31137" w:rsidRPr="00A31137" w:rsidRDefault="00A31137" w:rsidP="00A31137">
      <w:r w:rsidRPr="00A31137">
        <w:t>President Reagan's Statement on Signing the Education for Economic Security Act, 1984</w:t>
      </w:r>
    </w:p>
    <w:p w:rsidR="00A31137" w:rsidRPr="00A31137" w:rsidRDefault="00A31137" w:rsidP="00A31137">
      <w:r w:rsidRPr="00A31137">
        <w:t>Title:</w:t>
      </w:r>
      <w:r w:rsidRPr="00A31137">
        <w:tab/>
        <w:t>President Reagan's Statement on Signing the Education for Economic Security Act</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August 11, 1984</w:t>
      </w:r>
    </w:p>
    <w:p w:rsidR="00A31137" w:rsidRPr="00A31137" w:rsidRDefault="00A31137" w:rsidP="00A31137">
      <w:r w:rsidRPr="00A31137">
        <w:t>Source:</w:t>
      </w:r>
      <w:r w:rsidRPr="00A31137">
        <w:tab/>
        <w:t>Public Papers of the Presidents, Reagan, 1984, pp.1129-1130</w:t>
      </w:r>
    </w:p>
    <w:p w:rsidR="00A31137" w:rsidRPr="00A31137" w:rsidRDefault="00A31137" w:rsidP="00A31137">
      <w:r w:rsidRPr="00A31137">
        <w:t>Public Papers of Reagan, 1984, p.1129</w:t>
      </w:r>
    </w:p>
    <w:p w:rsidR="00A31137" w:rsidRPr="00A31137" w:rsidRDefault="00A31137" w:rsidP="00A31137">
      <w:r w:rsidRPr="00A31137">
        <w:t>I have signed H.R. 1310, a bill entitled the Education for Economic Security Act. This bill responds to two deeply felt concerns of this administration: first, the need to improve the quality of science and mathematics education in our country and, second, the need to restore freedom of religious speech for students attending public schools.</w:t>
      </w:r>
    </w:p>
    <w:p w:rsidR="00A31137" w:rsidRPr="00A31137" w:rsidRDefault="00A31137" w:rsidP="00A31137">
      <w:r w:rsidRPr="00A31137">
        <w:t>Public Papers of Reagan, 1984, p.1129–p.1130</w:t>
      </w:r>
    </w:p>
    <w:p w:rsidR="00A31137" w:rsidRPr="00A31137" w:rsidRDefault="00A31137" w:rsidP="00A31137">
      <w:r w:rsidRPr="00A31137">
        <w:t>Science, mathematics, and technology have special importance in this country. Our economic and military strength, as well as our health and well-being, depend to a great extent on continuing developments in [p.1130] these areas. If we are to maintain our strength and independence, we cannot afford to allow our skills in these fields to diminish. Yet the disturbing fact is that the quality of science and mathematics education in our nation is declining, due in large part to a growing shortage of qualified science and mathematics teachers.</w:t>
      </w:r>
    </w:p>
    <w:p w:rsidR="00A31137" w:rsidRPr="00A31137" w:rsidRDefault="00A31137" w:rsidP="00A31137">
      <w:r w:rsidRPr="00A31137">
        <w:t>Public Papers of Reagan, 1984, p.1130</w:t>
      </w:r>
    </w:p>
    <w:p w:rsidR="00A31137" w:rsidRPr="00A31137" w:rsidRDefault="00A31137" w:rsidP="00A31137">
      <w:r w:rsidRPr="00A31137">
        <w:t>This administration proposed legislation in January 1983 that focused upon the shortage of teachers by authorizing scholarships for science and mathematics teachers in grades 9 through 12. The administration has also already established a program of Presidential Awards for Excellence in Science and Mathematics Teaching, similar to the one in H.R. 1310. I am very pleased to see that this bill emphasizes the critical importance of teacher training in improving the quality of science and mathematics education in activities authorized for the Department of Education and in endorsing the excellent ongoing science, mathematics, and engineering programs of the National Science Foundation.</w:t>
      </w:r>
    </w:p>
    <w:p w:rsidR="00A31137" w:rsidRPr="00A31137" w:rsidRDefault="00A31137" w:rsidP="00A31137">
      <w:r w:rsidRPr="00A31137">
        <w:t>Public Papers of Reagan, 1984, p.1130</w:t>
      </w:r>
    </w:p>
    <w:p w:rsidR="00A31137" w:rsidRPr="00A31137" w:rsidRDefault="00A31137" w:rsidP="00A31137">
      <w:r w:rsidRPr="00A31137">
        <w:t>I am also very pleased to approve the equal-access provisions of the bill. It has been the consistent policy of this administration to support the right of students in public secondary schools to meet voluntarily for religious purposes in school facilities during noninstructional periods, a right which this bill recognizes. I believe the equal-access provisions of this bill represent an appropriate balance among the free speech rights of students in public secondary schools, the prohibition against government establishment of religion, and the need to maintain in our public schools an orderly environment which is conducive to learning. These provisions honor, in a public school setting, this country's heritage of freedom of thought and speech, and I am delighted that they now become the law of the land.</w:t>
      </w:r>
    </w:p>
    <w:p w:rsidR="00A31137" w:rsidRPr="00A31137" w:rsidRDefault="00A31137" w:rsidP="00A31137">
      <w:r w:rsidRPr="00A31137">
        <w:t>Public Papers of Reagan, 1984, p.1130</w:t>
      </w:r>
    </w:p>
    <w:p w:rsidR="00A31137" w:rsidRPr="00A31137" w:rsidRDefault="00A31137" w:rsidP="00A31137">
      <w:r w:rsidRPr="00A31137">
        <w:t>H.R. 1310 is far from a perfect bill. It has a number of serious weaknesses: It is too expensive; it authorizes too many complex and administratively burdensome programs; it duplicates some existing activities; it authorizes unnecessary or inappropriate programs that are unrelated to improving science and mathematics instruction in our country; and it denies State and local governments the broad flexibility and decision-making authority they need to address local educational needs in the most effective manner.</w:t>
      </w:r>
    </w:p>
    <w:p w:rsidR="00A31137" w:rsidRPr="00A31137" w:rsidRDefault="00A31137" w:rsidP="00A31137">
      <w:r w:rsidRPr="00A31137">
        <w:t>Public Papers of Reagan, 1984, p.1130</w:t>
      </w:r>
    </w:p>
    <w:p w:rsidR="00A31137" w:rsidRPr="00A31137" w:rsidRDefault="00A31137" w:rsidP="00A31137">
      <w:r w:rsidRPr="00A31137">
        <w:t>I want to make clear that my approval of H.R. 1310 does not indicate endorsement of the objectionable provisions of the bill. Nor will I feel compelled to request funding at the excessive levels authorized by H.R. 1310. I believe, however, that the need to enhance the quality of science and mathematics instruction and to protect the rights of public school students to free speech, including religious speech, tips the balance in favor of approval.</w:t>
      </w:r>
    </w:p>
    <w:p w:rsidR="00A31137" w:rsidRPr="00A31137" w:rsidRDefault="00A31137" w:rsidP="00A31137">
      <w:r w:rsidRPr="00A31137">
        <w:t>Public Papers of Reagan, 1984, p.1130</w:t>
      </w:r>
    </w:p>
    <w:p w:rsidR="00A31137" w:rsidRPr="00A31137" w:rsidRDefault="00A31137" w:rsidP="00A31137">
      <w:r w:rsidRPr="00A31137">
        <w:t>NOTE: As enacted, H.R. 1310 is Public Law 98-377, approved August 11.</w:t>
      </w:r>
    </w:p>
    <w:p w:rsidR="00A31137" w:rsidRPr="00A31137" w:rsidRDefault="00A31137" w:rsidP="00A31137">
      <w:r w:rsidRPr="00A31137">
        <w:t>Democratic Platform of 1984</w:t>
      </w:r>
    </w:p>
    <w:p w:rsidR="00A31137" w:rsidRPr="00A31137" w:rsidRDefault="00A31137" w:rsidP="00A31137">
      <w:r w:rsidRPr="00A31137">
        <w:t>Title:</w:t>
      </w:r>
      <w:r w:rsidRPr="00A31137">
        <w:tab/>
        <w:t>Democratic Platform of 1984</w:t>
      </w:r>
    </w:p>
    <w:p w:rsidR="00A31137" w:rsidRPr="00A31137" w:rsidRDefault="00A31137" w:rsidP="00A31137">
      <w:r w:rsidRPr="00A31137">
        <w:t>Author:</w:t>
      </w:r>
      <w:r w:rsidRPr="00A31137">
        <w:tab/>
        <w:t>Democratic Party</w:t>
      </w:r>
    </w:p>
    <w:p w:rsidR="00A31137" w:rsidRPr="00A31137" w:rsidRDefault="00A31137" w:rsidP="00A31137">
      <w:r w:rsidRPr="00A31137">
        <w:t>Date:</w:t>
      </w:r>
      <w:r w:rsidRPr="00A31137">
        <w:tab/>
        <w:t>1984</w:t>
      </w:r>
    </w:p>
    <w:p w:rsidR="00A31137" w:rsidRPr="00A31137" w:rsidRDefault="00A31137" w:rsidP="00A31137">
      <w:r w:rsidRPr="00A31137">
        <w:t>Source:</w:t>
      </w:r>
      <w:r w:rsidRPr="00A31137">
        <w:tab/>
        <w:t>1984 Democratic Party Platform Booklet</w:t>
      </w:r>
    </w:p>
    <w:p w:rsidR="00A31137" w:rsidRPr="00A31137" w:rsidRDefault="00A31137" w:rsidP="00A31137">
      <w:r w:rsidRPr="00A31137">
        <w:t>Charles T. Manatt</w:t>
      </w:r>
    </w:p>
    <w:p w:rsidR="00A31137" w:rsidRPr="00A31137" w:rsidRDefault="00A31137" w:rsidP="00A31137">
      <w:r w:rsidRPr="00A31137">
        <w:t>Chairman Democratic National Committee</w:t>
      </w:r>
    </w:p>
    <w:p w:rsidR="00A31137" w:rsidRPr="00A31137" w:rsidRDefault="00A31137" w:rsidP="00A31137">
      <w:r w:rsidRPr="00A31137">
        <w:t>Preamble</w:t>
      </w:r>
    </w:p>
    <w:p w:rsidR="00A31137" w:rsidRPr="00A31137" w:rsidRDefault="00A31137" w:rsidP="00A31137">
      <w:r w:rsidRPr="00A31137">
        <w:t>1984 Democratic Platform, p.2</w:t>
      </w:r>
    </w:p>
    <w:p w:rsidR="00A31137" w:rsidRPr="00A31137" w:rsidRDefault="00A31137" w:rsidP="00A31137">
      <w:r w:rsidRPr="00A31137">
        <w:t>A fundamental choice awaits America—, a choice between two futures.</w:t>
      </w:r>
    </w:p>
    <w:p w:rsidR="00A31137" w:rsidRPr="00A31137" w:rsidRDefault="00A31137" w:rsidP="00A31137">
      <w:r w:rsidRPr="00A31137">
        <w:t>1984 Democratic Platform, p.2</w:t>
      </w:r>
    </w:p>
    <w:p w:rsidR="00A31137" w:rsidRPr="00A31137" w:rsidRDefault="00A31137" w:rsidP="00A31137">
      <w:r w:rsidRPr="00A31137">
        <w:t xml:space="preserve">It is a choice between solving our problems, and pretending they don't exist, between the spirit of community, and the corrosion of selfishness: between justice for all, and advantage for some; between social opportunity and contracting horizons: between diplomacy and conflict: between arms control and an arms race: between leadership and alibis. </w:t>
      </w:r>
    </w:p>
    <w:p w:rsidR="00A31137" w:rsidRPr="00A31137" w:rsidRDefault="00A31137" w:rsidP="00A31137">
      <w:r w:rsidRPr="00A31137">
        <w:t>1984 Democratic Platform, p.2</w:t>
      </w:r>
    </w:p>
    <w:p w:rsidR="00A31137" w:rsidRPr="00A31137" w:rsidRDefault="00A31137" w:rsidP="00A31137">
      <w:r w:rsidRPr="00A31137">
        <w:t>America stands at a crossroads.</w:t>
      </w:r>
    </w:p>
    <w:p w:rsidR="00A31137" w:rsidRPr="00A31137" w:rsidRDefault="00A31137" w:rsidP="00A31137">
      <w:r w:rsidRPr="00A31137">
        <w:t>1984 Democratic Platform, p.2</w:t>
      </w:r>
    </w:p>
    <w:p w:rsidR="00A31137" w:rsidRPr="00A31137" w:rsidRDefault="00A31137" w:rsidP="00A31137">
      <w:r w:rsidRPr="00A31137">
        <w:t>Move in one direction, and the President who appointed James Watt will appoint the Supreme Court majority for the rest of the century. The President who proposed deep cuts in Social Security will be charged with rescuing Medicare. The President who destroyed the Environmental Protection Agency will decide whether toxic dumps get cleaned up. The President who fought the Equal Rights Amendment will decide whether women get fair pay for their work. The President who launched a covert war in Central America will determine our human rights policy. The President who abandoned the Camp David process will oversee Middle East policy, The President who opposed every nuclear arms control agreement since the bomb went off will be entrusted with the fate of the earth.</w:t>
      </w:r>
    </w:p>
    <w:p w:rsidR="00A31137" w:rsidRPr="00A31137" w:rsidRDefault="00A31137" w:rsidP="00A31137">
      <w:r w:rsidRPr="00A31137">
        <w:t>1984 Democratic Platform, p.2</w:t>
      </w:r>
    </w:p>
    <w:p w:rsidR="00A31137" w:rsidRPr="00A31137" w:rsidRDefault="00A31137" w:rsidP="00A31137">
      <w:r w:rsidRPr="00A31137">
        <w:t>We offer a different direction.</w:t>
      </w:r>
    </w:p>
    <w:p w:rsidR="00A31137" w:rsidRPr="00A31137" w:rsidRDefault="00A31137" w:rsidP="00A31137">
      <w:r w:rsidRPr="00A31137">
        <w:t>1984 Democratic Platform, p.2</w:t>
      </w:r>
    </w:p>
    <w:p w:rsidR="00A31137" w:rsidRPr="00A31137" w:rsidRDefault="00A31137" w:rsidP="00A31137">
      <w:r w:rsidRPr="00A31137">
        <w:t>For the economy, the Democratic Party is committed to economic growth, prosperity, and jobs. For the individual, we are committed to justice, decency, and opportunity. For the nation, we are committed to peace, strength, and freedom.</w:t>
      </w:r>
    </w:p>
    <w:p w:rsidR="00A31137" w:rsidRPr="00A31137" w:rsidRDefault="00A31137" w:rsidP="00A31137">
      <w:r w:rsidRPr="00A31137">
        <w:t>1984 Democratic Platform, p.2</w:t>
      </w:r>
    </w:p>
    <w:p w:rsidR="00A31137" w:rsidRPr="00A31137" w:rsidRDefault="00A31137" w:rsidP="00A31137">
      <w:r w:rsidRPr="00A31137">
        <w:t>In the future we propose, young families will be able to buy and keep new homes—instead of fearing the explosion of their adjustable-rate mortgages. Workers will feel secure in their jobs—instead of fearing layoffs and lower wages. Seniors will look forward to retirement—instead of fearing it. Farmers will get a decent return on their investment—instead of fearing bankruptcy and foreclosure.</w:t>
      </w:r>
    </w:p>
    <w:p w:rsidR="00A31137" w:rsidRPr="00A31137" w:rsidRDefault="00A31137" w:rsidP="00A31137">
      <w:r w:rsidRPr="00A31137">
        <w:t>1984 Democratic Platform, p.2</w:t>
      </w:r>
    </w:p>
    <w:p w:rsidR="00A31137" w:rsidRPr="00A31137" w:rsidRDefault="00A31137" w:rsidP="00A31137">
      <w:r w:rsidRPr="00A31137">
        <w:t>Small businesses will have the capital they need—instead of credit they can't afford, People will master technology—instead of being mastered or displaced by it. Industries will be revitalized—not abandoned. Students will attend the best colleges and vocational schools for which they qualify,—instead of trimming their expectations. Minorities will rise in the mainstream economic life—instead of waiting on the sidelines, Children will dream of better days ahead—and not or nuclear holocaust.</w:t>
      </w:r>
    </w:p>
    <w:p w:rsidR="00A31137" w:rsidRPr="00A31137" w:rsidRDefault="00A31137" w:rsidP="00A31137">
      <w:r w:rsidRPr="00A31137">
        <w:t>1984 Democratic Platform, p.2</w:t>
      </w:r>
    </w:p>
    <w:p w:rsidR="00A31137" w:rsidRPr="00A31137" w:rsidRDefault="00A31137" w:rsidP="00A31137">
      <w:r w:rsidRPr="00A31137">
        <w:t>Our Party is built on a profound belief in America and Americans.</w:t>
      </w:r>
    </w:p>
    <w:p w:rsidR="00A31137" w:rsidRPr="00A31137" w:rsidRDefault="00A31137" w:rsidP="00A31137">
      <w:r w:rsidRPr="00A31137">
        <w:t>1984 Democratic Platform, p.2</w:t>
      </w:r>
    </w:p>
    <w:p w:rsidR="00A31137" w:rsidRPr="00A31137" w:rsidRDefault="00A31137" w:rsidP="00A31137">
      <w:r w:rsidRPr="00A31137">
        <w:t>We believe in the inspiration of American dreams, and the power of progressive ideals. We believe in the dignity of the individual and the enormous potential of collective action. We believe in building, not wrecking. We believe in bridging our differences, not deepening them. We believe in a fair society for working Americans of average income: an opportunity society for enterprising Americans; a caring society for Americans in need through no fault of their own—the sick, the disabled, the hungry, the elderly, the unemployed: and a safe, decent and prosperous society for all Americans.</w:t>
      </w:r>
    </w:p>
    <w:p w:rsidR="00A31137" w:rsidRPr="00A31137" w:rsidRDefault="00A31137" w:rsidP="00A31137">
      <w:r w:rsidRPr="00A31137">
        <w:t>1984 Democratic Platform, p.2</w:t>
      </w:r>
    </w:p>
    <w:p w:rsidR="00A31137" w:rsidRPr="00A31137" w:rsidRDefault="00A31137" w:rsidP="00A31137">
      <w:r w:rsidRPr="00A31137">
        <w:t>We are the Party of American values—the worth of every human being; the striving toward excellence; the freedom to innovate; the inviolability of law; the sharing of sacrifice; the struggle toward justice; the pursuit of happiness.</w:t>
      </w:r>
    </w:p>
    <w:p w:rsidR="00A31137" w:rsidRPr="00A31137" w:rsidRDefault="00A31137" w:rsidP="00A31137">
      <w:r w:rsidRPr="00A31137">
        <w:t>1984 Democratic Platform, p.2</w:t>
      </w:r>
    </w:p>
    <w:p w:rsidR="00A31137" w:rsidRPr="00A31137" w:rsidRDefault="00A31137" w:rsidP="00A31137">
      <w:r w:rsidRPr="00A31137">
        <w:t>We are the Party of American progress—the calling to explore; the challenge to invent; the imperative to improve; the importance of courage; the perennial need for fresh thinking, sharp minds, and ambitious goals.</w:t>
      </w:r>
    </w:p>
    <w:p w:rsidR="00A31137" w:rsidRPr="00A31137" w:rsidRDefault="00A31137" w:rsidP="00A31137">
      <w:r w:rsidRPr="00A31137">
        <w:t>1984 Democratic Platform, p.2</w:t>
      </w:r>
    </w:p>
    <w:p w:rsidR="00A31137" w:rsidRPr="00A31137" w:rsidRDefault="00A31137" w:rsidP="00A31137">
      <w:r w:rsidRPr="00A31137">
        <w:t>We are the Party of American strength—the security of our defences; the power of our moral values; the necessity of diplomacy; the pursuit of peace; the imperative of survival.</w:t>
      </w:r>
    </w:p>
    <w:p w:rsidR="00A31137" w:rsidRPr="00A31137" w:rsidRDefault="00A31137" w:rsidP="00A31137">
      <w:r w:rsidRPr="00A31137">
        <w:t>1984 Democratic Platform, p.2</w:t>
      </w:r>
    </w:p>
    <w:p w:rsidR="00A31137" w:rsidRPr="00A31137" w:rsidRDefault="00A31137" w:rsidP="00A31137">
      <w:r w:rsidRPr="00A31137">
        <w:t>We are the Party of American vision—the trustees of a better future. This platform is our road map toward that future.</w:t>
      </w:r>
    </w:p>
    <w:p w:rsidR="00A31137" w:rsidRPr="00A31137" w:rsidRDefault="00A31137" w:rsidP="00A31137">
      <w:r w:rsidRPr="00A31137">
        <w:t>Chapter I: Economic Growth, Prosperity, and Jobs</w:t>
      </w:r>
    </w:p>
    <w:p w:rsidR="00A31137" w:rsidRPr="00A31137" w:rsidRDefault="00A31137" w:rsidP="00A31137">
      <w:r w:rsidRPr="00A31137">
        <w:t>Introduction</w:t>
      </w:r>
    </w:p>
    <w:p w:rsidR="00A31137" w:rsidRPr="00A31137" w:rsidRDefault="00A31137" w:rsidP="00A31137">
      <w:r w:rsidRPr="00A31137">
        <w:t>1984 Democratic Platform, p.2</w:t>
      </w:r>
    </w:p>
    <w:p w:rsidR="00A31137" w:rsidRPr="00A31137" w:rsidRDefault="00A31137" w:rsidP="00A31137">
      <w:r w:rsidRPr="00A31137">
        <w:t>Building a prosperous America in a changing world: that is the Democratic agenda for the future. To build that America, we must meet the challenge of long-term, sustainable, noninflationary economic growth. Our future depends on it.</w:t>
      </w:r>
    </w:p>
    <w:p w:rsidR="00A31137" w:rsidRPr="00A31137" w:rsidRDefault="00A31137" w:rsidP="00A31137">
      <w:r w:rsidRPr="00A31137">
        <w:t>1984 Democratic Platform, p.2</w:t>
      </w:r>
    </w:p>
    <w:p w:rsidR="00A31137" w:rsidRPr="00A31137" w:rsidRDefault="00A31137" w:rsidP="00A31137">
      <w:r w:rsidRPr="00A31137">
        <w:t>To a child, economic growth means the promise of quality education. To a new graduate, it means landing a good first job. To a young family, growth means the opportunity to own a home or a car. To an unemployed worker, it means the chance to live in dignity again. To a farmer, growth means expanding markets, fair prices, and new customer. To an entrepreneur, it means a shot at a new business. To our nation, it means the ability to compete in a dramatically changing world economy. And to all in our society, growth—and the prosperity it [p.3] brings—means security, opportunity, and hope. Democrats want an economy that works for everyone—not just the favored few.</w:t>
      </w:r>
    </w:p>
    <w:p w:rsidR="00A31137" w:rsidRPr="00A31137" w:rsidRDefault="00A31137" w:rsidP="00A31137">
      <w:r w:rsidRPr="00A31137">
        <w:t>1984 Democratic Platform, p.3</w:t>
      </w:r>
    </w:p>
    <w:p w:rsidR="00A31137" w:rsidRPr="00A31137" w:rsidRDefault="00A31137" w:rsidP="00A31137">
      <w:r w:rsidRPr="00A31137">
        <w:t>For our party and our country, it is vital that 1984 be a year of new departures.</w:t>
      </w:r>
    </w:p>
    <w:p w:rsidR="00A31137" w:rsidRPr="00A31137" w:rsidRDefault="00A31137" w:rsidP="00A31137">
      <w:r w:rsidRPr="00A31137">
        <w:t>1984 Democratic Platform, p.3</w:t>
      </w:r>
    </w:p>
    <w:p w:rsidR="00A31137" w:rsidRPr="00A31137" w:rsidRDefault="00A31137" w:rsidP="00A31137">
      <w:r w:rsidRPr="00A31137">
        <w:t>We have a proud legacy to build upon: the Democratic tradition of caring, and the Democratic commitment to an activist government that understands and accepts its responsibilities.</w:t>
      </w:r>
    </w:p>
    <w:p w:rsidR="00A31137" w:rsidRPr="00A31137" w:rsidRDefault="00A31137" w:rsidP="00A31137">
      <w:r w:rsidRPr="00A31137">
        <w:t>1984 Democratic Platform, p.3</w:t>
      </w:r>
    </w:p>
    <w:p w:rsidR="00A31137" w:rsidRPr="00A31137" w:rsidRDefault="00A31137" w:rsidP="00A31137">
      <w:r w:rsidRPr="00A31137">
        <w:t>Our history has been proudest when we have taken up the challenges of our times, the challenges we accept once again in 1984 to find new ways in times of accelerating change, to fulfill our historic commitments. We will continue to be the party of justice. And we will foster the productivity and growth on which justice depends.</w:t>
      </w:r>
    </w:p>
    <w:p w:rsidR="00A31137" w:rsidRPr="00A31137" w:rsidRDefault="00A31137" w:rsidP="00A31137">
      <w:r w:rsidRPr="00A31137">
        <w:t>1984 Democratic Platform, p.3</w:t>
      </w:r>
    </w:p>
    <w:p w:rsidR="00A31137" w:rsidRPr="00A31137" w:rsidRDefault="00A31137" w:rsidP="00A31137">
      <w:r w:rsidRPr="00A31137">
        <w:t>For the 1980's, the Democratic Party will emphasize two fundamental economic goals. We will restore rising living standards in our country. And we will offer every American the opportunity for secure and productive employment.</w:t>
      </w:r>
    </w:p>
    <w:p w:rsidR="00A31137" w:rsidRPr="00A31137" w:rsidRDefault="00A31137" w:rsidP="00A31137">
      <w:r w:rsidRPr="00A31137">
        <w:t>1984 Democratic Platform, p.3</w:t>
      </w:r>
    </w:p>
    <w:p w:rsidR="00A31137" w:rsidRPr="00A31137" w:rsidRDefault="00A31137" w:rsidP="00A31137">
      <w:r w:rsidRPr="00A31137">
        <w:t>Our program will be bold and comprehensive. It will ask restraint and cooperation from all sectors of the economy. It will rely heavily on the private sector as the prime source of expanding employment. And it will treat every individual with decency and respect.</w:t>
      </w:r>
    </w:p>
    <w:p w:rsidR="00A31137" w:rsidRPr="00A31137" w:rsidRDefault="00A31137" w:rsidP="00A31137">
      <w:r w:rsidRPr="00A31137">
        <w:t>1984 Democratic Platform, p.3</w:t>
      </w:r>
    </w:p>
    <w:p w:rsidR="00A31137" w:rsidRPr="00A31137" w:rsidRDefault="00A31137" w:rsidP="00A31137">
      <w:r w:rsidRPr="00A31137">
        <w:t>A Democratic Administration will take four key steps to secure a bright future of long-term economic growth and opportunity for every American:</w:t>
      </w:r>
    </w:p>
    <w:p w:rsidR="00A31137" w:rsidRPr="00A31137" w:rsidRDefault="00A31137" w:rsidP="00A31137">
      <w:r w:rsidRPr="00A31137">
        <w:t>1984 Democratic Platform, p.3</w:t>
      </w:r>
    </w:p>
    <w:p w:rsidR="00A31137" w:rsidRPr="00A31137" w:rsidRDefault="00A31137" w:rsidP="00A31137">
      <w:r w:rsidRPr="00A31137">
        <w:t>* Instead of runaway deficits, a Democratic Administration will pursue overall economic policies that sharply reduce deficits, down interest rates, free savings for private investment, prevent another explosion of inflation and put the dollar on a competitive footing.</w:t>
      </w:r>
    </w:p>
    <w:p w:rsidR="00A31137" w:rsidRPr="00A31137" w:rsidRDefault="00A31137" w:rsidP="00A31137">
      <w:r w:rsidRPr="00A31137">
        <w:t>1984 Democratic Platform, p.3</w:t>
      </w:r>
    </w:p>
    <w:p w:rsidR="00A31137" w:rsidRPr="00A31137" w:rsidRDefault="00A31137" w:rsidP="00A31137">
      <w:r w:rsidRPr="00A31137">
        <w:t>* Instead of government by neglect, a Democratic Administration will establish a framework that will support growth and productivity and assure opportunity.</w:t>
      </w:r>
    </w:p>
    <w:p w:rsidR="00A31137" w:rsidRPr="00A31137" w:rsidRDefault="00A31137" w:rsidP="00A31137">
      <w:r w:rsidRPr="00A31137">
        <w:t>1984 Democratic Platform, p.3</w:t>
      </w:r>
    </w:p>
    <w:p w:rsidR="00A31137" w:rsidRPr="00A31137" w:rsidRDefault="00A31137" w:rsidP="00A31137">
      <w:r w:rsidRPr="00A31137">
        <w:t>* In place of conflict, a Democratic Administration will pursue cooperation, backed by trade, tax and financial regulations that will serve the long-term growth of the American economy and the broad national interest.</w:t>
      </w:r>
    </w:p>
    <w:p w:rsidR="00A31137" w:rsidRPr="00A31137" w:rsidRDefault="00A31137" w:rsidP="00A31137">
      <w:r w:rsidRPr="00A31137">
        <w:t>1984 Democratic Platform, p.3</w:t>
      </w:r>
    </w:p>
    <w:p w:rsidR="00A31137" w:rsidRPr="00A31137" w:rsidRDefault="00A31137" w:rsidP="00A31137">
      <w:r w:rsidRPr="00A31137">
        <w:t>* Instead of ignoring America's future, a Democratic Administration will make a series of long-term investments in research, infrastructure, and above all in people. Education, training and retraining will become a central focus in an economy built on change.</w:t>
      </w:r>
    </w:p>
    <w:p w:rsidR="00A31137" w:rsidRPr="00A31137" w:rsidRDefault="00A31137" w:rsidP="00A31137">
      <w:r w:rsidRPr="00A31137">
        <w:t>The Future if Reagan Is Reelected</w:t>
      </w:r>
    </w:p>
    <w:p w:rsidR="00A31137" w:rsidRPr="00A31137" w:rsidRDefault="00A31137" w:rsidP="00A31137">
      <w:r w:rsidRPr="00A31137">
        <w:t>1984 Democratic Platform, p.3</w:t>
      </w:r>
    </w:p>
    <w:p w:rsidR="00A31137" w:rsidRPr="00A31137" w:rsidRDefault="00A31137" w:rsidP="00A31137">
      <w:r w:rsidRPr="00A31137">
        <w:t>"Since the Reagan Administration took office, my wife and have last half our net worth. Took us 20 years to build that up, and about three to lose it. That is hard to deal with…"</w:t>
      </w:r>
    </w:p>
    <w:p w:rsidR="00A31137" w:rsidRPr="00A31137" w:rsidRDefault="00A31137" w:rsidP="00A31137">
      <w:r w:rsidRPr="00A31137">
        <w:t>1984 Democratic Platform, p.3</w:t>
      </w:r>
    </w:p>
    <w:p w:rsidR="00A31137" w:rsidRPr="00A31137" w:rsidRDefault="00A31137" w:rsidP="00A31137">
      <w:r w:rsidRPr="00A31137">
        <w:t>David Sprague, Farmer. Colorado (Democratic Platform Committee Hearing, Springfield, Illinois, April 27, 1984)</w:t>
      </w:r>
    </w:p>
    <w:p w:rsidR="00A31137" w:rsidRPr="00A31137" w:rsidRDefault="00A31137" w:rsidP="00A31137">
      <w:r w:rsidRPr="00A31137">
        <w:t>1984 Democratic Platform, p.3</w:t>
      </w:r>
    </w:p>
    <w:p w:rsidR="00A31137" w:rsidRPr="00A31137" w:rsidRDefault="00A31137" w:rsidP="00A31137">
      <w:r w:rsidRPr="00A31137">
        <w:t>"There's got to be something wrong with our government's policy when it's cheaper to shut a plant down than it is to operate it…The Houston Works plant sits right in the middle of the energy capital of the world and 83 percent of our steel went directly into the energy-related market, yet Japan could sit their products on our docks cheaper than we can make it and roll in there."</w:t>
      </w:r>
    </w:p>
    <w:p w:rsidR="00A31137" w:rsidRPr="00A31137" w:rsidRDefault="00A31137" w:rsidP="00A31137">
      <w:r w:rsidRPr="00A31137">
        <w:t>1984 Democratic Platform, p.3</w:t>
      </w:r>
    </w:p>
    <w:p w:rsidR="00A31137" w:rsidRPr="00A31137" w:rsidRDefault="00A31137" w:rsidP="00A31137">
      <w:r w:rsidRPr="00A31137">
        <w:t>Early Clowers. President, Steel Workers Local 2708 (Democratic Platform Committee Hearing. Houston, Texas. May 29. 1984)</w:t>
      </w:r>
    </w:p>
    <w:p w:rsidR="00A31137" w:rsidRPr="00A31137" w:rsidRDefault="00A31137" w:rsidP="00A31137">
      <w:r w:rsidRPr="00A31137">
        <w:t>1984 Democratic Platform, p.3</w:t>
      </w:r>
    </w:p>
    <w:p w:rsidR="00A31137" w:rsidRPr="00A31137" w:rsidRDefault="00A31137" w:rsidP="00A31137">
      <w:r w:rsidRPr="00A31137">
        <w:t>A Democratic future of growth and opportunity of mastering change rather than hiding from it, of promoting fairness instead of winning inequality, stands in stark contrast to another four years of Ronald Reagan. Staying the course with Ronald Reagan raises a series of hard questions about a bleak future.</w:t>
      </w:r>
    </w:p>
    <w:p w:rsidR="00A31137" w:rsidRPr="00A31137" w:rsidRDefault="00A31137" w:rsidP="00A31137">
      <w:r w:rsidRPr="00A31137">
        <w:t>1984 Democratic Platform, p.3</w:t>
      </w:r>
    </w:p>
    <w:p w:rsidR="00A31137" w:rsidRPr="00A31137" w:rsidRDefault="00A31137" w:rsidP="00A31137">
      <w:r w:rsidRPr="00A31137">
        <w:t>What would be the impact of the Republican deficit if Mr. Reagan is reelected?</w:t>
      </w:r>
    </w:p>
    <w:p w:rsidR="00A31137" w:rsidRPr="00A31137" w:rsidRDefault="00A31137" w:rsidP="00A31137">
      <w:r w:rsidRPr="00A31137">
        <w:t>1984 Democratic Platform, p.3</w:t>
      </w:r>
    </w:p>
    <w:p w:rsidR="00A31137" w:rsidRPr="00A31137" w:rsidRDefault="00A31137" w:rsidP="00A31137">
      <w:r w:rsidRPr="00A31137">
        <w:t>A second Reagan term would bring federal budget deficits larger than any in American history—indeed, any in world history. Under the Republican's policies, the deficit will continue to mount. Interest rates, already rising sharply, will start to soar. Investments in the future will be solved, then stopped. The Reagan deficits mortgage the future and threaten the present.</w:t>
      </w:r>
    </w:p>
    <w:p w:rsidR="00A31137" w:rsidRPr="00A31137" w:rsidRDefault="00A31137" w:rsidP="00A31137">
      <w:r w:rsidRPr="00A31137">
        <w:t>1984 Democratic Platform, p.3</w:t>
      </w:r>
    </w:p>
    <w:p w:rsidR="00A31137" w:rsidRPr="00A31137" w:rsidRDefault="00A31137" w:rsidP="00A31137">
      <w:r w:rsidRPr="00A31137">
        <w:t>Mr. Reagan has already conceded that these problems exist. But as he said in his 1984 Economic Report to the Congress, he prefers to wait until after the election to deal with them. And then, he plans "to enact spending reductions coupled with tax simplification that will eventually eliminate our budget deficit."</w:t>
      </w:r>
    </w:p>
    <w:p w:rsidR="00A31137" w:rsidRPr="00A31137" w:rsidRDefault="00A31137" w:rsidP="00A31137">
      <w:r w:rsidRPr="00A31137">
        <w:t>1984 Democratic Platform, p.3</w:t>
      </w:r>
    </w:p>
    <w:p w:rsidR="00A31137" w:rsidRPr="00A31137" w:rsidRDefault="00A31137" w:rsidP="00A31137">
      <w:r w:rsidRPr="00A31137">
        <w:t>What will Mr. Reagan's plan for "tax-simplification" mean to average Americans if he is reelected?</w:t>
      </w:r>
    </w:p>
    <w:p w:rsidR="00A31137" w:rsidRPr="00A31137" w:rsidRDefault="00A31137" w:rsidP="00A31137">
      <w:r w:rsidRPr="00A31137">
        <w:t>1984 Democratic Platform, p.3</w:t>
      </w:r>
    </w:p>
    <w:p w:rsidR="00A31137" w:rsidRPr="00A31137" w:rsidRDefault="00A31137" w:rsidP="00A31137">
      <w:r w:rsidRPr="00A31137">
        <w:t>Ronald Reagan's tax "reforms" were a bonanza for the very wealthy, and a disaster for poor and middle-class Americans. If reelected, Mr. Reagan will have more of the same in store. For him, tax simplification will mean a further freeing of the wealthy from their obligation to pay their fair share of taxes and an increasing burden on the average American.</w:t>
      </w:r>
    </w:p>
    <w:p w:rsidR="00A31137" w:rsidRPr="00A31137" w:rsidRDefault="00A31137" w:rsidP="00A31137">
      <w:r w:rsidRPr="00A31137">
        <w:t>1984 Democratic Platform, p.4</w:t>
      </w:r>
    </w:p>
    <w:p w:rsidR="00A31137" w:rsidRPr="00A31137" w:rsidRDefault="00A31137" w:rsidP="00A31137">
      <w:r w:rsidRPr="00A31137">
        <w:t>[p.4] How will Mr. Reagan's "spending reductions" affect average Americans if he is reelected?</w:t>
      </w:r>
    </w:p>
    <w:p w:rsidR="00A31137" w:rsidRPr="00A31137" w:rsidRDefault="00A31137" w:rsidP="00A31137">
      <w:r w:rsidRPr="00A31137">
        <w:t>1984 Democratic Platform, p.4</w:t>
      </w:r>
    </w:p>
    <w:p w:rsidR="00A31137" w:rsidRPr="00A31137" w:rsidRDefault="00A31137" w:rsidP="00A31137">
      <w:r w:rsidRPr="00A31137">
        <w:t>If he gets a second term, Mr. Reagan will use the deficit to justify his policy of government by subtraction. The deficits he created will become his excuse for destroying programs he never supported. Medicare, Social Security, federal pensions, farm price supports and dozens of other people-oriented programs will be in danger.</w:t>
      </w:r>
    </w:p>
    <w:p w:rsidR="00A31137" w:rsidRPr="00A31137" w:rsidRDefault="00A31137" w:rsidP="00A31137">
      <w:r w:rsidRPr="00A31137">
        <w:t>1984 Democratic Platform, p.4</w:t>
      </w:r>
    </w:p>
    <w:p w:rsidR="00A31137" w:rsidRPr="00A31137" w:rsidRDefault="00A31137" w:rsidP="00A31137">
      <w:r w:rsidRPr="00A31137">
        <w:t>If Mr. Reagan is reelected, will our students have the skills to work in a changing economy?</w:t>
      </w:r>
    </w:p>
    <w:p w:rsidR="00A31137" w:rsidRPr="00A31137" w:rsidRDefault="00A31137" w:rsidP="00A31137">
      <w:r w:rsidRPr="00A31137">
        <w:t>1984 Democratic Platform, p.4</w:t>
      </w:r>
    </w:p>
    <w:p w:rsidR="00A31137" w:rsidRPr="00A31137" w:rsidRDefault="00A31137" w:rsidP="00A31137">
      <w:r w:rsidRPr="00A31137">
        <w:t>If we are to compete and grow, the next generation of Americans must be the best-trained, best-educated in history. While our competitors invest in educating their children, Mr. Reagan cuts the national commitment to our schools. While our competitors spend greater and greater percentages of their GNP on civilian research and development, this President has diverted increasing portions of ours into military weaponry. These policies are short-sighted and destructive.</w:t>
      </w:r>
    </w:p>
    <w:p w:rsidR="00A31137" w:rsidRPr="00A31137" w:rsidRDefault="00A31137" w:rsidP="00A31137">
      <w:r w:rsidRPr="00A31137">
        <w:t>1984 Democratic Platform, p.4</w:t>
      </w:r>
    </w:p>
    <w:p w:rsidR="00A31137" w:rsidRPr="00A31137" w:rsidRDefault="00A31137" w:rsidP="00A31137">
      <w:r w:rsidRPr="00A31137">
        <w:t>If Mr. Reagan is reelected, will basic industries and the workers they employ be brought into the future?</w:t>
      </w:r>
    </w:p>
    <w:p w:rsidR="00A31137" w:rsidRPr="00A31137" w:rsidRDefault="00A31137" w:rsidP="00A31137">
      <w:r w:rsidRPr="00A31137">
        <w:t>1984 Democratic Platform, p.4</w:t>
      </w:r>
    </w:p>
    <w:p w:rsidR="00A31137" w:rsidRPr="00A31137" w:rsidRDefault="00A31137" w:rsidP="00A31137">
      <w:r w:rsidRPr="00A31137">
        <w:t>The Republican Administration has turned its back on basic industries and their communities. Instead of putting forward policies to help revitalize and adjust, Mr. Reagan tells blameless, anxious, displaced workers to abandon their neighborhoods and homes and "vote with their feet."</w:t>
      </w:r>
    </w:p>
    <w:p w:rsidR="00A31137" w:rsidRPr="00A31137" w:rsidRDefault="00A31137" w:rsidP="00A31137">
      <w:r w:rsidRPr="00A31137">
        <w:t>1984 Democratic Platform, p.4</w:t>
      </w:r>
    </w:p>
    <w:p w:rsidR="00A31137" w:rsidRPr="00A31137" w:rsidRDefault="00A31137" w:rsidP="00A31137">
      <w:r w:rsidRPr="00A31137">
        <w:t>America's economic strength was built on basic industries. Today, in a changing economy, they are no less important. Strong basic industries are vital to our economic health and essential to our national security. And as major consumers of high technology, they are catalysts for growth in newly emerging fields. We need new approaches to ensure strong American basic industries for the remainder of this century and beyond.</w:t>
      </w:r>
    </w:p>
    <w:p w:rsidR="00A31137" w:rsidRPr="00A31137" w:rsidRDefault="00A31137" w:rsidP="00A31137">
      <w:r w:rsidRPr="00A31137">
        <w:t>1984 Democratic Platform, p.4</w:t>
      </w:r>
    </w:p>
    <w:p w:rsidR="00A31137" w:rsidRPr="00A31137" w:rsidRDefault="00A31137" w:rsidP="00A31137">
      <w:r w:rsidRPr="00A31137">
        <w:t xml:space="preserve">Can the road to the future be paved with potholes? </w:t>
      </w:r>
    </w:p>
    <w:p w:rsidR="00A31137" w:rsidRPr="00A31137" w:rsidRDefault="00A31137" w:rsidP="00A31137">
      <w:r w:rsidRPr="00A31137">
        <w:t>1984 Democratic Platform, p.4</w:t>
      </w:r>
    </w:p>
    <w:p w:rsidR="00A31137" w:rsidRPr="00A31137" w:rsidRDefault="00A31137" w:rsidP="00A31137">
      <w:r w:rsidRPr="00A31137">
        <w:t xml:space="preserve">Adequate roads and bridges, mass transit, water supply and sewage treatment facilities, and ports and harbors are essential to economic growth. For four years, the Reagan Administration has refused to confront adequately the growing problems in our infrastructure. Another term will bring four more years of negligence and neglect. </w:t>
      </w:r>
    </w:p>
    <w:p w:rsidR="00A31137" w:rsidRPr="00A31137" w:rsidRDefault="00A31137" w:rsidP="00A31137">
      <w:r w:rsidRPr="00A31137">
        <w:t>1984 Democratic Platform, p.4</w:t>
      </w:r>
    </w:p>
    <w:p w:rsidR="00A31137" w:rsidRPr="00A31137" w:rsidRDefault="00A31137" w:rsidP="00A31137">
      <w:r w:rsidRPr="00A31137">
        <w:t>If Mr. Reagan is reelected, how many children will join the millions already growing up at risk?</w:t>
      </w:r>
    </w:p>
    <w:p w:rsidR="00A31137" w:rsidRPr="00A31137" w:rsidRDefault="00A31137" w:rsidP="00A31137">
      <w:r w:rsidRPr="00A31137">
        <w:t>1984 Democratic Platform, p.4</w:t>
      </w:r>
    </w:p>
    <w:p w:rsidR="00A31137" w:rsidRPr="00A31137" w:rsidRDefault="00A31137" w:rsidP="00A31137">
      <w:r w:rsidRPr="00A31137">
        <w:t>Between 1980 and 1982, more than two million younger Americans joined the ranks of the poor: the sharpest increase on record.</w:t>
      </w:r>
    </w:p>
    <w:p w:rsidR="00A31137" w:rsidRPr="00A31137" w:rsidRDefault="00A31137" w:rsidP="00A31137">
      <w:r w:rsidRPr="00A31137">
        <w:t>1984 Democratic Platform, p.4</w:t>
      </w:r>
    </w:p>
    <w:p w:rsidR="00A31137" w:rsidRPr="00A31137" w:rsidRDefault="00A31137" w:rsidP="00A31137">
      <w:r w:rsidRPr="00A31137">
        <w:t>With the Reagan Administration's cutbacks in prenatal care and supplemental food programs have come infant mortality rates in parts of our cities rivaling those of the poorest Latin American nations. Black infants are now twice as likely as white infants to die during the first year of life.</w:t>
      </w:r>
    </w:p>
    <w:p w:rsidR="00A31137" w:rsidRPr="00A31137" w:rsidRDefault="00A31137" w:rsidP="00A31137">
      <w:r w:rsidRPr="00A31137">
        <w:t>1984 Democratic Platform, p.4</w:t>
      </w:r>
    </w:p>
    <w:p w:rsidR="00A31137" w:rsidRPr="00A31137" w:rsidRDefault="00A31137" w:rsidP="00A31137">
      <w:r w:rsidRPr="00A31137">
        <w:t>Cuts in school lunch and child nutrition programs have left far too many children hungry and unable to focus on their lessons.</w:t>
      </w:r>
    </w:p>
    <w:p w:rsidR="00A31137" w:rsidRPr="00A31137" w:rsidRDefault="00A31137" w:rsidP="00A31137">
      <w:r w:rsidRPr="00A31137">
        <w:t>1984 Democratic Platform, p.4</w:t>
      </w:r>
    </w:p>
    <w:p w:rsidR="00A31137" w:rsidRPr="00A31137" w:rsidRDefault="00A31137" w:rsidP="00A31137">
      <w:r w:rsidRPr="00A31137">
        <w:t>Teenage prostitution, alcohol and drug abuse, depression, and suicide have all been linked to child abuse. The Administration has abandoned most avenues to breaking the cycle of abuse. Funding to prevent and treat child physical abuse has been cut in half. And funds to help private groups set up shelters for runaway youth are being diverted elsewhere.</w:t>
      </w:r>
    </w:p>
    <w:p w:rsidR="00A31137" w:rsidRPr="00A31137" w:rsidRDefault="00A31137" w:rsidP="00A31137">
      <w:r w:rsidRPr="00A31137">
        <w:t>1984 Democratic Platform, p.4</w:t>
      </w:r>
    </w:p>
    <w:p w:rsidR="00A31137" w:rsidRPr="00A31137" w:rsidRDefault="00A31137" w:rsidP="00A31137">
      <w:r w:rsidRPr="00A31137">
        <w:t>If Mr. Reagan is reelected, will we ensure that our children are able to enjoy a clean, healthy environment?</w:t>
      </w:r>
    </w:p>
    <w:p w:rsidR="00A31137" w:rsidRPr="00A31137" w:rsidRDefault="00A31137" w:rsidP="00A31137">
      <w:r w:rsidRPr="00A31137">
        <w:t>1984 Democratic Platform, p.4</w:t>
      </w:r>
    </w:p>
    <w:p w:rsidR="00A31137" w:rsidRPr="00A31137" w:rsidRDefault="00A31137" w:rsidP="00A31137">
      <w:r w:rsidRPr="00A31137">
        <w:t>Protecting our natural heritage— its beauty and its richness— is not a partisan issue. For eighty years, every American President has understood the importance of protecting out air, our water, and our health. Today, a growing population puts more demands on our environment. Chemicals which are unsafe or disposed of improperly threaten neighborhoods and families. And as our knowledge expands, we learn again and again how fragile life and health—human and animal—truly are.</w:t>
      </w:r>
    </w:p>
    <w:p w:rsidR="00A31137" w:rsidRPr="00A31137" w:rsidRDefault="00A31137" w:rsidP="00A31137">
      <w:r w:rsidRPr="00A31137">
        <w:t>1984 Democratic Platform, p.4</w:t>
      </w:r>
    </w:p>
    <w:p w:rsidR="00A31137" w:rsidRPr="00A31137" w:rsidRDefault="00A31137" w:rsidP="00A31137">
      <w:r w:rsidRPr="00A31137">
        <w:t>Ensuring the environmental heritage of future generations demands action now. But the Reagan Administration continues to develop, lease, and sell irreplaceable wilderness lands. While thousands of toxic waste sites already exist, and more and more are being created constantly, the Reagan Administration is cleaning them up at a rate of only 1.5 per year. The environmental legacy of Ronald Reagan will be long-lasting damage that can never truly be undone.</w:t>
      </w:r>
    </w:p>
    <w:p w:rsidR="00A31137" w:rsidRPr="00A31137" w:rsidRDefault="00A31137" w:rsidP="00A31137">
      <w:r w:rsidRPr="00A31137">
        <w:t>1984 Democratic Platform, p.4</w:t>
      </w:r>
    </w:p>
    <w:p w:rsidR="00A31137" w:rsidRPr="00A31137" w:rsidRDefault="00A31137" w:rsidP="00A31137">
      <w:r w:rsidRPr="00A31137">
        <w:t>If Mr. Reagan is reelected will we be able to heat our homes and run our factories?</w:t>
      </w:r>
    </w:p>
    <w:p w:rsidR="00A31137" w:rsidRPr="00A31137" w:rsidRDefault="00A31137" w:rsidP="00A31137">
      <w:r w:rsidRPr="00A31137">
        <w:t>1984 Democratic Platform, p.4</w:t>
      </w:r>
    </w:p>
    <w:p w:rsidR="00A31137" w:rsidRPr="00A31137" w:rsidRDefault="00A31137" w:rsidP="00A31137">
      <w:r w:rsidRPr="00A31137">
        <w:t>Twice in the past, our country has endured the high costs of dependence on foreign oil. Yet the Reagan Administration is leaving us vulnerable to another embargo or an interruption in oil supply. By failing adequately to fill the Strategic Petroleum Reserve, and trusting blindly to the market to "muddle through" in a crisis this Administration has wagered [p.5] our national security on its economic ideology. One rude shock from abroad or just one "market failure", and our country could find itself plunged into another energy crisis.</w:t>
      </w:r>
    </w:p>
    <w:p w:rsidR="00A31137" w:rsidRPr="00A31137" w:rsidRDefault="00A31137" w:rsidP="00A31137">
      <w:r w:rsidRPr="00A31137">
        <w:t>The New Economic Reality; Five Reagan Myths</w:t>
      </w:r>
    </w:p>
    <w:p w:rsidR="00A31137" w:rsidRPr="00A31137" w:rsidRDefault="00A31137" w:rsidP="00A31137">
      <w:r w:rsidRPr="00A31137">
        <w:t>1984 Democratic Platform, p.5</w:t>
      </w:r>
    </w:p>
    <w:p w:rsidR="00A31137" w:rsidRPr="00A31137" w:rsidRDefault="00A31137" w:rsidP="00A31137">
      <w:r w:rsidRPr="00A31137">
        <w:t>Underlying the Reagan approach to the economy are five key myths: myths that determine and distort the Reagan economic policy, and ensure that it is not the basis for long-term growth.</w:t>
      </w:r>
    </w:p>
    <w:p w:rsidR="00A31137" w:rsidRPr="00A31137" w:rsidRDefault="00A31137" w:rsidP="00A31137">
      <w:r w:rsidRPr="00A31137">
        <w:t>1984 Democratic Platform, p.5</w:t>
      </w:r>
    </w:p>
    <w:p w:rsidR="00A31137" w:rsidRPr="00A31137" w:rsidRDefault="00A31137" w:rsidP="00A31137">
      <w:r w:rsidRPr="00A31137">
        <w:t>The world has changed, but Ronald Reagan does not understand.</w:t>
      </w:r>
    </w:p>
    <w:p w:rsidR="00A31137" w:rsidRPr="00A31137" w:rsidRDefault="00A31137" w:rsidP="00A31137">
      <w:r w:rsidRPr="00A31137">
        <w:t>1984 Democratic Platform, p.5</w:t>
      </w:r>
    </w:p>
    <w:p w:rsidR="00A31137" w:rsidRPr="00A31137" w:rsidRDefault="00A31137" w:rsidP="00A31137">
      <w:r w:rsidRPr="00A31137">
        <w:t>First, and most fundamental the Reagan Administration continues to act as if the United States were an economic island unto itself. But we have changed from a relatively isolated economy to an economy of international interdependence. In fact, the importance of international trade to the U.S. economy has roughly doubled in a decade. Exports now account for almost 10 percent of GNP—and roughly 20 percent of U.S. manufactured goods. One in six manufacturing jobs now depends on exports, and one in three acres is now planted for the overseas market. Imports have also doubled in importance.</w:t>
      </w:r>
    </w:p>
    <w:p w:rsidR="00A31137" w:rsidRPr="00A31137" w:rsidRDefault="00A31137" w:rsidP="00A31137">
      <w:r w:rsidRPr="00A31137">
        <w:t>1984 Democratic Platform, p.5</w:t>
      </w:r>
    </w:p>
    <w:p w:rsidR="00A31137" w:rsidRPr="00A31137" w:rsidRDefault="00A31137" w:rsidP="00A31137">
      <w:r w:rsidRPr="00A31137">
        <w:t>Financial markets are also closely linked. U.S. direct investments and commercial loans overseas now amount to hundreds of billions of dollars. A debt crisis in Mexico will affect balance sheets in San Francisco. A recession in Europe will limit the profits of U.S. subsidiaries operating in the European market. Lower overseas profits wilt limit the flow of earnings back to the United State—one important way the U.S. has found to help pay for the rising tide of imports. Hundreds of billions of dollars in foreign short-term capital invested here are sensitive to small shifts in interest rates or the appearance of added risk. It is only partly bad loans that brought Continental Illinois to the brink of bankruptcy. Heavily dependent on short-term foreign deposits, Continental Illinois was particularly vulnerable. Rumors that were false at the time were enough to set off a run on the bank.</w:t>
      </w:r>
    </w:p>
    <w:p w:rsidR="00A31137" w:rsidRPr="00A31137" w:rsidRDefault="00A31137" w:rsidP="00A31137">
      <w:r w:rsidRPr="00A31137">
        <w:t>1984 Democratic Platform, p.5</w:t>
      </w:r>
    </w:p>
    <w:p w:rsidR="00A31137" w:rsidRPr="00A31137" w:rsidRDefault="00A31137" w:rsidP="00A31137">
      <w:r w:rsidRPr="00A31137">
        <w:t>The strength of American steel, the competitiveness of the U.S. machine tool industry, and the long-term potential of U.S. agriculture are no longer matters decided exclusively in Washington or by the American market. America must look to Tokyo, Paris, and the money markets in Singapore and Switzerland. Policy based on the myth that America is independent of the world around us is bound to fail.</w:t>
      </w:r>
    </w:p>
    <w:p w:rsidR="00A31137" w:rsidRPr="00A31137" w:rsidRDefault="00A31137" w:rsidP="00A31137">
      <w:r w:rsidRPr="00A31137">
        <w:t>1984 Democratic Platform, p.5</w:t>
      </w:r>
    </w:p>
    <w:p w:rsidR="00A31137" w:rsidRPr="00A31137" w:rsidRDefault="00A31137" w:rsidP="00A31137">
      <w:r w:rsidRPr="00A31137">
        <w:t xml:space="preserve">Second, this Administration has ignored the enormous changes sweeping through the American work force. </w:t>
      </w:r>
    </w:p>
    <w:p w:rsidR="00A31137" w:rsidRPr="00A31137" w:rsidRDefault="00A31137" w:rsidP="00A31137">
      <w:r w:rsidRPr="00A31137">
        <w:t>1984 Democratic Platform, p.5</w:t>
      </w:r>
    </w:p>
    <w:p w:rsidR="00A31137" w:rsidRPr="00A31137" w:rsidRDefault="00A31137" w:rsidP="00A31137">
      <w:r w:rsidRPr="00A31137">
        <w:t>The measuring of the baby boom generation, the sharp increase in the percentage of women seeking work, and the aging of the work force all have to be taken into account.</w:t>
      </w:r>
    </w:p>
    <w:p w:rsidR="00A31137" w:rsidRPr="00A31137" w:rsidRDefault="00A31137" w:rsidP="00A31137">
      <w:r w:rsidRPr="00A31137">
        <w:t>1984 Democratic Platform, p.5</w:t>
      </w:r>
    </w:p>
    <w:p w:rsidR="00A31137" w:rsidRPr="00A31137" w:rsidRDefault="00A31137" w:rsidP="00A31137">
      <w:r w:rsidRPr="00A31137">
        <w:t>Decade by decade, more and more women have moved into the work force. This large-scale movement is already changing the nature of professions, altering the patterns of child care and breaking down sex-based distinctions that have existed in many types of employment.</w:t>
      </w:r>
    </w:p>
    <w:p w:rsidR="00A31137" w:rsidRPr="00A31137" w:rsidRDefault="00A31137" w:rsidP="00A31137">
      <w:r w:rsidRPr="00A31137">
        <w:t>1984 Democratic Platform, p.5</w:t>
      </w:r>
    </w:p>
    <w:p w:rsidR="00A31137" w:rsidRPr="00A31137" w:rsidRDefault="00A31137" w:rsidP="00A31137">
      <w:r w:rsidRPr="00A31137">
        <w:t>In Ronald Reagan's vision of America, there are no single parent families, women only stay at home and care for children. Reagan's families do not worry about the effects of unemployment on family stability: they do not worry about decent housing and health care: they do not need child care. But in the real world, most Americans do. Providing adequate child care for the millions of American children who need it, and for their parents, is surely not a responsibility which belongs solely to the federal government. But, like the responsibility for decent housing and health care, it is one where federal leadership and support are essential.</w:t>
      </w:r>
    </w:p>
    <w:p w:rsidR="00A31137" w:rsidRPr="00A31137" w:rsidRDefault="00A31137" w:rsidP="00A31137">
      <w:r w:rsidRPr="00A31137">
        <w:t>1984 Democratic Platform, p.5</w:t>
      </w:r>
    </w:p>
    <w:p w:rsidR="00A31137" w:rsidRPr="00A31137" w:rsidRDefault="00A31137" w:rsidP="00A31137">
      <w:r w:rsidRPr="00A31137">
        <w:t xml:space="preserve">The work force is also aging. For the first time in this century, the average American is 31 years of age. Coupled with greater longevity and the gradual elimination of mandatory retirement rules, older workers can be expected to increase steadily their share of the total work force. </w:t>
      </w:r>
    </w:p>
    <w:p w:rsidR="00A31137" w:rsidRPr="00A31137" w:rsidRDefault="00A31137" w:rsidP="00A31137">
      <w:r w:rsidRPr="00A31137">
        <w:t>1984 Democratic Platform, p.5</w:t>
      </w:r>
    </w:p>
    <w:p w:rsidR="00A31137" w:rsidRPr="00A31137" w:rsidRDefault="00A31137" w:rsidP="00A31137">
      <w:r w:rsidRPr="00A31137">
        <w:t>Moreover, the kinds of jobs available in our economy are changing rapidly. The combined pressures of new products, new process technology, and foreign competition are changing the face of American industry.</w:t>
      </w:r>
    </w:p>
    <w:p w:rsidR="00A31137" w:rsidRPr="00A31137" w:rsidRDefault="00A31137" w:rsidP="00A31137">
      <w:r w:rsidRPr="00A31137">
        <w:t>1984 Democratic Platform, p.5</w:t>
      </w:r>
    </w:p>
    <w:p w:rsidR="00A31137" w:rsidRPr="00A31137" w:rsidRDefault="00A31137" w:rsidP="00A31137">
      <w:r w:rsidRPr="00A31137">
        <w:t xml:space="preserve">New technologies, shifting economics and deregulation have opened up dozens of new careers both in traditional industrial concerns and in new businesses. Many of them did not exist at all only a few years ago. </w:t>
      </w:r>
    </w:p>
    <w:p w:rsidR="00A31137" w:rsidRPr="00A31137" w:rsidRDefault="00A31137" w:rsidP="00A31137">
      <w:r w:rsidRPr="00A31137">
        <w:t>1984 Democratic Platform, p.5</w:t>
      </w:r>
    </w:p>
    <w:p w:rsidR="00A31137" w:rsidRPr="00A31137" w:rsidRDefault="00A31137" w:rsidP="00A31137">
      <w:r w:rsidRPr="00A31137">
        <w:t xml:space="preserve">And the change is far from over. In setting national policy, a government that ignores that change is bound to fail. In setting national policy, a government that ignores the future is short-changing the American people. </w:t>
      </w:r>
    </w:p>
    <w:p w:rsidR="00A31137" w:rsidRPr="00A31137" w:rsidRDefault="00A31137" w:rsidP="00A31137">
      <w:r w:rsidRPr="00A31137">
        <w:t>1984 Democratic Platform, p.5</w:t>
      </w:r>
    </w:p>
    <w:p w:rsidR="00A31137" w:rsidRPr="00A31137" w:rsidRDefault="00A31137" w:rsidP="00A31137">
      <w:r w:rsidRPr="00A31137">
        <w:t>Third, the Reagan program has ignored the fundamental changes that are sweeping through the structure of American industry, the diversity of the economy and the challenges various sectors face. New products and new ways of manufacturing are part of the change. High technology is creating new competitive industries, and holding out the promise of making older industries competitive once again.</w:t>
      </w:r>
    </w:p>
    <w:p w:rsidR="00A31137" w:rsidRPr="00A31137" w:rsidRDefault="00A31137" w:rsidP="00A31137">
      <w:r w:rsidRPr="00A31137">
        <w:t>1984 Democratic Platform, p.6</w:t>
      </w:r>
    </w:p>
    <w:p w:rsidR="00A31137" w:rsidRPr="00A31137" w:rsidRDefault="00A31137" w:rsidP="00A31137">
      <w:r w:rsidRPr="00A31137">
        <w:t>[p.6] Foreign competition has also had a major impact. But the tide runs much deeper than that.</w:t>
      </w:r>
    </w:p>
    <w:p w:rsidR="00A31137" w:rsidRPr="00A31137" w:rsidRDefault="00A31137" w:rsidP="00A31137">
      <w:r w:rsidRPr="00A31137">
        <w:t>1984 Democratic Platform, p.6</w:t>
      </w:r>
    </w:p>
    <w:p w:rsidR="00A31137" w:rsidRPr="00A31137" w:rsidRDefault="00A31137" w:rsidP="00A31137">
      <w:r w:rsidRPr="00A31137">
        <w:t>In the past decade, small business and new entrepreneurs have become more and more of a driving force in the American economy. Small businesses are a growing force in innovation, employment, and the long-term strength of the American economy.</w:t>
      </w:r>
    </w:p>
    <w:p w:rsidR="00A31137" w:rsidRPr="00A31137" w:rsidRDefault="00A31137" w:rsidP="00A31137">
      <w:r w:rsidRPr="00A31137">
        <w:t>1984 Democratic Platform, p.6</w:t>
      </w:r>
    </w:p>
    <w:p w:rsidR="00A31137" w:rsidRPr="00A31137" w:rsidRDefault="00A31137" w:rsidP="00A31137">
      <w:r w:rsidRPr="00A31137">
        <w:t>Technology itself appears to be changing the optimal size of American businesses. And unlike the conglomerate mergers of the 1960's, renewed emphasis on quality and efficient production has shifted the focus back to industry-specific experience.</w:t>
      </w:r>
    </w:p>
    <w:p w:rsidR="00A31137" w:rsidRPr="00A31137" w:rsidRDefault="00A31137" w:rsidP="00A31137">
      <w:r w:rsidRPr="00A31137">
        <w:t>1984 Democratic Platform, p.6</w:t>
      </w:r>
    </w:p>
    <w:p w:rsidR="00A31137" w:rsidRPr="00A31137" w:rsidRDefault="00A31137" w:rsidP="00A31137">
      <w:r w:rsidRPr="00A31137">
        <w:t>An Administration that sets tax policy, spending priorities, and an overall growth program without understanding the new dynamics and the diversity of American industry is weakening, rather than strengthening the American economy.</w:t>
      </w:r>
    </w:p>
    <w:p w:rsidR="00A31137" w:rsidRPr="00A31137" w:rsidRDefault="00A31137" w:rsidP="00A31137">
      <w:r w:rsidRPr="00A31137">
        <w:t>1984 Democratic Platform, p.6</w:t>
      </w:r>
    </w:p>
    <w:p w:rsidR="00A31137" w:rsidRPr="00A31137" w:rsidRDefault="00A31137" w:rsidP="00A31137">
      <w:r w:rsidRPr="00A31137">
        <w:t>Reaganomics is based on the theory that blanket-tax cuts for business and the rich would turn directly into higher productivity that private investors and industry would use the money saved to restore our edge in innovation and competitiveness.</w:t>
      </w:r>
    </w:p>
    <w:p w:rsidR="00A31137" w:rsidRPr="00A31137" w:rsidRDefault="00A31137" w:rsidP="00A31137">
      <w:r w:rsidRPr="00A31137">
        <w:t>1984 Democratic Platform, p.6</w:t>
      </w:r>
    </w:p>
    <w:p w:rsidR="00A31137" w:rsidRPr="00A31137" w:rsidRDefault="00A31137" w:rsidP="00A31137">
      <w:r w:rsidRPr="00A31137">
        <w:t>In practice, the theory failed because it did not take into account the diversity within our economy. The economy is composed of a set of complex public and private institutions which are intricately interrelated and increasingly influenced by the pressures of international competition. In the international economy, multinational companies and governments cooperate to win trade advantage, often at American expense.</w:t>
      </w:r>
    </w:p>
    <w:p w:rsidR="00A31137" w:rsidRPr="00A31137" w:rsidRDefault="00A31137" w:rsidP="00A31137">
      <w:r w:rsidRPr="00A31137">
        <w:t>1984 Democratic Platform, p.6</w:t>
      </w:r>
    </w:p>
    <w:p w:rsidR="00A31137" w:rsidRPr="00A31137" w:rsidRDefault="00A31137" w:rsidP="00A31137">
      <w:r w:rsidRPr="00A31137">
        <w:t>We are coming to understand that in an expanding number of markets, industrial strategies, rather than just the energies of individual firms, influence competitive success. Indeed, success in marketing a product may depend more on the quality and productivity of the relationship between government and business than on the quality of the product. While several foreign industrial strategies have failed, foreign governments are becoming more sophisticated in the design and conduct of their industrial strategies. The Reagan Administration is not.</w:t>
      </w:r>
    </w:p>
    <w:p w:rsidR="00A31137" w:rsidRPr="00A31137" w:rsidRDefault="00A31137" w:rsidP="00A31137">
      <w:r w:rsidRPr="00A31137">
        <w:t>1984 Democratic Platform, p.6</w:t>
      </w:r>
    </w:p>
    <w:p w:rsidR="00A31137" w:rsidRPr="00A31137" w:rsidRDefault="00A31137" w:rsidP="00A31137">
      <w:r w:rsidRPr="00A31137">
        <w:t>Fourth, the Reagan Administration has acted as if deficits do not count. The deficits are huge and are expected to get larger—and they are a major negative factor in everything from high interest rates to the third world debt crisis.</w:t>
      </w:r>
    </w:p>
    <w:p w:rsidR="00A31137" w:rsidRPr="00A31137" w:rsidRDefault="00A31137" w:rsidP="00A31137">
      <w:r w:rsidRPr="00A31137">
        <w:t>1984 Democratic Platform, p.6</w:t>
      </w:r>
    </w:p>
    <w:p w:rsidR="00A31137" w:rsidRPr="00A31137" w:rsidRDefault="00A31137" w:rsidP="00A31137">
      <w:r w:rsidRPr="00A31137">
        <w:t>—Because of the huge tax cuts to benefit the wealthy, and an enormous military buildup bought on credit, the federal deficit in 1983 was equivalent to 6% of our GNP. In dollars it amounted to almost 200 billion—more than three times larger than the deficit Ronald Reagan campaigned against in 1980.</w:t>
      </w:r>
    </w:p>
    <w:p w:rsidR="00A31137" w:rsidRPr="00A31137" w:rsidRDefault="00A31137" w:rsidP="00A31137">
      <w:r w:rsidRPr="00A31137">
        <w:t>1984 Democratic Platform, p.6</w:t>
      </w:r>
    </w:p>
    <w:p w:rsidR="00A31137" w:rsidRPr="00A31137" w:rsidRDefault="00A31137" w:rsidP="00A31137">
      <w:r w:rsidRPr="00A31137">
        <w:t>—Under the budget Reagan proposed to Congress earlier this year, the annual deficit would grow to $248 billion by 1989, and unless he makes major changes in current policy, it will exceed $300 billion. Reagan doubled the national debt during his first term. Given eight years, he will have tripled it. According to the proposed budget, at the end of his second term Reagan by himself will have put this country three times deeper into debt than all our other Presidents combined.</w:t>
      </w:r>
    </w:p>
    <w:p w:rsidR="00A31137" w:rsidRPr="00A31137" w:rsidRDefault="00A31137" w:rsidP="00A31137">
      <w:r w:rsidRPr="00A31137">
        <w:t>1984 Democratic Platform, p.6</w:t>
      </w:r>
    </w:p>
    <w:p w:rsidR="00A31137" w:rsidRPr="00A31137" w:rsidRDefault="00A31137" w:rsidP="00A31137">
      <w:r w:rsidRPr="00A31137">
        <w:t>—As the Reagan debt hangs over us, more and more of our tax dollars are going nowhere. By 1989, the percentage of federal revenues to be spent on deficit interest payments alone will have doubled. These unproductive payments will claim a staggering 42¢ on every personal income tax dollar we pay. This huge allocation will do nothing to reduce the principal of the debt: it will only finance the interest payments.</w:t>
      </w:r>
    </w:p>
    <w:p w:rsidR="00A31137" w:rsidRPr="00A31137" w:rsidRDefault="00A31137" w:rsidP="00A31137">
      <w:r w:rsidRPr="00A31137">
        <w:t>1984 Democratic Platform, p.6</w:t>
      </w:r>
    </w:p>
    <w:p w:rsidR="00A31137" w:rsidRPr="00A31137" w:rsidRDefault="00A31137" w:rsidP="00A31137">
      <w:r w:rsidRPr="00A31137">
        <w:t>—The interest payments on Reagan's debt are grossly out of line with historical spending patterns. Since 1981, more money has been squandered on interest payments on the Reagan-created debt alone than has been saved by all of Reagan's cuts in domestic spending. Non-defense discretionary spending, to be productively invested in programs to benefit the poor and middle class, and to build our social capital, is being overwhelmed by the enormous sum of money wasted on interest payments. By 1989, the annual payment will account for twice the percentage of federal revenue that we have ever set aside for such discretionary programs.</w:t>
      </w:r>
    </w:p>
    <w:p w:rsidR="00A31137" w:rsidRPr="00A31137" w:rsidRDefault="00A31137" w:rsidP="00A31137">
      <w:r w:rsidRPr="00A31137">
        <w:t>1984 Democratic Platform, p.6</w:t>
      </w:r>
    </w:p>
    <w:p w:rsidR="00A31137" w:rsidRPr="00A31137" w:rsidRDefault="00A31137" w:rsidP="00A31137">
      <w:r w:rsidRPr="00A31137">
        <w:t>—Interest payments on the debt are rising at an alarming rate. Today the annual payment has already reached $110 billion—twice what it was four years ago. During a second Reagan term, it will double again, reaching $207 billion by 1989.</w:t>
      </w:r>
    </w:p>
    <w:p w:rsidR="00A31137" w:rsidRPr="00A31137" w:rsidRDefault="00A31137" w:rsidP="00A31137">
      <w:r w:rsidRPr="00A31137">
        <w:t>1984 Democratic Platform, p.6</w:t>
      </w:r>
    </w:p>
    <w:p w:rsidR="00A31137" w:rsidRPr="00A31137" w:rsidRDefault="00A31137" w:rsidP="00A31137">
      <w:r w:rsidRPr="00A31137">
        <w:t>—The consequences for the individual taxpayer are enormous. Deficit increases under Reagan so far are equivalent to $2,387 levied from every woman, man and child alive in the United States today.</w:t>
      </w:r>
    </w:p>
    <w:p w:rsidR="00A31137" w:rsidRPr="00A31137" w:rsidRDefault="00A31137" w:rsidP="00A31137">
      <w:r w:rsidRPr="00A31137">
        <w:t>1984 Democratic Platform, p.6</w:t>
      </w:r>
    </w:p>
    <w:p w:rsidR="00A31137" w:rsidRPr="00A31137" w:rsidRDefault="00A31137" w:rsidP="00A31137">
      <w:r w:rsidRPr="00A31137">
        <w:t xml:space="preserve">—The consequences for the nation as a whole are also enormous. The massive government borrowing necessary to service the debt will amount to about three-quarters of the entire nation's net savings between 1983 and 1986. [p.7] </w:t>
      </w:r>
    </w:p>
    <w:p w:rsidR="00A31137" w:rsidRPr="00A31137" w:rsidRDefault="00A31137" w:rsidP="00A31137">
      <w:r w:rsidRPr="00A31137">
        <w:t>1984 Democratic Platform, p.7</w:t>
      </w:r>
    </w:p>
    <w:p w:rsidR="00A31137" w:rsidRPr="00A31137" w:rsidRDefault="00A31137" w:rsidP="00A31137">
      <w:r w:rsidRPr="00A31137">
        <w:t>The pressure of the deficits on interest rates has sucked in a wave of overseas investment. Some of those investments have been made in manufacturing plants or other commercial enterprises. Much of the foreign money, however, is in the term of portfolio holdings or even more liquid short-term bank deposits. It is an uncertain source for savings for a long-term investment program. To a limited degree, it puts the country in the same risky position as Continental Illinois Bank which relied heavily on short-term foreign deposits to make long-term domestic loans</w:t>
      </w:r>
    </w:p>
    <w:p w:rsidR="00A31137" w:rsidRPr="00A31137" w:rsidRDefault="00A31137" w:rsidP="00A31137">
      <w:r w:rsidRPr="00A31137">
        <w:t>1984 Democratic Platform, p.7</w:t>
      </w:r>
    </w:p>
    <w:p w:rsidR="00A31137" w:rsidRPr="00A31137" w:rsidRDefault="00A31137" w:rsidP="00A31137">
      <w:r w:rsidRPr="00A31137">
        <w:t>High interest rates will eventually take their toll on domestic investment, make their own contribution to inflationary pressure (while eventually slowing growth and inflation), and increase the tensions in the domestic banking system. They will also have a potentially devastating impact on the international economy. Each percentage point rise in U.S. interest rates adds $3-5 billion to the annual debt payments of the developing world. High American interest rates have also put added pressure on interest rates in the industrial democracies, dampening their own prospects for growth, and their ability to buy our goods.</w:t>
      </w:r>
    </w:p>
    <w:p w:rsidR="00A31137" w:rsidRPr="00A31137" w:rsidRDefault="00A31137" w:rsidP="00A31137">
      <w:r w:rsidRPr="00A31137">
        <w:t>1984 Democratic Platform, p.7</w:t>
      </w:r>
    </w:p>
    <w:p w:rsidR="00A31137" w:rsidRPr="00A31137" w:rsidRDefault="00A31137" w:rsidP="00A31137">
      <w:r w:rsidRPr="00A31137">
        <w:t>Fifth, and finally, the Reagan Administration has virtually wished away the role of government. When it comes to the economy, its view is that the government that governs best is one that governs not at all.</w:t>
      </w:r>
    </w:p>
    <w:p w:rsidR="00A31137" w:rsidRPr="00A31137" w:rsidRDefault="00A31137" w:rsidP="00A31137">
      <w:r w:rsidRPr="00A31137">
        <w:t>1984 Democratic Platform, p.7</w:t>
      </w:r>
    </w:p>
    <w:p w:rsidR="00A31137" w:rsidRPr="00A31137" w:rsidRDefault="00A31137" w:rsidP="00A31137">
      <w:r w:rsidRPr="00A31137">
        <w:t>A Democratic Administration must answer this challenge reaffirming the principle that government must both "provide for the common defense" and "promote the general welfare" as coequal responsibilities under the Constitution. If the Democratic Party can succeed in correcting the present imbalance, it will reverse the cycle of pain and despair, and recapture the initiative in the area of social and economic progress.</w:t>
      </w:r>
    </w:p>
    <w:p w:rsidR="00A31137" w:rsidRPr="00A31137" w:rsidRDefault="00A31137" w:rsidP="00A31137">
      <w:r w:rsidRPr="00A31137">
        <w:t>1984 Democratic Platform, p.7</w:t>
      </w:r>
    </w:p>
    <w:p w:rsidR="00A31137" w:rsidRPr="00A31137" w:rsidRDefault="00A31137" w:rsidP="00A31137">
      <w:r w:rsidRPr="00A31137">
        <w:t>The Reagan Administration succeeded in shifting massive resources from human needs functions of the Federal budget to military-related functions and created unprecedented deficits based on the assumption that government should have a diminished responsibility for social progress, and thus, for the welfare of the needy and disadvantaged in society. The resulting Reagan-induced recession caused trememdous suffering, threw millions of people out of work, terminated or reduced benefits, and raised the national misery index.</w:t>
      </w:r>
    </w:p>
    <w:p w:rsidR="00A31137" w:rsidRPr="00A31137" w:rsidRDefault="00A31137" w:rsidP="00A31137">
      <w:r w:rsidRPr="00A31137">
        <w:t>1984 Democratic Platform, p.7</w:t>
      </w:r>
    </w:p>
    <w:p w:rsidR="00A31137" w:rsidRPr="00A31137" w:rsidRDefault="00A31137" w:rsidP="00A31137">
      <w:r w:rsidRPr="00A31137">
        <w:t>Mr. Reagan denies government's critical role in our economy. Government cannot, and should not, dominate our free enterprise economy. But American prosperity has been most pronounced when the government played a supportive or catalytic role in the nation's economic fortunes. There are a wide variety of examples stretching back through our entire history: government investments in roads and research, in education and training: government initiatives in opening up new economic possibilities, initiatives that started with the decision to protect domestic markets shortly after the Revolution to the ongoing commercial development of space.</w:t>
      </w:r>
    </w:p>
    <w:p w:rsidR="00A31137" w:rsidRPr="00A31137" w:rsidRDefault="00A31137" w:rsidP="00A31137">
      <w:r w:rsidRPr="00A31137">
        <w:t>1984 Democratic Platform, p.7</w:t>
      </w:r>
    </w:p>
    <w:p w:rsidR="00A31137" w:rsidRPr="00A31137" w:rsidRDefault="00A31137" w:rsidP="00A31137">
      <w:r w:rsidRPr="00A31137">
        <w:t>Agriculture is a clear example of government cooperation with a highly competitive private sector that has yielded a harvest of economic results that is the envy of the world. The government helps fund the research, helps spread it through the economy, educates the modern farmer, influences production levels, and helps develop new markets overseas. It is America's most conspicuous example of a successful industrial strategy—combining the cooperative efforts of business, government and our universities.</w:t>
      </w:r>
    </w:p>
    <w:p w:rsidR="00A31137" w:rsidRPr="00A31137" w:rsidRDefault="00A31137" w:rsidP="00A31137">
      <w:r w:rsidRPr="00A31137">
        <w:t>Reagan's Recession and A Recovery Built on Debt</w:t>
      </w:r>
    </w:p>
    <w:p w:rsidR="00A31137" w:rsidRPr="00A31137" w:rsidRDefault="00A31137" w:rsidP="00A31137">
      <w:r w:rsidRPr="00A31137">
        <w:t>1984 Democratic Platform, p.7</w:t>
      </w:r>
    </w:p>
    <w:p w:rsidR="00A31137" w:rsidRPr="00A31137" w:rsidRDefault="00A31137" w:rsidP="00A31137">
      <w:r w:rsidRPr="00A31137">
        <w:t>The Economic Roller Coaster—Following the first oil shock in 1973, the United States embarked on a ten year economic roller coaster. The up and down performance of the economy was paralleled by erratic macroeconomic policy. There were wide swings from stimulative fiscal and monetary policies causing raging inflation, to government-engineered recessions.</w:t>
      </w:r>
    </w:p>
    <w:p w:rsidR="00A31137" w:rsidRPr="00A31137" w:rsidRDefault="00A31137" w:rsidP="00A31137">
      <w:r w:rsidRPr="00A31137">
        <w:t>1984 Democratic Platform, p.7</w:t>
      </w:r>
    </w:p>
    <w:p w:rsidR="00A31137" w:rsidRPr="00A31137" w:rsidRDefault="00A31137" w:rsidP="00A31137">
      <w:r w:rsidRPr="00A31137">
        <w:t>The frequency of the cycles created a climate of uncertainty that was tailor-made to discourage and distort investment. Each cycle left the economy weaker than the one before. At the end of each recession the level of inflation was higher, and at the end of each recovery the level of unemployment had risen.</w:t>
      </w:r>
    </w:p>
    <w:p w:rsidR="00A31137" w:rsidRPr="00A31137" w:rsidRDefault="00A31137" w:rsidP="00A31137">
      <w:r w:rsidRPr="00A31137">
        <w:t>1984 Democratic Platform, p.7</w:t>
      </w:r>
    </w:p>
    <w:p w:rsidR="00A31137" w:rsidRPr="00A31137" w:rsidRDefault="00A31137" w:rsidP="00A31137">
      <w:r w:rsidRPr="00A31137">
        <w:t xml:space="preserve">Even more disturbing was the decline in the rate of growth or productivity. By the end of the 1970's, productivity growth first stopped and then fell. Productivity growth has finally resumed—but the rate of growth remains disappointing compared both to our own economic past and the performance of other industrial economies. </w:t>
      </w:r>
    </w:p>
    <w:p w:rsidR="00A31137" w:rsidRPr="00A31137" w:rsidRDefault="00A31137" w:rsidP="00A31137">
      <w:r w:rsidRPr="00A31137">
        <w:t>1984 Democratic Platform, p.7</w:t>
      </w:r>
    </w:p>
    <w:p w:rsidR="00A31137" w:rsidRPr="00A31137" w:rsidRDefault="00A31137" w:rsidP="00A31137">
      <w:r w:rsidRPr="00A31137">
        <w:t>Reaganomics and an Election Year Recovery—Ronald Reagan swept into office on the promise of a smaller government and a bigger private sector, of higher GNP and lower inflation, and of the elimination of federal deficits.</w:t>
      </w:r>
    </w:p>
    <w:p w:rsidR="00A31137" w:rsidRPr="00A31137" w:rsidRDefault="00A31137" w:rsidP="00A31137">
      <w:r w:rsidRPr="00A31137">
        <w:t>1984 Democratic Platform, p.7</w:t>
      </w:r>
    </w:p>
    <w:p w:rsidR="00A31137" w:rsidRPr="00A31137" w:rsidRDefault="00A31137" w:rsidP="00A31137">
      <w:r w:rsidRPr="00A31137">
        <w:t>First, he proposed huge tax cuts. Mr. Reagan went so far as to suggest that the growth caused by his tax cuts would be so rapid that total tax revenues would actually rise even while tax rates were cut.</w:t>
      </w:r>
    </w:p>
    <w:p w:rsidR="00A31137" w:rsidRPr="00A31137" w:rsidRDefault="00A31137" w:rsidP="00A31137">
      <w:r w:rsidRPr="00A31137">
        <w:t>1984 Democratic Platform, p.7</w:t>
      </w:r>
    </w:p>
    <w:p w:rsidR="00A31137" w:rsidRPr="00A31137" w:rsidRDefault="00A31137" w:rsidP="00A31137">
      <w:r w:rsidRPr="00A31137">
        <w:t>Second, he promised a huge defense build-up.</w:t>
      </w:r>
    </w:p>
    <w:p w:rsidR="00A31137" w:rsidRPr="00A31137" w:rsidRDefault="00A31137" w:rsidP="00A31137">
      <w:r w:rsidRPr="00A31137">
        <w:t>1984 Democratic Platform, p.8</w:t>
      </w:r>
    </w:p>
    <w:p w:rsidR="00A31137" w:rsidRPr="00A31137" w:rsidRDefault="00A31137" w:rsidP="00A31137">
      <w:r w:rsidRPr="00A31137">
        <w:t>[p.8] Third, he promised stable prices. How was he going to contain prices while stimulating rapid growth? His answer was tight money.</w:t>
      </w:r>
    </w:p>
    <w:p w:rsidR="00A31137" w:rsidRPr="00A31137" w:rsidRDefault="00A31137" w:rsidP="00A31137">
      <w:r w:rsidRPr="00A31137">
        <w:t>1984 Democratic Platform, p.8</w:t>
      </w:r>
    </w:p>
    <w:p w:rsidR="00A31137" w:rsidRPr="00A31137" w:rsidRDefault="00A31137" w:rsidP="00A31137">
      <w:r w:rsidRPr="00A31137">
        <w:t>Fourth, the supply-siders promised growth and stable prices without the intervening pain of a recession. In effect, Reagan promised tight money without tears.</w:t>
      </w:r>
    </w:p>
    <w:p w:rsidR="00A31137" w:rsidRPr="00A31137" w:rsidRDefault="00A31137" w:rsidP="00A31137">
      <w:r w:rsidRPr="00A31137">
        <w:t>1984 Democratic Platform, p.8</w:t>
      </w:r>
    </w:p>
    <w:p w:rsidR="00A31137" w:rsidRPr="00A31137" w:rsidRDefault="00A31137" w:rsidP="00A31137">
      <w:r w:rsidRPr="00A31137">
        <w:t>Cut taxes but raise more revenues. Arm to the teeth. Growth with stable prices. Tight money and no hard times. It just did not work out that way. Worse, there was never any reason to expect that it would. Reagan's kind of tax cuts were based neither on rational economic theory nor on any empirical evidence. And wishing simply did not make it so. George Bush was right when he called Reaganomics "voodoo economics".</w:t>
      </w:r>
    </w:p>
    <w:p w:rsidR="00A31137" w:rsidRPr="00A31137" w:rsidRDefault="00A31137" w:rsidP="00A31137">
      <w:r w:rsidRPr="00A31137">
        <w:t>1984 Democratic Platform, p.8</w:t>
      </w:r>
    </w:p>
    <w:p w:rsidR="00A31137" w:rsidRPr="00A31137" w:rsidRDefault="00A31137" w:rsidP="00A31137">
      <w:r w:rsidRPr="00A31137">
        <w:t>Instead of growth, the country had plunging production and record unemployment. Instead of increased savings and investment, the country had bankruptcy and economic decline. The Reagan policies, which were supposed to break the cycle of inflation and recession, only made it worse.</w:t>
      </w:r>
    </w:p>
    <w:p w:rsidR="00A31137" w:rsidRPr="00A31137" w:rsidRDefault="00A31137" w:rsidP="00A31137">
      <w:r w:rsidRPr="00A31137">
        <w:t>1984 Democratic Platform, p.8</w:t>
      </w:r>
    </w:p>
    <w:p w:rsidR="00A31137" w:rsidRPr="00A31137" w:rsidRDefault="00A31137" w:rsidP="00A31137">
      <w:r w:rsidRPr="00A31137">
        <w:t>Reagan cut domestic programs, but more than offset those cuts with vastly increased defense spending. The Government significantly reduced the growth of the money supply and kept real interest rates high. For a recession, real interest rates reached record highs. These interest rates brought an added problem. They attracted foreign funds and helped drive up the international value of the dollar. American business was faced with a double whammy—empty order books and high interest rates. For the increasingly large part of American business that either sells overseas or competes with imports at home, the over-valued dollar abroad meant their products cost far more compared to the foreign competition.</w:t>
      </w:r>
    </w:p>
    <w:p w:rsidR="00A31137" w:rsidRPr="00A31137" w:rsidRDefault="00A31137" w:rsidP="00A31137">
      <w:r w:rsidRPr="00A31137">
        <w:t>1984 Democratic Platform, p.8</w:t>
      </w:r>
    </w:p>
    <w:p w:rsidR="00A31137" w:rsidRPr="00A31137" w:rsidRDefault="00A31137" w:rsidP="00A31137">
      <w:r w:rsidRPr="00A31137">
        <w:t>Reagan effectively created a tax on exports and a subsidy for imports. It was a climate that forced record bankruptcies, enormous unemployment, plant closings, and major corporate reorganizaions. It was the largest and most severe economic collapse since the Great Depression.</w:t>
      </w:r>
    </w:p>
    <w:p w:rsidR="00A31137" w:rsidRPr="00A31137" w:rsidRDefault="00A31137" w:rsidP="00A31137">
      <w:r w:rsidRPr="00A31137">
        <w:t>1984 Democratic Platform, p.8</w:t>
      </w:r>
    </w:p>
    <w:p w:rsidR="00A31137" w:rsidRPr="00A31137" w:rsidRDefault="00A31137" w:rsidP="00A31137">
      <w:r w:rsidRPr="00A31137">
        <w:t>The Reagan Administration then prepared for the election year by "staying the course" in fiscal policy (pumping up demand with huge deficits) and sharply reversing the course in monetary policy.</w:t>
      </w:r>
    </w:p>
    <w:p w:rsidR="00A31137" w:rsidRPr="00A31137" w:rsidRDefault="00A31137" w:rsidP="00A31137">
      <w:r w:rsidRPr="00A31137">
        <w:t>1984 Democratic Platform, p.8</w:t>
      </w:r>
    </w:p>
    <w:p w:rsidR="00A31137" w:rsidRPr="00A31137" w:rsidRDefault="00A31137" w:rsidP="00A31137">
      <w:r w:rsidRPr="00A31137">
        <w:t>The Federal Reserve Board rapidly expanded the supply of money and the economy ceased to decline and began to recover.</w:t>
      </w:r>
    </w:p>
    <w:p w:rsidR="00A31137" w:rsidRPr="00A31137" w:rsidRDefault="00A31137" w:rsidP="00A31137">
      <w:r w:rsidRPr="00A31137">
        <w:t>1984 Democratic Platform, p.8</w:t>
      </w:r>
    </w:p>
    <w:p w:rsidR="00A31137" w:rsidRPr="00A31137" w:rsidRDefault="00A31137" w:rsidP="00A31137">
      <w:r w:rsidRPr="00A31137">
        <w:t>The Millions Left Behind—But millions of Americans were left behind. Over the last two years, 1.8 million men and women have became discouraged workers and more than 5.4 million have fallen into poverty. Nearly half of all minority youth are unemployed, and Black males have effectively lost 13 percent of their labor force participation in the last two decades. Unemployment on Indian reservations continues to be among the highest in the nation. The U.S.-Mexico border has been devastated by the currency devaluations and economic crisis in Mexico. Small businesses have closed: American families are suffering hunger and poor health, as unemployment exceeds depression rates. Women continue to receive less than 60 percent of the wages that men receive, with minority women receiving far less. Millions of other Americans, including the growing number of women heading poor households or those who have been hard-hit by plant closings or obsolescent skills, avidly seek training or retraining in occupations that hold real promise for sustained employment opportunities in the future.</w:t>
      </w:r>
    </w:p>
    <w:p w:rsidR="00A31137" w:rsidRPr="00A31137" w:rsidRDefault="00A31137" w:rsidP="00A31137">
      <w:r w:rsidRPr="00A31137">
        <w:t>1984 Democratic Platform, p.8</w:t>
      </w:r>
    </w:p>
    <w:p w:rsidR="00A31137" w:rsidRPr="00A31137" w:rsidRDefault="00A31137" w:rsidP="00A31137">
      <w:r w:rsidRPr="00A31137">
        <w:t>Millions of Americans, including those in the industrial and agricultural heartland, have been severely affected by the recent recession and the transformation in American industry that accompanied it. Furthermore, the changes seem to have come very quickly, and they do not seem to be over. Many Americans worked in auto, steel, machine tool, textile, agriculture and small business and related industries. Today for many of them, the recovery is a fiction, or seems very fragile. Plant closings have hit hard and job security and loss of health and pension benefits evoke memories from the past.</w:t>
      </w:r>
    </w:p>
    <w:p w:rsidR="00A31137" w:rsidRPr="00A31137" w:rsidRDefault="00A31137" w:rsidP="00A31137">
      <w:r w:rsidRPr="00A31137">
        <w:t>1984 Democratic Platform, p.8</w:t>
      </w:r>
    </w:p>
    <w:p w:rsidR="00A31137" w:rsidRPr="00A31137" w:rsidRDefault="00A31137" w:rsidP="00A31137">
      <w:r w:rsidRPr="00A31137">
        <w:t>Investment in jobs for all Americans constitutes the key investment for the future of the nation. For every one million workers who go back to work, our country produces an additional $60-70 billion in goods and adds $25 billion to the Federal treasury. The Democratic Party will work aggressively to stimulate employment, rebuild trade and encourage labor-intensive industrialization.</w:t>
      </w:r>
    </w:p>
    <w:p w:rsidR="00A31137" w:rsidRPr="00A31137" w:rsidRDefault="00A31137" w:rsidP="00A31137">
      <w:r w:rsidRPr="00A31137">
        <w:t>Seven Threats to the Recovery</w:t>
      </w:r>
    </w:p>
    <w:p w:rsidR="00A31137" w:rsidRPr="00A31137" w:rsidRDefault="00A31137" w:rsidP="00A31137">
      <w:r w:rsidRPr="00A31137">
        <w:t>1984 Democratic Platform, p.8</w:t>
      </w:r>
    </w:p>
    <w:p w:rsidR="00A31137" w:rsidRPr="00A31137" w:rsidRDefault="00A31137" w:rsidP="00A31137">
      <w:r w:rsidRPr="00A31137">
        <w:t>The current election year recovery is in serious jeopardy, threatened by a series of major economic problems:</w:t>
      </w:r>
    </w:p>
    <w:p w:rsidR="00A31137" w:rsidRPr="00A31137" w:rsidRDefault="00A31137" w:rsidP="00A31137">
      <w:r w:rsidRPr="00A31137">
        <w:t>1984 Democratic Platform, p.8</w:t>
      </w:r>
    </w:p>
    <w:p w:rsidR="00A31137" w:rsidRPr="00A31137" w:rsidRDefault="00A31137" w:rsidP="00A31137">
      <w:r w:rsidRPr="00A31137">
        <w:t>* Unless corrective action is taken soon, the current $180 billion deficit will balloon even larger by the end of the decade.</w:t>
      </w:r>
    </w:p>
    <w:p w:rsidR="00A31137" w:rsidRPr="00A31137" w:rsidRDefault="00A31137" w:rsidP="00A31137">
      <w:r w:rsidRPr="00A31137">
        <w:t>1984 Democratic Platform, p.8</w:t>
      </w:r>
    </w:p>
    <w:p w:rsidR="00A31137" w:rsidRPr="00A31137" w:rsidRDefault="00A31137" w:rsidP="00A31137">
      <w:r w:rsidRPr="00A31137">
        <w:t>* Interest rates are high and rising. The prime rate has jumped one and one haft percentage points. A credit crunch is rapidly approaching in which federal borrowing for the deficit will overwhelm private demand for funds to fuel the recovery. Mortgage rates have risen to a point where home sales and housing [p.9] starts are beginning to fall. The variable rate mortgage that buffers the thrift industry against high interest rates may, in the near future, put the entire industry under pressure as steadily rising rates put mortgage payments beyond the reach of the average homeowner.</w:t>
      </w:r>
    </w:p>
    <w:p w:rsidR="00A31137" w:rsidRPr="00A31137" w:rsidRDefault="00A31137" w:rsidP="00A31137">
      <w:r w:rsidRPr="00A31137">
        <w:t>1984 Democratic Platform, p.9</w:t>
      </w:r>
    </w:p>
    <w:p w:rsidR="00A31137" w:rsidRPr="00A31137" w:rsidRDefault="00A31137" w:rsidP="00A31137">
      <w:r w:rsidRPr="00A31137">
        <w:t>* The Federal Reserve Board faced a deficit dilemma. By expanding the money supply to help finance the deceit, the Federal Reserve runs the risk of runaway inflation. But if it limits growth by restricting the money supply, high interest rates will distort growth or tip the economy back into recession.</w:t>
      </w:r>
    </w:p>
    <w:p w:rsidR="00A31137" w:rsidRPr="00A31137" w:rsidRDefault="00A31137" w:rsidP="00A31137">
      <w:r w:rsidRPr="00A31137">
        <w:t>1984 Democratic Platform, p.9</w:t>
      </w:r>
    </w:p>
    <w:p w:rsidR="00A31137" w:rsidRPr="00A31137" w:rsidRDefault="00A31137" w:rsidP="00A31137">
      <w:r w:rsidRPr="00A31137">
        <w:t>* The Reagan Administration has done nothing to solve America's repeated problem of reconciling steady growth with stable prices, except by causing a deep recession. Continuing high levels of unemployment still exist in various communities across the country. Many jobs have disappeared. The Reagan Administration is not interested in new forms of fighting inflation—its anti-inflation program amounts to little more than unemployment, tight money and union busting. It is a highly cynical economic selective service that drafts only the poor and the middle class to fight the war against inflation, Unrestrained by the demands of another election, a second Reagan Administration will be even less concerned about the impact of deep recession on the average working American.</w:t>
      </w:r>
    </w:p>
    <w:p w:rsidR="00A31137" w:rsidRPr="00A31137" w:rsidRDefault="00A31137" w:rsidP="00A31137">
      <w:r w:rsidRPr="00A31137">
        <w:t>1984 Democratic Platform, p.9</w:t>
      </w:r>
    </w:p>
    <w:p w:rsidR="00A31137" w:rsidRPr="00A31137" w:rsidRDefault="00A31137" w:rsidP="00A31137">
      <w:r w:rsidRPr="00A31137">
        <w:t>* Our trade deficit is a looming disaster for the national economy. An overvalued dollar, itself the product of high interest rates, helped create a nearly $70 billion trade deficit in 1983. It will be almost twice as large in 1984. Borrowing to support the deficits and buying abroad to maintain a recovery tilted toward consumption are eroding America's position as a creditor nation.</w:t>
      </w:r>
    </w:p>
    <w:p w:rsidR="00A31137" w:rsidRPr="00A31137" w:rsidRDefault="00A31137" w:rsidP="00A31137">
      <w:r w:rsidRPr="00A31137">
        <w:t>1984 Democratic Platform, p.9</w:t>
      </w:r>
    </w:p>
    <w:p w:rsidR="00A31137" w:rsidRPr="00A31137" w:rsidRDefault="00A31137" w:rsidP="00A31137">
      <w:r w:rsidRPr="00A31137">
        <w:t>* America is very much a part of the international economy. And the recovery overseas has been slow to catch hold. European economies are strained by the impact of high American interest rates on their own economies. For many developing countries, growth has been slowed or even reversed by the overhang of an enormous burden of commercial and official debt. If they cannot buy our products, our economy must slow.</w:t>
      </w:r>
    </w:p>
    <w:p w:rsidR="00A31137" w:rsidRPr="00A31137" w:rsidRDefault="00A31137" w:rsidP="00A31137">
      <w:r w:rsidRPr="00A31137">
        <w:t>1984 Democratic Platform, p.9</w:t>
      </w:r>
    </w:p>
    <w:p w:rsidR="00A31137" w:rsidRPr="00A31137" w:rsidRDefault="00A31137" w:rsidP="00A31137">
      <w:r w:rsidRPr="00A31137">
        <w:t>* The sheer size of the international debt burden is itself a threat to the recovery. It is not only a question of falling exports Latin America. The America and international financial system has been put in peril by the weakening of debtor nations' ability to repay their debt to U.S. banks as interest rates rise.</w:t>
      </w:r>
    </w:p>
    <w:p w:rsidR="00A31137" w:rsidRPr="00A31137" w:rsidRDefault="00A31137" w:rsidP="00A31137">
      <w:r w:rsidRPr="00A31137">
        <w:t>1984 Democratic Platform, p.9</w:t>
      </w:r>
    </w:p>
    <w:p w:rsidR="00A31137" w:rsidRPr="00A31137" w:rsidRDefault="00A31137" w:rsidP="00A31137">
      <w:r w:rsidRPr="00A31137">
        <w:t>Howard Baker called Mr. Reagan's policies a "riverboat gamble". We now know the outcome. The very wealthiest in out society have been big winners—but future generations of Americans will be the losers.</w:t>
      </w:r>
    </w:p>
    <w:p w:rsidR="00A31137" w:rsidRPr="00A31137" w:rsidRDefault="00A31137" w:rsidP="00A31137">
      <w:r w:rsidRPr="00A31137">
        <w:t>1984 Democratic Platform, p.9</w:t>
      </w:r>
    </w:p>
    <w:p w:rsidR="00A31137" w:rsidRPr="00A31137" w:rsidRDefault="00A31137" w:rsidP="00A31137">
      <w:r w:rsidRPr="00A31137">
        <w:t>The Americans coming of age today face a future less secure and less prosperous than their parents did—unless we change course. We have an obligation to our children and to their children. We Democrats have a different vision of our future.</w:t>
      </w:r>
    </w:p>
    <w:p w:rsidR="00A31137" w:rsidRPr="00A31137" w:rsidRDefault="00A31137" w:rsidP="00A31137">
      <w:r w:rsidRPr="00A31137">
        <w:t>The Democratic Alternative: A Prosperous America In A Changing World</w:t>
      </w:r>
    </w:p>
    <w:p w:rsidR="00A31137" w:rsidRPr="00A31137" w:rsidRDefault="00A31137" w:rsidP="00A31137">
      <w:r w:rsidRPr="00A31137">
        <w:t>1984 Democratic Platform, p.9</w:t>
      </w:r>
    </w:p>
    <w:p w:rsidR="00A31137" w:rsidRPr="00A31137" w:rsidRDefault="00A31137" w:rsidP="00A31137">
      <w:r w:rsidRPr="00A31137">
        <w:t xml:space="preserve">"There's a lot of people out there only making $3.35 an hour, and that's been since '81. That's a long time to be making $3.35 an hour…Costs of living have gone up considerably. The insurance has gone up, gas, lights, water. It's a whole lot different now, it's not the same as '81. I know times have changed, but why can't the $3.35 change with them? I would like to know that if anybody can answer. I urge the Democratic Party to develop policies and protect working people." </w:t>
      </w:r>
    </w:p>
    <w:p w:rsidR="00A31137" w:rsidRPr="00A31137" w:rsidRDefault="00A31137" w:rsidP="00A31137">
      <w:r w:rsidRPr="00A31137">
        <w:t>1984 Democratic Platform, p.9</w:t>
      </w:r>
    </w:p>
    <w:p w:rsidR="00A31137" w:rsidRPr="00A31137" w:rsidRDefault="00A31137" w:rsidP="00A31137">
      <w:r w:rsidRPr="00A31137">
        <w:t>Doris Smith, Steward, SEIU Local 706.(Democratic Platform Committee Hearing. Houston, Texas, May 29, 1984)</w:t>
      </w:r>
    </w:p>
    <w:p w:rsidR="00A31137" w:rsidRPr="00A31137" w:rsidRDefault="00A31137" w:rsidP="00A31137">
      <w:r w:rsidRPr="00A31137">
        <w:t>1984 Democratic Platform, p.9</w:t>
      </w:r>
    </w:p>
    <w:p w:rsidR="00A31137" w:rsidRPr="00A31137" w:rsidRDefault="00A31137" w:rsidP="00A31137">
      <w:r w:rsidRPr="00A31137">
        <w:t>"We do not have a surplus as long as one member of my family is hungry. He may live next door or on the other side of the world. However, it should not be the producer's responsibility to provide cheap food at the expense of his own children."</w:t>
      </w:r>
    </w:p>
    <w:p w:rsidR="00A31137" w:rsidRPr="00A31137" w:rsidRDefault="00A31137" w:rsidP="00A31137">
      <w:r w:rsidRPr="00A31137">
        <w:t>1984 Democratic Platform, p.9</w:t>
      </w:r>
    </w:p>
    <w:p w:rsidR="00A31137" w:rsidRPr="00A31137" w:rsidRDefault="00A31137" w:rsidP="00A31137">
      <w:r w:rsidRPr="00A31137">
        <w:t>Roberta Archer, Farmer, Springfield, Illinois(Democratic Platform Committee Hearing. Springfield, Illinois, April 27, 1984)</w:t>
      </w:r>
    </w:p>
    <w:p w:rsidR="00A31137" w:rsidRPr="00A31137" w:rsidRDefault="00A31137" w:rsidP="00A31137">
      <w:r w:rsidRPr="00A31137">
        <w:t>1984 Democratic Platform, p.9</w:t>
      </w:r>
    </w:p>
    <w:p w:rsidR="00A31137" w:rsidRPr="00A31137" w:rsidRDefault="00A31137" w:rsidP="00A31137">
      <w:r w:rsidRPr="00A31137">
        <w:t>"In the four years prior to Mr. Reagan taking over, I was fortunate to have four years of employment, and I was able to put money aside in savings accounts which since have been exhausted. My unemployment benefits are exhausted too…I may not qualify for any type of public assistance and the standard of living I was accustomed to for my wife and myself and my family has drastically changed… But we as Democrats can join together in harmony and unison and we decide what is the future or the fate of our people and what is good for all of us. So I am very proud to be a Democrat."</w:t>
      </w:r>
    </w:p>
    <w:p w:rsidR="00A31137" w:rsidRPr="00A31137" w:rsidRDefault="00A31137" w:rsidP="00A31137">
      <w:r w:rsidRPr="00A31137">
        <w:t>1984 Democratic Platform, p.9</w:t>
      </w:r>
    </w:p>
    <w:p w:rsidR="00A31137" w:rsidRPr="00A31137" w:rsidRDefault="00A31137" w:rsidP="00A31137">
      <w:r w:rsidRPr="00A31137">
        <w:t>James Price, unemployed mine worker(Democratic Platform Committee Hearing, Birmingham. Alabama, April 24, 1984)</w:t>
      </w:r>
    </w:p>
    <w:p w:rsidR="00A31137" w:rsidRPr="00A31137" w:rsidRDefault="00A31137" w:rsidP="00A31137">
      <w:r w:rsidRPr="00A31137">
        <w:t>1984 Democratic Platform, p.9</w:t>
      </w:r>
    </w:p>
    <w:p w:rsidR="00A31137" w:rsidRPr="00A31137" w:rsidRDefault="00A31137" w:rsidP="00A31137">
      <w:r w:rsidRPr="00A31137">
        <w:t>Democratic growth is not just a matter of good numbers, but of opportunities for people. Jobs and employment are at the center of Democratic thinking. It is not only a question of legislation or appropriations. Rather, it is a philosophy that views employment as the [p.10] ongoing concern of the country. Work in America is not an idle concept—but a definition of self, a door to future opportunity, and the key step in securing the economic necessities of the present.</w:t>
      </w:r>
    </w:p>
    <w:p w:rsidR="00A31137" w:rsidRPr="00A31137" w:rsidRDefault="00A31137" w:rsidP="00A31137">
      <w:r w:rsidRPr="00A31137">
        <w:t>1984 Democratic Platform, p.10</w:t>
      </w:r>
    </w:p>
    <w:p w:rsidR="00A31137" w:rsidRPr="00A31137" w:rsidRDefault="00A31137" w:rsidP="00A31137">
      <w:r w:rsidRPr="00A31137">
        <w:t>An America at work is a moral obligation as well as the most effective way to return our economy to a high growth path. Employed people stimulate the economy, their taxes pay for the expenses of government and their production adds to our national wealth. Moreover, the social and economic fabric of the nation will be strengthened as millions of Americans who presently are frozen out of productive and dignified employment become contributing citizens.</w:t>
      </w:r>
    </w:p>
    <w:p w:rsidR="00A31137" w:rsidRPr="00A31137" w:rsidRDefault="00A31137" w:rsidP="00A31137">
      <w:r w:rsidRPr="00A31137">
        <w:t>1984 Democratic Platform, p.10</w:t>
      </w:r>
    </w:p>
    <w:p w:rsidR="00A31137" w:rsidRPr="00A31137" w:rsidRDefault="00A31137" w:rsidP="00A31137">
      <w:r w:rsidRPr="00A31137">
        <w:t>The potential for America is unlimited. It is within our means to put America back on a long-term path that will assure both growth and broad-based economic opportunity. That is what the next Democratic Administration will do. First, we will adopt overall economic policies that will bring interest rates down, free savings for private investment, prevent another explosion of inflation, and put the dollar on a competitive basis. Second, we wild invest for our future—in our people, and in our infrastructure. Third, we will promote new partnerships and participation by all levels of government, by business and labor, to support growth and productivity. Finally, government will work with the private sector to assure that American businesses and American workers can compete fully and fairly in a changing world economy.</w:t>
      </w:r>
    </w:p>
    <w:p w:rsidR="00A31137" w:rsidRPr="00A31137" w:rsidRDefault="00A31137" w:rsidP="00A31137">
      <w:r w:rsidRPr="00A31137">
        <w:t>Overall Economic Policies:A Firm Ground For Growth</w:t>
      </w:r>
    </w:p>
    <w:p w:rsidR="00A31137" w:rsidRPr="00A31137" w:rsidRDefault="00A31137" w:rsidP="00A31137">
      <w:r w:rsidRPr="00A31137">
        <w:t>1984 Democratic Platform, p.10</w:t>
      </w:r>
    </w:p>
    <w:p w:rsidR="00A31137" w:rsidRPr="00A31137" w:rsidRDefault="00A31137" w:rsidP="00A31137">
      <w:r w:rsidRPr="00A31137">
        <w:t>A Democratic Administration will pursue economic policies which provide the basis for long-term economic growth and will allow us to fulfill our commitment to jobs for all Americans who want to work. A key part of the effort will be reducing and eventually eliminating the deficits that currently form a dark cloud over the nation's future. In addition, monetary policy must be set with an eye to stability and to the strengths or weaknesses of the economy. Finally, we will pursue policies that will promote price stability and prevent inflation from breaking out again.</w:t>
      </w:r>
    </w:p>
    <w:p w:rsidR="00A31137" w:rsidRPr="00A31137" w:rsidRDefault="00A31137" w:rsidP="00A31137">
      <w:r w:rsidRPr="00A31137">
        <w:t>Reducing the Reagan Budget Deficits</w:t>
      </w:r>
    </w:p>
    <w:p w:rsidR="00A31137" w:rsidRPr="00A31137" w:rsidRDefault="00A31137" w:rsidP="00A31137">
      <w:r w:rsidRPr="00A31137">
        <w:t>1984 Democratic Platform, p.10</w:t>
      </w:r>
    </w:p>
    <w:p w:rsidR="00A31137" w:rsidRPr="00A31137" w:rsidRDefault="00A31137" w:rsidP="00A31137">
      <w:r w:rsidRPr="00A31137">
        <w:t>After plunging the nation into a deficit crisis, President Reagan refuses to take part in efforts to solve it. He postpones hard decisions until after the Presidential election, refusing to compromise, refusing to address revenues and defense spending seriously, refusing all but a "down payment" on the deficit. The President continues to stand apart from serious, comprehensive efforts to cut the deficit. There must be statesmanship and compromise here, not ideological rigidity or election year politics.</w:t>
      </w:r>
    </w:p>
    <w:p w:rsidR="00A31137" w:rsidRPr="00A31137" w:rsidRDefault="00A31137" w:rsidP="00A31137">
      <w:r w:rsidRPr="00A31137">
        <w:t>1984 Democratic Platform, p.10</w:t>
      </w:r>
    </w:p>
    <w:p w:rsidR="00A31137" w:rsidRPr="00A31137" w:rsidRDefault="00A31137" w:rsidP="00A31137">
      <w:r w:rsidRPr="00A31137">
        <w:t>The Democratic Party is pledged to reducing these intolerable deficits. We will reassess defense expenditures: create a tax system that is both adequate and fair: control skyrocketing health costs without sacrificing quality of care: and eliminate other unnecessary expenditures. Through efficiency and toughness, we will restore sanity to our fiscal house.</w:t>
      </w:r>
    </w:p>
    <w:p w:rsidR="00A31137" w:rsidRPr="00A31137" w:rsidRDefault="00A31137" w:rsidP="00A31137">
      <w:r w:rsidRPr="00A31137">
        <w:t>1984 Democratic Platform, p.10</w:t>
      </w:r>
    </w:p>
    <w:p w:rsidR="00A31137" w:rsidRPr="00A31137" w:rsidRDefault="00A31137" w:rsidP="00A31137">
      <w:r w:rsidRPr="00A31137">
        <w:t>We oppose the artificial and rigid Constitutional restraint of a balanced budget amendment. Further we oppose efforts to call a federal Constitutional convention for this purpose.</w:t>
      </w:r>
    </w:p>
    <w:p w:rsidR="00A31137" w:rsidRPr="00A31137" w:rsidRDefault="00A31137" w:rsidP="00A31137">
      <w:r w:rsidRPr="00A31137">
        <w:t>1984 Democratic Platform, p.10</w:t>
      </w:r>
    </w:p>
    <w:p w:rsidR="00A31137" w:rsidRPr="00A31137" w:rsidRDefault="00A31137" w:rsidP="00A31137">
      <w:r w:rsidRPr="00A31137">
        <w:t>Rational Defense Spending—In the last three years, the Defense Department was told by this Administration that it could have anything it wanted, and at any price. As Democrats, we believe in devoting the needed resources to ensure our national security. But military might cannot be measured solely by dollars spent. American military strength must be secured at an affordable cost. We will reduce the rate of increase in defense spending. Through careful reevaluation of proposed and existing weapons, we will stop throwing away money on unworkable or unnecessary systems; through military reform we will focus defense expenditure on the most cost-effective military policies. We will insist that our allies contribute fairly to our collective security, and that the Department of Defense reduces its scandalous procurement waste.</w:t>
      </w:r>
    </w:p>
    <w:p w:rsidR="00A31137" w:rsidRPr="00A31137" w:rsidRDefault="00A31137" w:rsidP="00A31137">
      <w:r w:rsidRPr="00A31137">
        <w:t>1984 Democratic Platform, p.10</w:t>
      </w:r>
    </w:p>
    <w:p w:rsidR="00A31137" w:rsidRPr="00A31137" w:rsidRDefault="00A31137" w:rsidP="00A31137">
      <w:r w:rsidRPr="00A31137">
        <w:t xml:space="preserve">And above all else, we will seek sensible arms control agreements as a means of assuring that there will be a future for our children and that we as a nation will have the resources we need to invest for the future. </w:t>
      </w:r>
    </w:p>
    <w:p w:rsidR="00A31137" w:rsidRPr="00A31137" w:rsidRDefault="00A31137" w:rsidP="00A31137">
      <w:r w:rsidRPr="00A31137">
        <w:t>1984 Democratic Platform, p.10</w:t>
      </w:r>
    </w:p>
    <w:p w:rsidR="00A31137" w:rsidRPr="00A31137" w:rsidRDefault="00A31137" w:rsidP="00A31137">
      <w:r w:rsidRPr="00A31137">
        <w:t>Tax Reform—America needs a tax system that encourages growth and produces adequate revenues in a fair, progressive fashion. The Democratic Party is committed to a tax policy that embodies these basic values.</w:t>
      </w:r>
    </w:p>
    <w:p w:rsidR="00A31137" w:rsidRPr="00A31137" w:rsidRDefault="00A31137" w:rsidP="00A31137">
      <w:r w:rsidRPr="00A31137">
        <w:t>1984 Democratic Platform, p.10</w:t>
      </w:r>
    </w:p>
    <w:p w:rsidR="00A31137" w:rsidRPr="00A31137" w:rsidRDefault="00A31137" w:rsidP="00A31137">
      <w:r w:rsidRPr="00A31137">
        <w:t>The present system is unfair, complex, and encourages people to use a wide range of loopholes to avoid paying their fair share of taxes. The combination of loopholes for the few and high rates for the many is both unfair and anti-growth. It distorts investment, diverting creative energies into tax avoidance. And it makes the tax code even less comprehensible to the average American.</w:t>
      </w:r>
    </w:p>
    <w:p w:rsidR="00A31137" w:rsidRPr="00A31137" w:rsidRDefault="00A31137" w:rsidP="00A31137">
      <w:r w:rsidRPr="00A31137">
        <w:t>1984 Democratic Platform, p.10</w:t>
      </w:r>
    </w:p>
    <w:p w:rsidR="00A31137" w:rsidRPr="00A31137" w:rsidRDefault="00A31137" w:rsidP="00A31137">
      <w:r w:rsidRPr="00A31137">
        <w:t>Our tax code must produce sufficient revenue to finance our defense and allow for investment in our future, and we will ask every America to pay his or her fair share. But by broadening the tax base, [p.11] simplifying the tax code, lowering rates, and eliminating unnecessary, unfair and unproductive deductions and tax expenditure, we can raise the revenues we need and promote growth without increasing the burden on average taxpayers.</w:t>
      </w:r>
    </w:p>
    <w:p w:rsidR="00A31137" w:rsidRPr="00A31137" w:rsidRDefault="00A31137" w:rsidP="00A31137">
      <w:r w:rsidRPr="00A31137">
        <w:t>1984 Democratic Platform, p.11</w:t>
      </w:r>
    </w:p>
    <w:p w:rsidR="00A31137" w:rsidRPr="00A31137" w:rsidRDefault="00A31137" w:rsidP="00A31137">
      <w:r w:rsidRPr="00A31137">
        <w:t>Ronald Reagan's tax program gave huge breaks to wealthy individuals and to large corporations while shifting the burden to low and moderate income families. The Democratic Party is pledged to reverse these unsound policies. We will cap the effect of the Reagan tax cuts for wealthy Americans and enhance the progressivity of our personal income tax code, limiting the benefits of the third year of the Reagan tax cuts to the level of those with incomes of less than $60,000. We will partially defer indexation while protecting average Americans. We will close loopholes, eliminate the preferences and write-offs, exceptions, and deductions which skew the code toward the rich and toward unproductive tax shelters. Given the fact that there has been a veritable hemorrhage of capital out of the federal budget, reflected in part by the huge budget deficit, there must be a return to a fair tax on corporate income. Under the Reagan Administration, the rate of taxation on corporations has been so substantially reduced that they are not contributing their fair share to federal revenues. We believe there should be a 15% minimum corporate tax. In addition, our tax code has facilitated the transfer of capital from the United States to investments abroad, contributing to plant closing without notice in many communities and loss of millions of jobs. We will toughen compliance procures to reduce the $100 billion annual tax evasion.</w:t>
      </w:r>
    </w:p>
    <w:p w:rsidR="00A31137" w:rsidRPr="00A31137" w:rsidRDefault="00A31137" w:rsidP="00A31137">
      <w:r w:rsidRPr="00A31137">
        <w:t>1984 Democratic Platform, p.11</w:t>
      </w:r>
    </w:p>
    <w:p w:rsidR="00A31137" w:rsidRPr="00A31137" w:rsidRDefault="00A31137" w:rsidP="00A31137">
      <w:r w:rsidRPr="00A31137">
        <w:t>Our country must move to a simpler, more equitable, and more progressive tax system. Our tax code can let the market put our country's savings to the best use. There must be a fair balance between corporate and personal tax increases. Wealthier taxpayers will have to shoulder a greater share of the new tax burdens. Economic distortions must be eliminated.</w:t>
      </w:r>
    </w:p>
    <w:p w:rsidR="00A31137" w:rsidRPr="00A31137" w:rsidRDefault="00A31137" w:rsidP="00A31137">
      <w:r w:rsidRPr="00A31137">
        <w:t>1984 Democratic Platform, p.11</w:t>
      </w:r>
    </w:p>
    <w:p w:rsidR="00A31137" w:rsidRPr="00A31137" w:rsidRDefault="00A31137" w:rsidP="00A31137">
      <w:r w:rsidRPr="00A31137">
        <w:t xml:space="preserve">Controlling Domestic Spending—A balanced program for reducing Republican mega-deficits must also deal with the growing costs of domestic programs. But this must be done in a way that is fair to average Americans. </w:t>
      </w:r>
    </w:p>
    <w:p w:rsidR="00A31137" w:rsidRPr="00A31137" w:rsidRDefault="00A31137" w:rsidP="00A31137">
      <w:r w:rsidRPr="00A31137">
        <w:t>1984 Democratic Platform, p.11</w:t>
      </w:r>
    </w:p>
    <w:p w:rsidR="00A31137" w:rsidRPr="00A31137" w:rsidRDefault="00A31137" w:rsidP="00A31137">
      <w:r w:rsidRPr="00A31137">
        <w:t>Social Security is one of the most important and successful initiatives in the history of our country, and it is an essential element of the social compact that binds us together as a community. There is no excuse—as the Reagan Administration has repeatedly suggested—for slashing Social Security to pay for excesses in other areas of the budget. We will steadfastly oppose such efforts, now and in the future.</w:t>
      </w:r>
    </w:p>
    <w:p w:rsidR="00A31137" w:rsidRPr="00A31137" w:rsidRDefault="00A31137" w:rsidP="00A31137">
      <w:r w:rsidRPr="00A31137">
        <w:t>1984 Democratic Platform, p.11</w:t>
      </w:r>
    </w:p>
    <w:p w:rsidR="00A31137" w:rsidRPr="00A31137" w:rsidRDefault="00A31137" w:rsidP="00A31137">
      <w:r w:rsidRPr="00A31137">
        <w:t>It is rather in the area of health care costs that reform is urgently needed. By 1988, Medicare costs will rise to $106 billion: by the turn of the century, the debt of the trust fund may be as great as $1 trillion. In the Republican view, the problem is the level of benefits which senior citizens and the needy receive. As Democrats, we will protect the interests of health care beneficiaries. The real problem is the growing cost of health care services.</w:t>
      </w:r>
    </w:p>
    <w:p w:rsidR="00A31137" w:rsidRPr="00A31137" w:rsidRDefault="00A31137" w:rsidP="00A31137">
      <w:r w:rsidRPr="00A31137">
        <w:t>1984 Democratic Platform, p.11</w:t>
      </w:r>
    </w:p>
    <w:p w:rsidR="00A31137" w:rsidRPr="00A31137" w:rsidRDefault="00A31137" w:rsidP="00A31137">
      <w:r w:rsidRPr="00A31137">
        <w:t>We propose to control these costs, and to demand that the health care industry become more efficient in providing care to all Americans, both young and old. We will limit what health care providers can receive as reimbursement, and spur innovation and competition in health care delivery. The growth of alternative health care delivery systems such as HMO's, PPO's and alternatives to long-term care such as home care and social HMO's should be fostered so that high quality care will be available at a lower cost. We must learn the difference between health care and sick care. Unlike the Republicans, we recognize that investing in preventive health care saves dollars as well as lives, and we will make the needed investment. The states must be the cornerstone of our health care policies, but a Democratic Administration will provide the leadership at the federal level to assure that health care is available to all who need help at a cost we can afford. In addition, we pledge to scour the budget for other areas of wasteful unnecessary spending.</w:t>
      </w:r>
    </w:p>
    <w:p w:rsidR="00A31137" w:rsidRPr="00A31137" w:rsidRDefault="00A31137" w:rsidP="00A31137">
      <w:r w:rsidRPr="00A31137">
        <w:t xml:space="preserve">Monetary Policy for Growth </w:t>
      </w:r>
    </w:p>
    <w:p w:rsidR="00A31137" w:rsidRPr="00A31137" w:rsidRDefault="00A31137" w:rsidP="00A31137">
      <w:r w:rsidRPr="00A31137">
        <w:t>1984 Democratic Platform, p.11</w:t>
      </w:r>
    </w:p>
    <w:p w:rsidR="00A31137" w:rsidRPr="00A31137" w:rsidRDefault="00A31137" w:rsidP="00A31137">
      <w:r w:rsidRPr="00A31137">
        <w:t>Reducing the deficit is the fine step toward lowering interest rates and establishing the basis for fair tax and budget policies. But even with a Democratic fiscal policy reining in the deficit, the task of the Federal Reserve Board will be critical. Monetary policy must work to achieve stable real interest rates, the availability of capital for long-term investments, predictable long-term policy and stable prices. We reject the rigid adherence to monetary targets that has frequently characterized the Reagan monetary policy. Whatever targeting approach the Federal Reserve Board adopts, it must be leavened with a pragmatic appraisal of what is happening in the harsh world of the real economy, particularly the impact on unemployment, interest rates, and the international value of the dollar.</w:t>
      </w:r>
    </w:p>
    <w:p w:rsidR="00A31137" w:rsidRPr="00A31137" w:rsidRDefault="00A31137" w:rsidP="00A31137">
      <w:r w:rsidRPr="00A31137">
        <w:t xml:space="preserve">An Anti-Inflation Program </w:t>
      </w:r>
    </w:p>
    <w:p w:rsidR="00A31137" w:rsidRPr="00A31137" w:rsidRDefault="00A31137" w:rsidP="00A31137">
      <w:r w:rsidRPr="00A31137">
        <w:t>1984 Democratic Platform, p.11</w:t>
      </w:r>
    </w:p>
    <w:p w:rsidR="00A31137" w:rsidRPr="00A31137" w:rsidRDefault="00A31137" w:rsidP="00A31137">
      <w:r w:rsidRPr="00A31137">
        <w:t xml:space="preserve">We have learned that sustained economic growth is impossible in a climate of high inflation or of [p.12] inflationary expectations. The .Reagan Administration's only prescription for inflation is recession—deliberate high unemployment—coupled with a relentless assault on the collective bargaining power and rights of working men and women. The Democratic Party believes that these tactics are both unacceptable and ineffective. </w:t>
      </w:r>
    </w:p>
    <w:p w:rsidR="00A31137" w:rsidRPr="00A31137" w:rsidRDefault="00A31137" w:rsidP="00A31137">
      <w:r w:rsidRPr="00A31137">
        <w:t>1984 Democratic Platform, p.12</w:t>
      </w:r>
    </w:p>
    <w:p w:rsidR="00A31137" w:rsidRPr="00A31137" w:rsidRDefault="00A31137" w:rsidP="00A31137">
      <w:r w:rsidRPr="00A31137">
        <w:t>We will develop the following five-step program to stabilize prices:</w:t>
      </w:r>
    </w:p>
    <w:p w:rsidR="00A31137" w:rsidRPr="00A31137" w:rsidRDefault="00A31137" w:rsidP="00A31137">
      <w:r w:rsidRPr="00A31137">
        <w:t>1984 Democratic Platform, p.12</w:t>
      </w:r>
    </w:p>
    <w:p w:rsidR="00A31137" w:rsidRPr="00A31137" w:rsidRDefault="00A31137" w:rsidP="00A31137">
      <w:r w:rsidRPr="00A31137">
        <w:t>—Growth investments in new plants and equipment and research and development. The productivity growth that comes in tandem with new investments will help offset—point for point—any increase in cost.</w:t>
      </w:r>
    </w:p>
    <w:p w:rsidR="00A31137" w:rsidRPr="00A31137" w:rsidRDefault="00A31137" w:rsidP="00A31137">
      <w:r w:rsidRPr="00A31137">
        <w:t>1984 Democratic Platform, p.12</w:t>
      </w:r>
    </w:p>
    <w:p w:rsidR="00A31137" w:rsidRPr="00A31137" w:rsidRDefault="00A31137" w:rsidP="00A31137">
      <w:r w:rsidRPr="00A31137">
        <w:t>—Increased flexibility in the marketplace—will also help keep inflationary pressures under control. There is no single policy that will make the U.S. economy more adaptable. Rather, there is a series of smaller steps which will help keep prices stable. In general, competitive markets are more likely to restrain sudden surges of prices than markets dominated by a few large firms. No Democratic Administration will forget the use of old fashioned antitrust policy to keep markets competitive—and prices down.</w:t>
      </w:r>
    </w:p>
    <w:p w:rsidR="00A31137" w:rsidRPr="00A31137" w:rsidRDefault="00A31137" w:rsidP="00A31137">
      <w:r w:rsidRPr="00A31137">
        <w:t>1984 Democratic Platform, p.12</w:t>
      </w:r>
    </w:p>
    <w:p w:rsidR="00A31137" w:rsidRPr="00A31137" w:rsidRDefault="00A31137" w:rsidP="00A31137">
      <w:r w:rsidRPr="00A31137">
        <w:t>—Trade policy—is also an important component of any effective anti-inflation program. Expanding world markets for American goods increase the gains from large scale production and stimulate research and development on new products and processes.</w:t>
      </w:r>
    </w:p>
    <w:p w:rsidR="00A31137" w:rsidRPr="00A31137" w:rsidRDefault="00A31137" w:rsidP="00A31137">
      <w:r w:rsidRPr="00A31137">
        <w:t>1984 Democratic Platform, p.12</w:t>
      </w:r>
    </w:p>
    <w:p w:rsidR="00A31137" w:rsidRPr="00A31137" w:rsidRDefault="00A31137" w:rsidP="00A31137">
      <w:r w:rsidRPr="00A31137">
        <w:t>—The price-wage spiral—as part of any effective anti-inflation program, serious policies to address the price-wage spirals and other inflationary pressures we have experienced in the past must be developed.</w:t>
      </w:r>
    </w:p>
    <w:p w:rsidR="00A31137" w:rsidRPr="00A31137" w:rsidRDefault="00A31137" w:rsidP="00A31137">
      <w:r w:rsidRPr="00A31137">
        <w:t>1984 Democratic Platform, p.12</w:t>
      </w:r>
    </w:p>
    <w:p w:rsidR="00A31137" w:rsidRPr="00A31137" w:rsidRDefault="00A31137" w:rsidP="00A31137">
      <w:r w:rsidRPr="00A31137">
        <w:t>—We believe that an attack on sectorial sources of inflation—in food, fuel, utilities, health care, and elsewhere—is essential if price stability is to be sustained without economic distortions. Our agriculture, energy, and health programs will all promote sectorial price stability while assuring fair treatment for average Americans, including working men and women and family farmers. For example, the Strategic Petroleum Reserve is one clear response to reducing the chance of another oil shock. The very presence of reserves in the U.S., Japan, and elsewhere reduces the likelihood of panic buying to replace suddenly threatened oil supplies. In this context, a far-reaching energy policy that emphasizes conservation and the development of alternative energy supplies will also help stabilize energy prices. And lower interest rates from reduced budget deficits will reduce upward pressure on housing costs and bring housing back within the reach of millions of Americans now excluded from the market.</w:t>
      </w:r>
    </w:p>
    <w:p w:rsidR="00A31137" w:rsidRPr="00A31137" w:rsidRDefault="00A31137" w:rsidP="00A31137">
      <w:r w:rsidRPr="00A31137">
        <w:t>Investing in People</w:t>
      </w:r>
    </w:p>
    <w:p w:rsidR="00A31137" w:rsidRPr="00A31137" w:rsidRDefault="00A31137" w:rsidP="00A31137">
      <w:r w:rsidRPr="00A31137">
        <w:t>1984 Democratic Platform, p.12</w:t>
      </w:r>
    </w:p>
    <w:p w:rsidR="00A31137" w:rsidRPr="00A31137" w:rsidRDefault="00A31137" w:rsidP="00A31137">
      <w:r w:rsidRPr="00A31137">
        <w:t>America's greatest resource is our people. As Democrats we affirm the need for both public and private investment —in our children; in out educational institutions and out students; in jobs, training, and transitional assistance for our workers—to build America's future. If we choose wisely, these investments will be returned to our country many times over. They are essential if we are to create an America with high-quality jobs and rising opportunities for all. And they are vital if we are to safeguard our competitive position in the world economy.</w:t>
      </w:r>
    </w:p>
    <w:p w:rsidR="00A31137" w:rsidRPr="00A31137" w:rsidRDefault="00A31137" w:rsidP="00A31137">
      <w:r w:rsidRPr="00A31137">
        <w:t>Investing in Children</w:t>
      </w:r>
    </w:p>
    <w:p w:rsidR="00A31137" w:rsidRPr="00A31137" w:rsidRDefault="00A31137" w:rsidP="00A31137">
      <w:r w:rsidRPr="00A31137">
        <w:t>1984 Democratic Platform, p.12</w:t>
      </w:r>
    </w:p>
    <w:p w:rsidR="00A31137" w:rsidRPr="00A31137" w:rsidRDefault="00A31137" w:rsidP="00A31137">
      <w:r w:rsidRPr="00A31137">
        <w:t xml:space="preserve">Simple decency demands that we make children one of our highest national priorities. But the argument for so acting goes well beyond that. Programs for children represent the most critical investment we can make in out ability to compete in future world markets and maintain a strong national defense in the decades ahead. </w:t>
      </w:r>
    </w:p>
    <w:p w:rsidR="00A31137" w:rsidRPr="00A31137" w:rsidRDefault="00A31137" w:rsidP="00A31137">
      <w:r w:rsidRPr="00A31137">
        <w:t>1984 Democratic Platform, p.12</w:t>
      </w:r>
    </w:p>
    <w:p w:rsidR="00A31137" w:rsidRPr="00A31137" w:rsidRDefault="00A31137" w:rsidP="00A31137">
      <w:r w:rsidRPr="00A31137">
        <w:t>Above all else, the Democratic Party stands for making the proper investment in coming generations of Americans.</w:t>
      </w:r>
    </w:p>
    <w:p w:rsidR="00A31137" w:rsidRPr="00A31137" w:rsidRDefault="00A31137" w:rsidP="00A31137">
      <w:r w:rsidRPr="00A31137">
        <w:t>1984 Democratic Platform, p.12</w:t>
      </w:r>
    </w:p>
    <w:p w:rsidR="00A31137" w:rsidRPr="00A31137" w:rsidRDefault="00A31137" w:rsidP="00A31137">
      <w:r w:rsidRPr="00A31137">
        <w:t>Preventive efforts must be at the heart of the broad range of health, child care, and support programs for children. Helping these children makes good moral sense—and sound economic sense. Measles vaccine alone has saved $1.3 billion in medical costs in just ten years. Supplemental food programs for low-income pregnant women and infants save $3 for every dollar spent.</w:t>
      </w:r>
    </w:p>
    <w:p w:rsidR="00A31137" w:rsidRPr="00A31137" w:rsidRDefault="00A31137" w:rsidP="00A31137">
      <w:r w:rsidRPr="00A31137">
        <w:t>1984 Democratic Platform, p.12</w:t>
      </w:r>
    </w:p>
    <w:p w:rsidR="00A31137" w:rsidRPr="00A31137" w:rsidRDefault="00A31137" w:rsidP="00A31137">
      <w:r w:rsidRPr="00A31137">
        <w:t>By improving access to medical care before and after birth, we can promote a generation of healthy mothers and healthy babies. Seeing that supplemental food programs for low-income pregnant women and infants reach all those eligible will do more than save the $40,000 now spent to treat one low birth weight infant in a neo-natal ward. It will also reduce the risk of birth defects for such infants.</w:t>
      </w:r>
    </w:p>
    <w:p w:rsidR="00A31137" w:rsidRPr="00A31137" w:rsidRDefault="00A31137" w:rsidP="00A31137">
      <w:r w:rsidRPr="00A31137">
        <w:t>1984 Democratic Platform, p.12</w:t>
      </w:r>
    </w:p>
    <w:p w:rsidR="00A31137" w:rsidRPr="00A31137" w:rsidRDefault="00A31137" w:rsidP="00A31137">
      <w:r w:rsidRPr="00A31137">
        <w:t>We recognize that a hungry child is a child who cannot learn. Restoring school breakfast and school lunches for millions of children will improve their alertness and concentration in school.</w:t>
      </w:r>
    </w:p>
    <w:p w:rsidR="00A31137" w:rsidRPr="00A31137" w:rsidRDefault="00A31137" w:rsidP="00A31137">
      <w:r w:rsidRPr="00A31137">
        <w:t>1984 Democratic Platform, p.13</w:t>
      </w:r>
    </w:p>
    <w:p w:rsidR="00A31137" w:rsidRPr="00A31137" w:rsidRDefault="00A31137" w:rsidP="00A31137">
      <w:r w:rsidRPr="00A31137">
        <w:t>[p.13] Child care must also be a top priority. Helping communities establish after-school care programs will remove millions of American children from the serious risks they now face of injury, abuse and alienation by staying at home alone. Encouraging employers, churches, public centers, and private groups to provide quality, affordable child care will give millions of children whose parents must work the kind of adult supervision necessary to thrive. And setting up centers for child care information and referral will assist parents wherever they reside to locate quality care for their children.</w:t>
      </w:r>
    </w:p>
    <w:p w:rsidR="00A31137" w:rsidRPr="00A31137" w:rsidRDefault="00A31137" w:rsidP="00A31137">
      <w:r w:rsidRPr="00A31137">
        <w:t>1984 Democratic Platform, p.13</w:t>
      </w:r>
    </w:p>
    <w:p w:rsidR="00A31137" w:rsidRPr="00A31137" w:rsidRDefault="00A31137" w:rsidP="00A31137">
      <w:r w:rsidRPr="00A31137">
        <w:t>Preventing child abuse must be at the forefront of Democratic Party concern. Local, community-based child abuse prevention programs must be strengthened and expanded. A Child who learns first about the risks of sexual abuse in school will be less likely to become the target of repeated victimization. Federal challenge grants could encourage states to make local prevention efforts a real priority.</w:t>
      </w:r>
    </w:p>
    <w:p w:rsidR="00A31137" w:rsidRPr="00A31137" w:rsidRDefault="00A31137" w:rsidP="00A31137">
      <w:r w:rsidRPr="00A31137">
        <w:t>1984 Democratic Platform, p.13</w:t>
      </w:r>
    </w:p>
    <w:p w:rsidR="00A31137" w:rsidRPr="00A31137" w:rsidRDefault="00A31137" w:rsidP="00A31137">
      <w:r w:rsidRPr="00A31137">
        <w:t>Prompt intervention efforts must also be provided for children in crisis. If we are to make any headway in breaking the cycle of child abuse, both victims and offenders must have access to treatment programs.</w:t>
      </w:r>
    </w:p>
    <w:p w:rsidR="00A31137" w:rsidRPr="00A31137" w:rsidRDefault="00A31137" w:rsidP="00A31137">
      <w:r w:rsidRPr="00A31137">
        <w:t>1984 Democratic Platform, p.13</w:t>
      </w:r>
    </w:p>
    <w:p w:rsidR="00A31137" w:rsidRPr="00A31137" w:rsidRDefault="00A31137" w:rsidP="00A31137">
      <w:r w:rsidRPr="00A31137">
        <w:t>Juvenile offenders must not be left in adult jails where the only skills they acquire are those of the career criminal. Safe shelter and assistance must be available for the hundreds of thousands of runaway children at risk of exploitation in our cities. Local, state, and federal law enforcement agencies must refine ways to locate children who have been abducted. And children in foster care must not be allowed to graduate to the streets at age 18 without ever having known a permanent home.</w:t>
      </w:r>
    </w:p>
    <w:p w:rsidR="00A31137" w:rsidRPr="00A31137" w:rsidRDefault="00A31137" w:rsidP="00A31137">
      <w:r w:rsidRPr="00A31137">
        <w:t>1984 Democratic Platform, p.13</w:t>
      </w:r>
    </w:p>
    <w:p w:rsidR="00A31137" w:rsidRPr="00A31137" w:rsidRDefault="00A31137" w:rsidP="00A31137">
      <w:r w:rsidRPr="00A31137">
        <w:t>We must ensure that essential surveys on children's health and welfare status are reinstated. We know more about the number of matches sold than about the number of children across the country who die in fires while alone at home. Likewise, we know less about hunger and malnutrition among children than we do about the health of the nation's poultry stock.</w:t>
      </w:r>
    </w:p>
    <w:p w:rsidR="00A31137" w:rsidRPr="00A31137" w:rsidRDefault="00A31137" w:rsidP="00A31137">
      <w:r w:rsidRPr="00A31137">
        <w:t>1984 Democratic Platform, p.13</w:t>
      </w:r>
    </w:p>
    <w:p w:rsidR="00A31137" w:rsidRPr="00A31137" w:rsidRDefault="00A31137" w:rsidP="00A31137">
      <w:r w:rsidRPr="00A31137">
        <w:t>The Democratic Party affirms its commitment to protecting the health and safety of children in the United States. Existing laws mandating the use of automobile child restraints must be enforced, and child safety seat loaner or rental programs and public education programs must be encouraged, in order to reduce significantly the leading cause of death and serious injury among children between the ages of six months and five years—motor vehicle crashes.</w:t>
      </w:r>
    </w:p>
    <w:p w:rsidR="00A31137" w:rsidRPr="00A31137" w:rsidRDefault="00A31137" w:rsidP="00A31137">
      <w:r w:rsidRPr="00A31137">
        <w:t>1984 Democratic Platform, p.13</w:t>
      </w:r>
    </w:p>
    <w:p w:rsidR="00A31137" w:rsidRPr="00A31137" w:rsidRDefault="00A31137" w:rsidP="00A31137">
      <w:r w:rsidRPr="00A31137">
        <w:t>The crises devastating many of our nation's youth is nowhere more dramatically evidenced than in the alarming rate of increase in teenage suicide. Over 6,000 young people took their lives in 1983, and for each actual suicide 50 to 100 other youths attempted suicide. The underlying causes of teenage suicide, as well as its full scope, are not adequately researched or understood. We must commit ourselves to seek out the causes, formulate a national policy of prevention, and provide guidance to our state and local governments in developing means to stem this devastating tide of self-destruction. We support the creation of a national panel on teenage suicide to respond to this challenge.</w:t>
      </w:r>
    </w:p>
    <w:p w:rsidR="00A31137" w:rsidRPr="00A31137" w:rsidRDefault="00A31137" w:rsidP="00A31137">
      <w:r w:rsidRPr="00A31137">
        <w:t>1984 Democratic Platform, p.13</w:t>
      </w:r>
    </w:p>
    <w:p w:rsidR="00A31137" w:rsidRPr="00A31137" w:rsidRDefault="00A31137" w:rsidP="00A31137">
      <w:r w:rsidRPr="00A31137">
        <w:t>A Democratic Administration which establishes these priorities can reduce the risks for our young people and improve the odds. By so doing it will serve their future…and ours.</w:t>
      </w:r>
    </w:p>
    <w:p w:rsidR="00A31137" w:rsidRPr="00A31137" w:rsidRDefault="00A31137" w:rsidP="00A31137">
      <w:r w:rsidRPr="00A31137">
        <w:t xml:space="preserve">Investing in Education </w:t>
      </w:r>
    </w:p>
    <w:p w:rsidR="00A31137" w:rsidRPr="00A31137" w:rsidRDefault="00A31137" w:rsidP="00A31137">
      <w:r w:rsidRPr="00A31137">
        <w:t>1984 Democratic Platform, p.13</w:t>
      </w:r>
    </w:p>
    <w:p w:rsidR="00A31137" w:rsidRPr="00A31137" w:rsidRDefault="00A31137" w:rsidP="00A31137">
      <w:r w:rsidRPr="00A31137">
        <w:t>No public investment is more important than the one we make in the minds, skills and discipline of our people. Whether we are talking about a strong economy, a strong defense or a strong system of justice, we cannot achieve it without a strong educational system. Our very future in international economic competition depends on skilled workers and on first-rate scientists, engineers, and managers.</w:t>
      </w:r>
    </w:p>
    <w:p w:rsidR="00A31137" w:rsidRPr="00A31137" w:rsidRDefault="00A31137" w:rsidP="00A31137">
      <w:r w:rsidRPr="00A31137">
        <w:t>1984 Democratic Platform, p.13</w:t>
      </w:r>
    </w:p>
    <w:p w:rsidR="00A31137" w:rsidRPr="00A31137" w:rsidRDefault="00A31137" w:rsidP="00A31137">
      <w:r w:rsidRPr="00A31137">
        <w:t>We Democrats are committed to equity in education. We will insist on excellence, discipline, and high standards. Quality education depends on students, teachers and parents performing at the highest levels of achievement.</w:t>
      </w:r>
    </w:p>
    <w:p w:rsidR="00A31137" w:rsidRPr="00A31137" w:rsidRDefault="00A31137" w:rsidP="00A31137">
      <w:r w:rsidRPr="00A31137">
        <w:t>1984 Democratic Platform, p.13</w:t>
      </w:r>
    </w:p>
    <w:p w:rsidR="00A31137" w:rsidRPr="00A31137" w:rsidRDefault="00A31137" w:rsidP="00A31137">
      <w:r w:rsidRPr="00A31137">
        <w:t>Today, education in America needs help. But, the Reagan Administration offers misleading homilies about the importance of education while aggressively slashing education programs.</w:t>
      </w:r>
    </w:p>
    <w:p w:rsidR="00A31137" w:rsidRPr="00A31137" w:rsidRDefault="00A31137" w:rsidP="00A31137">
      <w:r w:rsidRPr="00A31137">
        <w:t>1984 Democratic Platform, p.13</w:t>
      </w:r>
    </w:p>
    <w:p w:rsidR="00A31137" w:rsidRPr="00A31137" w:rsidRDefault="00A31137" w:rsidP="00A31137">
      <w:r w:rsidRPr="00A31137">
        <w:t>This is intolerable. We know that every dollar we invest in education is ultimately returned to us six-fold. We know that the education of our citizens is critical to our democracy.</w:t>
      </w:r>
    </w:p>
    <w:p w:rsidR="00A31137" w:rsidRPr="00A31137" w:rsidRDefault="00A31137" w:rsidP="00A31137">
      <w:r w:rsidRPr="00A31137">
        <w:t>1984 Democratic Platform, p.13</w:t>
      </w:r>
    </w:p>
    <w:p w:rsidR="00A31137" w:rsidRPr="00A31137" w:rsidRDefault="00A31137" w:rsidP="00A31137">
      <w:r w:rsidRPr="00A31137">
        <w:t>There are four key goals that a Democratic program for educational excellence must address: strengthening local capacity to innovate and progress in public education and encourage parental involvement; renewing our efforts to ensure that all children, whatever their race, income, or sex have a fair and equal chance to learn; attracting the most talented young people into teaching and enabling them to remain and develop in their profession; and ensuring that all American families can send their children on to college or advanced training.</w:t>
      </w:r>
    </w:p>
    <w:p w:rsidR="00A31137" w:rsidRPr="00A31137" w:rsidRDefault="00A31137" w:rsidP="00A31137">
      <w:r w:rsidRPr="00A31137">
        <w:t>1984 Democratic Platform, p.13</w:t>
      </w:r>
    </w:p>
    <w:p w:rsidR="00A31137" w:rsidRPr="00A31137" w:rsidRDefault="00A31137" w:rsidP="00A31137">
      <w:r w:rsidRPr="00A31137">
        <w:t xml:space="preserve">Primary and Secondary Education—While education is the responsibility of local government, local governments already strapped for funds by this [p.14] Administration cannot be expected to bear alone the burden of undertaking the efforts we need for quality education—from teacher training to the salaries needed to attract and retain able teachers, to new labs, to new programs to motivate talented and gifted students, to new ties between businesses and schools—without leadership at the federal level. </w:t>
      </w:r>
    </w:p>
    <w:p w:rsidR="00A31137" w:rsidRPr="00A31137" w:rsidRDefault="00A31137" w:rsidP="00A31137">
      <w:r w:rsidRPr="00A31137">
        <w:t>1984 Democratic Platform, p.14</w:t>
      </w:r>
    </w:p>
    <w:p w:rsidR="00A31137" w:rsidRPr="00A31137" w:rsidRDefault="00A31137" w:rsidP="00A31137">
      <w:r w:rsidRPr="00A31137">
        <w:t>Democrats will provide that leadership. We call for the immediate restoration of the cuts in funding of education programs by the Reagan Administration, and for a major new commitment to education. We will create a partnership for excellence among federal, state and local governments. We will provide incentives to local school districts to concentrate on science, math, communications and computer literacy; to provide access to advanced technology. In all of these fields, but particularly in computers, there is a growing danger of a two-tier education system. The more affluent districts have adequate hardware and teachers prepared to use it. Many districts are left completely behind or saddled with a modern machine but no provision for faculty training. Every American child should have the basic education that makes computer literacy possible and useful. Major attention must be given to recruiting the finest young people into teaching careers, and to providing adequate staff development programs that enable educators to increase their effectiveness in meeting the needs or all students.</w:t>
      </w:r>
    </w:p>
    <w:p w:rsidR="00A31137" w:rsidRPr="00A31137" w:rsidRDefault="00A31137" w:rsidP="00A31137">
      <w:r w:rsidRPr="00A31137">
        <w:t>1984 Democratic Platform, p.14</w:t>
      </w:r>
    </w:p>
    <w:p w:rsidR="00A31137" w:rsidRPr="00A31137" w:rsidRDefault="00A31137" w:rsidP="00A31137">
      <w:r w:rsidRPr="00A31137">
        <w:t>Vocational education should be overhauled to bring instructional materials, equipment, and staff up to date with the technology and practices of the workplace and target assistance to areas with large numbers of disadvantaged youth. We will insist that every child be afforded an equal opportunity to fulfill his or her potential. We will pay special attention to the needs of the handicapped.</w:t>
      </w:r>
    </w:p>
    <w:p w:rsidR="00A31137" w:rsidRPr="00A31137" w:rsidRDefault="00A31137" w:rsidP="00A31137">
      <w:r w:rsidRPr="00A31137">
        <w:t>1984 Democratic Platform, p.14</w:t>
      </w:r>
    </w:p>
    <w:p w:rsidR="00A31137" w:rsidRPr="00A31137" w:rsidRDefault="00A31137" w:rsidP="00A31137">
      <w:r w:rsidRPr="00A31137">
        <w:t>Education is an important key to the upward mobility of all citizens and especially the disadvantaged, despite the fact that racial discrimination and other prejudices have set limits to such achievement.</w:t>
      </w:r>
    </w:p>
    <w:p w:rsidR="00A31137" w:rsidRPr="00A31137" w:rsidRDefault="00A31137" w:rsidP="00A31137">
      <w:r w:rsidRPr="00A31137">
        <w:t>1984 Democratic Platform, p.14</w:t>
      </w:r>
    </w:p>
    <w:p w:rsidR="00A31137" w:rsidRPr="00A31137" w:rsidRDefault="00A31137" w:rsidP="00A31137">
      <w:r w:rsidRPr="00A31137">
        <w:t>The Reagan Administration has singled out for extinction the proven most successful education program—compensatory education for disadvantaged children. The Democratic Party will reverse this malicious onslaught and dramatically strengthen support in order to provide educational equity for all children.</w:t>
      </w:r>
    </w:p>
    <w:p w:rsidR="00A31137" w:rsidRPr="00A31137" w:rsidRDefault="00A31137" w:rsidP="00A31137">
      <w:r w:rsidRPr="00A31137">
        <w:t>1984 Democratic Platform, p.14</w:t>
      </w:r>
    </w:p>
    <w:p w:rsidR="00A31137" w:rsidRPr="00A31137" w:rsidRDefault="00A31137" w:rsidP="00A31137">
      <w:r w:rsidRPr="00A31137">
        <w:t xml:space="preserve">Bilingual education enables children to achieve full competence in the English language and the academic success necessary to their full participation in the life of our nation. We reject the Reagan double-talk on bilingual education and commit ourselves to expanding and increasing its effectiveness. </w:t>
      </w:r>
    </w:p>
    <w:p w:rsidR="00A31137" w:rsidRPr="00A31137" w:rsidRDefault="00A31137" w:rsidP="00A31137">
      <w:r w:rsidRPr="00A31137">
        <w:t>1984 Democratic Platform, p.14</w:t>
      </w:r>
    </w:p>
    <w:p w:rsidR="00A31137" w:rsidRPr="00A31137" w:rsidRDefault="00A31137" w:rsidP="00A31137">
      <w:r w:rsidRPr="00A31137">
        <w:t xml:space="preserve">We will emphasize the importance of preventing one-third of our student body nationwide from dropping out of school in the first place. And, we will supplement community-based programs encouraging students who have left school due to teenage parenthood, alcohol and drug abuse, or economic difficulties at home, to complete their education. </w:t>
      </w:r>
    </w:p>
    <w:p w:rsidR="00A31137" w:rsidRPr="00A31137" w:rsidRDefault="00A31137" w:rsidP="00A31137">
      <w:r w:rsidRPr="00A31137">
        <w:t>1984 Democratic Platform, p.14</w:t>
      </w:r>
    </w:p>
    <w:p w:rsidR="00A31137" w:rsidRPr="00A31137" w:rsidRDefault="00A31137" w:rsidP="00A31137">
      <w:r w:rsidRPr="00A31137">
        <w:t>Recognizing that young people who are never given an opportunity for a job will be less likely to hold one in adulthood, we will also emphasize training and employment opportunities for youth. In so doing, we need to establish a genuine working partnership with the private sector.</w:t>
      </w:r>
    </w:p>
    <w:p w:rsidR="00A31137" w:rsidRPr="00A31137" w:rsidRDefault="00A31137" w:rsidP="00A31137">
      <w:r w:rsidRPr="00A31137">
        <w:t>1984 Democratic Platform, p.14</w:t>
      </w:r>
    </w:p>
    <w:p w:rsidR="00A31137" w:rsidRPr="00A31137" w:rsidRDefault="00A31137" w:rsidP="00A31137">
      <w:r w:rsidRPr="00A31137">
        <w:t>Private schools, particularly parochial schools, are also an important part of our diverse educational system. Consistent with our tradition, the Democratic Party accepts its commitment to constitutionally acceptable methods of supporting the education of all pupils in schools which do not racially discriminate and excluding so-called segregation academies. The Party will continue to support federal education legislation which provides for the equitable participation in federal programs of all low and moderate income pupils.</w:t>
      </w:r>
    </w:p>
    <w:p w:rsidR="00A31137" w:rsidRPr="00A31137" w:rsidRDefault="00A31137" w:rsidP="00A31137">
      <w:r w:rsidRPr="00A31137">
        <w:t>1984 Democratic Platform, p.14</w:t>
      </w:r>
    </w:p>
    <w:p w:rsidR="00A31137" w:rsidRPr="00A31137" w:rsidRDefault="00A31137" w:rsidP="00A31137">
      <w:r w:rsidRPr="00A31137">
        <w:t xml:space="preserve">For its part, when added to the traditional educational institutions of family, school and church, television has enormous promise as a teacher. When children spend more time in front of the television set than they do in the classroom, we must ask how television can help children, and why commercial broadcasters do so little programming for children today despite their legal responsibility as "public trustees" of the airwaves granted to them. The National Science Board, for instance, has recommended that commercial television stations be required to air a certain amount of information/educational programming for children each week. Properly developed, television can be an enormously efficient and effective supplemental teaching tool. </w:t>
      </w:r>
    </w:p>
    <w:p w:rsidR="00A31137" w:rsidRPr="00A31137" w:rsidRDefault="00A31137" w:rsidP="00A31137">
      <w:r w:rsidRPr="00A31137">
        <w:t>1984 Democratic Platform, p.14</w:t>
      </w:r>
    </w:p>
    <w:p w:rsidR="00A31137" w:rsidRPr="00A31137" w:rsidRDefault="00A31137" w:rsidP="00A31137">
      <w:r w:rsidRPr="00A31137">
        <w:t xml:space="preserve">Higher Education—We will make certain that higher education does not become a luxury affordable only by the children of the rich. That is Ronald Reagan's America. In our America, no qualified student should be deprived of the ability to go on to college because of financial circumstance. </w:t>
      </w:r>
    </w:p>
    <w:p w:rsidR="00A31137" w:rsidRPr="00A31137" w:rsidRDefault="00A31137" w:rsidP="00A31137">
      <w:r w:rsidRPr="00A31137">
        <w:t>1984 Democratic Platform, p.14</w:t>
      </w:r>
    </w:p>
    <w:p w:rsidR="00A31137" w:rsidRPr="00A31137" w:rsidRDefault="00A31137" w:rsidP="00A31137">
      <w:r w:rsidRPr="00A31137">
        <w:t>The Democratic Party reaffirms the importance of historically Black colleges. Today the survival of many of these colleges is threatened. The programs that assist them, which have been severely weakened in [p.15] recent years, must be greatly strengthened with funding targeted toward Black and Hispanic institutions.</w:t>
      </w:r>
    </w:p>
    <w:p w:rsidR="00A31137" w:rsidRPr="00A31137" w:rsidRDefault="00A31137" w:rsidP="00A31137">
      <w:r w:rsidRPr="00A31137">
        <w:t>1984 Democratic Platform, p.15</w:t>
      </w:r>
    </w:p>
    <w:p w:rsidR="00A31137" w:rsidRPr="00A31137" w:rsidRDefault="00A31137" w:rsidP="00A31137">
      <w:r w:rsidRPr="00A31137">
        <w:t>An explosion in demand for certain types of engineers, scientists and other technical specialists is creating a shortage of faculty and PhD candidates. We must encourage colleges and universities to train more scientists and engineers. More than one hundred years ago the Morrill Land Grant Act provided for agricultural colleges and programs that today still help keep American agriculture the world leader. We need a similar program today to encourage the training of scientists and engineers. At the same time, we must not neglect the arts and humanities, which enrich our spirit. The private sector must also recognize its responsibility to join partnerships which strengthen our diverse public and private higher education system.</w:t>
      </w:r>
    </w:p>
    <w:p w:rsidR="00A31137" w:rsidRPr="00A31137" w:rsidRDefault="00A31137" w:rsidP="00A31137">
      <w:r w:rsidRPr="00A31137">
        <w:t>1984 Democratic Platform, p.15</w:t>
      </w:r>
    </w:p>
    <w:p w:rsidR="00A31137" w:rsidRPr="00A31137" w:rsidRDefault="00A31137" w:rsidP="00A31137">
      <w:r w:rsidRPr="00A31137">
        <w:t>Finally, all our educational institutions must adapt to growing numbers of adults returning to school to upgrade their skills, acquire new skills, prepare themselves for entirely new occupations, and enrich their lives.</w:t>
      </w:r>
    </w:p>
    <w:p w:rsidR="00A31137" w:rsidRPr="00A31137" w:rsidRDefault="00A31137" w:rsidP="00A31137">
      <w:r w:rsidRPr="00A31137">
        <w:t xml:space="preserve">Investing In the Arts </w:t>
      </w:r>
    </w:p>
    <w:p w:rsidR="00A31137" w:rsidRPr="00A31137" w:rsidRDefault="00A31137" w:rsidP="00A31137">
      <w:r w:rsidRPr="00A31137">
        <w:t>1984 Democratic Platform, p.15</w:t>
      </w:r>
    </w:p>
    <w:p w:rsidR="00A31137" w:rsidRPr="00A31137" w:rsidRDefault="00A31137" w:rsidP="00A31137">
      <w:r w:rsidRPr="00A31137">
        <w:t xml:space="preserve">America is truly growing and prosperous when its spirit flourishes. The arts and humanities are at the cor of our national experience. Creativity and the life of the mind have defined us at our best throughout our history. As scholars or artists, the museum-goers or students, craftsmen and craftswomen or the millions who use our libraries, countless Americans have a stake in a nation that honors and rejoices in intelligence and imagination. </w:t>
      </w:r>
    </w:p>
    <w:p w:rsidR="00A31137" w:rsidRPr="00A31137" w:rsidRDefault="00A31137" w:rsidP="00A31137">
      <w:r w:rsidRPr="00A31137">
        <w:t>1984 Democratic Platform, p.15</w:t>
      </w:r>
    </w:p>
    <w:p w:rsidR="00A31137" w:rsidRPr="00A31137" w:rsidRDefault="00A31137" w:rsidP="00A31137">
      <w:r w:rsidRPr="00A31137">
        <w:t>The Democratic Party will set a new national tone of respect for learning and artistic achievement. Not only will the federal agencies that support them be strengthened and freed from political intimidation, but the White House itself will once again be a place where American cultural and intellectual life—in all its rich diversity—is honored. Excellence must start at the top.</w:t>
      </w:r>
    </w:p>
    <w:p w:rsidR="00A31137" w:rsidRPr="00A31137" w:rsidRDefault="00A31137" w:rsidP="00A31137">
      <w:r w:rsidRPr="00A31137">
        <w:t>1984 Democratic Platform, p.15</w:t>
      </w:r>
    </w:p>
    <w:p w:rsidR="00A31137" w:rsidRPr="00A31137" w:rsidRDefault="00A31137" w:rsidP="00A31137">
      <w:r w:rsidRPr="00A31137">
        <w:t>Finally, the Democratic Party is also committed to the survival of public television and radio stations which allow all Amerces, regardless of ability to pay, to appreciate high quality, alternative programming. We oppose the efforts of the Reagan Administration to enact draconian cuts which would totally undermine the viability of this nation's excellent public broadcasting system, a broadcasting system which has given the country Sesame Street, 3-2-1 Contact, and other superb children's as well as cultural and public affairs programming.</w:t>
      </w:r>
    </w:p>
    <w:p w:rsidR="00A31137" w:rsidRPr="00A31137" w:rsidRDefault="00A31137" w:rsidP="00A31137">
      <w:r w:rsidRPr="00A31137">
        <w:t>Jobs, Training, and Transitional Assistance</w:t>
      </w:r>
    </w:p>
    <w:p w:rsidR="00A31137" w:rsidRPr="00A31137" w:rsidRDefault="00A31137" w:rsidP="00A31137">
      <w:r w:rsidRPr="00A31137">
        <w:t>1984 Democratic Platform, p.15</w:t>
      </w:r>
    </w:p>
    <w:p w:rsidR="00A31137" w:rsidRPr="00A31137" w:rsidRDefault="00A31137" w:rsidP="00A31137">
      <w:r w:rsidRPr="00A31137">
        <w:t xml:space="preserve">We must have a growing economy if we are to have jobs for all Americans who seek work. But even in a growing economy, the pressures of competition and the pace of change ensure that while jobs are being created, others are being destroyed. Prosperity will not be evenly distributed among regions and communities. We must make special efforts to help families in economic transition who are faced with loss or homes, health benefits, and pensions. And far too many of our young people, especially minorities, do not have the training and skills they need to get their first job. Democrats believe that it is a national responsibility to ensure that the burdens of change are fairly shared and that every young American can take the first step up the ladder of economic opportunity. </w:t>
      </w:r>
    </w:p>
    <w:p w:rsidR="00A31137" w:rsidRPr="00A31137" w:rsidRDefault="00A31137" w:rsidP="00A31137">
      <w:r w:rsidRPr="00A31137">
        <w:t>1984 Democratic Platform, p.15</w:t>
      </w:r>
    </w:p>
    <w:p w:rsidR="00A31137" w:rsidRPr="00A31137" w:rsidRDefault="00A31137" w:rsidP="00A31137">
      <w:r w:rsidRPr="00A31137">
        <w:t>Of the 8.5 million Americans still out of work, 40 percent are under 25. Unemployment among teenagers stands at almost 20 percent. Less than three percent of the jobs created in the last three and a half years have gone to young people. Black and Hispanic youth have a double burden. Unemployment for black teenagers stands at 44 percent—a 20 percent increase in the last three years. Hispanic teens face a 26 percent unemployment rate.</w:t>
      </w:r>
    </w:p>
    <w:p w:rsidR="00A31137" w:rsidRPr="00A31137" w:rsidRDefault="00A31137" w:rsidP="00A31137">
      <w:r w:rsidRPr="00A31137">
        <w:t>1984 Democratic Platform, p.15</w:t>
      </w:r>
    </w:p>
    <w:p w:rsidR="00A31137" w:rsidRPr="00A31137" w:rsidRDefault="00A31137" w:rsidP="00A31137">
      <w:r w:rsidRPr="00A31137">
        <w:t>As disturbing as these figures are, they do not tell the whole story. The unemployment rate measures only those teenagers who were actively looking for work, not those who have given up, completely discouraged by the lack opportunity. Again the burden falls disproportionately on minority youth.</w:t>
      </w:r>
    </w:p>
    <w:p w:rsidR="00A31137" w:rsidRPr="00A31137" w:rsidRDefault="00A31137" w:rsidP="00A31137">
      <w:r w:rsidRPr="00A31137">
        <w:t>1984 Democratic Platform, p.15</w:t>
      </w:r>
    </w:p>
    <w:p w:rsidR="00A31137" w:rsidRPr="00A31137" w:rsidRDefault="00A31137" w:rsidP="00A31137">
      <w:r w:rsidRPr="00A31137">
        <w:t>The Reagan Administration has dismantled virtually all of the successful programs to train and employ young people. Today we are spending less to put young people to work than we were even under the last Republican Administration—70 percent less, when inflation is taken into account. Youth unemployment has skyrocketed, while government efforts to combat it have dwindled to a trickle.</w:t>
      </w:r>
    </w:p>
    <w:p w:rsidR="00A31137" w:rsidRPr="00A31137" w:rsidRDefault="00A31137" w:rsidP="00A31137">
      <w:r w:rsidRPr="00A31137">
        <w:t>1984 Democratic Platform, p.15</w:t>
      </w:r>
    </w:p>
    <w:p w:rsidR="00A31137" w:rsidRPr="00A31137" w:rsidRDefault="00A31137" w:rsidP="00A31137">
      <w:r w:rsidRPr="00A31137">
        <w:t>Unless we address this problem now, half of an entire generation may never know what it means to work. America cannot successfully compete in the world economy if a significant portion of our future work force is illiterate, unskilled, and unemployable.</w:t>
      </w:r>
    </w:p>
    <w:p w:rsidR="00A31137" w:rsidRPr="00A31137" w:rsidRDefault="00A31137" w:rsidP="00A31137">
      <w:r w:rsidRPr="00A31137">
        <w:t>1984 Democratic Platform, p.15</w:t>
      </w:r>
    </w:p>
    <w:p w:rsidR="00A31137" w:rsidRPr="00A31137" w:rsidRDefault="00A31137" w:rsidP="00A31137">
      <w:r w:rsidRPr="00A31137">
        <w:t>The Democratic Party must give our young people new skills and new hope; we must work hand in hand with the private sector if job training is to lead to jobs. Specifically, targeted efforts are needed to address the urgent problem of unemployment among minority teenagers. We must provide job training for those who have dropped out of school, and take every step to expand educational opportunity for those still in school. [p.16] We must recognize the special needs of the over-age 50 worker and the displaced homemaker. Through education, training and retraining we must reduce these dangerously high levels of unemployment.</w:t>
      </w:r>
    </w:p>
    <w:p w:rsidR="00A31137" w:rsidRPr="00A31137" w:rsidRDefault="00A31137" w:rsidP="00A31137">
      <w:r w:rsidRPr="00A31137">
        <w:t>1984 Democratic Platform, p.16</w:t>
      </w:r>
    </w:p>
    <w:p w:rsidR="00A31137" w:rsidRPr="00A31137" w:rsidRDefault="00A31137" w:rsidP="00A31137">
      <w:r w:rsidRPr="00A31137">
        <w:t>We must provide an opportunity for worker, including those dislocated by changing technologies to adapt to new opportunities: we must provide workers with choices as to which skills they wish to acquire. We know that Americans want to work. We are committed to ensuring that meaningful job training is available—for our students, for housewives returning to the workplace, and for those displaced by changing patterns of technology or trade.</w:t>
      </w:r>
    </w:p>
    <w:p w:rsidR="00A31137" w:rsidRPr="00A31137" w:rsidRDefault="00A31137" w:rsidP="00A31137">
      <w:r w:rsidRPr="00A31137">
        <w:t>1984 Democratic Platform, p.16</w:t>
      </w:r>
    </w:p>
    <w:p w:rsidR="00A31137" w:rsidRPr="00A31137" w:rsidRDefault="00A31137" w:rsidP="00A31137">
      <w:r w:rsidRPr="00A31137">
        <w:t>—The federal government will develop a major comprehensive national job skills development policy that is targeted on the chronically unemployed and underemployed. We must train and place these Americans in high-demand labor shortage occupations, working with the private sector so that maximum employment and job creation can be achieved.</w:t>
      </w:r>
    </w:p>
    <w:p w:rsidR="00A31137" w:rsidRPr="00A31137" w:rsidRDefault="00A31137" w:rsidP="00A31137">
      <w:r w:rsidRPr="00A31137">
        <w:t>1984 Democratic Platform, p.16</w:t>
      </w:r>
    </w:p>
    <w:p w:rsidR="00A31137" w:rsidRPr="00A31137" w:rsidRDefault="00A31137" w:rsidP="00A31137">
      <w:r w:rsidRPr="00A31137">
        <w:t>—We will overhaul the currently antiquated unemployment compensation system, and adequately fund job search listings of local employment services.</w:t>
      </w:r>
    </w:p>
    <w:p w:rsidR="00A31137" w:rsidRPr="00A31137" w:rsidRDefault="00A31137" w:rsidP="00A31137">
      <w:r w:rsidRPr="00A31137">
        <w:t>1984 Democratic Platform, p.16</w:t>
      </w:r>
    </w:p>
    <w:p w:rsidR="00A31137" w:rsidRPr="00A31137" w:rsidRDefault="00A31137" w:rsidP="00A31137">
      <w:r w:rsidRPr="00A31137">
        <w:t>—We will also launch meaningful training programs that lead to job placement for women who receive public assistance, in order to break the cycle of dependence and to raise their standard of living. Instead of punitive reductions in AFDC and other benefits for women who seek training and employment while receiving such assistance, beneficiaries should be given a transition period during which they are permitted to earn income in a formal training program while receiving full benefits.</w:t>
      </w:r>
    </w:p>
    <w:p w:rsidR="00A31137" w:rsidRPr="00A31137" w:rsidRDefault="00A31137" w:rsidP="00A31137">
      <w:r w:rsidRPr="00A31137">
        <w:t>1984 Democratic Platform, p.16</w:t>
      </w:r>
    </w:p>
    <w:p w:rsidR="00A31137" w:rsidRPr="00A31137" w:rsidRDefault="00A31137" w:rsidP="00A31137">
      <w:r w:rsidRPr="00A31137">
        <w:t>—We will seriously examine new approaches to training and retraining programs that could be financed directly by government, by labor and management, or by tax free contributions.</w:t>
      </w:r>
    </w:p>
    <w:p w:rsidR="00A31137" w:rsidRPr="00A31137" w:rsidRDefault="00A31137" w:rsidP="00A31137">
      <w:r w:rsidRPr="00A31137">
        <w:t>1984 Democratic Platform, p.16</w:t>
      </w:r>
    </w:p>
    <w:p w:rsidR="00A31137" w:rsidRPr="00A31137" w:rsidRDefault="00A31137" w:rsidP="00A31137">
      <w:r w:rsidRPr="00A31137">
        <w:t>—If cancellations of specific weapons systems result in significant economic dislocations and job loss, it is a national responsibility to address the human consequences of national policy.</w:t>
      </w:r>
    </w:p>
    <w:p w:rsidR="00A31137" w:rsidRPr="00A31137" w:rsidRDefault="00A31137" w:rsidP="00A31137">
      <w:r w:rsidRPr="00A31137">
        <w:t xml:space="preserve">Investing In Infrastructure </w:t>
      </w:r>
    </w:p>
    <w:p w:rsidR="00A31137" w:rsidRPr="00A31137" w:rsidRDefault="00A31137" w:rsidP="00A31137">
      <w:r w:rsidRPr="00A31137">
        <w:t>1984 Democratic Platform, p.16</w:t>
      </w:r>
    </w:p>
    <w:p w:rsidR="00A31137" w:rsidRPr="00A31137" w:rsidRDefault="00A31137" w:rsidP="00A31137">
      <w:r w:rsidRPr="00A31137">
        <w:t>Economic growth requires that America invest in our infrastructure as well as in our people. Investing in infrastructure means rebuilding our bridges and roads and sewers, and we are committed to doing that. But it also means investing in our cities, in decent housing and public transportation, and in regulatory systems for finance and telecommunication that will provide a sound basis for future economic growth</w:t>
      </w:r>
    </w:p>
    <w:p w:rsidR="00A31137" w:rsidRPr="00A31137" w:rsidRDefault="00A31137" w:rsidP="00A31137">
      <w:r w:rsidRPr="00A31137">
        <w:t>Investing in our Cities</w:t>
      </w:r>
    </w:p>
    <w:p w:rsidR="00A31137" w:rsidRPr="00A31137" w:rsidRDefault="00A31137" w:rsidP="00A31137">
      <w:r w:rsidRPr="00A31137">
        <w:t>1984 Democratic Platform, p.16</w:t>
      </w:r>
    </w:p>
    <w:p w:rsidR="00A31137" w:rsidRPr="00A31137" w:rsidRDefault="00A31137" w:rsidP="00A31137">
      <w:r w:rsidRPr="00A31137">
        <w:t>The Democratic Party recognizes the value of prosperous local government, and within that context we recognize that a healthy city is essential to the well-being of the nation, state, county and surrounding local governments.</w:t>
      </w:r>
    </w:p>
    <w:p w:rsidR="00A31137" w:rsidRPr="00A31137" w:rsidRDefault="00A31137" w:rsidP="00A31137">
      <w:r w:rsidRPr="00A31137">
        <w:t>1984 Democratic Platform, p.16</w:t>
      </w:r>
    </w:p>
    <w:p w:rsidR="00A31137" w:rsidRPr="00A31137" w:rsidRDefault="00A31137" w:rsidP="00A31137">
      <w:r w:rsidRPr="00A31137">
        <w:t>Our nation's economic life depends on the economic growth of our cities. Our cities are not only the treasures from which the nation draws its wealth: they are the centers of industry, the centers of art and culture, the breeding ground for economic innovation, and home to the majority of the America people. Our cities are among this country's greatest achievements, and they can be our country's greatest engine of economic growth.</w:t>
      </w:r>
    </w:p>
    <w:p w:rsidR="00A31137" w:rsidRPr="00A31137" w:rsidRDefault="00A31137" w:rsidP="00A31137">
      <w:r w:rsidRPr="00A31137">
        <w:t>1984 Democratic Platform, p.16</w:t>
      </w:r>
    </w:p>
    <w:p w:rsidR="00A31137" w:rsidRPr="00A31137" w:rsidRDefault="00A31137" w:rsidP="00A31137">
      <w:r w:rsidRPr="00A31137">
        <w:t>Cities can be active partners with the federal government and private enterprises for creating new growth. They can be a dynamic entrepreneurial force—by encouraging education and research, by incubating promising new industries, by steering resources toward those most in need, and by fostering new cooperative arrangements among public agencies and private business. Cities can be a leading force for rebuilding the nation's economy.</w:t>
      </w:r>
    </w:p>
    <w:p w:rsidR="00A31137" w:rsidRPr="00A31137" w:rsidRDefault="00A31137" w:rsidP="00A31137">
      <w:r w:rsidRPr="00A31137">
        <w:t>1984 Democratic Platform, p.16</w:t>
      </w:r>
    </w:p>
    <w:p w:rsidR="00A31137" w:rsidRPr="00A31137" w:rsidRDefault="00A31137" w:rsidP="00A31137">
      <w:r w:rsidRPr="00A31137">
        <w:t>But to do this, cities need state and national leadership which values the role of city and county government. Cities need a President willing to work and consult with mayors and county executives. They need an Administration which puts the needs of urban America on the top of the national agenda—because no plan for economic strength will survive when our cities are left behind.</w:t>
      </w:r>
    </w:p>
    <w:p w:rsidR="00A31137" w:rsidRPr="00A31137" w:rsidRDefault="00A31137" w:rsidP="00A31137">
      <w:r w:rsidRPr="00A31137">
        <w:t>1984 Democratic Platform, p.16</w:t>
      </w:r>
    </w:p>
    <w:p w:rsidR="00A31137" w:rsidRPr="00A31137" w:rsidRDefault="00A31137" w:rsidP="00A31137">
      <w:r w:rsidRPr="00A31137">
        <w:t>Today, the Reagan Administration has turned its back on the cities. By sapping our cities strength, this Administration is sapping out country's strength. Only the intervention of the Congress has prevented further and more devastating cuts in city-oriented programs. The Democratic Party believes in making our cities' needs a federal priority once again: We want to see again cities where people have jobs and adequate housing, cities whose bridges and mass transit are being maintained, and whose neighborhoods are safe to live in. And that will take a commitment by our federal government to help our cities again.</w:t>
      </w:r>
    </w:p>
    <w:p w:rsidR="00A31137" w:rsidRPr="00A31137" w:rsidRDefault="00A31137" w:rsidP="00A31137">
      <w:r w:rsidRPr="00A31137">
        <w:t>1984 Democratic Platform, p.16</w:t>
      </w:r>
    </w:p>
    <w:p w:rsidR="00A31137" w:rsidRPr="00A31137" w:rsidRDefault="00A31137" w:rsidP="00A31137">
      <w:r w:rsidRPr="00A31137">
        <w:t>Toward that end, the Democratic Party pledges:</w:t>
      </w:r>
    </w:p>
    <w:p w:rsidR="00A31137" w:rsidRPr="00A31137" w:rsidRDefault="00A31137" w:rsidP="00A31137">
      <w:r w:rsidRPr="00A31137">
        <w:t>1984 Democratic Platform, p.16</w:t>
      </w:r>
    </w:p>
    <w:p w:rsidR="00A31137" w:rsidRPr="00A31137" w:rsidRDefault="00A31137" w:rsidP="00A31137">
      <w:r w:rsidRPr="00A31137">
        <w:t>—a commitment to full employment. We believe the federal government must develop a major, comprehensive national job skills development policy targeted on the chronically unemployed [p.17] and underemployed. We must launch special training programs for women who receive public assistance. We need to increase government procurement opportunities for small and minority firms and to encourage deposits of federal funds in minority-owned financial institutions. And to build for the future, the Democratic Patty calls Party calls for a new national commitment to education, which must include raising standards, insisting on excellence, and giving all children a chance to learn, regardless of race, income or sex.</w:t>
      </w:r>
    </w:p>
    <w:p w:rsidR="00A31137" w:rsidRPr="00A31137" w:rsidRDefault="00A31137" w:rsidP="00A31137">
      <w:r w:rsidRPr="00A31137">
        <w:t>1984 Democratic Platform, p.17</w:t>
      </w:r>
    </w:p>
    <w:p w:rsidR="00A31137" w:rsidRPr="00A31137" w:rsidRDefault="00A31137" w:rsidP="00A31137">
      <w:r w:rsidRPr="00A31137">
        <w:t>—a commitment to rebuilding the infrastructure of America. We need to inventory facility needs, set priorities and establish policies for the repair, maintenance, and replacement of public works by all levels of government. We need to create a federal capital budget to separate operating and capital outlays. We will consult local governments in decisions affecting the design and performance standards of facilities constructed under federal programs. And we need to create a national reconstruction fund to provide affordable loans to states and localities for infrastructure projects. This will not only rebuild the infrastructure of our cities but provide badly needed employment for people who live there.</w:t>
      </w:r>
    </w:p>
    <w:p w:rsidR="00A31137" w:rsidRPr="00A31137" w:rsidRDefault="00A31137" w:rsidP="00A31137">
      <w:r w:rsidRPr="00A31137">
        <w:t>1984 Democratic Platform, p.17</w:t>
      </w:r>
    </w:p>
    <w:p w:rsidR="00A31137" w:rsidRPr="00A31137" w:rsidRDefault="00A31137" w:rsidP="00A31137">
      <w:r w:rsidRPr="00A31137">
        <w:t>—a commitment to housing. We must restore government's positive role in helping all Americans find adequate and affordable housing. We reaffirm our commitment to public housing for the most disadvantaged members of our society. We must strengthen our commitment to the operation and rehabilitation of current government-assisted housing. We must maintain and expand the flow of mortgage capital, and bring interest rates down with sensible economic policies. We must pull together the patchwork of housing programs and cut through the red tape to make it easier for cities to receive the assistance to meet their own unique needs. We must upgrade and replenish housing in minority communities and create more units for poor and low-income people. And we must enforce fair housing standards to prohibit discrimination in the housing market.</w:t>
      </w:r>
    </w:p>
    <w:p w:rsidR="00A31137" w:rsidRPr="00A31137" w:rsidRDefault="00A31137" w:rsidP="00A31137">
      <w:r w:rsidRPr="00A31137">
        <w:t>1984 Democratic Platform, p.17</w:t>
      </w:r>
    </w:p>
    <w:p w:rsidR="00A31137" w:rsidRPr="00A31137" w:rsidRDefault="00A31137" w:rsidP="00A31137">
      <w:r w:rsidRPr="00A31137">
        <w:t>Our Party must be a vehicle for realizing the hopes, the aspirations, and the dreams of the people of this country. And that includes the people who live in cities.</w:t>
      </w:r>
    </w:p>
    <w:p w:rsidR="00A31137" w:rsidRPr="00A31137" w:rsidRDefault="00A31137" w:rsidP="00A31137">
      <w:r w:rsidRPr="00A31137">
        <w:t xml:space="preserve">Physical Infrastructure </w:t>
      </w:r>
    </w:p>
    <w:p w:rsidR="00A31137" w:rsidRPr="00A31137" w:rsidRDefault="00A31137" w:rsidP="00A31137">
      <w:r w:rsidRPr="00A31137">
        <w:t>1984 Democratic Platform, p.17</w:t>
      </w:r>
    </w:p>
    <w:p w:rsidR="00A31137" w:rsidRPr="00A31137" w:rsidRDefault="00A31137" w:rsidP="00A31137">
      <w:r w:rsidRPr="00A31137">
        <w:t xml:space="preserve">This nation's physical infrastructure—our bridges and roads, our ports, our railroads, our sewers, our public transit and water supply systems—is deteriorating faster than we can repair it. The gap between the necessary improvements and available resources grows every year. State and local governments, strapped by Reaganomics, have been forced repeatedly to defer maintenance, and to abandon plans for construction. </w:t>
      </w:r>
    </w:p>
    <w:p w:rsidR="00A31137" w:rsidRPr="00A31137" w:rsidRDefault="00A31137" w:rsidP="00A31137">
      <w:r w:rsidRPr="00A31137">
        <w:t>1984 Democratic Platform, p.17</w:t>
      </w:r>
    </w:p>
    <w:p w:rsidR="00A31137" w:rsidRPr="00A31137" w:rsidRDefault="00A31137" w:rsidP="00A31137">
      <w:r w:rsidRPr="00A31137">
        <w:t>As Democrats, we recognize that infrastructure is the basis for efficient commerce and industry. If our older industrial cities are to grow, if our expanding regions are to continue to expand, then we must work with state and local government to target our investment to out most important infrastructure. There is work to be done in rebuilding and maintaining our infrastructure, and there are millions of American men and women in need of work. The federal government must take the lead in putting them back to work, and in doing so, providing the basis for private sector investment and economic growth. We need to inventory facility needs, set priorities, and establish policies for the repair, maintenance and replacement of the public works by all of government. We need a capital budget to separate paying for these long-term investments from regular expenditures. Furthermore, we need a national reconstruction fund to provide affordable loans to state and localities for infrastructure projects.</w:t>
      </w:r>
    </w:p>
    <w:p w:rsidR="00A31137" w:rsidRPr="00A31137" w:rsidRDefault="00A31137" w:rsidP="00A31137">
      <w:r w:rsidRPr="00A31137">
        <w:t>Finance Infrastructure</w:t>
      </w:r>
    </w:p>
    <w:p w:rsidR="00A31137" w:rsidRPr="00A31137" w:rsidRDefault="00A31137" w:rsidP="00A31137">
      <w:r w:rsidRPr="00A31137">
        <w:t>1984 Democratic Platform, p.17</w:t>
      </w:r>
    </w:p>
    <w:p w:rsidR="00A31137" w:rsidRPr="00A31137" w:rsidRDefault="00A31137" w:rsidP="00A31137">
      <w:r w:rsidRPr="00A31137">
        <w:t>At the heart of our economy is the financial infrastructure: a set of diverse interdependent institutions and markets which are the envy of the world. We must preserve that strengths. Until very recently, the United States operated with a domestic financial system that was built in response to the stock market crash Of 1929, the massive series of bank failures that accompanied the Great Depression, and the speculative excesses of the stock market. There was an emphasis on placing different types of financial activities in different institutions. Commercial banks were not to float stock market issues. Investment bankers could. Neither took equity positions in individual companies. savings and credit institutions were established to support housing and consumer durable. Soundness of the system, liquidity, investor and depositor proration, neutrality of credit and capital decisions, and a wide variety of financial institutions to serve the varying needs of business and consumers have been the fundamental goals.</w:t>
      </w:r>
      <w:r w:rsidRPr="00A31137">
        <w:cr/>
      </w:r>
    </w:p>
    <w:p w:rsidR="00A31137" w:rsidRPr="00A31137" w:rsidRDefault="00A31137" w:rsidP="00A31137">
      <w:r w:rsidRPr="00A31137">
        <w:t>1984 Democratic Platform, p.18</w:t>
      </w:r>
    </w:p>
    <w:p w:rsidR="00A31137" w:rsidRPr="00A31137" w:rsidRDefault="00A31137" w:rsidP="00A31137">
      <w:r w:rsidRPr="00A31137">
        <w:t>[p.18] Bit by bit, the American financial system began to change. The domestic financial market became closely tied to the international market, which in turn had become larger, more competitive, and more volatile. Inflation, technology, the growth of foreign competition, and institutional innovation all combined to create strong pressures for change. The 1980's brought a deregulation of interest rates and a wave of deregulatory decisions by financial regulators.</w:t>
      </w:r>
    </w:p>
    <w:p w:rsidR="00A31137" w:rsidRPr="00A31137" w:rsidRDefault="00A31137" w:rsidP="00A31137">
      <w:r w:rsidRPr="00A31137">
        <w:t>1984 Democratic Platform, p.18</w:t>
      </w:r>
    </w:p>
    <w:p w:rsidR="00A31137" w:rsidRPr="00A31137" w:rsidRDefault="00A31137" w:rsidP="00A31137">
      <w:r w:rsidRPr="00A31137">
        <w:t>These changes raise serious threats to our traditional financial goals. Before leaping into a highly uncertain financial future, the country should take a careful look at the direction deregulation is taking, and what it means to our financial system and the economy.</w:t>
      </w:r>
    </w:p>
    <w:p w:rsidR="00A31137" w:rsidRPr="00A31137" w:rsidRDefault="00A31137" w:rsidP="00A31137">
      <w:r w:rsidRPr="00A31137">
        <w:t>Telecommunications</w:t>
      </w:r>
    </w:p>
    <w:p w:rsidR="00A31137" w:rsidRPr="00A31137" w:rsidRDefault="00A31137" w:rsidP="00A31137">
      <w:r w:rsidRPr="00A31137">
        <w:t>1984 Democratic Platform, p.18</w:t>
      </w:r>
    </w:p>
    <w:p w:rsidR="00A31137" w:rsidRPr="00A31137" w:rsidRDefault="00A31137" w:rsidP="00A31137">
      <w:r w:rsidRPr="00A31137">
        <w:t>Telecommunications is the infrastructure of the information age. The last decade has seen an explosion in new technologies expanded competition, and growing dependence on high quality telecommunications.</w:t>
      </w:r>
    </w:p>
    <w:p w:rsidR="00A31137" w:rsidRPr="00A31137" w:rsidRDefault="00A31137" w:rsidP="00A31137">
      <w:r w:rsidRPr="00A31137">
        <w:t>1984 Democratic Platform, p.18</w:t>
      </w:r>
    </w:p>
    <w:p w:rsidR="00A31137" w:rsidRPr="00A31137" w:rsidRDefault="00A31137" w:rsidP="00A31137">
      <w:r w:rsidRPr="00A31137">
        <w:t>Nationwide access to those networks is becoming crucial to full participation in a society and economy that are increasingly dependent upon the rapid exchange of information. Electronically-delivered messages, and not the written word, are becoming the dominant form of communication. A citizen without access to telecommunications is in danger of fading into isolation. Therefore, the proper regulation of telecommunications is critical. We must encourage competition while preventing regulatory decisions which substantially increase basic telephone rates and which threaten to throw large numbers of low-income, elderly, or rural people off the telecommunications networks. We must also insure that workers in the telecommunications industry do not find their retirement or other earned benefits jeopardized by the consequences of divestiture.</w:t>
      </w:r>
    </w:p>
    <w:p w:rsidR="00A31137" w:rsidRPr="00A31137" w:rsidRDefault="00A31137" w:rsidP="00A31137">
      <w:r w:rsidRPr="00A31137">
        <w:t>1984 Democratic Platform, p.18</w:t>
      </w:r>
    </w:p>
    <w:p w:rsidR="00A31137" w:rsidRPr="00A31137" w:rsidRDefault="00A31137" w:rsidP="00A31137">
      <w:r w:rsidRPr="00A31137">
        <w:t>This electronic marketplace is so fundamental to our future as a democracy (as well as to our economy) that social and cultural principles must be as much a part of communications policy as a commitment to efficiency, innovation, and competition. Those principles are diversity, the availability of a wide choice of information services and sources; access, the ability of all Americans, not just a privileged few, to take advantage of this growing array of information services and sources; and opportunity, a commitment to education and diverse ownership, particularly by minorities and women, that will give every American the ability to take advantage of the computer and the telecommunications revolution. We support the Fairness Doctrine and Equal Time requirements, along with other laws and regulations on the electronic media which encourage or require responsiveness to community needs and a diversity or viewpoints.</w:t>
      </w:r>
    </w:p>
    <w:p w:rsidR="00A31137" w:rsidRPr="00A31137" w:rsidRDefault="00A31137" w:rsidP="00A31137">
      <w:r w:rsidRPr="00A31137">
        <w:t>Housing</w:t>
      </w:r>
    </w:p>
    <w:p w:rsidR="00A31137" w:rsidRPr="00A31137" w:rsidRDefault="00A31137" w:rsidP="00A31137">
      <w:r w:rsidRPr="00A31137">
        <w:t>1984 Democratic Platform, p.18</w:t>
      </w:r>
    </w:p>
    <w:p w:rsidR="00A31137" w:rsidRPr="00A31137" w:rsidRDefault="00A31137" w:rsidP="00A31137">
      <w:r w:rsidRPr="00A31137">
        <w:t>Decent, affordable housing has been a goal of national public policy for almost half a century, since the United States Housing Act of 1937. The Democratic Party has remotely reaffirmed the belief that American citizens should be able to find adequate shelter at reasonable cost. And we have been unwavering in our support of the premise that government has a positive role to play in ensuring housing opportunities for less fortunate Americans, including the elderly and the handicapped, not served by the private market.</w:t>
      </w:r>
    </w:p>
    <w:p w:rsidR="00A31137" w:rsidRPr="00A31137" w:rsidRDefault="00A31137" w:rsidP="00A31137">
      <w:r w:rsidRPr="00A31137">
        <w:t>1984 Democratic Platform, p.18</w:t>
      </w:r>
    </w:p>
    <w:p w:rsidR="00A31137" w:rsidRPr="00A31137" w:rsidRDefault="00A31137" w:rsidP="00A31137">
      <w:r w:rsidRPr="00A31137">
        <w:t>In the last four years this long-standing commitment to decent shelter has been crippled by the underfunding, insensitivity, high interest rates, and distorted priorities of the Reagan Administration.</w:t>
      </w:r>
    </w:p>
    <w:p w:rsidR="00A31137" w:rsidRPr="00A31137" w:rsidRDefault="00A31137" w:rsidP="00A31137">
      <w:r w:rsidRPr="00A31137">
        <w:t>1984 Democratic Platform, p.18</w:t>
      </w:r>
    </w:p>
    <w:p w:rsidR="00A31137" w:rsidRPr="00A31137" w:rsidRDefault="00A31137" w:rsidP="00A31137">
      <w:r w:rsidRPr="00A31137">
        <w:t>The Democratic Party has always accorded housing the high priority it deserves. One essential quality will characterize this commitment in the future It must and will be comprehensive.</w:t>
      </w:r>
    </w:p>
    <w:p w:rsidR="00A31137" w:rsidRPr="00A31137" w:rsidRDefault="00A31137" w:rsidP="00A31137">
      <w:r w:rsidRPr="00A31137">
        <w:t>1984 Democratic Platform, p.18</w:t>
      </w:r>
    </w:p>
    <w:p w:rsidR="00A31137" w:rsidRPr="00A31137" w:rsidRDefault="00A31137" w:rsidP="00A31137">
      <w:r w:rsidRPr="00A31137">
        <w:t>By advocating a comprehensive policy which addresses the totality of our housing needs, we do not mean to suggest that all concerns have an equal claim on resources or require the same level of governmental intervention. The bulk of our resources will be concentrated on those most in need, and government must take a leadership role where others cannot or will not participate.</w:t>
      </w:r>
    </w:p>
    <w:p w:rsidR="00A31137" w:rsidRPr="00A31137" w:rsidRDefault="00A31137" w:rsidP="00A31137">
      <w:r w:rsidRPr="00A31137">
        <w:t>1984 Democratic Platform, p.18</w:t>
      </w:r>
    </w:p>
    <w:p w:rsidR="00A31137" w:rsidRPr="00A31137" w:rsidRDefault="00A31137" w:rsidP="00A31137">
      <w:r w:rsidRPr="00A31137">
        <w:t>Within a comprehensive framework for policy development and constituency building, we will establish priorities according to principles of compassion and equity. We would like to see a special effort in two areas in the first years of a new Democratic Administration.</w:t>
      </w:r>
    </w:p>
    <w:p w:rsidR="00A31137" w:rsidRPr="00A31137" w:rsidRDefault="00A31137" w:rsidP="00A31137">
      <w:r w:rsidRPr="00A31137">
        <w:t>1984 Democratic Platform, p.18</w:t>
      </w:r>
    </w:p>
    <w:p w:rsidR="00A31137" w:rsidRPr="00A31137" w:rsidRDefault="00A31137" w:rsidP="00A31137">
      <w:r w:rsidRPr="00A31137">
        <w:t>First, we must intensify our commitment to the adequate operation, management, and rehabilitation of the current inventory of government-assisted housing. This housing stock is not one, but the only option for the least fortunate among our lower income families and senior citizens. It is the right thing to do and it 'makes economic sense to preserve our own economic investment.</w:t>
      </w:r>
    </w:p>
    <w:p w:rsidR="00A31137" w:rsidRPr="00A31137" w:rsidRDefault="00A31137" w:rsidP="00A31137">
      <w:r w:rsidRPr="00A31137">
        <w:t>1984 Democratic Platform, p.18</w:t>
      </w:r>
    </w:p>
    <w:p w:rsidR="00A31137" w:rsidRPr="00A31137" w:rsidRDefault="00A31137" w:rsidP="00A31137">
      <w:r w:rsidRPr="00A31137">
        <w:t>Second, we must maintain and expand the flow of mortgage capital. The America dream of home ownership will fall beyond the reach of this generation and future ones if government fails to help attract new sources of capital for housing.</w:t>
      </w:r>
    </w:p>
    <w:p w:rsidR="00A31137" w:rsidRPr="00A31137" w:rsidRDefault="00A31137" w:rsidP="00A31137">
      <w:r w:rsidRPr="00A31137">
        <w:t>1984 Democratic Platform, p.19</w:t>
      </w:r>
    </w:p>
    <w:p w:rsidR="00A31137" w:rsidRPr="00A31137" w:rsidRDefault="00A31137" w:rsidP="00A31137">
      <w:r w:rsidRPr="00A31137">
        <w:t>[p.19] We will draw on our historic commitment to housing, and the best insights and energies of today's Democratic Party, to address the future housing needs of all the American people. The Democratic Party will develop short-range emergency responses to the problem of homelessness as well as long-range solutions to its causes. The Democratic Party will support upgrading and replenishment of the housing stock in minority communities, with more affordable units available so that poor and low income people can buy units with low interest loans. Also, fair housing standards need to be vigorously enforced by the federal, state and local governments in order to deal with persistent discrimination in the housing market for buyers and renters. Finally, the expansion of public housing and other publicly-assisted housing programs is a necessity due to the growth in the homeless population and in the high cost of commercially available units.</w:t>
      </w:r>
    </w:p>
    <w:p w:rsidR="00A31137" w:rsidRPr="00A31137" w:rsidRDefault="00A31137" w:rsidP="00A31137">
      <w:r w:rsidRPr="00A31137">
        <w:t>Transportation</w:t>
      </w:r>
    </w:p>
    <w:p w:rsidR="00A31137" w:rsidRPr="00A31137" w:rsidRDefault="00A31137" w:rsidP="00A31137">
      <w:r w:rsidRPr="00A31137">
        <w:t>1984 Democratic Platform, p.19</w:t>
      </w:r>
    </w:p>
    <w:p w:rsidR="00A31137" w:rsidRPr="00A31137" w:rsidRDefault="00A31137" w:rsidP="00A31137">
      <w:r w:rsidRPr="00A31137">
        <w:t>Democrats vigorously support the concept of promoting competition in transportation and the elimination of unnecessary and inefficient regulation of the railroad industry. Democrats also insist on insuring a fair rate for captive shippers. It was the Democratic Party which was primarily responsible for the passage of the Staggers Rail Act of 1980, which was designed to accomplish these objectives.</w:t>
      </w:r>
    </w:p>
    <w:p w:rsidR="00A31137" w:rsidRPr="00A31137" w:rsidRDefault="00A31137" w:rsidP="00A31137">
      <w:r w:rsidRPr="00A31137">
        <w:t>1984 Democratic Platform, p.19</w:t>
      </w:r>
    </w:p>
    <w:p w:rsidR="00A31137" w:rsidRPr="00A31137" w:rsidRDefault="00A31137" w:rsidP="00A31137">
      <w:r w:rsidRPr="00A31137">
        <w:t>The Democratic Party is committed to a policy of administering the transportation laws in a manner which will encourage competition and provide protection for captive shippers.</w:t>
      </w:r>
    </w:p>
    <w:p w:rsidR="00A31137" w:rsidRPr="00A31137" w:rsidRDefault="00A31137" w:rsidP="00A31137">
      <w:r w:rsidRPr="00A31137">
        <w:t>1984 Democratic Platform, p.19</w:t>
      </w:r>
    </w:p>
    <w:p w:rsidR="00A31137" w:rsidRPr="00A31137" w:rsidRDefault="00A31137" w:rsidP="00A31137">
      <w:r w:rsidRPr="00A31137">
        <w:t>A comprehensive maritime policy that is tailored to the realities of today's international shipping world and to the economic, political, and military needs of the United States is a necessity. Such a policy should address all facets of out maritime industry—from shipping to shipbuilding and related activities—in an integrated manner.</w:t>
      </w:r>
    </w:p>
    <w:p w:rsidR="00A31137" w:rsidRPr="00A31137" w:rsidRDefault="00A31137" w:rsidP="00A31137">
      <w:r w:rsidRPr="00A31137">
        <w:t>Postal Service</w:t>
      </w:r>
    </w:p>
    <w:p w:rsidR="00A31137" w:rsidRPr="00A31137" w:rsidRDefault="00A31137" w:rsidP="00A31137">
      <w:r w:rsidRPr="00A31137">
        <w:t>1984 Democratic Platform, p.19</w:t>
      </w:r>
    </w:p>
    <w:p w:rsidR="00A31137" w:rsidRPr="00A31137" w:rsidRDefault="00A31137" w:rsidP="00A31137">
      <w:r w:rsidRPr="00A31137">
        <w:t xml:space="preserve">The private express statutes guarantee the protection and security of the mail for all Americans. They are essential to the maintenance of the national postal system along with retaining rural post offices to assure the delivery of mail to all Americans. </w:t>
      </w:r>
      <w:r w:rsidRPr="00A31137">
        <w:cr/>
      </w:r>
    </w:p>
    <w:p w:rsidR="00A31137" w:rsidRPr="00A31137" w:rsidRDefault="00A31137" w:rsidP="00A31137">
      <w:r w:rsidRPr="00A31137">
        <w:t>A Framework for Growth</w:t>
      </w:r>
    </w:p>
    <w:p w:rsidR="00A31137" w:rsidRPr="00A31137" w:rsidRDefault="00A31137" w:rsidP="00A31137">
      <w:r w:rsidRPr="00A31137">
        <w:t>1984 Democratic Platform, p.19</w:t>
      </w:r>
    </w:p>
    <w:p w:rsidR="00A31137" w:rsidRPr="00A31137" w:rsidRDefault="00A31137" w:rsidP="00A31137">
      <w:r w:rsidRPr="00A31137">
        <w:t>The American economy is a complex mix, incorporating any number of different actors and entities—private businesses, professional societies, charitable institutions, lair unions, regional development councils, and local school boards. The economy is driven by millions of individual decisions on spending and saving, on investing and wages. Government is only one force among many woven into the fabric of American economic life. Just as the wrong overall economic policy can disrupt the best private decisions, the best government economic policies will not put us on a path to long-term growth unless business, labor, and other private institutions meet their responsibilities and rise to the competitive challenge of a new era.</w:t>
      </w:r>
    </w:p>
    <w:p w:rsidR="00A31137" w:rsidRPr="00A31137" w:rsidRDefault="00A31137" w:rsidP="00A31137">
      <w:r w:rsidRPr="00A31137">
        <w:t xml:space="preserve">Private Sector Responsibilities </w:t>
      </w:r>
    </w:p>
    <w:p w:rsidR="00A31137" w:rsidRPr="00A31137" w:rsidRDefault="00A31137" w:rsidP="00A31137">
      <w:r w:rsidRPr="00A31137">
        <w:t>1984 Democratic Platform, p.19</w:t>
      </w:r>
    </w:p>
    <w:p w:rsidR="00A31137" w:rsidRPr="00A31137" w:rsidRDefault="00A31137" w:rsidP="00A31137">
      <w:r w:rsidRPr="00A31137">
        <w:t>In many cases, the private sector is already playing a major role in laying the basis for future growth and meeting broad community responsibilities. In other cases, however, short-term considerations have been allowed to predominate at the expense of the long-term needs of the national economy.</w:t>
      </w:r>
    </w:p>
    <w:p w:rsidR="00A31137" w:rsidRPr="00A31137" w:rsidRDefault="00A31137" w:rsidP="00A31137">
      <w:r w:rsidRPr="00A31137">
        <w:t>1984 Democratic Platform, p.19</w:t>
      </w:r>
    </w:p>
    <w:p w:rsidR="00A31137" w:rsidRPr="00A31137" w:rsidRDefault="00A31137" w:rsidP="00A31137">
      <w:r w:rsidRPr="00A31137">
        <w:t>A recent wave of mergers has been particularly troubling. Any number of large corporations have focuses their energies arranging the next merger or defending against the latest takeover bid.</w:t>
      </w:r>
    </w:p>
    <w:p w:rsidR="00A31137" w:rsidRPr="00A31137" w:rsidRDefault="00A31137" w:rsidP="00A31137">
      <w:r w:rsidRPr="00A31137">
        <w:t>1984 Democratic Platform, p.19</w:t>
      </w:r>
    </w:p>
    <w:p w:rsidR="00A31137" w:rsidRPr="00A31137" w:rsidRDefault="00A31137" w:rsidP="00A31137">
      <w:r w:rsidRPr="00A31137">
        <w:t>Many of our major competitors have targeted their efforts on investments in new methods of producing cheaper, high-quality products. To respond to the growing pressure of foreign competition. America's private sector must meet several challenges:</w:t>
      </w:r>
    </w:p>
    <w:p w:rsidR="00A31137" w:rsidRPr="00A31137" w:rsidRDefault="00A31137" w:rsidP="00A31137">
      <w:r w:rsidRPr="00A31137">
        <w:t>1984 Democratic Platform, p.19</w:t>
      </w:r>
    </w:p>
    <w:p w:rsidR="00A31137" w:rsidRPr="00A31137" w:rsidRDefault="00A31137" w:rsidP="00A31137">
      <w:r w:rsidRPr="00A31137">
        <w:t>—Investing strategically—the more U.S. companies focus on long-term strategies to improve their competitive positions, the better off the entire economy will be.</w:t>
      </w:r>
    </w:p>
    <w:p w:rsidR="00A31137" w:rsidRPr="00A31137" w:rsidRDefault="00A31137" w:rsidP="00A31137">
      <w:r w:rsidRPr="00A31137">
        <w:t>1984 Democratic Platform, p.19</w:t>
      </w:r>
    </w:p>
    <w:p w:rsidR="00A31137" w:rsidRPr="00A31137" w:rsidRDefault="00A31137" w:rsidP="00A31137">
      <w:r w:rsidRPr="00A31137">
        <w:t>—Managing cost and quality—U.S. companies will have to place similar emphasis on controlling costs and quality to effectively meet the best of the foreign competition.</w:t>
      </w:r>
    </w:p>
    <w:p w:rsidR="00A31137" w:rsidRPr="00A31137" w:rsidRDefault="00A31137" w:rsidP="00A31137">
      <w:r w:rsidRPr="00A31137">
        <w:t>1984 Democratic Platform, p.19</w:t>
      </w:r>
    </w:p>
    <w:p w:rsidR="00A31137" w:rsidRPr="00A31137" w:rsidRDefault="00A31137" w:rsidP="00A31137">
      <w:r w:rsidRPr="00A31137">
        <w:t>—Competing internationally—U.S. business like other institutions in the country need to pay greater attention to the international market place.</w:t>
      </w:r>
    </w:p>
    <w:p w:rsidR="00A31137" w:rsidRPr="00A31137" w:rsidRDefault="00A31137" w:rsidP="00A31137">
      <w:r w:rsidRPr="00A31137">
        <w:t>Partnership, Cooperation and Participation</w:t>
      </w:r>
    </w:p>
    <w:p w:rsidR="00A31137" w:rsidRPr="00A31137" w:rsidRDefault="00A31137" w:rsidP="00A31137">
      <w:r w:rsidRPr="00A31137">
        <w:t>1984 Democratic Platform, p.19</w:t>
      </w:r>
    </w:p>
    <w:p w:rsidR="00A31137" w:rsidRPr="00A31137" w:rsidRDefault="00A31137" w:rsidP="00A31137">
      <w:r w:rsidRPr="00A31137">
        <w:t>Partnership, cooperation and participation are central to economic growth. We need new cooperative institutions, and a steady redefinition of how labor and management, universities, the private sector, and state and local governments can work together.</w:t>
      </w:r>
    </w:p>
    <w:p w:rsidR="00A31137" w:rsidRPr="00A31137" w:rsidRDefault="00A31137" w:rsidP="00A31137">
      <w:r w:rsidRPr="00A31137">
        <w:t>1984 Democratic Platform, p.19</w:t>
      </w:r>
    </w:p>
    <w:p w:rsidR="00A31137" w:rsidRPr="00A31137" w:rsidRDefault="00A31137" w:rsidP="00A31137">
      <w:r w:rsidRPr="00A31137">
        <w:t>—National cooperation—In developing a long-term growth strategy, there are several particularly important functions that today are poorly performed or poorly coordinated by the government: coordination and policy coherence;</w:t>
      </w:r>
    </w:p>
    <w:p w:rsidR="00A31137" w:rsidRPr="00A31137" w:rsidRDefault="00A31137" w:rsidP="00A31137">
      <w:r w:rsidRPr="00A31137">
        <w:t>1984 Democratic Platform, p.20</w:t>
      </w:r>
    </w:p>
    <w:p w:rsidR="00A31137" w:rsidRPr="00A31137" w:rsidRDefault="00A31137" w:rsidP="00A31137">
      <w:r w:rsidRPr="00A31137">
        <w:t>[p.20] developing and disseminating useful economic information; anticipating economic problems; and developing long-term consensus between public and private sectors. To better accomplish these tasks, it is time that a national Economic Cooperation Council was created, Its charter would be simple and basic: (1) to collect, analyze, and disseminate economic data; (2) to create a forum where the gap between business, labor, and government is bridged, where all three develop the trust, understanding, and cooperation necessary to improve productivity; and, (3) to identify national priorities, make recommendations on how best to reach those goals, and help build consensus for action.</w:t>
      </w:r>
    </w:p>
    <w:p w:rsidR="00A31137" w:rsidRPr="00A31137" w:rsidRDefault="00A31137" w:rsidP="00A31137">
      <w:r w:rsidRPr="00A31137">
        <w:t>1984 Democratic Platform, p.20</w:t>
      </w:r>
    </w:p>
    <w:p w:rsidR="00A31137" w:rsidRPr="00A31137" w:rsidRDefault="00A31137" w:rsidP="00A31137">
      <w:r w:rsidRPr="00A31137">
        <w:t>—State involvement—Under the guise of increasing the power of state government, the Reagan Administration has actually given the states only the power to decide what programs to cut or eliminate, because of the substantially decreased funding it has made available to the states. Should it be baby clinics, child immunization against disease, day care, maternal health, or youth services? The Democratic Party believes a strong partnership of federal, state and local governments is basic to effective and efficient decision-making, problem-solving, and provision of adequate services. We must also encourage cooperation between states and the private sector. State development agencies are already seeking closer ties to both business and universities. And universities are increasingly looking to the private sector in setting their research agendas.</w:t>
      </w:r>
    </w:p>
    <w:p w:rsidR="00A31137" w:rsidRPr="00A31137" w:rsidRDefault="00A31137" w:rsidP="00A31137">
      <w:r w:rsidRPr="00A31137">
        <w:t>1984 Democratic Platform, p.20</w:t>
      </w:r>
    </w:p>
    <w:p w:rsidR="00A31137" w:rsidRPr="00A31137" w:rsidRDefault="00A31137" w:rsidP="00A31137">
      <w:r w:rsidRPr="00A31137">
        <w:t>—Local and community involvement—Citizen involvement in governance should be as great as possible. The responsibility for general governance, the delivery of programs and services, and the resolution of problems should be with the level of government that is closest to the citizenry and that can still discharge those responsibilities effectively and efficiently. These levels of government must assure basic civil liberties and justice for all citizens. They must not be abrogated by any local jurisdiction. The federal government should focus on the importance of local initiatives. For example, vocational education is an area where local schools and local business will increasingly be brought together. Financial stability and adequate authority are essential prerequisites to developing successful public-private partnerships and maximizing citizen involvement in governance.</w:t>
      </w:r>
    </w:p>
    <w:p w:rsidR="00A31137" w:rsidRPr="00A31137" w:rsidRDefault="00A31137" w:rsidP="00A31137">
      <w:r w:rsidRPr="00A31137">
        <w:t>1984 Democratic Platform, p.20</w:t>
      </w:r>
    </w:p>
    <w:p w:rsidR="00A31137" w:rsidRPr="00A31137" w:rsidRDefault="00A31137" w:rsidP="00A31137">
      <w:r w:rsidRPr="00A31137">
        <w:t>Government financial and technical assistance programs should give preference to viable worker and/or community-owned or -run businesses, especially as a response to plant shutdowns.</w:t>
      </w:r>
    </w:p>
    <w:p w:rsidR="00A31137" w:rsidRPr="00A31137" w:rsidRDefault="00A31137" w:rsidP="00A31137">
      <w:r w:rsidRPr="00A31137">
        <w:t>Broadening Labor-Management Cooperation</w:t>
      </w:r>
    </w:p>
    <w:p w:rsidR="00A31137" w:rsidRPr="00A31137" w:rsidRDefault="00A31137" w:rsidP="00A31137">
      <w:r w:rsidRPr="00A31137">
        <w:t>1984 Democratic Platform, p.20</w:t>
      </w:r>
    </w:p>
    <w:p w:rsidR="00A31137" w:rsidRPr="00A31137" w:rsidRDefault="00A31137" w:rsidP="00A31137">
      <w:r w:rsidRPr="00A31137">
        <w:t>We support greater employee participation in the workplaces. Employees should have an opportunity to make a greater contribution to workplace productivity and qualify through actual ownership of the company, employee representation on corporate boards, quality work circles, and greater worker participation in management decisions. The government should encourage employee participation and ownership, particularly as an alternative to plant shutdowns. It is destructive of labor-management relations when concessions extracted from labor to preserve jobs are converted after the restoration of profitability, into management bonuses, rather than restoring the concessions that the workers made. Such practices offend our sense of fairness, as does the Reagan Administration-inspired union-busting. Essential to fairness in the workplace is the basic right of workers to organize collectively.</w:t>
      </w:r>
    </w:p>
    <w:p w:rsidR="00A31137" w:rsidRPr="00A31137" w:rsidRDefault="00A31137" w:rsidP="00A31137">
      <w:r w:rsidRPr="00A31137">
        <w:t>Consumer Protection</w:t>
      </w:r>
    </w:p>
    <w:p w:rsidR="00A31137" w:rsidRPr="00A31137" w:rsidRDefault="00A31137" w:rsidP="00A31137">
      <w:r w:rsidRPr="00A31137">
        <w:t>1984 Democratic Platform, p.20</w:t>
      </w:r>
    </w:p>
    <w:p w:rsidR="00A31137" w:rsidRPr="00A31137" w:rsidRDefault="00A31137" w:rsidP="00A31137">
      <w:r w:rsidRPr="00A31137">
        <w:t xml:space="preserve">The Democratic Party strongly reaffirms its commitment to federal programs which are designed to enhance and protect the health and safety of all Americans. Under the Reagan Administration, the critical missions of agencies such as the Consumer Product Safety Commission (CPSC), the National Highway Traffic Safety Administration (NHTSA), the Food and Drug Administration (FDA), the Occupational Safety and Health Administration (OSHA), the Mine Safety and Health Administration (MSHA), and the Federal Trade Commission (FTC) have been ignored and subverted. </w:t>
      </w:r>
    </w:p>
    <w:p w:rsidR="00A31137" w:rsidRPr="00A31137" w:rsidRDefault="00A31137" w:rsidP="00A31137">
      <w:r w:rsidRPr="00A31137">
        <w:t>1984 Democratic Platform, p.20</w:t>
      </w:r>
    </w:p>
    <w:p w:rsidR="00A31137" w:rsidRPr="00A31137" w:rsidRDefault="00A31137" w:rsidP="00A31137">
      <w:r w:rsidRPr="00A31137">
        <w:t xml:space="preserve">The Reagan Administration proposed abolishing the CPSC, which has recalled over 300 million dangerous and defective products in its 10 year history. When it failed to accomplish this, the Administration attempted to submerge CPSC in the Department of Commerce. Also failing in this attempt, the Reagan Administration inflicted massive budget and personnel cuts on the Commission. The impact has been far reaching: recalls declined 66%, inspections were cut in half and over half of CPSC's regional offices have been closed. The result has been a paralysis of mission and an America more susceptible to dangerous product. </w:t>
      </w:r>
    </w:p>
    <w:p w:rsidR="00A31137" w:rsidRPr="00A31137" w:rsidRDefault="00A31137" w:rsidP="00A31137">
      <w:r w:rsidRPr="00A31137">
        <w:t>1984 Democratic Platform, p.20</w:t>
      </w:r>
    </w:p>
    <w:p w:rsidR="00A31137" w:rsidRPr="00A31137" w:rsidRDefault="00A31137" w:rsidP="00A31137">
      <w:r w:rsidRPr="00A31137">
        <w:t>The record at the NHTSA, the agency mandated to reduce the appalling annual highway deaths of more than 50,000 Americans, is just as shameful. The [p.21] President has appointed administrators with no safety background and even less commitment to the public health mission of the agency. Critical lifesaving safety standards, such as one requiring automatic crash protection in cars, have been revoked. The enforcement of defect and recall programs, designed to remove dangerous vehicles from our roads, has been cut back. Recalls are at an all-time low and only one safety standard has been proposed in four years.</w:t>
      </w:r>
    </w:p>
    <w:p w:rsidR="00A31137" w:rsidRPr="00A31137" w:rsidRDefault="00A31137" w:rsidP="00A31137">
      <w:r w:rsidRPr="00A31137">
        <w:t>1984 Democratic Platform, p.21</w:t>
      </w:r>
    </w:p>
    <w:p w:rsidR="00A31137" w:rsidRPr="00A31137" w:rsidRDefault="00A31137" w:rsidP="00A31137">
      <w:r w:rsidRPr="00A31137">
        <w:t>At OSHA and MSHA, we have witnessed a retreat from agency mandates to provide safe and healthful working conditions for this nation's working men and women. Existing standards have been weakened or revoked and not one single new standard has been implemented. Similarly, at the FDA there has been an important shift away from removing dangerous and ineffective drugs in favor of weakening standards for products. The FTC has run roughshod over the nation's antitrust laws, allowing 9 of the 10 largest mergers in history to occur.</w:t>
      </w:r>
    </w:p>
    <w:p w:rsidR="00A31137" w:rsidRPr="00A31137" w:rsidRDefault="00A31137" w:rsidP="00A31137">
      <w:r w:rsidRPr="00A31137">
        <w:t>1984 Democratic Platform, p.21</w:t>
      </w:r>
    </w:p>
    <w:p w:rsidR="00A31137" w:rsidRPr="00A31137" w:rsidRDefault="00A31137" w:rsidP="00A31137">
      <w:r w:rsidRPr="00A31137">
        <w:t>The dangerous trends in all these areas must be immediately reversed to allow these vital health and safety agencies to pursue their missions aggressively, to protect and enhance the health and safety of all Americans.</w:t>
      </w:r>
    </w:p>
    <w:p w:rsidR="00A31137" w:rsidRPr="00A31137" w:rsidRDefault="00A31137" w:rsidP="00A31137">
      <w:r w:rsidRPr="00A31137">
        <w:t>Individual Empowerment</w:t>
      </w:r>
    </w:p>
    <w:p w:rsidR="00A31137" w:rsidRPr="00A31137" w:rsidRDefault="00A31137" w:rsidP="00A31137">
      <w:r w:rsidRPr="00A31137">
        <w:t>1984 Democratic Platform, p.21</w:t>
      </w:r>
    </w:p>
    <w:p w:rsidR="00A31137" w:rsidRPr="00A31137" w:rsidRDefault="00A31137" w:rsidP="00A31137">
      <w:r w:rsidRPr="00A31137">
        <w:t>The Democratic Party's commitment to full equality is as much a part of prodding individual opportunity as it is part of a program of social justice. At the heart of our values as a nation is our belief in independence. Anyone who has brought home a paycheck, bought a car, or paid off a mortgage knows the pride that economic self-sufficiency brings. And anyone who has lost a job, watched one's children go hungry, or been denied a chance at success knows the terrible indignity that comes with dependence.</w:t>
      </w:r>
    </w:p>
    <w:p w:rsidR="00A31137" w:rsidRPr="00A31137" w:rsidRDefault="00A31137" w:rsidP="00A31137">
      <w:r w:rsidRPr="00A31137">
        <w:t>1984 Democratic Platform, p.21</w:t>
      </w:r>
    </w:p>
    <w:p w:rsidR="00A31137" w:rsidRPr="00A31137" w:rsidRDefault="00A31137" w:rsidP="00A31137">
      <w:r w:rsidRPr="00A31137">
        <w:t>As Democrats, we share that belief in independence. Our goal is to allow the greatest number of people the greatest opportunity for self-sufficiency.</w:t>
      </w:r>
    </w:p>
    <w:p w:rsidR="00A31137" w:rsidRPr="00A31137" w:rsidRDefault="00A31137" w:rsidP="00A31137">
      <w:r w:rsidRPr="00A31137">
        <w:t>1984 Democratic Platform, p.21</w:t>
      </w:r>
    </w:p>
    <w:p w:rsidR="00A31137" w:rsidRPr="00A31137" w:rsidRDefault="00A31137" w:rsidP="00A31137">
      <w:r w:rsidRPr="00A31137">
        <w:t>As a Party, we are committed to preparing people to stand on their own: that is why we insist on adequate nutrition for our children and good education for our young people. We are committed to permitting independence; that's why wee believe discrimination on any basis must come to an end. We believe that independence should be prolonged for as long as possible; to ensure it continues even after retirement, we support Social Security and Medicare. And we believe we must preserve the self-respect of those who are unable to be completely self-sufficient—the very young, the unskilled, the disabled, the very old—and to help them toward as much independence as possible. As much as it is a strategy for long run economic growth, individual empowerment must itself be an operating philosophy. in the welfare system, in education, and in the laws affecting everyone from shareholders to the average voter, the Democratic Party will ask if the individual is being made stronger and more independent.</w:t>
      </w:r>
    </w:p>
    <w:p w:rsidR="00A31137" w:rsidRPr="00A31137" w:rsidRDefault="00A31137" w:rsidP="00A31137">
      <w:r w:rsidRPr="00A31137">
        <w:t>America in a World Economy</w:t>
      </w:r>
    </w:p>
    <w:p w:rsidR="00A31137" w:rsidRPr="00A31137" w:rsidRDefault="00A31137" w:rsidP="00A31137">
      <w:r w:rsidRPr="00A31137">
        <w:t>1984 Democratic Platform, p.21</w:t>
      </w:r>
    </w:p>
    <w:p w:rsidR="00A31137" w:rsidRPr="00A31137" w:rsidRDefault="00A31137" w:rsidP="00A31137">
      <w:r w:rsidRPr="00A31137">
        <w:t>The reality of international competition in the 1980's requires government policies which will assure the competitiveness of American industry and American workers. Democrats will support and encourage innovation and research and development in both the private and public sector. We will seek to strengthen America's small businesses. And we will pursue trade policies and industrial strategies to ensure that out workers and our businesses can compete fully and fairly in the international arena.</w:t>
      </w:r>
    </w:p>
    <w:p w:rsidR="00A31137" w:rsidRPr="00A31137" w:rsidRDefault="00A31137" w:rsidP="00A31137">
      <w:r w:rsidRPr="00A31137">
        <w:t>Innovation</w:t>
      </w:r>
    </w:p>
    <w:p w:rsidR="00A31137" w:rsidRPr="00A31137" w:rsidRDefault="00A31137" w:rsidP="00A31137">
      <w:r w:rsidRPr="00A31137">
        <w:t>1984 Democratic Platform, p.21</w:t>
      </w:r>
    </w:p>
    <w:p w:rsidR="00A31137" w:rsidRPr="00A31137" w:rsidRDefault="00A31137" w:rsidP="00A31137">
      <w:r w:rsidRPr="00A31137">
        <w:t xml:space="preserve">Innovation—in process and product technology—is at the heart of our ability to compete in a world economy and produce sustained economic growth at home. And research and development, critical as it is for our growing high technology industries, is no less important for our basic industries. In the past generation, our world leadership in innovation has been increasingly jeopardized. We have not invested enough—or wisely enough—to match our major competitors. </w:t>
      </w:r>
    </w:p>
    <w:p w:rsidR="00A31137" w:rsidRPr="00A31137" w:rsidRDefault="00A31137" w:rsidP="00A31137">
      <w:r w:rsidRPr="00A31137">
        <w:t>1984 Democratic Platform, p.21</w:t>
      </w:r>
    </w:p>
    <w:p w:rsidR="00A31137" w:rsidRPr="00A31137" w:rsidRDefault="00A31137" w:rsidP="00A31137">
      <w:r w:rsidRPr="00A31137">
        <w:t>Research and Development—Since the mid-1960's, all the other major industrial nations have increased their expenditures for research and development more rapidly than we have. Over the past decade, manufacturing productivity rose more than four times faster in Japan, more than three times faster in France, and more than twice as fast in both West Germany and the United Kingdom than in the United States. And the number of patents granted to Americans each year has plunged by 40 percent.</w:t>
      </w:r>
    </w:p>
    <w:p w:rsidR="00A31137" w:rsidRPr="00A31137" w:rsidRDefault="00A31137" w:rsidP="00A31137">
      <w:r w:rsidRPr="00A31137">
        <w:t>1984 Democratic Platform, p.21</w:t>
      </w:r>
    </w:p>
    <w:p w:rsidR="00A31137" w:rsidRPr="00A31137" w:rsidRDefault="00A31137" w:rsidP="00A31137">
      <w:r w:rsidRPr="00A31137">
        <w:t>The United States should revise its downward trend and increase the percentage of GNP devoted to commercially-related R&amp;D as a long-term spending goal. We must be at the cutting edge, and we will not get there without cooperation between the government and the private sector. As Democrats, our goal is to increase civilian research and development in this country, to expand its commercial application, and to provide more industries with the opportunity to take advantage of it.</w:t>
      </w:r>
    </w:p>
    <w:p w:rsidR="00A31137" w:rsidRPr="00A31137" w:rsidRDefault="00A31137" w:rsidP="00A31137">
      <w:r w:rsidRPr="00A31137">
        <w:t>1984 Democratic Platform, p.22</w:t>
      </w:r>
    </w:p>
    <w:p w:rsidR="00A31137" w:rsidRPr="00A31137" w:rsidRDefault="00A31137" w:rsidP="00A31137">
      <w:r w:rsidRPr="00A31137">
        <w:t>[p.22] At the national level, this means enhanced support for undergraduate and graduate training in science, mathematics, and engineering; increased support to refurbish a modernize university research laboratories; increased support for the National Science Foundation and similar efforts; and a commitment to civilian research and development.</w:t>
      </w:r>
    </w:p>
    <w:p w:rsidR="00A31137" w:rsidRPr="00A31137" w:rsidRDefault="00A31137" w:rsidP="00A31137">
      <w:r w:rsidRPr="00A31137">
        <w:t>1984 Democratic Platform, p.22</w:t>
      </w:r>
    </w:p>
    <w:p w:rsidR="00A31137" w:rsidRPr="00A31137" w:rsidRDefault="00A31137" w:rsidP="00A31137">
      <w:r w:rsidRPr="00A31137">
        <w:t>Centers of Excellence—In the past generation, scientists and engineers, together with educators and business leaders throughout the United States, have begun countless new, high technology businesses such as those in Boston, Massachusetts, California's Silicon Valley, North Carolina's Research Triangle, greater Denver, Colorado, and Austin, Texas to establish this country as a leader in the next generation of high technology industries—biotechnology, polymer sciences, robotics, photovoltaics, marine sciences, microelectronics. The Democratic Party will encourage and support centers that provide for cooperation of academic and entrepreneurial excellence, thereby strengthening our scientific and technological resources and creating tomorrow's jobs.</w:t>
      </w:r>
    </w:p>
    <w:p w:rsidR="00A31137" w:rsidRPr="00A31137" w:rsidRDefault="00A31137" w:rsidP="00A31137">
      <w:r w:rsidRPr="00A31137">
        <w:t>Small and Minority Business</w:t>
      </w:r>
    </w:p>
    <w:p w:rsidR="00A31137" w:rsidRPr="00A31137" w:rsidRDefault="00A31137" w:rsidP="00A31137">
      <w:r w:rsidRPr="00A31137">
        <w:t>1984 Democratic Platform, p.22</w:t>
      </w:r>
    </w:p>
    <w:p w:rsidR="00A31137" w:rsidRPr="00A31137" w:rsidRDefault="00A31137" w:rsidP="00A31137">
      <w:r w:rsidRPr="00A31137">
        <w:t xml:space="preserve">The Democratic Party recognizes that small businesses create many, if not most of the new jobs in our country, and are responsible for much of the innovation. They are thus our greatest hope for the future. Our capacity as a nation to create an environment that encourages and nurtures innovative new businesses will determine our success in providing jobs for our people. In the private sector, spurring innovation means paying special attention to the needs of small, including minority and women-owned, and rapidly growing businesses on the cutting edge of our economy. </w:t>
      </w:r>
    </w:p>
    <w:p w:rsidR="00A31137" w:rsidRPr="00A31137" w:rsidRDefault="00A31137" w:rsidP="00A31137">
      <w:r w:rsidRPr="00A31137">
        <w:t>1984 Democratic Platform, p.22</w:t>
      </w:r>
    </w:p>
    <w:p w:rsidR="00A31137" w:rsidRPr="00A31137" w:rsidRDefault="00A31137" w:rsidP="00A31137">
      <w:r w:rsidRPr="00A31137">
        <w:t>This will require incentives for research and development and for employee education and training, including relaxing certain restrictions on pension fund investment; targeted reform that stimulates the flow of capital into new and smaller businesses: a tax code that is no longer biased against small and rapidly growing firms: vigorous enforcement of our antitrust laws, coupled with antitrust policies that permit clearly legitimate joint research and development ventures; expanded small business access to the Export-Import Bank and other agencies involved in export promotion; and targeted reform that provides for the delivery of community-based, community-supported management assistance, and innovative means of making seed capital available for companies in our large cities, as well as our rural communities.</w:t>
      </w:r>
    </w:p>
    <w:p w:rsidR="00A31137" w:rsidRPr="00A31137" w:rsidRDefault="00A31137" w:rsidP="00A31137">
      <w:r w:rsidRPr="00A31137">
        <w:t>1984 Democratic Platform, p.22</w:t>
      </w:r>
    </w:p>
    <w:p w:rsidR="00A31137" w:rsidRPr="00A31137" w:rsidRDefault="00A31137" w:rsidP="00A31137">
      <w:r w:rsidRPr="00A31137">
        <w:t>Rules and regulations should not weigh more heavily on new firms or small businesses than they do on the large well-established enterprise, Risk taking is a key to economic growth in a modern industrial society. If anything, rules and regulations should encourage it.</w:t>
      </w:r>
    </w:p>
    <w:p w:rsidR="00A31137" w:rsidRPr="00A31137" w:rsidRDefault="00A31137" w:rsidP="00A31137">
      <w:r w:rsidRPr="00A31137">
        <w:t>1984 Democratic Platform, p.22</w:t>
      </w:r>
    </w:p>
    <w:p w:rsidR="00A31137" w:rsidRPr="00A31137" w:rsidRDefault="00A31137" w:rsidP="00A31137">
      <w:r w:rsidRPr="00A31137">
        <w:t>The Small Business Administration must once again be responsive to the needs of entrepreneurs, including minorities and women. In addition, the heads of the Small Business Administration, the Minority Business Development Administration and other government agencies must ensure that the needs of smaller minority businesses are met at the regional and local levels. To further meet the needs of smaller minority businesses, we favor increasing government procurement, opportunities for smaller minority firms, encouraging deposits of federal funds in minority-owned financial institutions, and vigorously implementing all set-aside provisions for minority businesses.</w:t>
      </w:r>
    </w:p>
    <w:p w:rsidR="00A31137" w:rsidRPr="00A31137" w:rsidRDefault="00A31137" w:rsidP="00A31137">
      <w:r w:rsidRPr="00A31137">
        <w:t>1984 Democratic Platform, p.22</w:t>
      </w:r>
    </w:p>
    <w:p w:rsidR="00A31137" w:rsidRPr="00A31137" w:rsidRDefault="00A31137" w:rsidP="00A31137">
      <w:r w:rsidRPr="00A31137">
        <w:t xml:space="preserve">The Democratic Party pledges to bring about these reforms and create a new era of opportunity for the entrepreneurs who have always led the way in our economy. </w:t>
      </w:r>
    </w:p>
    <w:p w:rsidR="00A31137" w:rsidRPr="00A31137" w:rsidRDefault="00A31137" w:rsidP="00A31137">
      <w:r w:rsidRPr="00A31137">
        <w:t>Meeting the Challenge of Economic Competition</w:t>
      </w:r>
    </w:p>
    <w:p w:rsidR="00A31137" w:rsidRPr="00A31137" w:rsidRDefault="00A31137" w:rsidP="00A31137">
      <w:r w:rsidRPr="00A31137">
        <w:t>1984 Democratic Platform, p.22</w:t>
      </w:r>
    </w:p>
    <w:p w:rsidR="00A31137" w:rsidRPr="00A31137" w:rsidRDefault="00A31137" w:rsidP="00A31137">
      <w:r w:rsidRPr="00A31137">
        <w:t xml:space="preserve">Thirty years ago, half of all goods produced in the world were made in the United States. While we have greatly expanded our output of services, our share of manufactured products is now just one-fifth of the world's total. Once dominant U.S. industries are now hard-pressed. In April, our trade deficit reached a stunning $12.2 billion for one month. At that rate, we would lose two million or more jobs this year alone. We will not allow our workers and our industries to be displaced by either unfair import competition, or irrational fiscal and monetary policies. </w:t>
      </w:r>
    </w:p>
    <w:p w:rsidR="00A31137" w:rsidRPr="00A31137" w:rsidRDefault="00A31137" w:rsidP="00A31137">
      <w:r w:rsidRPr="00A31137">
        <w:t>1984 Democratic Platform, p.22</w:t>
      </w:r>
    </w:p>
    <w:p w:rsidR="00A31137" w:rsidRPr="00A31137" w:rsidRDefault="00A31137" w:rsidP="00A31137">
      <w:r w:rsidRPr="00A31137">
        <w:t xml:space="preserve">Some of these difficulties we have brought on ourselves, with shortsighted strategies, inadequate investment in plant, equipment, and innovation, and fiscal and monetary policies that have impaired our international competitiveness by distorting the value of the dollar against foreign currencies. But other difficulties have been thrust upon us by foreign nations. </w:t>
      </w:r>
    </w:p>
    <w:p w:rsidR="00A31137" w:rsidRPr="00A31137" w:rsidRDefault="00A31137" w:rsidP="00A31137">
      <w:r w:rsidRPr="00A31137">
        <w:t>1984 Democratic Platform, p.22</w:t>
      </w:r>
    </w:p>
    <w:p w:rsidR="00A31137" w:rsidRPr="00A31137" w:rsidRDefault="00A31137" w:rsidP="00A31137">
      <w:r w:rsidRPr="00A31137">
        <w:t>The reality of the 1980's is that the international economy is the arena in which we must compete, The world economy is an integrated economy: the challenge for our political leadership is to assure that the new arena is in fact a fair playing field for American businesses and consumers. We are committed to pursuing industrial strategies that effectively and imaginatively blend the genius of the free market with vital government partnership and leadership. As [p.23] Democrats, we will be guided by the following principles and policies.</w:t>
      </w:r>
    </w:p>
    <w:p w:rsidR="00A31137" w:rsidRPr="00A31137" w:rsidRDefault="00A31137" w:rsidP="00A31137">
      <w:r w:rsidRPr="00A31137">
        <w:t>1984 Democratic Platform, p.23</w:t>
      </w:r>
    </w:p>
    <w:p w:rsidR="00A31137" w:rsidRPr="00A31137" w:rsidRDefault="00A31137" w:rsidP="00A31137">
      <w:r w:rsidRPr="00A31137">
        <w:t>—We need a vigorous, open and fair trade policy 'that builds America's competitive strength, and that allows our nation to remain an advanced, diversified economy while promoting full employment and raising living standards in the United States and other countries of the world; opens overseas markets for American products; strengthens the international economic system; assists adjustment to foreign competition; and recognizes the legitimate interests of American workers, farmers and businesses.</w:t>
      </w:r>
    </w:p>
    <w:p w:rsidR="00A31137" w:rsidRPr="00A31137" w:rsidRDefault="00A31137" w:rsidP="00A31137">
      <w:r w:rsidRPr="00A31137">
        <w:t>1984 Democratic Platform, p.23</w:t>
      </w:r>
    </w:p>
    <w:p w:rsidR="00A31137" w:rsidRPr="00A31137" w:rsidRDefault="00A31137" w:rsidP="00A31137">
      <w:r w:rsidRPr="00A31137">
        <w:t>—We will pursue international negotiations to open markets and eliminate trade restrictions, recognizing that the growth and stability of the Third World depends on its ability to sell its products in international markets. High technology, agriculture and other industries should be brought under the General Agreement on Trade and Tariffs. Moreover, the developing world is a major market for U.S. exports, particularly capital goods. As a result, the U.S. has major stake in international economic institutions that support growth in the developing world.</w:t>
      </w:r>
    </w:p>
    <w:p w:rsidR="00A31137" w:rsidRPr="00A31137" w:rsidRDefault="00A31137" w:rsidP="00A31137">
      <w:r w:rsidRPr="00A31137">
        <w:t>1984 Democratic Platform, p.23</w:t>
      </w:r>
    </w:p>
    <w:p w:rsidR="00A31137" w:rsidRPr="00A31137" w:rsidRDefault="00A31137" w:rsidP="00A31137">
      <w:r w:rsidRPr="00A31137">
        <w:t>—We recognize that the growth and development of the Third World is vital both to global stability and to the continuing expansion of world trade. The U.S. presently sells more to the Third World than to the European Community and Japan combined. If we do not buy their goods, they cannot buy ours, not can they service their debt. Consequently, it is important to be responsive to the issues of the North/South dialogue such as volatile commodity prices, inequities in the functioning or the international financial and monetary markets, and removal of barriers to the expert or Third World goods.</w:t>
      </w:r>
    </w:p>
    <w:p w:rsidR="00A31137" w:rsidRPr="00A31137" w:rsidRDefault="00A31137" w:rsidP="00A31137">
      <w:r w:rsidRPr="00A31137">
        <w:t>1984 Democratic Platform, p.23</w:t>
      </w:r>
    </w:p>
    <w:p w:rsidR="00A31137" w:rsidRPr="00A31137" w:rsidRDefault="00A31137" w:rsidP="00A31137">
      <w:r w:rsidRPr="00A31137">
        <w:t>—If trade has become big business for the country, exports have become critical to the economic health of a growing list of American industries. In the future, national economic policy will have to be set with an eye to its impact on U.S. exports. The strength of the dollar, the nature of the U.S. tax system, and the adequacy of export finance all play a role in making U.S. exports internationally competitive.</w:t>
      </w:r>
    </w:p>
    <w:p w:rsidR="00A31137" w:rsidRPr="00A31137" w:rsidRDefault="00A31137" w:rsidP="00A31137">
      <w:r w:rsidRPr="00A31137">
        <w:t>1984 Democratic Platform, p.23</w:t>
      </w:r>
    </w:p>
    <w:p w:rsidR="00A31137" w:rsidRPr="00A31137" w:rsidRDefault="00A31137" w:rsidP="00A31137">
      <w:r w:rsidRPr="00A31137">
        <w:t>—The United States continues to struggle with trade barriers that affect its areas of international strength. Subsidized export financing on the part of Europe and Japan has also created problems for the United States, as has the use of industrial policies in Europe and Japan. In some cases, foreign governments target areas of America's competitive strength. In other cases, industrial targeting has been used to maintain industries that cannot meet international competition—often diverting exports to the American market and increasing the burden or adjustment for America's import-competing industries. We will ensure that timely and effective financing can be obtained by American businesses through the Export-Import Bank, so that they can compete effectively against subsidized competitors from abroad.</w:t>
      </w:r>
    </w:p>
    <w:p w:rsidR="00A31137" w:rsidRPr="00A31137" w:rsidRDefault="00A31137" w:rsidP="00A31137">
      <w:r w:rsidRPr="00A31137">
        <w:t>1984 Democratic Platform, p.23</w:t>
      </w:r>
    </w:p>
    <w:p w:rsidR="00A31137" w:rsidRPr="00A31137" w:rsidRDefault="00A31137" w:rsidP="00A31137">
      <w:r w:rsidRPr="00A31137">
        <w:t>—A healthy U.S. auto industry is essential to a strong trade balance and economy. That industry generates a large number of American jobs and both develops and consumes new technology needed for economic vitality. We believe it is a sound principle of international trade for foreign automakers which enjoy substantial sales in the United States to invest here and create jobs where their markets are. This can promote improved trade relations and a stronger American and world economy. We also believe U.S. auto makers need to maintain high volume small car production in the U.S. With the U.S. auto companies' return to profitability (despite continued unemployment in the auto sector), we urge expanded domestic investment to supply consumers with a full range of competitive vehicle. We support efforts by management and labor to improve auto quality and productivity, and to restrain prices.</w:t>
      </w:r>
    </w:p>
    <w:p w:rsidR="00A31137" w:rsidRPr="00A31137" w:rsidRDefault="00A31137" w:rsidP="00A31137">
      <w:r w:rsidRPr="00A31137">
        <w:t>1984 Democratic Platform, p.23</w:t>
      </w:r>
    </w:p>
    <w:p w:rsidR="00A31137" w:rsidRPr="00A31137" w:rsidRDefault="00A31137" w:rsidP="00A31137">
      <w:r w:rsidRPr="00A31137">
        <w:t>—Where foreign competition is fair, American industry should compete without government assistance. Where competition is unfair, we must respond powerfully. We will use trade law and international negotiations to aid U.S. workers, farmers, and businesses injured by unfair trade practices.</w:t>
      </w:r>
    </w:p>
    <w:p w:rsidR="00A31137" w:rsidRPr="00A31137" w:rsidRDefault="00A31137" w:rsidP="00A31137">
      <w:r w:rsidRPr="00A31137">
        <w:t>1984 Democratic Platform, p.23</w:t>
      </w:r>
    </w:p>
    <w:p w:rsidR="00A31137" w:rsidRPr="00A31137" w:rsidRDefault="00A31137" w:rsidP="00A31137">
      <w:r w:rsidRPr="00A31137">
        <w:t>—We need industrial strategies to create a cooperative partnership of labor, capital, and management to increase productivity and to make America competitive once more. Our keystone industries must be modernized and rebuilt, through industry-wide agreements. Where necessary, through Presidential leadership, we must negotiate industrial modernization and growth agreements that commit management to new domestic investment, higher levels of employment and [p.24] worker training, as well as commit labor to ease the introduction of new technologies.</w:t>
      </w:r>
    </w:p>
    <w:p w:rsidR="00A31137" w:rsidRPr="00A31137" w:rsidRDefault="00A31137" w:rsidP="00A31137">
      <w:r w:rsidRPr="00A31137">
        <w:t>1984 Democratic Platform, p.24</w:t>
      </w:r>
    </w:p>
    <w:p w:rsidR="00A31137" w:rsidRPr="00A31137" w:rsidRDefault="00A31137" w:rsidP="00A31137">
      <w:r w:rsidRPr="00A31137">
        <w:t>—There must be a broad consensus and commitment among labor, business and financial institutions that industry should and can be assisted, and in a particular way. We believe that all parties to modernization agreements must contribute to their success and that the government must be prepared to use a range of tools—including tax, import, and regulatory relief, and appropriate financing mechanisms—to assist this revitalization. There should be a primary emphasis on private capital in any such agreements.</w:t>
      </w:r>
    </w:p>
    <w:p w:rsidR="00A31137" w:rsidRPr="00A31137" w:rsidRDefault="00A31137" w:rsidP="00A31137">
      <w:r w:rsidRPr="00A31137">
        <w:t>1984 Democratic Platform, p.24</w:t>
      </w:r>
    </w:p>
    <w:p w:rsidR="00A31137" w:rsidRPr="00A31137" w:rsidRDefault="00A31137" w:rsidP="00A31137">
      <w:r w:rsidRPr="00A31137">
        <w:t>—The problems of individual industries, rather than industry as a whole, is another area in which an Economic Cooperation Council will be effective. In the case of a particular industry, the Council would select sub-councils to solve specific problems. Key members of the interested businesses and unions, financial institutions, academic specialists and other concerned and knowledgeable parties would meet to hammer out proposed strategies and agreements. It is not a question of picking winners and losers. Nor is it even always a question of some industries being more important than others. Rather, it is an opportunity for government and the private sector to forge a consensus to capture new markets, to restore an industry to competitive health, or to smooth the transition of workers and firms to new opportunities.</w:t>
      </w:r>
    </w:p>
    <w:p w:rsidR="00A31137" w:rsidRPr="00A31137" w:rsidRDefault="00A31137" w:rsidP="00A31137">
      <w:r w:rsidRPr="00A31137">
        <w:t>1984 Democratic Platform, p.24</w:t>
      </w:r>
    </w:p>
    <w:p w:rsidR="00A31137" w:rsidRPr="00A31137" w:rsidRDefault="00A31137" w:rsidP="00A31137">
      <w:r w:rsidRPr="00A31137">
        <w:t>—We want industries to modernize so as to restore competitiveness where it is flagging. If temporary trade relief is granted, the quid pro quo for relief will be a realistic, hardheaded modernization plan which will restore competitiveness involving commitments by all affected parties. The public is entitled to receive a fair return on its investment. Where government initiatives are necessary to save an industry like steel, auto or textiles, we must see that those initiatives meet the needs of the whole community—workers as well as executives, taxpayers and consumers as well as stockholders.</w:t>
      </w:r>
    </w:p>
    <w:p w:rsidR="00A31137" w:rsidRPr="00A31137" w:rsidRDefault="00A31137" w:rsidP="00A31137">
      <w:r w:rsidRPr="00A31137">
        <w:t>1984 Democratic Platform, p.24</w:t>
      </w:r>
    </w:p>
    <w:p w:rsidR="00A31137" w:rsidRPr="00A31137" w:rsidRDefault="00A31137" w:rsidP="00A31137">
      <w:r w:rsidRPr="00A31137">
        <w:t>—To facilitate the efforts of workers and communities to keep plants open and operating and in cases which closings are unavoidable, to help workers and communities to adapt, we support a requirement that companies give advance notification of plant closings or large-scale layoffs to their employees, surrounding communities and local governments. Where plants are nonetheless closed, we will help workers and communities to adapt.</w:t>
      </w:r>
    </w:p>
    <w:p w:rsidR="00A31137" w:rsidRPr="00A31137" w:rsidRDefault="00A31137" w:rsidP="00A31137">
      <w:r w:rsidRPr="00A31137">
        <w:t>1984 Democratic Platform, p.24</w:t>
      </w:r>
    </w:p>
    <w:p w:rsidR="00A31137" w:rsidRPr="00A31137" w:rsidRDefault="00A31137" w:rsidP="00A31137">
      <w:r w:rsidRPr="00A31137">
        <w:t>—Finally, we need a vigorous effort to redress the currency distortions that are undermining our international competitiveness. In addition to reducing our budget deficit, we will press for improved economic coordination with the major industrialized nations; work with Japan and other countries to further liberalize currency and investment regulations; :and negotiate toward agreements that will blunt speculative currency swings and restore stability and predictability to the international monetary system.</w:t>
      </w:r>
    </w:p>
    <w:p w:rsidR="00A31137" w:rsidRPr="00A31137" w:rsidRDefault="00A31137" w:rsidP="00A31137">
      <w:r w:rsidRPr="00A31137">
        <w:t xml:space="preserve">Agriculture </w:t>
      </w:r>
    </w:p>
    <w:p w:rsidR="00A31137" w:rsidRPr="00A31137" w:rsidRDefault="00A31137" w:rsidP="00A31137">
      <w:r w:rsidRPr="00A31137">
        <w:t>1984 Democratic Platform, p.24</w:t>
      </w:r>
    </w:p>
    <w:p w:rsidR="00A31137" w:rsidRPr="00A31137" w:rsidRDefault="00A31137" w:rsidP="00A31137">
      <w:r w:rsidRPr="00A31137">
        <w:t>Agriculture—America's largest, most fundamental industry—has been plunged into its worst depression since Herbert Hoover presided over the farm economy's collapse half a century ago. During President Reagan's stewardship of our nation's agriculture economy: real prices paid to farmers for their commodities have plummeted by twenty-one percent; real interest rates paid by farmers have increased be as much as 1,200 percent; real farm income has fallen to its lowest level since 1933; debt owed by U.S. farmers and ranchers has swelled to $215 billion; and farm foreclosures and forced sales have tripled.</w:t>
      </w:r>
    </w:p>
    <w:p w:rsidR="00A31137" w:rsidRPr="00A31137" w:rsidRDefault="00A31137" w:rsidP="00A31137">
      <w:r w:rsidRPr="00A31137">
        <w:t>1984 Democratic Platform, p.24</w:t>
      </w:r>
    </w:p>
    <w:p w:rsidR="00A31137" w:rsidRPr="00A31137" w:rsidRDefault="00A31137" w:rsidP="00A31137">
      <w:r w:rsidRPr="00A31137">
        <w:t>Ronald Reagan has hung a "for sale" sign on America's independent, family-based system of agricultural production. While these farmers have raised their production efficiency to record highs, Reagan's policies have forced down their prices, income, and financial worth.</w:t>
      </w:r>
    </w:p>
    <w:p w:rsidR="00A31137" w:rsidRPr="00A31137" w:rsidRDefault="00A31137" w:rsidP="00A31137">
      <w:r w:rsidRPr="00A31137">
        <w:t>1984 Democratic Platform, p.24</w:t>
      </w:r>
    </w:p>
    <w:p w:rsidR="00A31137" w:rsidRPr="00A31137" w:rsidRDefault="00A31137" w:rsidP="00A31137">
      <w:r w:rsidRPr="00A31137">
        <w:t>The Reagan Administration has been unwilling to take sensible, fiscally responsible action needed to halt this accelerating downward cycle in agriculture. Because of this failure of leadership, nearly 200,000 good farmers and ranchers, including minority farmers, have gone out of business since he took office in 1981. This is a rate of more than 1,000 families pushed off their land every week, the equivalent of all the farms and ranches in California and Iowa, our two largest agricultural states. Hundreds of thousands of the remaining enterprises teeter on the brink of bankruptcy and cannot survive another four years of this Administration's agricultural mismanagement.</w:t>
      </w:r>
    </w:p>
    <w:p w:rsidR="00A31137" w:rsidRPr="00A31137" w:rsidRDefault="00A31137" w:rsidP="00A31137">
      <w:r w:rsidRPr="00A31137">
        <w:t>1984 Democratic Platform, p.24</w:t>
      </w:r>
    </w:p>
    <w:p w:rsidR="00A31137" w:rsidRPr="00A31137" w:rsidRDefault="00A31137" w:rsidP="00A31137">
      <w:r w:rsidRPr="00A31137">
        <w:t xml:space="preserve">This collapse is happening despite the fact that Ronald Reagan has squandered taxpayers' money on his farm policies, spending $31 billion on his programs last year alone. That is six times more than any other </w:t>
      </w:r>
    </w:p>
    <w:p w:rsidR="00A31137" w:rsidRPr="00A31137" w:rsidRDefault="00A31137" w:rsidP="00A31137">
      <w:r w:rsidRPr="00A31137">
        <w:t>1984 Democratic Platform, p.25</w:t>
      </w:r>
    </w:p>
    <w:p w:rsidR="00A31137" w:rsidRPr="00A31137" w:rsidRDefault="00A31137" w:rsidP="00A31137">
      <w:r w:rsidRPr="00A31137">
        <w:t>[p.25] The Democratic Party strongly opposes the Reagan Administration's policy or aggressively promoting and further subsidizing nuclear power. Today, millions of Americans arc concerned about the safety of nuclear power plants and their radioactive waste. We recognize the safety and economic factors which bring into question the viability of this energy source.</w:t>
      </w:r>
    </w:p>
    <w:p w:rsidR="00A31137" w:rsidRPr="00A31137" w:rsidRDefault="00A31137" w:rsidP="00A31137">
      <w:r w:rsidRPr="00A31137">
        <w:t>1984 Democratic Platform, p.25</w:t>
      </w:r>
    </w:p>
    <w:p w:rsidR="00A31137" w:rsidRPr="00A31137" w:rsidRDefault="00A31137" w:rsidP="00A31137">
      <w:r w:rsidRPr="00A31137">
        <w:t>We will insist on the highest possible standards of safety and protection of public health with respect to nuclear power, including siting, design, operation, evacuation plans, and waste disposal procedures. We will require nuclear power to compete fairly in the marketplace. We will reexamine and review all federal subsidies to the nuclear industry, including the Price-Anderson Act's limits on the liability of the industry which will be considered for re-authorization in the next Congress. A Democratic Administration will give the Nuclear Regulatory Commission the integrity, competence, and credibility it needs to carry out its mandate to protect the public health and safety. We will expand the role of the public in NRC procedures.</w:t>
      </w:r>
    </w:p>
    <w:p w:rsidR="00A31137" w:rsidRPr="00A31137" w:rsidRDefault="00A31137" w:rsidP="00A31137">
      <w:r w:rsidRPr="00A31137">
        <w:t>1984 Democratic Platform, p.25</w:t>
      </w:r>
    </w:p>
    <w:p w:rsidR="00A31137" w:rsidRPr="00A31137" w:rsidRDefault="00A31137" w:rsidP="00A31137">
      <w:r w:rsidRPr="00A31137">
        <w:t>The Democratic Party believes high-level radioactive waste and other hazardous materials should be transported only when absolutely necessary. We will guarantee states full participatory rights in all decisions affecting the movement of high-level radioactive waste within their borders. We will require radioactive waste and hazardous materials emergency response plans along transportation routes, similar to those required for nuclear power plants. The Democratic Party will act swiftly to ensure stales' authority to regulate routes and schedules for radioactive and other hazardous shipments.</w:t>
      </w:r>
    </w:p>
    <w:p w:rsidR="00A31137" w:rsidRPr="00A31137" w:rsidRDefault="00A31137" w:rsidP="00A31137">
      <w:r w:rsidRPr="00A31137">
        <w:t>1984 Democratic Platform, p.25</w:t>
      </w:r>
    </w:p>
    <w:p w:rsidR="00A31137" w:rsidRPr="00A31137" w:rsidRDefault="00A31137" w:rsidP="00A31137">
      <w:r w:rsidRPr="00A31137">
        <w:t>We will ensure that no offshore oil and gas exploration will be taken up that is inconsistent with the protection of our fisheries and coastal resources. The leasing of public lands, both onshore and offshore, will be based on present demand and land use planning processes, and will be undertaken in ways that assure fair economic return to the public, protection of the environment and full participation by state and local governments. The Coastal Zone Management Act should be amended to require initial leasing decisions to be consistent with federally approved state and territorial coastal zone management plans. Interior states should be given consultation and concurrence rights with respect to onshore leases comparable to the rights afforded coastal states with respect to offshore leases.</w:t>
      </w:r>
    </w:p>
    <w:p w:rsidR="00A31137" w:rsidRPr="00A31137" w:rsidRDefault="00A31137" w:rsidP="00A31137">
      <w:r w:rsidRPr="00A31137">
        <w:t>1984 Democratic Platform, p.25</w:t>
      </w:r>
    </w:p>
    <w:p w:rsidR="00A31137" w:rsidRPr="00A31137" w:rsidRDefault="00A31137" w:rsidP="00A31137">
      <w:r w:rsidRPr="00A31137">
        <w:t>We believe that synthetic fuels research and development support should emphasize environmental protection technologies and standards and hold out reasonable hope of long-term economic viability. The Democratic Party proposes to reevaluate the Synthetic Fuels Corporation.</w:t>
      </w:r>
    </w:p>
    <w:p w:rsidR="00A31137" w:rsidRPr="00A31137" w:rsidRDefault="00A31137" w:rsidP="00A31137">
      <w:r w:rsidRPr="00A31137">
        <w:t xml:space="preserve">Energy Conservation </w:t>
      </w:r>
    </w:p>
    <w:p w:rsidR="00A31137" w:rsidRPr="00A31137" w:rsidRDefault="00A31137" w:rsidP="00A31137">
      <w:r w:rsidRPr="00A31137">
        <w:t>1984 Democratic Platform, p.25</w:t>
      </w:r>
    </w:p>
    <w:p w:rsidR="00A31137" w:rsidRPr="00A31137" w:rsidRDefault="00A31137" w:rsidP="00A31137">
      <w:r w:rsidRPr="00A31137">
        <w:t>The high cost of producing and using energy now constitutes a substantial share of U.S. capital spending. Energy conservation has become essential to our economy as well as our national security.</w:t>
      </w:r>
    </w:p>
    <w:p w:rsidR="00A31137" w:rsidRPr="00A31137" w:rsidRDefault="00A31137" w:rsidP="00A31137">
      <w:r w:rsidRPr="00A31137">
        <w:t>1984 Democratic Platform, p.25</w:t>
      </w:r>
    </w:p>
    <w:p w:rsidR="00A31137" w:rsidRPr="00A31137" w:rsidRDefault="00A31137" w:rsidP="00A31137">
      <w:r w:rsidRPr="00A31137">
        <w:t>Strict standards of energy efficiency for home appliances, for example, could save enough money in the next 15 years to avoid the need for 40 new power plants. Better insulated houses and apartments can sharply reduce power and heating bills for families throughout America, and help utilities avoid the high cost of building more expensive power plants.</w:t>
      </w:r>
    </w:p>
    <w:p w:rsidR="00A31137" w:rsidRPr="00A31137" w:rsidRDefault="00A31137" w:rsidP="00A31137">
      <w:r w:rsidRPr="00A31137">
        <w:t>1984 Democratic Platform, p.25</w:t>
      </w:r>
    </w:p>
    <w:p w:rsidR="00A31137" w:rsidRPr="00A31137" w:rsidRDefault="00A31137" w:rsidP="00A31137">
      <w:r w:rsidRPr="00A31137">
        <w:t>Ronald Reagan sees no role for government in conserving energy, and he has gutted promising conservation efforts. The Democratic Party supports extension of the existing tax credits for business and residential energy conservation and renewable energy use, and expansion of the tax credits to include the incorporation of passive solar designs in new housing. The Democratic Party also supports faithful implementation of existing programs for energy efficiency standards for new appliances: upgrading of fuel efficiency standards for new automobile; establishment of comparable fuel efficiency standards for new light trucks and vans; and development of an energy efficiency rating system to be used to advise home-buyers at the time of sale of the likely future energy costs of houses.</w:t>
      </w:r>
    </w:p>
    <w:p w:rsidR="00A31137" w:rsidRPr="00A31137" w:rsidRDefault="00A31137" w:rsidP="00A31137">
      <w:r w:rsidRPr="00A31137">
        <w:t>Lifeline Utility Rates</w:t>
      </w:r>
    </w:p>
    <w:p w:rsidR="00A31137" w:rsidRPr="00A31137" w:rsidRDefault="00A31137" w:rsidP="00A31137">
      <w:r w:rsidRPr="00A31137">
        <w:t>1984 Democratic Platform, p.25</w:t>
      </w:r>
    </w:p>
    <w:p w:rsidR="00A31137" w:rsidRPr="00A31137" w:rsidRDefault="00A31137" w:rsidP="00A31137">
      <w:r w:rsidRPr="00A31137">
        <w:t>Recognizing that the elderly and the poor suffer most from high energy costs, the Democratic Party supports special, lower electricity and natural gas rates for senior citizens and low-income Americans.</w:t>
      </w:r>
    </w:p>
    <w:p w:rsidR="00A31137" w:rsidRPr="00A31137" w:rsidRDefault="00A31137" w:rsidP="00A31137">
      <w:r w:rsidRPr="00A31137">
        <w:t xml:space="preserve">Recycling </w:t>
      </w:r>
    </w:p>
    <w:p w:rsidR="00A31137" w:rsidRPr="00A31137" w:rsidRDefault="00A31137" w:rsidP="00A31137">
      <w:r w:rsidRPr="00A31137">
        <w:t>1984 Democratic Platform, p.25</w:t>
      </w:r>
    </w:p>
    <w:p w:rsidR="00A31137" w:rsidRPr="00A31137" w:rsidRDefault="00A31137" w:rsidP="00A31137">
      <w:r w:rsidRPr="00A31137">
        <w:t>The Democratic Party recognizes that recovering and recycling used materials can conserve energy and natural resources, create additional jobs, reduce the costs of material goods, eliminate solid waste and liter, and avoid pollution. We will increase efforts to recover and recycle useful materials from municipal waste.</w:t>
      </w:r>
    </w:p>
    <w:p w:rsidR="00A31137" w:rsidRPr="00A31137" w:rsidRDefault="00A31137" w:rsidP="00A31137">
      <w:r w:rsidRPr="00A31137">
        <w:t>Protecting Our Environment</w:t>
      </w:r>
    </w:p>
    <w:p w:rsidR="00A31137" w:rsidRPr="00A31137" w:rsidRDefault="00A31137" w:rsidP="00A31137">
      <w:r w:rsidRPr="00A31137">
        <w:t>1984 Democratic Platform, p.25</w:t>
      </w:r>
    </w:p>
    <w:p w:rsidR="00A31137" w:rsidRPr="00A31137" w:rsidRDefault="00A31137" w:rsidP="00A31137">
      <w:r w:rsidRPr="00A31137">
        <w:t xml:space="preserve">Americans know that industrial production and economic development do not have to mean ruined land or polluted air and water. Sound resource [p.26] management, careful planning, and strict pollution control enforcement will allow us to have a prosperous economy and a healthy environment. For the last four years the Reagan Administration has assumed a radical position, working to eliminate the environmental protections forged through years of bipartisan cooperation. </w:t>
      </w:r>
    </w:p>
    <w:p w:rsidR="00A31137" w:rsidRPr="00A31137" w:rsidRDefault="00A31137" w:rsidP="00A31137">
      <w:r w:rsidRPr="00A31137">
        <w:t>1984 Democratic Platform, p.26</w:t>
      </w:r>
    </w:p>
    <w:p w:rsidR="00A31137" w:rsidRPr="00A31137" w:rsidRDefault="00A31137" w:rsidP="00A31137">
      <w:r w:rsidRPr="00A31137">
        <w:t>Ronald Reagan's first appointees to key environmental positions have already been forced to resign. But the American people are entitled to more than the absence of scandal—they demand real action to protect the health and safety of our families and communities. The Democratic Party supports revitalizing the Environmental Protection Agency by providing it with a budget increase adequate to allow it to carry out its substantially increased responsibility to protect the people and enforce the law.</w:t>
      </w:r>
    </w:p>
    <w:p w:rsidR="00A31137" w:rsidRPr="00A31137" w:rsidRDefault="00A31137" w:rsidP="00A31137">
      <w:r w:rsidRPr="00A31137">
        <w:t xml:space="preserve">Hazardous Wastes </w:t>
      </w:r>
    </w:p>
    <w:p w:rsidR="00A31137" w:rsidRPr="00A31137" w:rsidRDefault="00A31137" w:rsidP="00A31137">
      <w:r w:rsidRPr="00A31137">
        <w:t>1984 Democratic Platform, p.26</w:t>
      </w:r>
    </w:p>
    <w:p w:rsidR="00A31137" w:rsidRPr="00A31137" w:rsidRDefault="00A31137" w:rsidP="00A31137">
      <w:r w:rsidRPr="00A31137">
        <w:t>Thousands of dump sites across America contain highly dangerous poisons that can threaten the health and safety of families who live nearby or who depend on water supplies that could be contaminated by the poisons. Although Congress his established the Superfund for emergency cleanup of these dangerous sites, President Reagan refuses to use it vigorously. The Democratic Party is committed to enforcing existing laws, to dramatically increasing Superfund resources to clean up all sites that threaten public health, and to assuring that everyone whose health or property is damaged has a fair opportunity to force the polluters to pay for the damage. This increased support should be financed at least in part through new taxes on the generation of hazardous wastes, so companies have an economic incentive to reduce the volume and toxicity of their dangerous wastes.</w:t>
      </w:r>
    </w:p>
    <w:p w:rsidR="00A31137" w:rsidRPr="00A31137" w:rsidRDefault="00A31137" w:rsidP="00A31137">
      <w:r w:rsidRPr="00A31137">
        <w:t>1984 Democratic Platform, p.26</w:t>
      </w:r>
    </w:p>
    <w:p w:rsidR="00A31137" w:rsidRPr="00A31137" w:rsidRDefault="00A31137" w:rsidP="00A31137">
      <w:r w:rsidRPr="00A31137">
        <w:t>The Resource Conservation and Recovery Act should be expanded to include major new requirements for safer management of newly generated toxic waste. High priority must be given to establishing and implementing a program to phase out the land disposal of untreated hazardous waste, requiring instead that it be treated by chemical, biological, or thermal processes that render it harmless and safe for disposal. The Environmental Protection Agency also should adopt standards to ensure that the safest possible methods of managing particular wastes are used, and that available methods are used to reduce the volume and toxicity of waste produced by industry.</w:t>
      </w:r>
    </w:p>
    <w:p w:rsidR="00A31137" w:rsidRPr="00A31137" w:rsidRDefault="00A31137" w:rsidP="00A31137">
      <w:r w:rsidRPr="00A31137">
        <w:t>Clean Air and Water</w:t>
      </w:r>
    </w:p>
    <w:p w:rsidR="00A31137" w:rsidRPr="00A31137" w:rsidRDefault="00A31137" w:rsidP="00A31137">
      <w:r w:rsidRPr="00A31137">
        <w:t>1984 Democratic Platform, p.26</w:t>
      </w:r>
    </w:p>
    <w:p w:rsidR="00A31137" w:rsidRPr="00A31137" w:rsidRDefault="00A31137" w:rsidP="00A31137">
      <w:r w:rsidRPr="00A31137">
        <w:t>The Democratic Party supports a reauthorized and strengthened Clean Air Act. Statutory requirements for the control of toxic air pollutants should be strengthened, with the environmental agency required to identify and regulate within three years priority air pollutants known or anticipated to cause cancer and other serious diseases. The Democratic Party calls for an immediate program to reduce sulfur dioxide emissions by 50% from 1980 levels within the next decade; this program shall include interim reductions within five years of its enactment. In addition, significant progress will be made to further reductions of nitrogen oxide emissions. Our effort should be designed to reduce environmental and economic damage from acid ram while assuring such efforts do not cause regional economic dislocations. Every effort should be made to mitigate any job losses associated with any national acid rain program.</w:t>
      </w:r>
    </w:p>
    <w:p w:rsidR="00A31137" w:rsidRPr="00A31137" w:rsidRDefault="00A31137" w:rsidP="00A31137">
      <w:r w:rsidRPr="00A31137">
        <w:t>1984 Democratic Platform, p.26</w:t>
      </w:r>
    </w:p>
    <w:p w:rsidR="00A31137" w:rsidRPr="00A31137" w:rsidRDefault="00A31137" w:rsidP="00A31137">
      <w:r w:rsidRPr="00A31137">
        <w:t>The Democratic Party is committed to strengthening the Clean Water Act to curb both direct and indirect discharge of toxic pollutants into our nation's waters, and supports a strengthened Environmental Protection Agency to assure help to American cities in providing adequate supplies of drinking water free of toxic chemicals and other contaminants.</w:t>
      </w:r>
    </w:p>
    <w:p w:rsidR="00A31137" w:rsidRPr="00A31137" w:rsidRDefault="00A31137" w:rsidP="00A31137">
      <w:r w:rsidRPr="00A31137">
        <w:t>Workplace Safety</w:t>
      </w:r>
    </w:p>
    <w:p w:rsidR="00A31137" w:rsidRPr="00A31137" w:rsidRDefault="00A31137" w:rsidP="00A31137">
      <w:r w:rsidRPr="00A31137">
        <w:t>1984 Democratic Platform, p.26</w:t>
      </w:r>
    </w:p>
    <w:p w:rsidR="00A31137" w:rsidRPr="00A31137" w:rsidRDefault="00A31137" w:rsidP="00A31137">
      <w:r w:rsidRPr="00A31137">
        <w:t>The Democratic Party believes all Americans in their workplaces and communities, have the right to know what hazardous materials and chemicals they may have been exposed to and how they may protect their health from such exposure. The Democratic Party supports appropriate funding levels for the Occupational Safety and Health Administration, reversing the Reagan budget cuts in that agency; vigorous enforcement of occupational safety and health standards; and worker right-to-know requirements.</w:t>
      </w:r>
    </w:p>
    <w:p w:rsidR="00A31137" w:rsidRPr="00A31137" w:rsidRDefault="00A31137" w:rsidP="00A31137">
      <w:r w:rsidRPr="00A31137">
        <w:t>Pesticides and Herbicides</w:t>
      </w:r>
    </w:p>
    <w:p w:rsidR="00A31137" w:rsidRPr="00A31137" w:rsidRDefault="00A31137" w:rsidP="00A31137">
      <w:r w:rsidRPr="00A31137">
        <w:t>1984 Democratic Platform, p.26</w:t>
      </w:r>
    </w:p>
    <w:p w:rsidR="00A31137" w:rsidRPr="00A31137" w:rsidRDefault="00A31137" w:rsidP="00A31137">
      <w:r w:rsidRPr="00A31137">
        <w:t xml:space="preserve">The Democratic Party is committed to establishing standards and deadlines requiring all pesticides and herbicides to be thoroughly tested to ensure they do not cause cancer, birth defects, or other adverse health effects. We support rigorous research and information programs to develop and assist farmers with the use of integrated pest management and non-chemical pest control methods to reduce the health risk of controlling agricultural pests, and the establishment of strict deadlines to ensure that pesticides are fully tested and in compliance with health and safety standards. The Democratic Party is committed to ensuring that our nation's food supply is free of pesticides whose danger to health has been demonstrate, and believes it is irresponsible to allow the export to other nations of [p.27] herbicides and pesticides banned for use in the U.S. and will act swiftly to halt such exports. </w:t>
      </w:r>
    </w:p>
    <w:p w:rsidR="00A31137" w:rsidRPr="00A31137" w:rsidRDefault="00A31137" w:rsidP="00A31137">
      <w:r w:rsidRPr="00A31137">
        <w:t>EPA Budget</w:t>
      </w:r>
    </w:p>
    <w:p w:rsidR="00A31137" w:rsidRPr="00A31137" w:rsidRDefault="00A31137" w:rsidP="00A31137">
      <w:r w:rsidRPr="00A31137">
        <w:t>1984 Democratic Platform, p.27</w:t>
      </w:r>
    </w:p>
    <w:p w:rsidR="00A31137" w:rsidRPr="00A31137" w:rsidRDefault="00A31137" w:rsidP="00A31137">
      <w:r w:rsidRPr="00A31137">
        <w:t>The Democratic Party opposes the Reagan Administration's budget cuts, which have severely hampered the effectiveness or our environmental programs. The Environmental Protection Agency should receive a budget that exceeds in real dollars the agency's purchasing power when President Reagan took office, since the agency's workload has almost doubled in recent years.</w:t>
      </w:r>
    </w:p>
    <w:p w:rsidR="00A31137" w:rsidRPr="00A31137" w:rsidRDefault="00A31137" w:rsidP="00A31137">
      <w:r w:rsidRPr="00A31137">
        <w:t>International Leadership</w:t>
      </w:r>
    </w:p>
    <w:p w:rsidR="00A31137" w:rsidRPr="00A31137" w:rsidRDefault="00A31137" w:rsidP="00A31137">
      <w:r w:rsidRPr="00A31137">
        <w:t>1984 Democratic Platform, p.27</w:t>
      </w:r>
    </w:p>
    <w:p w:rsidR="00A31137" w:rsidRPr="00A31137" w:rsidRDefault="00A31137" w:rsidP="00A31137">
      <w:r w:rsidRPr="00A31137">
        <w:t xml:space="preserve">The Democratic Party strongly opposes the Reagan Administration's abandonment of the United States' historic leadership role in international efforts to control pollution, contrary to our interests and those of our allies. We will restore immediately our nation's leadership on international environmental issues, making the United States once again the best example of an industrial nation committed to protecting its land, water and air resources, as well as those of its neighbors. </w:t>
      </w:r>
    </w:p>
    <w:p w:rsidR="00A31137" w:rsidRPr="00A31137" w:rsidRDefault="00A31137" w:rsidP="00A31137">
      <w:r w:rsidRPr="00A31137">
        <w:t>Federal Compliance</w:t>
      </w:r>
    </w:p>
    <w:p w:rsidR="00A31137" w:rsidRPr="00A31137" w:rsidRDefault="00A31137" w:rsidP="00A31137">
      <w:r w:rsidRPr="00A31137">
        <w:t>1984 Democratic Platform, p.27</w:t>
      </w:r>
    </w:p>
    <w:p w:rsidR="00A31137" w:rsidRPr="00A31137" w:rsidRDefault="00A31137" w:rsidP="00A31137">
      <w:r w:rsidRPr="00A31137">
        <w:t>The Democratic Party will require all federal activities, including those associated with the Departments of Defense and Energy, to comply fully with federal health, safety and environmental laws.</w:t>
      </w:r>
    </w:p>
    <w:p w:rsidR="00A31137" w:rsidRPr="00A31137" w:rsidRDefault="00A31137" w:rsidP="00A31137">
      <w:r w:rsidRPr="00A31137">
        <w:t>Managing our Public Lands</w:t>
      </w:r>
    </w:p>
    <w:p w:rsidR="00A31137" w:rsidRPr="00A31137" w:rsidRDefault="00A31137" w:rsidP="00A31137">
      <w:r w:rsidRPr="00A31137">
        <w:t>1984 Democratic Platform, p.27</w:t>
      </w:r>
    </w:p>
    <w:p w:rsidR="00A31137" w:rsidRPr="00A31137" w:rsidRDefault="00A31137" w:rsidP="00A31137">
      <w:r w:rsidRPr="00A31137">
        <w:t>The Democratic Party believes in retaining ownership and control of our public lands, and in managing those lands according to the principles of multiple use and sustained yield, with appropriate environmental standards and mitigation requirements to protect the public interest. The Democratic Party supports the substantial expansion of the National Wilderness Preservation System, with designations of all types of ecosystems, including coastal areas, deserts, and prairies as well as forest and alpine areas. Congressional decisions to designate wilderness should include evaluations of mineral resources and other potential land values. Further, the Democratic Party believes that publicly owned timber resources should be priced at levels that reflect their true market value, taking into consideration their true costs to the government. Grazing on our public lands should not impair our grassland resources.</w:t>
      </w:r>
    </w:p>
    <w:p w:rsidR="00A31137" w:rsidRPr="00A31137" w:rsidRDefault="00A31137" w:rsidP="00A31137">
      <w:r w:rsidRPr="00A31137">
        <w:t>1984 Democratic Platform, p.27</w:t>
      </w:r>
    </w:p>
    <w:p w:rsidR="00A31137" w:rsidRPr="00A31137" w:rsidRDefault="00A31137" w:rsidP="00A31137">
      <w:r w:rsidRPr="00A31137">
        <w:t>The Democratic Party believes the process of designating rivers for inclusion in the national wild and scenic rivers system, halted by the Reagan Administration, should be preserved in their free-flowing condition for the benefit and enjoyment of present and future generations.</w:t>
      </w:r>
    </w:p>
    <w:p w:rsidR="00A31137" w:rsidRPr="00A31137" w:rsidRDefault="00A31137" w:rsidP="00A31137">
      <w:r w:rsidRPr="00A31137">
        <w:t>1984 Democratic Platform, p.27</w:t>
      </w:r>
    </w:p>
    <w:p w:rsidR="00A31137" w:rsidRPr="00A31137" w:rsidRDefault="00A31137" w:rsidP="00A31137">
      <w:r w:rsidRPr="00A31137">
        <w:t>The Democratic Party supports adequate funding of and restoration of federal programs to protect fully national parks, wildlife refuges, and wilderness areas from external and internal threats. Development activities within national wildlife refuges which are not compatible with the purposes for which the refuges were designated should not be allowed. The letter and the spirit of the Alaska National Interest Lands Consolation Act of 1980 should be followed, with an end to unsound land exchanges and other efforts to circumvent the law.</w:t>
      </w:r>
    </w:p>
    <w:p w:rsidR="00A31137" w:rsidRPr="00A31137" w:rsidRDefault="00A31137" w:rsidP="00A31137">
      <w:r w:rsidRPr="00A31137">
        <w:t>1984 Democratic Platform, p.27</w:t>
      </w:r>
    </w:p>
    <w:p w:rsidR="00A31137" w:rsidRPr="00A31137" w:rsidRDefault="00A31137" w:rsidP="00A31137">
      <w:r w:rsidRPr="00A31137">
        <w:t>A new Democratic Party will provide adequate appropriations for the Land and Water Conservation Fund.</w:t>
      </w:r>
    </w:p>
    <w:p w:rsidR="00A31137" w:rsidRPr="00A31137" w:rsidRDefault="00A31137" w:rsidP="00A31137">
      <w:r w:rsidRPr="00A31137">
        <w:t>1984 Democratic Platform, p.27</w:t>
      </w:r>
    </w:p>
    <w:p w:rsidR="00A31137" w:rsidRPr="00A31137" w:rsidRDefault="00A31137" w:rsidP="00A31137">
      <w:r w:rsidRPr="00A31137">
        <w:t>Wetlands—The Democratic Party supports coherent and coordinated federal policies to protect our nation's valuable and disappearing wetlands, which are critical nurseries for commercial fisheries and vital ecological, scenic, and recreational resources. These policies will include more active efforts to acquire threatened wetland areas, consideration of new tax incentives to encourage private efforts to preserve instead of develop wetland, and elimination of current incentives that encourage wetlands destruction.</w:t>
      </w:r>
    </w:p>
    <w:p w:rsidR="00A31137" w:rsidRPr="00A31137" w:rsidRDefault="00A31137" w:rsidP="00A31137">
      <w:r w:rsidRPr="00A31137">
        <w:t>1984 Democratic Platform, p.27</w:t>
      </w:r>
    </w:p>
    <w:p w:rsidR="00A31137" w:rsidRPr="00A31137" w:rsidRDefault="00A31137" w:rsidP="00A31137">
      <w:r w:rsidRPr="00A31137">
        <w:t xml:space="preserve">Wildlife—Fishing, hunting, and enjoyment of America's wildlife can continue to be an important part of our natural heritage only through active programs to maintain the diversity and abundance of plants, animals, and natural habitats. The Democratic Party supports protection of endangered species, land management to maintain healthy populations of wildlife, and full United States participation to implement international wildlife treaties. </w:t>
      </w:r>
    </w:p>
    <w:p w:rsidR="00A31137" w:rsidRPr="00A31137" w:rsidRDefault="00A31137" w:rsidP="00A31137">
      <w:r w:rsidRPr="00A31137">
        <w:t>1984 Democratic Platform, p.27</w:t>
      </w:r>
    </w:p>
    <w:p w:rsidR="00A31137" w:rsidRPr="00A31137" w:rsidRDefault="00A31137" w:rsidP="00A31137">
      <w:r w:rsidRPr="00A31137">
        <w:t>Water Policy—The Democratic Party recognizes that finite and diminishing quantities of water, and often antiquated, inadequate, or inefficient water supply systems, threaten economic growth and the quality of life in all regions of the country. We recognize that federal leadership is necessary to meet these needs, and to do so in environmentally sound ways.</w:t>
      </w:r>
    </w:p>
    <w:p w:rsidR="00A31137" w:rsidRPr="00A31137" w:rsidRDefault="00A31137" w:rsidP="00A31137">
      <w:r w:rsidRPr="00A31137">
        <w:t>1984 Democratic Platform, p.27</w:t>
      </w:r>
    </w:p>
    <w:p w:rsidR="00A31137" w:rsidRPr="00A31137" w:rsidRDefault="00A31137" w:rsidP="00A31137">
      <w:r w:rsidRPr="00A31137">
        <w:t>The Democratic Party supports the creation of a national water resources planning board and a comprehensive review of the nation's water needs. We support major new water policy efforts addressing several national needs:</w:t>
      </w:r>
    </w:p>
    <w:p w:rsidR="00A31137" w:rsidRPr="00A31137" w:rsidRDefault="00A31137" w:rsidP="00A31137">
      <w:r w:rsidRPr="00A31137">
        <w:t>1984 Democratic Platform, p.27</w:t>
      </w:r>
    </w:p>
    <w:p w:rsidR="00A31137" w:rsidRPr="00A31137" w:rsidRDefault="00A31137" w:rsidP="00A31137">
      <w:r w:rsidRPr="00A31137">
        <w:t>—We will help meet our nation's infrastructure needs, including the construction of new projects which are economically and environmentally [p.28] sound. New water project starts, by the Corps of Engineers throughout the country and by the Bureau of Reclamation in the West, are critical. In all cases, we will consider innovative and nonstructural alternatives on an equal basis.</w:t>
      </w:r>
    </w:p>
    <w:p w:rsidR="00A31137" w:rsidRPr="00A31137" w:rsidRDefault="00A31137" w:rsidP="00A31137">
      <w:r w:rsidRPr="00A31137">
        <w:t>1984 Democratic Platform, p.28</w:t>
      </w:r>
    </w:p>
    <w:p w:rsidR="00A31137" w:rsidRPr="00A31137" w:rsidRDefault="00A31137" w:rsidP="00A31137">
      <w:r w:rsidRPr="00A31137">
        <w:t>—We will examine the water quantity and water quality issues associated with providing adequate water supply.</w:t>
      </w:r>
    </w:p>
    <w:p w:rsidR="00A31137" w:rsidRPr="00A31137" w:rsidRDefault="00A31137" w:rsidP="00A31137">
      <w:r w:rsidRPr="00A31137">
        <w:t>1984 Democratic Platform, p.28</w:t>
      </w:r>
    </w:p>
    <w:p w:rsidR="00A31137" w:rsidRPr="00A31137" w:rsidRDefault="00A31137" w:rsidP="00A31137">
      <w:r w:rsidRPr="00A31137">
        <w:t>—We will help meet navigation, flood control, and municipal water supply system needs, with new assistance to urban areas needing financial help to rebuild deteriorating water systems.</w:t>
      </w:r>
    </w:p>
    <w:p w:rsidR="00A31137" w:rsidRPr="00A31137" w:rsidRDefault="00A31137" w:rsidP="00A31137">
      <w:r w:rsidRPr="00A31137">
        <w:t>1984 Democratic Platform, p.28</w:t>
      </w:r>
    </w:p>
    <w:p w:rsidR="00A31137" w:rsidRPr="00A31137" w:rsidRDefault="00A31137" w:rsidP="00A31137">
      <w:r w:rsidRPr="00A31137">
        <w:t>—We will give new priority attention to improving efficiency in the use of water, recognizing that more efficient water use is often the least costly and most environmentally acceptable way to meet our water needs and achieve the fullest possible beneficial use of our water resources.</w:t>
      </w:r>
    </w:p>
    <w:p w:rsidR="00A31137" w:rsidRPr="00A31137" w:rsidRDefault="00A31137" w:rsidP="00A31137">
      <w:r w:rsidRPr="00A31137">
        <w:t>1984 Democratic Platform, p.28</w:t>
      </w:r>
    </w:p>
    <w:p w:rsidR="00A31137" w:rsidRPr="00A31137" w:rsidRDefault="00A31137" w:rsidP="00A31137">
      <w:r w:rsidRPr="00A31137">
        <w:t>—We will carefully coordinate federal water policy efforts with affected state governments, making possible not only cooperative financing of water investments but a commensurate sharing of decision-making authority and responsibility.</w:t>
      </w:r>
    </w:p>
    <w:p w:rsidR="00A31137" w:rsidRPr="00A31137" w:rsidRDefault="00A31137" w:rsidP="00A31137">
      <w:r w:rsidRPr="00A31137">
        <w:t>1984 Democratic Platform, p.28</w:t>
      </w:r>
    </w:p>
    <w:p w:rsidR="00A31137" w:rsidRPr="00A31137" w:rsidRDefault="00A31137" w:rsidP="00A31137">
      <w:r w:rsidRPr="00A31137">
        <w:t>—We will provide assistance to states addressing the growing problems of groundwater depletion and contamination.[p.29]</w:t>
      </w:r>
    </w:p>
    <w:p w:rsidR="00A31137" w:rsidRPr="00A31137" w:rsidRDefault="00A31137" w:rsidP="00A31137">
      <w:r w:rsidRPr="00A31137">
        <w:t xml:space="preserve"> Chapter II:Justice, Dignity and Opportunity</w:t>
      </w:r>
    </w:p>
    <w:p w:rsidR="00A31137" w:rsidRPr="00A31137" w:rsidRDefault="00A31137" w:rsidP="00A31137">
      <w:r w:rsidRPr="00A31137">
        <w:t>Introduction</w:t>
      </w:r>
    </w:p>
    <w:p w:rsidR="00A31137" w:rsidRPr="00A31137" w:rsidRDefault="00A31137" w:rsidP="00A31137">
      <w:r w:rsidRPr="00A31137">
        <w:t>1984 Democratic Platform, p.29</w:t>
      </w:r>
    </w:p>
    <w:p w:rsidR="00A31137" w:rsidRPr="00A31137" w:rsidRDefault="00A31137" w:rsidP="00A31137">
      <w:r w:rsidRPr="00A31137">
        <w:t>Fulfilling America's highest promise, equal justice for all: that is the Democratic agenda for a just future.</w:t>
      </w:r>
    </w:p>
    <w:p w:rsidR="00A31137" w:rsidRPr="00A31137" w:rsidRDefault="00A31137" w:rsidP="00A31137">
      <w:r w:rsidRPr="00A31137">
        <w:t>1984 Democratic Platform, p.29</w:t>
      </w:r>
    </w:p>
    <w:p w:rsidR="00A31137" w:rsidRPr="00A31137" w:rsidRDefault="00A31137" w:rsidP="00A31137">
      <w:r w:rsidRPr="00A31137">
        <w:t>For many of our citizens, it is only in the last two decades that the efforts of a broad, bipartisan coalition have begun to give real meaning to the dream of freedom and equality. During that time Democrats, spurred by the Civil Rights Movement, have enacted landmark legislation in areas including voting, education, housing and employment.</w:t>
      </w:r>
    </w:p>
    <w:p w:rsidR="00A31137" w:rsidRPr="00A31137" w:rsidRDefault="00A31137" w:rsidP="00A31137">
      <w:r w:rsidRPr="00A31137">
        <w:t>1984 Democratic Platform, p.29</w:t>
      </w:r>
    </w:p>
    <w:p w:rsidR="00A31137" w:rsidRPr="00A31137" w:rsidRDefault="00A31137" w:rsidP="00A31137">
      <w:r w:rsidRPr="00A31137">
        <w:t>A nation is only as strong as its commitment to justice and equality. Today, a corrosive unfairness eats at the underpinnings of our society. Civil rights laws and guarantees—only recently achieved after hard-fought battles, personal sacrifice and loss of life—are imperiled by an Administration that consciously seeks to turn the clock back to an era when second-class citizenship for women and minorities, disenfranchisement, and de jure and de facto segregation were very much the facts of life for well over half of America's population. Moreover, justice encompasses more than our nation's laws. The poor, the female, the minority—many of them just like boats stuck on the bottom—have come to experience an implacable and intractable foe in the Reagan Administration.</w:t>
      </w:r>
    </w:p>
    <w:p w:rsidR="00A31137" w:rsidRPr="00A31137" w:rsidRDefault="00A31137" w:rsidP="00A31137">
      <w:r w:rsidRPr="00A31137">
        <w:t>1984 Democratic Platform, p.29</w:t>
      </w:r>
    </w:p>
    <w:p w:rsidR="00A31137" w:rsidRPr="00A31137" w:rsidRDefault="00A31137" w:rsidP="00A31137">
      <w:r w:rsidRPr="00A31137">
        <w:t>A new Democratic Administration will understand that the age-old scourge of discrimination and prejudice against many groups in American society is still rampant and very much a part of the reason for the debilitating circumstances in which disadvantaged peoples are forced to live. Although strides have been made in combatting discrimination and defamation against Americans of various ethic groups, much remains to be done. Therefore, we pledge an end to the Reagan Administration's punitive policy toward women, minorities, and the poor and support the reaffirmation of the principle that the government is still responsible for protecting the civil rights of all citizens. Government has a special responsibility to those whom society has historically prevented from enjoying the benefits of full citizenship for reasons of race, religion, sex, age, national origin and ethnic heritage, sexual orientation, or disability.</w:t>
      </w:r>
    </w:p>
    <w:p w:rsidR="00A31137" w:rsidRPr="00A31137" w:rsidRDefault="00A31137" w:rsidP="00A31137">
      <w:r w:rsidRPr="00A31137">
        <w:t>1984 Democratic Platform, p.29</w:t>
      </w:r>
    </w:p>
    <w:p w:rsidR="00A31137" w:rsidRPr="00A31137" w:rsidRDefault="00A31137" w:rsidP="00A31137">
      <w:r w:rsidRPr="00A31137">
        <w:t>The goal for the coming decades is not only full justice under the law, but economic justice as well. In the recent past, we have put our nation on the road toward achieving equal protection of all our citizens' human rights. The challenge now is to continue to press that cause, while joining a new battle—to assure justice and opportunity in the workplace, and in the economy.</w:t>
      </w:r>
    </w:p>
    <w:p w:rsidR="00A31137" w:rsidRPr="00A31137" w:rsidRDefault="00A31137" w:rsidP="00A31137">
      <w:r w:rsidRPr="00A31137">
        <w:t>1984 Democratic Platform, p.29</w:t>
      </w:r>
    </w:p>
    <w:p w:rsidR="00A31137" w:rsidRPr="00A31137" w:rsidRDefault="00A31137" w:rsidP="00A31137">
      <w:r w:rsidRPr="00A31137">
        <w:t>Justice for all in today's America and the America of tomorrow demands not one, but two broad guarantees. First, we must guarantee that our nation will reinforce and extend its commitment to human rights and equal opportunity. And second, we must guarantee progress on the new frontier for the future: economic and social justice.</w:t>
      </w:r>
    </w:p>
    <w:p w:rsidR="00A31137" w:rsidRPr="00A31137" w:rsidRDefault="00A31137" w:rsidP="00A31137">
      <w:r w:rsidRPr="00A31137">
        <w:t>1984 Democratic Platform, p.29</w:t>
      </w:r>
    </w:p>
    <w:p w:rsidR="00A31137" w:rsidRPr="00A31137" w:rsidRDefault="00A31137" w:rsidP="00A31137">
      <w:r w:rsidRPr="00A31137">
        <w:t>We are determined to enforce the laws guaranteeing equal opportunity, and to complete the civil rights agenda cast aside by the Reagan Administration. No President has the right to do what this Administration has done: to read selectively from the United Sates Code and simply ignore the laws ensuring basic rights and opportunities because they conflict with this Administration's ideology. As Democrats, we pledge to reverse the trend towards lawlessness which has characterized this Administration, and to keep our commitments to all in our community who look to the government for defense of their rights.</w:t>
      </w:r>
    </w:p>
    <w:p w:rsidR="00A31137" w:rsidRPr="00A31137" w:rsidRDefault="00A31137" w:rsidP="00A31137">
      <w:r w:rsidRPr="00A31137">
        <w:t>1984 Democratic Platform, p.29</w:t>
      </w:r>
    </w:p>
    <w:p w:rsidR="00A31137" w:rsidRPr="00A31137" w:rsidRDefault="00A31137" w:rsidP="00A31137">
      <w:r w:rsidRPr="00A31137">
        <w:t>But we recognize that while a first step toward a just society is to guarantee the right of all workers to compete equally for a job, the next step is assuring that enough new jobs are created to give meaningful employment to all our workers for the future.</w:t>
      </w:r>
    </w:p>
    <w:p w:rsidR="00A31137" w:rsidRPr="00A31137" w:rsidRDefault="00A31137" w:rsidP="00A31137">
      <w:r w:rsidRPr="00A31137">
        <w:t>1984 Democratic Platform, p.29</w:t>
      </w:r>
    </w:p>
    <w:p w:rsidR="00A31137" w:rsidRPr="00A31137" w:rsidRDefault="00A31137" w:rsidP="00A31137">
      <w:r w:rsidRPr="00A31137">
        <w:t>If in past decades we won the right for minorities to ride at the front of the bus, in coming years we must assure that minorities have the opportunity to own the bus company.</w:t>
      </w:r>
    </w:p>
    <w:p w:rsidR="00A31137" w:rsidRPr="00A31137" w:rsidRDefault="00A31137" w:rsidP="00A31137">
      <w:r w:rsidRPr="00A31137">
        <w:t>1984 Democratic Platform, p.29</w:t>
      </w:r>
    </w:p>
    <w:p w:rsidR="00A31137" w:rsidRPr="00A31137" w:rsidRDefault="00A31137" w:rsidP="00A31137">
      <w:r w:rsidRPr="00A31137">
        <w:t>It will not be enough to say that our nation must offer equal access to health care—we must put comprehensive health care within the reach of all of our citizens, at a price all can afford.</w:t>
      </w:r>
    </w:p>
    <w:p w:rsidR="00A31137" w:rsidRPr="00A31137" w:rsidRDefault="00A31137" w:rsidP="00A31137">
      <w:r w:rsidRPr="00A31137">
        <w:t>1984 Democratic Platform, p.29</w:t>
      </w:r>
    </w:p>
    <w:p w:rsidR="00A31137" w:rsidRPr="00A31137" w:rsidRDefault="00A31137" w:rsidP="00A31137">
      <w:r w:rsidRPr="00A31137">
        <w:t>It will not do simply to guarantee women a place in the work force—women deserve an equal chance at a career leading to the board of directors.</w:t>
      </w:r>
    </w:p>
    <w:p w:rsidR="00A31137" w:rsidRPr="00A31137" w:rsidRDefault="00A31137" w:rsidP="00A31137">
      <w:r w:rsidRPr="00A31137">
        <w:t>1984 Democratic Platform, p.29</w:t>
      </w:r>
    </w:p>
    <w:p w:rsidR="00A31137" w:rsidRPr="00A31137" w:rsidRDefault="00A31137" w:rsidP="00A31137">
      <w:r w:rsidRPr="00A31137">
        <w:t>As Democrats, we believe that human rights and an economy of opportunity are two sides of the same coin of justice. No economic program can be considered just unless it advances the opportunity of all to live a better, more dignified life. No American is afforded economic justice when he or she is denied an opportunity to reap the rewards of economic growth.</w:t>
      </w:r>
    </w:p>
    <w:p w:rsidR="00A31137" w:rsidRPr="00A31137" w:rsidRDefault="00A31137" w:rsidP="00A31137">
      <w:r w:rsidRPr="00A31137">
        <w:t>1984 Democratic Platform, p.29</w:t>
      </w:r>
    </w:p>
    <w:p w:rsidR="00A31137" w:rsidRPr="00A31137" w:rsidRDefault="00A31137" w:rsidP="00A31137">
      <w:r w:rsidRPr="00A31137">
        <w:t>Economic justice is also economic common sense. Any who doubt that should consider the toll of welfare, crime, prisons, public housing and urban squalor on our national wealth. We will pay a high price for all the disadvantaged or disenfranchised if we fail to include them in the new economic revolution.</w:t>
      </w:r>
    </w:p>
    <w:p w:rsidR="00A31137" w:rsidRPr="00A31137" w:rsidRDefault="00A31137" w:rsidP="00A31137">
      <w:r w:rsidRPr="00A31137">
        <w:t>1984 Democratic Platform, p.29</w:t>
      </w:r>
    </w:p>
    <w:p w:rsidR="00A31137" w:rsidRPr="00A31137" w:rsidRDefault="00A31137" w:rsidP="00A31137">
      <w:r w:rsidRPr="00A31137">
        <w:t>As Democrats, therefore, we pledge to pursue a new definition of justice that meets the new demands of [p.30] our time. Under a Democratic Administration, equality and fairness under the law will be matched by justice in the economy and in the workplace.</w:t>
      </w:r>
    </w:p>
    <w:p w:rsidR="00A31137" w:rsidRPr="00A31137" w:rsidRDefault="00A31137" w:rsidP="00A31137">
      <w:r w:rsidRPr="00A31137">
        <w:t>The Future If Reagan is Reelected</w:t>
      </w:r>
    </w:p>
    <w:p w:rsidR="00A31137" w:rsidRPr="00A31137" w:rsidRDefault="00A31137" w:rsidP="00A31137">
      <w:r w:rsidRPr="00A31137">
        <w:t>1984 Democratic Platform, p.30</w:t>
      </w:r>
    </w:p>
    <w:p w:rsidR="00A31137" w:rsidRPr="00A31137" w:rsidRDefault="00A31137" w:rsidP="00A31137">
      <w:r w:rsidRPr="00A31137">
        <w:t>"Twenty years after the Equal Pay Act should have eradicated the last vestige of economic discrimination against women, employers have made little progress in integrating their work force. It is the Republican governor of Washington State, and the Republican County Executive of Nassau County, New York, who are committing public resources to mount a legal defense for their jurisdictions blatant sex discrimination practices… The Reagan Administration from the outset has made it abundantly clear that civil rights and economic justice are to be sacrificed on the altar of corporate greed…"</w:t>
      </w:r>
    </w:p>
    <w:p w:rsidR="00A31137" w:rsidRPr="00A31137" w:rsidRDefault="00A31137" w:rsidP="00A31137">
      <w:r w:rsidRPr="00A31137">
        <w:t>1984 Democratic Platform, p.30</w:t>
      </w:r>
    </w:p>
    <w:p w:rsidR="00A31137" w:rsidRPr="00A31137" w:rsidRDefault="00A31137" w:rsidP="00A31137">
      <w:r w:rsidRPr="00A31137">
        <w:t>Diana Rock, Director of Women's Rights, American Federation of State, County, and Municipal Employees (Democratic Platform Committee Hearing, Cleveland, Ohio, May 21, 1984)</w:t>
      </w:r>
    </w:p>
    <w:p w:rsidR="00A31137" w:rsidRPr="00A31137" w:rsidRDefault="00A31137" w:rsidP="00A31137">
      <w:r w:rsidRPr="00A31137">
        <w:t>1984 Democratic Platform, p.30</w:t>
      </w:r>
    </w:p>
    <w:p w:rsidR="00A31137" w:rsidRPr="00A31137" w:rsidRDefault="00A31137" w:rsidP="00A31137">
      <w:r w:rsidRPr="00A31137">
        <w:t>"The Reagan Administration, upon taking office in 1981, set upon a concerted effort to roll back civil rights protections. This attack is underway in agency enforcement, court litigation, legislative initiative, and nominations of federal appointees."</w:t>
      </w:r>
    </w:p>
    <w:p w:rsidR="00A31137" w:rsidRPr="00A31137" w:rsidRDefault="00A31137" w:rsidP="00A31137">
      <w:r w:rsidRPr="00A31137">
        <w:t>1984 Democratic Platform, p.30</w:t>
      </w:r>
    </w:p>
    <w:p w:rsidR="00A31137" w:rsidRPr="00A31137" w:rsidRDefault="00A31137" w:rsidP="00A31137">
      <w:r w:rsidRPr="00A31137">
        <w:t>Virna M. Canson. Regional Director, West Coast Region, NAACP (Democratic Platform Committee Hearing. Los Angeles, California. May 14, 1984)</w:t>
      </w:r>
    </w:p>
    <w:p w:rsidR="00A31137" w:rsidRPr="00A31137" w:rsidRDefault="00A31137" w:rsidP="00A31137">
      <w:r w:rsidRPr="00A31137">
        <w:t>1984 Democratic Platform, p.30</w:t>
      </w:r>
    </w:p>
    <w:p w:rsidR="00A31137" w:rsidRPr="00A31137" w:rsidRDefault="00A31137" w:rsidP="00A31137">
      <w:r w:rsidRPr="00A31137">
        <w:t>The neglect of our historic human rights commitment will already be recorded as the first legacy of Ronald Reagan's years in the White House. But suppose Mr. Reagan is reelected.</w:t>
      </w:r>
    </w:p>
    <w:p w:rsidR="00A31137" w:rsidRPr="00A31137" w:rsidRDefault="00A31137" w:rsidP="00A31137">
      <w:r w:rsidRPr="00A31137">
        <w:t>1984 Democratic Platform, p.30</w:t>
      </w:r>
    </w:p>
    <w:p w:rsidR="00A31137" w:rsidRPr="00A31137" w:rsidRDefault="00A31137" w:rsidP="00A31137">
      <w:r w:rsidRPr="00A31137">
        <w:t>What would become of America's commitment to equal justice and opportunity if Mr. Reagan is reelected?</w:t>
      </w:r>
    </w:p>
    <w:p w:rsidR="00A31137" w:rsidRPr="00A31137" w:rsidRDefault="00A31137" w:rsidP="00A31137">
      <w:r w:rsidRPr="00A31137">
        <w:t>1984 Democratic Platform, p.30</w:t>
      </w:r>
    </w:p>
    <w:p w:rsidR="00A31137" w:rsidRPr="00A31137" w:rsidRDefault="00A31137" w:rsidP="00A31137">
      <w:r w:rsidRPr="00A31137">
        <w:t>The hard truth is that if Mr. Reagan is reelected our most vigorous defender of the rule of law—the United States Supreme Court—could be lost to the cause of equal justice for another generation. Today, five of the nine members of that Court are over 75. Our next President will likely have the opportunity to shape that Court, not just for his own term—or even for his own lifetime—but for the rest of ours, and for our children's too.</w:t>
      </w:r>
    </w:p>
    <w:p w:rsidR="00A31137" w:rsidRPr="00A31137" w:rsidRDefault="00A31137" w:rsidP="00A31137">
      <w:r w:rsidRPr="00A31137">
        <w:t>1984 Democratic Platform, p.30</w:t>
      </w:r>
    </w:p>
    <w:p w:rsidR="00A31137" w:rsidRPr="00A31137" w:rsidRDefault="00A31137" w:rsidP="00A31137">
      <w:r w:rsidRPr="00A31137">
        <w:t>There can be little doubt that a Supreme Court chosen by Ronald Reagan would radically restrict constitutional rights and drastically reinterpret existing laws. Today, the fundamental right of a woman to reproductive freedom rests on the votes of six members of the Supreme Court—five of whom are over 75. That right could easily disappear during a second Reagan term. Already, the protections against employment discrimination have been restricted by the Court: a Reagan Court surely would reduce them further. The same is true for the right of workers to have a healthy and safe workplace, and to organize collectively in unions. Although the statute protecting voting rights has been extended through a massive bipartisan effort, opposed by the Reagan Administration, a Reagan Supreme Court could still effectively nullify it simply by erecting impossible standards of proof. Not long ago, the Court decided it should hire independent counsel to argue that tax exemptions for racially discriminatory schools were unlawful because the Justice Department refused to do so. Can anyone imagine a Reagan Court doing that? How much easier it would be for a Reagan Court simply to agree with a Reagan Department of Justice.</w:t>
      </w:r>
    </w:p>
    <w:p w:rsidR="00A31137" w:rsidRPr="00A31137" w:rsidRDefault="00A31137" w:rsidP="00A31137">
      <w:r w:rsidRPr="00A31137">
        <w:t>1984 Democratic Platform, p.30</w:t>
      </w:r>
    </w:p>
    <w:p w:rsidR="00A31137" w:rsidRPr="00A31137" w:rsidRDefault="00A31137" w:rsidP="00A31137">
      <w:r w:rsidRPr="00A31137">
        <w:t>/f, Mr. Reagan is reelected, who would protect women and minorities against discrimination?</w:t>
      </w:r>
    </w:p>
    <w:p w:rsidR="00A31137" w:rsidRPr="00A31137" w:rsidRDefault="00A31137" w:rsidP="00A31137">
      <w:r w:rsidRPr="00A31137">
        <w:t>1984 Democratic Platform, p.30</w:t>
      </w:r>
    </w:p>
    <w:p w:rsidR="00A31137" w:rsidRPr="00A31137" w:rsidRDefault="00A31137" w:rsidP="00A31137">
      <w:r w:rsidRPr="00A31137">
        <w:t>In the first year after the Reagan Administration assumed office, the number of cases involving charges of employment discrimination filed in court by the EEOC dropped by more than 70 percent. During this Administration, the EEOC has refused to process a single comparable worth case filed by a woman. Meanwhile, the Reagan Justice Department has sought to destroy effective affirmative action remedies, and even to undermine private plans to reduce discrimination in employment. The actions of the Reagan Administration serve only to delay the day when fairness is achieved and such remedial measures are, therefore, no longer needed.</w:t>
      </w:r>
    </w:p>
    <w:p w:rsidR="00A31137" w:rsidRPr="00A31137" w:rsidRDefault="00A31137" w:rsidP="00A31137">
      <w:r w:rsidRPr="00A31137">
        <w:t>1984 Democratic Platform, p.30</w:t>
      </w:r>
    </w:p>
    <w:p w:rsidR="00A31137" w:rsidRPr="00A31137" w:rsidRDefault="00A31137" w:rsidP="00A31137">
      <w:r w:rsidRPr="00A31137">
        <w:t>It is now clear that if Mr, Reagan is reelected, women and minorities seeking protection of their rights would be forced to contend not only with their employers, but with a hostile government. Equal employment opportunity and equity would remain elusive dreams.</w:t>
      </w:r>
    </w:p>
    <w:p w:rsidR="00A31137" w:rsidRPr="00A31137" w:rsidRDefault="00A31137" w:rsidP="00A31137">
      <w:r w:rsidRPr="00A31137">
        <w:t>1984 Democratic Platform, p.30</w:t>
      </w:r>
    </w:p>
    <w:p w:rsidR="00A31137" w:rsidRPr="00A31137" w:rsidRDefault="00A31137" w:rsidP="00A31137">
      <w:r w:rsidRPr="00A31137">
        <w:t>If Mr. Reagan is reelected, who would assure access to justice?</w:t>
      </w:r>
    </w:p>
    <w:p w:rsidR="00A31137" w:rsidRPr="00A31137" w:rsidRDefault="00A31137" w:rsidP="00A31137">
      <w:r w:rsidRPr="00A31137">
        <w:t>1984 Democratic Platform, p.30</w:t>
      </w:r>
    </w:p>
    <w:p w:rsidR="00A31137" w:rsidRPr="00A31137" w:rsidRDefault="00A31137" w:rsidP="00A31137">
      <w:r w:rsidRPr="00A31137">
        <w:t>Since the day of its inauguration, the Reagan Administration has conducted a continuous, full-scale war against the federal Legal Services Corporation, whose only job is to ensure that the poor are fairly heard in court, and that they get equal access to our system of justice. Thirty percent of the Corporation's lawyers have been laid off, and the Administration exhausted every means it could find to stack its Board with people hostile to the very concept of equal justice for the poor.</w:t>
      </w:r>
    </w:p>
    <w:p w:rsidR="00A31137" w:rsidRPr="00A31137" w:rsidRDefault="00A31137" w:rsidP="00A31137">
      <w:r w:rsidRPr="00A31137">
        <w:t>1984 Democratic Platform, p.30</w:t>
      </w:r>
    </w:p>
    <w:p w:rsidR="00A31137" w:rsidRPr="00A31137" w:rsidRDefault="00A31137" w:rsidP="00A31137">
      <w:r w:rsidRPr="00A31137">
        <w:t>In the America of Ronald Reagan, you will only get as much justice as you pay for.</w:t>
      </w:r>
    </w:p>
    <w:p w:rsidR="00A31137" w:rsidRPr="00A31137" w:rsidRDefault="00A31137" w:rsidP="00A31137">
      <w:r w:rsidRPr="00A31137">
        <w:t>1984 Democratic Platform, p.30</w:t>
      </w:r>
    </w:p>
    <w:p w:rsidR="00A31137" w:rsidRPr="00A31137" w:rsidRDefault="00A31137" w:rsidP="00A31137">
      <w:r w:rsidRPr="00A31137">
        <w:t>If Mr. Reagan is reelected, who would protect the rights of workers?</w:t>
      </w:r>
    </w:p>
    <w:p w:rsidR="00A31137" w:rsidRPr="00A31137" w:rsidRDefault="00A31137" w:rsidP="00A31137">
      <w:r w:rsidRPr="00A31137">
        <w:t>1984 Democratic Platform, p.30</w:t>
      </w:r>
    </w:p>
    <w:p w:rsidR="00A31137" w:rsidRPr="00A31137" w:rsidRDefault="00A31137" w:rsidP="00A31137">
      <w:r w:rsidRPr="00A31137">
        <w:t>The Republican Administration has consistently viewed the dollar costs to businesses of providing a safe workplace as more important than the impact of injury and disease on working men and women. It has appointed officials to the National Labor Relations [p.31] Board who openly oppose the right of workers to organize and bargain collectively. The Department of Labor has ignored its mandate to enforce fair labor standards and has sought to reverse hard won gains in protections for worker health and safety.</w:t>
      </w:r>
      <w:r w:rsidRPr="00A31137">
        <w:cr/>
      </w:r>
    </w:p>
    <w:p w:rsidR="00A31137" w:rsidRPr="00A31137" w:rsidRDefault="00A31137" w:rsidP="00A31137">
      <w:r w:rsidRPr="00A31137">
        <w:t>1984 Democratic Platform, p.31</w:t>
      </w:r>
    </w:p>
    <w:p w:rsidR="00A31137" w:rsidRPr="00A31137" w:rsidRDefault="00A31137" w:rsidP="00A31137">
      <w:r w:rsidRPr="00A31137">
        <w:t>What would happen if Mr. Reagan is reelected? Will the right to bargain collectively be eviscerated through Republican-approved abuses of the bankruptcy laws? Will the National Labor Relations Act be converted into a tool that limits working men and women and empowers only their employers? Who will ensure that our next generation does not suffer the effects of toxic substances in the workplace—substances whose existence is not even revealed to the worker?</w:t>
      </w:r>
    </w:p>
    <w:p w:rsidR="00A31137" w:rsidRPr="00A31137" w:rsidRDefault="00A31137" w:rsidP="00A31137">
      <w:r w:rsidRPr="00A31137">
        <w:t>1984 Democratic Platform, p.31</w:t>
      </w:r>
    </w:p>
    <w:p w:rsidR="00A31137" w:rsidRPr="00A31137" w:rsidRDefault="00A31137" w:rsidP="00A31137">
      <w:r w:rsidRPr="00A31137">
        <w:t>If Mr. Reagan is reelected, who would protect the rights of senior citizens?</w:t>
      </w:r>
    </w:p>
    <w:p w:rsidR="00A31137" w:rsidRPr="00A31137" w:rsidRDefault="00A31137" w:rsidP="00A31137">
      <w:r w:rsidRPr="00A31137">
        <w:t>1984 Democratic Platform, p.31</w:t>
      </w:r>
    </w:p>
    <w:p w:rsidR="00A31137" w:rsidRPr="00A31137" w:rsidRDefault="00A31137" w:rsidP="00A31137">
      <w:r w:rsidRPr="00A31137">
        <w:t>Speaking at Philadelphia in 1980 during his campaign, Ronald Reagan vowed to a large audience of senior citizens his strong support for Social Security. He assured thousands of senior citizens on that occasion that as President he would see to it that every commitment made by the federal government to the senior citizens was faithfully kept.</w:t>
      </w:r>
    </w:p>
    <w:p w:rsidR="00A31137" w:rsidRPr="00A31137" w:rsidRDefault="00A31137" w:rsidP="00A31137">
      <w:r w:rsidRPr="00A31137">
        <w:t>1984 Democratic Platform, p.31</w:t>
      </w:r>
    </w:p>
    <w:p w:rsidR="00A31137" w:rsidRPr="00A31137" w:rsidRDefault="00A31137" w:rsidP="00A31137">
      <w:r w:rsidRPr="00A31137">
        <w:t xml:space="preserve">Ronald Reagan violated that promise shortly after he became President. In 1981, speaking to a joint session of Congress, President Reagan said, "We will not cut Medicare." In a matter of weeks thereafter Present Reagan asked the Congress of the United States to cut $88 billion in 1981 and the following four years from Social Security programs. He proposed to reduce by a third the number of people protected by the disability insurance program. He proposed to reduce by a third the benefits a senior citizen would receive if he or she retired at 62. He proposed to cut out the burial program for recipients of Social Security. </w:t>
      </w:r>
    </w:p>
    <w:p w:rsidR="00A31137" w:rsidRPr="00A31137" w:rsidRDefault="00A31137" w:rsidP="00A31137">
      <w:r w:rsidRPr="00A31137">
        <w:t>1984 Democratic Platform, p.31</w:t>
      </w:r>
    </w:p>
    <w:p w:rsidR="00A31137" w:rsidRPr="00A31137" w:rsidRDefault="00A31137" w:rsidP="00A31137">
      <w:r w:rsidRPr="00A31137">
        <w:t xml:space="preserve">He proposed to cut millions from programs that Democratic Administrations had provided for the education of the children of the elderly covered by Social Security, slashing the list of beneficiaries of these programs by hundreds of thousands of sons and daughters of men and women covered by Social Security. And he called for the abolition of the $122-a-month minimum benefit program, which would have dropped over three million people from Social Security altogether. </w:t>
      </w:r>
    </w:p>
    <w:p w:rsidR="00A31137" w:rsidRPr="00A31137" w:rsidRDefault="00A31137" w:rsidP="00A31137">
      <w:r w:rsidRPr="00A31137">
        <w:t>1984 Democratic Platform, p.31</w:t>
      </w:r>
    </w:p>
    <w:p w:rsidR="00A31137" w:rsidRPr="00A31137" w:rsidRDefault="00A31137" w:rsidP="00A31137">
      <w:r w:rsidRPr="00A31137">
        <w:t xml:space="preserve">The American people then revolted, and so did the Congress. The Democratic Party put a stop to the decimation of the Social Security program, but not before President Reagan had cut $19 billion from Social Security benefits in 1981 and the ensuing four years. Democrats in Congress forced the restoration of the $122-a-month minimum benefit program to those who were covered before the Reagan cuts, but never succeeded in extending coverage to the additional 7,000 people a month who would have become eligible after the Reagan cuts. </w:t>
      </w:r>
    </w:p>
    <w:p w:rsidR="00A31137" w:rsidRPr="00A31137" w:rsidRDefault="00A31137" w:rsidP="00A31137">
      <w:r w:rsidRPr="00A31137">
        <w:t>1984 Democratic Platform, p.31</w:t>
      </w:r>
    </w:p>
    <w:p w:rsidR="00A31137" w:rsidRPr="00A31137" w:rsidRDefault="00A31137" w:rsidP="00A31137">
      <w:r w:rsidRPr="00A31137">
        <w:t>Instead of keeping his word that he would not cut Medicare, Reagan forced Congress every year beginning in 1981 to cut billions from the Medicare program. When Social Security developed financial problems due to massive unemployment in 1982, the Reagan Administration moved to "solve" them by cutting benefits further. Only the Democrats on the Social Security Commission prevented him from doing that.</w:t>
      </w:r>
    </w:p>
    <w:p w:rsidR="00A31137" w:rsidRPr="00A31137" w:rsidRDefault="00A31137" w:rsidP="00A31137">
      <w:r w:rsidRPr="00A31137">
        <w:t>1984 Democratic Platform, p.31</w:t>
      </w:r>
    </w:p>
    <w:p w:rsidR="00A31137" w:rsidRPr="00A31137" w:rsidRDefault="00A31137" w:rsidP="00A31137">
      <w:r w:rsidRPr="00A31137">
        <w:t>If Mr. Reagan is reelected, how would we teach our children to respect the law?</w:t>
      </w:r>
    </w:p>
    <w:p w:rsidR="00A31137" w:rsidRPr="00A31137" w:rsidRDefault="00A31137" w:rsidP="00A31137">
      <w:r w:rsidRPr="00A31137">
        <w:t>1984 Democratic Platform, p.31</w:t>
      </w:r>
    </w:p>
    <w:p w:rsidR="00A31137" w:rsidRPr="00A31137" w:rsidRDefault="00A31137" w:rsidP="00A31137">
      <w:r w:rsidRPr="00A31137">
        <w:t>We cannot teach our children to respect the law when they see the highest officials of government flaunting it at their will. Lawlessness has been a pattern in this Administration—and it is a pattern that is unlikely to be altered if Reagan and the Republicans stay in the White House.</w:t>
      </w:r>
    </w:p>
    <w:p w:rsidR="00A31137" w:rsidRPr="00A31137" w:rsidRDefault="00A31137" w:rsidP="00A31137">
      <w:r w:rsidRPr="00A31137">
        <w:t>1984 Democratic Platform, p.31</w:t>
      </w:r>
    </w:p>
    <w:p w:rsidR="00A31137" w:rsidRPr="00A31137" w:rsidRDefault="00A31137" w:rsidP="00A31137">
      <w:r w:rsidRPr="00A31137">
        <w:t>More than forty top Republican officials have already been implicated in all kinds of wrongdoing. Murky transactions on the fringe of organized crime, accepting gifts from foreign journalists and governments, misusing government funds, lying under oath, stock manipulations, taking interest-free loans from wealthy businessmen who later receive federal jobs—all of these are part of business as usual with Ronald Reagan's appointees.</w:t>
      </w:r>
    </w:p>
    <w:p w:rsidR="00A31137" w:rsidRPr="00A31137" w:rsidRDefault="00A31137" w:rsidP="00A31137">
      <w:r w:rsidRPr="00A31137">
        <w:t>1984 Democratic Platform, p.31</w:t>
      </w:r>
    </w:p>
    <w:p w:rsidR="00A31137" w:rsidRPr="00A31137" w:rsidRDefault="00A31137" w:rsidP="00A31137">
      <w:r w:rsidRPr="00A31137">
        <w:t>The Republicans profess to stand for "law and order." But this is the same Administration that voted the bipartisan anti-crime bill in 1982. And when it comes to laws they do not like—whether they concern toxic wastes, pure food and drugs, or worker health and safety—this Administration simply makes believe they do not exist. The same is true overseas: this Administration is just as willing to ignore international law as domestic law. When we finally learned of illegal mining of of Nicaragua's harbors, the Reagan Administration hastily attempted, the night before Nicaragua sued us, to withdraw jurisdiction over the question from the World Court. But even this maneuver was carried out in an illegal fashion that the World Court later set aside.</w:t>
      </w:r>
    </w:p>
    <w:p w:rsidR="00A31137" w:rsidRPr="00A31137" w:rsidRDefault="00A31137" w:rsidP="00A31137">
      <w:r w:rsidRPr="00A31137">
        <w:t>1984 Democratic Platform, p.31</w:t>
      </w:r>
    </w:p>
    <w:p w:rsidR="00A31137" w:rsidRPr="00A31137" w:rsidRDefault="00A31137" w:rsidP="00A31137">
      <w:r w:rsidRPr="00A31137">
        <w:t>This Republican Administration has been unprecedentedly eager to limit public debate by instituting "security agreements" that censor ex-officials, "revising" the Freedom of Information Act, refusing visas to foreign visitors who might provide another perspective on American policies overseas, and denying our war correspondents their historic position alongside out troops. This comes as no surprise: in the first term, the Reagan Administration had a lot to hide. What would happen in a second?</w:t>
      </w:r>
    </w:p>
    <w:p w:rsidR="00A31137" w:rsidRPr="00A31137" w:rsidRDefault="00A31137" w:rsidP="00A31137">
      <w:r w:rsidRPr="00A31137">
        <w:t>1984 Democratic Platform, p.31</w:t>
      </w:r>
    </w:p>
    <w:p w:rsidR="00A31137" w:rsidRPr="00A31137" w:rsidRDefault="00A31137" w:rsidP="00A31137">
      <w:r w:rsidRPr="00A31137">
        <w:t>If Mr. Reagan is reelected, what would happen to our unfinished civil rights agenda?</w:t>
      </w:r>
    </w:p>
    <w:p w:rsidR="00A31137" w:rsidRPr="00A31137" w:rsidRDefault="00A31137" w:rsidP="00A31137">
      <w:r w:rsidRPr="00A31137">
        <w:t>1984 Democratic Platform, p.31</w:t>
      </w:r>
    </w:p>
    <w:p w:rsidR="00A31137" w:rsidRPr="00A31137" w:rsidRDefault="00A31137" w:rsidP="00A31137">
      <w:r w:rsidRPr="00A31137">
        <w:t>The answer is clear: an Administration which refuses to enforce the laws that are on the books can [p.32] hardly be expected to respect—or even recognize—the rights of those who are not already specifically protected by existing law.</w:t>
      </w:r>
    </w:p>
    <w:p w:rsidR="00A31137" w:rsidRPr="00A31137" w:rsidRDefault="00A31137" w:rsidP="00A31137">
      <w:r w:rsidRPr="00A31137">
        <w:t>1984 Democratic Platform, p.32</w:t>
      </w:r>
    </w:p>
    <w:p w:rsidR="00A31137" w:rsidRPr="00A31137" w:rsidRDefault="00A31137" w:rsidP="00A31137">
      <w:r w:rsidRPr="00A31137">
        <w:t>Nowhere is this Administration's hostility to equal rights and equal justice more apparent than in its attitude to the Equal Rights Amendment. As soon as the Reagan faction took control of the Republican Party at its convention in 1980, it ended that Party's forty-year commitment to passage of the Equal Rights Amendment. So long as this Administration remains in office, the proponents of unamended ERA have nothing less than an enemy in the White House. And if this is true for the women of America, it is equally true for disadvantaged minorities who must depend on this government's sense of justice to secure their rights and lead independent lives.</w:t>
      </w:r>
    </w:p>
    <w:p w:rsidR="00A31137" w:rsidRPr="00A31137" w:rsidRDefault="00A31137" w:rsidP="00A31137">
      <w:r w:rsidRPr="00A31137">
        <w:t>1984 Democratic Platform, p.32</w:t>
      </w:r>
    </w:p>
    <w:p w:rsidR="00A31137" w:rsidRPr="00A31137" w:rsidRDefault="00A31137" w:rsidP="00A31137">
      <w:r w:rsidRPr="00A31137">
        <w:t>Since assuming office, the Reagan Administration has shown more hostility—indeed, more outright and implacable aggression—toward the American ideal of equal justice for all than even its harshest critics would have predicted in 1980. Given its first-term record, even our most pessimistic forecasts for four more Republish years may well fall short of the mark. No one knows the full extent of the damage Reagan could wreak on this country in another term. But we do know one thing: we cannot afford to find out.</w:t>
      </w:r>
    </w:p>
    <w:p w:rsidR="00A31137" w:rsidRPr="00A31137" w:rsidRDefault="00A31137" w:rsidP="00A31137">
      <w:r w:rsidRPr="00A31137">
        <w:t>The Democratic Alternative:Equal Justice for All</w:t>
      </w:r>
    </w:p>
    <w:p w:rsidR="00A31137" w:rsidRPr="00A31137" w:rsidRDefault="00A31137" w:rsidP="00A31137">
      <w:r w:rsidRPr="00A31137">
        <w:t>1984 Democratic Platform, p.32</w:t>
      </w:r>
    </w:p>
    <w:p w:rsidR="00A31137" w:rsidRPr="00A31137" w:rsidRDefault="00A31137" w:rsidP="00A31137">
      <w:r w:rsidRPr="00A31137">
        <w:t xml:space="preserve">"The Democratic Party is challenged as never before to redirect the present dangerous course of our nation and our world, and to provide meaningful work at adequate pay for all our citizens and justice for all Americans. </w:t>
      </w:r>
    </w:p>
    <w:p w:rsidR="00A31137" w:rsidRPr="00A31137" w:rsidRDefault="00A31137" w:rsidP="00A31137">
      <w:r w:rsidRPr="00A31137">
        <w:t>1984 Democratic Platform, p.32</w:t>
      </w:r>
    </w:p>
    <w:p w:rsidR="00A31137" w:rsidRPr="00A31137" w:rsidRDefault="00A31137" w:rsidP="00A31137">
      <w:r w:rsidRPr="00A31137">
        <w:t>"The dream of a nation fully committed to peace, jobs, and justice has fast became a nightmare under this Administration…</w:t>
      </w:r>
    </w:p>
    <w:p w:rsidR="00A31137" w:rsidRPr="00A31137" w:rsidRDefault="00A31137" w:rsidP="00A31137">
      <w:r w:rsidRPr="00A31137">
        <w:t>1984 Democratic Platform, p.32</w:t>
      </w:r>
    </w:p>
    <w:p w:rsidR="00A31137" w:rsidRPr="00A31137" w:rsidRDefault="00A31137" w:rsidP="00A31137">
      <w:r w:rsidRPr="00A31137">
        <w:t>"Our choice today is to become just a new party in power in November with new faces and new pledges—or a truly great party with the courage to develop a new vision and a new direction for the sake of our nation and our world."</w:t>
      </w:r>
    </w:p>
    <w:p w:rsidR="00A31137" w:rsidRPr="00A31137" w:rsidRDefault="00A31137" w:rsidP="00A31137">
      <w:r w:rsidRPr="00A31137">
        <w:t>1984 Democratic Platform, p.32</w:t>
      </w:r>
    </w:p>
    <w:p w:rsidR="00A31137" w:rsidRPr="00A31137" w:rsidRDefault="00A31137" w:rsidP="00A31137">
      <w:r w:rsidRPr="00A31137">
        <w:t>Coretta Scott King (Democratic Platform Committee Hearing, Washington, DC. June 11. 1984)</w:t>
      </w:r>
    </w:p>
    <w:p w:rsidR="00A31137" w:rsidRPr="00A31137" w:rsidRDefault="00A31137" w:rsidP="00A31137">
      <w:r w:rsidRPr="00A31137">
        <w:t>1984 Democratic Platform, p.32</w:t>
      </w:r>
    </w:p>
    <w:p w:rsidR="00A31137" w:rsidRPr="00A31137" w:rsidRDefault="00A31137" w:rsidP="00A31137">
      <w:r w:rsidRPr="00A31137">
        <w:t>"The Equal Rights Amendment is the only guarantee of full equality the women of this nation can trust and count on. We have seen in the past three and one-half years an administration that has gone out of its way to prove that laws, court decisions, executive orders, and regulations are not enough—they can be changed by a new majority, overturned, swept aside, underfunded, or rescinded. Only when the legislative protections against such discrimination are  in the bedrock of the Constitution can we  at the vagaries of changing political climate or a hostile administration will not wipe out those protections."</w:t>
      </w:r>
    </w:p>
    <w:p w:rsidR="00A31137" w:rsidRPr="00A31137" w:rsidRDefault="00A31137" w:rsidP="00A31137">
      <w:r w:rsidRPr="00A31137">
        <w:t>1984 Democratic Platform, p.32</w:t>
      </w:r>
    </w:p>
    <w:p w:rsidR="00A31137" w:rsidRPr="00A31137" w:rsidRDefault="00A31137" w:rsidP="00A31137">
      <w:r w:rsidRPr="00A31137">
        <w:t>Judy Goldsmith. President. National Organization for Women (Democratic Platform Committee Hearing, Washington, DC, June 12, 1984)</w:t>
      </w:r>
    </w:p>
    <w:p w:rsidR="00A31137" w:rsidRPr="00A31137" w:rsidRDefault="00A31137" w:rsidP="00A31137">
      <w:r w:rsidRPr="00A31137">
        <w:t>1984 Democratic Platform, p.32</w:t>
      </w:r>
    </w:p>
    <w:p w:rsidR="00A31137" w:rsidRPr="00A31137" w:rsidRDefault="00A31137" w:rsidP="00A31137">
      <w:r w:rsidRPr="00A31137">
        <w:t>Equal justice for all, in a Democratic future, means that every individual must have a fair and equal opportunity to fulfil his or her potential, and to be an independent, working member of our society—and it is the commitment of our Party to secure that opportunity.</w:t>
      </w:r>
    </w:p>
    <w:p w:rsidR="00A31137" w:rsidRPr="00A31137" w:rsidRDefault="00A31137" w:rsidP="00A31137">
      <w:r w:rsidRPr="00A31137">
        <w:t>1984 Democratic Platform, p.32</w:t>
      </w:r>
    </w:p>
    <w:p w:rsidR="00A31137" w:rsidRPr="00A31137" w:rsidRDefault="00A31137" w:rsidP="00A31137">
      <w:r w:rsidRPr="00A31137">
        <w:t>We are determined to build an America of self-sufficient, independent people. We will enforce the laws guaranteeing equal opportunity and human rights, and complete the unfinished civil rights agenda. We will keep our commitments to all of the members of our community who rely upon our word to stay, or to become, independent—our senior citizens, those who served in our Armed Forces, the handicapped and disabled, the members of our American family who are trapped in poverty, and all Americans who look to government to protect them from the pain, expense, and dislocation caused by crime. And in fulfilling these and all the duties of government, a Democratic Administration will stand as an example to all of integrity and justice.</w:t>
      </w:r>
    </w:p>
    <w:p w:rsidR="00A31137" w:rsidRPr="00A31137" w:rsidRDefault="00A31137" w:rsidP="00A31137">
      <w:r w:rsidRPr="00A31137">
        <w:t>Equal Justice Under Law</w:t>
      </w:r>
    </w:p>
    <w:p w:rsidR="00A31137" w:rsidRPr="00A31137" w:rsidRDefault="00A31137" w:rsidP="00A31137">
      <w:r w:rsidRPr="00A31137">
        <w:t>1984 Democratic Platform, p.32</w:t>
      </w:r>
    </w:p>
    <w:p w:rsidR="00A31137" w:rsidRPr="00A31137" w:rsidRDefault="00A31137" w:rsidP="00A31137">
      <w:r w:rsidRPr="00A31137">
        <w:t>Many have suffered from historical patterns of discrimination and others, because of their recent immigration in sizeable numbers, are subject to new forms of discrimination. Over the years, the Democratic Party has voiced a commitment to eradicating the injustices. In 1948, the Democratic Platform for the first time contained a plank committing this Party to the cause of civil rights. For almost forty years, we have fought proudly for that cause. In 1964, a Democratic President and a Democratic Congress enacted the landmark legislation prohibiting discrimination in employment and public accommodations. And for nearly two decades, a bipartisan commitment has existed in Congress and in the White House to expand and enforce those laws. Until Ronald Reagan.</w:t>
      </w:r>
    </w:p>
    <w:p w:rsidR="00A31137" w:rsidRPr="00A31137" w:rsidRDefault="00A31137" w:rsidP="00A31137">
      <w:r w:rsidRPr="00A31137">
        <w:t>1984 Democratic Platform, p.32</w:t>
      </w:r>
    </w:p>
    <w:p w:rsidR="00A31137" w:rsidRPr="00A31137" w:rsidRDefault="00A31137" w:rsidP="00A31137">
      <w:r w:rsidRPr="00A31137">
        <w:t>This Administration has sought to erode the force and meaning of constitutionally-mandated and court-sanctioned remedies for long-standing patterns of discriminatory conduct. It has attempted to create new standards under each of our nation's civil rights laws by requiring a showing of intent to discriminate, and case-by-case litigation of class-wide violations. Its interpretation of two recent Supreme Court decisions attempts to sound the death knell for equal opportunity and affirmative action.</w:t>
      </w:r>
    </w:p>
    <w:p w:rsidR="00A31137" w:rsidRPr="00A31137" w:rsidRDefault="00A31137" w:rsidP="00A31137">
      <w:r w:rsidRPr="00A31137">
        <w:t>1984 Democratic Platform, p.32</w:t>
      </w:r>
    </w:p>
    <w:p w:rsidR="00A31137" w:rsidRPr="00A31137" w:rsidRDefault="00A31137" w:rsidP="00A31137">
      <w:r w:rsidRPr="00A31137">
        <w:t>In one case, the Administration interpreted the Court's decision as requiring that equal opportunity mandates associated with the receipt of all federal [p.33] the special needs of the disabled. This Administration has closed its eyes to those needs, and in so doing, violated a fundamental trust by seeking to condemn millions of disabled Americans to dependency. We will honor our commitments. We will insist that those who receive federal funds accommodate disabled employees—a requirement this Administration sought to eliminate. We will insist that benefits be available for those who cannot work, and that training is available for those who need help to find work.</w:t>
      </w:r>
    </w:p>
    <w:p w:rsidR="00A31137" w:rsidRPr="00A31137" w:rsidRDefault="00A31137" w:rsidP="00A31137">
      <w:r w:rsidRPr="00A31137">
        <w:t>1984 Democratic Platform, p.33</w:t>
      </w:r>
    </w:p>
    <w:p w:rsidR="00A31137" w:rsidRPr="00A31137" w:rsidRDefault="00A31137" w:rsidP="00A31137">
      <w:r w:rsidRPr="00A31137">
        <w:t>The Democratic Party will safeguard the rights of the elderly and disabled to remain free from institutionalization except where medically indicated. The rights of the disabled within institutions should be protected from violations of the integrity of their person. Also, we will promote accessible public transportation, buildings, make voting booths accessible, and strictly enforce laws such as the entire Rehabilitation Act of 1973</w:t>
      </w:r>
    </w:p>
    <w:p w:rsidR="00A31137" w:rsidRPr="00A31137" w:rsidRDefault="00A31137" w:rsidP="00A31137">
      <w:r w:rsidRPr="00A31137">
        <w:t>1984 Democratic Platform, p.33</w:t>
      </w:r>
    </w:p>
    <w:p w:rsidR="00A31137" w:rsidRPr="00A31137" w:rsidRDefault="00A31137" w:rsidP="00A31137">
      <w:r w:rsidRPr="00A31137">
        <w:t>Opportunities for Veterans—This country has a proud tradition of honoring and supporting those who have defended us. Millions of Americans in the years after World War II went to college and bought their homes thanks to GI benefits. But for the latest generation of American veterans, needed support and assistance have been missing.</w:t>
      </w:r>
    </w:p>
    <w:p w:rsidR="00A31137" w:rsidRPr="00A31137" w:rsidRDefault="00A31137" w:rsidP="00A31137">
      <w:r w:rsidRPr="00A31137">
        <w:t>1984 Democratic Platform, p.33</w:t>
      </w:r>
    </w:p>
    <w:p w:rsidR="00A31137" w:rsidRPr="00A31137" w:rsidRDefault="00A31137" w:rsidP="00A31137">
      <w:r w:rsidRPr="00A31137">
        <w:t>The nation has begun to welcome home with pride its Vietnam veterans, as reflected in the extraordinary Vietnam Veterans Memorial which was built through public contributions. The Democratic Party shares the nation's commitment to Vietnam veterans.</w:t>
      </w:r>
    </w:p>
    <w:p w:rsidR="00A31137" w:rsidRPr="00A31137" w:rsidRDefault="00A31137" w:rsidP="00A31137">
      <w:r w:rsidRPr="00A31137">
        <w:t>1984 Democratic Platform, p.33</w:t>
      </w:r>
    </w:p>
    <w:p w:rsidR="00A31137" w:rsidRPr="00A31137" w:rsidRDefault="00A31137" w:rsidP="00A31137">
      <w:r w:rsidRPr="00A31137">
        <w:t>No President since the beginning of the Vietnam War has been so persistently hostile to Vietnam veterans programs as Ronald Reagan. He has sought to dismantle the Readjustment Counseling Centers, opposed employment and Agent Orange benefits, as well as basic due process at the Veterans Administration, including judicial review.</w:t>
      </w:r>
    </w:p>
    <w:p w:rsidR="00A31137" w:rsidRPr="00A31137" w:rsidRDefault="00A31137" w:rsidP="00A31137">
      <w:r w:rsidRPr="00A31137">
        <w:t>1984 Democratic Platform, p.33</w:t>
      </w:r>
    </w:p>
    <w:p w:rsidR="00A31137" w:rsidRPr="00A31137" w:rsidRDefault="00A31137" w:rsidP="00A31137">
      <w:r w:rsidRPr="00A31137">
        <w:t>The Vietnam War divided our nation. Many of the rifts remain, but all agree on the respect due Vietnam veterans for their distinguished service during a troubled time. The Democratic Party pledges to reverse Ronald Reagan's Vietnam veteran policies, helping our nation come together as one people. And we believe it is especially important that we end discrimination against women and minority veterans, particularly in health and education programs.</w:t>
      </w:r>
    </w:p>
    <w:p w:rsidR="00A31137" w:rsidRPr="00A31137" w:rsidRDefault="00A31137" w:rsidP="00A31137">
      <w:r w:rsidRPr="00A31137">
        <w:t>1984 Democratic Platform, p.33</w:t>
      </w:r>
    </w:p>
    <w:p w:rsidR="00A31137" w:rsidRPr="00A31137" w:rsidRDefault="00A31137" w:rsidP="00A31137">
      <w:r w:rsidRPr="00A31137">
        <w:t>We believe that the government has a special obligation to all of this nation's veterans, and we are committed to fulfilling it—to providing the highest quality health care, improving education and training, providing the assistance they need to live independent and productive lives.</w:t>
      </w:r>
    </w:p>
    <w:p w:rsidR="00A31137" w:rsidRPr="00A31137" w:rsidRDefault="00A31137" w:rsidP="00A31137">
      <w:r w:rsidRPr="00A31137">
        <w:t>1984 Democratic Platform, p.33</w:t>
      </w:r>
    </w:p>
    <w:p w:rsidR="00A31137" w:rsidRPr="00A31137" w:rsidRDefault="00A31137" w:rsidP="00A31137">
      <w:r w:rsidRPr="00A31137">
        <w:t xml:space="preserve">Opportunities for the Poor—For the past four years, this Administration has callously pursued policies which have further impoverished those at the bottom of the economic ladder and pushed millions of Americans, particularly women and children, below the poverty line. Thanks to the Reagan budget cuts, many of the programs upon which the poor rely have been gutted—from education to housing to child nutrition. Far from encouraging independence, the Administration has penalized those seeking to escape poverty through work, by conditioning assistance on nonparticipation in the workplace. The figures tell part of the story: </w:t>
      </w:r>
    </w:p>
    <w:p w:rsidR="00A31137" w:rsidRPr="00A31137" w:rsidRDefault="00A31137" w:rsidP="00A31137">
      <w:r w:rsidRPr="00A31137">
        <w:t>1984 Democratic Platform, p.33</w:t>
      </w:r>
    </w:p>
    <w:p w:rsidR="00A31137" w:rsidRPr="00A31137" w:rsidRDefault="00A31137" w:rsidP="00A31137">
      <w:r w:rsidRPr="00A31137">
        <w:t>—Today, 15 percent of all Americans live below the poverty line;</w:t>
      </w:r>
    </w:p>
    <w:p w:rsidR="00A31137" w:rsidRPr="00A31137" w:rsidRDefault="00A31137" w:rsidP="00A31137">
      <w:r w:rsidRPr="00A31137">
        <w:t>1984 Democratic Platform, p.33</w:t>
      </w:r>
    </w:p>
    <w:p w:rsidR="00A31137" w:rsidRPr="00A31137" w:rsidRDefault="00A31137" w:rsidP="00A31137">
      <w:r w:rsidRPr="00A31137">
        <w:t>—Over three million more children are in poverty today than there were in 1979;</w:t>
      </w:r>
    </w:p>
    <w:p w:rsidR="00A31137" w:rsidRPr="00A31137" w:rsidRDefault="00A31137" w:rsidP="00A31137">
      <w:r w:rsidRPr="00A31137">
        <w:t>1984 Democratic Platform, p.33</w:t>
      </w:r>
    </w:p>
    <w:p w:rsidR="00A31137" w:rsidRPr="00A31137" w:rsidRDefault="00A31137" w:rsidP="00A31137">
      <w:r w:rsidRPr="00A31137">
        <w:t>—Over half of all black children under age three live in poverty;</w:t>
      </w:r>
    </w:p>
    <w:p w:rsidR="00A31137" w:rsidRPr="00A31137" w:rsidRDefault="00A31137" w:rsidP="00A31137">
      <w:r w:rsidRPr="00A31137">
        <w:t>1984 Democratic Platform, p.33</w:t>
      </w:r>
    </w:p>
    <w:p w:rsidR="00A31137" w:rsidRPr="00A31137" w:rsidRDefault="00A31137" w:rsidP="00A31137">
      <w:r w:rsidRPr="00A31137">
        <w:t>—More than one-third of all female-headed households are below the poverty line, and for non-white families headed by women with more than one child, the figure is 70 percent.</w:t>
      </w:r>
    </w:p>
    <w:p w:rsidR="00A31137" w:rsidRPr="00A31137" w:rsidRDefault="00A31137" w:rsidP="00A31137">
      <w:r w:rsidRPr="00A31137">
        <w:t>1984 Democratic Platform, p.33</w:t>
      </w:r>
    </w:p>
    <w:p w:rsidR="00A31137" w:rsidRPr="00A31137" w:rsidRDefault="00A31137" w:rsidP="00A31137">
      <w:r w:rsidRPr="00A31137">
        <w:t>But the numbers tell only part of the story; numbers do not convey the frustration and suffering of women seeking a future for themselves and their children, with no support from anyone; numbers do not recount the pain of growing numbers of homeless men and women with no place to sleep, or of increasing infant mortality rates among children born to poor mothers. Numbers do not convey the human effects of unemployment on a once stable and strong family.</w:t>
      </w:r>
    </w:p>
    <w:p w:rsidR="00A31137" w:rsidRPr="00A31137" w:rsidRDefault="00A31137" w:rsidP="00A31137">
      <w:r w:rsidRPr="00A31137">
        <w:t>1984 Democratic Platform, p.33</w:t>
      </w:r>
    </w:p>
    <w:p w:rsidR="00A31137" w:rsidRPr="00A31137" w:rsidRDefault="00A31137" w:rsidP="00A31137">
      <w:r w:rsidRPr="00A31137">
        <w:t>As Democrats, we call upon the American people to join with us in a renewed commitment to combat the feminization of poverty in our nation so that every American can be a productive, contributing member of our society. In that effort, our goal is to strengthen families and to reverse the existing incentives for their destruction. We therefore oppose laws requiring an unemployed parent to leave the family or drop out of the work force in order to quality for assistance and health care. We recognize the special need to increase the labor force participation of minority males, and we are committed to expanding their opportunities through education and training and to enforcing the laws which guarantee them equal opportunities. The plight of young mothers must be separately addresses as well; they too need education and training and quality child care must be available if they are to participate in such programs. Only through a nation that cares and a government that acts can those Americans trapped in poverty move toward meaningful independence.</w:t>
      </w:r>
    </w:p>
    <w:p w:rsidR="00A31137" w:rsidRPr="00A31137" w:rsidRDefault="00A31137" w:rsidP="00A31137">
      <w:r w:rsidRPr="00A31137">
        <w:t>1984 Democratic Platform, p.33</w:t>
      </w:r>
    </w:p>
    <w:p w:rsidR="00A31137" w:rsidRPr="00A31137" w:rsidRDefault="00A31137" w:rsidP="00A31137">
      <w:r w:rsidRPr="00A31137">
        <w:t>The Hungry and the Homeless—In the late 1960's, the nation discovered widespread hunger and malnutrition in America, especially among poor children and the elderly. The country responded with a national effort, of which Americans should be justly proud. By the late 1970's, medical researchers found that hunger had nearly been eliminated.</w:t>
      </w:r>
    </w:p>
    <w:p w:rsidR="00A31137" w:rsidRPr="00A31137" w:rsidRDefault="00A31137" w:rsidP="00A31137">
      <w:r w:rsidRPr="00A31137">
        <w:t>1984 Democratic Platform, p.34</w:t>
      </w:r>
    </w:p>
    <w:p w:rsidR="00A31137" w:rsidRPr="00A31137" w:rsidRDefault="00A31137" w:rsidP="00A31137">
      <w:r w:rsidRPr="00A31137">
        <w:t>[p.34] Since 1980, however, hunger has returned. High unemployment, coupled with deep cutbacks in food assistance and other basic support programs for poor families have led to conditions not seen in this country for years. Studies in hospitals and health departments document increases in numbers of malnourished children. Increasing numbers of homeless wander our cities streets in search of food and shelter. Religious organizations, charities and other agencies report record numbers of persons standing in line for food at soup kitchens and emergency food pantries.</w:t>
      </w:r>
    </w:p>
    <w:p w:rsidR="00A31137" w:rsidRPr="00A31137" w:rsidRDefault="00A31137" w:rsidP="00A31137">
      <w:r w:rsidRPr="00A31137">
        <w:t>1984 Democratic Platform, p.34</w:t>
      </w:r>
    </w:p>
    <w:p w:rsidR="00A31137" w:rsidRPr="00A31137" w:rsidRDefault="00A31137" w:rsidP="00A31137">
      <w:r w:rsidRPr="00A31137">
        <w:t>Strong action is needed to address this issue and to end the resurgence of hunger in America. The Democratic Party is committed to reversing regressive Reagan policies and to providing more adequate food aid for poor families, infants, children, elderly and handicapped persons. It is time to resume the national effort, jettisoned in 1980, to ensure that less fortunate Americans do not go without adequate food because they are too poor to secure a decent diet. As Democrats, we call upon the American people to join with us in a renewed commitment to fight hunger and homelessness so that every American can be a productive, contributing member of our society.</w:t>
      </w:r>
    </w:p>
    <w:p w:rsidR="00A31137" w:rsidRPr="00A31137" w:rsidRDefault="00A31137" w:rsidP="00A31137">
      <w:r w:rsidRPr="00A31137">
        <w:t>1984 Democratic Platform, p.34</w:t>
      </w:r>
    </w:p>
    <w:p w:rsidR="00A31137" w:rsidRPr="00A31137" w:rsidRDefault="00A31137" w:rsidP="00A31137">
      <w:r w:rsidRPr="00A31137">
        <w:t>Hunger is an international problem as well. In many countries it shortens peace and stability. The United States should take the lead in working with our allies and other countries to help wipe hunger from the face of the earth.</w:t>
      </w:r>
    </w:p>
    <w:p w:rsidR="00A31137" w:rsidRPr="00A31137" w:rsidRDefault="00A31137" w:rsidP="00A31137">
      <w:r w:rsidRPr="00A31137">
        <w:t>1984 Democratic Platform, p.34</w:t>
      </w:r>
    </w:p>
    <w:p w:rsidR="00A31137" w:rsidRPr="00A31137" w:rsidRDefault="00A31137" w:rsidP="00A31137">
      <w:r w:rsidRPr="00A31137">
        <w:t>A Democratic President will ensure that the needs of the world's children are given priority in all U.S. foreign assistance programs and that international assistance programs are geared toward increasing self-reliance of local populations and self-sufficiency in food production.</w:t>
      </w:r>
    </w:p>
    <w:p w:rsidR="00A31137" w:rsidRPr="00A31137" w:rsidRDefault="00A31137" w:rsidP="00A31137">
      <w:r w:rsidRPr="00A31137">
        <w:t>Integrity In Government</w:t>
      </w:r>
    </w:p>
    <w:p w:rsidR="00A31137" w:rsidRPr="00A31137" w:rsidRDefault="00A31137" w:rsidP="00A31137">
      <w:r w:rsidRPr="00A31137">
        <w:t>1984 Democratic Platform, p.34</w:t>
      </w:r>
    </w:p>
    <w:p w:rsidR="00A31137" w:rsidRPr="00A31137" w:rsidRDefault="00A31137" w:rsidP="00A31137">
      <w:r w:rsidRPr="00A31137">
        <w:t>As Democrats, we believe that the American people are entitled to a government that is honest, that is open, and that is fully representative of this nation and its people, and we are committed to providing it.</w:t>
      </w:r>
    </w:p>
    <w:p w:rsidR="00A31137" w:rsidRPr="00A31137" w:rsidRDefault="00A31137" w:rsidP="00A31137">
      <w:r w:rsidRPr="00A31137">
        <w:t>1984 Democratic Platform, p.34</w:t>
      </w:r>
    </w:p>
    <w:p w:rsidR="00A31137" w:rsidRPr="00A31137" w:rsidRDefault="00A31137" w:rsidP="00A31137">
      <w:r w:rsidRPr="00A31137">
        <w:t>After four years in which the roll of dishonor in the Administration has grown weekly and monthly—from Richard Allen to Rita Lavelle, from Thomas Reed to James Watt—it is time for an end to the embarrassment of Republican cronyism and malfeasance. Our appointments will be ones of which Americans can be proud. Our selection process in staffing the government will be severe. We will not tolerate impropriety in a Democratic Administration.</w:t>
      </w:r>
    </w:p>
    <w:p w:rsidR="00A31137" w:rsidRPr="00A31137" w:rsidRDefault="00A31137" w:rsidP="00A31137">
      <w:r w:rsidRPr="00A31137">
        <w:t>1984 Democratic Platform, p.34</w:t>
      </w:r>
    </w:p>
    <w:p w:rsidR="00A31137" w:rsidRPr="00A31137" w:rsidRDefault="00A31137" w:rsidP="00A31137">
      <w:r w:rsidRPr="00A31137">
        <w:t>We must work to end political action committee funding of federal political campaigns. To achieve that, we must enact a system of public financing of federal campaigns. At the same time, our Party should assure that a system of public financing be responsive to the problem of under representation of women and minorities in elective offices.</w:t>
      </w:r>
    </w:p>
    <w:p w:rsidR="00A31137" w:rsidRPr="00A31137" w:rsidRDefault="00A31137" w:rsidP="00A31137">
      <w:r w:rsidRPr="00A31137">
        <w:t>1984 Democratic Platform, p.34</w:t>
      </w:r>
    </w:p>
    <w:p w:rsidR="00A31137" w:rsidRPr="00A31137" w:rsidRDefault="00A31137" w:rsidP="00A31137">
      <w:r w:rsidRPr="00A31137">
        <w:t>We Democrats are not afraid to govern in public and to let the .American people know and understand the basis for our decisions. We will reverse current Administration policies that permit the widespread overclassification of documents lacking a relationship to our national security. We will rescind Reagan Administration directives imposing undue burdens on citizens seeking information about their government through the Freedom of Information Act.</w:t>
      </w:r>
    </w:p>
    <w:p w:rsidR="00A31137" w:rsidRPr="00A31137" w:rsidRDefault="00A31137" w:rsidP="00A31137">
      <w:r w:rsidRPr="00A31137">
        <w:t>1984 Democratic Platform, p.34</w:t>
      </w:r>
    </w:p>
    <w:p w:rsidR="00A31137" w:rsidRPr="00A31137" w:rsidRDefault="00A31137" w:rsidP="00A31137">
      <w:r w:rsidRPr="00A31137">
        <w:t>We will insist that the government, in its relations with its own employees, set a standard of fairness which is a model for the private sector. We believe, moreover, that an Administration that cannot run its own house fairly cannot sere the American people fairly. We will ensure that government's number one priority is the performance of its mission under the law, and not the implementation of the narrow political agenda of a single Party. Sound management and fair government cannot be administered by a politicized work force. Neither can it be accomplished by a demoralized work force. A Democratic Administration will not devalue the pay, benefits, and retirement rights of federal workers guaranteed under the law. We will work to reverse personnel policies, including the contracting out of work traditionally performed by public employees, that have made it impossible for current federal employees to recommend a career in federal service to our nation's young people.</w:t>
      </w:r>
    </w:p>
    <w:p w:rsidR="00A31137" w:rsidRPr="00A31137" w:rsidRDefault="00A31137" w:rsidP="00A31137">
      <w:r w:rsidRPr="00A31137">
        <w:t>1984 Democratic Platform, p.34</w:t>
      </w:r>
    </w:p>
    <w:p w:rsidR="00A31137" w:rsidRPr="00A31137" w:rsidRDefault="00A31137" w:rsidP="00A31137">
      <w:r w:rsidRPr="00A31137">
        <w:t>Our judicial system must be one in which excellence and access are the foundations. It is essential to recruit people of high integrity, outstanding competence, and high quality of judgment to serve in our nation's judiciary. And we oppose efforts to strip the federal courts of their historic jurisdiction to adjudicate cases involving questions of federal law and constitutional right.</w:t>
      </w:r>
    </w:p>
    <w:p w:rsidR="00A31137" w:rsidRPr="00A31137" w:rsidRDefault="00A31137" w:rsidP="00A31137">
      <w:r w:rsidRPr="00A31137">
        <w:t>Crime</w:t>
      </w:r>
    </w:p>
    <w:p w:rsidR="00A31137" w:rsidRPr="00A31137" w:rsidRDefault="00A31137" w:rsidP="00A31137">
      <w:r w:rsidRPr="00A31137">
        <w:t>1984 Democratic Platform, p.34</w:t>
      </w:r>
    </w:p>
    <w:p w:rsidR="00A31137" w:rsidRPr="00A31137" w:rsidRDefault="00A31137" w:rsidP="00A31137">
      <w:r w:rsidRPr="00A31137">
        <w:t>No problem has worried Americas more persistently over the past 20 years than the problem of crime. Crime and the fear of crime affect us all, but the impact is greatest on poor Americans who live in our cities. Neither a permissive liberalism nor a static conservatism is the answer to reducing crime. While we must eliminate those elements—like unemployment and poverty—that foster the criminal atmosphere, we must never let them be used as an excuse.</w:t>
      </w:r>
    </w:p>
    <w:p w:rsidR="00A31137" w:rsidRPr="00A31137" w:rsidRDefault="00A31137" w:rsidP="00A31137">
      <w:r w:rsidRPr="00A31137">
        <w:t>1984 Democratic Platform, p.34</w:t>
      </w:r>
    </w:p>
    <w:p w:rsidR="00A31137" w:rsidRPr="00A31137" w:rsidRDefault="00A31137" w:rsidP="00A31137">
      <w:r w:rsidRPr="00A31137">
        <w:t>Although the primary responsibility for law enforcement rests at the local level. Democrats believe the federal government can play an important role by encouraging local innovation and the implementation of new crime control methods as their effectiveness is shown. And when crime spills acres state borders, the federal government must take the lead, and assume responsibility for enforcing the law. This Administration has done neither. It has talked "law and order" while cutting law enforcement budgets. It [p.35] has decried the influence of drugs, while cutting back on customs enforcement.</w:t>
      </w:r>
    </w:p>
    <w:p w:rsidR="00A31137" w:rsidRPr="00A31137" w:rsidRDefault="00A31137" w:rsidP="00A31137">
      <w:r w:rsidRPr="00A31137">
        <w:t>1984 Democratic Platform, p.35</w:t>
      </w:r>
    </w:p>
    <w:p w:rsidR="00A31137" w:rsidRPr="00A31137" w:rsidRDefault="00A31137" w:rsidP="00A31137">
      <w:r w:rsidRPr="00A31137">
        <w:t>As a result, drug trafficking and abuse have risen to crisis proportions in the United States. In 1983, an estimated 60 tons of cocaine, 15,000 tons of marijuana, and 10 tons of heroin entered the United States, clear evidence that we are losing the effort overseas to control the production and transshipment of these and other dangerous drugs. Domestically, the illicit trafficking in drugs is a $100 billion per year business; the economic and social costs to our society are far higher.</w:t>
      </w:r>
    </w:p>
    <w:p w:rsidR="00A31137" w:rsidRPr="00A31137" w:rsidRDefault="00A31137" w:rsidP="00A31137">
      <w:r w:rsidRPr="00A31137">
        <w:t>1984 Democratic Platform, p.35</w:t>
      </w:r>
    </w:p>
    <w:p w:rsidR="00A31137" w:rsidRPr="00A31137" w:rsidRDefault="00A31137" w:rsidP="00A31137">
      <w:r w:rsidRPr="00A31137">
        <w:t>Today, in our country, there are 25 million regular abusers of marijuana, close to 12 million abusers of cocaine, and half a million heroin addicts. Since 1979, hospital emergency room incidents—including deaths—related to cocaine have soared 300 percent; incidents related to heroin have climbed 80 percent. According to the 1983 National High School Survey on Drug Abuse, 63 percent of high school seniors have tried an illicit drug, and 40 percent have tried a drug other than marijuana. Alcohol abuse is also a serious problem which must be faced.</w:t>
      </w:r>
    </w:p>
    <w:p w:rsidR="00A31137" w:rsidRPr="00A31137" w:rsidRDefault="00A31137" w:rsidP="00A31137">
      <w:r w:rsidRPr="00A31137">
        <w:t>1984 Democratic Platform, p.35</w:t>
      </w:r>
    </w:p>
    <w:p w:rsidR="00A31137" w:rsidRPr="00A31137" w:rsidRDefault="00A31137" w:rsidP="00A31137">
      <w:r w:rsidRPr="00A31137">
        <w:t>—For this reason, the Democratic Party believes it is essential to make narcotics control a high priority on the national agenda, and a major consideration in our dealings with producer and transshipment countries, particularly if they are recipients of U.S. assistance.</w:t>
      </w:r>
    </w:p>
    <w:p w:rsidR="00A31137" w:rsidRPr="00A31137" w:rsidRDefault="00A31137" w:rsidP="00A31137">
      <w:r w:rsidRPr="00A31137">
        <w:t>1984 Democratic Platform, p.35</w:t>
      </w:r>
    </w:p>
    <w:p w:rsidR="00A31137" w:rsidRPr="00A31137" w:rsidRDefault="00A31137" w:rsidP="00A31137">
      <w:r w:rsidRPr="00A31137">
        <w:t>—At the national level, the effort must begin by introducing a comprehensive management plan to eliminate overlap and friction between the 113 different federal agencies with responsibilities for fighting crime, particularly with respect to the control of drug traffic. We must provide the necessary resources to federal agencies and departments with responsibility for the fight against drugs.</w:t>
      </w:r>
    </w:p>
    <w:p w:rsidR="00A31137" w:rsidRPr="00A31137" w:rsidRDefault="00A31137" w:rsidP="00A31137">
      <w:r w:rsidRPr="00A31137">
        <w:t>1984 Democratic Platform, p.35</w:t>
      </w:r>
    </w:p>
    <w:p w:rsidR="00A31137" w:rsidRPr="00A31137" w:rsidRDefault="00A31137" w:rsidP="00A31137">
      <w:r w:rsidRPr="00A31137">
        <w:t>—To spur local law enforcement efforts, establishment of an independent criminal justice corporation should be considered. This corporation could serve as a means of encouraging community-based efforts, such as neighborhood citizen watches, alternative deployment patterns for police, and community service sentencing programs, which have proven effectiveness.</w:t>
      </w:r>
    </w:p>
    <w:p w:rsidR="00A31137" w:rsidRPr="00A31137" w:rsidRDefault="00A31137" w:rsidP="00A31137">
      <w:r w:rsidRPr="00A31137">
        <w:t>1984 Democratic Platform, p.35</w:t>
      </w:r>
    </w:p>
    <w:p w:rsidR="00A31137" w:rsidRPr="00A31137" w:rsidRDefault="00A31137" w:rsidP="00A31137">
      <w:r w:rsidRPr="00A31137">
        <w:t>—Violent acts of bigotry, hatred and extremism aimed at women, racial, ethnic and religious minorities, and gay men and lesbians have become an alarmingly common phenomenon. A Democratic Administration will work vigorously to address, document, and end all such violence.</w:t>
      </w:r>
    </w:p>
    <w:p w:rsidR="00A31137" w:rsidRPr="00A31137" w:rsidRDefault="00A31137" w:rsidP="00A31137">
      <w:r w:rsidRPr="00A31137">
        <w:t>1984 Democratic Platform, p.35</w:t>
      </w:r>
    </w:p>
    <w:p w:rsidR="00A31137" w:rsidRPr="00A31137" w:rsidRDefault="00A31137" w:rsidP="00A31137">
      <w:r w:rsidRPr="00A31137">
        <w:t>—We believe that victims of crime deserve a workable program of compensation. We call for sentencing reforms that routinely include monetary or other forms of restitution to victims. The Federal government should ensure that victims of violent federal crime receive compensation. We need to establish a federal victim compensation fund, to be financed, in part, by fines and the proceeds from the sale of goods forfeited to the government.</w:t>
      </w:r>
    </w:p>
    <w:p w:rsidR="00A31137" w:rsidRPr="00A31137" w:rsidRDefault="00A31137" w:rsidP="00A31137">
      <w:r w:rsidRPr="00A31137">
        <w:t>1984 Democratic Platform, p.35</w:t>
      </w:r>
    </w:p>
    <w:p w:rsidR="00A31137" w:rsidRPr="00A31137" w:rsidRDefault="00A31137" w:rsidP="00A31137">
      <w:r w:rsidRPr="00A31137">
        <w:t>—We support tough restraints on the manufacture, transportation, and sale of snub-nosed handguns, which have no legitimate sporting use and are used in a high proportion of violent crimes.</w:t>
      </w:r>
    </w:p>
    <w:p w:rsidR="00A31137" w:rsidRPr="00A31137" w:rsidRDefault="00A31137" w:rsidP="00A31137">
      <w:r w:rsidRPr="00A31137">
        <w:t>1984 Democratic Platform, p.35</w:t>
      </w:r>
    </w:p>
    <w:p w:rsidR="00A31137" w:rsidRPr="00A31137" w:rsidRDefault="00A31137" w:rsidP="00A31137">
      <w:r w:rsidRPr="00A31137">
        <w:t>—We will establish a strong federal-state partnership to push for further progress in the nationwide expansion of comprehensive, community-based anti-drunk driving programs. With the support of citizens, private-sector business and government at all levels; we will institutionalize fatality and injury reduction on the nation's highways.</w:t>
      </w:r>
    </w:p>
    <w:p w:rsidR="00A31137" w:rsidRPr="00A31137" w:rsidRDefault="00A31137" w:rsidP="00A31137">
      <w:r w:rsidRPr="00A31137">
        <w:t>1984 Democratic Platform, p.35</w:t>
      </w:r>
    </w:p>
    <w:p w:rsidR="00A31137" w:rsidRPr="00A31137" w:rsidRDefault="00A31137" w:rsidP="00A31137">
      <w:r w:rsidRPr="00A31137">
        <w:t>—We support fundamental reform of the sentencing process so that offenders who commit similar crimes receive similar penalties. Reform should begin with the establishment of appropriately drafted sentencing guidelines, and judges deviating from such guidelines should be required to provide written reasons for doing so.</w:t>
      </w:r>
    </w:p>
    <w:p w:rsidR="00A31137" w:rsidRPr="00A31137" w:rsidRDefault="00A31137" w:rsidP="00A31137">
      <w:r w:rsidRPr="00A31137">
        <w:t>1984 Democratic Platform, p.35</w:t>
      </w:r>
    </w:p>
    <w:p w:rsidR="00A31137" w:rsidRPr="00A31137" w:rsidRDefault="00A31137" w:rsidP="00A31137">
      <w:r w:rsidRPr="00A31137">
        <w:t>—Finally, we believe that the credibility of our criminal courts must be restored. Our courts should not be attacked for failing to eliminate the major social problem of crime—courts of justice were not designed, and were never intended, to do that. A Democratic Administration will encourage experimentation with alternative dispute-resolution mechanisms, diversion programs for first and nonviolent offenders, and other devices to eliminate the congestion in our courts and restore to them an atmosphere in which they can perform their intended job: doing real individualized justice, in an orderly way.[p.36]</w:t>
      </w:r>
    </w:p>
    <w:p w:rsidR="00A31137" w:rsidRPr="00A31137" w:rsidRDefault="00A31137" w:rsidP="00A31137">
      <w:r w:rsidRPr="00A31137">
        <w:t xml:space="preserve"> Chapter III:Peace, Security, and Freedom</w:t>
      </w:r>
    </w:p>
    <w:p w:rsidR="00A31137" w:rsidRPr="00A31137" w:rsidRDefault="00A31137" w:rsidP="00A31137">
      <w:r w:rsidRPr="00A31137">
        <w:t>Introduction</w:t>
      </w:r>
    </w:p>
    <w:p w:rsidR="00A31137" w:rsidRPr="00A31137" w:rsidRDefault="00A31137" w:rsidP="00A31137">
      <w:r w:rsidRPr="00A31137">
        <w:t>1984 Democratic Platform, p.36</w:t>
      </w:r>
    </w:p>
    <w:p w:rsidR="00A31137" w:rsidRPr="00A31137" w:rsidRDefault="00A31137" w:rsidP="00A31137">
      <w:r w:rsidRPr="00A31137">
        <w:t>Building a safer future for our nations and the world: that is the Democratic agenda for our national security. Every responsibility before our nation, every task that we set, pales beside the most important challenge we face—providing new leadership that enhances our security, promotes our values, and works for peace.</w:t>
      </w:r>
    </w:p>
    <w:p w:rsidR="00A31137" w:rsidRPr="00A31137" w:rsidRDefault="00A31137" w:rsidP="00A31137">
      <w:r w:rsidRPr="00A31137">
        <w:t>1984 Democratic Platform, p.36</w:t>
      </w:r>
    </w:p>
    <w:p w:rsidR="00A31137" w:rsidRPr="00A31137" w:rsidRDefault="00A31137" w:rsidP="00A31137">
      <w:r w:rsidRPr="00A31137">
        <w:t>The next American President will preside over a period of historic change in the international system. The relatively stable world order that has prevailed since World War II is bursting at the seams from the powerful forces of change —the proliferation of nuclear and conventional weapons, the relentless Soviet military buildup, the achievement of rough nuclear parity between the Soviet Union and the United States, the increasingly interdependent nature of the international economic order, the recovery and rise of European and Asian powers since the devastation of the Second World War, and the search for a new America political consensus in the wake of Vietnam and Lebanon and in the shadow of a regional crisis in Central America.</w:t>
      </w:r>
    </w:p>
    <w:p w:rsidR="00A31137" w:rsidRPr="00A31137" w:rsidRDefault="00A31137" w:rsidP="00A31137">
      <w:r w:rsidRPr="00A31137">
        <w:t>1984 Democratic Platform, p.36</w:t>
      </w:r>
    </w:p>
    <w:p w:rsidR="00A31137" w:rsidRPr="00A31137" w:rsidRDefault="00A31137" w:rsidP="00A31137">
      <w:r w:rsidRPr="00A31137">
        <w:t>The greatest foreign policy imperative of the Democratic Party and of the next President is to learn from past mistakes and adapt to these changes, rather than to foist or ignore them. While not underestimating the Soviet threat, we can no longer afford simplistically to blame all of our troubles on a single "focus of evil," for the sources of international change run even deeper than the sources of superpower competition. We must see change as an opportunity as well as a challenge. In the 1980's and beyond, America must not only make the world safe for diversity; we must learn to thrive on diversity.</w:t>
      </w:r>
    </w:p>
    <w:p w:rsidR="00A31137" w:rsidRPr="00A31137" w:rsidRDefault="00A31137" w:rsidP="00A31137">
      <w:r w:rsidRPr="00A31137">
        <w:t>1984 Democratic Platform, p.36</w:t>
      </w:r>
    </w:p>
    <w:p w:rsidR="00A31137" w:rsidRPr="00A31137" w:rsidRDefault="00A31137" w:rsidP="00A31137">
      <w:r w:rsidRPr="00A31137">
        <w:t>The Domestic Party believes that it is time to harness the full range of America's capacity to meet the challenges of a changing world. We reject the notion that America is beset by forces beyond its control. Our commitment to freedom and democracy, our willingness to listen to contrasting viewpoints, and our ingenuity at devising new ideas and arrangements have given us advantages in an increasingly diverse world that no totalitarian system can match.</w:t>
      </w:r>
    </w:p>
    <w:p w:rsidR="00A31137" w:rsidRPr="00A31137" w:rsidRDefault="00A31137" w:rsidP="00A31137">
      <w:r w:rsidRPr="00A31137">
        <w:t>1984 Democratic Platform, p.36</w:t>
      </w:r>
    </w:p>
    <w:p w:rsidR="00A31137" w:rsidRPr="00A31137" w:rsidRDefault="00A31137" w:rsidP="00A31137">
      <w:r w:rsidRPr="00A31137">
        <w:t>The Democratic Party has a constructive and confident vision of America's ability to use all of our economic, political, and military resources to pursue our wide-ranging security and economic interests in a diverse and changing world. We believe in a responsible defense policy that will increase our national security. We believe in a foreign policy that respects our allies, builds democracy, and advances the cause of human rights. We believe that our economic future lies in our ability to rise to the challenge of international economic competition by making our own industries more competitive. Above all, we believe that our security requires the direct, personal involvement of the President of the United States to limit the Soviet military threat and to reduce the danger of nuclear war.</w:t>
      </w:r>
    </w:p>
    <w:p w:rsidR="00A31137" w:rsidRPr="00A31137" w:rsidRDefault="00A31137" w:rsidP="00A31137">
      <w:r w:rsidRPr="00A31137">
        <w:t>1984 Democratic Platform, p.36</w:t>
      </w:r>
    </w:p>
    <w:p w:rsidR="00A31137" w:rsidRPr="00A31137" w:rsidRDefault="00A31137" w:rsidP="00A31137">
      <w:r w:rsidRPr="00A31137">
        <w:t>We have no illusions about the forces arrayed against the democratic cause in our time. In the year made famous by George Orwell, we can see the realization of many of his grimmest prophecies in the totalitarian Soviet state, which has amassed an arsenal of weapons far beyond its defensive needs. In the communist and non-communist world, we find tyrannical regimes that trample on human rights and repress their people's cry for economic justice.</w:t>
      </w:r>
    </w:p>
    <w:p w:rsidR="00A31137" w:rsidRPr="00A31137" w:rsidRDefault="00A31137" w:rsidP="00A31137">
      <w:r w:rsidRPr="00A31137">
        <w:t>1984 Democratic Platform, p.36</w:t>
      </w:r>
    </w:p>
    <w:p w:rsidR="00A31137" w:rsidRPr="00A31137" w:rsidRDefault="00A31137" w:rsidP="00A31137">
      <w:r w:rsidRPr="00A31137">
        <w:t>The Reagan Administration points to Soviet repression—but has no answer other than to escalate the arms race. It downgrades repression in the noncommunist world, by drawing useless distinctions between "totalitarian" and "authoritarian" regimes.</w:t>
      </w:r>
    </w:p>
    <w:p w:rsidR="00A31137" w:rsidRPr="00A31137" w:rsidRDefault="00A31137" w:rsidP="00A31137">
      <w:r w:rsidRPr="00A31137">
        <w:t>1984 Democratic Platform, p.36</w:t>
      </w:r>
    </w:p>
    <w:p w:rsidR="00A31137" w:rsidRPr="00A31137" w:rsidRDefault="00A31137" w:rsidP="00A31137">
      <w:r w:rsidRPr="00A31137">
        <w:t>The Democratic Party understands the challenge posed by the enemies of democracy. Unlike the Reagan Administration, however, we are prepared to work constructively to reduce tensions and make genuine progress toward a safer world.</w:t>
      </w:r>
    </w:p>
    <w:p w:rsidR="00A31137" w:rsidRPr="00A31137" w:rsidRDefault="00A31137" w:rsidP="00A31137">
      <w:r w:rsidRPr="00A31137">
        <w:t>1984 Democratic Platform, p.36</w:t>
      </w:r>
    </w:p>
    <w:p w:rsidR="00A31137" w:rsidRPr="00A31137" w:rsidRDefault="00A31137" w:rsidP="00A31137">
      <w:r w:rsidRPr="00A31137">
        <w:t>The Democratic Party is confident that American ideals and American interests reinforce each other in our foreign policy; the promotion of democracy and human rights not only distinguishes us from our adversaries, but it also builds the long-term stability that comes when governments respect their people. We look forward to the 21st Century as a century of democratic solidarity where security, freedom, and peace will flourish.</w:t>
      </w:r>
    </w:p>
    <w:p w:rsidR="00A31137" w:rsidRPr="00A31137" w:rsidRDefault="00A31137" w:rsidP="00A31137">
      <w:r w:rsidRPr="00A31137">
        <w:t>1984 Democratic Platform, p.36</w:t>
      </w:r>
    </w:p>
    <w:p w:rsidR="00A31137" w:rsidRPr="00A31137" w:rsidRDefault="00A31137" w:rsidP="00A31137">
      <w:r w:rsidRPr="00A31137">
        <w:t>Peace, freedom and security are the essence of America's dream. They are the future of our children and their children.</w:t>
      </w:r>
    </w:p>
    <w:p w:rsidR="00A31137" w:rsidRPr="00A31137" w:rsidRDefault="00A31137" w:rsidP="00A31137">
      <w:r w:rsidRPr="00A31137">
        <w:t>1984 Democratic Platform, p.36</w:t>
      </w:r>
    </w:p>
    <w:p w:rsidR="00A31137" w:rsidRPr="00A31137" w:rsidRDefault="00A31137" w:rsidP="00A31137">
      <w:r w:rsidRPr="00A31137">
        <w:t>This is the test where failure could provide no opportunity to try once more. As President Kennedy once warned: "We have the power to make this the best generation of mankind in the history of the world—or to make it the last."</w:t>
      </w:r>
    </w:p>
    <w:p w:rsidR="00A31137" w:rsidRPr="00A31137" w:rsidRDefault="00A31137" w:rsidP="00A31137">
      <w:r w:rsidRPr="00A31137">
        <w:t>The Future If Reagan Is Reelected</w:t>
      </w:r>
    </w:p>
    <w:p w:rsidR="00A31137" w:rsidRPr="00A31137" w:rsidRDefault="00A31137" w:rsidP="00A31137">
      <w:r w:rsidRPr="00A31137">
        <w:t>1984 Democratic Platform, p.36</w:t>
      </w:r>
    </w:p>
    <w:p w:rsidR="00A31137" w:rsidRPr="00A31137" w:rsidRDefault="00A31137" w:rsidP="00A31137">
      <w:r w:rsidRPr="00A31137">
        <w:t>"Star Wars is not the path towards a less dangerous world. A direct and safe road exists: equitable and verifiable deep cuts in strategic offensive forces. We must abandon the illusion that ever more [p.37] sophisticated technology can remove the perils that science and technology have created."</w:t>
      </w:r>
    </w:p>
    <w:p w:rsidR="00A31137" w:rsidRPr="00A31137" w:rsidRDefault="00A31137" w:rsidP="00A31137">
      <w:r w:rsidRPr="00A31137">
        <w:t>1984 Democratic Platform, p.37</w:t>
      </w:r>
    </w:p>
    <w:p w:rsidR="00A31137" w:rsidRPr="00A31137" w:rsidRDefault="00A31137" w:rsidP="00A31137">
      <w:r w:rsidRPr="00A31137">
        <w:t>Statement by Dr Jerome B. Wiesner, Dr. Carl Sagan, Dr. Henry Kendall, and Admiral Noel Gayler (Democratic Platform Committee Hearing, Washington, D.C., June 12, 1984)</w:t>
      </w:r>
    </w:p>
    <w:p w:rsidR="00A31137" w:rsidRPr="00A31137" w:rsidRDefault="00A31137" w:rsidP="00A31137">
      <w:r w:rsidRPr="00A31137">
        <w:t>1984 Democratic Platform, p.37</w:t>
      </w:r>
    </w:p>
    <w:p w:rsidR="00A31137" w:rsidRPr="00A31137" w:rsidRDefault="00A31137" w:rsidP="00A31137">
      <w:r w:rsidRPr="00A31137">
        <w:t>"The minister of the apartheid government recently boasted of the fruitful relationship between Pretoria and Washington since the advent of the Reagan regime. Now apartheid South Africa has acquired the military muscle to bomb, to maim, to kill men, women, and children, and to bully these states into negotiating with apartheid through the threat of increased military action. This may be hailed as a victory for apartheid and for the Reagan Administration, but in truth it can only create anger and contempt in the African people."</w:t>
      </w:r>
    </w:p>
    <w:p w:rsidR="00A31137" w:rsidRPr="00A31137" w:rsidRDefault="00A31137" w:rsidP="00A31137">
      <w:r w:rsidRPr="00A31137">
        <w:t>1984 Democratic Platform, p.37</w:t>
      </w:r>
    </w:p>
    <w:p w:rsidR="00A31137" w:rsidRPr="00A31137" w:rsidRDefault="00A31137" w:rsidP="00A31137">
      <w:r w:rsidRPr="00A31137">
        <w:t>Professor Dennis Brutus, Northwestern University (former political prisoner in South Africa) (Democratic Platform Committee Hearing, New York, New York. April 9, 1984)</w:t>
      </w:r>
    </w:p>
    <w:p w:rsidR="00A31137" w:rsidRPr="00A31137" w:rsidRDefault="00A31137" w:rsidP="00A31137">
      <w:r w:rsidRPr="00A31137">
        <w:t>1984 Democratic Platform, p.37</w:t>
      </w:r>
    </w:p>
    <w:p w:rsidR="00A31137" w:rsidRPr="00A31137" w:rsidRDefault="00A31137" w:rsidP="00A31137">
      <w:r w:rsidRPr="00A31137">
        <w:t>Suppose Mr. Reagan is reelected. How would he deal with the serious threats that face us and our children?</w:t>
      </w:r>
    </w:p>
    <w:p w:rsidR="00A31137" w:rsidRPr="00A31137" w:rsidRDefault="00A31137" w:rsidP="00A31137">
      <w:r w:rsidRPr="00A31137">
        <w:t>1984 Democratic Platform, p.37</w:t>
      </w:r>
    </w:p>
    <w:p w:rsidR="00A31137" w:rsidRPr="00A31137" w:rsidRDefault="00A31137" w:rsidP="00A31137">
      <w:r w:rsidRPr="00A31137">
        <w:t>Under Mr. Reagan, the nuclear arms race would continue to spiral out of control. A new generation of destabilizing missiles will imperil all humanity. We will live in a world where the nuclear arms race has spread from earth into space.</w:t>
      </w:r>
    </w:p>
    <w:p w:rsidR="00A31137" w:rsidRPr="00A31137" w:rsidRDefault="00A31137" w:rsidP="00A31137">
      <w:r w:rsidRPr="00A31137">
        <w:t>1984 Democratic Platform, p.37</w:t>
      </w:r>
    </w:p>
    <w:p w:rsidR="00A31137" w:rsidRPr="00A31137" w:rsidRDefault="00A31137" w:rsidP="00A31137">
      <w:r w:rsidRPr="00A31137">
        <w:t>Under Mr. Reason, we would continue to over-emphasize destabilizing and redundant nuclear weapons programs at the expense of our conventional forces. We will spend billions for weapons that do not work. We will continue to ignore proposals to improve defense management, to get a dollar's worth for each dollar spent, and to make our military more combat-effective and our weapons more cost-effective.</w:t>
      </w:r>
    </w:p>
    <w:p w:rsidR="00A31137" w:rsidRPr="00A31137" w:rsidRDefault="00A31137" w:rsidP="00A31137">
      <w:r w:rsidRPr="00A31137">
        <w:t>1984 Democratic Platform, p.37</w:t>
      </w:r>
    </w:p>
    <w:p w:rsidR="00A31137" w:rsidRPr="00A31137" w:rsidRDefault="00A31137" w:rsidP="00A31137">
      <w:r w:rsidRPr="00A31137">
        <w:t>Under Mr. Reagan, regional conflicts would continue to be dangerously mismanaged. Young Americans may be sent to fight and die needlessly. The spread of nuclear materials to new nations and the spread of sophisticated conventional weapons to virtually every nation on earth will continue unabated.</w:t>
      </w:r>
    </w:p>
    <w:p w:rsidR="00A31137" w:rsidRPr="00A31137" w:rsidRDefault="00A31137" w:rsidP="00A31137">
      <w:r w:rsidRPr="00A31137">
        <w:t>1984 Democratic Platform, p.37</w:t>
      </w:r>
    </w:p>
    <w:p w:rsidR="00A31137" w:rsidRPr="00A31137" w:rsidRDefault="00A31137" w:rsidP="00A31137">
      <w:r w:rsidRPr="00A31137">
        <w:t>Can America afford a President so out of touch with reality that he tells us, "I think the world is safer and further removed from a possible war than it was several years ago"?</w:t>
      </w:r>
    </w:p>
    <w:p w:rsidR="00A31137" w:rsidRPr="00A31137" w:rsidRDefault="00A31137" w:rsidP="00A31137">
      <w:r w:rsidRPr="00A31137">
        <w:t>1984 Democratic Platform, p.37</w:t>
      </w:r>
    </w:p>
    <w:p w:rsidR="00A31137" w:rsidRPr="00A31137" w:rsidRDefault="00A31137" w:rsidP="00A31137">
      <w:r w:rsidRPr="00A31137">
        <w:t>Can America afford the recklessness of a President who exposed American Marines to mortal danger and sacrificed over 260 of them in a bungled mission in Lebanon against the advice of the Joint Chiefs of Staff, and brought upon us the worst U.S. military disaster since the Vietnam War?</w:t>
      </w:r>
    </w:p>
    <w:p w:rsidR="00A31137" w:rsidRPr="00A31137" w:rsidRDefault="00A31137" w:rsidP="00A31137">
      <w:r w:rsidRPr="00A31137">
        <w:t>1984 Democratic Platform, p.37</w:t>
      </w:r>
    </w:p>
    <w:p w:rsidR="00A31137" w:rsidRPr="00A31137" w:rsidRDefault="00A31137" w:rsidP="00A31137">
      <w:r w:rsidRPr="00A31137">
        <w:t>Can America afford the irresponsibility of a President who undermines confidence in our deterrent with misleading allegations of Soviet nuclear "superiority" and whose Administration beguiles the American public with false claims that nuclear war can be survived with enough shovels?</w:t>
      </w:r>
    </w:p>
    <w:p w:rsidR="00A31137" w:rsidRPr="00A31137" w:rsidRDefault="00A31137" w:rsidP="00A31137">
      <w:r w:rsidRPr="00A31137">
        <w:t>1984 Democratic Platform, p.37</w:t>
      </w:r>
    </w:p>
    <w:p w:rsidR="00A31137" w:rsidRPr="00A31137" w:rsidRDefault="00A31137" w:rsidP="00A31137">
      <w:r w:rsidRPr="00A31137">
        <w:t>Can America afford the unresponsiveness of a President who thwarts the will of the majority of Americans by waging a secret war against Nicaragua?</w:t>
      </w:r>
    </w:p>
    <w:p w:rsidR="00A31137" w:rsidRPr="00A31137" w:rsidRDefault="00A31137" w:rsidP="00A31137">
      <w:r w:rsidRPr="00A31137">
        <w:t>1984 Democratic Platform, p.37</w:t>
      </w:r>
    </w:p>
    <w:p w:rsidR="00A31137" w:rsidRPr="00A31137" w:rsidRDefault="00A31137" w:rsidP="00A31137">
      <w:r w:rsidRPr="00A31137">
        <w:t>In a second Reagan term, will our heavens become a nuclear battleground?</w:t>
      </w:r>
    </w:p>
    <w:p w:rsidR="00A31137" w:rsidRPr="00A31137" w:rsidRDefault="00A31137" w:rsidP="00A31137">
      <w:r w:rsidRPr="00A31137">
        <w:t>1984 Democratic Platform, p.37</w:t>
      </w:r>
    </w:p>
    <w:p w:rsidR="00A31137" w:rsidRPr="00A31137" w:rsidRDefault="00A31137" w:rsidP="00A31137">
      <w:r w:rsidRPr="00A31137">
        <w:t>In 1980, candidate Ronald Reagan promised the American people a more secure world. Yet, as President:</w:t>
      </w:r>
    </w:p>
    <w:p w:rsidR="00A31137" w:rsidRPr="00A31137" w:rsidRDefault="00A31137" w:rsidP="00A31137">
      <w:r w:rsidRPr="00A31137">
        <w:t>1984 Democratic Platform, p.37</w:t>
      </w:r>
    </w:p>
    <w:p w:rsidR="00A31137" w:rsidRPr="00A31137" w:rsidRDefault="00A31137" w:rsidP="00A31137">
      <w:r w:rsidRPr="00A31137">
        <w:t>—He has raced to deploy new weapons that will be destabilizing and difficult to verify. He has pressed for a multi-billion dollar chemical weapons program. He has launched his trillion dollar "Slat Wars" arms race in space.</w:t>
      </w:r>
    </w:p>
    <w:p w:rsidR="00A31137" w:rsidRPr="00A31137" w:rsidRDefault="00A31137" w:rsidP="00A31137">
      <w:r w:rsidRPr="00A31137">
        <w:t>1984 Democratic Platform, p.37</w:t>
      </w:r>
    </w:p>
    <w:p w:rsidR="00A31137" w:rsidRPr="00A31137" w:rsidRDefault="00A31137" w:rsidP="00A31137">
      <w:r w:rsidRPr="00A31137">
        <w:t>—He has relaxed controls on nuclear proliferation, thus enhancing the risk that nuclear weapons will be acquired and used by unstable governments and international terrorists.</w:t>
      </w:r>
    </w:p>
    <w:p w:rsidR="00A31137" w:rsidRPr="00A31137" w:rsidRDefault="00A31137" w:rsidP="00A31137">
      <w:r w:rsidRPr="00A31137">
        <w:t>1984 Democratic Platform, p.37</w:t>
      </w:r>
    </w:p>
    <w:p w:rsidR="00A31137" w:rsidRPr="00A31137" w:rsidRDefault="00A31137" w:rsidP="00A31137">
      <w:r w:rsidRPr="00A31137">
        <w:t>—He has become the first President since the Cold War to preside over the complete collapse of air nuclear arms negotiations with the Soviets.</w:t>
      </w:r>
    </w:p>
    <w:p w:rsidR="00A31137" w:rsidRPr="00A31137" w:rsidRDefault="00A31137" w:rsidP="00A31137">
      <w:r w:rsidRPr="00A31137">
        <w:t>1984 Democratic Platform, p.37</w:t>
      </w:r>
    </w:p>
    <w:p w:rsidR="00A31137" w:rsidRPr="00A31137" w:rsidRDefault="00A31137" w:rsidP="00A31137">
      <w:r w:rsidRPr="00A31137">
        <w:t>—He has rejected SALT II, threatened the ABM Treaty, and abandoned the goal of a complete ban on nuclear weapons tests that that has been pursued by every President since Eisenhower. He has refused to seek negotiations to limit anti-satellite weapons that could threaten our vital early-warning and military satellites. Over 250 strategic missiles and bombers that would have been eliminated under SALT II are still in Soviet hands.</w:t>
      </w:r>
    </w:p>
    <w:p w:rsidR="00A31137" w:rsidRPr="00A31137" w:rsidRDefault="00A31137" w:rsidP="00A31137">
      <w:r w:rsidRPr="00A31137">
        <w:t>1984 Democratic Platform, p.37</w:t>
      </w:r>
    </w:p>
    <w:p w:rsidR="00A31137" w:rsidRPr="00A31137" w:rsidRDefault="00A31137" w:rsidP="00A31137">
      <w:r w:rsidRPr="00A31137">
        <w:t>Con we afford four more years of a Pentagon spending binge?</w:t>
      </w:r>
    </w:p>
    <w:p w:rsidR="00A31137" w:rsidRPr="00A31137" w:rsidRDefault="00A31137" w:rsidP="00A31137">
      <w:r w:rsidRPr="00A31137">
        <w:t>1984 Democratic Platform, p.37</w:t>
      </w:r>
    </w:p>
    <w:p w:rsidR="00A31137" w:rsidRPr="00A31137" w:rsidRDefault="00A31137" w:rsidP="00A31137">
      <w:r w:rsidRPr="00A31137">
        <w:t xml:space="preserve">In 1980, candidate Ronald Reagan and the Republican Party promised the American people a defense spending increase "to be applied judiciously to critically needed programs." Yet as President: </w:t>
      </w:r>
    </w:p>
    <w:p w:rsidR="00A31137" w:rsidRPr="00A31137" w:rsidRDefault="00A31137" w:rsidP="00A31137">
      <w:r w:rsidRPr="00A31137">
        <w:t>1984 Democratic Platform, p.37</w:t>
      </w:r>
    </w:p>
    <w:p w:rsidR="00A31137" w:rsidRPr="00A31137" w:rsidRDefault="00A31137" w:rsidP="00A31137">
      <w:r w:rsidRPr="00A31137">
        <w:t>—He has initiated the largest peacetime defense build-up in our history with no coherent plan for integrating the increased programs into an effective military posture.</w:t>
      </w:r>
    </w:p>
    <w:p w:rsidR="00A31137" w:rsidRPr="00A31137" w:rsidRDefault="00A31137" w:rsidP="00A31137">
      <w:r w:rsidRPr="00A31137">
        <w:t>1984 Democratic Platform, p.37</w:t>
      </w:r>
    </w:p>
    <w:p w:rsidR="00A31137" w:rsidRPr="00A31137" w:rsidRDefault="00A31137" w:rsidP="00A31137">
      <w:r w:rsidRPr="00A31137">
        <w:t>—He has slighted training and readiness of our conventional forces in favor of big ticket nuclear items, "preparing," in the words of General [p.38] Maxwell Taylor, "for the least possible threats to the neglect of the most probable."</w:t>
      </w:r>
    </w:p>
    <w:p w:rsidR="00A31137" w:rsidRPr="00A31137" w:rsidRDefault="00A31137" w:rsidP="00A31137">
      <w:r w:rsidRPr="00A31137">
        <w:t>1984 Democratic Platform, p.38</w:t>
      </w:r>
    </w:p>
    <w:p w:rsidR="00A31137" w:rsidRPr="00A31137" w:rsidRDefault="00A31137" w:rsidP="00A31137">
      <w:r w:rsidRPr="00A31137">
        <w:t>—He has brought us the worst-managed and most wasteful Defense Department in history. Under the Pentagon's wasteful purchasing system, the American taxpayer has paid $435 for a $17 claw hammer, $1100 for a 22-cent plastic steel cap, over $2000 for a 13-cent plain round nut, and $9600 for a 12-cent Allen wrench.</w:t>
      </w:r>
    </w:p>
    <w:p w:rsidR="00A31137" w:rsidRPr="00A31137" w:rsidRDefault="00A31137" w:rsidP="00A31137">
      <w:r w:rsidRPr="00A31137">
        <w:t>1984 Democratic Platform, p.38</w:t>
      </w:r>
    </w:p>
    <w:p w:rsidR="00A31137" w:rsidRPr="00A31137" w:rsidRDefault="00A31137" w:rsidP="00A31137">
      <w:r w:rsidRPr="00A31137">
        <w:t>Can we afford four more years of dangerous foreign policy failures?</w:t>
      </w:r>
    </w:p>
    <w:p w:rsidR="00A31137" w:rsidRPr="00A31137" w:rsidRDefault="00A31137" w:rsidP="00A31137">
      <w:r w:rsidRPr="00A31137">
        <w:t>1984 Democratic Platform, p.38</w:t>
      </w:r>
    </w:p>
    <w:p w:rsidR="00A31137" w:rsidRPr="00A31137" w:rsidRDefault="00A31137" w:rsidP="00A31137">
      <w:r w:rsidRPr="00A31137">
        <w:t>In 1980, candidate Ronald Reagan and the Republican Party promised "to put America on a sound, secure footing in the international arena." Yet, as President:</w:t>
      </w:r>
    </w:p>
    <w:p w:rsidR="00A31137" w:rsidRPr="00A31137" w:rsidRDefault="00A31137" w:rsidP="00A31137">
      <w:r w:rsidRPr="00A31137">
        <w:t>1984 Democratic Platform, p.38</w:t>
      </w:r>
    </w:p>
    <w:p w:rsidR="00A31137" w:rsidRPr="00A31137" w:rsidRDefault="00A31137" w:rsidP="00A31137">
      <w:r w:rsidRPr="00A31137">
        <w:t>—He has contributed to the decline of U.S.-Soviet relations to a perilous point. Instead of challenges, he has used easy and abusive anti-Soviet rhetoric as a substitute for strength, progress, and careful use of power.</w:t>
      </w:r>
    </w:p>
    <w:p w:rsidR="00A31137" w:rsidRPr="00A31137" w:rsidRDefault="00A31137" w:rsidP="00A31137">
      <w:r w:rsidRPr="00A31137">
        <w:t>1984 Democratic Platform, p.38</w:t>
      </w:r>
    </w:p>
    <w:p w:rsidR="00A31137" w:rsidRPr="00A31137" w:rsidRDefault="00A31137" w:rsidP="00A31137">
      <w:r w:rsidRPr="00A31137">
        <w:t>—He has strained vital U.S. alliances through his bungled efforts to stop the Soviet natural gas pipeline, his inflammatory nuclear rhetoric and policies, and his failure to support the efforts of our democratic allies to achieve a negotiated political solution in Central America.</w:t>
      </w:r>
    </w:p>
    <w:p w:rsidR="00A31137" w:rsidRPr="00A31137" w:rsidRDefault="00A31137" w:rsidP="00A31137">
      <w:r w:rsidRPr="00A31137">
        <w:t>1984 Democratic Platform, p.38</w:t>
      </w:r>
    </w:p>
    <w:p w:rsidR="00A31137" w:rsidRPr="00A31137" w:rsidRDefault="00A31137" w:rsidP="00A31137">
      <w:r w:rsidRPr="00A31137">
        <w:t>—He has had as many Middle East policies as he has had staff turnovers. First, he offered strategic cooperation to Israel as if it were a gift. Then he took it away to punish Israel as if it were not our ally. Then he pressured Israel to make one-sided concessions to Jordan. Then he demanded that Israel withdraw from Lebanon. Then he pleaded with them to stay. Then he did not accept their offer of medical help for our wounded Marines. He undercut American credibility throughout the Middle East by declaring Lebanon a vital interest of the United States and then withdrawing.</w:t>
      </w:r>
    </w:p>
    <w:p w:rsidR="00A31137" w:rsidRPr="00A31137" w:rsidRDefault="00A31137" w:rsidP="00A31137">
      <w:r w:rsidRPr="00A31137">
        <w:t>1984 Democratic Platform, p.38</w:t>
      </w:r>
    </w:p>
    <w:p w:rsidR="00A31137" w:rsidRPr="00A31137" w:rsidRDefault="00A31137" w:rsidP="00A31137">
      <w:r w:rsidRPr="00A31137">
        <w:t xml:space="preserve">—He has failed to understand the importance for the United States of a solid relationship with the African continent—not only from the perspective of human decency, but also from enlightened concern for our own self-interest. By his lack of sensitivity and foresight, he has ignored the fate of millions of people who need our help in developing their economies and in dealing with the ravages of drought, and he has jeopardized our relations with counties that are important to U.S. security and well-being. </w:t>
      </w:r>
    </w:p>
    <w:p w:rsidR="00A31137" w:rsidRPr="00A31137" w:rsidRDefault="00A31137" w:rsidP="00A31137">
      <w:r w:rsidRPr="00A31137">
        <w:t>1984 Democratic Platform, p.38</w:t>
      </w:r>
    </w:p>
    <w:p w:rsidR="00A31137" w:rsidRPr="00A31137" w:rsidRDefault="00A31137" w:rsidP="00A31137">
      <w:r w:rsidRPr="00A31137">
        <w:t xml:space="preserve">—He has brought us a strategy in Central America and the Caribbean that has failed. Since he took office, the region has become much more unstable; the hemisphere is much more hostile to us; and the poverty is much deeper. Today in El Salvador, after more than a billion dollars in American aid, the guerillas are stronger than they were three years ago, and the people are much poorer. In Nicaragua, our support for the contras and for the covert war has strengthened the totalitarians at the expense of the moderates. In Honduras, an emerging democracy has been transformed into a staging ground for possible regional war. And in Cost Rica our backing for rebels based there is in danger of dragging that peaceful democracy into a military confrontation with Nicaragua. In Grenada, Mr. Reagan renounced diplomacy for over two years, encouraging extremism, instability, and crisis. By his failure to avoid military intervention, he divided us from our European allies and alienated our friends throughout the Western hemisphere. And by excluding the press, he set a chilling precedent, greatly hampering public scrutiny of his policies. After three and one-half years of Mr. Reagan's tunnel vision, extremism is stronger, our democratic friends are weaker, and we are further than ever from achieving peace and security in the region. </w:t>
      </w:r>
    </w:p>
    <w:p w:rsidR="00A31137" w:rsidRPr="00A31137" w:rsidRDefault="00A31137" w:rsidP="00A31137">
      <w:r w:rsidRPr="00A31137">
        <w:t>1984 Democratic Platform, p.38</w:t>
      </w:r>
    </w:p>
    <w:p w:rsidR="00A31137" w:rsidRPr="00A31137" w:rsidRDefault="00A31137" w:rsidP="00A31137">
      <w:r w:rsidRPr="00A31137">
        <w:t xml:space="preserve">—He is the first President to fail to support publicly the ratification of the Genocide Convention. His Vice President has praised the Philippine dictator for his "love of democracy," his first Secretary of State announced that human rights would be replaced as a foreign policy priority, and his first nominee for Assistant Secretary of State for Human Rights was rejected by the U.S. Senate as unfit for that post. He has closely identified the United States with the apartheid regime in South Africa, and he has time and again failed to confront dictators around the globe. </w:t>
      </w:r>
    </w:p>
    <w:p w:rsidR="00A31137" w:rsidRPr="00A31137" w:rsidRDefault="00A31137" w:rsidP="00A31137">
      <w:r w:rsidRPr="00A31137">
        <w:t>1984 Democratic Platform, p.38</w:t>
      </w:r>
    </w:p>
    <w:p w:rsidR="00A31137" w:rsidRPr="00A31137" w:rsidRDefault="00A31137" w:rsidP="00A31137">
      <w:r w:rsidRPr="00A31137">
        <w:t xml:space="preserve">This is an unprecedented record of failure. But President Reagan is content to make excuses for failure. </w:t>
      </w:r>
    </w:p>
    <w:p w:rsidR="00A31137" w:rsidRPr="00A31137" w:rsidRDefault="00A31137" w:rsidP="00A31137">
      <w:r w:rsidRPr="00A31137">
        <w:t>1984 Democratic Platform, p.38</w:t>
      </w:r>
    </w:p>
    <w:p w:rsidR="00A31137" w:rsidRPr="00A31137" w:rsidRDefault="00A31137" w:rsidP="00A31137">
      <w:r w:rsidRPr="00A31137">
        <w:t xml:space="preserve">President Reagan blames Congress and the Democratic Party. He rebukes Americans deeply and genuinely concerned about the threat of nuclear war. He rails at the Soviet Union—as if words alone, without strategy or effective policy, will make that nation change its course. </w:t>
      </w:r>
    </w:p>
    <w:p w:rsidR="00A31137" w:rsidRPr="00A31137" w:rsidRDefault="00A31137" w:rsidP="00A31137">
      <w:r w:rsidRPr="00A31137">
        <w:t>1984 Democratic Platform, p.38</w:t>
      </w:r>
    </w:p>
    <w:p w:rsidR="00A31137" w:rsidRPr="00A31137" w:rsidRDefault="00A31137" w:rsidP="00A31137">
      <w:r w:rsidRPr="00A31137">
        <w:t>It is time for Democrats and Americans to apply a tough standard to Ronald Reagan. Let us paraphrase the question he asked in 1980: Are we safer today [p.39] than we were three and a half years ago? Are we further from nuclear war? After more than a thousand days of Mr. Reagan, is the world anywhere less tense, anywhere closer to peace?</w:t>
      </w:r>
    </w:p>
    <w:p w:rsidR="00A31137" w:rsidRPr="00A31137" w:rsidRDefault="00A31137" w:rsidP="00A31137">
      <w:r w:rsidRPr="00A31137">
        <w:t>1984 Democratic Platform, p.39</w:t>
      </w:r>
    </w:p>
    <w:p w:rsidR="00A31137" w:rsidRPr="00A31137" w:rsidRDefault="00A31137" w:rsidP="00A31137">
      <w:r w:rsidRPr="00A31137">
        <w:t>Americans throughout this land are answering with a resounding no.</w:t>
      </w:r>
    </w:p>
    <w:p w:rsidR="00A31137" w:rsidRPr="00A31137" w:rsidRDefault="00A31137" w:rsidP="00A31137">
      <w:r w:rsidRPr="00A31137">
        <w:t>1984 Democratic Platform, p.39</w:t>
      </w:r>
    </w:p>
    <w:p w:rsidR="00A31137" w:rsidRPr="00A31137" w:rsidRDefault="00A31137" w:rsidP="00A31137">
      <w:r w:rsidRPr="00A31137">
        <w:t>President Reagan himself is responsible—responsible for four years of a failed foreign policy. America elects its President to lead. It does not elect its President to make excuses.</w:t>
      </w:r>
    </w:p>
    <w:p w:rsidR="00A31137" w:rsidRPr="00A31137" w:rsidRDefault="00A31137" w:rsidP="00A31137">
      <w:r w:rsidRPr="00A31137">
        <w:t>1984 Democratic Platform, p.39</w:t>
      </w:r>
    </w:p>
    <w:p w:rsidR="00A31137" w:rsidRPr="00A31137" w:rsidRDefault="00A31137" w:rsidP="00A31137">
      <w:r w:rsidRPr="00A31137">
        <w:t>The Democratic Party believes that it is time to harass the full power of America's spirit and capacity to meet the challenges of a changing world.</w:t>
      </w:r>
    </w:p>
    <w:p w:rsidR="00A31137" w:rsidRPr="00A31137" w:rsidRDefault="00A31137" w:rsidP="00A31137">
      <w:r w:rsidRPr="00A31137">
        <w:t>1984 Democratic Platform, p.39</w:t>
      </w:r>
    </w:p>
    <w:p w:rsidR="00A31137" w:rsidRPr="00A31137" w:rsidRDefault="00A31137" w:rsidP="00A31137">
      <w:r w:rsidRPr="00A31137">
        <w:t>The Democratic Party has a different and positive vision of America's future. What is at stake may be freedom and survival itself.</w:t>
      </w:r>
    </w:p>
    <w:p w:rsidR="00A31137" w:rsidRPr="00A31137" w:rsidRDefault="00A31137" w:rsidP="00A31137">
      <w:r w:rsidRPr="00A31137">
        <w:t xml:space="preserve">The Democratic Alternative:A Safer Future for Our Nation and the World </w:t>
      </w:r>
    </w:p>
    <w:p w:rsidR="00A31137" w:rsidRPr="00A31137" w:rsidRDefault="00A31137" w:rsidP="00A31137">
      <w:r w:rsidRPr="00A31137">
        <w:t>1984 Democratic Platform, p.39</w:t>
      </w:r>
    </w:p>
    <w:p w:rsidR="00A31137" w:rsidRPr="00A31137" w:rsidRDefault="00A31137" w:rsidP="00A31137">
      <w:r w:rsidRPr="00A31137">
        <w:t>"I do not see why we think of our nation as so weak and so vulnerable. Let us for heaven's sake have some confidence in America and not tremble, fearing that our society will fall apart at the least rattle of the door. If I were constructing this platform, I would ask that its planks be carved out of self-confidence, and planted in belief in our own system."</w:t>
      </w:r>
    </w:p>
    <w:p w:rsidR="00A31137" w:rsidRPr="00A31137" w:rsidRDefault="00A31137" w:rsidP="00A31137">
      <w:r w:rsidRPr="00A31137">
        <w:t>1984 Democratic Platform, p.39</w:t>
      </w:r>
    </w:p>
    <w:p w:rsidR="00A31137" w:rsidRPr="00A31137" w:rsidRDefault="00A31137" w:rsidP="00A31137">
      <w:r w:rsidRPr="00A31137">
        <w:t>Historian Barbara Tuchman (Democratic Platform Committee Hearing. New York, New York, April 9, 1984)</w:t>
      </w:r>
    </w:p>
    <w:p w:rsidR="00A31137" w:rsidRPr="00A31137" w:rsidRDefault="00A31137" w:rsidP="00A31137">
      <w:r w:rsidRPr="00A31137">
        <w:t>1984 Democratic Platform, p.39</w:t>
      </w:r>
    </w:p>
    <w:p w:rsidR="00A31137" w:rsidRPr="00A31137" w:rsidRDefault="00A31137" w:rsidP="00A31137">
      <w:r w:rsidRPr="00A31137">
        <w:t>"The Democratic Party requires a foreign policy which approaches the problems that confront us primarily in their national and regional contexts, rather than viewing them, as the Reagan Administration does, almost exclusively as a manifestation of the "evil empire's" efforts to extend its sway over the entire globe. What we need is a foreign policy which promotes the cause of human rights by opposing tyranny on the part of left as well as right wing governments, rather than a foreign policy like the one we have now, which supports virtually every reactionary and repressive regime that professes to be anti-communist."</w:t>
      </w:r>
    </w:p>
    <w:p w:rsidR="00A31137" w:rsidRPr="00A31137" w:rsidRDefault="00A31137" w:rsidP="00A31137">
      <w:r w:rsidRPr="00A31137">
        <w:t>1984 Democratic Platform, p.39</w:t>
      </w:r>
    </w:p>
    <w:p w:rsidR="00A31137" w:rsidRPr="00A31137" w:rsidRDefault="00A31137" w:rsidP="00A31137">
      <w:r w:rsidRPr="00A31137">
        <w:t>Honorable Stephen J. Solarz, U.S. Representative. New York (Democratic Platform Committee Hearing. New York, New York, April 9, 1984)</w:t>
      </w:r>
    </w:p>
    <w:p w:rsidR="00A31137" w:rsidRPr="00A31137" w:rsidRDefault="00A31137" w:rsidP="00A31137">
      <w:r w:rsidRPr="00A31137">
        <w:t>1984 Democratic Platform, p.39</w:t>
      </w:r>
    </w:p>
    <w:p w:rsidR="00A31137" w:rsidRPr="00A31137" w:rsidRDefault="00A31137" w:rsidP="00A31137">
      <w:r w:rsidRPr="00A31137">
        <w:t>There is no higher goal for the Democratic Party than assuring the national security of the United States. This means a strong national defense, vigorous pursuit of nuclear arms control, and a foreign policy dedicated to salvaging the interests of America and the forces of freedom and democracy in a period of global transformation. This will require new leadership, strong alliances, skillful diplomacy, effective economic cooperation, and a foreign policy sustained by American strength and ideals. And to hold the support of the American people, our leaders must also be careful and measured in the use of force.</w:t>
      </w:r>
    </w:p>
    <w:p w:rsidR="00A31137" w:rsidRPr="00A31137" w:rsidRDefault="00A31137" w:rsidP="00A31137">
      <w:r w:rsidRPr="00A31137">
        <w:t>1984 Democratic Platform, p.39</w:t>
      </w:r>
    </w:p>
    <w:p w:rsidR="00A31137" w:rsidRPr="00A31137" w:rsidRDefault="00A31137" w:rsidP="00A31137">
      <w:r w:rsidRPr="00A31137">
        <w:t>The Democratic Party is committed to a strong national defense. Democrats know that a relentless Soviet military build-up—well beyond its defensive needs—directly challenges world security, our democratic values, and our free institutions. On the nature of the Soviet threat and on the essential issue of our nation's security, Americans do not divide. On the common interest in human survival, the American and Soviet peoples do not divide.</w:t>
      </w:r>
    </w:p>
    <w:p w:rsidR="00A31137" w:rsidRPr="00A31137" w:rsidRDefault="00A31137" w:rsidP="00A31137">
      <w:r w:rsidRPr="00A31137">
        <w:t>1984 Democratic Platform, p.39</w:t>
      </w:r>
    </w:p>
    <w:p w:rsidR="00A31137" w:rsidRPr="00A31137" w:rsidRDefault="00A31137" w:rsidP="00A31137">
      <w:r w:rsidRPr="00A31137">
        <w:t>Maintaining strong and effective military forces is essential to keeping the peace and safeguarding freedom. Our allies and adversaries must never doubt our military power or our will to defend our vital interests. To that end, we pledge a strong defense built in concert with our allies, based on a coherent strategy, and supported by a sound economy.</w:t>
      </w:r>
    </w:p>
    <w:p w:rsidR="00A31137" w:rsidRPr="00A31137" w:rsidRDefault="00A31137" w:rsidP="00A31137">
      <w:r w:rsidRPr="00A31137">
        <w:t>1984 Democratic Platform, p.39</w:t>
      </w:r>
    </w:p>
    <w:p w:rsidR="00A31137" w:rsidRPr="00A31137" w:rsidRDefault="00A31137" w:rsidP="00A31137">
      <w:r w:rsidRPr="00A31137">
        <w:t>In an age of about 50,000 nuclear weapons, however, nuclear arms control and reductions are also essential to our security. The most solemn responsibility of a President is to do all that he or she can to prevent a single nuclear weapon from ever being used. Democrats believe that mutual and verifiable controls on nuclear arms can, and must be, a serious integral part of national defense. True national security requires urgent measures to freeze and reverse the arms race, not the pursuit of the phantom of nuclear superiority or futile Star Wars schemes.</w:t>
      </w:r>
    </w:p>
    <w:p w:rsidR="00A31137" w:rsidRPr="00A31137" w:rsidRDefault="00A31137" w:rsidP="00A31137">
      <w:r w:rsidRPr="00A31137">
        <w:t>1984 Democratic Platform, p.39</w:t>
      </w:r>
    </w:p>
    <w:p w:rsidR="00A31137" w:rsidRPr="00A31137" w:rsidRDefault="00A31137" w:rsidP="00A31137">
      <w:r w:rsidRPr="00A31137">
        <w:t>The Democratic Party believes that the purpose of nuclear weapons is to deter war, not to fight it. Democrats believe that America has the strength and tenacity to negotiate nuclear arms agreements that will reduce the risk of nuclear war and preserve our military security.</w:t>
      </w:r>
    </w:p>
    <w:p w:rsidR="00A31137" w:rsidRPr="00A31137" w:rsidRDefault="00A31137" w:rsidP="00A31137">
      <w:r w:rsidRPr="00A31137">
        <w:t>1984 Democratic Platform, p.39</w:t>
      </w:r>
    </w:p>
    <w:p w:rsidR="00A31137" w:rsidRPr="00A31137" w:rsidRDefault="00A31137" w:rsidP="00A31137">
      <w:r w:rsidRPr="00A31137">
        <w:t>Today we stand at one of the most critical junctures in the arms race since the explosion of the first atomic bomb. Mr. Reagan wants to open the heavens for warfare.</w:t>
      </w:r>
    </w:p>
    <w:p w:rsidR="00A31137" w:rsidRPr="00A31137" w:rsidRDefault="00A31137" w:rsidP="00A31137">
      <w:r w:rsidRPr="00A31137">
        <w:t>1984 Democratic Platform, p.39</w:t>
      </w:r>
    </w:p>
    <w:p w:rsidR="00A31137" w:rsidRPr="00A31137" w:rsidRDefault="00A31137" w:rsidP="00A31137">
      <w:r w:rsidRPr="00A31137">
        <w:t>His Star Wars proposal would create a vulnerable and provocative "shield" that would lull our nation into a false sense of security. It would lead our allies to believe that we are retreating from their defense. It would lead to the death of the ABM Treaty—the most successful arms control treaty in history—and this trillion-dollar program would provoke a dangerous offensive and defensive arms race.</w:t>
      </w:r>
    </w:p>
    <w:p w:rsidR="00A31137" w:rsidRPr="00A31137" w:rsidRDefault="00A31137" w:rsidP="00A31137">
      <w:r w:rsidRPr="00A31137">
        <w:t>1984 Democratic Platform, p.40</w:t>
      </w:r>
    </w:p>
    <w:p w:rsidR="00A31137" w:rsidRPr="00A31137" w:rsidRDefault="00A31137" w:rsidP="00A31137">
      <w:r w:rsidRPr="00A31137">
        <w:t>[p.40] If we and our allies could defend our populations effectively against a nuclear war, the Democratic Party would be the first to endorse such a scheme. Unfortunately, our best scientists agree that an effective population defense is probably impossible. Therefore, we must oppose an arms race where the sky is no longer the limit.</w:t>
      </w:r>
    </w:p>
    <w:p w:rsidR="00A31137" w:rsidRPr="00A31137" w:rsidRDefault="00A31137" w:rsidP="00A31137">
      <w:r w:rsidRPr="00A31137">
        <w:t>Arms Control and Disarmament</w:t>
      </w:r>
    </w:p>
    <w:p w:rsidR="00A31137" w:rsidRPr="00A31137" w:rsidRDefault="00A31137" w:rsidP="00A31137">
      <w:r w:rsidRPr="00A31137">
        <w:t>1984 Democratic Platform, p.40</w:t>
      </w:r>
    </w:p>
    <w:p w:rsidR="00A31137" w:rsidRPr="00A31137" w:rsidRDefault="00A31137" w:rsidP="00A31137">
      <w:r w:rsidRPr="00A31137">
        <w:t>Ronald Reagan is the first American President in over twenty years who has not reached any significant arms control agreements with the Soviet Union, and he is the first in over fifty years who has not met face to face with Soviet leaders. The unjustified Soviet walkout from key nuclear talks does not excuse the arms control failures of the Administration.</w:t>
      </w:r>
    </w:p>
    <w:p w:rsidR="00A31137" w:rsidRPr="00A31137" w:rsidRDefault="00A31137" w:rsidP="00A31137">
      <w:r w:rsidRPr="00A31137">
        <w:t>1984 Democratic Platform, p.40</w:t>
      </w:r>
    </w:p>
    <w:p w:rsidR="00A31137" w:rsidRPr="00A31137" w:rsidRDefault="00A31137" w:rsidP="00A31137">
      <w:r w:rsidRPr="00A31137">
        <w:t>To reopen the dialogue, a Democratic President will propose an early summit with regular annual summits to follow with the Soviet leaders, and meetings between senior civilian and military officials, in order to reduce tensions and explore possible formal agreements. In a Democratic Administration, the superpowers will not communicate through megaphones.</w:t>
      </w:r>
    </w:p>
    <w:p w:rsidR="00A31137" w:rsidRPr="00A31137" w:rsidRDefault="00A31137" w:rsidP="00A31137">
      <w:r w:rsidRPr="00A31137">
        <w:t>1984 Democratic Platform, p.40</w:t>
      </w:r>
    </w:p>
    <w:p w:rsidR="00A31137" w:rsidRPr="00A31137" w:rsidRDefault="00A31137" w:rsidP="00A31137">
      <w:r w:rsidRPr="00A31137">
        <w:t>A new Democratic Administration will implement a strategy for peace which makes arms control an integral part of our national security policy. We must move the world back from the brink of nuclear holocaust and set a new direction toward an enduring peace, in which lower levels of military spending will be possible. Our ultimate aim must be to abolish all nuclear weapons in a world safe for peace and freedom.</w:t>
      </w:r>
    </w:p>
    <w:p w:rsidR="00A31137" w:rsidRPr="00A31137" w:rsidRDefault="00A31137" w:rsidP="00A31137">
      <w:r w:rsidRPr="00A31137">
        <w:t>1984 Democratic Platform, p.40</w:t>
      </w:r>
    </w:p>
    <w:p w:rsidR="00A31137" w:rsidRPr="00A31137" w:rsidRDefault="00A31137" w:rsidP="00A31137">
      <w:r w:rsidRPr="00A31137">
        <w:t>This strategy calls for immediate steps to stop the nuclear arms race, medium-term measures to reduce the dangers of war, and long-term goals to put the world on a new and peaceful course.</w:t>
      </w:r>
    </w:p>
    <w:p w:rsidR="00A31137" w:rsidRPr="00A31137" w:rsidRDefault="00A31137" w:rsidP="00A31137">
      <w:r w:rsidRPr="00A31137">
        <w:t>1984 Democratic Platform, p.40</w:t>
      </w:r>
    </w:p>
    <w:p w:rsidR="00A31137" w:rsidRPr="00A31137" w:rsidRDefault="00A31137" w:rsidP="00A31137">
      <w:r w:rsidRPr="00A31137">
        <w:t>The first practical step is to take the initiative, on January 20, 1985, to challenge the Soviets to halt the arms race, quickly. As President Kennedy successfully did in stopping nuclear explosions above ground in 1963, a Democratic President will initiate temporary, verifiable, and mutual moratoria, to be maintained for a fixed period during negotiations so long as the Soviets do the same, on the testing of underground nuclear weapons and anti-satellite weapons; on the testing and deployment of all weapons in space; on the testing and deployment of new strategic ballistic missiles now under development; and on the deployment of nuclear-armed, sea-launched cruise missiles.</w:t>
      </w:r>
    </w:p>
    <w:p w:rsidR="00A31137" w:rsidRPr="00A31137" w:rsidRDefault="00A31137" w:rsidP="00A31137">
      <w:r w:rsidRPr="00A31137">
        <w:t>1984 Democratic Platform, p.40</w:t>
      </w:r>
    </w:p>
    <w:p w:rsidR="00A31137" w:rsidRPr="00A31137" w:rsidRDefault="00A31137" w:rsidP="00A31137">
      <w:r w:rsidRPr="00A31137">
        <w:t>These steps should lead promptly to the negotiation of a comprehensive, mutual and verifiable freeze on the testing, production, and deployment of all nuclear weapons.</w:t>
      </w:r>
    </w:p>
    <w:p w:rsidR="00A31137" w:rsidRPr="00A31137" w:rsidRDefault="00A31137" w:rsidP="00A31137">
      <w:r w:rsidRPr="00A31137">
        <w:t>1984 Democratic Platform, p.40</w:t>
      </w:r>
    </w:p>
    <w:p w:rsidR="00A31137" w:rsidRPr="00A31137" w:rsidRDefault="00A31137" w:rsidP="00A31137">
      <w:r w:rsidRPr="00A31137">
        <w:t>Building on this initiative, the Democratic President will:</w:t>
      </w:r>
    </w:p>
    <w:p w:rsidR="00A31137" w:rsidRPr="00A31137" w:rsidRDefault="00A31137" w:rsidP="00A31137">
      <w:r w:rsidRPr="00A31137">
        <w:t>1984 Democratic Platform, p.40</w:t>
      </w:r>
    </w:p>
    <w:p w:rsidR="00A31137" w:rsidRPr="00A31137" w:rsidRDefault="00A31137" w:rsidP="00A31137">
      <w:r w:rsidRPr="00A31137">
        <w:t>—update and resubmit the SALT II Treaty to the Senate for its advice and consent.</w:t>
      </w:r>
    </w:p>
    <w:p w:rsidR="00A31137" w:rsidRPr="00A31137" w:rsidRDefault="00A31137" w:rsidP="00A31137">
      <w:r w:rsidRPr="00A31137">
        <w:t>1984 Democratic Platform, p.40</w:t>
      </w:r>
    </w:p>
    <w:p w:rsidR="00A31137" w:rsidRPr="00A31137" w:rsidRDefault="00A31137" w:rsidP="00A31137">
      <w:r w:rsidRPr="00A31137">
        <w:t>—pursue deep, stabilizing reductions in nuclear arsenals within the framework of SALT II, in the meantime observing the SALT II limits ourselves and insisting that the Soviets do likewise.</w:t>
      </w:r>
    </w:p>
    <w:p w:rsidR="00A31137" w:rsidRPr="00A31137" w:rsidRDefault="00A31137" w:rsidP="00A31137">
      <w:r w:rsidRPr="00A31137">
        <w:t>1984 Democratic Platform, p.40</w:t>
      </w:r>
    </w:p>
    <w:p w:rsidR="00A31137" w:rsidRPr="00A31137" w:rsidRDefault="00A31137" w:rsidP="00A31137">
      <w:r w:rsidRPr="00A31137">
        <w:t>—propose the merging of the intermediate-range and strategic arms limitations negotiations, if the President judges that this could advance a comprehensive arms limitation agreement with the Soviet Union.</w:t>
      </w:r>
    </w:p>
    <w:p w:rsidR="00A31137" w:rsidRPr="00A31137" w:rsidRDefault="00A31137" w:rsidP="00A31137">
      <w:r w:rsidRPr="00A31137">
        <w:t>1984 Democratic Platform, p.40</w:t>
      </w:r>
    </w:p>
    <w:p w:rsidR="00A31137" w:rsidRPr="00A31137" w:rsidRDefault="00A31137" w:rsidP="00A31137">
      <w:r w:rsidRPr="00A31137">
        <w:t>—immediately resubmit to the Senate for its advice and consent the 1974 Threshold Test Ban Treaty and the 1976 Peaceful Nuclear Explosions Treaty.</w:t>
      </w:r>
    </w:p>
    <w:p w:rsidR="00A31137" w:rsidRPr="00A31137" w:rsidRDefault="00A31137" w:rsidP="00A31137">
      <w:r w:rsidRPr="00A31137">
        <w:t>1984 Democratic Platform, p.40</w:t>
      </w:r>
    </w:p>
    <w:p w:rsidR="00A31137" w:rsidRPr="00A31137" w:rsidRDefault="00A31137" w:rsidP="00A31137">
      <w:r w:rsidRPr="00A31137">
        <w:t>—conclude a verifiable and Comprehensive Test Ban Treaty.</w:t>
      </w:r>
    </w:p>
    <w:p w:rsidR="00A31137" w:rsidRPr="00A31137" w:rsidRDefault="00A31137" w:rsidP="00A31137">
      <w:r w:rsidRPr="00A31137">
        <w:t>1984 Democratic Platform, p.40</w:t>
      </w:r>
    </w:p>
    <w:p w:rsidR="00A31137" w:rsidRPr="00A31137" w:rsidRDefault="00A31137" w:rsidP="00A31137">
      <w:r w:rsidRPr="00A31137">
        <w:t>—reaffirm our commitment to the ABM Treaty, ensure U.S. compliance, and vigorously demand answers to questions about Soviet compliance through the Standing Consultative Commission and other appropriate channels.</w:t>
      </w:r>
    </w:p>
    <w:p w:rsidR="00A31137" w:rsidRPr="00A31137" w:rsidRDefault="00A31137" w:rsidP="00A31137">
      <w:r w:rsidRPr="00A31137">
        <w:t>1984 Democratic Platform, p.40</w:t>
      </w:r>
    </w:p>
    <w:p w:rsidR="00A31137" w:rsidRPr="00A31137" w:rsidRDefault="00A31137" w:rsidP="00A31137">
      <w:r w:rsidRPr="00A31137">
        <w:t>—actively pursue a verifiable, anti-satellite weapons treaty and ban on weapons in space.</w:t>
      </w:r>
    </w:p>
    <w:p w:rsidR="00A31137" w:rsidRPr="00A31137" w:rsidRDefault="00A31137" w:rsidP="00A31137">
      <w:r w:rsidRPr="00A31137">
        <w:t>1984 Democratic Platform, p.40</w:t>
      </w:r>
    </w:p>
    <w:p w:rsidR="00A31137" w:rsidRPr="00A31137" w:rsidRDefault="00A31137" w:rsidP="00A31137">
      <w:r w:rsidRPr="00A31137">
        <w:t>—seek a verifiable international ban on the production of nuclear weapons-grade fissile material, such as plutonium and highly enriched uranium.</w:t>
      </w:r>
    </w:p>
    <w:p w:rsidR="00A31137" w:rsidRPr="00A31137" w:rsidRDefault="00A31137" w:rsidP="00A31137">
      <w:r w:rsidRPr="00A31137">
        <w:t>1984 Democratic Platform, p.40</w:t>
      </w:r>
    </w:p>
    <w:p w:rsidR="00A31137" w:rsidRPr="00A31137" w:rsidRDefault="00A31137" w:rsidP="00A31137">
      <w:r w:rsidRPr="00A31137">
        <w:t>—undertake all-out efforts to halt nuclear proliferation.</w:t>
      </w:r>
    </w:p>
    <w:p w:rsidR="00A31137" w:rsidRPr="00A31137" w:rsidRDefault="00A31137" w:rsidP="00A31137">
      <w:r w:rsidRPr="00A31137">
        <w:t>1984 Democratic Platform, p.40</w:t>
      </w:r>
    </w:p>
    <w:p w:rsidR="00A31137" w:rsidRPr="00A31137" w:rsidRDefault="00A31137" w:rsidP="00A31137">
      <w:r w:rsidRPr="00A31137">
        <w:t>—terminate production of the MX missile and the B-1 bomber.</w:t>
      </w:r>
    </w:p>
    <w:p w:rsidR="00A31137" w:rsidRPr="00A31137" w:rsidRDefault="00A31137" w:rsidP="00A31137">
      <w:r w:rsidRPr="00A31137">
        <w:t>1984 Democratic Platform, p.40</w:t>
      </w:r>
    </w:p>
    <w:p w:rsidR="00A31137" w:rsidRPr="00A31137" w:rsidRDefault="00A31137" w:rsidP="00A31137">
      <w:r w:rsidRPr="00A31137">
        <w:t>—prohibit the production of nerve gas and work for a verifiable treaty banning chemical weapons.</w:t>
      </w:r>
    </w:p>
    <w:p w:rsidR="00A31137" w:rsidRPr="00A31137" w:rsidRDefault="00A31137" w:rsidP="00A31137">
      <w:r w:rsidRPr="00A31137">
        <w:t>1984 Democratic Platform, p.40</w:t>
      </w:r>
    </w:p>
    <w:p w:rsidR="00A31137" w:rsidRPr="00A31137" w:rsidRDefault="00A31137" w:rsidP="00A31137">
      <w:r w:rsidRPr="00A31137">
        <w:t>—establish U.S. nuclear risk reduction centers and other improved communications for a crisis.</w:t>
      </w:r>
    </w:p>
    <w:p w:rsidR="00A31137" w:rsidRPr="00A31137" w:rsidRDefault="00A31137" w:rsidP="00A31137">
      <w:r w:rsidRPr="00A31137">
        <w:t>1984 Democratic Platform, p.40</w:t>
      </w:r>
    </w:p>
    <w:p w:rsidR="00A31137" w:rsidRPr="00A31137" w:rsidRDefault="00A31137" w:rsidP="00A31137">
      <w:r w:rsidRPr="00A31137">
        <w:t>—invite the most eminent members of the scientific community to study and report on the worldwide human suffering and the long-term environmental damage which would follow in the days after a nuclear war, and take into account as fully as possible the results of such study in the formulation of our nuclear weapons and arms control policies.</w:t>
      </w:r>
    </w:p>
    <w:p w:rsidR="00A31137" w:rsidRPr="00A31137" w:rsidRDefault="00A31137" w:rsidP="00A31137">
      <w:r w:rsidRPr="00A31137">
        <w:t>1984 Democratic Platform, p.41</w:t>
      </w:r>
    </w:p>
    <w:p w:rsidR="00A31137" w:rsidRPr="00A31137" w:rsidRDefault="00A31137" w:rsidP="00A31137">
      <w:r w:rsidRPr="00A31137">
        <w:t>[p.41] —strengthen broad-based, long-term public support for arms control by working closely with leaders of grass-roots, civic, women's, labor, business, religious and professional groups, including physicians, scientists, lawyers, and educators.</w:t>
      </w:r>
    </w:p>
    <w:p w:rsidR="00A31137" w:rsidRPr="00A31137" w:rsidRDefault="00A31137" w:rsidP="00A31137">
      <w:r w:rsidRPr="00A31137">
        <w:t>1984 Democratic Platform, p.41</w:t>
      </w:r>
    </w:p>
    <w:p w:rsidR="00A31137" w:rsidRPr="00A31137" w:rsidRDefault="00A31137" w:rsidP="00A31137">
      <w:r w:rsidRPr="00A31137">
        <w:t>—provide national leadership for economic adjustment for affected communities and industries, and retraining for any defense workers affected by the termination or cutbacks in weapons programs.</w:t>
      </w:r>
    </w:p>
    <w:p w:rsidR="00A31137" w:rsidRPr="00A31137" w:rsidRDefault="00A31137" w:rsidP="00A31137">
      <w:r w:rsidRPr="00A31137">
        <w:t>1984 Democratic Platform, p.41</w:t>
      </w:r>
    </w:p>
    <w:p w:rsidR="00A31137" w:rsidRPr="00A31137" w:rsidRDefault="00A31137" w:rsidP="00A31137">
      <w:r w:rsidRPr="00A31137">
        <w:t>—initiate, in close consultation with our NATO allies, a strategy for peace in Europe including:</w:t>
      </w:r>
    </w:p>
    <w:p w:rsidR="00A31137" w:rsidRPr="00A31137" w:rsidRDefault="00A31137" w:rsidP="00A31137">
      <w:r w:rsidRPr="00A31137">
        <w:t>1984 Democratic Platform, p.41</w:t>
      </w:r>
    </w:p>
    <w:p w:rsidR="00A31137" w:rsidRPr="00A31137" w:rsidRDefault="00A31137" w:rsidP="00A31137">
      <w:r w:rsidRPr="00A31137">
        <w:t>—achieving a balance of conventional forces in order to reduce reliance on nuclear weapons and to permit the Atlantic Alliance to move toward the adoption of a "no first use" policy;</w:t>
      </w:r>
    </w:p>
    <w:p w:rsidR="00A31137" w:rsidRPr="00A31137" w:rsidRDefault="00A31137" w:rsidP="00A31137">
      <w:r w:rsidRPr="00A31137">
        <w:t>1984 Democratic Platform, p.41</w:t>
      </w:r>
    </w:p>
    <w:p w:rsidR="00A31137" w:rsidRPr="00A31137" w:rsidRDefault="00A31137" w:rsidP="00A31137">
      <w:r w:rsidRPr="00A31137">
        <w:t>—mutually pulling back battlefield nuclear weapons from the front lines of Europe, in order to avoid the necessity of having to make a "use them or lose them" choice should hostilities erupt in Europe;</w:t>
      </w:r>
    </w:p>
    <w:p w:rsidR="00A31137" w:rsidRPr="00A31137" w:rsidRDefault="00A31137" w:rsidP="00A31137">
      <w:r w:rsidRPr="00A31137">
        <w:t>1984 Democratic Platform, p.41</w:t>
      </w:r>
    </w:p>
    <w:p w:rsidR="00A31137" w:rsidRPr="00A31137" w:rsidRDefault="00A31137" w:rsidP="00A31137">
      <w:r w:rsidRPr="00A31137">
        <w:t>—negotiating new approaches to intermediate nuclear force limits along the lines of the "walk in the woods" proposal, and then seeking to move closer to zero INF deployments by the U.S. and U.S.S.R.;</w:t>
      </w:r>
    </w:p>
    <w:p w:rsidR="00A31137" w:rsidRPr="00A31137" w:rsidRDefault="00A31137" w:rsidP="00A31137">
      <w:r w:rsidRPr="00A31137">
        <w:t>1984 Democratic Platform, p.41</w:t>
      </w:r>
    </w:p>
    <w:p w:rsidR="00A31137" w:rsidRPr="00A31137" w:rsidRDefault="00A31137" w:rsidP="00A31137">
      <w:r w:rsidRPr="00A31137">
        <w:t>—negotiating significant mutual and balanced reductions in conventional forces of both NATO and the Warsaw Pact, and confidence-building measures to reduce the dangers of a surprise attack.</w:t>
      </w:r>
    </w:p>
    <w:p w:rsidR="00A31137" w:rsidRPr="00A31137" w:rsidRDefault="00A31137" w:rsidP="00A31137">
      <w:r w:rsidRPr="00A31137">
        <w:t>1984 Democratic Platform, p.41</w:t>
      </w:r>
    </w:p>
    <w:p w:rsidR="00A31137" w:rsidRPr="00A31137" w:rsidRDefault="00A31137" w:rsidP="00A31137">
      <w:r w:rsidRPr="00A31137">
        <w:t xml:space="preserve">We are under no illusion that these arms control proposals will be easy to achieve. Most will involve patience and dedication, and above all leadership in the pursuit of peace, freedom, and security. The Soviets are tough negotiators and too often seek to use arms control talks for propaganda purposes. On this issue—preventing nuclear war—America must lead, and the Democratic Party intends to lead. Without our leadership the nations of the world will be tempted to abandon themselves, perhaps slowly at first, but then relentlessly to the quest for nuclear weapons, and our children will look back with envy upon today's already dangerous nuclear world as a time of relative safety. </w:t>
      </w:r>
    </w:p>
    <w:p w:rsidR="00A31137" w:rsidRPr="00A31137" w:rsidRDefault="00A31137" w:rsidP="00A31137">
      <w:r w:rsidRPr="00A31137">
        <w:t xml:space="preserve">Defense Policy </w:t>
      </w:r>
    </w:p>
    <w:p w:rsidR="00A31137" w:rsidRPr="00A31137" w:rsidRDefault="00A31137" w:rsidP="00A31137">
      <w:r w:rsidRPr="00A31137">
        <w:t>1984 Democratic Platform, p.41</w:t>
      </w:r>
    </w:p>
    <w:p w:rsidR="00A31137" w:rsidRPr="00A31137" w:rsidRDefault="00A31137" w:rsidP="00A31137">
      <w:r w:rsidRPr="00A31137">
        <w:t>The Reagan Administration measures military might by dollars spent. The Democratic Party seeks prudent defense based on sound planning and a realistic assessment of threats. In the field of defense policy, the Democratic Administration will:</w:t>
      </w:r>
    </w:p>
    <w:p w:rsidR="00A31137" w:rsidRPr="00A31137" w:rsidRDefault="00A31137" w:rsidP="00A31137">
      <w:r w:rsidRPr="00A31137">
        <w:t>1984 Democratic Platform, p.41</w:t>
      </w:r>
    </w:p>
    <w:p w:rsidR="00A31137" w:rsidRPr="00A31137" w:rsidRDefault="00A31137" w:rsidP="00A31137">
      <w:r w:rsidRPr="00A31137">
        <w:t>—Work with our NATO and other allies to ensure our collective security, especially by strengthening our conventional defenses so as to reduce our need to rely on nuclear weapons, and to achieve this at increased spending levels, with funding to continue at levels appropriate to our collective security, with the firm hope that successful steps to reduce tensions and to obtain comprehensive and verifiable arms control agreements will guarantee our nation both military security and budgetary relief.</w:t>
      </w:r>
    </w:p>
    <w:p w:rsidR="00A31137" w:rsidRPr="00A31137" w:rsidRDefault="00A31137" w:rsidP="00A31137">
      <w:r w:rsidRPr="00A31137">
        <w:t>1984 Democratic Platform, p.41</w:t>
      </w:r>
    </w:p>
    <w:p w:rsidR="00A31137" w:rsidRPr="00A31137" w:rsidRDefault="00A31137" w:rsidP="00A31137">
      <w:r w:rsidRPr="00A31137">
        <w:t>—Cancel destabilizing or duplicative weapons systems, while proceeding in the absence of appropriate arms control agreements with necessary modernization of our strategic forces.</w:t>
      </w:r>
    </w:p>
    <w:p w:rsidR="00A31137" w:rsidRPr="00A31137" w:rsidRDefault="00A31137" w:rsidP="00A31137">
      <w:r w:rsidRPr="00A31137">
        <w:t>1984 Democratic Platform, p.41</w:t>
      </w:r>
    </w:p>
    <w:p w:rsidR="00A31137" w:rsidRPr="00A31137" w:rsidRDefault="00A31137" w:rsidP="00A31137">
      <w:r w:rsidRPr="00A31137">
        <w:t>—Scale back the construction of large, expensive and vulnerable nuclear carriers.</w:t>
      </w:r>
    </w:p>
    <w:p w:rsidR="00A31137" w:rsidRPr="00A31137" w:rsidRDefault="00A31137" w:rsidP="00A31137">
      <w:r w:rsidRPr="00A31137">
        <w:t>1984 Democratic Platform, p.41</w:t>
      </w:r>
    </w:p>
    <w:p w:rsidR="00A31137" w:rsidRPr="00A31137" w:rsidRDefault="00A31137" w:rsidP="00A31137">
      <w:r w:rsidRPr="00A31137">
        <w:t>—Modernize our conventional forces by balancing new equipment purchases with adequate resources spent on training, fuel, ammunition, maintenance, spare parts, and airlift and sea-lift to assure combat readiness and mobility, and by providing better equipment for our Reserves and National Guard.</w:t>
      </w:r>
    </w:p>
    <w:p w:rsidR="00A31137" w:rsidRPr="00A31137" w:rsidRDefault="00A31137" w:rsidP="00A31137">
      <w:r w:rsidRPr="00A31137">
        <w:t>1984 Democratic Platform, p.41</w:t>
      </w:r>
    </w:p>
    <w:p w:rsidR="00A31137" w:rsidRPr="00A31137" w:rsidRDefault="00A31137" w:rsidP="00A31137">
      <w:r w:rsidRPr="00A31137">
        <w:t>—Reorganize Pentagon management and strengthen the JCS system to reduce inter-service rivalries, promote military leadership over bureaucratic skills, assure effective execution of policies and decisions, undertake better multi-year planning based upon realistic projections of available resources, and reduce conflicts of interest.</w:t>
      </w:r>
    </w:p>
    <w:p w:rsidR="00A31137" w:rsidRPr="00A31137" w:rsidRDefault="00A31137" w:rsidP="00A31137">
      <w:r w:rsidRPr="00A31137">
        <w:t>1984 Democratic Platform, p.41</w:t>
      </w:r>
    </w:p>
    <w:p w:rsidR="00A31137" w:rsidRPr="00A31137" w:rsidRDefault="00A31137" w:rsidP="00A31137">
      <w:r w:rsidRPr="00A31137">
        <w:t>—Ensure open and fair competitive bidding for procurement of necessary equipment and parts, and establish a system of effective, independent testing of weapons for combat conditions.</w:t>
      </w:r>
    </w:p>
    <w:p w:rsidR="00A31137" w:rsidRPr="00A31137" w:rsidRDefault="00A31137" w:rsidP="00A31137">
      <w:r w:rsidRPr="00A31137">
        <w:t>1984 Democratic Platform, p.41</w:t>
      </w:r>
    </w:p>
    <w:p w:rsidR="00A31137" w:rsidRPr="00A31137" w:rsidRDefault="00A31137" w:rsidP="00A31137">
      <w:r w:rsidRPr="00A31137">
        <w:t>—Implement a program of military reform. Our forces must be combat ready; our doctrines should emphasize out-thinking and outmaneuvering our adversaries; and our policies should improve military organization and unit cohesion.</w:t>
      </w:r>
    </w:p>
    <w:p w:rsidR="00A31137" w:rsidRPr="00A31137" w:rsidRDefault="00A31137" w:rsidP="00A31137">
      <w:r w:rsidRPr="00A31137">
        <w:t>1984 Democratic Platform, p.41</w:t>
      </w:r>
    </w:p>
    <w:p w:rsidR="00A31137" w:rsidRPr="00A31137" w:rsidRDefault="00A31137" w:rsidP="00A31137">
      <w:r w:rsidRPr="00A31137">
        <w:t>—Press our European allies to increase their contributions to NATO defense to levels of effort comparable to our own—an approach that the Administration undercut by abandoning the NATO-wide agreement concluded by its Democratic predecessor—and pursue improved trans-Atlantic economic cooperation and coordination of arms procurement.</w:t>
      </w:r>
    </w:p>
    <w:p w:rsidR="00A31137" w:rsidRPr="00A31137" w:rsidRDefault="00A31137" w:rsidP="00A31137">
      <w:r w:rsidRPr="00A31137">
        <w:t>1984 Democratic Platform, p.42</w:t>
      </w:r>
    </w:p>
    <w:p w:rsidR="00A31137" w:rsidRPr="00A31137" w:rsidRDefault="00A31137" w:rsidP="00A31137">
      <w:r w:rsidRPr="00A31137">
        <w:t>[p.42] —Recognize that the heart of our military strength is people, Americans in uniform who will have the skills and the will to maintain the peace. The men and women of our armed services deserve not only proper pay and benefits, but the nation's recognition, respect and gratitude as well.</w:t>
      </w:r>
    </w:p>
    <w:p w:rsidR="00A31137" w:rsidRPr="00A31137" w:rsidRDefault="00A31137" w:rsidP="00A31137">
      <w:r w:rsidRPr="00A31137">
        <w:t>1984 Democratic Platform, p.42</w:t>
      </w:r>
    </w:p>
    <w:p w:rsidR="00A31137" w:rsidRPr="00A31137" w:rsidRDefault="00A31137" w:rsidP="00A31137">
      <w:r w:rsidRPr="00A31137">
        <w:t>—Recognize the importance of the intelligence community and emphasize its mission as being dedicated to the timely collection and analysis of information and data. A Democratic Administration will also recognize the urgent need to de-politicize the intelligence community and to restore professional leadership to it.</w:t>
      </w:r>
    </w:p>
    <w:p w:rsidR="00A31137" w:rsidRPr="00A31137" w:rsidRDefault="00A31137" w:rsidP="00A31137">
      <w:r w:rsidRPr="00A31137">
        <w:t>1984 Democratic Platform, p.42</w:t>
      </w:r>
    </w:p>
    <w:p w:rsidR="00A31137" w:rsidRPr="00A31137" w:rsidRDefault="00A31137" w:rsidP="00A31137">
      <w:r w:rsidRPr="00A31137">
        <w:t>—Oppose a peacetime military draft or draft registration.</w:t>
      </w:r>
    </w:p>
    <w:p w:rsidR="00A31137" w:rsidRPr="00A31137" w:rsidRDefault="00A31137" w:rsidP="00A31137">
      <w:r w:rsidRPr="00A31137">
        <w:t>1984 Democratic Platform, p.42</w:t>
      </w:r>
    </w:p>
    <w:p w:rsidR="00A31137" w:rsidRPr="00A31137" w:rsidRDefault="00A31137" w:rsidP="00A31137">
      <w:r w:rsidRPr="00A31137">
        <w:t>—Oppose efforts to restrict the opportunities of women in the military based solely on gender. The Reagan Administration has used the combat designation as an arbitrary and inappropriate way to exclude women from work they can legitimately perform. Women nurses and technicians, for example, have long served with distinction on the front lines: women must not be excluded from jobs that they are trained and able to perform.</w:t>
      </w:r>
    </w:p>
    <w:p w:rsidR="00A31137" w:rsidRPr="00A31137" w:rsidRDefault="00A31137" w:rsidP="00A31137">
      <w:r w:rsidRPr="00A31137">
        <w:t>1984 Democratic Platform, p.42</w:t>
      </w:r>
    </w:p>
    <w:p w:rsidR="00A31137" w:rsidRPr="00A31137" w:rsidRDefault="00A31137" w:rsidP="00A31137">
      <w:r w:rsidRPr="00A31137">
        <w:t>—Seek ways to expand programs such as VISTA, the Young Adult Conservation Corps, and the Peace Corps.</w:t>
      </w:r>
    </w:p>
    <w:p w:rsidR="00A31137" w:rsidRPr="00A31137" w:rsidRDefault="00A31137" w:rsidP="00A31137">
      <w:r w:rsidRPr="00A31137">
        <w:t>1984 Democratic Platform, p.42</w:t>
      </w:r>
    </w:p>
    <w:p w:rsidR="00A31137" w:rsidRPr="00A31137" w:rsidRDefault="00A31137" w:rsidP="00A31137">
      <w:r w:rsidRPr="00A31137">
        <w:t>These and other qualitative improvements will ensure effective American strength at affordable cost. With this strength we will restore the confidence of our fellow citizens and our allies; we will be able to mount an effective conventional defense; and we will present our adversaries with a credible capability to deter war.</w:t>
      </w:r>
    </w:p>
    <w:p w:rsidR="00A31137" w:rsidRPr="00A31137" w:rsidRDefault="00A31137" w:rsidP="00A31137">
      <w:r w:rsidRPr="00A31137">
        <w:t>1984 Democratic Platform, p.42</w:t>
      </w:r>
    </w:p>
    <w:p w:rsidR="00A31137" w:rsidRPr="00A31137" w:rsidRDefault="00A31137" w:rsidP="00A31137">
      <w:r w:rsidRPr="00A31137">
        <w:t>The Democratic Party is committed to reversing the policies of the Reagan Administration in the area of military and defense procurement. Public accounts reveal a four-year record of waste, fraud, conflicts of interest, and indications of wrongdoing. Administration officials have engaged in practices that have cost the taxpayers billions of dollars. Further, the Reagan Administration has ignored legal remedies to stop the abuses, recover the funds, and punish those responsible.</w:t>
      </w:r>
    </w:p>
    <w:p w:rsidR="00A31137" w:rsidRPr="00A31137" w:rsidRDefault="00A31137" w:rsidP="00A31137">
      <w:r w:rsidRPr="00A31137">
        <w:t>1984 Democratic Platform, p.42</w:t>
      </w:r>
    </w:p>
    <w:p w:rsidR="00A31137" w:rsidRPr="00A31137" w:rsidRDefault="00A31137" w:rsidP="00A31137">
      <w:r w:rsidRPr="00A31137">
        <w:t>A Democratic President will demand full disclosure of all information, launch a thorough investigation, and seek recovery of any tax funds illegally spent. This will be a major step towards restoring integrity to defense procurements and reducing unnecessary expenditures in the defense budget.</w:t>
      </w:r>
    </w:p>
    <w:p w:rsidR="00A31137" w:rsidRPr="00A31137" w:rsidRDefault="00A31137" w:rsidP="00A31137">
      <w:r w:rsidRPr="00A31137">
        <w:t>Foreign Policy</w:t>
      </w:r>
    </w:p>
    <w:p w:rsidR="00A31137" w:rsidRPr="00A31137" w:rsidRDefault="00A31137" w:rsidP="00A31137">
      <w:r w:rsidRPr="00A31137">
        <w:t>1984 Democratic Platform, p.42</w:t>
      </w:r>
    </w:p>
    <w:p w:rsidR="00A31137" w:rsidRPr="00A31137" w:rsidRDefault="00A31137" w:rsidP="00A31137">
      <w:r w:rsidRPr="00A31137">
        <w:t>The purpose of foreign policy is to attain a strong and secure United States and a world of peace, freedom and justice. On a planet threatened by dictatorships on the left and right, what is at stake may be freedom itself. On a planet shadowed by the threat of a nuclear holocaust, what is at stake may be nothing less than human survival.</w:t>
      </w:r>
    </w:p>
    <w:p w:rsidR="00A31137" w:rsidRPr="00A31137" w:rsidRDefault="00A31137" w:rsidP="00A31137">
      <w:r w:rsidRPr="00A31137">
        <w:t>1984 Democratic Platform, p.42</w:t>
      </w:r>
    </w:p>
    <w:p w:rsidR="00A31137" w:rsidRPr="00A31137" w:rsidRDefault="00A31137" w:rsidP="00A31137">
      <w:r w:rsidRPr="00A31137">
        <w:t>A Democratic Administration will comprehend that the gravest political and security dangers in the developing world flow from conditions that open opportunities for the Soviet Union and its surrogates: poverty, repression and despair. Against adversaries such as these, military force is of limited value. Such weapons as economic assistance, economic and political reform, and support for democratic values by, among other steps, funding scholarships to study at U.S. colleges and universities, must be the leading elements of our presence and the primary instruments of American influence in the developing countries.</w:t>
      </w:r>
    </w:p>
    <w:p w:rsidR="00A31137" w:rsidRPr="00A31137" w:rsidRDefault="00A31137" w:rsidP="00A31137">
      <w:r w:rsidRPr="00A31137">
        <w:t>1984 Democratic Platform, p.42</w:t>
      </w:r>
    </w:p>
    <w:p w:rsidR="00A31137" w:rsidRPr="00A31137" w:rsidRDefault="00A31137" w:rsidP="00A31137">
      <w:r w:rsidRPr="00A31137">
        <w:t>To this end, a Democratic President will strengthen our Foreign Service, end the present practice of appointing unqualified persons as Ambassadors, strengthen our programs of educational and cultural exchange, and draw upon the best minds in our country in the quest for peace.</w:t>
      </w:r>
    </w:p>
    <w:p w:rsidR="00A31137" w:rsidRPr="00A31137" w:rsidRDefault="00A31137" w:rsidP="00A31137">
      <w:r w:rsidRPr="00A31137">
        <w:t>1984 Democratic Platform, p.42</w:t>
      </w:r>
    </w:p>
    <w:p w:rsidR="00A31137" w:rsidRPr="00A31137" w:rsidRDefault="00A31137" w:rsidP="00A31137">
      <w:r w:rsidRPr="00A31137">
        <w:t>A Democratic Administration will initiate and establish a Peace Academy. In the interests of balancing this nation's investment in the study of making war, the Peace Academy will study the disciplines and train experts in the arts of waging peace.</w:t>
      </w:r>
    </w:p>
    <w:p w:rsidR="00A31137" w:rsidRPr="00A31137" w:rsidRDefault="00A31137" w:rsidP="00A31137">
      <w:r w:rsidRPr="00A31137">
        <w:t>1984 Democratic Platform, p.42</w:t>
      </w:r>
    </w:p>
    <w:p w:rsidR="00A31137" w:rsidRPr="00A31137" w:rsidRDefault="00A31137" w:rsidP="00A31137">
      <w:r w:rsidRPr="00A31137">
        <w:t>The Democratic Party is committed to ensuring strong representation of women and minorities in military and foreign policy decision-making positions in our government.</w:t>
      </w:r>
    </w:p>
    <w:p w:rsidR="00A31137" w:rsidRPr="00A31137" w:rsidRDefault="00A31137" w:rsidP="00A31137">
      <w:r w:rsidRPr="00A31137">
        <w:t>1984 Democratic Platform, p.42</w:t>
      </w:r>
    </w:p>
    <w:p w:rsidR="00A31137" w:rsidRPr="00A31137" w:rsidRDefault="00A31137" w:rsidP="00A31137">
      <w:r w:rsidRPr="00A31137">
        <w:t>In addition, a Democratic President will understand that ass Commander-in-Chief, he or she directs the forces of peace as well as those of war, and will restore an emphasis on skilled, sensitive, bilateral and multilateral diplomacy as a means to avert and resolve international conflict.</w:t>
      </w:r>
    </w:p>
    <w:p w:rsidR="00A31137" w:rsidRPr="00A31137" w:rsidRDefault="00A31137" w:rsidP="00A31137">
      <w:r w:rsidRPr="00A31137">
        <w:t>1984 Democratic Platform, p.42</w:t>
      </w:r>
    </w:p>
    <w:p w:rsidR="00A31137" w:rsidRPr="00A31137" w:rsidRDefault="00A31137" w:rsidP="00A31137">
      <w:r w:rsidRPr="00A31137">
        <w:t>A Democratic President will recognize that the United States, with broad economic, political and security interests in the world, had an unparalleled stake in the rule of international law. Under a Democratic Administration, there will be no call for clumsy attempts to escape the jurisdiction of the International Court of Justice, such as those put forth by the Reagan Administration in connection with its mining of the harbors of Nicaragua.</w:t>
      </w:r>
    </w:p>
    <w:p w:rsidR="00A31137" w:rsidRPr="00A31137" w:rsidRDefault="00A31137" w:rsidP="00A31137">
      <w:r w:rsidRPr="00A31137">
        <w:t>1984 Democratic Platform, p.43</w:t>
      </w:r>
    </w:p>
    <w:p w:rsidR="00A31137" w:rsidRPr="00A31137" w:rsidRDefault="00A31137" w:rsidP="00A31137">
      <w:r w:rsidRPr="00A31137">
        <w:t>[p.43] A Democratic President will reverse the automatic militarization of foreign policy and look to the causes of conflict to find out whether they are internal or external, whether they are political or primarily social and economic.</w:t>
      </w:r>
    </w:p>
    <w:p w:rsidR="00A31137" w:rsidRPr="00A31137" w:rsidRDefault="00A31137" w:rsidP="00A31137">
      <w:r w:rsidRPr="00A31137">
        <w:t>1984 Democratic Platform, p.43</w:t>
      </w:r>
    </w:p>
    <w:p w:rsidR="00A31137" w:rsidRPr="00A31137" w:rsidRDefault="00A31137" w:rsidP="00A31137">
      <w:r w:rsidRPr="00A31137">
        <w:t>In the face of the Reagan Administration's cavalier approach to the use of military force around the world, the Democratic Party affirms its commitment too the selective, judicious use of American military power in consonance with Constitutional principles and reinforced by the War Powers Act.</w:t>
      </w:r>
    </w:p>
    <w:p w:rsidR="00A31137" w:rsidRPr="00A31137" w:rsidRDefault="00A31137" w:rsidP="00A31137">
      <w:r w:rsidRPr="00A31137">
        <w:t>1984 Democratic Platform, p.43</w:t>
      </w:r>
    </w:p>
    <w:p w:rsidR="00A31137" w:rsidRPr="00A31137" w:rsidRDefault="00A31137" w:rsidP="00A31137">
      <w:r w:rsidRPr="00A31137">
        <w:t>A Democratic President will be prepared to apply military force when vital American interests are threatened, particularly in the event of an attack upon the United States or its immediate allies. But he or she will not hazard American lives or engage in unilateral military involvement:</w:t>
      </w:r>
    </w:p>
    <w:p w:rsidR="00A31137" w:rsidRPr="00A31137" w:rsidRDefault="00A31137" w:rsidP="00A31137">
      <w:r w:rsidRPr="00A31137">
        <w:t>1984 Democratic Platform, p.43</w:t>
      </w:r>
    </w:p>
    <w:p w:rsidR="00A31137" w:rsidRPr="00A31137" w:rsidRDefault="00A31137" w:rsidP="00A31137">
      <w:r w:rsidRPr="00A31137">
        <w:t>*</w:t>
      </w:r>
      <w:r w:rsidRPr="00A31137">
        <w:tab/>
        <w:t>Where our objectives are not clear;</w:t>
      </w:r>
    </w:p>
    <w:p w:rsidR="00A31137" w:rsidRPr="00A31137" w:rsidRDefault="00A31137" w:rsidP="00A31137">
      <w:r w:rsidRPr="00A31137">
        <w:t>1984 Democratic Platform, p.43</w:t>
      </w:r>
    </w:p>
    <w:p w:rsidR="00A31137" w:rsidRPr="00A31137" w:rsidRDefault="00A31137" w:rsidP="00A31137">
      <w:r w:rsidRPr="00A31137">
        <w:t>*</w:t>
      </w:r>
      <w:r w:rsidRPr="00A31137">
        <w:tab/>
        <w:t>Until all instruments of diplomacy and nonmilitary leverage, as appropriate, have been exhausted;</w:t>
      </w:r>
    </w:p>
    <w:p w:rsidR="00A31137" w:rsidRPr="00A31137" w:rsidRDefault="00A31137" w:rsidP="00A31137">
      <w:r w:rsidRPr="00A31137">
        <w:t>1984 Democratic Platform, p.43</w:t>
      </w:r>
    </w:p>
    <w:p w:rsidR="00A31137" w:rsidRPr="00A31137" w:rsidRDefault="00A31137" w:rsidP="00A31137">
      <w:r w:rsidRPr="00A31137">
        <w:t>*</w:t>
      </w:r>
      <w:r w:rsidRPr="00A31137">
        <w:tab/>
        <w:t>Where our objectives threaten unacceptable costs or unreasonable levels of military force;</w:t>
      </w:r>
    </w:p>
    <w:p w:rsidR="00A31137" w:rsidRPr="00A31137" w:rsidRDefault="00A31137" w:rsidP="00A31137">
      <w:r w:rsidRPr="00A31137">
        <w:t>1984 Democratic Platform, p.43</w:t>
      </w:r>
    </w:p>
    <w:p w:rsidR="00A31137" w:rsidRPr="00A31137" w:rsidRDefault="00A31137" w:rsidP="00A31137">
      <w:r w:rsidRPr="00A31137">
        <w:t>*</w:t>
      </w:r>
      <w:r w:rsidRPr="00A31137">
        <w:tab/>
        <w:t>Where the local forces supported are not working to resolve the causes of conflict;</w:t>
      </w:r>
    </w:p>
    <w:p w:rsidR="00A31137" w:rsidRPr="00A31137" w:rsidRDefault="00A31137" w:rsidP="00A31137">
      <w:r w:rsidRPr="00A31137">
        <w:t>1984 Democratic Platform, p.43</w:t>
      </w:r>
    </w:p>
    <w:p w:rsidR="00A31137" w:rsidRPr="00A31137" w:rsidRDefault="00A31137" w:rsidP="00A31137">
      <w:r w:rsidRPr="00A31137">
        <w:t>*</w:t>
      </w:r>
      <w:r w:rsidRPr="00A31137">
        <w:tab/>
        <w:t>Where multilateral or allied options for the resolution of conflict are available.</w:t>
      </w:r>
    </w:p>
    <w:p w:rsidR="00A31137" w:rsidRPr="00A31137" w:rsidRDefault="00A31137" w:rsidP="00A31137">
      <w:r w:rsidRPr="00A31137">
        <w:t>1984 Democratic Platform, p.43</w:t>
      </w:r>
    </w:p>
    <w:p w:rsidR="00A31137" w:rsidRPr="00A31137" w:rsidRDefault="00A31137" w:rsidP="00A31137">
      <w:r w:rsidRPr="00A31137">
        <w:t>Further, a Democratic Administration will take all reasonable domestic action to minimize U.S. vulnerability to international instability, such as reducing Western reliance on Persian Gulf oil and other strategic resources. To this end, a Democratic Administration will implement, with our allies, a multilateral strategy for reduction of allied dependence on critical resources from volatile regions of the world.</w:t>
      </w:r>
    </w:p>
    <w:p w:rsidR="00A31137" w:rsidRPr="00A31137" w:rsidRDefault="00A31137" w:rsidP="00A31137">
      <w:r w:rsidRPr="00A31137">
        <w:t>1984 Democratic Platform, p.43</w:t>
      </w:r>
    </w:p>
    <w:p w:rsidR="00A31137" w:rsidRPr="00A31137" w:rsidRDefault="00A31137" w:rsidP="00A31137">
      <w:r w:rsidRPr="00A31137">
        <w:t xml:space="preserve">U.S. covert operations under a Democratic President will be strictly limited to cases where secrecy is essential to the seccess of an operation and where there is an unmistakable foreign policy rationale. Secrecy will not be used simply to hide from the American people policies they might be expected to oppose. </w:t>
      </w:r>
    </w:p>
    <w:p w:rsidR="00A31137" w:rsidRPr="00A31137" w:rsidRDefault="00A31137" w:rsidP="00A31137">
      <w:r w:rsidRPr="00A31137">
        <w:t>1984 Democratic Platform, p.43</w:t>
      </w:r>
    </w:p>
    <w:p w:rsidR="00A31137" w:rsidRPr="00A31137" w:rsidRDefault="00A31137" w:rsidP="00A31137">
      <w:r w:rsidRPr="00A31137">
        <w:t>Finally, a Democratic President will recognize our democratic process as a source of strength and stability, rather than an unwelcome restraint on the control of foreign policy. He or she will respect the War Powers Resolution as a reflection of wise judgment that the sustained commitment of America's fighting forces must be made with the understanding and support of Congress and the American people. A Democratic President will understand that United States leadership among nations requires a proper respect for law and treaty obligations, and the rights of men and women everywhere.</w:t>
      </w:r>
    </w:p>
    <w:p w:rsidR="00A31137" w:rsidRPr="00A31137" w:rsidRDefault="00A31137" w:rsidP="00A31137">
      <w:r w:rsidRPr="00A31137">
        <w:t>1984 Democratic Platform, p.43</w:t>
      </w:r>
    </w:p>
    <w:p w:rsidR="00A31137" w:rsidRPr="00A31137" w:rsidRDefault="00A31137" w:rsidP="00A31137">
      <w:r w:rsidRPr="00A31137">
        <w:t>Europe and the Atlantic Alliance—American leadership is not about standing up to our friends. It is about standing up with them, and for them, In order to have allies, we must act like one.</w:t>
      </w:r>
    </w:p>
    <w:p w:rsidR="00A31137" w:rsidRPr="00A31137" w:rsidRDefault="00A31137" w:rsidP="00A31137">
      <w:r w:rsidRPr="00A31137">
        <w:t>1984 Democratic Platform, p.43</w:t>
      </w:r>
    </w:p>
    <w:p w:rsidR="00A31137" w:rsidRPr="00A31137" w:rsidRDefault="00A31137" w:rsidP="00A31137">
      <w:r w:rsidRPr="00A31137">
        <w:t>Maintaining a strong alliance is critically important. We remain absolutely committed to the defense of Europe, and we will work to ensure that our allies carry their fair share of the burden of the common defense. A Democratic Administration in turn will commit itself to increased consultation on security affair. We must work to sustain and enhance Western unity.</w:t>
      </w:r>
    </w:p>
    <w:p w:rsidR="00A31137" w:rsidRPr="00A31137" w:rsidRDefault="00A31137" w:rsidP="00A31137">
      <w:r w:rsidRPr="00A31137">
        <w:t>1984 Democratic Platform, p.43</w:t>
      </w:r>
    </w:p>
    <w:p w:rsidR="00A31137" w:rsidRPr="00A31137" w:rsidRDefault="00A31137" w:rsidP="00A31137">
      <w:r w:rsidRPr="00A31137">
        <w:t>We must persuade the next generation of Europeans that America will use its power responsibly in partnership with them. We Democrats affirm that Western security is indivisible. We have a vital interest in the security of our allies in Europe. And it must always remain clear that an attack upon them is the same as an attack upon us—by treaty and in reality.</w:t>
      </w:r>
    </w:p>
    <w:p w:rsidR="00A31137" w:rsidRPr="00A31137" w:rsidRDefault="00A31137" w:rsidP="00A31137">
      <w:r w:rsidRPr="00A31137">
        <w:t>1984 Democratic Platform, p.43</w:t>
      </w:r>
    </w:p>
    <w:p w:rsidR="00A31137" w:rsidRPr="00A31137" w:rsidRDefault="00A31137" w:rsidP="00A31137">
      <w:r w:rsidRPr="00A31137">
        <w:t>A strong Western alliance requires frank discussions among friends about the issues that from time to time divide us. For example, we must enter into meaningful negotiations with the European Community to reduce their agricultural export subsidies which unfairly impair the competitiveness of American agricultural products in third-country markets.</w:t>
      </w:r>
    </w:p>
    <w:p w:rsidR="00A31137" w:rsidRPr="00A31137" w:rsidRDefault="00A31137" w:rsidP="00A31137">
      <w:r w:rsidRPr="00A31137">
        <w:t>1984 Democratic Platform, p.43</w:t>
      </w:r>
    </w:p>
    <w:p w:rsidR="00A31137" w:rsidRPr="00A31137" w:rsidRDefault="00A31137" w:rsidP="00A31137">
      <w:r w:rsidRPr="00A31137">
        <w:t>A Democratic President will encourage our European friends to resolve their longs-standing differences over Ireland and Cyprus.</w:t>
      </w:r>
    </w:p>
    <w:p w:rsidR="00A31137" w:rsidRPr="00A31137" w:rsidRDefault="00A31137" w:rsidP="00A31137">
      <w:r w:rsidRPr="00A31137">
        <w:t>1984 Democratic Platform, p.43</w:t>
      </w:r>
    </w:p>
    <w:p w:rsidR="00A31137" w:rsidRPr="00A31137" w:rsidRDefault="00A31137" w:rsidP="00A31137">
      <w:r w:rsidRPr="00A31137">
        <w:t>The Democratic Party supports an active role by the United States in safeguarding human rights in Northern Ireland and achieving an enduring peaceful settlement of that conflict. We oppose the use of plastic bullets in Northern Ireland, and we urge all sides to reject the use of violence. The Democratic Party supports a ban on all commercial transactions by the U.S. government with firms in England and Ireland that practice, on an on-going basis, discrimination in Northern Ireland on the basis of race, religion, or sex. We affirm our strong commitment to Irish unity—achieved by consent and based on reconciliation of all the people of Ireland. The Democratic Party is greatly encouraged by the historic and hopeful Report of the New Ireland Forum which holds the promise of a real breakthrough. A Democratic President will promptly appoint a special envoy and urge the British as well as the political leaders in Northern Ireland to review the findings and proposals of the Forum with [p.44] open hearts and open minds, and will appeal to them to join a new initiative for peace. The Congress and a Democratic President will stand ready to assist this process, and will help promote jobs and investments on a non-discriminatory basis, that will represent a significant contribution to the cause of peace in Ireland.</w:t>
      </w:r>
    </w:p>
    <w:p w:rsidR="00A31137" w:rsidRPr="00A31137" w:rsidRDefault="00A31137" w:rsidP="00A31137">
      <w:r w:rsidRPr="00A31137">
        <w:t>1984 Democratic Platform, p.44</w:t>
      </w:r>
    </w:p>
    <w:p w:rsidR="00A31137" w:rsidRPr="00A31137" w:rsidRDefault="00A31137" w:rsidP="00A31137">
      <w:r w:rsidRPr="00A31137">
        <w:t>In strong contrast to President Reagan's failure to apply effective diplomacy in Cyprus and the Eastern Mediterranean, a Democratic President will act with urgency and determination to make a balanced policy in the area and a peaceful resolution of the Cyprus dispute a key foreign policy priority. A Democratic President will utilize all available U.S. foreign policy instruments and will play an active, instead of a passive, role in the efforts to secure implementation of U.N. Resolutions so as to achieve removal of Turkish troops, the return of refugees, reestablishment of the integrity of the Republic of Cyprus, and respect for all citizens' human rights on Cyprus.</w:t>
      </w:r>
    </w:p>
    <w:p w:rsidR="00A31137" w:rsidRPr="00A31137" w:rsidRDefault="00A31137" w:rsidP="00A31137">
      <w:r w:rsidRPr="00A31137">
        <w:t>1984 Democratic Platform, p.44</w:t>
      </w:r>
    </w:p>
    <w:p w:rsidR="00A31137" w:rsidRPr="00A31137" w:rsidRDefault="00A31137" w:rsidP="00A31137">
      <w:r w:rsidRPr="00A31137">
        <w:t xml:space="preserve">United States—Soviet Relations—U.S. relations with the Soviet Union are a critical element of our security policy. All Americans recognize the threat to world peace posed by the Soviet Union. The U.S.S.R. is the only adversary with the capability of destroying the United States. Moreover, Americans are more generally concerned about the Soviet leadership's dangerous behavior internationally and the totalitarian nature of their regime. The Brezhnev Doctrine proclaims Soviet willingness to maintain communist regimes against the opposition of their own people. Thus, Soviet troops have invaded and today continue to wage war on the proud people of Afghanistan. In Poland, a military government, acting under Soviet pressure, has sought to crush the indomitable spirit of the Polish people and to destroy Solidarity, a free trade Union movement of ten million members and the first such movement in a communist country. In recent years, the Soviet Union and its allies have played a more aggressive role in countries around the world. At the same time, the Soviet military arsenal, nuclear and conventional, far exceeds that needed for its defense. </w:t>
      </w:r>
    </w:p>
    <w:p w:rsidR="00A31137" w:rsidRPr="00A31137" w:rsidRDefault="00A31137" w:rsidP="00A31137">
      <w:r w:rsidRPr="00A31137">
        <w:t>1984 Democratic Platform, p.44</w:t>
      </w:r>
    </w:p>
    <w:p w:rsidR="00A31137" w:rsidRPr="00A31137" w:rsidRDefault="00A31137" w:rsidP="00A31137">
      <w:r w:rsidRPr="00A31137">
        <w:t>Yet we also recognize that the Soviets share a mutual interest in survival. They, too, have no defense against a nuclear war. Our security and their security can only be strengthened by negotiation and cooperation.</w:t>
      </w:r>
    </w:p>
    <w:p w:rsidR="00A31137" w:rsidRPr="00A31137" w:rsidRDefault="00A31137" w:rsidP="00A31137">
      <w:r w:rsidRPr="00A31137">
        <w:t>1984 Democratic Platform, p.44</w:t>
      </w:r>
    </w:p>
    <w:p w:rsidR="00A31137" w:rsidRPr="00A31137" w:rsidRDefault="00A31137" w:rsidP="00A31137">
      <w:r w:rsidRPr="00A31137">
        <w:t xml:space="preserve">To shape a policy that is both firm and wise, we must first stand confident and never fear the outcome of any competition between our systems. We must see the Soviet Union as it is—neither minimizing the threats that Soviet power and policies pose to U.S. interests, nor exaggerating the strength of a Soviet regime beset by economic stagnation and saddled with a bankrupt and sterile ideology. We must join with our allies and friends to maintain an effective deterrent to Soviet power. We must pursue a clear, consistent and firm policy of peaceful competition toward the Soviet Union, a steady and pragmatic approach that neither tolerates Soviet aggression and repression nor fuels Soviet paranoia. </w:t>
      </w:r>
    </w:p>
    <w:p w:rsidR="00A31137" w:rsidRPr="00A31137" w:rsidRDefault="00A31137" w:rsidP="00A31137">
      <w:r w:rsidRPr="00A31137">
        <w:t>1984 Democratic Platform, p.44</w:t>
      </w:r>
    </w:p>
    <w:p w:rsidR="00A31137" w:rsidRPr="00A31137" w:rsidRDefault="00A31137" w:rsidP="00A31137">
      <w:r w:rsidRPr="00A31137">
        <w:t>The job of an American President is both to check Soviet challenges to our vital interests, and to meet them on the common ground of survival. The risk of nuclear war cannot be eliminated overnight. But every day it can be either increased or decreased. And one of the surest ways to increase it is to cut off communications.</w:t>
      </w:r>
    </w:p>
    <w:p w:rsidR="00A31137" w:rsidRPr="00A31137" w:rsidRDefault="00A31137" w:rsidP="00A31137">
      <w:r w:rsidRPr="00A31137">
        <w:t>1984 Democratic Platform, p.44</w:t>
      </w:r>
    </w:p>
    <w:p w:rsidR="00A31137" w:rsidRPr="00A31137" w:rsidRDefault="00A31137" w:rsidP="00A31137">
      <w:r w:rsidRPr="00A31137">
        <w:t xml:space="preserve">The Democratic Party condemns continued Soviet persecution of dissidents and refuseniks, which may well have brought Nobel laureate Andrei Sakharov and his wife to the verge of death in internal exile in Gorki. We will not be silent when Soviet actions, such as the imprisonment of Anatoly Shcharansky and Ida Nudel and thousands of others, demonstrate the fundamentally repressive and anti-Semitic nature of the Soviet regime. A Democratic Administration will give priority to securing the freedom to emigrate for these brave men and women of conscience including Jews and other minorities, and to assuring their fair treatment while awaiting permission to leave. These freedoms are guaranteed by the Universal Declaration of Human Rights and by the Helsinki Final Act which the Soviets have signed and with whose provisions they must be required to comply. Jewish emigration, which reached the level of fifty thousand per year during the last Democratic Administration and which has virtually ended under its Republican successor, must be renewed through firm, effective diplomacy. We also recognize that Jewish emigration reached its height at the same time there was an American Administration dedicated to pursuing arms control, expanding mutually beneficial trade, and reducing tensions with the Soviet Union—fully consistent with interests of the United States and its allies. It is no contradiction to say that while pursuing an end to the arms race and reducing East-West tensions, we can also advance the cause of Soviet Jewish emigration. </w:t>
      </w:r>
    </w:p>
    <w:p w:rsidR="00A31137" w:rsidRPr="00A31137" w:rsidRDefault="00A31137" w:rsidP="00A31137">
      <w:r w:rsidRPr="00A31137">
        <w:t>1984 Democratic Platform, p.44</w:t>
      </w:r>
    </w:p>
    <w:p w:rsidR="00A31137" w:rsidRPr="00A31137" w:rsidRDefault="00A31137" w:rsidP="00A31137">
      <w:r w:rsidRPr="00A31137">
        <w:t>Eastern Europe—We must respond to the aspirations and hopes of peoples of Eastern Europe and encourage, wherever possible, the forces of change and pluralism that will increase these people's freedom from Soviet tyranny and communist dictatorship. We should encourage Eastern European countries to pursue independent foreign policies and to permit greater liberalization in domestic affairs, and we should seek [p.45] independent relationships to further these objectives with them.</w:t>
      </w:r>
    </w:p>
    <w:p w:rsidR="00A31137" w:rsidRPr="00A31137" w:rsidRDefault="00A31137" w:rsidP="00A31137">
      <w:r w:rsidRPr="00A31137">
        <w:t>1984 Democratic Platform, p.45</w:t>
      </w:r>
    </w:p>
    <w:p w:rsidR="00A31137" w:rsidRPr="00A31137" w:rsidRDefault="00A31137" w:rsidP="00A31137">
      <w:r w:rsidRPr="00A31137">
        <w:t>The Democratic Party condemns the Soviet repression by proxy in Poland and the other countries of Eastern Europe. The emergence of the free trade union Solidarity is one of the most formidable developments in post-war Europe and inspires all who love freedom. The struggle of the Polish people for a democratic society and religious freedom is eloquent testimony to their national spirit and bravery that even a brutal martial law regime cannot stamp out.</w:t>
      </w:r>
    </w:p>
    <w:p w:rsidR="00A31137" w:rsidRPr="00A31137" w:rsidRDefault="00A31137" w:rsidP="00A31137">
      <w:r w:rsidRPr="00A31137">
        <w:t>1984 Democratic Platform, p.45</w:t>
      </w:r>
    </w:p>
    <w:p w:rsidR="00A31137" w:rsidRPr="00A31137" w:rsidRDefault="00A31137" w:rsidP="00A31137">
      <w:r w:rsidRPr="00A31137">
        <w:t>Today the Jaruzelski regime claims to have ended the harshest repressive measures. Yet it continues to hold political prisoners, it continues to mistreat them, and it continues to hunt down members of Solidarity.</w:t>
      </w:r>
    </w:p>
    <w:p w:rsidR="00A31137" w:rsidRPr="00A31137" w:rsidRDefault="00A31137" w:rsidP="00A31137">
      <w:r w:rsidRPr="00A31137">
        <w:t>1984 Democratic Platform, p.45</w:t>
      </w:r>
    </w:p>
    <w:p w:rsidR="00A31137" w:rsidRPr="00A31137" w:rsidRDefault="00A31137" w:rsidP="00A31137">
      <w:r w:rsidRPr="00A31137">
        <w:t>The Democratic Party agrees with Lech Walesa that the underground Solidarity movement must not be deprived of union freedoms. We call for the release of all political prisoners in Poland and an end to their harassment. The recognition of the Free trade union Solidarity, and the resumption of progress toward liberty and human rights in that nation. A Democratic President will continue to press for effective international sanctions against the Polish regime until it makes satisfactory progress toward these objectives.</w:t>
      </w:r>
    </w:p>
    <w:p w:rsidR="00A31137" w:rsidRPr="00A31137" w:rsidRDefault="00A31137" w:rsidP="00A31137">
      <w:r w:rsidRPr="00A31137">
        <w:t>1984 Democratic Platform, p.45</w:t>
      </w:r>
    </w:p>
    <w:p w:rsidR="00A31137" w:rsidRPr="00A31137" w:rsidRDefault="00A31137" w:rsidP="00A31137">
      <w:r w:rsidRPr="00A31137">
        <w:t>The Middle East—The Democratic Party believes that the security Israel and the pursuit of peace in the Middle East are fundamental priorities for American foreign policy. Israel remains more than a trusted friend, a steady ally, and a sister democracy. Israel is strategically important to the United States, and we must enter into meaningful strategic cooperation.</w:t>
      </w:r>
    </w:p>
    <w:p w:rsidR="00A31137" w:rsidRPr="00A31137" w:rsidRDefault="00A31137" w:rsidP="00A31137">
      <w:r w:rsidRPr="00A31137">
        <w:t>1984 Democratic Platform, p.45</w:t>
      </w:r>
    </w:p>
    <w:p w:rsidR="00A31137" w:rsidRPr="00A31137" w:rsidRDefault="00A31137" w:rsidP="00A31137">
      <w:r w:rsidRPr="00A31137">
        <w:t>The Democratic Party opposes this Administration's sales of highly advanced weaponry to avowed enemies of Israel, such as AWACS aircraft and Stinger missiles to Saudi Arabia. While helping to meet the legitimate defensive needs of states aligned with our nation, we must ensure Israel's military edge over any combination of Middle East confrontation states. The Democratic Party opposes any consideration of negotiations with the PLO, unless the PLO abandons terrorism, recognizes the state of Israel, and adheres to U.N. Resolutions 242 and 338.</w:t>
      </w:r>
    </w:p>
    <w:p w:rsidR="00A31137" w:rsidRPr="00A31137" w:rsidRDefault="00A31137" w:rsidP="00A31137">
      <w:r w:rsidRPr="00A31137">
        <w:t>1984 Democratic Platform, p.45</w:t>
      </w:r>
    </w:p>
    <w:p w:rsidR="00A31137" w:rsidRPr="00A31137" w:rsidRDefault="00A31137" w:rsidP="00A31137">
      <w:r w:rsidRPr="00A31137">
        <w:t>Jerusalem should remain forever undivided with free access to the holy places for people of all faiths. As stated in the 1976 and 1980 platforms, the Democratic Party recognizes and supports the established status of Jerusalem as the capital of Israel. As a symbol of this stand, the U.S. Embassy should be moved from Tel Aviv to Jerusalem.</w:t>
      </w:r>
    </w:p>
    <w:p w:rsidR="00A31137" w:rsidRPr="00A31137" w:rsidRDefault="00A31137" w:rsidP="00A31137">
      <w:r w:rsidRPr="00A31137">
        <w:t>1984 Democratic Platform, p.45</w:t>
      </w:r>
    </w:p>
    <w:p w:rsidR="00A31137" w:rsidRPr="00A31137" w:rsidRDefault="00A31137" w:rsidP="00A31137">
      <w:r w:rsidRPr="00A31137">
        <w:t>The Democratic Party condemns this Administration's failure to maintain a high-level Special Negotiator for the Middle East, and believes that the Camp David peace process must be taken up again with urgency. No nation in the Middle East can afford to wait until a new war brings even worse destruction. Once again we applaud and support the example of both Israel and Egypt in taking bold steps for peace. We believe that the United States should press for negotiations among Israel, Jordan, Saudi Arabia and other Arab states. We re-emphasize the fundamental principle that the prerequisite for a lasting peace in the Middle East remains an Israel with secure and defensible borders, strong beyond a shadow of a doubt; that the basis for peace is the unequivocal recognition of Israel's right to exist by all other states; and that there should be a resolution of the Palestinian issue.</w:t>
      </w:r>
    </w:p>
    <w:p w:rsidR="00A31137" w:rsidRPr="00A31137" w:rsidRDefault="00A31137" w:rsidP="00A31137">
      <w:r w:rsidRPr="00A31137">
        <w:t>1984 Democratic Platform, p.45</w:t>
      </w:r>
    </w:p>
    <w:p w:rsidR="00A31137" w:rsidRPr="00A31137" w:rsidRDefault="00A31137" w:rsidP="00A31137">
      <w:r w:rsidRPr="00A31137">
        <w:t>The United States and our allies have vital interests in the Persian Gulf. We must be prepared to work with our allies in defense of those interests. We should stand by our historic support for the principle of freedom of the high seas. At the same time, we and our allies should employ active diplomacy to encourage the earliest possible end to Iran/Iraq conflict.</w:t>
      </w:r>
    </w:p>
    <w:p w:rsidR="00A31137" w:rsidRPr="00A31137" w:rsidRDefault="00A31137" w:rsidP="00A31137">
      <w:r w:rsidRPr="00A31137">
        <w:t>1984 Democratic Platform, p.45</w:t>
      </w:r>
    </w:p>
    <w:p w:rsidR="00A31137" w:rsidRPr="00A31137" w:rsidRDefault="00A31137" w:rsidP="00A31137">
      <w:r w:rsidRPr="00A31137">
        <w:t>The Western Hemisphere—The Western Hemisphere is in trouble. Central America is region at war. Latin America is experiencing the most serious economic crisis in 50 years. The Inter-American system is on the verge of collapse. Concern about U.S. policies has risen sharply.</w:t>
      </w:r>
    </w:p>
    <w:p w:rsidR="00A31137" w:rsidRPr="00A31137" w:rsidRDefault="00A31137" w:rsidP="00A31137">
      <w:r w:rsidRPr="00A31137">
        <w:t>1984 Democratic Platform, p.45</w:t>
      </w:r>
    </w:p>
    <w:p w:rsidR="00A31137" w:rsidRPr="00A31137" w:rsidRDefault="00A31137" w:rsidP="00A31137">
      <w:r w:rsidRPr="00A31137">
        <w:t>It is time to make this Hemisphere a top priority. We need to develop relations based on mutual respect and mutual benefit. Beyond essential security concerns, these relations must emphasize diplomacy, development and respect for human rights. Above all, support for democracy must be pursued. The Reagan Administration is committing the old error of supporting authoritarian military regimes against the wishes of the people they rule, but the United States was not founded, and defended for 200 years with American blood, in order to perpetuate tyranny among our neighbors.</w:t>
      </w:r>
    </w:p>
    <w:p w:rsidR="00A31137" w:rsidRPr="00A31137" w:rsidRDefault="00A31137" w:rsidP="00A31137">
      <w:r w:rsidRPr="00A31137">
        <w:t>1984 Democratic Platform, p.45</w:t>
      </w:r>
    </w:p>
    <w:p w:rsidR="00A31137" w:rsidRPr="00A31137" w:rsidRDefault="00A31137" w:rsidP="00A31137">
      <w:r w:rsidRPr="00A31137">
        <w:t>The Hemisphere's nations must strive jointly to find acceptable solutions with judgments and actions based on equally-applied criteria. We must condemn violations of human rights, aggression and deprivation of basic freedoms wherever they occur. The United States must recognize that the economic and debt crisis of Latin America also directly affects us.</w:t>
      </w:r>
    </w:p>
    <w:p w:rsidR="00A31137" w:rsidRPr="00A31137" w:rsidRDefault="00A31137" w:rsidP="00A31137">
      <w:r w:rsidRPr="00A31137">
        <w:t>1984 Democratic Platform, p.45</w:t>
      </w:r>
    </w:p>
    <w:p w:rsidR="00A31137" w:rsidRPr="00A31137" w:rsidRDefault="00A31137" w:rsidP="00A31137">
      <w:r w:rsidRPr="00A31137">
        <w:t>The Reagan Administration has badly misread and mishandled the conflict in Central America. The President has chosen to dwell on the strategic [p.46] importance of Central America and to cast the struggle in almost exclusively East-West terms. The strategic importance of Central America is not in doubt, nor is the fact that the Soviet Union, Cuba and Nicaragua have all encouraged instability and supported revolution in the region. What the President ignores, however, are the indigenous causes of unrest. Historically, Central America had been burdened by widespread hunger and disease. And the historic pattern of concentrated wealth has done little to produce stable democratic societies.</w:t>
      </w:r>
    </w:p>
    <w:p w:rsidR="00A31137" w:rsidRPr="00A31137" w:rsidRDefault="00A31137" w:rsidP="00A31137">
      <w:r w:rsidRPr="00A31137">
        <w:t>1984 Democratic Platform, p.46</w:t>
      </w:r>
    </w:p>
    <w:p w:rsidR="00A31137" w:rsidRPr="00A31137" w:rsidRDefault="00A31137" w:rsidP="00A31137">
      <w:r w:rsidRPr="00A31137">
        <w:t>Sadly, Mr. Reagan has opted for the all too frequent American response to the unrest that has characterized Central America-military assistance. Over the past 100 years, Panama. Nicaragua, and Honduras have all been occupied by U.S. forces in an effort to suppress indigenous revolutionary movements. In 1954, CIA-backed forces successfully toppled the Government of Guatemala.</w:t>
      </w:r>
    </w:p>
    <w:p w:rsidR="00A31137" w:rsidRPr="00A31137" w:rsidRDefault="00A31137" w:rsidP="00A31137">
      <w:r w:rsidRPr="00A31137">
        <w:t>1984 Democratic Platform, p.46</w:t>
      </w:r>
    </w:p>
    <w:p w:rsidR="00A31137" w:rsidRPr="00A31137" w:rsidRDefault="00A31137" w:rsidP="00A31137">
      <w:r w:rsidRPr="00A31137">
        <w:t>President Reagan's massive transfusions of military aid to El Salvador are no substitute for the social and economic reforms that are necessary to undermine the appeal the guerillas hold for many Salvadorans. The changes and upheavals in El Salvador and Nicaragua are home-grown, but they are exacerbated by forces from outside of Central America. The undoubted communist influence on these revolutions cannot be nullified by the dispatch of naval and air armadas to the waters off Nicaragua and thousands of troops to the jungles of Honduras. The solution lies with a new policy that fosters social, economic and political reforms that are compatible with our legitimate vital interests while accommodating the equally legitimate forces of change.</w:t>
      </w:r>
    </w:p>
    <w:p w:rsidR="00A31137" w:rsidRPr="00A31137" w:rsidRDefault="00A31137" w:rsidP="00A31137">
      <w:r w:rsidRPr="00A31137">
        <w:t>1984 Democratic Platform, p.46</w:t>
      </w:r>
    </w:p>
    <w:p w:rsidR="00A31137" w:rsidRPr="00A31137" w:rsidRDefault="00A31137" w:rsidP="00A31137">
      <w:r w:rsidRPr="00A31137">
        <w:t>America must find a different approach. All too often, the United States thinks in terms of what it can do for the nations of Latin America and the Caribbean region. Rarely does it think in terms of what it can do with them. Even with the best of intentions, the difference is more than rhetorical, for paternalism can never be disguised and it is always resented—whether we choose to label it a "special relationship" or to call it a "defensive shield." Acting for the nations of the Hemisphere rather than acting in concert with them is the surest way of repeating the mistakes of the past and casting dark shadow over the future.</w:t>
      </w:r>
    </w:p>
    <w:p w:rsidR="00A31137" w:rsidRPr="00A31137" w:rsidRDefault="00A31137" w:rsidP="00A31137">
      <w:r w:rsidRPr="00A31137">
        <w:t>1984 Democratic Platform, p.46</w:t>
      </w:r>
    </w:p>
    <w:p w:rsidR="00A31137" w:rsidRPr="00A31137" w:rsidRDefault="00A31137" w:rsidP="00A31137">
      <w:r w:rsidRPr="00A31137">
        <w:t>It need not be. There is an alternative, a good alternative. The great Mexican patriot Benito Juarez pointed the way and said it best: "Between men as between nations, respect for the rights of others is peace." Working with our hemispheric neighbors produces understanding and cooperation. Doing something for them produces resentment and conflict.</w:t>
      </w:r>
    </w:p>
    <w:p w:rsidR="00A31137" w:rsidRPr="00A31137" w:rsidRDefault="00A31137" w:rsidP="00A31137">
      <w:r w:rsidRPr="00A31137">
        <w:t>1984 Democratic Platform, p.46</w:t>
      </w:r>
    </w:p>
    <w:p w:rsidR="00A31137" w:rsidRPr="00A31137" w:rsidRDefault="00A31137" w:rsidP="00A31137">
      <w:r w:rsidRPr="00A31137">
        <w:t>Democrats know there is a real difference between the two and a Democratic President will seek the advice and counsel of the authentic democratic voices within the region—voices that may be heard north and south, east and west; the voices of President Miguel de la Madrid of Mexico, President Balisario Betancur of Colombia, and President Raul Alfonsin of Argentina; the voices of President Jorge Blanco of the Dominican Republic, Prime Minister Tom Adams of Barbados, and President Alberto Monge of Costa Rica. By consulting with and listening carefully to these leaders and to their democratic colleagues elsewhere in the region, the next Democratic President of the United States will fashion a policy toward the region which recognizes that:</w:t>
      </w:r>
    </w:p>
    <w:p w:rsidR="00A31137" w:rsidRPr="00A31137" w:rsidRDefault="00A31137" w:rsidP="00A31137">
      <w:r w:rsidRPr="00A31137">
        <w:t>1984 Democratic Platform, p.46</w:t>
      </w:r>
    </w:p>
    <w:p w:rsidR="00A31137" w:rsidRPr="00A31137" w:rsidRDefault="00A31137" w:rsidP="00A31137">
      <w:r w:rsidRPr="00A31137">
        <w:t>—the security and well-being of the Hemisphere are more a function of economic growth and development than of military agreements and arms transfers;</w:t>
      </w:r>
    </w:p>
    <w:p w:rsidR="00A31137" w:rsidRPr="00A31137" w:rsidRDefault="00A31137" w:rsidP="00A31137">
      <w:r w:rsidRPr="00A31137">
        <w:t>1984 Democratic Platform, p.46</w:t>
      </w:r>
    </w:p>
    <w:p w:rsidR="00A31137" w:rsidRPr="00A31137" w:rsidRDefault="00A31137" w:rsidP="00A31137">
      <w:r w:rsidRPr="00A31137">
        <w:t>—the mounting debt crisis throughout the region poses a broader threat to democratic institutions and political stability than does any insurgency or armed revolutionary movement;</w:t>
      </w:r>
    </w:p>
    <w:p w:rsidR="00A31137" w:rsidRPr="00A31137" w:rsidRDefault="00A31137" w:rsidP="00A31137">
      <w:r w:rsidRPr="00A31137">
        <w:t>1984 Democratic Platform, p.46</w:t>
      </w:r>
    </w:p>
    <w:p w:rsidR="00A31137" w:rsidRPr="00A31137" w:rsidRDefault="00A31137" w:rsidP="00A31137">
      <w:r w:rsidRPr="00A31137">
        <w:t>—there is an urgent and genuine need for far-reaching economic, social and political reforms in much of the region and that such reforms are absolutely essential to the protection of basic human rights;</w:t>
      </w:r>
    </w:p>
    <w:p w:rsidR="00A31137" w:rsidRPr="00A31137" w:rsidRDefault="00A31137" w:rsidP="00A31137">
      <w:r w:rsidRPr="00A31137">
        <w:t>1984 Democratic Platform, p.46</w:t>
      </w:r>
    </w:p>
    <w:p w:rsidR="00A31137" w:rsidRPr="00A31137" w:rsidRDefault="00A31137" w:rsidP="00A31137">
      <w:r w:rsidRPr="00A31137">
        <w:t>—the future belongs as much to the people of the region—the politically forgotten and the economically deprived—as it does to the rich and powerful elite;</w:t>
      </w:r>
    </w:p>
    <w:p w:rsidR="00A31137" w:rsidRPr="00A31137" w:rsidRDefault="00A31137" w:rsidP="00A31137">
      <w:r w:rsidRPr="00A31137">
        <w:t>1984 Democratic Platform, p.46</w:t>
      </w:r>
    </w:p>
    <w:p w:rsidR="00A31137" w:rsidRPr="00A31137" w:rsidRDefault="00A31137" w:rsidP="00A31137">
      <w:r w:rsidRPr="00A31137">
        <w:t>—preservation and protection of U.S. interests in the Hemisphere requires mutual respect for national sovereignty and demilitarization of the region, prior consultation in accordance with the Rio Treaty and the OAS Charter regarding the application of the Monroe Doctrine, the use of military force, and a multilateral commitment to oppose the establishment of Soviet and Cuba military bases, strategic facilities, or combat presence in Central America or elsewhere in Latin America;</w:t>
      </w:r>
    </w:p>
    <w:p w:rsidR="00A31137" w:rsidRPr="00A31137" w:rsidRDefault="00A31137" w:rsidP="00A31137">
      <w:r w:rsidRPr="00A31137">
        <w:t>1984 Democratic Platform, p.46</w:t>
      </w:r>
    </w:p>
    <w:p w:rsidR="00A31137" w:rsidRPr="00A31137" w:rsidRDefault="00A31137" w:rsidP="00A31137">
      <w:r w:rsidRPr="00A31137">
        <w:t>—efforts to isolate Cuba only serve to make it more dependent on the Soviet Union: U.S. diplomatic skills must be employed to reduce that level of dependence and to explore the differences that divide us with a view to stabilizing our relations with Cuba. At the same time we must continue to oppose firmly Cuban intervention in the internal affairs of other nations. Progress in our relationship will depend on Cuba's willingness to end its support [p.47] for violent revolution, to recognize the sovereignty and independence of other nations by respecting the principle of non-intervention, to demonstrate respect for human rights both inside and outside of Cuba, and to abide by international norms of behavior.</w:t>
      </w:r>
    </w:p>
    <w:p w:rsidR="00A31137" w:rsidRPr="00A31137" w:rsidRDefault="00A31137" w:rsidP="00A31137">
      <w:r w:rsidRPr="00A31137">
        <w:t>1984 Democratic Platform, p.47</w:t>
      </w:r>
    </w:p>
    <w:p w:rsidR="00A31137" w:rsidRPr="00A31137" w:rsidRDefault="00A31137" w:rsidP="00A31137">
      <w:r w:rsidRPr="00A31137">
        <w:t>Mindful of these realities and determined to stop widening, militarizing, and Americanizing the conflict, a Democratic President's immediate objective will be to stop the violence and pursue a negotiated political solution in concert with our democratic allies in the Contadora group. He or she will approach Central American policy in the following terms:</w:t>
      </w:r>
    </w:p>
    <w:p w:rsidR="00A31137" w:rsidRPr="00A31137" w:rsidRDefault="00A31137" w:rsidP="00A31137">
      <w:r w:rsidRPr="00A31137">
        <w:t>1984 Democratic Platform, p.47</w:t>
      </w:r>
    </w:p>
    <w:p w:rsidR="00A31137" w:rsidRPr="00A31137" w:rsidRDefault="00A31137" w:rsidP="00A31137">
      <w:r w:rsidRPr="00A31137">
        <w:t>—First, there must be unequivocal support for the Contadora process and for the efforts by those countries to achieve political solutions to the conflicts that plague the Central American region.</w:t>
      </w:r>
    </w:p>
    <w:p w:rsidR="00A31137" w:rsidRPr="00A31137" w:rsidRDefault="00A31137" w:rsidP="00A31137">
      <w:r w:rsidRPr="00A31137">
        <w:t>1984 Democratic Platform, p.47</w:t>
      </w:r>
    </w:p>
    <w:p w:rsidR="00A31137" w:rsidRPr="00A31137" w:rsidRDefault="00A31137" w:rsidP="00A31137">
      <w:r w:rsidRPr="00A31137">
        <w:t>—Second, there must be a commitment on the part of the United States to reduce tensions in the region. We must terminate our support for the contras and other paramilitary groups fighting in Nicaragua. We must halt those U.S. military exercises in the region which are being conducted for no other real purpose than to intimidate or provoke the Nicaraguan government or which may be used as a pretext for deeper U.S. military involvement in the area. And, we must evidence our firm willingness to work for a demilitarized Central America, including the mutual withdrawal of all foreign forces and military advisors from the region. A Democratic President will seek a multilateral framework to protect the security and independence of the region which will include regional agreements to bar new military bases, to restrict the numbers and sophistication of weapons being introduced into Central America, and to permit international inspection of borders. This diplomatic effort can succeed, however, only if all countries in Central America, including Nicaragua, will agree to respect the sovereignty and integrity of their neighbors, to limit their military forces, to reject foreign military bases (other than those provided for in the Panama Canal Treaties), and to deny any external force or power the use of their territories for purposes of subversion in the region. The viability of any security agreement for Central America would be enhanced by the progressive development of pluralism in Nicaragua. To this end, the elections proposed for November are important; how they are conducted will be an indication of Nicaragua's willingness to move in the direction of genuine democracy.</w:t>
      </w:r>
    </w:p>
    <w:p w:rsidR="00A31137" w:rsidRPr="00A31137" w:rsidRDefault="00A31137" w:rsidP="00A31137">
      <w:r w:rsidRPr="00A31137">
        <w:t>1984 Democratic Platform, p.47</w:t>
      </w:r>
    </w:p>
    <w:p w:rsidR="00A31137" w:rsidRPr="00A31137" w:rsidRDefault="00A31137" w:rsidP="00A31137">
      <w:r w:rsidRPr="00A31137">
        <w:t>—Third, there must be a clear, concise signal to indicate that we are ready, willing and able to provide substantial economic resources, through the appropriate multilateral channels, to the nations of Central America, as soon as the Contadora process achieves a measure of success in restoring peace and stability in the region. In the meantime, of course, we will continue to provide humanitarian aid and refugee relief assistance. The Democratic Administration will work to help churches and universities which are providing sanctuary and assistance to Guatemalan, Haitian, and Salvadoran refugees, and will give all assistance to such refugees as is consistent with U.S. law.</w:t>
      </w:r>
    </w:p>
    <w:p w:rsidR="00A31137" w:rsidRPr="00A31137" w:rsidRDefault="00A31137" w:rsidP="00A31137">
      <w:r w:rsidRPr="00A31137">
        <w:t>1984 Democratic Platform, p.47</w:t>
      </w:r>
    </w:p>
    <w:p w:rsidR="00A31137" w:rsidRPr="00A31137" w:rsidRDefault="00A31137" w:rsidP="00A31137">
      <w:r w:rsidRPr="00A31137">
        <w:t>—Fourth, a Democratic President will support the newly elected President of El Salvador in his efforts to establish civilian democratic control, by channeling U.S. aid through him and by conditioning it on the elimination of government-supported death squads and on progress toward his objectives of land reform, human rights and serious negotiations with contending forces in El Salvador, in order to achieve a peaceful democratic political settlement of the Salvadoran conflict.</w:t>
      </w:r>
    </w:p>
    <w:p w:rsidR="00A31137" w:rsidRPr="00A31137" w:rsidRDefault="00A31137" w:rsidP="00A31137">
      <w:r w:rsidRPr="00A31137">
        <w:t>1984 Democratic Platform, p.47</w:t>
      </w:r>
    </w:p>
    <w:p w:rsidR="00A31137" w:rsidRPr="00A31137" w:rsidRDefault="00A31137" w:rsidP="00A31137">
      <w:r w:rsidRPr="00A31137">
        <w:t>—Fifth, a Democratic President will not use U.S. armed forces in or over El Salvador or Nicaragua for the purpose of engaging in combat unless: 1) Congress has declared war or otherwise authorized the use of U.S. combat forces, or 2) the use of U.S. combat forces is necessary to meet a clear and present danger of attack upon the U.S., its territories or possessions or upon U.S. embassies or citizens, consistent with the War Powers Act.</w:t>
      </w:r>
    </w:p>
    <w:p w:rsidR="00A31137" w:rsidRPr="00A31137" w:rsidRDefault="00A31137" w:rsidP="00A31137">
      <w:r w:rsidRPr="00A31137">
        <w:t>1984 Democratic Platform, p.47</w:t>
      </w:r>
    </w:p>
    <w:p w:rsidR="00A31137" w:rsidRPr="00A31137" w:rsidRDefault="00A31137" w:rsidP="00A31137">
      <w:r w:rsidRPr="00A31137">
        <w:t>These are the key elements that evidence very real differences between the Democrats' approach to Central America and that of the Reagan Administration. And these are the key elements that will offer the American public a choice—a very significant choice—between war and peace in the Central American region.</w:t>
      </w:r>
    </w:p>
    <w:p w:rsidR="00A31137" w:rsidRPr="00A31137" w:rsidRDefault="00A31137" w:rsidP="00A31137">
      <w:r w:rsidRPr="00A31137">
        <w:t>1984 Democratic Platform, p.47</w:t>
      </w:r>
    </w:p>
    <w:p w:rsidR="00A31137" w:rsidRPr="00A31137" w:rsidRDefault="00A31137" w:rsidP="00A31137">
      <w:r w:rsidRPr="00A31137">
        <w:t>A Democratic President would seek to work with the countries of the Caribbean to strengthen democratic institutions. He or she would not overlook human rights, by refusing to condemn repression by the regimes of the right or the left in the region. A Democratic President would give high priority to democracy, freedom, and to multilateral development. [p.48] A Democratic President would encourage regional cooperation and make of that important area a showplace rather than a footstool for economic development. Finally, support for democracy must be pursued in its own right, and not just as a tactic against communism.</w:t>
      </w:r>
    </w:p>
    <w:p w:rsidR="00A31137" w:rsidRPr="00A31137" w:rsidRDefault="00A31137" w:rsidP="00A31137">
      <w:r w:rsidRPr="00A31137">
        <w:t>1984 Democratic Platform, p.48</w:t>
      </w:r>
    </w:p>
    <w:p w:rsidR="00A31137" w:rsidRPr="00A31137" w:rsidRDefault="00A31137" w:rsidP="00A31137">
      <w:r w:rsidRPr="00A31137">
        <w:t>Human rights principles were a cornerstone of President Carter's foreign policy and have always been a central concern in the Inter-American system. Regional multilateral action to protect and advance human rights is an international obligation.</w:t>
      </w:r>
    </w:p>
    <w:p w:rsidR="00A31137" w:rsidRPr="00A31137" w:rsidRDefault="00A31137" w:rsidP="00A31137">
      <w:r w:rsidRPr="00A31137">
        <w:t>1984 Democratic Platform, p.48</w:t>
      </w:r>
    </w:p>
    <w:p w:rsidR="00A31137" w:rsidRPr="00A31137" w:rsidRDefault="00A31137" w:rsidP="00A31137">
      <w:r w:rsidRPr="00A31137">
        <w:t>A Democratic President must not overlook human rights, refusing to condemn repression by the regimes of the right or the left in the region. Insistence that governments respect their obligations to their people, is a criterion that must apply equally to all. It is as important in Cuba as in El Salvador, Guatemala as in Nicaragua, in Haiti as in the Paraguay and Uruguay.</w:t>
      </w:r>
    </w:p>
    <w:p w:rsidR="00A31137" w:rsidRPr="00A31137" w:rsidRDefault="00A31137" w:rsidP="00A31137">
      <w:r w:rsidRPr="00A31137">
        <w:t>1984 Democratic Platform, p.48</w:t>
      </w:r>
    </w:p>
    <w:p w:rsidR="00A31137" w:rsidRPr="00A31137" w:rsidRDefault="00A31137" w:rsidP="00A31137">
      <w:r w:rsidRPr="00A31137">
        <w:t>A Democratic Administration would place protection of human rights in a core position in our relations with Latin America and the Caribbean. It would particularly seek multilateral support for such principles by strengthening and backing the Inter-American Commission on Human Rights, and by encouraging the various private organizations in the hemisphere dedicated to monitoring and protecting human rights.</w:t>
      </w:r>
    </w:p>
    <w:p w:rsidR="00A31137" w:rsidRPr="00A31137" w:rsidRDefault="00A31137" w:rsidP="00A31137">
      <w:r w:rsidRPr="00A31137">
        <w:t>1984 Democratic Platform, p.48</w:t>
      </w:r>
    </w:p>
    <w:p w:rsidR="00A31137" w:rsidRPr="00A31137" w:rsidRDefault="00A31137" w:rsidP="00A31137">
      <w:r w:rsidRPr="00A31137">
        <w:t>Africa—The Democratic Party will advocate a set of bold new initiatives for Third World nations in general and Africa in particular. Hunger, drought, and famine have brought untold suffering to millions in Africa. This human misery—and the armies of nationless—requires a policy of substantial increases in humanitarian assistance, a major thrust in agricultural technology transfer, and cessation of the unfortunate tendency to hold such aid hostage to East-West confrontation or other geopolitical aims. The United States also must offer substantially greater economic assistance to these nations, while engaging in a North-South multilateral dialogue that addresses mutual economic development strategies, commodities pricing, and other treaties relevant to international trade. A Democratic President will join with our friends within and outside the continent in support of respect for the sovereignty and territorial integrity of all African states. Africa is the home of one-eighth of the world's population and a continent of vast resources. Our national interest demands that we give this rich and diverse continent a much higher priority.</w:t>
      </w:r>
    </w:p>
    <w:p w:rsidR="00A31137" w:rsidRPr="00A31137" w:rsidRDefault="00A31137" w:rsidP="00A31137">
      <w:r w:rsidRPr="00A31137">
        <w:t>1984 Democratic Platform, p.48</w:t>
      </w:r>
    </w:p>
    <w:p w:rsidR="00A31137" w:rsidRPr="00A31137" w:rsidRDefault="00A31137" w:rsidP="00A31137">
      <w:r w:rsidRPr="00A31137">
        <w:t>A Democratic President will reverse the Reagan Administration's failed policy of "constructive engagement" and strongly and unequivocally oppose the apartheid regime in South Africa. A Democratic Administration will.</w:t>
      </w:r>
    </w:p>
    <w:p w:rsidR="00A31137" w:rsidRPr="00A31137" w:rsidRDefault="00A31137" w:rsidP="00A31137">
      <w:r w:rsidRPr="00A31137">
        <w:t>1984 Democratic Platform, p.48</w:t>
      </w:r>
    </w:p>
    <w:p w:rsidR="00A31137" w:rsidRPr="00A31137" w:rsidRDefault="00A31137" w:rsidP="00A31137">
      <w:r w:rsidRPr="00A31137">
        <w:t>—exert maximum pressure on South Africa to hasten the establishment of a democratic, unitary political system within South Africa.</w:t>
      </w:r>
    </w:p>
    <w:p w:rsidR="00A31137" w:rsidRPr="00A31137" w:rsidRDefault="00A31137" w:rsidP="00A31137">
      <w:r w:rsidRPr="00A31137">
        <w:t>1984 Democratic Platform, p.48</w:t>
      </w:r>
    </w:p>
    <w:p w:rsidR="00A31137" w:rsidRPr="00A31137" w:rsidRDefault="00A31137" w:rsidP="00A31137">
      <w:r w:rsidRPr="00A31137">
        <w:t>—pursue scrupulous enforcement of the 1977 U.N. arms embargo against South Africa, including enforcement of restrictions on the sale of "dual use" equipment.</w:t>
      </w:r>
    </w:p>
    <w:p w:rsidR="00A31137" w:rsidRPr="00A31137" w:rsidRDefault="00A31137" w:rsidP="00A31137">
      <w:r w:rsidRPr="00A31137">
        <w:t>1984 Democratic Platform, p.48</w:t>
      </w:r>
    </w:p>
    <w:p w:rsidR="00A31137" w:rsidRPr="00A31137" w:rsidRDefault="00A31137" w:rsidP="00A31137">
      <w:r w:rsidRPr="00A31137">
        <w:t>—impose a ban on all new loans by U.S. business interests to the South African government and on all new investments and loans to the South African private sector, until there is substantial progress toward the full participation of all the people of South Africa in the social, political, and economic life in that country and toward an end to discrimination based on race or ethnic origin.</w:t>
      </w:r>
    </w:p>
    <w:p w:rsidR="00A31137" w:rsidRPr="00A31137" w:rsidRDefault="00A31137" w:rsidP="00A31137">
      <w:r w:rsidRPr="00A31137">
        <w:t>1984 Democratic Platform, p.48</w:t>
      </w:r>
    </w:p>
    <w:p w:rsidR="00A31137" w:rsidRPr="00A31137" w:rsidRDefault="00A31137" w:rsidP="00A31137">
      <w:r w:rsidRPr="00A31137">
        <w:t>—ban the sale or transfer of sophisticated computers and nuclear technology to South Africa and the importation of South African gold coins.</w:t>
      </w:r>
    </w:p>
    <w:p w:rsidR="00A31137" w:rsidRPr="00A31137" w:rsidRDefault="00A31137" w:rsidP="00A31137">
      <w:r w:rsidRPr="00A31137">
        <w:t>1984 Democratic Platform, p.48</w:t>
      </w:r>
    </w:p>
    <w:p w:rsidR="00A31137" w:rsidRPr="00A31137" w:rsidRDefault="00A31137" w:rsidP="00A31137">
      <w:r w:rsidRPr="00A31137">
        <w:t>—reimpose export controls in effect during the Carter Administration which were relaxed by the Reagan Administration.</w:t>
      </w:r>
    </w:p>
    <w:p w:rsidR="00A31137" w:rsidRPr="00A31137" w:rsidRDefault="00A31137" w:rsidP="00A31137">
      <w:r w:rsidRPr="00A31137">
        <w:t>1984 Democratic Platform, p.48</w:t>
      </w:r>
    </w:p>
    <w:p w:rsidR="00A31137" w:rsidRPr="00A31137" w:rsidRDefault="00A31137" w:rsidP="00A31137">
      <w:r w:rsidRPr="00A31137">
        <w:t>—withdraw landing rights to South African aircraft.</w:t>
      </w:r>
    </w:p>
    <w:p w:rsidR="00A31137" w:rsidRPr="00A31137" w:rsidRDefault="00A31137" w:rsidP="00A31137">
      <w:r w:rsidRPr="00A31137">
        <w:t>1984 Democratic Platform, p.48</w:t>
      </w:r>
    </w:p>
    <w:p w:rsidR="00A31137" w:rsidRPr="00A31137" w:rsidRDefault="00A31137" w:rsidP="00A31137">
      <w:r w:rsidRPr="00A31137">
        <w:t>The Democratic Party condemns South Africa for unjustly holding political prisoners. Soviet harassment of the Sakharovs is identical to South African house arrests of political opponents of the South African regime. Specifically, the detention of Nelson Mandela, leader of the African National Congress, and Winnie Mandela must be brought to the world's attention, and we demand their immediate release. In addition, we demand the immediate release of all other political prisoners in South Africa.</w:t>
      </w:r>
    </w:p>
    <w:p w:rsidR="00A31137" w:rsidRPr="00A31137" w:rsidRDefault="00A31137" w:rsidP="00A31137">
      <w:r w:rsidRPr="00A31137">
        <w:t>1984 Democratic Platform, p.48</w:t>
      </w:r>
    </w:p>
    <w:p w:rsidR="00A31137" w:rsidRPr="00A31137" w:rsidRDefault="00A31137" w:rsidP="00A31137">
      <w:r w:rsidRPr="00A31137">
        <w:t>A Democratic Administration will work as well toward legitimate rights of self-determination of the peoples of Namibia by:</w:t>
      </w:r>
    </w:p>
    <w:p w:rsidR="00A31137" w:rsidRPr="00A31137" w:rsidRDefault="00A31137" w:rsidP="00A31137">
      <w:r w:rsidRPr="00A31137">
        <w:t>1984 Democratic Platform, p.48</w:t>
      </w:r>
    </w:p>
    <w:p w:rsidR="00A31137" w:rsidRPr="00A31137" w:rsidRDefault="00A31137" w:rsidP="00A31137">
      <w:r w:rsidRPr="00A31137">
        <w:t>—demanding compliance with U.N. Security Council Resolution 435—the six-year-old blueprint for Namibian independence;</w:t>
      </w:r>
    </w:p>
    <w:p w:rsidR="00A31137" w:rsidRPr="00A31137" w:rsidRDefault="00A31137" w:rsidP="00A31137">
      <w:r w:rsidRPr="00A31137">
        <w:t>1984 Democratic Platform, p.48</w:t>
      </w:r>
    </w:p>
    <w:p w:rsidR="00A31137" w:rsidRPr="00A31137" w:rsidRDefault="00A31137" w:rsidP="00A31137">
      <w:r w:rsidRPr="00A31137">
        <w:t>—imposing severe fines on U.S. companies that violate the United Nations Decree prohibiting foreign exploitation of Namibian mineral wealth until Namibia attains independence;</w:t>
      </w:r>
    </w:p>
    <w:p w:rsidR="00A31137" w:rsidRPr="00A31137" w:rsidRDefault="00A31137" w:rsidP="00A31137">
      <w:r w:rsidRPr="00A31137">
        <w:t>1984 Democratic Platform, p.48</w:t>
      </w:r>
    </w:p>
    <w:p w:rsidR="00A31137" w:rsidRPr="00A31137" w:rsidRDefault="00A31137" w:rsidP="00A31137">
      <w:r w:rsidRPr="00A31137">
        <w:t>—progressively increasing effective sanctions against South Africa unless and until it grants independence to Namibia and abolishes its own abhorrent apartheid system.</w:t>
      </w:r>
    </w:p>
    <w:p w:rsidR="00A31137" w:rsidRPr="00A31137" w:rsidRDefault="00A31137" w:rsidP="00A31137">
      <w:r w:rsidRPr="00A31137">
        <w:t>1984 Democratic Platform, p.49</w:t>
      </w:r>
    </w:p>
    <w:p w:rsidR="00A31137" w:rsidRPr="00A31137" w:rsidRDefault="00A31137" w:rsidP="00A31137">
      <w:r w:rsidRPr="00A31137">
        <w:t>[p.49] Asia—Our relationship with the countries of Asia and the Pacific Basin will continue to be of increasing importance. The political, cultural, economic, and strategic ties which link the United States to this reason cannot be ignored.</w:t>
      </w:r>
    </w:p>
    <w:p w:rsidR="00A31137" w:rsidRPr="00A31137" w:rsidRDefault="00A31137" w:rsidP="00A31137">
      <w:r w:rsidRPr="00A31137">
        <w:t>1984 Democratic Platform, p.49</w:t>
      </w:r>
    </w:p>
    <w:p w:rsidR="00A31137" w:rsidRPr="00A31137" w:rsidRDefault="00A31137" w:rsidP="00A31137">
      <w:r w:rsidRPr="00A31137">
        <w:t>With our Asian friends and allies, we have a common cause in preserving the security and enhancing democracy in the area.</w:t>
      </w:r>
    </w:p>
    <w:p w:rsidR="00A31137" w:rsidRPr="00A31137" w:rsidRDefault="00A31137" w:rsidP="00A31137">
      <w:r w:rsidRPr="00A31137">
        <w:t>1984 Democratic Platform, p.49</w:t>
      </w:r>
    </w:p>
    <w:p w:rsidR="00A31137" w:rsidRPr="00A31137" w:rsidRDefault="00A31137" w:rsidP="00A31137">
      <w:r w:rsidRPr="00A31137">
        <w:t>With our Asian trading partners, we share a common interest in expanding commerce and fair trade between us, as evidenced by the 33 percent of total American trade now conducted with those countries.</w:t>
      </w:r>
    </w:p>
    <w:p w:rsidR="00A31137" w:rsidRPr="00A31137" w:rsidRDefault="00A31137" w:rsidP="00A31137">
      <w:r w:rsidRPr="00A31137">
        <w:t>1984 Democratic Platform, p.49</w:t>
      </w:r>
    </w:p>
    <w:p w:rsidR="00A31137" w:rsidRPr="00A31137" w:rsidRDefault="00A31137" w:rsidP="00A31137">
      <w:r w:rsidRPr="00A31137">
        <w:t>And with the growing number of Asian/Pacific-Americans, we welcome the strength and vitality which increased cultural ties bring to this country.</w:t>
      </w:r>
    </w:p>
    <w:p w:rsidR="00A31137" w:rsidRPr="00A31137" w:rsidRDefault="00A31137" w:rsidP="00A31137">
      <w:r w:rsidRPr="00A31137">
        <w:t>1984 Democratic Platform, p.49</w:t>
      </w:r>
    </w:p>
    <w:p w:rsidR="00A31137" w:rsidRPr="00A31137" w:rsidRDefault="00A31137" w:rsidP="00A31137">
      <w:r w:rsidRPr="00A31137">
        <w:t>Our relationship with Japan is a key to the maintenance of peace, security, and development in Asia and the Pacific region. Mutual respect, enhanced cooperation, and steady diplomacy must guide our dealings with Japan. At the same time, as allies and friends, we must work to resolve areas of disagreement. A Democratic President, therefore, will press for increased access to Japanese as well as other Asian markets for American firms and their produces. Finally, a Democratic President will expect Japan to continue moving toward assuming its fair share of the burden of collective security—in self-defense as well as in foreign assistance and democratic development.</w:t>
      </w:r>
    </w:p>
    <w:p w:rsidR="00A31137" w:rsidRPr="00A31137" w:rsidRDefault="00A31137" w:rsidP="00A31137">
      <w:r w:rsidRPr="00A31137">
        <w:t>1984 Democratic Platform, p.49</w:t>
      </w:r>
    </w:p>
    <w:p w:rsidR="00A31137" w:rsidRPr="00A31137" w:rsidRDefault="00A31137" w:rsidP="00A31137">
      <w:r w:rsidRPr="00A31137">
        <w:t>Our security in the Pacific region is also closely tied to the well-being of our long-time allies. Australia and New Zealand. A Democratic President will honor and strengthen our security commitment to ANZUS as well as to other Southeast Asian friends.</w:t>
      </w:r>
    </w:p>
    <w:p w:rsidR="00A31137" w:rsidRPr="00A31137" w:rsidRDefault="00A31137" w:rsidP="00A31137">
      <w:r w:rsidRPr="00A31137">
        <w:t>1984 Democratic Platform, p.49</w:t>
      </w:r>
    </w:p>
    <w:p w:rsidR="00A31137" w:rsidRPr="00A31137" w:rsidRDefault="00A31137" w:rsidP="00A31137">
      <w:r w:rsidRPr="00A31137">
        <w:t>Our relationship with the People's Republic of China must also be nurtured and strengthened. The Democratic Party believes that our developing relations with the PRC offer a historic opportunity to bring one quarter of the world's population into the community of nations, to strengthen a counterweight to Soviet expansionism, and to enhance economic relations that offer great potential for mutual advantage. At the same time, we recognize our historic ties to the people on Taiwan and we will continue to honor our commitments to them, consistent with the Taiwan Relations Act.</w:t>
      </w:r>
    </w:p>
    <w:p w:rsidR="00A31137" w:rsidRPr="00A31137" w:rsidRDefault="00A31137" w:rsidP="00A31137">
      <w:r w:rsidRPr="00A31137">
        <w:t>1984 Democratic Platform, p.49</w:t>
      </w:r>
    </w:p>
    <w:p w:rsidR="00A31137" w:rsidRPr="00A31137" w:rsidRDefault="00A31137" w:rsidP="00A31137">
      <w:r w:rsidRPr="00A31137">
        <w:t>Our own principles and interests demand that we work with those in Asia, as well as elsewhere, who can encourage democratic institutions and support greater respect for human rights. A Democratic President will work closely with the world's largest democracy, India, and maintain mutually beneficial ties. A Democratic President will press for the restoration of full democracy in the Philippines, further democratization and the elimination of martial law in Taiwan, the return to freedom of speech and press in South Korea, and restoration of human rights for the people of East Timor. Recognizing the strategic importance of Pakistan and the close relationship which has existed between our two countries, a Democratic President would press to restore democracy and terminate its nuclear weapons program. Finally, a Democratic President would press for the fullest possible accounting of Americans still missing in Indochina.</w:t>
      </w:r>
    </w:p>
    <w:p w:rsidR="00A31137" w:rsidRPr="00A31137" w:rsidRDefault="00A31137" w:rsidP="00A31137">
      <w:r w:rsidRPr="00A31137">
        <w:t>1984 Democratic Platform, p.49</w:t>
      </w:r>
    </w:p>
    <w:p w:rsidR="00A31137" w:rsidRPr="00A31137" w:rsidRDefault="00A31137" w:rsidP="00A31137">
      <w:r w:rsidRPr="00A31137">
        <w:t>For the past four years, the Soviet Union has been engaged in a brutal effort to crush the resistance of the people or Afghanistan. It denies their right to independence. It is trying to stamp out their culture and to deny them the right to practice their religion, Islam. But despite appalling costs, the people of Afghanistan continue to resist—demonstrating the same qualities of human aspiration and fortitude that made our own nation great. We must continue to oppose Soviet aggression in Afghanistan. We should support the efforts of the Afghanistan freedom fighters with material assistance.</w:t>
      </w:r>
    </w:p>
    <w:p w:rsidR="00A31137" w:rsidRPr="00A31137" w:rsidRDefault="00A31137" w:rsidP="00A31137">
      <w:r w:rsidRPr="00A31137">
        <w:t>1984 Democratic Platform, p.49</w:t>
      </w:r>
    </w:p>
    <w:p w:rsidR="00A31137" w:rsidRPr="00A31137" w:rsidRDefault="00A31137" w:rsidP="00A31137">
      <w:r w:rsidRPr="00A31137">
        <w:t>If the Soviet Union is prepared to abide by the principles of international law and human dignity, it should find the U.S. prepared to help produce a peaceful settlement.</w:t>
      </w:r>
    </w:p>
    <w:p w:rsidR="00A31137" w:rsidRPr="00A31137" w:rsidRDefault="00A31137" w:rsidP="00A31137">
      <w:r w:rsidRPr="00A31137">
        <w:t>Global Debt and Development</w:t>
      </w:r>
    </w:p>
    <w:p w:rsidR="00A31137" w:rsidRPr="00A31137" w:rsidRDefault="00A31137" w:rsidP="00A31137">
      <w:r w:rsidRPr="00A31137">
        <w:t>1984 Democratic Platform, p.49</w:t>
      </w:r>
    </w:p>
    <w:p w:rsidR="00A31137" w:rsidRPr="00A31137" w:rsidRDefault="00A31137" w:rsidP="00A31137">
      <w:r w:rsidRPr="00A31137">
        <w:t xml:space="preserve">The Democratic Party will pursue policies for economic development, for aid and trade that meet the needs of the people of the developing world and that further our own national interest. The next Democratic President will support development policies that meet the basic needs of the poor for food, water, energy, medical care, and shelter rather than "trickle down" policies that never reach those on the bottom. The next Democratic Administration will give preference in its foreign assistance to countries with democratic institutions and respect for human rights. </w:t>
      </w:r>
    </w:p>
    <w:p w:rsidR="00A31137" w:rsidRPr="00A31137" w:rsidRDefault="00A31137" w:rsidP="00A31137">
      <w:r w:rsidRPr="00A31137">
        <w:t>1984 Democratic Platform, p.49</w:t>
      </w:r>
    </w:p>
    <w:p w:rsidR="00A31137" w:rsidRPr="00A31137" w:rsidRDefault="00A31137" w:rsidP="00A31137">
      <w:r w:rsidRPr="00A31137">
        <w:t>A Democratic President will seek to cut back record U.S. budget deficits and interest rates not only for our own economic well-being, but to reduce the economic crisis confronting so many industrialized and developing states alike.</w:t>
      </w:r>
    </w:p>
    <w:p w:rsidR="00A31137" w:rsidRPr="00A31137" w:rsidRDefault="00A31137" w:rsidP="00A31137">
      <w:r w:rsidRPr="00A31137">
        <w:t>1984 Democratic Platform, p.49</w:t>
      </w:r>
    </w:p>
    <w:p w:rsidR="00A31137" w:rsidRPr="00A31137" w:rsidRDefault="00A31137" w:rsidP="00A31137">
      <w:r w:rsidRPr="00A31137">
        <w:t>Mr. Reagan has perceived national security in very limited and parochial terms, and thus has failed completely to grasp the significance of the international debt which now has sky-rocketed to some $800 billion. In 1983, some thirty nations accounting for half of this total were forced to seek restructuring of their debts with public and private creditors because they were unable to meet their debt payments.</w:t>
      </w:r>
    </w:p>
    <w:p w:rsidR="00A31137" w:rsidRPr="00A31137" w:rsidRDefault="00A31137" w:rsidP="00A31137">
      <w:r w:rsidRPr="00A31137">
        <w:t>1984 Democratic Platform, p.50</w:t>
      </w:r>
    </w:p>
    <w:p w:rsidR="00A31137" w:rsidRPr="00A31137" w:rsidRDefault="00A31137" w:rsidP="00A31137">
      <w:r w:rsidRPr="00A31137">
        <w:t>[p.50] The U.S. economy is directly linked to the costs of these loans through their variable interest rates (tied to the U.S. prime rate). A rise in the U.S. prime rate by one percent added more than $4 billion to the annual interest costs associated with these external debts. The struggle to meet their external debts has slashed the purchasing power of these developing countries and forced them to curtail imports from the U.S. This accounts for one-third to one-half of the adverse turn in the U.S. trade deficit, which is projected to reach $130 billion this year.</w:t>
      </w:r>
    </w:p>
    <w:p w:rsidR="00A31137" w:rsidRPr="00A31137" w:rsidRDefault="00A31137" w:rsidP="00A31137">
      <w:r w:rsidRPr="00A31137">
        <w:t>1984 Democratic Platform, p.50</w:t>
      </w:r>
    </w:p>
    <w:p w:rsidR="00A31137" w:rsidRPr="00A31137" w:rsidRDefault="00A31137" w:rsidP="00A31137">
      <w:r w:rsidRPr="00A31137">
        <w:t>The social and political stability of these developing countries is seriously challenged by the debt crisis. In light of the interdependence of the international economy, the crisis also threatens the very foundation of the international financial system. To answer these dangers, the Democratic Administration will:</w:t>
      </w:r>
    </w:p>
    <w:p w:rsidR="00A31137" w:rsidRPr="00A31137" w:rsidRDefault="00A31137" w:rsidP="00A31137">
      <w:r w:rsidRPr="00A31137">
        <w:t>1984 Democratic Platform, p.50</w:t>
      </w:r>
    </w:p>
    <w:p w:rsidR="00A31137" w:rsidRPr="00A31137" w:rsidRDefault="00A31137" w:rsidP="00A31137">
      <w:r w:rsidRPr="00A31137">
        <w:t>—Call immediately for discussions on improving the functioning of the international monetary systems and on developing a comprehensive long-term approach to the international debt problem.</w:t>
      </w:r>
    </w:p>
    <w:p w:rsidR="00A31137" w:rsidRPr="00A31137" w:rsidRDefault="00A31137" w:rsidP="00A31137">
      <w:r w:rsidRPr="00A31137">
        <w:t>1984 Democratic Platform, p.50</w:t>
      </w:r>
    </w:p>
    <w:p w:rsidR="00A31137" w:rsidRPr="00A31137" w:rsidRDefault="00A31137" w:rsidP="00A31137">
      <w:r w:rsidRPr="00A31137">
        <w:t>—Instruct the Treasury Department to work with the Federal Reserve Board, U.S. bank regulators, key private banks, and the finance ministers and central bankers of Europe and Japan, to develop a short-term program for reducing the debt service obligations of less developed countries, while 1) preserving the safety and soundness of the international banking system and 2) ensuring that the costs of the program shared equitably among all parties to existing and rescheduled debts.</w:t>
      </w:r>
    </w:p>
    <w:p w:rsidR="00A31137" w:rsidRPr="00A31137" w:rsidRDefault="00A31137" w:rsidP="00A31137">
      <w:r w:rsidRPr="00A31137">
        <w:t>1984 Democratic Platform, p.50</w:t>
      </w:r>
    </w:p>
    <w:p w:rsidR="00A31137" w:rsidRPr="00A31137" w:rsidRDefault="00A31137" w:rsidP="00A31137">
      <w:r w:rsidRPr="00A31137">
        <w:t>—Recommend an increase in the lending capacity of the World Bank, as well as an increase in the lending capacity of the Export-Import Bank of the U.S.. to ensure that debtor nations obtain adequate capital for investment in export industries.</w:t>
      </w:r>
    </w:p>
    <w:p w:rsidR="00A31137" w:rsidRPr="00A31137" w:rsidRDefault="00A31137" w:rsidP="00A31137">
      <w:r w:rsidRPr="00A31137">
        <w:t>1984 Democratic Platform, p.50</w:t>
      </w:r>
    </w:p>
    <w:p w:rsidR="00A31137" w:rsidRPr="00A31137" w:rsidRDefault="00A31137" w:rsidP="00A31137">
      <w:r w:rsidRPr="00A31137">
        <w:t xml:space="preserve">—Review international trade barriers which limit the ability of these countries to earn foreign exchange. </w:t>
      </w:r>
    </w:p>
    <w:p w:rsidR="00A31137" w:rsidRPr="00A31137" w:rsidRDefault="00A31137" w:rsidP="00A31137">
      <w:r w:rsidRPr="00A31137">
        <w:t>1984 Democratic Platform, p.50</w:t>
      </w:r>
    </w:p>
    <w:p w:rsidR="00A31137" w:rsidRPr="00A31137" w:rsidRDefault="00A31137" w:rsidP="00A31137">
      <w:r w:rsidRPr="00A31137">
        <w:t>Security assistance can in appropriate circumstances, help our friends meet legitimate defense needs. But shifting the balance from economic development toward military sales, as has occurred over the past three and one-half years, sets back the cause of peace and justice, fuels restful arms races, and places sophisticated weapons in the hands of those who could one day turn them back upon us and upon our friends and allies. The Democratic Party seeks now, as in the past, effective international agreements to limit and reduce the transfer of conventional arms.</w:t>
      </w:r>
    </w:p>
    <w:p w:rsidR="00A31137" w:rsidRPr="00A31137" w:rsidRDefault="00A31137" w:rsidP="00A31137">
      <w:r w:rsidRPr="00A31137">
        <w:t>1984 Democratic Platform, p.50</w:t>
      </w:r>
    </w:p>
    <w:p w:rsidR="00A31137" w:rsidRPr="00A31137" w:rsidRDefault="00A31137" w:rsidP="00A31137">
      <w:r w:rsidRPr="00A31137">
        <w:t>A Democratic President will seize new opportunities to make major advances at limited cost in the health and survival of the world's poorest people—thus enabling more people to contribute to and share in the world's resources, and promoting stability and popular participation in their societies. Recognizing that unrestrained population growth constitutes a danger for economic progress and political stability, a Democratic President will restore full U.S. support for national and international population programs that are now threatened by the policies of the Reagan Administration.</w:t>
      </w:r>
    </w:p>
    <w:p w:rsidR="00A31137" w:rsidRPr="00A31137" w:rsidRDefault="00A31137" w:rsidP="00A31137">
      <w:r w:rsidRPr="00A31137">
        <w:t>1984 Democratic Platform, p.50</w:t>
      </w:r>
    </w:p>
    <w:p w:rsidR="00A31137" w:rsidRPr="00A31137" w:rsidRDefault="00A31137" w:rsidP="00A31137">
      <w:r w:rsidRPr="00A31137">
        <w:t>A Democratic President will work to see the power and prestige of the U.S. fully committed to the reform and strengthening of the United Nations and other international agencies in the pursuit of their original purposes—peace, economic and social welfare, education, and human rights.</w:t>
      </w:r>
    </w:p>
    <w:p w:rsidR="00A31137" w:rsidRPr="00A31137" w:rsidRDefault="00A31137" w:rsidP="00A31137">
      <w:r w:rsidRPr="00A31137">
        <w:t>1984 Democratic Platform, p.50</w:t>
      </w:r>
    </w:p>
    <w:p w:rsidR="00A31137" w:rsidRPr="00A31137" w:rsidRDefault="00A31137" w:rsidP="00A31137">
      <w:r w:rsidRPr="00A31137">
        <w:t>Because of the economic instability caused by global debts and by other problems, unprecedented migration into the United States and other parts of the world is occurring in the form of economic refugees. The Democratic Party will support economic development programs so as to aid nations in reducing migration from their countries, and thereby reduce the flow of economic refugees to the U.S. and other parts of the world.</w:t>
      </w:r>
    </w:p>
    <w:p w:rsidR="00A31137" w:rsidRPr="00A31137" w:rsidRDefault="00A31137" w:rsidP="00A31137">
      <w:r w:rsidRPr="00A31137">
        <w:t>1984 Democratic Platform, p.50</w:t>
      </w:r>
    </w:p>
    <w:p w:rsidR="00A31137" w:rsidRPr="00A31137" w:rsidRDefault="00A31137" w:rsidP="00A31137">
      <w:r w:rsidRPr="00A31137">
        <w:t>Rather than scuttling the international Law of the Sea negotiations after over a decade of bipartisan U.S. involvement, a Democratic President will actively pursue efforts to achieve an acceptable Treaty and related agreements that protect U.S. interests in all uses of ocean space.</w:t>
      </w:r>
    </w:p>
    <w:p w:rsidR="00A31137" w:rsidRPr="00A31137" w:rsidRDefault="00A31137" w:rsidP="00A31137">
      <w:r w:rsidRPr="00A31137">
        <w:t>Human Rights and Solidarity</w:t>
      </w:r>
    </w:p>
    <w:p w:rsidR="00A31137" w:rsidRPr="00A31137" w:rsidRDefault="00A31137" w:rsidP="00A31137">
      <w:r w:rsidRPr="00A31137">
        <w:t>1984 Democratic Platform, p.50</w:t>
      </w:r>
    </w:p>
    <w:p w:rsidR="00A31137" w:rsidRPr="00A31137" w:rsidRDefault="00A31137" w:rsidP="00A31137">
      <w:r w:rsidRPr="00A31137">
        <w:t>The Democratic Party believes that we need new approaches to replace the failed Republican policies. We need sustained, personal, presidential leadership in foreign policy and arms control. We need a President who will meet with the Soviets to challenge them to reduce the danger of nuclear war, who will become personally involved in reviving the Camp David peace process, who will give his or her full support to the Contadora negotiations, and who will press the South Africans to repeal their policies of apartheid and destabilization. We need a President who will understand that human rights and national security interests are mutually supportive. We need a President to restore our influence, enhance our security, pursue democracy and freedom, and work unremittingly for peace. With firm purpose, skill, sensitivity, and a recovery of our own pride in what we are—a [p.51] Democratic President will build an international alliance of free people to promote these great causes.</w:t>
      </w:r>
    </w:p>
    <w:p w:rsidR="00A31137" w:rsidRPr="00A31137" w:rsidRDefault="00A31137" w:rsidP="00A31137">
      <w:r w:rsidRPr="00A31137">
        <w:t>1984 Democratic Platform, p.51</w:t>
      </w:r>
    </w:p>
    <w:p w:rsidR="00A31137" w:rsidRPr="00A31137" w:rsidRDefault="00A31137" w:rsidP="00A31137">
      <w:r w:rsidRPr="00A31137">
        <w:t>A Democratic President will pursue a foreign policy that advances basic civil and political rights—freedom of speech, association, thought and religion, the right to leave, freedom of the integrity of the person, and the prohibition of torture, arbitrary detention and cruel, inhuman and degrading treatment—and that seeks as well to attain basic, economic, social, and cultural rights. A Democratic President's concern must extend from the terror of the Russian Gulag to the jails of Latin generals. The banning of South African blacks is no more acceptable than the silencing of of Cuban poets. A Democratic President will end U.S. support for dictators throughout the world from Haiti to the Philippines. He or she will support and defend the observance of basic human rights called for in the Universal Declaration of Human Rights and the Helsinki Final Act. He or she will seek, through both quiet diplomacy and public measures, the release of political prisoners and the free immigration of prosecuted individuals and peoples around the world. He or she will seek U.S. ratification of the Genocide Convention, the International Covenants on Human Rights, and the American Convention on Human Rights, as well as the establishment of a U.N. High Commissioner for Human Rights. He or she will fulfill the spirit as well as the letter of our legislation calling for the denial of military and economic assistance to governments that systematically violate human rights.</w:t>
      </w:r>
    </w:p>
    <w:p w:rsidR="00A31137" w:rsidRPr="00A31137" w:rsidRDefault="00A31137" w:rsidP="00A31137">
      <w:r w:rsidRPr="00A31137">
        <w:t>1984 Democratic Platform, p.51</w:t>
      </w:r>
    </w:p>
    <w:p w:rsidR="00A31137" w:rsidRPr="00A31137" w:rsidRDefault="00A31137" w:rsidP="00A31137">
      <w:r w:rsidRPr="00A31137">
        <w:t>The Democratic Party believes that whether it is in response to totalitarianism in the Soviet Union or repression in Latin America and East Asia, to apartheid in South Africa or martial law in Poland, to terrorism in Libya or the reign of terror in Iran, or to barbaric aggression in Southeast Asia and Afghanistan, the foreign policy of the United States must be unmistakably on the side of those who love freedom.</w:t>
      </w:r>
    </w:p>
    <w:p w:rsidR="00A31137" w:rsidRPr="00A31137" w:rsidRDefault="00A31137" w:rsidP="00A31137">
      <w:r w:rsidRPr="00A31137">
        <w:t>1984 Democratic Platform, p.51</w:t>
      </w:r>
    </w:p>
    <w:p w:rsidR="00A31137" w:rsidRPr="00A31137" w:rsidRDefault="00A31137" w:rsidP="00A31137">
      <w:r w:rsidRPr="00A31137">
        <w:t>As Democrats and as Americans, we will make support for democracy, human rights and economic and social justice the cornerstone of our policy. These are the most revolutionary ideas on our planet. They are not to be feared. They are the hallmarks of the democratic century that lies before us.</w:t>
      </w:r>
    </w:p>
    <w:p w:rsidR="00A31137" w:rsidRPr="00A31137" w:rsidRDefault="00A31137" w:rsidP="00A31137">
      <w:r w:rsidRPr="00A31137">
        <w:t>Republican Platform of 1984</w:t>
      </w:r>
    </w:p>
    <w:p w:rsidR="00A31137" w:rsidRPr="00A31137" w:rsidRDefault="00A31137" w:rsidP="00A31137">
      <w:r w:rsidRPr="00A31137">
        <w:t>Title:</w:t>
      </w:r>
      <w:r w:rsidRPr="00A31137">
        <w:tab/>
        <w:t>Republican Platform of 1984</w:t>
      </w:r>
    </w:p>
    <w:p w:rsidR="00A31137" w:rsidRPr="00A31137" w:rsidRDefault="00A31137" w:rsidP="00A31137">
      <w:r w:rsidRPr="00A31137">
        <w:t>Author:</w:t>
      </w:r>
      <w:r w:rsidRPr="00A31137">
        <w:tab/>
        <w:t>Republican Party</w:t>
      </w:r>
    </w:p>
    <w:p w:rsidR="00A31137" w:rsidRPr="00A31137" w:rsidRDefault="00A31137" w:rsidP="00A31137">
      <w:r w:rsidRPr="00A31137">
        <w:t>Date:</w:t>
      </w:r>
      <w:r w:rsidRPr="00A31137">
        <w:tab/>
        <w:t>1984</w:t>
      </w:r>
    </w:p>
    <w:p w:rsidR="00A31137" w:rsidRPr="00A31137" w:rsidRDefault="00A31137" w:rsidP="00A31137">
      <w:r w:rsidRPr="00A31137">
        <w:t>Source:</w:t>
      </w:r>
      <w:r w:rsidRPr="00A31137">
        <w:tab/>
        <w:t>1984 Republican Party Platform Booklet</w:t>
      </w:r>
    </w:p>
    <w:p w:rsidR="00A31137" w:rsidRPr="00A31137" w:rsidRDefault="00A31137" w:rsidP="00A31137">
      <w:r w:rsidRPr="00A31137">
        <w:t>America's Future Free and Secure</w:t>
      </w:r>
    </w:p>
    <w:p w:rsidR="00A31137" w:rsidRPr="00A31137" w:rsidRDefault="00A31137" w:rsidP="00A31137">
      <w:r w:rsidRPr="00A31137">
        <w:t>Proposed by the Committee on Resolutions</w:t>
      </w:r>
    </w:p>
    <w:p w:rsidR="00A31137" w:rsidRPr="00A31137" w:rsidRDefault="00A31137" w:rsidP="00A31137">
      <w:r w:rsidRPr="00A31137">
        <w:t>Republican National Convention</w:t>
      </w:r>
    </w:p>
    <w:p w:rsidR="00A31137" w:rsidRPr="00A31137" w:rsidRDefault="00A31137" w:rsidP="00A31137">
      <w:r w:rsidRPr="00A31137">
        <w:t>August 20, 1984</w:t>
      </w:r>
    </w:p>
    <w:p w:rsidR="00A31137" w:rsidRPr="00A31137" w:rsidRDefault="00A31137" w:rsidP="00A31137">
      <w:r w:rsidRPr="00A31137">
        <w:t>Preamble</w:t>
      </w:r>
    </w:p>
    <w:p w:rsidR="00A31137" w:rsidRPr="00A31137" w:rsidRDefault="00A31137" w:rsidP="00A31137">
      <w:r w:rsidRPr="00A31137">
        <w:t>1984 Republican Platform, p.1</w:t>
      </w:r>
    </w:p>
    <w:p w:rsidR="00A31137" w:rsidRPr="00A31137" w:rsidRDefault="00A31137" w:rsidP="00A31137">
      <w:r w:rsidRPr="00A31137">
        <w:t>This year, the American people will choose between two diametrically opposed visions of what America should be.</w:t>
      </w:r>
    </w:p>
    <w:p w:rsidR="00A31137" w:rsidRPr="00A31137" w:rsidRDefault="00A31137" w:rsidP="00A31137">
      <w:r w:rsidRPr="00A31137">
        <w:t>1984 Republican Platform, p.1</w:t>
      </w:r>
    </w:p>
    <w:p w:rsidR="00A31137" w:rsidRPr="00A31137" w:rsidRDefault="00A31137" w:rsidP="00A31137">
      <w:r w:rsidRPr="00A31137">
        <w:t>The Republican Party looks at our people and sees a new dawn of the American spirit.</w:t>
      </w:r>
    </w:p>
    <w:p w:rsidR="00A31137" w:rsidRPr="00A31137" w:rsidRDefault="00A31137" w:rsidP="00A31137">
      <w:r w:rsidRPr="00A31137">
        <w:t>1984 Republican Platform, p.1</w:t>
      </w:r>
    </w:p>
    <w:p w:rsidR="00A31137" w:rsidRPr="00A31137" w:rsidRDefault="00A31137" w:rsidP="00A31137">
      <w:r w:rsidRPr="00A31137">
        <w:t>The Democratic Party looks at our nation and sees the twilight of the American soul.</w:t>
      </w:r>
    </w:p>
    <w:p w:rsidR="00A31137" w:rsidRPr="00A31137" w:rsidRDefault="00A31137" w:rsidP="00A31137">
      <w:r w:rsidRPr="00A31137">
        <w:t>1984 Republican Platform, p.1</w:t>
      </w:r>
    </w:p>
    <w:p w:rsidR="00A31137" w:rsidRPr="00A31137" w:rsidRDefault="00A31137" w:rsidP="00A31137">
      <w:r w:rsidRPr="00A31137">
        <w:t>Republicans affirm that now, as throughout history, the spiritual and intellectual genius of the American people will create a better nation and maintain a just peace. To Republicans, creativity and growth are imperatives for a new era of opportunity for all.</w:t>
      </w:r>
    </w:p>
    <w:p w:rsidR="00A31137" w:rsidRPr="00A31137" w:rsidRDefault="00A31137" w:rsidP="00A31137">
      <w:r w:rsidRPr="00A31137">
        <w:t>1984 Republican Platform, p.1</w:t>
      </w:r>
    </w:p>
    <w:p w:rsidR="00A31137" w:rsidRPr="00A31137" w:rsidRDefault="00A31137" w:rsidP="00A31137">
      <w:r w:rsidRPr="00A31137">
        <w:t>The Republican Party's vision of America's future, the heart of our 1984 Platform, begins with a basic premise:</w:t>
      </w:r>
    </w:p>
    <w:p w:rsidR="00A31137" w:rsidRPr="00A31137" w:rsidRDefault="00A31137" w:rsidP="00A31137">
      <w:r w:rsidRPr="00A31137">
        <w:t>1984 Republican Platform, p.1</w:t>
      </w:r>
    </w:p>
    <w:p w:rsidR="00A31137" w:rsidRPr="00A31137" w:rsidRDefault="00A31137" w:rsidP="00A31137">
      <w:r w:rsidRPr="00A31137">
        <w:t>From freedom comes opportunity; from opportunity comes growth; from growth comes progress.</w:t>
      </w:r>
    </w:p>
    <w:p w:rsidR="00A31137" w:rsidRPr="00A31137" w:rsidRDefault="00A31137" w:rsidP="00A31137">
      <w:r w:rsidRPr="00A31137">
        <w:t>1984 Republican Platform, p.1</w:t>
      </w:r>
    </w:p>
    <w:p w:rsidR="00A31137" w:rsidRPr="00A31137" w:rsidRDefault="00A31137" w:rsidP="00A31137">
      <w:r w:rsidRPr="00A31137">
        <w:t>This is not some abstract formula. It is the vibrant, beating heart of the American experience. No matter how complex our problems, no matter how difficult our tasks, it is freedom that inspires and guides the American Dream.</w:t>
      </w:r>
    </w:p>
    <w:p w:rsidR="00A31137" w:rsidRPr="00A31137" w:rsidRDefault="00A31137" w:rsidP="00A31137">
      <w:r w:rsidRPr="00A31137">
        <w:t>1984 Republican Platform, p.1</w:t>
      </w:r>
    </w:p>
    <w:p w:rsidR="00A31137" w:rsidRPr="00A31137" w:rsidRDefault="00A31137" w:rsidP="00A31137">
      <w:r w:rsidRPr="00A31137">
        <w:t>If everything depends on freedom—and it does—then securing freedom, at home and around the world, is one of the most important endeavors a free people can undertake.</w:t>
      </w:r>
    </w:p>
    <w:p w:rsidR="00A31137" w:rsidRPr="00A31137" w:rsidRDefault="00A31137" w:rsidP="00A31137">
      <w:r w:rsidRPr="00A31137">
        <w:t>1984 Republican Platform, p.1</w:t>
      </w:r>
    </w:p>
    <w:p w:rsidR="00A31137" w:rsidRPr="00A31137" w:rsidRDefault="00A31137" w:rsidP="00A31137">
      <w:r w:rsidRPr="00A31137">
        <w:t>Thus, the title of our Platform, "America's Future: Free and Secure," is more than a summary of our Platform's message. It is the essence.</w:t>
      </w:r>
    </w:p>
    <w:p w:rsidR="00A31137" w:rsidRPr="00A31137" w:rsidRDefault="00A31137" w:rsidP="00A31137">
      <w:r w:rsidRPr="00A31137">
        <w:t>1984 Republican Platform, p.1</w:t>
      </w:r>
    </w:p>
    <w:p w:rsidR="00A31137" w:rsidRPr="00A31137" w:rsidRDefault="00A31137" w:rsidP="00A31137">
      <w:r w:rsidRPr="00A31137">
        <w:t>The Democratic Party understands none of this. It thinks our country has passed its peak. It offers Americans redistribution instead of expansion, contraction instead of growth, and despair instead of hope. In foreign policy it asserts the rhetoric of freedom, but in practice it follows a policy of withdrawal and isolation.</w:t>
      </w:r>
    </w:p>
    <w:p w:rsidR="00A31137" w:rsidRPr="00A31137" w:rsidRDefault="00A31137" w:rsidP="00A31137">
      <w:r w:rsidRPr="00A31137">
        <w:t>1984 Republican Platform, p.1</w:t>
      </w:r>
    </w:p>
    <w:p w:rsidR="00A31137" w:rsidRPr="00A31137" w:rsidRDefault="00A31137" w:rsidP="00A31137">
      <w:r w:rsidRPr="00A31137">
        <w:t>The Democratic Party, in its 1984 Platform, has tried to expropriate the optimism and vision that marked the 1980 Republican Platform.</w:t>
      </w:r>
    </w:p>
    <w:p w:rsidR="00A31137" w:rsidRPr="00A31137" w:rsidRDefault="00A31137" w:rsidP="00A31137">
      <w:r w:rsidRPr="00A31137">
        <w:t>1984 Republican Platform, p.1</w:t>
      </w:r>
    </w:p>
    <w:p w:rsidR="00A31137" w:rsidRPr="00A31137" w:rsidRDefault="00A31137" w:rsidP="00A31137">
      <w:r w:rsidRPr="00A31137">
        <w:t>Rhetorical pilfering of Republican ideals cannot disguise one of history's major ironies: the party whose 1932 standard-bearer told the [p.2] American people, as president, that all we have to fear is fear itself has itself become the party of fear.</w:t>
      </w:r>
    </w:p>
    <w:p w:rsidR="00A31137" w:rsidRPr="00A31137" w:rsidRDefault="00A31137" w:rsidP="00A31137">
      <w:r w:rsidRPr="00A31137">
        <w:t>1984 Republican Platform, p.2</w:t>
      </w:r>
    </w:p>
    <w:p w:rsidR="00A31137" w:rsidRPr="00A31137" w:rsidRDefault="00A31137" w:rsidP="00A31137">
      <w:r w:rsidRPr="00A31137">
        <w:t>Today we declare ourselves the Party of Hope—not for some but for all.</w:t>
      </w:r>
    </w:p>
    <w:p w:rsidR="00A31137" w:rsidRPr="00A31137" w:rsidRDefault="00A31137" w:rsidP="00A31137">
      <w:r w:rsidRPr="00A31137">
        <w:t>1984 Republican Platform, p.2</w:t>
      </w:r>
    </w:p>
    <w:p w:rsidR="00A31137" w:rsidRPr="00A31137" w:rsidRDefault="00A31137" w:rsidP="00A31137">
      <w:r w:rsidRPr="00A31137">
        <w:t>It has been said that mercy must have a human heart and pity a human face. We agree. Democrats measure social programs in terms of government activity alone. But the divine command to help our neighbor is directed to each individual and not to a bureaucratic machine. Not every problem cries out for a federal solution.</w:t>
      </w:r>
    </w:p>
    <w:p w:rsidR="00A31137" w:rsidRPr="00A31137" w:rsidRDefault="00A31137" w:rsidP="00A31137">
      <w:r w:rsidRPr="00A31137">
        <w:t>1984 Republican Platform, p.2</w:t>
      </w:r>
    </w:p>
    <w:p w:rsidR="00A31137" w:rsidRPr="00A31137" w:rsidRDefault="00A31137" w:rsidP="00A31137">
      <w:r w:rsidRPr="00A31137">
        <w:t>We must help the poor escape poverty by building an economy which creates more jobs, the greatest poverty fighter of them all. Not to help the poor is to abandon them and demean our society; but to help the poor without offering them a chance to escape poverty is ultimately to degrade us all.</w:t>
      </w:r>
    </w:p>
    <w:p w:rsidR="00A31137" w:rsidRPr="00A31137" w:rsidRDefault="00A31137" w:rsidP="00A31137">
      <w:r w:rsidRPr="00A31137">
        <w:t>1984 Republican Platform, p.2</w:t>
      </w:r>
    </w:p>
    <w:p w:rsidR="00A31137" w:rsidRPr="00A31137" w:rsidRDefault="00A31137" w:rsidP="00A31137">
      <w:r w:rsidRPr="00A31137">
        <w:t>The great tasks of compassion must be accomplished both by people who care and by policies which foster economic growth to enhance all human development.</w:t>
      </w:r>
    </w:p>
    <w:p w:rsidR="00A31137" w:rsidRPr="00A31137" w:rsidRDefault="00A31137" w:rsidP="00A31137">
      <w:r w:rsidRPr="00A31137">
        <w:t>1984 Republican Platform, p.2</w:t>
      </w:r>
    </w:p>
    <w:p w:rsidR="00A31137" w:rsidRPr="00A31137" w:rsidRDefault="00A31137" w:rsidP="00A31137">
      <w:r w:rsidRPr="00A31137">
        <w:t>In all these areas, at home and abroad, Ronald Reagan has demonstrated the boldness of vision, the optimism for our future, and the confidence in the American people that can transform human lives and the life of a nation. That is what we expect from a President who, wounded by an assassin, walked his way into a hospital and cheerfully assured the world that he and his country would not be deterred from their destiny.</w:t>
      </w:r>
    </w:p>
    <w:p w:rsidR="00A31137" w:rsidRPr="00A31137" w:rsidRDefault="00A31137" w:rsidP="00A31137">
      <w:r w:rsidRPr="00A31137">
        <w:t>1984 Republican Platform, p.2</w:t>
      </w:r>
    </w:p>
    <w:p w:rsidR="00A31137" w:rsidRPr="00A31137" w:rsidRDefault="00A31137" w:rsidP="00A31137">
      <w:r w:rsidRPr="00A31137">
        <w:t xml:space="preserve">His example has shaped the 1984 Republican Platform, given it meaning and inspired its vision. We stand with President Reagan and with Vice President Bush to make it a reality. [p.3] </w:t>
      </w:r>
    </w:p>
    <w:p w:rsidR="00A31137" w:rsidRPr="00A31137" w:rsidRDefault="00A31137" w:rsidP="00A31137">
      <w:r w:rsidRPr="00A31137">
        <w:t>Economic Freedom and Prosperity</w:t>
      </w:r>
    </w:p>
    <w:p w:rsidR="00A31137" w:rsidRPr="00A31137" w:rsidRDefault="00A31137" w:rsidP="00A31137">
      <w:r w:rsidRPr="00A31137">
        <w:t>Free Enterprise, Democracy, and the Role of Government</w:t>
      </w:r>
    </w:p>
    <w:p w:rsidR="00A31137" w:rsidRPr="00A31137" w:rsidRDefault="00A31137" w:rsidP="00A31137">
      <w:r w:rsidRPr="00A31137">
        <w:t>1984 Republican Platform, p.3</w:t>
      </w:r>
    </w:p>
    <w:p w:rsidR="00A31137" w:rsidRPr="00A31137" w:rsidRDefault="00A31137" w:rsidP="00A31137">
      <w:r w:rsidRPr="00A31137">
        <w:t>Free enterprise is fundamental to the American way of life. It is inseparable from the social, religious, political, and judicial institutions which form the bedrock of a nation dedicated to individual freedom and human rights.</w:t>
      </w:r>
    </w:p>
    <w:p w:rsidR="00A31137" w:rsidRPr="00A31137" w:rsidRDefault="00A31137" w:rsidP="00A31137">
      <w:r w:rsidRPr="00A31137">
        <w:t>1984 Republican Platform, p.3</w:t>
      </w:r>
    </w:p>
    <w:p w:rsidR="00A31137" w:rsidRPr="00A31137" w:rsidRDefault="00A31137" w:rsidP="00A31137">
      <w:r w:rsidRPr="00A31137">
        <w:t>Economic growth enables all citizens to share in the nation's great physical and spiritual wealth, and it is maximized by giving them the fullest opportunity to engage in economic activities and to retain the rewards of their labor.</w:t>
      </w:r>
    </w:p>
    <w:p w:rsidR="00A31137" w:rsidRPr="00A31137" w:rsidRDefault="00A31137" w:rsidP="00A31137">
      <w:r w:rsidRPr="00A31137">
        <w:t>1984 Republican Platform, p.3</w:t>
      </w:r>
    </w:p>
    <w:p w:rsidR="00A31137" w:rsidRPr="00A31137" w:rsidRDefault="00A31137" w:rsidP="00A31137">
      <w:r w:rsidRPr="00A31137">
        <w:t>Our society provides both a ladder of opportunity on which all can climb to success and a safety net of assistance for those who need it. To safeguard both, government must protect property rights, provide a sound currency, and minimize its intrusions into individual decisions to work, save, invest, and take risks.</w:t>
      </w:r>
    </w:p>
    <w:p w:rsidR="00A31137" w:rsidRPr="00A31137" w:rsidRDefault="00A31137" w:rsidP="00A31137">
      <w:r w:rsidRPr="00A31137">
        <w:t>1984 Republican Platform, p.3</w:t>
      </w:r>
    </w:p>
    <w:p w:rsidR="00A31137" w:rsidRPr="00A31137" w:rsidRDefault="00A31137" w:rsidP="00A31137">
      <w:r w:rsidRPr="00A31137">
        <w:t>The role of the federal government should be limited. We reaffirm our conviction that State and local governments closest to the people are the best and most efficient. While President Reagan has done much to alleviate federal regulatory and bureaucratic burdens on individuals and businesses, Congress has failed to act. The size and scope of the federal government remains much too large and must be reduced.</w:t>
      </w:r>
    </w:p>
    <w:p w:rsidR="00A31137" w:rsidRPr="00A31137" w:rsidRDefault="00A31137" w:rsidP="00A31137">
      <w:r w:rsidRPr="00A31137">
        <w:t>1984 Republican Platform, p.3</w:t>
      </w:r>
    </w:p>
    <w:p w:rsidR="00A31137" w:rsidRPr="00A31137" w:rsidRDefault="00A31137" w:rsidP="00A31137">
      <w:r w:rsidRPr="00A31137">
        <w:t>During the Carter-Mondale Administration, no group of Americans was spared from the impact of a failing economy. Family budgets were stretched to the limit to keep pace with increases in taxes and costs of food, energy, and housing. For the first time, owning a home slipped out of reach for millions. Working people saw their wage increases outpaced by inflation. Older Americans saw their savings and retirement incomes consumed by basic living costs. Young people found job opportunities narrowing. Disadvantaged Americans faced an inefficient and wasteful bureaucracy which perpetuated programs of dependency. American business and industry faced recession, unemployment, and upheaval, as high interest rates, inflation, government regulation, and foreign competition combined to smother all enterprise and strike at our basic industries.</w:t>
      </w:r>
    </w:p>
    <w:p w:rsidR="00A31137" w:rsidRPr="00A31137" w:rsidRDefault="00A31137" w:rsidP="00A31137">
      <w:r w:rsidRPr="00A31137">
        <w:t>1984 Republican Platform, p.3</w:t>
      </w:r>
    </w:p>
    <w:p w:rsidR="00A31137" w:rsidRPr="00A31137" w:rsidRDefault="00A31137" w:rsidP="00A31137">
      <w:r w:rsidRPr="00A31137">
        <w:t xml:space="preserve">When President Reagan took office in 1981, our economy was in a disastrous state. Inflation raged at 12.4 percent. The cost of living had jumped 45 percent in the Carter-Mondale years. The prime rate was 21.5 percent. Federal spending increases of 17 percent per year, massive tax rate increases due to inflation, and a monetary policy debasing the dollar had destroyed our economic stability. [p.4] </w:t>
      </w:r>
    </w:p>
    <w:p w:rsidR="00A31137" w:rsidRPr="00A31137" w:rsidRDefault="00A31137" w:rsidP="00A31137">
      <w:r w:rsidRPr="00A31137">
        <w:t>1984 Republican Platform, p.4</w:t>
      </w:r>
    </w:p>
    <w:p w:rsidR="00A31137" w:rsidRPr="00A31137" w:rsidRDefault="00A31137" w:rsidP="00A31137">
      <w:r w:rsidRPr="00A31137">
        <w:t>We brought about a new beginning. Americans are better off than they were four years ago, and they're still improving. Almost six and one-half million have found jobs since the recovery began, the largest increase in our history. One and one-half million have come in manufacturing—a part of our economy designated for stagnation and government control by Democrats. More than 107 million Americans, more than ever before, are working. Their industry proves that policies which increase incentives for work, saving, and investment do lead to economic growth, while the redistributionist policies of the past did cause unemployment, declining incomes, and idle industries.</w:t>
      </w:r>
    </w:p>
    <w:p w:rsidR="00A31137" w:rsidRPr="00A31137" w:rsidRDefault="00A31137" w:rsidP="00A31137">
      <w:r w:rsidRPr="00A31137">
        <w:t>1984 Republican Platform, p.4</w:t>
      </w:r>
    </w:p>
    <w:p w:rsidR="00A31137" w:rsidRPr="00A31137" w:rsidRDefault="00A31137" w:rsidP="00A31137">
      <w:r w:rsidRPr="00A31137">
        <w:t>We will therefore continue to return control over the economy to the people. Our policies will maximize the role of the individual and build on the success of the past four years: (a) the most rapid decline in unemployment of any post-World War II recovery; (b) inflation dramatically reduced; (c) interest rates significantly cut; (d) a 25 percent cut in federal tax rates; (e) automatic tax increases eliminated by indexing tax rates; (f) the financial holdings of American families increased by over $1.8 trillion; (g) oil prices down 35 percent in real terms; and (h) 300 million hours once devoted to government paperwork returned to individuals and business.</w:t>
      </w:r>
    </w:p>
    <w:p w:rsidR="00A31137" w:rsidRPr="00A31137" w:rsidRDefault="00A31137" w:rsidP="00A31137">
      <w:r w:rsidRPr="00A31137">
        <w:t>1984 Republican Platform, p.4</w:t>
      </w:r>
    </w:p>
    <w:p w:rsidR="00A31137" w:rsidRPr="00A31137" w:rsidRDefault="00A31137" w:rsidP="00A31137">
      <w:r w:rsidRPr="00A31137">
        <w:t>Our most important economic goal is to expand and continue the economic recovery and move the nation to full employment without inflation. We therefore oppose any attempts to increase taxes, which would harm the recovery and reverse the trend to restoring control of the economy to individual Americans. We favor reducing deficits by continuing and expanding the strong economic recovery brought about by the policies of this Administration and by eliminating wasteful and unnecessary government spending. Mondale-Ferraro, by contrast, boast that they will raise taxes, with ruinous effects on the economy.</w:t>
      </w:r>
    </w:p>
    <w:p w:rsidR="00A31137" w:rsidRPr="00A31137" w:rsidRDefault="00A31137" w:rsidP="00A31137">
      <w:r w:rsidRPr="00A31137">
        <w:t>1984 Republican Platform, p.4</w:t>
      </w:r>
    </w:p>
    <w:p w:rsidR="00A31137" w:rsidRPr="00A31137" w:rsidRDefault="00A31137" w:rsidP="00A31137">
      <w:r w:rsidRPr="00A31137">
        <w:t>To assure workers and entrepreneurs the capital required to provide jobs and growth, we will further expand incentives for personal saving. We will expand coverage of the Individual Retirement Account, especially to homemakers, and increase and index the annual limits on IRA contributions. We will increase the incentives for savings by moving toward the reduction of taxation of interest income. We will work for indexation of capital assets and elimination of the double taxation of dividends to increase the attractiveness of equity investments for small investors.</w:t>
      </w:r>
    </w:p>
    <w:p w:rsidR="00A31137" w:rsidRPr="00A31137" w:rsidRDefault="00A31137" w:rsidP="00A31137">
      <w:r w:rsidRPr="00A31137">
        <w:t>1984 Republican Platform, p.4</w:t>
      </w:r>
    </w:p>
    <w:p w:rsidR="00A31137" w:rsidRPr="00A31137" w:rsidRDefault="00A31137" w:rsidP="00A31137">
      <w:r w:rsidRPr="00A31137">
        <w:t xml:space="preserve">We oppose withholding on dividend and interest income. It would discourage saving and investment, create needless paperwork, and rob savers of their due benefits. A higher personal saving rate is key to deficit control. We therefore oppose any disincentives to thrift. [p.5] </w:t>
      </w:r>
    </w:p>
    <w:p w:rsidR="00A31137" w:rsidRPr="00A31137" w:rsidRDefault="00A31137" w:rsidP="00A31137">
      <w:r w:rsidRPr="00A31137">
        <w:t>1984 Republican Platform, p.5</w:t>
      </w:r>
    </w:p>
    <w:p w:rsidR="00A31137" w:rsidRPr="00A31137" w:rsidRDefault="00A31137" w:rsidP="00A31137">
      <w:r w:rsidRPr="00A31137">
        <w:t>History has proven again and again that wage and price controls will not stop inflation. Such controls only cause shortages, inequities, and ultimately high prices. We remain firmly opposed to the imposition of wage and price controls.</w:t>
      </w:r>
    </w:p>
    <w:p w:rsidR="00A31137" w:rsidRPr="00A31137" w:rsidRDefault="00A31137" w:rsidP="00A31137">
      <w:r w:rsidRPr="00A31137">
        <w:t>1984 Republican Platform, p.5</w:t>
      </w:r>
    </w:p>
    <w:p w:rsidR="00A31137" w:rsidRPr="00A31137" w:rsidRDefault="00A31137" w:rsidP="00A31137">
      <w:r w:rsidRPr="00A31137">
        <w:t>We are committed to bringing the benefits of economic growth to all Americans. Therefore, we support policies which will increase opportunities for the poorest in our society to climb the economic ladder. We will work to establish enterprise zones in urban and rural America; we will work to enable those living in government-owned or subsidized housing to purchase their homes. As part of our effort to reform the tax system, we will reduce disincentives to employment which too often result in a poverty trap for poor American families.</w:t>
      </w:r>
    </w:p>
    <w:p w:rsidR="00A31137" w:rsidRPr="00A31137" w:rsidRDefault="00A31137" w:rsidP="00A31137">
      <w:r w:rsidRPr="00A31137">
        <w:t>Fiscal and Monetary Policy</w:t>
      </w:r>
    </w:p>
    <w:p w:rsidR="00A31137" w:rsidRPr="00A31137" w:rsidRDefault="00A31137" w:rsidP="00A31137">
      <w:r w:rsidRPr="00A31137">
        <w:t>Taxation</w:t>
      </w:r>
    </w:p>
    <w:p w:rsidR="00A31137" w:rsidRPr="00A31137" w:rsidRDefault="00A31137" w:rsidP="00A31137">
      <w:r w:rsidRPr="00A31137">
        <w:t>1984 Republican Platform, p.5</w:t>
      </w:r>
    </w:p>
    <w:p w:rsidR="00A31137" w:rsidRPr="00A31137" w:rsidRDefault="00A31137" w:rsidP="00A31137">
      <w:r w:rsidRPr="00A31137">
        <w:t>A major goal of all Republicans in 1980 was to reduce the oppressive tax rates strangling Americans. The tax burden, which had increased steadily during the Carter-Mondale Administration, was at a record high and scheduled to go even higher. Taxes as a percentage of GNP rose from 18.2 percent in 1976 to 21 percent in 1981 and would have reached 24 percent by 1984. The tax bill for the median-income family of four had risen from $1,713 in 1976 to $2,778 in 1980 and would have reached $3,943 in 1984.</w:t>
      </w:r>
    </w:p>
    <w:p w:rsidR="00A31137" w:rsidRPr="00A31137" w:rsidRDefault="00A31137" w:rsidP="00A31137">
      <w:r w:rsidRPr="00A31137">
        <w:t>1984 Republican Platform, p.5</w:t>
      </w:r>
    </w:p>
    <w:p w:rsidR="00A31137" w:rsidRPr="00A31137" w:rsidRDefault="00A31137" w:rsidP="00A31137">
      <w:r w:rsidRPr="00A31137">
        <w:t>Double-digit inflation had pushed individuals into ever higher marginal tax brackets. High marginal tax rates reduced the incentive for work, saving, and investment, and retarded economic growth, productivity, and job creation.</w:t>
      </w:r>
    </w:p>
    <w:p w:rsidR="00A31137" w:rsidRPr="00A31137" w:rsidRDefault="00A31137" w:rsidP="00A31137">
      <w:r w:rsidRPr="00A31137">
        <w:t>1984 Republican Platform, p.5</w:t>
      </w:r>
    </w:p>
    <w:p w:rsidR="00A31137" w:rsidRPr="00A31137" w:rsidRDefault="00A31137" w:rsidP="00A31137">
      <w:r w:rsidRPr="00A31137">
        <w:t>With the Economic Recovery Tax Act of 1981, we carried out the first phase of tax reduction and reform by cutting marginal tax rates by 25 percent. Tax brackets were indexed to prevent tax hikes through bracket creep. In addition, families received further relief by reducing the marriage penalty and lowering estate and gift taxes.</w:t>
      </w:r>
    </w:p>
    <w:p w:rsidR="00A31137" w:rsidRPr="00A31137" w:rsidRDefault="00A31137" w:rsidP="00A31137">
      <w:r w:rsidRPr="00A31137">
        <w:t>1984 Republican Platform, p.5</w:t>
      </w:r>
    </w:p>
    <w:p w:rsidR="00A31137" w:rsidRPr="00A31137" w:rsidRDefault="00A31137" w:rsidP="00A31137">
      <w:r w:rsidRPr="00A31137">
        <w:t>Businesses and workers benefitted when we replaced outdated depreciation systems with the accelerated cost recovery system, reduced capital gains tax rates, and lowered the pressures which high tax rates place on wage demands. Investment in plants and equipment has increased 16.5 percent since 1982, resulting in 6.3 million new jobs.</w:t>
      </w:r>
    </w:p>
    <w:p w:rsidR="00A31137" w:rsidRPr="00A31137" w:rsidRDefault="00A31137" w:rsidP="00A31137">
      <w:r w:rsidRPr="00A31137">
        <w:t>1984 Republican Platform, p.5</w:t>
      </w:r>
    </w:p>
    <w:p w:rsidR="00A31137" w:rsidRPr="00A31137" w:rsidRDefault="00A31137" w:rsidP="00A31137">
      <w:r w:rsidRPr="00A31137">
        <w:t>In 1980, we promised the American people a tax cut which would be progressive and fair, reducing tax rates across-the-board. Despite Democrat opposition we succeeded in reducing the tax rates of all taxpayers [p.6] by about 25 percent with low-income taxpayers receiving a slightly larger percentage tax reduction than high-income taxpayers. These sound economic policies have succeeded. We will continue our efforts to further reduce tax rates and now foresee no economic circumstances which would call for increased taxation.</w:t>
      </w:r>
    </w:p>
    <w:p w:rsidR="00A31137" w:rsidRPr="00A31137" w:rsidRDefault="00A31137" w:rsidP="00A31137">
      <w:r w:rsidRPr="00A31137">
        <w:t>1984 Republican Platform, p.6</w:t>
      </w:r>
    </w:p>
    <w:p w:rsidR="00A31137" w:rsidRPr="00A31137" w:rsidRDefault="00A31137" w:rsidP="00A31137">
      <w:r w:rsidRPr="00A31137">
        <w:t>The bulk of the tax cut goes to those who pay most of the taxes: middle-income taxpayers. Nearly three-fourths of its benefits go to taxpayers earning less than $50,000. In fact, these taxpayers now pay a smaller percentage of total income taxes than they did in 1980; and those earning more than $50,000 pay a larger percentage of total income taxes than they did in 1980.</w:t>
      </w:r>
    </w:p>
    <w:p w:rsidR="00A31137" w:rsidRPr="00A31137" w:rsidRDefault="00A31137" w:rsidP="00A31137">
      <w:r w:rsidRPr="00A31137">
        <w:t>1984 Republican Platform, p.6</w:t>
      </w:r>
    </w:p>
    <w:p w:rsidR="00A31137" w:rsidRPr="00A31137" w:rsidRDefault="00A31137" w:rsidP="00A31137">
      <w:r w:rsidRPr="00A31137">
        <w:t>As a result, the income tax system is fairer now than it was under Carter-Mondale. To keep it fair, Republicans indexed the tax code: starting in 1985, individual tax brackets, the zero bracket amount, and the personal exemption will be adjusted annually for inflation. As a result, cost of living raises will no longer push taxpayers into higher brackets.</w:t>
      </w:r>
    </w:p>
    <w:p w:rsidR="00A31137" w:rsidRPr="00A31137" w:rsidRDefault="00A31137" w:rsidP="00A31137">
      <w:r w:rsidRPr="00A31137">
        <w:t>1984 Republican Platform, p.6</w:t>
      </w:r>
    </w:p>
    <w:p w:rsidR="00A31137" w:rsidRPr="00A31137" w:rsidRDefault="00A31137" w:rsidP="00A31137">
      <w:r w:rsidRPr="00A31137">
        <w:t>For years, congressional big spenders used inflation as a silent partner to raise taxes without taking the heat for passing tax increases. With indexing, taxpayers will be protected against that theft. Low- and moderate-income taxpayers benefit the most from indexing and would bear the brunt of the hidden tax increases if it were repealed.</w:t>
      </w:r>
    </w:p>
    <w:p w:rsidR="00A31137" w:rsidRPr="00A31137" w:rsidRDefault="00A31137" w:rsidP="00A31137">
      <w:r w:rsidRPr="00A31137">
        <w:t>1984 Republican Platform, p.6</w:t>
      </w:r>
    </w:p>
    <w:p w:rsidR="00A31137" w:rsidRPr="00A31137" w:rsidRDefault="00A31137" w:rsidP="00A31137">
      <w:r w:rsidRPr="00A31137">
        <w:t>Nearly 80 percent of the tax increase from the repeal of indexing would fall on taxpayers earning less than $50,000. For a family of four earning $10,000, repeal of indexing would result in a staggering 40 percent tax increase over the next five years. We pledge to preserve tax indexing. We will fight any attempt to repeal, modify, or defer it.</w:t>
      </w:r>
    </w:p>
    <w:p w:rsidR="00A31137" w:rsidRPr="00A31137" w:rsidRDefault="00A31137" w:rsidP="00A31137">
      <w:r w:rsidRPr="00A31137">
        <w:t>1984 Republican Platform, p.6</w:t>
      </w:r>
    </w:p>
    <w:p w:rsidR="00A31137" w:rsidRPr="00A31137" w:rsidRDefault="00A31137" w:rsidP="00A31137">
      <w:r w:rsidRPr="00A31137">
        <w:t>The Republican Party pledges to continue our efforts to lower tax rates, change and modernize the tax system, and eliminate the incentive-destroying effects of graduated tax rates. We therefore support tax reform that will lead to a fair and simple tax system and believe a modified flat tax—with specific exemptions for such items as mortgage interest—is a most promising approach.</w:t>
      </w:r>
    </w:p>
    <w:p w:rsidR="00A31137" w:rsidRPr="00A31137" w:rsidRDefault="00A31137" w:rsidP="00A31137">
      <w:r w:rsidRPr="00A31137">
        <w:t>1984 Republican Platform, p.6</w:t>
      </w:r>
    </w:p>
    <w:p w:rsidR="00A31137" w:rsidRPr="00A31137" w:rsidRDefault="00A31137" w:rsidP="00A31137">
      <w:r w:rsidRPr="00A31137">
        <w:t xml:space="preserve">For families, we will restore the value of personal exemptions, raising it to a minimum of $2,000 and indexing to prevent further erosion. We will preserve the deduction for mortgage interest payments. We will propose an employment income exclusion to assure that tax burdens are not shifted to the poor. Tax reform must not be a guise for tax increases. We believe such an approach will enhance the income and opportunities of families and low- and middle-income Americans. [p.7] </w:t>
      </w:r>
    </w:p>
    <w:p w:rsidR="00A31137" w:rsidRPr="00A31137" w:rsidRDefault="00A31137" w:rsidP="00A31137">
      <w:r w:rsidRPr="00A31137">
        <w:t>1984 Republican Platform, p.7</w:t>
      </w:r>
    </w:p>
    <w:p w:rsidR="00A31137" w:rsidRPr="00A31137" w:rsidRDefault="00A31137" w:rsidP="00A31137">
      <w:r w:rsidRPr="00A31137">
        <w:t>We oppose taxation of churches, religious schools, or any other religious institutions. However, we do believe that any business income unrelated to the religious function of the institution should be subject to the same taxes paid by competing businesses.</w:t>
      </w:r>
    </w:p>
    <w:p w:rsidR="00A31137" w:rsidRPr="00A31137" w:rsidRDefault="00A31137" w:rsidP="00A31137">
      <w:r w:rsidRPr="00A31137">
        <w:t>1984 Republican Platform, p.7</w:t>
      </w:r>
    </w:p>
    <w:p w:rsidR="00A31137" w:rsidRPr="00A31137" w:rsidRDefault="00A31137" w:rsidP="00A31137">
      <w:r w:rsidRPr="00A31137">
        <w:t>We oppose the setting of artificially high interest rates which would drastically curtail the ability of sellers to finance sales of their own property. Rather, we encourage marketplace transfer of homes, farms, and smaller commercial properties.</w:t>
      </w:r>
    </w:p>
    <w:p w:rsidR="00A31137" w:rsidRPr="00A31137" w:rsidRDefault="00A31137" w:rsidP="00A31137">
      <w:r w:rsidRPr="00A31137">
        <w:t>Spending and Budget</w:t>
      </w:r>
    </w:p>
    <w:p w:rsidR="00A31137" w:rsidRPr="00A31137" w:rsidRDefault="00A31137" w:rsidP="00A31137">
      <w:r w:rsidRPr="00A31137">
        <w:t>1984 Republican Platform, p.7</w:t>
      </w:r>
    </w:p>
    <w:p w:rsidR="00A31137" w:rsidRPr="00A31137" w:rsidRDefault="00A31137" w:rsidP="00A31137">
      <w:r w:rsidRPr="00A31137">
        <w:t>The Republican Party believes the federal budget must be balanced. We are committed to eliminating deficits and the excessive spending that causes them. In 1980, federal spending was out of control, increasing at a rate of over 17 percent. We have cut that growth rate by almost two-thirds.</w:t>
      </w:r>
    </w:p>
    <w:p w:rsidR="00A31137" w:rsidRPr="00A31137" w:rsidRDefault="00A31137" w:rsidP="00A31137">
      <w:r w:rsidRPr="00A31137">
        <w:t>1984 Republican Platform, p.7</w:t>
      </w:r>
    </w:p>
    <w:p w:rsidR="00A31137" w:rsidRPr="00A31137" w:rsidRDefault="00A31137" w:rsidP="00A31137">
      <w:r w:rsidRPr="00A31137">
        <w:t>But Congress ignored many of the President's budget reforms. It scaled back and delayed the tax cuts. As a result, we began to pay the price for the irresponsible spending and tax policies of the Carter-Mondale Administration. The resulting recession dramatically increased the deficit, and government spending continues at an unacceptable level.</w:t>
      </w:r>
    </w:p>
    <w:p w:rsidR="00A31137" w:rsidRPr="00A31137" w:rsidRDefault="00A31137" w:rsidP="00A31137">
      <w:r w:rsidRPr="00A31137">
        <w:t>1984 Republican Platform, p.7</w:t>
      </w:r>
    </w:p>
    <w:p w:rsidR="00A31137" w:rsidRPr="00A31137" w:rsidRDefault="00A31137" w:rsidP="00A31137">
      <w:r w:rsidRPr="00A31137">
        <w:t>Democrats claim deficits are caused by Americans' paying too little in taxes. Nonsense. We categorically reject proposals to increase taxes in a misguided effort to balance the budget. Tax and spending increases would reduce incentives for economic activity and threaten the recovery.</w:t>
      </w:r>
    </w:p>
    <w:p w:rsidR="00A31137" w:rsidRPr="00A31137" w:rsidRDefault="00A31137" w:rsidP="00A31137">
      <w:r w:rsidRPr="00A31137">
        <w:t>1984 Republican Platform, p.7</w:t>
      </w:r>
    </w:p>
    <w:p w:rsidR="00A31137" w:rsidRPr="00A31137" w:rsidRDefault="00A31137" w:rsidP="00A31137">
      <w:r w:rsidRPr="00A31137">
        <w:t>Even when we achieve full employment and even with robust economic growth, federal spending—including credit programs and other off-budget items—will remain too high. As a percentage of GNP, it must be reduced.</w:t>
      </w:r>
    </w:p>
    <w:p w:rsidR="00A31137" w:rsidRPr="00A31137" w:rsidRDefault="00A31137" w:rsidP="00A31137">
      <w:r w:rsidRPr="00A31137">
        <w:t>1984 Republican Platform, p.7</w:t>
      </w:r>
    </w:p>
    <w:p w:rsidR="00A31137" w:rsidRPr="00A31137" w:rsidRDefault="00A31137" w:rsidP="00A31137">
      <w:r w:rsidRPr="00A31137">
        <w:t>The congressional budget process is bankrupt. Its implementation has not brought spending under control, and it must be thoroughly reformed. We will work for the constitutional amendment requiring a balanced federal budget passed by the Republican Senate but blocked by the Democrat-controlled House and denounced by the Democrat Platform. If Congress fails to act on this issue, a constitutional convention should be convened to address only this issue in order to bring deficit spending under control.</w:t>
      </w:r>
    </w:p>
    <w:p w:rsidR="00A31137" w:rsidRPr="00A31137" w:rsidRDefault="00A31137" w:rsidP="00A31137">
      <w:r w:rsidRPr="00A31137">
        <w:t>1984 Republican Platform, p.7</w:t>
      </w:r>
    </w:p>
    <w:p w:rsidR="00A31137" w:rsidRPr="00A31137" w:rsidRDefault="00A31137" w:rsidP="00A31137">
      <w:r w:rsidRPr="00A31137">
        <w:t>The President is denied proper control over the federal budget. To remedy this, we support enhanced authority to prevent wasteful spending, including a line-item veto.</w:t>
      </w:r>
    </w:p>
    <w:p w:rsidR="00A31137" w:rsidRPr="00A31137" w:rsidRDefault="00A31137" w:rsidP="00A31137">
      <w:r w:rsidRPr="00A31137">
        <w:t>Monetary Policy</w:t>
      </w:r>
    </w:p>
    <w:p w:rsidR="00A31137" w:rsidRPr="00A31137" w:rsidRDefault="00A31137" w:rsidP="00A31137">
      <w:r w:rsidRPr="00A31137">
        <w:t>1984 Republican Platform, p.7</w:t>
      </w:r>
    </w:p>
    <w:p w:rsidR="00A31137" w:rsidRPr="00A31137" w:rsidRDefault="00A31137" w:rsidP="00A31137">
      <w:r w:rsidRPr="00A31137">
        <w:t>Our 1980 Platform promised to bring inflation under control. We did it. This cruelest tax—hitting hardest at the poor, the  aged, and those on [p.8] fixed incomes—raged up to 13.3 percent under Carter-Mondale. We have brought it down to about 4 percent and we strive for lower levels. The effects of our program have been dramatic. Real, after-tax incomes are rising. Food prices are stable. Interest rates have fallen dramatically, leading to a resurgence in home building, auto purchases, and capital investment.</w:t>
      </w:r>
    </w:p>
    <w:p w:rsidR="00A31137" w:rsidRPr="00A31137" w:rsidRDefault="00A31137" w:rsidP="00A31137">
      <w:r w:rsidRPr="00A31137">
        <w:t>1984 Republican Platform, p.8</w:t>
      </w:r>
    </w:p>
    <w:p w:rsidR="00A31137" w:rsidRPr="00A31137" w:rsidRDefault="00A31137" w:rsidP="00A31137">
      <w:r w:rsidRPr="00A31137">
        <w:t>Just as our tax policy has only laid the groundwork for a new era of prosperity, reducing inflation is only the first step in restoring a stable currency. A dollar now should be worth a dollar in the future. This allows real economic growth without inflation and is the primary goal of our monetary policy.</w:t>
      </w:r>
    </w:p>
    <w:p w:rsidR="00A31137" w:rsidRPr="00A31137" w:rsidRDefault="00A31137" w:rsidP="00A31137">
      <w:r w:rsidRPr="00A31137">
        <w:t>1984 Republican Platform, p.8</w:t>
      </w:r>
    </w:p>
    <w:p w:rsidR="00A31137" w:rsidRPr="00A31137" w:rsidRDefault="00A31137" w:rsidP="00A31137">
      <w:r w:rsidRPr="00A31137">
        <w:t>The Federal Reserve Board's destabilizing actions must therefore stop. We need coordination between fiscal and monetary policy, timely information about Fed decisions, and an end to the uncertainties people face in obtaining money and credit. The Gold Standard may be a useful mechanism for realizing the Federal Reserve's determination to adopt monetary policies needed to sustain price stability.</w:t>
      </w:r>
    </w:p>
    <w:p w:rsidR="00A31137" w:rsidRPr="00A31137" w:rsidRDefault="00A31137" w:rsidP="00A31137">
      <w:r w:rsidRPr="00A31137">
        <w:t>1984 Republican Platform, p.8</w:t>
      </w:r>
    </w:p>
    <w:p w:rsidR="00A31137" w:rsidRPr="00A31137" w:rsidRDefault="00A31137" w:rsidP="00A31137">
      <w:r w:rsidRPr="00A31137">
        <w:t>Domestically, a stable dollar will mean lower interest rates, rising real wages, guaranteed value for retirement and education savings, growth of assets through productive investment, affordable housing, and greater job security.</w:t>
      </w:r>
    </w:p>
    <w:p w:rsidR="00A31137" w:rsidRPr="00A31137" w:rsidRDefault="00A31137" w:rsidP="00A31137">
      <w:r w:rsidRPr="00A31137">
        <w:t>1984 Republican Platform, p.8</w:t>
      </w:r>
    </w:p>
    <w:p w:rsidR="00A31137" w:rsidRPr="00A31137" w:rsidRDefault="00A31137" w:rsidP="00A31137">
      <w:r w:rsidRPr="00A31137">
        <w:t>Internationally, a stable dollar will mean stable exchange rates, protection for contract prices, commodity prices which change only when real production changes, greater resources devoted to job-creating investment, less protectionist pressure, and increased trade and income for all nations.</w:t>
      </w:r>
    </w:p>
    <w:p w:rsidR="00A31137" w:rsidRPr="00A31137" w:rsidRDefault="00A31137" w:rsidP="00A31137">
      <w:r w:rsidRPr="00A31137">
        <w:t>Regulatory Reform</w:t>
      </w:r>
    </w:p>
    <w:p w:rsidR="00A31137" w:rsidRPr="00A31137" w:rsidRDefault="00A31137" w:rsidP="00A31137">
      <w:r w:rsidRPr="00A31137">
        <w:t>1984 Republican Platform, p.8</w:t>
      </w:r>
    </w:p>
    <w:p w:rsidR="00A31137" w:rsidRPr="00A31137" w:rsidRDefault="00A31137" w:rsidP="00A31137">
      <w:r w:rsidRPr="00A31137">
        <w:t>Our 1980 Platform declared that "excessive regulation remains a major component of our nation's spiraling inflation and continues to stifle private initiatives, individual freedom, and State and local government autonomy." President Reagan's regulatory reform program contributed significantly to economic recovery by removing bureaucratic roadblocks and encouraging efficiency.</w:t>
      </w:r>
    </w:p>
    <w:p w:rsidR="00A31137" w:rsidRPr="00A31137" w:rsidRDefault="00A31137" w:rsidP="00A31137">
      <w:r w:rsidRPr="00A31137">
        <w:t>1984 Republican Platform, p.8</w:t>
      </w:r>
    </w:p>
    <w:p w:rsidR="00A31137" w:rsidRPr="00A31137" w:rsidRDefault="00A31137" w:rsidP="00A31137">
      <w:r w:rsidRPr="00A31137">
        <w:t>In many fields, government regulation either did not achieve its goals or made limited improvements at exorbitant costs. We have worked with industry and labor to get better results through cooperation rather than coercion.</w:t>
      </w:r>
    </w:p>
    <w:p w:rsidR="00A31137" w:rsidRPr="00A31137" w:rsidRDefault="00A31137" w:rsidP="00A31137">
      <w:r w:rsidRPr="00A31137">
        <w:t>1984 Republican Platform, p.8</w:t>
      </w:r>
    </w:p>
    <w:p w:rsidR="00A31137" w:rsidRPr="00A31137" w:rsidRDefault="00A31137" w:rsidP="00A31137">
      <w:r w:rsidRPr="00A31137">
        <w:t>The flood of regulation has stopped. The number of new regulations has been halved. Unrestrained growth in the size  and spending of the regulatory workforce has stopped. Some $150 billion will thereby be saved [p.9] over the next decade by consumers and businesses. In the past four years alone, 300 million hours of government-mandated paperwork were eliminated. We have reduced the regulatory burden on Americans by making government rules as cost-effective as possible. We must maintain this progress through comprehensive regulatory reform legislation and a constitutional procedure which will enable Congress to properly oversee executive branch rules by reviewing and, if necessary, overturning them.</w:t>
      </w:r>
    </w:p>
    <w:p w:rsidR="00A31137" w:rsidRPr="00A31137" w:rsidRDefault="00A31137" w:rsidP="00A31137">
      <w:r w:rsidRPr="00A31137">
        <w:t>1984 Republican Platform, p.9</w:t>
      </w:r>
    </w:p>
    <w:p w:rsidR="00A31137" w:rsidRPr="00A31137" w:rsidRDefault="00A31137" w:rsidP="00A31137">
      <w:r w:rsidRPr="00A31137">
        <w:t>So consumers can have the widest choice of services at the lowest possible prices, Republicans commit themselves to breaking down artificial barriers to entry created by antiquated regulations. With the explosion of computer technologies just beginning to enhance our way of life, we will encourage rather than hinder innovative competition in telecommunications and financial services.</w:t>
      </w:r>
    </w:p>
    <w:p w:rsidR="00A31137" w:rsidRPr="00A31137" w:rsidRDefault="00A31137" w:rsidP="00A31137">
      <w:r w:rsidRPr="00A31137">
        <w:t>1984 Republican Platform, p.9</w:t>
      </w:r>
    </w:p>
    <w:p w:rsidR="00A31137" w:rsidRPr="00A31137" w:rsidRDefault="00A31137" w:rsidP="00A31137">
      <w:r w:rsidRPr="00A31137">
        <w:t>There are still federal statutes that keep Americans out of the work-force. Arbitrary minimum wage rates, for example, have eliminated hundreds of thousands of jobs and, with them, the opportunity for young people to get productive skills, good work habits, and a weekly paycheck. We encourage the adoption of a youth opportunity wage to encourage employers to hire and train inexperienced workers.</w:t>
      </w:r>
    </w:p>
    <w:p w:rsidR="00A31137" w:rsidRPr="00A31137" w:rsidRDefault="00A31137" w:rsidP="00A31137">
      <w:r w:rsidRPr="00A31137">
        <w:t>1984 Republican Platform, p.9</w:t>
      </w:r>
    </w:p>
    <w:p w:rsidR="00A31137" w:rsidRPr="00A31137" w:rsidRDefault="00A31137" w:rsidP="00A31137">
      <w:r w:rsidRPr="00A31137">
        <w:t>We demand repeal of prohibitions against household manufacturing. Restrictions on work in the home are intolerable intrusions into our private lives and limit economic opportunity, especially for women and the homebound.</w:t>
      </w:r>
    </w:p>
    <w:p w:rsidR="00A31137" w:rsidRPr="00A31137" w:rsidRDefault="00A31137" w:rsidP="00A31137">
      <w:r w:rsidRPr="00A31137">
        <w:t>Support For Small Business</w:t>
      </w:r>
    </w:p>
    <w:p w:rsidR="00A31137" w:rsidRPr="00A31137" w:rsidRDefault="00A31137" w:rsidP="00A31137">
      <w:r w:rsidRPr="00A31137">
        <w:t>1984 Republican Platform, p.9</w:t>
      </w:r>
    </w:p>
    <w:p w:rsidR="00A31137" w:rsidRPr="00A31137" w:rsidRDefault="00A31137" w:rsidP="00A31137">
      <w:r w:rsidRPr="00A31137">
        <w:t>America's small business entrepreneurs have led the way in fueling economic recovery. Almost all the 11 million non-farm businesses in the United States are small, but they provide over 50 million jobs. We must keep them strong to ensure lasting prosperity. Republicans reaffirm our historic ties with independent business people and pledge continued efforts to help this energetic segment of our economy.</w:t>
      </w:r>
    </w:p>
    <w:p w:rsidR="00A31137" w:rsidRPr="00A31137" w:rsidRDefault="00A31137" w:rsidP="00A31137">
      <w:r w:rsidRPr="00A31137">
        <w:t>1984 Republican Platform, p.9</w:t>
      </w:r>
    </w:p>
    <w:p w:rsidR="00A31137" w:rsidRPr="00A31137" w:rsidRDefault="00A31137" w:rsidP="00A31137">
      <w:r w:rsidRPr="00A31137">
        <w:t>We have created a climate conducive to small business growth. Our tax rate reductions increased incentives for entrepreneurial activity and provided investment capital through incentives to save. Reduced capital gains taxes further stimulated capital formation and increased the return on small business investment. Greater depreciation allowances encouraged modernization. Estate tax changes will allow families to keep the rewards of their labors.</w:t>
      </w:r>
    </w:p>
    <w:p w:rsidR="00A31137" w:rsidRPr="00A31137" w:rsidRDefault="00A31137" w:rsidP="00A31137">
      <w:r w:rsidRPr="00A31137">
        <w:t>1984 Republican Platform, p.9</w:t>
      </w:r>
    </w:p>
    <w:p w:rsidR="00A31137" w:rsidRPr="00A31137" w:rsidRDefault="00A31137" w:rsidP="00A31137">
      <w:r w:rsidRPr="00A31137">
        <w:t xml:space="preserve">We have insisted on less federal interference with small business. As a result, burdensome regulations were reduced, and runaway agencies like OSHA were reined in. We have ensured that the federal government pays its bills on time or pays interest penalties. [p.12] </w:t>
      </w:r>
    </w:p>
    <w:p w:rsidR="00A31137" w:rsidRPr="00A31137" w:rsidRDefault="00A31137" w:rsidP="00A31137">
      <w:r w:rsidRPr="00A31137">
        <w:t>1984 Republican Platform, p.10</w:t>
      </w:r>
    </w:p>
    <w:p w:rsidR="00A31137" w:rsidRPr="00A31137" w:rsidRDefault="00A31137" w:rsidP="00A31137">
      <w:r w:rsidRPr="00A31137">
        <w:t>Presidential action has focused needed attention on increased government procurement from small and minority businesses. In FY 1983 the Small Business Administration directed $2.3 billion in federal sole-source contracts to minority firms through its 8(a) program—a 45 percent increase over 1980. This record amount was achieved along with management improvements that eliminated past abuses in that program.</w:t>
      </w:r>
    </w:p>
    <w:p w:rsidR="00A31137" w:rsidRPr="00A31137" w:rsidRDefault="00A31137" w:rsidP="00A31137">
      <w:r w:rsidRPr="00A31137">
        <w:t>1984 Republican Platform, p.10</w:t>
      </w:r>
    </w:p>
    <w:p w:rsidR="00A31137" w:rsidRPr="00A31137" w:rsidRDefault="00A31137" w:rsidP="00A31137">
      <w:r w:rsidRPr="00A31137">
        <w:t>Three million women business owners are generating $40 billion in annual receipts and creating many new jobs. Yet, their enterprises face barriers in credit, access to capital, and technical assistance. They lag far behind in federal procurement contracts. We are dedicated to helping them become full partners in the economic mainstream of small business.</w:t>
      </w:r>
    </w:p>
    <w:p w:rsidR="00A31137" w:rsidRPr="00A31137" w:rsidRDefault="00A31137" w:rsidP="00A31137">
      <w:r w:rsidRPr="00A31137">
        <w:t>1984 Republican Platform, p.10</w:t>
      </w:r>
    </w:p>
    <w:p w:rsidR="00A31137" w:rsidRPr="00A31137" w:rsidRDefault="00A31137" w:rsidP="00A31137">
      <w:r w:rsidRPr="00A31137">
        <w:t>To them and to all who make America grow, we reaffirm out commitment to reduce marginal tax rates further. We oppose any scheme to roll back the estate tax cuts and will seek further reductions for family businesses. Moreover, we support lower capital gains tax rates and indexation of asset values to protect investors from inflation.</w:t>
      </w:r>
    </w:p>
    <w:p w:rsidR="00A31137" w:rsidRPr="00A31137" w:rsidRDefault="00A31137" w:rsidP="00A31137">
      <w:r w:rsidRPr="00A31137">
        <w:t>1984 Republican Platform, p.10</w:t>
      </w:r>
    </w:p>
    <w:p w:rsidR="00A31137" w:rsidRPr="00A31137" w:rsidRDefault="00A31137" w:rsidP="00A31137">
      <w:r w:rsidRPr="00A31137">
        <w:t>We will create enterprise zones to revitalize economically depressed areas by offering simplified regulation and lower taxes for small businesses that relocate there.</w:t>
      </w:r>
    </w:p>
    <w:p w:rsidR="00A31137" w:rsidRPr="00A31137" w:rsidRDefault="00A31137" w:rsidP="00A31137">
      <w:r w:rsidRPr="00A31137">
        <w:t>1984 Republican Platform, p.10</w:t>
      </w:r>
    </w:p>
    <w:p w:rsidR="00A31137" w:rsidRPr="00A31137" w:rsidRDefault="00A31137" w:rsidP="00A31137">
      <w:r w:rsidRPr="00A31137">
        <w:t>We will make it easier for small businesses to compete for government contracts, not only to assist the private sector but also to provide competition and greater cost control in federal purchases.</w:t>
      </w:r>
    </w:p>
    <w:p w:rsidR="00A31137" w:rsidRPr="00A31137" w:rsidRDefault="00A31137" w:rsidP="00A31137">
      <w:r w:rsidRPr="00A31137">
        <w:t>1984 Republican Platform, p.10</w:t>
      </w:r>
    </w:p>
    <w:p w:rsidR="00A31137" w:rsidRPr="00A31137" w:rsidRDefault="00A31137" w:rsidP="00A31137">
      <w:r w:rsidRPr="00A31137">
        <w:t>In a continuing effort to offset our balance of trade deficit, we reaffirm our strong support for this nation's tourism industry.</w:t>
      </w:r>
    </w:p>
    <w:p w:rsidR="00A31137" w:rsidRPr="00A31137" w:rsidRDefault="00A31137" w:rsidP="00A31137">
      <w:r w:rsidRPr="00A31137">
        <w:t>Science and Technology</w:t>
      </w:r>
    </w:p>
    <w:p w:rsidR="00A31137" w:rsidRPr="00A31137" w:rsidRDefault="00A31137" w:rsidP="00A31137">
      <w:r w:rsidRPr="00A31137">
        <w:t>1984 Republican Platform, p.10</w:t>
      </w:r>
    </w:p>
    <w:p w:rsidR="00A31137" w:rsidRPr="00A31137" w:rsidRDefault="00A31137" w:rsidP="00A31137">
      <w:r w:rsidRPr="00A31137">
        <w:t>We pledge to continue the Reagan Administration's science and technology policies, which have enhanced economic recovery and our nation's research capability.</w:t>
      </w:r>
    </w:p>
    <w:p w:rsidR="00A31137" w:rsidRPr="00A31137" w:rsidRDefault="00A31137" w:rsidP="00A31137">
      <w:r w:rsidRPr="00A31137">
        <w:t>1984 Republican Platform, p.10</w:t>
      </w:r>
    </w:p>
    <w:p w:rsidR="00A31137" w:rsidRPr="00A31137" w:rsidRDefault="00A31137" w:rsidP="00A31137">
      <w:r w:rsidRPr="00A31137">
        <w:t>We have refocused federal research and development spending on basic research, and it has increased more than 50 percent.</w:t>
      </w:r>
    </w:p>
    <w:p w:rsidR="00A31137" w:rsidRPr="00A31137" w:rsidRDefault="00A31137" w:rsidP="00A31137">
      <w:r w:rsidRPr="00A31137">
        <w:t>1984 Republican Platform, p.10</w:t>
      </w:r>
    </w:p>
    <w:p w:rsidR="00A31137" w:rsidRPr="00A31137" w:rsidRDefault="00A31137" w:rsidP="00A31137">
      <w:r w:rsidRPr="00A31137">
        <w:t>We propose to extend the incremental research and development tax credit to stimulate greater activity in the private sector.</w:t>
      </w:r>
    </w:p>
    <w:p w:rsidR="00A31137" w:rsidRPr="00A31137" w:rsidRDefault="00A31137" w:rsidP="00A31137">
      <w:r w:rsidRPr="00A31137">
        <w:t>1984 Republican Platform, p.10</w:t>
      </w:r>
    </w:p>
    <w:p w:rsidR="00A31137" w:rsidRPr="00A31137" w:rsidRDefault="00A31137" w:rsidP="00A31137">
      <w:r w:rsidRPr="00A31137">
        <w:t xml:space="preserve">To allow U.S. firms to compete on an equal footing with foreign companies, we will permit U.S. firms to cooperate in joint  research and development projects. [p.11] </w:t>
      </w:r>
    </w:p>
    <w:p w:rsidR="00A31137" w:rsidRPr="00A31137" w:rsidRDefault="00A31137" w:rsidP="00A31137">
      <w:r w:rsidRPr="00A31137">
        <w:t>Energy</w:t>
      </w:r>
    </w:p>
    <w:p w:rsidR="00A31137" w:rsidRPr="00A31137" w:rsidRDefault="00A31137" w:rsidP="00A31137">
      <w:r w:rsidRPr="00A31137">
        <w:t>1984 Republican Platform, p.11</w:t>
      </w:r>
    </w:p>
    <w:p w:rsidR="00A31137" w:rsidRPr="00A31137" w:rsidRDefault="00A31137" w:rsidP="00A31137">
      <w:r w:rsidRPr="00A31137">
        <w:t>In 1980, energy prices were at all-time highs and rising rapidly. The OPEC cartel had an iron grip on free world economies. Oil imports rose, and domestic production fell under Carter-Mondale price controls and allocations. Competition in energy markets declined.</w:t>
      </w:r>
    </w:p>
    <w:p w:rsidR="00A31137" w:rsidRPr="00A31137" w:rsidRDefault="00A31137" w:rsidP="00A31137">
      <w:r w:rsidRPr="00A31137">
        <w:t>1984 Republican Platform, p.11</w:t>
      </w:r>
    </w:p>
    <w:p w:rsidR="00A31137" w:rsidRPr="00A31137" w:rsidRDefault="00A31137" w:rsidP="00A31137">
      <w:r w:rsidRPr="00A31137">
        <w:t>We have all but eliminated those disastrous policies. President Reagan's immediate decontrol of oil prices precipitated a decline in real oil prices and increased competition in all energy markets. Oil price decontrol crippled the OPEC cartel.</w:t>
      </w:r>
    </w:p>
    <w:p w:rsidR="00A31137" w:rsidRPr="00A31137" w:rsidRDefault="00A31137" w:rsidP="00A31137">
      <w:r w:rsidRPr="00A31137">
        <w:t>1984 Republican Platform, p.11</w:t>
      </w:r>
    </w:p>
    <w:p w:rsidR="00A31137" w:rsidRPr="00A31137" w:rsidRDefault="00A31137" w:rsidP="00A31137">
      <w:r w:rsidRPr="00A31137">
        <w:t>The results have been dramatic. Imported oil prices are down 35 percent in real terms. The real price of gasoline is at a five-year low. Energy consumption has declined relative to economic growth. Energy efficiency increased by 12 percent since 1980, with lower costs to businesses and families. The Strategic Petroleum Reserve is now four times larger than in 1980, providing significant protection against any disruption in imports.</w:t>
      </w:r>
    </w:p>
    <w:p w:rsidR="00A31137" w:rsidRPr="00A31137" w:rsidRDefault="00A31137" w:rsidP="00A31137">
      <w:r w:rsidRPr="00A31137">
        <w:t>1984 Republican Platform, p.11</w:t>
      </w:r>
    </w:p>
    <w:p w:rsidR="00A31137" w:rsidRPr="00A31137" w:rsidRDefault="00A31137" w:rsidP="00A31137">
      <w:r w:rsidRPr="00A31137">
        <w:t>We will complete America's energy agenda. Natural gas should be responsibly decontrolled as rapidly as possible so that families and businesses can enjoy the full benefits of lower prices and greater production, as with decontrolled oil. We are committed to the repeal of the confiscatory windfall profits tax, which has forced the American consumer to pay more for less and left us vulnerable to the energy and economic strangle-hold of foreign producers.</w:t>
      </w:r>
    </w:p>
    <w:p w:rsidR="00A31137" w:rsidRPr="00A31137" w:rsidRDefault="00A31137" w:rsidP="00A31137">
      <w:r w:rsidRPr="00A31137">
        <w:t>1984 Republican Platform, p.11</w:t>
      </w:r>
    </w:p>
    <w:p w:rsidR="00A31137" w:rsidRPr="00A31137" w:rsidRDefault="00A31137" w:rsidP="00A31137">
      <w:r w:rsidRPr="00A31137">
        <w:t>While protecting the environment, we should permit abundant American coal to be mined and consumed. Environmentally sound development of oil and natural gas on federal properties (which has brought the taxpayers $20 billion in revenue in the last four years) should continue. We believe that as controls have been lifted from the energy marketplace, conservation and alternative sources of energy, such as solar, wind, and geothermal, have become increasingly cost-effective. We further take pride in the fact that Reagan Administration economic policies have created an environment most favorable to the small businesses that pioneer these alternative technologies.</w:t>
      </w:r>
    </w:p>
    <w:p w:rsidR="00A31137" w:rsidRPr="00A31137" w:rsidRDefault="00A31137" w:rsidP="00A31137">
      <w:r w:rsidRPr="00A31137">
        <w:t>1984 Republican Platform, p.11</w:t>
      </w:r>
    </w:p>
    <w:p w:rsidR="00A31137" w:rsidRPr="00A31137" w:rsidRDefault="00A31137" w:rsidP="00A31137">
      <w:r w:rsidRPr="00A31137">
        <w:t xml:space="preserve">We now have a sound, long-term program for disposal of nuclear waste. We will work to eliminate unnecessary regulatory procedures so that nuclear plants can be brought on line quickly, efficiently, and safely. We call for an energy policy, the stability and continuity of which will restore and encourage public confidence in the fiscal stability of the nuclear industry. [p.12] </w:t>
      </w:r>
    </w:p>
    <w:p w:rsidR="00A31137" w:rsidRPr="00A31137" w:rsidRDefault="00A31137" w:rsidP="00A31137">
      <w:r w:rsidRPr="00A31137">
        <w:t>1984 Republican Platform, p.12</w:t>
      </w:r>
    </w:p>
    <w:p w:rsidR="00A31137" w:rsidRPr="00A31137" w:rsidRDefault="00A31137" w:rsidP="00A31137">
      <w:r w:rsidRPr="00A31137">
        <w:t>We are committed to the termination of the Department of Energy. President Reagan has succeeded in abolishing that part which was telling Americans what to buy, where to buy it, and at what price—the regulatory part of DOE. Then he reduced the number of bureaucrats by 25 percent. Now is the time to complete the job.</w:t>
      </w:r>
    </w:p>
    <w:p w:rsidR="00A31137" w:rsidRPr="00A31137" w:rsidRDefault="00A31137" w:rsidP="00A31137">
      <w:r w:rsidRPr="00A31137">
        <w:t>Agriculture</w:t>
      </w:r>
    </w:p>
    <w:p w:rsidR="00A31137" w:rsidRPr="00A31137" w:rsidRDefault="00A31137" w:rsidP="00A31137">
      <w:r w:rsidRPr="00A31137">
        <w:t>Securing a Prosperous Rural America</w:t>
      </w:r>
    </w:p>
    <w:p w:rsidR="00A31137" w:rsidRPr="00A31137" w:rsidRDefault="00A31137" w:rsidP="00A31137">
      <w:r w:rsidRPr="00A31137">
        <w:t>1984 Republican Platform, p.12</w:t>
      </w:r>
    </w:p>
    <w:p w:rsidR="00A31137" w:rsidRPr="00A31137" w:rsidRDefault="00A31137" w:rsidP="00A31137">
      <w:r w:rsidRPr="00A31137">
        <w:t>The Republican Party is thankful for, and proud of, the ability of American farmers and ranchers to provide abundant, high quality, and nutritious food and fiber for all our citizens and millions more throughout the world. This unmatched ability to produce is basic to this country's high standard of living. We recognize that a prosperous agriculture is essential to the future of America and to the health and welfare of its people. We have set the stage for securing prosperity in rural America. In 1979, farm and ranch production costs increased 19 percent, in 1983 they actually declined by almost 3 percent. The prime interest rate has been brought down from 21.5 percent to 13 percent. Our reputation as a reliable world food and fiber supplier has been restored. Despite that remarkable beginning, much remains to be done.</w:t>
      </w:r>
    </w:p>
    <w:p w:rsidR="00A31137" w:rsidRPr="00A31137" w:rsidRDefault="00A31137" w:rsidP="00A31137">
      <w:r w:rsidRPr="00A31137">
        <w:t>1984 Republican Platform, p.12</w:t>
      </w:r>
    </w:p>
    <w:p w:rsidR="00A31137" w:rsidRPr="00A31137" w:rsidRDefault="00A31137" w:rsidP="00A31137">
      <w:r w:rsidRPr="00A31137">
        <w:t>We believe well managed, efficient American farm and ranch operations are the most cost-effective and productive food and fiber suppliers in the world, and therefore have the inherent economic capability and right to make a profit from their labor, management, and investments. The primary responsibility of government with respect to agriculture is to create the opportunity for a free and competitive economic and policy environment supportive of the American farmers' and ranchers' industrious and independent spirit and innovative talent. We further believe that, to the extent some well-managed and efficient farms and ranches are temporarily unable to make a profit in the marketplace, it is in the public interest to provide reasonable and targeted assistance.</w:t>
      </w:r>
      <w:r w:rsidRPr="00A31137">
        <w:cr/>
      </w:r>
    </w:p>
    <w:p w:rsidR="00A31137" w:rsidRPr="00A31137" w:rsidRDefault="00A31137" w:rsidP="00A31137">
      <w:r w:rsidRPr="00A31137">
        <w:t>1984 Republican Platform, p.12</w:t>
      </w:r>
    </w:p>
    <w:p w:rsidR="00A31137" w:rsidRPr="00A31137" w:rsidRDefault="00A31137" w:rsidP="00A31137">
      <w:r w:rsidRPr="00A31137">
        <w:t>The Carter-Mondale Administration, and 28 years of a Congress rigidly controlled by the Democrats and out of touch with the people, brought farmers and ranchers to the hardest times since the Great Depression. Farm and ranch incomes fell to disastrous levels. Uncontrolled inflation and the highest interest rates in over a century prevented farmers from operating at a profit, and 300,000 of them went out of business under Carter-Mondale.</w:t>
      </w:r>
    </w:p>
    <w:p w:rsidR="00A31137" w:rsidRPr="00A31137" w:rsidRDefault="00A31137" w:rsidP="00A31137">
      <w:r w:rsidRPr="00A31137">
        <w:t>1984 Republican Platform, p.12</w:t>
      </w:r>
    </w:p>
    <w:p w:rsidR="00A31137" w:rsidRPr="00A31137" w:rsidRDefault="00A31137" w:rsidP="00A31137">
      <w:r w:rsidRPr="00A31137">
        <w:t>In the span of but four devastating years, the Carter-Mondale Administration managed to jeopardize this country's agricultural heritage by [p.13] putting America's farmers $78 billion further in debt (a 75 percent increase) and inflating farmers' annual food and fiber production costs by $46 billion (55 percent increase). These irresponsible inflationary policies led to spiraling land values and to the illusion of enhanced debt-bearing wealth. This paper wealth was converted into very real and unavoidable debt. Debt payments, combined with record cost of production levels, have presented many farmers and ranchers with severe cash flow problems. On top of all that came the Carter-Mondale grain embargo of 1980. Thus, one begins to understand the origins of the financial stress farmers and ranchers are experiencing today. Adding insult to injury, farmers and ranchers found themselves blamed as Carter-Mondale inflation ballooned consumer food costs by $115 billion, a 50 percent increase in four years.</w:t>
      </w:r>
    </w:p>
    <w:p w:rsidR="00A31137" w:rsidRPr="00A31137" w:rsidRDefault="00A31137" w:rsidP="00A31137">
      <w:r w:rsidRPr="00A31137">
        <w:t>1984 Republican Platform, p.13</w:t>
      </w:r>
    </w:p>
    <w:p w:rsidR="00A31137" w:rsidRPr="00A31137" w:rsidRDefault="00A31137" w:rsidP="00A31137">
      <w:r w:rsidRPr="00A31137">
        <w:t>Republicans support a sound agricultural credit policy, including the Farm Credit System, to meet agriculture's expanded credit needs. We support an extensive examination of agricultural and rural credit and crop insurance programs to assure they are adequately serving our farmers and rural residents.</w:t>
      </w:r>
    </w:p>
    <w:p w:rsidR="00A31137" w:rsidRPr="00A31137" w:rsidRDefault="00A31137" w:rsidP="00A31137">
      <w:r w:rsidRPr="00A31137">
        <w:t>Interest Rates and Farm and Ranch Indebtedness</w:t>
      </w:r>
    </w:p>
    <w:p w:rsidR="00A31137" w:rsidRPr="00A31137" w:rsidRDefault="00A31137" w:rsidP="00A31137">
      <w:r w:rsidRPr="00A31137">
        <w:t>1984 Republican Platform, p.13</w:t>
      </w:r>
    </w:p>
    <w:p w:rsidR="00A31137" w:rsidRPr="00A31137" w:rsidRDefault="00A31137" w:rsidP="00A31137">
      <w:r w:rsidRPr="00A31137">
        <w:t>The magnitude of indebtedness and the level of interest rates significantly influence farm and ranch profitability. The interrelationship between high interest rates and the high value of the dollar has caused an erosion in our competitive position in export markets. Republicans recognize that lower interest rates are vital to a healthy farm and ranch economy and pledge that an economic priority of the first order will be the further lowering of interest rates by intensifying our efforts to cut federal spending to achieve a balanced budget and by reforming Federal Reserve policy.</w:t>
      </w:r>
    </w:p>
    <w:p w:rsidR="00A31137" w:rsidRPr="00A31137" w:rsidRDefault="00A31137" w:rsidP="00A31137">
      <w:r w:rsidRPr="00A31137">
        <w:t>1984 Republican Platform, p.13</w:t>
      </w:r>
    </w:p>
    <w:p w:rsidR="00A31137" w:rsidRPr="00A31137" w:rsidRDefault="00A31137" w:rsidP="00A31137">
      <w:r w:rsidRPr="00A31137">
        <w:t>Republicans are very much aware of the devastating impact which high interest rates have had, and continue to have, on the viability of America's farmers and ranchers. We also realize that, unless interest rates decline significantly in the near future, the character of American agriculture and rural life will be tragically changed. For these reasons, we pledge to pursue every possible course of action, including the consideration of temporary interest rate reductions, to ensure that the American farmer or rancher is not a patient that dies in the course of a successful economic operation.</w:t>
      </w:r>
    </w:p>
    <w:p w:rsidR="00A31137" w:rsidRPr="00A31137" w:rsidRDefault="00A31137" w:rsidP="00A31137">
      <w:r w:rsidRPr="00A31137">
        <w:t>1984 Republican Platform, p.13</w:t>
      </w:r>
    </w:p>
    <w:p w:rsidR="00A31137" w:rsidRPr="00A31137" w:rsidRDefault="00A31137" w:rsidP="00A31137">
      <w:r w:rsidRPr="00A31137">
        <w:t>Republicans are cognizant that there are many well-managed, efficient, farm and ranch operations which face bankruptcy and foreclosure. The foreclosures and resulting land sales will jeopardize the equity positions of neighboring farms and  ranches, compounding financial problems [p.14] in agriculture. Republicans pledge to implement comprehensive Farmers Home Administration and commercial farm and ranch debt restructuring procedures, including the establishment of local community farm and ranch finance committees, which will advise borrowers, lenders, and government officials regarding debt restructuring alternatives and farmer and rancher eligibility.</w:t>
      </w:r>
    </w:p>
    <w:p w:rsidR="00A31137" w:rsidRPr="00A31137" w:rsidRDefault="00A31137" w:rsidP="00A31137">
      <w:r w:rsidRPr="00A31137">
        <w:t>Setting the Stage for Farm and Ranch Recovery</w:t>
      </w:r>
    </w:p>
    <w:p w:rsidR="00A31137" w:rsidRPr="00A31137" w:rsidRDefault="00A31137" w:rsidP="00A31137">
      <w:r w:rsidRPr="00A31137">
        <w:t>1984 Republican Platform, p.14</w:t>
      </w:r>
    </w:p>
    <w:p w:rsidR="00A31137" w:rsidRPr="00A31137" w:rsidRDefault="00A31137" w:rsidP="00A31137">
      <w:r w:rsidRPr="00A31137">
        <w:t>Sensitive to the needs of farmers and ranchers, we have made the best of the tools available to deal with the Carter-Mondale failure. Among the many specific accomplishments of the Reagan Administration in agriculture, Republicans are proud to have:</w:t>
      </w:r>
    </w:p>
    <w:p w:rsidR="00A31137" w:rsidRPr="00A31137" w:rsidRDefault="00A31137" w:rsidP="00A31137">
      <w:r w:rsidRPr="00A31137">
        <w:t>•</w:t>
      </w:r>
      <w:r w:rsidRPr="00A31137">
        <w:tab/>
        <w:t>Lifted the Carter-Mondale grain embargo and demonstrated by word and deed that farm and ranch product embargoes will not be used as a tool of foreign policy, negotiated a long term agreement with the Soviet Union, and strengthened our credibility as a reliable supplier by enacting contract sanctity legislation.</w:t>
      </w:r>
    </w:p>
    <w:p w:rsidR="00A31137" w:rsidRPr="00A31137" w:rsidRDefault="00A31137" w:rsidP="00A31137">
      <w:r w:rsidRPr="00A31137">
        <w:t>•</w:t>
      </w:r>
      <w:r w:rsidRPr="00A31137">
        <w:tab/>
        <w:t>Increased food assistance and agricultural export financing programs to over $7 billion, a record level.</w:t>
      </w:r>
    </w:p>
    <w:p w:rsidR="00A31137" w:rsidRPr="00A31137" w:rsidRDefault="00A31137" w:rsidP="00A31137">
      <w:r w:rsidRPr="00A31137">
        <w:t>•</w:t>
      </w:r>
      <w:r w:rsidRPr="00A31137">
        <w:tab/>
        <w:t>Challenged unfair export subsidy practices and aggressively countered them with "blended credit" and other export expansion programs.</w:t>
      </w:r>
    </w:p>
    <w:p w:rsidR="00A31137" w:rsidRPr="00A31137" w:rsidRDefault="00A31137" w:rsidP="00A31137">
      <w:r w:rsidRPr="00A31137">
        <w:t>•</w:t>
      </w:r>
      <w:r w:rsidRPr="00A31137">
        <w:tab/>
        <w:t>Achieved major breakthroughs in Japan's beef and citrus quotas, allowing our exports to double over four years.</w:t>
      </w:r>
    </w:p>
    <w:p w:rsidR="00A31137" w:rsidRPr="00A31137" w:rsidRDefault="00A31137" w:rsidP="00A31137">
      <w:r w:rsidRPr="00A31137">
        <w:t>•</w:t>
      </w:r>
      <w:r w:rsidRPr="00A31137">
        <w:tab/>
        <w:t>Resisted protectionist efforts by other industries, such as domestic content legislation, that would cause a backlash against U.S. farm and ranch exports.</w:t>
      </w:r>
    </w:p>
    <w:p w:rsidR="00A31137" w:rsidRPr="00A31137" w:rsidRDefault="00A31137" w:rsidP="00A31137">
      <w:r w:rsidRPr="00A31137">
        <w:t>•</w:t>
      </w:r>
      <w:r w:rsidRPr="00A31137">
        <w:tab/>
        <w:t>Developed and implemented the PIK program to draw down burdensome reserve stocks of major commodities created by the Carter-Mondale embargo.</w:t>
      </w:r>
    </w:p>
    <w:p w:rsidR="00A31137" w:rsidRPr="00A31137" w:rsidRDefault="00A31137" w:rsidP="00A31137">
      <w:r w:rsidRPr="00A31137">
        <w:t>•</w:t>
      </w:r>
      <w:r w:rsidRPr="00A31137">
        <w:tab/>
        <w:t>Reformed bankruptcy law to provide for accelerated distribution of farm products in bankrupt elevators, acceptance of warehouse receipts and scale tickets as proof of ownership, and allowing a lien against elevator assets for unpaid farmers.</w:t>
      </w:r>
    </w:p>
    <w:p w:rsidR="00A31137" w:rsidRPr="00A31137" w:rsidRDefault="00A31137" w:rsidP="00A31137">
      <w:r w:rsidRPr="00A31137">
        <w:t>•</w:t>
      </w:r>
      <w:r w:rsidRPr="00A31137">
        <w:tab/>
        <w:t xml:space="preserve">Eliminated the marriage tax penalty for a surviving spouse and protected family farms and ranches by exempting, by 1987, up to $600,000 from estate taxes. [p.15] </w:t>
      </w:r>
    </w:p>
    <w:p w:rsidR="00A31137" w:rsidRPr="00A31137" w:rsidRDefault="00A31137" w:rsidP="00A31137">
      <w:r w:rsidRPr="00A31137">
        <w:t>•</w:t>
      </w:r>
      <w:r w:rsidRPr="00A31137">
        <w:tab/>
        <w:t>Accelerated depreciation of farm and ranch equipment and buildings and increased the exemption for agricultural vehicles from the heavy vehicle use tax.</w:t>
      </w:r>
    </w:p>
    <w:p w:rsidR="00A31137" w:rsidRPr="00A31137" w:rsidRDefault="00A31137" w:rsidP="00A31137">
      <w:r w:rsidRPr="00A31137">
        <w:t>•</w:t>
      </w:r>
      <w:r w:rsidRPr="00A31137">
        <w:tab/>
        <w:t>Increased the gasoline tax exemption by 50 percent for alcohol fuels, stimulating demand for domestic grain production and reducing dependency on foreign oil.</w:t>
      </w:r>
    </w:p>
    <w:p w:rsidR="00A31137" w:rsidRPr="00A31137" w:rsidRDefault="00A31137" w:rsidP="00A31137">
      <w:r w:rsidRPr="00A31137">
        <w:t>•</w:t>
      </w:r>
      <w:r w:rsidRPr="00A31137">
        <w:tab/>
        <w:t>Worked with rural credit and farm and ranch lending institutions to assure adequate capital at the lowest possible interest rates.</w:t>
      </w:r>
    </w:p>
    <w:p w:rsidR="00A31137" w:rsidRPr="00A31137" w:rsidRDefault="00A31137" w:rsidP="00A31137">
      <w:r w:rsidRPr="00A31137">
        <w:t>•</w:t>
      </w:r>
      <w:r w:rsidRPr="00A31137">
        <w:tab/>
        <w:t>Responded to the emergency financial needs of farmers and ranchers stricken by drought and flood.</w:t>
      </w:r>
    </w:p>
    <w:p w:rsidR="00A31137" w:rsidRPr="00A31137" w:rsidRDefault="00A31137" w:rsidP="00A31137">
      <w:r w:rsidRPr="00A31137">
        <w:t>1984 Republican Platform, p.15</w:t>
      </w:r>
    </w:p>
    <w:p w:rsidR="00A31137" w:rsidRPr="00A31137" w:rsidRDefault="00A31137" w:rsidP="00A31137">
      <w:r w:rsidRPr="00A31137">
        <w:t>We want real profits for farmers and ranchers. We have begun the turnaround on farm and ranch incomes. Sound fiscal, monetary, and growth-oriented tax policies are essential if farmers and ranchers are to realize sufficient and enduring profits. We support legislation to permit farmers, ranchers, and other self-employed individuals to deduct from their gross income up to one-half of the cost of their personal hospitalization insurance premiums.</w:t>
      </w:r>
    </w:p>
    <w:p w:rsidR="00A31137" w:rsidRPr="00A31137" w:rsidRDefault="00A31137" w:rsidP="00A31137">
      <w:r w:rsidRPr="00A31137">
        <w:t>1984 Republican Platform, p.15</w:t>
      </w:r>
    </w:p>
    <w:p w:rsidR="00A31137" w:rsidRPr="00A31137" w:rsidRDefault="00A31137" w:rsidP="00A31137">
      <w:r w:rsidRPr="00A31137">
        <w:t>Government policies should strengthen the ability of farmers and ranchers to provide quality products at reasonable rates of return in an expanding economy. We believe that federal farm programs should be tailored to meet the economic needs and requirements of today's structurally diverse and internationally oriented agriculture. These programs must be sensitive to potential impacts on all agriculture, especially non-program commodities, livestock, agribusiness, and rural communities.</w:t>
      </w:r>
    </w:p>
    <w:p w:rsidR="00A31137" w:rsidRPr="00A31137" w:rsidRDefault="00A31137" w:rsidP="00A31137">
      <w:r w:rsidRPr="00A31137">
        <w:t>1984 Republican Platform, p.15</w:t>
      </w:r>
    </w:p>
    <w:p w:rsidR="00A31137" w:rsidRPr="00A31137" w:rsidRDefault="00A31137" w:rsidP="00A31137">
      <w:r w:rsidRPr="00A31137">
        <w:t>Republicans believe that the future of American agriculture lies in the utilization of our rich farmland, advanced technology, and hard working farm and ranch people, to supply food and fiber to the world. Traditional farm programs have threatened the confidence of America's farmers and ranchers and exhausted the patience of American taxpayers. We reject the policy of more of the same, and we further reject the Democrats' public utility vision of agriculture which views it as a problem to be minimized by further political and bureaucratic management. Our new programs will bring the flexibility to adjust to rapidly changing export market conditions and opportunities, and, in a timely and effective manner, respond to the inherent, uncontrollable risks of farming and ranching.</w:t>
      </w:r>
    </w:p>
    <w:p w:rsidR="00A31137" w:rsidRPr="00A31137" w:rsidRDefault="00A31137" w:rsidP="00A31137">
      <w:r w:rsidRPr="00A31137">
        <w:t>1984 Republican Platform, p.15</w:t>
      </w:r>
    </w:p>
    <w:p w:rsidR="00A31137" w:rsidRPr="00A31137" w:rsidRDefault="00A31137" w:rsidP="00A31137">
      <w:r w:rsidRPr="00A31137">
        <w:t>Rural Americans impart a special strength to our national character, important to us all. Whether farmers or not, all rural  citizens should have the same consideration as those who live in towns and cities in economic [p.16] development, energy, credit, transportation availability, and employment. Opportunities for non-farm jobs have become increasingly important to farm and ranch families, enhancing life and work in rural America.</w:t>
      </w:r>
    </w:p>
    <w:p w:rsidR="00A31137" w:rsidRPr="00A31137" w:rsidRDefault="00A31137" w:rsidP="00A31137">
      <w:r w:rsidRPr="00A31137">
        <w:t>Toward Fair and Expanded Markets and Responding to Hunger</w:t>
      </w:r>
    </w:p>
    <w:p w:rsidR="00A31137" w:rsidRPr="00A31137" w:rsidRDefault="00A31137" w:rsidP="00A31137">
      <w:r w:rsidRPr="00A31137">
        <w:t>1984 Republican Platform, p.16</w:t>
      </w:r>
    </w:p>
    <w:p w:rsidR="00A31137" w:rsidRPr="00A31137" w:rsidRDefault="00A31137" w:rsidP="00A31137">
      <w:r w:rsidRPr="00A31137">
        <w:t>Agriculture is an international advantage for the United States. But a successful farm and ranch policy demands earnest attention to building on the strength of our domestic production capacity and to developing world markets, for American agriculture cannot be prosperous without exports.</w:t>
      </w:r>
    </w:p>
    <w:p w:rsidR="00A31137" w:rsidRPr="00A31137" w:rsidRDefault="00A31137" w:rsidP="00A31137">
      <w:r w:rsidRPr="00A31137">
        <w:t>1984 Republican Platform, p.16</w:t>
      </w:r>
    </w:p>
    <w:p w:rsidR="00A31137" w:rsidRPr="00A31137" w:rsidRDefault="00A31137" w:rsidP="00A31137">
      <w:r w:rsidRPr="00A31137">
        <w:t>Our farmers and ranchers must have full access to world markets and should not have to face unfair export subsidies and predatory dumping by other producing nations without redress. Republicans believe that unfair trade practices and non-tariff barriers are so serious that a comprehensive renegotiation of multilateral trade arrangements must be undertaken to revitalize the free, fair, and open trade critical to worldwide economic growth.</w:t>
      </w:r>
    </w:p>
    <w:p w:rsidR="00A31137" w:rsidRPr="00A31137" w:rsidRDefault="00A31137" w:rsidP="00A31137">
      <w:r w:rsidRPr="00A31137">
        <w:t>1984 Republican Platform, p.16</w:t>
      </w:r>
    </w:p>
    <w:p w:rsidR="00A31137" w:rsidRPr="00A31137" w:rsidRDefault="00A31137" w:rsidP="00A31137">
      <w:r w:rsidRPr="00A31137">
        <w:t>The Republican Party is unalterably opposed to the use of embargoes of grain or other agricultural products as a tool of foreign policy. The Carter-Mondale grain embargo is—still more than any other factor—the cause of the present difficulties in American agriculture and possibly the irretrievable loss of foreign markets. Republicans say, "Never again." The Democratic Platform says nothing.</w:t>
      </w:r>
    </w:p>
    <w:p w:rsidR="00A31137" w:rsidRPr="00A31137" w:rsidRDefault="00A31137" w:rsidP="00A31137">
      <w:r w:rsidRPr="00A31137">
        <w:t>1984 Republican Platform, p.16</w:t>
      </w:r>
    </w:p>
    <w:p w:rsidR="00A31137" w:rsidRPr="00A31137" w:rsidRDefault="00A31137" w:rsidP="00A31137">
      <w:r w:rsidRPr="00A31137">
        <w:t>America has a long history of helping those in need, and the responsibility for food assistance has been shared by federal and State governments and neighborhood volunteers. Federal expenditures in this area exceeded $19 billion in 1983, the highest amount ever. Numerous private and public efforts assure that adequate food is available. This expresses faith in our future and reflects our people's goodness.</w:t>
      </w:r>
    </w:p>
    <w:p w:rsidR="00A31137" w:rsidRPr="00A31137" w:rsidRDefault="00A31137" w:rsidP="00A31137">
      <w:r w:rsidRPr="00A31137">
        <w:t>1984 Republican Platform, p.16</w:t>
      </w:r>
    </w:p>
    <w:p w:rsidR="00A31137" w:rsidRPr="00A31137" w:rsidRDefault="00A31137" w:rsidP="00A31137">
      <w:r w:rsidRPr="00A31137">
        <w:t>We will provide adequate resources in programs ranging from food stamps to school lunches for the truly needy. We also recognize that fraud and abuse must be eliminated from those programs. We stress maximum local control consistent with national objectives.</w:t>
      </w:r>
    </w:p>
    <w:p w:rsidR="00A31137" w:rsidRPr="00A31137" w:rsidRDefault="00A31137" w:rsidP="00A31137">
      <w:r w:rsidRPr="00A31137">
        <w:t>Reducing Excessive Regulation in Agriculture</w:t>
      </w:r>
    </w:p>
    <w:p w:rsidR="00A31137" w:rsidRPr="00A31137" w:rsidRDefault="00A31137" w:rsidP="00A31137">
      <w:r w:rsidRPr="00A31137">
        <w:t>1984 Republican Platform, p.16</w:t>
      </w:r>
    </w:p>
    <w:p w:rsidR="00A31137" w:rsidRPr="00A31137" w:rsidRDefault="00A31137" w:rsidP="00A31137">
      <w:r w:rsidRPr="00A31137">
        <w:t>Excessive federal regulations, many imposed by the Carter-Mondale Administration, have been a crushing burden.</w:t>
      </w:r>
    </w:p>
    <w:p w:rsidR="00A31137" w:rsidRPr="00A31137" w:rsidRDefault="00A31137" w:rsidP="00A31137">
      <w:r w:rsidRPr="00A31137">
        <w:t>1984 Republican Platform, p.16</w:t>
      </w:r>
    </w:p>
    <w:p w:rsidR="00A31137" w:rsidRPr="00A31137" w:rsidRDefault="00A31137" w:rsidP="00A31137">
      <w:r w:rsidRPr="00A31137">
        <w:t>In 1980, we pledged to make sensible reductions in regulations that drained the profitability from farming, ranching, and  commercial fishing. We did just that. We restored balance to the Interior Department's [p.17] ineffective predator-control policies, and we moderated the EPA's and the FDA's excessive adherence to "zero risk" standards concerning the use of pesticides, antibiotics, food additives, and preservatives.</w:t>
      </w:r>
    </w:p>
    <w:p w:rsidR="00A31137" w:rsidRPr="00A31137" w:rsidRDefault="00A31137" w:rsidP="00A31137">
      <w:r w:rsidRPr="00A31137">
        <w:t>1984 Republican Platform, p.17</w:t>
      </w:r>
    </w:p>
    <w:p w:rsidR="00A31137" w:rsidRPr="00A31137" w:rsidRDefault="00A31137" w:rsidP="00A31137">
      <w:r w:rsidRPr="00A31137">
        <w:t>Republicans favor modernizing our food-safety laws, providing guidelines for risk-benefit assessment, peer review, and regulatory flexibility consistent with other health and safety policies.</w:t>
      </w:r>
    </w:p>
    <w:p w:rsidR="00A31137" w:rsidRPr="00A31137" w:rsidRDefault="00A31137" w:rsidP="00A31137">
      <w:r w:rsidRPr="00A31137">
        <w:t>Soil and Water Conservation</w:t>
      </w:r>
    </w:p>
    <w:p w:rsidR="00A31137" w:rsidRPr="00A31137" w:rsidRDefault="00A31137" w:rsidP="00A31137">
      <w:r w:rsidRPr="00A31137">
        <w:t>1984 Republican Platform, p.17</w:t>
      </w:r>
    </w:p>
    <w:p w:rsidR="00A31137" w:rsidRPr="00A31137" w:rsidRDefault="00A31137" w:rsidP="00A31137">
      <w:r w:rsidRPr="00A31137">
        <w:t>Agriculture must be both economically and environmentally sustainable. The soil and water stewardship of our farmers, ranchers, watermen, and rural people is commendable. Republicans believe that long-term soil, water, and other conservation policies, emphasizing environmentally sound agricultural productivity, rangeland protection, fish and wildlife habitat, and balanced forestry management, must be a top priority. Conservation practices must be intensified and integrated with farm programs to safeguard our most valuable resources. Volunteer participation, emphasizing State and local control and adequate incentives, is essential to effective conservation.</w:t>
      </w:r>
    </w:p>
    <w:p w:rsidR="00A31137" w:rsidRPr="00A31137" w:rsidRDefault="00A31137" w:rsidP="00A31137">
      <w:r w:rsidRPr="00A31137">
        <w:t>Water Policy</w:t>
      </w:r>
    </w:p>
    <w:p w:rsidR="00A31137" w:rsidRPr="00A31137" w:rsidRDefault="00A31137" w:rsidP="00A31137">
      <w:r w:rsidRPr="00A31137">
        <w:t>1984 Republican Platform, p.17</w:t>
      </w:r>
    </w:p>
    <w:p w:rsidR="00A31137" w:rsidRPr="00A31137" w:rsidRDefault="00A31137" w:rsidP="00A31137">
      <w:r w:rsidRPr="00A31137">
        <w:t>In 1980, we pledged a water policy which addressed our national diversity in climate, geography, reclamation needs, and patterns of land ownership. We promised a partnership between the States and federal government which would not destroy traditional State supremacy in water law, and which would avert a water crisis in the coming decades. That partnership is now working to meet these challenges.</w:t>
      </w:r>
    </w:p>
    <w:p w:rsidR="00A31137" w:rsidRPr="00A31137" w:rsidRDefault="00A31137" w:rsidP="00A31137">
      <w:r w:rsidRPr="00A31137">
        <w:t>The Future of Farming</w:t>
      </w:r>
    </w:p>
    <w:p w:rsidR="00A31137" w:rsidRPr="00A31137" w:rsidRDefault="00A31137" w:rsidP="00A31137">
      <w:r w:rsidRPr="00A31137">
        <w:t>1984 Republican Platform, p.17</w:t>
      </w:r>
    </w:p>
    <w:p w:rsidR="00A31137" w:rsidRPr="00A31137" w:rsidRDefault="00A31137" w:rsidP="00A31137">
      <w:r w:rsidRPr="00A31137">
        <w:t>American agriculture is the world's most successful because of the hard work and creativity of family farmers and ranchers. They have benefitted immensely from agricultural research, extension, and teaching, unequalled in the world. Cooperative extension, operating in every country, brings the results of USDA and Land Grant University research to rural America. We support these programs, with special attention to marketing efficiencies, reduced production costs, and new uses for farm and ranch commodities. We also encourage the establishment of regional international research and export trade centers.</w:t>
      </w:r>
    </w:p>
    <w:p w:rsidR="00A31137" w:rsidRPr="00A31137" w:rsidRDefault="00A31137" w:rsidP="00A31137">
      <w:r w:rsidRPr="00A31137">
        <w:t>1984 Republican Platform, p.17</w:t>
      </w:r>
    </w:p>
    <w:p w:rsidR="00A31137" w:rsidRPr="00A31137" w:rsidRDefault="00A31137" w:rsidP="00A31137">
      <w:r w:rsidRPr="00A31137">
        <w:t>Our agricultural people have developed the ideals of free enterprise and have based their enterprise on our culture's  basic element, the family. The family farm and ranch is defined as a unit of agricultural production [p.18] managed as an enterprise where labor and management have an equity interest in the business and a direct gain or loss from its operation. Family farms and ranches are the heart, soul, and backbone of American agriculture; it is the family farm that makes our system work better than any other.</w:t>
      </w:r>
    </w:p>
    <w:p w:rsidR="00A31137" w:rsidRPr="00A31137" w:rsidRDefault="00A31137" w:rsidP="00A31137">
      <w:r w:rsidRPr="00A31137">
        <w:t>1984 Republican Platform, p.18</w:t>
      </w:r>
    </w:p>
    <w:p w:rsidR="00A31137" w:rsidRPr="00A31137" w:rsidRDefault="00A31137" w:rsidP="00A31137">
      <w:r w:rsidRPr="00A31137">
        <w:t>Our rural and coastal people developed a great diversity of support organizations. They organized farm and ranch cooperatives, and rural electric and telephone cooperatives to provide essential services. They established farm and ranch organizations to work for better farm policies and to improve the quality of rural life. Republicans note with particular pride and enthusiasm the vital impact women have always had in American farming and ranching, and we support efforts to increase their role.</w:t>
      </w:r>
    </w:p>
    <w:p w:rsidR="00A31137" w:rsidRPr="00A31137" w:rsidRDefault="00A31137" w:rsidP="00A31137">
      <w:r w:rsidRPr="00A31137">
        <w:t>1984 Republican Platform, p.18</w:t>
      </w:r>
    </w:p>
    <w:p w:rsidR="00A31137" w:rsidRPr="00A31137" w:rsidRDefault="00A31137" w:rsidP="00A31137">
      <w:r w:rsidRPr="00A31137">
        <w:t>American agriculture has always relied upon the hardworking people who harvest seasonal and perishable crops. Republicans support comprehensive farm-labor legislation, fair to workers and employers, to protect consumers from work stoppages which disrupt the flow of food.</w:t>
      </w:r>
    </w:p>
    <w:p w:rsidR="00A31137" w:rsidRPr="00A31137" w:rsidRDefault="00A31137" w:rsidP="00A31137">
      <w:r w:rsidRPr="00A31137">
        <w:t>1984 Republican Platform, p.18</w:t>
      </w:r>
    </w:p>
    <w:p w:rsidR="00A31137" w:rsidRPr="00A31137" w:rsidRDefault="00A31137" w:rsidP="00A31137">
      <w:r w:rsidRPr="00A31137">
        <w:t>Republicans also recognize the tremendous efforts of commercial fishers to bring nutritious seafood products to market, thus strengthening America's food base.</w:t>
      </w:r>
    </w:p>
    <w:p w:rsidR="00A31137" w:rsidRPr="00A31137" w:rsidRDefault="00A31137" w:rsidP="00A31137">
      <w:r w:rsidRPr="00A31137">
        <w:t>1984 Republican Platform, p.18</w:t>
      </w:r>
    </w:p>
    <w:p w:rsidR="00A31137" w:rsidRPr="00A31137" w:rsidRDefault="00A31137" w:rsidP="00A31137">
      <w:r w:rsidRPr="00A31137">
        <w:t>Our agriculture is both a global resource and a tremendous opportunity. Only America possesses the natural, technological, management, and labor resources to commercially develop agriculture's next frontier.</w:t>
      </w:r>
    </w:p>
    <w:p w:rsidR="00A31137" w:rsidRPr="00A31137" w:rsidRDefault="00A31137" w:rsidP="00A31137">
      <w:r w:rsidRPr="00A31137">
        <w:t>1984 Republican Platform, p.18</w:t>
      </w:r>
    </w:p>
    <w:p w:rsidR="00A31137" w:rsidRPr="00A31137" w:rsidRDefault="00A31137" w:rsidP="00A31137">
      <w:r w:rsidRPr="00A31137">
        <w:t>We are encouraged by innovation in agriculture, and applaud its diversity, creativity, and enterprise. Commercial applications of new technology and marketing and management innovations are creating additional opportunities for farming and ranching. Republicans have set the stage for building a new prosperity into our fundamentally strong agricultural system. We renew our national commitment to American farmers and ranchers.</w:t>
      </w:r>
    </w:p>
    <w:p w:rsidR="00A31137" w:rsidRPr="00A31137" w:rsidRDefault="00A31137" w:rsidP="00A31137">
      <w:r w:rsidRPr="00A31137">
        <w:t>International Economic Policy</w:t>
      </w:r>
    </w:p>
    <w:p w:rsidR="00A31137" w:rsidRPr="00A31137" w:rsidRDefault="00A31137" w:rsidP="00A31137">
      <w:r w:rsidRPr="00A31137">
        <w:t>1984 Republican Platform, p.18</w:t>
      </w:r>
    </w:p>
    <w:p w:rsidR="00A31137" w:rsidRPr="00A31137" w:rsidRDefault="00A31137" w:rsidP="00A31137">
      <w:r w:rsidRPr="00A31137">
        <w:t>The recent tremendous expansion of international trade has increased the standard of living worldwide. Our strong economy is attracting investment in the United States, which is providing capital needed for new jobs, technology, higher wages, and more competitive products.</w:t>
      </w:r>
    </w:p>
    <w:p w:rsidR="00A31137" w:rsidRPr="00A31137" w:rsidRDefault="00A31137" w:rsidP="00A31137">
      <w:r w:rsidRPr="00A31137">
        <w:t>1984 Republican Platform, p.18</w:t>
      </w:r>
    </w:p>
    <w:p w:rsidR="00A31137" w:rsidRPr="00A31137" w:rsidRDefault="00A31137" w:rsidP="00A31137">
      <w:r w:rsidRPr="00A31137">
        <w:t>We are committed to a free and open international trading system. All Americans benefit from the free flow of goods,  services and capital, and the efficiencies of a vigorous international market. We will work with [p.19] all of our international trading partners to eliminate barriers to trade, both tariff and non-tariff. As a first step, we call on our trading partners to join in a new round of trade negotiations to revise the General Agreement on Tariffs and Trade in order to strengthen it. And we further call on our trading partners to join us in reviewing trade with totalitarian regimes.</w:t>
      </w:r>
    </w:p>
    <w:p w:rsidR="00A31137" w:rsidRPr="00A31137" w:rsidRDefault="00A31137" w:rsidP="00A31137">
      <w:r w:rsidRPr="00A31137">
        <w:t>1984 Republican Platform, p.19</w:t>
      </w:r>
    </w:p>
    <w:p w:rsidR="00A31137" w:rsidRPr="00A31137" w:rsidRDefault="00A31137" w:rsidP="00A31137">
      <w:r w:rsidRPr="00A31137">
        <w:t>But free trade must be fair trade. It works only when all trading partners accept open markets for goods, services, and investments. We will review existing trade agreements and vigorously enforce trade laws including assurance of access to all markets for our service industries. We will pursue domestic and international policies that will allow our American manufacturing and agricultural industries to compete in international markets. We will not tolerate the loss of American jobs to nationalized, subsidized, protected foreign industries, particularly in steel, automobiles, mining, footwear, textiles, and other basic industries. This production is sometimes financed with our own tax dollars through international institutions. We will work to stop funding of those projects which are detrimental to our own economy.</w:t>
      </w:r>
    </w:p>
    <w:p w:rsidR="00A31137" w:rsidRPr="00A31137" w:rsidRDefault="00A31137" w:rsidP="00A31137">
      <w:r w:rsidRPr="00A31137">
        <w:t>1984 Republican Platform, p.19</w:t>
      </w:r>
    </w:p>
    <w:p w:rsidR="00A31137" w:rsidRPr="00A31137" w:rsidRDefault="00A31137" w:rsidP="00A31137">
      <w:r w:rsidRPr="00A31137">
        <w:t>The greatest danger today to our international trade is a growing protectionist sentiment. Tremendous fluctuations in exchange rates have rendered long-term international contracts virtually useless. We therefore urge our trading partners to join us in evaluating and correcting the structural problems of the international monetary system, to base it on more stable exchange rates and free capital markets.</w:t>
      </w:r>
    </w:p>
    <w:p w:rsidR="00A31137" w:rsidRPr="00A31137" w:rsidRDefault="00A31137" w:rsidP="00A31137">
      <w:r w:rsidRPr="00A31137">
        <w:t>1984 Republican Platform, p.19</w:t>
      </w:r>
    </w:p>
    <w:p w:rsidR="00A31137" w:rsidRPr="00A31137" w:rsidRDefault="00A31137" w:rsidP="00A31137">
      <w:r w:rsidRPr="00A31137">
        <w:t>Further, we support reorganization of trade responsibilities in order to reduce overlap, duplication, and waste in the conduct of international trade and industry.</w:t>
      </w:r>
    </w:p>
    <w:p w:rsidR="00A31137" w:rsidRPr="00A31137" w:rsidRDefault="00A31137" w:rsidP="00A31137">
      <w:r w:rsidRPr="00A31137">
        <w:t>1984 Republican Platform, p.19</w:t>
      </w:r>
    </w:p>
    <w:p w:rsidR="00A31137" w:rsidRPr="00A31137" w:rsidRDefault="00A31137" w:rsidP="00A31137">
      <w:r w:rsidRPr="00A31137">
        <w:t>Revisions in that system will stabilize trade relations so that debtor nations can repay their debts. These debts are the direct result of their domestic policies, often mandated by multilateral institutions, combined with the breakdown of the international monetary system. Slower economic growth, reduced imports, and higher taxes will not relieve debt burdens, but worsen them. The only way to repay the debts is to create productive capacity to generate new wealth through economic expansion, as America has done.</w:t>
      </w:r>
    </w:p>
    <w:p w:rsidR="00A31137" w:rsidRPr="00A31137" w:rsidRDefault="00A31137" w:rsidP="00A31137">
      <w:r w:rsidRPr="00A31137">
        <w:t>1984 Republican Platform, p.19</w:t>
      </w:r>
    </w:p>
    <w:p w:rsidR="00A31137" w:rsidRPr="00A31137" w:rsidRDefault="00A31137" w:rsidP="00A31137">
      <w:r w:rsidRPr="00A31137">
        <w:t xml:space="preserve">Austerity should be imposed not on people, but on governments. Debtor nations seeking our assistance must increase incentives for growth by encouraging private investment, reducing taxes, and eliminating subsidies, price controls, and  politically motivated development projects. [p.20] </w:t>
      </w:r>
    </w:p>
    <w:p w:rsidR="00A31137" w:rsidRPr="00A31137" w:rsidRDefault="00A31137" w:rsidP="00A31137">
      <w:r w:rsidRPr="00A31137">
        <w:t>Security for the Individual</w:t>
      </w:r>
    </w:p>
    <w:p w:rsidR="00A31137" w:rsidRPr="00A31137" w:rsidRDefault="00A31137" w:rsidP="00A31137">
      <w:r w:rsidRPr="00A31137">
        <w:t>1984 Republican Platform, p.20</w:t>
      </w:r>
    </w:p>
    <w:p w:rsidR="00A31137" w:rsidRPr="00A31137" w:rsidRDefault="00A31137" w:rsidP="00A31137">
      <w:r w:rsidRPr="00A31137">
        <w:t>America was built on the institutions of home, family, religion, and neighborhood. From these basic building blocks came self-reliant individuals, prepared to exercise both rights and responsibilities.</w:t>
      </w:r>
    </w:p>
    <w:p w:rsidR="00A31137" w:rsidRPr="00A31137" w:rsidRDefault="00A31137" w:rsidP="00A31137">
      <w:r w:rsidRPr="00A31137">
        <w:t>1984 Republican Platform, p.20</w:t>
      </w:r>
    </w:p>
    <w:p w:rsidR="00A31137" w:rsidRPr="00A31137" w:rsidRDefault="00A31137" w:rsidP="00A31137">
      <w:r w:rsidRPr="00A31137">
        <w:t>In the community of individuals and families, every generation has relearned the art of self-government. In our neighborhoods, Americans have traditionally taken care of their needs and aided the less fortunate. In the process we developed, independent of government, the remarkable network of "mediating institutions"—religious groups, unions, community and professional associations. Prominent among them have been innumerable volunteer groups, from fire departments and neighborhood-watch patrols to meals-on-wheels and the little leagues.</w:t>
      </w:r>
    </w:p>
    <w:p w:rsidR="00A31137" w:rsidRPr="00A31137" w:rsidRDefault="00A31137" w:rsidP="00A31137">
      <w:r w:rsidRPr="00A31137">
        <w:t>1984 Republican Platform, p.20</w:t>
      </w:r>
    </w:p>
    <w:p w:rsidR="00A31137" w:rsidRPr="00A31137" w:rsidRDefault="00A31137" w:rsidP="00A31137">
      <w:r w:rsidRPr="00A31137">
        <w:t>Public policy long ignored these foundations of American life. Especially during the two decades preceding Ronald Reagan's election, the federal government eroded their authority, ignored their rights, and attempted to supplant their functions with programs at once intrusive and ineffectual. It thereby disrupted our traditional patterns of caring, sharing, and helping. It elbowed out the voluntary providers of services and aid instead of working through them.</w:t>
      </w:r>
    </w:p>
    <w:p w:rsidR="00A31137" w:rsidRPr="00A31137" w:rsidRDefault="00A31137" w:rsidP="00A31137">
      <w:r w:rsidRPr="00A31137">
        <w:t>1984 Republican Platform, p.20</w:t>
      </w:r>
    </w:p>
    <w:p w:rsidR="00A31137" w:rsidRPr="00A31137" w:rsidRDefault="00A31137" w:rsidP="00A31137">
      <w:r w:rsidRPr="00A31137">
        <w:t>By centralizing responsibility for social programs in Washington, liberal experimenters destroyed the sense of community that sustains local institutions. In many cases, they literally broke up neighborhoods and devastated rural communities.</w:t>
      </w:r>
    </w:p>
    <w:p w:rsidR="00A31137" w:rsidRPr="00A31137" w:rsidRDefault="00A31137" w:rsidP="00A31137">
      <w:r w:rsidRPr="00A31137">
        <w:t>1984 Republican Platform, p.20</w:t>
      </w:r>
    </w:p>
    <w:p w:rsidR="00A31137" w:rsidRPr="00A31137" w:rsidRDefault="00A31137" w:rsidP="00A31137">
      <w:r w:rsidRPr="00A31137">
        <w:t>Washington's governing elite thought they knew better than the people how to spend the people's money. They played fast and loose with our schools, with law enforcement, with welfare, with housing. The results were declining literacy and learning, an epidemic of crime, a massive increase in dependency, and the slumming of our cities.</w:t>
      </w:r>
    </w:p>
    <w:p w:rsidR="00A31137" w:rsidRPr="00A31137" w:rsidRDefault="00A31137" w:rsidP="00A31137">
      <w:r w:rsidRPr="00A31137">
        <w:t>1984 Republican Platform, p.20</w:t>
      </w:r>
    </w:p>
    <w:p w:rsidR="00A31137" w:rsidRPr="00A31137" w:rsidRDefault="00A31137" w:rsidP="00A31137">
      <w:r w:rsidRPr="00A31137">
        <w:t>Worst of all, they tried to build their brave new world by assaulting our basic values. They mocked the work ethic. They scorned frugality. They attacked the integrity of the family and parental rights. They ignored traditional morality. And they still do.</w:t>
      </w:r>
    </w:p>
    <w:p w:rsidR="00A31137" w:rsidRPr="00A31137" w:rsidRDefault="00A31137" w:rsidP="00A31137">
      <w:r w:rsidRPr="00A31137">
        <w:t>1984 Republican Platform, p.20</w:t>
      </w:r>
    </w:p>
    <w:p w:rsidR="00A31137" w:rsidRPr="00A31137" w:rsidRDefault="00A31137" w:rsidP="00A31137">
      <w:r w:rsidRPr="00A31137">
        <w:t>Our 1980 Republican Platform offered a renewed vision. We based it upon home, family, and community as the surest guarantees of both individual rights and national greatness. We asserted, as we do now, the ethical dimension of public policy: the need to return to enduring principles of conduct and firm standards of judgment.</w:t>
      </w:r>
    </w:p>
    <w:p w:rsidR="00A31137" w:rsidRPr="00A31137" w:rsidRDefault="00A31137" w:rsidP="00A31137">
      <w:r w:rsidRPr="00A31137">
        <w:t>1984 Republican Platform, p.20</w:t>
      </w:r>
    </w:p>
    <w:p w:rsidR="00A31137" w:rsidRPr="00A31137" w:rsidRDefault="00A31137" w:rsidP="00A31137">
      <w:r w:rsidRPr="00A31137">
        <w:t xml:space="preserve">The American people responded with enthusiasm. They knew that our roots, in family, home, and neighborhood, do not tie us down. They give us strength. Once more we call upon our people to assert their supervision over government, to  affirm their rights against government, to uphold their interests within government. [p.21] </w:t>
      </w:r>
    </w:p>
    <w:p w:rsidR="00A31137" w:rsidRPr="00A31137" w:rsidRDefault="00A31137" w:rsidP="00A31137">
      <w:r w:rsidRPr="00A31137">
        <w:t>Housing and Homeownership</w:t>
      </w:r>
    </w:p>
    <w:p w:rsidR="00A31137" w:rsidRPr="00A31137" w:rsidRDefault="00A31137" w:rsidP="00A31137">
      <w:r w:rsidRPr="00A31137">
        <w:t>1984 Republican Platform, p.21</w:t>
      </w:r>
    </w:p>
    <w:p w:rsidR="00A31137" w:rsidRPr="00A31137" w:rsidRDefault="00A31137" w:rsidP="00A31137">
      <w:r w:rsidRPr="00A31137">
        <w:t>Homeownership is part of the American Dream. For the last two decades, that dream has been endangered by bad public policy. Government unleashed a dreadful inflation upon homebuyers, driving mortgage rates beyond the reach of average families, as the prime rate rose more than 300 percent (from 6.5 percent to 21.5 percent). The American worker's purchasing power fell every year from 1977 through 1980.</w:t>
      </w:r>
    </w:p>
    <w:p w:rsidR="00A31137" w:rsidRPr="00A31137" w:rsidRDefault="00A31137" w:rsidP="00A31137">
      <w:r w:rsidRPr="00A31137">
        <w:t>1984 Republican Platform, p.21</w:t>
      </w:r>
    </w:p>
    <w:p w:rsidR="00A31137" w:rsidRPr="00A31137" w:rsidRDefault="00A31137" w:rsidP="00A31137">
      <w:r w:rsidRPr="00A31137">
        <w:t>No wonder the housing industry was crippled. Its workers faced recurrent recessions. The boom-and-bust cycle made saving foolish, investment risky, and housing scarce.</w:t>
      </w:r>
    </w:p>
    <w:p w:rsidR="00A31137" w:rsidRPr="00A31137" w:rsidRDefault="00A31137" w:rsidP="00A31137">
      <w:r w:rsidRPr="00A31137">
        <w:t>1984 Republican Platform, p.21</w:t>
      </w:r>
    </w:p>
    <w:p w:rsidR="00A31137" w:rsidRPr="00A31137" w:rsidRDefault="00A31137" w:rsidP="00A31137">
      <w:r w:rsidRPr="00A31137">
        <w:t>Federal housing blighted stable low-income neighborhoods, disrupting communities which people had held together for generations. Only government could have wasted billions of dollars to create the instant slums which disgrace our cities.</w:t>
      </w:r>
    </w:p>
    <w:p w:rsidR="00A31137" w:rsidRPr="00A31137" w:rsidRDefault="00A31137" w:rsidP="00A31137">
      <w:r w:rsidRPr="00A31137">
        <w:t>1984 Republican Platform, p.21</w:t>
      </w:r>
    </w:p>
    <w:p w:rsidR="00A31137" w:rsidRPr="00A31137" w:rsidRDefault="00A31137" w:rsidP="00A31137">
      <w:r w:rsidRPr="00A31137">
        <w:t>In our 1980 Platform, we pledged to reverse this situation. We have begun to do so, despite obstructionism from those who believe that the taxpayer's home is government's castle.</w:t>
      </w:r>
    </w:p>
    <w:p w:rsidR="00A31137" w:rsidRPr="00A31137" w:rsidRDefault="00A31137" w:rsidP="00A31137">
      <w:r w:rsidRPr="00A31137">
        <w:t>1984 Republican Platform, p.21</w:t>
      </w:r>
    </w:p>
    <w:p w:rsidR="00A31137" w:rsidRPr="00A31137" w:rsidRDefault="00A31137" w:rsidP="00A31137">
      <w:r w:rsidRPr="00A31137">
        <w:t>We attacked the basic problem, not the symptoms. We cut tax rates and reduced inflation to a fraction of the Carter-Mondale years. The median price house that would cost $94,800 if Carter-Mondale inflation had continued now costs $74,200. The average monthly mortgage payment, which rose by $342 during the Carter-Mondale years, has increased just $24 since January 1981. The American Dream has made a comeback.</w:t>
      </w:r>
    </w:p>
    <w:p w:rsidR="00A31137" w:rsidRPr="00A31137" w:rsidRDefault="00A31137" w:rsidP="00A31137">
      <w:r w:rsidRPr="00A31137">
        <w:t>1984 Republican Platform, p.21</w:t>
      </w:r>
    </w:p>
    <w:p w:rsidR="00A31137" w:rsidRPr="00A31137" w:rsidRDefault="00A31137" w:rsidP="00A31137">
      <w:r w:rsidRPr="00A31137">
        <w:t>To sustain it, we must finish the people's agenda.</w:t>
      </w:r>
    </w:p>
    <w:p w:rsidR="00A31137" w:rsidRPr="00A31137" w:rsidRDefault="00A31137" w:rsidP="00A31137">
      <w:r w:rsidRPr="00A31137">
        <w:t>1984 Republican Platform, p.21</w:t>
      </w:r>
    </w:p>
    <w:p w:rsidR="00A31137" w:rsidRPr="00A31137" w:rsidRDefault="00A31137" w:rsidP="00A31137">
      <w:r w:rsidRPr="00A31137">
        <w:t>We reaffirm our commitment to the federal-tax deductibility of mortgage interest payments. In the States, we stand with those working to lower property taxes that strike hardest at the poor, the elderly, and large families. We stand, as well, with Americans earning possession of their homes through "sweat-equity" programs.</w:t>
      </w:r>
    </w:p>
    <w:p w:rsidR="00A31137" w:rsidRPr="00A31137" w:rsidRDefault="00A31137" w:rsidP="00A31137">
      <w:r w:rsidRPr="00A31137">
        <w:t>1984 Republican Platform, p.21</w:t>
      </w:r>
    </w:p>
    <w:p w:rsidR="00A31137" w:rsidRPr="00A31137" w:rsidRDefault="00A31137" w:rsidP="00A31137">
      <w:r w:rsidRPr="00A31137">
        <w:t>We will, over time, replace subsidies and welfare projects with a voucher system, returning public housing to the free market.</w:t>
      </w:r>
    </w:p>
    <w:p w:rsidR="00A31137" w:rsidRPr="00A31137" w:rsidRDefault="00A31137" w:rsidP="00A31137">
      <w:r w:rsidRPr="00A31137">
        <w:t>1984 Republican Platform, p.21</w:t>
      </w:r>
    </w:p>
    <w:p w:rsidR="00A31137" w:rsidRPr="00A31137" w:rsidRDefault="00A31137" w:rsidP="00A31137">
      <w:r w:rsidRPr="00A31137">
        <w:t>Despite billions of dollars poured into public housing developments, conditions remain deplorable for many low-income Americans who live in [p.22] them. These projects have become breeding grounds for the very problems they were meant to eliminate. Their dilapidated and crumbling structures testify to decades of corrupt or incompetent management by poverty bureaucrats.</w:t>
      </w:r>
    </w:p>
    <w:p w:rsidR="00A31137" w:rsidRPr="00A31137" w:rsidRDefault="00A31137" w:rsidP="00A31137">
      <w:r w:rsidRPr="00A31137">
        <w:t>1984 Republican Platform, p.22</w:t>
      </w:r>
    </w:p>
    <w:p w:rsidR="00A31137" w:rsidRPr="00A31137" w:rsidRDefault="00A31137" w:rsidP="00A31137">
      <w:r w:rsidRPr="00A31137">
        <w:t>Some residents of public housing developments have reversed these conditions by successfully managing their own housing units through creative self-help efforts. It is abundantly clear that their pride of ownership has been the most important factor contributing to the efficiency of operation, enhancing the quality of housing, improving community morale, and providing incentives for their self-improvement. The Republican Party therefore supports the development of programs which will lead to homeownership of public housing developments by current residents.</w:t>
      </w:r>
    </w:p>
    <w:p w:rsidR="00A31137" w:rsidRPr="00A31137" w:rsidRDefault="00A31137" w:rsidP="00A31137">
      <w:r w:rsidRPr="00A31137">
        <w:t>1984 Republican Platform, p.22</w:t>
      </w:r>
    </w:p>
    <w:p w:rsidR="00A31137" w:rsidRPr="00A31137" w:rsidRDefault="00A31137" w:rsidP="00A31137">
      <w:r w:rsidRPr="00A31137">
        <w:t>We strongly believe in open housing. We will vigorously enforce all fair housing laws and will not tolerate their distortion into quotas and controls.</w:t>
      </w:r>
    </w:p>
    <w:p w:rsidR="00A31137" w:rsidRPr="00A31137" w:rsidRDefault="00A31137" w:rsidP="00A31137">
      <w:r w:rsidRPr="00A31137">
        <w:t>1984 Republican Platform, p.22</w:t>
      </w:r>
    </w:p>
    <w:p w:rsidR="00A31137" w:rsidRPr="00A31137" w:rsidRDefault="00A31137" w:rsidP="00A31137">
      <w:r w:rsidRPr="00A31137">
        <w:t>Rent controls promise housing below its market cost but inevitably result in a shortage of decent homes. Our people should not have to underwrite any community which erodes its own housing supply by rent control.</w:t>
      </w:r>
    </w:p>
    <w:p w:rsidR="00A31137" w:rsidRPr="00A31137" w:rsidRDefault="00A31137" w:rsidP="00A31137">
      <w:r w:rsidRPr="00A31137">
        <w:t>1984 Republican Platform, p.22</w:t>
      </w:r>
    </w:p>
    <w:p w:rsidR="00A31137" w:rsidRPr="00A31137" w:rsidRDefault="00A31137" w:rsidP="00A31137">
      <w:r w:rsidRPr="00A31137">
        <w:t>Sound economic policy is good housing policy. In our expanding economy, where people are free to work and save, they will shelter their families without government intrusion.</w:t>
      </w:r>
    </w:p>
    <w:p w:rsidR="00A31137" w:rsidRPr="00A31137" w:rsidRDefault="00A31137" w:rsidP="00A31137">
      <w:r w:rsidRPr="00A31137">
        <w:t>Welfare</w:t>
      </w:r>
    </w:p>
    <w:p w:rsidR="00A31137" w:rsidRPr="00A31137" w:rsidRDefault="00A31137" w:rsidP="00A31137">
      <w:r w:rsidRPr="00A31137">
        <w:t>1984 Republican Platform, p.22</w:t>
      </w:r>
    </w:p>
    <w:p w:rsidR="00A31137" w:rsidRPr="00A31137" w:rsidRDefault="00A31137" w:rsidP="00A31137">
      <w:r w:rsidRPr="00A31137">
        <w:t>Helping the less fortunate is one of America's noblest endeavors, made possible by the abundance of our free and competitive economy. Aid should be swift and adequate to ensure the necessities of a decent life.</w:t>
      </w:r>
    </w:p>
    <w:p w:rsidR="00A31137" w:rsidRPr="00A31137" w:rsidRDefault="00A31137" w:rsidP="00A31137">
      <w:r w:rsidRPr="00A31137">
        <w:t>1984 Republican Platform, p.22</w:t>
      </w:r>
    </w:p>
    <w:p w:rsidR="00A31137" w:rsidRPr="00A31137" w:rsidRDefault="00A31137" w:rsidP="00A31137">
      <w:r w:rsidRPr="00A31137">
        <w:t>Over the past two decades, welfare became a nightmare for the taxpayer and the poor alike. Fraud and abuse were rampant. The costs of public assistance are astronomical, in large part because resources often benefit the welfare industry rather than the poor.</w:t>
      </w:r>
    </w:p>
    <w:p w:rsidR="00A31137" w:rsidRPr="00A31137" w:rsidRDefault="00A31137" w:rsidP="00A31137">
      <w:r w:rsidRPr="00A31137">
        <w:t>1984 Republican Platform, p.22</w:t>
      </w:r>
    </w:p>
    <w:p w:rsidR="00A31137" w:rsidRPr="00A31137" w:rsidRDefault="00A31137" w:rsidP="00A31137">
      <w:r w:rsidRPr="00A31137">
        <w:t>During the 1970s, the number of people receiving federal assistance increased by almost 300 percent, from 9 million to 35 million, while our population increased by only 11.4 percent. This was a fantastic and unsustainable universalization of welfare.</w:t>
      </w:r>
    </w:p>
    <w:p w:rsidR="00A31137" w:rsidRPr="00A31137" w:rsidRDefault="00A31137" w:rsidP="00A31137">
      <w:r w:rsidRPr="00A31137">
        <w:t>1984 Republican Platform, p.22</w:t>
      </w:r>
    </w:p>
    <w:p w:rsidR="00A31137" w:rsidRPr="00A31137" w:rsidRDefault="00A31137" w:rsidP="00A31137">
      <w:r w:rsidRPr="00A31137">
        <w:t>Welfare's indirect effects were equally as bad. It became a substitute for urgently needed economic reforms to create  more entry-level jobs. Government created a hellish cycle of dependency. Family cohesion was [p.23] shattered, both by providing economic incentives to set up maternal households and by usurping the breadwinner's economic role in intact families.</w:t>
      </w:r>
    </w:p>
    <w:p w:rsidR="00A31137" w:rsidRPr="00A31137" w:rsidRDefault="00A31137" w:rsidP="00A31137">
      <w:r w:rsidRPr="00A31137">
        <w:t>1984 Republican Platform, p.23</w:t>
      </w:r>
    </w:p>
    <w:p w:rsidR="00A31137" w:rsidRPr="00A31137" w:rsidRDefault="00A31137" w:rsidP="00A31137">
      <w:r w:rsidRPr="00A31137">
        <w:t>The cruelest result was the maternalization of poverty, worsened by the breakdown of the family and accelerated by destructive patterns of conduct too long tolerated by permissive liberals. We endorse programs to assist female-headed households to build self-sufficiency, such as efforts by localities to enable participants to achieve permanent employment.</w:t>
      </w:r>
    </w:p>
    <w:p w:rsidR="00A31137" w:rsidRPr="00A31137" w:rsidRDefault="00A31137" w:rsidP="00A31137">
      <w:r w:rsidRPr="00A31137">
        <w:t>1984 Republican Platform, p.23</w:t>
      </w:r>
    </w:p>
    <w:p w:rsidR="00A31137" w:rsidRPr="00A31137" w:rsidRDefault="00A31137" w:rsidP="00A31137">
      <w:r w:rsidRPr="00A31137">
        <w:t>We have begun to clean up the welfare mess. We have dramatically reduced the poor's worst enemy—inflation—thereby protecting their purchasing power. Our resurgent economy has created over six million new jobs and reduced unemployment by 30 percent.</w:t>
      </w:r>
    </w:p>
    <w:p w:rsidR="00A31137" w:rsidRPr="00A31137" w:rsidRDefault="00A31137" w:rsidP="00A31137">
      <w:r w:rsidRPr="00A31137">
        <w:t>1984 Republican Platform, p.23</w:t>
      </w:r>
    </w:p>
    <w:p w:rsidR="00A31137" w:rsidRPr="00A31137" w:rsidRDefault="00A31137" w:rsidP="00A31137">
      <w:r w:rsidRPr="00A31137">
        <w:t>We have launched real welfare reforms. We have targeted benefits to the needy through tighter eligibility standards, enforced child-support laws, and encouraged "workfare" in the States. We gave States more leeway in managing welfare programs, more assistance with fraud control, and more incentives to hold down costs.</w:t>
      </w:r>
    </w:p>
    <w:p w:rsidR="00A31137" w:rsidRPr="00A31137" w:rsidRDefault="00A31137" w:rsidP="00A31137">
      <w:r w:rsidRPr="00A31137">
        <w:t>1984 Republican Platform, p.23</w:t>
      </w:r>
    </w:p>
    <w:p w:rsidR="00A31137" w:rsidRPr="00A31137" w:rsidRDefault="00A31137" w:rsidP="00A31137">
      <w:r w:rsidRPr="00A31137">
        <w:t>Only sustained economic growth, continuing our vigorous recovery, can give credible hope to those at the bottom of the opportunity ladder.</w:t>
      </w:r>
    </w:p>
    <w:p w:rsidR="00A31137" w:rsidRPr="00A31137" w:rsidRDefault="00A31137" w:rsidP="00A31137">
      <w:r w:rsidRPr="00A31137">
        <w:t>1984 Republican Platform, p.23</w:t>
      </w:r>
    </w:p>
    <w:p w:rsidR="00A31137" w:rsidRPr="00A31137" w:rsidRDefault="00A31137" w:rsidP="00A31137">
      <w:r w:rsidRPr="00A31137">
        <w:t>The working poor deserve special consideration, as do low-income families struggling to provide for their children. As part of a comprehensive simplification of the federal tax code, we will restore the real value of their personal tax exemptions so that families, particularly young families, can establish their economic independence.</w:t>
      </w:r>
    </w:p>
    <w:p w:rsidR="00A31137" w:rsidRPr="00A31137" w:rsidRDefault="00A31137" w:rsidP="00A31137">
      <w:r w:rsidRPr="00A31137">
        <w:t>1984 Republican Platform, p.23</w:t>
      </w:r>
    </w:p>
    <w:p w:rsidR="00A31137" w:rsidRPr="00A31137" w:rsidRDefault="00A31137" w:rsidP="00A31137">
      <w:r w:rsidRPr="00A31137">
        <w:t>Federal administration of welfare is the worst possible, detached from community needs and careless with the public's money. Our long tradition of State and local administration of aid programs must be restored. Programs and resources must be returned to State and local governments and not merely exchanged with them. We will support block grants to combine duplicative programs under State administration.</w:t>
      </w:r>
    </w:p>
    <w:p w:rsidR="00A31137" w:rsidRPr="00A31137" w:rsidRDefault="00A31137" w:rsidP="00A31137">
      <w:r w:rsidRPr="00A31137">
        <w:t>1984 Republican Platform, p.23</w:t>
      </w:r>
    </w:p>
    <w:p w:rsidR="00A31137" w:rsidRPr="00A31137" w:rsidRDefault="00A31137" w:rsidP="00A31137">
      <w:r w:rsidRPr="00A31137">
        <w:t>We must also recognize and stimulate the talents and energy of low-income neighborhoods. We must provide new incentives for self-help activities that flow naturally when people realize they can make a difference. This is especially critical in foster care and adoption.</w:t>
      </w:r>
    </w:p>
    <w:p w:rsidR="00A31137" w:rsidRPr="00A31137" w:rsidRDefault="00A31137" w:rsidP="00A31137">
      <w:r w:rsidRPr="00A31137">
        <w:t>1984 Republican Platform, p.23</w:t>
      </w:r>
    </w:p>
    <w:p w:rsidR="00A31137" w:rsidRPr="00A31137" w:rsidRDefault="00A31137" w:rsidP="00A31137">
      <w:r w:rsidRPr="00A31137">
        <w:t xml:space="preserve">Because there are different reasons for poverty, our programs address different needs and must never be replaced with a unitary income guarantee. That would betray the interests of the poor and the taxpayers alike. [p.24] </w:t>
      </w:r>
    </w:p>
    <w:p w:rsidR="00A31137" w:rsidRPr="00A31137" w:rsidRDefault="00A31137" w:rsidP="00A31137">
      <w:r w:rsidRPr="00A31137">
        <w:t>1984 Republican Platform, p.24</w:t>
      </w:r>
    </w:p>
    <w:p w:rsidR="00A31137" w:rsidRPr="00A31137" w:rsidRDefault="00A31137" w:rsidP="00A31137">
      <w:r w:rsidRPr="00A31137">
        <w:t>We will employ the latest technology to combat welfare fraud in order to protect the needy from the greedy.</w:t>
      </w:r>
    </w:p>
    <w:p w:rsidR="00A31137" w:rsidRPr="00A31137" w:rsidRDefault="00A31137" w:rsidP="00A31137">
      <w:r w:rsidRPr="00A31137">
        <w:t>1984 Republican Platform, p.24</w:t>
      </w:r>
    </w:p>
    <w:p w:rsidR="00A31137" w:rsidRPr="00A31137" w:rsidRDefault="00A31137" w:rsidP="00A31137">
      <w:r w:rsidRPr="00A31137">
        <w:t>Whenever possible, public assistance must be a transition to the world of work, except in cases, particularly with the aged and disabled, where that is not appropriate. In other cases, it is long overdue.</w:t>
      </w:r>
    </w:p>
    <w:p w:rsidR="00A31137" w:rsidRPr="00A31137" w:rsidRDefault="00A31137" w:rsidP="00A31137">
      <w:r w:rsidRPr="00A31137">
        <w:t>1984 Republican Platform, p.24</w:t>
      </w:r>
    </w:p>
    <w:p w:rsidR="00A31137" w:rsidRPr="00A31137" w:rsidRDefault="00A31137" w:rsidP="00A31137">
      <w:r w:rsidRPr="00A31137">
        <w:t>Remedying poverty requires that we sustain and broaden economic recovery, hold families together, get government's hand out of their pocketbooks, and restore the work ethic.</w:t>
      </w:r>
    </w:p>
    <w:p w:rsidR="00A31137" w:rsidRPr="00A31137" w:rsidRDefault="00A31137" w:rsidP="00A31137">
      <w:r w:rsidRPr="00A31137">
        <w:t>Health</w:t>
      </w:r>
    </w:p>
    <w:p w:rsidR="00A31137" w:rsidRPr="00A31137" w:rsidRDefault="00A31137" w:rsidP="00A31137">
      <w:r w:rsidRPr="00A31137">
        <w:t>1984 Republican Platform, p.24</w:t>
      </w:r>
    </w:p>
    <w:p w:rsidR="00A31137" w:rsidRPr="00A31137" w:rsidRDefault="00A31137" w:rsidP="00A31137">
      <w:r w:rsidRPr="00A31137">
        <w:t>Our tremendous investment in health care has brought us almost miraculous advances. Although costs are still too high, we have dramatically enhanced the length and quality of life for all.</w:t>
      </w:r>
    </w:p>
    <w:p w:rsidR="00A31137" w:rsidRPr="00A31137" w:rsidRDefault="00A31137" w:rsidP="00A31137">
      <w:r w:rsidRPr="00A31137">
        <w:t>1984 Republican Platform, p.24</w:t>
      </w:r>
    </w:p>
    <w:p w:rsidR="00A31137" w:rsidRPr="00A31137" w:rsidRDefault="00A31137" w:rsidP="00A31137">
      <w:r w:rsidRPr="00A31137">
        <w:t>Faced with Medicare and Medicaid mismanagement, government tried to ration health care through arbitrary cuts in eligibility and benefits. Meanwhile, inflation drove up medical bills for us all. Economic incentives were backwards, with little awareness of costs by individual patients. Reimbursement mechanisms were based on expenses incurred, rather than set prospectively. Conspicuously absent were free-market incentives to respond to consumer wishes. Instead, government's heavy hand was everywhere.</w:t>
      </w:r>
    </w:p>
    <w:p w:rsidR="00A31137" w:rsidRPr="00A31137" w:rsidRDefault="00A31137" w:rsidP="00A31137">
      <w:r w:rsidRPr="00A31137">
        <w:t>1984 Republican Platform, p.24</w:t>
      </w:r>
    </w:p>
    <w:p w:rsidR="00A31137" w:rsidRPr="00A31137" w:rsidRDefault="00A31137" w:rsidP="00A31137">
      <w:r w:rsidRPr="00A31137">
        <w:t>We narrowly averted disaster. We moved creatively and carefully to restructure incentives, to free competition, to encourage flexible new approaches in the States, and to identify better means of health-care delivery. Applying these principles, we will preserve Medicare and Medicaid. We will eliminate the excesses and inefficiencies which drove costs unacceptably high in those programs. In order to assure their solvency and to avoid placing undue burdens on beneficiaries, reform must be a priority. The Republican Party reaffirms its commitment to assure a basic level of high quality health care for all Americans. We reaffirm as well our opposition to any proposals for compulsory national health insurance.</w:t>
      </w:r>
    </w:p>
    <w:p w:rsidR="00A31137" w:rsidRPr="00A31137" w:rsidRDefault="00A31137" w:rsidP="00A31137">
      <w:r w:rsidRPr="00A31137">
        <w:t>1984 Republican Platform, p.24</w:t>
      </w:r>
    </w:p>
    <w:p w:rsidR="00A31137" w:rsidRPr="00A31137" w:rsidRDefault="00A31137" w:rsidP="00A31137">
      <w:r w:rsidRPr="00A31137">
        <w:t xml:space="preserve">While Republicans held the line against government takeover of health care, the American people found private ways to meet new challenges. There has been a laudable surge in preventive health care and an emphasis on personal responsibility for maintaining one's health. Compassionate innovation has developed insurance against catastrophic illness, and capitated "at risk" plans are encouraging innovation and creativity. [p.25] </w:t>
      </w:r>
    </w:p>
    <w:p w:rsidR="00A31137" w:rsidRPr="00A31137" w:rsidRDefault="00A31137" w:rsidP="00A31137">
      <w:r w:rsidRPr="00A31137">
        <w:t>1984 Republican Platform, p.25</w:t>
      </w:r>
    </w:p>
    <w:p w:rsidR="00A31137" w:rsidRPr="00A31137" w:rsidRDefault="00A31137" w:rsidP="00A31137">
      <w:r w:rsidRPr="00A31137">
        <w:t>We will maintain our commitment to health excellence by fostering research into yet-unconquered diseases. There is no better investment we as a nation can make than in programs which hold the promise of sounder health and longer life. For every dollar we spend on health research, we save many more in health care costs. Thus, what we invest in medical research today will yield billions of dollars in individual productivity as well as in savings in Medicare and Medicaid. The federal government has been the major source of support for biomedical research since 1945. That research effort holds great promise for combatting cancer, heart disease, brain disorders, mental illness, diabetes, Alzheimer's disease, sickle cell anemia, and numerous other illnesses which threaten our nation's welfare. We commit to its continuance.</w:t>
      </w:r>
    </w:p>
    <w:p w:rsidR="00A31137" w:rsidRPr="00A31137" w:rsidRDefault="00A31137" w:rsidP="00A31137">
      <w:r w:rsidRPr="00A31137">
        <w:t>1984 Republican Platform, p.25</w:t>
      </w:r>
    </w:p>
    <w:p w:rsidR="00A31137" w:rsidRPr="00A31137" w:rsidRDefault="00A31137" w:rsidP="00A31137">
      <w:r w:rsidRPr="00A31137">
        <w:t>Many health problems arise within the family and should be dealt with there. We affirm the right and responsibility of parents to participate in decisions about the treatment of children. We will not tolerate the use of federal funds, taxed away from parents, to abrogate their role in family health care.</w:t>
      </w:r>
    </w:p>
    <w:p w:rsidR="00A31137" w:rsidRPr="00A31137" w:rsidRDefault="00A31137" w:rsidP="00A31137">
      <w:r w:rsidRPr="00A31137">
        <w:t>1984 Republican Platform, p.25</w:t>
      </w:r>
    </w:p>
    <w:p w:rsidR="00A31137" w:rsidRPr="00A31137" w:rsidRDefault="00A31137" w:rsidP="00A31137">
      <w:r w:rsidRPr="00A31137">
        <w:t>Republicans have secured for the hospice movement an important role in federal health programs. We must do more to enable persons to remain within the unbroken family circle. For those elderly confined to nursing homes or hospitals, we insist that they be treated with dignity and full medical assistance.</w:t>
      </w:r>
    </w:p>
    <w:p w:rsidR="00A31137" w:rsidRPr="00A31137" w:rsidRDefault="00A31137" w:rsidP="00A31137">
      <w:r w:rsidRPr="00A31137">
        <w:t>1984 Republican Platform, p.25</w:t>
      </w:r>
    </w:p>
    <w:p w:rsidR="00A31137" w:rsidRPr="00A31137" w:rsidRDefault="00A31137" w:rsidP="00A31137">
      <w:r w:rsidRPr="00A31137">
        <w:t>Discrimination in health care is unacceptable; we guarantee, especially for the handicapped, non-discrimination in the compassionate healing that marks American medicine.</w:t>
      </w:r>
    </w:p>
    <w:p w:rsidR="00A31137" w:rsidRPr="00A31137" w:rsidRDefault="00A31137" w:rsidP="00A31137">
      <w:r w:rsidRPr="00A31137">
        <w:t>1984 Republican Platform, p.25</w:t>
      </w:r>
    </w:p>
    <w:p w:rsidR="00A31137" w:rsidRPr="00A31137" w:rsidRDefault="00A31137" w:rsidP="00A31137">
      <w:r w:rsidRPr="00A31137">
        <w:t>Government must not impose cumbersome health planning that causes major delays, increases construction costs, and stifles competition. It should not unduly delay the approval of new medicines, nor adhere to outdated safety standards hindering rapidly advancing technology.</w:t>
      </w:r>
    </w:p>
    <w:p w:rsidR="00A31137" w:rsidRPr="00A31137" w:rsidRDefault="00A31137" w:rsidP="00A31137">
      <w:r w:rsidRPr="00A31137">
        <w:t>1984 Republican Platform, p.25</w:t>
      </w:r>
    </w:p>
    <w:p w:rsidR="00A31137" w:rsidRPr="00A31137" w:rsidRDefault="00A31137" w:rsidP="00A31137">
      <w:r w:rsidRPr="00A31137">
        <w:t>We must address ailments not symptoms, in health-care policy. Drug and alcohol abuse costs thousands of lives and billions of dollars every year. We reaffirm our vigorous commitment to alcohol and drug abuse prevention and education efforts. We salute the citizens' campaign, launched from America's grass roots, against drunk driving. We applaud those States which raised the legal drinking age.</w:t>
      </w:r>
    </w:p>
    <w:p w:rsidR="00A31137" w:rsidRPr="00A31137" w:rsidRDefault="00A31137" w:rsidP="00A31137">
      <w:r w:rsidRPr="00A31137">
        <w:t>1984 Republican Platform, p.25</w:t>
      </w:r>
    </w:p>
    <w:p w:rsidR="00A31137" w:rsidRPr="00A31137" w:rsidRDefault="00A31137" w:rsidP="00A31137">
      <w:r w:rsidRPr="00A31137">
        <w:t>Much illness, especially among the elderly, is related to poor nutrition. The reasons are more often social than economic: isolation, separation from family, and often a mismatch between nutritional needs and available assistance. This reinforces our efforts to protect federal [p.26] nutrition programs from fraud and abuse, so that their benefits can be concentrated upon the truly needy.</w:t>
      </w:r>
    </w:p>
    <w:p w:rsidR="00A31137" w:rsidRPr="00A31137" w:rsidRDefault="00A31137" w:rsidP="00A31137">
      <w:r w:rsidRPr="00A31137">
        <w:t>1984 Republican Platform, p.26</w:t>
      </w:r>
    </w:p>
    <w:p w:rsidR="00A31137" w:rsidRPr="00A31137" w:rsidRDefault="00A31137" w:rsidP="00A31137">
      <w:r w:rsidRPr="00A31137">
        <w:t>A supportive environment linking family, home, neighborhood, and workplace is essential to a sound health policy. The other essential step is to encourage the individual responsibility and group assistance that are uniquely American.</w:t>
      </w:r>
    </w:p>
    <w:p w:rsidR="00A31137" w:rsidRPr="00A31137" w:rsidRDefault="00A31137" w:rsidP="00A31137">
      <w:r w:rsidRPr="00A31137">
        <w:t>Environment</w:t>
      </w:r>
    </w:p>
    <w:p w:rsidR="00A31137" w:rsidRPr="00A31137" w:rsidRDefault="00A31137" w:rsidP="00A31137">
      <w:r w:rsidRPr="00A31137">
        <w:t>1984 Republican Platform, p.26</w:t>
      </w:r>
    </w:p>
    <w:p w:rsidR="00A31137" w:rsidRPr="00A31137" w:rsidRDefault="00A31137" w:rsidP="00A31137">
      <w:r w:rsidRPr="00A31137">
        <w:t>It is part of the Republican philosophy to preserve the best of our heritage, including our natural resources. The environment is not just a scientific or technological issue; it is a human one. Republicans put the needs of people at the center of environmental concerns. We assert the people's stewardship of our God-given natural resources. We pledge to meet the challenges of environmental protection, economic growth, regulatory reform, enhancement of our scenic and recreational areas, conservation of our non-renewable resources, and preservation of our irreplaceable natural heritage.</w:t>
      </w:r>
    </w:p>
    <w:p w:rsidR="00A31137" w:rsidRPr="00A31137" w:rsidRDefault="00A31137" w:rsidP="00A31137">
      <w:r w:rsidRPr="00A31137">
        <w:t>1984 Republican Platform, p.26</w:t>
      </w:r>
    </w:p>
    <w:p w:rsidR="00A31137" w:rsidRPr="00A31137" w:rsidRDefault="00A31137" w:rsidP="00A31137">
      <w:r w:rsidRPr="00A31137">
        <w:t>Americans were environmentalists long before it became fashionable. Our farmers cared for the earth and made it the world's most bountiful. Our families cared for their neighborhoods as an investment in our children's future. We pioneered the conservation that replenished our forests, preserved our wildlife, and created our national park system.</w:t>
      </w:r>
    </w:p>
    <w:p w:rsidR="00A31137" w:rsidRPr="00A31137" w:rsidRDefault="00A31137" w:rsidP="00A31137">
      <w:r w:rsidRPr="00A31137">
        <w:t>1984 Republican Platform, p.26</w:t>
      </w:r>
    </w:p>
    <w:p w:rsidR="00A31137" w:rsidRPr="00A31137" w:rsidRDefault="00A31137" w:rsidP="00A31137">
      <w:r w:rsidRPr="00A31137">
        <w:t>The American people have joined together in a great national effort to protect the promise of our future by conserving the rich beauty and bounty of our heritage. As a result, by almost any measure, the air is cleaner than it was 10 years ago, and fish are returning to rivers where they had not been seen for generations.</w:t>
      </w:r>
    </w:p>
    <w:p w:rsidR="00A31137" w:rsidRPr="00A31137" w:rsidRDefault="00A31137" w:rsidP="00A31137">
      <w:r w:rsidRPr="00A31137">
        <w:t>1984 Republican Platform, p.26</w:t>
      </w:r>
    </w:p>
    <w:p w:rsidR="00A31137" w:rsidRPr="00A31137" w:rsidRDefault="00A31137" w:rsidP="00A31137">
      <w:r w:rsidRPr="00A31137">
        <w:t>Within the last four years, dramatic progress has been made in protecting coastal barrier islands, and we began the Park Preservation and Restoration Program to restore the most celebrated symbols of our heritage. We support programs to restore and protect the nation's estuaries, wetland resources, and beaches.</w:t>
      </w:r>
    </w:p>
    <w:p w:rsidR="00A31137" w:rsidRPr="00A31137" w:rsidRDefault="00A31137" w:rsidP="00A31137">
      <w:r w:rsidRPr="00A31137">
        <w:t>1984 Republican Platform, p.26</w:t>
      </w:r>
    </w:p>
    <w:p w:rsidR="00A31137" w:rsidRPr="00A31137" w:rsidRDefault="00A31137" w:rsidP="00A31137">
      <w:r w:rsidRPr="00A31137">
        <w:t>The Republican Party endorses a strong effort to control and clean up toxic wastes. We have already tripled funding to clean up hazardous waste dumps, quadrupled funding for acid rain research, and launched the rebirth of the Chesapeake Bay.</w:t>
      </w:r>
    </w:p>
    <w:p w:rsidR="00A31137" w:rsidRPr="00A31137" w:rsidRDefault="00A31137" w:rsidP="00A31137">
      <w:r w:rsidRPr="00A31137">
        <w:t>1984 Republican Platform, p.26</w:t>
      </w:r>
    </w:p>
    <w:p w:rsidR="00A31137" w:rsidRPr="00A31137" w:rsidRDefault="00A31137" w:rsidP="00A31137">
      <w:r w:rsidRPr="00A31137">
        <w:t>The environmental policy of our nation originated with the Republican Party under the inspiration of Theodore Roosevelt. We hold it a privilege to build upon the foundation we have laid. The Republican Party supports the continued commitment to clean air and clean water. [p.27] This support includes the implementation of meaningful clean air and clean water acts. We will continue to offer leadership to reduce the threat to our environment and our economy from acid rain, while at the same time preventing economic dislocation.</w:t>
      </w:r>
    </w:p>
    <w:p w:rsidR="00A31137" w:rsidRPr="00A31137" w:rsidRDefault="00A31137" w:rsidP="00A31137">
      <w:r w:rsidRPr="00A31137">
        <w:t>1984 Republican Platform, p.27</w:t>
      </w:r>
    </w:p>
    <w:p w:rsidR="00A31137" w:rsidRPr="00A31137" w:rsidRDefault="00A31137" w:rsidP="00A31137">
      <w:r w:rsidRPr="00A31137">
        <w:t>Even as many environmental problems have been brought under control, new ones have been detected. And all the while, the growth and shifts of population and economic expansion, as well as the development of new industries, will further intensify the competing demands on our national resources.</w:t>
      </w:r>
    </w:p>
    <w:p w:rsidR="00A31137" w:rsidRPr="00A31137" w:rsidRDefault="00A31137" w:rsidP="00A31137">
      <w:r w:rsidRPr="00A31137">
        <w:t>1984 Republican Platform, p.27</w:t>
      </w:r>
    </w:p>
    <w:p w:rsidR="00A31137" w:rsidRPr="00A31137" w:rsidRDefault="00A31137" w:rsidP="00A31137">
      <w:r w:rsidRPr="00A31137">
        <w:t>Continued progress will be much more difficult. The environmental challenges of the 1980s are much more complex than the ones we tried to address in the 1970s, and they will not yield quickly to our efforts. As the science and administration of environmental protection have become more sophisticated, we have learned of many subtle and potentially more dangerous threats to public health and the environment.</w:t>
      </w:r>
    </w:p>
    <w:p w:rsidR="00A31137" w:rsidRPr="00A31137" w:rsidRDefault="00A31137" w:rsidP="00A31137">
      <w:r w:rsidRPr="00A31137">
        <w:t>1984 Republican Platform, p.27</w:t>
      </w:r>
    </w:p>
    <w:p w:rsidR="00A31137" w:rsidRPr="00A31137" w:rsidRDefault="00A31137" w:rsidP="00A31137">
      <w:r w:rsidRPr="00A31137">
        <w:t>In setting out to find solutions to the environmental issues of the 1980s and 1990s, we start with a healthy appreciation of the difficulties involved. Detecting contamination, assessing the threat, correcting the damage, and setting up preventive measures, all raise questions of science, technology, and public policy that are as difficult as they are important. However, the health and well being of our citizens must be a high priority.</w:t>
      </w:r>
    </w:p>
    <w:p w:rsidR="00A31137" w:rsidRPr="00A31137" w:rsidRDefault="00A31137" w:rsidP="00A31137">
      <w:r w:rsidRPr="00A31137">
        <w:t>1984 Republican Platform, p.27</w:t>
      </w:r>
    </w:p>
    <w:p w:rsidR="00A31137" w:rsidRPr="00A31137" w:rsidRDefault="00A31137" w:rsidP="00A31137">
      <w:r w:rsidRPr="00A31137">
        <w:t>The number of people served by waste water treatment systems has nearly doubled just since 1970. The federal government should offer assistance to State and local governments in planning for the disposal of solid and liquid wastes. A top priority nationwide should be to eliminate the dumping of raw sewage.</w:t>
      </w:r>
    </w:p>
    <w:p w:rsidR="00A31137" w:rsidRPr="00A31137" w:rsidRDefault="00A31137" w:rsidP="00A31137">
      <w:r w:rsidRPr="00A31137">
        <w:t>1984 Republican Platform, p.27</w:t>
      </w:r>
    </w:p>
    <w:p w:rsidR="00A31137" w:rsidRPr="00A31137" w:rsidRDefault="00A31137" w:rsidP="00A31137">
      <w:r w:rsidRPr="00A31137">
        <w:t>We encourage recycling of materials and support programs which will allow our economic system to reward resource conservation.</w:t>
      </w:r>
    </w:p>
    <w:p w:rsidR="00A31137" w:rsidRPr="00A31137" w:rsidRDefault="00A31137" w:rsidP="00A31137">
      <w:r w:rsidRPr="00A31137">
        <w:t>1984 Republican Platform, p.27</w:t>
      </w:r>
    </w:p>
    <w:p w:rsidR="00A31137" w:rsidRPr="00A31137" w:rsidRDefault="00A31137" w:rsidP="00A31137">
      <w:r w:rsidRPr="00A31137">
        <w:t>We also commit ourselves to the development of renewable and efficient energy sources and to the protection of endangered or threatened species of plants and wildlife.</w:t>
      </w:r>
    </w:p>
    <w:p w:rsidR="00A31137" w:rsidRPr="00A31137" w:rsidRDefault="00A31137" w:rsidP="00A31137">
      <w:r w:rsidRPr="00A31137">
        <w:t>1984 Republican Platform, p.27</w:t>
      </w:r>
    </w:p>
    <w:p w:rsidR="00A31137" w:rsidRPr="00A31137" w:rsidRDefault="00A31137" w:rsidP="00A31137">
      <w:r w:rsidRPr="00A31137">
        <w:t xml:space="preserve">We will be responsible to future generations, but at the same time, we must remember that quality of life means more than protection and preservation. As Teddy Roosevelt put it, "Conservation means development as much as it does protection." Quality of life also means a good job, a decent place to live, accommodation for a growing population, and the continued economic and technological development essential to our standard of living, which is the envy of the whole world. [p.28] </w:t>
      </w:r>
    </w:p>
    <w:p w:rsidR="00A31137" w:rsidRPr="00A31137" w:rsidRDefault="00A31137" w:rsidP="00A31137">
      <w:r w:rsidRPr="00A31137">
        <w:t>Transportation</w:t>
      </w:r>
    </w:p>
    <w:p w:rsidR="00A31137" w:rsidRPr="00A31137" w:rsidRDefault="00A31137" w:rsidP="00A31137">
      <w:r w:rsidRPr="00A31137">
        <w:t>1984 Republican Platform, p.28</w:t>
      </w:r>
    </w:p>
    <w:p w:rsidR="00A31137" w:rsidRPr="00A31137" w:rsidRDefault="00A31137" w:rsidP="00A31137">
      <w:r w:rsidRPr="00A31137">
        <w:t>America's overall transportation system is unequalled. Generating over 20 percent of our GNP and employing one of every nine people in the work force, it promotes the unity amid diversity that uniquely characterizes our country. We travel widely, and we move the products of field and factory more efficiently and economically than any other people on earth.</w:t>
      </w:r>
    </w:p>
    <w:p w:rsidR="00A31137" w:rsidRPr="00A31137" w:rsidRDefault="00A31137" w:rsidP="00A31137">
      <w:r w:rsidRPr="00A31137">
        <w:t>1984 Republican Platform, p.28</w:t>
      </w:r>
    </w:p>
    <w:p w:rsidR="00A31137" w:rsidRPr="00A31137" w:rsidRDefault="00A31137" w:rsidP="00A31137">
      <w:r w:rsidRPr="00A31137">
        <w:t>And yet, four years ago, the future of American transportation was threatened. Over several decades, its vigor and creativity had been stunted by the intrusion of government regulation. The results were terribly expensive, and consumers paid the price. Our skies and highways were becoming dangerous and congested. With the same vision that marked President Eisenhower's beginning of the Interstate Highway System, the Reagan Administration launched a massive modernization of America's transport systems.</w:t>
      </w:r>
    </w:p>
    <w:p w:rsidR="00A31137" w:rsidRPr="00A31137" w:rsidRDefault="00A31137" w:rsidP="00A31137">
      <w:r w:rsidRPr="00A31137">
        <w:t>1984 Republican Platform, p.28</w:t>
      </w:r>
    </w:p>
    <w:p w:rsidR="00A31137" w:rsidRPr="00A31137" w:rsidRDefault="00A31137" w:rsidP="00A31137">
      <w:r w:rsidRPr="00A31137">
        <w:t>An expanded highway program is rebuilding the nation's roads and bridges and creating several hundred thousand jobs in construction and related fields. Driving mileage has increased by 8 percent, but greater attention to safety has led to a 17 percent reduction in fatalities, saving more than 8,000 lives yearly.</w:t>
      </w:r>
    </w:p>
    <w:p w:rsidR="00A31137" w:rsidRPr="00A31137" w:rsidRDefault="00A31137" w:rsidP="00A31137">
      <w:r w:rsidRPr="00A31137">
        <w:t>1984 Republican Platform, p.28</w:t>
      </w:r>
    </w:p>
    <w:p w:rsidR="00A31137" w:rsidRPr="00A31137" w:rsidRDefault="00A31137" w:rsidP="00A31137">
      <w:r w:rsidRPr="00A31137">
        <w:t>In public transit, we have redefined the federal role to emphasize support for capital investment, while restoring day-to-day responsibility to local authorities.</w:t>
      </w:r>
    </w:p>
    <w:p w:rsidR="00A31137" w:rsidRPr="00A31137" w:rsidRDefault="00A31137" w:rsidP="00A31137">
      <w:r w:rsidRPr="00A31137">
        <w:t>1984 Republican Platform, p.28</w:t>
      </w:r>
    </w:p>
    <w:p w:rsidR="00A31137" w:rsidRPr="00A31137" w:rsidRDefault="00A31137" w:rsidP="00A31137">
      <w:r w:rsidRPr="00A31137">
        <w:t>Our National Airspace Plan is revolutionizing air traffic control. It will improve flight safety and double the nation's flight capacity, providing better air service and stimulating economic growth.</w:t>
      </w:r>
    </w:p>
    <w:p w:rsidR="00A31137" w:rsidRPr="00A31137" w:rsidRDefault="00A31137" w:rsidP="00A31137">
      <w:r w:rsidRPr="00A31137">
        <w:t>1984 Republican Platform, p.28</w:t>
      </w:r>
    </w:p>
    <w:p w:rsidR="00A31137" w:rsidRPr="00A31137" w:rsidRDefault="00A31137" w:rsidP="00A31137">
      <w:r w:rsidRPr="00A31137">
        <w:t>Regulatory reform is revitalizing American transportation. Federal agencies had protected monopolies by erecting regulatory barriers that hindered the entry of new competitors. Small businesses and minority enterprises were virtually excluded. Prices were set, not by the public through free exchange, but by Washington clerks through green eye-shades.</w:t>
      </w:r>
    </w:p>
    <w:p w:rsidR="00A31137" w:rsidRPr="00A31137" w:rsidRDefault="00A31137" w:rsidP="00A31137">
      <w:r w:rsidRPr="00A31137">
        <w:t>1984 Republican Platform, p.28</w:t>
      </w:r>
    </w:p>
    <w:p w:rsidR="00A31137" w:rsidRPr="00A31137" w:rsidRDefault="00A31137" w:rsidP="00A31137">
      <w:r w:rsidRPr="00A31137">
        <w:t>Republicans led the successful fight to break government's strangle-hold. The deregulation of airline economics (not their safety!) will be completed on December 30, 1984, when the Civil Aeronautics Board closes its doors forever. Through our regulatory reform efforts, the rail and trucking industries are now allowed to compete in both price and service. We also led the fight to deregulate interstate bus operations by enacting the Bus Regulatory Reform Act of 1982. While returning to a more free and competitive marketplace, we have ensured that small communities in rural [p.29] America will retain necessary services through transitional assistance like the Essential Air Service Program, which will continue for four more years.</w:t>
      </w:r>
    </w:p>
    <w:p w:rsidR="00A31137" w:rsidRPr="00A31137" w:rsidRDefault="00A31137" w:rsidP="00A31137">
      <w:r w:rsidRPr="00A31137">
        <w:t>1984 Republican Platform, p.29</w:t>
      </w:r>
    </w:p>
    <w:p w:rsidR="00A31137" w:rsidRPr="00A31137" w:rsidRDefault="00A31137" w:rsidP="00A31137">
      <w:r w:rsidRPr="00A31137">
        <w:t>The Shipping Act of 1984 secured the first major reform of maritime law, as it applies to the U.S. liner trade, since 1916. This major step introduces genuine competition to the maritime industry, while enhancing our ability to compete against international cartels. Important in peacetime, critical in times of conflict, one of our proudest industries had long been neglected. We have expanded employment and brought hope of a future worthy of its past. The Reagan defense program now provides more work for our shipyards than at any time since World War II. We seek to halt the decline of our commercial fleet and restore it to economic strength and strategic capacity to fulfill its national obligations. We also seek to maximize the use of our nation's existing port facilities and shipbuilding and repair capability as a vital transportation resource that should be preserved in the best long-term interest of this country.</w:t>
      </w:r>
    </w:p>
    <w:p w:rsidR="00A31137" w:rsidRPr="00A31137" w:rsidRDefault="00A31137" w:rsidP="00A31137">
      <w:r w:rsidRPr="00A31137">
        <w:t>1984 Republican Platform, p.29</w:t>
      </w:r>
    </w:p>
    <w:p w:rsidR="00A31137" w:rsidRPr="00A31137" w:rsidRDefault="00A31137" w:rsidP="00A31137">
      <w:r w:rsidRPr="00A31137">
        <w:t>The American people benefit from regulatory reform. Air travellers now have a remarkable range of options, and flight is within reach of the average family budget. In the trucking business, increased competition has lowered prices and improved service.</w:t>
      </w:r>
    </w:p>
    <w:p w:rsidR="00A31137" w:rsidRPr="00A31137" w:rsidRDefault="00A31137" w:rsidP="00A31137">
      <w:r w:rsidRPr="00A31137">
        <w:t>1984 Republican Platform, p.29</w:t>
      </w:r>
    </w:p>
    <w:p w:rsidR="00A31137" w:rsidRPr="00A31137" w:rsidRDefault="00A31137" w:rsidP="00A31137">
      <w:r w:rsidRPr="00A31137">
        <w:t>The future of America's freight rail system is again bright. As a result of our reforms, the major private railroads have climbed back to profitability. Government red tape caused their red ink; by cutting the former, we are wiping out the latter. In addition, we transformed Conrail from a multi-billion dollar drain on the taxpayers into an efficient, competitive freight railroad. Returning Conrail as a financially sound single entity to private ownership, with service and jobs secure, will provide the nation with an improved rail freight system to promote economic growth. It will also return to the Treasury a significant portion of the taxpayers' investment, virtually unheard of for a federal project. We support improved passenger rail service where economically justified. We have made substantial progress in reducing the taxpayers' subsidy to Amtrak while maintaining services for which there is genuine demand. The Reagan Administration is selling the Alaska Railroad to the State of Alaska and transferring Conrail's commuter lines to the jurisdictions they serve.</w:t>
      </w:r>
    </w:p>
    <w:p w:rsidR="00A31137" w:rsidRPr="00A31137" w:rsidRDefault="00A31137" w:rsidP="00A31137">
      <w:r w:rsidRPr="00A31137">
        <w:t>1984 Republican Platform, p.29</w:t>
      </w:r>
    </w:p>
    <w:p w:rsidR="00A31137" w:rsidRPr="00A31137" w:rsidRDefault="00A31137" w:rsidP="00A31137">
      <w:r w:rsidRPr="00A31137">
        <w:t>The Republican Party believes that the nation's long-term economic growth will depend heavily on the adequacy of its public works infrastructure. We will continue to work to reverse the long-term decline that has occurred. We should foster development of better information on the magnitude and effectiveness of current federal, State, and local government [p.30] capital expenditures and innovative financing mechanisms which would improve our capacity to leverage limited federal funds more effectively.</w:t>
      </w:r>
    </w:p>
    <w:p w:rsidR="00A31137" w:rsidRPr="00A31137" w:rsidRDefault="00A31137" w:rsidP="00A31137">
      <w:r w:rsidRPr="00A31137">
        <w:t>1984 Republican Platform, p.30</w:t>
      </w:r>
    </w:p>
    <w:p w:rsidR="00A31137" w:rsidRPr="00A31137" w:rsidRDefault="00A31137" w:rsidP="00A31137">
      <w:r w:rsidRPr="00A31137">
        <w:t>America's leadership in space depends upon the vitality of free enterprise. That is why we encourage a commercial space-transportation industry. We share President Reagan's vision of a permanent manned space station within a decade, viewing it as the first stepping stone toward creating a multi-billion dollar private economy in space. The permanent presence of man in space is crucial both to developing a visionary program of space commercialization and to creating an opportunity society on Earth of benefit to all mankind. We are, after all, the people who hewed roads out of the wilderness. Our families crossed ocean, prairie, and desert no less dangerous than today's space frontier to reach a new world of opportunity. And every route they took became a highway of liberty.</w:t>
      </w:r>
    </w:p>
    <w:p w:rsidR="00A31137" w:rsidRPr="00A31137" w:rsidRDefault="00A31137" w:rsidP="00A31137">
      <w:r w:rsidRPr="00A31137">
        <w:t>1984 Republican Platform, p.30</w:t>
      </w:r>
    </w:p>
    <w:p w:rsidR="00A31137" w:rsidRPr="00A31137" w:rsidRDefault="00A31137" w:rsidP="00A31137">
      <w:r w:rsidRPr="00A31137">
        <w:t>Like them, we know where we are going: forward, toward a future in our hands. Because of them, and because of us, our children's children will use space transportation to build both prosperity and peace on earth.</w:t>
      </w:r>
    </w:p>
    <w:p w:rsidR="00A31137" w:rsidRPr="00A31137" w:rsidRDefault="00A31137" w:rsidP="00A31137">
      <w:r w:rsidRPr="00A31137">
        <w:t>Education and Youth</w:t>
      </w:r>
    </w:p>
    <w:p w:rsidR="00A31137" w:rsidRPr="00A31137" w:rsidRDefault="00A31137" w:rsidP="00A31137">
      <w:r w:rsidRPr="00A31137">
        <w:t>1984 Republican Platform, p.30</w:t>
      </w:r>
    </w:p>
    <w:p w:rsidR="00A31137" w:rsidRPr="00A31137" w:rsidRDefault="00A31137" w:rsidP="00A31137">
      <w:r w:rsidRPr="00A31137">
        <w:t>Our children are our hope and our future. For their sake, President Reagan has led a national renewal to get back to the "basics" and excellence in education. Young people have turned away from the rebellion of the 1960s and the pessimism of the 1970s. Their hopeful enthusiasm speaks better for a bright future than any government program.</w:t>
      </w:r>
    </w:p>
    <w:p w:rsidR="00A31137" w:rsidRPr="00A31137" w:rsidRDefault="00A31137" w:rsidP="00A31137">
      <w:r w:rsidRPr="00A31137">
        <w:t>1984 Republican Platform, p.30</w:t>
      </w:r>
    </w:p>
    <w:p w:rsidR="00A31137" w:rsidRPr="00A31137" w:rsidRDefault="00A31137" w:rsidP="00A31137">
      <w:r w:rsidRPr="00A31137">
        <w:t>During the Reagan Administration, we restored education to prominence in public policy. This change will clearly benefit our youth and our country. By using the spotlight of the Oval office, the Reagan Administration turned the nation's attention to the quality of education and gave its support to local and State improvement efforts. Parents and all segments of American society responded overwhelmingly to the findings of the National Commission on Excellence in Education, appointed by President Reagan. Its report, along with others from prominent experts and foundations, provided the impetus for educational reform.</w:t>
      </w:r>
    </w:p>
    <w:p w:rsidR="00A31137" w:rsidRPr="00A31137" w:rsidRDefault="00A31137" w:rsidP="00A31137">
      <w:r w:rsidRPr="00A31137">
        <w:t>1984 Republican Platform, p.30</w:t>
      </w:r>
    </w:p>
    <w:p w:rsidR="00A31137" w:rsidRPr="00A31137" w:rsidRDefault="00A31137" w:rsidP="00A31137">
      <w:r w:rsidRPr="00A31137">
        <w:t>Ronald Reagan's significant and innovative leadership has encouraged and sustained the reform movement. He catapulted education to the forefront of the national agenda and will be remembered as a president who improved education.</w:t>
      </w:r>
    </w:p>
    <w:p w:rsidR="00A31137" w:rsidRPr="00A31137" w:rsidRDefault="00A31137" w:rsidP="00A31137">
      <w:r w:rsidRPr="00A31137">
        <w:t>1984 Republican Platform, p.30</w:t>
      </w:r>
    </w:p>
    <w:p w:rsidR="00A31137" w:rsidRPr="00A31137" w:rsidRDefault="00A31137" w:rsidP="00A31137">
      <w:r w:rsidRPr="00A31137">
        <w:t>Unlike the Carter-Mondale Democrats, Republicans have levelled with parents and students about the problems we face  together. We find remedies to these problems in the common sense of those most concerned: [p.31] parents and local leaders. We support the decentralization necessary to put education back on the right track. We urge local school communities, including parents, teachers, students, administrators, and business and civic leaders, to evaluate school curricula—including extra-curricular activities and the time spent in them—and their ultimate effect upon students and the learning process. We recognize the need to get "back to basics" and applaud the dramatic improvements that this approach has already made in some jurisdictions.</w:t>
      </w:r>
    </w:p>
    <w:p w:rsidR="00A31137" w:rsidRPr="00A31137" w:rsidRDefault="00A31137" w:rsidP="00A31137">
      <w:r w:rsidRPr="00A31137">
        <w:t>1984 Republican Platform, p.31</w:t>
      </w:r>
    </w:p>
    <w:p w:rsidR="00A31137" w:rsidRPr="00A31137" w:rsidRDefault="00A31137" w:rsidP="00A31137">
      <w:r w:rsidRPr="00A31137">
        <w:t>In schools, school districts, and States throughout our land, the past year and one-half has been marked by unprecedented response to identified education deficiencies. The Nation Responds, a recent report by the Reagan Administration, referred to a "tidalwave of school reform which promises to renew American education." According to that report:</w:t>
      </w:r>
    </w:p>
    <w:p w:rsidR="00A31137" w:rsidRPr="00A31137" w:rsidRDefault="00A31137" w:rsidP="00A31137">
      <w:r w:rsidRPr="00A31137">
        <w:t>•</w:t>
      </w:r>
      <w:r w:rsidRPr="00A31137">
        <w:tab/>
        <w:t>Forty-eight States are considering new high school graduation requirements and 35 have approved changes.</w:t>
      </w:r>
    </w:p>
    <w:p w:rsidR="00A31137" w:rsidRPr="00A31137" w:rsidRDefault="00A31137" w:rsidP="00A31137">
      <w:r w:rsidRPr="00A31137">
        <w:t>•</w:t>
      </w:r>
      <w:r w:rsidRPr="00A31137">
        <w:tab/>
        <w:t>Twenty-one States report initiatives to improve textbooks and instructional material.</w:t>
      </w:r>
    </w:p>
    <w:p w:rsidR="00A31137" w:rsidRPr="00A31137" w:rsidRDefault="00A31137" w:rsidP="00A31137">
      <w:r w:rsidRPr="00A31137">
        <w:t>•</w:t>
      </w:r>
      <w:r w:rsidRPr="00A31137">
        <w:tab/>
        <w:t>Eight States have approved lengthening the school day, seven are lengthening the school year, and 18 have mandates affecting the amount of time for instruction.</w:t>
      </w:r>
    </w:p>
    <w:p w:rsidR="00A31137" w:rsidRPr="00A31137" w:rsidRDefault="00A31137" w:rsidP="00A31137">
      <w:r w:rsidRPr="00A31137">
        <w:t>•</w:t>
      </w:r>
      <w:r w:rsidRPr="00A31137">
        <w:tab/>
        <w:t>Twenty-four States are examining master teacher or career ladder programs, and six have begun statewide or pilot programs.</w:t>
      </w:r>
    </w:p>
    <w:p w:rsidR="00A31137" w:rsidRPr="00A31137" w:rsidRDefault="00A31137" w:rsidP="00A31137">
      <w:r w:rsidRPr="00A31137">
        <w:t>•</w:t>
      </w:r>
      <w:r w:rsidRPr="00A31137">
        <w:tab/>
        <w:t>Thirteen States are considering changes in academic requirements for extra-curricular and athletic programs, and five have already adopted more rigorous standards.</w:t>
      </w:r>
    </w:p>
    <w:p w:rsidR="00A31137" w:rsidRPr="00A31137" w:rsidRDefault="00A31137" w:rsidP="00A31137">
      <w:r w:rsidRPr="00A31137">
        <w:t>1984 Republican Platform, p.31</w:t>
      </w:r>
    </w:p>
    <w:p w:rsidR="00A31137" w:rsidRPr="00A31137" w:rsidRDefault="00A31137" w:rsidP="00A31137">
      <w:r w:rsidRPr="00A31137">
        <w:t>Education is a matter of choice, and choice in education is inevitably political. All of education is a passing on of ideas from one generation to another. Since the storehouse of knowledge is vast, a selection must be made of what to pass on. Those doing the selecting bring with them their own politics. Therefore, the more centralized the selection process, the greater the threat of tyranny. The more diversified the selection process, the greater the chance for a thriving free marketplace of ideas as the best insurance for excellence in education.</w:t>
      </w:r>
    </w:p>
    <w:p w:rsidR="00A31137" w:rsidRPr="00A31137" w:rsidRDefault="00A31137" w:rsidP="00A31137">
      <w:r w:rsidRPr="00A31137">
        <w:t>1984 Republican Platform, p.31</w:t>
      </w:r>
    </w:p>
    <w:p w:rsidR="00A31137" w:rsidRPr="00A31137" w:rsidRDefault="00A31137" w:rsidP="00A31137">
      <w:r w:rsidRPr="00A31137">
        <w:t>We believe that education is a local function, a State responsibility, and a federal concern. The federal role in education should be limited. It includes helping parents and local authorities ensure high standards, protecting civil rights, and ensuring family rights. Ignoring that principle, from 1965 to 1980, the United States indulged in a disastrous experiment [p.32] with centralized direction of our schools. During the Carter-Mondale Administration, spending continued to increase, but test scores steadily declined.</w:t>
      </w:r>
    </w:p>
    <w:p w:rsidR="00A31137" w:rsidRPr="00A31137" w:rsidRDefault="00A31137" w:rsidP="00A31137">
      <w:r w:rsidRPr="00A31137">
        <w:t>1984 Republican Platform, p.32</w:t>
      </w:r>
    </w:p>
    <w:p w:rsidR="00A31137" w:rsidRPr="00A31137" w:rsidRDefault="00A31137" w:rsidP="00A31137">
      <w:r w:rsidRPr="00A31137">
        <w:t>This decline was not limited to academic matters. Many schools lost sight of their traditional task of developing good character and moral discernment. The result for many was a decline in personal responsibility.</w:t>
      </w:r>
    </w:p>
    <w:p w:rsidR="00A31137" w:rsidRPr="00A31137" w:rsidRDefault="00A31137" w:rsidP="00A31137">
      <w:r w:rsidRPr="00A31137">
        <w:t>1984 Republican Platform, p.32</w:t>
      </w:r>
    </w:p>
    <w:p w:rsidR="00A31137" w:rsidRPr="00A31137" w:rsidRDefault="00A31137" w:rsidP="00A31137">
      <w:r w:rsidRPr="00A31137">
        <w:t>The key to the success of educational reform lies in accountability: for students, parents, educators, school boards, and all governmental units. All must be held accountable in order to achieve excellence in education. Restoring local control of education will allow parents to resume the exercise of their responsibility for the basic education, discipline, and moral guidance of their children.</w:t>
      </w:r>
    </w:p>
    <w:p w:rsidR="00A31137" w:rsidRPr="00A31137" w:rsidRDefault="00A31137" w:rsidP="00A31137">
      <w:r w:rsidRPr="00A31137">
        <w:t>1984 Republican Platform, p.32</w:t>
      </w:r>
    </w:p>
    <w:p w:rsidR="00A31137" w:rsidRPr="00A31137" w:rsidRDefault="00A31137" w:rsidP="00A31137">
      <w:r w:rsidRPr="00A31137">
        <w:t>Parents have the primary right and responsibility for the education of their children; and States, localities, and private institutions have the primary responsibility for supporting that parental role. America has been a land of opportunity because America has been a land of learning. It has given us the most prosperous and dynamic society in the world.</w:t>
      </w:r>
    </w:p>
    <w:p w:rsidR="00A31137" w:rsidRPr="00A31137" w:rsidRDefault="00A31137" w:rsidP="00A31137">
      <w:r w:rsidRPr="00A31137">
        <w:t>1984 Republican Platform, p.32</w:t>
      </w:r>
    </w:p>
    <w:p w:rsidR="00A31137" w:rsidRPr="00A31137" w:rsidRDefault="00A31137" w:rsidP="00A31137">
      <w:r w:rsidRPr="00A31137">
        <w:t>The Republican Party recognizes the importance of good teachers, and we acknowledge the great effort many put forth to achieve excellence in the classroom. We applaud their numerous contributions and achievements in education. Unfortunately, many teachers are exhausted by their efforts to support excellence and elect to leave the classroom setting. Our best teachers have been frustrated by lowered standards, widespread indifference, and compensation below the true value of their contribution to society. In 1980-81 alone, 4 percent of the nation's math and science teachers quit the classroom. To keep the best possible teachers for our children, we support those education reforms which will result in increased student learning, including appropriate class sizes, appropriate and adequate learning and teaching materials, appropriate and consistent grading practices, and proper teacher compensation, including rewarding exceptional efforts and results in the classroom.</w:t>
      </w:r>
    </w:p>
    <w:p w:rsidR="00A31137" w:rsidRPr="00A31137" w:rsidRDefault="00A31137" w:rsidP="00A31137">
      <w:r w:rsidRPr="00A31137">
        <w:t>1984 Republican Platform, p.32</w:t>
      </w:r>
    </w:p>
    <w:p w:rsidR="00A31137" w:rsidRPr="00A31137" w:rsidRDefault="00A31137" w:rsidP="00A31137">
      <w:r w:rsidRPr="00A31137">
        <w:t>Classroom materials should be developed and produced by the private sector in the public marketplace, and then selections should be made at the State, local, and school levels.</w:t>
      </w:r>
    </w:p>
    <w:p w:rsidR="00A31137" w:rsidRPr="00A31137" w:rsidRDefault="00A31137" w:rsidP="00A31137">
      <w:r w:rsidRPr="00A31137">
        <w:t>1984 Republican Platform, p.32</w:t>
      </w:r>
    </w:p>
    <w:p w:rsidR="00A31137" w:rsidRPr="00A31137" w:rsidRDefault="00A31137" w:rsidP="00A31137">
      <w:r w:rsidRPr="00A31137">
        <w:t xml:space="preserve">We commend those States and local governments that have initiated challenging and rigorous high school programs, and we encourage all States to take initiatives that address the special educational needs of the gifted and talented. [p.33] </w:t>
      </w:r>
    </w:p>
    <w:p w:rsidR="00A31137" w:rsidRPr="00A31137" w:rsidRDefault="00A31137" w:rsidP="00A31137">
      <w:r w:rsidRPr="00A31137">
        <w:t>1984 Republican Platform, p.33</w:t>
      </w:r>
    </w:p>
    <w:p w:rsidR="00A31137" w:rsidRPr="00A31137" w:rsidRDefault="00A31137" w:rsidP="00A31137">
      <w:r w:rsidRPr="00A31137">
        <w:t>We have enacted legislation to guarantee equal access to school facilities by student religious groups. Mindful of our religious diversity, we reaffirm our commitment to the freedoms of religion and speech guaranteed by the Constitution of the United States and firmly support the rights of students to openly practice the same, including the right to engage in voluntary prayer in schools.</w:t>
      </w:r>
    </w:p>
    <w:p w:rsidR="00A31137" w:rsidRPr="00A31137" w:rsidRDefault="00A31137" w:rsidP="00A31137">
      <w:r w:rsidRPr="00A31137">
        <w:t>1984 Republican Platform, p.33</w:t>
      </w:r>
    </w:p>
    <w:p w:rsidR="00A31137" w:rsidRPr="00A31137" w:rsidRDefault="00A31137" w:rsidP="00A31137">
      <w:r w:rsidRPr="00A31137">
        <w:t>While much has been accomplished, the agenda is only begun. We must complete the block-grant process begun in 1981. We will return revenue sources to State and local governments to make them independent of federal funds and of the control that inevitably follows.</w:t>
      </w:r>
    </w:p>
    <w:p w:rsidR="00A31137" w:rsidRPr="00A31137" w:rsidRDefault="00A31137" w:rsidP="00A31137">
      <w:r w:rsidRPr="00A31137">
        <w:t>1984 Republican Platform, p.33</w:t>
      </w:r>
    </w:p>
    <w:p w:rsidR="00A31137" w:rsidRPr="00A31137" w:rsidRDefault="00A31137" w:rsidP="00A31137">
      <w:r w:rsidRPr="00A31137">
        <w:t>The Republican Party believes that developing the individual dignity and potential of disabled Americans is an urgent responsibility. To this end, the Republican Party commits itself to prompt and vigorous enforcement of the rights of disabled citizens, particularly those rights established under the Education for All Handicapped Children Act, Section 504 of the Rehabilitation Act of 1973, and the Civil Rights of Institutionalized Persons Act. We insist on the highest standards of quality for services supported with federal funds.</w:t>
      </w:r>
    </w:p>
    <w:p w:rsidR="00A31137" w:rsidRPr="00A31137" w:rsidRDefault="00A31137" w:rsidP="00A31137">
      <w:r w:rsidRPr="00A31137">
        <w:t>1984 Republican Platform, p.33</w:t>
      </w:r>
    </w:p>
    <w:p w:rsidR="00A31137" w:rsidRPr="00A31137" w:rsidRDefault="00A31137" w:rsidP="00A31137">
      <w:r w:rsidRPr="00A31137">
        <w:t>In addition, government should seek out disabled persons and their parents to make them knowledgeable of their rights.</w:t>
      </w:r>
    </w:p>
    <w:p w:rsidR="00A31137" w:rsidRPr="00A31137" w:rsidRDefault="00A31137" w:rsidP="00A31137">
      <w:r w:rsidRPr="00A31137">
        <w:t>1984 Republican Platform, p.33</w:t>
      </w:r>
    </w:p>
    <w:p w:rsidR="00A31137" w:rsidRPr="00A31137" w:rsidRDefault="00A31137" w:rsidP="00A31137">
      <w:r w:rsidRPr="00A31137">
        <w:t>We will work toward providing federal funds to State and local governments sufficient to meet the degree of fiscal participation already promised in law.</w:t>
      </w:r>
    </w:p>
    <w:p w:rsidR="00A31137" w:rsidRPr="00A31137" w:rsidRDefault="00A31137" w:rsidP="00A31137">
      <w:r w:rsidRPr="00A31137">
        <w:t>1984 Republican Platform, p.33</w:t>
      </w:r>
    </w:p>
    <w:p w:rsidR="00A31137" w:rsidRPr="00A31137" w:rsidRDefault="00A31137" w:rsidP="00A31137">
      <w:r w:rsidRPr="00A31137">
        <w:t>We are committed to excellence in education for all our children within their own communities and neighborhoods. No child should be assigned to, or barred from, a school because of race.</w:t>
      </w:r>
    </w:p>
    <w:p w:rsidR="00A31137" w:rsidRPr="00A31137" w:rsidRDefault="00A31137" w:rsidP="00A31137">
      <w:r w:rsidRPr="00A31137">
        <w:t>1984 Republican Platform, p.33</w:t>
      </w:r>
    </w:p>
    <w:p w:rsidR="00A31137" w:rsidRPr="00A31137" w:rsidRDefault="00A31137" w:rsidP="00A31137">
      <w:r w:rsidRPr="00A31137">
        <w:t>In education, as in other activities, competition fosters excellence. We therefore support the President's proposal for tuition tax credits. We will convert the Chapter One grants to vouchers, thereby giving poor parents the ability to choose the best schooling available. Discrimination cannot be condoned, nor may public policies encourage its practice. Civil rights enforcement must not be twisted into excessive interference in the education process.</w:t>
      </w:r>
    </w:p>
    <w:p w:rsidR="00A31137" w:rsidRPr="00A31137" w:rsidRDefault="00A31137" w:rsidP="00A31137">
      <w:r w:rsidRPr="00A31137">
        <w:t>1984 Republican Platform, p.33</w:t>
      </w:r>
    </w:p>
    <w:p w:rsidR="00A31137" w:rsidRPr="00A31137" w:rsidRDefault="00A31137" w:rsidP="00A31137">
      <w:r w:rsidRPr="00A31137">
        <w:t xml:space="preserve">Teachers cannot teach and students cannot learn in an undisciplined environment. We applaud the President's promise to provide protection to teachers and administrators against suits from the unruly few who seek to disrupt the education of the overwhelming majority of students. [p.34] </w:t>
      </w:r>
    </w:p>
    <w:p w:rsidR="00A31137" w:rsidRPr="00A31137" w:rsidRDefault="00A31137" w:rsidP="00A31137">
      <w:r w:rsidRPr="00A31137">
        <w:t>1984 Republican Platform, p.34</w:t>
      </w:r>
    </w:p>
    <w:p w:rsidR="00A31137" w:rsidRPr="00A31137" w:rsidRDefault="00A31137" w:rsidP="00A31137">
      <w:r w:rsidRPr="00A31137">
        <w:t>We urge the aggressive enforcement of the Protection of Pupil Rights amendment (also known as the Hatch Amendment, 20 U.S.C. 1232h) in order to protect pupils' and parents' rights. The amendment prohibits requiring any pupil to reveal personal or family information as part of any federally supported program, test, treatment, or psychological examination unless the school first obtains written consent of the pupil's parents.</w:t>
      </w:r>
    </w:p>
    <w:p w:rsidR="00A31137" w:rsidRPr="00A31137" w:rsidRDefault="00A31137" w:rsidP="00A31137">
      <w:r w:rsidRPr="00A31137">
        <w:t>1984 Republican Platform, p.34</w:t>
      </w:r>
    </w:p>
    <w:p w:rsidR="00A31137" w:rsidRPr="00A31137" w:rsidRDefault="00A31137" w:rsidP="00A31137">
      <w:r w:rsidRPr="00A31137">
        <w:t>The recent Grove City and Hillsdale College cases have raised questions about the extension of federal interference with private colleges, universities, and schools. Since federal aid, no matter how indirect, is now being linked to nearly every aspect of American life, great care must be taken in defining such terms as "federal financial assistance," "indirect" assistance, and "recipient" of assistance. We are deeply concerned that this kind of federal involvement in the affairs of some of the nation's fine private universities, colleges, and schools, many of which have remained stubbornly free of federal entanglements, can only bring with it unintended results. As the historical party of Lincoln and individual rights, we support enactment of legislation which would ensure protection of those covered under Title IX.</w:t>
      </w:r>
    </w:p>
    <w:p w:rsidR="00A31137" w:rsidRPr="00A31137" w:rsidRDefault="00A31137" w:rsidP="00A31137">
      <w:r w:rsidRPr="00A31137">
        <w:t>1984 Republican Platform, p.34</w:t>
      </w:r>
    </w:p>
    <w:p w:rsidR="00A31137" w:rsidRPr="00A31137" w:rsidRDefault="00A31137" w:rsidP="00A31137">
      <w:r w:rsidRPr="00A31137">
        <w:t>We urge States to establish partnerships with the scientific and business worlds to increase the number of teachers in these critical areas of learning. We also recognize a vast reservoir of talent and experience among retirees and other Americans competent to teach in these areas and ready to be tapped.</w:t>
      </w:r>
    </w:p>
    <w:p w:rsidR="00A31137" w:rsidRPr="00A31137" w:rsidRDefault="00A31137" w:rsidP="00A31137">
      <w:r w:rsidRPr="00A31137">
        <w:t>1984 Republican Platform, p.34</w:t>
      </w:r>
    </w:p>
    <w:p w:rsidR="00A31137" w:rsidRPr="00A31137" w:rsidRDefault="00A31137" w:rsidP="00A31137">
      <w:r w:rsidRPr="00A31137">
        <w:t>We endorse experiments with education such as enterprise zones and Cities-in-Schools. We reaffirm our commitment to wipe out illiteracy in our society. Further, we encourage the Congress and the States to reassess the process for aiding education, awarding funds on the basis of academic improvement rather than on daily attendance.</w:t>
      </w:r>
    </w:p>
    <w:p w:rsidR="00A31137" w:rsidRPr="00A31137" w:rsidRDefault="00A31137" w:rsidP="00A31137">
      <w:r w:rsidRPr="00A31137">
        <w:t>1984 Republican Platform, p.34</w:t>
      </w:r>
    </w:p>
    <w:p w:rsidR="00A31137" w:rsidRPr="00A31137" w:rsidRDefault="00A31137" w:rsidP="00A31137">
      <w:r w:rsidRPr="00A31137">
        <w:t>We are aware that good intentions do not always produce the desired results. We therefore urge our schools to evaluate their sex education programs to determine their impact on escalating teenage pregnancy rates. We urge that school officials take appropriate action to ensure parent involvement and responsibility in finding solutions to this national dilemma.</w:t>
      </w:r>
    </w:p>
    <w:p w:rsidR="00A31137" w:rsidRPr="00A31137" w:rsidRDefault="00A31137" w:rsidP="00A31137">
      <w:r w:rsidRPr="00A31137">
        <w:t>1984 Republican Platform, p.34</w:t>
      </w:r>
    </w:p>
    <w:p w:rsidR="00A31137" w:rsidRPr="00A31137" w:rsidRDefault="00A31137" w:rsidP="00A31137">
      <w:r w:rsidRPr="00A31137">
        <w:t xml:space="preserve">We support and encourage volunteerism in the schools. President Reagan's Adopt-a-School program is an example of how private initiative can revitalize our schools, particularly inner-city schools, and we commend him for his example. [p.35] </w:t>
      </w:r>
    </w:p>
    <w:p w:rsidR="00A31137" w:rsidRPr="00A31137" w:rsidRDefault="00A31137" w:rsidP="00A31137">
      <w:r w:rsidRPr="00A31137">
        <w:t>1984 Republican Platform, p.35</w:t>
      </w:r>
    </w:p>
    <w:p w:rsidR="00A31137" w:rsidRPr="00A31137" w:rsidRDefault="00A31137" w:rsidP="00A31137">
      <w:r w:rsidRPr="00A31137">
        <w:t>Our emphasis on excellence includes the nation's colleges and universities. Although their achievements are unequalled in the world—in research, in proportion of citizens enrolled, in their contribution to our democratic society—we call upon them for accountability in good teaching and quality curricula that will ensure competent graduates in the world of work.</w:t>
      </w:r>
    </w:p>
    <w:p w:rsidR="00A31137" w:rsidRPr="00A31137" w:rsidRDefault="00A31137" w:rsidP="00A31137">
      <w:r w:rsidRPr="00A31137">
        <w:t>1984 Republican Platform, p.35</w:t>
      </w:r>
    </w:p>
    <w:p w:rsidR="00A31137" w:rsidRPr="00A31137" w:rsidRDefault="00A31137" w:rsidP="00A31137">
      <w:r w:rsidRPr="00A31137">
        <w:t>We pledge to keep our colleges and universities strong. They have been far too dependent on federal assistance and thus have been tied up in federal red tape. Their independence is an essential part of our liberty. Through regulatory reform, we are holding down the costs of higher education and reestablishing academic freedom from government. This is especially important for small schools, religious institutions, and the historically black colleges, for which President Reagan's Executive Order 12320 has meant new hope and vigor. We further reaffirm and support a regular Black College Day which honors a vital part of our educational community.</w:t>
      </w:r>
    </w:p>
    <w:p w:rsidR="00A31137" w:rsidRPr="00A31137" w:rsidRDefault="00A31137" w:rsidP="00A31137">
      <w:r w:rsidRPr="00A31137">
        <w:t>1984 Republican Platform, p.35</w:t>
      </w:r>
    </w:p>
    <w:p w:rsidR="00A31137" w:rsidRPr="00A31137" w:rsidRDefault="00A31137" w:rsidP="00A31137">
      <w:r w:rsidRPr="00A31137">
        <w:t>Republicans applaud the information explosion. This literacy-based knowledge revolution, made possible by computers, tapes, television, satellites, and other high technology innovations, buttressed by training programs through the business sector and foundations, is a tribute to American ingenuity. We urge our schools to educate for the ever-changing demands of our society and to resist using these innovations as substitutes for reasoning, logic, and mastery of basic skills.</w:t>
      </w:r>
    </w:p>
    <w:p w:rsidR="00A31137" w:rsidRPr="00A31137" w:rsidRDefault="00A31137" w:rsidP="00A31137">
      <w:r w:rsidRPr="00A31137">
        <w:t>1984 Republican Platform, p.35</w:t>
      </w:r>
    </w:p>
    <w:p w:rsidR="00A31137" w:rsidRPr="00A31137" w:rsidRDefault="00A31137" w:rsidP="00A31137">
      <w:r w:rsidRPr="00A31137">
        <w:t>We encourage excellence in the vocational and technical education that has contributed to the self-esteem and productivity of millions. We believe the best vocational and technical education programs are rooted in strong academic fundamentals. Business and industry stand ready to establish training partnerships with our schools. Their leadership is essential to keep America competitive in the future.</w:t>
      </w:r>
    </w:p>
    <w:p w:rsidR="00A31137" w:rsidRPr="00A31137" w:rsidRDefault="00A31137" w:rsidP="00A31137">
      <w:r w:rsidRPr="00A31137">
        <w:t>1984 Republican Platform, p.35</w:t>
      </w:r>
    </w:p>
    <w:p w:rsidR="00A31137" w:rsidRPr="00A31137" w:rsidRDefault="00A31137" w:rsidP="00A31137">
      <w:r w:rsidRPr="00A31137">
        <w:t>In an age when individuals may have four or five different jobs in their working career, vocational education and opportunities for adult learning will be more important than ever. The challenge of learning for citizenship and for work in an age of change will require new adaptations and innovations in the process of education. We urge the teaching profession and educational institutions at all levels to develop the maximum use of new learning opportunities available through learning-focused high technology. This technology in education and in the workplace is making possible, and  necessary, the continuing education of our adult population. [p.36] The participation by adults in educational offerings within their communities will strengthen the linkages among the places where Americans live, work, and study.</w:t>
      </w:r>
    </w:p>
    <w:p w:rsidR="00A31137" w:rsidRPr="00A31137" w:rsidRDefault="00A31137" w:rsidP="00A31137">
      <w:r w:rsidRPr="00A31137">
        <w:t>1984 Republican Platform, p.36</w:t>
      </w:r>
    </w:p>
    <w:p w:rsidR="00A31137" w:rsidRPr="00A31137" w:rsidRDefault="00A31137" w:rsidP="00A31137">
      <w:r w:rsidRPr="00A31137">
        <w:t>Important as technology is, by itself it is inadequate for a free society. The arts and humanities flourish in the private sector, where a free market in ideas is the best guarantee of vigorous creativity. Private support for the arts and humanities has increased over the last four years, and we encourage its growth.</w:t>
      </w:r>
    </w:p>
    <w:p w:rsidR="00A31137" w:rsidRPr="00A31137" w:rsidRDefault="00A31137" w:rsidP="00A31137">
      <w:r w:rsidRPr="00A31137">
        <w:t>1984 Republican Platform, p.36</w:t>
      </w:r>
    </w:p>
    <w:p w:rsidR="00A31137" w:rsidRPr="00A31137" w:rsidRDefault="00A31137" w:rsidP="00A31137">
      <w:r w:rsidRPr="00A31137">
        <w:t>We support the National Endowments for the Arts and Humanities in their efforts to correct past abuses and focus on developing the cultural values that are the foundation of our free society. We must ensure that these programs bring the arts and humanities to people in rural areas, the inner city poor, and other underserved populations.</w:t>
      </w:r>
    </w:p>
    <w:p w:rsidR="00A31137" w:rsidRPr="00A31137" w:rsidRDefault="00A31137" w:rsidP="00A31137">
      <w:r w:rsidRPr="00A31137">
        <w:t>Crime</w:t>
      </w:r>
    </w:p>
    <w:p w:rsidR="00A31137" w:rsidRPr="00A31137" w:rsidRDefault="00A31137" w:rsidP="00A31137">
      <w:r w:rsidRPr="00A31137">
        <w:t>1984 Republican Platform, p.36</w:t>
      </w:r>
    </w:p>
    <w:p w:rsidR="00A31137" w:rsidRPr="00A31137" w:rsidRDefault="00A31137" w:rsidP="00A31137">
      <w:r w:rsidRPr="00A31137">
        <w:t>One of the major responsibilities of government is to ensure the safety of its citizens. Their security is vital to their health and to the well-being of their neighborhoods and communities. The Reagan Administration is committed to making America safe for families and individuals. And Republican programs are paying dividends.</w:t>
      </w:r>
    </w:p>
    <w:p w:rsidR="00A31137" w:rsidRPr="00A31137" w:rsidRDefault="00A31137" w:rsidP="00A31137">
      <w:r w:rsidRPr="00A31137">
        <w:t>1984 Republican Platform, p.36</w:t>
      </w:r>
    </w:p>
    <w:p w:rsidR="00A31137" w:rsidRPr="00A31137" w:rsidRDefault="00A31137" w:rsidP="00A31137">
      <w:r w:rsidRPr="00A31137">
        <w:t>For the first time in the history of recorded federal crime statistics, rates of serious crime have dropped for two consecutive years. In 1983, the overall crime rate dropped 7 percent; and in 1982, the overall crime rate dropped 3 percent. In 1982 (the latest year for which figures are available), the murder rate dropped 5 percent, the robbery rate was down 6 percent, and forcible rape dropped 5 percent. Property crimes also declined: burglary decreased 9 percent, auto theft declined 2 percent, and theft dropped 1 percent.</w:t>
      </w:r>
    </w:p>
    <w:p w:rsidR="00A31137" w:rsidRPr="00A31137" w:rsidRDefault="00A31137" w:rsidP="00A31137">
      <w:r w:rsidRPr="00A31137">
        <w:t>1984 Republican Platform, p.36</w:t>
      </w:r>
    </w:p>
    <w:p w:rsidR="00A31137" w:rsidRPr="00A31137" w:rsidRDefault="00A31137" w:rsidP="00A31137">
      <w:r w:rsidRPr="00A31137">
        <w:t>Republicans believe that individuals are responsible for their actions. Those who commit crimes should be held strictly accountable by our system of justice. The primary objective of the criminal law is public safety; and those convicted of serious offenses must be jailed swiftly, surely, and long enough to assure public safety.</w:t>
      </w:r>
    </w:p>
    <w:p w:rsidR="00A31137" w:rsidRPr="00A31137" w:rsidRDefault="00A31137" w:rsidP="00A31137">
      <w:r w:rsidRPr="00A31137">
        <w:t>1984 Republican Platform, p.36</w:t>
      </w:r>
    </w:p>
    <w:p w:rsidR="00A31137" w:rsidRPr="00A31137" w:rsidRDefault="00A31137" w:rsidP="00A31137">
      <w:r w:rsidRPr="00A31137">
        <w:t xml:space="preserve">Republicans respect the authority of State and local law enforcement officials. The proper federal role is to provide strong support and coordination for their efforts and to vigorously enforce federal criminal laws. By concentrating on repeat offenders, we are determined to take career criminals off the street. [p.37] </w:t>
      </w:r>
    </w:p>
    <w:p w:rsidR="00A31137" w:rsidRPr="00A31137" w:rsidRDefault="00A31137" w:rsidP="00A31137">
      <w:r w:rsidRPr="00A31137">
        <w:t>1984 Republican Platform, p.37</w:t>
      </w:r>
    </w:p>
    <w:p w:rsidR="00A31137" w:rsidRPr="00A31137" w:rsidRDefault="00A31137" w:rsidP="00A31137">
      <w:r w:rsidRPr="00A31137">
        <w:t>Additionally, the federal law enforcement budget has been increased by nearly 50 percent. We added 1,900 new investigators and prosecutors to the federal fight against crime. We arrested more offenders and sent more of them to prison. Convictions in organized crime cases have tripled under the Reagan Administration. We set up task forces to strike at organized crime and narcotics. In the year since, 3,000 major drug traffickers have been indicted, and nearly 1,000 have already been convicted. We are helping local authorities search for missing children. We have a tough new law against child pornography. Republicans initiated a system for pooling information from local, State and federal law enforcement agencies: the Violent Criminal Apprehension Program (VI-CAP). Under this program, State and local agencies have the primary law enforcement responsibility, but cross-jurisdictional information is shared rapidly so that serial murderers and other violent criminals can be identified quickly and then apprehended.</w:t>
      </w:r>
      <w:r w:rsidRPr="00A31137">
        <w:cr/>
      </w:r>
    </w:p>
    <w:p w:rsidR="00A31137" w:rsidRPr="00A31137" w:rsidRDefault="00A31137" w:rsidP="00A31137">
      <w:r w:rsidRPr="00A31137">
        <w:t>1984 Republican Platform, p.37</w:t>
      </w:r>
    </w:p>
    <w:p w:rsidR="00A31137" w:rsidRPr="00A31137" w:rsidRDefault="00A31137" w:rsidP="00A31137">
      <w:r w:rsidRPr="00A31137">
        <w:t>Under the outstanding leadership of President Reagan and Vice President Bush's Task Force on Organized Crime, the Administration established the National Narcotics Border Interdiction System. We set up an aggressive Marijuana Eradication and Suppression Program, gave the FBI authority to investigate drugs, and coordinated FBI and DEA efforts. We reaffirm that the eradication of illegal drug traffic is a top national priority.</w:t>
      </w:r>
    </w:p>
    <w:p w:rsidR="00A31137" w:rsidRPr="00A31137" w:rsidRDefault="00A31137" w:rsidP="00A31137">
      <w:r w:rsidRPr="00A31137">
        <w:t>1984 Republican Platform, p.37</w:t>
      </w:r>
    </w:p>
    <w:p w:rsidR="00A31137" w:rsidRPr="00A31137" w:rsidRDefault="00A31137" w:rsidP="00A31137">
      <w:r w:rsidRPr="00A31137">
        <w:t>We have levelled with the American people about the involvement of foreign governments, especially Communist dictators, in narcotics traffic: Cuba, the Soviet Union, Bulgaria—and now the Sandinistas in Nicaragua  are international "pushers," selling slow death to young Americans in an effort to undermine our free society.</w:t>
      </w:r>
    </w:p>
    <w:p w:rsidR="00A31137" w:rsidRPr="00A31137" w:rsidRDefault="00A31137" w:rsidP="00A31137">
      <w:r w:rsidRPr="00A31137">
        <w:t>1984 Republican Platform, p.37</w:t>
      </w:r>
    </w:p>
    <w:p w:rsidR="00A31137" w:rsidRPr="00A31137" w:rsidRDefault="00A31137" w:rsidP="00A31137">
      <w:r w:rsidRPr="00A31137">
        <w:t>The Republican Party has deep concern about gratuitous sex and violence in the entertainment media, both of which contribute to the problem of crime against children and women. To the victims of such crimes who need protection, we gladly offer it.</w:t>
      </w:r>
    </w:p>
    <w:p w:rsidR="00A31137" w:rsidRPr="00A31137" w:rsidRDefault="00A31137" w:rsidP="00A31137">
      <w:r w:rsidRPr="00A31137">
        <w:t>1984 Republican Platform, p.37</w:t>
      </w:r>
    </w:p>
    <w:p w:rsidR="00A31137" w:rsidRPr="00A31137" w:rsidRDefault="00A31137" w:rsidP="00A31137">
      <w:r w:rsidRPr="00A31137">
        <w:t>We have begun to restore confidence in the criminal justice system. The Carter-Mondale legal policy had more concern for abstract criminal rights than for the victims of crime. It hurt those least able to defend themselves: the poor, the elderly, school children, and minorities. Republican leadership has redressed that imbalance. We have advanced such reforms as restitution by convicted criminals to their victims; providing victims with full explanations of what will occur before, [p.38] during, and after trial; and assuring that they may testify at both trial and sentencing.</w:t>
      </w:r>
    </w:p>
    <w:p w:rsidR="00A31137" w:rsidRPr="00A31137" w:rsidRDefault="00A31137" w:rsidP="00A31137">
      <w:r w:rsidRPr="00A31137">
        <w:t>1984 Republican Platform, p.38</w:t>
      </w:r>
    </w:p>
    <w:p w:rsidR="00A31137" w:rsidRPr="00A31137" w:rsidRDefault="00A31137" w:rsidP="00A31137">
      <w:r w:rsidRPr="00A31137">
        <w:t>The Republican Senate has twice passed, with one dissenting vote, a comprehensive federal anti-crime package which would:</w:t>
      </w:r>
    </w:p>
    <w:p w:rsidR="00A31137" w:rsidRPr="00A31137" w:rsidRDefault="00A31137" w:rsidP="00A31137">
      <w:r w:rsidRPr="00A31137">
        <w:t>•</w:t>
      </w:r>
      <w:r w:rsidRPr="00A31137">
        <w:tab/>
        <w:t>Establish uniform, predictable and fair sentencing procedures, while abolishing the inconsistencies and anomalies of the current parole system;</w:t>
      </w:r>
    </w:p>
    <w:p w:rsidR="00A31137" w:rsidRPr="00A31137" w:rsidRDefault="00A31137" w:rsidP="00A31137">
      <w:r w:rsidRPr="00A31137">
        <w:t>•</w:t>
      </w:r>
      <w:r w:rsidRPr="00A31137">
        <w:tab/>
        <w:t>Strengthen the current bail procedures to allow the detention of dangerous criminals, who under current law are allowed to roam the streets pending trial;</w:t>
      </w:r>
    </w:p>
    <w:p w:rsidR="00A31137" w:rsidRPr="00A31137" w:rsidRDefault="00A31137" w:rsidP="00A31137">
      <w:r w:rsidRPr="00A31137">
        <w:t>•</w:t>
      </w:r>
      <w:r w:rsidRPr="00A31137">
        <w:tab/>
        <w:t>Increase dramatically the penalties for narcotic traffickers and enhance the ability of society to recoup ill-gotten gains from drug trafficking;</w:t>
      </w:r>
    </w:p>
    <w:p w:rsidR="00A31137" w:rsidRPr="00A31137" w:rsidRDefault="00A31137" w:rsidP="00A31137">
      <w:r w:rsidRPr="00A31137">
        <w:t>•</w:t>
      </w:r>
      <w:r w:rsidRPr="00A31137">
        <w:tab/>
        <w:t>Narrow the overly broad insanity defense; and</w:t>
      </w:r>
    </w:p>
    <w:p w:rsidR="00A31137" w:rsidRPr="00A31137" w:rsidRDefault="00A31137" w:rsidP="00A31137">
      <w:r w:rsidRPr="00A31137">
        <w:t>•</w:t>
      </w:r>
      <w:r w:rsidRPr="00A31137">
        <w:tab/>
        <w:t>Provide limited assistance to states and localities for the implementation of anti-crime programs of proven effectiveness.</w:t>
      </w:r>
    </w:p>
    <w:p w:rsidR="00A31137" w:rsidRPr="00A31137" w:rsidRDefault="00A31137" w:rsidP="00A31137">
      <w:r w:rsidRPr="00A31137">
        <w:t>1984 Republican Platform, p.38</w:t>
      </w:r>
    </w:p>
    <w:p w:rsidR="00A31137" w:rsidRPr="00A31137" w:rsidRDefault="00A31137" w:rsidP="00A31137">
      <w:r w:rsidRPr="00A31137">
        <w:t>In addition, the Republican Senate has overwhelmingly passed Administration-backed legislation which would:</w:t>
      </w:r>
    </w:p>
    <w:p w:rsidR="00A31137" w:rsidRPr="00A31137" w:rsidRDefault="00A31137" w:rsidP="00A31137">
      <w:r w:rsidRPr="00A31137">
        <w:t>•</w:t>
      </w:r>
      <w:r w:rsidRPr="00A31137">
        <w:tab/>
        <w:t>Restore a constitutionally valid federal death penalty;</w:t>
      </w:r>
    </w:p>
    <w:p w:rsidR="00A31137" w:rsidRPr="00A31137" w:rsidRDefault="00A31137" w:rsidP="00A31137">
      <w:r w:rsidRPr="00A31137">
        <w:t>•</w:t>
      </w:r>
      <w:r w:rsidRPr="00A31137">
        <w:tab/>
        <w:t>Modify the exclusionary rule in a way recently approved by the Supreme Court; and</w:t>
      </w:r>
    </w:p>
    <w:p w:rsidR="00A31137" w:rsidRPr="00A31137" w:rsidRDefault="00A31137" w:rsidP="00A31137">
      <w:r w:rsidRPr="00A31137">
        <w:t>•</w:t>
      </w:r>
      <w:r w:rsidRPr="00A31137">
        <w:tab/>
        <w:t>Curtail abuses by prisoners of federal habeas corpus procedures.</w:t>
      </w:r>
    </w:p>
    <w:p w:rsidR="00A31137" w:rsidRPr="00A31137" w:rsidRDefault="00A31137" w:rsidP="00A31137">
      <w:r w:rsidRPr="00A31137">
        <w:t>1984 Republican Platform, p.38</w:t>
      </w:r>
    </w:p>
    <w:p w:rsidR="00A31137" w:rsidRPr="00A31137" w:rsidRDefault="00A31137" w:rsidP="00A31137">
      <w:r w:rsidRPr="00A31137">
        <w:t>The Democrat bosses of the House of Representatives have refused to allow a vote on our initiatives by the House Judiciary Committee, perennial graveyard for effective anti-crime legislation, or by the full House despite our pressure and the public's demand.</w:t>
      </w:r>
    </w:p>
    <w:p w:rsidR="00A31137" w:rsidRPr="00A31137" w:rsidRDefault="00A31137" w:rsidP="00A31137">
      <w:r w:rsidRPr="00A31137">
        <w:t>1984 Republican Platform, p.38</w:t>
      </w:r>
    </w:p>
    <w:p w:rsidR="00A31137" w:rsidRPr="00A31137" w:rsidRDefault="00A31137" w:rsidP="00A31137">
      <w:r w:rsidRPr="00A31137">
        <w:t>The best way to deter crime is to increase the probability of detection and to make punishment certain and swift. As a matter of basic philosophy, we advocate preventive rather than merely corrective measures. Republicans advocate sentencing reform and secure, adequate prison construction. We concur with the American people's approval of capital punishment where appropriate and will ensure that it is carried out humanely.</w:t>
      </w:r>
    </w:p>
    <w:p w:rsidR="00A31137" w:rsidRPr="00A31137" w:rsidRDefault="00A31137" w:rsidP="00A31137">
      <w:r w:rsidRPr="00A31137">
        <w:t>1984 Republican Platform, p.38</w:t>
      </w:r>
    </w:p>
    <w:p w:rsidR="00A31137" w:rsidRPr="00A31137" w:rsidRDefault="00A31137" w:rsidP="00A31137">
      <w:r w:rsidRPr="00A31137">
        <w:t>Republicans will continue to defend the constitutional right to keep and bear arms. When this right is abused and armed  felonies are [p.39] committed, we believe in stiff, mandatory sentencing. Law-abiding citizens exercising their constitutional rights must not be blamed for crime. Republicans will continue to seek repeal of legislation that restrains innocent citizens more than violent criminals.</w:t>
      </w:r>
    </w:p>
    <w:p w:rsidR="00A31137" w:rsidRPr="00A31137" w:rsidRDefault="00A31137" w:rsidP="00A31137">
      <w:r w:rsidRPr="00A31137">
        <w:t>Older Americans</w:t>
      </w:r>
    </w:p>
    <w:p w:rsidR="00A31137" w:rsidRPr="00A31137" w:rsidRDefault="00A31137" w:rsidP="00A31137">
      <w:r w:rsidRPr="00A31137">
        <w:t>1984 Republican Platform, p.39</w:t>
      </w:r>
    </w:p>
    <w:p w:rsidR="00A31137" w:rsidRPr="00A31137" w:rsidRDefault="00A31137" w:rsidP="00A31137">
      <w:r w:rsidRPr="00A31137">
        <w:t>We reaffirm our commitment to the financial security, physical well-being, and quality of life of older Americans. Valuing them as a treasure of wisdom and experience, we pledge to utilize their unique talents to the fullest.</w:t>
      </w:r>
    </w:p>
    <w:p w:rsidR="00A31137" w:rsidRPr="00A31137" w:rsidRDefault="00A31137" w:rsidP="00A31137">
      <w:r w:rsidRPr="00A31137">
        <w:t>1984 Republican Platform, p.39</w:t>
      </w:r>
    </w:p>
    <w:p w:rsidR="00A31137" w:rsidRPr="00A31137" w:rsidRDefault="00A31137" w:rsidP="00A31137">
      <w:r w:rsidRPr="00A31137">
        <w:t>During the Carter-Mondale years, the silent thief of inflation ruthlessly preyed on the elderly's savings and benefits, robbing them of their retirement dollars and making many dependent on government handouts.</w:t>
      </w:r>
    </w:p>
    <w:p w:rsidR="00A31137" w:rsidRPr="00A31137" w:rsidRDefault="00A31137" w:rsidP="00A31137">
      <w:r w:rsidRPr="00A31137">
        <w:t>1984 Republican Platform, p.39</w:t>
      </w:r>
    </w:p>
    <w:p w:rsidR="00A31137" w:rsidRPr="00A31137" w:rsidRDefault="00A31137" w:rsidP="00A31137">
      <w:r w:rsidRPr="00A31137">
        <w:t>No more. Due to the success of Reaganomics, a retiree's private pension benefits are worth almost $1,000 more than if the 1980 inflation rate had continued. Average monthly Social Security benefits have increased by about $180 for a couple and by $100 a month for an individual. Because President Reagan forged a hard-won solution to the Social Security crisis, our elderly will not be repeatedly threatened with the program's impending bankruptcy as they were under the irresponsible policies of the Carter-Mondale Administration. We will work to repeal the Democrats' Social Security earnings-limitation, which penalizes the elderly by taking one dollar of their income for every two dollars earned.</w:t>
      </w:r>
    </w:p>
    <w:p w:rsidR="00A31137" w:rsidRPr="00A31137" w:rsidRDefault="00A31137" w:rsidP="00A31137">
      <w:r w:rsidRPr="00A31137">
        <w:t>1984 Republican Platform, p.39</w:t>
      </w:r>
    </w:p>
    <w:p w:rsidR="00A31137" w:rsidRPr="00A31137" w:rsidRDefault="00A31137" w:rsidP="00A31137">
      <w:r w:rsidRPr="00A31137">
        <w:t>Older Americans are vital contributors to society. We will continue to remove artificial barriers which discourage their participation in community life. We reaffirm our traditional opposition to mandatory retirement.</w:t>
      </w:r>
    </w:p>
    <w:p w:rsidR="00A31137" w:rsidRPr="00A31137" w:rsidRDefault="00A31137" w:rsidP="00A31137">
      <w:r w:rsidRPr="00A31137">
        <w:t>1984 Republican Platform, p.39</w:t>
      </w:r>
    </w:p>
    <w:p w:rsidR="00A31137" w:rsidRPr="00A31137" w:rsidRDefault="00A31137" w:rsidP="00A31137">
      <w:r w:rsidRPr="00A31137">
        <w:t>For those who are unable to care for themselves, we favor incentives to encourage home-based care.</w:t>
      </w:r>
    </w:p>
    <w:p w:rsidR="00A31137" w:rsidRPr="00A31137" w:rsidRDefault="00A31137" w:rsidP="00A31137">
      <w:r w:rsidRPr="00A31137">
        <w:t>1984 Republican Platform, p.39</w:t>
      </w:r>
    </w:p>
    <w:p w:rsidR="00A31137" w:rsidRPr="00A31137" w:rsidRDefault="00A31137" w:rsidP="00A31137">
      <w:r w:rsidRPr="00A31137">
        <w:t>We are combatting insidious crime against the elderly, many of whom are virtual prisoners in their own homes for fear of violence. We demand passage of the President's Comprehensive Crime Control package, stalled by the Democrat-controlled House Judiciary Committee. We support local initiatives to fight crime against the elderly.</w:t>
      </w:r>
    </w:p>
    <w:p w:rsidR="00A31137" w:rsidRPr="00A31137" w:rsidRDefault="00A31137" w:rsidP="00A31137">
      <w:r w:rsidRPr="00A31137">
        <w:t>1984 Republican Platform, p.39</w:t>
      </w:r>
    </w:p>
    <w:p w:rsidR="00A31137" w:rsidRPr="00A31137" w:rsidRDefault="00A31137" w:rsidP="00A31137">
      <w:r w:rsidRPr="00A31137">
        <w:t xml:space="preserve">Older Americans want to contribute, to live with the dignity and respect they have earned, and to have their special needs recognized. The Republican Party must never turn its back on our elderly, and we ensure that we will adequately provide for them during their golden years so they can continue to enjoy our country's high standard of living, which their  labors have helped provide. [p.40] </w:t>
      </w:r>
    </w:p>
    <w:p w:rsidR="00A31137" w:rsidRPr="00A31137" w:rsidRDefault="00A31137" w:rsidP="00A31137">
      <w:r w:rsidRPr="00A31137">
        <w:t>Advancing Opportunity</w:t>
      </w:r>
    </w:p>
    <w:p w:rsidR="00A31137" w:rsidRPr="00A31137" w:rsidRDefault="00A31137" w:rsidP="00A31137">
      <w:r w:rsidRPr="00A31137">
        <w:t>1984 Republican Platform, p.40</w:t>
      </w:r>
    </w:p>
    <w:p w:rsidR="00A31137" w:rsidRPr="00A31137" w:rsidRDefault="00A31137" w:rsidP="00A31137">
      <w:r w:rsidRPr="00A31137">
        <w:t>Throughout this Platform are initiatives to provide an opportunity ladder for the poor, particularly among minorities, in both urban and rural areas. Unlike the Carter-Mondale Administration that locked them into the welfare trap, Republicans believe compassion dictates our offering real opportunities to minorities and the urban poor to achieve the American Dream.</w:t>
      </w:r>
    </w:p>
    <w:p w:rsidR="00A31137" w:rsidRPr="00A31137" w:rsidRDefault="00A31137" w:rsidP="00A31137">
      <w:r w:rsidRPr="00A31137">
        <w:t>1984 Republican Platform, p.40</w:t>
      </w:r>
    </w:p>
    <w:p w:rsidR="00A31137" w:rsidRPr="00A31137" w:rsidRDefault="00A31137" w:rsidP="00A31137">
      <w:r w:rsidRPr="00A31137">
        <w:t>We have begun that effort; and as a pledge of its continuance, this Platform commits us, not to a war of class against class, but to a crusade for prosperity for all.</w:t>
      </w:r>
    </w:p>
    <w:p w:rsidR="00A31137" w:rsidRPr="00A31137" w:rsidRDefault="00A31137" w:rsidP="00A31137">
      <w:r w:rsidRPr="00A31137">
        <w:t>1984 Republican Platform, p.40</w:t>
      </w:r>
    </w:p>
    <w:p w:rsidR="00A31137" w:rsidRPr="00A31137" w:rsidRDefault="00A31137" w:rsidP="00A31137">
      <w:r w:rsidRPr="00A31137">
        <w:t>For far too long, the poor have been trapped by the policies of the Democratic Party which treat those in the ghetto as if their interests were somehow different from our own. That is unfair to us all and an insult to the needy. Their goals are ours; their aspirations we share.</w:t>
      </w:r>
    </w:p>
    <w:p w:rsidR="00A31137" w:rsidRPr="00A31137" w:rsidRDefault="00A31137" w:rsidP="00A31137">
      <w:r w:rsidRPr="00A31137">
        <w:t>1984 Republican Platform, p.40</w:t>
      </w:r>
    </w:p>
    <w:p w:rsidR="00A31137" w:rsidRPr="00A31137" w:rsidRDefault="00A31137" w:rsidP="00A31137">
      <w:r w:rsidRPr="00A31137">
        <w:t>To emphasize our common bond, we have addressed their needs in virtually every section of this Platform, rather than segregating them in a token plank. To those who would see the Republican future for urban America, and for those who deserve a better break, we offer the commitments that make up the sinew of this Platform.</w:t>
      </w:r>
    </w:p>
    <w:p w:rsidR="00A31137" w:rsidRPr="00A31137" w:rsidRDefault="00A31137" w:rsidP="00A31137">
      <w:r w:rsidRPr="00A31137">
        <w:t>1984 Republican Platform, p.40</w:t>
      </w:r>
    </w:p>
    <w:p w:rsidR="00A31137" w:rsidRPr="00A31137" w:rsidRDefault="00A31137" w:rsidP="00A31137">
      <w:r w:rsidRPr="00A31137">
        <w:t>Congress must pass enterprise zones, to draw a green line of prosperity around the red-lined areas of our cities and to help create jobs and entrepreneurial opportunities.</w:t>
      </w:r>
    </w:p>
    <w:p w:rsidR="00A31137" w:rsidRPr="00A31137" w:rsidRDefault="00A31137" w:rsidP="00A31137">
      <w:r w:rsidRPr="00A31137">
        <w:t>1984 Republican Platform, p.40</w:t>
      </w:r>
    </w:p>
    <w:p w:rsidR="00A31137" w:rsidRPr="00A31137" w:rsidRDefault="00A31137" w:rsidP="00A31137">
      <w:r w:rsidRPr="00A31137">
        <w:t>We offer the boldest breakthrough in housing policy since VA mortgages: we offer opportunities for private ownership of housing projects by the poor themselves.</w:t>
      </w:r>
    </w:p>
    <w:p w:rsidR="00A31137" w:rsidRPr="00A31137" w:rsidRDefault="00A31137" w:rsidP="00A31137">
      <w:r w:rsidRPr="00A31137">
        <w:t>1984 Republican Platform, p.40</w:t>
      </w:r>
    </w:p>
    <w:p w:rsidR="00A31137" w:rsidRPr="00A31137" w:rsidRDefault="00A31137" w:rsidP="00A31137">
      <w:r w:rsidRPr="00A31137">
        <w:t>We pledge comprehensive tax reform that will give America back what was its post-war glory: a pro-family tax code with a dramatic work incentive for low-income and welfare families.</w:t>
      </w:r>
    </w:p>
    <w:p w:rsidR="00A31137" w:rsidRPr="00A31137" w:rsidRDefault="00A31137" w:rsidP="00A31137">
      <w:r w:rsidRPr="00A31137">
        <w:t>1984 Republican Platform, p.40</w:t>
      </w:r>
    </w:p>
    <w:p w:rsidR="00A31137" w:rsidRPr="00A31137" w:rsidRDefault="00A31137" w:rsidP="00A31137">
      <w:r w:rsidRPr="00A31137">
        <w:t>We offer hope, not despair; more opportunities for education through vouchers and tuition tax relief; and increased participation in the private enterprise system through the reform of counterproductive taxes and regulations.</w:t>
      </w:r>
    </w:p>
    <w:p w:rsidR="00A31137" w:rsidRPr="00A31137" w:rsidRDefault="00A31137" w:rsidP="00A31137">
      <w:r w:rsidRPr="00A31137">
        <w:t>1984 Republican Platform, p.40</w:t>
      </w:r>
    </w:p>
    <w:p w:rsidR="00A31137" w:rsidRPr="00A31137" w:rsidRDefault="00A31137" w:rsidP="00A31137">
      <w:r w:rsidRPr="00A31137">
        <w:t xml:space="preserve">Together with our emphatic commitment to civil rights, Republican programs will achieve, for those who feel left out of our society's progress, what President Reagan has already secured for our country: a new beginning to move America to full  employment and honest money for all. [p.41] </w:t>
      </w:r>
    </w:p>
    <w:p w:rsidR="00A31137" w:rsidRPr="00A31137" w:rsidRDefault="00A31137" w:rsidP="00A31137">
      <w:r w:rsidRPr="00A31137">
        <w:t>A Free and Just Society</w:t>
      </w:r>
    </w:p>
    <w:p w:rsidR="00A31137" w:rsidRPr="00A31137" w:rsidRDefault="00A31137" w:rsidP="00A31137">
      <w:r w:rsidRPr="00A31137">
        <w:t>1984 Republican Platform, p.41</w:t>
      </w:r>
    </w:p>
    <w:p w:rsidR="00A31137" w:rsidRPr="00A31137" w:rsidRDefault="00A31137" w:rsidP="00A31137">
      <w:r w:rsidRPr="00A31137">
        <w:t>In 1980, the Republican Party offered a vision of America's future that applied our traditions to today's problems. It is the vision of a society more free and more just than any in history. It required a break with the worn-out past, to redefine the role of government and its relationship with individuals and their institutions. Under President Reagan's leadership, the American people are making that vision a reality.</w:t>
      </w:r>
    </w:p>
    <w:p w:rsidR="00A31137" w:rsidRPr="00A31137" w:rsidRDefault="00A31137" w:rsidP="00A31137">
      <w:r w:rsidRPr="00A31137">
        <w:t>1984 Republican Platform, p.41</w:t>
      </w:r>
    </w:p>
    <w:p w:rsidR="00A31137" w:rsidRPr="00A31137" w:rsidRDefault="00A31137" w:rsidP="00A31137">
      <w:r w:rsidRPr="00A31137">
        <w:t>The American people want an opportunity society, not a welfare state. They want government to foster an environment in which individuals can develop their potential without hindrance.</w:t>
      </w:r>
    </w:p>
    <w:p w:rsidR="00A31137" w:rsidRPr="00A31137" w:rsidRDefault="00A31137" w:rsidP="00A31137">
      <w:r w:rsidRPr="00A31137">
        <w:t>1984 Republican Platform, p.41</w:t>
      </w:r>
    </w:p>
    <w:p w:rsidR="00A31137" w:rsidRPr="00A31137" w:rsidRDefault="00A31137" w:rsidP="00A31137">
      <w:r w:rsidRPr="00A31137">
        <w:t>The Constitution is the ultimate safeguard of individual rights. As we approach the Constitutional Bicentennial in 1987, Republicans are restoring its vitality, which had been transgressed by Democrats in Congress, the executive, and in the courts.</w:t>
      </w:r>
    </w:p>
    <w:p w:rsidR="00A31137" w:rsidRPr="00A31137" w:rsidRDefault="00A31137" w:rsidP="00A31137">
      <w:r w:rsidRPr="00A31137">
        <w:t>1984 Republican Platform, p.41</w:t>
      </w:r>
    </w:p>
    <w:p w:rsidR="00A31137" w:rsidRPr="00A31137" w:rsidRDefault="00A31137" w:rsidP="00A31137">
      <w:r w:rsidRPr="00A31137">
        <w:t>We are renewing the federal system, strengthening the States, and returning power to the people. That is the surest course to our common goal: a free and just society.</w:t>
      </w:r>
    </w:p>
    <w:p w:rsidR="00A31137" w:rsidRPr="00A31137" w:rsidRDefault="00A31137" w:rsidP="00A31137">
      <w:r w:rsidRPr="00A31137">
        <w:t>Individual Rights</w:t>
      </w:r>
    </w:p>
    <w:p w:rsidR="00A31137" w:rsidRPr="00A31137" w:rsidRDefault="00A31137" w:rsidP="00A31137">
      <w:r w:rsidRPr="00A31137">
        <w:t>1984 Republican Platform, p.41</w:t>
      </w:r>
    </w:p>
    <w:p w:rsidR="00A31137" w:rsidRPr="00A31137" w:rsidRDefault="00A31137" w:rsidP="00A31137">
      <w:r w:rsidRPr="00A31137">
        <w:t>The Republican Party is the party of equal rights. From its founding in 1854, we have promoted equality of opportunity.</w:t>
      </w:r>
    </w:p>
    <w:p w:rsidR="00A31137" w:rsidRPr="00A31137" w:rsidRDefault="00A31137" w:rsidP="00A31137">
      <w:r w:rsidRPr="00A31137">
        <w:t>1984 Republican Platform, p.41</w:t>
      </w:r>
    </w:p>
    <w:p w:rsidR="00A31137" w:rsidRPr="00A31137" w:rsidRDefault="00A31137" w:rsidP="00A31137">
      <w:r w:rsidRPr="00A31137">
        <w:t>The Republican Party reaffirms its support of the pluralism and freedom that have been part and parcel of this great country. In so doing, it repudiates and completely disassociates itself from people, organizations, publications, and entities which promulgate the practice of any form of bigotry, racism, anti-semitism, or religious intolerance.</w:t>
      </w:r>
    </w:p>
    <w:p w:rsidR="00A31137" w:rsidRPr="00A31137" w:rsidRDefault="00A31137" w:rsidP="00A31137">
      <w:r w:rsidRPr="00A31137">
        <w:t>1984 Republican Platform, p.41</w:t>
      </w:r>
    </w:p>
    <w:p w:rsidR="00A31137" w:rsidRPr="00A31137" w:rsidRDefault="00A31137" w:rsidP="00A31137">
      <w:r w:rsidRPr="00A31137">
        <w:t>Americans demand a civil rights policy premised on the letter of the Civil Rights Act of 1964. That law requires equal rights; and it is our policy to end discrimination on account of sex, race, color, creed, or national origin. We have vigorously enforced civil rights statutes. The Equal Employment Opportunity Commission has recovered record amounts of back pay and other compensation for victims of employment discrimination.</w:t>
      </w:r>
    </w:p>
    <w:p w:rsidR="00A31137" w:rsidRPr="00A31137" w:rsidRDefault="00A31137" w:rsidP="00A31137">
      <w:r w:rsidRPr="00A31137">
        <w:t>1984 Republican Platform, p.41</w:t>
      </w:r>
    </w:p>
    <w:p w:rsidR="00A31137" w:rsidRPr="00A31137" w:rsidRDefault="00A31137" w:rsidP="00A31137">
      <w:r w:rsidRPr="00A31137">
        <w:t>Just as we must guarantee opportunity, we oppose attempts to dictate results. We will resist efforts to replace equal  rights with discriminatory quota systems and preferential treatment. Quotas are the most insidious [p.42] form of discrimination: reverse discrimination against the innocent. We must always remember that, in a free society, different individual goals will yield different results.</w:t>
      </w:r>
    </w:p>
    <w:p w:rsidR="00A31137" w:rsidRPr="00A31137" w:rsidRDefault="00A31137" w:rsidP="00A31137">
      <w:r w:rsidRPr="00A31137">
        <w:t>1984 Republican Platform, p.42</w:t>
      </w:r>
    </w:p>
    <w:p w:rsidR="00A31137" w:rsidRPr="00A31137" w:rsidRDefault="00A31137" w:rsidP="00A31137">
      <w:r w:rsidRPr="00A31137">
        <w:t>The Republican Party has an historic commitment to equal rights for women. Republicans pioneered the right of women to vote, and our party was the first major party to advocate equal pay for equal work, regardless of sex.</w:t>
      </w:r>
    </w:p>
    <w:p w:rsidR="00A31137" w:rsidRPr="00A31137" w:rsidRDefault="00A31137" w:rsidP="00A31137">
      <w:r w:rsidRPr="00A31137">
        <w:t>1984 Republican Platform, p.42</w:t>
      </w:r>
    </w:p>
    <w:p w:rsidR="00A31137" w:rsidRPr="00A31137" w:rsidRDefault="00A31137" w:rsidP="00A31137">
      <w:r w:rsidRPr="00A31137">
        <w:t>President Reagan believes, as do we, that all members of our party are free to work individually for women's progress. As a party, we demand that there be no detriment to that progress or inhibition of women's rights to full opportunity and advancement within this society.</w:t>
      </w:r>
    </w:p>
    <w:p w:rsidR="00A31137" w:rsidRPr="00A31137" w:rsidRDefault="00A31137" w:rsidP="00A31137">
      <w:r w:rsidRPr="00A31137">
        <w:t>1984 Republican Platform, p.42</w:t>
      </w:r>
    </w:p>
    <w:p w:rsidR="00A31137" w:rsidRPr="00A31137" w:rsidRDefault="00A31137" w:rsidP="00A31137">
      <w:r w:rsidRPr="00A31137">
        <w:t>Participation by women in policy-making is a strong commitment by the Republican Party and by President Reagan. He pledged to appoint a woman to the United States Supreme Court. His promise was not made lightly; and when a vacancy occurred, he quickly filled it with the eminently qualified Sandra Day O'Connor of Arizona.</w:t>
      </w:r>
    </w:p>
    <w:p w:rsidR="00A31137" w:rsidRPr="00A31137" w:rsidRDefault="00A31137" w:rsidP="00A31137">
      <w:r w:rsidRPr="00A31137">
        <w:t>1984 Republican Platform, p.42</w:t>
      </w:r>
    </w:p>
    <w:p w:rsidR="00A31137" w:rsidRPr="00A31137" w:rsidRDefault="00A31137" w:rsidP="00A31137">
      <w:r w:rsidRPr="00A31137">
        <w:t>His Administration has also sought the largest number of women in history to serve in appointive positions within the executive branch of government. Three women serve at Cabinet level, the most ever in history. Jeane Kirkpatrick, the U.S. Representative to the United Nations, Elizabeth Dole, Secretary of Transportation, and Margaret Heckler, Secretary of Health and Human Services, head a list of over 1,600 women who direct policy and operations of the federal government.</w:t>
      </w:r>
    </w:p>
    <w:p w:rsidR="00A31137" w:rsidRPr="00A31137" w:rsidRDefault="00A31137" w:rsidP="00A31137">
      <w:r w:rsidRPr="00A31137">
        <w:t>1984 Republican Platform, p.42</w:t>
      </w:r>
    </w:p>
    <w:p w:rsidR="00A31137" w:rsidRPr="00A31137" w:rsidRDefault="00A31137" w:rsidP="00A31137">
      <w:r w:rsidRPr="00A31137">
        <w:t>The Republican Party continues to search for interested and qualified women for all government positions. We will continue to increase the number of first-time appointments for women serving in government at all levels.</w:t>
      </w:r>
    </w:p>
    <w:p w:rsidR="00A31137" w:rsidRPr="00A31137" w:rsidRDefault="00A31137" w:rsidP="00A31137">
      <w:r w:rsidRPr="00A31137">
        <w:t>1984 Republican Platform, p.42</w:t>
      </w:r>
    </w:p>
    <w:p w:rsidR="00A31137" w:rsidRPr="00A31137" w:rsidRDefault="00A31137" w:rsidP="00A31137">
      <w:r w:rsidRPr="00A31137">
        <w:t>Our record of economic recovery and growth is an additional important accomplishment for women. It provides a stark contrast to the Carter-Mondale legacy to women: a shrinking economy, limited job opportunities, and a declining standard of living.</w:t>
      </w:r>
    </w:p>
    <w:p w:rsidR="00A31137" w:rsidRPr="00A31137" w:rsidRDefault="00A31137" w:rsidP="00A31137">
      <w:r w:rsidRPr="00A31137">
        <w:t>1984 Republican Platform, p.42</w:t>
      </w:r>
    </w:p>
    <w:p w:rsidR="00A31137" w:rsidRPr="00A31137" w:rsidRDefault="00A31137" w:rsidP="00A31137">
      <w:r w:rsidRPr="00A31137">
        <w:t>Whether working in or outside the home, women have benefitted enormously from the economic progress of the past four years. The Republican economic expansion added over six million new jobs to the economy. It increased labor force participation by women to historic highs. Women's employment has risen by almost four and one-half million since the last Carter-Mondale year. They obtained almost one million more new jobs than men did. Economic growth due to Republican [p.43] economic policies has produced a record number of jobs so that women who want to work outside the home now have unmatched opportunity. In fact, more than 50 percent of all women now have jobs outside the home.</w:t>
      </w:r>
    </w:p>
    <w:p w:rsidR="00A31137" w:rsidRPr="00A31137" w:rsidRDefault="00A31137" w:rsidP="00A31137">
      <w:r w:rsidRPr="00A31137">
        <w:t>1984 Republican Platform, p.43</w:t>
      </w:r>
    </w:p>
    <w:p w:rsidR="00A31137" w:rsidRPr="00A31137" w:rsidRDefault="00A31137" w:rsidP="00A31137">
      <w:r w:rsidRPr="00A31137">
        <w:t>The spectacular decline in inflation has immeasurably benefitted women working both in and outside the home. Under President Reagan, the cost increase in everyday essentials-food, clothing, housing, utilities-has been cut from the Carter-Mondale highs of over 10 percent a year to just over 4 percent today. We have ushered in an era of price stability that is stretching take-home pay hundreds of dollars farther. In 1982, for the first time in 10 years, women experienced a real increase in wages over inflation.</w:t>
      </w:r>
    </w:p>
    <w:p w:rsidR="00A31137" w:rsidRPr="00A31137" w:rsidRDefault="00A31137" w:rsidP="00A31137">
      <w:r w:rsidRPr="00A31137">
        <w:t>1984 Republican Platform, p.43</w:t>
      </w:r>
    </w:p>
    <w:p w:rsidR="00A31137" w:rsidRPr="00A31137" w:rsidRDefault="00A31137" w:rsidP="00A31137">
      <w:r w:rsidRPr="00A31137">
        <w:t>Lower interest rates have made it possible for more women, single and married, to own their homes and to buy their own automobiles and other consumer goods.</w:t>
      </w:r>
    </w:p>
    <w:p w:rsidR="00A31137" w:rsidRPr="00A31137" w:rsidRDefault="00A31137" w:rsidP="00A31137">
      <w:r w:rsidRPr="00A31137">
        <w:t>1984 Republican Platform, p.43</w:t>
      </w:r>
    </w:p>
    <w:p w:rsidR="00A31137" w:rsidRPr="00A31137" w:rsidRDefault="00A31137" w:rsidP="00A31137">
      <w:r w:rsidRPr="00A31137">
        <w:t>Our 25 percent reduction in marginal tax rates provided important benefits to women, as did the virtual elimination of the "widow's tax" which had jeopardized retirement savings of senior women. At the same time, we raised the maximum child care tax credit from $400 to $720 per family. We will continue to actively seek the elimination of discrimination against homemakers with regard to Individual Retirement Accounts so that single-income couples can invest the same amount in IRAs as two-income couples.</w:t>
      </w:r>
    </w:p>
    <w:p w:rsidR="00A31137" w:rsidRPr="00A31137" w:rsidRDefault="00A31137" w:rsidP="00A31137">
      <w:r w:rsidRPr="00A31137">
        <w:t>1984 Republican Platform, p.43</w:t>
      </w:r>
    </w:p>
    <w:p w:rsidR="00A31137" w:rsidRPr="00A31137" w:rsidRDefault="00A31137" w:rsidP="00A31137">
      <w:r w:rsidRPr="00A31137">
        <w:t>In addition, President Reagan has won enactment of the Retirement Equity Act of 1984. That legislation, strongly supported by congressional Republicans, makes a comprehensive reform of private pension plans to recognize the special needs of women.</w:t>
      </w:r>
    </w:p>
    <w:p w:rsidR="00A31137" w:rsidRPr="00A31137" w:rsidRDefault="00A31137" w:rsidP="00A31137">
      <w:r w:rsidRPr="00A31137">
        <w:t>1984 Republican Platform, p.43</w:t>
      </w:r>
    </w:p>
    <w:p w:rsidR="00A31137" w:rsidRPr="00A31137" w:rsidRDefault="00A31137" w:rsidP="00A31137">
      <w:r w:rsidRPr="00A31137">
        <w:t>Our record of accomplishment during the last four years is clear, but we intend to do even better over the next four.</w:t>
      </w:r>
    </w:p>
    <w:p w:rsidR="00A31137" w:rsidRPr="00A31137" w:rsidRDefault="00A31137" w:rsidP="00A31137">
      <w:r w:rsidRPr="00A31137">
        <w:t>1984 Republican Platform, p.43</w:t>
      </w:r>
    </w:p>
    <w:p w:rsidR="00A31137" w:rsidRPr="00A31137" w:rsidRDefault="00A31137" w:rsidP="00A31137">
      <w:r w:rsidRPr="00A31137">
        <w:t>We will further reduce the "marriage penalty," a burden upon two-income, working families. We will work to remove artificial impediments in business and industry, such as occupational licensing laws, that limit job opportunities for women, minorities, and youth or prevent them from entering the labor force in the first place.</w:t>
      </w:r>
    </w:p>
    <w:p w:rsidR="00A31137" w:rsidRPr="00A31137" w:rsidRDefault="00A31137" w:rsidP="00A31137">
      <w:r w:rsidRPr="00A31137">
        <w:t>1984 Republican Platform, p.43</w:t>
      </w:r>
    </w:p>
    <w:p w:rsidR="00A31137" w:rsidRPr="00A31137" w:rsidRDefault="00A31137" w:rsidP="00A31137">
      <w:r w:rsidRPr="00A31137">
        <w:t>For low-income women, the Reagan Administration has already given States and localities the authority, through the Job Training Partnership Act, to train more recipients of Aid to Families with Dependent Children for permanent, not make-work, jobs. We have increased child support collections from $1.5 billion to $2.4 billion and enacted a strong child  support enforcement law. We will continue to stress welfare [p.44] reforms which promote individual initiative, the real solution to breaking the cycle of welfare dependency.</w:t>
      </w:r>
    </w:p>
    <w:p w:rsidR="00A31137" w:rsidRPr="00A31137" w:rsidRDefault="00A31137" w:rsidP="00A31137">
      <w:r w:rsidRPr="00A31137">
        <w:t>1984 Republican Platform, p.44</w:t>
      </w:r>
    </w:p>
    <w:p w:rsidR="00A31137" w:rsidRPr="00A31137" w:rsidRDefault="00A31137" w:rsidP="00A31137">
      <w:r w:rsidRPr="00A31137">
        <w:t>With women comprising an increasing share of the work force, it is essential that the employment opportunities created by our free market system be open to individuals without regard to their sex, race, religion, or ethnic origin. We firmly support an equal opportunity approach which gives women and minorities equal access to all jobs—including the traditionally higher-paying technical, managerial, and professional positions—and which guarantees that workers in those jobs will be compensated in accord with the laws requiring equal pay for equal work under Title VII of the Civil Rights Act.</w:t>
      </w:r>
    </w:p>
    <w:p w:rsidR="00A31137" w:rsidRPr="00A31137" w:rsidRDefault="00A31137" w:rsidP="00A31137">
      <w:r w:rsidRPr="00A31137">
        <w:t>1984 Republican Platform, p.44</w:t>
      </w:r>
    </w:p>
    <w:p w:rsidR="00A31137" w:rsidRPr="00A31137" w:rsidRDefault="00A31137" w:rsidP="00A31137">
      <w:r w:rsidRPr="00A31137">
        <w:t>We are creating an environment in which individual talents and creativity can be tapped to the fullest, while assuring that women have equal opportunity, security, and real choices for the promising future. For all Americans, we demand equal pay for equal work. With equal emphasis, we oppose the concept of "comparable worth." We believe that the free market system can determine the value of jobs better than any government authority.</w:t>
      </w:r>
    </w:p>
    <w:p w:rsidR="00A31137" w:rsidRPr="00A31137" w:rsidRDefault="00A31137" w:rsidP="00A31137">
      <w:r w:rsidRPr="00A31137">
        <w:t>1984 Republican Platform, p.44</w:t>
      </w:r>
    </w:p>
    <w:p w:rsidR="00A31137" w:rsidRPr="00A31137" w:rsidRDefault="00A31137" w:rsidP="00A31137">
      <w:r w:rsidRPr="00A31137">
        <w:t>The Department of Justice has identified 140 federal statutes with gender-based distinctions. Proposed legislation will correct all but 18; six are still under study; the rest, which actually favor women, will remain as is. President Reagan's Fifty States Project, designed to identify State laws discriminating against women, has encouraged 42 States to start searches, and 26 have begun amending their laws. The Department has filed more cases dealing with sex discrimination in employment than were filed during a comparable period in the Carter-Mondale Administration.</w:t>
      </w:r>
    </w:p>
    <w:p w:rsidR="00A31137" w:rsidRPr="00A31137" w:rsidRDefault="00A31137" w:rsidP="00A31137">
      <w:r w:rsidRPr="00A31137">
        <w:t>1984 Republican Platform, p.44</w:t>
      </w:r>
    </w:p>
    <w:p w:rsidR="00A31137" w:rsidRPr="00A31137" w:rsidRDefault="00A31137" w:rsidP="00A31137">
      <w:r w:rsidRPr="00A31137">
        <w:t>Working with Republicans in Congress, President Reagan has declared 1983-1992 the Decade of Disabled Persons. All Americans stand to gain when disabled citizens are assured equal opportunity.</w:t>
      </w:r>
    </w:p>
    <w:p w:rsidR="00A31137" w:rsidRPr="00A31137" w:rsidRDefault="00A31137" w:rsidP="00A31137">
      <w:r w:rsidRPr="00A31137">
        <w:t>1984 Republican Platform, p.44</w:t>
      </w:r>
    </w:p>
    <w:p w:rsidR="00A31137" w:rsidRPr="00A31137" w:rsidRDefault="00A31137" w:rsidP="00A31137">
      <w:r w:rsidRPr="00A31137">
        <w:t>The Reagan Administration has an outstanding record in achieving accessibility for the handicapped. During the past two years, minimum guidelines have at last been adopted, and the Uniform Federal Accessibility Standard has become fact.</w:t>
      </w:r>
    </w:p>
    <w:p w:rsidR="00A31137" w:rsidRPr="00A31137" w:rsidRDefault="00A31137" w:rsidP="00A31137">
      <w:r w:rsidRPr="00A31137">
        <w:t>1984 Republican Platform, p.44</w:t>
      </w:r>
    </w:p>
    <w:p w:rsidR="00A31137" w:rsidRPr="00A31137" w:rsidRDefault="00A31137" w:rsidP="00A31137">
      <w:r w:rsidRPr="00A31137">
        <w:t>The Republican Party realizes the great potential of members of the disabled community in this country. We support all efforts being made at the federal level to remove artificial barriers from our society so that disabled individuals may reach their potential and participate at the maximum level of their abilities in education, employment, and recreation. This  includes the removal, insofar as practicable, of architectural, [p.45] transportation, communication and attitudinal barriers. We also support efforts to provide disabled Americans full access to voting facilities.</w:t>
      </w:r>
    </w:p>
    <w:p w:rsidR="00A31137" w:rsidRPr="00A31137" w:rsidRDefault="00A31137" w:rsidP="00A31137">
      <w:r w:rsidRPr="00A31137">
        <w:t>1984 Republican Platform, p.45</w:t>
      </w:r>
    </w:p>
    <w:p w:rsidR="00A31137" w:rsidRPr="00A31137" w:rsidRDefault="00A31137" w:rsidP="00A31137">
      <w:r w:rsidRPr="00A31137">
        <w:t>We deplore discrimination because of handicap. The Reagan Administration was the first to combat the insidious practice of denying medical care or even food and water to disabled infants. This issue has vast implications for medical ethics, family autonomy, and civil rights. But we find no basis, whether in law or medicine or ethics, for denying necessities to an infant because of the child's handicap.</w:t>
      </w:r>
    </w:p>
    <w:p w:rsidR="00A31137" w:rsidRPr="00A31137" w:rsidRDefault="00A31137" w:rsidP="00A31137">
      <w:r w:rsidRPr="00A31137">
        <w:t>1984 Republican Platform, p.45</w:t>
      </w:r>
    </w:p>
    <w:p w:rsidR="00A31137" w:rsidRPr="00A31137" w:rsidRDefault="00A31137" w:rsidP="00A31137">
      <w:r w:rsidRPr="00A31137">
        <w:t>We are committed to enforcing statutory prohibitions barring discrimination against any otherwise qualified handicapped individuals, in any program receiving federal financial assistance, solely by reason of their handicap.</w:t>
      </w:r>
    </w:p>
    <w:p w:rsidR="00A31137" w:rsidRPr="00A31137" w:rsidRDefault="00A31137" w:rsidP="00A31137">
      <w:r w:rsidRPr="00A31137">
        <w:t>1984 Republican Platform, p.45</w:t>
      </w:r>
    </w:p>
    <w:p w:rsidR="00A31137" w:rsidRPr="00A31137" w:rsidRDefault="00A31137" w:rsidP="00A31137">
      <w:r w:rsidRPr="00A31137">
        <w:t>We recognize the need for watchful care regarding the procedural due process rights of persons with handicaps both to prevent their placement into inappropriate programs or settings and to ensure that their rights are represented by guardians or other advocates, if necessary.</w:t>
      </w:r>
    </w:p>
    <w:p w:rsidR="00A31137" w:rsidRPr="00A31137" w:rsidRDefault="00A31137" w:rsidP="00A31137">
      <w:r w:rsidRPr="00A31137">
        <w:t>1984 Republican Platform, p.45</w:t>
      </w:r>
    </w:p>
    <w:p w:rsidR="00A31137" w:rsidRPr="00A31137" w:rsidRDefault="00A31137" w:rsidP="00A31137">
      <w:r w:rsidRPr="00A31137">
        <w:t>For handicapped persons who need care, we favor family-based care where possible, supported by appropriate and adequate incentives. We increased the tax credit for caring for dependents or spouses physically or mentally unable to care for themselves. We also provided a deduction of up to $1,500 per year for adopting a child with special needs that may otherwise make adoption difficult.</w:t>
      </w:r>
    </w:p>
    <w:p w:rsidR="00A31137" w:rsidRPr="00A31137" w:rsidRDefault="00A31137" w:rsidP="00A31137">
      <w:r w:rsidRPr="00A31137">
        <w:t>1984 Republican Platform, p.45</w:t>
      </w:r>
    </w:p>
    <w:p w:rsidR="00A31137" w:rsidRPr="00A31137" w:rsidRDefault="00A31137" w:rsidP="00A31137">
      <w:r w:rsidRPr="00A31137">
        <w:t>We are committed to seeking out gifted children and their parents to make them knowledgeable of their educational rights.</w:t>
      </w:r>
    </w:p>
    <w:p w:rsidR="00A31137" w:rsidRPr="00A31137" w:rsidRDefault="00A31137" w:rsidP="00A31137">
      <w:r w:rsidRPr="00A31137">
        <w:t>1984 Republican Platform, p.45</w:t>
      </w:r>
    </w:p>
    <w:p w:rsidR="00A31137" w:rsidRPr="00A31137" w:rsidRDefault="00A31137" w:rsidP="00A31137">
      <w:r w:rsidRPr="00A31137">
        <w:t>We reaffirm the right of all individuals freely to form, join, or assist labor organizations to bargain collectively, consistent with State laws and free from unnecessary government involvement. We support the fundamental principle of fairness in labor relations. We will continue the Reagan Administration's "open door" policy toward organized labor and its leaders. We reaffirm our long-standing support for the right of States to enact "Right-to-Work" laws under section 14(b) of the Taft-Hartley Act.</w:t>
      </w:r>
    </w:p>
    <w:p w:rsidR="00A31137" w:rsidRPr="00A31137" w:rsidRDefault="00A31137" w:rsidP="00A31137">
      <w:r w:rsidRPr="00A31137">
        <w:t>1984 Republican Platform, p.45</w:t>
      </w:r>
    </w:p>
    <w:p w:rsidR="00A31137" w:rsidRPr="00A31137" w:rsidRDefault="00A31137" w:rsidP="00A31137">
      <w:r w:rsidRPr="00A31137">
        <w:t>The political freedom of every worker must be protected. Therefore, we strongly oppose the practice of using compulsory dues and fees for partisan political purposes. Also, the protection of all workers must be secured. Therefore, no worker should be coerced by violence or intimidation by any party to a labor dispute.</w:t>
      </w:r>
    </w:p>
    <w:p w:rsidR="00A31137" w:rsidRPr="00A31137" w:rsidRDefault="00A31137" w:rsidP="00A31137">
      <w:r w:rsidRPr="00A31137">
        <w:t>1984 Republican Platform, p.45</w:t>
      </w:r>
    </w:p>
    <w:p w:rsidR="00A31137" w:rsidRPr="00A31137" w:rsidRDefault="00A31137" w:rsidP="00A31137">
      <w:r w:rsidRPr="00A31137">
        <w:t>The healthy mix of America's ethnic, cultural, and social heritage has always been the backbone of our nation and its  progress throughout our [p.46] history. Without the contributions of innumerable ethnic and cultural groups, our country would not be where it is today.</w:t>
      </w:r>
    </w:p>
    <w:p w:rsidR="00A31137" w:rsidRPr="00A31137" w:rsidRDefault="00A31137" w:rsidP="00A31137">
      <w:r w:rsidRPr="00A31137">
        <w:t>1984 Republican Platform, p.46</w:t>
      </w:r>
    </w:p>
    <w:p w:rsidR="00A31137" w:rsidRPr="00A31137" w:rsidRDefault="00A31137" w:rsidP="00A31137">
      <w:r w:rsidRPr="00A31137">
        <w:t>For millions of black Americans, Hispanic Americans, Asian Americans, and members of other minority groups, the past four years have seen a dramatic improvement in their ability to secure for themselves and for their children a better tomorrow.</w:t>
      </w:r>
    </w:p>
    <w:p w:rsidR="00A31137" w:rsidRPr="00A31137" w:rsidRDefault="00A31137" w:rsidP="00A31137">
      <w:r w:rsidRPr="00A31137">
        <w:t>1984 Republican Platform, p.46</w:t>
      </w:r>
    </w:p>
    <w:p w:rsidR="00A31137" w:rsidRPr="00A31137" w:rsidRDefault="00A31137" w:rsidP="00A31137">
      <w:r w:rsidRPr="00A31137">
        <w:t>That is the American Dream. The policies of the Reagan Administration have opened literally millions of doors of opportunity for these Americans, doors which either did not exist or were rapidly being slammed shut by the no-growth policies of the Carter-Mondale Administration.</w:t>
      </w:r>
    </w:p>
    <w:p w:rsidR="00A31137" w:rsidRPr="00A31137" w:rsidRDefault="00A31137" w:rsidP="00A31137">
      <w:r w:rsidRPr="00A31137">
        <w:t>1984 Republican Platform, p.46</w:t>
      </w:r>
    </w:p>
    <w:p w:rsidR="00A31137" w:rsidRPr="00A31137" w:rsidRDefault="00A31137" w:rsidP="00A31137">
      <w:r w:rsidRPr="00A31137">
        <w:t>We Republicans are proud of our efforts on behalf of all minority groups, and we pledge to do even more during the next four years.</w:t>
      </w:r>
    </w:p>
    <w:p w:rsidR="00A31137" w:rsidRPr="00A31137" w:rsidRDefault="00A31137" w:rsidP="00A31137">
      <w:r w:rsidRPr="00A31137">
        <w:t>1984 Republican Platform, p.46</w:t>
      </w:r>
    </w:p>
    <w:p w:rsidR="00A31137" w:rsidRPr="00A31137" w:rsidRDefault="00A31137" w:rsidP="00A31137">
      <w:r w:rsidRPr="00A31137">
        <w:t>We will continue to press for enactment of economic and social policies that promote growth and stress individual initiative of minority Americans. Our tax system will continue to be overhauled and reformed by making it fairer and simpler, enabling the families of minorities to work and save for their future. We will continue to push for passage of enterprise zone legislation, now bottled up in the Democrat-controlled House of Representatives. That bill, discussed elsewhere in this platform, will help minority Americans living in cities and urban areas to get jobs, to start their own businesses, and to reap the fruits of entrepreneurship by tapping their individual initiative, energy, and creativity.</w:t>
      </w:r>
    </w:p>
    <w:p w:rsidR="00A31137" w:rsidRPr="00A31137" w:rsidRDefault="00A31137" w:rsidP="00A31137">
      <w:r w:rsidRPr="00A31137">
        <w:t>1984 Republican Platform, p.46</w:t>
      </w:r>
    </w:p>
    <w:p w:rsidR="00A31137" w:rsidRPr="00A31137" w:rsidRDefault="00A31137" w:rsidP="00A31137">
      <w:r w:rsidRPr="00A31137">
        <w:t>We honor and respect the contributions of minority Americans and will do all we can to see that our diversity is enhanced during the next four years. Active contributions by minorities are the threads that weave the fabric that is America and make us stronger as a nation. We recognize these individuals and their contributions and will continue to promote the kinds of policies that will make their dreams for a better America a reality. The party of Lincoln will remain the party of equal rights for all.</w:t>
      </w:r>
    </w:p>
    <w:p w:rsidR="00A31137" w:rsidRPr="00A31137" w:rsidRDefault="00A31137" w:rsidP="00A31137">
      <w:r w:rsidRPr="00A31137">
        <w:t>1984 Republican Platform, p.46</w:t>
      </w:r>
    </w:p>
    <w:p w:rsidR="00A31137" w:rsidRPr="00A31137" w:rsidRDefault="00A31137" w:rsidP="00A31137">
      <w:r w:rsidRPr="00A31137">
        <w:t>We continue to favor whatever legislation may be necessary to permit American citizens residing in the Virgin Islands, Guam, and Puerto Rico to vote for president and vice president in national elections.</w:t>
      </w:r>
    </w:p>
    <w:p w:rsidR="00A31137" w:rsidRPr="00A31137" w:rsidRDefault="00A31137" w:rsidP="00A31137">
      <w:r w:rsidRPr="00A31137">
        <w:t>1984 Republican Platform, p.46</w:t>
      </w:r>
    </w:p>
    <w:p w:rsidR="00A31137" w:rsidRPr="00A31137" w:rsidRDefault="00A31137" w:rsidP="00A31137">
      <w:r w:rsidRPr="00A31137">
        <w:t xml:space="preserve">We support the right of Indian Tribes to manage their own affairs and resources. Recognizing the government-to-government trust responsibility, we are equally committed to working towards the elimination of the conditions of dependency produced by federal control. The social and economic advancement of Native Americans depends upon changes they will chart for themselves. Recognizing their diversity, we support the President's policy of responsibly removing impediments to their self-sufficiency. We urge the nations of the Americas to learn from our past mistake's and to protect native populations from exploitation and abuse. [p.47] </w:t>
      </w:r>
    </w:p>
    <w:p w:rsidR="00A31137" w:rsidRPr="00A31137" w:rsidRDefault="00A31137" w:rsidP="00A31137">
      <w:r w:rsidRPr="00A31137">
        <w:t>1984 Republican Platform, p.47</w:t>
      </w:r>
    </w:p>
    <w:p w:rsidR="00A31137" w:rsidRPr="00A31137" w:rsidRDefault="00A31137" w:rsidP="00A31137">
      <w:r w:rsidRPr="00A31137">
        <w:t>Native Hawaiians are the only indigenous people of our country who are not officially designated as Native Americans. They should share that honored title. We endorse efforts to preserve their culture as a unique element in the human tapestry that is America.</w:t>
      </w:r>
    </w:p>
    <w:p w:rsidR="00A31137" w:rsidRPr="00A31137" w:rsidRDefault="00A31137" w:rsidP="00A31137">
      <w:r w:rsidRPr="00A31137">
        <w:t>Family Protection</w:t>
      </w:r>
    </w:p>
    <w:p w:rsidR="00A31137" w:rsidRPr="00A31137" w:rsidRDefault="00A31137" w:rsidP="00A31137">
      <w:r w:rsidRPr="00A31137">
        <w:t>1984 Republican Platform, p.47</w:t>
      </w:r>
    </w:p>
    <w:p w:rsidR="00A31137" w:rsidRPr="00A31137" w:rsidRDefault="00A31137" w:rsidP="00A31137">
      <w:r w:rsidRPr="00A31137">
        <w:t>Republicans affirm the family as the natural and indispensable institution for human development. A society is only as strong as its families, for they nurture those qualities necessary to maintain and advance civilization.</w:t>
      </w:r>
    </w:p>
    <w:p w:rsidR="00A31137" w:rsidRPr="00A31137" w:rsidRDefault="00A31137" w:rsidP="00A31137">
      <w:r w:rsidRPr="00A31137">
        <w:t>1984 Republican Platform, p.47</w:t>
      </w:r>
    </w:p>
    <w:p w:rsidR="00A31137" w:rsidRPr="00A31137" w:rsidRDefault="00A31137" w:rsidP="00A31137">
      <w:r w:rsidRPr="00A31137">
        <w:t>Healthy families inculcate values—integrity, responsibility, concern for others—in our youth and build social cohesion. We give high priority to their well-being. During the 1970s, America's families were ravaged by worsening economic conditions and a Washington elite unconcerned with them.</w:t>
      </w:r>
    </w:p>
    <w:p w:rsidR="00A31137" w:rsidRPr="00A31137" w:rsidRDefault="00A31137" w:rsidP="00A31137">
      <w:r w:rsidRPr="00A31137">
        <w:t>1984 Republican Platform, p.47</w:t>
      </w:r>
    </w:p>
    <w:p w:rsidR="00A31137" w:rsidRPr="00A31137" w:rsidRDefault="00A31137" w:rsidP="00A31137">
      <w:r w:rsidRPr="00A31137">
        <w:t>We support the concept of creating Family Education Accounts which would allow tax-deferred savings for investment in America's most crucial asset, our children, to assist low- and middle-income families in becoming self-reliant in meeting the costs of higher education.</w:t>
      </w:r>
    </w:p>
    <w:p w:rsidR="00A31137" w:rsidRPr="00A31137" w:rsidRDefault="00A31137" w:rsidP="00A31137">
      <w:r w:rsidRPr="00A31137">
        <w:t>1984 Republican Platform, p.47</w:t>
      </w:r>
    </w:p>
    <w:p w:rsidR="00A31137" w:rsidRPr="00A31137" w:rsidRDefault="00A31137" w:rsidP="00A31137">
      <w:r w:rsidRPr="00A31137">
        <w:t>In addition, to further assist the young families of America in securing the dream of homeownership, we would like to review the concept of Family Housing Accounts which would allow tax-exempt savings for a family's first home.</w:t>
      </w:r>
    </w:p>
    <w:p w:rsidR="00A31137" w:rsidRPr="00A31137" w:rsidRDefault="00A31137" w:rsidP="00A31137">
      <w:r w:rsidRPr="00A31137">
        <w:t>1984 Republican Platform, p.47</w:t>
      </w:r>
    </w:p>
    <w:p w:rsidR="00A31137" w:rsidRPr="00A31137" w:rsidRDefault="00A31137" w:rsidP="00A31137">
      <w:r w:rsidRPr="00A31137">
        <w:t>Preventing family dissolution, a leading cause of poverty, is vital. It has had a particularly tragic impact on the elderly, women, and minorities. Welfare programs have devastated low-income families and induced single parenthood among teens. We will review legislation and regulations to examine their impact on families and on parental rights and responsibilities. We seek to eliminate incentives for family break-up and to reverse the alarming rate of pregnancy outside marriage. Meanwhile, the Republican Party believes that society must do all that is possible to guarantee those young parents the opportunity to achieve their full educational and parental potential.</w:t>
      </w:r>
    </w:p>
    <w:p w:rsidR="00A31137" w:rsidRPr="00A31137" w:rsidRDefault="00A31137" w:rsidP="00A31137">
      <w:r w:rsidRPr="00A31137">
        <w:t>1984 Republican Platform, p.47</w:t>
      </w:r>
    </w:p>
    <w:p w:rsidR="00A31137" w:rsidRPr="00A31137" w:rsidRDefault="00A31137" w:rsidP="00A31137">
      <w:r w:rsidRPr="00A31137">
        <w:t xml:space="preserve">Because of Republican tax cuts, single people and married people without dependents will have in 1984 basically the same average tax rates they had in 1960. The marriage penalty has been reduced. However, a couple with dependents still pays a greater portion of their income in taxes than in 1960. We reaffirm that the personal exemption for children be no less than for adults, and we will at least double its current level. The President's tax program also increased tax credits for child care expenses. We will encourage private sector initiatives to expand on-site child care facilities and options for working parents. [p.48] </w:t>
      </w:r>
    </w:p>
    <w:p w:rsidR="00A31137" w:rsidRPr="00A31137" w:rsidRDefault="00A31137" w:rsidP="00A31137">
      <w:r w:rsidRPr="00A31137">
        <w:t>1984 Republican Platform, p.48</w:t>
      </w:r>
    </w:p>
    <w:p w:rsidR="00A31137" w:rsidRPr="00A31137" w:rsidRDefault="00A31137" w:rsidP="00A31137">
      <w:r w:rsidRPr="00A31137">
        <w:t>The problem of physical and sexual abuse of children and spouses requires careful consideration of its causes. In particular, gratuitous sex and violence in entertainment media contribute to this sad development.</w:t>
      </w:r>
    </w:p>
    <w:p w:rsidR="00A31137" w:rsidRPr="00A31137" w:rsidRDefault="00A31137" w:rsidP="00A31137">
      <w:r w:rsidRPr="00A31137">
        <w:t>1984 Republican Platform, p.48</w:t>
      </w:r>
    </w:p>
    <w:p w:rsidR="00A31137" w:rsidRPr="00A31137" w:rsidRDefault="00A31137" w:rsidP="00A31137">
      <w:r w:rsidRPr="00A31137">
        <w:t>We and the vast majority of Americans are repulsed by pornography. We will vigorously enforce constitutional laws to control obscene materials which degrade everyone, particularly women, and depict the exploitation of children. We commend the Reagan Administration for creating a commission on pornography and the President for signing the new law to eliminate child pornography. We stand with our President in his determination to solve the problem.</w:t>
      </w:r>
    </w:p>
    <w:p w:rsidR="00A31137" w:rsidRPr="00A31137" w:rsidRDefault="00A31137" w:rsidP="00A31137">
      <w:r w:rsidRPr="00A31137">
        <w:t>1984 Republican Platform, p.48</w:t>
      </w:r>
    </w:p>
    <w:p w:rsidR="00A31137" w:rsidRPr="00A31137" w:rsidRDefault="00A31137" w:rsidP="00A31137">
      <w:r w:rsidRPr="00A31137">
        <w:t>We call upon the Federal Communications Commission, and all other federal, State, and local agencies with proper authority, to strictly enforce the law regarding cable pornography and to implement rules and regulations to clean up cable pornography and the abuse of telephone service for obscene purposes.</w:t>
      </w:r>
    </w:p>
    <w:p w:rsidR="00A31137" w:rsidRPr="00A31137" w:rsidRDefault="00A31137" w:rsidP="00A31137">
      <w:r w:rsidRPr="00A31137">
        <w:t>Immigration</w:t>
      </w:r>
    </w:p>
    <w:p w:rsidR="00A31137" w:rsidRPr="00A31137" w:rsidRDefault="00A31137" w:rsidP="00A31137">
      <w:r w:rsidRPr="00A31137">
        <w:t>1984 Republican Platform, p.48</w:t>
      </w:r>
    </w:p>
    <w:p w:rsidR="00A31137" w:rsidRPr="00A31137" w:rsidRDefault="00A31137" w:rsidP="00A31137">
      <w:r w:rsidRPr="00A31137">
        <w:t>Our history is a story about immigrants. We are proud that America still symbolizes hope and promise to the world. We have shown unparalleled generosity to the persecuted and to those seeking a better life. In return, they have helped to make a great land greater still.</w:t>
      </w:r>
    </w:p>
    <w:p w:rsidR="00A31137" w:rsidRPr="00A31137" w:rsidRDefault="00A31137" w:rsidP="00A31137">
      <w:r w:rsidRPr="00A31137">
        <w:t>1984 Republican Platform, p.48</w:t>
      </w:r>
    </w:p>
    <w:p w:rsidR="00A31137" w:rsidRPr="00A31137" w:rsidRDefault="00A31137" w:rsidP="00A31137">
      <w:r w:rsidRPr="00A31137">
        <w:t>We affirm our country's absolute fight to control its borders. Those desiring to enter must comply with our immigration laws. Failure to do so not only is an offense to the American people but is fundamentally unjust to those in foreign lands patiently waiting for legal entry. We will preserve the principle of family reunification.</w:t>
      </w:r>
    </w:p>
    <w:p w:rsidR="00A31137" w:rsidRPr="00A31137" w:rsidRDefault="00A31137" w:rsidP="00A31137">
      <w:r w:rsidRPr="00A31137">
        <w:t>1984 Republican Platform, p.48</w:t>
      </w:r>
    </w:p>
    <w:p w:rsidR="00A31137" w:rsidRPr="00A31137" w:rsidRDefault="00A31137" w:rsidP="00A31137">
      <w:r w:rsidRPr="00A31137">
        <w:t>With the estimates of the number of illegal aliens in the United States ranging as high as 12 million and better than one million more entering each year, we believe it is critical that responsible reforms of our immigration laws be made to enable us to regain control of our borders.</w:t>
      </w:r>
    </w:p>
    <w:p w:rsidR="00A31137" w:rsidRPr="00A31137" w:rsidRDefault="00A31137" w:rsidP="00A31137">
      <w:r w:rsidRPr="00A31137">
        <w:t>1984 Republican Platform, p.48</w:t>
      </w:r>
    </w:p>
    <w:p w:rsidR="00A31137" w:rsidRPr="00A31137" w:rsidRDefault="00A31137" w:rsidP="00A31137">
      <w:r w:rsidRPr="00A31137">
        <w:t>The flight of oppressed people in search of freedom has created pressures beyond the capacity of any one nation. The refugee problem is global and requires the cooperation of all democratic nations. We commend the President for encouraging other countries to assume greater refugee responsibilities.</w:t>
      </w:r>
    </w:p>
    <w:p w:rsidR="00A31137" w:rsidRPr="00A31137" w:rsidRDefault="00A31137" w:rsidP="00A31137">
      <w:r w:rsidRPr="00A31137">
        <w:t>Our Constitutional System</w:t>
      </w:r>
    </w:p>
    <w:p w:rsidR="00A31137" w:rsidRPr="00A31137" w:rsidRDefault="00A31137" w:rsidP="00A31137">
      <w:r w:rsidRPr="00A31137">
        <w:t>1984 Republican Platform, p.48</w:t>
      </w:r>
    </w:p>
    <w:p w:rsidR="00A31137" w:rsidRPr="00A31137" w:rsidRDefault="00A31137" w:rsidP="00A31137">
      <w:r w:rsidRPr="00A31137">
        <w:t>Our Constitution, now almost 200 years old, provides for a federal system, with a separation of powers among the three branches of the national government. In that system, judicial power must be exercised with deference towards State and  local officials; it must not expand [p.49] at the expense of our representative institutions. It is not a judicial function to reorder the economic, political, and social priorities of our nation. The intrusion of the courts into such areas undermines the stature of the judiciary and erodes respect for the rule of law. Where appropriate, we support congressional efforts to restrict the jurisdiction of federal courts.</w:t>
      </w:r>
    </w:p>
    <w:p w:rsidR="00A31137" w:rsidRPr="00A31137" w:rsidRDefault="00A31137" w:rsidP="00A31137">
      <w:r w:rsidRPr="00A31137">
        <w:t>1984 Republican Platform, p.49</w:t>
      </w:r>
    </w:p>
    <w:p w:rsidR="00A31137" w:rsidRPr="00A31137" w:rsidRDefault="00A31137" w:rsidP="00A31137">
      <w:r w:rsidRPr="00A31137">
        <w:t>We commend the President for appointing federal judges committed to the rights of law-abiding citizens and traditional family values. We share the public's dissatisfaction with an elitist and unresponsive federal judiciary. If our legal institutions are to regain respect, they must respect the people's legitimate interests in a stable, orderly society. In his second term, President Reagan will continue to appoint Supreme Court and other federal judges who share our commitment to judicial restraint.</w:t>
      </w:r>
    </w:p>
    <w:p w:rsidR="00A31137" w:rsidRPr="00A31137" w:rsidRDefault="00A31137" w:rsidP="00A31137">
      <w:r w:rsidRPr="00A31137">
        <w:t>1984 Republican Platform, p.49</w:t>
      </w:r>
    </w:p>
    <w:p w:rsidR="00A31137" w:rsidRPr="00A31137" w:rsidRDefault="00A31137" w:rsidP="00A31137">
      <w:r w:rsidRPr="00A31137">
        <w:t>The Republican Party firmly believes that the best governments are those most accountable to the people. We heed Thomas Jefferson's warning: "When all government, in little as in great things, shall be drawn to Washington as the center of all power, it will render powerless the checks provided of one government on another."</w:t>
      </w:r>
    </w:p>
    <w:p w:rsidR="00A31137" w:rsidRPr="00A31137" w:rsidRDefault="00A31137" w:rsidP="00A31137">
      <w:r w:rsidRPr="00A31137">
        <w:t>1984 Republican Platform, p.49</w:t>
      </w:r>
    </w:p>
    <w:p w:rsidR="00A31137" w:rsidRPr="00A31137" w:rsidRDefault="00A31137" w:rsidP="00A31137">
      <w:r w:rsidRPr="00A31137">
        <w:t>For more responsible government, non-essential federal functions should be returned to the States and localities wherever prudent. They have the capability, knowledge, and sensitivity to local needs required to better administer and deliver public services. Their diverse problems require local understanding. The transfer of rights, responsibilities, and revenues to the "home front" will recognize the abilities of local government and the limitations of a distant federal government.</w:t>
      </w:r>
    </w:p>
    <w:p w:rsidR="00A31137" w:rsidRPr="00A31137" w:rsidRDefault="00A31137" w:rsidP="00A31137">
      <w:r w:rsidRPr="00A31137">
        <w:t>1984 Republican Platform, p.49</w:t>
      </w:r>
    </w:p>
    <w:p w:rsidR="00A31137" w:rsidRPr="00A31137" w:rsidRDefault="00A31137" w:rsidP="00A31137">
      <w:r w:rsidRPr="00A31137">
        <w:t>We commend the President for the bold initiatives of his "New Federalism." The enacted block grants discussed elsewhere in this Platform are a positive step. But the job of making government more accountable to the people has just begun. We strongly favor the expansion of block-grant funding and other means to restore our nation's federal foundation.</w:t>
      </w:r>
    </w:p>
    <w:p w:rsidR="00A31137" w:rsidRPr="00A31137" w:rsidRDefault="00A31137" w:rsidP="00A31137">
      <w:r w:rsidRPr="00A31137">
        <w:t>1984 Republican Platform, p.49</w:t>
      </w:r>
    </w:p>
    <w:p w:rsidR="00A31137" w:rsidRPr="00A31137" w:rsidRDefault="00A31137" w:rsidP="00A31137">
      <w:r w:rsidRPr="00A31137">
        <w:t>More than 40 years ago, a grave injustice was done to many Americans of Japanese ancestry. Uprooted from their homes in a time of crisis, loyal citizens and residents were treated in a way which contravened the fundamental principles of our people. We join them and their descendants in assuring that the deprivation of rights they suffered shall never again be permitted in this land of liberty.</w:t>
      </w:r>
    </w:p>
    <w:p w:rsidR="00A31137" w:rsidRPr="00A31137" w:rsidRDefault="00A31137" w:rsidP="00A31137">
      <w:r w:rsidRPr="00A31137">
        <w:t>1984 Republican Platform, p.49</w:t>
      </w:r>
    </w:p>
    <w:p w:rsidR="00A31137" w:rsidRPr="00A31137" w:rsidRDefault="00A31137" w:rsidP="00A31137">
      <w:r w:rsidRPr="00A31137">
        <w:t>To benefit all Americans, we support the privatization of government services whenever possible. This maximizes consumer freedom and choice. It reduces the size and cost of government, thus lessening the burden on taxpayers. It  stimulates the private sector, increases prosperity, and [p.50] creates jobs. It demonstrates the primacy of individual action which, within a free market economy, can address human needs most effectively.</w:t>
      </w:r>
    </w:p>
    <w:p w:rsidR="00A31137" w:rsidRPr="00A31137" w:rsidRDefault="00A31137" w:rsidP="00A31137">
      <w:r w:rsidRPr="00A31137">
        <w:t>1984 Republican Platform, p.50</w:t>
      </w:r>
    </w:p>
    <w:p w:rsidR="00A31137" w:rsidRPr="00A31137" w:rsidRDefault="00A31137" w:rsidP="00A31137">
      <w:r w:rsidRPr="00A31137">
        <w:t>Within the executive branch, the Reagan Administration has made government work more efficiently. Under the direction of the Office of Personnel Management, non-defense government employment was reduced by over 100,000. The overwhelming majority of federal employees are dedicated and hard-working. Indeed, we have proposed to base their pay and retention upon performance so that outstanding federal employees may be properly rewarded.</w:t>
      </w:r>
    </w:p>
    <w:p w:rsidR="00A31137" w:rsidRPr="00A31137" w:rsidRDefault="00A31137" w:rsidP="00A31137">
      <w:r w:rsidRPr="00A31137">
        <w:t>1984 Republican Platform, p.50</w:t>
      </w:r>
    </w:p>
    <w:p w:rsidR="00A31137" w:rsidRPr="00A31137" w:rsidRDefault="00A31137" w:rsidP="00A31137">
      <w:r w:rsidRPr="00A31137">
        <w:t>The federal government owns almost a third of our nation's land. With due recognition of the needs of the federal government and mindful of environmental, recreational, and national defense needs, we believe the sale of some surplus land will increase productivity and increase State and local tax bases. It will also unleash the creative talents of free enterprise in defense of resource and environmental protection.</w:t>
      </w:r>
    </w:p>
    <w:p w:rsidR="00A31137" w:rsidRPr="00A31137" w:rsidRDefault="00A31137" w:rsidP="00A31137">
      <w:r w:rsidRPr="00A31137">
        <w:t>1984 Republican Platform, p.50</w:t>
      </w:r>
    </w:p>
    <w:p w:rsidR="00A31137" w:rsidRPr="00A31137" w:rsidRDefault="00A31137" w:rsidP="00A31137">
      <w:r w:rsidRPr="00A31137">
        <w:t>The expression of individual political views is guaranteed by the First Amendment; government should protect, not impinge upon First Amendment rights. Free individuals must have unrestricted access to the process of self-government. We deplore the growing labyrinth of bewildering regulations and obstacles which have increased the power of political professionals and discouraged the participation of average Americans. Even well-intentioned restrictions on campaign activity stifle free speech and have a chilling effect on spontaneous political involvement by our citizens.</w:t>
      </w:r>
    </w:p>
    <w:p w:rsidR="00A31137" w:rsidRPr="00A31137" w:rsidRDefault="00A31137" w:rsidP="00A31137">
      <w:r w:rsidRPr="00A31137">
        <w:t>1984 Republican Platform, p.50</w:t>
      </w:r>
    </w:p>
    <w:p w:rsidR="00A31137" w:rsidRPr="00A31137" w:rsidRDefault="00A31137" w:rsidP="00A31137">
      <w:r w:rsidRPr="00A31137">
        <w:t>The holding of public office in our country demands the highest degree of commitment to integrity, openness, and honesty by candidates running for all elective offices. Without such a commitment, public confidence rapidly erodes. Republicans therefore reaffirm our commitment to the fair and consistent application of financial disclosure laws. We will continue our support for full disclosure by all high officials of the government and candidates in positions of public trust. This extends to the financial holdings of spouses or dependents, of which the official has knowledge, financial interest, or benefit. We will continue to hold all public officials to the highest ethical standards and will oppose the inconsistent application of those standards on the basis of gender.</w:t>
      </w:r>
    </w:p>
    <w:p w:rsidR="00A31137" w:rsidRPr="00A31137" w:rsidRDefault="00A31137" w:rsidP="00A31137">
      <w:r w:rsidRPr="00A31137">
        <w:t>1984 Republican Platform, p.50</w:t>
      </w:r>
    </w:p>
    <w:p w:rsidR="00A31137" w:rsidRPr="00A31137" w:rsidRDefault="00A31137" w:rsidP="00A31137">
      <w:r w:rsidRPr="00A31137">
        <w:t xml:space="preserve">Republicans want to encourage, not restrict, free discourse and association. The interplay of concerned individuals, sometimes acting collectively to pursue their goals, has led to healthy and vigorous debate and better understanding of complex issues. We will remove obstacles to grass-roots participation in federal elections and will reduce, not increase, the federal role. [p.51] </w:t>
      </w:r>
    </w:p>
    <w:p w:rsidR="00A31137" w:rsidRPr="00A31137" w:rsidRDefault="00A31137" w:rsidP="00A31137">
      <w:r w:rsidRPr="00A31137">
        <w:t>1984 Republican Platform, p.51</w:t>
      </w:r>
    </w:p>
    <w:p w:rsidR="00A31137" w:rsidRPr="00A31137" w:rsidRDefault="00A31137" w:rsidP="00A31137">
      <w:r w:rsidRPr="00A31137">
        <w:t>Republicans believe that strong, competitive political parties contribute mightily to coherent national policies, effective representation, and responsive government. Forced taxpayer financing of campaign activities is political tyranny. We oppose it.</w:t>
      </w:r>
    </w:p>
    <w:p w:rsidR="00A31137" w:rsidRPr="00A31137" w:rsidRDefault="00A31137" w:rsidP="00A31137">
      <w:r w:rsidRPr="00A31137">
        <w:t>1984 Republican Platform, p.51</w:t>
      </w:r>
    </w:p>
    <w:p w:rsidR="00A31137" w:rsidRPr="00A31137" w:rsidRDefault="00A31137" w:rsidP="00A31137">
      <w:r w:rsidRPr="00A31137">
        <w:t>In light of the inhibiting role federal election laws and regulations have had, Congress should consider abolishing the Federal Election Commission.</w:t>
      </w:r>
    </w:p>
    <w:p w:rsidR="00A31137" w:rsidRPr="00A31137" w:rsidRDefault="00A31137" w:rsidP="00A31137">
      <w:r w:rsidRPr="00A31137">
        <w:t>1984 Republican Platform, p.51</w:t>
      </w:r>
    </w:p>
    <w:p w:rsidR="00A31137" w:rsidRPr="00A31137" w:rsidRDefault="00A31137" w:rsidP="00A31137">
      <w:r w:rsidRPr="00A31137">
        <w:t>We are the party of limited government. We are deeply suspicious of the amount of information which governments collect. Governments limited in size and scope best ensure our people's privacy. Particularly in the computer age, we must ensure that no unnecessary information is demanded and that no disclosure is made which is not approved. We oppose national identification cards.</w:t>
      </w:r>
    </w:p>
    <w:p w:rsidR="00A31137" w:rsidRPr="00A31137" w:rsidRDefault="00A31137" w:rsidP="00A31137">
      <w:r w:rsidRPr="00A31137">
        <w:t>1984 Republican Platform, p.51</w:t>
      </w:r>
    </w:p>
    <w:p w:rsidR="00A31137" w:rsidRPr="00A31137" w:rsidRDefault="00A31137" w:rsidP="00A31137">
      <w:r w:rsidRPr="00A31137">
        <w:t>We support reasonable methods to fight those who undermine national security, prevent crosschecks of government benefit records to conceal welfare fraud, or misuse financial secrecy laws to hide their narcotics profits under the guise of a right to privacy.</w:t>
      </w:r>
    </w:p>
    <w:p w:rsidR="00A31137" w:rsidRPr="00A31137" w:rsidRDefault="00A31137" w:rsidP="00A31137">
      <w:r w:rsidRPr="00A31137">
        <w:t>1984 Republican Platform, p.51</w:t>
      </w:r>
    </w:p>
    <w:p w:rsidR="00A31137" w:rsidRPr="00A31137" w:rsidRDefault="00A31137" w:rsidP="00A31137">
      <w:r w:rsidRPr="00A31137">
        <w:t>Private property is the cornerstone of our liberty and the free enterprise system. The right of property safeguards for citizens all things of value: their land, merchandise and money, their religious convictions, their safety and liberty, and their right of contract to produce and sell goods and services. Republicans reaffirm this God-given and inalienable right.</w:t>
      </w:r>
    </w:p>
    <w:p w:rsidR="00A31137" w:rsidRPr="00A31137" w:rsidRDefault="00A31137" w:rsidP="00A31137">
      <w:r w:rsidRPr="00A31137">
        <w:t>1984 Republican Platform, p.51</w:t>
      </w:r>
    </w:p>
    <w:p w:rsidR="00A31137" w:rsidRPr="00A31137" w:rsidRDefault="00A31137" w:rsidP="00A31137">
      <w:r w:rsidRPr="00A31137">
        <w:t>The unborn child has a fundamental individual right to life which cannot be infringed. We therefore reaffirm our support for a human life amendment to the Constitution, and we endorse legislation to make clear that the Fourteenth Amendment's protections apply to unborn children. We oppose the use of public revenues for abortion and will eliminate funding for organizations which advocate or support abortion. We commend the efforts of those individuals and religious and private organizations that are providing positive alternatives to abortion by meeting the physical, emotional, and financial needs of pregnant women and offering adoption services where needed.</w:t>
      </w:r>
    </w:p>
    <w:p w:rsidR="00A31137" w:rsidRPr="00A31137" w:rsidRDefault="00A31137" w:rsidP="00A31137">
      <w:r w:rsidRPr="00A31137">
        <w:t>1984 Republican Platform, p.51</w:t>
      </w:r>
    </w:p>
    <w:p w:rsidR="00A31137" w:rsidRPr="00A31137" w:rsidRDefault="00A31137" w:rsidP="00A31137">
      <w:r w:rsidRPr="00A31137">
        <w:t xml:space="preserve">We applaud President Reagan's fine record of judicial appointments, and we reaffirm our support for the appointment of  judges at all levels of the judiciary who respect traditional family values and the sanctity of innocent human life. [p.52] </w:t>
      </w:r>
    </w:p>
    <w:p w:rsidR="00A31137" w:rsidRPr="00A31137" w:rsidRDefault="00A31137" w:rsidP="00A31137">
      <w:r w:rsidRPr="00A31137">
        <w:t>America Secure and the World at Peace</w:t>
      </w:r>
    </w:p>
    <w:p w:rsidR="00A31137" w:rsidRPr="00A31137" w:rsidRDefault="00A31137" w:rsidP="00A31137">
      <w:r w:rsidRPr="00A31137">
        <w:t>The Future of Our Foreign Policy</w:t>
      </w:r>
    </w:p>
    <w:p w:rsidR="00A31137" w:rsidRPr="00A31137" w:rsidRDefault="00A31137" w:rsidP="00A31137">
      <w:r w:rsidRPr="00A31137">
        <w:t>1984 Republican Platform, p.52</w:t>
      </w:r>
    </w:p>
    <w:p w:rsidR="00A31137" w:rsidRPr="00A31137" w:rsidRDefault="00A31137" w:rsidP="00A31137">
      <w:r w:rsidRPr="00A31137">
        <w:t>President Reagan has restored the American people's faith in the principles of liberal democracy. Today, we have more confidence in the self-evident truths of democracy than at any time since World War II.</w:t>
      </w:r>
    </w:p>
    <w:p w:rsidR="00A31137" w:rsidRPr="00A31137" w:rsidRDefault="00A31137" w:rsidP="00A31137">
      <w:r w:rsidRPr="00A31137">
        <w:t>1984 Republican Platform, p.52</w:t>
      </w:r>
    </w:p>
    <w:p w:rsidR="00A31137" w:rsidRPr="00A31137" w:rsidRDefault="00A31137" w:rsidP="00A31137">
      <w:r w:rsidRPr="00A31137">
        <w:t>The first principle of that faith is that all human beings are created equal in the natural human right to govern themselves.</w:t>
      </w:r>
    </w:p>
    <w:p w:rsidR="00A31137" w:rsidRPr="00A31137" w:rsidRDefault="00A31137" w:rsidP="00A31137">
      <w:r w:rsidRPr="00A31137">
        <w:t>1984 Republican Platform, p.52</w:t>
      </w:r>
    </w:p>
    <w:p w:rsidR="00A31137" w:rsidRPr="00A31137" w:rsidRDefault="00A31137" w:rsidP="00A31137">
      <w:r w:rsidRPr="00A31137">
        <w:t>Just as we assert the right of self-government, it follows that all people throughout the world should enjoy that same human right. This moral principle must be the ideal by which our policy toward other nations is directed.</w:t>
      </w:r>
    </w:p>
    <w:p w:rsidR="00A31137" w:rsidRPr="00A31137" w:rsidRDefault="00A31137" w:rsidP="00A31137">
      <w:r w:rsidRPr="00A31137">
        <w:t>1984 Republican Platform, p.52</w:t>
      </w:r>
    </w:p>
    <w:p w:rsidR="00A31137" w:rsidRPr="00A31137" w:rsidRDefault="00A31137" w:rsidP="00A31137">
      <w:r w:rsidRPr="00A31137">
        <w:t>We Republicans emphasize that there is a profound moral difference between the actions and ideals of Marxist-Leninist regimes and those of democratic governments, and we reject the notions of guilt and apology which animate so much of the foreign policy of the Democratic Party. We believe American foreign policy can only succeed when it is based on unquestioned faith in a single idea: the idea that all human beings are created equal, the founding idea of democracy.</w:t>
      </w:r>
    </w:p>
    <w:p w:rsidR="00A31137" w:rsidRPr="00A31137" w:rsidRDefault="00A31137" w:rsidP="00A31137">
      <w:r w:rsidRPr="00A31137">
        <w:t>1984 Republican Platform, p.52</w:t>
      </w:r>
    </w:p>
    <w:p w:rsidR="00A31137" w:rsidRPr="00A31137" w:rsidRDefault="00A31137" w:rsidP="00A31137">
      <w:r w:rsidRPr="00A31137">
        <w:t>The supreme purpose of our foreign policy must be to maintain our freedom in a peaceful international environment in which the United States and our allies and friends are secure against military threats, and democratic governments are flourishing in a world of increasing prosperity.</w:t>
      </w:r>
    </w:p>
    <w:p w:rsidR="00A31137" w:rsidRPr="00A31137" w:rsidRDefault="00A31137" w:rsidP="00A31137">
      <w:r w:rsidRPr="00A31137">
        <w:t>1984 Republican Platform, p.52</w:t>
      </w:r>
    </w:p>
    <w:p w:rsidR="00A31137" w:rsidRPr="00A31137" w:rsidRDefault="00A31137" w:rsidP="00A31137">
      <w:r w:rsidRPr="00A31137">
        <w:t>This we pledge to our people and to future generations: we shall keep the peace by keeping our country stronger than any potential adversary.</w:t>
      </w:r>
    </w:p>
    <w:p w:rsidR="00A31137" w:rsidRPr="00A31137" w:rsidRDefault="00A31137" w:rsidP="00A31137">
      <w:r w:rsidRPr="00A31137">
        <w:t>The Americas</w:t>
      </w:r>
    </w:p>
    <w:p w:rsidR="00A31137" w:rsidRPr="00A31137" w:rsidRDefault="00A31137" w:rsidP="00A31137">
      <w:r w:rsidRPr="00A31137">
        <w:t>1984 Republican Platform, p.52</w:t>
      </w:r>
    </w:p>
    <w:p w:rsidR="00A31137" w:rsidRPr="00A31137" w:rsidRDefault="00A31137" w:rsidP="00A31137">
      <w:r w:rsidRPr="00A31137">
        <w:t>Our future is intimately tied to the future of the Americas. Family, language, culture, and trade link us closely with both Canada, our largest trading partner, and our southern neighbors.</w:t>
      </w:r>
    </w:p>
    <w:p w:rsidR="00A31137" w:rsidRPr="00A31137" w:rsidRDefault="00A31137" w:rsidP="00A31137">
      <w:r w:rsidRPr="00A31137">
        <w:t>1984 Republican Platform, p.52</w:t>
      </w:r>
    </w:p>
    <w:p w:rsidR="00A31137" w:rsidRPr="00A31137" w:rsidRDefault="00A31137" w:rsidP="00A31137">
      <w:r w:rsidRPr="00A31137">
        <w:t>The people of both Mexico and Canada are of fundamental importance to the people of the United States of America, not just because we share a common border, but because we are neighbors who share both history and a common interest for the present and future. Under President Reagan, our relations with both countries are being carried out in a serious,  straight-forward manner in a climate of mutual respect. As our [p.53] countries seek solutions to common problems on the basis of our mutual interests, we recognize that each country has a unique contribution to make in working together to resolve mutual problems.</w:t>
      </w:r>
    </w:p>
    <w:p w:rsidR="00A31137" w:rsidRPr="00A31137" w:rsidRDefault="00A31137" w:rsidP="00A31137">
      <w:r w:rsidRPr="00A31137">
        <w:t>1984 Republican Platform, p.53</w:t>
      </w:r>
    </w:p>
    <w:p w:rsidR="00A31137" w:rsidRPr="00A31137" w:rsidRDefault="00A31137" w:rsidP="00A31137">
      <w:r w:rsidRPr="00A31137">
        <w:t>The security and freedom of Central America are indispensable to our own. In addition to our concern for the freedom and overall welfare of our neighbors to the south, two-thirds of our foreign trade passes through the Caribbean and the Panama Canal. The entire region, however, is gravely threatened by Communist expansion, inspired and supported by the Soviet Union and Cuba. We endorse the principles of the Monroe Doctrine as the strongest foundation for United States policy throughout the hemisphere.</w:t>
      </w:r>
    </w:p>
    <w:p w:rsidR="00A31137" w:rsidRPr="00A31137" w:rsidRDefault="00A31137" w:rsidP="00A31137">
      <w:r w:rsidRPr="00A31137">
        <w:t>1984 Republican Platform, p.53</w:t>
      </w:r>
    </w:p>
    <w:p w:rsidR="00A31137" w:rsidRPr="00A31137" w:rsidRDefault="00A31137" w:rsidP="00A31137">
      <w:r w:rsidRPr="00A31137">
        <w:t>We encourage even closer ties with the countries of South America and consider the strengthening of representative governments there as a contribution to the peace and security of us all. We applaud the Organization of American States for its efforts to bring peace and freedom to the entire hemisphere.</w:t>
      </w:r>
    </w:p>
    <w:p w:rsidR="00A31137" w:rsidRPr="00A31137" w:rsidRDefault="00A31137" w:rsidP="00A31137">
      <w:r w:rsidRPr="00A31137">
        <w:t>1984 Republican Platform, p.53</w:t>
      </w:r>
    </w:p>
    <w:p w:rsidR="00A31137" w:rsidRPr="00A31137" w:rsidRDefault="00A31137" w:rsidP="00A31137">
      <w:r w:rsidRPr="00A31137">
        <w:t>Republicans have no illusions about Castro's brutal dictatorship in Cuba. Only our firmness will thwart his attempts to export terrorism and subversion, to destroy democracy, and to smuggle narcotics into the United States. But we also extend a constructive, hopeful policy toward the Cuban people. Castro resents and resists their desire for freedom. He fears Radio Marti, President Reagan's initiative to bring truth to our Cuban neighbors. He is humiliated by the example of Cuban-born Americans, whose spiritual and material accomplishments contrast starkly with Communist failures in their birthplace. We believe in friendship between the Cuban and the American peoples, and we envision a genuine democracy in Cuba's future.</w:t>
      </w:r>
    </w:p>
    <w:p w:rsidR="00A31137" w:rsidRPr="00A31137" w:rsidRDefault="00A31137" w:rsidP="00A31137">
      <w:r w:rsidRPr="00A31137">
        <w:t>1984 Republican Platform, p.53</w:t>
      </w:r>
    </w:p>
    <w:p w:rsidR="00A31137" w:rsidRPr="00A31137" w:rsidRDefault="00A31137" w:rsidP="00A31137">
      <w:r w:rsidRPr="00A31137">
        <w:t>We support the President in following the unanimous findings of the Bipartisan Commission on Central America, first proposed by the late Senator Henry "Scoop" Jackson of Washington.</w:t>
      </w:r>
    </w:p>
    <w:p w:rsidR="00A31137" w:rsidRPr="00A31137" w:rsidRDefault="00A31137" w:rsidP="00A31137">
      <w:r w:rsidRPr="00A31137">
        <w:t>1984 Republican Platform, p.53</w:t>
      </w:r>
    </w:p>
    <w:p w:rsidR="00A31137" w:rsidRPr="00A31137" w:rsidRDefault="00A31137" w:rsidP="00A31137">
      <w:r w:rsidRPr="00A31137">
        <w:t>Today, democracy is under assault throughout the hemisphere. Marxist Nicaragua threatens not only Costa Rica and Honduras, but also El Salvador and Guatemala. The Sandinista regime is building the largest military force in Central America, importing Soviet equipment, Eastern bloc and PLO advisors, and thousands of Cuban mercenaries. The Sandinista government has been increasingly brazen in its embrace of Marxism-Leninism. The Sandinistas have systematically persecuted free institutions, including synagogue and church, schools, the private sector, the free press, minorities, and families and tribes throughout Nicaragua. We support continued assistance to the democratic freedom  fighters [p.54] in Nicaragua. Nicaragua cannot be allowed to remain a Communist sanctuary, exporting terror and arms throughout the region. We condemn the Sandinista government's smuggling of illegal drugs into the United States as a crime against American society and international law.</w:t>
      </w:r>
    </w:p>
    <w:p w:rsidR="00A31137" w:rsidRPr="00A31137" w:rsidRDefault="00A31137" w:rsidP="00A31137">
      <w:r w:rsidRPr="00A31137">
        <w:t>1984 Republican Platform, p.54</w:t>
      </w:r>
    </w:p>
    <w:p w:rsidR="00A31137" w:rsidRPr="00A31137" w:rsidRDefault="00A31137" w:rsidP="00A31137">
      <w:r w:rsidRPr="00A31137">
        <w:t>The heroic effort to build democracy in El Salvador has been brutally attacked by Communist guerrillas supported by Cuba and the Sandinistas. Their violence jeopardizes improvements in human rights, delays economic growth, and impedes the consolidation of democracy. El Salvador is nearer to Texas than Texas is to New England, and we cannot be indifferent to its fate. In the tradition of President Truman's postwar aid to Europe, President Reagan has helped the people of El Salvador defend themselves. Our opponents object to that assistance, citing concern for human rights. We share that concern, and more than that, we have taken steps to help curb abuses. We have firmly and actively encouraged human rights reform, and results have been achieved. In judicial reform, the murderers of the American nuns in 1980 have been convicted and sentenced; and in political reform, the right to vote has been exercised by 80 percent of the voters in the fair, open elections of 1982 and 1984. Most important, if the Communists seize power there, human rights will be extinguished, and tens of thousands will be driven from their homes. We therefore support the President in his determination that the Salvadoran people will shape their own future.</w:t>
      </w:r>
    </w:p>
    <w:p w:rsidR="00A31137" w:rsidRPr="00A31137" w:rsidRDefault="00A31137" w:rsidP="00A31137">
      <w:r w:rsidRPr="00A31137">
        <w:t>1984 Republican Platform, p.54</w:t>
      </w:r>
    </w:p>
    <w:p w:rsidR="00A31137" w:rsidRPr="00A31137" w:rsidRDefault="00A31137" w:rsidP="00A31137">
      <w:r w:rsidRPr="00A31137">
        <w:t>We affirm President Reagan's declaration at Normandy: there is a profound moral difference between the use of force for liberation and the use of force for conquest and territorial expansion. We applaud the liberation of man and mind from oppression everywhere.</w:t>
      </w:r>
    </w:p>
    <w:p w:rsidR="00A31137" w:rsidRPr="00A31137" w:rsidRDefault="00A31137" w:rsidP="00A31137">
      <w:r w:rsidRPr="00A31137">
        <w:t>1984 Republican Platform, p.54</w:t>
      </w:r>
    </w:p>
    <w:p w:rsidR="00A31137" w:rsidRPr="00A31137" w:rsidRDefault="00A31137" w:rsidP="00A31137">
      <w:r w:rsidRPr="00A31137">
        <w:t>We applaud the liberation of Grenada, and we honor those who took part in it. Grenada is small, and its people few; but we believe the principle established there, that freedom is worth defending, is of monumental importance. It challenges the Brezhnev doctrine. It is an example to the world.</w:t>
      </w:r>
    </w:p>
    <w:p w:rsidR="00A31137" w:rsidRPr="00A31137" w:rsidRDefault="00A31137" w:rsidP="00A31137">
      <w:r w:rsidRPr="00A31137">
        <w:t>1984 Republican Platform, p.54</w:t>
      </w:r>
    </w:p>
    <w:p w:rsidR="00A31137" w:rsidRPr="00A31137" w:rsidRDefault="00A31137" w:rsidP="00A31137">
      <w:r w:rsidRPr="00A31137">
        <w:t>The Caribbean Basin Initiative is a sound program for the strengthening of democratic institutions through economic development based on free people and free market principles. The Republican Party strongly supports this program of integrated, mutually reinforcing measures in the fields of trade, investment, and financial assistance.</w:t>
      </w:r>
    </w:p>
    <w:p w:rsidR="00A31137" w:rsidRPr="00A31137" w:rsidRDefault="00A31137" w:rsidP="00A31137">
      <w:r w:rsidRPr="00A31137">
        <w:t>1984 Republican Platform, p.54</w:t>
      </w:r>
    </w:p>
    <w:p w:rsidR="00A31137" w:rsidRPr="00A31137" w:rsidRDefault="00A31137" w:rsidP="00A31137">
      <w:r w:rsidRPr="00A31137">
        <w:t>We recognize our special-valued relationship with Puerto Rico and the Virgin Islands; and we will support special measures to ensure that they will benefit and prosper from the Caribbean Basin Initiative, thereby reinforcing a stronghold of democracy and free enterprise in the Caribbean. The Republican Party reaffirms its support of the right of  Puerto Rico to be admitted into the Union after it freely so determines, through the [p.55] passage of an admission bill which will provide for a smooth fiscal transition, recognize the concept of a multicultural society for its citizens, and secure the opportunity to retain their Spanish language and traditions.</w:t>
      </w:r>
    </w:p>
    <w:p w:rsidR="00A31137" w:rsidRPr="00A31137" w:rsidRDefault="00A31137" w:rsidP="00A31137">
      <w:r w:rsidRPr="00A31137">
        <w:t>The Soviet Union</w:t>
      </w:r>
    </w:p>
    <w:p w:rsidR="00A31137" w:rsidRPr="00A31137" w:rsidRDefault="00A31137" w:rsidP="00A31137">
      <w:r w:rsidRPr="00A31137">
        <w:t>1984 Republican Platform, p.55</w:t>
      </w:r>
    </w:p>
    <w:p w:rsidR="00A31137" w:rsidRPr="00A31137" w:rsidRDefault="00A31137" w:rsidP="00A31137">
      <w:r w:rsidRPr="00A31137">
        <w:t>Stable and peaceful relations with the Soviet Union are possible and desirable, but they depend upon the credibility of American strength and determination. As our power waned in the 1970s, our very weakness was provocative. The Soviets exploited it in Afghanistan, the Middle East, Africa, Southeast Asia, and the Western Hemisphere. Our policy of peace through strength encourages freedom-loving people everywhere and provides hope for those who look forward one day to enjoying the fruits of self-government.</w:t>
      </w:r>
      <w:r w:rsidRPr="00A31137">
        <w:cr/>
      </w:r>
    </w:p>
    <w:p w:rsidR="00A31137" w:rsidRPr="00A31137" w:rsidRDefault="00A31137" w:rsidP="00A31137">
      <w:r w:rsidRPr="00A31137">
        <w:t>1984 Republican Platform, p.55</w:t>
      </w:r>
    </w:p>
    <w:p w:rsidR="00A31137" w:rsidRPr="00A31137" w:rsidRDefault="00A31137" w:rsidP="00A31137">
      <w:r w:rsidRPr="00A31137">
        <w:t>We hold a sober view of the Soviet Union. Its globalist ideology and its leadership obsessed with military power make it a threat to freedom and peace on every continent. The Carter-Mondale Administration ignored that threat, and the Democratic candidates underestimate it today. The Carter-Mondale illusion that the Soviet leaders share our ideals and aspirations is not only false but a profound danger to world peace.</w:t>
      </w:r>
    </w:p>
    <w:p w:rsidR="00A31137" w:rsidRPr="00A31137" w:rsidRDefault="00A31137" w:rsidP="00A31137">
      <w:r w:rsidRPr="00A31137">
        <w:t>1984 Republican Platform, p.55</w:t>
      </w:r>
    </w:p>
    <w:p w:rsidR="00A31137" w:rsidRPr="00A31137" w:rsidRDefault="00A31137" w:rsidP="00A31137">
      <w:r w:rsidRPr="00A31137">
        <w:t>Republicans reaffirm our belief that Soviet behavior at the negotiating table cannot be divorced from Soviet behavior elsewhere. Over-eagerness to sign agreements with the Soviets at any price, fashionable in the Carter-Mondale Administration, should never blind us to this reality. Any future agreement with the Soviets must require full compliance, be fully verifiable, and contain suitable sanctions for non-compliance. Carter-Mondale efforts to cover up Soviet violations of the 1972 Strategic Arms Limitations agreement and Anti-ballistic Missile Treaty emboldened the Soviets to strengthen their military posture. We condemn these violations, as well as recent violations of chemical and toxic weapons treaties in Afghanistan, Southeast Asia, and the Iran-Iraq war. We insist on full Soviet compliance with all treaties and executive agreements.</w:t>
      </w:r>
    </w:p>
    <w:p w:rsidR="00A31137" w:rsidRPr="00A31137" w:rsidRDefault="00A31137" w:rsidP="00A31137">
      <w:r w:rsidRPr="00A31137">
        <w:t>1984 Republican Platform, p.55</w:t>
      </w:r>
    </w:p>
    <w:p w:rsidR="00A31137" w:rsidRPr="00A31137" w:rsidRDefault="00A31137" w:rsidP="00A31137">
      <w:r w:rsidRPr="00A31137">
        <w:t>We seek to deflect Soviet policy away from aggression and toward peaceful international conduct. To that end, we will seek substantial reductions in nuclear weapons, rather than merely freezing nuclear weapons at their present dangerous level. We will continue multilateral efforts to deny advanced Western technology to the Soviet war machine.</w:t>
      </w:r>
    </w:p>
    <w:p w:rsidR="00A31137" w:rsidRPr="00A31137" w:rsidRDefault="00A31137" w:rsidP="00A31137">
      <w:r w:rsidRPr="00A31137">
        <w:t>1984 Republican Platform, p.55</w:t>
      </w:r>
    </w:p>
    <w:p w:rsidR="00A31137" w:rsidRPr="00A31137" w:rsidRDefault="00A31137" w:rsidP="00A31137">
      <w:r w:rsidRPr="00A31137">
        <w:t>We will press for Soviet compliance with all international agreements, including the 1975 Helsinki Final Act and the U. N. Declaration on Human Rights. We will continue to protest Soviet anti-semitism and human rights violations. We admire the courage of such people as Andrei Sakharov, his wife Yelena Bonnet, Anatole Shcharansky, Ida Nudel and Josef Begun, whose defiance of Soviet repression stands as a testament to the greatness [p.56] of the human spirit. We will press the Soviet Union to permit free emigration of Jews, Christians, and oppressed national minorities. Finally, because the peoples of the Soviet empire share our hope for the future, we will strengthen our information channels to encourage them in their struggle for individual freedom, national self-determination, and peace.</w:t>
      </w:r>
    </w:p>
    <w:p w:rsidR="00A31137" w:rsidRPr="00A31137" w:rsidRDefault="00A31137" w:rsidP="00A31137">
      <w:r w:rsidRPr="00A31137">
        <w:t>Europe</w:t>
      </w:r>
    </w:p>
    <w:p w:rsidR="00A31137" w:rsidRPr="00A31137" w:rsidRDefault="00A31137" w:rsidP="00A31137">
      <w:r w:rsidRPr="00A31137">
        <w:t>1984 Republican Platform, p.56</w:t>
      </w:r>
    </w:p>
    <w:p w:rsidR="00A31137" w:rsidRPr="00A31137" w:rsidRDefault="00A31137" w:rsidP="00A31137">
      <w:r w:rsidRPr="00A31137">
        <w:t>Forty years after D-Day, our troops remain in Europe. It has been a long watch, but a successful one. For four decades, we have kept the peace where, twice before, our valiant fought and died. We learned from their sacrifice.</w:t>
      </w:r>
    </w:p>
    <w:p w:rsidR="00A31137" w:rsidRPr="00A31137" w:rsidRDefault="00A31137" w:rsidP="00A31137">
      <w:r w:rsidRPr="00A31137">
        <w:t>1984 Republican Platform, p.56</w:t>
      </w:r>
    </w:p>
    <w:p w:rsidR="00A31137" w:rsidRPr="00A31137" w:rsidRDefault="00A31137" w:rsidP="00A31137">
      <w:r w:rsidRPr="00A31137">
        <w:t>We would be in mortal danger were Western Europe to come under Soviet domination. Fragmenting NATO is the immediate objective of the Soviet military buildup and Soviet subversion. During the Carter-Mondale years, the Soviets gained a substantial military and diplomatic advantage in Europe. They now have three times as many tanks as we do and almost a monopoly on long-range theater nuclear forces. To keep the peace, the Reagan-Bush Administration is offsetting the Soviet military threat with the defensive power of the Alliance. We are deploying Pershing II and Cruise missiles. Remembering the Nazi Reich, informed voters on both sides of the Atlantic know they cannot accept Soviet military superiority in Europe. That is why the British, Italian, and West German parliaments have approved Euromissile deployments, and why new NATO base agreements were concluded successfully in Portugal, Spain, Turkey, and Greece. This is a victory for the Reagan-Bush Administration and our European friends.</w:t>
      </w:r>
    </w:p>
    <w:p w:rsidR="00A31137" w:rsidRPr="00A31137" w:rsidRDefault="00A31137" w:rsidP="00A31137">
      <w:r w:rsidRPr="00A31137">
        <w:t>1984 Republican Platform, p.56</w:t>
      </w:r>
    </w:p>
    <w:p w:rsidR="00A31137" w:rsidRPr="00A31137" w:rsidRDefault="00A31137" w:rsidP="00A31137">
      <w:r w:rsidRPr="00A31137">
        <w:t>The United States again leads the Alliance by offering hope of a safer future. As America's strength is restored, so is our allies' confidence in the future of freedom. We will encourage them to increase their contributions to our common defense.</w:t>
      </w:r>
    </w:p>
    <w:p w:rsidR="00A31137" w:rsidRPr="00A31137" w:rsidRDefault="00A31137" w:rsidP="00A31137">
      <w:r w:rsidRPr="00A31137">
        <w:t>1984 Republican Platform, p.56</w:t>
      </w:r>
    </w:p>
    <w:p w:rsidR="00A31137" w:rsidRPr="00A31137" w:rsidRDefault="00A31137" w:rsidP="00A31137">
      <w:r w:rsidRPr="00A31137">
        <w:t>To strengthen NATO's Southern Flank, we place the highest priority on resolving the Cyprus dispute and maintaining our support for both Greece and Turkey, with non-recognition of regimes imposed in occupied territory.</w:t>
      </w:r>
    </w:p>
    <w:p w:rsidR="00A31137" w:rsidRPr="00A31137" w:rsidRDefault="00A31137" w:rsidP="00A31137">
      <w:r w:rsidRPr="00A31137">
        <w:t>1984 Republican Platform, p.56</w:t>
      </w:r>
    </w:p>
    <w:p w:rsidR="00A31137" w:rsidRPr="00A31137" w:rsidRDefault="00A31137" w:rsidP="00A31137">
      <w:r w:rsidRPr="00A31137">
        <w:t>We share a deep concern for peace and justice in Northern Ireland and condemn all violence and terrorism in that strife-torn land.</w:t>
      </w:r>
    </w:p>
    <w:p w:rsidR="00A31137" w:rsidRPr="00A31137" w:rsidRDefault="00A31137" w:rsidP="00A31137">
      <w:r w:rsidRPr="00A31137">
        <w:t>1984 Republican Platform, p.56</w:t>
      </w:r>
    </w:p>
    <w:p w:rsidR="00A31137" w:rsidRPr="00A31137" w:rsidRDefault="00A31137" w:rsidP="00A31137">
      <w:r w:rsidRPr="00A31137">
        <w:t>We stand in solidarity with the peoples of Eastern Europe: the Poles, Hungarians, East Germans, Czechs, Rumanians, Yugoslavs, Bulgarians, Ukrainians, Baltic peoples, Armenians, and all captive nations who struggle daily against their  Soviet masters. The heroic efforts of Lech Walesa [p.57] and the Solidarity movement in Poland are an inspiration to all people yearning to be free. We are not neutral in their struggle, wherever the flame of liberty brightens the black night of Soviet oppression.</w:t>
      </w:r>
    </w:p>
    <w:p w:rsidR="00A31137" w:rsidRPr="00A31137" w:rsidRDefault="00A31137" w:rsidP="00A31137">
      <w:r w:rsidRPr="00A31137">
        <w:t>1984 Republican Platform, p.57</w:t>
      </w:r>
    </w:p>
    <w:p w:rsidR="00A31137" w:rsidRPr="00A31137" w:rsidRDefault="00A31137" w:rsidP="00A31137">
      <w:r w:rsidRPr="00A31137">
        <w:t>The tragic repression of the Polish people by the Soviet-inspired military dictatorship in Poland has touched the American people. We support policies to provide relief for Polish nationals seeking asylum and refuge in the United States.</w:t>
      </w:r>
    </w:p>
    <w:p w:rsidR="00A31137" w:rsidRPr="00A31137" w:rsidRDefault="00A31137" w:rsidP="00A31137">
      <w:r w:rsidRPr="00A31137">
        <w:t>The Middle East</w:t>
      </w:r>
    </w:p>
    <w:p w:rsidR="00A31137" w:rsidRPr="00A31137" w:rsidRDefault="00A31137" w:rsidP="00A31137">
      <w:r w:rsidRPr="00A31137">
        <w:t>1984 Republican Platform, p.57</w:t>
      </w:r>
    </w:p>
    <w:p w:rsidR="00A31137" w:rsidRPr="00A31137" w:rsidRDefault="00A31137" w:rsidP="00A31137">
      <w:r w:rsidRPr="00A31137">
        <w:t>President Reagan's Middle East policy has been flexible enough to adapt to rapidly changing circumstances, yet consistent and credible so that all nations recognize our determination to protect our vital interests. The President's skillful crisis management throughout the Iran-Iraq war has kept that conflict from damaging our vital interests. His peace efforts have won strong bipartisan support and international applause. And his willingness to stand up to Libya has made peace-loving states in the region feel more secure.</w:t>
      </w:r>
    </w:p>
    <w:p w:rsidR="00A31137" w:rsidRPr="00A31137" w:rsidRDefault="00A31137" w:rsidP="00A31137">
      <w:r w:rsidRPr="00A31137">
        <w:t>1984 Republican Platform, p.57</w:t>
      </w:r>
    </w:p>
    <w:p w:rsidR="00A31137" w:rsidRPr="00A31137" w:rsidRDefault="00A31137" w:rsidP="00A31137">
      <w:r w:rsidRPr="00A31137">
        <w:t>The 1979 Soviet invasion of Afghanistan, which surprised the Carter-Mondale Administration, brought Soviet forces less than 400 miles from the strategic Straits of Hormuz. The seizure of American hostages in Iran that year caught the United States unprepared and unable to respond. Lebanon is still in turmoil, despite our best efforts to foster stability in that unhappy country. With the Syrian leadership increasingly subject to Soviet influence, and the Palestine Liberation Organization and its homicidal subsidiaries taking up residence in Syria, U.S. policy toward the region must remain vigilant and strong. Republicans reaffirm that the United States should not recognize or negotiate with the PLO so long as that organization continues to promote terrorism, rejects Israel's right to exist, and refuses to accept U.N. Resolutions 242 and 338.</w:t>
      </w:r>
    </w:p>
    <w:p w:rsidR="00A31137" w:rsidRPr="00A31137" w:rsidRDefault="00A31137" w:rsidP="00A31137">
      <w:r w:rsidRPr="00A31137">
        <w:t>1984 Republican Platform, p.57</w:t>
      </w:r>
    </w:p>
    <w:p w:rsidR="00A31137" w:rsidRPr="00A31137" w:rsidRDefault="00A31137" w:rsidP="00A31137">
      <w:r w:rsidRPr="00A31137">
        <w:t>The bedrock of that protection remains, as it has for over three decades, our moral and strategic relationship with Israel. We are allies in the defense of freedom. Israel's strength, coupled with United States assistance, is the main obstacle to Soviet domination of the region. The sovereignty, security, and integrity of the state of Israel are moral imperatives. We pledge to help maintain Israel's qualitative military edge over its adversaries.</w:t>
      </w:r>
    </w:p>
    <w:p w:rsidR="00A31137" w:rsidRPr="00A31137" w:rsidRDefault="00A31137" w:rsidP="00A31137">
      <w:r w:rsidRPr="00A31137">
        <w:t>1984 Republican Platform, p.57</w:t>
      </w:r>
    </w:p>
    <w:p w:rsidR="00A31137" w:rsidRPr="00A31137" w:rsidRDefault="00A31137" w:rsidP="00A31137">
      <w:r w:rsidRPr="00A31137">
        <w:t xml:space="preserve">Today, relations between the United States and Israel are closer than ever before. Under President Reagan, we have moved beyond mere words to extensive political, military, and diplomatic cooperation. U.S.-Israeli strategic planning groups are coordinating our joint defense efforts, and we are directly supporting projects to augment Israel's defense industrial base. We support the legislation pending for an Israel-U.S. free trade area. [p.58] </w:t>
      </w:r>
    </w:p>
    <w:p w:rsidR="00A31137" w:rsidRPr="00A31137" w:rsidRDefault="00A31137" w:rsidP="00A31137">
      <w:r w:rsidRPr="00A31137">
        <w:t>1984 Republican Platform, p.58</w:t>
      </w:r>
    </w:p>
    <w:p w:rsidR="00A31137" w:rsidRPr="00A31137" w:rsidRDefault="00A31137" w:rsidP="00A31137">
      <w:r w:rsidRPr="00A31137">
        <w:t>We recognize that attacks in the U.N. against Israel are but thinly disguised attacks against the United States, for it is our shared ideals and democratic way of life that are their true target. Thus, when a U.N. agency denied Israel's right to participate, we withheld our financial support until that action was corrected. And we have worked behind the scenes and in public in other international organizations to defeat discriminatory attacks against our ally.</w:t>
      </w:r>
    </w:p>
    <w:p w:rsidR="00A31137" w:rsidRPr="00A31137" w:rsidRDefault="00A31137" w:rsidP="00A31137">
      <w:r w:rsidRPr="00A31137">
        <w:t>1984 Republican Platform, p.58</w:t>
      </w:r>
    </w:p>
    <w:p w:rsidR="00A31137" w:rsidRPr="00A31137" w:rsidRDefault="00A31137" w:rsidP="00A31137">
      <w:r w:rsidRPr="00A31137">
        <w:t>Our determination to participate actively in the peace process begun at Camp David has won us support over the past four years from moderate Arab states. Israel's partner in the Camp David Accords, Egypt, with American support, has been a constructive force for stability. We pledge continued support to Egypt and other moderate regimes against Soviet and Libyan subversion, and we look to them to contribute to our efforts for a long-term settlement of the region's destructive disputes.</w:t>
      </w:r>
    </w:p>
    <w:p w:rsidR="00A31137" w:rsidRPr="00A31137" w:rsidRDefault="00A31137" w:rsidP="00A31137">
      <w:r w:rsidRPr="00A31137">
        <w:t>1984 Republican Platform, p.58</w:t>
      </w:r>
    </w:p>
    <w:p w:rsidR="00A31137" w:rsidRPr="00A31137" w:rsidRDefault="00A31137" w:rsidP="00A31137">
      <w:r w:rsidRPr="00A31137">
        <w:t>We believe that Jerusalem should remain an undivided city with free and unimpeded access to all holy places by people of all faiths.</w:t>
      </w:r>
    </w:p>
    <w:p w:rsidR="00A31137" w:rsidRPr="00A31137" w:rsidRDefault="00A31137" w:rsidP="00A31137">
      <w:r w:rsidRPr="00A31137">
        <w:t>Asia and the Pacific</w:t>
      </w:r>
    </w:p>
    <w:p w:rsidR="00A31137" w:rsidRPr="00A31137" w:rsidRDefault="00A31137" w:rsidP="00A31137">
      <w:r w:rsidRPr="00A31137">
        <w:t>1984 Republican Platform, p.58</w:t>
      </w:r>
    </w:p>
    <w:p w:rsidR="00A31137" w:rsidRPr="00A31137" w:rsidRDefault="00A31137" w:rsidP="00A31137">
      <w:r w:rsidRPr="00A31137">
        <w:t>Free Asia is a tremendous success. Emulating the United States economically and politically, our friends in East Asia have had the world's highest economic growth rates. Their economies represent the dynamism of free markets and free people, in stark contrast to the dreary rigidity and economic failures of centrally planned socialism. U.S. investments in Asia now exceed $30 billion, and our annual trade surpasses that with any other region.</w:t>
      </w:r>
    </w:p>
    <w:p w:rsidR="00A31137" w:rsidRPr="00A31137" w:rsidRDefault="00A31137" w:rsidP="00A31137">
      <w:r w:rsidRPr="00A31137">
        <w:t>1984 Republican Platform, p.58</w:t>
      </w:r>
    </w:p>
    <w:p w:rsidR="00A31137" w:rsidRPr="00A31137" w:rsidRDefault="00A31137" w:rsidP="00A31137">
      <w:r w:rsidRPr="00A31137">
        <w:t>Unable to match this progress, the Soviet Union, North Korea, and Vietnam threaten the region with military aggression and political intimidation. The Soviet rape of Afghanistan, the criminal destruction of the KAL airliner, the genocide in Vietnam, Cambodia and Laos, the steady growth of Soviet SS-20 forces in East Asia, the rapid increase of the Soviet Pacific Fleet, the continuing build-up of North Korean forces and the brutal bombing of South Korean leaders in Rangoon, the recent deployment of Soviet forces at Cam Ranh Bay, the continued occupation of Cambodia by the Vietnamese, and chemical and biological weapons attacks against defenseless civilian populations in Afghanistan and Southeast Asia are some of the more obvious threats to the peace of Asia and to America's friends there.</w:t>
      </w:r>
    </w:p>
    <w:p w:rsidR="00A31137" w:rsidRPr="00A31137" w:rsidRDefault="00A31137" w:rsidP="00A31137">
      <w:r w:rsidRPr="00A31137">
        <w:t>1984 Republican Platform, p.58</w:t>
      </w:r>
    </w:p>
    <w:p w:rsidR="00A31137" w:rsidRPr="00A31137" w:rsidRDefault="00A31137" w:rsidP="00A31137">
      <w:r w:rsidRPr="00A31137">
        <w:t>Republicans salute the brave people of Afghanistan, struggling to regain their freedom and independence. We will  continue to support the [p.59] freedom fighters and pledge our continuing humanitarian aid to the thousands of Afghan refugees who have sought sanctuary in Pakistan and elsewhere.</w:t>
      </w:r>
    </w:p>
    <w:p w:rsidR="00A31137" w:rsidRPr="00A31137" w:rsidRDefault="00A31137" w:rsidP="00A31137">
      <w:r w:rsidRPr="00A31137">
        <w:t>1984 Republican Platform, p.59</w:t>
      </w:r>
    </w:p>
    <w:p w:rsidR="00A31137" w:rsidRPr="00A31137" w:rsidRDefault="00A31137" w:rsidP="00A31137">
      <w:r w:rsidRPr="00A31137">
        <w:t>To preserve free Asia's economic gains and enhance our security, we will continue economic and security assistance programs with the front-line states of Korea, Thailand, and Pakistan. We will maintain defense facilities in Korea, Japan, the Philippines, and the Indian Ocean to protect vital sea lanes.</w:t>
      </w:r>
    </w:p>
    <w:p w:rsidR="00A31137" w:rsidRPr="00A31137" w:rsidRDefault="00A31137" w:rsidP="00A31137">
      <w:r w:rsidRPr="00A31137">
        <w:t>1984 Republican Platform, p.59</w:t>
      </w:r>
    </w:p>
    <w:p w:rsidR="00A31137" w:rsidRPr="00A31137" w:rsidRDefault="00A31137" w:rsidP="00A31137">
      <w:r w:rsidRPr="00A31137">
        <w:t>We will promote economic growth while we strengthen human rights and the commitment to both democracy and free markets. We will help friendly nations deal with refugees and secure their help against drug cultivation and trafficking.</w:t>
      </w:r>
    </w:p>
    <w:p w:rsidR="00A31137" w:rsidRPr="00A31137" w:rsidRDefault="00A31137" w:rsidP="00A31137">
      <w:r w:rsidRPr="00A31137">
        <w:t>1984 Republican Platform, p.59</w:t>
      </w:r>
    </w:p>
    <w:p w:rsidR="00A31137" w:rsidRPr="00A31137" w:rsidRDefault="00A31137" w:rsidP="00A31137">
      <w:r w:rsidRPr="00A31137">
        <w:t>Our relations with Japan are central to America's role in the Far East, and they have never been better. The world's second-largest industrial power can make an increasingly important contribution to peace and economic development over much of Asia. We applaud Japan's commitment to defend its territory, air space, and sea lanes. We are heartened by its increases in defense spending and urge Japan to further expand its contribution to the region's defense. We have made progress in our trade relations and affirm that, with good will on both sides, broader agreement is likely.</w:t>
      </w:r>
    </w:p>
    <w:p w:rsidR="00A31137" w:rsidRPr="00A31137" w:rsidRDefault="00A31137" w:rsidP="00A31137">
      <w:r w:rsidRPr="00A31137">
        <w:t>1984 Republican Platform, p.59</w:t>
      </w:r>
    </w:p>
    <w:p w:rsidR="00A31137" w:rsidRPr="00A31137" w:rsidRDefault="00A31137" w:rsidP="00A31137">
      <w:r w:rsidRPr="00A31137">
        <w:t>In keeping with the pledge of the 1980 Platform, President Reagan has continued the process of developing our relationship with the People's Republic of China. We commend the President's initiatives to build a solid foundation for the long-term relations between the United States and the People's Republic, emphasizing peaceful trade and other policies to promote regional peace. Despite fundamental differences in many areas, both nations share an important common objective: opposition to Soviet expansionism.</w:t>
      </w:r>
    </w:p>
    <w:p w:rsidR="00A31137" w:rsidRPr="00A31137" w:rsidRDefault="00A31137" w:rsidP="00A31137">
      <w:r w:rsidRPr="00A31137">
        <w:t>1984 Republican Platform, p.59</w:t>
      </w:r>
    </w:p>
    <w:p w:rsidR="00A31137" w:rsidRPr="00A31137" w:rsidRDefault="00A31137" w:rsidP="00A31137">
      <w:r w:rsidRPr="00A31137">
        <w:t>At the same time, we specifically reaffirm our concern for, and our moral commitment to, the safety and security of the 18 million people on Taiwan. We pledge that this concern will be constant, and we will continue to regard any attempt to alter Taiwan's status by force as a threat to regional peace. We endorse, with enthusiasm, President Reagan's affirmation that it is the policy of the United States to support and fully implement the provisions of the Taiwan Relations Act. In addition, we fully support self determination for the people of Hong Kong.</w:t>
      </w:r>
    </w:p>
    <w:p w:rsidR="00A31137" w:rsidRPr="00A31137" w:rsidRDefault="00A31137" w:rsidP="00A31137">
      <w:r w:rsidRPr="00A31137">
        <w:t>1984 Republican Platform, p.59</w:t>
      </w:r>
    </w:p>
    <w:p w:rsidR="00A31137" w:rsidRPr="00A31137" w:rsidRDefault="00A31137" w:rsidP="00A31137">
      <w:r w:rsidRPr="00A31137">
        <w:t xml:space="preserve">The Republic of Korea is a stalwart ally. To deter aggression, we will maintain our forces there which contribute to our common defense. Our growing economic relations are good for both countries and enhance our influence to foster a democratic evolution there. [p.60] </w:t>
      </w:r>
    </w:p>
    <w:p w:rsidR="00A31137" w:rsidRPr="00A31137" w:rsidRDefault="00A31137" w:rsidP="00A31137">
      <w:r w:rsidRPr="00A31137">
        <w:t>1984 Republican Platform, p.60</w:t>
      </w:r>
    </w:p>
    <w:p w:rsidR="00A31137" w:rsidRPr="00A31137" w:rsidRDefault="00A31137" w:rsidP="00A31137">
      <w:r w:rsidRPr="00A31137">
        <w:t>We prize our special relationship with the Philippines. We will make every effort to promote economic development and democratic principles they seek. Because the Clark and Subic Bay bases are vital to American interests in the Western Pacific, we are committed to their continued security.</w:t>
      </w:r>
    </w:p>
    <w:p w:rsidR="00A31137" w:rsidRPr="00A31137" w:rsidRDefault="00A31137" w:rsidP="00A31137">
      <w:r w:rsidRPr="00A31137">
        <w:t>1984 Republican Platform, p.60</w:t>
      </w:r>
    </w:p>
    <w:p w:rsidR="00A31137" w:rsidRPr="00A31137" w:rsidRDefault="00A31137" w:rsidP="00A31137">
      <w:r w:rsidRPr="00A31137">
        <w:t>We recognize the close and special ties we have maintained with Thailand since the days of Abraham Lincoln. Thailand stands tall against the imperialist aggression of Vietnam and the Soviet Union in Southeast Asia.</w:t>
      </w:r>
    </w:p>
    <w:p w:rsidR="00A31137" w:rsidRPr="00A31137" w:rsidRDefault="00A31137" w:rsidP="00A31137">
      <w:r w:rsidRPr="00A31137">
        <w:t>1984 Republican Platform, p.60</w:t>
      </w:r>
    </w:p>
    <w:p w:rsidR="00A31137" w:rsidRPr="00A31137" w:rsidRDefault="00A31137" w:rsidP="00A31137">
      <w:r w:rsidRPr="00A31137">
        <w:t>We hail the economic achievements of the Association of Southeast Asian Nations. We will strengthen economic and political ties to them and support their opposition to the Vietnamese occupation of Cambodia.</w:t>
      </w:r>
    </w:p>
    <w:p w:rsidR="00A31137" w:rsidRPr="00A31137" w:rsidRDefault="00A31137" w:rsidP="00A31137">
      <w:r w:rsidRPr="00A31137">
        <w:t>1984 Republican Platform, p.60</w:t>
      </w:r>
    </w:p>
    <w:p w:rsidR="00A31137" w:rsidRPr="00A31137" w:rsidRDefault="00A31137" w:rsidP="00A31137">
      <w:r w:rsidRPr="00A31137">
        <w:t>Almost a decade after our withdrawal from Vietnam, thousands of Americans still do not know the fate of their fathers, brothers, and sons missing in action. Our united people call upon Vietnam and Laos with one voice: return our men, end the grief of the innocent, and give a full accounting of our POW-MIAs. We will press for access to investigate crash sites throughout Indochina. We support the efforts of our private citizens who have worked tirelessly for many years on this issue.</w:t>
      </w:r>
    </w:p>
    <w:p w:rsidR="00A31137" w:rsidRPr="00A31137" w:rsidRDefault="00A31137" w:rsidP="00A31137">
      <w:r w:rsidRPr="00A31137">
        <w:t>Africa</w:t>
      </w:r>
    </w:p>
    <w:p w:rsidR="00A31137" w:rsidRPr="00A31137" w:rsidRDefault="00A31137" w:rsidP="00A31137">
      <w:r w:rsidRPr="00A31137">
        <w:t>1984 Republican Platform, p.60</w:t>
      </w:r>
    </w:p>
    <w:p w:rsidR="00A31137" w:rsidRPr="00A31137" w:rsidRDefault="00A31137" w:rsidP="00A31137">
      <w:r w:rsidRPr="00A31137">
        <w:t>Africa faces a new colonialism. The tripartite axis of the Soviet Union, Cuba, and Libya has unleashed war and privation upon the continent. We are committed to democracy in Africa and to the economic development that will help it flourish. That is why we will foster free-market, growth-oriented, and liberalized trading policies.</w:t>
      </w:r>
    </w:p>
    <w:p w:rsidR="00A31137" w:rsidRPr="00A31137" w:rsidRDefault="00A31137" w:rsidP="00A31137">
      <w:r w:rsidRPr="00A31137">
        <w:t>1984 Republican Platform, p.60</w:t>
      </w:r>
    </w:p>
    <w:p w:rsidR="00A31137" w:rsidRPr="00A31137" w:rsidRDefault="00A31137" w:rsidP="00A31137">
      <w:r w:rsidRPr="00A31137">
        <w:t>As part of reforming the policies of the International Development Association, we have assisted in directing a larger proportion of its resources to sub-Saharan Africa. To nurture the spirit of individual initiative in Africa, our newly created African Development Foundation will work with African entrepreneurs at the village level. In addition, through our rejection of the austerity programs of international organizations, we are bringing new hope to the people of Africa that they will join in the benefits of the growing, dynamic world economy.</w:t>
      </w:r>
    </w:p>
    <w:p w:rsidR="00A31137" w:rsidRPr="00A31137" w:rsidRDefault="00A31137" w:rsidP="00A31137">
      <w:r w:rsidRPr="00A31137">
        <w:t>1984 Republican Platform, p.60</w:t>
      </w:r>
    </w:p>
    <w:p w:rsidR="00A31137" w:rsidRPr="00A31137" w:rsidRDefault="00A31137" w:rsidP="00A31137">
      <w:r w:rsidRPr="00A31137">
        <w:t>We will continue to provide necessary security and economic assistance to African nations with which we maintain good relations to help them develop the infrastructure of democratic capitalism so essential to economic growth and individual  accomplishment. We will encourage our allies in Europe and east Asia to coordinate their assistance efforts so that [p.61] the industrialized countries will be able to contribute effectively to the economic development of the continent. We believe that, if given the choice, the nations of Africa will reject the model of Marxist state-controlled economies in favor of the prosperity and quality of life that free economies and free people can achieve.</w:t>
      </w:r>
    </w:p>
    <w:p w:rsidR="00A31137" w:rsidRPr="00A31137" w:rsidRDefault="00A31137" w:rsidP="00A31137">
      <w:r w:rsidRPr="00A31137">
        <w:t>1984 Republican Platform, p.61</w:t>
      </w:r>
    </w:p>
    <w:p w:rsidR="00A31137" w:rsidRPr="00A31137" w:rsidRDefault="00A31137" w:rsidP="00A31137">
      <w:r w:rsidRPr="00A31137">
        <w:t>We will continue to assist threatened African governments to protect themselves and will work with them to protect their continent from subversion and to safeguard their strategic minerals. The Reagan-Bush Administration will continue its vigorous efforts to achieve Namibian independence and the expulsion of Cubans from occupied Angola.</w:t>
      </w:r>
    </w:p>
    <w:p w:rsidR="00A31137" w:rsidRPr="00A31137" w:rsidRDefault="00A31137" w:rsidP="00A31137">
      <w:r w:rsidRPr="00A31137">
        <w:t>1984 Republican Platform, p.61</w:t>
      </w:r>
    </w:p>
    <w:p w:rsidR="00A31137" w:rsidRPr="00A31137" w:rsidRDefault="00A31137" w:rsidP="00A31137">
      <w:r w:rsidRPr="00A31137">
        <w:t>We reaffirm our commitment to the rights of all South Africans. Apartheid is repugnant. In South Africa, as elsewhere on the continent, we support well-conceived efforts to foster peace, prosperity, and stability.</w:t>
      </w:r>
    </w:p>
    <w:p w:rsidR="00A31137" w:rsidRPr="00A31137" w:rsidRDefault="00A31137" w:rsidP="00A31137">
      <w:r w:rsidRPr="00A31137">
        <w:t>Foreign Assistance and Regional Security</w:t>
      </w:r>
    </w:p>
    <w:p w:rsidR="00A31137" w:rsidRPr="00A31137" w:rsidRDefault="00A31137" w:rsidP="00A31137">
      <w:r w:rsidRPr="00A31137">
        <w:t>1984 Republican Platform, p.61</w:t>
      </w:r>
    </w:p>
    <w:p w:rsidR="00A31137" w:rsidRPr="00A31137" w:rsidRDefault="00A31137" w:rsidP="00A31137">
      <w:r w:rsidRPr="00A31137">
        <w:t>Developing nations look to the United States for counsel and guidance in achieving economic opportunity, prosperity, and political freedom. Democratic capitalism has demonstrated, in the United States and elsewhere, an unparalleled ability to achieve political and civil rights and long-term prosperity for ever-growing numbers of people. We are confident that democracy and free enterprise can succeed everywhere. A central element in our programs of economic assistance should be to share with others the beneficial ideas of democratic capitalism, which have led the United States to economic prosperity and political freedom.</w:t>
      </w:r>
    </w:p>
    <w:p w:rsidR="00A31137" w:rsidRPr="00A31137" w:rsidRDefault="00A31137" w:rsidP="00A31137">
      <w:r w:rsidRPr="00A31137">
        <w:t>1984 Republican Platform, p.61</w:t>
      </w:r>
    </w:p>
    <w:p w:rsidR="00A31137" w:rsidRPr="00A31137" w:rsidRDefault="00A31137" w:rsidP="00A31137">
      <w:r w:rsidRPr="00A31137">
        <w:t>Our bilateral economic assistance program should be directed at promoting economic growth and prosperity in developing nations. Therefore, we support recently enacted legislation untying our programs from the policies of austerity of international organizations such as the International Monetary Fund.</w:t>
      </w:r>
    </w:p>
    <w:p w:rsidR="00A31137" w:rsidRPr="00A31137" w:rsidRDefault="00A31137" w:rsidP="00A31137">
      <w:r w:rsidRPr="00A31137">
        <w:t>1984 Republican Platform, p.61</w:t>
      </w:r>
    </w:p>
    <w:p w:rsidR="00A31137" w:rsidRPr="00A31137" w:rsidRDefault="00A31137" w:rsidP="00A31137">
      <w:r w:rsidRPr="00A31137">
        <w:t xml:space="preserve">We have changed the Carter-Mondale policy of channeling increasing proportions of U.S. assistance through multinational institutions beyond our control. We strongly support President Reagan's decision not to increase funding for the International Development Association because of its predilection for nations with state-dominated economic systems. Our contribution to the International Fund for Agricultural Development will be eliminated due to its consistent bias toward non-market economies. And the anti-American bureaucracy of the U.N.'s Educational, Scientific and Cultural Organization (UNESCO) will no longer be supported by U.S. taxpayers. We will not support international organizations inconsistent with our interests. In particular, we will work to eliminate their funding of Communist states. [p.62] </w:t>
      </w:r>
    </w:p>
    <w:p w:rsidR="00A31137" w:rsidRPr="00A31137" w:rsidRDefault="00A31137" w:rsidP="00A31137">
      <w:r w:rsidRPr="00A31137">
        <w:t>1984 Republican Platform, p.62</w:t>
      </w:r>
    </w:p>
    <w:p w:rsidR="00A31137" w:rsidRPr="00A31137" w:rsidRDefault="00A31137" w:rsidP="00A31137">
      <w:r w:rsidRPr="00A31137">
        <w:t>Prominent among American ideals is the sanctity of the family. Decisions on family size should be made freely by each family. We support efforts to enhance the freedom of such family decisions. We will endeavor to assure that those who are responsible for our programs are more sensitive to the cultural needs of the countries to which we give assistance.</w:t>
      </w:r>
    </w:p>
    <w:p w:rsidR="00A31137" w:rsidRPr="00A31137" w:rsidRDefault="00A31137" w:rsidP="00A31137">
      <w:r w:rsidRPr="00A31137">
        <w:t>1984 Republican Platform, p.62</w:t>
      </w:r>
    </w:p>
    <w:p w:rsidR="00A31137" w:rsidRPr="00A31137" w:rsidRDefault="00A31137" w:rsidP="00A31137">
      <w:r w:rsidRPr="00A31137">
        <w:t>As part of our commitment to the family and our opposition to abortion, we will eliminate all U.S. funding for organizations which in any way support abortion or research on abortion methods.</w:t>
      </w:r>
    </w:p>
    <w:p w:rsidR="00A31137" w:rsidRPr="00A31137" w:rsidRDefault="00A31137" w:rsidP="00A31137">
      <w:r w:rsidRPr="00A31137">
        <w:t>1984 Republican Platform, p.62</w:t>
      </w:r>
    </w:p>
    <w:p w:rsidR="00A31137" w:rsidRPr="00A31137" w:rsidRDefault="00A31137" w:rsidP="00A31137">
      <w:r w:rsidRPr="00A31137">
        <w:t>To strengthen bilateral foreign assistance, we will reduce or eliminate assistance to nations with foreign policies contrary to our interests and strengthen the Secretary of State's hand by ensuring his direct control over assistance programs.</w:t>
      </w:r>
    </w:p>
    <w:p w:rsidR="00A31137" w:rsidRPr="00A31137" w:rsidRDefault="00A31137" w:rsidP="00A31137">
      <w:r w:rsidRPr="00A31137">
        <w:t>1984 Republican Platform, p.62</w:t>
      </w:r>
    </w:p>
    <w:p w:rsidR="00A31137" w:rsidRPr="00A31137" w:rsidRDefault="00A31137" w:rsidP="00A31137">
      <w:r w:rsidRPr="00A31137">
        <w:t>Foreign military assistance strengthens our security by enabling friendly nations to provide for their own defense, including defense against terrorism.</w:t>
      </w:r>
    </w:p>
    <w:p w:rsidR="00A31137" w:rsidRPr="00A31137" w:rsidRDefault="00A31137" w:rsidP="00A31137">
      <w:r w:rsidRPr="00A31137">
        <w:t>1984 Republican Platform, p.62</w:t>
      </w:r>
    </w:p>
    <w:p w:rsidR="00A31137" w:rsidRPr="00A31137" w:rsidRDefault="00A31137" w:rsidP="00A31137">
      <w:r w:rsidRPr="00A31137">
        <w:t>Terrorism is a new form of warfare against the democracies. Supported by the Soviet Union and others, it ranges from PLO murder to the attempted assassination of the Pope. Combatting it requires an integrated effort of our diplomacy, armed forces, intelligence services, and law-enforcement organizations. Legislative obstacles to international cooperation against terrorism must be repealed, followed by a vigorous program to enhance friendly nations' counter-terrorist forces. In particular, we seek the cooperation of our hemispheric neighbors to deal comprehensively with the Soviet and Cuban terrorism now afflicting us.</w:t>
      </w:r>
    </w:p>
    <w:p w:rsidR="00A31137" w:rsidRPr="00A31137" w:rsidRDefault="00A31137" w:rsidP="00A31137">
      <w:r w:rsidRPr="00A31137">
        <w:t>International Organizations</w:t>
      </w:r>
    </w:p>
    <w:p w:rsidR="00A31137" w:rsidRPr="00A31137" w:rsidRDefault="00A31137" w:rsidP="00A31137">
      <w:r w:rsidRPr="00A31137">
        <w:t>1984 Republican Platform, p.62</w:t>
      </w:r>
    </w:p>
    <w:p w:rsidR="00A31137" w:rsidRPr="00A31137" w:rsidRDefault="00A31137" w:rsidP="00A31137">
      <w:r w:rsidRPr="00A31137">
        <w:t>Americans cannot count on the international organizations to guarantee our security or adequately protect our interests. The United States hosts the headquarters of the United Nations, pays a fourth of its budget, and is proportionally the largest contributor to most international organizations; but many members consistently vote against us. As Soviet influence in these organizations has grown, cynicism and the double standard have become their way of life.</w:t>
      </w:r>
    </w:p>
    <w:p w:rsidR="00A31137" w:rsidRPr="00A31137" w:rsidRDefault="00A31137" w:rsidP="00A31137">
      <w:r w:rsidRPr="00A31137">
        <w:t>1984 Republican Platform, p.62</w:t>
      </w:r>
    </w:p>
    <w:p w:rsidR="00A31137" w:rsidRPr="00A31137" w:rsidRDefault="00A31137" w:rsidP="00A31137">
      <w:r w:rsidRPr="00A31137">
        <w:t>This is why President Reagan announced that we will leave the worst of these organizations, UNESCO. He has put the U.N. on notice that the U.S. will strongly oppose the use of the U.N. to foster anti-semitism, Soviet espionage, and hostility to the United States. The President decisively rejected the U.N. Convention on the Law of the Sea and embarked instead on a dynamic national oceans policy, animated by our traditional [p.63] commitment to freedom of the seas. That pattern will be followed with regard to U.N. meddling in Antarctica and outer space. Enthusiastically endorsing those steps, we will apply the same standards to all international organizations. We will monitor their votes and activities, and particularly the votes of member states which receive U.S. aid. Americans will no longer silently suffer the hypocrisy of many of these organizations.</w:t>
      </w:r>
    </w:p>
    <w:p w:rsidR="00A31137" w:rsidRPr="00A31137" w:rsidRDefault="00A31137" w:rsidP="00A31137">
      <w:r w:rsidRPr="00A31137">
        <w:t>Human Rights</w:t>
      </w:r>
    </w:p>
    <w:p w:rsidR="00A31137" w:rsidRPr="00A31137" w:rsidRDefault="00A31137" w:rsidP="00A31137">
      <w:r w:rsidRPr="00A31137">
        <w:t>1984 Republican Platform, p.63</w:t>
      </w:r>
    </w:p>
    <w:p w:rsidR="00A31137" w:rsidRPr="00A31137" w:rsidRDefault="00A31137" w:rsidP="00A31137">
      <w:r w:rsidRPr="00A31137">
        <w:t>The American people believe that United States foreign policy should be animated by the cause of human rights for all the world's peoples.</w:t>
      </w:r>
    </w:p>
    <w:p w:rsidR="00A31137" w:rsidRPr="00A31137" w:rsidRDefault="00A31137" w:rsidP="00A31137">
      <w:r w:rsidRPr="00A31137">
        <w:t>1984 Republican Platform, p.63</w:t>
      </w:r>
    </w:p>
    <w:p w:rsidR="00A31137" w:rsidRPr="00A31137" w:rsidRDefault="00A31137" w:rsidP="00A31137">
      <w:r w:rsidRPr="00A31137">
        <w:t>A well-rounded human rights policy is concerned with specific individuals whose rights are denied by governments of the right or left, and with entire peoples whose Communist governments deny their claim to human rights as individuals and acknowledge only the "rights" derived from membership in an economic class. Republicans support a human rights policy which includes both these concerns.</w:t>
      </w:r>
    </w:p>
    <w:p w:rsidR="00A31137" w:rsidRPr="00A31137" w:rsidRDefault="00A31137" w:rsidP="00A31137">
      <w:r w:rsidRPr="00A31137">
        <w:t>1984 Republican Platform, p.63</w:t>
      </w:r>
    </w:p>
    <w:p w:rsidR="00A31137" w:rsidRPr="00A31137" w:rsidRDefault="00A31137" w:rsidP="00A31137">
      <w:r w:rsidRPr="00A31137">
        <w:t>Republican concern for human rights also extends to the institutions of free societies—political parties, the free press, business and labor organizations—which embody and protect the exercise of individual rights. The National Endowment for Democracy and other instruments of U.S. diplomacy foster the growth of these vital institutions.</w:t>
      </w:r>
    </w:p>
    <w:p w:rsidR="00A31137" w:rsidRPr="00A31137" w:rsidRDefault="00A31137" w:rsidP="00A31137">
      <w:r w:rsidRPr="00A31137">
        <w:t>1984 Republican Platform, p.63</w:t>
      </w:r>
    </w:p>
    <w:p w:rsidR="00A31137" w:rsidRPr="00A31137" w:rsidRDefault="00A31137" w:rsidP="00A31137">
      <w:r w:rsidRPr="00A31137">
        <w:t>By focusing solely on the shortcomings of non-Communist governments, Democrats have missed the forest for the trees, failing to recognize that the greatest threat to human rights is the Communist system itself.</w:t>
      </w:r>
    </w:p>
    <w:p w:rsidR="00A31137" w:rsidRPr="00A31137" w:rsidRDefault="00A31137" w:rsidP="00A31137">
      <w:r w:rsidRPr="00A31137">
        <w:t>1984 Republican Platform, p.63</w:t>
      </w:r>
    </w:p>
    <w:p w:rsidR="00A31137" w:rsidRPr="00A31137" w:rsidRDefault="00A31137" w:rsidP="00A31137">
      <w:r w:rsidRPr="00A31137">
        <w:t>Republicans understand that the East-West struggle has profound human rights implications. We know that Communist nations, which profess dedication to human rights, actually use their totalitarian systems to violate human rights in an organized, systematic fashion.</w:t>
      </w:r>
    </w:p>
    <w:p w:rsidR="00A31137" w:rsidRPr="00A31137" w:rsidRDefault="00A31137" w:rsidP="00A31137">
      <w:r w:rsidRPr="00A31137">
        <w:t>1984 Republican Platform, p.63</w:t>
      </w:r>
    </w:p>
    <w:p w:rsidR="00A31137" w:rsidRPr="00A31137" w:rsidRDefault="00A31137" w:rsidP="00A31137">
      <w:r w:rsidRPr="00A31137">
        <w:t>The Reagan-Bush Administration has worked for positive human rights changes worldwide. Our efforts have ranged from support for the Helsinki Accords to our support of judicial and political reform in El Salvador.</w:t>
      </w:r>
    </w:p>
    <w:p w:rsidR="00A31137" w:rsidRPr="00A31137" w:rsidRDefault="00A31137" w:rsidP="00A31137">
      <w:r w:rsidRPr="00A31137">
        <w:t>1984 Republican Platform, p.63</w:t>
      </w:r>
    </w:p>
    <w:p w:rsidR="00A31137" w:rsidRPr="00A31137" w:rsidRDefault="00A31137" w:rsidP="00A31137">
      <w:r w:rsidRPr="00A31137">
        <w:t>The Republican Party commends President Reagan for accepting the Honorary Chairmanship of the campaign to erect a U.S. Holocaust Memorial in Washington, D.C. and supports the efforts of the U.S. Holocaust Council in erecting such a museum and educational center. The museum will bear witness to the victims and survivors of the Holocaust.</w:t>
      </w:r>
    </w:p>
    <w:p w:rsidR="00A31137" w:rsidRPr="00A31137" w:rsidRDefault="00A31137" w:rsidP="00A31137">
      <w:r w:rsidRPr="00A31137">
        <w:t>1984 Republican Platform, p.63</w:t>
      </w:r>
    </w:p>
    <w:p w:rsidR="00A31137" w:rsidRPr="00A31137" w:rsidRDefault="00A31137" w:rsidP="00A31137">
      <w:r w:rsidRPr="00A31137">
        <w:t>For Republicans, the struggle for human freedom is more than an end in itself. It is part of a policy that builds a  foundation for peace. When [p.64] people are free to express themselves and choose democratic governments, their free private institutions and electoral power constitute a constraint against the excesses of autocratic rulers. We agree with President Truman, who said: "In the long run our security and the world's hopes for peace lie not in measures of defense or in the control of weapons, but in the growth and expansion of freedom and self-government."</w:t>
      </w:r>
    </w:p>
    <w:p w:rsidR="00A31137" w:rsidRPr="00A31137" w:rsidRDefault="00A31137" w:rsidP="00A31137">
      <w:r w:rsidRPr="00A31137">
        <w:t>1984 Republican Platform, p.64</w:t>
      </w:r>
    </w:p>
    <w:p w:rsidR="00A31137" w:rsidRPr="00A31137" w:rsidRDefault="00A31137" w:rsidP="00A31137">
      <w:r w:rsidRPr="00A31137">
        <w:t>To this end, we pledge our continued effort to secure for all people the inherent, God-given rights that Americans have been privileged to enjoy for two centuries.</w:t>
      </w:r>
    </w:p>
    <w:p w:rsidR="00A31137" w:rsidRPr="00A31137" w:rsidRDefault="00A31137" w:rsidP="00A31137">
      <w:r w:rsidRPr="00A31137">
        <w:t>Advocacy for Democracy</w:t>
      </w:r>
    </w:p>
    <w:p w:rsidR="00A31137" w:rsidRPr="00A31137" w:rsidRDefault="00A31137" w:rsidP="00A31137">
      <w:r w:rsidRPr="00A31137">
        <w:t>1984 Republican Platform, p.64</w:t>
      </w:r>
    </w:p>
    <w:p w:rsidR="00A31137" w:rsidRPr="00A31137" w:rsidRDefault="00A31137" w:rsidP="00A31137">
      <w:r w:rsidRPr="00A31137">
        <w:t>To promote and sustain the cause of democracy, America must be an active participant in the political competition between the principles of Communism and of democracy.</w:t>
      </w:r>
    </w:p>
    <w:p w:rsidR="00A31137" w:rsidRPr="00A31137" w:rsidRDefault="00A31137" w:rsidP="00A31137">
      <w:r w:rsidRPr="00A31137">
        <w:t>1984 Republican Platform, p.64</w:t>
      </w:r>
    </w:p>
    <w:p w:rsidR="00A31137" w:rsidRPr="00A31137" w:rsidRDefault="00A31137" w:rsidP="00A31137">
      <w:r w:rsidRPr="00A31137">
        <w:t>To do this, America needs a strong voice and active instruments of public diplomacy to counter the Communist bloc's massive effort to disinform and deceive world public opinion. Republicans believe that truth is America's most powerful weapon.</w:t>
      </w:r>
    </w:p>
    <w:p w:rsidR="00A31137" w:rsidRPr="00A31137" w:rsidRDefault="00A31137" w:rsidP="00A31137">
      <w:r w:rsidRPr="00A31137">
        <w:t>1984 Republican Platform, p.64</w:t>
      </w:r>
    </w:p>
    <w:p w:rsidR="00A31137" w:rsidRPr="00A31137" w:rsidRDefault="00A31137" w:rsidP="00A31137">
      <w:r w:rsidRPr="00A31137">
        <w:t>The Reagan-Bush Administration has elevated the stature of public diplomacy in the councils of government and increased the United States Information Agency budget by 44 percent in four years. New programs have been launched in television, citizen exchanges, and dissemination of written information. The National Endowment for Democracy has enlisted the talent of private American institutions, including the AFL-CIO and the U.S. Chamber of Commerce, to educate our friends overseas in the ways of democratic institutions. A sustained billion-dollar effort is modernizing and expanding the Voice of America, strengthening the Voice's signal, lengthening its broadcasts, improving its content, adding new language services and replacing antiquated equipment. Radio Marti, the new broadcast service to Cuba, will begin to broadcast the truth about Cuba to the Cuban people.</w:t>
      </w:r>
    </w:p>
    <w:p w:rsidR="00A31137" w:rsidRPr="00A31137" w:rsidRDefault="00A31137" w:rsidP="00A31137">
      <w:r w:rsidRPr="00A31137">
        <w:t>1984 Republican Platform, p.64</w:t>
      </w:r>
    </w:p>
    <w:p w:rsidR="00A31137" w:rsidRPr="00A31137" w:rsidRDefault="00A31137" w:rsidP="00A31137">
      <w:r w:rsidRPr="00A31137">
        <w:t>Initial steps have been taken to improve the capabilities of Radio Free Europe and Radio Liberty, which serve the captive nations of the Soviet bloc. We pledge to carry out a thorough improvement program for these radios, including new transmitters and other means of penetrating the jamming which denies the RFE/RL signal to millions of captive people, including the increasingly discontented Soviet minorities, behind the Iron Curtain.</w:t>
      </w:r>
    </w:p>
    <w:p w:rsidR="00A31137" w:rsidRPr="00A31137" w:rsidRDefault="00A31137" w:rsidP="00A31137">
      <w:r w:rsidRPr="00A31137">
        <w:t>1984 Republican Platform, p.64</w:t>
      </w:r>
    </w:p>
    <w:p w:rsidR="00A31137" w:rsidRPr="00A31137" w:rsidRDefault="00A31137" w:rsidP="00A31137">
      <w:r w:rsidRPr="00A31137">
        <w:t>Because of the importance we place on people-to-people exchange programs, Republicans support the dedicated work  of Peace Corps [p.65] volunteers. America must nurture good relations not only with foreign governments but with other peoples as well. By encouraging the free flow of ideas and information, America is helping to build the infrastructure of democracy and demonstrating the strength of our belief in the democratic example. The United States Peace Corps, reflecting traditional American values, will follow the White House initiative promoting free enterprise development overseas in third world countries.</w:t>
      </w:r>
    </w:p>
    <w:p w:rsidR="00A31137" w:rsidRPr="00A31137" w:rsidRDefault="00A31137" w:rsidP="00A31137">
      <w:r w:rsidRPr="00A31137">
        <w:t>1984 Republican Platform, p.65</w:t>
      </w:r>
    </w:p>
    <w:p w:rsidR="00A31137" w:rsidRPr="00A31137" w:rsidRDefault="00A31137" w:rsidP="00A31137">
      <w:r w:rsidRPr="00A31137">
        <w:t>The tradition of addressing the world's peoples, advocating the principles and goals of democracy and freedom, is as old as our Republic. Thomas Jefferson wrote the Declaration of Independence "with a decent respect to the opinions of mankind." This popular advocacy is even more important today in the global struggle between totalitarianism and freedom.</w:t>
      </w:r>
    </w:p>
    <w:p w:rsidR="00A31137" w:rsidRPr="00A31137" w:rsidRDefault="00A31137" w:rsidP="00A31137">
      <w:r w:rsidRPr="00A31137">
        <w:t>The Future of Our National Security</w:t>
      </w:r>
    </w:p>
    <w:p w:rsidR="00A31137" w:rsidRPr="00A31137" w:rsidRDefault="00A31137" w:rsidP="00A31137">
      <w:r w:rsidRPr="00A31137">
        <w:t>1984 Republican Platform, p.65</w:t>
      </w:r>
    </w:p>
    <w:p w:rsidR="00A31137" w:rsidRPr="00A31137" w:rsidRDefault="00A31137" w:rsidP="00A31137">
      <w:r w:rsidRPr="00A31137">
        <w:t>Republicans look to the future with confidence that we have the will, the weapons, and the technology to preserve America as the land of the free and the home of the brave. We stand united with President Reagan in his hope that American scientists and engineers can produce the technology and the hardware to make nuclear war obsolete.</w:t>
      </w:r>
    </w:p>
    <w:p w:rsidR="00A31137" w:rsidRPr="00A31137" w:rsidRDefault="00A31137" w:rsidP="00A31137">
      <w:r w:rsidRPr="00A31137">
        <w:t>1984 Republican Platform, p.65</w:t>
      </w:r>
    </w:p>
    <w:p w:rsidR="00A31137" w:rsidRPr="00A31137" w:rsidRDefault="00A31137" w:rsidP="00A31137">
      <w:r w:rsidRPr="00A31137">
        <w:t>The prospect for peace is excellent because America is strong again. America's defenses have only one purpose: to assure that our people and free institutions survive and flourish.</w:t>
      </w:r>
    </w:p>
    <w:p w:rsidR="00A31137" w:rsidRPr="00A31137" w:rsidRDefault="00A31137" w:rsidP="00A31137">
      <w:r w:rsidRPr="00A31137">
        <w:t>1984 Republican Platform, p.65</w:t>
      </w:r>
    </w:p>
    <w:p w:rsidR="00A31137" w:rsidRPr="00A31137" w:rsidRDefault="00A31137" w:rsidP="00A31137">
      <w:r w:rsidRPr="00A31137">
        <w:t>Our security requires both the capability to defend against aggression and the will to do so. Together, will and capability deter aggression. That is why the danger of war has grown more remote under President Reagan.</w:t>
      </w:r>
    </w:p>
    <w:p w:rsidR="00A31137" w:rsidRPr="00A31137" w:rsidRDefault="00A31137" w:rsidP="00A31137">
      <w:r w:rsidRPr="00A31137">
        <w:t>1984 Republican Platform, p.65</w:t>
      </w:r>
    </w:p>
    <w:p w:rsidR="00A31137" w:rsidRPr="00A31137" w:rsidRDefault="00A31137" w:rsidP="00A31137">
      <w:r w:rsidRPr="00A31137">
        <w:t>When he took office, defense policy was in disarray. The Carter-Mondale Administration had diminished our military capability and had confused the pursuit of peace with accommodating totalitarianism. It could not respond to the determined growth of Soviet military power and a more aggressive Soviet foreign policy.</w:t>
      </w:r>
    </w:p>
    <w:p w:rsidR="00A31137" w:rsidRPr="00A31137" w:rsidRDefault="00A31137" w:rsidP="00A31137">
      <w:r w:rsidRPr="00A31137">
        <w:t>1984 Republican Platform, p.65</w:t>
      </w:r>
    </w:p>
    <w:p w:rsidR="00A31137" w:rsidRPr="00A31137" w:rsidRDefault="00A31137" w:rsidP="00A31137">
      <w:r w:rsidRPr="00A31137">
        <w:t>We are proud of a strong America. Our military strength exists for the high moral purpose of deterring conflict, not initiating war. The deterrence of aggression is ethically imperative. That is why we have restored America's defense capability and renewed our country's will. Americans are again proud to serve in the Armed Forces and proud of those who serve.</w:t>
      </w:r>
    </w:p>
    <w:p w:rsidR="00A31137" w:rsidRPr="00A31137" w:rsidRDefault="00A31137" w:rsidP="00A31137">
      <w:r w:rsidRPr="00A31137">
        <w:t>1984 Republican Platform, p.65</w:t>
      </w:r>
    </w:p>
    <w:p w:rsidR="00A31137" w:rsidRPr="00A31137" w:rsidRDefault="00A31137" w:rsidP="00A31137">
      <w:r w:rsidRPr="00A31137">
        <w:t xml:space="preserve">We reaffirm the principle that the national security policy of the United States should be based upon a strategy of peace through strength, a goal of the 1980 Republican Platform. [p.66] </w:t>
      </w:r>
    </w:p>
    <w:p w:rsidR="00A31137" w:rsidRPr="00A31137" w:rsidRDefault="00A31137" w:rsidP="00A31137">
      <w:r w:rsidRPr="00A31137">
        <w:t>1984 Republican Platform, p.66</w:t>
      </w:r>
    </w:p>
    <w:p w:rsidR="00A31137" w:rsidRPr="00A31137" w:rsidRDefault="00A31137" w:rsidP="00A31137">
      <w:r w:rsidRPr="00A31137">
        <w:t>Maintaining a technological superiority, the historical foundation of our policy of deterrence, remains essential. In other areas, such as our maritime forces, we should continue to strive for qualitative superiority.</w:t>
      </w:r>
    </w:p>
    <w:p w:rsidR="00A31137" w:rsidRPr="00A31137" w:rsidRDefault="00A31137" w:rsidP="00A31137">
      <w:r w:rsidRPr="00A31137">
        <w:t>1984 Republican Platform, p.66</w:t>
      </w:r>
    </w:p>
    <w:p w:rsidR="00A31137" w:rsidRPr="00A31137" w:rsidRDefault="00A31137" w:rsidP="00A31137">
      <w:r w:rsidRPr="00A31137">
        <w:t>President Reagan committed our nation to a modernized strategic and theater nuclear force sufficient to deter attack against the United States and our allies, while pursuing negotiations for balanced, verifiable reductions of nuclear weapons under arms control agreements.</w:t>
      </w:r>
    </w:p>
    <w:p w:rsidR="00A31137" w:rsidRPr="00A31137" w:rsidRDefault="00A31137" w:rsidP="00A31137">
      <w:r w:rsidRPr="00A31137">
        <w:t>1984 Republican Platform, p.66</w:t>
      </w:r>
    </w:p>
    <w:p w:rsidR="00A31137" w:rsidRPr="00A31137" w:rsidRDefault="00A31137" w:rsidP="00A31137">
      <w:r w:rsidRPr="00A31137">
        <w:t>In order to deter, we must be sufficiently strong to convince a potential adversary that under no circumstances would it be to its advantage to initiate conflict at any level.</w:t>
      </w:r>
    </w:p>
    <w:p w:rsidR="00A31137" w:rsidRPr="00A31137" w:rsidRDefault="00A31137" w:rsidP="00A31137">
      <w:r w:rsidRPr="00A31137">
        <w:t>1984 Republican Platform, p.66</w:t>
      </w:r>
    </w:p>
    <w:p w:rsidR="00A31137" w:rsidRPr="00A31137" w:rsidRDefault="00A31137" w:rsidP="00A31137">
      <w:r w:rsidRPr="00A31137">
        <w:t>We pledge to do everything necessary so that, in case of conflict, the United States would clearly prevail.</w:t>
      </w:r>
    </w:p>
    <w:p w:rsidR="00A31137" w:rsidRPr="00A31137" w:rsidRDefault="00A31137" w:rsidP="00A31137">
      <w:r w:rsidRPr="00A31137">
        <w:t>1984 Republican Platform, p.66</w:t>
      </w:r>
    </w:p>
    <w:p w:rsidR="00A31137" w:rsidRPr="00A31137" w:rsidRDefault="00A31137" w:rsidP="00A31137">
      <w:r w:rsidRPr="00A31137">
        <w:t>We will continue to modernize our deterrent capability, while negotiating for verifiable arms control. We will continue the policies that have given fresh confidence and new hope to freedom-loving people everywhere.</w:t>
      </w:r>
    </w:p>
    <w:p w:rsidR="00A31137" w:rsidRPr="00A31137" w:rsidRDefault="00A31137" w:rsidP="00A31137">
      <w:r w:rsidRPr="00A31137">
        <w:t>Arms Control for the Future</w:t>
      </w:r>
    </w:p>
    <w:p w:rsidR="00A31137" w:rsidRPr="00A31137" w:rsidRDefault="00A31137" w:rsidP="00A31137">
      <w:r w:rsidRPr="00A31137">
        <w:t>1984 Republican Platform, p.66</w:t>
      </w:r>
    </w:p>
    <w:p w:rsidR="00A31137" w:rsidRPr="00A31137" w:rsidRDefault="00A31137" w:rsidP="00A31137">
      <w:r w:rsidRPr="00A31137">
        <w:t>Americans, while caring deeply about arms control, realize that it is not an end in itself, but can be a major component of a foreign and defense policy which keeps America free, strong, and independent.</w:t>
      </w:r>
    </w:p>
    <w:p w:rsidR="00A31137" w:rsidRPr="00A31137" w:rsidRDefault="00A31137" w:rsidP="00A31137">
      <w:r w:rsidRPr="00A31137">
        <w:t>1984 Republican Platform, p.66</w:t>
      </w:r>
    </w:p>
    <w:p w:rsidR="00A31137" w:rsidRPr="00A31137" w:rsidRDefault="00A31137" w:rsidP="00A31137">
      <w:r w:rsidRPr="00A31137">
        <w:t>Sharing the American people's realistic view of the Soviet Union, the Reagan Administration has pursued arms control agreements that would reduce the level of nuclear weaponry possessed by the superpowers. President Reagan has negotiated with flexibility, and always from a position of strength.</w:t>
      </w:r>
    </w:p>
    <w:p w:rsidR="00A31137" w:rsidRPr="00A31137" w:rsidRDefault="00A31137" w:rsidP="00A31137">
      <w:r w:rsidRPr="00A31137">
        <w:t>1984 Republican Platform, p.66</w:t>
      </w:r>
    </w:p>
    <w:p w:rsidR="00A31137" w:rsidRPr="00A31137" w:rsidRDefault="00A31137" w:rsidP="00A31137">
      <w:r w:rsidRPr="00A31137">
        <w:t>In the European theater, President Reagan proposed the complete elimination of intermediate-range nuclear missiles. In the START talks with the Soviet Union, he proposed the "build-down" which would eliminate from the U.S. and Soviet arsenals two existing nuclear warheads for each new warhead.</w:t>
      </w:r>
    </w:p>
    <w:p w:rsidR="00A31137" w:rsidRPr="00A31137" w:rsidRDefault="00A31137" w:rsidP="00A31137">
      <w:r w:rsidRPr="00A31137">
        <w:t>1984 Republican Platform, p.66</w:t>
      </w:r>
    </w:p>
    <w:p w:rsidR="00A31137" w:rsidRPr="00A31137" w:rsidRDefault="00A31137" w:rsidP="00A31137">
      <w:r w:rsidRPr="00A31137">
        <w:t xml:space="preserve">The Soviet Union has rejected every invitation by President Reagan to resume talks, refusing to return unless we remove the Pershing II and Cruise missiles which we have placed in Europe at the request of our NATO allies. Soviet intransigence is designed to force concessions from the United States even before negotiations begin. We will not succumb to this strategy. The Soviet Union will return to the bargaining table only when it recognizes that the United States will not make unilateral concessions or allow the Soviet Union to achieve nuclear superiority. [p.67] </w:t>
      </w:r>
    </w:p>
    <w:p w:rsidR="00A31137" w:rsidRPr="00A31137" w:rsidRDefault="00A31137" w:rsidP="00A31137">
      <w:r w:rsidRPr="00A31137">
        <w:t>1984 Republican Platform, p.67</w:t>
      </w:r>
    </w:p>
    <w:p w:rsidR="00A31137" w:rsidRPr="00A31137" w:rsidRDefault="00A31137" w:rsidP="00A31137">
      <w:r w:rsidRPr="00A31137">
        <w:t>The Soviet Union, by engaging in a sustained pattern of violations of arms control agreements, has cast severe doubt on its own willingness to negotiate and comply with new agreements in a spirit of good faith. Agreements violated by the Soviet Union include SALT, the Anti-Ballistic Missile Treaty of 1972, the Helsinki Accords, and the Biological and Toxin Weapons Convention of 1972. This pattern of Soviet behavior is clearly designed to obtain a Soviet strategic advantage.</w:t>
      </w:r>
    </w:p>
    <w:p w:rsidR="00A31137" w:rsidRPr="00A31137" w:rsidRDefault="00A31137" w:rsidP="00A31137">
      <w:r w:rsidRPr="00A31137">
        <w:t>1984 Republican Platform, p.67</w:t>
      </w:r>
    </w:p>
    <w:p w:rsidR="00A31137" w:rsidRPr="00A31137" w:rsidRDefault="00A31137" w:rsidP="00A31137">
      <w:r w:rsidRPr="00A31137">
        <w:t>To deter Soviet violations of arms control agreements, the United States must maintain the capability to verify, display a willingness to respond to Soviet violations which have military significance, and adopt a policy whereby the defense of the United States is not constrained by arms control agreements violated by the Soviet Union.</w:t>
      </w:r>
    </w:p>
    <w:p w:rsidR="00A31137" w:rsidRPr="00A31137" w:rsidRDefault="00A31137" w:rsidP="00A31137">
      <w:r w:rsidRPr="00A31137">
        <w:t>1984 Republican Platform, p.67</w:t>
      </w:r>
    </w:p>
    <w:p w:rsidR="00A31137" w:rsidRPr="00A31137" w:rsidRDefault="00A31137" w:rsidP="00A31137">
      <w:r w:rsidRPr="00A31137">
        <w:t>We support the President's efforts to curb the spread of nuclear weapons and to improve international controls and safeguards over sensitive nuclear technologies. The President's non-proliferation policy has emphasized results, rather than rhetoric, as symbolized by the successful meeting of nuclear supplier states in Luxembourg in July of this year. We endorse the President's initiative on comprehensive safeguards and his efforts to encourage other supplier states to support such measures.</w:t>
      </w:r>
    </w:p>
    <w:p w:rsidR="00A31137" w:rsidRPr="00A31137" w:rsidRDefault="00A31137" w:rsidP="00A31137">
      <w:r w:rsidRPr="00A31137">
        <w:t>Defense Resources</w:t>
      </w:r>
    </w:p>
    <w:p w:rsidR="00A31137" w:rsidRPr="00A31137" w:rsidRDefault="00A31137" w:rsidP="00A31137">
      <w:r w:rsidRPr="00A31137">
        <w:t>1984 Republican Platform, p.67</w:t>
      </w:r>
    </w:p>
    <w:p w:rsidR="00A31137" w:rsidRPr="00A31137" w:rsidRDefault="00A31137" w:rsidP="00A31137">
      <w:r w:rsidRPr="00A31137">
        <w:t>The first duty of government is to provide for the common defense. That solemn responsibility was neglected during the Carter-Mondale years. At the end of the Eisenhower era, nearly 48 percent of the federal budget was devoted to defense programs, representing 9.1 percent of our gross national product. By 1980, under Carter-Mondale, defense spending had fallen to only 5 percent of gross national product and represented only 24 percent of the federal budget. The Reagan Administration has begun to correct the weaknesses caused by that situation by prudently increasing defense resources. We must continue to devote the resources essential to deter a Soviet threat—a threat which has grown and should be met by an improved and modernized U.S. defense capability. Even so, the percentage of the Reagan Administration budget spent on defense is only about half that of the Eisenhower-Kennedy era.</w:t>
      </w:r>
    </w:p>
    <w:p w:rsidR="00A31137" w:rsidRPr="00A31137" w:rsidRDefault="00A31137" w:rsidP="00A31137">
      <w:r w:rsidRPr="00A31137">
        <w:t>Readiness</w:t>
      </w:r>
    </w:p>
    <w:p w:rsidR="00A31137" w:rsidRPr="00A31137" w:rsidRDefault="00A31137" w:rsidP="00A31137">
      <w:r w:rsidRPr="00A31137">
        <w:t>1984 Republican Platform, p.67</w:t>
      </w:r>
    </w:p>
    <w:p w:rsidR="00A31137" w:rsidRPr="00A31137" w:rsidRDefault="00A31137" w:rsidP="00A31137">
      <w:r w:rsidRPr="00A31137">
        <w:t>In 1980, our military forces were not ready to perform their missions in the event of emergency. Many planes could not fly for lack of spare parts; ships could not sail for lack of skilled personnel; supplies were [p.68] insufficient for essential training or sustained combat. Today, readiness and sustainability have improved dramatically. We not only have more equipment, but it is in operating condition. Our military personnel have better training, pride, and confidence. We have improved their pay and benefits. Recruiting and retaining competent personnel is no longer a problem.</w:t>
      </w:r>
    </w:p>
    <w:p w:rsidR="00A31137" w:rsidRPr="00A31137" w:rsidRDefault="00A31137" w:rsidP="00A31137">
      <w:r w:rsidRPr="00A31137">
        <w:t>1984 Republican Platform, p.68</w:t>
      </w:r>
    </w:p>
    <w:p w:rsidR="00A31137" w:rsidRPr="00A31137" w:rsidRDefault="00A31137" w:rsidP="00A31137">
      <w:r w:rsidRPr="00A31137">
        <w:t>Under the Democrats, the All-Volunteer Force was headed for disastrous failure. Because of the Carter-Mondale intransigence on military pay and benefits, we saw the shameful spectacle of patriotic service families being forced below the poverty level, relying on food stamps and other welfare programs. The quality of life for our military has been substantially improved under the Reagan Administration. We wholeheartedly support the all-volunteer armed force and are proud of our historic initiative to bring it to pass.</w:t>
      </w:r>
    </w:p>
    <w:p w:rsidR="00A31137" w:rsidRPr="00A31137" w:rsidRDefault="00A31137" w:rsidP="00A31137">
      <w:r w:rsidRPr="00A31137">
        <w:t>1984 Republican Platform, p.68</w:t>
      </w:r>
    </w:p>
    <w:p w:rsidR="00A31137" w:rsidRPr="00A31137" w:rsidRDefault="00A31137" w:rsidP="00A31137">
      <w:r w:rsidRPr="00A31137">
        <w:t>From the worst levels of retention and recruiting in post-war history in 1979, we have moved to the highest ever recorded. We are meeting 100 percent of our recruiting needs, and 92 percent of our recruits are high school graduates capable of mastering the skills needed in the modern armed services. In 1980, 13 percent of our ships and 25 percent of our aircraft squadrons reported themselves not combat ready because of personnel shortages. Today, those figures have dropped to less than 1 percent and 4 percent respectively.</w:t>
      </w:r>
    </w:p>
    <w:p w:rsidR="00A31137" w:rsidRPr="00A31137" w:rsidRDefault="00A31137" w:rsidP="00A31137">
      <w:r w:rsidRPr="00A31137">
        <w:t>1984 Republican Platform, p.68</w:t>
      </w:r>
    </w:p>
    <w:p w:rsidR="00A31137" w:rsidRPr="00A31137" w:rsidRDefault="00A31137" w:rsidP="00A31137">
      <w:r w:rsidRPr="00A31137">
        <w:t>Today, the United States leads the world in integrating women into the military. They serve in a variety of non-combat assignments. We have made significant strides in numbers of women and their level of responsibility. Female officer strength has grown by 24 percent under the Reagan Administration and is projected to increase, with even greater increases for non-commissioned officers.</w:t>
      </w:r>
    </w:p>
    <w:p w:rsidR="00A31137" w:rsidRPr="00A31137" w:rsidRDefault="00A31137" w:rsidP="00A31137">
      <w:r w:rsidRPr="00A31137">
        <w:t>Conventional and Strategic Modernization</w:t>
      </w:r>
    </w:p>
    <w:p w:rsidR="00A31137" w:rsidRPr="00A31137" w:rsidRDefault="00A31137" w:rsidP="00A31137">
      <w:r w:rsidRPr="00A31137">
        <w:t>1984 Republican Platform, p.68</w:t>
      </w:r>
    </w:p>
    <w:p w:rsidR="00A31137" w:rsidRPr="00A31137" w:rsidRDefault="00A31137" w:rsidP="00A31137">
      <w:r w:rsidRPr="00A31137">
        <w:t>In 1980, we had a "hollow Army," a Navy half its numbers of a decade earlier, and an Air Force badly in need of upgrading. The Army is now receiving the most modern tanks, fighting vehicles, and artillery. The Navy has grown to 513 ships with 79 more under construction this year, well on its way toward the 600-ship, 15-carrier force necessary for our maritime strategy. The Air Force has procured advanced tactical aircraft. By decade's end, our intertheater lift capacity will have increased by 75 percent. We pledge to rescue a shipbuilding industry consigned to extinction by the Carter-Mondale team.</w:t>
      </w:r>
    </w:p>
    <w:p w:rsidR="00A31137" w:rsidRPr="00A31137" w:rsidRDefault="00A31137" w:rsidP="00A31137">
      <w:r w:rsidRPr="00A31137">
        <w:t>1984 Republican Platform, p.68</w:t>
      </w:r>
    </w:p>
    <w:p w:rsidR="00A31137" w:rsidRPr="00A31137" w:rsidRDefault="00A31137" w:rsidP="00A31137">
      <w:r w:rsidRPr="00A31137">
        <w:t xml:space="preserve">Since the end of World War II, America's nuclear arsenal has caused the Soviet Union to exercise caution to avoid direct military confrontation with us and our close allies. [p.69] </w:t>
      </w:r>
    </w:p>
    <w:p w:rsidR="00A31137" w:rsidRPr="00A31137" w:rsidRDefault="00A31137" w:rsidP="00A31137">
      <w:r w:rsidRPr="00A31137">
        <w:t>1984 Republican Platform, p.69</w:t>
      </w:r>
    </w:p>
    <w:p w:rsidR="00A31137" w:rsidRPr="00A31137" w:rsidRDefault="00A31137" w:rsidP="00A31137">
      <w:r w:rsidRPr="00A31137">
        <w:t>Our nuclear arms are a vital element of the Free World's security system.</w:t>
      </w:r>
    </w:p>
    <w:p w:rsidR="00A31137" w:rsidRPr="00A31137" w:rsidRDefault="00A31137" w:rsidP="00A31137">
      <w:r w:rsidRPr="00A31137">
        <w:t>1984 Republican Platform, p.69</w:t>
      </w:r>
    </w:p>
    <w:p w:rsidR="00A31137" w:rsidRPr="00A31137" w:rsidRDefault="00A31137" w:rsidP="00A31137">
      <w:r w:rsidRPr="00A31137">
        <w:t>Throughout the 1970s and up to the present, the Soviet Union has engaged in a vast buildup of nuclear arms. In the naive hope that unilateral restraint by the United States would cause the Soviet Union to reverse course, the Carter-Mondale Administration delayed significant major features of the strategic modernization our country needed. There was no arms race because only the Soviet Union was racing, determined to to achieve an intimidating advantage over the Free World. As a result, in 1980, America was moving toward a position of clear nuclear inferiority to the Soviets.</w:t>
      </w:r>
    </w:p>
    <w:p w:rsidR="00A31137" w:rsidRPr="00A31137" w:rsidRDefault="00A31137" w:rsidP="00A31137">
      <w:r w:rsidRPr="00A31137">
        <w:t>1984 Republican Platform, p.69</w:t>
      </w:r>
    </w:p>
    <w:p w:rsidR="00A31137" w:rsidRPr="00A31137" w:rsidRDefault="00A31137" w:rsidP="00A31137">
      <w:r w:rsidRPr="00A31137">
        <w:t>President Reagan moved swiftly to reverse this alarming situation and to reestablish an effective margin of safety before 1990. Despite obstruction from many congressional Democrats, we have restored the credibility of our deterrent.</w:t>
      </w:r>
    </w:p>
    <w:p w:rsidR="00A31137" w:rsidRPr="00A31137" w:rsidRDefault="00A31137" w:rsidP="00A31137">
      <w:r w:rsidRPr="00A31137">
        <w:t>Reserve and Guard Forces</w:t>
      </w:r>
    </w:p>
    <w:p w:rsidR="00A31137" w:rsidRPr="00A31137" w:rsidRDefault="00A31137" w:rsidP="00A31137">
      <w:r w:rsidRPr="00A31137">
        <w:t>1984 Republican Platform, p.69</w:t>
      </w:r>
    </w:p>
    <w:p w:rsidR="00A31137" w:rsidRPr="00A31137" w:rsidRDefault="00A31137" w:rsidP="00A31137">
      <w:r w:rsidRPr="00A31137">
        <w:t>We salute the men and women of the National Guard and the Reserves. The Carter-Mondale team completely neglected our vital Reserve and Guard forces, leaving them with obsolete equipment, frozen pay, and thousands of vacancies.</w:t>
      </w:r>
    </w:p>
    <w:p w:rsidR="00A31137" w:rsidRPr="00A31137" w:rsidRDefault="00A31137" w:rsidP="00A31137">
      <w:r w:rsidRPr="00A31137">
        <w:t>1984 Republican Platform, p.69</w:t>
      </w:r>
    </w:p>
    <w:p w:rsidR="00A31137" w:rsidRPr="00A31137" w:rsidRDefault="00A31137" w:rsidP="00A31137">
      <w:r w:rsidRPr="00A31137">
        <w:t>The Reagan Administration has transformed our Reserve and National Guard. The Naval Reserve will ultimately operate 40 of the fleet's 600 ships. Navy and Marine Air Reserve units now receive the most modern aircraft, as do the Air Force Reserve and Guard. Army Reserve and Guard units now receive the latest tanks, infantry fighting vehicles, and artillery. Reserve pay has increased 30 percent, and reserve components are having record success in filling their positions. Our country counts on the Reserves and the Guard, and they can count on us.</w:t>
      </w:r>
    </w:p>
    <w:p w:rsidR="00A31137" w:rsidRPr="00A31137" w:rsidRDefault="00A31137" w:rsidP="00A31137">
      <w:r w:rsidRPr="00A31137">
        <w:t>Management Reform</w:t>
      </w:r>
    </w:p>
    <w:p w:rsidR="00A31137" w:rsidRPr="00A31137" w:rsidRDefault="00A31137" w:rsidP="00A31137">
      <w:r w:rsidRPr="00A31137">
        <w:t>1984 Republican Platform, p.69</w:t>
      </w:r>
    </w:p>
    <w:p w:rsidR="00A31137" w:rsidRPr="00A31137" w:rsidRDefault="00A31137" w:rsidP="00A31137">
      <w:r w:rsidRPr="00A31137">
        <w:t>The Republican Party advocates a strong defense and fiscal responsibility at the same time. This Administration has already made major advances in eliminating the deep-rooted procurement problems we inherited. Republicans have changed the way the Pentagon does business, encouraging greater economy and efficiency, stretching the taxpayer's dollar.</w:t>
      </w:r>
    </w:p>
    <w:p w:rsidR="00A31137" w:rsidRPr="00A31137" w:rsidRDefault="00A31137" w:rsidP="00A31137">
      <w:r w:rsidRPr="00A31137">
        <w:t>1984 Republican Platform, p.69</w:t>
      </w:r>
    </w:p>
    <w:p w:rsidR="00A31137" w:rsidRPr="00A31137" w:rsidRDefault="00A31137" w:rsidP="00A31137">
      <w:r w:rsidRPr="00A31137">
        <w:t>Learning nothing from past mistakes, the Carter-Mondale Administration returned to centralized defense management.  The predictable [p.70] result: competition fell to only 15 percent of Pentagon procurement; programs were mired in disastrous cost overruns and disputes; outrageous and exorbitant prices were paid for spare parts; and the taxpayers' money was wasted on a grand scale.</w:t>
      </w:r>
    </w:p>
    <w:p w:rsidR="00A31137" w:rsidRPr="00A31137" w:rsidRDefault="00A31137" w:rsidP="00A31137">
      <w:r w:rsidRPr="00A31137">
        <w:t>1984 Republican Platform, p.70</w:t>
      </w:r>
    </w:p>
    <w:p w:rsidR="00A31137" w:rsidRPr="00A31137" w:rsidRDefault="00A31137" w:rsidP="00A31137">
      <w:r w:rsidRPr="00A31137">
        <w:t>We have tackled this problem head-on. We returned management to the Services and began far-reaching reforms. To hold down costs, we more than doubled competition in Pentagon procurement. We appointed Competition Advocate Generals in each Service and an overall Inspector General for the Pentagon. We increased incentives for excellent performance by contractors, and we have applied immediate penalty for poor performance. Our innovative approaches have already saved the taxpayers billions of dollars.</w:t>
      </w:r>
    </w:p>
    <w:p w:rsidR="00A31137" w:rsidRPr="00A31137" w:rsidRDefault="00A31137" w:rsidP="00A31137">
      <w:r w:rsidRPr="00A31137">
        <w:t>1984 Republican Platform, p.70</w:t>
      </w:r>
    </w:p>
    <w:p w:rsidR="00A31137" w:rsidRPr="00A31137" w:rsidRDefault="00A31137" w:rsidP="00A31137">
      <w:r w:rsidRPr="00A31137">
        <w:t>Spare parts acquisition has undergone thorough reform. Improving spare parts management, involving a Department of Defense inventory of almost four million items, is a complex and massive management challenge. The Pentagon's new 10-point program is already working. Old contracts are being revamped to allow competition, high prices are being challenged, and rigorous audits are continuing. As an example, a stool cap for a navigator's chair, once priced at $1,100, was challenged by an alert Air Force Sergeant. It now costs us 31 cents. The Pentagon obtained a full refund and gave the Sergeant a cash reward.</w:t>
      </w:r>
    </w:p>
    <w:p w:rsidR="00A31137" w:rsidRPr="00A31137" w:rsidRDefault="00A31137" w:rsidP="00A31137">
      <w:r w:rsidRPr="00A31137">
        <w:t>1984 Republican Platform, p.70</w:t>
      </w:r>
    </w:p>
    <w:p w:rsidR="00A31137" w:rsidRPr="00A31137" w:rsidRDefault="00A31137" w:rsidP="00A31137">
      <w:r w:rsidRPr="00A31137">
        <w:t>Our men and women in uniform deserve the best and most reliable weapons that this country can offer. We must improve the reliability and performance of our weapons systems, and warranties can be a very positive contribution to defense procurement practices, as can be the independent office of operational testing and evaluation, which was another positive Republican initiative.</w:t>
      </w:r>
    </w:p>
    <w:p w:rsidR="00A31137" w:rsidRPr="00A31137" w:rsidRDefault="00A31137" w:rsidP="00A31137">
      <w:r w:rsidRPr="00A31137">
        <w:t>1984 Republican Platform, p.70</w:t>
      </w:r>
    </w:p>
    <w:p w:rsidR="00A31137" w:rsidRPr="00A31137" w:rsidRDefault="00A31137" w:rsidP="00A31137">
      <w:r w:rsidRPr="00A31137">
        <w:t>The acquisition improvement program now includes program stability, multi-year procurement, economic production rates, realistic budgeting, and increased competition. The B-1B bomber, replacing our aging B-52 force, is ahead of schedule and under cost. We support our anti-submarine warfare effort and urge its funding at its current level. For the last two years, the Navy has received nearly 50 ships more than three years ahead of schedule and nearly $1 billion under budget. The U.S.S. Theodore Roosevelt, our newest aircraft carrier, is 17 months ahead of schedule and almost $74 million under cost.</w:t>
      </w:r>
    </w:p>
    <w:p w:rsidR="00A31137" w:rsidRPr="00A31137" w:rsidRDefault="00A31137" w:rsidP="00A31137">
      <w:r w:rsidRPr="00A31137">
        <w:t>1984 Republican Platform, p.70</w:t>
      </w:r>
    </w:p>
    <w:p w:rsidR="00A31137" w:rsidRPr="00A31137" w:rsidRDefault="00A31137" w:rsidP="00A31137">
      <w:r w:rsidRPr="00A31137">
        <w:t xml:space="preserve">We have reformed inefficient procurement practices established decades ago, and we will continue to ensure the most gain from each defense dollar. [p.71] </w:t>
      </w:r>
    </w:p>
    <w:p w:rsidR="00A31137" w:rsidRPr="00A31137" w:rsidRDefault="00A31137" w:rsidP="00A31137">
      <w:r w:rsidRPr="00A31137">
        <w:t>The Tasks Ahead</w:t>
      </w:r>
    </w:p>
    <w:p w:rsidR="00A31137" w:rsidRPr="00A31137" w:rsidRDefault="00A31137" w:rsidP="00A31137">
      <w:r w:rsidRPr="00A31137">
        <w:t>1984 Republican Platform, p.71</w:t>
      </w:r>
    </w:p>
    <w:p w:rsidR="00A31137" w:rsidRPr="00A31137" w:rsidRDefault="00A31137" w:rsidP="00A31137">
      <w:r w:rsidRPr="00A31137">
        <w:t>The damage to our defenses through unilateral disarmament cannot be repaired quickly. The hollow Army of the Carter-Mondale Administration is hollow no more, and our Navy is moving toward a 600-ship force.</w:t>
      </w:r>
    </w:p>
    <w:p w:rsidR="00A31137" w:rsidRPr="00A31137" w:rsidRDefault="00A31137" w:rsidP="00A31137">
      <w:r w:rsidRPr="00A31137">
        <w:t>1984 Republican Platform, p.71</w:t>
      </w:r>
    </w:p>
    <w:p w:rsidR="00A31137" w:rsidRPr="00A31137" w:rsidRDefault="00A31137" w:rsidP="00A31137">
      <w:r w:rsidRPr="00A31137">
        <w:t>We share President Reagan's determination to restore credible security for our country. Our choice is not between a strong defense or a strong economy; we must succeed in both, or we will succeed in neither.</w:t>
      </w:r>
    </w:p>
    <w:p w:rsidR="00A31137" w:rsidRPr="00A31137" w:rsidRDefault="00A31137" w:rsidP="00A31137">
      <w:r w:rsidRPr="00A31137">
        <w:t>1984 Republican Platform, p.71</w:t>
      </w:r>
    </w:p>
    <w:p w:rsidR="00A31137" w:rsidRPr="00A31137" w:rsidRDefault="00A31137" w:rsidP="00A31137">
      <w:r w:rsidRPr="00A31137">
        <w:t>Our forces must be second to none, and we condemn the notion that one-sided military reduction will induce the Soviets to seek peace. Our military strength not only provides the deterrent necessary for a more peaceful world, but is also the best incentive for the Soviets to agree to arms reduction.</w:t>
      </w:r>
    </w:p>
    <w:p w:rsidR="00A31137" w:rsidRPr="00A31137" w:rsidRDefault="00A31137" w:rsidP="00A31137">
      <w:r w:rsidRPr="00A31137">
        <w:t>Veterans</w:t>
      </w:r>
    </w:p>
    <w:p w:rsidR="00A31137" w:rsidRPr="00A31137" w:rsidRDefault="00A31137" w:rsidP="00A31137">
      <w:r w:rsidRPr="00A31137">
        <w:t>1984 Republican Platform, p.71</w:t>
      </w:r>
    </w:p>
    <w:p w:rsidR="00A31137" w:rsidRPr="00A31137" w:rsidRDefault="00A31137" w:rsidP="00A31137">
      <w:r w:rsidRPr="00A31137">
        <w:t>America is free because of its veterans. We owe them more than thanks. After answering the call to arms, they brought leadership and patriotism back to their communities. They are a continuing resource for America. Through their membership in veterans' service activities, they have strongly supported President Reagan's defense policy. Knowing first-hand the sacrifices of war, they have spoken out frequently for a strong national defense.</w:t>
      </w:r>
    </w:p>
    <w:p w:rsidR="00A31137" w:rsidRPr="00A31137" w:rsidRDefault="00A31137" w:rsidP="00A31137">
      <w:r w:rsidRPr="00A31137">
        <w:t>1984 Republican Platform, p.71</w:t>
      </w:r>
    </w:p>
    <w:p w:rsidR="00A31137" w:rsidRPr="00A31137" w:rsidRDefault="00A31137" w:rsidP="00A31137">
      <w:r w:rsidRPr="00A31137">
        <w:t>Veterans have earned their benefits; these must not be taken away. The help we give them is an investment which pays our nation unlimited dividends.</w:t>
      </w:r>
    </w:p>
    <w:p w:rsidR="00A31137" w:rsidRPr="00A31137" w:rsidRDefault="00A31137" w:rsidP="00A31137">
      <w:r w:rsidRPr="00A31137">
        <w:t>1984 Republican Platform, p.71</w:t>
      </w:r>
    </w:p>
    <w:p w:rsidR="00A31137" w:rsidRPr="00A31137" w:rsidRDefault="00A31137" w:rsidP="00A31137">
      <w:r w:rsidRPr="00A31137">
        <w:t>We have accomplished a great deal. We are meeting the needs of women veterans and ensuring them equal treatment. We must prepare to meet the needs of aging veterans.</w:t>
      </w:r>
    </w:p>
    <w:p w:rsidR="00A31137" w:rsidRPr="00A31137" w:rsidRDefault="00A31137" w:rsidP="00A31137">
      <w:r w:rsidRPr="00A31137">
        <w:t>1984 Republican Platform, p.71</w:t>
      </w:r>
    </w:p>
    <w:p w:rsidR="00A31137" w:rsidRPr="00A31137" w:rsidRDefault="00A31137" w:rsidP="00A31137">
      <w:r w:rsidRPr="00A31137">
        <w:t>We are addressing the unique readjustment problems of Vietnam veterans by expanding the store-front readjustment counseling program, extending vocational training and job placement assistance, and targeting research toward understanding delayed stress reaction in combat veterans. We have moved to alleviate the uncertainty of veterans exposed to Agent Orange by providing nearly 129,000 medical exams and by launching an all-out, government-wide research effort.</w:t>
      </w:r>
    </w:p>
    <w:p w:rsidR="00A31137" w:rsidRPr="00A31137" w:rsidRDefault="00A31137" w:rsidP="00A31137">
      <w:r w:rsidRPr="00A31137">
        <w:t>1984 Republican Platform, p.71</w:t>
      </w:r>
    </w:p>
    <w:p w:rsidR="00A31137" w:rsidRPr="00A31137" w:rsidRDefault="00A31137" w:rsidP="00A31137">
      <w:r w:rsidRPr="00A31137">
        <w:t xml:space="preserve">We are making major strides in improving health care for veterans. VA hospital construction has expanded to meet community needs, and benefits for disabled veterans have been improved. [p.72] </w:t>
      </w:r>
    </w:p>
    <w:p w:rsidR="00A31137" w:rsidRPr="00A31137" w:rsidRDefault="00A31137" w:rsidP="00A31137">
      <w:r w:rsidRPr="00A31137">
        <w:t>1984 Republican Platform, p.72</w:t>
      </w:r>
    </w:p>
    <w:p w:rsidR="00A31137" w:rsidRPr="00A31137" w:rsidRDefault="00A31137" w:rsidP="00A31137">
      <w:r w:rsidRPr="00A31137">
        <w:t>We will maintain the veterans' preference for federal hiring and will improve health, education, and other benefits. We support the Reagan Administration's actions to make home ownership attainable by more veterans, as well as our program to help veterans in small business compete for government contracts. We will extend to all veterans of recent conflicts, such as Lebanon and Grenada, the same assistance.</w:t>
      </w:r>
    </w:p>
    <w:p w:rsidR="00A31137" w:rsidRPr="00A31137" w:rsidRDefault="00A31137" w:rsidP="00A31137">
      <w:r w:rsidRPr="00A31137">
        <w:t>1984 Republican Platform, p.72</w:t>
      </w:r>
    </w:p>
    <w:p w:rsidR="00A31137" w:rsidRPr="00A31137" w:rsidRDefault="00A31137" w:rsidP="00A31137">
      <w:r w:rsidRPr="00A31137">
        <w:t>In recognition of the unique commitment and personal sacrifices of military spouses, President Reagan has called upon the nation to honor them and proclaimed a day of tribute. We will remember them and advance their interests.</w:t>
      </w:r>
    </w:p>
    <w:p w:rsidR="00A31137" w:rsidRPr="00A31137" w:rsidRDefault="00A31137" w:rsidP="00A31137">
      <w:r w:rsidRPr="00A31137">
        <w:t>National Intelligence</w:t>
      </w:r>
    </w:p>
    <w:p w:rsidR="00A31137" w:rsidRPr="00A31137" w:rsidRDefault="00A31137" w:rsidP="00A31137">
      <w:r w:rsidRPr="00A31137">
        <w:t>1984 Republican Platform, p.72</w:t>
      </w:r>
    </w:p>
    <w:p w:rsidR="00A31137" w:rsidRPr="00A31137" w:rsidRDefault="00A31137" w:rsidP="00A31137">
      <w:r w:rsidRPr="00A31137">
        <w:t>Knowing our adversaries' capabilities and intentions is our first line of defense. A strong intelligence community focuses our diplomacy and saves billions of defense dollars. This critical asset was gravely weakened during the Carter-Mondale years.</w:t>
      </w:r>
    </w:p>
    <w:p w:rsidR="00A31137" w:rsidRPr="00A31137" w:rsidRDefault="00A31137" w:rsidP="00A31137">
      <w:r w:rsidRPr="00A31137">
        <w:t>1984 Republican Platform, p.72</w:t>
      </w:r>
    </w:p>
    <w:p w:rsidR="00A31137" w:rsidRPr="00A31137" w:rsidRDefault="00A31137" w:rsidP="00A31137">
      <w:r w:rsidRPr="00A31137">
        <w:t>We will continue to strengthen our intelligence services. We will remove statutory obstacles to the effective management, performance, and security of intelligence sources and methods. We will further improve our ability to influence international events in support of our foreign policy objectives, and we will strengthen our counterintelligence facilities.</w:t>
      </w:r>
    </w:p>
    <w:p w:rsidR="00A31137" w:rsidRPr="00A31137" w:rsidRDefault="00A31137" w:rsidP="00A31137">
      <w:r w:rsidRPr="00A31137">
        <w:t>Strategic Trade</w:t>
      </w:r>
    </w:p>
    <w:p w:rsidR="00A31137" w:rsidRPr="00A31137" w:rsidRDefault="00A31137" w:rsidP="00A31137">
      <w:r w:rsidRPr="00A31137">
        <w:t>1984 Republican Platform, p.72</w:t>
      </w:r>
    </w:p>
    <w:p w:rsidR="00A31137" w:rsidRPr="00A31137" w:rsidRDefault="00A31137" w:rsidP="00A31137">
      <w:r w:rsidRPr="00A31137">
        <w:t>By encouraging commerce in militarily significant technology, the Carter-Mondale Administration actually improved Soviet military power. Because of that terrible error, we are now exposed to significant risk and must spend billions of defense dollars that would otherwise have been unnecessary.</w:t>
      </w:r>
    </w:p>
    <w:p w:rsidR="00A31137" w:rsidRPr="00A31137" w:rsidRDefault="00A31137" w:rsidP="00A31137">
      <w:r w:rsidRPr="00A31137">
        <w:t>1984 Republican Platform, p.72</w:t>
      </w:r>
    </w:p>
    <w:p w:rsidR="00A31137" w:rsidRPr="00A31137" w:rsidRDefault="00A31137" w:rsidP="00A31137">
      <w:r w:rsidRPr="00A31137">
        <w:t>The Reagan Administration halted the Carter-Mondale folly. We have strengthened cooperative efforts with our allies to restrict diversion of militarily critical technologies. We will increase law-enforcement and counterintelligence efforts to halt Soviet commercial espionage and illegal exploitation of our technology.</w:t>
      </w:r>
    </w:p>
    <w:p w:rsidR="00A31137" w:rsidRPr="00A31137" w:rsidRDefault="00A31137" w:rsidP="00A31137">
      <w:r w:rsidRPr="00A31137">
        <w:t>Terrorism</w:t>
      </w:r>
    </w:p>
    <w:p w:rsidR="00A31137" w:rsidRPr="00A31137" w:rsidRDefault="00A31137" w:rsidP="00A31137">
      <w:r w:rsidRPr="00A31137">
        <w:t>1984 Republican Platform, p.72</w:t>
      </w:r>
    </w:p>
    <w:p w:rsidR="00A31137" w:rsidRPr="00A31137" w:rsidRDefault="00A31137" w:rsidP="00A31137">
      <w:r w:rsidRPr="00A31137">
        <w:t>International terrorism is not a random phenomenon but a new form of warfare waged by the forces of totalitarianism against the democracies.</w:t>
      </w:r>
    </w:p>
    <w:p w:rsidR="00A31137" w:rsidRPr="00A31137" w:rsidRDefault="00A31137" w:rsidP="00A31137">
      <w:r w:rsidRPr="00A31137">
        <w:t>1984 Republican Platform, p.72</w:t>
      </w:r>
    </w:p>
    <w:p w:rsidR="00A31137" w:rsidRPr="00A31137" w:rsidRDefault="00A31137" w:rsidP="00A31137">
      <w:r w:rsidRPr="00A31137">
        <w:t>In recent years, certain states have sponsored terrorist actions in pursuit of their strategic goals. The international links  among terrorist [p.73] groups are now clearly understood; and the Soviet link, direct and indirect, is also clearly understood. The Soviets use terrorist groups to weaken democracy and undermine world stability.</w:t>
      </w:r>
    </w:p>
    <w:p w:rsidR="00A31137" w:rsidRPr="00A31137" w:rsidRDefault="00A31137" w:rsidP="00A31137">
      <w:r w:rsidRPr="00A31137">
        <w:t>1984 Republican Platform, p.73</w:t>
      </w:r>
    </w:p>
    <w:p w:rsidR="00A31137" w:rsidRPr="00A31137" w:rsidRDefault="00A31137" w:rsidP="00A31137">
      <w:r w:rsidRPr="00A31137">
        <w:t>Purely passive measures do not deter terrorists. It is time to think about appropriate preventive or pre-emptive actions against terrorist groups before they strike.</w:t>
      </w:r>
    </w:p>
    <w:p w:rsidR="00A31137" w:rsidRPr="00A31137" w:rsidRDefault="00A31137" w:rsidP="00A31137">
      <w:r w:rsidRPr="00A31137">
        <w:t>1984 Republican Platform, p.73</w:t>
      </w:r>
    </w:p>
    <w:p w:rsidR="00A31137" w:rsidRPr="00A31137" w:rsidRDefault="00A31137" w:rsidP="00A31137">
      <w:r w:rsidRPr="00A31137">
        <w:t>Terrorism is an international problem. No one country can successfully combat it. We must lead the free nations in a concerted effort to pressure members of the League of Terror to cease their sponsorship and support of terrorism.</w:t>
      </w:r>
    </w:p>
    <w:p w:rsidR="00A31137" w:rsidRPr="00A31137" w:rsidRDefault="00A31137" w:rsidP="00A31137">
      <w:r w:rsidRPr="00A31137">
        <w:t>A Secure Future</w:t>
      </w:r>
    </w:p>
    <w:p w:rsidR="00A31137" w:rsidRPr="00A31137" w:rsidRDefault="00A31137" w:rsidP="00A31137">
      <w:r w:rsidRPr="00A31137">
        <w:t>1984 Republican Platform, p.73</w:t>
      </w:r>
    </w:p>
    <w:p w:rsidR="00A31137" w:rsidRPr="00A31137" w:rsidRDefault="00A31137" w:rsidP="00A31137">
      <w:r w:rsidRPr="00A31137">
        <w:t>During the Carter-Mondale Administration, the Soviets built more weapons, and more modern ones, than the United States. President Reagan has begun to reverse this dangerous trend. More important, he has begun a process that, over time, will gradually but dramatically reduce the Soviet Union's ability to threaten our lives with nuclear arms.</w:t>
      </w:r>
    </w:p>
    <w:p w:rsidR="00A31137" w:rsidRPr="00A31137" w:rsidRDefault="00A31137" w:rsidP="00A31137">
      <w:r w:rsidRPr="00A31137">
        <w:t>1984 Republican Platform, p.73</w:t>
      </w:r>
    </w:p>
    <w:p w:rsidR="00A31137" w:rsidRPr="00A31137" w:rsidRDefault="00A31137" w:rsidP="00A31137">
      <w:r w:rsidRPr="00A31137">
        <w:t>His leadership came none too soon. The combined damage of a decade of neglect and of relentless Soviet buildup, despite treaties and our restraint, will not be undone easily.</w:t>
      </w:r>
    </w:p>
    <w:p w:rsidR="00A31137" w:rsidRPr="00A31137" w:rsidRDefault="00A31137" w:rsidP="00A31137">
      <w:r w:rsidRPr="00A31137">
        <w:t>1984 Republican Platform, p.73</w:t>
      </w:r>
    </w:p>
    <w:p w:rsidR="00A31137" w:rsidRPr="00A31137" w:rsidRDefault="00A31137" w:rsidP="00A31137">
      <w:r w:rsidRPr="00A31137">
        <w:t>Today, the Soviet Union possesses over 5,000 intercontinental nuclear warheads powerful and accurate enough to destroy hard military targets, and it is flight-testing a whole new generation of missiles. The Carter-Mondale Administration left this country at a decided disadvantage, without a credible deterrent. That is why President Reagan embarked on a modernization program covering all three legs of the strategic triad.</w:t>
      </w:r>
    </w:p>
    <w:p w:rsidR="00A31137" w:rsidRPr="00A31137" w:rsidRDefault="00A31137" w:rsidP="00A31137">
      <w:r w:rsidRPr="00A31137">
        <w:t>1984 Republican Platform, p.73</w:t>
      </w:r>
    </w:p>
    <w:p w:rsidR="00A31137" w:rsidRPr="00A31137" w:rsidRDefault="00A31137" w:rsidP="00A31137">
      <w:r w:rsidRPr="00A31137">
        <w:t>Republicans understand that our nuclear deterrent forces are the ultimate military guarantor of America's security and that of our allies. That is why we will continue to support the programs necessary to modernize our strategic forces and reduce the vulnerabilities. This includes the earliest possible deployment of a new small mobile ICBM.</w:t>
      </w:r>
    </w:p>
    <w:p w:rsidR="00A31137" w:rsidRPr="00A31137" w:rsidRDefault="00A31137" w:rsidP="00A31137">
      <w:r w:rsidRPr="00A31137">
        <w:t>1984 Republican Platform, p.73</w:t>
      </w:r>
    </w:p>
    <w:p w:rsidR="00A31137" w:rsidRPr="00A31137" w:rsidRDefault="00A31137" w:rsidP="00A31137">
      <w:r w:rsidRPr="00A31137">
        <w:t xml:space="preserve">While the Carter-Mondale team hid beneath an umbrella of wishful thinking, the Soviet Union made every effort to protect itself in case of conflict. It has an operational anti-satellite system; the United States does not. A network of huge ultra-modern radars, new anti-missile interceptors, new surface-to-air missiles, all evidence the Soviet commitment to self-protection. [p.74] </w:t>
      </w:r>
    </w:p>
    <w:p w:rsidR="00A31137" w:rsidRPr="00A31137" w:rsidRDefault="00A31137" w:rsidP="00A31137">
      <w:r w:rsidRPr="00A31137">
        <w:t>1984 Republican Platform, p.74</w:t>
      </w:r>
    </w:p>
    <w:p w:rsidR="00A31137" w:rsidRPr="00A31137" w:rsidRDefault="00A31137" w:rsidP="00A31137">
      <w:r w:rsidRPr="00A31137">
        <w:t>President Reagan has launched a bold new Strategic Defense Initiative to defend against nuclear attack. We enthusiastically support President Reagan's Strategic Defense Initiative. We enthusiastically support the development of non-nuclear, space-based defensive systems to protect the United States by destroying incoming missiles. Recognizing the need for close consultation with our allies, we support a comprehensive and intensive effort to render obsolete the doctrine of Mutual Assured Destruction (MAD). The Democratic Party embraces Mutual Assured Destruction. The Republican Party rejects the strategy of despair and supports instead the strategy of hope and survival.</w:t>
      </w:r>
    </w:p>
    <w:p w:rsidR="00A31137" w:rsidRPr="00A31137" w:rsidRDefault="00A31137" w:rsidP="00A31137">
      <w:r w:rsidRPr="00A31137">
        <w:t>1984 Republican Platform, p.74</w:t>
      </w:r>
    </w:p>
    <w:p w:rsidR="00A31137" w:rsidRPr="00A31137" w:rsidRDefault="00A31137" w:rsidP="00A31137">
      <w:r w:rsidRPr="00A31137">
        <w:t>We will begin to eliminate the threat posed by strategic nuclear missiles as soon as possible. Our only purpose (one all people share) is to reduce the danger of nuclear war. To that end, we will use superior American technology to achieve space-based and ground-based defensive systems as soon as possible to protect the lives of the American people and our allies.</w:t>
      </w:r>
    </w:p>
    <w:p w:rsidR="00A31137" w:rsidRPr="00A31137" w:rsidRDefault="00A31137" w:rsidP="00A31137">
      <w:r w:rsidRPr="00A31137">
        <w:t>1984 Republican Platform, p.74</w:t>
      </w:r>
    </w:p>
    <w:p w:rsidR="00A31137" w:rsidRPr="00A31137" w:rsidRDefault="00A31137" w:rsidP="00A31137">
      <w:r w:rsidRPr="00A31137">
        <w:t xml:space="preserve">President Reagan has asked, "Would it not be better to save lives than to avenge them?" The Republican Party answers, "Yes!" [p.75] </w:t>
      </w:r>
    </w:p>
    <w:p w:rsidR="00A31137" w:rsidRPr="00A31137" w:rsidRDefault="00A31137" w:rsidP="00A31137">
      <w:r w:rsidRPr="00A31137">
        <w:t>1984 COMMITTEE ON RESOLUTIONS</w:t>
      </w:r>
    </w:p>
    <w:p w:rsidR="00A31137" w:rsidRPr="00A31137" w:rsidRDefault="00A31137" w:rsidP="00A31137">
      <w:r w:rsidRPr="00A31137">
        <w:t>U.S. Representative Trent Lott (Mississippi), Chairman U.S. Senator Paula Hawkins (Florida), Co-Chairman State Treasurer Kay Orr (Nebraska), Co-Chairman</w:t>
      </w:r>
    </w:p>
    <w:p w:rsidR="00A31137" w:rsidRPr="00A31137" w:rsidRDefault="00A31137" w:rsidP="00A31137">
      <w:r w:rsidRPr="00A31137">
        <w:t>SUBCOMMITTEE ON ECONOMIC PROGRESS</w:t>
      </w:r>
    </w:p>
    <w:p w:rsidR="00A31137" w:rsidRPr="00A31137" w:rsidRDefault="00A31137" w:rsidP="00A31137">
      <w:r w:rsidRPr="00A31137">
        <w:t>U.S. Senator Bob Kasten (Wisconsin), Chairman U.S. Representative Bobbi Fiedler (California), Co-Chairman</w:t>
      </w:r>
    </w:p>
    <w:p w:rsidR="00A31137" w:rsidRPr="00A31137" w:rsidRDefault="00A31137" w:rsidP="00A31137">
      <w:r w:rsidRPr="00A31137">
        <w:t>SUBCOMMITTEE ON STRENGTHENING AMERICAN AGRICULTURE</w:t>
      </w:r>
    </w:p>
    <w:p w:rsidR="00A31137" w:rsidRPr="00A31137" w:rsidRDefault="00A31137" w:rsidP="00A31137">
      <w:r w:rsidRPr="00A31137">
        <w:t>U.S. Senator Roger Jepsen (Iowa), Chairman U.S. Senator Bob Dole (Kansas), Co-Chairman Mrs. Mary Ann Tintes (North Dakota), Co-Chairman</w:t>
      </w:r>
    </w:p>
    <w:p w:rsidR="00A31137" w:rsidRPr="00A31137" w:rsidRDefault="00A31137" w:rsidP="00A31137">
      <w:r w:rsidRPr="00A31137">
        <w:t>SUBCOMMITTEE ON EDUCATION AND THE FUTURE</w:t>
      </w:r>
    </w:p>
    <w:p w:rsidR="00A31137" w:rsidRPr="00A31137" w:rsidRDefault="00A31137" w:rsidP="00A31137">
      <w:r w:rsidRPr="00A31137">
        <w:t>Mrs. Donna Hearne (Missouri), Chairman U.S. Representative Newt Gingrich (Georgia), Co-Chairman</w:t>
      </w:r>
    </w:p>
    <w:p w:rsidR="00A31137" w:rsidRPr="00A31137" w:rsidRDefault="00A31137" w:rsidP="00A31137">
      <w:r w:rsidRPr="00A31137">
        <w:t>SUBCOMMITTEE ON COMMUNITY AND NEIGHBORHOOD RESOURCES</w:t>
      </w:r>
    </w:p>
    <w:p w:rsidR="00A31137" w:rsidRPr="00A31137" w:rsidRDefault="00A31137" w:rsidP="00A31137">
      <w:r w:rsidRPr="00A31137">
        <w:t>State Senator Anne Lindeman (Arizona), Chairman U.S. Representative Bud Shuster (Pennsylvania), Co-Chairman</w:t>
      </w:r>
    </w:p>
    <w:p w:rsidR="00A31137" w:rsidRPr="00A31137" w:rsidRDefault="00A31137" w:rsidP="00A31137">
      <w:r w:rsidRPr="00A31137">
        <w:t>SUBCOMMITTEE ON HUMAN RESOURCES AND OPPORTUNITIES</w:t>
      </w:r>
    </w:p>
    <w:p w:rsidR="00A31137" w:rsidRPr="00A31137" w:rsidRDefault="00A31137" w:rsidP="00A31137">
      <w:r w:rsidRPr="00A31137">
        <w:t>Mrs. Marilyn Thayer (Louisiana), Chairman U.S. Representative Vin Weber (Minnesota), Co-Chairman</w:t>
      </w:r>
    </w:p>
    <w:p w:rsidR="00A31137" w:rsidRPr="00A31137" w:rsidRDefault="00A31137" w:rsidP="00A31137">
      <w:r w:rsidRPr="00A31137">
        <w:t>SUBCOMMITTEE ON FOREIGN POLICY</w:t>
      </w:r>
    </w:p>
    <w:p w:rsidR="00A31137" w:rsidRPr="00A31137" w:rsidRDefault="00A31137" w:rsidP="00A31137">
      <w:r w:rsidRPr="00A31137">
        <w:t>U.S. Representative Jack Kemp (New York), Chairman State Representative Judy Petty (Arkansas), Co-Chairman</w:t>
      </w:r>
    </w:p>
    <w:p w:rsidR="00A31137" w:rsidRPr="00A31137" w:rsidRDefault="00A31137" w:rsidP="00A31137">
      <w:r w:rsidRPr="00A31137">
        <w:t>SUBCOMMITTEE ON NATIONAL SECURITY</w:t>
      </w:r>
    </w:p>
    <w:p w:rsidR="00A31137" w:rsidRPr="00A31137" w:rsidRDefault="00A31137" w:rsidP="00A31137">
      <w:r w:rsidRPr="00A31137">
        <w:t>U.S. Representative Marjorie Holt (Maryland), Chairman U.S. Senator John Warner (Virginia), Co-Chairman</w:t>
      </w:r>
    </w:p>
    <w:p w:rsidR="00A31137" w:rsidRPr="00A31137" w:rsidRDefault="00A31137" w:rsidP="00A31137">
      <w:r w:rsidRPr="00A31137">
        <w:t>1984 Republican Platform, p.75</w:t>
      </w:r>
    </w:p>
    <w:p w:rsidR="00A31137" w:rsidRPr="00A31137" w:rsidRDefault="00A31137" w:rsidP="00A31137">
      <w:r w:rsidRPr="00A31137">
        <w:t>ALABAMA-Edward Allen, Anita Folmar</w:t>
      </w:r>
    </w:p>
    <w:p w:rsidR="00A31137" w:rsidRPr="00A31137" w:rsidRDefault="00A31137" w:rsidP="00A31137">
      <w:r w:rsidRPr="00A31137">
        <w:t>ALASKA-Jim Crawford, Marilyn Paine</w:t>
      </w:r>
    </w:p>
    <w:p w:rsidR="00A31137" w:rsidRPr="00A31137" w:rsidRDefault="00A31137" w:rsidP="00A31137">
      <w:r w:rsidRPr="00A31137">
        <w:t>ARIZONA-Thomas Pappas, Anne Lindeman</w:t>
      </w:r>
    </w:p>
    <w:p w:rsidR="00A31137" w:rsidRPr="00A31137" w:rsidRDefault="00A31137" w:rsidP="00A31137">
      <w:r w:rsidRPr="00A31137">
        <w:t>ARKANSAS-Ed Bethune, Judy Petty</w:t>
      </w:r>
    </w:p>
    <w:p w:rsidR="00A31137" w:rsidRPr="00A31137" w:rsidRDefault="00A31137" w:rsidP="00A31137">
      <w:r w:rsidRPr="00A31137">
        <w:t xml:space="preserve">CALIFORNIA-S. Stephen Nakashima, Bobbi Fiedler [p.76] </w:t>
      </w:r>
    </w:p>
    <w:p w:rsidR="00A31137" w:rsidRPr="00A31137" w:rsidRDefault="00A31137" w:rsidP="00A31137">
      <w:r w:rsidRPr="00A31137">
        <w:t>COLORADO-Bill Hughes, Holly Coors</w:t>
      </w:r>
    </w:p>
    <w:p w:rsidR="00A31137" w:rsidRPr="00A31137" w:rsidRDefault="00A31137" w:rsidP="00A31137">
      <w:r w:rsidRPr="00A31137">
        <w:t>CONNECTICUT-Lowell Weicker, Julie Belaga</w:t>
      </w:r>
    </w:p>
    <w:p w:rsidR="00A31137" w:rsidRPr="00A31137" w:rsidRDefault="00A31137" w:rsidP="00A31137">
      <w:r w:rsidRPr="00A31137">
        <w:t>DELAWARE-Kenneth Millman, Georgetta Fetters</w:t>
      </w:r>
    </w:p>
    <w:p w:rsidR="00A31137" w:rsidRPr="00A31137" w:rsidRDefault="00A31137" w:rsidP="00A31137">
      <w:r w:rsidRPr="00A31137">
        <w:t>DISTRICT OF COLUMBIA-Stanton Anderson, Ann Becket</w:t>
      </w:r>
    </w:p>
    <w:p w:rsidR="00A31137" w:rsidRPr="00A31137" w:rsidRDefault="00A31137" w:rsidP="00A31137">
      <w:r w:rsidRPr="00A31137">
        <w:t>FLORIDA-Bill McCollum, Paula Hawkins</w:t>
      </w:r>
    </w:p>
    <w:p w:rsidR="00A31137" w:rsidRPr="00A31137" w:rsidRDefault="00A31137" w:rsidP="00A31137">
      <w:r w:rsidRPr="00A31137">
        <w:t>GEORGIA-Newt Gingrich, Dot Burns</w:t>
      </w:r>
    </w:p>
    <w:p w:rsidR="00A31137" w:rsidRPr="00A31137" w:rsidRDefault="00A31137" w:rsidP="00A31137">
      <w:r w:rsidRPr="00A31137">
        <w:t>GUAM-Pedro Perez</w:t>
      </w:r>
    </w:p>
    <w:p w:rsidR="00A31137" w:rsidRPr="00A31137" w:rsidRDefault="00A31137" w:rsidP="00A31137">
      <w:r w:rsidRPr="00A31137">
        <w:t>HAWAII-Michael Haig, Miriam Hellreich</w:t>
      </w:r>
    </w:p>
    <w:p w:rsidR="00A31137" w:rsidRPr="00A31137" w:rsidRDefault="00A31137" w:rsidP="00A31137">
      <w:r w:rsidRPr="00A31137">
        <w:t>IDAHO-J. Wilson Steen, Ruthie Johnson</w:t>
      </w:r>
    </w:p>
    <w:p w:rsidR="00A31137" w:rsidRPr="00A31137" w:rsidRDefault="00A31137" w:rsidP="00A31137">
      <w:r w:rsidRPr="00A31137">
        <w:t>ILLINOIS-Henry Hyde, Phyllis Schlafly</w:t>
      </w:r>
    </w:p>
    <w:p w:rsidR="00A31137" w:rsidRPr="00A31137" w:rsidRDefault="00A31137" w:rsidP="00A31137">
      <w:r w:rsidRPr="00A31137">
        <w:t>INDIANA-Virgil Scheidt, Eleanor Holt</w:t>
      </w:r>
    </w:p>
    <w:p w:rsidR="00A31137" w:rsidRPr="00A31137" w:rsidRDefault="00A31137" w:rsidP="00A31137">
      <w:r w:rsidRPr="00A31137">
        <w:t>IOWA-Roger Jepsen, Ruth Holtan</w:t>
      </w:r>
    </w:p>
    <w:p w:rsidR="00A31137" w:rsidRPr="00A31137" w:rsidRDefault="00A31137" w:rsidP="00A31137">
      <w:r w:rsidRPr="00A31137">
        <w:t>KANSAS-Bob Dole, Margaret Glades</w:t>
      </w:r>
    </w:p>
    <w:p w:rsidR="00A31137" w:rsidRPr="00A31137" w:rsidRDefault="00A31137" w:rsidP="00A31137">
      <w:r w:rsidRPr="00A31137">
        <w:t>KENTUCKY-Hal Rogers, Mary Whittle</w:t>
      </w:r>
    </w:p>
    <w:p w:rsidR="00A31137" w:rsidRPr="00A31137" w:rsidRDefault="00A31137" w:rsidP="00A31137">
      <w:r w:rsidRPr="00A31137">
        <w:t>LOUISIANA-John Cade, Marilyn Thayer</w:t>
      </w:r>
    </w:p>
    <w:p w:rsidR="00A31137" w:rsidRPr="00A31137" w:rsidRDefault="00A31137" w:rsidP="00A31137">
      <w:r w:rsidRPr="00A31137">
        <w:t>MAINE-Merton Henry, Pamela Cahill</w:t>
      </w:r>
    </w:p>
    <w:p w:rsidR="00A31137" w:rsidRPr="00A31137" w:rsidRDefault="00A31137" w:rsidP="00A31137">
      <w:r w:rsidRPr="00A31137">
        <w:t>MARYLAND-Richard Taylor, Marjorie Holt</w:t>
      </w:r>
    </w:p>
    <w:p w:rsidR="00A31137" w:rsidRPr="00A31137" w:rsidRDefault="00A31137" w:rsidP="00A31137">
      <w:r w:rsidRPr="00A31137">
        <w:t>MASSACHUSETTS-William Robinson, Deborah Cochran</w:t>
      </w:r>
    </w:p>
    <w:p w:rsidR="00A31137" w:rsidRPr="00A31137" w:rsidRDefault="00A31137" w:rsidP="00A31137">
      <w:r w:rsidRPr="00A31137">
        <w:t>MICHIGAN-W. Clark Durant, Joyce Kleiman</w:t>
      </w:r>
    </w:p>
    <w:p w:rsidR="00A31137" w:rsidRPr="00A31137" w:rsidRDefault="00A31137" w:rsidP="00A31137">
      <w:r w:rsidRPr="00A31137">
        <w:t>MINNESOTA-Vin Weber, JoAnn Muller</w:t>
      </w:r>
    </w:p>
    <w:p w:rsidR="00A31137" w:rsidRPr="00A31137" w:rsidRDefault="00A31137" w:rsidP="00A31137">
      <w:r w:rsidRPr="00A31137">
        <w:t>MISSISSIPPI-Trent Lott, Robbie Hughes</w:t>
      </w:r>
    </w:p>
    <w:p w:rsidR="00A31137" w:rsidRPr="00A31137" w:rsidRDefault="00A31137" w:rsidP="00A31137">
      <w:r w:rsidRPr="00A31137">
        <w:t>MISSOURI-David Doctorian, Donna Hearne</w:t>
      </w:r>
    </w:p>
    <w:p w:rsidR="00A31137" w:rsidRPr="00A31137" w:rsidRDefault="00A31137" w:rsidP="00A31137">
      <w:r w:rsidRPr="00A31137">
        <w:t>MONTANA-Kenneth Voldseth, Matilde Pierce</w:t>
      </w:r>
    </w:p>
    <w:p w:rsidR="00A31137" w:rsidRPr="00A31137" w:rsidRDefault="00A31137" w:rsidP="00A31137">
      <w:r w:rsidRPr="00A31137">
        <w:t>NEBRASKA-Ralph Knobel, Kay Orr</w:t>
      </w:r>
    </w:p>
    <w:p w:rsidR="00A31137" w:rsidRPr="00A31137" w:rsidRDefault="00A31137" w:rsidP="00A31137">
      <w:r w:rsidRPr="00A31137">
        <w:t>NEVADA-Byron Bilyeu, Barbara Vucanovich</w:t>
      </w:r>
    </w:p>
    <w:p w:rsidR="00A31137" w:rsidRPr="00A31137" w:rsidRDefault="00A31137" w:rsidP="00A31137">
      <w:r w:rsidRPr="00A31137">
        <w:t>NEW HAMPSHIRE-James Bibbo, Catherine Cummings</w:t>
      </w:r>
    </w:p>
    <w:p w:rsidR="00A31137" w:rsidRPr="00A31137" w:rsidRDefault="00A31137" w:rsidP="00A31137">
      <w:r w:rsidRPr="00A31137">
        <w:t>NEW JERSEY-James Courter, Jane Burgio</w:t>
      </w:r>
    </w:p>
    <w:p w:rsidR="00A31137" w:rsidRPr="00A31137" w:rsidRDefault="00A31137" w:rsidP="00A31137">
      <w:r w:rsidRPr="00A31137">
        <w:t>NEW MEXICO-James Barron, Yolanda Montoya</w:t>
      </w:r>
    </w:p>
    <w:p w:rsidR="00A31137" w:rsidRPr="00A31137" w:rsidRDefault="00A31137" w:rsidP="00A31137">
      <w:r w:rsidRPr="00A31137">
        <w:t>NEW YORK-Jack Kemp, Donella Jackson</w:t>
      </w:r>
    </w:p>
    <w:p w:rsidR="00A31137" w:rsidRPr="00A31137" w:rsidRDefault="00A31137" w:rsidP="00A31137">
      <w:r w:rsidRPr="00A31137">
        <w:t>NORTH CAROLINA-Jesse Helms, Mary Jane Hollyday</w:t>
      </w:r>
    </w:p>
    <w:p w:rsidR="00A31137" w:rsidRPr="00A31137" w:rsidRDefault="00A31137" w:rsidP="00A31137">
      <w:r w:rsidRPr="00A31137">
        <w:t>NORTH DAKOTA-Kye Trout, Mary Ann Tintes</w:t>
      </w:r>
    </w:p>
    <w:p w:rsidR="00A31137" w:rsidRPr="00A31137" w:rsidRDefault="00A31137" w:rsidP="00A31137">
      <w:r w:rsidRPr="00A31137">
        <w:t>OHIO-Delbert Latta, Jean Ashbrook</w:t>
      </w:r>
    </w:p>
    <w:p w:rsidR="00A31137" w:rsidRPr="00A31137" w:rsidRDefault="00A31137" w:rsidP="00A31137">
      <w:r w:rsidRPr="00A31137">
        <w:t>OKLAHOMA-Harold Hite, Judy Stidham</w:t>
      </w:r>
    </w:p>
    <w:p w:rsidR="00A31137" w:rsidRPr="00A31137" w:rsidRDefault="00A31137" w:rsidP="00A31137">
      <w:r w:rsidRPr="00A31137">
        <w:t>OREGON-David Chen, Mary Alice Ford</w:t>
      </w:r>
    </w:p>
    <w:p w:rsidR="00A31137" w:rsidRPr="00A31137" w:rsidRDefault="00A31137" w:rsidP="00A31137">
      <w:r w:rsidRPr="00A31137">
        <w:t>PENNSYLVANIA-Bud Shuster, Carmel Sirianni</w:t>
      </w:r>
    </w:p>
    <w:p w:rsidR="00A31137" w:rsidRPr="00A31137" w:rsidRDefault="00A31137" w:rsidP="00A31137">
      <w:r w:rsidRPr="00A31137">
        <w:t>PUERTO RICO-Oreste Ramos, Norma Burgos</w:t>
      </w:r>
    </w:p>
    <w:p w:rsidR="00A31137" w:rsidRPr="00A31137" w:rsidRDefault="00A31137" w:rsidP="00A31137">
      <w:r w:rsidRPr="00A31137">
        <w:t>RHODE ISLAND-Thomas Cashill, Eileen Slocum</w:t>
      </w:r>
    </w:p>
    <w:p w:rsidR="00A31137" w:rsidRPr="00A31137" w:rsidRDefault="00A31137" w:rsidP="00A31137">
      <w:r w:rsidRPr="00A31137">
        <w:t>SOUTH CAROLINA-Elmer Rumminger, Joyce Hearn</w:t>
      </w:r>
    </w:p>
    <w:p w:rsidR="00A31137" w:rsidRPr="00A31137" w:rsidRDefault="00A31137" w:rsidP="00A31137">
      <w:r w:rsidRPr="00A31137">
        <w:t>SOUTH DAKOTA-Joel Rosenthal, Dorothy Allison</w:t>
      </w:r>
    </w:p>
    <w:p w:rsidR="00A31137" w:rsidRPr="00A31137" w:rsidRDefault="00A31137" w:rsidP="00A31137">
      <w:r w:rsidRPr="00A31137">
        <w:t>TENNESSEE-James Haslam, Frances Turner</w:t>
      </w:r>
    </w:p>
    <w:p w:rsidR="00A31137" w:rsidRPr="00A31137" w:rsidRDefault="00A31137" w:rsidP="00A31137">
      <w:r w:rsidRPr="00A31137">
        <w:t>TEXAS-Tom Loeffler, Anne Ashy</w:t>
      </w:r>
    </w:p>
    <w:p w:rsidR="00A31137" w:rsidRPr="00A31137" w:rsidRDefault="00A31137" w:rsidP="00A31137">
      <w:r w:rsidRPr="00A31137">
        <w:t>UTAH-Alex Hurtado, Lynn Price</w:t>
      </w:r>
    </w:p>
    <w:p w:rsidR="00A31137" w:rsidRPr="00A31137" w:rsidRDefault="00A31137" w:rsidP="00A31137">
      <w:r w:rsidRPr="00A31137">
        <w:t xml:space="preserve">VERMONT-Clifford Harwood, Susan Auld [p.77] </w:t>
      </w:r>
    </w:p>
    <w:p w:rsidR="00A31137" w:rsidRPr="00A31137" w:rsidRDefault="00A31137" w:rsidP="00A31137">
      <w:r w:rsidRPr="00A31137">
        <w:t>VIRGIN ISLANDS-Patricia Murphy</w:t>
      </w:r>
    </w:p>
    <w:p w:rsidR="00A31137" w:rsidRPr="00A31137" w:rsidRDefault="00A31137" w:rsidP="00A31137">
      <w:r w:rsidRPr="00A31137">
        <w:t>VIRGINIA-John Warner, Eleanor Rice</w:t>
      </w:r>
    </w:p>
    <w:p w:rsidR="00A31137" w:rsidRPr="00A31137" w:rsidRDefault="00A31137" w:rsidP="00A31137">
      <w:r w:rsidRPr="00A31137">
        <w:t>WASHINGTON-Doc Hastings, Inez Jones</w:t>
      </w:r>
    </w:p>
    <w:p w:rsidR="00A31137" w:rsidRPr="00A31137" w:rsidRDefault="00A31137" w:rsidP="00A31137">
      <w:r w:rsidRPr="00A31137">
        <w:t>WEST VIRGINIA-J. D. Hinkle, Margaret "Peggy" Mille</w:t>
      </w:r>
    </w:p>
    <w:p w:rsidR="00A31137" w:rsidRPr="00A31137" w:rsidRDefault="00A31137" w:rsidP="00A31137">
      <w:r w:rsidRPr="00A31137">
        <w:t>WISCONSIN-Bob Kasten, Mary Buestrin</w:t>
      </w:r>
    </w:p>
    <w:p w:rsidR="00A31137" w:rsidRPr="00A31137" w:rsidRDefault="00A31137" w:rsidP="00A31137">
      <w:r w:rsidRPr="00A31137">
        <w:t xml:space="preserve">WYOMING-Kenneth Voldseth, Jeanette Dye [p.78] </w:t>
      </w:r>
    </w:p>
    <w:p w:rsidR="00A31137" w:rsidRPr="00A31137" w:rsidRDefault="00A31137" w:rsidP="00A31137">
      <w:r w:rsidRPr="00A31137">
        <w:t>1984 COMMITTEE ON RESOLUTIONS STAFF</w:t>
      </w:r>
    </w:p>
    <w:p w:rsidR="00A31137" w:rsidRPr="00A31137" w:rsidRDefault="00A31137" w:rsidP="00A31137">
      <w:r w:rsidRPr="00A31137">
        <w:t>John R. Bolton Executive Director</w:t>
      </w:r>
    </w:p>
    <w:p w:rsidR="00A31137" w:rsidRPr="00A31137" w:rsidRDefault="00A31137" w:rsidP="00A31137">
      <w:r w:rsidRPr="00A31137">
        <w:t>Henry Gandy Parliamentarian</w:t>
      </w:r>
    </w:p>
    <w:p w:rsidR="00A31137" w:rsidRPr="00A31137" w:rsidRDefault="00A31137" w:rsidP="00A31137">
      <w:r w:rsidRPr="00A31137">
        <w:t>Caroline Weil Deputy Executive Director</w:t>
      </w:r>
    </w:p>
    <w:p w:rsidR="00A31137" w:rsidRPr="00A31137" w:rsidRDefault="00A31137" w:rsidP="00A31137">
      <w:r w:rsidRPr="00A31137">
        <w:t>Editorial Staff:</w:t>
      </w:r>
    </w:p>
    <w:p w:rsidR="00A31137" w:rsidRPr="00A31137" w:rsidRDefault="00A31137" w:rsidP="00A31137">
      <w:r w:rsidRPr="00A31137">
        <w:t>William J. Gribbin, Editor</w:t>
      </w:r>
    </w:p>
    <w:p w:rsidR="00A31137" w:rsidRPr="00A31137" w:rsidRDefault="00A31137" w:rsidP="00A31137">
      <w:r w:rsidRPr="00A31137">
        <w:t>Joan B. Baldwin, Deputy Editor</w:t>
      </w:r>
    </w:p>
    <w:p w:rsidR="00A31137" w:rsidRPr="00A31137" w:rsidRDefault="00A31137" w:rsidP="00A31137">
      <w:r w:rsidRPr="00A31137">
        <w:t>William F. Gavin, Deputy Editor</w:t>
      </w:r>
    </w:p>
    <w:p w:rsidR="00A31137" w:rsidRPr="00A31137" w:rsidRDefault="00A31137" w:rsidP="00A31137">
      <w:r w:rsidRPr="00A31137">
        <w:t>Judy Van Rest, Assistant Editor</w:t>
      </w:r>
    </w:p>
    <w:p w:rsidR="00A31137" w:rsidRPr="00A31137" w:rsidRDefault="00A31137" w:rsidP="00A31137">
      <w:r w:rsidRPr="00A31137">
        <w:t>Mary Ann Fitzgerald, Assistant Editor</w:t>
      </w:r>
    </w:p>
    <w:p w:rsidR="00A31137" w:rsidRPr="00A31137" w:rsidRDefault="00A31137" w:rsidP="00A31137">
      <w:r w:rsidRPr="00A31137">
        <w:t>Chairman's Staff:</w:t>
      </w:r>
    </w:p>
    <w:p w:rsidR="00A31137" w:rsidRPr="00A31137" w:rsidRDefault="00A31137" w:rsidP="00A31137">
      <w:r w:rsidRPr="00A31137">
        <w:t>Dave Hoppe, Susan Irby, Susan Wells, Willa Hall, Jim Johnson, George Omas</w:t>
      </w:r>
    </w:p>
    <w:p w:rsidR="00A31137" w:rsidRPr="00A31137" w:rsidRDefault="00A31137" w:rsidP="00A31137">
      <w:r w:rsidRPr="00A31137">
        <w:t>Co-Chairmen's Staff:</w:t>
      </w:r>
    </w:p>
    <w:p w:rsidR="00A31137" w:rsidRPr="00A31137" w:rsidRDefault="00A31137" w:rsidP="00A31137">
      <w:r w:rsidRPr="00A31137">
        <w:t>John Mica, Robin Rushton</w:t>
      </w:r>
    </w:p>
    <w:p w:rsidR="00A31137" w:rsidRPr="00A31137" w:rsidRDefault="00A31137" w:rsidP="00A31137">
      <w:r w:rsidRPr="00A31137">
        <w:t>Subcommittee Staff:</w:t>
      </w:r>
    </w:p>
    <w:p w:rsidR="00A31137" w:rsidRPr="00A31137" w:rsidRDefault="00A31137" w:rsidP="00A31137">
      <w:r w:rsidRPr="00A31137">
        <w:t>Elise Paylan*</w:t>
      </w:r>
    </w:p>
    <w:p w:rsidR="00A31137" w:rsidRPr="00A31137" w:rsidRDefault="00A31137" w:rsidP="00A31137">
      <w:r w:rsidRPr="00A31137">
        <w:t>Dawn Gifford-Martinez</w:t>
      </w:r>
    </w:p>
    <w:p w:rsidR="00A31137" w:rsidRPr="00A31137" w:rsidRDefault="00A31137" w:rsidP="00A31137">
      <w:r w:rsidRPr="00A31137">
        <w:t>Joe Rogers*</w:t>
      </w:r>
    </w:p>
    <w:p w:rsidR="00A31137" w:rsidRPr="00A31137" w:rsidRDefault="00A31137" w:rsidP="00A31137">
      <w:r w:rsidRPr="00A31137">
        <w:t>George Dunlop*</w:t>
      </w:r>
    </w:p>
    <w:p w:rsidR="00A31137" w:rsidRPr="00A31137" w:rsidRDefault="00A31137" w:rsidP="00A31137">
      <w:r w:rsidRPr="00A31137">
        <w:t>Walter Bunche</w:t>
      </w:r>
    </w:p>
    <w:p w:rsidR="00A31137" w:rsidRPr="00A31137" w:rsidRDefault="00A31137" w:rsidP="00A31137">
      <w:r w:rsidRPr="00A31137">
        <w:t>Darla Knoblock</w:t>
      </w:r>
    </w:p>
    <w:p w:rsidR="00A31137" w:rsidRPr="00A31137" w:rsidRDefault="00A31137" w:rsidP="00A31137">
      <w:r w:rsidRPr="00A31137">
        <w:t>Hyde Murray</w:t>
      </w:r>
    </w:p>
    <w:p w:rsidR="00A31137" w:rsidRPr="00A31137" w:rsidRDefault="00A31137" w:rsidP="00A31137">
      <w:r w:rsidRPr="00A31137">
        <w:t>Bob Tosterud</w:t>
      </w:r>
    </w:p>
    <w:p w:rsidR="00A31137" w:rsidRPr="00A31137" w:rsidRDefault="00A31137" w:rsidP="00A31137">
      <w:r w:rsidRPr="00A31137">
        <w:t>William Gribbin*</w:t>
      </w:r>
    </w:p>
    <w:p w:rsidR="00A31137" w:rsidRPr="00A31137" w:rsidRDefault="00A31137" w:rsidP="00A31137">
      <w:r w:rsidRPr="00A31137">
        <w:t>Joan Baldwin</w:t>
      </w:r>
    </w:p>
    <w:p w:rsidR="00A31137" w:rsidRPr="00A31137" w:rsidRDefault="00A31137" w:rsidP="00A31137">
      <w:r w:rsidRPr="00A31137">
        <w:t>Scott Smart</w:t>
      </w:r>
    </w:p>
    <w:p w:rsidR="00A31137" w:rsidRPr="00A31137" w:rsidRDefault="00A31137" w:rsidP="00A31137">
      <w:r w:rsidRPr="00A31137">
        <w:t>Dan Wall</w:t>
      </w:r>
    </w:p>
    <w:p w:rsidR="00A31137" w:rsidRPr="00A31137" w:rsidRDefault="00A31137" w:rsidP="00A31137">
      <w:r w:rsidRPr="00A31137">
        <w:t>Gordon Jones*</w:t>
      </w:r>
    </w:p>
    <w:p w:rsidR="00A31137" w:rsidRPr="00A31137" w:rsidRDefault="00A31137" w:rsidP="00A31137">
      <w:r w:rsidRPr="00A31137">
        <w:t>Carol Hornby</w:t>
      </w:r>
    </w:p>
    <w:p w:rsidR="00A31137" w:rsidRPr="00A31137" w:rsidRDefault="00A31137" w:rsidP="00A31137">
      <w:r w:rsidRPr="00A31137">
        <w:t>Lincoln Oliphant</w:t>
      </w:r>
    </w:p>
    <w:p w:rsidR="00A31137" w:rsidRPr="00A31137" w:rsidRDefault="00A31137" w:rsidP="00A31137">
      <w:r w:rsidRPr="00A31137">
        <w:t>Don Eberly*</w:t>
      </w:r>
    </w:p>
    <w:p w:rsidR="00A31137" w:rsidRPr="00A31137" w:rsidRDefault="00A31137" w:rsidP="00A31137">
      <w:r w:rsidRPr="00A31137">
        <w:t>Willa Johnson*</w:t>
      </w:r>
    </w:p>
    <w:p w:rsidR="00A31137" w:rsidRPr="00A31137" w:rsidRDefault="00A31137" w:rsidP="00A31137">
      <w:r w:rsidRPr="00A31137">
        <w:t>Jack Howard</w:t>
      </w:r>
    </w:p>
    <w:p w:rsidR="00A31137" w:rsidRPr="00A31137" w:rsidRDefault="00A31137" w:rsidP="00A31137">
      <w:r w:rsidRPr="00A31137">
        <w:t>Barbara McQuown</w:t>
      </w:r>
    </w:p>
    <w:p w:rsidR="00A31137" w:rsidRPr="00A31137" w:rsidRDefault="00A31137" w:rsidP="00A31137">
      <w:r w:rsidRPr="00A31137">
        <w:t>Bernie Merritt</w:t>
      </w:r>
    </w:p>
    <w:p w:rsidR="00A31137" w:rsidRPr="00A31137" w:rsidRDefault="00A31137" w:rsidP="00A31137">
      <w:r w:rsidRPr="00A31137">
        <w:t>Bill Miller</w:t>
      </w:r>
    </w:p>
    <w:p w:rsidR="00A31137" w:rsidRPr="00A31137" w:rsidRDefault="00A31137" w:rsidP="00A31137">
      <w:r w:rsidRPr="00A31137">
        <w:t>Kathy Teague</w:t>
      </w:r>
    </w:p>
    <w:p w:rsidR="00A31137" w:rsidRPr="00A31137" w:rsidRDefault="00A31137" w:rsidP="00A31137">
      <w:r w:rsidRPr="00A31137">
        <w:t>Margo Carlisle*</w:t>
      </w:r>
    </w:p>
    <w:p w:rsidR="00A31137" w:rsidRPr="00A31137" w:rsidRDefault="00A31137" w:rsidP="00A31137">
      <w:r w:rsidRPr="00A31137">
        <w:t>Everett Bierman</w:t>
      </w:r>
    </w:p>
    <w:p w:rsidR="00A31137" w:rsidRPr="00A31137" w:rsidRDefault="00A31137" w:rsidP="00A31137">
      <w:r w:rsidRPr="00A31137">
        <w:t>Keith Burger</w:t>
      </w:r>
    </w:p>
    <w:p w:rsidR="00A31137" w:rsidRPr="00A31137" w:rsidRDefault="00A31137" w:rsidP="00A31137">
      <w:r w:rsidRPr="00A31137">
        <w:t>John Carbaugh</w:t>
      </w:r>
    </w:p>
    <w:p w:rsidR="00A31137" w:rsidRPr="00A31137" w:rsidRDefault="00A31137" w:rsidP="00A31137">
      <w:r w:rsidRPr="00A31137">
        <w:t>Angelo Codevilla</w:t>
      </w:r>
    </w:p>
    <w:p w:rsidR="00A31137" w:rsidRPr="00A31137" w:rsidRDefault="00A31137" w:rsidP="00A31137">
      <w:r w:rsidRPr="00A31137">
        <w:t>Michelle Van Cleave</w:t>
      </w:r>
    </w:p>
    <w:p w:rsidR="00A31137" w:rsidRPr="00A31137" w:rsidRDefault="00A31137" w:rsidP="00A31137">
      <w:r w:rsidRPr="00A31137">
        <w:t>Chris Manion*</w:t>
      </w:r>
    </w:p>
    <w:p w:rsidR="00A31137" w:rsidRPr="00A31137" w:rsidRDefault="00A31137" w:rsidP="00A31137">
      <w:r w:rsidRPr="00A31137">
        <w:t>Subcommittee Staff Directors</w:t>
      </w:r>
    </w:p>
    <w:p w:rsidR="00A31137" w:rsidRPr="00A31137" w:rsidRDefault="00A31137" w:rsidP="00A31137">
      <w:r w:rsidRPr="00A31137">
        <w:t>Administrative Staff:</w:t>
      </w:r>
    </w:p>
    <w:p w:rsidR="00A31137" w:rsidRPr="00A31137" w:rsidRDefault="00A31137" w:rsidP="00A31137">
      <w:r w:rsidRPr="00A31137">
        <w:t>Stephen Beck, Cindy Bethel, Alexa FuchsGerrit Gong, Research Assistant</w:t>
      </w:r>
    </w:p>
    <w:p w:rsidR="00A31137" w:rsidRPr="00A31137" w:rsidRDefault="00A31137" w:rsidP="00A31137">
      <w:r w:rsidRPr="00A31137">
        <w:t>President Reagan's Address to Congress Following the Soviet-United States Summit Meeting in Geneva, 1985</w:t>
      </w:r>
    </w:p>
    <w:p w:rsidR="00A31137" w:rsidRPr="00A31137" w:rsidRDefault="00A31137" w:rsidP="00A31137">
      <w:r w:rsidRPr="00A31137">
        <w:t>Title:</w:t>
      </w:r>
      <w:r w:rsidRPr="00A31137">
        <w:tab/>
        <w:t>President Reagan's Address to Congress Following the Soviet-United States Summit Meeting in Geneva</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November 21, 1985</w:t>
      </w:r>
    </w:p>
    <w:p w:rsidR="00A31137" w:rsidRPr="00A31137" w:rsidRDefault="00A31137" w:rsidP="00A31137">
      <w:r w:rsidRPr="00A31137">
        <w:t>Source:</w:t>
      </w:r>
      <w:r w:rsidRPr="00A31137">
        <w:tab/>
        <w:t>Public Papers of the Presidents, Reagan, 1985, pp.1411-1415</w:t>
      </w:r>
    </w:p>
    <w:p w:rsidR="00A31137" w:rsidRPr="00A31137" w:rsidRDefault="00A31137" w:rsidP="00A31137">
      <w:r w:rsidRPr="00A31137">
        <w:t>[This address was delivered before a joint session of the Congress.]</w:t>
      </w:r>
    </w:p>
    <w:p w:rsidR="00A31137" w:rsidRPr="00A31137" w:rsidRDefault="00A31137" w:rsidP="00A31137">
      <w:r w:rsidRPr="00A31137">
        <w:t>Public Papers of Reagan, 1985, p.1411</w:t>
      </w:r>
    </w:p>
    <w:p w:rsidR="00A31137" w:rsidRPr="00A31137" w:rsidRDefault="00A31137" w:rsidP="00A31137">
      <w:r w:rsidRPr="00A31137">
        <w:t>Mr. Speaker, Mr. President, Members of the Congress, distinguished guests, and my fellow Americans:</w:t>
      </w:r>
    </w:p>
    <w:p w:rsidR="00A31137" w:rsidRPr="00A31137" w:rsidRDefault="00A31137" w:rsidP="00A31137">
      <w:r w:rsidRPr="00A31137">
        <w:t>Public Papers of Reagan, 1985, p.1411–p.1412</w:t>
      </w:r>
    </w:p>
    <w:p w:rsidR="00A31137" w:rsidRPr="00A31137" w:rsidRDefault="00A31137" w:rsidP="00A31137">
      <w:r w:rsidRPr="00A31137">
        <w:t>It's great to be home, and Nancy and I [p.1412] thank you for this wonderful homecoming. And before I go on, I want to say a personal thank you to Nancy. She was an outstanding Ambassador of good will for all of us. She didn't know I was going to say that. Mr. Speaker, Senator Dole, I want you to know that your statements of support here were greatly appreciated. You can't imagine how much it means in dealing with the Soviets to have the Congress, the allies, and the American people firmly behind you.</w:t>
      </w:r>
    </w:p>
    <w:p w:rsidR="00A31137" w:rsidRPr="00A31137" w:rsidRDefault="00A31137" w:rsidP="00A31137">
      <w:r w:rsidRPr="00A31137">
        <w:t>Public Papers of Reagan, 1985, p.1412</w:t>
      </w:r>
    </w:p>
    <w:p w:rsidR="00A31137" w:rsidRPr="00A31137" w:rsidRDefault="00A31137" w:rsidP="00A31137">
      <w:r w:rsidRPr="00A31137">
        <w:t>I guess you know that I have just come from Geneva and talks with General Secretary Gorbachev. In the past few days, the past 2 days, we spent over 15 hours in various meetings with the General Secretary and the members of his official party. And approximately 5 of those hours were talks between Mr. Gorbachev and myself, just one on one. That was the best part—our fireside summit. There will be, I know, a great deal of commentary and opinion as to what the meetings produced and what they were like. There were over 3,000 reporters in Geneva, so it's possible there will be 3,000 opinions on what happened. So, maybe it's the old broadcaster in me, but I decided to file my own report directly to you.</w:t>
      </w:r>
    </w:p>
    <w:p w:rsidR="00A31137" w:rsidRPr="00A31137" w:rsidRDefault="00A31137" w:rsidP="00A31137">
      <w:r w:rsidRPr="00A31137">
        <w:t>Public Papers of Reagan, 1985, p.1412</w:t>
      </w:r>
    </w:p>
    <w:p w:rsidR="00A31137" w:rsidRPr="00A31137" w:rsidRDefault="00A31137" w:rsidP="00A31137">
      <w:r w:rsidRPr="00A31137">
        <w:t>We met, as we had to meet. I called for a fresh start, and we made that start. I can't claim that we had a meeting of the minds on such fundamentals as ideology or national purpose, but we understand each other better, and that's a key to peace. I gained a better perspective; I feel he did, too. It was a constructive meeting; so constructive, in fact, that I look forward to welcoming Mr. Gorbachev to the United States next year. And I have accepted his invitation to go to Moscow the following year. We arranged that out in the parking lot. I found Mr. Gorbachev to be an energetic defender of Soviet policy. He was an eloquent speaker and a good listener.</w:t>
      </w:r>
    </w:p>
    <w:p w:rsidR="00A31137" w:rsidRPr="00A31137" w:rsidRDefault="00A31137" w:rsidP="00A31137">
      <w:r w:rsidRPr="00A31137">
        <w:t>Public Papers of Reagan, 1985, p.1412</w:t>
      </w:r>
    </w:p>
    <w:p w:rsidR="00A31137" w:rsidRPr="00A31137" w:rsidRDefault="00A31137" w:rsidP="00A31137">
      <w:r w:rsidRPr="00A31137">
        <w:t>Our subject matter was shaped by the facts of this century. These past 40 years have not been an easy time for the West or for the world. You know the facts; there is no need to recite the historical record. Suffice it to say that the United States cannot afford illusions about the nature of the U.S.S.R. We cannot assume that their ideology and purpose will change; this implies enduring competition. Our task is to assure that this competition remains peaceful. With all that divides us, we cannot afford to let confusion complicate things further. We must be clear with each other and direct. We must pay each other the tribute of candor.</w:t>
      </w:r>
    </w:p>
    <w:p w:rsidR="00A31137" w:rsidRPr="00A31137" w:rsidRDefault="00A31137" w:rsidP="00A31137">
      <w:r w:rsidRPr="00A31137">
        <w:t>Public Papers of Reagan, 1985, p.1412</w:t>
      </w:r>
    </w:p>
    <w:p w:rsidR="00A31137" w:rsidRPr="00A31137" w:rsidRDefault="00A31137" w:rsidP="00A31137">
      <w:r w:rsidRPr="00A31137">
        <w:t>When I took the oath of office for the first time, we began dealing with the Soviet Union in a way that was more realistic than in, say, the recent past. And so, in a very real sense, preparations for the summit started not months ago, but 5 years ago when, with the help of Congress, we began strengthening our economy, restoring our national will, and rebuilding our defenses and alliances. America is once again strong, and our strength has given us the ability to speak with confidence and see that no true opportunity to advance freedom and peace is lost. We must not now abandon policies that work. I need your continued support to keep America strong.</w:t>
      </w:r>
    </w:p>
    <w:p w:rsidR="00A31137" w:rsidRPr="00A31137" w:rsidRDefault="00A31137" w:rsidP="00A31137">
      <w:r w:rsidRPr="00A31137">
        <w:t>Public Papers of Reagan, 1985, p.1412</w:t>
      </w:r>
    </w:p>
    <w:p w:rsidR="00A31137" w:rsidRPr="00A31137" w:rsidRDefault="00A31137" w:rsidP="00A31137">
      <w:r w:rsidRPr="00A31137">
        <w:t>That is the history behind the Geneva summit, and that is the context in which it occurred. And may I add that we were especially eager that our meetings give a push to important talks already underway on reducing nuclear weapons. On this subject it would be foolish not to go the extra mile or, in this case, the extra 4,000 miles. We discussed the great issues of our time. I made clear before the first meeting that no question would be swept aside, no issue buried, just because either side found it uncomfortable or inconvenient. I brought these questions to the summit and put them before Mr. Gorbachev.</w:t>
      </w:r>
    </w:p>
    <w:p w:rsidR="00A31137" w:rsidRPr="00A31137" w:rsidRDefault="00A31137" w:rsidP="00A31137">
      <w:r w:rsidRPr="00A31137">
        <w:t>Public Papers of Reagan, 1985, p.1412</w:t>
      </w:r>
    </w:p>
    <w:p w:rsidR="00A31137" w:rsidRPr="00A31137" w:rsidRDefault="00A31137" w:rsidP="00A31137">
      <w:r w:rsidRPr="00A31137">
        <w:t>We discussed nuclear arms and how to reduce them. I explained our proposals for equitable, verifiable, and deep reductions. I outlined my conviction that our proposals would make not just for a world that feels safer, but one that really is safer. I am pleased to report tonight that General Secretary Gorbachev and I did make a measure of progress here. We have a long way to go, but we're still heading in the right direction. We moved arms control forward from where we were last January, when the Soviets returned to the table. We are both instructing our negotiators to hasten their vital work. The world is waiting for results.</w:t>
      </w:r>
    </w:p>
    <w:p w:rsidR="00A31137" w:rsidRPr="00A31137" w:rsidRDefault="00A31137" w:rsidP="00A31137">
      <w:r w:rsidRPr="00A31137">
        <w:t>Public Papers of Reagan, 1985, p.1413</w:t>
      </w:r>
    </w:p>
    <w:p w:rsidR="00A31137" w:rsidRPr="00A31137" w:rsidRDefault="00A31137" w:rsidP="00A31137">
      <w:r w:rsidRPr="00A31137">
        <w:t>Specifically, we agreed in Geneva that each side should move to cut offensive nuclear arms by 50 percent in appropriate categories. In our joint statement we called for early progress on this, turning the talks toward our chief goal—offensive reductions. We called for an interim accord on intermediate-range nuclear forces, leading, I hope, to the complete elimination of this class of missiles—and all of this with tough verification. We also made progress in combating, together, the spread of nuclear weapons, an arms control area in which we've cooperated effectively over the years.</w:t>
      </w:r>
    </w:p>
    <w:p w:rsidR="00A31137" w:rsidRPr="00A31137" w:rsidRDefault="00A31137" w:rsidP="00A31137">
      <w:r w:rsidRPr="00A31137">
        <w:t>Public Papers of Reagan, 1985, p.1413</w:t>
      </w:r>
    </w:p>
    <w:p w:rsidR="00A31137" w:rsidRPr="00A31137" w:rsidRDefault="00A31137" w:rsidP="00A31137">
      <w:r w:rsidRPr="00A31137">
        <w:t>We are also opening a dialog on combating the spread and use of chemical weapons, while moving to ban them altogether. Other arms control dialogs—in Vienna on conventional forces and in Stockholm on lessening the chances for surprise attack in Europe—also received a boost. And finally, we agreed to begin work on risk reduction centers, a decision that should give special satisfaction to Senators Nunn and Warner who so ably promoted this idea.</w:t>
      </w:r>
    </w:p>
    <w:p w:rsidR="00A31137" w:rsidRPr="00A31137" w:rsidRDefault="00A31137" w:rsidP="00A31137">
      <w:r w:rsidRPr="00A31137">
        <w:t>Public Papers of Reagan, 1985, p.1413</w:t>
      </w:r>
    </w:p>
    <w:p w:rsidR="00A31137" w:rsidRPr="00A31137" w:rsidRDefault="00A31137" w:rsidP="00A31137">
      <w:r w:rsidRPr="00A31137">
        <w:t>I described our Strategic Defense Initiative, our research effort, that envisions the possibility of defensive systems which could ultimately protect all nations against the danger of nuclear war. This discussion produced a very direct exchange of views. Mr. Gorbachev insisted that we might use a strategic defense system to put offensive weapons into space and establish nuclear superiority. I made it clear that SDI has nothing to do with offensive weapons; that, instead, we are investigating nonnuclear defense systems that would only threaten offensive missiles, not people. If our research succeeds, it will bring much closer the safer, more stable world that we seek. Nations could defend themselves against missile attack and mankind, at long last, escape the prison of mutual terror. And this is my dream.</w:t>
      </w:r>
    </w:p>
    <w:p w:rsidR="00A31137" w:rsidRPr="00A31137" w:rsidRDefault="00A31137" w:rsidP="00A31137">
      <w:r w:rsidRPr="00A31137">
        <w:t>Public Papers of Reagan, 1985, p.1413</w:t>
      </w:r>
    </w:p>
    <w:p w:rsidR="00A31137" w:rsidRPr="00A31137" w:rsidRDefault="00A31137" w:rsidP="00A31137">
      <w:r w:rsidRPr="00A31137">
        <w:t>So, I welcomed the chance to tell Mr. Gorbachev that we are a nation that defends, rather than attacks; that our alliances are defensive, not offensive. We don't seek nuclear superiority. We do not seek a first strike advantage over the Soviet Union. Indeed, one of my fundamental arms control objectives is to get rid of first-strike weapons altogether. This is why we've proposed a 50-percent reduction in the most threatening nuclear weapons, especially those that could carry out a first strike.</w:t>
      </w:r>
    </w:p>
    <w:p w:rsidR="00A31137" w:rsidRPr="00A31137" w:rsidRDefault="00A31137" w:rsidP="00A31137">
      <w:r w:rsidRPr="00A31137">
        <w:t>Public Papers of Reagan, 1985, p.1413</w:t>
      </w:r>
    </w:p>
    <w:p w:rsidR="00A31137" w:rsidRPr="00A31137" w:rsidRDefault="00A31137" w:rsidP="00A31137">
      <w:r w:rsidRPr="00A31137">
        <w:t>I went further in expressing our peaceful intentions. I described our proposal in the Geneva negotiations for a reciprocal program of open laboratories in strategic defense research. We're offering to permit Soviet experts to see firsthand that SDI does not involve offensive weapons. American scientists would be allowed to visit comparable facilities of the Soviet strategic defense program, which, in fact, has involved much more than research for many years. Finally, I reassured Mr. Gorbachev on another point. I promised that if our research reveals that a defense against nuclear missiles is possible, we would sit down with our allies and the Soviet Union to see how together we could replace all strategic ballistic missiles with such a defense, which threatens no one.</w:t>
      </w:r>
    </w:p>
    <w:p w:rsidR="00A31137" w:rsidRPr="00A31137" w:rsidRDefault="00A31137" w:rsidP="00A31137">
      <w:r w:rsidRPr="00A31137">
        <w:t>Public Papers of Reagan, 1985, p.1413</w:t>
      </w:r>
    </w:p>
    <w:p w:rsidR="00A31137" w:rsidRPr="00A31137" w:rsidRDefault="00A31137" w:rsidP="00A31137">
      <w:r w:rsidRPr="00A31137">
        <w:t>We discussed threats to the peace in several regions of the world. I explained my proposals for a peace process to stop the wars in Afghanistan, Nicaragua, Ethiopia, Angola, and Cambodia—those places where insurgencies that speak for the people are pitted against regimes which obviously do not represent the will or the approval of the people. I tried to be very clear about where our sympathies lie; I believe I succeeded. We discussed human rights. We Americans believe that history teaches no clearer lesson than this: Those countries which respect the rights of their own people tend, inevitably, to respect the rights of their neighbors. Human rights, therefore, is not an abstract moral issue; it is a peace issue. Finally, we discussed the barriers to communication between our societies, and I elaborated on my proposals for real people-to-people contacts on a wide scale. Americans should know the people of the Soviet Union—their hopes and fears and the facts of their lives. And citizens of the Soviet Union need to know of America's deep desire for peace and our unwavering attachment to freedom.</w:t>
      </w:r>
    </w:p>
    <w:p w:rsidR="00A31137" w:rsidRPr="00A31137" w:rsidRDefault="00A31137" w:rsidP="00A31137">
      <w:r w:rsidRPr="00A31137">
        <w:t>Public Papers of Reagan, 1985, p.1413–p.1414</w:t>
      </w:r>
    </w:p>
    <w:p w:rsidR="00A31137" w:rsidRPr="00A31137" w:rsidRDefault="00A31137" w:rsidP="00A31137">
      <w:r w:rsidRPr="00A31137">
        <w:t>As you can see, our talks were wide ranging. And let me at this point tell you what we agreed upon and what we didn't. We remain far apart on a number of issues, as [p.1414] had to be expected. However, we reached agreement on a number of matters, and as I mentioned, we agreed to continue meeting, and this is important and very good. There's always room for movement, action, and progress when people are talking to each other instead of about each other.</w:t>
      </w:r>
    </w:p>
    <w:p w:rsidR="00A31137" w:rsidRPr="00A31137" w:rsidRDefault="00A31137" w:rsidP="00A31137">
      <w:r w:rsidRPr="00A31137">
        <w:t>Public Papers of Reagan, 1985, p.1414</w:t>
      </w:r>
    </w:p>
    <w:p w:rsidR="00A31137" w:rsidRPr="00A31137" w:rsidRDefault="00A31137" w:rsidP="00A31137">
      <w:r w:rsidRPr="00A31137">
        <w:t>We've concluded a new agreement designed to bring the best of America's artists and academics to the Soviet Union. The exhibits that will be included in this exchange are one of the most effective ways for the average Soviet citizen to learn about our way of life. This agreement will also expand the opportunities for Americans to experience the Soviet people's rich cultural heritage, because their artists and academics will be coming here. We've also decided to go forward with a number of people-to-people initiatives that will go beyond greater contact, not only between the political leaders of our two countries but our respective students, teachers, and others as well. We have emphasized youth exchanges. And this will help break down stereotypes, build friendships, and, frankly, provide an alternative to propaganda.</w:t>
      </w:r>
    </w:p>
    <w:p w:rsidR="00A31137" w:rsidRPr="00A31137" w:rsidRDefault="00A31137" w:rsidP="00A31137">
      <w:r w:rsidRPr="00A31137">
        <w:t>Public Papers of Reagan, 1985, p.1414</w:t>
      </w:r>
    </w:p>
    <w:p w:rsidR="00A31137" w:rsidRPr="00A31137" w:rsidRDefault="00A31137" w:rsidP="00A31137">
      <w:r w:rsidRPr="00A31137">
        <w:t>We've agreed to establish a new Soviet consulate in New York and a new American consulate in Kiev. And this will bring a permanent U.S. presence to the Ukraine for the first time in decades. And we have also, together with the Government of Japan, concluded a Pacific air safety agreement with the Soviet Union. This is designed to set up cooperative measures to improve civil air safety in that region of the Pacific. What happened before must never to be allowed to happen there again. And as a potential way of dealing with the energy needs of the world of the future, we have also advocated international cooperation to explore the feasibility of developing fusion energy.</w:t>
      </w:r>
    </w:p>
    <w:p w:rsidR="00A31137" w:rsidRPr="00A31137" w:rsidRDefault="00A31137" w:rsidP="00A31137">
      <w:r w:rsidRPr="00A31137">
        <w:t>Public Papers of Reagan, 1985, p.1414</w:t>
      </w:r>
    </w:p>
    <w:p w:rsidR="00A31137" w:rsidRPr="00A31137" w:rsidRDefault="00A31137" w:rsidP="00A31137">
      <w:r w:rsidRPr="00A31137">
        <w:t>All of these steps are part of a long-term effort to build a more stable relationship with the Soviet Union. No one ever said it could be easy, but we've come a long way. As for Soviet expansionism in a number of regions of the world—while there is little chance of immediate change, we will continue to support the heroic efforts of those who fight for freedom. But we have also agreed to continue, and to intensify, our meetings with the Soviets on this and other regional conflicts and to work toward political solutions.</w:t>
      </w:r>
    </w:p>
    <w:p w:rsidR="00A31137" w:rsidRPr="00A31137" w:rsidRDefault="00A31137" w:rsidP="00A31137">
      <w:r w:rsidRPr="00A31137">
        <w:t>Public Papers of Reagan, 1985, p.1414</w:t>
      </w:r>
    </w:p>
    <w:p w:rsidR="00A31137" w:rsidRPr="00A31137" w:rsidRDefault="00A31137" w:rsidP="00A31137">
      <w:r w:rsidRPr="00A31137">
        <w:t>We know the limits as well as the promise of summit meetings. This is, after all, the 11th summit of the postwar era and still the differences endure. But we believe continued meetings between the leaders of the United States and the Soviet Union can help bridge those differences. The fact is, every new day begins with possibilities; .it's up to us to fill it with the things that move us toward progress and peace. Hope, therefore, is a realistic attitude and despair an uninteresting little vice.</w:t>
      </w:r>
    </w:p>
    <w:p w:rsidR="00A31137" w:rsidRPr="00A31137" w:rsidRDefault="00A31137" w:rsidP="00A31137">
      <w:r w:rsidRPr="00A31137">
        <w:t>Public Papers of Reagan, 1985, p.1414</w:t>
      </w:r>
    </w:p>
    <w:p w:rsidR="00A31137" w:rsidRPr="00A31137" w:rsidRDefault="00A31137" w:rsidP="00A31137">
      <w:r w:rsidRPr="00A31137">
        <w:t>And so, was our journey worthwhile? Well, 30 years ago, when Ike, President Eisenhower, had just returned from a summit in Geneva, he said, "…the wide gulf that separates so far East and West is wide and deep." Well, today, three decades later, that is still true. But, yes, this meeting was worthwhile for both sides. A new realism spawned the summit. The summit itself was a good start, and now our byword must be: steady as we go. I am, as you are, impatient for results. But good will and good hopes do not always yield lasting results, and quick fixes don't fix big problems. Just as we must avoid illusions on our side, so we must dispel them on the Soviet side. I have made it clear to Mr. Gorbachev that we must reduce the mistrust and suspicions between us if we are to do such things as reduce arms, and this will take deeds, not words alone. And I believe he is in agreement.</w:t>
      </w:r>
    </w:p>
    <w:p w:rsidR="00A31137" w:rsidRPr="00A31137" w:rsidRDefault="00A31137" w:rsidP="00A31137">
      <w:r w:rsidRPr="00A31137">
        <w:t>Public Papers of Reagan, 1985, p.1414</w:t>
      </w:r>
    </w:p>
    <w:p w:rsidR="00A31137" w:rsidRPr="00A31137" w:rsidRDefault="00A31137" w:rsidP="00A31137">
      <w:r w:rsidRPr="00A31137">
        <w:t>Where do we go from here? Well, our desire for improved relations is strong. We're ready and eager for step-by-step progress. We know that peace is not just the absence of war. We don't want a phony peace or a frail peace. We didn't go in pursuit of some kind of illusory detente. We can't be satisfied with cosmetic improvements that won't stand the test of time. We want real peace.</w:t>
      </w:r>
    </w:p>
    <w:p w:rsidR="00A31137" w:rsidRPr="00A31137" w:rsidRDefault="00A31137" w:rsidP="00A31137">
      <w:r w:rsidRPr="00A31137">
        <w:t>Public Papers of Reagan, 1985, p.1414–p.1415</w:t>
      </w:r>
    </w:p>
    <w:p w:rsidR="00A31137" w:rsidRPr="00A31137" w:rsidRDefault="00A31137" w:rsidP="00A31137">
      <w:r w:rsidRPr="00A31137">
        <w:t>As I flew back this evening, I had many thoughts. In just a few days families across America will gather to celebrate Thanksgiving. And again, as our forefathers who voyaged to America, we traveled to Geneva with peace as our goal and freedom as our guide. For there can be no greater good [p.1415] than the quest for peace and no finer purpose than the preservation of freedom. It is 350 years since the first Thanksgiving, when Pilgrims and Indians huddled together on the edge of an unknown continent. And now here we are gathered together on the edge of an unknown future, but, like our forefathers, really not so much afraid, but full of hope and trusting in God, as ever.</w:t>
      </w:r>
    </w:p>
    <w:p w:rsidR="00A31137" w:rsidRPr="00A31137" w:rsidRDefault="00A31137" w:rsidP="00A31137">
      <w:r w:rsidRPr="00A31137">
        <w:t>Public Papers of Reagan, 1985, p.1415</w:t>
      </w:r>
    </w:p>
    <w:p w:rsidR="00A31137" w:rsidRPr="00A31137" w:rsidRDefault="00A31137" w:rsidP="00A31137">
      <w:r w:rsidRPr="00A31137">
        <w:t>Thank you for allowing me to talk to you this evening, and God bless you all.</w:t>
      </w:r>
    </w:p>
    <w:p w:rsidR="00A31137" w:rsidRPr="00A31137" w:rsidRDefault="00A31137" w:rsidP="00A31137">
      <w:r w:rsidRPr="00A31137">
        <w:t>Public Papers of Reagan, 1985, p.1415</w:t>
      </w:r>
    </w:p>
    <w:p w:rsidR="00A31137" w:rsidRPr="00A31137" w:rsidRDefault="00A31137" w:rsidP="00A31137">
      <w:r w:rsidRPr="00A31137">
        <w:t>NOTE: The President spoke at 9:20 p.m. in the House Chamber of the Capitol. He was introduced by Thomas P. O'Neill, Jr., Speaker of the House of Representatives. The address was broadcast live on nationwide radio and television.</w:t>
      </w:r>
    </w:p>
    <w:p w:rsidR="00A31137" w:rsidRPr="00A31137" w:rsidRDefault="00A31137" w:rsidP="00A31137">
      <w:r w:rsidRPr="00A31137">
        <w:t>President Reagan's Message on the Observance of Martin Luther King, Jr. Day, 1986</w:t>
      </w:r>
    </w:p>
    <w:p w:rsidR="00A31137" w:rsidRPr="00A31137" w:rsidRDefault="00A31137" w:rsidP="00A31137">
      <w:r w:rsidRPr="00A31137">
        <w:t>Title:</w:t>
      </w:r>
      <w:r w:rsidRPr="00A31137">
        <w:tab/>
        <w:t>President Reagan's Message on the Observance of Martin Luther King, Jr. Day</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14, 1986</w:t>
      </w:r>
    </w:p>
    <w:p w:rsidR="00A31137" w:rsidRPr="00A31137" w:rsidRDefault="00A31137" w:rsidP="00A31137">
      <w:r w:rsidRPr="00A31137">
        <w:t>Source:</w:t>
      </w:r>
      <w:r w:rsidRPr="00A31137">
        <w:tab/>
        <w:t>Public Papers of the Presidents, Reagan, 1986, p.47</w:t>
      </w:r>
    </w:p>
    <w:p w:rsidR="00A31137" w:rsidRPr="00A31137" w:rsidRDefault="00A31137" w:rsidP="00A31137">
      <w:r w:rsidRPr="00A31137">
        <w:t>Public Papers of Reagan, 1986, p.47</w:t>
      </w:r>
    </w:p>
    <w:p w:rsidR="00A31137" w:rsidRPr="00A31137" w:rsidRDefault="00A31137" w:rsidP="00A31137">
      <w:r w:rsidRPr="00A31137">
        <w:t>I am pleased to send my warm greetings to all those celebrating our nation's first observance of Martin Luther King, Jr. Day as a Federal holiday.</w:t>
      </w:r>
    </w:p>
    <w:p w:rsidR="00A31137" w:rsidRPr="00A31137" w:rsidRDefault="00A31137" w:rsidP="00A31137">
      <w:r w:rsidRPr="00A31137">
        <w:t>Public Papers of Reagan, 1986, p.47</w:t>
      </w:r>
    </w:p>
    <w:p w:rsidR="00A31137" w:rsidRPr="00A31137" w:rsidRDefault="00A31137" w:rsidP="00A31137">
      <w:r w:rsidRPr="00A31137">
        <w:t>Dr. King forged a dream out of the values of his religion and the ideals of our nation's founders. He cherished the dream of a world where human dignity was respected, human rights were protected, and all stood equal before the law. Like Lincoln, he sought the full realization of the principles set forth in our Declaration of Independence.</w:t>
      </w:r>
    </w:p>
    <w:p w:rsidR="00A31137" w:rsidRPr="00A31137" w:rsidRDefault="00A31137" w:rsidP="00A31137">
      <w:r w:rsidRPr="00A31137">
        <w:t>Public Papers of Reagan, 1986, p.47</w:t>
      </w:r>
    </w:p>
    <w:p w:rsidR="00A31137" w:rsidRPr="00A31137" w:rsidRDefault="00A31137" w:rsidP="00A31137">
      <w:r w:rsidRPr="00A31137">
        <w:t>So, as we celebrate the birth of Martin Luther King, Jr., let us recommit ourselves to living his dream. As we rejoice in his achievements and mourn again his untimely death, let us emulate the profound faith and the deep love for humanity that inspired him. Let us work without tiring for a world at peace, in which justice and freedom prevail.</w:t>
      </w:r>
    </w:p>
    <w:p w:rsidR="00A31137" w:rsidRPr="00A31137" w:rsidRDefault="00A31137" w:rsidP="00A31137">
      <w:r w:rsidRPr="00A31137">
        <w:t>Public Papers of Reagan, 1986, p.47</w:t>
      </w:r>
    </w:p>
    <w:p w:rsidR="00A31137" w:rsidRPr="00A31137" w:rsidRDefault="00A31137" w:rsidP="00A31137">
      <w:r w:rsidRPr="00A31137">
        <w:t>Nancy joins me in wishing all of you a celebration filled with joy and meaning.</w:t>
      </w:r>
    </w:p>
    <w:p w:rsidR="00A31137" w:rsidRPr="00A31137" w:rsidRDefault="00A31137" w:rsidP="00A31137">
      <w:r w:rsidRPr="00A31137">
        <w:t>Public Papers of Reagan, 1986, p.47</w:t>
      </w:r>
    </w:p>
    <w:p w:rsidR="00A31137" w:rsidRPr="00A31137" w:rsidRDefault="00A31137" w:rsidP="00A31137">
      <w:r w:rsidRPr="00A31137">
        <w:t>RONALD REAGAN</w:t>
      </w:r>
    </w:p>
    <w:p w:rsidR="00A31137" w:rsidRPr="00A31137" w:rsidRDefault="00A31137" w:rsidP="00A31137">
      <w:r w:rsidRPr="00A31137">
        <w:t>President Reagan's Interview With Tom Brokaw of NBC News Prior to Super Bowl XX, 1986</w:t>
      </w:r>
    </w:p>
    <w:p w:rsidR="00A31137" w:rsidRPr="00A31137" w:rsidRDefault="00A31137" w:rsidP="00A31137">
      <w:r w:rsidRPr="00A31137">
        <w:t>Title:</w:t>
      </w:r>
      <w:r w:rsidRPr="00A31137">
        <w:tab/>
        <w:t>President Reagan's Interview With Tom Brokaw of NBC News Prior to Super Bowl XX</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26, 1986</w:t>
      </w:r>
    </w:p>
    <w:p w:rsidR="00A31137" w:rsidRPr="00A31137" w:rsidRDefault="00A31137" w:rsidP="00A31137">
      <w:r w:rsidRPr="00A31137">
        <w:t>Source:</w:t>
      </w:r>
      <w:r w:rsidRPr="00A31137">
        <w:tab/>
        <w:t>Public Papers of the Presidents, Reagan, 1986, pp.86-88</w:t>
      </w:r>
    </w:p>
    <w:p w:rsidR="00A31137" w:rsidRPr="00A31137" w:rsidRDefault="00A31137" w:rsidP="00A31137">
      <w:r w:rsidRPr="00A31137">
        <w:t>Public Papers of Reagan, 1986, p.86</w:t>
      </w:r>
    </w:p>
    <w:p w:rsidR="00A31137" w:rsidRPr="00A31137" w:rsidRDefault="00A31137" w:rsidP="00A31137">
      <w:r w:rsidRPr="00A31137">
        <w:t>Mr. Brokaw. Mr. President, thanks for being with us today.</w:t>
      </w:r>
    </w:p>
    <w:p w:rsidR="00A31137" w:rsidRPr="00A31137" w:rsidRDefault="00A31137" w:rsidP="00A31137">
      <w:r w:rsidRPr="00A31137">
        <w:t>Public Papers of Reagan, 1986, p.86</w:t>
      </w:r>
    </w:p>
    <w:p w:rsidR="00A31137" w:rsidRPr="00A31137" w:rsidRDefault="00A31137" w:rsidP="00A31137">
      <w:r w:rsidRPr="00A31137">
        <w:t>The President. Well, I'm pleased to be here.</w:t>
      </w:r>
    </w:p>
    <w:p w:rsidR="00A31137" w:rsidRPr="00A31137" w:rsidRDefault="00A31137" w:rsidP="00A31137">
      <w:r w:rsidRPr="00A31137">
        <w:t>Public Papers of Reagan, 1986, p.86</w:t>
      </w:r>
    </w:p>
    <w:p w:rsidR="00A31137" w:rsidRPr="00A31137" w:rsidRDefault="00A31137" w:rsidP="00A31137">
      <w:r w:rsidRPr="00A31137">
        <w:t>Mr. Brokaw. Over, what, almost 20 years now, I've asked you a lot of questions about a variety of subjects—</w:t>
      </w:r>
    </w:p>
    <w:p w:rsidR="00A31137" w:rsidRPr="00A31137" w:rsidRDefault="00A31137" w:rsidP="00A31137">
      <w:r w:rsidRPr="00A31137">
        <w:t>Public Papers of Reagan, 1986, p.86</w:t>
      </w:r>
    </w:p>
    <w:p w:rsidR="00A31137" w:rsidRPr="00A31137" w:rsidRDefault="00A31137" w:rsidP="00A31137">
      <w:r w:rsidRPr="00A31137">
        <w:t>The President. Yes.</w:t>
      </w:r>
    </w:p>
    <w:p w:rsidR="00A31137" w:rsidRPr="00A31137" w:rsidRDefault="00A31137" w:rsidP="00A31137">
      <w:r w:rsidRPr="00A31137">
        <w:t>Public Papers of Reagan, 1986, p.86</w:t>
      </w:r>
    </w:p>
    <w:p w:rsidR="00A31137" w:rsidRPr="00A31137" w:rsidRDefault="00A31137" w:rsidP="00A31137">
      <w:r w:rsidRPr="00A31137">
        <w:t>Mr. Brokaw. —but seldom have so many people been so interested as they are in this next question. I know you're the representative of all the people, but the time has come, Mr. President, for you to make a choice. Now, who do you like: the Bears or the Patriots?</w:t>
      </w:r>
    </w:p>
    <w:p w:rsidR="00A31137" w:rsidRPr="00A31137" w:rsidRDefault="00A31137" w:rsidP="00A31137">
      <w:r w:rsidRPr="00A31137">
        <w:t>Public Papers of Reagan, 1986, p.86</w:t>
      </w:r>
    </w:p>
    <w:p w:rsidR="00A31137" w:rsidRPr="00A31137" w:rsidRDefault="00A31137" w:rsidP="00A31137">
      <w:r w:rsidRPr="00A31137">
        <w:t>The President. I think they're both great teams. I recognize that, in my position, I'm not supposed to take sides. I have to say it's very easy, though, to really be, well, proud of and approving of both of these teams. The Patriots and all that they've gone through and—starting, as they did, later in the season, recovering and coming back and being there in the Super Bowl—and the length of time the people have waited for this, but on the other hand I go back in memory to the Bears and a close personal friendship with "Papa Bear," George Halas, when he was alive. So, I'm just going to say, "May the best team win."</w:t>
      </w:r>
    </w:p>
    <w:p w:rsidR="00A31137" w:rsidRPr="00A31137" w:rsidRDefault="00A31137" w:rsidP="00A31137">
      <w:r w:rsidRPr="00A31137">
        <w:t>Public Papers of Reagan, 1986, p.86</w:t>
      </w:r>
    </w:p>
    <w:p w:rsidR="00A31137" w:rsidRPr="00A31137" w:rsidRDefault="00A31137" w:rsidP="00A31137">
      <w:r w:rsidRPr="00A31137">
        <w:t>Mr. Brokaw. We shouldn't read too much into the fact that you're wearing red, which—Patriot colors.</w:t>
      </w:r>
    </w:p>
    <w:p w:rsidR="00A31137" w:rsidRPr="00A31137" w:rsidRDefault="00A31137" w:rsidP="00A31137">
      <w:r w:rsidRPr="00A31137">
        <w:t>Public Papers of Reagan, 1986, p.86</w:t>
      </w:r>
    </w:p>
    <w:p w:rsidR="00A31137" w:rsidRPr="00A31137" w:rsidRDefault="00A31137" w:rsidP="00A31137">
      <w:r w:rsidRPr="00A31137">
        <w:t>The President. I worried about that while I was watching the pregame show here and wondered whether I maybe should change into a neutral color. And then I saw a shot of the Chicago Bears, and one of them was wearing a red sweater, and I decided it was all right.</w:t>
      </w:r>
    </w:p>
    <w:p w:rsidR="00A31137" w:rsidRPr="00A31137" w:rsidRDefault="00A31137" w:rsidP="00A31137">
      <w:r w:rsidRPr="00A31137">
        <w:t>Public Papers of Reagan, 1986, p.86</w:t>
      </w:r>
    </w:p>
    <w:p w:rsidR="00A31137" w:rsidRPr="00A31137" w:rsidRDefault="00A31137" w:rsidP="00A31137">
      <w:r w:rsidRPr="00A31137">
        <w:t>Mr. Brokaw. Super Bowl Sunday has become a kind of undeclared national holiday. Do you think that occasions like this help shape our national character, or are they really just kind of entertaining diversions from things like the deficit and terrorism and Qadhafi and so on?</w:t>
      </w:r>
    </w:p>
    <w:p w:rsidR="00A31137" w:rsidRPr="00A31137" w:rsidRDefault="00A31137" w:rsidP="00A31137">
      <w:r w:rsidRPr="00A31137">
        <w:t>Public Papers of Reagan, 1986, p.86</w:t>
      </w:r>
    </w:p>
    <w:p w:rsidR="00A31137" w:rsidRPr="00A31137" w:rsidRDefault="00A31137" w:rsidP="00A31137">
      <w:r w:rsidRPr="00A31137">
        <w:t>The President. Well, I think it's typically American that we can have—or be diverted by things like this from the serious problems, and I think it's part of the American personality. And I know that other countries take athletics seriously, too, but there's something different about it in America. It's so much a part of American life that I think it's a part of our personality.</w:t>
      </w:r>
    </w:p>
    <w:p w:rsidR="00A31137" w:rsidRPr="00A31137" w:rsidRDefault="00A31137" w:rsidP="00A31137">
      <w:r w:rsidRPr="00A31137">
        <w:t>Public Papers of Reagan, 1986, p.86</w:t>
      </w:r>
    </w:p>
    <w:p w:rsidR="00A31137" w:rsidRPr="00A31137" w:rsidRDefault="00A31137" w:rsidP="00A31137">
      <w:r w:rsidRPr="00A31137">
        <w:t>Mr. Brokaw. I know that football was important to you as a young man, so last week I called your old college football coach, Ralph McKinzie, at Eureka College. He's 91 years old.</w:t>
      </w:r>
    </w:p>
    <w:p w:rsidR="00A31137" w:rsidRPr="00A31137" w:rsidRDefault="00A31137" w:rsidP="00A31137">
      <w:r w:rsidRPr="00A31137">
        <w:t>Public Papers of Reagan, 1986, p.86</w:t>
      </w:r>
    </w:p>
    <w:p w:rsidR="00A31137" w:rsidRPr="00A31137" w:rsidRDefault="00A31137" w:rsidP="00A31137">
      <w:r w:rsidRPr="00A31137">
        <w:t>The President. Yes.</w:t>
      </w:r>
    </w:p>
    <w:p w:rsidR="00A31137" w:rsidRPr="00A31137" w:rsidRDefault="00A31137" w:rsidP="00A31137">
      <w:r w:rsidRPr="00A31137">
        <w:t>Public Papers of Reagan, 1986, p.86</w:t>
      </w:r>
    </w:p>
    <w:p w:rsidR="00A31137" w:rsidRPr="00A31137" w:rsidRDefault="00A31137" w:rsidP="00A31137">
      <w:r w:rsidRPr="00A31137">
        <w:t>Mr. Brokaw.—still strong of voice. Now, here's what he told me. He said that you were "eager, aggressive, better on defense, but overall an average football player, but an outstanding talker." [Laughter] Is that a fair scouting report?</w:t>
      </w:r>
    </w:p>
    <w:p w:rsidR="00A31137" w:rsidRPr="00A31137" w:rsidRDefault="00A31137" w:rsidP="00A31137">
      <w:r w:rsidRPr="00A31137">
        <w:t>Public Papers of Reagan, 1986, p.86–p.87</w:t>
      </w:r>
    </w:p>
    <w:p w:rsidR="00A31137" w:rsidRPr="00A31137" w:rsidRDefault="00A31137" w:rsidP="00A31137">
      <w:r w:rsidRPr="00A31137">
        <w:t>The President. Well, probably. And I'm pleased that he did remember that much. After 91 years, he's still coaching. So, there've been how many hundreds or thousands of young men have come through the ranks with him. But I remember him very [p.87] vividly as a coach. He could demonstrate as well as tell you, because he had been a star at Eureka College, a great star himself.</w:t>
      </w:r>
    </w:p>
    <w:p w:rsidR="00A31137" w:rsidRPr="00A31137" w:rsidRDefault="00A31137" w:rsidP="00A31137">
      <w:r w:rsidRPr="00A31137">
        <w:t>Public Papers of Reagan, 1986, p.87</w:t>
      </w:r>
    </w:p>
    <w:p w:rsidR="00A31137" w:rsidRPr="00A31137" w:rsidRDefault="00A31137" w:rsidP="00A31137">
      <w:r w:rsidRPr="00A31137">
        <w:t>But I remember, for example, one day running plays. And to make scrimmage more even in practice, we would have the first-string backfield with the second-string line and the first-string line with the second-string backfield—kind of even things up. So, he was teaching a play to the first-string backfield over there, and the fellow that was to carry the ball wasn't getting it right. And Mac—this was his way—he just came in and gently pushed him aside and says, "Now, wait a minute. Watch this." Now, we in the line on the other side, we know what the play is; we know where the man's coming. In fact, I got my hands on Mac when he came through, and I hurt every place he touched me. And right through the varsity line and the second-string backfield, back with the ball, threw the ball down, and says, "Now, do it that-away."</w:t>
      </w:r>
    </w:p>
    <w:p w:rsidR="00A31137" w:rsidRPr="00A31137" w:rsidRDefault="00A31137" w:rsidP="00A31137">
      <w:r w:rsidRPr="00A31137">
        <w:t>Public Papers of Reagan, 1986, p.87</w:t>
      </w:r>
    </w:p>
    <w:p w:rsidR="00A31137" w:rsidRPr="00A31137" w:rsidRDefault="00A31137" w:rsidP="00A31137">
      <w:r w:rsidRPr="00A31137">
        <w:t>Mr. Brokaw. Now, you were a guard; and Presidents Ford, Nixon, and Kennedy also played in the line. What is there about the line that prepares you for Presidential politics better than the backfield, it appears?</w:t>
      </w:r>
    </w:p>
    <w:p w:rsidR="00A31137" w:rsidRPr="00A31137" w:rsidRDefault="00A31137" w:rsidP="00A31137">
      <w:r w:rsidRPr="00A31137">
        <w:t>Public Papers of Reagan, 1986, p.87</w:t>
      </w:r>
    </w:p>
    <w:p w:rsidR="00A31137" w:rsidRPr="00A31137" w:rsidRDefault="00A31137" w:rsidP="00A31137">
      <w:r w:rsidRPr="00A31137">
        <w:t>The President. Well, you know, the line certainly feels that those fellows behind them wouldn't be able to do anything if we didn't pave the way for them. But, no, I was a guard; and 3 years of varsity ball at Eureka, I averaged all but 2 minutes of every game.</w:t>
      </w:r>
    </w:p>
    <w:p w:rsidR="00A31137" w:rsidRPr="00A31137" w:rsidRDefault="00A31137" w:rsidP="00A31137">
      <w:r w:rsidRPr="00A31137">
        <w:t>Public Papers of Reagan, 1986, p.87</w:t>
      </w:r>
    </w:p>
    <w:p w:rsidR="00A31137" w:rsidRPr="00A31137" w:rsidRDefault="00A31137" w:rsidP="00A31137">
      <w:r w:rsidRPr="00A31137">
        <w:t>Mr. Brokaw. And then when you became a film star, you got to play the part of the legendary George Gipp of Notre Dame, the Gipper, a great running back. But lately, we've learned that Gipp was not only a great athlete, but he was a bit of a rogue. He was a pool shark and a card shark and—</w:t>
      </w:r>
    </w:p>
    <w:p w:rsidR="00A31137" w:rsidRPr="00A31137" w:rsidRDefault="00A31137" w:rsidP="00A31137">
      <w:r w:rsidRPr="00A31137">
        <w:t>Public Papers of Reagan, 1986, p.87</w:t>
      </w:r>
    </w:p>
    <w:p w:rsidR="00A31137" w:rsidRPr="00A31137" w:rsidRDefault="00A31137" w:rsidP="00A31137">
      <w:r w:rsidRPr="00A31137">
        <w:t>The President. There were some, but he was as loyal and as principled about football and winning for Rockne. Yes, I knew some of those stories about him. As a matter of fact, I had been trying to write the story, when I got in pictures, with the idea of playing Gipp. And Warner Brothers bought the life story of Knute Rockne, and there it was. But, yes, Gipp was older than the rest of the fellows and totally dedicated to winning and all, but he was a fellow that could almost—it was like Babe Ruth pointing at the center field fence and then hitting it over that fence—he could almost do whatever he said he would do. And Mrs. Rockne, who was on the picture with us, told us that he was the only man in all those years that ever really got under Rock's skin to where there was a kind of father-son relationship with him.</w:t>
      </w:r>
    </w:p>
    <w:p w:rsidR="00A31137" w:rsidRPr="00A31137" w:rsidRDefault="00A31137" w:rsidP="00A31137">
      <w:r w:rsidRPr="00A31137">
        <w:t>Public Papers of Reagan, 1986, p.87</w:t>
      </w:r>
    </w:p>
    <w:p w:rsidR="00A31137" w:rsidRPr="00A31137" w:rsidRDefault="00A31137" w:rsidP="00A31137">
      <w:r w:rsidRPr="00A31137">
        <w:t>Mr. Brokaw. The Oval Office may be the only office in America that doesn't have a betting pool going on the Super Bowl. Someone has estimated that, what, $2 billion may be wagered on this Sunday, most of it illegally. Does that bother you at all—that there's so much betting on football?</w:t>
      </w:r>
    </w:p>
    <w:p w:rsidR="00A31137" w:rsidRPr="00A31137" w:rsidRDefault="00A31137" w:rsidP="00A31137">
      <w:r w:rsidRPr="00A31137">
        <w:t>Public Papers of Reagan, 1986, p.87</w:t>
      </w:r>
    </w:p>
    <w:p w:rsidR="00A31137" w:rsidRPr="00A31137" w:rsidRDefault="00A31137" w:rsidP="00A31137">
      <w:r w:rsidRPr="00A31137">
        <w:t>The President. Well, I wish that it could be without, because I think when it gets up to that kind of money, then there is too much temptation to try and fix things. And human nature being what it is, we know from past history that sometimes they get away with that. That was one of Rockne's greatest determinations, was he threw a gambler out of his office one day, bodily, who had come to see him and was seeking some information about who was going to win. And Rock just he hated the idea of gambling associated with football.</w:t>
      </w:r>
    </w:p>
    <w:p w:rsidR="00A31137" w:rsidRPr="00A31137" w:rsidRDefault="00A31137" w:rsidP="00A31137">
      <w:r w:rsidRPr="00A31137">
        <w:t>Public Papers of Reagan, 1986, p.87</w:t>
      </w:r>
    </w:p>
    <w:p w:rsidR="00A31137" w:rsidRPr="00A31137" w:rsidRDefault="00A31137" w:rsidP="00A31137">
      <w:r w:rsidRPr="00A31137">
        <w:t>Mr. Brokaw. Mr. President, football is a metaphor for so many things in American life, including politics. Now, at the end of this game today, one team is going to be in a deficit situation and all those players are going to face a very taxing year in 1986. You're about to deliver the State of the Union Address. Are you going to put the American people through the same experience in 1986—a taxing year?</w:t>
      </w:r>
    </w:p>
    <w:p w:rsidR="00A31137" w:rsidRPr="00A31137" w:rsidRDefault="00A31137" w:rsidP="00A31137">
      <w:r w:rsidRPr="00A31137">
        <w:t>Public Papers of Reagan, 1986, p.87</w:t>
      </w:r>
    </w:p>
    <w:p w:rsidR="00A31137" w:rsidRPr="00A31137" w:rsidRDefault="00A31137" w:rsidP="00A31137">
      <w:r w:rsidRPr="00A31137">
        <w:t>The President. A tax year, you say?</w:t>
      </w:r>
    </w:p>
    <w:p w:rsidR="00A31137" w:rsidRPr="00A31137" w:rsidRDefault="00A31137" w:rsidP="00A31137">
      <w:r w:rsidRPr="00A31137">
        <w:t>Public Papers of Reagan, 1986, p.87</w:t>
      </w:r>
    </w:p>
    <w:p w:rsidR="00A31137" w:rsidRPr="00A31137" w:rsidRDefault="00A31137" w:rsidP="00A31137">
      <w:r w:rsidRPr="00A31137">
        <w:t>Mr. Brokaw. A taxing year. Will this be a tough year for them?</w:t>
      </w:r>
    </w:p>
    <w:p w:rsidR="00A31137" w:rsidRPr="00A31137" w:rsidRDefault="00A31137" w:rsidP="00A31137">
      <w:r w:rsidRPr="00A31137">
        <w:t>Public Papers of Reagan, 1986, p.87</w:t>
      </w:r>
    </w:p>
    <w:p w:rsidR="00A31137" w:rsidRPr="00A31137" w:rsidRDefault="00A31137" w:rsidP="00A31137">
      <w:r w:rsidRPr="00A31137">
        <w:t>The President. I don't like the use of that word. It might be taxing for me and my energy. But I don't like the idea that someone might hear this and think I'm thinking of taxing them, because I'm not. [Laughter] I don't want any tax increase.</w:t>
      </w:r>
    </w:p>
    <w:p w:rsidR="00A31137" w:rsidRPr="00A31137" w:rsidRDefault="00A31137" w:rsidP="00A31137">
      <w:r w:rsidRPr="00A31137">
        <w:t>Public Papers of Reagan, 1986, p.87</w:t>
      </w:r>
    </w:p>
    <w:p w:rsidR="00A31137" w:rsidRPr="00A31137" w:rsidRDefault="00A31137" w:rsidP="00A31137">
      <w:r w:rsidRPr="00A31137">
        <w:t>Mr. Brokaw. Right now all you have on your mind is the Super Bowl? Watching it with Mrs. Reagan, I gather?</w:t>
      </w:r>
    </w:p>
    <w:p w:rsidR="00A31137" w:rsidRPr="00A31137" w:rsidRDefault="00A31137" w:rsidP="00A31137">
      <w:r w:rsidRPr="00A31137">
        <w:t>Public Papers of Reagan, 1986, p.87–p.88</w:t>
      </w:r>
    </w:p>
    <w:p w:rsidR="00A31137" w:rsidRPr="00A31137" w:rsidRDefault="00A31137" w:rsidP="00A31137">
      <w:r w:rsidRPr="00A31137">
        <w:t>The President. That's right, and remembering [p.88] football much more vividly than you normally do. It all comes back, and you find yourself kind of remembering what the cleats felt like under your shoes.</w:t>
      </w:r>
    </w:p>
    <w:p w:rsidR="00A31137" w:rsidRPr="00A31137" w:rsidRDefault="00A31137" w:rsidP="00A31137">
      <w:r w:rsidRPr="00A31137">
        <w:t>Public Papers of Reagan, 1986, p.88</w:t>
      </w:r>
    </w:p>
    <w:p w:rsidR="00A31137" w:rsidRPr="00A31137" w:rsidRDefault="00A31137" w:rsidP="00A31137">
      <w:r w:rsidRPr="00A31137">
        <w:t>Mr. Brokaw. Well, we hope you have a great afternoon, and we hope that it's a great game. Final chance—do you want to pick a score or a team?</w:t>
      </w:r>
    </w:p>
    <w:p w:rsidR="00A31137" w:rsidRPr="00A31137" w:rsidRDefault="00A31137" w:rsidP="00A31137">
      <w:r w:rsidRPr="00A31137">
        <w:t>Public Papers of Reagan, 1986, p.88</w:t>
      </w:r>
    </w:p>
    <w:p w:rsidR="00A31137" w:rsidRPr="00A31137" w:rsidRDefault="00A31137" w:rsidP="00A31137">
      <w:r w:rsidRPr="00A31137">
        <w:t>The President. No. Do I have a second so that I could tell you a little incident in my memories of football?</w:t>
      </w:r>
    </w:p>
    <w:p w:rsidR="00A31137" w:rsidRPr="00A31137" w:rsidRDefault="00A31137" w:rsidP="00A31137">
      <w:r w:rsidRPr="00A31137">
        <w:t>Public Papers of Reagan, 1986, p.88</w:t>
      </w:r>
    </w:p>
    <w:p w:rsidR="00A31137" w:rsidRPr="00A31137" w:rsidRDefault="00A31137" w:rsidP="00A31137">
      <w:r w:rsidRPr="00A31137">
        <w:t>Mr. Brokaw. Sure, absolutely.</w:t>
      </w:r>
    </w:p>
    <w:p w:rsidR="00A31137" w:rsidRPr="00A31137" w:rsidRDefault="00A31137" w:rsidP="00A31137">
      <w:r w:rsidRPr="00A31137">
        <w:t>Public Papers of Reagan, 1986, p.88</w:t>
      </w:r>
    </w:p>
    <w:p w:rsidR="00A31137" w:rsidRPr="00A31137" w:rsidRDefault="00A31137" w:rsidP="00A31137">
      <w:r w:rsidRPr="00A31137">
        <w:t>The President. Well, it was our ball back on our own 35-yard line. We were 1 point behind. There were 20 seconds to play, but we thought the ref had said 2 minutes. And Bud, our quarterback, called an off-tackle run with himself carrying the ball. As a running guard, I came out and led the interference. And the key to the play was me getting that first man on the secondary; I missed him. But Bud cut back to the sideline, went 65 yards for the touchdown, and we won the game. Now, that stuck with me. I never could figure out.' How did he do it with me missing that block?</w:t>
      </w:r>
    </w:p>
    <w:p w:rsidR="00A31137" w:rsidRPr="00A31137" w:rsidRDefault="00A31137" w:rsidP="00A31137">
      <w:r w:rsidRPr="00A31137">
        <w:t>Public Papers of Reagan, 1986, p.88</w:t>
      </w:r>
    </w:p>
    <w:p w:rsidR="00A31137" w:rsidRPr="00A31137" w:rsidRDefault="00A31137" w:rsidP="00A31137">
      <w:r w:rsidRPr="00A31137">
        <w:t>And the very next season, when I was auditioned to become a sports announcer, and they told me to stand in front of the microphone and imagine a football game and describe it on radio. So I did, and I chose that game because I knew enough of the players' names that I could get by and so forth. And I thought, "I won't start with the kickoff or anything. I'll start in the fourth quarter." I had the chill wind coming in through the end of the stadium. We didn't have stadiums; we had bleachers. But anyway, I did all those things; and then I called that play. And this time I nailed that man in the secondary. [Laughter] I claim this is the first instant replay. Only it wasn't instant; it was a year later. But, no, it was a beautiful, earth-shaking block.</w:t>
      </w:r>
    </w:p>
    <w:p w:rsidR="00A31137" w:rsidRPr="00A31137" w:rsidRDefault="00A31137" w:rsidP="00A31137">
      <w:r w:rsidRPr="00A31137">
        <w:t>Public Papers of Reagan, 1986, p.88</w:t>
      </w:r>
    </w:p>
    <w:p w:rsidR="00A31137" w:rsidRPr="00A31137" w:rsidRDefault="00A31137" w:rsidP="00A31137">
      <w:r w:rsidRPr="00A31137">
        <w:t>Mr. Brokaw. The great thing about being a President or a sports announcer, you can go back and correct all those mistakes, all those missed blocks.</w:t>
      </w:r>
    </w:p>
    <w:p w:rsidR="00A31137" w:rsidRPr="00A31137" w:rsidRDefault="00A31137" w:rsidP="00A31137">
      <w:r w:rsidRPr="00A31137">
        <w:t>Public Papers of Reagan, 1986, p.88</w:t>
      </w:r>
    </w:p>
    <w:p w:rsidR="00A31137" w:rsidRPr="00A31137" w:rsidRDefault="00A31137" w:rsidP="00A31137">
      <w:r w:rsidRPr="00A31137">
        <w:t>The President. Yes.</w:t>
      </w:r>
    </w:p>
    <w:p w:rsidR="00A31137" w:rsidRPr="00A31137" w:rsidRDefault="00A31137" w:rsidP="00A31137">
      <w:r w:rsidRPr="00A31137">
        <w:t>Public Papers of Reagan, 1986, p.88</w:t>
      </w:r>
    </w:p>
    <w:p w:rsidR="00A31137" w:rsidRPr="00A31137" w:rsidRDefault="00A31137" w:rsidP="00A31137">
      <w:r w:rsidRPr="00A31137">
        <w:t>Mr. Brokaw. Mr. President, I hope you have a great afternoon watching the game. Thanks again for being with us today.</w:t>
      </w:r>
    </w:p>
    <w:p w:rsidR="00A31137" w:rsidRPr="00A31137" w:rsidRDefault="00A31137" w:rsidP="00A31137">
      <w:r w:rsidRPr="00A31137">
        <w:t>Public Papers of Reagan, 1986, p.88</w:t>
      </w:r>
    </w:p>
    <w:p w:rsidR="00A31137" w:rsidRPr="00A31137" w:rsidRDefault="00A31137" w:rsidP="00A31137">
      <w:r w:rsidRPr="00A31137">
        <w:t>The President. Looking forward to it, and thank you.</w:t>
      </w:r>
    </w:p>
    <w:p w:rsidR="00A31137" w:rsidRPr="00A31137" w:rsidRDefault="00A31137" w:rsidP="00A31137">
      <w:r w:rsidRPr="00A31137">
        <w:t>Public Papers of Reagan, 1986, p.88</w:t>
      </w:r>
    </w:p>
    <w:p w:rsidR="00A31137" w:rsidRPr="00A31137" w:rsidRDefault="00A31137" w:rsidP="00A31137">
      <w:r w:rsidRPr="00A31137">
        <w:t>NOTE: The interview began at 4:45 p.m. in the Library at the White House. It was broadcast live prior to the football game between the Chicago Bears and the New England Patriots in the Superdome in New Orleans, LA.</w:t>
      </w:r>
    </w:p>
    <w:p w:rsidR="00A31137" w:rsidRPr="00A31137" w:rsidRDefault="00A31137" w:rsidP="00A31137">
      <w:r w:rsidRPr="00A31137">
        <w:t>President Reagan's Address to the Nation on the Explosion of the Space Shuttle Challenger, 1986</w:t>
      </w:r>
    </w:p>
    <w:p w:rsidR="00A31137" w:rsidRPr="00A31137" w:rsidRDefault="00A31137" w:rsidP="00A31137">
      <w:r w:rsidRPr="00A31137">
        <w:t>Title:</w:t>
      </w:r>
      <w:r w:rsidRPr="00A31137">
        <w:tab/>
        <w:t>President Reagan's Address to the Nation on the Explosion of the Space Shuttle Challenger</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28, 1986</w:t>
      </w:r>
    </w:p>
    <w:p w:rsidR="00A31137" w:rsidRPr="00A31137" w:rsidRDefault="00A31137" w:rsidP="00A31137">
      <w:r w:rsidRPr="00A31137">
        <w:t>Source:</w:t>
      </w:r>
      <w:r w:rsidRPr="00A31137">
        <w:tab/>
        <w:t>Public Papers of the Presidents, Reagan, 1986, pp.94-95</w:t>
      </w:r>
    </w:p>
    <w:p w:rsidR="00A31137" w:rsidRPr="00A31137" w:rsidRDefault="00A31137" w:rsidP="00A31137">
      <w:r w:rsidRPr="00A31137">
        <w:t>Public Papers of Reagan, 1986, p.94</w:t>
      </w:r>
    </w:p>
    <w:p w:rsidR="00A31137" w:rsidRPr="00A31137" w:rsidRDefault="00A31137" w:rsidP="00A31137">
      <w:r w:rsidRPr="00A31137">
        <w:t>Ladies and gentlemen, I'd planned to speak to you tonight to report on the state of the Union, but the events of earlier today have led me to change those plans. Today is a day for mourning and remembering. Nancy and I are pained to the core by the tragedy of the shuttle Challenger. We know we share this pain with all of the people of our country. This is truly a national loss.</w:t>
      </w:r>
    </w:p>
    <w:p w:rsidR="00A31137" w:rsidRPr="00A31137" w:rsidRDefault="00A31137" w:rsidP="00A31137">
      <w:r w:rsidRPr="00A31137">
        <w:t>Public Papers of Reagan, 1986, p.94–p.95</w:t>
      </w:r>
    </w:p>
    <w:p w:rsidR="00A31137" w:rsidRPr="00A31137" w:rsidRDefault="00A31137" w:rsidP="00A31137">
      <w:r w:rsidRPr="00A31137">
        <w:t>Nineteen years ago, almost to the day, we lost three astronauts in a terrible accident on the ground. But we've never lost an astronaut in flight; we've never had a tragedy like this. And perhaps we've forgotten the courage it took for the crew of the shuttle. But they, the Challenger Seven, were aware of the dangers, but overcame them and did their jobs brilliantly. We mourn [p.95] seven heroes: Michael Smith, Dick Scobee, Judith Resnik, Ronald McNair, Ellison Onizuka, Gregory Jarvis, and Christa McAuliffe. We mourn their loss as a nation together.</w:t>
      </w:r>
    </w:p>
    <w:p w:rsidR="00A31137" w:rsidRPr="00A31137" w:rsidRDefault="00A31137" w:rsidP="00A31137">
      <w:r w:rsidRPr="00A31137">
        <w:t>Public Papers of Reagan, 1986, p.95</w:t>
      </w:r>
    </w:p>
    <w:p w:rsidR="00A31137" w:rsidRPr="00A31137" w:rsidRDefault="00A31137" w:rsidP="00A31137">
      <w:r w:rsidRPr="00A31137">
        <w:t>For the families of the seven, we cannot bear, as you do, the full impact of this tragedy. But we feel the loss, and we're thinking about you so very much. Your loved ones were daring and brave, and they had that special grace, that special spirit that says, "Give me a challenge, and I'll meet it with joy." They had a hunger to explore the universe and discover its truths. They wished to serve, and they did. They served all of us. We've grown used to wonders in this century. It's hard to dazzle us. But for 25 years the United States space program has been doing just that. We've grown used to the idea of space, and perhaps we forget that we've only just begun. We're still pioneers. They, the members of the Challenger crew, were pioneers.</w:t>
      </w:r>
    </w:p>
    <w:p w:rsidR="00A31137" w:rsidRPr="00A31137" w:rsidRDefault="00A31137" w:rsidP="00A31137">
      <w:r w:rsidRPr="00A31137">
        <w:t>Public Papers of Reagan, 1986, p.95</w:t>
      </w:r>
    </w:p>
    <w:p w:rsidR="00A31137" w:rsidRPr="00A31137" w:rsidRDefault="00A31137" w:rsidP="00A31137">
      <w:r w:rsidRPr="00A31137">
        <w:t>And I want to say something to the schoolchildren of America who were watching the live coverage of the shuttle's takeoff. I know it is hard to understand, but sometimes painful things like this happen. It's all part of the process of exploration and discovery. It's all part of taking a chance and expanding man's horizons. The future doesn't belong to the fainthearted; it belongs to the brave. The Challenger crew was pulling us into the future, and we'll continue to follow them.</w:t>
      </w:r>
    </w:p>
    <w:p w:rsidR="00A31137" w:rsidRPr="00A31137" w:rsidRDefault="00A31137" w:rsidP="00A31137">
      <w:r w:rsidRPr="00A31137">
        <w:t>Public Papers of Reagan, 1986, p.95</w:t>
      </w:r>
    </w:p>
    <w:p w:rsidR="00A31137" w:rsidRPr="00A31137" w:rsidRDefault="00A31137" w:rsidP="00A31137">
      <w:r w:rsidRPr="00A31137">
        <w:t>I've always had great faith in and respect for our space program, and what happened today does nothing to diminish it. We don't hide our space program. We don't keep secrets and cover things up. We do it all up front and in public. That's the way freedom is, and we wouldn't change it for a minute. We'll continue our quest in space. There will be more shuttle flights and more shuttle crews and, yes, more volunteers, more civilians, more teachers in space. Nothing ends here; our hopes and our journeys continue. I want to add that I wish I could talk to every man and woman who works for NASA or who worked on this mission and tell them: "Your dedication and professionalism have moved and impressed us for decades. And we know of your anguish. We share it."</w:t>
      </w:r>
    </w:p>
    <w:p w:rsidR="00A31137" w:rsidRPr="00A31137" w:rsidRDefault="00A31137" w:rsidP="00A31137">
      <w:r w:rsidRPr="00A31137">
        <w:t>Public Papers of Reagan, 1986, p.95</w:t>
      </w:r>
    </w:p>
    <w:p w:rsidR="00A31137" w:rsidRPr="00A31137" w:rsidRDefault="00A31137" w:rsidP="00A31137">
      <w:r w:rsidRPr="00A31137">
        <w:t>There's a coincidence today. On this day 390 years ago, the great explorer Sir Francis Drake died aboard ship off the coast of Panama. In his lifetime the great frontiers were the oceans, and an historian later said, "He lived by the sea, died on it, and was buried in it." Well, today we can say of the Challenger crew: Their dedication was, like Drake's, complete.</w:t>
      </w:r>
    </w:p>
    <w:p w:rsidR="00A31137" w:rsidRPr="00A31137" w:rsidRDefault="00A31137" w:rsidP="00A31137">
      <w:r w:rsidRPr="00A31137">
        <w:t>Public Papers of Reagan, 1986, p.95</w:t>
      </w:r>
    </w:p>
    <w:p w:rsidR="00A31137" w:rsidRPr="00A31137" w:rsidRDefault="00A31137" w:rsidP="00A31137">
      <w:r w:rsidRPr="00A31137">
        <w:t>The crew of the space shuttle Challenger honored us by the manner in which they lived their lives. We will never forget them, nor the last time we saw them, this morning, as they prepared for their journey and waved goodbye and "slipped the surly bonds of earth" to "touch the face of God."</w:t>
      </w:r>
    </w:p>
    <w:p w:rsidR="00A31137" w:rsidRPr="00A31137" w:rsidRDefault="00A31137" w:rsidP="00A31137">
      <w:r w:rsidRPr="00A31137">
        <w:t>Public Papers of Reagan, 1986, p.95</w:t>
      </w:r>
    </w:p>
    <w:p w:rsidR="00A31137" w:rsidRPr="00A31137" w:rsidRDefault="00A31137" w:rsidP="00A31137">
      <w:r w:rsidRPr="00A31137">
        <w:t>NOTE: The President spoke at 5 p.m. from the Oval Office at the White House. The address was broadcast live on nationwide radio and television.</w:t>
      </w:r>
    </w:p>
    <w:p w:rsidR="00A31137" w:rsidRPr="00A31137" w:rsidRDefault="00A31137" w:rsidP="00A31137">
      <w:r w:rsidRPr="00A31137">
        <w:t>President Reagan's State of the Union Address, 1986</w:t>
      </w:r>
    </w:p>
    <w:p w:rsidR="00A31137" w:rsidRPr="00A31137" w:rsidRDefault="00A31137" w:rsidP="00A31137">
      <w:r w:rsidRPr="00A31137">
        <w:t>Title:</w:t>
      </w:r>
      <w:r w:rsidRPr="00A31137">
        <w:tab/>
        <w:t>President Reagan's State of the Union Address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February 4, 1986</w:t>
      </w:r>
    </w:p>
    <w:p w:rsidR="00A31137" w:rsidRPr="00A31137" w:rsidRDefault="00A31137" w:rsidP="00A31137">
      <w:r w:rsidRPr="00A31137">
        <w:t>Source:</w:t>
      </w:r>
      <w:r w:rsidRPr="00A31137">
        <w:tab/>
        <w:t>Public Papers of the Presidents, Reagan, 1986, pp.125-130</w:t>
      </w:r>
    </w:p>
    <w:p w:rsidR="00A31137" w:rsidRPr="00A31137" w:rsidRDefault="00A31137" w:rsidP="00A31137">
      <w:r w:rsidRPr="00A31137">
        <w:t>Public Papers of Reagan, 1986, p.125</w:t>
      </w:r>
    </w:p>
    <w:p w:rsidR="00A31137" w:rsidRPr="00A31137" w:rsidRDefault="00A31137" w:rsidP="00A31137">
      <w:r w:rsidRPr="00A31137">
        <w:t>Mr. Speaker, Mr. President, distinguished Members of the Congress, honored guests, and fellow citizens:</w:t>
      </w:r>
    </w:p>
    <w:p w:rsidR="00A31137" w:rsidRPr="00A31137" w:rsidRDefault="00A31137" w:rsidP="00A31137">
      <w:r w:rsidRPr="00A31137">
        <w:t>Public Papers of Reagan, 1986, p.125</w:t>
      </w:r>
    </w:p>
    <w:p w:rsidR="00A31137" w:rsidRPr="00A31137" w:rsidRDefault="00A31137" w:rsidP="00A31137">
      <w:r w:rsidRPr="00A31137">
        <w:t>Thank you for allowing me to delay my address until this evening. We paused together to mourn and honor the valor of our seven Challenger heroes. And I hope that we are now ready to do what they would want us to do: Go forward, America, and reach for the stars. We will never forget those brave seven, but we shall go forward.</w:t>
      </w:r>
    </w:p>
    <w:p w:rsidR="00A31137" w:rsidRPr="00A31137" w:rsidRDefault="00A31137" w:rsidP="00A31137">
      <w:r w:rsidRPr="00A31137">
        <w:t>Public Papers of Reagan, 1986, p.125</w:t>
      </w:r>
    </w:p>
    <w:p w:rsidR="00A31137" w:rsidRPr="00A31137" w:rsidRDefault="00A31137" w:rsidP="00A31137">
      <w:r w:rsidRPr="00A31137">
        <w:t>Mr. Speaker, before I begin my prepared remarks, may I point out that tonight marks the 10th and last State of the Union Message that you've presided over. And on behalf of the American people, I want to salute you for your service to Congress and country. Here's to you! [Applause]</w:t>
      </w:r>
    </w:p>
    <w:p w:rsidR="00A31137" w:rsidRPr="00A31137" w:rsidRDefault="00A31137" w:rsidP="00A31137">
      <w:r w:rsidRPr="00A31137">
        <w:t>Public Papers of Reagan, 1986, p.125–p.126</w:t>
      </w:r>
    </w:p>
    <w:p w:rsidR="00A31137" w:rsidRPr="00A31137" w:rsidRDefault="00A31137" w:rsidP="00A31137">
      <w:r w:rsidRPr="00A31137">
        <w:t>I have come to review with you the progress of our nation, to speak of unfinished work, and to set our sights on the future. I am pleased to report the state of our Union is stronger than a year ago and growing stronger each day. Tonight we look out on a rising America, firm of heart, united in spirit, powerful in pride and patriotism. [p.126] America is on the move! But it wasn't long ago that we looked out on a different land: locked factory gates, long gasoline lines, intolerable prices, and interest rates turning the greatest country on Earth into a land of broken dreams. Government growing beyond our consent had become a lumbering giant, slamming shut the gates of opportunity, threatening to crush the very roots of our freedom. What brought America back? The American people brought us back with quiet courage and common sense, with undying faith that in this nation under God the future will be ours; for the future belongs to the free.</w:t>
      </w:r>
    </w:p>
    <w:p w:rsidR="00A31137" w:rsidRPr="00A31137" w:rsidRDefault="00A31137" w:rsidP="00A31137">
      <w:r w:rsidRPr="00A31137">
        <w:t>Public Papers of Reagan, 1986, p.126</w:t>
      </w:r>
    </w:p>
    <w:p w:rsidR="00A31137" w:rsidRPr="00A31137" w:rsidRDefault="00A31137" w:rsidP="00A31137">
      <w:r w:rsidRPr="00A31137">
        <w:t>Tonight the American people deserve our thanks for 37 straight months of economic growth, for sunrise firms and modernized industries creating 9 million new jobs in 3 years, interest rates cut in half, inflation falling over from 12 percent in 1980 to under 4 today, and a mighty river of good works—a record $74 billion in voluntary giving just last year alone. And despite the pressures of our modern world, family and community remain the moral core of our society, guardians of our values and hopes for the future. Family and community are the costars of this great American comeback. They are why we say tonight: Private values must be at the heart of public policies.</w:t>
      </w:r>
    </w:p>
    <w:p w:rsidR="00A31137" w:rsidRPr="00A31137" w:rsidRDefault="00A31137" w:rsidP="00A31137">
      <w:r w:rsidRPr="00A31137">
        <w:t>Public Papers of Reagan, 1986, p.126</w:t>
      </w:r>
    </w:p>
    <w:p w:rsidR="00A31137" w:rsidRPr="00A31137" w:rsidRDefault="00A31137" w:rsidP="00A31137">
      <w:r w:rsidRPr="00A31137">
        <w:t>What is true for families in America is true for America in the family of free nations. History is no captive of some inevitable force. History is made by men and women of vision and courage. Tonight freedom is on the march. The United States is the economic miracle, the model to which the world once again turns. We stand for an idea whose time is now: Only by lifting the weights from the shoulders of all can people truly prosper and can peace among all nations be secure. Teddy Roosevelt said that a nation that does great work lives forever. We have done well, but we cannot stop at the foothills when Everest beckons. It's time for America to be all that we can be.</w:t>
      </w:r>
    </w:p>
    <w:p w:rsidR="00A31137" w:rsidRPr="00A31137" w:rsidRDefault="00A31137" w:rsidP="00A31137">
      <w:r w:rsidRPr="00A31137">
        <w:t>Public Papers of Reagan, 1986, p.126</w:t>
      </w:r>
    </w:p>
    <w:p w:rsidR="00A31137" w:rsidRPr="00A31137" w:rsidRDefault="00A31137" w:rsidP="00A31137">
      <w:r w:rsidRPr="00A31137">
        <w:t>We speak tonight of an agenda for the future, an agenda for a safer, more secure world. And we speak about the necessity for actions to steel us for the challenges of growth, trade, and security in the next decade and the year 2000. And we will do it—not by breaking faith with bedrock principles but by breaking free from failed policies. Let us begin where storm clouds loom darkest—right here in Washington, DC. This week I will send you our detailed proposals; tonight let us speak of our responsibility to redefine government's role: not to control, not to demand or command, not to contain us, but to help in times of need and, above all, to create a ladder of opportunity to full employment so that all Americans can climb toward economic power and justice on their own.</w:t>
      </w:r>
    </w:p>
    <w:p w:rsidR="00A31137" w:rsidRPr="00A31137" w:rsidRDefault="00A31137" w:rsidP="00A31137">
      <w:r w:rsidRPr="00A31137">
        <w:t>Public Papers of Reagan, 1986, p.126</w:t>
      </w:r>
    </w:p>
    <w:p w:rsidR="00A31137" w:rsidRPr="00A31137" w:rsidRDefault="00A31137" w:rsidP="00A31137">
      <w:r w:rsidRPr="00A31137">
        <w:t>But we cannot win the race to the future shackled to a system that can't even pass a Federal budget. We cannot win that race held back by horse-and-buggy programs that waste tax dollars and squander human potential. We cannot win that race if we're swamped in a sea of red ink. Now, Mr. Speaker, you know, I know, and the American people know the Federal budget system is broken. It doesn't work. Before we leave this city, let's you and I work together to fix it, and then we can finally give the American people a balanced budget.</w:t>
      </w:r>
    </w:p>
    <w:p w:rsidR="00A31137" w:rsidRPr="00A31137" w:rsidRDefault="00A31137" w:rsidP="00A31137">
      <w:r w:rsidRPr="00A31137">
        <w:t>Public Papers of Reagan, 1986, p.126</w:t>
      </w:r>
    </w:p>
    <w:p w:rsidR="00A31137" w:rsidRPr="00A31137" w:rsidRDefault="00A31137" w:rsidP="00A31137">
      <w:r w:rsidRPr="00A31137">
        <w:t>Members of Congress, passage of Gramm-Rudman-Hollings gives us an historic opportunity to achieve what has eluded our national leadership for decades: forcing the Federal Government to live within its means. Your schedule now requires that the budget resolution be passed by April 15th, the very day America's families have to foot the bill for the budgets that you produce. How often we read of a husband and wife both working, struggling from paycheck to paycheck to raise a family, meet a mortgage, pay their taxes and bills. And yet some in Congress say taxes must be raised. Well, I'm sorry; they're asking the wrong people to tighten their belts. It's time we reduce the Federal budget and left the family budget alone. We do not face large deficits because American families are undertaxed; we face those deficits because the Federal Government overspends.</w:t>
      </w:r>
    </w:p>
    <w:p w:rsidR="00A31137" w:rsidRPr="00A31137" w:rsidRDefault="00A31137" w:rsidP="00A31137">
      <w:r w:rsidRPr="00A31137">
        <w:t>Public Papers of Reagan, 1986, p.126–p.127</w:t>
      </w:r>
    </w:p>
    <w:p w:rsidR="00A31137" w:rsidRPr="00A31137" w:rsidRDefault="00A31137" w:rsidP="00A31137">
      <w:r w:rsidRPr="00A31137">
        <w:t>The detailed budget that we will submit will meet the Gramm-Rudman-Hollings target for deficit reductions, meet our commitment to ensure a strong national defense, meet our commitment to protect Social Security and the truly less fortunate, and, yes, meet our commitment to not raise [p.127] taxes. How should we accomplish this? Well, not by taking from those in need. As families take care of their own, government must provide shelter and nourishment for those who cannot provide for themselves. But we must revise or replace programs enacted in the name of compassion that degrade the moral worth of work, encourage family breakups, and drive entire communities into a bleak and heartless dependency. Gramm-Rudman-Hollings can mark a dramatic improvement. But experience shows that simply setting deficit targets does not assure they'll be met. We must proceed with Grace commission reforms against waste.</w:t>
      </w:r>
    </w:p>
    <w:p w:rsidR="00A31137" w:rsidRPr="00A31137" w:rsidRDefault="00A31137" w:rsidP="00A31137">
      <w:r w:rsidRPr="00A31137">
        <w:t>Public Papers of Reagan, 1986, p.127</w:t>
      </w:r>
    </w:p>
    <w:p w:rsidR="00A31137" w:rsidRPr="00A31137" w:rsidRDefault="00A31137" w:rsidP="00A31137">
      <w:r w:rsidRPr="00A31137">
        <w:t>And tonight I ask you to give me what 43 Governors have: Give me a line-item veto this year. Give me the authority to veto waste, and I'll take the responsibility, I'll make the cuts, I'll take the heat. This authority would not give me any monopoly power, but simply prevent spending measures from sneaking through that could not pass on their own merit. And you can sustain or override my veto; that's the way the system should work. Once we've made the hard choices, we should lock in our gains with a balanced budget amendment to the Constitution.</w:t>
      </w:r>
    </w:p>
    <w:p w:rsidR="00A31137" w:rsidRPr="00A31137" w:rsidRDefault="00A31137" w:rsidP="00A31137">
      <w:r w:rsidRPr="00A31137">
        <w:t>Public Papers of Reagan, 1986, p.127</w:t>
      </w:r>
    </w:p>
    <w:p w:rsidR="00A31137" w:rsidRPr="00A31137" w:rsidRDefault="00A31137" w:rsidP="00A31137">
      <w:r w:rsidRPr="00A31137">
        <w:t>I mentioned that we will meet our commitment to national defense. We must meet it. Defense is not just another budget expense. Keeping America strong, free, and at peace is solely the responsibility of the Federal Government; it is government's prime responsibility. We have devoted 5 years trying to narrow a dangerous gap born of illusion and neglect, and we've made important gains. Yet the threat from Soviet forces, conventional and strategic, from the Soviet drive for domination, from the increase in espionage and state terror remains great. This is reality. Closing our eyes will not make reality disappear. We pledged together to hold real growth in defense spending to the bare minimum. My budget honors that pledge, and I'm now asking you, the Congress, to keep its end of the bargain. The Soviets must know that if America reduces her defenses, it will be because of a reduced threat, not a reduced resolve.</w:t>
      </w:r>
    </w:p>
    <w:p w:rsidR="00A31137" w:rsidRPr="00A31137" w:rsidRDefault="00A31137" w:rsidP="00A31137">
      <w:r w:rsidRPr="00A31137">
        <w:t>Public Papers of Reagan, 1986, p.127</w:t>
      </w:r>
    </w:p>
    <w:p w:rsidR="00A31137" w:rsidRPr="00A31137" w:rsidRDefault="00A31137" w:rsidP="00A31137">
      <w:r w:rsidRPr="00A31137">
        <w:t>Keeping America strong is as vital to the national security as controlling Federal spending is to our economic security. But, as I have said before, the most powerful force we can enlist against the Federal deficit is an ever-expanding American economy, unfettered and free. The magic of opportunity-unreserved, unfailing, unrestrained-isn't this the calling that unites us? I believe our tax rate cuts for the people have done more to spur a spirit of risk-taking and help America's economy break free than any program since John Kennedy's tax cut almost a quarter century ago.</w:t>
      </w:r>
    </w:p>
    <w:p w:rsidR="00A31137" w:rsidRPr="00A31137" w:rsidRDefault="00A31137" w:rsidP="00A31137">
      <w:r w:rsidRPr="00A31137">
        <w:t>Public Papers of Reagan, 1986, p.127</w:t>
      </w:r>
    </w:p>
    <w:p w:rsidR="00A31137" w:rsidRPr="00A31137" w:rsidRDefault="00A31137" w:rsidP="00A31137">
      <w:r w:rsidRPr="00A31137">
        <w:t>Now history calls us to press on, to complete efforts for an historic tax reform providing new opportunity for all and ensuring that all pay their fair share, but no more. We've come this far. Will you join me now, and we'll walk this last mile together? You know my views on this. We cannot and we will not accept tax reform that is a tax increase in disguise. True reform must be an engine of productivity and growth, and that means a top personal rate no higher than 35 percent. True reform must be truly fair, and that means raising personal exemptions to $2,000. True reform means a tax system that at long last is profamily, projobs, profuture, and pro-America.</w:t>
      </w:r>
    </w:p>
    <w:p w:rsidR="00A31137" w:rsidRPr="00A31137" w:rsidRDefault="00A31137" w:rsidP="00A31137">
      <w:r w:rsidRPr="00A31137">
        <w:t>Public Papers of Reagan, 1986, p.127</w:t>
      </w:r>
    </w:p>
    <w:p w:rsidR="00A31137" w:rsidRPr="00A31137" w:rsidRDefault="00A31137" w:rsidP="00A31137">
      <w:r w:rsidRPr="00A31137">
        <w:t>As we knock down the barriers to growth, we must redouble our efforts for freer and fairer trade. We have already taken actions to counter unfair trading practices and to pry open closed foreign markets. We will continue to do so. We will also oppose legislation touted as providing protection that in reality pits one American worker against another, one industry against another, one community against another, and that raises prices for us all. If the United States can trade with other nations on a level playing field, we can outproduce, outcompete, and outsell anybody, anywhere in the world.</w:t>
      </w:r>
    </w:p>
    <w:p w:rsidR="00A31137" w:rsidRPr="00A31137" w:rsidRDefault="00A31137" w:rsidP="00A31137">
      <w:r w:rsidRPr="00A31137">
        <w:t>Public Papers of Reagan, 1986, p.127–p.128</w:t>
      </w:r>
    </w:p>
    <w:p w:rsidR="00A31137" w:rsidRPr="00A31137" w:rsidRDefault="00A31137" w:rsidP="00A31137">
      <w:r w:rsidRPr="00A31137">
        <w:t>The constant expansion of our economy and exports requires a sound and stable dollar at home and reliable exchange rates around the world. We must never again permit wild currency swings to cripple our farmers and other exporters. Farmers, in particular, have suffered from past unwise government policies. They must not be [p.128] abandoned with problems they did not create and cannot control. We've begun coordinating economic and monetary policy among our major trading partners. But there's more to do, and tonight I am directing Treasury Secretary Jim Baker to determine if the nations of the world should convene to discuss the role and relationship of our currencies.</w:t>
      </w:r>
    </w:p>
    <w:p w:rsidR="00A31137" w:rsidRPr="00A31137" w:rsidRDefault="00A31137" w:rsidP="00A31137">
      <w:r w:rsidRPr="00A31137">
        <w:t>Public Papers of Reagan, 1986, p.128</w:t>
      </w:r>
    </w:p>
    <w:p w:rsidR="00A31137" w:rsidRPr="00A31137" w:rsidRDefault="00A31137" w:rsidP="00A31137">
      <w:r w:rsidRPr="00A31137">
        <w:t>Confident in our future and secure in our values, Americans are striving forward to embrace the future. We see it not only in our recovery but in 3 straight years of falling crime rates, as families and communities band together to fight pornography, drugs, and lawlessness and to give back to their children the safe and, yes, innocent childhood they deserve. We see it in the renaissance in education, the rising SAT scores for 3 years—last year's increase, the greatest since 1963. It wasn't government and Washington lobbies that turned education around; it was the American people who, in reaching for excellence, knew to reach back to basics. We must continue the advance by supporting discipline in our schools, vouchers that give parents freedom of choice; and we must give back to our children their lost right to acknowledge God in their classrooms.</w:t>
      </w:r>
    </w:p>
    <w:p w:rsidR="00A31137" w:rsidRPr="00A31137" w:rsidRDefault="00A31137" w:rsidP="00A31137">
      <w:r w:rsidRPr="00A31137">
        <w:t>Public Papers of Reagan, 1986, p.128</w:t>
      </w:r>
    </w:p>
    <w:p w:rsidR="00A31137" w:rsidRPr="00A31137" w:rsidRDefault="00A31137" w:rsidP="00A31137">
      <w:r w:rsidRPr="00A31137">
        <w:t>We are a nation of idealists, yet today there is a wound in our national conscience. America will never be whole as long as the right to life granted by our Creator is denied to the unborn. For the rest of my time, I shall do what I can to see that this wound is one day healed.</w:t>
      </w:r>
    </w:p>
    <w:p w:rsidR="00A31137" w:rsidRPr="00A31137" w:rsidRDefault="00A31137" w:rsidP="00A31137">
      <w:r w:rsidRPr="00A31137">
        <w:t>Public Papers of Reagan, 1986, p.128</w:t>
      </w:r>
    </w:p>
    <w:p w:rsidR="00A31137" w:rsidRPr="00A31137" w:rsidRDefault="00A31137" w:rsidP="00A31137">
      <w:r w:rsidRPr="00A31137">
        <w:t>As we work to make the American dream real for all, we must also look to the condition of America's families. Struggling parents today worry how they will provide their children the advantages that their parents gave them. In the welfare culture, the breakdown of the family, the most basic support system, has reached crisis proportions—'m female and child poverty, child abandonment, horrible crimes, and deteriorating schools. After hundreds of billions of dollars in poverty programs, the plight of the poor grows more painful. But the waste in dollars and cents pales before the most tragic loss: the sinful waste of human spirit and potential. We can ignore this terrible truth no longer. As Franklin Roosevelt warned 51 years ago, standing before this Chamber, he said, "Welfare is a narcotic, a subtle destroyer of the human spirit." And we must now escape the spider's web of dependency.</w:t>
      </w:r>
    </w:p>
    <w:p w:rsidR="00A31137" w:rsidRPr="00A31137" w:rsidRDefault="00A31137" w:rsidP="00A31137">
      <w:r w:rsidRPr="00A31137">
        <w:t>Public Papers of Reagan, 1986, p.128</w:t>
      </w:r>
    </w:p>
    <w:p w:rsidR="00A31137" w:rsidRPr="00A31137" w:rsidRDefault="00A31137" w:rsidP="00A31137">
      <w:r w:rsidRPr="00A31137">
        <w:t>Tonight I am charging the White House Domestic Council to present me by December 1, 1986, an evaluation of programs and a strategy for immediate action to meet the financial, educational, social, and safety concerns of poor families. I'm talking about real and lasting emancipation, because the success of welfare should be judged by how many of its recipients become independent of welfare. Further, after seeing how devastating illness can destroy the financial security of the family, I am directing the Secretary of Health and Human Services, Dr. Otis Bowen, to report to me by year end with recommendations on how the private sector and government can work together to address the problems of affordable insurance for those whose life savings would otherwise be threatened when catastrophic illness strikes.</w:t>
      </w:r>
    </w:p>
    <w:p w:rsidR="00A31137" w:rsidRPr="00A31137" w:rsidRDefault="00A31137" w:rsidP="00A31137">
      <w:r w:rsidRPr="00A31137">
        <w:t>Public Papers of Reagan, 1986, p.128</w:t>
      </w:r>
    </w:p>
    <w:p w:rsidR="00A31137" w:rsidRPr="00A31137" w:rsidRDefault="00A31137" w:rsidP="00A31137">
      <w:r w:rsidRPr="00A31137">
        <w:t>And tonight I want to speak directly to America's younger generation, because you hold the destiny of our nation in your hands. With all the temptations young people face, it sometimes seems the allure of the permissive society requires superhuman feats of self-control. But the call of the future is too strong, the challenge too great to get lost in the blind alleyways of dissolution, drugs, and despair. Never has there been a more exciting time to be alive, a time of rousing wonder and heroic achievement. As they said in the film "Back to the Future," "Where we're going, we don't need roads."</w:t>
      </w:r>
    </w:p>
    <w:p w:rsidR="00A31137" w:rsidRPr="00A31137" w:rsidRDefault="00A31137" w:rsidP="00A31137">
      <w:r w:rsidRPr="00A31137">
        <w:t>Public Papers of Reagan, 1986, p.128–p.129</w:t>
      </w:r>
    </w:p>
    <w:p w:rsidR="00A31137" w:rsidRPr="00A31137" w:rsidRDefault="00A31137" w:rsidP="00A31137">
      <w:r w:rsidRPr="00A31137">
        <w:t>Well, today physicists peering into the infinitely small realms of subatomic particles find reaffirmations of religious faith. Astronomers build a space telescope that can see to the edge of the universe and possibly back to the moment of creation. So, yes, this nation remains fully committed to America's space program. We're going forward with our shuttle flights. We're going forward to build our space station. And we are going forward with research on a new Orient Express that could, by the end of the next decade, take off from Dulles Airport [p.129] , accelerate up to 25 times the speed of sound, attaining low Earth orbit or flying to Tokyo within 2 hours. And the same technology transforming our lives can solve the greatest problem of the 20th century. A security shield can one day render nuclear weapons obsolete and free mankind from the prison of nuclear terror. America met one historic challenge and went to the Moon. Now America must meet another: to make our strategic defense real for all the citizens of planet Earth.</w:t>
      </w:r>
    </w:p>
    <w:p w:rsidR="00A31137" w:rsidRPr="00A31137" w:rsidRDefault="00A31137" w:rsidP="00A31137">
      <w:r w:rsidRPr="00A31137">
        <w:t>Public Papers of Reagan, 1986, p.129</w:t>
      </w:r>
    </w:p>
    <w:p w:rsidR="00A31137" w:rsidRPr="00A31137" w:rsidRDefault="00A31137" w:rsidP="00A31137">
      <w:r w:rsidRPr="00A31137">
        <w:t>Let us speak of our deepest longing for the future: to leave our children a land that is free and just and a world at peace. It is my hope that our fireside summit in Geneva and Mr. Gorbachev's upcoming visit to America can lead to a more stable relationship. Surely no people on Earth hate war or love peace more than we Americans. But we cannot stroll into the future with childlike faith. Our differences with a system that openly proclaims and practices an alleged right to command people's lives and to export its ideology by force are deep and abiding. Logic and history compel us to accept that our relationship be guided by realism—rock-hard, cleareyed, steady, and sure. Our negotiators in Geneva have proposed a radical cut in offensive forces by each side with no cheating. They have made clear that Soviet compliance with the letter and spirit of agreements is essential. If the Soviet Government wants an agreement that truly reduces nuclear arms, there will be such an agreement.</w:t>
      </w:r>
    </w:p>
    <w:p w:rsidR="00A31137" w:rsidRPr="00A31137" w:rsidRDefault="00A31137" w:rsidP="00A31137">
      <w:r w:rsidRPr="00A31137">
        <w:t>Public Papers of Reagan, 1986, p.129</w:t>
      </w:r>
    </w:p>
    <w:p w:rsidR="00A31137" w:rsidRPr="00A31137" w:rsidRDefault="00A31137" w:rsidP="00A31137">
      <w:r w:rsidRPr="00A31137">
        <w:t>But arms control is no substitute for peace. We know that peace follows in freedom's path and conflicts erupt when the will of the people is denied. So, we must prepare for peace not only by reducing weapons but by bolstering prosperity, liberty, and democracy however and wherever we can. We advance the promise of opportunity every time we speak out on behalf of lower tax rates, freer markets, sound currencies around the world. We strengthen the family of freedom every time we work with allies and come to the aid of friends under siege. And we can enlarge the family of free nations if we will defend the unalienable rights of all God's children to follow their dreams.</w:t>
      </w:r>
    </w:p>
    <w:p w:rsidR="00A31137" w:rsidRPr="00A31137" w:rsidRDefault="00A31137" w:rsidP="00A31137">
      <w:r w:rsidRPr="00A31137">
        <w:t>Public Papers of Reagan, 1986, p.129</w:t>
      </w:r>
    </w:p>
    <w:p w:rsidR="00A31137" w:rsidRPr="00A31137" w:rsidRDefault="00A31137" w:rsidP="00A31137">
      <w:r w:rsidRPr="00A31137">
        <w:t>To those imprisoned in regimes held captive, to those beaten for daring to fight for freedom and democracy—for their right to worship, to speak, to live, and to prosper in the family of free nations—we say to you tonight: You are not alone, freedom fighters. America will support with moral and material assistance your right not just to fight and die for freedom but to fight and win freedom—to win freedom in Afghanistan, in Angola, in Cambodia, and in Nicaragua. This is a great moral challenge for the entire free world.</w:t>
      </w:r>
    </w:p>
    <w:p w:rsidR="00A31137" w:rsidRPr="00A31137" w:rsidRDefault="00A31137" w:rsidP="00A31137">
      <w:r w:rsidRPr="00A31137">
        <w:t>Public Papers of Reagan, 1986, p.129</w:t>
      </w:r>
    </w:p>
    <w:p w:rsidR="00A31137" w:rsidRPr="00A31137" w:rsidRDefault="00A31137" w:rsidP="00A31137">
      <w:r w:rsidRPr="00A31137">
        <w:t>Surely no issue is more important for peace in our own hemisphere, for the security of our frontiers, for the protection of our vital interests, than to achieve democracy in Nicaragua and to protect Nicaragua's democratic neighbors. This year I will be asking Congress for the means to do what must be done for that great and good cause. As [former Senator Henry M.] Scoop Jackson, the inspiration for our Bipartisan Commission on Central America, once said, "In matters of national security, the best politics is no politics."</w:t>
      </w:r>
    </w:p>
    <w:p w:rsidR="00A31137" w:rsidRPr="00A31137" w:rsidRDefault="00A31137" w:rsidP="00A31137">
      <w:r w:rsidRPr="00A31137">
        <w:t>Public Papers of Reagan, 1986, p.129</w:t>
      </w:r>
    </w:p>
    <w:p w:rsidR="00A31137" w:rsidRPr="00A31137" w:rsidRDefault="00A31137" w:rsidP="00A31137">
      <w:r w:rsidRPr="00A31137">
        <w:t>What we accomplish this year, in each challenge we face, will set our course for the balance of the decade, indeed, for the remainder of the century. After all we've done so far, let no one say that this nation cannot reach the destiny of our dreams. America believes, America is ready, America can win the race to the future—and we shall. The American dream is a song of hope that rings through night winter air; vivid, tender music that warms our hearts when the least among us aspire to the greatest things: to venture a daring enterprise; to unearth new beauty in music, literature, and art; to discover a new universe inside a tiny silicon chip or a single human cell.</w:t>
      </w:r>
    </w:p>
    <w:p w:rsidR="00A31137" w:rsidRPr="00A31137" w:rsidRDefault="00A31137" w:rsidP="00A31137">
      <w:r w:rsidRPr="00A31137">
        <w:t>Public Papers of Reagan, 1986, p.129–p.130</w:t>
      </w:r>
    </w:p>
    <w:p w:rsidR="00A31137" w:rsidRPr="00A31137" w:rsidRDefault="00A31137" w:rsidP="00A31137">
      <w:r w:rsidRPr="00A31137">
        <w:t>We see the dream coming true in the spirit of discovery of Richard Cavoli. All his life he's been enthralled by the mysteries of medicine. And, Richard, we know that the experiment that you began in high school was launched and lost last week, yet your dream lives. And as long as it's real, work of noble note will yet be done, work that could reduce the harmful effects of x rays on patients and enable astronomers to view [p.130] the golden gateways of the farthest stars.</w:t>
      </w:r>
    </w:p>
    <w:p w:rsidR="00A31137" w:rsidRPr="00A31137" w:rsidRDefault="00A31137" w:rsidP="00A31137">
      <w:r w:rsidRPr="00A31137">
        <w:t>Public Papers of Reagan, 1986, p.130</w:t>
      </w:r>
    </w:p>
    <w:p w:rsidR="00A31137" w:rsidRPr="00A31137" w:rsidRDefault="00A31137" w:rsidP="00A31137">
      <w:r w:rsidRPr="00A31137">
        <w:t>We see the dream glow in the towering talent of a 12-year-old, Tyrone Ford. A child prodigy of gospel music, he has surmounted personal adversity to become an accomplished pianist and singer. He also directs the choirs of three churches and has performed at the Kennedy Center. With God as your composer, Tyrone, your music will be the music of angels.</w:t>
      </w:r>
    </w:p>
    <w:p w:rsidR="00A31137" w:rsidRPr="00A31137" w:rsidRDefault="00A31137" w:rsidP="00A31137">
      <w:r w:rsidRPr="00A31137">
        <w:t>Public Papers of Reagan, 1986, p.130</w:t>
      </w:r>
    </w:p>
    <w:p w:rsidR="00A31137" w:rsidRPr="00A31137" w:rsidRDefault="00A31137" w:rsidP="00A31137">
      <w:r w:rsidRPr="00A31137">
        <w:t>We see the dream being saved by the courage of the 13-year-old Shelby Butler, honor student and member of her school's safety patrol. Seeing another girl freeze in terror before an out-of-control school bus, she risked her life and pulled her to safety. With bravery like yours, Shelby, America need never fear for our future.</w:t>
      </w:r>
    </w:p>
    <w:p w:rsidR="00A31137" w:rsidRPr="00A31137" w:rsidRDefault="00A31137" w:rsidP="00A31137">
      <w:r w:rsidRPr="00A31137">
        <w:t>Public Papers of Reagan, 1986, p.130</w:t>
      </w:r>
    </w:p>
    <w:p w:rsidR="00A31137" w:rsidRPr="00A31137" w:rsidRDefault="00A31137" w:rsidP="00A31137">
      <w:r w:rsidRPr="00A31137">
        <w:t>And we see the dream born again in the joyful compassion of a 13 year old, Trevor Ferrell. Two years ago, age 11, watching men and women bedding down in abandoned doorways—on television he was watching—Trevor left his suburban Philadelphia home to bring blankets and food to the helpless and homeless. And now 250 people help him fulfill his nightly vigil. Trevor, yours is the living spirit of brotherly love.</w:t>
      </w:r>
    </w:p>
    <w:p w:rsidR="00A31137" w:rsidRPr="00A31137" w:rsidRDefault="00A31137" w:rsidP="00A31137">
      <w:r w:rsidRPr="00A31137">
        <w:t>Public Papers of Reagan, 1986, p.130</w:t>
      </w:r>
    </w:p>
    <w:p w:rsidR="00A31137" w:rsidRPr="00A31137" w:rsidRDefault="00A31137" w:rsidP="00A31137">
      <w:r w:rsidRPr="00A31137">
        <w:t>Would you four stand up for a moment? Thank you, thank you. You are heroes of our hearts. We look at you and know it's true: In this land of dreams fulfilled, where greater dreams may be imagined, nothing is impossible, no victory is beyond our reach, no glory will ever be too great.</w:t>
      </w:r>
    </w:p>
    <w:p w:rsidR="00A31137" w:rsidRPr="00A31137" w:rsidRDefault="00A31137" w:rsidP="00A31137">
      <w:r w:rsidRPr="00A31137">
        <w:t>Public Papers of Reagan, 1986, p.130</w:t>
      </w:r>
    </w:p>
    <w:p w:rsidR="00A31137" w:rsidRPr="00A31137" w:rsidRDefault="00A31137" w:rsidP="00A31137">
      <w:r w:rsidRPr="00A31137">
        <w:t>So, now it's up to us, all of us, to prepare America for that day when our work will pale before the greatness of America's champions in the 21st century. The world's hopes rest with America's future; America's hopes rest with us. So, let us go forward to create our world of tomorrow in faith, in unity, and in love.</w:t>
      </w:r>
    </w:p>
    <w:p w:rsidR="00A31137" w:rsidRPr="00A31137" w:rsidRDefault="00A31137" w:rsidP="00A31137">
      <w:r w:rsidRPr="00A31137">
        <w:t>God bless you, and God bless America.</w:t>
      </w:r>
    </w:p>
    <w:p w:rsidR="00A31137" w:rsidRPr="00A31137" w:rsidRDefault="00A31137" w:rsidP="00A31137">
      <w:r w:rsidRPr="00A31137">
        <w:t>Public Papers of Reagan, 1986, p.130</w:t>
      </w:r>
    </w:p>
    <w:p w:rsidR="00A31137" w:rsidRPr="00A31137" w:rsidRDefault="00A31137" w:rsidP="00A31137">
      <w:r w:rsidRPr="00A31137">
        <w:t>NOTE: The President spoke at 8:04 p.m. in the House Chamber of the Capitol. He was introduced by Thomas P. O'Neill, Jr., Speaker of the House of Representatives. The address was broadcast live on nationwide radio and television.</w:t>
      </w:r>
    </w:p>
    <w:p w:rsidR="00A31137" w:rsidRPr="00A31137" w:rsidRDefault="00A31137" w:rsidP="00A31137">
      <w:r w:rsidRPr="00A31137">
        <w:t>President Reagan's Address to the Nation on the U.S. Air Strike Against Libya, 1986</w:t>
      </w:r>
    </w:p>
    <w:p w:rsidR="00A31137" w:rsidRPr="00A31137" w:rsidRDefault="00A31137" w:rsidP="00A31137">
      <w:r w:rsidRPr="00A31137">
        <w:t>Title:</w:t>
      </w:r>
      <w:r w:rsidRPr="00A31137">
        <w:tab/>
        <w:t>President Reagan's Address to the Nation on the U.S. Air Strike Against Libya</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April 14, 1986</w:t>
      </w:r>
    </w:p>
    <w:p w:rsidR="00A31137" w:rsidRPr="00A31137" w:rsidRDefault="00A31137" w:rsidP="00A31137">
      <w:r w:rsidRPr="00A31137">
        <w:t>Source:</w:t>
      </w:r>
      <w:r w:rsidRPr="00A31137">
        <w:tab/>
        <w:t>Public Papers of the Presidents, Reagan, 1986, pp.468-469</w:t>
      </w:r>
    </w:p>
    <w:p w:rsidR="00A31137" w:rsidRPr="00A31137" w:rsidRDefault="00A31137" w:rsidP="00A31137">
      <w:r w:rsidRPr="00A31137">
        <w:t>Public Papers of Reagan, 1986, p.468</w:t>
      </w:r>
    </w:p>
    <w:p w:rsidR="00A31137" w:rsidRPr="00A31137" w:rsidRDefault="00A31137" w:rsidP="00A31137">
      <w:r w:rsidRPr="00A31137">
        <w:t>My fellow Americans:</w:t>
      </w:r>
    </w:p>
    <w:p w:rsidR="00A31137" w:rsidRPr="00A31137" w:rsidRDefault="00A31137" w:rsidP="00A31137">
      <w:r w:rsidRPr="00A31137">
        <w:t>Public Papers of Reagan, 1986, p.468</w:t>
      </w:r>
    </w:p>
    <w:p w:rsidR="00A31137" w:rsidRPr="00A31137" w:rsidRDefault="00A31137" w:rsidP="00A31137">
      <w:r w:rsidRPr="00A31137">
        <w:t>At 7 o'clock this evening eastern time air and naval forces of the United States launched a series of strikes against the headquarters, terrorist facilities, and military assets that support Mu'ammar Qadhafi's subversive activities. The attacks were concentrated and carefully targeted to minimize casualties among the Libyan people with whom we have no quarrel. From initial reports, our forces have succeeded in their mission.</w:t>
      </w:r>
    </w:p>
    <w:p w:rsidR="00A31137" w:rsidRPr="00A31137" w:rsidRDefault="00A31137" w:rsidP="00A31137">
      <w:r w:rsidRPr="00A31137">
        <w:t>Public Papers of Reagan, 1986, p.468</w:t>
      </w:r>
    </w:p>
    <w:p w:rsidR="00A31137" w:rsidRPr="00A31137" w:rsidRDefault="00A31137" w:rsidP="00A31137">
      <w:r w:rsidRPr="00A31137">
        <w:t>Several weeks ago in New Orleans, I warned Colonel Qadhafi we would hold his regime accountable for any new terrorist attacks launched against American citizens. More recently I made it clear we would respond as soon as we determined conclusively who was responsible for such attacks. On April 5th in West Berlin a terrorist bomb exploded in a nightclub frequented by American servicemen. Sergeant Kenneth Ford and a young Turkish woman were killed and 230 others were wounded, among them some 50 American military personnel. This monstrous brutality is but the latest act in Colonel Qadhafi's reign of terror. The evidence is now conclusive that the terrorist bombing of La Belle discotheque was planned and executed under the direct orders of the Libyan regime. On March 25th, more than a week before the attack, orders were sent from Tripoli to the Libyan People's Bureau in East Berlin to conduct a terrorist attack against Americans to cause maximum and indiscriminate casualties. Libya's agents then planted the bomb. On April 4th the People's Bureau alerted Tripoli that the attack would be carried out the following morning. The next day they reported back to Tripoli on the great success of their mission.</w:t>
      </w:r>
    </w:p>
    <w:p w:rsidR="00A31137" w:rsidRPr="00A31137" w:rsidRDefault="00A31137" w:rsidP="00A31137">
      <w:r w:rsidRPr="00A31137">
        <w:t>Public Papers of Reagan, 1986, p.468–p.469</w:t>
      </w:r>
    </w:p>
    <w:p w:rsidR="00A31137" w:rsidRPr="00A31137" w:rsidRDefault="00A31137" w:rsidP="00A31137">
      <w:r w:rsidRPr="00A31137">
        <w:t>Our evidence is direct; it is precise; it is irrefutable. We have solid evidence about other attacks Qadhafi has planned against the United States installations and diplomats [p.469] and even American tourists. Thanks to close cooperation with our friends, some of these have been prevented. With the help of French authorities, we recently aborted one such attack: a planned massacre, using grenades and small arms, of civilians waiting in line for visas at an American Embassy.</w:t>
      </w:r>
    </w:p>
    <w:p w:rsidR="00A31137" w:rsidRPr="00A31137" w:rsidRDefault="00A31137" w:rsidP="00A31137">
      <w:r w:rsidRPr="00A31137">
        <w:t>Public Papers of Reagan, 1986, p.469</w:t>
      </w:r>
    </w:p>
    <w:p w:rsidR="00A31137" w:rsidRPr="00A31137" w:rsidRDefault="00A31137" w:rsidP="00A31137">
      <w:r w:rsidRPr="00A31137">
        <w:t>Colonel Qadhafi is not only an enemy of the United States. His record of subversion and aggression against the neighboring States in Africa is well documented and well known. He has ordered the murder of fellow Libyans in countless countries. He has sanctioned acts of terror in Africa, Europe, and the Middle East, as well as the Western Hemisphere. Today we have done what we had to do. If necessary, we shall do it again. It gives me no pleasure to say that, and I wish it were otherwise. Before Qadhafi seized power in 1969, the people of Libya had been friends of the United States. And I'm sure that today most Libyans are ashamed and disgusted that this man has made their country a synonym for barbarism around the world. The Libyan people are a decent people caught in the grip of a tyrant.</w:t>
      </w:r>
    </w:p>
    <w:p w:rsidR="00A31137" w:rsidRPr="00A31137" w:rsidRDefault="00A31137" w:rsidP="00A31137">
      <w:r w:rsidRPr="00A31137">
        <w:t>Public Papers of Reagan, 1986, p.469</w:t>
      </w:r>
    </w:p>
    <w:p w:rsidR="00A31137" w:rsidRPr="00A31137" w:rsidRDefault="00A31137" w:rsidP="00A31137">
      <w:r w:rsidRPr="00A31137">
        <w:t>To our friends and allies in Europe who cooperated in today's mission, I would only say you have the permanent gratitude of the American people. Europeans who remember history understand better than most that there is no security, no safety, in the appeasement of evil. It must be the core of Western policy that there be no sanctuary for terror. And to sustain such a policy, free men and free nations must unite and work together. Sometimes it is said that by imposing sanctions against Colonel Qadhafi or by striking at his terrorist installations we only magnify the man's importance, that the proper way to deal with him is to ignore him. I do not agree.</w:t>
      </w:r>
    </w:p>
    <w:p w:rsidR="00A31137" w:rsidRPr="00A31137" w:rsidRDefault="00A31137" w:rsidP="00A31137">
      <w:r w:rsidRPr="00A31137">
        <w:t>Public Papers of Reagan, 1986, p.469</w:t>
      </w:r>
    </w:p>
    <w:p w:rsidR="00A31137" w:rsidRPr="00A31137" w:rsidRDefault="00A31137" w:rsidP="00A31137">
      <w:r w:rsidRPr="00A31137">
        <w:t>Long before I came into this office, Colonel Qadhafi had engaged in acts of international terror, acts that put him outside the company of civilized men. For years, however, he suffered no economic or political or military sanction; and the atrocities mounted in number, as did the innocent dead and wounded. And for us to ignore by inaction the slaughter of American civilians and American soldiers, whether in nightclubs or airline terminals, is simply not in the American tradition. When our citizens are abused or attacked anywhere in the world on the direct orders of a hostile regime, we will respond so long as I'm in this Oval Office. Self-defense is not only our right, it is our duty. It is the purpose behind the mission undertaken tonight, a mission fully consistent with Article 51 of the United Nations Charter.</w:t>
      </w:r>
    </w:p>
    <w:p w:rsidR="00A31137" w:rsidRPr="00A31137" w:rsidRDefault="00A31137" w:rsidP="00A31137">
      <w:r w:rsidRPr="00A31137">
        <w:t>Public Papers of Reagan, 1986, p.469</w:t>
      </w:r>
    </w:p>
    <w:p w:rsidR="00A31137" w:rsidRPr="00A31137" w:rsidRDefault="00A31137" w:rsidP="00A31137">
      <w:r w:rsidRPr="00A31137">
        <w:t>We believe that this preemptive action against his terrorist installations will not only diminish Colonel Qadhafi's capacity to export terror, it will provide him with incentives and reasons to alter his criminal behavior. I have no illusion that tonight's action will ring down the curtain on Qadhafi's reign of terror. But this mission, violent though it was, can bring closer a safer and more secure world for decent men and women. We will persevere. This afternoon we consulted with the leaders of Congress regarding what we were about to do and why. Tonight I salute the skill and professionalism of the men and women of our Armed Forces who carried out this mission. It's an honor to be your Commander in Chief.</w:t>
      </w:r>
    </w:p>
    <w:p w:rsidR="00A31137" w:rsidRPr="00A31137" w:rsidRDefault="00A31137" w:rsidP="00A31137">
      <w:r w:rsidRPr="00A31137">
        <w:t>Public Papers of Reagan, 1986, p.469</w:t>
      </w:r>
    </w:p>
    <w:p w:rsidR="00A31137" w:rsidRPr="00A31137" w:rsidRDefault="00A31137" w:rsidP="00A31137">
      <w:r w:rsidRPr="00A31137">
        <w:t>We Americans are slow to anger. We always seek peaceful avenues before resorting to the use of force—and we did. We tried quiet diplomacy, public condemnation, economic sanctions, and demonstrations of military force. None succeeded. Despite our repeated warnings, Qadhafi continued his reckless policy of intimidation, his relentless pursuit of terror. He counted on America to be passive. He counted wrong. I warned that there should be no place on Earth where terrorists can rest and train and practice their deadly skills. I meant it. I said that we would act with others, if possible, and alone if necessary to ensure that terrorists have no sanctuary anywhere. Tonight, we have.</w:t>
      </w:r>
    </w:p>
    <w:p w:rsidR="00A31137" w:rsidRPr="00A31137" w:rsidRDefault="00A31137" w:rsidP="00A31137">
      <w:r w:rsidRPr="00A31137">
        <w:t>Public Papers of Reagan, 1986, p.469</w:t>
      </w:r>
    </w:p>
    <w:p w:rsidR="00A31137" w:rsidRPr="00A31137" w:rsidRDefault="00A31137" w:rsidP="00A31137">
      <w:r w:rsidRPr="00A31137">
        <w:t>Thank you, and God bless you.</w:t>
      </w:r>
    </w:p>
    <w:p w:rsidR="00A31137" w:rsidRPr="00A31137" w:rsidRDefault="00A31137" w:rsidP="00A31137">
      <w:r w:rsidRPr="00A31137">
        <w:t>Public Papers of Reagan, 1986, p.469</w:t>
      </w:r>
    </w:p>
    <w:p w:rsidR="00A31137" w:rsidRPr="00A31137" w:rsidRDefault="00A31137" w:rsidP="00A31137">
      <w:r w:rsidRPr="00A31137">
        <w:t>NOTE: The President spoke at 9 p.m. from the Oval Office at the White House. The address was broadcast live on nationwide radio and television.</w:t>
      </w:r>
    </w:p>
    <w:p w:rsidR="00A31137" w:rsidRPr="00A31137" w:rsidRDefault="00A31137" w:rsidP="00A31137">
      <w:r w:rsidRPr="00A31137">
        <w:t>President Reagan's Radio Address to the Nation on Tax Reform, 1986</w:t>
      </w:r>
    </w:p>
    <w:p w:rsidR="00A31137" w:rsidRPr="00A31137" w:rsidRDefault="00A31137" w:rsidP="00A31137">
      <w:r w:rsidRPr="00A31137">
        <w:t>Title:</w:t>
      </w:r>
      <w:r w:rsidRPr="00A31137">
        <w:tab/>
        <w:t>President Reagan's Radio Address to the Nation on Tax Reform</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June 7, 1986</w:t>
      </w:r>
    </w:p>
    <w:p w:rsidR="00A31137" w:rsidRPr="00A31137" w:rsidRDefault="00A31137" w:rsidP="00A31137">
      <w:r w:rsidRPr="00A31137">
        <w:t>Source:</w:t>
      </w:r>
      <w:r w:rsidRPr="00A31137">
        <w:tab/>
        <w:t>Public Papers of the Presidents, Reagan, 1986, pp.734-735</w:t>
      </w:r>
    </w:p>
    <w:p w:rsidR="00A31137" w:rsidRPr="00A31137" w:rsidRDefault="00A31137" w:rsidP="00A31137">
      <w:r w:rsidRPr="00A31137">
        <w:t>Public Papers of Reagan, 1986, p.734</w:t>
      </w:r>
    </w:p>
    <w:p w:rsidR="00A31137" w:rsidRPr="00A31137" w:rsidRDefault="00A31137" w:rsidP="00A31137">
      <w:r w:rsidRPr="00A31137">
        <w:t>My fellow Americans:</w:t>
      </w:r>
    </w:p>
    <w:p w:rsidR="00A31137" w:rsidRPr="00A31137" w:rsidRDefault="00A31137" w:rsidP="00A31137">
      <w:r w:rsidRPr="00A31137">
        <w:t>Public Papers of Reagan, 1986, p.734</w:t>
      </w:r>
    </w:p>
    <w:p w:rsidR="00A31137" w:rsidRPr="00A31137" w:rsidRDefault="00A31137" w:rsidP="00A31137">
      <w:r w:rsidRPr="00A31137">
        <w:t>I'd like to read to you from a very famous U.S. Government document: "For purposes of Paragraph (3), an organization described in Paragraph (2) shall be deemed to include an organization described in Section 501(c) (4), (5), or (6) which would be described in Paragraph (2) if it were an organization described in Section 509(a)(3)." Not exactly the Declaration of Independence or Lincoln's second inaugural. No, it's the last sentence in section 509(a) of—you guessed it-the Internal Revenue Code. Now why, on a Saturday in the springtime, would I raise such an unpleasant topic as taxes? Well, I wanted you to know that, just for once, the news about taxes is actually good—in fact, "great" might be the word.</w:t>
      </w:r>
    </w:p>
    <w:p w:rsidR="00A31137" w:rsidRPr="00A31137" w:rsidRDefault="00A31137" w:rsidP="00A31137">
      <w:r w:rsidRPr="00A31137">
        <w:t>Public Papers of Reagan, 1986, p.734</w:t>
      </w:r>
    </w:p>
    <w:p w:rsidR="00A31137" w:rsidRPr="00A31137" w:rsidRDefault="00A31137" w:rsidP="00A31137">
      <w:r w:rsidRPr="00A31137">
        <w:t>You see, if the Congress moves speedily this summer, most of you are going to be getting a reduction in tax rates starting next year. That's because there's a new bill that's going to drastically overhaul the tax code and reduce the current 14 tax rates to only 2—15 percent and 27 percent. That means 80 percent of the American people will be paying the rate of 15 percent or less. For most of you, that's going to be a significant tax cut.</w:t>
      </w:r>
    </w:p>
    <w:p w:rsidR="00A31137" w:rsidRPr="00A31137" w:rsidRDefault="00A31137" w:rsidP="00A31137">
      <w:r w:rsidRPr="00A31137">
        <w:t>Public Papers of Reagan, 1986, p.734</w:t>
      </w:r>
    </w:p>
    <w:p w:rsidR="00A31137" w:rsidRPr="00A31137" w:rsidRDefault="00A31137" w:rsidP="00A31137">
      <w:r w:rsidRPr="00A31137">
        <w:t>But lower tax rates aren't all. This new legislation raises the personal and dependent's exemption from $1,080 to $2,000 for all but the very richest Americans. It also removes 6 million poor people from the income tax rolls, making it one of the most effective antipoverty programs in our history. And the Council of Economic Advisers tells me that the added incentives and efficiencies in the bill could increase our country's growth rate nearly 10 percent over the next decade. That could mean as many as 4 million new jobs. It could also mean as much as $600 to $900 more real income per household each year; $600 to $900 each year—now, that could come in handy. So, extra money in your pocket, millions of new jobs over the next decade—how could all of this come just from changing the tax code? Well, let me explain.</w:t>
      </w:r>
    </w:p>
    <w:p w:rsidR="00A31137" w:rsidRPr="00A31137" w:rsidRDefault="00A31137" w:rsidP="00A31137">
      <w:r w:rsidRPr="00A31137">
        <w:t>Public Papers of Reagan, 1986, p.734</w:t>
      </w:r>
    </w:p>
    <w:p w:rsidR="00A31137" w:rsidRPr="00A31137" w:rsidRDefault="00A31137" w:rsidP="00A31137">
      <w:r w:rsidRPr="00A31137">
        <w:t>You see, the current code—taking up loads of shelf space and filled with paragraphs like the one I just read—is hardly a code at all. It's a hodgepodge of special favors, a product of the great Washington taffy-pull: the favor-seeking and influence peddling. So, it's unfair, yes. But even worse, all this special privilege makes the code the single biggest obstacle to economic growth in our nation today. That's because it thwarts the very people who create wealth and generate new jobs, the people who take a risk, go out on their own with a bright idea and start a new business, those darers and dreamers we call entrepreneurs. But to get their businesses up and running these entrepreneurs need capital—seed money. And many potential investors aren't interested in helping the entrepreneurs precisely because the tax code makes it far more profitable to divert their money into nonproductive tax shelters. Because of these shelters—the fancy schemes and fast angles protected and encouraged by the law-there's less investment in the new products and services offered by the entrepreneurs, products and services that would help the consumer and stimulate growth. So, when you get down to it, the tax shelters aren't really just a break for a lucky few; they're a drag on the whole national economy and a form of hidden taxation on us all.</w:t>
      </w:r>
    </w:p>
    <w:p w:rsidR="00A31137" w:rsidRPr="00A31137" w:rsidRDefault="00A31137" w:rsidP="00A31137">
      <w:r w:rsidRPr="00A31137">
        <w:t>Public Papers of Reagan, 1986, p.734</w:t>
      </w:r>
    </w:p>
    <w:p w:rsidR="00A31137" w:rsidRPr="00A31137" w:rsidRDefault="00A31137" w:rsidP="00A31137">
      <w:r w:rsidRPr="00A31137">
        <w:t>This new bill would change all this. As that pioneer of economic growth, George Gilder, wrote recently in the Wall Street Journal: The new bill would shift the balance of power to productive enterprises, from "the owners of land to the improvers of it, from the experts in sheltering money to the experts in sheltering people, from the structuring of deals to the development of structures."</w:t>
      </w:r>
    </w:p>
    <w:p w:rsidR="00A31137" w:rsidRPr="00A31137" w:rsidRDefault="00A31137" w:rsidP="00A31137">
      <w:r w:rsidRPr="00A31137">
        <w:t>Public Papers of Reagan, 1986, p.734–p.735</w:t>
      </w:r>
    </w:p>
    <w:p w:rsidR="00A31137" w:rsidRPr="00A31137" w:rsidRDefault="00A31137" w:rsidP="00A31137">
      <w:r w:rsidRPr="00A31137">
        <w:t>Right now the Senate has before it an excellent bill framed by Senators Packwood and Long of the Senate Finance Committee and pushed hard by Majority Leader Bob Dole. If we can get that bill adopted, if we can stop the Washington lobbyists from loading it up with the bells and whistles of [p.735] special privilege, we hope to get the House of Representatives to agree to it in legislative conference. And that means that I could sign that bill by Labor Day. What a way to end the summer. Bipartisanship-Democrats and Republicans pulling together.</w:t>
      </w:r>
    </w:p>
    <w:p w:rsidR="00A31137" w:rsidRPr="00A31137" w:rsidRDefault="00A31137" w:rsidP="00A31137">
      <w:r w:rsidRPr="00A31137">
        <w:t>Public Papers of Reagan, 1986, p.735</w:t>
      </w:r>
    </w:p>
    <w:p w:rsidR="00A31137" w:rsidRPr="00A31137" w:rsidRDefault="00A31137" w:rsidP="00A31137">
      <w:r w:rsidRPr="00A31137">
        <w:t>But we need your help. You know, there's a story about the candidate for public office who was once asked why he didn't win the election. "A shortage of votes," he replied. Well, that's not as silly as it sounds. I hope each of you will help us out. I hope that you'll join me in supporting tax reform and the booming economic growth that will come with it.</w:t>
      </w:r>
    </w:p>
    <w:p w:rsidR="00A31137" w:rsidRPr="00A31137" w:rsidRDefault="00A31137" w:rsidP="00A31137">
      <w:r w:rsidRPr="00A31137">
        <w:t>Public Papers of Reagan, 1986, p.735</w:t>
      </w:r>
    </w:p>
    <w:p w:rsidR="00A31137" w:rsidRPr="00A31137" w:rsidRDefault="00A31137" w:rsidP="00A31137">
      <w:r w:rsidRPr="00A31137">
        <w:t>Until next week, thanks again for listening, and God bless you.</w:t>
      </w:r>
    </w:p>
    <w:p w:rsidR="00A31137" w:rsidRPr="00A31137" w:rsidRDefault="00A31137" w:rsidP="00A31137">
      <w:r w:rsidRPr="00A31137">
        <w:t>Public Papers of Reagan, 1986, p.735</w:t>
      </w:r>
    </w:p>
    <w:p w:rsidR="00A31137" w:rsidRPr="00A31137" w:rsidRDefault="00A31137" w:rsidP="00A31137">
      <w:r w:rsidRPr="00A31137">
        <w:t>NOTE: The President spoke at 12:06 p.m. from Camp David, MD.</w:t>
      </w:r>
    </w:p>
    <w:p w:rsidR="00A31137" w:rsidRPr="00A31137" w:rsidRDefault="00A31137" w:rsidP="00A31137">
      <w:r w:rsidRPr="00A31137">
        <w:t>President Reagan's Nomination of William H. Rehnquist To Be Chief Justice of the U.S. Supreme Court, 1986</w:t>
      </w:r>
    </w:p>
    <w:p w:rsidR="00A31137" w:rsidRPr="00A31137" w:rsidRDefault="00A31137" w:rsidP="00A31137">
      <w:r w:rsidRPr="00A31137">
        <w:t>Title:</w:t>
      </w:r>
      <w:r w:rsidRPr="00A31137">
        <w:tab/>
        <w:t>President Reagan's Nomination of William H. Rehnquist To Be Chief Justice of the U.S. Supreme Court</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June 17, 1986</w:t>
      </w:r>
    </w:p>
    <w:p w:rsidR="00A31137" w:rsidRPr="00A31137" w:rsidRDefault="00A31137" w:rsidP="00A31137">
      <w:r w:rsidRPr="00A31137">
        <w:t>Source:</w:t>
      </w:r>
      <w:r w:rsidRPr="00A31137">
        <w:tab/>
        <w:t>Public Papers of the Presidents, Reagan, 1986, p.788</w:t>
      </w:r>
    </w:p>
    <w:p w:rsidR="00A31137" w:rsidRPr="00A31137" w:rsidRDefault="00A31137" w:rsidP="00A31137">
      <w:r w:rsidRPr="00A31137">
        <w:t>Public Papers of Reagan, 1986, p.788</w:t>
      </w:r>
    </w:p>
    <w:p w:rsidR="00A31137" w:rsidRPr="00A31137" w:rsidRDefault="00A31137" w:rsidP="00A31137">
      <w:r w:rsidRPr="00A31137">
        <w:t>The President today announced his intention to nominate Associate Justice William H. Rehnquist to be the next Chief Justice of the United States. He would succeed Chief Justice Warren E. Burger. Justice Rehnquist was named to the United States Supreme Court in 1971 by President Nixon.</w:t>
      </w:r>
    </w:p>
    <w:p w:rsidR="00A31137" w:rsidRPr="00A31137" w:rsidRDefault="00A31137" w:rsidP="00A31137">
      <w:r w:rsidRPr="00A31137">
        <w:t>Public Papers of Reagan, 1986, p.788</w:t>
      </w:r>
    </w:p>
    <w:p w:rsidR="00A31137" w:rsidRPr="00A31137" w:rsidRDefault="00A31137" w:rsidP="00A31137">
      <w:r w:rsidRPr="00A31137">
        <w:t>Prior to joining the Supreme Court, Justice Rehnquist served in the Department of Justice as Assistant Attorney General for the Office of Legal Counsel from 1969 to 1971. He practiced law as a partner with several firms in Phoenix, AZ, from 1953 to 1969. He was a law clerk to Supreme Court Justice Robert H. Jackson in 1952-1953. He graduated first in his class from Stanford Law School in 1952. He received his B.A., with great distinction, from Stanford University, where he was a member of Phi Beta Kappa. He received M.A. degrees in political science from Stanford in 1948 and from Harvard in 1949.</w:t>
      </w:r>
    </w:p>
    <w:p w:rsidR="00A31137" w:rsidRPr="00A31137" w:rsidRDefault="00A31137" w:rsidP="00A31137">
      <w:r w:rsidRPr="00A31137">
        <w:t>Public Papers of Reagan, 1986, p.788</w:t>
      </w:r>
    </w:p>
    <w:p w:rsidR="00A31137" w:rsidRPr="00A31137" w:rsidRDefault="00A31137" w:rsidP="00A31137">
      <w:r w:rsidRPr="00A31137">
        <w:t>Justice Rehnquist is married to the former Natalie Cornell, and they have three children. He was born on October 1, 1924, in Milwaukee, WI.</w:t>
      </w:r>
    </w:p>
    <w:p w:rsidR="00A31137" w:rsidRPr="00A31137" w:rsidRDefault="00A31137" w:rsidP="00A31137">
      <w:r w:rsidRPr="00A31137">
        <w:t>President Reagan's Nomination of Antonin Scalia To Be an Associate Justice of the U.S. Supreme Court, 1986</w:t>
      </w:r>
    </w:p>
    <w:p w:rsidR="00A31137" w:rsidRPr="00A31137" w:rsidRDefault="00A31137" w:rsidP="00A31137">
      <w:r w:rsidRPr="00A31137">
        <w:t>Title:</w:t>
      </w:r>
      <w:r w:rsidRPr="00A31137">
        <w:tab/>
        <w:t>President Reagan's Nomination of Antonin Scalia To Be an Associate Justice of the U.S. Supreme Court</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June 17, 1986</w:t>
      </w:r>
    </w:p>
    <w:p w:rsidR="00A31137" w:rsidRPr="00A31137" w:rsidRDefault="00A31137" w:rsidP="00A31137">
      <w:r w:rsidRPr="00A31137">
        <w:t>Source:</w:t>
      </w:r>
      <w:r w:rsidRPr="00A31137">
        <w:tab/>
        <w:t>Public Papers of the Presidents, Reagan, 1986, p.789</w:t>
      </w:r>
    </w:p>
    <w:p w:rsidR="00A31137" w:rsidRPr="00A31137" w:rsidRDefault="00A31137" w:rsidP="00A31137">
      <w:r w:rsidRPr="00A31137">
        <w:t>Public Papers of Reagan, 1986, p.789</w:t>
      </w:r>
    </w:p>
    <w:p w:rsidR="00A31137" w:rsidRPr="00A31137" w:rsidRDefault="00A31137" w:rsidP="00A31137">
      <w:r w:rsidRPr="00A31137">
        <w:t>The President today announced his intention to nominate Judge Antonin Scalia to be Associate Justice of the United States Supreme Court. He would succeed Associate Justice William H. Rehnquist upon Justice Rehnquist's confirmation as the next Chief Justice. Judge Scalia has been sitting on the U.S. Court of Appeals for the District of Columbia Circuit since 1982, when he was named to that court by President Reagan.</w:t>
      </w:r>
    </w:p>
    <w:p w:rsidR="00A31137" w:rsidRPr="00A31137" w:rsidRDefault="00A31137" w:rsidP="00A31137">
      <w:r w:rsidRPr="00A31137">
        <w:t>Public Papers of Reagan, 1986, p.789</w:t>
      </w:r>
    </w:p>
    <w:p w:rsidR="00A31137" w:rsidRPr="00A31137" w:rsidRDefault="00A31137" w:rsidP="00A31137">
      <w:r w:rsidRPr="00A31137">
        <w:t>Prior to his appointment to the Court of Appeals, Judge Scalia was a law professor at the University of Chicago. He has also taught at Stanford, Georgetown, and the University of Virginia Law Schools. He was a resident scholar at the American Enterprise Institute in 1977. From 1974 to 1977, Judge Scalia served in the Department of Justice as Assistant Attorney General for the Office of Legal Counsel. Judge Scalia practiced law at Jones, Day, Reavis &amp; Pogue, Cleveland, OH, between 1960 and 1967; was General Counsel of the Office of Telecommunications Policy from 1971 to 1972; and between 1972 and 1974 served as chairman of the Administrative Conference of the United States. Judge Scalia was graduated from Harvard Law School in 1960 where he was note editor of the Harvard Law Review. He received his B.A., summa cum laude, from Georgetown University in 1957, graduating valedictorian and first in his class. During 1960-1961, he held a Sheldon fellowship awarded by Harvard University.</w:t>
      </w:r>
    </w:p>
    <w:p w:rsidR="00A31137" w:rsidRPr="00A31137" w:rsidRDefault="00A31137" w:rsidP="00A31137">
      <w:r w:rsidRPr="00A31137">
        <w:t>Public Papers of Reagan, 1986, p.789</w:t>
      </w:r>
    </w:p>
    <w:p w:rsidR="00A31137" w:rsidRPr="00A31137" w:rsidRDefault="00A31137" w:rsidP="00A31137">
      <w:r w:rsidRPr="00A31137">
        <w:t>Judge Scalia is married to the former Maureen McCarthy, and they have nine children. Judge Scalia, whose father emigrated to the United States, was born on March 11, 1936, in Trenton, NJ.</w:t>
      </w:r>
    </w:p>
    <w:p w:rsidR="00A31137" w:rsidRPr="00A31137" w:rsidRDefault="00A31137" w:rsidP="00A31137">
      <w:r w:rsidRPr="00A31137">
        <w:t>President Reagan's Address to the 41st Session of the United Nations General Assembly, 1986</w:t>
      </w:r>
    </w:p>
    <w:p w:rsidR="00A31137" w:rsidRPr="00A31137" w:rsidRDefault="00A31137" w:rsidP="00A31137">
      <w:r w:rsidRPr="00A31137">
        <w:t>Title:</w:t>
      </w:r>
      <w:r w:rsidRPr="00A31137">
        <w:tab/>
        <w:t>President Reagan's Address to the 41st Session of the United Nations General Assembly</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September 22, 1986</w:t>
      </w:r>
    </w:p>
    <w:p w:rsidR="00A31137" w:rsidRPr="00A31137" w:rsidRDefault="00A31137" w:rsidP="00A31137">
      <w:r w:rsidRPr="00A31137">
        <w:t>Source:</w:t>
      </w:r>
      <w:r w:rsidRPr="00A31137">
        <w:tab/>
        <w:t>Public Papers of the Presidents, Reagan, 1986, pp.1227-1233</w:t>
      </w:r>
    </w:p>
    <w:p w:rsidR="00A31137" w:rsidRPr="00A31137" w:rsidRDefault="00A31137" w:rsidP="00A31137">
      <w:r w:rsidRPr="00A31137">
        <w:t>Public Papers of Reagan, 1986, p.1227–p.1228</w:t>
      </w:r>
    </w:p>
    <w:p w:rsidR="00A31137" w:rsidRPr="00A31137" w:rsidRDefault="00A31137" w:rsidP="00A31137">
      <w:r w:rsidRPr="00A31137">
        <w:t>Mr. President, Mr. Secretary-General, honored guests, and distinguished delegates, a short walk from this chamber is the delegates Meditation Room, a refuge from a world deafened by the noise of strife and violence. "We want to bring back the idea of worship," Dag Hammarskjold once said about this room, "devotion to something which is greater and higher than we are ourselves." Well, it's just such devotion that gave birth to the United Nations—devotion to the dream of world peace and freedom, [p.1228] of human rights and democratic self-determination, of a time when, in those ancient words, "…and they shall beat their swords into plowshares…nation shall not lift up sword against nation, neither shall they learn war anymore."</w:t>
      </w:r>
    </w:p>
    <w:p w:rsidR="00A31137" w:rsidRPr="00A31137" w:rsidRDefault="00A31137" w:rsidP="00A31137">
      <w:r w:rsidRPr="00A31137">
        <w:t>Public Papers of Reagan, 1986, p.1228</w:t>
      </w:r>
    </w:p>
    <w:p w:rsidR="00A31137" w:rsidRPr="00A31137" w:rsidRDefault="00A31137" w:rsidP="00A31137">
      <w:r w:rsidRPr="00A31137">
        <w:t>The United States remains committed to the United Nations. For over 40 years this organization has provided an international forum for harmonizing conflicting national interests and has made a significant contribution in such fields as peacekeeping, humanitarian assistance, and eradicating disease. And yet no one knows better than those in this chamber how the noble ideals embodied in the charter have often remained unfulfilled. This organization itself faces a critical hour—that is usually stated as a fiscal crisis. But we can turn this crisis into an opportunity. The important reforms proposed by a group of experts can be a first step toward restoring the organization's status and effectiveness. The issue, ultimately, is not one of cash but of credibility. If all the members of this universal organization decide to seize the moment and turn the rhetoric of reform into reality, the future of the U.N. will be secure. And you have my word for it: My country, which has always given the U.N. generous support, will continue to play a leading role in the effort to achieve its noble purposes.</w:t>
      </w:r>
    </w:p>
    <w:p w:rsidR="00A31137" w:rsidRPr="00A31137" w:rsidRDefault="00A31137" w:rsidP="00A31137">
      <w:r w:rsidRPr="00A31137">
        <w:t>Public Papers of Reagan, 1986, p.1228</w:t>
      </w:r>
    </w:p>
    <w:p w:rsidR="00A31137" w:rsidRPr="00A31137" w:rsidRDefault="00A31137" w:rsidP="00A31137">
      <w:r w:rsidRPr="00A31137">
        <w:t>When I came before you last year, an important moment in the pursuit of those purposes had not yet occurred. The leaders of the Soviet Union and the United States were to meet in Geneva. These discussions have now been held. For over 15 hours Soviet and American delegations met; for about 5 hours General Secretary Gorbachev and I talked, alone. Our talks were frank. The talks were also productive—in a larger sense than even the documents that were agreed. Mr. Gorbachev was blunt, and so was I. We came to realize again the truth of the statement: Nations do not mistrust each other because they are armed; they are armed because they mistrust each other. And I did not hesitate to tell Mr. Gorbachev our view of the source of that mistrust: the Soviet Union's record of seeking to impose its ideology and rule on others. So, we acknowledged the deep and abiding differences between our systems of government, our views of history and the future of mankind. But despite these differences, we resolved to work together for real reductions in nuclear arms, as well as progress in other areas.</w:t>
      </w:r>
    </w:p>
    <w:p w:rsidR="00A31137" w:rsidRPr="00A31137" w:rsidRDefault="00A31137" w:rsidP="00A31137">
      <w:r w:rsidRPr="00A31137">
        <w:t>Public Papers of Reagan, 1986, p.1228</w:t>
      </w:r>
    </w:p>
    <w:p w:rsidR="00A31137" w:rsidRPr="00A31137" w:rsidRDefault="00A31137" w:rsidP="00A31137">
      <w:r w:rsidRPr="00A31137">
        <w:t>Delegates to the 41st General Assembly of the United Nations: Today I want to report to you on what has transpired since the summit, notably the important letter I sent July 25th to Mr. Gorbachev. In that letter, I dealt with the important issues of reducing nuclear arms, agreeing on strategic defenses, and limiting nuclear testing. In addition to those issues, which concern the military aspects of Soviet-American relations, I would also like to address other essential steps toward peace: the resolution of political conflicts, the strengthening of the international economy, and the protection of human rights. Before I do this, however, let me, in the tradition of candor established at Geneva, tell you that a pall has been cast over our relations with the Soviet Union. I refer here to a particularly disturbing example of Soviet transgressions against human rights.</w:t>
      </w:r>
    </w:p>
    <w:p w:rsidR="00A31137" w:rsidRPr="00A31137" w:rsidRDefault="00A31137" w:rsidP="00A31137">
      <w:r w:rsidRPr="00A31137">
        <w:t>Public Papers of Reagan, 1986, p.1228</w:t>
      </w:r>
    </w:p>
    <w:p w:rsidR="00A31137" w:rsidRPr="00A31137" w:rsidRDefault="00A31137" w:rsidP="00A31137">
      <w:r w:rsidRPr="00A31137">
        <w:t>Recently, after the arrest of a Soviet national and U.N. employee accused of espionage in the United States, an American correspondent in Moscow was made the subject of fabricated accusations and trumped-up charges. He was arrested and jailed in a callous disregard of due process and numerous human rights conventions. In effect, he was taken as a hostage—even threatened with the death penalty. Both individuals have now been remanded to their respective Ambassadors. But this is only an interim step agreed to by the United States for humanitarian reasons. It does not change the facts of the case: Gennadi Zakharov is an accused spy who should stand trial; Nicholas Daniloff is an innocent hostage who should be released. The Soviet Union bears the responsibility for the consequences of its action. Misusing the United Nations for purposes of espionage does a grave disservice to this organization. And the world expects better. It expects contributions to the cause of peace that only the leaders of the United States and the Soviet Union can make.</w:t>
      </w:r>
    </w:p>
    <w:p w:rsidR="00A31137" w:rsidRPr="00A31137" w:rsidRDefault="00A31137" w:rsidP="00A31137">
      <w:r w:rsidRPr="00A31137">
        <w:t>Public Papers of Reagan, 1986, p.1228–p.1229</w:t>
      </w:r>
    </w:p>
    <w:p w:rsidR="00A31137" w:rsidRPr="00A31137" w:rsidRDefault="00A31137" w:rsidP="00A31137">
      <w:r w:rsidRPr="00A31137">
        <w:t>It is for this reason that I wrote last [p.1229] summer to Mr. Gorbachev with new arms control proposals. Before discussing the proposals, let us be clear about which weapons are the most dangerous and threatening to peace. The threat does not come from defensive systems, which are a shield against attack, but from offensive weapons—ballistic missiles that hurtle through space and can wreak mass destruction on the surface of the Earth, especially the Soviet Union's heavy, accurate ICBM's, with multiple warheads, which have no counterparts in size or number in any other country. And that is why the United States has long urged radical, equitable, verifiable reductions in these offensive systems. Note that I said "reduction," for this is the real purpose of arms control—not just to codify the levels of today's arsenals, not just to channel their further expansion, but to reduce them in ways that will reduce the danger of war. Indeed, the United States believes the prospect of a future without such weapons of mass destruction must be the ultimate goal of arms control.</w:t>
      </w:r>
    </w:p>
    <w:p w:rsidR="00A31137" w:rsidRPr="00A31137" w:rsidRDefault="00A31137" w:rsidP="00A31137">
      <w:r w:rsidRPr="00A31137">
        <w:t>Public Papers of Reagan, 1986, p.1229</w:t>
      </w:r>
    </w:p>
    <w:p w:rsidR="00A31137" w:rsidRPr="00A31137" w:rsidRDefault="00A31137" w:rsidP="00A31137">
      <w:r w:rsidRPr="00A31137">
        <w:t>I am pleased to say that the Soviet Union has now embraced our idea of radical reductions in offensive systems. At the Geneva summit last November, we agreed to intensify work in this area. Since then the Soviets have made detailed proposals which, while not acceptable to us, appear to represent a serious effort. So, we continue to seek a 50-percent reduction of American and Soviet arsenals, with the central focus on the reduction of ballistic missile warheads. If the Soviet Union wants only a lesser reduction, however, we are prepared to consider it—but as an interim measure. In other provisions as well, we have sought to take account of Soviet concerns. So, there has been movement. Similarly, in the area of intermediate-range nuclear forces, the United States seeks the total elimination of such missiles on a global basis. Again, if the Soviet Union insists on pursuing such a goal in stages, we are prepared to conclude an interim agreement without delay.</w:t>
      </w:r>
    </w:p>
    <w:p w:rsidR="00A31137" w:rsidRPr="00A31137" w:rsidRDefault="00A31137" w:rsidP="00A31137">
      <w:r w:rsidRPr="00A31137">
        <w:t>Public Papers of Reagan, 1986, p.1229</w:t>
      </w:r>
    </w:p>
    <w:p w:rsidR="00A31137" w:rsidRPr="00A31137" w:rsidRDefault="00A31137" w:rsidP="00A31137">
      <w:r w:rsidRPr="00A31137">
        <w:t>All this gives me hope. I can tell you the exchanges between our two sides this summer could well have marked the beginning of a serious, productive negotiation on arms reduction. The ice of the negotiating stalemate could break if both sides intensify their effort in the new round of Geneva talks and if we keep the promises we made to each other last November. For too long a time, however, the Soviet response has been to downplay the need for offensive reductions. When the United States began work on technology to make offensive nuclear weapons someday obsolete, the Soviets tried to make that the main issue—as if the main danger to strategic stability was a defense against missiles that is still on the drawing boards, rather than the menacing ballistic missiles themselves that already exist in excessive numbers.</w:t>
      </w:r>
    </w:p>
    <w:p w:rsidR="00A31137" w:rsidRPr="00A31137" w:rsidRDefault="00A31137" w:rsidP="00A31137">
      <w:r w:rsidRPr="00A31137">
        <w:t>Public Papers of Reagan, 1986, p.1229</w:t>
      </w:r>
    </w:p>
    <w:p w:rsidR="00A31137" w:rsidRPr="00A31137" w:rsidRDefault="00A31137" w:rsidP="00A31137">
      <w:r w:rsidRPr="00A31137">
        <w:t>Still, the United States recognizes that both the offensive and defensive sides of the strategic equation must be addressed. And we have gone far to meet Soviet concerns expressed about the potential offensive use of strategic defensive systems. I have offered firm and concrete assurances that our SDI could never be used to deploy weapons in space that can cause mass destruction on Earth. I have pointed out that the radical reduction we seek now in offensive arsenals would be additional insurance that SDI cannot be used to support a firststrike strategy. And our preference from the beginning has been to move forward cooperatively with the Soviets on strategic defenses so that neither side will feel threatened and both can benefit from the strategic revolution that SDI represents.</w:t>
      </w:r>
    </w:p>
    <w:p w:rsidR="00A31137" w:rsidRPr="00A31137" w:rsidRDefault="00A31137" w:rsidP="00A31137">
      <w:r w:rsidRPr="00A31137">
        <w:t>Public Papers of Reagan, 1986, p.1229</w:t>
      </w:r>
    </w:p>
    <w:p w:rsidR="00A31137" w:rsidRPr="00A31137" w:rsidRDefault="00A31137" w:rsidP="00A31137">
      <w:r w:rsidRPr="00A31137">
        <w:t>The United States continues to respect the antiballistic missile treaty—in spite of clear evidence the Soviets are violating it. We have told the Soviets that if we can both agree on radical reductions in strategic offensive weapons, we are prepared right now to sign an agreement with them on research, development, testing, and deployment of strategic defenses based on the following:</w:t>
      </w:r>
    </w:p>
    <w:p w:rsidR="00A31137" w:rsidRPr="00A31137" w:rsidRDefault="00A31137" w:rsidP="00A31137">
      <w:r w:rsidRPr="00A31137">
        <w:t>Public Papers of Reagan, 1986, p.1229</w:t>
      </w:r>
    </w:p>
    <w:p w:rsidR="00A31137" w:rsidRPr="00A31137" w:rsidRDefault="00A31137" w:rsidP="00A31137">
      <w:r w:rsidRPr="00A31137">
        <w:t>First, both sides would agree to confine themselves through 1991 to research, development, and testing—which is permitted by the ABM treaty—to determine whether advanced systems of strategic defense are technically feasible.</w:t>
      </w:r>
    </w:p>
    <w:p w:rsidR="00A31137" w:rsidRPr="00A31137" w:rsidRDefault="00A31137" w:rsidP="00A31137">
      <w:r w:rsidRPr="00A31137">
        <w:t>Public Papers of Reagan, 1986, p.1229–p.1230</w:t>
      </w:r>
    </w:p>
    <w:p w:rsidR="00A31137" w:rsidRPr="00A31137" w:rsidRDefault="00A31137" w:rsidP="00A31137">
      <w:r w:rsidRPr="00A31137">
        <w:t>Second, a new treaty signed now would provide that if, after 1991, either side should decide to deploy such a system, that side would be obliged to offer a plan for [p.1230] sharing the benefits of strategic defense and for eliminating offensive ballistic missiles. And this plan would be negotiated over a 2-year period.</w:t>
      </w:r>
    </w:p>
    <w:p w:rsidR="00A31137" w:rsidRPr="00A31137" w:rsidRDefault="00A31137" w:rsidP="00A31137">
      <w:r w:rsidRPr="00A31137">
        <w:t>Public Papers of Reagan, 1986, p.1230</w:t>
      </w:r>
    </w:p>
    <w:p w:rsidR="00A31137" w:rsidRPr="00A31137" w:rsidRDefault="00A31137" w:rsidP="00A31137">
      <w:r w:rsidRPr="00A31137">
        <w:t>Third, if the two sides can't agree after 2 years of negotiation, either side would be free to deploy an advanced strategic defensive system after giving 6 months notice to the other.</w:t>
      </w:r>
    </w:p>
    <w:p w:rsidR="00A31137" w:rsidRPr="00A31137" w:rsidRDefault="00A31137" w:rsidP="00A31137">
      <w:r w:rsidRPr="00A31137">
        <w:t>Public Papers of Reagan, 1986, p.1230</w:t>
      </w:r>
    </w:p>
    <w:p w:rsidR="00A31137" w:rsidRPr="00A31137" w:rsidRDefault="00A31137" w:rsidP="00A31137">
      <w:r w:rsidRPr="00A31137">
        <w:t>As the United States has repeatedly made clear, we are moving toward a future of greater reliance upon strategic defense. The United States remains prepared to talk about how—under what ground rules and process—we and the Soviet Union can do this cooperatively. Such strategic defenses, coupled with radical reductions in offensive forces, would represent a safer balance and would give future statesmen the opportunity to move beyond it—to the ultimate elimination of nuclear weapons from the face of the Earth.</w:t>
      </w:r>
    </w:p>
    <w:p w:rsidR="00A31137" w:rsidRPr="00A31137" w:rsidRDefault="00A31137" w:rsidP="00A31137">
      <w:r w:rsidRPr="00A31137">
        <w:t>Public Papers of Reagan, 1986, p.1230</w:t>
      </w:r>
    </w:p>
    <w:p w:rsidR="00A31137" w:rsidRPr="00A31137" w:rsidRDefault="00A31137" w:rsidP="00A31137">
      <w:r w:rsidRPr="00A31137">
        <w:t>In addition to our proposals on offensive reductions and strategic defense, we have suggested new steps in another area: nuclear testing. Just as eliminating all nuclear weapons is our long-term goal, so, too, is a total ban on nuclear testing. But both must be approached with practical steps, for the reality is that for now we still must rely on these weapons for the deterrence of war. Thus, the safety and reliability of our deterrent are themselves critical to peace. The United States is proud of its record of nuclear safety and intends to maintain it. Nevertheless, we are, as I said, ready now to take two important steps toward limiting nuclear testing. First, we are ready to move forward on ratification of the threshold test ban treaty and the treaty on peaceful nuclear explosions, once agreement is reached on improved verification procedures. We have proposed new ideas to make this possible. Second, upon ratification of those treaties, and in association with a program to reduce and ultimately eliminate all nuclear weapons, we're prepared to discuss ways to implement a step-by-step, parallel program of limiting and ultimately ending nuclear testing.</w:t>
      </w:r>
    </w:p>
    <w:p w:rsidR="00A31137" w:rsidRPr="00A31137" w:rsidRDefault="00A31137" w:rsidP="00A31137">
      <w:r w:rsidRPr="00A31137">
        <w:t>Public Papers of Reagan, 1986, p.1230</w:t>
      </w:r>
    </w:p>
    <w:p w:rsidR="00A31137" w:rsidRPr="00A31137" w:rsidRDefault="00A31137" w:rsidP="00A31137">
      <w:r w:rsidRPr="00A31137">
        <w:t>These are steps we could take in the near future to show the world that we are moving forward. And I, therefore, call upon the Soviet Union to join us in practical, attainable progress in limiting nuclear testing. Just a few days ago, I received a reply from General Secretary Gorbachev to my letter of July 25th. And for the moment, let me say simply that we are giving it serious and careful consideration.</w:t>
      </w:r>
    </w:p>
    <w:p w:rsidR="00A31137" w:rsidRPr="00A31137" w:rsidRDefault="00A31137" w:rsidP="00A31137">
      <w:r w:rsidRPr="00A31137">
        <w:t>Public Papers of Reagan, 1986, p.1230</w:t>
      </w:r>
    </w:p>
    <w:p w:rsidR="00A31137" w:rsidRPr="00A31137" w:rsidRDefault="00A31137" w:rsidP="00A31137">
      <w:r w:rsidRPr="00A31137">
        <w:t>As we move toward our goal of eliminating nuclear weapons, it is vital that we also address important imbalances of other kinds of weapons. And this is why the United States has proposed a comprehensive global ban on all chemical weapons and why we and our allies have tried hard to break the stalemate in the conventional force negotiations in Vienna. And in the Stockholm Conference a major advance has been achieved—a concrete, new set of military confidence-building          measures which includes inspections.</w:t>
      </w:r>
    </w:p>
    <w:p w:rsidR="00A31137" w:rsidRPr="00A31137" w:rsidRDefault="00A31137" w:rsidP="00A31137">
      <w:r w:rsidRPr="00A31137">
        <w:t>Public Papers of Reagan, 1986, p.1230</w:t>
      </w:r>
    </w:p>
    <w:p w:rsidR="00A31137" w:rsidRPr="00A31137" w:rsidRDefault="00A31137" w:rsidP="00A31137">
      <w:r w:rsidRPr="00A31137">
        <w:t>But we must remember from the experience of the 1970's that progress in arms control cannot be divorced from regional political developments. As I said at the beginning, political tensions cause the military competition, not the other way around. But while the United States and the Soviet Union disagree over the root causes of political tension, we do agree that regional conflicts could escalate into global confrontation. Last year from this rostrum, I presented a formula for peace which would apply to five critical regional conflicts that are potential flash points for wider conflict. I pointed out how difficult it is for the United States to accept Soviet assurances of peaceful intent when 126,000 Soviet troops prosecute a vicious war against the Afghan people; when 140,000 Soviet-backed Vietnamese soldiers wage war on the people of Cambodia; when 1,700 Soviet advisers and 2,500 Cuban combat troops are involved in military planning and operations in Ethiopia; when 1,300 Soviet military advisers and 36,000 Cuban troops direct and participate in combat operations to prop up an unpopular, repressive regime in Angola; when hundreds of millions of dollars in Soviet arms and Soviet-bloc advisers help a dictatorial regime in Nicaragua try to subvert and betray a popular revolution.</w:t>
      </w:r>
    </w:p>
    <w:p w:rsidR="00A31137" w:rsidRPr="00A31137" w:rsidRDefault="00A31137" w:rsidP="00A31137">
      <w:r w:rsidRPr="00A31137">
        <w:t>Public Papers of Reagan, 1986, p.1230–p.1231</w:t>
      </w:r>
    </w:p>
    <w:p w:rsidR="00A31137" w:rsidRPr="00A31137" w:rsidRDefault="00A31137" w:rsidP="00A31137">
      <w:r w:rsidRPr="00A31137">
        <w:t>The danger inherent in these conflicts must be recognized. Marxist-Leninist regimes tend to wage war as readily against [p.1231] their neighbors as they routinely do against their own people. In fact, the internal and external wars often become indistinguishable. In Afghanistan, for example, the puppet regime has announced its intention to relocate tens of thousands of people from border areas. Can anyone doubt this will be done in classic Communist style—by force? Many will die to make it easier for the Soviets and their satellite troops to intimidate Pakistan. It is just such transgressions that make the risk of confrontation with democratic nations so acute.</w:t>
      </w:r>
    </w:p>
    <w:p w:rsidR="00A31137" w:rsidRPr="00A31137" w:rsidRDefault="00A31137" w:rsidP="00A31137">
      <w:r w:rsidRPr="00A31137">
        <w:t>Public Papers of Reagan, 1986, p.1231</w:t>
      </w:r>
    </w:p>
    <w:p w:rsidR="00A31137" w:rsidRPr="00A31137" w:rsidRDefault="00A31137" w:rsidP="00A31137">
      <w:r w:rsidRPr="00A31137">
        <w:t>So, once again, I propose a three-point peace process for the resolution of regional conflicts: First, talks between the warring parties themselves, without which an end to violence and national reconciliation are impossible; second, discussions between the United States and Soviet Union—not to impose solutions but to support peace talks and eventually eliminate the supply of arms and the proxy troops from abroad; and third, if the talks are successful, joint efforts to welcome each country back into the world economy and the community of nations that respect human rights.</w:t>
      </w:r>
    </w:p>
    <w:p w:rsidR="00A31137" w:rsidRPr="00A31137" w:rsidRDefault="00A31137" w:rsidP="00A31137">
      <w:r w:rsidRPr="00A31137">
        <w:t>Public Papers of Reagan, 1986, p.1231</w:t>
      </w:r>
    </w:p>
    <w:p w:rsidR="00A31137" w:rsidRPr="00A31137" w:rsidRDefault="00A31137" w:rsidP="00A31137">
      <w:r w:rsidRPr="00A31137">
        <w:t>In addition to regional disputes, the grave threat of terrorism also jeopardizes the hopes for peace. No cause, no grievance, can justify it. Terrorism is heinous and intolerable. It is the crime of cowards—cowards who prey on the innocent, the defenseless, and the helpless. With its allies and other nations, the United States has taken steps to counter terrorism directly, particularly state-sponsored terrorism. Last April the United States demonstrated that it will defend its interests and act against terrorist aggression. And let me assure all of you today, especially let me assure any potential sponsors of terrorism, that the American people are of one mind on this issue. Like other civilized peoples of the world, we have reached our limit. Attacks against our citizens or our interests will not go unanswered. We will also do all in our power to help other law-abiding nations threatened by terrorist attacks. To that end, the United States believes that the understandings reached by the seven industrial democracies at the Tokyo summit last May made a good start toward international accord in the war on terrorism. We recommend to the General Assembly consideration of the Tokyo resolutions.</w:t>
      </w:r>
    </w:p>
    <w:p w:rsidR="00A31137" w:rsidRPr="00A31137" w:rsidRDefault="00A31137" w:rsidP="00A31137">
      <w:r w:rsidRPr="00A31137">
        <w:t>Public Papers of Reagan, 1986, p.1231</w:t>
      </w:r>
    </w:p>
    <w:p w:rsidR="00A31137" w:rsidRPr="00A31137" w:rsidRDefault="00A31137" w:rsidP="00A31137">
      <w:r w:rsidRPr="00A31137">
        <w:t>Moving to the economic realm—how ironic it is that some continue to espouse such ideas as a "new international economic order" based on state control when the world is learning, as never before, that the freedom of the individual, not the power of the state, is the key to economic dynamism and growth. Nations have turned away from centralized management and government controls and toward the incentives and rewards of the free market. They have invited their citizens to develop their talents and abilities to the fullest and, in the process, to provide jobs, to create wealth, to build social stability and foster faith in the future for all. The economic summits of the industrial democracies have paid tribute to these principles, as has the historic U.N. Special Session on Africa in May. We applaud the African nations' call for reform, leading to greater reliance on their private sectors for economic growth. We believe that overcoming hunger and economic stagnation requires policies that encourage Africans' own productivity and initiatives. Such a policy framework will make it easier for the rest of the world, including the United States, to help. The laws of economic incentives do not discriminate between developed and developing countries. They apply to all equally.</w:t>
      </w:r>
    </w:p>
    <w:p w:rsidR="00A31137" w:rsidRPr="00A31137" w:rsidRDefault="00A31137" w:rsidP="00A31137">
      <w:r w:rsidRPr="00A31137">
        <w:t>Public Papers of Reagan, 1986, p.1231–p.1232</w:t>
      </w:r>
    </w:p>
    <w:p w:rsidR="00A31137" w:rsidRPr="00A31137" w:rsidRDefault="00A31137" w:rsidP="00A31137">
      <w:r w:rsidRPr="00A31137">
        <w:t>Much of the recent recovery in the world economy can be directly attributed to this growth of economic freedom. And it is this trend that offers such hope for the future. And yet this new hope faces a grave threat: the menace of trade barriers. History shows the imposition of such barriers invites retaliation, which in turn sparks the very sort of trade wars that plunged the world in the 1930's deeper into depression and economic misery. Truly, protectionism is destructionism. That is why the United States seeks the assistance of all countries represented here in the General Assembly in protecting the practice of free and fair trade. We applaud the success of the meeting of GATT trade ministers last week in Uruguay, where agreement was reached to launch a new round of multilateral trade negotiations covering a wide range of topics important to [p.1232] economic growth. With over 90 other countries of the GATT, the United States is working to maintain the free flow of international trade.</w:t>
      </w:r>
    </w:p>
    <w:p w:rsidR="00A31137" w:rsidRPr="00A31137" w:rsidRDefault="00A31137" w:rsidP="00A31137">
      <w:r w:rsidRPr="00A31137">
        <w:t>Public Papers of Reagan, 1986, p.1232</w:t>
      </w:r>
    </w:p>
    <w:p w:rsidR="00A31137" w:rsidRPr="00A31137" w:rsidRDefault="00A31137" w:rsidP="00A31137">
      <w:r w:rsidRPr="00A31137">
        <w:t>In addition to resistance to protectionism, the United States is also seeking to stimulate world economic growth in other ways. Our Treasury bill interest rate is now just over 5 percent, the lowest it has been in 9 years—which provides enormous relief to debtor countries. America's new tax structure will open the way for greater prosperity at home, which will contribute to greater prosperity abroad. And finally, the United States is working with other countries to minimize currency swings, to promote stability in the monetary market, to establish predictability as a basis for prosperity.</w:t>
      </w:r>
    </w:p>
    <w:p w:rsidR="00A31137" w:rsidRPr="00A31137" w:rsidRDefault="00A31137" w:rsidP="00A31137">
      <w:r w:rsidRPr="00A31137">
        <w:t>Public Papers of Reagan, 1986, p.1232</w:t>
      </w:r>
    </w:p>
    <w:p w:rsidR="00A31137" w:rsidRPr="00A31137" w:rsidRDefault="00A31137" w:rsidP="00A31137">
      <w:r w:rsidRPr="00A31137">
        <w:t>But the United States believes the greatest contribution we can make to world prosperity is the continued advocacy of the magic of the marketplace—the truth, the simple and proven truth, that economic development is an outgrowth of economic freedom just as economic freedom is the inseparable twin of political freedom and democratic government. And it is here that we come to our final category: human rights, the indispensable element for peace, freedom, and prosperity. I note that Mr. Gorbachev has used in recent speeches the same categories I have used here today: the military, the political, and the economic; except that he titled his fourth category: humanitarian.</w:t>
      </w:r>
    </w:p>
    <w:p w:rsidR="00A31137" w:rsidRPr="00A31137" w:rsidRDefault="00A31137" w:rsidP="00A31137">
      <w:r w:rsidRPr="00A31137">
        <w:t>Public Papers of Reagan, 1986, p.1232</w:t>
      </w:r>
    </w:p>
    <w:p w:rsidR="00A31137" w:rsidRPr="00A31137" w:rsidRDefault="00A31137" w:rsidP="00A31137">
      <w:r w:rsidRPr="00A31137">
        <w:t>Well, the difference is revealing. The United States believes that respect for the individual, for the dignity of the human person—those rights outlined in the U.N.'s Universal Declaration of Human Rights-does not belong in the realm of charity or humanitarian causes. Respect for human rights is not social work; it is not merely an act of compassion. It is the first obligation of government and the source of its legitimacy. It also is the foundation stone in any structure of world peace. All through history, it has been the dictatorships and the tyrannies that have surrendered first to the cult of militarism and the pursuit of war. Countries based on the consent of the governed, countries that recognize the unalienable rights of the individual, do not make war on each other. Peace is more than just an absence of war. True peace is justice, true peace is freedom, and true peace dictates the recognition of human rights.</w:t>
      </w:r>
    </w:p>
    <w:p w:rsidR="00A31137" w:rsidRPr="00A31137" w:rsidRDefault="00A31137" w:rsidP="00A31137">
      <w:r w:rsidRPr="00A31137">
        <w:t>Public Papers of Reagan, 1986, p.1232</w:t>
      </w:r>
    </w:p>
    <w:p w:rsidR="00A31137" w:rsidRPr="00A31137" w:rsidRDefault="00A31137" w:rsidP="00A31137">
      <w:r w:rsidRPr="00A31137">
        <w:t>Commitments were made more than 10 years ago in Helsinki concerning these rights and their recognition. We need only look to the East today to see how sadly unfulfilled those commitments are. The persecution of scientists, religious leaders, peace activists, political dissenters, and other prisoners of conscience continues unabated behind the Iron Curtain. You know, one section of the Helsinki accords even speaks to "improvement of working conditions of journalists." So, it is clear that progress in the human rights area must keep pace with progress in other areas. A failure on this score will hinder further movement in East-West relations. These, then, are the areas of concern and of opportunity that the United States sees in the quest for peace and freedom, the twin objectives of the U.N. Charter.</w:t>
      </w:r>
    </w:p>
    <w:p w:rsidR="00A31137" w:rsidRPr="00A31137" w:rsidRDefault="00A31137" w:rsidP="00A31137">
      <w:r w:rsidRPr="00A31137">
        <w:t>Public Papers of Reagan, 1986, p.1232</w:t>
      </w:r>
    </w:p>
    <w:p w:rsidR="00A31137" w:rsidRPr="00A31137" w:rsidRDefault="00A31137" w:rsidP="00A31137">
      <w:r w:rsidRPr="00A31137">
        <w:t>Last year I pointed out in my address to the General Assembly the differences between the United States and the Soviet Union are deep and abiding. But I also called for a fresh start in relations between our two nations, a fresh start that could benefit our own people and the people of every nation. Since that time, the United States has taken action and put forth new proposals that could lead our two countries and the entire world in a direction we all have long sought to go. Now more than ever, it is the responsibility of the Soviet Union to take action and demonstrate that they, too, are continuing the dialog for peace. As I've said, I believe that we can be hopeful about the world and the prospects for freedom. We only need look around us to see the new technologies that may someday spare future generations the nightmare of nuclear terror, of the growing ranks of democratic activists and freedom fighters, or the increasing movement toward free market economies, or the extent of worldwide concern about the rights of the individual in the face of brute, state power.</w:t>
      </w:r>
    </w:p>
    <w:p w:rsidR="00A31137" w:rsidRPr="00A31137" w:rsidRDefault="00A31137" w:rsidP="00A31137">
      <w:r w:rsidRPr="00A31137">
        <w:t>Public Papers of Reagan, 1986, p.1232–p.1233</w:t>
      </w:r>
    </w:p>
    <w:p w:rsidR="00A31137" w:rsidRPr="00A31137" w:rsidRDefault="00A31137" w:rsidP="00A31137">
      <w:r w:rsidRPr="00A31137">
        <w:t>In the past, when I have noted such trends—when I've called for a forward strategy for freedom and predicated the ultimate [p.1233] triumph of democratic rule over totalitarianism-some have accused me of telling people what they want to hear, of urging them not to engage the day but to escape it. Yet, to hope is to believe in humanity and in its future. Hope remains the highest reality, the age-old power. Hope is at the root of all the great ideas and causes that have bettered the lot of humankind across the centuries. History teaches us to hope, for it teaches us about man and about the irrepressible human spirit.</w:t>
      </w:r>
    </w:p>
    <w:p w:rsidR="00A31137" w:rsidRPr="00A31137" w:rsidRDefault="00A31137" w:rsidP="00A31137">
      <w:r w:rsidRPr="00A31137">
        <w:t>Public Papers of Reagan, 1986, p.1233</w:t>
      </w:r>
    </w:p>
    <w:p w:rsidR="00A31137" w:rsidRPr="00A31137" w:rsidRDefault="00A31137" w:rsidP="00A31137">
      <w:r w:rsidRPr="00A31137">
        <w:t>A Nobel laureate in literature, a great figure of the American South, William Faulkner, once said that the last sound heard on Earth would be that of the two remaining humans arguing over where to go in the spaceship they had built. In his speech to the Nobel committee in 1950, Faulkner spoke of the nuclear age, of the general and universal physical fear it had engendered, a fear of destruction that had become almost unbearable. But he said, "I decline to accept the end of man. I believe that man will not merely endure, he will prevail. He is immortal…because he has a soul, a spirit capable of compassion and sacrifice and endurance." Faulkner spoke of "the old verities and truths of the heart"-of the courage, honor, pride, compassion, pity, sacrifice, and, yes, that hope which is the glory of our past. And all of these things we find today in our present; we must use them to build our future.</w:t>
      </w:r>
    </w:p>
    <w:p w:rsidR="00A31137" w:rsidRPr="00A31137" w:rsidRDefault="00A31137" w:rsidP="00A31137">
      <w:r w:rsidRPr="00A31137">
        <w:t>Public Papers of Reagan, 1986, p.1233</w:t>
      </w:r>
    </w:p>
    <w:p w:rsidR="00A31137" w:rsidRPr="00A31137" w:rsidRDefault="00A31137" w:rsidP="00A31137">
      <w:r w:rsidRPr="00A31137">
        <w:t>And it's why today we can lift up our spirits and our hearts. It is why we resolve that with God's help the cause of humanity will not merely endure but prevail; that someday all the world—every nation, every people, every person—will know the blessings of peace and see the light of freedom.</w:t>
      </w:r>
    </w:p>
    <w:p w:rsidR="00A31137" w:rsidRPr="00A31137" w:rsidRDefault="00A31137" w:rsidP="00A31137">
      <w:r w:rsidRPr="00A31137">
        <w:t>Public Papers of Reagan, 1986, p.1233</w:t>
      </w:r>
    </w:p>
    <w:p w:rsidR="00A31137" w:rsidRPr="00A31137" w:rsidRDefault="00A31137" w:rsidP="00A31137">
      <w:r w:rsidRPr="00A31137">
        <w:t>Thank you, and God bless you.</w:t>
      </w:r>
    </w:p>
    <w:p w:rsidR="00A31137" w:rsidRPr="00A31137" w:rsidRDefault="00A31137" w:rsidP="00A31137">
      <w:r w:rsidRPr="00A31137">
        <w:t>Public Papers of Reagan, 1986, p.1233</w:t>
      </w:r>
    </w:p>
    <w:p w:rsidR="00A31137" w:rsidRPr="00A31137" w:rsidRDefault="00A31137" w:rsidP="00A31137">
      <w:r w:rsidRPr="00A31137">
        <w:t>NOTE: The President spoke at 11 a.m. in the General Assembly Hall at the United Nations in New York. He was introduced by Humayun Rasheed Chowdhury, President of the 41st Session of the General Assembly. Upon his arrival at the United Nations, he was greeted by Secretary-General Javier Perez de Cuellar de la Guerra. Following the President's address, he returned to Washington, DC.</w:t>
      </w:r>
    </w:p>
    <w:p w:rsidR="00A31137" w:rsidRPr="00A31137" w:rsidRDefault="00A31137" w:rsidP="00A31137">
      <w:r w:rsidRPr="00A31137">
        <w:t>President Reagan's Statement on the Soviet-United States Nuclear and Space Arms Negotiations, 1986</w:t>
      </w:r>
    </w:p>
    <w:p w:rsidR="00A31137" w:rsidRPr="00A31137" w:rsidRDefault="00A31137" w:rsidP="00A31137">
      <w:r w:rsidRPr="00A31137">
        <w:t>Title:</w:t>
      </w:r>
      <w:r w:rsidRPr="00A31137">
        <w:tab/>
        <w:t>President Reagan's Statement on the Soviet-United States Nuclear and Space Arms Negotiations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November 12, 1986</w:t>
      </w:r>
    </w:p>
    <w:p w:rsidR="00A31137" w:rsidRPr="00A31137" w:rsidRDefault="00A31137" w:rsidP="00A31137">
      <w:r w:rsidRPr="00A31137">
        <w:t>Source:</w:t>
      </w:r>
      <w:r w:rsidRPr="00A31137">
        <w:tab/>
        <w:t>Public Papers of the Presidents, Reagan, 1986, pp.1542-1543</w:t>
      </w:r>
    </w:p>
    <w:p w:rsidR="00A31137" w:rsidRPr="00A31137" w:rsidRDefault="00A31137" w:rsidP="00A31137">
      <w:r w:rsidRPr="00A31137">
        <w:t>Public Papers of Reagan, 1986, p.1542</w:t>
      </w:r>
    </w:p>
    <w:p w:rsidR="00A31137" w:rsidRPr="00A31137" w:rsidRDefault="00A31137" w:rsidP="00A31137">
      <w:r w:rsidRPr="00A31137">
        <w:t>Since today marks the close of round six of the nuclear and space talks (NST) between the United States and the Soviet Union, I want to take this occasion to reaffirm our commitment to achieving deep, equitable, and verifiable reductions in the U.S. and Soviet nuclear arsenals. Such reductions would reduce the risk of nuclear war and create a far safer world.</w:t>
      </w:r>
    </w:p>
    <w:p w:rsidR="00A31137" w:rsidRPr="00A31137" w:rsidRDefault="00A31137" w:rsidP="00A31137">
      <w:r w:rsidRPr="00A31137">
        <w:t>Public Papers of Reagan, 1986, p.1542</w:t>
      </w:r>
    </w:p>
    <w:p w:rsidR="00A31137" w:rsidRPr="00A31137" w:rsidRDefault="00A31137" w:rsidP="00A31137">
      <w:r w:rsidRPr="00A31137">
        <w:t>When this round opened 8 weeks ago, it held the promise of important progress in our effort to get Soviet agreement to deep reductions in nuclear arms. Those hopes were heightened by the progress made during my meeting with General Secretary Gorbachev at Reykjavik last month. We discussed there the full range of issues between our countries, including human rights, regional conflicts, arms reductions, and expanded bilateral contacts and communication. And specifically, in regard to arms control, the General Secretary and I made significant headway in narrowing U.S.-Soviet differences on several key issues:</w:t>
      </w:r>
    </w:p>
    <w:p w:rsidR="00A31137" w:rsidRPr="00A31137" w:rsidRDefault="00A31137" w:rsidP="00A31137">
      <w:r w:rsidRPr="00A31137">
        <w:t>Public Papers of Reagan, 1986, p.1542</w:t>
      </w:r>
    </w:p>
    <w:p w:rsidR="00A31137" w:rsidRPr="00A31137" w:rsidRDefault="00A31137" w:rsidP="00A31137">
      <w:r w:rsidRPr="00A31137">
        <w:t>—We agreed to a 50-percent reduction in strategic offensive arms over the next 5 years, to be implemented by reductions to 1,600 strategic nuclear delivery vehicles and 6,000 warheads on those delivery vehicles.</w:t>
      </w:r>
    </w:p>
    <w:p w:rsidR="00A31137" w:rsidRPr="00A31137" w:rsidRDefault="00A31137" w:rsidP="00A31137">
      <w:r w:rsidRPr="00A31137">
        <w:t>Public Papers of Reagan, 1986, p.1542</w:t>
      </w:r>
    </w:p>
    <w:p w:rsidR="00A31137" w:rsidRPr="00A31137" w:rsidRDefault="00A31137" w:rsidP="00A31137">
      <w:r w:rsidRPr="00A31137">
        <w:t>—We recognized the need for significant cuts in Soviet heavy ICBM's, the most destabilizing missiles of all.</w:t>
      </w:r>
    </w:p>
    <w:p w:rsidR="00A31137" w:rsidRPr="00A31137" w:rsidRDefault="00A31137" w:rsidP="00A31137">
      <w:r w:rsidRPr="00A31137">
        <w:t>Public Papers of Reagan, 1986, p.1542</w:t>
      </w:r>
    </w:p>
    <w:p w:rsidR="00A31137" w:rsidRPr="00A31137" w:rsidRDefault="00A31137" w:rsidP="00A31137">
      <w:r w:rsidRPr="00A31137">
        <w:t>—We agreed to a global limit of 100 warheads on longer range INF missiles, with no such missiles in Europe.</w:t>
      </w:r>
    </w:p>
    <w:p w:rsidR="00A31137" w:rsidRPr="00A31137" w:rsidRDefault="00A31137" w:rsidP="00A31137">
      <w:r w:rsidRPr="00A31137">
        <w:t>Public Papers of Reagan, 1986, p.1542</w:t>
      </w:r>
    </w:p>
    <w:p w:rsidR="00A31137" w:rsidRPr="00A31137" w:rsidRDefault="00A31137" w:rsidP="00A31137">
      <w:r w:rsidRPr="00A31137">
        <w:t>The United States proposed that neither the U.S. nor U.S.S.R. deploy advanced strategic defenses for 10 years, while conducting research, development, and testing, which are permitted by the ABM treaty. This would be coupled with agreement that during the first 5 years of this period, strategic offensive arms would be reduced by 50 percent, and that during the second 5 years all remaining U.S. and Soviet offensive ballistic missiles would be totally eliminated. We made clear that at the end of the 10-year period, either side could deploy defenses if it so chose, unless the parties agreed otherwise. Mr. Gorbachev did not accept this proposal and instead insisted on making the ABM treaty more restrictive by limiting our research exclusively to the laboratory and, in effect, killing the United States Strategic Defense Initiative.</w:t>
      </w:r>
    </w:p>
    <w:p w:rsidR="00A31137" w:rsidRPr="00A31137" w:rsidRDefault="00A31137" w:rsidP="00A31137">
      <w:r w:rsidRPr="00A31137">
        <w:t>Public Papers of Reagan, 1986, p.1542</w:t>
      </w:r>
    </w:p>
    <w:p w:rsidR="00A31137" w:rsidRPr="00A31137" w:rsidRDefault="00A31137" w:rsidP="00A31137">
      <w:r w:rsidRPr="00A31137">
        <w:t>During this round, our negotiators in Geneva formally tabled new U.S. proposals reflecting the areas of agreement I reached with Mr. Gorbachev in Reykjavik, as well as our other proposals. On November 7, the Soviet Union took some new steps as well, by tabling proposals that partially reflect the headway made at Reykjavik. These areas of agreement can serve as the starting point from which United States and Soviet negotiators could hammer out significant arms reduction treaties. But this has not yet been the case. While this may have been the most productive round to date, the Soviet negotiations have still not followed up adequately to build on the progress made at Reykjavik. Instead, at times the Soviets have seemed more interested in conducting a public relations campaign than in pursuing the serious give-and-take of the bargaining table.</w:t>
      </w:r>
    </w:p>
    <w:p w:rsidR="00A31137" w:rsidRPr="00A31137" w:rsidRDefault="00A31137" w:rsidP="00A31137">
      <w:r w:rsidRPr="00A31137">
        <w:t>Public Papers of Reagan, 1986, p.1542</w:t>
      </w:r>
    </w:p>
    <w:p w:rsidR="00A31137" w:rsidRPr="00A31137" w:rsidRDefault="00A31137" w:rsidP="00A31137">
      <w:r w:rsidRPr="00A31137">
        <w:t>This is particularly true in the case of reductions in intermediate-range nuclear forces. One year ago, at our summit meeting in Geneva, Mr. Gorbachev and I agreed to build upon areas of common ground, including an interim agreement in INF. The Soviets reiterated this position in proposals they made earlier this year. And they reaffirmed the goal of a separate INF agreement only days before our meeting in Iceland. Now, however, the Soviets have taken a major step backwards by insisting that progress in every area of nuclear arms control must be linked together in a single package. This attempt to hold progress in other areas of arms control hostage to acceptance of the Soviet effort to kill our SDI program is patently unacceptable.</w:t>
      </w:r>
    </w:p>
    <w:p w:rsidR="00A31137" w:rsidRPr="00A31137" w:rsidRDefault="00A31137" w:rsidP="00A31137">
      <w:r w:rsidRPr="00A31137">
        <w:t>Public Papers of Reagan, 1986, p.1542–p.1543</w:t>
      </w:r>
    </w:p>
    <w:p w:rsidR="00A31137" w:rsidRPr="00A31137" w:rsidRDefault="00A31137" w:rsidP="00A31137">
      <w:r w:rsidRPr="00A31137">
        <w:t>In light of the continuing Soviet offensive [p.1543] buildup, the longstanding and extensive Soviet programs in strategic defense, and continued Soviet noncompliance with existing arms control agreements, SDI is crucial to the future security of the United States and our allies. Americans recognize that SDI was essential in getting the Soviets to return to the negotiating table, and that it is essential as well to our prospects for concluding an agreement with the Soviets to reduce nuclear arms. Effective strategic defenses would be insurance against Soviet cheating or abrogation of such an agreement. In addition, they would provide a continuing incentive to the Soviets to pursue further reductions in offensive weapons. SDI is, therefore, a vital insurance policy that we cannot and will not bargain away. That is a commitment which I have made to the American people, and I stand by it.</w:t>
      </w:r>
    </w:p>
    <w:p w:rsidR="00A31137" w:rsidRPr="00A31137" w:rsidRDefault="00A31137" w:rsidP="00A31137">
      <w:r w:rsidRPr="00A31137">
        <w:t>Public Papers of Reagan, 1986, p.1543</w:t>
      </w:r>
    </w:p>
    <w:p w:rsidR="00A31137" w:rsidRPr="00A31137" w:rsidRDefault="00A31137" w:rsidP="00A31137">
      <w:r w:rsidRPr="00A31137">
        <w:t>United States negotiators have worked hard in translating the progress made at Reykjavik into concrete new arms reduction proposals. These new American proposals, along with some new Soviet proposals, are now on the table in Geneva. Let us hope that when the talks resume on January 15, as we have already agreed, the Soviets will move with us to bring about, for the first time in history, significant reductions in nuclear weapons. Such reductions are now within our grasp if the Soviet Union will join us in serious pursuit of agreements which are equitable and stabilizing for both sides and in the interest of the entire world. We are ready for this, We await Soviet readiness to move forward.</w:t>
      </w:r>
    </w:p>
    <w:p w:rsidR="00A31137" w:rsidRPr="00A31137" w:rsidRDefault="00A31137" w:rsidP="00A31137">
      <w:r w:rsidRPr="00A31137">
        <w:t>President Reagan's Address to the Nation on the Iran Arms and Contra Aid Controversy, 1986</w:t>
      </w:r>
    </w:p>
    <w:p w:rsidR="00A31137" w:rsidRPr="00A31137" w:rsidRDefault="00A31137" w:rsidP="00A31137">
      <w:r w:rsidRPr="00A31137">
        <w:t>Title:</w:t>
      </w:r>
      <w:r w:rsidRPr="00A31137">
        <w:tab/>
        <w:t>President Reagan's Address to the Nation on the Iran Arms and Contra Aid Controversy</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November 13, 1986</w:t>
      </w:r>
    </w:p>
    <w:p w:rsidR="00A31137" w:rsidRPr="00A31137" w:rsidRDefault="00A31137" w:rsidP="00A31137">
      <w:r w:rsidRPr="00A31137">
        <w:t>Source:</w:t>
      </w:r>
      <w:r w:rsidRPr="00A31137">
        <w:tab/>
        <w:t>Public Papers of the Presidents, Reagan, 1986, pp.1546-1548</w:t>
      </w:r>
    </w:p>
    <w:p w:rsidR="00A31137" w:rsidRPr="00A31137" w:rsidRDefault="00A31137" w:rsidP="00A31137">
      <w:r w:rsidRPr="00A31137">
        <w:t>Public Papers of Reagan, 1986, p.1546</w:t>
      </w:r>
    </w:p>
    <w:p w:rsidR="00A31137" w:rsidRPr="00A31137" w:rsidRDefault="00A31137" w:rsidP="00A31137">
      <w:r w:rsidRPr="00A31137">
        <w:t>Good evening. I know you've been reading, seeing, and hearing a lot of stories the past several days attributed to Danish sailors, unnamed observers at Italian ports and Spanish harbors, and especially unnamed government officials of my administration. Well, now you're going to hear the facts from a White House source, and you know my name.</w:t>
      </w:r>
    </w:p>
    <w:p w:rsidR="00A31137" w:rsidRPr="00A31137" w:rsidRDefault="00A31137" w:rsidP="00A31137">
      <w:r w:rsidRPr="00A31137">
        <w:t>Public Papers of Reagan, 1986, p.1546</w:t>
      </w:r>
    </w:p>
    <w:p w:rsidR="00A31137" w:rsidRPr="00A31137" w:rsidRDefault="00A31137" w:rsidP="00A31137">
      <w:r w:rsidRPr="00A31137">
        <w:t>I wanted this time to talk with you about an extremely sensitive and profoundly important matter of foreign policy. For 18 months now we have had underway a secret diplomatic initiative to Iran. That initiative was undertaken for the simplest and best of reasons: to renew a relationship with the nation of Iran, to bring an honorable end to the bloody 6-year war between Iran and Iraq, to eliminate state-sponsored terrorism and subversion, and to effect the safe return of all hostages. Without Iran's cooperation, we cannot bring an end to the Persian Gulf war; without Iran's concurrence, there can be no enduring peace in the Middle East. For 10 days now, the American and world press have been full of reports and rumors about this initiative and these objectives. Now, my fellow Americans, there's an old saying that nothing spreads so quickly as a rumor. So, I thought it was time to speak with you directly, to tell you firsthand about our dealings with Iran. As Will Rogers once said, "Rumor travels faster, but it don't stay put as long as truth." So, let's get to the facts.</w:t>
      </w:r>
    </w:p>
    <w:p w:rsidR="00A31137" w:rsidRPr="00A31137" w:rsidRDefault="00A31137" w:rsidP="00A31137">
      <w:r w:rsidRPr="00A31137">
        <w:t>Public Papers of Reagan, 1986, p.1546</w:t>
      </w:r>
    </w:p>
    <w:p w:rsidR="00A31137" w:rsidRPr="00A31137" w:rsidRDefault="00A31137" w:rsidP="00A31137">
      <w:r w:rsidRPr="00A31137">
        <w:t>The charge has been made that the United States has shipped weapons to Iran as ransom payment for the release of American hostages in Lebanon, that the United States undercut its allies and secretly violated American policy against trafficking with terrorists. Those charges are utterly false. The United States has not made concessions to those who hold our people captive in Lebanon. And we will not. The United States has not swapped boatloads or planeloads of American weapons for the return of American hostages. And we will not. Other reports have surfaced alleging U.S. involvement: reports of a sealift to Iran using Danish ships to carry American arms; of vessels in Spanish ports being employed in secret U.S. arms shipments; of Italian ports being used; of the U.S. sending spare parts and weapons for combat aircraft. All these reports are quite exciting, but as far as we're concerned, not one of them is true.</w:t>
      </w:r>
    </w:p>
    <w:p w:rsidR="00A31137" w:rsidRPr="00A31137" w:rsidRDefault="00A31137" w:rsidP="00A31137">
      <w:r w:rsidRPr="00A31137">
        <w:t>Public Papers of Reagan, 1986, p.1546</w:t>
      </w:r>
    </w:p>
    <w:p w:rsidR="00A31137" w:rsidRPr="00A31137" w:rsidRDefault="00A31137" w:rsidP="00A31137">
      <w:r w:rsidRPr="00A31137">
        <w:t>During the course of our secret discussions, I authorized the transfer of small amounts of defensive weapons and spare parts for defensive systems to Iran. My purpose was to convince Tehran that our negotiators were acting with my authority, to send a signal that the United States was prepared to replace the animosity between us with a new relationship. These modest deliveries, taken together, could easily fit into a single cargo plane. They could not, taken together, affect the outcome of the 6-year war between Iran and Iraq nor could they affect in any way the military balance between the two countries. Those with whom we were in contact took considerable risks and needed a signal of our serious intent if they were to carry on and broaden the dialog. At the same time we undertook this initiative, we made clear that Iran must oppose all forms of international terrorism as a condition of progress in our relationship. The most significant step which Iran could take, we indicated, would be to use its influence in Lebanon to secure the release of all hostages held there.</w:t>
      </w:r>
    </w:p>
    <w:p w:rsidR="00A31137" w:rsidRPr="00A31137" w:rsidRDefault="00A31137" w:rsidP="00A31137">
      <w:r w:rsidRPr="00A31137">
        <w:t>Public Papers of Reagan, 1986, p.1546–p.1547</w:t>
      </w:r>
    </w:p>
    <w:p w:rsidR="00A31137" w:rsidRPr="00A31137" w:rsidRDefault="00A31137" w:rsidP="00A31137">
      <w:r w:rsidRPr="00A31137">
        <w:t>Some progress has already been made. [p.1547] Since U.S. Government contact began with Iran, there's been no evidence of Iranian Government complicity in acts of terrorism against the United States. Hostages have come home, and we welcome the efforts that the Government of Iran has taken in the past and is currently undertaking.</w:t>
      </w:r>
    </w:p>
    <w:p w:rsidR="00A31137" w:rsidRPr="00A31137" w:rsidRDefault="00A31137" w:rsidP="00A31137">
      <w:r w:rsidRPr="00A31137">
        <w:t>Public Papers of Reagan, 1986, p.1547</w:t>
      </w:r>
    </w:p>
    <w:p w:rsidR="00A31137" w:rsidRPr="00A31137" w:rsidRDefault="00A31137" w:rsidP="00A31137">
      <w:r w:rsidRPr="00A31137">
        <w:t>But why, you might ask, is any relationship with Iran important to the United States? Iran encompasses some of the most critical geography in the world. It lies between the Soviet Union and access to the warm waters of the Indian Ocean. Geography explains why the Soviet Union has sent an army into Afghanistan to dominate that country and, if they could, Iran and Pakistan. Iran's geography gives it a critical position from which adversaries could interfere with oil flows from the Arab States that border the Persian Gulf. Apart from geography, Iran's oil deposits are important to the long-term health of the world economy.</w:t>
      </w:r>
    </w:p>
    <w:p w:rsidR="00A31137" w:rsidRPr="00A31137" w:rsidRDefault="00A31137" w:rsidP="00A31137">
      <w:r w:rsidRPr="00A31137">
        <w:t>Public Papers of Reagan, 1986, p.1547</w:t>
      </w:r>
    </w:p>
    <w:p w:rsidR="00A31137" w:rsidRPr="00A31137" w:rsidRDefault="00A31137" w:rsidP="00A31137">
      <w:r w:rsidRPr="00A31137">
        <w:t>For these reasons, it is in our national interest to watch for changes within Iran that might offer hope for an improved relationship. Until last year there was little to justify that hope. Indeed, we have bitter and enduring disagreements that persist today. At the heart of our quarrel has been Iran's past sponsorship of international terrorism. Iranian policy has been devoted to expelling all Western influence from the Middle East. We cannot abide that because our interests in the Middle East are vital. At the same time, we seek no territory or special position in Iran. The Iranian revolution is a fact of history, but between American and Iranian basic national interests there need be no permanent conflict.</w:t>
      </w:r>
    </w:p>
    <w:p w:rsidR="00A31137" w:rsidRPr="00A31137" w:rsidRDefault="00A31137" w:rsidP="00A31137">
      <w:r w:rsidRPr="00A31137">
        <w:t>Public Papers of Reagan, 1986, p.1547</w:t>
      </w:r>
    </w:p>
    <w:p w:rsidR="00A31137" w:rsidRPr="00A31137" w:rsidRDefault="00A31137" w:rsidP="00A31137">
      <w:r w:rsidRPr="00A31137">
        <w:t>Since 1983 various countries have made overtures to stimulate direct contact between the United States and Iran; European, Near East, and Far East countries have attempted to serve as intermediaries. Despite a U.S. willingness to proceed, none of these overtures bore fruit. With this history in mind, we were receptive last year when we were alerted to the possibility of establishing a direct dialog with Iranian officials. Now, let me repeat: America's longstanding goals in the region have been to help preserve Iran's independence from Soviet domination; to bring an honorable end to the bloody Iran-Iraq war; to halt the export of subversion and terrorism in the region. A major impediment to those goals has been an absence of dialog, a cutoff in communication between us. It's because of Iran's strategic importance and its influence in the Islamic world that we chose to probe for a better relationship between our countries.</w:t>
      </w:r>
    </w:p>
    <w:p w:rsidR="00A31137" w:rsidRPr="00A31137" w:rsidRDefault="00A31137" w:rsidP="00A31137">
      <w:r w:rsidRPr="00A31137">
        <w:t>Public Papers of Reagan, 1986, p.1547</w:t>
      </w:r>
    </w:p>
    <w:p w:rsidR="00A31137" w:rsidRPr="00A31137" w:rsidRDefault="00A31137" w:rsidP="00A31137">
      <w:r w:rsidRPr="00A31137">
        <w:t>Our discussions continued into the spring of this year. Based upon the progress we felt we had made, we sought to raise the diplomatic level of contacts. A meeting was arranged in Tehran. I then asked my former national security adviser, Robert McFarlane, to undertake a secret mission and gave him explicit instructions. I asked him to go to Iran to open a dialog, making stark and clear our basic objectives and disagreements. The 4 days of talks were conducted in a civil fashion, and American personnel were not mistreated. Since then, the dialog has continued and step-by-step progress continues to be made. Let me repeat: Our interests are clearly served by opening a dialog with Iran and thereby helping to end the Iran-Iraq war. That war has dragged on for more than 6 years, with no prospect of a negotiated settlement. The slaughter on both sides has been enormous, and the adverse economic and political consequences for that vital region of the world have been growing. We sought to establish communication with both sides in that senseless struggle, so that we could assist in bringing about a cease-fire and, eventually, a settlement. We have sought to be evenhanded by working with both sides and with other interested nations to prevent a widening of the war.</w:t>
      </w:r>
    </w:p>
    <w:p w:rsidR="00A31137" w:rsidRPr="00A31137" w:rsidRDefault="00A31137" w:rsidP="00A31137">
      <w:r w:rsidRPr="00A31137">
        <w:t>Public Papers of Reagan, 1986, p.1547–p.1548</w:t>
      </w:r>
    </w:p>
    <w:p w:rsidR="00A31137" w:rsidRPr="00A31137" w:rsidRDefault="00A31137" w:rsidP="00A31137">
      <w:r w:rsidRPr="00A31137">
        <w:t>This sensitive undertaking has entailed great risk for those involved. There is no question but that we could never have begun or continued this dialog had the initiative been disclosed earlier. Due to the publicity of the past week, the entire initiative is very much at risk today. There is ample precedent in our history for this kind of secret diplomacy. In 1971 then-President Nixon sent his national security adviser on a secret mission to China. In that case, as today, there was a basic requirement for discretion and for a sensitivity to the situation in the nation we were attempting to [p.1548] engage.</w:t>
      </w:r>
    </w:p>
    <w:p w:rsidR="00A31137" w:rsidRPr="00A31137" w:rsidRDefault="00A31137" w:rsidP="00A31137">
      <w:r w:rsidRPr="00A31137">
        <w:t>Public Papers of Reagan, 1986, p.1548</w:t>
      </w:r>
    </w:p>
    <w:p w:rsidR="00A31137" w:rsidRPr="00A31137" w:rsidRDefault="00A31137" w:rsidP="00A31137">
      <w:r w:rsidRPr="00A31137">
        <w:t>Since the welcome return of former hostage David Jacobsen, there has been unprecedented speculation and countless reports that have not only been wrong but have been potentially dangerous to the hostages and destructive of the opportunity before us. The efforts of courageous people like Terry Waite have been jeopardized. So extensive have been the false rumors and erroneous reports that the risks of remaining silent now exceed the risks of speaking out. And that's why I decided to address you tonight. It's been widely reported, for example, that the Congress, as well as top executive branch officials, were circumvented. Although the efforts we undertook were highly sensitive and involvement of government officials was limited to those with a strict need to know, all appropriate Cabinet officers were fully consulted. The actions I authorized were, and continue to be, in full compliance with Federal law. And the relevant committees of Congress are being, and will be, fully informed.</w:t>
      </w:r>
    </w:p>
    <w:p w:rsidR="00A31137" w:rsidRPr="00A31137" w:rsidRDefault="00A31137" w:rsidP="00A31137">
      <w:r w:rsidRPr="00A31137">
        <w:t>Public Papers of Reagan, 1986, p.1548</w:t>
      </w:r>
    </w:p>
    <w:p w:rsidR="00A31137" w:rsidRPr="00A31137" w:rsidRDefault="00A31137" w:rsidP="00A31137">
      <w:r w:rsidRPr="00A31137">
        <w:t>Another charge is that we have tilted toward Iran in the Gulf war. This, too, is unfounded. We have consistently condemned the violence on both sides. We have consistently sought a negotiated settlement that preserves the territorial integrity of both nations. The overtures we've made to the Government of Iran have not been a shift to supporting one side over the other, rather, it has been a diplomatic initiative to gain some degree of access and influence within Iran—as well as Iraq—and to bring about an honorable end to that bloody conflict. It is in the interests of all parties in the Gulf region to end that war as soon as possible.</w:t>
      </w:r>
    </w:p>
    <w:p w:rsidR="00A31137" w:rsidRPr="00A31137" w:rsidRDefault="00A31137" w:rsidP="00A31137">
      <w:r w:rsidRPr="00A31137">
        <w:t>Public Papers of Reagan, 1986, p.1548</w:t>
      </w:r>
    </w:p>
    <w:p w:rsidR="00A31137" w:rsidRPr="00A31137" w:rsidRDefault="00A31137" w:rsidP="00A31137">
      <w:r w:rsidRPr="00A31137">
        <w:t>To summarize: Our government has a firm policy not to capitulate to terrorist demands. That no concessions policy remains in force, in spite of the wildly speculative and false stories about arms for hostages and alleged ransom payments. We did not—repeat—did not trade weapons or anything else for hostages, nor will we. Those who think that we have gone soft on terrorism should take up the question with Colonel Qadhafi. We have not, nor will we, capitulate to terrorists. We will, however, get on with advancing the vital interests of our great nation—in spite of terrorists and radicals who seek to sabotage our efforts and immobilize the United States. Our goals have been, and remain, to restore a relationship with Iran; to bring an honorable end to the war in the Gulf; to bring a halt to state-supported terror in the Middle East; and finally, to effect the safe return of all hostages from Lebanon.</w:t>
      </w:r>
    </w:p>
    <w:p w:rsidR="00A31137" w:rsidRPr="00A31137" w:rsidRDefault="00A31137" w:rsidP="00A31137">
      <w:r w:rsidRPr="00A31137">
        <w:t>Public Papers of Reagan, 1986, p.1548</w:t>
      </w:r>
    </w:p>
    <w:p w:rsidR="00A31137" w:rsidRPr="00A31137" w:rsidRDefault="00A31137" w:rsidP="00A31137">
      <w:r w:rsidRPr="00A31137">
        <w:t>As President, I've always operated on the belief that, given the facts, the American people will make the right decision. I believe that to be true now. I cannot guarantee the outcome. But as in the past, I ask for your support because I believe you share the hope for peace in the Middle East, for freedom for all hostages, and for a world free of terrorism. Certainly there are risks in this pursuit, but there are greater risks if we do not persevere. It will take patience and understanding; it will take continued resistance to those who commit terrorist acts; and it will take cooperation with all who seek to rid the world of this scourge.</w:t>
      </w:r>
    </w:p>
    <w:p w:rsidR="00A31137" w:rsidRPr="00A31137" w:rsidRDefault="00A31137" w:rsidP="00A31137">
      <w:r w:rsidRPr="00A31137">
        <w:t>Public Papers of Reagan, 1986, p.1548</w:t>
      </w:r>
    </w:p>
    <w:p w:rsidR="00A31137" w:rsidRPr="00A31137" w:rsidRDefault="00A31137" w:rsidP="00A31137">
      <w:r w:rsidRPr="00A31137">
        <w:t>Thank you, and God bless you.</w:t>
      </w:r>
    </w:p>
    <w:p w:rsidR="00A31137" w:rsidRPr="00A31137" w:rsidRDefault="00A31137" w:rsidP="00A31137">
      <w:r w:rsidRPr="00A31137">
        <w:t>Public Papers of Reagan, 1986, p.1548</w:t>
      </w:r>
    </w:p>
    <w:p w:rsidR="00A31137" w:rsidRPr="00A31137" w:rsidRDefault="00A31137" w:rsidP="00A31137">
      <w:r w:rsidRPr="00A31137">
        <w:t>NOTE: The President spoke at 8:01 p.m. from the Oval Office at the White House. The address was broadcast live on nationwide radio and television.</w:t>
      </w:r>
    </w:p>
    <w:p w:rsidR="00A31137" w:rsidRPr="00A31137" w:rsidRDefault="00A31137" w:rsidP="00A31137">
      <w:r w:rsidRPr="00A31137">
        <w:t>Ronald Reagan, "Tear Down this Wall!" Address, West Berlin, 12 June 1987</w:t>
      </w:r>
    </w:p>
    <w:p w:rsidR="00A31137" w:rsidRPr="00A31137" w:rsidRDefault="00A31137" w:rsidP="00A31137">
      <w:r w:rsidRPr="00A31137">
        <w:t>President Reagan's Remarks on East-West Relations at the Brandenburg Gate in West Berlin, 1987</w:t>
      </w:r>
    </w:p>
    <w:p w:rsidR="00A31137" w:rsidRPr="00A31137" w:rsidRDefault="00A31137" w:rsidP="00A31137">
      <w:r w:rsidRPr="00A31137">
        <w:t>Title:</w:t>
      </w:r>
      <w:r w:rsidRPr="00A31137">
        <w:tab/>
        <w:t>President Reagan's Remarks on East-West Relations at the Brandenburg Gate in West Berlin</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June 12, 1987</w:t>
      </w:r>
    </w:p>
    <w:p w:rsidR="00A31137" w:rsidRPr="00A31137" w:rsidRDefault="00A31137" w:rsidP="00A31137">
      <w:r w:rsidRPr="00A31137">
        <w:t>Source:</w:t>
      </w:r>
      <w:r w:rsidRPr="00A31137">
        <w:tab/>
        <w:t>Public Papers of the Presidents, Reagan, 1987, pp.634-638</w:t>
      </w:r>
    </w:p>
    <w:p w:rsidR="00A31137" w:rsidRPr="00A31137" w:rsidRDefault="00A31137" w:rsidP="00A31137">
      <w:r w:rsidRPr="00A31137">
        <w:t>Public Papers of Reagan, 1987, p.634</w:t>
      </w:r>
    </w:p>
    <w:p w:rsidR="00A31137" w:rsidRPr="00A31137" w:rsidRDefault="00A31137" w:rsidP="00A31137">
      <w:r w:rsidRPr="00A31137">
        <w:t>Thank you very much. Chancellor Kohl, Governing Mayor Diepgen, ladies and gentlemen: Twenty four years ago, President John F. Kennedy visited Berlin, speaking to the people of this city and the world at the city hall. Well, since then two other presidents have come, each in his turn, to Berlin. And today I, myself, make my second visit to your city.</w:t>
      </w:r>
    </w:p>
    <w:p w:rsidR="00A31137" w:rsidRPr="00A31137" w:rsidRDefault="00A31137" w:rsidP="00A31137">
      <w:r w:rsidRPr="00A31137">
        <w:t>Public Papers of Reagan, 1987, p.634</w:t>
      </w:r>
    </w:p>
    <w:p w:rsidR="00A31137" w:rsidRPr="00A31137" w:rsidRDefault="00A31137" w:rsidP="00A31137">
      <w:r w:rsidRPr="00A31137">
        <w:t>We come to Berlin, we American Presidents, because it's our duty to speak, in this place, of freedom. But I must confess, we're drawn here by other things as well: by the feeling of history in this city, more than 500 years older than our own nation; by the beauty of the Grunewald and the Tiergarten; most of all, by your courage and determination. Perhaps the composer, Paul Lincke, understood something about American Presidents. You see, like so many Presidents before me, I come here today because wherever I go, whatever I do: "Ich hab noch einen koffer in Berlin." [I still have a suitcase in Berlin.]</w:t>
      </w:r>
    </w:p>
    <w:p w:rsidR="00A31137" w:rsidRPr="00A31137" w:rsidRDefault="00A31137" w:rsidP="00A31137">
      <w:r w:rsidRPr="00A31137">
        <w:t>Public Papers of Reagan, 1987, p.634</w:t>
      </w:r>
    </w:p>
    <w:p w:rsidR="00A31137" w:rsidRPr="00A31137" w:rsidRDefault="00A31137" w:rsidP="00A31137">
      <w:r w:rsidRPr="00A31137">
        <w:t>Our gathering today is being broadcast throughout Western Europe and North America. I understand that it is being seen and heard as well in the East. To those listening throughout Eastern Europe, I extend my warmest greetings and the good will of the American people. To those listening in East Berlin, a special word: Although I cannot be with you, I address my remarks to you just as surely as to those standing here before me. For I join you, as I join your fellow countrymen in the West, in this firm, this unalterable belief: Es gibt nur ein Berlin. [There is only one Berlin.]</w:t>
      </w:r>
    </w:p>
    <w:p w:rsidR="00A31137" w:rsidRPr="00A31137" w:rsidRDefault="00A31137" w:rsidP="00A31137">
      <w:r w:rsidRPr="00A31137">
        <w:t>Public Papers of Reagan, 1987, p.634</w:t>
      </w:r>
    </w:p>
    <w:p w:rsidR="00A31137" w:rsidRPr="00A31137" w:rsidRDefault="00A31137" w:rsidP="00A31137">
      <w:r w:rsidRPr="00A31137">
        <w:t>Behind me stands a wall that encircles the free sectors of this city, part of a vast system of barriers that divides the entire continent of Europe. From the Baltic, south, those barriers cut across Germany in a gash of barbed wire, concrete, dog runs, and guardtowers. Farther south, there may be no visible, no obvious wall. But there remain armed guards and checkpoints all the same—still a restriction on the right to travel, still an instrument to impose upon ordinary men and women the will of a totalitarian state. Yet it is here in Berlin where the wall emerges most clearly; here, cutting across your city, where the news photo and the television screen have imprinted this brutal division of a continent upon the mind of the world. Standing before the Brandenburg Gate, every man is a German, separated from his fellow men. Every man is a Berliner, forced to look upon a scar.</w:t>
      </w:r>
    </w:p>
    <w:p w:rsidR="00A31137" w:rsidRPr="00A31137" w:rsidRDefault="00A31137" w:rsidP="00A31137">
      <w:r w:rsidRPr="00A31137">
        <w:t>Public Papers of Reagan, 1987, p.634–p.635</w:t>
      </w:r>
    </w:p>
    <w:p w:rsidR="00A31137" w:rsidRPr="00A31137" w:rsidRDefault="00A31137" w:rsidP="00A31137">
      <w:r w:rsidRPr="00A31137">
        <w:t>President von Weizsacker has said: "The German question is open as long as the Brandenburg Gate is closed." Today I say: As long as this gate is closed, as long as this scar of a wall is permitted to stand, it is not the German question alone that remains open, but the question of freedom for all mankind. Yet I do not come here to lament. For I find in Berlin a message of hope, even in the shadow of this wall, a message of [p.635] triumph.</w:t>
      </w:r>
    </w:p>
    <w:p w:rsidR="00A31137" w:rsidRPr="00A31137" w:rsidRDefault="00A31137" w:rsidP="00A31137">
      <w:r w:rsidRPr="00A31137">
        <w:t>Public Papers of Reagan, 1987, p.635</w:t>
      </w:r>
    </w:p>
    <w:p w:rsidR="00A31137" w:rsidRPr="00A31137" w:rsidRDefault="00A31137" w:rsidP="00A31137">
      <w:r w:rsidRPr="00A31137">
        <w:t>In this season of spring in 1945, the people of Berlin emerged from their air raid shelters to find devastation. Thousands of miles away, the people of the United States reached out to help. And in 1947 Secretary of State—as you've been told—George Marshall announced the creation of what would become known as the Marshall plan. Speaking precisely 40 years ago this month, he said: "Our policy is directed not against any country or doctrine, but against hunger, poverty, desperation, and chaos."</w:t>
      </w:r>
    </w:p>
    <w:p w:rsidR="00A31137" w:rsidRPr="00A31137" w:rsidRDefault="00A31137" w:rsidP="00A31137">
      <w:r w:rsidRPr="00A31137">
        <w:t>Public Papers of Reagan, 1987, p.635</w:t>
      </w:r>
    </w:p>
    <w:p w:rsidR="00A31137" w:rsidRPr="00A31137" w:rsidRDefault="00A31137" w:rsidP="00A31137">
      <w:r w:rsidRPr="00A31137">
        <w:t>In the Reichstag a few moments ago, I saw a display commemorating this 40th anniversary of the Marshall plan. I was struck by the sign on a burnt-out, gutted structure that was being rebuilt. I understand that Berliners of my own generation can remember seeing signs like it dotted throughout the Western sectors of the city. The sign read simply: "The Marshall plan is helping here to strengthen the free world." A strong, free world in the West, that dream became real. Japan rose from ruin to become an economic giant. Italy, France, Belgium—virtually every nation in Western Europe saw political and economic rebirth; the European Community was founded.</w:t>
      </w:r>
    </w:p>
    <w:p w:rsidR="00A31137" w:rsidRPr="00A31137" w:rsidRDefault="00A31137" w:rsidP="00A31137">
      <w:r w:rsidRPr="00A31137">
        <w:t>Public Papers of Reagan, 1987, p.635</w:t>
      </w:r>
    </w:p>
    <w:p w:rsidR="00A31137" w:rsidRPr="00A31137" w:rsidRDefault="00A31137" w:rsidP="00A31137">
      <w:r w:rsidRPr="00A31137">
        <w:t>In West Germany and here in Berlin, there took place an economic miracle, the Wirtschaftswunder. Adenauer, Erhard, Reuter, and other leaders understood the practical importance of liberty—that just as truth can flourish only when the journalist is given freedom of speech, so prosperity can come about only when the farmer and businessman enjoy economic freedom. The German leaders reduced tariffs, expanded free trade, lowered taxes. From 1950 to 1960 alone, the standard of living in West Germany and Berlin doubled.</w:t>
      </w:r>
    </w:p>
    <w:p w:rsidR="00A31137" w:rsidRPr="00A31137" w:rsidRDefault="00A31137" w:rsidP="00A31137">
      <w:r w:rsidRPr="00A31137">
        <w:t>Public Papers of Reagan, 1987, p.635</w:t>
      </w:r>
    </w:p>
    <w:p w:rsidR="00A31137" w:rsidRPr="00A31137" w:rsidRDefault="00A31137" w:rsidP="00A31137">
      <w:r w:rsidRPr="00A31137">
        <w:t>Where four decades ago there was rubble, today in West Berlin there is the greatest industrial output of any city in Germany—busy office blocks, fine homes and apartments, proud avenues, and the spreading lawns of park land. Where a city's culture seemed to have been destroyed, today there are two great universities, orchestras and an opera, countless theaters, and museums. Where there was want, today there's abundance—food, clothing, automobiles—the wonderful goods of the Ku'damm. From devastation, from utter ruin, you Berliners have, in freedom, rebuilt a city that once again ranks as one of the greatest on Earth. The Soviets may have had other plans. But, my friends, there were a few things the Soviets didn't count on Berliner herz, Berliner humor, ja, und Berliner schnauze. [Berliner heart, Berliner humor, yes, and a Berliner schnauze.] [Laughter]</w:t>
      </w:r>
    </w:p>
    <w:p w:rsidR="00A31137" w:rsidRPr="00A31137" w:rsidRDefault="00A31137" w:rsidP="00A31137">
      <w:r w:rsidRPr="00A31137">
        <w:t>Public Papers of Reagan, 1987, p.635</w:t>
      </w:r>
    </w:p>
    <w:p w:rsidR="00A31137" w:rsidRPr="00A31137" w:rsidRDefault="00A31137" w:rsidP="00A31137">
      <w:r w:rsidRPr="00A31137">
        <w:t>In the 1950's, Khrushchev predicted: "We will bury you." But in the West today, we see a free world that has achieved a level of prosperity and well-being unprecedented in all human history. In the Communist world, we see failure, technological backwardness, declining standards of health, even want of the most basic kind—too little food. Even today, the Soviet Union still cannot feed itself. After these four decades, then, there stands before the entire world one great and inescapable conclusion: Freedom leads to prosperity. Freedom replaces the ancient hatreds among the nations with comity and peace. Freedom is the victor.</w:t>
      </w:r>
    </w:p>
    <w:p w:rsidR="00A31137" w:rsidRPr="00A31137" w:rsidRDefault="00A31137" w:rsidP="00A31137">
      <w:r w:rsidRPr="00A31137">
        <w:t>Public Papers of Reagan, 1987, p.635</w:t>
      </w:r>
    </w:p>
    <w:p w:rsidR="00A31137" w:rsidRPr="00A31137" w:rsidRDefault="00A31137" w:rsidP="00A31137">
      <w:r w:rsidRPr="00A31137">
        <w:t>And now the Soviets themselves may, in a limited way, be coming to understand the importance of freedom. We hear much from Moscow about a new policy of reform and openness. Some political prisoners have been released. Certain foreign news broadcasts are no longer being jammed. Some economic enterprises have been permitted to operate with greater freedom from state control. Are these the beginnings of profound changes in the Soviet state? Or are they token gestures, intended to raise false hopes in the West, or to strengthen the Soviet system without changing it? We welcome change and openness; for we believe that freedom and security go together, that the advance of human liberty can only strengthen the cause of world peace.</w:t>
      </w:r>
    </w:p>
    <w:p w:rsidR="00A31137" w:rsidRPr="00A31137" w:rsidRDefault="00A31137" w:rsidP="00A31137">
      <w:r w:rsidRPr="00A31137">
        <w:t>Public Papers of Reagan, 1987, p.635</w:t>
      </w:r>
    </w:p>
    <w:p w:rsidR="00A31137" w:rsidRPr="00A31137" w:rsidRDefault="00A31137" w:rsidP="00A31137">
      <w:r w:rsidRPr="00A31137">
        <w:t>There is one sign the Soviets can make that would be unmistakable, that would advance dramatically the cause of freedom and peace. General Secretary Gorbachev, if you seek peace, if you seek prosperity for the Soviet Union and Eastern Europe, if you seek liberalization: Come here to this gate! Mr. Gorbachev, open this gate! Mr. Gorbachev, tear down this wall!</w:t>
      </w:r>
    </w:p>
    <w:p w:rsidR="00A31137" w:rsidRPr="00A31137" w:rsidRDefault="00A31137" w:rsidP="00A31137">
      <w:r w:rsidRPr="00A31137">
        <w:t>Public Papers of Reagan, 1987, p.635–p.636</w:t>
      </w:r>
    </w:p>
    <w:p w:rsidR="00A31137" w:rsidRPr="00A31137" w:rsidRDefault="00A31137" w:rsidP="00A31137">
      <w:r w:rsidRPr="00A31137">
        <w:t>I understand the fear of war and the pain [p.636] of division that afflict this continent—and I pledge to you my country's efforts to help overcome these burdens. To be sure, we in the West must resist Soviet expansion. So we must maintain defenses of unassailable strength. Yet we seek peace; so we must strive to reduce arms on both sides. Beginning 10 years ago, the Soviets challenged the Western alliance with a grave new threat, hundreds of new and more deadly SS-20 nuclear missiles, capable of-striking every capital in Europe. The Western alliance responded by committing itself to a counterdeployment unless the Soviets agreed to negotiate a better solution; namely, the elimination of such weapons on both sides. For many months, the Soviets refused to bargain in earnestness. As the alliance, in turn, prepared to go forward with its counterdeployment, there were difficult days—days of protests like those during my 1982 visit to this city—and the Soviets later walked away from the table.</w:t>
      </w:r>
    </w:p>
    <w:p w:rsidR="00A31137" w:rsidRPr="00A31137" w:rsidRDefault="00A31137" w:rsidP="00A31137">
      <w:r w:rsidRPr="00A31137">
        <w:t>Public Papers of Reagan, 1987, p.636</w:t>
      </w:r>
    </w:p>
    <w:p w:rsidR="00A31137" w:rsidRPr="00A31137" w:rsidRDefault="00A31137" w:rsidP="00A31137">
      <w:r w:rsidRPr="00A31137">
        <w:t>But through it all, the alliance held firm. And I invite those who protested then—I invite those who protest today—to mark this fact: Because we remained strong, the Soviets came back to the table. And because we remained strong, today we have within reach the possibility, not merely of limiting the growth of arms, but of eliminating, for the first time, an entire class of nuclear weapons from the face of the Earth. As I speak, NATO ministers are meeting in Iceland to review the progress of our proposals for eliminating these weapons. At the talks in Geneva, we have also proposed deep cuts in strategic offensive weapons. And the Western allies have likewise made far-reaching proposals to reduce the danger of conventional war and to place a total ban on chemical weapons.</w:t>
      </w:r>
    </w:p>
    <w:p w:rsidR="00A31137" w:rsidRPr="00A31137" w:rsidRDefault="00A31137" w:rsidP="00A31137">
      <w:r w:rsidRPr="00A31137">
        <w:t>Public Papers of Reagan, 1987, p.636</w:t>
      </w:r>
    </w:p>
    <w:p w:rsidR="00A31137" w:rsidRPr="00A31137" w:rsidRDefault="00A31137" w:rsidP="00A31137">
      <w:r w:rsidRPr="00A31137">
        <w:t>While we pursue these arms reductions, I pledge to you that we will maintain the capacity to deter Soviet aggression at any level at which it might occur. And in cooperation with many of our allies, the United States is pursuing the Strategic Defense Initiative-research to base deterrence not on the threat of offensive retaliation, but on defenses that truly defend; on systems, in short, that will not target populations, but shield them. By these means we seek to increase the safety of Europe and all the world. But we must remember a crucial fact: East and West do not mistrust each other because we are armed; we are armed because we mistrust each other. And our differences are not about weapons but about liberty. When President Kennedy spoke at the City Hall those 24 years ago, freedom was encircled, Berlin was under siege. And today, despite all the pressures upon this city, Berlin stands secure in its liberty. And freedom itself is transforming the globe.</w:t>
      </w:r>
    </w:p>
    <w:p w:rsidR="00A31137" w:rsidRPr="00A31137" w:rsidRDefault="00A31137" w:rsidP="00A31137">
      <w:r w:rsidRPr="00A31137">
        <w:t>Public Papers of Reagan, 1987, p.636</w:t>
      </w:r>
    </w:p>
    <w:p w:rsidR="00A31137" w:rsidRPr="00A31137" w:rsidRDefault="00A31137" w:rsidP="00A31137">
      <w:r w:rsidRPr="00A31137">
        <w:t>In the Philippines, in South and Central America, democracy has been given a rebirth. Throughout the Pacific, free markets are working miracle after miracle of economic growth. In the industrialized nations, a technological revolution is taking place—a revolution marked by rapid, dramatic advances in computers and telecommunications.</w:t>
      </w:r>
    </w:p>
    <w:p w:rsidR="00A31137" w:rsidRPr="00A31137" w:rsidRDefault="00A31137" w:rsidP="00A31137">
      <w:r w:rsidRPr="00A31137">
        <w:t>Public Papers of Reagan, 1987, p.636</w:t>
      </w:r>
    </w:p>
    <w:p w:rsidR="00A31137" w:rsidRPr="00A31137" w:rsidRDefault="00A31137" w:rsidP="00A31137">
      <w:r w:rsidRPr="00A31137">
        <w:t>In Europe, only one nation and those it controls refuse to join the community of freedom. Yet in this age of redoubled economic growth, of information and innovation, the Soviet Union faces a choice: It must make fundamental changes, or it will become obsolete. Today thus represents a moment of hope. We in the West stand ready to cooperate with the East to promote true openness, to break down barriers that separate people, to create a safer, freer world.</w:t>
      </w:r>
    </w:p>
    <w:p w:rsidR="00A31137" w:rsidRPr="00A31137" w:rsidRDefault="00A31137" w:rsidP="00A31137">
      <w:r w:rsidRPr="00A31137">
        <w:t>Public Papers of Reagan, 1987, p.636</w:t>
      </w:r>
    </w:p>
    <w:p w:rsidR="00A31137" w:rsidRPr="00A31137" w:rsidRDefault="00A31137" w:rsidP="00A31137">
      <w:r w:rsidRPr="00A31137">
        <w:t>And surely there is no better place than Berlin, the meeting place of East and West, to make a start. Free people of Berlin: Today, as in the past, the United States stands for the strict observance and full implementation of all parts of the Four Power Agreement of 1971. Let us use this occasion, the 750th anniversary of this city, to usher in a new era, to seek a still fuller, richer life for the Berlin of the future. Together, let us maintain and develop the ties between the Federal Republic and the Western sectors of Berlin, which is permitted by the 1971 agreement.</w:t>
      </w:r>
    </w:p>
    <w:p w:rsidR="00A31137" w:rsidRPr="00A31137" w:rsidRDefault="00A31137" w:rsidP="00A31137">
      <w:r w:rsidRPr="00A31137">
        <w:t>Public Papers of Reagan, 1987, p.636–p.637</w:t>
      </w:r>
    </w:p>
    <w:p w:rsidR="00A31137" w:rsidRPr="00A31137" w:rsidRDefault="00A31137" w:rsidP="00A31137">
      <w:r w:rsidRPr="00A31137">
        <w:t>And I invite Mr. Gorbachev: Let us work to bring the Eastern and Western parts of the city closer together, so that all the inhabitants of all Berlin can enjoy the benefits that come with life in one of the great cities of the world. To open Berlin still further to [p.637] all Europe, East and West, let us expand the vital air access to this city, finding ways of making commercial air service to Berlin more convenient, more comfortable, and more economical. We look to the day when West Berlin can become one of the chief aviation hubs in all central Europe.</w:t>
      </w:r>
    </w:p>
    <w:p w:rsidR="00A31137" w:rsidRPr="00A31137" w:rsidRDefault="00A31137" w:rsidP="00A31137">
      <w:r w:rsidRPr="00A31137">
        <w:t>Public Papers of Reagan, 1987, p.637</w:t>
      </w:r>
    </w:p>
    <w:p w:rsidR="00A31137" w:rsidRPr="00A31137" w:rsidRDefault="00A31137" w:rsidP="00A31137">
      <w:r w:rsidRPr="00A31137">
        <w:t>With our French and British partners, the United States is prepared to help bring international meetings to Berlin. It would be only fitting for Berlin to serve as the site of United Nations meetings, or world conferences on human rights and arms control or other issues that call for international cooperation. There is no better way to establish hope for the future than to enlighten young minds, and we would be honored to sponsor summer youth exchanges, cultural events, and other programs for young Berliners from the East. Our French and British friends, I'm certain, will do the same. And it's my hope that an authority can be found in East Berlin to sponsor visits from young people of the Western sectors.</w:t>
      </w:r>
    </w:p>
    <w:p w:rsidR="00A31137" w:rsidRPr="00A31137" w:rsidRDefault="00A31137" w:rsidP="00A31137">
      <w:r w:rsidRPr="00A31137">
        <w:t>Public Papers of Reagan, 1987, p.637</w:t>
      </w:r>
    </w:p>
    <w:p w:rsidR="00A31137" w:rsidRPr="00A31137" w:rsidRDefault="00A31137" w:rsidP="00A31137">
      <w:r w:rsidRPr="00A31137">
        <w:t>One final proposal, one close to my heart: Sport represents a source of enjoyment and ennoblement, and you many have noted that the Republic of Korea—South Korea-has offered to permit certain events of the 1988 Olympics to take place in the North. International sports competitions of all kinds could take place in both parts of this city. And what better way to demonstrate to the world the openness of this city than to offer in some future year to hold the Olympic games here in Berlin, East and West?</w:t>
      </w:r>
    </w:p>
    <w:p w:rsidR="00A31137" w:rsidRPr="00A31137" w:rsidRDefault="00A31137" w:rsidP="00A31137">
      <w:r w:rsidRPr="00A31137">
        <w:t>Public Papers of Reagan, 1987, p.637</w:t>
      </w:r>
    </w:p>
    <w:p w:rsidR="00A31137" w:rsidRPr="00A31137" w:rsidRDefault="00A31137" w:rsidP="00A31137">
      <w:r w:rsidRPr="00A31137">
        <w:t>In these four decades, as I have said, you Berliners have built a great city. You've done so in spite of threats—the Soviet attempts to impose the East-mark, the blockade. Today the city thrives in spite of the challenges implicit in the very presence of this wall. What keeps you here? Certainly there's a great deal to be said for your fortitude, for your defiant courage. But I believe there's something deeper, something that involves Berlin's whole look and feel and way of life—not mere sentiment. No one could live long in Berlin without being completely disabused of illusions. Something instead, that has seen the difficulties of life in Berlin but chose to accept them, that continues to build this good and proud city in contrast to a surrounding totalitarian presence that refuses to release human energies or aspirations. Something that speaks with a powerful voice of affirmation, that says yes to this city, yes to the future, yes to freedom. In a word, I would submit that what keeps you in Berlin is love—love both profound and abiding.</w:t>
      </w:r>
    </w:p>
    <w:p w:rsidR="00A31137" w:rsidRPr="00A31137" w:rsidRDefault="00A31137" w:rsidP="00A31137">
      <w:r w:rsidRPr="00A31137">
        <w:t>Public Papers of Reagan, 1987, p.637</w:t>
      </w:r>
    </w:p>
    <w:p w:rsidR="00A31137" w:rsidRPr="00A31137" w:rsidRDefault="00A31137" w:rsidP="00A31137">
      <w:r w:rsidRPr="00A31137">
        <w:t>Perhaps this gets to the root of the matter, to the most fundamental distinction of all between East and West. The totalitarian world produces backwardness because it does such violence to the spirit, thwarting the human impulse to create, to enjoy, to worship. The totalitarian world finds even symbols of love and of worship an affront. Years ago, before the East Germans began rebuilding their churches, they erected a secular structure: the television tower at Alexander Platz. Virtually ever since, the authorities have been working to correct what they view as the tower's one major flaw, treating the glass sphere at the top with paints and chemicals of every kind. Yet even today when the Sun strikes that sphere—that sphere that towers over all Berlin—the light makes the sign of the cross. There in Berlin, like the city itself, symbols of love, symbols of worship, cannot be suppressed.</w:t>
      </w:r>
    </w:p>
    <w:p w:rsidR="00A31137" w:rsidRPr="00A31137" w:rsidRDefault="00A31137" w:rsidP="00A31137">
      <w:r w:rsidRPr="00A31137">
        <w:t>Public Papers of Reagan, 1987, p.637</w:t>
      </w:r>
    </w:p>
    <w:p w:rsidR="00A31137" w:rsidRPr="00A31137" w:rsidRDefault="00A31137" w:rsidP="00A31137">
      <w:r w:rsidRPr="00A31137">
        <w:t>As I looked out a moment ago from the Reichstag, that embodiment of German unity, I noticed words crudely spray-painted upon the wall, perhaps by a young Berliner, "This wall will fall. Beliefs become reality." Yes, across Europe, this wall will fall. For it cannot withstand faith; it cannot withstand truth. The wall cannot withstand freedom.</w:t>
      </w:r>
    </w:p>
    <w:p w:rsidR="00A31137" w:rsidRPr="00A31137" w:rsidRDefault="00A31137" w:rsidP="00A31137">
      <w:r w:rsidRPr="00A31137">
        <w:t>Public Papers of Reagan, 1987, p.637</w:t>
      </w:r>
    </w:p>
    <w:p w:rsidR="00A31137" w:rsidRPr="00A31137" w:rsidRDefault="00A31137" w:rsidP="00A31137">
      <w:r w:rsidRPr="00A31137">
        <w:t>And I would like, before I close, to say one word. I have read, and I have been questioned since I've been here about certain demonstrations against my coming. And I would like to say just one thing, and to those who demonstrate so. I wonder if they have ever asked themselves that if they should have the kind of government they apparently seek, no one would ever be able to do what they're doing again.</w:t>
      </w:r>
    </w:p>
    <w:p w:rsidR="00A31137" w:rsidRPr="00A31137" w:rsidRDefault="00A31137" w:rsidP="00A31137">
      <w:r w:rsidRPr="00A31137">
        <w:t>Public Papers of Reagan, 1987, p.637</w:t>
      </w:r>
    </w:p>
    <w:p w:rsidR="00A31137" w:rsidRPr="00A31137" w:rsidRDefault="00A31137" w:rsidP="00A31137">
      <w:r w:rsidRPr="00A31137">
        <w:t>Thank you and God bless you all.</w:t>
      </w:r>
    </w:p>
    <w:p w:rsidR="00A31137" w:rsidRPr="00A31137" w:rsidRDefault="00A31137" w:rsidP="00A31137">
      <w:r w:rsidRPr="00A31137">
        <w:t>Public Papers of Reagan, 1987, p.637–p.638</w:t>
      </w:r>
    </w:p>
    <w:p w:rsidR="00A31137" w:rsidRPr="00A31137" w:rsidRDefault="00A31137" w:rsidP="00A31137">
      <w:r w:rsidRPr="00A31137">
        <w:t>NOTE: The President spoke at 2:20 p.m. at the Brandenburg Gate. In his opening remarks [p.638] , he referred to West German Chancellor Helmut Kohl. Prior to his remarks, President Reagan met with West German President Richard von Weizsacker and the Governing Mayor of West Berlin Eberhard Diepgen at Schloss Bellevue, President Weizsacker's official residence in West Berlin. Following the meeting, President Reagan went to the Reichstag, where he viewed the Berlin Wall from the East Balcony.</w:t>
      </w:r>
    </w:p>
    <w:p w:rsidR="00A31137" w:rsidRPr="00A31137" w:rsidRDefault="00A31137" w:rsidP="00A31137">
      <w:r w:rsidRPr="00A31137">
        <w:t>President Reagan's Economic Bill of Rights, 1987</w:t>
      </w:r>
    </w:p>
    <w:p w:rsidR="00A31137" w:rsidRPr="00A31137" w:rsidRDefault="00A31137" w:rsidP="00A31137">
      <w:r w:rsidRPr="00A31137">
        <w:t>Title:</w:t>
      </w:r>
      <w:r w:rsidRPr="00A31137">
        <w:tab/>
        <w:t>President Reagan's Economic Bill of Rights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July 3, 1987</w:t>
      </w:r>
    </w:p>
    <w:p w:rsidR="00A31137" w:rsidRPr="00A31137" w:rsidRDefault="00A31137" w:rsidP="00A31137">
      <w:r w:rsidRPr="00A31137">
        <w:t>Source:</w:t>
      </w:r>
      <w:r w:rsidRPr="00A31137">
        <w:tab/>
        <w:t>Public Papers of the Presidents, Reagan, 1987, pp.744-745</w:t>
      </w:r>
    </w:p>
    <w:p w:rsidR="00A31137" w:rsidRPr="00A31137" w:rsidRDefault="00A31137" w:rsidP="00A31137">
      <w:r w:rsidRPr="00A31137">
        <w:t>Preamble</w:t>
      </w:r>
    </w:p>
    <w:p w:rsidR="00A31137" w:rsidRPr="00A31137" w:rsidRDefault="00A31137" w:rsidP="00A31137">
      <w:r w:rsidRPr="00A31137">
        <w:t>Public Papers of Reagan, 1987, p.744</w:t>
      </w:r>
    </w:p>
    <w:p w:rsidR="00A31137" w:rsidRPr="00A31137" w:rsidRDefault="00A31137" w:rsidP="00A31137">
      <w:r w:rsidRPr="00A31137">
        <w:t>The Founding Fathers of our country knew that without economic freedom there can be no political freedom. Their rallying cry of "No taxation without representation" reflects that fundamental precept. They knew that the right to earn your own keep and keep what you earn is central to America's understanding of what it means to be free. This country was built by people seeking to support themselves and their families by their own labor, people who treasured the right to work and dispose of their earnings as they saw fit, people who were willing to take economic risks.</w:t>
      </w:r>
    </w:p>
    <w:p w:rsidR="00A31137" w:rsidRPr="00A31137" w:rsidRDefault="00A31137" w:rsidP="00A31137">
      <w:r w:rsidRPr="00A31137">
        <w:t>Public Papers of Reagan, 1987, p.744</w:t>
      </w:r>
    </w:p>
    <w:p w:rsidR="00A31137" w:rsidRPr="00A31137" w:rsidRDefault="00A31137" w:rsidP="00A31137">
      <w:r w:rsidRPr="00A31137">
        <w:t>Over the past 40 years, however, the growth of government has left our citizens with less control over their economic lives. What America needs now is an Economic Bill of Rights that guarantees four fundamental freedoms:</w:t>
      </w:r>
    </w:p>
    <w:p w:rsidR="00A31137" w:rsidRPr="00A31137" w:rsidRDefault="00A31137" w:rsidP="00A31137">
      <w:r w:rsidRPr="00A31137">
        <w:tab/>
        <w:t>• The freedom to work.</w:t>
      </w:r>
    </w:p>
    <w:p w:rsidR="00A31137" w:rsidRPr="00A31137" w:rsidRDefault="00A31137" w:rsidP="00A31137">
      <w:r w:rsidRPr="00A31137">
        <w:tab/>
        <w:t>• The freedom to enjoy the fruits of one's labor.</w:t>
      </w:r>
    </w:p>
    <w:p w:rsidR="00A31137" w:rsidRPr="00A31137" w:rsidRDefault="00A31137" w:rsidP="00A31137">
      <w:r w:rsidRPr="00A31137">
        <w:tab/>
        <w:t>• The freedom to own and control one's property.</w:t>
      </w:r>
    </w:p>
    <w:p w:rsidR="00A31137" w:rsidRPr="00A31137" w:rsidRDefault="00A31137" w:rsidP="00A31137">
      <w:r w:rsidRPr="00A31137">
        <w:tab/>
        <w:t>• The freedom to participate in a free market.</w:t>
      </w:r>
    </w:p>
    <w:p w:rsidR="00A31137" w:rsidRPr="00A31137" w:rsidRDefault="00A31137" w:rsidP="00A31137">
      <w:r w:rsidRPr="00A31137">
        <w:t>Public Papers of Reagan, 1987, p.744</w:t>
      </w:r>
    </w:p>
    <w:p w:rsidR="00A31137" w:rsidRPr="00A31137" w:rsidRDefault="00A31137" w:rsidP="00A31137">
      <w:r w:rsidRPr="00A31137">
        <w:t>To secure these freedoms, I propose the following initiatives:</w:t>
      </w:r>
    </w:p>
    <w:p w:rsidR="00A31137" w:rsidRPr="00A31137" w:rsidRDefault="00A31137" w:rsidP="00A31137">
      <w:r w:rsidRPr="00A31137">
        <w:t>Public Papers of Reagan, 1987, p.744</w:t>
      </w:r>
    </w:p>
    <w:p w:rsidR="00A31137" w:rsidRPr="00A31137" w:rsidRDefault="00A31137" w:rsidP="00A31137">
      <w:r w:rsidRPr="00A31137">
        <w:t>The Freedom to Work: You have the right to pursue your livelihood in your own way, free from excessive government regulation and subsidized government competition.</w:t>
      </w:r>
    </w:p>
    <w:p w:rsidR="00A31137" w:rsidRPr="00A31137" w:rsidRDefault="00A31137" w:rsidP="00A31137">
      <w:r w:rsidRPr="00A31137">
        <w:t>Public Papers of Reagan, 1987, p.744</w:t>
      </w:r>
    </w:p>
    <w:p w:rsidR="00A31137" w:rsidRPr="00A31137" w:rsidRDefault="00A31137" w:rsidP="00A31137">
      <w:r w:rsidRPr="00A31137">
        <w:t>1. To reduce subsidized government competition with private citizens, I will establish a bipartisan Presidential Commission on Privatization to identify government programs and activities that can be accomplished more effectively in the private sector. I will also instruct the executive branch to find additional ways for contracting outside the government to perform those tasks that belong in the private sector. As to those activities that should properly remain in the government, I have asked the President's Council on Management Improvement to accelerate its productivity improvement program by i year and to adopt private sector practices where they would promote efficiency.</w:t>
      </w:r>
    </w:p>
    <w:p w:rsidR="00A31137" w:rsidRPr="00A31137" w:rsidRDefault="00A31137" w:rsidP="00A31137">
      <w:r w:rsidRPr="00A31137">
        <w:t>Public Papers of Reagan, 1987, p.744</w:t>
      </w:r>
    </w:p>
    <w:p w:rsidR="00A31137" w:rsidRPr="00A31137" w:rsidRDefault="00A31137" w:rsidP="00A31137">
      <w:r w:rsidRPr="00A31137">
        <w:t>2. To reduce the burden of government regulation, I have reconstituted the Task Force on Regulatory Relief, chaired by the Vice President, to root out unnecessary restrictions on the individual's pursuit of a livelihood.</w:t>
      </w:r>
    </w:p>
    <w:p w:rsidR="00A31137" w:rsidRPr="00A31137" w:rsidRDefault="00A31137" w:rsidP="00A31137">
      <w:r w:rsidRPr="00A31137">
        <w:t>Public Papers of Reagan, 1987, p.744</w:t>
      </w:r>
    </w:p>
    <w:p w:rsidR="00A31137" w:rsidRPr="00A31137" w:rsidRDefault="00A31137" w:rsidP="00A31137">
      <w:r w:rsidRPr="00A31137">
        <w:t>The Freedom to Enjoy the Fruits of Your Labor: You have the right to keep what you earn, free from excessive government taxing, spending, and borrowing.</w:t>
      </w:r>
    </w:p>
    <w:p w:rsidR="00A31137" w:rsidRPr="00A31137" w:rsidRDefault="00A31137" w:rsidP="00A31137">
      <w:r w:rsidRPr="00A31137">
        <w:t>Public Papers of Reagan, 1987, p.744</w:t>
      </w:r>
    </w:p>
    <w:p w:rsidR="00A31137" w:rsidRPr="00A31137" w:rsidRDefault="00A31137" w:rsidP="00A31137">
      <w:r w:rsidRPr="00A31137">
        <w:t>3. To protect you from overborrowing by the government, I will ask the Congress to adopt a balanced budget amendment, a line item veto, and legislative changes that will restore integrity to the congressional budget process.</w:t>
      </w:r>
    </w:p>
    <w:p w:rsidR="00A31137" w:rsidRPr="00A31137" w:rsidRDefault="00A31137" w:rsidP="00A31137">
      <w:r w:rsidRPr="00A31137">
        <w:t>Public Papers of Reagan, 1987, p.744–p.745</w:t>
      </w:r>
    </w:p>
    <w:p w:rsidR="00A31137" w:rsidRPr="00A31137" w:rsidRDefault="00A31137" w:rsidP="00A31137">
      <w:r w:rsidRPr="00A31137">
        <w:t>4. To protect you from overtaxing by the Government, I will propose as part of the balanced budget amendment submitted to [p.745] Congress, a requirement for a supermajority vote by Congress before your taxes can be raised. This reform will help make permanent our recent progress in lowering your tax rates, broadening the tax base to ensure fairness, and indexing rates so that inflation cannot push taxes back up.</w:t>
      </w:r>
    </w:p>
    <w:p w:rsidR="00A31137" w:rsidRPr="00A31137" w:rsidRDefault="00A31137" w:rsidP="00A31137">
      <w:r w:rsidRPr="00A31137">
        <w:t>Public Papers of Reagan, 1987, p.745</w:t>
      </w:r>
    </w:p>
    <w:p w:rsidR="00A31137" w:rsidRPr="00A31137" w:rsidRDefault="00A31137" w:rsidP="00A31137">
      <w:r w:rsidRPr="00A31137">
        <w:t>5. To protect you from excess spending by the Federal Government, I will propose Truth in Federal Spending legislation that will:</w:t>
      </w:r>
    </w:p>
    <w:p w:rsidR="00A31137" w:rsidRPr="00A31137" w:rsidRDefault="00A31137" w:rsidP="00A31137">
      <w:r w:rsidRPr="00A31137">
        <w:t>Public Papers of Reagan, 1987, p.745</w:t>
      </w:r>
    </w:p>
    <w:p w:rsidR="00A31137" w:rsidRPr="00A31137" w:rsidRDefault="00A31137" w:rsidP="00A31137">
      <w:r w:rsidRPr="00A31137">
        <w:t>A. Require that every new program established by legislation increasing Federal spending be deficit-neutral by including equal amounts of offsets.</w:t>
      </w:r>
    </w:p>
    <w:p w:rsidR="00A31137" w:rsidRPr="00A31137" w:rsidRDefault="00A31137" w:rsidP="00A31137">
      <w:r w:rsidRPr="00A31137">
        <w:t>Public Papers of Reagan, 1987, p.745</w:t>
      </w:r>
    </w:p>
    <w:p w:rsidR="00A31137" w:rsidRPr="00A31137" w:rsidRDefault="00A31137" w:rsidP="00A31137">
      <w:r w:rsidRPr="00A31137">
        <w:t>B. Require that every piece of legislation mandating an increase in private sector costs or imposing new regulations include a financial impact statement detailing:</w:t>
      </w:r>
    </w:p>
    <w:p w:rsidR="00A31137" w:rsidRPr="00A31137" w:rsidRDefault="00A31137" w:rsidP="00A31137">
      <w:r w:rsidRPr="00A31137">
        <w:tab/>
        <w:t>—The impact on private costs;</w:t>
      </w:r>
    </w:p>
    <w:p w:rsidR="00A31137" w:rsidRPr="00A31137" w:rsidRDefault="00A31137" w:rsidP="00A31137">
      <w:r w:rsidRPr="00A31137">
        <w:tab/>
        <w:t>—The impact on prices for the consumer;</w:t>
      </w:r>
    </w:p>
    <w:p w:rsidR="00A31137" w:rsidRPr="00A31137" w:rsidRDefault="00A31137" w:rsidP="00A31137">
      <w:r w:rsidRPr="00A31137">
        <w:tab/>
        <w:t>—The effect on employment;</w:t>
      </w:r>
    </w:p>
    <w:p w:rsidR="00A31137" w:rsidRPr="00A31137" w:rsidRDefault="00A31137" w:rsidP="00A31137">
      <w:r w:rsidRPr="00A31137">
        <w:tab/>
        <w:t>—The impact on the ability of U.S. industries to compete internationally.</w:t>
      </w:r>
    </w:p>
    <w:p w:rsidR="00A31137" w:rsidRPr="00A31137" w:rsidRDefault="00A31137" w:rsidP="00A31137">
      <w:r w:rsidRPr="00A31137">
        <w:t>Public Papers of Reagan, 1987, p.745</w:t>
      </w:r>
    </w:p>
    <w:p w:rsidR="00A31137" w:rsidRPr="00A31137" w:rsidRDefault="00A31137" w:rsidP="00A31137">
      <w:r w:rsidRPr="00A31137">
        <w:t>C. Require that every piece of legislation forcing increased expenditures by State and local governments include an assessment of the spending impact, the likely source of funding, and the ability of these governments to fulfill the mandates of the legislation.</w:t>
      </w:r>
    </w:p>
    <w:p w:rsidR="00A31137" w:rsidRPr="00A31137" w:rsidRDefault="00A31137" w:rsidP="00A31137">
      <w:r w:rsidRPr="00A31137">
        <w:t>Public Papers of Reagan, 1987, p.745</w:t>
      </w:r>
    </w:p>
    <w:p w:rsidR="00A31137" w:rsidRPr="00A31137" w:rsidRDefault="00A31137" w:rsidP="00A31137">
      <w:r w:rsidRPr="00A31137">
        <w:t>The Freedom to Own and Control Your Property: You have the right to keep and use your property, free from government control through coercive or confiscatory regulation.</w:t>
      </w:r>
    </w:p>
    <w:p w:rsidR="00A31137" w:rsidRPr="00A31137" w:rsidRDefault="00A31137" w:rsidP="00A31137">
      <w:r w:rsidRPr="00A31137">
        <w:t>Public Papers of Reagan, 1987, p.745</w:t>
      </w:r>
    </w:p>
    <w:p w:rsidR="00A31137" w:rsidRPr="00A31137" w:rsidRDefault="00A31137" w:rsidP="00A31137">
      <w:r w:rsidRPr="00A31137">
        <w:t>6. To protect your right to own and use your property, my administration will pursue our successful efforts in the courts to restore your constitutional rights when the government at any level attempts to take your property through regulation or other means.</w:t>
      </w:r>
    </w:p>
    <w:p w:rsidR="00A31137" w:rsidRPr="00A31137" w:rsidRDefault="00A31137" w:rsidP="00A31137">
      <w:r w:rsidRPr="00A31137">
        <w:t>Public Papers of Reagan, 1987, p.745</w:t>
      </w:r>
    </w:p>
    <w:p w:rsidR="00A31137" w:rsidRPr="00A31137" w:rsidRDefault="00A31137" w:rsidP="00A31137">
      <w:r w:rsidRPr="00A31137">
        <w:t>7. To protect intellectual property and to encourage creativity, I will urge that the Congress act on my proposals to provide adequate domestic and international protection to Americans who create new ideas and invent new goods and services.</w:t>
      </w:r>
    </w:p>
    <w:p w:rsidR="00A31137" w:rsidRPr="00A31137" w:rsidRDefault="00A31137" w:rsidP="00A31137">
      <w:r w:rsidRPr="00A31137">
        <w:t>Freedom to Participate in a Free Market: You have the right to contract freely for goods and services and to achieve your full potential without government limits on opportunity, economic independence, and growth.</w:t>
      </w:r>
    </w:p>
    <w:p w:rsidR="00A31137" w:rsidRPr="00A31137" w:rsidRDefault="00A31137" w:rsidP="00A31137">
      <w:r w:rsidRPr="00A31137">
        <w:t>Public Papers of Reagan, 1987, p.745</w:t>
      </w:r>
    </w:p>
    <w:p w:rsidR="00A31137" w:rsidRPr="00A31137" w:rsidRDefault="00A31137" w:rsidP="00A31137">
      <w:r w:rsidRPr="00A31137">
        <w:t>8. To reform the present welfare system that promotes dependency and destroys families and communities, I have proposed a welfare reform initiative that will lift the least fortunate among us up from dependency by creating incentives for recipients to become independent of welfare as full participants in the American economy.</w:t>
      </w:r>
    </w:p>
    <w:p w:rsidR="00A31137" w:rsidRPr="00A31137" w:rsidRDefault="00A31137" w:rsidP="00A31137">
      <w:r w:rsidRPr="00A31137">
        <w:t>Public Papers of Reagan, 1987, p.745</w:t>
      </w:r>
    </w:p>
    <w:p w:rsidR="00A31137" w:rsidRPr="00A31137" w:rsidRDefault="00A31137" w:rsidP="00A31137">
      <w:r w:rsidRPr="00A31137">
        <w:t>9. To prepare our youth for participation in today's economy, I will ask the Congress and the States to enact proposals that will protect the rights of parents to guide their children and select from a broad array of educational options that emphasize excellence, character, and values. I will also promote programs to assist problem students to complete their education and to encourage dropouts to return to school.</w:t>
      </w:r>
    </w:p>
    <w:p w:rsidR="00A31137" w:rsidRPr="00A31137" w:rsidRDefault="00A31137" w:rsidP="00A31137">
      <w:r w:rsidRPr="00A31137">
        <w:t>Public Papers of Reagan, 1987, p.745</w:t>
      </w:r>
    </w:p>
    <w:p w:rsidR="00A31137" w:rsidRPr="00A31137" w:rsidRDefault="00A31137" w:rsidP="00A31137">
      <w:r w:rsidRPr="00A31137">
        <w:t>10. To arm American workers and businessmen for full participation in an increasingly complex world economy, I will press for the Congress to act on my trade, employment, and productivity proposals to:</w:t>
      </w:r>
    </w:p>
    <w:p w:rsidR="00A31137" w:rsidRPr="00A31137" w:rsidRDefault="00A31137" w:rsidP="00A31137">
      <w:r w:rsidRPr="00A31137">
        <w:t>—Increase job retraining and other initiatives which improve opportunity for the American worker.</w:t>
      </w:r>
    </w:p>
    <w:p w:rsidR="00A31137" w:rsidRPr="00A31137" w:rsidRDefault="00A31137" w:rsidP="00A31137">
      <w:r w:rsidRPr="00A31137">
        <w:t>—Encourage science and technology by increasing support for basic research and development.</w:t>
      </w:r>
    </w:p>
    <w:p w:rsidR="00A31137" w:rsidRPr="00A31137" w:rsidRDefault="00A31137" w:rsidP="00A31137">
      <w:r w:rsidRPr="00A31137">
        <w:t>—Enact antitrust, product liability, foreign corrupt practices, and other regulatory reforms that place American enterprise on a level playing field with foreign competitors.</w:t>
      </w:r>
    </w:p>
    <w:p w:rsidR="00A31137" w:rsidRPr="00A31137" w:rsidRDefault="00A31137" w:rsidP="00A31137">
      <w:r w:rsidRPr="00A31137">
        <w:t>—Improve America's ability to secure free and fair trade without resorting to protectionist measures that destroy jobs and harm the consumer.</w:t>
      </w:r>
    </w:p>
    <w:p w:rsidR="00A31137" w:rsidRPr="00A31137" w:rsidRDefault="00A31137" w:rsidP="00A31137">
      <w:r w:rsidRPr="00A31137">
        <w:t>President Reagan's Radio Address to the Nation on the Supreme Court Nomination of Robert H. Bork and the Economic Bill of Rights, 1987</w:t>
      </w:r>
    </w:p>
    <w:p w:rsidR="00A31137" w:rsidRPr="00A31137" w:rsidRDefault="00A31137" w:rsidP="00A31137">
      <w:r w:rsidRPr="00A31137">
        <w:t>Title:</w:t>
      </w:r>
      <w:r w:rsidRPr="00A31137">
        <w:tab/>
        <w:t>President Reagan's Radio Address to the Nation on the Supreme Court Nomination of Robert H. Bork and the Economic Bill of Rights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July 4, 1987</w:t>
      </w:r>
    </w:p>
    <w:p w:rsidR="00A31137" w:rsidRPr="00A31137" w:rsidRDefault="00A31137" w:rsidP="00A31137">
      <w:r w:rsidRPr="00A31137">
        <w:t>Source:</w:t>
      </w:r>
      <w:r w:rsidRPr="00A31137">
        <w:tab/>
        <w:t>Public Papers of the Presidents, Reagan, 1987, pp.793-794</w:t>
      </w:r>
    </w:p>
    <w:p w:rsidR="00A31137" w:rsidRPr="00A31137" w:rsidRDefault="00A31137" w:rsidP="00A31137">
      <w:r w:rsidRPr="00A31137">
        <w:t>Public Papers of Reagan, 1987, p.793</w:t>
      </w:r>
    </w:p>
    <w:p w:rsidR="00A31137" w:rsidRPr="00A31137" w:rsidRDefault="00A31137" w:rsidP="00A31137">
      <w:r w:rsidRPr="00A31137">
        <w:t>My fellow Americans:</w:t>
      </w:r>
    </w:p>
    <w:p w:rsidR="00A31137" w:rsidRPr="00A31137" w:rsidRDefault="00A31137" w:rsidP="00A31137">
      <w:r w:rsidRPr="00A31137">
        <w:t>Public Papers of Reagan, 1987, p.793</w:t>
      </w:r>
    </w:p>
    <w:p w:rsidR="00A31137" w:rsidRPr="00A31137" w:rsidRDefault="00A31137" w:rsidP="00A31137">
      <w:r w:rsidRPr="00A31137">
        <w:t>Happy Fourth of July! Today we celebrate our country's independence and its freedom. It's a time to enjoy ourselves with friends and family, watch the fireworks, and perhaps to reflect a bit on the meaning of it all.</w:t>
      </w:r>
    </w:p>
    <w:p w:rsidR="00A31137" w:rsidRPr="00A31137" w:rsidRDefault="00A31137" w:rsidP="00A31137">
      <w:r w:rsidRPr="00A31137">
        <w:t>Public Papers of Reagan, 1987, p.793</w:t>
      </w:r>
    </w:p>
    <w:p w:rsidR="00A31137" w:rsidRPr="00A31137" w:rsidRDefault="00A31137" w:rsidP="00A31137">
      <w:r w:rsidRPr="00A31137">
        <w:t>Certainly freedom is something I had in mind this week when I nominated Judge Robert Bork to be an Associate Justice of the Supreme Court. Judge Bork is recognized by his colleagues and peers as a brilliant legal scholar and a fair-minded jurist who believes his role is to interpret the law, not make it. He is also a highly respected teacher, having devoted 15 years as a distinguished professor at one of this nation's most prestigious law schools.</w:t>
      </w:r>
    </w:p>
    <w:p w:rsidR="00A31137" w:rsidRPr="00A31137" w:rsidRDefault="00A31137" w:rsidP="00A31137">
      <w:r w:rsidRPr="00A31137">
        <w:t>Public Papers of Reagan, 1987, p.793</w:t>
      </w:r>
    </w:p>
    <w:p w:rsidR="00A31137" w:rsidRPr="00A31137" w:rsidRDefault="00A31137" w:rsidP="00A31137">
      <w:r w:rsidRPr="00A31137">
        <w:t>As a member of the United States Court of Appeals, Judge Bork has always heard each case with an open mind, following the law and legal precedent—not his personal preferences. In arriving at a decision, no appellate judge in America has a finer record. Not a single one of his more than 100 majority opinions has ever been reversed by the Supreme Court. To maintain the independence of the judiciary, I hope that we can keep politics out of the confirmation process and promptly schedule hearings. The American people deserve a Supreme Court with nine Justices operating at full strength. This, of course, is serious business because the Court plays such a significant role in the preservation of our way of life and the protection of our liberty.</w:t>
      </w:r>
    </w:p>
    <w:p w:rsidR="00A31137" w:rsidRPr="00A31137" w:rsidRDefault="00A31137" w:rsidP="00A31137">
      <w:r w:rsidRPr="00A31137">
        <w:t>Public Papers of Reagan, 1987, p.793</w:t>
      </w:r>
    </w:p>
    <w:p w:rsidR="00A31137" w:rsidRPr="00A31137" w:rsidRDefault="00A31137" w:rsidP="00A31137">
      <w:r w:rsidRPr="00A31137">
        <w:t>Yesterday, I hope none of you missed the announcement I made of a new policy initiative which has a lot to do with the principles we commemorate on the Fourth of July. During a ceremony at the Jefferson Memorial here in Washington, we discussed the four basic economic freedoms: the freedom to work, the freedom to enjoy the fruits of one's labor, the freedom to own and control one's property, and the freedom to participate in a free market. Then, in the shadow of the statue of Thomas Jefferson, I presented a package of fundamental economic reforms designed to protect those freedoms: the equivalent of an economic bill of rights. We don't have time now to go into all the proposals, but I'd like to tell you about a few of the important ones.</w:t>
      </w:r>
    </w:p>
    <w:p w:rsidR="00A31137" w:rsidRPr="00A31137" w:rsidRDefault="00A31137" w:rsidP="00A31137">
      <w:r w:rsidRPr="00A31137">
        <w:t>Public Papers of Reagan, 1987, p.793</w:t>
      </w:r>
    </w:p>
    <w:p w:rsidR="00A31137" w:rsidRPr="00A31137" w:rsidRDefault="00A31137" w:rsidP="00A31137">
      <w:r w:rsidRPr="00A31137">
        <w:t>The centerpiece is something aimed at one of our toughest domestic challenges-deficit spending. It's about time we constitutionally mandate the Federal Government to do what every American family must do, and that is balance its budget. That doesn't mean taking more out of your pocket by raising taxes. In fact, our Economic Bill of Rights suggests a balanced budget amendment should contain a provision requiring more than a mere majority vote in Congress—which is all it takes now—to raise your taxes.</w:t>
      </w:r>
    </w:p>
    <w:p w:rsidR="00A31137" w:rsidRPr="00A31137" w:rsidRDefault="00A31137" w:rsidP="00A31137">
      <w:r w:rsidRPr="00A31137">
        <w:t>Public Papers of Reagan, 1987, p.793</w:t>
      </w:r>
    </w:p>
    <w:p w:rsidR="00A31137" w:rsidRPr="00A31137" w:rsidRDefault="00A31137" w:rsidP="00A31137">
      <w:r w:rsidRPr="00A31137">
        <w:t>Our reform also calls for full disclosure of the vital details of pending legislation. The people, as well as State and local government, have the right to know precisely how much fulfilling the will of Congress is going to cost them. Similarly, we deserve "truth in spending" from Congress. Any new legislation which calls for increased spending should indicate where the money is coming from.</w:t>
      </w:r>
    </w:p>
    <w:p w:rsidR="00A31137" w:rsidRPr="00A31137" w:rsidRDefault="00A31137" w:rsidP="00A31137">
      <w:r w:rsidRPr="00A31137">
        <w:t>Public Papers of Reagan, 1987, p.793–p.794</w:t>
      </w:r>
    </w:p>
    <w:p w:rsidR="00A31137" w:rsidRPr="00A31137" w:rsidRDefault="00A31137" w:rsidP="00A31137">
      <w:r w:rsidRPr="00A31137">
        <w:t>And part of any reform must be reestablishing certain checks and balances set down in the Constitution by our Founding Fathers. As of late, for example, the Presidential veto, a powerful force for responsible government, has been all but emasculated by changes in the way Congress does business. It's imperative we reestablish this Presidential authority by granting to the [p.794] Chief Executive of the United States the tool now used by the chief executives of 43 States in keeping spending under control. I'm talking about a line-item veto, which lets the President cut out the fat, but keep the meat of all legislation that gets to his desk.</w:t>
      </w:r>
    </w:p>
    <w:p w:rsidR="00A31137" w:rsidRPr="00A31137" w:rsidRDefault="00A31137" w:rsidP="00A31137">
      <w:r w:rsidRPr="00A31137">
        <w:t>Public Papers of Reagan, 1987, p.794</w:t>
      </w:r>
    </w:p>
    <w:p w:rsidR="00A31137" w:rsidRPr="00A31137" w:rsidRDefault="00A31137" w:rsidP="00A31137">
      <w:r w:rsidRPr="00A31137">
        <w:t>We the people, deserve to know that our jobs, paychecks, homes, and pensions are safe from the taxers and regulators of big government. Jefferson warned us of this threat 200 years ago. Our Economic Bill of Rights is designed to protect the economic freedom of all Americans and to keep our country growing and prospering.</w:t>
      </w:r>
    </w:p>
    <w:p w:rsidR="00A31137" w:rsidRPr="00A31137" w:rsidRDefault="00A31137" w:rsidP="00A31137">
      <w:r w:rsidRPr="00A31137">
        <w:t>Public Papers of Reagan, 1987, p.794</w:t>
      </w:r>
    </w:p>
    <w:p w:rsidR="00A31137" w:rsidRPr="00A31137" w:rsidRDefault="00A31137" w:rsidP="00A31137">
      <w:r w:rsidRPr="00A31137">
        <w:t>I hope you've heard the most recent figures which indicate that unemployment continues its steady decline—we're down to 6 percent—that prices are steady, and that the economy continues to grow. We've come a long way in the last 6 1/2 years. The economic bill of rights, the package of basic reforms I proposed yesterday, will protect the progress we've made and keep our country moving forward. On this Fourth of July let us reaffirm that together, living in freedom, there's nothing we Americans can't do.</w:t>
      </w:r>
    </w:p>
    <w:p w:rsidR="00A31137" w:rsidRPr="00A31137" w:rsidRDefault="00A31137" w:rsidP="00A31137">
      <w:r w:rsidRPr="00A31137">
        <w:t>Public Papers of Reagan, 1987, p.794</w:t>
      </w:r>
    </w:p>
    <w:p w:rsidR="00A31137" w:rsidRPr="00A31137" w:rsidRDefault="00A31137" w:rsidP="00A31137">
      <w:r w:rsidRPr="00A31137">
        <w:t>Until next week, thanks for listening, and God bless you.</w:t>
      </w:r>
    </w:p>
    <w:p w:rsidR="00A31137" w:rsidRPr="00A31137" w:rsidRDefault="00A31137" w:rsidP="00A31137">
      <w:r w:rsidRPr="00A31137">
        <w:t>Public Papers of Reagan, 1987, p.794</w:t>
      </w:r>
    </w:p>
    <w:p w:rsidR="00A31137" w:rsidRPr="00A31137" w:rsidRDefault="00A31137" w:rsidP="00A31137">
      <w:r w:rsidRPr="00A31137">
        <w:t>NOTE: The President spoke at 12:06 p.m. from Camp David, MD.</w:t>
      </w:r>
    </w:p>
    <w:p w:rsidR="00A31137" w:rsidRPr="00A31137" w:rsidRDefault="00A31137" w:rsidP="00A31137">
      <w:r w:rsidRPr="00A31137">
        <w:t>President Reagan's Address to the Nation on the Iran Arms and Contra Aid Controversy and Administration Goals, 1987</w:t>
      </w:r>
    </w:p>
    <w:p w:rsidR="00A31137" w:rsidRPr="00A31137" w:rsidRDefault="00A31137" w:rsidP="00A31137">
      <w:r w:rsidRPr="00A31137">
        <w:t>Title:</w:t>
      </w:r>
      <w:r w:rsidRPr="00A31137">
        <w:tab/>
        <w:t>President Reagan's Address to the Nation on the Iran Arms and Contra Aid Controversy and Administration Goals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August 12, 1987</w:t>
      </w:r>
    </w:p>
    <w:p w:rsidR="00A31137" w:rsidRPr="00A31137" w:rsidRDefault="00A31137" w:rsidP="00A31137">
      <w:r w:rsidRPr="00A31137">
        <w:t>Source:</w:t>
      </w:r>
      <w:r w:rsidRPr="00A31137">
        <w:tab/>
        <w:t>Public Papers of the Presidents, Reagan, 1987, pp.942-945</w:t>
      </w:r>
    </w:p>
    <w:p w:rsidR="00A31137" w:rsidRPr="00A31137" w:rsidRDefault="00A31137" w:rsidP="00A31137">
      <w:r w:rsidRPr="00A31137">
        <w:t>Public Papers of Reagan, 1987, p.942</w:t>
      </w:r>
    </w:p>
    <w:p w:rsidR="00A31137" w:rsidRPr="00A31137" w:rsidRDefault="00A31137" w:rsidP="00A31137">
      <w:r w:rsidRPr="00A31137">
        <w:t>My fellow Americans:</w:t>
      </w:r>
    </w:p>
    <w:p w:rsidR="00A31137" w:rsidRPr="00A31137" w:rsidRDefault="00A31137" w:rsidP="00A31137">
      <w:r w:rsidRPr="00A31137">
        <w:t>Public Papers of Reagan, 1987, p.942</w:t>
      </w:r>
    </w:p>
    <w:p w:rsidR="00A31137" w:rsidRPr="00A31137" w:rsidRDefault="00A31137" w:rsidP="00A31137">
      <w:r w:rsidRPr="00A31137">
        <w:t>I've said on several occasions that I wouldn't comment about the recent congressional hearings on the Iran-contra matter until the hearings were over. Well, that time has come, so tonight I want to talk about some of the lessons we've learned. But rest assured, that's not my sole subject this evening. I also want to talk about the future and getting on with things, because the people's business is waiting.</w:t>
      </w:r>
    </w:p>
    <w:p w:rsidR="00A31137" w:rsidRPr="00A31137" w:rsidRDefault="00A31137" w:rsidP="00A31137">
      <w:r w:rsidRPr="00A31137">
        <w:t>Public Papers of Reagan, 1987, p.942</w:t>
      </w:r>
    </w:p>
    <w:p w:rsidR="00A31137" w:rsidRPr="00A31137" w:rsidRDefault="00A31137" w:rsidP="00A31137">
      <w:r w:rsidRPr="00A31137">
        <w:t>These past 9 months have been confusing and painful ones for the country. I know you have doubts in your own minds about what happened in this whole episode. What I hope is not in doubt, however, is my commitment to the investigations themselves. So far, we've had four investigations—by the Justice Department, the Tower board, the Independent Counsel, and the Congress. I requested three of those investigations, and I endorsed and cooperated fully with the fourth—the congressional hearings—supplying over 250,000 pages of White House documents, including parts of my own private diaries.</w:t>
      </w:r>
    </w:p>
    <w:p w:rsidR="00A31137" w:rsidRPr="00A31137" w:rsidRDefault="00A31137" w:rsidP="00A31137">
      <w:r w:rsidRPr="00A31137">
        <w:t>Public Papers of Reagan, 1987, p.942</w:t>
      </w:r>
    </w:p>
    <w:p w:rsidR="00A31137" w:rsidRPr="00A31137" w:rsidRDefault="00A31137" w:rsidP="00A31137">
      <w:r w:rsidRPr="00A31137">
        <w:t>Once I realized I hadn't been fully informed, I sought to find the answers. Some of the answers I don't like. As the Tower board reported, and as I said last March, our original initiative rapidly got all tangled up in the sale of arms, and the sale of arms got tangled up with hostages. Secretary Shultz and Secretary Weinberger both predicted that the American people would immediately assume this whole plan was an arms-for-hostages deal and nothing more. Well, unfortunately, their predictions were right. As I said to you in March, I let my preoccupation with the hostages intrude into areas where it didn't belong. The image—the reality—of Americans in chains, deprived of their freedom and families so far from home, burdened my thoughts. And this was a mistake.</w:t>
      </w:r>
    </w:p>
    <w:p w:rsidR="00A31137" w:rsidRPr="00A31137" w:rsidRDefault="00A31137" w:rsidP="00A31137">
      <w:r w:rsidRPr="00A31137">
        <w:t>Public Papers of Reagan, 1987, p.942</w:t>
      </w:r>
    </w:p>
    <w:p w:rsidR="00A31137" w:rsidRPr="00A31137" w:rsidRDefault="00A31137" w:rsidP="00A31137">
      <w:r w:rsidRPr="00A31137">
        <w:t>My fellow Americans, I've thought long and often about how to explain to you what I intended to accomplish, but I respect you too much to make excuses. The fact of the matter is that there's nothing I can say that will make the situation right. I was stubborn in my pursuit of a policy that went astray.</w:t>
      </w:r>
    </w:p>
    <w:p w:rsidR="00A31137" w:rsidRPr="00A31137" w:rsidRDefault="00A31137" w:rsidP="00A31137">
      <w:r w:rsidRPr="00A31137">
        <w:t>Public Papers of Reagan, 1987, p.942</w:t>
      </w:r>
    </w:p>
    <w:p w:rsidR="00A31137" w:rsidRPr="00A31137" w:rsidRDefault="00A31137" w:rsidP="00A31137">
      <w:r w:rsidRPr="00A31137">
        <w:t>The other major issue of the hearings, of course, was the diversion of funds to the Nicaraguan contras. Colonel North and Admiral Poindexter believed they were doing what I would have wanted done—keeping the democratic resistance alive in Nicaragua. I believed then and I believe now in preventing the Soviets from establishing a beachhead in Central America. Since I have been so closely associated with the cause of the contras, the big question during the hearings was whether I knew of the diversion. I was aware the resistance was receiving funds directly from third countries and from private efforts, and I endorsed those endeavors wholeheartedly; but—let me put this in capital letters—I did not know about the diversion of funds. Indeed, I didn't know there were excess funds.</w:t>
      </w:r>
    </w:p>
    <w:p w:rsidR="00A31137" w:rsidRPr="00A31137" w:rsidRDefault="00A31137" w:rsidP="00A31137">
      <w:r w:rsidRPr="00A31137">
        <w:t>Public Papers of Reagan, 1987, p.942–p.943</w:t>
      </w:r>
    </w:p>
    <w:p w:rsidR="00A31137" w:rsidRPr="00A31137" w:rsidRDefault="00A31137" w:rsidP="00A31137">
      <w:r w:rsidRPr="00A31137">
        <w:t>Yet the buck does not stop with Admiral Poindexter, as he stated in his testimony; it stops with me. I am the one who is ultimately accountable to the American people. The admiral testified that he wanted to protect me; yet no President should ever be protected from the truth. No operation is so secret that it must be kept from the Commander in Chief. I had the right, the obligation, to make my own decision. I heard someone the other day ask why I wasn't outraged. Well, at times, I've been mad as a hornet. Anyone would be—just look at the damage that's been done and the time [p.943] that's been lost. But I've always found that the best therapy for outrage and anger is action.</w:t>
      </w:r>
    </w:p>
    <w:p w:rsidR="00A31137" w:rsidRPr="00A31137" w:rsidRDefault="00A31137" w:rsidP="00A31137">
      <w:r w:rsidRPr="00A31137">
        <w:t>Public Papers of Reagan, 1987, p.943</w:t>
      </w:r>
    </w:p>
    <w:p w:rsidR="00A31137" w:rsidRPr="00A31137" w:rsidRDefault="00A31137" w:rsidP="00A31137">
      <w:r w:rsidRPr="00A31137">
        <w:t>I've tried to take steps so that what we've been through can't happen again, either in this administration or future ones. But I remember very well what the Tower board said last February when it issued this report. It said the failure was more in people than in process. We can build in every precaution known to the world. We can design that best system ever devised by man. But in the end, people are going to have to run it. And we will never be free of human hopes, weaknesses, and enthusiasms.</w:t>
      </w:r>
    </w:p>
    <w:p w:rsidR="00A31137" w:rsidRPr="00A31137" w:rsidRDefault="00A31137" w:rsidP="00A31137">
      <w:r w:rsidRPr="00A31137">
        <w:t>Public Papers of Reagan, 1987, p.943</w:t>
      </w:r>
    </w:p>
    <w:p w:rsidR="00A31137" w:rsidRPr="00A31137" w:rsidRDefault="00A31137" w:rsidP="00A31137">
      <w:r w:rsidRPr="00A31137">
        <w:t>Let me tell you what I've done to change both the system and the people who operate it. First of all, I've brought in a new and knowledgeable team. I have a new National Security Adviser, a new Director of the CIA, a new Chief of Staff here at the White House. And I've told them that I must be informed and informed fully. In addition, I adopted the Tower board's model of how the NSC process and staff should work, and I prohibited any operational role by the NSC staff in covert activities.</w:t>
      </w:r>
    </w:p>
    <w:p w:rsidR="00A31137" w:rsidRPr="00A31137" w:rsidRDefault="00A31137" w:rsidP="00A31137">
      <w:r w:rsidRPr="00A31137">
        <w:t>Public Papers of Reagan, 1987, p.943</w:t>
      </w:r>
    </w:p>
    <w:p w:rsidR="00A31137" w:rsidRPr="00A31137" w:rsidRDefault="00A31137" w:rsidP="00A31137">
      <w:r w:rsidRPr="00A31137">
        <w:t>The report I ordered reviewing our nation's covert operations has been completed. There were no surprises. Some operations were continued, and some were eliminated because they'd outlived their usefulness. I am also adopting new, tighter procedures on consulting with and notifying the Congress on future covert action findings. We will still pursue covert operations when appropriate, but each operation must be legal, and it must meet a specific policy objective.</w:t>
      </w:r>
    </w:p>
    <w:p w:rsidR="00A31137" w:rsidRPr="00A31137" w:rsidRDefault="00A31137" w:rsidP="00A31137">
      <w:r w:rsidRPr="00A31137">
        <w:t>Public Papers of Reagan, 1987, p.943</w:t>
      </w:r>
    </w:p>
    <w:p w:rsidR="00A31137" w:rsidRPr="00A31137" w:rsidRDefault="00A31137" w:rsidP="00A31137">
      <w:r w:rsidRPr="00A31137">
        <w:t>The problem goes deeper, however, than policies and personnel. Probably the biggest lesson we can draw from the hearings is that the executive and legislative branches of government need to regain trust in each other. We've seen the results of that mistrust in the form of lies, leaks, divisions, and mistakes. We need to find a way to cooperate while realizing foreign policy can't be run by committee. And I believe there's now the growing sense that we can accomplish more by cooperating. And in the end, this may be the eventual blessing in disguise to come out of the Iran-contra mess.</w:t>
      </w:r>
    </w:p>
    <w:p w:rsidR="00A31137" w:rsidRPr="00A31137" w:rsidRDefault="00A31137" w:rsidP="00A31137">
      <w:r w:rsidRPr="00A31137">
        <w:t>Public Papers of Reagan, 1987, p.943</w:t>
      </w:r>
    </w:p>
    <w:p w:rsidR="00A31137" w:rsidRPr="00A31137" w:rsidRDefault="00A31137" w:rsidP="00A31137">
      <w:r w:rsidRPr="00A31137">
        <w:t>But now let me turn to the other subject I promised to discuss this evening—the future. There are now 17 months left in this administration, and I want them to be prosperous, productive ones for the American people. When you first elected me to this office, you elected me to pursue a new, different direction for America. When you elected me the second time, you reaffirmed your desire to continue that course. My hopes for this country are as fervent today as they were in 1981. Up until the morning I leave this house, I intend to do what you sent me here to do—lead the Nation toward the goals we agreed on when you elected me. Let me tell you where I'm going to put my heart and my energies for the remainder of my term.</w:t>
      </w:r>
    </w:p>
    <w:p w:rsidR="00A31137" w:rsidRPr="00A31137" w:rsidRDefault="00A31137" w:rsidP="00A31137">
      <w:r w:rsidRPr="00A31137">
        <w:t>Public Papers of Reagan, 1987, p.943</w:t>
      </w:r>
    </w:p>
    <w:p w:rsidR="00A31137" w:rsidRPr="00A31137" w:rsidRDefault="00A31137" w:rsidP="00A31137">
      <w:r w:rsidRPr="00A31137">
        <w:t>For my entire political life, I've spoken about the need for the Supreme Court to interpret the law, not make it. During my Presidency, I've proudly appointed two new justices who understand that important principle—Justice Sandra Day O'Connor and Justice Antonin Scalia. I've now nominated a third—Judge Robert Bork. When I named him to the U.S. Court of Appeals, the American Bar Association gave Judge Bork, who is a brilliant scholar and jurist, its very highest rating. As a member of that court, Judge Bork has written more than a hundred majority opinions and joined in another 300. The Supreme Court has never reversed a single one of these 400 opinions.</w:t>
      </w:r>
    </w:p>
    <w:p w:rsidR="00A31137" w:rsidRPr="00A31137" w:rsidRDefault="00A31137" w:rsidP="00A31137">
      <w:r w:rsidRPr="00A31137">
        <w:t>Public Papers of Reagan, 1987, p.943</w:t>
      </w:r>
    </w:p>
    <w:p w:rsidR="00A31137" w:rsidRPr="00A31137" w:rsidRDefault="00A31137" w:rsidP="00A31137">
      <w:r w:rsidRPr="00A31137">
        <w:t>His nomination is being opposed by some because he practices judicial restraint. Now, that means he won't put their opinions ahead of the law; he won't put his own opinions ahead of the law. And that's the way it should be. Judge Bork would be an important intellectual addition to the Court, and I will fight for him because I believe in what he stands for. As soon as the Senate returns from its recess next month, it should consider Judge Bork's qualifications and then vote yes or no, up or down. This nation and its citizens deserve a full bench with nine Justices when the Court convenes in October.</w:t>
      </w:r>
    </w:p>
    <w:p w:rsidR="00A31137" w:rsidRPr="00A31137" w:rsidRDefault="00A31137" w:rsidP="00A31137">
      <w:r w:rsidRPr="00A31137">
        <w:t>Public Papers of Reagan, 1987, p.943–p.944</w:t>
      </w:r>
    </w:p>
    <w:p w:rsidR="00A31137" w:rsidRPr="00A31137" w:rsidRDefault="00A31137" w:rsidP="00A31137">
      <w:r w:rsidRPr="00A31137">
        <w:t>In the months ahead, I also hope to reach an agreement, a comprehensive and verifiable agreement, with the 'Soviet Union on reducing nuclear arms. We're making real progress on the global elimination of an [p.944] entire class of nuclear weapons—the U.S. and Soviet intermediate-range, or INF, missiles. I first proposed this idea to the Soviets back in 1981. They weren't too keen on it and, in fact, walked out of the negotiations at one point. But we kept at it. Until recently, the Soviet Union had insisted on the right to retain some of its INF missiles. But in mid-July, General Secretary Gorbachev announced that he was prepared to drop this demand. That was welcome news, indeed.</w:t>
      </w:r>
    </w:p>
    <w:p w:rsidR="00A31137" w:rsidRPr="00A31137" w:rsidRDefault="00A31137" w:rsidP="00A31137">
      <w:r w:rsidRPr="00A31137">
        <w:t>Public Papers of Reagan, 1987, p.944</w:t>
      </w:r>
    </w:p>
    <w:p w:rsidR="00A31137" w:rsidRPr="00A31137" w:rsidRDefault="00A31137" w:rsidP="00A31137">
      <w:r w:rsidRPr="00A31137">
        <w:t>We've come this far because in 1980 you gave me a mandate to rebuild our military. I've done that. And today we're seeing the results. The Soviets are now negotiating with us because we're negotiating from strength. This would be an historic agreement. Previous arms control agreements merely put a ceiling on weapons and even allowed for increases; this agreement would reduce the number of nuclear weapons. I am optimistic that we'll soon witness a first in world history—the sight of two countries actually destroying nuclear weapons in their arsenals. And imagine where that might lead.</w:t>
      </w:r>
    </w:p>
    <w:p w:rsidR="00A31137" w:rsidRPr="00A31137" w:rsidRDefault="00A31137" w:rsidP="00A31137">
      <w:r w:rsidRPr="00A31137">
        <w:t>Public Papers of Reagan, 1987, p.944</w:t>
      </w:r>
    </w:p>
    <w:p w:rsidR="00A31137" w:rsidRPr="00A31137" w:rsidRDefault="00A31137" w:rsidP="00A31137">
      <w:r w:rsidRPr="00A31137">
        <w:t>We're also ready to move ahead on a START agreement that would cut intercontinental nuclear forces by 50 percent, thereby eliminating thousands of nuclear missiles. I urge the Soviets to move ahead with us. And I say to General Secretary Gorbachev, both our nations could begin a new relationship by signing comprehensive agreements to reduce nuclear and conventional weapons.</w:t>
      </w:r>
    </w:p>
    <w:p w:rsidR="00A31137" w:rsidRPr="00A31137" w:rsidRDefault="00A31137" w:rsidP="00A31137">
      <w:r w:rsidRPr="00A31137">
        <w:t>Public Papers of Reagan, 1987, p.944</w:t>
      </w:r>
    </w:p>
    <w:p w:rsidR="00A31137" w:rsidRPr="00A31137" w:rsidRDefault="00A31137" w:rsidP="00A31137">
      <w:r w:rsidRPr="00A31137">
        <w:t>What we seek in our relationship with the Soviet Union is peace and stability. That is also what we seek in the Persian Gulf, and the Middle East more generally. And bringing stability to this troubled region remains one of the most important goals of my Presidency.</w:t>
      </w:r>
    </w:p>
    <w:p w:rsidR="00A31137" w:rsidRPr="00A31137" w:rsidRDefault="00A31137" w:rsidP="00A31137">
      <w:r w:rsidRPr="00A31137">
        <w:t>Public Papers of Reagan, 1987, p.944</w:t>
      </w:r>
    </w:p>
    <w:p w:rsidR="00A31137" w:rsidRPr="00A31137" w:rsidRDefault="00A31137" w:rsidP="00A31137">
      <w:r w:rsidRPr="00A31137">
        <w:t>Over the next 17 months, I'll also be advocating an Economic Bill of Rights for our citizens. I believe the American people have a right to expect the Nation's budget to be handled responsibly. Yet chaos reigns in the budgetary process. For the past several months, there's been much debate about getting our fiscal house in order, but the result once again has been inaction. The congressional budget process is neither reliable nor credible; in short, it needs to be fixed. We must face reality: The only force strong enough to stop this nation's massive runaway budget is the Constitution. Only the Constitution—the document from which all government power flows, the document that provides our moral authority as a nation—only the Constitution can compel responsibility.</w:t>
      </w:r>
    </w:p>
    <w:p w:rsidR="00A31137" w:rsidRPr="00A31137" w:rsidRDefault="00A31137" w:rsidP="00A31137">
      <w:r w:rsidRPr="00A31137">
        <w:t>Public Papers of Reagan, 1987, p.944</w:t>
      </w:r>
    </w:p>
    <w:p w:rsidR="00A31137" w:rsidRPr="00A31137" w:rsidRDefault="00A31137" w:rsidP="00A31137">
      <w:r w:rsidRPr="00A31137">
        <w:t>We desperately need the power of a constitutional amendment to help us balance the budget. Over 70 percent of the American people want such an amendment. They want the Federal Government to have what 44 State governments already have—discipline. To get things moving, I am proposing tonight: If Congress agrees to schedule an up-or-down vote this year on our balanced budget amendment, then I will agree to negotiate on every spending item in the budget. If the Congress continues to oppose the wishes of the people by avoiding a vote on our balanced budget amendment, the call for a constitutional convention will grow louder. The prospect for a constitutional convention is only two States away from approval, and one way or another, the will of the people always prevails.</w:t>
      </w:r>
    </w:p>
    <w:p w:rsidR="00A31137" w:rsidRPr="00A31137" w:rsidRDefault="00A31137" w:rsidP="00A31137">
      <w:r w:rsidRPr="00A31137">
        <w:t>Public Papers of Reagan, 1987, p.944</w:t>
      </w:r>
    </w:p>
    <w:p w:rsidR="00A31137" w:rsidRPr="00A31137" w:rsidRDefault="00A31137" w:rsidP="00A31137">
      <w:r w:rsidRPr="00A31137">
        <w:t>And there's another area that will occupy my time and my heart: the cause of democracy. There are Americans still burning for freedom: Central Americans, the people of Nicaragua. Over the last 10 years, democrats have been emerging all over the world. In Central and South America alone, 10 countries have been added to the ranks. The question is: Will Nicaragua ever be added to this honor roll? As you know, I am totally committed to the democratic resistance-the freedom fighters—and their pursuit of democracy in Nicaragua. Recently there's been important progress on the diplomatic front, both here in Washington and in the region itself.</w:t>
      </w:r>
    </w:p>
    <w:p w:rsidR="00A31137" w:rsidRPr="00A31137" w:rsidRDefault="00A31137" w:rsidP="00A31137">
      <w:r w:rsidRPr="00A31137">
        <w:t>Public Papers of Reagan, 1987, p.944–p.945</w:t>
      </w:r>
    </w:p>
    <w:p w:rsidR="00A31137" w:rsidRPr="00A31137" w:rsidRDefault="00A31137" w:rsidP="00A31137">
      <w:r w:rsidRPr="00A31137">
        <w:t>My administration and the leadership of Congress have put forth a bipartisan initiative proposing concrete steps that can bring an end to the conflict there. Our key point was that the Communist regime in Nicaragua should do what it formally pledged to do in 1979—respect the Nicaraguan people's basic rights of free speech, free press, free elections, and religious liberty. Instead, [p.945] those who govern in Nicaragua chose to turn their country over to the Soviet Union to be a base for Communist expansion on the American mainland.</w:t>
      </w:r>
    </w:p>
    <w:p w:rsidR="00A31137" w:rsidRPr="00A31137" w:rsidRDefault="00A31137" w:rsidP="00A31137">
      <w:r w:rsidRPr="00A31137">
        <w:t>Public Papers of Reagan, 1987, p.945</w:t>
      </w:r>
    </w:p>
    <w:p w:rsidR="00A31137" w:rsidRPr="00A31137" w:rsidRDefault="00A31137" w:rsidP="00A31137">
      <w:r w:rsidRPr="00A31137">
        <w:t>The need for democracy in Nicaragua was also emphasized in the agreement signed by the five Central American presidents in Guatemala last Friday. We welcome this development and pledge our support to democracy and those fighting for freedom. We have always been willing to talk; we have never been willing to abandon those who are fighting for democracy and freedom. I'm especially pleased that in the United States diplomatic initiative, we once again have the beginnings, however uncertain, of a bipartisan foreign policy. The recent hearings emphasized the need for such bipartisanship, and I hope this cautious start will grow and blossom.</w:t>
      </w:r>
    </w:p>
    <w:p w:rsidR="00A31137" w:rsidRPr="00A31137" w:rsidRDefault="00A31137" w:rsidP="00A31137">
      <w:r w:rsidRPr="00A31137">
        <w:t>Public Papers of Reagan, 1987, p.945</w:t>
      </w:r>
    </w:p>
    <w:p w:rsidR="00A31137" w:rsidRPr="00A31137" w:rsidRDefault="00A31137" w:rsidP="00A31137">
      <w:r w:rsidRPr="00A31137">
        <w:t>These are among the goals for the remainder of my term as President. I believe they're the kinds of goals that will advance the security and prosperity and future of our people. I urge the Congress to be as thorough and energetic in pursuing these ends as it was in pursuing the recent investigation.</w:t>
      </w:r>
    </w:p>
    <w:p w:rsidR="00A31137" w:rsidRPr="00A31137" w:rsidRDefault="00A31137" w:rsidP="00A31137">
      <w:r w:rsidRPr="00A31137">
        <w:t>Public Papers of Reagan, 1987, p.945</w:t>
      </w:r>
    </w:p>
    <w:p w:rsidR="00A31137" w:rsidRPr="00A31137" w:rsidRDefault="00A31137" w:rsidP="00A31137">
      <w:r w:rsidRPr="00A31137">
        <w:t>My fellow Americans, I have a year and a half before I have to clean out this desk. I'm not about to let the dust and cobwebs settle on the furniture in this office or on me. I have things I intend to do, and with your help, we can do them.</w:t>
      </w:r>
    </w:p>
    <w:p w:rsidR="00A31137" w:rsidRPr="00A31137" w:rsidRDefault="00A31137" w:rsidP="00A31137">
      <w:r w:rsidRPr="00A31137">
        <w:t>Public Papers of Reagan, 1987, p.945</w:t>
      </w:r>
    </w:p>
    <w:p w:rsidR="00A31137" w:rsidRPr="00A31137" w:rsidRDefault="00A31137" w:rsidP="00A31137">
      <w:r w:rsidRPr="00A31137">
        <w:t>Good night, and God bless you.</w:t>
      </w:r>
    </w:p>
    <w:p w:rsidR="00A31137" w:rsidRPr="00A31137" w:rsidRDefault="00A31137" w:rsidP="00A31137">
      <w:r w:rsidRPr="00A31137">
        <w:t>Public Papers of Reagan, 1987, p.945</w:t>
      </w:r>
    </w:p>
    <w:p w:rsidR="00A31137" w:rsidRPr="00A31137" w:rsidRDefault="00A31137" w:rsidP="00A31137">
      <w:r w:rsidRPr="00A31137">
        <w:t>NOTE: The President spoke at 8 p.m. from the Oval Office at the White House. His address was broadcast live on nationwide radio and television.</w:t>
      </w:r>
    </w:p>
    <w:p w:rsidR="00A31137" w:rsidRPr="00A31137" w:rsidRDefault="00A31137" w:rsidP="00A31137">
      <w:r w:rsidRPr="00A31137">
        <w:t>President Reagan's Designation of Lieutenant General Colin L. Powell as Assistant to the President for National Security Affairs, 1987</w:t>
      </w:r>
    </w:p>
    <w:p w:rsidR="00A31137" w:rsidRPr="00A31137" w:rsidRDefault="00A31137" w:rsidP="00A31137">
      <w:r w:rsidRPr="00A31137">
        <w:t>Title:</w:t>
      </w:r>
      <w:r w:rsidRPr="00A31137">
        <w:tab/>
        <w:t>President Reagan's Designation of Lieutenant General Colin L. Powell as Assistant to the President for National Security Affairs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November 5, 1987</w:t>
      </w:r>
    </w:p>
    <w:p w:rsidR="00A31137" w:rsidRPr="00A31137" w:rsidRDefault="00A31137" w:rsidP="00A31137">
      <w:r w:rsidRPr="00A31137">
        <w:t>Source:</w:t>
      </w:r>
      <w:r w:rsidRPr="00A31137">
        <w:tab/>
        <w:t>Public Papers of the Presidents, Reagan, 1987, p.1286</w:t>
      </w:r>
    </w:p>
    <w:p w:rsidR="00A31137" w:rsidRPr="00A31137" w:rsidRDefault="00A31137" w:rsidP="00A31137">
      <w:r w:rsidRPr="00A31137">
        <w:t>Public Papers of Reagan, 1987, p.1286</w:t>
      </w:r>
    </w:p>
    <w:p w:rsidR="00A31137" w:rsidRPr="00A31137" w:rsidRDefault="00A31137" w:rsidP="00A31137">
      <w:r w:rsidRPr="00A31137">
        <w:t>The President today announced the designation of Lt. Gen. Colin L. Powell as Assistant to the President for National Security Affairs. He will succeed Frank C. Carlucci.</w:t>
      </w:r>
    </w:p>
    <w:p w:rsidR="00A31137" w:rsidRPr="00A31137" w:rsidRDefault="00A31137" w:rsidP="00A31137">
      <w:r w:rsidRPr="00A31137">
        <w:t>Public Papers of Reagan, 1987, p.1286</w:t>
      </w:r>
    </w:p>
    <w:p w:rsidR="00A31137" w:rsidRPr="00A31137" w:rsidRDefault="00A31137" w:rsidP="00A31137">
      <w:r w:rsidRPr="00A31137">
        <w:t>General Powell has been Deputy Assistant to the President for National Security Affairs since January 1987. Prior to this he was Commanding General, V Corps, Frankfurt, Federal Republic of Germany, 1986-1987. From 1983 to 1986, he served as senior military assistant to Secretary of Defense Caspar W. Weinberger. From 1982 to 1983, he was Deputy Commanding General of the United States Army Combined Arms Combat Development Activity at Fort Leavenworth, KS. He was Assistant Division Commander for Operations and Training, 4th Infantry Division (Mech) at Fort Carson, CO, 1981-1982. From January through May of 1981, he served as senior military assistant to then Deputy Secretary of Defense Frank C. Carlucci.</w:t>
      </w:r>
    </w:p>
    <w:p w:rsidR="00A31137" w:rsidRPr="00A31137" w:rsidRDefault="00A31137" w:rsidP="00A31137">
      <w:r w:rsidRPr="00A31137">
        <w:t>Public Papers of Reagan, 1987, p.1286</w:t>
      </w:r>
    </w:p>
    <w:p w:rsidR="00A31137" w:rsidRPr="00A31137" w:rsidRDefault="00A31137" w:rsidP="00A31137">
      <w:r w:rsidRPr="00A31137">
        <w:t>General Powell graduated from the City College of New York (B.S., 1958) and George Washington University (M.B.A., 1971). His many military decorations include the Distinguished Service Medal, the Soldiers Medal, Bronze Star, the Air Medal, and a Purple Heart. General Powell was born April 5, 1937, in New York, NY. He is married and has three children.</w:t>
      </w:r>
    </w:p>
    <w:p w:rsidR="00A31137" w:rsidRPr="00A31137" w:rsidRDefault="00A31137" w:rsidP="00A31137">
      <w:r w:rsidRPr="00A31137">
        <w:t>President Reagan's Remarks on Signing the Intermediate-Range Nuclear Forces Treaty, 1987</w:t>
      </w:r>
    </w:p>
    <w:p w:rsidR="00A31137" w:rsidRPr="00A31137" w:rsidRDefault="00A31137" w:rsidP="00A31137">
      <w:r w:rsidRPr="00A31137">
        <w:t>Title:</w:t>
      </w:r>
      <w:r w:rsidRPr="00A31137">
        <w:tab/>
        <w:t>President Reagan's Remarks on Signing the Intermediate-Range Nuclear Forces Treaty</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December 8, 1987</w:t>
      </w:r>
    </w:p>
    <w:p w:rsidR="00A31137" w:rsidRPr="00A31137" w:rsidRDefault="00A31137" w:rsidP="00A31137">
      <w:r w:rsidRPr="00A31137">
        <w:t>Source:</w:t>
      </w:r>
      <w:r w:rsidRPr="00A31137">
        <w:tab/>
        <w:t>Public Papers of the Presidents, Reagan, 1987, pp.1455-1456</w:t>
      </w:r>
    </w:p>
    <w:p w:rsidR="00A31137" w:rsidRPr="00A31137" w:rsidRDefault="00A31137" w:rsidP="00A31137">
      <w:r w:rsidRPr="00A31137">
        <w:t>Public Papers of Reagan, 1987, p.1455</w:t>
      </w:r>
    </w:p>
    <w:p w:rsidR="00A31137" w:rsidRPr="00A31137" w:rsidRDefault="00A31137" w:rsidP="00A31137">
      <w:r w:rsidRPr="00A31137">
        <w:t>The President. Thank you all very much. Welcome to the White House. This ceremony and the treaty we're signing today are both excellent examples of the rewards of patience. It was over 6 years ago, November 18, 1981, that I first proposed what would come to be called the zero option. It was a simple proposal—one might say, disarmingly simple. [Laughter] Unlike treaties in the past, it didn't simply codify the status quo or a new arms buildup; it didn't simply talk of controlling an arms race.</w:t>
      </w:r>
    </w:p>
    <w:p w:rsidR="00A31137" w:rsidRPr="00A31137" w:rsidRDefault="00A31137" w:rsidP="00A31137">
      <w:r w:rsidRPr="00A31137">
        <w:t>Public Papers of Reagan, 1987, p.1455</w:t>
      </w:r>
    </w:p>
    <w:p w:rsidR="00A31137" w:rsidRPr="00A31137" w:rsidRDefault="00A31137" w:rsidP="00A31137">
      <w:r w:rsidRPr="00A31137">
        <w:t>For the first time in history, the language of "arms control" was replaced by "arms reduction"—in this case, the complete elimination of an entire class of U.S. and Soviet nuclear missiles. Of course, this required a dramatic shift in thinking, and it took conventional wisdom some time to catch up. Reaction, to say the least, was mixed. To some the zero option was impossibly visionary and unrealistic; to others merely a propaganda ploy. Well, with patience, determination, and commitment, we've made this impossible vision a reality.</w:t>
      </w:r>
    </w:p>
    <w:p w:rsidR="00A31137" w:rsidRPr="00A31137" w:rsidRDefault="00A31137" w:rsidP="00A31137">
      <w:r w:rsidRPr="00A31137">
        <w:t>Public Papers of Reagan, 1987, p.1455</w:t>
      </w:r>
    </w:p>
    <w:p w:rsidR="00A31137" w:rsidRPr="00A31137" w:rsidRDefault="00A31137" w:rsidP="00A31137">
      <w:r w:rsidRPr="00A31137">
        <w:t>General Secretary Gorbachev, I'm sure you're familiar with Ivan Krylov's famous tale about the swan, the crawfish, and the pike. It seems that once upon a time these three were trying to move a wagonload together. They hitched and harnessed themselves to the wagon. It wasn't very heavy, but no matter how hard they worked, the wagon just wouldn't move. You see, the swan was flying upward; the crawfish kept crawling backward; the pike kept making for the water. The end result was that they got nowhere, and the wagon is still there to this day. Well, strong and fundamental moral differences continue to exist between our nations. But today, on this vital issue, at least, we've seen what can be accomplished when we pull together.</w:t>
      </w:r>
    </w:p>
    <w:p w:rsidR="00A31137" w:rsidRPr="00A31137" w:rsidRDefault="00A31137" w:rsidP="00A31137">
      <w:r w:rsidRPr="00A31137">
        <w:t>Public Papers of Reagan, 1987, p.1455</w:t>
      </w:r>
    </w:p>
    <w:p w:rsidR="00A31137" w:rsidRPr="00A31137" w:rsidRDefault="00A31137" w:rsidP="00A31137">
      <w:r w:rsidRPr="00A31137">
        <w:t>The numbers alone demonstrate the value of this agreement. On the Soviet side, over 1,500 deployed warheads will be removed, and all ground-launched intermediate-range missiles, including the SS-20's, will be destroyed. On our side, our entire complement of Pershing II and ground-launched cruise missiles, with some 400 deployed warheads, will all be destroyed. Additional backup missiles on both sides will also be destroyed.</w:t>
      </w:r>
    </w:p>
    <w:p w:rsidR="00A31137" w:rsidRPr="00A31137" w:rsidRDefault="00A31137" w:rsidP="00A31137">
      <w:r w:rsidRPr="00A31137">
        <w:t>Public Papers of Reagan, 1987, p.1455</w:t>
      </w:r>
    </w:p>
    <w:p w:rsidR="00A31137" w:rsidRPr="00A31137" w:rsidRDefault="00A31137" w:rsidP="00A31137">
      <w:r w:rsidRPr="00A31137">
        <w:t>But the importance of this treaty transcends numbers. We have listened to the wisdom in an old Russian maxim. And I'm sure you're familiar with it, Mr. General Secretary, though my pronunciation may give you difficulty. The maxim is: Dovorey no provorey—trust, but verify.</w:t>
      </w:r>
    </w:p>
    <w:p w:rsidR="00A31137" w:rsidRPr="00A31137" w:rsidRDefault="00A31137" w:rsidP="00A31137">
      <w:r w:rsidRPr="00A31137">
        <w:t>Public Papers of Reagan, 1987, p.1455</w:t>
      </w:r>
    </w:p>
    <w:p w:rsidR="00A31137" w:rsidRPr="00A31137" w:rsidRDefault="00A31137" w:rsidP="00A31137">
      <w:r w:rsidRPr="00A31137">
        <w:t>The General Secretary. You repeat that at every meeting. [Laughter]</w:t>
      </w:r>
    </w:p>
    <w:p w:rsidR="00A31137" w:rsidRPr="00A31137" w:rsidRDefault="00A31137" w:rsidP="00A31137">
      <w:r w:rsidRPr="00A31137">
        <w:t>Public Papers of Reagan, 1987, p.1455</w:t>
      </w:r>
    </w:p>
    <w:p w:rsidR="00A31137" w:rsidRPr="00A31137" w:rsidRDefault="00A31137" w:rsidP="00A31137">
      <w:r w:rsidRPr="00A31137">
        <w:t>The President. I like it. [Laughter]</w:t>
      </w:r>
    </w:p>
    <w:p w:rsidR="00A31137" w:rsidRPr="00A31137" w:rsidRDefault="00A31137" w:rsidP="00A31137">
      <w:r w:rsidRPr="00A31137">
        <w:t>Public Papers of Reagan, 1987, p.1455</w:t>
      </w:r>
    </w:p>
    <w:p w:rsidR="00A31137" w:rsidRPr="00A31137" w:rsidRDefault="00A31137" w:rsidP="00A31137">
      <w:r w:rsidRPr="00A31137">
        <w:t>This agreement contains the most stringent verification regime in history, including provisions for inspection teams actually residing in each other's territory and several other forms of on-site inspection, as well. This treaty protects the interests of America's friends and allies. It also embodies another important principle: the need for glasnost, a greater openness in military programs and forces.</w:t>
      </w:r>
    </w:p>
    <w:p w:rsidR="00A31137" w:rsidRPr="00A31137" w:rsidRDefault="00A31137" w:rsidP="00A31137">
      <w:r w:rsidRPr="00A31137">
        <w:t>Public Papers of Reagan, 1987, p.1455</w:t>
      </w:r>
    </w:p>
    <w:p w:rsidR="00A31137" w:rsidRPr="00A31137" w:rsidRDefault="00A31137" w:rsidP="00A31137">
      <w:r w:rsidRPr="00A31137">
        <w:t>We can only hope that this history-making agreement will not be an end in itself but the beginning of a working relationship that will enable us to tackle the other urgent issues before us: strategic offensive nuclear weapons, the balance of conventional forces in Europe, the destructive and tragic regional conflicts that beset so many parts of our globe, and respect for the human and natural rights God has granted to all men.</w:t>
      </w:r>
    </w:p>
    <w:p w:rsidR="00A31137" w:rsidRPr="00A31137" w:rsidRDefault="00A31137" w:rsidP="00A31137">
      <w:r w:rsidRPr="00A31137">
        <w:t>Public Papers of Reagan, 1987, p.1456</w:t>
      </w:r>
    </w:p>
    <w:p w:rsidR="00A31137" w:rsidRPr="00A31137" w:rsidRDefault="00A31137" w:rsidP="00A31137">
      <w:r w:rsidRPr="00A31137">
        <w:t>To all here who have worked so hard to make this vision a reality: Thank you, and congratulations—above all to Ambassadors Glitman and Obukhov. To quote another Russian proverb—as you can see, I'm becoming quite an expert—[laughter]—in Russian proverbs: "The harvest comes more from sweat than from the dew."</w:t>
      </w:r>
    </w:p>
    <w:p w:rsidR="00A31137" w:rsidRPr="00A31137" w:rsidRDefault="00A31137" w:rsidP="00A31137">
      <w:r w:rsidRPr="00A31137">
        <w:t>Public Papers of Reagan, 1987, p.1456</w:t>
      </w:r>
    </w:p>
    <w:p w:rsidR="00A31137" w:rsidRPr="00A31137" w:rsidRDefault="00A31137" w:rsidP="00A31137">
      <w:r w:rsidRPr="00A31137">
        <w:t>So, I'm going to propose to General Secretary Gorbachev that we issue one last instruction to you: Get some well-deserved rest. [Laughter]</w:t>
      </w:r>
    </w:p>
    <w:p w:rsidR="00A31137" w:rsidRPr="00A31137" w:rsidRDefault="00A31137" w:rsidP="00A31137">
      <w:r w:rsidRPr="00A31137">
        <w:t>Public Papers of Reagan, 1987, p.1456</w:t>
      </w:r>
    </w:p>
    <w:p w:rsidR="00A31137" w:rsidRPr="00A31137" w:rsidRDefault="00A31137" w:rsidP="00A31137">
      <w:r w:rsidRPr="00A31137">
        <w:t>The General Secretary. We're not going to do that. [Laughter]</w:t>
      </w:r>
    </w:p>
    <w:p w:rsidR="00A31137" w:rsidRPr="00A31137" w:rsidRDefault="00A31137" w:rsidP="00A31137">
      <w:r w:rsidRPr="00A31137">
        <w:t>Public Papers of Reagan, 1987, p.1456</w:t>
      </w:r>
    </w:p>
    <w:p w:rsidR="00A31137" w:rsidRPr="00A31137" w:rsidRDefault="00A31137" w:rsidP="00A31137">
      <w:r w:rsidRPr="00A31137">
        <w:t>The President. Well, now, Mr. General Secretary, would you like to say a few words before we sign the treaty?</w:t>
      </w:r>
    </w:p>
    <w:p w:rsidR="00A31137" w:rsidRPr="00A31137" w:rsidRDefault="00A31137" w:rsidP="00A31137">
      <w:r w:rsidRPr="00A31137">
        <w:t>Public Papers of Reagan, 1987, p.1456</w:t>
      </w:r>
    </w:p>
    <w:p w:rsidR="00A31137" w:rsidRPr="00A31137" w:rsidRDefault="00A31137" w:rsidP="00A31137">
      <w:r w:rsidRPr="00A31137">
        <w:t>The General Secretary. Mr. President, ladies and gentlemen, comrades, succeeding generations will hand down their verdict on the importance of the event which we are about to witness. But I will venture to say that what we are going to do, the signing of the first-ever agreement eliminating nuclear weapons, has a universal significance for mankind, both from the standpoint of world politics and from the standpoint of humanism.</w:t>
      </w:r>
    </w:p>
    <w:p w:rsidR="00A31137" w:rsidRPr="00A31137" w:rsidRDefault="00A31137" w:rsidP="00A31137">
      <w:r w:rsidRPr="00A31137">
        <w:t>Public Papers of Reagan, 1987, p.1456</w:t>
      </w:r>
    </w:p>
    <w:p w:rsidR="00A31137" w:rsidRPr="00A31137" w:rsidRDefault="00A31137" w:rsidP="00A31137">
      <w:r w:rsidRPr="00A31137">
        <w:t>For everyone, and above all, for our two great powers, the treaty whose text is on this table offers a big chance at last to get onto the road leading away from the threat of catastrophe. It is our duty to take full advantage of that chance and move together toward a nuclear-free world, which holds out for our children and grandchildren and for their children and grandchildren the promise of a fulfilling and happy life without fear and without a senseless waste of resources on weapons of destruction.</w:t>
      </w:r>
    </w:p>
    <w:p w:rsidR="00A31137" w:rsidRPr="00A31137" w:rsidRDefault="00A31137" w:rsidP="00A31137">
      <w:r w:rsidRPr="00A31137">
        <w:t>Public Papers of Reagan, 1987, p.1456</w:t>
      </w:r>
    </w:p>
    <w:p w:rsidR="00A31137" w:rsidRPr="00A31137" w:rsidRDefault="00A31137" w:rsidP="00A31137">
      <w:r w:rsidRPr="00A31137">
        <w:t>We can he proud of planting this sapling, which may one day grow into a mighty tree of peace. But it is probably still too early to bestow laurels upon each other. As the great American poet and philosopher Ralph Waldo Emerson said: "The reward of a thing well done is to have done it."</w:t>
      </w:r>
    </w:p>
    <w:p w:rsidR="00A31137" w:rsidRPr="00A31137" w:rsidRDefault="00A31137" w:rsidP="00A31137">
      <w:r w:rsidRPr="00A31137">
        <w:t>Public Papers of Reagan, 1987, p.1456</w:t>
      </w:r>
    </w:p>
    <w:p w:rsidR="00A31137" w:rsidRPr="00A31137" w:rsidRDefault="00A31137" w:rsidP="00A31137">
      <w:r w:rsidRPr="00A31137">
        <w:t>So, let us reward ourselves by getting down to business. We have covered a 7-year-long road, replete with intense work and debate. One last step towards this table, and the treaty will be signed.</w:t>
      </w:r>
    </w:p>
    <w:p w:rsidR="00A31137" w:rsidRPr="00A31137" w:rsidRDefault="00A31137" w:rsidP="00A31137">
      <w:r w:rsidRPr="00A31137">
        <w:t>Public Papers of Reagan, 1987, p.1456</w:t>
      </w:r>
    </w:p>
    <w:p w:rsidR="00A31137" w:rsidRPr="00A31137" w:rsidRDefault="00A31137" w:rsidP="00A31137">
      <w:r w:rsidRPr="00A31137">
        <w:t>May December 8, 1987, become a date that will be inscribed in the history books, a date that will mark the watershed separating the era of a mounting risk of nuclear war from the era of a demilitarization of human life.</w:t>
      </w:r>
    </w:p>
    <w:p w:rsidR="00A31137" w:rsidRPr="00A31137" w:rsidRDefault="00A31137" w:rsidP="00A31137">
      <w:r w:rsidRPr="00A31137">
        <w:t>Public Papers of Reagan, 1987, p.1456</w:t>
      </w:r>
    </w:p>
    <w:p w:rsidR="00A31137" w:rsidRPr="00A31137" w:rsidRDefault="00A31137" w:rsidP="00A31137">
      <w:r w:rsidRPr="00A31137">
        <w:t>NOTE: The President spoke at 1:45 p.m. in the East Room at the White House. In his remarks, the President referred to Ambassador Maynard W. Glitman, U.S. Negotiator on Intermediate-Range Nuclear Forces, and Ambassador Aleksey Obukhov, Deputy Head of the Soviet Nuclear and Space Arms delegation. Following their remarks, the President and the General Secretary signed the treaty and the accompanying protocols.</w:t>
      </w:r>
    </w:p>
    <w:p w:rsidR="00A31137" w:rsidRPr="00A31137" w:rsidRDefault="00A31137" w:rsidP="00A31137">
      <w:r w:rsidRPr="00A31137">
        <w:t>Treaty Between the U.S. and the U.S.S.R.on the Elimination of Their Intermediate-Range and Shorter-Range Missiles, 1987</w:t>
      </w:r>
    </w:p>
    <w:p w:rsidR="00A31137" w:rsidRPr="00A31137" w:rsidRDefault="00A31137" w:rsidP="00A31137">
      <w:r w:rsidRPr="00A31137">
        <w:t>Title:</w:t>
      </w:r>
      <w:r w:rsidRPr="00A31137">
        <w:tab/>
        <w:t>Treaty Between the U.S. and the U.S.S.R.on the Elimination of Their Intermediate-Range and Shorter-Range Missiles</w:t>
      </w:r>
    </w:p>
    <w:p w:rsidR="00A31137" w:rsidRPr="00A31137" w:rsidRDefault="00A31137" w:rsidP="00A31137">
      <w:r w:rsidRPr="00A31137">
        <w:t>Author:</w:t>
      </w:r>
      <w:r w:rsidRPr="00A31137">
        <w:tab/>
        <w:t>The U.S. and the U.S.S.R.</w:t>
      </w:r>
    </w:p>
    <w:p w:rsidR="00A31137" w:rsidRPr="00A31137" w:rsidRDefault="00A31137" w:rsidP="00A31137">
      <w:r w:rsidRPr="00A31137">
        <w:t>Date:</w:t>
      </w:r>
      <w:r w:rsidRPr="00A31137">
        <w:tab/>
        <w:t>December 8, 1987</w:t>
      </w:r>
    </w:p>
    <w:p w:rsidR="00A31137" w:rsidRPr="00A31137" w:rsidRDefault="00A31137" w:rsidP="00A31137">
      <w:r w:rsidRPr="00A31137">
        <w:t>Source:</w:t>
      </w:r>
      <w:r w:rsidRPr="00A31137">
        <w:tab/>
        <w:t>Public Papers of the Presidents, Reagan, 1987, pp.1456-1485</w:t>
      </w:r>
    </w:p>
    <w:p w:rsidR="00A31137" w:rsidRPr="00A31137" w:rsidRDefault="00A31137" w:rsidP="00A31137">
      <w:r w:rsidRPr="00A31137">
        <w:t>Public Papers of Reagan, 1987, p.1456</w:t>
      </w:r>
    </w:p>
    <w:p w:rsidR="00A31137" w:rsidRPr="00A31137" w:rsidRDefault="00A31137" w:rsidP="00A31137">
      <w:r w:rsidRPr="00A31137">
        <w:t>The United States of America and the Union of Soviet Socialist Republics, hereinafter referred to as the Parties,</w:t>
      </w:r>
    </w:p>
    <w:p w:rsidR="00A31137" w:rsidRPr="00A31137" w:rsidRDefault="00A31137" w:rsidP="00A31137">
      <w:r w:rsidRPr="00A31137">
        <w:t>Public Papers of Reagan, 1987, p.1456</w:t>
      </w:r>
    </w:p>
    <w:p w:rsidR="00A31137" w:rsidRPr="00A31137" w:rsidRDefault="00A31137" w:rsidP="00A31137">
      <w:r w:rsidRPr="00A31137">
        <w:t>Conscious that nuclear war would have devastating consequences for all mankind,</w:t>
      </w:r>
    </w:p>
    <w:p w:rsidR="00A31137" w:rsidRPr="00A31137" w:rsidRDefault="00A31137" w:rsidP="00A31137">
      <w:r w:rsidRPr="00A31137">
        <w:t>Public Papers of Reagan, 1987, p.1456</w:t>
      </w:r>
    </w:p>
    <w:p w:rsidR="00A31137" w:rsidRPr="00A31137" w:rsidRDefault="00A31137" w:rsidP="00A31137">
      <w:r w:rsidRPr="00A31137">
        <w:t>Guided by the objective of strengthening strategic stability,</w:t>
      </w:r>
    </w:p>
    <w:p w:rsidR="00A31137" w:rsidRPr="00A31137" w:rsidRDefault="00A31137" w:rsidP="00A31137">
      <w:r w:rsidRPr="00A31137">
        <w:t>Public Papers of Reagan, 1987, p.1456</w:t>
      </w:r>
    </w:p>
    <w:p w:rsidR="00A31137" w:rsidRPr="00A31137" w:rsidRDefault="00A31137" w:rsidP="00A31137">
      <w:r w:rsidRPr="00A31137">
        <w:t>Convinced that the measures set forth in this Treaty will help to reduce the risk of outbreak of war and strengthen international peace and security, and</w:t>
      </w:r>
    </w:p>
    <w:p w:rsidR="00A31137" w:rsidRPr="00A31137" w:rsidRDefault="00A31137" w:rsidP="00A31137">
      <w:r w:rsidRPr="00A31137">
        <w:t>Public Papers of Reagan, 1987, p.1456</w:t>
      </w:r>
    </w:p>
    <w:p w:rsidR="00A31137" w:rsidRPr="00A31137" w:rsidRDefault="00A31137" w:rsidP="00A31137">
      <w:r w:rsidRPr="00A31137">
        <w:t>Mindful of their obligations under Article VI of the Treaty on the Non-Proliferation of Nuclear Weapons,</w:t>
      </w:r>
    </w:p>
    <w:p w:rsidR="00A31137" w:rsidRPr="00A31137" w:rsidRDefault="00A31137" w:rsidP="00A31137">
      <w:r w:rsidRPr="00A31137">
        <w:t>Public Papers of Reagan, 1987, p.1456</w:t>
      </w:r>
    </w:p>
    <w:p w:rsidR="00A31137" w:rsidRPr="00A31137" w:rsidRDefault="00A31137" w:rsidP="00A31137">
      <w:r w:rsidRPr="00A31137">
        <w:t>Have agreed as follows:</w:t>
      </w:r>
    </w:p>
    <w:p w:rsidR="00A31137" w:rsidRPr="00A31137" w:rsidRDefault="00A31137" w:rsidP="00A31137">
      <w:r w:rsidRPr="00A31137">
        <w:t>ARTICLE I</w:t>
      </w:r>
    </w:p>
    <w:p w:rsidR="00A31137" w:rsidRPr="00A31137" w:rsidRDefault="00A31137" w:rsidP="00A31137">
      <w:r w:rsidRPr="00A31137">
        <w:t>Public Papers of Reagan, 1987, p.1456–p.1457</w:t>
      </w:r>
    </w:p>
    <w:p w:rsidR="00A31137" w:rsidRPr="00A31137" w:rsidRDefault="00A31137" w:rsidP="00A31137">
      <w:r w:rsidRPr="00A31137">
        <w:t>In accordance with the provisions of this [p.1457] Treaty which includes the Memorandum of Understanding and Protocols which form an integral part thereof, each Party shall eliminate its intermediate-range and shorter-range missiles, not have such systems thereafter, and carry out the other obligations set forth in this Treaty.</w:t>
      </w:r>
    </w:p>
    <w:p w:rsidR="00A31137" w:rsidRPr="00A31137" w:rsidRDefault="00A31137" w:rsidP="00A31137">
      <w:r w:rsidRPr="00A31137">
        <w:t>ARTICLE II</w:t>
      </w:r>
    </w:p>
    <w:p w:rsidR="00A31137" w:rsidRPr="00A31137" w:rsidRDefault="00A31137" w:rsidP="00A31137">
      <w:r w:rsidRPr="00A31137">
        <w:t>Public Papers of Reagan, 1987, p.1457</w:t>
      </w:r>
    </w:p>
    <w:p w:rsidR="00A31137" w:rsidRPr="00A31137" w:rsidRDefault="00A31137" w:rsidP="00A31137">
      <w:r w:rsidRPr="00A31137">
        <w:t>For the purposes of this Treaty:</w:t>
      </w:r>
    </w:p>
    <w:p w:rsidR="00A31137" w:rsidRPr="00A31137" w:rsidRDefault="00A31137" w:rsidP="00A31137">
      <w:r w:rsidRPr="00A31137">
        <w:t>Public Papers of Reagan, 1987, p.1457</w:t>
      </w:r>
    </w:p>
    <w:p w:rsidR="00A31137" w:rsidRPr="00A31137" w:rsidRDefault="00A31137" w:rsidP="00A31137">
      <w:r w:rsidRPr="00A31137">
        <w:t>1. The term "ballistic missile" means a missile that has a ballistic trajectory over most of its flight path. The term "ground-launched ballistic missile (GLBM)" means a ground-launched ballistic missile that is a weapon-delivery vehicle.</w:t>
      </w:r>
    </w:p>
    <w:p w:rsidR="00A31137" w:rsidRPr="00A31137" w:rsidRDefault="00A31137" w:rsidP="00A31137">
      <w:r w:rsidRPr="00A31137">
        <w:t>Public Papers of Reagan, 1987, p.1457</w:t>
      </w:r>
    </w:p>
    <w:p w:rsidR="00A31137" w:rsidRPr="00A31137" w:rsidRDefault="00A31137" w:rsidP="00A31137">
      <w:r w:rsidRPr="00A31137">
        <w:t>2. The term "cruise missile" means an unmanned, self-propelled vehicle that sustains flight through the use of aerodynamic lift over most of its flight path. The term "ground-launched cruise missile (GLCM)" means a ground-launched cruise missile that is a weapon-delivery vehicle.</w:t>
      </w:r>
    </w:p>
    <w:p w:rsidR="00A31137" w:rsidRPr="00A31137" w:rsidRDefault="00A31137" w:rsidP="00A31137">
      <w:r w:rsidRPr="00A31137">
        <w:t>Public Papers of Reagan, 1987, p.1457</w:t>
      </w:r>
    </w:p>
    <w:p w:rsidR="00A31137" w:rsidRPr="00A31137" w:rsidRDefault="00A31137" w:rsidP="00A31137">
      <w:r w:rsidRPr="00A31137">
        <w:t>3. The term "GLBM launcher" means a fixed launcher or a mobile land-based transporter-erector-launcher mechanism for launching a GLBM.</w:t>
      </w:r>
    </w:p>
    <w:p w:rsidR="00A31137" w:rsidRPr="00A31137" w:rsidRDefault="00A31137" w:rsidP="00A31137">
      <w:r w:rsidRPr="00A31137">
        <w:t>Public Papers of Reagan, 1987, p.1457</w:t>
      </w:r>
    </w:p>
    <w:p w:rsidR="00A31137" w:rsidRPr="00A31137" w:rsidRDefault="00A31137" w:rsidP="00A31137">
      <w:r w:rsidRPr="00A31137">
        <w:t>4. The term "GLCM launcher" means a fixed launcher or a mobile land-based transporter-erector-launcher mechanism for launching a GLCM.</w:t>
      </w:r>
    </w:p>
    <w:p w:rsidR="00A31137" w:rsidRPr="00A31137" w:rsidRDefault="00A31137" w:rsidP="00A31137">
      <w:r w:rsidRPr="00A31137">
        <w:t>Public Papers of Reagan, 1987, p.1457</w:t>
      </w:r>
    </w:p>
    <w:p w:rsidR="00A31137" w:rsidRPr="00A31137" w:rsidRDefault="00A31137" w:rsidP="00A31137">
      <w:r w:rsidRPr="00A31137">
        <w:t>5. The term "intermediate-range missile" means a GLBM or a GLCM having a range capability in excess of 1000 kilometers but not in excess of 5500 kilometers.</w:t>
      </w:r>
    </w:p>
    <w:p w:rsidR="00A31137" w:rsidRPr="00A31137" w:rsidRDefault="00A31137" w:rsidP="00A31137">
      <w:r w:rsidRPr="00A31137">
        <w:t>Public Papers of Reagan, 1987, p.1457</w:t>
      </w:r>
    </w:p>
    <w:p w:rsidR="00A31137" w:rsidRPr="00A31137" w:rsidRDefault="00A31137" w:rsidP="00A31137">
      <w:r w:rsidRPr="00A31137">
        <w:t>6. The term "shorter-range missile" means a GLBM or a GLCM having a range capability equal to or in excess of 500 kilometers but not in excess of 1000 kilometers.</w:t>
      </w:r>
    </w:p>
    <w:p w:rsidR="00A31137" w:rsidRPr="00A31137" w:rsidRDefault="00A31137" w:rsidP="00A31137">
      <w:r w:rsidRPr="00A31137">
        <w:t>Public Papers of Reagan, 1987, p.1457</w:t>
      </w:r>
    </w:p>
    <w:p w:rsidR="00A31137" w:rsidRPr="00A31137" w:rsidRDefault="00A31137" w:rsidP="00A31137">
      <w:r w:rsidRPr="00A31137">
        <w:t>7. The term "deployment area" means a designated area within which intermediaterange missiles and launchers of such missiles may operate and within which one or more missile operating bases are located.</w:t>
      </w:r>
    </w:p>
    <w:p w:rsidR="00A31137" w:rsidRPr="00A31137" w:rsidRDefault="00A31137" w:rsidP="00A31137">
      <w:r w:rsidRPr="00A31137">
        <w:t>Public Papers of Reagan, 1987, p.1457</w:t>
      </w:r>
    </w:p>
    <w:p w:rsidR="00A31137" w:rsidRPr="00A31137" w:rsidRDefault="00A31137" w:rsidP="00A31137">
      <w:r w:rsidRPr="00A31137">
        <w:t>8. The term "missile operating base" means:</w:t>
      </w:r>
    </w:p>
    <w:p w:rsidR="00A31137" w:rsidRPr="00A31137" w:rsidRDefault="00A31137" w:rsidP="00A31137">
      <w:r w:rsidRPr="00A31137">
        <w:t>Public Papers of Reagan, 1987, p.1457</w:t>
      </w:r>
    </w:p>
    <w:p w:rsidR="00A31137" w:rsidRPr="00A31137" w:rsidRDefault="00A31137" w:rsidP="00A31137">
      <w:r w:rsidRPr="00A31137">
        <w:t>(a) in the case of intermediate-range missiles, a complex of facilities, located within a deployment area, at which intermediate-range missiles and launchers of such missiles normally operate, in which support structures associated with such missiles and launchers are also located and in which support equipment associated with such missiles and launchers is normally located; and</w:t>
      </w:r>
    </w:p>
    <w:p w:rsidR="00A31137" w:rsidRPr="00A31137" w:rsidRDefault="00A31137" w:rsidP="00A31137">
      <w:r w:rsidRPr="00A31137">
        <w:t>Public Papers of Reagan, 1987, p.1457</w:t>
      </w:r>
    </w:p>
    <w:p w:rsidR="00A31137" w:rsidRPr="00A31137" w:rsidRDefault="00A31137" w:rsidP="00A31137">
      <w:r w:rsidRPr="00A31137">
        <w:t>(b) in the case of shorter-range missiles, a complex of facilities, located any place, at which shorter-range missiles and launchers of such missiles normally operate and in which support equipment associated with such missiles and launchers is normally located.</w:t>
      </w:r>
    </w:p>
    <w:p w:rsidR="00A31137" w:rsidRPr="00A31137" w:rsidRDefault="00A31137" w:rsidP="00A31137">
      <w:r w:rsidRPr="00A31137">
        <w:t>Public Papers of Reagan, 1987, p.1457</w:t>
      </w:r>
    </w:p>
    <w:p w:rsidR="00A31137" w:rsidRPr="00A31137" w:rsidRDefault="00A31137" w:rsidP="00A31137">
      <w:r w:rsidRPr="00A31137">
        <w:t>9. The term "missile support facility," as regards intermediate-range or shorter-range missiles and launchers of such missiles, means a missile production facility or a launcher production facility, a missile repair facility or a launcher repair facility, a training facility, a missile storage facility or a launcher storage facility, a test range, or an elimination facility as those terms are defined in the Memorandum of Understanding.</w:t>
      </w:r>
    </w:p>
    <w:p w:rsidR="00A31137" w:rsidRPr="00A31137" w:rsidRDefault="00A31137" w:rsidP="00A31137">
      <w:r w:rsidRPr="00A31137">
        <w:t>Public Papers of Reagan, 1987, p.1457</w:t>
      </w:r>
    </w:p>
    <w:p w:rsidR="00A31137" w:rsidRPr="00A31137" w:rsidRDefault="00A31137" w:rsidP="00A31137">
      <w:r w:rsidRPr="00A31137">
        <w:t>10. The term "transit" means movement, notified in accordance with paragraph 5(t) of Article IX of this Treaty, of an intermediate-range missile or a launcher of such a missile between missile support facilities, between such a facility and a deployment area or between deployment areas, or of a shorter-range missile or a launcher of such a missile from a missile support facility or a missile operating base to an elimination facility.</w:t>
      </w:r>
    </w:p>
    <w:p w:rsidR="00A31137" w:rsidRPr="00A31137" w:rsidRDefault="00A31137" w:rsidP="00A31137">
      <w:r w:rsidRPr="00A31137">
        <w:t>Public Papers of Reagan, 1987, p.1457</w:t>
      </w:r>
    </w:p>
    <w:p w:rsidR="00A31137" w:rsidRPr="00A31137" w:rsidRDefault="00A31137" w:rsidP="00A31137">
      <w:r w:rsidRPr="00A31137">
        <w:t>11. The term "deployed missile" means an intermediate-range missile located within a deployment area or a shorter-range missile located at a missile operating base.</w:t>
      </w:r>
    </w:p>
    <w:p w:rsidR="00A31137" w:rsidRPr="00A31137" w:rsidRDefault="00A31137" w:rsidP="00A31137">
      <w:r w:rsidRPr="00A31137">
        <w:t>Public Papers of Reagan, 1987, p.1457</w:t>
      </w:r>
    </w:p>
    <w:p w:rsidR="00A31137" w:rsidRPr="00A31137" w:rsidRDefault="00A31137" w:rsidP="00A31137">
      <w:r w:rsidRPr="00A31137">
        <w:t>12. The term "non-deployed missile" means an intermediate-range missile located outside a deployment area or a shorter-range missile located outside a missile operating base.</w:t>
      </w:r>
    </w:p>
    <w:p w:rsidR="00A31137" w:rsidRPr="00A31137" w:rsidRDefault="00A31137" w:rsidP="00A31137">
      <w:r w:rsidRPr="00A31137">
        <w:t>Public Papers of Reagan, 1987, p.1457</w:t>
      </w:r>
    </w:p>
    <w:p w:rsidR="00A31137" w:rsidRPr="00A31137" w:rsidRDefault="00A31137" w:rsidP="00A31137">
      <w:r w:rsidRPr="00A31137">
        <w:t>13. The term "deployed launcher" means a launcher of an intermediate-range missile located within a deployment area or a launcher of a shorter-range missile located at a missile operating base.</w:t>
      </w:r>
    </w:p>
    <w:p w:rsidR="00A31137" w:rsidRPr="00A31137" w:rsidRDefault="00A31137" w:rsidP="00A31137">
      <w:r w:rsidRPr="00A31137">
        <w:t>Public Papers of Reagan, 1987, p.1457</w:t>
      </w:r>
    </w:p>
    <w:p w:rsidR="00A31137" w:rsidRPr="00A31137" w:rsidRDefault="00A31137" w:rsidP="00A31137">
      <w:r w:rsidRPr="00A31137">
        <w:t>14. The term "non-deployed launcher" means a launcher of an intermediate-range missile located outside a deployment area or a launcher of a shorter-range missile located outside a missile operating base.</w:t>
      </w:r>
    </w:p>
    <w:p w:rsidR="00A31137" w:rsidRPr="00A31137" w:rsidRDefault="00A31137" w:rsidP="00A31137">
      <w:r w:rsidRPr="00A31137">
        <w:t>Public Papers of Reagan, 1987, p.1457–p.1458</w:t>
      </w:r>
    </w:p>
    <w:p w:rsidR="00A31137" w:rsidRPr="00A31137" w:rsidRDefault="00A31137" w:rsidP="00A31137">
      <w:r w:rsidRPr="00A31137">
        <w:t>15. The term "basing country" means a country other than the United States of [p.1458] America or the Union of Soviet Socialist Republics on whose territory intermediaterange or shorter-range missiles of the Parties, launchers of such missiles or support structures associated with such missiles and launchers were located at any time after November 1, 1987. Missiles or launchers in transit are not considered to be "located."</w:t>
      </w:r>
    </w:p>
    <w:p w:rsidR="00A31137" w:rsidRPr="00A31137" w:rsidRDefault="00A31137" w:rsidP="00A31137">
      <w:r w:rsidRPr="00A31137">
        <w:t>ARTICLE III</w:t>
      </w:r>
    </w:p>
    <w:p w:rsidR="00A31137" w:rsidRPr="00A31137" w:rsidRDefault="00A31137" w:rsidP="00A31137">
      <w:r w:rsidRPr="00A31137">
        <w:t>Public Papers of Reagan, 1987, p.1458</w:t>
      </w:r>
    </w:p>
    <w:p w:rsidR="00A31137" w:rsidRPr="00A31137" w:rsidRDefault="00A31137" w:rsidP="00A31137">
      <w:r w:rsidRPr="00A31137">
        <w:t>1. For the purposes of this Treaty, existing types of intermediate-range missiles are: (a) for the United States of America, missiles of the types designated by the United States of America as the Pershing II and the BGM-109G, which are known to the Union of Soviet Socialist Republics by the same designations; and</w:t>
      </w:r>
    </w:p>
    <w:p w:rsidR="00A31137" w:rsidRPr="00A31137" w:rsidRDefault="00A31137" w:rsidP="00A31137">
      <w:r w:rsidRPr="00A31137">
        <w:t>Public Papers of Reagan, 1987, p.1458</w:t>
      </w:r>
    </w:p>
    <w:p w:rsidR="00A31137" w:rsidRPr="00A31137" w:rsidRDefault="00A31137" w:rsidP="00A31137">
      <w:r w:rsidRPr="00A31137">
        <w:t>(b) for the Union of Soviet Socialist Republics, missiles of the types designated by the Union of Soviet Socialist Republics as the RSD-10, the R-12 and the R-14, which are known to the United States of America as the SS-20, the SS4 and the SS-5, respectively.</w:t>
      </w:r>
    </w:p>
    <w:p w:rsidR="00A31137" w:rsidRPr="00A31137" w:rsidRDefault="00A31137" w:rsidP="00A31137">
      <w:r w:rsidRPr="00A31137">
        <w:t>Public Papers of Reagan, 1987, p.1458</w:t>
      </w:r>
    </w:p>
    <w:p w:rsidR="00A31137" w:rsidRPr="00A31137" w:rsidRDefault="00A31137" w:rsidP="00A31137">
      <w:r w:rsidRPr="00A31137">
        <w:t>2. For the purposes of this Treaty, existing types of shorter-range missiles are: (a) for the United States of America, missiles of the type designated by the United States of America as the Pershing IA, which is known to the Union of Soviet Socialist Republics by the same designation; and</w:t>
      </w:r>
    </w:p>
    <w:p w:rsidR="00A31137" w:rsidRPr="00A31137" w:rsidRDefault="00A31137" w:rsidP="00A31137">
      <w:r w:rsidRPr="00A31137">
        <w:t>Public Papers of Reagan, 1987, p.1458</w:t>
      </w:r>
    </w:p>
    <w:p w:rsidR="00A31137" w:rsidRPr="00A31137" w:rsidRDefault="00A31137" w:rsidP="00A31137">
      <w:r w:rsidRPr="00A31137">
        <w:t>(b) for the Union of Soviet Socialist Republics, missiles of the types designated by the Union of Soviet Socialist Republics as the OTR-22 and the OTR-23, which are known to the United States of America as the SS-12 and the SS-23, respectively.</w:t>
      </w:r>
    </w:p>
    <w:p w:rsidR="00A31137" w:rsidRPr="00A31137" w:rsidRDefault="00A31137" w:rsidP="00A31137">
      <w:r w:rsidRPr="00A31137">
        <w:t>ARTICLE IV</w:t>
      </w:r>
    </w:p>
    <w:p w:rsidR="00A31137" w:rsidRPr="00A31137" w:rsidRDefault="00A31137" w:rsidP="00A31137">
      <w:r w:rsidRPr="00A31137">
        <w:t>Public Papers of Reagan, 1987, p.1458</w:t>
      </w:r>
    </w:p>
    <w:p w:rsidR="00A31137" w:rsidRPr="00A31137" w:rsidRDefault="00A31137" w:rsidP="00A31137">
      <w:r w:rsidRPr="00A31137">
        <w:t>1. Each Party shall eliminate all its intermediate-range missiles and launchers of such missiles, and all support structures and support equipment of the categories listed in the Memorandum of Understanding associated with such missiles and launchers, so that no later than three years after entry into force of this Treaty and thereafter no such missiles, launchers, support structures or support equipment shall be possessed by either Party.</w:t>
      </w:r>
    </w:p>
    <w:p w:rsidR="00A31137" w:rsidRPr="00A31137" w:rsidRDefault="00A31137" w:rsidP="00A31137">
      <w:r w:rsidRPr="00A31137">
        <w:t>Public Papers of Reagan, 1987, p.1458</w:t>
      </w:r>
    </w:p>
    <w:p w:rsidR="00A31137" w:rsidRPr="00A31137" w:rsidRDefault="00A31137" w:rsidP="00A31137">
      <w:r w:rsidRPr="00A31137">
        <w:t>2. To implement paragraph 1 of this Article, upon entry into force of this Treaty, both Parties shall begin and continue throughout the duration of each phase, the reduction of all types of their deployed and non-deployed intermediate-range missiles and deployed and non-deployed launchers of such missiles and support structures and support equipment associated with such missiles and launchers in accordance with the provisions of this Treaty. These reductions shall be implemented in two phases so that:</w:t>
      </w:r>
    </w:p>
    <w:p w:rsidR="00A31137" w:rsidRPr="00A31137" w:rsidRDefault="00A31137" w:rsidP="00A31137">
      <w:r w:rsidRPr="00A31137">
        <w:t>Public Papers of Reagan, 1987, p.1458</w:t>
      </w:r>
    </w:p>
    <w:p w:rsidR="00A31137" w:rsidRPr="00A31137" w:rsidRDefault="00A31137" w:rsidP="00A31137">
      <w:r w:rsidRPr="00A31137">
        <w:t>(a) by the end of the first phase, that is, no later than 29 months after entry into force of this Treaty:</w:t>
      </w:r>
    </w:p>
    <w:p w:rsidR="00A31137" w:rsidRPr="00A31137" w:rsidRDefault="00A31137" w:rsidP="00A31137">
      <w:r w:rsidRPr="00A31137">
        <w:tab/>
        <w:t>(i) the number of deployed launchers of intermediate-range missiles for each Party shall not exceed the number of launchers that are capable of carrying or containing at one time missiles considered by the Parties to carry 171 warheads;</w:t>
      </w:r>
    </w:p>
    <w:p w:rsidR="00A31137" w:rsidRPr="00A31137" w:rsidRDefault="00A31137" w:rsidP="00A31137">
      <w:r w:rsidRPr="00A31137">
        <w:tab/>
        <w:t>(ii) the number of deployed intermediate-range missiles for each Party shall not exceed the number of such missiles considered by the Parties to carry 180 warheads;</w:t>
      </w:r>
    </w:p>
    <w:p w:rsidR="00A31137" w:rsidRPr="00A31137" w:rsidRDefault="00A31137" w:rsidP="00A31137">
      <w:r w:rsidRPr="00A31137">
        <w:t>Public Papers of Reagan, 1987, p.1458</w:t>
      </w:r>
    </w:p>
    <w:p w:rsidR="00A31137" w:rsidRPr="00A31137" w:rsidRDefault="00A31137" w:rsidP="00A31137">
      <w:r w:rsidRPr="00A31137">
        <w:t>(iii) the aggregate number of deployed and non-deployed launchers of intermediate-range missiles for each Party shall not exceed the number of launchers that are capable of carrying or containing at one time missiles considered by the Parties to carry 200 warheads;</w:t>
      </w:r>
    </w:p>
    <w:p w:rsidR="00A31137" w:rsidRPr="00A31137" w:rsidRDefault="00A31137" w:rsidP="00A31137">
      <w:r w:rsidRPr="00A31137">
        <w:tab/>
        <w:t>(iv) the aggregate number of deployed and non-deployed intermediate-range missiles for each Party shall not exceed the number of such missiles considered by the Parties to carry 200 warheads; and</w:t>
      </w:r>
    </w:p>
    <w:p w:rsidR="00A31137" w:rsidRPr="00A31137" w:rsidRDefault="00A31137" w:rsidP="00A31137">
      <w:r w:rsidRPr="00A31137">
        <w:t>Public Papers of Reagan, 1987, p.1458–p.1459</w:t>
      </w:r>
    </w:p>
    <w:p w:rsidR="00A31137" w:rsidRPr="00A31137" w:rsidRDefault="00A31137" w:rsidP="00A31137">
      <w:r w:rsidRPr="00A31137">
        <w:t>(v) the ratio of the aggregate number of deployed and non-deployed intermediate-range GLBMs of existing types for each Party to the aggregate number of deployed and non-deployed intermediate-range missiles of existing types possessed by that Party shall not exceed the ratio of such intermediate-range GLBMs to such intermediate-range missiles for that Party as of November 1, 1987, as set [p.1459] forth in the Memorandum of Understanding; and</w:t>
      </w:r>
    </w:p>
    <w:p w:rsidR="00A31137" w:rsidRPr="00A31137" w:rsidRDefault="00A31137" w:rsidP="00A31137">
      <w:r w:rsidRPr="00A31137">
        <w:t>Public Papers of Reagan, 1987, p.1459</w:t>
      </w:r>
    </w:p>
    <w:p w:rsidR="00A31137" w:rsidRPr="00A31137" w:rsidRDefault="00A31137" w:rsidP="00A31137">
      <w:r w:rsidRPr="00A31137">
        <w:t>(b) by the end of the second phase, that is, no later than three years after entry into force of this Treaty, all intermediate-range missiles of each Party, launchers of such missiles and all support structures and support equipment of the categories listed in the Memorandum of Understanding associated with such missiles and launchers, shall be eliminated.</w:t>
      </w:r>
    </w:p>
    <w:p w:rsidR="00A31137" w:rsidRPr="00A31137" w:rsidRDefault="00A31137" w:rsidP="00A31137">
      <w:r w:rsidRPr="00A31137">
        <w:t>ARTICLE V</w:t>
      </w:r>
    </w:p>
    <w:p w:rsidR="00A31137" w:rsidRPr="00A31137" w:rsidRDefault="00A31137" w:rsidP="00A31137">
      <w:r w:rsidRPr="00A31137">
        <w:t>Public Papers of Reagan, 1987, p.1459</w:t>
      </w:r>
    </w:p>
    <w:p w:rsidR="00A31137" w:rsidRPr="00A31137" w:rsidRDefault="00A31137" w:rsidP="00A31137">
      <w:r w:rsidRPr="00A31137">
        <w:t>1. Each Party shall eliminate all its shorter-range missiles and launchers of such missiles, and all support equipment of the categories listed in the Memorandum of Understanding associated with such missiles and launchers, so that no later than 18 months after entry into force of this Treaty and thereafter no such missiles, launchers or support equipment shall be possessed by either Party.</w:t>
      </w:r>
    </w:p>
    <w:p w:rsidR="00A31137" w:rsidRPr="00A31137" w:rsidRDefault="00A31137" w:rsidP="00A31137">
      <w:r w:rsidRPr="00A31137">
        <w:t>Public Papers of Reagan, 1987, p.1459</w:t>
      </w:r>
    </w:p>
    <w:p w:rsidR="00A31137" w:rsidRPr="00A31137" w:rsidRDefault="00A31137" w:rsidP="00A31137">
      <w:r w:rsidRPr="00A31137">
        <w:t>2. No later than 90 days after entry into force of this Treaty, each Party shall complete the removal of all its deployed shorter-range missiles and deployed and non-deployed launchers of such missiles to elimination facilities and shall retain them at those locations until they are eliminated in accordance with the procedures set forth in the Protocol on Elimination. No later than 12 months after entry into force of this Treaty, each Party shall complete the removal of all its non-deployed shorter-range missiles to elimination facilities and shall retain them at those locations until they are eliminated in accordance with the procedures set forth in the Protocol on Elimination.</w:t>
      </w:r>
    </w:p>
    <w:p w:rsidR="00A31137" w:rsidRPr="00A31137" w:rsidRDefault="00A31137" w:rsidP="00A31137">
      <w:r w:rsidRPr="00A31137">
        <w:t>Public Papers of Reagan, 1987, p.1459</w:t>
      </w:r>
    </w:p>
    <w:p w:rsidR="00A31137" w:rsidRPr="00A31137" w:rsidRDefault="00A31137" w:rsidP="00A31137">
      <w:r w:rsidRPr="00A31137">
        <w:t>3. Shorter-range missiles and launchers of such missiles shall not be located at the same elimination facility. Such facilities shall be separated by no less than 1000 kilometers.</w:t>
      </w:r>
    </w:p>
    <w:p w:rsidR="00A31137" w:rsidRPr="00A31137" w:rsidRDefault="00A31137" w:rsidP="00A31137">
      <w:r w:rsidRPr="00A31137">
        <w:t>ARTICLE VI</w:t>
      </w:r>
    </w:p>
    <w:p w:rsidR="00A31137" w:rsidRPr="00A31137" w:rsidRDefault="00A31137" w:rsidP="00A31137">
      <w:r w:rsidRPr="00A31137">
        <w:t>Public Papers of Reagan, 1987, p.1459</w:t>
      </w:r>
    </w:p>
    <w:p w:rsidR="00A31137" w:rsidRPr="00A31137" w:rsidRDefault="00A31137" w:rsidP="00A31137">
      <w:r w:rsidRPr="00A31137">
        <w:t>1. Upon entry into force of this Treaty and thereafter, neither Party shall:</w:t>
      </w:r>
    </w:p>
    <w:p w:rsidR="00A31137" w:rsidRPr="00A31137" w:rsidRDefault="00A31137" w:rsidP="00A31137">
      <w:r w:rsidRPr="00A31137">
        <w:tab/>
        <w:t>(a) produce or flight-test any intermediate-range missiles or produce any stages of such missiles or any launchers of such missiles; or</w:t>
      </w:r>
    </w:p>
    <w:p w:rsidR="00A31137" w:rsidRPr="00A31137" w:rsidRDefault="00A31137" w:rsidP="00A31137">
      <w:r w:rsidRPr="00A31137">
        <w:tab/>
        <w:t>(b) produce, flight-test or launch any shorter-range missiles or produce any stages of such missiles or any launchers of such missiles.</w:t>
      </w:r>
    </w:p>
    <w:p w:rsidR="00A31137" w:rsidRPr="00A31137" w:rsidRDefault="00A31137" w:rsidP="00A31137">
      <w:r w:rsidRPr="00A31137">
        <w:t>Public Papers of Reagan, 1987, p.1459</w:t>
      </w:r>
    </w:p>
    <w:p w:rsidR="00A31137" w:rsidRPr="00A31137" w:rsidRDefault="00A31137" w:rsidP="00A31137">
      <w:r w:rsidRPr="00A31137">
        <w:t>2. Notwithstanding paragraph 1 of this Article, each Party shall have the right to produce a type of GLBM not limited by this Treaty which uses a stage which is outwardly similar to, but not interchangeable with, a stage of an existing type of intermediaterange GLBM having more than one stage, providing that that Party does not produce any other stage which is outwardly similar to, but not interchangeable with, any other stage of an existing type of intermediaterange GLBM.</w:t>
      </w:r>
    </w:p>
    <w:p w:rsidR="00A31137" w:rsidRPr="00A31137" w:rsidRDefault="00A31137" w:rsidP="00A31137">
      <w:r w:rsidRPr="00A31137">
        <w:t>ARTICLE VII</w:t>
      </w:r>
    </w:p>
    <w:p w:rsidR="00A31137" w:rsidRPr="00A31137" w:rsidRDefault="00A31137" w:rsidP="00A31137">
      <w:r w:rsidRPr="00A31137">
        <w:t>Public Papers of Reagan, 1987, p.1459</w:t>
      </w:r>
    </w:p>
    <w:p w:rsidR="00A31137" w:rsidRPr="00A31137" w:rsidRDefault="00A31137" w:rsidP="00A31137">
      <w:r w:rsidRPr="00A31137">
        <w:t>For the purposes of this Treaty:</w:t>
      </w:r>
    </w:p>
    <w:p w:rsidR="00A31137" w:rsidRPr="00A31137" w:rsidRDefault="00A31137" w:rsidP="00A31137">
      <w:r w:rsidRPr="00A31137">
        <w:t>Public Papers of Reagan, 1987, p.1459</w:t>
      </w:r>
    </w:p>
    <w:p w:rsidR="00A31137" w:rsidRPr="00A31137" w:rsidRDefault="00A31137" w:rsidP="00A31137">
      <w:r w:rsidRPr="00A31137">
        <w:t>1. If a ballistic missile or a cruise missile has been flight-tested or deployed for weapon delivery, all missiles of that type shall be considered to be weapon-delivery vehicles.</w:t>
      </w:r>
    </w:p>
    <w:p w:rsidR="00A31137" w:rsidRPr="00A31137" w:rsidRDefault="00A31137" w:rsidP="00A31137">
      <w:r w:rsidRPr="00A31137">
        <w:t>Public Papers of Reagan, 1987, p.1459</w:t>
      </w:r>
    </w:p>
    <w:p w:rsidR="00A31137" w:rsidRPr="00A31137" w:rsidRDefault="00A31137" w:rsidP="00A31137">
      <w:r w:rsidRPr="00A31137">
        <w:t>2. If a GLBM or GLCM is an intermediate-range missile, all GLBMs or GLCMs of that type shall be considered to be intermediate-range missiles. If a GLBM or GLCM is a shorter-range missile, all GLBMs or GLCMs of that type shall be considered to be shorter-range missiles.</w:t>
      </w:r>
    </w:p>
    <w:p w:rsidR="00A31137" w:rsidRPr="00A31137" w:rsidRDefault="00A31137" w:rsidP="00A31137">
      <w:r w:rsidRPr="00A31137">
        <w:t>Public Papers of Reagan, 1987, p.1459</w:t>
      </w:r>
    </w:p>
    <w:p w:rsidR="00A31137" w:rsidRPr="00A31137" w:rsidRDefault="00A31137" w:rsidP="00A31137">
      <w:r w:rsidRPr="00A31137">
        <w:t>3. If a GLBM is of a type developed and tested solely to intercept and counter objects not located on the surface of the earth, it shall not be considered to be a missile to which the limitations of this Treaty apply.</w:t>
      </w:r>
    </w:p>
    <w:p w:rsidR="00A31137" w:rsidRPr="00A31137" w:rsidRDefault="00A31137" w:rsidP="00A31137">
      <w:r w:rsidRPr="00A31137">
        <w:t>Public Papers of Reagan, 1987, p.1459–p.1460</w:t>
      </w:r>
    </w:p>
    <w:p w:rsidR="00A31137" w:rsidRPr="00A31137" w:rsidRDefault="00A31137" w:rsidP="00A31137">
      <w:r w:rsidRPr="00A31137">
        <w:t>4. The range capability of a GLBM not listed in Article Ill of this Treaty shall be considered to be the maximum range to which it has been tested. The range capability of a GLCM not listed in Article III of this Treaty shall be considered to be the maximum distance which can be covered by the missile in its standard design mode flying until fuel exhaustion, determined by projecting its flight path onto the earth's sphere from the point of launch to the point of impact. GLBMs or GLCMs that have a range capability equal to or in excess of 500 kilometers but not in excess of 1000 kilometers shall be considered to be shorter-range missiles. GLBMs or GLCMs that have a range capability in excess of 1000 [p.1460] kilometers but not in excess of 500 kilometers shall be considered to be intermediaterange missiles.</w:t>
      </w:r>
    </w:p>
    <w:p w:rsidR="00A31137" w:rsidRPr="00A31137" w:rsidRDefault="00A31137" w:rsidP="00A31137">
      <w:r w:rsidRPr="00A31137">
        <w:t>Public Papers of Reagan, 1987, p.1460</w:t>
      </w:r>
    </w:p>
    <w:p w:rsidR="00A31137" w:rsidRPr="00A31137" w:rsidRDefault="00A31137" w:rsidP="00A31137">
      <w:r w:rsidRPr="00A31137">
        <w:t>5. The maximum number of warheads an existing type of intermediate-range missile or shorter-range missile carries shall be considered to be the number listed for missiles of that type in the Memorandum of Understanding.</w:t>
      </w:r>
    </w:p>
    <w:p w:rsidR="00A31137" w:rsidRPr="00A31137" w:rsidRDefault="00A31137" w:rsidP="00A31137">
      <w:r w:rsidRPr="00A31137">
        <w:t>Public Papers of Reagan, 1987, p.1460</w:t>
      </w:r>
    </w:p>
    <w:p w:rsidR="00A31137" w:rsidRPr="00A31137" w:rsidRDefault="00A31137" w:rsidP="00A31137">
      <w:r w:rsidRPr="00A31137">
        <w:t>6. Each GLBM or GLCM shall be considered to carry the maximum number of warheads listed for a GLBM or GLCM of that type in the Memorandum of Understanding.</w:t>
      </w:r>
    </w:p>
    <w:p w:rsidR="00A31137" w:rsidRPr="00A31137" w:rsidRDefault="00A31137" w:rsidP="00A31137">
      <w:r w:rsidRPr="00A31137">
        <w:t>Public Papers of Reagan, 1987, p.1460</w:t>
      </w:r>
    </w:p>
    <w:p w:rsidR="00A31137" w:rsidRPr="00A31137" w:rsidRDefault="00A31137" w:rsidP="00A31137">
      <w:r w:rsidRPr="00A31137">
        <w:t>7. If a launcher has been tested for launching a GLBM or a GLCM, all launchers of that type shall be considered to have been tested for launching GLBMs or GLCMs.</w:t>
      </w:r>
    </w:p>
    <w:p w:rsidR="00A31137" w:rsidRPr="00A31137" w:rsidRDefault="00A31137" w:rsidP="00A31137">
      <w:r w:rsidRPr="00A31137">
        <w:t>Public Papers of Reagan, 1987, p.1460</w:t>
      </w:r>
    </w:p>
    <w:p w:rsidR="00A31137" w:rsidRPr="00A31137" w:rsidRDefault="00A31137" w:rsidP="00A31137">
      <w:r w:rsidRPr="00A31137">
        <w:t>8. If a launcher has contained or launched a particular type of GLBM or GLCM, all launchers of that type shall be considered to be launchers of that type of GLBM or GLCM.</w:t>
      </w:r>
    </w:p>
    <w:p w:rsidR="00A31137" w:rsidRPr="00A31137" w:rsidRDefault="00A31137" w:rsidP="00A31137">
      <w:r w:rsidRPr="00A31137">
        <w:t>Public Papers of Reagan, 1987, p.1460</w:t>
      </w:r>
    </w:p>
    <w:p w:rsidR="00A31137" w:rsidRPr="00A31137" w:rsidRDefault="00A31137" w:rsidP="00A31137">
      <w:r w:rsidRPr="00A31137">
        <w:t>9. The number of missiles each launcher of an existing type of intermediate-range missile or shorter-range missile shall be considered to be capable of carrying or containing at one time is the number listed for launchers of missiles of that type in the Memorandum of Understanding.</w:t>
      </w:r>
    </w:p>
    <w:p w:rsidR="00A31137" w:rsidRPr="00A31137" w:rsidRDefault="00A31137" w:rsidP="00A31137">
      <w:r w:rsidRPr="00A31137">
        <w:t>Public Papers of Reagan, 1987, p.1460</w:t>
      </w:r>
    </w:p>
    <w:p w:rsidR="00A31137" w:rsidRPr="00A31137" w:rsidRDefault="00A31137" w:rsidP="00A31137">
      <w:r w:rsidRPr="00A31137">
        <w:t>10. Except in the case of elimination in accordance with the procedures set forth in the Protocol on Elimination, the following shall apply:</w:t>
      </w:r>
    </w:p>
    <w:p w:rsidR="00A31137" w:rsidRPr="00A31137" w:rsidRDefault="00A31137" w:rsidP="00A31137">
      <w:r w:rsidRPr="00A31137">
        <w:tab/>
        <w:t>(a) for GLBMs which are stored or moved in separate stages, the longest stage of an intermediate-range or shorter-range GLBM shall be counted as a complete missile;</w:t>
      </w:r>
    </w:p>
    <w:p w:rsidR="00A31137" w:rsidRPr="00A31137" w:rsidRDefault="00A31137" w:rsidP="00A31137">
      <w:r w:rsidRPr="00A31137">
        <w:tab/>
        <w:t>(b) for GLBMs which are not stored or moved in separate stages, a canister of the type used in the launch of an intermediate-range GLBM, unless a Party proves to the satisfaction of the other Party that it does not contain such a missile, or an assembled intermediaterange or shorter-range GLBM, shall be counted as a complete missile; and</w:t>
      </w:r>
    </w:p>
    <w:p w:rsidR="00A31137" w:rsidRPr="00A31137" w:rsidRDefault="00A31137" w:rsidP="00A31137">
      <w:r w:rsidRPr="00A31137">
        <w:tab/>
        <w:t>(c) for GLCMs, the airframe of an intermediate-range or shorter-range GLCM shall be counted as a complete missile.</w:t>
      </w:r>
    </w:p>
    <w:p w:rsidR="00A31137" w:rsidRPr="00A31137" w:rsidRDefault="00A31137" w:rsidP="00A31137">
      <w:r w:rsidRPr="00A31137">
        <w:t>Public Papers of Reagan, 1987, p.1460</w:t>
      </w:r>
    </w:p>
    <w:p w:rsidR="00A31137" w:rsidRPr="00A31137" w:rsidRDefault="00A31137" w:rsidP="00A31137">
      <w:r w:rsidRPr="00A31137">
        <w:t>11. A ballistic missile which is not a missile to be used in a ground-based mode shall not be considered to be a GLBM if it is testlaunched at a test site from a fixed landbased launcher which is used solely for test purposes and which is distinguishable from GLBM launchers. A cruise missile which is not a missile to be used in a ground-based mode shall not be considered to be a GLCM if it is test-launched at a test site from a fixed land-based launcher which is used solely for test purposes and which is distinguishable from GLCM launchers.</w:t>
      </w:r>
    </w:p>
    <w:p w:rsidR="00A31137" w:rsidRPr="00A31137" w:rsidRDefault="00A31137" w:rsidP="00A31137">
      <w:r w:rsidRPr="00A31137">
        <w:t>Public Papers of Reagan, 1987, p.1460</w:t>
      </w:r>
    </w:p>
    <w:p w:rsidR="00A31137" w:rsidRPr="00A31137" w:rsidRDefault="00A31137" w:rsidP="00A31137">
      <w:r w:rsidRPr="00A31137">
        <w:t>12. Each Party shall have the right to produce and use for booster systems, which might otherwise be considered to be intermediate-range or shorter-range missiles, only existing types of booster stages for such booster systems. Launches of such booster systems shall not be considered to be flight-testing of intermediate-range or shorter-range missiles provided that:</w:t>
      </w:r>
    </w:p>
    <w:p w:rsidR="00A31137" w:rsidRPr="00A31137" w:rsidRDefault="00A31137" w:rsidP="00A31137">
      <w:r w:rsidRPr="00A31137">
        <w:t>Public Papers of Reagan, 1987, p.1460</w:t>
      </w:r>
    </w:p>
    <w:p w:rsidR="00A31137" w:rsidRPr="00A31137" w:rsidRDefault="00A31137" w:rsidP="00A31137">
      <w:r w:rsidRPr="00A31137">
        <w:t>(a) stages used in such booster systems are different from stages used in those missiles listed as existing types of intermediate-range or shorter-range missiles in Article III of this Treaty;</w:t>
      </w:r>
    </w:p>
    <w:p w:rsidR="00A31137" w:rsidRPr="00A31137" w:rsidRDefault="00A31137" w:rsidP="00A31137">
      <w:r w:rsidRPr="00A31137">
        <w:t>Public Papers of Reagan, 1987, p.1460</w:t>
      </w:r>
    </w:p>
    <w:p w:rsidR="00A31137" w:rsidRPr="00A31137" w:rsidRDefault="00A31137" w:rsidP="00A31137">
      <w:r w:rsidRPr="00A31137">
        <w:t>(b) such booster systems are used only for research and development purposes to test objects other than the booster systems themselves;</w:t>
      </w:r>
    </w:p>
    <w:p w:rsidR="00A31137" w:rsidRPr="00A31137" w:rsidRDefault="00A31137" w:rsidP="00A31137">
      <w:r w:rsidRPr="00A31137">
        <w:t>Public Papers of Reagan, 1987, p.1460</w:t>
      </w:r>
    </w:p>
    <w:p w:rsidR="00A31137" w:rsidRPr="00A31137" w:rsidRDefault="00A31137" w:rsidP="00A31137">
      <w:r w:rsidRPr="00A31137">
        <w:t>(c) the aggregate number of launchers for such booster systems shall not exceed 35 for each Party at any one time; and</w:t>
      </w:r>
    </w:p>
    <w:p w:rsidR="00A31137" w:rsidRPr="00A31137" w:rsidRDefault="00A31137" w:rsidP="00A31137">
      <w:r w:rsidRPr="00A31137">
        <w:t>Public Papers of Reagan, 1987, p.1460</w:t>
      </w:r>
    </w:p>
    <w:p w:rsidR="00A31137" w:rsidRPr="00A31137" w:rsidRDefault="00A31137" w:rsidP="00A31137">
      <w:r w:rsidRPr="00A31137">
        <w:t>(d) the launchers for such booster systems are fixed, emplaced above ground and located only at research and development launch sites which are specified in the Memorandum of Understanding. Research and development launch sites shall not be subject to inspection pursuant to Article XI of this Treaty.</w:t>
      </w:r>
    </w:p>
    <w:p w:rsidR="00A31137" w:rsidRPr="00A31137" w:rsidRDefault="00A31137" w:rsidP="00A31137">
      <w:r w:rsidRPr="00A31137">
        <w:t>ARTICLE VIII</w:t>
      </w:r>
    </w:p>
    <w:p w:rsidR="00A31137" w:rsidRPr="00A31137" w:rsidRDefault="00A31137" w:rsidP="00A31137">
      <w:r w:rsidRPr="00A31137">
        <w:t>Public Papers of Reagan, 1987, p.1460</w:t>
      </w:r>
    </w:p>
    <w:p w:rsidR="00A31137" w:rsidRPr="00A31137" w:rsidRDefault="00A31137" w:rsidP="00A31137">
      <w:r w:rsidRPr="00A31137">
        <w:t>1. All intermediate-range missiles and launchers of such missiles shall be located in deployment areas, at missile support facilities or shall be in transit. Intermediate-range missiles or launchers of such missiles shall not be located elsewhere.</w:t>
      </w:r>
    </w:p>
    <w:p w:rsidR="00A31137" w:rsidRPr="00A31137" w:rsidRDefault="00A31137" w:rsidP="00A31137">
      <w:r w:rsidRPr="00A31137">
        <w:t>Public Papers of Reagan, 1987, p.1460–p.1461</w:t>
      </w:r>
    </w:p>
    <w:p w:rsidR="00A31137" w:rsidRPr="00A31137" w:rsidRDefault="00A31137" w:rsidP="00A31137">
      <w:r w:rsidRPr="00A31137">
        <w:t>2. Stages of intermediate-range missiles shall be located in deployment areas, at missile support facilities or moving between deployment areas, between missile support facilities or between missile support facilities [p.1461] and deployment areas.</w:t>
      </w:r>
    </w:p>
    <w:p w:rsidR="00A31137" w:rsidRPr="00A31137" w:rsidRDefault="00A31137" w:rsidP="00A31137">
      <w:r w:rsidRPr="00A31137">
        <w:t>Public Papers of Reagan, 1987, p.1461</w:t>
      </w:r>
    </w:p>
    <w:p w:rsidR="00A31137" w:rsidRPr="00A31137" w:rsidRDefault="00A31137" w:rsidP="00A31137">
      <w:r w:rsidRPr="00A31137">
        <w:t>3. Until their removal to elimination facilities as required by paragraph 2 of Article V of this Treaty, all shorter-range missiles and launchers of such missiles shall be located at missile operating bases, at missile support facilities or shall be in transit. Shorter-range missiles or launchers of such missiles shall not be located elsewhere.</w:t>
      </w:r>
    </w:p>
    <w:p w:rsidR="00A31137" w:rsidRPr="00A31137" w:rsidRDefault="00A31137" w:rsidP="00A31137">
      <w:r w:rsidRPr="00A31137">
        <w:t>Public Papers of Reagan, 1987, p.1461</w:t>
      </w:r>
    </w:p>
    <w:p w:rsidR="00A31137" w:rsidRPr="00A31137" w:rsidRDefault="00A31137" w:rsidP="00A31137">
      <w:r w:rsidRPr="00A31137">
        <w:t>4. Transit of a missile or launcher subject to the provisions of this Treaty shall be completed within 25 days.</w:t>
      </w:r>
    </w:p>
    <w:p w:rsidR="00A31137" w:rsidRPr="00A31137" w:rsidRDefault="00A31137" w:rsidP="00A31137">
      <w:r w:rsidRPr="00A31137">
        <w:t>Public Papers of Reagan, 1987, p.1461</w:t>
      </w:r>
    </w:p>
    <w:p w:rsidR="00A31137" w:rsidRPr="00A31137" w:rsidRDefault="00A31137" w:rsidP="00A31137">
      <w:r w:rsidRPr="00A31137">
        <w:t>5. All deployment areas, missile operating bases and missile support facilities are specified in the Memorandum of Understanding or in subsequent updates of data pursuant to paragraphs 3, 5(a) or 5(b) of Article IX of this Treaty. Neither Party shall increase the number of, or change the location or boundaries of, deployment areas, missile operating bases or missile support facilities, except for elimination facilities, from those set forth in the Memorandum of Understanding. A missile support facility shall not be considered to be part of a deployment area even though it may be located within the geographic boundaries of a deployment area.</w:t>
      </w:r>
    </w:p>
    <w:p w:rsidR="00A31137" w:rsidRPr="00A31137" w:rsidRDefault="00A31137" w:rsidP="00A31137">
      <w:r w:rsidRPr="00A31137">
        <w:t>Public Papers of Reagan, 1987, p.1461</w:t>
      </w:r>
    </w:p>
    <w:p w:rsidR="00A31137" w:rsidRPr="00A31137" w:rsidRDefault="00A31137" w:rsidP="00A31137">
      <w:r w:rsidRPr="00A31137">
        <w:t>6. Beginning 30 days after entry into force of this Treaty, neither Party shall locate intermediate-range or shorter-range missiles, including stages of such missiles, or launchers of such missiles at missile production facilities, launcher production facilities or test ranges listed in the Memorandum of Understanding.</w:t>
      </w:r>
    </w:p>
    <w:p w:rsidR="00A31137" w:rsidRPr="00A31137" w:rsidRDefault="00A31137" w:rsidP="00A31137">
      <w:r w:rsidRPr="00A31137">
        <w:t>Public Papers of Reagan, 1987, p.1461</w:t>
      </w:r>
    </w:p>
    <w:p w:rsidR="00A31137" w:rsidRPr="00A31137" w:rsidRDefault="00A31137" w:rsidP="00A31137">
      <w:r w:rsidRPr="00A31137">
        <w:t>7. Neither Party shall locate any intermediate-range or shorter-range missiles at training facilities.</w:t>
      </w:r>
    </w:p>
    <w:p w:rsidR="00A31137" w:rsidRPr="00A31137" w:rsidRDefault="00A31137" w:rsidP="00A31137">
      <w:r w:rsidRPr="00A31137">
        <w:t>Public Papers of Reagan, 1987, p.1461</w:t>
      </w:r>
    </w:p>
    <w:p w:rsidR="00A31137" w:rsidRPr="00A31137" w:rsidRDefault="00A31137" w:rsidP="00A31137">
      <w:r w:rsidRPr="00A31137">
        <w:t>8. A non-deployed intermediate-range or shorter-range missile shall not be carried on or contained within a launcher of such a type of missile, except as required for maintenance conducted at repair facilities or for elimination by means of launching conducted at elimination facilities.</w:t>
      </w:r>
    </w:p>
    <w:p w:rsidR="00A31137" w:rsidRPr="00A31137" w:rsidRDefault="00A31137" w:rsidP="00A31137">
      <w:r w:rsidRPr="00A31137">
        <w:t>Public Papers of Reagan, 1987, p.1461</w:t>
      </w:r>
    </w:p>
    <w:p w:rsidR="00A31137" w:rsidRPr="00A31137" w:rsidRDefault="00A31137" w:rsidP="00A31137">
      <w:r w:rsidRPr="00A31137">
        <w:t>9. Training missiles and training launchers for intermediate-range or shorter-range missiles shall be subject to the same locational restrictions as are set forth for intermediate-range and shorter-range missiles and launchers of such missiles in paragraph 1 and 3 of this Article.</w:t>
      </w:r>
    </w:p>
    <w:p w:rsidR="00A31137" w:rsidRPr="00A31137" w:rsidRDefault="00A31137" w:rsidP="00A31137">
      <w:r w:rsidRPr="00A31137">
        <w:t>ARTICLE IX</w:t>
      </w:r>
    </w:p>
    <w:p w:rsidR="00A31137" w:rsidRPr="00A31137" w:rsidRDefault="00A31137" w:rsidP="00A31137">
      <w:r w:rsidRPr="00A31137">
        <w:t>Public Papers of Reagan, 1987, p.1461</w:t>
      </w:r>
    </w:p>
    <w:p w:rsidR="00A31137" w:rsidRPr="00A31137" w:rsidRDefault="00A31137" w:rsidP="00A31137">
      <w:r w:rsidRPr="00A31137">
        <w:t>1. The Memorandum of Understanding contains categories of data relevant to obligations undertaken with regard to this Treaty and lists all intermediate-range and shorter-range missiles, launchers of such missiles, and support structures and support equipment associated with such missiles and launchers, possessed by the Parties as of November 1, 1987. Updates of that data and notifications required by this Article shall be provided according to the categories of data contained in the Memorandum of Understanding.</w:t>
      </w:r>
    </w:p>
    <w:p w:rsidR="00A31137" w:rsidRPr="00A31137" w:rsidRDefault="00A31137" w:rsidP="00A31137">
      <w:r w:rsidRPr="00A31137">
        <w:t>Public Papers of Reagan, 1987, p.1461</w:t>
      </w:r>
    </w:p>
    <w:p w:rsidR="00A31137" w:rsidRPr="00A31137" w:rsidRDefault="00A31137" w:rsidP="00A31137">
      <w:r w:rsidRPr="00A31137">
        <w:t>2. The Parties shall update that data and provide the notifications required by this Treaty through the Nuclear Risk Reduction Centers, established pursuant to the Agreement Between the United States of America and the Union of Soviet Socialist Republics on the Establishment of Nuclear Risk Reduction Centers of September 15, 1987.</w:t>
      </w:r>
    </w:p>
    <w:p w:rsidR="00A31137" w:rsidRPr="00A31137" w:rsidRDefault="00A31137" w:rsidP="00A31137">
      <w:r w:rsidRPr="00A31137">
        <w:t>Public Papers of Reagan, 1987, p.1461</w:t>
      </w:r>
    </w:p>
    <w:p w:rsidR="00A31137" w:rsidRPr="00A31137" w:rsidRDefault="00A31137" w:rsidP="00A31137">
      <w:r w:rsidRPr="00A31137">
        <w:t>3. No later than 30 days after entry into force of this Treaty, each Party shall provide the other Party with updated data, as of the date of entry into force of this Treaty, for all categories of data contained in the Memorandum of Understanding.</w:t>
      </w:r>
    </w:p>
    <w:p w:rsidR="00A31137" w:rsidRPr="00A31137" w:rsidRDefault="00A31137" w:rsidP="00A31137">
      <w:r w:rsidRPr="00A31137">
        <w:t>Public Papers of Reagan, 1987, p.1461</w:t>
      </w:r>
    </w:p>
    <w:p w:rsidR="00A31137" w:rsidRPr="00A31137" w:rsidRDefault="00A31137" w:rsidP="00A31137">
      <w:r w:rsidRPr="00A31137">
        <w:t>4. No later than 30 days after the end of each six-month interval following the entry into force of this Treaty, each Party shall provide updated data for all categories of data contained in the Memorandum of Understanding by informing the other Party of all changes, completed and in process, in that data, which have occurred during the six-month interval since the preceding data exchange, and the net effect of those changes.</w:t>
      </w:r>
    </w:p>
    <w:p w:rsidR="00A31137" w:rsidRPr="00A31137" w:rsidRDefault="00A31137" w:rsidP="00A31137">
      <w:r w:rsidRPr="00A31137">
        <w:t>Public Papers of Reagan, 1987, p.1461</w:t>
      </w:r>
    </w:p>
    <w:p w:rsidR="00A31137" w:rsidRPr="00A31137" w:rsidRDefault="00A31137" w:rsidP="00A31137">
      <w:r w:rsidRPr="00A31137">
        <w:t>5. Upon entry into force of this Treaty and thereafter, each Party shall provide the following notifications to the other Party:</w:t>
      </w:r>
    </w:p>
    <w:p w:rsidR="00A31137" w:rsidRPr="00A31137" w:rsidRDefault="00A31137" w:rsidP="00A31137">
      <w:r w:rsidRPr="00A31137">
        <w:t>Public Papers of Reagan, 1987, p.1461</w:t>
      </w:r>
    </w:p>
    <w:p w:rsidR="00A31137" w:rsidRPr="00A31137" w:rsidRDefault="00A31137" w:rsidP="00A31137">
      <w:r w:rsidRPr="00A31137">
        <w:t>(a) notification, no less than 30 days in advance, of the scheduled date of the elimination of a specific deployment area, missile operating base or missile support facility;</w:t>
      </w:r>
    </w:p>
    <w:p w:rsidR="00A31137" w:rsidRPr="00A31137" w:rsidRDefault="00A31137" w:rsidP="00A31137">
      <w:r w:rsidRPr="00A31137">
        <w:t>Public Papers of Reagan, 1987, p.1461</w:t>
      </w:r>
    </w:p>
    <w:p w:rsidR="00A31137" w:rsidRPr="00A31137" w:rsidRDefault="00A31137" w:rsidP="00A31137">
      <w:r w:rsidRPr="00A31137">
        <w:t>(b) notification, no less than 30 days in advance, of changes in the number or location of elimination facilities, including the location and scheduled date of each change;</w:t>
      </w:r>
    </w:p>
    <w:p w:rsidR="00A31137" w:rsidRPr="00A31137" w:rsidRDefault="00A31137" w:rsidP="00A31137">
      <w:r w:rsidRPr="00A31137">
        <w:t>Public Papers of Reagan, 1987, p.1461–p.1462</w:t>
      </w:r>
    </w:p>
    <w:p w:rsidR="00A31137" w:rsidRPr="00A31137" w:rsidRDefault="00A31137" w:rsidP="00A31137">
      <w:r w:rsidRPr="00A31137">
        <w:t>(c) notification, except with respect to [p.1462] launches of intermediate-range missiles for the purpose of their elimination, no less than 30 days in advance, of the scheduled date of the initiation of the elimination of intermediate-range and shorter-range missiles, and stages of such missiles, and launchers of such missiles and support structures and support equipment associated with such missiles and launchers, including:</w:t>
      </w:r>
    </w:p>
    <w:p w:rsidR="00A31137" w:rsidRPr="00A31137" w:rsidRDefault="00A31137" w:rsidP="00A31137">
      <w:r w:rsidRPr="00A31137">
        <w:t>Public Papers of Reagan, 1987, p.1462</w:t>
      </w:r>
    </w:p>
    <w:p w:rsidR="00A31137" w:rsidRPr="00A31137" w:rsidRDefault="00A31137" w:rsidP="00A31137">
      <w:r w:rsidRPr="00A31137">
        <w:t>(i) the number and type of items of missile systems to be eliminated;</w:t>
      </w:r>
    </w:p>
    <w:p w:rsidR="00A31137" w:rsidRPr="00A31137" w:rsidRDefault="00A31137" w:rsidP="00A31137">
      <w:r w:rsidRPr="00A31137">
        <w:t>Public Papers of Reagan, 1987, p.1462</w:t>
      </w:r>
    </w:p>
    <w:p w:rsidR="00A31137" w:rsidRPr="00A31137" w:rsidRDefault="00A31137" w:rsidP="00A31137">
      <w:r w:rsidRPr="00A31137">
        <w:t>(ii) the elimination site;</w:t>
      </w:r>
    </w:p>
    <w:p w:rsidR="00A31137" w:rsidRPr="00A31137" w:rsidRDefault="00A31137" w:rsidP="00A31137">
      <w:r w:rsidRPr="00A31137">
        <w:t>Public Papers of Reagan, 1987, p.1462</w:t>
      </w:r>
    </w:p>
    <w:p w:rsidR="00A31137" w:rsidRPr="00A31137" w:rsidRDefault="00A31137" w:rsidP="00A31137">
      <w:r w:rsidRPr="00A31137">
        <w:t>(iii) for intermediate-range missiles, the location from which such missiles, launchers of such missiles and support equipment associated with such missiles and launchers are moved to the elimination facility; and</w:t>
      </w:r>
    </w:p>
    <w:p w:rsidR="00A31137" w:rsidRPr="00A31137" w:rsidRDefault="00A31137" w:rsidP="00A31137">
      <w:r w:rsidRPr="00A31137">
        <w:t>Public Papers of Reagan, 1987, p.1462</w:t>
      </w:r>
    </w:p>
    <w:p w:rsidR="00A31137" w:rsidRPr="00A31137" w:rsidRDefault="00A31137" w:rsidP="00A31137">
      <w:r w:rsidRPr="00A31137">
        <w:t>(iv) except in the case of support structures, the point of entry to be used by an inspection team conducting an inspection pursuant to paragraph 7 of Article XI of this Treaty and the estimated time of departure of an inspection team from the point of entry to the elimination facility;</w:t>
      </w:r>
    </w:p>
    <w:p w:rsidR="00A31137" w:rsidRPr="00A31137" w:rsidRDefault="00A31137" w:rsidP="00A31137">
      <w:r w:rsidRPr="00A31137">
        <w:t>Public Papers of Reagan, 1987, p.1462</w:t>
      </w:r>
    </w:p>
    <w:p w:rsidR="00A31137" w:rsidRPr="00A31137" w:rsidRDefault="00A31137" w:rsidP="00A31137">
      <w:r w:rsidRPr="00A31137">
        <w:t>(d) notification, no less than ten days in advance, of the scheduled date of the launch, or the scheduled date of the initiation of a series of launches, of intermediate-range missiles for the purpose of their elimination, including:</w:t>
      </w:r>
    </w:p>
    <w:p w:rsidR="00A31137" w:rsidRPr="00A31137" w:rsidRDefault="00A31137" w:rsidP="00A31137">
      <w:r w:rsidRPr="00A31137">
        <w:t>Public Papers of Reagan, 1987, p.1462</w:t>
      </w:r>
    </w:p>
    <w:p w:rsidR="00A31137" w:rsidRPr="00A31137" w:rsidRDefault="00A31137" w:rsidP="00A31137">
      <w:r w:rsidRPr="00A31137">
        <w:t>(i) the type of missiles to be eliminated;</w:t>
      </w:r>
    </w:p>
    <w:p w:rsidR="00A31137" w:rsidRPr="00A31137" w:rsidRDefault="00A31137" w:rsidP="00A31137">
      <w:r w:rsidRPr="00A31137">
        <w:t>Public Papers of Reagan, 1987, p.1462</w:t>
      </w:r>
    </w:p>
    <w:p w:rsidR="00A31137" w:rsidRPr="00A31137" w:rsidRDefault="00A31137" w:rsidP="00A31137">
      <w:r w:rsidRPr="00A31137">
        <w:t>(ii) the location of the launch, or, if elimination is by a series of launches, the location of such launches and the number of launches in the series;</w:t>
      </w:r>
    </w:p>
    <w:p w:rsidR="00A31137" w:rsidRPr="00A31137" w:rsidRDefault="00A31137" w:rsidP="00A31137">
      <w:r w:rsidRPr="00A31137">
        <w:t>Public Papers of Reagan, 1987, p.1462</w:t>
      </w:r>
    </w:p>
    <w:p w:rsidR="00A31137" w:rsidRPr="00A31137" w:rsidRDefault="00A31137" w:rsidP="00A31137">
      <w:r w:rsidRPr="00A31137">
        <w:t>(iii) the point of entry to be used by an inspection team conducting an inspection pursuant to paragraph 7 of Article XI of this Treaty; and</w:t>
      </w:r>
    </w:p>
    <w:p w:rsidR="00A31137" w:rsidRPr="00A31137" w:rsidRDefault="00A31137" w:rsidP="00A31137">
      <w:r w:rsidRPr="00A31137">
        <w:t>Public Papers of Reagan, 1987, p.1462</w:t>
      </w:r>
    </w:p>
    <w:p w:rsidR="00A31137" w:rsidRPr="00A31137" w:rsidRDefault="00A31137" w:rsidP="00A31137">
      <w:r w:rsidRPr="00A31137">
        <w:t>(iv) the estimated time of departure of an inspection team from the point of entry to the elimination facility;</w:t>
      </w:r>
    </w:p>
    <w:p w:rsidR="00A31137" w:rsidRPr="00A31137" w:rsidRDefault="00A31137" w:rsidP="00A31137">
      <w:r w:rsidRPr="00A31137">
        <w:t>Public Papers of Reagan, 1987, p.1462</w:t>
      </w:r>
    </w:p>
    <w:p w:rsidR="00A31137" w:rsidRPr="00A31137" w:rsidRDefault="00A31137" w:rsidP="00A31137">
      <w:r w:rsidRPr="00A31137">
        <w:t>(e) notification, no later than 48 hours after they occur, of changes in the number of intermediate-range and shorter-range missiles, launchers of such missiles and support structures and support equipment associated with such missiles and launchers resulting from elimination as described in the Protocol on Elimination, including:</w:t>
      </w:r>
    </w:p>
    <w:p w:rsidR="00A31137" w:rsidRPr="00A31137" w:rsidRDefault="00A31137" w:rsidP="00A31137">
      <w:r w:rsidRPr="00A31137">
        <w:tab/>
        <w:t>(i) the number and type of items of a missile system which were eliminated; and</w:t>
      </w:r>
    </w:p>
    <w:p w:rsidR="00A31137" w:rsidRPr="00A31137" w:rsidRDefault="00A31137" w:rsidP="00A31137">
      <w:r w:rsidRPr="00A31137">
        <w:tab/>
        <w:t>(ii) the date and location of such elimination; and</w:t>
      </w:r>
    </w:p>
    <w:p w:rsidR="00A31137" w:rsidRPr="00A31137" w:rsidRDefault="00A31137" w:rsidP="00A31137">
      <w:r w:rsidRPr="00A31137">
        <w:t>Public Papers of Reagan, 1987, p.1462</w:t>
      </w:r>
    </w:p>
    <w:p w:rsidR="00A31137" w:rsidRPr="00A31137" w:rsidRDefault="00A31137" w:rsidP="00A31137">
      <w:r w:rsidRPr="00A31137">
        <w:t>(f) notification of transit of Intermediate-range or shorter-range missiles or launchers of such missiles, or the movement of training missiles or training launchers for such intermediate-range and shorter-range missiles, no later than 48 hours after it has been completed, including:</w:t>
      </w:r>
    </w:p>
    <w:p w:rsidR="00A31137" w:rsidRPr="00A31137" w:rsidRDefault="00A31137" w:rsidP="00A31137">
      <w:r w:rsidRPr="00A31137">
        <w:tab/>
        <w:t>(i) the number of missiles or launchers;</w:t>
      </w:r>
    </w:p>
    <w:p w:rsidR="00A31137" w:rsidRPr="00A31137" w:rsidRDefault="00A31137" w:rsidP="00A31137">
      <w:r w:rsidRPr="00A31137">
        <w:tab/>
        <w:t>(ii) the points, dates and times of departure and arrival;</w:t>
      </w:r>
    </w:p>
    <w:p w:rsidR="00A31137" w:rsidRPr="00A31137" w:rsidRDefault="00A31137" w:rsidP="00A31137">
      <w:r w:rsidRPr="00A31137">
        <w:tab/>
        <w:t>(iii) the mode of transport; and</w:t>
      </w:r>
    </w:p>
    <w:p w:rsidR="00A31137" w:rsidRPr="00A31137" w:rsidRDefault="00A31137" w:rsidP="00A31137">
      <w:r w:rsidRPr="00A31137">
        <w:tab/>
        <w:t>(iv) the location and time at that location at least once every four days during the period of transit.</w:t>
      </w:r>
    </w:p>
    <w:p w:rsidR="00A31137" w:rsidRPr="00A31137" w:rsidRDefault="00A31137" w:rsidP="00A31137">
      <w:r w:rsidRPr="00A31137">
        <w:t>Public Papers of Reagan, 1987, p.1462</w:t>
      </w:r>
    </w:p>
    <w:p w:rsidR="00A31137" w:rsidRPr="00A31137" w:rsidRDefault="00A31137" w:rsidP="00A31137">
      <w:r w:rsidRPr="00A31137">
        <w:t>6. Upon entry into force of this Treaty and thereafter, each Party shall notify the other Party, no less than ten days in advance, of the scheduled date and location of the launch of a research and development booster system as described in paragraph 12 of Article VII of this Treaty.</w:t>
      </w:r>
    </w:p>
    <w:p w:rsidR="00A31137" w:rsidRPr="00A31137" w:rsidRDefault="00A31137" w:rsidP="00A31137">
      <w:r w:rsidRPr="00A31137">
        <w:t>ARTICLE X</w:t>
      </w:r>
    </w:p>
    <w:p w:rsidR="00A31137" w:rsidRPr="00A31137" w:rsidRDefault="00A31137" w:rsidP="00A31137">
      <w:r w:rsidRPr="00A31137">
        <w:t>Public Papers of Reagan, 1987, p.1462</w:t>
      </w:r>
    </w:p>
    <w:p w:rsidR="00A31137" w:rsidRPr="00A31137" w:rsidRDefault="00A31137" w:rsidP="00A31137">
      <w:r w:rsidRPr="00A31137">
        <w:t>1. Each Party shall eliminate its intermediate-range and shorter-range missiles and launchers of such missiles and support structures and support equipment associated with such missiles and launchers in accordance with the procedures set forth in the Protocol on Elimination.</w:t>
      </w:r>
    </w:p>
    <w:p w:rsidR="00A31137" w:rsidRPr="00A31137" w:rsidRDefault="00A31137" w:rsidP="00A31137">
      <w:r w:rsidRPr="00A31137">
        <w:t>Public Papers of Reagan, 1987, p.1462</w:t>
      </w:r>
    </w:p>
    <w:p w:rsidR="00A31137" w:rsidRPr="00A31137" w:rsidRDefault="00A31137" w:rsidP="00A31137">
      <w:r w:rsidRPr="00A31137">
        <w:t>2. Verification by on-site inspection of the elimination of items of missile systems specified in the Protocol on Elimination shall be carried out in accordance with Article XI of this Treaty, the Protocol on Elimination and the Protocol on Inspection.</w:t>
      </w:r>
    </w:p>
    <w:p w:rsidR="00A31137" w:rsidRPr="00A31137" w:rsidRDefault="00A31137" w:rsidP="00A31137">
      <w:r w:rsidRPr="00A31137">
        <w:t>Public Papers of Reagan, 1987, p.1462–p.1463</w:t>
      </w:r>
    </w:p>
    <w:p w:rsidR="00A31137" w:rsidRPr="00A31137" w:rsidRDefault="00A31137" w:rsidP="00A31137">
      <w:r w:rsidRPr="00A31137">
        <w:t>3. When a Party removes its intermediate-range missiles, launchers of such missiles and support equipment associated with such missiles and launchers from deployment areas to elimination facilities for the purpose of their elimination, it shall do so in complete deployed organizational units. For the United States of America, these units shall be Pershing II batteries and BGM109G flights. For the Union of Soviet Socialist Republics, these units shall be SS-20 [p.1463] regiments composed of two or three battalions.</w:t>
      </w:r>
    </w:p>
    <w:p w:rsidR="00A31137" w:rsidRPr="00A31137" w:rsidRDefault="00A31137" w:rsidP="00A31137">
      <w:r w:rsidRPr="00A31137">
        <w:t>Public Papers of Reagan, 1987, p.1463</w:t>
      </w:r>
    </w:p>
    <w:p w:rsidR="00A31137" w:rsidRPr="00A31137" w:rsidRDefault="00A31137" w:rsidP="00A31137">
      <w:r w:rsidRPr="00A31137">
        <w:t>4. Elimination of intermediate-range and shorter-range missiles and launchers of such missiles and support equipment associated with such missiles and launchers shall be carried out at the facilities that are specified in the Memorandum of Understanding or notified in accordance with paragraph 5(b) of Article IX of this Treaty, unless eliminated in accordance with Sections IV or V of the Protocol on Elimination. Support structures, associated with the missiles and launchers subject to this Treaty, that are subject to elimination shall be eliminated in situ.</w:t>
      </w:r>
    </w:p>
    <w:p w:rsidR="00A31137" w:rsidRPr="00A31137" w:rsidRDefault="00A31137" w:rsidP="00A31137">
      <w:r w:rsidRPr="00A31137">
        <w:t>Public Papers of Reagan, 1987, p.1463</w:t>
      </w:r>
    </w:p>
    <w:p w:rsidR="00A31137" w:rsidRPr="00A31137" w:rsidRDefault="00A31137" w:rsidP="00A31137">
      <w:r w:rsidRPr="00A31137">
        <w:t>5. Each Party shall have the right, during the first six months after entry into force of this Treaty, to eliminate by means of launching no more than 100 of its intermediate-range missiles.</w:t>
      </w:r>
    </w:p>
    <w:p w:rsidR="00A31137" w:rsidRPr="00A31137" w:rsidRDefault="00A31137" w:rsidP="00A31137">
      <w:r w:rsidRPr="00A31137">
        <w:t>Public Papers of Reagan, 1987, p.1463</w:t>
      </w:r>
    </w:p>
    <w:p w:rsidR="00A31137" w:rsidRPr="00A31137" w:rsidRDefault="00A31137" w:rsidP="00A31137">
      <w:r w:rsidRPr="00A31137">
        <w:t>6. Intermediate-range and shorter-range missiles which have been tested prior to entry into force of this Treaty, but never deployed, and which are not existing types of intermediate-range or shorter-range missiles listed in Article III of this Treaty, and launchers of such missiles, shall be eliminated within six months after entry into force of this Treaty in accordance with the procedures set forth in the Protocol on Elimination. Such missiles are:</w:t>
      </w:r>
    </w:p>
    <w:p w:rsidR="00A31137" w:rsidRPr="00A31137" w:rsidRDefault="00A31137" w:rsidP="00A31137">
      <w:r w:rsidRPr="00A31137">
        <w:t>Public Papers of Reagan, 1987, p.1463</w:t>
      </w:r>
    </w:p>
    <w:p w:rsidR="00A31137" w:rsidRPr="00A31137" w:rsidRDefault="00A31137" w:rsidP="00A31137">
      <w:r w:rsidRPr="00A31137">
        <w:t>(a) for the United States of America, missiles of the type designated by the United States of America as the Pershing IB, which is known to the Union of Soviet Socialist Republics by the same designation; and</w:t>
      </w:r>
    </w:p>
    <w:p w:rsidR="00A31137" w:rsidRPr="00A31137" w:rsidRDefault="00A31137" w:rsidP="00A31137">
      <w:r w:rsidRPr="00A31137">
        <w:tab/>
        <w:t>(b) for the Union of Soviet Socialist Republics, missiles of the type designated by the Union of Soviet Socialist Republics as the RK-55, which is known to the United States of America as the SSC-X-4.</w:t>
      </w:r>
    </w:p>
    <w:p w:rsidR="00A31137" w:rsidRPr="00A31137" w:rsidRDefault="00A31137" w:rsidP="00A31137">
      <w:r w:rsidRPr="00A31137">
        <w:t>Public Papers of Reagan, 1987, p.1463</w:t>
      </w:r>
    </w:p>
    <w:p w:rsidR="00A31137" w:rsidRPr="00A31137" w:rsidRDefault="00A31137" w:rsidP="00A31137">
      <w:r w:rsidRPr="00A31137">
        <w:t>7. Intermediate-range and shorter-range missiles and launchers of such missiles and support structures and support equipment associated with such missiles and launchers shall be considered to be eliminated after completion of the procedures set forth in the Protocol on Elimination and upon the notification provided for in paragraph 5(e) of Article IX of this Treaty.</w:t>
      </w:r>
    </w:p>
    <w:p w:rsidR="00A31137" w:rsidRPr="00A31137" w:rsidRDefault="00A31137" w:rsidP="00A31137">
      <w:r w:rsidRPr="00A31137">
        <w:t>Public Papers of Reagan, 1987, p.1463</w:t>
      </w:r>
    </w:p>
    <w:p w:rsidR="00A31137" w:rsidRPr="00A31137" w:rsidRDefault="00A31137" w:rsidP="00A31137">
      <w:r w:rsidRPr="00A31137">
        <w:t>8. Each Party shall eliminate its deployment areas, missile operating bases and missile support facilities. A Party shall notify the other Party pursuant to paragraph 5(a) of Article IX of this Treaty once the conditions set forth below are fulfilled:</w:t>
      </w:r>
    </w:p>
    <w:p w:rsidR="00A31137" w:rsidRPr="00A31137" w:rsidRDefault="00A31137" w:rsidP="00A31137">
      <w:r w:rsidRPr="00A31137">
        <w:tab/>
        <w:t>(a) all intermediate-range and shorter-range missiles, launchers of such missiles and support equipment associated with such missiles and launchers located there have been removed;</w:t>
      </w:r>
    </w:p>
    <w:p w:rsidR="00A31137" w:rsidRPr="00A31137" w:rsidRDefault="00A31137" w:rsidP="00A31137">
      <w:r w:rsidRPr="00A31137">
        <w:t>Public Papers of Reagan, 1987, p.1463</w:t>
      </w:r>
    </w:p>
    <w:p w:rsidR="00A31137" w:rsidRPr="00A31137" w:rsidRDefault="00A31137" w:rsidP="00A31137">
      <w:r w:rsidRPr="00A31137">
        <w:t>(b) all support structures associated with such missiles and launchers located there have been eliminated; and</w:t>
      </w:r>
    </w:p>
    <w:p w:rsidR="00A31137" w:rsidRPr="00A31137" w:rsidRDefault="00A31137" w:rsidP="00A31137">
      <w:r w:rsidRPr="00A31137">
        <w:tab/>
        <w:t>(c) all activity related to production, flight-testing, training, repair, storage or deployment of such missiles and launchers has ceased there.</w:t>
      </w:r>
    </w:p>
    <w:p w:rsidR="00A31137" w:rsidRPr="00A31137" w:rsidRDefault="00A31137" w:rsidP="00A31137">
      <w:r w:rsidRPr="00A31137">
        <w:t>Public Papers of Reagan, 1987, p.1463</w:t>
      </w:r>
    </w:p>
    <w:p w:rsidR="00A31137" w:rsidRPr="00A31137" w:rsidRDefault="00A31137" w:rsidP="00A31137">
      <w:r w:rsidRPr="00A31137">
        <w:t>Such deployment areas, missile operating bases and missile support facilities shall be considered to be eliminated either when they have been inspected pursuant to paragraph 4 of Article XI of this Treaty or when 60 days have elapsed since the date of the scheduled elimination which was notified pursuant to paragraph 5(a) of Article IX of this Treaty. A deployment area, missile operating base or missile support facility listed in the Memorandum of Understanding that met the above conditions prior to entry into force of this Treaty, and is not included in the initial data exchange pursuant to paragraph 3 of Article IX of this Treaty, shall be considered to be eliminated.</w:t>
      </w:r>
    </w:p>
    <w:p w:rsidR="00A31137" w:rsidRPr="00A31137" w:rsidRDefault="00A31137" w:rsidP="00A31137">
      <w:r w:rsidRPr="00A31137">
        <w:t>Public Papers of Reagan, 1987, p.1463</w:t>
      </w:r>
    </w:p>
    <w:p w:rsidR="00A31137" w:rsidRPr="00A31137" w:rsidRDefault="00A31137" w:rsidP="00A31137">
      <w:r w:rsidRPr="00A31137">
        <w:t>9. If a Party intends to convert a missile operating base listed in the Memorandum of Understanding for use as a base associated with GLBM or GLCM systems not subject to this Treaty, then that Party shall notify the other Party, no less than 30 days in advance of the scheduled date of the initiation of the conversion, of the scheduled date and the purpose for which the base will be converted.</w:t>
      </w:r>
    </w:p>
    <w:p w:rsidR="00A31137" w:rsidRPr="00A31137" w:rsidRDefault="00A31137" w:rsidP="00A31137">
      <w:r w:rsidRPr="00A31137">
        <w:t>ARTICLE XI</w:t>
      </w:r>
    </w:p>
    <w:p w:rsidR="00A31137" w:rsidRPr="00A31137" w:rsidRDefault="00A31137" w:rsidP="00A31137">
      <w:r w:rsidRPr="00A31137">
        <w:t>Public Papers of Reagan, 1987, p.1463</w:t>
      </w:r>
    </w:p>
    <w:p w:rsidR="00A31137" w:rsidRPr="00A31137" w:rsidRDefault="00A31137" w:rsidP="00A31137">
      <w:r w:rsidRPr="00A31137">
        <w:t>1. For the purpose of ensuring verification of compliance with the provisions of this Treaty, each Party shall have the right to conduct on-site inspections. The Parties shall implement on-site inspections in accordance with this Article, the Protocol on Inspection and the Protocol on Elimination.</w:t>
      </w:r>
    </w:p>
    <w:p w:rsidR="00A31137" w:rsidRPr="00A31137" w:rsidRDefault="00A31137" w:rsidP="00A31137">
      <w:r w:rsidRPr="00A31137">
        <w:t>Public Papers of Reagan, 1987, p.1463–p.1464</w:t>
      </w:r>
    </w:p>
    <w:p w:rsidR="00A31137" w:rsidRPr="00A31137" w:rsidRDefault="00A31137" w:rsidP="00A31137">
      <w:r w:rsidRPr="00A31137">
        <w:t>2. Each Party shall have the right to conduct [p.1464] inspections provided for by this Article both within the territory of the other Party and within the territories of basing countries.</w:t>
      </w:r>
    </w:p>
    <w:p w:rsidR="00A31137" w:rsidRPr="00A31137" w:rsidRDefault="00A31137" w:rsidP="00A31137">
      <w:r w:rsidRPr="00A31137">
        <w:t>Public Papers of Reagan, 1987, p.1464</w:t>
      </w:r>
    </w:p>
    <w:p w:rsidR="00A31137" w:rsidRPr="00A31137" w:rsidRDefault="00A31137" w:rsidP="00A31137">
      <w:r w:rsidRPr="00A31137">
        <w:t>3. Beginning 30 days after entry into force of this Treaty, each Party shall have the right to conduct inspections at all missile operating bases and missile support facilities specified in the Memorandum of Understanding other than missile production facilities, and at all elimination facilities included in the initial data update required by paragraph 3 of Article IX of this Treaty. These inspections shall be completed no later than 90 days after entry into force of this Treaty. The purpose of these inspections shall be to verify the number of missiles, launchers, support structures and support equipment and other data, as of the date of entry into force of this Treaty, provided pursuant to paragraph 3 of Article IX of this Treaty.</w:t>
      </w:r>
    </w:p>
    <w:p w:rsidR="00A31137" w:rsidRPr="00A31137" w:rsidRDefault="00A31137" w:rsidP="00A31137">
      <w:r w:rsidRPr="00A31137">
        <w:t>Public Papers of Reagan, 1987, p.1464</w:t>
      </w:r>
    </w:p>
    <w:p w:rsidR="00A31137" w:rsidRPr="00A31137" w:rsidRDefault="00A31137" w:rsidP="00A31137">
      <w:r w:rsidRPr="00A31137">
        <w:t>4. Each Party shall have the right to conduct inspections to verify the elimination, notified pursuant to paragraph 5(a) of Article IX of this Treaty, of missile operating bases and missile support facilities other than missile production facilities, which are thus no longer subject to inspections pursuant to paragraph 5(a) of this Article. Such an inspection shall be carried out within 60 days after the scheduled date of the elimination of that facility. If a Party conducts an inspection at a particular facility pursuant to paragraph 3 of this Article after the scheduled date of the elimination of that facility, then no additional inspection of that facility pursuant to this paragraph shall be permitted.</w:t>
      </w:r>
    </w:p>
    <w:p w:rsidR="00A31137" w:rsidRPr="00A31137" w:rsidRDefault="00A31137" w:rsidP="00A31137">
      <w:r w:rsidRPr="00A31137">
        <w:t>Public Papers of Reagan, 1987, p.1464</w:t>
      </w:r>
    </w:p>
    <w:p w:rsidR="00A31137" w:rsidRPr="00A31137" w:rsidRDefault="00A31137" w:rsidP="00A31137">
      <w:r w:rsidRPr="00A31137">
        <w:t>5. Each Party shall have the right to conduct inspections pursuant to this paragraph for 13 years after entry into force of this Treaty. Each Party shall have the right to conduct 20 such inspections per calendar year during the first three years after entry into force of this Treaty, 15 such inspections per calendar year during the subsequent five years, and ten such inspections per calendar year during the last five years. Neither Party shall use more than half of its total number of these inspections per calendar year within the territory of any one basing country. Each Party shall have the right to conduct:</w:t>
      </w:r>
    </w:p>
    <w:p w:rsidR="00A31137" w:rsidRPr="00A31137" w:rsidRDefault="00A31137" w:rsidP="00A31137">
      <w:r w:rsidRPr="00A31137">
        <w:t>Public Papers of Reagan, 1987, p.1464</w:t>
      </w:r>
    </w:p>
    <w:p w:rsidR="00A31137" w:rsidRPr="00A31137" w:rsidRDefault="00A31137" w:rsidP="00A31137">
      <w:r w:rsidRPr="00A31137">
        <w:t>(a) inspections, beginning 90 days after entry into force of this Treaty, of missile operating bases and missile support facilities other than elimination facilities and missile production facilities, to ascertain, according to the categories of data specified in the Memorandum of Understanding, the numbers of missiles, launchers, support structures and support equipment located at each missile operating base or missile support facility at the time of the inspection; and</w:t>
      </w:r>
    </w:p>
    <w:p w:rsidR="00A31137" w:rsidRPr="00A31137" w:rsidRDefault="00A31137" w:rsidP="00A31137">
      <w:r w:rsidRPr="00A31137">
        <w:t>Public Papers of Reagan, 1987, p.1464</w:t>
      </w:r>
    </w:p>
    <w:p w:rsidR="00A31137" w:rsidRPr="00A31137" w:rsidRDefault="00A31137" w:rsidP="00A31137">
      <w:r w:rsidRPr="00A31137">
        <w:t>(b) inspections of former missile operating bases and former missile support facilities eliminated pursuant to paragraph 8 of Article X of this Treaty other than former missile production facilities.</w:t>
      </w:r>
    </w:p>
    <w:p w:rsidR="00A31137" w:rsidRPr="00A31137" w:rsidRDefault="00A31137" w:rsidP="00A31137">
      <w:r w:rsidRPr="00A31137">
        <w:t>Public Papers of Reagan, 1987, p.1464</w:t>
      </w:r>
    </w:p>
    <w:p w:rsidR="00A31137" w:rsidRPr="00A31137" w:rsidRDefault="00A31137" w:rsidP="00A31137">
      <w:r w:rsidRPr="00A31137">
        <w:t>6. Beginning 30 days after entry into force of this Treaty, each Party shall have the right, for 13 years after entry into force of this Treaty, to inspect by means of continuous monitoring:</w:t>
      </w:r>
    </w:p>
    <w:p w:rsidR="00A31137" w:rsidRPr="00A31137" w:rsidRDefault="00A31137" w:rsidP="00A31137">
      <w:r w:rsidRPr="00A31137">
        <w:tab/>
        <w:t>(a) the portals of any facility of the other Party at which the final assembly of a GLBM using stages, any of which is outwardly similar to a stage of a solid-propellant GLBM listed in Article III of this Treaty, is accomplished; or</w:t>
      </w:r>
    </w:p>
    <w:p w:rsidR="00A31137" w:rsidRPr="00A31137" w:rsidRDefault="00A31137" w:rsidP="00A31137">
      <w:r w:rsidRPr="00A31137">
        <w:tab/>
        <w:t>(b) if a Party has no such facility, the portals of an agreed former missile production facility at which existing types of intermediate-range or shorter-range GLBMs were produced.</w:t>
      </w:r>
    </w:p>
    <w:p w:rsidR="00A31137" w:rsidRPr="00A31137" w:rsidRDefault="00A31137" w:rsidP="00A31137">
      <w:r w:rsidRPr="00A31137">
        <w:t>Public Papers of Reagan, 1987, p.1464–p.1465</w:t>
      </w:r>
    </w:p>
    <w:p w:rsidR="00A31137" w:rsidRPr="00A31137" w:rsidRDefault="00A31137" w:rsidP="00A31137">
      <w:r w:rsidRPr="00A31137">
        <w:t>The Party whose facility is to be inspected pursuant to this paragraph shall ensure that the other Party is able to establish a permanent continuous monitoring system at that facility within six months after entry into force of this Treaty or within six months of initiation of the process of final assembly described in subparagraph (a). If, after the end of the second year after entry into force of this Treaty, neither Party conducts the process of final assembly described in subparagraph (a) for a period of 12 consecutive months, then neither Party shall have the right to inspect by means of continuous monitoring any missile production facility of the other Party unless the process of final assembly as described in subparagraph (a) is initiated again. Upon entry into force of this Treaty, the facilities to be inspected by continuous monitoring shall be: in accordance [p.1465] with subparagraph (b), for the United States of America, Hercules Plant Number 1, at Magna, Utah; in accordance with subparagraph (a), for the Union of Soviet Socialist Republics, the Votkinsk Machine Building Plant, Udmurt Autonomons Soviet Socialist Republic, Russian Soviet Federative Socialist Republic.</w:t>
      </w:r>
    </w:p>
    <w:p w:rsidR="00A31137" w:rsidRPr="00A31137" w:rsidRDefault="00A31137" w:rsidP="00A31137">
      <w:r w:rsidRPr="00A31137">
        <w:t>Public Papers of Reagan, 1987, p.1465</w:t>
      </w:r>
    </w:p>
    <w:p w:rsidR="00A31137" w:rsidRPr="00A31137" w:rsidRDefault="00A31137" w:rsidP="00A31137">
      <w:r w:rsidRPr="00A31137">
        <w:t>7. Each Party shall conduct inspections of the process of elimination, including elimination of intermediate-range missiles by means of launching, of intermediate-range and shorter-range missiles and launchers of such missiles and support equipment associated with such missiles and launchers carried out at elimination facilities in accordance with Article X of this Treaty and the Protocol on Elimination. Inspectors conducting inspections provided for in this paragraph shall determine that the processes specified for the elimination of the missiles, launchers and support equipment have been completed.</w:t>
      </w:r>
    </w:p>
    <w:p w:rsidR="00A31137" w:rsidRPr="00A31137" w:rsidRDefault="00A31137" w:rsidP="00A31137">
      <w:r w:rsidRPr="00A31137">
        <w:t>Public Papers of Reagan, 1987, p.1465</w:t>
      </w:r>
    </w:p>
    <w:p w:rsidR="00A31137" w:rsidRPr="00A31137" w:rsidRDefault="00A31137" w:rsidP="00A31137">
      <w:r w:rsidRPr="00A31137">
        <w:t>8. Each Party shall have the right to conduct inspections to confirm the completion of the process of elimination of intermediate-range and shorter-range missiles and launchers of such missiles and support equipment associated with such missiles and launchers eliminated pursuant to Section V of the Protocol on Elimination, and of training missiles, training missile stages, training launch canisters and training launchers eliminated pursuant to Sections II, IV and V of the Protocol on Elimination.</w:t>
      </w:r>
    </w:p>
    <w:p w:rsidR="00A31137" w:rsidRPr="00A31137" w:rsidRDefault="00A31137" w:rsidP="00A31137">
      <w:r w:rsidRPr="00A31137">
        <w:t>ARTICLE XII</w:t>
      </w:r>
    </w:p>
    <w:p w:rsidR="00A31137" w:rsidRPr="00A31137" w:rsidRDefault="00A31137" w:rsidP="00A31137">
      <w:r w:rsidRPr="00A31137">
        <w:t>Public Papers of Reagan, 1987, p.1465</w:t>
      </w:r>
    </w:p>
    <w:p w:rsidR="00A31137" w:rsidRPr="00A31137" w:rsidRDefault="00A31137" w:rsidP="00A31137">
      <w:r w:rsidRPr="00A31137">
        <w:t>1. For the purpose of ensuring verification of compliance with the provisions of this Treaty, each Party shall use national technical means of verification at its disposal in a manner consistent with generally recognized principles of international law.</w:t>
      </w:r>
    </w:p>
    <w:p w:rsidR="00A31137" w:rsidRPr="00A31137" w:rsidRDefault="00A31137" w:rsidP="00A31137">
      <w:r w:rsidRPr="00A31137">
        <w:tab/>
        <w:t>2. Neither Party shall:</w:t>
      </w:r>
    </w:p>
    <w:p w:rsidR="00A31137" w:rsidRPr="00A31137" w:rsidRDefault="00A31137" w:rsidP="00A31137">
      <w:r w:rsidRPr="00A31137">
        <w:tab/>
        <w:t>(a) interfere with national technical means of verification of the other Party operating in accordance with paragraph i of this Article; or</w:t>
      </w:r>
    </w:p>
    <w:p w:rsidR="00A31137" w:rsidRPr="00A31137" w:rsidRDefault="00A31137" w:rsidP="00A31137">
      <w:r w:rsidRPr="00A31137">
        <w:tab/>
        <w:t>(b) use concealment measures which impede verification of compliance with the provisions of this Treaty by national technical means of verification carried out in accordance with paragraph 1 of this Article. This obligation does not apply to cover or concealment practices, within a deployment area, associated with normal training, maintenance and operations, including the use of environmental shelters to protect missiles and launchers.</w:t>
      </w:r>
    </w:p>
    <w:p w:rsidR="00A31137" w:rsidRPr="00A31137" w:rsidRDefault="00A31137" w:rsidP="00A31137">
      <w:r w:rsidRPr="00A31137">
        <w:t>Public Papers of Reagan, 1987, p.1465</w:t>
      </w:r>
    </w:p>
    <w:p w:rsidR="00A31137" w:rsidRPr="00A31137" w:rsidRDefault="00A31137" w:rsidP="00A31137">
      <w:r w:rsidRPr="00A31137">
        <w:t>3. To enhance observation by national technical means of verification, each Party shall have the right until a treaty between the Parties reducing and limiting strategic offensive arms enters into force, but in any event for no more than three years after entry into force of this Treaty, to request the implementation of cooperative measures at deployment bases for road-mobile GLBMs with a range capability in excess of 5500 kilometers, which are not former missile operating bases eliminated pursuant to paragraph 8 of Article X of this Treaty. The Party making such a request shall inform the other Party of the deployment base at which cooperative measures shall be implemented. The Party whose base is to be observed shall carry out the following cooperative measures:</w:t>
      </w:r>
    </w:p>
    <w:p w:rsidR="00A31137" w:rsidRPr="00A31137" w:rsidRDefault="00A31137" w:rsidP="00A31137">
      <w:r w:rsidRPr="00A31137">
        <w:t>Public Papers of Reagan, 1987, p.1465</w:t>
      </w:r>
    </w:p>
    <w:p w:rsidR="00A31137" w:rsidRPr="00A31137" w:rsidRDefault="00A31137" w:rsidP="00A31137">
      <w:r w:rsidRPr="00A31137">
        <w:t>(a) no later than six hours after such a request, the Party shall have opened the roofs of all fixed structures for launchers located at the base, removed completely all missiles on launchers from such fixed structures for launchers and displayed such missiles on launchers in the open without using concealment measures; and</w:t>
      </w:r>
    </w:p>
    <w:p w:rsidR="00A31137" w:rsidRPr="00A31137" w:rsidRDefault="00A31137" w:rsidP="00A31137">
      <w:r w:rsidRPr="00A31137">
        <w:tab/>
        <w:t>(b) the Party shall leave the roofs open and the missiles on launchers in place until twelve hours have elapsed from the time of the receipt of a request for such an observation.</w:t>
      </w:r>
    </w:p>
    <w:p w:rsidR="00A31137" w:rsidRPr="00A31137" w:rsidRDefault="00A31137" w:rsidP="00A31137">
      <w:r w:rsidRPr="00A31137">
        <w:t>Public Papers of Reagan, 1987, p.1465</w:t>
      </w:r>
    </w:p>
    <w:p w:rsidR="00A31137" w:rsidRPr="00A31137" w:rsidRDefault="00A31137" w:rsidP="00A31137">
      <w:r w:rsidRPr="00A31137">
        <w:t>Each Party shall have the right to make six such requests per calendar year. Only one deployment base shall be subject to these cooperative measures at any one time.</w:t>
      </w:r>
    </w:p>
    <w:p w:rsidR="00A31137" w:rsidRPr="00A31137" w:rsidRDefault="00A31137" w:rsidP="00A31137">
      <w:r w:rsidRPr="00A31137">
        <w:t>ARTICLE XIII</w:t>
      </w:r>
    </w:p>
    <w:p w:rsidR="00A31137" w:rsidRPr="00A31137" w:rsidRDefault="00A31137" w:rsidP="00A31137">
      <w:r w:rsidRPr="00A31137">
        <w:t>Public Papers of Reagan, 1987, p.1465</w:t>
      </w:r>
    </w:p>
    <w:p w:rsidR="00A31137" w:rsidRPr="00A31137" w:rsidRDefault="00A31137" w:rsidP="00A31137">
      <w:r w:rsidRPr="00A31137">
        <w:t>1. To promote the objectives and implementation of the provisions of this Treaty, the Parties hereby establish the Special Verification Commission. The Parties agree that, if either Party so requests, they shall meet within the framework of the Special Verification Commission to:</w:t>
      </w:r>
    </w:p>
    <w:p w:rsidR="00A31137" w:rsidRPr="00A31137" w:rsidRDefault="00A31137" w:rsidP="00A31137">
      <w:r w:rsidRPr="00A31137">
        <w:t>Public Papers of Reagan, 1987, p.1465–p.1466</w:t>
      </w:r>
    </w:p>
    <w:p w:rsidR="00A31137" w:rsidRPr="00A31137" w:rsidRDefault="00A31137" w:rsidP="00A31137">
      <w:r w:rsidRPr="00A31137">
        <w:t>(a) resolve questions relating to compliance [p.1466] with the obligations assumed; and</w:t>
      </w:r>
    </w:p>
    <w:p w:rsidR="00A31137" w:rsidRPr="00A31137" w:rsidRDefault="00A31137" w:rsidP="00A31137">
      <w:r w:rsidRPr="00A31137">
        <w:tab/>
        <w:t>(b) agree upon such measures as may be necessary to improve the viability and effectiveness of this Treaty.</w:t>
      </w:r>
    </w:p>
    <w:p w:rsidR="00A31137" w:rsidRPr="00A31137" w:rsidRDefault="00A31137" w:rsidP="00A31137">
      <w:r w:rsidRPr="00A31137">
        <w:t>Public Papers of Reagan, 1987, p.1466</w:t>
      </w:r>
    </w:p>
    <w:p w:rsidR="00A31137" w:rsidRPr="00A31137" w:rsidRDefault="00A31137" w:rsidP="00A31137">
      <w:r w:rsidRPr="00A31137">
        <w:t>2. The Parties shall use the Nuclear Risk Reduction Centers, which provide for continuous communication between the Parties, to:</w:t>
      </w:r>
    </w:p>
    <w:p w:rsidR="00A31137" w:rsidRPr="00A31137" w:rsidRDefault="00A31137" w:rsidP="00A31137">
      <w:r w:rsidRPr="00A31137">
        <w:tab/>
        <w:t>(a) exchange data and provide notifications as required by paragraphs 3, 4, 5 and 6 of Article IX of this Treaty and the Protocol on Elimination;</w:t>
      </w:r>
    </w:p>
    <w:p w:rsidR="00A31137" w:rsidRPr="00A31137" w:rsidRDefault="00A31137" w:rsidP="00A31137">
      <w:r w:rsidRPr="00A31137">
        <w:tab/>
        <w:t>(b) provide and receive the information required by paragraph 9 of Article X of this Treaty;</w:t>
      </w:r>
    </w:p>
    <w:p w:rsidR="00A31137" w:rsidRPr="00A31137" w:rsidRDefault="00A31137" w:rsidP="00A31137">
      <w:r w:rsidRPr="00A31137">
        <w:tab/>
        <w:t>(c) provide and receive notifications of inspections as required by Article XI of this Treaty and the Protocol on Inspection; and</w:t>
      </w:r>
    </w:p>
    <w:p w:rsidR="00A31137" w:rsidRPr="00A31137" w:rsidRDefault="00A31137" w:rsidP="00A31137">
      <w:r w:rsidRPr="00A31137">
        <w:tab/>
        <w:t>(d) provide and receive requests for cooperative measures as provided for in paragraph 3 of Article XII of this Treaty.</w:t>
      </w:r>
    </w:p>
    <w:p w:rsidR="00A31137" w:rsidRPr="00A31137" w:rsidRDefault="00A31137" w:rsidP="00A31137">
      <w:r w:rsidRPr="00A31137">
        <w:t>ARTICLE XIV</w:t>
      </w:r>
    </w:p>
    <w:p w:rsidR="00A31137" w:rsidRPr="00A31137" w:rsidRDefault="00A31137" w:rsidP="00A31137">
      <w:r w:rsidRPr="00A31137">
        <w:t>Public Papers of Reagan, 1987, p.1466</w:t>
      </w:r>
    </w:p>
    <w:p w:rsidR="00A31137" w:rsidRPr="00A31137" w:rsidRDefault="00A31137" w:rsidP="00A31137">
      <w:r w:rsidRPr="00A31137">
        <w:t>The Parties shall comply with this Treaty and shall not assume any international obligations or undertakings which would conflict with its provisions.</w:t>
      </w:r>
    </w:p>
    <w:p w:rsidR="00A31137" w:rsidRPr="00A31137" w:rsidRDefault="00A31137" w:rsidP="00A31137">
      <w:r w:rsidRPr="00A31137">
        <w:t>ARTICLE XV</w:t>
      </w:r>
    </w:p>
    <w:p w:rsidR="00A31137" w:rsidRPr="00A31137" w:rsidRDefault="00A31137" w:rsidP="00A31137">
      <w:r w:rsidRPr="00A31137">
        <w:t>Public Papers of Reagan, 1987, p.1466</w:t>
      </w:r>
    </w:p>
    <w:p w:rsidR="00A31137" w:rsidRPr="00A31137" w:rsidRDefault="00A31137" w:rsidP="00A31137">
      <w:r w:rsidRPr="00A31137">
        <w:t>1. This Treaty shall be of unlimited duration.</w:t>
      </w:r>
    </w:p>
    <w:p w:rsidR="00A31137" w:rsidRPr="00A31137" w:rsidRDefault="00A31137" w:rsidP="00A31137">
      <w:r w:rsidRPr="00A31137">
        <w:tab/>
        <w:t>2. Each Party shall, in exercising its national sovereignty, have the right to withdraw from this Treaty if it decides that extraordinary events related to the subject matter of this Treaty have jeopardized its supreme interests. It shall give notice of its decision to withdraw to the other Party six months prior to withdrawal from this Treaty. Such notice shall include a statement of the extraordinary events the notifying Party regards as having jeopardized its supreme interests.</w:t>
      </w:r>
    </w:p>
    <w:p w:rsidR="00A31137" w:rsidRPr="00A31137" w:rsidRDefault="00A31137" w:rsidP="00A31137">
      <w:r w:rsidRPr="00A31137">
        <w:t>ARTICLE XVI</w:t>
      </w:r>
    </w:p>
    <w:p w:rsidR="00A31137" w:rsidRPr="00A31137" w:rsidRDefault="00A31137" w:rsidP="00A31137">
      <w:r w:rsidRPr="00A31137">
        <w:t>Public Papers of Reagan, 1987, p.1466</w:t>
      </w:r>
    </w:p>
    <w:p w:rsidR="00A31137" w:rsidRPr="00A31137" w:rsidRDefault="00A31137" w:rsidP="00A31137">
      <w:r w:rsidRPr="00A31137">
        <w:t>Each Party may propose amendments to this Treaty. Agreed amendments shall enter into force in accordance with the procedures set forth in Article XVII governing the entry into force of this Treaty.</w:t>
      </w:r>
    </w:p>
    <w:p w:rsidR="00A31137" w:rsidRPr="00A31137" w:rsidRDefault="00A31137" w:rsidP="00A31137">
      <w:r w:rsidRPr="00A31137">
        <w:t>ARTICLE XVII</w:t>
      </w:r>
    </w:p>
    <w:p w:rsidR="00A31137" w:rsidRPr="00A31137" w:rsidRDefault="00A31137" w:rsidP="00A31137">
      <w:r w:rsidRPr="00A31137">
        <w:t>Public Papers of Reagan, 1987, p.1466</w:t>
      </w:r>
    </w:p>
    <w:p w:rsidR="00A31137" w:rsidRPr="00A31137" w:rsidRDefault="00A31137" w:rsidP="00A31137">
      <w:r w:rsidRPr="00A31137">
        <w:t>1. This Treaty, including the Memorandum of Understanding and Protocols, which form an integral part thereof, shall be subject to ratification in accordance with the constitutional procedures of each Party. This Treaty shall enter into force on the date of the exchange of instruments of ratification.</w:t>
      </w:r>
    </w:p>
    <w:p w:rsidR="00A31137" w:rsidRPr="00A31137" w:rsidRDefault="00A31137" w:rsidP="00A31137">
      <w:r w:rsidRPr="00A31137">
        <w:tab/>
        <w:t>2. This Treaty shall be registered pursuant to Article 102 of the Charter of the United Nations.</w:t>
      </w:r>
    </w:p>
    <w:p w:rsidR="00A31137" w:rsidRPr="00A31137" w:rsidRDefault="00A31137" w:rsidP="00A31137">
      <w:r w:rsidRPr="00A31137">
        <w:t>Public Papers of Reagan, 1987, p.1466</w:t>
      </w:r>
    </w:p>
    <w:p w:rsidR="00A31137" w:rsidRPr="00A31137" w:rsidRDefault="00A31137" w:rsidP="00A31137">
      <w:r w:rsidRPr="00A31137">
        <w:t>Done at Washington on December 8, 1987, in two copies, each in the English and Russian languages, both texts being equally authentic.</w:t>
      </w:r>
    </w:p>
    <w:p w:rsidR="00A31137" w:rsidRPr="00A31137" w:rsidRDefault="00A31137" w:rsidP="00A31137">
      <w:r w:rsidRPr="00A31137">
        <w:t>For the United States of America:</w:t>
      </w:r>
    </w:p>
    <w:p w:rsidR="00A31137" w:rsidRPr="00A31137" w:rsidRDefault="00A31137" w:rsidP="00A31137">
      <w:r w:rsidRPr="00A31137">
        <w:tab/>
        <w:t>RONALD REAGAN</w:t>
      </w:r>
    </w:p>
    <w:p w:rsidR="00A31137" w:rsidRPr="00A31137" w:rsidRDefault="00A31137" w:rsidP="00A31137">
      <w:r w:rsidRPr="00A31137">
        <w:tab/>
        <w:t>President of the United States of America</w:t>
      </w:r>
    </w:p>
    <w:p w:rsidR="00A31137" w:rsidRPr="00A31137" w:rsidRDefault="00A31137" w:rsidP="00A31137"/>
    <w:p w:rsidR="00A31137" w:rsidRPr="00A31137" w:rsidRDefault="00A31137" w:rsidP="00A31137">
      <w:r w:rsidRPr="00A31137">
        <w:t>For the Union of Soviet Socialist Republics:</w:t>
      </w:r>
    </w:p>
    <w:p w:rsidR="00A31137" w:rsidRPr="00A31137" w:rsidRDefault="00A31137" w:rsidP="00A31137">
      <w:r w:rsidRPr="00A31137">
        <w:tab/>
        <w:t>M. GORBACHEV</w:t>
      </w:r>
    </w:p>
    <w:p w:rsidR="00A31137" w:rsidRPr="00A31137" w:rsidRDefault="00A31137" w:rsidP="00A31137">
      <w:r w:rsidRPr="00A31137">
        <w:tab/>
        <w:t>General Secretary of the Central</w:t>
      </w:r>
    </w:p>
    <w:p w:rsidR="00A31137" w:rsidRPr="00A31137" w:rsidRDefault="00A31137" w:rsidP="00A31137">
      <w:r w:rsidRPr="00A31137">
        <w:tab/>
        <w:t>Committee of the CPSU</w:t>
      </w:r>
    </w:p>
    <w:p w:rsidR="00A31137" w:rsidRPr="00A31137" w:rsidRDefault="00A31137" w:rsidP="00A31137">
      <w:r w:rsidRPr="00A31137">
        <w:t>Public Papers of Reagan, 1987, p.1466</w:t>
      </w:r>
    </w:p>
    <w:p w:rsidR="00A31137" w:rsidRPr="00A31137" w:rsidRDefault="00A31137" w:rsidP="00A31137">
      <w:r w:rsidRPr="00A31137">
        <w:t>Protocol on Procedures Governing the Elimination of the Missile Systems Subject to the Treaty Between the United States of America and the Union of Soviet Socialist Republics on the Elimination of Their Intermediate-range and Shorter-range Missiles</w:t>
      </w:r>
    </w:p>
    <w:p w:rsidR="00A31137" w:rsidRPr="00A31137" w:rsidRDefault="00A31137" w:rsidP="00A31137">
      <w:r w:rsidRPr="00A31137">
        <w:t>Public Papers of Reagan, 1987, p.1466</w:t>
      </w:r>
    </w:p>
    <w:p w:rsidR="00A31137" w:rsidRPr="00A31137" w:rsidRDefault="00A31137" w:rsidP="00A31137">
      <w:r w:rsidRPr="00A31137">
        <w:t>Pursuant to and in implementation of the Treaty Between the United States of America and the Union of Soviet Socialist Republics on the Elimination of Their Intermediate-Range and Shorter-Range Missiles of December 8, 1987, hereinafter referred to as the Treaty, the Parties hereby agree upon procedures governing the elimination of the missile systems subject to the Treaty.</w:t>
      </w:r>
    </w:p>
    <w:p w:rsidR="00A31137" w:rsidRPr="00A31137" w:rsidRDefault="00A31137" w:rsidP="00A31137">
      <w:r w:rsidRPr="00A31137">
        <w:t>Public Papers of Reagan, 1987, p.1466</w:t>
      </w:r>
    </w:p>
    <w:p w:rsidR="00A31137" w:rsidRPr="00A31137" w:rsidRDefault="00A31137" w:rsidP="00A31137">
      <w:r w:rsidRPr="00A31137">
        <w:t>I. Items of Missile Systems Subject to Elimination</w:t>
      </w:r>
    </w:p>
    <w:p w:rsidR="00A31137" w:rsidRPr="00A31137" w:rsidRDefault="00A31137" w:rsidP="00A31137">
      <w:r w:rsidRPr="00A31137">
        <w:t>The specific items for each type of missile system to be eliminated are;</w:t>
      </w:r>
    </w:p>
    <w:p w:rsidR="00A31137" w:rsidRPr="00A31137" w:rsidRDefault="00A31137" w:rsidP="00A31137">
      <w:r w:rsidRPr="00A31137">
        <w:t>1. For the United States of America: Pershing II: missile, launcher and launch pad shelter; BGM-109G: missile, launch canister and launcher; Pershing IA: missile and launcher; and Pershing IB: missile.</w:t>
      </w:r>
    </w:p>
    <w:p w:rsidR="00A31137" w:rsidRPr="00A31137" w:rsidRDefault="00A31137" w:rsidP="00A31137">
      <w:r w:rsidRPr="00A31137">
        <w:t>2. For the Union of Soviet Socialist Republics:</w:t>
      </w:r>
    </w:p>
    <w:p w:rsidR="00A31137" w:rsidRPr="00A31137" w:rsidRDefault="00A31137" w:rsidP="00A31137">
      <w:r w:rsidRPr="00A31137">
        <w:t>SS-20: missile, launch canister, launcher, missile transporter vehicle and fixed structure for a launcher;</w:t>
      </w:r>
    </w:p>
    <w:p w:rsidR="00A31137" w:rsidRPr="00A31137" w:rsidRDefault="00A31137" w:rsidP="00A31137">
      <w:r w:rsidRPr="00A31137">
        <w:t>SS-4: missile, missile transporter vehicle, missile erector, launch stand and propellant tanks;</w:t>
      </w:r>
    </w:p>
    <w:p w:rsidR="00A31137" w:rsidRPr="00A31137" w:rsidRDefault="00A31137" w:rsidP="00A31137">
      <w:r w:rsidRPr="00A31137">
        <w:t>SS-5: missile;</w:t>
      </w:r>
    </w:p>
    <w:p w:rsidR="00A31137" w:rsidRPr="00A31137" w:rsidRDefault="00A31137" w:rsidP="00A31137">
      <w:r w:rsidRPr="00A31137">
        <w:t>SSC-X-4: missile, launch canister and launcher;</w:t>
      </w:r>
    </w:p>
    <w:p w:rsidR="00A31137" w:rsidRPr="00A31137" w:rsidRDefault="00A31137" w:rsidP="00A31137">
      <w:r w:rsidRPr="00A31137">
        <w:t>SS-12: missile, launcher and missile transporter vehicle; and</w:t>
      </w:r>
    </w:p>
    <w:p w:rsidR="00A31137" w:rsidRPr="00A31137" w:rsidRDefault="00A31137" w:rsidP="00A31137">
      <w:r w:rsidRPr="00A31137">
        <w:t>SS-23: missile, launcher and missile transporter vehicle.</w:t>
      </w:r>
    </w:p>
    <w:p w:rsidR="00A31137" w:rsidRPr="00A31137" w:rsidRDefault="00A31137" w:rsidP="00A31137">
      <w:r w:rsidRPr="00A31137">
        <w:t>Public Papers of Reagan, 1987, p.1467</w:t>
      </w:r>
    </w:p>
    <w:p w:rsidR="00A31137" w:rsidRPr="00A31137" w:rsidRDefault="00A31137" w:rsidP="00A31137">
      <w:r w:rsidRPr="00A31137">
        <w:t>3. For both Parties, all training missiles, training missile stages, training launch canisters and training launchers shall be subject to elimination.</w:t>
      </w:r>
    </w:p>
    <w:p w:rsidR="00A31137" w:rsidRPr="00A31137" w:rsidRDefault="00A31137" w:rsidP="00A31137">
      <w:r w:rsidRPr="00A31137">
        <w:t>4. For both Parties, all stages of intermediate-range and shorter-range GLBMs shall be subject to elimination.</w:t>
      </w:r>
    </w:p>
    <w:p w:rsidR="00A31137" w:rsidRPr="00A31137" w:rsidRDefault="00A31137" w:rsidP="00A31137">
      <w:r w:rsidRPr="00A31137">
        <w:t>Public Papers of Reagan, 1987, p.1467</w:t>
      </w:r>
    </w:p>
    <w:p w:rsidR="00A31137" w:rsidRPr="00A31137" w:rsidRDefault="00A31137" w:rsidP="00A31137">
      <w:r w:rsidRPr="00A31137">
        <w:t>5. For both Parties, all front sections of deployed intermediate-range and shorter-range missiles shall be subject to elimination.</w:t>
      </w:r>
    </w:p>
    <w:p w:rsidR="00A31137" w:rsidRPr="00A31137" w:rsidRDefault="00A31137" w:rsidP="00A31137">
      <w:r w:rsidRPr="00A31137">
        <w:t>II. Procedures for Elimination at Elimination Facilities</w:t>
      </w:r>
    </w:p>
    <w:p w:rsidR="00A31137" w:rsidRPr="00A31137" w:rsidRDefault="00A31137" w:rsidP="00A31137">
      <w:r w:rsidRPr="00A31137">
        <w:t>Public Papers of Reagan, 1987, p.1467</w:t>
      </w:r>
    </w:p>
    <w:p w:rsidR="00A31137" w:rsidRPr="00A31137" w:rsidRDefault="00A31137" w:rsidP="00A31137">
      <w:r w:rsidRPr="00A31137">
        <w:t>1. In order to ensure the reliable determination of the type and number of missiles, missile stages, front sections, launch canisters, launchers, missile transporter vehicles, missile erectors and launch stands, as well as training missiles, training missile stages, training launch canisters and training launchers, indicated in Section I of this Protocol, being eliminated at elimination facilities, and to preclude the possibility of restoration of such items for purposes inconsistent with the provisions of the Treaty, the Parties shall fulfill the requirements below.</w:t>
      </w:r>
    </w:p>
    <w:p w:rsidR="00A31137" w:rsidRPr="00A31137" w:rsidRDefault="00A31137" w:rsidP="00A31137">
      <w:r w:rsidRPr="00A31137">
        <w:t>Public Papers of Reagan, 1987, p.1467</w:t>
      </w:r>
    </w:p>
    <w:p w:rsidR="00A31137" w:rsidRPr="00A31137" w:rsidRDefault="00A31137" w:rsidP="00A31137">
      <w:r w:rsidRPr="00A31137">
        <w:t>2. The conduct of the elimination procedures for the items of missile systems listed in paragraph 1 of this Section, except for training missiles, training missile stages, training launch canisters and training launchers, shall be subject to on-site inspection in accordance with Article XI of the of the Treaty and the Protocol on Inspection. The Parties shall have the right to conduct on-site inspections to confirm the completion of the elimination procedures set forth in paragraph 11 of this Section for training missiles, training missile stages, training launch canisters and training launchers. The Party possessing such a training missile, training missile stage, training launch canister or training launcher shall inform the other Party of the name and coordinates of the elimination facility at which the on-site inspection may be conducted as well as the date on which it may be conducted. Such information shall be provided no less than 30 days in advance of that date.</w:t>
      </w:r>
    </w:p>
    <w:p w:rsidR="00A31137" w:rsidRPr="00A31137" w:rsidRDefault="00A31137" w:rsidP="00A31137">
      <w:r w:rsidRPr="00A31137">
        <w:t>Public Papers of Reagan, 1987, p.1467</w:t>
      </w:r>
    </w:p>
    <w:p w:rsidR="00A31137" w:rsidRPr="00A31137" w:rsidRDefault="00A31137" w:rsidP="00A31137">
      <w:r w:rsidRPr="00A31137">
        <w:t>3. Prior to a missile's arrival at the elimination facility, its nuclear warhead device and guidance elements may be removed.</w:t>
      </w:r>
    </w:p>
    <w:p w:rsidR="00A31137" w:rsidRPr="00A31137" w:rsidRDefault="00A31137" w:rsidP="00A31137">
      <w:r w:rsidRPr="00A31137">
        <w:t>Public Papers of Reagan, 1987, p.1467</w:t>
      </w:r>
    </w:p>
    <w:p w:rsidR="00A31137" w:rsidRPr="00A31137" w:rsidRDefault="00A31137" w:rsidP="00A31137">
      <w:r w:rsidRPr="00A31137">
        <w:t>4. Each Party shall select the particular technological means necessary to implement the procedures required in paragraphs 10 and 11 of this Section and to allow for on-site inspection of the conduct of the elimination procedures required in paragraph 10 of this Section in accordance with Article XI of the Treaty, this Protocol and the Protocol on Inspection.</w:t>
      </w:r>
    </w:p>
    <w:p w:rsidR="00A31137" w:rsidRPr="00A31137" w:rsidRDefault="00A31137" w:rsidP="00A31137">
      <w:r w:rsidRPr="00A31137">
        <w:t>Public Papers of Reagan, 1987, p.1467</w:t>
      </w:r>
    </w:p>
    <w:p w:rsidR="00A31137" w:rsidRPr="00A31137" w:rsidRDefault="00A31137" w:rsidP="00A31137">
      <w:r w:rsidRPr="00A31137">
        <w:t>5. The initiation of the elimination of the items of missile systems subject to this Section shall be considered to be the commencement of the procedures set forth in paragraph 10 or 11 of this Section.</w:t>
      </w:r>
    </w:p>
    <w:p w:rsidR="00A31137" w:rsidRPr="00A31137" w:rsidRDefault="00A31137" w:rsidP="00A31137">
      <w:r w:rsidRPr="00A31137">
        <w:t>Public Papers of Reagan, 1987, p.1467</w:t>
      </w:r>
    </w:p>
    <w:p w:rsidR="00A31137" w:rsidRPr="00A31137" w:rsidRDefault="00A31137" w:rsidP="00A31137">
      <w:r w:rsidRPr="00A31137">
        <w:t>6. Immediately prior to the initiation of the elimination procedures set forth in paragraph 10 of this Section, an inspector from the Party receiving the pertinent notification required by paragraph 5(c) of Article IX of the Treaty shall confirm and record the type and number of items of missile systems, listed in paragraph 1 of this Section, which are to be eliminated. If the inspecting Party deems it necessary, this shall include a visual inspection of the contents of launch canisters.</w:t>
      </w:r>
    </w:p>
    <w:p w:rsidR="00A31137" w:rsidRPr="00A31137" w:rsidRDefault="00A31137" w:rsidP="00A31137">
      <w:r w:rsidRPr="00A31137">
        <w:t>Public Papers of Reagan, 1987, p.1467–p.1468</w:t>
      </w:r>
    </w:p>
    <w:p w:rsidR="00A31137" w:rsidRPr="00A31137" w:rsidRDefault="00A31137" w:rsidP="00A31137">
      <w:r w:rsidRPr="00A31137">
        <w:t>7. A missile stage being eliminated by burning in accordance with the procedures set forth in paragraph 10 of this Section shall not be instrumented for data collection. Prior to the initiation of the elimination procedures set forth in paragraph 10 of this Section, an inspector from the inspecting Party shall confirm that such missile [p.1468] stages are not instrumented for data collection. Those missile stages shall be subject to continuous observation by such an inspector from the time of that inspection until the burning is completed.</w:t>
      </w:r>
    </w:p>
    <w:p w:rsidR="00A31137" w:rsidRPr="00A31137" w:rsidRDefault="00A31137" w:rsidP="00A31137">
      <w:r w:rsidRPr="00A31137">
        <w:t>Public Papers of Reagan, 1987, p.1468</w:t>
      </w:r>
    </w:p>
    <w:p w:rsidR="00A31137" w:rsidRPr="00A31137" w:rsidRDefault="00A31137" w:rsidP="00A31137">
      <w:r w:rsidRPr="00A31137">
        <w:t>8. The completion of the elimination procedures set forth in this Section, except those for training missiles, training missile stages, training launch canisters and training launchers, along with the type and number of items of missile systems for which those procedures have been completed, shall be confirmed in writing by the representative of the Party carrying out the elimination and by the inspection team leader of the other Party. The elimination of a training missile, training missile stage, training launch canister or training launcher shall be considered to have been completed upon completion of the procedures set forth in paragraph 11 of this Section and notification as required by paragraph 5(e) of Article IX of the Treaty following the date specified pursuant to paragraph 2 of this Section.</w:t>
      </w:r>
    </w:p>
    <w:p w:rsidR="00A31137" w:rsidRPr="00A31137" w:rsidRDefault="00A31137" w:rsidP="00A31137">
      <w:r w:rsidRPr="00A31137">
        <w:t>Public Papers of Reagan, 1987, p.1468</w:t>
      </w:r>
    </w:p>
    <w:p w:rsidR="00A31137" w:rsidRPr="00A31137" w:rsidRDefault="00A31137" w:rsidP="00A31137">
      <w:r w:rsidRPr="00A31137">
        <w:t>9. The Parties agree that all United States and Soviet intermediate-range and shorter-range missiles and their associated reentry vehicles shall be eliminated within an agreed overall period of elimination. It is further agreed that all such missiles shall, in fact, be eliminated fifteen days prior to the end of the overall period of elimination. During the last fifteen days, a Party shall withdraw to its national territory reentry vehicles which, by unilateral decision, have been released from existing programs of cooperation and eliminate them during the same time frame in accordance with the procedures set forth in this Section.</w:t>
      </w:r>
    </w:p>
    <w:p w:rsidR="00A31137" w:rsidRPr="00A31137" w:rsidRDefault="00A31137" w:rsidP="00A31137">
      <w:r w:rsidRPr="00A31137">
        <w:t>Public Papers of Reagan, 1987, p.1468</w:t>
      </w:r>
    </w:p>
    <w:p w:rsidR="00A31137" w:rsidRPr="00A31137" w:rsidRDefault="00A31137" w:rsidP="00A31137">
      <w:r w:rsidRPr="00A31137">
        <w:t>10. The specific procedures for the elimination of the items of missile systems listed in paragraph 1 of this Section shall be as follows, unless the Parties agree upon different procedures to achieve the same result as the procedures identified in this paragraph:</w:t>
      </w:r>
    </w:p>
    <w:p w:rsidR="00A31137" w:rsidRPr="00A31137" w:rsidRDefault="00A31137" w:rsidP="00A31137">
      <w:r w:rsidRPr="00A31137">
        <w:t>For the Pershing II:</w:t>
      </w:r>
    </w:p>
    <w:p w:rsidR="00A31137" w:rsidRPr="00A31137" w:rsidRDefault="00A31137" w:rsidP="00A31137">
      <w:r w:rsidRPr="00A31137">
        <w:t>Missile:</w:t>
      </w:r>
    </w:p>
    <w:p w:rsidR="00A31137" w:rsidRPr="00A31137" w:rsidRDefault="00A31137" w:rsidP="00A31137">
      <w:r w:rsidRPr="00A31137">
        <w:t>Public Papers of Reagan, 1987, p.1468</w:t>
      </w:r>
    </w:p>
    <w:p w:rsidR="00A31137" w:rsidRPr="00A31137" w:rsidRDefault="00A31137" w:rsidP="00A31137">
      <w:r w:rsidRPr="00A31137">
        <w:t>(a) missile stages shall be eliminated by explosive demolition or burning;</w:t>
      </w:r>
    </w:p>
    <w:p w:rsidR="00A31137" w:rsidRPr="00A31137" w:rsidRDefault="00A31137" w:rsidP="00A31137">
      <w:r w:rsidRPr="00A31137">
        <w:tab/>
        <w:t>(b) solid fuel, rocket nozzles and motor cases not destroyed in this process shall be burned, crushed, flattened or destroyed by explosion; and</w:t>
      </w:r>
    </w:p>
    <w:p w:rsidR="00A31137" w:rsidRPr="00A31137" w:rsidRDefault="00A31137" w:rsidP="00A31137">
      <w:r w:rsidRPr="00A31137">
        <w:tab/>
        <w:t>(c) front section, minus nuclear warhead device and guidance elements, shall be crushed or flattened.</w:t>
      </w:r>
    </w:p>
    <w:p w:rsidR="00A31137" w:rsidRPr="00A31137" w:rsidRDefault="00A31137" w:rsidP="00A31137">
      <w:r w:rsidRPr="00A31137">
        <w:t>Launcher:</w:t>
      </w:r>
    </w:p>
    <w:p w:rsidR="00A31137" w:rsidRPr="00A31137" w:rsidRDefault="00A31137" w:rsidP="00A31137">
      <w:r w:rsidRPr="00A31137">
        <w:t>Public Papers of Reagan, 1987, p.1468</w:t>
      </w:r>
    </w:p>
    <w:p w:rsidR="00A31137" w:rsidRPr="00A31137" w:rsidRDefault="00A31137" w:rsidP="00A31137">
      <w:r w:rsidRPr="00A31137">
        <w:t>(a) erector-launcher mechanism shall be removed from launcher chassis;</w:t>
      </w:r>
    </w:p>
    <w:p w:rsidR="00A31137" w:rsidRPr="00A31137" w:rsidRDefault="00A31137" w:rsidP="00A31137">
      <w:r w:rsidRPr="00A31137">
        <w:tab/>
        <w:t>(b) all components of erector-launcher mechanism shall be cut at locations that are not assembly joints into two pieces of approximately equal size;</w:t>
      </w:r>
    </w:p>
    <w:p w:rsidR="00A31137" w:rsidRPr="00A31137" w:rsidRDefault="00A31137" w:rsidP="00A31137">
      <w:r w:rsidRPr="00A31137">
        <w:tab/>
        <w:t>(c) missile launch support equipment, including external instrumentation compartments, shall be removed from launcher chassis; and</w:t>
      </w:r>
    </w:p>
    <w:p w:rsidR="00A31137" w:rsidRPr="00A31137" w:rsidRDefault="00A31137" w:rsidP="00A31137">
      <w:r w:rsidRPr="00A31137">
        <w:tab/>
        <w:t>(d) launcher chassis shall be cut at a location that is not an assembly joint into two pieces of approximately equal size.</w:t>
      </w:r>
    </w:p>
    <w:p w:rsidR="00A31137" w:rsidRPr="00A31137" w:rsidRDefault="00A31137" w:rsidP="00A31137">
      <w:r w:rsidRPr="00A31137">
        <w:t>For the BGM-lO9G:</w:t>
      </w:r>
    </w:p>
    <w:p w:rsidR="00A31137" w:rsidRPr="00A31137" w:rsidRDefault="00A31137" w:rsidP="00A31137">
      <w:r w:rsidRPr="00A31137">
        <w:t>Missile:</w:t>
      </w:r>
    </w:p>
    <w:p w:rsidR="00A31137" w:rsidRPr="00A31137" w:rsidRDefault="00A31137" w:rsidP="00A31137">
      <w:r w:rsidRPr="00A31137">
        <w:t>Public Papers of Reagan, 1987, p.1468</w:t>
      </w:r>
    </w:p>
    <w:p w:rsidR="00A31137" w:rsidRPr="00A31137" w:rsidRDefault="00A31137" w:rsidP="00A31137">
      <w:r w:rsidRPr="00A31137">
        <w:t>(a) missile airframe shall be cut longitudinally into two pieces;</w:t>
      </w:r>
    </w:p>
    <w:p w:rsidR="00A31137" w:rsidRPr="00A31137" w:rsidRDefault="00A31137" w:rsidP="00A31137">
      <w:r w:rsidRPr="00A31137">
        <w:tab/>
        <w:t>(b) wings and tail section shall be severed from missile airframe at locations that are not assembly joints; and</w:t>
      </w:r>
    </w:p>
    <w:p w:rsidR="00A31137" w:rsidRPr="00A31137" w:rsidRDefault="00A31137" w:rsidP="00A31137">
      <w:r w:rsidRPr="00A31137">
        <w:tab/>
        <w:t>(c) front section, minus nuclear warhead device and guidance elements, shall be crushed or flattened.</w:t>
      </w:r>
    </w:p>
    <w:p w:rsidR="00A31137" w:rsidRPr="00A31137" w:rsidRDefault="00A31137" w:rsidP="00A31137">
      <w:r w:rsidRPr="00A31137">
        <w:t>Public Papers of Reagan, 1987, p.1468</w:t>
      </w:r>
    </w:p>
    <w:p w:rsidR="00A31137" w:rsidRPr="00A31137" w:rsidRDefault="00A31137" w:rsidP="00A31137">
      <w:r w:rsidRPr="00A31137">
        <w:t>Launch Canister: launch canister shall be crushed, flattened, cut into two pieces of approximately equal size or destroyed by explosion.</w:t>
      </w:r>
    </w:p>
    <w:p w:rsidR="00A31137" w:rsidRPr="00A31137" w:rsidRDefault="00A31137" w:rsidP="00A31137">
      <w:r w:rsidRPr="00A31137">
        <w:t>Launcher:</w:t>
      </w:r>
    </w:p>
    <w:p w:rsidR="00A31137" w:rsidRPr="00A31137" w:rsidRDefault="00A31137" w:rsidP="00A31137">
      <w:r w:rsidRPr="00A31137">
        <w:t>Public Papers of Reagan, 1987, p.1468</w:t>
      </w:r>
    </w:p>
    <w:p w:rsidR="00A31137" w:rsidRPr="00A31137" w:rsidRDefault="00A31137" w:rsidP="00A31137">
      <w:r w:rsidRPr="00A31137">
        <w:t>(a) erector-launcher mechanism shall be removed from launcher chassis;</w:t>
      </w:r>
    </w:p>
    <w:p w:rsidR="00A31137" w:rsidRPr="00A31137" w:rsidRDefault="00A31137" w:rsidP="00A31137">
      <w:r w:rsidRPr="00A31137">
        <w:tab/>
        <w:t>(b) all components of erector-launcher mechanism shall be cut at locations that are not assembly joints into two pieces of approximately equal size;</w:t>
      </w:r>
    </w:p>
    <w:p w:rsidR="00A31137" w:rsidRPr="00A31137" w:rsidRDefault="00A31137" w:rsidP="00A31137">
      <w:r w:rsidRPr="00A31137">
        <w:tab/>
        <w:t>(c) missile launch support equipment, including external instrumentation compartments, shall be removed from launcher chassis; and</w:t>
      </w:r>
    </w:p>
    <w:p w:rsidR="00A31137" w:rsidRPr="00A31137" w:rsidRDefault="00A31137" w:rsidP="00A31137">
      <w:r w:rsidRPr="00A31137">
        <w:tab/>
        <w:t>(d) launcher chassis shall be cut at a location that is not an assembly joint into two pieces of approximately equal size.</w:t>
      </w:r>
    </w:p>
    <w:p w:rsidR="00A31137" w:rsidRPr="00A31137" w:rsidRDefault="00A31137" w:rsidP="00A31137">
      <w:r w:rsidRPr="00A31137">
        <w:t>For the Pershing IA:Missile:</w:t>
      </w:r>
    </w:p>
    <w:p w:rsidR="00A31137" w:rsidRPr="00A31137" w:rsidRDefault="00A31137" w:rsidP="00A31137">
      <w:r w:rsidRPr="00A31137">
        <w:t>Public Papers of Reagan, 1987, p.1468</w:t>
      </w:r>
    </w:p>
    <w:p w:rsidR="00A31137" w:rsidRPr="00A31137" w:rsidRDefault="00A31137" w:rsidP="00A31137">
      <w:r w:rsidRPr="00A31137">
        <w:t>(a) missile stages shall be eliminated by explosive demolition or burning;</w:t>
      </w:r>
    </w:p>
    <w:p w:rsidR="00A31137" w:rsidRPr="00A31137" w:rsidRDefault="00A31137" w:rsidP="00A31137">
      <w:r w:rsidRPr="00A31137">
        <w:t>Public Papers of Reagan, 1987, p.1469</w:t>
      </w:r>
    </w:p>
    <w:p w:rsidR="00A31137" w:rsidRPr="00A31137" w:rsidRDefault="00A31137" w:rsidP="00A31137">
      <w:r w:rsidRPr="00A31137">
        <w:t>(b) solid fuel, rocket nozzles and motor cases not destroyed in this process shall be burned, crushed, flattened or destroyed by explosion; and</w:t>
      </w:r>
    </w:p>
    <w:p w:rsidR="00A31137" w:rsidRPr="00A31137" w:rsidRDefault="00A31137" w:rsidP="00A31137">
      <w:r w:rsidRPr="00A31137">
        <w:tab/>
        <w:t>(c) front section, minus nuclear warhead device and guidance elements, shall be crushed or flattened.</w:t>
      </w:r>
    </w:p>
    <w:p w:rsidR="00A31137" w:rsidRPr="00A31137" w:rsidRDefault="00A31137" w:rsidP="00A31137">
      <w:r w:rsidRPr="00A31137">
        <w:t>Launcher:</w:t>
      </w:r>
    </w:p>
    <w:p w:rsidR="00A31137" w:rsidRPr="00A31137" w:rsidRDefault="00A31137" w:rsidP="00A31137">
      <w:r w:rsidRPr="00A31137">
        <w:t>Public Papers of Reagan, 1987, p.1469</w:t>
      </w:r>
    </w:p>
    <w:p w:rsidR="00A31137" w:rsidRPr="00A31137" w:rsidRDefault="00A31137" w:rsidP="00A31137">
      <w:r w:rsidRPr="00A31137">
        <w:t>(a) erector-launcher mechanism shall be removed from launcher chassis;</w:t>
      </w:r>
    </w:p>
    <w:p w:rsidR="00A31137" w:rsidRPr="00A31137" w:rsidRDefault="00A31137" w:rsidP="00A31137">
      <w:r w:rsidRPr="00A31137">
        <w:tab/>
        <w:t>(b) all components of erector-launcher mechanism shall be cut at locations that are not assembly joints into two pieces of approximately equal size;</w:t>
      </w:r>
    </w:p>
    <w:p w:rsidR="00A31137" w:rsidRPr="00A31137" w:rsidRDefault="00A31137" w:rsidP="00A31137">
      <w:r w:rsidRPr="00A31137">
        <w:tab/>
        <w:t>(c) missile launch support equipment, including external instrumentation compartments, shall be removed from launcher chassis; and</w:t>
      </w:r>
    </w:p>
    <w:p w:rsidR="00A31137" w:rsidRPr="00A31137" w:rsidRDefault="00A31137" w:rsidP="00A31137">
      <w:r w:rsidRPr="00A31137">
        <w:tab/>
        <w:t>(d) launcher chassis shall be cut at a location that is not an assembly joint into two pieces of approximately equal size.</w:t>
      </w:r>
    </w:p>
    <w:p w:rsidR="00A31137" w:rsidRPr="00A31137" w:rsidRDefault="00A31137" w:rsidP="00A31137">
      <w:r w:rsidRPr="00A31137">
        <w:t>For the Pershing IB:</w:t>
      </w:r>
    </w:p>
    <w:p w:rsidR="00A31137" w:rsidRPr="00A31137" w:rsidRDefault="00A31137" w:rsidP="00A31137">
      <w:r w:rsidRPr="00A31137">
        <w:t>Missile:</w:t>
      </w:r>
    </w:p>
    <w:p w:rsidR="00A31137" w:rsidRPr="00A31137" w:rsidRDefault="00A31137" w:rsidP="00A31137">
      <w:r w:rsidRPr="00A31137">
        <w:tab/>
        <w:t>(a) missile stage shall be eliminated by explosive demolition or burning;</w:t>
      </w:r>
    </w:p>
    <w:p w:rsidR="00A31137" w:rsidRPr="00A31137" w:rsidRDefault="00A31137" w:rsidP="00A31137">
      <w:r w:rsidRPr="00A31137">
        <w:tab/>
        <w:t>(b) solid fuel, rocket nozzle and motor case not destroyed in this process shall be burned, crushed, flattened or destroyed by explosion; and</w:t>
      </w:r>
    </w:p>
    <w:p w:rsidR="00A31137" w:rsidRPr="00A31137" w:rsidRDefault="00A31137" w:rsidP="00A31137">
      <w:r w:rsidRPr="00A31137">
        <w:tab/>
        <w:t>(c) front section, minus nuclear warhead device and guidance elements, shall be crushed or flattened.</w:t>
      </w:r>
    </w:p>
    <w:p w:rsidR="00A31137" w:rsidRPr="00A31137" w:rsidRDefault="00A31137" w:rsidP="00A31137">
      <w:r w:rsidRPr="00A31137">
        <w:t>For the SS-20:Missile:</w:t>
      </w:r>
    </w:p>
    <w:p w:rsidR="00A31137" w:rsidRPr="00A31137" w:rsidRDefault="00A31137" w:rsidP="00A31137">
      <w:r w:rsidRPr="00A31137">
        <w:t>Public Papers of Reagan, 1987, p.1469</w:t>
      </w:r>
    </w:p>
    <w:p w:rsidR="00A31137" w:rsidRPr="00A31137" w:rsidRDefault="00A31137" w:rsidP="00A31137">
      <w:r w:rsidRPr="00A31137">
        <w:t>(a) missile shall be eliminated by explosive demolition of the missile in its launch canister or by burning missile stages;</w:t>
      </w:r>
    </w:p>
    <w:p w:rsidR="00A31137" w:rsidRPr="00A31137" w:rsidRDefault="00A31137" w:rsidP="00A31137">
      <w:r w:rsidRPr="00A31137">
        <w:tab/>
        <w:t>(b) solid fuel, rocket nozzles and motor cases not destroyed in this process shall be burned, crushed, flattened or destroyed by explosion; and</w:t>
      </w:r>
    </w:p>
    <w:p w:rsidR="00A31137" w:rsidRPr="00A31137" w:rsidRDefault="00A31137" w:rsidP="00A31137">
      <w:r w:rsidRPr="00A31137">
        <w:tab/>
        <w:t>(c) front section, including reentry vehicles, minus nuclear warhead devices, and instrumentation compartment, minus guidance elements, shall be crushed or flattened.</w:t>
      </w:r>
    </w:p>
    <w:p w:rsidR="00A31137" w:rsidRPr="00A31137" w:rsidRDefault="00A31137" w:rsidP="00A31137">
      <w:r w:rsidRPr="00A31137">
        <w:t>Public Papers of Reagan, 1987, p.1469</w:t>
      </w:r>
    </w:p>
    <w:p w:rsidR="00A31137" w:rsidRPr="00A31137" w:rsidRDefault="00A31137" w:rsidP="00A31137">
      <w:r w:rsidRPr="00A31137">
        <w:t>Launch Canister: launch canister shall be destroyed by explosive demolition together with a missile, or shall be destroyed separately by explosion, cut into two pieces of approximately equal size, crushed or flattened.</w:t>
      </w:r>
    </w:p>
    <w:p w:rsidR="00A31137" w:rsidRPr="00A31137" w:rsidRDefault="00A31137" w:rsidP="00A31137">
      <w:r w:rsidRPr="00A31137">
        <w:t>Launcher:</w:t>
      </w:r>
    </w:p>
    <w:p w:rsidR="00A31137" w:rsidRPr="00A31137" w:rsidRDefault="00A31137" w:rsidP="00A31137">
      <w:r w:rsidRPr="00A31137">
        <w:t>Public Papers of Reagan, 1987, p.1469</w:t>
      </w:r>
    </w:p>
    <w:p w:rsidR="00A31137" w:rsidRPr="00A31137" w:rsidRDefault="00A31137" w:rsidP="00A31137">
      <w:r w:rsidRPr="00A31137">
        <w:t>(a) erector-launcher mechanism shall be removed from launcher chassis;</w:t>
      </w:r>
    </w:p>
    <w:p w:rsidR="00A31137" w:rsidRPr="00A31137" w:rsidRDefault="00A31137" w:rsidP="00A31137">
      <w:r w:rsidRPr="00A31137">
        <w:tab/>
        <w:t>(b) all components of erector-launcher mechanism shall be cut at locations that are not assembly joints into two pieces of approximately equal size;</w:t>
      </w:r>
    </w:p>
    <w:p w:rsidR="00A31137" w:rsidRPr="00A31137" w:rsidRDefault="00A31137" w:rsidP="00A31137">
      <w:r w:rsidRPr="00A31137">
        <w:tab/>
        <w:t>(c) missile launch support equipment, including external instrumentation compartments, shall be removed from launcher chassis;</w:t>
      </w:r>
    </w:p>
    <w:p w:rsidR="00A31137" w:rsidRPr="00A31137" w:rsidRDefault="00A31137" w:rsidP="00A31137">
      <w:r w:rsidRPr="00A31137">
        <w:tab/>
        <w:t>(d) mountings of erector-launcher mechanism and launcher leveling supports shall be cut off launcher chassis;</w:t>
      </w:r>
    </w:p>
    <w:p w:rsidR="00A31137" w:rsidRPr="00A31137" w:rsidRDefault="00A31137" w:rsidP="00A31137">
      <w:r w:rsidRPr="00A31137">
        <w:tab/>
        <w:t>(e) launcher leveling supports shall be cut at locations that are not assembly joints into two pieces of approximately equal size; and</w:t>
      </w:r>
    </w:p>
    <w:p w:rsidR="00A31137" w:rsidRPr="00A31137" w:rsidRDefault="00A31137" w:rsidP="00A31137">
      <w:r w:rsidRPr="00A31137">
        <w:tab/>
        <w:t>(f) a portion of the launcher chassis, at least 0.78 meters in length, shall be cut off aft of the rear axle.</w:t>
      </w:r>
    </w:p>
    <w:p w:rsidR="00A31137" w:rsidRPr="00A31137" w:rsidRDefault="00A31137" w:rsidP="00A31137">
      <w:r w:rsidRPr="00A31137">
        <w:t>Missile Transporter Vehicle:</w:t>
      </w:r>
    </w:p>
    <w:p w:rsidR="00A31137" w:rsidRPr="00A31137" w:rsidRDefault="00A31137" w:rsidP="00A31137">
      <w:r w:rsidRPr="00A31137">
        <w:t>Public Papers of Reagan, 1987, p.1469</w:t>
      </w:r>
    </w:p>
    <w:p w:rsidR="00A31137" w:rsidRPr="00A31137" w:rsidRDefault="00A31137" w:rsidP="00A31137">
      <w:r w:rsidRPr="00A31137">
        <w:t>(a) all mechanisms associated with missile loading and mounting shall be removed from transporter vehicle chassis;</w:t>
      </w:r>
    </w:p>
    <w:p w:rsidR="00A31137" w:rsidRPr="00A31137" w:rsidRDefault="00A31137" w:rsidP="00A31137">
      <w:r w:rsidRPr="00A31137">
        <w:tab/>
        <w:t>(b) all mountings of such mechanisms shall be cut off transporter vehicle chassis;</w:t>
      </w:r>
    </w:p>
    <w:p w:rsidR="00A31137" w:rsidRPr="00A31137" w:rsidRDefault="00A31137" w:rsidP="00A31137">
      <w:r w:rsidRPr="00A31137">
        <w:tab/>
        <w:t>(c) all components of the mechanisms associated with missile loading and mounting shall be cut at locations that are not assembly joints into two pieces of approximately equal size;</w:t>
      </w:r>
    </w:p>
    <w:p w:rsidR="00A31137" w:rsidRPr="00A31137" w:rsidRDefault="00A31137" w:rsidP="00A31137">
      <w:r w:rsidRPr="00A31137">
        <w:tab/>
        <w:t>(d) external instrumentation compartments shall be removed from transporter vehicle chassis;</w:t>
      </w:r>
    </w:p>
    <w:p w:rsidR="00A31137" w:rsidRPr="00A31137" w:rsidRDefault="00A31137" w:rsidP="00A31137">
      <w:r w:rsidRPr="00A31137">
        <w:tab/>
        <w:t>(e) transporter vehicle leveling supports shall be cut off transporter vehicle chassis and cut at locations that are not assembly joints into two pieces of approximately equal size; and</w:t>
      </w:r>
    </w:p>
    <w:p w:rsidR="00A31137" w:rsidRPr="00A31137" w:rsidRDefault="00A31137" w:rsidP="00A31137">
      <w:r w:rsidRPr="00A31137">
        <w:tab/>
        <w:t>(f) a portion of the transporter vehicle chassis, at least 0.78 meters in length, shall be cut off aft of the rear axle.</w:t>
      </w:r>
    </w:p>
    <w:p w:rsidR="00A31137" w:rsidRPr="00A31137" w:rsidRDefault="00A31137" w:rsidP="00A31137">
      <w:r w:rsidRPr="00A31137">
        <w:t>For the SS-4:Missile:</w:t>
      </w:r>
    </w:p>
    <w:p w:rsidR="00A31137" w:rsidRPr="00A31137" w:rsidRDefault="00A31137" w:rsidP="00A31137">
      <w:r w:rsidRPr="00A31137">
        <w:t>Public Papers of Reagan, 1987, p.1469–p.1470</w:t>
      </w:r>
    </w:p>
    <w:p w:rsidR="00A31137" w:rsidRPr="00A31137" w:rsidRDefault="00A31137" w:rsidP="00A31137">
      <w:r w:rsidRPr="00A31137">
        <w:t>(a) nozzles of propulsion system shall be cut off at locations that are not assembly joints;</w:t>
      </w:r>
    </w:p>
    <w:p w:rsidR="00A31137" w:rsidRPr="00A31137" w:rsidRDefault="00A31137" w:rsidP="00A31137">
      <w:r w:rsidRPr="00A31137">
        <w:tab/>
        <w:t>(b) all propellant tanks shall be cut into two pieces of approximately equal size;</w:t>
      </w:r>
    </w:p>
    <w:p w:rsidR="00A31137" w:rsidRPr="00A31137" w:rsidRDefault="00A31137" w:rsidP="00A31137">
      <w:r w:rsidRPr="00A31137">
        <w:tab/>
        <w:t>(c) instrumentation compartment, minus [p.1470] guidance elements, shall be cut into two pieces of approximately equal size; and</w:t>
      </w:r>
    </w:p>
    <w:p w:rsidR="00A31137" w:rsidRPr="00A31137" w:rsidRDefault="00A31137" w:rsidP="00A31137">
      <w:r w:rsidRPr="00A31137">
        <w:tab/>
        <w:t>(d) front section, minus nuclear warhead device, shall be crushed or flattened. Launch Stand: launch stand components shall be cut at locations that are not assembly joints into two pieces of approximately equal size.</w:t>
      </w:r>
    </w:p>
    <w:p w:rsidR="00A31137" w:rsidRPr="00A31137" w:rsidRDefault="00A31137" w:rsidP="00A31137">
      <w:r w:rsidRPr="00A31137">
        <w:t>Missile Erector:</w:t>
      </w:r>
    </w:p>
    <w:p w:rsidR="00A31137" w:rsidRPr="00A31137" w:rsidRDefault="00A31137" w:rsidP="00A31137">
      <w:r w:rsidRPr="00A31137">
        <w:t>Public Papers of Reagan, 1987, p.1470</w:t>
      </w:r>
    </w:p>
    <w:p w:rsidR="00A31137" w:rsidRPr="00A31137" w:rsidRDefault="00A31137" w:rsidP="00A31137">
      <w:r w:rsidRPr="00A31137">
        <w:t>(a) jib, missile erector leveling supports and missile erector mechanism shall be cut off missile erector at locations that are not assembly joints; and</w:t>
      </w:r>
    </w:p>
    <w:p w:rsidR="00A31137" w:rsidRPr="00A31137" w:rsidRDefault="00A31137" w:rsidP="00A31137">
      <w:r w:rsidRPr="00A31137">
        <w:tab/>
        <w:t>(b) jib and missile erector leveling supports shall be cut into two pieces of approximately equal size.</w:t>
      </w:r>
    </w:p>
    <w:p w:rsidR="00A31137" w:rsidRPr="00A31137" w:rsidRDefault="00A31137" w:rsidP="00A31137">
      <w:r w:rsidRPr="00A31137">
        <w:t>Public Papers of Reagan, 1987, p.1470</w:t>
      </w:r>
    </w:p>
    <w:p w:rsidR="00A31137" w:rsidRPr="00A31137" w:rsidRDefault="00A31137" w:rsidP="00A31137">
      <w:r w:rsidRPr="00A31137">
        <w:t>Missile Transporter Vehicle: mounting components for a missile and for a missile's erector mechanism as well as supports for erecting a missile onto a launcher shall be cut off transporter vehicle at locations that are not assembly joints.</w:t>
      </w:r>
    </w:p>
    <w:p w:rsidR="00A31137" w:rsidRPr="00A31137" w:rsidRDefault="00A31137" w:rsidP="00A31137">
      <w:r w:rsidRPr="00A31137">
        <w:t>For the SS-5:Missile:</w:t>
      </w:r>
    </w:p>
    <w:p w:rsidR="00A31137" w:rsidRPr="00A31137" w:rsidRDefault="00A31137" w:rsidP="00A31137">
      <w:r w:rsidRPr="00A31137">
        <w:t>Public Papers of Reagan, 1987, p.1470</w:t>
      </w:r>
    </w:p>
    <w:p w:rsidR="00A31137" w:rsidRPr="00A31137" w:rsidRDefault="00A31137" w:rsidP="00A31137">
      <w:r w:rsidRPr="00A31137">
        <w:t>(a) nozzles of propulsion system shall be cut off at locations that are not assembly joints;</w:t>
      </w:r>
    </w:p>
    <w:p w:rsidR="00A31137" w:rsidRPr="00A31137" w:rsidRDefault="00A31137" w:rsidP="00A31137">
      <w:r w:rsidRPr="00A31137">
        <w:tab/>
        <w:t>(b) all propellant tanks shall be cut into two pieces of approximately equal size; and</w:t>
      </w:r>
    </w:p>
    <w:p w:rsidR="00A31137" w:rsidRPr="00A31137" w:rsidRDefault="00A31137" w:rsidP="00A31137">
      <w:r w:rsidRPr="00A31137">
        <w:tab/>
        <w:t>(c) instrumentation compartment, minus guidance elements, shall be cut into two pieces of approximately equal size.</w:t>
      </w:r>
    </w:p>
    <w:p w:rsidR="00A31137" w:rsidRPr="00A31137" w:rsidRDefault="00A31137" w:rsidP="00A31137">
      <w:r w:rsidRPr="00A31137">
        <w:t>For the SSC-X-4:Missile:</w:t>
      </w:r>
    </w:p>
    <w:p w:rsidR="00A31137" w:rsidRPr="00A31137" w:rsidRDefault="00A31137" w:rsidP="00A31137">
      <w:r w:rsidRPr="00A31137">
        <w:t>Public Papers of Reagan, 1987, p.1470</w:t>
      </w:r>
    </w:p>
    <w:p w:rsidR="00A31137" w:rsidRPr="00A31137" w:rsidRDefault="00A31137" w:rsidP="00A31137">
      <w:r w:rsidRPr="00A31137">
        <w:t>(a) missile airframe shall be cut longitudinally into two pieces;</w:t>
      </w:r>
    </w:p>
    <w:p w:rsidR="00A31137" w:rsidRPr="00A31137" w:rsidRDefault="00A31137" w:rsidP="00A31137">
      <w:r w:rsidRPr="00A31137">
        <w:tab/>
        <w:t>(b) wings and tail section shall be severed from missile airframe at locations that are not assembly joints; and</w:t>
      </w:r>
    </w:p>
    <w:p w:rsidR="00A31137" w:rsidRPr="00A31137" w:rsidRDefault="00A31137" w:rsidP="00A31137">
      <w:r w:rsidRPr="00A31137">
        <w:tab/>
        <w:t>(c) front section, minus nuclear warhead device and guidance elements, shall be crushed or flattened.</w:t>
      </w:r>
    </w:p>
    <w:p w:rsidR="00A31137" w:rsidRPr="00A31137" w:rsidRDefault="00A31137" w:rsidP="00A31137">
      <w:r w:rsidRPr="00A31137">
        <w:t>Public Papers of Reagan, 1987, p.1470</w:t>
      </w:r>
    </w:p>
    <w:p w:rsidR="00A31137" w:rsidRPr="00A31137" w:rsidRDefault="00A31137" w:rsidP="00A31137">
      <w:r w:rsidRPr="00A31137">
        <w:t>Launch Canister: launch canister shall be crushed, flattened, cut into two pieces of approximately equal size or destroyed by explosion.</w:t>
      </w:r>
    </w:p>
    <w:p w:rsidR="00A31137" w:rsidRPr="00A31137" w:rsidRDefault="00A31137" w:rsidP="00A31137">
      <w:r w:rsidRPr="00A31137">
        <w:t>Launcher:</w:t>
      </w:r>
    </w:p>
    <w:p w:rsidR="00A31137" w:rsidRPr="00A31137" w:rsidRDefault="00A31137" w:rsidP="00A31137">
      <w:r w:rsidRPr="00A31137">
        <w:t>Public Papers of Reagan, 1987, p.1470</w:t>
      </w:r>
    </w:p>
    <w:p w:rsidR="00A31137" w:rsidRPr="00A31137" w:rsidRDefault="00A31137" w:rsidP="00A31137">
      <w:r w:rsidRPr="00A31137">
        <w:t>(a) erector-launcher mechanism shall be removed from launcher chassis;</w:t>
      </w:r>
    </w:p>
    <w:p w:rsidR="00A31137" w:rsidRPr="00A31137" w:rsidRDefault="00A31137" w:rsidP="00A31137">
      <w:r w:rsidRPr="00A31137">
        <w:tab/>
        <w:t>(b) all components of erector-launcher mechanism shall be cut at locations that are not assembly joints into two pieces of approximately equal size;</w:t>
      </w:r>
    </w:p>
    <w:p w:rsidR="00A31137" w:rsidRPr="00A31137" w:rsidRDefault="00A31137" w:rsidP="00A31137">
      <w:r w:rsidRPr="00A31137">
        <w:tab/>
        <w:t>(c) missile launch support equipment, eluding external instrumentation compartments, shall be removed from launcher chassis;</w:t>
      </w:r>
    </w:p>
    <w:p w:rsidR="00A31137" w:rsidRPr="00A31137" w:rsidRDefault="00A31137" w:rsidP="00A31137">
      <w:r w:rsidRPr="00A31137">
        <w:tab/>
        <w:t>(d) mountings of erector-launcher mechanism and launcher leveling supports shall be cut off launcher chassis;</w:t>
      </w:r>
    </w:p>
    <w:p w:rsidR="00A31137" w:rsidRPr="00A31137" w:rsidRDefault="00A31137" w:rsidP="00A31137">
      <w:r w:rsidRPr="00A31137">
        <w:tab/>
        <w:t>(e) launcher leveling supports shall be cut at locations that are not assembly joints into two pieces of approximately equal size; and</w:t>
      </w:r>
    </w:p>
    <w:p w:rsidR="00A31137" w:rsidRPr="00A31137" w:rsidRDefault="00A31137" w:rsidP="00A31137">
      <w:r w:rsidRPr="00A31137">
        <w:tab/>
        <w:t>(f) the launcher chassis shall be severed at a location determined by measuring no more than 0.70 meters rearward from the rear axle.</w:t>
      </w:r>
    </w:p>
    <w:p w:rsidR="00A31137" w:rsidRPr="00A31137" w:rsidRDefault="00A31137" w:rsidP="00A31137">
      <w:r w:rsidRPr="00A31137">
        <w:t>For the SS-12:Missile:</w:t>
      </w:r>
    </w:p>
    <w:p w:rsidR="00A31137" w:rsidRPr="00A31137" w:rsidRDefault="00A31137" w:rsidP="00A31137">
      <w:r w:rsidRPr="00A31137">
        <w:t>Public Papers of Reagan, 1987, p.1470</w:t>
      </w:r>
    </w:p>
    <w:p w:rsidR="00A31137" w:rsidRPr="00A31137" w:rsidRDefault="00A31137" w:rsidP="00A31137">
      <w:r w:rsidRPr="00A31137">
        <w:t>(a) missile shall be eliminated by explosive demolition or by burning missile stages;</w:t>
      </w:r>
    </w:p>
    <w:p w:rsidR="00A31137" w:rsidRPr="00A31137" w:rsidRDefault="00A31137" w:rsidP="00A31137">
      <w:r w:rsidRPr="00A31137">
        <w:tab/>
        <w:t>(b) solid fuel, rocket nozzles and motor eases not destroyed in this process shall be burned, crushed, flattened or destroyed by explosion; and</w:t>
      </w:r>
    </w:p>
    <w:p w:rsidR="00A31137" w:rsidRPr="00A31137" w:rsidRDefault="00A31137" w:rsidP="00A31137">
      <w:r w:rsidRPr="00A31137">
        <w:tab/>
        <w:t>(c) front section, minus nuclear warhead device, and instrumentation compartment, minus guidance elements, shall be crushed, flattened or destroyed by explosive demolition together with a missile.</w:t>
      </w:r>
    </w:p>
    <w:p w:rsidR="00A31137" w:rsidRPr="00A31137" w:rsidRDefault="00A31137" w:rsidP="00A31137">
      <w:r w:rsidRPr="00A31137">
        <w:t>Launcher:</w:t>
      </w:r>
    </w:p>
    <w:p w:rsidR="00A31137" w:rsidRPr="00A31137" w:rsidRDefault="00A31137" w:rsidP="00A31137">
      <w:r w:rsidRPr="00A31137">
        <w:t>Public Papers of Reagan, 1987, p.1470–p.1471</w:t>
      </w:r>
    </w:p>
    <w:p w:rsidR="00A31137" w:rsidRPr="00A31137" w:rsidRDefault="00A31137" w:rsidP="00A31137">
      <w:r w:rsidRPr="00A31137">
        <w:t>(a) erector-launcher mechanism shall be removed from launcher chassis;</w:t>
      </w:r>
    </w:p>
    <w:p w:rsidR="00A31137" w:rsidRPr="00A31137" w:rsidRDefault="00A31137" w:rsidP="00A31137">
      <w:r w:rsidRPr="00A31137">
        <w:tab/>
        <w:t>(b) all components of erector-launcher mechanism shall be cut at locations that are not assembly joints into two pieces of approximately equal size;</w:t>
      </w:r>
    </w:p>
    <w:p w:rsidR="00A31137" w:rsidRPr="00A31137" w:rsidRDefault="00A31137" w:rsidP="00A31137">
      <w:r w:rsidRPr="00A31137">
        <w:tab/>
        <w:t>(c) missile launch support equipment, including external instrumentation compartments, shall be removed from launcher chassis;</w:t>
      </w:r>
    </w:p>
    <w:p w:rsidR="00A31137" w:rsidRPr="00A31137" w:rsidRDefault="00A31137" w:rsidP="00A31137">
      <w:r w:rsidRPr="00A31137">
        <w:tab/>
        <w:t>(d) mountings of erector-launcher mechanism and launcher leveling supports shall be cut off launcher chassis;</w:t>
      </w:r>
    </w:p>
    <w:p w:rsidR="00A31137" w:rsidRPr="00A31137" w:rsidRDefault="00A31137" w:rsidP="00A31137">
      <w:r w:rsidRPr="00A31137">
        <w:tab/>
        <w:t>(e) launcher leveling supports shall be cut at locations that are not assembly joints into two pieces of approximately equal size; and</w:t>
      </w:r>
    </w:p>
    <w:p w:rsidR="00A31137" w:rsidRPr="00A31137" w:rsidRDefault="00A31137" w:rsidP="00A31137">
      <w:r w:rsidRPr="00A31137">
        <w:tab/>
        <w:t>(f) a portion of the launcher chassis, at least 1.10 meters in length, shall be cut [p.1471] off aft of the rear axle.</w:t>
      </w:r>
    </w:p>
    <w:p w:rsidR="00A31137" w:rsidRPr="00A31137" w:rsidRDefault="00A31137" w:rsidP="00A31137">
      <w:r w:rsidRPr="00A31137">
        <w:t>Missile Transporter Vehicle:</w:t>
      </w:r>
    </w:p>
    <w:p w:rsidR="00A31137" w:rsidRPr="00A31137" w:rsidRDefault="00A31137" w:rsidP="00A31137">
      <w:r w:rsidRPr="00A31137">
        <w:t>Public Papers of Reagan, 1987, p.1471</w:t>
      </w:r>
    </w:p>
    <w:p w:rsidR="00A31137" w:rsidRPr="00A31137" w:rsidRDefault="00A31137" w:rsidP="00A31137">
      <w:r w:rsidRPr="00A31137">
        <w:t>(a) all mechanisms associated with missile loading and mounting shall be removed from transporter vehicle chassis;</w:t>
      </w:r>
    </w:p>
    <w:p w:rsidR="00A31137" w:rsidRPr="00A31137" w:rsidRDefault="00A31137" w:rsidP="00A31137">
      <w:r w:rsidRPr="00A31137">
        <w:tab/>
        <w:t>(b) all mountings of such mechanisms shall be cut off transporter vehicle chassis;</w:t>
      </w:r>
    </w:p>
    <w:p w:rsidR="00A31137" w:rsidRPr="00A31137" w:rsidRDefault="00A31137" w:rsidP="00A31137">
      <w:r w:rsidRPr="00A31137">
        <w:tab/>
        <w:t>(c) all components of the mechanisms associated with missile loading and mounting shall be cut at locations that are not assembly joints into two pieces of approximately equal size;</w:t>
      </w:r>
    </w:p>
    <w:p w:rsidR="00A31137" w:rsidRPr="00A31137" w:rsidRDefault="00A31137" w:rsidP="00A31137">
      <w:r w:rsidRPr="00A31137">
        <w:tab/>
        <w:t>(d) external instrumentation compartments shall be removed from transporter vehicle chassis;</w:t>
      </w:r>
    </w:p>
    <w:p w:rsidR="00A31137" w:rsidRPr="00A31137" w:rsidRDefault="00A31137" w:rsidP="00A31137">
      <w:r w:rsidRPr="00A31137">
        <w:tab/>
        <w:t>(e) transporter vehicle leveling supports shall be cut off transporter vehicle chassis and cut at locations that are not assembly joints into two pieces of approximately equal size; and</w:t>
      </w:r>
    </w:p>
    <w:p w:rsidR="00A31137" w:rsidRPr="00A31137" w:rsidRDefault="00A31137" w:rsidP="00A31137">
      <w:r w:rsidRPr="00A31137">
        <w:tab/>
        <w:t>(f) a portion of the transporter vehicle chassis, at least 1.10 meters in length, shall be cut off aft of the rear axle.</w:t>
      </w:r>
    </w:p>
    <w:p w:rsidR="00A31137" w:rsidRPr="00A31137" w:rsidRDefault="00A31137" w:rsidP="00A31137">
      <w:r w:rsidRPr="00A31137">
        <w:t>For the SS-23:</w:t>
      </w:r>
    </w:p>
    <w:p w:rsidR="00A31137" w:rsidRPr="00A31137" w:rsidRDefault="00A31137" w:rsidP="00A31137">
      <w:r w:rsidRPr="00A31137">
        <w:t>Missile:</w:t>
      </w:r>
    </w:p>
    <w:p w:rsidR="00A31137" w:rsidRPr="00A31137" w:rsidRDefault="00A31137" w:rsidP="00A31137">
      <w:r w:rsidRPr="00A31137">
        <w:t>Public Papers of Reagan, 1987, p.1471</w:t>
      </w:r>
    </w:p>
    <w:p w:rsidR="00A31137" w:rsidRPr="00A31137" w:rsidRDefault="00A31137" w:rsidP="00A31137">
      <w:r w:rsidRPr="00A31137">
        <w:t>(a) missile shall be eliminated by explosive demolition or by burning the missile stage;</w:t>
      </w:r>
    </w:p>
    <w:p w:rsidR="00A31137" w:rsidRPr="00A31137" w:rsidRDefault="00A31137" w:rsidP="00A31137">
      <w:r w:rsidRPr="00A31137">
        <w:tab/>
        <w:t>(b) solid fuel, rocket nozzle and motor case not destroyed in this process shall be burned, crushed, flattened or destroyed by explosion; and</w:t>
      </w:r>
    </w:p>
    <w:p w:rsidR="00A31137" w:rsidRPr="00A31137" w:rsidRDefault="00A31137" w:rsidP="00A31137">
      <w:r w:rsidRPr="00A31137">
        <w:tab/>
        <w:t>(c) front section, minus nuclear warhead device, and instrumentation compartment, minus guidance elements, shall be crushed, flattened, or destroyed by explosive demolition together with a missile.</w:t>
      </w:r>
    </w:p>
    <w:p w:rsidR="00A31137" w:rsidRPr="00A31137" w:rsidRDefault="00A31137" w:rsidP="00A31137">
      <w:r w:rsidRPr="00A31137">
        <w:t>Launcher:</w:t>
      </w:r>
    </w:p>
    <w:p w:rsidR="00A31137" w:rsidRPr="00A31137" w:rsidRDefault="00A31137" w:rsidP="00A31137">
      <w:r w:rsidRPr="00A31137">
        <w:t>Public Papers of Reagan, 1987, p.1471</w:t>
      </w:r>
    </w:p>
    <w:p w:rsidR="00A31137" w:rsidRPr="00A31137" w:rsidRDefault="00A31137" w:rsidP="00A31137">
      <w:r w:rsidRPr="00A31137">
        <w:t>(a) erector-launcher mechanism shall be removed from launcher body;</w:t>
      </w:r>
    </w:p>
    <w:p w:rsidR="00A31137" w:rsidRPr="00A31137" w:rsidRDefault="00A31137" w:rsidP="00A31137">
      <w:r w:rsidRPr="00A31137">
        <w:tab/>
        <w:t>(b) all components of erector-launcher mechanism shall be cut at locations that are not assembly joints into two pieces of approximately equal size;</w:t>
      </w:r>
    </w:p>
    <w:p w:rsidR="00A31137" w:rsidRPr="00A31137" w:rsidRDefault="00A31137" w:rsidP="00A31137">
      <w:r w:rsidRPr="00A31137">
        <w:tab/>
        <w:t>(c) missile launch support equipment shall be removed from launcher body;</w:t>
      </w:r>
    </w:p>
    <w:p w:rsidR="00A31137" w:rsidRPr="00A31137" w:rsidRDefault="00A31137" w:rsidP="00A31137">
      <w:r w:rsidRPr="00A31137">
        <w:tab/>
        <w:t>(d) mountings of erector-launcher mechanism and launcher leveling supports shall be cut off launcher body;</w:t>
      </w:r>
    </w:p>
    <w:p w:rsidR="00A31137" w:rsidRPr="00A31137" w:rsidRDefault="00A31137" w:rsidP="00A31137">
      <w:r w:rsidRPr="00A31137">
        <w:tab/>
        <w:t>(e) launcher leveling supports shall be cut at locations that are not assembly joints into two pieces of approximately equal size;</w:t>
      </w:r>
    </w:p>
    <w:p w:rsidR="00A31137" w:rsidRPr="00A31137" w:rsidRDefault="00A31137" w:rsidP="00A31137">
      <w:r w:rsidRPr="00A31137">
        <w:tab/>
        <w:t>(f) each environmental cover of the launcher body shall be removed and cut into two pieces of approximately equal size; and</w:t>
      </w:r>
    </w:p>
    <w:p w:rsidR="00A31137" w:rsidRPr="00A31137" w:rsidRDefault="00A31137" w:rsidP="00A31137">
      <w:r w:rsidRPr="00A31137">
        <w:tab/>
        <w:t>(g) a portion of the launcher body, at least 0.85 meters in length, shall be cut off aft of the rear axle.</w:t>
      </w:r>
    </w:p>
    <w:p w:rsidR="00A31137" w:rsidRPr="00A31137" w:rsidRDefault="00A31137" w:rsidP="00A31137">
      <w:r w:rsidRPr="00A31137">
        <w:t>Missile Transporter Vehicle:</w:t>
      </w:r>
    </w:p>
    <w:p w:rsidR="00A31137" w:rsidRPr="00A31137" w:rsidRDefault="00A31137" w:rsidP="00A31137">
      <w:r w:rsidRPr="00A31137">
        <w:t>Public Papers of Reagan, 1987, p.1471</w:t>
      </w:r>
    </w:p>
    <w:p w:rsidR="00A31137" w:rsidRPr="00A31137" w:rsidRDefault="00A31137" w:rsidP="00A31137">
      <w:r w:rsidRPr="00A31137">
        <w:t>(a) all mechanisms associated with missile loading and mounting shall be removed from transporter vehicle body;</w:t>
      </w:r>
    </w:p>
    <w:p w:rsidR="00A31137" w:rsidRPr="00A31137" w:rsidRDefault="00A31137" w:rsidP="00A31137">
      <w:r w:rsidRPr="00A31137">
        <w:tab/>
        <w:t>(b) all mountings of such mechanisms shall be cut off transporter vehicle body;</w:t>
      </w:r>
    </w:p>
    <w:p w:rsidR="00A31137" w:rsidRPr="00A31137" w:rsidRDefault="00A31137" w:rsidP="00A31137">
      <w:r w:rsidRPr="00A31137">
        <w:tab/>
        <w:t>(c) all components of mechanisms associated with missile loading and mounting shall be cut at locations that are not assembly joints into two pieces of approximately equal size;</w:t>
      </w:r>
    </w:p>
    <w:p w:rsidR="00A31137" w:rsidRPr="00A31137" w:rsidRDefault="00A31137" w:rsidP="00A31137">
      <w:r w:rsidRPr="00A31137">
        <w:tab/>
        <w:t>(d) control equipment of the mechanism associated with missile loading shall be removed from transporter vehicle body;</w:t>
      </w:r>
    </w:p>
    <w:p w:rsidR="00A31137" w:rsidRPr="00A31137" w:rsidRDefault="00A31137" w:rsidP="00A31137">
      <w:r w:rsidRPr="00A31137">
        <w:tab/>
        <w:t>(e) transporter vehicle leveling supports shall be cut off transporter vehicle body and cut at locations that are not assembly joints into two pieces of approximately equal size; and</w:t>
      </w:r>
    </w:p>
    <w:p w:rsidR="00A31137" w:rsidRPr="00A31137" w:rsidRDefault="00A31137" w:rsidP="00A31137">
      <w:r w:rsidRPr="00A31137">
        <w:tab/>
        <w:t>(f) a portion of the transporter vehicle body, at least 0.85 meters in length, shall be cut off aft of the rear axle.</w:t>
      </w:r>
    </w:p>
    <w:p w:rsidR="00A31137" w:rsidRPr="00A31137" w:rsidRDefault="00A31137" w:rsidP="00A31137">
      <w:r w:rsidRPr="00A31137">
        <w:t>Public Papers of Reagan, 1987, p.1471</w:t>
      </w:r>
    </w:p>
    <w:p w:rsidR="00A31137" w:rsidRPr="00A31137" w:rsidRDefault="00A31137" w:rsidP="00A31137">
      <w:r w:rsidRPr="00A31137">
        <w:t>11. The specific procedures for the elimination of the training missiles, training missile stages, training launch canisters and training launchers indicated in paragraph 1 of this Section shall be as follows:</w:t>
      </w:r>
    </w:p>
    <w:p w:rsidR="00A31137" w:rsidRPr="00A31137" w:rsidRDefault="00A31137" w:rsidP="00A31137">
      <w:r w:rsidRPr="00A31137">
        <w:t>Public Papers of Reagan, 1987, p.1471</w:t>
      </w:r>
    </w:p>
    <w:p w:rsidR="00A31137" w:rsidRPr="00A31137" w:rsidRDefault="00A31137" w:rsidP="00A31137">
      <w:r w:rsidRPr="00A31137">
        <w:t>Training Missile and Training Missile Stage: training missile and training missile stage shall be crushed, flattened, cut into two pieces of approximately equal size or destroyed by explosion.</w:t>
      </w:r>
    </w:p>
    <w:p w:rsidR="00A31137" w:rsidRPr="00A31137" w:rsidRDefault="00A31137" w:rsidP="00A31137">
      <w:r w:rsidRPr="00A31137">
        <w:t>Public Papers of Reagan, 1987, p.1471</w:t>
      </w:r>
    </w:p>
    <w:p w:rsidR="00A31137" w:rsidRPr="00A31137" w:rsidRDefault="00A31137" w:rsidP="00A31137">
      <w:r w:rsidRPr="00A31137">
        <w:t>Training Launch Canister: training launch canister shall be crushed, flattened, cut into two pieces of approximately equal size or destroyed by explosion.</w:t>
      </w:r>
    </w:p>
    <w:p w:rsidR="00A31137" w:rsidRPr="00A31137" w:rsidRDefault="00A31137" w:rsidP="00A31137">
      <w:r w:rsidRPr="00A31137">
        <w:t>Public Papers of Reagan, 1987, p.147</w:t>
      </w:r>
    </w:p>
    <w:p w:rsidR="00A31137" w:rsidRPr="00A31137" w:rsidRDefault="00A31137" w:rsidP="00A31137">
      <w:r w:rsidRPr="00A31137">
        <w:t>Training Launcher: training launcher chassis shall be cut at the same location designated in paragraph 10 of this Section for launcher of the same type of missile.</w:t>
      </w:r>
    </w:p>
    <w:p w:rsidR="00A31137" w:rsidRPr="00A31137" w:rsidRDefault="00A31137" w:rsidP="00A31137">
      <w:r w:rsidRPr="00A31137">
        <w:t>III. Elimination of Missiles by Means of Launching</w:t>
      </w:r>
    </w:p>
    <w:p w:rsidR="00A31137" w:rsidRPr="00A31137" w:rsidRDefault="00A31137" w:rsidP="00A31137">
      <w:r w:rsidRPr="00A31137">
        <w:t>Public Papers of Reagan, 1987, p.1472</w:t>
      </w:r>
    </w:p>
    <w:p w:rsidR="00A31137" w:rsidRPr="00A31137" w:rsidRDefault="00A31137" w:rsidP="00A31137">
      <w:r w:rsidRPr="00A31137">
        <w:t>1. Elimination of missiles by means of launching pursuant to paragraph 5 of Article X of the Treaty shall be subject to on-site inspection in accordance with paragraph 7 of Article XI of the Treaty and the Protocol on Inspection. Immediately prior to each launch conducted for the purpose of elimination, an inspector from the inspecting Party shall confirm by visual observation the type of missile to be launched.</w:t>
      </w:r>
    </w:p>
    <w:p w:rsidR="00A31137" w:rsidRPr="00A31137" w:rsidRDefault="00A31137" w:rsidP="00A31137">
      <w:r w:rsidRPr="00A31137">
        <w:tab/>
        <w:t>2. All missiles being eliminated by means of launching shall be launched from designated elimination facilities to existing impact areas for such missiles. No such missile shall be used as a target vehicle for a ballistic missile interceptor.</w:t>
      </w:r>
    </w:p>
    <w:p w:rsidR="00A31137" w:rsidRPr="00A31137" w:rsidRDefault="00A31137" w:rsidP="00A31137">
      <w:r w:rsidRPr="00A31137">
        <w:t>Public Papers of Reagan, 1987, p.1472</w:t>
      </w:r>
    </w:p>
    <w:p w:rsidR="00A31137" w:rsidRPr="00A31137" w:rsidRDefault="00A31137" w:rsidP="00A31137">
      <w:r w:rsidRPr="00A31137">
        <w:t>3. Missiles being eliminated by means of launching shall be launched one at a time, and no less than six hours shall elapse between such launches.</w:t>
      </w:r>
    </w:p>
    <w:p w:rsidR="00A31137" w:rsidRPr="00A31137" w:rsidRDefault="00A31137" w:rsidP="00A31137">
      <w:r w:rsidRPr="00A31137">
        <w:tab/>
        <w:t>4. Such launches shall involve ignition of all missile stages. Neither Party shall transmit or recover data from missiles being eliminated by means of launching except for unencrypted data used for range safety purposes.</w:t>
      </w:r>
    </w:p>
    <w:p w:rsidR="00A31137" w:rsidRPr="00A31137" w:rsidRDefault="00A31137" w:rsidP="00A31137">
      <w:r w:rsidRPr="00A31137">
        <w:t>Public Papers of Reagan, 1987, p.1472</w:t>
      </w:r>
    </w:p>
    <w:p w:rsidR="00A31137" w:rsidRPr="00A31137" w:rsidRDefault="00A31137" w:rsidP="00A31137">
      <w:r w:rsidRPr="00A31137">
        <w:t>5. The completion of the elimination procedures set forth in this Section, and the type and number of missiles for which those procedures have been completed, shall be confirmed in writing by the representative of the Party carrying out the elimination and by the inspection team leader of the other Party.</w:t>
      </w:r>
    </w:p>
    <w:p w:rsidR="00A31137" w:rsidRPr="00A31137" w:rsidRDefault="00A31137" w:rsidP="00A31137">
      <w:r w:rsidRPr="00A31137">
        <w:tab/>
        <w:t>6. A missile shall be considered to be eliminated by means of launching after completion of the procedures set forth in this Section and upon notification required by paragraph 5(e) of Article IX of the Treaty.</w:t>
      </w:r>
    </w:p>
    <w:p w:rsidR="00A31137" w:rsidRPr="00A31137" w:rsidRDefault="00A31137" w:rsidP="00A31137">
      <w:r w:rsidRPr="00A31137">
        <w:t>IV. Procedures for Elimination In Situ</w:t>
      </w:r>
    </w:p>
    <w:p w:rsidR="00A31137" w:rsidRPr="00A31137" w:rsidRDefault="00A31137" w:rsidP="00A31137">
      <w:r w:rsidRPr="00A31137">
        <w:t>Public Papers of Reagan, 1987, p.1472</w:t>
      </w:r>
    </w:p>
    <w:p w:rsidR="00A31137" w:rsidRPr="00A31137" w:rsidRDefault="00A31137" w:rsidP="00A31137">
      <w:r w:rsidRPr="00A31137">
        <w:t>1. Support Structures</w:t>
      </w:r>
    </w:p>
    <w:p w:rsidR="00A31137" w:rsidRPr="00A31137" w:rsidRDefault="00A31137" w:rsidP="00A31137">
      <w:r w:rsidRPr="00A31137">
        <w:tab/>
        <w:t>(a) Support structures listed in Section I of this Protocol shall be eliminated in situ.</w:t>
      </w:r>
    </w:p>
    <w:p w:rsidR="00A31137" w:rsidRPr="00A31137" w:rsidRDefault="00A31137" w:rsidP="00A31137">
      <w:r w:rsidRPr="00A31137">
        <w:tab/>
        <w:t>(b) The initiation of the elimination of support structures shall be considered to be the commencement of the elimination procedures required in paragraph l(d) of this Section.</w:t>
      </w:r>
    </w:p>
    <w:p w:rsidR="00A31137" w:rsidRPr="00A31137" w:rsidRDefault="00A31137" w:rsidP="00A31137">
      <w:r w:rsidRPr="00A31137">
        <w:tab/>
        <w:t>(c) The elimination of support structures shall be subject to verification by on-site inspection in accordance with paragraph 4 of Article XI of the Treaty.</w:t>
      </w:r>
    </w:p>
    <w:p w:rsidR="00A31137" w:rsidRPr="00A31137" w:rsidRDefault="00A31137" w:rsidP="00A31137">
      <w:r w:rsidRPr="00A31137">
        <w:tab/>
        <w:t>(d) The specific elimination procedures for support structures shall be as follows:</w:t>
      </w:r>
    </w:p>
    <w:p w:rsidR="00A31137" w:rsidRPr="00A31137" w:rsidRDefault="00A31137" w:rsidP="00A31137">
      <w:r w:rsidRPr="00A31137">
        <w:tab/>
        <w:t>(i) the superstructure of the fixed structure or shelter shall be dismantled or demolished, and removed from its base or foundation;</w:t>
      </w:r>
    </w:p>
    <w:p w:rsidR="00A31137" w:rsidRPr="00A31137" w:rsidRDefault="00A31137" w:rsidP="00A31137">
      <w:r w:rsidRPr="00A31137">
        <w:tab/>
        <w:t>(ii) the base or foundation of the fixed structure or shelter shall be destroyed by excavation or explosion;</w:t>
      </w:r>
    </w:p>
    <w:p w:rsidR="00A31137" w:rsidRPr="00A31137" w:rsidRDefault="00A31137" w:rsidP="00A31137">
      <w:r w:rsidRPr="00A31137">
        <w:tab/>
        <w:t>(iii) the destroyed base or foundation of a fixed structure or shelter shall remain visible to national technical means of verification for six months or until completion of an on-site inspection conducted in accordance with Article XI of the Treaty; and</w:t>
      </w:r>
      <w:r w:rsidRPr="00A31137">
        <w:cr/>
      </w:r>
    </w:p>
    <w:p w:rsidR="00A31137" w:rsidRPr="00A31137" w:rsidRDefault="00A31137" w:rsidP="00A31137">
      <w:r w:rsidRPr="00A31137">
        <w:tab/>
        <w:t>(iv) upon completion of the above requirements, the elimination procedures shall be considered to have been completed.</w:t>
      </w:r>
    </w:p>
    <w:p w:rsidR="00A31137" w:rsidRPr="00A31137" w:rsidRDefault="00A31137" w:rsidP="00A31137">
      <w:r w:rsidRPr="00A31137">
        <w:t>Public Papers of Reagan, 1987, p.1472</w:t>
      </w:r>
    </w:p>
    <w:p w:rsidR="00A31137" w:rsidRPr="00A31137" w:rsidRDefault="00A31137" w:rsidP="00A31137">
      <w:r w:rsidRPr="00A31137">
        <w:t>2. Propellant Tanks for SS-4 Missiles Fixed and transportable propellant tanks for SS-4 missiles shall be removed from launch sites.</w:t>
      </w:r>
    </w:p>
    <w:p w:rsidR="00A31137" w:rsidRPr="00A31137" w:rsidRDefault="00A31137" w:rsidP="00A31137">
      <w:r w:rsidRPr="00A31137">
        <w:t>Public Papers of Reagan, 1987, p.1472–p.1473</w:t>
      </w:r>
    </w:p>
    <w:p w:rsidR="00A31137" w:rsidRPr="00A31137" w:rsidRDefault="00A31137" w:rsidP="00A31137">
      <w:r w:rsidRPr="00A31137">
        <w:t>3. Training Missiles, Training Missile Stages, Training Launch Canisters and Training Launchers</w:t>
      </w:r>
    </w:p>
    <w:p w:rsidR="00A31137" w:rsidRPr="00A31137" w:rsidRDefault="00A31137" w:rsidP="00A31137">
      <w:r w:rsidRPr="00A31137">
        <w:tab/>
        <w:t>(a) Training missiles, training missile stages, training launch canisters and training launchers not eliminated at elimination facilities shall be eliminated in situ.</w:t>
      </w:r>
    </w:p>
    <w:p w:rsidR="00A31137" w:rsidRPr="00A31137" w:rsidRDefault="00A31137" w:rsidP="00A31137">
      <w:r w:rsidRPr="00A31137">
        <w:tab/>
        <w:t>(b) Training missiles, training missile stages, training launch canisters and training launchers being eliminated in situ shall be eliminated in accordance with the specific procedures set forth in paragraph 11 of Section II of this Protocol.</w:t>
      </w:r>
    </w:p>
    <w:p w:rsidR="00A31137" w:rsidRPr="00A31137" w:rsidRDefault="00A31137" w:rsidP="00A31137">
      <w:r w:rsidRPr="00A31137">
        <w:tab/>
        <w:t>(c) Each Party shall have the right to conduct an on-site inspection to confirm the completion of the elimination procedures for training missiles, training missile stages, training launch canisters and training launchers.</w:t>
      </w:r>
    </w:p>
    <w:p w:rsidR="00A31137" w:rsidRPr="00A31137" w:rsidRDefault="00A31137" w:rsidP="00A31137">
      <w:r w:rsidRPr="00A31137">
        <w:tab/>
        <w:t>(d) The Party possessing such a training missile, training missile stage, training launch canister or training launcher shall inform the other Party of the [p.1473] place-name and coordinates of the location at which the on-site inspection provided for in paragraph 3(c) of this Section may be conducted as well as the date on which it may be conducted. Such information shall be provided no less than 30 days in advance of that date.</w:t>
      </w:r>
    </w:p>
    <w:p w:rsidR="00A31137" w:rsidRPr="00A31137" w:rsidRDefault="00A31137" w:rsidP="00A31137">
      <w:r w:rsidRPr="00A31137">
        <w:tab/>
        <w:t>(e) Elimination of a training missile, training missile stage, training launch canister or training launcher shall be considered to have been completed upon the completion of the procedures required by this paragraph and upon notification as required by paragraph 5(e) of Article IX of the Treaty following the date specified pursuant to paragraph 3(d) of this Section.</w:t>
      </w:r>
    </w:p>
    <w:p w:rsidR="00A31137" w:rsidRPr="00A31137" w:rsidRDefault="00A31137" w:rsidP="00A31137">
      <w:r w:rsidRPr="00A31137">
        <w:t>V. Other Types of Elimination</w:t>
      </w:r>
    </w:p>
    <w:p w:rsidR="00A31137" w:rsidRPr="00A31137" w:rsidRDefault="00A31137" w:rsidP="00A31137">
      <w:r w:rsidRPr="00A31137">
        <w:t>Public Papers of Reagan, 1987, p.1473</w:t>
      </w:r>
    </w:p>
    <w:p w:rsidR="00A31137" w:rsidRPr="00A31137" w:rsidRDefault="00A31137" w:rsidP="00A31137">
      <w:r w:rsidRPr="00A31137">
        <w:t>1. Loss or Accidental Destruction</w:t>
      </w:r>
    </w:p>
    <w:p w:rsidR="00A31137" w:rsidRPr="00A31137" w:rsidRDefault="00A31137" w:rsidP="00A31137">
      <w:r w:rsidRPr="00A31137">
        <w:tab/>
        <w:t>(a) If an item listed in Section I of this Protocol is lost or destroyed as a result of an accident, the possessing Party shall notify the other Party within 48 hours, as required in paragraph 5(e) of Article IX of the Treaty, that the item has been eliminated.</w:t>
      </w:r>
    </w:p>
    <w:p w:rsidR="00A31137" w:rsidRPr="00A31137" w:rsidRDefault="00A31137" w:rsidP="00A31137">
      <w:r w:rsidRPr="00A31137">
        <w:tab/>
        <w:t>(b) Such notification shall include the type of the eliminated item, its approximate or assumed location and the circumstances related to the loss or accidental destruction.</w:t>
      </w:r>
    </w:p>
    <w:p w:rsidR="00A31137" w:rsidRPr="00A31137" w:rsidRDefault="00A31137" w:rsidP="00A31137">
      <w:r w:rsidRPr="00A31137">
        <w:tab/>
        <w:t>(c) In such a case, the other Party shall have the right to conduct an inspection of the specific point at which the accident occurred to provide confidence that the item has been eliminated.</w:t>
      </w:r>
    </w:p>
    <w:p w:rsidR="00A31137" w:rsidRPr="00A31137" w:rsidRDefault="00A31137" w:rsidP="00A31137">
      <w:r w:rsidRPr="00A31137">
        <w:t>2. Static Display</w:t>
      </w:r>
    </w:p>
    <w:p w:rsidR="00A31137" w:rsidRPr="00A31137" w:rsidRDefault="00A31137" w:rsidP="00A31137">
      <w:r w:rsidRPr="00A31137">
        <w:t>Public Papers of Reagan, 1987, p.1473</w:t>
      </w:r>
    </w:p>
    <w:p w:rsidR="00A31137" w:rsidRPr="00A31137" w:rsidRDefault="00A31137" w:rsidP="00A31137">
      <w:r w:rsidRPr="00A31137">
        <w:t>(a) The Parties shall have the right to eliminate missiles, launch canisters and launchers, as well as training missiles, training launch canisters and training launchers, listed in Section I of this Protocol by placing them on static display. Each Party shall be limited to a total of 15 missiles, 15 launch canisters and 15 launchers on such static display.</w:t>
      </w:r>
    </w:p>
    <w:p w:rsidR="00A31137" w:rsidRPr="00A31137" w:rsidRDefault="00A31137" w:rsidP="00A31137">
      <w:r w:rsidRPr="00A31137">
        <w:tab/>
        <w:t>(b) Prior to being placed on static display, a missile, launch canister or launcher shall be rendered unusable for purposes inconsistent with the Treaty. Missile propellant shall be removed and erector-launcher mechanisms shall be rendered inoperative.</w:t>
      </w:r>
    </w:p>
    <w:p w:rsidR="00A31137" w:rsidRPr="00A31137" w:rsidRDefault="00A31137" w:rsidP="00A31137">
      <w:r w:rsidRPr="00A31137">
        <w:tab/>
        <w:t>(e) The Party possessing a missile, launch canister or launcher, as well as a training missile, training launch canister or training launcher that is to be eliminated by placing it on static display shall provide the other Party with the place-name and coordinates of the location at which such a missile, launch canister or launcher is to be on static display, as well as the location at which the on-site inspection provided for in paragraph 2(d) of this Section, may take place.</w:t>
      </w:r>
    </w:p>
    <w:p w:rsidR="00A31137" w:rsidRPr="00A31137" w:rsidRDefault="00A31137" w:rsidP="00A31137">
      <w:r w:rsidRPr="00A31137">
        <w:tab/>
        <w:t>(d) Each Party shall have the right to conduct an on-site inspection of such a missile, launch canister or launcher within 60 days of receipt of the notification required in paragraph 2(e) of this Section.</w:t>
      </w:r>
    </w:p>
    <w:p w:rsidR="00A31137" w:rsidRPr="00A31137" w:rsidRDefault="00A31137" w:rsidP="00A31137">
      <w:r w:rsidRPr="00A31137">
        <w:tab/>
        <w:t>(e) Elimination of a missile, launch canister or launcher, as well as a training missile, training launch canister or training launcher, by placing it on static display shall be considered to have been completed upon completion of the procedures required by this paragraph and notification as required by paragraph 5(e) of Article IX of the Treaty.</w:t>
      </w:r>
    </w:p>
    <w:p w:rsidR="00A31137" w:rsidRPr="00A31137" w:rsidRDefault="00A31137" w:rsidP="00A31137">
      <w:r w:rsidRPr="00A31137">
        <w:t>Public Papers of Reagan, 1987, p.1473</w:t>
      </w:r>
    </w:p>
    <w:p w:rsidR="00A31137" w:rsidRPr="00A31137" w:rsidRDefault="00A31137" w:rsidP="00A31137">
      <w:r w:rsidRPr="00A31137">
        <w:t>This Protocol is an integral part of the Treaty. It shall enter into force on the date of the entry into force of the Treaty and shall remain in force so long as the Treaty remains in force. As provided for in paragraph l(b) of Article XIII of the Treaty, the Parties may agree upon such measures as may be necessary to improve the viability and effectiveness of this Protocol. Such measures shall not be deemed amendments to the Treaty.</w:t>
      </w:r>
    </w:p>
    <w:p w:rsidR="00A31137" w:rsidRPr="00A31137" w:rsidRDefault="00A31137" w:rsidP="00A31137">
      <w:r w:rsidRPr="00A31137">
        <w:t>Public Papers of Reagan, 1987, p.1473</w:t>
      </w:r>
    </w:p>
    <w:p w:rsidR="00A31137" w:rsidRPr="00A31137" w:rsidRDefault="00A31137" w:rsidP="00A31137">
      <w:r w:rsidRPr="00A31137">
        <w:t>Done at Washington on December 8, 1987, in two copies, each in the English and Russian languages, both texts being equally authentic.</w:t>
      </w:r>
    </w:p>
    <w:p w:rsidR="00A31137" w:rsidRPr="00A31137" w:rsidRDefault="00A31137" w:rsidP="00A31137">
      <w:r w:rsidRPr="00A31137">
        <w:t>For the United States of America:</w:t>
      </w:r>
    </w:p>
    <w:p w:rsidR="00A31137" w:rsidRPr="00A31137" w:rsidRDefault="00A31137" w:rsidP="00A31137">
      <w:r w:rsidRPr="00A31137">
        <w:tab/>
        <w:t>RONALD REAGAN</w:t>
      </w:r>
    </w:p>
    <w:p w:rsidR="00A31137" w:rsidRPr="00A31137" w:rsidRDefault="00A31137" w:rsidP="00A31137">
      <w:r w:rsidRPr="00A31137">
        <w:t>President of the United States of America</w:t>
      </w:r>
    </w:p>
    <w:p w:rsidR="00A31137" w:rsidRPr="00A31137" w:rsidRDefault="00A31137" w:rsidP="00A31137">
      <w:r w:rsidRPr="00A31137">
        <w:t>For the Union of Soviet Socialist Republics:</w:t>
      </w:r>
    </w:p>
    <w:p w:rsidR="00A31137" w:rsidRPr="00A31137" w:rsidRDefault="00A31137" w:rsidP="00A31137">
      <w:r w:rsidRPr="00A31137">
        <w:tab/>
        <w:t>M. GORBACHEV</w:t>
      </w:r>
    </w:p>
    <w:p w:rsidR="00A31137" w:rsidRPr="00A31137" w:rsidRDefault="00A31137" w:rsidP="00A31137">
      <w:r w:rsidRPr="00A31137">
        <w:t>General Secretary of the Central Committee of the CPSU</w:t>
      </w:r>
    </w:p>
    <w:p w:rsidR="00A31137" w:rsidRPr="00A31137" w:rsidRDefault="00A31137" w:rsidP="00A31137">
      <w:r w:rsidRPr="00A31137">
        <w:t>Public Papers of Reagan, 1987, p.1474</w:t>
      </w:r>
    </w:p>
    <w:p w:rsidR="00A31137" w:rsidRPr="00A31137" w:rsidRDefault="00A31137" w:rsidP="00A31137">
      <w:r w:rsidRPr="00A31137">
        <w:t>Protocol Regarding Inspections Relating to the Treaty Between the United States of America and the Union of Soviet Socialist Republics on the Elimination of Their Intermediate-range and Shorter-range Missiles</w:t>
      </w:r>
    </w:p>
    <w:p w:rsidR="00A31137" w:rsidRPr="00A31137" w:rsidRDefault="00A31137" w:rsidP="00A31137">
      <w:r w:rsidRPr="00A31137">
        <w:t>Public Papers of Reagan, 1987, p.1474</w:t>
      </w:r>
    </w:p>
    <w:p w:rsidR="00A31137" w:rsidRPr="00A31137" w:rsidRDefault="00A31137" w:rsidP="00A31137">
      <w:r w:rsidRPr="00A31137">
        <w:t>Pursuant to and in implementation of the Treaty Between the United States of America and the Union of Soviet Socialist Republics on the Elimination of Their Intermediate-Range and Shorter-Range Missiles of December 8, 1987, hereinafter referred to as the Treaty, the Parties hereby agree upon procedures governing the conduct of inspections provided for in Article XI of the Treaty.</w:t>
      </w:r>
    </w:p>
    <w:p w:rsidR="00A31137" w:rsidRPr="00A31137" w:rsidRDefault="00A31137" w:rsidP="00A31137">
      <w:r w:rsidRPr="00A31137">
        <w:t>L Definitions</w:t>
      </w:r>
    </w:p>
    <w:p w:rsidR="00A31137" w:rsidRPr="00A31137" w:rsidRDefault="00A31137" w:rsidP="00A31137">
      <w:r w:rsidRPr="00A31137">
        <w:t>Public Papers of Reagan, 1987, p.1474</w:t>
      </w:r>
    </w:p>
    <w:p w:rsidR="00A31137" w:rsidRPr="00A31137" w:rsidRDefault="00A31137" w:rsidP="00A31137">
      <w:r w:rsidRPr="00A31137">
        <w:t>For the purposes of this Protocol, the Treaty, the Memorandum of Understanding and the Protocol on Elimination:</w:t>
      </w:r>
    </w:p>
    <w:p w:rsidR="00A31137" w:rsidRPr="00A31137" w:rsidRDefault="00A31137" w:rsidP="00A31137">
      <w:r w:rsidRPr="00A31137">
        <w:t>Public Papers of Reagan, 1987, p.1474</w:t>
      </w:r>
    </w:p>
    <w:p w:rsidR="00A31137" w:rsidRPr="00A31137" w:rsidRDefault="00A31137" w:rsidP="00A31137">
      <w:r w:rsidRPr="00A31137">
        <w:t>1. The term "inspected Party" means the Party to the Treaty whose sites are subject to inspection as provided for by Article XI of the Treaty.</w:t>
      </w:r>
    </w:p>
    <w:p w:rsidR="00A31137" w:rsidRPr="00A31137" w:rsidRDefault="00A31137" w:rsidP="00A31137">
      <w:r w:rsidRPr="00A31137">
        <w:t>2. The term "inspecting Party" means the Party to the Treaty carrying out an inspection.</w:t>
      </w:r>
    </w:p>
    <w:p w:rsidR="00A31137" w:rsidRPr="00A31137" w:rsidRDefault="00A31137" w:rsidP="00A31137">
      <w:r w:rsidRPr="00A31137">
        <w:t>Public Papers of Reagan, 1987, p.1474</w:t>
      </w:r>
    </w:p>
    <w:p w:rsidR="00A31137" w:rsidRPr="00A31137" w:rsidRDefault="00A31137" w:rsidP="00A31137">
      <w:r w:rsidRPr="00A31137">
        <w:t>3. The term "inspector" means an individual designated by one of the Parties to carry out inspections and included on that Party's list of inspectors in accordance with the provisions of Section III of this Protocol.</w:t>
      </w:r>
    </w:p>
    <w:p w:rsidR="00A31137" w:rsidRPr="00A31137" w:rsidRDefault="00A31137" w:rsidP="00A31137">
      <w:r w:rsidRPr="00A31137">
        <w:t>4. The term "inspection team" means the group of inspectors assigned by the inspecting Party to conduct a particular inspection.</w:t>
      </w:r>
    </w:p>
    <w:p w:rsidR="00A31137" w:rsidRPr="00A31137" w:rsidRDefault="00A31137" w:rsidP="00A31137">
      <w:r w:rsidRPr="00A31137">
        <w:t>Public Papers of Reagan, 1987, p.1474</w:t>
      </w:r>
    </w:p>
    <w:p w:rsidR="00A31137" w:rsidRPr="00A31137" w:rsidRDefault="00A31137" w:rsidP="00A31137">
      <w:r w:rsidRPr="00A31137">
        <w:t>5. The term "inspection site" means an area, location or facility at which an inspection is carried out.</w:t>
      </w:r>
    </w:p>
    <w:p w:rsidR="00A31137" w:rsidRPr="00A31137" w:rsidRDefault="00A31137" w:rsidP="00A31137">
      <w:r w:rsidRPr="00A31137">
        <w:t>6. The term "period of inspection" means the period of time from arrival of the inspection team at the inspection site until its departure from the inspection site, exclusive of time spent on any pre- and postinspection procedures.</w:t>
      </w:r>
    </w:p>
    <w:p w:rsidR="00A31137" w:rsidRPr="00A31137" w:rsidRDefault="00A31137" w:rsidP="00A31137">
      <w:r w:rsidRPr="00A31137">
        <w:t>Public Papers of Reagan, 1987, p.1474</w:t>
      </w:r>
    </w:p>
    <w:p w:rsidR="00A31137" w:rsidRPr="00A31137" w:rsidRDefault="00A31137" w:rsidP="00A31137">
      <w:r w:rsidRPr="00A31137">
        <w:t>7. The term "point of entry" means: Washington, D.C., or San Francisco, California, the United States of America; Brussels (National Airport), The Kingdom of Belgium; Frankfurt (Rhein Main Airbase), The Federal Republic of Germany; Rome (Ciampino), The Republic of Italy; Schiphol, The Kingdom of the Netherlands; RAF Greenham Common, The United Kingdom of Great Britain and Northern Ireland; Moscow, or Irkutsk, the Union of Soviet Socialist Republics; Schkeuditz Airport, the German Democratic Republic; and International Airport Ruzyne, the Czechoslovak Socialist Republic.</w:t>
      </w:r>
    </w:p>
    <w:p w:rsidR="00A31137" w:rsidRPr="00A31137" w:rsidRDefault="00A31137" w:rsidP="00A31137">
      <w:r w:rsidRPr="00A31137">
        <w:t>Public Papers of Reagan, 1987, p.1474</w:t>
      </w:r>
    </w:p>
    <w:p w:rsidR="00A31137" w:rsidRPr="00A31137" w:rsidRDefault="00A31137" w:rsidP="00A31137">
      <w:r w:rsidRPr="00A31137">
        <w:t>8. The term "in-country period" means the period from the arrival of the inspection team at the point of entry until its departure from the country through the point of entry.</w:t>
      </w:r>
    </w:p>
    <w:p w:rsidR="00A31137" w:rsidRPr="00A31137" w:rsidRDefault="00A31137" w:rsidP="00A31137">
      <w:r w:rsidRPr="00A31137">
        <w:t>9. The term "in-country escort" means individuals specified by the inspected Party to accompany and assist inspectors and aircrew members as necessary throughout the in-country period.</w:t>
      </w:r>
    </w:p>
    <w:p w:rsidR="00A31137" w:rsidRPr="00A31137" w:rsidRDefault="00A31137" w:rsidP="00A31137">
      <w:r w:rsidRPr="00A31137">
        <w:t>Public Papers of Reagan, 1987, p.1474</w:t>
      </w:r>
    </w:p>
    <w:p w:rsidR="00A31137" w:rsidRPr="00A31137" w:rsidRDefault="00A31137" w:rsidP="00A31137">
      <w:r w:rsidRPr="00A31137">
        <w:t>10. The term "aircrew member" means an individual who performs duties related to the operation of an airplane and who is included on a Party's list of aircrew members in accordance with the provisions of Section III of this Protocol.</w:t>
      </w:r>
    </w:p>
    <w:p w:rsidR="00A31137" w:rsidRPr="00A31137" w:rsidRDefault="00A31137" w:rsidP="00A31137">
      <w:r w:rsidRPr="00A31137">
        <w:t>II. General Obligations</w:t>
      </w:r>
    </w:p>
    <w:p w:rsidR="00A31137" w:rsidRPr="00A31137" w:rsidRDefault="00A31137" w:rsidP="00A31137">
      <w:r w:rsidRPr="00A31137">
        <w:t>Public Papers of Reagan, 1987, p.1474</w:t>
      </w:r>
    </w:p>
    <w:p w:rsidR="00A31137" w:rsidRPr="00A31137" w:rsidRDefault="00A31137" w:rsidP="00A31137">
      <w:r w:rsidRPr="00A31137">
        <w:t>1. For the purpose of ensuring verification of compliance with the provisions of the Treaty, each Party shall facilitate inspection by the other Party pursuant to this Protocol.</w:t>
      </w:r>
    </w:p>
    <w:p w:rsidR="00A31137" w:rsidRPr="00A31137" w:rsidRDefault="00A31137" w:rsidP="00A31137">
      <w:r w:rsidRPr="00A31137">
        <w:t>Public Papers of Reagan, 1987, p.1474</w:t>
      </w:r>
    </w:p>
    <w:p w:rsidR="00A31137" w:rsidRPr="00A31137" w:rsidRDefault="00A31137" w:rsidP="00A31137">
      <w:r w:rsidRPr="00A31137">
        <w:t>2. Each Party takes note of the assurances received from the other Party regarding understandings reached between the other Party and the basing countries to the effect that the basing countries have agreed to the conduct of inspections, in accordance with the provisions of this Protocol, on their territories.</w:t>
      </w:r>
    </w:p>
    <w:p w:rsidR="00A31137" w:rsidRPr="00A31137" w:rsidRDefault="00A31137" w:rsidP="00A31137">
      <w:r w:rsidRPr="00A31137">
        <w:t>III. Pre-Inspection Requirements</w:t>
      </w:r>
    </w:p>
    <w:p w:rsidR="00A31137" w:rsidRPr="00A31137" w:rsidRDefault="00A31137" w:rsidP="00A31137">
      <w:r w:rsidRPr="00A31137">
        <w:t>Public Papers of Reagan, 1987, p.1474–p.1475</w:t>
      </w:r>
    </w:p>
    <w:p w:rsidR="00A31137" w:rsidRPr="00A31137" w:rsidRDefault="00A31137" w:rsidP="00A31137">
      <w:r w:rsidRPr="00A31137">
        <w:t>1. Inspections to ensure verification of compliance by the Parties with the obligations assumed under the Treaty shall be carried out by inspectors designated in accordance with paragraphs 3 and 4 of this Section.</w:t>
      </w:r>
    </w:p>
    <w:p w:rsidR="00A31137" w:rsidRPr="00A31137" w:rsidRDefault="00A31137" w:rsidP="00A31137">
      <w:r w:rsidRPr="00A31137">
        <w:t>2. No later than one day after entry into [p.1475] force of the Treaty, each Party shall provide to the other Party: a list of its proposed aircrew members; a list of its proposed inspectors who will carry out inspections pursuant to paragraphs 3, 4, 5, 7 and 8 of Article XI of the Treaty; and a list of its proposed inspectors who will carry out inspection activities pursuant to paragraph 6 of Article XI of the Treaty. None of these lists shall contain at any time more than 200 individuals.</w:t>
      </w:r>
    </w:p>
    <w:p w:rsidR="00A31137" w:rsidRPr="00A31137" w:rsidRDefault="00A31137" w:rsidP="00A31137">
      <w:r w:rsidRPr="00A31137">
        <w:t>Public Papers of Reagan, 1987, p.1475</w:t>
      </w:r>
    </w:p>
    <w:p w:rsidR="00A31137" w:rsidRPr="00A31137" w:rsidRDefault="00A31137" w:rsidP="00A31137">
      <w:r w:rsidRPr="00A31137">
        <w:t>3. Each Party shall review the lists of inspectors and aircrew members proposed by the other Party. With respect to an individual included on the list of proposed inspectors who will carry out inspection activities pursuant to paragraph 6 of Article XI of the Treaty, if such an individual is unacceptable to the Party reviewing the list, that Party shall, within 20 days, so inform the Party providing the list, and the individual shall be deemed not accepted and shall be deleted from the list. With respect to an individual on the list of proposed aircrew members or the list of proposed inspectors who will carry out inspections pursuant to paragraphs 3, 4, 5, 7 and 8 of Article XI of the Treaty, each Party, within 20 days after the receipt of such lists, shall inform the other Party of its agreement to the designation of each inspector and aircrew member proposed. Inspectors shall be citizens of the inspecting Party.</w:t>
      </w:r>
    </w:p>
    <w:p w:rsidR="00A31137" w:rsidRPr="00A31137" w:rsidRDefault="00A31137" w:rsidP="00A31137">
      <w:r w:rsidRPr="00A31137">
        <w:t>Public Papers of Reagan, 1987, p.1475</w:t>
      </w:r>
    </w:p>
    <w:p w:rsidR="00A31137" w:rsidRPr="00A31137" w:rsidRDefault="00A31137" w:rsidP="00A31137">
      <w:r w:rsidRPr="00A31137">
        <w:t>4. Each Party shall have the right to amend its lists of inspectors and aircrew members. New inspectors and aircrew members shall be designated in the same manner as set forth in paragraph 3 of this Section with respect to the initial lists.</w:t>
      </w:r>
    </w:p>
    <w:p w:rsidR="00A31137" w:rsidRPr="00A31137" w:rsidRDefault="00A31137" w:rsidP="00A31137">
      <w:r w:rsidRPr="00A31137">
        <w:t>Public Papers of Reagan, 1987, p.1475</w:t>
      </w:r>
    </w:p>
    <w:p w:rsidR="00A31137" w:rsidRPr="00A31137" w:rsidRDefault="00A31137" w:rsidP="00A31137">
      <w:r w:rsidRPr="00A31137">
        <w:t>5. Within 30 days of receipt of the initial lists of inspectors and aircrew members, or of subsequent changes thereto, the Party receiving such information shall provide, or shall ensure the provision of, such visas and other documents to each individual to whom it has agreed as may be required to ensure that each inspector or aircrew member may enter and remain in the territory of the Party or basing country in which an inspection site is located throughout the in-country period for the purpose of carrying out inspection activities in accordance with the provisions of this Protocol. Such visas and documents shall be valid for a period of at least 24 months.</w:t>
      </w:r>
    </w:p>
    <w:p w:rsidR="00A31137" w:rsidRPr="00A31137" w:rsidRDefault="00A31137" w:rsidP="00A31137">
      <w:r w:rsidRPr="00A31137">
        <w:t>Public Papers of Reagan, 1987, p.1475</w:t>
      </w:r>
    </w:p>
    <w:p w:rsidR="00A31137" w:rsidRPr="00A31137" w:rsidRDefault="00A31137" w:rsidP="00A31137">
      <w:r w:rsidRPr="00A31137">
        <w:t>6. To exercise their functions effectively, inspectors and aircrew members shall be accorded, throughout the in-country period, privileges and immunities in the country of the inspection site as set forth in the Annex to this Protocol.</w:t>
      </w:r>
    </w:p>
    <w:p w:rsidR="00A31137" w:rsidRPr="00A31137" w:rsidRDefault="00A31137" w:rsidP="00A31137">
      <w:r w:rsidRPr="00A31137">
        <w:t>Public Papers of Reagan, 1987, p.1475</w:t>
      </w:r>
    </w:p>
    <w:p w:rsidR="00A31137" w:rsidRPr="00A31137" w:rsidRDefault="00A31137" w:rsidP="00A31137">
      <w:r w:rsidRPr="00A31137">
        <w:t>7. Without prejudice to their privileges and immunities, inspectors and aircrew members shall be obliged to respect the laws and regulations of the State on whose territory an inspection is carried out and shall be obliged not to interfere in the internal affairs of that State. In the event the inspected Party determines that an inspector or aircrew member of the other Party has violated the conditions governing inspection activities set forth in this Protocol, or has ever committed a criminal offense on the territory of the inspected Party or a basing country, or has ever been sentenced for committing a criminal offense or expelled by the inspected Party or a basing country, the inspected Party making such a determination shall so notify the inspecting Party, which shall immediately strike the individual from the lists of inspectors or the list of aircrew members. If, at that time, the individual is on the territory of the inspected Party or a basing country, the inspecting Party shall immediately remove that individual from the country.</w:t>
      </w:r>
    </w:p>
    <w:p w:rsidR="00A31137" w:rsidRPr="00A31137" w:rsidRDefault="00A31137" w:rsidP="00A31137">
      <w:r w:rsidRPr="00A31137">
        <w:t>Public Papers of Reagan, 1987, p.1475</w:t>
      </w:r>
    </w:p>
    <w:p w:rsidR="00A31137" w:rsidRPr="00A31137" w:rsidRDefault="00A31137" w:rsidP="00A31137">
      <w:r w:rsidRPr="00A31137">
        <w:t>8. Within 30 days after entry into force of the Treaty, each Party shall inform the other Party of the standing diplomatic clearance number for airplanes of the Party transporting inspectors and equipment necessary for inspection into and out of the territory of the Party or basing country in which an inspection site is located. Aircraft routings to and from the designated point of entry shall be along established international airways that are agreed upon by the Parties as the basis for such diplomatic clearance.</w:t>
      </w:r>
    </w:p>
    <w:p w:rsidR="00A31137" w:rsidRPr="00A31137" w:rsidRDefault="00A31137" w:rsidP="00A31137">
      <w:r w:rsidRPr="00A31137">
        <w:t>IV. Notifications</w:t>
      </w:r>
    </w:p>
    <w:p w:rsidR="00A31137" w:rsidRPr="00A31137" w:rsidRDefault="00A31137" w:rsidP="00A31137">
      <w:r w:rsidRPr="00A31137">
        <w:t>Public Papers of Reagan, 1987, p.1475–p.1476</w:t>
      </w:r>
    </w:p>
    <w:p w:rsidR="00A31137" w:rsidRPr="00A31137" w:rsidRDefault="00A31137" w:rsidP="00A31137">
      <w:r w:rsidRPr="00A31137">
        <w:t>1. Notification of an intention to conduct an inspection shall be made through the Nuclear Risk Reduction Centers. The receipt of this notification shall be acknowledged through the Nuclear Risk Reduction Centers by the inspected Party within one [p.1476] hour of its receipt.</w:t>
      </w:r>
    </w:p>
    <w:p w:rsidR="00A31137" w:rsidRPr="00A31137" w:rsidRDefault="00A31137" w:rsidP="00A31137">
      <w:r w:rsidRPr="00A31137">
        <w:t>(a) For inspections conducted pursuant to paragraphs 3, 4 or 5 of Article XI of the Treaty, such notifications shall be made no less than 16 hours in advance of the estimated time of arrival of the inspection team at the point of entry and shall include:</w:t>
      </w:r>
    </w:p>
    <w:p w:rsidR="00A31137" w:rsidRPr="00A31137" w:rsidRDefault="00A31137" w:rsidP="00A31137">
      <w:r w:rsidRPr="00A31137">
        <w:tab/>
        <w:t>(i) the point of entry;</w:t>
      </w:r>
    </w:p>
    <w:p w:rsidR="00A31137" w:rsidRPr="00A31137" w:rsidRDefault="00A31137" w:rsidP="00A31137">
      <w:r w:rsidRPr="00A31137">
        <w:tab/>
        <w:t>(ii) the date and estimated time of arrival at the point of entry;</w:t>
      </w:r>
    </w:p>
    <w:p w:rsidR="00A31137" w:rsidRPr="00A31137" w:rsidRDefault="00A31137" w:rsidP="00A31137">
      <w:r w:rsidRPr="00A31137">
        <w:tab/>
        <w:t>(iii) the date and time when the specification of the inspection site will be provided; and</w:t>
      </w:r>
    </w:p>
    <w:p w:rsidR="00A31137" w:rsidRPr="00A31137" w:rsidRDefault="00A31137" w:rsidP="00A31137">
      <w:r w:rsidRPr="00A31137">
        <w:tab/>
        <w:t>(iv) the names of inspectors and aircrew members.</w:t>
      </w:r>
    </w:p>
    <w:p w:rsidR="00A31137" w:rsidRPr="00A31137" w:rsidRDefault="00A31137" w:rsidP="00A31137">
      <w:r w:rsidRPr="00A31137">
        <w:t>Public Papers of Reagan, 1987, p.1476</w:t>
      </w:r>
    </w:p>
    <w:p w:rsidR="00A31137" w:rsidRPr="00A31137" w:rsidRDefault="00A31137" w:rsidP="00A31137">
      <w:r w:rsidRPr="00A31137">
        <w:t>(b) For inspections conducted pursuant to paragraphs 7 or 8 of Article XI of the Treaty, such notifications shall be made no less than 72 hours in advance of the estimated time of arrival of the inspection team at the point of entry and shall include:</w:t>
      </w:r>
    </w:p>
    <w:p w:rsidR="00A31137" w:rsidRPr="00A31137" w:rsidRDefault="00A31137" w:rsidP="00A31137">
      <w:r w:rsidRPr="00A31137">
        <w:tab/>
        <w:t>(i) the point of entry;</w:t>
      </w:r>
    </w:p>
    <w:p w:rsidR="00A31137" w:rsidRPr="00A31137" w:rsidRDefault="00A31137" w:rsidP="00A31137">
      <w:r w:rsidRPr="00A31137">
        <w:tab/>
        <w:t>(ii) the date and estimated time of arrival at the point of entry;</w:t>
      </w:r>
    </w:p>
    <w:p w:rsidR="00A31137" w:rsidRPr="00A31137" w:rsidRDefault="00A31137" w:rsidP="00A31137">
      <w:r w:rsidRPr="00A31137">
        <w:tab/>
        <w:t>(iii) the site to be inspected and the type of inspection; and</w:t>
      </w:r>
    </w:p>
    <w:p w:rsidR="00A31137" w:rsidRPr="00A31137" w:rsidRDefault="00A31137" w:rsidP="00A31137">
      <w:r w:rsidRPr="00A31137">
        <w:tab/>
        <w:t>(iv) the names of inspectors and aircrew members.</w:t>
      </w:r>
    </w:p>
    <w:p w:rsidR="00A31137" w:rsidRPr="00A31137" w:rsidRDefault="00A31137" w:rsidP="00A31137">
      <w:r w:rsidRPr="00A31137">
        <w:t>Public Papers of Reagan, 1987, p.1476</w:t>
      </w:r>
    </w:p>
    <w:p w:rsidR="00A31137" w:rsidRPr="00A31137" w:rsidRDefault="00A31137" w:rsidP="00A31137">
      <w:r w:rsidRPr="00A31137">
        <w:t>2. The date and time of the specification of the inspection site as notified pursuant to paragraph l(a) of this Section shall fall within the following time intervals:</w:t>
      </w:r>
    </w:p>
    <w:p w:rsidR="00A31137" w:rsidRPr="00A31137" w:rsidRDefault="00A31137" w:rsidP="00A31137">
      <w:r w:rsidRPr="00A31137">
        <w:tab/>
        <w:t>(a) for inspections conducted pursuant to paragraphs 4 or 5 of Article XI of the Treaty, neither less than four hours nor more than 24 hours after the estimated date and time of arrival at the point of entry; and</w:t>
      </w:r>
    </w:p>
    <w:p w:rsidR="00A31137" w:rsidRPr="00A31137" w:rsidRDefault="00A31137" w:rsidP="00A31137">
      <w:r w:rsidRPr="00A31137">
        <w:tab/>
        <w:t>(b) for inspections conducted pursuant to paragraph 3 of Article XI of the Treaty, neither less than four hours nor more than 48 hours after the estimated date and time of arrival at the point of entry.</w:t>
      </w:r>
    </w:p>
    <w:p w:rsidR="00A31137" w:rsidRPr="00A31137" w:rsidRDefault="00A31137" w:rsidP="00A31137">
      <w:r w:rsidRPr="00A31137">
        <w:t>Public Papers of Reagan, 1987, p.1476</w:t>
      </w:r>
    </w:p>
    <w:p w:rsidR="00A31137" w:rsidRPr="00A31137" w:rsidRDefault="00A31137" w:rsidP="00A31137">
      <w:r w:rsidRPr="00A31137">
        <w:t>3. The inspecting Party shall provide the inspected Party with a flight plan, through the Nuclear Risk Reduction Centers, for its flight from the last airfield prior to entering the airspace of the country in which the inspection site is located to the point of entry, no less than six hours before the scheduled departure time from that airfield. Such a plan shall be filed in accordance with the procedures of the International Civil Aviation Organization applicable to civil aircraft. The inspecting Party shall include in the remarks section of each flight plan the standing diplomatic clearance number and the notation: "Inspection aircraft. Priority clearance processing required."</w:t>
      </w:r>
    </w:p>
    <w:p w:rsidR="00A31137" w:rsidRPr="00A31137" w:rsidRDefault="00A31137" w:rsidP="00A31137">
      <w:r w:rsidRPr="00A31137">
        <w:t>Public Papers of Reagan, 1987, p.1476</w:t>
      </w:r>
    </w:p>
    <w:p w:rsidR="00A31137" w:rsidRPr="00A31137" w:rsidRDefault="00A31137" w:rsidP="00A31137">
      <w:r w:rsidRPr="00A31137">
        <w:t>4. No less than three hours prior to the scheduled departure of the inspection team from the last airfield prior to entering the airspace of the country in which the inspection is to take place, the inspected Party shall ensure that the flight plan filed in accordance with paragraph 3 of this Section is approved so that the inspection team may arrive at the point of entry by the estimated arrival time.</w:t>
      </w:r>
    </w:p>
    <w:p w:rsidR="00A31137" w:rsidRPr="00A31137" w:rsidRDefault="00A31137" w:rsidP="00A31137">
      <w:r w:rsidRPr="00A31137">
        <w:t>Public Papers of Reagan, 1987, p.1476</w:t>
      </w:r>
    </w:p>
    <w:p w:rsidR="00A31137" w:rsidRPr="00A31137" w:rsidRDefault="00A31137" w:rsidP="00A31137">
      <w:r w:rsidRPr="00A31137">
        <w:t>5. Either Party may change the point or points of entry to the territories of the countries within which its deployment areas, missile operating bases or missile support facilities are located, by giving notice of such change to the other Party. A change in a point of entry shall become effective five months after receipt of such notification by the other Party.</w:t>
      </w:r>
    </w:p>
    <w:p w:rsidR="00A31137" w:rsidRPr="00A31137" w:rsidRDefault="00A31137" w:rsidP="00A31137">
      <w:r w:rsidRPr="00A31137">
        <w:t>V. Activities Beginning Upon Arrival at the</w:t>
      </w:r>
    </w:p>
    <w:p w:rsidR="00A31137" w:rsidRPr="00A31137" w:rsidRDefault="00A31137" w:rsidP="00A31137">
      <w:r w:rsidRPr="00A31137">
        <w:t>Point of Entry</w:t>
      </w:r>
    </w:p>
    <w:p w:rsidR="00A31137" w:rsidRPr="00A31137" w:rsidRDefault="00A31137" w:rsidP="00A31137">
      <w:r w:rsidRPr="00A31137">
        <w:t>Public Papers of Reagan, 1987, p.1476–p.1477</w:t>
      </w:r>
    </w:p>
    <w:p w:rsidR="00A31137" w:rsidRPr="00A31137" w:rsidRDefault="00A31137" w:rsidP="00A31137">
      <w:r w:rsidRPr="00A31137">
        <w:t>I. The in-country escort and a diplomatic aircrew escort accredited to the Government of either the inspected Party or the basing country in which the inspection site is located shall meet the inspection team and aircrew members at the point of entry as soon as the airplane of the inspecting Party lands. The number of aircrew members for each airplane shall not exceed ten. The in-country escort shall expedite the entry of the inspection team and aircrew, their baggage, and equipment and supplies necessary for inspection, into the country in which the inspection site is located. A diplomatic aircrew escort shall have the right to accompany and assist aircrew members throughout the in-country period. In the case of an inspection taking place on the territory of a basing country, the in-country escort may include representatives of that basing country.</w:t>
      </w:r>
    </w:p>
    <w:p w:rsidR="00A31137" w:rsidRPr="00A31137" w:rsidRDefault="00A31137" w:rsidP="00A31137">
      <w:r w:rsidRPr="00A31137">
        <w:t>2. An inspector shall be considered to [p.1477] have assumed his duties upon arrival at the point of entry on the territory of the inspected Party or a basing country, and shall be considered to have ceased performing those duties when he has left the territory of the inspected Party or basing country.</w:t>
      </w:r>
    </w:p>
    <w:p w:rsidR="00A31137" w:rsidRPr="00A31137" w:rsidRDefault="00A31137" w:rsidP="00A31137">
      <w:r w:rsidRPr="00A31137">
        <w:t>Public Papers of Reagan, 1987, p.1477</w:t>
      </w:r>
    </w:p>
    <w:p w:rsidR="00A31137" w:rsidRPr="00A31137" w:rsidRDefault="00A31137" w:rsidP="00A31137">
      <w:r w:rsidRPr="00A31137">
        <w:t>3. Each Party shall ensure that equipment and supplies are exempt from all customs duties.</w:t>
      </w:r>
    </w:p>
    <w:p w:rsidR="00A31137" w:rsidRPr="00A31137" w:rsidRDefault="00A31137" w:rsidP="00A31137">
      <w:r w:rsidRPr="00A31137">
        <w:t>4. Equipment and supplies which the inspecting Party brings into the country in which an inspection site is located shall be subject to examination at the point of entry each time they are brought into that country. This examination shall be completed prior to the departure of the inspection team from the point of entry to conduct an inspection. Such equipment and supplies shall be examined by the in-country escort in the presence of the inspection team members to ascertain to the satisfaction of each Party that the equipment and supplies cannot perform functions unconnected with the inspection requirements of the Treaty. If it is established upon examination that the equipment or supplies are unconnected with these inspection requirements, then they shall not be cleared for use and shall be impounded at the point of entry until the departure of the inspection team from the country where the inspection is conducted. Storage of the inspecting Party's equipment and supplies at each point of entry shall be within tamper-proof containers within a secure facility. Access to each secure facility shall be controlled by a "dual key" system requiring the presence of both Parties to gain access to the equipment and supplies.</w:t>
      </w:r>
    </w:p>
    <w:p w:rsidR="00A31137" w:rsidRPr="00A31137" w:rsidRDefault="00A31137" w:rsidP="00A31137">
      <w:r w:rsidRPr="00A31137">
        <w:t>Public Papers of Reagan, 1987, p.1477</w:t>
      </w:r>
    </w:p>
    <w:p w:rsidR="00A31137" w:rsidRPr="00A31137" w:rsidRDefault="00A31137" w:rsidP="00A31137">
      <w:r w:rsidRPr="00A31137">
        <w:t>5. Throughout the in-country period, the inspected Party shall provide, or arrange for the provision of, meals, lodging, work space, transportation and, as necessary, medical care for the inspection team and aircrew of the inspecting Party. All the costs in connection with the stay of inspectors carrying out inspection activities pursuant to paragraph 6 of Article XI of the Treaty, on the territory of the inspected Party, including meals, services, lodging, work space, transportation and medical care shall be borne by the inspecting Party.</w:t>
      </w:r>
    </w:p>
    <w:p w:rsidR="00A31137" w:rsidRPr="00A31137" w:rsidRDefault="00A31137" w:rsidP="00A31137">
      <w:r w:rsidRPr="00A31137">
        <w:t>Public Papers of Reagan, 1987, p.1477</w:t>
      </w:r>
    </w:p>
    <w:p w:rsidR="00A31137" w:rsidRPr="00A31137" w:rsidRDefault="00A31137" w:rsidP="00A31137">
      <w:r w:rsidRPr="00A31137">
        <w:t>6. The inspected Party shall provide parking, security protection, servicing, and fuel for the airplane of the inspecting Party at the point of entry. The inspecting Party shall bear the cost of such fuel and servicing.</w:t>
      </w:r>
    </w:p>
    <w:p w:rsidR="00A31137" w:rsidRPr="00A31137" w:rsidRDefault="00A31137" w:rsidP="00A31137">
      <w:r w:rsidRPr="00A31137">
        <w:t>Public Papers of Reagan, 1987, p.1477</w:t>
      </w:r>
    </w:p>
    <w:p w:rsidR="00A31137" w:rsidRPr="00A31137" w:rsidRDefault="00A31137" w:rsidP="00A31137">
      <w:r w:rsidRPr="00A31137">
        <w:t>7. For inspections conducted on the territory of the Parties, the inspection team shall enter at the point of entry on the territory of the inspected Party that is closest to the inspection site. In the case of inspections carried out in accordance with paragraphs 3, 4 or 5 of Article XI of the Treaty, the inspection team leader shall, at or before the time notified pursuant to paragraph l(a)(iii) of Section IV of this Protocol, inform the inspected Party at the point of entry through the in-country escort of the type of inspection and the inspection site, by place-name and geographic coordinates.</w:t>
      </w:r>
    </w:p>
    <w:p w:rsidR="00A31137" w:rsidRPr="00A31137" w:rsidRDefault="00A31137" w:rsidP="00A31137">
      <w:r w:rsidRPr="00A31137">
        <w:t>VI. General Rules for Conducting Inspections</w:t>
      </w:r>
    </w:p>
    <w:p w:rsidR="00A31137" w:rsidRPr="00A31137" w:rsidRDefault="00A31137" w:rsidP="00A31137">
      <w:r w:rsidRPr="00A31137">
        <w:t>Public Papers of Reagan, 1987, p.1477</w:t>
      </w:r>
    </w:p>
    <w:p w:rsidR="00A31137" w:rsidRPr="00A31137" w:rsidRDefault="00A31137" w:rsidP="00A31137">
      <w:r w:rsidRPr="00A31137">
        <w:t>1. Inspectors shall discharge their functions in accordance with this Protocol.</w:t>
      </w:r>
    </w:p>
    <w:p w:rsidR="00A31137" w:rsidRPr="00A31137" w:rsidRDefault="00A31137" w:rsidP="00A31137">
      <w:r w:rsidRPr="00A31137">
        <w:t>2. Inspectors shall not disclose information received during inspections except with the express permission of the inspecting Party. They shall remain bound by this obligation after their assignment as inspectors has ended.</w:t>
      </w:r>
    </w:p>
    <w:p w:rsidR="00A31137" w:rsidRPr="00A31137" w:rsidRDefault="00A31137" w:rsidP="00A31137">
      <w:r w:rsidRPr="00A31137">
        <w:t>Public Papers of Reagan, 1987, p.1477</w:t>
      </w:r>
    </w:p>
    <w:p w:rsidR="00A31137" w:rsidRPr="00A31137" w:rsidRDefault="00A31137" w:rsidP="00A31137">
      <w:r w:rsidRPr="00A31137">
        <w:t>3. In discharging their functions, inspectors shall not interfere directly with ongoing activities at the inspection site and shall avoid unnecessarily hampering or delaying the operation of a facility or taking actions affecting its safe operation.</w:t>
      </w:r>
    </w:p>
    <w:p w:rsidR="00A31137" w:rsidRPr="00A31137" w:rsidRDefault="00A31137" w:rsidP="00A31137">
      <w:r w:rsidRPr="00A31137">
        <w:t>Public Papers of Reagan, 1987, p.1477</w:t>
      </w:r>
    </w:p>
    <w:p w:rsidR="00A31137" w:rsidRPr="00A31137" w:rsidRDefault="00A31137" w:rsidP="00A31137">
      <w:r w:rsidRPr="00A31137">
        <w:t>4. Inspections shall be conducted in accordance with the objectives set forth in Article XI of the Treaty as applicable for the type of inspection specified by the inspecting Party under paragraph l(b) of Section IV or paragraph 7 of Section V of this Protocol.</w:t>
      </w:r>
    </w:p>
    <w:p w:rsidR="00A31137" w:rsidRPr="00A31137" w:rsidRDefault="00A31137" w:rsidP="00A31137">
      <w:r w:rsidRPr="00A31137">
        <w:t>Public Papers of Reagan, 1987, p.1477</w:t>
      </w:r>
    </w:p>
    <w:p w:rsidR="00A31137" w:rsidRPr="00A31137" w:rsidRDefault="00A31137" w:rsidP="00A31137">
      <w:r w:rsidRPr="00A31137">
        <w:t>5. The in-country escort shall have the right to accompany and assist inspectors and aircrew members as considered necessary by the inspected Party throughout the in-country period. Except as otherwise provided in this Protocol, the movement and travel of inspectors and aircrew members shall be at the discretion of the in-country escort.</w:t>
      </w:r>
    </w:p>
    <w:p w:rsidR="00A31137" w:rsidRPr="00A31137" w:rsidRDefault="00A31137" w:rsidP="00A31137">
      <w:r w:rsidRPr="00A31137">
        <w:t>Public Papers of Reagan, 1987, p.1477–p.1478</w:t>
      </w:r>
    </w:p>
    <w:p w:rsidR="00A31137" w:rsidRPr="00A31137" w:rsidRDefault="00A31137" w:rsidP="00A31137">
      <w:r w:rsidRPr="00A31137">
        <w:t>6. Inspectors carrying out inspection activities pursuant to paragraph 6 of Article [p.1478] XI of the Treaty shall be allowed to travel within 50 kilometers from the inspection site with the permission of the in-country escort, and as considered necessary by the inspected Party, shall be accompanied by the in-country escort. Such travel shall be taken solely as a leisure activity.</w:t>
      </w:r>
    </w:p>
    <w:p w:rsidR="00A31137" w:rsidRPr="00A31137" w:rsidRDefault="00A31137" w:rsidP="00A31137">
      <w:r w:rsidRPr="00A31137">
        <w:t>Public Papers of Reagan, 1987, p.1478</w:t>
      </w:r>
    </w:p>
    <w:p w:rsidR="00A31137" w:rsidRPr="00A31137" w:rsidRDefault="00A31137" w:rsidP="00A31137">
      <w:r w:rsidRPr="00A31137">
        <w:t>7. Inspectors shall have the right throughout the period of inspection to be in communication with the embassy of the inspecting Party located within the territory of the country where the inspection is taking place using the telephone communications provided by the inspected Party.</w:t>
      </w:r>
    </w:p>
    <w:p w:rsidR="00A31137" w:rsidRPr="00A31137" w:rsidRDefault="00A31137" w:rsidP="00A31137">
      <w:r w:rsidRPr="00A31137">
        <w:t>8. At the inspection site, representatives of the inspected facility shall be included among the in-country escort.</w:t>
      </w:r>
    </w:p>
    <w:p w:rsidR="00A31137" w:rsidRPr="00A31137" w:rsidRDefault="00A31137" w:rsidP="00A31137">
      <w:r w:rsidRPr="00A31137">
        <w:t>Public Papers of Reagan, 1987, p.1478</w:t>
      </w:r>
    </w:p>
    <w:p w:rsidR="00A31137" w:rsidRPr="00A31137" w:rsidRDefault="00A31137" w:rsidP="00A31137">
      <w:r w:rsidRPr="00A31137">
        <w:t>9. The inspection team may bring onto the inspection site such documents as needed to conduct the inspection, as well as linear measurement devices; cameras; portable weighing devices; radiation detection devices; and other equipment, as agreed by the Parties. The characteristics and method of use of the equipment listed above, shall also be agreed upon within 30 days after entry into force of the Treaty. During inspections conducted pursuant to paragraphs 3, 4, 5(a), 7 or 8 of Article XI of the Treaty, the inspection team may use any of the equipment listed above, except for cameras, which shall be for use only by the inspected Party at the request of the inspecting Party. During inspections conducted pursuant to paragraph 5(b) of Article XI of the Treaty, all measurements shall be made by the inspected Party at the request of the inspecting Party. At the request of inspectors, the in-country escort shall take photographs of the inspected facilities using the inspecting Party's camera systems which are capable of producing duplicate, instant development photographic prints. Each Party shall receive one copy of every photograph.</w:t>
      </w:r>
    </w:p>
    <w:p w:rsidR="00A31137" w:rsidRPr="00A31137" w:rsidRDefault="00A31137" w:rsidP="00A31137">
      <w:r w:rsidRPr="00A31137">
        <w:t>Public Papers of Reagan, 1987, p.1478</w:t>
      </w:r>
    </w:p>
    <w:p w:rsidR="00A31137" w:rsidRPr="00A31137" w:rsidRDefault="00A31137" w:rsidP="00A31137">
      <w:r w:rsidRPr="00A31137">
        <w:t>10. For inspections conducted pursuant to paragraphs 3, 4, 5, 7 or 8 of Article XI of the Treaty, inspectors shall permit the incountry escort to observe the equipment used during the inspection by the inspection team.</w:t>
      </w:r>
    </w:p>
    <w:p w:rsidR="00A31137" w:rsidRPr="00A31137" w:rsidRDefault="00A31137" w:rsidP="00A31137">
      <w:r w:rsidRPr="00A31137">
        <w:t>Public Papers of Reagan, 1987, p.1478</w:t>
      </w:r>
    </w:p>
    <w:p w:rsidR="00A31137" w:rsidRPr="00A31137" w:rsidRDefault="00A31137" w:rsidP="00A31137">
      <w:r w:rsidRPr="00A31137">
        <w:t>11. Measurements recorded during inspections shall be certified by the signature of a member of the inspection team and a member of the in-country escort when they are taken. Such certified data shall be included in the inspection report.</w:t>
      </w:r>
    </w:p>
    <w:p w:rsidR="00A31137" w:rsidRPr="00A31137" w:rsidRDefault="00A31137" w:rsidP="00A31137">
      <w:r w:rsidRPr="00A31137">
        <w:t>Public Papers of Reagan, 1987, p.1478</w:t>
      </w:r>
    </w:p>
    <w:p w:rsidR="00A31137" w:rsidRPr="00A31137" w:rsidRDefault="00A31137" w:rsidP="00A31137">
      <w:r w:rsidRPr="00A31137">
        <w:t>12. Inspectors shall have the right to request clarifications in connection with ambiguities that arise during an inspection. Such requests shall be made promptly through the in-country escort. The in-country escort shall provide the inspection team, during the inspection, with such clarifications as may be necessary to remove the ambiguity. In the event questions relating to an object or building located within the inspection site are not resolved, the inspected Party shall photograph the object or building as requested by the inspecting Party for the purpose of clarifying its nature and function. If the ambiguity cannot be removed during the inspection, then the question, relevant clarifications and a copy of any photographs taken shall be included in the inspection report.</w:t>
      </w:r>
    </w:p>
    <w:p w:rsidR="00A31137" w:rsidRPr="00A31137" w:rsidRDefault="00A31137" w:rsidP="00A31137">
      <w:r w:rsidRPr="00A31137">
        <w:t>Public Papers of Reagan, 1987, p.1478</w:t>
      </w:r>
    </w:p>
    <w:p w:rsidR="00A31137" w:rsidRPr="00A31137" w:rsidRDefault="00A31137" w:rsidP="00A31137">
      <w:r w:rsidRPr="00A31137">
        <w:t>13. In carrying out their activities, inspectors shall observe safety regulations established at the inspection site, including those for the protection of controlled environments within a facility and for personal safety. Individual protective clothing and equipment shall be provided by the inspected Party, as necessary.</w:t>
      </w:r>
    </w:p>
    <w:p w:rsidR="00A31137" w:rsidRPr="00A31137" w:rsidRDefault="00A31137" w:rsidP="00A31137">
      <w:r w:rsidRPr="00A31137">
        <w:t>Public Papers of Reagan, 1987, p.1478</w:t>
      </w:r>
    </w:p>
    <w:p w:rsidR="00A31137" w:rsidRPr="00A31137" w:rsidRDefault="00A31137" w:rsidP="00A31137">
      <w:r w:rsidRPr="00A31137">
        <w:t>14. For inspections pursuant to paragraphs 3, 4, 5, 7 or 8 of Article XI of the Treaty, pre-inspection procedures, including briefings and safety-related activities, shall begin upon arrival of the inspection team at the inspection site and shall be completed within one hour. The inspection team shall begin the inspection immediately upon completion of the pre-inspection procedures. The period of inspection shall not exceed 24 hours, except for inspections pursuant to paragraphs 6, 7 or 8 of Article XI of the Treaty. The period of inspection may be extended, by agreement with the in-country escort, by no more than eight hours. Post-inspection procedures, which include completing the inspection report in accordance with the provisions of Section XI of this Protocol, shall begin immediately upon completion of the inspection and shall be completed at the inspection site within four hours.</w:t>
      </w:r>
    </w:p>
    <w:p w:rsidR="00A31137" w:rsidRPr="00A31137" w:rsidRDefault="00A31137" w:rsidP="00A31137">
      <w:r w:rsidRPr="00A31137">
        <w:t>Public Papers of Reagan, 1987, p.1478–p.1479</w:t>
      </w:r>
    </w:p>
    <w:p w:rsidR="00A31137" w:rsidRPr="00A31137" w:rsidRDefault="00A31137" w:rsidP="00A31137">
      <w:r w:rsidRPr="00A31137">
        <w:t>15. An inspection team conducting an inspection pursuant to Article XI of the [p.1479] Treaty shall include no more than ten inspectors, except for an inspection team conducting an inspection pursuant to paragraphs 7 or 8 of that Article, which shall include no more than 20 inspectors and an inspection team conducting inspection activities pursuant to paragraph 6 of that Article, which shall include no more than 30 inspectors. At least two inspectors on each team must speak the language of the inspected Party. An inspection team shall operate under the direction of the team leader and deputy team leader. Upon arrival at the inspection site, the inspection team may divide itself into subgroups consisting of no fewer than two inspectors each. There shall be no more than one inspection team at an inspection site at any one time.</w:t>
      </w:r>
    </w:p>
    <w:p w:rsidR="00A31137" w:rsidRPr="00A31137" w:rsidRDefault="00A31137" w:rsidP="00A31137">
      <w:r w:rsidRPr="00A31137">
        <w:t>Public Papers of Reagan, 1987, p.1479</w:t>
      </w:r>
    </w:p>
    <w:p w:rsidR="00A31137" w:rsidRPr="00A31137" w:rsidRDefault="00A31137" w:rsidP="00A31137">
      <w:r w:rsidRPr="00A31137">
        <w:t>16. Except in the case of inspections conducted pursuant to paragraphs 3, 4,? or 8 of Article XI of the Treaty, upon completion of the post-inspection procedures, the inspection team shall return promptly to the point of entry from which it commenced inspection activities and shall then leave, within 24 hours, the territory of the country in which the inspection site is located, using its own airplane. In the case of inspections conducted pursuant to paragraphs 3, 4, 7 or 8 of Article XI of the Treaty, if the inspection team intends to conduct another inspection it shall either:</w:t>
      </w:r>
    </w:p>
    <w:p w:rsidR="00A31137" w:rsidRPr="00A31137" w:rsidRDefault="00A31137" w:rsidP="00A31137">
      <w:r w:rsidRPr="00A31137">
        <w:t>Public Papers of Reagan, 1987, p.1479</w:t>
      </w:r>
    </w:p>
    <w:p w:rsidR="00A31137" w:rsidRPr="00A31137" w:rsidRDefault="00A31137" w:rsidP="00A31137">
      <w:r w:rsidRPr="00A31137">
        <w:t>(a) notify the inspected Party of its intent upon return to the point of entry; or</w:t>
      </w:r>
    </w:p>
    <w:p w:rsidR="00A31137" w:rsidRPr="00A31137" w:rsidRDefault="00A31137" w:rsidP="00A31137">
      <w:r w:rsidRPr="00A31137">
        <w:t>(b) notify the inspected Party of the type of inspection and the inspection site upon completion of the post-inspection procedures. In this case it shall be the responsibility of the inspected Party to ensure that the inspection team reaches the next inspection site without unjustified delay. The inspected Party shall determine the means of transportation and route involved in such travel.</w:t>
      </w:r>
    </w:p>
    <w:p w:rsidR="00A31137" w:rsidRPr="00A31137" w:rsidRDefault="00A31137" w:rsidP="00A31137">
      <w:r w:rsidRPr="00A31137">
        <w:t>With respect to subparagraph (a), the procedures set forth in paragraph 7 of Section V of this Protocol and paragraphs 1 and 2 of Section VII of this Protocol shall apply.</w:t>
      </w:r>
    </w:p>
    <w:p w:rsidR="00A31137" w:rsidRPr="00A31137" w:rsidRDefault="00A31137" w:rsidP="00A31137">
      <w:r w:rsidRPr="00A31137">
        <w:t>VII. Inspections Conducted Pursuant to</w:t>
      </w:r>
    </w:p>
    <w:p w:rsidR="00A31137" w:rsidRPr="00A31137" w:rsidRDefault="00A31137" w:rsidP="00A31137">
      <w:r w:rsidRPr="00A31137">
        <w:t>Paragraphs 3, 4 or 5 of Article XI of the Treaty</w:t>
      </w:r>
    </w:p>
    <w:p w:rsidR="00A31137" w:rsidRPr="00A31137" w:rsidRDefault="00A31137" w:rsidP="00A31137">
      <w:r w:rsidRPr="00A31137">
        <w:t>Public Papers of Reagan, 1987, p.1479</w:t>
      </w:r>
    </w:p>
    <w:p w:rsidR="00A31137" w:rsidRPr="00A31137" w:rsidRDefault="00A31137" w:rsidP="00A31137">
      <w:r w:rsidRPr="00A31137">
        <w:t>1. Within one hour after the time for the specification of the inspection site notified pursuant to paragraph l(a) of Section IV of this Protocol, the inspected Party shall implement pre-inspection movement restrictions at the inspection site, which shall remain in effect until the inspection team arrives at the inspection site. During the period that pre-inspection movement restrictions are in effect, missiles, stages of such missiles, launchers or support equipment subject to the Treaty shall not be removed from the inspection site.</w:t>
      </w:r>
    </w:p>
    <w:p w:rsidR="00A31137" w:rsidRPr="00A31137" w:rsidRDefault="00A31137" w:rsidP="00A31137">
      <w:r w:rsidRPr="00A31137">
        <w:t>Public Papers of Reagan, 1987, p.1479</w:t>
      </w:r>
    </w:p>
    <w:p w:rsidR="00A31137" w:rsidRPr="00A31137" w:rsidRDefault="00A31137" w:rsidP="00A31137">
      <w:r w:rsidRPr="00A31137">
        <w:t>2. The inspected Party shall transport the inspection team from the point of entry to the inspection site so that the inspection team arrives at the inspection site no later than nine hours after the time for the specification of the inspection site notified pursuant to paragraph l(a) of Section IV of this Protocol.</w:t>
      </w:r>
    </w:p>
    <w:p w:rsidR="00A31137" w:rsidRPr="00A31137" w:rsidRDefault="00A31137" w:rsidP="00A31137">
      <w:r w:rsidRPr="00A31137">
        <w:t>Public Papers of Reagan, 1987, p.1479</w:t>
      </w:r>
    </w:p>
    <w:p w:rsidR="00A31137" w:rsidRPr="00A31137" w:rsidRDefault="00A31137" w:rsidP="00A31137">
      <w:r w:rsidRPr="00A31137">
        <w:t>3. In the event that an inspection is conducted in a basing country, the aircrew of the inspected Party may include representatives of the basing country.</w:t>
      </w:r>
    </w:p>
    <w:p w:rsidR="00A31137" w:rsidRPr="00A31137" w:rsidRDefault="00A31137" w:rsidP="00A31137">
      <w:r w:rsidRPr="00A31137">
        <w:t>Public Papers of Reagan, 1987, p.1479</w:t>
      </w:r>
    </w:p>
    <w:p w:rsidR="00A31137" w:rsidRPr="00A31137" w:rsidRDefault="00A31137" w:rsidP="00A31137">
      <w:r w:rsidRPr="00A31137">
        <w:t>4. Neither Party shall conduct more than one inspection pursuant to paragraph 5(a) of Article XI of the Treaty at any one time, more than one inspection pursuant to paragraph 5(b) of Article XI of the Treaty at any one time, or more than 10 inspections pursuant to paragraph 3 of Article XI of the Treaty at any one time.</w:t>
      </w:r>
    </w:p>
    <w:p w:rsidR="00A31137" w:rsidRPr="00A31137" w:rsidRDefault="00A31137" w:rsidP="00A31137">
      <w:r w:rsidRPr="00A31137">
        <w:t>Public Papers of Reagan, 1987, p.1479</w:t>
      </w:r>
    </w:p>
    <w:p w:rsidR="00A31137" w:rsidRPr="00A31137" w:rsidRDefault="00A31137" w:rsidP="00A31137">
      <w:r w:rsidRPr="00A31137">
        <w:t>5. The boundaries of the inspection site at the facility to be inspected shall be the boundaries of that facility set forth in the Memorandum of Understanding.</w:t>
      </w:r>
    </w:p>
    <w:p w:rsidR="00A31137" w:rsidRPr="00A31137" w:rsidRDefault="00A31137" w:rsidP="00A31137">
      <w:r w:rsidRPr="00A31137">
        <w:t>Public Papers of Reagan, 1987, p.1479</w:t>
      </w:r>
    </w:p>
    <w:p w:rsidR="00A31137" w:rsidRPr="00A31137" w:rsidRDefault="00A31137" w:rsidP="00A31137">
      <w:r w:rsidRPr="00A31137">
        <w:t>6. Except in the case of an inspection conducted pursuant to paragraphs 4 or 5(b) of Article XI of the Treaty, upon arrival of the inspection team at the inspection site, the in-country escort shall inform the inspection team leader of the number of missiles, stages of missiles, launchers, support structures and support equipment at the site that are subject to the Treaty and provide the inspection team leader with a diagram of the inspection site indicating the location of these missiles, stages of missiles, launchers, support structures and support equipment at the inspection site.</w:t>
      </w:r>
    </w:p>
    <w:p w:rsidR="00A31137" w:rsidRPr="00A31137" w:rsidRDefault="00A31137" w:rsidP="00A31137">
      <w:r w:rsidRPr="00A31137">
        <w:t>Public Papers of Reagan, 1987, p.1479–p.1480</w:t>
      </w:r>
    </w:p>
    <w:p w:rsidR="00A31137" w:rsidRPr="00A31137" w:rsidRDefault="00A31137" w:rsidP="00A31137">
      <w:r w:rsidRPr="00A31137">
        <w:t>7. Subject to the procedures of paragraphs 8 through 14 of this Section, inspectors shall have the right to inspect the entire inspection site, including the interior [p.1480] of structures, containers or vehicles, or including covered objects, whose dimensions are equal to or greater than the dimensions specified in Section VI of the Memorandum of Understanding for the missiles, stages of such missiles, launchers or support equipment of the inspected Party.</w:t>
      </w:r>
    </w:p>
    <w:p w:rsidR="00A31137" w:rsidRPr="00A31137" w:rsidRDefault="00A31137" w:rsidP="00A31137">
      <w:r w:rsidRPr="00A31137">
        <w:t>Public Papers of Reagan, 1987, p.1480</w:t>
      </w:r>
    </w:p>
    <w:p w:rsidR="00A31137" w:rsidRPr="00A31137" w:rsidRDefault="00A31137" w:rsidP="00A31137">
      <w:r w:rsidRPr="00A31137">
        <w:t>8. A missile, a stage of such a missile or a launcher subject to the Treaty shall be subject to inspection only by external visual observation, including measuring, as necessary, the dimensions of such a missile, stage of such a missile or launcher. A container that the inspected Party declares to contain a missile or stage of a missile subject to the Treaty, and which is not sufficiently large to be capable of containing more than one missile or stage of such a missile of the inspected Party subject to the Treaty, shall be subject to inspection only by external visual observation, including measuring, as necessary, the dimensions of such a container to confirm that it cannot contain more than one missile or stage of such a missile of the inspected Party subject to the Treaty. Except as provided for in paragraph 14 of this Section, a container that is sufficiently large to contain a missile or stage of such a missile of the inspected Party subject to the Treaty that the inspected party declares not to contain a missile or stage of such a missile subject to the Treaty shall be subject to inspection only by means of weighing or visual observation of the interior of the container, as necessary, to confirm that it does not, in fact, contain a missile or stage of such a missile of the inspected Party subject to the Treaty. If such a container is a launch canister associated with a type of missile not subject to the Treaty, and declared by the inspected Party to contain such a missile, it shall be subject to external inspection only, including use of radiation detection devices, visual observation and linear measurement, as necessary, of the dimensions of such a canister.</w:t>
      </w:r>
    </w:p>
    <w:p w:rsidR="00A31137" w:rsidRPr="00A31137" w:rsidRDefault="00A31137" w:rsidP="00A31137">
      <w:r w:rsidRPr="00A31137">
        <w:t>Public Papers of Reagan, 1987, p.1480</w:t>
      </w:r>
    </w:p>
    <w:p w:rsidR="00A31137" w:rsidRPr="00A31137" w:rsidRDefault="00A31137" w:rsidP="00A31137">
      <w:r w:rsidRPr="00A31137">
        <w:t>9. A structure or container that is not sufficiently large to contain a missile, stage of such a missile or launcher of the inspected Party subject to the Treaty shall be subject to inspection only by external visual observation including measuring, as necessary, the dimensions of such a structure or container to confirm that it is not sufficiently large to be capable of containing a missile, stage of such a missile or launcher of the inspected Party subject to the Treaty.</w:t>
      </w:r>
    </w:p>
    <w:p w:rsidR="00A31137" w:rsidRPr="00A31137" w:rsidRDefault="00A31137" w:rsidP="00A31137">
      <w:r w:rsidRPr="00A31137">
        <w:t>Public Papers of Reagan, 1987, p.1480</w:t>
      </w:r>
    </w:p>
    <w:p w:rsidR="00A31137" w:rsidRPr="00A31137" w:rsidRDefault="00A31137" w:rsidP="00A31137">
      <w:r w:rsidRPr="00A31137">
        <w:t>10. Within a structure, a space which is sufficiently large to contain a missile, stage of such a missile or launcher of the inspected Party subject to the Treaty, but which is demonstrated to the satisfaction of the inspection team not to be accessible by the smallest missile, stage of a missile or launcher of the inspected Party subject to the Treaty shall not be subject to further inspection. If the inspected Party demonstrates to the satisfaction of the inspection team by means of a visual inspection of the interior of an enclosed space from its entrance that the enclosed space does not contain any missile, stage of such a missile or launcher of the inspected Party subject to the Treaty, such an enclosed space shall not be subject to further inspection.</w:t>
      </w:r>
      <w:r w:rsidRPr="00A31137">
        <w:cr/>
      </w:r>
    </w:p>
    <w:p w:rsidR="00A31137" w:rsidRPr="00A31137" w:rsidRDefault="00A31137" w:rsidP="00A31137">
      <w:r w:rsidRPr="00A31137">
        <w:t>Public Papers of Reagan, 1987, p.1480</w:t>
      </w:r>
    </w:p>
    <w:p w:rsidR="00A31137" w:rsidRPr="00A31137" w:rsidRDefault="00A31137" w:rsidP="00A31137">
      <w:r w:rsidRPr="00A31137">
        <w:t>11. The inspection team shall be permitted to patrol the perimeter of the inspection site and station inspectors at the exits of the site for the duration of the inspection.</w:t>
      </w:r>
    </w:p>
    <w:p w:rsidR="00A31137" w:rsidRPr="00A31137" w:rsidRDefault="00A31137" w:rsidP="00A31137">
      <w:r w:rsidRPr="00A31137">
        <w:t>Public Papers of Reagan, 1987, p.1480</w:t>
      </w:r>
    </w:p>
    <w:p w:rsidR="00A31137" w:rsidRPr="00A31137" w:rsidRDefault="00A31137" w:rsidP="00A31137">
      <w:r w:rsidRPr="00A31137">
        <w:t>12. The inspection team shall be permitted to inspect any vehicle capable of carrying missiles, stages of such missiles, launchers or support equipment of the inspected Party subject to the Treaty at any time during the course of an inspection and no such vehicle shall leave the inspection site during the course of the inspection until inspected at site exits by the inspection team.</w:t>
      </w:r>
    </w:p>
    <w:p w:rsidR="00A31137" w:rsidRPr="00A31137" w:rsidRDefault="00A31137" w:rsidP="00A31137">
      <w:r w:rsidRPr="00A31137">
        <w:t>Public Papers of Reagan, 1987, p.1480</w:t>
      </w:r>
    </w:p>
    <w:p w:rsidR="00A31137" w:rsidRPr="00A31137" w:rsidRDefault="00A31137" w:rsidP="00A31137">
      <w:r w:rsidRPr="00A31137">
        <w:t>13. Prior to inspection of a building within the inspection site, the inspection team may station subgroups at the exits of the building that are large enough to permit passage of any missile, stage of such a missile, launcher or support equipment of the inspected Party subject to the Treaty. During the time that the building is being inspected, no vehicle or object capable of containing any missile, stage of such a missile, launcher or support equipment of the inspected Party subject to the Treaty shall be permitted to leave the building until inspected.</w:t>
      </w:r>
    </w:p>
    <w:p w:rsidR="00A31137" w:rsidRPr="00A31137" w:rsidRDefault="00A31137" w:rsidP="00A31137">
      <w:r w:rsidRPr="00A31137">
        <w:t>Public Papers of Reagan, 1987, p.1480–p.1481</w:t>
      </w:r>
    </w:p>
    <w:p w:rsidR="00A31137" w:rsidRPr="00A31137" w:rsidRDefault="00A31137" w:rsidP="00A31137">
      <w:r w:rsidRPr="00A31137">
        <w:t>14. During an inspection conducted pursuant to paragraph 5(b) of Article XI of the Treaty, it shall be the responsibility of the [p.1481] inspected Party to demonstrate that a shrouded or environmentally protected object which is equal to or larger than the smallest missile, stage of a missile or launcher of the inspected Party subject to the Treaty is not, in fact, a missile, stage of such a missile or launcher of the inspected Party subject to the Treaty. This may be accomplished by partial removal of the shroud or environmental protection cover, measuring, or weighing the covered object or by other methods. If the inspected Party satisfies the inspection team by its demonstration that the object is not a missile, stage of such a missile or launcher of the inspected Party subject to the Treaty, then there shall be no further inspection of that object. If the container is a launch canister associated with a type of missile not subject to the Treaty, and declared by the inspected Party to contain such a missile, then it shall be subject to external inspection only, including use of radiation detection devices, visual observation and linear measurement, as necessary, of the dimensions of such a canister.</w:t>
      </w:r>
    </w:p>
    <w:p w:rsidR="00A31137" w:rsidRPr="00A31137" w:rsidRDefault="00A31137" w:rsidP="00A31137">
      <w:r w:rsidRPr="00A31137">
        <w:t>VIII. Inspections Conducted Pursuant to</w:t>
      </w:r>
    </w:p>
    <w:p w:rsidR="00A31137" w:rsidRPr="00A31137" w:rsidRDefault="00A31137" w:rsidP="00A31137">
      <w:r w:rsidRPr="00A31137">
        <w:t>Paragraphs 7 or 8 of Article XI of the Treaty</w:t>
      </w:r>
    </w:p>
    <w:p w:rsidR="00A31137" w:rsidRPr="00A31137" w:rsidRDefault="00A31137" w:rsidP="00A31137">
      <w:r w:rsidRPr="00A31137">
        <w:t>Public Papers of Reagan, 1987, p.1481</w:t>
      </w:r>
    </w:p>
    <w:p w:rsidR="00A31137" w:rsidRPr="00A31137" w:rsidRDefault="00A31137" w:rsidP="00A31137">
      <w:r w:rsidRPr="00A31137">
        <w:t>1. Inspections of the process of elimination of items of missile systems specified in the Protocol on Elimination carried out pursuant to paragraph 7 of Article XI of the Treaty shall be conducted in accordance with the procedures set forth in this paragraph and the Protocol on Elimination.</w:t>
      </w:r>
    </w:p>
    <w:p w:rsidR="00A31137" w:rsidRPr="00A31137" w:rsidRDefault="00A31137" w:rsidP="00A31137">
      <w:r w:rsidRPr="00A31137">
        <w:tab/>
        <w:t>(a) Upon arrival at the elimination facility, inspectors shall be provided with a schedule of elimination activities.</w:t>
      </w:r>
    </w:p>
    <w:p w:rsidR="00A31137" w:rsidRPr="00A31137" w:rsidRDefault="00A31137" w:rsidP="00A31137">
      <w:r w:rsidRPr="00A31137">
        <w:tab/>
        <w:t>(b) Inspectors shall check the data which are specified in the notification provided by the inspected Party regarding the number and type of items of missile systems to be eliminated against the number and type of such items which are at the elimination facility prior to the initiation of the elimination procedures.</w:t>
      </w:r>
    </w:p>
    <w:p w:rsidR="00A31137" w:rsidRPr="00A31137" w:rsidRDefault="00A31137" w:rsidP="00A31137">
      <w:r w:rsidRPr="00A31137">
        <w:tab/>
        <w:t>(c) Subject to paragraphs 3 and 11 of Section VI of this Protocol, inspectors shall observe the execution of the specific procedures for the elimination of the items of missile systems as provided for in the Protocol on Elimination. If any deviations from the agreed elimination procedures are found, the inspectors shall have the right to call the attention of the in-country escort to the need for strict compliance with the above-mentioned procedures. The completion of such procedures shall be confirmed in accordance with the procedures specified in the Protocol on Elimination.</w:t>
      </w:r>
    </w:p>
    <w:p w:rsidR="00A31137" w:rsidRPr="00A31137" w:rsidRDefault="00A31137" w:rsidP="00A31137">
      <w:r w:rsidRPr="00A31137">
        <w:tab/>
        <w:t>(d) During the elimination of missiles by means of launching, the inspectors shall have the right to ascertain by visual observation that a missile prepared for launch is a missile of the type subject to elimination. The inspectors shall also be allowed to observe such a missile from a safe location specified by the inspected Party until the completion of its launch. During the inspection of a series of launches for the elimination of missiles by means of launching, the inspected Party shall determine the means of transport and route for the transportation of inspectors between inspection sites.</w:t>
      </w:r>
    </w:p>
    <w:p w:rsidR="00A31137" w:rsidRPr="00A31137" w:rsidRDefault="00A31137" w:rsidP="00A31137">
      <w:r w:rsidRPr="00A31137">
        <w:t>Public Papers of Reagan, 1987, p.1481</w:t>
      </w:r>
    </w:p>
    <w:p w:rsidR="00A31137" w:rsidRPr="00A31137" w:rsidRDefault="00A31137" w:rsidP="00A31137">
      <w:r w:rsidRPr="00A31137">
        <w:t>2. Inspections of the elimination of items of missile systems specified in the Protocol on Elimination carried out pursuant to paragraph 8 of Article XI of the Treaty shall be conducted in accordance with the procedures set forth in Sections II, IV or V of the Protocol on Elimination or as otherwise agreed by the Parties.</w:t>
      </w:r>
    </w:p>
    <w:p w:rsidR="00A31137" w:rsidRPr="00A31137" w:rsidRDefault="00A31137" w:rsidP="00A31137">
      <w:r w:rsidRPr="00A31137">
        <w:t>IX. Inspection Activities Conducted</w:t>
      </w:r>
    </w:p>
    <w:p w:rsidR="00A31137" w:rsidRPr="00A31137" w:rsidRDefault="00A31137" w:rsidP="00A31137">
      <w:r w:rsidRPr="00A31137">
        <w:t>Pursuant to Paragraph 6 of Article XI of the Treaty</w:t>
      </w:r>
    </w:p>
    <w:p w:rsidR="00A31137" w:rsidRPr="00A31137" w:rsidRDefault="00A31137" w:rsidP="00A31137">
      <w:r w:rsidRPr="00A31137">
        <w:t>Public Papers of Reagan, 1987, p.1481</w:t>
      </w:r>
    </w:p>
    <w:p w:rsidR="00A31137" w:rsidRPr="00A31137" w:rsidRDefault="00A31137" w:rsidP="00A31137">
      <w:r w:rsidRPr="00A31137">
        <w:t>1. The inspected Party shall maintain an agreed perimeter around the periphery of the inspection site and shall designate a portal with not more than one rail line and one road which shall be within 50 meters of each other. All vehicles which can contain an intermediate-range GLBM or longest stage of such a GLBM of the inspected Party shall exit only through this portal.</w:t>
      </w:r>
    </w:p>
    <w:p w:rsidR="00A31137" w:rsidRPr="00A31137" w:rsidRDefault="00A31137" w:rsidP="00A31137">
      <w:r w:rsidRPr="00A31137">
        <w:t>Public Papers of Reagan, 1987, p.1481–p.1482</w:t>
      </w:r>
    </w:p>
    <w:p w:rsidR="00A31137" w:rsidRPr="00A31137" w:rsidRDefault="00A31137" w:rsidP="00A31137">
      <w:r w:rsidRPr="00A31137">
        <w:t>2. For the purposes of this Section, the provisions of paragraph 10 of Article VII of the Treaty shall be applied to Intermediate-range GLBMs of the inspected Party and the longest stage of such GLBMs.</w:t>
      </w:r>
    </w:p>
    <w:p w:rsidR="00A31137" w:rsidRPr="00A31137" w:rsidRDefault="00A31137" w:rsidP="00A31137">
      <w:r w:rsidRPr="00A31137">
        <w:tab/>
        <w:t>3. There shall not be more than two [p.1482] other exits from the inspection site. Such exits shall be monitored by appropriate sensors. The perimeter of and exits from the inspection site may be monitored as provided for by paragraph 11 Section VII of this Protocol.</w:t>
      </w:r>
    </w:p>
    <w:p w:rsidR="00A31137" w:rsidRPr="00A31137" w:rsidRDefault="00A31137" w:rsidP="00A31137">
      <w:r w:rsidRPr="00A31137">
        <w:t>Public Papers of Reagan, 1987, p.1482</w:t>
      </w:r>
    </w:p>
    <w:p w:rsidR="00A31137" w:rsidRPr="00A31137" w:rsidRDefault="00A31137" w:rsidP="00A31137">
      <w:r w:rsidRPr="00A31137">
        <w:t>4. The inspecting Party shall have the right to establish continuous monitoring systems at the portal specified in paragraph 1 of this Section and appropriate sensors at the exits specified in paragraph 3 of this Section and carry out necessary engineering surveys, construction, repair and replacement of monitoring systems.</w:t>
      </w:r>
    </w:p>
    <w:p w:rsidR="00A31137" w:rsidRPr="00A31137" w:rsidRDefault="00A31137" w:rsidP="00A31137">
      <w:r w:rsidRPr="00A31137">
        <w:t>Public Papers of Reagan, 1987, p.1482</w:t>
      </w:r>
    </w:p>
    <w:p w:rsidR="00A31137" w:rsidRPr="00A31137" w:rsidRDefault="00A31137" w:rsidP="00A31137">
      <w:r w:rsidRPr="00A31137">
        <w:t>5. The inspected Party shall, at the request of and at the expense of the inspecting Party, provide the following:</w:t>
      </w:r>
    </w:p>
    <w:p w:rsidR="00A31137" w:rsidRPr="00A31137" w:rsidRDefault="00A31137" w:rsidP="00A31137">
      <w:r w:rsidRPr="00A31137">
        <w:tab/>
        <w:t>(a) all necessary utilities for the construction and operation of the monitoring systems, including electrical power, water, fuel, heating and sewage;</w:t>
      </w:r>
    </w:p>
    <w:p w:rsidR="00A31137" w:rsidRPr="00A31137" w:rsidRDefault="00A31137" w:rsidP="00A31137">
      <w:r w:rsidRPr="00A31137">
        <w:tab/>
        <w:t>(b) basic construction materials including concrete and lumber;</w:t>
      </w:r>
    </w:p>
    <w:p w:rsidR="00A31137" w:rsidRPr="00A31137" w:rsidRDefault="00A31137" w:rsidP="00A31137">
      <w:r w:rsidRPr="00A31137">
        <w:tab/>
        <w:t>(c) the site preparation necessary to accommodate the installation of continuously operating systems for monitoring the portal specified in paragraph 1 of this Section, appropriate sensors for other exits specified in paragraph 3 of this Section and the center for collecting data obtained during inspections. Such preparation may include ground excavation, laying of concrete foundations, trenching between equipment locations and utility connections;</w:t>
      </w:r>
    </w:p>
    <w:p w:rsidR="00A31137" w:rsidRPr="00A31137" w:rsidRDefault="00A31137" w:rsidP="00A31137">
      <w:r w:rsidRPr="00A31137">
        <w:tab/>
        <w:t>(d) transportation for necessary installation tools, materials and equipment from the point of entry to the inspection site; and</w:t>
      </w:r>
    </w:p>
    <w:p w:rsidR="00A31137" w:rsidRPr="00A31137" w:rsidRDefault="00A31137" w:rsidP="00A31137">
      <w:r w:rsidRPr="00A31137">
        <w:tab/>
        <w:t>(e) a minimum of two telephone lines and, as necessary, high frequency radio equipment capable of allowing direct communication with the embassy of the inspecting Party in the country in which the site is located.</w:t>
      </w:r>
    </w:p>
    <w:p w:rsidR="00A31137" w:rsidRPr="00A31137" w:rsidRDefault="00A31137" w:rsidP="00A31137">
      <w:r w:rsidRPr="00A31137">
        <w:t>Public Papers of Reagan, 1987, p.1482</w:t>
      </w:r>
    </w:p>
    <w:p w:rsidR="00A31137" w:rsidRPr="00A31137" w:rsidRDefault="00A31137" w:rsidP="00A31137">
      <w:r w:rsidRPr="00A31137">
        <w:t>6. Outside the perimeter of the inspection site, the inspecting Party shall have the right to:</w:t>
      </w:r>
    </w:p>
    <w:p w:rsidR="00A31137" w:rsidRPr="00A31137" w:rsidRDefault="00A31137" w:rsidP="00A31137">
      <w:r w:rsidRPr="00A31137">
        <w:tab/>
        <w:t>(a) build no more than three buildings with a total floor space of not more than 150 square meters for a data center and inspection team headquarters, and one additional building with floor space not to exceed 500 square meters for the storage of supplies and equipment;</w:t>
      </w:r>
    </w:p>
    <w:p w:rsidR="00A31137" w:rsidRPr="00A31137" w:rsidRDefault="00A31137" w:rsidP="00A31137">
      <w:r w:rsidRPr="00A31137">
        <w:tab/>
        <w:t>(b) install systems to monitor the exits to include weight sensors, vehicle sensors, surveillance systems and vehicle dimensional measuring equipment;</w:t>
      </w:r>
    </w:p>
    <w:p w:rsidR="00A31137" w:rsidRPr="00A31137" w:rsidRDefault="00A31137" w:rsidP="00A31137">
      <w:r w:rsidRPr="00A31137">
        <w:tab/>
        <w:t>(c) install at the portal specified in paragraph 1 of this Section equipment for measuring the length and diameter of missile stages contained inside of launch canisters or shipping containers;</w:t>
      </w:r>
    </w:p>
    <w:p w:rsidR="00A31137" w:rsidRPr="00A31137" w:rsidRDefault="00A31137" w:rsidP="00A31137">
      <w:r w:rsidRPr="00A31137">
        <w:tab/>
        <w:t>(d) install at the portal specified in paragraph 1 of this section non-damaging image producing equipment for imaging the contents of launch canisters or shipping containers declared to contain missiles or missile stages as provided for in paragraph 11 of this Section;</w:t>
      </w:r>
    </w:p>
    <w:p w:rsidR="00A31137" w:rsidRPr="00A31137" w:rsidRDefault="00A31137" w:rsidP="00A31137">
      <w:r w:rsidRPr="00A31137">
        <w:tab/>
        <w:t>(e) install a primary and back-up power source; and</w:t>
      </w:r>
    </w:p>
    <w:p w:rsidR="00A31137" w:rsidRPr="00A31137" w:rsidRDefault="00A31137" w:rsidP="00A31137">
      <w:r w:rsidRPr="00A31137">
        <w:tab/>
        <w:t>(f) use, as necessary, data authentication devices.</w:t>
      </w:r>
    </w:p>
    <w:p w:rsidR="00A31137" w:rsidRPr="00A31137" w:rsidRDefault="00A31137" w:rsidP="00A31137">
      <w:r w:rsidRPr="00A31137">
        <w:t>Public Papers of Reagan, 1987, p.1482</w:t>
      </w:r>
    </w:p>
    <w:p w:rsidR="00A31137" w:rsidRPr="00A31137" w:rsidRDefault="00A31137" w:rsidP="00A31137">
      <w:r w:rsidRPr="00A31137">
        <w:t>7. During the installation or operation of the monitoring systems, the inspecting Party shall not deny the inspected Party access to any existing structures or security systems. The inspecting Party shall not take any actions with respect to such structures without consent of the inspected Party. If the Parties agree that such structures are to be rebuilt or demolished, either partially or completely, the inspecting Party shall provide the necessary compensation.</w:t>
      </w:r>
    </w:p>
    <w:p w:rsidR="00A31137" w:rsidRPr="00A31137" w:rsidRDefault="00A31137" w:rsidP="00A31137">
      <w:r w:rsidRPr="00A31137">
        <w:t>Public Papers of Reagan, 1987, p.1482</w:t>
      </w:r>
    </w:p>
    <w:p w:rsidR="00A31137" w:rsidRPr="00A31137" w:rsidRDefault="00A31137" w:rsidP="00A31137">
      <w:r w:rsidRPr="00A31137">
        <w:t>8. The inspected Party shall not interfere with the installed equipment or restrict the access of the inspection team to such equipment.</w:t>
      </w:r>
    </w:p>
    <w:p w:rsidR="00A31137" w:rsidRPr="00A31137" w:rsidRDefault="00A31137" w:rsidP="00A31137">
      <w:r w:rsidRPr="00A31137">
        <w:tab/>
        <w:t>9. The inspecting Party shall have the right to use its own two-way systems of radio communication between inspectors patrolling the perimeter and the data collection center. Such systems shall conform to power and frequency restrictions established on the territory of the inspected Party.</w:t>
      </w:r>
    </w:p>
    <w:p w:rsidR="00A31137" w:rsidRPr="00A31137" w:rsidRDefault="00A31137" w:rsidP="00A31137">
      <w:r w:rsidRPr="00A31137">
        <w:t>Public Papers of Reagan, 1987, p.1482</w:t>
      </w:r>
    </w:p>
    <w:p w:rsidR="00A31137" w:rsidRPr="00A31137" w:rsidRDefault="00A31137" w:rsidP="00A31137">
      <w:r w:rsidRPr="00A31137">
        <w:t>10. Aircraft shall not be permitted to land within the perimeter of the monitored site except for emergencies at the site and with prior notification to the inspection team.</w:t>
      </w:r>
    </w:p>
    <w:p w:rsidR="00A31137" w:rsidRPr="00A31137" w:rsidRDefault="00A31137" w:rsidP="00A31137">
      <w:r w:rsidRPr="00A31137">
        <w:t>Public Papers of Reagan, 1987, p.1482–p.1483</w:t>
      </w:r>
    </w:p>
    <w:p w:rsidR="00A31137" w:rsidRPr="00A31137" w:rsidRDefault="00A31137" w:rsidP="00A31137">
      <w:r w:rsidRPr="00A31137">
        <w:t>11. Any shipment exiting through the portal specified in paragraph 1 of this Section which is large enough and heavy enough to contain an intermediate-range [p.1483] GLBM or longest stage of such a GLBM of the inspected Party shall be declared by the inspected Party to the inspection team before the shipment arrives at the portal. The declaration shall state whether such a shipment contains a missile or missile stage as large or larger than and as heavy or heavier than an intermediate-range GLBM or longest stage of such a GLBM of the inspected Party.</w:t>
      </w:r>
    </w:p>
    <w:p w:rsidR="00A31137" w:rsidRPr="00A31137" w:rsidRDefault="00A31137" w:rsidP="00A31137">
      <w:r w:rsidRPr="00A31137">
        <w:t>Public Papers of Reagan, 1987, p.1483</w:t>
      </w:r>
    </w:p>
    <w:p w:rsidR="00A31137" w:rsidRPr="00A31137" w:rsidRDefault="00A31137" w:rsidP="00A31137">
      <w:r w:rsidRPr="00A31137">
        <w:t>12. The inspection team shall have the right to weigh and measure the dimensions of any vehicle, including railcars, exiting the site to ascertain whether it is large enough and heavy enough to contain an intermediate-range GLBM or longest stage of such a GLBM of the inspected Party. These measurements shall be performed so as to minimize the delay of vehicles exiting the site. Vehicles that are either not large enough or not heavy enough to contain an intermediate-range GLBM or longest stage of such a GLBM of the inspected Party shall not be subject to further inspection.</w:t>
      </w:r>
    </w:p>
    <w:p w:rsidR="00A31137" w:rsidRPr="00A31137" w:rsidRDefault="00A31137" w:rsidP="00A31137">
      <w:r w:rsidRPr="00A31137">
        <w:t>Public Papers of Reagan, 1987, p.1483</w:t>
      </w:r>
    </w:p>
    <w:p w:rsidR="00A31137" w:rsidRPr="00A31137" w:rsidRDefault="00A31137" w:rsidP="00A31137">
      <w:r w:rsidRPr="00A31137">
        <w:t>13. Vehicles exiting through the portal specified in paragraph 1 of this Section that are large enough and heavy enough to contain an intermediate-range GLBM or longest stage of such a GLBM of the inspected Party but that are declared not to contain a missile or missile stage as large or larger than and as heavy or heavier than an intermediate-range GLBM or longest stage of such a GLBM of the inspected Party shall be subject to the following procedures.</w:t>
      </w:r>
    </w:p>
    <w:p w:rsidR="00A31137" w:rsidRPr="00A31137" w:rsidRDefault="00A31137" w:rsidP="00A31137">
      <w:r w:rsidRPr="00A31137">
        <w:tab/>
        <w:t>(a) The inspecting Party shall have the right to inspect the interior of all such vehicles.</w:t>
      </w:r>
    </w:p>
    <w:p w:rsidR="00A31137" w:rsidRPr="00A31137" w:rsidRDefault="00A31137" w:rsidP="00A31137">
      <w:r w:rsidRPr="00A31137">
        <w:tab/>
        <w:t>(b) If the inspecting Party can determine by visual observation or dimensional measurement that, inside a particular vehicle, there are no containers or shrouded objects large enough to be or to contain an intermediate-range GLBM or longest stage of such a GLBM of the inspected Party, then that vehicle shall not be subject to further inspection.</w:t>
      </w:r>
    </w:p>
    <w:p w:rsidR="00A31137" w:rsidRPr="00A31137" w:rsidRDefault="00A31137" w:rsidP="00A31137">
      <w:r w:rsidRPr="00A31137">
        <w:tab/>
        <w:t>(c) If inside a vehicle there are one or more containers or shrouded objects large enough to be or to contain an intermediate-range GLBM or longest stage of such a GLBM of the inspected Party, it shall be the responsibility of the inspected Party to demonstrate that such containers or shrouded objects are not and do not contain Intermediate-range GLBMs or the longest stages of such GLBMs of the inspected Party.</w:t>
      </w:r>
    </w:p>
    <w:p w:rsidR="00A31137" w:rsidRPr="00A31137" w:rsidRDefault="00A31137" w:rsidP="00A31137">
      <w:r w:rsidRPr="00A31137">
        <w:t>Public Papers of Reagan, 1987, p.1483–p.1484</w:t>
      </w:r>
    </w:p>
    <w:p w:rsidR="00A31137" w:rsidRPr="00A31137" w:rsidRDefault="00A31137" w:rsidP="00A31137">
      <w:r w:rsidRPr="00A31137">
        <w:t>14. Vehicles exiting through the portal specified in paragraph 1 of this Section that are declared to contain a missile or missile stage as large or larger than and as heavy or heavier than an intermediate-range GLBM or longest stage of such a GLBM of the inspected Party shall be subject to the following procedures.</w:t>
      </w:r>
    </w:p>
    <w:p w:rsidR="00A31137" w:rsidRPr="00A31137" w:rsidRDefault="00A31137" w:rsidP="00A31137">
      <w:r w:rsidRPr="00A31137">
        <w:tab/>
        <w:t>(a) The inspecting Party shall preserve the integrity of the inspected missile or stage of a missile.</w:t>
      </w:r>
    </w:p>
    <w:p w:rsidR="00A31137" w:rsidRPr="00A31137" w:rsidRDefault="00A31137" w:rsidP="00A31137">
      <w:r w:rsidRPr="00A31137">
        <w:tab/>
        <w:t>(b) Measuring equipment shall be placed only outside of the launch canister or shipping container; all measurements shall be made by the inspecting Party using the equipment provided for in paragraph 6 of this Section. Such measurements shall be observed and certified by the in-country escort.</w:t>
      </w:r>
    </w:p>
    <w:p w:rsidR="00A31137" w:rsidRPr="00A31137" w:rsidRDefault="00A31137" w:rsidP="00A31137">
      <w:r w:rsidRPr="00A31137">
        <w:tab/>
        <w:t>(c) The inspecting Party shall have the right to weigh and measure the dimensions of any launch canister or of any shipping container declared to contain such a missile or missile stage and to image the contents of any launch canister or of any shipping container declared to contain such a missile or missile stage; it shall have the right to view such missiles or missile stages contained in launch canisters or shipping containers eight times per calendar year. The in-country escort shall be present during all phases of such viewing. During such interior viewing:</w:t>
      </w:r>
    </w:p>
    <w:p w:rsidR="00A31137" w:rsidRPr="00A31137" w:rsidRDefault="00A31137" w:rsidP="00A31137">
      <w:r w:rsidRPr="00A31137">
        <w:tab/>
        <w:t>(i) the front end of the launch canister or the cover of the shipping container shall be opened;</w:t>
      </w:r>
    </w:p>
    <w:p w:rsidR="00A31137" w:rsidRPr="00A31137" w:rsidRDefault="00A31137" w:rsidP="00A31137">
      <w:r w:rsidRPr="00A31137">
        <w:tab/>
        <w:t>(ii) the missile or missile stage shall not be removed from its launch canister or shipping container; and</w:t>
      </w:r>
    </w:p>
    <w:p w:rsidR="00A31137" w:rsidRPr="00A31137" w:rsidRDefault="00A31137" w:rsidP="00A31137">
      <w:r w:rsidRPr="00A31137">
        <w:tab/>
        <w:t>(iii) the length and diameter of the stages of the missile shall be measured in accordance with the methods agreed by the Parties so as to ascertain that the missile or missile stage is not an intermediate-range GLBM of the inspected Party, or the longest stage of such a GLBM, and that the missile has no [p.1484] more than one stage which is outwardly similar to a stage of an existing type of intermediate-range GLBM.</w:t>
      </w:r>
    </w:p>
    <w:p w:rsidR="00A31137" w:rsidRPr="00A31137" w:rsidRDefault="00A31137" w:rsidP="00A31137">
      <w:r w:rsidRPr="00A31137">
        <w:t>Public Papers of Reagan, 1987, p.1484</w:t>
      </w:r>
    </w:p>
    <w:p w:rsidR="00A31137" w:rsidRPr="00A31137" w:rsidRDefault="00A31137" w:rsidP="00A31137">
      <w:r w:rsidRPr="00A31137">
        <w:t>(d) The inspecting Party shall also have the right to inspect any other containers or shrouded objects inside the vehicle containing such a missile or missile stage in accordance with the procedures in paragraph 13 of this Section.</w:t>
      </w:r>
    </w:p>
    <w:p w:rsidR="00A31137" w:rsidRPr="00A31137" w:rsidRDefault="00A31137" w:rsidP="00A31137">
      <w:r w:rsidRPr="00A31137">
        <w:t>X. Cancellation of Inspection</w:t>
      </w:r>
    </w:p>
    <w:p w:rsidR="00A31137" w:rsidRPr="00A31137" w:rsidRDefault="00A31137" w:rsidP="00A31137">
      <w:r w:rsidRPr="00A31137">
        <w:t>Public Papers of Reagan, 1987, p.1484</w:t>
      </w:r>
    </w:p>
    <w:p w:rsidR="00A31137" w:rsidRPr="00A31137" w:rsidRDefault="00A31137" w:rsidP="00A31137">
      <w:r w:rsidRPr="00A31137">
        <w:t>An inspection shall be cancelled if, due to circumstances brought about by force majeure, it cannot be carried out. In the case of a delay that prevents an inspection team performing an inspection pursuant to paragraphs 3, 4 or 5 of Article XI of the Treaty, from arriving at the inspection site during the time specified in paragraph 2 of Section VII of this Protocol, the inspecting Party may either cancel or carry out the inspection. If an inspection is cancelled due to circumstances brought about by force majeure, or delay, then the number of inspections to which the inspecting Party is entitled shall not be reduced.</w:t>
      </w:r>
    </w:p>
    <w:p w:rsidR="00A31137" w:rsidRPr="00A31137" w:rsidRDefault="00A31137" w:rsidP="00A31137">
      <w:r w:rsidRPr="00A31137">
        <w:t>XI. Inspection Report</w:t>
      </w:r>
    </w:p>
    <w:p w:rsidR="00A31137" w:rsidRPr="00A31137" w:rsidRDefault="00A31137" w:rsidP="00A31137">
      <w:r w:rsidRPr="00A31137">
        <w:t>Public Papers of Reagan, 1987, p.1484</w:t>
      </w:r>
    </w:p>
    <w:p w:rsidR="00A31137" w:rsidRPr="00A31137" w:rsidRDefault="00A31137" w:rsidP="00A31137">
      <w:r w:rsidRPr="00A31137">
        <w:t>1. For inspections conducted pursuant to paragraphs 3, 4, 5, 7, or 8 of Article XI of the Treaty, during post-inspection procedures, and no later than two hours after the inspection has been completed, the inspection team leader shall provide the in-country escort with a written inspection report in both the English and Russian languages. The report shall be factual. It shall include the type of inspection carried out, the inspection site, the number of missiles, stages of missiles, launchers and items of support equipment subject to the Treaty observed during the period of inspection and any measurements recorded pursuant to paragraph 10 of Section VI of this Protocol. Photographs taken during the inspection in accordance with agreed procedures, as well as the inspection site diagram provided for by paragraph 6 of Section VII of this Protocol, shall be attached to this report.</w:t>
      </w:r>
    </w:p>
    <w:p w:rsidR="00A31137" w:rsidRPr="00A31137" w:rsidRDefault="00A31137" w:rsidP="00A31137">
      <w:r w:rsidRPr="00A31137">
        <w:t>Public Papers of Reagan, 1987, p.1484</w:t>
      </w:r>
    </w:p>
    <w:p w:rsidR="00A31137" w:rsidRPr="00A31137" w:rsidRDefault="00A31137" w:rsidP="00A31137">
      <w:r w:rsidRPr="00A31137">
        <w:t>2. For inspection activities conducted pursuant to paragraph 6 of Article XI of the Treaty, within 3 days after the end of each month, the inspection team leader shall provide the in-country escort with a written inspection report both in the English and Russian languages. The report shall be factual. It shall include the number of vehicles declared to contain a missile or stage of a missile as large or larger than and as heavy or heavier than an intermediate-range GLBM or longest stage of such a GLBM of the inspected Party that left the inspection site through the portal specified in paragraph i of Section IX of this Protocol during that month. The report shall also include any measurements of launch canisters or shipping containers contained in these vehicles recorded pursuant to paragraph 11 of Section VI of this Protocol. In the event the inspecting Party, under the provisions of paragraph 14(c) of Section IX of this Protocol, has viewed the interior of a launch canister or shipping container declared to contain a missile or stage of a missile as large or larger than and as heavy or heavier than an intermediate-range GLBM or longest stage of such a GLBM of the inspected Party, the report shall also include the measurements of the length and diameter of missile stages obtained during the inspection and recorded pursuant to paragraph 11 of Section VI of this Protocol. Photographs taken during the inspection in accordance with agreed procedures shall be attached to this report.</w:t>
      </w:r>
    </w:p>
    <w:p w:rsidR="00A31137" w:rsidRPr="00A31137" w:rsidRDefault="00A31137" w:rsidP="00A31137">
      <w:r w:rsidRPr="00A31137">
        <w:t>Public Papers of Reagan, 1987, p.1484</w:t>
      </w:r>
    </w:p>
    <w:p w:rsidR="00A31137" w:rsidRPr="00A31137" w:rsidRDefault="00A31137" w:rsidP="00A31137">
      <w:r w:rsidRPr="00A31137">
        <w:t>3. The inspected Party shall have the right to include written comments in the report.</w:t>
      </w:r>
    </w:p>
    <w:p w:rsidR="00A31137" w:rsidRPr="00A31137" w:rsidRDefault="00A31137" w:rsidP="00A31137">
      <w:r w:rsidRPr="00A31137">
        <w:tab/>
        <w:t>4. The Parties shall, when possible, resolve ambiguities regarding factual information contained in the inspection report. Relevant clarifications shall be recorded in the report. The report shall be signed by the inspection team leader and by one of the members of the in-country escort. Each Party shall retain one copy of the report.</w:t>
      </w:r>
    </w:p>
    <w:p w:rsidR="00A31137" w:rsidRPr="00A31137" w:rsidRDefault="00A31137" w:rsidP="00A31137">
      <w:r w:rsidRPr="00A31137">
        <w:t>Public Papers of Reagan, 1987, p.1484–p.1485</w:t>
      </w:r>
    </w:p>
    <w:p w:rsidR="00A31137" w:rsidRPr="00A31137" w:rsidRDefault="00A31137" w:rsidP="00A31137">
      <w:r w:rsidRPr="00A31137">
        <w:t>This Protocol is an integral part of the Treaty. It shall enter into force on the date of entry into force of the Treaty and shall remain in force as long as the Treaty remains in force. As provided for in paragraph l(b) of Article XIII of the Treaty, the Parties may agree upon such measures as may be necessary to improve the viability and effectiveness of this Protocol. Such measures shall not be deemed amendments [p.1485] to the Treaty.</w:t>
      </w:r>
    </w:p>
    <w:p w:rsidR="00A31137" w:rsidRPr="00A31137" w:rsidRDefault="00A31137" w:rsidP="00A31137">
      <w:r w:rsidRPr="00A31137">
        <w:t>Public Papers of Reagan, 1987, p.1485</w:t>
      </w:r>
    </w:p>
    <w:p w:rsidR="00A31137" w:rsidRPr="00A31137" w:rsidRDefault="00A31137" w:rsidP="00A31137">
      <w:r w:rsidRPr="00A31137">
        <w:t>Done at Washington on December 8, 1987, in two copies, each in the English and Russian languages, both texts being equally authentic.</w:t>
      </w:r>
    </w:p>
    <w:p w:rsidR="00A31137" w:rsidRPr="00A31137" w:rsidRDefault="00A31137" w:rsidP="00A31137">
      <w:r w:rsidRPr="00A31137">
        <w:t>For the United States of America:</w:t>
      </w:r>
    </w:p>
    <w:p w:rsidR="00A31137" w:rsidRPr="00A31137" w:rsidRDefault="00A31137" w:rsidP="00A31137">
      <w:r w:rsidRPr="00A31137">
        <w:tab/>
        <w:t>RONALD REAGAN</w:t>
      </w:r>
    </w:p>
    <w:p w:rsidR="00A31137" w:rsidRPr="00A31137" w:rsidRDefault="00A31137" w:rsidP="00A31137">
      <w:r w:rsidRPr="00A31137">
        <w:t>President of the United States of America</w:t>
      </w:r>
    </w:p>
    <w:p w:rsidR="00A31137" w:rsidRPr="00A31137" w:rsidRDefault="00A31137" w:rsidP="00A31137">
      <w:r w:rsidRPr="00A31137">
        <w:t>For the Union of Soviet Socialist Republics:</w:t>
      </w:r>
    </w:p>
    <w:p w:rsidR="00A31137" w:rsidRPr="00A31137" w:rsidRDefault="00A31137" w:rsidP="00A31137">
      <w:r w:rsidRPr="00A31137">
        <w:tab/>
        <w:t>M. GORBACHEV</w:t>
      </w:r>
    </w:p>
    <w:p w:rsidR="00A31137" w:rsidRPr="00A31137" w:rsidRDefault="00A31137" w:rsidP="00A31137">
      <w:r w:rsidRPr="00A31137">
        <w:t>General Secretary of the Central Committee of the CPSU</w:t>
      </w:r>
    </w:p>
    <w:p w:rsidR="00A31137" w:rsidRPr="00A31137" w:rsidRDefault="00A31137" w:rsidP="00A31137">
      <w:r w:rsidRPr="00A31137">
        <w:t>ANNEX</w:t>
      </w:r>
    </w:p>
    <w:p w:rsidR="00A31137" w:rsidRPr="00A31137" w:rsidRDefault="00A31137" w:rsidP="00A31137">
      <w:r w:rsidRPr="00A31137">
        <w:t>Provisions on Privileges and Immunities of Inspectors and Aircrew Members</w:t>
      </w:r>
    </w:p>
    <w:p w:rsidR="00A31137" w:rsidRPr="00A31137" w:rsidRDefault="00A31137" w:rsidP="00A31137">
      <w:r w:rsidRPr="00A31137">
        <w:t>Public Papers of Reagan, 1987, p.1485</w:t>
      </w:r>
    </w:p>
    <w:p w:rsidR="00A31137" w:rsidRPr="00A31137" w:rsidRDefault="00A31137" w:rsidP="00A31137">
      <w:r w:rsidRPr="00A31137">
        <w:t>In order to exercise their functions effectively, for the purpose of implementing the Treaty and not for their personal benefit, the inspectors and aircrew members referred to in Section III of this Protocol shall be accorded the privileges and immunities contained in this Annex. Privileges and immunities shall be accorded for the entire incountry period in the country in which an inspection site is located, and thereafter with respect to acts previously performed in the exercise of official functions as an inspector or aircrew member.</w:t>
      </w:r>
    </w:p>
    <w:p w:rsidR="00A31137" w:rsidRPr="00A31137" w:rsidRDefault="00A31137" w:rsidP="00A31137">
      <w:r w:rsidRPr="00A31137">
        <w:t>Public Papers of Reagan, 1987, p.1485</w:t>
      </w:r>
    </w:p>
    <w:p w:rsidR="00A31137" w:rsidRPr="00A31137" w:rsidRDefault="00A31137" w:rsidP="00A31137">
      <w:r w:rsidRPr="00A31137">
        <w:t>1. Inspectors and aircrew members shall be accorded the inviolability enjoyed by diplomatic agents pursuant to Article 29 of the Vienna Convention on Diplomatic Relations of April 18, 1961.</w:t>
      </w:r>
    </w:p>
    <w:p w:rsidR="00A31137" w:rsidRPr="00A31137" w:rsidRDefault="00A31137" w:rsidP="00A31137">
      <w:r w:rsidRPr="00A31137">
        <w:t>Public Papers of Reagan, 1987, p.1485</w:t>
      </w:r>
    </w:p>
    <w:p w:rsidR="00A31137" w:rsidRPr="00A31137" w:rsidRDefault="00A31137" w:rsidP="00A31137">
      <w:r w:rsidRPr="00A31137">
        <w:t>2. The living quarters and office premises occupied by an inspector carrying out inspection activities pursuant to paragraph 6 of Article XI of the Treaty shall be accorded the inviolability and protection accorded the premises of diplomatic agents pursuant to Article 30 of the Vienna Convention on Diplomatic Relations.</w:t>
      </w:r>
    </w:p>
    <w:p w:rsidR="00A31137" w:rsidRPr="00A31137" w:rsidRDefault="00A31137" w:rsidP="00A31137">
      <w:r w:rsidRPr="00A31137">
        <w:t>Public Papers of Reagan, 1987, p.1485</w:t>
      </w:r>
    </w:p>
    <w:p w:rsidR="00A31137" w:rsidRPr="00A31137" w:rsidRDefault="00A31137" w:rsidP="00A31137">
      <w:r w:rsidRPr="00A31137">
        <w:t>3. The papers and correspondence of inspectors and aircrew members shall enjoy the inviolability accorded to the papers and correspondence of diplomatic agents pursuant to Article 30 of the Vienna Convention on Diplomatic Relations. In addition, the aircraft of the inspection team shall be inviolable.</w:t>
      </w:r>
    </w:p>
    <w:p w:rsidR="00A31137" w:rsidRPr="00A31137" w:rsidRDefault="00A31137" w:rsidP="00A31137">
      <w:r w:rsidRPr="00A31137">
        <w:t>Public Papers of Reagan, 1987, p.1485</w:t>
      </w:r>
    </w:p>
    <w:p w:rsidR="00A31137" w:rsidRPr="00A31137" w:rsidRDefault="00A31137" w:rsidP="00A31137">
      <w:r w:rsidRPr="00A31137">
        <w:t>4. Inspectors and aircrew members shall be accorded the immunities accorded diplomatic agents pursuant to paragraphs 1, 2 and 3 of Article 31 of the Vienna Convention on Diplomatic Relations. The immunity from jurisdiction of an inspector or an aircrew member may be waived by the inspecting Party in those eases when it is of the opinion that immunity would impede the course of justice and that it can be waived without prejudice to the implementation of the provisions of the Treaty. Waiver must always be express.</w:t>
      </w:r>
    </w:p>
    <w:p w:rsidR="00A31137" w:rsidRPr="00A31137" w:rsidRDefault="00A31137" w:rsidP="00A31137">
      <w:r w:rsidRPr="00A31137">
        <w:t>Public Papers of Reagan, 1987, p.1485</w:t>
      </w:r>
    </w:p>
    <w:p w:rsidR="00A31137" w:rsidRPr="00A31137" w:rsidRDefault="00A31137" w:rsidP="00A31137">
      <w:r w:rsidRPr="00A31137">
        <w:t>5. Inspectors carrying out inspection activities pursuant to paragraph 6 of Article XI of the Treaty shall be accorded the exemption from dues and taxes accorded to diplomatic agents pursuant to Article 34 of the Vienna Convention on Diplomatic Relations.</w:t>
      </w:r>
      <w:r w:rsidRPr="00A31137">
        <w:cr/>
      </w:r>
    </w:p>
    <w:p w:rsidR="00A31137" w:rsidRPr="00A31137" w:rsidRDefault="00A31137" w:rsidP="00A31137">
      <w:r w:rsidRPr="00A31137">
        <w:t>Public Papers of Reagan, 1987, p.1485</w:t>
      </w:r>
    </w:p>
    <w:p w:rsidR="00A31137" w:rsidRPr="00A31137" w:rsidRDefault="00A31137" w:rsidP="00A31137">
      <w:r w:rsidRPr="00A31137">
        <w:t>6. Inspectors and aircrew members of a Party shall be permitted to bring into the territory of the other Party or a basing country in which an inspection site is located, without payment of any customs duties or related charges, articles for their personal use, with the exception of articles the import or export of which is prohibited by law or controlled by quarantine regulations.</w:t>
      </w:r>
    </w:p>
    <w:p w:rsidR="00A31137" w:rsidRPr="00A31137" w:rsidRDefault="00A31137" w:rsidP="00A31137">
      <w:r w:rsidRPr="00A31137">
        <w:t>Public Papers of Reagan, 1987, p.1485</w:t>
      </w:r>
    </w:p>
    <w:p w:rsidR="00A31137" w:rsidRPr="00A31137" w:rsidRDefault="00A31137" w:rsidP="00A31137">
      <w:r w:rsidRPr="00A31137">
        <w:t>7. An inspector or aircrew member shall not engage in any professional or commercial activity for personal profit on the territory of the inspected Party or that of the basing countries.</w:t>
      </w:r>
    </w:p>
    <w:p w:rsidR="00A31137" w:rsidRPr="00A31137" w:rsidRDefault="00A31137" w:rsidP="00A31137">
      <w:r w:rsidRPr="00A31137">
        <w:t>Public Papers of Reagan, 1987, p.1485</w:t>
      </w:r>
    </w:p>
    <w:p w:rsidR="00A31137" w:rsidRPr="00A31137" w:rsidRDefault="00A31137" w:rsidP="00A31137">
      <w:r w:rsidRPr="00A31137">
        <w:t>8. If the inspected Party considers that there has been an abuse of privileges and immunities specified in this Annex, consultations shall be held between the Parties to determine whether such an abuse has occurred and, if so determined, to prevent a repetition of such an abuse.</w:t>
      </w:r>
    </w:p>
    <w:p w:rsidR="00A31137" w:rsidRPr="00A31137" w:rsidRDefault="00A31137" w:rsidP="00A31137">
      <w:r w:rsidRPr="00A31137">
        <w:t>Public Papers of Reagan, 1987, p.1485</w:t>
      </w:r>
    </w:p>
    <w:p w:rsidR="00A31137" w:rsidRPr="00A31137" w:rsidRDefault="00A31137" w:rsidP="00A31137">
      <w:r w:rsidRPr="00A31137">
        <w:t>NOTE: The originals of the treaty, protocols, and annex were not available for verification of their content.</w:t>
      </w:r>
    </w:p>
    <w:p w:rsidR="00A31137" w:rsidRPr="00A31137" w:rsidRDefault="00A31137" w:rsidP="00A31137">
      <w:r w:rsidRPr="00A31137">
        <w:t>President Reagan's Remarks With Students at Suitland High School in Suitland, Maryland, 1988</w:t>
      </w:r>
    </w:p>
    <w:p w:rsidR="00A31137" w:rsidRPr="00A31137" w:rsidRDefault="00A31137" w:rsidP="00A31137">
      <w:r w:rsidRPr="00A31137">
        <w:t>Title:</w:t>
      </w:r>
      <w:r w:rsidRPr="00A31137">
        <w:tab/>
        <w:t>President Reagan's Remarks With Students at Suitland High School in Suitland, Maryland</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20, 1988</w:t>
      </w:r>
    </w:p>
    <w:p w:rsidR="00A31137" w:rsidRPr="00A31137" w:rsidRDefault="00A31137" w:rsidP="00A31137">
      <w:r w:rsidRPr="00A31137">
        <w:t>Source:</w:t>
      </w:r>
      <w:r w:rsidRPr="00A31137">
        <w:tab/>
        <w:t>Public Papers of the Presidents, Reagan, 1988, pp.56-62</w:t>
      </w:r>
    </w:p>
    <w:p w:rsidR="00A31137" w:rsidRPr="00A31137" w:rsidRDefault="00A31137" w:rsidP="00A31137">
      <w:r w:rsidRPr="00A31137">
        <w:t>Public Papers of Reagan, 1988, p.56</w:t>
      </w:r>
    </w:p>
    <w:p w:rsidR="00A31137" w:rsidRPr="00A31137" w:rsidRDefault="00A31137" w:rsidP="00A31137">
      <w:r w:rsidRPr="00A31137">
        <w:t>I think I'm the reason why the program was delayed a little this morning. I was late, and the principal has told me I've got to stay after school. [Laughter] But it's an honor to be here with you to celebrate all that you've done to make this school so outstanding.</w:t>
      </w:r>
    </w:p>
    <w:p w:rsidR="00A31137" w:rsidRPr="00A31137" w:rsidRDefault="00A31137" w:rsidP="00A31137">
      <w:r w:rsidRPr="00A31137">
        <w:t>Public Papers of Reagan, 1988, p.56</w:t>
      </w:r>
    </w:p>
    <w:p w:rsidR="00A31137" w:rsidRPr="00A31137" w:rsidRDefault="00A31137" w:rsidP="00A31137">
      <w:r w:rsidRPr="00A31137">
        <w:t>It so happens that visiting a school reminds me of something I heard just the other day. It seems that a certain little boy had reached school age, and his mother worked very hard to make him enthusiastic about the idea—bought him new clothes, told him about the other children he would meet, got him so excited about the project that he eagerly went off on the first day, came home with excellent reports of what school was like. Well, the next morning, his mother went into the bedroom and said he had to get up, and he said, "What for?" She said, "You've got to go to school." He said, "What, again?" [Laughter]</w:t>
      </w:r>
    </w:p>
    <w:p w:rsidR="00A31137" w:rsidRPr="00A31137" w:rsidRDefault="00A31137" w:rsidP="00A31137">
      <w:r w:rsidRPr="00A31137">
        <w:t>Public Papers of Reagan, 1988, p.56</w:t>
      </w:r>
    </w:p>
    <w:p w:rsidR="00A31137" w:rsidRPr="00A31137" w:rsidRDefault="00A31137" w:rsidP="00A31137">
      <w:r w:rsidRPr="00A31137">
        <w:t>Well, it is a pleasure to be at this wonderful school, this school that makes people want to come back. It wasn't so long ago, of course, that Suitland High School had its problems—bad problems: low academic performance, vandalism, poor attendance by both students and teachers alike. Yet today you've turned Suitland around to make it a school noted for its strong sense of purpose and pride, harmony and, yes, academic achievement. I wonder: Would you take a moment to join me in applauding your own remarkable accomplishment? [Applause]</w:t>
      </w:r>
    </w:p>
    <w:p w:rsidR="00A31137" w:rsidRPr="00A31137" w:rsidRDefault="00A31137" w:rsidP="00A31137">
      <w:r w:rsidRPr="00A31137">
        <w:t>Public Papers of Reagan, 1988, p.56</w:t>
      </w:r>
    </w:p>
    <w:p w:rsidR="00A31137" w:rsidRPr="00A31137" w:rsidRDefault="00A31137" w:rsidP="00A31137">
      <w:r w:rsidRPr="00A31137">
        <w:t>Well, now we've heard Principal Hairston and others tell us how this transformation has taken place. And before taking your questions, I'd like to discuss with you how we might work this same transformation in schools all across America. The first point to make is that money alone isn't the answer. From 1963 to 1980, for example, the amount our nation spent on education in real terms more than doubled. Yet during precisely that same period, college board scores fell by almost 90 points. Consider, too, the State of New Hampshire. New Hampshire spends less on education per student than almost every State in the Union. Yet for a number of years now, New Hampshire students have had the Nation's highest SAT scores.</w:t>
      </w:r>
    </w:p>
    <w:p w:rsidR="00A31137" w:rsidRPr="00A31137" w:rsidRDefault="00A31137" w:rsidP="00A31137">
      <w:r w:rsidRPr="00A31137">
        <w:t>Public Papers of Reagan, 1988, p.56</w:t>
      </w:r>
    </w:p>
    <w:p w:rsidR="00A31137" w:rsidRPr="00A31137" w:rsidRDefault="00A31137" w:rsidP="00A31137">
      <w:r w:rsidRPr="00A31137">
        <w:t>Now, please don't misunderstand me, funding is important, very important. In fact, the amount our country will devote to education this year at all levels of government-local, State, and Federal—will total over $300 billion. But money is only money. Unless it represents genuine commitment-a willingness to work hard at improving American education, to become involved-then money by itself is all but meaningless. You know, I've thought more than once that—back when we were throwing money at education—well, we were sort of like the parent who will buy his child expensive toys and clothes, who will give his child just about anything, except his own time and commitment.</w:t>
      </w:r>
    </w:p>
    <w:p w:rsidR="00A31137" w:rsidRPr="00A31137" w:rsidRDefault="00A31137" w:rsidP="00A31137">
      <w:r w:rsidRPr="00A31137">
        <w:t>Public Papers of Reagan, 1988, p.56</w:t>
      </w:r>
    </w:p>
    <w:p w:rsidR="00A31137" w:rsidRPr="00A31137" w:rsidRDefault="00A31137" w:rsidP="00A31137">
      <w:r w:rsidRPr="00A31137">
        <w:t>But perhaps the greatest difficulty facing our educators today is this: In too many school systems, if you're a teacher, principal, or superintendent and you do something very good for your students, nothing good happens to you. In a word: There are too few rewards. We need to change that. We need to reward excellence in education as we reward excellence in other fields. We need, in other words, to introduce education to some free-market principles, things like incentives and accountability. An example of incentives is programs now' under consideration in some areas, programs that reward teachers and administrations for improved student performance. As for an example of accountability, well, you needn't look any further than Superintendent Murphy's "Applied Anxiety Room." Posted in his office are the test scores showing the performance of all the schools in Prince George's County. And John Murphy holds principals accountable for results. This is the kind of tough, sound management we need in our schools.</w:t>
      </w:r>
    </w:p>
    <w:p w:rsidR="00A31137" w:rsidRPr="00A31137" w:rsidRDefault="00A31137" w:rsidP="00A31137">
      <w:r w:rsidRPr="00A31137">
        <w:t>Public Papers of Reagan, 1988, p.57</w:t>
      </w:r>
    </w:p>
    <w:p w:rsidR="00A31137" w:rsidRPr="00A31137" w:rsidRDefault="00A31137" w:rsidP="00A31137">
      <w:r w:rsidRPr="00A31137">
        <w:t>Educational excellence also means getting parents involved. It means taking innovative steps to attract and reward good teachers based on their performance. And it means alternate certification: opening up the teaching profession to allow more qualified men and women to enter the field. Excellence means community involvement, and your Advisory Council for Business and Industry, as we've heard, is a fine example of this.</w:t>
      </w:r>
    </w:p>
    <w:p w:rsidR="00A31137" w:rsidRPr="00A31137" w:rsidRDefault="00A31137" w:rsidP="00A31137">
      <w:r w:rsidRPr="00A31137">
        <w:t>Public Papers of Reagan, 1988, p.57</w:t>
      </w:r>
    </w:p>
    <w:p w:rsidR="00A31137" w:rsidRPr="00A31137" w:rsidRDefault="00A31137" w:rsidP="00A31137">
      <w:r w:rsidRPr="00A31137">
        <w:t>And of course, educational excellence depends on choice. I've long argued that parents should have more choice in determining the schools that their children will attend. I've long argued that more choice would lead to better education. And so, I've advocated tuition tax credits and education vouchers. One form of choice, magnet schools, is one of the things Prince George's County is most noted for and is one of the great success stories of the education reform movement. The success of Suitland's own magnet programs—the Visual and Performing Arts Center and University High School—is a testament to their worth.</w:t>
      </w:r>
    </w:p>
    <w:p w:rsidR="00A31137" w:rsidRPr="00A31137" w:rsidRDefault="00A31137" w:rsidP="00A31137">
      <w:r w:rsidRPr="00A31137">
        <w:t>Public Papers of Reagan, 1988, p.57</w:t>
      </w:r>
    </w:p>
    <w:p w:rsidR="00A31137" w:rsidRPr="00A31137" w:rsidRDefault="00A31137" w:rsidP="00A31137">
      <w:r w:rsidRPr="00A31137">
        <w:t>In helping to foster magnet schools, we help foster improved education. In 1987 a $4 million Department of Education grant was made to Prince George's County for magnet school programs, such as the kind that you have here at Suitland High School. It's been a good investment. Come to think of it, I wish all Federal dollars got that kind of return. And since I'd like to see magnet schools programs expanded, I'm going to ask the Congress to increase the size of the current program next year by over 50 percent, from $72 million to $115 million. With these additional funds, we can help more schools do what you've done so well in Prince George's County.</w:t>
      </w:r>
    </w:p>
    <w:p w:rsidR="00A31137" w:rsidRPr="00A31137" w:rsidRDefault="00A31137" w:rsidP="00A31137">
      <w:r w:rsidRPr="00A31137">
        <w:t>Public Papers of Reagan, 1988, p.57</w:t>
      </w:r>
    </w:p>
    <w:p w:rsidR="00A31137" w:rsidRPr="00A31137" w:rsidRDefault="00A31137" w:rsidP="00A31137">
      <w:r w:rsidRPr="00A31137">
        <w:t>Now, I've talked for a while about how we can make our schools better, but I haven't yet told you why I believe this is so important. What it comes down to is this: It is here, in Suitland High and schools like it around the country, that our future is being shaped. Recently the headlines have been full of a term called "superconductivity," as papers struggle to keep up with the seemingly daily breakthroughs in the lab. Only a year ago superconductivity was considered a scientific backwater, a phenomenon with little practical purpose. Now scientists are saying it may change our lives. "It shows all the dreams we have had can come true. The sky is the limit," said one theorist. We're moving from an age of things to an age of thoughts, of mind over matter. It is the mind of man—free to invent, free to experiment, free to dream—that will shape the economy and the world of the future.</w:t>
      </w:r>
    </w:p>
    <w:p w:rsidR="00A31137" w:rsidRPr="00A31137" w:rsidRDefault="00A31137" w:rsidP="00A31137">
      <w:r w:rsidRPr="00A31137">
        <w:t>Public Papers of Reagan, 1988, p.57</w:t>
      </w:r>
    </w:p>
    <w:p w:rsidR="00A31137" w:rsidRPr="00A31137" w:rsidRDefault="00A31137" w:rsidP="00A31137">
      <w:r w:rsidRPr="00A31137">
        <w:t>Permit me to offer in closing one final message, and it's a message from my heart. If you heard my radio talk last Saturday, then you'll know about a new report on drug use by America's students, including high school students like you. We've had so much bad news about drugs lately, but if you want some good news, just listen. According to the report released by our Secretary of Health and Human Services, Dr. Otis Bowen, last year, for the first time since these surveys began, a substantially smaller number of high school students-one third smaller—acknowledged current use of cocaine than acknowledged it the year before. And cocaine is no longer fashionable-far from it. Ninety-seven percent of the students surveyed disapproved of regular cocaine use, while 87 percent disapproved of even trying it. The use of marijuana and amphetamines is also down.</w:t>
      </w:r>
    </w:p>
    <w:p w:rsidR="00A31137" w:rsidRPr="00A31137" w:rsidRDefault="00A31137" w:rsidP="00A31137">
      <w:r w:rsidRPr="00A31137">
        <w:t>Public Papers of Reagan, 1988, p.57</w:t>
      </w:r>
    </w:p>
    <w:p w:rsidR="00A31137" w:rsidRPr="00A31137" w:rsidRDefault="00A31137" w:rsidP="00A31137">
      <w:r w:rsidRPr="00A31137">
        <w:t>What it all means is this: America's young people are getting the message. Drugs are ugly. Drugs are nothing to brag about. Drugs kill. And this is so important as you look to the future. You see, in the 21st century, staying employed will mean more than just knowing something. It will mean being able to keep on learning. It will mean having character and discipline and being proud of yourselves. There won't be opportunities in years to come for those who handicap themselves with drug use now.</w:t>
      </w:r>
    </w:p>
    <w:p w:rsidR="00A31137" w:rsidRPr="00A31137" w:rsidRDefault="00A31137" w:rsidP="00A31137">
      <w:r w:rsidRPr="00A31137">
        <w:t>Public Papers of Reagan, 1988, p.57</w:t>
      </w:r>
    </w:p>
    <w:p w:rsidR="00A31137" w:rsidRPr="00A31137" w:rsidRDefault="00A31137" w:rsidP="00A31137">
      <w:r w:rsidRPr="00A31137">
        <w:t>My young friends, you've done so much already, turning this school around, learning to learn, and learning to look to the future with confidence. I can't tell you how proud I am of you. Keep it up. Keep on saying yes to life. And when it comes to drugs, take a tip from a friend of mine who just happens to be named Nancy Reagan: Just say no. Thank you. God bless you all.</w:t>
      </w:r>
    </w:p>
    <w:p w:rsidR="00A31137" w:rsidRPr="00A31137" w:rsidRDefault="00A31137" w:rsidP="00A31137">
      <w:r w:rsidRPr="00A31137">
        <w:t>Public Papers of Reagan, 1988, p.57–p.58</w:t>
      </w:r>
    </w:p>
    <w:p w:rsidR="00A31137" w:rsidRPr="00A31137" w:rsidRDefault="00A31137" w:rsidP="00A31137">
      <w:r w:rsidRPr="00A31137">
        <w:t>Mr. Hairston. Mr. President, I understand you have a few minutes remaining. We [p.58] have some students out in the audience that would like to ask you a few questions.</w:t>
      </w:r>
    </w:p>
    <w:p w:rsidR="00A31137" w:rsidRPr="00A31137" w:rsidRDefault="00A31137" w:rsidP="00A31137">
      <w:r w:rsidRPr="00A31137">
        <w:t>Public Papers of Reagan, 1988, p.58</w:t>
      </w:r>
    </w:p>
    <w:p w:rsidR="00A31137" w:rsidRPr="00A31137" w:rsidRDefault="00A31137" w:rsidP="00A31137">
      <w:r w:rsidRPr="00A31137">
        <w:t>The President. Alright.</w:t>
      </w:r>
    </w:p>
    <w:p w:rsidR="00A31137" w:rsidRPr="00A31137" w:rsidRDefault="00A31137" w:rsidP="00A31137">
      <w:r w:rsidRPr="00A31137">
        <w:t>Career Planning</w:t>
      </w:r>
    </w:p>
    <w:p w:rsidR="00A31137" w:rsidRPr="00A31137" w:rsidRDefault="00A31137" w:rsidP="00A31137">
      <w:r w:rsidRPr="00A31137">
        <w:t>Public Papers of Reagan, 1988, p.58</w:t>
      </w:r>
    </w:p>
    <w:p w:rsidR="00A31137" w:rsidRPr="00A31137" w:rsidRDefault="00A31137" w:rsidP="00A31137">
      <w:r w:rsidRPr="00A31137">
        <w:t>Q. Good morning, Mr. President. My name is Felicia Funderburk. I'm the president of Suitland's Student Government Association. One of the most important questions facing high school seniors today is what college they plan to attend and what career goals they plan to pursue. When you were a high school senior, what career goals did you want to pursue? And how did you plan for it? And what advice can you give young people today as they embark on their careers?</w:t>
      </w:r>
    </w:p>
    <w:p w:rsidR="00A31137" w:rsidRPr="00A31137" w:rsidRDefault="00A31137" w:rsidP="00A31137">
      <w:r w:rsidRPr="00A31137">
        <w:t>Public Papers of Reagan, 1988, p.58</w:t>
      </w:r>
    </w:p>
    <w:p w:rsidR="00A31137" w:rsidRPr="00A31137" w:rsidRDefault="00A31137" w:rsidP="00A31137">
      <w:r w:rsidRPr="00A31137">
        <w:t>The President. You've asked a question, and I know you're expecting an answer saying something about having decided to do something or other. No; I'm delighted to answer this and encourage you—don't be concerned because you haven't made up your mind. I graduated from college with a degree in economics and sociology and still had not been able to pin down exactly what I wanted to do. Now, at that time, I must say, the demand was just maybe to get a job of any kind, because I graduated at the very depth of the Great Depression—1932. And so, you thought anything might be—but it wasn't until I went back to my summer job to get a little money to go job hunting after I graduated.</w:t>
      </w:r>
    </w:p>
    <w:p w:rsidR="00A31137" w:rsidRPr="00A31137" w:rsidRDefault="00A31137" w:rsidP="00A31137">
      <w:r w:rsidRPr="00A31137">
        <w:t>Public Papers of Reagan, 1988, p.58</w:t>
      </w:r>
    </w:p>
    <w:p w:rsidR="00A31137" w:rsidRPr="00A31137" w:rsidRDefault="00A31137" w:rsidP="00A31137">
      <w:r w:rsidRPr="00A31137">
        <w:t>My summer job was lifeguarding at a river beach in my hometown. And there were people who came out from the city and corporate heads and so forth with their families every summer. And I taught their children to swim and so forth. And there weren't as many by 1932 with the result of what had happened in the Crash. But one was there, and he told me that if I could tell him what I wanted to do he had contacts with a number of businesses and areas. He would do what he could to get me a job. But he said, "You've got to come back and tell me." And I went home, and I thought, and I finally realized that in spite of my degree in economics and sociology I wanted the theatrical world.</w:t>
      </w:r>
    </w:p>
    <w:p w:rsidR="00A31137" w:rsidRPr="00A31137" w:rsidRDefault="00A31137" w:rsidP="00A31137">
      <w:r w:rsidRPr="00A31137">
        <w:t>Public Papers of Reagan, 1988, p.58</w:t>
      </w:r>
    </w:p>
    <w:p w:rsidR="00A31137" w:rsidRPr="00A31137" w:rsidRDefault="00A31137" w:rsidP="00A31137">
      <w:r w:rsidRPr="00A31137">
        <w:t>Now, there in the middle of Illinois, I didn't have the nerve to say I wanted to be an actor. [Laughter] But radio was pretty new, and I said I wanted to be a sports announcer in radio. Well, he told me then, he said, "Well, I don't have any contacts. There's nothing I can do to help you there." But he said, "Maybe that's better. Let me give you some advice." He gave me the best advice I've ever had. He said, "Now that you've determined that, what you want to do," he said, "you start out knocking on doors, telling people at those doors what you want to do—businesses. And someplace along the line, even in this Depression, you'll find someone in a radio station who knows that his business is going to depend on bringing younger people into the business to carry on. And then you'll get a job." And he says, "Don't get discouraged if you knock on a lot of doors. Remember a salesman sometimes has to make 250 calls before he makes a sale."</w:t>
      </w:r>
    </w:p>
    <w:p w:rsidR="00A31137" w:rsidRPr="00A31137" w:rsidRDefault="00A31137" w:rsidP="00A31137">
      <w:r w:rsidRPr="00A31137">
        <w:t>Public Papers of Reagan, 1988, p.58</w:t>
      </w:r>
    </w:p>
    <w:p w:rsidR="00A31137" w:rsidRPr="00A31137" w:rsidRDefault="00A31137" w:rsidP="00A31137">
      <w:r w:rsidRPr="00A31137">
        <w:t>It turned out to he the greatest advice I was ever given. And sure enough, one day in a station in Davenport, Iowa, turned down because they had just hired an announcer the day before—and where was I? Why didn't I know they were looking for one? On the way out, after a number of turndowns, I said to myself aloud, "How do you get to be a radio announcer if you can't even get a job in the station?" Well, I've left out one thing. He had told me, "Don't ask to be a sports announcer." He said, "Just ask for anything, because you believe in the future of radio—anything inside the station—and then take your chances on there from getting to what you want."</w:t>
      </w:r>
    </w:p>
    <w:p w:rsidR="00A31137" w:rsidRPr="00A31137" w:rsidRDefault="00A31137" w:rsidP="00A31137">
      <w:r w:rsidRPr="00A31137">
        <w:t>Public Papers of Reagan, 1988, p.58</w:t>
      </w:r>
    </w:p>
    <w:p w:rsidR="00A31137" w:rsidRPr="00A31137" w:rsidRDefault="00A31137" w:rsidP="00A31137">
      <w:r w:rsidRPr="00A31137">
        <w:t>Well, I got to the elevator, and fortunately, the program director that I'd been interviewed by was arthritic, because I heard the thump of his canes coming down the floor before the elevator arrived. And he was yelling to me to stop and wait. And I did, and he asked me, "What was that you said about sports?" And I told him that that's what my ambition was. And he said, "What do you know about football?" I said, "I played it 8 years." And he said, "Could you tell me about a game and make me see it?" I said, "I think so."</w:t>
      </w:r>
    </w:p>
    <w:p w:rsidR="00A31137" w:rsidRPr="00A31137" w:rsidRDefault="00A31137" w:rsidP="00A31137">
      <w:r w:rsidRPr="00A31137">
        <w:t>Public Papers of Reagan, 1988, p.58–p.59</w:t>
      </w:r>
    </w:p>
    <w:p w:rsidR="00A31137" w:rsidRPr="00A31137" w:rsidRDefault="00A31137" w:rsidP="00A31137">
      <w:r w:rsidRPr="00A31137">
        <w:t>He stood me in front of a microphone in a studio. He said, "When the red light goes on, you start broadcasting an imaginary football game." He said, "I'll be in another [p.59] room listening." And I remembered a game we played the year before, my senior year. We won in the last 20 seconds of the game with a long touchdown run and so forth. And I could remember enough of the names so that I wouldn't have to fish for names in broadcasting it. So, I started us out in the fourth quarter, with the long, blue shadow settling over the field, and back in our own 35 yard line. Here's the play—has the ball going wide out to the right, cuts back in over—so forth and so on. [Laughter] He walked back into the studio, and he said, "Be here Saturday. You're broadcasting the Iowa-Minnesota football game." And that's how I started my career as a sports announcer.</w:t>
      </w:r>
    </w:p>
    <w:p w:rsidR="00A31137" w:rsidRPr="00A31137" w:rsidRDefault="00A31137" w:rsidP="00A31137">
      <w:r w:rsidRPr="00A31137">
        <w:t>Public Papers of Reagan, 1988, p.59</w:t>
      </w:r>
    </w:p>
    <w:p w:rsidR="00A31137" w:rsidRPr="00A31137" w:rsidRDefault="00A31137" w:rsidP="00A31137">
      <w:r w:rsidRPr="00A31137">
        <w:t>I know I've taken a long time here, but I know that this is a problem at your age-that you're thinking so hard, so many of you, what do I want to do? And don't let it bother you that you haven't made that decision yet. You'll change your mind many times before it comes—the right moment. But then when it comes, just knock on the door, whatever you've chosen to do, and ask until you find somebody that will let you in.</w:t>
      </w:r>
    </w:p>
    <w:p w:rsidR="00A31137" w:rsidRPr="00A31137" w:rsidRDefault="00A31137" w:rsidP="00A31137">
      <w:r w:rsidRPr="00A31137">
        <w:t>Public Papers of Reagan, 1988, p.59</w:t>
      </w:r>
    </w:p>
    <w:p w:rsidR="00A31137" w:rsidRPr="00A31137" w:rsidRDefault="00A31137" w:rsidP="00A31137">
      <w:r w:rsidRPr="00A31137">
        <w:t>Q. Thank you very much.</w:t>
      </w:r>
    </w:p>
    <w:p w:rsidR="00A31137" w:rsidRPr="00A31137" w:rsidRDefault="00A31137" w:rsidP="00A31137">
      <w:r w:rsidRPr="00A31137">
        <w:t>Public Papers of Reagan, 1988, p.59</w:t>
      </w:r>
    </w:p>
    <w:p w:rsidR="00A31137" w:rsidRPr="00A31137" w:rsidRDefault="00A31137" w:rsidP="00A31137">
      <w:r w:rsidRPr="00A31137">
        <w:t>The President. I didn't mean to make a second speech, but you touched a nerve. [Laughter]</w:t>
      </w:r>
    </w:p>
    <w:p w:rsidR="00A31137" w:rsidRPr="00A31137" w:rsidRDefault="00A31137" w:rsidP="00A31137">
      <w:r w:rsidRPr="00A31137">
        <w:t>Political Participation</w:t>
      </w:r>
    </w:p>
    <w:p w:rsidR="00A31137" w:rsidRPr="00A31137" w:rsidRDefault="00A31137" w:rsidP="00A31137">
      <w:r w:rsidRPr="00A31137">
        <w:t>Public Papers of Reagan, 1988, p.59</w:t>
      </w:r>
    </w:p>
    <w:p w:rsidR="00A31137" w:rsidRPr="00A31137" w:rsidRDefault="00A31137" w:rsidP="00A31137">
      <w:r w:rsidRPr="00A31137">
        <w:t>Q. Good morning, Mr. President. My name is Victoria Bell, and I'm a member of the graduating class of 1988. Those of us who are of age have registered to vote. Could you please give us some advice on what a young person's role should be in politics today?</w:t>
      </w:r>
      <w:r w:rsidRPr="00A31137">
        <w:cr/>
      </w:r>
    </w:p>
    <w:p w:rsidR="00A31137" w:rsidRPr="00A31137" w:rsidRDefault="00A31137" w:rsidP="00A31137">
      <w:r w:rsidRPr="00A31137">
        <w:t>Public Papers of Reagan, 1988, p.59</w:t>
      </w:r>
    </w:p>
    <w:p w:rsidR="00A31137" w:rsidRPr="00A31137" w:rsidRDefault="00A31137" w:rsidP="00A31137">
      <w:r w:rsidRPr="00A31137">
        <w:t>The President. Your role should be in—what is it? I didn't—</w:t>
      </w:r>
    </w:p>
    <w:p w:rsidR="00A31137" w:rsidRPr="00A31137" w:rsidRDefault="00A31137" w:rsidP="00A31137">
      <w:r w:rsidRPr="00A31137">
        <w:t>Public Papers of Reagan, 1988, p.59</w:t>
      </w:r>
    </w:p>
    <w:p w:rsidR="00A31137" w:rsidRPr="00A31137" w:rsidRDefault="00A31137" w:rsidP="00A31137">
      <w:r w:rsidRPr="00A31137">
        <w:t>Q. On what a young person's role should be in politics today.</w:t>
      </w:r>
    </w:p>
    <w:p w:rsidR="00A31137" w:rsidRPr="00A31137" w:rsidRDefault="00A31137" w:rsidP="00A31137">
      <w:r w:rsidRPr="00A31137">
        <w:t>Public Papers of Reagan, 1988, p.59</w:t>
      </w:r>
    </w:p>
    <w:p w:rsidR="00A31137" w:rsidRPr="00A31137" w:rsidRDefault="00A31137" w:rsidP="00A31137">
      <w:r w:rsidRPr="00A31137">
        <w:t>The President. In politics? Well, it was the last thing I thought I would ever end up in. [Laughter] I had completely different thoughts for most of my life. But I think what you should recognize is this—there is a little figure that says something. The 18-to 24-year-old group of young people happens to be the lowest bracket with regard to voting, the smallest percentage of that bracket votes. We have a society that is unique in the world. It is based on the fact that "we the people" are the Government. Our Constitution differs from all but one other constitution in the world. Our Constitution isn't the Government telling the people what their privileges are: Our Constitution is we the people telling the Government what it can do.</w:t>
      </w:r>
    </w:p>
    <w:p w:rsidR="00A31137" w:rsidRPr="00A31137" w:rsidRDefault="00A31137" w:rsidP="00A31137">
      <w:r w:rsidRPr="00A31137">
        <w:t>Public Papers of Reagan, 1988, p.59</w:t>
      </w:r>
    </w:p>
    <w:p w:rsidR="00A31137" w:rsidRPr="00A31137" w:rsidRDefault="00A31137" w:rsidP="00A31137">
      <w:r w:rsidRPr="00A31137">
        <w:t>Now, government of that kind can only work if people participate. So, whether you're interested in ever becoming involved in politics yourself, participate by that most fundamental thing of voting. But also when you make up your mind, the thing that you believe in, and whether it's party or what philosophy, then participate. Volunteer in campaigns to be of help, to really participate in what the Government-or who is going to be in the Government. And then, if from that experience you find that you want to actually engage in the issues of the day and having a say about them, then you look around and pick where is the nearest and most available way or level of government and office that you can begin by seeking public office.</w:t>
      </w:r>
    </w:p>
    <w:p w:rsidR="00A31137" w:rsidRPr="00A31137" w:rsidRDefault="00A31137" w:rsidP="00A31137">
      <w:r w:rsidRPr="00A31137">
        <w:t>Public Papers of Reagan, 1988, p.59</w:t>
      </w:r>
    </w:p>
    <w:p w:rsidR="00A31137" w:rsidRPr="00A31137" w:rsidRDefault="00A31137" w:rsidP="00A31137">
      <w:r w:rsidRPr="00A31137">
        <w:t>And then, when you get that public office, make up your mind—I have told a Cabinet as a Governor of California and a Cabinet as the President of the United States, in discussing all the issues and what we're going to do about something, don't anyone tell me what the best political way is. I don't want to hear what is right or wrong politically. I want to hear what is right or wrong morally about the issue and what we should do, and make that your goal as a participant in government.</w:t>
      </w:r>
    </w:p>
    <w:p w:rsidR="00A31137" w:rsidRPr="00A31137" w:rsidRDefault="00A31137" w:rsidP="00A31137">
      <w:r w:rsidRPr="00A31137">
        <w:t>Public Papers of Reagan, 1988, p.59</w:t>
      </w:r>
    </w:p>
    <w:p w:rsidR="00A31137" w:rsidRPr="00A31137" w:rsidRDefault="00A31137" w:rsidP="00A31137">
      <w:r w:rsidRPr="00A31137">
        <w:t>Q. Thank you, Mr. President.</w:t>
      </w:r>
    </w:p>
    <w:p w:rsidR="00A31137" w:rsidRPr="00A31137" w:rsidRDefault="00A31137" w:rsidP="00A31137">
      <w:r w:rsidRPr="00A31137">
        <w:t>Federal Role in Education</w:t>
      </w:r>
    </w:p>
    <w:p w:rsidR="00A31137" w:rsidRPr="00A31137" w:rsidRDefault="00A31137" w:rsidP="00A31137">
      <w:r w:rsidRPr="00A31137">
        <w:t>Public Papers of Reagan, 1988, p.59</w:t>
      </w:r>
    </w:p>
    <w:p w:rsidR="00A31137" w:rsidRPr="00A31137" w:rsidRDefault="00A31137" w:rsidP="00A31137">
      <w:r w:rsidRPr="00A31137">
        <w:t>Q. Good morning, Mr. President. My name is Larry Bradford. I'm a student with the visual and performing arts program. My question to you today is: Based on what you learned of our school today, what educational programs and policies will your administration be advocating?</w:t>
      </w:r>
    </w:p>
    <w:p w:rsidR="00A31137" w:rsidRPr="00A31137" w:rsidRDefault="00A31137" w:rsidP="00A31137">
      <w:r w:rsidRPr="00A31137">
        <w:t>Public Papers of Reagan, 1988, p.59</w:t>
      </w:r>
    </w:p>
    <w:p w:rsidR="00A31137" w:rsidRPr="00A31137" w:rsidRDefault="00A31137" w:rsidP="00A31137">
      <w:r w:rsidRPr="00A31137">
        <w:t>The President. What educational programs?</w:t>
      </w:r>
    </w:p>
    <w:p w:rsidR="00A31137" w:rsidRPr="00A31137" w:rsidRDefault="00A31137" w:rsidP="00A31137">
      <w:r w:rsidRPr="00A31137">
        <w:t>Public Papers of Reagan, 1988, p.59</w:t>
      </w:r>
    </w:p>
    <w:p w:rsidR="00A31137" w:rsidRPr="00A31137" w:rsidRDefault="00A31137" w:rsidP="00A31137">
      <w:r w:rsidRPr="00A31137">
        <w:t>Q. What educational programs and policies will your administration be advocating?</w:t>
      </w:r>
    </w:p>
    <w:p w:rsidR="00A31137" w:rsidRPr="00A31137" w:rsidRDefault="00A31137" w:rsidP="00A31137">
      <w:r w:rsidRPr="00A31137">
        <w:t>Public Papers of Reagan, 1988, p.60</w:t>
      </w:r>
    </w:p>
    <w:p w:rsidR="00A31137" w:rsidRPr="00A31137" w:rsidRDefault="00A31137" w:rsidP="00A31137">
      <w:r w:rsidRPr="00A31137">
        <w:t>The President. Well, I probably should turn that question over to the Secretary of Education, who is experienced in it, but I would just take a chance myself—if he wants to add anything to this. I think that the first thing we at the Federal level must recognize is that our great system of education is managed by and run by the people at the local and State level. And the Federal Government should be of help where it can, but it should not involve itself in trying to dictate to the schools of America. Do you want to add to that, Bill?</w:t>
      </w:r>
    </w:p>
    <w:p w:rsidR="00A31137" w:rsidRPr="00A31137" w:rsidRDefault="00A31137" w:rsidP="00A31137">
      <w:r w:rsidRPr="00A31137">
        <w:t>Public Papers of Reagan, 1988, p.60</w:t>
      </w:r>
    </w:p>
    <w:p w:rsidR="00A31137" w:rsidRPr="00A31137" w:rsidRDefault="00A31137" w:rsidP="00A31137">
      <w:r w:rsidRPr="00A31137">
        <w:t>Secretary Bennett. Couldn't say it better myself. That's for sure. [Laughter]</w:t>
      </w:r>
    </w:p>
    <w:p w:rsidR="00A31137" w:rsidRPr="00A31137" w:rsidRDefault="00A31137" w:rsidP="00A31137">
      <w:r w:rsidRPr="00A31137">
        <w:t>Public Papers of Reagan, 1988, p.60</w:t>
      </w:r>
    </w:p>
    <w:p w:rsidR="00A31137" w:rsidRPr="00A31137" w:rsidRDefault="00A31137" w:rsidP="00A31137">
      <w:r w:rsidRPr="00A31137">
        <w:t>Q. Thank you, Mr. President.</w:t>
      </w:r>
    </w:p>
    <w:p w:rsidR="00A31137" w:rsidRPr="00A31137" w:rsidRDefault="00A31137" w:rsidP="00A31137">
      <w:r w:rsidRPr="00A31137">
        <w:t>Public Papers of Reagan, 1988, p.60</w:t>
      </w:r>
    </w:p>
    <w:p w:rsidR="00A31137" w:rsidRPr="00A31137" w:rsidRDefault="00A31137" w:rsidP="00A31137">
      <w:r w:rsidRPr="00A31137">
        <w:t>Secretary Bennett. Maybe I would just underline what you said in your remarks, Mr. President. I think you will see emphasis from us on the point that we heard from this table: accountability, choice, high expectations to help the kind of local effort we see here be duplicated all around the country.</w:t>
      </w:r>
    </w:p>
    <w:p w:rsidR="00A31137" w:rsidRPr="00A31137" w:rsidRDefault="00A31137" w:rsidP="00A31137">
      <w:r w:rsidRPr="00A31137">
        <w:t>Public Papers of Reagan, 1988, p.60</w:t>
      </w:r>
    </w:p>
    <w:p w:rsidR="00A31137" w:rsidRPr="00A31137" w:rsidRDefault="00A31137" w:rsidP="00A31137">
      <w:r w:rsidRPr="00A31137">
        <w:t>The President. We have a great diversity in our education across this great land—in more than education, in the land itself—and that is valuable to us.</w:t>
      </w:r>
    </w:p>
    <w:p w:rsidR="00A31137" w:rsidRPr="00A31137" w:rsidRDefault="00A31137" w:rsidP="00A31137">
      <w:r w:rsidRPr="00A31137">
        <w:t>Arms Control</w:t>
      </w:r>
    </w:p>
    <w:p w:rsidR="00A31137" w:rsidRPr="00A31137" w:rsidRDefault="00A31137" w:rsidP="00A31137">
      <w:r w:rsidRPr="00A31137">
        <w:t>Public Papers of Reagan, 1988, p.60</w:t>
      </w:r>
    </w:p>
    <w:p w:rsidR="00A31137" w:rsidRPr="00A31137" w:rsidRDefault="00A31137" w:rsidP="00A31137">
      <w:r w:rsidRPr="00A31137">
        <w:t>Q. Good morning, Mr. President. My name is Audrell Cabiness, and I'm an eleventh-grader here at Suitland. What could future leaders do to ensure the prevention of nuclear war?</w:t>
      </w:r>
    </w:p>
    <w:p w:rsidR="00A31137" w:rsidRPr="00A31137" w:rsidRDefault="00A31137" w:rsidP="00A31137">
      <w:r w:rsidRPr="00A31137">
        <w:t>Public Papers of Reagan, 1988, p.60</w:t>
      </w:r>
    </w:p>
    <w:p w:rsidR="00A31137" w:rsidRPr="00A31137" w:rsidRDefault="00A31137" w:rsidP="00A31137">
      <w:r w:rsidRPr="00A31137">
        <w:t>The President. Well, wait a minute. I have a little trouble with—</w:t>
      </w:r>
    </w:p>
    <w:p w:rsidR="00A31137" w:rsidRPr="00A31137" w:rsidRDefault="00A31137" w:rsidP="00A31137">
      <w:r w:rsidRPr="00A31137">
        <w:t>Public Papers of Reagan, 1988, p.60</w:t>
      </w:r>
    </w:p>
    <w:p w:rsidR="00A31137" w:rsidRPr="00A31137" w:rsidRDefault="00A31137" w:rsidP="00A31137">
      <w:r w:rsidRPr="00A31137">
        <w:t>Q. What could future leaders do to ensure the prevention of nuclear war?</w:t>
      </w:r>
    </w:p>
    <w:p w:rsidR="00A31137" w:rsidRPr="00A31137" w:rsidRDefault="00A31137" w:rsidP="00A31137">
      <w:r w:rsidRPr="00A31137">
        <w:t>Public Papers of Reagan, 1988, p.60</w:t>
      </w:r>
    </w:p>
    <w:p w:rsidR="00A31137" w:rsidRPr="00A31137" w:rsidRDefault="00A31137" w:rsidP="00A31137">
      <w:r w:rsidRPr="00A31137">
        <w:t>The President. What can we all do with regard to preventing a war? Is that what you're talking about?</w:t>
      </w:r>
    </w:p>
    <w:p w:rsidR="00A31137" w:rsidRPr="00A31137" w:rsidRDefault="00A31137" w:rsidP="00A31137">
      <w:r w:rsidRPr="00A31137">
        <w:t>Public Papers of Reagan, 1988, p.60</w:t>
      </w:r>
    </w:p>
    <w:p w:rsidR="00A31137" w:rsidRPr="00A31137" w:rsidRDefault="00A31137" w:rsidP="00A31137">
      <w:r w:rsidRPr="00A31137">
        <w:t>Q. Yes.</w:t>
      </w:r>
    </w:p>
    <w:p w:rsidR="00A31137" w:rsidRPr="00A31137" w:rsidRDefault="00A31137" w:rsidP="00A31137">
      <w:r w:rsidRPr="00A31137">
        <w:t>Public Papers of Reagan, 1988, p.60</w:t>
      </w:r>
    </w:p>
    <w:p w:rsidR="00A31137" w:rsidRPr="00A31137" w:rsidRDefault="00A31137" w:rsidP="00A31137">
      <w:r w:rsidRPr="00A31137">
        <w:t>The President. Well, having seen four of them in my lifetime, I'm hoping and praying that we can avoid one. But I do know this: We have to be practical. We have to be realistic. We have to be totally in favor of peace ourselves and doing all that we can to maintain peace.</w:t>
      </w:r>
    </w:p>
    <w:p w:rsidR="00A31137" w:rsidRPr="00A31137" w:rsidRDefault="00A31137" w:rsidP="00A31137">
      <w:r w:rsidRPr="00A31137">
        <w:t>Public Papers of Reagan, 1988, p.60</w:t>
      </w:r>
    </w:p>
    <w:p w:rsidR="00A31137" w:rsidRPr="00A31137" w:rsidRDefault="00A31137" w:rsidP="00A31137">
      <w:r w:rsidRPr="00A31137">
        <w:t>My first words in my meeting with Gorbachev in Geneva, Switzerland—when he and I met in a room, just the two of us and—well, with interpreters—I said to him that we were in a unique situation, the two of us from these two great powers, that we could perhaps bring on a war or we could bring on peace for the world. And I said I think what we have to recognize is we mistrust each other, and we are both heavily armed. And I said we don't mistrust each other because we're armed. We're armed because we mistrust each other. And so, our goal—even though we're going to talk about trying to reduce weapons and lower the military threat—that our main goal must be to eliminate the mistrust that has caused us to build those armaments. And I think that this country—we have an order now to maintain peace.</w:t>
      </w:r>
    </w:p>
    <w:p w:rsidR="00A31137" w:rsidRPr="00A31137" w:rsidRDefault="00A31137" w:rsidP="00A31137">
      <w:r w:rsidRPr="00A31137">
        <w:t>Public Papers of Reagan, 1988, p.60</w:t>
      </w:r>
    </w:p>
    <w:p w:rsidR="00A31137" w:rsidRPr="00A31137" w:rsidRDefault="00A31137" w:rsidP="00A31137">
      <w:r w:rsidRPr="00A31137">
        <w:t>The Great Seal of the United States, with the eagle and its head turned—in one claw has arrows and in the other claw has the olive branch, designating peace. The older seal, the one on my desk in the Oval Office—because it's an old, old desk—the eagle is looking at the claw with the arrows. On the ceiling—because the building is newer—on that seal, the eagle is looking at the claw with the olive branch.</w:t>
      </w:r>
    </w:p>
    <w:p w:rsidR="00A31137" w:rsidRPr="00A31137" w:rsidRDefault="00A31137" w:rsidP="00A31137">
      <w:r w:rsidRPr="00A31137">
        <w:t>Public Papers of Reagan, 1988, p.60</w:t>
      </w:r>
    </w:p>
    <w:p w:rsidR="00A31137" w:rsidRPr="00A31137" w:rsidRDefault="00A31137" w:rsidP="00A31137">
      <w:r w:rsidRPr="00A31137">
        <w:t>Harry Truman, after World War II, decided that our seal should be changed and that our eagle, our bird, should be looking at peace, not war. But at the same time, right now I'm trying to convince the Congress—we have made great strides in this first treaty that has ever been signed of the actual elimination of arms—has come about because we revealed to the world that we were going to deal from strength, that they could have their choice: engage in an arms race with us or join us in eliminating the causes of armament. And so, we're pursuing that. And it's been successful so far, because after several years of turndown, we have signed the first treaty that ever eliminated a total system of nuclear weapons. And that's—</w:t>
      </w:r>
    </w:p>
    <w:p w:rsidR="00A31137" w:rsidRPr="00A31137" w:rsidRDefault="00A31137" w:rsidP="00A31137">
      <w:r w:rsidRPr="00A31137">
        <w:t>Public Papers of Reagan, 1988, p.60</w:t>
      </w:r>
    </w:p>
    <w:p w:rsidR="00A31137" w:rsidRPr="00A31137" w:rsidRDefault="00A31137" w:rsidP="00A31137">
      <w:r w:rsidRPr="00A31137">
        <w:t>Q. Thank you.</w:t>
      </w:r>
    </w:p>
    <w:p w:rsidR="00A31137" w:rsidRPr="00A31137" w:rsidRDefault="00A31137" w:rsidP="00A31137">
      <w:r w:rsidRPr="00A31137">
        <w:t>U.S. Trade Deficit</w:t>
      </w:r>
    </w:p>
    <w:p w:rsidR="00A31137" w:rsidRPr="00A31137" w:rsidRDefault="00A31137" w:rsidP="00A31137">
      <w:r w:rsidRPr="00A31137">
        <w:t>Public Papers of Reagan, 1988, p.60–p.61</w:t>
      </w:r>
    </w:p>
    <w:p w:rsidR="00A31137" w:rsidRPr="00A31137" w:rsidRDefault="00A31137" w:rsidP="00A31137">
      <w:r w:rsidRPr="00A31137">
        <w:t>Q. Good morning, Mr. President. My name is Keith Emory, and I'm a senior in the comprehensive school program. My question for you deals with a major issue in the United States: the issue of the balance of trading. What steps do you think the U.S. [p.61] Government can take to correct the many trade imbalances that we have with foreign countries?</w:t>
      </w:r>
    </w:p>
    <w:p w:rsidR="00A31137" w:rsidRPr="00A31137" w:rsidRDefault="00A31137" w:rsidP="00A31137">
      <w:r w:rsidRPr="00A31137">
        <w:t>Public Papers of Reagan, 1988, p.61</w:t>
      </w:r>
    </w:p>
    <w:p w:rsidR="00A31137" w:rsidRPr="00A31137" w:rsidRDefault="00A31137" w:rsidP="00A31137">
      <w:r w:rsidRPr="00A31137">
        <w:t>The President. We're taking those steps as much as we can. But let me point something out. I happen to be one who believes that the imbalance in trade is not the terrible thing that it has been portrayed. Granted that we would like to export more, but for 100 years—while this country of ours was becoming the great economic power that it is—for all those 100 years, we had an imbalance of trade, as we have now. We're the greatest exporter in the world. Now, I could caution you, too. Sometimes our statisticians don't use all the figures they should. For example, by the number of dollars of exports that we have does not include services, just things that are made to sell. I think there might be a little difference if we realized how much money comes in from abroad to insurance companies that sell insurance abroad, the services of that kind. And it would balance up a little better.</w:t>
      </w:r>
    </w:p>
    <w:p w:rsidR="00A31137" w:rsidRPr="00A31137" w:rsidRDefault="00A31137" w:rsidP="00A31137">
      <w:r w:rsidRPr="00A31137">
        <w:t>Public Papers of Reagan, 1988, p.61</w:t>
      </w:r>
    </w:p>
    <w:p w:rsidR="00A31137" w:rsidRPr="00A31137" w:rsidRDefault="00A31137" w:rsidP="00A31137">
      <w:r w:rsidRPr="00A31137">
        <w:t>But if we're going to be the greatest exporter, we must recognize the right of other countries to export, too, and therefore we're an importer. And I've always—this comes, I guess, from that degree in economics I got—I've always believed that people in America who feel free to buy foreign products, import foreign goods of some kind or another—that's their right to do that. And those people, at the same time that they're sending money abroad, they're replacing that money with a product that has an actual money worth. And it's not that the Government is involved in that. Where the Government is involved is—we have people in our Congress today who want protectionism, high tariffs that will keep people from being able to sell goods in our country without realizing that they can retaliate and then have high tariffs against us selling abroad.</w:t>
      </w:r>
    </w:p>
    <w:p w:rsidR="00A31137" w:rsidRPr="00A31137" w:rsidRDefault="00A31137" w:rsidP="00A31137">
      <w:r w:rsidRPr="00A31137">
        <w:t>Public Papers of Reagan, 1988, p.61</w:t>
      </w:r>
    </w:p>
    <w:p w:rsidR="00A31137" w:rsidRPr="00A31137" w:rsidRDefault="00A31137" w:rsidP="00A31137">
      <w:r w:rsidRPr="00A31137">
        <w:t>Back in that Great Depression that I mentioned earlier, in 1932, two great mistakes were made in this country and by this country. One, we introduced a thing called the Smoot-Hawley tariff, which made it virtually impossible for anyone to sell anything in America, and that simply spread the Great Depression around the world. And the only thing that ended the Great Depression was World War II. And that was one lesson. The second lesson was the Congress of the United States also then increased the income taxes tremendously from one bracket of 1½ percent to 9 percent, from something like around 20 percent to 63 percent. And immediately, the total amount of revenue that the Government was getting was reduced, even though the rates were higher.</w:t>
      </w:r>
    </w:p>
    <w:p w:rsidR="00A31137" w:rsidRPr="00A31137" w:rsidRDefault="00A31137" w:rsidP="00A31137">
      <w:r w:rsidRPr="00A31137">
        <w:t>Public Papers of Reagan, 1988, p.61</w:t>
      </w:r>
    </w:p>
    <w:p w:rsidR="00A31137" w:rsidRPr="00A31137" w:rsidRDefault="00A31137" w:rsidP="00A31137">
      <w:r w:rsidRPr="00A31137">
        <w:t>And so, what we're fighting for is free and fair trade around the world, and we've made great progress with some of our trading partners who did have restraints and restrictions. But that open, free trade and, as I continue to insist, low tax rates here on ourselves in our own country, to increase the incentive of people to earn more—we have reduced the taxes in our administration, and the total amount of revenue the Government is getting from that tax has increased mightily. About 1,000 years ago, a man named Ibn-Khaldun said in the beginning of the empire, the rates were low and the revenue was high. At the end of the empire, the rates were high and the revenue was low. So, we're going to stick with what we're trying to do, and we can use all the help that you'll give us.</w:t>
      </w:r>
    </w:p>
    <w:p w:rsidR="00A31137" w:rsidRPr="00A31137" w:rsidRDefault="00A31137" w:rsidP="00A31137">
      <w:r w:rsidRPr="00A31137">
        <w:t>Public Papers of Reagan, 1988, p.61</w:t>
      </w:r>
    </w:p>
    <w:p w:rsidR="00A31137" w:rsidRPr="00A31137" w:rsidRDefault="00A31137" w:rsidP="00A31137">
      <w:r w:rsidRPr="00A31137">
        <w:t>Q. Thank you, Mr. President.</w:t>
      </w:r>
    </w:p>
    <w:p w:rsidR="00A31137" w:rsidRPr="00A31137" w:rsidRDefault="00A31137" w:rsidP="00A31137">
      <w:r w:rsidRPr="00A31137">
        <w:t>Administration Accomplishments</w:t>
      </w:r>
    </w:p>
    <w:p w:rsidR="00A31137" w:rsidRPr="00A31137" w:rsidRDefault="00A31137" w:rsidP="00A31137">
      <w:r w:rsidRPr="00A31137">
        <w:t>Public Papers of Reagan, 1988, p.61</w:t>
      </w:r>
    </w:p>
    <w:p w:rsidR="00A31137" w:rsidRPr="00A31137" w:rsidRDefault="00A31137" w:rsidP="00A31137">
      <w:r w:rsidRPr="00A31137">
        <w:t>Q. Good morning, Mr. President. I am Len Walder, a freshman in the University High School. My question to you is this: What do you feel was your major accomplishment as President, and what would you most like to be remembered for as President of the United States?</w:t>
      </w:r>
    </w:p>
    <w:p w:rsidR="00A31137" w:rsidRPr="00A31137" w:rsidRDefault="00A31137" w:rsidP="00A31137">
      <w:r w:rsidRPr="00A31137">
        <w:t>Public Papers of Reagan, 1988, p.61–p.62</w:t>
      </w:r>
    </w:p>
    <w:p w:rsidR="00A31137" w:rsidRPr="00A31137" w:rsidRDefault="00A31137" w:rsidP="00A31137">
      <w:r w:rsidRPr="00A31137">
        <w:t>The President. Well, I'd just like to be remembered. [Laughter] But, well, I'd be satisfied if they just would say I did my best. But now, wait a minute here. You got me so off base here on the first part of that question—what—oh, what accomplishment? It's rather difficult to pick things out of all the things that we tried to turn around and change. The economy was in a shambles when we came here. We were in a great recession. Interest rates were sky high, and inflation was in double digits. We turned all that around. And for 61 months we have [p.62] had an economic expansion which is the longest period in the history of our nation for an economic expansion. But with all of that, I think I'd rather be remembered for the fact that not too many years ago there was a great pessimism in our country, and people were very critical, and people didn't seem to be very proud of the flag anymore. And today what I get in the mail and what I hear from people when I get out of Washington is that once again they're proud to be Americans. And if I had anything to do with that, that's what I would be most proud of, that once again—</w:t>
      </w:r>
    </w:p>
    <w:p w:rsidR="00A31137" w:rsidRPr="00A31137" w:rsidRDefault="00A31137" w:rsidP="00A31137">
      <w:r w:rsidRPr="00A31137">
        <w:t>Public Papers of Reagan, 1988, p.62</w:t>
      </w:r>
    </w:p>
    <w:p w:rsidR="00A31137" w:rsidRPr="00A31137" w:rsidRDefault="00A31137" w:rsidP="00A31137">
      <w:r w:rsidRPr="00A31137">
        <w:t>Q. Thank you, Mr. President.</w:t>
      </w:r>
    </w:p>
    <w:p w:rsidR="00A31137" w:rsidRPr="00A31137" w:rsidRDefault="00A31137" w:rsidP="00A31137">
      <w:r w:rsidRPr="00A31137">
        <w:t>Public Papers of Reagan, 1988, p.62</w:t>
      </w:r>
    </w:p>
    <w:p w:rsidR="00A31137" w:rsidRPr="00A31137" w:rsidRDefault="00A31137" w:rsidP="00A31137">
      <w:r w:rsidRPr="00A31137">
        <w:t>The President. Well, just one line to finish now, and I appreciate very much and apologize for the length of my answers. But this thing about America—I got a letter from a man the other day, and I'll share it with you. This man said you can go to live in Turkey, but you can't become a Turk. You can go to live in Japan, but you cannot become Japanese—or Germany or France-and named all the others. But he said anyone from any corner of the world can come to America and become an American.</w:t>
      </w:r>
    </w:p>
    <w:p w:rsidR="00A31137" w:rsidRPr="00A31137" w:rsidRDefault="00A31137" w:rsidP="00A31137">
      <w:r w:rsidRPr="00A31137">
        <w:t>Public Papers of Reagan, 1988, p.62</w:t>
      </w:r>
    </w:p>
    <w:p w:rsidR="00A31137" w:rsidRPr="00A31137" w:rsidRDefault="00A31137" w:rsidP="00A31137">
      <w:r w:rsidRPr="00A31137">
        <w:t>NOTE: The President spoke at 11:50 a.m. in the school auditorium. In his remarks, he referred to Joseph Hairston, principal of the school.</w:t>
      </w:r>
    </w:p>
    <w:p w:rsidR="00A31137" w:rsidRPr="00A31137" w:rsidRDefault="00A31137" w:rsidP="00A31137">
      <w:r w:rsidRPr="00A31137">
        <w:t>President Reagan's State of the Union Address, 1988</w:t>
      </w:r>
    </w:p>
    <w:p w:rsidR="00A31137" w:rsidRPr="00A31137" w:rsidRDefault="00A31137" w:rsidP="00A31137">
      <w:r w:rsidRPr="00A31137">
        <w:t>Title:</w:t>
      </w:r>
      <w:r w:rsidRPr="00A31137">
        <w:tab/>
        <w:t>President Reagan's State of the Union Address</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25, 1988</w:t>
      </w:r>
    </w:p>
    <w:p w:rsidR="00A31137" w:rsidRPr="00A31137" w:rsidRDefault="00A31137" w:rsidP="00A31137">
      <w:r w:rsidRPr="00A31137">
        <w:t>Source:</w:t>
      </w:r>
      <w:r w:rsidRPr="00A31137">
        <w:tab/>
        <w:t>Public Papers of the Presidents, Reagan, 1988, pp.84-90</w:t>
      </w:r>
    </w:p>
    <w:p w:rsidR="00A31137" w:rsidRPr="00A31137" w:rsidRDefault="00A31137" w:rsidP="00A31137">
      <w:r w:rsidRPr="00A31137">
        <w:t>Public Papers of Reagan, 1988, p.84</w:t>
      </w:r>
    </w:p>
    <w:p w:rsidR="00A31137" w:rsidRPr="00A31137" w:rsidRDefault="00A31137" w:rsidP="00A31137">
      <w:r w:rsidRPr="00A31137">
        <w:t>Mr. Speaker, Mr. President, and distinguished Members of the House and Senate: When we first met here 7 years ago-many of us for the first time—it was with the hope of beginning something new for America. We meet here tonight in this historic Chamber to continue that work. If anyone expects just a proud recitation of the accomplishments of my administration, I say let's leave that to history; we're not finished yet. So, my message to you tonight is put on your work shoes; we're still on the job.</w:t>
      </w:r>
    </w:p>
    <w:p w:rsidR="00A31137" w:rsidRPr="00A31137" w:rsidRDefault="00A31137" w:rsidP="00A31137">
      <w:r w:rsidRPr="00A31137">
        <w:t>Public Papers of Reagan, 1988, p.84</w:t>
      </w:r>
    </w:p>
    <w:p w:rsidR="00A31137" w:rsidRPr="00A31137" w:rsidRDefault="00A31137" w:rsidP="00A31137">
      <w:r w:rsidRPr="00A31137">
        <w:t>History records the power of the ideas that brought us here those 7 years ago—ideas like the individual's right to reach as far and as high as his or her talents will permit; the free market as an engine of economic progress. And as an ancient Chinese philosopher, Lao-tzu, said: "Govern a great nation as you would cook a small fish; do not overdo it." [Laughter] Well, these ideas were part of a larger notion, a vision, if you will, of America herself—an America not only rich in opportunity for the individual but an America, too, of strong families and vibrant neighborhoods; an America whose divergent but harmonizing communities were a reflection of a deeper community of values: the value of work, of family, of religion, and of the love of freedom that God places in each of us and whose defense He has entrusted in a special way to this nation.</w:t>
      </w:r>
    </w:p>
    <w:p w:rsidR="00A31137" w:rsidRPr="00A31137" w:rsidRDefault="00A31137" w:rsidP="00A31137">
      <w:r w:rsidRPr="00A31137">
        <w:t>Public Papers of Reagan, 1988, p.84</w:t>
      </w:r>
    </w:p>
    <w:p w:rsidR="00A31137" w:rsidRPr="00A31137" w:rsidRDefault="00A31137" w:rsidP="00A31137">
      <w:r w:rsidRPr="00A31137">
        <w:t>All of this was made possible by an idea I spoke of when Mr. Gorbachev was here-the belief that the most exciting revolution ever known to humankind began with three simple words: "We the People," the revolutionary notion that the people grant government its rights, and not the other way around. And there's one lesson that has come home powerfully to me, which I would offer to you now. Just as those who created this Republic pledged to each other their lives, their fortunes, and their sacred honor, so, too, America's leaders today must pledge to each other that we will keep foremost in our hearts and minds not what is best for ourselves or for our party but what is best for America.</w:t>
      </w:r>
    </w:p>
    <w:p w:rsidR="00A31137" w:rsidRPr="00A31137" w:rsidRDefault="00A31137" w:rsidP="00A31137">
      <w:r w:rsidRPr="00A31137">
        <w:t>Public Papers of Reagan, 1988, p.84</w:t>
      </w:r>
    </w:p>
    <w:p w:rsidR="00A31137" w:rsidRPr="00A31137" w:rsidRDefault="00A31137" w:rsidP="00A31137">
      <w:r w:rsidRPr="00A31137">
        <w:t>In the spirit of Jefferson, let us affirm that in this Chamber tonight there are no Republicans, no Democrats—just Americans. Yes, we will have our differences, but let us always remember what unites us far outweighs whatever divides us. Those who sent us here to serve them—the millions of Americans watching and listening tonight-expect this of us. Let's prove to them and to ourselves that democracy works even in an election year. We've done this before. And as we have worked together to bring down spending, tax rates, and inflation, employment has climbed to record heights; America has created more jobs and better, higher paying jobs; family income has risen for 4 straight years, and America's poor climbed out of poverty at the fastest rate in more than 10 years.</w:t>
      </w:r>
    </w:p>
    <w:p w:rsidR="00A31137" w:rsidRPr="00A31137" w:rsidRDefault="00A31137" w:rsidP="00A31137">
      <w:r w:rsidRPr="00A31137">
        <w:t>Public Papers of Reagan, 1988, p.84</w:t>
      </w:r>
    </w:p>
    <w:p w:rsidR="00A31137" w:rsidRPr="00A31137" w:rsidRDefault="00A31137" w:rsidP="00A31137">
      <w:r w:rsidRPr="00A31137">
        <w:t>Our record is not just the longest peacetime expansion in history but an economic and social revolution of hope based on work, incentives, growth, and opportunity; a revolution of compassion that led to private sector initiatives and a 77-percent increase in charitable giving; a revolution that at a critical moment in world history reclaimed and restored the American dream.</w:t>
      </w:r>
    </w:p>
    <w:p w:rsidR="00A31137" w:rsidRPr="00A31137" w:rsidRDefault="00A31137" w:rsidP="00A31137">
      <w:r w:rsidRPr="00A31137">
        <w:t>Public Papers of Reagan, 1988, p.84–p.85</w:t>
      </w:r>
    </w:p>
    <w:p w:rsidR="00A31137" w:rsidRPr="00A31137" w:rsidRDefault="00A31137" w:rsidP="00A31137">
      <w:r w:rsidRPr="00A31137">
        <w:t>In international relations, too, there's only one description for what, together, we have achieved: a complete turnabout, a revolution. Seven years ago, America was weak, and freedom everywhere was under siege. [p.85] Today America is strong, and democracy is everywhere on the move. From Central America to East Asia, ideas like free markets and democratic reforms and human rights are taking hold. We've replaced "Blame America" with "Look up to America." We've rebuilt our defenses. And of all our accomplishments, none can give us more satisfaction than knowing that our young people are again proud to wear our country's uniform.</w:t>
      </w:r>
    </w:p>
    <w:p w:rsidR="00A31137" w:rsidRPr="00A31137" w:rsidRDefault="00A31137" w:rsidP="00A31137">
      <w:r w:rsidRPr="00A31137">
        <w:t>Public Papers of Reagan, 1988, p.85</w:t>
      </w:r>
    </w:p>
    <w:p w:rsidR="00A31137" w:rsidRPr="00A31137" w:rsidRDefault="00A31137" w:rsidP="00A31137">
      <w:r w:rsidRPr="00A31137">
        <w:t>And in a few moments, I'm going to talk about three developments—arms reduction, the Strategic Defense Initiative, and the global democratic revolution—that, when taken together, offer a chance none of us would have dared imagine 7 years ago, a chance to rid the world of the two great nightmares of the postwar era. I speak of the startling hope of giving our children a future free of both totalitarianism and nuclear terror.</w:t>
      </w:r>
    </w:p>
    <w:p w:rsidR="00A31137" w:rsidRPr="00A31137" w:rsidRDefault="00A31137" w:rsidP="00A31137">
      <w:r w:rsidRPr="00A31137">
        <w:t>Public Papers of Reagan, 1988, p.85</w:t>
      </w:r>
    </w:p>
    <w:p w:rsidR="00A31137" w:rsidRPr="00A31137" w:rsidRDefault="00A31137" w:rsidP="00A31137">
      <w:r w:rsidRPr="00A31137">
        <w:t>Tonight, then, we're strong, prosperous, at peace, and we are free. This is the state of our Union. And if we will work together this year, I believe we can give a future President and a future Congress the chance to make that prosperity, that peace, that freedom not just the state of our Union but the state of our world.</w:t>
      </w:r>
    </w:p>
    <w:p w:rsidR="00A31137" w:rsidRPr="00A31137" w:rsidRDefault="00A31137" w:rsidP="00A31137">
      <w:r w:rsidRPr="00A31137">
        <w:t>Public Papers of Reagan, 1988, p.85</w:t>
      </w:r>
    </w:p>
    <w:p w:rsidR="00A31137" w:rsidRPr="00A31137" w:rsidRDefault="00A31137" w:rsidP="00A31137">
      <w:r w:rsidRPr="00A31137">
        <w:t>Toward this end, we have four basic objectives tonight. First, steps we can take this year to keep our economy strong and growing, to give our children a future of low inflation and full employment. Second, let's check our progress in attacking social problems, where important gains have been made, but which still need critical attention. I mean schools that work, economic independence for the poor, restoring respect for family life and family values. Our third objective tonight is global: continuing the exciting economic and democratic revolutions we've seen around the world. Fourth and finally, our nation has remained at peace for nearly a decade and a half, as we move toward our goals of world prosperity and world freedom. We must protect that peace and deter war by making sure the next President inherits what you and I have a moral obligation to give that President: a national security that is unassailable and a national defense that takes full advantage of new technology and is fully funded.</w:t>
      </w:r>
    </w:p>
    <w:p w:rsidR="00A31137" w:rsidRPr="00A31137" w:rsidRDefault="00A31137" w:rsidP="00A31137">
      <w:r w:rsidRPr="00A31137">
        <w:t>Public Papers of Reagan, 1988, p.85</w:t>
      </w:r>
    </w:p>
    <w:p w:rsidR="00A31137" w:rsidRPr="00A31137" w:rsidRDefault="00A31137" w:rsidP="00A31137">
      <w:r w:rsidRPr="00A31137">
        <w:t>This is a full agenda. It's meant to be. You see, my thinking on the next year is quite simple: Let's make this the best of 8. And that means it's all out—right to the finish line. I don't buy the idea that this is the last year of anything, because we're not talking here tonight about registering temporary gains but ways of making permanent our successes. And that's why our focus is the values, the principles, and ideas that made America great. Let's be clear on this point. We're for limited government, because we understand, as the Founding Fathers did, that it is the best way of ensuring personal liberty and empowering the individual so that every American of every race and region shares fully in the flowering of American prosperity and freedom.</w:t>
      </w:r>
    </w:p>
    <w:p w:rsidR="00A31137" w:rsidRPr="00A31137" w:rsidRDefault="00A31137" w:rsidP="00A31137">
      <w:r w:rsidRPr="00A31137">
        <w:t>Public Papers of Reagan, 1988, p.85</w:t>
      </w:r>
    </w:p>
    <w:p w:rsidR="00A31137" w:rsidRPr="00A31137" w:rsidRDefault="00A31137" w:rsidP="00A31137">
      <w:r w:rsidRPr="00A31137">
        <w:t>One other thing we Americans like—the future—like the sound of it, the idea of it, the hope of it. Where others fear trade and economic growth, we see opportunities for creating new wealth and undreamed-of opportunities for millions in our own land and beyond. Where others seek to throw up barriers, we seek to bring them down. Where others take counsel of their fears, we follow our hopes. Yes, we Americans like the future and like making the most of it. Let's do that now.</w:t>
      </w:r>
    </w:p>
    <w:p w:rsidR="00A31137" w:rsidRPr="00A31137" w:rsidRDefault="00A31137" w:rsidP="00A31137">
      <w:r w:rsidRPr="00A31137">
        <w:t>Public Papers of Reagan, 1988, p.85</w:t>
      </w:r>
    </w:p>
    <w:p w:rsidR="00A31137" w:rsidRPr="00A31137" w:rsidRDefault="00A31137" w:rsidP="00A31137">
      <w:r w:rsidRPr="00A31137">
        <w:t>And let's begin by discussing how to maintain economic growth by controlling and eventually eliminating the problem of Federal deficits. We have had a balanced budget only eight times in the last 57 years. For the first time in 14 years, the Federal Government spent less in real terms last year than the year before. We took $73 billion off last year's deficit compared to the year before. The deficit itself has moved from 6.3 percent of the gross national product to only 3.4 percent. And perhaps the most important sign of progress has been the change in our view of deficits. You know, a few of us can remember when, not too many years ago, those who created the deficits said they would make us prosperous and not to worry about the debt, because we owe it to ourselves. Well, at last there is agreement that we can't spend ourselves rich.</w:t>
      </w:r>
    </w:p>
    <w:p w:rsidR="00A31137" w:rsidRPr="00A31137" w:rsidRDefault="00A31137" w:rsidP="00A31137">
      <w:r w:rsidRPr="00A31137">
        <w:t>Public Papers of Reagan, 1988, p.85–p.86</w:t>
      </w:r>
    </w:p>
    <w:p w:rsidR="00A31137" w:rsidRPr="00A31137" w:rsidRDefault="00A31137" w:rsidP="00A31137">
      <w:r w:rsidRPr="00A31137">
        <w:t>Our recent budget agreement, designed to reduce Federal deficits by $76 billion [p.86] over the next 2 years, builds on this consensus. But this agreement must be adhered to without slipping into the errors of the past: more broken promises and more unchecked spending. As I indicated in my first State of the Union, what ails us can be simply put: The Federal Government is too big, and it spends too much money. I can assure you, the bipartisan leadership of Congress, of my help in fighting off any attempt to bust our budget agreement. And this includes the swift and certain use of the veto power.</w:t>
      </w:r>
    </w:p>
    <w:p w:rsidR="00A31137" w:rsidRPr="00A31137" w:rsidRDefault="00A31137" w:rsidP="00A31137">
      <w:r w:rsidRPr="00A31137">
        <w:t>Public Papers of Reagan, 1988, p.86</w:t>
      </w:r>
    </w:p>
    <w:p w:rsidR="00A31137" w:rsidRPr="00A31137" w:rsidRDefault="00A31137" w:rsidP="00A31137">
      <w:r w:rsidRPr="00A31137">
        <w:t>Now, it's also time for some plain talk about the most immediate obstacle to controlling Federal deficits. The simple but frustrating problem of making expenses match revenues—something American families do and the Federal Government can't—has caused crisis after crisis in this city. Mr. Speaker, Mr. President, I will say to you tonight what I have said before and will continue to say: The budget process has broken down; it needs a drastic overhaul. With each ensuing year, the spectacle before the American people is the same as it was this Christmas: budget deadlines delayed or missed completely, monstrous continuing resolutions that pack hundreds of billions of dollars worth of spending into one bill, and a Federal Government on the brink of default.</w:t>
      </w:r>
    </w:p>
    <w:p w:rsidR="00A31137" w:rsidRPr="00A31137" w:rsidRDefault="00A31137" w:rsidP="00A31137">
      <w:r w:rsidRPr="00A31137">
        <w:t>Public Papers of Reagan, 1988, p.86</w:t>
      </w:r>
    </w:p>
    <w:p w:rsidR="00A31137" w:rsidRPr="00A31137" w:rsidRDefault="00A31137" w:rsidP="00A31137">
      <w:r w:rsidRPr="00A31137">
        <w:t>I know I'm echoing what you here in the Congress have said, because you suffered so directly. But let's recall that in 7 years, of 91 appropriations bills scheduled to arrive on my desk by a certain date, only 10 made it on time. Last year, of the 13 appropriations bills due by October 1st, none of them made it. Instead, we had four continuing resolutions lasting 41 days, then 36 days, and 2 days, and 3 days, respectively.</w:t>
      </w:r>
    </w:p>
    <w:p w:rsidR="00A31137" w:rsidRPr="00A31137" w:rsidRDefault="00A31137" w:rsidP="00A31137">
      <w:r w:rsidRPr="00A31137">
        <w:t>Public Papers of Reagan, 1988, p.86</w:t>
      </w:r>
    </w:p>
    <w:p w:rsidR="00A31137" w:rsidRPr="00A31137" w:rsidRDefault="00A31137" w:rsidP="00A31137">
      <w:r w:rsidRPr="00A31137">
        <w:t>And then, along came these behemoths. This is the conference report—1,053 pages, report weighing 14 pounds. Then this—a reconciliation bill 6 months late that was 1,186 pages long, weighing 15 pounds. And the long-term continuing resolution—this one was 2 months late, and it's 1,057 pages long, weighing 14 pounds. That was a total of 43 pounds of paper and ink. You had 3 hours—yes, 3 hours—to consider each, and it took 300 people at my Office of Management and Budget just to read the bill so the Government wouldn't shut down. Congress shouldn't send another one of these. No, and if you do, I will not sign it.</w:t>
      </w:r>
    </w:p>
    <w:p w:rsidR="00A31137" w:rsidRPr="00A31137" w:rsidRDefault="00A31137" w:rsidP="00A31137">
      <w:r w:rsidRPr="00A31137">
        <w:t>Public Papers of Reagan, 1988, p.86</w:t>
      </w:r>
    </w:p>
    <w:p w:rsidR="00A31137" w:rsidRPr="00A31137" w:rsidRDefault="00A31137" w:rsidP="00A31137">
      <w:r w:rsidRPr="00A31137">
        <w:t>Let's change all this. Instead of a Presidential budget that gets discarded and a congressional budget resolution that is not enforced, why not a simple partnership, a joint agreement that sets out the spending priorities within the available revenues? And let's remember our deadline is October 1st, not Christmas. Let's get the people's work done in time to avoid a footrace with Santa Claus. [Laughter] And, yes, this year—to coin a phrase—a new beginning: 13 individual bills, on time and fully reviewed by Congress.</w:t>
      </w:r>
    </w:p>
    <w:p w:rsidR="00A31137" w:rsidRPr="00A31137" w:rsidRDefault="00A31137" w:rsidP="00A31137">
      <w:r w:rsidRPr="00A31137">
        <w:t>Public Papers of Reagan, 1988, p.86</w:t>
      </w:r>
    </w:p>
    <w:p w:rsidR="00A31137" w:rsidRPr="00A31137" w:rsidRDefault="00A31137" w:rsidP="00A31137">
      <w:r w:rsidRPr="00A31137">
        <w:t>I'm also certain you join me in saying: Let's help ensure our future of prosperity by giving the President a tool that, though I will not get to use it, is one I know future Presidents of either party must have. Give the President the same authority that 43 Governors use in their States: the right to reach into massive appropriation bills, pare away the waste, and enforce budget discipline. Let's approve the line-item veto.</w:t>
      </w:r>
    </w:p>
    <w:p w:rsidR="00A31137" w:rsidRPr="00A31137" w:rsidRDefault="00A31137" w:rsidP="00A31137">
      <w:r w:rsidRPr="00A31137">
        <w:t>Public Papers of Reagan, 1988, p.86</w:t>
      </w:r>
    </w:p>
    <w:p w:rsidR="00A31137" w:rsidRPr="00A31137" w:rsidRDefault="00A31137" w:rsidP="00A31137">
      <w:r w:rsidRPr="00A31137">
        <w:t>And let's take a partial step in this direction. Most of you in this Chamber didn't know what was in this catchall bill and report. Over the past few weeks, we've all learned what was tucked away behind a little comma here and there. For example, there's millions for items such as cranberry research, blueberry research, the study of crawfish, and the commercialization of wildflowers. And that's not to mention the five or so million [$.5 million] that—so that people from developing nations could come here to watch Congress at work. [Laughter] I won't even touch that. [Laughter] So, tonight I offer you this challenge. In 30 days I will send back to you those items as rescissions, which if I had the authority to line them out I would do so.</w:t>
      </w:r>
    </w:p>
    <w:p w:rsidR="00A31137" w:rsidRPr="00A31137" w:rsidRDefault="00A31137" w:rsidP="00A31137">
      <w:r w:rsidRPr="00A31137">
        <w:t>Public Papers of Reagan, 1988, p.86</w:t>
      </w:r>
    </w:p>
    <w:p w:rsidR="00A31137" w:rsidRPr="00A31137" w:rsidRDefault="00A31137" w:rsidP="00A31137">
      <w:r w:rsidRPr="00A31137">
        <w:t>Now, review this multibillion-dollar package that will not undercut our bipartisan budget agreement. As a matter of fact, if adopted, it will improve our deficit reduction goals. And what an example we can set, that we're serious about getting our financial accounts in order. By acting and approving this plan, you have the opportunity to override a congressional process that is out of control.</w:t>
      </w:r>
    </w:p>
    <w:p w:rsidR="00A31137" w:rsidRPr="00A31137" w:rsidRDefault="00A31137" w:rsidP="00A31137">
      <w:r w:rsidRPr="00A31137">
        <w:t>Public Papers of Reagan, 1988, p.87</w:t>
      </w:r>
    </w:p>
    <w:p w:rsidR="00A31137" w:rsidRPr="00A31137" w:rsidRDefault="00A31137" w:rsidP="00A31137">
      <w:r w:rsidRPr="00A31137">
        <w:t>There is another vital reform. Yes, Gramm-Rudman-Hollings has been profoundly helpful, but let us take its goal of a balanced budget and make it permanent. Let us do now what so many States do to hold down spending and what 32 State legislatures have asked us to do. Let us heed the wishes of an overwhelming plurality of Americans and pass a constitutional amendment that mandates a balanced budget and forces the Federal Government to live within its means. Reform of the budget process—including the line-item veto and balanced budget amendment—will, together with real restraint on government spending, prevent the Federal budget from ever again ravaging the family budget.</w:t>
      </w:r>
    </w:p>
    <w:p w:rsidR="00A31137" w:rsidRPr="00A31137" w:rsidRDefault="00A31137" w:rsidP="00A31137">
      <w:r w:rsidRPr="00A31137">
        <w:t>Public Papers of Reagan, 1988, p.87</w:t>
      </w:r>
    </w:p>
    <w:p w:rsidR="00A31137" w:rsidRPr="00A31137" w:rsidRDefault="00A31137" w:rsidP="00A31137">
      <w:r w:rsidRPr="00A31137">
        <w:t>Let's ensure that the Federal Government never again legislates against the family and the home. Last September 1 signed an Executive order on the family requiring that every department and agency review its activities in light of seven standards designed to promote and not harm the family. But let us make certain that the family is always at the center of the public policy process not just in this administration but in all future administrations. It's time for Congress to consider, at the beginning, a statement of the impact that legislation will have on the basic unit of American society, the family.</w:t>
      </w:r>
    </w:p>
    <w:p w:rsidR="00A31137" w:rsidRPr="00A31137" w:rsidRDefault="00A31137" w:rsidP="00A31137">
      <w:r w:rsidRPr="00A31137">
        <w:t>Public Papers of Reagan, 1988, p.87</w:t>
      </w:r>
    </w:p>
    <w:p w:rsidR="00A31137" w:rsidRPr="00A31137" w:rsidRDefault="00A31137" w:rsidP="00A31137">
      <w:r w:rsidRPr="00A31137">
        <w:t>And speaking of the family, let's turn to a matter on the mind of every American parent tonight: education. We all know the sorry story of the sixties and seventies-soaring spending, plummeting test scores-and that hopeful trend of the eighties, when we replaced an obsession with dollars with a commitment to quality, and test scores started back up. There's a lesson here that we all should write on the blackboard a hundred times: In a child's education, money can never take the place of basics like discipline, hard work, and, yes, homework.</w:t>
      </w:r>
    </w:p>
    <w:p w:rsidR="00A31137" w:rsidRPr="00A31137" w:rsidRDefault="00A31137" w:rsidP="00A31137">
      <w:r w:rsidRPr="00A31137">
        <w:t>Public Papers of Reagan, 1988, p.87</w:t>
      </w:r>
    </w:p>
    <w:p w:rsidR="00A31137" w:rsidRPr="00A31137" w:rsidRDefault="00A31137" w:rsidP="00A31137">
      <w:r w:rsidRPr="00A31137">
        <w:t>As a nation we do, of course, spend heavily on education—more than we spend on defense. Yet across our country, Governors like New Jersey's Tom Kean are giving classroom demonstrations that how we spend is as important as how much we spend. Opening up the teaching profession to all qualified candidates, merit pay—so that good teachers get A's as well as apples—and stronger curriculum, as Secretary Bennett has proposed for high schools—these imaginative reforms are making common sense the most popular new kid in America's schools. How can we help? Well, we can talk about and push for these reforms. But the most important thing we can do is to reaffirm that control of our schools belongs to the States, local communities and, most of all, to the parents and teachers.</w:t>
      </w:r>
    </w:p>
    <w:p w:rsidR="00A31137" w:rsidRPr="00A31137" w:rsidRDefault="00A31137" w:rsidP="00A31137">
      <w:r w:rsidRPr="00A31137">
        <w:t>Public Papers of Reagan, 1988, p.87</w:t>
      </w:r>
    </w:p>
    <w:p w:rsidR="00A31137" w:rsidRPr="00A31137" w:rsidRDefault="00A31137" w:rsidP="00A31137">
      <w:r w:rsidRPr="00A31137">
        <w:t>My friends, some years ago, the Federal Government declared war on poverty, and poverty won. [Laughter] Today the Federal Government has 59 major welfare programs and spends more than $100 billion a year on them. What has all this money done? Well, too often it has only made poverty harder to escape. Federal welfare programs have created a massive social problem. With the best of intentions, government created a poverty trap that wreaks havoc on the very support system the poor need most to lift themselves out of poverty: the family. Dependency has become the one enduring heirloom, passed from one generation to the next, of too many fragmented families.</w:t>
      </w:r>
    </w:p>
    <w:p w:rsidR="00A31137" w:rsidRPr="00A31137" w:rsidRDefault="00A31137" w:rsidP="00A31137">
      <w:r w:rsidRPr="00A31137">
        <w:t>Public Papers of Reagan, 1988, p.87</w:t>
      </w:r>
    </w:p>
    <w:p w:rsidR="00A31137" w:rsidRPr="00A31137" w:rsidRDefault="00A31137" w:rsidP="00A31137">
      <w:r w:rsidRPr="00A31137">
        <w:t>It is time—this may be the most radical thing I've said in 7 years in this office—it's time for Washington to show a little humility. There are a thousand sparks of genius in 50 States and a thousand communities around the Nation. It is time to nurture them and see which ones can catch fire and become guiding lights. States have begun to show us the way. They've demonstrated that successful welfare programs can be built around more effective child support enforcement practices and innovative programs requiring welfare recipients to work or prepare for work. Let us give the States more flexibility and encourage more reforms. Let's start making our welfare system the first rung on America's ladder of opportunity, a boost up from dependency, not a graveyard but a birthplace of hope.</w:t>
      </w:r>
    </w:p>
    <w:p w:rsidR="00A31137" w:rsidRPr="00A31137" w:rsidRDefault="00A31137" w:rsidP="00A31137">
      <w:r w:rsidRPr="00A31137">
        <w:t>Public Papers of Reagan, 1988, p.87–p.88</w:t>
      </w:r>
    </w:p>
    <w:p w:rsidR="00A31137" w:rsidRPr="00A31137" w:rsidRDefault="00A31137" w:rsidP="00A31137">
      <w:r w:rsidRPr="00A31137">
        <w:t>And now let me turn to three other matters vital to family values and the quality of family life. The first is an untold American success story. Recently, we released our annual survey of what graduating high [p.88] school seniors have to say about drugs. Cocaine use is declining, and marijuana use was the lowest since surveying began. We can be proud that our students are just saying no to drugs. But let us remember what this menace requires: commitment from every part of America and every single American, a commitment to a drugfree America. The war against drugs is a war of individual battles, a crusade with many heroes, including America's young people and also someone very special to me. She has helped so many of our young people to say no to drugs. Nancy, much credit belongs to you, and I want to express to you your husband's pride and your country's thanks.'. Surprised you, didn't I? [Laughter]</w:t>
      </w:r>
    </w:p>
    <w:p w:rsidR="00A31137" w:rsidRPr="00A31137" w:rsidRDefault="00A31137" w:rsidP="00A31137">
      <w:r w:rsidRPr="00A31137">
        <w:t>Public Papers of Reagan, 1988, p.88</w:t>
      </w:r>
    </w:p>
    <w:p w:rsidR="00A31137" w:rsidRPr="00A31137" w:rsidRDefault="00A31137" w:rsidP="00A31137">
      <w:r w:rsidRPr="00A31137">
        <w:t>Well, now we come to a family issue that we must have the courage to confront. Tonight, I call America—a good nation, a moral people—to charitable but realistic consideration of the terrible cost of abortion on demand. To those who say this violates a woman's right to control of her own body: Can they deny that now medical evidence confirms the unborn child is a living human being entitled to life, liberty, and the pursuit of happiness? Let us unite as a nation and protect the unborn with legislation that would stop all Federal funding for abortion and with a human life amendment making, of course, an exception where the unborn child threatens the life of the mother. Our Judeo-Christian tradition recognizes the right of taking a life in self-defense. But with that one exception, let us look to those others in our land who cry out for children to adopt. I pledge to you tonight I will work to remove barriers to adoption and extend full sharing in family life to millions of Americans so that children who need homes can be welcomed to families who want them and love them.</w:t>
      </w:r>
    </w:p>
    <w:p w:rsidR="00A31137" w:rsidRPr="00A31137" w:rsidRDefault="00A31137" w:rsidP="00A31137">
      <w:r w:rsidRPr="00A31137">
        <w:t>Public Papers of Reagan, 1988, p.88</w:t>
      </w:r>
    </w:p>
    <w:p w:rsidR="00A31137" w:rsidRPr="00A31137" w:rsidRDefault="00A31137" w:rsidP="00A31137">
      <w:r w:rsidRPr="00A31137">
        <w:t>And let me add here: So many of our greatest statesmen have reminded us that spiritual values alone are essential to our nation's health and vigor. The Congress opens its proceedings each day, as does the Supreme Court, with an acknowledgment of the Supreme Being. Yet we are denied the right to set aside in our schools a moment each day for those who wish to pray. I believe Congress should pass our school prayer amendment.</w:t>
      </w:r>
    </w:p>
    <w:p w:rsidR="00A31137" w:rsidRPr="00A31137" w:rsidRDefault="00A31137" w:rsidP="00A31137">
      <w:r w:rsidRPr="00A31137">
        <w:t>Public Papers of Reagan, 1988, p.88</w:t>
      </w:r>
    </w:p>
    <w:p w:rsidR="00A31137" w:rsidRPr="00A31137" w:rsidRDefault="00A31137" w:rsidP="00A31137">
      <w:r w:rsidRPr="00A31137">
        <w:t>Now, to make sure there is a full nine member Supreme Court to interpret the law, to protect the rights of all Americans, I urge the Senate to move quickly and decisively in confirming Judge Anthony Kennedy to the highest Court in the land and to also confirm 27 nominees now waiting to fill vacancies in the Federal judiciary.</w:t>
      </w:r>
    </w:p>
    <w:p w:rsidR="00A31137" w:rsidRPr="00A31137" w:rsidRDefault="00A31137" w:rsidP="00A31137">
      <w:r w:rsidRPr="00A31137">
        <w:t>Public Papers of Reagan, 1988, p.88</w:t>
      </w:r>
    </w:p>
    <w:p w:rsidR="00A31137" w:rsidRPr="00A31137" w:rsidRDefault="00A31137" w:rsidP="00A31137">
      <w:r w:rsidRPr="00A31137">
        <w:t>Here then are our domestic priorities. Yet if the Congress and the administration work together, even greater opportunities lie ahead to expand a growing world economy, to continue to reduce the threat of nuclear arms, and to extend the frontiers of freedom and the growth of democratic institutions.</w:t>
      </w:r>
    </w:p>
    <w:p w:rsidR="00A31137" w:rsidRPr="00A31137" w:rsidRDefault="00A31137" w:rsidP="00A31137">
      <w:r w:rsidRPr="00A31137">
        <w:t>Public Papers of Reagan, 1988, p.88</w:t>
      </w:r>
    </w:p>
    <w:p w:rsidR="00A31137" w:rsidRPr="00A31137" w:rsidRDefault="00A31137" w:rsidP="00A31137">
      <w:r w:rsidRPr="00A31137">
        <w:t>Our policies consistently received the strongest support of the late Congressman Dan Daniel of Virginia. I'm sure all of you join me in expressing heartfelt condolences on his passing.</w:t>
      </w:r>
    </w:p>
    <w:p w:rsidR="00A31137" w:rsidRPr="00A31137" w:rsidRDefault="00A31137" w:rsidP="00A31137">
      <w:r w:rsidRPr="00A31137">
        <w:t>Public Papers of Reagan, 1988, p.88</w:t>
      </w:r>
    </w:p>
    <w:p w:rsidR="00A31137" w:rsidRPr="00A31137" w:rsidRDefault="00A31137" w:rsidP="00A31137">
      <w:r w:rsidRPr="00A31137">
        <w:t>One of the greatest contributions the United States can make to the world is to promote freedom as the key to economic growth. A creative, competitive America is the answer to a changing world, not trade wars that would close doors, create greater barriers, and destroy millions of jobs. We should always remember: Protectionism is destructionism. America's jobs, America's growth, America's future depend on trade—trade that is free, open, and fair.</w:t>
      </w:r>
    </w:p>
    <w:p w:rsidR="00A31137" w:rsidRPr="00A31137" w:rsidRDefault="00A31137" w:rsidP="00A31137">
      <w:r w:rsidRPr="00A31137">
        <w:t>Public Papers of Reagan, 1988, p.88–p.89</w:t>
      </w:r>
    </w:p>
    <w:p w:rsidR="00A31137" w:rsidRPr="00A31137" w:rsidRDefault="00A31137" w:rsidP="00A31137">
      <w:r w:rsidRPr="00A31137">
        <w:t>This year, we have it within our power to take a major step toward a growing global economy and an expanding cycle of prosperity that reaches to all the free nations of this Earth. I'm speaking of the historic free trade agreement negotiated between our country and Canada. And I can also tell you that we're determined to expand this concept, south as well as north. Next month I will be traveling to Mexico, where trade matters will be of foremost concern. And over the next several months, our Congress and the Canadian Parliament can make the start of such a North American accord a reality. Our goal must be a day when the free flow of trade, from the tip of Tierra del Fuego to the Arctic Circle, unites the people of the Western Hemisphere in a bond of mutually beneficial exchange, when all borders become what the U.S.-Canadian [p.89] border so long has been: a meeting place rather than a dividing line.</w:t>
      </w:r>
    </w:p>
    <w:p w:rsidR="00A31137" w:rsidRPr="00A31137" w:rsidRDefault="00A31137" w:rsidP="00A31137">
      <w:r w:rsidRPr="00A31137">
        <w:t>Public Papers of Reagan, 1988, p.89</w:t>
      </w:r>
    </w:p>
    <w:p w:rsidR="00A31137" w:rsidRPr="00A31137" w:rsidRDefault="00A31137" w:rsidP="00A31137">
      <w:r w:rsidRPr="00A31137">
        <w:t>This movement we see in so many places toward economic freedom is indivisible from the worldwide movement toward political freedom and against totalitarian rule. This global democratic revolution has removed the specter, so frightening a decade ago, of democracy doomed to permanent minority status in the world. In South and Central America, only a third of the people enjoyed democratic rule in 1976. Today over 90 percent of Latin Americans live in nations committed to democratic principles. And the resurgence of democracy is owed to these courageous people on almost every continent who have struggled to take control of their own destiny.</w:t>
      </w:r>
    </w:p>
    <w:p w:rsidR="00A31137" w:rsidRPr="00A31137" w:rsidRDefault="00A31137" w:rsidP="00A31137">
      <w:r w:rsidRPr="00A31137">
        <w:t>Public Papers of Reagan, 1988, p.89</w:t>
      </w:r>
    </w:p>
    <w:p w:rsidR="00A31137" w:rsidRPr="00A31137" w:rsidRDefault="00A31137" w:rsidP="00A31137">
      <w:r w:rsidRPr="00A31137">
        <w:t>In Nicaragua the struggle has extra meaning, because that nation is so near our own borders. The recent revelations of a former high-level Sandinista major, Roger Miranda, show us that, even as they talk peace, the Communist Sandinista government of Nicaragua has established plans for a large 600,000-man army. Yet even as these plans are made, the Sandinista regime knows the tide is turning, and the cause of Nicaraguan freedom is riding at its crest. Because of the freedom fighters, who are resisting Communist rule, the Sandinistas have been forced to extend some democratic rights, negotiate with church authorities, and release a few political prisoners.</w:t>
      </w:r>
    </w:p>
    <w:p w:rsidR="00A31137" w:rsidRPr="00A31137" w:rsidRDefault="00A31137" w:rsidP="00A31137">
      <w:r w:rsidRPr="00A31137">
        <w:t>Public Papers of Reagan, 1988, p.89</w:t>
      </w:r>
    </w:p>
    <w:p w:rsidR="00A31137" w:rsidRPr="00A31137" w:rsidRDefault="00A31137" w:rsidP="00A31137">
      <w:r w:rsidRPr="00A31137">
        <w:t>The focus is on the Sandinistas, their promises and their actions. There is a consensus among the four Central American democratic Presidents that the Sandinistas have not complied with the plan to bring peace and democracy to all of Central America. The Sandinistas again have promised reforms. Their challenge is to take irreversible steps toward democracy. On Wednesday my request to sustain the freedom fighters will be submitted, which reflects our mutual desire for peace, freedom, and democracy in Nicaragua. I ask Congress to pass this request. Let us be for the people of Nicaragua what Lafayette, Pulaski, and Von Steuben were for our forefathers and the cause of American independence.</w:t>
      </w:r>
    </w:p>
    <w:p w:rsidR="00A31137" w:rsidRPr="00A31137" w:rsidRDefault="00A31137" w:rsidP="00A31137">
      <w:r w:rsidRPr="00A31137">
        <w:t>Public Papers of Reagan, 1988, p.89</w:t>
      </w:r>
    </w:p>
    <w:p w:rsidR="00A31137" w:rsidRPr="00A31137" w:rsidRDefault="00A31137" w:rsidP="00A31137">
      <w:r w:rsidRPr="00A31137">
        <w:t>So, too, in Afghanistan, the freedom fighters are the key to peace. We support the Mujahidin. There can be no settlement unless all Soviet troops are removed and the Afghan people are allowed genuine self-determination. I have made my views on this matter known to Mr. Gorbachev. But not just Nicaragua or Afghanistan—yes, everywhere we see a swelling freedom tide across the world: freedom fighters rising up in Cambodia and Angola, fighting and dying for the same democratic liberties we hold sacred. Their cause is our cause: freedom.</w:t>
      </w:r>
    </w:p>
    <w:p w:rsidR="00A31137" w:rsidRPr="00A31137" w:rsidRDefault="00A31137" w:rsidP="00A31137">
      <w:r w:rsidRPr="00A31137">
        <w:t>Public Papers of Reagan, 1988, p.89</w:t>
      </w:r>
    </w:p>
    <w:p w:rsidR="00A31137" w:rsidRPr="00A31137" w:rsidRDefault="00A31137" w:rsidP="00A31137">
      <w:r w:rsidRPr="00A31137">
        <w:t>Yet even as we work to expand world freedom, we must build a safer peace and reduce the danger of nuclear war. But let's have no illusions. Three years of steady decline in the value of our annual defense investment have increased the risk of our most basic security interests, jeopardizing earlier hard-won goals. We must face squarely the implications of this negative trend and make adequate, stable defense spending a top goal both this year and in the future.</w:t>
      </w:r>
    </w:p>
    <w:p w:rsidR="00A31137" w:rsidRPr="00A31137" w:rsidRDefault="00A31137" w:rsidP="00A31137">
      <w:r w:rsidRPr="00A31137">
        <w:t>Public Papers of Reagan, 1988, p.89</w:t>
      </w:r>
    </w:p>
    <w:p w:rsidR="00A31137" w:rsidRPr="00A31137" w:rsidRDefault="00A31137" w:rsidP="00A31137">
      <w:r w:rsidRPr="00A31137">
        <w:t>This same concern applies to economic and security assistance programs as well. But the resolve of America and its NATO allies has opened the way for unprecedented achievement in arms reduction. Our recently signed INF treaty is historic, because it reduces nuclear arms and establishes the most stringent verification regime in arms control history, including several forms of short-notice, on-site inspection. I submitted the treaty today, and I urge the Senate to give its advice and consent to ratification of this landmark agreement. [Applause] Thank you very much.</w:t>
      </w:r>
    </w:p>
    <w:p w:rsidR="00A31137" w:rsidRPr="00A31137" w:rsidRDefault="00A31137" w:rsidP="00A31137">
      <w:r w:rsidRPr="00A31137">
        <w:t>Public Papers of Reagan, 1988, p.89</w:t>
      </w:r>
    </w:p>
    <w:p w:rsidR="00A31137" w:rsidRPr="00A31137" w:rsidRDefault="00A31137" w:rsidP="00A31137">
      <w:r w:rsidRPr="00A31137">
        <w:t>In addition to the INF treaty, we're within reach of an even more significant START agreement that will reduce U.S. and Soviet long-range missile—or strategic arsenals by half. But let me be clear. Our approach is not to seek agreement for agreement's sake but to settle only for agreements that truly enhance our national security and that of our allies. We will never put our security at risk—or that of our allies-just to reach an agreement with the Soviets. No agreement is better than a bad agreement.</w:t>
      </w:r>
    </w:p>
    <w:p w:rsidR="00A31137" w:rsidRPr="00A31137" w:rsidRDefault="00A31137" w:rsidP="00A31137">
      <w:r w:rsidRPr="00A31137">
        <w:t>Public Papers of Reagan, 1988, p.89–p.90</w:t>
      </w:r>
    </w:p>
    <w:p w:rsidR="00A31137" w:rsidRPr="00A31137" w:rsidRDefault="00A31137" w:rsidP="00A31137">
      <w:r w:rsidRPr="00A31137">
        <w:t>As I mentioned earlier, our efforts are to give future generations what we never [p.90] had—a future free of nuclear terror. Reduction of strategic offensive arms is one step, SDI another. Our funding request for our Strategic Defense Initiative is less than 2 percent of the total defense budget. SDI funding is money wisely appropriated and money well spent. SDI has the same purpose and supports the same goals of arms reduction. It reduces the risk of war and the threat of nuclear weapons to all mankind. Strategic defenses that threaten no one could offer the world a safer, more stable basis for deterrence. We must also remember that SDI is our insurance policy against a nuclear accident, a Chernobyl of the sky, or an accidental launch or some madman who might come along.</w:t>
      </w:r>
    </w:p>
    <w:p w:rsidR="00A31137" w:rsidRPr="00A31137" w:rsidRDefault="00A31137" w:rsidP="00A31137">
      <w:r w:rsidRPr="00A31137">
        <w:t>Public Papers of Reagan, 1988, p.90</w:t>
      </w:r>
    </w:p>
    <w:p w:rsidR="00A31137" w:rsidRPr="00A31137" w:rsidRDefault="00A31137" w:rsidP="00A31137">
      <w:r w:rsidRPr="00A31137">
        <w:t>We've seen such changes in the world in 7 years. As totalitarianism struggles to avoid being overwhelmed by the forces of economic advance and the aspiration for human freedom, it is the free nations that are resilient and resurgent. As the global democratic revolution has put totalitarianism on the defensive, we have left behind the days of retreat. America is again a vigorous leader of the free world, a nation that acts decisively and firmly in the furtherance of her principles and vital interests. No legacy would make me more proud than leaving in place a bipartisan consensus for the cause of world freedom, a consensus that prevents a paralysis of American power from ever occurring again.</w:t>
      </w:r>
    </w:p>
    <w:p w:rsidR="00A31137" w:rsidRPr="00A31137" w:rsidRDefault="00A31137" w:rsidP="00A31137">
      <w:r w:rsidRPr="00A31137">
        <w:t>Public Papers of Reagan, 1988, p.90</w:t>
      </w:r>
    </w:p>
    <w:p w:rsidR="00A31137" w:rsidRPr="00A31137" w:rsidRDefault="00A31137" w:rsidP="00A31137">
      <w:r w:rsidRPr="00A31137">
        <w:t>But my thoughts tonight go beyond this, and I hope you'll let me end this evening with a personal reflection. You know, the world could never be quite the same again after Jacob Shallus, a trustworthy and dependable clerk of the Pennsylvania General Assembly, took his pen and engrossed those words about representative government in the preamble of our Constitution. And in a quiet but final way, the course of human events was forever altered when, on a ridge overlooking the Emmitsburg Pike in an obscure Pennsylvania town called Gettysburg, Lincoln spoke of our duty to government of and by the people and never letting it perish from the Earth.</w:t>
      </w:r>
    </w:p>
    <w:p w:rsidR="00A31137" w:rsidRPr="00A31137" w:rsidRDefault="00A31137" w:rsidP="00A31137">
      <w:r w:rsidRPr="00A31137">
        <w:t>Public Papers of Reagan, 1988, p.90</w:t>
      </w:r>
    </w:p>
    <w:p w:rsidR="00A31137" w:rsidRPr="00A31137" w:rsidRDefault="00A31137" w:rsidP="00A31137">
      <w:r w:rsidRPr="00A31137">
        <w:t>At the start of this decade, I suggested that we live in equally momentous times, that it is up to us now to decide whether our form of government would endure and whether history still had a place of greatness for a quiet, pleasant, greening land called America. Not everything has been made perfect in 7 years, nor will it be made perfect in seven times 70 years, but before us, this year and beyond, are great prospects for the cause of peace and world freedom.</w:t>
      </w:r>
    </w:p>
    <w:p w:rsidR="00A31137" w:rsidRPr="00A31137" w:rsidRDefault="00A31137" w:rsidP="00A31137">
      <w:r w:rsidRPr="00A31137">
        <w:t>Public Papers of Reagan, 1988, p.90</w:t>
      </w:r>
    </w:p>
    <w:p w:rsidR="00A31137" w:rsidRPr="00A31137" w:rsidRDefault="00A31137" w:rsidP="00A31137">
      <w:r w:rsidRPr="00A31137">
        <w:t>It means, too, that the young Americans I spoke of 7 years ago, as well as those who might be coming along the Virginia or Maryland shores this night and seeing for the first time the lights of this Capital City—the lights that cast their glow on our great halls of government and the monuments to the memory of our great men—it means those young Americans will find a city of hope in a land that is free.</w:t>
      </w:r>
    </w:p>
    <w:p w:rsidR="00A31137" w:rsidRPr="00A31137" w:rsidRDefault="00A31137" w:rsidP="00A31137">
      <w:r w:rsidRPr="00A31137">
        <w:t>Public Papers of Reagan, 1988, p.90</w:t>
      </w:r>
    </w:p>
    <w:p w:rsidR="00A31137" w:rsidRPr="00A31137" w:rsidRDefault="00A31137" w:rsidP="00A31137">
      <w:r w:rsidRPr="00A31137">
        <w:t>We can be proud that for them and for us, as those lights along the Potomac are still seen this night signaling as they have for nearly two centuries and as we pray God they always will, that another generation of Americans has protected and passed on lovingly this place called America, this shining city on a hill, this government of, by, and for the people.</w:t>
      </w:r>
    </w:p>
    <w:p w:rsidR="00A31137" w:rsidRPr="00A31137" w:rsidRDefault="00A31137" w:rsidP="00A31137">
      <w:r w:rsidRPr="00A31137">
        <w:t>Public Papers of Reagan, 1988, p.90</w:t>
      </w:r>
    </w:p>
    <w:p w:rsidR="00A31137" w:rsidRPr="00A31137" w:rsidRDefault="00A31137" w:rsidP="00A31137">
      <w:r w:rsidRPr="00A31137">
        <w:t>Thank you, and God bless you.</w:t>
      </w:r>
    </w:p>
    <w:p w:rsidR="00A31137" w:rsidRPr="00A31137" w:rsidRDefault="00A31137" w:rsidP="00A31137">
      <w:r w:rsidRPr="00A31137">
        <w:t>Public Papers of Reagan, 1988, p.90</w:t>
      </w:r>
    </w:p>
    <w:p w:rsidR="00A31137" w:rsidRPr="00A31137" w:rsidRDefault="00A31137" w:rsidP="00A31137">
      <w:r w:rsidRPr="00A31137">
        <w:t>NOTE: The President spoke at 9:07 p.m. in the House Chamber of the Capitol. He was introduced by Jim Wright, Speaker of the House of Representatives. The address was broadcast live on nationwide radio and television.</w:t>
      </w:r>
    </w:p>
    <w:p w:rsidR="00A31137" w:rsidRPr="00A31137" w:rsidRDefault="00A31137" w:rsidP="00A31137">
      <w:r w:rsidRPr="00A31137">
        <w:t>President Reagan's Remarks With the Students and Faculty at Moscow State University, 1988</w:t>
      </w:r>
    </w:p>
    <w:p w:rsidR="00A31137" w:rsidRPr="00A31137" w:rsidRDefault="00A31137" w:rsidP="00A31137">
      <w:r w:rsidRPr="00A31137">
        <w:t>Title:</w:t>
      </w:r>
      <w:r w:rsidRPr="00A31137">
        <w:tab/>
        <w:t>President Reagan's Remarks With the Students and Faculty at Moscow State University</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May 31, 1988</w:t>
      </w:r>
    </w:p>
    <w:p w:rsidR="00A31137" w:rsidRPr="00A31137" w:rsidRDefault="00A31137" w:rsidP="00A31137">
      <w:r w:rsidRPr="00A31137">
        <w:t>Source:</w:t>
      </w:r>
      <w:r w:rsidRPr="00A31137">
        <w:tab/>
        <w:t>Public Papers of the Presidents, Reagan, 1988, pp.683-692</w:t>
      </w:r>
    </w:p>
    <w:p w:rsidR="00A31137" w:rsidRPr="00A31137" w:rsidRDefault="00A31137" w:rsidP="00A31137">
      <w:r w:rsidRPr="00A31137">
        <w:t>Public Papers of Reagan, 1988, p.683</w:t>
      </w:r>
    </w:p>
    <w:p w:rsidR="00A31137" w:rsidRPr="00A31137" w:rsidRDefault="00A31137" w:rsidP="00A31137">
      <w:r w:rsidRPr="00A31137">
        <w:t>The President. Thank you, Rector Logunov, and I want to thank all of you very much for a very warm welcome. It's a great pleasure to be here at Moscow State University, and I want to thank you all for turning out. I know you must be very busy this week, studying and taking your final examinations. So, let me just say zhelayu yam uspekha [I wish you success]. Nancy couldn't make it today because she's visiting Leningrad, which she tells me is a very beautiful city, but she, too, says hello and wishes you all good luck.</w:t>
      </w:r>
    </w:p>
    <w:p w:rsidR="00A31137" w:rsidRPr="00A31137" w:rsidRDefault="00A31137" w:rsidP="00A31137">
      <w:r w:rsidRPr="00A31137">
        <w:t>Public Papers of Reagan, 1988, p.683</w:t>
      </w:r>
    </w:p>
    <w:p w:rsidR="00A31137" w:rsidRPr="00A31137" w:rsidRDefault="00A31137" w:rsidP="00A31137">
      <w:r w:rsidRPr="00A31137">
        <w:t>Let me say it's also a great pleasure to once again have this opportunity to speak directly to the people of the Soviet Union. Before I left Washington, I received many heartfelt letters and telegrams asking me to carry here a simple message, perhaps, but also some of the most important business of this summit: It is a message of peace and good will and hope for a growing friendship and closeness between our two peoples.</w:t>
      </w:r>
    </w:p>
    <w:p w:rsidR="00A31137" w:rsidRPr="00A31137" w:rsidRDefault="00A31137" w:rsidP="00A31137">
      <w:r w:rsidRPr="00A31137">
        <w:t>Public Papers of Reagan, 1988, p.683</w:t>
      </w:r>
    </w:p>
    <w:p w:rsidR="00A31137" w:rsidRPr="00A31137" w:rsidRDefault="00A31137" w:rsidP="00A31137">
      <w:r w:rsidRPr="00A31137">
        <w:t>As you know, I've come to Moscow to meet with one of your most distinguished graduates. In this, our fourth summit, General Secretary Gorbachev and I have spent many hours together, and I feel that we're getting to know each other well. Our discussions, of course, have been focused primarily on many of the important issues of the day, issues I want to touch on with you in a few moments. But first I want to take a little time to talk to you much as I would to any group of university students in the United States. I want to talk not just of the realities of today but of the possibilities of tomorrow.</w:t>
      </w:r>
    </w:p>
    <w:p w:rsidR="00A31137" w:rsidRPr="00A31137" w:rsidRDefault="00A31137" w:rsidP="00A31137">
      <w:r w:rsidRPr="00A31137">
        <w:t>Public Papers of Reagan, 1988, p.683</w:t>
      </w:r>
    </w:p>
    <w:p w:rsidR="00A31137" w:rsidRPr="00A31137" w:rsidRDefault="00A31137" w:rsidP="00A31137">
      <w:r w:rsidRPr="00A31137">
        <w:t>Standing here before a mural of your revolution, I want to talk about a very different revolution that is taking place right now, quietly sweeping the globe without bloodshed or conflict. Its effects are peaceful, but they will fundamentally alter our world, shatter old assumptions, and reshape our lives. It's easy to underestimate because it's not accompanied by banners or fanfare. It's been called the technological or information revolution, and as its emblem, one might take the tiny silicon chip, no bigger than a fingerprint. One of these chips has more computing power than a roomful of old-style computers.</w:t>
      </w:r>
    </w:p>
    <w:p w:rsidR="00A31137" w:rsidRPr="00A31137" w:rsidRDefault="00A31137" w:rsidP="00A31137">
      <w:r w:rsidRPr="00A31137">
        <w:t>Public Papers of Reagan, 1988, p.683</w:t>
      </w:r>
    </w:p>
    <w:p w:rsidR="00A31137" w:rsidRPr="00A31137" w:rsidRDefault="00A31137" w:rsidP="00A31137">
      <w:r w:rsidRPr="00A31137">
        <w:t>As part of an exchange program, we now have an exhibition touring your country that shows how information technology is transforming our lives—replacing manual labor with robots, forecasting weather for farmers, or mapping the genetic code of DNA for medical researchers. These microcomputers today aid the design of everything from houses to ears to spacecraft; they even design better and faster computers. They can translate English into Russian or enable the blind to read or help Michael Jackson produce on one synthesizer the sounds of a whole orchestra. Linked by a network of satellites and fiber-optic cables, one individual with a desktop computer and a telephone commands resources unavailable to the largest governments just a few years ago.</w:t>
      </w:r>
    </w:p>
    <w:p w:rsidR="00A31137" w:rsidRPr="00A31137" w:rsidRDefault="00A31137" w:rsidP="00A31137">
      <w:r w:rsidRPr="00A31137">
        <w:t>Public Papers of Reagan, 1988, p.683–p.684</w:t>
      </w:r>
    </w:p>
    <w:p w:rsidR="00A31137" w:rsidRPr="00A31137" w:rsidRDefault="00A31137" w:rsidP="00A31137">
      <w:r w:rsidRPr="00A31137">
        <w:t>Like a chrysalis, we're emerging from the economy of the Industrial Revolution—an economy confined to and limited by the Earth's physical resources—into, as one economist titled his book, "The Economy in Mind," in which there are no bounds on human imagination and the freedom to create is the most precious natural resource. Think of that little computer chip. Its value isn't in the sand from which it is made but in the microscopic architecture designed into it by ingenious human minds. Or take the example of the satellite relaying this broadcast around the world, which replaces thousands of tons of copper mined from the Earth and molded into wire. In the new economy, human invention increasingly makes physical resources obsolete. We're breaking through the material conditions of existence to a world where man creates his own destiny. Even as we explore the most advanced reaches of science, we're returning to the age-old wisdom of our culture, a wisdom contained in the book of Genesis in [p.684] the Bible: In the beginning was the spirit, and it was from this spirit that the material abundance of creation issued forth.</w:t>
      </w:r>
    </w:p>
    <w:p w:rsidR="00A31137" w:rsidRPr="00A31137" w:rsidRDefault="00A31137" w:rsidP="00A31137">
      <w:r w:rsidRPr="00A31137">
        <w:t>Public Papers of Reagan, 1988, p.684</w:t>
      </w:r>
    </w:p>
    <w:p w:rsidR="00A31137" w:rsidRPr="00A31137" w:rsidRDefault="00A31137" w:rsidP="00A31137">
      <w:r w:rsidRPr="00A31137">
        <w:t>But progress is not foreordained. The key is freedom—freedom of thought, freedom of information, freedom of communication. The renowned scientist, scholar, and founding father of this university, Mikhail Lomonosov, knew that. "It is common knowledge," he said, "that the achievements of science are considerable and rapid, particularly once the yoke of slavery is cast off and replaced by the freedom of philosophy." You know, one of the first contacts between your country and mine took place between Russian and American explorers. The Americans were members of Cook's last voyage on an expedition searching for an Arctic passage; on the island of Unalaska, they came upon the Russians, who took them in, and together with the native inhabitants, held a prayer service on the ice.</w:t>
      </w:r>
    </w:p>
    <w:p w:rsidR="00A31137" w:rsidRPr="00A31137" w:rsidRDefault="00A31137" w:rsidP="00A31137">
      <w:r w:rsidRPr="00A31137">
        <w:t>Public Papers of Reagan, 1988, p.684</w:t>
      </w:r>
    </w:p>
    <w:p w:rsidR="00A31137" w:rsidRPr="00A31137" w:rsidRDefault="00A31137" w:rsidP="00A31137">
      <w:r w:rsidRPr="00A31137">
        <w:t>The explorers of the modern era are the entrepreneurs, men with vision, with the courage to take risks and faith enough to brave the unknown. These entrepreneurs and their small enterprises are responsible for almost all the economic growth in the United States. They are the prime movers of the technological revolution. In fact, one of the largest personal computer firms in the United States was started by two college students, no older than you, in the garage behind their home. Some people, even in my own country, look at the riot of experiment that is the free market and see only waste. What of all the entrepreneurs that fail? Well, many do, particularly the successful ones; often several times. And if you ask them the secret of their success, they'll tell you it's all that they learned in their struggles along the way; yes, it's what they learned from failing. Like an athlete in competition or a scholar in pursuit of the truth, experience is the greatest teacher.</w:t>
      </w:r>
    </w:p>
    <w:p w:rsidR="00A31137" w:rsidRPr="00A31137" w:rsidRDefault="00A31137" w:rsidP="00A31137">
      <w:r w:rsidRPr="00A31137">
        <w:t>Public Papers of Reagan, 1988, p.684</w:t>
      </w:r>
    </w:p>
    <w:p w:rsidR="00A31137" w:rsidRPr="00A31137" w:rsidRDefault="00A31137" w:rsidP="00A31137">
      <w:r w:rsidRPr="00A31137">
        <w:t>And that's why it's so hard for government planners, no matter how sophisticated, to ever substitute for millions of individuals working night and day to make their dreams come true. The fact is, bureaucracies are a problem around the world. There's an old story about a town—it could be anywhere—with a bureaucrat who is known to be a good-for-nothing, but he somehow had always hung on to power. So one day, in a town meeting, an old woman got up and said to him: "There is a folk legend here where I come from that when a baby is born, an angel comes down from heaven and kisses it on one part of its body. If the angel kisses him on his hand, he becomes a handyman. If he kisses him on his forehead, he becomes bright and clever. And I've been trying to figure out where the angel kissed you so that you should sit there for so long and do nothing." [Laughter]</w:t>
      </w:r>
    </w:p>
    <w:p w:rsidR="00A31137" w:rsidRPr="00A31137" w:rsidRDefault="00A31137" w:rsidP="00A31137">
      <w:r w:rsidRPr="00A31137">
        <w:t>Public Papers of Reagan, 1988, p.684</w:t>
      </w:r>
    </w:p>
    <w:p w:rsidR="00A31137" w:rsidRPr="00A31137" w:rsidRDefault="00A31137" w:rsidP="00A31137">
      <w:r w:rsidRPr="00A31137">
        <w:t>We are seeing the power of economic freedom spreading around the world. Places such as the Republic of Korea, Singapore, Taiwan have vaulted into the technological era, barely pausing in the industrial age along the way. Low-tax agricultural policies in the subcontinent mean that in some years India is now a net exporter of food. Perhaps most exciting are the winds of change that are blowing over the People's Republic of China, where one-quarter of the world's population is now getting its first taste of economic freedom. At the same time, the growth of democracy has become one of the most powerful political movements of our age. In Latin America in the 1970's, only a third of the population lived under democratic government; today over 90 percent does. In the Philippines, in the Republic of Korea, free, contested, democratic elections are the order of the day. Throughout the world, free markets are the model for growth. Democracy is the standard by which governments are measured.</w:t>
      </w:r>
    </w:p>
    <w:p w:rsidR="00A31137" w:rsidRPr="00A31137" w:rsidRDefault="00A31137" w:rsidP="00A31137">
      <w:r w:rsidRPr="00A31137">
        <w:t>Public Papers of Reagan, 1988, p.684–p.685</w:t>
      </w:r>
    </w:p>
    <w:p w:rsidR="00A31137" w:rsidRPr="00A31137" w:rsidRDefault="00A31137" w:rsidP="00A31137">
      <w:r w:rsidRPr="00A31137">
        <w:t>We Americans make no secret of our belief in freedom. In fact, it's something of a national pastime. Every 4 years the American people choose a new President, and 1988 is one of those years. At one point there were 13 major candidates running in the two major parties, not to mention all the others, including the Socialist and Libertarian candidates—all trying to get my job. About 1,000 local television stations, 8,500 radio stations, and 1,700 daily newspapers—each one an independent, private enterprise, fiercely independent of the Government-report on the candidates, grill them in interviews, and bring them together [p.685] for debates. In the end, the people vote; they decide who will be the next President. But freedom doesn't begin or end with elections.</w:t>
      </w:r>
      <w:r w:rsidRPr="00A31137">
        <w:cr/>
      </w:r>
    </w:p>
    <w:p w:rsidR="00A31137" w:rsidRPr="00A31137" w:rsidRDefault="00A31137" w:rsidP="00A31137">
      <w:r w:rsidRPr="00A31137">
        <w:t>Public Papers of Reagan, 1988, p.685</w:t>
      </w:r>
    </w:p>
    <w:p w:rsidR="00A31137" w:rsidRPr="00A31137" w:rsidRDefault="00A31137" w:rsidP="00A31137">
      <w:r w:rsidRPr="00A31137">
        <w:t>Go to any American town, to take just an example, and you'll see dozens of churches, representing many different beliefs—in many places, synagogues and mosques—and you'll see families of every conceivable nationality worshiping together. Go into any schoolroom, and there you will see children being taught the Declaration of Independence, that they are endowed by their Creator with certain unalienable rights—among them life, liberty, and the pursuit of happiness-that no government can justly deny; the guarantees in their Constitution for freedom of speech, freedom of assembly, and freedom of religion. Go into any courtroom, and there will preside an independent judge, beholden to no government power. There every defendant has the right to a trial by a jury of his peers, usually 12 men and women—common citizens; they are the ones, the only ones, who weigh the evidence and decide on guilt or innocence. In that court, the accused is innocent until proven guilty, and the word of a policeman or any official has no greater legal standing than the word of the accused. Go to any university campus, and there you'll find an open, sometimes heated discussion of the problems in American society and what can be done to correct them. Turn on the television, and you'll see the legislature conducting the business of government right there before the camera, debating and voting on the legislation that will become the law of the land. March in any demonstration, and there are many of them; the people's right of assembly is guaranteed in the Constitution and protected by the police. Go into any union hall, where the members know their right to strike is protected by law. As a matter of fact, one of the many jobs I had before this one was being president of a union, the Screen Actors Guild. I led my union out on strike, and I'm proud to say we won.</w:t>
      </w:r>
    </w:p>
    <w:p w:rsidR="00A31137" w:rsidRPr="00A31137" w:rsidRDefault="00A31137" w:rsidP="00A31137">
      <w:r w:rsidRPr="00A31137">
        <w:t>Public Papers of Reagan, 1988, p.685</w:t>
      </w:r>
    </w:p>
    <w:p w:rsidR="00A31137" w:rsidRPr="00A31137" w:rsidRDefault="00A31137" w:rsidP="00A31137">
      <w:r w:rsidRPr="00A31137">
        <w:t>But freedom is more even than this. Freedom is the right to question and change the established way of doing things. It is the continuing revolution of the marketplace. It is the understanding that allows us to recognize shortcomings and seek solutions. It is the right to put forth an idea, scoffed at by the experts, and watch it catch fire among the people. It is the right to dream—to follow your dream or stick to your conscience, even if you're the only one in a sea of doubters. Freedom is the recognition that no single person, no single authority or government has a monopoly on the truth, but that every individual life is infinitely precious, that every one of us put on this world has been put there for a reason and has something to offer.</w:t>
      </w:r>
    </w:p>
    <w:p w:rsidR="00A31137" w:rsidRPr="00A31137" w:rsidRDefault="00A31137" w:rsidP="00A31137">
      <w:r w:rsidRPr="00A31137">
        <w:t>Public Papers of Reagan, 1988, p.685</w:t>
      </w:r>
    </w:p>
    <w:p w:rsidR="00A31137" w:rsidRPr="00A31137" w:rsidRDefault="00A31137" w:rsidP="00A31137">
      <w:r w:rsidRPr="00A31137">
        <w:t>America is a nation made up of hundreds of nationalities. Our ties to you are more than ones of good feeling; they're ties of kinship. In America, you'll find Russians, Armenians, Ukrainians, peoples from Eastern Europe and Central Asia. They come from every part of this vast continent, from every continent, to live in harmony, seeking a place where each cultural heritage is respected, each is valued for its diverse strengths and beauties and the richness it brings to our lives. Recently, a few individuals and families have been allowed to visit relatives in the West. We can only hope that it won't be long before all are allowed to do so and Ukrainian-Americans, Baltic-Americans, Armenian-Americans can freely visit their homelands, just as this Irish-American visits his.</w:t>
      </w:r>
    </w:p>
    <w:p w:rsidR="00A31137" w:rsidRPr="00A31137" w:rsidRDefault="00A31137" w:rsidP="00A31137">
      <w:r w:rsidRPr="00A31137">
        <w:t>Public Papers of Reagan, 1988, p.685</w:t>
      </w:r>
    </w:p>
    <w:p w:rsidR="00A31137" w:rsidRPr="00A31137" w:rsidRDefault="00A31137" w:rsidP="00A31137">
      <w:r w:rsidRPr="00A31137">
        <w:t>Freedom, it has been said, makes people selfish and materialistic, but Americans are one of the most religious peoples on Earth. Because they know that liberty, just as life itself, is not earned but a gift from God, they seek to share that gift with the world. "Reason and experience," said George Washington in his Farewell Address, "both forbid us to expect that national morality can prevail in exclusion of religious principle. And it is substantially true, that virtue or morality is a necessary spring of popular government." Democracy is less a system of government than it is a system to keep government limited, unintrusive; a system of constraints on power to keep politics and government secondary to the important things in life, the true sources of value found only in family and faith.</w:t>
      </w:r>
    </w:p>
    <w:p w:rsidR="00A31137" w:rsidRPr="00A31137" w:rsidRDefault="00A31137" w:rsidP="00A31137">
      <w:r w:rsidRPr="00A31137">
        <w:t>Public Papers of Reagan, 1988, p.685–p.686</w:t>
      </w:r>
    </w:p>
    <w:p w:rsidR="00A31137" w:rsidRPr="00A31137" w:rsidRDefault="00A31137" w:rsidP="00A31137">
      <w:r w:rsidRPr="00A31137">
        <w:t>But I hope you know I go on about these things not simply to extol the virtues of my [p.686] own country but to speak to the true greatness of the heart and soul of your land. Who, after all, needs to tell the land of Dostoyevski about the quest for truth, the home of Kandinski and Scriabin about imagination, the rich and noble culture of the Uzbek man of letters Alisher Navoi about beauty and heart? The great culture of your diverse land speaks with a glowing passion to all humanity. Let me cite one of the most eloquent contemporary passages on human freedom. It comes, not from the literature of America, but from this country, from one of the greatest writers of the 20th century, Boris Pasternak, in the novel "Dr. Zhivago." He writes: "I think that if the beast who sleeps in man could be held down by threats—any kind of threat, whether of jail or of retribution after death—then the highest emblem of humanity would be the lion tamer in the circus with his whip, not the prophet who sacrificed himself. But this is just the point-what has for centuries raised man above the beast is not the cudgel, but an inward music—the irresistible power of unarmed truth."</w:t>
      </w:r>
    </w:p>
    <w:p w:rsidR="00A31137" w:rsidRPr="00A31137" w:rsidRDefault="00A31137" w:rsidP="00A31137">
      <w:r w:rsidRPr="00A31137">
        <w:t>Public Papers of Reagan, 1988, p.686</w:t>
      </w:r>
    </w:p>
    <w:p w:rsidR="00A31137" w:rsidRPr="00A31137" w:rsidRDefault="00A31137" w:rsidP="00A31137">
      <w:r w:rsidRPr="00A31137">
        <w:t>The irresistible power of unarmed truth. Today the world looks expectantly to signs of change, steps toward greater freedom in the Soviet Union. We watch and we hope as we see positive changes taking place. There are some, I know, in your society who fear that change will bring only disruption and discontinuity, who fear to embrace the hope of the future—sometimes it takes faith. It's like that scene in the cowboy movie "Butch Cassidy and the Sundance Kid," which some here in Moscow recently had a chance to see. The posse is closing in on the two outlaws, Butch and Sundance, who find themselves trapped on the edge of a cliff, with a sheer drop of hundreds of feet to the raging rapids below. Butch turns to Sundance and says their only hope is to jump into the river below, but Sundance refuses. He says he'd rather fight it out with the posse, even though they're hopelessly outnumbered. Butch says that's suicide and urges him to jump, but Sundance still refuses and finally admits, "I can't swim." Butch breaks up laughing and says, "You crazy fool, the fall will probably kill you." And, by the way, both Butch and Sundance made it, in case you didn't see the movie. I think what I've just been talking about is perestroika and what its goals are.</w:t>
      </w:r>
    </w:p>
    <w:p w:rsidR="00A31137" w:rsidRPr="00A31137" w:rsidRDefault="00A31137" w:rsidP="00A31137">
      <w:r w:rsidRPr="00A31137">
        <w:t>Public Papers of Reagan, 1988, p.686</w:t>
      </w:r>
    </w:p>
    <w:p w:rsidR="00A31137" w:rsidRPr="00A31137" w:rsidRDefault="00A31137" w:rsidP="00A31137">
      <w:r w:rsidRPr="00A31137">
        <w:t>But change would not mean rejection of the past. Like a tree growing strong through the seasons, rooted in the Earth and drawing life from the Sun, so, too, positive change must be rooted in traditional values—in the land, in culture, in family and community—and it must take its life from the eternal things, from the source of all life, which is faith. Such change will lead to new understandings, new opportunities, to a broader future in which the tradition is not supplanted but finds its full flowering. That is the future beckoning to your generation.</w:t>
      </w:r>
    </w:p>
    <w:p w:rsidR="00A31137" w:rsidRPr="00A31137" w:rsidRDefault="00A31137" w:rsidP="00A31137">
      <w:r w:rsidRPr="00A31137">
        <w:t>Public Papers of Reagan, 1988, p.686</w:t>
      </w:r>
    </w:p>
    <w:p w:rsidR="00A31137" w:rsidRPr="00A31137" w:rsidRDefault="00A31137" w:rsidP="00A31137">
      <w:r w:rsidRPr="00A31137">
        <w:t>At the same time, we should remember that reform that is not institutionalized will always be insecure. Such freedom will always be looking over its shoulder. A bird on a tether, no matter how long the rope, can always be pulled back. And that is why, in my conversation with General Secretary Gorbachev, I have spoken of how important it is to institutionalize change—to put guarantees on reform. And we've been talking together about one sad reminder of a divided world: the Berlin Wall. It's time to remove the barriers that keep people apart.</w:t>
      </w:r>
    </w:p>
    <w:p w:rsidR="00A31137" w:rsidRPr="00A31137" w:rsidRDefault="00A31137" w:rsidP="00A31137">
      <w:r w:rsidRPr="00A31137">
        <w:t>Public Papers of Reagan, 1988, p.686</w:t>
      </w:r>
    </w:p>
    <w:p w:rsidR="00A31137" w:rsidRPr="00A31137" w:rsidRDefault="00A31137" w:rsidP="00A31137">
      <w:r w:rsidRPr="00A31137">
        <w:t>I'm proposing an increased exchange program of high school students between our countries. General Secretary Gorbachev mentioned on Sunday a wonderful phrase you have in Russian for this: "Better to see something once than to hear about it a hundred times." Mr. Gorbachev and I first began working on this in 1985. In our discussion today, we agreed on working up to several thousand exchanges a year from each country in the near future. But not everyone can travel across the continents and oceans. Words travel lighter, and that's why we'd like to make available to this country more of our 11,000 magazines and periodicals and our television and radio shows that can be beamed off a satellite in seconds. Nothing would please us more than for the Soviet people to get to know us better and to understand our way of life.</w:t>
      </w:r>
    </w:p>
    <w:p w:rsidR="00A31137" w:rsidRPr="00A31137" w:rsidRDefault="00A31137" w:rsidP="00A31137">
      <w:r w:rsidRPr="00A31137">
        <w:t>Public Papers of Reagan, 1988, p.686–p.687</w:t>
      </w:r>
    </w:p>
    <w:p w:rsidR="00A31137" w:rsidRPr="00A31137" w:rsidRDefault="00A31137" w:rsidP="00A31137">
      <w:r w:rsidRPr="00A31137">
        <w:t>Just a few years ago, few would have imagined the progress our two nations have made together. The INF treaty, which General [p.687] Secretary Gorbachev and I signed last December in Washington and whose instruments of ratification we will exchange tomorrow—the first true nuclear arms reduction treaty in history, calling for the elimination of an entire class of U.S. and Soviet nuclear missiles. And just 16 days ago, we saw the beginning of your withdrawal from Afghanistan, which gives us hope that soon the fighting may end and the healing may begin and that that suffering country may find self-determination, unity, and peace at long last.</w:t>
      </w:r>
    </w:p>
    <w:p w:rsidR="00A31137" w:rsidRPr="00A31137" w:rsidRDefault="00A31137" w:rsidP="00A31137">
      <w:r w:rsidRPr="00A31137">
        <w:t>Public Papers of Reagan, 1988, p.687</w:t>
      </w:r>
    </w:p>
    <w:p w:rsidR="00A31137" w:rsidRPr="00A31137" w:rsidRDefault="00A31137" w:rsidP="00A31137">
      <w:r w:rsidRPr="00A31137">
        <w:t>It's my fervent hope that our constructive cooperation on these issues will be carried on to address the continuing destruction and conflicts in many regions of the globe and that the serious discussions that led to the Geneva accords on Afghanistan will help lead to solutions in southern Africa, Ethiopia, Cambodia, the Persian Gulf, and Central America. I have often said: Nations do not distrust each other because they are armed; they are armed because they distrust each other. If this globe is to live in peace and prosper, if it is to embrace all the possibilities of the technological revolution, then nations must renounce, once and for all, the right to an expansionist foreign policy. Peace between nations must be an enduring goal, not a tactical stage in a continuing conflict.</w:t>
      </w:r>
    </w:p>
    <w:p w:rsidR="00A31137" w:rsidRPr="00A31137" w:rsidRDefault="00A31137" w:rsidP="00A31137">
      <w:r w:rsidRPr="00A31137">
        <w:t>Public Papers of Reagan, 1988, p.687</w:t>
      </w:r>
    </w:p>
    <w:p w:rsidR="00A31137" w:rsidRPr="00A31137" w:rsidRDefault="00A31137" w:rsidP="00A31137">
      <w:r w:rsidRPr="00A31137">
        <w:t>I've been told that there's a popular song in your country—perhaps you know it-whose evocative refrain asks the question, "Do the Russians want a war?" In answer it says: "Go ask that silence lingering in the air, above the birch and poplar there; beneath those trees the soldiers lie. Go ask my mother, ask my wife; then you will have to ask no more, 'Do the Russians want a war?'" But what of your one-time allies? What of those who embraced you on the Elbe? What if we were to ask the watery graves of the Pacific or the European battlefields where America's fallen were buried far from home? What if we were to ask their mothers, sisters, and sons, do Americans want war? Ask us, too, and you'll find the same answer, the same longing in every heart. People do not make wars; governments do. And no mother would ever willingly sacrifice her sons for territorial gain, for economic advantage, for ideology. A people free to choose will always choose peace.</w:t>
      </w:r>
    </w:p>
    <w:p w:rsidR="00A31137" w:rsidRPr="00A31137" w:rsidRDefault="00A31137" w:rsidP="00A31137">
      <w:r w:rsidRPr="00A31137">
        <w:t>Public Papers of Reagan, 1988, p.687</w:t>
      </w:r>
    </w:p>
    <w:p w:rsidR="00A31137" w:rsidRPr="00A31137" w:rsidRDefault="00A31137" w:rsidP="00A31137">
      <w:r w:rsidRPr="00A31137">
        <w:t>Americans seek always to make friends of old antagonists. After a colonial revolution with Britain, we have cemented for all ages the ties of kinship between our nations. After a terrible Civil War between North and South, we healed our wounds and found true unity as a nation. We fought two world wars in my lifetime against Germany and one with Japan, but now the Federal Republic of Germany and Japan are two of our closest allies and friends.</w:t>
      </w:r>
    </w:p>
    <w:p w:rsidR="00A31137" w:rsidRPr="00A31137" w:rsidRDefault="00A31137" w:rsidP="00A31137">
      <w:r w:rsidRPr="00A31137">
        <w:t>Public Papers of Reagan, 1988, p.687</w:t>
      </w:r>
    </w:p>
    <w:p w:rsidR="00A31137" w:rsidRPr="00A31137" w:rsidRDefault="00A31137" w:rsidP="00A31137">
      <w:r w:rsidRPr="00A31137">
        <w:t>Some people point to the trade disputes between us as a sign of strain, but they're the frictions of all families, and the family of free nations is a big and vital and sometimes boisterous one. I can tell you that nothing would please my heart more than in my lifetime to see American and Soviet diplomats grappling with the problem of trade disputes between America and a growing, exuberant, exporting Soviet Union that had opened up to economic freedom and growth.</w:t>
      </w:r>
    </w:p>
    <w:p w:rsidR="00A31137" w:rsidRPr="00A31137" w:rsidRDefault="00A31137" w:rsidP="00A31137">
      <w:r w:rsidRPr="00A31137">
        <w:t>Public Papers of Reagan, 1988, p.687</w:t>
      </w:r>
    </w:p>
    <w:p w:rsidR="00A31137" w:rsidRPr="00A31137" w:rsidRDefault="00A31137" w:rsidP="00A31137">
      <w:r w:rsidRPr="00A31137">
        <w:t>And as important as these official people-to-people exchanges are, nothing would please me more than for them to become unnecessary, to see travel between East and West become so routine that university students in the Soviet Union could take a month off in the summer and, just like students in the West do now, put packs on their backs and travel from country to country in Europe with barely a passport cheek in between. Nothing would please me more than to see the day that a concert promoter in, say, England could call up a Soviet rock group, without going through any government agency, and have them playing in Liverpool the next night. Is this just a dream? Perhaps, but it is a dream that is our responsibility to have come true.</w:t>
      </w:r>
    </w:p>
    <w:p w:rsidR="00A31137" w:rsidRPr="00A31137" w:rsidRDefault="00A31137" w:rsidP="00A31137">
      <w:r w:rsidRPr="00A31137">
        <w:t>Public Papers of Reagan, 1988, p.687–p.688</w:t>
      </w:r>
    </w:p>
    <w:p w:rsidR="00A31137" w:rsidRPr="00A31137" w:rsidRDefault="00A31137" w:rsidP="00A31137">
      <w:r w:rsidRPr="00A31137">
        <w:t>Your generation is living in one of the most exciting, hopeful times in Soviet history. It is a time when the first breath of freedom stirs the air and the heart beats to the accelerated rhythm of hope, when the accumulated spiritual energies of a long silence yearn to break free. I am reminded of the famous passage near the end of Gogol's "Dead Souls." Comparing his nation to a speeding troika, Gogol asks what will be its [p.688] destination. But he writes, "There was no answer save the bell pouring forth marvelous sound."</w:t>
      </w:r>
    </w:p>
    <w:p w:rsidR="00A31137" w:rsidRPr="00A31137" w:rsidRDefault="00A31137" w:rsidP="00A31137">
      <w:r w:rsidRPr="00A31137">
        <w:t>Public Papers of Reagan, 1988, p.688</w:t>
      </w:r>
    </w:p>
    <w:p w:rsidR="00A31137" w:rsidRPr="00A31137" w:rsidRDefault="00A31137" w:rsidP="00A31137">
      <w:r w:rsidRPr="00A31137">
        <w:t>We do not know what the conclusion will be of this journey, but we're hopeful that the promise of reform will be fulfilled. In this Moscow spring, this May 1988, we may be allowed that hope: that freedom, like the fresh green sapling planted over Tolstoy's grave, will blossom forth at last in the rich fertile soil of your people and culture. We may be allowed to hope that the marvelous sound of a new openness will keep rising through, ringing through, leading to a new world of reconciliation, friendship, and peace.</w:t>
      </w:r>
    </w:p>
    <w:p w:rsidR="00A31137" w:rsidRPr="00A31137" w:rsidRDefault="00A31137" w:rsidP="00A31137">
      <w:r w:rsidRPr="00A31137">
        <w:t>Public Papers of Reagan, 1988, p.688</w:t>
      </w:r>
    </w:p>
    <w:p w:rsidR="00A31137" w:rsidRPr="00A31137" w:rsidRDefault="00A31137" w:rsidP="00A31137">
      <w:r w:rsidRPr="00A31137">
        <w:t>Thank you all very much, and da blagoslovit vas gospod—God bless you.</w:t>
      </w:r>
    </w:p>
    <w:p w:rsidR="00A31137" w:rsidRPr="00A31137" w:rsidRDefault="00A31137" w:rsidP="00A31137">
      <w:r w:rsidRPr="00A31137">
        <w:t>Public Papers of Reagan, 1988, p.688</w:t>
      </w:r>
    </w:p>
    <w:p w:rsidR="00A31137" w:rsidRPr="00A31137" w:rsidRDefault="00A31137" w:rsidP="00A31137">
      <w:r w:rsidRPr="00A31137">
        <w:t>Mr. Logunov. Dear friends, Mr. President has kindly agreed to answer your questions. But since he doesn't have too much time, only 15 minutes—so, those who have questions, please ask them.</w:t>
      </w:r>
    </w:p>
    <w:p w:rsidR="00A31137" w:rsidRPr="00A31137" w:rsidRDefault="00A31137" w:rsidP="00A31137">
      <w:r w:rsidRPr="00A31137">
        <w:t>Strategic Arms Reductions</w:t>
      </w:r>
    </w:p>
    <w:p w:rsidR="00A31137" w:rsidRPr="00A31137" w:rsidRDefault="00A31137" w:rsidP="00A31137">
      <w:r w:rsidRPr="00A31137">
        <w:t>Public Papers of Reagan, 1988, p.688</w:t>
      </w:r>
    </w:p>
    <w:p w:rsidR="00A31137" w:rsidRPr="00A31137" w:rsidRDefault="00A31137" w:rsidP="00A31137">
      <w:r w:rsidRPr="00A31137">
        <w:t>Q. And this is a student from the history faculty, and he says that he's happy to welcome you on behalf of the students of the university. And the first question is that the improvement in the relations between the two countries has come about during your tenure as President, and in this regard he would like to ask the following question. It is very important to get a handle on the question of arms control and, specifically, the limitation of strategic arms. Do you think that it will be possible for you and the General Secretary to get a treaty on the limitation of strategic arms during the time that you are still President?</w:t>
      </w:r>
    </w:p>
    <w:p w:rsidR="00A31137" w:rsidRPr="00A31137" w:rsidRDefault="00A31137" w:rsidP="00A31137">
      <w:r w:rsidRPr="00A31137">
        <w:t>Public Papers of Reagan, 1988, p.688</w:t>
      </w:r>
    </w:p>
    <w:p w:rsidR="00A31137" w:rsidRPr="00A31137" w:rsidRDefault="00A31137" w:rsidP="00A31137">
      <w:r w:rsidRPr="00A31137">
        <w:t>The President. Well, the arms treaty that is being negotiated now is the so-called START treaty, and it is based on taking the intercontinental ballistic missiles and reducing them by half, down to parity between our two countries. Now, this is a much more complicated treaty than the INF treaty, the intermediate-range treaty, which we have signed and which our two governments have ratified and is now in effect. So, there are many things still to be settled. You and we have had negotiators in Geneva for months working on various points of this treaty. Once we had hoped that maybe, like the INF treaty, we would have been able to sign it here at this summit meeting. It is not completed; there are still some points that are being debated. We are both hopeful that it can be finished before I leave office, which is in the coming January, but I assure you that if it isn't—I assure you that I will have impressed on my successor that we must carry on until it is signed. My dream has always been that once we've started down this road, we can look forward to a day—you can look forward to a day—when there will be no more nuclear weapons in the world at all.</w:t>
      </w:r>
    </w:p>
    <w:p w:rsidR="00A31137" w:rsidRPr="00A31137" w:rsidRDefault="00A31137" w:rsidP="00A31137">
      <w:r w:rsidRPr="00A31137">
        <w:t>Young People</w:t>
      </w:r>
    </w:p>
    <w:p w:rsidR="00A31137" w:rsidRPr="00A31137" w:rsidRDefault="00A31137" w:rsidP="00A31137">
      <w:r w:rsidRPr="00A31137">
        <w:t>Public Papers of Reagan, 1988, p.688</w:t>
      </w:r>
    </w:p>
    <w:p w:rsidR="00A31137" w:rsidRPr="00A31137" w:rsidRDefault="00A31137" w:rsidP="00A31137">
      <w:r w:rsidRPr="00A31137">
        <w:t>Q. The question is: The universities influence public opinion, and the student wonders how the youths have changed since the days when you were a student up until now?</w:t>
      </w:r>
    </w:p>
    <w:p w:rsidR="00A31137" w:rsidRPr="00A31137" w:rsidRDefault="00A31137" w:rsidP="00A31137">
      <w:r w:rsidRPr="00A31137">
        <w:t>Public Papers of Reagan, 1988, p.688</w:t>
      </w:r>
    </w:p>
    <w:p w:rsidR="00A31137" w:rsidRPr="00A31137" w:rsidRDefault="00A31137" w:rsidP="00A31137">
      <w:r w:rsidRPr="00A31137">
        <w:t>The President. Well, wait a minute. How you have changed since the era of my own youth?</w:t>
      </w:r>
    </w:p>
    <w:p w:rsidR="00A31137" w:rsidRPr="00A31137" w:rsidRDefault="00A31137" w:rsidP="00A31137">
      <w:r w:rsidRPr="00A31137">
        <w:t>Public Papers of Reagan, 1988, p.688</w:t>
      </w:r>
    </w:p>
    <w:p w:rsidR="00A31137" w:rsidRPr="00A31137" w:rsidRDefault="00A31137" w:rsidP="00A31137">
      <w:r w:rsidRPr="00A31137">
        <w:t>Q. How just students have changed, the youth have changed. You were a student. [Laughter] At your time there were one type. How they have changed?</w:t>
      </w:r>
    </w:p>
    <w:p w:rsidR="00A31137" w:rsidRPr="00A31137" w:rsidRDefault="00A31137" w:rsidP="00A31137">
      <w:r w:rsidRPr="00A31137">
        <w:t>Public Papers of Reagan, 1988, p.688</w:t>
      </w:r>
    </w:p>
    <w:p w:rsidR="00A31137" w:rsidRPr="00A31137" w:rsidRDefault="00A31137" w:rsidP="00A31137">
      <w:r w:rsidRPr="00A31137">
        <w:t>The President. Well, I know there was a period in our country when there was a very great change for the worse. When I was Governor of California, I could start a riot just by going to a campus. But that has all changed, and I could be looking out at an American student body as well as I'm looking out here and would not be able to tell the difference between you.</w:t>
      </w:r>
    </w:p>
    <w:p w:rsidR="00A31137" w:rsidRPr="00A31137" w:rsidRDefault="00A31137" w:rsidP="00A31137">
      <w:r w:rsidRPr="00A31137">
        <w:t>Public Papers of Reagan, 1988, p.688–p.689</w:t>
      </w:r>
    </w:p>
    <w:p w:rsidR="00A31137" w:rsidRPr="00A31137" w:rsidRDefault="00A31137" w:rsidP="00A31137">
      <w:r w:rsidRPr="00A31137">
        <w:t>I think that back in our day—I did happen to go to school, get my college education in a unique time; it was the time of the Great Depression, when, in a country like our own, there was 25-percent unemployment and the bottom seemed to have fallen out of everything. But we had—I think what maybe I should be telling you from my point here, because I graduated in 1932, that I should tell you that when you get to be my age, you're going to be surprised how much you recall the feelings you had in these days here and that—how easy it is to understand the young people because of your own having been young once. You know an awful lot more about being [p.689] young than you do about being old. [Laughter]</w:t>
      </w:r>
    </w:p>
    <w:p w:rsidR="00A31137" w:rsidRPr="00A31137" w:rsidRDefault="00A31137" w:rsidP="00A31137">
      <w:r w:rsidRPr="00A31137">
        <w:t>Public Papers of Reagan, 1988, p.689</w:t>
      </w:r>
    </w:p>
    <w:p w:rsidR="00A31137" w:rsidRPr="00A31137" w:rsidRDefault="00A31137" w:rsidP="00A31137">
      <w:r w:rsidRPr="00A31137">
        <w:t>And I think there is a seriousness, I think there is a sense of responsibility that young people have, and I think that there is an awareness on the part of most of you about what you want your adulthood to be and what the country you live in—you want it to be. And I have a great deal of faith. I said the other day to 76 students—they were half American and half Russian. They had held a conference here and in Finland and then in the United States, and I faced them just the other day, and I had to say—I couldn't tell the difference looking at them, which were which, but I said one line to them. I said I believe that if all the young people of the world today could get to know each other, there would never be another war. And I think that of you. I think that of the other students that I've addressed in other places.</w:t>
      </w:r>
    </w:p>
    <w:p w:rsidR="00A31137" w:rsidRPr="00A31137" w:rsidRDefault="00A31137" w:rsidP="00A31137">
      <w:r w:rsidRPr="00A31137">
        <w:t>Public Papers of Reagan, 1988, p.689</w:t>
      </w:r>
    </w:p>
    <w:p w:rsidR="00A31137" w:rsidRPr="00A31137" w:rsidRDefault="00A31137" w:rsidP="00A31137">
      <w:r w:rsidRPr="00A31137">
        <w:t>And of course, I know also that you're young and, therefore, there are certain things that at times take precedence. I'll illustrate one myself. Twenty-five years after I graduated, my alma mater brought me back to the school and gave me an honorary degree. And I had to tell them they compounded a sense of guilt I had nursed for 25 years because I always felt the first degree they gave me was honorary. [Laughter] You're great! Carry on.</w:t>
      </w:r>
    </w:p>
    <w:p w:rsidR="00A31137" w:rsidRPr="00A31137" w:rsidRDefault="00A31137" w:rsidP="00A31137">
      <w:r w:rsidRPr="00A31137">
        <w:t>Regional Conflicts</w:t>
      </w:r>
    </w:p>
    <w:p w:rsidR="00A31137" w:rsidRPr="00A31137" w:rsidRDefault="00A31137" w:rsidP="00A31137">
      <w:r w:rsidRPr="00A31137">
        <w:t>Public Papers of Reagan, 1988, p.689</w:t>
      </w:r>
    </w:p>
    <w:p w:rsidR="00A31137" w:rsidRPr="00A31137" w:rsidRDefault="00A31137" w:rsidP="00A31137">
      <w:r w:rsidRPr="00A31137">
        <w:t>Q. Mr. President, you have just mentioned that you welcome the efforts—settlement of the Afghanistan question and the difference of other regional conflicts. What conflicts do you mean? Central America conflicts, Southeast Asian, or South African?</w:t>
      </w:r>
    </w:p>
    <w:p w:rsidR="00A31137" w:rsidRPr="00A31137" w:rsidRDefault="00A31137" w:rsidP="00A31137">
      <w:r w:rsidRPr="00A31137">
        <w:t>Public Papers of Reagan, 1988, p.689</w:t>
      </w:r>
    </w:p>
    <w:p w:rsidR="00A31137" w:rsidRPr="00A31137" w:rsidRDefault="00A31137" w:rsidP="00A31137">
      <w:r w:rsidRPr="00A31137">
        <w:t>The President. Well, for example, in South Africa, where Namibia has been promised its independence as a nation—another new African nation. But it is impossible because of a civil war going on in another country there, and that civil war is being fought on one side by some 30,000 to 40,000 Cuban troops who have gone from the Americas over there and are fighting on one side with one kind of authoritative government. When that country was freed from being a colony and given its independence, one faction seized power and made itself the government of that nation. And leaders of another—seeming the majority of the people had wanted, simply, the people to have the right to choose the government that they wanted, and that is the civil war that is going on. But what we believe is that those foreign soldiers should get out and let them settle it, let the citizens of that nation settle their problems.</w:t>
      </w:r>
    </w:p>
    <w:p w:rsidR="00A31137" w:rsidRPr="00A31137" w:rsidRDefault="00A31137" w:rsidP="00A31137">
      <w:r w:rsidRPr="00A31137">
        <w:t>Public Papers of Reagan, 1988, p.689</w:t>
      </w:r>
    </w:p>
    <w:p w:rsidR="00A31137" w:rsidRPr="00A31137" w:rsidRDefault="00A31137" w:rsidP="00A31137">
      <w:r w:rsidRPr="00A31137">
        <w:t>And the same is true in Nicaragua. Nicaragua has been—Nicaragua made a promise. They had a dictator. There was a revolution, there was an organization that—and was aided by others in the revolution, and they appealed to the Organization of American States for help in getting the dictator to step down and stop the killing. And he did. But the Organization of American States had asked, what are the goals of the revolution? And they were given in writing, and they were the goals of pluralistic society, of the right of unions and freedom of speech and press and so forth and free elections—a pluralistic society. And then the one group that was the best organized among the revolutionaries seized power, exiled many of the other leaders, and has its own government, which violated every one of the promises that had been made. And here again, we want—we're trying to encourage the getting back those—or making those promises come true and letting the people of that particular country decide their fate.</w:t>
      </w:r>
    </w:p>
    <w:p w:rsidR="00A31137" w:rsidRPr="00A31137" w:rsidRDefault="00A31137" w:rsidP="00A31137">
      <w:r w:rsidRPr="00A31137">
        <w:t>Soviet MIA's in Afghanistan</w:t>
      </w:r>
    </w:p>
    <w:p w:rsidR="00A31137" w:rsidRPr="00A31137" w:rsidRDefault="00A31137" w:rsidP="00A31137">
      <w:r w:rsidRPr="00A31137">
        <w:t>Public Papers of Reagan, 1988, p.689</w:t>
      </w:r>
    </w:p>
    <w:p w:rsidR="00A31137" w:rsidRPr="00A31137" w:rsidRDefault="00A31137" w:rsidP="00A31137">
      <w:r w:rsidRPr="00A31137">
        <w:t>Q. Esteemed Mr. President, I'm very much anxious and concerned about the destiny of 310 Soviet soldiers being missing in Afghanistan. Are you willing to help in their search and their return to the motherland?</w:t>
      </w:r>
    </w:p>
    <w:p w:rsidR="00A31137" w:rsidRPr="00A31137" w:rsidRDefault="00A31137" w:rsidP="00A31137">
      <w:r w:rsidRPr="00A31137">
        <w:t>Public Papers of Reagan, 1988, p.689</w:t>
      </w:r>
    </w:p>
    <w:p w:rsidR="00A31137" w:rsidRPr="00A31137" w:rsidRDefault="00A31137" w:rsidP="00A31137">
      <w:r w:rsidRPr="00A31137">
        <w:t>The President. Very much so. We would like nothing better than that.</w:t>
      </w:r>
    </w:p>
    <w:p w:rsidR="00A31137" w:rsidRPr="00A31137" w:rsidRDefault="00A31137" w:rsidP="00A31137">
      <w:r w:rsidRPr="00A31137">
        <w:t>U.S. Constitution</w:t>
      </w:r>
    </w:p>
    <w:p w:rsidR="00A31137" w:rsidRPr="00A31137" w:rsidRDefault="00A31137" w:rsidP="00A31137">
      <w:r w:rsidRPr="00A31137">
        <w:t>Public Papers of Reagan, 1988, p.689–p.690</w:t>
      </w:r>
    </w:p>
    <w:p w:rsidR="00A31137" w:rsidRPr="00A31137" w:rsidRDefault="00A31137" w:rsidP="00A31137">
      <w:r w:rsidRPr="00A31137">
        <w:t>Q. The reservation of the inalienable rights of citizens guaranteed by the Constitution faces certain problems; for example, the right of people to have arms, or for example, the problem appears, an evil appears whether spread of pornography or narcotics is compatible with these rights. Do you believe that these problems are just [p.690] unavoidable problems connected with democracy, or they could be avoided?</w:t>
      </w:r>
    </w:p>
    <w:p w:rsidR="00A31137" w:rsidRPr="00A31137" w:rsidRDefault="00A31137" w:rsidP="00A31137">
      <w:r w:rsidRPr="00A31137">
        <w:t>Public Papers of Reagan, 1988, p.690</w:t>
      </w:r>
    </w:p>
    <w:p w:rsidR="00A31137" w:rsidRPr="00A31137" w:rsidRDefault="00A31137" w:rsidP="00A31137">
      <w:r w:rsidRPr="00A31137">
        <w:t>The President. Well, if I understand you correctly, this is a question about the inalienable rights of the people—does that include the right to do criminal acts—for example, in the use of drugs and so forth? No. No, we have a set of laws. I think what is significant and different about our system is that every country has a constitution, and most constitutions or practically all of the constitutions in the world are documents in which the government tells the people what the people can do. Our Constitution is different, and the difference is in three words; it almost escapes everyone. The three words are, "We the people." Our Constitution is a document in which we the people tell the Government what its powers are. And it can have no powers other than those listed in that document. But very carefully, at the same time, the people give the government the power with regard to those things which they think would be destructive to society, to the family, to the individual and so forth—infringements on their rights. And thus, the government can enforce the laws. But that has all been dictated by the people.</w:t>
      </w:r>
    </w:p>
    <w:p w:rsidR="00A31137" w:rsidRPr="00A31137" w:rsidRDefault="00A31137" w:rsidP="00A31137">
      <w:r w:rsidRPr="00A31137">
        <w:t>President's Retirement Plans</w:t>
      </w:r>
    </w:p>
    <w:p w:rsidR="00A31137" w:rsidRPr="00A31137" w:rsidRDefault="00A31137" w:rsidP="00A31137">
      <w:r w:rsidRPr="00A31137">
        <w:t>Public Papers of Reagan, 1988, p.690</w:t>
      </w:r>
    </w:p>
    <w:p w:rsidR="00A31137" w:rsidRPr="00A31137" w:rsidRDefault="00A31137" w:rsidP="00A31137">
      <w:r w:rsidRPr="00A31137">
        <w:t>Q. Mr. President, from history I know that people who have been connected with great power, with big posts, say goodbye, leave these posts with great difficulty. Since your term of office is coming to an end, what sentiments do you experience and whether you feel like, if, hypothetically, you can just stay for another term? [Laughter]</w:t>
      </w:r>
    </w:p>
    <w:p w:rsidR="00A31137" w:rsidRPr="00A31137" w:rsidRDefault="00A31137" w:rsidP="00A31137">
      <w:r w:rsidRPr="00A31137">
        <w:t>Public Papers of Reagan, 1988, p.690</w:t>
      </w:r>
    </w:p>
    <w:p w:rsidR="00A31137" w:rsidRPr="00A31137" w:rsidRDefault="00A31137" w:rsidP="00A31137">
      <w:r w:rsidRPr="00A31137">
        <w:t>The President. Well, I'll tell you something. I think it was a kind of revenge against Franklin Delano Roosevelt, who was elected four times—the only President. There had kind of grown a tradition in our country about two terms. That tradition was started by Washington, our first President, only because there was great talk at the formation of our country that we might become a monarchy, and we had just freed ourselves from a monarchy. So, when the second term was over, George Washington stepped down and said he would do it—stepping down—so that there would not get to be the kind of idea of an inherited aristocracy. Well, succeeding Presidents—many of them didn't get a chance at a second term; they did one term and were gone. But that tradition kind of remained, but it was just a tradition. And then Roosevelt ran the four times—died very early in his fourth term. And suddenly, in the atmosphere at that time, they added an amendment to the Constitution that Presidents could only serve two terms.</w:t>
      </w:r>
    </w:p>
    <w:p w:rsidR="00A31137" w:rsidRPr="00A31137" w:rsidRDefault="00A31137" w:rsidP="00A31137">
      <w:r w:rsidRPr="00A31137">
        <w:t>Public Papers of Reagan, 1988, p.690</w:t>
      </w:r>
    </w:p>
    <w:p w:rsidR="00A31137" w:rsidRPr="00A31137" w:rsidRDefault="00A31137" w:rsidP="00A31137">
      <w:r w:rsidRPr="00A31137">
        <w:t>When I get out of office—I can't do this while I'm in office, because it will look as I'm selfishly doing it for myself—when I get out of office, I'm going to travel around what I call the mashed-potato circuit—that is the after-dinner speaking and the speaking to luncheon groups and so forth—I'm going to travel around and try to convince the people of our country that they should wipe out that amendment to the Constitution because it was an interference with the democratic rights of the people. The people should be allowed to vote for who they wanted to vote for, for as many times as they want to vote for him; and that it is they who are being denied a right. But you see, I will no longer be President then, so I can do that and talk for that.</w:t>
      </w:r>
    </w:p>
    <w:p w:rsidR="00A31137" w:rsidRPr="00A31137" w:rsidRDefault="00A31137" w:rsidP="00A31137">
      <w:r w:rsidRPr="00A31137">
        <w:t>Public Papers of Reagan, 1988, p.690</w:t>
      </w:r>
    </w:p>
    <w:p w:rsidR="00A31137" w:rsidRPr="00A31137" w:rsidRDefault="00A31137" w:rsidP="00A31137">
      <w:r w:rsidRPr="00A31137">
        <w:t>There are a few other things I'm going to try to convince the people to impress upon our Congress, the things that should be done. I've always described it that if—in Hollywood, when I was there, if you didn't sing or dance, you wound up as an afterdinner speaker. And I didn't sing or dance. [Laughter] So, I have a hunch that I will be out on the speaking circuit, telling about a few things that I didn't get done in government, but urging the people to tell the Congress they wanted them done.</w:t>
      </w:r>
    </w:p>
    <w:p w:rsidR="00A31137" w:rsidRPr="00A31137" w:rsidRDefault="00A31137" w:rsidP="00A31137">
      <w:r w:rsidRPr="00A31137">
        <w:t>American Indians</w:t>
      </w:r>
    </w:p>
    <w:p w:rsidR="00A31137" w:rsidRPr="00A31137" w:rsidRDefault="00A31137" w:rsidP="00A31137">
      <w:r w:rsidRPr="00A31137">
        <w:t>Public Papers of Reagan, 1988, p.690</w:t>
      </w:r>
    </w:p>
    <w:p w:rsidR="00A31137" w:rsidRPr="00A31137" w:rsidRDefault="00A31137" w:rsidP="00A31137">
      <w:r w:rsidRPr="00A31137">
        <w:t>Q. Mr. President, I've heard that a group of American Indians have come here because they couldn't meet you in the United States of America. If you fail to meet them here, will you be able to correct it and to meet them back in the United States?</w:t>
      </w:r>
    </w:p>
    <w:p w:rsidR="00A31137" w:rsidRPr="00A31137" w:rsidRDefault="00A31137" w:rsidP="00A31137">
      <w:r w:rsidRPr="00A31137">
        <w:t>Public Papers of Reagan, 1988, p.690</w:t>
      </w:r>
    </w:p>
    <w:p w:rsidR="00A31137" w:rsidRPr="00A31137" w:rsidRDefault="00A31137" w:rsidP="00A31137">
      <w:r w:rsidRPr="00A31137">
        <w:t>The President. I didn't know that they had asked to see me. If they've come here or whether to see them there—[laughter]—I'd be very happy to see them.</w:t>
      </w:r>
    </w:p>
    <w:p w:rsidR="00A31137" w:rsidRPr="00A31137" w:rsidRDefault="00A31137" w:rsidP="00A31137">
      <w:r w:rsidRPr="00A31137">
        <w:t>Public Papers of Reagan, 1988, p.690–p.691</w:t>
      </w:r>
    </w:p>
    <w:p w:rsidR="00A31137" w:rsidRPr="00A31137" w:rsidRDefault="00A31137" w:rsidP="00A31137">
      <w:r w:rsidRPr="00A31137">
        <w:t>Let me tell you just a little something [p.691] about the American Indian in our land. We have provided millions of acres of land for what are called preservations—or reservations, I should say. They, from the beginning, announced that they wanted to maintain their way of life, as they had always lived there in the desert and the plains and so forth. And we set up these reservations so they could, and have a Bureau of Indian Affairs to help take care of them. At the same time, we provide education for them—schools on the reservations. And they're free also to leave the reservations and be American citizens among the rest of us, and many do. Some still prefer, however, that way—that early way of life. And we've done everything we can to meet their demands as to how they want to live. Maybe we made a mistake. Maybe we should not have humored them in that wanting to stay in that kind of primitive lifestyle. Maybe we should have said, no, come join us; be citizens along with the rest of us. As I say, many have; many have been very successful.</w:t>
      </w:r>
    </w:p>
    <w:p w:rsidR="00A31137" w:rsidRPr="00A31137" w:rsidRDefault="00A31137" w:rsidP="00A31137">
      <w:r w:rsidRPr="00A31137">
        <w:t>Public Papers of Reagan, 1988, p.691</w:t>
      </w:r>
    </w:p>
    <w:p w:rsidR="00A31137" w:rsidRPr="00A31137" w:rsidRDefault="00A31137" w:rsidP="00A31137">
      <w:r w:rsidRPr="00A31137">
        <w:t>And I'm very pleased to meet with them, talk with them at any time and see what their grievances are or what they feel they might be. And you'd be surprised: Some of them became very wealthy because some of those reservations were overlaying great pools of oil, and you can get very rich pumping oil. And so, I don't know what their complaint might be.</w:t>
      </w:r>
    </w:p>
    <w:p w:rsidR="00A31137" w:rsidRPr="00A31137" w:rsidRDefault="00A31137" w:rsidP="00A31137">
      <w:r w:rsidRPr="00A31137">
        <w:t>Soviet Dissidents</w:t>
      </w:r>
    </w:p>
    <w:p w:rsidR="00A31137" w:rsidRPr="00A31137" w:rsidRDefault="00A31137" w:rsidP="00A31137">
      <w:r w:rsidRPr="00A31137">
        <w:t>Public Papers of Reagan, 1988, p.691</w:t>
      </w:r>
    </w:p>
    <w:p w:rsidR="00A31137" w:rsidRPr="00A31137" w:rsidRDefault="00A31137" w:rsidP="00A31137">
      <w:r w:rsidRPr="00A31137">
        <w:t>Q. Mr. President, I'm very much tantalized since yesterday evening by the question, why did you receive yesterday—did you receive and when you invite yesterday—refuseniks or dissidents? And for the second part of the question is, just what are your impressions from Soviet people? And among these dissidents, you have invited a former collaborator with a Fascist, who was a policeman serving for Fascist.</w:t>
      </w:r>
    </w:p>
    <w:p w:rsidR="00A31137" w:rsidRPr="00A31137" w:rsidRDefault="00A31137" w:rsidP="00A31137">
      <w:r w:rsidRPr="00A31137">
        <w:t>Public Papers of Reagan, 1988, p.691</w:t>
      </w:r>
    </w:p>
    <w:p w:rsidR="00A31137" w:rsidRPr="00A31137" w:rsidRDefault="00A31137" w:rsidP="00A31137">
      <w:r w:rsidRPr="00A31137">
        <w:t>The President. Well, that's one I don't know about, or maybe the information hasn't been all given out on that. But you have to understand that Americans come from every corner of the world. I received a letter from a man that called something to my attention recently. He said, you can go to live in France, but you cannot become a Frenchman; you can go to live in Germany, you cannot become a German-or a Turk, or a Greek, or whatever. But he said anyone, from any corner of the world, can come to live in America and become an American.</w:t>
      </w:r>
    </w:p>
    <w:p w:rsidR="00A31137" w:rsidRPr="00A31137" w:rsidRDefault="00A31137" w:rsidP="00A31137">
      <w:r w:rsidRPr="00A31137">
        <w:t>Public Papers of Reagan, 1988, p.691</w:t>
      </w:r>
    </w:p>
    <w:p w:rsidR="00A31137" w:rsidRPr="00A31137" w:rsidRDefault="00A31137" w:rsidP="00A31137">
      <w:r w:rsidRPr="00A31137">
        <w:t>You have to realize that we are a people that are made up of every strain, nationality, and race of the world. And the result is that when people in our country think someone is being mistreated or treated unjustly in another country, these are people who still feel that kinship to that country because that is their heritage. In America, whenever you meet someone new and become friends, one of the first things you tell each other is what your bloodline is. For example, when I'm asked, I have to say Irish, English, and Scotch—English and Scotch on my mother's side, Irish on my father's side. But all of them have that.</w:t>
      </w:r>
    </w:p>
    <w:p w:rsidR="00A31137" w:rsidRPr="00A31137" w:rsidRDefault="00A31137" w:rsidP="00A31137">
      <w:r w:rsidRPr="00A31137">
        <w:t>Public Papers of Reagan, 1988, p.691</w:t>
      </w:r>
    </w:p>
    <w:p w:rsidR="00A31137" w:rsidRPr="00A31137" w:rsidRDefault="00A31137" w:rsidP="00A31137">
      <w:r w:rsidRPr="00A31137">
        <w:t>Well, when you take on to yourself a wife, you do not stop loving your mother. So, Americans all feel a kind of a kinship to that country that their parents or their grandparents or even some great-grandparents came from; you don't lose that contact. So, what I have come and what I have brought to the General Secretary—and I must say he has been very cooperative about it—I have brought lists of names that have been brought to me from people that are relatives or friends that know that—or that believe that this individual is being mistreated here in this country, and they want him to be allowed to emigrate to our country—some are separated families.</w:t>
      </w:r>
    </w:p>
    <w:p w:rsidR="00A31137" w:rsidRPr="00A31137" w:rsidRDefault="00A31137" w:rsidP="00A31137">
      <w:r w:rsidRPr="00A31137">
        <w:t>Public Papers of Reagan, 1988, p.691–p.692</w:t>
      </w:r>
    </w:p>
    <w:p w:rsidR="00A31137" w:rsidRPr="00A31137" w:rsidRDefault="00A31137" w:rsidP="00A31137">
      <w:r w:rsidRPr="00A31137">
        <w:t>One that I met in this, the other day, was born the same time I was. He was born of Russian parents who had moved to America, oh, way back in the early 1900's, and he was born in 1911. And then sometime later, the family moved back to Russia. Now he's grown, has a son. He's an American citizen. But they wanted to go back to America and being denied on the grounds that, well, they can go back to America, but his son married a Russian young lady, and they want to keep her from going back. Well, the whole family said, no, we're not going to leave her alone here. She's a member of the family now. Well, that kind of a case is brought to me personally, so I bring it to [p.692] the General Secretary. And as I say, I must say, he has been most helpful and most agreeable about correcting these things.</w:t>
      </w:r>
    </w:p>
    <w:p w:rsidR="00A31137" w:rsidRPr="00A31137" w:rsidRDefault="00A31137" w:rsidP="00A31137">
      <w:r w:rsidRPr="00A31137">
        <w:t>Public Papers of Reagan, 1988, p.692</w:t>
      </w:r>
    </w:p>
    <w:p w:rsidR="00A31137" w:rsidRPr="00A31137" w:rsidRDefault="00A31137" w:rsidP="00A31137">
      <w:r w:rsidRPr="00A31137">
        <w:t>Now, I'm not blaming you; I'm blaming bureaucracy. We have the same type of thing happen in our own country. And every once in a while, somebody has to get the bureaucracy by the neck and shake it loose and say, Stop doing what you're doing! And this is the type of thing and the names that we have brought. And it is a list of names, all of which have been brought to me personally by either relatives or close friends and associates. [Applause]</w:t>
      </w:r>
    </w:p>
    <w:p w:rsidR="00A31137" w:rsidRPr="00A31137" w:rsidRDefault="00A31137" w:rsidP="00A31137">
      <w:r w:rsidRPr="00A31137">
        <w:t>Public Papers of Reagan, 1988, p.692</w:t>
      </w:r>
    </w:p>
    <w:p w:rsidR="00A31137" w:rsidRPr="00A31137" w:rsidRDefault="00A31137" w:rsidP="00A31137">
      <w:r w:rsidRPr="00A31137">
        <w:t>Thank you very much. You're all very kind. I thank you very much. And I hope I answered the questions correctly. Nobody asked me what it was going to feel like to not be President anymore. I have some understanding, because after I'd been Governor for 8 years and then stepped down, I want to tell you what it's like. We'd only been home a few days, and someone invited us out to dinner. Nancy and I both went out, got in the back seat of the car, and waited for somebody to get in front and drive us. [Laughter]</w:t>
      </w:r>
    </w:p>
    <w:p w:rsidR="00A31137" w:rsidRPr="00A31137" w:rsidRDefault="00A31137" w:rsidP="00A31137">
      <w:r w:rsidRPr="00A31137">
        <w:t>Public Papers of Reagan, 1988, p.692</w:t>
      </w:r>
    </w:p>
    <w:p w:rsidR="00A31137" w:rsidRPr="00A31137" w:rsidRDefault="00A31137" w:rsidP="00A31137">
      <w:r w:rsidRPr="00A31137">
        <w:t>[At this point, Rector Logunov gave the President a gift.]</w:t>
      </w:r>
    </w:p>
    <w:p w:rsidR="00A31137" w:rsidRPr="00A31137" w:rsidRDefault="00A31137" w:rsidP="00A31137">
      <w:r w:rsidRPr="00A31137">
        <w:t>Public Papers of Reagan, 1988, p.692</w:t>
      </w:r>
    </w:p>
    <w:p w:rsidR="00A31137" w:rsidRPr="00A31137" w:rsidRDefault="00A31137" w:rsidP="00A31137">
      <w:r w:rsidRPr="00A31137">
        <w:t>That is beautiful. Thank you very much.</w:t>
      </w:r>
    </w:p>
    <w:p w:rsidR="00A31137" w:rsidRPr="00A31137" w:rsidRDefault="00A31137" w:rsidP="00A31137">
      <w:r w:rsidRPr="00A31137">
        <w:t>Public Papers of Reagan, 1988, p.692</w:t>
      </w:r>
    </w:p>
    <w:p w:rsidR="00A31137" w:rsidRPr="00A31137" w:rsidRDefault="00A31137" w:rsidP="00A31137">
      <w:r w:rsidRPr="00A31137">
        <w:t>NOTE: The President spoke at 4:10 p.m. in the Lecture Hall at Moscow State University. Anatoliy A. Logunov was rector of the university.</w:t>
      </w:r>
    </w:p>
    <w:p w:rsidR="00A31137" w:rsidRPr="00A31137" w:rsidRDefault="00A31137" w:rsidP="00A31137">
      <w:r w:rsidRPr="00A31137">
        <w:t>President Reagan's Statement on the Destruction of an Iranian Jetliner by the U.S. Navy Over the Persian Gulf, 1988</w:t>
      </w:r>
    </w:p>
    <w:p w:rsidR="00A31137" w:rsidRPr="00A31137" w:rsidRDefault="00A31137" w:rsidP="00A31137">
      <w:r w:rsidRPr="00A31137">
        <w:t>Title:</w:t>
      </w:r>
      <w:r w:rsidRPr="00A31137">
        <w:tab/>
        <w:t>President Reagan's Statement on the Destruction of an Iranian Jetliner by the U.S. Navy Over the Persian Gulf</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July 3, 1988</w:t>
      </w:r>
    </w:p>
    <w:p w:rsidR="00A31137" w:rsidRPr="00A31137" w:rsidRDefault="00A31137" w:rsidP="00A31137">
      <w:r w:rsidRPr="00A31137">
        <w:t>Source:</w:t>
      </w:r>
      <w:r w:rsidRPr="00A31137">
        <w:tab/>
        <w:t>Public Papers of the Presidents, Reagan, 1988, p.920</w:t>
      </w:r>
    </w:p>
    <w:p w:rsidR="00A31137" w:rsidRPr="00A31137" w:rsidRDefault="00A31137" w:rsidP="00A31137">
      <w:r w:rsidRPr="00A31137">
        <w:t>Public Papers of Reagan, 1988, p.920</w:t>
      </w:r>
    </w:p>
    <w:p w:rsidR="00A31137" w:rsidRPr="00A31137" w:rsidRDefault="00A31137" w:rsidP="00A31137">
      <w:r w:rsidRPr="00A31137">
        <w:t>I am saddened to report that it appears that in a proper defensive action by the U.S.S. Vincennes this morning in the Persian Gulf an Iranian airliner was shot down over the Strait of Hormuz. This is a terrible human tragedy. Our sympathy and condolences go out to the passengers, crew, and their families. The Defense Department will conduct a full investigation.</w:t>
      </w:r>
    </w:p>
    <w:p w:rsidR="00A31137" w:rsidRPr="00A31137" w:rsidRDefault="00A31137" w:rsidP="00A31137">
      <w:r w:rsidRPr="00A31137">
        <w:t>Public Papers of Reagan, 1988, p.920</w:t>
      </w:r>
    </w:p>
    <w:p w:rsidR="00A31137" w:rsidRPr="00A31137" w:rsidRDefault="00A31137" w:rsidP="00A31137">
      <w:r w:rsidRPr="00A31137">
        <w:t>We deeply regret any loss of life. The course of the Iranian civilian airliner was such that it was headed directly for the U.S.S. Vincennes, which was at the time engaged with five Iranian Boghammar boats that had attacked our forces. When the aircraft failed to heed repeated warnings, the Vincennes followed standing orders and widely publicized procedures, firing to protect itself against possible attack.</w:t>
      </w:r>
    </w:p>
    <w:p w:rsidR="00A31137" w:rsidRPr="00A31137" w:rsidRDefault="00A31137" w:rsidP="00A31137">
      <w:r w:rsidRPr="00A31137">
        <w:t>Public Papers of Reagan, 1988, p.920</w:t>
      </w:r>
    </w:p>
    <w:p w:rsidR="00A31137" w:rsidRPr="00A31137" w:rsidRDefault="00A31137" w:rsidP="00A31137">
      <w:r w:rsidRPr="00A31137">
        <w:t>The only U.S. interest in the Persian Gulf is peace, and this tragedy reinforces the need to achieve that goal with all possible speed.</w:t>
      </w:r>
    </w:p>
    <w:p w:rsidR="00A31137" w:rsidRPr="00A31137" w:rsidRDefault="00A31137" w:rsidP="00A31137">
      <w:r w:rsidRPr="00A31137">
        <w:t>Democratic Platform of 1988</w:t>
      </w:r>
    </w:p>
    <w:p w:rsidR="00A31137" w:rsidRPr="00A31137" w:rsidRDefault="00A31137" w:rsidP="00A31137">
      <w:r w:rsidRPr="00A31137">
        <w:t>Title:</w:t>
      </w:r>
      <w:r w:rsidRPr="00A31137">
        <w:tab/>
        <w:t>Democratic Platform of 1988</w:t>
      </w:r>
    </w:p>
    <w:p w:rsidR="00A31137" w:rsidRPr="00A31137" w:rsidRDefault="00A31137" w:rsidP="00A31137">
      <w:r w:rsidRPr="00A31137">
        <w:t>Author:</w:t>
      </w:r>
      <w:r w:rsidRPr="00A31137">
        <w:tab/>
        <w:t>Democratic Party</w:t>
      </w:r>
    </w:p>
    <w:p w:rsidR="00A31137" w:rsidRPr="00A31137" w:rsidRDefault="00A31137" w:rsidP="00A31137">
      <w:r w:rsidRPr="00A31137">
        <w:t>Date:</w:t>
      </w:r>
      <w:r w:rsidRPr="00A31137">
        <w:tab/>
        <w:t>1988</w:t>
      </w:r>
    </w:p>
    <w:p w:rsidR="00A31137" w:rsidRPr="00A31137" w:rsidRDefault="00A31137" w:rsidP="00A31137">
      <w:r w:rsidRPr="00A31137">
        <w:t>Source:</w:t>
      </w:r>
      <w:r w:rsidRPr="00A31137">
        <w:tab/>
        <w:t>1988 Democratic Party Platform Booklet</w:t>
      </w:r>
    </w:p>
    <w:p w:rsidR="00A31137" w:rsidRPr="00A31137" w:rsidRDefault="00A31137" w:rsidP="00A31137">
      <w:r w:rsidRPr="00A31137">
        <w:t>Paul G. Kirk, Jr.</w:t>
      </w:r>
    </w:p>
    <w:p w:rsidR="00A31137" w:rsidRPr="00A31137" w:rsidRDefault="00A31137" w:rsidP="00A31137">
      <w:r w:rsidRPr="00A31137">
        <w:t>Chairman, Democratic National Committee [p.2]</w:t>
      </w:r>
    </w:p>
    <w:p w:rsidR="00A31137" w:rsidRPr="00A31137" w:rsidRDefault="00A31137" w:rsidP="00A31137">
      <w:r w:rsidRPr="00A31137">
        <w:t>1988 Democratic Platform Committee</w:t>
      </w:r>
    </w:p>
    <w:p w:rsidR="00A31137" w:rsidRPr="00A31137" w:rsidRDefault="00A31137" w:rsidP="00A31137">
      <w:r w:rsidRPr="00A31137">
        <w:t>CHAIR</w:t>
      </w:r>
    </w:p>
    <w:p w:rsidR="00A31137" w:rsidRPr="00A31137" w:rsidRDefault="00A31137" w:rsidP="00A31137">
      <w:r w:rsidRPr="00A31137">
        <w:t>1988 Democratic Platform, p.2</w:t>
      </w:r>
    </w:p>
    <w:p w:rsidR="00A31137" w:rsidRPr="00A31137" w:rsidRDefault="00A31137" w:rsidP="00A31137">
      <w:r w:rsidRPr="00A31137">
        <w:t>Honorable James J. Blanchard Governor, Michigan</w:t>
      </w:r>
    </w:p>
    <w:p w:rsidR="00A31137" w:rsidRPr="00A31137" w:rsidRDefault="00A31137" w:rsidP="00A31137">
      <w:r w:rsidRPr="00A31137">
        <w:t>CO-CHAIRS</w:t>
      </w:r>
    </w:p>
    <w:p w:rsidR="00A31137" w:rsidRPr="00A31137" w:rsidRDefault="00A31137" w:rsidP="00A31137">
      <w:r w:rsidRPr="00A31137">
        <w:t>1988 Democratic Platform, p.2</w:t>
      </w:r>
    </w:p>
    <w:p w:rsidR="00A31137" w:rsidRPr="00A31137" w:rsidRDefault="00A31137" w:rsidP="00A31137">
      <w:r w:rsidRPr="00A31137">
        <w:t>Rep. Mervyn Dymally</w:t>
      </w:r>
    </w:p>
    <w:p w:rsidR="00A31137" w:rsidRPr="00A31137" w:rsidRDefault="00A31137" w:rsidP="00A31137">
      <w:r w:rsidRPr="00A31137">
        <w:t>1988 Democratic Platform, p.2</w:t>
      </w:r>
    </w:p>
    <w:p w:rsidR="00A31137" w:rsidRPr="00A31137" w:rsidRDefault="00A31137" w:rsidP="00A31137">
      <w:r w:rsidRPr="00A31137">
        <w:t>Member of Congress, California</w:t>
      </w:r>
    </w:p>
    <w:p w:rsidR="00A31137" w:rsidRPr="00A31137" w:rsidRDefault="00A31137" w:rsidP="00A31137">
      <w:r w:rsidRPr="00A31137">
        <w:t>1988 Democratic Platform, p.2</w:t>
      </w:r>
    </w:p>
    <w:p w:rsidR="00A31137" w:rsidRPr="00A31137" w:rsidRDefault="00A31137" w:rsidP="00A31137">
      <w:r w:rsidRPr="00A31137">
        <w:t>Honorable Madeleine Kunin Governor, Vermont</w:t>
      </w:r>
    </w:p>
    <w:p w:rsidR="00A31137" w:rsidRPr="00A31137" w:rsidRDefault="00A31137" w:rsidP="00A31137">
      <w:r w:rsidRPr="00A31137">
        <w:t>1988 Democratic Platform, p.2</w:t>
      </w:r>
    </w:p>
    <w:p w:rsidR="00A31137" w:rsidRPr="00A31137" w:rsidRDefault="00A31137" w:rsidP="00A31137">
      <w:r w:rsidRPr="00A31137">
        <w:t>Rep. Mary Rose Oakar</w:t>
      </w:r>
    </w:p>
    <w:p w:rsidR="00A31137" w:rsidRPr="00A31137" w:rsidRDefault="00A31137" w:rsidP="00A31137">
      <w:r w:rsidRPr="00A31137">
        <w:t>1988 Democratic Platform, p.2</w:t>
      </w:r>
    </w:p>
    <w:p w:rsidR="00A31137" w:rsidRPr="00A31137" w:rsidRDefault="00A31137" w:rsidP="00A31137">
      <w:r w:rsidRPr="00A31137">
        <w:t>Member of Congress, Ohio</w:t>
      </w:r>
    </w:p>
    <w:p w:rsidR="00A31137" w:rsidRPr="00A31137" w:rsidRDefault="00A31137" w:rsidP="00A31137">
      <w:r w:rsidRPr="00A31137">
        <w:t>1988 Democratic Platform, p.2</w:t>
      </w:r>
    </w:p>
    <w:p w:rsidR="00A31137" w:rsidRPr="00A31137" w:rsidRDefault="00A31137" w:rsidP="00A31137">
      <w:r w:rsidRPr="00A31137">
        <w:t>Rep. Bill Richardson</w:t>
      </w:r>
    </w:p>
    <w:p w:rsidR="00A31137" w:rsidRPr="00A31137" w:rsidRDefault="00A31137" w:rsidP="00A31137">
      <w:r w:rsidRPr="00A31137">
        <w:t>1988 Democratic Platform, p.2</w:t>
      </w:r>
    </w:p>
    <w:p w:rsidR="00A31137" w:rsidRPr="00A31137" w:rsidRDefault="00A31137" w:rsidP="00A31137">
      <w:r w:rsidRPr="00A31137">
        <w:t>Member of Congress, New Mexico</w:t>
      </w:r>
    </w:p>
    <w:p w:rsidR="00A31137" w:rsidRPr="00A31137" w:rsidRDefault="00A31137" w:rsidP="00A31137">
      <w:r w:rsidRPr="00A31137">
        <w:t>Drafting Committee</w:t>
      </w:r>
    </w:p>
    <w:p w:rsidR="00A31137" w:rsidRPr="00A31137" w:rsidRDefault="00A31137" w:rsidP="00A31137">
      <w:r w:rsidRPr="00A31137">
        <w:t>CHAIR</w:t>
      </w:r>
    </w:p>
    <w:p w:rsidR="00A31137" w:rsidRPr="00A31137" w:rsidRDefault="00A31137" w:rsidP="00A31137">
      <w:r w:rsidRPr="00A31137">
        <w:t>1988 Democratic Platform, p.2</w:t>
      </w:r>
    </w:p>
    <w:p w:rsidR="00A31137" w:rsidRPr="00A31137" w:rsidRDefault="00A31137" w:rsidP="00A31137">
      <w:r w:rsidRPr="00A31137">
        <w:t>Rep. William H. Gray III</w:t>
      </w:r>
    </w:p>
    <w:p w:rsidR="00A31137" w:rsidRPr="00A31137" w:rsidRDefault="00A31137" w:rsidP="00A31137">
      <w:r w:rsidRPr="00A31137">
        <w:t>Member of Congress, Pennsylvania</w:t>
      </w:r>
    </w:p>
    <w:p w:rsidR="00A31137" w:rsidRPr="00A31137" w:rsidRDefault="00A31137" w:rsidP="00A31137">
      <w:r w:rsidRPr="00A31137">
        <w:t>MEMBERS:</w:t>
      </w:r>
    </w:p>
    <w:p w:rsidR="00A31137" w:rsidRPr="00A31137" w:rsidRDefault="00A31137" w:rsidP="00A31137">
      <w:r w:rsidRPr="00A31137">
        <w:t>1988 Democratic Platform, p.2</w:t>
      </w:r>
    </w:p>
    <w:p w:rsidR="00A31137" w:rsidRPr="00A31137" w:rsidRDefault="00A31137" w:rsidP="00A31137">
      <w:r w:rsidRPr="00A31137">
        <w:t>James B. Booe, DC</w:t>
      </w:r>
    </w:p>
    <w:p w:rsidR="00A31137" w:rsidRPr="00A31137" w:rsidRDefault="00A31137" w:rsidP="00A31137">
      <w:r w:rsidRPr="00A31137">
        <w:t>1988 Democratic Platform, p.2</w:t>
      </w:r>
    </w:p>
    <w:p w:rsidR="00A31137" w:rsidRPr="00A31137" w:rsidRDefault="00A31137" w:rsidP="00A31137">
      <w:r w:rsidRPr="00A31137">
        <w:t>Larry Crawford, MI</w:t>
      </w:r>
    </w:p>
    <w:p w:rsidR="00A31137" w:rsidRPr="00A31137" w:rsidRDefault="00A31137" w:rsidP="00A31137">
      <w:r w:rsidRPr="00A31137">
        <w:t>1988 Democratic Platform, p.2</w:t>
      </w:r>
    </w:p>
    <w:p w:rsidR="00A31137" w:rsidRPr="00A31137" w:rsidRDefault="00A31137" w:rsidP="00A31137">
      <w:r w:rsidRPr="00A31137">
        <w:t>Mayor Ray Flynn, MA</w:t>
      </w:r>
    </w:p>
    <w:p w:rsidR="00A31137" w:rsidRPr="00A31137" w:rsidRDefault="00A31137" w:rsidP="00A31137">
      <w:r w:rsidRPr="00A31137">
        <w:t>1988 Democratic Platform, p.2</w:t>
      </w:r>
    </w:p>
    <w:p w:rsidR="00A31137" w:rsidRPr="00A31137" w:rsidRDefault="00A31137" w:rsidP="00A31137">
      <w:r w:rsidRPr="00A31137">
        <w:t>Lena Guerrero, TX</w:t>
      </w:r>
    </w:p>
    <w:p w:rsidR="00A31137" w:rsidRPr="00A31137" w:rsidRDefault="00A31137" w:rsidP="00A31137">
      <w:r w:rsidRPr="00A31137">
        <w:t>1988 Democratic Platform, p.2</w:t>
      </w:r>
    </w:p>
    <w:p w:rsidR="00A31137" w:rsidRPr="00A31137" w:rsidRDefault="00A31137" w:rsidP="00A31137">
      <w:r w:rsidRPr="00A31137">
        <w:t>Rachelle Horowitz, DC</w:t>
      </w:r>
    </w:p>
    <w:p w:rsidR="00A31137" w:rsidRPr="00A31137" w:rsidRDefault="00A31137" w:rsidP="00A31137">
      <w:r w:rsidRPr="00A31137">
        <w:t>1988 Democratic Platform, p.2</w:t>
      </w:r>
    </w:p>
    <w:p w:rsidR="00A31137" w:rsidRPr="00A31137" w:rsidRDefault="00A31137" w:rsidP="00A31137">
      <w:r w:rsidRPr="00A31137">
        <w:t>Paula MacIlwaine, OH</w:t>
      </w:r>
    </w:p>
    <w:p w:rsidR="00A31137" w:rsidRPr="00A31137" w:rsidRDefault="00A31137" w:rsidP="00A31137">
      <w:r w:rsidRPr="00A31137">
        <w:t>1988 Democratic Platform, p.2</w:t>
      </w:r>
    </w:p>
    <w:p w:rsidR="00A31137" w:rsidRPr="00A31137" w:rsidRDefault="00A31137" w:rsidP="00A31137">
      <w:r w:rsidRPr="00A31137">
        <w:t>Rep. Robert Matsui, CA</w:t>
      </w:r>
    </w:p>
    <w:p w:rsidR="00A31137" w:rsidRPr="00A31137" w:rsidRDefault="00A31137" w:rsidP="00A31137">
      <w:r w:rsidRPr="00A31137">
        <w:t>1988 Democratic Platform, p.2</w:t>
      </w:r>
    </w:p>
    <w:p w:rsidR="00A31137" w:rsidRPr="00A31137" w:rsidRDefault="00A31137" w:rsidP="00A31137">
      <w:r w:rsidRPr="00A31137">
        <w:t>Leslie McLemore, MS</w:t>
      </w:r>
    </w:p>
    <w:p w:rsidR="00A31137" w:rsidRPr="00A31137" w:rsidRDefault="00A31137" w:rsidP="00A31137">
      <w:r w:rsidRPr="00A31137">
        <w:t>1988 Democratic Platform, p.2</w:t>
      </w:r>
    </w:p>
    <w:p w:rsidR="00A31137" w:rsidRPr="00A31137" w:rsidRDefault="00A31137" w:rsidP="00A31137">
      <w:r w:rsidRPr="00A31137">
        <w:t>Cecil Partee, IL</w:t>
      </w:r>
    </w:p>
    <w:p w:rsidR="00A31137" w:rsidRPr="00A31137" w:rsidRDefault="00A31137" w:rsidP="00A31137">
      <w:r w:rsidRPr="00A31137">
        <w:t>1988 Democratic Platform, p.2</w:t>
      </w:r>
    </w:p>
    <w:p w:rsidR="00A31137" w:rsidRPr="00A31137" w:rsidRDefault="00A31137" w:rsidP="00A31137">
      <w:r w:rsidRPr="00A31137">
        <w:t>Anna Burger Price, PA</w:t>
      </w:r>
    </w:p>
    <w:p w:rsidR="00A31137" w:rsidRPr="00A31137" w:rsidRDefault="00A31137" w:rsidP="00A31137">
      <w:r w:rsidRPr="00A31137">
        <w:t>1988 Democratic Platform, p.2</w:t>
      </w:r>
    </w:p>
    <w:p w:rsidR="00A31137" w:rsidRPr="00A31137" w:rsidRDefault="00A31137" w:rsidP="00A31137">
      <w:r w:rsidRPr="00A31137">
        <w:t>Doris Reggie, LA</w:t>
      </w:r>
    </w:p>
    <w:p w:rsidR="00A31137" w:rsidRPr="00A31137" w:rsidRDefault="00A31137" w:rsidP="00A31137">
      <w:r w:rsidRPr="00A31137">
        <w:t>1988 Democratic Platform, p.2</w:t>
      </w:r>
    </w:p>
    <w:p w:rsidR="00A31137" w:rsidRPr="00A31137" w:rsidRDefault="00A31137" w:rsidP="00A31137">
      <w:r w:rsidRPr="00A31137">
        <w:t>Laura Spencer, MA</w:t>
      </w:r>
    </w:p>
    <w:p w:rsidR="00A31137" w:rsidRPr="00A31137" w:rsidRDefault="00A31137" w:rsidP="00A31137">
      <w:r w:rsidRPr="00A31137">
        <w:t>1988 Democratic Platform, p.2</w:t>
      </w:r>
    </w:p>
    <w:p w:rsidR="00A31137" w:rsidRPr="00A31137" w:rsidRDefault="00A31137" w:rsidP="00A31137">
      <w:r w:rsidRPr="00A31137">
        <w:t>Barbara Tauber, WI Janice Thurmond, GA</w:t>
      </w:r>
    </w:p>
    <w:p w:rsidR="00A31137" w:rsidRPr="00A31137" w:rsidRDefault="00A31137" w:rsidP="00A31137">
      <w:r w:rsidRPr="00A31137">
        <w:t>1988 Democratic Platform, p.2</w:t>
      </w:r>
    </w:p>
    <w:p w:rsidR="00A31137" w:rsidRPr="00A31137" w:rsidRDefault="00A31137" w:rsidP="00A31137">
      <w:r w:rsidRPr="00A31137">
        <w:t>John F. White, Jr., PA</w:t>
      </w:r>
    </w:p>
    <w:p w:rsidR="00A31137" w:rsidRPr="00A31137" w:rsidRDefault="00A31137" w:rsidP="00A31137">
      <w:r w:rsidRPr="00A31137">
        <w:t>1988 Democratic Platform, p.2</w:t>
      </w:r>
    </w:p>
    <w:p w:rsidR="00A31137" w:rsidRPr="00A31137" w:rsidRDefault="00A31137" w:rsidP="00A31137">
      <w:r w:rsidRPr="00A31137">
        <w:t>Theodore C. Sorensen Executive Vice Chair [p.3]</w:t>
      </w:r>
    </w:p>
    <w:p w:rsidR="00A31137" w:rsidRPr="00A31137" w:rsidRDefault="00A31137" w:rsidP="00A31137">
      <w:r w:rsidRPr="00A31137">
        <w:t>"The Restoration of Competence and the Revival of Hope"</w:t>
      </w:r>
    </w:p>
    <w:p w:rsidR="00A31137" w:rsidRPr="00A31137" w:rsidRDefault="00A31137" w:rsidP="00A31137">
      <w:r w:rsidRPr="00A31137">
        <w:t>1988 Democratic Platform, p.3</w:t>
      </w:r>
    </w:p>
    <w:p w:rsidR="00A31137" w:rsidRPr="00A31137" w:rsidRDefault="00A31137" w:rsidP="00A31137">
      <w:r w:rsidRPr="00A31137">
        <w:t>WE THE PEOPLE OF THE DEMOCRATIC PARTY OF THE UNITED STATES OF AMERICA,</w:t>
      </w:r>
    </w:p>
    <w:p w:rsidR="00A31137" w:rsidRPr="00A31137" w:rsidRDefault="00A31137" w:rsidP="00A31137">
      <w:r w:rsidRPr="00A31137">
        <w:t>1988 Democratic Platform, p.3</w:t>
      </w:r>
    </w:p>
    <w:p w:rsidR="00A31137" w:rsidRPr="00A31137" w:rsidRDefault="00A31137" w:rsidP="00A31137">
      <w:r w:rsidRPr="00A31137">
        <w:t>In order to initiate the changes necessary to keep America strong and make America better, in order to restore competence, caring and incorruptibility to the Federal Executive Branch and get it working again fairly for all Americans, and in order to secure for our children a future of liberty and opportunity,</w:t>
      </w:r>
    </w:p>
    <w:p w:rsidR="00A31137" w:rsidRPr="00A31137" w:rsidRDefault="00A31137" w:rsidP="00A31137">
      <w:r w:rsidRPr="00A31137">
        <w:t>1988 Democratic Platform, p.3</w:t>
      </w:r>
    </w:p>
    <w:p w:rsidR="00A31137" w:rsidRPr="00A31137" w:rsidRDefault="00A31137" w:rsidP="00A31137">
      <w:r w:rsidRPr="00A31137">
        <w:t>Hereby pledge our Party, our leaders, our elected officials end our every individual effort to fulfilling the following fundamental principles for all members of the American family.</w:t>
      </w:r>
    </w:p>
    <w:p w:rsidR="00A31137" w:rsidRPr="00A31137" w:rsidRDefault="00A31137" w:rsidP="00A31137">
      <w:r w:rsidRPr="00A31137">
        <w:t>1988 Democratic Platform, p.3</w:t>
      </w:r>
    </w:p>
    <w:p w:rsidR="00A31137" w:rsidRPr="00A31137" w:rsidRDefault="00A31137" w:rsidP="00A31137">
      <w:r w:rsidRPr="00A31137">
        <w:t xml:space="preserve">WE BELIEVE that all Americans have a fundamental right to economic justice in a stronger, surer national economy, an economy that must grow steadily without inflation, that can generate a rising standard of living for all and fulfill the desire of all to work in dignity up to their full potential in good health with good jobs at good wages, an economy that is prosperous in every region, from coast to coast, including our rural towns and our older industrial communities, our mining towns, our energy producing areas and the urban areas that have been neglected for the past seven years. We believe that, as a first-rate world power moving into the 21st century, we can have a first-rate full employment economy, with an indexed minimum wage that can help lift and keep families out of poverty, with training and employment programs—including child care and health care—that can help people move from welfare to work, with portable pensions and an adequate Social Security System, safeguarded against emasculation and privatization, that can help assure a comfortable and fulfilling old age, with opportunities for voluntary national public service, above and beyond current services, that can enrich our communities, and with all workers assured the protection of an effective law that guarantees their rights to organize, join the union of their choice, and bargain collectively with their employer, free from anti-union tactics. </w:t>
      </w:r>
    </w:p>
    <w:p w:rsidR="00A31137" w:rsidRPr="00A31137" w:rsidRDefault="00A31137" w:rsidP="00A31137">
      <w:r w:rsidRPr="00A31137">
        <w:t>1988 Democratic Platform, p.3</w:t>
      </w:r>
    </w:p>
    <w:p w:rsidR="00A31137" w:rsidRPr="00A31137" w:rsidRDefault="00A31137" w:rsidP="00A31137">
      <w:r w:rsidRPr="00A31137">
        <w:t>WE BELIEVE that the time has come for America to take charge once again of its economic future, to reverse seven years of "voodoo economics," "trickle down" policies, fiscal irresponsibility, and economic violence against poor and working people that have converted this proud country into the world's largest debtor nation, mortgaged our children's future by tripling our national debt, placed home ownership out of reach for most young families, permitted the rise of poverty and homelessness on the streets of America, reduced the buying power of working men and women, and witnessed the decline of our industrial, natural resource and mining base, the unending tragedy of family farm foreclosures, an unhealthy dependence on foreign energy and foreign capital, and the increasing foreign ownership of our land and natural resources.</w:t>
      </w:r>
    </w:p>
    <w:p w:rsidR="00A31137" w:rsidRPr="00A31137" w:rsidRDefault="00A31137" w:rsidP="00A31137">
      <w:r w:rsidRPr="00A31137">
        <w:t>1988 Democratic Platform, p.3</w:t>
      </w:r>
    </w:p>
    <w:p w:rsidR="00A31137" w:rsidRPr="00A31137" w:rsidRDefault="00A31137" w:rsidP="00A31137">
      <w:r w:rsidRPr="00A31137">
        <w:t>WE BELIEVE that it is time for America to meet the challenge to change priorities after eight years of devastating Republican policies, to reverse direction and reassert progressive values, to reinvest in its people within a strong commitment to fiscal responsibility. If we are seriously to pursue our commitments to build a secure economic future for all Americans we must provide the resources to care for our newborns, educate our children, house the homeless, heal the sick, wage total war on [p.4] drugs and protect the environment. Investing In America and reducing the deficit requires that the wealthy and corporations pay their fair share and that we restrain Pentagon spending. We further believe that we must invest in new priorities, in life-long education and training, in targeted economic development, in a healthy small business community and in retooled American industry; that it is time for the broad revitalization of home town America, involving financial institutions in the provision of crucial credit by encouraging special commitments in exchange for bailing out those that are failing, reforming and expanding community reinvestment laws, and reversing the trend of financial concentration and deregulation, all combining to reverse the insecurity that has increasingly troubled our workers and their families in this rapidly changing society that has left some communities and regions behind. There is no good reason why the nation we love, the greatest and richest nation on earth, should rank first among the industrialized nations in output per person but nearly 1st in infant mortality, first in the percentage of total expenditures devoted to defense but nearly last in the percentage devoted to education and housing.</w:t>
      </w:r>
    </w:p>
    <w:p w:rsidR="00A31137" w:rsidRPr="00A31137" w:rsidRDefault="00A31137" w:rsidP="00A31137">
      <w:r w:rsidRPr="00A31137">
        <w:t>1988 Democratic Platform, p.4</w:t>
      </w:r>
    </w:p>
    <w:p w:rsidR="00A31137" w:rsidRPr="00A31137" w:rsidRDefault="00A31137" w:rsidP="00A31137">
      <w:r w:rsidRPr="00A31137">
        <w:t>WE BELIEVE that Government should set the standard in recognizing that worker productivity is enhanced by the principle of pay equity for working women and no substandard wage competition for public contracts; by family leave policies that no longer force employees to choose between their jobs and their children or ailing parents; by safe and healthy work places, now jeopardized by seven callous years of lowered and unenforced occupational safety standards for American workers; and by major increases in assistance making child care move available and affordable to low and middle income families, helping states build a strong child care infrastructure, setting minimum standards for health, safely, and quality, and thereby enabling parents to work and their Children to get an early start on their education and personal fulfillment. We believe that the strength of our families is enhanced by programs to prevent abuse and malnutrition among children, crime, dropouts and pregnancy among teenagers and violence in the family; by aggressive child support enforcement; and by emphasizing family preservation and quality foster care. We further believe that our nation faces a crisis of under-investment in our children, particularly in the early years of life. Strong, healthy babies with early opportunities that foster intellectual, emotional and physical growth begin school with an enhanced foundation for learning. There are few better investments for this country than prenatal care, infant nutrition and preschool education, and there are few more successful programs than WIC, Head Start, and prenatal care. We know what works; yet these successful programs have been starved for funds. The Democratic Party pledges to meet this urgent need by providing the funding necessary to reach those unserved children who are—and must be—our national priority.</w:t>
      </w:r>
    </w:p>
    <w:p w:rsidR="00A31137" w:rsidRPr="00A31137" w:rsidRDefault="00A31137" w:rsidP="00A31137">
      <w:r w:rsidRPr="00A31137">
        <w:t>1988 Democratic Platform, p.4</w:t>
      </w:r>
    </w:p>
    <w:p w:rsidR="00A31137" w:rsidRPr="00A31137" w:rsidRDefault="00A31137" w:rsidP="00A31137">
      <w:r w:rsidRPr="00A31137">
        <w:t>WE BELIEVE that America needs more trade, fair trade, an Administration willing to use all the tools available to better manage our trade in order to export more American goods and fewer American jobs, an Administration willing to recognize in the formulation and enforcement of our trade laws that workers' rights are important human rights abroad as well as at home, and that advance notice of plant Closings and major layoffs is not only fundamentally right but also economically sound. We believe that we can and must improve our competitiveness in the world economy, using our best minds to create the most advanced technology in the world through a greater commitment to civilian research and development and science, engineering and mathematics training, through more public-private and business-labor cooperation and mutual respect, through more intergovernmental partnerships, and through a better balance between fiscal and monetary policy and between military and civilian research and development. We further believe in halting such, irresponsible corporate conduct as unproductive takeovers, monopolistic mergers, insider trading, and golden parachutes for executives by reinvigorating our anti-trust and securities laws, reviewing large mergers, and discouraging short-term speculation taking place at the expense of long-term investment.</w:t>
      </w:r>
    </w:p>
    <w:p w:rsidR="00A31137" w:rsidRPr="00A31137" w:rsidRDefault="00A31137" w:rsidP="00A31137">
      <w:r w:rsidRPr="00A31137">
        <w:t>1988 Democratic Platform, p.5</w:t>
      </w:r>
    </w:p>
    <w:p w:rsidR="00A31137" w:rsidRPr="00A31137" w:rsidRDefault="00A31137" w:rsidP="00A31137">
      <w:r w:rsidRPr="00A31137">
        <w:t>[p.5] WE BELIEVE that the education of our citizens, from Head Start to institutions of higher learning, deserves our highest priority; and that history will judge the next administration less by its success in building new weapons of war than by its success in improving young minds. We now spend only two cents of every federal dollar for education. We pledge to better balance our national priorities by significantly increasing federal funding for education. We believe that this nation needs to invest in its children on the front side of life by expanding the availability of pre-school education for children at risk; to invest in its teachers through training and enrichment programs, including a National Teacher Corps to recruit teachers for tomorrow, especially minorities, with scholarships today; to commit itself for the first time to the principle that no one should be denied the opportunity to attend college for financial reasons; to ensure equal access to education by providing incentives and mechanisms for the equalization of financing among local school districts within each state; to reverse cuts made in compensatory reading, math and enrichment services to low income children; and to expand support for bilingual education, historically Black and Hispanic institutions, the education of those with special needs, the arts and humanities, and an aggressive campaign to end illiteracy.</w:t>
      </w:r>
    </w:p>
    <w:p w:rsidR="00A31137" w:rsidRPr="00A31137" w:rsidRDefault="00A31137" w:rsidP="00A31137">
      <w:r w:rsidRPr="00A31137">
        <w:t>1988 Democratic Platform, p.5</w:t>
      </w:r>
    </w:p>
    <w:p w:rsidR="00A31137" w:rsidRPr="00A31137" w:rsidRDefault="00A31137" w:rsidP="00A31137">
      <w:r w:rsidRPr="00A31137">
        <w:t>WE BELIEVE that illegal drugs pose a direct threat to the security of our nation from coast to coast, invading our neighborhoods, classrooms, homes and communities large and small; that every arm and agency of government at every federal, state and local level—including every useful diplomatic, military, educational, medical and law enforcement effort necessary—should at long last be mobilized and coordinated with private efforts under the direction of a National Drug "Czar" to halt both the international supply and the domestic demand for illegal drugs now ravaging our country; and that the legalization of illicit drugs would represent a tragic surrender in a war we intend to win. We believe that this effort should include comprehensive programs to educate our children at the earliest ages on the dangers of alcohol and drug abuse, readily available treatment and counseling for those who seek to address their dependency, the strengthening of vital interdiction agencies, such as the U.S. Coast Guard and Customs, a summit of Western hemispheric nations to coordinate efforts to cut off drugs at the source, and foreign development assistance to reform drug-based economies by promoting crop substitution.</w:t>
      </w:r>
    </w:p>
    <w:p w:rsidR="00A31137" w:rsidRPr="00A31137" w:rsidRDefault="00A31137" w:rsidP="00A31137">
      <w:r w:rsidRPr="00A31137">
        <w:t>1988 Democratic Platform, p.5</w:t>
      </w:r>
    </w:p>
    <w:p w:rsidR="00A31137" w:rsidRPr="00A31137" w:rsidRDefault="00A31137" w:rsidP="00A31137">
      <w:r w:rsidRPr="00A31137">
        <w:t>WE BELIEVE that the federal government should provide increased assistance to local criminal justice agencies, enforce a ban on "cop killer" bullets that have no purpose other than the killing and maiming of law enforcement officers, reinforce our commitment to help crime victims, and assume a leadership role in securing the safety of our neighborhoods and homes. We further believe that the repeated toleration in Washington of unethical and unlawful greed among too many of those who have been governing our nation, procuring our weapons and polluting our environment has made far more difficult the daily work of the local policemen, teachers and parents who must convey to our children respect for justice and authority.</w:t>
      </w:r>
    </w:p>
    <w:p w:rsidR="00A31137" w:rsidRPr="00A31137" w:rsidRDefault="00A31137" w:rsidP="00A31137">
      <w:r w:rsidRPr="00A31137">
        <w:t>1988 Democratic Platform, p.5</w:t>
      </w:r>
    </w:p>
    <w:p w:rsidR="00A31137" w:rsidRPr="00A31137" w:rsidRDefault="00A31137" w:rsidP="00A31137">
      <w:r w:rsidRPr="00A31137">
        <w:t>WE BELIEVE that we honor our multicultural heritage by assuring equal access to government services, employment, housing, business enterprise and education to every citizen regardless of race, sex, national origin, religion, age, handicapping condition or sexual orientation; that these rights are without exception too precious to be jeopardized by Federal Judges and Justice Department officials chosen during the past years—by a political party increasingly monolithic both racially and culturally—more for their unenlightened ideological views than for their respect for the rule of law. We further believe that we must work for the adoption of the Equal Rights Amendment to the Constitution; that the fundamental right of reproductive choice should be guaranteed regardless of ability to pay; that our machinery for civil rights enforcement and legal services to the poor should be rebuilt and vigorously utilized; and that our immigration policy should be reformed to promote fairness, non-discrimination and family reunification and to reflect our constitutional freedoms of speech, association [p.6] and travel. We further believe that the voting rights of all minorities should be protected, the recent surge in hate violence and negative stereotyping combatted, the discriminatory English-only pressure groups resisted, our treaty commitments with Native Americans enforced by culturally sensitive officials, and the lingering effects of past discrimination eliminated by affirmative action, including goals, timetables, and procurement set-asides.</w:t>
      </w:r>
    </w:p>
    <w:p w:rsidR="00A31137" w:rsidRPr="00A31137" w:rsidRDefault="00A31137" w:rsidP="00A31137">
      <w:r w:rsidRPr="00A31137">
        <w:t>1988 Democratic Platform, p.6</w:t>
      </w:r>
    </w:p>
    <w:p w:rsidR="00A31137" w:rsidRPr="00A31137" w:rsidRDefault="00A31137" w:rsidP="00A31137">
      <w:r w:rsidRPr="00A31137">
        <w:t>WE BELIEVE that the housing crisis of the 1980s must be halted—a crisis that has left this country battered by a rising tide of homelessness unprecedented since the Great Depression, by a tightening squeeze on low and moderate income families that is projected to leave seven million people without affordable housing by 1993, and by a bleak outlook for young working families who cannot afford to buy their first home. We believe that steps should be taken to ensure a decent place to live for every American. We believe that homelessness—a national shame—should be ended in America; that the supply of affordable housing should be expanded in order to avoid the projected shortfall; that employer-assisted housing end development by community based non-profit organizations should be encouraged; that the inventory of public and subsidized housing Should be renovated, preserved and increased; that foreclosed government property should be restored to productive use; and that first-time home-buyers should be assisted.</w:t>
      </w:r>
    </w:p>
    <w:p w:rsidR="00A31137" w:rsidRPr="00A31137" w:rsidRDefault="00A31137" w:rsidP="00A31137">
      <w:r w:rsidRPr="00A31137">
        <w:t>1988 Democratic Platform, p.6</w:t>
      </w:r>
    </w:p>
    <w:p w:rsidR="00A31137" w:rsidRPr="00A31137" w:rsidRDefault="00A31137" w:rsidP="00A31137">
      <w:r w:rsidRPr="00A31137">
        <w:t>WE BELIEVE that we can rebuild America, creating good jobs at good wages through a national reinvestment strategy to construct new housing, repair our sewers, rebuild our roads and replace our bridges. We believe that we must pursue needed investment through innovative partnerships and creative financing mechanisms such as a voluntary program to invest a portion of public and private pension funds as a steady source of investment capital by guaranteeing security and a fair rate of return and assuring sound project management.</w:t>
      </w:r>
    </w:p>
    <w:p w:rsidR="00A31137" w:rsidRPr="00A31137" w:rsidRDefault="00A31137" w:rsidP="00A31137">
      <w:r w:rsidRPr="00A31137">
        <w:t>1988 Democratic Platform, p.6</w:t>
      </w:r>
    </w:p>
    <w:p w:rsidR="00A31137" w:rsidRPr="00A31137" w:rsidRDefault="00A31137" w:rsidP="00A31137">
      <w:r w:rsidRPr="00A31137">
        <w:t>WE BELIEVE that all Americans should enjoy access to affordable, comprehensive health Services for both the physically and mentally ill, from prenatal care for pregnant woman at risk to more adequate care for our Vietnam and other veterans, from well-baby care to childhood immunization to Medicare; that a national health program providing federal coordination and leadership is necessary to retrain health care costs while assuring quality care and advance medical research; that quality, affordable, long-term home and health care should be available to all senior and disabled citizens, allowing them to live with dignity in the most appropriate setting; that an important first step toward comprehensive health services is to ensure that every family should have the security of basic health insurance; and that the HIV/AIDS epidemic is an unprecedented public health emergency requiring increased support for accelerated research on, and expedited FDA approval of, treatments and vaccines, comprehensive education and prevention, compassionate patient care, adoption of the public health community consensus on voluntary and confidential testing and counseling, and protection of the civil rights of those suffering from AIDS or AIDS-Related Complex or testing positive for the HIV antibody.</w:t>
      </w:r>
    </w:p>
    <w:p w:rsidR="00A31137" w:rsidRPr="00A31137" w:rsidRDefault="00A31137" w:rsidP="00A31137">
      <w:r w:rsidRPr="00A31137">
        <w:t>1988 Democratic Platform, p.6</w:t>
      </w:r>
    </w:p>
    <w:p w:rsidR="00A31137" w:rsidRPr="00A31137" w:rsidRDefault="00A31137" w:rsidP="00A31137">
      <w:r w:rsidRPr="00A31137">
        <w:t>WE BELIEVE that the last seven years have witnessed an unprecedented assault on our national interest and national security through the poisoning of our air with acid rain, the dumping of toxic wastes into our water, and the destruction of our parks and shores; that pollution must be stopped at the source by shifting to new, environmentally sound manufacturing and farming technologies; that the federal government must promote recycling as the best, least costly way to solve the trash crisis. aggressively enforce toxic waste laws and require polluters to be responsible for future clean-up costs; that this nation must redouble its efforts to provide clean waterways; sound water management and safe drinkable ground water throughout the country; that our national parks, forests, wildlife refuges, and coastal zones must be protected and used only in an environmentally sound manner: [p.7] that all offshore oil drilling in environmentally sensitive areas should be opposed; and that regular world environmental summits should be convened by the United States to address the depletion of the ozone layer, the "greenhouse effect," the destruction of tropical forests and other global threats and to create a global action plan for environmental restoration.</w:t>
      </w:r>
    </w:p>
    <w:p w:rsidR="00A31137" w:rsidRPr="00A31137" w:rsidRDefault="00A31137" w:rsidP="00A31137">
      <w:r w:rsidRPr="00A31137">
        <w:t>1988 Democratic Platform, p.7</w:t>
      </w:r>
    </w:p>
    <w:p w:rsidR="00A31137" w:rsidRPr="00A31137" w:rsidRDefault="00A31137" w:rsidP="00A31137">
      <w:r w:rsidRPr="00A31137">
        <w:t>WE BELIEVE that all Americans, producers and consumers alike, benefit when food and fiber are produced not by a few large corporations and conglomerates but by hundreds of thousands of family farmers obtaining a fair price for their product; that the disastrous farm policies of the last seven years. despite record federal spreading, have forced hundreds of thousands of families from their farms while others are struggling to survive; and that a workable agricultural policy should include supply management, reasonable price supports, soil conservation and protection of rural water quality, credit and foreclosure relief, the return of federally held foreclosed lands to minority, beginning ,and restarting farmers, the development of new uses and markets for American farm products, improved disaster relief, and the revitalization of rural America through new sources of capital for rural business and new federal support for rural health care, housing, education, water supply and infrastructure. We further believe that no person should go to bed hungry and that we must renew the fight against hunger at home and abroad, make food available to those nations who need it and want it, and convene an international conference of food producing nations.</w:t>
      </w:r>
    </w:p>
    <w:p w:rsidR="00A31137" w:rsidRPr="00A31137" w:rsidRDefault="00A31137" w:rsidP="00A31137">
      <w:r w:rsidRPr="00A31137">
        <w:t>1988 Democratic Platform, p.7</w:t>
      </w:r>
    </w:p>
    <w:p w:rsidR="00A31137" w:rsidRPr="00A31137" w:rsidRDefault="00A31137" w:rsidP="00A31137">
      <w:r w:rsidRPr="00A31137">
        <w:t>WE BELIEVE that a balanced, coherent energy policy, based on dependable supplies at reasonable prices, is necessary to protect our national security, ensure a clean environment. and promote stable economic growth and prosperity, both nationally and in our energy producing regions; that the inevitable transition from our present, nearly total dependence on increasingly scarce and environmentally damaging non-renewable sources to renewable sources should begin now; that such a policy includes increased cooperation with our hemispheric neighbors, filling the Strategic Petroleum Reserve, promoting the use of natural gas, methanol and ethanol as alternative transportation fuels, encouraging the use of our vast natural gas and coal reserves while aggressively developing clean coal technology to combat acid rain, and providing targeted new incentives for new oil and gas drilling and development, for the development of renewable and alternative sources of energy, and for the promotion of energy conservation. We believe that with these changes the country could reduce its reliance on nuclear power while insisting that all plants are safe, environmentally sound and assured of safe waste disposal.</w:t>
      </w:r>
    </w:p>
    <w:p w:rsidR="00A31137" w:rsidRPr="00A31137" w:rsidRDefault="00A31137" w:rsidP="00A31137">
      <w:r w:rsidRPr="00A31137">
        <w:t>1988 Democratic Platform, p.7</w:t>
      </w:r>
    </w:p>
    <w:p w:rsidR="00A31137" w:rsidRPr="00A31137" w:rsidRDefault="00A31137" w:rsidP="00A31137">
      <w:r w:rsidRPr="00A31137">
        <w:t>WE BELIEVE that this country's democratic processes must be revitalized: by securing universal, same day and mail-in voter registration as well as registration on the premises of appropriate government agencies; by preventing the misuse of at-large elections, the abuse of election day challenges and registration roll purges, any undercounting in the national census, and any dilution of the one-person, one-vote principle; by ending discrimination against public employees who are denied the right to full political participation; by supporting statehood for the District Of Columbia; by treating the off-shore territories under our flag equitably and sensitively under federal policies, assisting their economic and social development and respecting their right to decide their future in their relationship with the United States; by empowering the commonwealth of Puerto Rico with greater autonomy within its relationship with the United States to achieve the economic, social and political goals of its people, and by giving it just and fair participation in federal programs; by assuring and pledging the full and equal access of women and minorities to elective office and party endorsement; and by minimizing the domination and distortion of our elections by moneyed interests.</w:t>
      </w:r>
    </w:p>
    <w:p w:rsidR="00A31137" w:rsidRPr="00A31137" w:rsidRDefault="00A31137" w:rsidP="00A31137">
      <w:r w:rsidRPr="00A31137">
        <w:t>1988 Democratic Platform, p.7</w:t>
      </w:r>
    </w:p>
    <w:p w:rsidR="00A31137" w:rsidRPr="00A31137" w:rsidRDefault="00A31137" w:rsidP="00A31137">
      <w:r w:rsidRPr="00A31137">
        <w:t>WE BELIEVE in a stronger America ready to make the tough choices of leadership in an ever-dangerous world; militarily stronger in our overall defense and anti-terrorist capabilities and in the [p.8] cohesion of our military alliances; economically stronger at home and in the global marketplace; intellectually stronger in the advances of our schools, science and technology; and spiritually stronger in the principles we exemplify to the world.</w:t>
      </w:r>
    </w:p>
    <w:p w:rsidR="00A31137" w:rsidRPr="00A31137" w:rsidRDefault="00A31137" w:rsidP="00A31137">
      <w:r w:rsidRPr="00A31137">
        <w:t>1988 Democratic Platform, p.8</w:t>
      </w:r>
    </w:p>
    <w:p w:rsidR="00A31137" w:rsidRPr="00A31137" w:rsidRDefault="00A31137" w:rsidP="00A31137">
      <w:r w:rsidRPr="00A31137">
        <w:t>WE BELIEVE in a clear-headed, tough-minded, decisive American foreign policy that will reflect the changing nature of threats to our security and respond to them in a way that reflects our values and the support of our people, a foreign policy that will respect our Constitution. our Congress and our traditional democratic principles and will in turn be respected for its quiet strength. its bipartisan goals, and its steadfast attention to the concerns and contributions of our allies and international organizations. We believe that we must reassume a role of responsible active international leadership based upon our commitment to democracy, human rights and a more secure world; that this nation, as the world power with the broadest global interests and concerns, has a greater stake than any in building a world at peace and governed by law; that we can neither police the world nor retreat from it; and that to have reliable allies we must be a reliable ally.</w:t>
      </w:r>
    </w:p>
    <w:p w:rsidR="00A31137" w:rsidRPr="00A31137" w:rsidRDefault="00A31137" w:rsidP="00A31137">
      <w:r w:rsidRPr="00A31137">
        <w:t>1988 Democratic Platform, p.8</w:t>
      </w:r>
    </w:p>
    <w:p w:rsidR="00A31137" w:rsidRPr="00A31137" w:rsidRDefault="00A31137" w:rsidP="00A31137">
      <w:r w:rsidRPr="00A31137">
        <w:t>WE BELIEVE that our national strength has been sapped by a defense establishment wasting money on duplicative and dubious new weapons instead of investing more in readiness and mobility; that our national strength will be enhanced by more stable defense budgets and by a commitment from our allies to assume a greater share of the costs and responsibilities required to maintain peace and liberty; and that as military spending and priorities change, government should encourage the conversion of affected military facilities and the retraining of workers to facilitate the creation of new forms of communication, space development and new peacetime growth and productivity.</w:t>
      </w:r>
    </w:p>
    <w:p w:rsidR="00A31137" w:rsidRPr="00A31137" w:rsidRDefault="00A31137" w:rsidP="00A31137">
      <w:r w:rsidRPr="00A31137">
        <w:t>1988 Democratic Platform, p.8</w:t>
      </w:r>
    </w:p>
    <w:p w:rsidR="00A31137" w:rsidRPr="00A31137" w:rsidRDefault="00A31137" w:rsidP="00A31137">
      <w:r w:rsidRPr="00A31137">
        <w:t>WE BELIEVE in an America that will promote peace and prevent war—not by trading weapons for hostages, not by sending brave Americans to undefined missions in Lebanon and Honduras, not by relaxing our vigilance on the assumption that long-range Soviet interests have permanently changed, not by toasting a tyrant like Marcos as a disciple of democracy, but by maintaining a stable nuclear deterrent sufficient to counter any Soviet threat, by standing up to any American adversaries whenever necessary and sitting down with them whenever possible, by making clear our readiness to use force when force is required to protect our essential security commitments, by testing the intentions of the new Soviet leaders about arms control, emigration, human rights and other issues, and by matching them not merely in rhetoric but in reciprocal initiatives and innovation, which take advantage of what may be the greatest opportunity of our lifetime to establish a new, mutually beneficial relationship with the Soviet Union, in which we engage in joint efforts to combat environmental threats, explore peaceful uses of space and eradicate disease and poverty in the developing world, and in a mutual effort to transform the arms race that neither side can win into a contest for people's minds, a contest we know our side will win.</w:t>
      </w:r>
    </w:p>
    <w:p w:rsidR="00A31137" w:rsidRPr="00A31137" w:rsidRDefault="00A31137" w:rsidP="00A31137">
      <w:r w:rsidRPr="00A31137">
        <w:t>1988 Democratic Platform, p.8</w:t>
      </w:r>
    </w:p>
    <w:p w:rsidR="00A31137" w:rsidRPr="00A31137" w:rsidRDefault="00A31137" w:rsidP="00A31137">
      <w:r w:rsidRPr="00A31137">
        <w:t>WE BELIEVE in following up the INF Treaty, a commendable first step, with mutual, verifiable and enforceable agreements that will make significant reductions in strategic weapons in a way that diminishes the risk of nuclear attack by either superpower; reduce conventional forces to lower and equivalent levels in Europe, requiring deeper cuts on the Warsaw Pact side; ban chemical and space weapons in their entirety; promptly initiate a mutual moratorium on missile flight testing and halt all nuclear weapons testing while strengthening our efforts to prevent the spread of these weapons to other nations before the nightmare of nuclear terrorism engulfs us all.</w:t>
      </w:r>
    </w:p>
    <w:p w:rsidR="00A31137" w:rsidRPr="00A31137" w:rsidRDefault="00A31137" w:rsidP="00A31137">
      <w:r w:rsidRPr="00A31137">
        <w:t>1988 Democratic Platform, p.8</w:t>
      </w:r>
    </w:p>
    <w:p w:rsidR="00A31137" w:rsidRPr="00A31137" w:rsidRDefault="00A31137" w:rsidP="00A31137">
      <w:r w:rsidRPr="00A31137">
        <w:t>WE BELIEVE in an America that recognizes not only the realities of East-West relations but the challenges and opportunities of the developing world; that will support and strengthen international law and institutions, promote human and political rights and measure them by one yardstick, and work for economic growth and development. We believe that we must provide leadership, compassion [p.9] and economic assistance to those nations stunted by overwhelming debt, deprivation and austerity, and that we must work to promote active agreements between developing and industrial countries, and the major public and commercial lenders, to provide debt relief and rekindle end sustain economic growth and democracy In Latin America, Asia, and the poorest continent, Africa, which deserves special attention. We further believe that we must enlist the trade surplus nations to join with us in supporting new aid initiatives to fuel growth in developing countries that, though economically depressed, are rich in human and natural potential.</w:t>
      </w:r>
    </w:p>
    <w:p w:rsidR="00A31137" w:rsidRPr="00A31137" w:rsidRDefault="00A31137" w:rsidP="00A31137">
      <w:r w:rsidRPr="00A31137">
        <w:t>1988 Democratic Platform, p.9</w:t>
      </w:r>
    </w:p>
    <w:p w:rsidR="00A31137" w:rsidRPr="00A31137" w:rsidRDefault="00A31137" w:rsidP="00A31137">
      <w:r w:rsidRPr="00A31137">
        <w:t>WE BELIEVE this country should work harder to stop the supplies of arms, from both East and West, that fuel conflict In regions such as the Persian Gulf and Angola. Deeply disturbed that the current administration has too long abandoned the peace process in the Middle East and consistently undermined if in Central America, we believe that this country, maintaining the special relationship with Israel founded upon mutually shared values and strategic interests, should provide new leadership to deliver the promise of peace and security through negotiations that has been held out to Israel and its neighbors by the Camp David Accords. We support the sovereignty, independent, and territorial integrity of Lebanon with a central government strong enough to unite its people, maintain order and live in peace in the region. We are committed to Persian Gulf security end freedom of navigation of international waters, and to an end to the Iran-Iraq war by promoting United Nations efforts to achieve a cease-fire and a negotiated settlement, through an arms embargo on the combatants. We further believe that the United States must fully support the Arias Peace Plan, which calls for an end to the fighting, national reconciliation, guarantees of justice, freedom, human rights and democracy, an end to support for irregular forces, and a commitment by the Central American governments to prevent the use of their territory to destabilize others in the region. Instead of the current emphasis on military solutions we will use negotiations and incentives to encourage free and fair elections and security for all nations in the region. We will cease dealing with drug smugglers and seek to reconcile our differences with countries in Central America, enabling the United States and other countries to focus on the pressing social and economic needs of the people of that region. We further believe in pursuing a policy of economic cooperation instead of confrontation with Mexico and our other hemispheric friends; in helping all developing countries build their own peaceful democratic institutions free from foreign troops, subversion and domination and free from domestic dictators and aggressors; in honoring our treaty obligations; and in using all the tools at our disposal, including diplomacy, trade, aid, food, ideas, and ideals, to defend and enlarge the horizons of freedom on this planet.</w:t>
      </w:r>
    </w:p>
    <w:p w:rsidR="00A31137" w:rsidRPr="00A31137" w:rsidRDefault="00A31137" w:rsidP="00A31137">
      <w:r w:rsidRPr="00A31137">
        <w:t>1988 Democratic Platform, p.9</w:t>
      </w:r>
    </w:p>
    <w:p w:rsidR="00A31137" w:rsidRPr="00A31137" w:rsidRDefault="00A31137" w:rsidP="00A31137">
      <w:r w:rsidRPr="00A31137">
        <w:t>WE BELIEVE in an America that will promote human rights, human dignity and human opportunity in every country on earth; that will fight discrimination, encourage free speech and association and decry oppression in nations friendly and unfriendly. Communist and non-communist, that will encourage our European friends to respect human rights and resolve their long-standing differences over Northern Ireland and Cyprus; that will encourage wherever possible the forces of pluralism and democracy in Eastern Europe and that will support the struggle for human rights in Asia.</w:t>
      </w:r>
    </w:p>
    <w:p w:rsidR="00A31137" w:rsidRPr="00A31137" w:rsidRDefault="00A31137" w:rsidP="00A31137">
      <w:r w:rsidRPr="00A31137">
        <w:t>1988 Democratic Platform, p.9</w:t>
      </w:r>
    </w:p>
    <w:p w:rsidR="00A31137" w:rsidRPr="00A31137" w:rsidRDefault="00A31137" w:rsidP="00A31137">
      <w:r w:rsidRPr="00A31137">
        <w:t>WE BELIEVE the apartheid regime in South Africa to be a uniquely repressive regime, ruthlessly deciding every aspect of public and private life by skin color, engaging in unrelenting violence against its citizens at home and promoting naked aggression against its neighbors in Africa. We believe that the time has come to end all vestiges of the failed policy of constructive engagement, to declare South Africa a terrorist state, to impose comprehensive sanctions upon its economy, to lead the international community in participation in these actions, and to determine a date certain by which United States corporations must leave South Africa. We further believe that to achieve regional security in Southern Africa, we must press forcefully for Namibia's independence by calling for the [p.10] end of South Africa's illegal occupation, a cease fire and elections, must end our counterproductive policy in Angola and must offer support and further assistance to Mozambique and other frontline states.</w:t>
      </w:r>
    </w:p>
    <w:p w:rsidR="00A31137" w:rsidRPr="00A31137" w:rsidRDefault="00A31137" w:rsidP="00A31137">
      <w:r w:rsidRPr="00A31137">
        <w:t>1988 Democratic Platform, p.10</w:t>
      </w:r>
    </w:p>
    <w:p w:rsidR="00A31137" w:rsidRPr="00A31137" w:rsidRDefault="00A31137" w:rsidP="00A31137">
      <w:r w:rsidRPr="00A31137">
        <w:t xml:space="preserve">IN SUM, WE BELIEVE it is time for America to change and move forward again in the interest of all its families—to turn away from an era in which too many of America's children have been homeless or hungry and invest in a new era of hope and progress, an era ef secure families in a secure America in a secure world. </w:t>
      </w:r>
    </w:p>
    <w:p w:rsidR="00A31137" w:rsidRPr="00A31137" w:rsidRDefault="00A31137" w:rsidP="00A31137">
      <w:r w:rsidRPr="00A31137">
        <w:t>1988 Democratic Platform, p.10</w:t>
      </w:r>
    </w:p>
    <w:p w:rsidR="00A31137" w:rsidRPr="00A31137" w:rsidRDefault="00A31137" w:rsidP="00A31137">
      <w:r w:rsidRPr="00A31137">
        <w:t>WE BELIEVE the American dream of opportunity for every citizen can be a reality for all Americans willing to meet their own responsibilities to help make it come true. We believe that governments at the national, state and local level, in partnerships between those levels and in partnership with the private sector, exist to help us solve our problems instead of adding to them. We believe in competent, pragmatic governments, accountable to the people, led by men and women dedicate not to self interest but to service, motivated not by ideology but by American ideals, governing not in a spirit of power and privilege but with a sense of compassion and community. For many years, in state and local capitals across this nation, Democrats have been successfully solving problems and helping people with exactly this kind of innovative government.</w:t>
      </w:r>
    </w:p>
    <w:p w:rsidR="00A31137" w:rsidRPr="00A31137" w:rsidRDefault="00A31137" w:rsidP="00A31137">
      <w:r w:rsidRPr="00A31137">
        <w:t>1988 Democratic Platform, p.10</w:t>
      </w:r>
    </w:p>
    <w:p w:rsidR="00A31137" w:rsidRPr="00A31137" w:rsidRDefault="00A31137" w:rsidP="00A31137">
      <w:r w:rsidRPr="00A31137">
        <w:t>THEREFORE, THE DEMOCRATIC PARTY in Convention assembled and united, the Party of hope and change and fairness for all, hereby declares its readiness to end the stalemate in Washington by challenging, encouraging and inviting the American people—challenging them to do their patriotic best to meet their community responsibilities, encouraging them to protect and preserve their families, our most precious assets, and inviting them to join with us in leading the land we love to a brighter and still greater future of opportunity and justice for all.</w:t>
      </w:r>
    </w:p>
    <w:p w:rsidR="00A31137" w:rsidRPr="00A31137" w:rsidRDefault="00A31137" w:rsidP="00A31137">
      <w:r w:rsidRPr="00A31137">
        <w:t>Republican Platform of 1988</w:t>
      </w:r>
    </w:p>
    <w:p w:rsidR="00A31137" w:rsidRPr="00A31137" w:rsidRDefault="00A31137" w:rsidP="00A31137">
      <w:r w:rsidRPr="00A31137">
        <w:t>Title:</w:t>
      </w:r>
      <w:r w:rsidRPr="00A31137">
        <w:tab/>
        <w:t>Republican Platform of 1988</w:t>
      </w:r>
    </w:p>
    <w:p w:rsidR="00A31137" w:rsidRPr="00A31137" w:rsidRDefault="00A31137" w:rsidP="00A31137">
      <w:r w:rsidRPr="00A31137">
        <w:t>Author:</w:t>
      </w:r>
      <w:r w:rsidRPr="00A31137">
        <w:tab/>
        <w:t>Republican Party</w:t>
      </w:r>
    </w:p>
    <w:p w:rsidR="00A31137" w:rsidRPr="00A31137" w:rsidRDefault="00A31137" w:rsidP="00A31137">
      <w:r w:rsidRPr="00A31137">
        <w:t>Date:</w:t>
      </w:r>
      <w:r w:rsidRPr="00A31137">
        <w:tab/>
        <w:t>1988</w:t>
      </w:r>
    </w:p>
    <w:p w:rsidR="00A31137" w:rsidRPr="00A31137" w:rsidRDefault="00A31137" w:rsidP="00A31137">
      <w:r w:rsidRPr="00A31137">
        <w:t>Source:</w:t>
      </w:r>
      <w:r w:rsidRPr="00A31137">
        <w:tab/>
        <w:t>1988 Republican Party Platform Booklet</w:t>
      </w:r>
    </w:p>
    <w:p w:rsidR="00A31137" w:rsidRPr="00A31137" w:rsidRDefault="00A31137" w:rsidP="00A31137">
      <w:r w:rsidRPr="00A31137">
        <w:t>An American Vision:</w:t>
      </w:r>
    </w:p>
    <w:p w:rsidR="00A31137" w:rsidRPr="00A31137" w:rsidRDefault="00A31137" w:rsidP="00A31137">
      <w:r w:rsidRPr="00A31137">
        <w:t>For Our Children and Our Future</w:t>
      </w:r>
    </w:p>
    <w:p w:rsidR="00A31137" w:rsidRPr="00A31137" w:rsidRDefault="00A31137" w:rsidP="00A31137">
      <w:r w:rsidRPr="00A31137">
        <w:t>Adopted by The Republicn National Convention</w:t>
      </w:r>
    </w:p>
    <w:p w:rsidR="00A31137" w:rsidRPr="00A31137" w:rsidRDefault="00A31137" w:rsidP="00A31137">
      <w:r w:rsidRPr="00A31137">
        <w:t>August 16, 1988</w:t>
      </w:r>
    </w:p>
    <w:p w:rsidR="00A31137" w:rsidRPr="00A31137" w:rsidRDefault="00A31137" w:rsidP="00A31137">
      <w:r w:rsidRPr="00A31137">
        <w:t>Preamble</w:t>
      </w:r>
    </w:p>
    <w:p w:rsidR="00A31137" w:rsidRPr="00A31137" w:rsidRDefault="00A31137" w:rsidP="00A31137">
      <w:r w:rsidRPr="00A31137">
        <w:t>1988 Republican Platform, p.1</w:t>
      </w:r>
    </w:p>
    <w:p w:rsidR="00A31137" w:rsidRPr="00A31137" w:rsidRDefault="00A31137" w:rsidP="00A31137">
      <w:r w:rsidRPr="00A31137">
        <w:t>An election is about the future, about change. But it is also about the values we will carry with us as we journey into tomorrow and about continuity with the best from our past.</w:t>
      </w:r>
    </w:p>
    <w:p w:rsidR="00A31137" w:rsidRPr="00A31137" w:rsidRDefault="00A31137" w:rsidP="00A31137">
      <w:r w:rsidRPr="00A31137">
        <w:t>1988 Republican Platform, p.1</w:t>
      </w:r>
    </w:p>
    <w:p w:rsidR="00A31137" w:rsidRPr="00A31137" w:rsidRDefault="00A31137" w:rsidP="00A31137">
      <w:r w:rsidRPr="00A31137">
        <w:t>On the threshold of a new century, we live in a time of unprecedented technological, social, and cultural development, and a rapidly emerging global economy. This election will bring change. The question is: Will it be change and progress with the Republicans or change and chaos with the Democrats?</w:t>
      </w:r>
    </w:p>
    <w:p w:rsidR="00A31137" w:rsidRPr="00A31137" w:rsidRDefault="00A31137" w:rsidP="00A31137">
      <w:r w:rsidRPr="00A31137">
        <w:t>1988 Republican Platform, p.1</w:t>
      </w:r>
    </w:p>
    <w:p w:rsidR="00A31137" w:rsidRPr="00A31137" w:rsidRDefault="00A31137" w:rsidP="00A31137">
      <w:r w:rsidRPr="00A31137">
        <w:t>Americans want leadership to direct the forces of change, on America's terms, guided by American values. The next stage of the American experiment will be a new dynamic partnership in which people direct government and government empowers people to solve their own problems and to have more choices in their lives.</w:t>
      </w:r>
    </w:p>
    <w:p w:rsidR="00A31137" w:rsidRPr="00A31137" w:rsidRDefault="00A31137" w:rsidP="00A31137">
      <w:r w:rsidRPr="00A31137">
        <w:t>1988 Republican Platform, p.1</w:t>
      </w:r>
    </w:p>
    <w:p w:rsidR="00A31137" w:rsidRPr="00A31137" w:rsidRDefault="00A31137" w:rsidP="00A31137">
      <w:r w:rsidRPr="00A31137">
        <w:t>In 1984, we said, "From freedom comes opportunity; from opportunity comes growth; from growth comes progress,"</w:t>
      </w:r>
    </w:p>
    <w:p w:rsidR="00A31137" w:rsidRPr="00A31137" w:rsidRDefault="00A31137" w:rsidP="00A31137">
      <w:r w:rsidRPr="00A31137">
        <w:t>1988 Republican Platform, p.1</w:t>
      </w:r>
    </w:p>
    <w:p w:rsidR="00A31137" w:rsidRPr="00A31137" w:rsidRDefault="00A31137" w:rsidP="00A31137">
      <w:r w:rsidRPr="00A31137">
        <w:t>In 1988, we reaffirm that truth. Freedom works. This is not sloganeering, but a verifiable fact. It has been abundantly documented during the Reagan-Bush Administration in terms of real jobs and real progress for individuals, families, and communities urban and rural. Our platform reflects on every page our continuing faith in the creative power of human freedom.</w:t>
      </w:r>
    </w:p>
    <w:p w:rsidR="00A31137" w:rsidRPr="00A31137" w:rsidRDefault="00A31137" w:rsidP="00A31137">
      <w:r w:rsidRPr="00A31137">
        <w:t>1988 Republican Platform, p.1</w:t>
      </w:r>
    </w:p>
    <w:p w:rsidR="00A31137" w:rsidRPr="00A31137" w:rsidRDefault="00A31137" w:rsidP="00A31137">
      <w:r w:rsidRPr="00A31137">
        <w:t>Defending and expanding freedom is our first priority. During the last eight years, the American people joined with the Reagan-Bush Administration in advancing the cause of freedom at home and around the world. Our platform reflects George Bush's belief that military strength, diplomatic resoluteness, and firm leadership are necessary to keep our country and our allies free.</w:t>
      </w:r>
    </w:p>
    <w:p w:rsidR="00A31137" w:rsidRPr="00A31137" w:rsidRDefault="00A31137" w:rsidP="00A31137">
      <w:r w:rsidRPr="00A31137">
        <w:t>1988 Republican Platform, p.1</w:t>
      </w:r>
    </w:p>
    <w:p w:rsidR="00A31137" w:rsidRPr="00A31137" w:rsidRDefault="00A31137" w:rsidP="00A31137">
      <w:r w:rsidRPr="00A31137">
        <w:t>Republicans know the United States is a nation of communities—churches, neighborhoods, social and charitable organizations, professional groups, unions and private and voluntary organizations in city, suburb, and countryside. It is We, the people, building the future in freedom. It is from these innumerable American communities, made up of people with good heads and good hearts, that innovation, creativity, and the works of social justice and mercy naturally flow and flourish. This is why George Bush and all Republicans believe in empowering people and not bureaucracies.</w:t>
      </w:r>
    </w:p>
    <w:p w:rsidR="00A31137" w:rsidRPr="00A31137" w:rsidRDefault="00A31137" w:rsidP="00A31137">
      <w:r w:rsidRPr="00A31137">
        <w:t>1988 Republican Platform, p.2</w:t>
      </w:r>
    </w:p>
    <w:p w:rsidR="00A31137" w:rsidRPr="00A31137" w:rsidRDefault="00A31137" w:rsidP="00A31137">
      <w:r w:rsidRPr="00A31137">
        <w:t>At the very heart of this platform is our belief that the strength of [p.2] America is its people: free men and women, with faith in God, working for themselves and their families, believing in the inestimable value of every human being from the very young to the very old, building and sustaining communities, quietly performing those "little, nameless, unremembered acts of kindness and love" that make up the best portion of our lives, defending freedom, proud of their diverse heritages. They are still eager to grasp the future, to seize life's challenges and, through faith and love and work, to transform them into the valuable, the useful, and the beautiful.</w:t>
      </w:r>
    </w:p>
    <w:p w:rsidR="00A31137" w:rsidRPr="00A31137" w:rsidRDefault="00A31137" w:rsidP="00A31137">
      <w:r w:rsidRPr="00A31137">
        <w:t>1988 Republican Platform, p.2</w:t>
      </w:r>
    </w:p>
    <w:p w:rsidR="00A31137" w:rsidRPr="00A31137" w:rsidRDefault="00A31137" w:rsidP="00A31137">
      <w:r w:rsidRPr="00A31137">
        <w:t>This is what the American people do, quietly, patiently, without headlines, as a nation of communities, every day. This is the continuing American revolution of continuity and change.</w:t>
      </w:r>
    </w:p>
    <w:p w:rsidR="00A31137" w:rsidRPr="00A31137" w:rsidRDefault="00A31137" w:rsidP="00A31137">
      <w:r w:rsidRPr="00A31137">
        <w:t>1988 Republican Platform, p.2</w:t>
      </w:r>
    </w:p>
    <w:p w:rsidR="00A31137" w:rsidRPr="00A31137" w:rsidRDefault="00A31137" w:rsidP="00A31137">
      <w:r w:rsidRPr="00A31137">
        <w:t xml:space="preserve">This is the American people's true miracle of freedom. It is to them that we dedicate this platform. [p.3] </w:t>
      </w:r>
    </w:p>
    <w:p w:rsidR="00A31137" w:rsidRPr="00A31137" w:rsidRDefault="00A31137" w:rsidP="00A31137">
      <w:r w:rsidRPr="00A31137">
        <w:t>Jobs, Growth, and Opportunity for All</w:t>
      </w:r>
    </w:p>
    <w:p w:rsidR="00A31137" w:rsidRPr="00A31137" w:rsidRDefault="00A31137" w:rsidP="00A31137">
      <w:r w:rsidRPr="00A31137">
        <w:t>1988 Republican Platform, p.3</w:t>
      </w:r>
    </w:p>
    <w:p w:rsidR="00A31137" w:rsidRPr="00A31137" w:rsidRDefault="00A31137" w:rsidP="00A31137">
      <w:r w:rsidRPr="00A31137">
        <w:t>America again leads the world, confident of our abilities, proud of our products, sure of our future, the pacesetter for all mankind. Moving toward the threshold of the 21st century, the American people are poised to fulfill their dreams to a degree unparalleled in human history.</w:t>
      </w:r>
    </w:p>
    <w:p w:rsidR="00A31137" w:rsidRPr="00A31137" w:rsidRDefault="00A31137" w:rsidP="00A31137">
      <w:r w:rsidRPr="00A31137">
        <w:t>1988 Republican Platform, p.3</w:t>
      </w:r>
    </w:p>
    <w:p w:rsidR="00A31137" w:rsidRPr="00A31137" w:rsidRDefault="00A31137" w:rsidP="00A31137">
      <w:r w:rsidRPr="00A31137">
        <w:t>Our nation of communities is prosperous and free. In the sixth year of unprecedented economic expansion, more people are working than ever before; real family income has risen; inflation is tamed. By almost any measure, Americans are better off than they were eight years ago. The Reagan Revolution has become a Republican renaissance. Our country's back—back in business and back on top again.</w:t>
      </w:r>
    </w:p>
    <w:p w:rsidR="00A31137" w:rsidRPr="00A31137" w:rsidRDefault="00A31137" w:rsidP="00A31137">
      <w:r w:rsidRPr="00A31137">
        <w:t>1988 Republican Platform, p.3</w:t>
      </w:r>
    </w:p>
    <w:p w:rsidR="00A31137" w:rsidRPr="00A31137" w:rsidRDefault="00A31137" w:rsidP="00A31137">
      <w:r w:rsidRPr="00A31137">
        <w:t>Government didn't work this economic wonder. The people did. Republicans got government out of the way, off the backs of households and entrepreneurs, so the people could take charge. Once again our people have the freedom to grow. From that freedom come prosperity and security.</w:t>
      </w:r>
    </w:p>
    <w:p w:rsidR="00A31137" w:rsidRPr="00A31137" w:rsidRDefault="00A31137" w:rsidP="00A31137">
      <w:r w:rsidRPr="00A31137">
        <w:t>1988 Republican Platform, p.3</w:t>
      </w:r>
    </w:p>
    <w:p w:rsidR="00A31137" w:rsidRPr="00A31137" w:rsidRDefault="00A31137" w:rsidP="00A31137">
      <w:r w:rsidRPr="00A31137">
        <w:t>From freedom comes opportunity; from opportunity comes growth; from growth comes progress.</w:t>
      </w:r>
    </w:p>
    <w:p w:rsidR="00A31137" w:rsidRPr="00A31137" w:rsidRDefault="00A31137" w:rsidP="00A31137">
      <w:r w:rsidRPr="00A31137">
        <w:t>1988 Republican Platform, p.3</w:t>
      </w:r>
    </w:p>
    <w:p w:rsidR="00A31137" w:rsidRPr="00A31137" w:rsidRDefault="00A31137" w:rsidP="00A31137">
      <w:r w:rsidRPr="00A31137">
        <w:t>Freedom is not an abstract concept. No, freedom is the inescapable essence of the American spirit, the driving force which makes Americans different from any other people on the face of the globe.</w:t>
      </w:r>
    </w:p>
    <w:p w:rsidR="00A31137" w:rsidRPr="00A31137" w:rsidRDefault="00A31137" w:rsidP="00A31137">
      <w:r w:rsidRPr="00A31137">
        <w:t>1988 Republican Platform, p.3</w:t>
      </w:r>
    </w:p>
    <w:p w:rsidR="00A31137" w:rsidRPr="00A31137" w:rsidRDefault="00A31137" w:rsidP="00A31137">
      <w:r w:rsidRPr="00A31137">
        <w:t>The restoration of our country's tradition of democratic capitalism has ushered in a new age of optimistic expansion. Based on free enterprise, free markets, and limited government, that tradition regards people as a resource, not a problem. And it works.</w:t>
      </w:r>
      <w:r w:rsidRPr="00A31137">
        <w:cr/>
      </w:r>
    </w:p>
    <w:p w:rsidR="00A31137" w:rsidRPr="00A31137" w:rsidRDefault="00A31137" w:rsidP="00A31137">
      <w:r w:rsidRPr="00A31137">
        <w:t>1988 Republican Platform, p.3</w:t>
      </w:r>
    </w:p>
    <w:p w:rsidR="00A31137" w:rsidRPr="00A31137" w:rsidRDefault="00A31137" w:rsidP="00A31137">
      <w:r w:rsidRPr="00A31137">
        <w:t>On every continent, governments are beginning to follow some degree of America's formula to cut tax rates, loosen regulation, free the private sector, and trust the people.</w:t>
      </w:r>
    </w:p>
    <w:p w:rsidR="00A31137" w:rsidRPr="00A31137" w:rsidRDefault="00A31137" w:rsidP="00A31137">
      <w:r w:rsidRPr="00A31137">
        <w:t>1988 Republican Platform, p.3</w:t>
      </w:r>
    </w:p>
    <w:p w:rsidR="00A31137" w:rsidRPr="00A31137" w:rsidRDefault="00A31137" w:rsidP="00A31137">
      <w:r w:rsidRPr="00A31137">
        <w:t>Remember the Carter-Mondale years:</w:t>
      </w:r>
    </w:p>
    <w:p w:rsidR="00A31137" w:rsidRPr="00A31137" w:rsidRDefault="00A31137" w:rsidP="00A31137">
      <w:r w:rsidRPr="00A31137">
        <w:t>1988 Republican Platform, p.3</w:t>
      </w:r>
    </w:p>
    <w:p w:rsidR="00A31137" w:rsidRPr="00A31137" w:rsidRDefault="00A31137" w:rsidP="00A31137">
      <w:r w:rsidRPr="00A31137">
        <w:t>•</w:t>
      </w:r>
      <w:r w:rsidRPr="00A31137">
        <w:tab/>
        <w:t>Taxes skyrocketed every year as the Democrats' inflation pushed everyone into higher tax brackets.</w:t>
      </w:r>
    </w:p>
    <w:p w:rsidR="00A31137" w:rsidRPr="00A31137" w:rsidRDefault="00A31137" w:rsidP="00A31137">
      <w:r w:rsidRPr="00A31137">
        <w:t>•</w:t>
      </w:r>
      <w:r w:rsidRPr="00A31137">
        <w:tab/>
        <w:t>Prices spiraled, financially strangling those people least able to keep up. This was heightened by the spending mania of a Democrat-controlled Congress. Savings plunged as prices rose. A dollar saved in 1977 was worth only half by 1981.</w:t>
      </w:r>
    </w:p>
    <w:p w:rsidR="00A31137" w:rsidRPr="00A31137" w:rsidRDefault="00A31137" w:rsidP="00A31137">
      <w:r w:rsidRPr="00A31137">
        <w:t>•</w:t>
      </w:r>
      <w:r w:rsidRPr="00A31137">
        <w:tab/>
        <w:t xml:space="preserve">21.5 percent interest rates—levels not seen before or since—placed the basic needs of life beyond the means of many American families. [p.4] </w:t>
      </w:r>
    </w:p>
    <w:p w:rsidR="00A31137" w:rsidRPr="00A31137" w:rsidRDefault="00A31137" w:rsidP="00A31137">
      <w:r w:rsidRPr="00A31137">
        <w:t>1988 Republican Platform, p.4</w:t>
      </w:r>
    </w:p>
    <w:p w:rsidR="00A31137" w:rsidRPr="00A31137" w:rsidRDefault="00A31137" w:rsidP="00A31137">
      <w:r w:rsidRPr="00A31137">
        <w:t>•</w:t>
      </w:r>
      <w:r w:rsidRPr="00A31137">
        <w:tab/>
        <w:t xml:space="preserve"> The Democrats threatened workers, investors, and consumers with "industrial policies" that centralized economic planning.</w:t>
      </w:r>
    </w:p>
    <w:p w:rsidR="00A31137" w:rsidRPr="00A31137" w:rsidRDefault="00A31137" w:rsidP="00A31137">
      <w:r w:rsidRPr="00A31137">
        <w:t>•</w:t>
      </w:r>
      <w:r w:rsidRPr="00A31137">
        <w:tab/>
        <w:t>Joblessness eroded the earnings and dignity of millions under the Democrat Administration.</w:t>
      </w:r>
    </w:p>
    <w:p w:rsidR="00A31137" w:rsidRPr="00A31137" w:rsidRDefault="00A31137" w:rsidP="00A31137">
      <w:r w:rsidRPr="00A31137">
        <w:t>•</w:t>
      </w:r>
      <w:r w:rsidRPr="00A31137">
        <w:tab/>
        <w:t>The number of poor households grew dramatically during the Democrats' years in power.</w:t>
      </w:r>
    </w:p>
    <w:p w:rsidR="00A31137" w:rsidRPr="00A31137" w:rsidRDefault="00A31137" w:rsidP="00A31137">
      <w:r w:rsidRPr="00A31137">
        <w:t>•</w:t>
      </w:r>
      <w:r w:rsidRPr="00A31137">
        <w:tab/>
        <w:t>Economic stagnation caused by the Democrats' policies made it harder to find a job, get a promotion, buy a home, raise a family, or plan for old age.</w:t>
      </w:r>
    </w:p>
    <w:p w:rsidR="00A31137" w:rsidRPr="00A31137" w:rsidRDefault="00A31137" w:rsidP="00A31137">
      <w:r w:rsidRPr="00A31137">
        <w:t>1988 Republican Platform, p.4</w:t>
      </w:r>
    </w:p>
    <w:p w:rsidR="00A31137" w:rsidRPr="00A31137" w:rsidRDefault="00A31137" w:rsidP="00A31137">
      <w:r w:rsidRPr="00A31137">
        <w:t>In addition to all of these problems, the Democrats were telling us that there was something wrong with America and something wrong with its people.</w:t>
      </w:r>
    </w:p>
    <w:p w:rsidR="00A31137" w:rsidRPr="00A31137" w:rsidRDefault="00A31137" w:rsidP="00A31137">
      <w:r w:rsidRPr="00A31137">
        <w:t>1988 Republican Platform, p.4</w:t>
      </w:r>
    </w:p>
    <w:p w:rsidR="00A31137" w:rsidRPr="00A31137" w:rsidRDefault="00A31137" w:rsidP="00A31137">
      <w:r w:rsidRPr="00A31137">
        <w:t>Family Income</w:t>
      </w:r>
    </w:p>
    <w:p w:rsidR="00A31137" w:rsidRPr="00A31137" w:rsidRDefault="00A31137" w:rsidP="00A31137"/>
    <w:p w:rsidR="00A31137" w:rsidRPr="00A31137" w:rsidRDefault="00A31137" w:rsidP="00A31137">
      <w:r w:rsidRPr="00A31137">
        <w:t>1988 Republican Platform, p.4</w:t>
      </w:r>
    </w:p>
    <w:p w:rsidR="00A31137" w:rsidRPr="00A31137" w:rsidRDefault="00A31137" w:rsidP="00A31137">
      <w:r w:rsidRPr="00A31137">
        <w:t>Something was terribly wrong, but not with the people. A half-century of destructive policies, pitting Americans against one another for the [p.5] benefit of the Democrats' political machine, had come to a dead end. The Democrats couldn't find a way out, so the voters showed them the door.</w:t>
      </w:r>
    </w:p>
    <w:p w:rsidR="00A31137" w:rsidRPr="00A31137" w:rsidRDefault="00A31137" w:rsidP="00A31137">
      <w:r w:rsidRPr="00A31137">
        <w:t>1988 Republican Platform, p.5</w:t>
      </w:r>
    </w:p>
    <w:p w:rsidR="00A31137" w:rsidRPr="00A31137" w:rsidRDefault="00A31137" w:rsidP="00A31137">
      <w:r w:rsidRPr="00A31137">
        <w:t>Now the ideological heirs of Carter and Mondale are trying again to sell the public a false bill of goods. These liberals call America's prosperity an illusion. They fantasize our economy is declining. They claim our future is in the hands of other nations. They aren't operating in the real world.</w:t>
      </w:r>
    </w:p>
    <w:p w:rsidR="00A31137" w:rsidRPr="00A31137" w:rsidRDefault="00A31137" w:rsidP="00A31137">
      <w:r w:rsidRPr="00A31137">
        <w:t>1988 Republican Platform, p.5</w:t>
      </w:r>
    </w:p>
    <w:p w:rsidR="00A31137" w:rsidRPr="00A31137" w:rsidRDefault="00A31137" w:rsidP="00A31137">
      <w:r w:rsidRPr="00A31137">
        <w:t>They can't build the future on fear. Americans know that and are constructing their futures on the solid foundation Republicans have already set in place:</w:t>
      </w:r>
    </w:p>
    <w:p w:rsidR="00A31137" w:rsidRPr="00A31137" w:rsidRDefault="00A31137" w:rsidP="00A31137">
      <w:r w:rsidRPr="00A31137">
        <w:t>1988 Republican Platform, p.5</w:t>
      </w:r>
    </w:p>
    <w:p w:rsidR="00A31137" w:rsidRPr="00A31137" w:rsidRDefault="00A31137" w:rsidP="00A31137">
      <w:r w:rsidRPr="00A31137">
        <w:t>•</w:t>
      </w:r>
      <w:r w:rsidRPr="00A31137">
        <w:tab/>
        <w:t>We are in the midst of the longest peacetime expansion in our country's history. Where once we measured new businesses in the thousands, we now count millions. These small businesses have helped create more than 17 million well-paying, high-quality new jobs, more than twice the number of jobs that were created during that time in Japan, Canada, and Western Europe combined! Small business has accounted for 80 percent of the jobs created during the recovery. Who says America has lost its competitive edge?</w:t>
      </w:r>
    </w:p>
    <w:p w:rsidR="00A31137" w:rsidRPr="00A31137" w:rsidRDefault="00A31137" w:rsidP="00A31137">
      <w:r w:rsidRPr="00A31137">
        <w:t>•</w:t>
      </w:r>
      <w:r w:rsidRPr="00A31137">
        <w:tab/>
        <w:t>More Americans are working than ever before. Because of Republican pro-growth policies, the unemployment rate has plunged to its lowest level in 14 years.</w:t>
      </w:r>
    </w:p>
    <w:p w:rsidR="00A31137" w:rsidRPr="00A31137" w:rsidRDefault="00A31137" w:rsidP="00A31137">
      <w:r w:rsidRPr="00A31137">
        <w:t>•</w:t>
      </w:r>
      <w:r w:rsidRPr="00A31137">
        <w:tab/>
        <w:t>Since 1983, 3 million people have risen above the government poverty level. The poverty rate is down for the third consecutive year. The Republican economic program has been the most successful war on poverty.</w:t>
      </w:r>
    </w:p>
    <w:p w:rsidR="00A31137" w:rsidRPr="00A31137" w:rsidRDefault="00A31137" w:rsidP="00A31137">
      <w:r w:rsidRPr="00A31137">
        <w:t>•</w:t>
      </w:r>
      <w:r w:rsidRPr="00A31137">
        <w:tab/>
        <w:t>Under a Republican Administration, family incomes are growing at the fastest pace recorded in 15 years.</w:t>
      </w:r>
    </w:p>
    <w:p w:rsidR="00A31137" w:rsidRPr="00A31137" w:rsidRDefault="00A31137" w:rsidP="00A31137">
      <w:r w:rsidRPr="00A31137">
        <w:t>•</w:t>
      </w:r>
      <w:r w:rsidRPr="00A31137">
        <w:tab/>
        <w:t>Under Republican leadership, tax reform removed 6 million low-income people from the income tax rolls and brought financial relief to tens of millions more.</w:t>
      </w:r>
    </w:p>
    <w:p w:rsidR="00A31137" w:rsidRPr="00A31137" w:rsidRDefault="00A31137" w:rsidP="00A31137">
      <w:r w:rsidRPr="00A31137">
        <w:t>•</w:t>
      </w:r>
      <w:r w:rsidRPr="00A31137">
        <w:tab/>
        <w:t>The typical family is now paying almost $2,000 less per year in income taxes than it would if the Democrats' antiquated income tax system of the 1970s were still in place.</w:t>
      </w:r>
    </w:p>
    <w:p w:rsidR="00A31137" w:rsidRPr="00A31137" w:rsidRDefault="00A31137" w:rsidP="00A31137">
      <w:r w:rsidRPr="00A31137">
        <w:t>•</w:t>
      </w:r>
      <w:r w:rsidRPr="00A31137">
        <w:tab/>
        <w:t>The Carter' "misery index"—the sum of the inflation and unemployment rates—is half of what it was in 1980. Republican economic policies have turned it into a "prosperity index."</w:t>
      </w:r>
    </w:p>
    <w:p w:rsidR="00A31137" w:rsidRPr="00A31137" w:rsidRDefault="00A31137" w:rsidP="00A31137">
      <w:r w:rsidRPr="00A31137">
        <w:t>•</w:t>
      </w:r>
      <w:r w:rsidRPr="00A31137">
        <w:tab/>
        <w:t xml:space="preserve">Republicans reduced inflation to one-third of its 1980 level, helping not only average Americans but also low income Americans and elderly Americans on fixed incomes, who spend most of their income on necessities. [p.6] </w:t>
      </w:r>
    </w:p>
    <w:p w:rsidR="00A31137" w:rsidRPr="00A31137" w:rsidRDefault="00A31137" w:rsidP="00A31137">
      <w:r w:rsidRPr="00A31137">
        <w:t>1988 Republican Platform, p.6</w:t>
      </w:r>
    </w:p>
    <w:p w:rsidR="00A31137" w:rsidRPr="00A31137" w:rsidRDefault="00A31137" w:rsidP="00A31137">
      <w:r w:rsidRPr="00A31137">
        <w:t>•</w:t>
      </w:r>
      <w:r w:rsidRPr="00A31137">
        <w:tab/>
        <w:t xml:space="preserve"> Interest rates are lower by nearly two-thirds than under the Democrats in 1980.</w:t>
      </w:r>
    </w:p>
    <w:p w:rsidR="00A31137" w:rsidRPr="00A31137" w:rsidRDefault="00A31137" w:rsidP="00A31137">
      <w:r w:rsidRPr="00A31137">
        <w:t>•</w:t>
      </w:r>
      <w:r w:rsidRPr="00A31137">
        <w:tab/>
        <w:t>Exports are booming. World sales create local jobs!</w:t>
      </w:r>
    </w:p>
    <w:p w:rsidR="00A31137" w:rsidRPr="00A31137" w:rsidRDefault="00A31137" w:rsidP="00A31137">
      <w:r w:rsidRPr="00A31137">
        <w:t>•</w:t>
      </w:r>
      <w:r w:rsidRPr="00A31137">
        <w:tab/>
        <w:t>Productivity is rising three times as fast under Republican policies as it did during the late 1970s.</w:t>
      </w:r>
    </w:p>
    <w:p w:rsidR="00A31137" w:rsidRPr="00A31137" w:rsidRDefault="00A31137" w:rsidP="00A31137">
      <w:r w:rsidRPr="00A31137">
        <w:t>•</w:t>
      </w:r>
      <w:r w:rsidRPr="00A31137">
        <w:tab/>
        <w:t>Industrial output increased by one-third during the current expansion.</w:t>
      </w:r>
    </w:p>
    <w:p w:rsidR="00A31137" w:rsidRPr="00A31137" w:rsidRDefault="00A31137" w:rsidP="00A31137">
      <w:r w:rsidRPr="00A31137">
        <w:t>•</w:t>
      </w:r>
      <w:r w:rsidRPr="00A31137">
        <w:tab/>
        <w:t>Business investment is increasing 20 percent faster, in real terms, than before the Republican economic resurgence.</w:t>
      </w:r>
    </w:p>
    <w:p w:rsidR="00A31137" w:rsidRPr="00A31137" w:rsidRDefault="00A31137" w:rsidP="00A31137">
      <w:r w:rsidRPr="00A31137">
        <w:t>•</w:t>
      </w:r>
      <w:r w:rsidRPr="00A31137">
        <w:tab/>
        <w:t>The manufacturing sector is now accounting for 23 percent of GNP. U.S. manufacturing jobs have increased overall since 1982. The Democrats are wrong about America losing its industrial base, except in Massachusetts, where the Democrat governor of that State has presided over a net decline of 94,000 manufacturing jobs.</w:t>
      </w:r>
    </w:p>
    <w:p w:rsidR="00A31137" w:rsidRPr="00A31137" w:rsidRDefault="00A31137" w:rsidP="00A31137">
      <w:r w:rsidRPr="00A31137">
        <w:t>1988 Republican Platform, p.6</w:t>
      </w:r>
    </w:p>
    <w:p w:rsidR="00A31137" w:rsidRPr="00A31137" w:rsidRDefault="00A31137" w:rsidP="00A31137">
      <w:r w:rsidRPr="00A31137">
        <w:t>This is not a portrait of a people in decline. It is the profile of a can-do country, hopeful and compassionate, on the move. It is America resurgent, renewed, revitalized by an idea: the belief that free men and women, caring for families and supporting voluntary institutions in a nation of communities, constitute the most powerful force for human progress.</w:t>
      </w:r>
    </w:p>
    <w:p w:rsidR="00A31137" w:rsidRPr="00A31137" w:rsidRDefault="00A31137" w:rsidP="00A31137">
      <w:r w:rsidRPr="00A31137">
        <w:t>1988 Republican Platform, p.6</w:t>
      </w:r>
    </w:p>
    <w:p w:rsidR="00A31137" w:rsidRPr="00A31137" w:rsidRDefault="00A31137" w:rsidP="00A31137">
      <w:r w:rsidRPr="00A31137">
        <w:t>In 1980, Ronald Reagan and George Bush called upon us all to recover from a failed political system the power tightly belonging to the people. Now we call upon our fellow citizens, at the bicentennial of our Constitution, in the words of its preamble, to "secure the blessings of liberty to ourselves and our posterity" by opening new vistas of opportunity.</w:t>
      </w:r>
    </w:p>
    <w:p w:rsidR="00A31137" w:rsidRPr="00A31137" w:rsidRDefault="00A31137" w:rsidP="00A31137">
      <w:r w:rsidRPr="00A31137">
        <w:t>1988 Republican Platform, p.6</w:t>
      </w:r>
    </w:p>
    <w:p w:rsidR="00A31137" w:rsidRPr="00A31137" w:rsidRDefault="00A31137" w:rsidP="00A31137">
      <w:r w:rsidRPr="00A31137">
        <w:t>These "blessings of liberty"—the chance to make a decent living, provide for the family, buy a home, give children a superior education, build a secure retirement, help a new generation reach farther and build higher than we were able to—these are the goals that George Bush and the Republican Party seek for every American.</w:t>
      </w:r>
    </w:p>
    <w:p w:rsidR="00A31137" w:rsidRPr="00A31137" w:rsidRDefault="00A31137" w:rsidP="00A31137">
      <w:r w:rsidRPr="00A31137">
        <w:t>1988 Republican Platform, p.6</w:t>
      </w:r>
    </w:p>
    <w:p w:rsidR="00A31137" w:rsidRPr="00A31137" w:rsidRDefault="00A31137" w:rsidP="00A31137">
      <w:r w:rsidRPr="00A31137">
        <w:t>But this prosperity is not an end in itself. It is a beginning. It frees us to grow and be better than we are, to develop things of the spirit and heart. This is the direction in which George Bush will lead our country. It is prosperity with a purpose.</w:t>
      </w:r>
    </w:p>
    <w:p w:rsidR="00A31137" w:rsidRPr="00A31137" w:rsidRDefault="00A31137" w:rsidP="00A31137">
      <w:r w:rsidRPr="00A31137">
        <w:t>Jobs</w:t>
      </w:r>
    </w:p>
    <w:p w:rsidR="00A31137" w:rsidRPr="00A31137" w:rsidRDefault="00A31137" w:rsidP="00A31137">
      <w:r w:rsidRPr="00A31137">
        <w:t>1988 Republican Platform, p.6</w:t>
      </w:r>
    </w:p>
    <w:p w:rsidR="00A31137" w:rsidRPr="00A31137" w:rsidRDefault="00A31137" w:rsidP="00A31137">
      <w:r w:rsidRPr="00A31137">
        <w:t xml:space="preserve">The Republican Party puts the creation of jobs and opportunity first. In our 1980 and 1984 platforms, we promised to put Americans back to work by restoring economic growth without inflation. We delivered on our promise: [p.7] </w:t>
      </w:r>
    </w:p>
    <w:p w:rsidR="00A31137" w:rsidRPr="00A31137" w:rsidRDefault="00A31137" w:rsidP="00A31137">
      <w:r w:rsidRPr="00A31137">
        <w:t>1988 Republican Platform, p.7</w:t>
      </w:r>
    </w:p>
    <w:p w:rsidR="00A31137" w:rsidRPr="00A31137" w:rsidRDefault="00A31137" w:rsidP="00A31137">
      <w:r w:rsidRPr="00A31137">
        <w:t>•</w:t>
      </w:r>
      <w:r w:rsidRPr="00A31137">
        <w:tab/>
        <w:t>Small business entrepreneurs have led the way in creating new job opportunities, particularly for women, minorities, and youths.</w:t>
      </w:r>
    </w:p>
    <w:p w:rsidR="00A31137" w:rsidRPr="00A31137" w:rsidRDefault="00A31137" w:rsidP="00A31137">
      <w:r w:rsidRPr="00A31137">
        <w:t>•</w:t>
      </w:r>
      <w:r w:rsidRPr="00A31137">
        <w:tab/>
        <w:t>Over 17 million new jobs have been created.</w:t>
      </w:r>
    </w:p>
    <w:p w:rsidR="00A31137" w:rsidRPr="00A31137" w:rsidRDefault="00A31137" w:rsidP="00A31137">
      <w:r w:rsidRPr="00A31137">
        <w:t>•</w:t>
      </w:r>
      <w:r w:rsidRPr="00A31137">
        <w:tab/>
        <w:t>More than 60 percent of these new jobs since 1982 are held by women.</w:t>
      </w:r>
    </w:p>
    <w:p w:rsidR="00A31137" w:rsidRPr="00A31137" w:rsidRDefault="00A31137" w:rsidP="00A31137">
      <w:r w:rsidRPr="00A31137">
        <w:t>•</w:t>
      </w:r>
      <w:r w:rsidRPr="00A31137">
        <w:tab/>
        <w:t>More Americans are working now than at any time in our history.</w:t>
      </w:r>
    </w:p>
    <w:p w:rsidR="00A31137" w:rsidRPr="00A31137" w:rsidRDefault="00A31137" w:rsidP="00A31137">
      <w:r w:rsidRPr="00A31137">
        <w:t>•</w:t>
      </w:r>
      <w:r w:rsidRPr="00A31137">
        <w:tab/>
        <w:t>The unemployment rate is at its lowest level in 14 years.</w:t>
      </w:r>
    </w:p>
    <w:p w:rsidR="00A31137" w:rsidRPr="00A31137" w:rsidRDefault="00A31137" w:rsidP="00A31137">
      <w:r w:rsidRPr="00A31137">
        <w:t>•</w:t>
      </w:r>
      <w:r w:rsidRPr="00A31137">
        <w:tab/>
        <w:t>Statistics show that the great majority of the jobs we have created are full-time, quality jobs, paying more than $20,000 per year.</w:t>
      </w:r>
    </w:p>
    <w:p w:rsidR="00A31137" w:rsidRPr="00A31137" w:rsidRDefault="00A31137" w:rsidP="00A31137">
      <w:r w:rsidRPr="00A31137">
        <w:t>1988 Republican Platform, p.7</w:t>
      </w:r>
    </w:p>
    <w:p w:rsidR="00A31137" w:rsidRPr="00A31137" w:rsidRDefault="00A31137" w:rsidP="00A31137">
      <w:r w:rsidRPr="00A31137">
        <w:t>Job growth for minority and ethnic Americans has been even more impressive:</w:t>
      </w:r>
    </w:p>
    <w:p w:rsidR="00A31137" w:rsidRPr="00A31137" w:rsidRDefault="00A31137" w:rsidP="00A31137">
      <w:r w:rsidRPr="00A31137">
        <w:t>•</w:t>
      </w:r>
      <w:r w:rsidRPr="00A31137">
        <w:tab/>
        <w:t>Minority workers have been finding jobs twice as fast as others.</w:t>
      </w:r>
    </w:p>
    <w:p w:rsidR="00A31137" w:rsidRPr="00A31137" w:rsidRDefault="00A31137" w:rsidP="00A31137">
      <w:r w:rsidRPr="00A31137">
        <w:t>•</w:t>
      </w:r>
      <w:r w:rsidRPr="00A31137">
        <w:tab/>
        <w:t>Black unemployment has been cut almost in half since 1982. Black Americans gained 2.3 million new jobs in the last few years.</w:t>
      </w:r>
    </w:p>
    <w:p w:rsidR="00A31137" w:rsidRPr="00A31137" w:rsidRDefault="00A31137" w:rsidP="00A31137">
      <w:r w:rsidRPr="00A31137">
        <w:t>•</w:t>
      </w:r>
      <w:r w:rsidRPr="00A31137">
        <w:tab/>
        <w:t>Black teen unemployment is at its lowest level in 15 years.</w:t>
      </w:r>
    </w:p>
    <w:p w:rsidR="00A31137" w:rsidRPr="00A31137" w:rsidRDefault="00A31137" w:rsidP="00A31137">
      <w:r w:rsidRPr="00A31137">
        <w:t>•</w:t>
      </w:r>
      <w:r w:rsidRPr="00A31137">
        <w:tab/>
        <w:t>Sales from the top 100 black firms rose 15 percent between 1982 and 1986. The 7.9 percent growth rate for all black businesses compares to an overall rate of 5 percent for all business.</w:t>
      </w:r>
    </w:p>
    <w:p w:rsidR="00A31137" w:rsidRPr="00A31137" w:rsidRDefault="00A31137" w:rsidP="00A31137">
      <w:r w:rsidRPr="00A31137">
        <w:t>•</w:t>
      </w:r>
      <w:r w:rsidRPr="00A31137">
        <w:tab/>
        <w:t>Family incomes of Asian-Americans rank among the highest of all ethnic groups in the United States.</w:t>
      </w:r>
    </w:p>
    <w:p w:rsidR="00A31137" w:rsidRPr="00A31137" w:rsidRDefault="00A31137" w:rsidP="00A31137">
      <w:r w:rsidRPr="00A31137">
        <w:t>•</w:t>
      </w:r>
      <w:r w:rsidRPr="00A31137">
        <w:tab/>
        <w:t>Hispanic employment increased nearly three times as fast as for all civilian workers. More Hispanics are at work now than at any time since record-keeping began.</w:t>
      </w:r>
    </w:p>
    <w:p w:rsidR="00A31137" w:rsidRPr="00A31137" w:rsidRDefault="00A31137" w:rsidP="00A31137">
      <w:r w:rsidRPr="00A31137">
        <w:t>1988 Republican Platform, p.7</w:t>
      </w:r>
    </w:p>
    <w:p w:rsidR="00A31137" w:rsidRPr="00A31137" w:rsidRDefault="00A31137" w:rsidP="00A31137">
      <w:r w:rsidRPr="00A31137">
        <w:t>We will use new technologies, such as computer data bases and telecommunications, to strengthen and streamline job banks matching people who want to work with available jobs.</w:t>
      </w:r>
    </w:p>
    <w:p w:rsidR="00A31137" w:rsidRPr="00A31137" w:rsidRDefault="00A31137" w:rsidP="00A31137">
      <w:r w:rsidRPr="00A31137">
        <w:t>1988 Republican Platform, p.7</w:t>
      </w:r>
    </w:p>
    <w:p w:rsidR="00A31137" w:rsidRPr="00A31137" w:rsidRDefault="00A31137" w:rsidP="00A31137">
      <w:r w:rsidRPr="00A31137">
        <w:t>We advocate incentives for educating, training, and retraining workers for new and better jobs—through programs like the Job Training Partnership Act, which provides for a public/private partnership—as our country surges ahead.</w:t>
      </w:r>
    </w:p>
    <w:p w:rsidR="00A31137" w:rsidRPr="00A31137" w:rsidRDefault="00A31137" w:rsidP="00A31137">
      <w:r w:rsidRPr="00A31137">
        <w:t>1988 Republican Platform, p.7</w:t>
      </w:r>
    </w:p>
    <w:p w:rsidR="00A31137" w:rsidRPr="00A31137" w:rsidRDefault="00A31137" w:rsidP="00A31137">
      <w:r w:rsidRPr="00A31137">
        <w:t>The best jobs program—the one that created more than 17 million jobs since 1982—is lower taxes on people. We believe that every person who wants a job should have the opportunity to get a job. We reject the notion that putting more Americans to work causes inflation. The failure of government make-work programs proves that jobs are created by people in a free market.</w:t>
      </w:r>
    </w:p>
    <w:p w:rsidR="00A31137" w:rsidRPr="00A31137" w:rsidRDefault="00A31137" w:rsidP="00A31137">
      <w:r w:rsidRPr="00A31137">
        <w:t>Opportunity for All</w:t>
      </w:r>
    </w:p>
    <w:p w:rsidR="00A31137" w:rsidRPr="00A31137" w:rsidRDefault="00A31137" w:rsidP="00A31137">
      <w:r w:rsidRPr="00A31137">
        <w:t>1988 Republican Platform, p.8</w:t>
      </w:r>
    </w:p>
    <w:p w:rsidR="00A31137" w:rsidRPr="00A31137" w:rsidRDefault="00A31137" w:rsidP="00A31137">
      <w:r w:rsidRPr="00A31137">
        <w:t>With its message of economic growth and opportunity, the GOP is the natural champion of blacks, minorities, women and ethnic Americans. We urge Republican candidates and officials at all levels to extend to minority Americans everywhere the historic invitation for full participation in our party.</w:t>
      </w:r>
    </w:p>
    <w:p w:rsidR="00A31137" w:rsidRPr="00A31137" w:rsidRDefault="00A31137" w:rsidP="00A31137">
      <w:r w:rsidRPr="00A31137">
        <w:t>1988 Republican Platform, p.8</w:t>
      </w:r>
    </w:p>
    <w:p w:rsidR="00A31137" w:rsidRPr="00A31137" w:rsidRDefault="00A31137" w:rsidP="00A31137">
      <w:r w:rsidRPr="00A31137">
        <w:t>A free economy helps defeat discrimination by fostering opportunity for all. That's why real income for black families has risen 14 percent since 1982. It's why members of minority groups have been gaining jobs in the Republican recovery twice as fast as everyone else. Upward mobility for all Americans has come back strong.</w:t>
      </w:r>
    </w:p>
    <w:p w:rsidR="00A31137" w:rsidRPr="00A31137" w:rsidRDefault="00A31137" w:rsidP="00A31137">
      <w:r w:rsidRPr="00A31137">
        <w:t>1988 Republican Platform, p.8</w:t>
      </w:r>
    </w:p>
    <w:p w:rsidR="00A31137" w:rsidRPr="00A31137" w:rsidRDefault="00A31137" w:rsidP="00A31137">
      <w:r w:rsidRPr="00A31137">
        <w:t>We are the party of real social progress. Republicans welcome the millions of forward-looking Americans who want an "opportunity society," not a welfare state. We believe our country's greatest resource is its people—all its people. Their ingenuity and imagination are needed to make the most of our common future. So we will remove disincentives that keep the less fortunate out of the productive economy:</w:t>
      </w:r>
    </w:p>
    <w:p w:rsidR="00A31137" w:rsidRPr="00A31137" w:rsidRDefault="00A31137" w:rsidP="00A31137">
      <w:r w:rsidRPr="00A31137">
        <w:t>1988 Republican Platform, p.8</w:t>
      </w:r>
    </w:p>
    <w:p w:rsidR="00A31137" w:rsidRPr="00A31137" w:rsidRDefault="00A31137" w:rsidP="00A31137">
      <w:r w:rsidRPr="00A31137">
        <w:t>•</w:t>
      </w:r>
      <w:r w:rsidRPr="00A31137">
        <w:tab/>
        <w:t>Families struggling near the poverty line are always hurt most by tax increases. Six million poor have been removed from the tax rolls in the 1986 Tax Reform Act—the largest income transfer to lower-income Americans since the early 1970s. We will continue to reduce their burden.</w:t>
      </w:r>
    </w:p>
    <w:p w:rsidR="00A31137" w:rsidRPr="00A31137" w:rsidRDefault="00A31137" w:rsidP="00A31137">
      <w:r w:rsidRPr="00A31137">
        <w:t>•</w:t>
      </w:r>
      <w:r w:rsidRPr="00A31137">
        <w:tab/>
        <w:t>We advocate a youth training wage to expand opportunities and enable unskilled young people to enter the work force.</w:t>
      </w:r>
    </w:p>
    <w:p w:rsidR="00A31137" w:rsidRPr="00A31137" w:rsidRDefault="00A31137" w:rsidP="00A31137">
      <w:r w:rsidRPr="00A31137">
        <w:t>•</w:t>
      </w:r>
      <w:r w:rsidRPr="00A31137">
        <w:tab/>
        <w:t>As an alternative to inflationary—and job-destroying—increases in the minimum wage, we will work to boost the incomes of the working poor through the Earned Income Tax Credit, especially for earners who support children. This will mean higher take-home pay for millions of working families.</w:t>
      </w:r>
    </w:p>
    <w:p w:rsidR="00A31137" w:rsidRPr="00A31137" w:rsidRDefault="00A31137" w:rsidP="00A31137">
      <w:r w:rsidRPr="00A31137">
        <w:t>•</w:t>
      </w:r>
      <w:r w:rsidRPr="00A31137">
        <w:tab/>
        <w:t>We will reform welfare to encourage work as the ticket that guarantees full participation in American life.</w:t>
      </w:r>
    </w:p>
    <w:p w:rsidR="00A31137" w:rsidRPr="00A31137" w:rsidRDefault="00A31137" w:rsidP="00A31137">
      <w:r w:rsidRPr="00A31137">
        <w:t xml:space="preserve">• </w:t>
      </w:r>
      <w:r w:rsidRPr="00A31137">
        <w:tab/>
        <w:t>We will undertake a long overdue reform of the unemployment insurance program to reward workers who find new jobs quickly.</w:t>
      </w:r>
    </w:p>
    <w:p w:rsidR="00A31137" w:rsidRPr="00A31137" w:rsidRDefault="00A31137" w:rsidP="00A31137">
      <w:r w:rsidRPr="00A31137">
        <w:t>•</w:t>
      </w:r>
      <w:r w:rsidRPr="00A31137">
        <w:tab/>
        <w:t>We insist upon the right of Americans to work at home. The Home Work Rule, banning sale of certain items made at home, must go. It idles willing workers, prevents mothers from working and caring for their children in their own homes, limits the country's output, and penalizes innocent persons to please special interests.</w:t>
      </w:r>
    </w:p>
    <w:p w:rsidR="00A31137" w:rsidRPr="00A31137" w:rsidRDefault="00A31137" w:rsidP="00A31137">
      <w:r w:rsidRPr="00A31137">
        <w:t>1988 Republican Platform, p.9</w:t>
      </w:r>
    </w:p>
    <w:p w:rsidR="00A31137" w:rsidRPr="00A31137" w:rsidRDefault="00A31137" w:rsidP="00A31137">
      <w:r w:rsidRPr="00A31137">
        <w:t>•</w:t>
      </w:r>
      <w:r w:rsidRPr="00A31137">
        <w:tab/>
        <w:t>We will fight to end the Social Security earnings limitation for the elderly. It discourages older persons from reentering or remaining in the work force, where their experience and wisdom are increasingly needed. As a first step, we will remove the earnings limitation for those whose income is from child care.</w:t>
      </w:r>
    </w:p>
    <w:p w:rsidR="00A31137" w:rsidRPr="00A31137" w:rsidRDefault="00A31137" w:rsidP="00A31137">
      <w:r w:rsidRPr="00A31137">
        <w:t>•</w:t>
      </w:r>
      <w:r w:rsidRPr="00A31137">
        <w:tab/>
        <w:t>We will continue our efforts, already marked with success, to revitalize our cities. We support, on the federal, State and local levels, enterprise zones to promote investment and job creation in beleaguered neighborhoods.</w:t>
      </w:r>
    </w:p>
    <w:p w:rsidR="00A31137" w:rsidRPr="00A31137" w:rsidRDefault="00A31137" w:rsidP="00A31137">
      <w:r w:rsidRPr="00A31137">
        <w:t>Entrepreneurship</w:t>
      </w:r>
    </w:p>
    <w:p w:rsidR="00A31137" w:rsidRPr="00A31137" w:rsidRDefault="00A31137" w:rsidP="00A31137">
      <w:r w:rsidRPr="00A31137">
        <w:t>1988 Republican Platform, p.9</w:t>
      </w:r>
    </w:p>
    <w:p w:rsidR="00A31137" w:rsidRPr="00A31137" w:rsidRDefault="00A31137" w:rsidP="00A31137">
      <w:r w:rsidRPr="00A31137">
        <w:t>Our country's 18 million small business entrepreneurs are the superstars of job creation. In the past decade, they created two out of three new jobs. When they are free to invest and innovate, everyone is better off. They are today's pathfinders, the explorers of America's economic future.</w:t>
      </w:r>
    </w:p>
    <w:p w:rsidR="00A31137" w:rsidRPr="00A31137" w:rsidRDefault="00A31137" w:rsidP="00A31137">
      <w:r w:rsidRPr="00A31137">
        <w:t>1988 Republican Platform, p.9</w:t>
      </w:r>
    </w:p>
    <w:p w:rsidR="00A31137" w:rsidRPr="00A31137" w:rsidRDefault="00A31137" w:rsidP="00A31137">
      <w:r w:rsidRPr="00A31137">
        <w:t>Republicans encourage the women and men in small businesses to think big. To help them create jobs, we will cut to 15 percent the current counterproductive capital gains tax. This will foster investment in new and untried ventures, which often are the cutting edge of constructive change. It will also build the retirement value of workers' pension funds and raise revenues for the federal government.</w:t>
      </w:r>
    </w:p>
    <w:p w:rsidR="00A31137" w:rsidRPr="00A31137" w:rsidRDefault="00A31137" w:rsidP="00A31137">
      <w:r w:rsidRPr="00A31137">
        <w:t>1988 Republican Platform, p.9</w:t>
      </w:r>
    </w:p>
    <w:p w:rsidR="00A31137" w:rsidRPr="00A31137" w:rsidRDefault="00A31137" w:rsidP="00A31137">
      <w:r w:rsidRPr="00A31137">
        <w:t>We will increase, strengthen, and reinvigorate minority business development efforts to afford socially and economically disadvantaged individuals the opportunity for full participation in our free enterprise system.</w:t>
      </w:r>
    </w:p>
    <w:p w:rsidR="00A31137" w:rsidRPr="00A31137" w:rsidRDefault="00A31137" w:rsidP="00A31137">
      <w:r w:rsidRPr="00A31137">
        <w:t>1988 Republican Platform, p.9</w:t>
      </w:r>
    </w:p>
    <w:p w:rsidR="00A31137" w:rsidRPr="00A31137" w:rsidRDefault="00A31137" w:rsidP="00A31137">
      <w:r w:rsidRPr="00A31137">
        <w:t>Work place benefits should be freely negotiated by employee-employer bargaining. We oppose government requirements that shrink workers' paychecks by diverting money away from wages to pay for federal requirements. These hidden taxes add to labor costs without paying those who labor. That is the liberals' way of replacing collective bargaining with congressional edicts about what's good for employees. It reduces the number of jobs and dishonestly imposes on others the costs of programs the Congress can't afford.</w:t>
      </w:r>
    </w:p>
    <w:p w:rsidR="00A31137" w:rsidRPr="00A31137" w:rsidRDefault="00A31137" w:rsidP="00A31137">
      <w:r w:rsidRPr="00A31137">
        <w:t>1988 Republican Platform, p.9</w:t>
      </w:r>
    </w:p>
    <w:p w:rsidR="00A31137" w:rsidRPr="00A31137" w:rsidRDefault="00A31137" w:rsidP="00A31137">
      <w:r w:rsidRPr="00A31137">
        <w:t>We call for a reasonable State and federal product liability standard that will be fair to small businesses, including professional and amateur sports, and to all who are in liability contests. We propose to return the fault-based standard to the civil justice system. Jobs are being lost, useful and sometimes lifesaving products are being discontinued, and America's ability to compete is being adversely affected. Reform will lower costs for all and will return fairness to the system for the benefit of everyone. Republicans recognize the basic right of all Americans to seek redress in the courts; however, we strongly oppose frivolous litigation. In addition, we support [p.10] enactment of fair and balanced reforms of the tort system at the State level.</w:t>
      </w:r>
    </w:p>
    <w:p w:rsidR="00A31137" w:rsidRPr="00A31137" w:rsidRDefault="00A31137" w:rsidP="00A31137">
      <w:r w:rsidRPr="00A31137">
        <w:t>1988 Republican Platform, p.10</w:t>
      </w:r>
    </w:p>
    <w:p w:rsidR="00A31137" w:rsidRPr="00A31137" w:rsidRDefault="00A31137" w:rsidP="00A31137">
      <w:r w:rsidRPr="00A31137">
        <w:t>The remarkable resurgence of small business under the Republican renaissance of the 1980s highlights the key to the future: plant openings, thousands of them in every part of this land, as small businesses lead the way toward yet another decade of compassionate prosperity.</w:t>
      </w:r>
    </w:p>
    <w:p w:rsidR="00A31137" w:rsidRPr="00A31137" w:rsidRDefault="00A31137" w:rsidP="00A31137">
      <w:r w:rsidRPr="00A31137">
        <w:t>Reducing the Burden of Taxes</w:t>
      </w:r>
    </w:p>
    <w:p w:rsidR="00A31137" w:rsidRPr="00A31137" w:rsidRDefault="00A31137" w:rsidP="00A31137">
      <w:r w:rsidRPr="00A31137">
        <w:t>1988 Republican Platform, p.10</w:t>
      </w:r>
    </w:p>
    <w:p w:rsidR="00A31137" w:rsidRPr="00A31137" w:rsidRDefault="00A31137" w:rsidP="00A31137">
      <w:r w:rsidRPr="00A31137">
        <w:t>The Republican Party restates the unequivocal promise we made in 1984: We oppose any attempts to increase taxes. Tax increases harm the economic expansion and reverse the trend to restoring control of the economy to individual Americans.</w:t>
      </w:r>
    </w:p>
    <w:p w:rsidR="00A31137" w:rsidRPr="00A31137" w:rsidRDefault="00A31137" w:rsidP="00A31137">
      <w:r w:rsidRPr="00A31137">
        <w:t>1988 Republican Platform, p.10</w:t>
      </w:r>
    </w:p>
    <w:p w:rsidR="00A31137" w:rsidRPr="00A31137" w:rsidRDefault="00A31137" w:rsidP="00A31137">
      <w:r w:rsidRPr="00A31137">
        <w:t>We reject calls for higher taxes from all quarters—including "bipartisan commissions." The decisions of our government should not be left to a body of unelected officials.</w:t>
      </w:r>
    </w:p>
    <w:p w:rsidR="00A31137" w:rsidRPr="00A31137" w:rsidRDefault="00A31137" w:rsidP="00A31137">
      <w:r w:rsidRPr="00A31137">
        <w:t>1988 Republican Platform, p.10</w:t>
      </w:r>
    </w:p>
    <w:p w:rsidR="00A31137" w:rsidRPr="00A31137" w:rsidRDefault="00A31137" w:rsidP="00A31137">
      <w:r w:rsidRPr="00A31137">
        <w:t>The American people deserve to know, before the election, where all candidates stand on the question of tax increases. Republicans unequivocally reiterate the no-tax pledge we have proudly taken. While we wouldn't believe the Democrats even if they took the pledge, they haven't taken it.</w:t>
      </w:r>
    </w:p>
    <w:p w:rsidR="00A31137" w:rsidRPr="00A31137" w:rsidRDefault="00A31137" w:rsidP="00A31137">
      <w:r w:rsidRPr="00A31137">
        <w:t>1988 Republican Platform, p.10</w:t>
      </w:r>
    </w:p>
    <w:p w:rsidR="00A31137" w:rsidRPr="00A31137" w:rsidRDefault="00A31137" w:rsidP="00A31137">
      <w:r w:rsidRPr="00A31137">
        <w:t>The crowning economic achievement of the Republican Party under Ronald Reagan and George Bush has been the dramatic reduction in personal income taxes. The Reagan-Bush Administration has cut the top marginal tax rate from 70 percent to 28 percent. We got government's heavy hand out of the wallets and purses of all our people. That single step has sparked the longest peacetime expansion in our history.</w:t>
      </w:r>
    </w:p>
    <w:p w:rsidR="00A31137" w:rsidRPr="00A31137" w:rsidRDefault="00A31137" w:rsidP="00A31137">
      <w:r w:rsidRPr="00A31137">
        <w:t>1988 Republican Platform, p.10</w:t>
      </w:r>
    </w:p>
    <w:p w:rsidR="00A31137" w:rsidRPr="00A31137" w:rsidRDefault="00A31137" w:rsidP="00A31137">
      <w:r w:rsidRPr="00A31137">
        <w:t>We not only lowered tax rates for all. We tied them to the cost of living so congressional Democrats couldn't secretly boost taxes by pushing people into higher brackets through inflation. We took millions of low-income families off the tax rolls, and we doubled the personal exemption for all.</w:t>
      </w:r>
    </w:p>
    <w:p w:rsidR="00A31137" w:rsidRPr="00A31137" w:rsidRDefault="00A31137" w:rsidP="00A31137">
      <w:r w:rsidRPr="00A31137">
        <w:t>1988 Republican Platform, p.10</w:t>
      </w:r>
    </w:p>
    <w:p w:rsidR="00A31137" w:rsidRPr="00A31137" w:rsidRDefault="00A31137" w:rsidP="00A31137">
      <w:r w:rsidRPr="00A31137">
        <w:t>As a result, by 1986 the income tax bill of a typical middle-income family had declined by one-quarter. If the Democrats had defeated our economic recovery program, that family would have paid nearly $6,000 more in taxes between 1982 and 1987. Meanwhile, average Americans and the working poor carry substantially less of the burden. Upper income Americans now pay a larger share of federal taxes than they did in 1980.</w:t>
      </w:r>
    </w:p>
    <w:p w:rsidR="00A31137" w:rsidRPr="00A31137" w:rsidRDefault="00A31137" w:rsidP="00A31137">
      <w:r w:rsidRPr="00A31137">
        <w:t>1988 Republican Platform, p.10</w:t>
      </w:r>
    </w:p>
    <w:p w:rsidR="00A31137" w:rsidRPr="00A31137" w:rsidRDefault="00A31137" w:rsidP="00A31137">
      <w:r w:rsidRPr="00A31137">
        <w:t xml:space="preserve">Our policies have become the model for much of the world. Through the power of capitalism, governments are rushing to reduce tax rates to save their stagnating economies. This is good for America, for their recovery will make them better trading partners for our own exuberant economy. [p.11] </w:t>
      </w:r>
    </w:p>
    <w:p w:rsidR="00A31137" w:rsidRPr="00A31137" w:rsidRDefault="00A31137" w:rsidP="00A31137">
      <w:r w:rsidRPr="00A31137">
        <w:t>1988 Republican Platform, p.11</w:t>
      </w:r>
    </w:p>
    <w:p w:rsidR="00A31137" w:rsidRPr="00A31137" w:rsidRDefault="00A31137" w:rsidP="00A31137">
      <w:r w:rsidRPr="00A31137">
        <w:t>Many economists advising the Democrat Party have publicly called for a national sales tax or European-style Value-Added Tax (VAT) which would take billions of dollars out of the hands of American consumers. Such a tax has been imposed on many nations in Europe and has resulted in higher prices, fewer jobs, and higher levels of government spending. We reject the idea of putting a VAT on the backs of the American people.</w:t>
      </w:r>
    </w:p>
    <w:p w:rsidR="00A31137" w:rsidRPr="00A31137" w:rsidRDefault="00A31137" w:rsidP="00A31137">
      <w:r w:rsidRPr="00A31137">
        <w:t>1988 Republican Platform, p.11</w:t>
      </w:r>
    </w:p>
    <w:p w:rsidR="00A31137" w:rsidRPr="00A31137" w:rsidRDefault="00A31137" w:rsidP="00A31137">
      <w:r w:rsidRPr="00A31137">
        <w:t>Republicans know that sustaining the American economic miracle requires a growing pool of private savings. From bank accounts, small stock purchases, and piggy banks, the streams of thrift must flow together and form a mighty tide of capital. That rushing force pushes our society ahead, lifting everyone as it goes. To keep it going:</w:t>
      </w:r>
    </w:p>
    <w:p w:rsidR="00A31137" w:rsidRPr="00A31137" w:rsidRDefault="00A31137" w:rsidP="00A31137">
      <w:r w:rsidRPr="00A31137">
        <w:t>1988 Republican Platform, p.11</w:t>
      </w:r>
    </w:p>
    <w:p w:rsidR="00A31137" w:rsidRPr="00A31137" w:rsidRDefault="00A31137" w:rsidP="00A31137">
      <w:r w:rsidRPr="00A31137">
        <w:t>•</w:t>
      </w:r>
      <w:r w:rsidRPr="00A31137">
        <w:tab/>
        <w:t>We support incentives for private savings, such as our deductibility for IRA contributions.</w:t>
      </w:r>
    </w:p>
    <w:p w:rsidR="00A31137" w:rsidRPr="00A31137" w:rsidRDefault="00A31137" w:rsidP="00A31137">
      <w:r w:rsidRPr="00A31137">
        <w:t>•</w:t>
      </w:r>
      <w:r w:rsidRPr="00A31137">
        <w:tab/>
        <w:t>We oppose tax withholding on savings.</w:t>
      </w:r>
    </w:p>
    <w:p w:rsidR="00A31137" w:rsidRPr="00A31137" w:rsidRDefault="00A31137" w:rsidP="00A31137">
      <w:r w:rsidRPr="00A31137">
        <w:t>•</w:t>
      </w:r>
      <w:r w:rsidRPr="00A31137">
        <w:tab/>
        <w:t>To protect savings by ensuring the soundness of our financial system, the federal government must continue to play an active role through its regulatory responsibilities and supervisory duties. We demand stern punishment for those persons, whether in financial institutions or in Congress, whose wheeling and dealing have betrayed the public trust.</w:t>
      </w:r>
    </w:p>
    <w:p w:rsidR="00A31137" w:rsidRPr="00A31137" w:rsidRDefault="00A31137" w:rsidP="00A31137">
      <w:r w:rsidRPr="00A31137">
        <w:t>Republican Platform, An American Vision: For Our Children and Our Future, 1988, 11</w:t>
      </w:r>
    </w:p>
    <w:p w:rsidR="00A31137" w:rsidRPr="00A31137" w:rsidRDefault="00A31137" w:rsidP="00A31137">
      <w:r w:rsidRPr="00A31137">
        <w:t>Income Taxes Slashed for Typical Families</w:t>
      </w:r>
    </w:p>
    <w:p w:rsidR="00A31137" w:rsidRPr="00A31137" w:rsidRDefault="00A31137" w:rsidP="00A31137"/>
    <w:p w:rsidR="00A31137" w:rsidRPr="00A31137" w:rsidRDefault="00A31137" w:rsidP="00A31137">
      <w:r w:rsidRPr="00A31137">
        <w:t>1988 Republican Platform, p.12</w:t>
      </w:r>
    </w:p>
    <w:p w:rsidR="00A31137" w:rsidRPr="00A31137" w:rsidRDefault="00A31137" w:rsidP="00A31137">
      <w:r w:rsidRPr="00A31137">
        <w:t>•</w:t>
      </w:r>
      <w:r w:rsidRPr="00A31137">
        <w:tab/>
        <w:t>We will reduce to 15 percent the tax rates for long-term capital gains to promote investment in jobs and to raise revenue for the federal government by touching off another surge of economic expansion. In 1978, we cut the capital gains tax from 49.1 percent to 28 percent; in 1981, it was slashed again to 20 percent. The cuts injected a new vitality into the economy, with the results that revenues from this tax rose 184 percent from 1978 to 1985.</w:t>
      </w:r>
    </w:p>
    <w:p w:rsidR="00A31137" w:rsidRPr="00A31137" w:rsidRDefault="00A31137" w:rsidP="00A31137">
      <w:r w:rsidRPr="00A31137">
        <w:t>•</w:t>
      </w:r>
      <w:r w:rsidRPr="00A31137">
        <w:tab/>
        <w:t>We call for a taxpayers' bill of rights to give everyone simple and inexpensive means to resolve disputes with government. Democrats, using the Massachusetts Revenue Department as a model, intend to squeeze more out of the public by making the IRS more intrusive. Republicans will not tolerate tax cheating by anyone, but we know most Americans responsibly pay their fair share. By restoring their confidence in frugal, limited government, we will enhance compliance with tax laws that are simple and fair.</w:t>
      </w:r>
    </w:p>
    <w:p w:rsidR="00A31137" w:rsidRPr="00A31137" w:rsidRDefault="00A31137" w:rsidP="00A31137">
      <w:r w:rsidRPr="00A31137">
        <w:t>Beating Inflation</w:t>
      </w:r>
    </w:p>
    <w:p w:rsidR="00A31137" w:rsidRPr="00A31137" w:rsidRDefault="00A31137" w:rsidP="00A31137">
      <w:r w:rsidRPr="00A31137">
        <w:t>1988 Republican Platform, p.12</w:t>
      </w:r>
    </w:p>
    <w:p w:rsidR="00A31137" w:rsidRPr="00A31137" w:rsidRDefault="00A31137" w:rsidP="00A31137">
      <w:r w:rsidRPr="00A31137">
        <w:t>Today, the dollar is sound again. The Republican economic program brought inflation under control and lowered interest rates. Ten million more American families have bought homes for the first time. Inflation has been forced down from over 13 percent to 4 percent. Interest rates are only half of what they were at the end of the Carter years.</w:t>
      </w:r>
    </w:p>
    <w:p w:rsidR="00A31137" w:rsidRPr="00A31137" w:rsidRDefault="00A31137" w:rsidP="00A31137">
      <w:r w:rsidRPr="00A31137">
        <w:t>1988 Republican Platform, p.12</w:t>
      </w:r>
    </w:p>
    <w:p w:rsidR="00A31137" w:rsidRPr="00A31137" w:rsidRDefault="00A31137" w:rsidP="00A31137">
      <w:r w:rsidRPr="00A31137">
        <w:t>If the Democrats' inflation rates had continued all these years, a family of four would now be paying an average of $200 a month more for food and over $300 a month more for housing. That's the real cost of the Democrats' bad policies.</w:t>
      </w:r>
    </w:p>
    <w:p w:rsidR="00A31137" w:rsidRPr="00A31137" w:rsidRDefault="00A31137" w:rsidP="00A31137">
      <w:r w:rsidRPr="00A31137">
        <w:t>1988 Republican Platform, p.12</w:t>
      </w:r>
    </w:p>
    <w:p w:rsidR="00A31137" w:rsidRPr="00A31137" w:rsidRDefault="00A31137" w:rsidP="00A31137">
      <w:r w:rsidRPr="00A31137">
        <w:t>The Democrats would drag us back to those dreadful years when inflation was robbing workers of their earnings, consumers of their spending power, and families of their savings. Skyrocketing interest rates were stalling the economy and pushing decent housing out of reach for millions.</w:t>
      </w:r>
    </w:p>
    <w:p w:rsidR="00A31137" w:rsidRPr="00A31137" w:rsidRDefault="00A31137" w:rsidP="00A31137">
      <w:r w:rsidRPr="00A31137">
        <w:t>1988 Republican Platform, p.12</w:t>
      </w:r>
    </w:p>
    <w:p w:rsidR="00A31137" w:rsidRPr="00A31137" w:rsidRDefault="00A31137" w:rsidP="00A31137">
      <w:r w:rsidRPr="00A31137">
        <w:t>We can't let them do it again. To sustain the country's economic expansion, confidence in American monetary policy is vital. The possibility of imprudent action by government breeds fear, and that fear can shake the stock and commodity markets worldwide. To keep markets on an even keel, we urge objective Federal Reserve policies to achieve long-run price stability.</w:t>
      </w:r>
    </w:p>
    <w:p w:rsidR="00A31137" w:rsidRPr="00A31137" w:rsidRDefault="00A31137" w:rsidP="00A31137">
      <w:r w:rsidRPr="00A31137">
        <w:t>Regulatory Reform</w:t>
      </w:r>
    </w:p>
    <w:p w:rsidR="00A31137" w:rsidRPr="00A31137" w:rsidRDefault="00A31137" w:rsidP="00A31137">
      <w:r w:rsidRPr="00A31137">
        <w:t>1988 Republican Platform, p.12</w:t>
      </w:r>
    </w:p>
    <w:p w:rsidR="00A31137" w:rsidRPr="00A31137" w:rsidRDefault="00A31137" w:rsidP="00A31137">
      <w:r w:rsidRPr="00A31137">
        <w:t xml:space="preserve">This is a success story for the entire nation. Eight years ago, the country was strangling in red tape. Decades of rules and regulations from official Washington smothered enterprise, hindered job creation, and crippled small businesses. Even worse, the federal bureaucracy was spreading its intrusion into schools, religious institutions, and neighborhoods. [p.13] </w:t>
      </w:r>
    </w:p>
    <w:p w:rsidR="00A31137" w:rsidRPr="00A31137" w:rsidRDefault="00A31137" w:rsidP="00A31137">
      <w:r w:rsidRPr="00A31137">
        <w:t>1988 Republican Platform, p.13</w:t>
      </w:r>
    </w:p>
    <w:p w:rsidR="00A31137" w:rsidRPr="00A31137" w:rsidRDefault="00A31137" w:rsidP="00A31137">
      <w:r w:rsidRPr="00A31137">
        <w:t>At the outset of his Administration, President Reagan asked Vice President Bush to take charge of an unprecedented exercise in liberty: relieving Americans from oppressive and unnecessary regulations and controls. With George Bush's leadership, Republicans turned the tables on the regulators.</w:t>
      </w:r>
    </w:p>
    <w:p w:rsidR="00A31137" w:rsidRPr="00A31137" w:rsidRDefault="00A31137" w:rsidP="00A31137">
      <w:r w:rsidRPr="00A31137">
        <w:t>1988 Republican Platform, p.13</w:t>
      </w:r>
    </w:p>
    <w:p w:rsidR="00A31137" w:rsidRPr="00A31137" w:rsidRDefault="00A31137" w:rsidP="00A31137">
      <w:r w:rsidRPr="00A31137">
        <w:t>We saved consumers tens of billions of dollars in needless regulatory costs that had been added to the price of virtually every product and service.</w:t>
      </w:r>
    </w:p>
    <w:p w:rsidR="00A31137" w:rsidRPr="00A31137" w:rsidRDefault="00A31137" w:rsidP="00A31137">
      <w:r w:rsidRPr="00A31137">
        <w:t>1988 Republican Platform, p.13</w:t>
      </w:r>
    </w:p>
    <w:p w:rsidR="00A31137" w:rsidRPr="00A31137" w:rsidRDefault="00A31137" w:rsidP="00A31137">
      <w:r w:rsidRPr="00A31137">
        <w:t>•</w:t>
      </w:r>
      <w:r w:rsidRPr="00A31137">
        <w:tab/>
        <w:t>In banking, we ensured that savers would get a fair return on their savings through market interest rates in place of artificially low rates capped by government.</w:t>
      </w:r>
    </w:p>
    <w:p w:rsidR="00A31137" w:rsidRPr="00A31137" w:rsidRDefault="00A31137" w:rsidP="00A31137">
      <w:r w:rsidRPr="00A31137">
        <w:t>•</w:t>
      </w:r>
      <w:r w:rsidRPr="00A31137">
        <w:tab/>
        <w:t>In energy, transportation, telecommunications, and financial services, we made fundamental changes in the way Americans could do business. We trusted them. We hacked away at artificial rules that stifled innovation, thwarted competition, and drove up consumer prices. Indeed, telecommunications and computer technology innovations have improved economic performance in nearly every American industry and business.</w:t>
      </w:r>
    </w:p>
    <w:p w:rsidR="00A31137" w:rsidRPr="00A31137" w:rsidRDefault="00A31137" w:rsidP="00A31137">
      <w:r w:rsidRPr="00A31137">
        <w:t>•</w:t>
      </w:r>
      <w:r w:rsidRPr="00A31137">
        <w:tab/>
        <w:t>In education, housing, and health care, we reduced the chilling effect of regulation upon the private sector and communities. Despite opposition from liberals in the Congress, we have at least slowed the expansion of federal control.</w:t>
      </w:r>
    </w:p>
    <w:p w:rsidR="00A31137" w:rsidRPr="00A31137" w:rsidRDefault="00A31137" w:rsidP="00A31137">
      <w:r w:rsidRPr="00A31137">
        <w:t>•</w:t>
      </w:r>
      <w:r w:rsidRPr="00A31137">
        <w:tab/>
        <w:t>We turned dozens of narrow programs, full of strings attached, into a few block grants with leeway for State and local administration.</w:t>
      </w:r>
    </w:p>
    <w:p w:rsidR="00A31137" w:rsidRPr="00A31137" w:rsidRDefault="00A31137" w:rsidP="00A31137">
      <w:r w:rsidRPr="00A31137">
        <w:t>1988 Republican Platform, p.13</w:t>
      </w:r>
    </w:p>
    <w:p w:rsidR="00A31137" w:rsidRPr="00A31137" w:rsidRDefault="00A31137" w:rsidP="00A31137">
      <w:r w:rsidRPr="00A31137">
        <w:t>The job isn't over yet. We will resist the calls of Democrats to turn back or eliminate the benefits that reducing regulations has brought to Americans from every walk of life in transportation, finance, energy and many other areas. We want to reduce further the intrusion of government into the lives of our citizens. Consistent with the maintenance of a competitive market place, we are committed to breaking down unnecessary barriers to entry created by regulations, statutes, and judicial decisions, to free up capital for productive investment. Let Democrats trust the federal bureaucracy. Republicans trust the creative energy of workers and investors in a free market.</w:t>
      </w:r>
    </w:p>
    <w:p w:rsidR="00A31137" w:rsidRPr="00A31137" w:rsidRDefault="00A31137" w:rsidP="00A31137">
      <w:r w:rsidRPr="00A31137">
        <w:t>1988 Republican Platform, p.13</w:t>
      </w:r>
    </w:p>
    <w:p w:rsidR="00A31137" w:rsidRPr="00A31137" w:rsidRDefault="00A31137" w:rsidP="00A31137">
      <w:r w:rsidRPr="00A31137">
        <w:t>We are committed to further return power from the federal government to State and local governments, which are more responsive to the public and better able to administer critical public services.</w:t>
      </w:r>
    </w:p>
    <w:p w:rsidR="00A31137" w:rsidRPr="00A31137" w:rsidRDefault="00A31137" w:rsidP="00A31137">
      <w:r w:rsidRPr="00A31137">
        <w:t>Competition in Public Services</w:t>
      </w:r>
    </w:p>
    <w:p w:rsidR="00A31137" w:rsidRPr="00A31137" w:rsidRDefault="00A31137" w:rsidP="00A31137">
      <w:r w:rsidRPr="00A31137">
        <w:t>1988 Republican Platform, p.14</w:t>
      </w:r>
    </w:p>
    <w:p w:rsidR="00A31137" w:rsidRPr="00A31137" w:rsidRDefault="00A31137" w:rsidP="00A31137">
      <w:r w:rsidRPr="00A31137">
        <w:t>Republicans recognize that the American people, in their families, [p.14] communities, places of work, and voluntary associations, solve problems better and faster than government. That's why the Republican Party trusts people to deal with the needs of individuals and communities, as they have done for centuries.</w:t>
      </w:r>
    </w:p>
    <w:p w:rsidR="00A31137" w:rsidRPr="00A31137" w:rsidRDefault="00A31137" w:rsidP="00A31137">
      <w:r w:rsidRPr="00A31137">
        <w:t>1988 Republican Platform, p.14</w:t>
      </w:r>
    </w:p>
    <w:p w:rsidR="00A31137" w:rsidRPr="00A31137" w:rsidRDefault="00A31137" w:rsidP="00A31137">
      <w:r w:rsidRPr="00A31137">
        <w:t>In recent decades, however, big government elbowed aside the private sector. In the process, it made public services both expensive and inefficient. The federal government should follow the lead of those cities and States which are contracting out for a wide range of activities.</w:t>
      </w:r>
    </w:p>
    <w:p w:rsidR="00A31137" w:rsidRPr="00A31137" w:rsidRDefault="00A31137" w:rsidP="00A31137">
      <w:r w:rsidRPr="00A31137">
        <w:t>1988 Republican Platform, p.14</w:t>
      </w:r>
    </w:p>
    <w:p w:rsidR="00A31137" w:rsidRPr="00A31137" w:rsidRDefault="00A31137" w:rsidP="00A31137">
      <w:r w:rsidRPr="00A31137">
        <w:t>We resolve to defederalize, denationalize, and decentralize government monopolies that poorly serve the public and waste the taxpayers' dollars. To that end, we will foster competition wherever possible.</w:t>
      </w:r>
    </w:p>
    <w:p w:rsidR="00A31137" w:rsidRPr="00A31137" w:rsidRDefault="00A31137" w:rsidP="00A31137">
      <w:r w:rsidRPr="00A31137">
        <w:t>1988 Republican Platform, p.14</w:t>
      </w:r>
    </w:p>
    <w:p w:rsidR="00A31137" w:rsidRPr="00A31137" w:rsidRDefault="00A31137" w:rsidP="00A31137">
      <w:r w:rsidRPr="00A31137">
        <w:t>We advocate privatizing those government assets that would be more productive and better maintained in private ownership. This is especially true of those public properties that have deteriorated under government control, and of public housing, where residents should have the option of managing their own project. In other areas as well, citizens and employees should be able to become stockholders and managers of government enterprises that would be more efficiently operated by private enterprise. We will not initiate production of goods and delivery of services by the federal government if they can be procured from the private sector.</w:t>
      </w:r>
    </w:p>
    <w:p w:rsidR="00A31137" w:rsidRPr="00A31137" w:rsidRDefault="00A31137" w:rsidP="00A31137">
      <w:r w:rsidRPr="00A31137">
        <w:t>Housing</w:t>
      </w:r>
    </w:p>
    <w:p w:rsidR="00A31137" w:rsidRPr="00A31137" w:rsidRDefault="00A31137" w:rsidP="00A31137">
      <w:r w:rsidRPr="00A31137">
        <w:t>1988 Republican Platform, p.14</w:t>
      </w:r>
    </w:p>
    <w:p w:rsidR="00A31137" w:rsidRPr="00A31137" w:rsidRDefault="00A31137" w:rsidP="00A31137">
      <w:r w:rsidRPr="00A31137">
        <w:t>The best housing policy is sound economic policy. Low interest rates, low inflation rates, and the availability of a job with a good paycheck that makes a mortgage affordable are the best housing programs of all.</w:t>
      </w:r>
    </w:p>
    <w:p w:rsidR="00A31137" w:rsidRPr="00A31137" w:rsidRDefault="00A31137" w:rsidP="00A31137">
      <w:r w:rsidRPr="00A31137">
        <w:t>1988 Republican Platform, p.14</w:t>
      </w:r>
    </w:p>
    <w:p w:rsidR="00A31137" w:rsidRPr="00A31137" w:rsidRDefault="00A31137" w:rsidP="00A31137">
      <w:r w:rsidRPr="00A31137">
        <w:t>That has been the key to the rebirth of housing during the Reagan-Bush Administration. If things had continued the way they were in 1980, the average family today would have to pay over $300 more for housing every month. Instead, we curbed inflation, pulled down interest rates, and made housing affordable to more Americans than ever before. We promoted homeownership by stoking the engines of economic growth. The results have been spectacular.</w:t>
      </w:r>
    </w:p>
    <w:p w:rsidR="00A31137" w:rsidRPr="00A31137" w:rsidRDefault="00A31137" w:rsidP="00A31137">
      <w:r w:rsidRPr="00A31137">
        <w:t>1988 Republican Platform, p.14</w:t>
      </w:r>
    </w:p>
    <w:p w:rsidR="00A31137" w:rsidRPr="00A31137" w:rsidRDefault="00A31137" w:rsidP="00A31137">
      <w:r w:rsidRPr="00A31137">
        <w:t>•</w:t>
      </w:r>
      <w:r w:rsidRPr="00A31137">
        <w:tab/>
        <w:t>Mortgage rates have fallen from 17.5 percent to single digits today.</w:t>
      </w:r>
    </w:p>
    <w:p w:rsidR="00A31137" w:rsidRPr="00A31137" w:rsidRDefault="00A31137" w:rsidP="00A31137">
      <w:r w:rsidRPr="00A31137">
        <w:t>•</w:t>
      </w:r>
      <w:r w:rsidRPr="00A31137">
        <w:tab/>
        <w:t>Homeownership has become affordable for more than 10 million additional families.</w:t>
      </w:r>
    </w:p>
    <w:p w:rsidR="00A31137" w:rsidRPr="00A31137" w:rsidRDefault="00A31137" w:rsidP="00A31137">
      <w:r w:rsidRPr="00A31137">
        <w:t>•</w:t>
      </w:r>
      <w:r w:rsidRPr="00A31137">
        <w:tab/>
        <w:t xml:space="preserve">Our regulatory reform campaign, in cooperation with local government and the housing industry, has pointed the way to lower housing costs through removal of needless rules that inflate prices. [p.15] </w:t>
      </w:r>
    </w:p>
    <w:p w:rsidR="00A31137" w:rsidRPr="00A31137" w:rsidRDefault="00A31137" w:rsidP="00A31137">
      <w:r w:rsidRPr="00A31137">
        <w:t>1988 Republican Platform, p.15</w:t>
      </w:r>
    </w:p>
    <w:p w:rsidR="00A31137" w:rsidRPr="00A31137" w:rsidRDefault="00A31137" w:rsidP="00A31137">
      <w:r w:rsidRPr="00A31137">
        <w:t>That's only the beginning. We want to foster greater choice in housing for all:</w:t>
      </w:r>
    </w:p>
    <w:p w:rsidR="00A31137" w:rsidRPr="00A31137" w:rsidRDefault="00A31137" w:rsidP="00A31137">
      <w:r w:rsidRPr="00A31137">
        <w:t>1988 Republican Platform, p.15</w:t>
      </w:r>
    </w:p>
    <w:p w:rsidR="00A31137" w:rsidRPr="00A31137" w:rsidRDefault="00A31137" w:rsidP="00A31137">
      <w:r w:rsidRPr="00A31137">
        <w:t>•</w:t>
      </w:r>
      <w:r w:rsidRPr="00A31137">
        <w:tab/>
        <w:t>First and foremost, Republicans stand united in defense of the homeowner's deduction for mortgage interest. That separates us from the Democrats who are already planning to raise taxes by limiting its deductibility.</w:t>
      </w:r>
    </w:p>
    <w:p w:rsidR="00A31137" w:rsidRPr="00A31137" w:rsidRDefault="00A31137" w:rsidP="00A31137">
      <w:r w:rsidRPr="00A31137">
        <w:t>•</w:t>
      </w:r>
      <w:r w:rsidRPr="00A31137">
        <w:tab/>
        <w:t>We will continue our successful drive for lower interest rates.</w:t>
      </w:r>
    </w:p>
    <w:p w:rsidR="00A31137" w:rsidRPr="00A31137" w:rsidRDefault="00A31137" w:rsidP="00A31137">
      <w:r w:rsidRPr="00A31137">
        <w:t>•</w:t>
      </w:r>
      <w:r w:rsidRPr="00A31137">
        <w:tab/>
        <w:t>We support the efforts of those in the States who fight to lower property taxes, which strike hardest at the poor, the elderly, families with children, and family farmers.</w:t>
      </w:r>
    </w:p>
    <w:p w:rsidR="00A31137" w:rsidRPr="00A31137" w:rsidRDefault="00A31137" w:rsidP="00A31137">
      <w:r w:rsidRPr="00A31137">
        <w:t>•</w:t>
      </w:r>
      <w:r w:rsidRPr="00A31137">
        <w:tab/>
        <w:t>We support programs to allow low-income families to earn possession of their homes through urban and rural homesteading, cooperative ventures in construction and rehabilitation, and other pioneering projects that demonstrate the vitality of the private sector and individual initiative.</w:t>
      </w:r>
    </w:p>
    <w:p w:rsidR="00A31137" w:rsidRPr="00A31137" w:rsidRDefault="00A31137" w:rsidP="00A31137">
      <w:r w:rsidRPr="00A31137">
        <w:t>•</w:t>
      </w:r>
      <w:r w:rsidRPr="00A31137">
        <w:tab/>
        <w:t>We support the FHA mortgage insurance program, the Government National Mortgage Association, the VA guarantee program, and other programs that enhance housing choices for all Americans.</w:t>
      </w:r>
    </w:p>
    <w:p w:rsidR="00A31137" w:rsidRPr="00A31137" w:rsidRDefault="00A31137" w:rsidP="00A31137">
      <w:r w:rsidRPr="00A31137">
        <w:t>•</w:t>
      </w:r>
      <w:r w:rsidRPr="00A31137">
        <w:tab/>
        <w:t>We pledge to continue to expand opportunities for homeownership and to maintain the strength of savings institutions, including thrifts.</w:t>
      </w:r>
    </w:p>
    <w:p w:rsidR="00A31137" w:rsidRPr="00A31137" w:rsidRDefault="00A31137" w:rsidP="00A31137">
      <w:r w:rsidRPr="00A31137">
        <w:t>•</w:t>
      </w:r>
      <w:r w:rsidRPr="00A31137">
        <w:tab/>
        <w:t>We call on the Departments of Treasury, Housing and Urban Development, Agriculture, and the Federal Home Loan Bank Board to develop incentives for the private sector to bring housing stock foreclosed on by federal agencies back into service for low- and moderate-income citizens.</w:t>
      </w:r>
    </w:p>
    <w:p w:rsidR="00A31137" w:rsidRPr="00A31137" w:rsidRDefault="00A31137" w:rsidP="00A31137">
      <w:r w:rsidRPr="00A31137">
        <w:t>•</w:t>
      </w:r>
      <w:r w:rsidRPr="00A31137">
        <w:tab/>
        <w:t>We call for repeal of rent control laws, which always cause a shortage of decent housing by favoring the affluent with low rents, denying persons with modest incomes access to the housing market.</w:t>
      </w:r>
    </w:p>
    <w:p w:rsidR="00A31137" w:rsidRPr="00A31137" w:rsidRDefault="00A31137" w:rsidP="00A31137">
      <w:r w:rsidRPr="00A31137">
        <w:t>1988 Republican Platform, p.15</w:t>
      </w:r>
    </w:p>
    <w:p w:rsidR="00A31137" w:rsidRPr="00A31137" w:rsidRDefault="00A31137" w:rsidP="00A31137">
      <w:r w:rsidRPr="00A31137">
        <w:t>In public housing, we have turned away from the disasters of the past, when whole neighborhoods became instant slums through federal meddling. We have promoted a long-range program of tenant management with encouraging results already. We pledge to continue that drive and to move toward resident ownership of public housing units, which was initiated under Ronald Reagan and George Bush.</w:t>
      </w:r>
    </w:p>
    <w:p w:rsidR="00A31137" w:rsidRPr="00A31137" w:rsidRDefault="00A31137" w:rsidP="00A31137">
      <w:r w:rsidRPr="00A31137">
        <w:t>1988 Republican Platform, p.15</w:t>
      </w:r>
    </w:p>
    <w:p w:rsidR="00A31137" w:rsidRPr="00A31137" w:rsidRDefault="00A31137" w:rsidP="00A31137">
      <w:r w:rsidRPr="00A31137">
        <w:t>We are determined to replace hand-out housing with vouchers that will make low-income families neighbors in communities, not strangers in projects.</w:t>
      </w:r>
    </w:p>
    <w:p w:rsidR="00A31137" w:rsidRPr="00A31137" w:rsidRDefault="00A31137" w:rsidP="00A31137">
      <w:r w:rsidRPr="00A31137">
        <w:t>1988 Republican Platform, p.15</w:t>
      </w:r>
    </w:p>
    <w:p w:rsidR="00A31137" w:rsidRPr="00A31137" w:rsidRDefault="00A31137" w:rsidP="00A31137">
      <w:r w:rsidRPr="00A31137">
        <w:t xml:space="preserve">To ensure that federal housing funds assist communities, rather than disrupt them, we advocate merging programs into a block grant at the disposal of States and localities for a wide range of needs. [p.16] </w:t>
      </w:r>
    </w:p>
    <w:p w:rsidR="00A31137" w:rsidRPr="00A31137" w:rsidRDefault="00A31137" w:rsidP="00A31137">
      <w:r w:rsidRPr="00A31137">
        <w:t>1988 Republican Platform, p.16</w:t>
      </w:r>
    </w:p>
    <w:p w:rsidR="00A31137" w:rsidRPr="00A31137" w:rsidRDefault="00A31137" w:rsidP="00A31137">
      <w:r w:rsidRPr="00A31137">
        <w:t>We reaffirm our commitment to open housing as an essential part of the opportunity we seek for all, The Reagan-Bush Administration sponsored a major strengthening of the federal fair housing law. We will enforce it vigorously and will not allow its distortion into quotas or controls.</w:t>
      </w:r>
    </w:p>
    <w:p w:rsidR="00A31137" w:rsidRPr="00A31137" w:rsidRDefault="00A31137" w:rsidP="00A31137">
      <w:r w:rsidRPr="00A31137">
        <w:t>Controlling Federal Spending</w:t>
      </w:r>
    </w:p>
    <w:p w:rsidR="00A31137" w:rsidRPr="00A31137" w:rsidRDefault="00A31137" w:rsidP="00A31137">
      <w:r w:rsidRPr="00A31137">
        <w:t>1988 Republican Platform, p.16</w:t>
      </w:r>
    </w:p>
    <w:p w:rsidR="00A31137" w:rsidRPr="00A31137" w:rsidRDefault="00A31137" w:rsidP="00A31137">
      <w:r w:rsidRPr="00A31137">
        <w:t>The Reagan-Bush policies of economic growth have finally turned around the deficit problem. Through Republican-initiated constraints on spending, the federal budget deficit dropped by over 25 percent last year. With the help of the Gramm-Rudman law and a flexible budget freeze, a balanced budget can be expected by 1993.</w:t>
      </w:r>
    </w:p>
    <w:p w:rsidR="00A31137" w:rsidRPr="00A31137" w:rsidRDefault="00A31137" w:rsidP="00A31137">
      <w:r w:rsidRPr="00A31137">
        <w:t>1988 Republican Platform, p.16</w:t>
      </w:r>
    </w:p>
    <w:p w:rsidR="00A31137" w:rsidRPr="00A31137" w:rsidRDefault="00A31137" w:rsidP="00A31137">
      <w:r w:rsidRPr="00A31137">
        <w:t>But the relentless spending of congressional Democrats can undo our best efforts. No president can cause deficits; Congress votes to spend money. The American people must prevent big-spending congressional Democrats from bringing back big budget deficits; we must return both the Senate and the House of Representatives to Republican control for the first time in 36 years.</w:t>
      </w:r>
    </w:p>
    <w:p w:rsidR="00A31137" w:rsidRPr="00A31137" w:rsidRDefault="00A31137" w:rsidP="00A31137">
      <w:r w:rsidRPr="00A31137">
        <w:t>1988 Republican Platform, p.16</w:t>
      </w:r>
    </w:p>
    <w:p w:rsidR="00A31137" w:rsidRPr="00A31137" w:rsidRDefault="00A31137" w:rsidP="00A31137">
      <w:r w:rsidRPr="00A31137">
        <w:t>In 1981, we inherited a federal spending machine that was out of control. During the Carter-Mondale years, spending grew by 13.6 percent annually. We cut that growth rate in half, but the cancer still expands, as it has in some States such as Massachusetts where the budget has increased more than twice as fast as the federal budget. We will not be content until government establishes a balanced budget and reduces its demands upon the productivity and earnings of the American people.</w:t>
      </w:r>
    </w:p>
    <w:p w:rsidR="00A31137" w:rsidRPr="00A31137" w:rsidRDefault="00A31137" w:rsidP="00A31137">
      <w:r w:rsidRPr="00A31137">
        <w:t>1988 Republican Platform, p.16</w:t>
      </w:r>
    </w:p>
    <w:p w:rsidR="00A31137" w:rsidRPr="00A31137" w:rsidRDefault="00A31137" w:rsidP="00A31137">
      <w:r w:rsidRPr="00A31137">
        <w:t>We categorically reject the notion that Congress knows how to spend money better than the American people do. Tax hikes are like addictive drugs. Every shot makes Congress want to spend more. Even with the Republican tax cuts of 1981, revenues have increased by about $50 billion every year. But congressional spending has increased even more! For every $1 Congress takes in in new taxes, it spends $1.25.</w:t>
      </w:r>
    </w:p>
    <w:p w:rsidR="00A31137" w:rsidRPr="00A31137" w:rsidRDefault="00A31137" w:rsidP="00A31137">
      <w:r w:rsidRPr="00A31137">
        <w:t>1988 Republican Platform, p.16</w:t>
      </w:r>
    </w:p>
    <w:p w:rsidR="00A31137" w:rsidRPr="00A31137" w:rsidRDefault="00A31137" w:rsidP="00A31137">
      <w:r w:rsidRPr="00A31137">
        <w:t>That's why congressional Democrats have sabotaged the Republican program to control the federal budget. They refuse to put any reasonable restraints on appropriations. They smuggle through pork barrel deals in huge "continuing resolutions" larded for the special interests. They oppose the balanced budget amendment and all reforms in the bankrupt process. They mock the restraints legally mandated by our Gramm-Rudman budget plan.</w:t>
      </w:r>
    </w:p>
    <w:p w:rsidR="00A31137" w:rsidRPr="00A31137" w:rsidRDefault="00A31137" w:rsidP="00A31137">
      <w:r w:rsidRPr="00A31137">
        <w:t>1988 Republican Platform, p.16</w:t>
      </w:r>
    </w:p>
    <w:p w:rsidR="00A31137" w:rsidRPr="00A31137" w:rsidRDefault="00A31137" w:rsidP="00A31137">
      <w:r w:rsidRPr="00A31137">
        <w:t xml:space="preserve">Enough is enough. It's time to push through the Republican agenda for budget reform to teach the Congress the kind of financial responsibility that characterizes the American family: [p.17] </w:t>
      </w:r>
    </w:p>
    <w:p w:rsidR="00A31137" w:rsidRPr="00A31137" w:rsidRDefault="00A31137" w:rsidP="00A31137">
      <w:r w:rsidRPr="00A31137">
        <w:t>1988 Republican Platform, p.17</w:t>
      </w:r>
    </w:p>
    <w:p w:rsidR="00A31137" w:rsidRPr="00A31137" w:rsidRDefault="00A31137" w:rsidP="00A31137">
      <w:r w:rsidRPr="00A31137">
        <w:t>•</w:t>
      </w:r>
      <w:r w:rsidRPr="00A31137">
        <w:tab/>
        <w:t>We call for structural changes to control government waste, including a two-year budget cycle, a super-majority requirement for raising taxes, a legislatively enacted line-item veto, individual transmission of spending bills, greater rescission authority for the chief executive and other reforms.</w:t>
      </w:r>
    </w:p>
    <w:p w:rsidR="00A31137" w:rsidRPr="00A31137" w:rsidRDefault="00A31137" w:rsidP="00A31137">
      <w:r w:rsidRPr="00A31137">
        <w:t>•</w:t>
      </w:r>
      <w:r w:rsidRPr="00A31137">
        <w:tab/>
        <w:t>We call for a flexible freeze on current government spending. We insist on the discipline to provide stable funding for important government programs, increasing spending only for true national priorities. We oppose any increase in taxes, so that the economy will continue to expand and so revenues from a growing tax base will reduce the deficit.</w:t>
      </w:r>
    </w:p>
    <w:p w:rsidR="00A31137" w:rsidRPr="00A31137" w:rsidRDefault="00A31137" w:rsidP="00A31137">
      <w:r w:rsidRPr="00A31137">
        <w:t>•</w:t>
      </w:r>
      <w:r w:rsidRPr="00A31137">
        <w:tab/>
        <w:t>We believe the Grace Commission report to eliminate waste, inefficiency, and mismanagement in the federal government must be re-examined; its recommendations should be given a high profile by public policy officials.</w:t>
      </w:r>
    </w:p>
    <w:p w:rsidR="00A31137" w:rsidRPr="00A31137" w:rsidRDefault="00A31137" w:rsidP="00A31137">
      <w:r w:rsidRPr="00A31137">
        <w:t>•</w:t>
      </w:r>
      <w:r w:rsidRPr="00A31137">
        <w:tab/>
        <w:t>We call for a balanced budget amendment to the Constitution. If congressional Democrats continue to block it, we urge the States to renew their calls for a constitutional convention limited to consideration of such an amendment.</w:t>
      </w:r>
    </w:p>
    <w:p w:rsidR="00A31137" w:rsidRPr="00A31137" w:rsidRDefault="00A31137" w:rsidP="00A31137">
      <w:r w:rsidRPr="00A31137">
        <w:t>•</w:t>
      </w:r>
      <w:r w:rsidRPr="00A31137">
        <w:tab/>
        <w:t>We will use all constitutional authority to control congressional spending. This will include consideration of the inherent line-item veto power of the president.</w:t>
      </w:r>
    </w:p>
    <w:p w:rsidR="00A31137" w:rsidRPr="00A31137" w:rsidRDefault="00A31137" w:rsidP="00A31137">
      <w:r w:rsidRPr="00A31137">
        <w:t>Opening Markets Abroad</w:t>
      </w:r>
    </w:p>
    <w:p w:rsidR="00A31137" w:rsidRPr="00A31137" w:rsidRDefault="00A31137" w:rsidP="00A31137">
      <w:r w:rsidRPr="00A31137">
        <w:t>1988 Republican Platform, p.17</w:t>
      </w:r>
    </w:p>
    <w:p w:rsidR="00A31137" w:rsidRPr="00A31137" w:rsidRDefault="00A31137" w:rsidP="00A31137">
      <w:r w:rsidRPr="00A31137">
        <w:t>America's best years lie ahead. Because Republicans have faith in individuals, we welcome the challenge of world competition with confidence in our country's ability to out-produce, out-manage, out-think, and out-sell anyone.</w:t>
      </w:r>
    </w:p>
    <w:p w:rsidR="00A31137" w:rsidRPr="00A31137" w:rsidRDefault="00A31137" w:rsidP="00A31137">
      <w:r w:rsidRPr="00A31137">
        <w:t>1988 Republican Platform, p.17</w:t>
      </w:r>
    </w:p>
    <w:p w:rsidR="00A31137" w:rsidRPr="00A31137" w:rsidRDefault="00A31137" w:rsidP="00A31137">
      <w:r w:rsidRPr="00A31137">
        <w:t>This is the voters' choice in 1988: compete or retreat. The American people and the Republican Party are not about to retreat.</w:t>
      </w:r>
    </w:p>
    <w:p w:rsidR="00A31137" w:rsidRPr="00A31137" w:rsidRDefault="00A31137" w:rsidP="00A31137">
      <w:r w:rsidRPr="00A31137">
        <w:t>1988 Republican Platform, p.17</w:t>
      </w:r>
    </w:p>
    <w:p w:rsidR="00A31137" w:rsidRPr="00A31137" w:rsidRDefault="00A31137" w:rsidP="00A31137">
      <w:r w:rsidRPr="00A31137">
        <w:t>To make the 1990s America's decade in international trade, Republicans will advance trade through strength. We will not accept the loss of American jobs to nationalized, subsidized, protected foreign industries and will continue to negotiate assertively the destruction of trade barriers:</w:t>
      </w:r>
    </w:p>
    <w:p w:rsidR="00A31137" w:rsidRPr="00A31137" w:rsidRDefault="00A31137" w:rsidP="00A31137">
      <w:r w:rsidRPr="00A31137">
        <w:t>1988 Republican Platform, p.17</w:t>
      </w:r>
    </w:p>
    <w:p w:rsidR="00A31137" w:rsidRPr="00A31137" w:rsidRDefault="00A31137" w:rsidP="00A31137">
      <w:r w:rsidRPr="00A31137">
        <w:t>•</w:t>
      </w:r>
      <w:r w:rsidRPr="00A31137">
        <w:tab/>
        <w:t>We negotiated a sweeping free trade agreement with Canada, our largest trading partner. Under this agreement, Americans will be able to trade, invest, and prosper, with no barriers to competition and economic growth.</w:t>
      </w:r>
    </w:p>
    <w:p w:rsidR="00A31137" w:rsidRPr="00A31137" w:rsidRDefault="00A31137" w:rsidP="00A31137">
      <w:r w:rsidRPr="00A31137">
        <w:t>•</w:t>
      </w:r>
      <w:r w:rsidRPr="00A31137">
        <w:tab/>
        <w:t>We have sought enforcement of U.S. international trade rights more [p.18] vigorously than any previous Administration. The Reagan-Bush Administration was the first to self-initiate formal trade actions against unfair foreign market barriers.</w:t>
      </w:r>
    </w:p>
    <w:p w:rsidR="00A31137" w:rsidRPr="00A31137" w:rsidRDefault="00A31137" w:rsidP="00A31137">
      <w:r w:rsidRPr="00A31137">
        <w:t xml:space="preserve">• </w:t>
      </w:r>
      <w:r w:rsidRPr="00A31137">
        <w:tab/>
        <w:t>We launched the "Uruguay Round" of trade talks to promote a more open trading system and to address new trade problems that stifle world economic progress.</w:t>
      </w:r>
    </w:p>
    <w:p w:rsidR="00A31137" w:rsidRPr="00A31137" w:rsidRDefault="00A31137" w:rsidP="00A31137">
      <w:r w:rsidRPr="00A31137">
        <w:t xml:space="preserve">• </w:t>
      </w:r>
      <w:r w:rsidRPr="00A31137">
        <w:tab/>
        <w:t>We negotiated long and hard to beat back the most protectionist provisions in trade legislation and produced a bill that focuses on opening markets around the world.</w:t>
      </w:r>
    </w:p>
    <w:p w:rsidR="00A31137" w:rsidRPr="00A31137" w:rsidRDefault="00A31137" w:rsidP="00A31137">
      <w:r w:rsidRPr="00A31137">
        <w:t xml:space="preserve">• </w:t>
      </w:r>
      <w:r w:rsidRPr="00A31137">
        <w:tab/>
        <w:t>We support multilateral actions to open up foreign markets to U.S. products through the General Agreement on Tariffs and Trade. We will use GATT as well to deal with problems involving agricultural subsidies, trade in services, intellectual property rights, and economic relations with countries that mismanage their economies by suppressing market forces.</w:t>
      </w:r>
    </w:p>
    <w:p w:rsidR="00A31137" w:rsidRPr="00A31137" w:rsidRDefault="00A31137" w:rsidP="00A31137">
      <w:r w:rsidRPr="00A31137">
        <w:t>1988 Republican Platform, p.18</w:t>
      </w:r>
    </w:p>
    <w:p w:rsidR="00A31137" w:rsidRPr="00A31137" w:rsidRDefault="00A31137" w:rsidP="00A31137">
      <w:r w:rsidRPr="00A31137">
        <w:t>We will not tolerate unfair trade and will use free trade as a weapon against it. To ensure that rapid progress is forthcoming from our work in GATT, we stand ready to pursue bilateral arrangements with nations which share our commitment to free trade. We have begun with the U.S.-Israel and U.S.-Canada free trade agreements. These agreements should be used as a model by the entire Western Hemisphere as it moves toward becoming a free trade zone, a powerhouse of productivity that can spur economic growth throughout the continents. We are prepared to negotiate free trade agreements with partners like the Republic of China on Taiwan and the Association of South East Asian Nations (ASEAN) countries if they are willing to open their markets to U.S. products.</w:t>
      </w:r>
    </w:p>
    <w:p w:rsidR="00A31137" w:rsidRPr="00A31137" w:rsidRDefault="00A31137" w:rsidP="00A31137">
      <w:r w:rsidRPr="00A31137">
        <w:t>1988 Republican Platform, p.18</w:t>
      </w:r>
    </w:p>
    <w:p w:rsidR="00A31137" w:rsidRPr="00A31137" w:rsidRDefault="00A31137" w:rsidP="00A31137">
      <w:r w:rsidRPr="00A31137">
        <w:t>The emerging global economy has required American workers and consumers to adapt to far-reaching transformations on every continent. These changes will accelerate in the years ahead as nations with free economic systems rush toward a future of incredible promise. International trade among market economies is the driving force behind an unprecedented expansion of opportunity and income.</w:t>
      </w:r>
    </w:p>
    <w:p w:rsidR="00A31137" w:rsidRPr="00A31137" w:rsidRDefault="00A31137" w:rsidP="00A31137">
      <w:r w:rsidRPr="00A31137">
        <w:t>1988 Republican Platform, p.18</w:t>
      </w:r>
    </w:p>
    <w:p w:rsidR="00A31137" w:rsidRPr="00A31137" w:rsidRDefault="00A31137" w:rsidP="00A31137">
      <w:r w:rsidRPr="00A31137">
        <w:t>Unfortunately, international markets are still restricted by antiquated policies: protective tariffs, quotas, and subsidies. These hinder world trade and hurt everyone, producers and consumers alike. It is the politicians and special interests who use protectionism to cover up their failures and enrich themselves at the expense of the country as a whole.</w:t>
      </w:r>
    </w:p>
    <w:p w:rsidR="00A31137" w:rsidRPr="00A31137" w:rsidRDefault="00A31137" w:rsidP="00A31137">
      <w:r w:rsidRPr="00A31137">
        <w:t>1988 Republican Platform, p.18</w:t>
      </w:r>
    </w:p>
    <w:p w:rsidR="00A31137" w:rsidRPr="00A31137" w:rsidRDefault="00A31137" w:rsidP="00A31137">
      <w:r w:rsidRPr="00A31137">
        <w:t xml:space="preserve">We propose that the General Accounting Office be required to issue regular statistics on the costs of U.S. trade restrictions to American workers, consumers, and businesses. [p.19] </w:t>
      </w:r>
    </w:p>
    <w:p w:rsidR="00A31137" w:rsidRPr="00A31137" w:rsidRDefault="00A31137" w:rsidP="00A31137">
      <w:r w:rsidRPr="00A31137">
        <w:t>1988 Republican Platform, p.19</w:t>
      </w:r>
    </w:p>
    <w:p w:rsidR="00A31137" w:rsidRPr="00A31137" w:rsidRDefault="00A31137" w:rsidP="00A31137">
      <w:r w:rsidRPr="00A31137">
        <w:t>The bosses of the Democrat Party have thrown in the towel and abandoned the American worker and producer. They have begun a full-scale retreat into protectionism, an economic narcotic that saps the life out of commerce, closes foreign markets to U.S. producers and growers, and costs American consumers billions of dollars. The Democrats' plans would endanger 200,000 jobs and $8 billion in economic activity in agriculture alone! Over the past year, U.S. exports have expanded by 30 percent. The Democrats would reverse that growth by cowering behind trade barriers.</w:t>
      </w:r>
    </w:p>
    <w:p w:rsidR="00A31137" w:rsidRPr="00A31137" w:rsidRDefault="00A31137" w:rsidP="00A31137">
      <w:r w:rsidRPr="00A31137">
        <w:t>1988 Republican Platform, p.19</w:t>
      </w:r>
    </w:p>
    <w:p w:rsidR="00A31137" w:rsidRPr="00A31137" w:rsidRDefault="00A31137" w:rsidP="00A31137">
      <w:r w:rsidRPr="00A31137">
        <w:t>The bottom line in international trade must be American excellence. Every part of our economy is challenged to renew its commitment to quality. We must redouble our efforts to cut regulation, keep taxes low, and promote capital formation to sustain the advance of science and technology. Changes in both the managing of business and our approach to work, together with a new emphasis on quality and pleasing the customer, are creating a new work place ethic in our country. We will meet the challenges of international competition by know-how and cooperation, enterprise and daring, and trust in a well-trained work force to achieve more than government can even attempt.</w:t>
      </w:r>
    </w:p>
    <w:p w:rsidR="00A31137" w:rsidRPr="00A31137" w:rsidRDefault="00A31137" w:rsidP="00A31137">
      <w:r w:rsidRPr="00A31137">
        <w:t>International Economic Policy</w:t>
      </w:r>
    </w:p>
    <w:p w:rsidR="00A31137" w:rsidRPr="00A31137" w:rsidRDefault="00A31137" w:rsidP="00A31137">
      <w:r w:rsidRPr="00A31137">
        <w:t>1988 Republican Platform, p.19</w:t>
      </w:r>
    </w:p>
    <w:p w:rsidR="00A31137" w:rsidRPr="00A31137" w:rsidRDefault="00A31137" w:rsidP="00A31137">
      <w:r w:rsidRPr="00A31137">
        <w:t>Eight years ago, Ronald Reagan and George Bush offered visionary leadership to make a clean break with the failed past of international economics.</w:t>
      </w:r>
    </w:p>
    <w:p w:rsidR="00A31137" w:rsidRPr="00A31137" w:rsidRDefault="00A31137" w:rsidP="00A31137">
      <w:r w:rsidRPr="00A31137">
        <w:t>1988 Republican Platform, p.19</w:t>
      </w:r>
    </w:p>
    <w:p w:rsidR="00A31137" w:rsidRPr="00A31137" w:rsidRDefault="00A31137" w:rsidP="00A31137">
      <w:r w:rsidRPr="00A31137">
        <w:t>Our economic success is now acknowledged worldwide. Countries all over the world, even the Soviet Union, are abandoning worn out industrial policy planning by government in favor of the market-oriented policies underlying what foreign leaders call the "American Miracle."</w:t>
      </w:r>
    </w:p>
    <w:p w:rsidR="00A31137" w:rsidRPr="00A31137" w:rsidRDefault="00A31137" w:rsidP="00A31137">
      <w:r w:rsidRPr="00A31137">
        <w:t>1988 Republican Platform, p.19</w:t>
      </w:r>
    </w:p>
    <w:p w:rsidR="00A31137" w:rsidRPr="00A31137" w:rsidRDefault="00A31137" w:rsidP="00A31137">
      <w:r w:rsidRPr="00A31137">
        <w:t>We encouraged the major economic powers to draw greater guidance for their monetary policies from commodity prices. This was an important step toward ensuring price stability, eliminating volatility of exchange rates, and removing excessive trade imbalances.</w:t>
      </w:r>
    </w:p>
    <w:p w:rsidR="00A31137" w:rsidRPr="00A31137" w:rsidRDefault="00A31137" w:rsidP="00A31137">
      <w:r w:rsidRPr="00A31137">
        <w:t>1988 Republican Platform, p.19</w:t>
      </w:r>
    </w:p>
    <w:p w:rsidR="00A31137" w:rsidRPr="00A31137" w:rsidRDefault="00A31137" w:rsidP="00A31137">
      <w:r w:rsidRPr="00A31137">
        <w:t xml:space="preserve">We support the Administration's efforts to improve coordination among the industrialized nations regarding their basic economic policies as a means of sustaining non-inflationary growth. It is important that we continue and refine efforts to dampen the volatility of exchange rate fluctuations, which have at times impeded improvements in investment and trade. Further, it is important to guard against the possibility of inflation in all currencies by comparing them with a basket of commodities, including gold. [p.20] </w:t>
      </w:r>
    </w:p>
    <w:p w:rsidR="00A31137" w:rsidRPr="00A31137" w:rsidRDefault="00A31137" w:rsidP="00A31137">
      <w:r w:rsidRPr="00A31137">
        <w:t>1988 Republican Platform, p.20</w:t>
      </w:r>
    </w:p>
    <w:p w:rsidR="00A31137" w:rsidRPr="00A31137" w:rsidRDefault="00A31137" w:rsidP="00A31137">
      <w:r w:rsidRPr="00A31137">
        <w:t>International price stability will set the stage for developing countries to participate in the transforming process of economic growth. We will not turn our backs on the Third World, where Soviet imperialism preys upon stagnation and poverty. The massive debt of some emerging nations not only cripples their progress but also disrupts world trade and finance.</w:t>
      </w:r>
    </w:p>
    <w:p w:rsidR="00A31137" w:rsidRPr="00A31137" w:rsidRDefault="00A31137" w:rsidP="00A31137">
      <w:r w:rsidRPr="00A31137">
        <w:t>1988 Republican Platform, p.20</w:t>
      </w:r>
    </w:p>
    <w:p w:rsidR="00A31137" w:rsidRPr="00A31137" w:rsidRDefault="00A31137" w:rsidP="00A31137">
      <w:r w:rsidRPr="00A31137">
        <w:t>We will use U.S. economic aid, whether bilateral or through international organizations, to promote free market reforms: lower marginal tax rates, less regulation, reduced trade barriers. We will work with developing nations to make their economies attractive to private investment—both domestic and foreign—as the only lasting way to ensure that these nations can secure capital for growth. We support innovations to facilitate repayment of loans, including "debt for equity" swaps. We urge our representatives in all multilateral organizations such as the World Bank to support conditionality with all loans to encourage democracy, private sector development, and individual enterprise. As part of our commitment to the family as the building block of economic progress, we believe decisions on family size should be made freely by each family, and we remain opposed to U.S. funding for organizations involved in abortion.</w:t>
      </w:r>
    </w:p>
    <w:p w:rsidR="00A31137" w:rsidRPr="00A31137" w:rsidRDefault="00A31137" w:rsidP="00A31137">
      <w:r w:rsidRPr="00A31137">
        <w:t>1988 Republican Platform, p.20</w:t>
      </w:r>
    </w:p>
    <w:p w:rsidR="00A31137" w:rsidRPr="00A31137" w:rsidRDefault="00A31137" w:rsidP="00A31137">
      <w:r w:rsidRPr="00A31137">
        <w:t>To dig their way out of debt, those nations must do more than take out additional loans. They need America's greatest export: capitalism. While sharing the pie of prosperity with others, we will teach its recipe. It is this simple: Where democracy and free markets take root, people live better. Where people live better, they produce and trade more. As capitalism spreads throughout the world, more nations are prospering, international commerce is booming, and U.S. trade is breaking records.</w:t>
      </w:r>
    </w:p>
    <w:p w:rsidR="00A31137" w:rsidRPr="00A31137" w:rsidRDefault="00A31137" w:rsidP="00A31137">
      <w:r w:rsidRPr="00A31137">
        <w:t>1988 Republican Platform, p.20</w:t>
      </w:r>
    </w:p>
    <w:p w:rsidR="00A31137" w:rsidRPr="00A31137" w:rsidRDefault="00A31137" w:rsidP="00A31137">
      <w:r w:rsidRPr="00A31137">
        <w:t>But even more important than economic progress is the advance of freedom. Republicans want not only a better life for the people of developing lands; we want a freer and more peaceful future for them, too. Those goals are inextricably linked. It is a case of all or nothing, and we believe that free people can have it all.</w:t>
      </w:r>
    </w:p>
    <w:p w:rsidR="00A31137" w:rsidRPr="00A31137" w:rsidRDefault="00A31137" w:rsidP="00A31137">
      <w:r w:rsidRPr="00A31137">
        <w:t>1988 Republican Platform, p.20</w:t>
      </w:r>
    </w:p>
    <w:p w:rsidR="00A31137" w:rsidRPr="00A31137" w:rsidRDefault="00A31137" w:rsidP="00A31137">
      <w:r w:rsidRPr="00A31137">
        <w:t>From all over the world, capital flows into the United States because of confidence in our future. Direct investment in America creates important economy-wide benefits: jobs, growth, and lower interest rates. We oppose shortsighted attempts to restrict or overly regulate this investment in America that helps our people work, earn, and live better.</w:t>
      </w:r>
    </w:p>
    <w:p w:rsidR="00A31137" w:rsidRPr="00A31137" w:rsidRDefault="00A31137" w:rsidP="00A31137">
      <w:r w:rsidRPr="00A31137">
        <w:t>1988 Republican Platform, p.20</w:t>
      </w:r>
    </w:p>
    <w:p w:rsidR="00A31137" w:rsidRPr="00A31137" w:rsidRDefault="00A31137" w:rsidP="00A31137">
      <w:r w:rsidRPr="00A31137">
        <w:t xml:space="preserve">Most important, we will lead by example. We will keep the United States a shining model of individual freedom and economic liberty to encourage other peoples of the world to assert their own economic rights and secure opportunity for all. [p.21] </w:t>
      </w:r>
    </w:p>
    <w:p w:rsidR="00A31137" w:rsidRPr="00A31137" w:rsidRDefault="00A31137" w:rsidP="00A31137">
      <w:r w:rsidRPr="00A31137">
        <w:t>Strong Families and Strong Communities</w:t>
      </w:r>
    </w:p>
    <w:p w:rsidR="00A31137" w:rsidRPr="00A31137" w:rsidRDefault="00A31137" w:rsidP="00A31137">
      <w:r w:rsidRPr="00A31137">
        <w:t>1988 Republican Platform, p.21</w:t>
      </w:r>
    </w:p>
    <w:p w:rsidR="00A31137" w:rsidRPr="00A31137" w:rsidRDefault="00A31137" w:rsidP="00A31137">
      <w:r w:rsidRPr="00A31137">
        <w:t>Strong families build strong communities. They make us a confident, caring society by fostering the values and character—integrity, responsibility, sharing and altruism—essential for the survival of democracy. America's place in the 21st century will be determined by the family's place in public policy today.</w:t>
      </w:r>
    </w:p>
    <w:p w:rsidR="00A31137" w:rsidRPr="00A31137" w:rsidRDefault="00A31137" w:rsidP="00A31137">
      <w:r w:rsidRPr="00A31137">
        <w:t>1988 Republican Platform, p.21</w:t>
      </w:r>
    </w:p>
    <w:p w:rsidR="00A31137" w:rsidRPr="00A31137" w:rsidRDefault="00A31137" w:rsidP="00A31137">
      <w:r w:rsidRPr="00A31137">
        <w:t>Republicans believe, as did the framers of the Constitution, that the God-given rights of the family come before those of government. That separates us from liberal Democrats. We seek to strengthen the family. Democrats try to supplant it. In the 1960s and 1970s, the family bore the brunt of liberal attacks on everything the American people cherished. Our whole society paid dearly.</w:t>
      </w:r>
    </w:p>
    <w:p w:rsidR="00A31137" w:rsidRPr="00A31137" w:rsidRDefault="00A31137" w:rsidP="00A31137">
      <w:r w:rsidRPr="00A31137">
        <w:t>1988 Republican Platform, p.21</w:t>
      </w:r>
    </w:p>
    <w:p w:rsidR="00A31137" w:rsidRPr="00A31137" w:rsidRDefault="00A31137" w:rsidP="00A31137">
      <w:r w:rsidRPr="00A31137">
        <w:t>It's time to put things together again. Republicans have started this critical task:</w:t>
      </w:r>
    </w:p>
    <w:p w:rsidR="00A31137" w:rsidRPr="00A31137" w:rsidRDefault="00A31137" w:rsidP="00A31137">
      <w:r w:rsidRPr="00A31137">
        <w:t>1988 Republican Platform, p.21</w:t>
      </w:r>
    </w:p>
    <w:p w:rsidR="00A31137" w:rsidRPr="00A31137" w:rsidRDefault="00A31137" w:rsidP="00A31137">
      <w:r w:rsidRPr="00A31137">
        <w:t>•</w:t>
      </w:r>
      <w:r w:rsidRPr="00A31137">
        <w:tab/>
        <w:t>We brought fairness to the tax code, removed millions of low income families from the rolls, and cut tax rates dramatically.</w:t>
      </w:r>
    </w:p>
    <w:p w:rsidR="00A31137" w:rsidRPr="00A31137" w:rsidRDefault="00A31137" w:rsidP="00A31137">
      <w:r w:rsidRPr="00A31137">
        <w:t xml:space="preserve">• </w:t>
      </w:r>
      <w:r w:rsidRPr="00A31137">
        <w:tab/>
        <w:t>We reestablished a pro-family tax system. We doubled the exemption for dependents and protected families from backdoor tax hikes by indexing the exemption to inflation.</w:t>
      </w:r>
    </w:p>
    <w:p w:rsidR="00A31137" w:rsidRPr="00A31137" w:rsidRDefault="00A31137" w:rsidP="00A31137">
      <w:r w:rsidRPr="00A31137">
        <w:t xml:space="preserve">• </w:t>
      </w:r>
      <w:r w:rsidRPr="00A31137">
        <w:tab/>
        <w:t>We tamed inflation to lower interest rates, protected the savings of the elderly, and made housing more affordable for millions of households.</w:t>
      </w:r>
    </w:p>
    <w:p w:rsidR="00A31137" w:rsidRPr="00A31137" w:rsidRDefault="00A31137" w:rsidP="00A31137">
      <w:r w:rsidRPr="00A31137">
        <w:t xml:space="preserve">• </w:t>
      </w:r>
      <w:r w:rsidRPr="00A31137">
        <w:tab/>
        <w:t>We fought to reverse crime rates and launched the nation's first all-out war on drug abuse, though there is still much more to do.</w:t>
      </w:r>
    </w:p>
    <w:p w:rsidR="00A31137" w:rsidRPr="00A31137" w:rsidRDefault="00A31137" w:rsidP="00A31137">
      <w:r w:rsidRPr="00A31137">
        <w:t xml:space="preserve">• </w:t>
      </w:r>
      <w:r w:rsidRPr="00A31137">
        <w:tab/>
        <w:t>We appointed judges who respect family rights, family values, and the rights of victims of crime.</w:t>
      </w:r>
    </w:p>
    <w:p w:rsidR="00A31137" w:rsidRPr="00A31137" w:rsidRDefault="00A31137" w:rsidP="00A31137">
      <w:r w:rsidRPr="00A31137">
        <w:t xml:space="preserve">• </w:t>
      </w:r>
      <w:r w:rsidRPr="00A31137">
        <w:tab/>
        <w:t>We brought education back to basics, back to parents, and strengthened the principle of local control.</w:t>
      </w:r>
    </w:p>
    <w:p w:rsidR="00A31137" w:rsidRPr="00A31137" w:rsidRDefault="00A31137" w:rsidP="00A31137">
      <w:r w:rsidRPr="00A31137">
        <w:t xml:space="preserve">• </w:t>
      </w:r>
      <w:r w:rsidRPr="00A31137">
        <w:tab/>
        <w:t>Through President Reagan's historic executive order on the family, we set standards in law for determining whether policies help or hurt the American family.</w:t>
      </w:r>
    </w:p>
    <w:p w:rsidR="00A31137" w:rsidRPr="00A31137" w:rsidRDefault="00A31137" w:rsidP="00A31137">
      <w:r w:rsidRPr="00A31137">
        <w:t>1988 Republican Platform, p.21</w:t>
      </w:r>
    </w:p>
    <w:p w:rsidR="00A31137" w:rsidRPr="00A31137" w:rsidRDefault="00A31137" w:rsidP="00A31137">
      <w:r w:rsidRPr="00A31137">
        <w:t>Republicans have brought hope to families on the front lines of America's social reconstruction. We pledge to fulfill that hope and to keep the family at its proper place at the center of public policy.</w:t>
      </w:r>
    </w:p>
    <w:p w:rsidR="00A31137" w:rsidRPr="00A31137" w:rsidRDefault="00A31137" w:rsidP="00A31137">
      <w:r w:rsidRPr="00A31137">
        <w:t>Caring for Children</w:t>
      </w:r>
    </w:p>
    <w:p w:rsidR="00A31137" w:rsidRPr="00A31137" w:rsidRDefault="00A31137" w:rsidP="00A31137">
      <w:r w:rsidRPr="00A31137">
        <w:t>1988 Republican Platform, p.21</w:t>
      </w:r>
    </w:p>
    <w:p w:rsidR="00A31137" w:rsidRPr="00A31137" w:rsidRDefault="00A31137" w:rsidP="00A31137">
      <w:r w:rsidRPr="00A31137">
        <w:t>The family's most important function is to raise the next generation of Americans, handing on to them the Judeo-Christian values of Western [p.22] civilization and our ideals of liberty. More than anything else, the ability of America's families to accomplish those goals will determine the course our country takes in the century ahead.</w:t>
      </w:r>
    </w:p>
    <w:p w:rsidR="00A31137" w:rsidRPr="00A31137" w:rsidRDefault="00A31137" w:rsidP="00A31137">
      <w:r w:rsidRPr="00A31137">
        <w:t>1988 Republican Platform, p.22</w:t>
      </w:r>
    </w:p>
    <w:p w:rsidR="00A31137" w:rsidRPr="00A31137" w:rsidRDefault="00A31137" w:rsidP="00A31137">
      <w:r w:rsidRPr="00A31137">
        <w:t>Our society is in an era of sweeping change. In this era of unprecedented opportunity, more women than ever before have entered the work force. As a result, many households depend upon some form of non-parental care for their youngsters. Relatives, neighbors, churches and synagogues, employers and others in the private sector, are helping to meet the demand for quality care. In the process, we are learning more about the needs of children and about the impact of various forms of care. That knowledge should guide public policy and private options on many issues affecting the way we work and raise our families.</w:t>
      </w:r>
    </w:p>
    <w:p w:rsidR="00A31137" w:rsidRPr="00A31137" w:rsidRDefault="00A31137" w:rsidP="00A31137">
      <w:r w:rsidRPr="00A31137">
        <w:t>1988 Republican Platform, p.22</w:t>
      </w:r>
    </w:p>
    <w:p w:rsidR="00A31137" w:rsidRPr="00A31137" w:rsidRDefault="00A31137" w:rsidP="00A31137">
      <w:r w:rsidRPr="00A31137">
        <w:t>Republicans affirm these commonsense principles of child care:</w:t>
      </w:r>
    </w:p>
    <w:p w:rsidR="00A31137" w:rsidRPr="00A31137" w:rsidRDefault="00A31137" w:rsidP="00A31137">
      <w:r w:rsidRPr="00A31137">
        <w:t>1988 Republican Platform, p.22</w:t>
      </w:r>
    </w:p>
    <w:p w:rsidR="00A31137" w:rsidRPr="00A31137" w:rsidRDefault="00A31137" w:rsidP="00A31137">
      <w:r w:rsidRPr="00A31137">
        <w:t>•</w:t>
      </w:r>
      <w:r w:rsidRPr="00A31137">
        <w:tab/>
        <w:t>The more options families have in child care, the better. Government must not constrain their decisions. Individual choice should determine child care arrangements for the family.</w:t>
      </w:r>
    </w:p>
    <w:p w:rsidR="00A31137" w:rsidRPr="00A31137" w:rsidRDefault="00A31137" w:rsidP="00A31137">
      <w:r w:rsidRPr="00A31137">
        <w:t xml:space="preserve">• </w:t>
      </w:r>
      <w:r w:rsidRPr="00A31137">
        <w:tab/>
        <w:t>The best care for most children, especially in the early years, is parental. Government must never hinder it.</w:t>
      </w:r>
    </w:p>
    <w:p w:rsidR="00A31137" w:rsidRPr="00A31137" w:rsidRDefault="00A31137" w:rsidP="00A31137">
      <w:r w:rsidRPr="00A31137">
        <w:t xml:space="preserve">• </w:t>
      </w:r>
      <w:r w:rsidRPr="00A31137">
        <w:tab/>
        <w:t>Public policy must acknowledge the full range of family situations. Mothers or fathers who stay at home, who work part-time, or who work full-time, should all receive the same respect and consideration in public policy.</w:t>
      </w:r>
    </w:p>
    <w:p w:rsidR="00A31137" w:rsidRPr="00A31137" w:rsidRDefault="00A31137" w:rsidP="00A31137">
      <w:r w:rsidRPr="00A31137">
        <w:t xml:space="preserve">• </w:t>
      </w:r>
      <w:r w:rsidRPr="00A31137">
        <w:tab/>
        <w:t>Child care by close relatives, religious organizations, and other community groups should never be inhibited by government programs or policies.</w:t>
      </w:r>
    </w:p>
    <w:p w:rsidR="00A31137" w:rsidRPr="00A31137" w:rsidRDefault="00A31137" w:rsidP="00A31137">
      <w:r w:rsidRPr="00A31137">
        <w:t>1988 Republican Platform, p.22</w:t>
      </w:r>
    </w:p>
    <w:p w:rsidR="00A31137" w:rsidRPr="00A31137" w:rsidRDefault="00A31137" w:rsidP="00A31137">
      <w:r w:rsidRPr="00A31137">
        <w:t>In sum, this is a perfect example of the difference between the two parties. Republicans want to empower individuals, not bureaucrats. We seek to minimize the financial burdens imposed by government upon families, ensure their options, and preserve the role of our traditional voluntary institutions. Democrats propose a new federal program that negates parental choice and disdains religious participation. Republicans would never bar aid to any family for choosing child care that includes a simple prayer.</w:t>
      </w:r>
    </w:p>
    <w:p w:rsidR="00A31137" w:rsidRPr="00A31137" w:rsidRDefault="00A31137" w:rsidP="00A31137">
      <w:r w:rsidRPr="00A31137">
        <w:t>1988 Republican Platform, p.22</w:t>
      </w:r>
    </w:p>
    <w:p w:rsidR="00A31137" w:rsidRPr="00A31137" w:rsidRDefault="00A31137" w:rsidP="00A31137">
      <w:r w:rsidRPr="00A31137">
        <w:t>In returning to our traditional commitment to children, the Republican Party proposes a radically different approach:</w:t>
      </w:r>
    </w:p>
    <w:p w:rsidR="00A31137" w:rsidRPr="00A31137" w:rsidRDefault="00A31137" w:rsidP="00A31137">
      <w:r w:rsidRPr="00A31137">
        <w:t>1988 Republican Platform, p.22</w:t>
      </w:r>
    </w:p>
    <w:p w:rsidR="00A31137" w:rsidRPr="00A31137" w:rsidRDefault="00A31137" w:rsidP="00A31137">
      <w:r w:rsidRPr="00A31137">
        <w:t>•</w:t>
      </w:r>
      <w:r w:rsidRPr="00A31137">
        <w:tab/>
        <w:t xml:space="preserve">Establish a toddler tax credit for pre-school children as proposed by Vice President Bush, available to all families of modest means, to help them support and care for their children in a manner best suited to their families' values and traditions. [p.23] </w:t>
      </w:r>
    </w:p>
    <w:p w:rsidR="00A31137" w:rsidRPr="00A31137" w:rsidRDefault="00A31137" w:rsidP="00A31137">
      <w:r w:rsidRPr="00A31137">
        <w:t>•</w:t>
      </w:r>
      <w:r w:rsidRPr="00A31137">
        <w:tab/>
        <w:t>Establishment of a plan that does not discriminate against single-earner families with one parent in the home.</w:t>
      </w:r>
    </w:p>
    <w:p w:rsidR="00A31137" w:rsidRPr="00A31137" w:rsidRDefault="00A31137" w:rsidP="00A31137">
      <w:r w:rsidRPr="00A31137">
        <w:t xml:space="preserve">• </w:t>
      </w:r>
      <w:r w:rsidRPr="00A31137">
        <w:tab/>
        <w:t>Continue to reverse the Democrats' 30-year erosion of the dependent tax exemption. That exemption has been doubled under Republican leadership. This will empower parents to care for their families in a way that public services can never do.</w:t>
      </w:r>
    </w:p>
    <w:p w:rsidR="00A31137" w:rsidRPr="00A31137" w:rsidRDefault="00A31137" w:rsidP="00A31137">
      <w:r w:rsidRPr="00A31137">
        <w:t xml:space="preserve">• </w:t>
      </w:r>
      <w:r w:rsidRPr="00A31137">
        <w:tab/>
        <w:t>Make the dependent care tax credit available to low-income families with young children.</w:t>
      </w:r>
    </w:p>
    <w:p w:rsidR="00A31137" w:rsidRPr="00A31137" w:rsidRDefault="00A31137" w:rsidP="00A31137">
      <w:r w:rsidRPr="00A31137">
        <w:t xml:space="preserve">• </w:t>
      </w:r>
      <w:r w:rsidRPr="00A31137">
        <w:tab/>
        <w:t>Eliminate disincentives for grandparents and other seniors to care for children by repealing the earnings limitation for Social Security recipients.</w:t>
      </w:r>
    </w:p>
    <w:p w:rsidR="00A31137" w:rsidRPr="00A31137" w:rsidRDefault="00A31137" w:rsidP="00A31137">
      <w:r w:rsidRPr="00A31137">
        <w:t xml:space="preserve">• </w:t>
      </w:r>
      <w:r w:rsidRPr="00A31137">
        <w:tab/>
        <w:t>Encourage States to promote child care programs which allow teenage mothers to remain in school.</w:t>
      </w:r>
    </w:p>
    <w:p w:rsidR="00A31137" w:rsidRPr="00A31137" w:rsidRDefault="00A31137" w:rsidP="00A31137">
      <w:r w:rsidRPr="00A31137">
        <w:t xml:space="preserve">• </w:t>
      </w:r>
      <w:r w:rsidRPr="00A31137">
        <w:tab/>
        <w:t>Promote in-home care—preferred by almost all parents—by allowing annual, instead of quarterly, payments of income taxes by employees and withholding taxes by employers.</w:t>
      </w:r>
    </w:p>
    <w:p w:rsidR="00A31137" w:rsidRPr="00A31137" w:rsidRDefault="00A31137" w:rsidP="00A31137">
      <w:r w:rsidRPr="00A31137">
        <w:t xml:space="preserve">• </w:t>
      </w:r>
      <w:r w:rsidRPr="00A31137">
        <w:tab/>
        <w:t>Encourage employers, including government agencies, to voluntarily address their employees' child care needs and use more flexible work schedules and job sharing to recognize the household demands upon their work force.</w:t>
      </w:r>
    </w:p>
    <w:p w:rsidR="00A31137" w:rsidRPr="00A31137" w:rsidRDefault="00A31137" w:rsidP="00A31137">
      <w:r w:rsidRPr="00A31137">
        <w:t xml:space="preserve">• </w:t>
      </w:r>
      <w:r w:rsidRPr="00A31137">
        <w:tab/>
        <w:t>Reform the tort liability system to prevent excessive litigation that discourages child care by groups who stand ready to meet the needs of working parents.</w:t>
      </w:r>
    </w:p>
    <w:p w:rsidR="00A31137" w:rsidRPr="00A31137" w:rsidRDefault="00A31137" w:rsidP="00A31137">
      <w:r w:rsidRPr="00A31137">
        <w:t xml:space="preserve">• </w:t>
      </w:r>
      <w:r w:rsidRPr="00A31137">
        <w:tab/>
        <w:t>Reform Federal Home Mortgage Association rules to retain mortgage eligibility for homeowners who offer family child care.</w:t>
      </w:r>
    </w:p>
    <w:p w:rsidR="00A31137" w:rsidRPr="00A31137" w:rsidRDefault="00A31137" w:rsidP="00A31137">
      <w:r w:rsidRPr="00A31137">
        <w:t>Adoption</w:t>
      </w:r>
    </w:p>
    <w:p w:rsidR="00A31137" w:rsidRPr="00A31137" w:rsidRDefault="00A31137" w:rsidP="00A31137">
      <w:r w:rsidRPr="00A31137">
        <w:t>1988 Republican Platform, p.23</w:t>
      </w:r>
    </w:p>
    <w:p w:rsidR="00A31137" w:rsidRPr="00A31137" w:rsidRDefault="00A31137" w:rsidP="00A31137">
      <w:r w:rsidRPr="00A31137">
        <w:t>Adoption is a special form of caring for children. We recognize the tremendous contributions of adoptive parents and foster parents. The Reagan-Bush Administration has given unprecedented attention to adoption through a presidential task force, whose recommendations point the way toward vastly expanding opportunities for children in need.</w:t>
      </w:r>
    </w:p>
    <w:p w:rsidR="00A31137" w:rsidRPr="00A31137" w:rsidRDefault="00A31137" w:rsidP="00A31137">
      <w:r w:rsidRPr="00A31137">
        <w:t>1988 Republican Platform, p.23</w:t>
      </w:r>
    </w:p>
    <w:p w:rsidR="00A31137" w:rsidRPr="00A31137" w:rsidRDefault="00A31137" w:rsidP="00A31137">
      <w:r w:rsidRPr="00A31137">
        <w:t xml:space="preserve">Republicans are determined to cut through red tape to facilitate the adoption process for those who can offer strong family life based on traditional values. Trapping minority and special needs children in the foster care system, when there are families ready to adopt these youngsters, is a national disgrace. We urge States to remove obstacles to the permanent placement of foster children and to reform antiquated regulations that make adoption needlessly difficult. [p.24] </w:t>
      </w:r>
    </w:p>
    <w:p w:rsidR="00A31137" w:rsidRPr="00A31137" w:rsidRDefault="00A31137" w:rsidP="00A31137">
      <w:r w:rsidRPr="00A31137">
        <w:t>Pornography</w:t>
      </w:r>
    </w:p>
    <w:p w:rsidR="00A31137" w:rsidRPr="00A31137" w:rsidRDefault="00A31137" w:rsidP="00A31137">
      <w:r w:rsidRPr="00A31137">
        <w:t>1988 Republican Platform, p.24</w:t>
      </w:r>
    </w:p>
    <w:p w:rsidR="00A31137" w:rsidRPr="00A31137" w:rsidRDefault="00A31137" w:rsidP="00A31137">
      <w:r w:rsidRPr="00A31137">
        <w:t>America's children deserve to be free from pornography. We applaud Republicans in the 100th Congress who took the lead to ban interstate dial-a-porn. We endorse legislative and regulatory efforts to anchor more securely a standard of decency in telecommunications and to prohibit the sale of sexually explicit materials in outlets operated on federal property. We commend those who refuse to sell pornographic material. We support the rigorous enforcement of "community standards" against pornography.</w:t>
      </w:r>
    </w:p>
    <w:p w:rsidR="00A31137" w:rsidRPr="00A31137" w:rsidRDefault="00A31137" w:rsidP="00A31137">
      <w:r w:rsidRPr="00A31137">
        <w:t>Health</w:t>
      </w:r>
    </w:p>
    <w:p w:rsidR="00A31137" w:rsidRPr="00A31137" w:rsidRDefault="00A31137" w:rsidP="00A31137">
      <w:r w:rsidRPr="00A31137">
        <w:t>1988 Republican Platform, p.24</w:t>
      </w:r>
    </w:p>
    <w:p w:rsidR="00A31137" w:rsidRPr="00A31137" w:rsidRDefault="00A31137" w:rsidP="00A31137">
      <w:r w:rsidRPr="00A31137">
        <w:t>Americans are accustomed to miracles in health care. The relentless advance of science, boosted by space age technology, has transformed the quality of health care and broadened the exercise of our compassion. By the year 2000, more than 100,000 Americans will be more than 100 years old. Yesterday's science fiction regularly becomes today's medical routine.</w:t>
      </w:r>
    </w:p>
    <w:p w:rsidR="00A31137" w:rsidRPr="00A31137" w:rsidRDefault="00A31137" w:rsidP="00A31137">
      <w:r w:rsidRPr="00A31137">
        <w:t>1988 Republican Platform, p.24</w:t>
      </w:r>
    </w:p>
    <w:p w:rsidR="00A31137" w:rsidRPr="00A31137" w:rsidRDefault="00A31137" w:rsidP="00A31137">
      <w:r w:rsidRPr="00A31137">
        <w:t>The American people almost lost all that in the 1960s and 1970s, when political demagogues offered quack cures for the ills of our health care system. They tried to impose here the nationalized medicine that was disastrous in other countries.</w:t>
      </w:r>
    </w:p>
    <w:p w:rsidR="00A31137" w:rsidRPr="00A31137" w:rsidRDefault="00A31137" w:rsidP="00A31137">
      <w:r w:rsidRPr="00A31137">
        <w:t>1988 Republican Platform, p.24</w:t>
      </w:r>
    </w:p>
    <w:p w:rsidR="00A31137" w:rsidRPr="00A31137" w:rsidRDefault="00A31137" w:rsidP="00A31137">
      <w:r w:rsidRPr="00A31137">
        <w:t>Republicans believe in reduced government control of health care while maintaining an unequivocal commitment to quality health care:</w:t>
      </w:r>
    </w:p>
    <w:p w:rsidR="00A31137" w:rsidRPr="00A31137" w:rsidRDefault="00A31137" w:rsidP="00A31137">
      <w:r w:rsidRPr="00A31137">
        <w:t>1988 Republican Platform, p.24</w:t>
      </w:r>
    </w:p>
    <w:p w:rsidR="00A31137" w:rsidRPr="00A31137" w:rsidRDefault="00A31137" w:rsidP="00A31137">
      <w:r w:rsidRPr="00A31137">
        <w:t xml:space="preserve">• </w:t>
      </w:r>
      <w:r w:rsidRPr="00A31137">
        <w:tab/>
        <w:t>We fostered competition and consumer choice as the only way to hold down the medical price spiral generated by government's open-ended spending on health programs.</w:t>
      </w:r>
    </w:p>
    <w:p w:rsidR="00A31137" w:rsidRPr="00A31137" w:rsidRDefault="00A31137" w:rsidP="00A31137">
      <w:r w:rsidRPr="00A31137">
        <w:t xml:space="preserve">• </w:t>
      </w:r>
      <w:r w:rsidRPr="00A31137">
        <w:tab/>
        <w:t>We gave the hospice movement its important role in federal programs.</w:t>
      </w:r>
    </w:p>
    <w:p w:rsidR="00A31137" w:rsidRPr="00A31137" w:rsidRDefault="00A31137" w:rsidP="00A31137">
      <w:r w:rsidRPr="00A31137">
        <w:t xml:space="preserve">• </w:t>
      </w:r>
      <w:r w:rsidRPr="00A31137">
        <w:tab/>
        <w:t>We launched a national campaign to ensure quality treatment and to prevent abuse in nursing homes.</w:t>
      </w:r>
    </w:p>
    <w:p w:rsidR="00A31137" w:rsidRPr="00A31137" w:rsidRDefault="00A31137" w:rsidP="00A31137">
      <w:r w:rsidRPr="00A31137">
        <w:t xml:space="preserve">• </w:t>
      </w:r>
      <w:r w:rsidRPr="00A31137">
        <w:tab/>
        <w:t>We led the way to enacting landmark legislation for catastrophic health insurance under Medicare.</w:t>
      </w:r>
    </w:p>
    <w:p w:rsidR="00A31137" w:rsidRPr="00A31137" w:rsidRDefault="00A31137" w:rsidP="00A31137">
      <w:r w:rsidRPr="00A31137">
        <w:t xml:space="preserve">• </w:t>
      </w:r>
      <w:r w:rsidRPr="00A31137">
        <w:tab/>
        <w:t>We speeded up the regulatory process for experimental drugs for life-threatening illness and loosened import controls to allow greater choice by patients.</w:t>
      </w:r>
    </w:p>
    <w:p w:rsidR="00A31137" w:rsidRPr="00A31137" w:rsidRDefault="00A31137" w:rsidP="00A31137">
      <w:r w:rsidRPr="00A31137">
        <w:t xml:space="preserve">• </w:t>
      </w:r>
      <w:r w:rsidRPr="00A31137">
        <w:tab/>
        <w:t>We promoted health care through pilot projects in the States. We took extraordinary steps to ensure home health care so that chronically ill children under Medicaid would not have to stay in the hospital.</w:t>
      </w:r>
    </w:p>
    <w:p w:rsidR="00A31137" w:rsidRPr="00A31137" w:rsidRDefault="00A31137" w:rsidP="00A31137">
      <w:r w:rsidRPr="00A31137">
        <w:t>1988 Republican Platform, p.24</w:t>
      </w:r>
    </w:p>
    <w:p w:rsidR="00A31137" w:rsidRPr="00A31137" w:rsidRDefault="00A31137" w:rsidP="00A31137">
      <w:r w:rsidRPr="00A31137">
        <w:t xml:space="preserve">Republicans will continue the recovery of America's health care system from the Democrats' mistakes of the past: [p.25] </w:t>
      </w:r>
    </w:p>
    <w:p w:rsidR="00A31137" w:rsidRPr="00A31137" w:rsidRDefault="00A31137" w:rsidP="00A31137">
      <w:r w:rsidRPr="00A31137">
        <w:t>1988 Republican Platform, p.25</w:t>
      </w:r>
    </w:p>
    <w:p w:rsidR="00A31137" w:rsidRPr="00A31137" w:rsidRDefault="00A31137" w:rsidP="00A31137">
      <w:r w:rsidRPr="00A31137">
        <w:t>•</w:t>
      </w:r>
      <w:r w:rsidRPr="00A31137">
        <w:tab/>
        <w:t>We will promote continuing innovation to ensure that tomorrow's miracles are affordable and accessible to all. We are encouraged by advances in communications which enable small or isolated facilities to tap the resources of the world' s greatest centers of healing. Many breakthroughs in recent years have dramatically reduced the incidence of surgery and replaced lengthy hospital stays with out-patient treatment.</w:t>
      </w:r>
    </w:p>
    <w:p w:rsidR="00A31137" w:rsidRPr="00A31137" w:rsidRDefault="00A31137" w:rsidP="00A31137">
      <w:r w:rsidRPr="00A31137">
        <w:t>•</w:t>
      </w:r>
      <w:r w:rsidRPr="00A31137">
        <w:tab/>
        <w:t>We will work for continuing progress in providing the most cost-effective, high-quality care.</w:t>
      </w:r>
    </w:p>
    <w:p w:rsidR="00A31137" w:rsidRPr="00A31137" w:rsidRDefault="00A31137" w:rsidP="00A31137">
      <w:r w:rsidRPr="00A31137">
        <w:t xml:space="preserve">• </w:t>
      </w:r>
      <w:r w:rsidRPr="00A31137">
        <w:tab/>
        <w:t>We will lead the fight for reform of medical malpractice laws to stop the intolerable escalation of malpractice insurance. It has artificially boosted costs for patients, driven many good doctors out of fields such as obstetrics and other high-risk specialties, and made care unavailable for many patients.</w:t>
      </w:r>
    </w:p>
    <w:p w:rsidR="00A31137" w:rsidRPr="00A31137" w:rsidRDefault="00A31137" w:rsidP="00A31137">
      <w:r w:rsidRPr="00A31137">
        <w:t xml:space="preserve">• </w:t>
      </w:r>
      <w:r w:rsidRPr="00A31137">
        <w:tab/>
        <w:t>We are opposed to the establishment of government mandated professional practice fees and services requirements as a condition of professional licensure or license renewal.</w:t>
      </w:r>
    </w:p>
    <w:p w:rsidR="00A31137" w:rsidRPr="00A31137" w:rsidRDefault="00A31137" w:rsidP="00A31137">
      <w:r w:rsidRPr="00A31137">
        <w:t xml:space="preserve">• </w:t>
      </w:r>
      <w:r w:rsidRPr="00A31137">
        <w:tab/>
        <w:t>We are committed to avoiding the medical crisis facing Massachusetts—a State for which the American Medical Association observed a "moment of silence" at its annual meeting—a State where the decline in the availability of medical care has reached a dangerous level.</w:t>
      </w:r>
    </w:p>
    <w:p w:rsidR="00A31137" w:rsidRPr="00A31137" w:rsidRDefault="00A31137" w:rsidP="00A31137">
      <w:r w:rsidRPr="00A31137">
        <w:t xml:space="preserve">• </w:t>
      </w:r>
      <w:r w:rsidRPr="00A31137">
        <w:tab/>
        <w:t>We will continue to seek opportunities for private and public cooperation in support of hospices.</w:t>
      </w:r>
    </w:p>
    <w:p w:rsidR="00A31137" w:rsidRPr="00A31137" w:rsidRDefault="00A31137" w:rsidP="00A31137">
      <w:r w:rsidRPr="00A31137">
        <w:t xml:space="preserve">• </w:t>
      </w:r>
      <w:r w:rsidRPr="00A31137">
        <w:tab/>
        <w:t>We are committed to improving the quality and financing of long-term care. We will remove regulatory and tax burdens to encourage private health insurance policies for acute or long term care. We will work for convertibility of savings, IRAs, life insurance, and pensions to pay for long term care.</w:t>
      </w:r>
    </w:p>
    <w:p w:rsidR="00A31137" w:rsidRPr="00A31137" w:rsidRDefault="00A31137" w:rsidP="00A31137">
      <w:r w:rsidRPr="00A31137">
        <w:t xml:space="preserve">• </w:t>
      </w:r>
      <w:r w:rsidRPr="00A31137">
        <w:tab/>
        <w:t>We will encourage the trend in the private sector to expand opportunities for home health care to protect the integrity of the family and to provide a less expensive alternative to hospital stays. We want to ensure flexibility for both Medicare and Medicaid in the provision of services to those who need them at home or elsewhere.</w:t>
      </w:r>
    </w:p>
    <w:p w:rsidR="00A31137" w:rsidRPr="00A31137" w:rsidRDefault="00A31137" w:rsidP="00A31137">
      <w:r w:rsidRPr="00A31137">
        <w:t xml:space="preserve">• </w:t>
      </w:r>
      <w:r w:rsidRPr="00A31137">
        <w:tab/>
        <w:t>We will foster employee choice in selecting health plans to promote personal responsibility for wellness.</w:t>
      </w:r>
    </w:p>
    <w:p w:rsidR="00A31137" w:rsidRPr="00A31137" w:rsidRDefault="00A31137" w:rsidP="00A31137">
      <w:r w:rsidRPr="00A31137">
        <w:t xml:space="preserve">• </w:t>
      </w:r>
      <w:r w:rsidRPr="00A31137">
        <w:tab/>
        <w:t xml:space="preserve">Recognizing that medical catastrophes can strike regardless of age, we empathize with the plight of the thousands of American families with catastrophically ill children and will work toward making catastrophic health care coverage available to our youngest citizens. [p.26] </w:t>
      </w:r>
    </w:p>
    <w:p w:rsidR="00A31137" w:rsidRPr="00A31137" w:rsidRDefault="00A31137" w:rsidP="00A31137">
      <w:r w:rsidRPr="00A31137">
        <w:t>1988 Republican Platform, p.26</w:t>
      </w:r>
    </w:p>
    <w:p w:rsidR="00A31137" w:rsidRPr="00A31137" w:rsidRDefault="00A31137" w:rsidP="00A31137">
      <w:r w:rsidRPr="00A31137">
        <w:t>•</w:t>
      </w:r>
      <w:r w:rsidRPr="00A31137">
        <w:tab/>
        <w:t>Recognizing that inequities may exist in the current treatment of health insurance costs for those who are self-employed, including farmers, we will study ways to more appropriately balance such costs.</w:t>
      </w:r>
    </w:p>
    <w:p w:rsidR="00A31137" w:rsidRPr="00A31137" w:rsidRDefault="00A31137" w:rsidP="00A31137">
      <w:r w:rsidRPr="00A31137">
        <w:t xml:space="preserve">• </w:t>
      </w:r>
      <w:r w:rsidRPr="00A31137">
        <w:tab/>
        <w:t>We will continue to promote alternative forms of group health care that foster competition and lower costs.</w:t>
      </w:r>
    </w:p>
    <w:p w:rsidR="00A31137" w:rsidRPr="00A31137" w:rsidRDefault="00A31137" w:rsidP="00A31137">
      <w:r w:rsidRPr="00A31137">
        <w:t xml:space="preserve">• </w:t>
      </w:r>
      <w:r w:rsidRPr="00A31137">
        <w:tab/>
        <w:t>We will make special provision for relief of rural hospitals and health care providers who have been unduly burdened by federal cost containment efforts. The availability of health services, especially during a crisis like the current drought, is essential for rural America.</w:t>
      </w:r>
    </w:p>
    <w:p w:rsidR="00A31137" w:rsidRPr="00A31137" w:rsidRDefault="00A31137" w:rsidP="00A31137">
      <w:r w:rsidRPr="00A31137">
        <w:t xml:space="preserve">• </w:t>
      </w:r>
      <w:r w:rsidRPr="00A31137">
        <w:tab/>
        <w:t>We will continue generous funding for the National Institutes of Health.</w:t>
      </w:r>
    </w:p>
    <w:p w:rsidR="00A31137" w:rsidRPr="00A31137" w:rsidRDefault="00A31137" w:rsidP="00A31137">
      <w:r w:rsidRPr="00A31137">
        <w:t xml:space="preserve">• </w:t>
      </w:r>
      <w:r w:rsidRPr="00A31137">
        <w:tab/>
        <w:t>We will hold down Medicaid costs by promoting State pilot programs to give low-income persons the opportunity to secure health insurance. We demand tough penalties against providers who defraud this and other health programs.</w:t>
      </w:r>
    </w:p>
    <w:p w:rsidR="00A31137" w:rsidRPr="00A31137" w:rsidRDefault="00A31137" w:rsidP="00A31137">
      <w:r w:rsidRPr="00A31137">
        <w:t xml:space="preserve">• </w:t>
      </w:r>
      <w:r w:rsidRPr="00A31137">
        <w:tab/>
        <w:t>We will work to assure access to health care for all Americans through public and private initiatives.</w:t>
      </w:r>
    </w:p>
    <w:p w:rsidR="00A31137" w:rsidRPr="00A31137" w:rsidRDefault="00A31137" w:rsidP="00A31137">
      <w:r w:rsidRPr="00A31137">
        <w:t xml:space="preserve">• </w:t>
      </w:r>
      <w:r w:rsidRPr="00A31137">
        <w:tab/>
        <w:t>We will promote wellness, especially for the nation's youth. Personal responsibility in behavior and diet will dramatically reduce the incidence of avoidable disease and curb health care costs in decades ahead.</w:t>
      </w:r>
    </w:p>
    <w:p w:rsidR="00A31137" w:rsidRPr="00A31137" w:rsidRDefault="00A31137" w:rsidP="00A31137">
      <w:r w:rsidRPr="00A31137">
        <w:t xml:space="preserve">• </w:t>
      </w:r>
      <w:r w:rsidRPr="00A31137">
        <w:tab/>
        <w:t>We will call on the Food and Drug Administration to accelerate its certification of technically sound alternatives to animal testing of drugs and cosmetics when considering data regarding product safety and efficacy.</w:t>
      </w:r>
    </w:p>
    <w:p w:rsidR="00A31137" w:rsidRPr="00A31137" w:rsidRDefault="00A31137" w:rsidP="00A31137">
      <w:r w:rsidRPr="00A31137">
        <w:t>AIDS</w:t>
      </w:r>
    </w:p>
    <w:p w:rsidR="00A31137" w:rsidRPr="00A31137" w:rsidRDefault="00A31137" w:rsidP="00A31137">
      <w:r w:rsidRPr="00A31137">
        <w:t>1988 Republican Platform, p.26</w:t>
      </w:r>
    </w:p>
    <w:p w:rsidR="00A31137" w:rsidRPr="00A31137" w:rsidRDefault="00A31137" w:rsidP="00A31137">
      <w:r w:rsidRPr="00A31137">
        <w:t>Those who suffer from AIDS, their families, and the men and women of medicine who care for the afflicted deserve our compassion and help. The Reagan-Bush Administration launched the nation's fight against AIDS, committing more than $5 billion in the last five years. For 1989, the President's budget recommends a 42 percent increase in current funding.</w:t>
      </w:r>
    </w:p>
    <w:p w:rsidR="00A31137" w:rsidRPr="00A31137" w:rsidRDefault="00A31137" w:rsidP="00A31137">
      <w:r w:rsidRPr="00A31137">
        <w:t>1988 Republican Platform, p.26</w:t>
      </w:r>
    </w:p>
    <w:p w:rsidR="00A31137" w:rsidRPr="00A31137" w:rsidRDefault="00A31137" w:rsidP="00A31137">
      <w:r w:rsidRPr="00A31137">
        <w:t xml:space="preserve">We will vigorously fight against AIDS, recognizing that the enemy is one of the deadliest diseases to challenge medical research. Continued research on the virus is vital. We will continue as well to provide experimental drugs that may prolong life. We will establish within the Food and Drug Administration a process for expedited review of drugs which may benefit AIDS patients. We will allow supervised usage of experimental treatments. [p.27] </w:t>
      </w:r>
    </w:p>
    <w:p w:rsidR="00A31137" w:rsidRPr="00A31137" w:rsidRDefault="00A31137" w:rsidP="00A31137">
      <w:r w:rsidRPr="00A31137">
        <w:t>1988 Republican Platform, p.27</w:t>
      </w:r>
    </w:p>
    <w:p w:rsidR="00A31137" w:rsidRPr="00A31137" w:rsidRDefault="00A31137" w:rsidP="00A31137">
      <w:r w:rsidRPr="00A31137">
        <w:t>We must not only marshal our scientific resources against AIDS, but must also protect those who do not have the disease. In this regard, education plays a critical role. AIDS education should emphasize that abstinence from drug abuse and sexual activity outside of marriage is the safest way to avoid infection with the AIDS virus. It is extremely important that testing and contact tracing measures be carried out and be appropriately confidential, as is the case with the long-standing public health measures to control other communicable diseases that are less dangerous than AIDS.</w:t>
      </w:r>
    </w:p>
    <w:p w:rsidR="00A31137" w:rsidRPr="00A31137" w:rsidRDefault="00A31137" w:rsidP="00A31137">
      <w:r w:rsidRPr="00A31137">
        <w:t>1988 Republican Platform, p.27</w:t>
      </w:r>
    </w:p>
    <w:p w:rsidR="00A31137" w:rsidRPr="00A31137" w:rsidRDefault="00A31137" w:rsidP="00A31137">
      <w:r w:rsidRPr="00A31137">
        <w:t>We will remove barriers to making use of one's own (autologous) blood or blood from a designated donor, and we call for penalties for knowingly donating tainted blood or otherwise deliberately endangering others.</w:t>
      </w:r>
    </w:p>
    <w:p w:rsidR="00A31137" w:rsidRPr="00A31137" w:rsidRDefault="00A31137" w:rsidP="00A31137">
      <w:r w:rsidRPr="00A31137">
        <w:t>1988 Republican Platform, p.27</w:t>
      </w:r>
    </w:p>
    <w:p w:rsidR="00A31137" w:rsidRPr="00A31137" w:rsidRDefault="00A31137" w:rsidP="00A31137">
      <w:r w:rsidRPr="00A31137">
        <w:t>The latency period between infection with the virus and onset of AIDS can be lengthy. People should be encouraged to seek early diagnosis and to remain on the job or in school as long as they are functionally capable.</w:t>
      </w:r>
    </w:p>
    <w:p w:rsidR="00A31137" w:rsidRPr="00A31137" w:rsidRDefault="00A31137" w:rsidP="00A31137">
      <w:r w:rsidRPr="00A31137">
        <w:t>Healthy Children, Healthy Families</w:t>
      </w:r>
    </w:p>
    <w:p w:rsidR="00A31137" w:rsidRPr="00A31137" w:rsidRDefault="00A31137" w:rsidP="00A31137">
      <w:r w:rsidRPr="00A31137">
        <w:t>1988 Republican Platform, p.27</w:t>
      </w:r>
    </w:p>
    <w:p w:rsidR="00A31137" w:rsidRPr="00A31137" w:rsidRDefault="00A31137" w:rsidP="00A31137">
      <w:r w:rsidRPr="00A31137">
        <w:t>As we strengthen the American family, we improve the health of the nation. From prenatal care to old age, strong family life is the lynchpin of wellness and compassion.</w:t>
      </w:r>
    </w:p>
    <w:p w:rsidR="00A31137" w:rsidRPr="00A31137" w:rsidRDefault="00A31137" w:rsidP="00A31137">
      <w:r w:rsidRPr="00A31137">
        <w:t>1988 Republican Platform, p.27</w:t>
      </w:r>
    </w:p>
    <w:p w:rsidR="00A31137" w:rsidRPr="00A31137" w:rsidRDefault="00A31137" w:rsidP="00A31137">
      <w:r w:rsidRPr="00A31137">
        <w:t>This is especially important with regard to babies. We have reduced infant mortality, but it remains a serious problem in areas where alcohol, drugs, and neglect take a fearful toll on newborns. We will target federal health programs to help mothers and infants get a good start in life. We will assist neighborhood institutions, including religious groups, in reaching out to those on the margins of society to save their children, especially from fetal alcohol syndrome, the major cause of birth defects in this country.</w:t>
      </w:r>
    </w:p>
    <w:p w:rsidR="00A31137" w:rsidRPr="00A31137" w:rsidRDefault="00A31137" w:rsidP="00A31137">
      <w:r w:rsidRPr="00A31137">
        <w:t>1988 Republican Platform, p.27</w:t>
      </w:r>
    </w:p>
    <w:p w:rsidR="00A31137" w:rsidRPr="00A31137" w:rsidRDefault="00A31137" w:rsidP="00A31137">
      <w:r w:rsidRPr="00A31137">
        <w:t>Inadequate prenatal care for expectant mothers is the cause of untold numbers of premature and low birth-weight babies. These newborns start life at severe disadvantage and often require massive health care investments to have a chance for normal childhood. We continue to endorse the provision of adequate prenatal care for all expectant mothers, especially the poor and young.</w:t>
      </w:r>
    </w:p>
    <w:p w:rsidR="00A31137" w:rsidRPr="00A31137" w:rsidRDefault="00A31137" w:rsidP="00A31137">
      <w:r w:rsidRPr="00A31137">
        <w:t>1988 Republican Platform, p.27</w:t>
      </w:r>
    </w:p>
    <w:p w:rsidR="00A31137" w:rsidRPr="00A31137" w:rsidRDefault="00A31137" w:rsidP="00A31137">
      <w:r w:rsidRPr="00A31137">
        <w:t xml:space="preserve">We hail the way fetal medicine is revolutionizing care of children and dramatically expanding our knowledge of human development. Accordingly, we call for fetal protection, both in the work place and in scientific research. [p.28] </w:t>
      </w:r>
    </w:p>
    <w:p w:rsidR="00A31137" w:rsidRPr="00A31137" w:rsidRDefault="00A31137" w:rsidP="00A31137">
      <w:r w:rsidRPr="00A31137">
        <w:t>1988 Republican Platform, p.28</w:t>
      </w:r>
    </w:p>
    <w:p w:rsidR="00A31137" w:rsidRPr="00A31137" w:rsidRDefault="00A31137" w:rsidP="00A31137">
      <w:r w:rsidRPr="00A31137">
        <w:t>Many of the health problems of young people today stem from poverty, moral confusion, and family disruption. Republicans are ready to address the root causes of today's youth crisis:</w:t>
      </w:r>
    </w:p>
    <w:p w:rsidR="00A31137" w:rsidRPr="00A31137" w:rsidRDefault="00A31137" w:rsidP="00A31137">
      <w:r w:rsidRPr="00A31137">
        <w:t>1988 Republican Platform, p.28</w:t>
      </w:r>
    </w:p>
    <w:p w:rsidR="00A31137" w:rsidRPr="00A31137" w:rsidRDefault="00A31137" w:rsidP="00A31137">
      <w:r w:rsidRPr="00A31137">
        <w:t xml:space="preserve">• </w:t>
      </w:r>
      <w:r w:rsidRPr="00A31137">
        <w:tab/>
        <w:t>We will assert absolutes of right and wrong concerning drug abuse and other forms of self-destructive behavior.</w:t>
      </w:r>
    </w:p>
    <w:p w:rsidR="00A31137" w:rsidRPr="00A31137" w:rsidRDefault="00A31137" w:rsidP="00A31137">
      <w:r w:rsidRPr="00A31137">
        <w:t xml:space="preserve">• </w:t>
      </w:r>
      <w:r w:rsidRPr="00A31137">
        <w:tab/>
        <w:t>We will require parental consent for unemancipated minors to receive contraceptives from federally funded family planning clinics.</w:t>
      </w:r>
    </w:p>
    <w:p w:rsidR="00A31137" w:rsidRPr="00A31137" w:rsidRDefault="00A31137" w:rsidP="00A31137">
      <w:r w:rsidRPr="00A31137">
        <w:t xml:space="preserve">• </w:t>
      </w:r>
      <w:r w:rsidRPr="00A31137">
        <w:tab/>
        <w:t>We support efforts like the Adolescent Family Life program to teach teens the traditional values of restraint and the sanctity of marriage.</w:t>
      </w:r>
    </w:p>
    <w:p w:rsidR="00A31137" w:rsidRPr="00A31137" w:rsidRDefault="00A31137" w:rsidP="00A31137">
      <w:r w:rsidRPr="00A31137">
        <w:t xml:space="preserve">• </w:t>
      </w:r>
      <w:r w:rsidRPr="00A31137">
        <w:tab/>
        <w:t>We urge all branches of the entertainment and communications industry to exercise greater responsibility in addressing the youth market.</w:t>
      </w:r>
    </w:p>
    <w:p w:rsidR="00A31137" w:rsidRPr="00A31137" w:rsidRDefault="00A31137" w:rsidP="00A31137">
      <w:r w:rsidRPr="00A31137">
        <w:t>1988 Republican Platform, p.28</w:t>
      </w:r>
    </w:p>
    <w:p w:rsidR="00A31137" w:rsidRPr="00A31137" w:rsidRDefault="00A31137" w:rsidP="00A31137">
      <w:r w:rsidRPr="00A31137">
        <w:t>To prepare for tomorrow's expanding opportunities, today's young Americans must be challenged by high values with the support that comes from strong families. That is the surest way to guide them to their own affirmation of life.</w:t>
      </w:r>
    </w:p>
    <w:p w:rsidR="00A31137" w:rsidRPr="00A31137" w:rsidRDefault="00A31137" w:rsidP="00A31137">
      <w:r w:rsidRPr="00A31137">
        <w:t>Older Americans</w:t>
      </w:r>
    </w:p>
    <w:p w:rsidR="00A31137" w:rsidRPr="00A31137" w:rsidRDefault="00A31137" w:rsidP="00A31137">
      <w:r w:rsidRPr="00A31137">
        <w:t>1988 Republican Platform, p.28</w:t>
      </w:r>
    </w:p>
    <w:p w:rsidR="00A31137" w:rsidRPr="00A31137" w:rsidRDefault="00A31137" w:rsidP="00A31137">
      <w:r w:rsidRPr="00A31137">
        <w:t>Older Americans are both our bridge to all that is precious in our history and the enduring foundation on which we build the future. Young Americans see most clearly when they stand on the shoulders of the past.</w:t>
      </w:r>
    </w:p>
    <w:p w:rsidR="00A31137" w:rsidRPr="00A31137" w:rsidRDefault="00A31137" w:rsidP="00A31137">
      <w:r w:rsidRPr="00A31137">
        <w:t>1988 Republican Platform, p.28</w:t>
      </w:r>
    </w:p>
    <w:p w:rsidR="00A31137" w:rsidRPr="00A31137" w:rsidRDefault="00A31137" w:rsidP="00A31137">
      <w:r w:rsidRPr="00A31137">
        <w:t>After eight years of President Reagan's youthful leadership, older Americans are safer and more secure. In 1980, we promised to put Social Security back on a sound financial footing. We delivered. We established the national commission that developed the plan to restore the system and led the way in enacting its recommendations into law.</w:t>
      </w:r>
    </w:p>
    <w:p w:rsidR="00A31137" w:rsidRPr="00A31137" w:rsidRDefault="00A31137" w:rsidP="00A31137">
      <w:r w:rsidRPr="00A31137">
        <w:t>1988 Republican Platform, p.28</w:t>
      </w:r>
    </w:p>
    <w:p w:rsidR="00A31137" w:rsidRPr="00A31137" w:rsidRDefault="00A31137" w:rsidP="00A31137">
      <w:r w:rsidRPr="00A31137">
        <w:t>Now that Social Security is in healthy shape, congressional Democrats are plotting ways to use its short-term revenue surplus for their own purposes. We make this promise: They shall not do so. We pledge to preserve the integrity of the Social Security trust funds. We encourage public officials at all levels to safeguard the integrity of public and private pension funds against raiding by anyone, in labor, business, or government, such as in Massachusetts where the current Democrat governor has raided $29 million from the State pension reserves to fund his enormous deficit in the State budget.</w:t>
      </w:r>
    </w:p>
    <w:p w:rsidR="00A31137" w:rsidRPr="00A31137" w:rsidRDefault="00A31137" w:rsidP="00A31137">
      <w:r w:rsidRPr="00A31137">
        <w:t>1988 Republican Platform, p.28</w:t>
      </w:r>
    </w:p>
    <w:p w:rsidR="00A31137" w:rsidRPr="00A31137" w:rsidRDefault="00A31137" w:rsidP="00A31137">
      <w:r w:rsidRPr="00A31137">
        <w:t xml:space="preserve">We will not allow liberal Democrats to imperil the other gains the elderly have made during the Reagan-Bush Administration: [p.29] </w:t>
      </w:r>
    </w:p>
    <w:p w:rsidR="00A31137" w:rsidRPr="00A31137" w:rsidRDefault="00A31137" w:rsidP="00A31137">
      <w:r w:rsidRPr="00A31137">
        <w:t>1988 Republican Platform, p.29</w:t>
      </w:r>
    </w:p>
    <w:p w:rsidR="00A31137" w:rsidRPr="00A31137" w:rsidRDefault="00A31137" w:rsidP="00A31137">
      <w:r w:rsidRPr="00A31137">
        <w:t>•</w:t>
      </w:r>
      <w:r w:rsidRPr="00A31137">
        <w:tab/>
        <w:t>Inflation, the despoiler of household budgets for the aged, has been reduced to less than one-third its peak rate under the last Democrat Administration.</w:t>
      </w:r>
    </w:p>
    <w:p w:rsidR="00A31137" w:rsidRPr="00A31137" w:rsidRDefault="00A31137" w:rsidP="00A31137">
      <w:r w:rsidRPr="00A31137">
        <w:t xml:space="preserve">• </w:t>
      </w:r>
      <w:r w:rsidRPr="00A31137">
        <w:tab/>
        <w:t>Passage of our anti-crime legislation has helped target resources to fight crime against the elderly, many of whom have been prisoners in their own homes.</w:t>
      </w:r>
    </w:p>
    <w:p w:rsidR="00A31137" w:rsidRPr="00A31137" w:rsidRDefault="00A31137" w:rsidP="00A31137">
      <w:r w:rsidRPr="00A31137">
        <w:t xml:space="preserve">• </w:t>
      </w:r>
      <w:r w:rsidRPr="00A31137">
        <w:tab/>
        <w:t>As a result of the Republican economic program, the poverty rate for older Americans has declined by 20 percent during the Republican Administration. When the value of non-cash benefits is counted, the poverty rate is the lowest in history: 3 percent.</w:t>
      </w:r>
    </w:p>
    <w:p w:rsidR="00A31137" w:rsidRPr="00A31137" w:rsidRDefault="00A31137" w:rsidP="00A31137">
      <w:r w:rsidRPr="00A31137">
        <w:t xml:space="preserve">• </w:t>
      </w:r>
      <w:r w:rsidRPr="00A31137">
        <w:tab/>
        <w:t>We dramatically cut estate taxes so surviving spouses will not have to sell off the property they worked a lifetime to enjoy just to pay the IRS.</w:t>
      </w:r>
    </w:p>
    <w:p w:rsidR="00A31137" w:rsidRPr="00A31137" w:rsidRDefault="00A31137" w:rsidP="00A31137">
      <w:r w:rsidRPr="00A31137">
        <w:t xml:space="preserve">• </w:t>
      </w:r>
      <w:r w:rsidRPr="00A31137">
        <w:tab/>
        <w:t>President Reagan led the Congress in expanding Medicare coverage to include catastrophic health costs.</w:t>
      </w:r>
    </w:p>
    <w:p w:rsidR="00A31137" w:rsidRPr="00A31137" w:rsidRDefault="00A31137" w:rsidP="00A31137">
      <w:r w:rsidRPr="00A31137">
        <w:t xml:space="preserve">• </w:t>
      </w:r>
      <w:r w:rsidRPr="00A31137">
        <w:tab/>
        <w:t>Effective spending on Medicare has more than doubled. We have, however, saved money for both taxpayers and beneficiaries through reforms in Medicare procedures.</w:t>
      </w:r>
    </w:p>
    <w:p w:rsidR="00A31137" w:rsidRPr="00A31137" w:rsidRDefault="00A31137" w:rsidP="00A31137">
      <w:r w:rsidRPr="00A31137">
        <w:t xml:space="preserve">• </w:t>
      </w:r>
      <w:r w:rsidRPr="00A31137">
        <w:tab/>
        <w:t>Congressional Republicans have supported reauthorization of the broad range of programs under the Older Americans Act.</w:t>
      </w:r>
    </w:p>
    <w:p w:rsidR="00A31137" w:rsidRPr="00A31137" w:rsidRDefault="00A31137" w:rsidP="00A31137">
      <w:r w:rsidRPr="00A31137">
        <w:t xml:space="preserve">• </w:t>
      </w:r>
      <w:r w:rsidRPr="00A31137">
        <w:tab/>
        <w:t>The Republican Party reaffirms its long-standing opposition to the earnings test for Social Security recipients. Industrious older persons should not be penalized for continuing to contribute their skills and experience to society.</w:t>
      </w:r>
    </w:p>
    <w:p w:rsidR="00A31137" w:rsidRPr="00A31137" w:rsidRDefault="00A31137" w:rsidP="00A31137">
      <w:r w:rsidRPr="00A31137">
        <w:t>1988 Republican Platform, p.29</w:t>
      </w:r>
    </w:p>
    <w:p w:rsidR="00A31137" w:rsidRPr="00A31137" w:rsidRDefault="00A31137" w:rsidP="00A31137">
      <w:r w:rsidRPr="00A31137">
        <w:t>The 1990s should be the best decade ever for America's older worker. Older Americans will be our natural teachers. In a civilization headed for the stars, they will help us keep our feet on the ground.</w:t>
      </w:r>
    </w:p>
    <w:p w:rsidR="00A31137" w:rsidRPr="00A31137" w:rsidRDefault="00A31137" w:rsidP="00A31137">
      <w:r w:rsidRPr="00A31137">
        <w:t>The Homeless</w:t>
      </w:r>
    </w:p>
    <w:p w:rsidR="00A31137" w:rsidRPr="00A31137" w:rsidRDefault="00A31137" w:rsidP="00A31137">
      <w:r w:rsidRPr="00A31137">
        <w:t>1988 Republican Platform, p.29</w:t>
      </w:r>
    </w:p>
    <w:p w:rsidR="00A31137" w:rsidRPr="00A31137" w:rsidRDefault="00A31137" w:rsidP="00A31137">
      <w:r w:rsidRPr="00A31137">
        <w:t>Republicans are determined to help the homeless as a matter of ethical commitment, as well as sound public policy. The Reagan-Bush Administration has been at the forefront of the effort:</w:t>
      </w:r>
    </w:p>
    <w:p w:rsidR="00A31137" w:rsidRPr="00A31137" w:rsidRDefault="00A31137" w:rsidP="00A31137">
      <w:r w:rsidRPr="00A31137">
        <w:t>1988 Republican Platform, p.29</w:t>
      </w:r>
    </w:p>
    <w:p w:rsidR="00A31137" w:rsidRPr="00A31137" w:rsidRDefault="00A31137" w:rsidP="00A31137">
      <w:r w:rsidRPr="00A31137">
        <w:t>•</w:t>
      </w:r>
      <w:r w:rsidRPr="00A31137">
        <w:tab/>
        <w:t>In 1987, President Reagan signed a $1 billion aid package to help local governments aid the homeless.</w:t>
      </w:r>
    </w:p>
    <w:p w:rsidR="00A31137" w:rsidRPr="00A31137" w:rsidRDefault="00A31137" w:rsidP="00A31137">
      <w:r w:rsidRPr="00A31137">
        <w:t xml:space="preserve">• </w:t>
      </w:r>
      <w:r w:rsidRPr="00A31137">
        <w:tab/>
        <w:t xml:space="preserve">In 1988, the federal government will spend $400 million on emergency shelters and medical care alone. Today, a total of 45 federally assisted programs are potentially available to the homeless. [p.30] </w:t>
      </w:r>
    </w:p>
    <w:p w:rsidR="00A31137" w:rsidRPr="00A31137" w:rsidRDefault="00A31137" w:rsidP="00A31137">
      <w:r w:rsidRPr="00A31137">
        <w:t>•</w:t>
      </w:r>
      <w:r w:rsidRPr="00A31137">
        <w:tab/>
        <w:t>In 1983, we launched an Emergency Food and Shelter Program under the Federal Emergency Management Administration.</w:t>
      </w:r>
    </w:p>
    <w:p w:rsidR="00A31137" w:rsidRPr="00A31137" w:rsidRDefault="00A31137" w:rsidP="00A31137">
      <w:r w:rsidRPr="00A31137">
        <w:t xml:space="preserve">• </w:t>
      </w:r>
      <w:r w:rsidRPr="00A31137">
        <w:tab/>
        <w:t>The General Services Administration has donated both buildings and equipment for shelters.</w:t>
      </w:r>
    </w:p>
    <w:p w:rsidR="00A31137" w:rsidRPr="00A31137" w:rsidRDefault="00A31137" w:rsidP="00A31137">
      <w:r w:rsidRPr="00A31137">
        <w:t xml:space="preserve">• </w:t>
      </w:r>
      <w:r w:rsidRPr="00A31137">
        <w:tab/>
        <w:t>In 1985, the Department of Housing and Urban Development (HUD) began to lease single-family homes at a nominal rent for use as shelters.</w:t>
      </w:r>
    </w:p>
    <w:p w:rsidR="00A31137" w:rsidRPr="00A31137" w:rsidRDefault="00A31137" w:rsidP="00A31137">
      <w:r w:rsidRPr="00A31137">
        <w:t xml:space="preserve">• </w:t>
      </w:r>
      <w:r w:rsidRPr="00A31137">
        <w:tab/>
        <w:t>The Department of Agriculture has provided hundreds of millions of dollars worth of surplus food—more than 1.1 billion pounds to soup kitchens and shelters.</w:t>
      </w:r>
    </w:p>
    <w:p w:rsidR="00A31137" w:rsidRPr="00A31137" w:rsidRDefault="00A31137" w:rsidP="00A31137">
      <w:r w:rsidRPr="00A31137">
        <w:t xml:space="preserve">• </w:t>
      </w:r>
      <w:r w:rsidRPr="00A31137">
        <w:tab/>
        <w:t>The Alcohol, Drug Abuse and Mental Health Administration gives the States about a half-billion dollars a year to offset the lack of outpatient services.</w:t>
      </w:r>
    </w:p>
    <w:p w:rsidR="00A31137" w:rsidRPr="00A31137" w:rsidRDefault="00A31137" w:rsidP="00A31137">
      <w:r w:rsidRPr="00A31137">
        <w:t>1988 Republican Platform, p.30</w:t>
      </w:r>
    </w:p>
    <w:p w:rsidR="00A31137" w:rsidRPr="00A31137" w:rsidRDefault="00A31137" w:rsidP="00A31137">
      <w:r w:rsidRPr="00A31137">
        <w:t>Homelessness demonstrates the failure of liberalism. It is the result of Democrat policies in the 1960s and 1970s that disrupted mental health care, family stability, low-cost housing, and the authority of towns and cities to deal with people in need. Republicans are ready to deal with the root causes of the problem:</w:t>
      </w:r>
    </w:p>
    <w:p w:rsidR="00A31137" w:rsidRPr="00A31137" w:rsidRDefault="00A31137" w:rsidP="00A31137">
      <w:r w:rsidRPr="00A31137">
        <w:t>1988 Republican Platform, p.30</w:t>
      </w:r>
    </w:p>
    <w:p w:rsidR="00A31137" w:rsidRPr="00A31137" w:rsidRDefault="00A31137" w:rsidP="00A31137">
      <w:r w:rsidRPr="00A31137">
        <w:t>•</w:t>
      </w:r>
      <w:r w:rsidRPr="00A31137">
        <w:tab/>
        <w:t>Our top priority must be homeless families. As part of an overall emphasis on family responsibility, we will strongly enforce child support laws. We call for development of a model divorce reform law that will adequately safeguard the economic and social interests of mothers and children while securing fairness to fathers in decisions concerning child custody and support.</w:t>
      </w:r>
    </w:p>
    <w:p w:rsidR="00A31137" w:rsidRPr="00A31137" w:rsidRDefault="00A31137" w:rsidP="00A31137">
      <w:r w:rsidRPr="00A31137">
        <w:t xml:space="preserve">• </w:t>
      </w:r>
      <w:r w:rsidRPr="00A31137">
        <w:tab/>
        <w:t>We will improve safety in federally assisted shelters for the good of all, particularly families.</w:t>
      </w:r>
    </w:p>
    <w:p w:rsidR="00A31137" w:rsidRPr="00A31137" w:rsidRDefault="00A31137" w:rsidP="00A31137">
      <w:r w:rsidRPr="00A31137">
        <w:t xml:space="preserve">• </w:t>
      </w:r>
      <w:r w:rsidRPr="00A31137">
        <w:tab/>
        <w:t>We will work with State and local governments to ensure that education is available to homeless children. All appropriate federal education and health programs must make provision for the special needs of these youngsters.</w:t>
      </w:r>
    </w:p>
    <w:p w:rsidR="00A31137" w:rsidRPr="00A31137" w:rsidRDefault="00A31137" w:rsidP="00A31137">
      <w:r w:rsidRPr="00A31137">
        <w:t xml:space="preserve">• </w:t>
      </w:r>
      <w:r w:rsidRPr="00A31137">
        <w:tab/>
        <w:t>We will create, as a national emergency effort, a regulatory reform task force drawn from all levels of government to break through the restrictions that keep 1.7 million housing units unrehabilitated and out of use. We will explore incentives for the private sector to put these housing units back into service.</w:t>
      </w:r>
    </w:p>
    <w:p w:rsidR="00A31137" w:rsidRPr="00A31137" w:rsidRDefault="00A31137" w:rsidP="00A31137">
      <w:r w:rsidRPr="00A31137">
        <w:t xml:space="preserve">• </w:t>
      </w:r>
      <w:r w:rsidRPr="00A31137">
        <w:tab/>
        <w:t xml:space="preserve">As detailed elsewhere in this platform, we will advance tenant management and resident ownership of public housing as a proven means of upgrading the living environment of low-income families. [p.31] </w:t>
      </w:r>
    </w:p>
    <w:p w:rsidR="00A31137" w:rsidRPr="00A31137" w:rsidRDefault="00A31137" w:rsidP="00A31137">
      <w:r w:rsidRPr="00A31137">
        <w:t>•</w:t>
      </w:r>
      <w:r w:rsidRPr="00A31137">
        <w:tab/>
        <w:t>We favor expanding Community Development Block Grants for acquiring or rehabilitating buildings for shelters. We urge work requirements, no matter how modest, for shelter residents so they can retain skills and a sense of responsibility for their future.</w:t>
      </w:r>
    </w:p>
    <w:p w:rsidR="00A31137" w:rsidRPr="00A31137" w:rsidRDefault="00A31137" w:rsidP="00A31137">
      <w:r w:rsidRPr="00A31137">
        <w:t xml:space="preserve">• </w:t>
      </w:r>
      <w:r w:rsidRPr="00A31137">
        <w:tab/>
        <w:t>Rent controls promise housing below its market cost, but inevitably result in a shortage of decent homes. Our people should not have to underwrite any community which erodes its own housing supply by rent control.</w:t>
      </w:r>
    </w:p>
    <w:p w:rsidR="00A31137" w:rsidRPr="00A31137" w:rsidRDefault="00A31137" w:rsidP="00A31137">
      <w:r w:rsidRPr="00A31137">
        <w:t>1988 Republican Platform, p.31</w:t>
      </w:r>
    </w:p>
    <w:p w:rsidR="00A31137" w:rsidRPr="00A31137" w:rsidRDefault="00A31137" w:rsidP="00A31137">
      <w:r w:rsidRPr="00A31137">
        <w:t>We call upon the courts to cooperate with local officials and police departments in arranging for treatment for persons whose actions disrupt the community or endanger their own or others' safety.</w:t>
      </w:r>
    </w:p>
    <w:p w:rsidR="00A31137" w:rsidRPr="00A31137" w:rsidRDefault="00A31137" w:rsidP="00A31137">
      <w:r w:rsidRPr="00A31137">
        <w:t>Constitutional Government and Individual Rights</w:t>
      </w:r>
    </w:p>
    <w:p w:rsidR="00A31137" w:rsidRPr="00A31137" w:rsidRDefault="00A31137" w:rsidP="00A31137">
      <w:r w:rsidRPr="00A31137">
        <w:t>Equal Rights</w:t>
      </w:r>
    </w:p>
    <w:p w:rsidR="00A31137" w:rsidRPr="00A31137" w:rsidRDefault="00A31137" w:rsidP="00A31137">
      <w:r w:rsidRPr="00A31137">
        <w:t>1988 Republican Platform, p.31</w:t>
      </w:r>
    </w:p>
    <w:p w:rsidR="00A31137" w:rsidRPr="00A31137" w:rsidRDefault="00A31137" w:rsidP="00A31137">
      <w:r w:rsidRPr="00A31137">
        <w:t>Since its inception, the Republican Party has stood for the worth of every person. On that ground, we support the pluralism and diversity that have been part of our country's greatness. "Deep in our hearts, we do believe":</w:t>
      </w:r>
    </w:p>
    <w:p w:rsidR="00A31137" w:rsidRPr="00A31137" w:rsidRDefault="00A31137" w:rsidP="00A31137">
      <w:r w:rsidRPr="00A31137">
        <w:t>1988 Republican Platform, p.31</w:t>
      </w:r>
    </w:p>
    <w:p w:rsidR="00A31137" w:rsidRPr="00A31137" w:rsidRDefault="00A31137" w:rsidP="00A31137">
      <w:r w:rsidRPr="00A31137">
        <w:t xml:space="preserve">• </w:t>
      </w:r>
      <w:r w:rsidRPr="00A31137">
        <w:tab/>
        <w:t>That bigotry has no place in American life. We denounce those persons, organizations, publications and movements which practice or promote racism, anti-Semitism or religious intolerance.</w:t>
      </w:r>
    </w:p>
    <w:p w:rsidR="00A31137" w:rsidRPr="00A31137" w:rsidRDefault="00A31137" w:rsidP="00A31137">
      <w:r w:rsidRPr="00A31137">
        <w:t xml:space="preserve">• </w:t>
      </w:r>
      <w:r w:rsidRPr="00A31137">
        <w:tab/>
        <w:t>That the Pledge of Allegiance should be recited daily in schools in all States. Students who learn we are "one nation, under God, indivisible, with liberty and justice for all" will shun the politics of fear.</w:t>
      </w:r>
    </w:p>
    <w:p w:rsidR="00A31137" w:rsidRPr="00A31137" w:rsidRDefault="00A31137" w:rsidP="00A31137">
      <w:r w:rsidRPr="00A31137">
        <w:t xml:space="preserve">• </w:t>
      </w:r>
      <w:r w:rsidRPr="00A31137">
        <w:tab/>
        <w:t>In equal rights for all. The Reagan-Bush Administration has taken to court a record number of civil rights and employment discrimination cases. We will continue our vigorous enforcement of statutes to prevent illegal discrimination on account of sex, race, creed, or national origin.</w:t>
      </w:r>
    </w:p>
    <w:p w:rsidR="00A31137" w:rsidRPr="00A31137" w:rsidRDefault="00A31137" w:rsidP="00A31137">
      <w:r w:rsidRPr="00A31137">
        <w:t xml:space="preserve">• </w:t>
      </w:r>
      <w:r w:rsidRPr="00A31137">
        <w:tab/>
        <w:t>In guaranteeing opportunity, not dictating the results of fair competition. We will resist efforts to replace equal rights with discriminatory quota systems and preferential treatment. Quotas are the most insidious form of reverse discrimination against the innocent.</w:t>
      </w:r>
    </w:p>
    <w:p w:rsidR="00A31137" w:rsidRPr="00A31137" w:rsidRDefault="00A31137" w:rsidP="00A31137">
      <w:r w:rsidRPr="00A31137">
        <w:t xml:space="preserve">• </w:t>
      </w:r>
      <w:r w:rsidRPr="00A31137">
        <w:tab/>
        <w:t>In defending religious freedom. Mindful of our religious diversity, we firmly support the right of students to engage in voluntary prayer in schools. We call for full enforcement of the Republican legislation that now guarantees equal access to school facilities by student religious groups.</w:t>
      </w:r>
    </w:p>
    <w:p w:rsidR="00A31137" w:rsidRPr="00A31137" w:rsidRDefault="00A31137" w:rsidP="00A31137">
      <w:r w:rsidRPr="00A31137">
        <w:t xml:space="preserve">• </w:t>
      </w:r>
      <w:r w:rsidRPr="00A31137">
        <w:tab/>
        <w:t xml:space="preserve">That the unborn child has a fundamental individual right to life which cannot be infringed. We therefore reaffirm our support for a human life [p.32] amendment to the Constitution, and we endorse legislation to make clear that the Fourteenth Amendment's protections apply to unborn children. We oppose the use of public revenues for abortion and will eliminate funding for organizations which advocate or support abortion. We commend the efforts of those individuals and religious and private organizations that are providing positive alternatives to abortion by meeting the physical, emotional, and financial needs of pregnant women and offering adoption services where needed. [p.32] </w:t>
      </w:r>
    </w:p>
    <w:p w:rsidR="00A31137" w:rsidRPr="00A31137" w:rsidRDefault="00A31137" w:rsidP="00A31137">
      <w:r w:rsidRPr="00A31137">
        <w:t xml:space="preserve">• </w:t>
      </w:r>
      <w:r w:rsidRPr="00A31137">
        <w:tab/>
        <w:t>We applaud President Reagan's fine record of judicial appointments, and we reaffirm our support for the appointment of judges at all levels of the judiciary who respect traditional family values and the sanctity of innocent human life.</w:t>
      </w:r>
    </w:p>
    <w:p w:rsidR="00A31137" w:rsidRPr="00A31137" w:rsidRDefault="00A31137" w:rsidP="00A31137">
      <w:r w:rsidRPr="00A31137">
        <w:t xml:space="preserve">• </w:t>
      </w:r>
      <w:r w:rsidRPr="00A31137">
        <w:tab/>
        <w:t>That churches, religious schools and any other religious institution should not be taxed. We reject as wrong, bigoted, and a massive violation of the First Amendment the current attempt by the American Civil Liberties Union to tax the Roman Catholic Church or any other religious institutions it targets in the future.</w:t>
      </w:r>
    </w:p>
    <w:p w:rsidR="00A31137" w:rsidRPr="00A31137" w:rsidRDefault="00A31137" w:rsidP="00A31137">
      <w:r w:rsidRPr="00A31137">
        <w:t>Private Property</w:t>
      </w:r>
    </w:p>
    <w:p w:rsidR="00A31137" w:rsidRPr="00A31137" w:rsidRDefault="00A31137" w:rsidP="00A31137">
      <w:r w:rsidRPr="00A31137">
        <w:t>1988 Republican Platform, p.32</w:t>
      </w:r>
    </w:p>
    <w:p w:rsidR="00A31137" w:rsidRPr="00A31137" w:rsidRDefault="00A31137" w:rsidP="00A31137">
      <w:r w:rsidRPr="00A31137">
        <w:t>We believe the right of private property is the cornerstone of liberty. It safeguards for citizens everything of value, including their right of contract to produce and sell goods and services. We want to expand ownership to all Americans, for that is the key for individuals to control their own future.</w:t>
      </w:r>
    </w:p>
    <w:p w:rsidR="00A31137" w:rsidRPr="00A31137" w:rsidRDefault="00A31137" w:rsidP="00A31137">
      <w:r w:rsidRPr="00A31137">
        <w:t>1988 Republican Platform, p.32</w:t>
      </w:r>
    </w:p>
    <w:p w:rsidR="00A31137" w:rsidRPr="00A31137" w:rsidRDefault="00A31137" w:rsidP="00A31137">
      <w:r w:rsidRPr="00A31137">
        <w:t>To advance private stewardship of natural resources, we call for a reduction in the amount of land controlled by government, especially in our western States. Private ownership is best for our economy, best for our environment, and best for our communities. We likewise consider water rights a State issue, not a federal one.</w:t>
      </w:r>
    </w:p>
    <w:p w:rsidR="00A31137" w:rsidRPr="00A31137" w:rsidRDefault="00A31137" w:rsidP="00A31137">
      <w:r w:rsidRPr="00A31137">
        <w:t>Women's Rights</w:t>
      </w:r>
    </w:p>
    <w:p w:rsidR="00A31137" w:rsidRPr="00A31137" w:rsidRDefault="00A31137" w:rsidP="00A31137">
      <w:r w:rsidRPr="00A31137">
        <w:t>1988 Republican Platform, p.32</w:t>
      </w:r>
    </w:p>
    <w:p w:rsidR="00A31137" w:rsidRPr="00A31137" w:rsidRDefault="00A31137" w:rsidP="00A31137">
      <w:r w:rsidRPr="00A31137">
        <w:t xml:space="preserve">We renew our historic commitment to equal rights for women. The Republican Party pioneered the right of women to vote and initiated the rights now embodied in the Equal Pay Act, requiring equal pay for equal work. But legal rights mean nothing without opportunity, and that has been the hallmark of Republican policy. In government, the Reagan-Bush team has broken all records for the advancement of women to the most important positions: 28 percent of the top policy-level appointments went to women. But far more important than what we've done in government is what women have accomplished with the economic freedom and incentives our policies have provided them. [p.33] </w:t>
      </w:r>
    </w:p>
    <w:p w:rsidR="00A31137" w:rsidRPr="00A31137" w:rsidRDefault="00A31137" w:rsidP="00A31137">
      <w:r w:rsidRPr="00A31137">
        <w:t>1988 Republican Platform, p.33</w:t>
      </w:r>
    </w:p>
    <w:p w:rsidR="00A31137" w:rsidRPr="00A31137" w:rsidRDefault="00A31137" w:rsidP="00A31137">
      <w:r w:rsidRPr="00A31137">
        <w:t>We must remove remaining obstacles to women's achieving their full potential and full reward. That does not include the notion of federally mandated comparable worth, which would substitute the decisions of bureaucrats for the judgment of individuals. It does include equal rights for women who work for the Congress. We call upon the Democrat leadership of the House and Senate to join Republican Members in applying to Congress the civil rights laws that apply to the rest of the nation. Women should not be second-class citizens anywhere in our country, but least of all beneath the dome of the Capitol.</w:t>
      </w:r>
    </w:p>
    <w:p w:rsidR="00A31137" w:rsidRPr="00A31137" w:rsidRDefault="00A31137" w:rsidP="00A31137">
      <w:r w:rsidRPr="00A31137">
        <w:t>1988 Republican Platform, p.33</w:t>
      </w:r>
    </w:p>
    <w:p w:rsidR="00A31137" w:rsidRPr="00A31137" w:rsidRDefault="00A31137" w:rsidP="00A31137">
      <w:r w:rsidRPr="00A31137">
        <w:t>•</w:t>
      </w:r>
      <w:r w:rsidRPr="00A31137">
        <w:tab/>
        <w:t>Recognizing that women represent less than 5 percent of the U.S. Congress, only 12 percent of the nation's statewide offices, plus 15 percent of State legislative positions, the Republican Party strongly supports the achievements of women in seeking an equal role in the governing of our country and is committed to the vigorous recruitment, training, and campaign support of women candidates at all levels.</w:t>
      </w:r>
    </w:p>
    <w:p w:rsidR="00A31137" w:rsidRPr="00A31137" w:rsidRDefault="00A31137" w:rsidP="00A31137">
      <w:r w:rsidRPr="00A31137">
        <w:t>Americans with Disabilities</w:t>
      </w:r>
    </w:p>
    <w:p w:rsidR="00A31137" w:rsidRPr="00A31137" w:rsidRDefault="00A31137" w:rsidP="00A31137">
      <w:r w:rsidRPr="00A31137">
        <w:t>1988 Republican Platform, p.33</w:t>
      </w:r>
    </w:p>
    <w:p w:rsidR="00A31137" w:rsidRPr="00A31137" w:rsidRDefault="00A31137" w:rsidP="00A31137">
      <w:r w:rsidRPr="00A31137">
        <w:t>One measure of our country's greatness is the way it treats its disabled citizens.</w:t>
      </w:r>
    </w:p>
    <w:p w:rsidR="00A31137" w:rsidRPr="00A31137" w:rsidRDefault="00A31137" w:rsidP="00A31137">
      <w:r w:rsidRPr="00A31137">
        <w:t>1988 Republican Platform, p.33</w:t>
      </w:r>
    </w:p>
    <w:p w:rsidR="00A31137" w:rsidRPr="00A31137" w:rsidRDefault="00A31137" w:rsidP="00A31137">
      <w:r w:rsidRPr="00A31137">
        <w:t>Our citizens are the nation's most precious resource. As Republicans, we are committed to ensuring increased opportunities for every individual to reach his or her maximum potential. This commitment includes providing opportunities for individuals with disabilities. The 1980s have been a revolution, a declaration of independence for persons with disabilities, and Republicans have initiated policies which remove barriers so that such persons are more independent.</w:t>
      </w:r>
    </w:p>
    <w:p w:rsidR="00A31137" w:rsidRPr="00A31137" w:rsidRDefault="00A31137" w:rsidP="00A31137">
      <w:r w:rsidRPr="00A31137">
        <w:t>1988 Republican Platform, p.33</w:t>
      </w:r>
    </w:p>
    <w:p w:rsidR="00A31137" w:rsidRPr="00A31137" w:rsidRDefault="00A31137" w:rsidP="00A31137">
      <w:r w:rsidRPr="00A31137">
        <w:t>The most effective way to increase opportunities for such persons is to remove intentional and unintentional barriers to education, employment, housing, transportation, health care, and other basic services. Republicans have played an important role in removing such barriers:</w:t>
      </w:r>
    </w:p>
    <w:p w:rsidR="00A31137" w:rsidRPr="00A31137" w:rsidRDefault="00A31137" w:rsidP="00A31137">
      <w:r w:rsidRPr="00A31137">
        <w:t>1988 Republican Platform, p.33</w:t>
      </w:r>
    </w:p>
    <w:p w:rsidR="00A31137" w:rsidRPr="00A31137" w:rsidRDefault="00A31137" w:rsidP="00A31137">
      <w:r w:rsidRPr="00A31137">
        <w:t>•</w:t>
      </w:r>
      <w:r w:rsidRPr="00A31137">
        <w:tab/>
        <w:t>Republicans supported the creation of a new program to provide early intervention services to infants and toddlers with disabilities.</w:t>
      </w:r>
    </w:p>
    <w:p w:rsidR="00A31137" w:rsidRPr="00A31137" w:rsidRDefault="00A31137" w:rsidP="00A31137">
      <w:r w:rsidRPr="00A31137">
        <w:t xml:space="preserve">• </w:t>
      </w:r>
      <w:r w:rsidRPr="00A31137">
        <w:tab/>
        <w:t>Republicans initiated a supported employment program that allows individuals with severe disabilities to earn competitive wages in integrated work settings, thus, in many instances, creating first-time taxpayers.</w:t>
      </w:r>
    </w:p>
    <w:p w:rsidR="00A31137" w:rsidRPr="00A31137" w:rsidRDefault="00A31137" w:rsidP="00A31137">
      <w:r w:rsidRPr="00A31137">
        <w:t xml:space="preserve">• </w:t>
      </w:r>
      <w:r w:rsidRPr="00A31137">
        <w:tab/>
        <w:t xml:space="preserve">Republicans initiated changes in the Social Security Act that now permit individuals with disabilities to work without losing health insurance coverage. [p.34] </w:t>
      </w:r>
    </w:p>
    <w:p w:rsidR="00A31137" w:rsidRPr="00A31137" w:rsidRDefault="00A31137" w:rsidP="00A31137">
      <w:r w:rsidRPr="00A31137">
        <w:t>•</w:t>
      </w:r>
      <w:r w:rsidRPr="00A31137">
        <w:tab/>
        <w:t>Republicans developed legislation to increase the availability of technology-related assistance for individuals with disabilities, thereby increasing their ability to do things for themselves, others, and their communities.</w:t>
      </w:r>
    </w:p>
    <w:p w:rsidR="00A31137" w:rsidRPr="00A31137" w:rsidRDefault="00A31137" w:rsidP="00A31137">
      <w:r w:rsidRPr="00A31137">
        <w:t xml:space="preserve">• </w:t>
      </w:r>
      <w:r w:rsidRPr="00A31137">
        <w:tab/>
        <w:t>Republicans have made a sustained commitment to policies that create opportunities for individuals with disabilities to lead productive and creative lives.</w:t>
      </w:r>
    </w:p>
    <w:p w:rsidR="00A31137" w:rsidRPr="00A31137" w:rsidRDefault="00A31137" w:rsidP="00A31137">
      <w:r w:rsidRPr="00A31137">
        <w:t>1988 Republican Platform, p.34</w:t>
      </w:r>
    </w:p>
    <w:p w:rsidR="00A31137" w:rsidRPr="00A31137" w:rsidRDefault="00A31137" w:rsidP="00A31137">
      <w:r w:rsidRPr="00A31137">
        <w:t>Republicans will continue to support such policies:</w:t>
      </w:r>
    </w:p>
    <w:p w:rsidR="00A31137" w:rsidRPr="00A31137" w:rsidRDefault="00A31137" w:rsidP="00A31137">
      <w:r w:rsidRPr="00A31137">
        <w:t>1988 Republican Platform, p.34</w:t>
      </w:r>
    </w:p>
    <w:p w:rsidR="00A31137" w:rsidRPr="00A31137" w:rsidRDefault="00A31137" w:rsidP="00A31137">
      <w:r w:rsidRPr="00A31137">
        <w:t>•</w:t>
      </w:r>
      <w:r w:rsidRPr="00A31137">
        <w:tab/>
        <w:t>We recognize the great potential of disabled persons and support efforts to remove artificial barriers that inhibit them from reaching their potential, and making their contributions, in education, employment and recreation. This includes the removal, insofar as practicable, of architectural, transportation, communication and attitudinal barriers.</w:t>
      </w:r>
    </w:p>
    <w:p w:rsidR="00A31137" w:rsidRPr="00A31137" w:rsidRDefault="00A31137" w:rsidP="00A31137">
      <w:r w:rsidRPr="00A31137">
        <w:t xml:space="preserve">• </w:t>
      </w:r>
      <w:r w:rsidRPr="00A31137">
        <w:tab/>
        <w:t>We support efforts to provide disabled voters full access to the polls and opportunity to participate in all aspects of the political process.</w:t>
      </w:r>
    </w:p>
    <w:p w:rsidR="00A31137" w:rsidRPr="00A31137" w:rsidRDefault="00A31137" w:rsidP="00A31137">
      <w:r w:rsidRPr="00A31137">
        <w:t xml:space="preserve">• </w:t>
      </w:r>
      <w:r w:rsidRPr="00A31137">
        <w:tab/>
        <w:t>By promoting vigorous economic growth, we will provide incentives for the scientific and technological research that may reverse or compensate for many disabilities.</w:t>
      </w:r>
    </w:p>
    <w:p w:rsidR="00A31137" w:rsidRPr="00A31137" w:rsidRDefault="00A31137" w:rsidP="00A31137">
      <w:r w:rsidRPr="00A31137">
        <w:t xml:space="preserve">• </w:t>
      </w:r>
      <w:r w:rsidRPr="00A31137">
        <w:tab/>
        <w:t>We pledge to fight discrimination in health care. Following the example of President Reagan, we insist upon full treatment for disabled infants. We find no basis, whether in law or medicine or ethics, for denying care or treatment to any medically dependent or disabled person because of handicap, age, or infirmity.</w:t>
      </w:r>
    </w:p>
    <w:p w:rsidR="00A31137" w:rsidRPr="00A31137" w:rsidRDefault="00A31137" w:rsidP="00A31137">
      <w:r w:rsidRPr="00A31137">
        <w:t xml:space="preserve">• </w:t>
      </w:r>
      <w:r w:rsidRPr="00A31137">
        <w:tab/>
        <w:t>We will strongly enforce statutory prohibitions barring discrimination because of handicap in any program receiving federal financial assistance.</w:t>
      </w:r>
    </w:p>
    <w:p w:rsidR="00A31137" w:rsidRPr="00A31137" w:rsidRDefault="00A31137" w:rsidP="00A31137">
      <w:r w:rsidRPr="00A31137">
        <w:t xml:space="preserve">• </w:t>
      </w:r>
      <w:r w:rsidRPr="00A31137">
        <w:tab/>
        <w:t>We will protect the rights established under the Education for All Handicapped Children Act, Section 504 of the Rehabilitation Act of 1973, and the Civil Rights of Institutionalized Persons Act. We will balance those rights against the public's right to be protected against diseases and conditions which directly threaten the health and safety of others.</w:t>
      </w:r>
    </w:p>
    <w:p w:rsidR="00A31137" w:rsidRPr="00A31137" w:rsidRDefault="00A31137" w:rsidP="00A31137">
      <w:r w:rsidRPr="00A31137">
        <w:t xml:space="preserve">• </w:t>
      </w:r>
      <w:r w:rsidRPr="00A31137">
        <w:tab/>
        <w:t>We recognize the need to procedural due process rights of persons with disabilities both to prevent their placement into inappropriate programs or settings and to ensure that their rights are represented by guardians or other advocates when necessary.</w:t>
      </w:r>
    </w:p>
    <w:p w:rsidR="00A31137" w:rsidRPr="00A31137" w:rsidRDefault="00A31137" w:rsidP="00A31137">
      <w:r w:rsidRPr="00A31137">
        <w:t>1988 Republican Platform, p.34</w:t>
      </w:r>
    </w:p>
    <w:p w:rsidR="00A31137" w:rsidRPr="00A31137" w:rsidRDefault="00A31137" w:rsidP="00A31137">
      <w:r w:rsidRPr="00A31137">
        <w:t xml:space="preserve">We endorse policies that give individuals with disabilities the right to participate in decisions related to their education, the right to affect how and where they live and the right to choose or change a job or career. [p.35] </w:t>
      </w:r>
    </w:p>
    <w:p w:rsidR="00A31137" w:rsidRPr="00A31137" w:rsidRDefault="00A31137" w:rsidP="00A31137">
      <w:r w:rsidRPr="00A31137">
        <w:t>1988 Republican Platform, p.35</w:t>
      </w:r>
    </w:p>
    <w:p w:rsidR="00A31137" w:rsidRPr="00A31137" w:rsidRDefault="00A31137" w:rsidP="00A31137">
      <w:r w:rsidRPr="00A31137">
        <w:t>To further promote the independence and productivity of people with disabilities and their integration into the mainstream of life, the Republican Party supports legislation to remove the bias in the Medicaid program toward serving disabled individuals in isolated institutional settings and ensure that appropriate, community-based services are reimbursable through Medicaid.</w:t>
      </w:r>
    </w:p>
    <w:p w:rsidR="00A31137" w:rsidRPr="00A31137" w:rsidRDefault="00A31137" w:rsidP="00A31137">
      <w:r w:rsidRPr="00A31137">
        <w:t>Native Americans</w:t>
      </w:r>
    </w:p>
    <w:p w:rsidR="00A31137" w:rsidRPr="00A31137" w:rsidRDefault="00A31137" w:rsidP="00A31137">
      <w:r w:rsidRPr="00A31137">
        <w:t>1988 Republican Platform, p.35</w:t>
      </w:r>
    </w:p>
    <w:p w:rsidR="00A31137" w:rsidRPr="00A31137" w:rsidRDefault="00A31137" w:rsidP="00A31137">
      <w:r w:rsidRPr="00A31137">
        <w:t>We support self-determination for Indian Tribes in managing their own affairs and resources. Recognizing the government-to-government trust responsibility, we will work to end dependency fostered by federal controls. Reservations should be free to become enterprise zones so their people can fully share in America's prosperity. We will work with tribal governments to improve environmental conditions and will ensure equitable participation by Native Americans in federal programs in health, housing, job training and education.</w:t>
      </w:r>
    </w:p>
    <w:p w:rsidR="00A31137" w:rsidRPr="00A31137" w:rsidRDefault="00A31137" w:rsidP="00A31137">
      <w:r w:rsidRPr="00A31137">
        <w:t>1988 Republican Platform, p.35</w:t>
      </w:r>
    </w:p>
    <w:p w:rsidR="00A31137" w:rsidRPr="00A31137" w:rsidRDefault="00A31137" w:rsidP="00A31137">
      <w:r w:rsidRPr="00A31137">
        <w:t>We endorse efforts to preserve the culture of native Hawaiians and to ensure their equitable participation in federal programs that can recognize and preserve their unique place in the life of our nation.</w:t>
      </w:r>
    </w:p>
    <w:p w:rsidR="00A31137" w:rsidRPr="00A31137" w:rsidRDefault="00A31137" w:rsidP="00A31137">
      <w:r w:rsidRPr="00A31137">
        <w:t>The Right of Gun Ownership</w:t>
      </w:r>
    </w:p>
    <w:p w:rsidR="00A31137" w:rsidRPr="00A31137" w:rsidRDefault="00A31137" w:rsidP="00A31137">
      <w:r w:rsidRPr="00A31137">
        <w:t>1988 Republican Platform, p.35</w:t>
      </w:r>
    </w:p>
    <w:p w:rsidR="00A31137" w:rsidRPr="00A31137" w:rsidRDefault="00A31137" w:rsidP="00A31137">
      <w:r w:rsidRPr="00A31137">
        <w:t>Republicans defend the constitutional right to keep and bear arms. When this right is abused by an individual who uses a gun in the commission of a crime, we call for stiff, mandatory penalties.</w:t>
      </w:r>
    </w:p>
    <w:p w:rsidR="00A31137" w:rsidRPr="00A31137" w:rsidRDefault="00A31137" w:rsidP="00A31137">
      <w:r w:rsidRPr="00A31137">
        <w:t>The Rights of Workers</w:t>
      </w:r>
    </w:p>
    <w:p w:rsidR="00A31137" w:rsidRPr="00A31137" w:rsidRDefault="00A31137" w:rsidP="00A31137">
      <w:r w:rsidRPr="00A31137">
        <w:t>1988 Republican Platform, p.35</w:t>
      </w:r>
    </w:p>
    <w:p w:rsidR="00A31137" w:rsidRPr="00A31137" w:rsidRDefault="00A31137" w:rsidP="00A31137">
      <w:r w:rsidRPr="00A31137">
        <w:t>We affirm the right of all freely to form, join or assist labor organizations to bargain collectively, consistent with State laws. Labor relations must be based on fairness and mutual respect. We renew our long-standing support for the right of States to enact "Right-to-Work" laws. To protect the political rights of every worker, we oppose the use of compulsory dues or fees for partisan purposes. Workers should not have to pay for political activity they oppose, and no worker should be coerced by violence or intimidation by any party to a labor dispute.</w:t>
      </w:r>
    </w:p>
    <w:p w:rsidR="00A31137" w:rsidRPr="00A31137" w:rsidRDefault="00A31137" w:rsidP="00A31137">
      <w:r w:rsidRPr="00A31137">
        <w:t>1988 Republican Platform, p.35</w:t>
      </w:r>
    </w:p>
    <w:p w:rsidR="00A31137" w:rsidRPr="00A31137" w:rsidRDefault="00A31137" w:rsidP="00A31137">
      <w:r w:rsidRPr="00A31137">
        <w:t>The Republican Party supports legislation to mend the Hobbs Act, so that union officials, like all other Americans, are once again subject to the law's prohibition against extortion and violence in labor disputes.</w:t>
      </w:r>
    </w:p>
    <w:p w:rsidR="00A31137" w:rsidRPr="00A31137" w:rsidRDefault="00A31137" w:rsidP="00A31137">
      <w:r w:rsidRPr="00A31137">
        <w:t>1988 Republican Platform, p.35</w:t>
      </w:r>
    </w:p>
    <w:p w:rsidR="00A31137" w:rsidRPr="00A31137" w:rsidRDefault="00A31137" w:rsidP="00A31137">
      <w:r w:rsidRPr="00A31137">
        <w:t xml:space="preserve">We also support amendments to the National Labor Relations Act to provide greater protection from labor violence for workers who choose to work during strikes. [p.36] </w:t>
      </w:r>
    </w:p>
    <w:p w:rsidR="00A31137" w:rsidRPr="00A31137" w:rsidRDefault="00A31137" w:rsidP="00A31137">
      <w:r w:rsidRPr="00A31137">
        <w:t>The Right to Political Participation</w:t>
      </w:r>
    </w:p>
    <w:p w:rsidR="00A31137" w:rsidRPr="00A31137" w:rsidRDefault="00A31137" w:rsidP="00A31137">
      <w:r w:rsidRPr="00A31137">
        <w:t>1988 Republican Platform, p.36</w:t>
      </w:r>
    </w:p>
    <w:p w:rsidR="00A31137" w:rsidRPr="00A31137" w:rsidRDefault="00A31137" w:rsidP="00A31137">
      <w:r w:rsidRPr="00A31137">
        <w:t>Republicans want to broaden involvement in the political process. We oppose government controls that make it harder for average citizens to be politically active. We especially condemn the congressional Democrats' scheme to force taxpayer funding of campaigns.</w:t>
      </w:r>
    </w:p>
    <w:p w:rsidR="00A31137" w:rsidRPr="00A31137" w:rsidRDefault="00A31137" w:rsidP="00A31137">
      <w:r w:rsidRPr="00A31137">
        <w:t>1988 Republican Platform, p.36</w:t>
      </w:r>
    </w:p>
    <w:p w:rsidR="00A31137" w:rsidRPr="00A31137" w:rsidRDefault="00A31137" w:rsidP="00A31137">
      <w:r w:rsidRPr="00A31137">
        <w:t>Because we support citizen participation in politics, we continue to favor whatever legislation may be necessary to permit American citizens residing in Guam, the Virgin Islands, American Samoa, the Northern Marianas Islands, and Puerto Rico to vote for president and vice president in national elections and permit their elected federal delegate to have the rights and privileges—except for voting on the floor—of other Members of Congress.</w:t>
      </w:r>
    </w:p>
    <w:p w:rsidR="00A31137" w:rsidRPr="00A31137" w:rsidRDefault="00A31137" w:rsidP="00A31137">
      <w:r w:rsidRPr="00A31137">
        <w:t>1988 Republican Platform, p.36</w:t>
      </w:r>
    </w:p>
    <w:p w:rsidR="00A31137" w:rsidRPr="00A31137" w:rsidRDefault="00A31137" w:rsidP="00A31137">
      <w:r w:rsidRPr="00A31137">
        <w:t>Puerto Rico has been a territory of the United States since 1898. The Republican Party vigorously supports the right of the United States citizens of Puerto Rico to be admitted into the Union as a fully sovereign State after they freely so determine. Therefore, we support the establishment of a presidential task force to prepare the necessary legislation to ensure that the people of Puerto Rico have the opportunity to exercise at the earliest possible date their right to apply for admission into the Union.</w:t>
      </w:r>
      <w:r w:rsidRPr="00A31137">
        <w:cr/>
      </w:r>
    </w:p>
    <w:p w:rsidR="00A31137" w:rsidRPr="00A31137" w:rsidRDefault="00A31137" w:rsidP="00A31137">
      <w:r w:rsidRPr="00A31137">
        <w:t>1988 Republican Platform, p.36</w:t>
      </w:r>
    </w:p>
    <w:p w:rsidR="00A31137" w:rsidRPr="00A31137" w:rsidRDefault="00A31137" w:rsidP="00A31137">
      <w:r w:rsidRPr="00A31137">
        <w:t>We also pledge that a decision of the people of Puerto Rico in favor of statehood will be implemented through an admission bill that would provide for a smooth fiscal transition, recognize the concept of a multi-cultural society for its citizens, and ensure the right to retain their Spanish language and traditions.</w:t>
      </w:r>
    </w:p>
    <w:p w:rsidR="00A31137" w:rsidRPr="00A31137" w:rsidRDefault="00A31137" w:rsidP="00A31137">
      <w:r w:rsidRPr="00A31137">
        <w:t>1988 Republican Platform, p.36</w:t>
      </w:r>
    </w:p>
    <w:p w:rsidR="00A31137" w:rsidRPr="00A31137" w:rsidRDefault="00A31137" w:rsidP="00A31137">
      <w:r w:rsidRPr="00A31137">
        <w:t>We recognize that the people of Guam have voted for a closer relationship with the United States of America, and we reaffirm our support of their right to improve their political relationship through a commonwealth status.</w:t>
      </w:r>
    </w:p>
    <w:p w:rsidR="00A31137" w:rsidRPr="00A31137" w:rsidRDefault="00A31137" w:rsidP="00A31137">
      <w:r w:rsidRPr="00A31137">
        <w:t>1988 Republican Platform, p.36</w:t>
      </w:r>
    </w:p>
    <w:p w:rsidR="00A31137" w:rsidRPr="00A31137" w:rsidRDefault="00A31137" w:rsidP="00A31137">
      <w:r w:rsidRPr="00A31137">
        <w:t>The Republican Party welcomes, as the newest member of the American family, the people of the Commonwealth of the Northern Marianas Islands, who became U.S. citizens with President Reagan's 1986 presidential proclamation.</w:t>
      </w:r>
    </w:p>
    <w:p w:rsidR="00A31137" w:rsidRPr="00A31137" w:rsidRDefault="00A31137" w:rsidP="00A31137">
      <w:r w:rsidRPr="00A31137">
        <w:t>Immigration</w:t>
      </w:r>
    </w:p>
    <w:p w:rsidR="00A31137" w:rsidRPr="00A31137" w:rsidRDefault="00A31137" w:rsidP="00A31137">
      <w:r w:rsidRPr="00A31137">
        <w:t>1988 Republican Platform, p.36</w:t>
      </w:r>
    </w:p>
    <w:p w:rsidR="00A31137" w:rsidRPr="00A31137" w:rsidRDefault="00A31137" w:rsidP="00A31137">
      <w:r w:rsidRPr="00A31137">
        <w:t xml:space="preserve">We welcome those from other lands who bring to America their ideals and industry. At the same time, we insist upon our country's absolute right to control its borders. We call upon our allies to join us in the responsibility shared by all democratic nations for resettlement of refugees, especially those fleeing communism in Southeast Asia. [p.37] </w:t>
      </w:r>
    </w:p>
    <w:p w:rsidR="00A31137" w:rsidRPr="00A31137" w:rsidRDefault="00A31137" w:rsidP="00A31137">
      <w:r w:rsidRPr="00A31137">
        <w:t>Restoring the Constitution</w:t>
      </w:r>
    </w:p>
    <w:p w:rsidR="00A31137" w:rsidRPr="00A31137" w:rsidRDefault="00A31137" w:rsidP="00A31137">
      <w:r w:rsidRPr="00A31137">
        <w:t>1988 Republican Platform, p.37</w:t>
      </w:r>
    </w:p>
    <w:p w:rsidR="00A31137" w:rsidRPr="00A31137" w:rsidRDefault="00A31137" w:rsidP="00A31137">
      <w:r w:rsidRPr="00A31137">
        <w:t>We reassert adherence to the Tenth Amendment, reserving to the States and to the people all powers not expressly delegated to the national government.</w:t>
      </w:r>
    </w:p>
    <w:p w:rsidR="00A31137" w:rsidRPr="00A31137" w:rsidRDefault="00A31137" w:rsidP="00A31137">
      <w:r w:rsidRPr="00A31137">
        <w:t>1988 Republican Platform, p.37</w:t>
      </w:r>
    </w:p>
    <w:p w:rsidR="00A31137" w:rsidRPr="00A31137" w:rsidRDefault="00A31137" w:rsidP="00A31137">
      <w:r w:rsidRPr="00A31137">
        <w:t>Our Constitution provides for a separation of powers among the three branches of government. In that system, judicial power must be exercised with deference toward State and local authority; it must not expand at the expense of our representative institutions. When the courts try to reorder the priorities of the American people, they undermine the stature of the judiciary and erode respect for the rule of law. That is why we commend the Reagan-Bush team for naming to the federal courts distinguished women and men committed to judicial restraint, the rights of law-abiding citizens, and traditional family values. We pledge to continue their record. Where appropriate, we support congressional use of Article III, Section 2 of the Constitution to restrict the jurisdiction of federal courts.</w:t>
      </w:r>
    </w:p>
    <w:p w:rsidR="00A31137" w:rsidRPr="00A31137" w:rsidRDefault="00A31137" w:rsidP="00A31137">
      <w:r w:rsidRPr="00A31137">
        <w:t>Government Ethics and Congressional Reform</w:t>
      </w:r>
    </w:p>
    <w:p w:rsidR="00A31137" w:rsidRPr="00A31137" w:rsidRDefault="00A31137" w:rsidP="00A31137">
      <w:r w:rsidRPr="00A31137">
        <w:t>1988 Republican Platform, p.37</w:t>
      </w:r>
    </w:p>
    <w:p w:rsidR="00A31137" w:rsidRPr="00A31137" w:rsidRDefault="00A31137" w:rsidP="00A31137">
      <w:r w:rsidRPr="00A31137">
        <w:t>As the United States celebrates the bicentennial of the U.S. Congress, many Americans are becoming painfully aware that they are being dis-enfranchised and inadequately represented by their elected officials.</w:t>
      </w:r>
    </w:p>
    <w:p w:rsidR="00A31137" w:rsidRPr="00A31137" w:rsidRDefault="00A31137" w:rsidP="00A31137">
      <w:r w:rsidRPr="00A31137">
        <w:t>1988 Republican Platform, p.37</w:t>
      </w:r>
    </w:p>
    <w:p w:rsidR="00A31137" w:rsidRPr="00A31137" w:rsidRDefault="00A31137" w:rsidP="00A31137">
      <w:r w:rsidRPr="00A31137">
        <w:t>Indeed, the process of government has broken down on Capitol Hill. The Founding Fathers of the United States Constitution would be shocked by congressional behavior:</w:t>
      </w:r>
    </w:p>
    <w:p w:rsidR="00A31137" w:rsidRPr="00A31137" w:rsidRDefault="00A31137" w:rsidP="00A31137">
      <w:r w:rsidRPr="00A31137">
        <w:t>1988 Republican Platform, p.37</w:t>
      </w:r>
    </w:p>
    <w:p w:rsidR="00A31137" w:rsidRPr="00A31137" w:rsidRDefault="00A31137" w:rsidP="00A31137">
      <w:r w:rsidRPr="00A31137">
        <w:t>•</w:t>
      </w:r>
      <w:r w:rsidRPr="00A31137">
        <w:tab/>
        <w:t>The Democrat congressional leaders exempt themselves from the laws they impose on the people in areas like health, safety and civil rights.</w:t>
      </w:r>
    </w:p>
    <w:p w:rsidR="00A31137" w:rsidRPr="00A31137" w:rsidRDefault="00A31137" w:rsidP="00A31137">
      <w:r w:rsidRPr="00A31137">
        <w:t xml:space="preserve">• </w:t>
      </w:r>
      <w:r w:rsidRPr="00A31137">
        <w:tab/>
        <w:t>Salaries and staff keep growing. Lavish free mailing privileges and other power perks help most incumbents hold onto their offices, election after election.</w:t>
      </w:r>
    </w:p>
    <w:p w:rsidR="00A31137" w:rsidRPr="00A31137" w:rsidRDefault="00A31137" w:rsidP="00A31137">
      <w:r w:rsidRPr="00A31137">
        <w:t xml:space="preserve">• </w:t>
      </w:r>
      <w:r w:rsidRPr="00A31137">
        <w:tab/>
        <w:t>Out of 91 appropriations bills in the past seven years, only seven made it to the president's desk on time.</w:t>
      </w:r>
    </w:p>
    <w:p w:rsidR="00A31137" w:rsidRPr="00A31137" w:rsidRDefault="00A31137" w:rsidP="00A31137">
      <w:r w:rsidRPr="00A31137">
        <w:t xml:space="preserve">• </w:t>
      </w:r>
      <w:r w:rsidRPr="00A31137">
        <w:tab/>
        <w:t>A catch-all bill to fund the government for 1988 was 2,100 pages long, lumping together 13 money bills that should have been separately subject to presidential review.</w:t>
      </w:r>
    </w:p>
    <w:p w:rsidR="00A31137" w:rsidRPr="00A31137" w:rsidRDefault="00A31137" w:rsidP="00A31137">
      <w:r w:rsidRPr="00A31137">
        <w:t xml:space="preserve">• </w:t>
      </w:r>
      <w:r w:rsidRPr="00A31137">
        <w:tab/>
        <w:t>$44 billion is currently being spent for programs not authorized by legislation.</w:t>
      </w:r>
    </w:p>
    <w:p w:rsidR="00A31137" w:rsidRPr="00A31137" w:rsidRDefault="00A31137" w:rsidP="00A31137">
      <w:r w:rsidRPr="00A31137">
        <w:t xml:space="preserve">• </w:t>
      </w:r>
      <w:r w:rsidRPr="00A31137">
        <w:tab/>
        <w:t xml:space="preserve">Special interest spending and pork barrel deals are larded throughout massive bills passed in chaotic late-night sessions. [p.38] </w:t>
      </w:r>
    </w:p>
    <w:p w:rsidR="00A31137" w:rsidRPr="00A31137" w:rsidRDefault="00A31137" w:rsidP="00A31137">
      <w:r w:rsidRPr="00A31137">
        <w:t>•</w:t>
      </w:r>
      <w:r w:rsidRPr="00A31137">
        <w:tab/>
        <w:t>Vetoed bills are not dealt with directly by the Congress but are buried in other pending legislation.</w:t>
      </w:r>
    </w:p>
    <w:p w:rsidR="00A31137" w:rsidRPr="00A31137" w:rsidRDefault="00A31137" w:rsidP="00A31137">
      <w:r w:rsidRPr="00A31137">
        <w:t xml:space="preserve">• </w:t>
      </w:r>
      <w:r w:rsidRPr="00A31137">
        <w:tab/>
        <w:t>Phony numbers are used to estimate budgets and to cover up the true costs of legislation.</w:t>
      </w:r>
    </w:p>
    <w:p w:rsidR="00A31137" w:rsidRPr="00A31137" w:rsidRDefault="00A31137" w:rsidP="00A31137">
      <w:r w:rsidRPr="00A31137">
        <w:t>1988 Republican Platform, p.38</w:t>
      </w:r>
    </w:p>
    <w:p w:rsidR="00A31137" w:rsidRPr="00A31137" w:rsidRDefault="00A31137" w:rsidP="00A31137">
      <w:r w:rsidRPr="00A31137">
        <w:t>Even worse, outright offenses against ethical standards and public laws are treated lightly. National security leaks go unpunished. In the House of Representatives, the Ethics Committee has become a shield for Democrats who get caught but don't get punished.</w:t>
      </w:r>
    </w:p>
    <w:p w:rsidR="00A31137" w:rsidRPr="00A31137" w:rsidRDefault="00A31137" w:rsidP="00A31137">
      <w:r w:rsidRPr="00A31137">
        <w:t>1988 Republican Platform, p.38</w:t>
      </w:r>
    </w:p>
    <w:p w:rsidR="00A31137" w:rsidRPr="00A31137" w:rsidRDefault="00A31137" w:rsidP="00A31137">
      <w:r w:rsidRPr="00A31137">
        <w:t>After 36 years of one-party rule, the House of Representatives is no longer the people's branch of government. It is the broken branch. It is an arrogant oligarchy that has subverted the Constitution. The Democrat congressional leaders:</w:t>
      </w:r>
    </w:p>
    <w:p w:rsidR="00A31137" w:rsidRPr="00A31137" w:rsidRDefault="00A31137" w:rsidP="00A31137">
      <w:r w:rsidRPr="00A31137">
        <w:t>1988 Republican Platform, p.38</w:t>
      </w:r>
    </w:p>
    <w:p w:rsidR="00A31137" w:rsidRPr="00A31137" w:rsidRDefault="00A31137" w:rsidP="00A31137">
      <w:r w:rsidRPr="00A31137">
        <w:t>•</w:t>
      </w:r>
      <w:r w:rsidRPr="00A31137">
        <w:tab/>
        <w:t>Stole a congressional seat from the people of Indiana by barring a duly elected, and officially certified, Republican Member.</w:t>
      </w:r>
    </w:p>
    <w:p w:rsidR="00A31137" w:rsidRPr="00A31137" w:rsidRDefault="00A31137" w:rsidP="00A31137">
      <w:r w:rsidRPr="00A31137">
        <w:t xml:space="preserve">• </w:t>
      </w:r>
      <w:r w:rsidRPr="00A31137">
        <w:tab/>
        <w:t>Flagrantly abuse every standard of accepted procedure by adjourning and, contrary to 200 years of House tradition, immediately reconvening in order to create a "new day" and pass legislation previously defeated.</w:t>
      </w:r>
    </w:p>
    <w:p w:rsidR="00A31137" w:rsidRPr="00A31137" w:rsidRDefault="00A31137" w:rsidP="00A31137">
      <w:r w:rsidRPr="00A31137">
        <w:t xml:space="preserve">• </w:t>
      </w:r>
      <w:r w:rsidRPr="00A31137">
        <w:tab/>
        <w:t>Deny the century-old right of the minority party to offer its final alternatives to bills.</w:t>
      </w:r>
    </w:p>
    <w:p w:rsidR="00A31137" w:rsidRPr="00A31137" w:rsidRDefault="00A31137" w:rsidP="00A31137">
      <w:r w:rsidRPr="00A31137">
        <w:t xml:space="preserve">• </w:t>
      </w:r>
      <w:r w:rsidRPr="00A31137">
        <w:tab/>
        <w:t>Change House rules to prevent debate and thwart the offering of amendments.</w:t>
      </w:r>
    </w:p>
    <w:p w:rsidR="00A31137" w:rsidRPr="00A31137" w:rsidRDefault="00A31137" w:rsidP="00A31137">
      <w:r w:rsidRPr="00A31137">
        <w:t xml:space="preserve">• </w:t>
      </w:r>
      <w:r w:rsidRPr="00A31137">
        <w:tab/>
        <w:t>Rig adoption of substantive legislation on mere procedural votes, so their followers won't be accountable on controversial votes to the people back home.</w:t>
      </w:r>
    </w:p>
    <w:p w:rsidR="00A31137" w:rsidRPr="00A31137" w:rsidRDefault="00A31137" w:rsidP="00A31137">
      <w:r w:rsidRPr="00A31137">
        <w:t xml:space="preserve">• </w:t>
      </w:r>
      <w:r w:rsidRPr="00A31137">
        <w:tab/>
        <w:t>Protect their cronies charged with personal misconduct or criminal activities.</w:t>
      </w:r>
    </w:p>
    <w:p w:rsidR="00A31137" w:rsidRPr="00A31137" w:rsidRDefault="00A31137" w:rsidP="00A31137">
      <w:r w:rsidRPr="00A31137">
        <w:t xml:space="preserve">• </w:t>
      </w:r>
      <w:r w:rsidRPr="00A31137">
        <w:tab/>
        <w:t>Refuse to allow the House to vote on issues of tremendous concern to the American people and viciously penalize independent Democrats who vote their conscience.</w:t>
      </w:r>
    </w:p>
    <w:p w:rsidR="00A31137" w:rsidRPr="00A31137" w:rsidRDefault="00A31137" w:rsidP="00A31137">
      <w:r w:rsidRPr="00A31137">
        <w:t xml:space="preserve">• </w:t>
      </w:r>
      <w:r w:rsidRPr="00A31137">
        <w:tab/>
        <w:t>Rig the subcommittee system to give themselves artificial majorities and additional staff members.</w:t>
      </w:r>
    </w:p>
    <w:p w:rsidR="00A31137" w:rsidRPr="00A31137" w:rsidRDefault="00A31137" w:rsidP="00A31137">
      <w:r w:rsidRPr="00A31137">
        <w:t>1988 Republican Platform, p.38</w:t>
      </w:r>
    </w:p>
    <w:p w:rsidR="00A31137" w:rsidRPr="00A31137" w:rsidRDefault="00A31137" w:rsidP="00A31137">
      <w:r w:rsidRPr="00A31137">
        <w:t>Republicans want to hold accountable to the people, the Congress and every other element of government. We will:</w:t>
      </w:r>
    </w:p>
    <w:p w:rsidR="00A31137" w:rsidRPr="00A31137" w:rsidRDefault="00A31137" w:rsidP="00A31137">
      <w:r w:rsidRPr="00A31137">
        <w:t xml:space="preserve">• </w:t>
      </w:r>
      <w:r w:rsidRPr="00A31137">
        <w:tab/>
        <w:t xml:space="preserve">Extend the independent counsel law to Congress. [p.39] </w:t>
      </w:r>
    </w:p>
    <w:p w:rsidR="00A31137" w:rsidRPr="00A31137" w:rsidRDefault="00A31137" w:rsidP="00A31137">
      <w:r w:rsidRPr="00A31137">
        <w:t>•</w:t>
      </w:r>
      <w:r w:rsidRPr="00A31137">
        <w:tab/>
        <w:t>Apply health and safety laws and civil rights statutes to the Congress.</w:t>
      </w:r>
    </w:p>
    <w:p w:rsidR="00A31137" w:rsidRPr="00A31137" w:rsidRDefault="00A31137" w:rsidP="00A31137">
      <w:r w:rsidRPr="00A31137">
        <w:t xml:space="preserve">• </w:t>
      </w:r>
      <w:r w:rsidRPr="00A31137">
        <w:tab/>
        <w:t>Give to whistle-blowers on Capitol Hill the same legal protection they have in the executive branch, to encourage employees to report illegalities, corruption and sexual harassment.</w:t>
      </w:r>
    </w:p>
    <w:p w:rsidR="00A31137" w:rsidRPr="00A31137" w:rsidRDefault="00A31137" w:rsidP="00A31137">
      <w:r w:rsidRPr="00A31137">
        <w:t xml:space="preserve">• </w:t>
      </w:r>
      <w:r w:rsidRPr="00A31137">
        <w:tab/>
        <w:t>Implement the budget reform agenda outlined elsewhere in this platform—a balanced budget amendment, line-item veto, and other steps—to restore accountability, order, and truth in government to the way Congress spends the people's money.</w:t>
      </w:r>
    </w:p>
    <w:p w:rsidR="00A31137" w:rsidRPr="00A31137" w:rsidRDefault="00A31137" w:rsidP="00A31137">
      <w:r w:rsidRPr="00A31137">
        <w:t xml:space="preserve">• </w:t>
      </w:r>
      <w:r w:rsidRPr="00A31137">
        <w:tab/>
        <w:t>Support citizen efforts in the Senate to defeat the gerrymanders that steal seats for Democrat congressmen by denying fair representation to the voters.</w:t>
      </w:r>
    </w:p>
    <w:p w:rsidR="00A31137" w:rsidRPr="00A31137" w:rsidRDefault="00A31137" w:rsidP="00A31137">
      <w:r w:rsidRPr="00A31137">
        <w:t xml:space="preserve">• </w:t>
      </w:r>
      <w:r w:rsidRPr="00A31137">
        <w:tab/>
        <w:t>Force democracy into the committee system of the House so that committees and staffs reflect the overall composition of the House.</w:t>
      </w:r>
    </w:p>
    <w:p w:rsidR="00A31137" w:rsidRPr="00A31137" w:rsidRDefault="00A31137" w:rsidP="00A31137">
      <w:r w:rsidRPr="00A31137">
        <w:t xml:space="preserve">• </w:t>
      </w:r>
      <w:r w:rsidRPr="00A31137">
        <w:tab/>
        <w:t xml:space="preserve">We favor a constitutional amendment which would place some restriction on the number of consecutive terms a man or woman may serve in the U.S. House of Representatives or the U.S. Senate. [p.40] </w:t>
      </w:r>
    </w:p>
    <w:p w:rsidR="00A31137" w:rsidRPr="00A31137" w:rsidRDefault="00A31137" w:rsidP="00A31137">
      <w:r w:rsidRPr="00A31137">
        <w:t>Education for the Future</w:t>
      </w:r>
    </w:p>
    <w:p w:rsidR="00A31137" w:rsidRPr="00A31137" w:rsidRDefault="00A31137" w:rsidP="00A31137">
      <w:r w:rsidRPr="00A31137">
        <w:t>1988 Republican Platform, p.40</w:t>
      </w:r>
    </w:p>
    <w:p w:rsidR="00A31137" w:rsidRPr="00A31137" w:rsidRDefault="00A31137" w:rsidP="00A31137">
      <w:r w:rsidRPr="00A31137">
        <w:t>Republican leadership has launched a new era in American education. Our vision of excellence has brought education back to parents, back to basics, and back on a track of excellence leading to a brighter and stronger future for America.</w:t>
      </w:r>
    </w:p>
    <w:p w:rsidR="00A31137" w:rsidRPr="00A31137" w:rsidRDefault="00A31137" w:rsidP="00A31137">
      <w:r w:rsidRPr="00A31137">
        <w:t>1988 Republican Platform, p.40</w:t>
      </w:r>
    </w:p>
    <w:p w:rsidR="00A31137" w:rsidRPr="00A31137" w:rsidRDefault="00A31137" w:rsidP="00A31137">
      <w:r w:rsidRPr="00A31137">
        <w:t>Because education is the key to opportunity, we must make America a nation of learners, ready to compete in the rapidly changing world of the future. Our goal is to combine traditional values and enduring truths with the most modern techniques and technology for teaching and learning.</w:t>
      </w:r>
    </w:p>
    <w:p w:rsidR="00A31137" w:rsidRPr="00A31137" w:rsidRDefault="00A31137" w:rsidP="00A31137">
      <w:r w:rsidRPr="00A31137">
        <w:t>1988 Republican Platform, p.40</w:t>
      </w:r>
    </w:p>
    <w:p w:rsidR="00A31137" w:rsidRPr="00A31137" w:rsidRDefault="00A31137" w:rsidP="00A31137">
      <w:r w:rsidRPr="00A31137">
        <w:t>This challenge will be immense. For two decades before 1981, poor public policies had led to an alarming decline in performance in our schools. Unfocused federal spending seemed to worsen the situation, hamstringing education with regulations and wasting resources in faddish programs top-heavy with administrative overhead.</w:t>
      </w:r>
    </w:p>
    <w:p w:rsidR="00A31137" w:rsidRPr="00A31137" w:rsidRDefault="00A31137" w:rsidP="00A31137">
      <w:r w:rsidRPr="00A31137">
        <w:t>1988 Republican Platform, p.40</w:t>
      </w:r>
    </w:p>
    <w:p w:rsidR="00A31137" w:rsidRPr="00A31137" w:rsidRDefault="00A31137" w:rsidP="00A31137">
      <w:r w:rsidRPr="00A31137">
        <w:t>Then President Reagan and Vice President Bush rallied our "nation at risk." The response was in the best tradition of the American people. In every State, indeed, in every community, individuals and organizations have launched a neighborhood movement for education reform. It has brought together Americans of every race and creed in a crusade for our children's future. Since 1980, average salaries for elementary and secondary teachers have increased to over $28,000, an increase of 20 percent after inflation. We can enhance this record of accomplishment by committing ourselves to these principles:</w:t>
      </w:r>
    </w:p>
    <w:p w:rsidR="00A31137" w:rsidRPr="00A31137" w:rsidRDefault="00A31137" w:rsidP="00A31137">
      <w:r w:rsidRPr="00A31137">
        <w:t>1988 Republican Platform, p.40</w:t>
      </w:r>
    </w:p>
    <w:p w:rsidR="00A31137" w:rsidRPr="00A31137" w:rsidRDefault="00A31137" w:rsidP="00A31137">
      <w:r w:rsidRPr="00A31137">
        <w:t xml:space="preserve">• </w:t>
      </w:r>
      <w:r w:rsidRPr="00A31137">
        <w:tab/>
        <w:t>Parents have the primary right and responsibility for education. Private institutions, communities, States, and the federal government must support and stimulate that parental role. We support the right of parents to educate their children at home.</w:t>
      </w:r>
    </w:p>
    <w:p w:rsidR="00A31137" w:rsidRPr="00A31137" w:rsidRDefault="00A31137" w:rsidP="00A31137">
      <w:r w:rsidRPr="00A31137">
        <w:t xml:space="preserve">• </w:t>
      </w:r>
      <w:r w:rsidRPr="00A31137">
        <w:tab/>
        <w:t>Choice and competition in education foster quality and protect consumers' rights.</w:t>
      </w:r>
    </w:p>
    <w:p w:rsidR="00A31137" w:rsidRPr="00A31137" w:rsidRDefault="00A31137" w:rsidP="00A31137">
      <w:r w:rsidRPr="00A31137">
        <w:t xml:space="preserve">• </w:t>
      </w:r>
      <w:r w:rsidRPr="00A31137">
        <w:tab/>
        <w:t>Accountability and evaluation of performance at all levels of education is the key to continuing reform in education. We must reward excellence in learning, in teaching, and in administration.</w:t>
      </w:r>
    </w:p>
    <w:p w:rsidR="00A31137" w:rsidRPr="00A31137" w:rsidRDefault="00A31137" w:rsidP="00A31137">
      <w:r w:rsidRPr="00A31137">
        <w:t xml:space="preserve">• </w:t>
      </w:r>
      <w:r w:rsidRPr="00A31137">
        <w:tab/>
        <w:t xml:space="preserve">Values are the core of good education. A free society needs a moral foundation for its learning. We oppose any programs in public schools which provide birth control or abortion services or referrals. Our "first line of defense" to protect our youth from contracting AIDS and other sexually communicable diseases, from teen pregnancy, and from illegal drug use must be abstinence education. [p.41] </w:t>
      </w:r>
    </w:p>
    <w:p w:rsidR="00A31137" w:rsidRPr="00A31137" w:rsidRDefault="00A31137" w:rsidP="00A31137">
      <w:r w:rsidRPr="00A31137">
        <w:t>•</w:t>
      </w:r>
      <w:r w:rsidRPr="00A31137">
        <w:tab/>
        <w:t>Quality in education should be available to all our children within their communities and neighborhoods. Federal policy should empower low-income families to choose quality and demand accountability in their children's schooling.</w:t>
      </w:r>
    </w:p>
    <w:p w:rsidR="00A31137" w:rsidRPr="00A31137" w:rsidRDefault="00A31137" w:rsidP="00A31137">
      <w:r w:rsidRPr="00A31137">
        <w:t xml:space="preserve">• </w:t>
      </w:r>
      <w:r w:rsidRPr="00A31137">
        <w:tab/>
        <w:t>Throughout all levels of education we must initiate action to reduce the deplorable dropout rate which deprives young people of their full potential.</w:t>
      </w:r>
    </w:p>
    <w:p w:rsidR="00A31137" w:rsidRPr="00A31137" w:rsidRDefault="00A31137" w:rsidP="00A31137">
      <w:r w:rsidRPr="00A31137">
        <w:t xml:space="preserve">• </w:t>
      </w:r>
      <w:r w:rsidRPr="00A31137">
        <w:tab/>
        <w:t>Federal programs must focus on students at special risk, especially those with physical disabilities or language deficits, to increase their chance at a productive future in the mainstream of American life.</w:t>
      </w:r>
    </w:p>
    <w:p w:rsidR="00A31137" w:rsidRPr="00A31137" w:rsidRDefault="00A31137" w:rsidP="00A31137">
      <w:r w:rsidRPr="00A31137">
        <w:t xml:space="preserve">• </w:t>
      </w:r>
      <w:r w:rsidRPr="00A31137">
        <w:tab/>
        <w:t>Because America's future will require increasingly competent leadership in all walks of life, national policy should emphasize the need to provide our most talented students with special programs to challenge their abilities.</w:t>
      </w:r>
    </w:p>
    <w:p w:rsidR="00A31137" w:rsidRPr="00A31137" w:rsidRDefault="00A31137" w:rsidP="00A31137">
      <w:r w:rsidRPr="00A31137">
        <w:t>1988 Republican Platform, p.41</w:t>
      </w:r>
    </w:p>
    <w:p w:rsidR="00A31137" w:rsidRPr="00A31137" w:rsidRDefault="00A31137" w:rsidP="00A31137">
      <w:r w:rsidRPr="00A31137">
        <w:t>Based on those principles, the Republican agenda for better education looks first to home and family, then to communities and States. In States and localities, we support practical, down-to-earth reforms that have made a proven difference in actual operation:</w:t>
      </w:r>
    </w:p>
    <w:p w:rsidR="00A31137" w:rsidRPr="00A31137" w:rsidRDefault="00A31137" w:rsidP="00A31137">
      <w:r w:rsidRPr="00A31137">
        <w:t>1988 Republican Platform, p.41</w:t>
      </w:r>
    </w:p>
    <w:p w:rsidR="00A31137" w:rsidRPr="00A31137" w:rsidRDefault="00A31137" w:rsidP="00A31137">
      <w:r w:rsidRPr="00A31137">
        <w:t xml:space="preserve">• </w:t>
      </w:r>
      <w:r w:rsidRPr="00A31137">
        <w:tab/>
        <w:t>Choice in education, especially for poor families, fosters the parental involvement that is essential for student success, and States should consider enacting voucher systems or other means of encouraging competition among public schools.</w:t>
      </w:r>
    </w:p>
    <w:p w:rsidR="00A31137" w:rsidRPr="00A31137" w:rsidRDefault="00A31137" w:rsidP="00A31137">
      <w:r w:rsidRPr="00A31137">
        <w:t xml:space="preserve">• </w:t>
      </w:r>
      <w:r w:rsidRPr="00A31137">
        <w:tab/>
        <w:t>Performance testing, both for students and teachers, measures progress, assures accountability to parents and the public, and keeps standards high.</w:t>
      </w:r>
    </w:p>
    <w:p w:rsidR="00A31137" w:rsidRPr="00A31137" w:rsidRDefault="00A31137" w:rsidP="00A31137">
      <w:r w:rsidRPr="00A31137">
        <w:t xml:space="preserve">• </w:t>
      </w:r>
      <w:r w:rsidRPr="00A31137">
        <w:tab/>
        <w:t>Merit pay, career ladders, or other rewards for superior teachers acknowledge our esteem for them and encourage others to follow their example of dedication to a profession that is critical to our nation's future.</w:t>
      </w:r>
    </w:p>
    <w:p w:rsidR="00A31137" w:rsidRPr="00A31137" w:rsidRDefault="00A31137" w:rsidP="00A31137">
      <w:r w:rsidRPr="00A31137">
        <w:t xml:space="preserve">• </w:t>
      </w:r>
      <w:r w:rsidRPr="00A31137">
        <w:tab/>
        <w:t>Making use of volunteerism from the private sector and providing opportunity for accelerated accreditation for those with needed expertise broadens the classroom experience and encourages excellence.</w:t>
      </w:r>
    </w:p>
    <w:p w:rsidR="00A31137" w:rsidRPr="00A31137" w:rsidRDefault="00A31137" w:rsidP="00A31137">
      <w:r w:rsidRPr="00A31137">
        <w:t xml:space="preserve">• </w:t>
      </w:r>
      <w:r w:rsidRPr="00A31137">
        <w:tab/>
        <w:t>Expansions of curriculum to include the teaching of the history, culture, geography and, particularly, the languages of key nations of the world is a necessity. To compete successfully throughout the world, we must acquire the ability to speak the languages of our customers.</w:t>
      </w:r>
    </w:p>
    <w:p w:rsidR="00A31137" w:rsidRPr="00A31137" w:rsidRDefault="00A31137" w:rsidP="00A31137">
      <w:r w:rsidRPr="00A31137">
        <w:t xml:space="preserve">• </w:t>
      </w:r>
      <w:r w:rsidRPr="00A31137">
        <w:tab/>
        <w:t xml:space="preserve">Excellence in the teaching of geography is essential to equipping our people with the ability to capture new markets in all parts of the world. [p.42] </w:t>
      </w:r>
    </w:p>
    <w:p w:rsidR="00A31137" w:rsidRPr="00A31137" w:rsidRDefault="00A31137" w:rsidP="00A31137">
      <w:r w:rsidRPr="00A31137">
        <w:t>•</w:t>
      </w:r>
      <w:r w:rsidRPr="00A31137">
        <w:tab/>
        <w:t>Discipline is a prerequisite for learning. Our schools must be models of order and decorum, not jungles of drugs and violence.</w:t>
      </w:r>
    </w:p>
    <w:p w:rsidR="00A31137" w:rsidRPr="00A31137" w:rsidRDefault="00A31137" w:rsidP="00A31137">
      <w:r w:rsidRPr="00A31137">
        <w:t>1988 Republican Platform, p.42</w:t>
      </w:r>
    </w:p>
    <w:p w:rsidR="00A31137" w:rsidRPr="00A31137" w:rsidRDefault="00A31137" w:rsidP="00A31137">
      <w:r w:rsidRPr="00A31137">
        <w:t>On the federal level, Republicans have worked to facilitate State and local reform movements:</w:t>
      </w:r>
    </w:p>
    <w:p w:rsidR="00A31137" w:rsidRPr="00A31137" w:rsidRDefault="00A31137" w:rsidP="00A31137">
      <w:r w:rsidRPr="00A31137">
        <w:t>1988 Republican Platform, p.42</w:t>
      </w:r>
    </w:p>
    <w:p w:rsidR="00A31137" w:rsidRPr="00A31137" w:rsidRDefault="00A31137" w:rsidP="00A31137">
      <w:r w:rsidRPr="00A31137">
        <w:t>•</w:t>
      </w:r>
      <w:r w:rsidRPr="00A31137">
        <w:tab/>
        <w:t>We kept the spotlight on the reform movement through White House leadership, and we refocused the Department of Education to recognize and foster excellence.</w:t>
      </w:r>
    </w:p>
    <w:p w:rsidR="00A31137" w:rsidRPr="00A31137" w:rsidRDefault="00A31137" w:rsidP="00A31137">
      <w:r w:rsidRPr="00A31137">
        <w:t xml:space="preserve">• </w:t>
      </w:r>
      <w:r w:rsidRPr="00A31137">
        <w:tab/>
        <w:t>We enacted legislation to ensure equal access to schools for student religious groups and led congressional efforts to restore voluntary school prayer.</w:t>
      </w:r>
    </w:p>
    <w:p w:rsidR="00A31137" w:rsidRPr="00A31137" w:rsidRDefault="00A31137" w:rsidP="00A31137">
      <w:r w:rsidRPr="00A31137">
        <w:t xml:space="preserve">• </w:t>
      </w:r>
      <w:r w:rsidRPr="00A31137">
        <w:tab/>
        <w:t>We led a national crusade against illiteracy, following the example of Barbara Bush.</w:t>
      </w:r>
    </w:p>
    <w:p w:rsidR="00A31137" w:rsidRPr="00A31137" w:rsidRDefault="00A31137" w:rsidP="00A31137">
      <w:r w:rsidRPr="00A31137">
        <w:t xml:space="preserve">• </w:t>
      </w:r>
      <w:r w:rsidRPr="00A31137">
        <w:tab/>
        <w:t>We put into law protection for pupils in federally funded programs, to shield students and their families from intrusive research and offensive psychological testing.</w:t>
      </w:r>
    </w:p>
    <w:p w:rsidR="00A31137" w:rsidRPr="00A31137" w:rsidRDefault="00A31137" w:rsidP="00A31137">
      <w:r w:rsidRPr="00A31137">
        <w:t xml:space="preserve">• </w:t>
      </w:r>
      <w:r w:rsidRPr="00A31137">
        <w:tab/>
        <w:t>We strengthened education programs by proposing to replace federal aid to schools with direct assistance that would give choice to low-income parents.</w:t>
      </w:r>
    </w:p>
    <w:p w:rsidR="00A31137" w:rsidRPr="00A31137" w:rsidRDefault="00A31137" w:rsidP="00A31137">
      <w:r w:rsidRPr="00A31137">
        <w:t xml:space="preserve">• </w:t>
      </w:r>
      <w:r w:rsidRPr="00A31137">
        <w:tab/>
        <w:t>We broke new ground in early childhood development programs, such as Even Start, that emphasize the involvement of parents in the learning process and address adult illiteracy and school readiness education holistically.</w:t>
      </w:r>
    </w:p>
    <w:p w:rsidR="00A31137" w:rsidRPr="00A31137" w:rsidRDefault="00A31137" w:rsidP="00A31137">
      <w:r w:rsidRPr="00A31137">
        <w:t xml:space="preserve">• </w:t>
      </w:r>
      <w:r w:rsidRPr="00A31137">
        <w:tab/>
        <w:t>We intervened in court cases to defend the right of students to learn in a safe, drug-free environment.</w:t>
      </w:r>
    </w:p>
    <w:p w:rsidR="00A31137" w:rsidRPr="00A31137" w:rsidRDefault="00A31137" w:rsidP="00A31137">
      <w:r w:rsidRPr="00A31137">
        <w:t>1988 Republican Platform, p.42</w:t>
      </w:r>
    </w:p>
    <w:p w:rsidR="00A31137" w:rsidRPr="00A31137" w:rsidRDefault="00A31137" w:rsidP="00A31137">
      <w:r w:rsidRPr="00A31137">
        <w:t>We will continue to advance that agenda and to expand horizons for learning, teaching, and mastering the future:</w:t>
      </w:r>
    </w:p>
    <w:p w:rsidR="00A31137" w:rsidRPr="00A31137" w:rsidRDefault="00A31137" w:rsidP="00A31137">
      <w:r w:rsidRPr="00A31137">
        <w:t>1988 Republican Platform, p.42</w:t>
      </w:r>
    </w:p>
    <w:p w:rsidR="00A31137" w:rsidRPr="00A31137" w:rsidRDefault="00A31137" w:rsidP="00A31137">
      <w:r w:rsidRPr="00A31137">
        <w:t xml:space="preserve">• </w:t>
      </w:r>
      <w:r w:rsidRPr="00A31137">
        <w:tab/>
        <w:t>We will protect the Pledge of Allegiance in all schools as a reminder of the values which must be at the core of learning for a free society.</w:t>
      </w:r>
    </w:p>
    <w:p w:rsidR="00A31137" w:rsidRPr="00A31137" w:rsidRDefault="00A31137" w:rsidP="00A31137">
      <w:r w:rsidRPr="00A31137">
        <w:t xml:space="preserve">• </w:t>
      </w:r>
      <w:r w:rsidRPr="00A31137">
        <w:tab/>
        <w:t>We will use federal programs to foster excellence, rewarding "Merit Schools" which significantly improve education for their students.</w:t>
      </w:r>
    </w:p>
    <w:p w:rsidR="00A31137" w:rsidRPr="00A31137" w:rsidRDefault="00A31137" w:rsidP="00A31137">
      <w:r w:rsidRPr="00A31137">
        <w:t xml:space="preserve">• </w:t>
      </w:r>
      <w:r w:rsidRPr="00A31137">
        <w:tab/>
        <w:t>We will urge our local school districts to recognize the value of kindergarten and pre-kindergarten programs.</w:t>
      </w:r>
    </w:p>
    <w:p w:rsidR="00A31137" w:rsidRPr="00A31137" w:rsidRDefault="00A31137" w:rsidP="00A31137">
      <w:r w:rsidRPr="00A31137">
        <w:t>•</w:t>
      </w:r>
      <w:r w:rsidRPr="00A31137">
        <w:tab/>
        <w:t xml:space="preserve">We will direct federal matching funds to promote magnet schools that turn students toward the challenges of the future rather than the failures of the past. [p.43] </w:t>
      </w:r>
    </w:p>
    <w:p w:rsidR="00A31137" w:rsidRPr="00A31137" w:rsidRDefault="00A31137" w:rsidP="00A31137">
      <w:r w:rsidRPr="00A31137">
        <w:t>•</w:t>
      </w:r>
      <w:r w:rsidRPr="00A31137">
        <w:tab/>
        <w:t>We will support laboratories of educational excellence in every State by refocusing federal funds for educational research.</w:t>
      </w:r>
    </w:p>
    <w:p w:rsidR="00A31137" w:rsidRPr="00A31137" w:rsidRDefault="00A31137" w:rsidP="00A31137">
      <w:r w:rsidRPr="00A31137">
        <w:t xml:space="preserve">• </w:t>
      </w:r>
      <w:r w:rsidRPr="00A31137">
        <w:tab/>
        <w:t>We will increase funding for the Head Start program to help children get a fair chance at learning, right from the beginning.</w:t>
      </w:r>
    </w:p>
    <w:p w:rsidR="00A31137" w:rsidRPr="00A31137" w:rsidRDefault="00A31137" w:rsidP="00A31137">
      <w:r w:rsidRPr="00A31137">
        <w:t xml:space="preserve">• </w:t>
      </w:r>
      <w:r w:rsidRPr="00A31137">
        <w:tab/>
        <w:t>We will work with local schools and the private sector to develop models For evaluating teachers and other school officials.</w:t>
      </w:r>
    </w:p>
    <w:p w:rsidR="00A31137" w:rsidRPr="00A31137" w:rsidRDefault="00A31137" w:rsidP="00A31137">
      <w:r w:rsidRPr="00A31137">
        <w:t xml:space="preserve">• </w:t>
      </w:r>
      <w:r w:rsidRPr="00A31137">
        <w:tab/>
        <w:t>We will continue to support tuition tax credits for parents who choose to educate their children in private educational institutions.</w:t>
      </w:r>
    </w:p>
    <w:p w:rsidR="00A31137" w:rsidRPr="00A31137" w:rsidRDefault="00A31137" w:rsidP="00A31137">
      <w:r w:rsidRPr="00A31137">
        <w:t xml:space="preserve">• </w:t>
      </w:r>
      <w:r w:rsidRPr="00A31137">
        <w:tab/>
        <w:t>We would establish a public-private partnership using the Department of Labor's Job Training Partnership Act funds to encourage youth to stay in school and graduate. The Labor Department funds would be made available to local employers and business groups to hire high school students after school and during the summer with the requirement that they keep their grades at a "C" average or above until graduation.</w:t>
      </w:r>
    </w:p>
    <w:p w:rsidR="00A31137" w:rsidRPr="00A31137" w:rsidRDefault="00A31137" w:rsidP="00A31137">
      <w:r w:rsidRPr="00A31137">
        <w:t>1988 Republican Platform, p.43</w:t>
      </w:r>
    </w:p>
    <w:p w:rsidR="00A31137" w:rsidRPr="00A31137" w:rsidRDefault="00A31137" w:rsidP="00A31137">
      <w:r w:rsidRPr="00A31137">
        <w:t>In higher education, Republicans want to promote both opportunity and responsibility:</w:t>
      </w:r>
    </w:p>
    <w:p w:rsidR="00A31137" w:rsidRPr="00A31137" w:rsidRDefault="00A31137" w:rsidP="00A31137">
      <w:r w:rsidRPr="00A31137">
        <w:t xml:space="preserve">• </w:t>
      </w:r>
      <w:r w:rsidRPr="00A31137">
        <w:tab/>
        <w:t>We will keep resources focused on low-income students and address the barriers that discourage minority students from entering and succeeding in institutions of higher education.</w:t>
      </w:r>
    </w:p>
    <w:p w:rsidR="00A31137" w:rsidRPr="00A31137" w:rsidRDefault="00A31137" w:rsidP="00A31137">
      <w:r w:rsidRPr="00A31137">
        <w:t xml:space="preserve">• </w:t>
      </w:r>
      <w:r w:rsidRPr="00A31137">
        <w:tab/>
        <w:t>We are determined to reverse the intolerable rates of default in the guaranteed student loan program to make more money available to those who really need to borrow it.</w:t>
      </w:r>
    </w:p>
    <w:p w:rsidR="00A31137" w:rsidRPr="00A31137" w:rsidRDefault="00A31137" w:rsidP="00A31137">
      <w:r w:rsidRPr="00A31137">
        <w:t xml:space="preserve">• </w:t>
      </w:r>
      <w:r w:rsidRPr="00A31137">
        <w:tab/>
        <w:t>We will keep the spotlight of public attention on the college cost spiral—running far ahead of inflation overall—and challenge administrators to exercise more fiscal responsibility.</w:t>
      </w:r>
    </w:p>
    <w:p w:rsidR="00A31137" w:rsidRPr="00A31137" w:rsidRDefault="00A31137" w:rsidP="00A31137">
      <w:r w:rsidRPr="00A31137">
        <w:t xml:space="preserve">• </w:t>
      </w:r>
      <w:r w:rsidRPr="00A31137">
        <w:tab/>
        <w:t>We will create a College Savings Bond program, with tax-exempt interest, to help families save for their children's higher education.</w:t>
      </w:r>
    </w:p>
    <w:p w:rsidR="00A31137" w:rsidRPr="00A31137" w:rsidRDefault="00A31137" w:rsidP="00A31137">
      <w:r w:rsidRPr="00A31137">
        <w:t xml:space="preserve">• </w:t>
      </w:r>
      <w:r w:rsidRPr="00A31137">
        <w:tab/>
        <w:t>We will condition federal aid to post-secondary institutions upon their good faith effort to maintain safe and drug-free campuses.</w:t>
      </w:r>
    </w:p>
    <w:p w:rsidR="00A31137" w:rsidRPr="00A31137" w:rsidRDefault="00A31137" w:rsidP="00A31137">
      <w:r w:rsidRPr="00A31137">
        <w:t xml:space="preserve">• </w:t>
      </w:r>
      <w:r w:rsidRPr="00A31137">
        <w:tab/>
        <w:t>We will insist that freedom of speech is not only a fundamental right, it is one of the first lines of education. This freedom should be afforded to all speakers with a minimum of harassment.</w:t>
      </w:r>
    </w:p>
    <w:p w:rsidR="00A31137" w:rsidRPr="00A31137" w:rsidRDefault="00A31137" w:rsidP="00A31137">
      <w:r w:rsidRPr="00A31137">
        <w:t xml:space="preserve">• </w:t>
      </w:r>
      <w:r w:rsidRPr="00A31137">
        <w:tab/>
        <w:t xml:space="preserve">We will continue education benefits for veterans of military service and advance the principle that those who serve their country in the armed forces have first call on federal education assistance. [p.44] </w:t>
      </w:r>
    </w:p>
    <w:p w:rsidR="00A31137" w:rsidRPr="00A31137" w:rsidRDefault="00A31137" w:rsidP="00A31137">
      <w:r w:rsidRPr="00A31137">
        <w:t>•</w:t>
      </w:r>
      <w:r w:rsidRPr="00A31137">
        <w:tab/>
        <w:t>We will continue the Reagan-Bush policy of emphasizing vocational-technical education. A large number of jobs in our society require secondary and post-secondary vocational-technical education. Federal programs and policies must recognize and enhance vocational-technical students.</w:t>
      </w:r>
    </w:p>
    <w:p w:rsidR="00A31137" w:rsidRPr="00A31137" w:rsidRDefault="00A31137" w:rsidP="00A31137">
      <w:r w:rsidRPr="00A31137">
        <w:t xml:space="preserve">• </w:t>
      </w:r>
      <w:r w:rsidRPr="00A31137">
        <w:tab/>
        <w:t>We will support educational programs in federal prisons that will allow prisoners the opportunity to become literate and to learn an employable skill. We encourage similar programs at the state level.</w:t>
      </w:r>
    </w:p>
    <w:p w:rsidR="00A31137" w:rsidRPr="00A31137" w:rsidRDefault="00A31137" w:rsidP="00A31137">
      <w:r w:rsidRPr="00A31137">
        <w:t>1988 Republican Platform, p.44</w:t>
      </w:r>
    </w:p>
    <w:p w:rsidR="00A31137" w:rsidRPr="00A31137" w:rsidRDefault="00A31137" w:rsidP="00A31137">
      <w:r w:rsidRPr="00A31137">
        <w:t>To compete globally, our society must prepare our children for the world of work. We cannot allow one of every eight 17-year-olds to remain functionally illiterate. We cannot allow 1 million students to drop out of high school every year, most of them without basic skills; therefore, we must teach them reading, writing, and mathematics. We must reestablish their obligation to learn.</w:t>
      </w:r>
    </w:p>
    <w:p w:rsidR="00A31137" w:rsidRPr="00A31137" w:rsidRDefault="00A31137" w:rsidP="00A31137">
      <w:r w:rsidRPr="00A31137">
        <w:t>1988 Republican Platform, p.44</w:t>
      </w:r>
    </w:p>
    <w:p w:rsidR="00A31137" w:rsidRPr="00A31137" w:rsidRDefault="00A31137" w:rsidP="00A31137">
      <w:r w:rsidRPr="00A31137">
        <w:t>Education for the future means more than formal schooling in classrooms. About 75 percent of our current work force will need some degree of retraining by the year 2000. More than half of all jobs we will create in the 1990s will require some education beyond high school, and much of that will be obtained outside of regular educational institutions. Unprecedented flexibility in working arrangements, career changes, and a stampede of technological advance are ushering us into a era of lifelong learning. Therefore, we support employment training programs at all levels of government such as the Job Training Partnership Act and the recently restructured Worker Adjustment Program for dislocated workers. The placement success of these programs can be directly traced to their public/private sector partnerships and local involvement in their program development and implementation.</w:t>
      </w:r>
    </w:p>
    <w:p w:rsidR="00A31137" w:rsidRPr="00A31137" w:rsidRDefault="00A31137" w:rsidP="00A31137">
      <w:r w:rsidRPr="00A31137">
        <w:t>1988 Republican Platform, p.44</w:t>
      </w:r>
    </w:p>
    <w:p w:rsidR="00A31137" w:rsidRPr="00A31137" w:rsidRDefault="00A31137" w:rsidP="00A31137">
      <w:r w:rsidRPr="00A31137">
        <w:t>In the 1960s and 1970s, we learned what doesn't solve the problems of education: federal financing and regimentation of our schools. In the 1980s, we asserted what works: parental responsibility, community support and local control, good teachers and determined administrators, and a return to the basic values and content of Western civilization. That combination gave generations of Americans the world's greatest opportunities for learning. It can guarantee the same for future generations.</w:t>
      </w:r>
    </w:p>
    <w:p w:rsidR="00A31137" w:rsidRPr="00A31137" w:rsidRDefault="00A31137" w:rsidP="00A31137">
      <w:r w:rsidRPr="00A31137">
        <w:t>Arts and Humanities</w:t>
      </w:r>
    </w:p>
    <w:p w:rsidR="00A31137" w:rsidRPr="00A31137" w:rsidRDefault="00A31137" w:rsidP="00A31137">
      <w:r w:rsidRPr="00A31137">
        <w:t>1988 Republican Platform, p.44</w:t>
      </w:r>
    </w:p>
    <w:p w:rsidR="00A31137" w:rsidRPr="00A31137" w:rsidRDefault="00A31137" w:rsidP="00A31137">
      <w:r w:rsidRPr="00A31137">
        <w:t>Republicans consider the resurgence of the arts and humanities a vital part of getting back to basics in education. Our young people must acquire more than information and skills. They must learn to reason and to [p.45] appreciate the intellectual achievements that express the enduring values of our civilization. To that end, we will:</w:t>
      </w:r>
    </w:p>
    <w:p w:rsidR="00A31137" w:rsidRPr="00A31137" w:rsidRDefault="00A31137" w:rsidP="00A31137">
      <w:r w:rsidRPr="00A31137">
        <w:t>•</w:t>
      </w:r>
      <w:r w:rsidRPr="00A31137">
        <w:tab/>
        <w:t>Continue the Republican economic renaissance which has made possible a tremendous outpouring of support for the arts and humanities.</w:t>
      </w:r>
    </w:p>
    <w:p w:rsidR="00A31137" w:rsidRPr="00A31137" w:rsidRDefault="00A31137" w:rsidP="00A31137">
      <w:r w:rsidRPr="00A31137">
        <w:t xml:space="preserve">• </w:t>
      </w:r>
      <w:r w:rsidRPr="00A31137">
        <w:tab/>
        <w:t>Support full deductibility for donations to tax-exempt cultural institutions in order to encourage the private support of arts and humanities.</w:t>
      </w:r>
    </w:p>
    <w:p w:rsidR="00A31137" w:rsidRPr="00A31137" w:rsidRDefault="00A31137" w:rsidP="00A31137">
      <w:r w:rsidRPr="00A31137">
        <w:t xml:space="preserve">• </w:t>
      </w:r>
      <w:r w:rsidRPr="00A31137">
        <w:tab/>
        <w:t>Support the National Endowments for the Arts and Humanities and the Institute of Museum Services in their effort to support America's cultural institutions, artists, and scholars.</w:t>
      </w:r>
    </w:p>
    <w:p w:rsidR="00A31137" w:rsidRPr="00A31137" w:rsidRDefault="00A31137" w:rsidP="00A31137">
      <w:r w:rsidRPr="00A31137">
        <w:t xml:space="preserve">• </w:t>
      </w:r>
      <w:r w:rsidRPr="00A31137">
        <w:tab/>
        <w:t>Guard against the misuse of governmental grants by those who attack or derogate any race or creed and oppose the politicization of the National Endowments for the Arts and Humanities.</w:t>
      </w:r>
    </w:p>
    <w:p w:rsidR="00A31137" w:rsidRPr="00A31137" w:rsidRDefault="00A31137" w:rsidP="00A31137">
      <w:r w:rsidRPr="00A31137">
        <w:t>1988 Republican Platform, p.45</w:t>
      </w:r>
    </w:p>
    <w:p w:rsidR="00A31137" w:rsidRPr="00A31137" w:rsidRDefault="00A31137" w:rsidP="00A31137">
      <w:r w:rsidRPr="00A31137">
        <w:t>While recognizing the diversity of our people, we encourage educational institutions to emphasize in the arts and humanities those ideas and cultural accomplishments that address the ethical foundations of our culture.</w:t>
      </w:r>
    </w:p>
    <w:p w:rsidR="00A31137" w:rsidRPr="00A31137" w:rsidRDefault="00A31137" w:rsidP="00A31137">
      <w:r w:rsidRPr="00A31137">
        <w:t>Science and Technology</w:t>
      </w:r>
    </w:p>
    <w:p w:rsidR="00A31137" w:rsidRPr="00A31137" w:rsidRDefault="00A31137" w:rsidP="00A31137">
      <w:r w:rsidRPr="00A31137">
        <w:t>1988 Republican Platform, p.45</w:t>
      </w:r>
    </w:p>
    <w:p w:rsidR="00A31137" w:rsidRPr="00A31137" w:rsidRDefault="00A31137" w:rsidP="00A31137">
      <w:r w:rsidRPr="00A31137">
        <w:t>Our nation's continuing progress depends on scientific and technological innovation. It is America's economic fountain of youth. Republicans advocate a creative partnership between government and the private sector to ensure the dynamism and creativity of scientific research and technology:</w:t>
      </w:r>
    </w:p>
    <w:p w:rsidR="00A31137" w:rsidRPr="00A31137" w:rsidRDefault="00A31137" w:rsidP="00A31137">
      <w:r w:rsidRPr="00A31137">
        <w:t xml:space="preserve">• </w:t>
      </w:r>
      <w:r w:rsidRPr="00A31137">
        <w:tab/>
        <w:t>We recognize that excellence in education, and especially scientific literacy, is a precondition for progress, and that economic growth makes possible the nation's continuing advancement in scientific research.</w:t>
      </w:r>
    </w:p>
    <w:p w:rsidR="00A31137" w:rsidRPr="00A31137" w:rsidRDefault="00A31137" w:rsidP="00A31137">
      <w:r w:rsidRPr="00A31137">
        <w:t xml:space="preserve">• </w:t>
      </w:r>
      <w:r w:rsidRPr="00A31137">
        <w:tab/>
        <w:t>We consider a key priority in any increased funding for the National Science Foundation the retooling of science and engineering labs at colleges and universities.</w:t>
      </w:r>
    </w:p>
    <w:p w:rsidR="00A31137" w:rsidRPr="00A31137" w:rsidRDefault="00A31137" w:rsidP="00A31137">
      <w:r w:rsidRPr="00A31137">
        <w:t xml:space="preserve">• </w:t>
      </w:r>
      <w:r w:rsidRPr="00A31137">
        <w:tab/>
        <w:t>We endorse major national projects like the superconducting Super Collider.</w:t>
      </w:r>
    </w:p>
    <w:p w:rsidR="00A31137" w:rsidRPr="00A31137" w:rsidRDefault="00A31137" w:rsidP="00A31137">
      <w:r w:rsidRPr="00A31137">
        <w:t xml:space="preserve">• </w:t>
      </w:r>
      <w:r w:rsidRPr="00A31137">
        <w:tab/>
        <w:t xml:space="preserve">We will ensure that tax policy gives optimum incentives for the private sector to fund a high level of advanced research. Toward that end, we will make permanent the current tax credit for research and development and extend it to cooperative research ventures. [p.46] </w:t>
      </w:r>
    </w:p>
    <w:p w:rsidR="00A31137" w:rsidRPr="00A31137" w:rsidRDefault="00A31137" w:rsidP="00A31137">
      <w:r w:rsidRPr="00A31137">
        <w:t>•</w:t>
      </w:r>
      <w:r w:rsidRPr="00A31137">
        <w:tab/>
        <w:t>We will strengthen the role of science and engineering in national policy by reinforcing the Office of the President's Science Adviser with the addition of a Science Advisory Council.</w:t>
      </w:r>
    </w:p>
    <w:p w:rsidR="00A31137" w:rsidRPr="00A31137" w:rsidRDefault="00A31137" w:rsidP="00A31137">
      <w:r w:rsidRPr="00A31137">
        <w:t xml:space="preserve">• </w:t>
      </w:r>
      <w:r w:rsidRPr="00A31137">
        <w:tab/>
        <w:t>We will encourage exchange of scientific information, especially between business and academic institutions, to speed up the application of research to benefit the public.</w:t>
      </w:r>
    </w:p>
    <w:p w:rsidR="00A31137" w:rsidRPr="00A31137" w:rsidRDefault="00A31137" w:rsidP="00A31137">
      <w:r w:rsidRPr="00A31137">
        <w:t xml:space="preserve">• </w:t>
      </w:r>
      <w:r w:rsidRPr="00A31137">
        <w:tab/>
        <w:t>We will improve the acquisition of scientific and technical information from other countries through expedited translation services and more aggressive outreach by federal agencies.</w:t>
      </w:r>
    </w:p>
    <w:p w:rsidR="00A31137" w:rsidRPr="00A31137" w:rsidRDefault="00A31137" w:rsidP="00A31137">
      <w:r w:rsidRPr="00A31137">
        <w:t xml:space="preserve">• </w:t>
      </w:r>
      <w:r w:rsidRPr="00A31137">
        <w:tab/>
        <w:t>We will include international technology flows as part of U.S. trade negotiations to ensure that the benefits of foreign advances are available to Americans.</w:t>
      </w:r>
    </w:p>
    <w:p w:rsidR="00A31137" w:rsidRPr="00A31137" w:rsidRDefault="00A31137" w:rsidP="00A31137">
      <w:r w:rsidRPr="00A31137">
        <w:t xml:space="preserve">• </w:t>
      </w:r>
      <w:r w:rsidRPr="00A31137">
        <w:tab/>
        <w:t>We will encourage innovation by strengthening protection for intellectual property at home and abroad. We will promote the public benefits that come from commercialization of research conducted under federal sponsorship by allowing private ownership of intellectual property developed in that manner.</w:t>
      </w:r>
    </w:p>
    <w:p w:rsidR="00A31137" w:rsidRPr="00A31137" w:rsidRDefault="00A31137" w:rsidP="00A31137">
      <w:r w:rsidRPr="00A31137">
        <w:t xml:space="preserve">• </w:t>
      </w:r>
      <w:r w:rsidRPr="00A31137">
        <w:tab/>
        <w:t>We will oppose regulation which stifles competition and hinders breakthroughs that can transform life for the better in areas like biotechnology.</w:t>
      </w:r>
    </w:p>
    <w:p w:rsidR="00A31137" w:rsidRPr="00A31137" w:rsidRDefault="00A31137" w:rsidP="00A31137">
      <w:r w:rsidRPr="00A31137">
        <w:t>1988 Republican Platform, p.46</w:t>
      </w:r>
    </w:p>
    <w:p w:rsidR="00A31137" w:rsidRPr="00A31137" w:rsidRDefault="00A31137" w:rsidP="00A31137">
      <w:r w:rsidRPr="00A31137">
        <w:t>This is an agenda for more than science and technology. It will broaden economic opportunity, sustain our ability to compete globally, and enhance the quality of life for all.</w:t>
      </w:r>
    </w:p>
    <w:p w:rsidR="00A31137" w:rsidRPr="00A31137" w:rsidRDefault="00A31137" w:rsidP="00A31137">
      <w:r w:rsidRPr="00A31137">
        <w:t>Space</w:t>
      </w:r>
    </w:p>
    <w:p w:rsidR="00A31137" w:rsidRPr="00A31137" w:rsidRDefault="00A31137" w:rsidP="00A31137">
      <w:r w:rsidRPr="00A31137">
        <w:t>1988 Republican Platform, p.46</w:t>
      </w:r>
    </w:p>
    <w:p w:rsidR="00A31137" w:rsidRPr="00A31137" w:rsidRDefault="00A31137" w:rsidP="00A31137">
      <w:r w:rsidRPr="00A31137">
        <w:t>The Republican Party will reestablish U.S. preeminence in space. It is our nation's frontier, our manifest destiny. President Reagan has set ambitious goals for a space comeback. We are determined to meet them and move on to even greater challenges.</w:t>
      </w:r>
    </w:p>
    <w:p w:rsidR="00A31137" w:rsidRPr="00A31137" w:rsidRDefault="00A31137" w:rsidP="00A31137">
      <w:r w:rsidRPr="00A31137">
        <w:t>1988 Republican Platform, p.46</w:t>
      </w:r>
    </w:p>
    <w:p w:rsidR="00A31137" w:rsidRPr="00A31137" w:rsidRDefault="00A31137" w:rsidP="00A31137">
      <w:r w:rsidRPr="00A31137">
        <w:t>We support further development of the space station, the National Aerospace Plane, Project Pathfinder, a replacement shuttle, and the development of alternate launch vehicles. We endorse Mission to Planet Earth for space science to advance our understanding of environmental and climatic forces.</w:t>
      </w:r>
    </w:p>
    <w:p w:rsidR="00A31137" w:rsidRPr="00A31137" w:rsidRDefault="00A31137" w:rsidP="00A31137">
      <w:r w:rsidRPr="00A31137">
        <w:t>1988 Republican Platform, p.46</w:t>
      </w:r>
    </w:p>
    <w:p w:rsidR="00A31137" w:rsidRPr="00A31137" w:rsidRDefault="00A31137" w:rsidP="00A31137">
      <w:r w:rsidRPr="00A31137">
        <w:t>A resurgent America, renewed economically and in spirit, must get on [p.47] with its business of greatness. We must commit to a manned flight to Mars around the year 2000 and to continue exploration of the moon.</w:t>
      </w:r>
    </w:p>
    <w:p w:rsidR="00A31137" w:rsidRPr="00A31137" w:rsidRDefault="00A31137" w:rsidP="00A31137">
      <w:r w:rsidRPr="00A31137">
        <w:t>1988 Republican Platform, p.47</w:t>
      </w:r>
    </w:p>
    <w:p w:rsidR="00A31137" w:rsidRPr="00A31137" w:rsidRDefault="00A31137" w:rsidP="00A31137">
      <w:r w:rsidRPr="00A31137">
        <w:t>These goals will be achievable only with full participation by private initiative. We welcome the Reagan-Bush initiative to increase the role of the private sector in transport, particularly in the launch of commercial satellites. The Reagan-Bush Administration's proposed space station will allow the private sector additional opportunities in the area of research and manufacturing.</w:t>
      </w:r>
    </w:p>
    <w:p w:rsidR="00A31137" w:rsidRPr="00A31137" w:rsidRDefault="00A31137" w:rsidP="00A31137">
      <w:r w:rsidRPr="00A31137">
        <w:t>1988 Republican Platform, p.47</w:t>
      </w:r>
    </w:p>
    <w:p w:rsidR="00A31137" w:rsidRPr="00A31137" w:rsidRDefault="00A31137" w:rsidP="00A31137">
      <w:r w:rsidRPr="00A31137">
        <w:t>Our program for freedom in space will allow millions of American investors to put their money on the future. That's one of the ways to lift the conquest of space out of the congressional budget logjam. Republicans believe that America must have a clear vision for the future of the space program, well-defined goals, and streamlined implementation, as we reach for the stars.</w:t>
      </w:r>
    </w:p>
    <w:p w:rsidR="00A31137" w:rsidRPr="00A31137" w:rsidRDefault="00A31137" w:rsidP="00A31137">
      <w:r w:rsidRPr="00A31137">
        <w:t>Strong Communities and Neighborhoods</w:t>
      </w:r>
    </w:p>
    <w:p w:rsidR="00A31137" w:rsidRPr="00A31137" w:rsidRDefault="00A31137" w:rsidP="00A31137">
      <w:r w:rsidRPr="00A31137">
        <w:t>Crime</w:t>
      </w:r>
    </w:p>
    <w:p w:rsidR="00A31137" w:rsidRPr="00A31137" w:rsidRDefault="00A31137" w:rsidP="00A31137">
      <w:r w:rsidRPr="00A31137">
        <w:t>1988 Republican Platform, p.47</w:t>
      </w:r>
    </w:p>
    <w:p w:rsidR="00A31137" w:rsidRPr="00A31137" w:rsidRDefault="00A31137" w:rsidP="00A31137">
      <w:r w:rsidRPr="00A31137">
        <w:t>Republicans want a free and open society for every American. That means more than economic advancement alone. It requires the safety and security of persons and their property. It demands an end to crime.</w:t>
      </w:r>
    </w:p>
    <w:p w:rsidR="00A31137" w:rsidRPr="00A31137" w:rsidRDefault="00A31137" w:rsidP="00A31137">
      <w:r w:rsidRPr="00A31137">
        <w:t>1988 Republican Platform, p.47</w:t>
      </w:r>
    </w:p>
    <w:p w:rsidR="00A31137" w:rsidRPr="00A31137" w:rsidRDefault="00A31137" w:rsidP="00A31137">
      <w:r w:rsidRPr="00A31137">
        <w:t>Republicans stand with the men and women who put their lives on the line every day, in State and local police forces and in federal law enforcement agencies. We are determined to reestablish safety in the streets of those Communities where the poor, the hard-working, and the elderly now live in fear. Despite opposition from liberal Democrats, we've made a start:</w:t>
      </w:r>
    </w:p>
    <w:p w:rsidR="00A31137" w:rsidRPr="00A31137" w:rsidRDefault="00A31137" w:rsidP="00A31137">
      <w:r w:rsidRPr="00A31137">
        <w:t>1988 Republican Platform, p.47</w:t>
      </w:r>
    </w:p>
    <w:p w:rsidR="00A31137" w:rsidRPr="00A31137" w:rsidRDefault="00A31137" w:rsidP="00A31137">
      <w:r w:rsidRPr="00A31137">
        <w:t>•</w:t>
      </w:r>
      <w:r w:rsidRPr="00A31137">
        <w:tab/>
        <w:t>The rate of violent crime has fallen 20 percent since 1981. Personal thefts fell 21 percent, robberies fell 31 percent, assaults fell 17 percent, and household burglaries fell 30 percent.</w:t>
      </w:r>
    </w:p>
    <w:p w:rsidR="00A31137" w:rsidRPr="00A31137" w:rsidRDefault="00A31137" w:rsidP="00A31137">
      <w:r w:rsidRPr="00A31137">
        <w:t xml:space="preserve">• </w:t>
      </w:r>
      <w:r w:rsidRPr="00A31137">
        <w:tab/>
        <w:t>In 1986, crimes against individuals reached their lowest level in 14 years.</w:t>
      </w:r>
    </w:p>
    <w:p w:rsidR="00A31137" w:rsidRPr="00A31137" w:rsidRDefault="00A31137" w:rsidP="00A31137">
      <w:r w:rsidRPr="00A31137">
        <w:t xml:space="preserve">• </w:t>
      </w:r>
      <w:r w:rsidRPr="00A31137">
        <w:tab/>
        <w:t>The Reagan-Bush Administration has crusaded for victims' rights in trials and sentencing procedures and has advocated restitution by felons to their victims.</w:t>
      </w:r>
    </w:p>
    <w:p w:rsidR="00A31137" w:rsidRPr="00A31137" w:rsidRDefault="00A31137" w:rsidP="00A31137">
      <w:r w:rsidRPr="00A31137">
        <w:t xml:space="preserve">• </w:t>
      </w:r>
      <w:r w:rsidRPr="00A31137">
        <w:tab/>
        <w:t xml:space="preserve">We have been tough on white-collar crime, too. We have filed more criminal anti-trust cases than the previous Administration. [p.48] </w:t>
      </w:r>
    </w:p>
    <w:p w:rsidR="00A31137" w:rsidRPr="00A31137" w:rsidRDefault="00A31137" w:rsidP="00A31137">
      <w:r w:rsidRPr="00A31137">
        <w:t>•</w:t>
      </w:r>
      <w:r w:rsidRPr="00A31137">
        <w:tab/>
        <w:t xml:space="preserve"> We pushed a historic reform of toughened sentencing procedures for federal courts to make the punishment fit the crime.</w:t>
      </w:r>
    </w:p>
    <w:p w:rsidR="00A31137" w:rsidRPr="00A31137" w:rsidRDefault="00A31137" w:rsidP="00A31137">
      <w:r w:rsidRPr="00A31137">
        <w:t xml:space="preserve">• </w:t>
      </w:r>
      <w:r w:rsidRPr="00A31137">
        <w:tab/>
        <w:t>We appointed to the courts judges who have been sensitive to the rights of victims and law abiding citizens.</w:t>
      </w:r>
    </w:p>
    <w:p w:rsidR="00A31137" w:rsidRPr="00A31137" w:rsidRDefault="00A31137" w:rsidP="00A31137">
      <w:r w:rsidRPr="00A31137">
        <w:t>1988 Republican Platform, p.48</w:t>
      </w:r>
    </w:p>
    <w:p w:rsidR="00A31137" w:rsidRPr="00A31137" w:rsidRDefault="00A31137" w:rsidP="00A31137">
      <w:r w:rsidRPr="00A31137">
        <w:t>We will forge ahead with the Republican anti-crime agenda:</w:t>
      </w:r>
    </w:p>
    <w:p w:rsidR="00A31137" w:rsidRPr="00A31137" w:rsidRDefault="00A31137" w:rsidP="00A31137">
      <w:r w:rsidRPr="00A31137">
        <w:t>1988 Republican Platform, p.48</w:t>
      </w:r>
    </w:p>
    <w:p w:rsidR="00A31137" w:rsidRPr="00A31137" w:rsidRDefault="00A31137" w:rsidP="00A31137">
      <w:r w:rsidRPr="00A31137">
        <w:t xml:space="preserve">• </w:t>
      </w:r>
      <w:r w:rsidRPr="00A31137">
        <w:tab/>
        <w:t>We must never allow the presidency and the Department of Justice to fall into the hands of those who coddle hardened criminals. Republicans oppose furloughs for those criminals convicted of first degree murder and others who are serving a life sentence without possibility of parole. We believe that victims' rights should not be accorded less importance than those of convicted felons.</w:t>
      </w:r>
    </w:p>
    <w:p w:rsidR="00A31137" w:rsidRPr="00A31137" w:rsidRDefault="00A31137" w:rsidP="00A31137">
      <w:r w:rsidRPr="00A31137">
        <w:t xml:space="preserve">• </w:t>
      </w:r>
      <w:r w:rsidRPr="00A31137">
        <w:tab/>
        <w:t>We will reestablish the federal death penalty.</w:t>
      </w:r>
    </w:p>
    <w:p w:rsidR="00A31137" w:rsidRPr="00A31137" w:rsidRDefault="00A31137" w:rsidP="00A31137">
      <w:r w:rsidRPr="00A31137">
        <w:t xml:space="preserve">• </w:t>
      </w:r>
      <w:r w:rsidRPr="00A31137">
        <w:tab/>
        <w:t>We will reform the exclusionary rule, to prevent the release of guilty felons on technicalities.</w:t>
      </w:r>
    </w:p>
    <w:p w:rsidR="00A31137" w:rsidRPr="00A31137" w:rsidRDefault="00A31137" w:rsidP="00A31137">
      <w:r w:rsidRPr="00A31137">
        <w:t xml:space="preserve">• </w:t>
      </w:r>
      <w:r w:rsidRPr="00A31137">
        <w:tab/>
        <w:t>We will reform cumbersome habeas corpus procedures, used to delay cases and prevent punishment of the guilty.</w:t>
      </w:r>
    </w:p>
    <w:p w:rsidR="00A31137" w:rsidRPr="00A31137" w:rsidRDefault="00A31137" w:rsidP="00A31137">
      <w:r w:rsidRPr="00A31137">
        <w:t xml:space="preserve">• </w:t>
      </w:r>
      <w:r w:rsidRPr="00A31137">
        <w:tab/>
        <w:t>We support State laws implementing preventive detention to allow courts to deny bail to those considered dangerous and likely to commit additional crimes.</w:t>
      </w:r>
    </w:p>
    <w:p w:rsidR="00A31137" w:rsidRPr="00A31137" w:rsidRDefault="00A31137" w:rsidP="00A31137">
      <w:r w:rsidRPr="00A31137">
        <w:t>1988 Republican Platform, p.48</w:t>
      </w:r>
    </w:p>
    <w:p w:rsidR="00A31137" w:rsidRPr="00A31137" w:rsidRDefault="00A31137" w:rsidP="00A31137">
      <w:r w:rsidRPr="00A31137">
        <w:t>The election of 1988 will determine which way our country deals with crime. A Republican President and a Republican Congress can lay the foundation for a safer future.</w:t>
      </w:r>
    </w:p>
    <w:p w:rsidR="00A31137" w:rsidRPr="00A31137" w:rsidRDefault="00A31137" w:rsidP="00A31137">
      <w:r w:rsidRPr="00A31137">
        <w:t>Drug-Free America</w:t>
      </w:r>
    </w:p>
    <w:p w:rsidR="00A31137" w:rsidRPr="00A31137" w:rsidRDefault="00A31137" w:rsidP="00A31137">
      <w:r w:rsidRPr="00A31137">
        <w:t>1988 Republican Platform, p.48</w:t>
      </w:r>
    </w:p>
    <w:p w:rsidR="00A31137" w:rsidRPr="00A31137" w:rsidRDefault="00A31137" w:rsidP="00A31137">
      <w:r w:rsidRPr="00A31137">
        <w:t>The Republican Party is committed to a drug-free America. Our policy is strict accountability, for users of illegal drugs as well as for those who profit by that usage.</w:t>
      </w:r>
    </w:p>
    <w:p w:rsidR="00A31137" w:rsidRPr="00A31137" w:rsidRDefault="00A31137" w:rsidP="00A31137">
      <w:r w:rsidRPr="00A31137">
        <w:t>1988 Republican Platform, p.48</w:t>
      </w:r>
    </w:p>
    <w:p w:rsidR="00A31137" w:rsidRPr="00A31137" w:rsidRDefault="00A31137" w:rsidP="00A31137">
      <w:r w:rsidRPr="00A31137">
        <w:t>The drug epidemic didn't just happen. It was fueled by the liberal attitudes of the 1960s and 1970s that tolerated drug usage. Drug abuse directly threatens the fabric of our society. It is part of a worldwide narcotics empire whose $300 billion business makes it one of the largest industries on earth.</w:t>
      </w:r>
    </w:p>
    <w:p w:rsidR="00A31137" w:rsidRPr="00A31137" w:rsidRDefault="00A31137" w:rsidP="00A31137">
      <w:r w:rsidRPr="00A31137">
        <w:t>1988 Republican Platform, p.48</w:t>
      </w:r>
    </w:p>
    <w:p w:rsidR="00A31137" w:rsidRPr="00A31137" w:rsidRDefault="00A31137" w:rsidP="00A31137">
      <w:r w:rsidRPr="00A31137">
        <w:t>The Reagan-Bush Administration has set out to destroy it. In the past six years, federal drug arrests have increased by two-thirds. Compared to 1980, two and a half times as many drug offenders were sent to prison in [p.49] 1987. Federal spending for drug enforcement programs more than tripled in the last seven years. And we have broken new ground by enlisting U.S. intelligence agencies in the fight against drug trafficking.</w:t>
      </w:r>
    </w:p>
    <w:p w:rsidR="00A31137" w:rsidRPr="00A31137" w:rsidRDefault="00A31137" w:rsidP="00A31137">
      <w:r w:rsidRPr="00A31137">
        <w:t>1988 Republican Platform, p.49</w:t>
      </w:r>
    </w:p>
    <w:p w:rsidR="00A31137" w:rsidRPr="00A31137" w:rsidRDefault="00A31137" w:rsidP="00A31137">
      <w:r w:rsidRPr="00A31137">
        <w:t>Drug usage in our armed forces has plummeted as a direct result of an aggressive education and random testing program. In 1983, we instituted random drug testing in the Coast Guard. At that time, 10.3 percent of the tests showed positive drug usage. As a result of this testing program, the positive usage rate fell dramatically to 2.9 percent in 1987. The Reagan-Bush Administration has also undertaken efforts to insure that all those in safety related positions in our transportation system are covered by similar drug testing requirements. We commend this effort.</w:t>
      </w:r>
    </w:p>
    <w:p w:rsidR="00A31137" w:rsidRPr="00A31137" w:rsidRDefault="00A31137" w:rsidP="00A31137">
      <w:r w:rsidRPr="00A31137">
        <w:t>1988 Republican Platform, p.49</w:t>
      </w:r>
    </w:p>
    <w:p w:rsidR="00A31137" w:rsidRPr="00A31137" w:rsidRDefault="00A31137" w:rsidP="00A31137">
      <w:r w:rsidRPr="00A31137">
        <w:t>We are determined to finish the job:</w:t>
      </w:r>
    </w:p>
    <w:p w:rsidR="00A31137" w:rsidRPr="00A31137" w:rsidRDefault="00A31137" w:rsidP="00A31137">
      <w:r w:rsidRPr="00A31137">
        <w:t xml:space="preserve">• </w:t>
      </w:r>
      <w:r w:rsidRPr="00A31137">
        <w:tab/>
        <w:t>The Republican Party unequivocally opposes legalizing or de-criminalizing any illicit drug.</w:t>
      </w:r>
    </w:p>
    <w:p w:rsidR="00A31137" w:rsidRPr="00A31137" w:rsidRDefault="00A31137" w:rsidP="00A31137">
      <w:r w:rsidRPr="00A31137">
        <w:t xml:space="preserve">• </w:t>
      </w:r>
      <w:r w:rsidRPr="00A31137">
        <w:tab/>
        <w:t>We support strong penalties, including the death penalty for major drug traffickers.</w:t>
      </w:r>
    </w:p>
    <w:p w:rsidR="00A31137" w:rsidRPr="00A31137" w:rsidRDefault="00A31137" w:rsidP="00A31137">
      <w:r w:rsidRPr="00A31137">
        <w:t xml:space="preserve">• </w:t>
      </w:r>
      <w:r w:rsidRPr="00A31137">
        <w:tab/>
        <w:t>User accountability for drug usage is long overdue. Conviction for any drug crime should make the offender ineligible for discretionary federal assistance, grants, loans, and contracts for a period of time.</w:t>
      </w:r>
    </w:p>
    <w:p w:rsidR="00A31137" w:rsidRPr="00A31137" w:rsidRDefault="00A31137" w:rsidP="00A31137">
      <w:r w:rsidRPr="00A31137">
        <w:t xml:space="preserve">• </w:t>
      </w:r>
      <w:r w:rsidRPr="00A31137">
        <w:tab/>
        <w:t>To impress young Americans with the seriousness of our fight against drugs, we urge States to suspend eligibility for a driver's license to anyone convicted of a drug offense.</w:t>
      </w:r>
    </w:p>
    <w:p w:rsidR="00A31137" w:rsidRPr="00A31137" w:rsidRDefault="00A31137" w:rsidP="00A31137">
      <w:r w:rsidRPr="00A31137">
        <w:t xml:space="preserve">• </w:t>
      </w:r>
      <w:r w:rsidRPr="00A31137">
        <w:tab/>
        <w:t>We urge school districts to get tough on illegal drug use by notifying parents and police whenever it is discovered.</w:t>
      </w:r>
    </w:p>
    <w:p w:rsidR="00A31137" w:rsidRPr="00A31137" w:rsidRDefault="00A31137" w:rsidP="00A31137">
      <w:r w:rsidRPr="00A31137">
        <w:t xml:space="preserve">• </w:t>
      </w:r>
      <w:r w:rsidRPr="00A31137">
        <w:tab/>
        <w:t>We will encourage tougher penalties for those who use children in illegal narcotics operations.</w:t>
      </w:r>
    </w:p>
    <w:p w:rsidR="00A31137" w:rsidRPr="00A31137" w:rsidRDefault="00A31137" w:rsidP="00A31137">
      <w:r w:rsidRPr="00A31137">
        <w:t xml:space="preserve">• </w:t>
      </w:r>
      <w:r w:rsidRPr="00A31137">
        <w:tab/>
        <w:t>We will require federal contractors and grantees to establish a drug-free work place with the goal that no American will have to work around drug abuse.</w:t>
      </w:r>
    </w:p>
    <w:p w:rsidR="00A31137" w:rsidRPr="00A31137" w:rsidRDefault="00A31137" w:rsidP="00A31137">
      <w:r w:rsidRPr="00A31137">
        <w:t xml:space="preserve">• </w:t>
      </w:r>
      <w:r w:rsidRPr="00A31137">
        <w:tab/>
        <w:t>We will suspend passports from those convicted of major drug offenses.</w:t>
      </w:r>
    </w:p>
    <w:p w:rsidR="00A31137" w:rsidRPr="00A31137" w:rsidRDefault="00A31137" w:rsidP="00A31137">
      <w:r w:rsidRPr="00A31137">
        <w:t xml:space="preserve">• </w:t>
      </w:r>
      <w:r w:rsidRPr="00A31137">
        <w:tab/>
        <w:t xml:space="preserve">To protect residents of public housing, we will evict persons dealing in drugs. We will foster resident review committees to screen out drug abusers and dealers. We will promote tenant management as the surest cure for the drug plague in public projects. [p.50] </w:t>
      </w:r>
    </w:p>
    <w:p w:rsidR="00A31137" w:rsidRPr="00A31137" w:rsidRDefault="00A31137" w:rsidP="00A31137">
      <w:r w:rsidRPr="00A31137">
        <w:t>•</w:t>
      </w:r>
      <w:r w:rsidRPr="00A31137">
        <w:tab/>
        <w:t>We will strengthen interdiction of foreign drugs and expand the military's role in stopping traffickers.</w:t>
      </w:r>
    </w:p>
    <w:p w:rsidR="00A31137" w:rsidRPr="00A31137" w:rsidRDefault="00A31137" w:rsidP="00A31137">
      <w:r w:rsidRPr="00A31137">
        <w:t xml:space="preserve">• </w:t>
      </w:r>
      <w:r w:rsidRPr="00A31137">
        <w:tab/>
        <w:t>We will work with foreign governments to eradicate drug crops in their countries.</w:t>
      </w:r>
    </w:p>
    <w:p w:rsidR="00A31137" w:rsidRPr="00A31137" w:rsidRDefault="00A31137" w:rsidP="00A31137">
      <w:r w:rsidRPr="00A31137">
        <w:t xml:space="preserve">• </w:t>
      </w:r>
      <w:r w:rsidRPr="00A31137">
        <w:tab/>
        <w:t>In a summit of Western Hemisphere nations, we will seek total cooperation from other governments in wiping out the international drug empire.</w:t>
      </w:r>
    </w:p>
    <w:p w:rsidR="00A31137" w:rsidRPr="00A31137" w:rsidRDefault="00A31137" w:rsidP="00A31137">
      <w:r w:rsidRPr="00A31137">
        <w:t xml:space="preserve">• </w:t>
      </w:r>
      <w:r w:rsidRPr="00A31137">
        <w:tab/>
        <w:t>In addition to our enforcement activities, we encourage drug education in our schools. These programs should begin as early as the elementary school years, before children are subjected to peer pressure to experiment with drugs, and should continue through high school. Cutting down on the demand for drugs will be of great assistance as we increase our enforcement efforts to reduce drug supply.</w:t>
      </w:r>
    </w:p>
    <w:p w:rsidR="00A31137" w:rsidRPr="00A31137" w:rsidRDefault="00A31137" w:rsidP="00A31137">
      <w:r w:rsidRPr="00A31137">
        <w:t xml:space="preserve">• </w:t>
      </w:r>
      <w:r w:rsidRPr="00A31137">
        <w:tab/>
        <w:t>We will encourage seizure and forfeiture programs by the Department of the Treasury and each State to take the profits out of illicit drug sales.</w:t>
      </w:r>
    </w:p>
    <w:p w:rsidR="00A31137" w:rsidRPr="00A31137" w:rsidRDefault="00A31137" w:rsidP="00A31137">
      <w:r w:rsidRPr="00A31137">
        <w:t>1988 Republican Platform, p.50</w:t>
      </w:r>
    </w:p>
    <w:p w:rsidR="00A31137" w:rsidRPr="00A31137" w:rsidRDefault="00A31137" w:rsidP="00A31137">
      <w:r w:rsidRPr="00A31137">
        <w:t>We commend our fellow citizens who are actively joining the war against drugs. Drug dealers are domestic terrorists, and we salute the heroic residents of poor neighborhoods who have boldly shut down crack houses and run traffickers out of their communities.</w:t>
      </w:r>
    </w:p>
    <w:p w:rsidR="00A31137" w:rsidRPr="00A31137" w:rsidRDefault="00A31137" w:rsidP="00A31137">
      <w:r w:rsidRPr="00A31137">
        <w:t>1988 Republican Platform, p.50</w:t>
      </w:r>
    </w:p>
    <w:p w:rsidR="00A31137" w:rsidRPr="00A31137" w:rsidRDefault="00A31137" w:rsidP="00A31137">
      <w:r w:rsidRPr="00A31137">
        <w:t>We recognize the need to improve the availability of drug rehabilitation and treatment.</w:t>
      </w:r>
    </w:p>
    <w:p w:rsidR="00A31137" w:rsidRPr="00A31137" w:rsidRDefault="00A31137" w:rsidP="00A31137">
      <w:r w:rsidRPr="00A31137">
        <w:t>1988 Republican Platform, p.50</w:t>
      </w:r>
    </w:p>
    <w:p w:rsidR="00A31137" w:rsidRPr="00A31137" w:rsidRDefault="00A31137" w:rsidP="00A31137">
      <w:r w:rsidRPr="00A31137">
        <w:t>There's a bright side to the picture. We know the most powerful deterrent to drug abuse: strong, stable family life, along with the absolute approach summed up in "Just Say No." Nancy Reagan has made that phrase the battle-cry of the war against drugs, and it is echoed by more than 10,000 Just Say No clubs. We salute her for pointing the way to our nation's drug-free future.</w:t>
      </w:r>
    </w:p>
    <w:p w:rsidR="00A31137" w:rsidRPr="00A31137" w:rsidRDefault="00A31137" w:rsidP="00A31137">
      <w:r w:rsidRPr="00A31137">
        <w:t>Opportunity and Assistance</w:t>
      </w:r>
    </w:p>
    <w:p w:rsidR="00A31137" w:rsidRPr="00A31137" w:rsidRDefault="00A31137" w:rsidP="00A31137">
      <w:r w:rsidRPr="00A31137">
        <w:t>1988 Republican Platform, p.50</w:t>
      </w:r>
    </w:p>
    <w:p w:rsidR="00A31137" w:rsidRPr="00A31137" w:rsidRDefault="00A31137" w:rsidP="00A31137">
      <w:r w:rsidRPr="00A31137">
        <w:t>Our country's economic miracle of the last eight years has been the most successful assault on poverty in our era. Millions of families have worked their way into the mainstream of national life. The poverty rate continues to decline. However, many remain in poverty, and we pledge to help them in their straggle for self-sufficiency and independence.</w:t>
      </w:r>
    </w:p>
    <w:p w:rsidR="00A31137" w:rsidRPr="00A31137" w:rsidRDefault="00A31137" w:rsidP="00A31137">
      <w:r w:rsidRPr="00A31137">
        <w:t>1988 Republican Platform, p.50</w:t>
      </w:r>
    </w:p>
    <w:p w:rsidR="00A31137" w:rsidRPr="00A31137" w:rsidRDefault="00A31137" w:rsidP="00A31137">
      <w:r w:rsidRPr="00A31137">
        <w:t>For most of our country's history, helping those less fortunate was a [p.51] community responsibility. Strong families pulled together, and strong communities cared for those in need. That is more than a description of the past. It is a prescription for the future, pointing the way toward real reform of today's welfare mess through these Republican principles:</w:t>
      </w:r>
    </w:p>
    <w:p w:rsidR="00A31137" w:rsidRPr="00A31137" w:rsidRDefault="00A31137" w:rsidP="00A31137">
      <w:r w:rsidRPr="00A31137">
        <w:t xml:space="preserve">• </w:t>
      </w:r>
      <w:r w:rsidRPr="00A31137">
        <w:tab/>
        <w:t>We support the maintenance of income assistance programs for those who cannot work. In particular, we recognize our responsibility to ensure a decent standard of living for the aged, the disabled, and children dependent upon the community.</w:t>
      </w:r>
    </w:p>
    <w:p w:rsidR="00A31137" w:rsidRPr="00A31137" w:rsidRDefault="00A31137" w:rsidP="00A31137">
      <w:r w:rsidRPr="00A31137">
        <w:t xml:space="preserve">• </w:t>
      </w:r>
      <w:r w:rsidRPr="00A31137">
        <w:tab/>
        <w:t>Poverty can be addressed by income assistance or in-kind services. Dependency, on the other hand, requires a comprehensive strategy to change patterns of attitude and behavior. We will work to address both poverty and dependency.</w:t>
      </w:r>
    </w:p>
    <w:p w:rsidR="00A31137" w:rsidRPr="00A31137" w:rsidRDefault="00A31137" w:rsidP="00A31137">
      <w:r w:rsidRPr="00A31137">
        <w:t xml:space="preserve">• </w:t>
      </w:r>
      <w:r w:rsidRPr="00A31137">
        <w:tab/>
        <w:t>Work is an essential component of welfare reform, and education is an essential component of employability. Welfare reform must require participation in education and work, and provide day care assistance and continued access to Medicaid during the transition to full independence.</w:t>
      </w:r>
    </w:p>
    <w:p w:rsidR="00A31137" w:rsidRPr="00A31137" w:rsidRDefault="00A31137" w:rsidP="00A31137">
      <w:r w:rsidRPr="00A31137">
        <w:t xml:space="preserve">• </w:t>
      </w:r>
      <w:r w:rsidRPr="00A31137">
        <w:tab/>
        <w:t>Fathers of welfare dependent children must be held accountable by mandating paternity determinations and requiring the participation of unemployed fathers in education and work programs.</w:t>
      </w:r>
    </w:p>
    <w:p w:rsidR="00A31137" w:rsidRPr="00A31137" w:rsidRDefault="00A31137" w:rsidP="00A31137">
      <w:r w:rsidRPr="00A31137">
        <w:t xml:space="preserve">• </w:t>
      </w:r>
      <w:r w:rsidRPr="00A31137">
        <w:tab/>
        <w:t>State and local administration of education, work, and welfare programs is best for both the taxpayers and those in need.</w:t>
      </w:r>
    </w:p>
    <w:p w:rsidR="00A31137" w:rsidRPr="00A31137" w:rsidRDefault="00A31137" w:rsidP="00A31137">
      <w:r w:rsidRPr="00A31137">
        <w:t xml:space="preserve">• </w:t>
      </w:r>
      <w:r w:rsidRPr="00A31137">
        <w:tab/>
        <w:t>State and local pilot programs in welfare are the cutting edge of welfare reform. States should be granted the authority by the federal government to pursue innovative programs which return teen mothers to school and welfare recipients to work. Congressional Democrats are blocking the expansion of this vital process. A Republican Congress will give the States authority to meet local needs.</w:t>
      </w:r>
    </w:p>
    <w:p w:rsidR="00A31137" w:rsidRPr="00A31137" w:rsidRDefault="00A31137" w:rsidP="00A31137">
      <w:r w:rsidRPr="00A31137">
        <w:t xml:space="preserve">• </w:t>
      </w:r>
      <w:r w:rsidRPr="00A31137">
        <w:tab/>
        <w:t>Welfare fraud is an offense against both the taxpayers and the poor. Whether perpetrated by participants or providers of services its eradication is an essential component of a compassionate welfare policy.</w:t>
      </w:r>
    </w:p>
    <w:p w:rsidR="00A31137" w:rsidRPr="00A31137" w:rsidRDefault="00A31137" w:rsidP="00A31137">
      <w:r w:rsidRPr="00A31137">
        <w:t>1988 Republican Platform, p.51</w:t>
      </w:r>
    </w:p>
    <w:p w:rsidR="00A31137" w:rsidRPr="00A31137" w:rsidRDefault="00A31137" w:rsidP="00A31137">
      <w:r w:rsidRPr="00A31137">
        <w:t>We are committed to assisting those in need. We are equally committed to addressing the root causes of poverty. Divorce, desertion, and illegitimacy have been responsible for almost all the increase in child poverty in [p.52] the last 15 years. Because strong family life is the most remarkable anti-poverty force in history, Republicans will make the reinforcement of family rights and responsibilities an essential component of public policy. Stronger enforcement of child support laws must be an important part of that effort, along with the revision of State laws which have left many women and children vulnerable to economic distress.</w:t>
      </w:r>
    </w:p>
    <w:p w:rsidR="00A31137" w:rsidRPr="00A31137" w:rsidRDefault="00A31137" w:rsidP="00A31137">
      <w:r w:rsidRPr="00A31137">
        <w:t>1988 Republican Platform, p.52</w:t>
      </w:r>
    </w:p>
    <w:p w:rsidR="00A31137" w:rsidRPr="00A31137" w:rsidRDefault="00A31137" w:rsidP="00A31137">
      <w:r w:rsidRPr="00A31137">
        <w:t>Children in poverty deserve our strongest support. We are committed to safer neighborhoods and full prosecution for child abuse and exploitation. We will reach out to these children through Head Start and targeted education, basic health and nutrition assistance, local community efforts and individual concern. But something more is required to fulfill the hope for self-sufficiency: a job in an expanding economy. The compassionate policy for children in need is the chance for families to stand on their own feet in a society filled with opportunity.</w:t>
      </w:r>
    </w:p>
    <w:p w:rsidR="00A31137" w:rsidRPr="00A31137" w:rsidRDefault="00A31137" w:rsidP="00A31137">
      <w:r w:rsidRPr="00A31137">
        <w:t>1988 Republican Platform, p.52</w:t>
      </w:r>
    </w:p>
    <w:p w:rsidR="00A31137" w:rsidRPr="00A31137" w:rsidRDefault="00A31137" w:rsidP="00A31137">
      <w:r w:rsidRPr="00A31137">
        <w:t>Fighting poverty means much more than distributing cash. It includes education and work programs. It means reducing illiteracy, the single greatest indicator of life-long poverty. It involves combatting crime so that the homes and earnings of the poor are secure. It includes Republican reforms in public housing, like resident management and ownership. It requires regulatory reforms to open up opportunities for those on the margins of the work force. It means streamlining adoption rules and ensuring poor parents a real say in their children's education. Above all, it means maintaining a strong, healthy economy that creates jobs.</w:t>
      </w:r>
    </w:p>
    <w:p w:rsidR="00A31137" w:rsidRPr="00A31137" w:rsidRDefault="00A31137" w:rsidP="00A31137">
      <w:r w:rsidRPr="00A31137">
        <w:t>Urban Revitalization</w:t>
      </w:r>
    </w:p>
    <w:p w:rsidR="00A31137" w:rsidRPr="00A31137" w:rsidRDefault="00A31137" w:rsidP="00A31137">
      <w:r w:rsidRPr="00A31137">
        <w:t>1988 Republican Platform, p.52</w:t>
      </w:r>
    </w:p>
    <w:p w:rsidR="00A31137" w:rsidRPr="00A31137" w:rsidRDefault="00A31137" w:rsidP="00A31137">
      <w:r w:rsidRPr="00A31137">
        <w:t>Urban America is center stage of our country's future. That is why we address its problems and potential throughout this platform, rather than limiting our concern to a particular section. In doing so, Republicans follow three broad principles:</w:t>
      </w:r>
    </w:p>
    <w:p w:rsidR="00A31137" w:rsidRPr="00A31137" w:rsidRDefault="00A31137" w:rsidP="00A31137">
      <w:r w:rsidRPr="00A31137">
        <w:t xml:space="preserve">• </w:t>
      </w:r>
      <w:r w:rsidRPr="00A31137">
        <w:tab/>
        <w:t xml:space="preserve">Economic growth is the most important urban program. Because we cut taxes, a new prosperity has transformed many towns and cities. Because we forced down inflation, cities pay much lower bond rates. Because we created 17.5 million new jobs through a thriving economy, millions of urban residents have seized the opportunity to escape welfare and unemployment. Because we slashed regulatory burdens, enterprise is transforming areas untouched by government programs of past years. [p.53] </w:t>
      </w:r>
    </w:p>
    <w:p w:rsidR="00A31137" w:rsidRPr="00A31137" w:rsidRDefault="00A31137" w:rsidP="00A31137">
      <w:r w:rsidRPr="00A31137">
        <w:t xml:space="preserve">• </w:t>
      </w:r>
      <w:r w:rsidRPr="00A31137">
        <w:tab/>
        <w:t>Local control is the best form of administration. That's why we merged federal programs into block grants for community development and housing.</w:t>
      </w:r>
    </w:p>
    <w:p w:rsidR="00A31137" w:rsidRPr="00A31137" w:rsidRDefault="00A31137" w:rsidP="00A31137">
      <w:r w:rsidRPr="00A31137">
        <w:t xml:space="preserve">• </w:t>
      </w:r>
      <w:r w:rsidRPr="00A31137">
        <w:tab/>
        <w:t>Citizen choice is the key to successful government. Options in education empower parents and attract new residents. Options in public housing transform slums into real communities, bustling with enterprise and hope.</w:t>
      </w:r>
    </w:p>
    <w:p w:rsidR="00A31137" w:rsidRPr="00A31137" w:rsidRDefault="00A31137" w:rsidP="00A31137">
      <w:r w:rsidRPr="00A31137">
        <w:t>1988 Republican Platform, p.53</w:t>
      </w:r>
    </w:p>
    <w:p w:rsidR="00A31137" w:rsidRPr="00A31137" w:rsidRDefault="00A31137" w:rsidP="00A31137">
      <w:r w:rsidRPr="00A31137">
        <w:t>Building on those principles, Republicans will advance our urban opportunity agenda which includes:</w:t>
      </w:r>
    </w:p>
    <w:p w:rsidR="00A31137" w:rsidRPr="00A31137" w:rsidRDefault="00A31137" w:rsidP="00A31137">
      <w:r w:rsidRPr="00A31137">
        <w:t xml:space="preserve">• </w:t>
      </w:r>
      <w:r w:rsidRPr="00A31137">
        <w:tab/>
        <w:t>Enterprise zones, where tax incentives and regulatory reforms open the way for creating jobs and rebuilding neighborhoods from the ground up which have been blocked by the Democrats in Congress.</w:t>
      </w:r>
    </w:p>
    <w:p w:rsidR="00A31137" w:rsidRPr="00A31137" w:rsidRDefault="00A31137" w:rsidP="00A31137">
      <w:r w:rsidRPr="00A31137">
        <w:t xml:space="preserve">• </w:t>
      </w:r>
      <w:r w:rsidRPr="00A31137">
        <w:tab/>
        <w:t>Resident control—both management and ownership—of public housing, with a goal of transferring one-third of the country's public housing space to tenants by 1995.</w:t>
      </w:r>
    </w:p>
    <w:p w:rsidR="00A31137" w:rsidRPr="00A31137" w:rsidRDefault="00A31137" w:rsidP="00A31137">
      <w:r w:rsidRPr="00A31137">
        <w:t xml:space="preserve">• </w:t>
      </w:r>
      <w:r w:rsidRPr="00A31137">
        <w:tab/>
        <w:t>Urban homesteading and other programs to ensure affordable housing opportunities in our cities.</w:t>
      </w:r>
    </w:p>
    <w:p w:rsidR="00A31137" w:rsidRPr="00A31137" w:rsidRDefault="00A31137" w:rsidP="00A31137">
      <w:r w:rsidRPr="00A31137">
        <w:t xml:space="preserve">• </w:t>
      </w:r>
      <w:r w:rsidRPr="00A31137">
        <w:tab/>
        <w:t>Emergency waiver of Davis-Bacon wage requirements for cities with severe deterioration of the public infrastructure.</w:t>
      </w:r>
    </w:p>
    <w:p w:rsidR="00A31137" w:rsidRPr="00A31137" w:rsidRDefault="00A31137" w:rsidP="00A31137">
      <w:r w:rsidRPr="00A31137">
        <w:t xml:space="preserve">• </w:t>
      </w:r>
      <w:r w:rsidRPr="00A31137">
        <w:tab/>
        <w:t>Contracting out public services to workers in the private sector.</w:t>
      </w:r>
    </w:p>
    <w:p w:rsidR="00A31137" w:rsidRPr="00A31137" w:rsidRDefault="00A31137" w:rsidP="00A31137">
      <w:r w:rsidRPr="00A31137">
        <w:t xml:space="preserve">• </w:t>
      </w:r>
      <w:r w:rsidRPr="00A31137">
        <w:tab/>
        <w:t>Education assistance directed to low-income households instead of aid to institutions that fail to meet their needs.</w:t>
      </w:r>
    </w:p>
    <w:p w:rsidR="00A31137" w:rsidRPr="00A31137" w:rsidRDefault="00A31137" w:rsidP="00A31137">
      <w:r w:rsidRPr="00A31137">
        <w:t xml:space="preserve">• </w:t>
      </w:r>
      <w:r w:rsidRPr="00A31137">
        <w:tab/>
        <w:t>Continued reduction in crime rates, especially street crime and the violence that destroys community life.</w:t>
      </w:r>
    </w:p>
    <w:p w:rsidR="00A31137" w:rsidRPr="00A31137" w:rsidRDefault="00A31137" w:rsidP="00A31137">
      <w:r w:rsidRPr="00A31137">
        <w:t xml:space="preserve">• </w:t>
      </w:r>
      <w:r w:rsidRPr="00A31137">
        <w:tab/>
        <w:t>Unrelenting war on drugs.</w:t>
      </w:r>
    </w:p>
    <w:p w:rsidR="00A31137" w:rsidRPr="00A31137" w:rsidRDefault="00A31137" w:rsidP="00A31137">
      <w:r w:rsidRPr="00A31137">
        <w:t xml:space="preserve">• </w:t>
      </w:r>
      <w:r w:rsidRPr="00A31137">
        <w:tab/>
        <w:t>Greater control by local government in federally assisted programs, especially transportation and housing.</w:t>
      </w:r>
    </w:p>
    <w:p w:rsidR="00A31137" w:rsidRPr="00A31137" w:rsidRDefault="00A31137" w:rsidP="00A31137">
      <w:r w:rsidRPr="00A31137">
        <w:t xml:space="preserve">• </w:t>
      </w:r>
      <w:r w:rsidRPr="00A31137">
        <w:tab/>
        <w:t>Steady environmental progress to ensure clean air and clean water to our cities and assist local governments in solving their solid waste disposal problems in order to make our cities safe and healthy places to live.</w:t>
      </w:r>
    </w:p>
    <w:p w:rsidR="00A31137" w:rsidRPr="00A31137" w:rsidRDefault="00A31137" w:rsidP="00A31137">
      <w:r w:rsidRPr="00A31137">
        <w:t xml:space="preserve">• </w:t>
      </w:r>
      <w:r w:rsidRPr="00A31137">
        <w:tab/>
        <w:t xml:space="preserve">Special attention to urban residents in the national census, to ensure that cities are not shortchanged in federal representation or in federal programs based upon population. [p.54] </w:t>
      </w:r>
    </w:p>
    <w:p w:rsidR="00A31137" w:rsidRPr="00A31137" w:rsidRDefault="00A31137" w:rsidP="00A31137">
      <w:r w:rsidRPr="00A31137">
        <w:t>Rural Community Development and the Family Farm</w:t>
      </w:r>
    </w:p>
    <w:p w:rsidR="00A31137" w:rsidRPr="00A31137" w:rsidRDefault="00A31137" w:rsidP="00A31137">
      <w:r w:rsidRPr="00A31137">
        <w:t>Introduction</w:t>
      </w:r>
    </w:p>
    <w:p w:rsidR="00A31137" w:rsidRPr="00A31137" w:rsidRDefault="00A31137" w:rsidP="00A31137">
      <w:r w:rsidRPr="00A31137">
        <w:t>1988 Republican Platform, p.54</w:t>
      </w:r>
    </w:p>
    <w:p w:rsidR="00A31137" w:rsidRPr="00A31137" w:rsidRDefault="00A31137" w:rsidP="00A31137">
      <w:r w:rsidRPr="00A31137">
        <w:t>Republicans see a robust future for American agriculture. Rural America is our country's heartland and pillar of economic and moral strength. From its small towns and communities comes more than the world's greatest bounty of food. From them also comes a commitment to the land by a proud and independent people.</w:t>
      </w:r>
    </w:p>
    <w:p w:rsidR="00A31137" w:rsidRPr="00A31137" w:rsidRDefault="00A31137" w:rsidP="00A31137">
      <w:r w:rsidRPr="00A31137">
        <w:t>1988 Republican Platform, p.54</w:t>
      </w:r>
    </w:p>
    <w:p w:rsidR="00A31137" w:rsidRPr="00A31137" w:rsidRDefault="00A31137" w:rsidP="00A31137">
      <w:r w:rsidRPr="00A31137">
        <w:t>For much of this century, the first line of defense against world hunger has been the American farmer and rancher. In the future as in the past, the enterprise of rural Americans will be crucial to the progress of our country and of mankind. The entire nation—and indeed, the world—benefits from their unsurpassed productivity.</w:t>
      </w:r>
    </w:p>
    <w:p w:rsidR="00A31137" w:rsidRPr="00A31137" w:rsidRDefault="00A31137" w:rsidP="00A31137">
      <w:r w:rsidRPr="00A31137">
        <w:t>1988 Republican Platform, p.54</w:t>
      </w:r>
    </w:p>
    <w:p w:rsidR="00A31137" w:rsidRPr="00A31137" w:rsidRDefault="00A31137" w:rsidP="00A31137">
      <w:r w:rsidRPr="00A31137">
        <w:t>When farmers and ranchers face adversity, the communities that depend on them do, too. When farmers' income falls, the earnings of others follow. When agriculture suffers, the tax base and public services of whole regions decline.</w:t>
      </w:r>
    </w:p>
    <w:p w:rsidR="00A31137" w:rsidRPr="00A31137" w:rsidRDefault="00A31137" w:rsidP="00A31137">
      <w:r w:rsidRPr="00A31137">
        <w:t>1988 Republican Platform, p.54</w:t>
      </w:r>
    </w:p>
    <w:p w:rsidR="00A31137" w:rsidRPr="00A31137" w:rsidRDefault="00A31137" w:rsidP="00A31137">
      <w:r w:rsidRPr="00A31137">
        <w:t>That is why the current drought is an emergency for our entire country. It will affect every American: the way we live, the food we eat, the land we cherish. We cannot promise to bring rain, but we can bend every arm of government to provide for the expeditious relief of farmers and ranchers in trouble. We pledge to do so. We will focus assistance on those most seriously hurt by the drought. With strong Republican support in the House and Senate, a major relief bill has been signed by President Reagan.</w:t>
      </w:r>
    </w:p>
    <w:p w:rsidR="00A31137" w:rsidRPr="00A31137" w:rsidRDefault="00A31137" w:rsidP="00A31137">
      <w:r w:rsidRPr="00A31137">
        <w:t>The Record</w:t>
      </w:r>
    </w:p>
    <w:p w:rsidR="00A31137" w:rsidRPr="00A31137" w:rsidRDefault="00A31137" w:rsidP="00A31137">
      <w:r w:rsidRPr="00A31137">
        <w:t>1988 Republican Platform, p.54</w:t>
      </w:r>
    </w:p>
    <w:p w:rsidR="00A31137" w:rsidRPr="00A31137" w:rsidRDefault="00A31137" w:rsidP="00A31137">
      <w:r w:rsidRPr="00A31137">
        <w:t>Some disasters are man-made. In the late 1970s, American agriculture bore the brunt of bad public policy. Long thereafter, farmers suffered the consequences of those four years of devastating Democrat mismanagement. Inflation drove production costs and farm debt to their highest levels in history. To top it off, the Democrats' embargo of grain and other agricultural products dealt a blow to the nation's heartland from which many farmers never recovered.</w:t>
      </w:r>
    </w:p>
    <w:p w:rsidR="00A31137" w:rsidRPr="00A31137" w:rsidRDefault="00A31137" w:rsidP="00A31137">
      <w:r w:rsidRPr="00A31137">
        <w:t>1988 Republican Platform, p.54</w:t>
      </w:r>
    </w:p>
    <w:p w:rsidR="00A31137" w:rsidRPr="00A31137" w:rsidRDefault="00A31137" w:rsidP="00A31137">
      <w:r w:rsidRPr="00A31137">
        <w:t>NEVER AGAIN!</w:t>
      </w:r>
    </w:p>
    <w:p w:rsidR="00A31137" w:rsidRPr="00A31137" w:rsidRDefault="00A31137" w:rsidP="00A31137">
      <w:r w:rsidRPr="00A31137">
        <w:t>1988 Republican Platform, p.54</w:t>
      </w:r>
    </w:p>
    <w:p w:rsidR="00A31137" w:rsidRPr="00A31137" w:rsidRDefault="00A31137" w:rsidP="00A31137">
      <w:r w:rsidRPr="00A31137">
        <w:t>For eight years, Ronald Reagan and George Bush have provided the leadership to turn that situation around. Despite strong Democrat [p.55] opposition, Republicans have made a good beginning. Because of Republican policies, America's farm and rural sector is coming alive again:</w:t>
      </w:r>
    </w:p>
    <w:p w:rsidR="00A31137" w:rsidRPr="00A31137" w:rsidRDefault="00A31137" w:rsidP="00A31137">
      <w:r w:rsidRPr="00A31137">
        <w:t xml:space="preserve">• </w:t>
      </w:r>
      <w:r w:rsidRPr="00A31137">
        <w:tab/>
        <w:t>Inflation, unemployment, and interest rates are at their lowest levels in years. Our dollar exchange rate is more competitive.</w:t>
      </w:r>
    </w:p>
    <w:p w:rsidR="00A31137" w:rsidRPr="00A31137" w:rsidRDefault="00A31137" w:rsidP="00A31137">
      <w:r w:rsidRPr="00A31137">
        <w:t xml:space="preserve">• </w:t>
      </w:r>
      <w:r w:rsidRPr="00A31137">
        <w:tab/>
        <w:t>Land values, the best indicator of farm prospects, have stabilized and are rising in many areas.</w:t>
      </w:r>
    </w:p>
    <w:p w:rsidR="00A31137" w:rsidRPr="00A31137" w:rsidRDefault="00A31137" w:rsidP="00A31137">
      <w:r w:rsidRPr="00A31137">
        <w:t xml:space="preserve">• </w:t>
      </w:r>
      <w:r w:rsidRPr="00A31137">
        <w:tab/>
        <w:t>Farm credit institutions, both public and private, are back on their feet.</w:t>
      </w:r>
    </w:p>
    <w:p w:rsidR="00A31137" w:rsidRPr="00A31137" w:rsidRDefault="00A31137" w:rsidP="00A31137">
      <w:r w:rsidRPr="00A31137">
        <w:t xml:space="preserve">• </w:t>
      </w:r>
      <w:r w:rsidRPr="00A31137">
        <w:tab/>
        <w:t>Farm debt has been reduced from $193 billion in 1983 to a projected $137 billion in 1988.</w:t>
      </w:r>
    </w:p>
    <w:p w:rsidR="00A31137" w:rsidRPr="00A31137" w:rsidRDefault="00A31137" w:rsidP="00A31137">
      <w:r w:rsidRPr="00A31137">
        <w:t xml:space="preserve">• </w:t>
      </w:r>
      <w:r w:rsidRPr="00A31137">
        <w:tab/>
        <w:t>Net farm income increased to its highest level ever in 1987, reaching $46 billion, while net cash income was also a record at $57 billion.</w:t>
      </w:r>
    </w:p>
    <w:p w:rsidR="00A31137" w:rsidRPr="00A31137" w:rsidRDefault="00A31137" w:rsidP="00A31137">
      <w:r w:rsidRPr="00A31137">
        <w:t xml:space="preserve">• </w:t>
      </w:r>
      <w:r w:rsidRPr="00A31137">
        <w:tab/>
        <w:t>We have reduced price-depressing surpluses to their lowest levels in many years. Total grain surpluses have been cut in half from their high in 1986.</w:t>
      </w:r>
    </w:p>
    <w:p w:rsidR="00A31137" w:rsidRPr="00A31137" w:rsidRDefault="00A31137" w:rsidP="00A31137">
      <w:r w:rsidRPr="00A31137">
        <w:t>1988 Republican Platform, p.55</w:t>
      </w:r>
    </w:p>
    <w:p w:rsidR="00A31137" w:rsidRPr="00A31137" w:rsidRDefault="00A31137" w:rsidP="00A31137">
      <w:r w:rsidRPr="00A31137">
        <w:t>In summary, increased agricultural exports, higher commodity and livestock prices, increased profits and land values, declining farm debt and surpluses, all these point to a healthier outlook for the rural economy.</w:t>
      </w:r>
    </w:p>
    <w:p w:rsidR="00A31137" w:rsidRPr="00A31137" w:rsidRDefault="00A31137" w:rsidP="00A31137">
      <w:r w:rsidRPr="00A31137">
        <w:t>1988 Republican Platform, p.55</w:t>
      </w:r>
    </w:p>
    <w:p w:rsidR="00A31137" w:rsidRPr="00A31137" w:rsidRDefault="00A31137" w:rsidP="00A31137">
      <w:r w:rsidRPr="00A31137">
        <w:t>The recovery is no accident. Republicans have acted decisively in the interest of rural America. Look at the record:</w:t>
      </w:r>
    </w:p>
    <w:p w:rsidR="00A31137" w:rsidRPr="00A31137" w:rsidRDefault="00A31137" w:rsidP="00A31137">
      <w:r w:rsidRPr="00A31137">
        <w:t>1988 Republican Platform, p.55</w:t>
      </w:r>
    </w:p>
    <w:p w:rsidR="00A31137" w:rsidRPr="00A31137" w:rsidRDefault="00A31137" w:rsidP="00A31137">
      <w:r w:rsidRPr="00A31137">
        <w:t xml:space="preserve">• </w:t>
      </w:r>
      <w:r w:rsidRPr="00A31137">
        <w:tab/>
        <w:t>In 1981, we immediately halted the Democrats' embargo on grain and other agricultural products and kept our pledge always to be a reliable supplier. We now reaffirm our promise never to use food as a weapon as was done by the last Democrat Administration.</w:t>
      </w:r>
    </w:p>
    <w:p w:rsidR="00A31137" w:rsidRPr="00A31137" w:rsidRDefault="00A31137" w:rsidP="00A31137">
      <w:r w:rsidRPr="00A31137">
        <w:t xml:space="preserve">• </w:t>
      </w:r>
      <w:r w:rsidRPr="00A31137">
        <w:tab/>
        <w:t>We have successfully opened more markets for our agricultural commodities and value-added products around the world through competitive pricing, aggressive use of the Export Enhancement Program, the Targeted Export Assistance Program, marketing loans, and generic commodity certificates.</w:t>
      </w:r>
    </w:p>
    <w:p w:rsidR="00A31137" w:rsidRPr="00A31137" w:rsidRDefault="00A31137" w:rsidP="00A31137">
      <w:r w:rsidRPr="00A31137">
        <w:t xml:space="preserve">• </w:t>
      </w:r>
      <w:r w:rsidRPr="00A31137">
        <w:tab/>
        <w:t>Through tough trade negotiations, we have opened markets abroad, including the Japanese beef and citrus markets. Numerous markets for specialty products have also been opened.</w:t>
      </w:r>
    </w:p>
    <w:p w:rsidR="00A31137" w:rsidRPr="00A31137" w:rsidRDefault="00A31137" w:rsidP="00A31137">
      <w:r w:rsidRPr="00A31137">
        <w:t xml:space="preserve">• </w:t>
      </w:r>
      <w:r w:rsidRPr="00A31137">
        <w:tab/>
        <w:t xml:space="preserve">We ended the notorious "widow's tax" so surviving spouses don't have to sell family farms and ranches to meet inheritance taxes. We also reduced other burdensome inheritance taxes for farm and ranch families. [p.56] </w:t>
      </w:r>
    </w:p>
    <w:p w:rsidR="00A31137" w:rsidRPr="00A31137" w:rsidRDefault="00A31137" w:rsidP="00A31137">
      <w:r w:rsidRPr="00A31137">
        <w:t>•</w:t>
      </w:r>
      <w:r w:rsidRPr="00A31137">
        <w:tab/>
        <w:t>In 1985, President Reagan signed one of the most successful farm bills in modern history. The dual goals of protecting farm income while gaining back our lost markets are being achieved.</w:t>
      </w:r>
    </w:p>
    <w:p w:rsidR="00A31137" w:rsidRPr="00A31137" w:rsidRDefault="00A31137" w:rsidP="00A31137">
      <w:r w:rsidRPr="00A31137">
        <w:t xml:space="preserve">• </w:t>
      </w:r>
      <w:r w:rsidRPr="00A31137">
        <w:tab/>
        <w:t>We have given farmers the opportunity to profitably retire millions of acres of erodible and generally less productive land through the Conservation Reserve Program, and we enacted legislation to ensure that taxpayers' dollars will not be used to subsidize soil erosion or otherwise damage the environment that makes rural America a place where people want to live.</w:t>
      </w:r>
    </w:p>
    <w:p w:rsidR="00A31137" w:rsidRPr="00A31137" w:rsidRDefault="00A31137" w:rsidP="00A31137">
      <w:r w:rsidRPr="00A31137">
        <w:t>1988 Republican Platform, p.56</w:t>
      </w:r>
    </w:p>
    <w:p w:rsidR="00A31137" w:rsidRPr="00A31137" w:rsidRDefault="00A31137" w:rsidP="00A31137">
      <w:r w:rsidRPr="00A31137">
        <w:t>The Democrats offer nothing for the future of farming. Their plan for mandatory production controls would make productive and efficient American farmers beat a full-scale retreat from the world market:</w:t>
      </w:r>
    </w:p>
    <w:p w:rsidR="00A31137" w:rsidRPr="00A31137" w:rsidRDefault="00A31137" w:rsidP="00A31137">
      <w:r w:rsidRPr="00A31137">
        <w:t>1988 Republican Platform, p.56</w:t>
      </w:r>
    </w:p>
    <w:p w:rsidR="00A31137" w:rsidRPr="00A31137" w:rsidRDefault="00A31137" w:rsidP="00A31137">
      <w:r w:rsidRPr="00A31137">
        <w:t xml:space="preserve">• </w:t>
      </w:r>
      <w:r w:rsidRPr="00A31137">
        <w:tab/>
        <w:t>It would be a boon to family farms—in Argentina, Brazil, Canada, the European Community, Australia, and other competitor nations.</w:t>
      </w:r>
    </w:p>
    <w:p w:rsidR="00A31137" w:rsidRPr="00A31137" w:rsidRDefault="00A31137" w:rsidP="00A31137">
      <w:r w:rsidRPr="00A31137">
        <w:t xml:space="preserve">• </w:t>
      </w:r>
      <w:r w:rsidRPr="00A31137">
        <w:tab/>
        <w:t>It would pull the plug on rural Americans. It would sound a death-knell for rural towns and cities as land is taken from production. According to a United States Department of Agriculture study, it would reduce Gross National Product by $64 billion and wipe out 2.1 million jobs in the private sector.</w:t>
      </w:r>
    </w:p>
    <w:p w:rsidR="00A31137" w:rsidRPr="00A31137" w:rsidRDefault="00A31137" w:rsidP="00A31137">
      <w:r w:rsidRPr="00A31137">
        <w:t>1988 Republican Platform, p.56</w:t>
      </w:r>
    </w:p>
    <w:p w:rsidR="00A31137" w:rsidRPr="00A31137" w:rsidRDefault="00A31137" w:rsidP="00A31137">
      <w:r w:rsidRPr="00A31137">
        <w:t>In short, Democrats want to put farmers on welfare while Republicans want to look after the welfare of all rural Americans.</w:t>
      </w:r>
    </w:p>
    <w:p w:rsidR="00A31137" w:rsidRPr="00A31137" w:rsidRDefault="00A31137" w:rsidP="00A31137">
      <w:r w:rsidRPr="00A31137">
        <w:t>Our Global Economy</w:t>
      </w:r>
    </w:p>
    <w:p w:rsidR="00A31137" w:rsidRPr="00A31137" w:rsidRDefault="00A31137" w:rsidP="00A31137">
      <w:r w:rsidRPr="00A31137">
        <w:t>1988 Republican Platform, p.56</w:t>
      </w:r>
    </w:p>
    <w:p w:rsidR="00A31137" w:rsidRPr="00A31137" w:rsidRDefault="00A31137" w:rsidP="00A31137">
      <w:r w:rsidRPr="00A31137">
        <w:t>Better than most people, agriculturists know we live in a global economy. America's farmers, ranchers, foresters, and fishermen can compete against anyone in the world if trade rules are fair.</w:t>
      </w:r>
    </w:p>
    <w:p w:rsidR="00A31137" w:rsidRPr="00A31137" w:rsidRDefault="00A31137" w:rsidP="00A31137">
      <w:r w:rsidRPr="00A31137">
        <w:t>1988 Republican Platform, p.56</w:t>
      </w:r>
    </w:p>
    <w:p w:rsidR="00A31137" w:rsidRPr="00A31137" w:rsidRDefault="00A31137" w:rsidP="00A31137">
      <w:r w:rsidRPr="00A31137">
        <w:t>We recognize the historical contribution of agricultural exports to a positive national trade balance and will work on all fronts to improve agricultural trade.</w:t>
      </w:r>
    </w:p>
    <w:p w:rsidR="00A31137" w:rsidRPr="00A31137" w:rsidRDefault="00A31137" w:rsidP="00A31137">
      <w:r w:rsidRPr="00A31137">
        <w:t>1988 Republican Platform, p.56</w:t>
      </w:r>
    </w:p>
    <w:p w:rsidR="00A31137" w:rsidRPr="00A31137" w:rsidRDefault="00A31137" w:rsidP="00A31137">
      <w:r w:rsidRPr="00A31137">
        <w:t>Republicans will aggressively pursue fair and free trade for all U.S. products:</w:t>
      </w:r>
    </w:p>
    <w:p w:rsidR="00A31137" w:rsidRPr="00A31137" w:rsidRDefault="00A31137" w:rsidP="00A31137">
      <w:r w:rsidRPr="00A31137">
        <w:t>1988 Republican Platform, p.56</w:t>
      </w:r>
    </w:p>
    <w:p w:rsidR="00A31137" w:rsidRPr="00A31137" w:rsidRDefault="00A31137" w:rsidP="00A31137">
      <w:r w:rsidRPr="00A31137">
        <w:t xml:space="preserve">• </w:t>
      </w:r>
      <w:r w:rsidRPr="00A31137">
        <w:tab/>
        <w:t>We will insist that production-, consumption-, and trade-distorting agricultural subsidies of the European Economic Community and others be phased out simultaneously with the phasing out of our farm and export assistance programs.</w:t>
      </w:r>
    </w:p>
    <w:p w:rsidR="00A31137" w:rsidRPr="00A31137" w:rsidRDefault="00A31137" w:rsidP="00A31137">
      <w:r w:rsidRPr="00A31137">
        <w:t xml:space="preserve">• </w:t>
      </w:r>
      <w:r w:rsidRPr="00A31137">
        <w:tab/>
        <w:t xml:space="preserve">We will continue to put free and fair trade for farmers and ranchers on the agenda of every international conference on trade. [p.57] </w:t>
      </w:r>
    </w:p>
    <w:p w:rsidR="00A31137" w:rsidRPr="00A31137" w:rsidRDefault="00A31137" w:rsidP="00A31137">
      <w:r w:rsidRPr="00A31137">
        <w:t>•</w:t>
      </w:r>
      <w:r w:rsidRPr="00A31137">
        <w:tab/>
        <w:t>We will use free trade agreements with good trading partners as leverage to open markets elsewhere.</w:t>
      </w:r>
    </w:p>
    <w:p w:rsidR="00A31137" w:rsidRPr="00A31137" w:rsidRDefault="00A31137" w:rsidP="00A31137">
      <w:r w:rsidRPr="00A31137">
        <w:t xml:space="preserve">• </w:t>
      </w:r>
      <w:r w:rsidRPr="00A31137">
        <w:tab/>
        <w:t>We will be a reliable supplier of agricultural products to world markets and will not use food as a weapon of foreign policy.</w:t>
      </w:r>
    </w:p>
    <w:p w:rsidR="00A31137" w:rsidRPr="00A31137" w:rsidRDefault="00A31137" w:rsidP="00A31137">
      <w:r w:rsidRPr="00A31137">
        <w:t>1988 Republican Platform, p.57</w:t>
      </w:r>
    </w:p>
    <w:p w:rsidR="00A31137" w:rsidRPr="00A31137" w:rsidRDefault="00A31137" w:rsidP="00A31137">
      <w:r w:rsidRPr="00A31137">
        <w:t>In short, instead of retreat, Republicans promise a full-scale assault on foreign markets.</w:t>
      </w:r>
    </w:p>
    <w:p w:rsidR="00A31137" w:rsidRPr="00A31137" w:rsidRDefault="00A31137" w:rsidP="00A31137">
      <w:r w:rsidRPr="00A31137">
        <w:t>The Future</w:t>
      </w:r>
    </w:p>
    <w:p w:rsidR="00A31137" w:rsidRPr="00A31137" w:rsidRDefault="00A31137" w:rsidP="00A31137">
      <w:r w:rsidRPr="00A31137">
        <w:t>1988 Republican Platform, p.57</w:t>
      </w:r>
    </w:p>
    <w:p w:rsidR="00A31137" w:rsidRPr="00A31137" w:rsidRDefault="00A31137" w:rsidP="00A31137">
      <w:r w:rsidRPr="00A31137">
        <w:t>Republicans will work to improve agricultural income through market returns at home and abroad, not government controls and subsidies:</w:t>
      </w:r>
    </w:p>
    <w:p w:rsidR="00A31137" w:rsidRPr="00A31137" w:rsidRDefault="00A31137" w:rsidP="00A31137">
      <w:r w:rsidRPr="00A31137">
        <w:t>1988 Republican Platform, p.57</w:t>
      </w:r>
    </w:p>
    <w:p w:rsidR="00A31137" w:rsidRPr="00A31137" w:rsidRDefault="00A31137" w:rsidP="00A31137">
      <w:r w:rsidRPr="00A31137">
        <w:t xml:space="preserve">• </w:t>
      </w:r>
      <w:r w:rsidRPr="00A31137">
        <w:tab/>
        <w:t>We pledge early action to renew and improve the successful farm programs set to expire in 1990.</w:t>
      </w:r>
    </w:p>
    <w:p w:rsidR="00A31137" w:rsidRPr="00A31137" w:rsidRDefault="00A31137" w:rsidP="00A31137">
      <w:r w:rsidRPr="00A31137">
        <w:t xml:space="preserve">• </w:t>
      </w:r>
      <w:r w:rsidRPr="00A31137">
        <w:tab/>
        <w:t>We pledge to continue international food assistance, including programs through the Eisenhower Food for Peace program, to feed the world's hungry and develop markets abroad.</w:t>
      </w:r>
    </w:p>
    <w:p w:rsidR="00A31137" w:rsidRPr="00A31137" w:rsidRDefault="00A31137" w:rsidP="00A31137">
      <w:r w:rsidRPr="00A31137">
        <w:t xml:space="preserve">• </w:t>
      </w:r>
      <w:r w:rsidRPr="00A31137">
        <w:tab/>
        <w:t>We will continue to provide leadership in the effort to improve standards of quality for grain and other agricultural products in order to meet international competition.</w:t>
      </w:r>
    </w:p>
    <w:p w:rsidR="00A31137" w:rsidRPr="00A31137" w:rsidRDefault="00A31137" w:rsidP="00A31137">
      <w:r w:rsidRPr="00A31137">
        <w:t xml:space="preserve">• </w:t>
      </w:r>
      <w:r w:rsidRPr="00A31137">
        <w:tab/>
        <w:t>We call for greater planting flexibility in federal programs to allow more diversity in fanning and more freedom for farmers to grow what they want to grow and to sell their products to whoever will buy them.</w:t>
      </w:r>
    </w:p>
    <w:p w:rsidR="00A31137" w:rsidRPr="00A31137" w:rsidRDefault="00A31137" w:rsidP="00A31137">
      <w:r w:rsidRPr="00A31137">
        <w:t xml:space="preserve">• </w:t>
      </w:r>
      <w:r w:rsidRPr="00A31137">
        <w:tab/>
        <w:t>We recognize the need for appropriate multiple-use policy on federal range lands and retention of a fair and equitable grazing fee policy as has been established by the Reagan Administration.</w:t>
      </w:r>
    </w:p>
    <w:p w:rsidR="00A31137" w:rsidRPr="00A31137" w:rsidRDefault="00A31137" w:rsidP="00A31137">
      <w:r w:rsidRPr="00A31137">
        <w:t xml:space="preserve">• </w:t>
      </w:r>
      <w:r w:rsidRPr="00A31137">
        <w:tab/>
        <w:t>We support a States' review of the adequacy of crop irrigation capacity under severe water shortage conditions, such as the 1988 drought, to identify areas of potential need and development.</w:t>
      </w:r>
    </w:p>
    <w:p w:rsidR="00A31137" w:rsidRPr="00A31137" w:rsidRDefault="00A31137" w:rsidP="00A31137">
      <w:r w:rsidRPr="00A31137">
        <w:t xml:space="preserve">• </w:t>
      </w:r>
      <w:r w:rsidRPr="00A31137">
        <w:tab/>
        <w:t>Water use policy formulation belongs to the States without federal interference; we recognize traditional State supremacy in water law, which is the best bulwark against future water crises.</w:t>
      </w:r>
    </w:p>
    <w:p w:rsidR="00A31137" w:rsidRPr="00A31137" w:rsidRDefault="00A31137" w:rsidP="00A31137">
      <w:r w:rsidRPr="00A31137">
        <w:t xml:space="preserve">• </w:t>
      </w:r>
      <w:r w:rsidRPr="00A31137">
        <w:tab/>
        <w:t xml:space="preserve">We resolve to lower tax rates for long-term capital gains and to work for fairer preproductive expense capitalization laws, including the so-called "heifer tax" as just one example, to promote investment in the production of food and fiber. [p.58] </w:t>
      </w:r>
    </w:p>
    <w:p w:rsidR="00A31137" w:rsidRPr="00A31137" w:rsidRDefault="00A31137" w:rsidP="00A31137">
      <w:r w:rsidRPr="00A31137">
        <w:t>•</w:t>
      </w:r>
      <w:r w:rsidRPr="00A31137">
        <w:tab/>
        <w:t>We stand with the nation's foresters and the communities that depend on the forest products industry in supporting an annual timber harvest and multiple-use policy that meets national needs both for a sustained yield of wood products and for sound environmental management.</w:t>
      </w:r>
    </w:p>
    <w:p w:rsidR="00A31137" w:rsidRPr="00A31137" w:rsidRDefault="00A31137" w:rsidP="00A31137">
      <w:r w:rsidRPr="00A31137">
        <w:t xml:space="preserve">• </w:t>
      </w:r>
      <w:r w:rsidRPr="00A31137">
        <w:tab/>
        <w:t>We will continue our strong support for agricultural research, including increased emphasis on developing new uses for farm products, such as alternative fuels, food, non-food and industrial products. The agricultural industry is, and always has been, on the leading edge of the technological revolution, and it must continue this tradition in order to be internationally competitive.</w:t>
      </w:r>
    </w:p>
    <w:p w:rsidR="00A31137" w:rsidRPr="00A31137" w:rsidRDefault="00A31137" w:rsidP="00A31137">
      <w:r w:rsidRPr="00A31137">
        <w:t>1988 Republican Platform, p.58</w:t>
      </w:r>
    </w:p>
    <w:p w:rsidR="00A31137" w:rsidRPr="00A31137" w:rsidRDefault="00A31137" w:rsidP="00A31137">
      <w:r w:rsidRPr="00A31137">
        <w:t>Net Cash Farm Income</w:t>
      </w:r>
    </w:p>
    <w:p w:rsidR="00A31137" w:rsidRPr="00A31137" w:rsidRDefault="00A31137" w:rsidP="00A31137"/>
    <w:p w:rsidR="00A31137" w:rsidRPr="00A31137" w:rsidRDefault="00A31137" w:rsidP="00A31137">
      <w:r w:rsidRPr="00A31137">
        <w:t xml:space="preserve">• </w:t>
      </w:r>
      <w:r w:rsidRPr="00A31137">
        <w:tab/>
        <w:t xml:space="preserve">We will encourage public and private research and technical assistance to ensure that the resource base of American agriculture is preserved. Sound stewardship of our land and water resources is important for this and future generations. The soil and water resources of our nation must provide profit for farmers and ranchers and a safe and wholesome food [p.59] supply. Our Land Grant institutions, working with the private sector, can provide more environmentally safe and biodegradable agrichemicals and improved farming techniques that will help preserve the quality of our underground and surface water supplies. [p.59] </w:t>
      </w:r>
    </w:p>
    <w:p w:rsidR="00A31137" w:rsidRPr="00A31137" w:rsidRDefault="00A31137" w:rsidP="00A31137">
      <w:r w:rsidRPr="00A31137">
        <w:t xml:space="preserve">• </w:t>
      </w:r>
      <w:r w:rsidRPr="00A31137">
        <w:tab/>
        <w:t>We pledge that State farm home exemption and redemption rights shall remain inviolate from federal interference.</w:t>
      </w:r>
    </w:p>
    <w:p w:rsidR="00A31137" w:rsidRPr="00A31137" w:rsidRDefault="00A31137" w:rsidP="00A31137">
      <w:r w:rsidRPr="00A31137">
        <w:t>Rural Economic Development</w:t>
      </w:r>
    </w:p>
    <w:p w:rsidR="00A31137" w:rsidRPr="00A31137" w:rsidRDefault="00A31137" w:rsidP="00A31137">
      <w:r w:rsidRPr="00A31137">
        <w:t>1988 Republican Platform, p.59</w:t>
      </w:r>
    </w:p>
    <w:p w:rsidR="00A31137" w:rsidRPr="00A31137" w:rsidRDefault="00A31137" w:rsidP="00A31137">
      <w:r w:rsidRPr="00A31137">
        <w:t>Republicans realize that rural communities face challenges that go beyond agricultural concerns. Rural economic development is about more than jobs; it is also about the quality of life. We are ready to address the needs of rural America with creativity and compassion:</w:t>
      </w:r>
    </w:p>
    <w:p w:rsidR="00A31137" w:rsidRPr="00A31137" w:rsidRDefault="00A31137" w:rsidP="00A31137">
      <w:r w:rsidRPr="00A31137">
        <w:t>1988 Republican Platform, p.59</w:t>
      </w:r>
    </w:p>
    <w:p w:rsidR="00A31137" w:rsidRPr="00A31137" w:rsidRDefault="00A31137" w:rsidP="00A31137">
      <w:r w:rsidRPr="00A31137">
        <w:t xml:space="preserve">• </w:t>
      </w:r>
      <w:r w:rsidRPr="00A31137">
        <w:tab/>
        <w:t>The best jobs program for rural Americans is a good farm program.</w:t>
      </w:r>
    </w:p>
    <w:p w:rsidR="00A31137" w:rsidRPr="00A31137" w:rsidRDefault="00A31137" w:rsidP="00A31137">
      <w:r w:rsidRPr="00A31137">
        <w:t xml:space="preserve">• </w:t>
      </w:r>
      <w:r w:rsidRPr="00A31137">
        <w:tab/>
        <w:t>The key to rural development is effective local leadership working in partnership with private business and federal, State, and local governments. We will advance, in Congress and at the State level, rural enterprise zones to attract investment and create jobs geared to the opportunities of the century ahead.</w:t>
      </w:r>
    </w:p>
    <w:p w:rsidR="00A31137" w:rsidRPr="00A31137" w:rsidRDefault="00A31137" w:rsidP="00A31137">
      <w:r w:rsidRPr="00A31137">
        <w:t xml:space="preserve">• </w:t>
      </w:r>
      <w:r w:rsidRPr="00A31137">
        <w:tab/>
        <w:t>Education is the crucial element in ensuring that rural Americans will be in the mainstream of our national future. We must assure rural youngsters quality education and good schools.</w:t>
      </w:r>
    </w:p>
    <w:p w:rsidR="00A31137" w:rsidRPr="00A31137" w:rsidRDefault="00A31137" w:rsidP="00A31137">
      <w:r w:rsidRPr="00A31137">
        <w:t xml:space="preserve">• </w:t>
      </w:r>
      <w:r w:rsidRPr="00A31137">
        <w:tab/>
        <w:t>The roads, bridges, schools, sewer and water systems, and other public works of many rural communities have deteriorated. We will ensure that those communities receive their fair share of aid under federal assistance programs.</w:t>
      </w:r>
    </w:p>
    <w:p w:rsidR="00A31137" w:rsidRPr="00A31137" w:rsidRDefault="00A31137" w:rsidP="00A31137">
      <w:r w:rsidRPr="00A31137">
        <w:t xml:space="preserve">• </w:t>
      </w:r>
      <w:r w:rsidRPr="00A31137">
        <w:tab/>
        <w:t>Discrimination against rural hospitals and medical practices in federal reimbursement of health care costs has contributed to reduced medical services in rural America. We pledge to help rural Americans meet their health care needs and will ensure fair treatment for their health care institutions under federal health programs.</w:t>
      </w:r>
    </w:p>
    <w:p w:rsidR="00A31137" w:rsidRPr="00A31137" w:rsidRDefault="00A31137" w:rsidP="00A31137">
      <w:r w:rsidRPr="00A31137">
        <w:t xml:space="preserve">• </w:t>
      </w:r>
      <w:r w:rsidRPr="00A31137">
        <w:tab/>
        <w:t>To have full participation in our country's unbounded future, rural people will need access to modern telecommunications and satellite communications systems including commercial decryption devices. Adequate supplies of reasonably priced electric power are also a necessity. We continue to support a strong rural electrification and telephone program. We believe the network of local rural electric and [p.60] telephone cooperatives that provide these services represents a vital public/private partnership necessary to assure growth and development of the rural economy.</w:t>
      </w:r>
    </w:p>
    <w:p w:rsidR="00A31137" w:rsidRPr="00A31137" w:rsidRDefault="00A31137" w:rsidP="00A31137">
      <w:r w:rsidRPr="00A31137">
        <w:t xml:space="preserve">• </w:t>
      </w:r>
      <w:r w:rsidRPr="00A31137">
        <w:tab/>
        <w:t>We will energetically use the Job Training Partnership Act and a newly enacted worker retraining program to ensure that rural workers are fully integrated into the work force of the future.</w:t>
      </w:r>
    </w:p>
    <w:p w:rsidR="00A31137" w:rsidRPr="00A31137" w:rsidRDefault="00A31137" w:rsidP="00A31137">
      <w:r w:rsidRPr="00A31137">
        <w:t xml:space="preserve">• </w:t>
      </w:r>
      <w:r w:rsidRPr="00A31137">
        <w:tab/>
        <w:t>We will continue to support programs that enhance housing, business, and industry opportunities for rural Americans; and we will adapt urban homesteading programs to rural communities.</w:t>
      </w:r>
    </w:p>
    <w:p w:rsidR="00A31137" w:rsidRPr="00A31137" w:rsidRDefault="00A31137" w:rsidP="00A31137">
      <w:r w:rsidRPr="00A31137">
        <w:t xml:space="preserve">• </w:t>
      </w:r>
      <w:r w:rsidRPr="00A31137">
        <w:tab/>
        <w:t>Sound agricultural policy for rural America demands sound economic policy for all America. We will continue to stabilize fiscal and monetary policies in order to keep inflation in check and interest rates stable. This foundation of economic stability must underlie all rural initiatives by levels of government.</w:t>
      </w:r>
    </w:p>
    <w:p w:rsidR="00A31137" w:rsidRPr="00A31137" w:rsidRDefault="00A31137" w:rsidP="00A31137">
      <w:r w:rsidRPr="00A31137">
        <w:t>1988 Republican Platform, p.60</w:t>
      </w:r>
    </w:p>
    <w:p w:rsidR="00A31137" w:rsidRPr="00A31137" w:rsidRDefault="00A31137" w:rsidP="00A31137">
      <w:r w:rsidRPr="00A31137">
        <w:t>This is our pledge for the continuing renewal of a prosperous rural America.</w:t>
      </w:r>
    </w:p>
    <w:p w:rsidR="00A31137" w:rsidRPr="00A31137" w:rsidRDefault="00A31137" w:rsidP="00A31137">
      <w:r w:rsidRPr="00A31137">
        <w:t>1988 Republican Platform, p.60</w:t>
      </w:r>
    </w:p>
    <w:p w:rsidR="00A31137" w:rsidRPr="00A31137" w:rsidRDefault="00A31137" w:rsidP="00A31137">
      <w:r w:rsidRPr="00A31137">
        <w:t>Agricultural Interest Rates</w:t>
      </w:r>
    </w:p>
    <w:p w:rsidR="00A31137" w:rsidRPr="00A31137" w:rsidRDefault="00A31137" w:rsidP="00A31137">
      <w:r w:rsidRPr="00A31137">
        <w:t>Energy, Environment, and Transportation</w:t>
      </w:r>
    </w:p>
    <w:p w:rsidR="00A31137" w:rsidRPr="00A31137" w:rsidRDefault="00A31137" w:rsidP="00A31137">
      <w:r w:rsidRPr="00A31137">
        <w:t>Energy for the Future</w:t>
      </w:r>
    </w:p>
    <w:p w:rsidR="00A31137" w:rsidRPr="00A31137" w:rsidRDefault="00A31137" w:rsidP="00A31137">
      <w:r w:rsidRPr="00A31137">
        <w:t>1988 Republican Platform, p.61</w:t>
      </w:r>
    </w:p>
    <w:p w:rsidR="00A31137" w:rsidRPr="00A31137" w:rsidRDefault="00A31137" w:rsidP="00A31137">
      <w:r w:rsidRPr="00A31137">
        <w:t>To make real their vision for the future, the American people need adequate, safe, and reliable supplies of energy. Both the security of our nation and the prosperity of our households will depend upon clean and affordable power to light the way ahead and speed a daring society toward its goals. We recognize that energy is a security issue as well as an economic issue. We cannot have a strong nation if we are not energy independent.</w:t>
      </w:r>
    </w:p>
    <w:p w:rsidR="00A31137" w:rsidRPr="00A31137" w:rsidRDefault="00A31137" w:rsidP="00A31137">
      <w:r w:rsidRPr="00A31137">
        <w:t>1988 Republican Platform, p.61</w:t>
      </w:r>
    </w:p>
    <w:p w:rsidR="00A31137" w:rsidRPr="00A31137" w:rsidRDefault="00A31137" w:rsidP="00A31137">
      <w:r w:rsidRPr="00A31137">
        <w:t>We are part way there. In 1981, Republican leadership replaced the Democrats' energy crisis with energy consensus. We rejected scarcity, fostered growth, and set course for an expansive future. We left behind the days of gasoline lines, building-temperature controls, the multi-billion dollar boondoggle of the Synfuels Corporation, and the cancellation of night baseball games.</w:t>
      </w:r>
    </w:p>
    <w:p w:rsidR="00A31137" w:rsidRPr="00A31137" w:rsidRDefault="00A31137" w:rsidP="00A31137">
      <w:r w:rsidRPr="00A31137">
        <w:t>1988 Republican Platform, p.61</w:t>
      </w:r>
    </w:p>
    <w:p w:rsidR="00A31137" w:rsidRPr="00A31137" w:rsidRDefault="00A31137" w:rsidP="00A31137">
      <w:r w:rsidRPr="00A31137">
        <w:t>The Carter-Mondale years of crippling regulation and exorbitant costs are a thing of the past. We returned the country to policies that encourage rather than discourage domestic production of energy. With a free, more competitive system of producing and marketing energy, American consumers gained a wider range of energy choices at lower prices.</w:t>
      </w:r>
    </w:p>
    <w:p w:rsidR="00A31137" w:rsidRPr="00A31137" w:rsidRDefault="00A31137" w:rsidP="00A31137">
      <w:r w:rsidRPr="00A31137">
        <w:t>1988 Republican Platform, p.61</w:t>
      </w:r>
    </w:p>
    <w:p w:rsidR="00A31137" w:rsidRPr="00A31137" w:rsidRDefault="00A31137" w:rsidP="00A31137">
      <w:r w:rsidRPr="00A31137">
        <w:t>Cumulative Strategic Petroleum Reserve Oil Fill</w:t>
      </w:r>
    </w:p>
    <w:p w:rsidR="00A31137" w:rsidRPr="00A31137" w:rsidRDefault="00A31137" w:rsidP="00A31137"/>
    <w:p w:rsidR="00A31137" w:rsidRPr="00A31137" w:rsidRDefault="00A31137" w:rsidP="00A31137">
      <w:r w:rsidRPr="00A31137">
        <w:t>1988 Republican Platform, p.62</w:t>
      </w:r>
    </w:p>
    <w:p w:rsidR="00A31137" w:rsidRPr="00A31137" w:rsidRDefault="00A31137" w:rsidP="00A31137">
      <w:r w:rsidRPr="00A31137">
        <w:t>During the Reagan-Bush years, we loosened OPEC's hold on the world's petroleum markets. The United States built up its Strategic Petroleum Reserve and persuaded its allies to increase their emergency petroleum stocks as both a deterrent and a cushion against supply disruptions. When President Reagan and Vice President Bush took office, the Strategic Petroleum Reserve held only 79 million barrels. Now it contains almost 550 million, a three-month cushion in the event of a crisis.</w:t>
      </w:r>
    </w:p>
    <w:p w:rsidR="00A31137" w:rsidRPr="00A31137" w:rsidRDefault="00A31137" w:rsidP="00A31137">
      <w:r w:rsidRPr="00A31137">
        <w:t>1988 Republican Platform, p.62</w:t>
      </w:r>
    </w:p>
    <w:p w:rsidR="00A31137" w:rsidRPr="00A31137" w:rsidRDefault="00A31137" w:rsidP="00A31137">
      <w:r w:rsidRPr="00A31137">
        <w:t>Conservation and energy efficiency, stimulated by the oil shocks of the 1970s, made impressive gains. The nation now consumes less oil, and no more energy in total, then it did in 1977, even with the remarkable growth in our economy under the Reagan-Bush Administration.</w:t>
      </w:r>
    </w:p>
    <w:p w:rsidR="00A31137" w:rsidRPr="00A31137" w:rsidRDefault="00A31137" w:rsidP="00A31137">
      <w:r w:rsidRPr="00A31137">
        <w:t>1988 Republican Platform, p.62</w:t>
      </w:r>
    </w:p>
    <w:p w:rsidR="00A31137" w:rsidRPr="00A31137" w:rsidRDefault="00A31137" w:rsidP="00A31137">
      <w:r w:rsidRPr="00A31137">
        <w:t>Despite these gains, much hard work remains. A strong energy policy is required to assure that the needs of our society are met. Because of low prices, domestic oil and gas production has declined significantly. New initiatives will be required to halt the erosion of the domestic oil reserve base, to restore the vitality of the domestic oil and gas industry, to slow the rise in oil imports, and to prevent a return to the vulnerabilities of the 1970s. We must maintain the progress made in conservation and rely more heavily on secure American fuels: domestic oil, natural gas, coal, nuclear energy, alternative sources and renewables.</w:t>
      </w:r>
    </w:p>
    <w:p w:rsidR="00A31137" w:rsidRPr="00A31137" w:rsidRDefault="00A31137" w:rsidP="00A31137">
      <w:r w:rsidRPr="00A31137">
        <w:t>Oil</w:t>
      </w:r>
    </w:p>
    <w:p w:rsidR="00A31137" w:rsidRPr="00A31137" w:rsidRDefault="00A31137" w:rsidP="00A31137">
      <w:r w:rsidRPr="00A31137">
        <w:t>1988 Republican Platform, p.62</w:t>
      </w:r>
    </w:p>
    <w:p w:rsidR="00A31137" w:rsidRPr="00A31137" w:rsidRDefault="00A31137" w:rsidP="00A31137">
      <w:r w:rsidRPr="00A31137">
        <w:t>The United States is heavily dependent on oil, which represents 40 percent of our total energy consumption. We must have a healthy domestic industry to assure the availability of this fuel to meet our needs. The decline in oil prices has brought exploratory drilling in the country to a virtual standstill, and continuing low prices threaten the hundreds of thousands of small wells that make up the most of U.S. production.</w:t>
      </w:r>
    </w:p>
    <w:p w:rsidR="00A31137" w:rsidRPr="00A31137" w:rsidRDefault="00A31137" w:rsidP="00A31137">
      <w:r w:rsidRPr="00A31137">
        <w:t>1988 Republican Platform, p.62</w:t>
      </w:r>
    </w:p>
    <w:p w:rsidR="00A31137" w:rsidRPr="00A31137" w:rsidRDefault="00A31137" w:rsidP="00A31137">
      <w:r w:rsidRPr="00A31137">
        <w:t>We will set an energy policy for the United States to maintain a viable core industry and to ensure greater energy self-sufficiency through private initiatives. We will adopt forceful initiatives to reverse the decline of our domestic oil production. Republicans support:</w:t>
      </w:r>
    </w:p>
    <w:p w:rsidR="00A31137" w:rsidRPr="00A31137" w:rsidRDefault="00A31137" w:rsidP="00A31137">
      <w:r w:rsidRPr="00A31137">
        <w:t>1988 Republican Platform, p.62</w:t>
      </w:r>
    </w:p>
    <w:p w:rsidR="00A31137" w:rsidRPr="00A31137" w:rsidRDefault="00A31137" w:rsidP="00A31137">
      <w:r w:rsidRPr="00A31137">
        <w:t xml:space="preserve">• </w:t>
      </w:r>
      <w:r w:rsidRPr="00A31137">
        <w:tab/>
        <w:t>Repeal of the counterproductive Windfall Profits Tax.</w:t>
      </w:r>
    </w:p>
    <w:p w:rsidR="00A31137" w:rsidRPr="00A31137" w:rsidRDefault="00A31137" w:rsidP="00A31137">
      <w:r w:rsidRPr="00A31137">
        <w:t xml:space="preserve">• </w:t>
      </w:r>
      <w:r w:rsidRPr="00A31137">
        <w:tab/>
        <w:t>Maintenance of our schedule for filling the Strategic Petroleum Reserve to reach 750 million barrels by 1993 and encouragement of our allies to maintain similar reserves.</w:t>
      </w:r>
    </w:p>
    <w:p w:rsidR="00A31137" w:rsidRPr="00A31137" w:rsidRDefault="00A31137" w:rsidP="00A31137">
      <w:r w:rsidRPr="00A31137">
        <w:t xml:space="preserve">• </w:t>
      </w:r>
      <w:r w:rsidRPr="00A31137">
        <w:tab/>
        <w:t xml:space="preserve">Tax incentives to save marginal wells, to encourage exploration for new oil, and to improve the recovery of oil still in place. [p.63] </w:t>
      </w:r>
    </w:p>
    <w:p w:rsidR="00A31137" w:rsidRPr="00A31137" w:rsidRDefault="00A31137" w:rsidP="00A31137">
      <w:r w:rsidRPr="00A31137">
        <w:t>•</w:t>
      </w:r>
      <w:r w:rsidRPr="00A31137">
        <w:tab/>
        <w:t>Repeal of the Transfer Rule prohibiting independent producers from using certain tax provisions on acquired properties.</w:t>
      </w:r>
    </w:p>
    <w:p w:rsidR="00A31137" w:rsidRPr="00A31137" w:rsidRDefault="00A31137" w:rsidP="00A31137">
      <w:r w:rsidRPr="00A31137">
        <w:t xml:space="preserve">• </w:t>
      </w:r>
      <w:r w:rsidRPr="00A31137">
        <w:tab/>
        <w:t>Elimination of 80 percent of intangible drilling costs as an alternative minimum tax preference item.</w:t>
      </w:r>
    </w:p>
    <w:p w:rsidR="00A31137" w:rsidRPr="00A31137" w:rsidRDefault="00A31137" w:rsidP="00A31137">
      <w:r w:rsidRPr="00A31137">
        <w:t xml:space="preserve">• </w:t>
      </w:r>
      <w:r w:rsidRPr="00A31137">
        <w:tab/>
        <w:t>Exploration and development in promising areas, including federal lands and waters, particularly in the Arctic, in a manner that is protective of our environment and is in the best national interest.</w:t>
      </w:r>
    </w:p>
    <w:p w:rsidR="00A31137" w:rsidRPr="00A31137" w:rsidRDefault="00A31137" w:rsidP="00A31137">
      <w:r w:rsidRPr="00A31137">
        <w:t>1988 Republican Platform, p.63</w:t>
      </w:r>
    </w:p>
    <w:p w:rsidR="00A31137" w:rsidRPr="00A31137" w:rsidRDefault="00A31137" w:rsidP="00A31137">
      <w:r w:rsidRPr="00A31137">
        <w:t>Such continued exploration and development of new domestic oil and gas reserves are essential to keep our nation from becoming more dependent on foreign energy sources. Indeed, tax incentives can make our investment in U.S. oil and gas exploration competitive with other countries. They can stimulate drilling, put people back to work, and help maintain our leadership in oil field technology and services. Incentives and opportunities for increased domestic exploration can also help limit the rise in imports, discourage oil price shocks, and enhance energy security.</w:t>
      </w:r>
    </w:p>
    <w:p w:rsidR="00A31137" w:rsidRPr="00A31137" w:rsidRDefault="00A31137" w:rsidP="00A31137">
      <w:r w:rsidRPr="00A31137">
        <w:t>Natural Gas</w:t>
      </w:r>
    </w:p>
    <w:p w:rsidR="00A31137" w:rsidRPr="00A31137" w:rsidRDefault="00A31137" w:rsidP="00A31137">
      <w:r w:rsidRPr="00A31137">
        <w:t>1988 Republican Platform, p.63</w:t>
      </w:r>
    </w:p>
    <w:p w:rsidR="00A31137" w:rsidRPr="00A31137" w:rsidRDefault="00A31137" w:rsidP="00A31137">
      <w:r w:rsidRPr="00A31137">
        <w:t>Natural gas is a clean, abundant, and reasonably priced fuel secure within the borders of the nation. Increased reliance on natural gas can have significant national security and environmental benefits. While U.S. gas resources are plentiful and recoverable at competitive prices, regulatory burdens and price controls still impede development.</w:t>
      </w:r>
    </w:p>
    <w:p w:rsidR="00A31137" w:rsidRPr="00A31137" w:rsidRDefault="00A31137" w:rsidP="00A31137">
      <w:r w:rsidRPr="00A31137">
        <w:t>1988 Republican Platform, p.63</w:t>
      </w:r>
    </w:p>
    <w:p w:rsidR="00A31137" w:rsidRPr="00A31137" w:rsidRDefault="00A31137" w:rsidP="00A31137">
      <w:r w:rsidRPr="00A31137">
        <w:t>More progress must be made in deregulation of natural gas:</w:t>
      </w:r>
    </w:p>
    <w:p w:rsidR="00A31137" w:rsidRPr="00A31137" w:rsidRDefault="00A31137" w:rsidP="00A31137">
      <w:r w:rsidRPr="00A31137">
        <w:t>1988 Republican Platform, p.63</w:t>
      </w:r>
    </w:p>
    <w:p w:rsidR="00A31137" w:rsidRPr="00A31137" w:rsidRDefault="00A31137" w:rsidP="00A31137">
      <w:r w:rsidRPr="00A31137">
        <w:t xml:space="preserve">• </w:t>
      </w:r>
      <w:r w:rsidRPr="00A31137">
        <w:tab/>
        <w:t>We support fully decontrolling prices and providing more open access to transportation.</w:t>
      </w:r>
    </w:p>
    <w:p w:rsidR="00A31137" w:rsidRPr="00A31137" w:rsidRDefault="00A31137" w:rsidP="00A31137">
      <w:r w:rsidRPr="00A31137">
        <w:t xml:space="preserve">• </w:t>
      </w:r>
      <w:r w:rsidRPr="00A31137">
        <w:tab/>
        <w:t>We also support the flexible use of natural gas to fuel automobiles and boilers.</w:t>
      </w:r>
    </w:p>
    <w:p w:rsidR="00A31137" w:rsidRPr="00A31137" w:rsidRDefault="00A31137" w:rsidP="00A31137">
      <w:r w:rsidRPr="00A31137">
        <w:t>1988 Republican Platform, p.63</w:t>
      </w:r>
    </w:p>
    <w:p w:rsidR="00A31137" w:rsidRPr="00A31137" w:rsidRDefault="00A31137" w:rsidP="00A31137">
      <w:r w:rsidRPr="00A31137">
        <w:t>Over the longer term, natural gas as an alternative fuel could significantly reduce overdependence on imported oil, while also improving air quality. We should support cost effective development and greater use of this fuel.</w:t>
      </w:r>
    </w:p>
    <w:p w:rsidR="00A31137" w:rsidRPr="00A31137" w:rsidRDefault="00A31137" w:rsidP="00A31137">
      <w:r w:rsidRPr="00A31137">
        <w:t>Coal</w:t>
      </w:r>
    </w:p>
    <w:p w:rsidR="00A31137" w:rsidRPr="00A31137" w:rsidRDefault="00A31137" w:rsidP="00A31137">
      <w:r w:rsidRPr="00A31137">
        <w:t>1988 Republican Platform, p.63</w:t>
      </w:r>
    </w:p>
    <w:p w:rsidR="00A31137" w:rsidRPr="00A31137" w:rsidRDefault="00A31137" w:rsidP="00A31137">
      <w:r w:rsidRPr="00A31137">
        <w:t xml:space="preserve">The United States enjoys a rich national endowment of enormous supplies of coal which can provide a secure source of energy for hundreds of years. [p.64] </w:t>
      </w:r>
    </w:p>
    <w:p w:rsidR="00A31137" w:rsidRPr="00A31137" w:rsidRDefault="00A31137" w:rsidP="00A31137">
      <w:r w:rsidRPr="00A31137">
        <w:t>•</w:t>
      </w:r>
      <w:r w:rsidRPr="00A31137">
        <w:tab/>
        <w:t>We should aggressively pursue the clean-coal technology initiative successfully launched by the Reagan-Bush Administration as part of the solution to coal's environmental problems.</w:t>
      </w:r>
    </w:p>
    <w:p w:rsidR="00A31137" w:rsidRPr="00A31137" w:rsidRDefault="00A31137" w:rsidP="00A31137">
      <w:r w:rsidRPr="00A31137">
        <w:t xml:space="preserve">• </w:t>
      </w:r>
      <w:r w:rsidRPr="00A31137">
        <w:tab/>
        <w:t>A major effort should be made to encourage coal exports, which could improve the trade balance, put Americans to work, and provide reliable energy supplies to our allies.</w:t>
      </w:r>
    </w:p>
    <w:p w:rsidR="00A31137" w:rsidRPr="00A31137" w:rsidRDefault="00A31137" w:rsidP="00A31137">
      <w:r w:rsidRPr="00A31137">
        <w:t>Nuclear Power</w:t>
      </w:r>
    </w:p>
    <w:p w:rsidR="00A31137" w:rsidRPr="00A31137" w:rsidRDefault="00A31137" w:rsidP="00A31137">
      <w:r w:rsidRPr="00A31137">
        <w:t>1988 Republican Platform, p.64</w:t>
      </w:r>
    </w:p>
    <w:p w:rsidR="00A31137" w:rsidRPr="00A31137" w:rsidRDefault="00A31137" w:rsidP="00A31137">
      <w:r w:rsidRPr="00A31137">
        <w:t>We must preserve nuclear power as a safe and economic option to meet future electricity needs. It generates 20 percent of our electricity, and we anticipate the continued expansion of renewable energy and environmentally safe nuclear power. We will promote the adoption of standardized, cost-effective, and environmentally safe nuclear plant designs. We should enhance our efforts to manage nuclear waste and will insist on the highest standards of safety.</w:t>
      </w:r>
    </w:p>
    <w:p w:rsidR="00A31137" w:rsidRPr="00A31137" w:rsidRDefault="00A31137" w:rsidP="00A31137">
      <w:r w:rsidRPr="00A31137">
        <w:t>Technology, Alternatives, Conservation, and Regulation</w:t>
      </w:r>
    </w:p>
    <w:p w:rsidR="00A31137" w:rsidRPr="00A31137" w:rsidRDefault="00A31137" w:rsidP="00A31137">
      <w:r w:rsidRPr="00A31137">
        <w:t>1988 Republican Platform, p.64</w:t>
      </w:r>
    </w:p>
    <w:p w:rsidR="00A31137" w:rsidRPr="00A31137" w:rsidRDefault="00A31137" w:rsidP="00A31137">
      <w:r w:rsidRPr="00A31137">
        <w:t>Technology is America's competitive edge, and it should be encouraged in finding new solutions to our energy problems. Energy efficiency improvements such as more efficient cars, better insulated homes, and more efficient industrial processes, have resulted in substantial savings, making the U.S. economy more competitive.</w:t>
      </w:r>
    </w:p>
    <w:p w:rsidR="00A31137" w:rsidRPr="00A31137" w:rsidRDefault="00A31137" w:rsidP="00A31137">
      <w:r w:rsidRPr="00A31137">
        <w:t>1988 Republican Platform, p.64</w:t>
      </w:r>
    </w:p>
    <w:p w:rsidR="00A31137" w:rsidRPr="00A31137" w:rsidRDefault="00A31137" w:rsidP="00A31137">
      <w:r w:rsidRPr="00A31137">
        <w:t xml:space="preserve">• </w:t>
      </w:r>
      <w:r w:rsidRPr="00A31137">
        <w:tab/>
        <w:t>We support funding for research and development, particularly where current market economics preclude private initiative.</w:t>
      </w:r>
    </w:p>
    <w:p w:rsidR="00A31137" w:rsidRPr="00A31137" w:rsidRDefault="00A31137" w:rsidP="00A31137">
      <w:r w:rsidRPr="00A31137">
        <w:t xml:space="preserve">• </w:t>
      </w:r>
      <w:r w:rsidRPr="00A31137">
        <w:tab/>
        <w:t>We will set priorities and, where cost effective, support research and development for alternative fuels such as ethanol, methanol, and compressed natural gas, particularly for use in transportation.</w:t>
      </w:r>
    </w:p>
    <w:p w:rsidR="00A31137" w:rsidRPr="00A31137" w:rsidRDefault="00A31137" w:rsidP="00A31137">
      <w:r w:rsidRPr="00A31137">
        <w:t xml:space="preserve">• </w:t>
      </w:r>
      <w:r w:rsidRPr="00A31137">
        <w:tab/>
        <w:t>We will also support research and development for energy efficiency, conservation, renewables, fusion and superconductivity.</w:t>
      </w:r>
    </w:p>
    <w:p w:rsidR="00A31137" w:rsidRPr="00A31137" w:rsidRDefault="00A31137" w:rsidP="00A31137">
      <w:r w:rsidRPr="00A31137">
        <w:t xml:space="preserve">• </w:t>
      </w:r>
      <w:r w:rsidRPr="00A31137">
        <w:tab/>
        <w:t>We encourage the improvements of our national electricity transportation network, to achieve the economic and environmental efficiencies and reliability of linking electricity-exporting regions with importers.</w:t>
      </w:r>
    </w:p>
    <w:p w:rsidR="00A31137" w:rsidRPr="00A31137" w:rsidRDefault="00A31137" w:rsidP="00A31137">
      <w:r w:rsidRPr="00A31137">
        <w:t>1988 Republican Platform, p.64</w:t>
      </w:r>
    </w:p>
    <w:p w:rsidR="00A31137" w:rsidRPr="00A31137" w:rsidRDefault="00A31137" w:rsidP="00A31137">
      <w:r w:rsidRPr="00A31137">
        <w:t xml:space="preserve">Substantial progress has been made in eliminating the intrusive and costly regulatory functions of the Department of Energy and should be continued. Efforts should be made to streamline the department's functions and evaluate its long-term institutional role in setting national energy policy, in discouraging a return to regulation, and in promoting long-term scientific research. [p.65] </w:t>
      </w:r>
    </w:p>
    <w:p w:rsidR="00A31137" w:rsidRPr="00A31137" w:rsidRDefault="00A31137" w:rsidP="00A31137">
      <w:r w:rsidRPr="00A31137">
        <w:t>1988 Republican Platform, p.65</w:t>
      </w:r>
    </w:p>
    <w:p w:rsidR="00A31137" w:rsidRPr="00A31137" w:rsidRDefault="00A31137" w:rsidP="00A31137">
      <w:r w:rsidRPr="00A31137">
        <w:t>We believe continued economic progress requires an adequate and secure supply of electricity from every possible source in addition to energy conservation. Conservation alone cannot meet the energy needs of a growing economy. Witness the case of Massachusetts, where the State government's energy policy of stopping construction of any significant electric generating plants of all kinds has caused a dangerous shortage.</w:t>
      </w:r>
    </w:p>
    <w:p w:rsidR="00A31137" w:rsidRPr="00A31137" w:rsidRDefault="00A31137" w:rsidP="00A31137">
      <w:r w:rsidRPr="00A31137">
        <w:t>Preserving and Protecting the Environment</w:t>
      </w:r>
    </w:p>
    <w:p w:rsidR="00A31137" w:rsidRPr="00A31137" w:rsidRDefault="00A31137" w:rsidP="00A31137">
      <w:r w:rsidRPr="00A31137">
        <w:t>1988 Republican Platform, p.65</w:t>
      </w:r>
    </w:p>
    <w:p w:rsidR="00A31137" w:rsidRPr="00A31137" w:rsidRDefault="00A31137" w:rsidP="00A31137">
      <w:r w:rsidRPr="00A31137">
        <w:t>The Republican Party has a long and honored tradition of preserving our nation's natural resources and environment. We recognize that the preservation, conservation, and protection of our environment contribute to our health and well-being and that, as citizens, we all share in the responsibility to safeguard our God-given resources. A great Republican President, Teddy Roosevelt, once characterized our environmental challenge as "the great central task of leaving this land even a better land for our descendants than it is for us." Satisfying this imperative requires dedication and a commitment both to the protection of our environment and to the development of economic opportunities for all through a growing economy.</w:t>
      </w:r>
    </w:p>
    <w:p w:rsidR="00A31137" w:rsidRPr="00A31137" w:rsidRDefault="00A31137" w:rsidP="00A31137">
      <w:r w:rsidRPr="00A31137">
        <w:t>1988 Republican Platform, p.65</w:t>
      </w:r>
    </w:p>
    <w:p w:rsidR="00A31137" w:rsidRPr="00A31137" w:rsidRDefault="00A31137" w:rsidP="00A31137">
      <w:r w:rsidRPr="00A31137">
        <w:t>Republicans have led the efforts to protect the environment.</w:t>
      </w:r>
    </w:p>
    <w:p w:rsidR="00A31137" w:rsidRPr="00A31137" w:rsidRDefault="00A31137" w:rsidP="00A31137">
      <w:r w:rsidRPr="00A31137">
        <w:t>1988 Republican Platform, p.65</w:t>
      </w:r>
    </w:p>
    <w:p w:rsidR="00A31137" w:rsidRPr="00A31137" w:rsidRDefault="00A31137" w:rsidP="00A31137">
      <w:r w:rsidRPr="00A31137">
        <w:t xml:space="preserve">• </w:t>
      </w:r>
      <w:r w:rsidRPr="00A31137">
        <w:tab/>
        <w:t>We have dramatically reduced airborne lead contamination. This reduction has been perhaps the most important contribution to the health of Americans living in urban areas.</w:t>
      </w:r>
    </w:p>
    <w:p w:rsidR="00A31137" w:rsidRPr="00A31137" w:rsidRDefault="00A31137" w:rsidP="00A31137">
      <w:r w:rsidRPr="00A31137">
        <w:t xml:space="preserve">• </w:t>
      </w:r>
      <w:r w:rsidRPr="00A31137">
        <w:tab/>
        <w:t>By almost any measure, the air is vastly improved from the 1970s. Carbon monoxide, sulphur dioxide, ozone, nitrogen dioxide, and other emissions have declined substantially.</w:t>
      </w:r>
    </w:p>
    <w:p w:rsidR="00A31137" w:rsidRPr="00A31137" w:rsidRDefault="00A31137" w:rsidP="00A31137">
      <w:r w:rsidRPr="00A31137">
        <w:t xml:space="preserve">• </w:t>
      </w:r>
      <w:r w:rsidRPr="00A31137">
        <w:tab/>
        <w:t>We brought record numbers of enforcement cases against toxic polluters based on the principle that polluters should pay for the damages they cause.</w:t>
      </w:r>
    </w:p>
    <w:p w:rsidR="00A31137" w:rsidRPr="00A31137" w:rsidRDefault="00A31137" w:rsidP="00A31137">
      <w:r w:rsidRPr="00A31137">
        <w:t xml:space="preserve">• </w:t>
      </w:r>
      <w:r w:rsidRPr="00A31137">
        <w:tab/>
        <w:t>We pioneered an international accord for the protection of the stratospheric ozone layer, the first such international agreement.</w:t>
      </w:r>
    </w:p>
    <w:p w:rsidR="00A31137" w:rsidRPr="00A31137" w:rsidRDefault="00A31137" w:rsidP="00A31137">
      <w:r w:rsidRPr="00A31137">
        <w:t xml:space="preserve">• </w:t>
      </w:r>
      <w:r w:rsidRPr="00A31137">
        <w:tab/>
        <w:t>Dramatic progress has been made in protecting coastal barrier islands, in reducing coastal erosion, and in protecting estuaries.</w:t>
      </w:r>
    </w:p>
    <w:p w:rsidR="00A31137" w:rsidRPr="00A31137" w:rsidRDefault="00A31137" w:rsidP="00A31137">
      <w:r w:rsidRPr="00A31137">
        <w:t xml:space="preserve">• </w:t>
      </w:r>
      <w:r w:rsidRPr="00A31137">
        <w:tab/>
        <w:t xml:space="preserve">We have led the fight to clean up our Great Lakes and the Chesapeake and Narragansett Bays, some of the most unique and productive ecosystems on earth. [p.66] </w:t>
      </w:r>
    </w:p>
    <w:p w:rsidR="00A31137" w:rsidRPr="00A31137" w:rsidRDefault="00A31137" w:rsidP="00A31137">
      <w:r w:rsidRPr="00A31137">
        <w:t>•</w:t>
      </w:r>
      <w:r w:rsidRPr="00A31137">
        <w:tab/>
        <w:t>We encouraged agricultural conservation, enhanced our wetlands, and preserved and restored our National Parks, which had suffered tragic neglect in the years preceding the Reagan-Bush Administration.</w:t>
      </w:r>
    </w:p>
    <w:p w:rsidR="00A31137" w:rsidRPr="00A31137" w:rsidRDefault="00A31137" w:rsidP="00A31137">
      <w:r w:rsidRPr="00A31137">
        <w:t xml:space="preserve">• </w:t>
      </w:r>
      <w:r w:rsidRPr="00A31137">
        <w:tab/>
        <w:t>Under Republican leadership, the most important soil conservation measure of the last half-century became law as the Conservation Title of the 1985 Farm Bill.</w:t>
      </w:r>
    </w:p>
    <w:p w:rsidR="00A31137" w:rsidRPr="00A31137" w:rsidRDefault="00A31137" w:rsidP="00A31137">
      <w:r w:rsidRPr="00A31137">
        <w:t xml:space="preserve">• </w:t>
      </w:r>
      <w:r w:rsidRPr="00A31137">
        <w:tab/>
        <w:t>We established 34 national wildlife refuges in 21 States and territories.</w:t>
      </w:r>
    </w:p>
    <w:p w:rsidR="00A31137" w:rsidRPr="00A31137" w:rsidRDefault="00A31137" w:rsidP="00A31137">
      <w:r w:rsidRPr="00A31137">
        <w:t xml:space="preserve">• </w:t>
      </w:r>
      <w:r w:rsidRPr="00A31137">
        <w:tab/>
        <w:t>We reformed U.S. and international aid programs to assist developing nations to assure environmental protection.</w:t>
      </w:r>
    </w:p>
    <w:p w:rsidR="00A31137" w:rsidRPr="00A31137" w:rsidRDefault="00A31137" w:rsidP="00A31137">
      <w:r w:rsidRPr="00A31137">
        <w:t>1988 Republican Platform, p.66</w:t>
      </w:r>
    </w:p>
    <w:p w:rsidR="00A31137" w:rsidRPr="00A31137" w:rsidRDefault="00A31137" w:rsidP="00A31137">
      <w:r w:rsidRPr="00A31137">
        <w:t>Republicans look to the environmental future with confidence in the American people and with a renewed commitment to world leadership in environmental protection. We recognize the necessary role of the federal government only in matters that cannot be managed by regional cooperation or by levels of government closer to the people. Cooperative action by all is needed to advance the nation's agenda for a cleaner, safer environment.</w:t>
      </w:r>
    </w:p>
    <w:p w:rsidR="00A31137" w:rsidRPr="00A31137" w:rsidRDefault="00A31137" w:rsidP="00A31137">
      <w:r w:rsidRPr="00A31137">
        <w:t>1988 Republican Platform, p.66</w:t>
      </w:r>
    </w:p>
    <w:p w:rsidR="00A31137" w:rsidRPr="00A31137" w:rsidRDefault="00A31137" w:rsidP="00A31137">
      <w:r w:rsidRPr="00A31137">
        <w:t>The toughest challenges lie ahead of us. Republicans propose the following program for the environment in the 1990s:</w:t>
      </w:r>
    </w:p>
    <w:p w:rsidR="00A31137" w:rsidRPr="00A31137" w:rsidRDefault="00A31137" w:rsidP="00A31137">
      <w:r w:rsidRPr="00A31137">
        <w:t>1988 Republican Platform, p.66</w:t>
      </w:r>
    </w:p>
    <w:p w:rsidR="00A31137" w:rsidRPr="00A31137" w:rsidRDefault="00A31137" w:rsidP="00A31137">
      <w:r w:rsidRPr="00A31137">
        <w:t xml:space="preserve">• </w:t>
      </w:r>
      <w:r w:rsidRPr="00A31137">
        <w:tab/>
        <w:t>We will work for further reductions in air and water pollution and effective actions against the threats posed by acid rain. These goals can and must be achieved without harmful economic dislocation.</w:t>
      </w:r>
    </w:p>
    <w:p w:rsidR="00A31137" w:rsidRPr="00A31137" w:rsidRDefault="00A31137" w:rsidP="00A31137">
      <w:r w:rsidRPr="00A31137">
        <w:t xml:space="preserve">• </w:t>
      </w:r>
      <w:r w:rsidRPr="00A31137">
        <w:tab/>
        <w:t>We are committed to minimizing the release of toxins into the environment.</w:t>
      </w:r>
    </w:p>
    <w:p w:rsidR="00A31137" w:rsidRPr="00A31137" w:rsidRDefault="00A31137" w:rsidP="00A31137">
      <w:r w:rsidRPr="00A31137">
        <w:t xml:space="preserve">• </w:t>
      </w:r>
      <w:r w:rsidRPr="00A31137">
        <w:tab/>
        <w:t>We will continue to lead the effort to develop new clean-coal technologies and to remove the barriers that prevent cleaner, alternative fuels from being used.</w:t>
      </w:r>
    </w:p>
    <w:p w:rsidR="00A31137" w:rsidRPr="00A31137" w:rsidRDefault="00A31137" w:rsidP="00A31137">
      <w:r w:rsidRPr="00A31137">
        <w:t xml:space="preserve">• </w:t>
      </w:r>
      <w:r w:rsidRPr="00A31137">
        <w:tab/>
        <w:t>We support a comprehensive plan of action to fight coastal erosion and to protect and restore the nation's beaches, coral reefs, bodies of water, wetlands and estuaries such as the Louisiana coast, Chesapeake Bay, the Great Lakes, San Francisco Bay, Puget Sound, Narragansett Bay, and other environmentally sensitive areas. The restoration of these areas will continue to be a priority.</w:t>
      </w:r>
    </w:p>
    <w:p w:rsidR="00A31137" w:rsidRPr="00A31137" w:rsidRDefault="00A31137" w:rsidP="00A31137">
      <w:r w:rsidRPr="00A31137">
        <w:t xml:space="preserve">• </w:t>
      </w:r>
      <w:r w:rsidRPr="00A31137">
        <w:tab/>
        <w:t xml:space="preserve">A top priority of our country must be the continued improvement of our National Parks and wildlife areas. We must upgrade our recreation, fisheries, and wildlife programs in parks, wildlife refuges, forests, and other public lands. We support efforts, including innovative public-private partnerships, to restore declining waterfowl populations and enhance recreational fisheries. [p.67] </w:t>
      </w:r>
    </w:p>
    <w:p w:rsidR="00A31137" w:rsidRPr="00A31137" w:rsidRDefault="00A31137" w:rsidP="00A31137">
      <w:r w:rsidRPr="00A31137">
        <w:t xml:space="preserve">• </w:t>
      </w:r>
      <w:r w:rsidRPr="00A31137">
        <w:tab/>
        <w:t>We will fight to protect endangered species and to sustain biological diversity wordwide.</w:t>
      </w:r>
    </w:p>
    <w:p w:rsidR="00A31137" w:rsidRPr="00A31137" w:rsidRDefault="00A31137" w:rsidP="00A31137">
      <w:r w:rsidRPr="00A31137">
        <w:t xml:space="preserve">• </w:t>
      </w:r>
      <w:r w:rsidRPr="00A31137">
        <w:tab/>
        <w:t>We support federal, State, and local policies, including tax code provisions, which lead to the renewal and revitalization of our environment through restoration and which encourage scenic easements designed to preserve farmland and open spaces.</w:t>
      </w:r>
    </w:p>
    <w:p w:rsidR="00A31137" w:rsidRPr="00A31137" w:rsidRDefault="00A31137" w:rsidP="00A31137">
      <w:r w:rsidRPr="00A31137">
        <w:t xml:space="preserve">• </w:t>
      </w:r>
      <w:r w:rsidRPr="00A31137">
        <w:tab/>
        <w:t>We believe public lands should not be transferred to any special group in a manner inconsistent with current Reagan-Bush Administration policy. To the extent possible, consistent with current policy, we should keep public lands open and accessible.</w:t>
      </w:r>
    </w:p>
    <w:p w:rsidR="00A31137" w:rsidRPr="00A31137" w:rsidRDefault="00A31137" w:rsidP="00A31137">
      <w:r w:rsidRPr="00A31137">
        <w:t xml:space="preserve">• </w:t>
      </w:r>
      <w:r w:rsidRPr="00A31137">
        <w:tab/>
        <w:t>We will protect the productive capacity of our lands by minimizing erosion.</w:t>
      </w:r>
    </w:p>
    <w:p w:rsidR="00A31137" w:rsidRPr="00A31137" w:rsidRDefault="00A31137" w:rsidP="00A31137">
      <w:r w:rsidRPr="00A31137">
        <w:t xml:space="preserve">• </w:t>
      </w:r>
      <w:r w:rsidRPr="00A31137">
        <w:tab/>
        <w:t>We are committed to the historic preservation of our American heritage, including our architectural, archeological, and maritime resources.</w:t>
      </w:r>
    </w:p>
    <w:p w:rsidR="00A31137" w:rsidRPr="00A31137" w:rsidRDefault="00A31137" w:rsidP="00A31137">
      <w:r w:rsidRPr="00A31137">
        <w:t xml:space="preserve">• </w:t>
      </w:r>
      <w:r w:rsidRPr="00A31137">
        <w:tab/>
        <w:t>We support strong enforcement of our environmental laws and will accelerate the pace of our national effort to clean up hazardous waste sites and to protect our groundwater. We will promote proper use of fertilizers and pesticides to minimize pollution of groundwater.</w:t>
      </w:r>
    </w:p>
    <w:p w:rsidR="00A31137" w:rsidRPr="00A31137" w:rsidRDefault="00A31137" w:rsidP="00A31137">
      <w:r w:rsidRPr="00A31137">
        <w:t xml:space="preserve">• </w:t>
      </w:r>
      <w:r w:rsidRPr="00A31137">
        <w:tab/>
        <w:t>Republicans recognize that toxic and hazardous waste production is increasing. Therefore, we will utilize the nation's scientific community to develop solutions to this waste disposal dilemma as an alternative to the continued burying, exporting, and ocean dumping of these dangerous substances, as they are no more than stop-gap measures with extremely tragic potential.</w:t>
      </w:r>
    </w:p>
    <w:p w:rsidR="00A31137" w:rsidRPr="00A31137" w:rsidRDefault="00A31137" w:rsidP="00A31137">
      <w:r w:rsidRPr="00A31137">
        <w:t xml:space="preserve">• </w:t>
      </w:r>
      <w:r w:rsidRPr="00A31137">
        <w:tab/>
        <w:t>We are committed to solving our country's increasing problem of waste disposal. By 1995, half of our existing landfills will be closed, and municipalities will have increased difficulty finding new sites. This is an issue which will require the dedication and resolve of our local communities, the private sector, and all of us as citizens. Resource recovery, recycling, and waste minimization are critical elements of our solution, and we will work to ensure that innovative approaches to the problem are encouraged.</w:t>
      </w:r>
    </w:p>
    <w:p w:rsidR="00A31137" w:rsidRPr="00A31137" w:rsidRDefault="00A31137" w:rsidP="00A31137">
      <w:r w:rsidRPr="00A31137">
        <w:t xml:space="preserve">• </w:t>
      </w:r>
      <w:r w:rsidRPr="00A31137">
        <w:tab/>
        <w:t>We are determined to prevent dumping off our coasts and in international waters. Ocean dumping poses a hazard not only to marine life, but also to those who live along our coasts and to those who use them for recreation. Where federal laws have been violated, we will [p.68] prosecute polluters to the full extent of the law, including adherence to the 1991 federal ban on ocean dumping of sewage sludge. Where laws need to be strengthened, we will work at the federal, State, and local levels to do so.</w:t>
      </w:r>
    </w:p>
    <w:p w:rsidR="00A31137" w:rsidRPr="00A31137" w:rsidRDefault="00A31137" w:rsidP="00A31137">
      <w:r w:rsidRPr="00A31137">
        <w:t xml:space="preserve">• </w:t>
      </w:r>
      <w:r w:rsidRPr="00A31137">
        <w:tab/>
        <w:t>We will support all serious efforts to cope with the special problems of illegal dumping of hospital and medical waste. We pledge close cooperation by the Environmental Protection Agency with States and industry groups to develop new approaches to the most cost-effective means for the safe disposal by responsible medical facilities. Those who continue to dump illegally threaten the very life and health of our communities, and we call for enactment by the States of tough new felony laws that will permit swift prosecution of these criminals.</w:t>
      </w:r>
    </w:p>
    <w:p w:rsidR="00A31137" w:rsidRPr="00A31137" w:rsidRDefault="00A31137" w:rsidP="00A31137">
      <w:r w:rsidRPr="00A31137">
        <w:t xml:space="preserve">• </w:t>
      </w:r>
      <w:r w:rsidRPr="00A31137">
        <w:tab/>
        <w:t>We will require that federal departments and agencies meet or exceed the environmental standards set for citizens in the private sector.</w:t>
      </w:r>
    </w:p>
    <w:p w:rsidR="00A31137" w:rsidRPr="00A31137" w:rsidRDefault="00A31137" w:rsidP="00A31137">
      <w:r w:rsidRPr="00A31137">
        <w:t>1988 Republican Platform, p.68</w:t>
      </w:r>
    </w:p>
    <w:p w:rsidR="00A31137" w:rsidRPr="00A31137" w:rsidRDefault="00A31137" w:rsidP="00A31137">
      <w:r w:rsidRPr="00A31137">
        <w:t>Many of the most serious environmental problems that will confront us in the years ahead are global in scope. For example, degradation of the stratospheric ozone layer poses a health hazard not only to Americans, but to all peoples around the globe. The Reagan-Bush Administration successfully pioneered an agreement to attack this problem through world-wide action. In addition, we will continue to lead this effort by promoting private sector initiatives to develop new technologies and adopt processes which protect the ozone layer. A similar ability to develop international agreements to solve complex global problems such as tropical forest destruction, ocean dumping, climate change, and earthquakes will be increasingly vital in the years ahead. All of these efforts will require strong and experienced leadership to lead the other nations of the world in a common effort to combat ecological dangers that threaten all peoples. The Republican Party believes that, toward this end, the National Oceanic and Atmospheric Administration should be joined with the Environmental Protection Agency.</w:t>
      </w:r>
    </w:p>
    <w:p w:rsidR="00A31137" w:rsidRPr="00A31137" w:rsidRDefault="00A31137" w:rsidP="00A31137">
      <w:r w:rsidRPr="00A31137">
        <w:t>1988 Republican Platform, p.68</w:t>
      </w:r>
    </w:p>
    <w:p w:rsidR="00A31137" w:rsidRPr="00A31137" w:rsidRDefault="00A31137" w:rsidP="00A31137">
      <w:r w:rsidRPr="00A31137">
        <w:t xml:space="preserve">We all have a stake in maintaining the environmental balance and ecological health of our planet and our country. As Republicans, we hold that it is of critical importance to preserve our national heritage. We must assure that programs for economic growth and opportunity sustain the natural abundance of our land and waters and protect the health and well-being of our citizens. As a nation, we should take pride in our accomplishments and look forward to fulfilling our obligation of leaving this land an even better place for our children and future generations. [p.69] </w:t>
      </w:r>
    </w:p>
    <w:p w:rsidR="00A31137" w:rsidRPr="00A31137" w:rsidRDefault="00A31137" w:rsidP="00A31137">
      <w:r w:rsidRPr="00A31137">
        <w:t>Transportation for America</w:t>
      </w:r>
    </w:p>
    <w:p w:rsidR="00A31137" w:rsidRPr="00A31137" w:rsidRDefault="00A31137" w:rsidP="00A31137">
      <w:r w:rsidRPr="00A31137">
        <w:t>1988 Republican Platform, p.69</w:t>
      </w:r>
    </w:p>
    <w:p w:rsidR="00A31137" w:rsidRPr="00A31137" w:rsidRDefault="00A31137" w:rsidP="00A31137">
      <w:r w:rsidRPr="00A31137">
        <w:t>Republican leadership has revitalized America's transportation system. Through regulatory reform, we increased efficiency in all major modes of transportation. By making our national transportation system safer, more convenient, and less expensive, we have both strengthened our economy and served the interests of all the American people:</w:t>
      </w:r>
    </w:p>
    <w:p w:rsidR="00A31137" w:rsidRPr="00A31137" w:rsidRDefault="00A31137" w:rsidP="00A31137">
      <w:r w:rsidRPr="00A31137">
        <w:t xml:space="preserve">• </w:t>
      </w:r>
      <w:r w:rsidRPr="00A31137">
        <w:tab/>
        <w:t>Aviation deregulation now saves consumers $11 billion annually through improved productivity and lower air fares. Millions more Americans can now afford to fly. Even though more people are flying, the overall safety record for commercial aviation during the past four years has been the best in history.</w:t>
      </w:r>
    </w:p>
    <w:p w:rsidR="00A31137" w:rsidRPr="00A31137" w:rsidRDefault="00A31137" w:rsidP="00A31137">
      <w:r w:rsidRPr="00A31137">
        <w:t xml:space="preserve">• </w:t>
      </w:r>
      <w:r w:rsidRPr="00A31137">
        <w:tab/>
        <w:t>The National Airspace System (NAS) Plan is upgrading virtually all the equipment in the air traffic control system to meet safety and capacity needs into the next century.</w:t>
      </w:r>
    </w:p>
    <w:p w:rsidR="00A31137" w:rsidRPr="00A31137" w:rsidRDefault="00A31137" w:rsidP="00A31137">
      <w:r w:rsidRPr="00A31137">
        <w:t xml:space="preserve">• </w:t>
      </w:r>
      <w:r w:rsidRPr="00A31137">
        <w:tab/>
        <w:t>Rail freight service has been rescued from the brink of insolvency and revitalized. Railroads have lowered rates for many shippers, helping to keep the transportation cost of coal-generated electric power down and making America's farmers more competitive abroad.</w:t>
      </w:r>
    </w:p>
    <w:p w:rsidR="00A31137" w:rsidRPr="00A31137" w:rsidRDefault="00A31137" w:rsidP="00A31137">
      <w:r w:rsidRPr="00A31137">
        <w:t xml:space="preserve">• </w:t>
      </w:r>
      <w:r w:rsidRPr="00A31137">
        <w:tab/>
        <w:t>The creation of regional and short-line railroads has been encouraged by the Reagan-Bush Administration. The development of these small businesses has been a welcomed alternative to railroad abandonments, and we will continue to encourage their growth.</w:t>
      </w:r>
      <w:r w:rsidRPr="00A31137">
        <w:cr/>
      </w:r>
    </w:p>
    <w:p w:rsidR="00A31137" w:rsidRPr="00A31137" w:rsidRDefault="00A31137" w:rsidP="00A31137">
      <w:r w:rsidRPr="00A31137">
        <w:t xml:space="preserve">• </w:t>
      </w:r>
      <w:r w:rsidRPr="00A31137">
        <w:tab/>
        <w:t>The Reagan-Bush Administration achieved new rail safety legislation which expands federal jurisdiction over drug, alcohol, and safety violations.</w:t>
      </w:r>
    </w:p>
    <w:p w:rsidR="00A31137" w:rsidRPr="00A31137" w:rsidRDefault="00A31137" w:rsidP="00A31137">
      <w:r w:rsidRPr="00A31137">
        <w:t xml:space="preserve">• </w:t>
      </w:r>
      <w:r w:rsidRPr="00A31137">
        <w:tab/>
        <w:t>America's trucking industry has also been improved. The number of motor carriers has more than doubled since regulatory barriers to competition were removed. Many of these new carriers are small or minority-owned businesses. Private enterprise has thus been able to restructure routes, reduce empty backhauls, and simplify rates. Reduced regulation saves the American consumer $37 billion annually in lower freight bills, making businesses in every part of America more competitive.</w:t>
      </w:r>
    </w:p>
    <w:p w:rsidR="00A31137" w:rsidRPr="00A31137" w:rsidRDefault="00A31137" w:rsidP="00A31137">
      <w:r w:rsidRPr="00A31137">
        <w:t xml:space="preserve">• </w:t>
      </w:r>
      <w:r w:rsidRPr="00A31137">
        <w:tab/>
        <w:t>The successful sale of Conrail through a public offering recouped nearly $2 billion dollars of the taxpayers' investment in bankrupt railroads from the 1970s.</w:t>
      </w:r>
    </w:p>
    <w:p w:rsidR="00A31137" w:rsidRPr="00A31137" w:rsidRDefault="00A31137" w:rsidP="00A31137">
      <w:r w:rsidRPr="00A31137">
        <w:t xml:space="preserve">• </w:t>
      </w:r>
      <w:r w:rsidRPr="00A31137">
        <w:tab/>
        <w:t xml:space="preserve">The Reagan-Bush Administration has undertaken a comprehensive program to upgrade federal interstate highways and bridges. [p.70] </w:t>
      </w:r>
    </w:p>
    <w:p w:rsidR="00A31137" w:rsidRPr="00A31137" w:rsidRDefault="00A31137" w:rsidP="00A31137">
      <w:r w:rsidRPr="00A31137">
        <w:t>•</w:t>
      </w:r>
      <w:r w:rsidRPr="00A31137">
        <w:tab/>
        <w:t>Through highway improvements, education, and federal encouragement of tougher State laws against drunk driving, highway safety has vastly improved.</w:t>
      </w:r>
    </w:p>
    <w:p w:rsidR="00A31137" w:rsidRPr="00A31137" w:rsidRDefault="00A31137" w:rsidP="00A31137">
      <w:r w:rsidRPr="00A31137">
        <w:t>1988 Republican Platform, p.70</w:t>
      </w:r>
    </w:p>
    <w:p w:rsidR="00A31137" w:rsidRPr="00A31137" w:rsidRDefault="00A31137" w:rsidP="00A31137">
      <w:r w:rsidRPr="00A31137">
        <w:t>As we look to the future, the Republican Party will continue to press for improved transportation safety, reduced costs, and greater availability and convenience of transportation through more open markets and other mechanisms. The Republican Party believes that:</w:t>
      </w:r>
    </w:p>
    <w:p w:rsidR="00A31137" w:rsidRPr="00A31137" w:rsidRDefault="00A31137" w:rsidP="00A31137">
      <w:r w:rsidRPr="00A31137">
        <w:t>1988 Republican Platform, p.70</w:t>
      </w:r>
    </w:p>
    <w:p w:rsidR="00A31137" w:rsidRPr="00A31137" w:rsidRDefault="00A31137" w:rsidP="00A31137">
      <w:r w:rsidRPr="00A31137">
        <w:t xml:space="preserve">• </w:t>
      </w:r>
      <w:r w:rsidRPr="00A31137">
        <w:tab/>
        <w:t>Americans demand that those entrusted with their safety while operating commercial motor vehicles, railroads, or aircraft not use drugs or alcohol. While we will protect individual rights, the Republican Party supports comprehensive efforts to curb drug and alcohol abuse in transportation, including drug and alcohol testing of all those in safety-related positions.</w:t>
      </w:r>
    </w:p>
    <w:p w:rsidR="00A31137" w:rsidRPr="00A31137" w:rsidRDefault="00A31137" w:rsidP="00A31137">
      <w:r w:rsidRPr="00A31137">
        <w:t xml:space="preserve">• </w:t>
      </w:r>
      <w:r w:rsidRPr="00A31137">
        <w:tab/>
        <w:t>Our transportation system is based upon a vast public and private investment in infrastructure, which must continue to grow and to be maintained to meet America's needs. We advocate greater local autonomy in decision-making concerning the Highway Trust Fund and the Airport and Airway Trust Fund, and we oppose diversion of their resources to other purposes.</w:t>
      </w:r>
    </w:p>
    <w:p w:rsidR="00A31137" w:rsidRPr="00A31137" w:rsidRDefault="00A31137" w:rsidP="00A31137">
      <w:r w:rsidRPr="00A31137">
        <w:t xml:space="preserve">• </w:t>
      </w:r>
      <w:r w:rsidRPr="00A31137">
        <w:tab/>
        <w:t>Research should be developed for new technologies to deal with urban gridlock and congested highways.</w:t>
      </w:r>
    </w:p>
    <w:p w:rsidR="00A31137" w:rsidRPr="00A31137" w:rsidRDefault="00A31137" w:rsidP="00A31137">
      <w:r w:rsidRPr="00A31137">
        <w:t xml:space="preserve">• </w:t>
      </w:r>
      <w:r w:rsidRPr="00A31137">
        <w:tab/>
        <w:t>The travel and tourism industry is a positive force in enhancing cultural understanding and sustaining economic prosperity. We recognize its important contributions and should work to encourage its continued growth.</w:t>
      </w:r>
    </w:p>
    <w:p w:rsidR="00A31137" w:rsidRPr="00A31137" w:rsidRDefault="00A31137" w:rsidP="00A31137">
      <w:r w:rsidRPr="00A31137">
        <w:t xml:space="preserve">• </w:t>
      </w:r>
      <w:r w:rsidRPr="00A31137">
        <w:tab/>
        <w:t>The federal government and local communities must work together to develop additional airport capacity of all types. At the same time, we support timely completion of the National Airspace System plan and continuing augmentation of air traffic control and aircraft inspection personnel.</w:t>
      </w:r>
    </w:p>
    <w:p w:rsidR="00A31137" w:rsidRPr="00A31137" w:rsidRDefault="00A31137" w:rsidP="00A31137">
      <w:r w:rsidRPr="00A31137">
        <w:t>•</w:t>
      </w:r>
      <w:r w:rsidRPr="00A31137">
        <w:tab/>
        <w:t>We will further increase American jobs and trade opportunities by assuring that American air carriers are afforded full and fair access to international route authorities.</w:t>
      </w:r>
    </w:p>
    <w:p w:rsidR="00A31137" w:rsidRPr="00A31137" w:rsidRDefault="00A31137" w:rsidP="00A31137">
      <w:r w:rsidRPr="00A31137">
        <w:t xml:space="preserve">• </w:t>
      </w:r>
      <w:r w:rsidRPr="00A31137">
        <w:tab/>
        <w:t xml:space="preserve">We will not abandon the economic flexibility that has so enormously strengthened the health of our railroads and so powerfully benefited the American economy. [p.71] </w:t>
      </w:r>
    </w:p>
    <w:p w:rsidR="00A31137" w:rsidRPr="00A31137" w:rsidRDefault="00A31137" w:rsidP="00A31137">
      <w:r w:rsidRPr="00A31137">
        <w:t xml:space="preserve">• </w:t>
      </w:r>
      <w:r w:rsidRPr="00A31137">
        <w:tab/>
        <w:t>Development of high speed rail systems to meet the needs of inter-city travel should be encouraged.</w:t>
      </w:r>
    </w:p>
    <w:p w:rsidR="00A31137" w:rsidRPr="00A31137" w:rsidRDefault="00A31137" w:rsidP="00A31137">
      <w:r w:rsidRPr="00A31137">
        <w:t xml:space="preserve">• </w:t>
      </w:r>
      <w:r w:rsidRPr="00A31137">
        <w:tab/>
        <w:t>Year by year since 1981, Amtrak operations have shown improvement. Amtrak's ratio of revenues to costs stood at 48 percent in 1981. Last year, 65 percent of the costs were covered by revenues. Fiscal year 1988 will see the ratio pushing 70 percent. We recognize that inter-city rail passenger service plays an important role in our transportation system. At the same time, we support continued reductions in public subsidies.</w:t>
      </w:r>
    </w:p>
    <w:p w:rsidR="00A31137" w:rsidRPr="00A31137" w:rsidRDefault="00A31137" w:rsidP="00A31137">
      <w:r w:rsidRPr="00A31137">
        <w:t xml:space="preserve">• </w:t>
      </w:r>
      <w:r w:rsidRPr="00A31137">
        <w:tab/>
        <w:t>A new spirit of competitive enterprise in transportation throughout all levels of government should be encouraged. We will encourage both States and cities to utilize private companies, where effective, to operate commuter bus and transit services at substantial savings over what publicly funded systems cost.</w:t>
      </w:r>
    </w:p>
    <w:p w:rsidR="00A31137" w:rsidRPr="00A31137" w:rsidRDefault="00A31137" w:rsidP="00A31137">
      <w:r w:rsidRPr="00A31137">
        <w:t xml:space="preserve">• </w:t>
      </w:r>
      <w:r w:rsidRPr="00A31137">
        <w:tab/>
        <w:t>The engines of innovation powered by regulatory reform have brought forth exciting advances in the technology of trucking, rail, and shipping, particularly as they work together as an integrated system for the movement of goods domestically and abroad. Alternative fuels that are clean and efficient will both improve air quality and reduce our dependence on imported oil in meeting transportation needs. These technological approaches are far preferable to outmoded regulation, such as the current design of Corporate Average Fuel Economy (CAFE) standards, which create substantial advantages for foreign auto manufacturers and actually promote the export of U.S. jobs.</w:t>
      </w:r>
    </w:p>
    <w:p w:rsidR="00A31137" w:rsidRPr="00A31137" w:rsidRDefault="00A31137" w:rsidP="00A31137">
      <w:r w:rsidRPr="00A31137">
        <w:t xml:space="preserve">• </w:t>
      </w:r>
      <w:r w:rsidRPr="00A31137">
        <w:tab/>
        <w:t>We consider a privately owned merchant fleet and domestic shipbuilding capacity necessary to carry our nation's commerce in peace and to support our defense responsibilities. We will support programs to give the American maritime industry greater flexibility and freedom in meeting foreign competition.</w:t>
      </w:r>
    </w:p>
    <w:p w:rsidR="00A31137" w:rsidRPr="00A31137" w:rsidRDefault="00A31137" w:rsidP="00A31137">
      <w:r w:rsidRPr="00A31137">
        <w:t xml:space="preserve">• </w:t>
      </w:r>
      <w:r w:rsidRPr="00A31137">
        <w:tab/>
        <w:t>We are committed to continuing the Reagan-Bush Administration efforts to stop foreign protectionism that inhibits U.S. flag vessels from fairly competing abroad.</w:t>
      </w:r>
    </w:p>
    <w:p w:rsidR="00A31137" w:rsidRPr="00A31137" w:rsidRDefault="00A31137" w:rsidP="00A31137">
      <w:r w:rsidRPr="00A31137">
        <w:t xml:space="preserve">• </w:t>
      </w:r>
      <w:r w:rsidRPr="00A31137">
        <w:tab/>
        <w:t xml:space="preserve">Maritime safety, search and rescue, military preparedness, environmental and fisheries enforcement, and drug interdiction have long been the responsibility of the U.S. Coast Guard. The Republican Party supports all of these vital roles, and we will support funding and manpower adequate to enable the Coast Guard to carry out its responsibilities. [p.72] </w:t>
      </w:r>
    </w:p>
    <w:p w:rsidR="00A31137" w:rsidRPr="00A31137" w:rsidRDefault="00A31137" w:rsidP="00A31137">
      <w:r w:rsidRPr="00A31137">
        <w:t>America Leading The World</w:t>
      </w:r>
    </w:p>
    <w:p w:rsidR="00A31137" w:rsidRPr="00A31137" w:rsidRDefault="00A31137" w:rsidP="00A31137">
      <w:r w:rsidRPr="00A31137">
        <w:t>1988 Republican Platform, p.72</w:t>
      </w:r>
    </w:p>
    <w:p w:rsidR="00A31137" w:rsidRPr="00A31137" w:rsidRDefault="00A31137" w:rsidP="00A31137">
      <w:r w:rsidRPr="00A31137">
        <w:t>Under the leadership of President Ronald Reagan and Vice President George Bush, America has led the world through eight years of peace and prosperity.</w:t>
      </w:r>
    </w:p>
    <w:p w:rsidR="00A31137" w:rsidRPr="00A31137" w:rsidRDefault="00A31137" w:rsidP="00A31137">
      <w:r w:rsidRPr="00A31137">
        <w:t>1988 Republican Platform, p.72</w:t>
      </w:r>
    </w:p>
    <w:p w:rsidR="00A31137" w:rsidRPr="00A31137" w:rsidRDefault="00A31137" w:rsidP="00A31137">
      <w:r w:rsidRPr="00A31137">
        <w:t>In the years since 1980, our nation has become in fact what it has always been in principle, "the last best hope of mankind on earth."</w:t>
      </w:r>
    </w:p>
    <w:p w:rsidR="00A31137" w:rsidRPr="00A31137" w:rsidRDefault="00A31137" w:rsidP="00A31137">
      <w:r w:rsidRPr="00A31137">
        <w:t>1988 Republican Platform, p.72</w:t>
      </w:r>
    </w:p>
    <w:p w:rsidR="00A31137" w:rsidRPr="00A31137" w:rsidRDefault="00A31137" w:rsidP="00A31137">
      <w:r w:rsidRPr="00A31137">
        <w:t>Republicans know that free nations are peace loving and do not threaten other democracies. To the extent, therefore, that democracies are established in the world, America will be safer. Consequently, our nation has a compelling interest to encourage and help actively to build the conditions of democracy wherever people strive for freedom.</w:t>
      </w:r>
    </w:p>
    <w:p w:rsidR="00A31137" w:rsidRPr="00A31137" w:rsidRDefault="00A31137" w:rsidP="00A31137">
      <w:r w:rsidRPr="00A31137">
        <w:t>1988 Republican Platform, p.72</w:t>
      </w:r>
    </w:p>
    <w:p w:rsidR="00A31137" w:rsidRPr="00A31137" w:rsidRDefault="00A31137" w:rsidP="00A31137">
      <w:r w:rsidRPr="00A31137">
        <w:t>In 1961, President John Kennedy said, "We shall pay any price, bear any burden, meet any hardship, support any friend, oppose any foe to assure the survival and success of liberty." Seeds sown by the Reagan-Bush Administration to make good on that promise are now bearing fruit.</w:t>
      </w:r>
    </w:p>
    <w:p w:rsidR="00A31137" w:rsidRPr="00A31137" w:rsidRDefault="00A31137" w:rsidP="00A31137">
      <w:r w:rsidRPr="00A31137">
        <w:t>1988 Republican Platform, p.72</w:t>
      </w:r>
    </w:p>
    <w:p w:rsidR="00A31137" w:rsidRPr="00A31137" w:rsidRDefault="00A31137" w:rsidP="00A31137">
      <w:r w:rsidRPr="00A31137">
        <w:t>Today's Republican Party has the only legitimate claim to this legacy, for our opposition to totalitarianism is resolute. For those Democrats who came of age politically under the party of Truman and Kennedy, the message is clear: The old Democrat world view of realistic anti-communism, with real freedom as its goal, has been abandoned by today's national Democrat Party.</w:t>
      </w:r>
    </w:p>
    <w:p w:rsidR="00A31137" w:rsidRPr="00A31137" w:rsidRDefault="00A31137" w:rsidP="00A31137">
      <w:r w:rsidRPr="00A31137">
        <w:t>1988 Republican Platform, p.72</w:t>
      </w:r>
    </w:p>
    <w:p w:rsidR="00A31137" w:rsidRPr="00A31137" w:rsidRDefault="00A31137" w:rsidP="00A31137">
      <w:r w:rsidRPr="00A31137">
        <w:t>In the tradition of the Republican Party, we have long-term foreign policy goals and objectives which provide vision and leadership. We also have a realistic, long-term strategy to match those goals. The primary objectives of foreign policy must be defending the United States of America and its people; protecting America's vital national interests abroad; and fostering peace, stability and security throughout the world through democratic self-determination and economic prosperity.</w:t>
      </w:r>
    </w:p>
    <w:p w:rsidR="00A31137" w:rsidRPr="00A31137" w:rsidRDefault="00A31137" w:rsidP="00A31137">
      <w:r w:rsidRPr="00A31137">
        <w:t>1988 Republican Platform, p.72</w:t>
      </w:r>
    </w:p>
    <w:p w:rsidR="00A31137" w:rsidRPr="00A31137" w:rsidRDefault="00A31137" w:rsidP="00A31137">
      <w:r w:rsidRPr="00A31137">
        <w:t>To accomplish these goals, we believe our policies must be built upon three basic pillars: strength, realism, and dialogue.</w:t>
      </w:r>
    </w:p>
    <w:p w:rsidR="00A31137" w:rsidRPr="00A31137" w:rsidRDefault="00A31137" w:rsidP="00A31137">
      <w:r w:rsidRPr="00A31137">
        <w:t>1988 Republican Platform, p.72</w:t>
      </w:r>
    </w:p>
    <w:p w:rsidR="00A31137" w:rsidRPr="00A31137" w:rsidRDefault="00A31137" w:rsidP="00A31137">
      <w:r w:rsidRPr="00A31137">
        <w:t>Republican foreign policy, based on a peace preserved by steadfastly providing for our own security, brought us the INF treaty, which eliminated an entire class of nuclear weapons. America's determination and will, coupled with our European allies' staunch cooperation, brought the Soviets to the bargaining table and won meaningful reductions in nuclear weapons. The INF treaty was not won by unilateral concessions or the unilateral cancelling of weapons programs.</w:t>
      </w:r>
    </w:p>
    <w:p w:rsidR="00A31137" w:rsidRPr="00A31137" w:rsidRDefault="00A31137" w:rsidP="00A31137">
      <w:r w:rsidRPr="00A31137">
        <w:t>1988 Republican Platform, p.73</w:t>
      </w:r>
    </w:p>
    <w:p w:rsidR="00A31137" w:rsidRPr="00A31137" w:rsidRDefault="00A31137" w:rsidP="00A31137">
      <w:r w:rsidRPr="00A31137">
        <w:t>Today's Republican foreign policy has been tested and validated. Our [p.73] formula for success is based on a realistic assessment of the world as it is, not as some would like it to be. The Soviet retreat from Afghanistan is not the result of luck or the need of the Kremlin to save a few rubles. It is a direct result of a Republican policy known as the Reagan Doctrine: our determination to provide meaningful aid to people who would rather die on their feet than live on their knees under the yoke of Soviet-supported oppression. Support for freedom-fighters, coupled with an openness to negotiate, will be the model for our resistance to Marxist expansionism elsewhere.</w:t>
      </w:r>
    </w:p>
    <w:p w:rsidR="00A31137" w:rsidRPr="00A31137" w:rsidRDefault="00A31137" w:rsidP="00A31137">
      <w:r w:rsidRPr="00A31137">
        <w:t>1988 Republican Platform, p.73</w:t>
      </w:r>
    </w:p>
    <w:p w:rsidR="00A31137" w:rsidRPr="00A31137" w:rsidRDefault="00A31137" w:rsidP="00A31137">
      <w:r w:rsidRPr="00A31137">
        <w:t>The world expects the United States to lead. Republicans believe it is in our country's best interest to continue to do so. For this reason, we will engage both our adversaries and friends. We share a common interest in survival and peaceful competition. However, the Reagan-Bush Administration has shown that dialogue and engagement can be successful only if undertaken from a position of strength. We know something the national Democrats seem to have forgotten: If a foreign policy is based upon weakness or unrealistic assumptions about the world, it is doomed to failure. If it is based upon naivete, it will be doomed to disaster.</w:t>
      </w:r>
    </w:p>
    <w:p w:rsidR="00A31137" w:rsidRPr="00A31137" w:rsidRDefault="00A31137" w:rsidP="00A31137">
      <w:r w:rsidRPr="00A31137">
        <w:t>1988 Republican Platform, p.73</w:t>
      </w:r>
    </w:p>
    <w:p w:rsidR="00A31137" w:rsidRPr="00A31137" w:rsidRDefault="00A31137" w:rsidP="00A31137">
      <w:r w:rsidRPr="00A31137">
        <w:t>Under our constitutional system, the execution of foreign policy is the prime responsibility of the executive branch. We therefore denounce the excessive interference in this function by the current Democrat majority in the Congress, as it creates the appearance of weakness and confusion and endangers the successful conduct of American foreign policy.</w:t>
      </w:r>
    </w:p>
    <w:p w:rsidR="00A31137" w:rsidRPr="00A31137" w:rsidRDefault="00A31137" w:rsidP="00A31137">
      <w:r w:rsidRPr="00A31137">
        <w:t>1988 Republican Platform, p.73</w:t>
      </w:r>
    </w:p>
    <w:p w:rsidR="00A31137" w:rsidRPr="00A31137" w:rsidRDefault="00A31137" w:rsidP="00A31137">
      <w:r w:rsidRPr="00A31137">
        <w:t>The world in 1988 shows the success of peace through strength and the Reagan Doctrine advancing America's national interests. Our relations with the Soviets are now based on these determined and realistic policies. Results such as the INF treaty are a concrete example of the soundness of this approach:</w:t>
      </w:r>
    </w:p>
    <w:p w:rsidR="00A31137" w:rsidRPr="00A31137" w:rsidRDefault="00A31137" w:rsidP="00A31137">
      <w:r w:rsidRPr="00A31137">
        <w:t>1988 Republican Platform, p.73</w:t>
      </w:r>
    </w:p>
    <w:p w:rsidR="00A31137" w:rsidRPr="00A31137" w:rsidRDefault="00A31137" w:rsidP="00A31137">
      <w:r w:rsidRPr="00A31137">
        <w:t xml:space="preserve">• </w:t>
      </w:r>
      <w:r w:rsidRPr="00A31137">
        <w:tab/>
        <w:t>The Afghan people are on the verge of ridding their country of Soviet occupation, and with our continued support they can secure true liberty.</w:t>
      </w:r>
    </w:p>
    <w:p w:rsidR="00A31137" w:rsidRPr="00A31137" w:rsidRDefault="00A31137" w:rsidP="00A31137">
      <w:r w:rsidRPr="00A31137">
        <w:t xml:space="preserve">• </w:t>
      </w:r>
      <w:r w:rsidRPr="00A31137">
        <w:tab/>
        <w:t>In Southeast Asia, our policies of isolation toward Vietnam and our support for the Cambodian resistance have contributed to Vietnam's decision to get out of Cambodia.</w:t>
      </w:r>
    </w:p>
    <w:p w:rsidR="00A31137" w:rsidRPr="00A31137" w:rsidRDefault="00A31137" w:rsidP="00A31137">
      <w:r w:rsidRPr="00A31137">
        <w:t xml:space="preserve">• </w:t>
      </w:r>
      <w:r w:rsidRPr="00A31137">
        <w:tab/>
        <w:t>In southern Africa, Cuban troops may soon be leaving Angola; Namibia may soon enjoy independence.</w:t>
      </w:r>
    </w:p>
    <w:p w:rsidR="00A31137" w:rsidRPr="00A31137" w:rsidRDefault="00A31137" w:rsidP="00A31137">
      <w:r w:rsidRPr="00A31137">
        <w:t xml:space="preserve">• </w:t>
      </w:r>
      <w:r w:rsidRPr="00A31137">
        <w:tab/>
        <w:t xml:space="preserve">The Iran-Iraq war is closer to a settlement due to the strong leadership of the Reagan-Bush Administration in the United Nations and the American presence in the Persian Gulf. [p.74] </w:t>
      </w:r>
    </w:p>
    <w:p w:rsidR="00A31137" w:rsidRPr="00A31137" w:rsidRDefault="00A31137" w:rsidP="00A31137">
      <w:r w:rsidRPr="00A31137">
        <w:t>1988 Republican Platform, p.74</w:t>
      </w:r>
    </w:p>
    <w:p w:rsidR="00A31137" w:rsidRPr="00A31137" w:rsidRDefault="00A31137" w:rsidP="00A31137">
      <w:r w:rsidRPr="00A31137">
        <w:t>The party Abraham Lincoln helped to establish—the party of Teddy Roosevelt, Dwight Eisenhower, Ronald Reagan, and George Bush—today offers the United States of America continued leadership, strong and effective. The President of the United States must be a good Commander-in-Chief; the Oval Office is no place for on-the-job training. The Republican Party, tempered by real-world experience, accustomed to making tough choices, is prepared to lead America forward into the 1990s.</w:t>
      </w:r>
    </w:p>
    <w:p w:rsidR="00A31137" w:rsidRPr="00A31137" w:rsidRDefault="00A31137" w:rsidP="00A31137">
      <w:r w:rsidRPr="00A31137">
        <w:t>The Americas</w:t>
      </w:r>
    </w:p>
    <w:p w:rsidR="00A31137" w:rsidRPr="00A31137" w:rsidRDefault="00A31137" w:rsidP="00A31137">
      <w:r w:rsidRPr="00A31137">
        <w:t>1988 Republican Platform, p.74</w:t>
      </w:r>
    </w:p>
    <w:p w:rsidR="00A31137" w:rsidRPr="00A31137" w:rsidRDefault="00A31137" w:rsidP="00A31137">
      <w:r w:rsidRPr="00A31137">
        <w:t>Our future is intimately tied to the future of the Americas. Family, language, culture, environment, and trade link us closely with both Canada and Mexico. Our relations with both of these friends will be based upon continuing cooperation and our mutually shared interests. Our attention to trade and environmental issues will contribute to strong economic growth and prosperity throughout the Americas.</w:t>
      </w:r>
    </w:p>
    <w:p w:rsidR="00A31137" w:rsidRPr="00A31137" w:rsidRDefault="00A31137" w:rsidP="00A31137">
      <w:r w:rsidRPr="00A31137">
        <w:t>1988 Republican Platform, p.74</w:t>
      </w:r>
    </w:p>
    <w:p w:rsidR="00A31137" w:rsidRPr="00A31137" w:rsidRDefault="00A31137" w:rsidP="00A31137">
      <w:r w:rsidRPr="00A31137">
        <w:t>Today, more Latin Americans than ever before live free because of their partnership with the United States to promote self-determination, democracy, and an end to subversion. The Republican Party reaffirms its strong support of the Monroe Doctrine as the foundation for our policy throughout the Hemisphere, and pledges to conduct foreign policy in accord with its principles. We thereby seek not only to provide for our own security, but also to create a climate for democracy and self-determination throughout the Americas.</w:t>
      </w:r>
    </w:p>
    <w:p w:rsidR="00A31137" w:rsidRPr="00A31137" w:rsidRDefault="00A31137" w:rsidP="00A31137">
      <w:r w:rsidRPr="00A31137">
        <w:t>1988 Republican Platform, p.74</w:t>
      </w:r>
    </w:p>
    <w:p w:rsidR="00A31137" w:rsidRPr="00A31137" w:rsidRDefault="00A31137" w:rsidP="00A31137">
      <w:r w:rsidRPr="00A31137">
        <w:t>Central America has always been a region of strategic importance to the United States. There, Nicaragua has become a Soviet client state like Cuba. Democratic progress in the region is threatened directly by the Sandinista military machine and armed subversion exported from Nicaragua, Cuba, and the Soviet Union. The Sandinistas are now equipped with Soviet arms which, in quality and quantity, are far in excess of their own defense requirements.</w:t>
      </w:r>
    </w:p>
    <w:p w:rsidR="00A31137" w:rsidRPr="00A31137" w:rsidRDefault="00A31137" w:rsidP="00A31137">
      <w:r w:rsidRPr="00A31137">
        <w:t>1988 Republican Platform, p.74</w:t>
      </w:r>
    </w:p>
    <w:p w:rsidR="00A31137" w:rsidRPr="00A31137" w:rsidRDefault="00A31137" w:rsidP="00A31137">
      <w:r w:rsidRPr="00A31137">
        <w:t>The people of Nicaragua are denied basic human, religious, and political rights by the Sandinista junta. Today, thousands of Nicaraguans are united in a struggle to free their homeland from a totalitarian regime. The Republican Party stands shoulder to shoulder with them in this struggle and is committed to assist them with both humanitarian and military aid. Peace without freedom for the Nicaraguan people is not good enough.</w:t>
      </w:r>
    </w:p>
    <w:p w:rsidR="00A31137" w:rsidRPr="00A31137" w:rsidRDefault="00A31137" w:rsidP="00A31137">
      <w:r w:rsidRPr="00A31137">
        <w:t>1988 Republican Platform, p.74</w:t>
      </w:r>
    </w:p>
    <w:p w:rsidR="00A31137" w:rsidRPr="00A31137" w:rsidRDefault="00A31137" w:rsidP="00A31137">
      <w:r w:rsidRPr="00A31137">
        <w:t>If democracy does not prevail, if Nicaragua remains a communist dictatorship dedicated to exporting revolution, the fragile democracies in Central America will be jeopardized. The Republican Party stands with them in their struggle for peace, freedom, and economic growth. We express our emphatic support for the people and government of [p.75] El Salvador, a target of foreign-directed insurgency. Under Republican leadership, the United States should respond to requests from our Central American neighbors for security assistance to protect their emerging democracies against insurgencies sponsored by the Soviets, Cuba, or others.</w:t>
      </w:r>
    </w:p>
    <w:p w:rsidR="00A31137" w:rsidRPr="00A31137" w:rsidRDefault="00A31137" w:rsidP="00A31137">
      <w:r w:rsidRPr="00A31137">
        <w:t>1988 Republican Platform, p.75</w:t>
      </w:r>
    </w:p>
    <w:p w:rsidR="00A31137" w:rsidRPr="00A31137" w:rsidRDefault="00A31137" w:rsidP="00A31137">
      <w:r w:rsidRPr="00A31137">
        <w:t>Democracy continues to prosper in El Salvador, Guatemala, Honduras, and in Costa Rica, the region's oldest democracy. However, economic growth in these countries has not matched their political progress. The United States must take the lead in strengthening democratic institutions through economic development based on free market principles. We pledge our continued support to the peoples of the Americas who embrace and sustain democratic principles in their self-government.</w:t>
      </w:r>
    </w:p>
    <w:p w:rsidR="00A31137" w:rsidRPr="00A31137" w:rsidRDefault="00A31137" w:rsidP="00A31137">
      <w:r w:rsidRPr="00A31137">
        <w:t>1988 Republican Platform, p.75</w:t>
      </w:r>
    </w:p>
    <w:p w:rsidR="00A31137" w:rsidRPr="00A31137" w:rsidRDefault="00A31137" w:rsidP="00A31137">
      <w:r w:rsidRPr="00A31137">
        <w:t>A Republican Administration will continue to promote policy reforms to free the private sector in Central America, such as deregulation of enterprise and privatization of government operations. We will assist friendly democracies in reviving the institutions of regional economic cooperation and integration, and will allow Nicaragua to participate when it enjoys a free, pluralist society and respects free-market principles.</w:t>
      </w:r>
    </w:p>
    <w:p w:rsidR="00A31137" w:rsidRPr="00A31137" w:rsidRDefault="00A31137" w:rsidP="00A31137">
      <w:r w:rsidRPr="00A31137">
        <w:t>1988 Republican Platform, p.75</w:t>
      </w:r>
    </w:p>
    <w:p w:rsidR="00A31137" w:rsidRPr="00A31137" w:rsidRDefault="00A31137" w:rsidP="00A31137">
      <w:r w:rsidRPr="00A31137">
        <w:t>The growth of democracy and freedom throughout Latin America is one of the most positive foreign policy developments of the 1980s. Republican leadership has created the environment necessary for this growth. Over the past decade, Latin Americans have moved boldly toward democracy, with 26 of 33 nations now democratic or in transition toward democracy. Mexico has a special strategic and economic importance to the United States, and we encourage close cooperation across a wide variety of fronts in order to strengthen further this critical relationship.</w:t>
      </w:r>
    </w:p>
    <w:p w:rsidR="00A31137" w:rsidRPr="00A31137" w:rsidRDefault="00A31137" w:rsidP="00A31137">
      <w:r w:rsidRPr="00A31137">
        <w:t>1988 Republican Platform, p.75</w:t>
      </w:r>
    </w:p>
    <w:p w:rsidR="00A31137" w:rsidRPr="00A31137" w:rsidRDefault="00A31137" w:rsidP="00A31137">
      <w:r w:rsidRPr="00A31137">
        <w:t>We believe the governments of Latin America must band together to defeat the drug trade which now flourishes in the region. We must pledge our full cooperation and support for efforts to induce producers of illicit drug crops to substitute other methods of generating income.</w:t>
      </w:r>
    </w:p>
    <w:p w:rsidR="00A31137" w:rsidRPr="00A31137" w:rsidRDefault="00A31137" w:rsidP="00A31137">
      <w:r w:rsidRPr="00A31137">
        <w:t>1988 Republican Platform, p.75</w:t>
      </w:r>
    </w:p>
    <w:p w:rsidR="00A31137" w:rsidRPr="00A31137" w:rsidRDefault="00A31137" w:rsidP="00A31137">
      <w:r w:rsidRPr="00A31137">
        <w:t>Republicans will continue to oppose any normalization of relations with the government of Cuba as long as Fidel Castro continues to oppress the Cuban people at home and to support international terrorism and drug trafficking abroad. We will vigorously continue our support for establishment of a genuinely representative government directly elected by the Cuban people. We reiterate our support of Radio Marti and urge the creation of TV Marti to better reach the oppressed people of Cuba.</w:t>
      </w:r>
    </w:p>
    <w:p w:rsidR="00A31137" w:rsidRPr="00A31137" w:rsidRDefault="00A31137" w:rsidP="00A31137">
      <w:r w:rsidRPr="00A31137">
        <w:t>1988 Republican Platform, p.75</w:t>
      </w:r>
    </w:p>
    <w:p w:rsidR="00A31137" w:rsidRPr="00A31137" w:rsidRDefault="00A31137" w:rsidP="00A31137">
      <w:r w:rsidRPr="00A31137">
        <w:t>Panama now poses a different challenge to the regional progress made over the past eight years. Our policy must be as firm with respect to military authoritarianism and narco-terrorism as it is with communist tyranny and guerrilla subversion. That policy must include a determined [p.76] effort to bring to justice any identified narco-terrorist or drug dealer within his or her country of residence or in the courts of the United States of America. Republicans view the Panama Canal as a critical, strategic artery connecting the Atlantic and Pacific. We believe that U.S. access to the Panama Canal must remain free and unencumbered consistent with the foremost principle of the Canal Treaty. We acknowledge, however, the historical partnership and friendship between the American and Panamanian people.</w:t>
      </w:r>
    </w:p>
    <w:p w:rsidR="00A31137" w:rsidRPr="00A31137" w:rsidRDefault="00A31137" w:rsidP="00A31137">
      <w:r w:rsidRPr="00A31137">
        <w:t>1988 Republican Platform, p.76</w:t>
      </w:r>
    </w:p>
    <w:p w:rsidR="00A31137" w:rsidRPr="00A31137" w:rsidRDefault="00A31137" w:rsidP="00A31137">
      <w:r w:rsidRPr="00A31137">
        <w:t>Republicans believe that an active, engaged America, clear of purpose and steady in action, is essential to continued progress in Latin America. Passivity and neglect are a sure prescription for the reversal of freedom and peace in Latin America.</w:t>
      </w:r>
    </w:p>
    <w:p w:rsidR="00A31137" w:rsidRPr="00A31137" w:rsidRDefault="00A31137" w:rsidP="00A31137">
      <w:r w:rsidRPr="00A31137">
        <w:t>The Soviet Union: New Challenges and Enduring Realities</w:t>
      </w:r>
    </w:p>
    <w:p w:rsidR="00A31137" w:rsidRPr="00A31137" w:rsidRDefault="00A31137" w:rsidP="00A31137">
      <w:r w:rsidRPr="00A31137">
        <w:t>1988 Republican Platform, p.76</w:t>
      </w:r>
    </w:p>
    <w:p w:rsidR="00A31137" w:rsidRPr="00A31137" w:rsidRDefault="00A31137" w:rsidP="00A31137">
      <w:r w:rsidRPr="00A31137">
        <w:t>Steady American leadership is needed now more than ever to deal with the challenges posed by a rapidly changing Soviet Union. Americans cannot afford a future administration which eagerly attempts to embrace perceived, but as yet unproven, changes in Soviet policy. Nor can we indulge naive inexperience or an overly enthusiastic endorsement of current Soviet rhetoric.</w:t>
      </w:r>
    </w:p>
    <w:p w:rsidR="00A31137" w:rsidRPr="00A31137" w:rsidRDefault="00A31137" w:rsidP="00A31137">
      <w:r w:rsidRPr="00A31137">
        <w:t>1988 Republican Platform, p.76</w:t>
      </w:r>
    </w:p>
    <w:p w:rsidR="00A31137" w:rsidRPr="00A31137" w:rsidRDefault="00A31137" w:rsidP="00A31137">
      <w:r w:rsidRPr="00A31137">
        <w:t>The current leaders in the Soviet Union came to power while the United States was undergoing an unsurpassed political, economic, and military resurgence. The Reagan-Bush success story—new jobs and unprecedented economic growth combined with reasserted leadership of the free world—was not lost on the new Soviet regime. It had inherited a bankrupt economy, a society with a Third World standard of living, and military power based upon the sweat of the Soviet worker. Confronted by the failure of their system, the new Soviet leaders have been forced to search for new solutions.</w:t>
      </w:r>
    </w:p>
    <w:p w:rsidR="00A31137" w:rsidRPr="00A31137" w:rsidRDefault="00A31137" w:rsidP="00A31137">
      <w:r w:rsidRPr="00A31137">
        <w:t>1988 Republican Platform, p.76</w:t>
      </w:r>
    </w:p>
    <w:p w:rsidR="00A31137" w:rsidRPr="00A31137" w:rsidRDefault="00A31137" w:rsidP="00A31137">
      <w:r w:rsidRPr="00A31137">
        <w:t>Republicans are proud that it was a Republican President who extended freedom's hand and message to the Soviet Union. It will be a new Republican President who can best build on that progress, ever cautious of communism's long history of expansionism and false promises. We are prepared to embrace real reform, but we will not leave America unprepared should reform prove illusory.</w:t>
      </w:r>
    </w:p>
    <w:p w:rsidR="00A31137" w:rsidRPr="00A31137" w:rsidRDefault="00A31137" w:rsidP="00A31137">
      <w:r w:rsidRPr="00A31137">
        <w:t>1988 Republican Platform, p.76</w:t>
      </w:r>
    </w:p>
    <w:p w:rsidR="00A31137" w:rsidRPr="00A31137" w:rsidRDefault="00A31137" w:rsidP="00A31137">
      <w:r w:rsidRPr="00A31137">
        <w:t xml:space="preserve">Soviet calls for global peace and harmony ring hollow when compared with ongoing Soviet support for communist guerrillas and governments throughout the Third World. Even in Afghanistan, the Soviet Union is in retreat not as a result of a more benevolent Soviet world view, but because of the courage of determined Mujahidin freedom-fighters fully supported by the United States. [p.77] </w:t>
      </w:r>
    </w:p>
    <w:p w:rsidR="00A31137" w:rsidRPr="00A31137" w:rsidRDefault="00A31137" w:rsidP="00A31137">
      <w:r w:rsidRPr="00A31137">
        <w:t>1988 Republican Platform, p.77</w:t>
      </w:r>
    </w:p>
    <w:p w:rsidR="00A31137" w:rsidRPr="00A31137" w:rsidRDefault="00A31137" w:rsidP="00A31137">
      <w:r w:rsidRPr="00A31137">
        <w:t>The Soviet military continues to grow. Tanks and aircraft continue to roll off Soviet production lines at a rate two to three times that of the United States. Soviet military doctrine remains offensive in nature, as illustrated by the intimidating presence of massed Soviet tank divisions in Eastern Europe. This is the reality of Soviet military posture.</w:t>
      </w:r>
    </w:p>
    <w:p w:rsidR="00A31137" w:rsidRPr="00A31137" w:rsidRDefault="00A31137" w:rsidP="00A31137">
      <w:r w:rsidRPr="00A31137">
        <w:t>1988 Republican Platform, p.77</w:t>
      </w:r>
    </w:p>
    <w:p w:rsidR="00A31137" w:rsidRPr="00A31137" w:rsidRDefault="00A31137" w:rsidP="00A31137">
      <w:r w:rsidRPr="00A31137">
        <w:t>With a realistic view of the Soviet Union and the appropriate role of arms reductions in the U.S.-Soviet relationship, the Reagan-Bush Administration concluded the historic INF agreement with the Soviet Union. Ongoing negotiations with the Soviet Union to reduce strategic nuclear weapons by 50 percent are possible because the American people trust Republican leadership. The American people know that, for Republicans, no agreement is better than an agreement detrimental to the security of the free world. To pursue arms control for its own sake or at any cost is naive and dangerous.</w:t>
      </w:r>
    </w:p>
    <w:p w:rsidR="00A31137" w:rsidRPr="00A31137" w:rsidRDefault="00A31137" w:rsidP="00A31137">
      <w:r w:rsidRPr="00A31137">
        <w:t>1988 Republican Platform, p.77</w:t>
      </w:r>
    </w:p>
    <w:p w:rsidR="00A31137" w:rsidRPr="00A31137" w:rsidRDefault="00A31137" w:rsidP="00A31137">
      <w:r w:rsidRPr="00A31137">
        <w:t>Republicans will continue to work with the new Soviet leadership. But the terms of the relationship will be based upon persistent and steady attention to certain fundamental principles:</w:t>
      </w:r>
    </w:p>
    <w:p w:rsidR="00A31137" w:rsidRPr="00A31137" w:rsidRDefault="00A31137" w:rsidP="00A31137">
      <w:r w:rsidRPr="00A31137">
        <w:t>1988 Republican Platform, p.77</w:t>
      </w:r>
    </w:p>
    <w:p w:rsidR="00A31137" w:rsidRPr="00A31137" w:rsidRDefault="00A31137" w:rsidP="00A31137">
      <w:r w:rsidRPr="00A31137">
        <w:t xml:space="preserve">• </w:t>
      </w:r>
      <w:r w:rsidRPr="00A31137">
        <w:tab/>
        <w:t>Human and religious rights in the Soviet Union.</w:t>
      </w:r>
    </w:p>
    <w:p w:rsidR="00A31137" w:rsidRPr="00A31137" w:rsidRDefault="00A31137" w:rsidP="00A31137">
      <w:r w:rsidRPr="00A31137">
        <w:t xml:space="preserve">• </w:t>
      </w:r>
      <w:r w:rsidRPr="00A31137">
        <w:tab/>
        <w:t>Economic reform in the Soviet Union.</w:t>
      </w:r>
    </w:p>
    <w:p w:rsidR="00A31137" w:rsidRPr="00A31137" w:rsidRDefault="00A31137" w:rsidP="00A31137">
      <w:r w:rsidRPr="00A31137">
        <w:t xml:space="preserve">• </w:t>
      </w:r>
      <w:r w:rsidRPr="00A31137">
        <w:tab/>
        <w:t>Cessation of Soviet support for communist regimes, radical groups, and terrorists.</w:t>
      </w:r>
    </w:p>
    <w:p w:rsidR="00A31137" w:rsidRPr="00A31137" w:rsidRDefault="00A31137" w:rsidP="00A31137">
      <w:r w:rsidRPr="00A31137">
        <w:t xml:space="preserve">• </w:t>
      </w:r>
      <w:r w:rsidRPr="00A31137">
        <w:tab/>
        <w:t>Verified full compliance with all arms control agreements.  The right of free emigration for all Soviet citizens.</w:t>
      </w:r>
    </w:p>
    <w:p w:rsidR="00A31137" w:rsidRPr="00A31137" w:rsidRDefault="00A31137" w:rsidP="00A31137">
      <w:r w:rsidRPr="00A31137">
        <w:t xml:space="preserve">• </w:t>
      </w:r>
      <w:r w:rsidRPr="00A31137">
        <w:tab/>
        <w:t>Reduction in the Soviets' massive offensive strategic and conventional capability. In other words, Soviet military doctrine must match its rhetoric.</w:t>
      </w:r>
    </w:p>
    <w:p w:rsidR="00A31137" w:rsidRPr="00A31137" w:rsidRDefault="00A31137" w:rsidP="00A31137">
      <w:r w:rsidRPr="00A31137">
        <w:t xml:space="preserve">• </w:t>
      </w:r>
      <w:r w:rsidRPr="00A31137">
        <w:tab/>
        <w:t>An end to untied credits, particularly general purpose loans which provide the Soviet Union with desperately needed hard currency to bolster its weak economy and facilitate illicit Soviet purchase of U.S. technology.</w:t>
      </w:r>
    </w:p>
    <w:p w:rsidR="00A31137" w:rsidRPr="00A31137" w:rsidRDefault="00A31137" w:rsidP="00A31137">
      <w:r w:rsidRPr="00A31137">
        <w:t>1988 Republican Platform, p.77</w:t>
      </w:r>
    </w:p>
    <w:p w:rsidR="00A31137" w:rsidRPr="00A31137" w:rsidRDefault="00A31137" w:rsidP="00A31137">
      <w:r w:rsidRPr="00A31137">
        <w:t xml:space="preserve">Republicans proudly reaffirm the Reagan Doctrine: America's commitment to aid freedom-fighters against the communist oppression which destroys freedom and the human spirit. We salute the liberation of Grenada. We affirm our support for the heroic fighters in the Afghan resistance and pledge to see them through to the end of their struggle. We pledge political and material support to democratic liberation movements around the world. [p.78] </w:t>
      </w:r>
    </w:p>
    <w:p w:rsidR="00A31137" w:rsidRPr="00A31137" w:rsidRDefault="00A31137" w:rsidP="00A31137">
      <w:r w:rsidRPr="00A31137">
        <w:t>1988 Republican Platform, p.78</w:t>
      </w:r>
    </w:p>
    <w:p w:rsidR="00A31137" w:rsidRPr="00A31137" w:rsidRDefault="00A31137" w:rsidP="00A31137">
      <w:r w:rsidRPr="00A31137">
        <w:t>Republicans believe human rights are advanced most where freedom is advanced first. We call on the Soviet government to release political prisoners, allow free emigration for "refuseniks" and others, and introduce full religious tolerance. Soviet Jews, Christians, Armenians, and other ethnic and religious groups are systematically persecuted, denied the right to emigrate, and prevented from freely practicing their religious beliefs. This situation is intolerable, and Republicans demand an end to all of these discriminatory practices.</w:t>
      </w:r>
    </w:p>
    <w:p w:rsidR="00A31137" w:rsidRPr="00A31137" w:rsidRDefault="00A31137" w:rsidP="00A31137">
      <w:r w:rsidRPr="00A31137">
        <w:t>1988 Republican Platform, p.78</w:t>
      </w:r>
    </w:p>
    <w:p w:rsidR="00A31137" w:rsidRPr="00A31137" w:rsidRDefault="00A31137" w:rsidP="00A31137">
      <w:r w:rsidRPr="00A31137">
        <w:t>We support the desire for freedom and self-determination of all those living in Captive Nations. The Republican Party denounces the oppression of the national free will of Poles, Hungarians, Czechoslovakians, East Germans, Bulgarians, Romanians, and Albanians. We support the desire for freedom of Estonians, Latvians, Lithuanians, Ukrainians, the people of the Caucasus, and other peoples held captive in the Soviet Union. We support the Solidarity free trade union movement in Poland.</w:t>
      </w:r>
    </w:p>
    <w:p w:rsidR="00A31137" w:rsidRPr="00A31137" w:rsidRDefault="00A31137" w:rsidP="00A31137">
      <w:r w:rsidRPr="00A31137">
        <w:t>1988 Republican Platform, p.78</w:t>
      </w:r>
    </w:p>
    <w:p w:rsidR="00A31137" w:rsidRPr="00A31137" w:rsidRDefault="00A31137" w:rsidP="00A31137">
      <w:r w:rsidRPr="00A31137">
        <w:t>We find the violation of human rights on the basis of religion or culture to be morally repugnant to the values we hold. Historical tragedies—like the Holocaust or the terrible persecution suffered by the Armenian people —vividly remind us of the need for vigilance in protecting and promoting human rights. We and others must ensure that such tragedies occur never again.</w:t>
      </w:r>
    </w:p>
    <w:p w:rsidR="00A31137" w:rsidRPr="00A31137" w:rsidRDefault="00A31137" w:rsidP="00A31137">
      <w:r w:rsidRPr="00A31137">
        <w:t>1988 Republican Platform, p.78</w:t>
      </w:r>
    </w:p>
    <w:p w:rsidR="00A31137" w:rsidRPr="00A31137" w:rsidRDefault="00A31137" w:rsidP="00A31137">
      <w:r w:rsidRPr="00A31137">
        <w:t>The Republican Party commends the Reagan-Bush Administration for its far-sighted efforts to modernize our electronic tools of public diplomacy to reach the Captive Nations. The Voice of America, Worldnet, Radio Free Europe and Radio Liberty are on the leading edge of our public diplomacy efforts. These electronic means of communication are force-multipliers of truth. They attack one of the darkest pillars of totalitarianism: the oppression of people through the control of information. We urge the further use of advanced technologies such as Direct Broadcast Satellites and videotape, as well as continuing use of television and radio broadcasting, to articulate the values of individual liberty throughout the world.</w:t>
      </w:r>
    </w:p>
    <w:p w:rsidR="00A31137" w:rsidRPr="00A31137" w:rsidRDefault="00A31137" w:rsidP="00A31137">
      <w:r w:rsidRPr="00A31137">
        <w:t>Combatting Narcotics: Defending Our Children</w:t>
      </w:r>
    </w:p>
    <w:p w:rsidR="00A31137" w:rsidRPr="00A31137" w:rsidRDefault="00A31137" w:rsidP="00A31137">
      <w:r w:rsidRPr="00A31137">
        <w:t>1988 Republican Platform, p.78</w:t>
      </w:r>
    </w:p>
    <w:p w:rsidR="00A31137" w:rsidRPr="00A31137" w:rsidRDefault="00A31137" w:rsidP="00A31137">
      <w:r w:rsidRPr="00A31137">
        <w:t>By eradication at the source, interdiction in transit, education and deterrence against use, prompt extradition of drug kingpins, or rehabilitation, America must be drug free. No nation can remain free when its children are enslaved by drugs.</w:t>
      </w:r>
    </w:p>
    <w:p w:rsidR="00A31137" w:rsidRPr="00A31137" w:rsidRDefault="00A31137" w:rsidP="00A31137">
      <w:r w:rsidRPr="00A31137">
        <w:t>1988 Republican Platform, p.78</w:t>
      </w:r>
    </w:p>
    <w:p w:rsidR="00A31137" w:rsidRPr="00A31137" w:rsidRDefault="00A31137" w:rsidP="00A31137">
      <w:r w:rsidRPr="00A31137">
        <w:t>We consider drugs a major national security threat to the United States.</w:t>
      </w:r>
    </w:p>
    <w:p w:rsidR="00A31137" w:rsidRPr="00A31137" w:rsidRDefault="00A31137" w:rsidP="00A31137">
      <w:r w:rsidRPr="00A31137">
        <w:t>1988 Republican Platform, p.78</w:t>
      </w:r>
    </w:p>
    <w:p w:rsidR="00A31137" w:rsidRPr="00A31137" w:rsidRDefault="00A31137" w:rsidP="00A31137">
      <w:r w:rsidRPr="00A31137">
        <w:t>We urge all nations to unite against this evil. Although we salute our hemispheric neighbors who are fighting the war on drugs, we expect all [p.79] nations to help stop this deadly commerce. We pledge aggressive interdiction and eradication, with strong penalties against countries which shield or condone the narcotics traffic.</w:t>
      </w:r>
    </w:p>
    <w:p w:rsidR="00A31137" w:rsidRPr="00A31137" w:rsidRDefault="00A31137" w:rsidP="00A31137">
      <w:r w:rsidRPr="00A31137">
        <w:t>1988 Republican Platform, p.79</w:t>
      </w:r>
    </w:p>
    <w:p w:rsidR="00A31137" w:rsidRPr="00A31137" w:rsidRDefault="00A31137" w:rsidP="00A31137">
      <w:r w:rsidRPr="00A31137">
        <w:t>Republicans are proud of the fact that we have dramatically increased the interdiction of dangerous drugs. For example, over the past 6 years, our annual seizure of cocaine has increased by over 1,500 percent. While much has been accomplished in eradicating drugs at the source and in transit, much more remains to be done.</w:t>
      </w:r>
    </w:p>
    <w:p w:rsidR="00A31137" w:rsidRPr="00A31137" w:rsidRDefault="00A31137" w:rsidP="00A31137">
      <w:r w:rsidRPr="00A31137">
        <w:t>1988 Republican Platform, p.79</w:t>
      </w:r>
    </w:p>
    <w:p w:rsidR="00A31137" w:rsidRPr="00A31137" w:rsidRDefault="00A31137" w:rsidP="00A31137">
      <w:r w:rsidRPr="00A31137">
        <w:t>We will use our armed forces in the war on drugs to the maximum extent possible. We must emphasize their special capabilities in surveillance and command and control for interdiction and in special operations for eradication of drugs at the source.</w:t>
      </w:r>
    </w:p>
    <w:p w:rsidR="00A31137" w:rsidRPr="00A31137" w:rsidRDefault="00A31137" w:rsidP="00A31137">
      <w:r w:rsidRPr="00A31137">
        <w:t>1988 Republican Platform, p.79</w:t>
      </w:r>
    </w:p>
    <w:p w:rsidR="00A31137" w:rsidRPr="00A31137" w:rsidRDefault="00A31137" w:rsidP="00A31137">
      <w:r w:rsidRPr="00A31137">
        <w:t>To fight international drug trade, we will stress the swift extradition of traffickers. We support a comprehensive use of America's resources to apprehend and convict drug dealers. To enforce anti-drug policy, we pledge to enhance eradication efforts with increased herbicide use; regulate exports of "precursor chemicals" used in the manufacture of illicit drugs; train and equip cooperating government law-enforcement agencies; emphasize a strategy to "choke off" drug supply routes; and impose the death penalty for drug kingpins and those who kill federal law enforcement agents.</w:t>
      </w:r>
    </w:p>
    <w:p w:rsidR="00A31137" w:rsidRPr="00A31137" w:rsidRDefault="00A31137" w:rsidP="00A31137">
      <w:r w:rsidRPr="00A31137">
        <w:t>Europe and the Defense of the West</w:t>
      </w:r>
    </w:p>
    <w:p w:rsidR="00A31137" w:rsidRPr="00A31137" w:rsidRDefault="00A31137" w:rsidP="00A31137">
      <w:r w:rsidRPr="00A31137">
        <w:t>1988 Republican Platform, p.79</w:t>
      </w:r>
    </w:p>
    <w:p w:rsidR="00A31137" w:rsidRPr="00A31137" w:rsidRDefault="00A31137" w:rsidP="00A31137">
      <w:r w:rsidRPr="00A31137">
        <w:t>The United States and Europe share a wide array of political, economic, and military relationships, all vitally important to the United States. Together they represent a growing, multifaceted bond between America and the European democracies.</w:t>
      </w:r>
    </w:p>
    <w:p w:rsidR="00A31137" w:rsidRPr="00A31137" w:rsidRDefault="00A31137" w:rsidP="00A31137">
      <w:r w:rsidRPr="00A31137">
        <w:t>1988 Republican Platform, p.79</w:t>
      </w:r>
    </w:p>
    <w:p w:rsidR="00A31137" w:rsidRPr="00A31137" w:rsidRDefault="00A31137" w:rsidP="00A31137">
      <w:r w:rsidRPr="00A31137">
        <w:t>Culturally, as well as militarily, we share common goals with Western Europe. The preservation of liberty is first among these. We will not allow the cultural, economic, or political domination of Western Europe by the Soviet Union. Our own national security requires it, for our democracy cannot flourish in isolation. The United States, led by the Reagan-Bush Administration, and our European allies have successfully reasserted democracy's ideological appeal. This formula is without equal for political and economic progress.</w:t>
      </w:r>
    </w:p>
    <w:p w:rsidR="00A31137" w:rsidRPr="00A31137" w:rsidRDefault="00A31137" w:rsidP="00A31137">
      <w:r w:rsidRPr="00A31137">
        <w:t>1988 Republican Platform, p.79</w:t>
      </w:r>
    </w:p>
    <w:p w:rsidR="00A31137" w:rsidRPr="00A31137" w:rsidRDefault="00A31137" w:rsidP="00A31137">
      <w:r w:rsidRPr="00A31137">
        <w:t xml:space="preserve">Republicans believe that the continued growth of trade between Europe and the United States is in the best interest of both the American people and their European friends. However, this economic relationship must be based upon the principle of free and fair trade. Protectionism and other barriers to American products will not be tolerated. The American people demand economic fair play in U. S.-European trade. [p.80] </w:t>
      </w:r>
    </w:p>
    <w:p w:rsidR="00A31137" w:rsidRPr="00A31137" w:rsidRDefault="00A31137" w:rsidP="00A31137">
      <w:r w:rsidRPr="00A31137">
        <w:t>1988 Republican Platform, p.80</w:t>
      </w:r>
    </w:p>
    <w:p w:rsidR="00A31137" w:rsidRPr="00A31137" w:rsidRDefault="00A31137" w:rsidP="00A31137">
      <w:r w:rsidRPr="00A31137">
        <w:t>The recently signed INF treaty has proven that NATO's dual track policy of improving NATO nuclear forces in Europe, while negotiating arms reductions with the Soviet Union, was the only way to make the Soviet leadership accept meaningful nuclear arms reductions. NATO's cohesion as an alliance, when assaulted by Soviet propaganda attacks during the 1980s, proved its resilience. Bolstered by the strong leadership of the United States, Europe stood firm in opposing Soviet demands for a nuclear freeze and unilateral disarmament.</w:t>
      </w:r>
    </w:p>
    <w:p w:rsidR="00A31137" w:rsidRPr="00A31137" w:rsidRDefault="00A31137" w:rsidP="00A31137">
      <w:r w:rsidRPr="00A31137">
        <w:t>1988 Republican Platform, p.80</w:t>
      </w:r>
    </w:p>
    <w:p w:rsidR="00A31137" w:rsidRPr="00A31137" w:rsidRDefault="00A31137" w:rsidP="00A31137">
      <w:r w:rsidRPr="00A31137">
        <w:t>American aid and European industriousness have restored West Europe to a position of global strength. In accord with this, the Republican Party believes that all members of NATO should bear their fair share of the defense burden.</w:t>
      </w:r>
    </w:p>
    <w:p w:rsidR="00A31137" w:rsidRPr="00A31137" w:rsidRDefault="00A31137" w:rsidP="00A31137">
      <w:r w:rsidRPr="00A31137">
        <w:t>1988 Republican Platform, p.80</w:t>
      </w:r>
    </w:p>
    <w:p w:rsidR="00A31137" w:rsidRPr="00A31137" w:rsidRDefault="00A31137" w:rsidP="00A31137">
      <w:r w:rsidRPr="00A31137">
        <w:t>Republicans consider consultation and cooperation with our allies and friends to stop the proliferation of ballistic missile technology a crucial allied goal. We believe that continued support for the Strategic Defense Initiative will yield the type of defensive insurance policy the American people want for themselves and their allies.</w:t>
      </w:r>
    </w:p>
    <w:p w:rsidR="00A31137" w:rsidRPr="00A31137" w:rsidRDefault="00A31137" w:rsidP="00A31137">
      <w:r w:rsidRPr="00A31137">
        <w:t>1988 Republican Platform, p.80</w:t>
      </w:r>
    </w:p>
    <w:p w:rsidR="00A31137" w:rsidRPr="00A31137" w:rsidRDefault="00A31137" w:rsidP="00A31137">
      <w:r w:rsidRPr="00A31137">
        <w:t>We share a deep concern for peace and justice in Northern Ireland and condemn all violence and terrorism in that strife-torn land. We support the process of peace and reconciliation established by the Anglo-Irish Agreement, and we encourage new investment and economic reconstruction in Northern Ireland on the basis of strict equality of opportunity and non-discrimination in employment.</w:t>
      </w:r>
    </w:p>
    <w:p w:rsidR="00A31137" w:rsidRPr="00A31137" w:rsidRDefault="00A31137" w:rsidP="00A31137">
      <w:r w:rsidRPr="00A31137">
        <w:t>1988 Republican Platform, p.80</w:t>
      </w:r>
    </w:p>
    <w:p w:rsidR="00A31137" w:rsidRPr="00A31137" w:rsidRDefault="00A31137" w:rsidP="00A31137">
      <w:r w:rsidRPr="00A31137">
        <w:t>The Republican Party strongly encourages the peaceful settlement of the long-standing dispute on Cyprus.</w:t>
      </w:r>
    </w:p>
    <w:p w:rsidR="00A31137" w:rsidRPr="00A31137" w:rsidRDefault="00A31137" w:rsidP="00A31137">
      <w:r w:rsidRPr="00A31137">
        <w:t>1988 Republican Platform, p.80</w:t>
      </w:r>
    </w:p>
    <w:p w:rsidR="00A31137" w:rsidRPr="00A31137" w:rsidRDefault="00A31137" w:rsidP="00A31137">
      <w:r w:rsidRPr="00A31137">
        <w:t>The future of U.S. relations with Europe is one of endless opportunity and potential. Increased cooperation and consultation will necessarily lead to greater economic, political and military integration, thus strengthening the natural bonds between the democratic peoples on both sides of the Atlantic. This will require a seasoned American leadership, able to build on the achievements of the Reagan-Bush Administration and prepared to lead the alliance into the 1990s and beyond.</w:t>
      </w:r>
    </w:p>
    <w:p w:rsidR="00A31137" w:rsidRPr="00A31137" w:rsidRDefault="00A31137" w:rsidP="00A31137">
      <w:r w:rsidRPr="00A31137">
        <w:t>Asia and the Pacific</w:t>
      </w:r>
    </w:p>
    <w:p w:rsidR="00A31137" w:rsidRPr="00A31137" w:rsidRDefault="00A31137" w:rsidP="00A31137">
      <w:r w:rsidRPr="00A31137">
        <w:t>1988 Republican Platform, p.80</w:t>
      </w:r>
    </w:p>
    <w:p w:rsidR="00A31137" w:rsidRPr="00A31137" w:rsidRDefault="00A31137" w:rsidP="00A31137">
      <w:r w:rsidRPr="00A31137">
        <w:t>Democratic capitalism is transforming Asia. Nations of the Pacific Rim have become colleagues in the enterprise of freedom. They have shown a strong capacity for economic growth and capital development.</w:t>
      </w:r>
    </w:p>
    <w:p w:rsidR="00A31137" w:rsidRPr="00A31137" w:rsidRDefault="00A31137" w:rsidP="00A31137">
      <w:r w:rsidRPr="00A31137">
        <w:t>1988 Republican Platform, p.80</w:t>
      </w:r>
    </w:p>
    <w:p w:rsidR="00A31137" w:rsidRPr="00A31137" w:rsidRDefault="00A31137" w:rsidP="00A31137">
      <w:r w:rsidRPr="00A31137">
        <w:t xml:space="preserve">The Asia-Pacific arena continues to be a vital strategic interest for the U.S. and is an area of increased military, economic, and diplomatic activity for the Soviet Union. [p.81] </w:t>
      </w:r>
    </w:p>
    <w:p w:rsidR="00A31137" w:rsidRPr="00A31137" w:rsidRDefault="00A31137" w:rsidP="00A31137">
      <w:r w:rsidRPr="00A31137">
        <w:t>1988 Republican Platform, p.81</w:t>
      </w:r>
    </w:p>
    <w:p w:rsidR="00A31137" w:rsidRPr="00A31137" w:rsidRDefault="00A31137" w:rsidP="00A31137">
      <w:r w:rsidRPr="00A31137">
        <w:t>Japan has assumed the role earned by her people as a world economic power. The GOP believes that our relations can only be strengthened by attacking trade barriers, both tariff and non-tariff, which not only hurt the U.S. now but also will eventually distort Japan's own economy. We believe that it is time for Japan to assume a greater role in this region and elsewhere. This should include a greater commitment to its own defense, commitment to leading the way in alleviating Third World debt, and fostering economic growth in fragile democracies.</w:t>
      </w:r>
    </w:p>
    <w:p w:rsidR="00A31137" w:rsidRPr="00A31137" w:rsidRDefault="00A31137" w:rsidP="00A31137">
      <w:r w:rsidRPr="00A31137">
        <w:t>1988 Republican Platform, p.81</w:t>
      </w:r>
    </w:p>
    <w:p w:rsidR="00A31137" w:rsidRPr="00A31137" w:rsidRDefault="00A31137" w:rsidP="00A31137">
      <w:r w:rsidRPr="00A31137">
        <w:t>Today, democracy is renewed on Taiwan, the Philippines, and South Korea and is emerging elsewhere in the area. We pledge full cooperation in mutual defense of the Philippines and South Korea and the maintenance of our troops and bases vital for deterring aggression. The United States, with its friends and allies, will strengthen democratic institutions in the Philippines by assisting in its economic development and growth. We reaffirm our commitment to the security of Taiwan and other key friends and allies in the region. We regard any attempt to alter Taiwan's status by force as a threat to the entire region. We adhere to the Taiwan Relations Act, the basis for our continuing cooperation with those who have loyally stood with us, and fought at our side, for half a century.</w:t>
      </w:r>
    </w:p>
    <w:p w:rsidR="00A31137" w:rsidRPr="00A31137" w:rsidRDefault="00A31137" w:rsidP="00A31137">
      <w:r w:rsidRPr="00A31137">
        <w:t>1988 Republican Platform, p.81</w:t>
      </w:r>
    </w:p>
    <w:p w:rsidR="00A31137" w:rsidRPr="00A31137" w:rsidRDefault="00A31137" w:rsidP="00A31137">
      <w:r w:rsidRPr="00A31137">
        <w:t>Today, the communist regime of the People's Republic of China looks to free market practices to salvage its future from stagnant Marxism. We welcome this development. As we draw closer in our relationship, the Republican Party believes that we must continue to encourage the abandonment of political repression in the People's Republic of China and movement toward a free market. We also look toward continued improvement in mutually beneficial trade between our two nations.</w:t>
      </w:r>
    </w:p>
    <w:p w:rsidR="00A31137" w:rsidRPr="00A31137" w:rsidRDefault="00A31137" w:rsidP="00A31137">
      <w:r w:rsidRPr="00A31137">
        <w:t>1988 Republican Platform, p.81</w:t>
      </w:r>
    </w:p>
    <w:p w:rsidR="00A31137" w:rsidRPr="00A31137" w:rsidRDefault="00A31137" w:rsidP="00A31137">
      <w:r w:rsidRPr="00A31137">
        <w:t>We recognize the significant progress made by the Reagan-Bush Administration to assure the end of the Soviet occupation of Afghanistan. We will continue to press for self-determination and the establishment of a genuinely representative government directly elected by the Afghan people. We pledge to continue full military and humanitarian support and supplies for the resistance until complete Soviet withdrawal is realized.</w:t>
      </w:r>
    </w:p>
    <w:p w:rsidR="00A31137" w:rsidRPr="00A31137" w:rsidRDefault="00A31137" w:rsidP="00A31137">
      <w:r w:rsidRPr="00A31137">
        <w:t>1988 Republican Platform, p.81</w:t>
      </w:r>
    </w:p>
    <w:p w:rsidR="00A31137" w:rsidRPr="00A31137" w:rsidRDefault="00A31137" w:rsidP="00A31137">
      <w:r w:rsidRPr="00A31137">
        <w:t>We commend the government of Pakistan for its opposition to the Soviet occupation of Afghanistan and its support of the Afghan people, particularly its refugees. We reaffirm our friendship and will continue the strong security assistance relationship between the United States and Pakistan.</w:t>
      </w:r>
    </w:p>
    <w:p w:rsidR="00A31137" w:rsidRPr="00A31137" w:rsidRDefault="00A31137" w:rsidP="00A31137">
      <w:r w:rsidRPr="00A31137">
        <w:t>1988 Republican Platform, p.81</w:t>
      </w:r>
    </w:p>
    <w:p w:rsidR="00A31137" w:rsidRPr="00A31137" w:rsidRDefault="00A31137" w:rsidP="00A31137">
      <w:r w:rsidRPr="00A31137">
        <w:t>We will press for the withdrawal of Vietnamese occupation of Laos and Cambodia and will continue support for the efforts of the non-communist resistance.</w:t>
      </w:r>
    </w:p>
    <w:p w:rsidR="00A31137" w:rsidRPr="00A31137" w:rsidRDefault="00A31137" w:rsidP="00A31137">
      <w:r w:rsidRPr="00A31137">
        <w:t>1988 Republican Platform, p.82</w:t>
      </w:r>
    </w:p>
    <w:p w:rsidR="00A31137" w:rsidRPr="00A31137" w:rsidRDefault="00A31137" w:rsidP="00A31137">
      <w:r w:rsidRPr="00A31137">
        <w:t>Republicans insist that Vietnam, Laos, and Cambodia must provide [p.82] adequate information on American POWs and MIAs. The grief of the POW and MIA families is a constant reminder to all Americans of the patriotic sacrifice made by their missing loved ones. Republicans will not rest until we know the fate of those missing in Indochina. We will continue to press relentlessly for a full accounting of America's POWs and MIAs. We put the government of Vietnam on notice that there will be no improvement in U.S.-Vietnam relations until such a satisfactory full accounting has been provided by the government of Vietnam.</w:t>
      </w:r>
    </w:p>
    <w:p w:rsidR="00A31137" w:rsidRPr="00A31137" w:rsidRDefault="00A31137" w:rsidP="00A31137">
      <w:r w:rsidRPr="00A31137">
        <w:t>1988 Republican Platform, p.82</w:t>
      </w:r>
    </w:p>
    <w:p w:rsidR="00A31137" w:rsidRPr="00A31137" w:rsidRDefault="00A31137" w:rsidP="00A31137">
      <w:r w:rsidRPr="00A31137">
        <w:t>Republicans are committed to providing assistance for refugees fleeing Vietnam, Laos, and Cambodia. Republicans strongly believe that the promise of asylum for these refugees must be met by adequate resources and vigorous administration of refugee programs. We will increase efforts to resettle Vietnamese refugees under the orderly departure program. We are particularly committed to assisting the resettlement of Amerasian children against whom brutal discrimination is practiced.</w:t>
      </w:r>
    </w:p>
    <w:p w:rsidR="00A31137" w:rsidRPr="00A31137" w:rsidRDefault="00A31137" w:rsidP="00A31137">
      <w:r w:rsidRPr="00A31137">
        <w:t>1988 Republican Platform, p.82</w:t>
      </w:r>
    </w:p>
    <w:p w:rsidR="00A31137" w:rsidRPr="00A31137" w:rsidRDefault="00A31137" w:rsidP="00A31137">
      <w:r w:rsidRPr="00A31137">
        <w:t>We recognize the close and special ties we have maintained with Thailand since the days of Abraham Lincoln. Thailand stands tall against the imperialist aggression of Vietnam and the Soviet Union in Southeast Asia.</w:t>
      </w:r>
    </w:p>
    <w:p w:rsidR="00A31137" w:rsidRPr="00A31137" w:rsidRDefault="00A31137" w:rsidP="00A31137">
      <w:r w:rsidRPr="00A31137">
        <w:t>1988 Republican Platform, p.82</w:t>
      </w:r>
    </w:p>
    <w:p w:rsidR="00A31137" w:rsidRPr="00A31137" w:rsidRDefault="00A31137" w:rsidP="00A31137">
      <w:r w:rsidRPr="00A31137">
        <w:t>Republicans strongly support our traditional close bilateral relations with our ally Australia. We also look forward to a rejuvenation of the ANZUS alliance with its benefits and responsibilities to all partners.</w:t>
      </w:r>
    </w:p>
    <w:p w:rsidR="00A31137" w:rsidRPr="00A31137" w:rsidRDefault="00A31137" w:rsidP="00A31137">
      <w:r w:rsidRPr="00A31137">
        <w:t>The Middle East</w:t>
      </w:r>
    </w:p>
    <w:p w:rsidR="00A31137" w:rsidRPr="00A31137" w:rsidRDefault="00A31137" w:rsidP="00A31137">
      <w:r w:rsidRPr="00A31137">
        <w:t>1988 Republican Platform, p.82</w:t>
      </w:r>
    </w:p>
    <w:p w:rsidR="00A31137" w:rsidRPr="00A31137" w:rsidRDefault="00A31137" w:rsidP="00A31137">
      <w:r w:rsidRPr="00A31137">
        <w:t>The foundation of our policy in the Middle East has been and must remain the promotion of a stable and lasting peace, recognizing our moral and strategic relationship with Israel. More than any of its predecessors, the Reagan-Bush Administration solidified this partnership. As a result, the relations between the United States and Israel are closer than ever before.</w:t>
      </w:r>
    </w:p>
    <w:p w:rsidR="00A31137" w:rsidRPr="00A31137" w:rsidRDefault="00A31137" w:rsidP="00A31137">
      <w:r w:rsidRPr="00A31137">
        <w:t>1988 Republican Platform, p.82</w:t>
      </w:r>
    </w:p>
    <w:p w:rsidR="00A31137" w:rsidRPr="00A31137" w:rsidRDefault="00A31137" w:rsidP="00A31137">
      <w:r w:rsidRPr="00A31137">
        <w:t>We will continue to maintain Israel's qualitative advantage over any adversary or coalition of adversaries.</w:t>
      </w:r>
    </w:p>
    <w:p w:rsidR="00A31137" w:rsidRPr="00A31137" w:rsidRDefault="00A31137" w:rsidP="00A31137">
      <w:r w:rsidRPr="00A31137">
        <w:t>1988 Republican Platform, p.82</w:t>
      </w:r>
    </w:p>
    <w:p w:rsidR="00A31137" w:rsidRPr="00A31137" w:rsidRDefault="00A31137" w:rsidP="00A31137">
      <w:r w:rsidRPr="00A31137">
        <w:t xml:space="preserve">We will continue to solidify our strategic relationship with Israel by taking additional concrete steps to further institutionalize the partnership. This will include maintaining adequate levels of security and economic assistance; continuing our meetings on military, political and economic cooperation and coordination; prepositioning military equipment; developing joint contingency plans; and increasing joint naval and air exercises. The growth of the Soviets military presence in the Eastern Mediterranean and along NATO's southern flank has demonstrated the importance of developing and expanding the U. S.-Israel strategic relationship. [p.83] </w:t>
      </w:r>
    </w:p>
    <w:p w:rsidR="00A31137" w:rsidRPr="00A31137" w:rsidRDefault="00A31137" w:rsidP="00A31137">
      <w:r w:rsidRPr="00A31137">
        <w:t>1988 Republican Platform, p.83</w:t>
      </w:r>
    </w:p>
    <w:p w:rsidR="00A31137" w:rsidRPr="00A31137" w:rsidRDefault="00A31137" w:rsidP="00A31137">
      <w:r w:rsidRPr="00A31137">
        <w:t>We oppose the creation of an independent Palestinian state; its establishment is inimical to the security interests of Israel, Jordan and the U.S. We will not support the creation of any Palestinian entity that could place Israel's security in jeopardy.</w:t>
      </w:r>
    </w:p>
    <w:p w:rsidR="00A31137" w:rsidRPr="00A31137" w:rsidRDefault="00A31137" w:rsidP="00A31137">
      <w:r w:rsidRPr="00A31137">
        <w:t>1988 Republican Platform, p.83</w:t>
      </w:r>
    </w:p>
    <w:p w:rsidR="00A31137" w:rsidRPr="00A31137" w:rsidRDefault="00A31137" w:rsidP="00A31137">
      <w:r w:rsidRPr="00A31137">
        <w:t>Republicans will build upon the efforts of the Reagan-Bush Administration and work for peace between Israel and her Arab neighbors based upon the following principles:</w:t>
      </w:r>
    </w:p>
    <w:p w:rsidR="00A31137" w:rsidRPr="00A31137" w:rsidRDefault="00A31137" w:rsidP="00A31137">
      <w:r w:rsidRPr="00A31137">
        <w:t>1988 Republican Platform, p.83</w:t>
      </w:r>
    </w:p>
    <w:p w:rsidR="00A31137" w:rsidRPr="00A31137" w:rsidRDefault="00A31137" w:rsidP="00A31137">
      <w:r w:rsidRPr="00A31137">
        <w:t xml:space="preserve">• </w:t>
      </w:r>
      <w:r w:rsidRPr="00A31137">
        <w:tab/>
        <w:t>A just and lasting peace is essential, urgent, and can be reached only through direct negotiations between Israel and the Arab nations.</w:t>
      </w:r>
    </w:p>
    <w:p w:rsidR="00A31137" w:rsidRPr="00A31137" w:rsidRDefault="00A31137" w:rsidP="00A31137">
      <w:r w:rsidRPr="00A31137">
        <w:t xml:space="preserve">• </w:t>
      </w:r>
      <w:r w:rsidRPr="00A31137">
        <w:tab/>
        <w:t>Peace treaties must be reached through direct negotiations and must never be imposed upon unwilling partners.</w:t>
      </w:r>
    </w:p>
    <w:p w:rsidR="00A31137" w:rsidRPr="00A31137" w:rsidRDefault="00A31137" w:rsidP="00A31137">
      <w:r w:rsidRPr="00A31137">
        <w:t xml:space="preserve">• </w:t>
      </w:r>
      <w:r w:rsidRPr="00A31137">
        <w:tab/>
        <w:t>The PLO should have no role in the peace process unless it recognizes Israel's right to exist, accepts United Nations Security Council resolutions 242 and 338, renounces terrorism, and removes language from its charter demanding Israel's destruction.</w:t>
      </w:r>
    </w:p>
    <w:p w:rsidR="00A31137" w:rsidRPr="00A31137" w:rsidRDefault="00A31137" w:rsidP="00A31137">
      <w:r w:rsidRPr="00A31137">
        <w:t>1988 Republican Platform, p.83</w:t>
      </w:r>
    </w:p>
    <w:p w:rsidR="00A31137" w:rsidRPr="00A31137" w:rsidRDefault="00A31137" w:rsidP="00A31137">
      <w:r w:rsidRPr="00A31137">
        <w:t>Under Republican leadership, the United States will explore every opportunity to move forward the peace process toward direct negotiations as long as the security of Israel is not compromised. Much work remains to establish a climate in the Middle East where the legitimate rights of all parties, including the Palestinians, can be equitably addressed.</w:t>
      </w:r>
    </w:p>
    <w:p w:rsidR="00A31137" w:rsidRPr="00A31137" w:rsidRDefault="00A31137" w:rsidP="00A31137">
      <w:r w:rsidRPr="00A31137">
        <w:t>1988 Republican Platform, p.83</w:t>
      </w:r>
    </w:p>
    <w:p w:rsidR="00A31137" w:rsidRPr="00A31137" w:rsidRDefault="00A31137" w:rsidP="00A31137">
      <w:r w:rsidRPr="00A31137">
        <w:t>We recognize that Israel votes with the United States at the United Nations more frequently than any other nation. The Reagan-Bush Administration supported legislation mandating that if the U.N. and its agencies were to deny Israel's right to participate, the United States would withhold financial support and withdraw from those bodies until their action was rectified. The Republican Party reaffirms its support for the recision of U.N. Resolution 3379, which equates Zionism with racism. Failure to repeal that resolution will justify attenuation of our support for the U.N.</w:t>
      </w:r>
    </w:p>
    <w:p w:rsidR="00A31137" w:rsidRPr="00A31137" w:rsidRDefault="00A31137" w:rsidP="00A31137">
      <w:r w:rsidRPr="00A31137">
        <w:t>1988 Republican Platform, p.83</w:t>
      </w:r>
    </w:p>
    <w:p w:rsidR="00A31137" w:rsidRPr="00A31137" w:rsidRDefault="00A31137" w:rsidP="00A31137">
      <w:r w:rsidRPr="00A31137">
        <w:t>We believe that Jerusalem should remain an undivided city, with free and unimpeded access to all holy places by people of all faiths.</w:t>
      </w:r>
    </w:p>
    <w:p w:rsidR="00A31137" w:rsidRPr="00A31137" w:rsidRDefault="00A31137" w:rsidP="00A31137">
      <w:r w:rsidRPr="00A31137">
        <w:t>1988 Republican Platform, p.83</w:t>
      </w:r>
    </w:p>
    <w:p w:rsidR="00A31137" w:rsidRPr="00A31137" w:rsidRDefault="00A31137" w:rsidP="00A31137">
      <w:r w:rsidRPr="00A31137">
        <w:t xml:space="preserve">Republicans see Egypt as a catalyst in the Arab world for advancing the cause of regional peace and security. For this reason, we believe that the United States has a significant stake in Egypt's continuing economic development and growth. As the only Arab nation to have formally made peace with Israel, it is reaping the benefits. Egypt's support of the Camp David Accords demonstrates that an Arab nation can make peace with Israel, be an ally of the United States, and remain in good standing in the Arab world. Republicans support the Reagan-Bush Administration's formal designation of Egypt as a major non-NATO ally. [p.84] </w:t>
      </w:r>
    </w:p>
    <w:p w:rsidR="00A31137" w:rsidRPr="00A31137" w:rsidRDefault="00A31137" w:rsidP="00A31137">
      <w:r w:rsidRPr="00A31137">
        <w:t>1988 Republican Platform, p.84</w:t>
      </w:r>
    </w:p>
    <w:p w:rsidR="00A31137" w:rsidRPr="00A31137" w:rsidRDefault="00A31137" w:rsidP="00A31137">
      <w:r w:rsidRPr="00A31137">
        <w:t>Our continued support of Egypt and other pro-Western Arab states is an essential component of Republican policy. In support of that policy, we deployed a naval task force to join with allies to keep the sea lanes open during the Iran-Iraq war. We also recognize the important role the moderate Arab states play in supporting U.S. security interests.</w:t>
      </w:r>
    </w:p>
    <w:p w:rsidR="00A31137" w:rsidRPr="00A31137" w:rsidRDefault="00A31137" w:rsidP="00A31137">
      <w:r w:rsidRPr="00A31137">
        <w:t>1988 Republican Platform, p.84</w:t>
      </w:r>
    </w:p>
    <w:p w:rsidR="00A31137" w:rsidRPr="00A31137" w:rsidRDefault="00A31137" w:rsidP="00A31137">
      <w:r w:rsidRPr="00A31137">
        <w:t>Republicans will continue to build on the Reagan-Bush achievement of increased security cooperation with the pro-Western Arab states. We recognize that these Arab nations maintain friendly relations with the United States in the face of potential retaliation attempts by radical elements in the Middle East.</w:t>
      </w:r>
    </w:p>
    <w:p w:rsidR="00A31137" w:rsidRPr="00A31137" w:rsidRDefault="00A31137" w:rsidP="00A31137">
      <w:r w:rsidRPr="00A31137">
        <w:t>1988 Republican Platform, p.84</w:t>
      </w:r>
    </w:p>
    <w:p w:rsidR="00A31137" w:rsidRPr="00A31137" w:rsidRDefault="00A31137" w:rsidP="00A31137">
      <w:r w:rsidRPr="00A31137">
        <w:t>Continuing strife in Lebanon is not in the interest of the U.S. Until order is established, Lebanon will be a source of international terrorism and regional instability. To reestablish normalcy in Lebanon, the U.S. must strengthen the hand of the overwhelming majority of Lebanese, who are committed to an independent, peaceful, and democratic Lebanon.</w:t>
      </w:r>
    </w:p>
    <w:p w:rsidR="00A31137" w:rsidRPr="00A31137" w:rsidRDefault="00A31137" w:rsidP="00A31137">
      <w:r w:rsidRPr="00A31137">
        <w:t>1988 Republican Platform, p.84</w:t>
      </w:r>
    </w:p>
    <w:p w:rsidR="00A31137" w:rsidRPr="00A31137" w:rsidRDefault="00A31137" w:rsidP="00A31137">
      <w:r w:rsidRPr="00A31137">
        <w:t>In order to achieve this goal, we will base the policy of the United States on the principles of the unity of Lebanon; the withdrawal of all foreign forces; the territorial integrity of Lebanon; the reestablishment of its government's authority; and the reassertion of Lebanese sovereignty throughout the nation, with recognition that its safekeeping must be the responsibility of the Lebanese government. We will strive to help Lebanon restore its society so that, in the future as in the past, religious groups will live in harmony, international commerce will flourish and international terrorism will not exist.</w:t>
      </w:r>
    </w:p>
    <w:p w:rsidR="00A31137" w:rsidRPr="00A31137" w:rsidRDefault="00A31137" w:rsidP="00A31137">
      <w:r w:rsidRPr="00A31137">
        <w:t>1988 Republican Platform, p.84</w:t>
      </w:r>
    </w:p>
    <w:p w:rsidR="00A31137" w:rsidRPr="00A31137" w:rsidRDefault="00A31137" w:rsidP="00A31137">
      <w:r w:rsidRPr="00A31137">
        <w:t>For nearly four decades, U.S. policy in the Persian Gulf has reflected American strategic, economic, and political interests in the area. Republican policy has three fundamental objectives:</w:t>
      </w:r>
    </w:p>
    <w:p w:rsidR="00A31137" w:rsidRPr="00A31137" w:rsidRDefault="00A31137" w:rsidP="00A31137">
      <w:r w:rsidRPr="00A31137">
        <w:t>1988 Republican Platform, p.84</w:t>
      </w:r>
    </w:p>
    <w:p w:rsidR="00A31137" w:rsidRPr="00A31137" w:rsidRDefault="00A31137" w:rsidP="00A31137">
      <w:r w:rsidRPr="00A31137">
        <w:t xml:space="preserve">• </w:t>
      </w:r>
      <w:r w:rsidRPr="00A31137">
        <w:tab/>
        <w:t>Maintaining the free flow of oil.</w:t>
      </w:r>
    </w:p>
    <w:p w:rsidR="00A31137" w:rsidRPr="00A31137" w:rsidRDefault="00A31137" w:rsidP="00A31137">
      <w:r w:rsidRPr="00A31137">
        <w:t xml:space="preserve">• </w:t>
      </w:r>
      <w:r w:rsidRPr="00A31137">
        <w:tab/>
        <w:t>Preventing the expansion of Soviet influence.</w:t>
      </w:r>
    </w:p>
    <w:p w:rsidR="00A31137" w:rsidRPr="00A31137" w:rsidRDefault="00A31137" w:rsidP="00A31137">
      <w:r w:rsidRPr="00A31137">
        <w:t xml:space="preserve">• </w:t>
      </w:r>
      <w:r w:rsidRPr="00A31137">
        <w:tab/>
        <w:t>Supporting the independence and stability of the states in the region.</w:t>
      </w:r>
    </w:p>
    <w:p w:rsidR="00A31137" w:rsidRPr="00A31137" w:rsidRDefault="00A31137" w:rsidP="00A31137">
      <w:r w:rsidRPr="00A31137">
        <w:t>1988 Republican Platform, p.84</w:t>
      </w:r>
    </w:p>
    <w:p w:rsidR="00A31137" w:rsidRPr="00A31137" w:rsidRDefault="00A31137" w:rsidP="00A31137">
      <w:r w:rsidRPr="00A31137">
        <w:t>By pursuing these goals, we have created the political leverage to begin the process of ending the Iran-Iraq war. Our re-flagging of Kuwaiti ships limited the expansion of both Iranian and Soviet influence in the region.</w:t>
      </w:r>
    </w:p>
    <w:p w:rsidR="00A31137" w:rsidRPr="00A31137" w:rsidRDefault="00A31137" w:rsidP="00A31137">
      <w:r w:rsidRPr="00A31137">
        <w:t>Africa</w:t>
      </w:r>
    </w:p>
    <w:p w:rsidR="00A31137" w:rsidRPr="00A31137" w:rsidRDefault="00A31137" w:rsidP="00A31137">
      <w:r w:rsidRPr="00A31137">
        <w:t>1988 Republican Platform, p.84</w:t>
      </w:r>
    </w:p>
    <w:p w:rsidR="00A31137" w:rsidRPr="00A31137" w:rsidRDefault="00A31137" w:rsidP="00A31137">
      <w:r w:rsidRPr="00A31137">
        <w:t xml:space="preserve">Republicans have three priorities in our country' s relations with Africa. The first is to oppose the forces of Marxist imperialism, which sustain the march of tyranny in Africa. This priority includes giving strong assistance to groups which oppose Soviet and Cuban-sponsored oppression in Africa. [p.85] </w:t>
      </w:r>
    </w:p>
    <w:p w:rsidR="00A31137" w:rsidRPr="00A31137" w:rsidRDefault="00A31137" w:rsidP="00A31137">
      <w:r w:rsidRPr="00A31137">
        <w:t>1988 Republican Platform, p.85</w:t>
      </w:r>
    </w:p>
    <w:p w:rsidR="00A31137" w:rsidRPr="00A31137" w:rsidRDefault="00A31137" w:rsidP="00A31137">
      <w:r w:rsidRPr="00A31137">
        <w:t>Our second priority is the need to develop and sustain democracies in Africa. Democrats have often taken the view that democracy is unattainable because of Africa's economic condition, yet at the same time they refuse to promote the conditions in which democracies can flourish. Economic freedom and market-based economies are the key to the development of democracy throughout Africa.</w:t>
      </w:r>
    </w:p>
    <w:p w:rsidR="00A31137" w:rsidRPr="00A31137" w:rsidRDefault="00A31137" w:rsidP="00A31137">
      <w:r w:rsidRPr="00A31137">
        <w:t>1988 Republican Platform, p.85</w:t>
      </w:r>
    </w:p>
    <w:p w:rsidR="00A31137" w:rsidRPr="00A31137" w:rsidRDefault="00A31137" w:rsidP="00A31137">
      <w:r w:rsidRPr="00A31137">
        <w:t>Our third area of concern is humanitarian assistance, especially food aid, to African nations. The Reagan-Bush Administration has always provided this assistance.</w:t>
      </w:r>
    </w:p>
    <w:p w:rsidR="00A31137" w:rsidRPr="00A31137" w:rsidRDefault="00A31137" w:rsidP="00A31137">
      <w:r w:rsidRPr="00A31137">
        <w:t>1988 Republican Platform, p.85</w:t>
      </w:r>
    </w:p>
    <w:p w:rsidR="00A31137" w:rsidRPr="00A31137" w:rsidRDefault="00A31137" w:rsidP="00A31137">
      <w:r w:rsidRPr="00A31137">
        <w:t>Republicans salute the Reagan-Bush Administration for responding with characteristic American compassion to famine conditions in Africa by providing record amounts of food, medical supplies, and other lifesaving assistance. In spite of our efforts, the people of Africa continue to suffer. Republicans condemn the cynical Marxist governments, especially in Ethiopia, which used planned starvation as a weapon of war and a tool for forced migration.</w:t>
      </w:r>
    </w:p>
    <w:p w:rsidR="00A31137" w:rsidRPr="00A31137" w:rsidRDefault="00A31137" w:rsidP="00A31137">
      <w:r w:rsidRPr="00A31137">
        <w:t>1988 Republican Platform, p.85</w:t>
      </w:r>
    </w:p>
    <w:p w:rsidR="00A31137" w:rsidRPr="00A31137" w:rsidRDefault="00A31137" w:rsidP="00A31137">
      <w:r w:rsidRPr="00A31137">
        <w:t>The recent African drought and resulting famine were not just natural disasters. They were made worse by poorly conceived development projects which stripped lands of their productive capacity. Republicans recognize that protecting the natural resource base of developing nations is essential to protecting future economic opportunities and assuring stable societies. We are leading the fight worldwide to require sound environmental planning as part of foreign development programs.</w:t>
      </w:r>
    </w:p>
    <w:p w:rsidR="00A31137" w:rsidRPr="00A31137" w:rsidRDefault="00A31137" w:rsidP="00A31137">
      <w:r w:rsidRPr="00A31137">
        <w:t>1988 Republican Platform, p.85</w:t>
      </w:r>
    </w:p>
    <w:p w:rsidR="00A31137" w:rsidRPr="00A31137" w:rsidRDefault="00A31137" w:rsidP="00A31137">
      <w:r w:rsidRPr="00A31137">
        <w:t>We believe that peace in southern Africa can best be achieved by the withdrawal of all foreign forces from Angola, complete independence and self-determination for the people of Namibia, a rapid process of internal reconciliation, and free and fair elections in both places. The Reagan-Bush Administration has worked tirelessly to achieve this outcome; and while obstacles remain, we are closer than ever to a comprehensive settlement of these interrelated conflicts. America's strong support for Angolan freedom-fighters has helped make this progress possible. We also oppose the maintenance of communist forces and influence in Mozambique.</w:t>
      </w:r>
    </w:p>
    <w:p w:rsidR="00A31137" w:rsidRPr="00A31137" w:rsidRDefault="00A31137" w:rsidP="00A31137">
      <w:r w:rsidRPr="00A31137">
        <w:t>1988 Republican Platform, p.85</w:t>
      </w:r>
    </w:p>
    <w:p w:rsidR="00A31137" w:rsidRPr="00A31137" w:rsidRDefault="00A31137" w:rsidP="00A31137">
      <w:r w:rsidRPr="00A31137">
        <w:t xml:space="preserve">Republicans deplore the apartheid system of South Africa and consider it morally repugnant. All who value human liberty understand the evil of apartheid, and we will not rest until apartheid is eliminated from South Africa. That will remain our goal. Republicans call for an effective and coordinated policy that will promote equal rights and a peaceful transition to a truly representative constitutional form of government for all South Africans and the citizens of all nations throughout Africa. We deplore violence employed against innocent blacks and whites from whatever source. [p.86] </w:t>
      </w:r>
    </w:p>
    <w:p w:rsidR="00A31137" w:rsidRPr="00A31137" w:rsidRDefault="00A31137" w:rsidP="00A31137">
      <w:r w:rsidRPr="00A31137">
        <w:t>1988 Republican Platform, p.86</w:t>
      </w:r>
    </w:p>
    <w:p w:rsidR="00A31137" w:rsidRPr="00A31137" w:rsidRDefault="00A31137" w:rsidP="00A31137">
      <w:r w:rsidRPr="00A31137">
        <w:t>We believe firmly that one element in the evolution of black political progress must be black economic progress; actions designed to pressure the government of South Africa must not have the effect of adversely affecting the rising aspirations and achievements of black South African entrepreneurs and workers and their families. We should also encourage the development of strong democratic black political institutions to aid in the peaceful transition to majority rule. Republicans believe that it is wrong to punish innocent black South Africans for the policies of the apartheid government of South Africa.</w:t>
      </w:r>
    </w:p>
    <w:p w:rsidR="00A31137" w:rsidRPr="00A31137" w:rsidRDefault="00A31137" w:rsidP="00A31137">
      <w:r w:rsidRPr="00A31137">
        <w:t>Child Survival Program</w:t>
      </w:r>
    </w:p>
    <w:p w:rsidR="00A31137" w:rsidRPr="00A31137" w:rsidRDefault="00A31137" w:rsidP="00A31137">
      <w:r w:rsidRPr="00A31137">
        <w:t>1988 Republican Platform, p.86</w:t>
      </w:r>
    </w:p>
    <w:p w:rsidR="00A31137" w:rsidRPr="00A31137" w:rsidRDefault="00A31137" w:rsidP="00A31137">
      <w:r w:rsidRPr="00A31137">
        <w:t>The health of children in the developing countries of Asia, Africa, the Near East, Latin America and the Caribbean has been a priority of the Reagan-Bush Administration. Republicans have designated the Child Survival Program as one of our highest foreign assistance priorities. With the creation of the Child Survival Fund in early 1985, we have helped to ensure that children in developing countries worldwide get a decent start in life.</w:t>
      </w:r>
    </w:p>
    <w:p w:rsidR="00A31137" w:rsidRPr="00A31137" w:rsidRDefault="00A31137" w:rsidP="00A31137">
      <w:r w:rsidRPr="00A31137">
        <w:t>1988 Republican Platform, p.86</w:t>
      </w:r>
    </w:p>
    <w:p w:rsidR="00A31137" w:rsidRPr="00A31137" w:rsidRDefault="00A31137" w:rsidP="00A31137">
      <w:r w:rsidRPr="00A31137">
        <w:t>Our commitment to the Child Survival Program is more than a compassionate response to this challenge. It is in part an indication of the success of the program. Child Survival funding has been put to good use, and it is making a difference. Experience has shown that a few dollars go a long way in saving a child's life.</w:t>
      </w:r>
    </w:p>
    <w:p w:rsidR="00A31137" w:rsidRPr="00A31137" w:rsidRDefault="00A31137" w:rsidP="00A31137">
      <w:r w:rsidRPr="00A31137">
        <w:t>1988 Republican Platform, p.86</w:t>
      </w:r>
    </w:p>
    <w:p w:rsidR="00A31137" w:rsidRPr="00A31137" w:rsidRDefault="00A31137" w:rsidP="00A31137">
      <w:r w:rsidRPr="00A31137">
        <w:t>Republican efforts have seen results. The pilot studies begun by the Reagan-Bush Administration a few years ago have resulted in child survival programs that today are reaching hundreds of thousands of women and children in the developing world. Policies are in place, health workers are trained, and host governments throughout the world are committed to child survival programs.</w:t>
      </w:r>
    </w:p>
    <w:p w:rsidR="00A31137" w:rsidRPr="00A31137" w:rsidRDefault="00A31137" w:rsidP="00A31137">
      <w:r w:rsidRPr="00A31137">
        <w:t>1988 Republican Platform, p.86</w:t>
      </w:r>
    </w:p>
    <w:p w:rsidR="00A31137" w:rsidRPr="00A31137" w:rsidRDefault="00A31137" w:rsidP="00A31137">
      <w:r w:rsidRPr="00A31137">
        <w:t>Republicans are committed to continuing our contribution to this vital program. As we look forward to the 1990s, many countries will have achieved what only a few years ago seemed like unattainable goals. Those countries need to find ways to sustain those achievements. It will not be easy. For other countries, the road to these goals will be longer as they strive to give every child what should be his or her birthright, a chance to thrive.</w:t>
      </w:r>
    </w:p>
    <w:p w:rsidR="00A31137" w:rsidRPr="00A31137" w:rsidRDefault="00A31137" w:rsidP="00A31137">
      <w:r w:rsidRPr="00A31137">
        <w:t>1988 Republican Platform, p.86</w:t>
      </w:r>
    </w:p>
    <w:p w:rsidR="00A31137" w:rsidRPr="00A31137" w:rsidRDefault="00A31137" w:rsidP="00A31137">
      <w:r w:rsidRPr="00A31137">
        <w:t>We can help them. We can provide leadership and support. We are committed to sustaining this effort to save and improve the lives of the world's children.</w:t>
      </w:r>
    </w:p>
    <w:p w:rsidR="00A31137" w:rsidRPr="00A31137" w:rsidRDefault="00A31137" w:rsidP="00A31137">
      <w:r w:rsidRPr="00A31137">
        <w:t>1988 Republican Platform, p.86</w:t>
      </w:r>
    </w:p>
    <w:p w:rsidR="00A31137" w:rsidRPr="00A31137" w:rsidRDefault="00A31137" w:rsidP="00A31137">
      <w:r w:rsidRPr="00A31137">
        <w:t xml:space="preserve">We commend the Reagan-Bush Administration for its courageous defense of human life in population programs around the world. We support its refusal to fund international organizations involved in abortion. [p.87] </w:t>
      </w:r>
    </w:p>
    <w:p w:rsidR="00A31137" w:rsidRPr="00A31137" w:rsidRDefault="00A31137" w:rsidP="00A31137">
      <w:r w:rsidRPr="00A31137">
        <w:t>Stopping International Terrorism and Dealing with Low Intensity Conflict</w:t>
      </w:r>
    </w:p>
    <w:p w:rsidR="00A31137" w:rsidRPr="00A31137" w:rsidRDefault="00A31137" w:rsidP="00A31137">
      <w:r w:rsidRPr="00A31137">
        <w:t>1988 Republican Platform, p.87</w:t>
      </w:r>
    </w:p>
    <w:p w:rsidR="00A31137" w:rsidRPr="00A31137" w:rsidRDefault="00A31137" w:rsidP="00A31137">
      <w:r w:rsidRPr="00A31137">
        <w:t>The nature of warfare itself has changed. Terrorism is a unique form of warfare that attacks and threatens security and stability around the world. Ranging from the attempted assassination of the Pope and car-bomb attacks on American USO clubs, to narco-subversion in the nations of the West, terrorism seeks to silence freedom as an inalienable right of Man.</w:t>
      </w:r>
    </w:p>
    <w:p w:rsidR="00A31137" w:rsidRPr="00A31137" w:rsidRDefault="00A31137" w:rsidP="00A31137">
      <w:r w:rsidRPr="00A31137">
        <w:t>1988 Republican Platform, p.87</w:t>
      </w:r>
    </w:p>
    <w:p w:rsidR="00A31137" w:rsidRPr="00A31137" w:rsidRDefault="00A31137" w:rsidP="00A31137">
      <w:r w:rsidRPr="00A31137">
        <w:t>The world of totalitarianism and anti-Western fanatics have joined forces in this campaign of terror. The goals of their undeclared war against the democracies are the withdrawal of our presence internationally and the retraction of our freedoms domestically.</w:t>
      </w:r>
    </w:p>
    <w:p w:rsidR="00A31137" w:rsidRPr="00A31137" w:rsidRDefault="00A31137" w:rsidP="00A31137">
      <w:r w:rsidRPr="00A31137">
        <w:t>1988 Republican Platform, p.87</w:t>
      </w:r>
    </w:p>
    <w:p w:rsidR="00A31137" w:rsidRPr="00A31137" w:rsidRDefault="00A31137" w:rsidP="00A31137">
      <w:r w:rsidRPr="00A31137">
        <w:t>The Republican Party believes that, in order to prevent terrorist attacks, the United States must maintain an unsurpassed intelligence capability. In cases of terrorism where prevention and deterrence are not enough, we believe that the United States must be prepared to use an appropriate mix of diplomatic, political, and military pressure and action to defeat the terrorist attack. The United States must continue to push for a Western commitment to a "no-concessions" policy on terrorism.</w:t>
      </w:r>
    </w:p>
    <w:p w:rsidR="00A31137" w:rsidRPr="00A31137" w:rsidRDefault="00A31137" w:rsidP="00A31137">
      <w:r w:rsidRPr="00A31137">
        <w:t>1988 Republican Platform, p.87</w:t>
      </w:r>
    </w:p>
    <w:p w:rsidR="00A31137" w:rsidRPr="00A31137" w:rsidRDefault="00A31137" w:rsidP="00A31137">
      <w:r w:rsidRPr="00A31137">
        <w:t>The Republican Party understands that many problems facing our country are centered on "Low Intensity Conflicts." These include insurgencies, organized terrorism, paramilitary actions, sabotage, and other forms of violence in the gray area between peace and declared conventional warfare. Unlike the Democrat Party, Republicans understand that the threat, against the vital interests of the United States covers a broad spectrum of conflict. We are committed to defending the people of the United States at all levels. To implement that commitment, we will rely on the planning and strategy of the U.S. Special Operations Command, the recently established Office of Assistant Secretary of Defense for Special Operations and Low Intensity Conflict and other Department of Defense offices.</w:t>
      </w:r>
    </w:p>
    <w:p w:rsidR="00A31137" w:rsidRPr="00A31137" w:rsidRDefault="00A31137" w:rsidP="00A31137">
      <w:r w:rsidRPr="00A31137">
        <w:t>1988 Republican Platform, p.87</w:t>
      </w:r>
    </w:p>
    <w:p w:rsidR="00A31137" w:rsidRPr="00A31137" w:rsidRDefault="00A31137" w:rsidP="00A31137">
      <w:r w:rsidRPr="00A31137">
        <w:t xml:space="preserve">We commend the Reagan-Bush Administration for its willingness to provide a measured response to terrorists such as Libya's Colonel Qadhafi. We affirm our determination to continue isolating his outlaw regime. We applaud the Reagan-Bush Administration's dispatch in implementing the Omnibus Diplomatic Security and Anti-Terrorism Act of 1986. We are strongly committed to obtaining the freedom of all Americans held captive by terrorist elements in the Middle East. Where possible, we will hold accountable those responsible for such heinous acts. We also support foreign military assistance that enables friendly nations to provide for their own defense, including defense against terrorism. [p.88] </w:t>
      </w:r>
    </w:p>
    <w:p w:rsidR="00A31137" w:rsidRPr="00A31137" w:rsidRDefault="00A31137" w:rsidP="00A31137">
      <w:r w:rsidRPr="00A31137">
        <w:t>1988 Republican Platform, p.88</w:t>
      </w:r>
    </w:p>
    <w:p w:rsidR="00A31137" w:rsidRPr="00A31137" w:rsidRDefault="00A31137" w:rsidP="00A31137">
      <w:r w:rsidRPr="00A31137">
        <w:t>We recognize the increasing threat of terrorism to our overall security. We will pursue a forward-leaning posture toward terrorism, and are prepared to act in concert with other nations or unilaterally, as necessary, to prevent or respond to terrorist attacks. Our policy will emphasize pre-emptive anti-terrorist measures; allied and international cooperation; negotiation toward an international agreement to facilitate pre-emptive and proactive measures against terrorists and narco-terrorists; and creation of a multi-national strike force, on the authority granted in a multi-national agreement, specializing in counterterrorism, intelligence and narcotics control.</w:t>
      </w:r>
    </w:p>
    <w:p w:rsidR="00A31137" w:rsidRPr="00A31137" w:rsidRDefault="00A31137" w:rsidP="00A31137">
      <w:r w:rsidRPr="00A31137">
        <w:t>1988 Republican Platform, p.88</w:t>
      </w:r>
    </w:p>
    <w:p w:rsidR="00A31137" w:rsidRPr="00A31137" w:rsidRDefault="00A31137" w:rsidP="00A31137">
      <w:r w:rsidRPr="00A31137">
        <w:t>Republicans believe that, when necessary, our own armed forces must have the capability to meet terrorist crises. Our support for defense forces specifically equipped and trained to conduct unconventional warfare has resulted in important improvements in this critical area. Under the Reagan-Bush Administration, major improvements have been made in the special operations force's readiness, manning, and modernization.</w:t>
      </w:r>
    </w:p>
    <w:p w:rsidR="00A31137" w:rsidRPr="00A31137" w:rsidRDefault="00A31137" w:rsidP="00A31137">
      <w:r w:rsidRPr="00A31137">
        <w:t>1988 Republican Platform, p.88</w:t>
      </w:r>
    </w:p>
    <w:p w:rsidR="00A31137" w:rsidRPr="00A31137" w:rsidRDefault="00A31137" w:rsidP="00A31137">
      <w:r w:rsidRPr="00A31137">
        <w:t>The Republican Party is strongly committed to increased support of unconventional forces by streamlining the bureaucracy which supports them, building the weapons and platforms which are a minimal requirement for their success, and funding the research and development needed for their future vigor. We wholeheartedly support greater international cooperation to counter terrorism and to ensure the safety of innocent citizens travelling abroad.</w:t>
      </w:r>
    </w:p>
    <w:p w:rsidR="00A31137" w:rsidRPr="00A31137" w:rsidRDefault="00A31137" w:rsidP="00A31137">
      <w:r w:rsidRPr="00A31137">
        <w:t>State Department Organization</w:t>
      </w:r>
    </w:p>
    <w:p w:rsidR="00A31137" w:rsidRPr="00A31137" w:rsidRDefault="00A31137" w:rsidP="00A31137">
      <w:r w:rsidRPr="00A31137">
        <w:t>1988 Republican Platform, p.88</w:t>
      </w:r>
    </w:p>
    <w:p w:rsidR="00A31137" w:rsidRPr="00A31137" w:rsidRDefault="00A31137" w:rsidP="00A31137">
      <w:r w:rsidRPr="00A31137">
        <w:t>The United States depends upon effective diplomacy to protect and advance its interests abroad. Modern diplomacy requires an institution capable of integrating the international dimension of our national values and concerns into a coherent foreign policy. That institution must be made fully responsive to the guidance and direction provided by our country's political leadership.</w:t>
      </w:r>
    </w:p>
    <w:p w:rsidR="00A31137" w:rsidRPr="00A31137" w:rsidRDefault="00A31137" w:rsidP="00A31137">
      <w:r w:rsidRPr="00A31137">
        <w:t>1988 Republican Platform, p.88</w:t>
      </w:r>
    </w:p>
    <w:p w:rsidR="00A31137" w:rsidRPr="00A31137" w:rsidRDefault="00A31137" w:rsidP="00A31137">
      <w:r w:rsidRPr="00A31137">
        <w:t>This requires a truly hierarchical decision-making structure in the Department of State to assure that issues not directly decided by the Secretary of State are not out of reach of politically accountable authority.</w:t>
      </w:r>
    </w:p>
    <w:p w:rsidR="00A31137" w:rsidRPr="00A31137" w:rsidRDefault="00A31137" w:rsidP="00A31137">
      <w:r w:rsidRPr="00A31137">
        <w:t>1988 Republican Platform, p.88</w:t>
      </w:r>
    </w:p>
    <w:p w:rsidR="00A31137" w:rsidRPr="00A31137" w:rsidRDefault="00A31137" w:rsidP="00A31137">
      <w:r w:rsidRPr="00A31137">
        <w:t>Republicans commend the efforts initiated by the Reagan Administration, and in particular the Secretary of State, to restructure and streamline management of the department in order to provide for greater flexibility, efficiency and accountability.</w:t>
      </w:r>
    </w:p>
    <w:p w:rsidR="00A31137" w:rsidRPr="00A31137" w:rsidRDefault="00A31137" w:rsidP="00A31137">
      <w:r w:rsidRPr="00A31137">
        <w:t>1988 Republican Platform, p.88</w:t>
      </w:r>
    </w:p>
    <w:p w:rsidR="00A31137" w:rsidRPr="00A31137" w:rsidRDefault="00A31137" w:rsidP="00A31137">
      <w:r w:rsidRPr="00A31137">
        <w:t xml:space="preserve">We will continue these efforts in the areas of organization, personnel, and responsiveness as part of a long-term program to make the Department of State more immediately responsive to a complex and changing world. [p.89] </w:t>
      </w:r>
    </w:p>
    <w:p w:rsidR="00A31137" w:rsidRPr="00A31137" w:rsidRDefault="00A31137" w:rsidP="00A31137">
      <w:r w:rsidRPr="00A31137">
        <w:t>Peace Through Strength—A Proven Policy</w:t>
      </w:r>
    </w:p>
    <w:p w:rsidR="00A31137" w:rsidRPr="00A31137" w:rsidRDefault="00A31137" w:rsidP="00A31137">
      <w:r w:rsidRPr="00A31137">
        <w:t>1988 Republican Platform, p.89</w:t>
      </w:r>
    </w:p>
    <w:p w:rsidR="00A31137" w:rsidRPr="00A31137" w:rsidRDefault="00A31137" w:rsidP="00A31137">
      <w:r w:rsidRPr="00A31137">
        <w:t>Peace through strength is now a proven policy. We have modernized our forces, revitalized our military infrastructure, recruited and trained the most capable fighting force in American history. And we have used these tools with care, responsibility, and restraint.</w:t>
      </w:r>
    </w:p>
    <w:p w:rsidR="00A31137" w:rsidRPr="00A31137" w:rsidRDefault="00A31137" w:rsidP="00A31137">
      <w:r w:rsidRPr="00A31137">
        <w:t>1988 Republican Platform, p.89</w:t>
      </w:r>
    </w:p>
    <w:p w:rsidR="00A31137" w:rsidRPr="00A31137" w:rsidRDefault="00A31137" w:rsidP="00A31137">
      <w:r w:rsidRPr="00A31137">
        <w:t>The Reagan-Bush national security program has restored America's credibility in the world. Our security and that of our allies have been dramatically enhanced; the opportunities for the United States to be a positive force for freedom and democracy throughout the world have expanded, and the chances for new breakthroughs for peace have risen dramatically.</w:t>
      </w:r>
    </w:p>
    <w:p w:rsidR="00A31137" w:rsidRPr="00A31137" w:rsidRDefault="00A31137" w:rsidP="00A31137">
      <w:r w:rsidRPr="00A31137">
        <w:t>1988 Republican Platform, p.89</w:t>
      </w:r>
    </w:p>
    <w:p w:rsidR="00A31137" w:rsidRPr="00A31137" w:rsidRDefault="00A31137" w:rsidP="00A31137">
      <w:r w:rsidRPr="00A31137">
        <w:t>Republicans will build upon this record and advance the cause of world freedom and world peace by using our military credibility as a vehicle for security at home and peace abroad.</w:t>
      </w:r>
    </w:p>
    <w:p w:rsidR="00A31137" w:rsidRPr="00A31137" w:rsidRDefault="00A31137" w:rsidP="00A31137">
      <w:r w:rsidRPr="00A31137">
        <w:t>1988 Republican Platform, p.89</w:t>
      </w:r>
    </w:p>
    <w:p w:rsidR="00A31137" w:rsidRPr="00A31137" w:rsidRDefault="00A31137" w:rsidP="00A31137">
      <w:r w:rsidRPr="00A31137">
        <w:t>These new opportunities for peace and world freedom pose new challenges to America.</w:t>
      </w:r>
    </w:p>
    <w:p w:rsidR="00A31137" w:rsidRPr="00A31137" w:rsidRDefault="00A31137" w:rsidP="00A31137">
      <w:r w:rsidRPr="00A31137">
        <w:t>1988 Republican Platform, p.89</w:t>
      </w:r>
    </w:p>
    <w:p w:rsidR="00A31137" w:rsidRPr="00A31137" w:rsidRDefault="00A31137" w:rsidP="00A31137">
      <w:r w:rsidRPr="00A31137">
        <w:t>The INF Treaty, the first treaty to actually reduce the number of nuclear weapons, was made possible by our commitment to peace through strength. It will impose new demands on our armed forces. We will redouble our commitment to correct a dangerous imbalance of conventional forces both through negotiation and through force improvements.</w:t>
      </w:r>
    </w:p>
    <w:p w:rsidR="00A31137" w:rsidRPr="00A31137" w:rsidRDefault="00A31137" w:rsidP="00A31137">
      <w:r w:rsidRPr="00A31137">
        <w:t>1988 Republican Platform, p.89</w:t>
      </w:r>
    </w:p>
    <w:p w:rsidR="00A31137" w:rsidRPr="00A31137" w:rsidRDefault="00A31137" w:rsidP="00A31137">
      <w:r w:rsidRPr="00A31137">
        <w:t>The Carter administration left our armed forces in a dangerously weakened position. Ten of the Army's 16 divisions were rated as "not combat ready" due to shortages of skilled manpower, spare parts, fuel, ammunition, and training. For the same reasons, more than 40 percent of the U.S. Air Force and Navy combat aircraft were not fully mission-capable.</w:t>
      </w:r>
    </w:p>
    <w:p w:rsidR="00A31137" w:rsidRPr="00A31137" w:rsidRDefault="00A31137" w:rsidP="00A31137">
      <w:r w:rsidRPr="00A31137">
        <w:t>1988 Republican Platform, p.89</w:t>
      </w:r>
    </w:p>
    <w:p w:rsidR="00A31137" w:rsidRPr="00A31137" w:rsidRDefault="00A31137" w:rsidP="00A31137">
      <w:r w:rsidRPr="00A31137">
        <w:t>The vacillating, ineffectual defense policies of the Democrat presidential nominee would similarly weaken our national security. His ideas about strategic weapons are not only out of step with the thinking of the vast majority of Americans, but also in direct conflict with those of his vice presidential running mate and most of the leading Democrats on the Senate and House Armed Services Committees.</w:t>
      </w:r>
    </w:p>
    <w:p w:rsidR="00A31137" w:rsidRPr="00A31137" w:rsidRDefault="00A31137" w:rsidP="00A31137">
      <w:r w:rsidRPr="00A31137">
        <w:t>1988 Republican Platform, p.89</w:t>
      </w:r>
    </w:p>
    <w:p w:rsidR="00A31137" w:rsidRPr="00A31137" w:rsidRDefault="00A31137" w:rsidP="00A31137">
      <w:r w:rsidRPr="00A31137">
        <w:t xml:space="preserve">Republicans will support U.S. defense capabilities by keeping our economy strong and inflation rates low. Continued economic growth will allow more dollars to be available for defense without consuming a larger portion of the GNP or the federal budget; continued efficiency and economy will assure those dollars are well-spent. [p.90] </w:t>
      </w:r>
    </w:p>
    <w:p w:rsidR="00A31137" w:rsidRPr="00A31137" w:rsidRDefault="00A31137" w:rsidP="00A31137">
      <w:r w:rsidRPr="00A31137">
        <w:t>1988 Republican Platform, p.90</w:t>
      </w:r>
    </w:p>
    <w:p w:rsidR="00A31137" w:rsidRPr="00A31137" w:rsidRDefault="00A31137" w:rsidP="00A31137">
      <w:r w:rsidRPr="00A31137">
        <w:t>Even as we engage in dialogue with our adversaries to reduce the risks of war, we must continue to rely on nuclear weapons as our chief form of deterrence. This reliance will, however, move toward non-nuclear defensive weapon systems as we deploy the Strategic Defense System. We will greatly enhance security by making the transition from an all-offensive balance of nuclear terror to a deterrent that emphasizes non-nuclear defense against attack.</w:t>
      </w:r>
    </w:p>
    <w:p w:rsidR="00A31137" w:rsidRPr="00A31137" w:rsidRDefault="00A31137" w:rsidP="00A31137">
      <w:r w:rsidRPr="00A31137">
        <w:t>1988 Republican Platform, p.90</w:t>
      </w:r>
    </w:p>
    <w:p w:rsidR="00A31137" w:rsidRPr="00A31137" w:rsidRDefault="00A31137" w:rsidP="00A31137">
      <w:r w:rsidRPr="00A31137">
        <w:t>We must improve conventional deterrence that would prevent our adversaries from being able to advance successfully into allied territory. We stand in unity with our European allies in the conviction that neither a nuclear war nor a conventional war should be fought. Nonetheless, we must stay on the cutting edge of weapon system development and deployment to deter Soviet aggression in Europe and throughout the free world.</w:t>
      </w:r>
    </w:p>
    <w:p w:rsidR="00A31137" w:rsidRPr="00A31137" w:rsidRDefault="00A31137" w:rsidP="00A31137">
      <w:r w:rsidRPr="00A31137">
        <w:t>1988 Republican Platform, p.90</w:t>
      </w:r>
    </w:p>
    <w:p w:rsidR="00A31137" w:rsidRPr="00A31137" w:rsidRDefault="00A31137" w:rsidP="00A31137">
      <w:r w:rsidRPr="00A31137">
        <w:t>Only by maintaining our strength and resolve can we secure peace in the years ahead. Republicans will provide the steady leadership needed to move our nation effectively into the 21st century.</w:t>
      </w:r>
    </w:p>
    <w:p w:rsidR="00A31137" w:rsidRPr="00A31137" w:rsidRDefault="00A31137" w:rsidP="00A31137">
      <w:r w:rsidRPr="00A31137">
        <w:t>America Defended</w:t>
      </w:r>
    </w:p>
    <w:p w:rsidR="00A31137" w:rsidRPr="00A31137" w:rsidRDefault="00A31137" w:rsidP="00A31137">
      <w:r w:rsidRPr="00A31137">
        <w:t>1988 Republican Platform, p.90</w:t>
      </w:r>
    </w:p>
    <w:p w:rsidR="00A31137" w:rsidRPr="00A31137" w:rsidRDefault="00A31137" w:rsidP="00A31137">
      <w:r w:rsidRPr="00A31137">
        <w:t>We have begun a historic transition from an America threatened by nuclear weapons to an America defended against the possibility of a devastating nuclear attack.</w:t>
      </w:r>
    </w:p>
    <w:p w:rsidR="00A31137" w:rsidRPr="00A31137" w:rsidRDefault="00A31137" w:rsidP="00A31137">
      <w:r w:rsidRPr="00A31137">
        <w:t>1988 Republican Platform, p.90</w:t>
      </w:r>
    </w:p>
    <w:p w:rsidR="00A31137" w:rsidRPr="00A31137" w:rsidRDefault="00A31137" w:rsidP="00A31137">
      <w:r w:rsidRPr="00A31137">
        <w:t>We understand the ominous implications of the proliferation of ballistic missile technology in the Third World. The Reagan-Bush Administration has succeeded in negotiating an agreement among the seven leading industrial countries to stop the spread of this technology. This underscores the need for deployment of the Strategic Defense System commonly known as SDI. SDI represents America's single most important defense program and is the most significant investment we can make in our nation's future security.</w:t>
      </w:r>
      <w:r w:rsidRPr="00A31137">
        <w:cr/>
      </w:r>
    </w:p>
    <w:p w:rsidR="00A31137" w:rsidRPr="00A31137" w:rsidRDefault="00A31137" w:rsidP="00A31137">
      <w:r w:rsidRPr="00A31137">
        <w:t>1988 Republican Platform, p.90</w:t>
      </w:r>
    </w:p>
    <w:p w:rsidR="00A31137" w:rsidRPr="00A31137" w:rsidRDefault="00A31137" w:rsidP="00A31137">
      <w:r w:rsidRPr="00A31137">
        <w:t>SDI is already working for America. It brought the Soviets back to the bargaining table, and it has energized and challenged our research and technology community as never before. It has started to reverse the trend of unmatched heavy Soviet investment in strategic defense. Republicans insist it is unacceptable that today the citizens of Moscow are protected against ballistic missile attack while Americans have no such protection.</w:t>
      </w:r>
    </w:p>
    <w:p w:rsidR="00A31137" w:rsidRPr="00A31137" w:rsidRDefault="00A31137" w:rsidP="00A31137">
      <w:r w:rsidRPr="00A31137">
        <w:t>1988 Republican Platform, p.90</w:t>
      </w:r>
    </w:p>
    <w:p w:rsidR="00A31137" w:rsidRPr="00A31137" w:rsidRDefault="00A31137" w:rsidP="00A31137">
      <w:r w:rsidRPr="00A31137">
        <w:t>The SDI program has been structured to facilitate a smooth transition to a safer world. It emphasizes deployments based upon the following objectives:</w:t>
      </w:r>
    </w:p>
    <w:p w:rsidR="00A31137" w:rsidRPr="00A31137" w:rsidRDefault="00A31137" w:rsidP="00A31137">
      <w:r w:rsidRPr="00A31137">
        <w:t xml:space="preserve">• </w:t>
      </w:r>
      <w:r w:rsidRPr="00A31137">
        <w:tab/>
        <w:t xml:space="preserve">Providing protection against an accidental or unauthorized launch of a nuclear missile or an attack by a rogue nation. [p.91] </w:t>
      </w:r>
    </w:p>
    <w:p w:rsidR="00A31137" w:rsidRPr="00A31137" w:rsidRDefault="00A31137" w:rsidP="00A31137">
      <w:r w:rsidRPr="00A31137">
        <w:t xml:space="preserve">• </w:t>
      </w:r>
      <w:r w:rsidRPr="00A31137">
        <w:tab/>
        <w:t>Changing the emphasis of our deterrent from nuclear offense to non-nuclear defensive weapons and providing the only real safeguard against cheating on offensive arms control agreements.</w:t>
      </w:r>
    </w:p>
    <w:p w:rsidR="00A31137" w:rsidRPr="00A31137" w:rsidRDefault="00A31137" w:rsidP="00A31137">
      <w:r w:rsidRPr="00A31137">
        <w:t xml:space="preserve">• </w:t>
      </w:r>
      <w:r w:rsidRPr="00A31137">
        <w:tab/>
        <w:t>Ultimately, providing a comprehensive defense against all ballistic missile attacks.</w:t>
      </w:r>
    </w:p>
    <w:p w:rsidR="00A31137" w:rsidRPr="00A31137" w:rsidRDefault="00A31137" w:rsidP="00A31137">
      <w:r w:rsidRPr="00A31137">
        <w:t>1988 Republican Platform, p.91</w:t>
      </w:r>
    </w:p>
    <w:p w:rsidR="00A31137" w:rsidRPr="00A31137" w:rsidRDefault="00A31137" w:rsidP="00A31137">
      <w:r w:rsidRPr="00A31137">
        <w:t>We are committed to rapid and certain deployment of SDI as technologies permit, and we will determine the exact architecture of the system as technologies are tested and proven.</w:t>
      </w:r>
    </w:p>
    <w:p w:rsidR="00A31137" w:rsidRPr="00A31137" w:rsidRDefault="00A31137" w:rsidP="00A31137">
      <w:r w:rsidRPr="00A31137">
        <w:t>1988 Republican Platform, p.91</w:t>
      </w:r>
    </w:p>
    <w:p w:rsidR="00A31137" w:rsidRPr="00A31137" w:rsidRDefault="00A31137" w:rsidP="00A31137">
      <w:r w:rsidRPr="00A31137">
        <w:t>In response to the dangerous proliferation of ballistic missiles, a joint U.S.-Israel effort is now underway to produce the free world's first anti-tactical ballistic missile system, "Project Arrow." We will support this use of SDI research funds.</w:t>
      </w:r>
    </w:p>
    <w:p w:rsidR="00A31137" w:rsidRPr="00A31137" w:rsidRDefault="00A31137" w:rsidP="00A31137">
      <w:r w:rsidRPr="00A31137">
        <w:t>1988 Republican Platform, p.91</w:t>
      </w:r>
    </w:p>
    <w:p w:rsidR="00A31137" w:rsidRPr="00A31137" w:rsidRDefault="00A31137" w:rsidP="00A31137">
      <w:r w:rsidRPr="00A31137">
        <w:t>The Democrat nominee for president opposes deployment of any SDI system. He opposes deployment of even a limited ballistic missile defense system to protect Americans against missile attacks that might be launched accidentally or by an outlaw ruler with access to a few nuclear weapons. His position contradicts the sponsorship by certain Democrats in Congress of a system to protect Americans from such missile attacks.</w:t>
      </w:r>
    </w:p>
    <w:p w:rsidR="00A31137" w:rsidRPr="00A31137" w:rsidRDefault="00A31137" w:rsidP="00A31137">
      <w:r w:rsidRPr="00A31137">
        <w:t>1988 Republican Platform, p.91</w:t>
      </w:r>
    </w:p>
    <w:p w:rsidR="00A31137" w:rsidRPr="00A31137" w:rsidRDefault="00A31137" w:rsidP="00A31137">
      <w:r w:rsidRPr="00A31137">
        <w:t>In recognition of our responsibility to provide optimum protection for the American people from terrorists, accidents and—should deterrence fail—from war, we also believe that a high priority should be given to Civil Defense.</w:t>
      </w:r>
    </w:p>
    <w:p w:rsidR="00A31137" w:rsidRPr="00A31137" w:rsidRDefault="00A31137" w:rsidP="00A31137">
      <w:r w:rsidRPr="00A31137">
        <w:t>1988 Republican Platform, p.91</w:t>
      </w:r>
    </w:p>
    <w:p w:rsidR="00A31137" w:rsidRPr="00A31137" w:rsidRDefault="00A31137" w:rsidP="00A31137">
      <w:r w:rsidRPr="00A31137">
        <w:t>Republicans want to begin with protection and add to deterrence. We applaud the leaders of the scientific community for their confidence in the ability of U.S. technology to enhance deterrence and to provide effective defenses. We urge the universities of our country to continue to cooperate with the government and the private sector in establishing the SDI system.</w:t>
      </w:r>
    </w:p>
    <w:p w:rsidR="00A31137" w:rsidRPr="00A31137" w:rsidRDefault="00A31137" w:rsidP="00A31137">
      <w:r w:rsidRPr="00A31137">
        <w:t>A Strategy for Deterrence</w:t>
      </w:r>
    </w:p>
    <w:p w:rsidR="00A31137" w:rsidRPr="00A31137" w:rsidRDefault="00A31137" w:rsidP="00A31137">
      <w:r w:rsidRPr="00A31137">
        <w:t>1988 Republican Platform, p.91</w:t>
      </w:r>
    </w:p>
    <w:p w:rsidR="00A31137" w:rsidRPr="00A31137" w:rsidRDefault="00A31137" w:rsidP="00A31137">
      <w:r w:rsidRPr="00A31137">
        <w:t>Republicans will implement a strategic modernization program, emphasizing offensive and defensive strategic forces that are affordable and credible and that provide for a more stable balance. In contrast with the Democrat nominee and his party, we will not jeopardize America's security and undermine the advances we have made for peace and freedom by permitting erosion of our nuclear deterrent.</w:t>
      </w:r>
    </w:p>
    <w:p w:rsidR="00A31137" w:rsidRPr="00A31137" w:rsidRDefault="00A31137" w:rsidP="00A31137">
      <w:r w:rsidRPr="00A31137">
        <w:t>1988 Republican Platform, p.91</w:t>
      </w:r>
    </w:p>
    <w:p w:rsidR="00A31137" w:rsidRPr="00A31137" w:rsidRDefault="00A31137" w:rsidP="00A31137">
      <w:r w:rsidRPr="00A31137">
        <w:t>Over the past 30 years, every administration—Democrat and Republican alike—has understood the importance of maintaining a strategic triad: a mix of ground, air and sea retaliatory forces. Republicans know our country needs a survivable land-based leg of the triad. The current [p.92] Democrat leadership rejects this integral element of our strategic force posture. This will destroy the triad by neglecting necessary modernization and foregoing the strategic forces essential for preserving deterrence.</w:t>
      </w:r>
    </w:p>
    <w:p w:rsidR="00A31137" w:rsidRPr="00A31137" w:rsidRDefault="00A31137" w:rsidP="00A31137">
      <w:r w:rsidRPr="00A31137">
        <w:t>1988 Republican Platform, p.92</w:t>
      </w:r>
    </w:p>
    <w:p w:rsidR="00A31137" w:rsidRPr="00A31137" w:rsidRDefault="00A31137" w:rsidP="00A31137">
      <w:r w:rsidRPr="00A31137">
        <w:t>The most critical element in enabling the President to preserve peace is to assure his ability to communicate with foreign leaders and our armed forces under the most adverse circumstances. The Democrat nominee has acted to prevent a future President from having this ability by denying the federal government the needed approval to deploy key elements of the Ground Wave Emergency Network (GWEN) in Massachusetts. By doing so, he has demonstrated a shocking disregard for the security of all Americans. This nation cannot afford such irresponsible leadership from one who aspires to be our Commander-in-Chief.</w:t>
      </w:r>
    </w:p>
    <w:p w:rsidR="00A31137" w:rsidRPr="00A31137" w:rsidRDefault="00A31137" w:rsidP="00A31137">
      <w:r w:rsidRPr="00A31137">
        <w:t>1988 Republican Platform, p.92</w:t>
      </w:r>
    </w:p>
    <w:p w:rsidR="00A31137" w:rsidRPr="00A31137" w:rsidRDefault="00A31137" w:rsidP="00A31137">
      <w:r w:rsidRPr="00A31137">
        <w:t>To end our historic reliance on massive nuclear retaliation, we need to develop a comprehensive strategic defense system. This system will deter and protect us against deliberate or accidental ballistic missile attack, from whatever source.</w:t>
      </w:r>
    </w:p>
    <w:p w:rsidR="00A31137" w:rsidRPr="00A31137" w:rsidRDefault="00A31137" w:rsidP="00A31137">
      <w:r w:rsidRPr="00A31137">
        <w:t>1988 Republican Platform, p.92</w:t>
      </w:r>
    </w:p>
    <w:p w:rsidR="00A31137" w:rsidRPr="00A31137" w:rsidRDefault="00A31137" w:rsidP="00A31137">
      <w:r w:rsidRPr="00A31137">
        <w:t>In the conventional area, we need to ensure that our ground, naval, and air forces are outfitted with the finest equipment and weapons that modern technology can provide; we must also assure that they are fully capable of meeting any threats they may face. We put special emphasis on integrating the guard and reserves into effective combat forces. We must sustain and accelerate the progress we have already made to ensure that all of our forces are prepared for special operations warfare. In addition, advances in conventional weapons technology, specifically, "smart," highly accurate weaponry, must be accelerated. These new weapons will deter our adversaries by threatening significant targets with very precise conventional weapons. We must provide sealift and airlift capability needed to project and support U.S. forces anywhere in the world.</w:t>
      </w:r>
    </w:p>
    <w:p w:rsidR="00A31137" w:rsidRPr="00A31137" w:rsidRDefault="00A31137" w:rsidP="00A31137">
      <w:r w:rsidRPr="00A31137">
        <w:t>1988 Republican Platform, p.92</w:t>
      </w:r>
    </w:p>
    <w:p w:rsidR="00A31137" w:rsidRPr="00A31137" w:rsidRDefault="00A31137" w:rsidP="00A31137">
      <w:r w:rsidRPr="00A31137">
        <w:t>We must also deal with the reality of chemical and biological weapons. We must have a deterrent capability; that requires modernization of our own chemical weapons. But we must also strengthen our efforts to achieve a verifiable agreement to eliminate all chemical and biological weapons. Getting a completely verifiable agreement will be difficult, requiring tough, on-site, on-demand verification. It is, however, essential that we press ahead, particularly given the growing proclivity in some quarters to use chemical and biological weapons.</w:t>
      </w:r>
    </w:p>
    <w:p w:rsidR="00A31137" w:rsidRPr="00A31137" w:rsidRDefault="00A31137" w:rsidP="00A31137">
      <w:r w:rsidRPr="00A31137">
        <w:t>1988 Republican Platform, p.92</w:t>
      </w:r>
    </w:p>
    <w:p w:rsidR="00A31137" w:rsidRPr="00A31137" w:rsidRDefault="00A31137" w:rsidP="00A31137">
      <w:r w:rsidRPr="00A31137">
        <w:t xml:space="preserve">In each aspect of our deterrent force, Republicans propose to foster and take advantage of our technology and our democratic alliance systems to develop competing strategies for most effectively defending freedom around the world. [p.93] </w:t>
      </w:r>
    </w:p>
    <w:p w:rsidR="00A31137" w:rsidRPr="00A31137" w:rsidRDefault="00A31137" w:rsidP="00A31137">
      <w:r w:rsidRPr="00A31137">
        <w:t>An Arms Reduction Strategy</w:t>
      </w:r>
    </w:p>
    <w:p w:rsidR="00A31137" w:rsidRPr="00A31137" w:rsidRDefault="00A31137" w:rsidP="00A31137">
      <w:r w:rsidRPr="00A31137">
        <w:t>1988 Republican Platform, p.93</w:t>
      </w:r>
    </w:p>
    <w:p w:rsidR="00A31137" w:rsidRPr="00A31137" w:rsidRDefault="00A31137" w:rsidP="00A31137">
      <w:r w:rsidRPr="00A31137">
        <w:t>Arms reduction can be an important aspect of our national policy only when agreements enhance the security of the United States and its allies. This is the Reagan-Bush legacy; true arms reductions as a means to improve U.S. security, not just the perception of East-West detente. Clear objectives, steady purpose, and tough negotiating, backed up by the Republican defense program, produced the INF Treaty. This is the first real nuclear arms reduction treaty in history. Until 1981, we had accepted arms "control" as simply a "managed" arms build-up, always waiting for the next agreement to reverse the trend. Republicans insist on mutual arms reductions. We have proven that there are no barriers to mutual reductions except a lack of will and strength to safely achieve them.</w:t>
      </w:r>
    </w:p>
    <w:p w:rsidR="00A31137" w:rsidRPr="00A31137" w:rsidRDefault="00A31137" w:rsidP="00A31137">
      <w:r w:rsidRPr="00A31137">
        <w:t>1988 Republican Platform, p.93</w:t>
      </w:r>
    </w:p>
    <w:p w:rsidR="00A31137" w:rsidRPr="00A31137" w:rsidRDefault="00A31137" w:rsidP="00A31137">
      <w:r w:rsidRPr="00A31137">
        <w:t>We cannot afford to return to failed Democrat approaches to arms control. Democrats treat arms control as an end in itself, over-emphasizing the atmospherics of East-West relations, making unilateral concessions, and reneging on the traditional U.S. commitment to those forces essential to U.S. and allied security. Notwithstanding their stated intentions, the Democrats' approach—particularly a nuclear freeze—would make nuclear war more, not less, likely.</w:t>
      </w:r>
    </w:p>
    <w:p w:rsidR="00A31137" w:rsidRPr="00A31137" w:rsidRDefault="00A31137" w:rsidP="00A31137">
      <w:r w:rsidRPr="00A31137">
        <w:t>1988 Republican Platform, p.93</w:t>
      </w:r>
    </w:p>
    <w:p w:rsidR="00A31137" w:rsidRPr="00A31137" w:rsidRDefault="00A31137" w:rsidP="00A31137">
      <w:r w:rsidRPr="00A31137">
        <w:t>Republicans are committed to completing the work the Reagan-Bush Administration has begun on an unprecedented 50 percent cut in strategic nuclear weapons. We will achieve verifiable and stable reductions by implementing the Republican agenda for a secure America:</w:t>
      </w:r>
    </w:p>
    <w:p w:rsidR="00A31137" w:rsidRPr="00A31137" w:rsidRDefault="00A31137" w:rsidP="00A31137">
      <w:r w:rsidRPr="00A31137">
        <w:t>1988 Republican Platform, p.93</w:t>
      </w:r>
    </w:p>
    <w:p w:rsidR="00A31137" w:rsidRPr="00A31137" w:rsidRDefault="00A31137" w:rsidP="00A31137">
      <w:r w:rsidRPr="00A31137">
        <w:t xml:space="preserve">• </w:t>
      </w:r>
      <w:r w:rsidRPr="00A31137">
        <w:tab/>
        <w:t>We will consistently undertake necessary improvements in our forces to maintain the effectiveness of our deterrent.</w:t>
      </w:r>
    </w:p>
    <w:p w:rsidR="00A31137" w:rsidRPr="00A31137" w:rsidRDefault="00A31137" w:rsidP="00A31137">
      <w:r w:rsidRPr="00A31137">
        <w:t xml:space="preserve">• </w:t>
      </w:r>
      <w:r w:rsidRPr="00A31137">
        <w:tab/>
        <w:t>We will not negotiate in areas which jeopardize our security. In particular, we will not compromise plans for the research, testing, or the rapid and certain deployment of SDI.</w:t>
      </w:r>
    </w:p>
    <w:p w:rsidR="00A31137" w:rsidRPr="00A31137" w:rsidRDefault="00A31137" w:rsidP="00A31137">
      <w:r w:rsidRPr="00A31137">
        <w:t xml:space="preserve">• </w:t>
      </w:r>
      <w:r w:rsidRPr="00A31137">
        <w:tab/>
        <w:t>We will insist on effective verification of compliance with any and all treaties and will take proportional, compensatory actions in cases of non-compliance. Specifically, the Soviet ABM radar at Krasnoyarsk poses a clear violation of the ABM Treaty and, if not corrected, would constitute a "material breach" of the Treaty.</w:t>
      </w:r>
    </w:p>
    <w:p w:rsidR="00A31137" w:rsidRPr="00A31137" w:rsidRDefault="00A31137" w:rsidP="00A31137">
      <w:r w:rsidRPr="00A31137">
        <w:t xml:space="preserve">• </w:t>
      </w:r>
      <w:r w:rsidRPr="00A31137">
        <w:tab/>
        <w:t>We will place special emphasis on negotiating asymmetrical Soviet cutbacks in those areas where a dangerous imbalance exists. For example, during the three-year regime of Mikhail Gorbachev, the Soviet military has added more new conventional weapons than currently exist in the entire armed forces of France and West Germany.</w:t>
      </w:r>
    </w:p>
    <w:p w:rsidR="00A31137" w:rsidRPr="00A31137" w:rsidRDefault="00A31137" w:rsidP="00A31137">
      <w:r w:rsidRPr="00A31137">
        <w:t xml:space="preserve">• </w:t>
      </w:r>
      <w:r w:rsidRPr="00A31137">
        <w:tab/>
        <w:t>We will reject naive and dangerous proposals such as those offered by [p.94] the Democrat nominee to ban the testing of weapons and delivery systems. Those simplistic and destabilizing proposals are designed only for domestic political appeal and would actually jeopardize achievement of stable arms reductions. The accuracies and efficiencies achieved by testing have in fact resulted in 25 percent fewer warheads and 75 percent less megatonnage than 20 years ago. Our more accurate weapons of today enhance stability.</w:t>
      </w:r>
    </w:p>
    <w:p w:rsidR="00A31137" w:rsidRPr="00A31137" w:rsidRDefault="00A31137" w:rsidP="00A31137">
      <w:r w:rsidRPr="00A31137">
        <w:t>1988 Republican Platform, p.94</w:t>
      </w:r>
    </w:p>
    <w:p w:rsidR="00A31137" w:rsidRPr="00A31137" w:rsidRDefault="00A31137" w:rsidP="00A31137">
      <w:r w:rsidRPr="00A31137">
        <w:t>We must always remember—and ever remind our fellow citizens—that, when the future of our country is at stake, no treaty at all is preferable to a bad treaty.</w:t>
      </w:r>
    </w:p>
    <w:p w:rsidR="00A31137" w:rsidRPr="00A31137" w:rsidRDefault="00A31137" w:rsidP="00A31137"/>
    <w:p w:rsidR="00A31137" w:rsidRPr="00A31137" w:rsidRDefault="00A31137" w:rsidP="00A31137">
      <w:r w:rsidRPr="00A31137">
        <w:t>The Space Challenge</w:t>
      </w:r>
    </w:p>
    <w:p w:rsidR="00A31137" w:rsidRPr="00A31137" w:rsidRDefault="00A31137" w:rsidP="00A31137">
      <w:r w:rsidRPr="00A31137">
        <w:t>1988 Republican Platform, p.94</w:t>
      </w:r>
    </w:p>
    <w:p w:rsidR="00A31137" w:rsidRPr="00A31137" w:rsidRDefault="00A31137" w:rsidP="00A31137">
      <w:r w:rsidRPr="00A31137">
        <w:t>The Republican Party is determined to lead our country and the world into the 21st century with a revitalized space program. The American people have never turned back from a frontier.</w:t>
      </w:r>
    </w:p>
    <w:p w:rsidR="00A31137" w:rsidRPr="00A31137" w:rsidRDefault="00A31137" w:rsidP="00A31137">
      <w:r w:rsidRPr="00A31137">
        <w:t>1988 Republican Platform, p.94</w:t>
      </w:r>
    </w:p>
    <w:p w:rsidR="00A31137" w:rsidRPr="00A31137" w:rsidRDefault="00A31137" w:rsidP="00A31137">
      <w:r w:rsidRPr="00A31137">
        <w:t>Our exploration of space has kept this country on the leading edge of science, research, and technology. Our access to space is essential to our national security. In the coming decade, nations around the world will compete for the economic and military advantages afforded by space.</w:t>
      </w:r>
    </w:p>
    <w:p w:rsidR="00A31137" w:rsidRPr="00A31137" w:rsidRDefault="00A31137" w:rsidP="00A31137">
      <w:r w:rsidRPr="00A31137">
        <w:t>1988 Republican Platform, p.94</w:t>
      </w:r>
    </w:p>
    <w:p w:rsidR="00A31137" w:rsidRPr="00A31137" w:rsidRDefault="00A31137" w:rsidP="00A31137">
      <w:r w:rsidRPr="00A31137">
        <w:t xml:space="preserve">The free and unchallenged use of space offers to the free world, and the Soviet bloc as well, unprecedented strategic, scientific, and economic advantages. The Soviets openly seek these advantages, which must not be denied to the United States and other free nations. Our goal is for the United States to acquire the means to assure that we can enforce a stable and secure space environment for all peoples. [p.95] </w:t>
      </w:r>
    </w:p>
    <w:p w:rsidR="00A31137" w:rsidRPr="00A31137" w:rsidRDefault="00A31137" w:rsidP="00A31137">
      <w:r w:rsidRPr="00A31137">
        <w:t>1988 Republican Platform, p.95</w:t>
      </w:r>
    </w:p>
    <w:p w:rsidR="00A31137" w:rsidRPr="00A31137" w:rsidRDefault="00A31137" w:rsidP="00A31137">
      <w:r w:rsidRPr="00A31137">
        <w:t>We must establish a permanent manned space station in orbit during the 1990s for a commercial and governmental space presence.</w:t>
      </w:r>
    </w:p>
    <w:p w:rsidR="00A31137" w:rsidRPr="00A31137" w:rsidRDefault="00A31137" w:rsidP="00A31137">
      <w:r w:rsidRPr="00A31137">
        <w:t>1988 Republican Platform, p.95</w:t>
      </w:r>
    </w:p>
    <w:p w:rsidR="00A31137" w:rsidRPr="00A31137" w:rsidRDefault="00A31137" w:rsidP="00A31137">
      <w:r w:rsidRPr="00A31137">
        <w:t>U.S. satellites currently act as the "eyes and ears" for our strategic forces. The survivability of U.S. space assets is vital to American interests.</w:t>
      </w:r>
    </w:p>
    <w:p w:rsidR="00A31137" w:rsidRPr="00A31137" w:rsidRDefault="00A31137" w:rsidP="00A31137">
      <w:r w:rsidRPr="00A31137">
        <w:t>1988 Republican Platform, p.95</w:t>
      </w:r>
    </w:p>
    <w:p w:rsidR="00A31137" w:rsidRPr="00A31137" w:rsidRDefault="00A31137" w:rsidP="00A31137">
      <w:r w:rsidRPr="00A31137">
        <w:t>We believe the U.S. needs an Anti-Satellite (ASAT) capability to protect our space assets from an operational Soviet threat, and we intend to deploy it rapidly. Furthermore, we encourage the responsible Democrat Members of Congress to join us in this effort. Our country's advance in space is essential to achieve the economic transformations which await us in the new century ahead.</w:t>
      </w:r>
    </w:p>
    <w:p w:rsidR="00A31137" w:rsidRPr="00A31137" w:rsidRDefault="00A31137" w:rsidP="00A31137">
      <w:r w:rsidRPr="00A31137">
        <w:t>1988 Republican Platform, p.95</w:t>
      </w:r>
    </w:p>
    <w:p w:rsidR="00A31137" w:rsidRPr="00A31137" w:rsidRDefault="00A31137" w:rsidP="00A31137">
      <w:r w:rsidRPr="00A31137">
        <w:t>Two powerful engines that can reenergize the space program will be competitive free enterprise and SDI. The United States must regain assured access to space through a balanced mix of space shuttles and unmanned vehicles. We must also expand the role—in investment, operation, and control—of the private sector. Republicans believe that this nation can and must develop a private sector capability to compete effectively in the world marketplace as a provider of launches and other services.</w:t>
      </w:r>
    </w:p>
    <w:p w:rsidR="00A31137" w:rsidRPr="00A31137" w:rsidRDefault="00A31137" w:rsidP="00A31137">
      <w:r w:rsidRPr="00A31137">
        <w:t>1988 Republican Platform, p.95</w:t>
      </w:r>
    </w:p>
    <w:p w:rsidR="00A31137" w:rsidRPr="00A31137" w:rsidRDefault="00A31137" w:rsidP="00A31137">
      <w:r w:rsidRPr="00A31137">
        <w:t>We applaud those who have pioneered America's rendezvous with the future. We salute those who have lifted the nation's spirit by raising its sights. We remember in special honor those who gave their lives to give our country a leading role in space.</w:t>
      </w:r>
    </w:p>
    <w:p w:rsidR="00A31137" w:rsidRPr="00A31137" w:rsidRDefault="00A31137" w:rsidP="00A31137">
      <w:r w:rsidRPr="00A31137">
        <w:t>America: A Strong Leader and Reliable Partner</w:t>
      </w:r>
    </w:p>
    <w:p w:rsidR="00A31137" w:rsidRPr="00A31137" w:rsidRDefault="00A31137" w:rsidP="00A31137">
      <w:r w:rsidRPr="00A31137">
        <w:t>1988 Republican Platform, p.95</w:t>
      </w:r>
    </w:p>
    <w:p w:rsidR="00A31137" w:rsidRPr="00A31137" w:rsidRDefault="00A31137" w:rsidP="00A31137">
      <w:r w:rsidRPr="00A31137">
        <w:t>NATO remains the United States' most important political and military alliance. Republican commitment to NATO is unwavering, reflecting shared political and democratic values which link Europe, Canada, and the United States. NATO pools our collective military resources and capabilities, stretching in Europe from Norway in the north to Turkey, our strategic friend and pillar in the south.</w:t>
      </w:r>
    </w:p>
    <w:p w:rsidR="00A31137" w:rsidRPr="00A31137" w:rsidRDefault="00A31137" w:rsidP="00A31137">
      <w:r w:rsidRPr="00A31137">
        <w:t>1988 Republican Platform, p.95</w:t>
      </w:r>
    </w:p>
    <w:p w:rsidR="00A31137" w:rsidRPr="00A31137" w:rsidRDefault="00A31137" w:rsidP="00A31137">
      <w:r w:rsidRPr="00A31137">
        <w:t>Our challenge is to assure that today's positive signals from the Soviets translate into a tangible reduction of their military threat tomorrow. Soviet conventional superiority remains a serious problem for NATO. Soviet-Warsaw Pact military doctrine continues to be predicated upon the Soviet Union's ability to mount a massive conventional offensive against the NATO allies. The NATO allies must strengthen their conventional forces, modernize their remaining nuclear systems, and promote rationalization, standardization and interoperability.</w:t>
      </w:r>
    </w:p>
    <w:p w:rsidR="00A31137" w:rsidRPr="00A31137" w:rsidRDefault="00A31137" w:rsidP="00A31137">
      <w:r w:rsidRPr="00A31137">
        <w:t>1988 Republican Platform, p.95</w:t>
      </w:r>
    </w:p>
    <w:p w:rsidR="00A31137" w:rsidRPr="00A31137" w:rsidRDefault="00A31137" w:rsidP="00A31137">
      <w:r w:rsidRPr="00A31137">
        <w:t>On the critical issues of defense burden sharing, Republicans reflect the [p.96] belief of the American people that, although we must maintain a strong presence, the alliance has now evolved to a point where our European and Japanese allies, blessed with advanced economies and high standards of living, are capable of shouldering their fair share of our common defense burden.</w:t>
      </w:r>
    </w:p>
    <w:p w:rsidR="00A31137" w:rsidRPr="00A31137" w:rsidRDefault="00A31137" w:rsidP="00A31137">
      <w:r w:rsidRPr="00A31137">
        <w:t>1988 Republican Platform, p.96</w:t>
      </w:r>
    </w:p>
    <w:p w:rsidR="00A31137" w:rsidRPr="00A31137" w:rsidRDefault="00A31137" w:rsidP="00A31137">
      <w:r w:rsidRPr="00A31137">
        <w:t>We are committed to supporting the network of liberty through balanced regional or bilateral alliances with nations sharing our values in all parts of the world, especially our neighbors in Central America. The Republican Party reiterates its support of the people of Central America in their quest for freedom and democracy in their countries.</w:t>
      </w:r>
    </w:p>
    <w:p w:rsidR="00A31137" w:rsidRPr="00A31137" w:rsidRDefault="00A31137" w:rsidP="00A31137">
      <w:r w:rsidRPr="00A31137">
        <w:t>1988 Republican Platform, p.96</w:t>
      </w:r>
    </w:p>
    <w:p w:rsidR="00A31137" w:rsidRPr="00A31137" w:rsidRDefault="00A31137" w:rsidP="00A31137">
      <w:r w:rsidRPr="00A31137">
        <w:t>We are proud of the great economic and democratic progress throughout the world during the Reagan-Bush Administration, and we are committed to strengthening the defensive ties that have thwarted Soviet expansion in the past seven years.</w:t>
      </w:r>
    </w:p>
    <w:p w:rsidR="00A31137" w:rsidRPr="00A31137" w:rsidRDefault="00A31137" w:rsidP="00A31137">
      <w:r w:rsidRPr="00A31137">
        <w:t>Keeping the Sea Lanes Free</w:t>
      </w:r>
    </w:p>
    <w:p w:rsidR="00A31137" w:rsidRPr="00A31137" w:rsidRDefault="00A31137" w:rsidP="00A31137">
      <w:r w:rsidRPr="00A31137">
        <w:t>1988 Republican Platform, p.96</w:t>
      </w:r>
    </w:p>
    <w:p w:rsidR="00A31137" w:rsidRPr="00A31137" w:rsidRDefault="00A31137" w:rsidP="00A31137">
      <w:r w:rsidRPr="00A31137">
        <w:t>The United States has always been a maritime nation. We have rebuilt our Navy to permit continued freedom of the seas. Our focus has correctly been on the fighting ships our Navy would use in the event of a conflict. Our successful peace mission in the Persian Gulf is eloquent testimony to the benefits of a blue water Navy.</w:t>
      </w:r>
    </w:p>
    <w:p w:rsidR="00A31137" w:rsidRPr="00A31137" w:rsidRDefault="00A31137" w:rsidP="00A31137">
      <w:r w:rsidRPr="00A31137">
        <w:t>1988 Republican Platform, p.96</w:t>
      </w:r>
    </w:p>
    <w:p w:rsidR="00A31137" w:rsidRPr="00A31137" w:rsidRDefault="00A31137" w:rsidP="00A31137">
      <w:r w:rsidRPr="00A31137">
        <w:t>To protect American interests in remote areas of the world, we require a 600-ship navy with 15 aircraft carrier battle groups. This number enables us to operate in areas where we lack the infrastructure of bases we enjoy in Western Europe and the western Pacific. A force of this size will enable us to meet both our security interests and commitments into the 21st century. Republicans are also committed to the strategic homeporting of our forces throughout the United States. Notwithstanding the Democrat nominee's claim to support conventional arms improvements, U.S. security interests are jeopardized by his proposal to cancel two aircraft carriers previously authorized and funded by Congress.</w:t>
      </w:r>
    </w:p>
    <w:p w:rsidR="00A31137" w:rsidRPr="00A31137" w:rsidRDefault="00A31137" w:rsidP="00A31137">
      <w:r w:rsidRPr="00A31137">
        <w:t>1988 Republican Platform, p.96</w:t>
      </w:r>
    </w:p>
    <w:p w:rsidR="00A31137" w:rsidRPr="00A31137" w:rsidRDefault="00A31137" w:rsidP="00A31137">
      <w:r w:rsidRPr="00A31137">
        <w:t>Providing new policies for the maritime industry is crucial to this nation's defense capability and its economic strength. These policies must include leadership to help make the industries competitive through reform of government programs, aggressive efforts to remove barriers to the U.S. flag merchant fleet, and a commitment to cooperate with the industries themselves to improve their efficiency, productivity, and competitive positions.</w:t>
      </w:r>
    </w:p>
    <w:p w:rsidR="00A31137" w:rsidRPr="00A31137" w:rsidRDefault="00A31137" w:rsidP="00A31137">
      <w:r w:rsidRPr="00A31137">
        <w:t>1988 Republican Platform, p.96</w:t>
      </w:r>
    </w:p>
    <w:p w:rsidR="00A31137" w:rsidRPr="00A31137" w:rsidRDefault="00A31137" w:rsidP="00A31137">
      <w:r w:rsidRPr="00A31137">
        <w:t>A national commitment to revitalize the commercial shipbuilding industry is needed in this country. Shipyards and the supplier base for marine [p.97] equipment necessary to build and maintain a merchant marine must survive and prosper. Our merchant marine must be significantly enlarged and become more competitive in order to vastly increase the amount and proportion of our foreign trade it carries.</w:t>
      </w:r>
    </w:p>
    <w:p w:rsidR="00A31137" w:rsidRPr="00A31137" w:rsidRDefault="00A31137" w:rsidP="00A31137">
      <w:r w:rsidRPr="00A31137">
        <w:t>1988 Republican Platform, p.97</w:t>
      </w:r>
    </w:p>
    <w:p w:rsidR="00A31137" w:rsidRPr="00A31137" w:rsidRDefault="00A31137" w:rsidP="00A31137">
      <w:r w:rsidRPr="00A31137">
        <w:t>Sealift is needed to supply our troops and transport commercial cargo during a prolonged national emergency. As a nation, we must be willing to pay for the strategic sealift capability we require. We can do this by ensuring that the needed ships are built and by helping to sustain the ships and their crews in commercial operation. We must return this nation to its foremost place among the world maritime powers through a comprehensive maritime policy.</w:t>
      </w:r>
    </w:p>
    <w:p w:rsidR="00A31137" w:rsidRPr="00A31137" w:rsidRDefault="00A31137" w:rsidP="00A31137">
      <w:r w:rsidRPr="00A31137">
        <w:t>1988 Republican Platform, p.97</w:t>
      </w:r>
    </w:p>
    <w:p w:rsidR="00A31137" w:rsidRPr="00A31137" w:rsidRDefault="00A31137" w:rsidP="00A31137">
      <w:r w:rsidRPr="00A31137">
        <w:t>Last year Congress slashed the Administration's budget request for the Coast Guard. We urge Congress to adjust the budget process to protect the Coast Guard appropriation, thereby removing the temptation to siphon its funds and personnel into other programs and ensuring improved coordination of government agencies in our nation's war against drugs.</w:t>
      </w:r>
    </w:p>
    <w:p w:rsidR="00A31137" w:rsidRPr="00A31137" w:rsidRDefault="00A31137" w:rsidP="00A31137">
      <w:r w:rsidRPr="00A31137">
        <w:t>Our Nation's Technology Base</w:t>
      </w:r>
    </w:p>
    <w:p w:rsidR="00A31137" w:rsidRPr="00A31137" w:rsidRDefault="00A31137" w:rsidP="00A31137">
      <w:r w:rsidRPr="00A31137">
        <w:t>1988 Republican Platform, p.97</w:t>
      </w:r>
    </w:p>
    <w:p w:rsidR="00A31137" w:rsidRPr="00A31137" w:rsidRDefault="00A31137" w:rsidP="00A31137">
      <w:r w:rsidRPr="00A31137">
        <w:t>Science and technology are the keys to a better future for all. Many of the miracles we take for granted in everyday life originated in defense and space research. They have not only helped preserve the peace, but also have made America's standard of living the envy of the world.</w:t>
      </w:r>
    </w:p>
    <w:p w:rsidR="00A31137" w:rsidRPr="00A31137" w:rsidRDefault="00A31137" w:rsidP="00A31137">
      <w:r w:rsidRPr="00A31137">
        <w:t>1988 Republican Platform, p.97</w:t>
      </w:r>
    </w:p>
    <w:p w:rsidR="00A31137" w:rsidRPr="00A31137" w:rsidRDefault="00A31137" w:rsidP="00A31137">
      <w:r w:rsidRPr="00A31137">
        <w:t>Because of advances in science and technology, our defense budget today is actually one-third lower, as a fraction of the gross national product, than it was a generation ago.</w:t>
      </w:r>
    </w:p>
    <w:p w:rsidR="00A31137" w:rsidRPr="00A31137" w:rsidRDefault="00A31137" w:rsidP="00A31137">
      <w:r w:rsidRPr="00A31137">
        <w:t>1988 Republican Platform, p.97</w:t>
      </w:r>
    </w:p>
    <w:p w:rsidR="00A31137" w:rsidRPr="00A31137" w:rsidRDefault="00A31137" w:rsidP="00A31137">
      <w:r w:rsidRPr="00A31137">
        <w:t>Today, national security and technological superiority are increasingly linked by the relationship between technology and key strategies of credible and flexible deterrence, defenses against ballistic missiles, and space pre-eminence.</w:t>
      </w:r>
    </w:p>
    <w:p w:rsidR="00A31137" w:rsidRPr="00A31137" w:rsidRDefault="00A31137" w:rsidP="00A31137">
      <w:r w:rsidRPr="00A31137">
        <w:t>1988 Republican Platform, p.97</w:t>
      </w:r>
    </w:p>
    <w:p w:rsidR="00A31137" w:rsidRPr="00A31137" w:rsidRDefault="00A31137" w:rsidP="00A31137">
      <w:r w:rsidRPr="00A31137">
        <w:t>Investment in defense research and development must be maintained at a level commensurate with the Reagan-Bush years. This investment should be focused on efficient and effective areas such as ballistic missile defense, space, command and control, and "smart" munitions.</w:t>
      </w:r>
    </w:p>
    <w:p w:rsidR="00A31137" w:rsidRPr="00A31137" w:rsidRDefault="00A31137" w:rsidP="00A31137">
      <w:r w:rsidRPr="00A31137">
        <w:t>1988 Republican Platform, p.97</w:t>
      </w:r>
    </w:p>
    <w:p w:rsidR="00A31137" w:rsidRPr="00A31137" w:rsidRDefault="00A31137" w:rsidP="00A31137">
      <w:r w:rsidRPr="00A31137">
        <w:t>We support a defense budget with the necessary funds and incentives for industry to invest in new technologies and new plant and equipment. This is needed to preserve and expand our competitive edge, thereby assuring future opportunities for America's next generation in science, engineering, and manufacturing.</w:t>
      </w:r>
    </w:p>
    <w:p w:rsidR="00A31137" w:rsidRPr="00A31137" w:rsidRDefault="00A31137" w:rsidP="00A31137">
      <w:r w:rsidRPr="00A31137">
        <w:t>1988 Republican Platform, p.97</w:t>
      </w:r>
    </w:p>
    <w:p w:rsidR="00A31137" w:rsidRPr="00A31137" w:rsidRDefault="00A31137" w:rsidP="00A31137">
      <w:r w:rsidRPr="00A31137">
        <w:t>Our nation will benefit greatly from patent royalties and technological [p.98] progress that will be developed through spinoffs, especially in the fields of micro-miniaturization and super-conductivity, which are vital in order for U.S. industry to compete in the world.</w:t>
      </w:r>
    </w:p>
    <w:p w:rsidR="00A31137" w:rsidRPr="00A31137" w:rsidRDefault="00A31137" w:rsidP="00A31137">
      <w:r w:rsidRPr="00A31137">
        <w:t>1988 Republican Platform, p.98</w:t>
      </w:r>
    </w:p>
    <w:p w:rsidR="00A31137" w:rsidRPr="00A31137" w:rsidRDefault="00A31137" w:rsidP="00A31137">
      <w:r w:rsidRPr="00A31137">
        <w:t>We regard the education of American students in the fields of science and technology as vital to our national security.</w:t>
      </w:r>
    </w:p>
    <w:p w:rsidR="00A31137" w:rsidRPr="00A31137" w:rsidRDefault="00A31137" w:rsidP="00A31137">
      <w:r w:rsidRPr="00A31137">
        <w:t>1988 Republican Platform, p.98</w:t>
      </w:r>
    </w:p>
    <w:p w:rsidR="00A31137" w:rsidRPr="00A31137" w:rsidRDefault="00A31137" w:rsidP="00A31137">
      <w:r w:rsidRPr="00A31137">
        <w:t>Our investment in militarily critical knowledge and technology must be safeguarded against transfer to the Soviet Union and other unfriendly countries.</w:t>
      </w:r>
    </w:p>
    <w:p w:rsidR="00A31137" w:rsidRPr="00A31137" w:rsidRDefault="00A31137" w:rsidP="00A31137">
      <w:r w:rsidRPr="00A31137">
        <w:t>Defense Acquisition</w:t>
      </w:r>
    </w:p>
    <w:p w:rsidR="00A31137" w:rsidRPr="00A31137" w:rsidRDefault="00A31137" w:rsidP="00A31137">
      <w:r w:rsidRPr="00A31137">
        <w:t>1988 Republican Platform, p.98</w:t>
      </w:r>
    </w:p>
    <w:p w:rsidR="00A31137" w:rsidRPr="00A31137" w:rsidRDefault="00A31137" w:rsidP="00A31137">
      <w:r w:rsidRPr="00A31137">
        <w:t>Americans are prepared to support defense spending adequate to meet the needs of our security. Americans have a right—and the government has a duty—to ensure that their hard-earned tax dollars are well-spent. We Republicans recognize that waste and fraud in the defense acquisition process cheat the American people and weaken our national security. Neither can be tolerated.</w:t>
      </w:r>
    </w:p>
    <w:p w:rsidR="00A31137" w:rsidRPr="00A31137" w:rsidRDefault="00A31137" w:rsidP="00A31137">
      <w:r w:rsidRPr="00A31137">
        <w:t>1988 Republican Platform, p.98</w:t>
      </w:r>
    </w:p>
    <w:p w:rsidR="00A31137" w:rsidRPr="00A31137" w:rsidRDefault="00A31137" w:rsidP="00A31137">
      <w:r w:rsidRPr="00A31137">
        <w:t>Those who loot national security funds must be prosecuted and punished. Mismanagement must also be rooted out. The planning and budgeting process must be improved, and the acquisition process reformed, recognizing that congressionally mandated waste contributes mightily to inefficiencies in the system.</w:t>
      </w:r>
    </w:p>
    <w:p w:rsidR="00A31137" w:rsidRPr="00A31137" w:rsidRDefault="00A31137" w:rsidP="00A31137">
      <w:r w:rsidRPr="00A31137">
        <w:t>1988 Republican Platform, p.98</w:t>
      </w:r>
    </w:p>
    <w:p w:rsidR="00A31137" w:rsidRPr="00A31137" w:rsidRDefault="00A31137" w:rsidP="00A31137">
      <w:r w:rsidRPr="00A31137">
        <w:t>We will sustain necessary appropriations in the defense budget to avoid the destructive impact of wildly fluctuating and unpredictable annual funding.</w:t>
      </w:r>
    </w:p>
    <w:p w:rsidR="00A31137" w:rsidRPr="00A31137" w:rsidRDefault="00A31137" w:rsidP="00A31137">
      <w:r w:rsidRPr="00A31137">
        <w:t>1988 Republican Platform, p.98</w:t>
      </w:r>
    </w:p>
    <w:p w:rsidR="00A31137" w:rsidRPr="00A31137" w:rsidRDefault="00A31137" w:rsidP="00A31137">
      <w:r w:rsidRPr="00A31137">
        <w:t>The Packard Commission recommended a series of important reforms for improved defense management. We are committed to ensuring that these reforms are fully implemented—by Congress, the Defense Department and the defense industry. Most particularly we call for submission of a two-year budget for defense to help us meet these goals. Persons involved in the federal government procurement process must be subject to "revolving door" legislation.</w:t>
      </w:r>
    </w:p>
    <w:p w:rsidR="00A31137" w:rsidRPr="00A31137" w:rsidRDefault="00A31137" w:rsidP="00A31137">
      <w:r w:rsidRPr="00A31137">
        <w:t>1988 Republican Platform, p.98</w:t>
      </w:r>
    </w:p>
    <w:p w:rsidR="00A31137" w:rsidRPr="00A31137" w:rsidRDefault="00A31137" w:rsidP="00A31137">
      <w:r w:rsidRPr="00A31137">
        <w:t xml:space="preserve">Procurement today is constrained by an adversarial relationship between the Congress and the Defense Department. The result is micro-management by Congress, which has resulted in thousands of regulations that add expensive and time consuming red tape without adding value. Republicans support a firm policy of cooperation, treating Members of Congress as full partners in the acquisition process. This will result in more efficiency and better weapons. An example of what can be accomplished with this partnership is the new base closing legislation. [p.99] </w:t>
      </w:r>
    </w:p>
    <w:p w:rsidR="00A31137" w:rsidRPr="00A31137" w:rsidRDefault="00A31137" w:rsidP="00A31137">
      <w:r w:rsidRPr="00A31137">
        <w:t>1988 Republican Platform, p.99</w:t>
      </w:r>
    </w:p>
    <w:p w:rsidR="00A31137" w:rsidRPr="00A31137" w:rsidRDefault="00A31137" w:rsidP="00A31137">
      <w:r w:rsidRPr="00A31137">
        <w:t>To make real these reforms, we will once again depend on the professionalism, the diligence, and the patriotism of the men and women who comprise the vast majority of our defense establishment.</w:t>
      </w:r>
    </w:p>
    <w:p w:rsidR="00A31137" w:rsidRPr="00A31137" w:rsidRDefault="00A31137" w:rsidP="00A31137">
      <w:r w:rsidRPr="00A31137">
        <w:t>Armed Forces Personnel for the Nineties</w:t>
      </w:r>
    </w:p>
    <w:p w:rsidR="00A31137" w:rsidRPr="00A31137" w:rsidRDefault="00A31137" w:rsidP="00A31137">
      <w:r w:rsidRPr="00A31137">
        <w:t>1988 Republican Platform, p.99</w:t>
      </w:r>
    </w:p>
    <w:p w:rsidR="00A31137" w:rsidRPr="00A31137" w:rsidRDefault="00A31137" w:rsidP="00A31137">
      <w:r w:rsidRPr="00A31137">
        <w:t>A free society defends itself freely. That is why Republicans created an all-volunteer force of men and women in the 1970s, and why it has proven to be a tremendous success in the 1980s.</w:t>
      </w:r>
    </w:p>
    <w:p w:rsidR="00A31137" w:rsidRPr="00A31137" w:rsidRDefault="00A31137" w:rsidP="00A31137">
      <w:r w:rsidRPr="00A31137">
        <w:t>1988 Republican Platform, p.99</w:t>
      </w:r>
    </w:p>
    <w:p w:rsidR="00A31137" w:rsidRPr="00A31137" w:rsidRDefault="00A31137" w:rsidP="00A31137">
      <w:r w:rsidRPr="00A31137">
        <w:t>From Grenada to the Persian Gulf, the readiness of those in uniform has made America proud again. Despite a demographic decline in the number of those eligible for service, military recruitment and retention rates are at all time highs. Quality is outstanding, and all sectors of society are participating.</w:t>
      </w:r>
    </w:p>
    <w:p w:rsidR="00A31137" w:rsidRPr="00A31137" w:rsidRDefault="00A31137" w:rsidP="00A31137">
      <w:r w:rsidRPr="00A31137">
        <w:t>1988 Republican Platform, p.99</w:t>
      </w:r>
    </w:p>
    <w:p w:rsidR="00A31137" w:rsidRPr="00A31137" w:rsidRDefault="00A31137" w:rsidP="00A31137">
      <w:r w:rsidRPr="00A31137">
        <w:t>We will continue to make the military family a special priority, recognizing strong home life as an essential component in the morale and performance of the armed forces.</w:t>
      </w:r>
    </w:p>
    <w:p w:rsidR="00A31137" w:rsidRPr="00A31137" w:rsidRDefault="00A31137" w:rsidP="00A31137">
      <w:r w:rsidRPr="00A31137">
        <w:t>1988 Republican Platform, p.99</w:t>
      </w:r>
    </w:p>
    <w:p w:rsidR="00A31137" w:rsidRPr="00A31137" w:rsidRDefault="00A31137" w:rsidP="00A31137">
      <w:r w:rsidRPr="00A31137">
        <w:t>Republicans deplore and reject the efforts of those who would support either a numerical cap or a reduction in the number of military dependents able to accompany U.S. servicemen and women overseas. We recognize that a stable and happy family life is the most important prerequisite for retaining these dedicated men and women in the service of our country.</w:t>
      </w:r>
    </w:p>
    <w:p w:rsidR="00A31137" w:rsidRPr="00A31137" w:rsidRDefault="00A31137" w:rsidP="00A31137">
      <w:r w:rsidRPr="00A31137">
        <w:t>1988 Republican Platform, p.99</w:t>
      </w:r>
    </w:p>
    <w:p w:rsidR="00A31137" w:rsidRPr="00A31137" w:rsidRDefault="00A31137" w:rsidP="00A31137">
      <w:r w:rsidRPr="00A31137">
        <w:t>Republicans recognize that a secure national defense depends upon healthy military personnel. We commend the United States Armed Forces for their leadership in proving the utility of testing active duty personnel and applicants for disease and substance abuse.</w:t>
      </w:r>
    </w:p>
    <w:p w:rsidR="00A31137" w:rsidRPr="00A31137" w:rsidRDefault="00A31137" w:rsidP="00A31137">
      <w:r w:rsidRPr="00A31137">
        <w:t>1988 Republican Platform, p.99</w:t>
      </w:r>
    </w:p>
    <w:p w:rsidR="00A31137" w:rsidRPr="00A31137" w:rsidRDefault="00A31137" w:rsidP="00A31137">
      <w:r w:rsidRPr="00A31137">
        <w:t>Republicans will never take the military for granted. We support an all-volunteer force and we will continue to insist on fairness in pay and benefits for military personnel and their families, always striving to keep compensation in line with the civilian economy.</w:t>
      </w:r>
    </w:p>
    <w:p w:rsidR="00A31137" w:rsidRPr="00A31137" w:rsidRDefault="00A31137" w:rsidP="00A31137">
      <w:r w:rsidRPr="00A31137">
        <w:t>1988 Republican Platform, p.99</w:t>
      </w:r>
    </w:p>
    <w:p w:rsidR="00A31137" w:rsidRPr="00A31137" w:rsidRDefault="00A31137" w:rsidP="00A31137">
      <w:r w:rsidRPr="00A31137">
        <w:t>The National Guard and Reserve are essential to the integrated force concept of our armed services. Prior to 1981, the Guard and Reserve were deprived of both modern equipment and integration into the active forces. This policy has been changed to enable the Guard and Reserve to make their full contribution to our security. We recognize the major role played by the men and women of the Guard and Reserves in the total defense policy. These improvements will be sustained.</w:t>
      </w:r>
    </w:p>
    <w:p w:rsidR="00A31137" w:rsidRPr="00A31137" w:rsidRDefault="00A31137" w:rsidP="00A31137">
      <w:r w:rsidRPr="00A31137">
        <w:t>Veterans</w:t>
      </w:r>
    </w:p>
    <w:p w:rsidR="00A31137" w:rsidRPr="00A31137" w:rsidRDefault="00A31137" w:rsidP="00A31137">
      <w:r w:rsidRPr="00A31137">
        <w:t>1988 Republican Platform, p.99</w:t>
      </w:r>
    </w:p>
    <w:p w:rsidR="00A31137" w:rsidRPr="00A31137" w:rsidRDefault="00A31137" w:rsidP="00A31137">
      <w:r w:rsidRPr="00A31137">
        <w:t>Veterans have paid the price for the freedoms we enjoy. They have [p.100] earned the benefits they receive, and we will be vigilant in protecting these programs of health care, education and housing.</w:t>
      </w:r>
    </w:p>
    <w:p w:rsidR="00A31137" w:rsidRPr="00A31137" w:rsidRDefault="00A31137" w:rsidP="00A31137">
      <w:r w:rsidRPr="00A31137">
        <w:t>1988 Republican Platform, p.100</w:t>
      </w:r>
    </w:p>
    <w:p w:rsidR="00A31137" w:rsidRPr="00A31137" w:rsidRDefault="00A31137" w:rsidP="00A31137">
      <w:r w:rsidRPr="00A31137">
        <w:t>We believe men and women veterans have earned the right to be heard at the highest levels of government. With the personal support of President Reagan, America's veterans will now have a seat in the president's Cabinet.</w:t>
      </w:r>
    </w:p>
    <w:p w:rsidR="00A31137" w:rsidRPr="00A31137" w:rsidRDefault="00A31137" w:rsidP="00A31137">
      <w:r w:rsidRPr="00A31137">
        <w:t>1988 Republican Platform, p.100</w:t>
      </w:r>
    </w:p>
    <w:p w:rsidR="00A31137" w:rsidRPr="00A31137" w:rsidRDefault="00A31137" w:rsidP="00A31137">
      <w:r w:rsidRPr="00A31137">
        <w:t>The health needs of our aging veterans are of special importance, and Republicans will not retreat from this national commitment. We encourage the new Secretary of the Veterans Department to work with the Federal Council on the Aging, and other agencies and organizations, to assure that the development of new facilities and treatment programs meet the special needs of our elderly veterans.</w:t>
      </w:r>
    </w:p>
    <w:p w:rsidR="00A31137" w:rsidRPr="00A31137" w:rsidRDefault="00A31137" w:rsidP="00A31137">
      <w:r w:rsidRPr="00A31137">
        <w:t>1988 Republican Platform, p.100</w:t>
      </w:r>
    </w:p>
    <w:p w:rsidR="00A31137" w:rsidRPr="00A31137" w:rsidRDefault="00A31137" w:rsidP="00A31137">
      <w:r w:rsidRPr="00A31137">
        <w:t>Republicans support the policy that, in all areas where there are no VA hospitals or long-term care facilities, veterans needing medical attention for service-connected disabilities should have the option of receiving medical care within their communities with adequate funding.</w:t>
      </w:r>
    </w:p>
    <w:p w:rsidR="00A31137" w:rsidRPr="00A31137" w:rsidRDefault="00A31137" w:rsidP="00A31137">
      <w:r w:rsidRPr="00A31137">
        <w:t>1988 Republican Platform, p.100</w:t>
      </w:r>
    </w:p>
    <w:p w:rsidR="00A31137" w:rsidRPr="00A31137" w:rsidRDefault="00A31137" w:rsidP="00A31137">
      <w:r w:rsidRPr="00A31137">
        <w:t>We must continue to address the unique readjustment problems of Vietnam veterans by continuing the store-front counseling, vocational training and job placement programs. We support veterans preference in federal employment and are vigilant about the serious problems associated with delayed stress reaction in combat veterans, particularly disabled and Vietnam veterans. An intense scientific effort must continue with respect to disabilities that may be related to exposure to ionizing radiation or herbicides.</w:t>
      </w:r>
    </w:p>
    <w:p w:rsidR="00A31137" w:rsidRPr="00A31137" w:rsidRDefault="00A31137" w:rsidP="00A31137">
      <w:r w:rsidRPr="00A31137">
        <w:t>1988 Republican Platform, p.100</w:t>
      </w:r>
    </w:p>
    <w:p w:rsidR="00A31137" w:rsidRPr="00A31137" w:rsidRDefault="00A31137" w:rsidP="00A31137">
      <w:r w:rsidRPr="00A31137">
        <w:t>The Republican Party supports sufficient funding to maintain the integrity of the VA hospital and medical care system and the entitlement and beneficiary system. We also support the efforts of the Department of Labor to properly meet the needs of unemployed veterans, particularly disabled and Vietnam veterans.</w:t>
      </w:r>
    </w:p>
    <w:p w:rsidR="00A31137" w:rsidRPr="00A31137" w:rsidRDefault="00A31137" w:rsidP="00A31137">
      <w:r w:rsidRPr="00A31137">
        <w:t>1988 Republican Platform, p.100</w:t>
      </w:r>
    </w:p>
    <w:p w:rsidR="00A31137" w:rsidRPr="00A31137" w:rsidRDefault="00A31137" w:rsidP="00A31137">
      <w:r w:rsidRPr="00A31137">
        <w:t>Our commitment to America's veterans extends to the men and women of all generations.</w:t>
      </w:r>
    </w:p>
    <w:p w:rsidR="00A31137" w:rsidRPr="00A31137" w:rsidRDefault="00A31137" w:rsidP="00A31137">
      <w:r w:rsidRPr="00A31137">
        <w:t>Intelligence: An Indispensable Resource at a Critical Time</w:t>
      </w:r>
    </w:p>
    <w:p w:rsidR="00A31137" w:rsidRPr="00A31137" w:rsidRDefault="00A31137" w:rsidP="00A31137">
      <w:r w:rsidRPr="00A31137">
        <w:t>1988 Republican Platform, p.100</w:t>
      </w:r>
    </w:p>
    <w:p w:rsidR="00A31137" w:rsidRPr="00A31137" w:rsidRDefault="00A31137" w:rsidP="00A31137">
      <w:r w:rsidRPr="00A31137">
        <w:t>A crucial part of the Reagan-Bush Administration's rebuilding of a strong America has been the restoration of the nation's intelligence capabilities after years of neglect and down-grading by the Carter-Mondale administration. This renewed emphasis has been essential in conducting diplomacy, supporting our armed forces, confronting terrorism, stopping narcotics traffic, battling Soviet subversion, and influencing [p.101] events in support of other national policies. Our vital intelligence capability will continue to prevent tragedies and save lives.</w:t>
      </w:r>
    </w:p>
    <w:p w:rsidR="00A31137" w:rsidRPr="00A31137" w:rsidRDefault="00A31137" w:rsidP="00A31137">
      <w:r w:rsidRPr="00A31137">
        <w:t>1988 Republican Platform, p.101</w:t>
      </w:r>
    </w:p>
    <w:p w:rsidR="00A31137" w:rsidRPr="00A31137" w:rsidRDefault="00A31137" w:rsidP="00A31137">
      <w:r w:rsidRPr="00A31137">
        <w:t>In the years ahead, the United States will face a widening range of national security challenges and opportunities. Scores of foreign intelligence services will seek to uncover our secrets and steal our technology. But there will also be opportunities to advance U.S. interests, for freedom and democracy are on the march. Both the threats and the opportunities will place demands on our intelligence capabilities as never before.</w:t>
      </w:r>
    </w:p>
    <w:p w:rsidR="00A31137" w:rsidRPr="00A31137" w:rsidRDefault="00A31137" w:rsidP="00A31137">
      <w:r w:rsidRPr="00A31137">
        <w:t>1988 Republican Platform, p.101</w:t>
      </w:r>
    </w:p>
    <w:p w:rsidR="00A31137" w:rsidRPr="00A31137" w:rsidRDefault="00A31137" w:rsidP="00A31137">
      <w:r w:rsidRPr="00A31137">
        <w:t>The Republican Party endorses covert action as one method of implementing U.S. national security policy. We reject legislative measures that impinge on the President's constitutional prerogatives. Our country must be able to collect from both technical and human sources the vital information which is denied to us by closed societies in troubled regions of the world. Our senior national security officials must be informed about trends in foreign societies, opportunities to advance U.S. interests, and the vulnerabilities of those who seek to harm our interests. This information can then be used, through the proper chain of command, to support our national policies.</w:t>
      </w:r>
    </w:p>
    <w:p w:rsidR="00A31137" w:rsidRPr="00A31137" w:rsidRDefault="00A31137" w:rsidP="00A31137">
      <w:r w:rsidRPr="00A31137">
        <w:t>1988 Republican Platform, p.101</w:t>
      </w:r>
    </w:p>
    <w:p w:rsidR="00A31137" w:rsidRPr="00A31137" w:rsidRDefault="00A31137" w:rsidP="00A31137">
      <w:r w:rsidRPr="00A31137">
        <w:t>To strengthen the decision-making process and further limit access to classified information, we support the concept of a single joint committee for intelligence, made up of appropriate congressional leaders and analogous to the former Joint Atomic Energy Committee.</w:t>
      </w:r>
    </w:p>
    <w:p w:rsidR="00A31137" w:rsidRPr="00A31137" w:rsidRDefault="00A31137" w:rsidP="00A31137">
      <w:r w:rsidRPr="00A31137">
        <w:t>1988 Republican Platform, p.101</w:t>
      </w:r>
    </w:p>
    <w:p w:rsidR="00A31137" w:rsidRPr="00A31137" w:rsidRDefault="00A31137" w:rsidP="00A31137">
      <w:r w:rsidRPr="00A31137">
        <w:t>We will continue to enhance the nation's capability for counter-intelligence. Congressional intrusion into the administration of counter-intelligence must be kept to a minimum.</w:t>
      </w:r>
    </w:p>
    <w:p w:rsidR="00A31137" w:rsidRPr="00A31137" w:rsidRDefault="00A31137" w:rsidP="00A31137">
      <w:r w:rsidRPr="00A31137">
        <w:t>1988 Republican Platform, p.101</w:t>
      </w:r>
    </w:p>
    <w:p w:rsidR="00A31137" w:rsidRPr="00A31137" w:rsidRDefault="00A31137" w:rsidP="00A31137">
      <w:r w:rsidRPr="00A31137">
        <w:t>Leaks of highly sensitive and classified national security information and materials have increased at an alarming rate in recent years. Such leaks often compromise matters critical to our defense and national security; they can result in the tragic loss of life. We advocate a law making it a felony for any present or former officer or employee of the federal government, including Members of Congress, to knowingly disclose classified information or material to a person not authorized to have access to it.</w:t>
      </w:r>
    </w:p>
    <w:p w:rsidR="00A31137" w:rsidRPr="00A31137" w:rsidRDefault="00A31137" w:rsidP="00A31137">
      <w:r w:rsidRPr="00A31137">
        <w:t>1988 Republican Platform, p.101</w:t>
      </w:r>
    </w:p>
    <w:p w:rsidR="00A31137" w:rsidRPr="00A31137" w:rsidRDefault="00A31137" w:rsidP="00A31137">
      <w:r w:rsidRPr="00A31137">
        <w:t>The U.S. must continue to provide political, military, and economic assistance to friends abroad and to those seeking to help us against our adversaries. These activities must always be in support of our national policy, and the U.S. has the right to expect reciprocity wherever possible.</w:t>
      </w:r>
    </w:p>
    <w:p w:rsidR="00A31137" w:rsidRPr="00A31137" w:rsidRDefault="00A31137" w:rsidP="00A31137">
      <w:r w:rsidRPr="00A31137">
        <w:t>1988 Republican Platform, p.101</w:t>
      </w:r>
    </w:p>
    <w:p w:rsidR="00A31137" w:rsidRPr="00A31137" w:rsidRDefault="00A31137" w:rsidP="00A31137">
      <w:r w:rsidRPr="00A31137">
        <w:t xml:space="preserve">To the extent the Congress requires the President to inform its Members of activities sensitive to national security, the President is entitled to require that Congress will respect that sensitivity. [p.102] </w:t>
      </w:r>
    </w:p>
    <w:p w:rsidR="00A31137" w:rsidRPr="00A31137" w:rsidRDefault="00A31137" w:rsidP="00A31137">
      <w:r w:rsidRPr="00A31137">
        <w:t>National Security Strategy for the Future</w:t>
      </w:r>
    </w:p>
    <w:p w:rsidR="00A31137" w:rsidRPr="00A31137" w:rsidRDefault="00A31137" w:rsidP="00A31137">
      <w:r w:rsidRPr="00A31137">
        <w:t>1988 Republican Platform, p.102</w:t>
      </w:r>
    </w:p>
    <w:p w:rsidR="00A31137" w:rsidRPr="00A31137" w:rsidRDefault="00A31137" w:rsidP="00A31137">
      <w:r w:rsidRPr="00A31137">
        <w:t>We have set forth the foreign and defense policies of the Republican Party in the two preceding sections of this Platform. To implement those policies, we propose this integrated national security strategy for the future.</w:t>
      </w:r>
    </w:p>
    <w:p w:rsidR="00A31137" w:rsidRPr="00A31137" w:rsidRDefault="00A31137" w:rsidP="00A31137">
      <w:r w:rsidRPr="00A31137">
        <w:t>1988 Republican Platform, p.102</w:t>
      </w:r>
    </w:p>
    <w:p w:rsidR="00A31137" w:rsidRPr="00A31137" w:rsidRDefault="00A31137" w:rsidP="00A31137">
      <w:r w:rsidRPr="00A31137">
        <w:t>The long-term security of our nation is the most important responsibility of the U.S. government. The domestic well-being of the American people cannot be ensured unless our country is secure from external attack. To guard our borders, preserve our freedom, protect America from ballistic missile attack, foster a climate of international stability and tranquility—so that nations and individuals may develop, interact, and prosper free from the threat of war or intimidation—these are the most important goals of America's foreign and defense policy.</w:t>
      </w:r>
    </w:p>
    <w:p w:rsidR="00A31137" w:rsidRPr="00A31137" w:rsidRDefault="00A31137" w:rsidP="00A31137">
      <w:r w:rsidRPr="00A31137">
        <w:t>1988 Republican Platform, p.102</w:t>
      </w:r>
    </w:p>
    <w:p w:rsidR="00A31137" w:rsidRPr="00A31137" w:rsidRDefault="00A31137" w:rsidP="00A31137">
      <w:r w:rsidRPr="00A31137">
        <w:t>We dare not abandon to others our leadership in pursuit of these goals. International peace and stability require our country' s engagement at many levels. While we cannot resolve all issues unilaterally, neither can we abdicate our responsibilities by retrenchment or by relying on the United Nations to secure our interests abroad. Those who advocate America's disengagement from the world forget the dangers that would be unleashed by America's retreat—dangers which inevitably increase the costs and risks of the necessary reassertion of U.S. power.</w:t>
      </w:r>
    </w:p>
    <w:p w:rsidR="00A31137" w:rsidRPr="00A31137" w:rsidRDefault="00A31137" w:rsidP="00A31137">
      <w:r w:rsidRPr="00A31137">
        <w:t>1988 Republican Platform, p.102</w:t>
      </w:r>
    </w:p>
    <w:p w:rsidR="00A31137" w:rsidRPr="00A31137" w:rsidRDefault="00A31137" w:rsidP="00A31137">
      <w:r w:rsidRPr="00A31137">
        <w:t>Republicans learned this lesson well as we implemented the most successful national security policy since World War II. In 1981, we had to deal with the consequences of the Democrat's retreat. We inherited an America in decline, with a crisis of confidence at home and a loss of respect abroad. Reestablishing America's strength, its belief in itself, and its leadership role was the first and most important task facing the Reagan-Bush Administration. We met that task. We repaired our defenses, modernized our strategic nuclear forces, improved our strategy for deterrence with our development of the Strategic Defense Initiative, deployed INF missiles in Europe, and restored pride in our nation's military service.</w:t>
      </w:r>
    </w:p>
    <w:p w:rsidR="00A31137" w:rsidRPr="00A31137" w:rsidRDefault="00A31137" w:rsidP="00A31137">
      <w:r w:rsidRPr="00A31137">
        <w:t>1988 Republican Platform, p.102</w:t>
      </w:r>
    </w:p>
    <w:p w:rsidR="00A31137" w:rsidRPr="00A31137" w:rsidRDefault="00A31137" w:rsidP="00A31137">
      <w:r w:rsidRPr="00A31137">
        <w:t>We also met that task by a policy of engagement. We worked with allies, not against them. We supported friends instead of accommodating foes. We fostered the achievement of genuine self-determination and democracy rather than merely preaching about human rights in the Third World.</w:t>
      </w:r>
    </w:p>
    <w:p w:rsidR="00A31137" w:rsidRPr="00A31137" w:rsidRDefault="00A31137" w:rsidP="00A31137">
      <w:r w:rsidRPr="00A31137">
        <w:t>1988 Republican Platform, p.102</w:t>
      </w:r>
    </w:p>
    <w:p w:rsidR="00A31137" w:rsidRPr="00A31137" w:rsidRDefault="00A31137" w:rsidP="00A31137">
      <w:r w:rsidRPr="00A31137">
        <w:t>The Reagan-Bush approach produced dramatic results. Our policy is proven: to foster peace while resolutely providing for the security of our country and its allies. We have significantly enhanced that security. We have expanded the opportunities for the United States to be a positive force [p.103] for freedom and democracy throughout the world, and the chances for new breakthroughs for peace have risen dramatically.</w:t>
      </w:r>
    </w:p>
    <w:p w:rsidR="00A31137" w:rsidRPr="00A31137" w:rsidRDefault="00A31137" w:rsidP="00A31137">
      <w:r w:rsidRPr="00A31137">
        <w:t>1988 Republican Platform, p.103</w:t>
      </w:r>
    </w:p>
    <w:p w:rsidR="00A31137" w:rsidRPr="00A31137" w:rsidRDefault="00A31137" w:rsidP="00A31137">
      <w:r w:rsidRPr="00A31137">
        <w:t>We secured the first arms reduction agreement, eliminating an entire class of Soviet and U.S. nuclear weapons. We laid the basis in START for unprecedented, radical reductions in strategic nuclear arms.</w:t>
      </w:r>
    </w:p>
    <w:p w:rsidR="00A31137" w:rsidRPr="00A31137" w:rsidRDefault="00A31137" w:rsidP="00A31137">
      <w:r w:rsidRPr="00A31137">
        <w:t>1988 Republican Platform, p.103</w:t>
      </w:r>
    </w:p>
    <w:p w:rsidR="00A31137" w:rsidRPr="00A31137" w:rsidRDefault="00A31137" w:rsidP="00A31137">
      <w:r w:rsidRPr="00A31137">
        <w:t>In regional conflicts, a humiliating Soviet retreat from Afghanistan, made possible by our unyielding support for the Mujahidin, helped to sober the Soviet rulers about the costs of their adventurism. Our protection of vital U.S. interests in the Persian Gulf against Iranian aggression led to the agreement to start resolving the Persian Gulf War. Our support for freedom fighters in Angola has resulted in the chance of a settlement there and elsewhere in southern Africa. Our isolation of Vietnam has led to the prospect of its withdrawal from Cambodia.</w:t>
      </w:r>
    </w:p>
    <w:p w:rsidR="00A31137" w:rsidRPr="00A31137" w:rsidRDefault="00A31137" w:rsidP="00A31137">
      <w:r w:rsidRPr="00A31137">
        <w:t>1988 Republican Platform, p.103</w:t>
      </w:r>
    </w:p>
    <w:p w:rsidR="00A31137" w:rsidRPr="00A31137" w:rsidRDefault="00A31137" w:rsidP="00A31137">
      <w:r w:rsidRPr="00A31137">
        <w:t>In human rights and the building of democracy, Republican leadership has turned the tide against terror in Central America, aided the restoration of democracy in the Philippines and South Korea, and liberated the island of Grenada from a Cuban-controlled dictatorship.</w:t>
      </w:r>
    </w:p>
    <w:p w:rsidR="00A31137" w:rsidRPr="00A31137" w:rsidRDefault="00A31137" w:rsidP="00A31137">
      <w:r w:rsidRPr="00A31137">
        <w:t>1988 Republican Platform, p.103</w:t>
      </w:r>
    </w:p>
    <w:p w:rsidR="00A31137" w:rsidRPr="00A31137" w:rsidRDefault="00A31137" w:rsidP="00A31137">
      <w:r w:rsidRPr="00A31137">
        <w:t>This is a remarkable record of achievement. It shows that our policies of achieving peace through strength have worked. By rebuilding American strength and restoring American self-confidence, Republicans achieved a remarkable series of foreign policy objectives critical to our country's security. The resurgence of American leadership has changed the world and is shaping the future, creating new opportunities not dreamt of eight years ago. This is true measure of competence.</w:t>
      </w:r>
    </w:p>
    <w:p w:rsidR="00A31137" w:rsidRPr="00A31137" w:rsidRDefault="00A31137" w:rsidP="00A31137">
      <w:r w:rsidRPr="00A31137">
        <w:t>1988 Republican Platform, p.103</w:t>
      </w:r>
    </w:p>
    <w:p w:rsidR="00A31137" w:rsidRPr="00A31137" w:rsidRDefault="00A31137" w:rsidP="00A31137">
      <w:r w:rsidRPr="00A31137">
        <w:t>Although we have established a framework for the future, we cannot afford to rest on our laurels. The young democracies we have helped to flourish may yet be overcome by authoritarian pressures. The Soviet Union can easily revert to past practices. Its current effort of internal restructuring could create a more powerful adversary with unchanged objectives. Arms reductions could again become an excuse for reducing our commitment to defense, thus creating dangerous instabilities. Economic competition could easily slip into protectionism and mercantilism. Both to meet those challenges and to build upon the opportunities created by our success, the U.S. must continue in the strong leadership role it has assumed over the past eight years.</w:t>
      </w:r>
    </w:p>
    <w:p w:rsidR="00A31137" w:rsidRPr="00A31137" w:rsidRDefault="00A31137" w:rsidP="00A31137">
      <w:r w:rsidRPr="00A31137">
        <w:t>1988 Republican Platform, p.103</w:t>
      </w:r>
    </w:p>
    <w:p w:rsidR="00A31137" w:rsidRPr="00A31137" w:rsidRDefault="00A31137" w:rsidP="00A31137">
      <w:r w:rsidRPr="00A31137">
        <w:t>As we face the opportunities and challenges of the future, our policies must be guided by realism, strength, dialogue, and engagement. We must be realistic about the Soviet Union and the world we face. Hostile forces remain in that world. Soviet military capabilities are still dangerous to us. [p.104] It must be clear to all, except the leadership of the Democrat Party, that we are not beyond the era of threats to the security of the United States.</w:t>
      </w:r>
    </w:p>
    <w:p w:rsidR="00A31137" w:rsidRPr="00A31137" w:rsidRDefault="00A31137" w:rsidP="00A31137">
      <w:r w:rsidRPr="00A31137">
        <w:t>1988 Republican Platform, p.104</w:t>
      </w:r>
    </w:p>
    <w:p w:rsidR="00A31137" w:rsidRPr="00A31137" w:rsidRDefault="00A31137" w:rsidP="00A31137">
      <w:r w:rsidRPr="00A31137">
        <w:t>Our country must have all the military strength that is necessary to deter war and protect our vital interests abroad. Republicans will continue to improve our defense capabilities. We will carefully set priorities within a framework of fiscal conservatism, and improved management of defense resources.</w:t>
      </w:r>
    </w:p>
    <w:p w:rsidR="00A31137" w:rsidRPr="00A31137" w:rsidRDefault="00A31137" w:rsidP="00A31137">
      <w:r w:rsidRPr="00A31137">
        <w:t>1988 Republican Platform, p.104</w:t>
      </w:r>
    </w:p>
    <w:p w:rsidR="00A31137" w:rsidRPr="00A31137" w:rsidRDefault="00A31137" w:rsidP="00A31137">
      <w:r w:rsidRPr="00A31137">
        <w:t>We will continue modernizing our strategic forces, emphasizing a mix of offensive and defensive forces, effective and survivable, employing unique U.S. technological advantages. We will redouble our commitment through force improvement to correct the dangerous imbalance that exists in conventional forces.</w:t>
      </w:r>
    </w:p>
    <w:p w:rsidR="00A31137" w:rsidRPr="00A31137" w:rsidRDefault="00A31137" w:rsidP="00A31137">
      <w:r w:rsidRPr="00A31137">
        <w:t>1988 Republican Platform, p.104</w:t>
      </w:r>
    </w:p>
    <w:p w:rsidR="00A31137" w:rsidRPr="00A31137" w:rsidRDefault="00A31137" w:rsidP="00A31137">
      <w:r w:rsidRPr="00A31137">
        <w:t>At the same time, we will pursue negotiations designed to eliminate destabilizing asymmetries in strategic and conventional forces. Arms reductions can contribute to our national security only if they are designed to reduce the risk of war and result in greater stability. They must be part of a process of broader dialogue with the Soviet Union, as well as other nations, a process in which we explore possible opportunities to reduce tensions and create more stable, predictable, and enduring relationships.</w:t>
      </w:r>
    </w:p>
    <w:p w:rsidR="00A31137" w:rsidRPr="00A31137" w:rsidRDefault="00A31137" w:rsidP="00A31137">
      <w:r w:rsidRPr="00A31137">
        <w:t>1988 Republican Platform, p.104</w:t>
      </w:r>
    </w:p>
    <w:p w:rsidR="00A31137" w:rsidRPr="00A31137" w:rsidRDefault="00A31137" w:rsidP="00A31137">
      <w:r w:rsidRPr="00A31137">
        <w:t>As we shape our foreign and defense policies, we must never lose sight of the unique leadership role the United States plays in the world community. No other nation can assume that role. Whether we are dealing with security challenges in the Persian Gulf or terrorism or the scourge of drugs, the willingness of other nations to act resolutely will depend on the readiness of America to lead, to remain vigorously engaged, and to shoulder its unique responsibilities in the world.</w:t>
      </w:r>
    </w:p>
    <w:p w:rsidR="00A31137" w:rsidRPr="00A31137" w:rsidRDefault="00A31137" w:rsidP="00A31137">
      <w:r w:rsidRPr="00A31137">
        <w:t>1988 Republican Platform, p.104</w:t>
      </w:r>
    </w:p>
    <w:p w:rsidR="00A31137" w:rsidRPr="00A31137" w:rsidRDefault="00A31137" w:rsidP="00A31137">
      <w:r w:rsidRPr="00A31137">
        <w:t>The American people and the Republican Party, in the tradition of Ronald Reagan and with the leadership of George Bush, are indeed ready to do so.</w:t>
      </w:r>
    </w:p>
    <w:p w:rsidR="00A31137" w:rsidRPr="00A31137" w:rsidRDefault="00A31137" w:rsidP="00A31137">
      <w:r w:rsidRPr="00A31137">
        <w:t>President Reagan's Farewell Address to the Nation, 1989</w:t>
      </w:r>
    </w:p>
    <w:p w:rsidR="00A31137" w:rsidRPr="00A31137" w:rsidRDefault="00A31137" w:rsidP="00A31137">
      <w:r w:rsidRPr="00A31137">
        <w:t>Title:</w:t>
      </w:r>
      <w:r w:rsidRPr="00A31137">
        <w:tab/>
        <w:t>President Reagan's Farewell Address to the Nation</w:t>
      </w:r>
    </w:p>
    <w:p w:rsidR="00A31137" w:rsidRPr="00A31137" w:rsidRDefault="00A31137" w:rsidP="00A31137">
      <w:r w:rsidRPr="00A31137">
        <w:t>Author:</w:t>
      </w:r>
      <w:r w:rsidRPr="00A31137">
        <w:tab/>
        <w:t>Ronald Reagan</w:t>
      </w:r>
    </w:p>
    <w:p w:rsidR="00A31137" w:rsidRPr="00A31137" w:rsidRDefault="00A31137" w:rsidP="00A31137">
      <w:r w:rsidRPr="00A31137">
        <w:t>Date:</w:t>
      </w:r>
      <w:r w:rsidRPr="00A31137">
        <w:tab/>
        <w:t>January 11, 1989</w:t>
      </w:r>
    </w:p>
    <w:p w:rsidR="00A31137" w:rsidRPr="00A31137" w:rsidRDefault="00A31137" w:rsidP="00A31137">
      <w:r w:rsidRPr="00A31137">
        <w:t>Source:</w:t>
      </w:r>
      <w:r w:rsidRPr="00A31137">
        <w:tab/>
        <w:t>Public Papers of the Presidents, Reagan, 1988, pp.1718-1723</w:t>
      </w:r>
    </w:p>
    <w:p w:rsidR="00A31137" w:rsidRPr="00A31137" w:rsidRDefault="00A31137" w:rsidP="00A31137">
      <w:r w:rsidRPr="00A31137">
        <w:t>Public Papers of Reagan, 1988, p.1718</w:t>
      </w:r>
    </w:p>
    <w:p w:rsidR="00A31137" w:rsidRPr="00A31137" w:rsidRDefault="00A31137" w:rsidP="00A31137">
      <w:r w:rsidRPr="00A31137">
        <w:t>My fellow Americans:</w:t>
      </w:r>
    </w:p>
    <w:p w:rsidR="00A31137" w:rsidRPr="00A31137" w:rsidRDefault="00A31137" w:rsidP="00A31137">
      <w:r w:rsidRPr="00A31137">
        <w:t>Public Papers of Reagan, 1988, p.1718</w:t>
      </w:r>
    </w:p>
    <w:p w:rsidR="00A31137" w:rsidRPr="00A31137" w:rsidRDefault="00A31137" w:rsidP="00A31137">
      <w:r w:rsidRPr="00A31137">
        <w:t>This is the 34th time I'll speak to you from the Oval Office and the last. We've been together 8 years now, and soon it'll be time for me to go. But before I do, I wanted to share some thoughts, some of which I've been saving for a long time.</w:t>
      </w:r>
    </w:p>
    <w:p w:rsidR="00A31137" w:rsidRPr="00A31137" w:rsidRDefault="00A31137" w:rsidP="00A31137">
      <w:r w:rsidRPr="00A31137">
        <w:t>Public Papers of Reagan, 1988, p.1718</w:t>
      </w:r>
    </w:p>
    <w:p w:rsidR="00A31137" w:rsidRPr="00A31137" w:rsidRDefault="00A31137" w:rsidP="00A31137">
      <w:r w:rsidRPr="00A31137">
        <w:t>It's been the honor of my life to be your President. So many of you have written the past few weeks to say thanks, but I could say as much to you. Nancy and I are grateful for the opportunity you gave us to serve.</w:t>
      </w:r>
    </w:p>
    <w:p w:rsidR="00A31137" w:rsidRPr="00A31137" w:rsidRDefault="00A31137" w:rsidP="00A31137">
      <w:r w:rsidRPr="00A31137">
        <w:t>Public Papers of Reagan, 1988, p.1718–p.1719</w:t>
      </w:r>
    </w:p>
    <w:p w:rsidR="00A31137" w:rsidRPr="00A31137" w:rsidRDefault="00A31137" w:rsidP="00A31137">
      <w:r w:rsidRPr="00A31137">
        <w:t>One of the things about the Presidency is that you're always somewhat apart. You spend a lot of time going by too fast in a car someone else is driving, and seeing the [p.1719] people through tinted glass—the parents holding up a child, and the wave you saw too late and couldn't return. And so many times I wanted to stop and reach out from behind the glass, and connect. Well, maybe I can do a little of that tonight.</w:t>
      </w:r>
    </w:p>
    <w:p w:rsidR="00A31137" w:rsidRPr="00A31137" w:rsidRDefault="00A31137" w:rsidP="00A31137">
      <w:r w:rsidRPr="00A31137">
        <w:t>Public Papers of Reagan, 1988, p.1719</w:t>
      </w:r>
    </w:p>
    <w:p w:rsidR="00A31137" w:rsidRPr="00A31137" w:rsidRDefault="00A31137" w:rsidP="00A31137">
      <w:r w:rsidRPr="00A31137">
        <w:t>People ask how I feel about leaving. And the fact is, "parting is such sweet sorrow." The sweet part is California and the ranch and freedom. The sorrow—the goodbyes, of course, and leaving this beautiful place.</w:t>
      </w:r>
    </w:p>
    <w:p w:rsidR="00A31137" w:rsidRPr="00A31137" w:rsidRDefault="00A31137" w:rsidP="00A31137">
      <w:r w:rsidRPr="00A31137">
        <w:t>Public Papers of Reagan, 1988, p.1719</w:t>
      </w:r>
    </w:p>
    <w:p w:rsidR="00A31137" w:rsidRPr="00A31137" w:rsidRDefault="00A31137" w:rsidP="00A31137">
      <w:r w:rsidRPr="00A31137">
        <w:t>You know, down the hall and up the stairs from this office is the part of the White House where the President and his family live. There are a few favorite windows I have up there that I like to stand and look out of early in the morning. The view is over the grounds here to the Washington Monument, and then the Mall and the Jefferson Memorial. But on mornings when the humidity is low, you can see past the Jefferson to the river, the Potomac, and the Virginia shore. Someone said that's the view Lincoln had when he saw the smoke rising from the Battle of Bull Run. I see more prosaic things: the grass on the banks, the morning traffic as people make their way to work, now and then a sailboat on the river.</w:t>
      </w:r>
    </w:p>
    <w:p w:rsidR="00A31137" w:rsidRPr="00A31137" w:rsidRDefault="00A31137" w:rsidP="00A31137">
      <w:r w:rsidRPr="00A31137">
        <w:t>Public Papers of Reagan, 1988, p.1719</w:t>
      </w:r>
    </w:p>
    <w:p w:rsidR="00A31137" w:rsidRPr="00A31137" w:rsidRDefault="00A31137" w:rsidP="00A31137">
      <w:r w:rsidRPr="00A31137">
        <w:t>I've been thinking a bit at that window. I've been reflecting on what the past 8 years have meant and mean. And the image that comes to mind like a refrain is a nautical one—a small story about a big ship, and a refugee, and a sailor. It was back in the early eighties, at the height of the boat people. And the sailor was hard at work on the carrier Midway, which was patrolling the South China Sea. The sailor, like most American servicemen, was young, smart, and fiercely observant. The crew spied on the horizon a leaky little boat. And crammed inside were refugees from Indochina hoping to get to America. The Midway sent a small launch to bring them to the ship and safety. As the refugees made their way through the choppy seas, one spied the sailor on deck, and stood up, and called out to him. He yelled, "Hello, American sailor. Hello, freedom man."</w:t>
      </w:r>
    </w:p>
    <w:p w:rsidR="00A31137" w:rsidRPr="00A31137" w:rsidRDefault="00A31137" w:rsidP="00A31137">
      <w:r w:rsidRPr="00A31137">
        <w:t>Public Papers of Reagan, 1988, p.1719</w:t>
      </w:r>
    </w:p>
    <w:p w:rsidR="00A31137" w:rsidRPr="00A31137" w:rsidRDefault="00A31137" w:rsidP="00A31137">
      <w:r w:rsidRPr="00A31137">
        <w:t>A small moment with a big meaning, a moment the sailor, who wrote it in a letter, couldn't get out of his mind. And, when I saw it, neither could I. Because that's what it was to be an American in the 1980's. We stood, again, for freedom. I know we always have, but in the past few years the world again—and in a way, we ourselves—rediscovered it.</w:t>
      </w:r>
    </w:p>
    <w:p w:rsidR="00A31137" w:rsidRPr="00A31137" w:rsidRDefault="00A31137" w:rsidP="00A31137">
      <w:r w:rsidRPr="00A31137">
        <w:t>Public Papers of Reagan, 1988, p.1719</w:t>
      </w:r>
    </w:p>
    <w:p w:rsidR="00A31137" w:rsidRPr="00A31137" w:rsidRDefault="00A31137" w:rsidP="00A31137">
      <w:r w:rsidRPr="00A31137">
        <w:t>It's been quite a journey this decade, and we held together through some stormy seas. And at the end, together, we are reaching our destination.</w:t>
      </w:r>
    </w:p>
    <w:p w:rsidR="00A31137" w:rsidRPr="00A31137" w:rsidRDefault="00A31137" w:rsidP="00A31137">
      <w:r w:rsidRPr="00A31137">
        <w:t>Public Papers of Reagan, 1988, p.1719</w:t>
      </w:r>
    </w:p>
    <w:p w:rsidR="00A31137" w:rsidRPr="00A31137" w:rsidRDefault="00A31137" w:rsidP="00A31137">
      <w:r w:rsidRPr="00A31137">
        <w:t>The fact is, from Grenada to the Washington and Moscow summits, from the recession of '81 to '82, to the expansion that began in late '82 and continues to this day, we've made a difference. The way I see it, there were two great triumphs, two things that I'm proudest of. One is the economic recovery, in which the people of America created—and filled—19 million new jobs. The other is the recovery of our morale. America is respected again in the world and looked to for leadership.</w:t>
      </w:r>
    </w:p>
    <w:p w:rsidR="00A31137" w:rsidRPr="00A31137" w:rsidRDefault="00A31137" w:rsidP="00A31137">
      <w:r w:rsidRPr="00A31137">
        <w:t>Public Papers of Reagan, 1988, p.1719</w:t>
      </w:r>
    </w:p>
    <w:p w:rsidR="00A31137" w:rsidRPr="00A31137" w:rsidRDefault="00A31137" w:rsidP="00A31137">
      <w:r w:rsidRPr="00A31137">
        <w:t>Something that happened to me a few years ago reflects some of this. It was back in 1981, and I was attending my first big economic summit, which was held that year in Canada. The meeting place rotates among the member countries. The opening meeting was a formal dinner for the heads of government of the seven industrialized nations. Now, I sat there like the new kid in school and listened, and it was all Francois this and Helmut that. They dropped titles and spoke to one another on a first-name basis. Well, at one point I sort of leaned in and said, "My name's Ron." Well, in that same year, we began the actions we felt would ignite an economic comeback—cut taxes and regulation, started to cut spending. And soon the recovery began.</w:t>
      </w:r>
    </w:p>
    <w:p w:rsidR="00A31137" w:rsidRPr="00A31137" w:rsidRDefault="00A31137" w:rsidP="00A31137">
      <w:r w:rsidRPr="00A31137">
        <w:t>Public Papers of Reagan, 1988, p.1719</w:t>
      </w:r>
    </w:p>
    <w:p w:rsidR="00A31137" w:rsidRPr="00A31137" w:rsidRDefault="00A31137" w:rsidP="00A31137">
      <w:r w:rsidRPr="00A31137">
        <w:t>Two years later, another economic summit with pretty much the same cast. At the big opening meeting we all got together, and all of a sudden, just for a moment, I saw that everyone was just sitting there looking at me. And then one of them broke the silence. "Tell us about the American miracle," he said.</w:t>
      </w:r>
    </w:p>
    <w:p w:rsidR="00A31137" w:rsidRPr="00A31137" w:rsidRDefault="00A31137" w:rsidP="00A31137">
      <w:r w:rsidRPr="00A31137">
        <w:t>Public Papers of Reagan, 1988, p.1719–p.1720</w:t>
      </w:r>
    </w:p>
    <w:p w:rsidR="00A31137" w:rsidRPr="00A31137" w:rsidRDefault="00A31137" w:rsidP="00A31137">
      <w:r w:rsidRPr="00A31137">
        <w:t>Well, back in 1980, when I was running for President, it was all so different. Some pundits said our programs would result in catastrophe. Our views on foreign affairs would cause war. Our plans for the economy would cause inflation to soar and bring [p.1720] about economic collapse. I even remember one highly respected economist saying, back in 1982, that "The engines of economic growth have shut down here, and they're likely to stay that way for years to come." Well, he and the other opinion leaders were wrong. The fact is, what they called "radical" was really "right." What they called "dangerous" was just "desperately needed."</w:t>
      </w:r>
    </w:p>
    <w:p w:rsidR="00A31137" w:rsidRPr="00A31137" w:rsidRDefault="00A31137" w:rsidP="00A31137">
      <w:r w:rsidRPr="00A31137">
        <w:t>Public Papers of Reagan, 1988, p.1720</w:t>
      </w:r>
    </w:p>
    <w:p w:rsidR="00A31137" w:rsidRPr="00A31137" w:rsidRDefault="00A31137" w:rsidP="00A31137">
      <w:r w:rsidRPr="00A31137">
        <w:t>And in all of that time I won a nickname, "The Great Communicator." But I never thought it was my style or the words I used that made a difference: it was the content. I wasn't a great communicator, but I communicated great things, and they didn't spring full bloom from my brow, they came from the heart of a great nation—from our experience, our wisdom, and our belief in the principles that have guided us for two centuries. They called it the Reagan revolution. Well, I'll accept that, but for me it always seemed more like the great rediscovery, a rediscovery of our values and our common sense.</w:t>
      </w:r>
    </w:p>
    <w:p w:rsidR="00A31137" w:rsidRPr="00A31137" w:rsidRDefault="00A31137" w:rsidP="00A31137">
      <w:r w:rsidRPr="00A31137">
        <w:t>Public Papers of Reagan, 1988, p.1720</w:t>
      </w:r>
    </w:p>
    <w:p w:rsidR="00A31137" w:rsidRPr="00A31137" w:rsidRDefault="00A31137" w:rsidP="00A31137">
      <w:r w:rsidRPr="00A31137">
        <w:t>Common sense told us that when you put a big tax on something, the people will produce less of it. So, we cut the people's tax rates, and the people produced more than ever before. The economy bloomed like a plant that had been cut back and could now grow quicker and stronger. Our economic program brought about the longest peacetime expansion in our history: real family income up, the poverty rate down, entrepreneurship booming, and an explosion in research and new technology. We're exporting more than ever because American industry became more competitive and at the same time, we summoned the national will to knock down protectionist walls abroad instead of erecting them at home.</w:t>
      </w:r>
    </w:p>
    <w:p w:rsidR="00A31137" w:rsidRPr="00A31137" w:rsidRDefault="00A31137" w:rsidP="00A31137">
      <w:r w:rsidRPr="00A31137">
        <w:t>Public Papers of Reagan, 1988, p.1720</w:t>
      </w:r>
    </w:p>
    <w:p w:rsidR="00A31137" w:rsidRPr="00A31137" w:rsidRDefault="00A31137" w:rsidP="00A31137">
      <w:r w:rsidRPr="00A31137">
        <w:t>Common sense also told us that to preserve the peace, we'd have to become strong again after years of weakness and confusion. So, we rebuilt our defenses, and this New Year we toasted the new peacefulness around the globe. Not only have the superpowers actually begun to reduce their stockpiles of nuclear weapons—and hope for even more progress is bright—but the regional conflicts that rack the globe are also beginning to cease. The Persian Gulf is no longer a war zone. The Soviets are leaving Afghanistan. The Vietnamese are preparing to pull out of Cambodia, and an American-mediated accord will soon send 50,000 Cuban troops home from Angola.</w:t>
      </w:r>
    </w:p>
    <w:p w:rsidR="00A31137" w:rsidRPr="00A31137" w:rsidRDefault="00A31137" w:rsidP="00A31137">
      <w:r w:rsidRPr="00A31137">
        <w:t>Public Papers of Reagan, 1988, p.1720</w:t>
      </w:r>
    </w:p>
    <w:p w:rsidR="00A31137" w:rsidRPr="00A31137" w:rsidRDefault="00A31137" w:rsidP="00A31137">
      <w:r w:rsidRPr="00A31137">
        <w:t>The lesson of all this was, of course, that because we're a great nation, our challenges seem complex. It will always be this way. But as long as we remember our first principles and believe in ourselves, the future will always be ours. And something else we learned: Once you begin a great movement, there's no telling where it will end. We meant to change a nation, and instead, we changed a world.</w:t>
      </w:r>
    </w:p>
    <w:p w:rsidR="00A31137" w:rsidRPr="00A31137" w:rsidRDefault="00A31137" w:rsidP="00A31137">
      <w:r w:rsidRPr="00A31137">
        <w:t>Public Papers of Reagan, 1988, p.1720</w:t>
      </w:r>
    </w:p>
    <w:p w:rsidR="00A31137" w:rsidRPr="00A31137" w:rsidRDefault="00A31137" w:rsidP="00A31137">
      <w:r w:rsidRPr="00A31137">
        <w:t>Countries across the globe are turning to free markets and free speech and turning away from the ideologies of the past. For them, the great rediscovery of the 1980's has been that, lo and behold, the moral way of government is the practical way of government: Democracy, the profoundly good, is also the profoundly productive.</w:t>
      </w:r>
    </w:p>
    <w:p w:rsidR="00A31137" w:rsidRPr="00A31137" w:rsidRDefault="00A31137" w:rsidP="00A31137">
      <w:r w:rsidRPr="00A31137">
        <w:t>Public Papers of Reagan, 1988, p.1720</w:t>
      </w:r>
    </w:p>
    <w:p w:rsidR="00A31137" w:rsidRPr="00A31137" w:rsidRDefault="00A31137" w:rsidP="00A31137">
      <w:r w:rsidRPr="00A31137">
        <w:t>When you've got to the point when you can celebrate the anniversaries of your 39th birthday you can sit back sometimes, review your life, and see it flowing before you. For me there was a fork in the river, and it was right in the middle of my life. I never meant to go into politics. It wasn't my intention when I was young. But I was raised to believe you had to pay your way for the blessings bestowed on you. I was happy with my career in the entertainment world, but I ultimately went into politics because I wanted to protect something precious.</w:t>
      </w:r>
    </w:p>
    <w:p w:rsidR="00A31137" w:rsidRPr="00A31137" w:rsidRDefault="00A31137" w:rsidP="00A31137">
      <w:r w:rsidRPr="00A31137">
        <w:t>Public Papers of Reagan, 1988, p.1720</w:t>
      </w:r>
    </w:p>
    <w:p w:rsidR="00A31137" w:rsidRPr="00A31137" w:rsidRDefault="00A31137" w:rsidP="00A31137">
      <w:r w:rsidRPr="00A31137">
        <w:t>Ours was the first revolution in the history of mankind that truly reversed the course of government, and with three little words: "We the People." "We the People" tell the government what to do; it doesn't tell us. "We the People" are the driver; the government is the car. And we decide where it should go, and by what route, and how fast. Almost all the world's constitutions are documents in which governments tell the people what their privileges are. Our Constitution is a document in which "We the People" tell the government what it is allowed to do. "We the People" are free. This belief has been the underlying basis for everything I've tried to do these past 8 years.</w:t>
      </w:r>
    </w:p>
    <w:p w:rsidR="00A31137" w:rsidRPr="00A31137" w:rsidRDefault="00A31137" w:rsidP="00A31137">
      <w:r w:rsidRPr="00A31137">
        <w:t>Public Papers of Reagan, 1988, p.1720–p.1721</w:t>
      </w:r>
    </w:p>
    <w:p w:rsidR="00A31137" w:rsidRPr="00A31137" w:rsidRDefault="00A31137" w:rsidP="00A31137">
      <w:r w:rsidRPr="00A31137">
        <w:t>But back in the 1960's, when I began, it [p.1721] seemed to me that we'd begun reversing the order of things—that through more and more rules and regulations and confiscatory taxes, the government was taking more of our money, more of our options, and more of our freedom. I went into politics in part to put up my hand and say, "Stop." I was a citizen politician, and it seemed the right thing for a citizen to do.</w:t>
      </w:r>
    </w:p>
    <w:p w:rsidR="00A31137" w:rsidRPr="00A31137" w:rsidRDefault="00A31137" w:rsidP="00A31137">
      <w:r w:rsidRPr="00A31137">
        <w:t>Public Papers of Reagan, 1988, p.1721</w:t>
      </w:r>
    </w:p>
    <w:p w:rsidR="00A31137" w:rsidRPr="00A31137" w:rsidRDefault="00A31137" w:rsidP="00A31137">
      <w:r w:rsidRPr="00A31137">
        <w:t>I think we have stopped a lot of what needed stopping. And I hope we have once again reminded people that man is not free unless government is limited. There's a clear cause and effect here that is as neat and predictable as a law of physics: As government expands, liberty contracts.</w:t>
      </w:r>
    </w:p>
    <w:p w:rsidR="00A31137" w:rsidRPr="00A31137" w:rsidRDefault="00A31137" w:rsidP="00A31137">
      <w:r w:rsidRPr="00A31137">
        <w:t>Public Papers of Reagan, 1988, p.1721</w:t>
      </w:r>
    </w:p>
    <w:p w:rsidR="00A31137" w:rsidRPr="00A31137" w:rsidRDefault="00A31137" w:rsidP="00A31137">
      <w:r w:rsidRPr="00A31137">
        <w:t>Nothing is less free than pure communism—and yet we have, the past few years, forged a satisfying new closeness with the Soviet Union. I've been asked if this isn't a gamble, and my answer is no because we're basing our actions not on words but deeds. The detente of the 1970's was based not on actions but promises. They'd promise to treat their own people and the people of the world better. But the gulag was still the gulag, and the state was still expansionist, and they still waged proxy wars in Africa, Asia, and Latin America.</w:t>
      </w:r>
    </w:p>
    <w:p w:rsidR="00A31137" w:rsidRPr="00A31137" w:rsidRDefault="00A31137" w:rsidP="00A31137">
      <w:r w:rsidRPr="00A31137">
        <w:t>Public Papers of Reagan, 1988, p.1721</w:t>
      </w:r>
    </w:p>
    <w:p w:rsidR="00A31137" w:rsidRPr="00A31137" w:rsidRDefault="00A31137" w:rsidP="00A31137">
      <w:r w:rsidRPr="00A31137">
        <w:t>Well, this time, so far, it's different. President Gorbachev has brought about some internal democratic reforms and begun the withdrawal from Afghanistan. He has also freed prisoners whose names I've given him every time we've met.</w:t>
      </w:r>
    </w:p>
    <w:p w:rsidR="00A31137" w:rsidRPr="00A31137" w:rsidRDefault="00A31137" w:rsidP="00A31137">
      <w:r w:rsidRPr="00A31137">
        <w:t>Public Papers of Reagan, 1988, p.1721</w:t>
      </w:r>
    </w:p>
    <w:p w:rsidR="00A31137" w:rsidRPr="00A31137" w:rsidRDefault="00A31137" w:rsidP="00A31137">
      <w:r w:rsidRPr="00A31137">
        <w:t>But life has a way of reminding you of big things through small incidents. Once, during the heady days of the Moscow summit, Nancy and I decided to break off from the entourage one afternoon to visit the shops on Arbat Street—that's a little street just off Moscow's main shopping area. Even though our visit was a surprise, every Russian there immediately recognized us and called out our names and reached for our hands. We were just about swept away by the warmth. You could almost feel the possibilities in all that joy. But within seconds, a KGB detail pushed their way toward us and began pushing and shoving the people in the crowd. It was an interesting moment. It reminded me that while the man on the street in the Soviet Union yearns for peace, the government is Communist. And those who run it are Communists, and that means we and they view such issues as freedom and human rights very differently.</w:t>
      </w:r>
    </w:p>
    <w:p w:rsidR="00A31137" w:rsidRPr="00A31137" w:rsidRDefault="00A31137" w:rsidP="00A31137">
      <w:r w:rsidRPr="00A31137">
        <w:t>Public Papers of Reagan, 1988, p.1721</w:t>
      </w:r>
    </w:p>
    <w:p w:rsidR="00A31137" w:rsidRPr="00A31137" w:rsidRDefault="00A31137" w:rsidP="00A31137">
      <w:r w:rsidRPr="00A31137">
        <w:t>We must keep up our guard, but we must also continue to work together to lessen and eliminate tension and mistrust. My view is that President Gorbachev is different from previous Soviet leaders. I think he knows some of the things wrong with his society and is trying to fix them. We wish him well. And we'll continue to work to make sure that the Soviet Union that eventually emerges from this process is a less threatening one. What it all boils down to is this: I want the new closeness to continue. And it will, as long as we make it clear that we will continue to act in a certain way as long as they continue to act in a helpful manner. If and when they don't, at first pull your punches. If they persist, pull the plug. It's still trust but verify. It's still play, but cut the cards. It's still watch closely. And don't be afraid to see what you see.</w:t>
      </w:r>
    </w:p>
    <w:p w:rsidR="00A31137" w:rsidRPr="00A31137" w:rsidRDefault="00A31137" w:rsidP="00A31137">
      <w:r w:rsidRPr="00A31137">
        <w:t>Public Papers of Reagan, 1988, p.1721</w:t>
      </w:r>
    </w:p>
    <w:p w:rsidR="00A31137" w:rsidRPr="00A31137" w:rsidRDefault="00A31137" w:rsidP="00A31137">
      <w:r w:rsidRPr="00A31137">
        <w:t>I've been asked if I have any regrets. Well, I do. The deficit is one. I've been talking a great deal about that lately, but tonight isn't for arguments, and I'm going to hold my tongue. But an observation: I've had my share of victories in the Congress, but what few people noticed is that I never won anything you didn't win for me. They never saw my troops, they never saw Reagan's regiments, the American people. You won every battle with every call you made and letter you wrote demanding action. Well, action is still needed. If we're to finish the job, Reagan's regiments will have to become the Bush brigades. Soon he'll be the chief, and he'll need you every bit as much as I did.</w:t>
      </w:r>
    </w:p>
    <w:p w:rsidR="00A31137" w:rsidRPr="00A31137" w:rsidRDefault="00A31137" w:rsidP="00A31137">
      <w:r w:rsidRPr="00A31137">
        <w:t>Public Papers of Reagan, 1988, p.1721</w:t>
      </w:r>
    </w:p>
    <w:p w:rsidR="00A31137" w:rsidRPr="00A31137" w:rsidRDefault="00A31137" w:rsidP="00A31137">
      <w:r w:rsidRPr="00A31137">
        <w:t>Finally, there is a great tradition of warnings in Presidential farewells, and I've got one that's been on my mind for some time. But oddly enough it starts with one of the things I'm proudest of in the past 8 years: the resurgence of national pride that I called the new patriotism. This national feeling is good, but it won't count for much, and it won't last unless it's grounded in thoughtfulness and knowledge.</w:t>
      </w:r>
    </w:p>
    <w:p w:rsidR="00A31137" w:rsidRPr="00A31137" w:rsidRDefault="00A31137" w:rsidP="00A31137">
      <w:r w:rsidRPr="00A31137">
        <w:t>Public Papers of Reagan, 1988, p.1721–p.1722</w:t>
      </w:r>
    </w:p>
    <w:p w:rsidR="00A31137" w:rsidRPr="00A31137" w:rsidRDefault="00A31137" w:rsidP="00A31137">
      <w:r w:rsidRPr="00A31137">
        <w:t>An informed patriotism is what we want. And are we doing a good enough job teaching [p.1722] our children what America is and what she represents in the long history of the world? Those of us who are over 35 or so years of age grew up in a different America. We were taught, very directly, what it means to be an American. And we absorbed, almost in the air, a love of country and an appreciation of its institutions. If you didn't get these things from your family you got them from the neighborhood, from the father down the street who fought in Korea or the family who lost someone at Anzio. Or you could get a sense of patriotism from school. And if all else failed you could get a sense of patriotism from the popular culture. The movies celebrated democratic values and implicitly reinforced the idea that America was special. TV was like that, too, through the mid-sixties.</w:t>
      </w:r>
    </w:p>
    <w:p w:rsidR="00A31137" w:rsidRPr="00A31137" w:rsidRDefault="00A31137" w:rsidP="00A31137">
      <w:r w:rsidRPr="00A31137">
        <w:t>Public Papers of Reagan, 1988, p.1722</w:t>
      </w:r>
    </w:p>
    <w:p w:rsidR="00A31137" w:rsidRPr="00A31137" w:rsidRDefault="00A31137" w:rsidP="00A31137">
      <w:r w:rsidRPr="00A31137">
        <w:t>But now, we're about to enter the nineties, and some things have changed. Younger parents aren't sure that an unambivalent appreciation of America is the right thing to teach modern children. And as for those who create the popular culture, well-grounded patriotism is no longer the style. Our spirit is back, but we haven't reinstitutionalized it. We've got to do a better job of getting across that America is freedom—freedom of speech, freedom of religion, freedom of enterprise. And freedom is special and rare. It's fragile; it needs production [protection].</w:t>
      </w:r>
    </w:p>
    <w:p w:rsidR="00A31137" w:rsidRPr="00A31137" w:rsidRDefault="00A31137" w:rsidP="00A31137">
      <w:r w:rsidRPr="00A31137">
        <w:t>Public Papers of Reagan, 1988, p.1722</w:t>
      </w:r>
    </w:p>
    <w:p w:rsidR="00A31137" w:rsidRPr="00A31137" w:rsidRDefault="00A31137" w:rsidP="00A31137">
      <w:r w:rsidRPr="00A31137">
        <w:t>So, we've got to teach history based not on what's in fashion but what's important—why the Pilgrims came here, who Jimmy Doolittle was, and what those 30 seconds over Tokyo meant. You know, 4 years ago on the 40th anniversary of D-day, I read a letter from a young woman writing to her late father, who'd fought on Omaha Beach. Her name was Lisa Zanatta Henn, and she said, "we will always remember, we will never forget what the boys of Normandy did." Well, let's help her keep her word. If we forget what we did, we won't know who we are. I'm warning of an eradication of the American memory that could result, ultimately, in an erosion of the American spirit. Let's start with some basics: more attention to American history and a greater emphasis on civic ritual.</w:t>
      </w:r>
      <w:r w:rsidRPr="00A31137">
        <w:cr/>
      </w:r>
    </w:p>
    <w:p w:rsidR="00A31137" w:rsidRPr="00A31137" w:rsidRDefault="00A31137" w:rsidP="00A31137">
      <w:r w:rsidRPr="00A31137">
        <w:t>Public Papers of Reagan, 1988, p.1722</w:t>
      </w:r>
    </w:p>
    <w:p w:rsidR="00A31137" w:rsidRPr="00A31137" w:rsidRDefault="00A31137" w:rsidP="00A31137">
      <w:r w:rsidRPr="00A31137">
        <w:t>And let me offer lesson number one about America: All great change in America begins at the dinner table. So, tomorrow night in the kitchen I hope the talking begins. And children, if your parents haven't been teaching you what it means to be an American, let 'em know and nail 'em on it. That would be a very American thing to do.</w:t>
      </w:r>
    </w:p>
    <w:p w:rsidR="00A31137" w:rsidRPr="00A31137" w:rsidRDefault="00A31137" w:rsidP="00A31137">
      <w:r w:rsidRPr="00A31137">
        <w:t>Public Papers of Reagan, 1988, p.1722</w:t>
      </w:r>
    </w:p>
    <w:p w:rsidR="00A31137" w:rsidRPr="00A31137" w:rsidRDefault="00A31137" w:rsidP="00A31137">
      <w:r w:rsidRPr="00A31137">
        <w:t>And that's about all I have to say tonight, except for one thing. The past few days when I've been at that window upstairs, I've thought a bit of the "shining city upon a hill." The phrase comes from John Winthrop, who wrote it to describe the America he imagined. What he imagined was important because he was an early Pilgrim, an early freedom man. He journeyed here on what today we'd call a little wooden boat; and like the other Pilgrims, he was looking for a home that would be free.</w:t>
      </w:r>
    </w:p>
    <w:p w:rsidR="00A31137" w:rsidRPr="00A31137" w:rsidRDefault="00A31137" w:rsidP="00A31137">
      <w:r w:rsidRPr="00A31137">
        <w:t>Public Papers of Reagan, 1988, p.1722</w:t>
      </w:r>
    </w:p>
    <w:p w:rsidR="00A31137" w:rsidRPr="00A31137" w:rsidRDefault="00A31137" w:rsidP="00A31137">
      <w:r w:rsidRPr="00A31137">
        <w:t>I've spoken of the shining city all my political life, but I don't know if I ever quite communicated what I saw when I said it. But in my mind it was a tall, proud city built on rocks stronger than oceans, windswept, God-blessed, and teeming with people of all kinds living in harmony and peace; a city with free ports that hummed with commerce and creativity. And if there had to be city walls, the walls had doors and the doors were open to anyone with the will and the heart to get here. That's how I saw it, and see it still.</w:t>
      </w:r>
    </w:p>
    <w:p w:rsidR="00A31137" w:rsidRPr="00A31137" w:rsidRDefault="00A31137" w:rsidP="00A31137">
      <w:r w:rsidRPr="00A31137">
        <w:t>Public Papers of Reagan, 1988, p.1722</w:t>
      </w:r>
    </w:p>
    <w:p w:rsidR="00A31137" w:rsidRPr="00A31137" w:rsidRDefault="00A31137" w:rsidP="00A31137">
      <w:r w:rsidRPr="00A31137">
        <w:t>And how stands the city on this winter night? More prosperous, more secure, and happier than it was 8 years ago. But more than that: After 200 years, two centuries, she still stands strong and true on the granite ridge, and her glow has held steady no matter what storm. And she's still a beacon, still a magnet for all who must have freedom, for all the pilgrims from all the lost places who are hurtling through the darkness, toward home.</w:t>
      </w:r>
    </w:p>
    <w:p w:rsidR="00A31137" w:rsidRPr="00A31137" w:rsidRDefault="00A31137" w:rsidP="00A31137">
      <w:r w:rsidRPr="00A31137">
        <w:t>Public Papers of Reagan, 1988, p.1722</w:t>
      </w:r>
    </w:p>
    <w:p w:rsidR="00A31137" w:rsidRPr="00A31137" w:rsidRDefault="00A31137" w:rsidP="00A31137">
      <w:r w:rsidRPr="00A31137">
        <w:t>We've done our part. And as I walk off into the city streets, a final word to the men and women of the Reagan revolution, the men and women across America who for 8 years did the work that brought America back. My friends: We did it. We weren't just marking time. We made a difference. We made the city stronger, we made the city freer, and we left her in good hands. All in all, not bad, not bad at all.</w:t>
      </w:r>
    </w:p>
    <w:p w:rsidR="00A31137" w:rsidRPr="00A31137" w:rsidRDefault="00A31137" w:rsidP="00A31137">
      <w:r w:rsidRPr="00A31137">
        <w:t>Public Papers of Reagan, 1988, p.1723</w:t>
      </w:r>
    </w:p>
    <w:p w:rsidR="00A31137" w:rsidRPr="00A31137" w:rsidRDefault="00A31137" w:rsidP="00A31137">
      <w:r w:rsidRPr="00A31137">
        <w:t>And so, goodbye, God bless you, and God bless the United States of America.</w:t>
      </w:r>
    </w:p>
    <w:p w:rsidR="00A31137" w:rsidRPr="00A31137" w:rsidRDefault="00A31137" w:rsidP="00A31137">
      <w:r w:rsidRPr="00A31137">
        <w:t>Public Papers of Reagan, 1988, p.1723</w:t>
      </w:r>
    </w:p>
    <w:p w:rsidR="00A31137" w:rsidRPr="00A31137" w:rsidRDefault="00A31137" w:rsidP="00A31137">
      <w:r w:rsidRPr="00A31137">
        <w:t>NOTE: The President spoke at 9:02 p.m. from the Oval Office at the White House. The address was broadcast live on nationwide radio and television.</w:t>
      </w:r>
    </w:p>
    <w:p w:rsidR="00A31137" w:rsidRPr="00A31137" w:rsidRDefault="00A31137" w:rsidP="00A31137">
      <w:r w:rsidRPr="00A31137">
        <w:t>George Bush's Inaugural Address, 1989</w:t>
      </w:r>
    </w:p>
    <w:p w:rsidR="00A31137" w:rsidRPr="00A31137" w:rsidRDefault="00A31137" w:rsidP="00A31137">
      <w:r w:rsidRPr="00A31137">
        <w:t>Title:</w:t>
      </w:r>
      <w:r w:rsidRPr="00A31137">
        <w:tab/>
        <w:t>President Bush's Inaugural Address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January 20, 1989</w:t>
      </w:r>
    </w:p>
    <w:p w:rsidR="00A31137" w:rsidRPr="00A31137" w:rsidRDefault="00A31137" w:rsidP="00A31137">
      <w:r w:rsidRPr="00A31137">
        <w:t>Source:</w:t>
      </w:r>
      <w:r w:rsidRPr="00A31137">
        <w:tab/>
        <w:t>Public Papers of the Presidents, Bush, 1989, pp.1-4</w:t>
      </w:r>
    </w:p>
    <w:p w:rsidR="00A31137" w:rsidRPr="00A31137" w:rsidRDefault="00A31137" w:rsidP="00A31137">
      <w:r w:rsidRPr="00A31137">
        <w:t>Public Papers of Bush, 1989, p.1</w:t>
      </w:r>
    </w:p>
    <w:p w:rsidR="00A31137" w:rsidRPr="00A31137" w:rsidRDefault="00A31137" w:rsidP="00A31137">
      <w:r w:rsidRPr="00A31137">
        <w:t>Mr. Chief Justice, Mr. President, Vice President Quayle, Senator Mitchell, Speaker Wright, Senator Dole, Congressman Michel, and fellow citizens, neighbors, and friends:</w:t>
      </w:r>
    </w:p>
    <w:p w:rsidR="00A31137" w:rsidRPr="00A31137" w:rsidRDefault="00A31137" w:rsidP="00A31137">
      <w:r w:rsidRPr="00A31137">
        <w:t>Public Papers of Bush, 1989, p.1</w:t>
      </w:r>
    </w:p>
    <w:p w:rsidR="00A31137" w:rsidRPr="00A31137" w:rsidRDefault="00A31137" w:rsidP="00A31137">
      <w:r w:rsidRPr="00A31137">
        <w:t>There is a man here who has earned a lasting place in our hearts and in our history. President Reagan, on behalf of our nation, I thank you for the wonderful things that you have done for America.</w:t>
      </w:r>
    </w:p>
    <w:p w:rsidR="00A31137" w:rsidRPr="00A31137" w:rsidRDefault="00A31137" w:rsidP="00A31137">
      <w:r w:rsidRPr="00A31137">
        <w:t>Public Papers of Bush, 1989, p.1</w:t>
      </w:r>
    </w:p>
    <w:p w:rsidR="00A31137" w:rsidRPr="00A31137" w:rsidRDefault="00A31137" w:rsidP="00A31137">
      <w:r w:rsidRPr="00A31137">
        <w:t>I've just repeated word for word the oath taken by George Washington 200 years ago, and the Bible on which I placed my hand is the Bible on which he placed his. It is right that the memory of Washington be with us today not only because this is our bicentennial inauguration but because Washington remains the Father of our Country. And he would, I think, be gladdened by this day; for today is the concrete expression of a stunning fact: our continuity, these 200 years, since our government began.</w:t>
      </w:r>
    </w:p>
    <w:p w:rsidR="00A31137" w:rsidRPr="00A31137" w:rsidRDefault="00A31137" w:rsidP="00A31137">
      <w:r w:rsidRPr="00A31137">
        <w:t>Public Papers of Bush, 1989, p.1</w:t>
      </w:r>
    </w:p>
    <w:p w:rsidR="00A31137" w:rsidRPr="00A31137" w:rsidRDefault="00A31137" w:rsidP="00A31137">
      <w:r w:rsidRPr="00A31137">
        <w:t>We meet on democracy's front porch. A good place to talk as neighbors and as friends. For this is a day when our nation is made whole, when our differences, for a moment, are suspended. And my first act as President is a prayer. I ask you to bow your heads.</w:t>
      </w:r>
    </w:p>
    <w:p w:rsidR="00A31137" w:rsidRPr="00A31137" w:rsidRDefault="00A31137" w:rsidP="00A31137">
      <w:r w:rsidRPr="00A31137">
        <w:t>Public Papers of Bush, 1989, p.1</w:t>
      </w:r>
    </w:p>
    <w:p w:rsidR="00A31137" w:rsidRPr="00A31137" w:rsidRDefault="00A31137" w:rsidP="00A31137">
      <w:r w:rsidRPr="00A31137">
        <w:t>Heavenly Father, we bow our heads and thank You for Your love. Accept our thanks for the peace that yields this day and the shared faith that makes its continuance likely. Make us strong to do Your work, willing to heed and hear Your will, and write on our hearts these words: "Use power to help people." For we are given power not to advance our own purposes, nor to make a great show in the world, nor a name. There is but one just use of power, and it is to serve people. Help us remember, Lord. Amen.</w:t>
      </w:r>
    </w:p>
    <w:p w:rsidR="00A31137" w:rsidRPr="00A31137" w:rsidRDefault="00A31137" w:rsidP="00A31137">
      <w:r w:rsidRPr="00A31137">
        <w:t>Public Papers of Bush, 1989, p.1</w:t>
      </w:r>
    </w:p>
    <w:p w:rsidR="00A31137" w:rsidRPr="00A31137" w:rsidRDefault="00A31137" w:rsidP="00A31137">
      <w:r w:rsidRPr="00A31137">
        <w:t>I come before you and assume the Presidency at a moment rich with promise. We live in a peaceful, prosperous time, but we can make it better. For a new breeze is blowing, and a world refreshed by freedom seems reborn. For in man's heart, if not in fact, the day of the dictator is over. The totalitarian era is passing, its old ideas blown away like leaves from an ancient, lifeless tree. A new breeze is blowing, and a nation refreshed by freedom stands ready to push on. There is new ground to he broken and new action to be taken. There are times when the future seems thick as a fog; you sit and wait, hoping the mists will lift and reveal the right path. But this is a time when the future seems a door you can walk right through into a room called tomorrow.</w:t>
      </w:r>
    </w:p>
    <w:p w:rsidR="00A31137" w:rsidRPr="00A31137" w:rsidRDefault="00A31137" w:rsidP="00A31137">
      <w:r w:rsidRPr="00A31137">
        <w:t>Public Papers of Bush, 1989, p.1</w:t>
      </w:r>
    </w:p>
    <w:p w:rsidR="00A31137" w:rsidRPr="00A31137" w:rsidRDefault="00A31137" w:rsidP="00A31137">
      <w:r w:rsidRPr="00A31137">
        <w:t>Great nations of the world are moving toward democracy through the door to freedom. Men and women of the world move toward free markets through the door to prosperity. The people of the world agitate for free expression and free thought through the door to the moral and intellectual satisfactions that only liberty allows.</w:t>
      </w:r>
    </w:p>
    <w:p w:rsidR="00A31137" w:rsidRPr="00A31137" w:rsidRDefault="00A31137" w:rsidP="00A31137">
      <w:r w:rsidRPr="00A31137">
        <w:t>Public Papers of Bush, 1989, p.1</w:t>
      </w:r>
    </w:p>
    <w:p w:rsidR="00A31137" w:rsidRPr="00A31137" w:rsidRDefault="00A31137" w:rsidP="00A31137">
      <w:r w:rsidRPr="00A31137">
        <w:t>We know what works: Freedom works. We know what's right: Freedom is right. We know how to secure a more just and prosperous life for man on Earth: through free markets, free speech, free elections, and the exercise of free will unhampered by the state.</w:t>
      </w:r>
    </w:p>
    <w:p w:rsidR="00A31137" w:rsidRPr="00A31137" w:rsidRDefault="00A31137" w:rsidP="00A31137">
      <w:r w:rsidRPr="00A31137">
        <w:t>Public Papers of Bush, 1989, p.1</w:t>
      </w:r>
    </w:p>
    <w:p w:rsidR="00A31137" w:rsidRPr="00A31137" w:rsidRDefault="00A31137" w:rsidP="00A31137">
      <w:r w:rsidRPr="00A31137">
        <w:t>For the first time in this century, for the first time in perhaps all history, man does not have to invent a system by which to live. We don't have to talk late into the night about which form of government is better. We don't have to wrest justice from the kings. We only have to summon it from within ourselves. We must act on what we know. I take as my guide the hope of a saint: In crucial things, unity; in important things, diversity; in all things, generosity.</w:t>
      </w:r>
    </w:p>
    <w:p w:rsidR="00A31137" w:rsidRPr="00A31137" w:rsidRDefault="00A31137" w:rsidP="00A31137">
      <w:r w:rsidRPr="00A31137">
        <w:t>Public Papers of Bush, 1989, p.1–p.2</w:t>
      </w:r>
    </w:p>
    <w:p w:rsidR="00A31137" w:rsidRPr="00A31137" w:rsidRDefault="00A31137" w:rsidP="00A31137">
      <w:r w:rsidRPr="00A31137">
        <w:t>America today is a proud, free nation, decent and civil, a place we cannot help but love. We know in our hearts, not loudly and proudly but as a simple fact, that this [p.2] country has meaning beyond what we see, and that our strength is a force for good. But have we changed as a nation even in our time? Are we enthralled with material things, less appreciative of the nobility of work and sacrifice?</w:t>
      </w:r>
    </w:p>
    <w:p w:rsidR="00A31137" w:rsidRPr="00A31137" w:rsidRDefault="00A31137" w:rsidP="00A31137">
      <w:r w:rsidRPr="00A31137">
        <w:t>Public Papers of Bush, 1989, p.2</w:t>
      </w:r>
    </w:p>
    <w:p w:rsidR="00A31137" w:rsidRPr="00A31137" w:rsidRDefault="00A31137" w:rsidP="00A31137">
      <w:r w:rsidRPr="00A31137">
        <w:t>My friends, we are not the sum of our possessions. They are not the measure of our lives. In our hearts we know what matters. We cannot hope only to leave our children a bigger ear, a bigger bank account. We must hope to give them a sense of what it means to be a loyal friend; a loving parent; a citizen who leaves his home, his neighborhood, and town better than he found it. And what do we want the men and women who work with us to say when we're no longer there? That we were more driven to succeed than anyone around us? Or that we stopped to ask if a sick child had gotten better and stayed a moment there to trade a word of friendship?</w:t>
      </w:r>
    </w:p>
    <w:p w:rsidR="00A31137" w:rsidRPr="00A31137" w:rsidRDefault="00A31137" w:rsidP="00A31137">
      <w:r w:rsidRPr="00A31137">
        <w:t>Public Papers of Bush, 1989, p.2</w:t>
      </w:r>
    </w:p>
    <w:p w:rsidR="00A31137" w:rsidRPr="00A31137" w:rsidRDefault="00A31137" w:rsidP="00A31137">
      <w:r w:rsidRPr="00A31137">
        <w:t>No President, no government can teach us to remember what is best in what we are. But if the man you have chosen to lead this government can help make a difference; if he can celebrate the quieter, deeper successes that are made not of gold and silk but of better hearts and finer souls; if he can do these things, then he must.</w:t>
      </w:r>
    </w:p>
    <w:p w:rsidR="00A31137" w:rsidRPr="00A31137" w:rsidRDefault="00A31137" w:rsidP="00A31137">
      <w:r w:rsidRPr="00A31137">
        <w:t>Public Papers of Bush, 1989, p.2</w:t>
      </w:r>
    </w:p>
    <w:p w:rsidR="00A31137" w:rsidRPr="00A31137" w:rsidRDefault="00A31137" w:rsidP="00A31137">
      <w:r w:rsidRPr="00A31137">
        <w:t>America is never wholly herself unless she is engaged in high moral principle. We as a people have such a purpose today. It is to make kinder the face of the Nation and gentler the face of the world. My friends, we have work to do. There are the homeless, lost and roaming. There are the children who have nothing, no love and no normalcy. There are those who cannot free themselves of enslavement to whatever addiction—drugs, welfare, the demoralization that rules the slums. There is crime to be conquered, the rough crime of the streets. There are young women to be helped who are about to become mothers of children they can't care for and might not love. They need our care, our guidance, and our education, though we bless them for choosing life.</w:t>
      </w:r>
    </w:p>
    <w:p w:rsidR="00A31137" w:rsidRPr="00A31137" w:rsidRDefault="00A31137" w:rsidP="00A31137">
      <w:r w:rsidRPr="00A31137">
        <w:t>Public Papers of Bush, 1989, p.2</w:t>
      </w:r>
    </w:p>
    <w:p w:rsidR="00A31137" w:rsidRPr="00A31137" w:rsidRDefault="00A31137" w:rsidP="00A31137">
      <w:r w:rsidRPr="00A31137">
        <w:t>The old solution, the old way, was to think that public money alone could end these problems. But we have learned that that is not so. And in any case, our funds are low. We have a deficit to bring down.</w:t>
      </w:r>
    </w:p>
    <w:p w:rsidR="00A31137" w:rsidRPr="00A31137" w:rsidRDefault="00A31137" w:rsidP="00A31137">
      <w:r w:rsidRPr="00A31137">
        <w:t>Public Papers of Bush, 1989, p.2</w:t>
      </w:r>
    </w:p>
    <w:p w:rsidR="00A31137" w:rsidRPr="00A31137" w:rsidRDefault="00A31137" w:rsidP="00A31137">
      <w:r w:rsidRPr="00A31137">
        <w:t>We have more will than wallet, but will is what we need. We will make the hard choices, looking at what we have and perhaps allocating it differently, making our decisions based on honest need and prudent safety. And then we will do the wisest thing of all. We will turn to the only resource we have that in times of need always grows: the goodness and the courage of the American people.</w:t>
      </w:r>
    </w:p>
    <w:p w:rsidR="00A31137" w:rsidRPr="00A31137" w:rsidRDefault="00A31137" w:rsidP="00A31137">
      <w:r w:rsidRPr="00A31137">
        <w:t>Public Papers of Bush, 1989, p.2</w:t>
      </w:r>
    </w:p>
    <w:p w:rsidR="00A31137" w:rsidRPr="00A31137" w:rsidRDefault="00A31137" w:rsidP="00A31137">
      <w:r w:rsidRPr="00A31137">
        <w:t>And I am speaking of a new engagement in the lives of others, a new activism, hands-on and involved, that gets the job done. We must bring in the generations, harnessing the unused talent of the elderly and the unfocused energy of the young. For not only leadership is passed from generation to generation but so is stewardship. And the generation born after the Second World War has come of age.</w:t>
      </w:r>
    </w:p>
    <w:p w:rsidR="00A31137" w:rsidRPr="00A31137" w:rsidRDefault="00A31137" w:rsidP="00A31137">
      <w:r w:rsidRPr="00A31137">
        <w:t>Public Papers of Bush, 1989, p.2</w:t>
      </w:r>
    </w:p>
    <w:p w:rsidR="00A31137" w:rsidRPr="00A31137" w:rsidRDefault="00A31137" w:rsidP="00A31137">
      <w:r w:rsidRPr="00A31137">
        <w:t>I have spoken of a Thousand Points of Light, of all the community organizations that are spread like stars throughout the Nation, doing good. We will work hand in hand, encouraging, sometimes leading, sometimes being led, rewarding. We will work on this in the White House, in the Cabinet agencies. I will go to the people and the programs that are the brighter points of light, and I'll ask every member of my government to become involved. The old ideas are new again because they're not old, they are timeless: duty, sacrifice, commitment, and a patriotism that finds its expression in taking part and pitching in.</w:t>
      </w:r>
    </w:p>
    <w:p w:rsidR="00A31137" w:rsidRPr="00A31137" w:rsidRDefault="00A31137" w:rsidP="00A31137">
      <w:r w:rsidRPr="00A31137">
        <w:t>Public Papers of Bush, 1989, p.2</w:t>
      </w:r>
    </w:p>
    <w:p w:rsidR="00A31137" w:rsidRPr="00A31137" w:rsidRDefault="00A31137" w:rsidP="00A31137">
      <w:r w:rsidRPr="00A31137">
        <w:t>We need a new engagement, too, between the Executive and the Congress. The challenges before us will be thrashed out with the House and the Senate. And we must bring the Federal budget into balance. And we must ensure that America stands before the world united, strong, at peace, and fiscally sound. But of course things may be difficult. We need to compromise; we've had dissension. We need harmony; we've had a chorus of discordant voices.</w:t>
      </w:r>
    </w:p>
    <w:p w:rsidR="00A31137" w:rsidRPr="00A31137" w:rsidRDefault="00A31137" w:rsidP="00A31137">
      <w:r w:rsidRPr="00A31137">
        <w:t>Public Papers of Bush, 1989, p.2–p.3</w:t>
      </w:r>
    </w:p>
    <w:p w:rsidR="00A31137" w:rsidRPr="00A31137" w:rsidRDefault="00A31137" w:rsidP="00A31137">
      <w:r w:rsidRPr="00A31137">
        <w:t>For Congress, too, has changed in our time. There has grown a certain divisiveness. We have seen the hard looks and heard the statements in which not each other's ideas are challenged but each other's motives. And our great parties have too often been far apart and untrusting of [p.3] each other. It's been this way since Vietnam. That war cleaves us still. But, friends, that war began in earnest a quarter of a century ago, and surely the statute of limitation has been reached. This is a fact: The final lesson of Vietnam is that no great nation can long afford to be sundered by a memory. A new breeze is blowing, and the old bipartisanship must be made new again.</w:t>
      </w:r>
    </w:p>
    <w:p w:rsidR="00A31137" w:rsidRPr="00A31137" w:rsidRDefault="00A31137" w:rsidP="00A31137">
      <w:r w:rsidRPr="00A31137">
        <w:t>Public Papers of Bush, 1989, p.3</w:t>
      </w:r>
    </w:p>
    <w:p w:rsidR="00A31137" w:rsidRPr="00A31137" w:rsidRDefault="00A31137" w:rsidP="00A31137">
      <w:r w:rsidRPr="00A31137">
        <w:t>To my friends, and, yes, I do mean friends—in the loyal opposition and, yes, I mean loyal—I put out my hand. I am putting out my hand to you, Mr. Speaker. I am putting out my hand to you, Mr. Majority Leader. For this is the thing: This is the age of the offered hand. And we can't turn back clocks, and I don't want to. But when our fathers were young, Mr. Speaker, our differences ended at the water's edge. And we don't wish to turn back time, but when our mothers were young, Mr. Majority Leader, the Congress and the Executive were capable of working together to produce a budget on which this nation could live. Let us negotiate soon and hard. But in the end, let us produce. The American people await action. They didn't send us here to bicker. They ask us to rise above the merely partisan. "In crucial things, unity"—and this, my friends, is crucial.</w:t>
      </w:r>
    </w:p>
    <w:p w:rsidR="00A31137" w:rsidRPr="00A31137" w:rsidRDefault="00A31137" w:rsidP="00A31137">
      <w:r w:rsidRPr="00A31137">
        <w:t>Public Papers of Bush, 1989, p.3</w:t>
      </w:r>
    </w:p>
    <w:p w:rsidR="00A31137" w:rsidRPr="00A31137" w:rsidRDefault="00A31137" w:rsidP="00A31137">
      <w:r w:rsidRPr="00A31137">
        <w:t>To the world, too, we offer new engagement and a renewed vow: We will stay strong to protect the peace. The offered hand is a reluctant fist; once made—strong, and can be used with great effect. There are today Americans who are held against their will in foreign lands and Americans who are unaccounted for. Assistance can be shown here and will be long remembered. Good will begets good will. Good faith can be a spiral that endlessly moves on.</w:t>
      </w:r>
    </w:p>
    <w:p w:rsidR="00A31137" w:rsidRPr="00A31137" w:rsidRDefault="00A31137" w:rsidP="00A31137">
      <w:r w:rsidRPr="00A31137">
        <w:t>Public Papers of Bush, 1989, p.3</w:t>
      </w:r>
    </w:p>
    <w:p w:rsidR="00A31137" w:rsidRPr="00A31137" w:rsidRDefault="00A31137" w:rsidP="00A31137">
      <w:r w:rsidRPr="00A31137">
        <w:t>Great nations like great men must keep their word. When America says something, America means it, whether a treaty or an agreement or a vow made on marble steps. We will always try to speak clearly, for candor is a compliment; but subtlety, too, is good and has its place. While keeping our alliances and friendships around the world strong, ever strong, we will continue the new closeness with the Soviet Union, consistent both with our security and with progress. One might say that our new relationship in part reflects the triumph of hope and strength over experience. But hope is good, and so is strength and vigilance.</w:t>
      </w:r>
    </w:p>
    <w:p w:rsidR="00A31137" w:rsidRPr="00A31137" w:rsidRDefault="00A31137" w:rsidP="00A31137">
      <w:r w:rsidRPr="00A31137">
        <w:t>Public Papers of Bush, 1989, p.3</w:t>
      </w:r>
    </w:p>
    <w:p w:rsidR="00A31137" w:rsidRPr="00A31137" w:rsidRDefault="00A31137" w:rsidP="00A31137">
      <w:r w:rsidRPr="00A31137">
        <w:t>Here today are tens of thousands of our citizens who feel the understandable satisfaction of those who have taken part in democracy and seen their hopes fulfilled. But my thoughts have been turning the past few days to those who would be watching at home, to an older fellow who will throw a salute by himself when the flag goes by and the woman who will tell her sons the words of the battle hymns. I don't mean this to be sentimental. I mean that on days like this we remember that we are all part of a continuum, inescapably connected by the ties that bind.</w:t>
      </w:r>
    </w:p>
    <w:p w:rsidR="00A31137" w:rsidRPr="00A31137" w:rsidRDefault="00A31137" w:rsidP="00A31137">
      <w:r w:rsidRPr="00A31137">
        <w:t>Public Papers of Bush, 1989, p.3</w:t>
      </w:r>
    </w:p>
    <w:p w:rsidR="00A31137" w:rsidRPr="00A31137" w:rsidRDefault="00A31137" w:rsidP="00A31137">
      <w:r w:rsidRPr="00A31137">
        <w:t>Our children are watching in schools throughout our great land. And to them I say, Thank you for watching democracy's big day. For democracy belongs to us all, and freedom is like a beautiful kite that can go higher and higher with the breeze. And to all I say, No matter what your circumstances or where you are, you are part of this day, you are part of the life of our great nation.</w:t>
      </w:r>
    </w:p>
    <w:p w:rsidR="00A31137" w:rsidRPr="00A31137" w:rsidRDefault="00A31137" w:rsidP="00A31137">
      <w:r w:rsidRPr="00A31137">
        <w:t>Public Papers of Bush, 1989, p.3</w:t>
      </w:r>
    </w:p>
    <w:p w:rsidR="00A31137" w:rsidRPr="00A31137" w:rsidRDefault="00A31137" w:rsidP="00A31137">
      <w:r w:rsidRPr="00A31137">
        <w:t>A President is neither prince nor pope, and I don't seek a window on men's souls. In fact, I yearn for a greater tolerance, and easygoingness about each other's attitudes and way of life.</w:t>
      </w:r>
    </w:p>
    <w:p w:rsidR="00A31137" w:rsidRPr="00A31137" w:rsidRDefault="00A31137" w:rsidP="00A31137">
      <w:r w:rsidRPr="00A31137">
        <w:t>Public Papers of Bush, 1989, p.3</w:t>
      </w:r>
    </w:p>
    <w:p w:rsidR="00A31137" w:rsidRPr="00A31137" w:rsidRDefault="00A31137" w:rsidP="00A31137">
      <w:r w:rsidRPr="00A31137">
        <w:t>There are few clear areas in which we as a society must rise up united and express our intolerance. The most obvious now is drugs. And when that first cocaine was smuggled in on a ship, it may as well have been a deadly bacteria, so much has it hurt the body, the soul of our country. And there is much to be done and to be said, but take my word for it: This scourge will stop!</w:t>
      </w:r>
    </w:p>
    <w:p w:rsidR="00A31137" w:rsidRPr="00A31137" w:rsidRDefault="00A31137" w:rsidP="00A31137">
      <w:r w:rsidRPr="00A31137">
        <w:t>Public Papers of Bush, 1989, p.3</w:t>
      </w:r>
    </w:p>
    <w:p w:rsidR="00A31137" w:rsidRPr="00A31137" w:rsidRDefault="00A31137" w:rsidP="00A31137">
      <w:r w:rsidRPr="00A31137">
        <w:t>And so, there is much to do. And tomorrow the work begins. And I do not mistrust the future. I do not fear what is ahead. For our problems are large, but our heart is larger. Our challenges are great, but our will is greater. And if our flaws are endless, God's love is truly boundless.</w:t>
      </w:r>
    </w:p>
    <w:p w:rsidR="00A31137" w:rsidRPr="00A31137" w:rsidRDefault="00A31137" w:rsidP="00A31137">
      <w:r w:rsidRPr="00A31137">
        <w:t>Public Papers of Bush, 1989, p.3–p.4</w:t>
      </w:r>
    </w:p>
    <w:p w:rsidR="00A31137" w:rsidRPr="00A31137" w:rsidRDefault="00A31137" w:rsidP="00A31137">
      <w:r w:rsidRPr="00A31137">
        <w:t>Some see leadership as high drama and the sound of trumpets calling, and sometimes it is that. But I see history as a book with many pages, and each day we fill a [p.4] page with acts of hopefulness and meaning. The new breeze blows, a page turns, the story unfolds. And so, today a chapter begins, a small and stately story of unity, diversity, and generosity—shared, and written, together.</w:t>
      </w:r>
    </w:p>
    <w:p w:rsidR="00A31137" w:rsidRPr="00A31137" w:rsidRDefault="00A31137" w:rsidP="00A31137">
      <w:r w:rsidRPr="00A31137">
        <w:t>Public Papers of Bush, 1989, p.4</w:t>
      </w:r>
    </w:p>
    <w:p w:rsidR="00A31137" w:rsidRPr="00A31137" w:rsidRDefault="00A31137" w:rsidP="00A31137">
      <w:r w:rsidRPr="00A31137">
        <w:t>Thank you. God bless you. And God bless the United States of America.</w:t>
      </w:r>
    </w:p>
    <w:p w:rsidR="00A31137" w:rsidRPr="00A31137" w:rsidRDefault="00A31137" w:rsidP="00A31137">
      <w:r w:rsidRPr="00A31137">
        <w:t>Public Papers of Bush, 1989, p.4</w:t>
      </w:r>
    </w:p>
    <w:p w:rsidR="00A31137" w:rsidRPr="00A31137" w:rsidRDefault="00A31137" w:rsidP="00A31137">
      <w:r w:rsidRPr="00A31137">
        <w:t>NOTE: The President spoke at 12:05 p.m. at the West Front of the Capitol. Prior to his address, the oath of office was administered by Chief Justice William H. Rehnquist. The address was broadcast live on radio and television.</w:t>
      </w:r>
    </w:p>
    <w:p w:rsidR="00A31137" w:rsidRPr="00A31137" w:rsidRDefault="00A31137" w:rsidP="00A31137">
      <w:r w:rsidRPr="00A31137">
        <w:t>President Bush's Address on Administration Goals Before a Joint Session of Congress, 1989</w:t>
      </w:r>
    </w:p>
    <w:p w:rsidR="00A31137" w:rsidRPr="00A31137" w:rsidRDefault="00A31137" w:rsidP="00A31137">
      <w:r w:rsidRPr="00A31137">
        <w:t>Title:</w:t>
      </w:r>
      <w:r w:rsidRPr="00A31137">
        <w:tab/>
        <w:t>President Bush's Address on Administration Goals Before a Joint Session of Congress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February 9, 1989</w:t>
      </w:r>
    </w:p>
    <w:p w:rsidR="00A31137" w:rsidRPr="00A31137" w:rsidRDefault="00A31137" w:rsidP="00A31137">
      <w:r w:rsidRPr="00A31137">
        <w:t>Source:</w:t>
      </w:r>
      <w:r w:rsidRPr="00A31137">
        <w:tab/>
        <w:t>Public Papers of the Presidents, Bush, 1989, pp.74-81</w:t>
      </w:r>
    </w:p>
    <w:p w:rsidR="00A31137" w:rsidRPr="00A31137" w:rsidRDefault="00A31137" w:rsidP="00A31137">
      <w:r w:rsidRPr="00A31137">
        <w:t>Public Papers of Bush, 1989, p.74</w:t>
      </w:r>
    </w:p>
    <w:p w:rsidR="00A31137" w:rsidRPr="00A31137" w:rsidRDefault="00A31137" w:rsidP="00A31137">
      <w:r w:rsidRPr="00A31137">
        <w:t>Mr. Speaker, Mr. President, and distinguished Members of the House and Senate, honored guests, and fellow citizens: Less than 3 weeks ago, I joined you on the West Front of this very building and, looking over the monuments to our proud past, offered you my hand in filling the next page of American history with a story of extended prosperity and continued peace. And tonight I'm back to offer you my plans as well. The hand remains extended; the sleeves are rolled up; America is waiting; and now we must produce. Together, we can build a better America.</w:t>
      </w:r>
    </w:p>
    <w:p w:rsidR="00A31137" w:rsidRPr="00A31137" w:rsidRDefault="00A31137" w:rsidP="00A31137">
      <w:r w:rsidRPr="00A31137">
        <w:t>Public Papers of Bush, 1989, p.74</w:t>
      </w:r>
    </w:p>
    <w:p w:rsidR="00A31137" w:rsidRPr="00A31137" w:rsidRDefault="00A31137" w:rsidP="00A31137">
      <w:r w:rsidRPr="00A31137">
        <w:t>It is comforting to return to this historic Chamber. Here, 22 years ago, I first raised my hand to be sworn into public life. So, tonight I feel as if I'm returning home to friends. And I intend, in the months and years to come, to give you what friends deserve: frankness, respect, and my best judgment about ways to improve America's future. In return, I ask for an honest commitment to our common mission of progress. If we seize the opportunities on the road before us, there'll be praise enough for all. The people didn't send us here to bicker, and it's time to govern.</w:t>
      </w:r>
    </w:p>
    <w:p w:rsidR="00A31137" w:rsidRPr="00A31137" w:rsidRDefault="00A31137" w:rsidP="00A31137">
      <w:r w:rsidRPr="00A31137">
        <w:t>Public Papers of Bush, 1989, p.74–p.75</w:t>
      </w:r>
    </w:p>
    <w:p w:rsidR="00A31137" w:rsidRPr="00A31137" w:rsidRDefault="00A31137" w:rsidP="00A31137">
      <w:r w:rsidRPr="00A31137">
        <w:t>And many Presidents have come to this Chamber in times of great crisis: war and depression, loss of national spirit. And 8 years ago, I sat in that very chair as President Reagan spoke of punishing inflation and devastatingly high interest rates and [p.75] people out of work—American confidence on the wane. And our challenge is different. We're fortunate—a much changed landscape lies before us tonight. So, I don't propose to reverse direction. We're headed the right way, but we cannot rest. We're a people whose energy and drive have fueled our rise to greatness. And we're a forward-looking nation—generous, yes, but ambitious, not for ourselves but for the world. Complacency is not in our character—not before, not now, not ever.</w:t>
      </w:r>
    </w:p>
    <w:p w:rsidR="00A31137" w:rsidRPr="00A31137" w:rsidRDefault="00A31137" w:rsidP="00A31137">
      <w:r w:rsidRPr="00A31137">
        <w:t>Public Papers of Bush, 1989, p.75</w:t>
      </w:r>
    </w:p>
    <w:p w:rsidR="00A31137" w:rsidRPr="00A31137" w:rsidRDefault="00A31137" w:rsidP="00A31137">
      <w:r w:rsidRPr="00A31137">
        <w:t>And so, tonight we must take a strong America and make it even better. We must address some very real problems. We must establish some very clear priorities. And we must make a very substantial cut in the Federal budget deficit. Some people find that agenda impossible, but I'm presenting to you tonight a realistic plan for tackling it. My plan has four broad features: attention to urgent priorities, investment in the future, an attack on the deficit, and no new taxes. This budget represents my best judgment of how we can address our priorities. There are many areas in which we would all like to spend more than I propose; I understand that. But we cannot until we get our fiscal house in order.</w:t>
      </w:r>
    </w:p>
    <w:p w:rsidR="00A31137" w:rsidRPr="00A31137" w:rsidRDefault="00A31137" w:rsidP="00A31137">
      <w:r w:rsidRPr="00A31137">
        <w:t>Public Papers of Bush, 1989, p.75</w:t>
      </w:r>
    </w:p>
    <w:p w:rsidR="00A31137" w:rsidRPr="00A31137" w:rsidRDefault="00A31137" w:rsidP="00A31137">
      <w:r w:rsidRPr="00A31137">
        <w:t>Next year alone, thanks to economic growth, without any change in the law, the Federal Government will take in over $80 billion more than it does this year. That's right—over $80 billion in new revenues, with no increases in taxes. And our job is to allocate those new resources wisely. We can afford to increase spending by a modest amount, but enough to invest in key priorities and still cut the deficit by almost 40 percent in 1 year. And that will allow us to meet the targets set forth in the Gramm-Rudman-Hollings law. But to do that, we must recognize that growth above inflation in Federal programs is not preordained, that not all spending initiatives were designed to be immortal.</w:t>
      </w:r>
    </w:p>
    <w:p w:rsidR="00A31137" w:rsidRPr="00A31137" w:rsidRDefault="00A31137" w:rsidP="00A31137">
      <w:r w:rsidRPr="00A31137">
        <w:t>Public Papers of Bush, 1989, p.75</w:t>
      </w:r>
    </w:p>
    <w:p w:rsidR="00A31137" w:rsidRPr="00A31137" w:rsidRDefault="00A31137" w:rsidP="00A31137">
      <w:r w:rsidRPr="00A31137">
        <w:t>I make this pledge tonight: My team and I are ready to work with the Congress, to form a special leadership group, to negotiate in good faith, to work day and night—if that's what it takes—to meet the budget targets and to produce a budget on time.</w:t>
      </w:r>
    </w:p>
    <w:p w:rsidR="00A31137" w:rsidRPr="00A31137" w:rsidRDefault="00A31137" w:rsidP="00A31137">
      <w:r w:rsidRPr="00A31137">
        <w:t>Public Papers of Bush, 1989, p.75</w:t>
      </w:r>
    </w:p>
    <w:p w:rsidR="00A31137" w:rsidRPr="00A31137" w:rsidRDefault="00A31137" w:rsidP="00A31137">
      <w:r w:rsidRPr="00A31137">
        <w:t>We cannot settle for business as usual. Government by continuing resolution, or government by crisis, will not do. And I ask the Congress tonight to approve several measures which will make budgeting more sensible. We could save time and improve efficiency by enacting 2-year budgets. Forty-three Governors have the line-item veto. Presidents should have it, too. And at the very least, when a President proposes to rescind Federal spending, the Congress should be required to vote on that proposal instead of killing it by inaction. And I ask the Congress to honor the public's wishes by passing a constitutional amendment to require a balanced budget. Such an amendment, once phased in, will discipline both the Congress and the executive branch.</w:t>
      </w:r>
    </w:p>
    <w:p w:rsidR="00A31137" w:rsidRPr="00A31137" w:rsidRDefault="00A31137" w:rsidP="00A31137">
      <w:r w:rsidRPr="00A31137">
        <w:t>Public Papers of Bush, 1989, p.75</w:t>
      </w:r>
    </w:p>
    <w:p w:rsidR="00A31137" w:rsidRPr="00A31137" w:rsidRDefault="00A31137" w:rsidP="00A31137">
      <w:r w:rsidRPr="00A31137">
        <w:t>Several principles describe the kind of America I hope to build with your help in the years ahead. We will not have the luxury of taking the easy, spendthrift approach to solving problems because higher spending and higher taxes put economic growth at risk. Economic growth provides jobs and hope. Economic growth enables us to pay for social programs. Economic growth enhances the security of the Nation, and low tax rates create economic growth.</w:t>
      </w:r>
    </w:p>
    <w:p w:rsidR="00A31137" w:rsidRPr="00A31137" w:rsidRDefault="00A31137" w:rsidP="00A31137">
      <w:r w:rsidRPr="00A31137">
        <w:t>Public Papers of Bush, 1989, p.75</w:t>
      </w:r>
    </w:p>
    <w:p w:rsidR="00A31137" w:rsidRPr="00A31137" w:rsidRDefault="00A31137" w:rsidP="00A31137">
      <w:r w:rsidRPr="00A31137">
        <w:t>I believe in giving Americans greater freedom and greater choice. And I will work for choice for American families, whether in the housing in which they live, the schools to which they send their children, or the child care they select for their young. You see, I believe that we have an obligation to those in need, but that government should not be the provider of first resort for things that the private sector can produce better. I believe in a society that is free from discrimination and bigotry of any kind. And I will work to knock down the barriers left by past discrimination and to build a more tolerant society that will stop such barriers from ever being built again.</w:t>
      </w:r>
    </w:p>
    <w:p w:rsidR="00A31137" w:rsidRPr="00A31137" w:rsidRDefault="00A31137" w:rsidP="00A31137">
      <w:r w:rsidRPr="00A31137">
        <w:t>Public Papers of Bush, 1989, p.75</w:t>
      </w:r>
    </w:p>
    <w:p w:rsidR="00A31137" w:rsidRPr="00A31137" w:rsidRDefault="00A31137" w:rsidP="00A31137">
      <w:r w:rsidRPr="00A31137">
        <w:t>I believe that family and faith represent the moral compass of the Nation. And I'll work to make them strong, for as Benjamin Franklin said: "If a sparrow cannot fall to the ground without His notice, can a great nation rise without His aid?" And I believe in giving people the power to make their own lives better through growth and opportunity. And together, let's put power in the hands of people.</w:t>
      </w:r>
    </w:p>
    <w:p w:rsidR="00A31137" w:rsidRPr="00A31137" w:rsidRDefault="00A31137" w:rsidP="00A31137">
      <w:r w:rsidRPr="00A31137">
        <w:t>Public Papers of Bush, 1989, p.76</w:t>
      </w:r>
    </w:p>
    <w:p w:rsidR="00A31137" w:rsidRPr="00A31137" w:rsidRDefault="00A31137" w:rsidP="00A31137">
      <w:r w:rsidRPr="00A31137">
        <w:t>Three weeks ago, we celebrated the bicentennial inaugural, the 200th anniversary of the first Presidency. And if you look back, one thing is so striking about the way the Founding Fathers looked at America. They didn't talk about themselves. They talked about posterity. They talked about the future. And we, too, must think in terms bigger than ourselves. We must take actions today that will ensure a better tomorrow. We must extend American leadership in technology, increase long-term investment, improve our educational system, and boost productivity. These are the keys to building a better future, and here are some of my recommendations:</w:t>
      </w:r>
    </w:p>
    <w:p w:rsidR="00A31137" w:rsidRPr="00A31137" w:rsidRDefault="00A31137" w:rsidP="00A31137">
      <w:r w:rsidRPr="00A31137">
        <w:t>Public Papers of Bush, 1989, p.76</w:t>
      </w:r>
    </w:p>
    <w:p w:rsidR="00A31137" w:rsidRPr="00A31137" w:rsidRDefault="00A31137" w:rsidP="00A31137">
      <w:r w:rsidRPr="00A31137">
        <w:t>I propose almost $2.2 billion for the National Science Foundation to promote basic research and keep us on track to double its budget by 1993.</w:t>
      </w:r>
    </w:p>
    <w:p w:rsidR="00A31137" w:rsidRPr="00A31137" w:rsidRDefault="00A31137" w:rsidP="00A31137">
      <w:r w:rsidRPr="00A31137">
        <w:t>Public Papers of Bush, 1989, p.76</w:t>
      </w:r>
    </w:p>
    <w:p w:rsidR="00A31137" w:rsidRPr="00A31137" w:rsidRDefault="00A31137" w:rsidP="00A31137">
      <w:r w:rsidRPr="00A31137">
        <w:t>I propose to make permanent the tax credit for research and development.</w:t>
      </w:r>
    </w:p>
    <w:p w:rsidR="00A31137" w:rsidRPr="00A31137" w:rsidRDefault="00A31137" w:rsidP="00A31137">
      <w:r w:rsidRPr="00A31137">
        <w:t>Public Papers of Bush, 1989, p.76</w:t>
      </w:r>
    </w:p>
    <w:p w:rsidR="00A31137" w:rsidRPr="00A31137" w:rsidRDefault="00A31137" w:rsidP="00A31137">
      <w:r w:rsidRPr="00A31137">
        <w:t>I've asked Vice President Quayle to chair a new Task Force on Competitiveness.</w:t>
      </w:r>
    </w:p>
    <w:p w:rsidR="00A31137" w:rsidRPr="00A31137" w:rsidRDefault="00A31137" w:rsidP="00A31137">
      <w:r w:rsidRPr="00A31137">
        <w:t>Public Papers of Bush, 1989, p.76</w:t>
      </w:r>
    </w:p>
    <w:p w:rsidR="00A31137" w:rsidRPr="00A31137" w:rsidRDefault="00A31137" w:rsidP="00A31137">
      <w:r w:rsidRPr="00A31137">
        <w:t>And I request funding for NASA [National Aeronautics and Space Administration] and a strong space program, an increase of almost $2.4 billion over the current fiscal year. We must have a manned space station; a vigorous, safe space shuttle program; and more commercial development in space. The space program should always go "full throttle up." And that's not just our ambition; it's our destiny.</w:t>
      </w:r>
    </w:p>
    <w:p w:rsidR="00A31137" w:rsidRPr="00A31137" w:rsidRDefault="00A31137" w:rsidP="00A31137">
      <w:r w:rsidRPr="00A31137">
        <w:t>Public Papers of Bush, 1989, p.76</w:t>
      </w:r>
    </w:p>
    <w:p w:rsidR="00A31137" w:rsidRPr="00A31137" w:rsidRDefault="00A31137" w:rsidP="00A31137">
      <w:r w:rsidRPr="00A31137">
        <w:t>I propose that we cut the maximum tax rate on capital gains to increase long-term investment. History on this is clear—this will increase revenues, help savings, and create new jobs. We won't be competitive if we leave whole sectors of America behind. This is the year we should finally enact urban enterprise zones and bring hope to the inner cities.</w:t>
      </w:r>
    </w:p>
    <w:p w:rsidR="00A31137" w:rsidRPr="00A31137" w:rsidRDefault="00A31137" w:rsidP="00A31137">
      <w:r w:rsidRPr="00A31137">
        <w:t>Public Papers of Bush, 1989, p.76</w:t>
      </w:r>
    </w:p>
    <w:p w:rsidR="00A31137" w:rsidRPr="00A31137" w:rsidRDefault="00A31137" w:rsidP="00A31137">
      <w:r w:rsidRPr="00A31137">
        <w:t>But the most important competitiveness program of all is one which improves education in America. When some of our students actually have trouble locating America on a map of the world, it is time for us to map a new approach to education. We must reward excellence and cut through bureaucracy. We must help schools that need help the most. We must give choice to parents, students, teachers, and principals; and we must hold all concerned accountable. In education, we cannot tolerate mediocrity. I want to cut that dropout rate and make America a more literate nation, because what it really comes down to is this: The longer our graduation lines are today, the shorter our unemployment lines will be tomorrow.</w:t>
      </w:r>
    </w:p>
    <w:p w:rsidR="00A31137" w:rsidRPr="00A31137" w:rsidRDefault="00A31137" w:rsidP="00A31137">
      <w:r w:rsidRPr="00A31137">
        <w:t>Public Papers of Bush, 1989, p.76</w:t>
      </w:r>
    </w:p>
    <w:p w:rsidR="00A31137" w:rsidRPr="00A31137" w:rsidRDefault="00A31137" w:rsidP="00A31137">
      <w:r w:rsidRPr="00A31137">
        <w:t>So, tonight I'm proposing the following initiatives: the beginning of a $500 million program to reward America's best schools, merit schools; the creation of special Presidential awards for the best teachers in every State, because excellence should be rewarded; the establishment of a new program of National Science Scholars, one each year for every Member of the House and Senate, to give this generation of students a special incentive to excel in science and mathematics; the expanded use of magnet schools, which give families and students greater choice; and a new program to encourage alternative certification, which will let talented people from all fields teach in our classrooms. I've said I'd like to be the "Education President." And tonight, I'd ask you to join me by becoming the "Education Congress."</w:t>
      </w:r>
    </w:p>
    <w:p w:rsidR="00A31137" w:rsidRPr="00A31137" w:rsidRDefault="00A31137" w:rsidP="00A31137">
      <w:r w:rsidRPr="00A31137">
        <w:t>Public Papers of Bush, 1989, p.76</w:t>
      </w:r>
    </w:p>
    <w:p w:rsidR="00A31137" w:rsidRPr="00A31137" w:rsidRDefault="00A31137" w:rsidP="00A31137">
      <w:r w:rsidRPr="00A31137">
        <w:t>Just last week, as I settled into this new office, I received a letter from a mother in Pennsylvania who had been struck by my message in the Inaugural Address. "Not 12 hours before," she wrote, "my husband and I received word that our son was addicted to cocaine. He had the world at his feet. Bright, gifted, personable—he could have done anything with his life. And now he has chosen cocaine." "And please," she wrote, "find a way to curb the supply of cocaine. Get tough with the pushers. Our son needs your help."</w:t>
      </w:r>
    </w:p>
    <w:p w:rsidR="00A31137" w:rsidRPr="00A31137" w:rsidRDefault="00A31137" w:rsidP="00A31137">
      <w:r w:rsidRPr="00A31137">
        <w:t>Public Papers of Bush, 1989, p.76–p.77</w:t>
      </w:r>
    </w:p>
    <w:p w:rsidR="00A31137" w:rsidRPr="00A31137" w:rsidRDefault="00A31137" w:rsidP="00A31137">
      <w:r w:rsidRPr="00A31137">
        <w:t>My friends, that voice crying out for help could be the voice of your own neighbor, your own friend, your own son. Over 23 million Americans used illegal drugs last year, at a staggering cost to our nation's well-being. Let this be recorded as the time when America rose up and said no to drugs. The scourge of drugs must be stopped. And I am asking tonight for an increase of almost a billion dollars in budget outlays to escalate the war against drugs. The war must be waged on all fronts. Our new drug czar, Bill Bennett, and I will be shoulder to [p.77] shoulder in the executive branch leading the charge.</w:t>
      </w:r>
    </w:p>
    <w:p w:rsidR="00A31137" w:rsidRPr="00A31137" w:rsidRDefault="00A31137" w:rsidP="00A31137">
      <w:r w:rsidRPr="00A31137">
        <w:t>Public Papers of Bush, 1989, p.77</w:t>
      </w:r>
    </w:p>
    <w:p w:rsidR="00A31137" w:rsidRPr="00A31137" w:rsidRDefault="00A31137" w:rsidP="00A31137">
      <w:r w:rsidRPr="00A31137">
        <w:t>Some money will be used to expand treatment to the poor and to young mothers. This will offer the helping hand to the many innocent victims of drugs, like the thousands of babies born addicted or with AIDS because of the mother's addiction. Some will be used to cut the waiting time for treatment. Some money will be devoted to those urban schools where the emergency is now the worst. And much of it will be used to protect our borders, with help from the Coast Guard and the Customs Service, the Departments of State and Justice, and, yes, the U.S. military.</w:t>
      </w:r>
    </w:p>
    <w:p w:rsidR="00A31137" w:rsidRPr="00A31137" w:rsidRDefault="00A31137" w:rsidP="00A31137">
      <w:r w:rsidRPr="00A31137">
        <w:t>Public Papers of Bush, 1989, p.77</w:t>
      </w:r>
    </w:p>
    <w:p w:rsidR="00A31137" w:rsidRPr="00A31137" w:rsidRDefault="00A31137" w:rsidP="00A31137">
      <w:r w:rsidRPr="00A31137">
        <w:t>I mean to get tough on the drug criminals. And let me be clear: This President will back up those who put their lives on the line every single day—our local police officers. My budget asks for beefed-up prosecution, for a new attack on organized crime, and for enforcement of tough sentences-and for the worst kingpins, that means the death penalty. I also want to make sure that when a drug dealer is convicted there's a cell waiting for him. And he should not go free because prisons are too full. And so, let the word go out: If you're caught and convicted, you will do time.</w:t>
      </w:r>
    </w:p>
    <w:p w:rsidR="00A31137" w:rsidRPr="00A31137" w:rsidRDefault="00A31137" w:rsidP="00A31137">
      <w:r w:rsidRPr="00A31137">
        <w:t>Public Papers of Bush, 1989, p.77</w:t>
      </w:r>
    </w:p>
    <w:p w:rsidR="00A31137" w:rsidRPr="00A31137" w:rsidRDefault="00A31137" w:rsidP="00A31137">
      <w:r w:rsidRPr="00A31137">
        <w:t>But for all we do in law enforcement, in interdiction and treatment, we will never win this war on drugs unless we stop the demand for drugs. So, some of this increase will be used to educate the young about the dangers of drugs. We must involve the parents. We must involve the teachers. We must involve the communities. And, my friends, we must involve ourselves, each and every one of us in this concern.</w:t>
      </w:r>
    </w:p>
    <w:p w:rsidR="00A31137" w:rsidRPr="00A31137" w:rsidRDefault="00A31137" w:rsidP="00A31137">
      <w:r w:rsidRPr="00A31137">
        <w:t>Public Papers of Bush, 1989, p.77</w:t>
      </w:r>
    </w:p>
    <w:p w:rsidR="00A31137" w:rsidRPr="00A31137" w:rsidRDefault="00A31137" w:rsidP="00A31137">
      <w:r w:rsidRPr="00A31137">
        <w:t>One problem related to drug use demands our urgent attention and our continuing compassion, and that is the terrible tragedy of AIDS. I'm asking for $1.6 billion for education to prevent the disease and for research to find a cure.</w:t>
      </w:r>
    </w:p>
    <w:p w:rsidR="00A31137" w:rsidRPr="00A31137" w:rsidRDefault="00A31137" w:rsidP="00A31137">
      <w:r w:rsidRPr="00A31137">
        <w:t>Public Papers of Bush, 1989, p.77</w:t>
      </w:r>
    </w:p>
    <w:p w:rsidR="00A31137" w:rsidRPr="00A31137" w:rsidRDefault="00A31137" w:rsidP="00A31137">
      <w:r w:rsidRPr="00A31137">
        <w:t>If we're to protect our future, we need a new attitude about the environment. We must protect the air we breathe. I will send to you shortly legislation for a new, more effective Clean Air Act. It will include a plan to reduce by date certain the emissions which cause acid rain, because the time for study alone has passed, and the time for action is now. We must make use of clean coal. My budget contains full funding, on schedule, for the clean coal technology agreement that we've made with Canada. We've made that agreement with Canada, and we intend to honor that agreement. We must not neglect our parks. So, I'm asking to fund new acquisitions under the Land and Water Conservation Fund. We must protect our oceans. And I support new penalties against those who would dump medical waste and other trash into our oceans. The age of the needle on the beaches must end.</w:t>
      </w:r>
    </w:p>
    <w:p w:rsidR="00A31137" w:rsidRPr="00A31137" w:rsidRDefault="00A31137" w:rsidP="00A31137">
      <w:r w:rsidRPr="00A31137">
        <w:t>Public Papers of Bush, 1989, p.77</w:t>
      </w:r>
    </w:p>
    <w:p w:rsidR="00A31137" w:rsidRPr="00A31137" w:rsidRDefault="00A31137" w:rsidP="00A31137">
      <w:r w:rsidRPr="00A31137">
        <w:t>And in some cases, the gulfs and oceans off our shores hold the promise of oil and gas reserves which can make our nation more secure and less dependent on foreign oil. And when those with the most promise can be tapped safely, as with much of the Alaska National Wildlife Refuge, we should proceed. But we must use caution; we must respect the environment. And so, tonight I'm calling for the indefinite postponement of three lease sales which have raised troubling questions, two off the coast of California and one which could threaten the Everglades in Florida. Action on these three lease sales will await the conclusion of a special task force set up to measure the potential for environmental damage.</w:t>
      </w:r>
    </w:p>
    <w:p w:rsidR="00A31137" w:rsidRPr="00A31137" w:rsidRDefault="00A31137" w:rsidP="00A31137">
      <w:r w:rsidRPr="00A31137">
        <w:t>Public Papers of Bush, 1989, p.77</w:t>
      </w:r>
    </w:p>
    <w:p w:rsidR="00A31137" w:rsidRPr="00A31137" w:rsidRDefault="00A31137" w:rsidP="00A31137">
      <w:r w:rsidRPr="00A31137">
        <w:t>I'm directing the Attorney General and the Administrator of the Environmental Protection Agency to use every tool at their disposal to speed and toughen the enforcement of our laws against toxic-waste dumpers. I want faster cleanups and tougher enforcement of penalties against polluters.</w:t>
      </w:r>
    </w:p>
    <w:p w:rsidR="00A31137" w:rsidRPr="00A31137" w:rsidRDefault="00A31137" w:rsidP="00A31137">
      <w:r w:rsidRPr="00A31137">
        <w:t>Public Papers of Bush, 1989, p.77–p.78</w:t>
      </w:r>
    </w:p>
    <w:p w:rsidR="00A31137" w:rsidRPr="00A31137" w:rsidRDefault="00A31137" w:rsidP="00A31137">
      <w:r w:rsidRPr="00A31137">
        <w:t>In addition to caring for our future, we must care for those around us. A decent society shows compassion for the young, the elderly, the vulnerable, and the poor. Our first obligation is to the most vulnerable-infants, poor mothers, children living in poverty—and my proposed budget recognizes this. I ask for full funding of Medicaid, an increase of over $3 billion, and an expansion of the program to include coverage of pregnant women who are near the poverty line. I believe we should help working families cope with the burden of child care. Our help should be aimed at those who need it most: low-income families with young children. [p.78] I support a new child care tax credit that will aim our efforts at exactly those families, without discriminating against mothers who choose to stay at home.</w:t>
      </w:r>
    </w:p>
    <w:p w:rsidR="00A31137" w:rsidRPr="00A31137" w:rsidRDefault="00A31137" w:rsidP="00A31137">
      <w:r w:rsidRPr="00A31137">
        <w:t>Public Papers of Bush, 1989, p.78</w:t>
      </w:r>
    </w:p>
    <w:p w:rsidR="00A31137" w:rsidRPr="00A31137" w:rsidRDefault="00A31137" w:rsidP="00A31137">
      <w:r w:rsidRPr="00A31137">
        <w:t>Now, I know there are competing proposals. But remember this: The overwhelming majority of all preschool child care is now provided by relatives and neighbors and churches and community groups. Families who choose these options should remain eligible for help. Parents should have choice. And for those children who are unwanted or abused or whose parents are deceased, we should encourage adoption. I propose to reenact the tax deduction for adoption expenses and to double it to $3,000. Let's make it easier for these kids to have parents who love them.</w:t>
      </w:r>
    </w:p>
    <w:p w:rsidR="00A31137" w:rsidRPr="00A31137" w:rsidRDefault="00A31137" w:rsidP="00A31137">
      <w:r w:rsidRPr="00A31137">
        <w:t>Public Papers of Bush, 1989, p.78</w:t>
      </w:r>
    </w:p>
    <w:p w:rsidR="00A31137" w:rsidRPr="00A31137" w:rsidRDefault="00A31137" w:rsidP="00A31137">
      <w:r w:rsidRPr="00A31137">
        <w:t>We have a moral contract with our senior citizens. And in this budget, Social Security is fully funded, including a full cost-of-living adjustment. We must honor our contract.</w:t>
      </w:r>
    </w:p>
    <w:p w:rsidR="00A31137" w:rsidRPr="00A31137" w:rsidRDefault="00A31137" w:rsidP="00A31137">
      <w:r w:rsidRPr="00A31137">
        <w:t>Public Papers of Bush, 1989, p.78</w:t>
      </w:r>
    </w:p>
    <w:p w:rsidR="00A31137" w:rsidRPr="00A31137" w:rsidRDefault="00A31137" w:rsidP="00A31137">
      <w:r w:rsidRPr="00A31137">
        <w:t>We must care about those in the shadow of life, and I, like many Americans, am deeply troubled by the plight of the homeless. The causes of homelessness are many; the history is long. But the moral imperative to act is clear. Thanks to the deep well of generosity in this great land, many organizations already contribute, but we in government cannot stand on the sidelines. In my budget, I ask for greater support for emergency food and shelter, for health services and measures to prevent substance abuse, and for clinics for the mentally ill. And I propose a new initiative involving the full range of government agencies. We must confront this national shame.</w:t>
      </w:r>
    </w:p>
    <w:p w:rsidR="00A31137" w:rsidRPr="00A31137" w:rsidRDefault="00A31137" w:rsidP="00A31137">
      <w:r w:rsidRPr="00A31137">
        <w:t>Public Papers of Bush, 1989, p.78</w:t>
      </w:r>
    </w:p>
    <w:p w:rsidR="00A31137" w:rsidRPr="00A31137" w:rsidRDefault="00A31137" w:rsidP="00A31137">
      <w:r w:rsidRPr="00A31137">
        <w:t>There's another issue that I've decided to mention here tonight. I've long believed that the people of Puerto Rico should have the right to determine their own political future. Personally, I strongly favor statehood. But I urge the Congress to take the necessary steps to allow the people to decide in a referendum.</w:t>
      </w:r>
    </w:p>
    <w:p w:rsidR="00A31137" w:rsidRPr="00A31137" w:rsidRDefault="00A31137" w:rsidP="00A31137">
      <w:r w:rsidRPr="00A31137">
        <w:t>Public Papers of Bush, 1989, p.78</w:t>
      </w:r>
    </w:p>
    <w:p w:rsidR="00A31137" w:rsidRPr="00A31137" w:rsidRDefault="00A31137" w:rsidP="00A31137">
      <w:r w:rsidRPr="00A31137">
        <w:t>Certain problems, the result of decades of unwise practices, threaten the health and security of our people. Left unattended, they will only get worse. But we can act now to put them behind us.</w:t>
      </w:r>
    </w:p>
    <w:p w:rsidR="00A31137" w:rsidRPr="00A31137" w:rsidRDefault="00A31137" w:rsidP="00A31137">
      <w:r w:rsidRPr="00A31137">
        <w:t>Public Papers of Bush, 1989, p.78</w:t>
      </w:r>
    </w:p>
    <w:p w:rsidR="00A31137" w:rsidRPr="00A31137" w:rsidRDefault="00A31137" w:rsidP="00A31137">
      <w:r w:rsidRPr="00A31137">
        <w:t>Earlier this week, I announced my support for a plan to restore the financial and moral integrity of our savings system. I ask Congress to enact our reform proposals within 45 days. We must not let this situation fester. We owe it to the savers in this country to solve this problem. Certainly, the savings of Americans must remain secure. Let me he clear: Insured depositors will continue to be fully protected, but any plan to refinance the system must be accompanied by major reform. Our proposals will prevent such a crisis from recurring. The best answer is to make sure that a mess like this will never happen again. The majority of thrifts in communities across the Nation have been honest. They've played a major role in helping families achieve the dream of home ownership. But make no mistake, those who are corrupt, those who break the law, must be kicked out of the business; and they should go to jail.</w:t>
      </w:r>
    </w:p>
    <w:p w:rsidR="00A31137" w:rsidRPr="00A31137" w:rsidRDefault="00A31137" w:rsidP="00A31137">
      <w:r w:rsidRPr="00A31137">
        <w:t>Public Papers of Bush, 1989, p.78</w:t>
      </w:r>
    </w:p>
    <w:p w:rsidR="00A31137" w:rsidRPr="00A31137" w:rsidRDefault="00A31137" w:rsidP="00A31137">
      <w:r w:rsidRPr="00A31137">
        <w:t>We face a massive task in cleaning up the waste left from decades of environmental neglect at America's nuclear weapons plants. Clearly, we must modernize these plants and operate them safely. That's not at issue; our national security depends on it. But beyond that, we must clean up the old mess that's been left behind. And I propose in this budget to more than double our current effort to do so. This will allow us to identify the exact nature of the various problems so we can clean them up, and clean them up we will.</w:t>
      </w:r>
    </w:p>
    <w:p w:rsidR="00A31137" w:rsidRPr="00A31137" w:rsidRDefault="00A31137" w:rsidP="00A31137">
      <w:r w:rsidRPr="00A31137">
        <w:t>Public Papers of Bush, 1989, p.78</w:t>
      </w:r>
    </w:p>
    <w:p w:rsidR="00A31137" w:rsidRPr="00A31137" w:rsidRDefault="00A31137" w:rsidP="00A31137">
      <w:r w:rsidRPr="00A31137">
        <w:t>We've been fortunate during these past 8 years. America is a stronger nation than it was in 1980. Morale in our Armed Forces has been restored; our resolve has been shown. Our readiness has been improved, and we are at peace. There can no longer be any doubt that peace has been made more secure through strength. And when America is stronger, the world is safer.</w:t>
      </w:r>
    </w:p>
    <w:p w:rsidR="00A31137" w:rsidRPr="00A31137" w:rsidRDefault="00A31137" w:rsidP="00A31137">
      <w:r w:rsidRPr="00A31137">
        <w:t>Public Papers of Bush, 1989, p.78–p.79</w:t>
      </w:r>
    </w:p>
    <w:p w:rsidR="00A31137" w:rsidRPr="00A31137" w:rsidRDefault="00A31137" w:rsidP="00A31137">
      <w:r w:rsidRPr="00A31137">
        <w:t>Most people don't realize that after the successful restoration of our strength, the Pentagon budget has actually been reduced in real terms for each of the last 4 years. We cannot tolerate continued real reduction in defense. In light of the compelling need to reduce the deficit, however, I support a 1-year freeze in the military budget, something I proposed last fall in my flexible freeze plan. And this freeze will apply for only 1 year, and after that, increases above inflation will he required. I will not sacrifice [p.79] American preparedness, and I will not compromise American strength.</w:t>
      </w:r>
    </w:p>
    <w:p w:rsidR="00A31137" w:rsidRPr="00A31137" w:rsidRDefault="00A31137" w:rsidP="00A31137">
      <w:r w:rsidRPr="00A31137">
        <w:t>Public Papers of Bush, 1989, p.79</w:t>
      </w:r>
    </w:p>
    <w:p w:rsidR="00A31137" w:rsidRPr="00A31137" w:rsidRDefault="00A31137" w:rsidP="00A31137">
      <w:r w:rsidRPr="00A31137">
        <w:t>I should be clear on the conditions attached to my recommendation for the coming year: The savings must be allocated to those priorities for investing in our future that I've spoken about tonight. This defense freeze must be a part of a comprehensive budget agreement which meets the targets spelled out in Gramm-Rudman-Hollings law without raising taxes and which incorporates reforms in the budget process.</w:t>
      </w:r>
    </w:p>
    <w:p w:rsidR="00A31137" w:rsidRPr="00A31137" w:rsidRDefault="00A31137" w:rsidP="00A31137">
      <w:r w:rsidRPr="00A31137">
        <w:t>Public Papers of Bush, 1989, p.79</w:t>
      </w:r>
    </w:p>
    <w:p w:rsidR="00A31137" w:rsidRPr="00A31137" w:rsidRDefault="00A31137" w:rsidP="00A31137">
      <w:r w:rsidRPr="00A31137">
        <w:t>I've directed the National Security Council to review our national security and defense policies and report back to me within 90 days to ensure that our capabilities and resources meet our commitments and strategies. I'm also charging the Department of Defense with the task of developing a plan to improve the defense procurement process and management of the Pentagon, one which will fully implement the Packard commission report. Many of these changes can only be made with the participation of the Congress, and so, I ask for your help. We need fewer regulations. We need less bureaucracy. We need multiyear procurement and 2-year budgeting. And frankly-and don't take this wrong—we need less congressional micromanagement of our nation's military policy. I detect a slight division on that question, but nevertheless—[laughter].</w:t>
      </w:r>
    </w:p>
    <w:p w:rsidR="00A31137" w:rsidRPr="00A31137" w:rsidRDefault="00A31137" w:rsidP="00A31137">
      <w:r w:rsidRPr="00A31137">
        <w:t>Public Papers of Bush, 1989, p.79</w:t>
      </w:r>
    </w:p>
    <w:p w:rsidR="00A31137" w:rsidRPr="00A31137" w:rsidRDefault="00A31137" w:rsidP="00A31137">
      <w:r w:rsidRPr="00A31137">
        <w:t>Securing a more peaceful world is perhaps the most important priority I'd like to address tonight. You know, we meet at a time of extraordinary hope. Never before in this century have our values of freedom, democracy, and economic opportunity been such a powerful and intellectual force around the globe. Never before has our leadership been so crucial, because while America has its eyes on the future, the world has its eyes on America.</w:t>
      </w:r>
    </w:p>
    <w:p w:rsidR="00A31137" w:rsidRPr="00A31137" w:rsidRDefault="00A31137" w:rsidP="00A31137">
      <w:r w:rsidRPr="00A31137">
        <w:t>Public Papers of Bush, 1989, p.79</w:t>
      </w:r>
    </w:p>
    <w:p w:rsidR="00A31137" w:rsidRPr="00A31137" w:rsidRDefault="00A31137" w:rsidP="00A31137">
      <w:r w:rsidRPr="00A31137">
        <w:t>And it's a time of great change in the world, and especially in the Soviet Union. Prudence and common sense dictate that we try to understand the full meaning of the change going on there, review our policies, and then proceed with caution. But I've personally assured General Secretary Gorbachev that at the conclusion of such a review we will be ready to move forward. We will not miss any opportunity to work for peace. The fundamental facts remain that the Soviets retain a very powerful military machine in the service of objectives which are still too often in conflict with ours. So, let us take the new openness seriously, but let's also be realistic. And let's always be strong.</w:t>
      </w:r>
    </w:p>
    <w:p w:rsidR="00A31137" w:rsidRPr="00A31137" w:rsidRDefault="00A31137" w:rsidP="00A31137">
      <w:r w:rsidRPr="00A31137">
        <w:t>Public Papers of Bush, 1989, p.79</w:t>
      </w:r>
    </w:p>
    <w:p w:rsidR="00A31137" w:rsidRPr="00A31137" w:rsidRDefault="00A31137" w:rsidP="00A31137">
      <w:r w:rsidRPr="00A31137">
        <w:t>There are some pressing issues we must address. I will vigorously pursue the Strategic Defense Initiative. The spread, and even use, of sophisticated weaponry threatens global security as never before. Chemical weapons must be banned from the face of the Earth, never to be used again. And look, this won't be easy. Verification—extraordinarily difficult, but civilization and human decency demand that we try. And the spread of nuclear weapons must be stopped. And I'll work to strengthen the hand of the International Atomic Energy Agency. Our diplomacy must work every day against the proliferation of nuclear weapons.</w:t>
      </w:r>
    </w:p>
    <w:p w:rsidR="00A31137" w:rsidRPr="00A31137" w:rsidRDefault="00A31137" w:rsidP="00A31137">
      <w:r w:rsidRPr="00A31137">
        <w:t>Public Papers of Bush, 1989, p.79</w:t>
      </w:r>
    </w:p>
    <w:p w:rsidR="00A31137" w:rsidRPr="00A31137" w:rsidRDefault="00A31137" w:rsidP="00A31137">
      <w:r w:rsidRPr="00A31137">
        <w:t>And around the globe, we must continue to be freedom's best friend. And we must stand firm for self-determination and democracy in Central America, including in Nicaragua. It is my strongly held conviction that when people are given the chance they inevitably will choose a free press, freedom of worship, and certifiably free and fair elections.</w:t>
      </w:r>
    </w:p>
    <w:p w:rsidR="00A31137" w:rsidRPr="00A31137" w:rsidRDefault="00A31137" w:rsidP="00A31137">
      <w:r w:rsidRPr="00A31137">
        <w:t>Public Papers of Bush, 1989, p.79</w:t>
      </w:r>
    </w:p>
    <w:p w:rsidR="00A31137" w:rsidRPr="00A31137" w:rsidRDefault="00A31137" w:rsidP="00A31137">
      <w:r w:rsidRPr="00A31137">
        <w:t>We must strengthen the alliance of the industrial democracies, as solid a force for peace as the world has ever known. And this is an alliance forged by the power of our ideals, not the pettiness of our differences. So, let's lift our sights to rise above fighting about beef hormones, to building a better future, to move from protectionism to progress.</w:t>
      </w:r>
    </w:p>
    <w:p w:rsidR="00A31137" w:rsidRPr="00A31137" w:rsidRDefault="00A31137" w:rsidP="00A31137">
      <w:r w:rsidRPr="00A31137">
        <w:t>Public Papers of Bush, 1989, p.79</w:t>
      </w:r>
    </w:p>
    <w:p w:rsidR="00A31137" w:rsidRPr="00A31137" w:rsidRDefault="00A31137" w:rsidP="00A31137">
      <w:r w:rsidRPr="00A31137">
        <w:t>I've asked the Secretary of State to visit Europe next week and to consult with our allies on the wide range of challenges and opportunities we face together, including East-West relations. And I look forward to meeting with our NATO partners in the near future.</w:t>
      </w:r>
    </w:p>
    <w:p w:rsidR="00A31137" w:rsidRPr="00A31137" w:rsidRDefault="00A31137" w:rsidP="00A31137">
      <w:r w:rsidRPr="00A31137">
        <w:t>Public Papers of Bush, 1989, p.79–p.80</w:t>
      </w:r>
    </w:p>
    <w:p w:rsidR="00A31137" w:rsidRPr="00A31137" w:rsidRDefault="00A31137" w:rsidP="00A31137">
      <w:r w:rsidRPr="00A31137">
        <w:t>And I, too, shall begin a trip shortly to the far reaches of the Pacific Basin, where the winds of democracy are creating new hope and the power of free markets is unleashing a new force. When I served as our [p.80] representative in China 14 or 15 years ago, few would have predicted the scope of the changes we've witnessed since then. But in preparing for this trip, I was struck by something I came across from a Chinese writer. He was speaking of his country, decades ago, but his words speak to each of us in America tonight. "Today," he said, "we're afraid of the simple words like 'goodness' and 'mercy' and 'kindness.'" My friends, if we're to succeed as a nation, we must rediscover those words.</w:t>
      </w:r>
    </w:p>
    <w:p w:rsidR="00A31137" w:rsidRPr="00A31137" w:rsidRDefault="00A31137" w:rsidP="00A31137">
      <w:r w:rsidRPr="00A31137">
        <w:t>Public Papers of Bush, 1989, p.80</w:t>
      </w:r>
    </w:p>
    <w:p w:rsidR="00A31137" w:rsidRPr="00A31137" w:rsidRDefault="00A31137" w:rsidP="00A31137">
      <w:r w:rsidRPr="00A31137">
        <w:t>In just 3 days, we mark the birthday of Abraham Lincoln, the man who saved our Union and gave new meaning to the word "opportunity." Lincoln once said: "I hold that while man exists, it is his duty to improve not only his own condition but to assist in ameliorating that of mankind." It is this broader mission to which I call all Americans, because the definition of a successful life must include serving others.</w:t>
      </w:r>
    </w:p>
    <w:p w:rsidR="00A31137" w:rsidRPr="00A31137" w:rsidRDefault="00A31137" w:rsidP="00A31137">
      <w:r w:rsidRPr="00A31137">
        <w:t>Public Papers of Bush, 1989, p.80</w:t>
      </w:r>
    </w:p>
    <w:p w:rsidR="00A31137" w:rsidRPr="00A31137" w:rsidRDefault="00A31137" w:rsidP="00A31137">
      <w:r w:rsidRPr="00A31137">
        <w:t>And to the young people of America, who sometimes feel left out, I ask you tonight to give us the benefit of your talent and energy through a new program called YES, for Youth Entering Service to America.</w:t>
      </w:r>
    </w:p>
    <w:p w:rsidR="00A31137" w:rsidRPr="00A31137" w:rsidRDefault="00A31137" w:rsidP="00A31137">
      <w:r w:rsidRPr="00A31137">
        <w:t>Public Papers of Bush, 1989, p.80</w:t>
      </w:r>
    </w:p>
    <w:p w:rsidR="00A31137" w:rsidRPr="00A31137" w:rsidRDefault="00A31137" w:rsidP="00A31137">
      <w:r w:rsidRPr="00A31137">
        <w:t>To those men and women in business, remember the ultimate end of your work: to make a better product, to create better lives. I ask you to plan for the longer term and avoid that temptation of quick and easy paper profits.</w:t>
      </w:r>
    </w:p>
    <w:p w:rsidR="00A31137" w:rsidRPr="00A31137" w:rsidRDefault="00A31137" w:rsidP="00A31137">
      <w:r w:rsidRPr="00A31137">
        <w:t>Public Papers of Bush, 1989, p.80</w:t>
      </w:r>
    </w:p>
    <w:p w:rsidR="00A31137" w:rsidRPr="00A31137" w:rsidRDefault="00A31137" w:rsidP="00A31137">
      <w:r w:rsidRPr="00A31137">
        <w:t>To the brave men and women who wear the uniform of the United States of America, thank you. Your calling is a high one: to be the defenders of freedom and the guarantors of liberty. And I want you to know that this nation is grateful for your service.</w:t>
      </w:r>
    </w:p>
    <w:p w:rsidR="00A31137" w:rsidRPr="00A31137" w:rsidRDefault="00A31137" w:rsidP="00A31137">
      <w:r w:rsidRPr="00A31137">
        <w:t>Public Papers of Bush, 1989, p.80</w:t>
      </w:r>
    </w:p>
    <w:p w:rsidR="00A31137" w:rsidRPr="00A31137" w:rsidRDefault="00A31137" w:rsidP="00A31137">
      <w:r w:rsidRPr="00A31137">
        <w:t>To the farmers of America, we appreciate the bounty you provide. We will work with you to open foreign markets to American agricultural products.</w:t>
      </w:r>
    </w:p>
    <w:p w:rsidR="00A31137" w:rsidRPr="00A31137" w:rsidRDefault="00A31137" w:rsidP="00A31137">
      <w:r w:rsidRPr="00A31137">
        <w:t>Public Papers of Bush, 1989, p.80</w:t>
      </w:r>
    </w:p>
    <w:p w:rsidR="00A31137" w:rsidRPr="00A31137" w:rsidRDefault="00A31137" w:rsidP="00A31137">
      <w:r w:rsidRPr="00A31137">
        <w:t>And to the parents of America, I ask you to get involved in your child's schooling. Check on the homework, go to the school, meet the teachers, care about what is happening there. It's not only your child's future on the line, it's America's.</w:t>
      </w:r>
    </w:p>
    <w:p w:rsidR="00A31137" w:rsidRPr="00A31137" w:rsidRDefault="00A31137" w:rsidP="00A31137">
      <w:r w:rsidRPr="00A31137">
        <w:t>Public Papers of Bush, 1989, p.80</w:t>
      </w:r>
    </w:p>
    <w:p w:rsidR="00A31137" w:rsidRPr="00A31137" w:rsidRDefault="00A31137" w:rsidP="00A31137">
      <w:r w:rsidRPr="00A31137">
        <w:t>To kids in our cities, don't give up hope. Say no to drugs; stay in school. And, yes, "Keep hope alive."</w:t>
      </w:r>
    </w:p>
    <w:p w:rsidR="00A31137" w:rsidRPr="00A31137" w:rsidRDefault="00A31137" w:rsidP="00A31137">
      <w:r w:rsidRPr="00A31137">
        <w:t>Public Papers of Bush, 1989, p.80</w:t>
      </w:r>
    </w:p>
    <w:p w:rsidR="00A31137" w:rsidRPr="00A31137" w:rsidRDefault="00A31137" w:rsidP="00A31137">
      <w:r w:rsidRPr="00A31137">
        <w:t>To those 37 million Americans with some form of disability, you belong in the economic mainstream. We need your talents in America's work force. Disabled Americans must become full partners in America's opportunity society.</w:t>
      </w:r>
    </w:p>
    <w:p w:rsidR="00A31137" w:rsidRPr="00A31137" w:rsidRDefault="00A31137" w:rsidP="00A31137">
      <w:r w:rsidRPr="00A31137">
        <w:t>Public Papers of Bush, 1989, p.80</w:t>
      </w:r>
    </w:p>
    <w:p w:rsidR="00A31137" w:rsidRPr="00A31137" w:rsidRDefault="00A31137" w:rsidP="00A31137">
      <w:r w:rsidRPr="00A31137">
        <w:t>To the families of America watching tonight in your living rooms, hold fast to your dreams because ultimately America's future rests in your hands.</w:t>
      </w:r>
    </w:p>
    <w:p w:rsidR="00A31137" w:rsidRPr="00A31137" w:rsidRDefault="00A31137" w:rsidP="00A31137">
      <w:r w:rsidRPr="00A31137">
        <w:t>Public Papers of Bush, 1989, p.80</w:t>
      </w:r>
    </w:p>
    <w:p w:rsidR="00A31137" w:rsidRPr="00A31137" w:rsidRDefault="00A31137" w:rsidP="00A31137">
      <w:r w:rsidRPr="00A31137">
        <w:t>And to my friends in this Chamber, I ask your cooperation to keep America growing while cutting the deficit. That's only fair to those who now have no vote: the generations to come. Let them look back and say that we had the foresight to understand that a time of peace and prosperity is not the time to rest but a time to press forward, a time to invest in the future.</w:t>
      </w:r>
    </w:p>
    <w:p w:rsidR="00A31137" w:rsidRPr="00A31137" w:rsidRDefault="00A31137" w:rsidP="00A31137">
      <w:r w:rsidRPr="00A31137">
        <w:t>Public Papers of Bush, 1989, p.80</w:t>
      </w:r>
    </w:p>
    <w:p w:rsidR="00A31137" w:rsidRPr="00A31137" w:rsidRDefault="00A31137" w:rsidP="00A31137">
      <w:r w:rsidRPr="00A31137">
        <w:t>And let all Americans remember that no problem of human making is too great to be overcome by human ingenuity, human energy, and the untiring hope of the human spirit. I believe this. I would not have asked to be your President if I didn't. And tomorrow the debate on the plan I've put forward begins, and I ask the Congress to come forward with your own proposals. Let's not question each other's motives. Let's debate, let's negotiate; but let us solve the problem.</w:t>
      </w:r>
    </w:p>
    <w:p w:rsidR="00A31137" w:rsidRPr="00A31137" w:rsidRDefault="00A31137" w:rsidP="00A31137">
      <w:r w:rsidRPr="00A31137">
        <w:t>Public Papers of Bush, 1989, p.80</w:t>
      </w:r>
    </w:p>
    <w:p w:rsidR="00A31137" w:rsidRPr="00A31137" w:rsidRDefault="00A31137" w:rsidP="00A31137">
      <w:r w:rsidRPr="00A31137">
        <w:t>Recalling anniversaries may not be my specialty in speeches—[laughter]—but tonight is one of some note. On February 9th, 1941, just 48 years ago tonight, Sir Winston Churchill took to the airwaves during Britain's hour of peril. He'd received from President Roosevelt a hand-carried ,letter quoting Longfellow's famous poem: "Sail on, O Ship of State! Sail on, O Union, strong and great! Humanity with all its fears, With all the hopes of future years, Is hanging breathless on thy fate!" And Churchill responded on this night by radio broadcast to a nation at war, but he directed his words to Franklin Roosevelt. "We shall not fail or falter," he said. "We shall not weaken or tire. Give us the tools, and we will finish the job."</w:t>
      </w:r>
    </w:p>
    <w:p w:rsidR="00A31137" w:rsidRPr="00A31137" w:rsidRDefault="00A31137" w:rsidP="00A31137">
      <w:r w:rsidRPr="00A31137">
        <w:t>Public Papers of Bush, 1989, p.80–p.81</w:t>
      </w:r>
    </w:p>
    <w:p w:rsidR="00A31137" w:rsidRPr="00A31137" w:rsidRDefault="00A31137" w:rsidP="00A31137">
      <w:r w:rsidRPr="00A31137">
        <w:t>Tonight, almost half a century later, our peril may be less immediate, but the need for perseverance and clear-sighted fortitude is just as great. Now, as then, there are those who say it can't be done. There are voices who say that America's best days [p.81] have passed, that we're bound by constraints, threatened by problems, surrounded by troubles which limit our ability to hope. Well, tonight I remain full of hope. We Americans have only begun on our mission of goodness and greatness. And to those timid souls, I repeat the plea: "Give us the tools, and we will do the job."</w:t>
      </w:r>
    </w:p>
    <w:p w:rsidR="00A31137" w:rsidRPr="00A31137" w:rsidRDefault="00A31137" w:rsidP="00A31137">
      <w:r w:rsidRPr="00A31137">
        <w:t>Public Papers of Bush, 1989, p.81</w:t>
      </w:r>
    </w:p>
    <w:p w:rsidR="00A31137" w:rsidRPr="00A31137" w:rsidRDefault="00A31137" w:rsidP="00A31137">
      <w:r w:rsidRPr="00A31137">
        <w:t>Thank you. God bless you, and God bless America.</w:t>
      </w:r>
    </w:p>
    <w:p w:rsidR="00A31137" w:rsidRPr="00A31137" w:rsidRDefault="00A31137" w:rsidP="00A31137">
      <w:r w:rsidRPr="00A31137">
        <w:t>Public Papers of Bush, 1989, p.81</w:t>
      </w:r>
    </w:p>
    <w:p w:rsidR="00A31137" w:rsidRPr="00A31137" w:rsidRDefault="00A31137" w:rsidP="00A31137">
      <w:r w:rsidRPr="00A31137">
        <w:t>NOTE: The President spoke at 9:07 p.m. in the House Chamber of the Capitol. The address was broadcast live on nationwide radio and television.</w:t>
      </w:r>
    </w:p>
    <w:p w:rsidR="00A31137" w:rsidRPr="00A31137" w:rsidRDefault="00A31137" w:rsidP="00A31137">
      <w:r w:rsidRPr="00A31137">
        <w:t>President Bush's White House Fact Sheet on Combating Violent Crime, 1989</w:t>
      </w:r>
    </w:p>
    <w:p w:rsidR="00A31137" w:rsidRPr="00A31137" w:rsidRDefault="00A31137" w:rsidP="00A31137">
      <w:r w:rsidRPr="00A31137">
        <w:t>Title:</w:t>
      </w:r>
      <w:r w:rsidRPr="00A31137">
        <w:tab/>
        <w:t>President Bush's White House Fact Sheet on Combating Violent Crime</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May 15, 1989</w:t>
      </w:r>
    </w:p>
    <w:p w:rsidR="00A31137" w:rsidRPr="00A31137" w:rsidRDefault="00A31137" w:rsidP="00A31137">
      <w:r w:rsidRPr="00A31137">
        <w:t>Source:</w:t>
      </w:r>
      <w:r w:rsidRPr="00A31137">
        <w:tab/>
        <w:t>Public Papers of the Presidents, Bush, 1989, pp.560-565</w:t>
      </w:r>
    </w:p>
    <w:p w:rsidR="00A31137" w:rsidRPr="00A31137" w:rsidRDefault="00A31137" w:rsidP="00A31137">
      <w:r w:rsidRPr="00A31137">
        <w:t>Public Papers of Bush, 1989, p.560</w:t>
      </w:r>
    </w:p>
    <w:p w:rsidR="00A31137" w:rsidRPr="00A31137" w:rsidRDefault="00A31137" w:rsidP="00A31137">
      <w:r w:rsidRPr="00A31137">
        <w:t>The President outlined today a comprehensive program to combat violent crime. The program is designed to strengthen the Nation's criminal justice system and the Federal, State, and local law enforcement partnership. The program is grounded in the President's belief that greater certainty of apprehension, prosecution, and punishment will help deter crimes of violence. It includes proposals to strengthen current Federal, State, and local laws, to step up enforcement and to hold perpetrators of crimes fully accountable for their actions.</w:t>
      </w:r>
    </w:p>
    <w:p w:rsidR="00A31137" w:rsidRPr="00A31137" w:rsidRDefault="00A31137" w:rsidP="00A31137">
      <w:r w:rsidRPr="00A31137">
        <w:t>Public Papers of Bush, 1989, p.560</w:t>
      </w:r>
    </w:p>
    <w:p w:rsidR="00A31137" w:rsidRPr="00A31137" w:rsidRDefault="00A31137" w:rsidP="00A31137">
      <w:r w:rsidRPr="00A31137">
        <w:t>The President is proposing a commonsense approach to crime with initiatives to limit access to weapons by criminals, to reform the criminal justice system, to enhance enforcement and prosecution, and to expand prison capacity to ensure both the certainty and severity of punishment.</w:t>
      </w:r>
    </w:p>
    <w:p w:rsidR="00A31137" w:rsidRPr="00A31137" w:rsidRDefault="00A31137" w:rsidP="00A31137">
      <w:r w:rsidRPr="00A31137">
        <w:t>Fundamental Principles</w:t>
      </w:r>
    </w:p>
    <w:p w:rsidR="00A31137" w:rsidRPr="00A31137" w:rsidRDefault="00A31137" w:rsidP="00A31137">
      <w:r w:rsidRPr="00A31137">
        <w:t>Public Papers of Bush, 1989, p.560</w:t>
      </w:r>
    </w:p>
    <w:p w:rsidR="00A31137" w:rsidRPr="00A31137" w:rsidRDefault="00A31137" w:rsidP="00A31137">
      <w:r w:rsidRPr="00A31137">
        <w:t>Four principles underlie the goals of our criminal justice system and the means for accomplishing them.</w:t>
      </w:r>
    </w:p>
    <w:p w:rsidR="00A31137" w:rsidRPr="00A31137" w:rsidRDefault="00A31137" w:rsidP="00A31137">
      <w:r w:rsidRPr="00A31137">
        <w:t>Public Papers of Bush, 1989, p.560</w:t>
      </w:r>
    </w:p>
    <w:p w:rsidR="00A31137" w:rsidRPr="00A31137" w:rsidRDefault="00A31137" w:rsidP="00A31137">
      <w:r w:rsidRPr="00A31137">
        <w:t>• A primary purpose of government is to protect citizens and their property. Americans deserve to live in a society in which they are safe and feel secure.</w:t>
      </w:r>
    </w:p>
    <w:p w:rsidR="00A31137" w:rsidRPr="00A31137" w:rsidRDefault="00A31137" w:rsidP="00A31137">
      <w:r w:rsidRPr="00A31137">
        <w:t>Public Papers of Bush, 1989, p.560</w:t>
      </w:r>
    </w:p>
    <w:p w:rsidR="00A31137" w:rsidRPr="00A31137" w:rsidRDefault="00A31137" w:rsidP="00A31137">
      <w:r w:rsidRPr="00A31137">
        <w:t>• Those who commit violent criminal offenses should, and must, be held accountable for their actions.</w:t>
      </w:r>
    </w:p>
    <w:p w:rsidR="00A31137" w:rsidRPr="00A31137" w:rsidRDefault="00A31137" w:rsidP="00A31137">
      <w:r w:rsidRPr="00A31137">
        <w:t>Public Papers of Bush, 1989, p.560</w:t>
      </w:r>
    </w:p>
    <w:p w:rsidR="00A31137" w:rsidRPr="00A31137" w:rsidRDefault="00A31137" w:rsidP="00A31137">
      <w:r w:rsidRPr="00A31137">
        <w:t>• Our criminal justice system must have as its objective the swift and certain apprehension, prosecution, and incarceration of those who break the law.</w:t>
      </w:r>
    </w:p>
    <w:p w:rsidR="00A31137" w:rsidRPr="00A31137" w:rsidRDefault="00A31137" w:rsidP="00A31137">
      <w:r w:rsidRPr="00A31137">
        <w:t>Public Papers of Bush, 1989, p.560</w:t>
      </w:r>
    </w:p>
    <w:p w:rsidR="00A31137" w:rsidRPr="00A31137" w:rsidRDefault="00A31137" w:rsidP="00A31137">
      <w:r w:rsidRPr="00A31137">
        <w:t>• Success in accomplishing our criminal justice system goals requires a sustained, cooperative effort by Federal, State, and local law enforcement authorities.</w:t>
      </w:r>
    </w:p>
    <w:p w:rsidR="00A31137" w:rsidRPr="00A31137" w:rsidRDefault="00A31137" w:rsidP="00A31137">
      <w:r w:rsidRPr="00A31137">
        <w:t>Public Papers of Bush, 1989, p.560</w:t>
      </w:r>
    </w:p>
    <w:p w:rsidR="00A31137" w:rsidRPr="00A31137" w:rsidRDefault="00A31137" w:rsidP="00A31137">
      <w:r w:rsidRPr="00A31137">
        <w:t>The President today proposed a comprehensive four-part program to strengthen current laws, enhance enforcement and apprehension of criminals, facilitate prosecutions, and expand Federal prison capacity.</w:t>
      </w:r>
    </w:p>
    <w:p w:rsidR="00A31137" w:rsidRPr="00A31137" w:rsidRDefault="00A31137" w:rsidP="00A31137">
      <w:r w:rsidRPr="00A31137">
        <w:t>Comprehensive Crime Control Act of 1989</w:t>
      </w:r>
    </w:p>
    <w:p w:rsidR="00A31137" w:rsidRPr="00A31137" w:rsidRDefault="00A31137" w:rsidP="00A31137">
      <w:r w:rsidRPr="00A31137">
        <w:t>I. STRENGTHENING CURRENT LAWS</w:t>
      </w:r>
    </w:p>
    <w:p w:rsidR="00A31137" w:rsidRPr="00A31137" w:rsidRDefault="00A31137" w:rsidP="00A31137">
      <w:r w:rsidRPr="00A31137">
        <w:t>Public Papers of Bush, 1989, p.560</w:t>
      </w:r>
    </w:p>
    <w:p w:rsidR="00A31137" w:rsidRPr="00A31137" w:rsidRDefault="00A31137" w:rsidP="00A31137">
      <w:r w:rsidRPr="00A31137">
        <w:t>To ensure that those who commit violent criminal offenses are held fully accountable for their actions, it is essential to eliminate certain gaps in existing law and to strengthen some existing statutes.</w:t>
      </w:r>
    </w:p>
    <w:p w:rsidR="00A31137" w:rsidRPr="00A31137" w:rsidRDefault="00A31137" w:rsidP="00A31137">
      <w:r w:rsidRPr="00A31137">
        <w:t>A. Enhanced Penalties for Firearms Violations</w:t>
      </w:r>
    </w:p>
    <w:p w:rsidR="00A31137" w:rsidRPr="00A31137" w:rsidRDefault="00A31137" w:rsidP="00A31137">
      <w:r w:rsidRPr="00A31137">
        <w:t>Public Papers of Bush, 1989, p.560</w:t>
      </w:r>
    </w:p>
    <w:p w:rsidR="00A31137" w:rsidRPr="00A31137" w:rsidRDefault="00A31137" w:rsidP="00A31137">
      <w:r w:rsidRPr="00A31137">
        <w:t>The President proposed seven changes in Federal firearms laws which would:</w:t>
      </w:r>
    </w:p>
    <w:p w:rsidR="00A31137" w:rsidRPr="00A31137" w:rsidRDefault="00A31137" w:rsidP="00A31137">
      <w:r w:rsidRPr="00A31137">
        <w:t>Public Papers of Bush, 1989, p.560</w:t>
      </w:r>
    </w:p>
    <w:p w:rsidR="00A31137" w:rsidRPr="00A31137" w:rsidRDefault="00A31137" w:rsidP="00A31137">
      <w:r w:rsidRPr="00A31137">
        <w:t>1. double the mandatory penalty from 5 to 10 years under 18 U.S.C. 924(c) for the use of a semiautomatic firearm during the commission of a violent crime or drug felony;</w:t>
      </w:r>
    </w:p>
    <w:p w:rsidR="00A31137" w:rsidRPr="00A31137" w:rsidRDefault="00A31137" w:rsidP="00A31137">
      <w:r w:rsidRPr="00A31137">
        <w:t>Public Papers of Bush, 1989, p.560</w:t>
      </w:r>
    </w:p>
    <w:p w:rsidR="00A31137" w:rsidRPr="00A31137" w:rsidRDefault="00A31137" w:rsidP="00A31137">
      <w:r w:rsidRPr="00A31137">
        <w:t>2. amend the Armed Career Criminal statute to count as predicate offenses acts of juvenile delinquency which if [p.561] committed by an adult would constitute a serious drug offense; many youthful repeat offenders now escape the enhanced career criminal penalties because most of their prior offenses were charged as juvenile delinquency;</w:t>
      </w:r>
    </w:p>
    <w:p w:rsidR="00A31137" w:rsidRPr="00A31137" w:rsidRDefault="00A31137" w:rsidP="00A31137">
      <w:r w:rsidRPr="00A31137">
        <w:t>Public Papers of Bush, 1989, p.561</w:t>
      </w:r>
    </w:p>
    <w:p w:rsidR="00A31137" w:rsidRPr="00A31137" w:rsidRDefault="00A31137" w:rsidP="00A31137">
      <w:r w:rsidRPr="00A31137">
        <w:t>3. allow for pretrial preventive detention of defendants in cases involving certain serious Federal firearms and explosive offenses;</w:t>
      </w:r>
    </w:p>
    <w:p w:rsidR="00A31137" w:rsidRPr="00A31137" w:rsidRDefault="00A31137" w:rsidP="00A31137">
      <w:r w:rsidRPr="00A31137">
        <w:t>Public Papers of Bush, 1989, p.561</w:t>
      </w:r>
    </w:p>
    <w:p w:rsidR="00A31137" w:rsidRPr="00A31137" w:rsidRDefault="00A31137" w:rsidP="00A31137">
      <w:r w:rsidRPr="00A31137">
        <w:t>4. authorize criminal penalties and mandatory minimum sentences for theft of a firearm;</w:t>
      </w:r>
    </w:p>
    <w:p w:rsidR="00A31137" w:rsidRPr="00A31137" w:rsidRDefault="00A31137" w:rsidP="00A31137">
      <w:r w:rsidRPr="00A31137">
        <w:t>Public Papers of Bush, 1989, p.561</w:t>
      </w:r>
    </w:p>
    <w:p w:rsidR="00A31137" w:rsidRPr="00A31137" w:rsidRDefault="00A31137" w:rsidP="00A31137">
      <w:r w:rsidRPr="00A31137">
        <w:t>5. enhance penalties for smuggling firearms into the United States while engaged in, or in the furtherance of, drug trafficking;</w:t>
      </w:r>
    </w:p>
    <w:p w:rsidR="00A31137" w:rsidRPr="00A31137" w:rsidRDefault="00A31137" w:rsidP="00A31137">
      <w:r w:rsidRPr="00A31137">
        <w:t>Public Papers of Bush, 1989, p.561</w:t>
      </w:r>
    </w:p>
    <w:p w:rsidR="00A31137" w:rsidRPr="00A31137" w:rsidRDefault="00A31137" w:rsidP="00A31137">
      <w:r w:rsidRPr="00A31137">
        <w:t>6. require mandatory revocation of Federal supervised release for those possessing a firearm anytime before the term of their supervised release expires;</w:t>
      </w:r>
    </w:p>
    <w:p w:rsidR="00A31137" w:rsidRPr="00A31137" w:rsidRDefault="00A31137" w:rsidP="00A31137">
      <w:r w:rsidRPr="00A31137">
        <w:t>Public Papers of Bush, 1989, p.561</w:t>
      </w:r>
    </w:p>
    <w:p w:rsidR="00A31137" w:rsidRPr="00A31137" w:rsidRDefault="00A31137" w:rsidP="00A31137">
      <w:r w:rsidRPr="00A31137">
        <w:t>7. double the current penalty for a knowing and materially false statement on ATF Form 4473 to a maximum sentence of 10 years imprisonment.</w:t>
      </w:r>
    </w:p>
    <w:p w:rsidR="00A31137" w:rsidRPr="00A31137" w:rsidRDefault="00A31137" w:rsidP="00A31137">
      <w:r w:rsidRPr="00A31137">
        <w:t>Public Papers of Bush, 1989, p.561</w:t>
      </w:r>
    </w:p>
    <w:p w:rsidR="00A31137" w:rsidRPr="00A31137" w:rsidRDefault="00A31137" w:rsidP="00A31137">
      <w:r w:rsidRPr="00A31137">
        <w:t>The President also urged all States to adopt model legislation providing mandatory minimum sentences for criminal offenses involving firearms to parallel Federal mandatory minimum provisions.</w:t>
      </w:r>
    </w:p>
    <w:p w:rsidR="00A31137" w:rsidRPr="00A31137" w:rsidRDefault="00A31137" w:rsidP="00A31137">
      <w:r w:rsidRPr="00A31137">
        <w:t>Public Papers of Bush, 1989, p.561</w:t>
      </w:r>
    </w:p>
    <w:p w:rsidR="00A31137" w:rsidRPr="00A31137" w:rsidRDefault="00A31137" w:rsidP="00A31137">
      <w:r w:rsidRPr="00A31137">
        <w:t>He directed the Attorney General to provide the States with related technical assistance through the Law Enforcement Coordinating Committees (LECC's). At present, 30 States have some provision for mandatory terms of imprisonment for use of firearms in the commission of a crime.</w:t>
      </w:r>
    </w:p>
    <w:p w:rsidR="00A31137" w:rsidRPr="00A31137" w:rsidRDefault="00A31137" w:rsidP="00A31137">
      <w:r w:rsidRPr="00A31137">
        <w:t>Public Papers of Bush, 1989, p.561</w:t>
      </w:r>
    </w:p>
    <w:p w:rsidR="00A31137" w:rsidRPr="00A31137" w:rsidRDefault="00A31137" w:rsidP="00A31137">
      <w:r w:rsidRPr="00A31137">
        <w:t>The President proposed providing a 5-percent bonus to the formula portion of drug law enforcement grants for those States which adopt this model legislation.</w:t>
      </w:r>
    </w:p>
    <w:p w:rsidR="00A31137" w:rsidRPr="00A31137" w:rsidRDefault="00A31137" w:rsidP="00A31137">
      <w:r w:rsidRPr="00A31137">
        <w:t>B. Restricting Plea Bargaining</w:t>
      </w:r>
    </w:p>
    <w:p w:rsidR="00A31137" w:rsidRPr="00A31137" w:rsidRDefault="00A31137" w:rsidP="00A31137">
      <w:r w:rsidRPr="00A31137">
        <w:t>Public Papers of Bush, 1989, p.561</w:t>
      </w:r>
    </w:p>
    <w:p w:rsidR="00A31137" w:rsidRPr="00A31137" w:rsidRDefault="00A31137" w:rsidP="00A31137">
      <w:r w:rsidRPr="00A31137">
        <w:t>If our criminal justice system is to achieve its objective of ensuring that those who commit violent firearms offenses are held fully accountable for their actions, plea bargaining practices nationwide must be reformed. Too often, serious felons walk away from court after pleading guilty to minor offenses and misdemeanors because overburdened prosecutors have accepted plea agreements rather than going to trial. The lesser charges result in lesser sentences or probation, and repeat offenders continue to beat the system. To speed an end to such plea bargaining:</w:t>
      </w:r>
    </w:p>
    <w:p w:rsidR="00A31137" w:rsidRPr="00A31137" w:rsidRDefault="00A31137" w:rsidP="00A31137">
      <w:r w:rsidRPr="00A31137">
        <w:t>Public Papers of Bush, 1989, p.561</w:t>
      </w:r>
    </w:p>
    <w:p w:rsidR="00A31137" w:rsidRPr="00A31137" w:rsidRDefault="00A31137" w:rsidP="00A31137">
      <w:r w:rsidRPr="00A31137">
        <w:t>1. The President directed the Attorney General to issue and fully implement guidelines for Federal prosecutors regarding plea bargaining under the Sentencing Reform Act to ensure that Federal charges always reflect both the seriousness of the defendant's conduct and the Department's commitment to statutory sentencing goals and procedures. This will ensure that Federal prosecutors seek minimum mandatory penalties for all violent firearms offenses.</w:t>
      </w:r>
    </w:p>
    <w:p w:rsidR="00A31137" w:rsidRPr="00A31137" w:rsidRDefault="00A31137" w:rsidP="00A31137">
      <w:r w:rsidRPr="00A31137">
        <w:t>Public Papers of Bush, 1989, p.561</w:t>
      </w:r>
    </w:p>
    <w:p w:rsidR="00A31137" w:rsidRPr="00A31137" w:rsidRDefault="00A31137" w:rsidP="00A31137">
      <w:r w:rsidRPr="00A31137">
        <w:t>2. The President urged State and local governments to reform their plea bargaining and sentencing practices along similar lines and to devote increased resources to prosecutions.</w:t>
      </w:r>
    </w:p>
    <w:p w:rsidR="00A31137" w:rsidRPr="00A31137" w:rsidRDefault="00A31137" w:rsidP="00A31137">
      <w:r w:rsidRPr="00A31137">
        <w:t>C. Enacting Death Penalty Procedures</w:t>
      </w:r>
    </w:p>
    <w:p w:rsidR="00A31137" w:rsidRPr="00A31137" w:rsidRDefault="00A31137" w:rsidP="00A31137">
      <w:r w:rsidRPr="00A31137">
        <w:t>Public Papers of Bush, 1989, p.561</w:t>
      </w:r>
    </w:p>
    <w:p w:rsidR="00A31137" w:rsidRPr="00A31137" w:rsidRDefault="00A31137" w:rsidP="00A31137">
      <w:r w:rsidRPr="00A31137">
        <w:t>The criminal justice system must accord paramount importance to the protection of innocent life. The murderous assault-weapon-armed gang member, the terrorist, the traitor, and the assassin, who threaten American lives and the Nation's security, must know that they will face the death penalty for their crimes.</w:t>
      </w:r>
    </w:p>
    <w:p w:rsidR="00A31137" w:rsidRPr="00A31137" w:rsidRDefault="00A31137" w:rsidP="00A31137">
      <w:r w:rsidRPr="00A31137">
        <w:t>Public Papers of Bush, 1989, p.561</w:t>
      </w:r>
    </w:p>
    <w:p w:rsidR="00A31137" w:rsidRPr="00A31137" w:rsidRDefault="00A31137" w:rsidP="00A31137">
      <w:r w:rsidRPr="00A31137">
        <w:t>The President proposed to restore an enforceable death penalty for the most aggravated Federal crimes. His proposal includes adequate standards and constitutionally sound procedures for applying the Federal death penalty provisions that now appear in Federal statutes for homicide, espionage, and treason. It would also authorize the death penalty for a number of new offenses, such as murder for hire. In direct response to the increase in firearms-related violence, the proposal specifies that the use of a firearm in committing the offense or a previous conviction of a violent felony involving a firearm constitute aggravating factors justifying capital punishment.</w:t>
      </w:r>
    </w:p>
    <w:p w:rsidR="00A31137" w:rsidRPr="00A31137" w:rsidRDefault="00A31137" w:rsidP="00A31137">
      <w:r w:rsidRPr="00A31137">
        <w:t>D. Restricting Imported Weapons</w:t>
      </w:r>
    </w:p>
    <w:p w:rsidR="00A31137" w:rsidRPr="00A31137" w:rsidRDefault="00A31137" w:rsidP="00A31137">
      <w:r w:rsidRPr="00A31137">
        <w:t>Public Papers of Bush, 1989, p.561–p.562</w:t>
      </w:r>
    </w:p>
    <w:p w:rsidR="00A31137" w:rsidRPr="00A31137" w:rsidRDefault="00A31137" w:rsidP="00A31137">
      <w:r w:rsidRPr="00A31137">
        <w:t>When the study of imported weapons by the Bureau of Alcohol, Tobacco and Firearms is completed, the administration will make permanent the temporary suspension [p.562] on the imported weapons, if any, that fail to meet the criteria specified in the Gun Control Act of 1968 (18 U.S.C. 925).</w:t>
      </w:r>
    </w:p>
    <w:p w:rsidR="00A31137" w:rsidRPr="00A31137" w:rsidRDefault="00A31137" w:rsidP="00A31137">
      <w:r w:rsidRPr="00A31137">
        <w:t>E. Preventing Circumvention of Import Laws</w:t>
      </w:r>
    </w:p>
    <w:p w:rsidR="00A31137" w:rsidRPr="00A31137" w:rsidRDefault="00A31137" w:rsidP="00A31137">
      <w:r w:rsidRPr="00A31137">
        <w:t>Public Papers of Bush, 1989, p.562</w:t>
      </w:r>
    </w:p>
    <w:p w:rsidR="00A31137" w:rsidRPr="00A31137" w:rsidRDefault="00A31137" w:rsidP="00A31137">
      <w:r w:rsidRPr="00A31137">
        <w:t>The administration will propose an amendment to ensure that actions taken under the provisions of the Gun Control Act of 1968 shall not be circumvented by domestic assembly of such weapons or any combination of domestic and foreign assembly of such weapons.</w:t>
      </w:r>
    </w:p>
    <w:p w:rsidR="00A31137" w:rsidRPr="00A31137" w:rsidRDefault="00A31137" w:rsidP="00A31137">
      <w:r w:rsidRPr="00A31137">
        <w:t>F. Restricting Gun Clips and Magazines</w:t>
      </w:r>
    </w:p>
    <w:p w:rsidR="00A31137" w:rsidRPr="00A31137" w:rsidRDefault="00A31137" w:rsidP="00A31137">
      <w:r w:rsidRPr="00A31137">
        <w:t>Public Papers of Bush, 1989, p.562</w:t>
      </w:r>
    </w:p>
    <w:p w:rsidR="00A31137" w:rsidRPr="00A31137" w:rsidRDefault="00A31137" w:rsidP="00A31137">
      <w:r w:rsidRPr="00A31137">
        <w:t>The administration will propose legislation prohibiting the importation, manufacture, transfer, or sale of gun magazines of over 15 rounds for use by private citizens.</w:t>
      </w:r>
    </w:p>
    <w:p w:rsidR="00A31137" w:rsidRPr="00A31137" w:rsidRDefault="00A31137" w:rsidP="00A31137">
      <w:r w:rsidRPr="00A31137">
        <w:t>G. Limiting Access to Weapons by Criminals</w:t>
      </w:r>
    </w:p>
    <w:p w:rsidR="00A31137" w:rsidRPr="00A31137" w:rsidRDefault="00A31137" w:rsidP="00A31137">
      <w:r w:rsidRPr="00A31137">
        <w:t>Public Papers of Bush, 1989, p.562</w:t>
      </w:r>
    </w:p>
    <w:p w:rsidR="00A31137" w:rsidRPr="00A31137" w:rsidRDefault="00A31137" w:rsidP="00A31137">
      <w:r w:rsidRPr="00A31137">
        <w:t>In addition to greater penalties for misusing firearms, it is also important to limit access to weapons by criminals. This can be facilitated in three ways:</w:t>
      </w:r>
    </w:p>
    <w:p w:rsidR="00A31137" w:rsidRPr="00A31137" w:rsidRDefault="00A31137" w:rsidP="00A31137">
      <w:r w:rsidRPr="00A31137">
        <w:t>Public Papers of Bush, 1989, p.562</w:t>
      </w:r>
    </w:p>
    <w:p w:rsidR="00A31137" w:rsidRPr="00A31137" w:rsidRDefault="00A31137" w:rsidP="00A31137">
      <w:r w:rsidRPr="00A31137">
        <w:t>1. Strengthening and Expanding Prohibitions on Access to Weapons by Criminals.</w:t>
      </w:r>
    </w:p>
    <w:p w:rsidR="00A31137" w:rsidRPr="00A31137" w:rsidRDefault="00A31137" w:rsidP="00A31137">
      <w:r w:rsidRPr="00A31137">
        <w:t>Public Papers of Bush, 1989, p.562</w:t>
      </w:r>
    </w:p>
    <w:p w:rsidR="00A31137" w:rsidRPr="00A31137" w:rsidRDefault="00A31137" w:rsidP="00A31137">
      <w:r w:rsidRPr="00A31137">
        <w:t>a. The President proposed to bar the sale of firearms to, or possession of firearms by, persons convicted of any violent offense, expanding the existing prohibition to cover individuals convicted of violent misdemeanor offenses.</w:t>
      </w:r>
    </w:p>
    <w:p w:rsidR="00A31137" w:rsidRPr="00A31137" w:rsidRDefault="00A31137" w:rsidP="00A31137">
      <w:r w:rsidRPr="00A31137">
        <w:t>Public Papers of Bush, 1989, p.562</w:t>
      </w:r>
    </w:p>
    <w:p w:rsidR="00A31137" w:rsidRPr="00A31137" w:rsidRDefault="00A31137" w:rsidP="00A31137">
      <w:r w:rsidRPr="00A31137">
        <w:t>b. The President also proposed to bar the sale of firearms to, or possession of firearms by, persons who are convicted of any serious drug offense.</w:t>
      </w:r>
    </w:p>
    <w:p w:rsidR="00A31137" w:rsidRPr="00A31137" w:rsidRDefault="00A31137" w:rsidP="00A31137">
      <w:r w:rsidRPr="00A31137">
        <w:t>Public Papers of Bush, 1989, p.562</w:t>
      </w:r>
    </w:p>
    <w:p w:rsidR="00A31137" w:rsidRPr="00A31137" w:rsidRDefault="00A31137" w:rsidP="00A31137">
      <w:r w:rsidRPr="00A31137">
        <w:t>2. Improving Mechanisms for Identifying Criminals Who Attempt to Purchase Firearms. The Anti-Drug Abuse Act of 1988 requires the Attorney General to develop a system for the immediate and accurate identification of felons and others who attempt to purchase firearms, but are barred by Federal law [18 U.S.C. 922(g)(1)] from buying or possessing firearms. The initial stage of the study must be completed by November 18, 1989.</w:t>
      </w:r>
    </w:p>
    <w:p w:rsidR="00A31137" w:rsidRPr="00A31137" w:rsidRDefault="00A31137" w:rsidP="00A31137">
      <w:r w:rsidRPr="00A31137">
        <w:t>Public Papers of Bush, 1989, p.562</w:t>
      </w:r>
    </w:p>
    <w:p w:rsidR="00A31137" w:rsidRPr="00A31137" w:rsidRDefault="00A31137" w:rsidP="00A31137">
      <w:r w:rsidRPr="00A31137">
        <w:t>a. The President directed the Attorney General to expand the National Criminal Records Identification System Implementation study to include a review and evaluation of State and local procedures which have effectively limited criminal access to firearms and, based on that review and in consultation with the Bureau of Alcohol, Tobacco and Firearms, to develop recommendations for model State legislation and procedures to complement and enhance efforts to reduce felons' access to firearms.</w:t>
      </w:r>
    </w:p>
    <w:p w:rsidR="00A31137" w:rsidRPr="00A31137" w:rsidRDefault="00A31137" w:rsidP="00A31137">
      <w:r w:rsidRPr="00A31137">
        <w:t>Public Papers of Bush, 1989, p.562</w:t>
      </w:r>
    </w:p>
    <w:p w:rsidR="00A31137" w:rsidRPr="00A31137" w:rsidRDefault="00A31137" w:rsidP="00A31137">
      <w:r w:rsidRPr="00A31137">
        <w:t>Model State legislation or procedures might include a reasonably structured waiting period or use other devices to facilitate accuracy in determining whether an individual seeking to purchase a weapon from a licensed gun dealer is ineligible by reason of Federal law. At present, more than 20 States have waiting periods, identification requirements, or other procedures which effectively limit criminal access to weapons.</w:t>
      </w:r>
    </w:p>
    <w:p w:rsidR="00A31137" w:rsidRPr="00A31137" w:rsidRDefault="00A31137" w:rsidP="00A31137">
      <w:r w:rsidRPr="00A31137">
        <w:t>Public Papers of Bush, 1989, p.562</w:t>
      </w:r>
    </w:p>
    <w:p w:rsidR="00A31137" w:rsidRPr="00A31137" w:rsidRDefault="00A31137" w:rsidP="00A31137">
      <w:r w:rsidRPr="00A31137">
        <w:t>b. The President urged States to transfer criminal history conviction, sentencing, and other case disposition records to the proper Federal authorities. He also directed the Attorney General to recommend additional improvements in the criminal records data system. The quality of criminal history data is a critical factor in crime control and prevention. At present, the only criminal history records consistently reported by States and localities are arrest records.</w:t>
      </w:r>
    </w:p>
    <w:p w:rsidR="00A31137" w:rsidRPr="00A31137" w:rsidRDefault="00A31137" w:rsidP="00A31137">
      <w:r w:rsidRPr="00A31137">
        <w:t>Public Papers of Bush, 1989, p.562</w:t>
      </w:r>
    </w:p>
    <w:p w:rsidR="00A31137" w:rsidRPr="00A31137" w:rsidRDefault="00A31137" w:rsidP="00A31137">
      <w:r w:rsidRPr="00A31137">
        <w:t>Timely and accurate reporting of conviction, sentencing, and other case disposition records is essential to the effective operation of the Nation's criminal justice system.</w:t>
      </w:r>
    </w:p>
    <w:p w:rsidR="00A31137" w:rsidRPr="00A31137" w:rsidRDefault="00A31137" w:rsidP="00A31137">
      <w:r w:rsidRPr="00A31137">
        <w:t>Public Papers of Bush, 1989, p.562</w:t>
      </w:r>
    </w:p>
    <w:p w:rsidR="00A31137" w:rsidRPr="00A31137" w:rsidRDefault="00A31137" w:rsidP="00A31137">
      <w:r w:rsidRPr="00A31137">
        <w:t>To improve the national data base, States should make such criminal record reporting mandatory and take steps to ensure that centralized State criminal history repositories are adequately funded and managed. In addition, States should maintain records and report on all serious crimes committed by juveniles, who frequently continue their criminal careers into adulthood but often escape early identification as repeat offenders and recidivists because their juvenile records are not reported.</w:t>
      </w:r>
    </w:p>
    <w:p w:rsidR="00A31137" w:rsidRPr="00A31137" w:rsidRDefault="00A31137" w:rsidP="00A31137">
      <w:r w:rsidRPr="00A31137">
        <w:t>Public Papers of Bush, 1989, p.562</w:t>
      </w:r>
    </w:p>
    <w:p w:rsidR="00A31137" w:rsidRPr="00A31137" w:rsidRDefault="00A31137" w:rsidP="00A31137">
      <w:r w:rsidRPr="00A31137">
        <w:t>3. Eliminating Loopholes and Clarifying Existing Offenses. The President also proposed to eliminate loopholes and clarify existing offenses related to the sale or transfer of firearms, in order to:</w:t>
      </w:r>
    </w:p>
    <w:p w:rsidR="00A31137" w:rsidRPr="00A31137" w:rsidRDefault="00A31137" w:rsidP="00A31137">
      <w:r w:rsidRPr="00A31137">
        <w:t>Public Papers of Bush, 1989, p.562</w:t>
      </w:r>
    </w:p>
    <w:p w:rsidR="00A31137" w:rsidRPr="00A31137" w:rsidRDefault="00A31137" w:rsidP="00A31137">
      <w:r w:rsidRPr="00A31137">
        <w:t>a. facilitate the prosecution of unlicensed gun dealers engaged in illegal weapons transfers to aliens or transients;</w:t>
      </w:r>
    </w:p>
    <w:p w:rsidR="00A31137" w:rsidRPr="00A31137" w:rsidRDefault="00A31137" w:rsidP="00A31137">
      <w:r w:rsidRPr="00A31137">
        <w:t>Public Papers of Bush, 1989, p.562–p.563</w:t>
      </w:r>
    </w:p>
    <w:p w:rsidR="00A31137" w:rsidRPr="00A31137" w:rsidRDefault="00A31137" w:rsidP="00A31137">
      <w:r w:rsidRPr="00A31137">
        <w:t>b. expand Federal jurisdiction to permit [p.563] prosecution of transactions in stolen firearms and weapons lacking serial numbers in cases where the firearms have previously moved in interstate or foreign commerce (present law requires the firearms be moving in interstate commerce at the time of the offense);</w:t>
      </w:r>
    </w:p>
    <w:p w:rsidR="00A31137" w:rsidRPr="00A31137" w:rsidRDefault="00A31137" w:rsidP="00A31137">
      <w:r w:rsidRPr="00A31137">
        <w:t>Public Papers of Bush, 1989, p.563</w:t>
      </w:r>
    </w:p>
    <w:p w:rsidR="00A31137" w:rsidRPr="00A31137" w:rsidRDefault="00A31137" w:rsidP="00A31137">
      <w:r w:rsidRPr="00A31137">
        <w:t>c. provide a uniform standard to determine whether a person is under Federal firearms disabilities based upon State convictions;</w:t>
      </w:r>
    </w:p>
    <w:p w:rsidR="00A31137" w:rsidRPr="00A31137" w:rsidRDefault="00A31137" w:rsidP="00A31137">
      <w:r w:rsidRPr="00A31137">
        <w:t>Public Papers of Bush, 1989, p.563</w:t>
      </w:r>
    </w:p>
    <w:p w:rsidR="00A31137" w:rsidRPr="00A31137" w:rsidRDefault="00A31137" w:rsidP="00A31137">
      <w:r w:rsidRPr="00A31137">
        <w:t>d. require that persons convicted under State law of a serious drug offense or violent felony apply to Federal authorities in order to have their firearms rights restored;</w:t>
      </w:r>
    </w:p>
    <w:p w:rsidR="00A31137" w:rsidRPr="00A31137" w:rsidRDefault="00A31137" w:rsidP="00A31137">
      <w:r w:rsidRPr="00A31137">
        <w:t>Public Papers of Bush, 1989, p.563</w:t>
      </w:r>
    </w:p>
    <w:p w:rsidR="00A31137" w:rsidRPr="00A31137" w:rsidRDefault="00A31137" w:rsidP="00A31137">
      <w:r w:rsidRPr="00A31137">
        <w:t>e. amend provisions regarding the disposal of forfeited firearms; and</w:t>
      </w:r>
    </w:p>
    <w:p w:rsidR="00A31137" w:rsidRPr="00A31137" w:rsidRDefault="00A31137" w:rsidP="00A31137">
      <w:r w:rsidRPr="00A31137">
        <w:t>Public Papers of Bush, 1989, p.563</w:t>
      </w:r>
    </w:p>
    <w:p w:rsidR="00A31137" w:rsidRPr="00A31137" w:rsidRDefault="00A31137" w:rsidP="00A31137">
      <w:r w:rsidRPr="00A31137">
        <w:t>f. clarify the definition of burglary in the Armed Career Criminal Act to eliminate loopholes caused by differing State laws.</w:t>
      </w:r>
    </w:p>
    <w:p w:rsidR="00A31137" w:rsidRPr="00A31137" w:rsidRDefault="00A31137" w:rsidP="00A31137">
      <w:r w:rsidRPr="00A31137">
        <w:t>Public Papers of Bush, 1989, p.563</w:t>
      </w:r>
    </w:p>
    <w:p w:rsidR="00A31137" w:rsidRPr="00A31137" w:rsidRDefault="00A31137" w:rsidP="00A31137">
      <w:r w:rsidRPr="00A31137">
        <w:t>H. Making Drug Testing a Condition of Release</w:t>
      </w:r>
    </w:p>
    <w:p w:rsidR="00A31137" w:rsidRPr="00A31137" w:rsidRDefault="00A31137" w:rsidP="00A31137">
      <w:r w:rsidRPr="00A31137">
        <w:t>Public Papers of Bush, 1989, p.563</w:t>
      </w:r>
    </w:p>
    <w:p w:rsidR="00A31137" w:rsidRPr="00A31137" w:rsidRDefault="00A31137" w:rsidP="00A31137">
      <w:r w:rsidRPr="00A31137">
        <w:t>The President also proposed to authorize and fund nationwide implementation in 1990 of drug testing as a mandatory condition of Federal probation, parole, or supervised release. It is estimated that 81,500 people will be on some form of Federal supervised release in 1990. The Justice Department and the Federal Judiciary will coordinate implementation of this program.</w:t>
      </w:r>
    </w:p>
    <w:p w:rsidR="00A31137" w:rsidRPr="00A31137" w:rsidRDefault="00A31137" w:rsidP="00A31137">
      <w:r w:rsidRPr="00A31137">
        <w:t>Public Papers of Bush, 1989, p.563</w:t>
      </w:r>
    </w:p>
    <w:p w:rsidR="00A31137" w:rsidRPr="00A31137" w:rsidRDefault="00A31137" w:rsidP="00A31137">
      <w:r w:rsidRPr="00A31137">
        <w:t>The President urged States to adopt similar mandatory drug testing programs as a condition of parole.</w:t>
      </w:r>
    </w:p>
    <w:p w:rsidR="00A31137" w:rsidRPr="00A31137" w:rsidRDefault="00A31137" w:rsidP="00A31137">
      <w:r w:rsidRPr="00A31137">
        <w:t>II. AUGMENTING ENFORCEMENT</w:t>
      </w:r>
    </w:p>
    <w:p w:rsidR="00A31137" w:rsidRPr="00A31137" w:rsidRDefault="00A31137" w:rsidP="00A31137">
      <w:r w:rsidRPr="00A31137">
        <w:t>Public Papers of Bush, 1989, p.563</w:t>
      </w:r>
    </w:p>
    <w:p w:rsidR="00A31137" w:rsidRPr="00A31137" w:rsidRDefault="00A31137" w:rsidP="00A31137">
      <w:r w:rsidRPr="00A31137">
        <w:t>A primary purpose of government is to protect citizens and their property. This requires the sustained cooperative commitment of Federal, State, and local law enforcement officials. Apprehending violent offenders requires increased enforcement personnel, improved cooperation among law enforcement authorities, and not permitting the exclusion of evidence on legal technicalities.</w:t>
      </w:r>
    </w:p>
    <w:p w:rsidR="00A31137" w:rsidRPr="00A31137" w:rsidRDefault="00A31137" w:rsidP="00A31137">
      <w:r w:rsidRPr="00A31137">
        <w:t>A. Additional ATF Special Agents</w:t>
      </w:r>
    </w:p>
    <w:p w:rsidR="00A31137" w:rsidRPr="00A31137" w:rsidRDefault="00A31137" w:rsidP="00A31137">
      <w:r w:rsidRPr="00A31137">
        <w:t>Public Papers of Bush, 1989, p.563</w:t>
      </w:r>
    </w:p>
    <w:p w:rsidR="00A31137" w:rsidRPr="00A31137" w:rsidRDefault="00A31137" w:rsidP="00A31137">
      <w:r w:rsidRPr="00A31137">
        <w:t>The President proposed to increase funds for the Bureau of Alcohol, Tobacco and Firearms to provide for the  hiring, training, and equipping of 375 ATF special agents, inspectors, and support personnel to investigate assault weapon and other firearms violations by armed career criminal and repeat offenders.</w:t>
      </w:r>
    </w:p>
    <w:p w:rsidR="00A31137" w:rsidRPr="00A31137" w:rsidRDefault="00A31137" w:rsidP="00A31137">
      <w:r w:rsidRPr="00A31137">
        <w:t>B. Additional U.S. Marshals</w:t>
      </w:r>
    </w:p>
    <w:p w:rsidR="00A31137" w:rsidRPr="00A31137" w:rsidRDefault="00A31137" w:rsidP="00A31137">
      <w:r w:rsidRPr="00A31137">
        <w:t>Public Papers of Bush, 1989, p.563</w:t>
      </w:r>
    </w:p>
    <w:p w:rsidR="00A31137" w:rsidRPr="00A31137" w:rsidRDefault="00A31137" w:rsidP="00A31137">
      <w:r w:rsidRPr="00A31137">
        <w:t>The President proposed to increase funds for the U.S. Marshals to provide for about 150 additional positions for the Marshals Fugitive Investigations and Court Orders Program. This would direct greater Federal efforts to capturing fugitives and career criminals.</w:t>
      </w:r>
    </w:p>
    <w:p w:rsidR="00A31137" w:rsidRPr="00A31137" w:rsidRDefault="00A31137" w:rsidP="00A31137">
      <w:r w:rsidRPr="00A31137">
        <w:t>C. Additional FBI Agents</w:t>
      </w:r>
    </w:p>
    <w:p w:rsidR="00A31137" w:rsidRPr="00A31137" w:rsidRDefault="00A31137" w:rsidP="00A31137">
      <w:r w:rsidRPr="00A31137">
        <w:t>Public Papers of Bush, 1989, p.563</w:t>
      </w:r>
    </w:p>
    <w:p w:rsidR="00A31137" w:rsidRPr="00A31137" w:rsidRDefault="00A31137" w:rsidP="00A31137">
      <w:r w:rsidRPr="00A31137">
        <w:t>The President proposed to increase funds for the FBI to provide for about 300 additional positions for the Bureau's Violent Crime and Major Offenders Program and Organized Crime Program and to assist States and localities to improve their efforts in fighting violent crime through greater Federal/State cooperation.</w:t>
      </w:r>
    </w:p>
    <w:p w:rsidR="00A31137" w:rsidRPr="00A31137" w:rsidRDefault="00A31137" w:rsidP="00A31137">
      <w:r w:rsidRPr="00A31137">
        <w:t>D. Coordinated Task Forces</w:t>
      </w:r>
    </w:p>
    <w:p w:rsidR="00A31137" w:rsidRPr="00A31137" w:rsidRDefault="00A31137" w:rsidP="00A31137">
      <w:r w:rsidRPr="00A31137">
        <w:t>Public Papers of Bush, 1989, p.563</w:t>
      </w:r>
    </w:p>
    <w:p w:rsidR="00A31137" w:rsidRPr="00A31137" w:rsidRDefault="00A31137" w:rsidP="00A31137">
      <w:r w:rsidRPr="00A31137">
        <w:t>The President directed the Attorney General and Secretary of the Treasury to develop a coordinated strategy for the deployment of the additional U.S. Marshals, ATF and FBI agents. Their deployment will emphasize working closely with State and local authorities in task forces to target and investigate career criminals who are subject to prosecution as repeat offenders under Federal firearms laws and related statutes.</w:t>
      </w:r>
    </w:p>
    <w:p w:rsidR="00A31137" w:rsidRPr="00A31137" w:rsidRDefault="00A31137" w:rsidP="00A31137">
      <w:r w:rsidRPr="00A31137">
        <w:t>E. State and Local Resources</w:t>
      </w:r>
    </w:p>
    <w:p w:rsidR="00A31137" w:rsidRPr="00A31137" w:rsidRDefault="00A31137" w:rsidP="00A31137">
      <w:r w:rsidRPr="00A31137">
        <w:t>Public Papers of Bush, 1989, p.563</w:t>
      </w:r>
    </w:p>
    <w:p w:rsidR="00A31137" w:rsidRPr="00A31137" w:rsidRDefault="00A31137" w:rsidP="00A31137">
      <w:r w:rsidRPr="00A31137">
        <w:t>The President urged State and local authorities to increase their law enforcement resources devoted to identifying and apprehending violent criminal offenders.</w:t>
      </w:r>
    </w:p>
    <w:p w:rsidR="00A31137" w:rsidRPr="00A31137" w:rsidRDefault="00A31137" w:rsidP="00A31137">
      <w:r w:rsidRPr="00A31137">
        <w:t>F. Exclusionary Rule Reform</w:t>
      </w:r>
    </w:p>
    <w:p w:rsidR="00A31137" w:rsidRPr="00A31137" w:rsidRDefault="00A31137" w:rsidP="00A31137">
      <w:r w:rsidRPr="00A31137">
        <w:t>Public Papers of Bush, 1989, p.563–p.564</w:t>
      </w:r>
    </w:p>
    <w:p w:rsidR="00A31137" w:rsidRPr="00A31137" w:rsidRDefault="00A31137" w:rsidP="00A31137">
      <w:r w:rsidRPr="00A31137">
        <w:t>The President proposed to establish a general "good faith" exception to the exclusionary rule which would permit evidence to be admitted if the officers carrying out a search or seizure acted with an objectively reasonable belief that their conduct was in conformity with fourth amendment requirements. The reform legislation would clarify that, in the absence of explicit statutory [p.564] authority for doing so, Federal courts may only exclude evidence on the basis of constitutional violations.</w:t>
      </w:r>
    </w:p>
    <w:p w:rsidR="00A31137" w:rsidRPr="00A31137" w:rsidRDefault="00A31137" w:rsidP="00A31137">
      <w:r w:rsidRPr="00A31137">
        <w:t>III. ENHANCING PROSECUTION</w:t>
      </w:r>
    </w:p>
    <w:p w:rsidR="00A31137" w:rsidRPr="00A31137" w:rsidRDefault="00A31137" w:rsidP="00A31137">
      <w:r w:rsidRPr="00A31137">
        <w:t>Public Papers of Bush, 1989, p.564</w:t>
      </w:r>
    </w:p>
    <w:p w:rsidR="00A31137" w:rsidRPr="00A31137" w:rsidRDefault="00A31137" w:rsidP="00A31137">
      <w:r w:rsidRPr="00A31137">
        <w:t>In order to assure that criminals are held accountable for their offenses, certainty of prosecution must accompany severity of punishment. Federal, State, and local authorities must expand and coordinate their prosecutorial efforts.</w:t>
      </w:r>
    </w:p>
    <w:p w:rsidR="00A31137" w:rsidRPr="00A31137" w:rsidRDefault="00A31137" w:rsidP="00A31137">
      <w:r w:rsidRPr="00A31137">
        <w:t>A. Additional Assistant U.S. Attorneys</w:t>
      </w:r>
    </w:p>
    <w:p w:rsidR="00A31137" w:rsidRPr="00A31137" w:rsidRDefault="00A31137" w:rsidP="00A31137">
      <w:r w:rsidRPr="00A31137">
        <w:t>Public Papers of Bush, 1989, p.564</w:t>
      </w:r>
    </w:p>
    <w:p w:rsidR="00A31137" w:rsidRPr="00A31137" w:rsidRDefault="00A31137" w:rsidP="00A31137">
      <w:r w:rsidRPr="00A31137">
        <w:t>The President proposed to increase funds for the U.S. Attorneys Offices to support 1,600 additional positions to handle the increased number of Federal defendants and to prosecute more drug cases, weapons offenses, and other priority matters.</w:t>
      </w:r>
    </w:p>
    <w:p w:rsidR="00A31137" w:rsidRPr="00A31137" w:rsidRDefault="00A31137" w:rsidP="00A31137">
      <w:r w:rsidRPr="00A31137">
        <w:t>B. Additional Criminal Division Attorneys</w:t>
      </w:r>
    </w:p>
    <w:p w:rsidR="00A31137" w:rsidRPr="00A31137" w:rsidRDefault="00A31137" w:rsidP="00A31137">
      <w:r w:rsidRPr="00A31137">
        <w:t>Public Papers of Bush, 1989, p.564</w:t>
      </w:r>
    </w:p>
    <w:p w:rsidR="00A31137" w:rsidRPr="00A31137" w:rsidRDefault="00A31137" w:rsidP="00A31137">
      <w:r w:rsidRPr="00A31137">
        <w:t>The President proposed to increase funds for the Justice Department Criminal Division to support 168 additional positions to focus on drug cases, weapons offenses, and other priority matters, including activities to foster State and local cooperation and coordinated law enforcement strategies.</w:t>
      </w:r>
    </w:p>
    <w:p w:rsidR="00A31137" w:rsidRPr="00A31137" w:rsidRDefault="00A31137" w:rsidP="00A31137">
      <w:r w:rsidRPr="00A31137">
        <w:t>C. Additional Housing for Unsentenced Prisoners</w:t>
      </w:r>
    </w:p>
    <w:p w:rsidR="00A31137" w:rsidRPr="00A31137" w:rsidRDefault="00A31137" w:rsidP="00A31137">
      <w:r w:rsidRPr="00A31137">
        <w:t>Public Papers of Bush, 1989, p.564</w:t>
      </w:r>
    </w:p>
    <w:p w:rsidR="00A31137" w:rsidRPr="00A31137" w:rsidRDefault="00A31137" w:rsidP="00A31137">
      <w:r w:rsidRPr="00A31137">
        <w:t>The President proposed additional funds for the U.S. Marshals Service to provide transportation and 300,000 added jail days for unsentenced prisoners and pretrial detainees.</w:t>
      </w:r>
    </w:p>
    <w:p w:rsidR="00A31137" w:rsidRPr="00A31137" w:rsidRDefault="00A31137" w:rsidP="00A31137">
      <w:r w:rsidRPr="00A31137">
        <w:t>D. Additional Judicial Branch Resources</w:t>
      </w:r>
    </w:p>
    <w:p w:rsidR="00A31137" w:rsidRPr="00A31137" w:rsidRDefault="00A31137" w:rsidP="00A31137">
      <w:r w:rsidRPr="00A31137">
        <w:t>Public Papers of Bush, 1989, p.564</w:t>
      </w:r>
    </w:p>
    <w:p w:rsidR="00A31137" w:rsidRPr="00A31137" w:rsidRDefault="00A31137" w:rsidP="00A31137">
      <w:r w:rsidRPr="00A31137">
        <w:t>The President proposed increasing the administration's budget request for the Judiciary by $40 million for FY 1990 to cover costs associated with processing increased numbers of criminal defendants and for additional Federal criminal prosecutions.</w:t>
      </w:r>
    </w:p>
    <w:p w:rsidR="00A31137" w:rsidRPr="00A31137" w:rsidRDefault="00A31137" w:rsidP="00A31137">
      <w:r w:rsidRPr="00A31137">
        <w:t>E. Habeas Corpus Reform</w:t>
      </w:r>
    </w:p>
    <w:p w:rsidR="00A31137" w:rsidRPr="00A31137" w:rsidRDefault="00A31137" w:rsidP="00A31137">
      <w:r w:rsidRPr="00A31137">
        <w:t>Public Papers of Bush, 1989, p.564</w:t>
      </w:r>
    </w:p>
    <w:p w:rsidR="00A31137" w:rsidRPr="00A31137" w:rsidRDefault="00A31137" w:rsidP="00A31137">
      <w:r w:rsidRPr="00A31137">
        <w:t>The President proposed immediate enactment of habeas corpus reform to establish a general 1-year time limit on Federal applications by State prisoners and to require deference in Federal proceedings to the results of fair and reasonable State court determinations. This will correct the existing system of review, under which over 10,000 cases are annually filed in Federal court.</w:t>
      </w:r>
    </w:p>
    <w:p w:rsidR="00A31137" w:rsidRPr="00A31137" w:rsidRDefault="00A31137" w:rsidP="00A31137">
      <w:r w:rsidRPr="00A31137">
        <w:t>IV. EXPANDING PRISON CAPACITY</w:t>
      </w:r>
    </w:p>
    <w:p w:rsidR="00A31137" w:rsidRPr="00A31137" w:rsidRDefault="00A31137" w:rsidP="00A31137">
      <w:r w:rsidRPr="00A31137">
        <w:t>Public Papers of Bush, 1989, p.564</w:t>
      </w:r>
    </w:p>
    <w:p w:rsidR="00A31137" w:rsidRPr="00A31137" w:rsidRDefault="00A31137" w:rsidP="00A31137">
      <w:r w:rsidRPr="00A31137">
        <w:t>Prison overcrowding remains a national problem. The most acute problem is at the Federal level. At both the Federal and State level prison overcrowding is a factor in sentencing. At the State and local levels it is often responsible for the early release of convicted criminals.</w:t>
      </w:r>
    </w:p>
    <w:p w:rsidR="00A31137" w:rsidRPr="00A31137" w:rsidRDefault="00A31137" w:rsidP="00A31137">
      <w:r w:rsidRPr="00A31137">
        <w:t>A. Expanding Federal Prison Construction</w:t>
      </w:r>
    </w:p>
    <w:p w:rsidR="00A31137" w:rsidRPr="00A31137" w:rsidRDefault="00A31137" w:rsidP="00A31137">
      <w:r w:rsidRPr="00A31137">
        <w:t>Public Papers of Bush, 1989, p.564</w:t>
      </w:r>
    </w:p>
    <w:p w:rsidR="00A31137" w:rsidRPr="00A31137" w:rsidRDefault="00A31137" w:rsidP="00A31137">
      <w:r w:rsidRPr="00A31137">
        <w:t>The President proposed an additional $1 billion for Federal prison construction, bringing the total 1990 budget to over $1.5 billion. This will increase prison capacity by about 77 percent, adding over 24,000 new Federal prison beds. The present rated Federal prison capacity is 30,951 beds; the present Federal prison population is approximately 48,000.</w:t>
      </w:r>
    </w:p>
    <w:p w:rsidR="00A31137" w:rsidRPr="00A31137" w:rsidRDefault="00A31137" w:rsidP="00A31137">
      <w:r w:rsidRPr="00A31137">
        <w:t>B. Converting Unused Federal Properties</w:t>
      </w:r>
    </w:p>
    <w:p w:rsidR="00A31137" w:rsidRPr="00A31137" w:rsidRDefault="00A31137" w:rsidP="00A31137">
      <w:r w:rsidRPr="00A31137">
        <w:t>Public Papers of Bush, 1989, p.564</w:t>
      </w:r>
    </w:p>
    <w:p w:rsidR="00A31137" w:rsidRPr="00A31137" w:rsidRDefault="00A31137" w:rsidP="00A31137">
      <w:r w:rsidRPr="00A31137">
        <w:t>The President directed the Secretary of Defense, the Secretary of Education, and the Administrator of the General Services Administration to work with the Attorney General to identify expeditiously properties and facilities suitable for conversion for use as Federal prisons or jails.</w:t>
      </w:r>
    </w:p>
    <w:p w:rsidR="00A31137" w:rsidRPr="00A31137" w:rsidRDefault="00A31137" w:rsidP="00A31137">
      <w:r w:rsidRPr="00A31137">
        <w:t>C. Deporting Criminal Aliens</w:t>
      </w:r>
    </w:p>
    <w:p w:rsidR="00A31137" w:rsidRPr="00A31137" w:rsidRDefault="00A31137" w:rsidP="00A31137">
      <w:r w:rsidRPr="00A31137">
        <w:t>Public Papers of Bush, 1989, p.564</w:t>
      </w:r>
    </w:p>
    <w:p w:rsidR="00A31137" w:rsidRPr="00A31137" w:rsidRDefault="00A31137" w:rsidP="00A31137">
      <w:r w:rsidRPr="00A31137">
        <w:t>The President proposed to provide the Attorney General with $14 million for the Immigration and Naturalization Service (INS) and the Executive Office for Immigration Review in order to expedite the deportation of convicted criminal aliens.</w:t>
      </w:r>
    </w:p>
    <w:p w:rsidR="00A31137" w:rsidRPr="00A31137" w:rsidRDefault="00A31137" w:rsidP="00A31137">
      <w:r w:rsidRPr="00A31137">
        <w:t>Public Papers of Bush, 1989, p.564</w:t>
      </w:r>
    </w:p>
    <w:p w:rsidR="00A31137" w:rsidRPr="00A31137" w:rsidRDefault="00A31137" w:rsidP="00A31137">
      <w:r w:rsidRPr="00A31137">
        <w:t>Crimes committed by aliens are rising disproportionately in relation to the general population and entailing more violent and drug-related crime.</w:t>
      </w:r>
    </w:p>
    <w:p w:rsidR="00A31137" w:rsidRPr="00A31137" w:rsidRDefault="00A31137" w:rsidP="00A31137">
      <w:r w:rsidRPr="00A31137">
        <w:t>Public Papers of Bush, 1989, p.564</w:t>
      </w:r>
    </w:p>
    <w:p w:rsidR="00A31137" w:rsidRPr="00A31137" w:rsidRDefault="00A31137" w:rsidP="00A31137">
      <w:r w:rsidRPr="00A31137">
        <w:t>The Federal Bureau of Prisons has identified 9,254 aliens in its facilities, 20.6 percent of its total inmate population.</w:t>
      </w:r>
    </w:p>
    <w:p w:rsidR="00A31137" w:rsidRPr="00A31137" w:rsidRDefault="00A31137" w:rsidP="00A31137">
      <w:r w:rsidRPr="00A31137">
        <w:t>D. Encouraging State Prison Construction</w:t>
      </w:r>
    </w:p>
    <w:p w:rsidR="00A31137" w:rsidRPr="00A31137" w:rsidRDefault="00A31137" w:rsidP="00A31137">
      <w:r w:rsidRPr="00A31137">
        <w:t>Public Papers of Bush, 1989, p.564</w:t>
      </w:r>
    </w:p>
    <w:p w:rsidR="00A31137" w:rsidRPr="00A31137" w:rsidRDefault="00A31137" w:rsidP="00A31137">
      <w:r w:rsidRPr="00A31137">
        <w:t>The President commended and encouraged State prison construction efforts. States currently have construction of 63,452 new bedspaces underway. An additional 78,094 bedspaces are planned, and funding has been secured for their construction. Moreover, States have requested construction of 72,190 additional bedspaces.</w:t>
      </w:r>
    </w:p>
    <w:p w:rsidR="00A31137" w:rsidRPr="00A31137" w:rsidRDefault="00A31137" w:rsidP="00A31137">
      <w:r w:rsidRPr="00A31137">
        <w:t>E. Review of Court-Ordered Prison Caps</w:t>
      </w:r>
    </w:p>
    <w:p w:rsidR="00A31137" w:rsidRPr="00A31137" w:rsidRDefault="00A31137" w:rsidP="00A31137">
      <w:r w:rsidRPr="00A31137">
        <w:t>Public Papers of Bush, 1989, p.565</w:t>
      </w:r>
    </w:p>
    <w:p w:rsidR="00A31137" w:rsidRPr="00A31137" w:rsidRDefault="00A31137" w:rsidP="00A31137">
      <w:r w:rsidRPr="00A31137">
        <w:t>The President directed the Attorney General to conduct a review of the role of court orders and consent decrees in prison crowding situations, including an assessment of the scope of judicial authority in formulating and issuing such orders, the impact of such orders on the operation of prison systems and public security, and nonjudicial means of addressing prison crowding. The Attorney General will report his findings to the President and recommend any necessary remedial actions.</w:t>
      </w:r>
    </w:p>
    <w:p w:rsidR="00A31137" w:rsidRPr="00A31137" w:rsidRDefault="00A31137" w:rsidP="00A31137">
      <w:r w:rsidRPr="00A31137">
        <w:t>Legislation to implement elements of this initiative will be transmitted shortly by the Attorney General.</w:t>
      </w:r>
    </w:p>
    <w:p w:rsidR="00A31137" w:rsidRPr="00A31137" w:rsidRDefault="00A31137" w:rsidP="00A31137">
      <w:r w:rsidRPr="00A31137">
        <w:t>FUNDING SUMMARY</w:t>
      </w:r>
    </w:p>
    <w:p w:rsidR="00A31137" w:rsidRPr="00A31137" w:rsidRDefault="00A31137" w:rsidP="00A31137">
      <w:r w:rsidRPr="00A31137">
        <w:t>Enforcement:</w:t>
      </w:r>
    </w:p>
    <w:p w:rsidR="00A31137" w:rsidRPr="00A31137" w:rsidRDefault="00A31137" w:rsidP="00A31137">
      <w:r w:rsidRPr="00A31137">
        <w:t>BATF</w:t>
      </w:r>
      <w:r w:rsidRPr="00A31137">
        <w:tab/>
        <w:t>$18.8 million</w:t>
      </w:r>
    </w:p>
    <w:p w:rsidR="00A31137" w:rsidRPr="00A31137" w:rsidRDefault="00A31137" w:rsidP="00A31137">
      <w:r w:rsidRPr="00A31137">
        <w:t>U.S. Marshals</w:t>
      </w:r>
      <w:r w:rsidRPr="00A31137">
        <w:tab/>
        <w:t>$12.0 million</w:t>
      </w:r>
    </w:p>
    <w:p w:rsidR="00A31137" w:rsidRPr="00A31137" w:rsidRDefault="00A31137" w:rsidP="00A31137">
      <w:r w:rsidRPr="00A31137">
        <w:t xml:space="preserve">FBI </w:t>
      </w:r>
      <w:r w:rsidRPr="00A31137">
        <w:tab/>
        <w:t>$19.5 million</w:t>
      </w:r>
    </w:p>
    <w:p w:rsidR="00A31137" w:rsidRPr="00A31137" w:rsidRDefault="00A31137" w:rsidP="00A31137"/>
    <w:p w:rsidR="00A31137" w:rsidRPr="00A31137" w:rsidRDefault="00A31137" w:rsidP="00A31137">
      <w:r w:rsidRPr="00A31137">
        <w:t>Prosecution:</w:t>
      </w:r>
    </w:p>
    <w:p w:rsidR="00A31137" w:rsidRPr="00A31137" w:rsidRDefault="00A31137" w:rsidP="00A31137">
      <w:r w:rsidRPr="00A31137">
        <w:t xml:space="preserve">U.S. Attorneys </w:t>
      </w:r>
      <w:r w:rsidRPr="00A31137">
        <w:tab/>
        <w:t>$49.6 million</w:t>
      </w:r>
    </w:p>
    <w:p w:rsidR="00A31137" w:rsidRPr="00A31137" w:rsidRDefault="00A31137" w:rsidP="00A31137">
      <w:r w:rsidRPr="00A31137">
        <w:t>Criminal Division</w:t>
      </w:r>
      <w:r w:rsidRPr="00A31137">
        <w:tab/>
        <w:t>$5.4 million</w:t>
      </w:r>
    </w:p>
    <w:p w:rsidR="00A31137" w:rsidRPr="00A31137" w:rsidRDefault="00A31137" w:rsidP="00A31137">
      <w:r w:rsidRPr="00A31137">
        <w:t xml:space="preserve">Unsentenced Prisoner Support </w:t>
      </w:r>
      <w:r w:rsidRPr="00A31137">
        <w:tab/>
        <w:t>$13.0 million</w:t>
      </w:r>
    </w:p>
    <w:p w:rsidR="00A31137" w:rsidRPr="00A31137" w:rsidRDefault="00A31137" w:rsidP="00A31137">
      <w:r w:rsidRPr="00A31137">
        <w:t>Courts</w:t>
      </w:r>
      <w:r w:rsidRPr="00A31137">
        <w:tab/>
        <w:t>$40.0 million</w:t>
      </w:r>
    </w:p>
    <w:p w:rsidR="00A31137" w:rsidRPr="00A31137" w:rsidRDefault="00A31137" w:rsidP="00A31137"/>
    <w:p w:rsidR="00A31137" w:rsidRPr="00A31137" w:rsidRDefault="00A31137" w:rsidP="00A31137">
      <w:r w:rsidRPr="00A31137">
        <w:t>Drug Testing:</w:t>
      </w:r>
    </w:p>
    <w:p w:rsidR="00A31137" w:rsidRPr="00A31137" w:rsidRDefault="00A31137" w:rsidP="00A31137">
      <w:r w:rsidRPr="00A31137">
        <w:t>Mandatory Testing</w:t>
      </w:r>
      <w:r w:rsidRPr="00A31137">
        <w:tab/>
        <w:t>$10.7 million</w:t>
      </w:r>
    </w:p>
    <w:p w:rsidR="00A31137" w:rsidRPr="00A31137" w:rsidRDefault="00A31137" w:rsidP="00A31137"/>
    <w:p w:rsidR="00A31137" w:rsidRPr="00A31137" w:rsidRDefault="00A31137" w:rsidP="00A31137">
      <w:r w:rsidRPr="00A31137">
        <w:t>Criminal Alien Deportation:</w:t>
      </w:r>
    </w:p>
    <w:p w:rsidR="00A31137" w:rsidRPr="00A31137" w:rsidRDefault="00A31137" w:rsidP="00A31137">
      <w:r w:rsidRPr="00A31137">
        <w:t xml:space="preserve">INS </w:t>
      </w:r>
      <w:r w:rsidRPr="00A31137">
        <w:tab/>
        <w:t>$12.5 million</w:t>
      </w:r>
    </w:p>
    <w:p w:rsidR="00A31137" w:rsidRPr="00A31137" w:rsidRDefault="00A31137" w:rsidP="00A31137">
      <w:r w:rsidRPr="00A31137">
        <w:t>EOIR (Executive Office for Immigration Review)</w:t>
      </w:r>
      <w:r w:rsidRPr="00A31137">
        <w:tab/>
        <w:t>$1.6 million</w:t>
      </w:r>
    </w:p>
    <w:p w:rsidR="00A31137" w:rsidRPr="00A31137" w:rsidRDefault="00A31137" w:rsidP="00A31137"/>
    <w:p w:rsidR="00A31137" w:rsidRPr="00A31137" w:rsidRDefault="00A31137" w:rsidP="00A31137">
      <w:r w:rsidRPr="00A31137">
        <w:t>State Grant Bonus:</w:t>
      </w:r>
    </w:p>
    <w:p w:rsidR="00A31137" w:rsidRPr="00A31137" w:rsidRDefault="00A31137" w:rsidP="00A31137">
      <w:r w:rsidRPr="00A31137">
        <w:t>Office of Justice Programs (Bonus)</w:t>
      </w:r>
      <w:r w:rsidRPr="00A31137">
        <w:tab/>
        <w:t>$6.0 million</w:t>
      </w:r>
    </w:p>
    <w:p w:rsidR="00A31137" w:rsidRPr="00A31137" w:rsidRDefault="00A31137" w:rsidP="00A31137"/>
    <w:p w:rsidR="00A31137" w:rsidRPr="00A31137" w:rsidRDefault="00A31137" w:rsidP="00A31137">
      <w:r w:rsidRPr="00A31137">
        <w:t xml:space="preserve">                  Subtotal (nonprison)</w:t>
      </w:r>
      <w:r w:rsidRPr="00A31137">
        <w:tab/>
        <w:t>$189.1 million</w:t>
      </w:r>
    </w:p>
    <w:p w:rsidR="00A31137" w:rsidRPr="00A31137" w:rsidRDefault="00A31137" w:rsidP="00A31137"/>
    <w:p w:rsidR="00A31137" w:rsidRPr="00A31137" w:rsidRDefault="00A31137" w:rsidP="00A31137">
      <w:r w:rsidRPr="00A31137">
        <w:t>Prisons:</w:t>
      </w:r>
    </w:p>
    <w:p w:rsidR="00A31137" w:rsidRPr="00A31137" w:rsidRDefault="00A31137" w:rsidP="00A31137">
      <w:r w:rsidRPr="00A31137">
        <w:t>Federal Prison Construction</w:t>
      </w:r>
      <w:r w:rsidRPr="00A31137">
        <w:tab/>
        <w:t>$1.0 billion</w:t>
      </w:r>
    </w:p>
    <w:p w:rsidR="00A31137" w:rsidRPr="00A31137" w:rsidRDefault="00A31137" w:rsidP="00A31137"/>
    <w:p w:rsidR="00A31137" w:rsidRPr="00A31137" w:rsidRDefault="00A31137" w:rsidP="00A31137">
      <w:r w:rsidRPr="00A31137">
        <w:t>This will bring the total 1990 prison construction budget to over $1.5 billion, which includes $115 million available from the Special Forfeiture Fund available to the Office of National Drug Control Policy, and $401 million in the original Bush Budget.</w:t>
      </w:r>
    </w:p>
    <w:p w:rsidR="00A31137" w:rsidRPr="00A31137" w:rsidRDefault="00A31137" w:rsidP="00A31137"/>
    <w:p w:rsidR="00A31137" w:rsidRPr="00A31137" w:rsidRDefault="00A31137" w:rsidP="00A31137">
      <w:r w:rsidRPr="00A31137">
        <w:t xml:space="preserve">              Total Increase</w:t>
      </w:r>
      <w:r w:rsidRPr="00A31137">
        <w:tab/>
        <w:t>(1) $1,189.1 billion</w:t>
      </w:r>
    </w:p>
    <w:p w:rsidR="00A31137" w:rsidRPr="00A31137" w:rsidRDefault="00A31137" w:rsidP="00A31137"/>
    <w:p w:rsidR="00A31137" w:rsidRPr="00A31137" w:rsidRDefault="00A31137" w:rsidP="00A31137">
      <w:r w:rsidRPr="00A31137">
        <w:tab/>
        <w:t>(1) This total can be accommodated within the overall domestic discretionary spending cap set in the Bipartisan Budget Agreement.</w:t>
      </w:r>
    </w:p>
    <w:p w:rsidR="00A31137" w:rsidRPr="00A31137" w:rsidRDefault="00A31137" w:rsidP="00A31137">
      <w:r w:rsidRPr="00A31137">
        <w:t>President Bush's Statement on the Chinese Government's Suppression of Student Demonstrations, 1989</w:t>
      </w:r>
    </w:p>
    <w:p w:rsidR="00A31137" w:rsidRPr="00A31137" w:rsidRDefault="00A31137" w:rsidP="00A31137">
      <w:r w:rsidRPr="00A31137">
        <w:t>Title:</w:t>
      </w:r>
      <w:r w:rsidRPr="00A31137">
        <w:tab/>
        <w:t>President Bush's Statement on the Chinese Government's Suppression of Student Demonstrations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3, 1989</w:t>
      </w:r>
    </w:p>
    <w:p w:rsidR="00A31137" w:rsidRPr="00A31137" w:rsidRDefault="00A31137" w:rsidP="00A31137">
      <w:r w:rsidRPr="00A31137">
        <w:t>Source:</w:t>
      </w:r>
      <w:r w:rsidRPr="00A31137">
        <w:tab/>
        <w:t>Public Papers of the Presidents, Bush, 1989, p.669</w:t>
      </w:r>
    </w:p>
    <w:p w:rsidR="00A31137" w:rsidRPr="00A31137" w:rsidRDefault="00A31137" w:rsidP="00A31137">
      <w:r w:rsidRPr="00A31137">
        <w:t>Public Papers of Bush, 1989, p.669</w:t>
      </w:r>
    </w:p>
    <w:p w:rsidR="00A31137" w:rsidRPr="00A31137" w:rsidRDefault="00A31137" w:rsidP="00A31137">
      <w:r w:rsidRPr="00A31137">
        <w:t>It is clear that the Chinese Government has chosen to use force against Chinese citizens who were making a peaceful statement in favor of democracy. I deeply deplore the decision to use force against peaceful demonstrators and the consequent loss of life. We have been urging—and continue to urge—nonviolence, restraint, and dialog. Tragically, another course has been chosen. Again, I urge a return to nonviolent means for dealing with the current situation.</w:t>
      </w:r>
    </w:p>
    <w:p w:rsidR="00A31137" w:rsidRPr="00A31137" w:rsidRDefault="00A31137" w:rsidP="00A31137">
      <w:r w:rsidRPr="00A31137">
        <w:t>Public Papers of Bush, 1989, p.669</w:t>
      </w:r>
    </w:p>
    <w:p w:rsidR="00A31137" w:rsidRPr="00A31137" w:rsidRDefault="00A31137" w:rsidP="00A31137">
      <w:r w:rsidRPr="00A31137">
        <w:t>The United States and People's Republic of China over the past two decades have built up through great efforts by both sides a constructive relationship beneficial to both countries. I hope that China will rapidly return to the path of political and economic reform and conditions of stability so that this relationship, so important to both our peoples, can continue its growth.</w:t>
      </w:r>
    </w:p>
    <w:p w:rsidR="00A31137" w:rsidRPr="00A31137" w:rsidRDefault="00A31137" w:rsidP="00A31137">
      <w:r w:rsidRPr="00A31137">
        <w:t>President Bush's Remarks Announcing the Proposed Constitutional Amendment on Desecration of the Flag, 1989</w:t>
      </w:r>
    </w:p>
    <w:p w:rsidR="00A31137" w:rsidRPr="00A31137" w:rsidRDefault="00A31137" w:rsidP="00A31137">
      <w:r w:rsidRPr="00A31137">
        <w:t>Title:</w:t>
      </w:r>
      <w:r w:rsidRPr="00A31137">
        <w:tab/>
        <w:t>President Bush's Remarks Announcing the Proposed Constitutional Amendment on Desecration of the Flag</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30, 1989</w:t>
      </w:r>
    </w:p>
    <w:p w:rsidR="00A31137" w:rsidRPr="00A31137" w:rsidRDefault="00A31137" w:rsidP="00A31137">
      <w:r w:rsidRPr="00A31137">
        <w:t>Source:</w:t>
      </w:r>
      <w:r w:rsidRPr="00A31137">
        <w:tab/>
        <w:t>Public Papers of the Presidents, Bush, 1989, pp.831-833</w:t>
      </w:r>
    </w:p>
    <w:p w:rsidR="00A31137" w:rsidRPr="00A31137" w:rsidRDefault="00A31137" w:rsidP="00A31137">
      <w:r w:rsidRPr="00A31137">
        <w:t>Public Papers of Bush, 1989, p.831</w:t>
      </w:r>
    </w:p>
    <w:p w:rsidR="00A31137" w:rsidRPr="00A31137" w:rsidRDefault="00A31137" w:rsidP="00A31137">
      <w:r w:rsidRPr="00A31137">
        <w:t>Senator Dole, thank you, sir, and Senator Dixon, appreciate your coming all this way to join us on such short notice. To Congressmen Michel and Montgomery, my sincere thanks, and all the Members of the Senate and House that are here, Secretary of Defense and other distinguished civilians, the Defense Department, and of course I salute the members of the Joint Chiefs who have joined us here. I might say I'm delighted to see Admiral Crowe back from his very successful visit to the Soviet Union—welcome back to the U.S. of A., Bill. And also our fellow citizens, citizens of this, the freest, most generous nation on God's Earth-thank you for joining us.</w:t>
      </w:r>
    </w:p>
    <w:p w:rsidR="00A31137" w:rsidRPr="00A31137" w:rsidRDefault="00A31137" w:rsidP="00A31137">
      <w:r w:rsidRPr="00A31137">
        <w:t>Public Papers of Bush, 1989, p.831</w:t>
      </w:r>
    </w:p>
    <w:p w:rsidR="00A31137" w:rsidRPr="00A31137" w:rsidRDefault="00A31137" w:rsidP="00A31137">
      <w:r w:rsidRPr="00A31137">
        <w:t>And we stand today before a symbol of hope and of triumph. All across America-above farmhouses and statehouses, schools and courts and capitols—our flag is borne on the breeze of freedom. And it reminds Americans how much they've been given and how much they have to give. Our flag represents freedom and the unity of our nation. And our flag flies in peace, thanks to the sacrifices of so many Americans.</w:t>
      </w:r>
    </w:p>
    <w:p w:rsidR="00A31137" w:rsidRPr="00A31137" w:rsidRDefault="00A31137" w:rsidP="00A31137">
      <w:r w:rsidRPr="00A31137">
        <w:t>Public Papers of Bush, 1989, p.831–p.832</w:t>
      </w:r>
    </w:p>
    <w:p w:rsidR="00A31137" w:rsidRPr="00A31137" w:rsidRDefault="00A31137" w:rsidP="00A31137">
      <w:r w:rsidRPr="00A31137">
        <w:t>A woman in Florida recently shared with me a letter written by her cousin, a young soldier named Wayne Thomas. On December 16, 1966, he wrote: "Every time we go out on patrol, it gets a little scarier. The only thing that gives us a sense of security is [p.832] when we walk back into camp and our flag is still flying high." She told me that Wayne stepped on a land mine 11 days later and was killed. He was 18 years old. He understood this banner of freedom and ultimately gave his life for the flag to give others the freedom that it represents.</w:t>
      </w:r>
    </w:p>
    <w:p w:rsidR="00A31137" w:rsidRPr="00A31137" w:rsidRDefault="00A31137" w:rsidP="00A31137">
      <w:r w:rsidRPr="00A31137">
        <w:t>Public Papers of Bush, 1989, p.832</w:t>
      </w:r>
    </w:p>
    <w:p w:rsidR="00A31137" w:rsidRPr="00A31137" w:rsidRDefault="00A31137" w:rsidP="00A31137">
      <w:r w:rsidRPr="00A31137">
        <w:t>You know, she also pointed out to me, parenthetically, that she was a registered Democrat. And to me that simply states that patriotism is not a partisan issue; it's not a political issue. Our purpose today transcends politics and partisanship.</w:t>
      </w:r>
    </w:p>
    <w:p w:rsidR="00A31137" w:rsidRPr="00A31137" w:rsidRDefault="00A31137" w:rsidP="00A31137">
      <w:r w:rsidRPr="00A31137">
        <w:t>Public Papers of Bush, 1989, p.832</w:t>
      </w:r>
    </w:p>
    <w:p w:rsidR="00A31137" w:rsidRPr="00A31137" w:rsidRDefault="00A31137" w:rsidP="00A31137">
      <w:r w:rsidRPr="00A31137">
        <w:t>And we feel in our hearts, and we know from our experience, that the surest way to preserve liberty is to protect the spirit that sustains it. And this flag sustains that spirit, and it's one of our most powerful ideas. And like all powerful ideas, if it is not defended, it is defamed. To the touch, this flag is merely fabric. But to the heart, the flag represents and reflects the fabric of our nation—our dreams, our destiny, our very fiber as a people.</w:t>
      </w:r>
    </w:p>
    <w:p w:rsidR="00A31137" w:rsidRPr="00A31137" w:rsidRDefault="00A31137" w:rsidP="00A31137">
      <w:r w:rsidRPr="00A31137">
        <w:t>Public Papers of Bush, 1989, p.832</w:t>
      </w:r>
    </w:p>
    <w:p w:rsidR="00A31137" w:rsidRPr="00A31137" w:rsidRDefault="00A31137" w:rsidP="00A31137">
      <w:r w:rsidRPr="00A31137">
        <w:t>And when we consider the importance of the colors to this nation, we do not question the right of men to speak freely. For it is this very symbol, with its stripes and stars, that has guaranteed and nurtured those precious rights—for those who've championed the cause of civil rights here at home, to those who fought for democracy abroad.</w:t>
      </w:r>
    </w:p>
    <w:p w:rsidR="00A31137" w:rsidRPr="00A31137" w:rsidRDefault="00A31137" w:rsidP="00A31137">
      <w:r w:rsidRPr="00A31137">
        <w:t>Public Papers of Bush, 1989, p.832</w:t>
      </w:r>
    </w:p>
    <w:p w:rsidR="00A31137" w:rsidRPr="00A31137" w:rsidRDefault="00A31137" w:rsidP="00A31137">
      <w:r w:rsidRPr="00A31137">
        <w:t>Free speech is a right that is dear and close to all. It is in defense of that right, and the others enshrined in our Constitution, that so many have sacrificed. But before we accept dishonor to our flag, we must ask ourselves how many have died following the order to "Save the Colors!" We must ask how many have fought for the ideals it represents. And we must honor those who have been handed the folded flag from the casket at Arlington.</w:t>
      </w:r>
    </w:p>
    <w:p w:rsidR="00A31137" w:rsidRPr="00A31137" w:rsidRDefault="00A31137" w:rsidP="00A31137">
      <w:r w:rsidRPr="00A31137">
        <w:t>Public Papers of Bush, 1989, p.832</w:t>
      </w:r>
    </w:p>
    <w:p w:rsidR="00A31137" w:rsidRPr="00A31137" w:rsidRDefault="00A31137" w:rsidP="00A31137">
      <w:r w:rsidRPr="00A31137">
        <w:t>If the debate here is about liberty, then we cannot turn our backs on those who fought to win it for us. We can't forget the importance of the flag to the ideals of liberty and honor and freedom. To burn the flag, to dishonor it, is simply wrong.</w:t>
      </w:r>
    </w:p>
    <w:p w:rsidR="00A31137" w:rsidRPr="00A31137" w:rsidRDefault="00A31137" w:rsidP="00A31137">
      <w:r w:rsidRPr="00A31137">
        <w:t>Public Papers of Bush, 1989, p.832</w:t>
      </w:r>
    </w:p>
    <w:p w:rsidR="00A31137" w:rsidRPr="00A31137" w:rsidRDefault="00A31137" w:rsidP="00A31137">
      <w:r w:rsidRPr="00A31137">
        <w:t>And today we remember one of the most vivid images of our flag—the one you see behind me—Joe Rosenthal's stunning photograph immortalized in bronze. As you view this memorial, think of its flag and of these men and of how they honor the living and the dead. Remember their heroism and their sacrifice, giving of themselves and others of their lives, fighting bravely, daring greatly, so that freedom could survive.</w:t>
      </w:r>
    </w:p>
    <w:p w:rsidR="00A31137" w:rsidRPr="00A31137" w:rsidRDefault="00A31137" w:rsidP="00A31137">
      <w:r w:rsidRPr="00A31137">
        <w:t>Public Papers of Bush, 1989, p.832</w:t>
      </w:r>
    </w:p>
    <w:p w:rsidR="00A31137" w:rsidRPr="00A31137" w:rsidRDefault="00A31137" w:rsidP="00A31137">
      <w:r w:rsidRPr="00A31137">
        <w:t>The Battle of Iwo Jima wrote one of the greatest chapters in the story of America. And even now, it humbles us, inspires us, reminds us of how Henry Ward Beecher said, "A thoughtful mind, when it sees a nation's flag, sees not the flag only but the nation itself."</w:t>
      </w:r>
    </w:p>
    <w:p w:rsidR="00A31137" w:rsidRPr="00A31137" w:rsidRDefault="00A31137" w:rsidP="00A31137">
      <w:r w:rsidRPr="00A31137">
        <w:t>Public Papers of Bush, 1989, p.832</w:t>
      </w:r>
    </w:p>
    <w:p w:rsidR="00A31137" w:rsidRPr="00A31137" w:rsidRDefault="00A31137" w:rsidP="00A31137">
      <w:r w:rsidRPr="00A31137">
        <w:t>The Nation itself was ennobled by the Battle of Iwo Jima. It was fought in early 1945, fought on 8 square miles of sand, caves, and volcanic rubble. And it cost our Armed Forces almost 7,000 killed and more than 19,000 wounded—almost a third of the landing force. But like Tarawa and Guadalcanal and the Philippines before, it had to be won. For victory at Iwo would be yet another step towards bringing that ghastly war to a close.</w:t>
      </w:r>
    </w:p>
    <w:p w:rsidR="00A31137" w:rsidRPr="00A31137" w:rsidRDefault="00A31137" w:rsidP="00A31137">
      <w:r w:rsidRPr="00A31137">
        <w:t>Public Papers of Bush, 1989, p.832</w:t>
      </w:r>
    </w:p>
    <w:p w:rsidR="00A31137" w:rsidRPr="00A31137" w:rsidRDefault="00A31137" w:rsidP="00A31137">
      <w:r w:rsidRPr="00A31137">
        <w:t>These marines wrote a profile in courage, enduring a torrent of shells, pushing their way up that extinct volcano. And they stormed Mount Suribachi. And when they reached the top, the five men behind me raised a piece of pipe upright, and from one end flew a flag. And in the most famous image of World War II, a photograph was taken of these men and that flag. And what that flag embodies is too sacred to be abused.</w:t>
      </w:r>
    </w:p>
    <w:p w:rsidR="00A31137" w:rsidRPr="00A31137" w:rsidRDefault="00A31137" w:rsidP="00A31137">
      <w:r w:rsidRPr="00A31137">
        <w:t>Public Papers of Bush, 1989, p.832</w:t>
      </w:r>
    </w:p>
    <w:p w:rsidR="00A31137" w:rsidRPr="00A31137" w:rsidRDefault="00A31137" w:rsidP="00A31137">
      <w:r w:rsidRPr="00A31137">
        <w:t>As Justice Stevens stated so eloquently in his dissenting opinion in the recent Supreme Court case: "The ideas of liberty and equality have been an irresistible force in motivating leaders like Patrick Henry, Susan B. Anthony, Abraham Lincoln; schoolteachers like Nathan Hale and Booker T. Washington; the Philippine Scouts who fought at Bataan; and the soldiers who scaled the bluff at Omaha Beach. If those ideas are worth fighting for—and our history demonstrates that they are—it cannot be true," he says, "that the flag that uniquely symbolizes their power is not itself worthy of protection from unnecessary desecration." The Justice is right.</w:t>
      </w:r>
    </w:p>
    <w:p w:rsidR="00A31137" w:rsidRPr="00A31137" w:rsidRDefault="00A31137" w:rsidP="00A31137">
      <w:r w:rsidRPr="00A31137">
        <w:t>Public Papers of Bush, 1989, p.832–p.833</w:t>
      </w:r>
    </w:p>
    <w:p w:rsidR="00A31137" w:rsidRPr="00A31137" w:rsidRDefault="00A31137" w:rsidP="00A31137">
      <w:r w:rsidRPr="00A31137">
        <w:t>And today I am grateful to the leaders here and the leaders of the Congress with us in this audience who have proposed a [p.833] constitutional amendment to protect the flag. Its language is stark, and it's simple and to the point: "The Congress and the States shall have power to prohibit the physical desecration of the flag of the United States." Simple and to the point, this amendment preserves the widest conceivable range of options for free expression. It applies only to the flag, the unique symbol of our nation.</w:t>
      </w:r>
    </w:p>
    <w:p w:rsidR="00A31137" w:rsidRPr="00A31137" w:rsidRDefault="00A31137" w:rsidP="00A31137">
      <w:r w:rsidRPr="00A31137">
        <w:t>Public Papers of Bush, 1989, p.833</w:t>
      </w:r>
    </w:p>
    <w:p w:rsidR="00A31137" w:rsidRPr="00A31137" w:rsidRDefault="00A31137" w:rsidP="00A31137">
      <w:r w:rsidRPr="00A31137">
        <w:t>Senator Dole, Senator Dixon, Congressmen Michel and Montgomery, I know that you have already taken the lead, but please take the lead, working with others here today, in moving this bill forward. With the help of you Members of the Senate and House here today, and with the help of the many more of your colleagues who couldn't be with us today, I am confident that we will succeed. I've seen predictions that this will take a long time; it need not. It is simple, to the point, direct; and it addresses itself to only one thing: Our flag will not be desecrated.</w:t>
      </w:r>
    </w:p>
    <w:p w:rsidR="00A31137" w:rsidRPr="00A31137" w:rsidRDefault="00A31137" w:rsidP="00A31137">
      <w:r w:rsidRPr="00A31137">
        <w:t>Public Papers of Bush, 1989, p.833</w:t>
      </w:r>
    </w:p>
    <w:p w:rsidR="00A31137" w:rsidRPr="00A31137" w:rsidRDefault="00A31137" w:rsidP="00A31137">
      <w:r w:rsidRPr="00A31137">
        <w:t>Let me close with a letter from a man named Augusto Moreno. Born in Argentina, now a naturalized citizen, he likes to say that he's more proud to be an American than most of those born in this country. I'm not sure he's right about that, but that's what he likes to say, anyway. He's very serious when he states: "I am proud to say that my blood is represented on our flag. I was wounded while fighting for democracy with the United State Marine Corps in Vietnam. I am now a disabled veteran. I am sure that there is not one day that goes by without you seeing the faces of those who were not so fortunate to return as you and I." And he says: "We must continue our struggle to protect the flag now, as when we were in uniform—if not for us, then for those fallen veterans. We've been entrusted by those who have fought for freedom before us to protect our flag. I cannot allow anyone to desecrate the only symbol of freedom in the world." And he ends saying, "Sir, I realize that you're a Navy veteran, but Semper Fi anyway." [Laughter] Those darn marines, I'll tell you.</w:t>
      </w:r>
    </w:p>
    <w:p w:rsidR="00A31137" w:rsidRPr="00A31137" w:rsidRDefault="00A31137" w:rsidP="00A31137">
      <w:r w:rsidRPr="00A31137">
        <w:t>Public Papers of Bush, 1989, p.833</w:t>
      </w:r>
    </w:p>
    <w:p w:rsidR="00A31137" w:rsidRPr="00A31137" w:rsidRDefault="00A31137" w:rsidP="00A31137">
      <w:r w:rsidRPr="00A31137">
        <w:t>Well, Mr. Moreno, you have our word on it: For the sake of the fallen, for the men behind the guns, for every American, we will defend the flag of the United States of America.</w:t>
      </w:r>
    </w:p>
    <w:p w:rsidR="00A31137" w:rsidRPr="00A31137" w:rsidRDefault="00A31137" w:rsidP="00A31137">
      <w:r w:rsidRPr="00A31137">
        <w:t>Public Papers of Bush, 1989, p.833</w:t>
      </w:r>
    </w:p>
    <w:p w:rsidR="00A31137" w:rsidRPr="00A31137" w:rsidRDefault="00A31137" w:rsidP="00A31137">
      <w:r w:rsidRPr="00A31137">
        <w:t>Thank you. God bless this flag, and God bless the United States of America.</w:t>
      </w:r>
    </w:p>
    <w:p w:rsidR="00A31137" w:rsidRPr="00A31137" w:rsidRDefault="00A31137" w:rsidP="00A31137">
      <w:r w:rsidRPr="00A31137">
        <w:t>Public Papers of Bush, 1989, p.833</w:t>
      </w:r>
    </w:p>
    <w:p w:rsidR="00A31137" w:rsidRPr="00A31137" w:rsidRDefault="00A31137" w:rsidP="00A31137">
      <w:r w:rsidRPr="00A31137">
        <w:t>NOTE: The President spoke at 9:23 a.m. in front of the Iwo Jima Memorial in Arlington, VA. In his remarks, he referred to Secretary of Defense Richard B. Cheney and Adm. William J. Crowe, Jr., USN, Chairman of the Joint Chiefs of Staff.</w:t>
      </w:r>
    </w:p>
    <w:p w:rsidR="00A31137" w:rsidRPr="00A31137" w:rsidRDefault="00A31137" w:rsidP="00A31137">
      <w:r w:rsidRPr="00A31137">
        <w:t>President Bush's Remarks at a White House Ceremony Commemorating the 25th Anniversary of the Civil Rights Act, 1989</w:t>
      </w:r>
    </w:p>
    <w:p w:rsidR="00A31137" w:rsidRPr="00A31137" w:rsidRDefault="00A31137" w:rsidP="00A31137">
      <w:r w:rsidRPr="00A31137">
        <w:t>Title:</w:t>
      </w:r>
      <w:r w:rsidRPr="00A31137">
        <w:tab/>
        <w:t>President Bush's Remarks at a White House Ceremony Commemorating the 25th Anniversary of the Civil Rights Act</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30, 1989</w:t>
      </w:r>
    </w:p>
    <w:p w:rsidR="00A31137" w:rsidRPr="00A31137" w:rsidRDefault="00A31137" w:rsidP="00A31137">
      <w:r w:rsidRPr="00A31137">
        <w:t>Source:</w:t>
      </w:r>
      <w:r w:rsidRPr="00A31137">
        <w:tab/>
        <w:t>Public Papers of the Presidents, Bush, 1989, pp.834-836</w:t>
      </w:r>
    </w:p>
    <w:p w:rsidR="00A31137" w:rsidRPr="00A31137" w:rsidRDefault="00A31137" w:rsidP="00A31137">
      <w:r w:rsidRPr="00A31137">
        <w:t>Public Papers of Bush, 1989, p.834–p.835</w:t>
      </w:r>
    </w:p>
    <w:p w:rsidR="00A31137" w:rsidRPr="00A31137" w:rsidRDefault="00A31137" w:rsidP="00A31137">
      <w:r w:rsidRPr="00A31137">
        <w:t>Well, thank you for that warm reception, and welcome to the White House. We're just delighted that you joined us for this important occasion. And of course, I'm very [p.835] pleased to see several of our Cabinet members here, leaders of the United States Congress here. I'm particularly pleased to see our Attorney General, Dick Thornburgh, and, I might say, Bill Lucas, a friend of mine of long-standing, our nominee at Justice—both of whom, I can tell you, are fully committed to the vigorous enforcement of civil rights.</w:t>
      </w:r>
    </w:p>
    <w:p w:rsidR="00A31137" w:rsidRPr="00A31137" w:rsidRDefault="00A31137" w:rsidP="00A31137">
      <w:r w:rsidRPr="00A31137">
        <w:t>Public Papers of Bush, 1989, p.835</w:t>
      </w:r>
    </w:p>
    <w:p w:rsidR="00A31137" w:rsidRPr="00A31137" w:rsidRDefault="00A31137" w:rsidP="00A31137">
      <w:r w:rsidRPr="00A31137">
        <w:t>And I might say I am just delighted that, among others representing the fine work of the Southern Christian Leadership Conference, we have their president, the Reverend Joseph Lowery, with us over here today. I don't know who the man sitting on his right is, but I'll try to—[laughter]. Jesse [Jackson], you know the ground rules. [Laughter] But let me be very clear: I'm delighted you are here. It's most important that you be here today, too, sir.</w:t>
      </w:r>
    </w:p>
    <w:p w:rsidR="00A31137" w:rsidRPr="00A31137" w:rsidRDefault="00A31137" w:rsidP="00A31137">
      <w:r w:rsidRPr="00A31137">
        <w:t>Public Papers of Bush, 1989, p.835</w:t>
      </w:r>
    </w:p>
    <w:p w:rsidR="00A31137" w:rsidRPr="00A31137" w:rsidRDefault="00A31137" w:rsidP="00A31137">
      <w:r w:rsidRPr="00A31137">
        <w:t>We gather today not only to commemorate an anniversary but to celebrate a movement and to rededicate our efforts to the unfinished work of that movement. Some of America's mileposts are easy to date. In 1776, America invented itself, a nation founded upon an idea—the self-evident truth that all men are created equal. And nearly a century later, our nation fought its bloodiest war that the promise of that Revolution might be extended to all people. But for many Americans, another hundred years were to pass before the promise would even begin to become a reality.</w:t>
      </w:r>
    </w:p>
    <w:p w:rsidR="00A31137" w:rsidRPr="00A31137" w:rsidRDefault="00A31137" w:rsidP="00A31137">
      <w:r w:rsidRPr="00A31137">
        <w:t>Public Papers of Bush, 1989, p.835</w:t>
      </w:r>
    </w:p>
    <w:p w:rsidR="00A31137" w:rsidRPr="00A31137" w:rsidRDefault="00A31137" w:rsidP="00A31137">
      <w:r w:rsidRPr="00A31137">
        <w:t>Like the first American Revolution, it began with the quiet courage of ordinary citizens. Perhaps it began on December 1, 1955, when Rosa Parks refused to give up her rightful place on a Birmingham bus. Or maybe, maybe it was October 1, 1962, when James Meredith took destiny into his hands and registered at the University of Mississippi. But by the summer of '64, the revolution had a name. It was called the civil rights movement, and that year marked a watershed for many Americans. The previous August had seen 250,000 gathered—just beyond those windows—to hear Martin Luther King, Jr., proclaim a dream that was due every American. And the following year would see the march on Selma, and Watts would burn.</w:t>
      </w:r>
    </w:p>
    <w:p w:rsidR="00A31137" w:rsidRPr="00A31137" w:rsidRDefault="00A31137" w:rsidP="00A31137">
      <w:r w:rsidRPr="00A31137">
        <w:t>Public Papers of Bush, 1989, p.835</w:t>
      </w:r>
    </w:p>
    <w:p w:rsidR="00A31137" w:rsidRPr="00A31137" w:rsidRDefault="00A31137" w:rsidP="00A31137">
      <w:r w:rsidRPr="00A31137">
        <w:t>But in 1964, the debate raged. Good people with honorable intentions struggled with issues as old as the Republic and as young as the movement's leadership. The breakthrough came when the Senate finally invoked cloture, ending the longest debate in its history and a 74-day filibuster. And the result was a statutory package—soon to be bolstered by voting rights and open housing legislation—that stands as a landmark in the civil rights movement.</w:t>
      </w:r>
    </w:p>
    <w:p w:rsidR="00A31137" w:rsidRPr="00A31137" w:rsidRDefault="00A31137" w:rsidP="00A31137">
      <w:r w:rsidRPr="00A31137">
        <w:t>Public Papers of Bush, 1989, p.835</w:t>
      </w:r>
    </w:p>
    <w:p w:rsidR="00A31137" w:rsidRPr="00A31137" w:rsidRDefault="00A31137" w:rsidP="00A31137">
      <w:r w:rsidRPr="00A31137">
        <w:t>But it wasn't the year's only milepost. That same summer, the brutal murder of three young civil rights workers, so singularly appalling in its savagery, shocked the conscience of this nation and became critical to our country's progress on civil rights. Twenty-five years later, these mileposts are important symbols of how far we've come as a nation and reminders of how far we must still go.</w:t>
      </w:r>
    </w:p>
    <w:p w:rsidR="00A31137" w:rsidRPr="00A31137" w:rsidRDefault="00A31137" w:rsidP="00A31137">
      <w:r w:rsidRPr="00A31137">
        <w:t>Public Papers of Bush, 1989, p.835</w:t>
      </w:r>
    </w:p>
    <w:p w:rsidR="00A31137" w:rsidRPr="00A31137" w:rsidRDefault="00A31137" w:rsidP="00A31137">
      <w:r w:rsidRPr="00A31137">
        <w:t>It's appropriate today that we rededicate ourselves to that most American of dreams: a society in which individuals are judged not "by the color of their skin, but by the content of their character." That means vigilant and aggressive enforcement of all civil rights laws. It means the sensitive application of those laws when competing rights of innocent persons are at stake. The law cannot tolerate any discrimination, and my administration will not tolerate abuse of that principle.</w:t>
      </w:r>
    </w:p>
    <w:p w:rsidR="00A31137" w:rsidRPr="00A31137" w:rsidRDefault="00A31137" w:rsidP="00A31137">
      <w:r w:rsidRPr="00A31137">
        <w:t>Public Papers of Bush, 1989, p.835</w:t>
      </w:r>
    </w:p>
    <w:p w:rsidR="00A31137" w:rsidRPr="00A31137" w:rsidRDefault="00A31137" w:rsidP="00A31137">
      <w:r w:rsidRPr="00A31137">
        <w:t>And while celebrating our achievements and recommitting ourselves to their preservation, we must recognize that the full promise of the civil rights movement has still not been achieved. The hard lesson of the passing years is that it has not been enough to wage a war against the old forms of bigotry and inequality. The lives of the disadvantaged in this country are affected by economic barriers at least as much as by the remnants of legal discrimination. And for that reason, I continue to support affirmative action and minority outreach programs. And as I've stated before, we must move beyond the protection of rights to the creation of opportunity.</w:t>
      </w:r>
    </w:p>
    <w:p w:rsidR="00A31137" w:rsidRPr="00A31137" w:rsidRDefault="00A31137" w:rsidP="00A31137">
      <w:r w:rsidRPr="00A31137">
        <w:t>Public Papers of Bush, 1989, p.835–p.836</w:t>
      </w:r>
    </w:p>
    <w:p w:rsidR="00A31137" w:rsidRPr="00A31137" w:rsidRDefault="00A31137" w:rsidP="00A31137">
      <w:r w:rsidRPr="00A31137">
        <w:t>Creating opportunities for all Americans will require both public and private leadership. And it's time to move forward on a broader front. And we will be satisfied with nothing less than equal opportunity for all [p.836] Americans and the removal of final barriers to self-reliance. And that's why—that my administration has proposed new initiatives in education, the key to opportunity, to boost programs such as Head Start, merit schools, adult literacy and, of course, historically black colleges and universities. And we've asked Congress for emergency urban grants to help free our youth from a new form of enslavement: the slavery of drug addiction.</w:t>
      </w:r>
    </w:p>
    <w:p w:rsidR="00A31137" w:rsidRPr="00A31137" w:rsidRDefault="00A31137" w:rsidP="00A31137">
      <w:r w:rsidRPr="00A31137">
        <w:t>Public Papers of Bush, 1989, p.836</w:t>
      </w:r>
    </w:p>
    <w:p w:rsidR="00A31137" w:rsidRPr="00A31137" w:rsidRDefault="00A31137" w:rsidP="00A31137">
      <w:r w:rsidRPr="00A31137">
        <w:t>On other fronts, we're supporting landmark new legislation to extend the Nation's civil rights guarantees to those more than 36 million Americans with disabilities, bringing them into the mainstream of American society. And last week we added our voice to those calling for passage of the Hate Crimes Act. My administration's comprehensive crime package isn't just about law enforcement. Earlier this week, I spoke about the impediments to providing equal opportunities for women—if a justifiable fear of violent crime leaves them concerned about walking to a campus library at night or reluctant to work late hours for fear of getting out of the parking lot safely.</w:t>
      </w:r>
    </w:p>
    <w:p w:rsidR="00A31137" w:rsidRPr="00A31137" w:rsidRDefault="00A31137" w:rsidP="00A31137">
      <w:r w:rsidRPr="00A31137">
        <w:t>Public Papers of Bush, 1989, p.836</w:t>
      </w:r>
    </w:p>
    <w:p w:rsidR="00A31137" w:rsidRPr="00A31137" w:rsidRDefault="00A31137" w:rsidP="00A31137">
      <w:r w:rsidRPr="00A31137">
        <w:t>And new programs in civil rights also means anticipating the future, a future in which more than 80 percent of those entering the work force will come from the ranks of women, minorities, and immigrants. The challenge of the future will not be just finding jobs for our people but, if you look at the demographics, finding people for our jobs.</w:t>
      </w:r>
    </w:p>
    <w:p w:rsidR="00A31137" w:rsidRPr="00A31137" w:rsidRDefault="00A31137" w:rsidP="00A31137">
      <w:r w:rsidRPr="00A31137">
        <w:t>Public Papers of Bush, 1989, p.836</w:t>
      </w:r>
    </w:p>
    <w:p w:rsidR="00A31137" w:rsidRPr="00A31137" w:rsidRDefault="00A31137" w:rsidP="00A31137">
      <w:r w:rsidRPr="00A31137">
        <w:t>And the work force of the future can also benefit from the unique abilities of persons with disabilities. The time-tested laws that give civil rights protections can and ought to be extended to persons with disabilities. This will involve, of course, a careful balance between the needs of persons with disabilities and the needs of business to make real progress towards opening the doors of the workplace.</w:t>
      </w:r>
    </w:p>
    <w:p w:rsidR="00A31137" w:rsidRPr="00A31137" w:rsidRDefault="00A31137" w:rsidP="00A31137">
      <w:r w:rsidRPr="00A31137">
        <w:t>Public Papers of Bush, 1989, p.836</w:t>
      </w:r>
    </w:p>
    <w:p w:rsidR="00A31137" w:rsidRPr="00A31137" w:rsidRDefault="00A31137" w:rsidP="00A31137">
      <w:r w:rsidRPr="00A31137">
        <w:t>In the 25 years since the summer of '64, we've seen much progress. It is time now to move forward on a broader front, to move forward into the century's final decade with a civil rights mission that fully embraces every deserving American, regardless of race—whether women, children, or the aged; whether the disabled, the unemployed, or the homeless. And for all these reasons, I'm proud today to honor this year's anniversary by calling on Congress, respectfully, to join me in a new partnership to reauthorize the Civil Rights Commission, with the goal of launching a renewed civil rights mission.</w:t>
      </w:r>
    </w:p>
    <w:p w:rsidR="00A31137" w:rsidRPr="00A31137" w:rsidRDefault="00A31137" w:rsidP="00A31137">
      <w:r w:rsidRPr="00A31137">
        <w:t>Public Papers of Bush, 1989, p.836</w:t>
      </w:r>
    </w:p>
    <w:p w:rsidR="00A31137" w:rsidRPr="00A31137" w:rsidRDefault="00A31137" w:rsidP="00A31137">
      <w:r w:rsidRPr="00A31137">
        <w:t>Launching a civil rights mission that can keep pace with a fast-changing world and work force will require commitment, cooperation and, yes, creative thinking. And beyond government, and even beyond the private leadership of dedicated representatives such as those here in this room, achieving the long-delayed dream of civil rights for every citizen will require full support from our businesses, our schools, and families.</w:t>
      </w:r>
    </w:p>
    <w:p w:rsidR="00A31137" w:rsidRPr="00A31137" w:rsidRDefault="00A31137" w:rsidP="00A31137">
      <w:r w:rsidRPr="00A31137">
        <w:t>Public Papers of Bush, 1989, p.836</w:t>
      </w:r>
    </w:p>
    <w:p w:rsidR="00A31137" w:rsidRPr="00A31137" w:rsidRDefault="00A31137" w:rsidP="00A31137">
      <w:r w:rsidRPr="00A31137">
        <w:t>As President Kennedy proclaimed in a call to conscience when he proposed the landmark legislation in 1963, even the most comprehensive of laws could never meet the challenge of civil rights. The problem, he declared, "must be solved in the homes of every American in every community across our country." And in this, I ask you and every American for a renewed commitment to this just cause.</w:t>
      </w:r>
    </w:p>
    <w:p w:rsidR="00A31137" w:rsidRPr="00A31137" w:rsidRDefault="00A31137" w:rsidP="00A31137">
      <w:r w:rsidRPr="00A31137">
        <w:t>Public Papers of Bush, 1989, p.836</w:t>
      </w:r>
    </w:p>
    <w:p w:rsidR="00A31137" w:rsidRPr="00A31137" w:rsidRDefault="00A31137" w:rsidP="00A31137">
      <w:r w:rsidRPr="00A31137">
        <w:t>And I thank you for coming to the White House today and for honoring the history of this movement—a movement in which many of you here in this room today were in the very forefront of leadership for that movement. Thank you for coming. Now we've got some work to do in the 25 years ahead. Thank you all very, very much.</w:t>
      </w:r>
    </w:p>
    <w:p w:rsidR="00A31137" w:rsidRPr="00A31137" w:rsidRDefault="00A31137" w:rsidP="00A31137">
      <w:r w:rsidRPr="00A31137">
        <w:t>Public Papers of Bush, 1989, p.836</w:t>
      </w:r>
    </w:p>
    <w:p w:rsidR="00A31137" w:rsidRPr="00A31137" w:rsidRDefault="00A31137" w:rsidP="00A31137">
      <w:r w:rsidRPr="00A31137">
        <w:t>NOTE: The President spoke at 2:05 p.m. in the East Room at the White House.</w:t>
      </w:r>
    </w:p>
    <w:p w:rsidR="00A31137" w:rsidRPr="00A31137" w:rsidRDefault="00A31137" w:rsidP="00A31137">
      <w:r w:rsidRPr="00A31137">
        <w:t>President Bush's Statement on the Supreme Court's Decision on Abortion, 1989</w:t>
      </w:r>
    </w:p>
    <w:p w:rsidR="00A31137" w:rsidRPr="00A31137" w:rsidRDefault="00A31137" w:rsidP="00A31137">
      <w:r w:rsidRPr="00A31137">
        <w:t>Title:</w:t>
      </w:r>
      <w:r w:rsidRPr="00A31137">
        <w:tab/>
        <w:t>President Bush's Statement on the Supreme Court's Decision on Abortion</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July 3, 1989</w:t>
      </w:r>
    </w:p>
    <w:p w:rsidR="00A31137" w:rsidRPr="00A31137" w:rsidRDefault="00A31137" w:rsidP="00A31137">
      <w:r w:rsidRPr="00A31137">
        <w:t>Source:</w:t>
      </w:r>
      <w:r w:rsidRPr="00A31137">
        <w:tab/>
        <w:t>Public Papers of the Presidents, Bush, 1989, p.889</w:t>
      </w:r>
    </w:p>
    <w:p w:rsidR="00A31137" w:rsidRPr="00A31137" w:rsidRDefault="00A31137" w:rsidP="00A31137">
      <w:r w:rsidRPr="00A31137">
        <w:t>Public Papers of Bush, 1989, p.889</w:t>
      </w:r>
    </w:p>
    <w:p w:rsidR="00A31137" w:rsidRPr="00A31137" w:rsidRDefault="00A31137" w:rsidP="00A31137">
      <w:r w:rsidRPr="00A31137">
        <w:t>We welcome this decision. By upholding the Missouri statute, the Court appears to have begun to restore to the people the ability to protect the unborn. We continue to believe that Roe v. Wade was incorrectly decided and should be reversed.</w:t>
      </w:r>
    </w:p>
    <w:p w:rsidR="00A31137" w:rsidRPr="00A31137" w:rsidRDefault="00A31137" w:rsidP="00A31137">
      <w:r w:rsidRPr="00A31137">
        <w:t>Public Papers of Bush, 1989, p.889</w:t>
      </w:r>
    </w:p>
    <w:p w:rsidR="00A31137" w:rsidRPr="00A31137" w:rsidRDefault="00A31137" w:rsidP="00A31137">
      <w:r w:rsidRPr="00A31137">
        <w:t>Americans obviously differ over the difficult issue underlying this case—the morality and appropriate legal status of abortion. Any decision in this area will stir strong feelings. Nevertheless, I have confidence that the American people will continue to express their deeply held convictions on this subject within the bounds of civility and our legal institutions.</w:t>
      </w:r>
    </w:p>
    <w:p w:rsidR="00A31137" w:rsidRPr="00A31137" w:rsidRDefault="00A31137" w:rsidP="00A31137">
      <w:r w:rsidRPr="00A31137">
        <w:t>Public Papers of Bush, 1989, p.889</w:t>
      </w:r>
    </w:p>
    <w:p w:rsidR="00A31137" w:rsidRPr="00A31137" w:rsidRDefault="00A31137" w:rsidP="00A31137">
      <w:r w:rsidRPr="00A31137">
        <w:t>NOTE: In "Webster v. Reproductive Health Services" the Supreme Court ruled that States had the power to restrict abortion on demand.</w:t>
      </w:r>
    </w:p>
    <w:p w:rsidR="00A31137" w:rsidRPr="00A31137" w:rsidRDefault="00A31137" w:rsidP="00A31137">
      <w:r w:rsidRPr="00A31137">
        <w:t>President Bush's Remarks on Receiving Proposed Line-Item Veto Legislation, 1989</w:t>
      </w:r>
    </w:p>
    <w:p w:rsidR="00A31137" w:rsidRPr="00A31137" w:rsidRDefault="00A31137" w:rsidP="00A31137">
      <w:r w:rsidRPr="00A31137">
        <w:t>Title:</w:t>
      </w:r>
      <w:r w:rsidRPr="00A31137">
        <w:tab/>
        <w:t>President Bush's Remarks on Receiving Proposed Line-Item Veto Legislation</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August 4, 1989</w:t>
      </w:r>
    </w:p>
    <w:p w:rsidR="00A31137" w:rsidRPr="00A31137" w:rsidRDefault="00A31137" w:rsidP="00A31137">
      <w:r w:rsidRPr="00A31137">
        <w:t>Source:</w:t>
      </w:r>
      <w:r w:rsidRPr="00A31137">
        <w:tab/>
        <w:t>Public Papers of the Presidents, Bush, 1989, pp.1053-1055</w:t>
      </w:r>
    </w:p>
    <w:p w:rsidR="00A31137" w:rsidRPr="00A31137" w:rsidRDefault="00A31137" w:rsidP="00A31137">
      <w:r w:rsidRPr="00A31137">
        <w:t>Public Papers of Bush, 1989, p.1053</w:t>
      </w:r>
    </w:p>
    <w:p w:rsidR="00A31137" w:rsidRPr="00A31137" w:rsidRDefault="00A31137" w:rsidP="00A31137">
      <w:r w:rsidRPr="00A31137">
        <w:t>Senator Coats. Mr. President, it's a pleasure for me to present to you on behalf of these Senators with us here—Senator Humphrey, Senator McCain, Senator Armstrong—a bill which we think will move us toward spending control from the executive branch and in the Congress, a much-needed tool that you must have and that we want to give you to enact some fiscal discipline in our spending process. Thirty-two senators have signed this piece of legislation, a legislative line-item veto. Senator McCain and I have worked very closely with Senator Humphrey and Senator Armstrong and others to put together what we think is a terrific piece of legislation. Thirty-two of our Members have signed it. We want to present it to you this morning and pledge our very best efforts to get this enacted into law. And we hope in a very short time we are back here standing with you and you have a pen in your hand and you're signing this into law.</w:t>
      </w:r>
    </w:p>
    <w:p w:rsidR="00A31137" w:rsidRPr="00A31137" w:rsidRDefault="00A31137" w:rsidP="00A31137">
      <w:r w:rsidRPr="00A31137">
        <w:t>Public Papers of Bush, 1989, p.1053–p.1054</w:t>
      </w:r>
    </w:p>
    <w:p w:rsidR="00A31137" w:rsidRPr="00A31137" w:rsidRDefault="00A31137" w:rsidP="00A31137">
      <w:r w:rsidRPr="00A31137">
        <w:t>The President. Well, thank you Senator Coats. And first, let me thank Senators Armstrong, Coats, Humphrey, McCain. Senator Dole was to be here, but I understand he's very enthusiastic about all of this. And I'm delighted to endorse the Legislative Line-Item Veto Act of 1989. And I'm especially [p.1054] pleased that we have now more than 30 sponsors, cosponsors, for the legislation. It's a long-overdue budget reform piece of legislation.</w:t>
      </w:r>
    </w:p>
    <w:p w:rsidR="00A31137" w:rsidRPr="00A31137" w:rsidRDefault="00A31137" w:rsidP="00A31137">
      <w:r w:rsidRPr="00A31137">
        <w:t>Public Papers of Bush, 1989, p.1054</w:t>
      </w:r>
    </w:p>
    <w:p w:rsidR="00A31137" w:rsidRPr="00A31137" w:rsidRDefault="00A31137" w:rsidP="00A31137">
      <w:r w:rsidRPr="00A31137">
        <w:t>And on February 9th, I asked Congress to enact reform legislation to give the President greater control over spending. And present law allows for the cancellation of an appropriation only through rescission, but Congress can reject a Presidential rescission simply by inaction. And that's precisely what's happened to the vast majority of rescission proposals submitted by three Presidents since the present law went into effect in 1974.</w:t>
      </w:r>
    </w:p>
    <w:p w:rsidR="00A31137" w:rsidRPr="00A31137" w:rsidRDefault="00A31137" w:rsidP="00A31137">
      <w:r w:rsidRPr="00A31137">
        <w:t>Public Papers of Bush, 1989, p.1054</w:t>
      </w:r>
    </w:p>
    <w:p w:rsidR="00A31137" w:rsidRPr="00A31137" w:rsidRDefault="00A31137" w:rsidP="00A31137">
      <w:r w:rsidRPr="00A31137">
        <w:t>And so I asked Congress to pass a budget reform proposal that would require an up-or-down vote by Congress on Presidential rescissions. And this legislation really gets to the heart of that goal. It's a tough bill; it forces Congress to act on rescissions. And if Congress does not act, the rescissions take effect. And f they do act, then the bill, of course, would be subject to a veto. So this is one of the tools the President of the United States needs to do what the American people want, and that is to control spending.</w:t>
      </w:r>
    </w:p>
    <w:p w:rsidR="00A31137" w:rsidRPr="00A31137" w:rsidRDefault="00A31137" w:rsidP="00A31137">
      <w:r w:rsidRPr="00A31137">
        <w:t>Public Papers of Bush, 1989, p.1054</w:t>
      </w:r>
    </w:p>
    <w:p w:rsidR="00A31137" w:rsidRPr="00A31137" w:rsidRDefault="00A31137" w:rsidP="00A31137">
      <w:r w:rsidRPr="00A31137">
        <w:t>And I've said the President needs the power to make the tough calls on spending, to take the heat. I'm perfectly prepared to do that. And that's what, in my view, this forward-looking legislation does. So I endorse this legislation. And I want to thank each and every one of you for playing a significant part in it. And I look forward to working with you to see it enacted. Thank you very much.</w:t>
      </w:r>
    </w:p>
    <w:p w:rsidR="00A31137" w:rsidRPr="00A31137" w:rsidRDefault="00A31137" w:rsidP="00A31137">
      <w:r w:rsidRPr="00A31137">
        <w:t>Public Papers of Bush, 1989, p.1054</w:t>
      </w:r>
    </w:p>
    <w:p w:rsidR="00A31137" w:rsidRPr="00A31137" w:rsidRDefault="00A31137" w:rsidP="00A31137">
      <w:r w:rsidRPr="00A31137">
        <w:t>Senator Coats. Well, this is the result of some very tough negotiations between all of us, and I think we've fashioned a bill here that will have some real teeth, some real meaning. And we're pleased that you're endorsing it. Thank you.</w:t>
      </w:r>
    </w:p>
    <w:p w:rsidR="00A31137" w:rsidRPr="00A31137" w:rsidRDefault="00A31137" w:rsidP="00A31137">
      <w:r w:rsidRPr="00A31137">
        <w:t>American Hostages in Lebanon</w:t>
      </w:r>
    </w:p>
    <w:p w:rsidR="00A31137" w:rsidRPr="00A31137" w:rsidRDefault="00A31137" w:rsidP="00A31137">
      <w:r w:rsidRPr="00A31137">
        <w:t>Public Papers of Bush, 1989, p.1054</w:t>
      </w:r>
    </w:p>
    <w:p w:rsidR="00A31137" w:rsidRPr="00A31137" w:rsidRDefault="00A31137" w:rsidP="00A31137">
      <w:r w:rsidRPr="00A31137">
        <w:t>Q. Mr. President, what do you make of Rafsanjani's [President of Iran] offer to help resolve the hostage crisis?</w:t>
      </w:r>
    </w:p>
    <w:p w:rsidR="00A31137" w:rsidRPr="00A31137" w:rsidRDefault="00A31137" w:rsidP="00A31137">
      <w:r w:rsidRPr="00A31137">
        <w:t>Public Papers of Bush, 1989, p.1054</w:t>
      </w:r>
    </w:p>
    <w:p w:rsidR="00A31137" w:rsidRPr="00A31137" w:rsidRDefault="00A31137" w:rsidP="00A31137">
      <w:r w:rsidRPr="00A31137">
        <w:t>The President. We have engaged in an extraordinarily broad exercise of diplomacy here in the last couple of days, and let me say I am pleased about that. I don't know what it means fully, but I think the world is familiar with our policy. But there will be nothing that will be done ever that will create a new incentive for taking somebody else hostage.</w:t>
      </w:r>
    </w:p>
    <w:p w:rsidR="00A31137" w:rsidRPr="00A31137" w:rsidRDefault="00A31137" w:rsidP="00A31137">
      <w:r w:rsidRPr="00A31137">
        <w:t>Public Papers of Bush, 1989, p.1054</w:t>
      </w:r>
    </w:p>
    <w:p w:rsidR="00A31137" w:rsidRPr="00A31137" w:rsidRDefault="00A31137" w:rsidP="00A31137">
      <w:r w:rsidRPr="00A31137">
        <w:t>But I feel the burden of going to every end possible to try to find—get the return of these Americans to their loved ones and find out the truth about Colonel Higgins.</w:t>
      </w:r>
    </w:p>
    <w:p w:rsidR="00A31137" w:rsidRPr="00A31137" w:rsidRDefault="00A31137" w:rsidP="00A31137">
      <w:r w:rsidRPr="00A31137">
        <w:t>Public Papers of Bush, 1989, p.1054</w:t>
      </w:r>
    </w:p>
    <w:p w:rsidR="00A31137" w:rsidRPr="00A31137" w:rsidRDefault="00A31137" w:rsidP="00A31137">
      <w:r w:rsidRPr="00A31137">
        <w:t>Q. What do you think was the motivating factor for the freeze on the execution? And where do you go from here?</w:t>
      </w:r>
    </w:p>
    <w:p w:rsidR="00A31137" w:rsidRPr="00A31137" w:rsidRDefault="00A31137" w:rsidP="00A31137">
      <w:r w:rsidRPr="00A31137">
        <w:t>Public Papers of Bush, 1989, p.1054</w:t>
      </w:r>
    </w:p>
    <w:p w:rsidR="00A31137" w:rsidRPr="00A31137" w:rsidRDefault="00A31137" w:rsidP="00A31137">
      <w:r w:rsidRPr="00A31137">
        <w:t>The President. I like to think that a broadspread appeal to nations in every corner of the globe had something to do with it. And many—</w:t>
      </w:r>
    </w:p>
    <w:p w:rsidR="00A31137" w:rsidRPr="00A31137" w:rsidRDefault="00A31137" w:rsidP="00A31137">
      <w:r w:rsidRPr="00A31137">
        <w:t>Public Papers of Bush, 1989, p.1054</w:t>
      </w:r>
    </w:p>
    <w:p w:rsidR="00A31137" w:rsidRPr="00A31137" w:rsidRDefault="00A31137" w:rsidP="00A31137">
      <w:r w:rsidRPr="00A31137">
        <w:t>Q. You don't know?</w:t>
      </w:r>
    </w:p>
    <w:p w:rsidR="00A31137" w:rsidRPr="00A31137" w:rsidRDefault="00A31137" w:rsidP="00A31137">
      <w:r w:rsidRPr="00A31137">
        <w:t>Public Papers of Bush, 1989, p.1054</w:t>
      </w:r>
    </w:p>
    <w:p w:rsidR="00A31137" w:rsidRPr="00A31137" w:rsidRDefault="00A31137" w:rsidP="00A31137">
      <w:r w:rsidRPr="00A31137">
        <w:t>The President. I don't know for sure. And the response that I have had on my personal calls and that the Secretary [of State] has had on his has been heartwarming. It's come from all sectors. And I've been very, very encouraged by that. And where we go from here, though—we'll just keep on trying.</w:t>
      </w:r>
    </w:p>
    <w:p w:rsidR="00A31137" w:rsidRPr="00A31137" w:rsidRDefault="00A31137" w:rsidP="00A31137">
      <w:r w:rsidRPr="00A31137">
        <w:t>Public Papers of Bush, 1989, p.1054</w:t>
      </w:r>
    </w:p>
    <w:p w:rsidR="00A31137" w:rsidRPr="00A31137" w:rsidRDefault="00A31137" w:rsidP="00A31137">
      <w:r w:rsidRPr="00A31137">
        <w:t>Q. Mr. President, what has Iran's role been in this? And do you see an opening in the structure here to allow you to work for the release of the hostages?</w:t>
      </w:r>
    </w:p>
    <w:p w:rsidR="00A31137" w:rsidRPr="00A31137" w:rsidRDefault="00A31137" w:rsidP="00A31137">
      <w:r w:rsidRPr="00A31137">
        <w:t>Public Papers of Bush, 1989, p.1054</w:t>
      </w:r>
    </w:p>
    <w:p w:rsidR="00A31137" w:rsidRPr="00A31137" w:rsidRDefault="00A31137" w:rsidP="00A31137">
      <w:r w:rsidRPr="00A31137">
        <w:t>The President. Well, I just answered I was certainly pleased that that brutal murder that had been threatened was set aside. I don't know the total role of any individual country in that area in all of this, but when you see a statement that offers hope for the return of our hostages, I want to explore it to the fullest.</w:t>
      </w:r>
    </w:p>
    <w:p w:rsidR="00A31137" w:rsidRPr="00A31137" w:rsidRDefault="00A31137" w:rsidP="00A31137">
      <w:r w:rsidRPr="00A31137">
        <w:t>Public Papers of Bush, 1989, p.1054</w:t>
      </w:r>
    </w:p>
    <w:p w:rsidR="00A31137" w:rsidRPr="00A31137" w:rsidRDefault="00A31137" w:rsidP="00A31137">
      <w:r w:rsidRPr="00A31137">
        <w:t>Q. Have you made a decision to take military action if another American hostage is killed?</w:t>
      </w:r>
    </w:p>
    <w:p w:rsidR="00A31137" w:rsidRPr="00A31137" w:rsidRDefault="00A31137" w:rsidP="00A31137">
      <w:r w:rsidRPr="00A31137">
        <w:t>Public Papers of Bush, 1989, p.1054</w:t>
      </w:r>
    </w:p>
    <w:p w:rsidR="00A31137" w:rsidRPr="00A31137" w:rsidRDefault="00A31137" w:rsidP="00A31137">
      <w:r w:rsidRPr="00A31137">
        <w:t>The President. I have made—I wouldn't-f I had made such a decision, I expect this would be the last place I'd be talking about it.</w:t>
      </w:r>
    </w:p>
    <w:p w:rsidR="00A31137" w:rsidRPr="00A31137" w:rsidRDefault="00A31137" w:rsidP="00A31137">
      <w:r w:rsidRPr="00A31137">
        <w:t>Public Papers of Bush, 1989, p.1054</w:t>
      </w:r>
    </w:p>
    <w:p w:rsidR="00A31137" w:rsidRPr="00A31137" w:rsidRDefault="00A31137" w:rsidP="00A31137">
      <w:r w:rsidRPr="00A31137">
        <w:t>Q. Well, surely, you must see this as a golden opportunity now—you have the momentum, you have a diplomatic flurry going on in Damascus, International Red Cross, apparently. I mean, is there a new impetus?</w:t>
      </w:r>
    </w:p>
    <w:p w:rsidR="00A31137" w:rsidRPr="00A31137" w:rsidRDefault="00A31137" w:rsidP="00A31137">
      <w:r w:rsidRPr="00A31137">
        <w:t>Public Papers of Bush, 1989, p.1054–p.1055</w:t>
      </w:r>
    </w:p>
    <w:p w:rsidR="00A31137" w:rsidRPr="00A31137" w:rsidRDefault="00A31137" w:rsidP="00A31137">
      <w:r w:rsidRPr="00A31137">
        <w:t>The President. I'm encouraged, but I don't want to get the hopes of the hostages' loved ones up once again to have those hopes dashed. This is a brutal process, where you see people paraded before cameras [p.1055] and their families get their hopes up. My heart is still with Mrs. Higgins. We can't tell her with any definition what—of her husband's fate. And I have made appeal after appeal for the return of Colonel Higgins's remains if, indeed, he has been killed.</w:t>
      </w:r>
    </w:p>
    <w:p w:rsidR="00A31137" w:rsidRPr="00A31137" w:rsidRDefault="00A31137" w:rsidP="00A31137">
      <w:r w:rsidRPr="00A31137">
        <w:t>Public Papers of Bush, 1989, p.1055</w:t>
      </w:r>
    </w:p>
    <w:p w:rsidR="00A31137" w:rsidRPr="00A31137" w:rsidRDefault="00A31137" w:rsidP="00A31137">
      <w:r w:rsidRPr="00A31137">
        <w:t>And so you deal with what you have out there, and what is foremost on my mind are the families and the hostages themselves. And I don't want to raise hopes beyond fulfillment, but there's reason to be somewhat encouraged. But I think of the brutality of the process: a man condemned to die at 11 and then it's moved to 3 in the afternoon. Put yourself in the position of these families. Think of the hurt that just that 4 hours of experience causes somebody. And I would just appeal to the civilized world or any country anywhere in the world to lay aside this holding of people against their will—hostages—and do what is right and decent and honorable in terms of the release of those hostages that are still held, and a full accounting in the case of Colonel Higgins, a distinguished officer who was wearing the uniform of the United Nations.</w:t>
      </w:r>
    </w:p>
    <w:p w:rsidR="00A31137" w:rsidRPr="00A31137" w:rsidRDefault="00A31137" w:rsidP="00A31137">
      <w:r w:rsidRPr="00A31137">
        <w:t>Public Papers of Bush, 1989, p.1055</w:t>
      </w:r>
    </w:p>
    <w:p w:rsidR="00A31137" w:rsidRPr="00A31137" w:rsidRDefault="00A31137" w:rsidP="00A31137">
      <w:r w:rsidRPr="00A31137">
        <w:t>As the Foreign Minister of Bahrain [Muhammad bin Mubarak Al Khalifa] said in this office yesterday or the day before, this is the business of the whole world. Sitting at this desk—you ask what I feel about it? I feel for the families and for those that are held.</w:t>
      </w:r>
    </w:p>
    <w:p w:rsidR="00A31137" w:rsidRPr="00A31137" w:rsidRDefault="00A31137" w:rsidP="00A31137">
      <w:r w:rsidRPr="00A31137">
        <w:t>Public Papers of Bush, 1989, p.1055</w:t>
      </w:r>
    </w:p>
    <w:p w:rsidR="00A31137" w:rsidRPr="00A31137" w:rsidRDefault="00A31137" w:rsidP="00A31137">
      <w:r w:rsidRPr="00A31137">
        <w:t>Q. Mr. President, this hostage, Mr. Cicippio, was among those who stayed on in Beirut after the United States had warned him to get out—had warned all Americans to get out or stay at their own risk. What kind of a claim should such a person have on the diplomatic resources of this country when they act against the wishes of the Government?</w:t>
      </w:r>
    </w:p>
    <w:p w:rsidR="00A31137" w:rsidRPr="00A31137" w:rsidRDefault="00A31137" w:rsidP="00A31137">
      <w:r w:rsidRPr="00A31137">
        <w:t>Public Papers of Bush, 1989, p.1055</w:t>
      </w:r>
    </w:p>
    <w:p w:rsidR="00A31137" w:rsidRPr="00A31137" w:rsidRDefault="00A31137" w:rsidP="00A31137">
      <w:r w:rsidRPr="00A31137">
        <w:t>The President. We have put people—in the past, people in that part of the world on notice. But that doesn't fulfill my obligation as President if a person is held against his will, in the case of Mr. Cicippio. That doesn't mean we wash our hands of it. He's an American, and he is entitled to the concern of the President and every one of these Senators and everybody in our administration. And he's got a great, big, wonderful family up there that are eating their hearts out in Norristown, Pennsylvania—</w:t>
      </w:r>
    </w:p>
    <w:p w:rsidR="00A31137" w:rsidRPr="00A31137" w:rsidRDefault="00A31137" w:rsidP="00A31137">
      <w:r w:rsidRPr="00A31137">
        <w:t>Public Papers of Bush, 1989, p.1055</w:t>
      </w:r>
    </w:p>
    <w:p w:rsidR="00A31137" w:rsidRPr="00A31137" w:rsidRDefault="00A31137" w:rsidP="00A31137">
      <w:r w:rsidRPr="00A31137">
        <w:t>Q. Did you call them?</w:t>
      </w:r>
    </w:p>
    <w:p w:rsidR="00A31137" w:rsidRPr="00A31137" w:rsidRDefault="00A31137" w:rsidP="00A31137">
      <w:r w:rsidRPr="00A31137">
        <w:t>Public Papers of Bush, 1989, p.1055</w:t>
      </w:r>
    </w:p>
    <w:p w:rsidR="00A31137" w:rsidRPr="00A31137" w:rsidRDefault="00A31137" w:rsidP="00A31137">
      <w:r w:rsidRPr="00A31137">
        <w:t>The President.—and we're very much concerned about it. I've not talked to Mr. Cicippio, and the State Department has been in daily contact with them—daily.</w:t>
      </w:r>
    </w:p>
    <w:p w:rsidR="00A31137" w:rsidRPr="00A31137" w:rsidRDefault="00A31137" w:rsidP="00A31137">
      <w:r w:rsidRPr="00A31137">
        <w:t>Public Papers of Bush, 1989, p.1055</w:t>
      </w:r>
    </w:p>
    <w:p w:rsidR="00A31137" w:rsidRPr="00A31137" w:rsidRDefault="00A31137" w:rsidP="00A31137">
      <w:r w:rsidRPr="00A31137">
        <w:t>All right, thank you all. Anybody got any questions on the line-item veto legislation? I would like to speak up once again for that.</w:t>
      </w:r>
    </w:p>
    <w:p w:rsidR="00A31137" w:rsidRPr="00A31137" w:rsidRDefault="00A31137" w:rsidP="00A31137">
      <w:r w:rsidRPr="00A31137">
        <w:t>Public Papers of Bush, 1989, p.1055</w:t>
      </w:r>
    </w:p>
    <w:p w:rsidR="00A31137" w:rsidRPr="00A31137" w:rsidRDefault="00A31137" w:rsidP="00A31137">
      <w:r w:rsidRPr="00A31137">
        <w:t>NOTE: The President spoke at 10:34 a.m. in the Oval Office at the White House. Lt. Col. William R. Higgins, USMC, chief of the U.N. peacekeeping force in southern Lebanon, was kidnaped on February 17, 1988, and executed by pro-Iranian terrorists on July 31, 1989. Joseph J. Cicippio, acting comptroller at the American University of Beirut, was abducted from the campus on September 12, 1986.</w:t>
      </w:r>
    </w:p>
    <w:p w:rsidR="00A31137" w:rsidRPr="00A31137" w:rsidRDefault="00A31137" w:rsidP="00A31137">
      <w:r w:rsidRPr="00A31137">
        <w:t>President Bush's Remarks Announcing the Nomination of General Colin L. Powell To Be Chairman of the Joint Chiefs of Staff, 1989</w:t>
      </w:r>
    </w:p>
    <w:p w:rsidR="00A31137" w:rsidRPr="00A31137" w:rsidRDefault="00A31137" w:rsidP="00A31137">
      <w:r w:rsidRPr="00A31137">
        <w:t>Title:</w:t>
      </w:r>
      <w:r w:rsidRPr="00A31137">
        <w:tab/>
        <w:t>President Bush's Remarks Announcing the Nomination of General Colin L. Powell To Be Chairman of the Joint Chiefs of Staff</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August 10, 1989</w:t>
      </w:r>
    </w:p>
    <w:p w:rsidR="00A31137" w:rsidRPr="00A31137" w:rsidRDefault="00A31137" w:rsidP="00A31137">
      <w:r w:rsidRPr="00A31137">
        <w:t>Source:</w:t>
      </w:r>
      <w:r w:rsidRPr="00A31137">
        <w:tab/>
        <w:t>Public Papers of the Presidents, Bush, 1989, pp.1078-1079</w:t>
      </w:r>
    </w:p>
    <w:p w:rsidR="00A31137" w:rsidRPr="00A31137" w:rsidRDefault="00A31137" w:rsidP="00A31137">
      <w:r w:rsidRPr="00A31137">
        <w:t>Public Papers of Bush, 1989, p.1078</w:t>
      </w:r>
    </w:p>
    <w:p w:rsidR="00A31137" w:rsidRPr="00A31137" w:rsidRDefault="00A31137" w:rsidP="00A31137">
      <w:r w:rsidRPr="00A31137">
        <w:t>The President. Ladies and gentlemen, I am most pleased to introduce the man that I have selected to be the next Chairman of the Joint Chiefs of Staff: General Colin L. Powell. Colin Powell has had a truly distinguished military career, and he's a complete soldier. He served two tours in Vietnam and has had many important assignments around the world, including commander of the Fifth Corps in Germany and, most recently, as commander of all Army forces stationed in the United States. He is also a distinguished scholar, with a postgraduate degree, diplomas from our major war colleges, and a unique tour as a White House fellow.</w:t>
      </w:r>
    </w:p>
    <w:p w:rsidR="00A31137" w:rsidRPr="00A31137" w:rsidRDefault="00A31137" w:rsidP="00A31137">
      <w:r w:rsidRPr="00A31137">
        <w:t>Public Papers of Bush, 1989, p.1078</w:t>
      </w:r>
    </w:p>
    <w:p w:rsidR="00A31137" w:rsidRPr="00A31137" w:rsidRDefault="00A31137" w:rsidP="00A31137">
      <w:r w:rsidRPr="00A31137">
        <w:t>The position of Chairman of the Joint Chiefs of Staff has always been a special and important one. Our Chairman today has unique responsibilities. He has a significant role in determining our military requirements and developing the defense budget. He is the principal adviser on all military issues to the Secretary of Defense and to the President. And Bill Crowe has performed these duties in an absolutely splendid way, and we can be most thankful that we have had his special leadership during the past 4 years. Bill, words can never fully acknowledge what you have done for your country, and thank you very, very much for that.</w:t>
      </w:r>
    </w:p>
    <w:p w:rsidR="00A31137" w:rsidRPr="00A31137" w:rsidRDefault="00A31137" w:rsidP="00A31137">
      <w:r w:rsidRPr="00A31137">
        <w:t>Public Papers of Bush, 1989, p.1078</w:t>
      </w:r>
    </w:p>
    <w:p w:rsidR="00A31137" w:rsidRPr="00A31137" w:rsidRDefault="00A31137" w:rsidP="00A31137">
      <w:r w:rsidRPr="00A31137">
        <w:t>As we face the challenges of the nineties, it is most important that the Chairman of the Joint Chiefs of Staff be a person of breadth, judgment, experience, and total integrity. Colin Powell has all those qualities and more. His wealth of military experience, coupled with his most distinguished assignments, including Assistant to the President for National Security Affairs, have prepared him for this challenging and demanding role. He will bring leadership, insight, and wisdom to our efforts to keep our military strong and ready, prepared to defend our security and to safeguard the peace. Colin Powell will be a key member of my national security team, a team of close-knit, experienced professionals. And I am very proud of this team and proud to add Colin Powell to it.</w:t>
      </w:r>
    </w:p>
    <w:p w:rsidR="00A31137" w:rsidRPr="00A31137" w:rsidRDefault="00A31137" w:rsidP="00A31137">
      <w:r w:rsidRPr="00A31137">
        <w:t>Public Papers of Bush, 1989, p.1078</w:t>
      </w:r>
    </w:p>
    <w:p w:rsidR="00A31137" w:rsidRPr="00A31137" w:rsidRDefault="00A31137" w:rsidP="00A31137">
      <w:r w:rsidRPr="00A31137">
        <w:t>Colin, welcome, sir.</w:t>
      </w:r>
    </w:p>
    <w:p w:rsidR="00A31137" w:rsidRPr="00A31137" w:rsidRDefault="00A31137" w:rsidP="00A31137">
      <w:r w:rsidRPr="00A31137">
        <w:t>Public Papers of Bush, 1989, p.1078–p.1079</w:t>
      </w:r>
    </w:p>
    <w:p w:rsidR="00A31137" w:rsidRPr="00A31137" w:rsidRDefault="00A31137" w:rsidP="00A31137">
      <w:r w:rsidRPr="00A31137">
        <w:t>General Powell. Thank you, Mr. President, for your very kind words, and thank you, sir, for this new opportunity to serve you, to serve the men and women of the Armed Forces, and to serve our nation. I'm very pleased to be joining your national security team; and I look forward to working with you, the Vice President, and all the members of the team, as you face the historic opportunities and challenges that are [p.1079] before us. I also feel it a special privilege to be the spokesman for all the millions of great young men and women who are serving their nation voluntarily in uniform.</w:t>
      </w:r>
    </w:p>
    <w:p w:rsidR="00A31137" w:rsidRPr="00A31137" w:rsidRDefault="00A31137" w:rsidP="00A31137">
      <w:r w:rsidRPr="00A31137">
        <w:t>Public Papers of Bush, 1989, p.1079</w:t>
      </w:r>
    </w:p>
    <w:p w:rsidR="00A31137" w:rsidRPr="00A31137" w:rsidRDefault="00A31137" w:rsidP="00A31137">
      <w:r w:rsidRPr="00A31137">
        <w:t>I also feel especially privileged and somewhat humble to be following a man like Admiral Bill Crowe, a distinguished sailor, great friend, and an outstanding Chairman. They are big shoes to fit into. I will give it my very best. The Nation owes Bill Crowe a great debt of gratitude. And Mr. President, I am ready to go to it, and I look forward to the challenges ahead. Thank you, sir.</w:t>
      </w:r>
    </w:p>
    <w:p w:rsidR="00A31137" w:rsidRPr="00A31137" w:rsidRDefault="00A31137" w:rsidP="00A31137">
      <w:r w:rsidRPr="00A31137">
        <w:t>Public Papers of Bush, 1989, p.1079</w:t>
      </w:r>
    </w:p>
    <w:p w:rsidR="00A31137" w:rsidRPr="00A31137" w:rsidRDefault="00A31137" w:rsidP="00A31137">
      <w:r w:rsidRPr="00A31137">
        <w:t>NOTE: The President spoke at 2:32 p.m. in the Rose Garden at the White House.</w:t>
      </w:r>
    </w:p>
    <w:p w:rsidR="00A31137" w:rsidRPr="00A31137" w:rsidRDefault="00A31137" w:rsidP="00A31137">
      <w:r w:rsidRPr="00A31137">
        <w:t>President Bush's Remarks on the Relaxation of East German Border Controls, 1989</w:t>
      </w:r>
    </w:p>
    <w:p w:rsidR="00A31137" w:rsidRPr="00A31137" w:rsidRDefault="00A31137" w:rsidP="00A31137">
      <w:r w:rsidRPr="00A31137">
        <w:t>Title:</w:t>
      </w:r>
      <w:r w:rsidRPr="00A31137">
        <w:tab/>
        <w:t>President Bush's Remarks on the Relaxation of East German Border Controls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November 9, 1989</w:t>
      </w:r>
    </w:p>
    <w:p w:rsidR="00A31137" w:rsidRPr="00A31137" w:rsidRDefault="00A31137" w:rsidP="00A31137">
      <w:r w:rsidRPr="00A31137">
        <w:t>Source:</w:t>
      </w:r>
      <w:r w:rsidRPr="00A31137">
        <w:tab/>
        <w:t>Public Papers of the Presidents, Bush, 1989, pp.1488-1490</w:t>
      </w:r>
    </w:p>
    <w:p w:rsidR="00A31137" w:rsidRPr="00A31137" w:rsidRDefault="00A31137" w:rsidP="00A31137">
      <w:r w:rsidRPr="00A31137">
        <w:t>Public Papers of Bush, 1989, p.1488</w:t>
      </w:r>
    </w:p>
    <w:p w:rsidR="00A31137" w:rsidRPr="00A31137" w:rsidRDefault="00A31137" w:rsidP="00A31137">
      <w:r w:rsidRPr="00A31137">
        <w:t>The President. We just wanted to make a brief statement here. I've just been briefed by the Secretary of State and my national security adviser on the latest news coming out of Germany. And of course, I welcome the decision by the East German leadership to open the borders to those wishing to emigrate or travel. And this, if it's implemented fully, certainly conforms with the Helsinki Final Act, which the GDR [German Democratic Republic] signed. And if the GDR goes forward now, this wall built in '61 will have very little relevance. And it clearly is a good development in terms of human rights. And I must say that after discussing this here with the Secretary of State and the national security adviser, I am very pleased with this development.</w:t>
      </w:r>
    </w:p>
    <w:p w:rsidR="00A31137" w:rsidRPr="00A31137" w:rsidRDefault="00A31137" w:rsidP="00A31137">
      <w:r w:rsidRPr="00A31137">
        <w:t>Public Papers of Bush, 1989, p.1488</w:t>
      </w:r>
    </w:p>
    <w:p w:rsidR="00A31137" w:rsidRPr="00A31137" w:rsidRDefault="00A31137" w:rsidP="00A31137">
      <w:r w:rsidRPr="00A31137">
        <w:t>Q. Mr. President, would the United States now consider doing more to help West Germany to take care of some of these East Germans coming into that country? Is there more that you could do now to help West Germany accommodate</w:t>
      </w:r>
    </w:p>
    <w:p w:rsidR="00A31137" w:rsidRPr="00A31137" w:rsidRDefault="00A31137" w:rsidP="00A31137">
      <w:r w:rsidRPr="00A31137">
        <w:t>Public Papers of Bush, 1989, p.1488</w:t>
      </w:r>
    </w:p>
    <w:p w:rsidR="00A31137" w:rsidRPr="00A31137" w:rsidRDefault="00A31137" w:rsidP="00A31137">
      <w:r w:rsidRPr="00A31137">
        <w:t>The President. Well, we have such a close relationship with the Federal Republic that if Chancellor Kohl asks us to be of some assistance I'm certain we would give it serious consideration. I mean, I don't know what it is they'd have in mind, because I think with a truly open border it is hard to predict how many will be trying to leave. And so, it's a dynamic development, and we just have to wait and see. But our relationship with the Federal Republic is such that we would want to be of the maximum help if it was needed. So far, Germany has done a magnificent job in handling those who have preceded this new exodus.</w:t>
      </w:r>
    </w:p>
    <w:p w:rsidR="00A31137" w:rsidRPr="00A31137" w:rsidRDefault="00A31137" w:rsidP="00A31137">
      <w:r w:rsidRPr="00A31137">
        <w:t>Public Papers of Bush, 1989, p.1488</w:t>
      </w:r>
    </w:p>
    <w:p w:rsidR="00A31137" w:rsidRPr="00A31137" w:rsidRDefault="00A31137" w:rsidP="00A31137">
      <w:r w:rsidRPr="00A31137">
        <w:t>Q. Have you assured Mr. Kohl that if he does need help that we'll be there for them?</w:t>
      </w:r>
    </w:p>
    <w:p w:rsidR="00A31137" w:rsidRPr="00A31137" w:rsidRDefault="00A31137" w:rsidP="00A31137">
      <w:r w:rsidRPr="00A31137">
        <w:t>Public Papers of Bush, 1989, p.1488</w:t>
      </w:r>
    </w:p>
    <w:p w:rsidR="00A31137" w:rsidRPr="00A31137" w:rsidRDefault="00A31137" w:rsidP="00A31137">
      <w:r w:rsidRPr="00A31137">
        <w:t>The President. Well, I haven't talked to him, Lesley [Lesley Stahl, CBS News], since this development because he just went off to Poland. I talked to him about this last week and made very clear to him that we thought—I think it was last week—made very clear to him that we thought they were handling it with great sensitivity. It's an enormous burden on the Federal Republic. And I don't remember in that conversation if I said if we can be of any help, please let me know; but I'm sure he knows that's the case.</w:t>
      </w:r>
    </w:p>
    <w:p w:rsidR="00A31137" w:rsidRPr="00A31137" w:rsidRDefault="00A31137" w:rsidP="00A31137">
      <w:r w:rsidRPr="00A31137">
        <w:t>Public Papers of Bush, 1989, p.1488</w:t>
      </w:r>
    </w:p>
    <w:p w:rsidR="00A31137" w:rsidRPr="00A31137" w:rsidRDefault="00A31137" w:rsidP="00A31137">
      <w:r w:rsidRPr="00A31137">
        <w:t>Q. Did he give any indication of how far he'd be able to go to accommodate this influx of refugees? I think the number stands at about 110,000 now. Did he say if it hits a million we're going to have real problems?</w:t>
      </w:r>
    </w:p>
    <w:p w:rsidR="00A31137" w:rsidRPr="00A31137" w:rsidRDefault="00A31137" w:rsidP="00A31137">
      <w:r w:rsidRPr="00A31137">
        <w:t>Public Papers of Bush, 1989, p.1488</w:t>
      </w:r>
    </w:p>
    <w:p w:rsidR="00A31137" w:rsidRPr="00A31137" w:rsidRDefault="00A31137" w:rsidP="00A31137">
      <w:r w:rsidRPr="00A31137">
        <w:t>The President. No, he didn't go into numbers at all, but he demonstrates a quiet confidence that the Federal Republic can cope. As I say, they have done a good job. And here's a new development in this rapidly changing part of the world that we can salute. And it's a dramatic happening for East Germany and, of course, for freedom.</w:t>
      </w:r>
    </w:p>
    <w:p w:rsidR="00A31137" w:rsidRPr="00A31137" w:rsidRDefault="00A31137" w:rsidP="00A31137">
      <w:r w:rsidRPr="00A31137">
        <w:t>Public Papers of Bush, 1989, p.1488</w:t>
      </w:r>
    </w:p>
    <w:p w:rsidR="00A31137" w:rsidRPr="00A31137" w:rsidRDefault="00A31137" w:rsidP="00A31137">
      <w:r w:rsidRPr="00A31137">
        <w:t>Q. Is this the end of the Iron Curtain, sir?</w:t>
      </w:r>
    </w:p>
    <w:p w:rsidR="00A31137" w:rsidRPr="00A31137" w:rsidRDefault="00A31137" w:rsidP="00A31137">
      <w:r w:rsidRPr="00A31137">
        <w:t>Public Papers of Bush, 1989, p.1489</w:t>
      </w:r>
    </w:p>
    <w:p w:rsidR="00A31137" w:rsidRPr="00A31137" w:rsidRDefault="00A31137" w:rsidP="00A31137">
      <w:r w:rsidRPr="00A31137">
        <w:t>The President. Well, I don't think any single event is the end of what you might call the Iron Curtain, but clearly this is a long way from the harshest Iron Curtain days—a long way from that.</w:t>
      </w:r>
    </w:p>
    <w:p w:rsidR="00A31137" w:rsidRPr="00A31137" w:rsidRDefault="00A31137" w:rsidP="00A31137">
      <w:r w:rsidRPr="00A31137">
        <w:t>Public Papers of Bush, 1989, p.1489</w:t>
      </w:r>
    </w:p>
    <w:p w:rsidR="00A31137" w:rsidRPr="00A31137" w:rsidRDefault="00A31137" w:rsidP="00A31137">
      <w:r w:rsidRPr="00A31137">
        <w:t>Q. Mr. President, what do you think the implications are for the Warsaw Pact now? I mean, can we say that this may be an indication that they're headed toward a loosening or even a dismantling of the Warsaw Pact?</w:t>
      </w:r>
    </w:p>
    <w:p w:rsidR="00A31137" w:rsidRPr="00A31137" w:rsidRDefault="00A31137" w:rsidP="00A31137">
      <w:r w:rsidRPr="00A31137">
        <w:t>Public Papers of Bush, 1989, p.1489</w:t>
      </w:r>
    </w:p>
    <w:p w:rsidR="00A31137" w:rsidRPr="00A31137" w:rsidRDefault="00A31137" w:rsidP="00A31137">
      <w:r w:rsidRPr="00A31137">
        <w:t>The President. I think you have to say what you mean by Warsaw Pact. I mean, it seems to me that it's certainly a loosening up in terms of travel. It concurs with the Helsinki Final Act, and it is a very good development.</w:t>
      </w:r>
    </w:p>
    <w:p w:rsidR="00A31137" w:rsidRPr="00A31137" w:rsidRDefault="00A31137" w:rsidP="00A31137">
      <w:r w:rsidRPr="00A31137">
        <w:t>Public Papers of Bush, 1989, p.1489</w:t>
      </w:r>
    </w:p>
    <w:p w:rsidR="00A31137" w:rsidRPr="00A31137" w:rsidRDefault="00A31137" w:rsidP="00A31137">
      <w:r w:rsidRPr="00A31137">
        <w:t>Our objective is a Europe whole and free. And is it a step towards that? I would say yes. Gorbachev talks about a common home. Is it a step towards that? Probably so.</w:t>
      </w:r>
    </w:p>
    <w:p w:rsidR="00A31137" w:rsidRPr="00A31137" w:rsidRDefault="00A31137" w:rsidP="00A31137">
      <w:r w:rsidRPr="00A31137">
        <w:t>Public Papers of Bush, 1989, p.1489</w:t>
      </w:r>
    </w:p>
    <w:p w:rsidR="00A31137" w:rsidRPr="00A31137" w:rsidRDefault="00A31137" w:rsidP="00A31137">
      <w:r w:rsidRPr="00A31137">
        <w:t>Q. What do you think the implications are for immigration to this country, Mr. President? Do you think we'll be seeing very many of these new refugees?</w:t>
      </w:r>
    </w:p>
    <w:p w:rsidR="00A31137" w:rsidRPr="00A31137" w:rsidRDefault="00A31137" w:rsidP="00A31137">
      <w:r w:rsidRPr="00A31137">
        <w:t>Public Papers of Bush, 1989, p.1489</w:t>
      </w:r>
    </w:p>
    <w:p w:rsidR="00A31137" w:rsidRPr="00A31137" w:rsidRDefault="00A31137" w:rsidP="00A31137">
      <w:r w:rsidRPr="00A31137">
        <w:t>The President. There's no indication of that. These are Germans going to the Federal Republic of Germany.</w:t>
      </w:r>
    </w:p>
    <w:p w:rsidR="00A31137" w:rsidRPr="00A31137" w:rsidRDefault="00A31137" w:rsidP="00A31137">
      <w:r w:rsidRPr="00A31137">
        <w:t>Public Papers of Bush, 1989, p.1489</w:t>
      </w:r>
    </w:p>
    <w:p w:rsidR="00A31137" w:rsidRPr="00A31137" w:rsidRDefault="00A31137" w:rsidP="00A31137">
      <w:r w:rsidRPr="00A31137">
        <w:t>Q. What's the danger here of events just spinning out of control? Secretary Baker commented earlier about how rapid the pace of change has been in Eastern Europe. Nobody really expected this to happen as quickly as it did. Is there a danger here that things are accelerating too quickly?</w:t>
      </w:r>
    </w:p>
    <w:p w:rsidR="00A31137" w:rsidRPr="00A31137" w:rsidRDefault="00A31137" w:rsidP="00A31137">
      <w:r w:rsidRPr="00A31137">
        <w:t>Public Papers of Bush, 1989, p.1489</w:t>
      </w:r>
    </w:p>
    <w:p w:rsidR="00A31137" w:rsidRPr="00A31137" w:rsidRDefault="00A31137" w:rsidP="00A31137">
      <w:r w:rsidRPr="00A31137">
        <w:t>The President. I wouldn't want to say this kind of development makes things to be moving too quickly at all. It's the kind of development that we have long encouraged by our strong support for the Helsinki Final Act. So, I'm not going to hypothecate that anything goes too fast.</w:t>
      </w:r>
    </w:p>
    <w:p w:rsidR="00A31137" w:rsidRPr="00A31137" w:rsidRDefault="00A31137" w:rsidP="00A31137">
      <w:r w:rsidRPr="00A31137">
        <w:t>Public Papers of Bush, 1989, p.1489</w:t>
      </w:r>
    </w:p>
    <w:p w:rsidR="00A31137" w:rsidRPr="00A31137" w:rsidRDefault="00A31137" w:rsidP="00A31137">
      <w:r w:rsidRPr="00A31137">
        <w:t>Q. So, you don't see—</w:t>
      </w:r>
    </w:p>
    <w:p w:rsidR="00A31137" w:rsidRPr="00A31137" w:rsidRDefault="00A31137" w:rsidP="00A31137">
      <w:r w:rsidRPr="00A31137">
        <w:t>Public Papers of Bush, 1989, p.1489</w:t>
      </w:r>
    </w:p>
    <w:p w:rsidR="00A31137" w:rsidRPr="00A31137" w:rsidRDefault="00A31137" w:rsidP="00A31137">
      <w:r w:rsidRPr="00A31137">
        <w:t>The President. But we are handling it in a way where we are not trying to give anybody a hard time. We're saluting those who can move forward with democracy. We are encouraging the concept of a Europe whole and free. And so, we just welcome it. But I don't like to go into a lot of hypotheses about too much change or too rapid change or what I'd do, what our whole team here would do, if something went wrong. I think it's been handled by the West very well; and certainly we salute the people in East Germany, the GDR, whose aspirations for freedom seem to be a little further down the road now.</w:t>
      </w:r>
    </w:p>
    <w:p w:rsidR="00A31137" w:rsidRPr="00A31137" w:rsidRDefault="00A31137" w:rsidP="00A31137">
      <w:r w:rsidRPr="00A31137">
        <w:t>Public Papers of Bush, 1989, p.1489</w:t>
      </w:r>
    </w:p>
    <w:p w:rsidR="00A31137" w:rsidRPr="00A31137" w:rsidRDefault="00A31137" w:rsidP="00A31137">
      <w:r w:rsidRPr="00A31137">
        <w:t>Q. Mr. President, do you think now that East Germany appears to be moving in the direction of Poland and Hungary that the rest of the Eastern bloc can continue to resist this? I'm thinking of Czechoslovakia, Bulgaria, Romania—will they be the next?</w:t>
      </w:r>
    </w:p>
    <w:p w:rsidR="00A31137" w:rsidRPr="00A31137" w:rsidRDefault="00A31137" w:rsidP="00A31137">
      <w:r w:rsidRPr="00A31137">
        <w:t>Public Papers of Bush, 1989, p.1489</w:t>
      </w:r>
    </w:p>
    <w:p w:rsidR="00A31137" w:rsidRPr="00A31137" w:rsidRDefault="00A31137" w:rsidP="00A31137">
      <w:r w:rsidRPr="00A31137">
        <w:t>The President. No, I don't think anyone can resist it, in Europe or in the Western Hemisphere.</w:t>
      </w:r>
    </w:p>
    <w:p w:rsidR="00A31137" w:rsidRPr="00A31137" w:rsidRDefault="00A31137" w:rsidP="00A31137">
      <w:r w:rsidRPr="00A31137">
        <w:t>Public Papers of Bush, 1989, p.1489</w:t>
      </w:r>
    </w:p>
    <w:p w:rsidR="00A31137" w:rsidRPr="00A31137" w:rsidRDefault="00A31137" w:rsidP="00A31137">
      <w:r w:rsidRPr="00A31137">
        <w:t>Q. Did you ever imagine—</w:t>
      </w:r>
    </w:p>
    <w:p w:rsidR="00A31137" w:rsidRPr="00A31137" w:rsidRDefault="00A31137" w:rsidP="00A31137">
      <w:r w:rsidRPr="00A31137">
        <w:t>Public Papers of Bush, 1989, p.1489</w:t>
      </w:r>
    </w:p>
    <w:p w:rsidR="00A31137" w:rsidRPr="00A31137" w:rsidRDefault="00A31137" w:rsidP="00A31137">
      <w:r w:rsidRPr="00A31137">
        <w:t>The President. That's one of the great things about dynamic change in Central America [Europe]: It's moving in our direction.</w:t>
      </w:r>
    </w:p>
    <w:p w:rsidR="00A31137" w:rsidRPr="00A31137" w:rsidRDefault="00A31137" w:rsidP="00A31137">
      <w:r w:rsidRPr="00A31137">
        <w:t>Public Papers of Bush, 1989, p.1489</w:t>
      </w:r>
    </w:p>
    <w:p w:rsidR="00A31137" w:rsidRPr="00A31137" w:rsidRDefault="00A31137" w:rsidP="00A31137">
      <w:r w:rsidRPr="00A31137">
        <w:t>Q. Did you ever imagine anything like this happening?</w:t>
      </w:r>
    </w:p>
    <w:p w:rsidR="00A31137" w:rsidRPr="00A31137" w:rsidRDefault="00A31137" w:rsidP="00A31137">
      <w:r w:rsidRPr="00A31137">
        <w:t>Public Papers of Bush, 1989, p.1489</w:t>
      </w:r>
    </w:p>
    <w:p w:rsidR="00A31137" w:rsidRPr="00A31137" w:rsidRDefault="00A31137" w:rsidP="00A31137">
      <w:r w:rsidRPr="00A31137">
        <w:t>Q. On your watch?</w:t>
      </w:r>
    </w:p>
    <w:p w:rsidR="00A31137" w:rsidRPr="00A31137" w:rsidRDefault="00A31137" w:rsidP="00A31137">
      <w:r w:rsidRPr="00A31137">
        <w:t>Public Papers of Bush, 1989, p.1489</w:t>
      </w:r>
    </w:p>
    <w:p w:rsidR="00A31137" w:rsidRPr="00A31137" w:rsidRDefault="00A31137" w:rsidP="00A31137">
      <w:r w:rsidRPr="00A31137">
        <w:t>The President. We've imagined it, but I can't say that I foresaw this development at this stage. Now, I didn't foresee it, but imagining it—yes. When I talk about a Europe whole and free, we're talking about this kind of freedom to come and go, this kind of staying with and living by the Helsinki Final Act, which gives the people the rights to come and go.</w:t>
      </w:r>
    </w:p>
    <w:p w:rsidR="00A31137" w:rsidRPr="00A31137" w:rsidRDefault="00A31137" w:rsidP="00A31137">
      <w:r w:rsidRPr="00A31137">
        <w:t>Public Papers of Bush, 1989, p.1489</w:t>
      </w:r>
    </w:p>
    <w:p w:rsidR="00A31137" w:rsidRPr="00A31137" w:rsidRDefault="00A31137" w:rsidP="00A31137">
      <w:r w:rsidRPr="00A31137">
        <w:t>Q. In what you just said, that this is a sort of great victory for our side in the big East-West battle, but you don't seem elated. And I'm wondering if you're thinking of the problems.</w:t>
      </w:r>
    </w:p>
    <w:p w:rsidR="00A31137" w:rsidRPr="00A31137" w:rsidRDefault="00A31137" w:rsidP="00A31137">
      <w:r w:rsidRPr="00A31137">
        <w:t>Public Papers of Bush, 1989, p.1489</w:t>
      </w:r>
    </w:p>
    <w:p w:rsidR="00A31137" w:rsidRPr="00A31137" w:rsidRDefault="00A31137" w:rsidP="00A31137">
      <w:r w:rsidRPr="00A31137">
        <w:t>The President. I am not an emotional kind of guy.</w:t>
      </w:r>
    </w:p>
    <w:p w:rsidR="00A31137" w:rsidRPr="00A31137" w:rsidRDefault="00A31137" w:rsidP="00A31137">
      <w:r w:rsidRPr="00A31137">
        <w:t>Public Papers of Bush, 1989, p.1489</w:t>
      </w:r>
    </w:p>
    <w:p w:rsidR="00A31137" w:rsidRPr="00A31137" w:rsidRDefault="00A31137" w:rsidP="00A31137">
      <w:r w:rsidRPr="00A31137">
        <w:t>Q. Well, how elated are you?</w:t>
      </w:r>
    </w:p>
    <w:p w:rsidR="00A31137" w:rsidRPr="00A31137" w:rsidRDefault="00A31137" w:rsidP="00A31137">
      <w:r w:rsidRPr="00A31137">
        <w:t>Public Papers of Bush, 1989, p.1489</w:t>
      </w:r>
    </w:p>
    <w:p w:rsidR="00A31137" w:rsidRPr="00A31137" w:rsidRDefault="00A31137" w:rsidP="00A31137">
      <w:r w:rsidRPr="00A31137">
        <w:t>The President. I'm very pleased. And I've been very pleased with a lot of other developments. And, as I've told you, I think the United States part of this, which is not related to this development today particularly, is being handled in a proper fashion. And we'll have some that'll suggest more flamboyant courses of action for this country, and we're, I think, handling this properly with allies, staying in close touch in this dynamic change—try to help as development takes place, try to enhance reform, both political and economic.</w:t>
      </w:r>
    </w:p>
    <w:p w:rsidR="00A31137" w:rsidRPr="00A31137" w:rsidRDefault="00A31137" w:rsidP="00A31137">
      <w:r w:rsidRPr="00A31137">
        <w:t>Public Papers of Bush, 1989, p.1489–p.1490</w:t>
      </w:r>
    </w:p>
    <w:p w:rsidR="00A31137" w:rsidRPr="00A31137" w:rsidRDefault="00A31137" w:rsidP="00A31137">
      <w:r w:rsidRPr="00A31137">
        <w:t>And so, the fact that I'm not bubbling over—maybe it's getting along towards [p.1490] evening, because I feel very good about it.</w:t>
      </w:r>
    </w:p>
    <w:p w:rsidR="00A31137" w:rsidRPr="00A31137" w:rsidRDefault="00A31137" w:rsidP="00A31137">
      <w:r w:rsidRPr="00A31137">
        <w:t>Public Papers of Bush, 1989, p.1490</w:t>
      </w:r>
    </w:p>
    <w:p w:rsidR="00A31137" w:rsidRPr="00A31137" w:rsidRDefault="00A31137" w:rsidP="00A31137">
      <w:r w:rsidRPr="00A31137">
        <w:t>Q. Well, what I wanted to ask is—the second part of that was, is your second thought: What are we going to do if it really does explode over there—coming into play here? I mean, obviously, if they just flood into West Germany, they're handling it now, but they've only gotten 200,000. What if they get a million? What if they get 2 million?</w:t>
      </w:r>
    </w:p>
    <w:p w:rsidR="00A31137" w:rsidRPr="00A31137" w:rsidRDefault="00A31137" w:rsidP="00A31137">
      <w:r w:rsidRPr="00A31137">
        <w:t>Public Papers of Bush, 1989, p.1490</w:t>
      </w:r>
    </w:p>
    <w:p w:rsidR="00A31137" w:rsidRPr="00A31137" w:rsidRDefault="00A31137" w:rsidP="00A31137">
      <w:r w:rsidRPr="00A31137">
        <w:t>The President. Well, what I'd like to think is that the political change in the GDR would catch up very fast with this liberation, if you will. You may remember that before I went to Poland—I think, I don't know whether Jim Baker was sitting next to me, I know Brent was there and John Sununu—and I was asked by a Polish journalist if I were a young Pole, what would my advice be. And what I said is I think you ought to stay there and participate in this dramatic change in your country. You ought to feel the surge of freedom, feel the move toward democracy, and be a part of it.</w:t>
      </w:r>
    </w:p>
    <w:p w:rsidR="00A31137" w:rsidRPr="00A31137" w:rsidRDefault="00A31137" w:rsidP="00A31137">
      <w:r w:rsidRPr="00A31137">
        <w:t>Public Papers of Bush, 1989, p.1490</w:t>
      </w:r>
    </w:p>
    <w:p w:rsidR="00A31137" w:rsidRPr="00A31137" w:rsidRDefault="00A31137" w:rsidP="00A31137">
      <w:r w:rsidRPr="00A31137">
        <w:t>These are Germans, and Germans love their country. And at some point, I think a lot of Germans who had felt pent-in and unable to move are going to say, look, we can move. But wouldn't it be better to participate in the reforms that are taking place in our own country? So, I think it's too early to predict that because these openings are there that that means everybody is going to take off.</w:t>
      </w:r>
    </w:p>
    <w:p w:rsidR="00A31137" w:rsidRPr="00A31137" w:rsidRDefault="00A31137" w:rsidP="00A31137">
      <w:r w:rsidRPr="00A31137">
        <w:t>Public Papers of Bush, 1989, p.1490</w:t>
      </w:r>
    </w:p>
    <w:p w:rsidR="00A31137" w:rsidRPr="00A31137" w:rsidRDefault="00A31137" w:rsidP="00A31137">
      <w:r w:rsidRPr="00A31137">
        <w:t>Q. Do you think this will give you a stronger position when you go on the ship next month and you're talking to President Gorbachev—I mean, that your side is winning? I mean, is that the kind of thing you're going to communicate to him? Are you going to say the</w:t>
      </w:r>
    </w:p>
    <w:p w:rsidR="00A31137" w:rsidRPr="00A31137" w:rsidRDefault="00A31137" w:rsidP="00A31137">
      <w:r w:rsidRPr="00A31137">
        <w:t>Public Papers of Bush, 1989, p.1490</w:t>
      </w:r>
    </w:p>
    <w:p w:rsidR="00A31137" w:rsidRPr="00A31137" w:rsidRDefault="00A31137" w:rsidP="00A31137">
      <w:r w:rsidRPr="00A31137">
        <w:t>The President. He's already expressed his interest in a common European home. We've phrased it differently. We've said a Europe whole and free. And when you see citizens wanting to go and flee what has been an oppressive society, clearly that is a message that Mr. Gorbachev will understand. He sees it not only in Eastern Europe, but he sees it inside the Soviet Union. And so, we'll have a good, lively—before these developments took place, I have said that we would be discussing the rapid change inside Eastern Europe. And we've been talking about that today, just before you all came in here. We've been talking about the Gorbachev meeting. And one of the things that we are determined we will discuss, and I know he'll want to discuss, is this change.</w:t>
      </w:r>
    </w:p>
    <w:p w:rsidR="00A31137" w:rsidRPr="00A31137" w:rsidRDefault="00A31137" w:rsidP="00A31137">
      <w:r w:rsidRPr="00A31137">
        <w:t>Public Papers of Bush, 1989, p.1490</w:t>
      </w:r>
    </w:p>
    <w:p w:rsidR="00A31137" w:rsidRPr="00A31137" w:rsidRDefault="00A31137" w:rsidP="00A31137">
      <w:r w:rsidRPr="00A31137">
        <w:t>Q. Mr. President, are you saying you think maybe East Germans will want to stay and participate in reforming their country? That suggests you think German reunification is some ways off. What is your view on German reunification? Does this bring it closer?</w:t>
      </w:r>
    </w:p>
    <w:p w:rsidR="00A31137" w:rsidRPr="00A31137" w:rsidRDefault="00A31137" w:rsidP="00A31137">
      <w:r w:rsidRPr="00A31137">
        <w:t>Public Papers of Bush, 1989, p.1490</w:t>
      </w:r>
    </w:p>
    <w:p w:rsidR="00A31137" w:rsidRPr="00A31137" w:rsidRDefault="00A31137" w:rsidP="00A31137">
      <w:r w:rsidRPr="00A31137">
        <w:t>The President. I don't know. I think it's way too early to speak on that. I've spoken out on the question of German reunification. I notice the President of France, President Mitterrand, spoke out. I've heard what Chancellor Kohl has had to say about it. But Michael [Mike Gelb, Reuters], I don't know whether the development of today speeds up the day or not.</w:t>
      </w:r>
    </w:p>
    <w:p w:rsidR="00A31137" w:rsidRPr="00A31137" w:rsidRDefault="00A31137" w:rsidP="00A31137">
      <w:r w:rsidRPr="00A31137">
        <w:t>Public Papers of Bush, 1989, p.1490</w:t>
      </w:r>
    </w:p>
    <w:p w:rsidR="00A31137" w:rsidRPr="00A31137" w:rsidRDefault="00A31137" w:rsidP="00A31137">
      <w:r w:rsidRPr="00A31137">
        <w:t>Q. Mr. President, will you consider lifting Jackson-Vanik restrictions on East Germany?</w:t>
      </w:r>
    </w:p>
    <w:p w:rsidR="00A31137" w:rsidRPr="00A31137" w:rsidRDefault="00A31137" w:rsidP="00A31137">
      <w:r w:rsidRPr="00A31137">
        <w:t>Public Papers of Bush, 1989, p.1490</w:t>
      </w:r>
    </w:p>
    <w:p w:rsidR="00A31137" w:rsidRPr="00A31137" w:rsidRDefault="00A31137" w:rsidP="00A31137">
      <w:r w:rsidRPr="00A31137">
        <w:t>The President. I will be discussing a wide array of those subjects with the Soviets, I'm sure, including—I know of their interest in talking about that, so we'll be prepared to talk about it.</w:t>
      </w:r>
    </w:p>
    <w:p w:rsidR="00A31137" w:rsidRPr="00A31137" w:rsidRDefault="00A31137" w:rsidP="00A31137">
      <w:r w:rsidRPr="00A31137">
        <w:t>Public Papers of Bush, 1989, p.1490</w:t>
      </w:r>
    </w:p>
    <w:p w:rsidR="00A31137" w:rsidRPr="00A31137" w:rsidRDefault="00A31137" w:rsidP="00A31137">
      <w:r w:rsidRPr="00A31137">
        <w:t>Q. Are you going to be speaking to Chancellor Kohl in the next couple of days?</w:t>
      </w:r>
    </w:p>
    <w:p w:rsidR="00A31137" w:rsidRPr="00A31137" w:rsidRDefault="00A31137" w:rsidP="00A31137">
      <w:r w:rsidRPr="00A31137">
        <w:t>Public Papers of Bush, 1989, p.1490</w:t>
      </w:r>
    </w:p>
    <w:p w:rsidR="00A31137" w:rsidRPr="00A31137" w:rsidRDefault="00A31137" w:rsidP="00A31137">
      <w:r w:rsidRPr="00A31137">
        <w:t>The President. I'd like to talk to him soon, but he's off in Poland. I may try to get him there, but I talked to him quite recently. We confer quite regularly.</w:t>
      </w:r>
    </w:p>
    <w:p w:rsidR="00A31137" w:rsidRPr="00A31137" w:rsidRDefault="00A31137" w:rsidP="00A31137">
      <w:r w:rsidRPr="00A31137">
        <w:t>Public Papers of Bush, 1989, p.1490</w:t>
      </w:r>
    </w:p>
    <w:p w:rsidR="00A31137" w:rsidRPr="00A31137" w:rsidRDefault="00A31137" w:rsidP="00A31137">
      <w:r w:rsidRPr="00A31137">
        <w:t>Q. Do you talk to any of the other Western European</w:t>
      </w:r>
    </w:p>
    <w:p w:rsidR="00A31137" w:rsidRPr="00A31137" w:rsidRDefault="00A31137" w:rsidP="00A31137">
      <w:r w:rsidRPr="00A31137">
        <w:t>Public Papers of Bush, 1989, p.1490</w:t>
      </w:r>
    </w:p>
    <w:p w:rsidR="00A31137" w:rsidRPr="00A31137" w:rsidRDefault="00A31137" w:rsidP="00A31137">
      <w:r w:rsidRPr="00A31137">
        <w:t>Q. Will you try to reach Mitterrand?</w:t>
      </w:r>
    </w:p>
    <w:p w:rsidR="00A31137" w:rsidRPr="00A31137" w:rsidRDefault="00A31137" w:rsidP="00A31137">
      <w:r w:rsidRPr="00A31137">
        <w:t>Public Papers of Bush, 1989, p.1490</w:t>
      </w:r>
    </w:p>
    <w:p w:rsidR="00A31137" w:rsidRPr="00A31137" w:rsidRDefault="00A31137" w:rsidP="00A31137">
      <w:r w:rsidRPr="00A31137">
        <w:t>The President. Well, personally I don't know. We're in—again, I talked to him very recently, but he might want to talk about it.</w:t>
      </w:r>
    </w:p>
    <w:p w:rsidR="00A31137" w:rsidRPr="00A31137" w:rsidRDefault="00A31137" w:rsidP="00A31137">
      <w:r w:rsidRPr="00A31137">
        <w:t>Public Papers of Bush, 1989, p.1490</w:t>
      </w:r>
    </w:p>
    <w:p w:rsidR="00A31137" w:rsidRPr="00A31137" w:rsidRDefault="00A31137" w:rsidP="00A31137">
      <w:r w:rsidRPr="00A31137">
        <w:t>NOTE: The President spoke at 3:34 p.m. in the Oval Office at the White House. In his remarks, he referred to Brent Scowcroft, Assistant to the President for National Security Affairs.</w:t>
      </w:r>
    </w:p>
    <w:p w:rsidR="00A31137" w:rsidRPr="00A31137" w:rsidRDefault="00A31137" w:rsidP="00A31137">
      <w:r w:rsidRPr="00A31137">
        <w:t>President Bush's Statement on the Observance of World AIDS Day, 1989</w:t>
      </w:r>
    </w:p>
    <w:p w:rsidR="00A31137" w:rsidRPr="00A31137" w:rsidRDefault="00A31137" w:rsidP="00A31137">
      <w:r w:rsidRPr="00A31137">
        <w:t>Title:</w:t>
      </w:r>
      <w:r w:rsidRPr="00A31137">
        <w:tab/>
        <w:t>President Bush's Statement on the Observance of World AIDS Day</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November 30, 1989</w:t>
      </w:r>
    </w:p>
    <w:p w:rsidR="00A31137" w:rsidRPr="00A31137" w:rsidRDefault="00A31137" w:rsidP="00A31137">
      <w:r w:rsidRPr="00A31137">
        <w:t>Source:</w:t>
      </w:r>
      <w:r w:rsidRPr="00A31137">
        <w:tab/>
        <w:t>Public Papers of the Presidents, Bush, 1989, p.1614</w:t>
      </w:r>
    </w:p>
    <w:p w:rsidR="00A31137" w:rsidRPr="00A31137" w:rsidRDefault="00A31137" w:rsidP="00A31137">
      <w:r w:rsidRPr="00A31137">
        <w:t>Public Papers of Bush, 1989, p.1614</w:t>
      </w:r>
    </w:p>
    <w:p w:rsidR="00A31137" w:rsidRPr="00A31137" w:rsidRDefault="00A31137" w:rsidP="00A31137">
      <w:r w:rsidRPr="00A31137">
        <w:t>On December 1, World AIDS Day, there will be a commemoration in Washington to remember all those with HIV infection and all who have died from it. The end result of this infection, AIDS, has been diagnosed in over 112,000 people in this country as of October 1989, and 65,000 people have died since the beginning of the epidemic. Though the problem is great and taxing our health care system now, far greater difficulties await us in terms of human suffering and provision of health care.</w:t>
      </w:r>
    </w:p>
    <w:p w:rsidR="00A31137" w:rsidRPr="00A31137" w:rsidRDefault="00A31137" w:rsidP="00A31137">
      <w:r w:rsidRPr="00A31137">
        <w:t>Public Papers of Bush, 1989, p.1614</w:t>
      </w:r>
    </w:p>
    <w:p w:rsidR="00A31137" w:rsidRPr="00A31137" w:rsidRDefault="00A31137" w:rsidP="00A31137">
      <w:r w:rsidRPr="00A31137">
        <w:t>We have committed resources at an unprecedented rate to HIV-related research of all kinds. Though there is no cure for AIDS at present, we will continue the most vigorous research efforts. At the same time, we must also educate and prevent. The disease is spread through known ways, and it is clear that education on the facts is our best means of combating AIDS at this time.</w:t>
      </w:r>
    </w:p>
    <w:p w:rsidR="00A31137" w:rsidRPr="00A31137" w:rsidRDefault="00A31137" w:rsidP="00A31137">
      <w:r w:rsidRPr="00A31137">
        <w:t>Public Papers of Bush, 1989, p.1614</w:t>
      </w:r>
    </w:p>
    <w:p w:rsidR="00A31137" w:rsidRPr="00A31137" w:rsidRDefault="00A31137" w:rsidP="00A31137">
      <w:r w:rsidRPr="00A31137">
        <w:t>Finally, we must remember those Americans who have become infected with the virus, including some who may be unaware of their infection. These people need our help and our compassion. Our hearts go out to those afflicted, as our heads work towards finding solutions. In the meantime, we must continue to educate those around us regarding the prevention of this terrible disease.</w:t>
      </w:r>
    </w:p>
    <w:p w:rsidR="00A31137" w:rsidRPr="00A31137" w:rsidRDefault="00A31137" w:rsidP="00A31137">
      <w:r w:rsidRPr="00A31137">
        <w:t>President Bush's Address to the Nation Announcing United States Military Action in Panama, 1989</w:t>
      </w:r>
    </w:p>
    <w:p w:rsidR="00A31137" w:rsidRPr="00A31137" w:rsidRDefault="00A31137" w:rsidP="00A31137">
      <w:r w:rsidRPr="00A31137">
        <w:t>Title:</w:t>
      </w:r>
      <w:r w:rsidRPr="00A31137">
        <w:tab/>
        <w:t>President Bush's Address to the Nation Announcing United States Military Action in Panama</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December 20, 1989</w:t>
      </w:r>
    </w:p>
    <w:p w:rsidR="00A31137" w:rsidRPr="00A31137" w:rsidRDefault="00A31137" w:rsidP="00A31137">
      <w:r w:rsidRPr="00A31137">
        <w:t>Source:</w:t>
      </w:r>
      <w:r w:rsidRPr="00A31137">
        <w:tab/>
        <w:t>Public Papers of the Presidents, Bush, 1989, pp.1722-1724</w:t>
      </w:r>
    </w:p>
    <w:p w:rsidR="00A31137" w:rsidRPr="00A31137" w:rsidRDefault="00A31137" w:rsidP="00A31137">
      <w:r w:rsidRPr="00A31137">
        <w:t>Public Papers of Bush, 1989, p.1722</w:t>
      </w:r>
    </w:p>
    <w:p w:rsidR="00A31137" w:rsidRPr="00A31137" w:rsidRDefault="00A31137" w:rsidP="00A31137">
      <w:r w:rsidRPr="00A31137">
        <w:t>My fellow citizens, last night I ordered U.S. military forces to Panama. No President takes such action lightly. This morning I want to tell you what I did and why I did it.</w:t>
      </w:r>
    </w:p>
    <w:p w:rsidR="00A31137" w:rsidRPr="00A31137" w:rsidRDefault="00A31137" w:rsidP="00A31137">
      <w:r w:rsidRPr="00A31137">
        <w:t>Public Papers of Bush, 1989, p.1722–p.1723</w:t>
      </w:r>
    </w:p>
    <w:p w:rsidR="00A31137" w:rsidRPr="00A31137" w:rsidRDefault="00A31137" w:rsidP="00A31137">
      <w:r w:rsidRPr="00A31137">
        <w:t>For nearly 2 years, the United States, nations of Latin America and the Caribbean have worked together to resolve the crisis in Panama. The goals of the United States have been to safeguard the lives of Americans, to defend democracy in Panama, to combat drug trafficking, and to protect the integrity of the Panama Canal treaty. Many attempts have been made to resolve this crisis through diplomacy and negotiations. All were rejected by the dictator of [p.1723] Panama, General Manuel Noriega, an indicted drug trafficker.</w:t>
      </w:r>
    </w:p>
    <w:p w:rsidR="00A31137" w:rsidRPr="00A31137" w:rsidRDefault="00A31137" w:rsidP="00A31137">
      <w:r w:rsidRPr="00A31137">
        <w:t>Public Papers of Bush, 1989, p.1723</w:t>
      </w:r>
    </w:p>
    <w:p w:rsidR="00A31137" w:rsidRPr="00A31137" w:rsidRDefault="00A31137" w:rsidP="00A31137">
      <w:r w:rsidRPr="00A31137">
        <w:t>Last Friday, Noriega declared his military dictatorship to be in a state of war with the United States and publicly threatened the lives of Americans in Panama. The very next day, forces under his command shot and killed an unarmed American serviceman; wounded another; arrested and brutally beat a third American serviceman; and then brutally interrogated his wife, threatening her with sexual abuse. That was enough.</w:t>
      </w:r>
    </w:p>
    <w:p w:rsidR="00A31137" w:rsidRPr="00A31137" w:rsidRDefault="00A31137" w:rsidP="00A31137">
      <w:r w:rsidRPr="00A31137">
        <w:t>Public Papers of Bush, 1989, p.1723</w:t>
      </w:r>
    </w:p>
    <w:p w:rsidR="00A31137" w:rsidRPr="00A31137" w:rsidRDefault="00A31137" w:rsidP="00A31137">
      <w:r w:rsidRPr="00A31137">
        <w:t>General Noriega's reckless threats and attacks upon Americans in Panama created an imminent danger to the 35,000 American citizens in Panama. As President, I have no higher obligation than to safeguard the lives of American citizens. And that is why I directed our Armed Forces to protect the lives of American citizens in Panama and to bring General Noriega to justice in the United States. I contacted the bipartisan leadership of Congress last night and informed them of this decision, and after taking this action, I also talked with leaders in Latin America, the Caribbean, and those of other U.S. allies.</w:t>
      </w:r>
    </w:p>
    <w:p w:rsidR="00A31137" w:rsidRPr="00A31137" w:rsidRDefault="00A31137" w:rsidP="00A31137">
      <w:r w:rsidRPr="00A31137">
        <w:t>Public Papers of Bush, 1989, p.1723</w:t>
      </w:r>
    </w:p>
    <w:p w:rsidR="00A31137" w:rsidRPr="00A31137" w:rsidRDefault="00A31137" w:rsidP="00A31137">
      <w:r w:rsidRPr="00A31137">
        <w:t>At this moment, U.S. forces, including forces deployed from the United States last night, are engaged in action in Panama. The United States intends to withdraw the forces newly deployed to Panama as quickly as possible. Our forces have conducted themselves courageously and selflessly. And as Commander in Chief, I salute every one of them and thank them on behalf of our country.</w:t>
      </w:r>
    </w:p>
    <w:p w:rsidR="00A31137" w:rsidRPr="00A31137" w:rsidRDefault="00A31137" w:rsidP="00A31137">
      <w:r w:rsidRPr="00A31137">
        <w:t>Public Papers of Bush, 1989, p.1723</w:t>
      </w:r>
    </w:p>
    <w:p w:rsidR="00A31137" w:rsidRPr="00A31137" w:rsidRDefault="00A31137" w:rsidP="00A31137">
      <w:r w:rsidRPr="00A31137">
        <w:t>Tragically, some Americans have lost their lives in defense of their fellow citizens, in defense of democracy. And my heart goes out to their families. We also regret and mourn the loss of innocent Panamanians.</w:t>
      </w:r>
    </w:p>
    <w:p w:rsidR="00A31137" w:rsidRPr="00A31137" w:rsidRDefault="00A31137" w:rsidP="00A31137">
      <w:r w:rsidRPr="00A31137">
        <w:t>Public Papers of Bush, 1989, p.1723</w:t>
      </w:r>
    </w:p>
    <w:p w:rsidR="00A31137" w:rsidRPr="00A31137" w:rsidRDefault="00A31137" w:rsidP="00A31137">
      <w:r w:rsidRPr="00A31137">
        <w:t>The brave Panamanians elected by the people of Panama in the elections last May, President Guillermo Endara and Vice Presidents Calderon and Ford, have assumed the rightful leadership of their country. You remember those horrible pictures of newly elected Vice President Ford, covered head to toe with blood, beaten mercilessly by so-called "dignity battalions." Well, the United States today recognizes the democratically elected government of President Endara. I will send our Ambassador back to Panama immediately.</w:t>
      </w:r>
    </w:p>
    <w:p w:rsidR="00A31137" w:rsidRPr="00A31137" w:rsidRDefault="00A31137" w:rsidP="00A31137">
      <w:r w:rsidRPr="00A31137">
        <w:t>Public Papers of Bush, 1989, p.1723</w:t>
      </w:r>
    </w:p>
    <w:p w:rsidR="00A31137" w:rsidRPr="00A31137" w:rsidRDefault="00A31137" w:rsidP="00A31137">
      <w:r w:rsidRPr="00A31137">
        <w:t>Key military objectives have been achieved. Most organized resistance has been eliminated, but the operation is not over yet: General Noriega is in hiding. And nevertheless, yesterday a dictator ruled Panama, and today constitutionally elected leaders govern.</w:t>
      </w:r>
    </w:p>
    <w:p w:rsidR="00A31137" w:rsidRPr="00A31137" w:rsidRDefault="00A31137" w:rsidP="00A31137">
      <w:r w:rsidRPr="00A31137">
        <w:t>Public Papers of Bush, 1989, p.1723</w:t>
      </w:r>
    </w:p>
    <w:p w:rsidR="00A31137" w:rsidRPr="00A31137" w:rsidRDefault="00A31137" w:rsidP="00A31137">
      <w:r w:rsidRPr="00A31137">
        <w:t>I have today directed the Secretary of the Treasury and the Secretary of State to lift the economic sanctions with respect to the democratically elected government of Panama and, in cooperation with that government, to take steps to effect an orderly unblocking of Panamanian Government assets in the United States. I'm fully committed to implement the Panama Canal treaties and turn .over the Canal to Panama in the year 2000. The actions we have taken and the cooperation of a new, democratic government in Panama will permit us to honor these commitments. As soon as the new government recommends a qualified candidate—Panamanian—to be Administrator of the Canal, as called for in the treaties, I will submit this nominee to the Senate for expedited consideration.</w:t>
      </w:r>
      <w:r w:rsidRPr="00A31137">
        <w:cr/>
      </w:r>
    </w:p>
    <w:p w:rsidR="00A31137" w:rsidRPr="00A31137" w:rsidRDefault="00A31137" w:rsidP="00A31137">
      <w:r w:rsidRPr="00A31137">
        <w:t>Public Papers of Bush, 1989, p.1723</w:t>
      </w:r>
    </w:p>
    <w:p w:rsidR="00A31137" w:rsidRPr="00A31137" w:rsidRDefault="00A31137" w:rsidP="00A31137">
      <w:r w:rsidRPr="00A31137">
        <w:t>I am committed to strengthening our relationship with the democratic nations in this hemisphere. I will continue to seek solutions to the problems of this region through dialog and multilateral diplomacy. I took this action only after reaching the conclusion that every other avenue was closed and the lives of American citizens were in grave danger. I hope that the people of Panama will put this dark chapter of dictatorship behind them and move forward together as citizens of a democratic Panama with this government that they themselves have elected.</w:t>
      </w:r>
    </w:p>
    <w:p w:rsidR="00A31137" w:rsidRPr="00A31137" w:rsidRDefault="00A31137" w:rsidP="00A31137">
      <w:r w:rsidRPr="00A31137">
        <w:t>Public Papers of Bush, 1989, p.1723</w:t>
      </w:r>
    </w:p>
    <w:p w:rsidR="00A31137" w:rsidRPr="00A31137" w:rsidRDefault="00A31137" w:rsidP="00A31137">
      <w:r w:rsidRPr="00A31137">
        <w:t>The United States is eager to work with the Panamanian people in partnership and friendship to rebuild their economy. The Panamanian people want democracy, peace, and the chance for a better life in dignity and freedom. The people of the United States seek only to support them in pursuit of these noble goals. Thank you very much.</w:t>
      </w:r>
    </w:p>
    <w:p w:rsidR="00A31137" w:rsidRPr="00A31137" w:rsidRDefault="00A31137" w:rsidP="00A31137">
      <w:r w:rsidRPr="00A31137">
        <w:t>Public Papers of Bush, 1989, p.1724</w:t>
      </w:r>
    </w:p>
    <w:p w:rsidR="00A31137" w:rsidRPr="00A31137" w:rsidRDefault="00A31137" w:rsidP="00A31137">
      <w:r w:rsidRPr="00A31137">
        <w:t>NOTE: The President spoke at 7:20 a.m. from the Oval Office at the White House. The address was broadcast live on nationwide radio and television.</w:t>
      </w:r>
    </w:p>
    <w:p w:rsidR="00A31137" w:rsidRPr="00A31137" w:rsidRDefault="00A31137" w:rsidP="00A31137">
      <w:r w:rsidRPr="00A31137">
        <w:t>President Bush's Remarks on Signing the Earth Day Proclamation, 1990</w:t>
      </w:r>
    </w:p>
    <w:p w:rsidR="00A31137" w:rsidRPr="00A31137" w:rsidRDefault="00A31137" w:rsidP="00A31137">
      <w:r w:rsidRPr="00A31137">
        <w:t>Title:</w:t>
      </w:r>
      <w:r w:rsidRPr="00A31137">
        <w:tab/>
        <w:t>President Bush's Remarks on Signing the Earth Day Proclamation</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January 3, 1990</w:t>
      </w:r>
    </w:p>
    <w:p w:rsidR="00A31137" w:rsidRPr="00A31137" w:rsidRDefault="00A31137" w:rsidP="00A31137">
      <w:r w:rsidRPr="00A31137">
        <w:t>Source:</w:t>
      </w:r>
      <w:r w:rsidRPr="00A31137">
        <w:tab/>
        <w:t>Public Papers of the Presidents, Bush, 1990, pp.6-7</w:t>
      </w:r>
    </w:p>
    <w:p w:rsidR="00A31137" w:rsidRPr="00A31137" w:rsidRDefault="00A31137" w:rsidP="00A31137">
      <w:r w:rsidRPr="00A31137">
        <w:t>Public Papers of Bush, 1990, p.6–p.7</w:t>
      </w:r>
    </w:p>
    <w:p w:rsidR="00A31137" w:rsidRPr="00A31137" w:rsidRDefault="00A31137" w:rsidP="00A31137">
      <w:r w:rsidRPr="00A31137">
        <w:t>It's good to see you all. Well, excuse the brief delay. Let me salute these distinguished gentlemen here: Admiral Truly, Mike Deland, Bill Reilly. Of course, it's a great, special pleasure to have Senator Chafee and Congressman Mo Udall here. And welcome to the White House on this special occasion. On April 22, 1990, America will celebrate Earth Day. I'm the guy that got mixed up on Pearl Harbor Day—[p.7] [laughter]—so I've got to be very careful that these people—Dr. Bromley, hi—understand. [Laughter]</w:t>
      </w:r>
    </w:p>
    <w:p w:rsidR="00A31137" w:rsidRPr="00A31137" w:rsidRDefault="00A31137" w:rsidP="00A31137">
      <w:r w:rsidRPr="00A31137">
        <w:t>Public Papers of Bush, 1990, p.7</w:t>
      </w:r>
    </w:p>
    <w:p w:rsidR="00A31137" w:rsidRPr="00A31137" w:rsidRDefault="00A31137" w:rsidP="00A31137">
      <w:r w:rsidRPr="00A31137">
        <w:t>No, but it is on April 22d that we celebrate Earth Day. And across the country, citizens will be asked to make a personal and collective commitment to the protection of the environment, to think globally and act locally. And April 22d also marks the 20th anniversary of the first Earth Day, giving each and every one of us a chance to reflect on the progress made over the past 20 years and set the environmental agenda for the next decade.</w:t>
      </w:r>
    </w:p>
    <w:p w:rsidR="00A31137" w:rsidRPr="00A31137" w:rsidRDefault="00A31137" w:rsidP="00A31137">
      <w:r w:rsidRPr="00A31137">
        <w:t>Public Papers of Bush, 1990, p.7</w:t>
      </w:r>
    </w:p>
    <w:p w:rsidR="00A31137" w:rsidRPr="00A31137" w:rsidRDefault="00A31137" w:rsidP="00A31137">
      <w:r w:rsidRPr="00A31137">
        <w:t>We've just started a new year. And 20 years ago this week, on another new year, President Nixon signed landmark environmental legislation—the National Environmental Policy Act—into law. The historic environmental laws of the seventies followed this step—the Clean Air Act, the Clean Water Act, the laws regulating pesticides and toxic substances and hazardous waste. And that act created the CEQ [Council on Environmental Quality], a voice for the environment that's been revitalized now, thanks to Mike Deland. And the EPA, established some 20 years ago under the leadership of Bill Ruckelshaus, is thriving under our able Administrator, Bill Reilly.</w:t>
      </w:r>
    </w:p>
    <w:p w:rsidR="00A31137" w:rsidRPr="00A31137" w:rsidRDefault="00A31137" w:rsidP="00A31137">
      <w:r w:rsidRPr="00A31137">
        <w:t>Public Papers of Bush, 1990, p.7</w:t>
      </w:r>
    </w:p>
    <w:p w:rsidR="00A31137" w:rsidRPr="00A31137" w:rsidRDefault="00A31137" w:rsidP="00A31137">
      <w:r w:rsidRPr="00A31137">
        <w:t>We've made much progress in the last 20 years, spending hundreds of billions of dollars to make pollution control work. In 1987 alone, we spent a total of $81 billion—over 62 of it in the private sector. I'm particularly proud that in 1989 we were able to take a number of new initiatives. We've signed legislation to protect wetlands and valuable waterfowl habitat. We've added funds to expand our parks, forests, and wildlife refuges; and we've banned the import of ivory. And we plan to host an international conference on climate change this spring. We've proposed to phase out CFC's worldwide, and a ban on unsafe hazardous waste exports. We've proposed a phaseout of asbestos by 1997. And we've introduced the first major overhaul of the Clean Air Act in over a decade—the most ambitious Clean Air Act proposed by any administration.</w:t>
      </w:r>
    </w:p>
    <w:p w:rsidR="00A31137" w:rsidRPr="00A31137" w:rsidRDefault="00A31137" w:rsidP="00A31137">
      <w:r w:rsidRPr="00A31137">
        <w:t>Public Papers of Bush, 1990, p.7</w:t>
      </w:r>
    </w:p>
    <w:p w:rsidR="00A31137" w:rsidRPr="00A31137" w:rsidRDefault="00A31137" w:rsidP="00A31137">
      <w:r w:rsidRPr="00A31137">
        <w:t>We need action on the revisions to the Clean Air Act we sent to Congress. The package was, in my view, carefully balanced to restore clean air for all Americans while sustaining job creation and competitiveness and economic growth. And I call on the Congress now to pass a Clean Air Act quickly, carefully, and responsibly—a Clean Air Act that harnesses the power of the marketplace to provide future generations with a cleaner, safer environment without jeopardizing the economy or the jobs on which all Americans depend.</w:t>
      </w:r>
    </w:p>
    <w:p w:rsidR="00A31137" w:rsidRPr="00A31137" w:rsidRDefault="00A31137" w:rsidP="00A31137">
      <w:r w:rsidRPr="00A31137">
        <w:t>Public Papers of Bush, 1990, p.7</w:t>
      </w:r>
    </w:p>
    <w:p w:rsidR="00A31137" w:rsidRPr="00A31137" w:rsidRDefault="00A31137" w:rsidP="00A31137">
      <w:r w:rsidRPr="00A31137">
        <w:t>I believe with all my heart that we can serve both of these important goals. And if the Congress cannot pass a bill that preserves both, then I would not be able to sign it; I'd have to veto it. But the Federal Government is only part of the story. It is in the city halls and State capitals, in schools and in the workplace, in this country and around the world, that real progress on the environment will be made. Environmental awareness—it's really got to be a second nature.</w:t>
      </w:r>
    </w:p>
    <w:p w:rsidR="00A31137" w:rsidRPr="00A31137" w:rsidRDefault="00A31137" w:rsidP="00A31137">
      <w:r w:rsidRPr="00A31137">
        <w:t>Public Papers of Bush, 1990, p.7</w:t>
      </w:r>
    </w:p>
    <w:p w:rsidR="00A31137" w:rsidRPr="00A31137" w:rsidRDefault="00A31137" w:rsidP="00A31137">
      <w:r w:rsidRPr="00A31137">
        <w:t>Earth Day can be part of the American tradition of private and public leadership that will help us reach that goal. In deciding to make this Earth Day proclamation the first proclamation of the new year—and the new decade, I might add—I want to make this point: Earth Day—and every day—should inspire us to save the land we love, to realize that global problems do have local solutions, and to make the preservation of the planet a personal commitment.</w:t>
      </w:r>
    </w:p>
    <w:p w:rsidR="00A31137" w:rsidRPr="00A31137" w:rsidRDefault="00A31137" w:rsidP="00A31137">
      <w:r w:rsidRPr="00A31137">
        <w:t>Public Papers of Bush, 1990, p.7</w:t>
      </w:r>
    </w:p>
    <w:p w:rsidR="00A31137" w:rsidRPr="00A31137" w:rsidRDefault="00A31137" w:rsidP="00A31137">
      <w:r w:rsidRPr="00A31137">
        <w:t>I now take great pleasure in signing this proclamation, recognizing April 22d, 1990, as Earth Day. So, come on over.</w:t>
      </w:r>
    </w:p>
    <w:p w:rsidR="00A31137" w:rsidRPr="00A31137" w:rsidRDefault="00A31137" w:rsidP="00A31137">
      <w:r w:rsidRPr="00A31137">
        <w:t>Public Papers of Bush, 1990, p.7</w:t>
      </w:r>
    </w:p>
    <w:p w:rsidR="00A31137" w:rsidRPr="00A31137" w:rsidRDefault="00A31137" w:rsidP="00A31137">
      <w:r w:rsidRPr="00A31137">
        <w:t>NOTE: The President spoke at 2:11 p.m. in the Roosevelt Room at the White House. In his remarks, he referred to Richard H. Truly, Administrator of the National Aeronautics and Space Administration; and D. Allan Bromley, Science Advisor to the President and Director of the Office of Science and Technology Policy. The proclamation is listed in Appendix E at the end of this volume.</w:t>
      </w:r>
    </w:p>
    <w:p w:rsidR="00A31137" w:rsidRPr="00A31137" w:rsidRDefault="00A31137" w:rsidP="00A31137">
      <w:r w:rsidRPr="00A31137">
        <w:t>President Bush's Statement on the Release of Nelson Mandela, 1990</w:t>
      </w:r>
    </w:p>
    <w:p w:rsidR="00A31137" w:rsidRPr="00A31137" w:rsidRDefault="00A31137" w:rsidP="00A31137">
      <w:r w:rsidRPr="00A31137">
        <w:t>Title:</w:t>
      </w:r>
      <w:r w:rsidRPr="00A31137">
        <w:tab/>
        <w:t>President Bush's Statement on the Release of Nelson Mandela</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February 10, 1990</w:t>
      </w:r>
    </w:p>
    <w:p w:rsidR="00A31137" w:rsidRPr="00A31137" w:rsidRDefault="00A31137" w:rsidP="00A31137">
      <w:r w:rsidRPr="00A31137">
        <w:t>Source:</w:t>
      </w:r>
      <w:r w:rsidRPr="00A31137">
        <w:tab/>
        <w:t>Public Papers of the Presidents, Bush, 1990, p.203</w:t>
      </w:r>
    </w:p>
    <w:p w:rsidR="00A31137" w:rsidRPr="00A31137" w:rsidRDefault="00A31137" w:rsidP="00A31137">
      <w:r w:rsidRPr="00A31137">
        <w:t>Public Papers of Bush, 1990, p.203</w:t>
      </w:r>
    </w:p>
    <w:p w:rsidR="00A31137" w:rsidRPr="00A31137" w:rsidRDefault="00A31137" w:rsidP="00A31137">
      <w:r w:rsidRPr="00A31137">
        <w:t>President de Klerk has announced his intention to release Nelson Mandela [African National Congress leader] on Sunday. I welcome this move and view it as another significant step on the road to the nonracial, democratic South Africa which we all desire. President de Klerk has shown bold and imaginative leadership in recent days which has earned the admiration of many of us who hope for swift and peaceful evolution in South Africa.</w:t>
      </w:r>
    </w:p>
    <w:p w:rsidR="00A31137" w:rsidRPr="00A31137" w:rsidRDefault="00A31137" w:rsidP="00A31137">
      <w:r w:rsidRPr="00A31137">
        <w:t>Public Papers of Bush, 1990, p.203</w:t>
      </w:r>
    </w:p>
    <w:p w:rsidR="00A31137" w:rsidRPr="00A31137" w:rsidRDefault="00A31137" w:rsidP="00A31137">
      <w:r w:rsidRPr="00A31137">
        <w:t>As I stated earlier, I look forward to meeting independently with State President de Klerk and Mr. Mandela in the coming months as part of my continuing dialog with South African leadership.</w:t>
      </w:r>
    </w:p>
    <w:p w:rsidR="00A31137" w:rsidRPr="00A31137" w:rsidRDefault="00A31137" w:rsidP="00A31137">
      <w:r w:rsidRPr="00A31137">
        <w:t>President Bush's Memorandum on Federalism, 1990</w:t>
      </w:r>
    </w:p>
    <w:p w:rsidR="00A31137" w:rsidRPr="00A31137" w:rsidRDefault="00A31137" w:rsidP="00A31137">
      <w:r w:rsidRPr="00A31137">
        <w:t>Title:</w:t>
      </w:r>
      <w:r w:rsidRPr="00A31137">
        <w:tab/>
        <w:t>President Bush's Memorandum on Federalism</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February 16, 1990</w:t>
      </w:r>
    </w:p>
    <w:p w:rsidR="00A31137" w:rsidRPr="00A31137" w:rsidRDefault="00A31137" w:rsidP="00A31137">
      <w:r w:rsidRPr="00A31137">
        <w:t>Source:</w:t>
      </w:r>
      <w:r w:rsidRPr="00A31137">
        <w:tab/>
        <w:t>Public Papers of the Presidents, Bush, 1990, pp.238-239</w:t>
      </w:r>
    </w:p>
    <w:p w:rsidR="00A31137" w:rsidRPr="00A31137" w:rsidRDefault="00A31137" w:rsidP="00A31137">
      <w:r w:rsidRPr="00A31137">
        <w:t>Public Papers of Bush, 1990, p.238</w:t>
      </w:r>
    </w:p>
    <w:p w:rsidR="00A31137" w:rsidRPr="00A31137" w:rsidRDefault="00A31137" w:rsidP="00A31137">
      <w:r w:rsidRPr="00A31137">
        <w:t>Memorandum for the Heads of Executive Departments and Agencies</w:t>
      </w:r>
    </w:p>
    <w:p w:rsidR="00A31137" w:rsidRPr="00A31137" w:rsidRDefault="00A31137" w:rsidP="00A31137">
      <w:r w:rsidRPr="00A31137">
        <w:t>Subject: Federalism Executive Order</w:t>
      </w:r>
    </w:p>
    <w:p w:rsidR="00A31137" w:rsidRPr="00A31137" w:rsidRDefault="00A31137" w:rsidP="00A31137">
      <w:r w:rsidRPr="00A31137">
        <w:t>Public Papers of Bush, 1990, p.238</w:t>
      </w:r>
    </w:p>
    <w:p w:rsidR="00A31137" w:rsidRPr="00A31137" w:rsidRDefault="00A31137" w:rsidP="00A31137">
      <w:r w:rsidRPr="00A31137">
        <w:t>I wish to take this opportunity to reaffirm an important Executive order, issued when I served as Vice President, and call for your personal commitment in ensuring your department's or agency's compliance with its provisions. This order, which is entitled "Federalism" (No. 12612, October 26, 1987), establishes fundamental principles and criteria to guide you in developing and implementing policies that have substantial direct effects on States and local governments. Let me note a few of the order's more important provisions:</w:t>
      </w:r>
    </w:p>
    <w:p w:rsidR="00A31137" w:rsidRPr="00A31137" w:rsidRDefault="00A31137" w:rsidP="00A31137">
      <w:r w:rsidRPr="00A31137">
        <w:t>•</w:t>
      </w:r>
      <w:r w:rsidRPr="00A31137">
        <w:tab/>
        <w:t>In most areas of governmental concern, the States uniquely possess the constitutional authority, the resources, and the competence to discern the sentiments of the people and to govern accordingly.</w:t>
      </w:r>
    </w:p>
    <w:p w:rsidR="00A31137" w:rsidRPr="00A31137" w:rsidRDefault="00A31137" w:rsidP="00A31137">
      <w:r w:rsidRPr="00A31137">
        <w:t>•</w:t>
      </w:r>
      <w:r w:rsidRPr="00A31137">
        <w:tab/>
        <w:t>The nature of our constitutional system encourages a healthy diversity in the public policies adopted by the people of the several States according to their own conditions, needs, and desires. In the search for enlightened public policy, individual States and communities are free to experiment with a variety of approaches to public issues.</w:t>
      </w:r>
    </w:p>
    <w:p w:rsidR="00A31137" w:rsidRPr="00A31137" w:rsidRDefault="00A31137" w:rsidP="00A31137">
      <w:r w:rsidRPr="00A31137">
        <w:t>•</w:t>
      </w:r>
      <w:r w:rsidRPr="00A31137">
        <w:tab/>
        <w:t>Federal action limiting the policy-making discretion of the States should be taken only where constitutional authority is clear and certain and the national activity is necessitated by a problem of national scope.</w:t>
      </w:r>
    </w:p>
    <w:p w:rsidR="00A31137" w:rsidRPr="00A31137" w:rsidRDefault="00A31137" w:rsidP="00A31137">
      <w:r w:rsidRPr="00A31137">
        <w:t>•</w:t>
      </w:r>
      <w:r w:rsidRPr="00A31137">
        <w:tab/>
        <w:t>With respect to national policies administered by the States, the national Government should grant the States the maximum administrative discretion possible.</w:t>
      </w:r>
    </w:p>
    <w:p w:rsidR="00A31137" w:rsidRPr="00A31137" w:rsidRDefault="00A31137" w:rsidP="00A31137">
      <w:r w:rsidRPr="00A31137">
        <w:t>•</w:t>
      </w:r>
      <w:r w:rsidRPr="00A31137">
        <w:tab/>
        <w:t>When undertaking to formulate and implement policies that have Federalism implications, Federal executive departments and agencies should (1) encourage States to develop their own policies to achieve program objectives and to work with appropriate officials in other States; (2) refrain, to the maximum extent possible, from establishing uniform national standards for programs and, when possible, defer to the States to establish standards; and (3) when national standards are required, consult with appropriate officials and organizations representing the States in developing those standards.</w:t>
      </w:r>
    </w:p>
    <w:p w:rsidR="00A31137" w:rsidRPr="00A31137" w:rsidRDefault="00A31137" w:rsidP="00A31137">
      <w:r w:rsidRPr="00A31137">
        <w:t>Public Papers of Bush, 1990, p.239</w:t>
      </w:r>
    </w:p>
    <w:p w:rsidR="00A31137" w:rsidRPr="00A31137" w:rsidRDefault="00A31137" w:rsidP="00A31137">
      <w:r w:rsidRPr="00A31137">
        <w:t>The Executive order has special requirements dealing with preemption and with legislative proposals. It also requires that, when a proposed policy has sufficient Federalism implications, the agency must prepare a Federalism Assessment. This assessment is intended to provide the agency and the Administration with an evaluation of the extent to which the policy imposes additional costs or burdens on States and local governments. You are to consider the Federalism Assessment before adopting and implementing the policy.</w:t>
      </w:r>
    </w:p>
    <w:p w:rsidR="00A31137" w:rsidRPr="00A31137" w:rsidRDefault="00A31137" w:rsidP="00A31137">
      <w:r w:rsidRPr="00A31137">
        <w:t>Public Papers of Bush, 1990, p.239</w:t>
      </w:r>
    </w:p>
    <w:p w:rsidR="00A31137" w:rsidRPr="00A31137" w:rsidRDefault="00A31137" w:rsidP="00A31137">
      <w:r w:rsidRPr="00A31137">
        <w:t>The order also requires that you designate an official to be responsible for ensuring your agency's implementation of the order. Please ensure that your agency has provided the name of the designated official to the Director of the Office of Management and Budget.</w:t>
      </w:r>
    </w:p>
    <w:p w:rsidR="00A31137" w:rsidRPr="00A31137" w:rsidRDefault="00A31137" w:rsidP="00A31137">
      <w:r w:rsidRPr="00A31137">
        <w:t>Public Papers of Bush, 1990, p.239</w:t>
      </w:r>
    </w:p>
    <w:p w:rsidR="00A31137" w:rsidRPr="00A31137" w:rsidRDefault="00A31137" w:rsidP="00A31137">
      <w:r w:rsidRPr="00A31137">
        <w:t>I want to stress that the principles of this order are central to my Administration. I ask that each of you personally review the provisions of Executive Order No. 12612 and assure that the mechanisms necessary to ensure their implementation are in place.</w:t>
      </w:r>
      <w:r w:rsidRPr="00A31137">
        <w:cr/>
      </w:r>
    </w:p>
    <w:p w:rsidR="00A31137" w:rsidRPr="00A31137" w:rsidRDefault="00A31137" w:rsidP="00A31137">
      <w:r w:rsidRPr="00A31137">
        <w:t>GEORGE BUSH</w:t>
      </w:r>
    </w:p>
    <w:p w:rsidR="00A31137" w:rsidRPr="00A31137" w:rsidRDefault="00A31137" w:rsidP="00A31137">
      <w:r w:rsidRPr="00A31137">
        <w:t>President Bush's Remarks Following Discussions With President Vaclav Havel of Czechoslovakia, 1990</w:t>
      </w:r>
    </w:p>
    <w:p w:rsidR="00A31137" w:rsidRPr="00A31137" w:rsidRDefault="00A31137" w:rsidP="00A31137">
      <w:r w:rsidRPr="00A31137">
        <w:t>Title:</w:t>
      </w:r>
      <w:r w:rsidRPr="00A31137">
        <w:tab/>
        <w:t>President Bush's Remarks Following Discussions With President Vaclav Havel of Czechoslovakia</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February 20, 1990</w:t>
      </w:r>
    </w:p>
    <w:p w:rsidR="00A31137" w:rsidRPr="00A31137" w:rsidRDefault="00A31137" w:rsidP="00A31137">
      <w:r w:rsidRPr="00A31137">
        <w:t>Source:</w:t>
      </w:r>
      <w:r w:rsidRPr="00A31137">
        <w:tab/>
        <w:t>Public Papers of the Presidents, Bush, 1990, pp.241-243</w:t>
      </w:r>
    </w:p>
    <w:p w:rsidR="00A31137" w:rsidRPr="00A31137" w:rsidRDefault="00A31137" w:rsidP="00A31137">
      <w:r w:rsidRPr="00A31137">
        <w:t>Public Papers of Bush, 1990, p.241</w:t>
      </w:r>
    </w:p>
    <w:p w:rsidR="00A31137" w:rsidRPr="00A31137" w:rsidRDefault="00A31137" w:rsidP="00A31137">
      <w:r w:rsidRPr="00A31137">
        <w:t>President Bush. Well, welcome to everybody. And it's been my great pleasure to welcome to the White House a man of tremendous moral courage, one of the heroes of the Revolution of '89, the President of Czechoslovakia, Vaclav Havel.</w:t>
      </w:r>
    </w:p>
    <w:p w:rsidR="00A31137" w:rsidRPr="00A31137" w:rsidRDefault="00A31137" w:rsidP="00A31137">
      <w:r w:rsidRPr="00A31137">
        <w:t>Public Papers of Bush, 1990, p.241</w:t>
      </w:r>
    </w:p>
    <w:p w:rsidR="00A31137" w:rsidRPr="00A31137" w:rsidRDefault="00A31137" w:rsidP="00A31137">
      <w:r w:rsidRPr="00A31137">
        <w:t>Mr. President, your life has been one of miraculous transformations from the world of drama to the world of dissent, from the life of the artist to the life of the activist, and of course in the space of just 1 short year, the most miraculous journey of all, from prison to the Presidency. And of course it's possible to measure profound change in more personal terms. For years, as a dissident subject to arrest and imprisonment at any time, you could never go out without your toothbrush in your pocket. But now, as President, you can never go out without one of these neckties. [Laughter]</w:t>
      </w:r>
    </w:p>
    <w:p w:rsidR="00A31137" w:rsidRPr="00A31137" w:rsidRDefault="00A31137" w:rsidP="00A31137">
      <w:r w:rsidRPr="00A31137">
        <w:t>Public Papers of Bush, 1990, p.241</w:t>
      </w:r>
    </w:p>
    <w:p w:rsidR="00A31137" w:rsidRPr="00A31137" w:rsidRDefault="00A31137" w:rsidP="00A31137">
      <w:r w:rsidRPr="00A31137">
        <w:t>And many years ago you made a choice. You chose to live your life in keeping with your conscience not for others but for yourself. But others drew strength from the life you led, and your life was a tribute to the difference one man can make, powerful proof of the democratic idea. On the one side stood the state with its prisons and secret police; and on the other, Vaclav Havel, one man alone but with the strength of his convictions, always free with the freedom that comes from living in truth. First one man, and now millions.</w:t>
      </w:r>
    </w:p>
    <w:p w:rsidR="00A31137" w:rsidRPr="00A31137" w:rsidRDefault="00A31137" w:rsidP="00A31137">
      <w:r w:rsidRPr="00A31137">
        <w:t>Public Papers of Bush, 1990, p.241–p.242</w:t>
      </w:r>
    </w:p>
    <w:p w:rsidR="00A31137" w:rsidRPr="00A31137" w:rsidRDefault="00A31137" w:rsidP="00A31137">
      <w:r w:rsidRPr="00A31137">
        <w:t>President Havel never stopped believing in what he called this unbelievable thought: that any one of us can shake the Earth. Shake the Earth, Mr. President, and part the Iron Curtain. Shake the Earth and knock down the Berlin Wall. Shake the Earth and set in motion a process of change [p.242] from Budapest to Bucharest, from Warsaw to Wenceslas Square.</w:t>
      </w:r>
    </w:p>
    <w:p w:rsidR="00A31137" w:rsidRPr="00A31137" w:rsidRDefault="00A31137" w:rsidP="00A31137">
      <w:r w:rsidRPr="00A31137">
        <w:t>Public Papers of Bush, 1990, p.242</w:t>
      </w:r>
    </w:p>
    <w:p w:rsidR="00A31137" w:rsidRPr="00A31137" w:rsidRDefault="00A31137" w:rsidP="00A31137">
      <w:r w:rsidRPr="00A31137">
        <w:t>And that was the Revolution of '89, and our task now in the 1990's is to move forward from revolution to renaissance, towards a new Europe in which each nation and every culture can flourish and breathe free—a Europe whole and free.</w:t>
      </w:r>
    </w:p>
    <w:p w:rsidR="00A31137" w:rsidRPr="00A31137" w:rsidRDefault="00A31137" w:rsidP="00A31137">
      <w:r w:rsidRPr="00A31137">
        <w:t>Public Papers of Bush, 1990, p.242</w:t>
      </w:r>
    </w:p>
    <w:p w:rsidR="00A31137" w:rsidRPr="00A31137" w:rsidRDefault="00A31137" w:rsidP="00A31137">
      <w:r w:rsidRPr="00A31137">
        <w:t>President Havel, Czechoslovakia has turned to you to lead the way, and is it not fitting for a nation that each day writes a new page in its history to have elected a playwright as its President?</w:t>
      </w:r>
    </w:p>
    <w:p w:rsidR="00A31137" w:rsidRPr="00A31137" w:rsidRDefault="00A31137" w:rsidP="00A31137">
      <w:r w:rsidRPr="00A31137">
        <w:t>Public Papers of Bush, 1990, p.242</w:t>
      </w:r>
    </w:p>
    <w:p w:rsidR="00A31137" w:rsidRPr="00A31137" w:rsidRDefault="00A31137" w:rsidP="00A31137">
      <w:r w:rsidRPr="00A31137">
        <w:t>And I am pleased that we've had this opportunity to meet, to speak together about the changes that are taking place from Prague to Moscow, and about Czechoslovakia's place in the heartland of the new Europe now emerging. We know there is no room for illusions. Difficult work lies ahead. The damage of four decades of fear and repression cannot be repaired in a day. But we know something more: We know that the people of Czechoslovakia have waited long enough, and they know it's time to move forward to freedom.</w:t>
      </w:r>
    </w:p>
    <w:p w:rsidR="00A31137" w:rsidRPr="00A31137" w:rsidRDefault="00A31137" w:rsidP="00A31137">
      <w:r w:rsidRPr="00A31137">
        <w:t>Public Papers of Bush, 1990, p.242</w:t>
      </w:r>
    </w:p>
    <w:p w:rsidR="00A31137" w:rsidRPr="00A31137" w:rsidRDefault="00A31137" w:rsidP="00A31137">
      <w:r w:rsidRPr="00A31137">
        <w:t>Czechoslovakia and Europe are at the threshold of a new era. And I know I can speak for all Western leaders when I say that the Atlantic alliance will continue to play a vital role in assuring stability and security in Europe at this great and historic moment. And America will continue to play its part, including a strong military presence for our security and for Europe's.</w:t>
      </w:r>
    </w:p>
    <w:p w:rsidR="00A31137" w:rsidRPr="00A31137" w:rsidRDefault="00A31137" w:rsidP="00A31137">
      <w:r w:rsidRPr="00A31137">
        <w:t>Public Papers of Bush, 1990, p.242</w:t>
      </w:r>
    </w:p>
    <w:p w:rsidR="00A31137" w:rsidRPr="00A31137" w:rsidRDefault="00A31137" w:rsidP="00A31137">
      <w:r w:rsidRPr="00A31137">
        <w:t>Mr. President, you've not asked for American economic aid, and you made it clear that democratic Czechoslovakia wants the opportunity to do business on an equal footing. And in that regard, I am pleased to announce that I signed today letters notifying our Congress that I am waiving the Jackson-Vanik amendment for Czechoslovakia. Today our trade representatives began negotiating a trade agreement. Pending passage by your Parliament of new liberal emigration legislation, these measures will permit us to extend the most-favored-nation status to Czechoslovakia without the requirement of an annual waiver, granting your country the most liberal access to the American market possible under United States law.</w:t>
      </w:r>
    </w:p>
    <w:p w:rsidR="00A31137" w:rsidRPr="00A31137" w:rsidRDefault="00A31137" w:rsidP="00A31137">
      <w:r w:rsidRPr="00A31137">
        <w:t>Public Papers of Bush, 1990, p.242</w:t>
      </w:r>
    </w:p>
    <w:p w:rsidR="00A31137" w:rsidRPr="00A31137" w:rsidRDefault="00A31137" w:rsidP="00A31137">
      <w:r w:rsidRPr="00A31137">
        <w:t>Mr. President, you've also explained the enormous tasks that you face in rebuilding a democracy on the ruins of the one-party state that you inherited. And you've identified several areas where help is needed, and we are ready to respond. Let me just mention two specifics. First, in response to your request, I am asking Peace Corps Director Paul Coverdell to take the initial steps to bring the Peace Corps to Czechoslovakia by this fall. And second, I am delighted that we will soon reopen our consulate in Bratislava, as well as new cultural centers there and in Prague.</w:t>
      </w:r>
    </w:p>
    <w:p w:rsidR="00A31137" w:rsidRPr="00A31137" w:rsidRDefault="00A31137" w:rsidP="00A31137">
      <w:r w:rsidRPr="00A31137">
        <w:t>Public Papers of Bush, 1990, p.242</w:t>
      </w:r>
    </w:p>
    <w:p w:rsidR="00A31137" w:rsidRPr="00A31137" w:rsidRDefault="00A31137" w:rsidP="00A31137">
      <w:r w:rsidRPr="00A31137">
        <w:t>Mr. President, I assure you the United States will be part of your nation's democratic rebirth. Everything I've seen this past year tells me that Czechoslovakia can meet the challenges ahead. And as you've said in your first address as President on New Year's Day, so many times we've heard politics defined as the art of the possible; and this year has taught us something new, something more: It taught us, as you put it, that politics can be the art of the impossible.</w:t>
      </w:r>
    </w:p>
    <w:p w:rsidR="00A31137" w:rsidRPr="00A31137" w:rsidRDefault="00A31137" w:rsidP="00A31137">
      <w:r w:rsidRPr="00A31137">
        <w:t>Public Papers of Bush, 1990, p.242</w:t>
      </w:r>
    </w:p>
    <w:p w:rsidR="00A31137" w:rsidRPr="00A31137" w:rsidRDefault="00A31137" w:rsidP="00A31137">
      <w:r w:rsidRPr="00A31137">
        <w:t>Mr. President, before you leave us today, I would like to present you with a lithograph of your illustrious predecessor, Czechoslovakia's first President and author of your nation's Declaration of Independence, Thomas Masaryk. This portrait was done in Prague Castle and kept by President Masaryk until his death, when he gave it to his successor at Charles University's department of philosophy, President Jan Kozak.</w:t>
      </w:r>
    </w:p>
    <w:p w:rsidR="00A31137" w:rsidRPr="00A31137" w:rsidRDefault="00A31137" w:rsidP="00A31137">
      <w:r w:rsidRPr="00A31137">
        <w:t>Public Papers of Bush, 1990, p.242</w:t>
      </w:r>
    </w:p>
    <w:p w:rsidR="00A31137" w:rsidRPr="00A31137" w:rsidRDefault="00A31137" w:rsidP="00A31137">
      <w:r w:rsidRPr="00A31137">
        <w:t>In 1939, at the time of the Nazi invasion, Professor Kozak had 2 hours to pack his belongings and to flee Czechoslovakia. Among the items he took with him, this portrait of his friend. Professor Kozak settled in Ohio at Oberlin College, and so did this portrait until today. And now, with freedom returning to Czechoslovakia, so, too, should this portrait of President Masaryk, Czechoslovakia's first President and champion of freedom.</w:t>
      </w:r>
    </w:p>
    <w:p w:rsidR="00A31137" w:rsidRPr="00A31137" w:rsidRDefault="00A31137" w:rsidP="00A31137">
      <w:r w:rsidRPr="00A31137">
        <w:t>Public Papers of Bush, 1990, p.242</w:t>
      </w:r>
    </w:p>
    <w:p w:rsidR="00A31137" w:rsidRPr="00A31137" w:rsidRDefault="00A31137" w:rsidP="00A31137">
      <w:r w:rsidRPr="00A31137">
        <w:t>Once again, Mr. President, it has been my privilege to welcome you to Washington and to the White House. And God bless you, and may God bless the people of Czechoslovakia. We are pleased to have you here.</w:t>
      </w:r>
    </w:p>
    <w:p w:rsidR="00A31137" w:rsidRPr="00A31137" w:rsidRDefault="00A31137" w:rsidP="00A31137">
      <w:r w:rsidRPr="00A31137">
        <w:t>Public Papers of Bush, 1990, p.243</w:t>
      </w:r>
    </w:p>
    <w:p w:rsidR="00A31137" w:rsidRPr="00A31137" w:rsidRDefault="00A31137" w:rsidP="00A31137">
      <w:r w:rsidRPr="00A31137">
        <w:t>President Havel. Mr. President, I am very moved by your speech. I thank you very much for this drawing. I promise you it will be very soon back in our castle.</w:t>
      </w:r>
    </w:p>
    <w:p w:rsidR="00A31137" w:rsidRPr="00A31137" w:rsidRDefault="00A31137" w:rsidP="00A31137">
      <w:r w:rsidRPr="00A31137">
        <w:t>Public Papers of Bush, 1990, p.243</w:t>
      </w:r>
    </w:p>
    <w:p w:rsidR="00A31137" w:rsidRPr="00A31137" w:rsidRDefault="00A31137" w:rsidP="00A31137">
      <w:r w:rsidRPr="00A31137">
        <w:t>We had with Mr. Bush very important negotiations. We had very warm, very open, very friendly discussions. I am very glad that I had the opportunity to be here to explain what happened in Czechoslovakia, to explain our viewpoint, our policy. And thank you very much that we could be here. Thank you for the invitation. And of course I invite you to us in Prague, in Czechoslovakia. And you will see this nice drawing in my office on Prague Castle.</w:t>
      </w:r>
    </w:p>
    <w:p w:rsidR="00A31137" w:rsidRPr="00A31137" w:rsidRDefault="00A31137" w:rsidP="00A31137">
      <w:r w:rsidRPr="00A31137">
        <w:t>Public Papers of Bush, 1990, p.243</w:t>
      </w:r>
    </w:p>
    <w:p w:rsidR="00A31137" w:rsidRPr="00A31137" w:rsidRDefault="00A31137" w:rsidP="00A31137">
      <w:r w:rsidRPr="00A31137">
        <w:t>President Bush. Thank you, sir. Godspeed.</w:t>
      </w:r>
    </w:p>
    <w:p w:rsidR="00A31137" w:rsidRPr="00A31137" w:rsidRDefault="00A31137" w:rsidP="00A31137">
      <w:r w:rsidRPr="00A31137">
        <w:t>Public Papers of Bush, 1990, p.243</w:t>
      </w:r>
    </w:p>
    <w:p w:rsidR="00A31137" w:rsidRPr="00A31137" w:rsidRDefault="00A31137" w:rsidP="00A31137">
      <w:r w:rsidRPr="00A31137">
        <w:t>NOTE: President Bush spoke at 1:35 p.m. at the South Portico of the White House. Prior to their remarks, the two Presidents met privately in the Oval Office and with U.S. and Czechoslovak officials in the Cabinet Room, and then attended a luncheon in the Old Family Dining Room.</w:t>
      </w:r>
    </w:p>
    <w:p w:rsidR="00A31137" w:rsidRPr="00A31137" w:rsidRDefault="00A31137" w:rsidP="00A31137">
      <w:r w:rsidRPr="00A31137">
        <w:t>President Bush's Remarks at the Presentation of a Point of Light Award to Reef Relief in Islamorada, Florida, 1990</w:t>
      </w:r>
    </w:p>
    <w:p w:rsidR="00A31137" w:rsidRPr="00A31137" w:rsidRDefault="00A31137" w:rsidP="00A31137">
      <w:r w:rsidRPr="00A31137">
        <w:t>Title:</w:t>
      </w:r>
      <w:r w:rsidRPr="00A31137">
        <w:tab/>
        <w:t>President Bush's Remarks at the Presentation of a Point of Light Award to Reef Relief in Islamorada, Florida</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April 22, 1990</w:t>
      </w:r>
    </w:p>
    <w:p w:rsidR="00A31137" w:rsidRPr="00A31137" w:rsidRDefault="00A31137" w:rsidP="00A31137">
      <w:r w:rsidRPr="00A31137">
        <w:t>Source:</w:t>
      </w:r>
      <w:r w:rsidRPr="00A31137">
        <w:tab/>
        <w:t>Public Papers of the Presidents, Bush, 1990, pp.537-539</w:t>
      </w:r>
    </w:p>
    <w:p w:rsidR="00A31137" w:rsidRPr="00A31137" w:rsidRDefault="00A31137" w:rsidP="00A31137">
      <w:r w:rsidRPr="00A31137">
        <w:t>Public Papers of Bush, 1990, p.537</w:t>
      </w:r>
    </w:p>
    <w:p w:rsidR="00A31137" w:rsidRPr="00A31137" w:rsidRDefault="00A31137" w:rsidP="00A31137">
      <w:r w:rsidRPr="00A31137">
        <w:t>The President. Well, Craig and Deevon Quirolo, and guests, I'm here this morning because I want to recognize the good work, the outstanding work, of Reef Relief of Key West, Florida, as the 123d daily Point of Light.</w:t>
      </w:r>
    </w:p>
    <w:p w:rsidR="00A31137" w:rsidRPr="00A31137" w:rsidRDefault="00A31137" w:rsidP="00A31137">
      <w:r w:rsidRPr="00A31137">
        <w:t>Public Papers of Bush, 1990, p.537–p.538</w:t>
      </w:r>
    </w:p>
    <w:p w:rsidR="00A31137" w:rsidRPr="00A31137" w:rsidRDefault="00A31137" w:rsidP="00A31137">
      <w:r w:rsidRPr="00A31137">
        <w:t>After witnessing an alarming increase in the loss of coral reefs from anchors and excessive ocean traffic, Craig founded Reef Relief, and today Quirolo and hundreds of other individual volunteers—they volunteer their time and effort to protect these environmentally sensitive areas off the Florida Keys. These volunteers install buoys to which boats can tie up as an alternative to dropping anchor. And volunteers also participate in community education, teaching the public how to preserve and care for these precious reefs. And through a program called Marine Debris, still more volunteers participate in cleanup efforts and water quality research. I applaud them and all the volunteers associated with Reef Relief for their dedication to protecting their environment. They continue to demonstrate that individuals can and do make a [p.538] difference.</w:t>
      </w:r>
    </w:p>
    <w:p w:rsidR="00A31137" w:rsidRPr="00A31137" w:rsidRDefault="00A31137" w:rsidP="00A31137">
      <w:r w:rsidRPr="00A31137">
        <w:t>Public Papers of Bush, 1990, p.538</w:t>
      </w:r>
    </w:p>
    <w:p w:rsidR="00A31137" w:rsidRPr="00A31137" w:rsidRDefault="00A31137" w:rsidP="00A31137">
      <w:r w:rsidRPr="00A31137">
        <w:t>And now I want to present the letter-thank you, Governor. If I could just hand that off to you, sir, with great pride in your work and say how much the whole country appreciates this effort.</w:t>
      </w:r>
    </w:p>
    <w:p w:rsidR="00A31137" w:rsidRPr="00A31137" w:rsidRDefault="00A31137" w:rsidP="00A31137">
      <w:r w:rsidRPr="00A31137">
        <w:t>Public Papers of Bush, 1990, p.538</w:t>
      </w:r>
    </w:p>
    <w:p w:rsidR="00A31137" w:rsidRPr="00A31137" w:rsidRDefault="00A31137" w:rsidP="00A31137">
      <w:r w:rsidRPr="00A31137">
        <w:t>Today on Earth Day and in the presence of a dedicated organization like Reef Relief, I'm also pleased to announce that I'm sending to the International Maritime Commission in London my proposal to create an Area To Be Avoided to protect the entire Florida reef track from shipping traffic. The area will extend roughly 10 miles off the Florida coast and encompass the Florida reefs which lie 5 miles off the coast. The proposal, when implemented, will instruct all vessels carrying cargoes of oil or hazardous material and all other vessels greater than 50 meters in length to avoid transiting close to the reefs.</w:t>
      </w:r>
    </w:p>
    <w:p w:rsidR="00A31137" w:rsidRPr="00A31137" w:rsidRDefault="00A31137" w:rsidP="00A31137">
      <w:r w:rsidRPr="00A31137">
        <w:t>Public Papers of Bush, 1990, p.538</w:t>
      </w:r>
    </w:p>
    <w:p w:rsidR="00A31137" w:rsidRPr="00A31137" w:rsidRDefault="00A31137" w:rsidP="00A31137">
      <w:r w:rsidRPr="00A31137">
        <w:t>The Exxon Valdez disaster has made us all painfully aware of the ecological devastation which can result from a major oil spill. The Florida coral reefs are one of the most diverse ecosystems in the world and a unique national treasure. And protecting the reefs from damage both from vessel groundings and pollution is imperative.</w:t>
      </w:r>
    </w:p>
    <w:p w:rsidR="00A31137" w:rsidRPr="00A31137" w:rsidRDefault="00A31137" w:rsidP="00A31137">
      <w:r w:rsidRPr="00A31137">
        <w:t>Public Papers of Bush, 1990, p.538</w:t>
      </w:r>
    </w:p>
    <w:p w:rsidR="00A31137" w:rsidRPr="00A31137" w:rsidRDefault="00A31137" w:rsidP="00A31137">
      <w:r w:rsidRPr="00A31137">
        <w:t>And I want to thank the Commandant of the Coast Guard, Admiral Paul Yost; Governor Martinez, who's worked on this; concerned Florida Congressmen such as Bill Lehman and Dante Fascell; and concerned citizens who are working together to protect this beautiful and environmentally sensitive reef area.</w:t>
      </w:r>
    </w:p>
    <w:p w:rsidR="00A31137" w:rsidRPr="00A31137" w:rsidRDefault="00A31137" w:rsidP="00A31137">
      <w:r w:rsidRPr="00A31137">
        <w:t>Public Papers of Bush, 1990, p.538</w:t>
      </w:r>
    </w:p>
    <w:p w:rsidR="00A31137" w:rsidRPr="00A31137" w:rsidRDefault="00A31137" w:rsidP="00A31137">
      <w:r w:rsidRPr="00A31137">
        <w:t>Thank you, sir, and well-done. The floor is yours.</w:t>
      </w:r>
    </w:p>
    <w:p w:rsidR="00A31137" w:rsidRPr="00A31137" w:rsidRDefault="00A31137" w:rsidP="00A31137">
      <w:r w:rsidRPr="00A31137">
        <w:t>Public Papers of Bush, 1990, p.538</w:t>
      </w:r>
    </w:p>
    <w:p w:rsidR="00A31137" w:rsidRPr="00A31137" w:rsidRDefault="00A31137" w:rsidP="00A31137">
      <w:r w:rsidRPr="00A31137">
        <w:t>Mr. Quirolo. I'd like to say on behalf of Reef Relief that we're very excited about receiving this award for this Point of Light. And we're very excited that the coral reefs of the Florida Keys have taken notice up in Washington, and we're assured that your judgment will give us future hope for the future of our living coral reefs. And I'm really excited about this because it gives us an open dialog between the actual coral reef down here in Florida and the President of the United States, and I don't think you can have a better partnership than that. And I feel assured that our future down here and the future of the reef will be in good hands.</w:t>
      </w:r>
    </w:p>
    <w:p w:rsidR="00A31137" w:rsidRPr="00A31137" w:rsidRDefault="00A31137" w:rsidP="00A31137">
      <w:r w:rsidRPr="00A31137">
        <w:t>Public Papers of Bush, 1990, p.538</w:t>
      </w:r>
    </w:p>
    <w:p w:rsidR="00A31137" w:rsidRPr="00A31137" w:rsidRDefault="00A31137" w:rsidP="00A31137">
      <w:r w:rsidRPr="00A31137">
        <w:t>The President. And just so his constituency will know that he faithfully fulfilled not only his conviction but what he and I both feel is an obligation for citizens to talk frankly to the President, he raised with me the very sensitive question of offshore drilling. I want to just know—</w:t>
      </w:r>
    </w:p>
    <w:p w:rsidR="00A31137" w:rsidRPr="00A31137" w:rsidRDefault="00A31137" w:rsidP="00A31137">
      <w:r w:rsidRPr="00A31137">
        <w:t>Public Papers of Bush, 1990, p.538</w:t>
      </w:r>
    </w:p>
    <w:p w:rsidR="00A31137" w:rsidRPr="00A31137" w:rsidRDefault="00A31137" w:rsidP="00A31137">
      <w:r w:rsidRPr="00A31137">
        <w:t>Mr. Quirolo. Good—thank you, sir. [Laughter]</w:t>
      </w:r>
    </w:p>
    <w:p w:rsidR="00A31137" w:rsidRPr="00A31137" w:rsidRDefault="00A31137" w:rsidP="00A31137">
      <w:r w:rsidRPr="00A31137">
        <w:t>Public Papers of Bush, 1990, p.538</w:t>
      </w:r>
    </w:p>
    <w:p w:rsidR="00A31137" w:rsidRPr="00A31137" w:rsidRDefault="00A31137" w:rsidP="00A31137">
      <w:r w:rsidRPr="00A31137">
        <w:t>The President. And I told him there would be an answer very, very soon. And I didn't think he'd be too disappointed.</w:t>
      </w:r>
    </w:p>
    <w:p w:rsidR="00A31137" w:rsidRPr="00A31137" w:rsidRDefault="00A31137" w:rsidP="00A31137">
      <w:r w:rsidRPr="00A31137">
        <w:t>American Hostages in Lebanon</w:t>
      </w:r>
    </w:p>
    <w:p w:rsidR="00A31137" w:rsidRPr="00A31137" w:rsidRDefault="00A31137" w:rsidP="00A31137">
      <w:r w:rsidRPr="00A31137">
        <w:t>Public Papers of Bush, 1990, p.538</w:t>
      </w:r>
    </w:p>
    <w:p w:rsidR="00A31137" w:rsidRPr="00A31137" w:rsidRDefault="00A31137" w:rsidP="00A31137">
      <w:r w:rsidRPr="00A31137">
        <w:t>Q. What's the word from Syria? Will a hostage be released, do you know?</w:t>
      </w:r>
    </w:p>
    <w:p w:rsidR="00A31137" w:rsidRPr="00A31137" w:rsidRDefault="00A31137" w:rsidP="00A31137">
      <w:r w:rsidRPr="00A31137">
        <w:t>Public Papers of Bush, 1990, p.538</w:t>
      </w:r>
    </w:p>
    <w:p w:rsidR="00A31137" w:rsidRPr="00A31137" w:rsidRDefault="00A31137" w:rsidP="00A31137">
      <w:r w:rsidRPr="00A31137">
        <w:t>The President. Look, I don't want to conduct a press conference here; but on that one, since the hopes of the American people have once again been raised, I can't tell you that I've learned anything new this morning at all. I've not talked to General Scowcroft. We'll be over there to do that right now before we go off once again to the fiats out there. But I've not heard anymore about it, and so, I just don't want to be a part of raising the hopes of the families and then not have something happen. And I've said that for the last 3 months while this understandable speculation has been going on. So, I wish I could tell you, but there isn't any news that's been brought to my attention this morning. But let's hope, because this was one of the days that's been singled out where there might be some action.</w:t>
      </w:r>
    </w:p>
    <w:p w:rsidR="00A31137" w:rsidRPr="00A31137" w:rsidRDefault="00A31137" w:rsidP="00A31137">
      <w:r w:rsidRPr="00A31137">
        <w:t>Public Papers of Bush, 1990, p.538</w:t>
      </w:r>
    </w:p>
    <w:p w:rsidR="00A31137" w:rsidRPr="00A31137" w:rsidRDefault="00A31137" w:rsidP="00A31137">
      <w:r w:rsidRPr="00A31137">
        <w:t>Thank you all.</w:t>
      </w:r>
    </w:p>
    <w:p w:rsidR="00A31137" w:rsidRPr="00A31137" w:rsidRDefault="00A31137" w:rsidP="00A31137">
      <w:r w:rsidRPr="00A31137">
        <w:t>Public Papers of Bush, 1990, p.538</w:t>
      </w:r>
    </w:p>
    <w:p w:rsidR="00A31137" w:rsidRPr="00A31137" w:rsidRDefault="00A31137" w:rsidP="00A31137">
      <w:r w:rsidRPr="00A31137">
        <w:t>Q. How will you respond to that, Mr. President? You talk about good will begetting good will.</w:t>
      </w:r>
    </w:p>
    <w:p w:rsidR="00A31137" w:rsidRPr="00A31137" w:rsidRDefault="00A31137" w:rsidP="00A31137">
      <w:r w:rsidRPr="00A31137">
        <w:t>Public Papers of Bush, 1990, p.538–p.539</w:t>
      </w:r>
    </w:p>
    <w:p w:rsidR="00A31137" w:rsidRPr="00A31137" w:rsidRDefault="00A31137" w:rsidP="00A31137">
      <w:r w:rsidRPr="00A31137">
        <w:t>The President. Too hypothetical, Charles [Charles Bierbauer, Cable News Network]. We've got to see what happens, and I'm talking about release of all the hostages. We want every American held against his will, her will, released wherever they may be. And that's the ground rules, and that's the bottom line. And so, let's hope there's some action, but there's no point of my speculating. Put yourself in the place of these families: one day there's a picture of one of these hostages; the very next day it's another. [p.539] I don't consider that a very good way to deal with the emotions and the prayers of families, frankly. So, I can't contribute any more to it.</w:t>
      </w:r>
    </w:p>
    <w:p w:rsidR="00A31137" w:rsidRPr="00A31137" w:rsidRDefault="00A31137" w:rsidP="00A31137">
      <w:r w:rsidRPr="00A31137">
        <w:t>Public Papers of Bush, 1990, p.539</w:t>
      </w:r>
    </w:p>
    <w:p w:rsidR="00A31137" w:rsidRPr="00A31137" w:rsidRDefault="00A31137" w:rsidP="00A31137">
      <w:r w:rsidRPr="00A31137">
        <w:t>Off we go.</w:t>
      </w:r>
    </w:p>
    <w:p w:rsidR="00A31137" w:rsidRPr="00A31137" w:rsidRDefault="00A31137" w:rsidP="00A31137">
      <w:r w:rsidRPr="00A31137">
        <w:t>Public Papers of Bush, 1990, p.539</w:t>
      </w:r>
    </w:p>
    <w:p w:rsidR="00A31137" w:rsidRPr="00A31137" w:rsidRDefault="00A31137" w:rsidP="00A31137">
      <w:r w:rsidRPr="00A31137">
        <w:t>NOTE: The President spoke at 7:05 a.m. on Cheeca Lodge Beach. Brent Scowcroft was Assistant to the President for National Security Affairs.</w:t>
      </w:r>
    </w:p>
    <w:p w:rsidR="00A31137" w:rsidRPr="00A31137" w:rsidRDefault="00A31137" w:rsidP="00A31137">
      <w:r w:rsidRPr="00A31137">
        <w:t>President Bush's Remarks on the Release of Former Hostage Robert Polhill, 1990</w:t>
      </w:r>
    </w:p>
    <w:p w:rsidR="00A31137" w:rsidRPr="00A31137" w:rsidRDefault="00A31137" w:rsidP="00A31137">
      <w:r w:rsidRPr="00A31137">
        <w:t>Title:</w:t>
      </w:r>
      <w:r w:rsidRPr="00A31137">
        <w:tab/>
        <w:t>President Bush's Remarks on the Release of Former Hostage Robert Polhill</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April 22, 1990</w:t>
      </w:r>
    </w:p>
    <w:p w:rsidR="00A31137" w:rsidRPr="00A31137" w:rsidRDefault="00A31137" w:rsidP="00A31137">
      <w:r w:rsidRPr="00A31137">
        <w:t>Source:</w:t>
      </w:r>
      <w:r w:rsidRPr="00A31137">
        <w:tab/>
        <w:t>Public Papers of the Presidents, Bush, 1990, pp.541-543</w:t>
      </w:r>
    </w:p>
    <w:p w:rsidR="00A31137" w:rsidRPr="00A31137" w:rsidRDefault="00A31137" w:rsidP="00A31137">
      <w:r w:rsidRPr="00A31137">
        <w:t>Public Papers of Bush, 1990, p.541</w:t>
      </w:r>
    </w:p>
    <w:p w:rsidR="00A31137" w:rsidRPr="00A31137" w:rsidRDefault="00A31137" w:rsidP="00A31137">
      <w:r w:rsidRPr="00A31137">
        <w:t>The President. It's marvelous, this communications here. I was out there, way out on the flats, and talked to our Ambassador in Syria, prior to his going to the Foreign Ministry to greet our hostage, Mr. Polhill, and now sitting here with you all, and talking to Mount Everest and then the Columbia Gorge on the west coast. And I really think this modern-day communication is inspiring. And I want to take this opportunity to thank all at WHCA [White House Communications Agency] who do this kind of thing for the President and, indeed, for many others day in and day out. I think it's a marvelous example of their communications skills, and I'm very grateful.</w:t>
      </w:r>
    </w:p>
    <w:p w:rsidR="00A31137" w:rsidRPr="00A31137" w:rsidRDefault="00A31137" w:rsidP="00A31137">
      <w:r w:rsidRPr="00A31137">
        <w:t>Public Papers of Bush, 1990, p.541</w:t>
      </w:r>
    </w:p>
    <w:p w:rsidR="00A31137" w:rsidRPr="00A31137" w:rsidRDefault="00A31137" w:rsidP="00A31137">
      <w:r w:rsidRPr="00A31137">
        <w:t>Having said that, they patched me through, before this meeting here, to talk to our hostage, Mr. Polhill, to talk to his wife. And then there was a little delay because I also wanted to say hello to his mother, who is still here in the States, and I got her. And I guess what I would say is that the joy of this family knows no bounds. And I told them that Barbara and I sent our love, as I expect all Americans do. And I also told them that we were not going to forget these other hostages. I haven't. I don't intend to.</w:t>
      </w:r>
    </w:p>
    <w:p w:rsidR="00A31137" w:rsidRPr="00A31137" w:rsidRDefault="00A31137" w:rsidP="00A31137">
      <w:r w:rsidRPr="00A31137">
        <w:t>Public Papers of Bush, 1990, p.541</w:t>
      </w:r>
    </w:p>
    <w:p w:rsidR="00A31137" w:rsidRPr="00A31137" w:rsidRDefault="00A31137" w:rsidP="00A31137">
      <w:r w:rsidRPr="00A31137">
        <w:t>I think it's proper to thank the Syrians, who played an instrumental role in this, I understand. But this is mission uncompleted. There are other Americans held against their will. And the Polhills, all three, mentioned their concern about others. So, it's a joyous day in that sense. But I will carry the burden of the other hostages with me until every single one of them is free, and I mean it. There's not a night goes by that I don't think about it.</w:t>
      </w:r>
    </w:p>
    <w:p w:rsidR="00A31137" w:rsidRPr="00A31137" w:rsidRDefault="00A31137" w:rsidP="00A31137">
      <w:r w:rsidRPr="00A31137">
        <w:t>Public Papers of Bush, 1990, p.541</w:t>
      </w:r>
    </w:p>
    <w:p w:rsidR="00A31137" w:rsidRPr="00A31137" w:rsidRDefault="00A31137" w:rsidP="00A31137">
      <w:r w:rsidRPr="00A31137">
        <w:t>Q. Mr. President, what did Robert Polhill have to tell you?</w:t>
      </w:r>
    </w:p>
    <w:p w:rsidR="00A31137" w:rsidRPr="00A31137" w:rsidRDefault="00A31137" w:rsidP="00A31137">
      <w:r w:rsidRPr="00A31137">
        <w:t>Public Papers of Bush, 1990, p.541</w:t>
      </w:r>
    </w:p>
    <w:p w:rsidR="00A31137" w:rsidRPr="00A31137" w:rsidRDefault="00A31137" w:rsidP="00A31137">
      <w:r w:rsidRPr="00A31137">
        <w:t>The President. Well, just that he was pleased to be free. I said I could hardly hear him, and he said that his voice was a little weak. But other than that, it was just joy at being released. And everyone in our country can understand that.</w:t>
      </w:r>
    </w:p>
    <w:p w:rsidR="00A31137" w:rsidRPr="00A31137" w:rsidRDefault="00A31137" w:rsidP="00A31137">
      <w:r w:rsidRPr="00A31137">
        <w:t>Public Papers of Bush, 1990, p.542</w:t>
      </w:r>
    </w:p>
    <w:p w:rsidR="00A31137" w:rsidRPr="00A31137" w:rsidRDefault="00A31137" w:rsidP="00A31137">
      <w:r w:rsidRPr="00A31137">
        <w:t>Q. Did he have any report on the other hostages?</w:t>
      </w:r>
    </w:p>
    <w:p w:rsidR="00A31137" w:rsidRPr="00A31137" w:rsidRDefault="00A31137" w:rsidP="00A31137">
      <w:r w:rsidRPr="00A31137">
        <w:t>Public Papers of Bush, 1990, p.542</w:t>
      </w:r>
    </w:p>
    <w:p w:rsidR="00A31137" w:rsidRPr="00A31137" w:rsidRDefault="00A31137" w:rsidP="00A31137">
      <w:r w:rsidRPr="00A31137">
        <w:t>The President. Norm [Norman Sandler, United Press International], I really didn't ask him that, and I expect I'll get debriefed as soon as that whole process goes forward. I didn't go into any of the substance or the details of the release with him or with our Ambassador.</w:t>
      </w:r>
    </w:p>
    <w:p w:rsidR="00A31137" w:rsidRPr="00A31137" w:rsidRDefault="00A31137" w:rsidP="00A31137">
      <w:r w:rsidRPr="00A31137">
        <w:t>Public Papers of Bush, 1990, p.542</w:t>
      </w:r>
    </w:p>
    <w:p w:rsidR="00A31137" w:rsidRPr="00A31137" w:rsidRDefault="00A31137" w:rsidP="00A31137">
      <w:r w:rsidRPr="00A31137">
        <w:t>Q. Mr. President, you said good will begets good will. Is this the sort of gesture from Iran of good will—</w:t>
      </w:r>
    </w:p>
    <w:p w:rsidR="00A31137" w:rsidRPr="00A31137" w:rsidRDefault="00A31137" w:rsidP="00A31137">
      <w:r w:rsidRPr="00A31137">
        <w:t>Public Papers of Bush, 1990, p.542</w:t>
      </w:r>
    </w:p>
    <w:p w:rsidR="00A31137" w:rsidRPr="00A31137" w:rsidRDefault="00A31137" w:rsidP="00A31137">
      <w:r w:rsidRPr="00A31137">
        <w:t>The President. I'm not looking for gestures. I'm looking for the release of our hostages. And by our hostages, I mean all of them. But in terms of good will, I must say in my heart I have good will toward Syria for playing an active role in this release, yes.</w:t>
      </w:r>
    </w:p>
    <w:p w:rsidR="00A31137" w:rsidRPr="00A31137" w:rsidRDefault="00A31137" w:rsidP="00A31137">
      <w:r w:rsidRPr="00A31137">
        <w:t>Public Papers of Bush, 1990, p.542</w:t>
      </w:r>
    </w:p>
    <w:p w:rsidR="00A31137" w:rsidRPr="00A31137" w:rsidRDefault="00A31137" w:rsidP="00A31137">
      <w:r w:rsidRPr="00A31137">
        <w:t>Q.—good will toward Iran. Marlin said the White House thanks both Syria and Iran. Do you have good will toward Iran?</w:t>
      </w:r>
    </w:p>
    <w:p w:rsidR="00A31137" w:rsidRPr="00A31137" w:rsidRDefault="00A31137" w:rsidP="00A31137">
      <w:r w:rsidRPr="00A31137">
        <w:t>Public Papers of Bush, 1990, p.542</w:t>
      </w:r>
    </w:p>
    <w:p w:rsidR="00A31137" w:rsidRPr="00A31137" w:rsidRDefault="00A31137" w:rsidP="00A31137">
      <w:r w:rsidRPr="00A31137">
        <w:t>The President. To the degree Iran's role is known in this. I can't tell you I honestly know what it is. But I'd have good will to those who facilitated the release. If that included Iran, absolutely, because I meant what I said. But I can't rejoice or say all is well until every single one of those hostages is out.</w:t>
      </w:r>
    </w:p>
    <w:p w:rsidR="00A31137" w:rsidRPr="00A31137" w:rsidRDefault="00A31137" w:rsidP="00A31137">
      <w:r w:rsidRPr="00A31137">
        <w:t>Public Papers of Bush, 1990, p.542</w:t>
      </w:r>
    </w:p>
    <w:p w:rsidR="00A31137" w:rsidRPr="00A31137" w:rsidRDefault="00A31137" w:rsidP="00A31137">
      <w:r w:rsidRPr="00A31137">
        <w:t>This is a cruel process. You see pictures flash, loved ones getting their hopes up, and then some hopes are dashed. And so, it's a very troubling process. I feel great joy in my heart, great happiness, but I also feel a great anxiety about those families who are separated from their loved ones still.</w:t>
      </w:r>
    </w:p>
    <w:p w:rsidR="00A31137" w:rsidRPr="00A31137" w:rsidRDefault="00A31137" w:rsidP="00A31137">
      <w:r w:rsidRPr="00A31137">
        <w:t>Public Papers of Bush, 1990, p.542</w:t>
      </w:r>
    </w:p>
    <w:p w:rsidR="00A31137" w:rsidRPr="00A31137" w:rsidRDefault="00A31137" w:rsidP="00A31137">
      <w:r w:rsidRPr="00A31137">
        <w:t>Q. Mr. President, is there some goodwill gesture that you can return?</w:t>
      </w:r>
    </w:p>
    <w:p w:rsidR="00A31137" w:rsidRPr="00A31137" w:rsidRDefault="00A31137" w:rsidP="00A31137">
      <w:r w:rsidRPr="00A31137">
        <w:t>Public Papers of Bush, 1990, p.542</w:t>
      </w:r>
    </w:p>
    <w:p w:rsidR="00A31137" w:rsidRPr="00A31137" w:rsidRDefault="00A31137" w:rsidP="00A31137">
      <w:r w:rsidRPr="00A31137">
        <w:t>The President. I'm not trying to think up any gesture. I've said right here what I think. I want all of those hostages out. We're not going to trade. I think our policy is sound. I think we have support from the hostage families. It's very important to me that we do because I want them to know exactly how much anxiety I feel about their loved ones still being held. But we're not going to change our policy. And we are going to say that we're grateful to those that facilitate the return of Mr. Polhill, but there are seven other Americans that are held against their will.</w:t>
      </w:r>
    </w:p>
    <w:p w:rsidR="00A31137" w:rsidRPr="00A31137" w:rsidRDefault="00A31137" w:rsidP="00A31137">
      <w:r w:rsidRPr="00A31137">
        <w:t>Public Papers of Bush, 1990, p.542</w:t>
      </w:r>
    </w:p>
    <w:p w:rsidR="00A31137" w:rsidRPr="00A31137" w:rsidRDefault="00A31137" w:rsidP="00A31137">
      <w:r w:rsidRPr="00A31137">
        <w:t>Q. Is this a test of your good will message, Mr. President?</w:t>
      </w:r>
    </w:p>
    <w:p w:rsidR="00A31137" w:rsidRPr="00A31137" w:rsidRDefault="00A31137" w:rsidP="00A31137">
      <w:r w:rsidRPr="00A31137">
        <w:t>Public Papers of Bush, 1990, p.542</w:t>
      </w:r>
    </w:p>
    <w:p w:rsidR="00A31137" w:rsidRPr="00A31137" w:rsidRDefault="00A31137" w:rsidP="00A31137">
      <w:r w:rsidRPr="00A31137">
        <w:t>Q. Will you speak tomorrow with the leaders of Congress on Lithuania?</w:t>
      </w:r>
    </w:p>
    <w:p w:rsidR="00A31137" w:rsidRPr="00A31137" w:rsidRDefault="00A31137" w:rsidP="00A31137">
      <w:r w:rsidRPr="00A31137">
        <w:t>Public Papers of Bush, 1990, p.542</w:t>
      </w:r>
    </w:p>
    <w:p w:rsidR="00A31137" w:rsidRPr="00A31137" w:rsidRDefault="00A31137" w:rsidP="00A31137">
      <w:r w:rsidRPr="00A31137">
        <w:t>Q. Is this a test?</w:t>
      </w:r>
    </w:p>
    <w:p w:rsidR="00A31137" w:rsidRPr="00A31137" w:rsidRDefault="00A31137" w:rsidP="00A31137">
      <w:r w:rsidRPr="00A31137">
        <w:t>Public Papers of Bush, 1990, p.542</w:t>
      </w:r>
    </w:p>
    <w:p w:rsidR="00A31137" w:rsidRPr="00A31137" w:rsidRDefault="00A31137" w:rsidP="00A31137">
      <w:r w:rsidRPr="00A31137">
        <w:t>The President. Let me go here, and then I'll come back.</w:t>
      </w:r>
    </w:p>
    <w:p w:rsidR="00A31137" w:rsidRPr="00A31137" w:rsidRDefault="00A31137" w:rsidP="00A31137">
      <w:r w:rsidRPr="00A31137">
        <w:t>Public Papers of Bush, 1990, p.542</w:t>
      </w:r>
    </w:p>
    <w:p w:rsidR="00A31137" w:rsidRPr="00A31137" w:rsidRDefault="00A31137" w:rsidP="00A31137">
      <w:r w:rsidRPr="00A31137">
        <w:t>Q. Is this a test for you, Mr. President?</w:t>
      </w:r>
    </w:p>
    <w:p w:rsidR="00A31137" w:rsidRPr="00A31137" w:rsidRDefault="00A31137" w:rsidP="00A31137">
      <w:r w:rsidRPr="00A31137">
        <w:t>Public Papers of Bush, 1990, p.542</w:t>
      </w:r>
    </w:p>
    <w:p w:rsidR="00A31137" w:rsidRPr="00A31137" w:rsidRDefault="00A31137" w:rsidP="00A31137">
      <w:r w:rsidRPr="00A31137">
        <w:t>The President. A test of what? Every day is—</w:t>
      </w:r>
    </w:p>
    <w:p w:rsidR="00A31137" w:rsidRPr="00A31137" w:rsidRDefault="00A31137" w:rsidP="00A31137">
      <w:r w:rsidRPr="00A31137">
        <w:t>Public Papers of Bush, 1990, p.542</w:t>
      </w:r>
    </w:p>
    <w:p w:rsidR="00A31137" w:rsidRPr="00A31137" w:rsidRDefault="00A31137" w:rsidP="00A31137">
      <w:r w:rsidRPr="00A31137">
        <w:t>Q. Of testing your goodwill gesture?</w:t>
      </w:r>
    </w:p>
    <w:p w:rsidR="00A31137" w:rsidRPr="00A31137" w:rsidRDefault="00A31137" w:rsidP="00A31137">
      <w:r w:rsidRPr="00A31137">
        <w:t>Public Papers of Bush, 1990, p.542</w:t>
      </w:r>
    </w:p>
    <w:p w:rsidR="00A31137" w:rsidRPr="00A31137" w:rsidRDefault="00A31137" w:rsidP="00A31137">
      <w:r w:rsidRPr="00A31137">
        <w:t>The President. Every day is a test of my good will because I don't have forgiveness in my heart as long as one American is held against his will and as long as one family has a broken heart. And so, we're not into this mode of a test at all. It's a joyous occasion that this family is reunited, but there are seven other families that are hurting, crushed every day by the burden of this.</w:t>
      </w:r>
    </w:p>
    <w:p w:rsidR="00A31137" w:rsidRPr="00A31137" w:rsidRDefault="00A31137" w:rsidP="00A31137">
      <w:r w:rsidRPr="00A31137">
        <w:t>Soviet Economic Sanctions Against Lithuania</w:t>
      </w:r>
    </w:p>
    <w:p w:rsidR="00A31137" w:rsidRPr="00A31137" w:rsidRDefault="00A31137" w:rsidP="00A31137">
      <w:r w:rsidRPr="00A31137">
        <w:t>Public Papers of Bush, 1990, p.542</w:t>
      </w:r>
    </w:p>
    <w:p w:rsidR="00A31137" w:rsidRPr="00A31137" w:rsidRDefault="00A31137" w:rsidP="00A31137">
      <w:r w:rsidRPr="00A31137">
        <w:t>Q. Mr. President, do you now know what course of action you will follow in response to the Soviet tightening of the economic screws in Lithuania? And will the meeting with leaders of Congress be tomorrow?</w:t>
      </w:r>
    </w:p>
    <w:p w:rsidR="00A31137" w:rsidRPr="00A31137" w:rsidRDefault="00A31137" w:rsidP="00A31137">
      <w:r w:rsidRPr="00A31137">
        <w:t>Public Papers of Bush, 1990, p.542</w:t>
      </w:r>
    </w:p>
    <w:p w:rsidR="00A31137" w:rsidRPr="00A31137" w:rsidRDefault="00A31137" w:rsidP="00A31137">
      <w:r w:rsidRPr="00A31137">
        <w:t>The President. Well, I don't have any plans for a meeting tomorrow. It might be, but I don't think that's scheduled. And I can't tell you I honestly have made that determination, no.</w:t>
      </w:r>
    </w:p>
    <w:p w:rsidR="00A31137" w:rsidRPr="00A31137" w:rsidRDefault="00A31137" w:rsidP="00A31137">
      <w:r w:rsidRPr="00A31137">
        <w:t>Public Papers of Bush, 1990, p.542</w:t>
      </w:r>
    </w:p>
    <w:p w:rsidR="00A31137" w:rsidRPr="00A31137" w:rsidRDefault="00A31137" w:rsidP="00A31137">
      <w:r w:rsidRPr="00A31137">
        <w:t>Q. They have not already gone so far that you would act</w:t>
      </w:r>
    </w:p>
    <w:p w:rsidR="00A31137" w:rsidRPr="00A31137" w:rsidRDefault="00A31137" w:rsidP="00A31137">
      <w:r w:rsidRPr="00A31137">
        <w:t>Public Papers of Bush, 1990, p.542</w:t>
      </w:r>
    </w:p>
    <w:p w:rsidR="00A31137" w:rsidRPr="00A31137" w:rsidRDefault="00A31137" w:rsidP="00A31137">
      <w:r w:rsidRPr="00A31137">
        <w:t>The President. I am not going to go into hypothetical questions. I've simply said all I want to say on that for now.</w:t>
      </w:r>
    </w:p>
    <w:p w:rsidR="00A31137" w:rsidRPr="00A31137" w:rsidRDefault="00A31137" w:rsidP="00A31137">
      <w:r w:rsidRPr="00A31137">
        <w:t>Release of Robert Polhill</w:t>
      </w:r>
    </w:p>
    <w:p w:rsidR="00A31137" w:rsidRPr="00A31137" w:rsidRDefault="00A31137" w:rsidP="00A31137">
      <w:r w:rsidRPr="00A31137">
        <w:t>Public Papers of Bush, 1990, p.542</w:t>
      </w:r>
    </w:p>
    <w:p w:rsidR="00A31137" w:rsidRPr="00A31137" w:rsidRDefault="00A31137" w:rsidP="00A31137">
      <w:r w:rsidRPr="00A31137">
        <w:t>Q. In thanking Iran for its apparent role in the release of Mr. Polhill, do you also hold the Iranians—</w:t>
      </w:r>
    </w:p>
    <w:p w:rsidR="00A31137" w:rsidRPr="00A31137" w:rsidRDefault="00A31137" w:rsidP="00A31137">
      <w:r w:rsidRPr="00A31137">
        <w:t>Public Papers of Bush, 1990, p.542</w:t>
      </w:r>
    </w:p>
    <w:p w:rsidR="00A31137" w:rsidRPr="00A31137" w:rsidRDefault="00A31137" w:rsidP="00A31137">
      <w:r w:rsidRPr="00A31137">
        <w:t>The President. Norm, I'm stopping a little short of that because I don't know what the role is.</w:t>
      </w:r>
    </w:p>
    <w:p w:rsidR="00A31137" w:rsidRPr="00A31137" w:rsidRDefault="00A31137" w:rsidP="00A31137">
      <w:r w:rsidRPr="00A31137">
        <w:t>Hostages in Lebanon</w:t>
      </w:r>
    </w:p>
    <w:p w:rsidR="00A31137" w:rsidRPr="00A31137" w:rsidRDefault="00A31137" w:rsidP="00A31137">
      <w:r w:rsidRPr="00A31137">
        <w:t>Public Papers of Bush, 1990, p.542</w:t>
      </w:r>
    </w:p>
    <w:p w:rsidR="00A31137" w:rsidRPr="00A31137" w:rsidRDefault="00A31137" w:rsidP="00A31137">
      <w:r w:rsidRPr="00A31137">
        <w:t>Q.—any apparent role. Do you also hold the Iranians responsible for the other seven hostages?</w:t>
      </w:r>
    </w:p>
    <w:p w:rsidR="00A31137" w:rsidRPr="00A31137" w:rsidRDefault="00A31137" w:rsidP="00A31137">
      <w:r w:rsidRPr="00A31137">
        <w:t>Public Papers of Bush, 1990, p.542</w:t>
      </w:r>
    </w:p>
    <w:p w:rsidR="00A31137" w:rsidRPr="00A31137" w:rsidRDefault="00A31137" w:rsidP="00A31137">
      <w:r w:rsidRPr="00A31137">
        <w:t>The President. I don't want to assign blame, and I don't want to give credit when I don't know the facts. All I want to do is see those hostages released.</w:t>
      </w:r>
    </w:p>
    <w:p w:rsidR="00A31137" w:rsidRPr="00A31137" w:rsidRDefault="00A31137" w:rsidP="00A31137">
      <w:r w:rsidRPr="00A31137">
        <w:t>Public Papers of Bush, 1990, p.543</w:t>
      </w:r>
    </w:p>
    <w:p w:rsidR="00A31137" w:rsidRPr="00A31137" w:rsidRDefault="00A31137" w:rsidP="00A31137">
      <w:r w:rsidRPr="00A31137">
        <w:t>Q. Mr. President, when you say all the hostages, you say all the American hostages need to be released. What about the other Western hostages?</w:t>
      </w:r>
    </w:p>
    <w:p w:rsidR="00A31137" w:rsidRPr="00A31137" w:rsidRDefault="00A31137" w:rsidP="00A31137">
      <w:r w:rsidRPr="00A31137">
        <w:t>Public Papers of Bush, 1990, p.543</w:t>
      </w:r>
    </w:p>
    <w:p w:rsidR="00A31137" w:rsidRPr="00A31137" w:rsidRDefault="00A31137" w:rsidP="00A31137">
      <w:r w:rsidRPr="00A31137">
        <w:t>The President. I feel very strongly, particularly about Terry Waite [Anglican envoy], that I've met, feel that I know. But look, it's not a question of just American hostages. I think you raise a good point. It's a question of the immorality of holding hostages for whatever political end. It is an immoral practice, and it has to stop. And I'm pleased that we've seen this fascinating and wonderful development, but I can't say that the burden is lifted—not from me but from the American people and from the rest of the families and for those who share my belief that it is brutal to hold man or woman hostage against their will.</w:t>
      </w:r>
    </w:p>
    <w:p w:rsidR="00A31137" w:rsidRPr="00A31137" w:rsidRDefault="00A31137" w:rsidP="00A31137">
      <w:r w:rsidRPr="00A31137">
        <w:t>Public Papers of Bush, 1990, p.543</w:t>
      </w:r>
    </w:p>
    <w:p w:rsidR="00A31137" w:rsidRPr="00A31137" w:rsidRDefault="00A31137" w:rsidP="00A31137">
      <w:r w:rsidRPr="00A31137">
        <w:t>Q. Mr. President, is there any concern that without a return goodwill gesture to the hostage-takers or to Iran, for example, that this whole agonizing process just could be prolonged even further?</w:t>
      </w:r>
    </w:p>
    <w:p w:rsidR="00A31137" w:rsidRPr="00A31137" w:rsidRDefault="00A31137" w:rsidP="00A31137">
      <w:r w:rsidRPr="00A31137">
        <w:t>Public Papers of Bush, 1990, p.543</w:t>
      </w:r>
    </w:p>
    <w:p w:rsidR="00A31137" w:rsidRPr="00A31137" w:rsidRDefault="00A31137" w:rsidP="00A31137">
      <w:r w:rsidRPr="00A31137">
        <w:t>The President. I don't have that feeling at all. I think people that hold people hostage know the American policy. I hope there's respect for the American policy. And I am not going to change the American policy.</w:t>
      </w:r>
    </w:p>
    <w:p w:rsidR="00A31137" w:rsidRPr="00A31137" w:rsidRDefault="00A31137" w:rsidP="00A31137">
      <w:r w:rsidRPr="00A31137">
        <w:t>Public Papers of Bush, 1990, p.543</w:t>
      </w:r>
    </w:p>
    <w:p w:rsidR="00A31137" w:rsidRPr="00A31137" w:rsidRDefault="00A31137" w:rsidP="00A31137">
      <w:r w:rsidRPr="00A31137">
        <w:t>Q. Mr. President, why not go ahead and make the goodwill gesture if it might bring them home?</w:t>
      </w:r>
    </w:p>
    <w:p w:rsidR="00A31137" w:rsidRPr="00A31137" w:rsidRDefault="00A31137" w:rsidP="00A31137">
      <w:r w:rsidRPr="00A31137">
        <w:t>Public Papers of Bush, 1990, p.543</w:t>
      </w:r>
    </w:p>
    <w:p w:rsidR="00A31137" w:rsidRPr="00A31137" w:rsidRDefault="00A31137" w:rsidP="00A31137">
      <w:r w:rsidRPr="00A31137">
        <w:t>Q. Do you have any idea why they might have released Mr. Polhill today?</w:t>
      </w:r>
    </w:p>
    <w:p w:rsidR="00A31137" w:rsidRPr="00A31137" w:rsidRDefault="00A31137" w:rsidP="00A31137">
      <w:r w:rsidRPr="00A31137">
        <w:t>Public Papers of Bush, 1990, p.543</w:t>
      </w:r>
    </w:p>
    <w:p w:rsidR="00A31137" w:rsidRPr="00A31137" w:rsidRDefault="00A31137" w:rsidP="00A31137">
      <w:r w:rsidRPr="00A31137">
        <w:t>The President. No, I don't.</w:t>
      </w:r>
    </w:p>
    <w:p w:rsidR="00A31137" w:rsidRPr="00A31137" w:rsidRDefault="00A31137" w:rsidP="00A31137">
      <w:r w:rsidRPr="00A31137">
        <w:t>Public Papers of Bush, 1990, p.543</w:t>
      </w:r>
    </w:p>
    <w:p w:rsidR="00A31137" w:rsidRPr="00A31137" w:rsidRDefault="00A31137" w:rsidP="00A31137">
      <w:r w:rsidRPr="00A31137">
        <w:t>Q. Did Djerejian give you any indication that the other hostages—</w:t>
      </w:r>
    </w:p>
    <w:p w:rsidR="00A31137" w:rsidRPr="00A31137" w:rsidRDefault="00A31137" w:rsidP="00A31137">
      <w:r w:rsidRPr="00A31137">
        <w:t>Public Papers of Bush, 1990, p.543</w:t>
      </w:r>
    </w:p>
    <w:p w:rsidR="00A31137" w:rsidRPr="00A31137" w:rsidRDefault="00A31137" w:rsidP="00A31137">
      <w:r w:rsidRPr="00A31137">
        <w:t>Q. Why not go ahead and make the goodwill gesture if it might mean the—</w:t>
      </w:r>
    </w:p>
    <w:p w:rsidR="00A31137" w:rsidRPr="00A31137" w:rsidRDefault="00A31137" w:rsidP="00A31137">
      <w:r w:rsidRPr="00A31137">
        <w:t>Public Papers of Bush, 1990, p.543</w:t>
      </w:r>
    </w:p>
    <w:p w:rsidR="00A31137" w:rsidRPr="00A31137" w:rsidRDefault="00A31137" w:rsidP="00A31137">
      <w:r w:rsidRPr="00A31137">
        <w:t>The President. I'm not making gestures. I don't trade for hostages. I don't go "ante up" one step and one another. I rejoice at this release. And the American policy is sound, and it's not going to change. And I will thank those who facilitated the release, and that's exactly the way it's going to stay. And I feel the burden of these hostages-and I mean it—every single day. We say prayers about them every single night.</w:t>
      </w:r>
    </w:p>
    <w:p w:rsidR="00A31137" w:rsidRPr="00A31137" w:rsidRDefault="00A31137" w:rsidP="00A31137">
      <w:r w:rsidRPr="00A31137">
        <w:t>Public Papers of Bush, 1990, p.543</w:t>
      </w:r>
    </w:p>
    <w:p w:rsidR="00A31137" w:rsidRPr="00A31137" w:rsidRDefault="00A31137" w:rsidP="00A31137">
      <w:r w:rsidRPr="00A31137">
        <w:t>NOTE: The President spoke at 4:25 p.m. on Tarpon Flats in Islamorada, FL. Robert Polhill, an accounting professor at Beirut University College, was kidnaped by pro-Iranian terrorists in Beirut on January 24, 1987. Marlin Fitzwater was Press Secretary to the President. Edward Djerejian was U.S. Ambassador to Syria. Following his remarks, the President returned to Washington, DC.</w:t>
      </w:r>
    </w:p>
    <w:p w:rsidR="00A31137" w:rsidRPr="00A31137" w:rsidRDefault="00A31137" w:rsidP="00A31137">
      <w:r w:rsidRPr="00A31137">
        <w:t>President Bush's Remarks on Signing the Hate Crime Statistics Act, 1990</w:t>
      </w:r>
    </w:p>
    <w:p w:rsidR="00A31137" w:rsidRPr="00A31137" w:rsidRDefault="00A31137" w:rsidP="00A31137">
      <w:r w:rsidRPr="00A31137">
        <w:t>Title:</w:t>
      </w:r>
      <w:r w:rsidRPr="00A31137">
        <w:tab/>
        <w:t>President Bush's Remarks on Signing the Hate Crime Statistics Act</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April 23, 1990</w:t>
      </w:r>
    </w:p>
    <w:p w:rsidR="00A31137" w:rsidRPr="00A31137" w:rsidRDefault="00A31137" w:rsidP="00A31137">
      <w:r w:rsidRPr="00A31137">
        <w:t>Source:</w:t>
      </w:r>
      <w:r w:rsidRPr="00A31137">
        <w:tab/>
        <w:t>Public Papers of the Presidents, Bush, 1990, pp.547-548</w:t>
      </w:r>
    </w:p>
    <w:p w:rsidR="00A31137" w:rsidRPr="00A31137" w:rsidRDefault="00A31137" w:rsidP="00A31137">
      <w:r w:rsidRPr="00A31137">
        <w:t>Public Papers of Bush, 1990, p.547</w:t>
      </w:r>
    </w:p>
    <w:p w:rsidR="00A31137" w:rsidRPr="00A31137" w:rsidRDefault="00A31137" w:rsidP="00A31137">
      <w:r w:rsidRPr="00A31137">
        <w:t>First of all, let me give a special welcome to the Members of Congress—Congress in session, taking the time to come down here—several here who were so instrumental in the passage of this bill. Senator Simon, Senator Hatch, Senator Metzenbaum, Congressman Conyers, Congressman Sangmeister, Jack Brooks—Chairman Brooks, I should say, respectfully, to a fellow Texan-[laughter]—and to Barbara Kennelly, and members of the civil rights community, religious leaders, and friends, welcome here. We join together to celebrate a significant step to help guarantee civil rights for every American: the passage and now the signing of the Hate Crime Statistics Act.</w:t>
      </w:r>
    </w:p>
    <w:p w:rsidR="00A31137" w:rsidRPr="00A31137" w:rsidRDefault="00A31137" w:rsidP="00A31137">
      <w:r w:rsidRPr="00A31137">
        <w:t>Public Papers of Bush, 1990, p.547</w:t>
      </w:r>
    </w:p>
    <w:p w:rsidR="00A31137" w:rsidRPr="00A31137" w:rsidRDefault="00A31137" w:rsidP="00A31137">
      <w:r w:rsidRPr="00A31137">
        <w:t>When I first heard that this bill had passed both Houses of Congress, I thought of a photograph in the news recently. And it's of the plaza near a Montgomery, Alabama, church where Dr. Martin Luther King, Jr., preached during the '55 bus boycott. And in that plaza stands a new civil rights memorial inscribed with the names of 40 brave Americans who died in the civil rights struggle, each one the victim of a hate crime. On the memorial's wall, water cascades over the vow made by Dr. King on the steps of the Lincoln Memorial: "We will not be satisfied until justice rolls down like waters and righteousness, like a mighty stream."</w:t>
      </w:r>
    </w:p>
    <w:p w:rsidR="00A31137" w:rsidRPr="00A31137" w:rsidRDefault="00A31137" w:rsidP="00A31137">
      <w:r w:rsidRPr="00A31137">
        <w:t>Public Papers of Bush, 1990, p.547–p.548</w:t>
      </w:r>
    </w:p>
    <w:p w:rsidR="00A31137" w:rsidRPr="00A31137" w:rsidRDefault="00A31137" w:rsidP="00A31137">
      <w:r w:rsidRPr="00A31137">
        <w:t>His pledge is just as powerful today. We will not be satisfied. Justice for all has been the historic mission of the civil rights movement, and it's a mission still to be fulfilled. Bigotry and hate regrettably still exist in this country, and hate breeds violence, threatening the security of our entire society. We must rid our communities of the poison we call prejudice, bias, and discrimination. That's why I'm signing into law [p.548] today a measure to require the Attorney General to collect as much information as we can on crimes motivated by religion, race, ethnicity, or sexual orientation—the Hate Crime Statistic Act.</w:t>
      </w:r>
    </w:p>
    <w:p w:rsidR="00A31137" w:rsidRPr="00A31137" w:rsidRDefault="00A31137" w:rsidP="00A31137">
      <w:r w:rsidRPr="00A31137">
        <w:t>Public Papers of Bush, 1990, p.548</w:t>
      </w:r>
    </w:p>
    <w:p w:rsidR="00A31137" w:rsidRPr="00A31137" w:rsidRDefault="00A31137" w:rsidP="00A31137">
      <w:r w:rsidRPr="00A31137">
        <w:t>One of the greatest obligations of this administration and of the Department of Justice is the guarantee of civil rights for all Americans. As I said in my State of the Union Address, every one of us must confront and condemn racism, anti-Semitism, bigotry, and hate not next week, not tomorrow, but right now—every single one of us. For hate crimes cannot be tolerated in a free society.</w:t>
      </w:r>
    </w:p>
    <w:p w:rsidR="00A31137" w:rsidRPr="00A31137" w:rsidRDefault="00A31137" w:rsidP="00A31137">
      <w:r w:rsidRPr="00A31137">
        <w:t>Public Papers of Bush, 1990, p.548</w:t>
      </w:r>
    </w:p>
    <w:p w:rsidR="00A31137" w:rsidRPr="00A31137" w:rsidRDefault="00A31137" w:rsidP="00A31137">
      <w:r w:rsidRPr="00A31137">
        <w:t>We have vigorously prosecuted Federal violations involving hate crimes. We will continue to do so. As we speak, 17 racist skinheads in Dallas are waiting to be sentenced by a Federal court for conspiring to commit hate crimes against Jewish, black, and Hispanic citizens. The mail bombings which killed a Federal judge and a NAACP lawyer are being investigated tenaciously by Federal authorities. We will not rest until the cowards who committed these senseless crimes are behind bars.</w:t>
      </w:r>
    </w:p>
    <w:p w:rsidR="00A31137" w:rsidRPr="00A31137" w:rsidRDefault="00A31137" w:rsidP="00A31137">
      <w:r w:rsidRPr="00A31137">
        <w:t>Public Papers of Bush, 1990, p.548</w:t>
      </w:r>
    </w:p>
    <w:p w:rsidR="00A31137" w:rsidRPr="00A31137" w:rsidRDefault="00A31137" w:rsidP="00A31137">
      <w:r w:rsidRPr="00A31137">
        <w:t>The Hate Crime Statistics Act is an important further step toward the protection of all Americans' civil rights. Our administration will work with Congress to determine whether new law enforcement measures are needed to bring hatemongers out of hiding and into the light of justice. And at the same time, by collecting and publicizing this information, we can shore up our first line of defense against the erosion of civil rights by alerting the cops on the beat.</w:t>
      </w:r>
    </w:p>
    <w:p w:rsidR="00A31137" w:rsidRPr="00A31137" w:rsidRDefault="00A31137" w:rsidP="00A31137">
      <w:r w:rsidRPr="00A31137">
        <w:t>Public Papers of Bush, 1990, p.548</w:t>
      </w:r>
    </w:p>
    <w:p w:rsidR="00A31137" w:rsidRPr="00A31137" w:rsidRDefault="00A31137" w:rsidP="00A31137">
      <w:r w:rsidRPr="00A31137">
        <w:t>I'm pleased to announce today that the Department of Justice has established a new toll-free phone number for reporting complaints of these hate crimes. Those incidents that can and should be prosecuted will be reported directly to the appropriate Federal, State, or local agency for action. The faster we can find out about these hideous crimes, the faster we can track down the bigots who commit them.</w:t>
      </w:r>
    </w:p>
    <w:p w:rsidR="00A31137" w:rsidRPr="00A31137" w:rsidRDefault="00A31137" w:rsidP="00A31137">
      <w:r w:rsidRPr="00A31137">
        <w:t>Public Papers of Bush, 1990, p.548</w:t>
      </w:r>
    </w:p>
    <w:p w:rsidR="00A31137" w:rsidRPr="00A31137" w:rsidRDefault="00A31137" w:rsidP="00A31137">
      <w:r w:rsidRPr="00A31137">
        <w:t>We must work together to build an America of opportunity, where every American is free finally from discrimination. And I will use this noble office, this bully pulpit, if you will, to speak out against hate and discrimination everywhere it exists.</w:t>
      </w:r>
    </w:p>
    <w:p w:rsidR="00A31137" w:rsidRPr="00A31137" w:rsidRDefault="00A31137" w:rsidP="00A31137">
      <w:r w:rsidRPr="00A31137">
        <w:t>Public Papers of Bush, 1990, p.548</w:t>
      </w:r>
    </w:p>
    <w:p w:rsidR="00A31137" w:rsidRPr="00A31137" w:rsidRDefault="00A31137" w:rsidP="00A31137">
      <w:r w:rsidRPr="00A31137">
        <w:t>Enacting this law today helps move us toward our dream: a society blind to prejudice, a society open to all. Until we reach that day when the bigotry and hate of mail bombings, and the vandalisms of the Yeshiva school and the Catholic churches we've seen recently, and so many other sad, sad incidents are no more—until that day, we must remember: For America to continue to be a good place for any of us to live, it must be a good place for all of us to live.</w:t>
      </w:r>
    </w:p>
    <w:p w:rsidR="00A31137" w:rsidRPr="00A31137" w:rsidRDefault="00A31137" w:rsidP="00A31137">
      <w:r w:rsidRPr="00A31137">
        <w:t>Public Papers of Bush, 1990, p.548</w:t>
      </w:r>
    </w:p>
    <w:p w:rsidR="00A31137" w:rsidRPr="00A31137" w:rsidRDefault="00A31137" w:rsidP="00A31137">
      <w:r w:rsidRPr="00A31137">
        <w:t>So, you wouldn't be here if you weren't extraordinarily interested in the work of the United States Congress. So, I want to thank each and every one of you for coming. And now I'm pleased to sign the Hate Crime Statistics Act into the law.</w:t>
      </w:r>
    </w:p>
    <w:p w:rsidR="00A31137" w:rsidRPr="00A31137" w:rsidRDefault="00A31137" w:rsidP="00A31137">
      <w:r w:rsidRPr="00A31137">
        <w:t>Public Papers of Bush, 1990, p.548</w:t>
      </w:r>
    </w:p>
    <w:p w:rsidR="00A31137" w:rsidRPr="00A31137" w:rsidRDefault="00A31137" w:rsidP="00A31137">
      <w:r w:rsidRPr="00A31137">
        <w:t>NOTE: The President spoke at 3:02 p.m. in Room 450 of the Old Executive Office Building. In his opening remarks, he referred to Representative Jack Brooks, chairman of the Judiciary Committee, and Representative Barbara B. Kennelly. H.R. 1048, approved April 23, was assigned Public Law No. 101-275.</w:t>
      </w:r>
    </w:p>
    <w:p w:rsidR="00A31137" w:rsidRPr="00A31137" w:rsidRDefault="00A31137" w:rsidP="00A31137">
      <w:r w:rsidRPr="00A31137">
        <w:t>President Bush's Remarks at a White House Briefing for Conservative Leaders, 1990</w:t>
      </w:r>
    </w:p>
    <w:p w:rsidR="00A31137" w:rsidRPr="00A31137" w:rsidRDefault="00A31137" w:rsidP="00A31137">
      <w:r w:rsidRPr="00A31137">
        <w:t>Title:</w:t>
      </w:r>
      <w:r w:rsidRPr="00A31137">
        <w:tab/>
        <w:t>President Bush's Remarks at a White House Briefing for Conservative Leaders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April 26, 1990</w:t>
      </w:r>
    </w:p>
    <w:p w:rsidR="00A31137" w:rsidRPr="00A31137" w:rsidRDefault="00A31137" w:rsidP="00A31137">
      <w:r w:rsidRPr="00A31137">
        <w:t>Source:</w:t>
      </w:r>
      <w:r w:rsidRPr="00A31137">
        <w:tab/>
        <w:t>Public Papers of the Presidents, Bush, 1990, pp.571-574</w:t>
      </w:r>
    </w:p>
    <w:p w:rsidR="00A31137" w:rsidRPr="00A31137" w:rsidRDefault="00A31137" w:rsidP="00A31137">
      <w:r w:rsidRPr="00A31137">
        <w:t>Public Papers of Bush, 1990, p.571</w:t>
      </w:r>
    </w:p>
    <w:p w:rsidR="00A31137" w:rsidRPr="00A31137" w:rsidRDefault="00A31137" w:rsidP="00A31137">
      <w:r w:rsidRPr="00A31137">
        <w:t>Did I interrupt Porter? And if so—well, to Roger, my thanks if I did, and may I say hello to Doug Weed and, of course, the people that herded this outstanding group together: Jerry Falwell, Ed Prince, Mike Valerio. But in any event, I'm delighted to see you all.</w:t>
      </w:r>
    </w:p>
    <w:p w:rsidR="00A31137" w:rsidRPr="00A31137" w:rsidRDefault="00A31137" w:rsidP="00A31137">
      <w:r w:rsidRPr="00A31137">
        <w:t>Public Papers of Bush, 1990, p.571–p.572</w:t>
      </w:r>
    </w:p>
    <w:p w:rsidR="00A31137" w:rsidRPr="00A31137" w:rsidRDefault="00A31137" w:rsidP="00A31137">
      <w:r w:rsidRPr="00A31137">
        <w:t>With all the traveling that I'm doing, it's a little different for me to be making an appearance so close to the White House. I was just talking to Barbara. She says, "You spend more time on the road than Charles [p.572] Kuralt." [Laughter]</w:t>
      </w:r>
    </w:p>
    <w:p w:rsidR="00A31137" w:rsidRPr="00A31137" w:rsidRDefault="00A31137" w:rsidP="00A31137">
      <w:r w:rsidRPr="00A31137">
        <w:t>Public Papers of Bush, 1990, p.572</w:t>
      </w:r>
    </w:p>
    <w:p w:rsidR="00A31137" w:rsidRPr="00A31137" w:rsidRDefault="00A31137" w:rsidP="00A31137">
      <w:r w:rsidRPr="00A31137">
        <w:t>This morning, I was talking about this, and I said, I'm looking forward this afternoon to going over and spending some time with friends, and indeed with people who were very instrumental in helping me get to be President at perhaps the most fascinating time in history, or among the most fascinating, certainly, I think, since World War II.</w:t>
      </w:r>
    </w:p>
    <w:p w:rsidR="00A31137" w:rsidRPr="00A31137" w:rsidRDefault="00A31137" w:rsidP="00A31137">
      <w:r w:rsidRPr="00A31137">
        <w:t>Public Papers of Bush, 1990, p.572</w:t>
      </w:r>
    </w:p>
    <w:p w:rsidR="00A31137" w:rsidRPr="00A31137" w:rsidRDefault="00A31137" w:rsidP="00A31137">
      <w:r w:rsidRPr="00A31137">
        <w:t>I'm delighted to be with a group for whom "conservatism" is not a catchword. As the past two decades show, it's a philosophy to which most Americans subscribe, and I think that's still very true across the country. Conservatives believe in Yankee ingenuity. I recall how a mother once told her son, "I have a pretty good idea that you skipped your piano lesson and played baseball." The son said he hadn't, and the mother said, "Are you sure?" And the son said, "Yes, I have a fish to prove it." [Laughter]</w:t>
      </w:r>
    </w:p>
    <w:p w:rsidR="00A31137" w:rsidRPr="00A31137" w:rsidRDefault="00A31137" w:rsidP="00A31137">
      <w:r w:rsidRPr="00A31137">
        <w:t>Public Papers of Bush, 1990, p.572</w:t>
      </w:r>
    </w:p>
    <w:p w:rsidR="00A31137" w:rsidRPr="00A31137" w:rsidRDefault="00A31137" w:rsidP="00A31137">
      <w:r w:rsidRPr="00A31137">
        <w:t>Conservatives also believe in science and technology. The more I know about the Hubble telescope, the more impressed I am. So powerful that it'll help us, I'm told, understand the black holes. What I don't understand is why anyone would want to know more about the liberal philosophy.</w:t>
      </w:r>
    </w:p>
    <w:p w:rsidR="00A31137" w:rsidRPr="00A31137" w:rsidRDefault="00A31137" w:rsidP="00A31137">
      <w:r w:rsidRPr="00A31137">
        <w:t>Public Papers of Bush, 1990, p.572</w:t>
      </w:r>
    </w:p>
    <w:p w:rsidR="00A31137" w:rsidRPr="00A31137" w:rsidRDefault="00A31137" w:rsidP="00A31137">
      <w:r w:rsidRPr="00A31137">
        <w:t>Conservatives share a vision. I know some reporters say I don't have a vision—sorry, I don't see it. [Laughter] Instead, I see a vision—I really do see a vision—as sweeping as our heritage: an America of prosperity, a world of real peace. And the question is how do we ensure that vision for our generation? As you get a little older, you think even more about the kids.</w:t>
      </w:r>
    </w:p>
    <w:p w:rsidR="00A31137" w:rsidRPr="00A31137" w:rsidRDefault="00A31137" w:rsidP="00A31137">
      <w:r w:rsidRPr="00A31137">
        <w:t>Public Papers of Bush, 1990, p.572</w:t>
      </w:r>
    </w:p>
    <w:p w:rsidR="00A31137" w:rsidRPr="00A31137" w:rsidRDefault="00A31137" w:rsidP="00A31137">
      <w:r w:rsidRPr="00A31137">
        <w:t>For an answer, recall how 150 years ago de Tocqueville envisioned a future that would open before us. Its possibilities were infinite, he wrote, because of America's new model, this paradigm of government. A democracy based on a free market unleashing the full energy of the human heart and mind. And that government arose from perhaps the ultimate exercise in returning power to people: the American Revolution.</w:t>
      </w:r>
    </w:p>
    <w:p w:rsidR="00A31137" w:rsidRPr="00A31137" w:rsidRDefault="00A31137" w:rsidP="00A31137">
      <w:r w:rsidRPr="00A31137">
        <w:t>Public Papers of Bush, 1990, p.572</w:t>
      </w:r>
    </w:p>
    <w:p w:rsidR="00A31137" w:rsidRPr="00A31137" w:rsidRDefault="00A31137" w:rsidP="00A31137">
      <w:r w:rsidRPr="00A31137">
        <w:t>Now, two centuries later, when old centralized bureaucratic systems are crumbling, the time has come for yet another paradigm; a form of government which, like the spirit of '76, gives power back to localities and States and, most important, to the people; a model which rejects the view that progress is measured in money spent and bureaucracies built.</w:t>
      </w:r>
    </w:p>
    <w:p w:rsidR="00A31137" w:rsidRPr="00A31137" w:rsidRDefault="00A31137" w:rsidP="00A31137">
      <w:r w:rsidRPr="00A31137">
        <w:t>Public Papers of Bush, 1990, p.572</w:t>
      </w:r>
    </w:p>
    <w:p w:rsidR="00A31137" w:rsidRPr="00A31137" w:rsidRDefault="00A31137" w:rsidP="00A31137">
      <w:r w:rsidRPr="00A31137">
        <w:t>The first principle in our new paradigm is that as market forces grow stronger our world becomes smaller. Put another way, we must be competitive to ensure economic growth. So, I'd like to take this opportunity to urge the Congress once again—and I'm going to keep on urging this—that they pass our capital gains tax cut, spurring investment and thus creating jobs. We don't want government to spend more: we want private enterprise to thrive so that people will have more money to save, to invest, and to spend. To most Americans, I feel, that's a good idea.</w:t>
      </w:r>
    </w:p>
    <w:p w:rsidR="00A31137" w:rsidRPr="00A31137" w:rsidRDefault="00A31137" w:rsidP="00A31137">
      <w:r w:rsidRPr="00A31137">
        <w:t>Public Papers of Bush, 1990, p.572</w:t>
      </w:r>
    </w:p>
    <w:p w:rsidR="00A31137" w:rsidRPr="00A31137" w:rsidRDefault="00A31137" w:rsidP="00A31137">
      <w:r w:rsidRPr="00A31137">
        <w:t>As a second principle of our new paradigm-the freedom to choose. We want to reduce what government should do and increase what people can do. And so, I support a constitutional amendment, will continue to support it, restoring voluntary prayer. We need the faith of our fathers back in our schools. I haven't been President very long, but the longer I am in this job, the more strongly I feel about that.</w:t>
      </w:r>
    </w:p>
    <w:p w:rsidR="00A31137" w:rsidRPr="00A31137" w:rsidRDefault="00A31137" w:rsidP="00A31137">
      <w:r w:rsidRPr="00A31137">
        <w:t>Public Papers of Bush, 1990, p.572</w:t>
      </w:r>
    </w:p>
    <w:p w:rsidR="00A31137" w:rsidRPr="00A31137" w:rsidRDefault="00A31137" w:rsidP="00A31137">
      <w:r w:rsidRPr="00A31137">
        <w:t>A choice also means that parents should decide which public school is best for their kids. So, we have proposed—what many of you have been helpful to us on this—the Education Excellence Act of 1990 to provide incentives for these magnet school programs. Many States are trying out policies based on choice and finding out they work.</w:t>
      </w:r>
    </w:p>
    <w:p w:rsidR="00A31137" w:rsidRPr="00A31137" w:rsidRDefault="00A31137" w:rsidP="00A31137">
      <w:r w:rsidRPr="00A31137">
        <w:t>Public Papers of Bush, 1990, p.572</w:t>
      </w:r>
    </w:p>
    <w:p w:rsidR="00A31137" w:rsidRPr="00A31137" w:rsidRDefault="00A31137" w:rsidP="00A31137">
      <w:r w:rsidRPr="00A31137">
        <w:t>In this one, I want to give credit. It isn't just my party, the Republicans; it's some of the Democratic Governors are out front, way out front, on this particular theory-choice. Some only think that Big Brother can revive education, but I believe that excellence comes from higher standards, a greater accountability, and more freedom to move within a school system. And if you agree—I don't want this many influential people to go untapped or arms untwisted-if you agree with me, I would strongly solicit your help in convincing Congress that the time for this is now.</w:t>
      </w:r>
    </w:p>
    <w:p w:rsidR="00A31137" w:rsidRPr="00A31137" w:rsidRDefault="00A31137" w:rsidP="00A31137">
      <w:r w:rsidRPr="00A31137">
        <w:t>Public Papers of Bush, 1990, p.572–p.573</w:t>
      </w:r>
    </w:p>
    <w:p w:rsidR="00A31137" w:rsidRPr="00A31137" w:rsidRDefault="00A31137" w:rsidP="00A31137">
      <w:r w:rsidRPr="00A31137">
        <w:t>That leads me to the third principle in the new paradigm—that means the means to choose. We must empower disadvantaged [p.573] Americans. So, we've unveiled a program to help the poor run or, better yet, own their public housing units. And we support a child-care tax credit for low-income working parents that enable them to care for their kids in the manner they choose. I will not see the option of religious-based child care restricted or eliminated. We're going to fight against that.</w:t>
      </w:r>
    </w:p>
    <w:p w:rsidR="00A31137" w:rsidRPr="00A31137" w:rsidRDefault="00A31137" w:rsidP="00A31137">
      <w:r w:rsidRPr="00A31137">
        <w:t>Public Papers of Bush, 1990, p.573</w:t>
      </w:r>
    </w:p>
    <w:p w:rsidR="00A31137" w:rsidRPr="00A31137" w:rsidRDefault="00A31137" w:rsidP="00A31137">
      <w:r w:rsidRPr="00A31137">
        <w:t>I know many liberals disagree with what I've just said and the philosophy behind it. But that's why last month the House Democratic leadership passed a bill that would cost nearly $30 billion, three times our original proposal, and force, compel, many States to change their rules. In effect, it would produce national child-care standards intended to replace local standards that meet local needs and put in place a lot more unnecessary paperwork.</w:t>
      </w:r>
    </w:p>
    <w:p w:rsidR="00A31137" w:rsidRPr="00A31137" w:rsidRDefault="00A31137" w:rsidP="00A31137">
      <w:r w:rsidRPr="00A31137">
        <w:t>Public Papers of Bush, 1990, p.573</w:t>
      </w:r>
    </w:p>
    <w:p w:rsidR="00A31137" w:rsidRPr="00A31137" w:rsidRDefault="00A31137" w:rsidP="00A31137">
      <w:r w:rsidRPr="00A31137">
        <w:t>Conservatives know that we don't need this bureaucracy. It would merely prove what Will Rogers once said: "Half of America does nothing but prepare propaganda for the other half to read." [Laughter] So, let's expand the horizons of our kids, not the budget of the bureaucracy, and through tax incentives give families the help that they need to solve their child-care problems themselves.</w:t>
      </w:r>
    </w:p>
    <w:p w:rsidR="00A31137" w:rsidRPr="00A31137" w:rsidRDefault="00A31137" w:rsidP="00A31137">
      <w:r w:rsidRPr="00A31137">
        <w:t>Public Papers of Bush, 1990, p.573</w:t>
      </w:r>
    </w:p>
    <w:p w:rsidR="00A31137" w:rsidRPr="00A31137" w:rsidRDefault="00A31137" w:rsidP="00A31137">
      <w:r w:rsidRPr="00A31137">
        <w:t>Next comes the fourth principle of this new paradigm: decentralization. In America, this means dispersing authority to the level closest to the source of authority—the people. Places such as Peru, for example-Hernando de Soto, the brilliant Peruvian economist, found that without any centralized bureaucratic direction the ordinary streetside entrepreneurs of Lima are producing wealth on a scale that rivals the economy officially approved by the state bureaucracy. Elsewhere in the world, decentralization has Come about through nothing less than the triumph of democracy over bureaucracy.</w:t>
      </w:r>
    </w:p>
    <w:p w:rsidR="00A31137" w:rsidRPr="00A31137" w:rsidRDefault="00A31137" w:rsidP="00A31137">
      <w:r w:rsidRPr="00A31137">
        <w:t>Public Papers of Bush, 1990, p.573</w:t>
      </w:r>
    </w:p>
    <w:p w:rsidR="00A31137" w:rsidRPr="00A31137" w:rsidRDefault="00A31137" w:rsidP="00A31137">
      <w:r w:rsidRPr="00A31137">
        <w:t>Conservatives know that a strong defense has and will continue to help all people secure the right to think and dream and worship as they please. In Lithuania—as in Czechoslovakia and Nicaragua, Budapest, Berlin—the words of Thomas Dewey ring true: You can't beat down ideas with a club. Today freedom is on the march and will not be denied.</w:t>
      </w:r>
    </w:p>
    <w:p w:rsidR="00A31137" w:rsidRPr="00A31137" w:rsidRDefault="00A31137" w:rsidP="00A31137">
      <w:r w:rsidRPr="00A31137">
        <w:t>Public Papers of Bush, 1990, p.573</w:t>
      </w:r>
    </w:p>
    <w:p w:rsidR="00A31137" w:rsidRPr="00A31137" w:rsidRDefault="00A31137" w:rsidP="00A31137">
      <w:r w:rsidRPr="00A31137">
        <w:t>The fifth and final principle of the new paradigm is what I referred to earlier: We want what works. Our principles, conservative principles, were always right. And now the whole world can see that what's right is also what works. As I've said many times before, and I don't say it with arrogance, we know what works—freedom works. We are not going to let discredited ideologies block the progress of our principles. You can ask anyone in Poland or Panama: Tyranny doesn't work; freedom does.</w:t>
      </w:r>
    </w:p>
    <w:p w:rsidR="00A31137" w:rsidRPr="00A31137" w:rsidRDefault="00A31137" w:rsidP="00A31137">
      <w:r w:rsidRPr="00A31137">
        <w:t>Public Papers of Bush, 1990, p.573</w:t>
      </w:r>
    </w:p>
    <w:p w:rsidR="00A31137" w:rsidRPr="00A31137" w:rsidRDefault="00A31137" w:rsidP="00A31137">
      <w:r w:rsidRPr="00A31137">
        <w:t>At home, we also want what works. So, we've reached agreement with the Senate in the first rewrite of the Clean Air Act in over a decade. I call on the House to respond soon and respond responsibly. This one is difficult because I think we are all committed to leaving the Earth a little better than we found it, and yet we've got to do it in a balanced way—forward-looking, forward-leaning. But I will not accept legislation that needlessly throws a lot of Americans out of work because of lack of scientific data. I'm going to hold that line, and I would appeal for your help in urging the Congress to keep reality in mind as we go about getting ourselves out front on the cutting edge of environmental protection. I'm determined to be both a person who protects the environment and one who protects the rights of Americans to have jobs. It isn't easy, but I'm convinced that it can be done.</w:t>
      </w:r>
    </w:p>
    <w:p w:rsidR="00A31137" w:rsidRPr="00A31137" w:rsidRDefault="00A31137" w:rsidP="00A31137">
      <w:r w:rsidRPr="00A31137">
        <w:t>Public Papers of Bush, 1990, p.573</w:t>
      </w:r>
    </w:p>
    <w:p w:rsidR="00A31137" w:rsidRPr="00A31137" w:rsidRDefault="00A31137" w:rsidP="00A31137">
      <w:r w:rsidRPr="00A31137">
        <w:t>We've unveiled a comprehensive strategy to free America of crime and drugs. A lot of people in this room have given our planners and Roger and his able team—because of respects, you've worked very closely with Bill Bennett—to help us with this comprehensive strategy to free America of crime and drugs. We're asking Congress to expand the death penalty for drug kingpins. We need to toughen the crime laws at the State level, just as we are in Washington. My vision for the nineties is an America where punishment is at least as tough as the crime.</w:t>
      </w:r>
    </w:p>
    <w:p w:rsidR="00A31137" w:rsidRPr="00A31137" w:rsidRDefault="00A31137" w:rsidP="00A31137">
      <w:r w:rsidRPr="00A31137">
        <w:t>Public Papers of Bush, 1990, p.573–p.574</w:t>
      </w:r>
    </w:p>
    <w:p w:rsidR="00A31137" w:rsidRPr="00A31137" w:rsidRDefault="00A31137" w:rsidP="00A31137">
      <w:r w:rsidRPr="00A31137">
        <w:t>Just yesterday, we sent up to the Congress a three-part budget reform package that proposes an amendment to the Constitution-and I campaigned on this, so there's no surprise—to provide a line-item veto. We endorsed the Legislative Line-Item [p.574] Veto Act to strengthen the President's rescission authority and endorse a balanced budget amendment.</w:t>
      </w:r>
    </w:p>
    <w:p w:rsidR="00A31137" w:rsidRPr="00A31137" w:rsidRDefault="00A31137" w:rsidP="00A31137">
      <w:r w:rsidRPr="00A31137">
        <w:t>Public Papers of Bush, 1990, p.574</w:t>
      </w:r>
    </w:p>
    <w:p w:rsidR="00A31137" w:rsidRPr="00A31137" w:rsidRDefault="00A31137" w:rsidP="00A31137">
      <w:r w:rsidRPr="00A31137">
        <w:t>The time has come to enact into law these important changes. I sent up to the Congress a special piece of legislation to help Nicaragua and to help Panama. I think we have a real commitment to seeing the success of these fragile new democracies. Before it leaves the House of Representatives, billions—literally billions, plural—of spending is added to this very special legislation. I think I need the authority to make the tough decision on spending. Nobody likes to have to say no to constituents or to interests around the country, but if the Congress continues to demonstrate that they can't do it, only the President can.</w:t>
      </w:r>
    </w:p>
    <w:p w:rsidR="00A31137" w:rsidRPr="00A31137" w:rsidRDefault="00A31137" w:rsidP="00A31137">
      <w:r w:rsidRPr="00A31137">
        <w:t>Public Papers of Bush, 1990, p.574</w:t>
      </w:r>
    </w:p>
    <w:p w:rsidR="00A31137" w:rsidRPr="00A31137" w:rsidRDefault="00A31137" w:rsidP="00A31137">
      <w:r w:rsidRPr="00A31137">
        <w:t>So, I'd love to have your support on this package on the line-item veto, the legislative line-item veto that will strengthen the President's rescission authority; and then, of course, our commitment to this balanced budget concept. This vision, if you will, is one that I think most conservatives support. It's a vision of limited government, but unlimited opportunity—a vision to protect the family, empower the poor, and reward creativity.</w:t>
      </w:r>
    </w:p>
    <w:p w:rsidR="00A31137" w:rsidRPr="00A31137" w:rsidRDefault="00A31137" w:rsidP="00A31137">
      <w:r w:rsidRPr="00A31137">
        <w:t>Public Papers of Bush, 1990, p.574</w:t>
      </w:r>
    </w:p>
    <w:p w:rsidR="00A31137" w:rsidRPr="00A31137" w:rsidRDefault="00A31137" w:rsidP="00A31137">
      <w:r w:rsidRPr="00A31137">
        <w:t>I like bass fishing. There's a young bass fisherman who is a national champion, a guy named Ricky Clune. Texans will know his name. He's from Montgomery, Texas. One time I was down in Arkansas and saw him win—or, at the weigh-in—they did it—4,000 or 5,000 people, as these bass boats were driven into the coliseum there. I couldn't believe this—4,000 or 5,000 watching people weigh fish there in the middle-but Ricky Clune, when he got up to speak, said this: "I learned to fish following my dad down the creeks in my underpants," he said, "down the creeks of Oklahoma." And then he said this: "Isn't it great to live in a country with no limits?"</w:t>
      </w:r>
    </w:p>
    <w:p w:rsidR="00A31137" w:rsidRPr="00A31137" w:rsidRDefault="00A31137" w:rsidP="00A31137">
      <w:r w:rsidRPr="00A31137">
        <w:t>Public Papers of Bush, 1990, p.574</w:t>
      </w:r>
    </w:p>
    <w:p w:rsidR="00A31137" w:rsidRPr="00A31137" w:rsidRDefault="00A31137" w:rsidP="00A31137">
      <w:r w:rsidRPr="00A31137">
        <w:t>I've thought about that a great deal. What we're talking about here in this conservative philosophy is unlimited opportunity—a vision to protect the family, empower the poor, and reward creativity. This new paradigm can fulfill it. I really would ask for your support to achieve promise, not empty promises: lifting people up, helping keep the government bureaucracies at all levels under control and, as conservatives, reject the hand of big government in favor of a Thousand Points of Light, joining hands and linking hearts.</w:t>
      </w:r>
    </w:p>
    <w:p w:rsidR="00A31137" w:rsidRPr="00A31137" w:rsidRDefault="00A31137" w:rsidP="00A31137">
      <w:r w:rsidRPr="00A31137">
        <w:t>Public Papers of Bush, 1990, p.574</w:t>
      </w:r>
    </w:p>
    <w:p w:rsidR="00A31137" w:rsidRPr="00A31137" w:rsidRDefault="00A31137" w:rsidP="00A31137">
      <w:r w:rsidRPr="00A31137">
        <w:t>You know, when we started talking about a Thousand Points of Light, there was a few snickers out there. I had to keep defining what I meant. But I think people understand this. I think Americans—well, since de Tocqueville took a look at America-understand it. It's real, one American wanting to help another. So, I am going to continue to say that any definition of a successful life must be the involvement in the lives of others, one American helping another. That, I think, is a fundamental part of my concept of how we can do an awful lot more to help people who are desperately in need of help in our country.</w:t>
      </w:r>
    </w:p>
    <w:p w:rsidR="00A31137" w:rsidRPr="00A31137" w:rsidRDefault="00A31137" w:rsidP="00A31137">
      <w:r w:rsidRPr="00A31137">
        <w:t>Public Papers of Bush, 1990, p.574</w:t>
      </w:r>
    </w:p>
    <w:p w:rsidR="00A31137" w:rsidRPr="00A31137" w:rsidRDefault="00A31137" w:rsidP="00A31137">
      <w:r w:rsidRPr="00A31137">
        <w:t>So, this is my vision—yours, I think. What a dream: to enrich America and help us to continue to lead, help us to enrich the world. I am really pleased you were here. Thanks for the privilege of addressing you. And might I say, God bless the United States of America. Thank you all very much.</w:t>
      </w:r>
    </w:p>
    <w:p w:rsidR="00A31137" w:rsidRPr="00A31137" w:rsidRDefault="00A31137" w:rsidP="00A31137">
      <w:r w:rsidRPr="00A31137">
        <w:t>Public Papers of Bush, 1990, p.574</w:t>
      </w:r>
    </w:p>
    <w:p w:rsidR="00A31137" w:rsidRPr="00A31137" w:rsidRDefault="00A31137" w:rsidP="00A31137">
      <w:r w:rsidRPr="00A31137">
        <w:t>NOTE: The President spoke at 1:35 p.m. in Room 450 of the Old Executive Office Building. In his opening remarks, he referred to Roger B. Porter, Assistant to the President for Economic and Domestic Policy; Douglas Weed, Special Assistant to the President for Public Liaison; evangelist Jerry Falwell; Edward Prince, president of Prince Corp.; and Michael Valerio, chairman of the board of Papa Tino's of America, Inc.</w:t>
      </w:r>
    </w:p>
    <w:p w:rsidR="00A31137" w:rsidRPr="00A31137" w:rsidRDefault="00A31137" w:rsidP="00A31137">
      <w:r w:rsidRPr="00A31137">
        <w:t>President Bush's Remarks on Signing Soviet-United States Bilateral Agreements, 1990</w:t>
      </w:r>
    </w:p>
    <w:p w:rsidR="00A31137" w:rsidRPr="00A31137" w:rsidRDefault="00A31137" w:rsidP="00A31137">
      <w:r w:rsidRPr="00A31137">
        <w:t>Title:</w:t>
      </w:r>
      <w:r w:rsidRPr="00A31137">
        <w:tab/>
        <w:t>President Bush's Remarks on Signing Soviet-United States Bilateral Agreements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1, 1990</w:t>
      </w:r>
    </w:p>
    <w:p w:rsidR="00A31137" w:rsidRPr="00A31137" w:rsidRDefault="00A31137" w:rsidP="00A31137">
      <w:r w:rsidRPr="00A31137">
        <w:t>Source:</w:t>
      </w:r>
      <w:r w:rsidRPr="00A31137">
        <w:tab/>
        <w:t>Public Papers of the Presidents, Bush, 1990, pp.740-742</w:t>
      </w:r>
    </w:p>
    <w:p w:rsidR="00A31137" w:rsidRPr="00A31137" w:rsidRDefault="00A31137" w:rsidP="00A31137">
      <w:r w:rsidRPr="00A31137">
        <w:t>Public Papers of Bush, 1990, p.740</w:t>
      </w:r>
    </w:p>
    <w:p w:rsidR="00A31137" w:rsidRPr="00A31137" w:rsidRDefault="00A31137" w:rsidP="00A31137">
      <w:r w:rsidRPr="00A31137">
        <w:t>President Bush. President Gorbachev, again, welcome to the White House. Mr. President, you and I set a course 6 months ago off the island nation of Malta. And at that time we agreed on an agenda, much of which was completed for this week's summit. Of course, our Malta agenda remains unfinished, but we've made great progress in the last 6 months and in the last 2 days.</w:t>
      </w:r>
    </w:p>
    <w:p w:rsidR="00A31137" w:rsidRPr="00A31137" w:rsidRDefault="00A31137" w:rsidP="00A31137">
      <w:r w:rsidRPr="00A31137">
        <w:t>Public Papers of Bush, 1990, p.740</w:t>
      </w:r>
    </w:p>
    <w:p w:rsidR="00A31137" w:rsidRPr="00A31137" w:rsidRDefault="00A31137" w:rsidP="00A31137">
      <w:r w:rsidRPr="00A31137">
        <w:t>We're about to sign agreements concerning many areas of vital interest to our countries and to the world, and to record specific understandings in joint statements that are being published today.</w:t>
      </w:r>
    </w:p>
    <w:p w:rsidR="00A31137" w:rsidRPr="00A31137" w:rsidRDefault="00A31137" w:rsidP="00A31137">
      <w:r w:rsidRPr="00A31137">
        <w:t>Public Papers of Bush, 1990, p.740</w:t>
      </w:r>
    </w:p>
    <w:p w:rsidR="00A31137" w:rsidRPr="00A31137" w:rsidRDefault="00A31137" w:rsidP="00A31137">
      <w:r w:rsidRPr="00A31137">
        <w:t>First, we'll sign a bilateral agreement that will, for the first time, eliminate the great majority of the chemical weapons that our countries have stockpiled over the years. And let this landmark agreement quickly lead to a global ban on chemical weapons.</w:t>
      </w:r>
    </w:p>
    <w:p w:rsidR="00A31137" w:rsidRPr="00A31137" w:rsidRDefault="00A31137" w:rsidP="00A31137">
      <w:r w:rsidRPr="00A31137">
        <w:t>Public Papers of Bush, 1990, p.740</w:t>
      </w:r>
    </w:p>
    <w:p w:rsidR="00A31137" w:rsidRPr="00A31137" w:rsidRDefault="00A31137" w:rsidP="00A31137">
      <w:r w:rsidRPr="00A31137">
        <w:t>Secondly, we will be signing protocols on limiting nuclear testing. After long, sometimes arduous negotiations, we both agreed on unprecedented improvements for on-site verification of the Threshold Test Ban Treaty and the Peaceful Nuclear Explosions Treaty.</w:t>
      </w:r>
    </w:p>
    <w:p w:rsidR="00A31137" w:rsidRPr="00A31137" w:rsidRDefault="00A31137" w:rsidP="00A31137">
      <w:r w:rsidRPr="00A31137">
        <w:t>Public Papers of Bush, 1990, p.740</w:t>
      </w:r>
    </w:p>
    <w:p w:rsidR="00A31137" w:rsidRPr="00A31137" w:rsidRDefault="00A31137" w:rsidP="00A31137">
      <w:r w:rsidRPr="00A31137">
        <w:t>Third, we will sign a major new agreement that updates and expands our 1973 agreement on the peaceful uses of atomic energy. This new agreement provides for substantial U.S.-Soviet cooperation in atomic energy research and civilian nuclear safety.</w:t>
      </w:r>
    </w:p>
    <w:p w:rsidR="00A31137" w:rsidRPr="00A31137" w:rsidRDefault="00A31137" w:rsidP="00A31137">
      <w:r w:rsidRPr="00A31137">
        <w:t>Public Papers of Bush, 1990, p.740</w:t>
      </w:r>
    </w:p>
    <w:p w:rsidR="00A31137" w:rsidRPr="00A31137" w:rsidRDefault="00A31137" w:rsidP="00A31137">
      <w:r w:rsidRPr="00A31137">
        <w:t>In addition, President Gorbachev and I are issuing a joint statement recording major agreed provisions of a strategic arms reduction treaty as well as a joint statement in which we agree to future negotiations on nuclear and space arms designed to enhance stability and reduce the risk of war. We're also issuing a statement on the conventional armed forces in Europe, committing us to intensify the pace of the Vienna negotiations and to reach rapid agreement on all outstanding issues. You see, we agree that a CFE treaty is an indispensable foundation for the future of European security.</w:t>
      </w:r>
    </w:p>
    <w:p w:rsidR="00A31137" w:rsidRPr="00A31137" w:rsidRDefault="00A31137" w:rsidP="00A31137">
      <w:r w:rsidRPr="00A31137">
        <w:t>Public Papers of Bush, 1990, p.740–p.741</w:t>
      </w:r>
    </w:p>
    <w:p w:rsidR="00A31137" w:rsidRPr="00A31137" w:rsidRDefault="00A31137" w:rsidP="00A31137">
      <w:r w:rsidRPr="00A31137">
        <w:t>There are many other agreements the United States and the Soviet Union are signing or announcing during this summit, agreements that represent hard work and a lasting achievement not just by our governments but also for the peoples. For example, an agreement to establish a U.S.-Soviet park across the Bering Strait. This park will preserve the unique natural, environmental, and cultural heritage of the Bering Sea region of Alaska and Siberia. Just as a bridge of land once joined our two continents, [p.741] so let a bridge of hope now reach across the water to join our two peoples in this spirit of peaceful cooperation.</w:t>
      </w:r>
    </w:p>
    <w:p w:rsidR="00A31137" w:rsidRPr="00A31137" w:rsidRDefault="00A31137" w:rsidP="00A31137">
      <w:r w:rsidRPr="00A31137">
        <w:t>Public Papers of Bush, 1990, p.741</w:t>
      </w:r>
    </w:p>
    <w:p w:rsidR="00A31137" w:rsidRPr="00A31137" w:rsidRDefault="00A31137" w:rsidP="00A31137">
      <w:r w:rsidRPr="00A31137">
        <w:t>In this same spirit, President Gorbachev and I will sign an agreement that realizes our Malta objective of expanding undergraduate exchanges by 1,000 students on both sides, allowing more of our young people to experience firsthand each other's culture and politics, to live as friends. And out of simple acts of friendship, a profound revelation eventually arises: the people of the world have more in common than they have in conflict.</w:t>
      </w:r>
    </w:p>
    <w:p w:rsidR="00A31137" w:rsidRPr="00A31137" w:rsidRDefault="00A31137" w:rsidP="00A31137">
      <w:r w:rsidRPr="00A31137">
        <w:t>Public Papers of Bush, 1990, p.741</w:t>
      </w:r>
    </w:p>
    <w:p w:rsidR="00A31137" w:rsidRPr="00A31137" w:rsidRDefault="00A31137" w:rsidP="00A31137">
      <w:r w:rsidRPr="00A31137">
        <w:t>In just a few moments, Secretary of State Baker and Foreign Minister Shevardnadze will also sign four important new agreements concerning maritime boundaries, ocean studies, civil aviation, and a longterm grains agreement. Minister Shevardnadze and Transportation Secretary Skinner will sign a fifth agreement on maritime transportation. President Gorbachev and I are also signing a commercial agreement and are looking forward to the passage of a Soviet emigration law.</w:t>
      </w:r>
    </w:p>
    <w:p w:rsidR="00A31137" w:rsidRPr="00A31137" w:rsidRDefault="00A31137" w:rsidP="00A31137">
      <w:r w:rsidRPr="00A31137">
        <w:t>Public Papers of Bush, 1990, p.741</w:t>
      </w:r>
    </w:p>
    <w:p w:rsidR="00A31137" w:rsidRPr="00A31137" w:rsidRDefault="00A31137" w:rsidP="00A31137">
      <w:r w:rsidRPr="00A31137">
        <w:t>President Gorbachev, I am very gratified by what we've accomplished over the last few days and determined to build on this solid foundation. The agreements we record today and those yet to come will advance the cause of peace—agreements in the best interests of both our nations and all nations.</w:t>
      </w:r>
    </w:p>
    <w:p w:rsidR="00A31137" w:rsidRPr="00A31137" w:rsidRDefault="00A31137" w:rsidP="00A31137">
      <w:r w:rsidRPr="00A31137">
        <w:t>Public Papers of Bush, 1990, p.741</w:t>
      </w:r>
    </w:p>
    <w:p w:rsidR="00A31137" w:rsidRPr="00A31137" w:rsidRDefault="00A31137" w:rsidP="00A31137">
      <w:r w:rsidRPr="00A31137">
        <w:t>Not long ago, some believed that the weight of history condemned our two great countries, our two great peoples to permanent confrontation. Well, you and I must challenge history, make new strides, build a relationship of enduring cooperation. We may not agree on everything, and indeed we don't agree on everything, but we believe in one great truth: the world has waited long enough; the cold war must end. And so, today with gratitude in my heart for all those on the Soviet side and the United States side that worked so hard at all levels to bring these agreements to fruition, I say let's renew our pledge and build a more peaceful world.</w:t>
      </w:r>
    </w:p>
    <w:p w:rsidR="00A31137" w:rsidRPr="00A31137" w:rsidRDefault="00A31137" w:rsidP="00A31137">
      <w:r w:rsidRPr="00A31137">
        <w:t>Public Papers of Bush, 1990, p.741</w:t>
      </w:r>
    </w:p>
    <w:p w:rsidR="00A31137" w:rsidRPr="00A31137" w:rsidRDefault="00A31137" w:rsidP="00A31137">
      <w:r w:rsidRPr="00A31137">
        <w:t>President Gorbachev. Mr. President, ladies and gentlemen, comrades, first of all, I would like to thank President George Bush for presenting so well the results of our work that we've been doing over these days in Washington. So, I have a problem: What shall I talk about? [Laughter] So, I think that I will do some thinking aloud in this context.</w:t>
      </w:r>
    </w:p>
    <w:p w:rsidR="00A31137" w:rsidRPr="00A31137" w:rsidRDefault="00A31137" w:rsidP="00A31137">
      <w:r w:rsidRPr="00A31137">
        <w:t>Public Papers of Bush, 1990, p.741</w:t>
      </w:r>
    </w:p>
    <w:p w:rsidR="00A31137" w:rsidRPr="00A31137" w:rsidRDefault="00A31137" w:rsidP="00A31137">
      <w:r w:rsidRPr="00A31137">
        <w:t>I would say that maybe this room has seen many important events and many agreements signed, but I think that what is happening now and what you have listed as the results of our work together represents an event of momentous importance not only for our two countries but for the world.</w:t>
      </w:r>
    </w:p>
    <w:p w:rsidR="00A31137" w:rsidRPr="00A31137" w:rsidRDefault="00A31137" w:rsidP="00A31137">
      <w:r w:rsidRPr="00A31137">
        <w:t>Public Papers of Bush, 1990, p.741</w:t>
      </w:r>
    </w:p>
    <w:p w:rsidR="00A31137" w:rsidRPr="00A31137" w:rsidRDefault="00A31137" w:rsidP="00A31137">
      <w:r w:rsidRPr="00A31137">
        <w:t>President Franklin D. Roosevelt half a century ago spoke of a world in which four essential freedoms will triumph: freedom of speech, freedom of worship, freedom from want, and freedom from fear. And this ideal has not yet been attained in the world, and it could not be attained in the world of animosity and confrontation. And therefore, while liberating the world from fear, we are making steps towards a new world; and this is the important work of our two nations, of our two peoples.</w:t>
      </w:r>
    </w:p>
    <w:p w:rsidR="00A31137" w:rsidRPr="00A31137" w:rsidRDefault="00A31137" w:rsidP="00A31137">
      <w:r w:rsidRPr="00A31137">
        <w:t>Public Papers of Bush, 1990, p.741</w:t>
      </w:r>
    </w:p>
    <w:p w:rsidR="00A31137" w:rsidRPr="00A31137" w:rsidRDefault="00A31137" w:rsidP="00A31137">
      <w:r w:rsidRPr="00A31137">
        <w:t>What is very important, I think, is that we do not just declare our commitment to moving toward a healthier international environment, toward better international relations, toward a nonviolent world; we are taking practical steps in that direction. And what you have just listed and what we'll be signing during this visit, I think, is a confirmation that both our declarations are right in that they seek to justify the hopes of our peoples and that we're also taking those practical steps. The important steps that we are taking today illustrate the degree of agreement between our two countries, despite the fact that—and here I quite agree with you—that there are things on which we disagree and there are differing views that we have on certain questions. But that area of disagreement is being narrowed in the course of our work together. What we will be signing, I think, is the best demonstration that we are ready to participate at the level of our responsibility in building a new civilization.</w:t>
      </w:r>
    </w:p>
    <w:p w:rsidR="00A31137" w:rsidRPr="00A31137" w:rsidRDefault="00A31137" w:rsidP="00A31137">
      <w:r w:rsidRPr="00A31137">
        <w:t>Public Papers of Bush, 1990, p.741–p.742</w:t>
      </w:r>
    </w:p>
    <w:p w:rsidR="00A31137" w:rsidRPr="00A31137" w:rsidRDefault="00A31137" w:rsidP="00A31137">
      <w:r w:rsidRPr="00A31137">
        <w:t>There are still many difficult challenges awaiting us. It is evident that to dismantle that monumental artifact of the cold war, the accumulated arsenals of mutual destruction, is not at all a simple or even an entirely [p.742] safe thing to do. The slightest imbalance and due haste or lack of equilibrium in this process may dangerously destabilize the overall international situation. But I'm sure that if we take a balanced and responsible approach, if we take into account the concerns and positions of each other even when we disagree, if we do all that, I'm sure that we will be able to move ahead more resolutely and more vigorously.</w:t>
      </w:r>
    </w:p>
    <w:p w:rsidR="00A31137" w:rsidRPr="00A31137" w:rsidRDefault="00A31137" w:rsidP="00A31137">
      <w:r w:rsidRPr="00A31137">
        <w:t>Public Papers of Bush, 1990, p.742</w:t>
      </w:r>
    </w:p>
    <w:p w:rsidR="00A31137" w:rsidRPr="00A31137" w:rsidRDefault="00A31137" w:rsidP="00A31137">
      <w:r w:rsidRPr="00A31137">
        <w:t>Mr. President, you have just mentioned Malta. Mr. President, I'm pleased to note that the turbulent developments of recent months after Malta have not led us astray from the goal we set together. So, I believe that we have passed the first test.</w:t>
      </w:r>
    </w:p>
    <w:p w:rsidR="00A31137" w:rsidRPr="00A31137" w:rsidRDefault="00A31137" w:rsidP="00A31137">
      <w:r w:rsidRPr="00A31137">
        <w:t>Public Papers of Bush, 1990, p.742</w:t>
      </w:r>
    </w:p>
    <w:p w:rsidR="00A31137" w:rsidRPr="00A31137" w:rsidRDefault="00A31137" w:rsidP="00A31137">
      <w:r w:rsidRPr="00A31137">
        <w:t>Mr. President, let me reaffirm here something that I've been saying to you during our one-on-one talks. We have had many such talks during this summit, and I welcome this style of negotiating. But let me reaffirm to both of our peoples that the Soviet Union is committed to the objective set at Malta: completing before the end of this year the preparation of the START treaty. I believe that this goal is attainable even though it is difficult.</w:t>
      </w:r>
    </w:p>
    <w:p w:rsidR="00A31137" w:rsidRPr="00A31137" w:rsidRDefault="00A31137" w:rsidP="00A31137">
      <w:r w:rsidRPr="00A31137">
        <w:t>Public Papers of Bush, 1990, p.742</w:t>
      </w:r>
    </w:p>
    <w:p w:rsidR="00A31137" w:rsidRPr="00A31137" w:rsidRDefault="00A31137" w:rsidP="00A31137">
      <w:r w:rsidRPr="00A31137">
        <w:t>I also can confirm what you have said: that we have agreed during our talks that this year we will seek to sign a treaty at the Vienna talks. And of course, we believe that in that case that will be the CSCE European security summit meeting. I think we already have good results and a good potential to work.</w:t>
      </w:r>
    </w:p>
    <w:p w:rsidR="00A31137" w:rsidRPr="00A31137" w:rsidRDefault="00A31137" w:rsidP="00A31137">
      <w:r w:rsidRPr="00A31137">
        <w:t>Public Papers of Bush, 1990, p.742</w:t>
      </w:r>
    </w:p>
    <w:p w:rsidR="00A31137" w:rsidRPr="00A31137" w:rsidRDefault="00A31137" w:rsidP="00A31137">
      <w:r w:rsidRPr="00A31137">
        <w:t>I believe that this is all possible as a result of the efforts of both sides over the past few years, including the efforts in which you, sir, have participated vigorously and actively and with great foresight in order to expand our relationship and to build on the capital of trust in our relations.</w:t>
      </w:r>
    </w:p>
    <w:p w:rsidR="00A31137" w:rsidRPr="00A31137" w:rsidRDefault="00A31137" w:rsidP="00A31137">
      <w:r w:rsidRPr="00A31137">
        <w:t>Public Papers of Bush, 1990, p.742</w:t>
      </w:r>
    </w:p>
    <w:p w:rsidR="00A31137" w:rsidRPr="00A31137" w:rsidRDefault="00A31137" w:rsidP="00A31137">
      <w:r w:rsidRPr="00A31137">
        <w:t>It would seem that I've said even more than I intended to say. I think it means that I'm human in the sense that I'm emotional. I would like to say that we've done a great deal in order to assure the success, and I would like to congratulate our two nations. And I would like also to shake your hand, Mr. President, so that we congratulate each other.</w:t>
      </w:r>
    </w:p>
    <w:p w:rsidR="00A31137" w:rsidRPr="00A31137" w:rsidRDefault="00A31137" w:rsidP="00A31137">
      <w:r w:rsidRPr="00A31137">
        <w:t>Public Papers of Bush, 1990, p.742</w:t>
      </w:r>
    </w:p>
    <w:p w:rsidR="00A31137" w:rsidRPr="00A31137" w:rsidRDefault="00A31137" w:rsidP="00A31137">
      <w:r w:rsidRPr="00A31137">
        <w:t>NOTE: The President spoke at 6:13 p.m. in the East Room at the White House. President Gorbachev spoke in Russian, and his remarks were translated by an interpreter.</w:t>
      </w:r>
    </w:p>
    <w:p w:rsidR="00A31137" w:rsidRPr="00A31137" w:rsidRDefault="00A31137" w:rsidP="00A31137">
      <w:r w:rsidRPr="00A31137">
        <w:t>President Bush's Message to the House of Representatives Returning Without Approval the Hatch Act Reform Amendments of 1990</w:t>
      </w:r>
    </w:p>
    <w:p w:rsidR="00A31137" w:rsidRPr="00A31137" w:rsidRDefault="00A31137" w:rsidP="00A31137">
      <w:r w:rsidRPr="00A31137">
        <w:t>Title:</w:t>
      </w:r>
      <w:r w:rsidRPr="00A31137">
        <w:tab/>
        <w:t>President Bush's Message to the House of Representatives Returning Without Approval the Hatch Act Reform Amendments of 1990</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15, 1990</w:t>
      </w:r>
    </w:p>
    <w:p w:rsidR="00A31137" w:rsidRPr="00A31137" w:rsidRDefault="00A31137" w:rsidP="00A31137">
      <w:r w:rsidRPr="00A31137">
        <w:t>Source:</w:t>
      </w:r>
      <w:r w:rsidRPr="00A31137">
        <w:tab/>
        <w:t>Public Papers of the Presidents, Bush, 1990, pp.830-831</w:t>
      </w:r>
    </w:p>
    <w:p w:rsidR="00A31137" w:rsidRPr="00A31137" w:rsidRDefault="00A31137" w:rsidP="00A31137">
      <w:r w:rsidRPr="00A31137">
        <w:t>Public Papers of Bush, 1990, p.830</w:t>
      </w:r>
    </w:p>
    <w:p w:rsidR="00A31137" w:rsidRPr="00A31137" w:rsidRDefault="00A31137" w:rsidP="00A31137">
      <w:r w:rsidRPr="00A31137">
        <w:t>To the House of Representatives:</w:t>
      </w:r>
    </w:p>
    <w:p w:rsidR="00A31137" w:rsidRPr="00A31137" w:rsidRDefault="00A31137" w:rsidP="00A31137">
      <w:r w:rsidRPr="00A31137">
        <w:t>Public Papers of Bush, 1990, p.830</w:t>
      </w:r>
    </w:p>
    <w:p w:rsidR="00A31137" w:rsidRPr="00A31137" w:rsidRDefault="00A31137" w:rsidP="00A31137">
      <w:r w:rsidRPr="00A31137">
        <w:t>I am returning herewith without my approval H.R. 20, the "Hatch Act Reform Amendments of 1990." This bill would alter unacceptably the provisions of Federal law, commonly known as the Hatch Act, that bars Federal employees from active participation in partisan politics.</w:t>
      </w:r>
    </w:p>
    <w:p w:rsidR="00A31137" w:rsidRPr="00A31137" w:rsidRDefault="00A31137" w:rsidP="00A31137">
      <w:r w:rsidRPr="00A31137">
        <w:t>Public Papers of Bush, 1990, p.830</w:t>
      </w:r>
    </w:p>
    <w:p w:rsidR="00A31137" w:rsidRPr="00A31137" w:rsidRDefault="00A31137" w:rsidP="00A31137">
      <w:r w:rsidRPr="00A31137">
        <w:t>As one who has devoted much of his life to public service, I take great pride in the integrity of our Federal work force. Thus, to protect Federal employees from political pressure and preserve the impartial, evenhanded conduct of Government business, I am obligated to disapprove H.R. 20.</w:t>
      </w:r>
    </w:p>
    <w:p w:rsidR="00A31137" w:rsidRPr="00A31137" w:rsidRDefault="00A31137" w:rsidP="00A31137">
      <w:r w:rsidRPr="00A31137">
        <w:t>Public Papers of Bush, 1990, p.830–p.831</w:t>
      </w:r>
    </w:p>
    <w:p w:rsidR="00A31137" w:rsidRPr="00A31137" w:rsidRDefault="00A31137" w:rsidP="00A31137">
      <w:r w:rsidRPr="00A31137">
        <w:t>Originally enacted in 1939 as a bulwark against political coercion, the Hatch Act has successfully insulated the Federal service from the undue political influence that would destroy its essential political neutrality. It has been manifestly successful over the years in shielding civil servants, and the programs they administer, from political exploitation and abuse. The Hatch Act has [p.831] upheld the integrity of the civil service by assuring that Federal employees are hired and promoted based upon their qualifications and not their political loyalties. It also has assured that Federal programs are administered in a nonpartisan manner, which is critical to maintaining the public's confidence and trust in the operations of Government.</w:t>
      </w:r>
    </w:p>
    <w:p w:rsidR="00A31137" w:rsidRPr="00A31137" w:rsidRDefault="00A31137" w:rsidP="00A31137">
      <w:r w:rsidRPr="00A31137">
        <w:t>Public Papers of Bush, 1990, p.831</w:t>
      </w:r>
    </w:p>
    <w:p w:rsidR="00A31137" w:rsidRPr="00A31137" w:rsidRDefault="00A31137" w:rsidP="00A31137">
      <w:r w:rsidRPr="00A31137">
        <w:t>H.R. 20 would effectively repeal the Hatch Act's essential prohibitions on partisan political activity by Federal civil servants. It also would convert the present rule that partisan politicking by Federal civil servants is prohibited, into a presumption that such partisan campaigning should be encouraged.</w:t>
      </w:r>
    </w:p>
    <w:p w:rsidR="00A31137" w:rsidRPr="00A31137" w:rsidRDefault="00A31137" w:rsidP="00A31137">
      <w:r w:rsidRPr="00A31137">
        <w:t>Public Papers of Bush, 1990, p.831</w:t>
      </w:r>
    </w:p>
    <w:p w:rsidR="00A31137" w:rsidRPr="00A31137" w:rsidRDefault="00A31137" w:rsidP="00A31137">
      <w:r w:rsidRPr="00A31137">
        <w:t>Under this legislation, Federal employees would be able to participate actively in partisan political campaigns and hold official positions in political parties; actively endorse partisan political candidates in the public media; and solicit political contributions in most situations from other employees who are members of the same "employee labor organization" for that organization's political action committee. The obvious result of the enactment of H.R. 20 would be unstated but enormous pressure to participate in partisan political activity.</w:t>
      </w:r>
    </w:p>
    <w:p w:rsidR="00A31137" w:rsidRPr="00A31137" w:rsidRDefault="00A31137" w:rsidP="00A31137">
      <w:r w:rsidRPr="00A31137">
        <w:t>Public Papers of Bush, 1990, p.831</w:t>
      </w:r>
    </w:p>
    <w:p w:rsidR="00A31137" w:rsidRPr="00A31137" w:rsidRDefault="00A31137" w:rsidP="00A31137">
      <w:r w:rsidRPr="00A31137">
        <w:t>History shows that such a reversal in the role of partisan politics in the ethic of public service would inevitably lead to repoliticizing the Federal work force. The sanctions provided in the bill would add little if anything to the effectiveness of existing criminal prohibitions. Moreover, experience with enforcement of criminal anti-patronage laws shows that the Federal criminal justice process is ill-suited to the task of protecting Federal employees from subtle political coercion. Public servants who are subjected to direct or indirect partisan political pressures understandably would often be reluctant to file criminal complaints against their superiors or peers, possibly putting their livelihoods in jeopardy. They deserve better protection than that.</w:t>
      </w:r>
      <w:r w:rsidRPr="00A31137">
        <w:cr/>
      </w:r>
    </w:p>
    <w:p w:rsidR="00A31137" w:rsidRPr="00A31137" w:rsidRDefault="00A31137" w:rsidP="00A31137">
      <w:r w:rsidRPr="00A31137">
        <w:t>Public Papers of Bush, 1990, p.831</w:t>
      </w:r>
    </w:p>
    <w:p w:rsidR="00A31137" w:rsidRPr="00A31137" w:rsidRDefault="00A31137" w:rsidP="00A31137">
      <w:r w:rsidRPr="00A31137">
        <w:t>Overt coercion is difficult enough by itself to guard against and detect. The more subtle forms of coercion are almost impossible to regulate, especially when they arise in a climate in which the unspoken assumption is that political conformity is the route to achievement and security. Such a climate leads inexorably to subtle, self-imposed pressures on employees to conform, or appear to conform, to whatever political tendency will assure greater job security.</w:t>
      </w:r>
    </w:p>
    <w:p w:rsidR="00A31137" w:rsidRPr="00A31137" w:rsidRDefault="00A31137" w:rsidP="00A31137">
      <w:r w:rsidRPr="00A31137">
        <w:t>Public Papers of Bush, 1990, p.831</w:t>
      </w:r>
    </w:p>
    <w:p w:rsidR="00A31137" w:rsidRPr="00A31137" w:rsidRDefault="00A31137" w:rsidP="00A31137">
      <w:r w:rsidRPr="00A31137">
        <w:t>After all the debate, no real need to repeal the existing Hatch Act has been demonstrated. Under present law, the Hatch Act allows Federal employees to engage in a variety of forms of political expression. Only forms of active participation on behalf of partisan political causes and candidates are barred. The Supreme Court has twice determined that these limits on active partisan political activity are constitutional. These rules provide reasonable balance between participation in the political process by Federal civil servants and the need to protect them from harassment and coercion that would jeopardize the fair and impartial operation of the Government. H.R. 20 poses a grave threat to that delicate balance.</w:t>
      </w:r>
    </w:p>
    <w:p w:rsidR="00A31137" w:rsidRPr="00A31137" w:rsidRDefault="00A31137" w:rsidP="00A31137">
      <w:r w:rsidRPr="00A31137">
        <w:t>Public Papers of Bush, 1990, p.831</w:t>
      </w:r>
    </w:p>
    <w:p w:rsidR="00A31137" w:rsidRPr="00A31137" w:rsidRDefault="00A31137" w:rsidP="00A31137">
      <w:r w:rsidRPr="00A31137">
        <w:t>Indeed, the lack of any grass-roots clamor for repeal of the Hatch Act either now, or at any time during its 50-year existence, testifies to the support this statute has received within the ranks of the Federal civil service and among the general public.</w:t>
      </w:r>
    </w:p>
    <w:p w:rsidR="00A31137" w:rsidRPr="00A31137" w:rsidRDefault="00A31137" w:rsidP="00A31137">
      <w:r w:rsidRPr="00A31137">
        <w:t>Public Papers of Bush, 1990, p.831</w:t>
      </w:r>
    </w:p>
    <w:p w:rsidR="00A31137" w:rsidRPr="00A31137" w:rsidRDefault="00A31137" w:rsidP="00A31137">
      <w:r w:rsidRPr="00A31137">
        <w:t>I am firmly convinced that any appreciable lessening of the current protections afforded to Federal civil servants by the Hatch Act will lead to the repoliticization of the civil service and of the programs it administers. We cannot afford, in the final decade of this century, to embark on a retreat into the very worst aspects of public administration from the last century.</w:t>
      </w:r>
    </w:p>
    <w:p w:rsidR="00A31137" w:rsidRPr="00A31137" w:rsidRDefault="00A31137" w:rsidP="00A31137">
      <w:r w:rsidRPr="00A31137">
        <w:t>GEORGE BUSH</w:t>
      </w:r>
    </w:p>
    <w:p w:rsidR="00A31137" w:rsidRPr="00A31137" w:rsidRDefault="00A31137" w:rsidP="00A31137">
      <w:r w:rsidRPr="00A31137">
        <w:t>The White House,</w:t>
      </w:r>
    </w:p>
    <w:p w:rsidR="00A31137" w:rsidRPr="00A31137" w:rsidRDefault="00A31137" w:rsidP="00A31137">
      <w:r w:rsidRPr="00A31137">
        <w:t>June 15, 1990.</w:t>
      </w:r>
    </w:p>
    <w:p w:rsidR="00A31137" w:rsidRPr="00A31137" w:rsidRDefault="00A31137" w:rsidP="00A31137">
      <w:r w:rsidRPr="00A31137">
        <w:t>President Bush's Message to the Congress on the Declaration of a National Emergency With Respect to Iraq, 1990</w:t>
      </w:r>
    </w:p>
    <w:p w:rsidR="00A31137" w:rsidRPr="00A31137" w:rsidRDefault="00A31137" w:rsidP="00A31137">
      <w:r w:rsidRPr="00A31137">
        <w:t>Title:</w:t>
      </w:r>
      <w:r w:rsidRPr="00A31137">
        <w:tab/>
        <w:t>President Bush's Message to the Congress on the Declaration of a National Emergency With Respect to Iraq</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August 3, 1990</w:t>
      </w:r>
    </w:p>
    <w:p w:rsidR="00A31137" w:rsidRPr="00A31137" w:rsidRDefault="00A31137" w:rsidP="00A31137">
      <w:r w:rsidRPr="00A31137">
        <w:t>Source:</w:t>
      </w:r>
      <w:r w:rsidRPr="00A31137">
        <w:tab/>
        <w:t>Public Papers of the Presidents, Bush, 1990, pp.1095-1096</w:t>
      </w:r>
    </w:p>
    <w:p w:rsidR="00A31137" w:rsidRPr="00A31137" w:rsidRDefault="00A31137" w:rsidP="00A31137">
      <w:r w:rsidRPr="00A31137">
        <w:t>Public Papers of Bush, 1990, p.1095</w:t>
      </w:r>
    </w:p>
    <w:p w:rsidR="00A31137" w:rsidRPr="00A31137" w:rsidRDefault="00A31137" w:rsidP="00A31137">
      <w:r w:rsidRPr="00A31137">
        <w:t>To the Congress of the United States:</w:t>
      </w:r>
    </w:p>
    <w:p w:rsidR="00A31137" w:rsidRPr="00A31137" w:rsidRDefault="00A31137" w:rsidP="00A31137">
      <w:r w:rsidRPr="00A31137">
        <w:t>Pursuant to section 204(b) of the International Emergency Economic Powers Act, 50 U.S.C. section 1703(b), and section 201 of the National Emergencies Act, 50 U.S.C. section 1621, I hereby report that I have exercised my statutory authority to declare a national emergency and to issue two Executive orders that:</w:t>
      </w:r>
    </w:p>
    <w:p w:rsidR="00A31137" w:rsidRPr="00A31137" w:rsidRDefault="00A31137" w:rsidP="00A31137">
      <w:r w:rsidRPr="00A31137">
        <w:tab/>
        <w:t>—prohibit exports and imports of goods and services between the United States and Iraq and the purchase of Iraqi goods by U.S. persons for sale in third countries;</w:t>
      </w:r>
    </w:p>
    <w:p w:rsidR="00A31137" w:rsidRPr="00A31137" w:rsidRDefault="00A31137" w:rsidP="00A31137">
      <w:r w:rsidRPr="00A31137">
        <w:tab/>
        <w:t>—prohibit transactions related to travel to or from Iraq, except for transactions necessary for journalistic travel or prompt departure from Iraq;</w:t>
      </w:r>
    </w:p>
    <w:p w:rsidR="00A31137" w:rsidRPr="00A31137" w:rsidRDefault="00A31137" w:rsidP="00A31137">
      <w:r w:rsidRPr="00A31137">
        <w:tab/>
        <w:t>—prohibit transactions related to transportation to or from Iraq, or the use of vessels or aircraft registered in Iraq by U.S. persons;</w:t>
      </w:r>
    </w:p>
    <w:p w:rsidR="00A31137" w:rsidRPr="00A31137" w:rsidRDefault="00A31137" w:rsidP="00A31137">
      <w:r w:rsidRPr="00A31137">
        <w:tab/>
        <w:t>—prohibit the performance of any contract in support of Government of Iraq projects;</w:t>
      </w:r>
    </w:p>
    <w:p w:rsidR="00A31137" w:rsidRPr="00A31137" w:rsidRDefault="00A31137" w:rsidP="00A31137">
      <w:r w:rsidRPr="00A31137">
        <w:tab/>
        <w:t>—ban all extensions of credit and loans by U.S. persons to the Government of Iraq;</w:t>
      </w:r>
    </w:p>
    <w:p w:rsidR="00A31137" w:rsidRPr="00A31137" w:rsidRDefault="00A31137" w:rsidP="00A31137">
      <w:r w:rsidRPr="00A31137">
        <w:tab/>
        <w:t>—block all property of the Government of Iraq now or hereafter located in the United States or in the possession or control of U.S. persons, including their foreign branches; and</w:t>
      </w:r>
    </w:p>
    <w:p w:rsidR="00A31137" w:rsidRPr="00A31137" w:rsidRDefault="00A31137" w:rsidP="00A31137">
      <w:r w:rsidRPr="00A31137">
        <w:tab/>
        <w:t>—prohibit all transfers or other transactions involving assets belonging to the Government of Kuwait now or hereafter located in the United States or in the possession or control of U.S. persons, including their foreign branches.</w:t>
      </w:r>
    </w:p>
    <w:p w:rsidR="00A31137" w:rsidRPr="00A31137" w:rsidRDefault="00A31137" w:rsidP="00A31137">
      <w:r w:rsidRPr="00A31137">
        <w:t>Public Papers of Bush, 1990, p.1095</w:t>
      </w:r>
    </w:p>
    <w:p w:rsidR="00A31137" w:rsidRPr="00A31137" w:rsidRDefault="00A31137" w:rsidP="00A31137">
      <w:r w:rsidRPr="00A31137">
        <w:t>The Secretary of the Treasury is authorized to issue regulations implementing these prohibitions. These two orders were effective 5:00 a.m. e.d.t., August 2, 1990.</w:t>
      </w:r>
    </w:p>
    <w:p w:rsidR="00A31137" w:rsidRPr="00A31137" w:rsidRDefault="00A31137" w:rsidP="00A31137">
      <w:r w:rsidRPr="00A31137">
        <w:t>Public Papers of Bush, 1990, p.1096</w:t>
      </w:r>
    </w:p>
    <w:p w:rsidR="00A31137" w:rsidRPr="00A31137" w:rsidRDefault="00A31137" w:rsidP="00A31137">
      <w:r w:rsidRPr="00A31137">
        <w:t>I am enclosing a copy of each Executive order that I have issued making these declarations and exercising these authorities.</w:t>
      </w:r>
    </w:p>
    <w:p w:rsidR="00A31137" w:rsidRPr="00A31137" w:rsidRDefault="00A31137" w:rsidP="00A31137">
      <w:r w:rsidRPr="00A31137">
        <w:t>Public Papers of Bush, 1990, p.1096</w:t>
      </w:r>
    </w:p>
    <w:p w:rsidR="00A31137" w:rsidRPr="00A31137" w:rsidRDefault="00A31137" w:rsidP="00A31137">
      <w:r w:rsidRPr="00A31137">
        <w:t>I have authorized these measures in response to the Iraqi invasion of Kuwait, which clearly constitutes an act of aggression and a flagrant violation of international law. This action is in clear violation of the national sovereignty and independence of Kuwait and the Charter of the United Nations. It threatens the entire structure of peaceful relations among nations in this critical region. It constitutes an unusual and extraordinary threat to the national security, foreign policy, and economy of the United States.</w:t>
      </w:r>
    </w:p>
    <w:p w:rsidR="00A31137" w:rsidRPr="00A31137" w:rsidRDefault="00A31137" w:rsidP="00A31137">
      <w:r w:rsidRPr="00A31137">
        <w:t>Public Papers of Bush, 1990, p.1096</w:t>
      </w:r>
    </w:p>
    <w:p w:rsidR="00A31137" w:rsidRPr="00A31137" w:rsidRDefault="00A31137" w:rsidP="00A31137">
      <w:r w:rsidRPr="00A31137">
        <w:t>The measures we are taking to block Iraqi assets will have the effect of expressing our outrage at Iraq's actions, and will prevent that government from drawing on monies and properties within U.S. control to support its campaign of military aggression against a neighboring state. Our ban on exports to Iraq will prevent the Iraqi government from profiting from the receipt of U.S. goods and technology. Our ban on imports, while not preventing sales of Iraqi oil to third countries, denies Iraq access to the lucrative U.S. market for its most important product.</w:t>
      </w:r>
    </w:p>
    <w:p w:rsidR="00A31137" w:rsidRPr="00A31137" w:rsidRDefault="00A31137" w:rsidP="00A31137">
      <w:r w:rsidRPr="00A31137">
        <w:t>Public Papers of Bush, 1990, p.1096</w:t>
      </w:r>
    </w:p>
    <w:p w:rsidR="00A31137" w:rsidRPr="00A31137" w:rsidRDefault="00A31137" w:rsidP="00A31137">
      <w:r w:rsidRPr="00A31137">
        <w:t>At the same time, in order to protect the property of the legitimate Government of Kuwait from possible seizure, diversion, or misuse by Iraq, and with the approval of the Kuwaiti government, we are blocking Kuwaiti assets within the jurisdiction of the United States or in the possession or control of U.S. persons.</w:t>
      </w:r>
    </w:p>
    <w:p w:rsidR="00A31137" w:rsidRPr="00A31137" w:rsidRDefault="00A31137" w:rsidP="00A31137">
      <w:r w:rsidRPr="00A31137">
        <w:t>Public Papers of Bush, 1990, p.1096</w:t>
      </w:r>
    </w:p>
    <w:p w:rsidR="00A31137" w:rsidRPr="00A31137" w:rsidRDefault="00A31137" w:rsidP="00A31137">
      <w:r w:rsidRPr="00A31137">
        <w:t>We are calling upon our friends and allies, and all members of the world community who share our interest in the peaceful resolution of international disputes, to join us in similar actions against Iraq and for the protection of Kuwait.</w:t>
      </w:r>
    </w:p>
    <w:p w:rsidR="00A31137" w:rsidRPr="00A31137" w:rsidRDefault="00A31137" w:rsidP="00A31137">
      <w:r w:rsidRPr="00A31137">
        <w:t>GEORGE BUSH</w:t>
      </w:r>
    </w:p>
    <w:p w:rsidR="00A31137" w:rsidRPr="00A31137" w:rsidRDefault="00A31137" w:rsidP="00A31137">
      <w:r w:rsidRPr="00A31137">
        <w:t>The White House,</w:t>
      </w:r>
    </w:p>
    <w:p w:rsidR="00A31137" w:rsidRPr="00A31137" w:rsidRDefault="00A31137" w:rsidP="00A31137">
      <w:r w:rsidRPr="00A31137">
        <w:t>August 3, 1990.</w:t>
      </w:r>
    </w:p>
    <w:p w:rsidR="00A31137" w:rsidRPr="00A31137" w:rsidRDefault="00A31137" w:rsidP="00A31137">
      <w:r w:rsidRPr="00A31137">
        <w:t>Public Papers of Bush, 1990, p.1096</w:t>
      </w:r>
    </w:p>
    <w:p w:rsidR="00A31137" w:rsidRPr="00A31137" w:rsidRDefault="00A31137" w:rsidP="00A31137">
      <w:r w:rsidRPr="00A31137">
        <w:t>NOTE: The Executive orders are listed in Appendix E at the end of this volume.</w:t>
      </w:r>
    </w:p>
    <w:p w:rsidR="00A31137" w:rsidRPr="00A31137" w:rsidRDefault="00A31137" w:rsidP="00A31137">
      <w:r w:rsidRPr="00A31137">
        <w:t>President Bush's Address to the Nation Announcing the Deployment of United States Armed Forces to Saudi Arabia, 1990</w:t>
      </w:r>
    </w:p>
    <w:p w:rsidR="00A31137" w:rsidRPr="00A31137" w:rsidRDefault="00A31137" w:rsidP="00A31137">
      <w:r w:rsidRPr="00A31137">
        <w:t>Title:</w:t>
      </w:r>
      <w:r w:rsidRPr="00A31137">
        <w:tab/>
        <w:t>President Bush's Address to the Nation Announcing the Deployment of United States Armed Forces to Saudi Arabia</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August 8, 1990</w:t>
      </w:r>
    </w:p>
    <w:p w:rsidR="00A31137" w:rsidRPr="00A31137" w:rsidRDefault="00A31137" w:rsidP="00A31137">
      <w:r w:rsidRPr="00A31137">
        <w:t>Source:</w:t>
      </w:r>
      <w:r w:rsidRPr="00A31137">
        <w:tab/>
        <w:t>Public Papers of the Presidents, Bush, 1990, pp.1107-1109</w:t>
      </w:r>
    </w:p>
    <w:p w:rsidR="00A31137" w:rsidRPr="00A31137" w:rsidRDefault="00A31137" w:rsidP="00A31137">
      <w:r w:rsidRPr="00A31137">
        <w:t>Public Papers of Bush, 1990, p.1107</w:t>
      </w:r>
    </w:p>
    <w:p w:rsidR="00A31137" w:rsidRPr="00A31137" w:rsidRDefault="00A31137" w:rsidP="00A31137">
      <w:r w:rsidRPr="00A31137">
        <w:t>In the life of a nation, we're called upon to define who we are and what we believe. Sometimes these choices are not easy. But today as President, I ask for your support in a decision I've made to stand up for what's right and condemn what's wrong, all in the cause of peace.</w:t>
      </w:r>
    </w:p>
    <w:p w:rsidR="00A31137" w:rsidRPr="00A31137" w:rsidRDefault="00A31137" w:rsidP="00A31137">
      <w:r w:rsidRPr="00A31137">
        <w:t>Public Papers of Bush, 1990, p.1107</w:t>
      </w:r>
    </w:p>
    <w:p w:rsidR="00A31137" w:rsidRPr="00A31137" w:rsidRDefault="00A31137" w:rsidP="00A31137">
      <w:r w:rsidRPr="00A31137">
        <w:t>At my direction, elements of the 82d Airborne Division as well as key units of the United States Air Force are arriving today to take up defensive positions in Saudi Arabia. I took this action to assist the Saudi Arabian Government in the defense of its homeland. No one commits America's Armed Forces to a dangerous mission lightly, but after perhaps unparalleled international consultation and exhausting every alternative, it became necessary to take this action. Let me tell you why.</w:t>
      </w:r>
    </w:p>
    <w:p w:rsidR="00A31137" w:rsidRPr="00A31137" w:rsidRDefault="00A31137" w:rsidP="00A31137">
      <w:r w:rsidRPr="00A31137">
        <w:t>Public Papers of Bush, 1990, p.1107</w:t>
      </w:r>
    </w:p>
    <w:p w:rsidR="00A31137" w:rsidRPr="00A31137" w:rsidRDefault="00A31137" w:rsidP="00A31137">
      <w:r w:rsidRPr="00A31137">
        <w:t>Less than a week ago, in the early morning hours of August 2d, Iraqi Armed Forces, without provocation or warning, invaded a peaceful Kuwait. Facing negligible resistance from its much smaller neighbor, Iraq's tanks stormed in blitzkrieg fashion through Kuwait in a few short hours. With more than 100,000 troops, along with tanks, artillery, and surface-to-surface missiles, Iraq now occupies Kuwait. This aggression came just hours after Saddam Hussein specifically assured numerous countries in the area that there would be no invasion. There is no justification whatsoever for this outrageous and brutal act of aggression.</w:t>
      </w:r>
    </w:p>
    <w:p w:rsidR="00A31137" w:rsidRPr="00A31137" w:rsidRDefault="00A31137" w:rsidP="00A31137">
      <w:r w:rsidRPr="00A31137">
        <w:t>Public Papers of Bush, 1990, p.1107–p.1108</w:t>
      </w:r>
    </w:p>
    <w:p w:rsidR="00A31137" w:rsidRPr="00A31137" w:rsidRDefault="00A31137" w:rsidP="00A31137">
      <w:r w:rsidRPr="00A31137">
        <w:t>A puppet regime imposed from the outside is unacceptable. The acquisition of territory [p.1108] by force is unacceptable. No one, friend or foe, should doubt our desire for peace; and no one should underestimate our determination to confront aggression.</w:t>
      </w:r>
    </w:p>
    <w:p w:rsidR="00A31137" w:rsidRPr="00A31137" w:rsidRDefault="00A31137" w:rsidP="00A31137">
      <w:r w:rsidRPr="00A31137">
        <w:t>Public Papers of Bush, 1990, p.1108</w:t>
      </w:r>
    </w:p>
    <w:p w:rsidR="00A31137" w:rsidRPr="00A31137" w:rsidRDefault="00A31137" w:rsidP="00A31137">
      <w:r w:rsidRPr="00A31137">
        <w:t>Four simple principles guide our policy. First, we seek the immediate, unconditional, and complete withdrawal of all Iraqi forces from Kuwait. Second, Kuwait's legitimate government must be restored to replace the puppet regime. And third, my administration, as has been the case with every President from President Roosevelt to President Reagan, is committed to the security and stability of the Persian Gulf. And fourth, I am determined to protect the lives of American citizens abroad.</w:t>
      </w:r>
    </w:p>
    <w:p w:rsidR="00A31137" w:rsidRPr="00A31137" w:rsidRDefault="00A31137" w:rsidP="00A31137">
      <w:r w:rsidRPr="00A31137">
        <w:t>Public Papers of Bush, 1990, p.1108</w:t>
      </w:r>
    </w:p>
    <w:p w:rsidR="00A31137" w:rsidRPr="00A31137" w:rsidRDefault="00A31137" w:rsidP="00A31137">
      <w:r w:rsidRPr="00A31137">
        <w:t>Immediately after the Iraqi invasion, I ordered an embargo of all trade with Iraq and, together with many other nations, announced sanctions that both freeze all Iraqi assets in this country and protected Kuwait's assets. The stakes are high. Iraq is already a rich and powerful country that possesses the world's second largest reserves of oil and over a million men under arms. It's the fourth largest military in the world. Our country now imports nearly half the oil it consumes and could face a major threat to its economic independence. Much of the world is even more dependent upon imported oil and is even more vulnerable to Iraqi threats.</w:t>
      </w:r>
    </w:p>
    <w:p w:rsidR="00A31137" w:rsidRPr="00A31137" w:rsidRDefault="00A31137" w:rsidP="00A31137">
      <w:r w:rsidRPr="00A31137">
        <w:t>Public Papers of Bush, 1990, p.1108</w:t>
      </w:r>
    </w:p>
    <w:p w:rsidR="00A31137" w:rsidRPr="00A31137" w:rsidRDefault="00A31137" w:rsidP="00A31137">
      <w:r w:rsidRPr="00A31137">
        <w:t>We succeeded in the struggle for freedom in Europe because we and our allies remain stalwart. Keeping the peace in the Middle East will require no less. We're beginning a new era. This new era can be full of promise, an age of freedom, a time of peace for all peoples. But if history teaches us anything, it is that we must resist aggression or it will destroy our freedoms. Appeasement does not work. As was the case in the 1930's, we see in Saddam Hussein an aggressive dictator threatening his neighbors. Only 14 days ago, Saddam Hussein promised his friends he would not invade Kuwait. And 4 days ago, he promised the world he would withdraw. And twice we have seen what his promises mean: His promises mean nothing.</w:t>
      </w:r>
    </w:p>
    <w:p w:rsidR="00A31137" w:rsidRPr="00A31137" w:rsidRDefault="00A31137" w:rsidP="00A31137">
      <w:r w:rsidRPr="00A31137">
        <w:t>Public Papers of Bush, 1990, p.1108</w:t>
      </w:r>
    </w:p>
    <w:p w:rsidR="00A31137" w:rsidRPr="00A31137" w:rsidRDefault="00A31137" w:rsidP="00A31137">
      <w:r w:rsidRPr="00A31137">
        <w:t>In the last few days, I've spoken with political leaders from the Middle East, Europe, Asia, and the Americas; and I've met with Prime Minister Thatcher, Prime Minister Mulroney, and NATO Secretary General Woerner. And all agree that Iraq cannot be allowed to benefit from its invasion of Kuwait.</w:t>
      </w:r>
    </w:p>
    <w:p w:rsidR="00A31137" w:rsidRPr="00A31137" w:rsidRDefault="00A31137" w:rsidP="00A31137">
      <w:r w:rsidRPr="00A31137">
        <w:t>Public Papers of Bush, 1990, p.1108</w:t>
      </w:r>
    </w:p>
    <w:p w:rsidR="00A31137" w:rsidRPr="00A31137" w:rsidRDefault="00A31137" w:rsidP="00A31137">
      <w:r w:rsidRPr="00A31137">
        <w:t>We agree that this is not an American problem or a European problem or a Middle East problem: It is the world's problem. And that's why, soon after the Iraqi invasion, the United Nations Security Council, without dissent, condemned Iraq, calling for the immediate and unconditional withdrawal of its troops from Kuwait. The Arab world, through both the Arab League and the Gulf Cooperation Council, courageously announced its opposition to Iraqi aggression. Japan, the United Kingdom, and France, and other governments around the world have imposed severe sanctions. The Soviet Union and China ended all arms sales to Iraq.</w:t>
      </w:r>
    </w:p>
    <w:p w:rsidR="00A31137" w:rsidRPr="00A31137" w:rsidRDefault="00A31137" w:rsidP="00A31137">
      <w:r w:rsidRPr="00A31137">
        <w:t>Public Papers of Bush, 1990, p.1108</w:t>
      </w:r>
    </w:p>
    <w:p w:rsidR="00A31137" w:rsidRPr="00A31137" w:rsidRDefault="00A31137" w:rsidP="00A31137">
      <w:r w:rsidRPr="00A31137">
        <w:t>And this past Monday, the United Nations Security Council approved for the first time in 23 years mandatory sanctions under chapter VII of the United Nations Charter. These sanctions, now enshrined in international law, have the potential to deny Iraq the fruits of aggression while sharply limiting its ability to either import or export anything of value, especially oil.</w:t>
      </w:r>
    </w:p>
    <w:p w:rsidR="00A31137" w:rsidRPr="00A31137" w:rsidRDefault="00A31137" w:rsidP="00A31137">
      <w:r w:rsidRPr="00A31137">
        <w:t>Public Papers of Bush, 1990, p.1108</w:t>
      </w:r>
    </w:p>
    <w:p w:rsidR="00A31137" w:rsidRPr="00A31137" w:rsidRDefault="00A31137" w:rsidP="00A31137">
      <w:r w:rsidRPr="00A31137">
        <w:t>I pledge here today that the United States will do its part to see that these sanctions are effective and to induce Iraq to withdraw without delay from Kuwait.</w:t>
      </w:r>
    </w:p>
    <w:p w:rsidR="00A31137" w:rsidRPr="00A31137" w:rsidRDefault="00A31137" w:rsidP="00A31137">
      <w:r w:rsidRPr="00A31137">
        <w:t>Public Papers of Bush, 1990, p.1108</w:t>
      </w:r>
    </w:p>
    <w:p w:rsidR="00A31137" w:rsidRPr="00A31137" w:rsidRDefault="00A31137" w:rsidP="00A31137">
      <w:r w:rsidRPr="00A31137">
        <w:t>But we must recognize that Iraq may not stop using force to advance its ambitions. Iraq has massed an enormous war machine on the Saudi border capable of initiating hostilities with little or no additional preparation. Given the Iraqi government's history of aggression against its own citizens as well as its neighbors, to assume Iraq will not attack again would be unwise and unrealistic.</w:t>
      </w:r>
    </w:p>
    <w:p w:rsidR="00A31137" w:rsidRPr="00A31137" w:rsidRDefault="00A31137" w:rsidP="00A31137">
      <w:r w:rsidRPr="00A31137">
        <w:t>Public Papers of Bush, 1990, p.1108</w:t>
      </w:r>
    </w:p>
    <w:p w:rsidR="00A31137" w:rsidRPr="00A31137" w:rsidRDefault="00A31137" w:rsidP="00A31137">
      <w:r w:rsidRPr="00A31137">
        <w:t>And therefore, after consulting with King Fahd, I sent Secretary of Defense Dick Cheney to discuss cooperative measures we could take. Following those meetings, the Saudi Government requested our help, and I responded to that request by ordering U.S. air and ground forces to deploy to the Kingdom of Saudi Arabia.</w:t>
      </w:r>
    </w:p>
    <w:p w:rsidR="00A31137" w:rsidRPr="00A31137" w:rsidRDefault="00A31137" w:rsidP="00A31137">
      <w:r w:rsidRPr="00A31137">
        <w:t>Public Papers of Bush, 1990, p.1108–p.1109</w:t>
      </w:r>
    </w:p>
    <w:p w:rsidR="00A31137" w:rsidRPr="00A31137" w:rsidRDefault="00A31137" w:rsidP="00A31137">
      <w:r w:rsidRPr="00A31137">
        <w:t>Let me be clear: The sovereign independence of Saudi Arabia is of vital interest [p.1109] to the United States. This decision, which I shared with the congressional leadership, grows out of the longstanding friendship and security relationship between the United States and Saudi Arabia. U.S. forces will work together with those of Saudi Arabia and other nations to preserve the integrity of Saudi Arabia and to deter further Iraqi aggression. Through their presence, as well as through training and exercises, these multinational forces will enhance the overall capability of Saudi Armed Forces to defend the Kingdom.</w:t>
      </w:r>
    </w:p>
    <w:p w:rsidR="00A31137" w:rsidRPr="00A31137" w:rsidRDefault="00A31137" w:rsidP="00A31137">
      <w:r w:rsidRPr="00A31137">
        <w:t>Public Papers of Bush, 1990, p.1109</w:t>
      </w:r>
    </w:p>
    <w:p w:rsidR="00A31137" w:rsidRPr="00A31137" w:rsidRDefault="00A31137" w:rsidP="00A31137">
      <w:r w:rsidRPr="00A31137">
        <w:t>I want to be clear about what we are doing and why. America does not seek conflict, nor do we seek to chart the destiny of other nations. But America will stand by her friends. The mission of our troops is wholly defensive. Hopefully, they will not be needed long. They will not initiate hostilities, but they will defend themselves, the Kingdom of Saudi Arabia, and other friends in the Persian Gulf.</w:t>
      </w:r>
    </w:p>
    <w:p w:rsidR="00A31137" w:rsidRPr="00A31137" w:rsidRDefault="00A31137" w:rsidP="00A31137">
      <w:r w:rsidRPr="00A31137">
        <w:t>Public Papers of Bush, 1990, p.1109</w:t>
      </w:r>
    </w:p>
    <w:p w:rsidR="00A31137" w:rsidRPr="00A31137" w:rsidRDefault="00A31137" w:rsidP="00A31137">
      <w:r w:rsidRPr="00A31137">
        <w:t>We are working around the clock to deter Iraqi aggression and to enforce U.N. sanctions. I'm continuing my conversations with world leaders. Secretary of Defense Cheney has just returned from valuable consultations with President Mubarak of Egypt and King Hassan of Morocco. Secretary of State Baker has consulted with his counterparts in many nations, including the Soviet Union, and today he heads for Europe to consult with President Ozal of Turkey, a staunch friend of the United States. And he'll then consult with the NATO Foreign Ministers.</w:t>
      </w:r>
    </w:p>
    <w:p w:rsidR="00A31137" w:rsidRPr="00A31137" w:rsidRDefault="00A31137" w:rsidP="00A31137">
      <w:r w:rsidRPr="00A31137">
        <w:t>Public Papers of Bush, 1990, p.1109</w:t>
      </w:r>
    </w:p>
    <w:p w:rsidR="00A31137" w:rsidRPr="00A31137" w:rsidRDefault="00A31137" w:rsidP="00A31137">
      <w:r w:rsidRPr="00A31137">
        <w:t>I will ask oil-producing nations to do what they can to increase production in order to minimize any impact that oil flow reductions will have on the world economy. And I will explore whether we and our allies should draw down our strategic petroleum reserves. Conservation measures can also help; Americans everywhere must do their part. And one more thing: I'm asking the oil companies to do their fair share. They should show restraint and not abuse today's uncertainties to raise prices.</w:t>
      </w:r>
    </w:p>
    <w:p w:rsidR="00A31137" w:rsidRPr="00A31137" w:rsidRDefault="00A31137" w:rsidP="00A31137">
      <w:r w:rsidRPr="00A31137">
        <w:t>Public Papers of Bush, 1990, p.1109</w:t>
      </w:r>
    </w:p>
    <w:p w:rsidR="00A31137" w:rsidRPr="00A31137" w:rsidRDefault="00A31137" w:rsidP="00A31137">
      <w:r w:rsidRPr="00A31137">
        <w:t>Standing up for our principles will not come easy. It may take time and possibly cost a great deal. But we are asking no more of anyone than of the brave young men and women of our Armed Forces and their families. And I ask that in the churches around the country prayers be said for those who are committed to protect and defend America's interests.</w:t>
      </w:r>
    </w:p>
    <w:p w:rsidR="00A31137" w:rsidRPr="00A31137" w:rsidRDefault="00A31137" w:rsidP="00A31137">
      <w:r w:rsidRPr="00A31137">
        <w:t>Public Papers of Bush, 1990, p.1109</w:t>
      </w:r>
    </w:p>
    <w:p w:rsidR="00A31137" w:rsidRPr="00A31137" w:rsidRDefault="00A31137" w:rsidP="00A31137">
      <w:r w:rsidRPr="00A31137">
        <w:t>Standing up for our principle is an American tradition. As it has so many times before, it may take time and tremendous effort, but most of all, it will take unity of purpose. As I've witnessed throughout my life in both war and peace, America has never wavered when her purpose is driven by principle. And in this August day, at home and abroad, I know she will do no less.</w:t>
      </w:r>
    </w:p>
    <w:p w:rsidR="00A31137" w:rsidRPr="00A31137" w:rsidRDefault="00A31137" w:rsidP="00A31137">
      <w:r w:rsidRPr="00A31137">
        <w:t>Public Papers of Bush, 1990, p.1109</w:t>
      </w:r>
    </w:p>
    <w:p w:rsidR="00A31137" w:rsidRPr="00A31137" w:rsidRDefault="00A31137" w:rsidP="00A31137">
      <w:r w:rsidRPr="00A31137">
        <w:t>Thank you, and God bless the United States of America.</w:t>
      </w:r>
    </w:p>
    <w:p w:rsidR="00A31137" w:rsidRPr="00A31137" w:rsidRDefault="00A31137" w:rsidP="00A31137">
      <w:r w:rsidRPr="00A31137">
        <w:t>Public Papers of Bush, 1990, p.1109</w:t>
      </w:r>
    </w:p>
    <w:p w:rsidR="00A31137" w:rsidRPr="00A31137" w:rsidRDefault="00A31137" w:rsidP="00A31137">
      <w:r w:rsidRPr="00A31137">
        <w:t>NOTE: The President spoke at 9 a.m. from the Oval Office at the White House. In his remarks, he referred to President Saddam Hussein of Iraq, Prime Minister Margaret Thatcher of the United Kingdom, Prime Minister Brian Mulroney of Canada, and King Fahd bin 'Abd al-'Aziz Al Sa'ud of Saudi Arabia. The address was broadcast live on nationwide radio and television.</w:t>
      </w:r>
    </w:p>
    <w:p w:rsidR="00A31137" w:rsidRPr="00A31137" w:rsidRDefault="00A31137" w:rsidP="00A31137">
      <w:r w:rsidRPr="00A31137">
        <w:t>President Bush's Soviet Union-United States Joint Statement on the Persian Gulf Crisis, 1990</w:t>
      </w:r>
    </w:p>
    <w:p w:rsidR="00A31137" w:rsidRPr="00A31137" w:rsidRDefault="00A31137" w:rsidP="00A31137">
      <w:r w:rsidRPr="00A31137">
        <w:t>Title:</w:t>
      </w:r>
      <w:r w:rsidRPr="00A31137">
        <w:tab/>
        <w:t>President Bush's Soviet Union-United States Joint Statement on the Persian Gulf Crisis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September 9, 1990</w:t>
      </w:r>
    </w:p>
    <w:p w:rsidR="00A31137" w:rsidRPr="00A31137" w:rsidRDefault="00A31137" w:rsidP="00A31137">
      <w:r w:rsidRPr="00A31137">
        <w:t>Source:</w:t>
      </w:r>
      <w:r w:rsidRPr="00A31137">
        <w:tab/>
        <w:t>Public Papers of the Presidents, Bush, 1990, pp.1203-1204</w:t>
      </w:r>
    </w:p>
    <w:p w:rsidR="00A31137" w:rsidRPr="00A31137" w:rsidRDefault="00A31137" w:rsidP="00A31137">
      <w:r w:rsidRPr="00A31137">
        <w:t>Public Papers of Bush, 1990, p.1203</w:t>
      </w:r>
    </w:p>
    <w:p w:rsidR="00A31137" w:rsidRPr="00A31137" w:rsidRDefault="00A31137" w:rsidP="00A31137">
      <w:r w:rsidRPr="00A31137">
        <w:t>With regard to Iraq's invasion and continued military occupation of Kuwait, President Bush and President Gorbachev issue the following joint statement:</w:t>
      </w:r>
    </w:p>
    <w:p w:rsidR="00A31137" w:rsidRPr="00A31137" w:rsidRDefault="00A31137" w:rsidP="00A31137">
      <w:r w:rsidRPr="00A31137">
        <w:t>Public Papers of Bush, 1990, p.1203</w:t>
      </w:r>
    </w:p>
    <w:p w:rsidR="00A31137" w:rsidRPr="00A31137" w:rsidRDefault="00A31137" w:rsidP="00A31137">
      <w:r w:rsidRPr="00A31137">
        <w:t>We are united in the belief that Iraq's aggression must not be tolerated. No peaceful international order is possible if larger states can devour their smaller neighbors.</w:t>
      </w:r>
    </w:p>
    <w:p w:rsidR="00A31137" w:rsidRPr="00A31137" w:rsidRDefault="00A31137" w:rsidP="00A31137">
      <w:r w:rsidRPr="00A31137">
        <w:t>Public Papers of Bush, 1990, p.1203</w:t>
      </w:r>
    </w:p>
    <w:p w:rsidR="00A31137" w:rsidRPr="00A31137" w:rsidRDefault="00A31137" w:rsidP="00A31137">
      <w:r w:rsidRPr="00A31137">
        <w:t>We reaffirm the joint statement of our Foreign Ministers of August 3, 1990 and our support for United Nations Security Council Resolutions 660, 661, 662, 664 and 665. Today, we once again call upon the Government of Iraq to withdraw unconditionally from Kuwait, to allow the restoration of Kuwait's legitimate government, and to free all hostages now held in Iraq and Kuwait.</w:t>
      </w:r>
    </w:p>
    <w:p w:rsidR="00A31137" w:rsidRPr="00A31137" w:rsidRDefault="00A31137" w:rsidP="00A31137">
      <w:r w:rsidRPr="00A31137">
        <w:t>Public Papers of Bush, 1990, p.1203–p.1204</w:t>
      </w:r>
    </w:p>
    <w:p w:rsidR="00A31137" w:rsidRPr="00A31137" w:rsidRDefault="00A31137" w:rsidP="00A31137">
      <w:r w:rsidRPr="00A31137">
        <w:t>Nothing short of the complete implementation of the United Nations Security Council [p.1204] Resolutions is acceptable.</w:t>
      </w:r>
    </w:p>
    <w:p w:rsidR="00A31137" w:rsidRPr="00A31137" w:rsidRDefault="00A31137" w:rsidP="00A31137">
      <w:r w:rsidRPr="00A31137">
        <w:t>Public Papers of Bush, 1990, p.1204</w:t>
      </w:r>
    </w:p>
    <w:p w:rsidR="00A31137" w:rsidRPr="00A31137" w:rsidRDefault="00A31137" w:rsidP="00A31137">
      <w:r w:rsidRPr="00A31137">
        <w:t>Nothing short of a return to the pre-August 2 status of Kuwait can end Iraq's isolation.</w:t>
      </w:r>
    </w:p>
    <w:p w:rsidR="00A31137" w:rsidRPr="00A31137" w:rsidRDefault="00A31137" w:rsidP="00A31137">
      <w:r w:rsidRPr="00A31137">
        <w:t>Public Papers of Bush, 1990, p.1204</w:t>
      </w:r>
    </w:p>
    <w:p w:rsidR="00A31137" w:rsidRPr="00A31137" w:rsidRDefault="00A31137" w:rsidP="00A31137">
      <w:r w:rsidRPr="00A31137">
        <w:t>We call upon the entire world community to adhere to the sanctions mandated by the United Nations, and we pledge to work, individually and in concert, to ensure full compliance with the sanctions. At the same time, the United States and the Soviet Union recognize that UN Security Council Resolution 661 permits, in humanitarian circumstances, the importation into Iraq and Kuwait of food. The Sanctions Committee will make recommendations to the Security Council on what would constitute humanitarian circumstances. The United States and the Soviet Union further agree that any such imports must be strictly monitored by the appropriate international agencies to ensure that food reaches only those for whom it is intended, with special priority being given to meeting the needs of children.</w:t>
      </w:r>
    </w:p>
    <w:p w:rsidR="00A31137" w:rsidRPr="00A31137" w:rsidRDefault="00A31137" w:rsidP="00A31137">
      <w:r w:rsidRPr="00A31137">
        <w:t>Public Papers of Bush, 1990, p.1204</w:t>
      </w:r>
    </w:p>
    <w:p w:rsidR="00A31137" w:rsidRPr="00A31137" w:rsidRDefault="00A31137" w:rsidP="00A31137">
      <w:r w:rsidRPr="00A31137">
        <w:t>Our preference is to resolve the crisis peacefully, and we will be united against Iraq's aggression as long as the crisis exists. However, we are determined to see this aggression end, and if the current steps fail to end it, we are prepared to consider additional ones consistent with the UN Charter. We must demonstrate beyond any doubt that aggression cannot and will not pay.</w:t>
      </w:r>
    </w:p>
    <w:p w:rsidR="00A31137" w:rsidRPr="00A31137" w:rsidRDefault="00A31137" w:rsidP="00A31137">
      <w:r w:rsidRPr="00A31137">
        <w:t>Public Papers of Bush, 1990, p.1204</w:t>
      </w:r>
    </w:p>
    <w:p w:rsidR="00A31137" w:rsidRPr="00A31137" w:rsidRDefault="00A31137" w:rsidP="00A31137">
      <w:r w:rsidRPr="00A31137">
        <w:t>As soon as the objectives mandated by the UN Security Council resolutions mentioned above have been achieved, and we have demonstrated that aggression does not pay, the Presidents direct their Foreign Ministers to work with countries in the region and outside it to develop regional security structures and measures to promote peace and stability. It is essential to work actively to resolve all remaining conflicts in the Middle East and Persian Gulf. Both sides will continue to consult each other and initiate measures to pursue these broader objectives at the proper time.</w:t>
      </w:r>
    </w:p>
    <w:p w:rsidR="00A31137" w:rsidRPr="00A31137" w:rsidRDefault="00A31137" w:rsidP="00A31137">
      <w:r w:rsidRPr="00A31137">
        <w:t>Public Papers of Bush, 1990, p.1204</w:t>
      </w:r>
    </w:p>
    <w:p w:rsidR="00A31137" w:rsidRPr="00A31137" w:rsidRDefault="00A31137" w:rsidP="00A31137">
      <w:r w:rsidRPr="00A31137">
        <w:t>NOTE: The joint statement was made available by the Office of the Press Secretary but was not issued as a White House press release.</w:t>
      </w:r>
    </w:p>
    <w:p w:rsidR="00A31137" w:rsidRPr="00A31137" w:rsidRDefault="00A31137" w:rsidP="00A31137">
      <w:r w:rsidRPr="00A31137">
        <w:t>President Bush's Remarks Announcing a Federal Budget Agreement, 1990</w:t>
      </w:r>
    </w:p>
    <w:p w:rsidR="00A31137" w:rsidRPr="00A31137" w:rsidRDefault="00A31137" w:rsidP="00A31137">
      <w:r w:rsidRPr="00A31137">
        <w:t>Title:</w:t>
      </w:r>
      <w:r w:rsidRPr="00A31137">
        <w:tab/>
        <w:t>President Bush's Remarks Announcing a Federal Budget Agreement</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September 30, 1990</w:t>
      </w:r>
    </w:p>
    <w:p w:rsidR="00A31137" w:rsidRPr="00A31137" w:rsidRDefault="00A31137" w:rsidP="00A31137">
      <w:r w:rsidRPr="00A31137">
        <w:t>Source:</w:t>
      </w:r>
      <w:r w:rsidRPr="00A31137">
        <w:tab/>
        <w:t>Public Papers of the Presidents, Bush, 1990, pp.1326-1329</w:t>
      </w:r>
    </w:p>
    <w:p w:rsidR="00A31137" w:rsidRPr="00A31137" w:rsidRDefault="00A31137" w:rsidP="00A31137">
      <w:r w:rsidRPr="00A31137">
        <w:t>Public Papers of Bush, 1990, p.1326</w:t>
      </w:r>
    </w:p>
    <w:p w:rsidR="00A31137" w:rsidRPr="00A31137" w:rsidRDefault="00A31137" w:rsidP="00A31137">
      <w:r w:rsidRPr="00A31137">
        <w:t>The President. I am joined here today by the bipartisan leadership of the Congress-the Speaker of the House, the Senate majority leader, the Senate Republican leader, the President pro tem of the Senate, the House majority leader, and the House Republican leader—and other members of the budget summit negotiating group. The bipartisan leaders and I have reached agreement on the Federal budget. Over 5 years, it would reduce the projected deficit by $500 billion; that is half a trillion dollars.</w:t>
      </w:r>
    </w:p>
    <w:p w:rsidR="00A31137" w:rsidRPr="00A31137" w:rsidRDefault="00A31137" w:rsidP="00A31137">
      <w:r w:rsidRPr="00A31137">
        <w:t>Public Papers of Bush, 1990, p.1326</w:t>
      </w:r>
    </w:p>
    <w:p w:rsidR="00A31137" w:rsidRPr="00A31137" w:rsidRDefault="00A31137" w:rsidP="00A31137">
      <w:r w:rsidRPr="00A31137">
        <w:t>The agreement has five basic parts. First, it would save $119 billion in entitlement and mandatory programs.</w:t>
      </w:r>
    </w:p>
    <w:p w:rsidR="00A31137" w:rsidRPr="00A31137" w:rsidRDefault="00A31137" w:rsidP="00A31137">
      <w:r w:rsidRPr="00A31137">
        <w:t>Public Papers of Bush, 1990, p.1326–p.1327</w:t>
      </w:r>
    </w:p>
    <w:p w:rsidR="00A31137" w:rsidRPr="00A31137" w:rsidRDefault="00A31137" w:rsidP="00A31137">
      <w:r w:rsidRPr="00A31137">
        <w:t>Second, it would produce 182 billion in discretionary program savings. These savings would come principally from defense. In the next 3 years, defense outlays would be reduced by $67 billion, relative to the projected baseline. All other discretionary programs would be firmly capped at the [p.1327] projected baseline levels; that is, for the next 3 years they would in total be allowed to grow at no more than the inflation rate.</w:t>
      </w:r>
    </w:p>
    <w:p w:rsidR="00A31137" w:rsidRPr="00A31137" w:rsidRDefault="00A31137" w:rsidP="00A31137">
      <w:r w:rsidRPr="00A31137">
        <w:t>Public Papers of Bush, 1990, p.1327</w:t>
      </w:r>
    </w:p>
    <w:p w:rsidR="00A31137" w:rsidRPr="00A31137" w:rsidRDefault="00A31137" w:rsidP="00A31137">
      <w:r w:rsidRPr="00A31137">
        <w:t>Third, the agreement would increase tax revenues by $134 billion. The largest single increase, single contributor, would be a phased-in increase in the gasoline tax of 5 cents per gallon in the first year and another 5 cents in the following years. I do not welcome any such tax measure, nor do I expect anybody up here does. However, this one does have the virtue not only of contributing to deficit reduction but also, over time, of decreasing America's dependence on foreign oil, an objective whose importance has become increasingly evident in the face of the Iraqi invasion of Kuwait. I am pleased to be able to note that the budget agreement also includes several new incentives to increase domestic exploration and development of oil and gas resources. The combination of these measures should help reduce America's vulnerability to the interruption of supplies of foreign oil imports.</w:t>
      </w:r>
    </w:p>
    <w:p w:rsidR="00A31137" w:rsidRPr="00A31137" w:rsidRDefault="00A31137" w:rsidP="00A31137">
      <w:r w:rsidRPr="00A31137">
        <w:t>Public Papers of Bush, 1990, p.1327</w:t>
      </w:r>
    </w:p>
    <w:p w:rsidR="00A31137" w:rsidRPr="00A31137" w:rsidRDefault="00A31137" w:rsidP="00A31137">
      <w:r w:rsidRPr="00A31137">
        <w:t>Fourth, the agreement extends the Gramm-Rudman budget discipline for 5 years. In addition, it improves the budget process and substantially strengthens the enforceability of the 5-year budget plan to which we have agreed.</w:t>
      </w:r>
    </w:p>
    <w:p w:rsidR="00A31137" w:rsidRPr="00A31137" w:rsidRDefault="00A31137" w:rsidP="00A31137">
      <w:r w:rsidRPr="00A31137">
        <w:t>Public Papers of Bush, 1990, p.1327</w:t>
      </w:r>
    </w:p>
    <w:p w:rsidR="00A31137" w:rsidRPr="00A31137" w:rsidRDefault="00A31137" w:rsidP="00A31137">
      <w:r w:rsidRPr="00A31137">
        <w:t>Fifth, this agreement includes important new initiatives to stimulate economic growth: it authorizes new tax incentives for the development of enterprise zones; extends the B&amp;D tax credit; it provides powerful new incentives for productive investment in the kinds of companies that account for most of America's job growth. These incentives include: a new 30-percent credit for B&amp;D; 25-percent deduction for the purchase of new equity; indexing of the basis of new stock in such companies; expansion of expensing of investment in tangible equipment and scientific equipment; a minimum basis rule that encourages investment in new ventures and in companies with high growth potential; and other such incentives.</w:t>
      </w:r>
    </w:p>
    <w:p w:rsidR="00A31137" w:rsidRPr="00A31137" w:rsidRDefault="00A31137" w:rsidP="00A31137">
      <w:r w:rsidRPr="00A31137">
        <w:t>Public Papers of Bush, 1990, p.1327</w:t>
      </w:r>
    </w:p>
    <w:p w:rsidR="00A31137" w:rsidRPr="00A31137" w:rsidRDefault="00A31137" w:rsidP="00A31137">
      <w:r w:rsidRPr="00A31137">
        <w:t>In addition to these targeted growth incentives I would note that prompt enactment of this entire 5-year deficit reduction package would itself help stimulate longterm economic growth with a half a trillion dollars in real deficit reduction. And let me repeat: The leaders here and I think that these are real deficit reduction figures. Long-term interest rates should be able to come down.</w:t>
      </w:r>
    </w:p>
    <w:p w:rsidR="00A31137" w:rsidRPr="00A31137" w:rsidRDefault="00A31137" w:rsidP="00A31137">
      <w:r w:rsidRPr="00A31137">
        <w:t>Public Papers of Bush, 1990, p.1327</w:t>
      </w:r>
    </w:p>
    <w:p w:rsidR="00A31137" w:rsidRPr="00A31137" w:rsidRDefault="00A31137" w:rsidP="00A31137">
      <w:r w:rsidRPr="00A31137">
        <w:t>This package should be a strong component of a positive, responsible fiscal and monetary policy. I heartily thank the negotiators who have worked so long and so hard to develop this package. The bipartisan congressional leadership and I have pledged our very best to get this entire package signed into law by October 19th. As any such plan would have to, ours requires that virtually everyone contribute in some way. It is balanced, it is fair, and in my view it is what the United States of America needs at this point in its history. And we are united in our firm determination to see this program enacted.</w:t>
      </w:r>
    </w:p>
    <w:p w:rsidR="00A31137" w:rsidRPr="00A31137" w:rsidRDefault="00A31137" w:rsidP="00A31137">
      <w:r w:rsidRPr="00A31137">
        <w:t>Public Papers of Bush, 1990, p.1327</w:t>
      </w:r>
    </w:p>
    <w:p w:rsidR="00A31137" w:rsidRPr="00A31137" w:rsidRDefault="00A31137" w:rsidP="00A31137">
      <w:r w:rsidRPr="00A31137">
        <w:t>I do not want to imply that some who have not been in the final negotiations are for every part of this. But I can only speak for my part, and then the top leadership here will speak. But I will simply say: This is priority. This is priority for our nation. This is something that the country is calling out for and world markets are looking for. And so, there will be some tough fights ahead; but I have pledged to the Speaker, to Congressman Gephardt, to Bob Michel on our side, to George Mitchell and Bob Dole and the Senate pro ten leader, Senator Byrd, that I will do everything I can to lay aside partisanship here and to take the case for this deal to the American people in every way I can. Sometimes you don't get it just the way you want, and this is such a time for me, and I expect it's such a time for everybody standing here. But it's time we put the interest of the United States of America first and get this deficit under control.</w:t>
      </w:r>
    </w:p>
    <w:p w:rsidR="00A31137" w:rsidRPr="00A31137" w:rsidRDefault="00A31137" w:rsidP="00A31137">
      <w:r w:rsidRPr="00A31137">
        <w:t>Public Papers of Bush, 1990, p.1327</w:t>
      </w:r>
    </w:p>
    <w:p w:rsidR="00A31137" w:rsidRPr="00A31137" w:rsidRDefault="00A31137" w:rsidP="00A31137">
      <w:r w:rsidRPr="00A31137">
        <w:t>Mr. Speaker, I am grateful to you, the Democrats, and the Republicans that have seen that the interest of this country come first. Thank you for what you've been doing, and I'd appreciate it if you want to say a few words.</w:t>
      </w:r>
    </w:p>
    <w:p w:rsidR="00A31137" w:rsidRPr="00A31137" w:rsidRDefault="00A31137" w:rsidP="00A31137">
      <w:r w:rsidRPr="00A31137">
        <w:t>Public Papers of Bush, 1990, p.1327–p.1328</w:t>
      </w:r>
    </w:p>
    <w:p w:rsidR="00A31137" w:rsidRPr="00A31137" w:rsidRDefault="00A31137" w:rsidP="00A31137">
      <w:r w:rsidRPr="00A31137">
        <w:t>Speaker Foley. Thank you very much, Mr. President. I'll be brief in just echoing what you, yourself, just said, sir, that this is a package that your negotiators and the bipartisan [p.1328] participating negotiators from the House and the Senate—ranking Republican Members, chairmen, and the leadership on both sides—have sought to achieve. It's not going to be easy or simple to obtain the votes that are necessary in both the House and the Senate, the majority of both parties and both bodies, that will have to be found to enact this package—and within the next 3 weeks. But we pledge our efforts with yours to convince our colleagues in the country that this is a strong undergirding of our economic future, our national prosperity, and joint national interest. And in that spirit, we are going to begin today to present to you legislation which will allow the orderly functioning of the Federal Government for the continuation of this next week, in preparing to take the first step to implement this program.</w:t>
      </w:r>
    </w:p>
    <w:p w:rsidR="00A31137" w:rsidRPr="00A31137" w:rsidRDefault="00A31137" w:rsidP="00A31137">
      <w:r w:rsidRPr="00A31137">
        <w:t>Public Papers of Bush, 1990, p.1328</w:t>
      </w:r>
    </w:p>
    <w:p w:rsidR="00A31137" w:rsidRPr="00A31137" w:rsidRDefault="00A31137" w:rsidP="00A31137">
      <w:r w:rsidRPr="00A31137">
        <w:t>I want to pay a word, if I can, of special thanks to all of my colleagues who have participated in this, and especially to Dick Gephardt, the chairman of these budget negotiations, who, all sides—Republicans and Democrats, Senators and House Members, and you, yourself—have spoken eloquently to his patience and leadership. Thank you, sir, for your involvement and your determination to aid in the process of bringing this package and the interests of the country to final achievement.</w:t>
      </w:r>
    </w:p>
    <w:p w:rsidR="00A31137" w:rsidRPr="00A31137" w:rsidRDefault="00A31137" w:rsidP="00A31137">
      <w:r w:rsidRPr="00A31137">
        <w:t>Public Papers of Bush, 1990, p.1328</w:t>
      </w:r>
    </w:p>
    <w:p w:rsidR="00A31137" w:rsidRPr="00A31137" w:rsidRDefault="00A31137" w:rsidP="00A31137">
      <w:r w:rsidRPr="00A31137">
        <w:t>The President. Now if I might ask Senator Mitchell and then Senator Dole, Congressman Gephardt, and Congressman Michel to speak.</w:t>
      </w:r>
    </w:p>
    <w:p w:rsidR="00A31137" w:rsidRPr="00A31137" w:rsidRDefault="00A31137" w:rsidP="00A31137">
      <w:r w:rsidRPr="00A31137">
        <w:t>Public Papers of Bush, 1990, p.1328</w:t>
      </w:r>
    </w:p>
    <w:p w:rsidR="00A31137" w:rsidRPr="00A31137" w:rsidRDefault="00A31137" w:rsidP="00A31137">
      <w:r w:rsidRPr="00A31137">
        <w:t>Senator Mitchell. Thank you, Mr. President. Now comes the hard part. It's one thing to get a budget agreement among ourselves for which all involved should be commended. It's another thing to get the votes to pass it through the House and the Senate. That is a task to which we must now commit ourselves.</w:t>
      </w:r>
    </w:p>
    <w:p w:rsidR="00A31137" w:rsidRPr="00A31137" w:rsidRDefault="00A31137" w:rsidP="00A31137">
      <w:r w:rsidRPr="00A31137">
        <w:t>Public Papers of Bush, 1990, p.1328</w:t>
      </w:r>
    </w:p>
    <w:p w:rsidR="00A31137" w:rsidRPr="00A31137" w:rsidRDefault="00A31137" w:rsidP="00A31137">
      <w:r w:rsidRPr="00A31137">
        <w:t>This agreement is a compromise. Both sides can accurately say that the agreement includes provisions they don't like. Both sides can also accurately say the agreement doesn't include some provisions they think should be included. Cutting the deficit requires difficult choices. But our nation's economic future requires that we make those choices. We have already debated too long. Now we must act decisively.</w:t>
      </w:r>
    </w:p>
    <w:p w:rsidR="00A31137" w:rsidRPr="00A31137" w:rsidRDefault="00A31137" w:rsidP="00A31137">
      <w:r w:rsidRPr="00A31137">
        <w:t>Public Papers of Bush, 1990, p.1328</w:t>
      </w:r>
    </w:p>
    <w:p w:rsidR="00A31137" w:rsidRPr="00A31137" w:rsidRDefault="00A31137" w:rsidP="00A31137">
      <w:r w:rsidRPr="00A31137">
        <w:t>Senator Dole. Mr. President, thank you very much. And I want to thank my colleagues and again, particularly Dick Gephardt. The nay-sayers and the nitpickers may have a field day because the easy vote in this case is to find something you don't like and vote no. But in my view, we owe more to the American people than finding fault with what I consider to be a good, positive, solid agreement that, in my view, will help the American economy and demonstrate to the American people, who are sometimes somewhat cynical, that the Congress and the President of the United States can work together, and we can look ahead and we can do the right thing for our country. And so, I would hope that my colleagues—and I speak now to my colleagues—certainly will study this document very carefully, will give it their best effort, and when the role is called that we'll have a majority of Republicans and Democrats for this outstanding package.</w:t>
      </w:r>
    </w:p>
    <w:p w:rsidR="00A31137" w:rsidRPr="00A31137" w:rsidRDefault="00A31137" w:rsidP="00A31137">
      <w:r w:rsidRPr="00A31137">
        <w:t>Public Papers of Bush, 1990, p.1328</w:t>
      </w:r>
    </w:p>
    <w:p w:rsidR="00A31137" w:rsidRPr="00A31137" w:rsidRDefault="00A31137" w:rsidP="00A31137">
      <w:r w:rsidRPr="00A31137">
        <w:t>Thank you, Mr. President.</w:t>
      </w:r>
    </w:p>
    <w:p w:rsidR="00A31137" w:rsidRPr="00A31137" w:rsidRDefault="00A31137" w:rsidP="00A31137">
      <w:r w:rsidRPr="00A31137">
        <w:t>Public Papers of Bush, 1990, p.1328</w:t>
      </w:r>
    </w:p>
    <w:p w:rsidR="00A31137" w:rsidRPr="00A31137" w:rsidRDefault="00A31137" w:rsidP="00A31137">
      <w:r w:rsidRPr="00A31137">
        <w:t>The President. Thank you. Dick?</w:t>
      </w:r>
    </w:p>
    <w:p w:rsidR="00A31137" w:rsidRPr="00A31137" w:rsidRDefault="00A31137" w:rsidP="00A31137">
      <w:r w:rsidRPr="00A31137">
        <w:t>Public Papers of Bush, 1990, p.1328</w:t>
      </w:r>
    </w:p>
    <w:p w:rsidR="00A31137" w:rsidRPr="00A31137" w:rsidRDefault="00A31137" w:rsidP="00A31137">
      <w:r w:rsidRPr="00A31137">
        <w:t>Representative Gephardt. Thank you, Mr. President. Forty years ago a mountaineer who joined in the first successful climb of Mount Everest explained the success by saying no expedition enjoyed better teamwork. To the Speaker of the House, Congressman Foley; the Senate majority leader, George Mitchell; to the Members of Congress who are here with us on the stage; to the administration and their representatives and the great staffs of all sides who worked so long and so hard with us: You have been heroic as we've made this climb together.</w:t>
      </w:r>
    </w:p>
    <w:p w:rsidR="00A31137" w:rsidRPr="00A31137" w:rsidRDefault="00A31137" w:rsidP="00A31137">
      <w:r w:rsidRPr="00A31137">
        <w:t>Public Papers of Bush, 1990, p.1328</w:t>
      </w:r>
    </w:p>
    <w:p w:rsidR="00A31137" w:rsidRPr="00A31137" w:rsidRDefault="00A31137" w:rsidP="00A31137">
      <w:r w:rsidRPr="00A31137">
        <w:t>The American people are today asking: Why was this summit necessary, why did it take so long, and what did it achieve? If we are to enact this agreement—and I think we must—these questions must be answered persuasively and honestly. For 10 years we have chosen a course together that has created large deficits and limited our capacity to meet the needs of our people and the demands of a very challenging age. Today, we face a weakened economy and high rates of interest and inflation. Tomorrow, in absence of an agreement, massive across-the-board budget cuts would occur.</w:t>
      </w:r>
    </w:p>
    <w:p w:rsidR="00A31137" w:rsidRPr="00A31137" w:rsidRDefault="00A31137" w:rsidP="00A31137">
      <w:r w:rsidRPr="00A31137">
        <w:t>Public Papers of Bush, 1990, p.1329</w:t>
      </w:r>
    </w:p>
    <w:p w:rsidR="00A31137" w:rsidRPr="00A31137" w:rsidRDefault="00A31137" w:rsidP="00A31137">
      <w:r w:rsidRPr="00A31137">
        <w:t>The alternative to this agreement is fiscal chaos. To meet our responsibility to America's working families, this summit simply had to succeed. What delayed us for months is what has divided us for a decade. The parties to these talks had—and continue to have—deep disagreements over values, the role of government, and the fairness of our taxes. But we all made compromise in the national interest.</w:t>
      </w:r>
    </w:p>
    <w:p w:rsidR="00A31137" w:rsidRPr="00A31137" w:rsidRDefault="00A31137" w:rsidP="00A31137">
      <w:r w:rsidRPr="00A31137">
        <w:t>Public Papers of Bush, 1990, p.1329</w:t>
      </w:r>
    </w:p>
    <w:p w:rsidR="00A31137" w:rsidRPr="00A31137" w:rsidRDefault="00A31137" w:rsidP="00A31137">
      <w:r w:rsidRPr="00A31137">
        <w:t>To bring this process to a successful conclusion, all of us—the American people and our national leaders—must accept the responsibilities of the day. And as this debate unfolds I hope this will be said: that we achieved the largest deficit reduction package in our history, that we focused the national debate on whether the tax code will be based on everybody's individual ability to pay. The vital issues—investing in our people, making our nation competitive, and realizing social justice—will rise again on the national agenda, and then enactment of this measure will enable us to confront these important issues successfully in the years to come.</w:t>
      </w:r>
    </w:p>
    <w:p w:rsidR="00A31137" w:rsidRPr="00A31137" w:rsidRDefault="00A31137" w:rsidP="00A31137">
      <w:r w:rsidRPr="00A31137">
        <w:t>Public Papers of Bush, 1990, p.1329</w:t>
      </w:r>
    </w:p>
    <w:p w:rsidR="00A31137" w:rsidRPr="00A31137" w:rsidRDefault="00A31137" w:rsidP="00A31137">
      <w:r w:rsidRPr="00A31137">
        <w:t>I thank you, Mr. President, and I thank all the members of the summit. The President. Bob?</w:t>
      </w:r>
    </w:p>
    <w:p w:rsidR="00A31137" w:rsidRPr="00A31137" w:rsidRDefault="00A31137" w:rsidP="00A31137">
      <w:r w:rsidRPr="00A31137">
        <w:t>Public Papers of Bush, 1990, p.1329</w:t>
      </w:r>
    </w:p>
    <w:p w:rsidR="00A31137" w:rsidRPr="00A31137" w:rsidRDefault="00A31137" w:rsidP="00A31137">
      <w:r w:rsidRPr="00A31137">
        <w:t>Representative Michel. Well, thank you, Mr. President, and my colleagues. I support the package wholeheartedly because I was one of the narrower group that, within the last 10 days or so, made some of the final decisions.</w:t>
      </w:r>
    </w:p>
    <w:p w:rsidR="00A31137" w:rsidRPr="00A31137" w:rsidRDefault="00A31137" w:rsidP="00A31137">
      <w:r w:rsidRPr="00A31137">
        <w:t>Public Papers of Bush, 1990, p.1329</w:t>
      </w:r>
    </w:p>
    <w:p w:rsidR="00A31137" w:rsidRPr="00A31137" w:rsidRDefault="00A31137" w:rsidP="00A31137">
      <w:r w:rsidRPr="00A31137">
        <w:t>There may be some reservations with respect to some of our other summiteers on the platform. I think probably rightly so because we're making decisions that will reach far out, to 5 years. Everyone is entitled to know exactly what we have wrought in the printed word. As a matter of fact, I wasn't privy to the last few lines that were written early this morning.</w:t>
      </w:r>
    </w:p>
    <w:p w:rsidR="00A31137" w:rsidRPr="00A31137" w:rsidRDefault="00A31137" w:rsidP="00A31137">
      <w:r w:rsidRPr="00A31137">
        <w:t>Public Papers of Bush, 1990, p.1329</w:t>
      </w:r>
    </w:p>
    <w:p w:rsidR="00A31137" w:rsidRPr="00A31137" w:rsidRDefault="00A31137" w:rsidP="00A31137">
      <w:r w:rsidRPr="00A31137">
        <w:t>But, on balance, when I look at what we were originally faced with—and here we are refraining from increasing marginal rates and not touching the unmentionable out there, Social Security—and then to have the incentives for growth that I see here and the expenditure caps over the next several years that are real and enforceable, it seems to me that in the alternative so much better that we've done what we've done, and hopefully that in the ensuing days we'll be able to sell a majority of the Members on both sides of the aisle in both Houses to give us the affirmative vote that I think is so imperative that we have before we adjourn.</w:t>
      </w:r>
    </w:p>
    <w:p w:rsidR="00A31137" w:rsidRPr="00A31137" w:rsidRDefault="00A31137" w:rsidP="00A31137">
      <w:r w:rsidRPr="00A31137">
        <w:t>Public Papers of Bush, 1990, p.1329</w:t>
      </w:r>
    </w:p>
    <w:p w:rsidR="00A31137" w:rsidRPr="00A31137" w:rsidRDefault="00A31137" w:rsidP="00A31137">
      <w:r w:rsidRPr="00A31137">
        <w:t>Thank you, Mr. President.</w:t>
      </w:r>
    </w:p>
    <w:p w:rsidR="00A31137" w:rsidRPr="00A31137" w:rsidRDefault="00A31137" w:rsidP="00A31137">
      <w:r w:rsidRPr="00A31137">
        <w:t>Public Papers of Bush, 1990, p.1329</w:t>
      </w:r>
    </w:p>
    <w:p w:rsidR="00A31137" w:rsidRPr="00A31137" w:rsidRDefault="00A31137" w:rsidP="00A31137">
      <w:r w:rsidRPr="00A31137">
        <w:t>The President. Well, thank you all very much. And let me conclude by singling out the White House team by name: Secretary Brady and Dick Darman, John Sununu, who stayed in there day in and day out with the Members of Congress. In my view they did an outstanding job, too.</w:t>
      </w:r>
    </w:p>
    <w:p w:rsidR="00A31137" w:rsidRPr="00A31137" w:rsidRDefault="00A31137" w:rsidP="00A31137">
      <w:r w:rsidRPr="00A31137">
        <w:t>Public Papers of Bush, 1990, p.1329</w:t>
      </w:r>
    </w:p>
    <w:p w:rsidR="00A31137" w:rsidRPr="00A31137" w:rsidRDefault="00A31137" w:rsidP="00A31137">
      <w:r w:rsidRPr="00A31137">
        <w:t>You know, Senator Bentsen said in this meeting—I hope it's not betraying a confidence-that he hoped that I would do my level-best to take this case to the American people. And I told him inside what I want to repeat here: I will do everything I can to generate support from the American people for this compromise.</w:t>
      </w:r>
    </w:p>
    <w:p w:rsidR="00A31137" w:rsidRPr="00A31137" w:rsidRDefault="00A31137" w:rsidP="00A31137">
      <w:r w:rsidRPr="00A31137">
        <w:t>Public Papers of Bush, 1990, p.1329</w:t>
      </w:r>
    </w:p>
    <w:p w:rsidR="00A31137" w:rsidRPr="00A31137" w:rsidRDefault="00A31137" w:rsidP="00A31137">
      <w:r w:rsidRPr="00A31137">
        <w:t>I am convinced that the American people do not want to see us continue to mortgage the futures of their children and their grandchildren. And as I say, compromise is the word here. All of us have had to do that. But to Senator Bentsen I said in there, and I would say it here publicly: I want the American people to understand how important we feel this is. I want them to understand this is real. It is not a phony smoke-and-mirrors deficit-cutting program. And I will do everything in my power to help the leadership, Republican and Democrat, get this passed in the United States Congress.</w:t>
      </w:r>
    </w:p>
    <w:p w:rsidR="00A31137" w:rsidRPr="00A31137" w:rsidRDefault="00A31137" w:rsidP="00A31137">
      <w:r w:rsidRPr="00A31137">
        <w:t>Public Papers of Bush, 1990, p.1329</w:t>
      </w:r>
    </w:p>
    <w:p w:rsidR="00A31137" w:rsidRPr="00A31137" w:rsidRDefault="00A31137" w:rsidP="00A31137">
      <w:r w:rsidRPr="00A31137">
        <w:t>Thank you all very much for coming.</w:t>
      </w:r>
    </w:p>
    <w:p w:rsidR="00A31137" w:rsidRPr="00A31137" w:rsidRDefault="00A31137" w:rsidP="00A31137">
      <w:r w:rsidRPr="00A31137">
        <w:t>Public Papers of Bush, 1990, p.1329</w:t>
      </w:r>
    </w:p>
    <w:p w:rsidR="00A31137" w:rsidRPr="00A31137" w:rsidRDefault="00A31137" w:rsidP="00A31137">
      <w:r w:rsidRPr="00A31137">
        <w:t>NOTE: The President spoke at 1:45 p.m. in the Rose Garden at the White House. In his remarks, the President referred to George ]. Mitchell, Senate majority leader,. Robert Dole, Senate Republican leader; Richard A. Gephardt, House majority leader; Robert H. Michel, House Republican leader; Secretary of the Treasury Nicholas F. Brady; Richard G. Darman, Director of the Office of Management and Budget; and John H. Sununu, Chief of Staff to the President. Later in the afternoon, the President returned to New York, NY.</w:t>
      </w:r>
    </w:p>
    <w:p w:rsidR="00A31137" w:rsidRPr="00A31137" w:rsidRDefault="00A31137" w:rsidP="00A31137">
      <w:r w:rsidRPr="00A31137">
        <w:t>President Bush's Address Before the 45th Session of the United Nations General Assembly, 1990</w:t>
      </w:r>
    </w:p>
    <w:p w:rsidR="00A31137" w:rsidRPr="00A31137" w:rsidRDefault="00A31137" w:rsidP="00A31137">
      <w:r w:rsidRPr="00A31137">
        <w:t>Title:</w:t>
      </w:r>
      <w:r w:rsidRPr="00A31137">
        <w:tab/>
        <w:t>President Bush's Address Before the 45th Session of the United Nations General Assembly</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October 1, 1990</w:t>
      </w:r>
    </w:p>
    <w:p w:rsidR="00A31137" w:rsidRPr="00A31137" w:rsidRDefault="00A31137" w:rsidP="00A31137">
      <w:r w:rsidRPr="00A31137">
        <w:t>Source:</w:t>
      </w:r>
      <w:r w:rsidRPr="00A31137">
        <w:tab/>
        <w:t>Public Papers of the Presidents, Bush, 1990, pp.1330-1334</w:t>
      </w:r>
    </w:p>
    <w:p w:rsidR="00A31137" w:rsidRPr="00A31137" w:rsidRDefault="00A31137" w:rsidP="00A31137">
      <w:r w:rsidRPr="00A31137">
        <w:t>Public Papers of Bush, 1990, p.1330</w:t>
      </w:r>
    </w:p>
    <w:p w:rsidR="00A31137" w:rsidRPr="00A31137" w:rsidRDefault="00A31137" w:rsidP="00A31137">
      <w:r w:rsidRPr="00A31137">
        <w:t>Mr. President, thank you very much. Mr. Secretary-General, distinguished delegates to the United Nations, it is really a great privilege to greet you today as we begin what marks a new and historic session of the General Assembly. My congratulations to the Honorable Guido De Marco on your election, sir, as President of the General Assembly. And on a personal note, I want to say that, having witnessed the unprecedented unity and cooperation of the past 2 months, that I have never been prouder to have once served within your ranks and never been prouder that the United States is the host country for the United Nations.</w:t>
      </w:r>
    </w:p>
    <w:p w:rsidR="00A31137" w:rsidRPr="00A31137" w:rsidRDefault="00A31137" w:rsidP="00A31137">
      <w:r w:rsidRPr="00A31137">
        <w:t>Public Papers of Bush, 1990, p.1330</w:t>
      </w:r>
    </w:p>
    <w:p w:rsidR="00A31137" w:rsidRPr="00A31137" w:rsidRDefault="00A31137" w:rsidP="00A31137">
      <w:r w:rsidRPr="00A31137">
        <w:t>Forty-five years ago, while the fires of an epic war still raged across two oceans and two continents, a small group of men and women began a search for hope amid the ruins. And they gathered in San Francisco, stepping back from the haze and horror, to try to shape a new structure that might support an ancient dream. Intensely idealistic and yet tempered by war, they sought to build a new kind of bridge: a bridge between nations, a bridge that might help carry humankind from its darkest hour to its brightest day.</w:t>
      </w:r>
    </w:p>
    <w:p w:rsidR="00A31137" w:rsidRPr="00A31137" w:rsidRDefault="00A31137" w:rsidP="00A31137">
      <w:r w:rsidRPr="00A31137">
        <w:t>Public Papers of Bush, 1990, p.1330</w:t>
      </w:r>
    </w:p>
    <w:p w:rsidR="00A31137" w:rsidRPr="00A31137" w:rsidRDefault="00A31137" w:rsidP="00A31137">
      <w:r w:rsidRPr="00A31137">
        <w:t>The founding of the United Nations embodied our deepest hopes for a peaceful world, and during the past year, we've come closer than ever before to realizing those hopes. We've seen a century sundered by barbed threats and barbed wire give way to a new era of peace and competition and freedom.</w:t>
      </w:r>
    </w:p>
    <w:p w:rsidR="00A31137" w:rsidRPr="00A31137" w:rsidRDefault="00A31137" w:rsidP="00A31137">
      <w:r w:rsidRPr="00A31137">
        <w:t>Public Papers of Bush, 1990, p.1330–p.1331</w:t>
      </w:r>
    </w:p>
    <w:p w:rsidR="00A31137" w:rsidRPr="00A31137" w:rsidRDefault="00A31137" w:rsidP="00A31137">
      <w:r w:rsidRPr="00A31137">
        <w:t>The Revolution of '89 swept the world almost with a life of its own, carried by a new breeze of freedom. It transformed the political climate from Central Europe to Central America and touched almost every corner of the globe. That breeze has been sustained by a now almost universal recognition of a simple, fundamental truth: The human spirit cannot be locked up forever. The truth is, people everywhere are motivated in much the same ways. And people everywhere want much the same things: the chance to live a life of purpose; the chance to choose a life in which they and their children can learn and grow healthy, worship freely, and prosper through the work of their hands and their hearts and their minds. We're not talking about the power of nations but the power of individuals, the power to choose, the power to risk, [p.1331] the power to succeed.</w:t>
      </w:r>
    </w:p>
    <w:p w:rsidR="00A31137" w:rsidRPr="00A31137" w:rsidRDefault="00A31137" w:rsidP="00A31137">
      <w:r w:rsidRPr="00A31137">
        <w:t>Public Papers of Bush, 1990, p.1331</w:t>
      </w:r>
    </w:p>
    <w:p w:rsidR="00A31137" w:rsidRPr="00A31137" w:rsidRDefault="00A31137" w:rsidP="00A31137">
      <w:r w:rsidRPr="00A31137">
        <w:t>This is a new and different world. Not since 1945 have we seen the real possibility of using the United Nations as it was designed: as a center for international collective security.</w:t>
      </w:r>
    </w:p>
    <w:p w:rsidR="00A31137" w:rsidRPr="00A31137" w:rsidRDefault="00A31137" w:rsidP="00A31137">
      <w:r w:rsidRPr="00A31137">
        <w:t>Public Papers of Bush, 1990, p.1331</w:t>
      </w:r>
    </w:p>
    <w:p w:rsidR="00A31137" w:rsidRPr="00A31137" w:rsidRDefault="00A31137" w:rsidP="00A31137">
      <w:r w:rsidRPr="00A31137">
        <w:t>The changes in the Soviet Union have been critical to the emergence of a stronger United Nations. The U.S.-Soviet relationship is finally beyond containment and confrontation, and now we seek to fulfill the promise of mutually shared understanding. The long twilight struggle that for 45 years has divided Europe, our two nations, and much of the world has come to an end.</w:t>
      </w:r>
    </w:p>
    <w:p w:rsidR="00A31137" w:rsidRPr="00A31137" w:rsidRDefault="00A31137" w:rsidP="00A31137">
      <w:r w:rsidRPr="00A31137">
        <w:t>Public Papers of Bush, 1990, p.1331</w:t>
      </w:r>
    </w:p>
    <w:p w:rsidR="00A31137" w:rsidRPr="00A31137" w:rsidRDefault="00A31137" w:rsidP="00A31137">
      <w:r w:rsidRPr="00A31137">
        <w:t>Much has changed over the last 2 years. The Soviet Union has taken many dramatic and important steps to participate fully in the community of nations. And when the Soviet Union agreed with so many of us here in the United Nations to condemn the aggression of Iraq, there could be no doubt—no doubt then—that we had, indeed, put four decades of history behind us.</w:t>
      </w:r>
    </w:p>
    <w:p w:rsidR="00A31137" w:rsidRPr="00A31137" w:rsidRDefault="00A31137" w:rsidP="00A31137">
      <w:r w:rsidRPr="00A31137">
        <w:t>Public Papers of Bush, 1990, p.1331</w:t>
      </w:r>
    </w:p>
    <w:p w:rsidR="00A31137" w:rsidRPr="00A31137" w:rsidRDefault="00A31137" w:rsidP="00A31137">
      <w:r w:rsidRPr="00A31137">
        <w:t>We are hopeful that the machinery of the United Nations will no longer be frozen by the divisions that plagued us during the cold war, that at last—long last—we can build new bridges and tear down old walls, that at long last we will be able to build a new world based on an event for which we have all hoped: an end to the cold war.</w:t>
      </w:r>
    </w:p>
    <w:p w:rsidR="00A31137" w:rsidRPr="00A31137" w:rsidRDefault="00A31137" w:rsidP="00A31137">
      <w:r w:rsidRPr="00A31137">
        <w:t>Public Papers of Bush, 1990, p.1331</w:t>
      </w:r>
    </w:p>
    <w:p w:rsidR="00A31137" w:rsidRPr="00A31137" w:rsidRDefault="00A31137" w:rsidP="00A31137">
      <w:r w:rsidRPr="00A31137">
        <w:t>Two days from now, the world will be watching when the cold war is formally buried in Berlin. And in this time of testing, a fundamental question must be asked, a question not for any one nation but for the United Nations. And the question is this: Can we work together in a new partnership of nations? Can the collective strength of the world community, expressed by the United Nations, unite to deter and defeat aggression? Because the cold war's battle of ideas is not the last epic battle of this century.</w:t>
      </w:r>
    </w:p>
    <w:p w:rsidR="00A31137" w:rsidRPr="00A31137" w:rsidRDefault="00A31137" w:rsidP="00A31137">
      <w:r w:rsidRPr="00A31137">
        <w:t>Public Papers of Bush, 1990, p.1331</w:t>
      </w:r>
    </w:p>
    <w:p w:rsidR="00A31137" w:rsidRPr="00A31137" w:rsidRDefault="00A31137" w:rsidP="00A31137">
      <w:r w:rsidRPr="00A31137">
        <w:t>Two months ago, in the waning weeks of one of history's most hopeful summers, the vast, still beauty of the peaceful Kuwaiti desert was fouled by the stench of diesel and the roar of steel tanks. Once again the sound of distant thunder echoed across a cloudless sky, and once again the world awoke to face the guns of August.</w:t>
      </w:r>
    </w:p>
    <w:p w:rsidR="00A31137" w:rsidRPr="00A31137" w:rsidRDefault="00A31137" w:rsidP="00A31137">
      <w:r w:rsidRPr="00A31137">
        <w:t>Public Papers of Bush, 1990, p.1331</w:t>
      </w:r>
    </w:p>
    <w:p w:rsidR="00A31137" w:rsidRPr="00A31137" w:rsidRDefault="00A31137" w:rsidP="00A31137">
      <w:r w:rsidRPr="00A31137">
        <w:t>But this time, the world was ready. The United Nations Security Council's resolute response to Iraq's unprovoked aggression has been without precedent. Since the invasion on August 2d, the Council has passed eight major resolutions setting the terms for a solution to the crisis.</w:t>
      </w:r>
    </w:p>
    <w:p w:rsidR="00A31137" w:rsidRPr="00A31137" w:rsidRDefault="00A31137" w:rsidP="00A31137">
      <w:r w:rsidRPr="00A31137">
        <w:t>Public Papers of Bush, 1990, p.1331</w:t>
      </w:r>
    </w:p>
    <w:p w:rsidR="00A31137" w:rsidRPr="00A31137" w:rsidRDefault="00A31137" w:rsidP="00A31137">
      <w:r w:rsidRPr="00A31137">
        <w:t>The Iraqi regime has yet to face the facts, but as I said last month, the annexation of Kuwait will not be permitted to stand. And this is not simply the view of the United States; it is the view of every Kuwaiti, the Arab League, the United Nations. Iraq's leaders should listen: It is Iraq against the world.</w:t>
      </w:r>
    </w:p>
    <w:p w:rsidR="00A31137" w:rsidRPr="00A31137" w:rsidRDefault="00A31137" w:rsidP="00A31137">
      <w:r w:rsidRPr="00A31137">
        <w:t>Public Papers of Bush, 1990, p.1331</w:t>
      </w:r>
    </w:p>
    <w:p w:rsidR="00A31137" w:rsidRPr="00A31137" w:rsidRDefault="00A31137" w:rsidP="00A31137">
      <w:r w:rsidRPr="00A31137">
        <w:t>Let me take this opportunity to make the policy of my government clear. The United States supports the use of sanctions to compel Iraq's leaders to withdraw immediately and without condition from Kuwait. We also support the provision of medicine and food for humanitarian purposes, so long as distribution can be properly monitored. Our quarrel is not with the people of Iraq. We do not wish for them to suffer. The world's quarrel is with the dictator who ordered that invasion.</w:t>
      </w:r>
    </w:p>
    <w:p w:rsidR="00A31137" w:rsidRPr="00A31137" w:rsidRDefault="00A31137" w:rsidP="00A31137">
      <w:r w:rsidRPr="00A31137">
        <w:t>Public Papers of Bush, 1990, p.1331</w:t>
      </w:r>
    </w:p>
    <w:p w:rsidR="00A31137" w:rsidRPr="00A31137" w:rsidRDefault="00A31137" w:rsidP="00A31137">
      <w:r w:rsidRPr="00A31137">
        <w:t>Along with others, we have dispatched military forces to the region to enforce sanctions, to deter and, if need be, defend against further aggression. And we seek no advantage for ourselves, nor do we seek to maintain our military forces in Saudi Arabia for 1 day longer than is necessary. U.S. forces were sent at the request of the Saudi Government, and the American people and this President want every single American soldier brought home as soon as this mission is completed.</w:t>
      </w:r>
    </w:p>
    <w:p w:rsidR="00A31137" w:rsidRPr="00A31137" w:rsidRDefault="00A31137" w:rsidP="00A31137">
      <w:r w:rsidRPr="00A31137">
        <w:t>Public Papers of Bush, 1990, p.1331</w:t>
      </w:r>
    </w:p>
    <w:p w:rsidR="00A31137" w:rsidRPr="00A31137" w:rsidRDefault="00A31137" w:rsidP="00A31137">
      <w:r w:rsidRPr="00A31137">
        <w:t>Let me also emphasize that all of us here at the U.N. hope that military force will never be used. We seek a peaceful outcome, a diplomatic outcome. And one more thing: In the aftermath of Iraq's unconditional departure from Kuwait, I truly believe there may be opportunities for Iraq and Kuwait to settle their differences permanently, for the states of the Gulf themselves to build new arrangements for stability, and for all the states and the peoples of the region to settle the conflicts that divide the Arabs from Israel.</w:t>
      </w:r>
    </w:p>
    <w:p w:rsidR="00A31137" w:rsidRPr="00A31137" w:rsidRDefault="00A31137" w:rsidP="00A31137">
      <w:r w:rsidRPr="00A31137">
        <w:t>Public Papers of Bush, 1990, p.1331–p.1332</w:t>
      </w:r>
    </w:p>
    <w:p w:rsidR="00A31137" w:rsidRPr="00A31137" w:rsidRDefault="00A31137" w:rsidP="00A31137">
      <w:r w:rsidRPr="00A31137">
        <w:t>But the world's key task—now, first and [p.1332] always—must be to demonstrate that aggression will not be tolerated or rewarded. Through the U.N. Security Council, Iraq has been fairly judged by a jury of its peers, the very nations of the Earth. Today the regime stands isolated and out of step with the times, separated from the civilized world not by space but by centuries.</w:t>
      </w:r>
    </w:p>
    <w:p w:rsidR="00A31137" w:rsidRPr="00A31137" w:rsidRDefault="00A31137" w:rsidP="00A31137">
      <w:r w:rsidRPr="00A31137">
        <w:t>Public Papers of Bush, 1990, p.1332</w:t>
      </w:r>
    </w:p>
    <w:p w:rsidR="00A31137" w:rsidRPr="00A31137" w:rsidRDefault="00A31137" w:rsidP="00A31137">
      <w:r w:rsidRPr="00A31137">
        <w:t>Iraq's unprovoked aggression is a throwback to another era, a dark relic from a dark time. It has plundered Kuwait. It has terrorized innocent civilians. It has held even diplomats hostage. Iraq and its leaders must be held liable for these crimes of abuse and destruction. But this outrageous disregard for basic human rights does not come as a total surprise. Thousands of Iraqis have been executed on political and religious grounds, and even more through a genocidal poison gas war waged against Iraq's own Kurdish villagers.</w:t>
      </w:r>
    </w:p>
    <w:p w:rsidR="00A31137" w:rsidRPr="00A31137" w:rsidRDefault="00A31137" w:rsidP="00A31137">
      <w:r w:rsidRPr="00A31137">
        <w:t>Public Papers of Bush, 1990, p.1332</w:t>
      </w:r>
    </w:p>
    <w:p w:rsidR="00A31137" w:rsidRPr="00A31137" w:rsidRDefault="00A31137" w:rsidP="00A31137">
      <w:r w:rsidRPr="00A31137">
        <w:t>As a world community, we must act not only to deter the use of inhumane weapons like mustard and nerve gas but to eliminate the weapons entirely. And that is why, 1 year ago, I came to the General Assembly with new proposals to banish these terrible weapons from the face of the Earth. I promised that the United States would destroy over 98 percent of its stockpile in the first 8 years of a chemical weapons ban treaty, and 100 percent—all of them—in 10 years, if all nations with chemical capabilities, chemical weapons, signed the treaty. We've stood by those promises. In June the United States and the Soviet Union signed a landmark agreement to halt production and to destroy the vast majority of our stockpiles. Today U.S. chemical weapons are being destroyed.</w:t>
      </w:r>
    </w:p>
    <w:p w:rsidR="00A31137" w:rsidRPr="00A31137" w:rsidRDefault="00A31137" w:rsidP="00A31137">
      <w:r w:rsidRPr="00A31137">
        <w:t>Public Papers of Bush, 1990, p.1332</w:t>
      </w:r>
    </w:p>
    <w:p w:rsidR="00A31137" w:rsidRPr="00A31137" w:rsidRDefault="00A31137" w:rsidP="00A31137">
      <w:r w:rsidRPr="00A31137">
        <w:t>But time is running out. This isn't merely a bilateral concern. The Gulf crisis proves how important it is to act together, and to act now, to conclude an absolute, worldwide ban on these weapons. We must also redouble our efforts to stem the spread of nuclear weapons, biological weapons, and the ballistic missiles that can rain destruction upon distant peoples.</w:t>
      </w:r>
    </w:p>
    <w:p w:rsidR="00A31137" w:rsidRPr="00A31137" w:rsidRDefault="00A31137" w:rsidP="00A31137">
      <w:r w:rsidRPr="00A31137">
        <w:t>Public Papers of Bush, 1990, p.1332</w:t>
      </w:r>
    </w:p>
    <w:p w:rsidR="00A31137" w:rsidRPr="00A31137" w:rsidRDefault="00A31137" w:rsidP="00A31137">
      <w:r w:rsidRPr="00A31137">
        <w:t>The United Nations can help bring about a new day, a day when these kinds of terrible weapons and the terrible despots who would use them are both a thing of the past. It is in our hands to leave these dark machines behind, in the Dark Ages where they belong, and to press forward to cap a historic movement towards a new world order and a long era of peace.</w:t>
      </w:r>
    </w:p>
    <w:p w:rsidR="00A31137" w:rsidRPr="00A31137" w:rsidRDefault="00A31137" w:rsidP="00A31137">
      <w:r w:rsidRPr="00A31137">
        <w:t>Public Papers of Bush, 1990, p.1332</w:t>
      </w:r>
    </w:p>
    <w:p w:rsidR="00A31137" w:rsidRPr="00A31137" w:rsidRDefault="00A31137" w:rsidP="00A31137">
      <w:r w:rsidRPr="00A31137">
        <w:t>We have a vision of a new partnership of nations that transcends the Cold War: a partnership based on consultation, cooperation, and collective action, especially through international and regional organizations; a partnership united by principle and the rule of law and supported by an equitable sharing of both cost and commitment; a partnership whose goals are to increase democracy, increase prosperity, increase the peace, and reduce arms.</w:t>
      </w:r>
    </w:p>
    <w:p w:rsidR="00A31137" w:rsidRPr="00A31137" w:rsidRDefault="00A31137" w:rsidP="00A31137">
      <w:r w:rsidRPr="00A31137">
        <w:t>Public Papers of Bush, 1990, p.1332</w:t>
      </w:r>
    </w:p>
    <w:p w:rsidR="00A31137" w:rsidRPr="00A31137" w:rsidRDefault="00A31137" w:rsidP="00A31137">
      <w:r w:rsidRPr="00A31137">
        <w:t>And as we look to the future, the calendar offers up a convenient milestone, a signpost, by which to measure our progress as a community of nations. The year 9000 marks a turning point, beginning not only the turn of the decade, not only the turn of the century, but also the turn of the millennium. And 10 years from now, as the 55th session of the General Assembly begins, you will again find many of us in this hall, hair a bit more gray perhaps, maybe a little less spring in our walk; but you will not find us with any less hope or idealism or any less confidence in the ultimate triumph of mankind.</w:t>
      </w:r>
    </w:p>
    <w:p w:rsidR="00A31137" w:rsidRPr="00A31137" w:rsidRDefault="00A31137" w:rsidP="00A31137">
      <w:r w:rsidRPr="00A31137">
        <w:t>Public Papers of Bush, 1990, p.1332</w:t>
      </w:r>
    </w:p>
    <w:p w:rsidR="00A31137" w:rsidRPr="00A31137" w:rsidRDefault="00A31137" w:rsidP="00A31137">
      <w:r w:rsidRPr="00A31137">
        <w:t>I see a world of open borders, open trade and, most importantly, open minds; a world that celebrates the common heritage that belongs to all the world's people, taking pride not just in hometown or homeland but in humanity itself. I see a world touched by a spirit like that of the Olympics, based not on competition that's driven by fear but sought out of joy and exhilaration and a true quest for excellence. And I see a world where democracy continues to win new friends and convert old foes and where the Americas—North, Central, and South—can provide a model for the future of all humankind: the world's first completely democratic hemisphere. And I see a world building on the emerging new model of European unity, not just Europe but the whole world whole and free.</w:t>
      </w:r>
    </w:p>
    <w:p w:rsidR="00A31137" w:rsidRPr="00A31137" w:rsidRDefault="00A31137" w:rsidP="00A31137">
      <w:r w:rsidRPr="00A31137">
        <w:t>Public Papers of Bush, 1990, p.1332–p.1333</w:t>
      </w:r>
    </w:p>
    <w:p w:rsidR="00A31137" w:rsidRPr="00A31137" w:rsidRDefault="00A31137" w:rsidP="00A31137">
      <w:r w:rsidRPr="00A31137">
        <w:t>This is precisely why the present aggression in the Gulf is a menace not only to one region's security but to the entire world's vision of our future. It threatens to turn the [p.1333] dream of a new international order into a grim nightmare of anarchy in which the law of the jungle supplants the law of nations. And that's why the United Nations reacted with such historic unity and resolve. And that's why this challenge is a test that we cannot afford to fail. I am confident we will prevail. Success, too, will have lasting consequences: reinforcing civilized standards of international conduct, setting a new precedent in international cooperation, brightening the prospects for our vision of the future.</w:t>
      </w:r>
    </w:p>
    <w:p w:rsidR="00A31137" w:rsidRPr="00A31137" w:rsidRDefault="00A31137" w:rsidP="00A31137">
      <w:r w:rsidRPr="00A31137">
        <w:t>Public Papers of Bush, 1990, p.1333</w:t>
      </w:r>
    </w:p>
    <w:p w:rsidR="00A31137" w:rsidRPr="00A31137" w:rsidRDefault="00A31137" w:rsidP="00A31137">
      <w:r w:rsidRPr="00A31137">
        <w:t>There are 10 more years until this century is out, 10 more years to put the struggles of the 20th century permanently behind us, 10 more years to help launch a new partnership of nations. And throughout those 10 years, and beginning now, the United Nations has a new and vital role in building towards that partnership. Last year's General Assembly showed how we can make greater progress toward a more pragmatic and successful United Nations. And for the first time, the U.N. Security Council is beginning to work as it was designed to work. And now is the time to set aside old and counterproductive debates and procedures and controversies and resolutions. It's time to replace polemic attacks with pragmatic action.</w:t>
      </w:r>
    </w:p>
    <w:p w:rsidR="00A31137" w:rsidRPr="00A31137" w:rsidRDefault="00A31137" w:rsidP="00A31137">
      <w:r w:rsidRPr="00A31137">
        <w:t>Public Papers of Bush, 1990, p.1333</w:t>
      </w:r>
    </w:p>
    <w:p w:rsidR="00A31137" w:rsidRPr="00A31137" w:rsidRDefault="00A31137" w:rsidP="00A31137">
      <w:r w:rsidRPr="00A31137">
        <w:t>And we've shown that the U.N. can count on the collective strength of the international community. We've shown that the U.N. can rise to the challenge of aggression just as its founders hoped that it would. And now is the time of testing. And we must also show that the United Nations is the place to build international support and consensus for meeting the other challenges we face.</w:t>
      </w:r>
    </w:p>
    <w:p w:rsidR="00A31137" w:rsidRPr="00A31137" w:rsidRDefault="00A31137" w:rsidP="00A31137">
      <w:r w:rsidRPr="00A31137">
        <w:t>Public Papers of Bush, 1990, p.1333</w:t>
      </w:r>
    </w:p>
    <w:p w:rsidR="00A31137" w:rsidRPr="00A31137" w:rsidRDefault="00A31137" w:rsidP="00A31137">
      <w:r w:rsidRPr="00A31137">
        <w:t>The world remains a dangerous place; and our security and well-being often depends, in part, on events occurring far away. We need serious international cooperative efforts to make headway on the threats to the environment, on terrorism, on managing the debt burden, on fighting the scourge of international drug trafficking, and on refugees, and peacekeeping efforts around the world.</w:t>
      </w:r>
    </w:p>
    <w:p w:rsidR="00A31137" w:rsidRPr="00A31137" w:rsidRDefault="00A31137" w:rsidP="00A31137">
      <w:r w:rsidRPr="00A31137">
        <w:t>Public Papers of Bush, 1990, p.1333</w:t>
      </w:r>
    </w:p>
    <w:p w:rsidR="00A31137" w:rsidRPr="00A31137" w:rsidRDefault="00A31137" w:rsidP="00A31137">
      <w:r w:rsidRPr="00A31137">
        <w:t>But the world also remains a hopeful place. Calls for democracy and human rights   are being reborn everywhere, and these calls are an expression of support for the values enshrined in the United Nations Charter. They encourage our hopes for a more stable, more peaceful, more prosperous world.</w:t>
      </w:r>
    </w:p>
    <w:p w:rsidR="00A31137" w:rsidRPr="00A31137" w:rsidRDefault="00A31137" w:rsidP="00A31137">
      <w:r w:rsidRPr="00A31137">
        <w:t>Public Papers of Bush, 1990, p.1333</w:t>
      </w:r>
    </w:p>
    <w:p w:rsidR="00A31137" w:rsidRPr="00A31137" w:rsidRDefault="00A31137" w:rsidP="00A31137">
      <w:r w:rsidRPr="00A31137">
        <w:t>Free elections are the foundation of democratic government and can produce dramatic successes, as we have seen in Namibia and Nicaragua. And the time has come to structure the U.N. role in such efforts more formally. And so, today I propose that the U.N. establish a Special Coordinator for Electoral Assistance, to be assisted by a U.N. Electoral Commission comprised of distinguished experts from around the world.</w:t>
      </w:r>
    </w:p>
    <w:p w:rsidR="00A31137" w:rsidRPr="00A31137" w:rsidRDefault="00A31137" w:rsidP="00A31137">
      <w:r w:rsidRPr="00A31137">
        <w:t>Public Papers of Bush, 1990, p.1333</w:t>
      </w:r>
    </w:p>
    <w:p w:rsidR="00A31137" w:rsidRPr="00A31137" w:rsidRDefault="00A31137" w:rsidP="00A31137">
      <w:r w:rsidRPr="00A31137">
        <w:t>As with free elections, we also believe that universal U.N. membership for all states is central to the future of this organization and to this new partnership we've discussed. In support of this principle and in conjunction with U.N. efforts to reduce regional tensions, the United States fully supports U.N. membership for the Republic of Korea. We do so without prejudice to the ultimate objective of reunification of the Korean Peninsula and without opposition to simultaneous membership for the Democratic People's Republic of Korea.</w:t>
      </w:r>
    </w:p>
    <w:p w:rsidR="00A31137" w:rsidRPr="00A31137" w:rsidRDefault="00A31137" w:rsidP="00A31137">
      <w:r w:rsidRPr="00A31137">
        <w:t>Public Papers of Bush, 1990, p.1333</w:t>
      </w:r>
    </w:p>
    <w:p w:rsidR="00A31137" w:rsidRPr="00A31137" w:rsidRDefault="00A31137" w:rsidP="00A31137">
      <w:r w:rsidRPr="00A31137">
        <w:t>Building on these and other initiatives, we must join together in a new compact-all of us—to bring the United Nations into the 21st century, and I call today for a major long-term effort to do so. We should build on the success—the admirable success-of our distinguished Secretary-General, my longtime friend and yours, my longtime colleague I might also say, Javier Perez de Cuellar. We should strive for greater effectiveness and efficiency of the United Nations.</w:t>
      </w:r>
    </w:p>
    <w:p w:rsidR="00A31137" w:rsidRPr="00A31137" w:rsidRDefault="00A31137" w:rsidP="00A31137">
      <w:r w:rsidRPr="00A31137">
        <w:t>Public Papers of Bush, 1990, p.1333</w:t>
      </w:r>
    </w:p>
    <w:p w:rsidR="00A31137" w:rsidRPr="00A31137" w:rsidRDefault="00A31137" w:rsidP="00A31137">
      <w:r w:rsidRPr="00A31137">
        <w:t>The United States is committed to playing its part, helping to maintain global security, promoting democracy and prosperity. And my administration is fully committed to supporting the United Nations and to paying what we are obliged to pay by our commitment to the Charter. International peace and security, and international freedom and prosperity, require no less.</w:t>
      </w:r>
    </w:p>
    <w:p w:rsidR="00A31137" w:rsidRPr="00A31137" w:rsidRDefault="00A31137" w:rsidP="00A31137">
      <w:r w:rsidRPr="00A31137">
        <w:t>Public Papers of Bush, 1990, p.1333–p.1334</w:t>
      </w:r>
    </w:p>
    <w:p w:rsidR="00A31137" w:rsidRPr="00A31137" w:rsidRDefault="00A31137" w:rsidP="00A31137">
      <w:r w:rsidRPr="00A31137">
        <w:t>The world must know and understand: From this hour, from this day, from this hall, we step forth with a new sense of purpose [p.1334] , a new sense of possibilities. We stand together, prepared to swim upstream, to march uphill, to tackle the tough challenges as they come not only as the United Nations but as the nations of the world united.</w:t>
      </w:r>
    </w:p>
    <w:p w:rsidR="00A31137" w:rsidRPr="00A31137" w:rsidRDefault="00A31137" w:rsidP="00A31137">
      <w:r w:rsidRPr="00A31137">
        <w:t>Public Papers of Bush, 1990, p.1334</w:t>
      </w:r>
    </w:p>
    <w:p w:rsidR="00A31137" w:rsidRPr="00A31137" w:rsidRDefault="00A31137" w:rsidP="00A31137">
      <w:r w:rsidRPr="00A31137">
        <w:t>And so, let it be said of the final decade of the 20th century: This was a time when humankind came into its own, when we emerged from the grit and the smoke of the industrial age to bring about a revolution of the spirit and the mind and began a journey into a new day, a new age, and a new partnership of nations.</w:t>
      </w:r>
    </w:p>
    <w:p w:rsidR="00A31137" w:rsidRPr="00A31137" w:rsidRDefault="00A31137" w:rsidP="00A31137">
      <w:r w:rsidRPr="00A31137">
        <w:t>Public Papers of Bush, 1990, p.1334</w:t>
      </w:r>
    </w:p>
    <w:p w:rsidR="00A31137" w:rsidRPr="00A31137" w:rsidRDefault="00A31137" w:rsidP="00A31137">
      <w:r w:rsidRPr="00A31137">
        <w:t>The U.N. is now fulfilling its promise as the world's parliament of peace. And I congratulate you. I support you. And I wish you Godspeed in the challenges ahead.</w:t>
      </w:r>
    </w:p>
    <w:p w:rsidR="00A31137" w:rsidRPr="00A31137" w:rsidRDefault="00A31137" w:rsidP="00A31137">
      <w:r w:rsidRPr="00A31137">
        <w:t>Public Papers of Bush, 1990, p.1334</w:t>
      </w:r>
    </w:p>
    <w:p w:rsidR="00A31137" w:rsidRPr="00A31137" w:rsidRDefault="00A31137" w:rsidP="00A31137">
      <w:r w:rsidRPr="00A31137">
        <w:t>Thank you very, very much.</w:t>
      </w:r>
    </w:p>
    <w:p w:rsidR="00A31137" w:rsidRPr="00A31137" w:rsidRDefault="00A31137" w:rsidP="00A31137">
      <w:r w:rsidRPr="00A31137">
        <w:t>Public Papers of Bush, 1990, p.1334</w:t>
      </w:r>
    </w:p>
    <w:p w:rsidR="00A31137" w:rsidRPr="00A31137" w:rsidRDefault="00A31137" w:rsidP="00A31137">
      <w:r w:rsidRPr="00A31137">
        <w:t>NOTE: The President spoke at 11:44 a.m. in the General Assembly Hall at the United Nations.</w:t>
      </w:r>
    </w:p>
    <w:p w:rsidR="00A31137" w:rsidRPr="00A31137" w:rsidRDefault="00A31137" w:rsidP="00A31137">
      <w:r w:rsidRPr="00A31137">
        <w:t>Spallone v. U.S., 1990</w:t>
      </w:r>
    </w:p>
    <w:p w:rsidR="00A31137" w:rsidRPr="00A31137" w:rsidRDefault="00A31137" w:rsidP="00A31137">
      <w:r w:rsidRPr="00A31137">
        <w:t>Title:</w:t>
      </w:r>
      <w:r w:rsidRPr="00A31137">
        <w:tab/>
        <w:t>Spallone v. United States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January 10, 1990</w:t>
      </w:r>
    </w:p>
    <w:p w:rsidR="00A31137" w:rsidRPr="00A31137" w:rsidRDefault="00A31137" w:rsidP="00A31137">
      <w:r w:rsidRPr="00A31137">
        <w:t>Source:</w:t>
      </w:r>
      <w:r w:rsidRPr="00A31137">
        <w:tab/>
        <w:t>493 U.S. 265</w:t>
      </w:r>
    </w:p>
    <w:p w:rsidR="00A31137" w:rsidRPr="00A31137" w:rsidRDefault="00A31137" w:rsidP="00A31137">
      <w:r w:rsidRPr="00A31137">
        <w:t>This case was argued October 2, 1989, and was decided January 10, 1990.</w:t>
      </w:r>
    </w:p>
    <w:p w:rsidR="00A31137" w:rsidRPr="00A31137" w:rsidRDefault="00A31137" w:rsidP="00A31137">
      <w:r w:rsidRPr="00A31137">
        <w:t>CERTIORARI TO THE UNITED STATES COURT OF APPEALS FOR</w:t>
      </w:r>
    </w:p>
    <w:p w:rsidR="00A31137" w:rsidRPr="00A31137" w:rsidRDefault="00A31137" w:rsidP="00A31137">
      <w:r w:rsidRPr="00A31137">
        <w:t>THE SECOND CIRCUIT</w:t>
      </w:r>
    </w:p>
    <w:p w:rsidR="00A31137" w:rsidRPr="00A31137" w:rsidRDefault="00A31137" w:rsidP="00A31137">
      <w:r w:rsidRPr="00A31137">
        <w:t>Syllabus</w:t>
      </w:r>
    </w:p>
    <w:p w:rsidR="00A31137" w:rsidRPr="00A31137" w:rsidRDefault="00A31137" w:rsidP="00A31137">
      <w:r w:rsidRPr="00A31137">
        <w:t>1990, Spallone v. U.S., 493 U.S. 265</w:t>
      </w:r>
    </w:p>
    <w:p w:rsidR="00A31137" w:rsidRPr="00A31137" w:rsidRDefault="00A31137" w:rsidP="00A31137">
      <w:r w:rsidRPr="00A31137">
        <w:t xml:space="preserve">In 1985, in a suit brought by the United States, the city of Yonkers and its community development agency were held liable for intentionally enhancing segregation in housing in violation of Title VIII of the Civil Rights Act of 1968 and the Equal Protection Clause of the Fourteenth Amendment. In early 1986, the District Court entered its remedial order, which enjoined the two named defendants and their officers, agents, and others acting in concert with them from discriminating and required the city to take extensive affirmative steps to disperse public housing throughout Yonkers. Pending appeal of the liability and remedial orders, the city failed and refused to take various of the required steps. Shortly after the Court of Appeals affirmed the District Court's judgment in all respects, the parties agreed to a consent decree setting forth certain actions which the city would take to implement the remedial order, including the adoption, within 90 days, of a legislative package known as the Affordable Housing Ordinance. The decree was approved in a to-2 vote by the city council—which is vested with all of the city's legislative powers—and entered by the District Court as a consent judgment in January, 1988. When the city again delayed action, the District Court entered an order on July 26, 1988, requiring the city to enact the ordinance and providing that failure to do so would result in contempt citations, escalating daily fines for the city, and daily fines and imprisonment for recalcitrant individual councilmembers. After a resolution of intent to adopt the ordinance was defeated by a 4-to-3 council vote, petitioner individual councilmembers constituting the majority, the District Court held the city and petitioners in contempt and imposed the sanctions set forth in the July 26 order. The Court of Appeals affirmed, rejecting, inter alia, petitioners' argument that the District Court had abused its discretion in sanctioning them. After this Court stayed the imposition of sanctions against the individual petitioners, but denied the city's request for a stay, the city council enacted the ordinance on September 9, 1988, in the face of daily fines approaching $1 million. [493 U.S. 266] </w:t>
      </w:r>
    </w:p>
    <w:p w:rsidR="00A31137" w:rsidRPr="00A31137" w:rsidRDefault="00A31137" w:rsidP="00A31137">
      <w:r w:rsidRPr="00A31137">
        <w:t>1990, Spallone v. U.S., 493 U.S. 266</w:t>
      </w:r>
    </w:p>
    <w:p w:rsidR="00A31137" w:rsidRPr="00A31137" w:rsidRDefault="00A31137" w:rsidP="00A31137">
      <w:r w:rsidRPr="00A31137">
        <w:t>Held: In the circumstances of this case, the portion of the District Court's July 26 order imposing contempt sanctions against petitioner individual councilmembers if they failed to vote in favor of the ordinance was an abuse of discretion under traditional equitable principles. Petitioners were never parties to the action, nor were they found to be individually liable for any of the violations upon which the remedial order was based. Although the injunctive portion of that order was directed not only to the city but also to its officers and others acting in concert to discriminate, the remaining parts of the order requiring affirmative steps were directed only to the city. It was the city, in fact, which capitulated in the present phase of the case, and there was a reasonable probability that sanctions against the city alone would have achieved the desired result. The city's arguments against imposing sanctions on it pointed out the sort of pressure such sanctions would place on the city, and only eight months earlier, the District Court had secured compliance with an important remedial order through the threat of bankrupting fines against the city alone. While this Court's Speech and Debate Clause and federal common law of legislative immunity cases do not control the question whether local legislators such as petitioners should be immune from contempt sanctions, some of the considerations underlying the immunity doctrine must inform the District Court's exercise of discretion, particularly the theme that any restriction on a legislator's freedom undermines the "public good" by interfering with the rights of the people to representation in the democratic process. There are significant differences between fining the city and imposing sanctions on individual legislators, since the latter course causes legislators to vote, not with a view to the wishes of their constituents or to the fiscal solvency of the city, but with a view solely to their own personal monetary interest, and thereby effects a much greater perversion of the normal legislative process. Thus, in view of the fact that holding elected officials in contempt for the manner in which they vote is "extraordinary," as the District Court recognized, that court should have proceeded with sanctions first against the city alone in order to secure compliance with the remedial order. Only if that approach failed to produce compliance within a reasonable time should the question of imposing contempt sanctions against petitioners even have been considered. This limitation accords with the doctrine that, in selecting contempt sanctions, a court must exercise the least possible power adequate to the end proposed. Pp.  273-280.</w:t>
      </w:r>
    </w:p>
    <w:p w:rsidR="00A31137" w:rsidRPr="00A31137" w:rsidRDefault="00A31137" w:rsidP="00A31137">
      <w:r w:rsidRPr="00A31137">
        <w:t>1990, Spallone v. U.S., 493 U.S. 266</w:t>
      </w:r>
    </w:p>
    <w:p w:rsidR="00A31137" w:rsidRPr="00A31137" w:rsidRDefault="00A31137" w:rsidP="00A31137">
      <w:r w:rsidRPr="00A31137">
        <w:t>856 F.2d 444 (CA 2 1988), reversed.</w:t>
      </w:r>
    </w:p>
    <w:p w:rsidR="00A31137" w:rsidRPr="00A31137" w:rsidRDefault="00A31137" w:rsidP="00A31137">
      <w:r w:rsidRPr="00A31137">
        <w:t>1990, Spallone v. U.S., 493 U.S. 266</w:t>
      </w:r>
    </w:p>
    <w:p w:rsidR="00A31137" w:rsidRPr="00A31137" w:rsidRDefault="00A31137" w:rsidP="00A31137">
      <w:r w:rsidRPr="00A31137">
        <w:t xml:space="preserve">REHNQUIST, C.J., delivered the opinion of the Court, in which WHITE, O'CONNOR, SCALIA, and KENNEDY, JJ., joined. BRENNAN, J., filed a dissenting opinion, in which MARSHALL, BLACKMUN, and STEVENS, JJ., joined, post, p.  281. [493 U.S. 267] </w:t>
      </w:r>
    </w:p>
    <w:p w:rsidR="00A31137" w:rsidRPr="00A31137" w:rsidRDefault="00A31137" w:rsidP="00A31137">
      <w:r w:rsidRPr="00A31137">
        <w:t>REHNQUIST, J., lead opinion</w:t>
      </w:r>
    </w:p>
    <w:p w:rsidR="00A31137" w:rsidRPr="00A31137" w:rsidRDefault="00A31137" w:rsidP="00A31137">
      <w:r w:rsidRPr="00A31137">
        <w:t>1990, Spallone v. U.S., 493 U.S. 267</w:t>
      </w:r>
    </w:p>
    <w:p w:rsidR="00A31137" w:rsidRPr="00A31137" w:rsidRDefault="00A31137" w:rsidP="00A31137">
      <w:r w:rsidRPr="00A31137">
        <w:t>Chief Justice REHNQUIST delivered the opinion of the Court.</w:t>
      </w:r>
    </w:p>
    <w:p w:rsidR="00A31137" w:rsidRPr="00A31137" w:rsidRDefault="00A31137" w:rsidP="00A31137">
      <w:r w:rsidRPr="00A31137">
        <w:t>1990, Spallone v. U.S., 493 U.S. 267</w:t>
      </w:r>
    </w:p>
    <w:p w:rsidR="00A31137" w:rsidRPr="00A31137" w:rsidRDefault="00A31137" w:rsidP="00A31137">
      <w:r w:rsidRPr="00A31137">
        <w:t xml:space="preserve">This case is the most recent episode of a lengthy lawsuit in which the city of Yonkers was held liable for intentionally enhancing racial segregation in housing in Yonkers. The issue here is whether it was a proper exercise of judicial power for the District Court to hold petitioners, four Yonkers city councilmembers, in contempt for refusing to vote in favor of legislation implementing a consent decree earlier approved by the city. We hold that, in the circumstances of this case, the District Court abused its discretion. [493 U.S. 268] </w:t>
      </w:r>
    </w:p>
    <w:p w:rsidR="00A31137" w:rsidRPr="00A31137" w:rsidRDefault="00A31137" w:rsidP="00A31137">
      <w:r w:rsidRPr="00A31137">
        <w:t>I</w:t>
      </w:r>
    </w:p>
    <w:p w:rsidR="00A31137" w:rsidRPr="00A31137" w:rsidRDefault="00A31137" w:rsidP="00A31137">
      <w:r w:rsidRPr="00A31137">
        <w:t>1990, Spallone v. U.S., 493 U.S. 268</w:t>
      </w:r>
    </w:p>
    <w:p w:rsidR="00A31137" w:rsidRPr="00A31137" w:rsidRDefault="00A31137" w:rsidP="00A31137">
      <w:r w:rsidRPr="00A31137">
        <w:t>In 1980, the United States filed a complaint alleging, inter alia, that the two named defendants—the city of Yonkers and the Yonkers Community Development Agency—had intentionally engaged in a pattern and practice of housing discrimination, in violation of Title VIII of the Civil Rights Act of 1968, 82 Stat. 81, as amended, 42 U.S.C. § 3601 et seq. (1982 ed.), and the Equal Protection Clause of the Fourteenth Amendment. The Government and plaintiff-intervenor National Association for the Advancement of Colored People (NAACP) asserted that the city had, over a period of three decades, selected sites for subsidized housing in order to perpetuate residential racial segregation. The plaintiffs' theory was that the city had equated subsidized housing for families with minority housing, and thus disproportionately restricted new family housing projects to areas of the city—particularly southwest Yonkers—already predominately populated by minorities.</w:t>
      </w:r>
    </w:p>
    <w:p w:rsidR="00A31137" w:rsidRPr="00A31137" w:rsidRDefault="00A31137" w:rsidP="00A31137">
      <w:r w:rsidRPr="00A31137">
        <w:t>1990, Spallone v. U.S., 493 U.S. 268</w:t>
      </w:r>
    </w:p>
    <w:p w:rsidR="00A31137" w:rsidRPr="00A31137" w:rsidRDefault="00A31137" w:rsidP="00A31137">
      <w:r w:rsidRPr="00A31137">
        <w:t>The District Court found the two named defendants liable, concluding that the segregative effect of the city's actions had been "consistent and extreme," and that</w:t>
      </w:r>
    </w:p>
    <w:p w:rsidR="00A31137" w:rsidRPr="00A31137" w:rsidRDefault="00A31137" w:rsidP="00A31137">
      <w:r w:rsidRPr="00A31137">
        <w:t>1990, Spallone v. U.S., 493 U.S. 268</w:t>
      </w:r>
    </w:p>
    <w:p w:rsidR="00A31137" w:rsidRPr="00A31137" w:rsidRDefault="00A31137" w:rsidP="00A31137">
      <w:r w:rsidRPr="00A31137">
        <w:t>the desire to preserve existing patterns of segregation ha[d] been a significant factor in the sustained community opposition to subsidized housing in East Yonkers and other overwhelmingly white areas of the City.</w:t>
      </w:r>
    </w:p>
    <w:p w:rsidR="00A31137" w:rsidRPr="00A31137" w:rsidRDefault="00A31137" w:rsidP="00A31137">
      <w:r w:rsidRPr="00A31137">
        <w:t>1990, Spallone v. U.S., 493 U.S. 268</w:t>
      </w:r>
    </w:p>
    <w:p w:rsidR="00A31137" w:rsidRPr="00A31137" w:rsidRDefault="00A31137" w:rsidP="00A31137">
      <w:r w:rsidRPr="00A31137">
        <w:t>United States v. Yonkers Bd. of Ed., 624 F.Supp. 1276, 1369-1371 (SDNY 1985). The District Court in its remedial decree enjoined "the City of Yonkers, its officers, agents, employees, successors and all persons in active concert or participation with any of them" from, inter alia, intentionally promoting racial residential segregation in Yonkers, taking any action intended to deny or make unavailable housing to any person on account of race or national origin, and from blocking or limiting the availability of public or subsidized housing in east or northwest Yonkers on the basis of race or national origin. United States v. Yonkers Bd. of [493 U.S. 269] Ed., 635 F.Supp. 1577 (SDNY 1986). Other parts of the remedial order were directed only to the city. They required affirmative steps to disperse public housing throughout Yonkers. Part IV of the order noted that the city previously had committed itself to provide acceptable sites for 200 units of public housing as a condition for receiving 1983 Community Development Block Grant funds from the Federal Government, but had failed to do so. Consequently, it required the city to designate sites for 200 units of public housing in East Yonkers, and to submit to the Department of Housing and Urban Development an acceptable Housing Assistance Plan for 1984-1985 and other documentation. Id. at 1580-1581. Part VI directed the city to develop by November, 1986, a long-term plan "for the creation of additional subsidized family housing units…in existing residential areas in east or northwest Yonkers." Id. at 1582. The court did not mandate specific details of the plan such as how many subsidized units must be developed, where they should be constructed, or how the city should provide for the units.</w:t>
      </w:r>
    </w:p>
    <w:p w:rsidR="00A31137" w:rsidRPr="00A31137" w:rsidRDefault="00A31137" w:rsidP="00A31137">
      <w:r w:rsidRPr="00A31137">
        <w:t>1990, Spallone v. U.S., 493 U.S. 269</w:t>
      </w:r>
    </w:p>
    <w:p w:rsidR="00A31137" w:rsidRPr="00A31137" w:rsidRDefault="00A31137" w:rsidP="00A31137">
      <w:r w:rsidRPr="00A31137">
        <w:t xml:space="preserve">Under the Charter of the city of Yonkers, all legislative powers are vested in the city council, which consists of an elected mayor and six councilmembers, including petitioners. The city, for all practical purposes, therefore, acts through the city council when it comes to the enactment of legislation. Pending appeal of the District Court's liability and remedial orders, however, the city did not comply with Parts IV and VI of the remedial order. The city failed to propose sites for the public housing, and in November, 1986, informed the District Court that it would not present a long-term plan in compliance with Part VI. The United States and the NAACP then moved for an adjudication of civil contempt and the imposition of coercive sanctions, but the District Court declined to take that action. Instead, it secured an agreement from the city to appoint an outside housing advisor to identify sites for the 200 units of public housing and to draft a long-term plan. [493 U.S. 270] </w:t>
      </w:r>
    </w:p>
    <w:p w:rsidR="00A31137" w:rsidRPr="00A31137" w:rsidRDefault="00A31137" w:rsidP="00A31137">
      <w:r w:rsidRPr="00A31137">
        <w:t>1990, Spallone v. U.S., 493 U.S. 270</w:t>
      </w:r>
    </w:p>
    <w:p w:rsidR="00A31137" w:rsidRPr="00A31137" w:rsidRDefault="00A31137" w:rsidP="00A31137">
      <w:r w:rsidRPr="00A31137">
        <w:t xml:space="preserve">In December, 1987, the Court of Appeals for the Second Circuit affirmed the District Court's judgment in all respects, United States v. Yonkers Bd. of Ed., 837 F.2d 1181, and we subsequently denied certiorari. 486 U.S. 1055 (1988). Shortly after the Court of Appeals' decision, in January, 1988, the parties agreed to a consent decree that set forth "certain actions which the City of Yonkers [would] take in connection with a consensual implementation of Parts IV and VI" of the housing remedy order. App. 216. The decree was approved by the city council in a 5-to-2 vote (petitioners Spallone and Chema voting no), and entered by the District Court as a consent judgment on January 28, 1988. Sections 12 through 18 of the decree established the framework for the long-term plan, and are the underlying bases for the contempt orders at issue in this case. 1 Perhaps most significant was § 17, in which the city agreed to adopt, within 90 days, legislation conditioning the construction of all multifamily housing on the inclusion of at least 20 percent assisted units, granting tax abatements and density bonuses to developers, and providing for zoning changes to allow the placement of housing developments. 2 [493 U.S. 271] </w:t>
      </w:r>
    </w:p>
    <w:p w:rsidR="00A31137" w:rsidRPr="00A31137" w:rsidRDefault="00A31137" w:rsidP="00A31137">
      <w:r w:rsidRPr="00A31137">
        <w:t>1990, Spallone v. U.S., 493 U.S. 271</w:t>
      </w:r>
    </w:p>
    <w:p w:rsidR="00A31137" w:rsidRPr="00A31137" w:rsidRDefault="00A31137" w:rsidP="00A31137">
      <w:r w:rsidRPr="00A31137">
        <w:t>For several more months, however, the city continued to delay action toward implementing the long-term plan. The city was loath to enact the plan because it wished to exhaust its remedies on appeal, but it had not obtained any stay of the District Court's order. As a result of the city's intransigence, the United States and the NAACP moved the court for the entry of a Long Term Plan Order based on a draft that had been prepared by the city's lawyers during negotiations between January and April, 1988. On June 13, following a hearing and changes in the draft, the District Court entered the Long Term Plan Order, which provided greater detail for the legislation prescribed by § 17 of the decree. After several weeks of further delay, the court, after a hearing held on July 26, 1988, entered an order requiring the city of Yonkers to enact on or before August 1, 1988, the "legislative package" described in a section of the earlier consent decree; the second paragraph provided:</w:t>
      </w:r>
    </w:p>
    <w:p w:rsidR="00A31137" w:rsidRPr="00A31137" w:rsidRDefault="00A31137" w:rsidP="00A31137">
      <w:r w:rsidRPr="00A31137">
        <w:t>1990, Spallone v. U.S., 493 U.S. 271</w:t>
      </w:r>
    </w:p>
    <w:p w:rsidR="00A31137" w:rsidRPr="00A31137" w:rsidRDefault="00A31137" w:rsidP="00A31137">
      <w:r w:rsidRPr="00A31137">
        <w:t>It is further ORDERED that, in the event the City of Yonkers fails to enact the legislative package on or before August 1, 1988, the City of Yonkers shall be required to show cause at a hearing before this Court at 10:00 a.m. on August 2, 1988, why it should not be held in contempt, and each individual City Council member shall be required to show cause at a hearing before this court at 10:00 a.m. on August 2, 1988, why he should not be held in contempt.</w:t>
      </w:r>
    </w:p>
    <w:p w:rsidR="00A31137" w:rsidRPr="00A31137" w:rsidRDefault="00A31137" w:rsidP="00A31137">
      <w:r w:rsidRPr="00A31137">
        <w:t>1990, Spallone v. U.S., 493 U.S. 271</w:t>
      </w:r>
    </w:p>
    <w:p w:rsidR="00A31137" w:rsidRPr="00A31137" w:rsidRDefault="00A31137" w:rsidP="00A31137">
      <w:r w:rsidRPr="00A31137">
        <w:t>App. 398.</w:t>
      </w:r>
    </w:p>
    <w:p w:rsidR="00A31137" w:rsidRPr="00A31137" w:rsidRDefault="00A31137" w:rsidP="00A31137">
      <w:r w:rsidRPr="00A31137">
        <w:t>1990, Spallone v. U.S., 493 U.S. 271</w:t>
      </w:r>
    </w:p>
    <w:p w:rsidR="00A31137" w:rsidRPr="00A31137" w:rsidRDefault="00A31137" w:rsidP="00A31137">
      <w:r w:rsidRPr="00A31137">
        <w:t>Further provisions of the order specified escalating daily amounts of fines in the event of contempt, and provided that, if the legislation were not enacted before August 10, 1988, any councilmember who remained in contempt should be committed to the custody of the United States Marshal for [493 U.S. 272] imprisonment. The specified daily fines for the city were $100 for the first day, to be doubled for each consecutive day of noncompliance; the specified daily fine for members of the city council was $500 per day.</w:t>
      </w:r>
    </w:p>
    <w:p w:rsidR="00A31137" w:rsidRPr="00A31137" w:rsidRDefault="00A31137" w:rsidP="00A31137">
      <w:r w:rsidRPr="00A31137">
        <w:t>1990, Spallone v. U.S., 493 U.S. 272</w:t>
      </w:r>
    </w:p>
    <w:p w:rsidR="00A31137" w:rsidRPr="00A31137" w:rsidRDefault="00A31137" w:rsidP="00A31137">
      <w:r w:rsidRPr="00A31137">
        <w:t>Notwithstanding the threat of substantial sanctions, on August 1, the city council defeated a resolution of intent to adopt the legislative package, known as the Affordable Housing Ordinance, by a vote of 4 to 3 (petitioners constituting the majority). On August 2, the District Court held a hearing to afford the city and the councilmembers an opportunity to show cause why they should not be adjudicated in contempt. It rejected the city's arguments, held the city in contempt, and imposed the coercive sanctions set forth in the July 26 order. After questioning the individual council members as to the reasons for their negative votes, the court also held each of the petitioners in contempt and imposed sanctions. It refused to accept the contention that the proper subject of the contempt sanctions was the city of Yonkers alone, see id. at 461, and overruled the objection that the court lacked the power to direct councilmembers how to vote, because, in light of the consent judgment, it thought the city council's adoption of the Affordable Housing Ordinance would be "in the nature of a ministerial act." Id. at 460.</w:t>
      </w:r>
    </w:p>
    <w:p w:rsidR="00A31137" w:rsidRPr="00A31137" w:rsidRDefault="00A31137" w:rsidP="00A31137">
      <w:r w:rsidRPr="00A31137">
        <w:t>1990, Spallone v. U.S., 493 U.S. 272</w:t>
      </w:r>
    </w:p>
    <w:p w:rsidR="00A31137" w:rsidRPr="00A31137" w:rsidRDefault="00A31137" w:rsidP="00A31137">
      <w:r w:rsidRPr="00A31137">
        <w:t>On August 17, the Court of Appeals stayed the contempt sanctions pending appeal. Shortly thereafter, the court affirmed the adjudications of contempt against both the city and the councilmembers, but limited the fines against the city so that they would not exceed $1 million per day. United States v. Yonkers, 856 F.2d 444 (CA2 1988). The Court of Appeals refused to accept the councilmembers' argument that the District Court abused its discretion in selecting its method of enforcing the consent judgment. While recognizing that "a court is obliged to use the 'least possible power adequate to the end proposed,'" id. at 454 (quoting Anderson v. Dunn, 6 Wheat. 204,  231 (1821)), it concluded that the District Court's choice of coercive contempt sanctions against [493 U.S. 273] the councilmembers could not be an abuse of discretion, because the city council had approved the consent judgment and thereby agreed to implement the legislation described in Section 17 of the decree. The Court of Appeals also rejected petitioners' invocation of the federal common law of legislative immunity, see Tenney v. Brandhove, 341 U.S. 367 (1951), concluding that</w:t>
      </w:r>
    </w:p>
    <w:p w:rsidR="00A31137" w:rsidRPr="00A31137" w:rsidRDefault="00A31137" w:rsidP="00A31137">
      <w:r w:rsidRPr="00A31137">
        <w:t>1990, Spallone v. U.S., 493 U.S. 273</w:t>
      </w:r>
    </w:p>
    <w:p w:rsidR="00A31137" w:rsidRPr="00A31137" w:rsidRDefault="00A31137" w:rsidP="00A31137">
      <w:r w:rsidRPr="00A31137">
        <w:t>[w]hatever the scope of local legislators' immunity, it does not insulate them from compliance with a consent judgment to which their city has agreed and which has been approved by their legislative body.</w:t>
      </w:r>
    </w:p>
    <w:p w:rsidR="00A31137" w:rsidRPr="00A31137" w:rsidRDefault="00A31137" w:rsidP="00A31137">
      <w:r w:rsidRPr="00A31137">
        <w:t>1990, Spallone v. U.S., 493 U.S. 273</w:t>
      </w:r>
    </w:p>
    <w:p w:rsidR="00A31137" w:rsidRPr="00A31137" w:rsidRDefault="00A31137" w:rsidP="00A31137">
      <w:r w:rsidRPr="00A31137">
        <w:t>856 F.2d at 457. Finally, the court held that, even if</w:t>
      </w:r>
    </w:p>
    <w:p w:rsidR="00A31137" w:rsidRPr="00A31137" w:rsidRDefault="00A31137" w:rsidP="00A31137">
      <w:r w:rsidRPr="00A31137">
        <w:t>1990, Spallone v. U.S., 493 U.S. 273</w:t>
      </w:r>
    </w:p>
    <w:p w:rsidR="00A31137" w:rsidRPr="00A31137" w:rsidRDefault="00A31137" w:rsidP="00A31137">
      <w:r w:rsidRPr="00A31137">
        <w:t>the act of voting has sufficient expressive content to be accorded some First Amendment protection as symbolic speech, the public interest in obtaining compliance with federal court judgments that remedy constitutional violations unquestionably justifies whatever burden on expression has occurred.</w:t>
      </w:r>
    </w:p>
    <w:p w:rsidR="00A31137" w:rsidRPr="00A31137" w:rsidRDefault="00A31137" w:rsidP="00A31137">
      <w:r w:rsidRPr="00A31137">
        <w:t>1990, Spallone v. U.S., 493 U.S. 273</w:t>
      </w:r>
    </w:p>
    <w:p w:rsidR="00A31137" w:rsidRPr="00A31137" w:rsidRDefault="00A31137" w:rsidP="00A31137">
      <w:r w:rsidRPr="00A31137">
        <w:t>Ibid.</w:t>
      </w:r>
    </w:p>
    <w:p w:rsidR="00A31137" w:rsidRPr="00A31137" w:rsidRDefault="00A31137" w:rsidP="00A31137">
      <w:r w:rsidRPr="00A31137">
        <w:t>1990, Spallone v. U.S., 493 U.S. 273</w:t>
      </w:r>
    </w:p>
    <w:p w:rsidR="00A31137" w:rsidRPr="00A31137" w:rsidRDefault="00A31137" w:rsidP="00A31137">
      <w:r w:rsidRPr="00A31137">
        <w:t>Both the city and the councilmembers requested this Court to stay imposition of sanctions pending filing and disposition of petitions for certiorari. We granted a stay as to petitioners, but denied the city's request. 487 U.S. 1251 (1988). With the city's daily contempt sanction approaching $1 million per day, the city council finally enacted the Affordable Housing Ordinance on September 9, 1988, by a vote of 5 to 2, petitioners Spallone and Fagan voting no. Because the contempt orders raise important issues about the appropriate exercise of the federal judicial power against individual legislators, we granted certiorari, 489 U.S. 1064 (1989), and now reverse.</w:t>
      </w:r>
    </w:p>
    <w:p w:rsidR="00A31137" w:rsidRPr="00A31137" w:rsidRDefault="00A31137" w:rsidP="00A31137">
      <w:r w:rsidRPr="00A31137">
        <w:t>II</w:t>
      </w:r>
    </w:p>
    <w:p w:rsidR="00A31137" w:rsidRPr="00A31137" w:rsidRDefault="00A31137" w:rsidP="00A31137">
      <w:r w:rsidRPr="00A31137">
        <w:t>1990, Spallone v. U.S., 493 U.S. 273</w:t>
      </w:r>
    </w:p>
    <w:p w:rsidR="00A31137" w:rsidRPr="00A31137" w:rsidRDefault="00A31137" w:rsidP="00A31137">
      <w:r w:rsidRPr="00A31137">
        <w:t>The issue before us is relatively narrow. There can be no question about the liability of the city of Yonkers for racial discrimination: the District Court imposed such liability on the city, its decision was affirmed in all respects by the Court of Appeals, and we denied certiorari. Nor do we have before us any question as to the District Court's remedial order; the Court of Appeals found that it was within the bounds of [493 U.S. 274] proper discretion, United States v. Yonkers Bd. of Ed., 837 F.2d at 1236, and we denied certiorari. Our focus, then, is only on the District Court's order of July 26 imposing contempt sanctions on the individual petitioners if they failed to vote in favor of the ordinance in question.</w:t>
      </w:r>
    </w:p>
    <w:p w:rsidR="00A31137" w:rsidRPr="00A31137" w:rsidRDefault="00A31137" w:rsidP="00A31137">
      <w:r w:rsidRPr="00A31137">
        <w:t>1990, Spallone v. U.S., 493 U.S. 274</w:t>
      </w:r>
    </w:p>
    <w:p w:rsidR="00A31137" w:rsidRPr="00A31137" w:rsidRDefault="00A31137" w:rsidP="00A31137">
      <w:r w:rsidRPr="00A31137">
        <w:t>Petitioners contend that the District Court's orders violate their rights to freedom of speech under the First Amendment, and they also contend that they are entitled as legislators to absolute immunity for actions taken in discharge of their legislative responsibilities. We find it unnecessary to reach either of these questions, because we conclude that the portion of the District Court's order of July 26 imposing contempt sanctions against the petitioners if they failed to vote in favor of the court-proposed ordinance was an abuse of discretion under traditional equitable principles.</w:t>
      </w:r>
    </w:p>
    <w:p w:rsidR="00A31137" w:rsidRPr="00A31137" w:rsidRDefault="00A31137" w:rsidP="00A31137">
      <w:r w:rsidRPr="00A31137">
        <w:t>1990, Spallone v. U.S., 493 U.S. 274</w:t>
      </w:r>
    </w:p>
    <w:p w:rsidR="00A31137" w:rsidRPr="00A31137" w:rsidRDefault="00A31137" w:rsidP="00A31137">
      <w:r w:rsidRPr="00A31137">
        <w:t xml:space="preserve">Before discussing the principles informing our conclusion, it is important to note the posture of the case before the District Court at the time it entered the order in question. Petitioners were members of the city council of the city of Yonkers, and if the city were to enact legislation, it would have to be by their doing. But petitioners had never been made parties to the action, and the District Court's order imposed liability only on the named defendants in the action—the city of Yonkers and the Yonkers Community Development Agency. The remedial order had enjoined the two named defendants, and—in the traditional language of a prohibitory decree—officers, agents, and others acting in concert with them from discriminating on the basis of race in connection with the furnishing of housing, and from intentionally promoting racial residential segregation in Yonkers. The order had gone on to require extensive affirmative steps to disperse public housing throughout Yonkers, but those portions of the order were directed only against the city. There was no evidence taken at the hearing of July 26, 1988, and the court's order of that date did not make the petitioners parties to the action. [493 U.S. 275] </w:t>
      </w:r>
    </w:p>
    <w:p w:rsidR="00A31137" w:rsidRPr="00A31137" w:rsidRDefault="00A31137" w:rsidP="00A31137">
      <w:r w:rsidRPr="00A31137">
        <w:t>1990, Spallone v. U.S., 493 U.S. 275</w:t>
      </w:r>
    </w:p>
    <w:p w:rsidR="00A31137" w:rsidRPr="00A31137" w:rsidRDefault="00A31137" w:rsidP="00A31137">
      <w:r w:rsidRPr="00A31137">
        <w:t>From the time of the entry of the remedial order in early 1986 until this Court denied certiorari in the case involving the merits of the litigation in June 1988, the city backed and filled in response to the court's efforts to obtain compliance with the housing portions of the decree. It agreed to a consent decree and then sought unsuccessfully to have the decree vacated. During this period of time the city had a certain amount of bargaining power simply by virtue of the length of time it took the appellate process to run its course. Although the judgment against the city was not stayed, the District Court was sensibly interested in moving as rapidly as possible toward the construction of housing which would satisfy the remedial order, rather than simply forcing the city to enact legislation. The District Court realized that, for such construction to begin pursuant to the remedial decree, not only must the city comply, but potential builders and developers must be willing to put up money for the construction. To the extent that the city took action voluntarily, without threatening to rescind the action if the District Court's decision were reversed, construction could proceed before the appellate process had run its course.</w:t>
      </w:r>
    </w:p>
    <w:p w:rsidR="00A31137" w:rsidRPr="00A31137" w:rsidRDefault="00A31137" w:rsidP="00A31137">
      <w:r w:rsidRPr="00A31137">
        <w:t>1990, Spallone v. U.S., 493 U.S. 275</w:t>
      </w:r>
    </w:p>
    <w:p w:rsidR="00A31137" w:rsidRPr="00A31137" w:rsidRDefault="00A31137" w:rsidP="00A31137">
      <w:r w:rsidRPr="00A31137">
        <w:t>All of this changed, however, in June, 1988, when this Court denied certiorari and the District Court's orders on the merits of the case became final. On July 26, the court heard the comments of counsel for the parties and entered the order upon which the contempt sanctions against the individual councilmembers was based.</w:t>
      </w:r>
    </w:p>
    <w:p w:rsidR="00A31137" w:rsidRPr="00A31137" w:rsidRDefault="00A31137" w:rsidP="00A31137">
      <w:r w:rsidRPr="00A31137">
        <w:t>1990, Spallone v. U.S., 493 U.S. 275</w:t>
      </w:r>
    </w:p>
    <w:p w:rsidR="00A31137" w:rsidRPr="00A31137" w:rsidRDefault="00A31137" w:rsidP="00A31137">
      <w:r w:rsidRPr="00A31137">
        <w:t>At this stage of the case, the court contemplated various methods by which to ensure compliance with its remedial orders. It considered proceeding under Federal Rule of Civil Procedure 70, whereby a party who is ordered to perform an act but fails to do so is nonetheless "deemed" to have performed it. It also suggested the possible transference of functions relating to housing from the city council to a court-appointed affordable housing commission; the city opposed this method. Finally, it considered proceeding by way of [493 U.S. 276] sanctions for contempt to procure the enactment of the ordinance.</w:t>
      </w:r>
    </w:p>
    <w:p w:rsidR="00A31137" w:rsidRPr="00A31137" w:rsidRDefault="00A31137" w:rsidP="00A31137">
      <w:r w:rsidRPr="00A31137">
        <w:t>1990, Spallone v. U.S., 493 U.S. 276</w:t>
      </w:r>
    </w:p>
    <w:p w:rsidR="00A31137" w:rsidRPr="00A31137" w:rsidRDefault="00A31137" w:rsidP="00A31137">
      <w:r w:rsidRPr="00A31137">
        <w:t>In selecting a means to enforce the consent judgment, the District Court was entitled to rely on the axiom that "courts have inherent power to enforce compliance with their lawful orders through civil contempt." Shillitani v. United States, 384 U.S. 364, 370 (1966). When a district court's order is necessary to remedy past discrimination, the court has an additional basis for the exercise of broad equitable powers. See Swann v. Charlotte-Mecklenburg Bd. of Ed., 402 U.S. 1,  15 (1971). But while "remedial powers of an equity court must be adequate to the task,…they are not unlimited." Whitcomb v. Chavis, 403 U.S. 124, 161 (1971).</w:t>
      </w:r>
    </w:p>
    <w:p w:rsidR="00A31137" w:rsidRPr="00A31137" w:rsidRDefault="00A31137" w:rsidP="00A31137">
      <w:r w:rsidRPr="00A31137">
        <w:t>1990, Spallone v. U.S., 493 U.S. 276</w:t>
      </w:r>
    </w:p>
    <w:p w:rsidR="00A31137" w:rsidRPr="00A31137" w:rsidRDefault="00A31137" w:rsidP="00A31137">
      <w:r w:rsidRPr="00A31137">
        <w:t>[T]he federal courts in devising a remedy must take into account the interests of state and local authorities in managing their own affairs, consistent with the Constitution.</w:t>
      </w:r>
    </w:p>
    <w:p w:rsidR="00A31137" w:rsidRPr="00A31137" w:rsidRDefault="00A31137" w:rsidP="00A31137">
      <w:r w:rsidRPr="00A31137">
        <w:t>1990, Spallone v. U.S., 493 U.S. 276</w:t>
      </w:r>
    </w:p>
    <w:p w:rsidR="00A31137" w:rsidRPr="00A31137" w:rsidRDefault="00A31137" w:rsidP="00A31137">
      <w:r w:rsidRPr="00A31137">
        <w:t>Milliken v. Bradley, 433 U.S. 267, 280-281 (1977). And the use of the contempt power places an additional limitation on a district court's discretion, for, as the Court of Appeals recognized, "in selecting contempt sanctions, a court is obliged to use the 'least possible power adequate to the end proposed.'" United States v. City of Yonkers, 856 F.2d at 454 (quoting Anderson v. Dunn, 6 Wheat. at  231).</w:t>
      </w:r>
    </w:p>
    <w:p w:rsidR="00A31137" w:rsidRPr="00A31137" w:rsidRDefault="00A31137" w:rsidP="00A31137">
      <w:r w:rsidRPr="00A31137">
        <w:t>1990, Spallone v. U.S., 493 U.S. 276</w:t>
      </w:r>
    </w:p>
    <w:p w:rsidR="00A31137" w:rsidRPr="00A31137" w:rsidRDefault="00A31137" w:rsidP="00A31137">
      <w:r w:rsidRPr="00A31137">
        <w:t>Given that the city had entered a consent judgment committing itself to enact legislation implementing the long-term plan, we certainly cannot say it was an abuse of discretion for the District Court to have chosen contempt sanctions against the city, as opposed to petitioners, as a means of ensuring compliance. The city, as we have noted, was a party to the action from the beginning, had been found liable for numerous statutory and constitutional violations, and had been subjected to various elaborate remedial decrees which had been upheld on appeal. Petitioners, the individual city councilmen, on the other hand, were not parties to the action, and they had not been found individually liable for any of the violations upon which the remedial decree was based. Although the injunctive portion of that decree was directed [493 U.S. 277] not only to the city but to "its officers, agents, employees, successors and all persons in active concert or participation with any of them," App. 20, the remaining parts of the decree ordering affirmative steps were directed only to the city. 3</w:t>
      </w:r>
    </w:p>
    <w:p w:rsidR="00A31137" w:rsidRPr="00A31137" w:rsidRDefault="00A31137" w:rsidP="00A31137">
      <w:r w:rsidRPr="00A31137">
        <w:t>1990, Spallone v. U.S., 493 U.S. 277</w:t>
      </w:r>
    </w:p>
    <w:p w:rsidR="00A31137" w:rsidRPr="00A31137" w:rsidRDefault="00A31137" w:rsidP="00A31137">
      <w:r w:rsidRPr="00A31137">
        <w:t>It was the city, in fact, which capitulated. After the Court of Appeals had briefly stayed the imposition of sanctions in August, and we granted a stay as to petitioners but denied it to the city in September, the city council on September 9, 1988, finally enacted the affordable housing ordinance by a vote of 5 to 2. While the District Court could not have been sure in late July that this would be the result, the city's arguments against imposing sanctions on it pointed out the sort of pressure that such sanctions would place on the city. After just two weeks of fines, the city's emergency financial plan required it to curtail sanitation services (resulting in uncollected garbage), eliminate part-time school crossing guards, close all public libraries and parks and lay off approximately 447 employees. In the ensuing four weeks, the city would have been forced to lay off another 1100 city employees. See N.Y. Times, Sept. 8, 1988, p. A1, col. 4; N.Y. Times, Sept. 9, 1988, p. A1, col. 4.</w:t>
      </w:r>
    </w:p>
    <w:p w:rsidR="00A31137" w:rsidRPr="00A31137" w:rsidRDefault="00A31137" w:rsidP="00A31137">
      <w:r w:rsidRPr="00A31137">
        <w:t>1990, Spallone v. U.S., 493 U.S. 277</w:t>
      </w:r>
    </w:p>
    <w:p w:rsidR="00A31137" w:rsidRPr="00A31137" w:rsidRDefault="00A31137" w:rsidP="00A31137">
      <w:r w:rsidRPr="00A31137">
        <w:t>Only eight months earlier, the District Court had secured compliance with an important remedial order through the threat of bankrupting fines against the city alone. After the city had delayed for several months the adoption of a 1987-1988 Housing Assistance Plan (HAP) vital to the public housing required by Part IV of the remedial order, the court ordered the city to carry out its obligation within two days. App. 176. The court set a schedule of contempt fines equal to that assessed for violation of the orders in this case, and recognized that the consequence would be imminent bankruptcy for the city. Id. at 177-179. Later the same day, the city council agreed to support a resolution putting in place an effective HAP and reaffirming the commitment of [493 U.S. 278] Yonkers to accept funds to build the 200 units of public housing mandated by Part IV of the remedial order. Id. at 183. 4</w:t>
      </w:r>
    </w:p>
    <w:p w:rsidR="00A31137" w:rsidRPr="00A31137" w:rsidRDefault="00A31137" w:rsidP="00A31137">
      <w:r w:rsidRPr="00A31137">
        <w:t>1990, Spallone v. U.S., 493 U.S. 278</w:t>
      </w:r>
    </w:p>
    <w:p w:rsidR="00A31137" w:rsidRPr="00A31137" w:rsidRDefault="00A31137" w:rsidP="00A31137">
      <w:r w:rsidRPr="00A31137">
        <w:t>The nub of the matter, then, is whether, in the light of the reasonable probability that sanctions against the city would accomplish the desired result, it was within the court's discretion to impose sanctions on the petitioners as well under the circumstances of this case.</w:t>
      </w:r>
    </w:p>
    <w:p w:rsidR="00A31137" w:rsidRPr="00A31137" w:rsidRDefault="00A31137" w:rsidP="00A31137">
      <w:r w:rsidRPr="00A31137">
        <w:t>1990, Spallone v. U.S., 493 U.S. 278</w:t>
      </w:r>
    </w:p>
    <w:p w:rsidR="00A31137" w:rsidRPr="00A31137" w:rsidRDefault="00A31137" w:rsidP="00A31137">
      <w:r w:rsidRPr="00A31137">
        <w:t>In Tenney v. Brandhove, 341 U.S. 367 (1951), we held that state legislators were absolutely privileged in their legislative acts in an action against them for damages. We applied this same doctrine of legislative immunity to regional legislatures in Lake Country Estates, Inc. v. Tahoe Regional Planning Agency, 440 U.S. 391, 404-405 (1979), and to actions for both damages and injunctive relief in Supreme Court of Virginia v. Consumers Union of United States, Inc., 446 U.S. 719, 731-734 (1980). The holdings in these cases do not control the question whether local legislators such as petitioners should be immune from contempt sanctions imposed for failure to vote in favor of a particular legislative bill. But some of the same considerations on which the immunity doctrine is based must inform the District Court's exercise of its discretion in a case such as this. "Freedom of speech and action in the legislature," we observed, "was taken as a matter of course by those who severed [493 U.S. 279] the Colonies from the Crown and founded our Nation." Tenney, supra, 341 U.S. at  372.</w:t>
      </w:r>
    </w:p>
    <w:p w:rsidR="00A31137" w:rsidRPr="00A31137" w:rsidRDefault="00A31137" w:rsidP="00A31137">
      <w:r w:rsidRPr="00A31137">
        <w:t>1990, Spallone v. U.S., 493 U.S. 279</w:t>
      </w:r>
    </w:p>
    <w:p w:rsidR="00A31137" w:rsidRPr="00A31137" w:rsidRDefault="00A31137" w:rsidP="00A31137">
      <w:r w:rsidRPr="00A31137">
        <w:t>In perhaps the earliest American case to consider the import of the legislative privilege, the Supreme Judicial Court of Massachusetts, interpreting a provision of the Massachusetts Constitution granting the rights of freedom of speech and debate to state legislators, recognized that</w:t>
      </w:r>
    </w:p>
    <w:p w:rsidR="00A31137" w:rsidRPr="00A31137" w:rsidRDefault="00A31137" w:rsidP="00A31137">
      <w:r w:rsidRPr="00A31137">
        <w:t>1990, Spallone v. U.S., 493 U.S. 279</w:t>
      </w:r>
    </w:p>
    <w:p w:rsidR="00A31137" w:rsidRPr="00A31137" w:rsidRDefault="00A31137" w:rsidP="00A31137">
      <w:r w:rsidRPr="00A31137">
        <w:t>the privilege secured by it is not so much the privilege of the house as an organized body, as of each individual member composing it, who is entitled to this privilege, even against the declared will of the house. For he does not hold this privilege at the pleasure of the house; but derives it from the will of the people….</w:t>
      </w:r>
    </w:p>
    <w:p w:rsidR="00A31137" w:rsidRPr="00A31137" w:rsidRDefault="00A31137" w:rsidP="00A31137">
      <w:r w:rsidRPr="00A31137">
        <w:t>1990, Spallone v. U.S., 493 U.S. 279</w:t>
      </w:r>
    </w:p>
    <w:p w:rsidR="00A31137" w:rsidRPr="00A31137" w:rsidRDefault="00A31137" w:rsidP="00A31137">
      <w:r w:rsidRPr="00A31137">
        <w:t>Coffin v. Coffin, 4 Mass. 1, 27 (1808). This theme underlies our cases interpreting the Speech or Debate Clause and the federal common law of legislative immunity, where we have emphasized that any restriction on a legislator's freedom undermines the "public good" by interfering with the rights of the people to representation in the democratic process. Lake Country Estates, supra, 440 U.S. at 404-405; Tenney, supra, 341 U.S. at  377. The District Court was quite sensitive to this fact; it observed:</w:t>
      </w:r>
    </w:p>
    <w:p w:rsidR="00A31137" w:rsidRPr="00A31137" w:rsidRDefault="00A31137" w:rsidP="00A31137">
      <w:r w:rsidRPr="00A31137">
        <w:t>1990, Spallone v. U.S., 493 U.S. 279</w:t>
      </w:r>
    </w:p>
    <w:p w:rsidR="00A31137" w:rsidRPr="00A31137" w:rsidRDefault="00A31137" w:rsidP="00A31137">
      <w:r w:rsidRPr="00A31137">
        <w:t>I know of no parallel for a court to say to an elected official, "You are in contempt of court and subject to personal fines and may eventually be subject to personal imprisonment because of a manner in which you cast a vote." I find that extraordinary.</w:t>
      </w:r>
    </w:p>
    <w:p w:rsidR="00A31137" w:rsidRPr="00A31137" w:rsidRDefault="00A31137" w:rsidP="00A31137">
      <w:r w:rsidRPr="00A31137">
        <w:t>1990, Spallone v. U.S., 493 U.S. 279</w:t>
      </w:r>
    </w:p>
    <w:p w:rsidR="00A31137" w:rsidRPr="00A31137" w:rsidRDefault="00A31137" w:rsidP="00A31137">
      <w:r w:rsidRPr="00A31137">
        <w:t>App. 433.</w:t>
      </w:r>
    </w:p>
    <w:p w:rsidR="00A31137" w:rsidRPr="00A31137" w:rsidRDefault="00A31137" w:rsidP="00A31137">
      <w:r w:rsidRPr="00A31137">
        <w:t>1990, Spallone v. U.S., 493 U.S. 279</w:t>
      </w:r>
    </w:p>
    <w:p w:rsidR="00A31137" w:rsidRPr="00A31137" w:rsidRDefault="00A31137" w:rsidP="00A31137">
      <w:r w:rsidRPr="00A31137">
        <w:t>Sanctions directed against the city for failure to take actions such as required by the consent decree coerce the city legislators and, of course, restrict the freedom of those legislators to act in accordance with their current view of the city's best interests. But we believe there are significant differences between the two types of fines. The imposition of sanctions on individual legislators is designed to cause them to vote, not with a view to the interest of their constituents or of the city, but with a view solely to their own personal interests. Even though an individual legislator took [493 U.S. 280] the extreme position—or felt that his constituents took the extreme position—that even a huge fine against the city was preferable to enacting the Affordable Housing Ordinance, monetary sanctions against him individually would motivate him to vote to enact the ordinance simply because he did not want to be out of pocket financially. Such fines thus encourage legislators, in effect, to declare that they favor an ordinance not in order to avoid bankrupting the city for which they legislate, but in order to avoid bankrupting themselves.</w:t>
      </w:r>
    </w:p>
    <w:p w:rsidR="00A31137" w:rsidRPr="00A31137" w:rsidRDefault="00A31137" w:rsidP="00A31137">
      <w:r w:rsidRPr="00A31137">
        <w:t>1990, Spallone v. U.S., 493 U.S. 280</w:t>
      </w:r>
    </w:p>
    <w:p w:rsidR="00A31137" w:rsidRPr="00A31137" w:rsidRDefault="00A31137" w:rsidP="00A31137">
      <w:r w:rsidRPr="00A31137">
        <w:t>This sort of individual sanction effects a much greater perversion of the normal legislative process than does the imposition of sanctions on the city for the failure of these same legislators to enact an ordinance. In that case, the legislator is only encouraged to vote in favor of an ordinance that he would not otherwise favor by reason of the adverse sanctions imposed on the city. A councilman who felt that his constituents would rather have the city enact the Affordable Housing Ordinance than pay a "bankrupting fine" would be motivated to vote in favor of such an ordinance because the sanctions were a threat to the fiscal solvency of the city for whose welfare he was in part responsible. This is the sort of calculus in which legislators engage regularly.</w:t>
      </w:r>
    </w:p>
    <w:p w:rsidR="00A31137" w:rsidRPr="00A31137" w:rsidRDefault="00A31137" w:rsidP="00A31137">
      <w:r w:rsidRPr="00A31137">
        <w:t>1990, Spallone v. U.S., 493 U.S. 280</w:t>
      </w:r>
    </w:p>
    <w:p w:rsidR="00A31137" w:rsidRPr="00A31137" w:rsidRDefault="00A31137" w:rsidP="00A31137">
      <w:r w:rsidRPr="00A31137">
        <w:t>We hold that the District Court, in view of the "extraordinary" nature of the imposition of sanctions against the individual councilmen, should have proceeded with such contempt sanctions first against the city alone in order to secure compliance with the remedial orders. Only if that approach failed to produce compliance within a reasonable time should the question of imposing contempt sanctions against petitioners even have been considered.</w:t>
      </w:r>
    </w:p>
    <w:p w:rsidR="00A31137" w:rsidRPr="00A31137" w:rsidRDefault="00A31137" w:rsidP="00A31137">
      <w:r w:rsidRPr="00A31137">
        <w:t>1990, Spallone v. U.S., 493 U.S. 280</w:t>
      </w:r>
    </w:p>
    <w:p w:rsidR="00A31137" w:rsidRPr="00A31137" w:rsidRDefault="00A31137" w:rsidP="00A31137">
      <w:r w:rsidRPr="00A31137">
        <w:t>This limitation accords with the doctrine that a court must exercise "[t]he least possible power adequate to the end proposed." Anderson v. Dunn, 6 Wheat. 204,  231 (1821); In re Michael, 326 U.S. 224, 227 (1945).</w:t>
      </w:r>
    </w:p>
    <w:p w:rsidR="00A31137" w:rsidRPr="00A31137" w:rsidRDefault="00A31137" w:rsidP="00A31137">
      <w:r w:rsidRPr="00A31137">
        <w:t>1990, Spallone v. U.S., 493 U.S. 280</w:t>
      </w:r>
    </w:p>
    <w:p w:rsidR="00A31137" w:rsidRPr="00A31137" w:rsidRDefault="00A31137" w:rsidP="00A31137">
      <w:r w:rsidRPr="00A31137">
        <w:t>Shillitani v. United States, 384 U.S. at  371.</w:t>
      </w:r>
    </w:p>
    <w:p w:rsidR="00A31137" w:rsidRPr="00A31137" w:rsidRDefault="00A31137" w:rsidP="00A31137">
      <w:r w:rsidRPr="00A31137">
        <w:t>1990, Spallone v. U.S., 493 U.S. 280</w:t>
      </w:r>
    </w:p>
    <w:p w:rsidR="00A31137" w:rsidRPr="00A31137" w:rsidRDefault="00A31137" w:rsidP="00A31137">
      <w:r w:rsidRPr="00A31137">
        <w:t xml:space="preserve">Reversed. [493 U.S. 281] </w:t>
      </w:r>
    </w:p>
    <w:p w:rsidR="00A31137" w:rsidRPr="00A31137" w:rsidRDefault="00A31137" w:rsidP="00A31137">
      <w:r w:rsidRPr="00A31137">
        <w:t>BRENNAN, J., dissenting</w:t>
      </w:r>
    </w:p>
    <w:p w:rsidR="00A31137" w:rsidRPr="00A31137" w:rsidRDefault="00A31137" w:rsidP="00A31137">
      <w:r w:rsidRPr="00A31137">
        <w:t>1990, Spallone v. U.S., 493 U.S. 281</w:t>
      </w:r>
    </w:p>
    <w:p w:rsidR="00A31137" w:rsidRPr="00A31137" w:rsidRDefault="00A31137" w:rsidP="00A31137">
      <w:r w:rsidRPr="00A31137">
        <w:t>Justice BRENNAN, with whom Justice MARSHALL, Justice BLACKMUN, and Justice STEVENS join, dissenting.</w:t>
      </w:r>
    </w:p>
    <w:p w:rsidR="00A31137" w:rsidRPr="00A31137" w:rsidRDefault="00A31137" w:rsidP="00A31137">
      <w:r w:rsidRPr="00A31137">
        <w:t>1990, Spallone v. U.S., 493 U.S. 281</w:t>
      </w:r>
    </w:p>
    <w:p w:rsidR="00A31137" w:rsidRPr="00A31137" w:rsidRDefault="00A31137" w:rsidP="00A31137">
      <w:r w:rsidRPr="00A31137">
        <w:t>I understand and appreciate the Court's concern about the District Court's decision to impose contempt sanctions against local officials acting in a legislative capacity. We must all hope that no court will ever again face the open and sustained official defiance of established constitutional values and valid judicial orders that prompted Judge Sand's invocation of the contempt power in this manner. But I firmly believe that its availability for such use, in extreme circumstances, is essential. As the District Court was aware:</w:t>
      </w:r>
    </w:p>
    <w:p w:rsidR="00A31137" w:rsidRPr="00A31137" w:rsidRDefault="00A31137" w:rsidP="00A31137">
      <w:r w:rsidRPr="00A31137">
        <w:t>1990, Spallone v. U.S., 493 U.S. 281</w:t>
      </w:r>
    </w:p>
    <w:p w:rsidR="00A31137" w:rsidRPr="00A31137" w:rsidRDefault="00A31137" w:rsidP="00A31137">
      <w:r w:rsidRPr="00A31137">
        <w:t>The issues transcend Yonkers. They go to the very foundation of the system of constitutional government. If Yonkers can defy the orders of a federal court in any case, but especially a civil rights case, because compliance is unpopular, and if that situation is tolerated, then our constitutional system of government fails. The issues before the court this morning are no less significant than that.</w:t>
      </w:r>
    </w:p>
    <w:p w:rsidR="00A31137" w:rsidRPr="00A31137" w:rsidRDefault="00A31137" w:rsidP="00A31137">
      <w:r w:rsidRPr="00A31137">
        <w:t>1990, Spallone v. U.S., 493 U.S. 281</w:t>
      </w:r>
    </w:p>
    <w:p w:rsidR="00A31137" w:rsidRPr="00A31137" w:rsidRDefault="00A31137" w:rsidP="00A31137">
      <w:r w:rsidRPr="00A31137">
        <w:t>App. 177.</w:t>
      </w:r>
    </w:p>
    <w:p w:rsidR="00A31137" w:rsidRPr="00A31137" w:rsidRDefault="00A31137" w:rsidP="00A31137">
      <w:r w:rsidRPr="00A31137">
        <w:t>1990, Spallone v. U.S., 493 U.S. 281</w:t>
      </w:r>
    </w:p>
    <w:p w:rsidR="00A31137" w:rsidRPr="00A31137" w:rsidRDefault="00A31137" w:rsidP="00A31137">
      <w:r w:rsidRPr="00A31137">
        <w:t>The Court today recognizes that it was appropriate for the District Court to hold in contempt and fine the city of Yonkers to encourage the city councilmembers to comply with their prior promise to redress the city's history of racial segregation. Yet the Court also reprimands the District Court for simultaneously fining the individual councilmembers whose continuing defiance was the true source of the impasse, holding that personal sanctions should have been considered only after the city sanctions first proved fruitless.</w:t>
      </w:r>
    </w:p>
    <w:p w:rsidR="00A31137" w:rsidRPr="00A31137" w:rsidRDefault="00A31137" w:rsidP="00A31137">
      <w:r w:rsidRPr="00A31137">
        <w:t>1990, Spallone v. U.S., 493 U.S. 281</w:t>
      </w:r>
    </w:p>
    <w:p w:rsidR="00A31137" w:rsidRPr="00A31137" w:rsidRDefault="00A31137" w:rsidP="00A31137">
      <w:r w:rsidRPr="00A31137">
        <w:t>I cannot accept this parsimonious view of the District Court's discretion to wield the power of contempt. Judge Sand's intimate contact for many years with the recalcitrant councilmembers and his familiarity with the city's political climate gave him special insight into the best way to coerce compliance when all cooperative efforts had failed. From [493 U.S. 282] our detached vantage point, we can hardly judge as well as he which coercive sanctions or combination thereof were most likely to work quickly and least disruptively. Because the Court's ex post rationalization of what Judge Sand should have done fails to do justice either to the facts of this case or the art of judging, I must dissent.</w:t>
      </w:r>
    </w:p>
    <w:p w:rsidR="00A31137" w:rsidRPr="00A31137" w:rsidRDefault="00A31137" w:rsidP="00A31137">
      <w:r w:rsidRPr="00A31137">
        <w:t>I</w:t>
      </w:r>
    </w:p>
    <w:p w:rsidR="00A31137" w:rsidRPr="00A31137" w:rsidRDefault="00A31137" w:rsidP="00A31137">
      <w:r w:rsidRPr="00A31137">
        <w:t>1990, Spallone v. U.S., 493 U.S. 282</w:t>
      </w:r>
    </w:p>
    <w:p w:rsidR="00A31137" w:rsidRPr="00A31137" w:rsidRDefault="00A31137" w:rsidP="00A31137">
      <w:r w:rsidRPr="00A31137">
        <w:t>For the past four decades, Yonkers officials have relentlessly preserved and exacerbated racial residential segregation throughout the city. The population of black and Hispanic residents grew from 3% in 1940 to 19% in 1980. Over 80% now reside in Yonkers' southwest section, and this channeling did not happen by chance. Starting in 1949, city officials initiated a series of low-income housing projects designed to serve the housing needs of this growing population, but city officials concentrated 96.6% of these projects in or adjacent to the southwest section, preserving east and northwest Yonkers as overwhelmingly white communities. 1 At the same time, city officials manipulated the public school [493 U.S. 283] system—e.g., altering attendance zone boundaries, opening and closing schools, assigning faculty and administrators to schools based on race—creating and maintaining racially segregated schools, with the predominantly minority schools being educationally inferior.</w:t>
      </w:r>
    </w:p>
    <w:p w:rsidR="00A31137" w:rsidRPr="00A31137" w:rsidRDefault="00A31137" w:rsidP="00A31137">
      <w:r w:rsidRPr="00A31137">
        <w:t>1990, Spallone v. U.S., 493 U.S. 283</w:t>
      </w:r>
    </w:p>
    <w:p w:rsidR="00A31137" w:rsidRPr="00A31137" w:rsidRDefault="00A31137" w:rsidP="00A31137">
      <w:r w:rsidRPr="00A31137">
        <w:t>Respondent United States brought suit in the United States District Court for the Southern District of New York to challenge these racially discriminatory practices, and respondent NAACP intervened. After a 14-month trial, Judge Sand took 277 pages to detail the myriad of racially motivated government acts and omissions and held the city of Yonkers and various agencies liable for intentional racial segregation in both housing and public education. United States v. Yonkers Board of Education, 624 F.Supp. 1276 (1985). With respect to the housing issue, Judge Sand found a "remarkably consistent and extreme" pattern of segregationist efforts</w:t>
      </w:r>
    </w:p>
    <w:p w:rsidR="00A31137" w:rsidRPr="00A31137" w:rsidRDefault="00A31137" w:rsidP="00A31137">
      <w:r w:rsidRPr="00A31137">
        <w:t>1990, Spallone v. U.S., 493 U.S. 283</w:t>
      </w:r>
    </w:p>
    <w:p w:rsidR="00A31137" w:rsidRPr="00A31137" w:rsidRDefault="00A31137" w:rsidP="00A31137">
      <w:r w:rsidRPr="00A31137">
        <w:t>characterized by a common theme: racially influenced opposition to subsidized housing in certain [predominantly white] areas of the City, and acquiescence in that opposition by City officials.</w:t>
      </w:r>
    </w:p>
    <w:p w:rsidR="00A31137" w:rsidRPr="00A31137" w:rsidRDefault="00A31137" w:rsidP="00A31137">
      <w:r w:rsidRPr="00A31137">
        <w:t>1990, Spallone v. U.S., 493 U.S. 283</w:t>
      </w:r>
    </w:p>
    <w:p w:rsidR="00A31137" w:rsidRPr="00A31137" w:rsidRDefault="00A31137" w:rsidP="00A31137">
      <w:r w:rsidRPr="00A31137">
        <w:t>Id. at 1369, 1370. Because</w:t>
      </w:r>
    </w:p>
    <w:p w:rsidR="00A31137" w:rsidRPr="00A31137" w:rsidRDefault="00A31137" w:rsidP="00A31137">
      <w:r w:rsidRPr="00A31137">
        <w:t>1990, Spallone v. U.S., 493 U.S. 283</w:t>
      </w:r>
    </w:p>
    <w:p w:rsidR="00A31137" w:rsidRPr="00A31137" w:rsidRDefault="00A31137" w:rsidP="00A31137">
      <w:r w:rsidRPr="00A31137">
        <w:t>the operation of the City's ward system provided strong incentive for individual councilmen to defer to the views of their constituents on subsidized housing, and for the Council as a whole to defer to the views of the ward councilman,</w:t>
      </w:r>
    </w:p>
    <w:p w:rsidR="00A31137" w:rsidRPr="00A31137" w:rsidRDefault="00A31137" w:rsidP="00A31137">
      <w:r w:rsidRPr="00A31137">
        <w:t>1990, Spallone v. U.S., 493 U.S. 283</w:t>
      </w:r>
    </w:p>
    <w:p w:rsidR="00A31137" w:rsidRPr="00A31137" w:rsidRDefault="00A31137" w:rsidP="00A31137">
      <w:r w:rsidRPr="00A31137">
        <w:t>id. at 1369, the council routinely designed its housing policies to give effect to its white constituents' ardent insistence on residential purity. Judge Sand summed up his extensive factual findings as follows:</w:t>
      </w:r>
    </w:p>
    <w:p w:rsidR="00A31137" w:rsidRPr="00A31137" w:rsidRDefault="00A31137" w:rsidP="00A31137">
      <w:r w:rsidRPr="00A31137">
        <w:t>1990, Spallone v. U.S., 493 U.S. 283</w:t>
      </w:r>
    </w:p>
    <w:p w:rsidR="00A31137" w:rsidRPr="00A31137" w:rsidRDefault="00A31137" w:rsidP="00A31137">
      <w:r w:rsidRPr="00A31137">
        <w:t>In short, we find the unusual scope and complexity of plaintiffs' contentions to be matched by evidence of discriminatory intent that is itself unusual in its strength and abundance. Having considered the evidence in its entirety, this Court is fully persuaded that the extreme concentration of subsidized housing that exists in Southwest Yonkers today is the result of a pattern and practice of racial discrimination by City officials, pursued in [493 U.S. 284] response to constituent pressures to select or support only sites that would preserve existing patterns of racial segregation, and to reject or oppose sites that would threaten existing patterns of segregation. This pattern of discriminatory actions is evident as early as the first selection of sites for public housing under the National Housing Act of 1949, and it has continued, unbroken, through…1982.</w:t>
      </w:r>
    </w:p>
    <w:p w:rsidR="00A31137" w:rsidRPr="00A31137" w:rsidRDefault="00A31137" w:rsidP="00A31137">
      <w:r w:rsidRPr="00A31137">
        <w:t>1990, Spallone v. U.S., 493 U.S. 284</w:t>
      </w:r>
    </w:p>
    <w:p w:rsidR="00A31137" w:rsidRPr="00A31137" w:rsidRDefault="00A31137" w:rsidP="00A31137">
      <w:r w:rsidRPr="00A31137">
        <w:t>Id. at 1373.</w:t>
      </w:r>
    </w:p>
    <w:p w:rsidR="00A31137" w:rsidRPr="00A31137" w:rsidRDefault="00A31137" w:rsidP="00A31137">
      <w:r w:rsidRPr="00A31137">
        <w:t>1990, Spallone v. U.S., 493 U.S. 284</w:t>
      </w:r>
    </w:p>
    <w:p w:rsidR="00A31137" w:rsidRPr="00A31137" w:rsidRDefault="00A31137" w:rsidP="00A31137">
      <w:r w:rsidRPr="00A31137">
        <w:t>After conducting a 6-day hearing to determine appropriate remedies, Judge Sand issued, on May 28, 1986, a Housing Remedy Order that required the city to facilitate the development of public and subsidized housing outside Southwest Yonkers. United States v. Yonkers Board of Education, 635 F.Supp. 1577 (SDNY). The Order required construction of 200 units of public housing; the city was required to propose sites for 140 units within 30 days and sites for the remaining 60 units within 90 days. The Order also required the city to provide additional units of subsidized housing in East or Northwest Yonkers, leaving the city broad discretion to choose the precise number and location of these subsidized units. The city was given approximately six months to present for court approval a detailed long-term plan specifying, among other things, the number of subsidized units to be constructed or acquired, their location, and the rent levels or degree of subsidization.</w:t>
      </w:r>
    </w:p>
    <w:p w:rsidR="00A31137" w:rsidRPr="00A31137" w:rsidRDefault="00A31137" w:rsidP="00A31137">
      <w:r w:rsidRPr="00A31137">
        <w:t>1990, Spallone v. U.S., 493 U.S. 284</w:t>
      </w:r>
    </w:p>
    <w:p w:rsidR="00A31137" w:rsidRPr="00A31137" w:rsidRDefault="00A31137" w:rsidP="00A31137">
      <w:r w:rsidRPr="00A31137">
        <w:t>Although these requirements were not stayed pending appeal, the city immediately defaulted on its obligations. Officials proposed no sites for the 200 units of public housing within the specified 30 and 90 days, and they failed to present a long-term plan for subsidized housing within six months. Indeed, city officials pointedly told Judge Sand that they would not comply with these aspects of the Housing Remedy Order. Respondents moved for an adjudication of civil contempt and the imposition of coercive sanctions. Judge Sand denied this motion, instead negotiating with the city for appointment of an outside housing advisor to help the city identify [493 U.S. 285] sites for the 200 units of public housing and to begin drafting a proposed long-term plan for the additional subsidized units.</w:t>
      </w:r>
    </w:p>
    <w:p w:rsidR="00A31137" w:rsidRPr="00A31137" w:rsidRDefault="00A31137" w:rsidP="00A31137">
      <w:r w:rsidRPr="00A31137">
        <w:t>1990, Spallone v. U.S., 493 U.S. 285</w:t>
      </w:r>
    </w:p>
    <w:p w:rsidR="00A31137" w:rsidRPr="00A31137" w:rsidRDefault="00A31137" w:rsidP="00A31137">
      <w:r w:rsidRPr="00A31137">
        <w:t>The advisor recommended eight available sites for housing. The city council responded by passing a resolution conditioning its support for the advisor's general plan on a number of terms drastically limiting the scope and efficacy of the remedy, including (1) staying all construction until the city had exhausted all appeals; (2) reducing the units of subsidized housing from 800 to 200; and (3) allowing local residential committees to screen all applicants for public housing. The city then proposed that the Housing Remedy Order be modified in accordance with the city council's resolution. Judge Sand offered to consider the city's motion, explaining that he believed it appropriate to implement a remedy</w:t>
      </w:r>
    </w:p>
    <w:p w:rsidR="00A31137" w:rsidRPr="00A31137" w:rsidRDefault="00A31137" w:rsidP="00A31137">
      <w:r w:rsidRPr="00A31137">
        <w:t>1990, Spallone v. U.S., 493 U.S. 285</w:t>
      </w:r>
    </w:p>
    <w:p w:rsidR="00A31137" w:rsidRPr="00A31137" w:rsidRDefault="00A31137" w:rsidP="00A31137">
      <w:r w:rsidRPr="00A31137">
        <w:t>embody[ing] to the maximum possible extent consistent with the purposes of the housing remedy order the views of the community itself.</w:t>
      </w:r>
    </w:p>
    <w:p w:rsidR="00A31137" w:rsidRPr="00A31137" w:rsidRDefault="00A31137" w:rsidP="00A31137">
      <w:r w:rsidRPr="00A31137">
        <w:t>1990, Spallone v. U.S., 493 U.S. 285</w:t>
      </w:r>
    </w:p>
    <w:p w:rsidR="00A31137" w:rsidRPr="00A31137" w:rsidRDefault="00A31137" w:rsidP="00A31137">
      <w:r w:rsidRPr="00A31137">
        <w:t>App. 87. To ensure that the city's proposal was not merely intended as a dilatory tactic, however, Judge Sand asked the city council to demonstrate its good faith by taking the preliminary steps necessary to obtain control of the potential housing sites identified by the housing advisor by, for example, passing a resolution requesting a neighboring county to permit the city to use identified county sites for housing.</w:t>
      </w:r>
    </w:p>
    <w:p w:rsidR="00A31137" w:rsidRPr="00A31137" w:rsidRDefault="00A31137" w:rsidP="00A31137">
      <w:r w:rsidRPr="00A31137">
        <w:t>1990, Spallone v. U.S., 493 U.S. 285</w:t>
      </w:r>
    </w:p>
    <w:p w:rsidR="00A31137" w:rsidRPr="00A31137" w:rsidRDefault="00A31137" w:rsidP="00A31137">
      <w:r w:rsidRPr="00A31137">
        <w:t xml:space="preserve">But the city council neither passed the suggested resolution nor took any other action to obtain the proposed sites. The city's attorney informed Judge Sand that the city was still trying to devise a politically acceptable plan, but the attorney could not assure the judge that the plan, or any other action by the city council, would be forthcoming. During the remainder of 1987, the parties bickered over the selection of various sites to be used for construction of the 200 promised public units, and city officials still refused to propose a long-term plan. [493 U.S. 286] </w:t>
      </w:r>
    </w:p>
    <w:p w:rsidR="00A31137" w:rsidRPr="00A31137" w:rsidRDefault="00A31137" w:rsidP="00A31137">
      <w:r w:rsidRPr="00A31137">
        <w:t>1990, Spallone v. U.S., 493 U.S. 286</w:t>
      </w:r>
    </w:p>
    <w:p w:rsidR="00A31137" w:rsidRPr="00A31137" w:rsidRDefault="00A31137" w:rsidP="00A31137">
      <w:r w:rsidRPr="00A31137">
        <w:t>On December 28, 1987, the Court of Appeals for the Second Circuit affirmed both Judge Sand's liability and remedy rulings with respect to both the housing discrimination and school segregation claims. In so doing, the court rejected as "frivolous" the city's challenge to Judge Sand's finding that the city officials' subsidized housing decisions were made with a "segregative purpose." United States v. Yonkers Board of Education, 837 F.2d 1181, 1222, cert. denied, 486 U.S. 1055 (1988). The next month, the city indicated to Judge Sand that the parties had started negotiating an agreement designed to implement the Housing Remedy Order. On January 25, 1988, the parties informed the court that they had reached an agreement in principle. The Yonkers City Council approved the agreement by a 5-to-2 vote on January 27, with petitioners Chema and Spallone dissenting. Judge Sand entered the agreement, the "First Remedial Consent Decree in Equity" (Consent Decree), as a consent judgment the next day. The Consent Decree reiterated the city's pledge to build the 200 required public units, identified seven sites, and committed the city to a specific construction timetable. The city also promised to forgo any further judicial review of this aspect of the remedial order.</w:t>
      </w:r>
    </w:p>
    <w:p w:rsidR="00A31137" w:rsidRPr="00A31137" w:rsidRDefault="00A31137" w:rsidP="00A31137">
      <w:r w:rsidRPr="00A31137">
        <w:t>1990, Spallone v. U.S., 493 U.S. 286</w:t>
      </w:r>
    </w:p>
    <w:p w:rsidR="00A31137" w:rsidRPr="00A31137" w:rsidRDefault="00A31137" w:rsidP="00A31137">
      <w:r w:rsidRPr="00A31137">
        <w:t>The Consent Decree also set a goal of 800 units of subsidized housing to be developed over four years in conjunction with market-rate housing developments, and it committed the city to specific actions needed to encourage private developers to build such housing. In § 17 of the Consent Decree, the city expressly agreed to adopt legislation (referred to as the Housing Ordinance) conditioning the future construction of multi-family housing in Yonkers on the inclusion of at least 20% subsidized units, and providing for such private development incentives as zoning changes, tax abatements, and density bonuses. The city expressly agreed to enact this legislation within 90 days after entry of the Consent Decree. Section 18 of the Consent Decree provided that the city would negotiate further to resolve certain "subsidiary [493 U.S. 287] issues" with respect to the long-term plan, and would submit a second consent decree to be entered within three weeks.</w:t>
      </w:r>
    </w:p>
    <w:p w:rsidR="00A31137" w:rsidRPr="00A31137" w:rsidRDefault="00A31137" w:rsidP="00A31137">
      <w:r w:rsidRPr="00A31137">
        <w:t>1990, Spallone v. U.S., 493 U.S. 287</w:t>
      </w:r>
    </w:p>
    <w:p w:rsidR="00A31137" w:rsidRPr="00A31137" w:rsidRDefault="00A31137" w:rsidP="00A31137">
      <w:r w:rsidRPr="00A31137">
        <w:t>Rather than abide by the terms of the Consent Decree, the city councilmembers sought almost immediately to disavow it. First, citing intense community opposition to the plan, the city moved to delete the provision forgoing judicial review of its obligation to build the 200 units, and the city even offered to return approximately $30 million in grants previously provided by the Federal Government to fund its low-income housing programs if this Court ultimately were to set aside the city's duty to encourage the long-term development of subsidized housing in white neighborhoods. After Judge Sand denied the motion, the city promptly informed him that it would not enact the legislation it had earlier approved in § 17 of the Decree and it was "not interested" in completing negotiations on the long-term plan as required by § 18. Finally, the city moved to vacate the Consent Decree in toto, arguing that the city's failure to secure permission of the Archdiocese of New York for using some Seminary property as a housing site constituted a "mutual mistake" invalidating the entire agreement. Judge Sand denied this motion, "a transparent ploy…to avoid any responsibility for the court decree or implementation of the housing remedy order." App. 275.</w:t>
      </w:r>
    </w:p>
    <w:p w:rsidR="00A31137" w:rsidRPr="00A31137" w:rsidRDefault="00A31137" w:rsidP="00A31137">
      <w:r w:rsidRPr="00A31137">
        <w:t>1990, Spallone v. U.S., 493 U.S. 287</w:t>
      </w:r>
    </w:p>
    <w:p w:rsidR="00A31137" w:rsidRPr="00A31137" w:rsidRDefault="00A31137" w:rsidP="00A31137">
      <w:r w:rsidRPr="00A31137">
        <w:t>In response to the city's recalcitrance, respondents moved for entry of a Long Term Plan Order based upon a draft piece of legislation that had recently been prepared by the city's attorneys and housing consultants. On June 13, following comments from the city, revisions by respondents, and an evidentiary hearing, Judge Sand entered a Long Term Plan Order which, accommodating the city's concerns, provided the details of the Housing Ordinance that the city council was required to enact pursuant to the Consent Decree. On the same day, this Court denied the city's petition for writ of certiorari to review the original finding of liability [493 U.S. 288] and the Housing Remedy Order. Yonkers Board of Education v. United States, 486 U.S. 1055 (1988).</w:t>
      </w:r>
    </w:p>
    <w:p w:rsidR="00A31137" w:rsidRPr="00A31137" w:rsidRDefault="00A31137" w:rsidP="00A31137">
      <w:r w:rsidRPr="00A31137">
        <w:t>1990, Spallone v. U.S., 493 U.S. 288</w:t>
      </w:r>
    </w:p>
    <w:p w:rsidR="00A31137" w:rsidRPr="00A31137" w:rsidRDefault="00A31137" w:rsidP="00A31137">
      <w:r w:rsidRPr="00A31137">
        <w:t>The next day, the City Council unanimously passed a resolution declaring a moratorium on all public housing construction in Yonkers, in unabashed defiance of the Housing Remedy Order, Consent Decree, and Long Term Plan Order. Nearly two months after the deadline set in the Consent Decree for the city's enactment of the necessary implementing legislation, the city council informed Judge Sand through the city attorney that it would not consider taking any legislative action until August at the earliest.</w:t>
      </w:r>
    </w:p>
    <w:p w:rsidR="00A31137" w:rsidRPr="00A31137" w:rsidRDefault="00A31137" w:rsidP="00A31137">
      <w:r w:rsidRPr="00A31137">
        <w:t>1990, Spallone v. U.S., 493 U.S. 288</w:t>
      </w:r>
    </w:p>
    <w:p w:rsidR="00A31137" w:rsidRPr="00A31137" w:rsidRDefault="00A31137" w:rsidP="00A31137">
      <w:r w:rsidRPr="00A31137">
        <w:t>In light of the city's renewed defiance, Judge Sand sought assurance of the city's basic commitment to comply. He orally requested the city council to pass a resolution endorsing the provisions of the Consent Decree and the Long Term Plan Order, with enactment of the Housing Ordinance to follow after the city fine-tuned some final aspects. The city council responding by defeating a resolution that would have required it to honor its previous commitments. 2</w:t>
      </w:r>
    </w:p>
    <w:p w:rsidR="00A31137" w:rsidRPr="00A31137" w:rsidRDefault="00A31137" w:rsidP="00A31137">
      <w:r w:rsidRPr="00A31137">
        <w:t>1990, Spallone v. U.S., 493 U.S. 288</w:t>
      </w:r>
    </w:p>
    <w:p w:rsidR="00A31137" w:rsidRPr="00A31137" w:rsidRDefault="00A31137" w:rsidP="00A31137">
      <w:r w:rsidRPr="00A31137">
        <w:t>Respondents then submitted a proposed order setting a timetable for the city's enactment of the promised Housing Ordinance, under penalty of contempt. The city baldly responded that it would "not voluntarily adopt the legislation contemplated by" the Consent Decree and the Long Term Plan Order. Thereafter, Judge Sand entered an order (Contempt Order) directing the city to enact by August 1 the Housing Ordinance that had been drafted by the city's consultants to implement the Consent Decree and the Long Term Plan Order. The Contempt Order specified that, if the Housing Ordinance were not timely enacted, the city and city councilmembers would face contempt adjudication and the following sanctions: the city would be fined $100 for the first day and the amount would double each day of noncompliance thereafter; and the councilmembers voting [493 U.S. 289] against the legislation would be fined $500 per day and incarcerated after 10 days of continued defiance. Then, to accommodate the city council's expressed concern that it could not adopt legislation by August 1 without running afoul of state notice and hearing requirements applicable to zoning changes, Judge Sand relaxed the Contempt Order's original mandate and stated that the Contempt Order would be considered satisfied if the council merely adopted a resolution committing the city to enact the Housing Ordinance after the state notice requirements had been met.</w:t>
      </w:r>
    </w:p>
    <w:p w:rsidR="00A31137" w:rsidRPr="00A31137" w:rsidRDefault="00A31137" w:rsidP="00A31137">
      <w:r w:rsidRPr="00A31137">
        <w:t>1990, Spallone v. U.S., 493 U.S. 289</w:t>
      </w:r>
    </w:p>
    <w:p w:rsidR="00A31137" w:rsidRPr="00A31137" w:rsidRDefault="00A31137" w:rsidP="00A31137">
      <w:r w:rsidRPr="00A31137">
        <w:t>On August 1, the city council defeated such a resolution by a 4-to-3 vote. Finding this defeat "but the latest of a series of contempts," App. 416, Judge Sand held the city and each of the councilmembers who voted against the resolution in civil contempt and imposed the coercive sanctions specified in the Contempt Order.</w:t>
      </w:r>
    </w:p>
    <w:p w:rsidR="00A31137" w:rsidRPr="00A31137" w:rsidRDefault="00A31137" w:rsidP="00A31137">
      <w:r w:rsidRPr="00A31137">
        <w:t>1990, Spallone v. U.S., 493 U.S. 289</w:t>
      </w:r>
    </w:p>
    <w:p w:rsidR="00A31137" w:rsidRPr="00A31137" w:rsidRDefault="00A31137" w:rsidP="00A31137">
      <w:r w:rsidRPr="00A31137">
        <w:t xml:space="preserve">On August 9, the Court of Appeals for the Second Circuit granted a stay of these contempt sanctions. On August 26, the court affirmed the contempt adjudications against both the city and petitioners, but limited the city's escalating fines to an eventual ceiling of $1 million per day. The court concluded that neither the city nor petitioners could escape responsibility for refusing to comply with the Consent Decree that the council itself had approved. The court stayed issuance of its mandate, however, to permit application to this Court for a stay pending the filing of petitions for a writ or certiorari. We granted a stay of the contempt sanctions against the individual councilmembers on September 1, but we denied the city's application for a similar stay. City of Yonkers v. United States, 487 U.S. 1251 (1988). A week later, the city council finally enacted the Housing Ordinance, over the dissenting votes of petitioners Spallone and Fagan. 3 [493 U.S. 290] </w:t>
      </w:r>
    </w:p>
    <w:p w:rsidR="00A31137" w:rsidRPr="00A31137" w:rsidRDefault="00A31137" w:rsidP="00A31137">
      <w:r w:rsidRPr="00A31137">
        <w:t>II</w:t>
      </w:r>
    </w:p>
    <w:p w:rsidR="00A31137" w:rsidRPr="00A31137" w:rsidRDefault="00A31137" w:rsidP="00A31137">
      <w:r w:rsidRPr="00A31137">
        <w:t>1990, Spallone v. U.S., 493 U.S. 290</w:t>
      </w:r>
    </w:p>
    <w:p w:rsidR="00A31137" w:rsidRPr="00A31137" w:rsidRDefault="00A31137" w:rsidP="00A31137">
      <w:r w:rsidRPr="00A31137">
        <w:t>The Court today holds that Judge Sand acted within his discretion when he held in contempt and fined the city in an effort to coerce the city council to enact the legislation required by the Consent Decree. Ante at  280. The Court holds, however, that Judge Sand's decision to assess personal fines against the individual councilmembers directly responsible for engineering and implementing the city's defiance constituted an abuse of discretion. Judge Sand should have considered personal sanctions, the Court believes, only if the city sanctions "failed to produce compliance within a reasonable time." Ante at  280.</w:t>
      </w:r>
    </w:p>
    <w:p w:rsidR="00A31137" w:rsidRPr="00A31137" w:rsidRDefault="00A31137" w:rsidP="00A31137">
      <w:r w:rsidRPr="00A31137">
        <w:t>1990, Spallone v. U.S., 493 U.S. 290</w:t>
      </w:r>
    </w:p>
    <w:p w:rsidR="00A31137" w:rsidRPr="00A31137" w:rsidRDefault="00A31137" w:rsidP="00A31137">
      <w:r w:rsidRPr="00A31137">
        <w:t xml:space="preserve">The Court's disfavor of personal sanctions rests on two premises: (1) Judge Sand should have known when he issued the Contempt Order that there was a "reasonable probability that sanctions against the city [alone] would accomplish the desired result," ante at  278; and (2) imposing personal fines "effects a much greater perversion of the normal legislative process than does the imposition of sanctions on the city." Ante at  280. Because personal fines were both completely superfluous to and more intrusive than sanctions against the city alone, the Court reasons, the personal fines constituted an abuse of discretion. Each of these premises is mistaken. [493 U.S. 291] </w:t>
      </w:r>
    </w:p>
    <w:p w:rsidR="00A31137" w:rsidRPr="00A31137" w:rsidRDefault="00A31137" w:rsidP="00A31137">
      <w:r w:rsidRPr="00A31137">
        <w:t>A</w:t>
      </w:r>
    </w:p>
    <w:p w:rsidR="00A31137" w:rsidRPr="00A31137" w:rsidRDefault="00A31137" w:rsidP="00A31137">
      <w:r w:rsidRPr="00A31137">
        <w:t>1990, Spallone v. U.S., 493 U.S. 291</w:t>
      </w:r>
    </w:p>
    <w:p w:rsidR="00A31137" w:rsidRPr="00A31137" w:rsidRDefault="00A31137" w:rsidP="00A31137">
      <w:r w:rsidRPr="00A31137">
        <w:t>While acknowledging that Judge Sand "could not have been sure in late July that this would be the result," ante at  277, the Court confidently concludes that Judge Sand should have been sure enough that fining the city would eventually coerce compliance that he should not have personally fined the councilmembers as well. In light of the information available to Judge Sand in July, the Court's confidence is chimerical. Although the escalating city fines eventually would have seriously disrupted many public services and employment, ibid., the Court's failure even to consider the possibility that the councilmembers would maintain their defiant posture despite the threat of fiscal insolvency bespeaks an ignorance of Yonkers' history of entrenched discrimination and an indifference to Yonkers' political reality.</w:t>
      </w:r>
    </w:p>
    <w:p w:rsidR="00A31137" w:rsidRPr="00A31137" w:rsidRDefault="00A31137" w:rsidP="00A31137">
      <w:r w:rsidRPr="00A31137">
        <w:t>1990, Spallone v. U.S., 493 U.S. 291</w:t>
      </w:r>
    </w:p>
    <w:p w:rsidR="00A31137" w:rsidRPr="00A31137" w:rsidRDefault="00A31137" w:rsidP="00A31137">
      <w:r w:rsidRPr="00A31137">
        <w:t>The Court first fails to adhere today to our longstanding recognition that the</w:t>
      </w:r>
    </w:p>
    <w:p w:rsidR="00A31137" w:rsidRPr="00A31137" w:rsidRDefault="00A31137" w:rsidP="00A31137">
      <w:r w:rsidRPr="00A31137">
        <w:t>1990, Spallone v. U.S., 493 U.S. 291</w:t>
      </w:r>
    </w:p>
    <w:p w:rsidR="00A31137" w:rsidRPr="00A31137" w:rsidRDefault="00A31137" w:rsidP="00A31137">
      <w:r w:rsidRPr="00A31137">
        <w:t>district court has firsthand experience with the parties, and is best qualified to deal with the "flinty, intractable realities of day-to-day implementation of constitutional commands."</w:t>
      </w:r>
    </w:p>
    <w:p w:rsidR="00A31137" w:rsidRPr="00A31137" w:rsidRDefault="00A31137" w:rsidP="00A31137">
      <w:r w:rsidRPr="00A31137">
        <w:t>1990, Spallone v. U.S., 493 U.S. 291</w:t>
      </w:r>
    </w:p>
    <w:p w:rsidR="00A31137" w:rsidRPr="00A31137" w:rsidRDefault="00A31137" w:rsidP="00A31137">
      <w:r w:rsidRPr="00A31137">
        <w:t>United States v. Paradise, 480 U.S. 149,  184 (1987) (quoting Swann v. Charlotte-Mecklenburg Board of Education, 402 U.S. 1,  6 (1971)). 4 Deference to the court's exercise of discretion is particularly appropriate where, as here, the record clearly reveals that the court employed extreme caution before taking the final step of holding the councilmembers personally in contempt. Judge Sand patiently weathered a whirlwind of evasive maneuvers and misrepresentations, [493 U.S. 292] see supra at 284-289; considered and rejected alternative means of securing compliance other than contempt sanctions; 5 and carefully considered the ramifications of personal fines. In the end, he readily acknowledged:</w:t>
      </w:r>
    </w:p>
    <w:p w:rsidR="00A31137" w:rsidRPr="00A31137" w:rsidRDefault="00A31137" w:rsidP="00A31137">
      <w:r w:rsidRPr="00A31137">
        <w:t>1990, Spallone v. U.S., 493 U.S. 292</w:t>
      </w:r>
    </w:p>
    <w:p w:rsidR="00A31137" w:rsidRPr="00A31137" w:rsidRDefault="00A31137" w:rsidP="00A31137">
      <w:r w:rsidRPr="00A31137">
        <w:t>I know of no parallel for a court to say to an elected official: "You are in contempt of court and subject to personal fines and may eventually be subject to personal imprisonment because of a manner in which you case a vote." I find that extraordinary.</w:t>
      </w:r>
    </w:p>
    <w:p w:rsidR="00A31137" w:rsidRPr="00A31137" w:rsidRDefault="00A31137" w:rsidP="00A31137">
      <w:r w:rsidRPr="00A31137">
        <w:t>1990, Spallone v. U.S., 493 U.S. 292</w:t>
      </w:r>
    </w:p>
    <w:p w:rsidR="00A31137" w:rsidRPr="00A31137" w:rsidRDefault="00A31137" w:rsidP="00A31137">
      <w:r w:rsidRPr="00A31137">
        <w:t>I find it so extraordinary that, at great cost in terms of time and in terms of money and energy and implementation of court's orders, I have sought alternatives to that. But they have all been unsuccessful….</w:t>
      </w:r>
    </w:p>
    <w:p w:rsidR="00A31137" w:rsidRPr="00A31137" w:rsidRDefault="00A31137" w:rsidP="00A31137">
      <w:r w:rsidRPr="00A31137">
        <w:t>1990, Spallone v. U.S., 493 U.S. 292</w:t>
      </w:r>
    </w:p>
    <w:p w:rsidR="00A31137" w:rsidRPr="00A31137" w:rsidRDefault="00A31137" w:rsidP="00A31137">
      <w:r w:rsidRPr="00A31137">
        <w:t>App. 433.</w:t>
      </w:r>
    </w:p>
    <w:p w:rsidR="00A31137" w:rsidRPr="00A31137" w:rsidRDefault="00A31137" w:rsidP="00A31137">
      <w:r w:rsidRPr="00A31137">
        <w:t>1990, Spallone v. U.S., 493 U.S. 292</w:t>
      </w:r>
    </w:p>
    <w:p w:rsidR="00A31137" w:rsidRPr="00A31137" w:rsidRDefault="00A31137" w:rsidP="00A31137">
      <w:r w:rsidRPr="00A31137">
        <w:t>After according no weight to Judge Sand's cautious and contextual judgment, despite his vastly superior vantage [493 U.S. 293] point, the Court compounds its error by committing two more. First, the Court turns a blind eye to most of the evidence available to Judge Sand suggesting that, because of the councilmembers' continuing intransigence, sanctions against the city alone might not coerce compliance, and that personal sanctions would significantly increase the chance of success. Second, the Court fails to acknowledge that supplementing city sanctions with personal ones likely would secure compliance more promptly, minimizing the overall disruptive effect of the city sanctions on city services generally and long-term compliance with the Consent Decree in particular.</w:t>
      </w:r>
    </w:p>
    <w:p w:rsidR="00A31137" w:rsidRPr="00A31137" w:rsidRDefault="00A31137" w:rsidP="00A31137">
      <w:r w:rsidRPr="00A31137">
        <w:t>1990, Spallone v. U.S., 493 U.S. 293</w:t>
      </w:r>
    </w:p>
    <w:p w:rsidR="00A31137" w:rsidRPr="00A31137" w:rsidRDefault="00A31137" w:rsidP="00A31137">
      <w:r w:rsidRPr="00A31137">
        <w:t>As the events leading up to the Contempt Order make clear, the recalcitrant councilmembers were extremely responsive to the strong segments of their constituencies that were vociferously opposed to racial residential integration. Councilmember Fagan, for example, explained that his vote against the Housing Ordinance required by the Consent Decree "was an act of defiance. The people clearly wanted me to say no to the judge." Id. at 426. Councilmember Spallone declared openly that "I will be taking on the judge all the way down the line. I made a commitment to my people, and that commitment remains." Id. at 457-458. Moreover, once Yonkers had gained national attention over its refusal to integrate, many residents made it clear to their representatives on the council that they preferred bankrupt martyrdom to integration. As a contemporaneous article observed,</w:t>
      </w:r>
    </w:p>
    <w:p w:rsidR="00A31137" w:rsidRPr="00A31137" w:rsidRDefault="00A31137" w:rsidP="00A31137">
      <w:r w:rsidRPr="00A31137">
        <w:t>1990, Spallone v. U.S., 493 U.S. 293</w:t>
      </w:r>
    </w:p>
    <w:p w:rsidR="00A31137" w:rsidRPr="00A31137" w:rsidRDefault="00A31137" w:rsidP="00A31137">
      <w:r w:rsidRPr="00A31137">
        <w:t>[t]he defiant Councilmen are riding a wave of resentment among their white constituents that is so intense that many insist they are willing to see the city bankrupted….</w:t>
      </w:r>
    </w:p>
    <w:p w:rsidR="00A31137" w:rsidRPr="00A31137" w:rsidRDefault="00A31137" w:rsidP="00A31137">
      <w:r w:rsidRPr="00A31137">
        <w:t>1990, Spallone v. U.S., 493 U.S. 293</w:t>
      </w:r>
    </w:p>
    <w:p w:rsidR="00A31137" w:rsidRPr="00A31137" w:rsidRDefault="00A31137" w:rsidP="00A31137">
      <w:r w:rsidRPr="00A31137">
        <w:t>N.Y. Times, Aug. 5, 1988, p. B2, col. 4. It thus was not evident that petitioners opposed bankrupting the city; at the very least, capitulation by any individual councilmember was widely perceived as political suicide. As a result, even assuming that each recalcitrant member sought to avoid city bankruptcy, each still had a very strong incentive to play "chicken" with his colleagues by continuing to defy the Contempt [493 U.S. 294] Order while secretly hoping that at least one colleague would change his position and suffer the wrath of the electorate. As Judge Sand observed,</w:t>
      </w:r>
    </w:p>
    <w:p w:rsidR="00A31137" w:rsidRPr="00A31137" w:rsidRDefault="00A31137" w:rsidP="00A31137">
      <w:r w:rsidRPr="00A31137">
        <w:t>1990, Spallone v. U.S., 493 U.S. 294</w:t>
      </w:r>
    </w:p>
    <w:p w:rsidR="00A31137" w:rsidRPr="00A31137" w:rsidRDefault="00A31137" w:rsidP="00A31137">
      <w:r w:rsidRPr="00A31137">
        <w:t>[w]hat we have here is competition to see who can attract the greatest notoriety, who will be the political martyr…without regard to what is in the best interests of the City of Yonkers.</w:t>
      </w:r>
    </w:p>
    <w:p w:rsidR="00A31137" w:rsidRPr="00A31137" w:rsidRDefault="00A31137" w:rsidP="00A31137">
      <w:r w:rsidRPr="00A31137">
        <w:t>1990, Spallone v. U.S., 493 U.S. 294</w:t>
      </w:r>
    </w:p>
    <w:p w:rsidR="00A31137" w:rsidRPr="00A31137" w:rsidRDefault="00A31137" w:rsidP="00A31137">
      <w:r w:rsidRPr="00A31137">
        <w:t>App. 409 (emphasis added),</w:t>
      </w:r>
    </w:p>
    <w:p w:rsidR="00A31137" w:rsidRPr="00A31137" w:rsidRDefault="00A31137" w:rsidP="00A31137">
      <w:r w:rsidRPr="00A31137">
        <w:t>1990, Spallone v. U.S., 493 U.S. 294</w:t>
      </w:r>
    </w:p>
    <w:p w:rsidR="00A31137" w:rsidRPr="00A31137" w:rsidRDefault="00A31137" w:rsidP="00A31137">
      <w:r w:rsidRPr="00A31137">
        <w:t xml:space="preserve">Moreover, acutely aware of these political conditions, the city attorney repeatedly warned Judge Sand not to assume that the threat of bankruptcy would compel compliance. See, e.g., id. at 410 (threatening to bankrupt city "punishes the innocent" but "doesn't necessarily coerce compliance by the council members"); id. at 415 (bankrupting Yonkers "is indeed an unfortunate result that may obtain and that is exactly why we are urging that the city not be fined itself"). See also City of Yonkers' Reply Memorandum of Law in Support of Stay of Contempt Sanctions in No. 88-6178 (CA2), pp. 9-10 (city argued that "in the context of a media spectacle surrounding the defiance of the Councilmembers of the District Court's Order…there is little hope of avoiding municipal bankruptcy in the hopes that the individual Councilmembers will change their vote in the near future. This Court should not rely on the hope that the individual Councilmembers will rescue the City from bankruptcy"). 6 The clearest warning that the risk of insolvency might not motivate capitulation came at the contempt hearing on August 2. The city proposed that its fines be stayed until August 15 so the council could hold a public hearing, and that if the council had failed to adopt the required Housing Ordinance at that time, the fines would resume as compounded for the intervening time period, meaning the city would owe over $3.2 million the very next day, and over $104 million by the end of the week. After listening to this proposal, Judge Sand asked the city attorney: [493 U.S. 295] </w:t>
      </w:r>
    </w:p>
    <w:p w:rsidR="00A31137" w:rsidRPr="00A31137" w:rsidRDefault="00A31137" w:rsidP="00A31137">
      <w:r w:rsidRPr="00A31137">
        <w:t>1990, Spallone v. U.S., 493 U.S. 295</w:t>
      </w:r>
    </w:p>
    <w:p w:rsidR="00A31137" w:rsidRPr="00A31137" w:rsidRDefault="00A31137" w:rsidP="00A31137">
      <w:r w:rsidRPr="00A31137">
        <w:t>Mr. Sculnick, seated behind you are all of the members of the city council of Yonkers. Are you making a good faith representation to the court that, if such a stay were granted, you have reason to believe that on August 15th, the ordinance would be passed? Are you making such a representation?</w:t>
      </w:r>
    </w:p>
    <w:p w:rsidR="00A31137" w:rsidRPr="00A31137" w:rsidRDefault="00A31137" w:rsidP="00A31137">
      <w:r w:rsidRPr="00A31137">
        <w:t>1990, Spallone v. U.S., 493 U.S. 295</w:t>
      </w:r>
    </w:p>
    <w:p w:rsidR="00A31137" w:rsidRPr="00A31137" w:rsidRDefault="00A31137" w:rsidP="00A31137">
      <w:r w:rsidRPr="00A31137">
        <w:t>App. 418. Despite the fact that such an enormous liability would soon trigger bankruptcy, the city attorney replied:</w:t>
      </w:r>
    </w:p>
    <w:p w:rsidR="00A31137" w:rsidRPr="00A31137" w:rsidRDefault="00A31137" w:rsidP="00A31137">
      <w:r w:rsidRPr="00A31137">
        <w:t>1990, Spallone v. U.S., 493 U.S. 295</w:t>
      </w:r>
    </w:p>
    <w:p w:rsidR="00A31137" w:rsidRPr="00A31137" w:rsidRDefault="00A31137" w:rsidP="00A31137">
      <w:r w:rsidRPr="00A31137">
        <w:t>No, your Honor, I don't have the factual basis for making that statement. 7</w:t>
      </w:r>
    </w:p>
    <w:p w:rsidR="00A31137" w:rsidRPr="00A31137" w:rsidRDefault="00A31137" w:rsidP="00A31137">
      <w:r w:rsidRPr="00A31137">
        <w:t>1990, Spallone v. U.S., 493 U.S. 295</w:t>
      </w:r>
    </w:p>
    <w:p w:rsidR="00A31137" w:rsidRPr="00A31137" w:rsidRDefault="00A31137" w:rsidP="00A31137">
      <w:r w:rsidRPr="00A31137">
        <w:t>Ibid. Even if one uncharitably infers in hindsight that the city attorney was merely posturing, given the extremely high stakes, I cannot agree with the Court's implicit suggestion that Judge Sand was required to call the city's bluff.</w:t>
      </w:r>
    </w:p>
    <w:p w:rsidR="00A31137" w:rsidRPr="00A31137" w:rsidRDefault="00A31137" w:rsidP="00A31137">
      <w:r w:rsidRPr="00A31137">
        <w:t>1990, Spallone v. U.S., 493 U.S. 295</w:t>
      </w:r>
    </w:p>
    <w:p w:rsidR="00A31137" w:rsidRPr="00A31137" w:rsidRDefault="00A31137" w:rsidP="00A31137">
      <w:r w:rsidRPr="00A31137">
        <w:t>The Court's opinion ignores this political reality surrounding the events of July, 1988, and instead focuses exclusively on the fact that, eight months earlier, Judge Sand had secured compliance with another remedial order through the threat of city sanctions alone. Ante at 277-278. But this remedial order had required only that the city council adopt a 1987-1988 Housing Assistance Plan, a prerequisite to the city's qualification for federal housing subsidies. In essence, Judge Sand had to threaten the city with contempt fines just to convince the Council to accept over $10 million in federal funds. [493 U.S. 296] Moreover, the city council capitulated by promising merely to accept the funds—any implied suggestion that it ever intended to use the money for housing was, of course, proven false by subsequent events. Indeed, a mere two months later, the city council offered to return approximately $30 million in federal funds in the event that this Court ultimately set aside the public housing provisions of the Housing Remedy Order. See supra at  287. At this point, Judge Sand found that the city council had "crossed the line of any form of fiscal or other governmental responsibility." App. 409.</w:t>
      </w:r>
    </w:p>
    <w:p w:rsidR="00A31137" w:rsidRPr="00A31137" w:rsidRDefault="00A31137" w:rsidP="00A31137">
      <w:r w:rsidRPr="00A31137">
        <w:t>1990, Spallone v. U.S., 493 U.S. 296</w:t>
      </w:r>
    </w:p>
    <w:p w:rsidR="00A31137" w:rsidRPr="00A31137" w:rsidRDefault="00A31137" w:rsidP="00A31137">
      <w:r w:rsidRPr="00A31137">
        <w:t>Moreover, any confidence that city sanctions alone would ever work again was eroded even further by the public outcry against the council's approval of the Consent Decree, which magnified the councilmembers' determination to defy future judicial orders. The council's post-Decree conduct represented renewed</w:t>
      </w:r>
    </w:p>
    <w:p w:rsidR="00A31137" w:rsidRPr="00A31137" w:rsidRDefault="00A31137" w:rsidP="00A31137">
      <w:r w:rsidRPr="00A31137">
        <w:t>1990, Spallone v. U.S., 493 U.S. 296</w:t>
      </w:r>
    </w:p>
    <w:p w:rsidR="00A31137" w:rsidRPr="00A31137" w:rsidRDefault="00A31137" w:rsidP="00A31137">
      <w:r w:rsidRPr="00A31137">
        <w:t>efforts by the city council to extricate itself from the political consequences which it believes have resulted from its assuming any degree of responsibility in connection with implementation of the housing plan.</w:t>
      </w:r>
    </w:p>
    <w:p w:rsidR="00A31137" w:rsidRPr="00A31137" w:rsidRDefault="00A31137" w:rsidP="00A31137">
      <w:r w:rsidRPr="00A31137">
        <w:t>1990, Spallone v. U.S., 493 U.S. 296</w:t>
      </w:r>
    </w:p>
    <w:p w:rsidR="00A31137" w:rsidRPr="00A31137" w:rsidRDefault="00A31137" w:rsidP="00A31137">
      <w:r w:rsidRPr="00A31137">
        <w:t>Id. at 272. Given the nature of the original contempt "success" and the heightened level of obstruction and recalcitrance thereafter, Judge Sand was justified in questioning whether the sanction of city fines alone would work again.</w:t>
      </w:r>
    </w:p>
    <w:p w:rsidR="00A31137" w:rsidRPr="00A31137" w:rsidRDefault="00A31137" w:rsidP="00A31137">
      <w:r w:rsidRPr="00A31137">
        <w:t>1990, Spallone v. U.S., 493 U.S. 296</w:t>
      </w:r>
    </w:p>
    <w:p w:rsidR="00A31137" w:rsidRPr="00A31137" w:rsidRDefault="00A31137" w:rsidP="00A31137">
      <w:r w:rsidRPr="00A31137">
        <w:t>The Court, in addition to ignoring all of this evidence before concluding that city sanctions alone would eventually coerce compliance, also inexplicably ignores the fact that imposing personal fines in addition to sanctions against the city would not only help ensure but actually hasten compliance. City sanctions, by design, impede the normal operation of local government. Judge Sand knew that each day the councilmembers remained in contempt, the city would suffer an ever-growing financial drain that threatened not only to disrupt many critical city services but also to frustrate the long-term success of the underlying remedial scheme. Fines assessed against the public fisc directly "diminish the limited resources which the city has to comply with the Decree," [493 U.S. 297] United States v. Providence, 492 F.Supp. 602, 610 (DRI 1980), and more generally curtail various public services with a likely disparate impact on poor and minority residents.</w:t>
      </w:r>
    </w:p>
    <w:p w:rsidR="00A31137" w:rsidRPr="00A31137" w:rsidRDefault="00A31137" w:rsidP="00A31137">
      <w:r w:rsidRPr="00A31137">
        <w:t>1990, Spallone v. U.S., 493 U.S. 297</w:t>
      </w:r>
    </w:p>
    <w:p w:rsidR="00A31137" w:rsidRPr="00A31137" w:rsidRDefault="00A31137" w:rsidP="00A31137">
      <w:r w:rsidRPr="00A31137">
        <w:t>Given these ancillary effects of city sanctions, it seems to me entirely appropriate—indeed obligatory—for Judge Sand to have considered, not just whether city sanctions alone would eventually have coerced compliance, but also how promptly they would have done so. The Court's implicit conclusion that personal sanctions were redundant both exaggerates the likelihood that city sanctions alone would have worked at all, see supra at 293-295, and also fails to give due weight to the importance of speed, because supplementing the city sanctions with personal sanctions certainly increased the odds for prompt success. At the very least, personal sanctions made political martyrdom a much more unattractive option for the councilmembers. In light of the tremendous stakes at issue, I cannot fault Judge Sand for deciding to err on the side of being safe rather than sorry.</w:t>
      </w:r>
    </w:p>
    <w:p w:rsidR="00A31137" w:rsidRPr="00A31137" w:rsidRDefault="00A31137" w:rsidP="00A31137">
      <w:r w:rsidRPr="00A31137">
        <w:t>1990, Spallone v. U.S., 493 U.S. 297</w:t>
      </w:r>
    </w:p>
    <w:p w:rsidR="00A31137" w:rsidRPr="00A31137" w:rsidRDefault="00A31137" w:rsidP="00A31137">
      <w:r w:rsidRPr="00A31137">
        <w:t xml:space="preserve">In sum, the record does not support the Court's casual conclusion today that Judge Sand should have perceived a "reasonable probability that sanctions against the city [alone] would accomplish the desired result." Ante at  278. Rather, the city councilmembers' vehement and unyielding defiance of Judge Sand's remedial orders, and his political acumen borne of eight years' first-hand experience with the Yonkers political environment, led him quite reasonably to believe that city sanctions alone would have induced compliance only slowly if at all and at great cost to the city and long-term remedial success, and that personal sanctions would enhance both the promptness and ultimate likelihood of compliance. Under these circumstances, Judge Sand's cautious exercise of contempt power was within the permissible bounds of his remedial discretion. The Court's determination to play district-court-for-a-day—and to do so poorly—is indefensible. [493 U.S. 298] </w:t>
      </w:r>
    </w:p>
    <w:p w:rsidR="00A31137" w:rsidRPr="00A31137" w:rsidRDefault="00A31137" w:rsidP="00A31137">
      <w:r w:rsidRPr="00A31137">
        <w:t>B</w:t>
      </w:r>
    </w:p>
    <w:p w:rsidR="00A31137" w:rsidRPr="00A31137" w:rsidRDefault="00A31137" w:rsidP="00A31137">
      <w:r w:rsidRPr="00A31137">
        <w:t>1990, Spallone v. U.S., 493 U.S. 298</w:t>
      </w:r>
    </w:p>
    <w:p w:rsidR="00A31137" w:rsidRPr="00A31137" w:rsidRDefault="00A31137" w:rsidP="00A31137">
      <w:r w:rsidRPr="00A31137">
        <w:t>The Court purports to bolster its judgment by contending that personal sanctions against city councilmembers effect a greater interference than city sanctions with the "'interests of…local authorities in managing their own affairs, consistent with the Constitution.'" Ante at  276 (quoting Milliken v. Bradley, 433 U.S. 267, 280-281 (1977)). Without holding today that the doctrine of absolute legislative immunity itself is applicable to local (as opposed to state and regional) legislative bodies, ante at  279, the Court declares that the principle of legislative independence underlying this doctrine "must inform the District Court's exercise of its discretion in a case such as this." Ibid.</w:t>
      </w:r>
    </w:p>
    <w:p w:rsidR="00A31137" w:rsidRPr="00A31137" w:rsidRDefault="00A31137" w:rsidP="00A31137">
      <w:r w:rsidRPr="00A31137">
        <w:t>1990, Spallone v. U.S., 493 U.S. 298</w:t>
      </w:r>
    </w:p>
    <w:p w:rsidR="00A31137" w:rsidRPr="00A31137" w:rsidRDefault="00A31137" w:rsidP="00A31137">
      <w:r w:rsidRPr="00A31137">
        <w:t>According to the Court, the principle of legislative independence does not preclude the District Court from attempting to coerce the city councilmembers into compliance with their promises contained in the Consent Decree. The Court acknowledges that</w:t>
      </w:r>
    </w:p>
    <w:p w:rsidR="00A31137" w:rsidRPr="00A31137" w:rsidRDefault="00A31137" w:rsidP="00A31137">
      <w:r w:rsidRPr="00A31137">
        <w:t>1990, Spallone v. U.S., 493 U.S. 298</w:t>
      </w:r>
    </w:p>
    <w:p w:rsidR="00A31137" w:rsidRPr="00A31137" w:rsidRDefault="00A31137" w:rsidP="00A31137">
      <w:r w:rsidRPr="00A31137">
        <w:t>[s]anctions directed against the city for failure to take actions such as required by the consent decree coerce the city legislators and, of course, restrict the freedom of those legislators to act in accordance with their current view of the city's best interests.</w:t>
      </w:r>
    </w:p>
    <w:p w:rsidR="00A31137" w:rsidRPr="00A31137" w:rsidRDefault="00A31137" w:rsidP="00A31137">
      <w:r w:rsidRPr="00A31137">
        <w:t>1990, Spallone v. U.S., 493 U.S. 298</w:t>
      </w:r>
    </w:p>
    <w:p w:rsidR="00A31137" w:rsidRPr="00A31137" w:rsidRDefault="00A31137" w:rsidP="00A31137">
      <w:r w:rsidRPr="00A31137">
        <w:t>Ante at  279. Nevertheless the Court contends, the imposition of personal sanctions as a means of coercion "effects a much greater perversion of the normal legislative process" than city sanctions, ante at  280, and therefore the principle of legislative independence favors the use of personal sanctions only as a fall-back position. Ibid.</w:t>
      </w:r>
    </w:p>
    <w:p w:rsidR="00A31137" w:rsidRPr="00A31137" w:rsidRDefault="00A31137" w:rsidP="00A31137">
      <w:r w:rsidRPr="00A31137">
        <w:t>1990, Spallone v. U.S., 493 U.S. 298</w:t>
      </w:r>
    </w:p>
    <w:p w:rsidR="00A31137" w:rsidRPr="00A31137" w:rsidRDefault="00A31137" w:rsidP="00A31137">
      <w:r w:rsidRPr="00A31137">
        <w:t>The Court explains that personal sanctions are designed to encourage legislators to implement the remedial decree "in order to avoid bankrupting themselves," ibid., a decisionmaking process in which the recalcitrant councilmembers weigh the public's interests against their own private interests—a process thought inappropriate when legislators exercise their duty to represent their constituents. In contrast, city sanctions are designed to encourage legislators to act [493 U.S. 299] out of concern for their constituents' presumed interest in a fiscally solvent city, ibid., a decisionmaking process in which the councilmembers merely weigh competing public interests—"the sort of calculus in which legislators engage regularly." Ibid. At bottom, then, the Court seems to suggest that personal sanctions constitute a "greater perversion of the normal legislative process" merely because they do not replicate that process' familiar mode of decisionmaking.</w:t>
      </w:r>
    </w:p>
    <w:p w:rsidR="00A31137" w:rsidRPr="00A31137" w:rsidRDefault="00A31137" w:rsidP="00A31137">
      <w:r w:rsidRPr="00A31137">
        <w:t>1990, Spallone v. U.S., 493 U.S. 299</w:t>
      </w:r>
    </w:p>
    <w:p w:rsidR="00A31137" w:rsidRPr="00A31137" w:rsidRDefault="00A31137" w:rsidP="00A31137">
      <w:r w:rsidRPr="00A31137">
        <w:t>But the Court has never evinced an overriding concern for replicating the "normal" decisionmaking process when designing coercive sanctions for state and local executive officials who, like legislators, presumably are guided by their sense of public duty rather than private benefit. While recognizing that injunctions against such executive officials occasionally must be enforced by criminal or civil contempt sanctions of fines or imprisonment, see, e.g., Hutto v. Finney, 437 U.S. 678, 690-691 (1978), we have never held that fining or even jailing these officials for contempt is categorically more intrusive than fining their governmental entity in order to coerce compliance indirectly. Indeed, as the author of today's majority opinion has written,</w:t>
      </w:r>
    </w:p>
    <w:p w:rsidR="00A31137" w:rsidRPr="00A31137" w:rsidRDefault="00A31137" w:rsidP="00A31137">
      <w:r w:rsidRPr="00A31137">
        <w:t>1990, Spallone v. U.S., 493 U.S. 299</w:t>
      </w:r>
    </w:p>
    <w:p w:rsidR="00A31137" w:rsidRPr="00A31137" w:rsidRDefault="00A31137" w:rsidP="00A31137">
      <w:r w:rsidRPr="00A31137">
        <w:t>There is no reason for the federal courts to engage in speculation as to whether the imposition of a fine against the State is "less intrusive" than "sending high state officials to jail." So long as the rights of the plaintiffs and the authority of the District Court are amply vindicated by an award of fees [akin to a contempt fine for bad-faith litigation in defiance of federal court decrees], it should be a matter of no concern to the court whether those fees are paid by state officials personally or by the State itself.</w:t>
      </w:r>
    </w:p>
    <w:p w:rsidR="00A31137" w:rsidRPr="00A31137" w:rsidRDefault="00A31137" w:rsidP="00A31137">
      <w:r w:rsidRPr="00A31137">
        <w:t>1990, Spallone v. U.S., 493 U.S. 299</w:t>
      </w:r>
    </w:p>
    <w:p w:rsidR="00A31137" w:rsidRPr="00A31137" w:rsidRDefault="00A31137" w:rsidP="00A31137">
      <w:r w:rsidRPr="00A31137">
        <w:t>Id. at 716 (REHNQUIST, J., dissenting) (citation omitted). Thus, the Court's position necessarily presumes that a district court, while seeking to coerce compliance with a consent decree promising to implement a specific remedy for a constitutional [493 U.S. 300] violation, must take far greater care to preserve the "normal legislative process" (balancing only public interests) for local legislators than it must take to preserve the normal and analogous decisionmaking process for executive officials. But the Court cannot fairly derive this premise from the principle underlying the doctrine of legislative immunity.</w:t>
      </w:r>
    </w:p>
    <w:p w:rsidR="00A31137" w:rsidRPr="00A31137" w:rsidRDefault="00A31137" w:rsidP="00A31137">
      <w:r w:rsidRPr="00A31137">
        <w:t>1990, Spallone v. U.S., 493 U.S. 300</w:t>
      </w:r>
    </w:p>
    <w:p w:rsidR="00A31137" w:rsidRPr="00A31137" w:rsidRDefault="00A31137" w:rsidP="00A31137">
      <w:r w:rsidRPr="00A31137">
        <w:t xml:space="preserve">The doctrine of legislative immunity recognizes that, when acting collectively to pursue a vision of the public good through legislation, legislators must be free to represent their constituents "without fear of outside interference" that would result from private lawsuits. Supreme Court of Virginia v. Consumers Union of United States, Inc., 446 U.S. 719, 731 (1980). Of course, legislators are bound to respect the limits placed on their discretion by the Federal Constitution; they are duty-bound not to enact laws they believe to be unconstitutional, and their laws will have no effect to the extent that courts believe them to be unconstitutional. But when acting "in the sphere of legitimate legislative activity," Tenney v. Brandhove, 341 U.S. 367,  376 (1951)—i.e., formulating and expressing their vision of the public good within self-defined constitutional boundaries—legislators are to be "immune from deterrents to the uninhibited discharge of their legislative duty." Id. at  377. Private lawsuits threaten to chill robust representation by encouraging legislators to avoid controversial issues or stances in order to protect themselves "'not only from the consequences of litigation's results, but also from the burden of defending themselves.'" Supreme Court of Virglnia, supra, 446 U.S. at 732 (quoting Dombrowski v. Eastland, 387 U.S. 82, 85 (1967)). 8 To encourage legislators best to represent their constituents' interests, legislators must be afforded immunity from private suit. [493 U.S. 301] </w:t>
      </w:r>
    </w:p>
    <w:p w:rsidR="00A31137" w:rsidRPr="00A31137" w:rsidRDefault="00A31137" w:rsidP="00A31137">
      <w:r w:rsidRPr="00A31137">
        <w:t>1990, Spallone v. U.S., 493 U.S. 301</w:t>
      </w:r>
    </w:p>
    <w:p w:rsidR="00A31137" w:rsidRPr="00A31137" w:rsidRDefault="00A31137" w:rsidP="00A31137">
      <w:r w:rsidRPr="00A31137">
        <w:t>But once a federal court has issued a valid order to remedy the effects of a prior, specific constitutional violation, the representatives are no longer "acting in a field where legislators traditionally have power to act." Tenney, supra, 341 U.S. at  379. 9 At this point, the Constitution itself imposes an overriding definition of the "public good," and a court's valid command to obey constitutional dictates is not subject to override by any countervailing preferences of the polity, no matter how widely and ardently shared. Local legislators, for example, may not frustrate valid remedial decrees merely because they or their constituents would rather allocate public funds for other uses. 10 More to the point here, legislators certainly may not defy court-ordered remedies for racial discrimination merely because their constituents prefer to maintain segregation:</w:t>
      </w:r>
    </w:p>
    <w:p w:rsidR="00A31137" w:rsidRPr="00A31137" w:rsidRDefault="00A31137" w:rsidP="00A31137">
      <w:r w:rsidRPr="00A31137">
        <w:t>1990, Spallone v. U.S., 493 U.S. 301</w:t>
      </w:r>
    </w:p>
    <w:p w:rsidR="00A31137" w:rsidRPr="00A31137" w:rsidRDefault="00A31137" w:rsidP="00A31137">
      <w:r w:rsidRPr="00A31137">
        <w:t>"Public officials sworn to uphold the Constitution may not avoid a constitutional duty by bowing to the hypothetical effects of private racial prejudice that they assume to be both widely and deeply held."</w:t>
      </w:r>
    </w:p>
    <w:p w:rsidR="00A31137" w:rsidRPr="00A31137" w:rsidRDefault="00A31137" w:rsidP="00A31137">
      <w:r w:rsidRPr="00A31137">
        <w:t>1990, Spallone v. U.S., 493 U.S. 301</w:t>
      </w:r>
    </w:p>
    <w:p w:rsidR="00A31137" w:rsidRPr="00A31137" w:rsidRDefault="00A31137" w:rsidP="00A31137">
      <w:r w:rsidRPr="00A31137">
        <w:t xml:space="preserve">Palmore v. Sidoti, [493 U.S. 302] 466 U.S. 429, 433 (1984) (quoting Palmer v. Thompson, 403 U.S. 217, 260-261 (1971) (WHITE, J., dissenting)). Defiance at this stage results, in essence, in a perpetuation of the very constitutional violation at which the remedy is aimed. See supra at 283-284. 11 Hence, once Judge Sand found that the city (through acts of its council) had engaged in a pattern and practice of racial discrimination in housing and had issued a valid remedial order, the city councilmembers became obliged to respect the limits thereby placed on their legislative independence. 12 [493 U.S. 303] </w:t>
      </w:r>
    </w:p>
    <w:p w:rsidR="00A31137" w:rsidRPr="00A31137" w:rsidRDefault="00A31137" w:rsidP="00A31137">
      <w:r w:rsidRPr="00A31137">
        <w:t>1990, Spallone v. U.S., 493 U.S. 303</w:t>
      </w:r>
    </w:p>
    <w:p w:rsidR="00A31137" w:rsidRPr="00A31137" w:rsidRDefault="00A31137" w:rsidP="00A31137">
      <w:r w:rsidRPr="00A31137">
        <w:t xml:space="preserve">In light of the limited scope of the principle of legislative independence underlying immunity doctrine, the Court's desire to avoid "perversion of the normal legislation process" by preserving the "sort of calculus in which legislators engage regularly," ante at  280, is misguided. The result of the councilmembers' "calculus" is preordained, and the only relevant question is how the court can best encourage—or if necessary coerce—compliance. There is no independent value at this point to replicating a familiar decisionmaking process; certainly there is none so overwhelming as to justify stripping the District Court of a coercive weapon it quite reasonably perceived to be necessary under the circumstances. 13 [493 U.S. 304] </w:t>
      </w:r>
    </w:p>
    <w:p w:rsidR="00A31137" w:rsidRPr="00A31137" w:rsidRDefault="00A31137" w:rsidP="00A31137">
      <w:r w:rsidRPr="00A31137">
        <w:t>1990, Spallone v. U.S., 493 U.S. 304</w:t>
      </w:r>
    </w:p>
    <w:p w:rsidR="00A31137" w:rsidRPr="00A31137" w:rsidRDefault="00A31137" w:rsidP="00A31137">
      <w:r w:rsidRPr="00A31137">
        <w:t xml:space="preserve">Moreover, even if the Court's characterization of personal fines against legislators as "perverse" were persuasive, it would still represent a myopic view of the relevant remedial inquiry. To the extent that equitable limits on federal courts' remedial power are designed to protect against unnecessary judicial intrusion into state or local affairs, it was obviously appropriate for Judge Sand to have considered the fact that the city's accrual of fines would have quickly disrupted every aspect of the daily operation of local government. See supra at 296-297. Particularly when these broader effects are considered, the Court's pronouncement that fining the city is categorically less intrusive than fining the legislators personally is untenable. 14 [493 U.S. 305] </w:t>
      </w:r>
    </w:p>
    <w:p w:rsidR="00A31137" w:rsidRPr="00A31137" w:rsidRDefault="00A31137" w:rsidP="00A31137">
      <w:r w:rsidRPr="00A31137">
        <w:t>C</w:t>
      </w:r>
    </w:p>
    <w:p w:rsidR="00A31137" w:rsidRPr="00A31137" w:rsidRDefault="00A31137" w:rsidP="00A31137">
      <w:r w:rsidRPr="00A31137">
        <w:t>1990, Spallone v. U.S., 493 U.S. 305</w:t>
      </w:r>
    </w:p>
    <w:p w:rsidR="00A31137" w:rsidRPr="00A31137" w:rsidRDefault="00A31137" w:rsidP="00A31137">
      <w:r w:rsidRPr="00A31137">
        <w:t>I concede that personal sanctions against legislators intuitively may seem less appropriate than more traditional forms of coercing compliance with court orders. But this intuition does not withstand close scrutiny given the circumstances of this case. When necessary, courts levy personal contempt sanctions against other types of state and local officials for flouting valid court orders, and I see no reason to treat local legislators differently when they are acting outside of their "sphere of legitimate legislative activity." Tenney, 341 U.S. at  376.</w:t>
      </w:r>
    </w:p>
    <w:p w:rsidR="00A31137" w:rsidRPr="00A31137" w:rsidRDefault="00A31137" w:rsidP="00A31137">
      <w:r w:rsidRPr="00A31137">
        <w:t>1990, Spallone v. U.S., 493 U.S. 305</w:t>
      </w:r>
    </w:p>
    <w:p w:rsidR="00A31137" w:rsidRPr="00A31137" w:rsidRDefault="00A31137" w:rsidP="00A31137">
      <w:r w:rsidRPr="00A31137">
        <w:t>The key question here, therefore, is whether Judge Sand abused his discretion when he decided not to rely on sanctions against the city alone, but also to apply coercive pressure to the recalcitrant councilmembers on an individual basis. Given the city council's consistent defiance and the delicate political situation in Yonkers, Judge Sand was justifiably uncertain as to whether city sanctions alone would coerce compliance at all and, if so, whether they would do so promptly; the longer the delay in compliance, the more likely that city services would be curtailed drastically and that both budgetary constraints and growing racial tensions would undermine the long-term efficacy of the remedial decree.</w:t>
      </w:r>
    </w:p>
    <w:p w:rsidR="00A31137" w:rsidRPr="00A31137" w:rsidRDefault="00A31137" w:rsidP="00A31137">
      <w:r w:rsidRPr="00A31137">
        <w:t>1990, Spallone v. U.S., 493 U.S. 305</w:t>
      </w:r>
    </w:p>
    <w:p w:rsidR="00A31137" w:rsidRPr="00A31137" w:rsidRDefault="00A31137" w:rsidP="00A31137">
      <w:r w:rsidRPr="00A31137">
        <w:t>Under these conditions, Judge Sand's decision to supplement the city sanctions with personal fines was surely a sensible approach. The Court's contrary judgment rests on its refusal to take the fierceness of the councilmembers' defiance [493 U.S. 306] seriously, a refusal blind to the scourge of racial politics in Yonkers and dismissive of Judge Sand's wisdom borne of his superior vantage point.</w:t>
      </w:r>
    </w:p>
    <w:p w:rsidR="00A31137" w:rsidRPr="00A31137" w:rsidRDefault="00A31137" w:rsidP="00A31137">
      <w:r w:rsidRPr="00A31137">
        <w:t>III</w:t>
      </w:r>
    </w:p>
    <w:p w:rsidR="00A31137" w:rsidRPr="00A31137" w:rsidRDefault="00A31137" w:rsidP="00A31137">
      <w:r w:rsidRPr="00A31137">
        <w:t>1990, Spallone v. U.S., 493 U.S. 306</w:t>
      </w:r>
    </w:p>
    <w:p w:rsidR="00A31137" w:rsidRPr="00A31137" w:rsidRDefault="00A31137" w:rsidP="00A31137">
      <w:r w:rsidRPr="00A31137">
        <w:t>The Court's decision today that Judge Sand abused his remedial discretion by imposing personal fines simultaneously with city fines creates no new principle of law; indeed, it invokes no principle of any sort. But it directs a message to district judges that, despite their repeated and close contact with the various parties and issues, even the most delicate remedial choices by the most conscientious and deliberate judges are subject to being second-guessed by this Court. I hope such a message will not daunt the courage of district courts who, if ever again faced with such protracted defiance, must carefully yet firmly secure compliance with their remedial orders. But I worry that the Court's message will have the unintended effect of emboldening recalcitrant officials continually to test the ultimate reach of the remedial authority of the federal courts, thereby postponing the day when all public officers finally accept that</w:t>
      </w:r>
    </w:p>
    <w:p w:rsidR="00A31137" w:rsidRPr="00A31137" w:rsidRDefault="00A31137" w:rsidP="00A31137">
      <w:r w:rsidRPr="00A31137">
        <w:t>1990, Spallone v. U.S., 493 U.S. 306</w:t>
      </w:r>
    </w:p>
    <w:p w:rsidR="00A31137" w:rsidRPr="00A31137" w:rsidRDefault="00A31137" w:rsidP="00A31137">
      <w:r w:rsidRPr="00A31137">
        <w:t>the responsibility of those who exercise power in a democratic government is not to reflect inflamed public feeling, but to help form its understanding.</w:t>
      </w:r>
    </w:p>
    <w:p w:rsidR="00A31137" w:rsidRPr="00A31137" w:rsidRDefault="00A31137" w:rsidP="00A31137">
      <w:r w:rsidRPr="00A31137">
        <w:t>1990, Spallone v. U.S., 493 U.S. 306</w:t>
      </w:r>
    </w:p>
    <w:p w:rsidR="00A31137" w:rsidRPr="00A31137" w:rsidRDefault="00A31137" w:rsidP="00A31137">
      <w:r w:rsidRPr="00A31137">
        <w:t>Cooper v. Aaron, 358 U.S. 1,  26 (1958) (Frankfurter, J., concurring)</w:t>
      </w:r>
    </w:p>
    <w:p w:rsidR="00A31137" w:rsidRPr="00A31137" w:rsidRDefault="00A31137" w:rsidP="00A31137">
      <w:r w:rsidRPr="00A31137">
        <w:t>1990, Spallone v. U.S., 493 U.S. 306</w:t>
      </w:r>
    </w:p>
    <w:p w:rsidR="00A31137" w:rsidRPr="00A31137" w:rsidRDefault="00A31137" w:rsidP="00A31137">
      <w:r w:rsidRPr="00A31137">
        <w:t>I dissent.</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1990, Spallone v. U.S., 493 U.S. 306</w:t>
      </w:r>
    </w:p>
    <w:p w:rsidR="00A31137" w:rsidRPr="00A31137" w:rsidRDefault="00A31137" w:rsidP="00A31137">
      <w:r w:rsidRPr="00A31137">
        <w:t>1. Sections I through 11 of the consent decree set forth actions that the city agreed to take in connection with the public housing obligations imposed by Part IV of the housing remedy order. As the Solicitor General emphasized at oral argument, neither those sections of the decree nor Part IV of the remedy order is at issue in this case.</w:t>
      </w:r>
    </w:p>
    <w:p w:rsidR="00A31137" w:rsidRPr="00A31137" w:rsidRDefault="00A31137" w:rsidP="00A31137">
      <w:r w:rsidRPr="00A31137">
        <w:t>1990, Spallone v. U.S., 493 U.S. 306</w:t>
      </w:r>
    </w:p>
    <w:p w:rsidR="00A31137" w:rsidRPr="00A31137" w:rsidRDefault="00A31137" w:rsidP="00A31137">
      <w:r w:rsidRPr="00A31137">
        <w:t>2. The full text of § 17 provides that</w:t>
      </w:r>
    </w:p>
    <w:p w:rsidR="00A31137" w:rsidRPr="00A31137" w:rsidRDefault="00A31137" w:rsidP="00A31137">
      <w:r w:rsidRPr="00A31137">
        <w:t>1990, Spallone v. U.S., 493 U.S. 306</w:t>
      </w:r>
    </w:p>
    <w:p w:rsidR="00A31137" w:rsidRPr="00A31137" w:rsidRDefault="00A31137" w:rsidP="00A31137">
      <w:r w:rsidRPr="00A31137">
        <w:t>[t]he City agrees to adopt, among other things, legislation (a) conditioning the construction of all multifamily housing (inclusive of projects for future construction currently in the planning stage but which will require zoning changes, variances, special exceptions, or other discretionary approvals from the City to begin construction) on the inclusion of at least 20 percent assisted units; (b) granting necessary tax abatements to housing developments constructed under the terms of the legislation referred to in clause (a); (c) granting density bonuses to such developers; (d) providing for zoning changes to allow the placement of such developments, provided, however, that such changes are not substantially inconsistent with the character of the area; and (e) other provisions upon which the parties may subsequently agree (including the use of the Industrial Development Authority as a development vehicle and the creation of a municipally designated, independent not-for-profit Local Development Corporation) (collectively, the "Mandated Incentives"). The City agrees to implement a package of Mandated Incentives as promptly as practicable but, in no event, later than 90 days after the entry of this decree.</w:t>
      </w:r>
    </w:p>
    <w:p w:rsidR="00A31137" w:rsidRPr="00A31137" w:rsidRDefault="00A31137" w:rsidP="00A31137">
      <w:r w:rsidRPr="00A31137">
        <w:t>1990, Spallone v. U.S., 493 U.S. 306</w:t>
      </w:r>
    </w:p>
    <w:p w:rsidR="00A31137" w:rsidRPr="00A31137" w:rsidRDefault="00A31137" w:rsidP="00A31137">
      <w:r w:rsidRPr="00A31137">
        <w:t>3. The Government's statement to the contrary in its brief, Brief for United States 23-24, is in error.</w:t>
      </w:r>
    </w:p>
    <w:p w:rsidR="00A31137" w:rsidRPr="00A31137" w:rsidRDefault="00A31137" w:rsidP="00A31137">
      <w:r w:rsidRPr="00A31137">
        <w:t>1990, Spallone v. U.S., 493 U.S. 306</w:t>
      </w:r>
    </w:p>
    <w:p w:rsidR="00A31137" w:rsidRPr="00A31137" w:rsidRDefault="00A31137" w:rsidP="00A31137">
      <w:r w:rsidRPr="00A31137">
        <w:t>4. The Solicitor General distinguishes the instant sanctions from those threatened in January, 1988, because, in this case, the city and the city council had indicated by the defeat of a resolution proposed by the court that it "would not 'voluntarily adopt the legislation contemplated by the [court's orders].'" Id. at 45 (quoting City of Yonkers Memorandum of Law in Opposition to Plaintiffs' Proposed Contempt Order; see App. 351). Before the court threatened sanctions for refusal to adopt the 1987-1988 HAP, however, the city council had twice tabled an initiative to enact the HAP, id. at 173, and the court previously had been forced to "deem" HAPs to have been submitted for two previous years. Id. at 174; Brief for United States 5, n. 7. Suffice it to say that the council's conduct with regard to the HAP hardly suggested a willingness to comply "voluntarily."</w:t>
      </w:r>
    </w:p>
    <w:p w:rsidR="00A31137" w:rsidRPr="00A31137" w:rsidRDefault="00A31137" w:rsidP="00A31137">
      <w:r w:rsidRPr="00A31137">
        <w:t>BRENNAN, J., dissenting (Footnotes)</w:t>
      </w:r>
    </w:p>
    <w:p w:rsidR="00A31137" w:rsidRPr="00A31137" w:rsidRDefault="00A31137" w:rsidP="00A31137">
      <w:r w:rsidRPr="00A31137">
        <w:t>1990, Spallone v. U.S., 493 U.S. 306</w:t>
      </w:r>
    </w:p>
    <w:p w:rsidR="00A31137" w:rsidRPr="00A31137" w:rsidRDefault="00A31137" w:rsidP="00A31137">
      <w:r w:rsidRPr="00A31137">
        <w:t>1. According to the 1980 census, only 6% of the residents outside of Southwest Yonkers were minorities, and they were largely concentrated in two small neighborhoods. One northwest neighborhood had a minority population of 29% and abutted a southwest tract comprised of over 50% minorities. The second neighborhood, located in East Yonkers, was Runyon Heights. This neighborhood was founded early this century on a large tract of land by a state senator who regularly brought busloads of blacks from Harlem for picnics at which he auctioned off parcels of land to them. Runyon Heights is bounded to the north by a white neighborhood called Homefield. The original deeds for many Homefield properties contained restrictive covenants prohibiting the sale of such properties to minorities, and as Runyon Heights developed the Homefield Neighborhood Association purchased and maintained a 4-foot strip of land as a barrier between the streets of the two neighborhoods. Most Runyon Heights streets terminate in a dead end just below this strip, essentially sealing off the minority community from the surrounding white neighborhood.</w:t>
      </w:r>
    </w:p>
    <w:p w:rsidR="00A31137" w:rsidRPr="00A31137" w:rsidRDefault="00A31137" w:rsidP="00A31137">
      <w:r w:rsidRPr="00A31137">
        <w:t>1990, Spallone v. U.S., 493 U.S. 306</w:t>
      </w:r>
    </w:p>
    <w:p w:rsidR="00A31137" w:rsidRPr="00A31137" w:rsidRDefault="00A31137" w:rsidP="00A31137">
      <w:r w:rsidRPr="00A31137">
        <w:t>One of the only two low-income housing developments located outside of Southwest Yonkers was placed in Runyon Heights. The other housed only senior citizens, predominantly whites.</w:t>
      </w:r>
    </w:p>
    <w:p w:rsidR="00A31137" w:rsidRPr="00A31137" w:rsidRDefault="00A31137" w:rsidP="00A31137">
      <w:r w:rsidRPr="00A31137">
        <w:t>1990, Spallone v. U.S., 493 U.S. 306</w:t>
      </w:r>
    </w:p>
    <w:p w:rsidR="00A31137" w:rsidRPr="00A31137" w:rsidRDefault="00A31137" w:rsidP="00A31137">
      <w:r w:rsidRPr="00A31137">
        <w:t>2. The vote was 5-to-l; all four petitioners were in the majority.</w:t>
      </w:r>
    </w:p>
    <w:p w:rsidR="00A31137" w:rsidRPr="00A31137" w:rsidRDefault="00A31137" w:rsidP="00A31137">
      <w:r w:rsidRPr="00A31137">
        <w:t>1990, Spallone v. U.S., 493 U.S. 306</w:t>
      </w:r>
    </w:p>
    <w:p w:rsidR="00A31137" w:rsidRPr="00A31137" w:rsidRDefault="00A31137" w:rsidP="00A31137">
      <w:r w:rsidRPr="00A31137">
        <w:t>3. While this vote terminated the contempt sanctions, it by no means heralded a lasting commitment on the part of the city council actually to follow through on the remedial obligations imposed by the Housing Ordinance. Since this date, no new public housing has been built in Yonkers. During the local city council election last November, petitioner Spallone</w:t>
      </w:r>
    </w:p>
    <w:p w:rsidR="00A31137" w:rsidRPr="00A31137" w:rsidRDefault="00A31137" w:rsidP="00A31137">
      <w:r w:rsidRPr="00A31137">
        <w:t>1990, Spallone v. U.S., 493 U.S. 306</w:t>
      </w:r>
    </w:p>
    <w:p w:rsidR="00A31137" w:rsidRPr="00A31137" w:rsidRDefault="00A31137" w:rsidP="00A31137">
      <w:r w:rsidRPr="00A31137">
        <w:t>campaigned [for Mayor] on a pledge to continue the city's resistance to a Federal desegregation order requiring it to build low-income housing in white neighborhoods,</w:t>
      </w:r>
    </w:p>
    <w:p w:rsidR="00A31137" w:rsidRPr="00A31137" w:rsidRDefault="00A31137" w:rsidP="00A31137">
      <w:r w:rsidRPr="00A31137">
        <w:t>1990, Spallone v. U.S., 493 U.S. 306</w:t>
      </w:r>
    </w:p>
    <w:p w:rsidR="00A31137" w:rsidRPr="00A31137" w:rsidRDefault="00A31137" w:rsidP="00A31137">
      <w:r w:rsidRPr="00A31137">
        <w:t>N.Y. Times, Nov. 8, 1989, p. B1, col. 5, and Spallone was elected in a "race [that] was widely seen as a referendum on the housing desegregation plan." Ibid. Petitioners Chema and Fagan were reelected to the council, and the new member filling Spallone's vacated seat also opposes compliance; thus "candidates opposed to the housing plan appea[r] to hold a majority." Ibid. Whether Yonkers officials will ever comply with Judge Sand's orders attempting to remedy Yonkers' longstanding racial segregation remains an open question.</w:t>
      </w:r>
    </w:p>
    <w:p w:rsidR="00A31137" w:rsidRPr="00A31137" w:rsidRDefault="00A31137" w:rsidP="00A31137">
      <w:r w:rsidRPr="00A31137">
        <w:t>1990, Spallone v. U.S., 493 U.S. 306</w:t>
      </w:r>
    </w:p>
    <w:p w:rsidR="00A31137" w:rsidRPr="00A31137" w:rsidRDefault="00A31137" w:rsidP="00A31137">
      <w:r w:rsidRPr="00A31137">
        <w:t>4. See also, e.g., Sheet Metal Workers v. EEOC, 478 U.S. 421, 486 (1986) (Powell, J., concurring) (District Court, "having had the parties before it over a period of time, was in the best position to judge whether an alternative remedy…would have been effective in ending petitioners' discriminatory practices"); Fullilove v. Klutznick, 448 U.S. 448,  508 (1980) (Powell, J., concurring) (Court has "recognized that the choice of remedies to redress racial discrimination is 'a balancing process left, within appropriate constitutional or statutory limits, to the sound discretion of the trial court'") (quoting Franks v. Bowman Transportation Co., 424 U.S. 747, 794 (1976) (Powell, J., concurring in part and dissenting in part)).</w:t>
      </w:r>
    </w:p>
    <w:p w:rsidR="00A31137" w:rsidRPr="00A31137" w:rsidRDefault="00A31137" w:rsidP="00A31137">
      <w:r w:rsidRPr="00A31137">
        <w:t>1990, Spallone v. U.S., 493 U.S. 306</w:t>
      </w:r>
    </w:p>
    <w:p w:rsidR="00A31137" w:rsidRPr="00A31137" w:rsidRDefault="00A31137" w:rsidP="00A31137">
      <w:r w:rsidRPr="00A31137">
        <w:t>5. Judge Sand considered but ultimately discarded two alternatives: (1) vesting all of the city's legislative and executive power with respect to housing development in a judicially created housing commission; and (2) "deeming" by judicial decree the Housing Ordinance to have been enacted and enjoining Yonkers' executive officials to comply with the Ordinance despite its lack of legislative support. See ante at  275. I agree with the Court that, given city council approval of the city's Consent Decree committing itself to pass legislation implementing the Housing Remedy Order, Judge Sand did not abuse his discretion by binding the city to its own commitment. Ante at  276. Moreover, the city repeatedly objected to creation of an independent housing commission, and because this remedy would have completely divested the council of all legislative power in the housing field, it is difficult to characterize it as a less intrusive means of remedying the discrimination. Finally, "deeming" the Housing Ordinance to have been passed likely would have been less effective in the long run. Judge Sand would have still faced a continuing compliance battle with the city council; as he observed,</w:t>
      </w:r>
    </w:p>
    <w:p w:rsidR="00A31137" w:rsidRPr="00A31137" w:rsidRDefault="00A31137" w:rsidP="00A31137">
      <w:r w:rsidRPr="00A31137">
        <w:t>1990, Spallone v. U.S., 493 U.S. 306</w:t>
      </w:r>
    </w:p>
    <w:p w:rsidR="00A31137" w:rsidRPr="00A31137" w:rsidRDefault="00A31137" w:rsidP="00A31137">
      <w:r w:rsidRPr="00A31137">
        <w:t>[o]bviously, if the city council were to say, well, Judge Sand, those are your orders ["deeming" the Ordinance enacted], you do with them what you will, but at some point we will reassert our authority, then we are engaged in an exercise which doesn't get housing built.</w:t>
      </w:r>
    </w:p>
    <w:p w:rsidR="00A31137" w:rsidRPr="00A31137" w:rsidRDefault="00A31137" w:rsidP="00A31137">
      <w:r w:rsidRPr="00A31137">
        <w:t>1990, Spallone v. U.S., 493 U.S. 306</w:t>
      </w:r>
    </w:p>
    <w:p w:rsidR="00A31137" w:rsidRPr="00A31137" w:rsidRDefault="00A31137" w:rsidP="00A31137">
      <w:r w:rsidRPr="00A31137">
        <w:t>App. 357. Moreover, private developers would have been less likely to commit resources to the subsidized housing program absent an assurance of ongoing council support for the program evidenced by council resolution.</w:t>
      </w:r>
    </w:p>
    <w:p w:rsidR="00A31137" w:rsidRPr="00A31137" w:rsidRDefault="00A31137" w:rsidP="00A31137">
      <w:r w:rsidRPr="00A31137">
        <w:t>1990, Spallone v. U.S., 493 U.S. 306</w:t>
      </w:r>
    </w:p>
    <w:p w:rsidR="00A31137" w:rsidRPr="00A31137" w:rsidRDefault="00A31137" w:rsidP="00A31137">
      <w:r w:rsidRPr="00A31137">
        <w:t>6. Memorandum filed with the Court of Appeals for the Second Circuit six days after Judge Sand held the city and petitioners in contempt.</w:t>
      </w:r>
    </w:p>
    <w:p w:rsidR="00A31137" w:rsidRPr="00A31137" w:rsidRDefault="00A31137" w:rsidP="00A31137">
      <w:r w:rsidRPr="00A31137">
        <w:t>1990, Spallone v. U.S., 493 U.S. 306</w:t>
      </w:r>
    </w:p>
    <w:p w:rsidR="00A31137" w:rsidRPr="00A31137" w:rsidRDefault="00A31137" w:rsidP="00A31137">
      <w:r w:rsidRPr="00A31137">
        <w:t>7. The same clear warning was provided to the Second Circuit. At its hearing on the city's stay application pending appeal, the court inquired whether the attorney had changed his mind and now had reason to believe that the threat of the accrued fines payable on August 15 would coerce compliance. The attorney replied as follows:</w:t>
      </w:r>
    </w:p>
    <w:p w:rsidR="00A31137" w:rsidRPr="00A31137" w:rsidRDefault="00A31137" w:rsidP="00A31137">
      <w:r w:rsidRPr="00A31137">
        <w:t>1990, Spallone v. U.S., 493 U.S. 306</w:t>
      </w:r>
    </w:p>
    <w:p w:rsidR="00A31137" w:rsidRPr="00A31137" w:rsidRDefault="00A31137" w:rsidP="00A31137">
      <w:r w:rsidRPr="00A31137">
        <w:t>No, I think that would be playing Russian roulette on the city's behalf. I couldn't in good conscience suggest this. I suggested it at the time because I hoped that because several council members had suggested that their concern was that they could not vote the zoning ordinance into effect without the prior notice and public hearing, that if we allowed them to vote on August 15th, that would get rid of that excuse. But I have no reasonable belief that council members would change their vote.</w:t>
      </w:r>
    </w:p>
    <w:p w:rsidR="00A31137" w:rsidRPr="00A31137" w:rsidRDefault="00A31137" w:rsidP="00A31137">
      <w:r w:rsidRPr="00A31137">
        <w:t>1990, Spallone v. U.S., 493 U.S. 306</w:t>
      </w:r>
    </w:p>
    <w:p w:rsidR="00A31137" w:rsidRPr="00A31137" w:rsidRDefault="00A31137" w:rsidP="00A31137">
      <w:r w:rsidRPr="00A31137">
        <w:t>Tr. 13 (Aug. 9, 1988) (emphasis added).</w:t>
      </w:r>
    </w:p>
    <w:p w:rsidR="00A31137" w:rsidRPr="00A31137" w:rsidRDefault="00A31137" w:rsidP="00A31137">
      <w:r w:rsidRPr="00A31137">
        <w:t>1990, Spallone v. U.S., 493 U.S. 306</w:t>
      </w:r>
    </w:p>
    <w:p w:rsidR="00A31137" w:rsidRPr="00A31137" w:rsidRDefault="00A31137" w:rsidP="00A31137">
      <w:r w:rsidRPr="00A31137">
        <w:t>8. Cf. Powell v. McCormack, 395 U.S. 486,  503 (1969) ("[T]he legislative immunity created by the Speech or Debate Clause…insures that legislators are free to represent the interests of their constituents without fear that they will be later called to task in the courts for that representation").</w:t>
      </w:r>
    </w:p>
    <w:p w:rsidR="00A31137" w:rsidRPr="00A31137" w:rsidRDefault="00A31137" w:rsidP="00A31137">
      <w:r w:rsidRPr="00A31137">
        <w:t>1990, Spallone v. U.S., 493 U.S. 306</w:t>
      </w:r>
    </w:p>
    <w:p w:rsidR="00A31137" w:rsidRPr="00A31137" w:rsidRDefault="00A31137" w:rsidP="00A31137">
      <w:r w:rsidRPr="00A31137">
        <w:t>9. I do not mean to suggest that public policy concerns may play no role in designing the scope or content of the underlying remedial order. When each of a variety of different remedial programs would fully remedy the constitutional violation, for example, a district court should take into account relevant and important policy concerns voiced by government defendants in choosing among such remedies. Here,</w:t>
      </w:r>
    </w:p>
    <w:p w:rsidR="00A31137" w:rsidRPr="00A31137" w:rsidRDefault="00A31137" w:rsidP="00A31137">
      <w:r w:rsidRPr="00A31137">
        <w:t>1990, Spallone v. U.S., 493 U.S. 306</w:t>
      </w:r>
    </w:p>
    <w:p w:rsidR="00A31137" w:rsidRPr="00A31137" w:rsidRDefault="00A31137" w:rsidP="00A31137">
      <w:r w:rsidRPr="00A31137">
        <w:t>[a]t every step of the proceedings, the [district] court has stayed its hand to enable the elected representatives of Yonkers to have the maximum input in shaping the destiny of Yonkers.</w:t>
      </w:r>
    </w:p>
    <w:p w:rsidR="00A31137" w:rsidRPr="00A31137" w:rsidRDefault="00A31137" w:rsidP="00A31137">
      <w:r w:rsidRPr="00A31137">
        <w:t>1990, Spallone v. U.S., 493 U.S. 306</w:t>
      </w:r>
    </w:p>
    <w:p w:rsidR="00A31137" w:rsidRPr="00A31137" w:rsidRDefault="00A31137" w:rsidP="00A31137">
      <w:r w:rsidRPr="00A31137">
        <w:t>App. 205.</w:t>
      </w:r>
    </w:p>
    <w:p w:rsidR="00A31137" w:rsidRPr="00A31137" w:rsidRDefault="00A31137" w:rsidP="00A31137">
      <w:r w:rsidRPr="00A31137">
        <w:t>1990, Spallone v. U.S., 493 U.S. 306</w:t>
      </w:r>
    </w:p>
    <w:p w:rsidR="00A31137" w:rsidRPr="00A31137" w:rsidRDefault="00A31137" w:rsidP="00A31137">
      <w:r w:rsidRPr="00A31137">
        <w:t>10. See, e.g., Monell v. New York City Dept. of Social Services, 436 U.S. 658,  681 (1978) (observing historical practice of district courts' "ordering that taxes be levied and collected [by municipalities] to discharge federal-court judgments, once a constitutional infraction was found"); Griffin v. Prince Edward County School Board, 377 U.S. 218,  233 (1964) (district court could "require the [County] Supervisors to exercise the power that is theirs to levy taxes to raise funds adequate to reopen, operate, and maintain without racial discrimination a public school system…. "); cf. Watson v. Memphis, 373 U.S. 526, 537 (1963) ("[I]t is obvious that vindication of conceded constitutional rights cannot be made dependent upon any theory that it is less expensive to deny than to afford them").</w:t>
      </w:r>
    </w:p>
    <w:p w:rsidR="00A31137" w:rsidRPr="00A31137" w:rsidRDefault="00A31137" w:rsidP="00A31137">
      <w:r w:rsidRPr="00A31137">
        <w:t>1990, Spallone v. U.S., 493 U.S. 306</w:t>
      </w:r>
    </w:p>
    <w:p w:rsidR="00A31137" w:rsidRPr="00A31137" w:rsidRDefault="00A31137" w:rsidP="00A31137">
      <w:r w:rsidRPr="00A31137">
        <w:t>11. See Columbus Bd. of Education v. Penick, 443 U.S. 449, 459 (1979) (once court orders desegregation remedy, "[e]ach instance of a failure or refusal to fulfill this affirmative duty continues the violation of the Fourteenth Amendment"). Put another way, remedial defiance by the legislature circumvents the structural protections afforded the citizenry from unconstitutional government behavior by a multi-branch review process, see supra at 300-301, by allowing the legislature de facto to override the court's ruling in a particular case that its behavior violates the Fourteenth Amendment. Cf. Cooper v. Aaron, 358 U.S. 1,  18 (1958) ("'If the legislatures of the several states may, at will, annul the judgments of the courts of the United States, and destroy the rights acquired under those judgments, the constitution itself becomes a solemn mockery'") (quoting United States v. Peters, 5 Cranch. 115,  136 (1809)).</w:t>
      </w:r>
    </w:p>
    <w:p w:rsidR="00A31137" w:rsidRPr="00A31137" w:rsidRDefault="00A31137" w:rsidP="00A31137">
      <w:r w:rsidRPr="00A31137">
        <w:t>1990, Spallone v. U.S., 493 U.S. 306</w:t>
      </w:r>
    </w:p>
    <w:p w:rsidR="00A31137" w:rsidRPr="00A31137" w:rsidRDefault="00A31137" w:rsidP="00A31137">
      <w:r w:rsidRPr="00A31137">
        <w:t>Indeed, even were the councilmembers to maintain that the Housing Ordinance they were required to enact itself violated the Constitution, for example, by mandating unjustified racial preferences, the members would nevertheless be bound by a court order considering, yet rejecting, their constitutional objection. See Cooper, supra, 358 U.S. at  18 ("[F]ederal judiciary is supreme in the exposition of the law of the Constitution" in case adjudication). But in any event, the councilmembers raised no serious substantive objections, constitutional or otherwise, to the Ordinance (which, after all, was based on the city council-approved Consent Decree). See, e.g., App.416 ("The City of Yonkers, through its council, has represented to this court that there are no substantive objections to the affordable housing ordinance").</w:t>
      </w:r>
    </w:p>
    <w:p w:rsidR="00A31137" w:rsidRPr="00A31137" w:rsidRDefault="00A31137" w:rsidP="00A31137">
      <w:r w:rsidRPr="00A31137">
        <w:t>1990, Spallone v. U.S., 493 U.S. 306</w:t>
      </w:r>
    </w:p>
    <w:p w:rsidR="00A31137" w:rsidRPr="00A31137" w:rsidRDefault="00A31137" w:rsidP="00A31137">
      <w:r w:rsidRPr="00A31137">
        <w:t>12. Petitioner Chema claims that his legislative discretion is protected by the First Amendment as well. Characterizing his vote on proposed legislation as core political speech, he contends that the Order infringes his right to communicate with his constituents through his vote. This attempt to recharacterize the common law legislative immunity doctrine into traditional First Amendment terms is unpersuasive. While the act of publicly voting on legislation arguably contains a communicative element, the act is quintessentially one of governance; voting to implement a remedial decree is best understood as a ministerial step in the process of executing a decision made by government actors with superior authority. Councilmember Chema can no more claim immunity from sanctions for refusing to comply with the District Court's binding order by virtue of the First Amendment than could a Yonkers housing official refuse to issue private developers written exemptions from zoning restrictions as required by the Housing Ordinance, or indeed than could Judge Sand on remand refuse to issue an order implementing the Court's decision in this case should he disagree with it.</w:t>
      </w:r>
    </w:p>
    <w:p w:rsidR="00A31137" w:rsidRPr="00A31137" w:rsidRDefault="00A31137" w:rsidP="00A31137">
      <w:r w:rsidRPr="00A31137">
        <w:t>1990, Spallone v. U.S., 493 U.S. 306</w:t>
      </w:r>
    </w:p>
    <w:p w:rsidR="00A31137" w:rsidRPr="00A31137" w:rsidRDefault="00A31137" w:rsidP="00A31137">
      <w:r w:rsidRPr="00A31137">
        <w:t>13. To be sure, imposing sanctions against the city allowed councilmembers to comply with the court order while publicly explaining that their decision to do so was motivated by a desire to promote their constituents' overall interests (even though, as explained above, compliance was mandatory and therefore this appearance of deference to constituent pressure was merely a charade). But any suggestion that city sanctions were somehow less "perverse" than personal sanctions because the former allowed councilmembers more easily to cling to their self-defined political martyrdom is untenable; it seems absurd to suggest that Judge Sand ought to have been concerned with providing the councilmembers guilty of unconscionable behavior a handy public excuse for their belated compliance. Of course, providing the recalcitrant councilmembers with a public-oriented excuse for compliance probably increased the likelihood of successful coercion. But at most this insight suggests that sanctioning the individual councilmembers alone might not have succeeded; it does not fault Judge Sand's decision to impose both sanctions simultaneously, and it hardly renders his action an abuse of discretion.</w:t>
      </w:r>
    </w:p>
    <w:p w:rsidR="00A31137" w:rsidRPr="00A31137" w:rsidRDefault="00A31137" w:rsidP="00A31137">
      <w:r w:rsidRPr="00A31137">
        <w:t>1990, Spallone v. U.S., 493 U.S. 306</w:t>
      </w:r>
    </w:p>
    <w:p w:rsidR="00A31137" w:rsidRPr="00A31137" w:rsidRDefault="00A31137" w:rsidP="00A31137">
      <w:r w:rsidRPr="00A31137">
        <w:t>14. The Court repeatedly points out that the individual legislators were not parties to the original action. Ante at  274,  276. This accurate observation explains why the lawsuit did not itself contravene the principle underlying the doctrine of legislative immunity. See supra at  300; cf. Powell v. McCormack, 395 U.S. at  505 ("Freedom of legislative activity…[is] fully protected if legislators are relieved of the burden of defending themselves").</w:t>
      </w:r>
    </w:p>
    <w:p w:rsidR="00A31137" w:rsidRPr="00A31137" w:rsidRDefault="00A31137" w:rsidP="00A31137">
      <w:r w:rsidRPr="00A31137">
        <w:t>1990, Spallone v. U.S., 493 U.S. 306</w:t>
      </w:r>
    </w:p>
    <w:p w:rsidR="00A31137" w:rsidRPr="00A31137" w:rsidRDefault="00A31137" w:rsidP="00A31137">
      <w:r w:rsidRPr="00A31137">
        <w:t>It is unclear, however, why the Court repeatedly insists that the individual city councilmembers were not specifically enjoined by the Housing Remedy Order to participate in the remedial process. Ante at  274,  277. As a factual proposition, this insistence is misguided. First, the opening proviso of the Housing Remedy Order, which binds the "City of Yonkers, its officers, agents, employees, successors, and all persons in active concert or participation with any of them" to refrain from future discriminatory acts, can easily be understood to refer equally to all substantive provisions of the Order. Second, the Consent Decree, specifically approved by the city council, contemplated that the city would "adopt legislation"; this Decree was universally understood to impose duties directly upon the Councilmembers, the only city officials with authority to adopt legislation. Third, the remedial duties were, by operation of law,</w:t>
      </w:r>
    </w:p>
    <w:p w:rsidR="00A31137" w:rsidRPr="00A31137" w:rsidRDefault="00A31137" w:rsidP="00A31137">
      <w:r w:rsidRPr="00A31137">
        <w:t>1990, Spallone v. U.S., 493 U.S. 306</w:t>
      </w:r>
    </w:p>
    <w:p w:rsidR="00A31137" w:rsidRPr="00A31137" w:rsidRDefault="00A31137" w:rsidP="00A31137">
      <w:r w:rsidRPr="00A31137">
        <w:t>binding…upon the parties to the action, their officers, agents, servants, employees, and attorneys, and upon those persons in active concert or participation with them who receive actual notice of the order by personal service or otherwise.</w:t>
      </w:r>
    </w:p>
    <w:p w:rsidR="00A31137" w:rsidRPr="00A31137" w:rsidRDefault="00A31137" w:rsidP="00A31137">
      <w:r w:rsidRPr="00A31137">
        <w:t>1990, Spallone v. U.S., 493 U.S. 306</w:t>
      </w:r>
    </w:p>
    <w:p w:rsidR="00A31137" w:rsidRPr="00A31137" w:rsidRDefault="00A31137" w:rsidP="00A31137">
      <w:r w:rsidRPr="00A31137">
        <w:t>Fed.Rule Civ.Proc. 65(d).</w:t>
      </w:r>
    </w:p>
    <w:p w:rsidR="00A31137" w:rsidRPr="00A31137" w:rsidRDefault="00A31137" w:rsidP="00A31137">
      <w:r w:rsidRPr="00A31137">
        <w:t>1990, Spallone v. U.S., 493 U.S. 306</w:t>
      </w:r>
    </w:p>
    <w:p w:rsidR="00A31137" w:rsidRPr="00A31137" w:rsidRDefault="00A31137" w:rsidP="00A31137">
      <w:r w:rsidRPr="00A31137">
        <w:t>But even assuming, arguendo, that the individual city councilmembers were not named parties in the original Housing Remedy Order, this fact would not preclude a finding of personal contempt, given the clear notice afforded by the Contempt Order, and the Court nowhere explains how this fact could make resort to personal sanctions more "intrusive" than resort to city sanctions.</w:t>
      </w:r>
    </w:p>
    <w:p w:rsidR="00A31137" w:rsidRPr="00A31137" w:rsidRDefault="00A31137" w:rsidP="00A31137">
      <w:r w:rsidRPr="00A31137">
        <w:t>Employment Division v. Smith, 1990</w:t>
      </w:r>
    </w:p>
    <w:p w:rsidR="00A31137" w:rsidRPr="00A31137" w:rsidRDefault="00A31137" w:rsidP="00A31137">
      <w:r w:rsidRPr="00A31137">
        <w:t>Title:</w:t>
      </w:r>
      <w:r w:rsidRPr="00A31137">
        <w:tab/>
        <w:t>Employment Division, Department of Human Resources of Oregon v. Smith</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April 17, 1990</w:t>
      </w:r>
    </w:p>
    <w:p w:rsidR="00A31137" w:rsidRPr="00A31137" w:rsidRDefault="00A31137" w:rsidP="00A31137">
      <w:r w:rsidRPr="00A31137">
        <w:t>Source:</w:t>
      </w:r>
      <w:r w:rsidRPr="00A31137">
        <w:tab/>
        <w:t>494 U.S. 872</w:t>
      </w:r>
    </w:p>
    <w:p w:rsidR="00A31137" w:rsidRPr="00A31137" w:rsidRDefault="00A31137" w:rsidP="00A31137">
      <w:r w:rsidRPr="00A31137">
        <w:t>This case was argued November 6, 1989, and was decided April 17, 1990.</w:t>
      </w:r>
    </w:p>
    <w:p w:rsidR="00A31137" w:rsidRPr="00A31137" w:rsidRDefault="00A31137" w:rsidP="00A31137">
      <w:r w:rsidRPr="00A31137">
        <w:t>CERTIORARI TO THE SUPREME COURT OF OREGON</w:t>
      </w:r>
    </w:p>
    <w:p w:rsidR="00A31137" w:rsidRPr="00A31137" w:rsidRDefault="00A31137" w:rsidP="00A31137">
      <w:r w:rsidRPr="00A31137">
        <w:t>Syllabus</w:t>
      </w:r>
    </w:p>
    <w:p w:rsidR="00A31137" w:rsidRPr="00A31137" w:rsidRDefault="00A31137" w:rsidP="00A31137">
      <w:r w:rsidRPr="00A31137">
        <w:t>1990, Employment Div. v. Smith, 494 U.S. 872</w:t>
      </w:r>
    </w:p>
    <w:p w:rsidR="00A31137" w:rsidRPr="00A31137" w:rsidRDefault="00A31137" w:rsidP="00A31137">
      <w:r w:rsidRPr="00A31137">
        <w:t>Respondents Smith and Black were fired by a private drug rehabilitation organization because they ingested peyote, a hallucinogenic drug, for sacramental purposes at a ceremony of their Native American Church. Their applications for unemployment compensation were denied by the State of Oregon under a state law disqualifying employees discharged for work-related "misconduct." Holding that the denials violated respondents' First Amendment free exercise rights, the State Court of Appeals reversed. The State Supreme Court affirmed, but this Court vacated the judgment and remanded for a determination whether sacramental peyote use is proscribed by the State's controlled substance law, which makes it a felony to knowingly or intentionally possess the drug. Pending that determination, the Court refused to decide whether such use is protected by the Constitution. On remand, the State Supreme Court held that sacramental peyote use violated, and was not excepted from, the state law prohibition, but concluded that that prohibition was invalid under the Free Exercise Clause.</w:t>
      </w:r>
    </w:p>
    <w:p w:rsidR="00A31137" w:rsidRPr="00A31137" w:rsidRDefault="00A31137" w:rsidP="00A31137">
      <w:r w:rsidRPr="00A31137">
        <w:t>1990, Employment Div. v. Smith, 494 U.S. 872</w:t>
      </w:r>
    </w:p>
    <w:p w:rsidR="00A31137" w:rsidRPr="00A31137" w:rsidRDefault="00A31137" w:rsidP="00A31137">
      <w:r w:rsidRPr="00A31137">
        <w:t>Held: The Free Exercise Clause permits the State to prohibit sacramental peyote use, and thus to deny unemployment benefits to persons discharged for such use. Pp.  876-890.</w:t>
      </w:r>
    </w:p>
    <w:p w:rsidR="00A31137" w:rsidRPr="00A31137" w:rsidRDefault="00A31137" w:rsidP="00A31137">
      <w:r w:rsidRPr="00A31137">
        <w:t>1990, Employment Div. v. Smith, 494 U.S. 872</w:t>
      </w:r>
    </w:p>
    <w:p w:rsidR="00A31137" w:rsidRPr="00A31137" w:rsidRDefault="00A31137" w:rsidP="00A31137">
      <w:r w:rsidRPr="00A31137">
        <w:t>(a) Although a State would be "prohibiting the free exercise [of religion]" in violation of the Clause if it sought to ban the performance of (or abstention from) physical acts solely because of their religious motivation, the Clause does not relieve an individual of the obligation to comply with a law that incidentally forbids (or requires) the performance of an act that his religious belief requires (or forbids) if the law is not specifically directed to religious practice and is otherwise constitutional as applied to those who engage in the specified act for nonreligious reasons. See, e.g., Reynolds v. United States, 98 U.S. 145, 166-167. The only decisions in which this Court has held that the First Amendment bars application of a neutral, generally applicable law to religiously motivated action are distinguished on the ground that they involved not the Free Exercise Clause alone, but that Clause in conjunction with other constitutional [494 U.S. 873] protections. See, e.g., Cantwell v. Connecticut, 310 U.S. 296, 304-307; Wisconsin v. Yoder, 406 U.S. 205. Pp.  876-882.</w:t>
      </w:r>
    </w:p>
    <w:p w:rsidR="00A31137" w:rsidRPr="00A31137" w:rsidRDefault="00A31137" w:rsidP="00A31137">
      <w:r w:rsidRPr="00A31137">
        <w:t>1990, Employment Div. v. Smith, 494 U.S. 873</w:t>
      </w:r>
    </w:p>
    <w:p w:rsidR="00A31137" w:rsidRPr="00A31137" w:rsidRDefault="00A31137" w:rsidP="00A31137">
      <w:r w:rsidRPr="00A31137">
        <w:t>(b) Respondents' claim for a religious exemption from the Oregon law cannot be evaluated under the balancing test set forth in the line of cases following Sherbert v. Verner, 374 U.S. 398, 402-403, whereby governmental actions that substantially burden a religious practice must be justified by a "compelling governmental interest." That test was developed in a context—unemployment compensation eligibility rules—that lent itself to individualized governmental assessment of the reasons for the relevant conduct. The test is inapplicable to an across-the-board criminal prohibition on a particular form of conduct. A holding to the contrary would create an extraordinary right to ignore generally applicable laws that are not supported by "compelling governmental interest" on the basis of religious belief. Nor could such a right be limited to situations in which the conduct prohibited is "central" to the individual's religion, since that would enmesh judges in an impermissible inquiry into the centrality of particular beliefs or practices to a faith. Cf. Hernandez v. Commissioner, 490 U.S. 680,  699. Thus, although it is constitutionally permissible to exempt sacramental peyote use from the operation of drug laws, it is not constitutionally required. Pp.  882-890.</w:t>
      </w:r>
    </w:p>
    <w:p w:rsidR="00A31137" w:rsidRPr="00A31137" w:rsidRDefault="00A31137" w:rsidP="00A31137">
      <w:r w:rsidRPr="00A31137">
        <w:t>1990, Employment Div. v. Smith, 494 U.S. 873</w:t>
      </w:r>
    </w:p>
    <w:p w:rsidR="00A31137" w:rsidRPr="00A31137" w:rsidRDefault="00A31137" w:rsidP="00A31137">
      <w:r w:rsidRPr="00A31137">
        <w:t>307 Or. 68, 763 P.2d 146, reversed.</w:t>
      </w:r>
    </w:p>
    <w:p w:rsidR="00A31137" w:rsidRPr="00A31137" w:rsidRDefault="00A31137" w:rsidP="00A31137">
      <w:r w:rsidRPr="00A31137">
        <w:t>1990, Employment Div. v. Smith, 494 U.S. 873</w:t>
      </w:r>
    </w:p>
    <w:p w:rsidR="00A31137" w:rsidRPr="00A31137" w:rsidRDefault="00A31137" w:rsidP="00A31137">
      <w:r w:rsidRPr="00A31137">
        <w:t xml:space="preserve">SCALIA, J., delivered the opinion of the Court, in which REHNQUIST, C.J., and WHITE, STEVENS, and KENNEDY, JJ., joined. O'CONNOR, J., filed an opinion concurring in the judgment, in Parts I and II of which BRENNAN, MARSHALL, and BLACKMUN, JJ., joined without concurring in the judgment, post, p.  891. BLACKMUN, J., filed a dissenting opinion, in which BRENNAN and MARSHALL, JJ., joined, post, p.  907. [494 U.S. 874] </w:t>
      </w:r>
    </w:p>
    <w:p w:rsidR="00A31137" w:rsidRPr="00A31137" w:rsidRDefault="00A31137" w:rsidP="00A31137">
      <w:r w:rsidRPr="00A31137">
        <w:t>SCALIA, J., lead opinion</w:t>
      </w:r>
    </w:p>
    <w:p w:rsidR="00A31137" w:rsidRPr="00A31137" w:rsidRDefault="00A31137" w:rsidP="00A31137">
      <w:r w:rsidRPr="00A31137">
        <w:t>1990, Employment Div. v. Smith, 494 U.S. 874</w:t>
      </w:r>
    </w:p>
    <w:p w:rsidR="00A31137" w:rsidRPr="00A31137" w:rsidRDefault="00A31137" w:rsidP="00A31137">
      <w:r w:rsidRPr="00A31137">
        <w:t>Justice SCALIA delivered the opinion of the Court.</w:t>
      </w:r>
    </w:p>
    <w:p w:rsidR="00A31137" w:rsidRPr="00A31137" w:rsidRDefault="00A31137" w:rsidP="00A31137">
      <w:r w:rsidRPr="00A31137">
        <w:t>1990, Employment Div. v. Smith, 494 U.S. 874</w:t>
      </w:r>
    </w:p>
    <w:p w:rsidR="00A31137" w:rsidRPr="00A31137" w:rsidRDefault="00A31137" w:rsidP="00A31137">
      <w:r w:rsidRPr="00A31137">
        <w:t>This case requires us to decide whether the Free Exercise Clause of the First Amendment permits the State of Oregon to include religiously inspired peyote use within the reach of its general criminal prohibition on use of that drug, and thus permits the State to deny unemployment benefits to persons dismissed from their jobs because of such religiously inspired use.</w:t>
      </w:r>
    </w:p>
    <w:p w:rsidR="00A31137" w:rsidRPr="00A31137" w:rsidRDefault="00A31137" w:rsidP="00A31137">
      <w:r w:rsidRPr="00A31137">
        <w:t>I</w:t>
      </w:r>
    </w:p>
    <w:p w:rsidR="00A31137" w:rsidRPr="00A31137" w:rsidRDefault="00A31137" w:rsidP="00A31137">
      <w:r w:rsidRPr="00A31137">
        <w:t>1990, Employment Div. v. Smith, 494 U.S. 874</w:t>
      </w:r>
    </w:p>
    <w:p w:rsidR="00A31137" w:rsidRPr="00A31137" w:rsidRDefault="00A31137" w:rsidP="00A31137">
      <w:r w:rsidRPr="00A31137">
        <w:t>Oregon law prohibits the knowing or intentional possession of a "controlled substance" unless the substance has been prescribed by a medical practitioner. Ore.Rev.Stat. § 475.992(4) (1987). The law defines "controlled substance" as a drug classified in Schedules I through V of the Federal Controlled Substances Act, 21 U.S.C. §§ 811-812 (1982 ed. and Supp. V), as modified by the State Board of Pharmacy. Ore.Rev.Stat. § 475.005(6) (1987). Persons who violate this provision by possessing a controlled substance listed on Schedule I are "guilty of a Class B felony." § 475.992(4)(a). As compiled by the State Board of Pharmacy under its statutory authority, see Ore.Rev.Stat. § 475.035 (1987), Schedule I contains the drug peyote, a hallucinogen derived from the plant Lophophorawilliamsii Lemaire. Ore.Admin. Rule 855-80-021(3)(s) (1988).</w:t>
      </w:r>
    </w:p>
    <w:p w:rsidR="00A31137" w:rsidRPr="00A31137" w:rsidRDefault="00A31137" w:rsidP="00A31137">
      <w:r w:rsidRPr="00A31137">
        <w:t>1990, Employment Div. v. Smith, 494 U.S. 874</w:t>
      </w:r>
    </w:p>
    <w:p w:rsidR="00A31137" w:rsidRPr="00A31137" w:rsidRDefault="00A31137" w:rsidP="00A31137">
      <w:r w:rsidRPr="00A31137">
        <w:t xml:space="preserve">Respondents Alfred Smith and Galen Black were fired from their jobs with a private drug rehabilitation organization because they ingested peyote for sacramental purposes at a ceremony of the Native American Church, of which both are members. When respondents applied to petitioner Employment Division for unemployment compensation, they were determined to be ineligible for benefits because they had been discharged for work-related "misconduct". The Oregon Court of Appeals reversed that determination, holding that the denial of benefits violated respondents' free exercise rights under the First Amendment. [494 U.S. 875] </w:t>
      </w:r>
    </w:p>
    <w:p w:rsidR="00A31137" w:rsidRPr="00A31137" w:rsidRDefault="00A31137" w:rsidP="00A31137">
      <w:r w:rsidRPr="00A31137">
        <w:t>1990, Employment Div. v. Smith, 494 U.S. 875</w:t>
      </w:r>
    </w:p>
    <w:p w:rsidR="00A31137" w:rsidRPr="00A31137" w:rsidRDefault="00A31137" w:rsidP="00A31137">
      <w:r w:rsidRPr="00A31137">
        <w:t>On appeal to the Oregon Supreme Court, petitioner argued that the denial of benefits was permissible because respondents' consumption of peyote was a crime under Oregon law. The Oregon Supreme Court reasoned, however, that the criminality of respondents' peyote use was irrelevant to resolution of their constitutional claim—since the purpose of the "misconduct" provision under which respondents had been disqualified was not to enforce the State's criminal laws, but to preserve the financial integrity of the compensation fund, and since that purpose was inadequate to justify the burden that disqualification imposed on respondents' religious practice. Citing our decisions in Sherbert v. Verner, 374 U.S. 398 (1963), and Thomas v. Review Board, Indiana Employment Security Div., 450 U.S. 707 (1981), the court concluded that respondents were entitled to payment of unemployment benefits. Smith v. Employment Div., Dept. of Human Resources, 301 Or. 209, 217-219, 721 P.2d 445, 449-450 (1986). We granted certiorari. 480 U.S. 916 (1987).</w:t>
      </w:r>
    </w:p>
    <w:p w:rsidR="00A31137" w:rsidRPr="00A31137" w:rsidRDefault="00A31137" w:rsidP="00A31137">
      <w:r w:rsidRPr="00A31137">
        <w:t>1990, Employment Div. v. Smith, 494 U.S. 875</w:t>
      </w:r>
    </w:p>
    <w:p w:rsidR="00A31137" w:rsidRPr="00A31137" w:rsidRDefault="00A31137" w:rsidP="00A31137">
      <w:r w:rsidRPr="00A31137">
        <w:t>Before this Court in 1987, petitioner continued to maintain that the illegality of respondents' peyote consumption was relevant to their constitutional claim. We agreed, concluding that</w:t>
      </w:r>
    </w:p>
    <w:p w:rsidR="00A31137" w:rsidRPr="00A31137" w:rsidRDefault="00A31137" w:rsidP="00A31137">
      <w:r w:rsidRPr="00A31137">
        <w:t>1990, Employment Div. v. Smith, 494 U.S. 875</w:t>
      </w:r>
    </w:p>
    <w:p w:rsidR="00A31137" w:rsidRPr="00A31137" w:rsidRDefault="00A31137" w:rsidP="00A31137">
      <w:r w:rsidRPr="00A31137">
        <w:t>if a State has prohibited through its criminal laws certain kinds of religiously motivated conduct without violating the First Amendment, it certainly follows that it may impose the lesser burden of denying unemployment compensation benefits to persons who engage in that conduct.</w:t>
      </w:r>
    </w:p>
    <w:p w:rsidR="00A31137" w:rsidRPr="00A31137" w:rsidRDefault="00A31137" w:rsidP="00A31137">
      <w:r w:rsidRPr="00A31137">
        <w:t>1990, Employment Div. v. Smith, 494 U.S. 875</w:t>
      </w:r>
    </w:p>
    <w:p w:rsidR="00A31137" w:rsidRPr="00A31137" w:rsidRDefault="00A31137" w:rsidP="00A31137">
      <w:r w:rsidRPr="00A31137">
        <w:t>Employment Div., Dept. of Human Resources of Oregon v. Smith, 485 U.S. 660, 670 (1988) (Smith I). We noted, however, that the Oregon Supreme Court had not decided whether respondents' sacramental use of peyote was in fact proscribed by Oregon's controlled substance law, and that this issue was a matter of dispute between the parties. Being "uncertain about the legality of the religious use of peyote in Oregon," we determined that it would not be "appropriate for us to decide whether the practice is protected by the Federal Constitution." Id. at 673. Accordingly, we [494 U.S. 876] vacated the judgment of the Oregon Supreme Court and remanded for further proceedings. Id. at 674.</w:t>
      </w:r>
    </w:p>
    <w:p w:rsidR="00A31137" w:rsidRPr="00A31137" w:rsidRDefault="00A31137" w:rsidP="00A31137">
      <w:r w:rsidRPr="00A31137">
        <w:t>1990, Employment Div. v. Smith, 494 U.S. 876</w:t>
      </w:r>
    </w:p>
    <w:p w:rsidR="00A31137" w:rsidRPr="00A31137" w:rsidRDefault="00A31137" w:rsidP="00A31137">
      <w:r w:rsidRPr="00A31137">
        <w:t>On remand, the Oregon Supreme Court held that respondents' religiously inspired use of peyote fell within the prohibition of the Oregon statute, which "makes no exception for the sacramental use" of the drug. 307 Or. 68, 72-73, 763 P.2d 146, 148 (1988). It then considered whether that prohibition was valid under the Free Exercise Clause, and concluded that it was not. The court therefore reaffirmed its previous ruling that the State could not deny unemployment benefits to respondents for having engaged in that practice.</w:t>
      </w:r>
    </w:p>
    <w:p w:rsidR="00A31137" w:rsidRPr="00A31137" w:rsidRDefault="00A31137" w:rsidP="00A31137">
      <w:r w:rsidRPr="00A31137">
        <w:t>1990, Employment Div. v. Smith, 494 U.S. 876</w:t>
      </w:r>
    </w:p>
    <w:p w:rsidR="00A31137" w:rsidRPr="00A31137" w:rsidRDefault="00A31137" w:rsidP="00A31137">
      <w:r w:rsidRPr="00A31137">
        <w:t>We again granted certiorari. 489 U.S. 1077 (1989).</w:t>
      </w:r>
    </w:p>
    <w:p w:rsidR="00A31137" w:rsidRPr="00A31137" w:rsidRDefault="00A31137" w:rsidP="00A31137">
      <w:r w:rsidRPr="00A31137">
        <w:t>II</w:t>
      </w:r>
    </w:p>
    <w:p w:rsidR="00A31137" w:rsidRPr="00A31137" w:rsidRDefault="00A31137" w:rsidP="00A31137">
      <w:r w:rsidRPr="00A31137">
        <w:t>1990, Employment Div. v. Smith, 494 U.S. 876</w:t>
      </w:r>
    </w:p>
    <w:p w:rsidR="00A31137" w:rsidRPr="00A31137" w:rsidRDefault="00A31137" w:rsidP="00A31137">
      <w:r w:rsidRPr="00A31137">
        <w:t>Respondents' claim for relief rests on our decisions in Sherbert v. Verner, supra, Thomas v. Review Board, Indiana Employment Security Div., supra, and Hobbie v. Unemployment Appeals Comm'n of Florida, 480 U.S. 136 (1987), in which we held that a State could not condition the availability of unemployment insurance on an individual's willingness to forgo conduct required by his religion. As we observed in Smith I, however, the conduct at issue in those cases was not prohibited by law. We held that distinction to be critical, for</w:t>
      </w:r>
    </w:p>
    <w:p w:rsidR="00A31137" w:rsidRPr="00A31137" w:rsidRDefault="00A31137" w:rsidP="00A31137">
      <w:r w:rsidRPr="00A31137">
        <w:t>1990, Employment Div. v. Smith, 494 U.S. 876</w:t>
      </w:r>
    </w:p>
    <w:p w:rsidR="00A31137" w:rsidRPr="00A31137" w:rsidRDefault="00A31137" w:rsidP="00A31137">
      <w:r w:rsidRPr="00A31137">
        <w:t>if Oregon does prohibit the religious use of peyote, and if that prohibition is consistent with the Federal Constitution, there is no federal right to engage in that conduct in Oregon,</w:t>
      </w:r>
    </w:p>
    <w:p w:rsidR="00A31137" w:rsidRPr="00A31137" w:rsidRDefault="00A31137" w:rsidP="00A31137">
      <w:r w:rsidRPr="00A31137">
        <w:t>1990, Employment Div. v. Smith, 494 U.S. 876</w:t>
      </w:r>
    </w:p>
    <w:p w:rsidR="00A31137" w:rsidRPr="00A31137" w:rsidRDefault="00A31137" w:rsidP="00A31137">
      <w:r w:rsidRPr="00A31137">
        <w:t>and</w:t>
      </w:r>
    </w:p>
    <w:p w:rsidR="00A31137" w:rsidRPr="00A31137" w:rsidRDefault="00A31137" w:rsidP="00A31137">
      <w:r w:rsidRPr="00A31137">
        <w:t>1990, Employment Div. v. Smith, 494 U.S. 876</w:t>
      </w:r>
    </w:p>
    <w:p w:rsidR="00A31137" w:rsidRPr="00A31137" w:rsidRDefault="00A31137" w:rsidP="00A31137">
      <w:r w:rsidRPr="00A31137">
        <w:t>the State is free to withhold unemployment compensation from respondents for engaging in work-related misconduct, despite its religious motivation.</w:t>
      </w:r>
    </w:p>
    <w:p w:rsidR="00A31137" w:rsidRPr="00A31137" w:rsidRDefault="00A31137" w:rsidP="00A31137">
      <w:r w:rsidRPr="00A31137">
        <w:t>1990, Employment Div. v. Smith, 494 U.S. 876</w:t>
      </w:r>
    </w:p>
    <w:p w:rsidR="00A31137" w:rsidRPr="00A31137" w:rsidRDefault="00A31137" w:rsidP="00A31137">
      <w:r w:rsidRPr="00A31137">
        <w:t>485 U.S. at 672. Now that the Oregon Supreme Court has confirmed that Oregon does prohibit the religious use of peyote, we proceed to consider whether that prohibition is permissible under the Free Exercise Clause.</w:t>
      </w:r>
    </w:p>
    <w:p w:rsidR="00A31137" w:rsidRPr="00A31137" w:rsidRDefault="00A31137" w:rsidP="00A31137">
      <w:r w:rsidRPr="00A31137">
        <w:t>A</w:t>
      </w:r>
    </w:p>
    <w:p w:rsidR="00A31137" w:rsidRPr="00A31137" w:rsidRDefault="00A31137" w:rsidP="00A31137">
      <w:r w:rsidRPr="00A31137">
        <w:t>1990, Employment Div. v. Smith, 494 U.S. 876</w:t>
      </w:r>
    </w:p>
    <w:p w:rsidR="00A31137" w:rsidRPr="00A31137" w:rsidRDefault="00A31137" w:rsidP="00A31137">
      <w:r w:rsidRPr="00A31137">
        <w:t>The Free Exercise Clause of the First Amendment, which has been made applicable to the States by incorporation into [494 U.S. 877] the Fourteenth Amendment, see Cantwell v. Connecticut, 310 U.S. 296, 303 (1940), provides that "Congress shall make no law respecting an establishment of religion, or prohibiting the free exercise thereof.…" U.S. Const. Am. I (emphasis added). The free exercise of religion means, first and foremost, the right to believe and profess whatever religious doctrine one desires. Thus, the First Amendment obviously excludes all "governmental regulation of religious beliefs as such." Sherbert v. Verner, supra, 374 U.S. at  402. The government may not compel affirmation of religious belief, see Torcaso v. Watkins, 367 U.S. 488 (1961), punish the expression of religious doctrines it believes to be false, United States v. Ballard, 322 U.S. 78, 86-88 (1944), impose special disabilities on the basis of religious views or religious status, see McDaniel v. Paty, 435 U.S. 618 (1978); Fowler v. Rhode Island, 345 U.S. 67, 69 (1953); cf. Larson v. Valente, 456 U.S. 228,  245 (1982), or lend its power to one or the other side in controversies over religious authority or dogma, see Presbyterian Church v. Hull Church, 393 U.S. 440, 445-452 (1969); Kedroff v. St. Nicholas Cathedral, 344 U.S. 94, 95-119 (1952); Serbian Eastern Orthodox Diocese v. Milivojevich, 426 U.S. 696, 708-725 (1976).</w:t>
      </w:r>
    </w:p>
    <w:p w:rsidR="00A31137" w:rsidRPr="00A31137" w:rsidRDefault="00A31137" w:rsidP="00A31137">
      <w:r w:rsidRPr="00A31137">
        <w:t>1990, Employment Div. v. Smith, 494 U.S. 877</w:t>
      </w:r>
    </w:p>
    <w:p w:rsidR="00A31137" w:rsidRPr="00A31137" w:rsidRDefault="00A31137" w:rsidP="00A31137">
      <w:r w:rsidRPr="00A31137">
        <w:t>But the "exercise of religion" often involves not only belief and profession but the performance of (or abstention from) physical acts: assembling with others for a worship service, participating in sacramental use of bread and wine, proselytizing, abstaining from certain foods or certain modes of transportation. It would be true, we think (though no case of ours has involved the point), that a state would be "prohibiting the free exercise [of religion]" if it sought to ban such acts or abstentions only when they are engaged in for religious reasons, or only because of the religious belief that they display. It would doubtless be unconstitutional, for example, to ban the casting of "statues that are to be used [494 U.S. 878] for worship purposes," or to prohibit bowing down before a golden calf.</w:t>
      </w:r>
    </w:p>
    <w:p w:rsidR="00A31137" w:rsidRPr="00A31137" w:rsidRDefault="00A31137" w:rsidP="00A31137">
      <w:r w:rsidRPr="00A31137">
        <w:t>1990, Employment Div. v. Smith, 494 U.S. 878</w:t>
      </w:r>
    </w:p>
    <w:p w:rsidR="00A31137" w:rsidRPr="00A31137" w:rsidRDefault="00A31137" w:rsidP="00A31137">
      <w:r w:rsidRPr="00A31137">
        <w:t>Respondents in the present case, however, seek to carry the meaning of "prohibiting the free exercise [of religion]" one large step further. They contend that their religious motivation for using peyote places them beyond the reach of a criminal law that is not specifically directed at their religious practice, and that is concededly constitutional as applied to those who use the drug for other reasons. They assert, in other words, that "prohibiting the free exercise [of religion]" includes requiring any individual to observe a generally applicable law that requires (or forbids) the performance of an act that his religious belief forbids (or requires). As a textual matter, we do not think the words must be given that meaning. It is no more necessary to regard the collection of a general tax, for example, as "prohibiting the free exercise [of religion]" by those citizens who believe support of organized government to be sinful than it is to regard the same tax as "abridging the freedom…of the press" of those publishing companies that must pay the tax as a condition of staying in business. It is a permissible reading of the text, in the one case as in the other, to say that, if prohibiting the exercise of religion (or burdening the activity of printing) is not the object of the tax, but merely the incidental effect of a generally applicable and otherwise valid provision, the First Amendment has not been offended. Compare Citizen Publishing Co. v. United States, 394 U.S. 131, 139 (1969) (upholding application of antitrust laws to press), with Grosjean v. American Press Co., 297 U.S. 233, 250-251 (1936) (striking down license tax applied only to newspapers with weekly circulation above a specified level); see generally Minneapolis Star &amp; Tribune Co. v. Minnesota Commissioner of Revenue, 460 U.S. 575,  581 (1983).</w:t>
      </w:r>
    </w:p>
    <w:p w:rsidR="00A31137" w:rsidRPr="00A31137" w:rsidRDefault="00A31137" w:rsidP="00A31137">
      <w:r w:rsidRPr="00A31137">
        <w:t>1990, Employment Div. v. Smith, 494 U.S. 878</w:t>
      </w:r>
    </w:p>
    <w:p w:rsidR="00A31137" w:rsidRPr="00A31137" w:rsidRDefault="00A31137" w:rsidP="00A31137">
      <w:r w:rsidRPr="00A31137">
        <w:t>Our decisions reveal that the latter reading is the correct one. We have never held that an individual's religious beliefs [494 U.S. 879] excuse him from compliance with an otherwise valid law prohibiting conduct that the State is free to regulate. On the contrary, the record of more than a century of our free exercise jurisprudence contradicts that proposition. As described succinctly by Justice Frankfurter in Minersville School Dist. Bd. of Educ. v. Gobitis, 310 U.S. 586, 594-595 (1940):</w:t>
      </w:r>
    </w:p>
    <w:p w:rsidR="00A31137" w:rsidRPr="00A31137" w:rsidRDefault="00A31137" w:rsidP="00A31137">
      <w:r w:rsidRPr="00A31137">
        <w:t>1990, Employment Div. v. Smith, 494 U.S. 879</w:t>
      </w:r>
    </w:p>
    <w:p w:rsidR="00A31137" w:rsidRPr="00A31137" w:rsidRDefault="00A31137" w:rsidP="00A31137">
      <w:r w:rsidRPr="00A31137">
        <w:t>Conscientious scruples have not, in the course of the long struggle for religious toleration, relieved the individual from obedience to a general law not aimed at the promotion or restriction of religious beliefs. The mere possession of religious convictions which contradict the relevant concerns of a political society does not relieve the citizen from the discharge of political responsibilities.</w:t>
      </w:r>
    </w:p>
    <w:p w:rsidR="00A31137" w:rsidRPr="00A31137" w:rsidRDefault="00A31137" w:rsidP="00A31137">
      <w:r w:rsidRPr="00A31137">
        <w:t>1990, Employment Div. v. Smith, 494 U.S. 879</w:t>
      </w:r>
    </w:p>
    <w:p w:rsidR="00A31137" w:rsidRPr="00A31137" w:rsidRDefault="00A31137" w:rsidP="00A31137">
      <w:r w:rsidRPr="00A31137">
        <w:t>(Footnote omitted.) We first had occasion to assert that principle in Reynolds v. United States, 98 U.S. 145 (1879), where we rejected the claim that criminal laws against polygamy could not be constitutionally applied to those whose religion commanded the practice. "Laws," we said,</w:t>
      </w:r>
    </w:p>
    <w:p w:rsidR="00A31137" w:rsidRPr="00A31137" w:rsidRDefault="00A31137" w:rsidP="00A31137">
      <w:r w:rsidRPr="00A31137">
        <w:t>1990, Employment Div. v. Smith, 494 U.S. 879</w:t>
      </w:r>
    </w:p>
    <w:p w:rsidR="00A31137" w:rsidRPr="00A31137" w:rsidRDefault="00A31137" w:rsidP="00A31137">
      <w:r w:rsidRPr="00A31137">
        <w:t>are made for the government of actions, and while they cannot interfere with mere religious belief and opinions, they may with practices…. Can a man excuse his practices to the contrary because of his religious belief? To permit this would be to make the professed doctrines of religious belief superior to the law of the land, and in effect to permit every citizen to become a law unto himself.</w:t>
      </w:r>
    </w:p>
    <w:p w:rsidR="00A31137" w:rsidRPr="00A31137" w:rsidRDefault="00A31137" w:rsidP="00A31137">
      <w:r w:rsidRPr="00A31137">
        <w:t>1990, Employment Div. v. Smith, 494 U.S. 879</w:t>
      </w:r>
    </w:p>
    <w:p w:rsidR="00A31137" w:rsidRPr="00A31137" w:rsidRDefault="00A31137" w:rsidP="00A31137">
      <w:r w:rsidRPr="00A31137">
        <w:t>Id. at 166-167.</w:t>
      </w:r>
    </w:p>
    <w:p w:rsidR="00A31137" w:rsidRPr="00A31137" w:rsidRDefault="00A31137" w:rsidP="00A31137">
      <w:r w:rsidRPr="00A31137">
        <w:t>1990, Employment Div. v. Smith, 494 U.S. 879</w:t>
      </w:r>
    </w:p>
    <w:p w:rsidR="00A31137" w:rsidRPr="00A31137" w:rsidRDefault="00A31137" w:rsidP="00A31137">
      <w:r w:rsidRPr="00A31137">
        <w:t>Subsequent decisions have consistently held that the right of free exercise does not relieve an individual of the obligation to comply with a</w:t>
      </w:r>
    </w:p>
    <w:p w:rsidR="00A31137" w:rsidRPr="00A31137" w:rsidRDefault="00A31137" w:rsidP="00A31137">
      <w:r w:rsidRPr="00A31137">
        <w:t>1990, Employment Div. v. Smith, 494 U.S. 879</w:t>
      </w:r>
    </w:p>
    <w:p w:rsidR="00A31137" w:rsidRPr="00A31137" w:rsidRDefault="00A31137" w:rsidP="00A31137">
      <w:r w:rsidRPr="00A31137">
        <w:t>valid and neutral law of general applicability on the ground that the law proscribes (or prescribes) conduct that his religion prescribes (or proscribes).</w:t>
      </w:r>
    </w:p>
    <w:p w:rsidR="00A31137" w:rsidRPr="00A31137" w:rsidRDefault="00A31137" w:rsidP="00A31137">
      <w:r w:rsidRPr="00A31137">
        <w:t>1990, Employment Div. v. Smith, 494 U.S. 879</w:t>
      </w:r>
    </w:p>
    <w:p w:rsidR="00A31137" w:rsidRPr="00A31137" w:rsidRDefault="00A31137" w:rsidP="00A31137">
      <w:r w:rsidRPr="00A31137">
        <w:t>United States v. Lee, 455 U.S. 252, 263, n. 3 (1982) (STEVENS, J., concurring in judgment); see Minersville School Dist. Bd. of Educ. v. Gobitis, supra, 310 U.S. at  595 (collecting cases). In Prince v. Massachusetts, 321 U.S. 158 (1944), we held that a mother could be prosecuted under the child labor laws [494 U.S. 880] for using her children to dispense literature in the streets, her religious motivation notwithstanding. We found no constitutional infirmity in "excluding [these children] from doing there what no other children may do." Id. at 171. In Braunfeld v. Brown, 366 U.S. 599 (1961) (plurality opinion), we upheld Sunday closing laws against the claim that they burdened the religious practices of persons whose religions compelled them to refrain from work on other days. In Gillette v. United States, 401 U.S. 437,  461 (1971), we sustained the military selective service system against the claim that it violated free exercise by conscripting persons who opposed a particular war on religious grounds.</w:t>
      </w:r>
    </w:p>
    <w:p w:rsidR="00A31137" w:rsidRPr="00A31137" w:rsidRDefault="00A31137" w:rsidP="00A31137">
      <w:r w:rsidRPr="00A31137">
        <w:t>1990, Employment Div. v. Smith, 494 U.S. 880</w:t>
      </w:r>
    </w:p>
    <w:p w:rsidR="00A31137" w:rsidRPr="00A31137" w:rsidRDefault="00A31137" w:rsidP="00A31137">
      <w:r w:rsidRPr="00A31137">
        <w:t>Our most recent decision involving a neutral, generally applicable regulatory law that compelled activity forbidden by an individual's religion was United States v. Lee, 455 U.S. at 258-261. There, an Amish employer, on behalf of himself and his employees, sought exemption from collection and payment of Social Security taxes on the ground that the Amish faith prohibited participation in governmental support programs. We rejected the claim that an exemption was constitutionally required. There would be no way, we observed, to distinguish the Amish believer's objection to Social Security taxes from the religious objections that others might have to the collection or use of other taxes.</w:t>
      </w:r>
    </w:p>
    <w:p w:rsidR="00A31137" w:rsidRPr="00A31137" w:rsidRDefault="00A31137" w:rsidP="00A31137">
      <w:r w:rsidRPr="00A31137">
        <w:t>1990, Employment Div. v. Smith, 494 U.S. 880</w:t>
      </w:r>
    </w:p>
    <w:p w:rsidR="00A31137" w:rsidRPr="00A31137" w:rsidRDefault="00A31137" w:rsidP="00A31137">
      <w:r w:rsidRPr="00A31137">
        <w:t>If, for example, a religious adherent believes war is a sin, and if a certain percentage of the federal budget can be identified as devoted to war-related activities, such individuals would have a similarly valid claim to be exempt from paying that percentage of the income tax. The tax system could not function if denominations were allowed to challenge the tax system because tax payments were spent in a manner that violates their religious belief.</w:t>
      </w:r>
    </w:p>
    <w:p w:rsidR="00A31137" w:rsidRPr="00A31137" w:rsidRDefault="00A31137" w:rsidP="00A31137">
      <w:r w:rsidRPr="00A31137">
        <w:t>1990, Employment Div. v. Smith, 494 U.S. 880</w:t>
      </w:r>
    </w:p>
    <w:p w:rsidR="00A31137" w:rsidRPr="00A31137" w:rsidRDefault="00A31137" w:rsidP="00A31137">
      <w:r w:rsidRPr="00A31137">
        <w:t xml:space="preserve">Id. at 260. Cf. Hernandez v. Commissioner, 490 U.S. 680 (1989) (rejecting free exercise challenge to payment of income taxes alleged to make religious activities more difficult). [494 U.S. 881] </w:t>
      </w:r>
    </w:p>
    <w:p w:rsidR="00A31137" w:rsidRPr="00A31137" w:rsidRDefault="00A31137" w:rsidP="00A31137">
      <w:r w:rsidRPr="00A31137">
        <w:t>1990, Employment Div. v. Smith, 494 U.S. 881</w:t>
      </w:r>
    </w:p>
    <w:p w:rsidR="00A31137" w:rsidRPr="00A31137" w:rsidRDefault="00A31137" w:rsidP="00A31137">
      <w:r w:rsidRPr="00A31137">
        <w:t>The only decisions in which we have held that the First Amendment bars application of a neutral, generally applicable law to religiously motivated action have involved not the Free Exercise Clause alone, but the Free Exercise Clause in conjunction with other constitutional protections, such as freedom of speech and of the press, see Cantwell v. Connecticut, 310 U.S. at 304,  307 (invalidating a licensing system for religious and charitable solicitations under which the administrator had discretion to deny a license to any cause he deemed nonreligious); Murdock v. Pennsylvania, 319 U.S. 105 (1943) (invalidating a flat tax on solicitation as applied to the dissemination of religious ideas); Follett v. McCormick, 321 U.S. 573 (1944) (same), or the right of parents, acknowledged in Pierce v. Society of Sisters, 268 U.S. 510 (1925), to direct the education of their children, see Wisconsin v. Yoder, 406 U.S. 205 (1972) (invalidating compulsory school attendance laws as applied to Amish parents who refused on religious grounds to send their children to school). 1 [494 U.S. 882] Some of our cases prohibiting compelled expression, decided exclusively upon free speech grounds, have also involved freedom of religion, cf. Wooley v. Maynard, 430 U.S. 705 (1977) (invalidating compelled display of a license plate slogan that offended individual religious beliefs); West Virginia Board of Education v. Barnette, 319 U.S. 624 (1943) (invalidating compulsory flag salute statute challenged by religious objectors). And it is easy to envision a case in which a challenge on freedom of association grounds would likewise be reinforced by Free Exercise Clause concerns. Cf. Roberts v. United States Jaycees, 468 U.S. 609,  622 (1983) ("An individual's freedom to speak, to worship, and to petition the government for the redress of grievances could not be vigorously protected from interference by the State [if] a correlative freedom to engage in group effort toward those ends were not also guaranteed.").</w:t>
      </w:r>
    </w:p>
    <w:p w:rsidR="00A31137" w:rsidRPr="00A31137" w:rsidRDefault="00A31137" w:rsidP="00A31137">
      <w:r w:rsidRPr="00A31137">
        <w:t>1990, Employment Div. v. Smith, 494 U.S. 882</w:t>
      </w:r>
    </w:p>
    <w:p w:rsidR="00A31137" w:rsidRPr="00A31137" w:rsidRDefault="00A31137" w:rsidP="00A31137">
      <w:r w:rsidRPr="00A31137">
        <w:t>The present case does not present such a hybrid situation, but a free exercise claim unconnected with any communicative activity or parental right. Respondents urge us to hold, quite simply, that when otherwise prohibitable conduct is accompanied by religious convictions, not only the convictions but the conduct itself must be free from governmental regulation. We have never held that, and decline to do so now. There being no contention that Oregon's drug law represents an attempt to regulate religious beliefs, the communication of religious beliefs, or the raising of one's children in those beliefs, the rule to which we have adhered ever since Reynolds plainly controls.</w:t>
      </w:r>
    </w:p>
    <w:p w:rsidR="00A31137" w:rsidRPr="00A31137" w:rsidRDefault="00A31137" w:rsidP="00A31137">
      <w:r w:rsidRPr="00A31137">
        <w:t>1990, Employment Div. v. Smith, 494 U.S. 882</w:t>
      </w:r>
    </w:p>
    <w:p w:rsidR="00A31137" w:rsidRPr="00A31137" w:rsidRDefault="00A31137" w:rsidP="00A31137">
      <w:r w:rsidRPr="00A31137">
        <w:t>Our cases do not at their farthest reach support the proposition that a stance of conscientious opposition relieves an objector from any colliding duty fixed by a democratic government.</w:t>
      </w:r>
    </w:p>
    <w:p w:rsidR="00A31137" w:rsidRPr="00A31137" w:rsidRDefault="00A31137" w:rsidP="00A31137">
      <w:r w:rsidRPr="00A31137">
        <w:t>1990, Employment Div. v. Smith, 494 U.S. 882</w:t>
      </w:r>
    </w:p>
    <w:p w:rsidR="00A31137" w:rsidRPr="00A31137" w:rsidRDefault="00A31137" w:rsidP="00A31137">
      <w:r w:rsidRPr="00A31137">
        <w:t>Gillette v. United States, supra, 401 U.S. at  461.</w:t>
      </w:r>
    </w:p>
    <w:p w:rsidR="00A31137" w:rsidRPr="00A31137" w:rsidRDefault="00A31137" w:rsidP="00A31137">
      <w:r w:rsidRPr="00A31137">
        <w:t>B</w:t>
      </w:r>
    </w:p>
    <w:p w:rsidR="00A31137" w:rsidRPr="00A31137" w:rsidRDefault="00A31137" w:rsidP="00A31137">
      <w:r w:rsidRPr="00A31137">
        <w:t>1990, Employment Div. v. Smith, 494 U.S. 882</w:t>
      </w:r>
    </w:p>
    <w:p w:rsidR="00A31137" w:rsidRPr="00A31137" w:rsidRDefault="00A31137" w:rsidP="00A31137">
      <w:r w:rsidRPr="00A31137">
        <w:t>Respondents argue that, even though exemption from generally applicable criminal laws need not automatically be extended to religiously motivated actors, at least the claim for a [494 U.S. 883] religious exemption must be evaluated under the balancing test set forth in Sherbert v. Verner, 374 U.S. 398 (1963). Under the Sherbert test, governmental actions that substantially burden a religious practice must be justified by a compelling governmental interest.   See id. at 402-403; see also Hernandez v. Commissioner, supra, 490 U.S. at  699. Applying that test, we have, on three occasions, invalidated state unemployment compensation rules that conditioned the availability of benefits upon an applicant's willingness to work under conditions forbidden by his religion. See Sherbert v. Verner, supra; Thomas v. Review Board, Indiana Employment Div., 450 U.S. 707 (1981); Hobbie v. Unemployment Appeals Comm'n of Florida, 480 U.S. 136 (1987). We have never invalidated any governmental action on the basis of the Sherbert test except the denial of unemployment compensation. Although we have sometimes purported to apply the Sherbert test in contexts other than that, we have always found the test satisfied, see United States v. Lee, 455 U.S. 252 (1982); Gillette v. United States, 401 U.S. 437 (1971). In recent years we have abstained from applying the Sherbert test (outside the unemployment compensation field) at all. In Bowen v. Roy, 476 U.S. 693 (1986), we declined to apply Sherbert analysis to a federal statutory scheme that required benefit applicants and recipients to provide their Social Security numbers. The plaintiffs in that case asserted that it would violate their religious beliefs to obtain and provide a Social Security number for their daughter. We held the statute's application to the plaintiffs valid regardless of whether it was necessary to effectuate a compelling interest. See id. at 699-701. In Lyng v. Northwest Indian Cemetery Protective Assn., 485 U.S. 439 (1988), we declined to apply Sherbert analysis to the Government's logging and road construction activities on lands used for religious purposes by several Native American Tribes, even though it was undisputed that the activities "could have devastating effects on traditional Indian religious practices," 485 U.S. at  451. [494 U.S. 884] In Goldman v. Weinberger, 475 U.S. 503 (1986), we rejected application of the Sherbert test to military dress regulations that forbade the wearing of yarmulkes. In O'Lone v. Estate of Shabazz, 482 U.S. 342 (1987), we sustained, without mentioning the Sherbert test, a prison's refusal to excuse inmates from work requirements to attend worship services.</w:t>
      </w:r>
    </w:p>
    <w:p w:rsidR="00A31137" w:rsidRPr="00A31137" w:rsidRDefault="00A31137" w:rsidP="00A31137">
      <w:r w:rsidRPr="00A31137">
        <w:t>1990, Employment Div. v. Smith, 494 U.S. 884</w:t>
      </w:r>
    </w:p>
    <w:p w:rsidR="00A31137" w:rsidRPr="00A31137" w:rsidRDefault="00A31137" w:rsidP="00A31137">
      <w:r w:rsidRPr="00A31137">
        <w:t>Even if we were inclined to breathe into Sherbert some life beyond the unemployment compensation field, we would not apply it to require exemptions from a generally applicable criminal law. The Sherbert test, it must be recalled, was developed in a context that lent itself to individualized governmental assessment of the reasons for the relevant conduct. As a plurality of the Court noted in Roy, a distinctive feature of unemployment compensation programs is that their eligibility criteria invite consideration of the particular circumstances behind an applicant's unemployment:</w:t>
      </w:r>
    </w:p>
    <w:p w:rsidR="00A31137" w:rsidRPr="00A31137" w:rsidRDefault="00A31137" w:rsidP="00A31137">
      <w:r w:rsidRPr="00A31137">
        <w:t>1990, Employment Div. v. Smith, 494 U.S. 884</w:t>
      </w:r>
    </w:p>
    <w:p w:rsidR="00A31137" w:rsidRPr="00A31137" w:rsidRDefault="00A31137" w:rsidP="00A31137">
      <w:r w:rsidRPr="00A31137">
        <w:t>The statutory conditions [in Sherbert and Thomas] provided that a person was not eligible for unemployment compensation benefits if, "without good cause," he had quit work or refused available work. The "good cause" standard created a mechanism for individualized exemptions.</w:t>
      </w:r>
    </w:p>
    <w:p w:rsidR="00A31137" w:rsidRPr="00A31137" w:rsidRDefault="00A31137" w:rsidP="00A31137">
      <w:r w:rsidRPr="00A31137">
        <w:t>1990, Employment Div. v. Smith, 494 U.S. 884</w:t>
      </w:r>
    </w:p>
    <w:p w:rsidR="00A31137" w:rsidRPr="00A31137" w:rsidRDefault="00A31137" w:rsidP="00A31137">
      <w:r w:rsidRPr="00A31137">
        <w:t>Bowen v. Roy, supra, 476 U.S. at  708 (opinion of Burger, C.J., joined by Powell and REHNQUIST, JJ.). See also Sherbert, supra, 374 U.S. at 401 n. 4 (reading state unemployment compensation law as allowing benefits for unemployment caused by at least some "personal reasons"). As the plurality pointed out in Roy, our decisions in the unemployment cases stand for the proposition that where the State has in place a system of individual exemptions, it may not refuse to extend that system to cases of "religious hardship" without compelling reason. Bowen v. Roy, supra, 476 U.S. at  708.</w:t>
      </w:r>
    </w:p>
    <w:p w:rsidR="00A31137" w:rsidRPr="00A31137" w:rsidRDefault="00A31137" w:rsidP="00A31137">
      <w:r w:rsidRPr="00A31137">
        <w:t>1990, Employment Div. v. Smith, 494 U.S. 884</w:t>
      </w:r>
    </w:p>
    <w:p w:rsidR="00A31137" w:rsidRPr="00A31137" w:rsidRDefault="00A31137" w:rsidP="00A31137">
      <w:r w:rsidRPr="00A31137">
        <w:t>Whether or not the decisions are that limited, they at least have nothing to do with an across-the-board criminal prohibition on a particular form of conduct. Although, as noted earlier, we have sometimes used the Sherbert test to analyze free exercise challenges to such laws, see United States v. [494 U.S. 885] Lee, supra, 455 U.S. at 257-260; Gillette v. United States, supra, 401 U.S. at  462, we have never applied the test to invalidate one. We conclude today that the sounder approach, and the approach in accord with the vast majority of our precedents, is to hold the test inapplicable to such challenges. The government's ability to enforce generally applicable prohibitions of socially harmful conduct, like its ability to carry out other aspects of public policy, "cannot depend on measuring the effects of a governmental action on a religious objector's spiritual development." Lyng, supra, 485 U.S. at  451. To make an individual's obligation to obey such a law contingent upon the law's coincidence with his religious beliefs, except where the State's interest is "compelling"—permitting him, by virtue of his beliefs, "to become a law unto himself," Reynolds v. United States, 98 U.S. at  167—contradicts both constitutional tradition and common sense. 2</w:t>
      </w:r>
    </w:p>
    <w:p w:rsidR="00A31137" w:rsidRPr="00A31137" w:rsidRDefault="00A31137" w:rsidP="00A31137">
      <w:r w:rsidRPr="00A31137">
        <w:t>1990, Employment Div. v. Smith, 494 U.S. 885</w:t>
      </w:r>
    </w:p>
    <w:p w:rsidR="00A31137" w:rsidRPr="00A31137" w:rsidRDefault="00A31137" w:rsidP="00A31137">
      <w:r w:rsidRPr="00A31137">
        <w:t>The "compelling government interest" requirement seems benign, because it is familiar from other fields. But using it as the standard that must be met before the government may accord different treatment on the basis of race, see, e.g., [494 U.S. 886] Palmore v. Sidoti, 466 U.S. 429,  432 (1984), or before the government may regulate the content of speech, see, e.g., Sable Communications of California v. FCC, 492 U.S. 115 (1989), is not remotely comparable to using it for the purpose asserted here. What it produces in those other fields—equality of treatment, and an unrestricted flow of contending speech—are constitutional norms; what it would produce here—a private right to ignore generally applicable laws—is a constitutional anomaly. 3</w:t>
      </w:r>
    </w:p>
    <w:p w:rsidR="00A31137" w:rsidRPr="00A31137" w:rsidRDefault="00A31137" w:rsidP="00A31137">
      <w:r w:rsidRPr="00A31137">
        <w:t>1990, Employment Div. v. Smith, 494 U.S. 886</w:t>
      </w:r>
    </w:p>
    <w:p w:rsidR="00A31137" w:rsidRPr="00A31137" w:rsidRDefault="00A31137" w:rsidP="00A31137">
      <w:r w:rsidRPr="00A31137">
        <w:t>Nor is it possible to limit the impact of respondents' proposal by requiring a "compelling state interest" only when the conduct prohibited is "central" to the individual's religion. Cf. Lyng v. Northwest Indian Cemetery Protective Assn., supra, 485 U.S. at 474-476 (BRENNAN, J., dissenting). It is no [494 U.S. 887] more appropriate for judges to determine the "centrality" of religious beliefs before applying a "compelling interest" test in the free exercise field than it would be for them to determine the "importance" of ideas before applying the "compelling interest" test in the free speech field. What principle of law or logic can be brought to bear to contradict a believer's assertion that a particular act is "central" to his personal faith? Judging the centrality of different religious practices is akin to the unacceptable "business of evaluating the relative merits of differing religious claims." United States v. Lee, 455 U.S. at 263 n. 2 (STEVENS, J., concurring). As we reaffirmed only last Term,</w:t>
      </w:r>
    </w:p>
    <w:p w:rsidR="00A31137" w:rsidRPr="00A31137" w:rsidRDefault="00A31137" w:rsidP="00A31137">
      <w:r w:rsidRPr="00A31137">
        <w:t>1990, Employment Div. v. Smith, 494 U.S. 887</w:t>
      </w:r>
    </w:p>
    <w:p w:rsidR="00A31137" w:rsidRPr="00A31137" w:rsidRDefault="00A31137" w:rsidP="00A31137">
      <w:r w:rsidRPr="00A31137">
        <w:t>[i]t is not within the judicial ken to question the centrality of particular beliefs or practices to a faith, or the validity of particular litigants' interpretation of those creeds.</w:t>
      </w:r>
    </w:p>
    <w:p w:rsidR="00A31137" w:rsidRPr="00A31137" w:rsidRDefault="00A31137" w:rsidP="00A31137">
      <w:r w:rsidRPr="00A31137">
        <w:t>1990, Employment Div. v. Smith, 494 U.S. 887</w:t>
      </w:r>
    </w:p>
    <w:p w:rsidR="00A31137" w:rsidRPr="00A31137" w:rsidRDefault="00A31137" w:rsidP="00A31137">
      <w:r w:rsidRPr="00A31137">
        <w:t xml:space="preserve">Hernandez v. Commissioner, 490 U.S. at  699. Repeatedly and in many different contexts, we have warned that courts must not presume to determine the place of a particular belief in a religion or the plausibility of a religious claim. See, e.g., Thomas v. Review Board, Indiana Employment Security Div., 450 U.S. at  716; Presbyterian Church v. Hull Church, 393 U.S. at 450; Jones v. Wolf, 443 U.S. 595, 602-606 (1979); United States v. Ballard, 322 U.S. 78, 85-87 (1944). 4 [494 U.S. 888] </w:t>
      </w:r>
    </w:p>
    <w:p w:rsidR="00A31137" w:rsidRPr="00A31137" w:rsidRDefault="00A31137" w:rsidP="00A31137">
      <w:r w:rsidRPr="00A31137">
        <w:t>1990, Employment Div. v. Smith, 494 U.S. 888</w:t>
      </w:r>
    </w:p>
    <w:p w:rsidR="00A31137" w:rsidRPr="00A31137" w:rsidRDefault="00A31137" w:rsidP="00A31137">
      <w:r w:rsidRPr="00A31137">
        <w:t xml:space="preserve">If the "compelling interest" test is to be applied at all, then, it must be applied across the board, to all actions thought to be religiously commanded. Moreover, if "compelling interest" really means what it says (and watering it down here would subvert its rigor in the other fields where it is applied), many laws will not meet the test. Any society adopting such a system would be courting anarchy, but that danger increases in direct proportion to the society's diversity of religious beliefs, and its determination to coerce or suppress none of them. Precisely because "we are a cosmopolitan nation made up of people of almost every conceivable religious preference," Braunfeld v. Brown, 366 U.S. at  606, and precisely because we value and protect that religious divergence, we cannot afford the luxury of deeming presumptively invalid, as applied to the religious objector, every regulation of conduct that does not protect an interest of the highest order. The rule respondents favor would open the prospect of constitutionally required religious exemptions from civic obligations of almost every conceivable kind—ranging from [494 U.S. 889] compulsory military service, see, e.g., Gillette v. United States, 401 U.S. 437 (1971), to the payment of taxes, see, e.g., United States v. Lee, supra; to health and safety regulation such as manslaughter and child neglect laws, see, e.g., Funkhouser v. State, 763 P.2d 695 (Okla.Crim.App.1988), compulsory vaccination laws, see, e.g., Cude v. State, 237 Ark. 927, 377 S.W.2d 816 (1964), drug laws, see, e.g., Olsen v. Drug Enforcement Administration, 279 U.S.App.D.C. 1, 878 F.2d 1458 (1989), and traffic laws, see Cox v. New Hampshire, 312 U.S. 569 (1941); to social welfare legislation such as minimum wage laws, see Susan and Tony Alamo Foundation v. Secretary of Labor, 471 U.S. 290 (1985), child labor laws, see Prince v. Massachusetts, 321 U.S. 158 (1944), animal cruelty laws, see, e.g., Church of the Lukumi Babalu Aye Inc. v. City of Hialeah, 723 F.Supp. 1467 (S.D.Fla.1989), cf. State v. Massey, 229 N.C. 734, 51 S.E.2d 179, appeal dism'd, 336 U.S. 942 (1949), environmental protection laws, see United States v. Little, 638 F.Supp. 337 (Mont.1986), and laws providing for equality of opportunity for the races, see, e.g., Bob Jones University v. United States, 461 U.S. 574, 603-604 (1983). The First Amendment's protection of religious liberty does not require this. 5 [494 U.S. 890] </w:t>
      </w:r>
    </w:p>
    <w:p w:rsidR="00A31137" w:rsidRPr="00A31137" w:rsidRDefault="00A31137" w:rsidP="00A31137">
      <w:r w:rsidRPr="00A31137">
        <w:t>1990, Employment Div. v. Smith, 494 U.S. 890</w:t>
      </w:r>
    </w:p>
    <w:p w:rsidR="00A31137" w:rsidRPr="00A31137" w:rsidRDefault="00A31137" w:rsidP="00A31137">
      <w:r w:rsidRPr="00A31137">
        <w:t>Values that are protected against government interference through enshrinement in the Bill of Rights are not thereby banished from the political process. Just as a society that believes in the negative protection accorded to the press by the First Amendment is likely to enact laws that affirmatively foster the dissemination of the printed word, so also a society that believes in the negative protection accorded to religious belief can be expected to be solicitous of that value in its legislation as well. It is therefore not surprising that a number of States have made an exception to their drug laws for sacramental peyote use. See, e.g., Ariz.Rev.Stat.Ann. § 13-3402(B)(1) (3) (1989); Colo.Rev.Stat. § 12-22-317(3) (1985); N.M.Stat.Ann. § 30-31-6(D) (Supp.1989). But to say that a nondiscriminatory religious practice exemption is permitted, or even that it is desirable, is not to say that it is constitutionally required, and that the appropriate occasions for its creation can be discerned by the courts. It may fairly be said that leaving accommodation to the political process will place at a relative disadvantage those religious practices that are not widely engaged in; but that unavoidable consequence of democratic government must be preferred to a system in which each conscience is a law unto itself or in which judges weigh the social importance of all laws against the centrality of all religious beliefs.</w:t>
      </w:r>
    </w:p>
    <w:p w:rsidR="00A31137" w:rsidRPr="00A31137" w:rsidRDefault="00A31137" w:rsidP="00A31137">
      <w:r w:rsidRPr="00A31137">
        <w:t>*    *    *    *</w:t>
      </w:r>
    </w:p>
    <w:p w:rsidR="00A31137" w:rsidRPr="00A31137" w:rsidRDefault="00A31137" w:rsidP="00A31137">
      <w:r w:rsidRPr="00A31137">
        <w:t>1990, Employment Div. v. Smith, 494 U.S. 890</w:t>
      </w:r>
    </w:p>
    <w:p w:rsidR="00A31137" w:rsidRPr="00A31137" w:rsidRDefault="00A31137" w:rsidP="00A31137">
      <w:r w:rsidRPr="00A31137">
        <w:t>Because respondents' ingestion of peyote was prohibited under Oregon law, and because that prohibition is constitutional, Oregon may, consistent with the Free Exercise Clause, deny respondents unemployment compensation when their dismissal results from use of the drug. The decision of the Oregon Supreme Court is accordingly reversed.</w:t>
      </w:r>
    </w:p>
    <w:p w:rsidR="00A31137" w:rsidRPr="00A31137" w:rsidRDefault="00A31137" w:rsidP="00A31137">
      <w:r w:rsidRPr="00A31137">
        <w:t>1990, Employment Div. v. Smith, 494 U.S. 890</w:t>
      </w:r>
    </w:p>
    <w:p w:rsidR="00A31137" w:rsidRPr="00A31137" w:rsidRDefault="00A31137" w:rsidP="00A31137">
      <w:r w:rsidRPr="00A31137">
        <w:t xml:space="preserve">It is so ordered. [494 U.S. 891] </w:t>
      </w:r>
    </w:p>
    <w:p w:rsidR="00A31137" w:rsidRPr="00A31137" w:rsidRDefault="00A31137" w:rsidP="00A31137">
      <w:r w:rsidRPr="00A31137">
        <w:t>O'CONNOR, J., concurring</w:t>
      </w:r>
    </w:p>
    <w:p w:rsidR="00A31137" w:rsidRPr="00A31137" w:rsidRDefault="00A31137" w:rsidP="00A31137">
      <w:r w:rsidRPr="00A31137">
        <w:t>1990, Employment Div. v. Smith, 494 U.S. 891</w:t>
      </w:r>
    </w:p>
    <w:p w:rsidR="00A31137" w:rsidRPr="00A31137" w:rsidRDefault="00A31137" w:rsidP="00A31137">
      <w:r w:rsidRPr="00A31137">
        <w:t>Justice O'CONNOR, with whom Justice BRENNAN, Justice MARSHALL, and Justice BLACKMUN join as to Parts I and II, concurring in the judgment.*</w:t>
      </w:r>
    </w:p>
    <w:p w:rsidR="00A31137" w:rsidRPr="00A31137" w:rsidRDefault="00A31137" w:rsidP="00A31137">
      <w:r w:rsidRPr="00A31137">
        <w:t>1990, Employment Div. v. Smith, 494 U.S. 891</w:t>
      </w:r>
    </w:p>
    <w:p w:rsidR="00A31137" w:rsidRPr="00A31137" w:rsidRDefault="00A31137" w:rsidP="00A31137">
      <w:r w:rsidRPr="00A31137">
        <w:t>Although I agree with the result the Court reaches in this case, I cannot join its opinion. In my view, today's holding dramatically departs from well settled First Amendment jurisprudence, appears unnecessary to resolve the question presented, and is incompatible with our Nation's fundamental commitment to individual religious liberty.</w:t>
      </w:r>
    </w:p>
    <w:p w:rsidR="00A31137" w:rsidRPr="00A31137" w:rsidRDefault="00A31137" w:rsidP="00A31137">
      <w:r w:rsidRPr="00A31137">
        <w:t>I</w:t>
      </w:r>
    </w:p>
    <w:p w:rsidR="00A31137" w:rsidRPr="00A31137" w:rsidRDefault="00A31137" w:rsidP="00A31137">
      <w:r w:rsidRPr="00A31137">
        <w:t>1990, Employment Div. v. Smith, 494 U.S. 891</w:t>
      </w:r>
    </w:p>
    <w:p w:rsidR="00A31137" w:rsidRPr="00A31137" w:rsidRDefault="00A31137" w:rsidP="00A31137">
      <w:r w:rsidRPr="00A31137">
        <w:t xml:space="preserve">At the outset, I note that I agree with the Court's implicit determination that the constitutional question upon which we granted review—whether the Free Exercise Clause protects a person's religiously motivated use of peyote from the reach of a State's general criminal law prohibition—is properly presented in this case. As the Court recounts, respondents Alfred Smith and Galen Black were denied unemployment compensation benefits because their sacramental use of peyote constituted work-related "misconduct," not because they violated Oregon's general criminal prohibition against possession of peyote. We held, however, in Employment Div., Dept. of Human Resources of Oregon v. Smith, 485 U.S. 660 (1988) (Smith I), that whether a State may, consistent with federal law, deny unemployment compensation benefits to persons for their religious use of peyote depends on whether the State, as a matter of state law, has criminalized the underlying conduct. See id. at 670-672. The Oregon Supreme Court, on remand from this Court, concluded that "the Oregon statute against possession of controlled substances, which include peyote, makes no exception for the sacramental use of peyote." 307 Or. 68, 72-73, 763 P.2d 146, 148 (1988) (footnote omitted). [494 U.S. 892] </w:t>
      </w:r>
    </w:p>
    <w:p w:rsidR="00A31137" w:rsidRPr="00A31137" w:rsidRDefault="00A31137" w:rsidP="00A31137">
      <w:r w:rsidRPr="00A31137">
        <w:t>1990, Employment Div. v. Smith, 494 U.S. 892</w:t>
      </w:r>
    </w:p>
    <w:p w:rsidR="00A31137" w:rsidRPr="00A31137" w:rsidRDefault="00A31137" w:rsidP="00A31137">
      <w:r w:rsidRPr="00A31137">
        <w:t>Respondents contend that, because the Oregon Supreme Court declined to decide whether the Oregon Constitution prohibits criminal prosecution for the religious use of peyote, see id. at 73, n. 3, 763 P.2d at 148, n. 3, any ruling on the federal constitutional question would be premature. Respondents are of course correct that the Oregon Supreme Court may eventually decide that the Oregon Constitution requires the State to provide an exemption from its general criminal prohibition for the religious use of peyote. Such a decision would then reopen the question whether a State may nevertheless deny unemployment compensation benefits to claimants who are discharged for engaging in such conduct. As the case comes to us today, however, the Oregon Supreme Court has plainly ruled that Oregon's prohibition against possession of controlled substances does not contain an exemption for the religious use of peyote. In light of our decision in Smith I, which makes this finding a "necessary predicate to a correct evaluation of respondents' federal claim," 485 U.S. at 672, the question presented and addressed is properly before the Court.</w:t>
      </w:r>
    </w:p>
    <w:p w:rsidR="00A31137" w:rsidRPr="00A31137" w:rsidRDefault="00A31137" w:rsidP="00A31137">
      <w:r w:rsidRPr="00A31137">
        <w:t>II</w:t>
      </w:r>
    </w:p>
    <w:p w:rsidR="00A31137" w:rsidRPr="00A31137" w:rsidRDefault="00A31137" w:rsidP="00A31137">
      <w:r w:rsidRPr="00A31137">
        <w:t>1990, Employment Div. v. Smith, 494 U.S. 892</w:t>
      </w:r>
    </w:p>
    <w:p w:rsidR="00A31137" w:rsidRPr="00A31137" w:rsidRDefault="00A31137" w:rsidP="00A31137">
      <w:r w:rsidRPr="00A31137">
        <w:t>The Court today extracts from our long history of free exercise precedents the single categorical rule that</w:t>
      </w:r>
    </w:p>
    <w:p w:rsidR="00A31137" w:rsidRPr="00A31137" w:rsidRDefault="00A31137" w:rsidP="00A31137">
      <w:r w:rsidRPr="00A31137">
        <w:t>1990, Employment Div. v. Smith, 494 U.S. 892</w:t>
      </w:r>
    </w:p>
    <w:p w:rsidR="00A31137" w:rsidRPr="00A31137" w:rsidRDefault="00A31137" w:rsidP="00A31137">
      <w:r w:rsidRPr="00A31137">
        <w:t>if prohibiting the exercise of religion…is…merely the incidental effect of a generally applicable and otherwise valid provision, the First Amendment has not been offended.</w:t>
      </w:r>
    </w:p>
    <w:p w:rsidR="00A31137" w:rsidRPr="00A31137" w:rsidRDefault="00A31137" w:rsidP="00A31137">
      <w:r w:rsidRPr="00A31137">
        <w:t>1990, Employment Div. v. Smith, 494 U.S. 892</w:t>
      </w:r>
    </w:p>
    <w:p w:rsidR="00A31137" w:rsidRPr="00A31137" w:rsidRDefault="00A31137" w:rsidP="00A31137">
      <w:r w:rsidRPr="00A31137">
        <w:t xml:space="preserve">Ante at  878 (citations omitted). Indeed, the Court holds that, where the law is a generally applicable criminal prohibition, our usual free exercise jurisprudence does not even apply. Ante at  884. To reach this sweeping result, however, the Court must not only give a strained reading of the First Amendment but must also disregard our consistent application of free exercise doctrine to cases involving generally applicable regulations that burden religious conduct. [494 U.S. 893] </w:t>
      </w:r>
    </w:p>
    <w:p w:rsidR="00A31137" w:rsidRPr="00A31137" w:rsidRDefault="00A31137" w:rsidP="00A31137">
      <w:r w:rsidRPr="00A31137">
        <w:t>A</w:t>
      </w:r>
    </w:p>
    <w:p w:rsidR="00A31137" w:rsidRPr="00A31137" w:rsidRDefault="00A31137" w:rsidP="00A31137">
      <w:r w:rsidRPr="00A31137">
        <w:t>1990, Employment Div. v. Smith, 494 U.S. 893</w:t>
      </w:r>
    </w:p>
    <w:p w:rsidR="00A31137" w:rsidRPr="00A31137" w:rsidRDefault="00A31137" w:rsidP="00A31137">
      <w:r w:rsidRPr="00A31137">
        <w:t>The Free Exercise Clause of the First Amendment commands that "Congress shall make no law…prohibiting the free exercise [of religion]." In Cantwell v. Connecticut, 310 U.S. 296 (1940), we held that this prohibition applies to the States by incorporation into the Fourteenth Amendment and that it categorically forbids government regulation of religious beliefs. Id. at  303. As the Court recognizes, however, the "free exercise" of religion often, if not invariably, requires the performance of (or abstention from) certain acts. Ante at  877; cf. 3 A New English Dictionary on Historical Principles 401-402 (J. Murray, ed. 1897) (defining "exercise" to include "[t]he practice and performance of rites and ceremonies, worship, etc.; the right or permission to celebrate the observances (of a religion)" and religious observances such as acts of public and private worship, preaching, and prophesying). "[B]elief and action cannot be neatly confined in logic-tight compartments." Wisconsin v. Yoder, 406 U.S. 205,  220 (1972). Because the First Amendment does not distinguish between religious belief and religious conduct, conduct motivated by sincere religious belief, like the belief itself, must therefore be at least presumptively protected by the Free Exercise Clause.</w:t>
      </w:r>
    </w:p>
    <w:p w:rsidR="00A31137" w:rsidRPr="00A31137" w:rsidRDefault="00A31137" w:rsidP="00A31137">
      <w:r w:rsidRPr="00A31137">
        <w:t>1990, Employment Div. v. Smith, 494 U.S. 893</w:t>
      </w:r>
    </w:p>
    <w:p w:rsidR="00A31137" w:rsidRPr="00A31137" w:rsidRDefault="00A31137" w:rsidP="00A31137">
      <w:r w:rsidRPr="00A31137">
        <w:t>The Court today, however, interprets the Clause to permit the government to prohibit, without justification, conduct mandated by an individual's religious beliefs, so long as that prohibition is generally applicable. Ante at  878. But a law that prohibits certain conduct—conduct that happens to be an act of worship for someone—manifestly does prohibit that person's free exercise of his religion. A person who is barred from engaging in religiously motivated conduct is barred from freely exercising his religion. Moreover, that person is barred from freely exercising his religion regardless of whether the law prohibits the conduct only when engaged in for religious reasons, only by members of that religion, or by all persons. It is difficult to deny that a law that prohibits [494 U.S. 894] religiously motivated conduct, even if the law is generally applicable, does not at least implicate First Amendment concerns.</w:t>
      </w:r>
    </w:p>
    <w:p w:rsidR="00A31137" w:rsidRPr="00A31137" w:rsidRDefault="00A31137" w:rsidP="00A31137">
      <w:r w:rsidRPr="00A31137">
        <w:t>1990, Employment Div. v. Smith, 494 U.S. 894</w:t>
      </w:r>
    </w:p>
    <w:p w:rsidR="00A31137" w:rsidRPr="00A31137" w:rsidRDefault="00A31137" w:rsidP="00A31137">
      <w:r w:rsidRPr="00A31137">
        <w:t>The Court responds that generally applicable laws are "one large step" removed from laws aimed at specific religious practices. Ibid. The First Amendment, however, does not distinguish between laws that are generally applicable and laws that target particular religious practices. Indeed, few States would be so naive as to enact a law directly prohibiting or burdening a religious practice as such. Our free exercise cases have all concerned generally applicable laws that had the effect of significantly burdening a religious practice. If the First Amendment is to have any vitality, it ought not be construed to cover only the extreme and hypothetical situation in which a State directly targets a religious practice. As we have noted in a slightly different context,</w:t>
      </w:r>
    </w:p>
    <w:p w:rsidR="00A31137" w:rsidRPr="00A31137" w:rsidRDefault="00A31137" w:rsidP="00A31137">
      <w:r w:rsidRPr="00A31137">
        <w:t>1990, Employment Div. v. Smith, 494 U.S. 894</w:t>
      </w:r>
    </w:p>
    <w:p w:rsidR="00A31137" w:rsidRPr="00A31137" w:rsidRDefault="00A31137" w:rsidP="00A31137">
      <w:r w:rsidRPr="00A31137">
        <w:t>"[s]uch a test has no basis in precedent and relegates a serious First Amendment value to the barest level of minimum scrutiny that the Equal Protection Clause already provides."</w:t>
      </w:r>
    </w:p>
    <w:p w:rsidR="00A31137" w:rsidRPr="00A31137" w:rsidRDefault="00A31137" w:rsidP="00A31137">
      <w:r w:rsidRPr="00A31137">
        <w:t>1990, Employment Div. v. Smith, 494 U.S. 894</w:t>
      </w:r>
    </w:p>
    <w:p w:rsidR="00A31137" w:rsidRPr="00A31137" w:rsidRDefault="00A31137" w:rsidP="00A31137">
      <w:r w:rsidRPr="00A31137">
        <w:t>Hobbie v. Unemployment Appeals Comm'n of Florida, 480 U.S. 136, 141-142 (1987) (quoting Bowen v. Roy, 476 U.S. 693,  727 (1986) (opinion concurring in part and dissenting in part)).</w:t>
      </w:r>
    </w:p>
    <w:p w:rsidR="00A31137" w:rsidRPr="00A31137" w:rsidRDefault="00A31137" w:rsidP="00A31137">
      <w:r w:rsidRPr="00A31137">
        <w:t>1990, Employment Div. v. Smith, 494 U.S. 894</w:t>
      </w:r>
    </w:p>
    <w:p w:rsidR="00A31137" w:rsidRPr="00A31137" w:rsidRDefault="00A31137" w:rsidP="00A31137">
      <w:r w:rsidRPr="00A31137">
        <w:t>To say that a person's right to free exercise has been burdened, of course, does not mean that he has an absolute right to engage in the conduct. Under our established First Amendment jurisprudence, we have recognized that the freedom to act, unlike the freedom to believe, cannot be absolute. See, e.g., Cantwell, supra, 310 U.S. at  304; Reynolds v. United States, 98 U.S. 145, 161-167. Instead, we have respected both the First Amendment's express textual mandate and the governmental interest in regulation of conduct by requiring the Government to justify any substantial burden on religiously motivated conduct by a compelling state interest and by means narrowly tailored to achieve that interest. See Hernandez v. Commissioner, 490 U.S. 680, [494 U.S. 895] 699 (1989); Hobbie, supra, 480 U.S. at  141; United States v. Lee, 455 U.S. 252, 257-258 (1982); Thomas v. Review Bd., Indiana Employment Security Div., 450 U.S. 707,  718 (1981); McDaniel v. Paty, 435 U.S. 618, 626-629 (1978) (plurality opinion); Yoder, supra, 406 U.S. at  215; Gillette v. United States, 401 U.S. 437,  462 (1971); Sherbert v. Verner, 374 U.S. 398,  403 (1963); see also Bowen v. Roy, supra, 476 U.S. at  732 (opinion concurring in part and dissenting in part); West Virginia State Bd. of Educ. v. Barnette, 319 U.S. 624,  639 (1943). The compelling interest test effectuates the First Amendment's command that religious liberty is an independent liberty, that it occupies a preferred position, and that the Court will not permit encroachments upon this liberty, whether direct or indirect, unless required by clear and compelling governmental interests "of the highest order," Yoder, supra, 406 U.S. at  215.</w:t>
      </w:r>
    </w:p>
    <w:p w:rsidR="00A31137" w:rsidRPr="00A31137" w:rsidRDefault="00A31137" w:rsidP="00A31137">
      <w:r w:rsidRPr="00A31137">
        <w:t>1990, Employment Div. v. Smith, 494 U.S. 895</w:t>
      </w:r>
    </w:p>
    <w:p w:rsidR="00A31137" w:rsidRPr="00A31137" w:rsidRDefault="00A31137" w:rsidP="00A31137">
      <w:r w:rsidRPr="00A31137">
        <w:t>Only an especially important governmental interest pursued by narrowly tailored means can justify exacting a sacrifice of First Amendment freedoms as the price for an equal share of the rights, benefits, and privileges enjoyed by other citizens.</w:t>
      </w:r>
    </w:p>
    <w:p w:rsidR="00A31137" w:rsidRPr="00A31137" w:rsidRDefault="00A31137" w:rsidP="00A31137">
      <w:r w:rsidRPr="00A31137">
        <w:t>1990, Employment Div. v. Smith, 494 U.S. 895</w:t>
      </w:r>
    </w:p>
    <w:p w:rsidR="00A31137" w:rsidRPr="00A31137" w:rsidRDefault="00A31137" w:rsidP="00A31137">
      <w:r w:rsidRPr="00A31137">
        <w:t>Roy, supra, 476 U.S. at  728 (opinion concurring in part and dissenting in part).</w:t>
      </w:r>
    </w:p>
    <w:p w:rsidR="00A31137" w:rsidRPr="00A31137" w:rsidRDefault="00A31137" w:rsidP="00A31137">
      <w:r w:rsidRPr="00A31137">
        <w:t>1990, Employment Div. v. Smith, 494 U.S. 895</w:t>
      </w:r>
    </w:p>
    <w:p w:rsidR="00A31137" w:rsidRPr="00A31137" w:rsidRDefault="00A31137" w:rsidP="00A31137">
      <w:r w:rsidRPr="00A31137">
        <w:t>The Court attempts to support its narrow reading of the Clause by claiming that</w:t>
      </w:r>
    </w:p>
    <w:p w:rsidR="00A31137" w:rsidRPr="00A31137" w:rsidRDefault="00A31137" w:rsidP="00A31137">
      <w:r w:rsidRPr="00A31137">
        <w:t>1990, Employment Div. v. Smith, 494 U.S. 895</w:t>
      </w:r>
    </w:p>
    <w:p w:rsidR="00A31137" w:rsidRPr="00A31137" w:rsidRDefault="00A31137" w:rsidP="00A31137">
      <w:r w:rsidRPr="00A31137">
        <w:t>[w]e have never held that an individual's religious beliefs excuse him from compliance with an otherwise valid law prohibiting conduct that the State IS free to regulate.</w:t>
      </w:r>
    </w:p>
    <w:p w:rsidR="00A31137" w:rsidRPr="00A31137" w:rsidRDefault="00A31137" w:rsidP="00A31137">
      <w:r w:rsidRPr="00A31137">
        <w:t>1990, Employment Div. v. Smith, 494 U.S. 895</w:t>
      </w:r>
    </w:p>
    <w:p w:rsidR="00A31137" w:rsidRPr="00A31137" w:rsidRDefault="00A31137" w:rsidP="00A31137">
      <w:r w:rsidRPr="00A31137">
        <w:t>Ante at 878-879. But as the Court later notes, as it must, in cases such as Cantwell and Yoder, we have in fact interpreted the Free Exercise Clause to forbid application of a generally applicable prohibition to religiously motivated conduct. See Cantwell, supra, 310 U.S. at 304-307; Yoder, supra, 406 U.S. at 214-234. Indeed, in Yoder we expressly rejected the interpretation the Court now adopts:</w:t>
      </w:r>
    </w:p>
    <w:p w:rsidR="00A31137" w:rsidRPr="00A31137" w:rsidRDefault="00A31137" w:rsidP="00A31137">
      <w:r w:rsidRPr="00A31137">
        <w:t>1990, Employment Div. v. Smith, 494 U.S. 895</w:t>
      </w:r>
    </w:p>
    <w:p w:rsidR="00A31137" w:rsidRPr="00A31137" w:rsidRDefault="00A31137" w:rsidP="00A31137">
      <w:r w:rsidRPr="00A31137">
        <w:t>[O]ur decisions have rejected the idea that religiously grounded conduct is always outside the protection of the Free Exercise Clause. It is true that activities of individuals, even when religiously based, are often subject [494 U.S. 896] to regulation by the States in the exercise of their undoubted power to promote the health, safety, and general welfare, or the Federal Government in the exercise of its delegated powers. But to agree that religiously grounded conduct must often be subject to the broad police power of the State is not to deny that there are areas of conduct protected by the Free Exercise Clause of the First Amendment and thus beyond the power of the State to control, even under regulations of general applicability.…</w:t>
      </w:r>
    </w:p>
    <w:p w:rsidR="00A31137" w:rsidRPr="00A31137" w:rsidRDefault="00A31137" w:rsidP="00A31137">
      <w:r w:rsidRPr="00A31137">
        <w:t>1990, Employment Div. v. Smith, 494 U.S. 896</w:t>
      </w:r>
    </w:p>
    <w:p w:rsidR="00A31137" w:rsidRPr="00A31137" w:rsidRDefault="00A31137" w:rsidP="00A31137">
      <w:r w:rsidRPr="00A31137">
        <w:t>…A regulation neutral on its face may, in its application, nonetheless offend the constitutional requirement for government neutrality if it unduly burdens the free exercise of religion.</w:t>
      </w:r>
    </w:p>
    <w:p w:rsidR="00A31137" w:rsidRPr="00A31137" w:rsidRDefault="00A31137" w:rsidP="00A31137">
      <w:r w:rsidRPr="00A31137">
        <w:t>1990, Employment Div. v. Smith, 494 U.S. 896</w:t>
      </w:r>
    </w:p>
    <w:p w:rsidR="00A31137" w:rsidRPr="00A31137" w:rsidRDefault="00A31137" w:rsidP="00A31137">
      <w:r w:rsidRPr="00A31137">
        <w:t>406 U.S. at 219-220 (emphasis added; citations omitted).</w:t>
      </w:r>
    </w:p>
    <w:p w:rsidR="00A31137" w:rsidRPr="00A31137" w:rsidRDefault="00A31137" w:rsidP="00A31137">
      <w:r w:rsidRPr="00A31137">
        <w:t>1990, Employment Div. v. Smith, 494 U.S. 896</w:t>
      </w:r>
    </w:p>
    <w:p w:rsidR="00A31137" w:rsidRPr="00A31137" w:rsidRDefault="00A31137" w:rsidP="00A31137">
      <w:r w:rsidRPr="00A31137">
        <w:t>The Court endeavors to escape from our decisions in Cantwell and Yoder by labeling them "hybrid" decisions, ante at  892, but there is no denying that both cases expressly relied on the Free Exercise Clause, see Cantwell, 310 U.S. at 303-307; Yoder, 406 U.S. at 219-229, and that we have consistently regarded those cases as part of the mainstream of our free exercise jurisprudence. Moreover, in each of the other cases cited by the Court to support its categorical rule, ante at 879-880, we rejected the particular constitutional claims before us only after carefully weighing the competing interests. See Prince v. Massachusetts, 321 U.S. 158, 168-170 (1944) (state interest in regulating children's activities justifies denial of religious exemption from child labor laws); Braunfeld v. Brown, 366 U.S. 599, 608-609 (1961) (plurality opinion) (state interest in uniform day of rest justifies denial of religious exemption from Sunday closing law); Gillette, supra, 401 U.S. at 462 (state interest in military affairs justifies denial of religious exemption from conscription laws); Lee, supra, 455 U.S. at 258-259 (state interest in comprehensive social security system justifies denial of religious exemption from mandatory participation requirement). That we rejected the free exercise [494 U.S. 897] claims in those cases hardly calls into question the applicability of First Amendment doctrine in the first place. Indeed, it is surely unusual to judge the vitality of a constitutional doctrine by looking to the win-loss record of the plaintiffs who happen to come before us.</w:t>
      </w:r>
    </w:p>
    <w:p w:rsidR="00A31137" w:rsidRPr="00A31137" w:rsidRDefault="00A31137" w:rsidP="00A31137">
      <w:r w:rsidRPr="00A31137">
        <w:t>B</w:t>
      </w:r>
    </w:p>
    <w:p w:rsidR="00A31137" w:rsidRPr="00A31137" w:rsidRDefault="00A31137" w:rsidP="00A31137">
      <w:r w:rsidRPr="00A31137">
        <w:t>1990, Employment Div. v. Smith, 494 U.S. 897</w:t>
      </w:r>
    </w:p>
    <w:p w:rsidR="00A31137" w:rsidRPr="00A31137" w:rsidRDefault="00A31137" w:rsidP="00A31137">
      <w:r w:rsidRPr="00A31137">
        <w:t>Respondents, of course, do not contend that their conduct is automatically immune from all governmental regulation simply because it is motivated by their sincere religious beliefs. The Court's rejection of that argument, ante at  882, might therefore be regarded as merely harmless dictum. Rather, respondents invoke our traditional compelling interest test to argue that the Free Exercise Clause requires the State to grant them a limited exemption from its general criminal prohibition against the possession of peyote. The Court today, however, denies them even the opportunity to make that argument, concluding that "the sounder approach, and the approach in accord with the vast majority of our precedents, is to hold the [compelling interest] test inapplicable to" challenges to general criminal prohibitions. Ante at  885.</w:t>
      </w:r>
    </w:p>
    <w:p w:rsidR="00A31137" w:rsidRPr="00A31137" w:rsidRDefault="00A31137" w:rsidP="00A31137">
      <w:r w:rsidRPr="00A31137">
        <w:t>1990, Employment Div. v. Smith, 494 U.S. 897</w:t>
      </w:r>
    </w:p>
    <w:p w:rsidR="00A31137" w:rsidRPr="00A31137" w:rsidRDefault="00A31137" w:rsidP="00A31137">
      <w:r w:rsidRPr="00A31137">
        <w:t>In my view, however, the essence of a free exercise claim is relief from a burden imposed by government on religious practices or beliefs, whether the burden is imposed directly through laws that prohibit or compel specific religious practices, or indirectly through laws that, in effect, make abandonment of one's own religion or conformity to the religious beliefs of others the price of an equal place in the civil community. As we explained in Thomas:</w:t>
      </w:r>
    </w:p>
    <w:p w:rsidR="00A31137" w:rsidRPr="00A31137" w:rsidRDefault="00A31137" w:rsidP="00A31137">
      <w:r w:rsidRPr="00A31137">
        <w:t>1990, Employment Div. v. Smith, 494 U.S. 897</w:t>
      </w:r>
    </w:p>
    <w:p w:rsidR="00A31137" w:rsidRPr="00A31137" w:rsidRDefault="00A31137" w:rsidP="00A31137">
      <w:r w:rsidRPr="00A31137">
        <w:t>Where the state conditions receipt of an important benefit upon conduct proscribed by a religious faith, or where it denies such a benefit because of conduct mandated by religious belief, thereby putting substantial pressure on an adherent to modify his behavior and to violate his beliefs, a burden upon religion exists.</w:t>
      </w:r>
    </w:p>
    <w:p w:rsidR="00A31137" w:rsidRPr="00A31137" w:rsidRDefault="00A31137" w:rsidP="00A31137">
      <w:r w:rsidRPr="00A31137">
        <w:t>1990, Employment Div. v. Smith, 494 U.S. 897</w:t>
      </w:r>
    </w:p>
    <w:p w:rsidR="00A31137" w:rsidRPr="00A31137" w:rsidRDefault="00A31137" w:rsidP="00A31137">
      <w:r w:rsidRPr="00A31137">
        <w:t>450 U.S. at 717-718. [494 U.S. 898] See also Frazee v. Illinois Dept. of Employment Security, 489 U.S. 829,  832 (1989); Hobbie, 480 U.S. at  141. A State that makes criminal an individual's religiously motivated conduct burdens that individual's free exercise of religion in the severest manner possible, for it "results in the choice to the individual of either abandoning his religious principle or facing criminal prosecution." Braunfeld, supra, 366 U.S. at  605. I would have thought it beyond argument that such laws implicate free exercise concerns.</w:t>
      </w:r>
    </w:p>
    <w:p w:rsidR="00A31137" w:rsidRPr="00A31137" w:rsidRDefault="00A31137" w:rsidP="00A31137">
      <w:r w:rsidRPr="00A31137">
        <w:t>1990, Employment Div. v. Smith, 494 U.S. 898</w:t>
      </w:r>
    </w:p>
    <w:p w:rsidR="00A31137" w:rsidRPr="00A31137" w:rsidRDefault="00A31137" w:rsidP="00A31137">
      <w:r w:rsidRPr="00A31137">
        <w:t>Indeed, we have never distinguished between cases in which a State conditions receipt of a benefit on conduct prohibited by religious beliefs and cases in which a State affirmatively prohibits such conduct. The Sherbert compelling interest test applies in both kinds of cases. See, e.g., Lee, 455 U.S. at 257-260 (applying Sherbert to uphold social security tax liability); Gillette, 401 U.S. at  462 (applying Sherbert to uphold military conscription requirement); Yoder, supra, 406 U.S. at 215-234 (applying Sherbert to strike down criminal convictions for violation of compulsory school attendance law). As I noted in Bowen v. Roy:</w:t>
      </w:r>
    </w:p>
    <w:p w:rsidR="00A31137" w:rsidRPr="00A31137" w:rsidRDefault="00A31137" w:rsidP="00A31137">
      <w:r w:rsidRPr="00A31137">
        <w:t>1990, Employment Div. v. Smith, 494 U.S. 898</w:t>
      </w:r>
    </w:p>
    <w:p w:rsidR="00A31137" w:rsidRPr="00A31137" w:rsidRDefault="00A31137" w:rsidP="00A31137">
      <w:r w:rsidRPr="00A31137">
        <w:t>The fact that the underlying dispute involves an award of benefits rather than an exaction of penalties does not grant the Government license to apply a different version of the Constitution….</w:t>
      </w:r>
    </w:p>
    <w:p w:rsidR="00A31137" w:rsidRPr="00A31137" w:rsidRDefault="00A31137" w:rsidP="00A31137">
      <w:r w:rsidRPr="00A31137">
        <w:t>1990, Employment Div. v. Smith, 494 U.S. 898</w:t>
      </w:r>
    </w:p>
    <w:p w:rsidR="00A31137" w:rsidRPr="00A31137" w:rsidRDefault="00A31137" w:rsidP="00A31137">
      <w:r w:rsidRPr="00A31137">
        <w:t>…The fact that appellees seek exemption from a precondition that the Government attaches to an award of benefits does not, therefore, generate a meaningful distinction between this case and one where appellees seek an exemption from the Government's imposition of penalties upon them.</w:t>
      </w:r>
    </w:p>
    <w:p w:rsidR="00A31137" w:rsidRPr="00A31137" w:rsidRDefault="00A31137" w:rsidP="00A31137">
      <w:r w:rsidRPr="00A31137">
        <w:t>1990, Employment Div. v. Smith, 494 U.S. 898</w:t>
      </w:r>
    </w:p>
    <w:p w:rsidR="00A31137" w:rsidRPr="00A31137" w:rsidRDefault="00A31137" w:rsidP="00A31137">
      <w:r w:rsidRPr="00A31137">
        <w:t>476 U.S. at 731-732 (opinion concurring in part and dissenting in part). See also Hobbie, supra, 480 U.S. at 141-142; Sherbert, 374 U.S. at  404. I would reaffirm that principle today: a neutral criminal law prohibiting conduct that a State may legitimately regulate is, if anything, more burdensome than a neutral civil [494 U.S. 899] statute placing legitimate conditions on the award of a state benefit.</w:t>
      </w:r>
    </w:p>
    <w:p w:rsidR="00A31137" w:rsidRPr="00A31137" w:rsidRDefault="00A31137" w:rsidP="00A31137">
      <w:r w:rsidRPr="00A31137">
        <w:t>1990, Employment Div. v. Smith, 494 U.S. 899</w:t>
      </w:r>
    </w:p>
    <w:p w:rsidR="00A31137" w:rsidRPr="00A31137" w:rsidRDefault="00A31137" w:rsidP="00A31137">
      <w:r w:rsidRPr="00A31137">
        <w:t>Legislatures, of course, have always been "left free to reach actions which were in violation of social duties or subversive of good order." Reynolds, 98 U.S. at  164; see also Yoder, 406 U.S. at 219-220; Braunfeld, 366 U.S. at 603-604. Yet because of the close relationship between conduct and religious belief,</w:t>
      </w:r>
    </w:p>
    <w:p w:rsidR="00A31137" w:rsidRPr="00A31137" w:rsidRDefault="00A31137" w:rsidP="00A31137">
      <w:r w:rsidRPr="00A31137">
        <w:t>1990, Employment Div. v. Smith, 494 U.S. 899</w:t>
      </w:r>
    </w:p>
    <w:p w:rsidR="00A31137" w:rsidRPr="00A31137" w:rsidRDefault="00A31137" w:rsidP="00A31137">
      <w:r w:rsidRPr="00A31137">
        <w:t>[i]n every case the power to regulate must be so exercised as not, in attaining a permissible end, unduly to infringe the protected freedom.</w:t>
      </w:r>
    </w:p>
    <w:p w:rsidR="00A31137" w:rsidRPr="00A31137" w:rsidRDefault="00A31137" w:rsidP="00A31137">
      <w:r w:rsidRPr="00A31137">
        <w:t>1990, Employment Div. v. Smith, 494 U.S. 899</w:t>
      </w:r>
    </w:p>
    <w:p w:rsidR="00A31137" w:rsidRPr="00A31137" w:rsidRDefault="00A31137" w:rsidP="00A31137">
      <w:r w:rsidRPr="00A31137">
        <w:t>Cantwell, 310 U.S. at  304. Once it has been shown that a government regulation or criminal prohibition burdens the free exercise of religion, we have consistently asked the Government to demonstrate that unbending application of its regulation to the religious objector "is essential to accomplish an overriding governmental interest," Lee, supra, 455 U.S. at 257-258, or represents "the least restrictive means of achieving some compelling state interest," Thomas, 450 U.S. at  718. See, e.g., Braunfeld, supra, 366 U.S. at  607; Sherbert, supra, 374 U.S. at  406; Yoder, supra, 406 U.S. at 214-215; Roy, 476 U.S. at 728-732 (opinion concurring in part and dissenting in part). To me, the sounder approach—the approach more consistent with our role as judges to decide each case on its individual merits—is to apply this test in each case to determine whether the burden on the specific plaintiffs before us is constitutionally significant, and whether the particular criminal interest asserted by the State before us is compelling. Even if, as an empirical matter, a government's criminal laws might usually serve a compelling interest in health, safety, or public order, the First Amendment at least requires a case-by-case determination of the question, sensitive to the facts of each particular claim. Cf. McDaniel, 435 U.S. at  628, n. 8 (plurality opinion) (noting application of Sherbert to general criminal prohibitions and the "delicate balancing required by our decisions in" Sherbert and Yoder). Given the range of conduct that a State might legitimately make [494 U.S. 900] criminal, we cannot assume, merely because a law carries criminal sanctions and is generally applicable, that the First Amendment never requires the State to grant a limited exemption for religiously motivated conduct.</w:t>
      </w:r>
    </w:p>
    <w:p w:rsidR="00A31137" w:rsidRPr="00A31137" w:rsidRDefault="00A31137" w:rsidP="00A31137">
      <w:r w:rsidRPr="00A31137">
        <w:t>1990, Employment Div. v. Smith, 494 U.S. 900</w:t>
      </w:r>
    </w:p>
    <w:p w:rsidR="00A31137" w:rsidRPr="00A31137" w:rsidRDefault="00A31137" w:rsidP="00A31137">
      <w:r w:rsidRPr="00A31137">
        <w:t>Moreover, we have not "rejected" or "declined to apply" the compelling interest test in our recent cases. Ante at 883-884. Recent cases have instead affirmed that test as a fundamental part of our First Amendment doctrine. See, e.g., Hernandez, 490 U.S. at  699; Hobbie, supra, 480 U.S. at 141-142 (rejecting Chief Justice Burger's suggestion in Roy, supra, 476 U.S. at 707-708, that free exercise claims be assessed under a less rigorous "reasonable means" standard). The cases cited by the Court signal no retreat from our consistent adherence to the compelling interest test. In both Bowen v. Roy, supra, and Lyng v. Northwest Indian Cemetary Protective Assn., 485 U.S. 439 (1988), for example, we expressly distinguished Sherbert on the ground that the First Amendment does not</w:t>
      </w:r>
    </w:p>
    <w:p w:rsidR="00A31137" w:rsidRPr="00A31137" w:rsidRDefault="00A31137" w:rsidP="00A31137">
      <w:r w:rsidRPr="00A31137">
        <w:t>1990, Employment Div. v. Smith, 494 U.S. 900</w:t>
      </w:r>
    </w:p>
    <w:p w:rsidR="00A31137" w:rsidRPr="00A31137" w:rsidRDefault="00A31137" w:rsidP="00A31137">
      <w:r w:rsidRPr="00A31137">
        <w:t>require the Government itself to behave in ways that the individual believes will further his or her spiritual development…. The Free Exercise Clause simply cannot be understood to require the Government to conduct its own internal affairs in ways that comport with the religious beliefs of particular citizens.</w:t>
      </w:r>
    </w:p>
    <w:p w:rsidR="00A31137" w:rsidRPr="00A31137" w:rsidRDefault="00A31137" w:rsidP="00A31137">
      <w:r w:rsidRPr="00A31137">
        <w:t>1990, Employment Div. v. Smith, 494 U.S. 900</w:t>
      </w:r>
    </w:p>
    <w:p w:rsidR="00A31137" w:rsidRPr="00A31137" w:rsidRDefault="00A31137" w:rsidP="00A31137">
      <w:r w:rsidRPr="00A31137">
        <w:t>Roy, supra, 476 U.S. at  699; see Lyng, supra, 485 U.S. at  449. This distinction makes sense because</w:t>
      </w:r>
    </w:p>
    <w:p w:rsidR="00A31137" w:rsidRPr="00A31137" w:rsidRDefault="00A31137" w:rsidP="00A31137">
      <w:r w:rsidRPr="00A31137">
        <w:t>1990, Employment Div. v. Smith, 494 U.S. 900</w:t>
      </w:r>
    </w:p>
    <w:p w:rsidR="00A31137" w:rsidRPr="00A31137" w:rsidRDefault="00A31137" w:rsidP="00A31137">
      <w:r w:rsidRPr="00A31137">
        <w:t>the Free Exercise Clause is written in terms of what the government cannot do to the individual, not in terms of what the individual can exact from the government.</w:t>
      </w:r>
    </w:p>
    <w:p w:rsidR="00A31137" w:rsidRPr="00A31137" w:rsidRDefault="00A31137" w:rsidP="00A31137">
      <w:r w:rsidRPr="00A31137">
        <w:t>1990, Employment Div. v. Smith, 494 U.S. 900</w:t>
      </w:r>
    </w:p>
    <w:p w:rsidR="00A31137" w:rsidRPr="00A31137" w:rsidRDefault="00A31137" w:rsidP="00A31137">
      <w:r w:rsidRPr="00A31137">
        <w:t>Sherbert, supra, 374 U.S. at  412 (Douglas, J., concurring). Because the case sub judice, like the other cases in which we have applied Sherbert, plainly falls into the former category, I would apply those established precedents to the facts of this case.</w:t>
      </w:r>
      <w:r w:rsidRPr="00A31137">
        <w:cr/>
      </w:r>
    </w:p>
    <w:p w:rsidR="00A31137" w:rsidRPr="00A31137" w:rsidRDefault="00A31137" w:rsidP="00A31137">
      <w:r w:rsidRPr="00A31137">
        <w:t>1990, Employment Div. v. Smith, 494 U.S. 900</w:t>
      </w:r>
    </w:p>
    <w:p w:rsidR="00A31137" w:rsidRPr="00A31137" w:rsidRDefault="00A31137" w:rsidP="00A31137">
      <w:r w:rsidRPr="00A31137">
        <w:t>Similarly, the other cases cited by the Court for the proposition that we have rejected application of the Sherbert test outside the unemployment compensation field, ante at  884, are distinguishable because they arose in the narrow, specialized contexts in which we have not traditionally required [494 U.S. 901] the government to justify a burden on religious conduct by articulating a compelling interest. See Goldman v. Weinberger, 475 U.S. 503,  507 (1986) ("Our review of military regulations challenged on First Amendment grounds is far more deferential than constitutional review of similar laws or regulations designed for civilian society"); O'Lone v. Estate of Shabazz, 482 U.S. 342,  349 (1987) ("[P]rison regulations alleged to infringe constitutional rights are judged under a 'reasonableness' test less restrictive than that ordinarily applied to alleged infringements of fundamental constitutional rights") (citation omitted). That we did not apply the compelling interest test in these cases says nothing about whether the test should continue to apply in paradigm free exercise cases such as the one presented here.</w:t>
      </w:r>
    </w:p>
    <w:p w:rsidR="00A31137" w:rsidRPr="00A31137" w:rsidRDefault="00A31137" w:rsidP="00A31137">
      <w:r w:rsidRPr="00A31137">
        <w:t>1990, Employment Div. v. Smith, 494 U.S. 901</w:t>
      </w:r>
    </w:p>
    <w:p w:rsidR="00A31137" w:rsidRPr="00A31137" w:rsidRDefault="00A31137" w:rsidP="00A31137">
      <w:r w:rsidRPr="00A31137">
        <w:t>The Court today gives no convincing reason to depart from settled First Amendment jurisprudence. There is nothing talismanic about neutral laws of general applicability or general criminal prohibitions, for laws neutral toward religion can coerce a person to violate his religious conscience or intrude upon his religious duties just as effectively as laws aimed at religion. Although the Court suggests that the compelling interest test, as applied to generally applicable laws, would result in a "constitutional anomaly," ante at  886, the First Amendment unequivocally makes freedom of religion, like freedom from race discrimination and freedom of speech, a "constitutional nor[m]," not an "anomaly." Ibid. Nor would application of our established free exercise doctrine to this case necessarily be incompatible with our equal protection cases. Cf. Rogers v. Lodge, 458 U.S. 613, 618 (1982) (race-neutral law that "'bears more heavily on one race than another'" may violate equal protection) (citation omitted); Castaneda v. Partida, 430 U.S. 482, 492-495 (1977) (grand jury selection). We have, in any event, recognized that the Free Exercise Clause protects values distinct from those protected by the Equal Protection Clause. See Hobbie, 480 U.S. at 141-142. As the language of the [494 U.S. 902] Clause itself makes clear, an individual's free exercise of religion is a preferred constitutional activity. See, e.g., McConnell, Accommodation of Religion, 1985 Sup.Ct.Rev. 1, 9 ("[T]he text of the First Amendment itself 'singles out' religion for special protections"); P. Kauper, Religion and the Constitution 17 (1964). A law that makes criminal such an activity therefore triggers constitutional concern—and heightened judicial scrutiny—even if it does not target the particular religious conduct at issue. Our free speech cases similarly recognize that neutral regulations that affect free speech values are subject to a balancing, rather than categorical, approach. See, e.g., United States v. O'Brien, 391 U.S. 367,  377 (1968); City of Renton v. Playtime Theatres, Inc., 475 U.S. 41, 46-47 (1986); cf. Anderson v. Celebrezze, 460 U.S. 780, 792-794 (1983) (generally applicable laws may impinge on free association concerns). The Court's parade of horribles, ante at 888-889, not only fails as a reason for discarding the compelling interest test, it instead demonstrates just the opposite: that courts have been quite capable of applying our free exercise jurisprudence to strike sensible balances between religious liberty and competing state interests.</w:t>
      </w:r>
    </w:p>
    <w:p w:rsidR="00A31137" w:rsidRPr="00A31137" w:rsidRDefault="00A31137" w:rsidP="00A31137">
      <w:r w:rsidRPr="00A31137">
        <w:t>1990, Employment Div. v. Smith, 494 U.S. 902</w:t>
      </w:r>
    </w:p>
    <w:p w:rsidR="00A31137" w:rsidRPr="00A31137" w:rsidRDefault="00A31137" w:rsidP="00A31137">
      <w:r w:rsidRPr="00A31137">
        <w:t xml:space="preserve">Finally, the Court today suggests that the disfavoring of minority religions is an "unavoidable consequence" under our system of government, and that accommodation of such religions must be left to the political process. Ante at  890. In my view, however, the First Amendment was enacted precisely to protect the rights of those whose religious practices are not shared by the majority and may be viewed with hostility. The history of our free exercise doctrine amply demonstrates the harsh impact majoritarian rule has had on unpopular or emerging religious groups such as the Jehovah's Witnesses and the Amish. Indeed, the words of Justice Jackson in West Virginia Board of Education v. Barnette (overruling Minersville School District v. Gobitis, 310 U.S. 586 (1940)) are apt: [494 U.S. 903] </w:t>
      </w:r>
    </w:p>
    <w:p w:rsidR="00A31137" w:rsidRPr="00A31137" w:rsidRDefault="00A31137" w:rsidP="00A31137">
      <w:r w:rsidRPr="00A31137">
        <w:t>1990, Employment Div. v. Smith, 494 U.S. 903</w:t>
      </w:r>
    </w:p>
    <w:p w:rsidR="00A31137" w:rsidRPr="00A31137" w:rsidRDefault="00A31137" w:rsidP="00A31137">
      <w:r w:rsidRPr="00A31137">
        <w:t>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w:t>
      </w:r>
    </w:p>
    <w:p w:rsidR="00A31137" w:rsidRPr="00A31137" w:rsidRDefault="00A31137" w:rsidP="00A31137">
      <w:r w:rsidRPr="00A31137">
        <w:t>1990, Employment Div. v. Smith, 494 U.S. 903</w:t>
      </w:r>
    </w:p>
    <w:p w:rsidR="00A31137" w:rsidRPr="00A31137" w:rsidRDefault="00A31137" w:rsidP="00A31137">
      <w:r w:rsidRPr="00A31137">
        <w:t>319 U.S. at  638. See also United States v. Ballard, 322 U.S. 78, 87 (1944) ("The Fathers of the Constitution were not unaware of the varied and extreme views of religious sects, of the violence of disagreement among them, and of, the lack of any one religions creed on which all men would agree. They fashioned a charter of government which envisaged the widest possible toleration of conflicting views"). The compelling interest test reflects the First Amendment's mandate of preserving religious liberty to the fullest extent possible in a pluralistic society. For the Court to deem this command a "luxury," ante at  888, is to denigrate "[t]he very purpose of a Bill of Rights."</w:t>
      </w:r>
    </w:p>
    <w:p w:rsidR="00A31137" w:rsidRPr="00A31137" w:rsidRDefault="00A31137" w:rsidP="00A31137">
      <w:r w:rsidRPr="00A31137">
        <w:t>III</w:t>
      </w:r>
    </w:p>
    <w:p w:rsidR="00A31137" w:rsidRPr="00A31137" w:rsidRDefault="00A31137" w:rsidP="00A31137">
      <w:r w:rsidRPr="00A31137">
        <w:t>1990, Employment Div. v. Smith, 494 U.S. 903</w:t>
      </w:r>
    </w:p>
    <w:p w:rsidR="00A31137" w:rsidRPr="00A31137" w:rsidRDefault="00A31137" w:rsidP="00A31137">
      <w:r w:rsidRPr="00A31137">
        <w:t>The Court's holding today not only misreads settled First Amendment precedent; it appears to be unnecessary to this case. I would reach the same result applying our established free exercise jurisprudence.</w:t>
      </w:r>
    </w:p>
    <w:p w:rsidR="00A31137" w:rsidRPr="00A31137" w:rsidRDefault="00A31137" w:rsidP="00A31137">
      <w:r w:rsidRPr="00A31137">
        <w:t>A</w:t>
      </w:r>
    </w:p>
    <w:p w:rsidR="00A31137" w:rsidRPr="00A31137" w:rsidRDefault="00A31137" w:rsidP="00A31137">
      <w:r w:rsidRPr="00A31137">
        <w:t>1990, Employment Div. v. Smith, 494 U.S. 903</w:t>
      </w:r>
    </w:p>
    <w:p w:rsidR="00A31137" w:rsidRPr="00A31137" w:rsidRDefault="00A31137" w:rsidP="00A31137">
      <w:r w:rsidRPr="00A31137">
        <w:t>There is no dispute that Oregon's criminal prohibition of peyote places a severe burden on the ability of respondents to freely exercise their religion. Peyote is a sacrament of the Native American Church, and is regarded as vital to respondents' ability to practice their religion. See O. Stewart, Peyote Religion: A History 327-336 (1987) (describing modern status of peyotism); E. Anderson, Peyote: The Divine Cactus 41-65 (1980) (describing peyote ceremonies); Teachings from [494 U.S. 904] the American Earth: Indian Religion and Philosophy 96-104 (D. Tedlock &amp; B. Tedlock eds. 1975) (same); see also People v. Woody, 61 Cal.2d 716, 721-722, 40 Cal.Rptr. 69, 73-74, 394 P.2d 813, 817-818 (1964). As we noted in Smith I, the Oregon Supreme Court concluded that</w:t>
      </w:r>
    </w:p>
    <w:p w:rsidR="00A31137" w:rsidRPr="00A31137" w:rsidRDefault="00A31137" w:rsidP="00A31137">
      <w:r w:rsidRPr="00A31137">
        <w:t>1990, Employment Div. v. Smith, 494 U.S. 904</w:t>
      </w:r>
    </w:p>
    <w:p w:rsidR="00A31137" w:rsidRPr="00A31137" w:rsidRDefault="00A31137" w:rsidP="00A31137">
      <w:r w:rsidRPr="00A31137">
        <w:t>the Native American Church is a recognized religion, that peyote is a sacrament of that church, and that respondent's beliefs were sincerely held.</w:t>
      </w:r>
    </w:p>
    <w:p w:rsidR="00A31137" w:rsidRPr="00A31137" w:rsidRDefault="00A31137" w:rsidP="00A31137">
      <w:r w:rsidRPr="00A31137">
        <w:t>1990, Employment Div. v. Smith, 494 U.S. 904</w:t>
      </w:r>
    </w:p>
    <w:p w:rsidR="00A31137" w:rsidRPr="00A31137" w:rsidRDefault="00A31137" w:rsidP="00A31137">
      <w:r w:rsidRPr="00A31137">
        <w:t>485 U.S. at 667. Under Oregon law, as construed by that State's highest court, members of the Native American Church must choose between carrying out the ritual embodying their religious beliefs and avoidance of criminal prosecution. That choice is, in my view, more than sufficient to trigger First Amendment scrutiny.</w:t>
      </w:r>
    </w:p>
    <w:p w:rsidR="00A31137" w:rsidRPr="00A31137" w:rsidRDefault="00A31137" w:rsidP="00A31137">
      <w:r w:rsidRPr="00A31137">
        <w:t>1990, Employment Div. v. Smith, 494 U.S. 904</w:t>
      </w:r>
    </w:p>
    <w:p w:rsidR="00A31137" w:rsidRPr="00A31137" w:rsidRDefault="00A31137" w:rsidP="00A31137">
      <w:r w:rsidRPr="00A31137">
        <w:t>There is also no dispute that Oregon has a significant interest in enforcing laws that control the possession and use of controlled substances by its citizens. See, e.g., Sherbert, 374 U.S. at  403 (religiously motivated conduct may be regulated where such conduct "pose[s] some substantial threat to public safety, peace or order"); Yoder, 406 U.S. at  220 ("activities of individuals, even when religiously based, are often subject to regulation by the States in the exercise of their undoubted power to promote the health, safety and general welfare"). As we recently noted, drug abuse is "one of the greatest problems affecting the health and welfare of our population" and thus "one of the most serious problems confronting our society today." Treasury Employees v. Von Raab, 489 U.S. 656, 668, 674 (1989). Indeed, under federal law (incorporated by Oregon law in relevant part, see Ore.Rev.Stat. § 475.005(6) (1989)), peyote is specifically regulated as a Schedule I controlled substance, which means that Congress has found that it has a high potential for abuse, that there is no currently accepted medical use, and that there is a lack of accepted safety for use of the drug under medical supervision. See 21 U.S.C. § 812(b)(1). See generally R. Julien, A Primer of Drug Action 149 (3d ed. 1981). In light of our recent decisions holding that the governmental [494 U.S. 905] interests in the collection of income tax, Hernandez, 490 U.S. at 699-700, a comprehensive social security system, see Lee, 455 U.S. at 258-259, and military conscription, see Gillette, 401 U.S. at  460, are compelling, respondents do not seriously dispute that Oregon has a compelling interest in prohibiting the possession of peyote by its citizens.</w:t>
      </w:r>
    </w:p>
    <w:p w:rsidR="00A31137" w:rsidRPr="00A31137" w:rsidRDefault="00A31137" w:rsidP="00A31137">
      <w:r w:rsidRPr="00A31137">
        <w:t>B</w:t>
      </w:r>
    </w:p>
    <w:p w:rsidR="00A31137" w:rsidRPr="00A31137" w:rsidRDefault="00A31137" w:rsidP="00A31137">
      <w:r w:rsidRPr="00A31137">
        <w:t>1990, Employment Div. v. Smith, 494 U.S. 905</w:t>
      </w:r>
    </w:p>
    <w:p w:rsidR="00A31137" w:rsidRPr="00A31137" w:rsidRDefault="00A31137" w:rsidP="00A31137">
      <w:r w:rsidRPr="00A31137">
        <w:t>Thus, the critical question in this case is whether exempting respondents from the State's general criminal prohibition "will unduly interfere with fulfillment of the governmental interest." Lee, supra, 455 U.S. at 259; see also Roy, 476 U.S. at  727 ("[T]he Government must accommodate a legitimate free exercise claim unless pursuing an especially important interest by narrowly tailored means"); Yoder, 406 U.S. at  221; Braunfeld, 366 U.S. at 605-607. Although the question is close, I would conclude that uniform application of Oregon's criminal prohibition is "essential to accomplish," Lee, supra, at 455 U.S. at 257, its overriding interest in preventing the physical harm caused by the use of a Schedule I controlled substance. Oregon's criminal prohibition represents that State's judgment that the possession and use of controlled substances, even by only one person, is inherently harmful and dangerous. Because the health effects caused by the use of controlled substances exist regardless of the motivation of the user, the use of such substances, even for religious purposes, violates the very purpose of the laws that prohibit them. Cf. State v. Massey, 229 N.C. 734, 51 S.E.2d 179 (denying religious exemption to municipal ordinance prohibiting handling of poisonous reptiles), appeal dism'd sub nom. Bunn v. North Carolina, 336 U.S. 942 (1949). Moreover, in view of the societal interest in preventing trafficking in controlled substances, uniform application of the criminal prohibition at issue is essential to the effectiveness of Oregon's stated interest in preventing any possession of peyote. Cf. Jacobson v. [494 U.S. 906] Massachusetts, 197 U.S. 11 (1905) (denying exemption from smallpox vaccination requirement).</w:t>
      </w:r>
    </w:p>
    <w:p w:rsidR="00A31137" w:rsidRPr="00A31137" w:rsidRDefault="00A31137" w:rsidP="00A31137">
      <w:r w:rsidRPr="00A31137">
        <w:t>1990, Employment Div. v. Smith, 494 U.S. 906</w:t>
      </w:r>
    </w:p>
    <w:p w:rsidR="00A31137" w:rsidRPr="00A31137" w:rsidRDefault="00A31137" w:rsidP="00A31137">
      <w:r w:rsidRPr="00A31137">
        <w:t>For these reasons, I believe that granting a selective exemption in this case would seriously impair Oregon's compelling interest in prohibiting possession of peyote by its citizens. Under such circumstances, the Free Exercise Clause does not require the State to accommodate respondents' religiously motivated conduct. See, e.g., Thomas, 450 U.S. at  719. Unlike in Yoder, where we noted that</w:t>
      </w:r>
    </w:p>
    <w:p w:rsidR="00A31137" w:rsidRPr="00A31137" w:rsidRDefault="00A31137" w:rsidP="00A31137">
      <w:r w:rsidRPr="00A31137">
        <w:t>1990, Employment Div. v. Smith, 494 U.S. 906</w:t>
      </w:r>
    </w:p>
    <w:p w:rsidR="00A31137" w:rsidRPr="00A31137" w:rsidRDefault="00A31137" w:rsidP="00A31137">
      <w:r w:rsidRPr="00A31137">
        <w:t>[t]he record strongly indicates that accommodating the religious objections of the Amish by forgoing one, or at most two, additional years of compulsory education will not impair the physical or mental health of the child, or result in an inability to be self-supporting or to discharge the duties and responsibilities of citizenship, or in any other way materially detract from the welfare of society,</w:t>
      </w:r>
    </w:p>
    <w:p w:rsidR="00A31137" w:rsidRPr="00A31137" w:rsidRDefault="00A31137" w:rsidP="00A31137">
      <w:r w:rsidRPr="00A31137">
        <w:t>1990, Employment Div. v. Smith, 494 U.S. 906</w:t>
      </w:r>
    </w:p>
    <w:p w:rsidR="00A31137" w:rsidRPr="00A31137" w:rsidRDefault="00A31137" w:rsidP="00A31137">
      <w:r w:rsidRPr="00A31137">
        <w:t>406 U.S. at  234; see also id. at 238-240 (WHITE, J., concurring), a religious exemption in this case would be incompatible with the State's interest in controlling use and possession of illegal drugs.</w:t>
      </w:r>
    </w:p>
    <w:p w:rsidR="00A31137" w:rsidRPr="00A31137" w:rsidRDefault="00A31137" w:rsidP="00A31137">
      <w:r w:rsidRPr="00A31137">
        <w:t>1990, Employment Div. v. Smith, 494 U.S. 906</w:t>
      </w:r>
    </w:p>
    <w:p w:rsidR="00A31137" w:rsidRPr="00A31137" w:rsidRDefault="00A31137" w:rsidP="00A31137">
      <w:r w:rsidRPr="00A31137">
        <w:t>Respondents contend that any incompatibility is belied by the fact that the Federal Government and several States provide exemptions for the religious use of peyote, see 21 CFR § 1307.31 (1989); 307 Or. at 73, n. 2, 763 P.2d at 148, n. 2 (citing 11 state statutes that expressly exempt sacramental peyote use from criminal proscription). But other governments may surely choose to grant an exemption without Oregon, with its specific asserted interest in uniform application of its drug laws, being required to do so by the First Amendment. Respondents also note that the sacramental use of peyote is central to the tenets of the Native American Church, but I agree with the Court, ante at 886-887, that because "[i]t is not within the judicial ken to question the centrality of particular beliefs or practices to a faith," Hernandez, supra, at 699, our determination of the constitutionality of Oregon's general criminal prohibition cannot, and should not, turn on the centrality of the particular [494 U.S. 907] religious practice at issue. This does not mean, of course, that courts may not make factual findings as to whether a claimant holds a sincerely held religious belief that conflicts with, and thus is burdened by, the challenged law. The distinction between questions of centrality and questions of sincerity and burden is admittedly fine, but it is one that is an established part of our free exercise doctrine, see Ballard, 322 U.S. at 85-88, and one that courts are capable of making. See Tony and Susan Alamo Foundation v. Secretary of Labor, 471 U.S. 290, 303-305 (1985).</w:t>
      </w:r>
    </w:p>
    <w:p w:rsidR="00A31137" w:rsidRPr="00A31137" w:rsidRDefault="00A31137" w:rsidP="00A31137">
      <w:r w:rsidRPr="00A31137">
        <w:t>1990, Employment Div. v. Smith, 494 U.S. 907</w:t>
      </w:r>
    </w:p>
    <w:p w:rsidR="00A31137" w:rsidRPr="00A31137" w:rsidRDefault="00A31137" w:rsidP="00A31137">
      <w:r w:rsidRPr="00A31137">
        <w:t>I would therefore adhere to our established free exercise jurisprudence and hold that the State in this case has a compelling interest in regulating peyote use by its citizens, and that accommodating respondents' religiously motivated conduct "will unduly interfere with fulfillment of the governmental interest." Lee, 455 U.S. at 259. Accordingly, I concur in the judgment of the Court.</w:t>
      </w:r>
    </w:p>
    <w:p w:rsidR="00A31137" w:rsidRPr="00A31137" w:rsidRDefault="00A31137" w:rsidP="00A31137">
      <w:r w:rsidRPr="00A31137">
        <w:t>BLACKMUN, J., dissenting</w:t>
      </w:r>
    </w:p>
    <w:p w:rsidR="00A31137" w:rsidRPr="00A31137" w:rsidRDefault="00A31137" w:rsidP="00A31137">
      <w:r w:rsidRPr="00A31137">
        <w:t>1990, Employment Div. v. Smith, 494 U.S. 907</w:t>
      </w:r>
    </w:p>
    <w:p w:rsidR="00A31137" w:rsidRPr="00A31137" w:rsidRDefault="00A31137" w:rsidP="00A31137">
      <w:r w:rsidRPr="00A31137">
        <w:t>Justice BLACKMUN, with whom Justice BRENNAN and Justice MARSHALL join, dissenting.</w:t>
      </w:r>
    </w:p>
    <w:p w:rsidR="00A31137" w:rsidRPr="00A31137" w:rsidRDefault="00A31137" w:rsidP="00A31137">
      <w:r w:rsidRPr="00A31137">
        <w:t>1990, Employment Div. v. Smith, 494 U.S. 907</w:t>
      </w:r>
    </w:p>
    <w:p w:rsidR="00A31137" w:rsidRPr="00A31137" w:rsidRDefault="00A31137" w:rsidP="00A31137">
      <w:r w:rsidRPr="00A31137">
        <w:t xml:space="preserve">This Court over the years painstakingly has developed a consistent and exacting standard to test the constitutionality of a state statute that burdens the free exercise of religion. Such a statute may stand only if the law in general, and the State's refusal to allow a religious exemption in particular, are justified by a compelling interest that cannot be served by less restrictive means. 1 [494 U.S. 908] </w:t>
      </w:r>
    </w:p>
    <w:p w:rsidR="00A31137" w:rsidRPr="00A31137" w:rsidRDefault="00A31137" w:rsidP="00A31137">
      <w:r w:rsidRPr="00A31137">
        <w:t>1990, Employment Div. v. Smith, 494 U.S. 908</w:t>
      </w:r>
    </w:p>
    <w:p w:rsidR="00A31137" w:rsidRPr="00A31137" w:rsidRDefault="00A31137" w:rsidP="00A31137">
      <w:r w:rsidRPr="00A31137">
        <w:t>Until today, I thought this was a settled and inviolate principle of this Court's First Amendment jurisprudence. The majority, however, perfunctorily dismisses it as a "constitutional anomaly." Ante at  886. As carefully detailed in Justice O'CONNOR's concurring opinion, ante, the majority is able to arrive at this view only by mischaracterizing this Court's precedents. The Court discards leading free exercise cases such as Cantwell v. Connecticut, 310 U.S. 296 (1940), and Wisconsin v. Yoder, 406 U.S. 205 (1972), as "hybrid." Ante at  882. The Court views traditional free exercise analysis as somehow inapplicable to criminal prohibitions (as opposed to conditions on the receipt of benefits), and to state laws of general applicability (as opposed, presumably, to laws that expressly single out religious practices). Ante at 884-885. The Court cites cases in which, due to various exceptional circumstances, we found strict scrutiny inapposite, to hint that the Court has repudiated that standard altogether. Ante at 882-884. In short, it effectuates a wholesale overturning of settled law concerning the Religion Clauses of our Constitution. One hopes that the Court is aware of the consequences, and that its result is not a product of overreaction to the serious problems the country's drug crisis has generated.</w:t>
      </w:r>
    </w:p>
    <w:p w:rsidR="00A31137" w:rsidRPr="00A31137" w:rsidRDefault="00A31137" w:rsidP="00A31137">
      <w:r w:rsidRPr="00A31137">
        <w:t>1990, Employment Div. v. Smith, 494 U.S. 908</w:t>
      </w:r>
    </w:p>
    <w:p w:rsidR="00A31137" w:rsidRPr="00A31137" w:rsidRDefault="00A31137" w:rsidP="00A31137">
      <w:r w:rsidRPr="00A31137">
        <w:t>This distorted view of our precedents leads the majority to conclude that strict scrutiny of a state law burdening the free exercise of religion is a "luxury" that a well-ordered society [494 U.S. 909] cannot afford, ante at 888, and that the repression of minority religions is an "unavoidable consequence of democratic government." Ante at 890. I do not believe the Founders thought their dearly bought freedom from religious persecution a "luxury," but an essential element of liberty—and they could not have thought religious intolerance "unavoidable," for they drafted the Religion Clauses precisely in order to avoid that intolerance.</w:t>
      </w:r>
    </w:p>
    <w:p w:rsidR="00A31137" w:rsidRPr="00A31137" w:rsidRDefault="00A31137" w:rsidP="00A31137">
      <w:r w:rsidRPr="00A31137">
        <w:t>1990, Employment Div. v. Smith, 494 U.S. 909</w:t>
      </w:r>
    </w:p>
    <w:p w:rsidR="00A31137" w:rsidRPr="00A31137" w:rsidRDefault="00A31137" w:rsidP="00A31137">
      <w:r w:rsidRPr="00A31137">
        <w:t>For these reasons, I agree with Justice O'CONNOR's analysis of the applicable free exercise doctrine, and I join parts I and II of her opinion. 2 As she points out,</w:t>
      </w:r>
    </w:p>
    <w:p w:rsidR="00A31137" w:rsidRPr="00A31137" w:rsidRDefault="00A31137" w:rsidP="00A31137">
      <w:r w:rsidRPr="00A31137">
        <w:t>1990, Employment Div. v. Smith, 494 U.S. 909</w:t>
      </w:r>
    </w:p>
    <w:p w:rsidR="00A31137" w:rsidRPr="00A31137" w:rsidRDefault="00A31137" w:rsidP="00A31137">
      <w:r w:rsidRPr="00A31137">
        <w:t>the critical question in this case is whether exempting respondents from the State's general criminal prohibition "will unduly interfere with fulfillment of the governmental interest."</w:t>
      </w:r>
    </w:p>
    <w:p w:rsidR="00A31137" w:rsidRPr="00A31137" w:rsidRDefault="00A31137" w:rsidP="00A31137">
      <w:r w:rsidRPr="00A31137">
        <w:t>1990, Employment Div. v. Smith, 494 U.S. 909</w:t>
      </w:r>
    </w:p>
    <w:p w:rsidR="00A31137" w:rsidRPr="00A31137" w:rsidRDefault="00A31137" w:rsidP="00A31137">
      <w:r w:rsidRPr="00A31137">
        <w:t>Ante at  905, quoting United States v. Lee, 455 U.S. 252, 259 (1982). I do disagree, however, with her specific answer to that question.</w:t>
      </w:r>
    </w:p>
    <w:p w:rsidR="00A31137" w:rsidRPr="00A31137" w:rsidRDefault="00A31137" w:rsidP="00A31137">
      <w:r w:rsidRPr="00A31137">
        <w:t>I</w:t>
      </w:r>
    </w:p>
    <w:p w:rsidR="00A31137" w:rsidRPr="00A31137" w:rsidRDefault="00A31137" w:rsidP="00A31137">
      <w:r w:rsidRPr="00A31137">
        <w:t>1990, Employment Div. v. Smith, 494 U.S. 909</w:t>
      </w:r>
    </w:p>
    <w:p w:rsidR="00A31137" w:rsidRPr="00A31137" w:rsidRDefault="00A31137" w:rsidP="00A31137">
      <w:r w:rsidRPr="00A31137">
        <w:t>In weighing respondents' clear interest in the free exercise of their religion against Oregon's asserted interest in enforcing its drug laws, it is important to articulate in precise terms the state interest involved. It is not the State's broad interest [494 U.S. 910] in fighting the critical "war on drugs" that must be weighed against respondents' claim, but the State's narrow interest in refusing to make an exception for the religious, ceremonial use of peyote. See Bowen v. Roy, 476 U.S. 693,  728 (1986) (O'CONNOR, J., concurring in part and dissenting in part) ("This Court has consistently asked the Government to demonstrate that unbending application of its regulation to the religious objector 'is essential to accomplish an overriding governmental interest,'" quoting Lee, 455 U.S. at 257-258); Thomas v. Review Bd. of Indiana Employment Security Div., 450 U.S. 707,  719 (1981) ("focus of the inquiry" concerning State's asserted interest must be "properly narrowed"); Yoder, 406 U.S. at  221 ("Where fundamental claims of religious freedom are at stake," the Court will not accept a State's "sweeping claim" that its interest in compulsory education is compelling; despite the validity of this interest "in the generality of cases, we must searchingly examine the interests that the State seeks to promote…and the impediment to those objectives that would flow from recognizing the claimed Amish exception"). Failure to reduce the competing interests to the same plane of generality tends to distort the weighing process in the State's favor. See Clark, Guidelines for the Free Exercise Clause, 83 Harv.L.Rev. 327, 330-331 (1969) ("The purpose of almost any law can be traced back to one or another of the fundamental concerns of government: public health and safety, public peace and order, defense, revenue. To measure an individual interest directly against one of these rarified values inevitably makes the individual interest appear the less significant"); Pound, A Survey of Social Interests, 57 Harv.L.Rev. 1, 2 (1943) ("When it comes to weighing or valuing claims or demands with respect to other claims or demands, we must be careful to compare them on the same plane…[or else] we may decide the question in advance in our very way of putting it").</w:t>
      </w:r>
    </w:p>
    <w:p w:rsidR="00A31137" w:rsidRPr="00A31137" w:rsidRDefault="00A31137" w:rsidP="00A31137">
      <w:r w:rsidRPr="00A31137">
        <w:t>1990, Employment Div. v. Smith, 494 U.S. 910</w:t>
      </w:r>
    </w:p>
    <w:p w:rsidR="00A31137" w:rsidRPr="00A31137" w:rsidRDefault="00A31137" w:rsidP="00A31137">
      <w:r w:rsidRPr="00A31137">
        <w:t>The State's interest in enforcing its prohibition, in order to be sufficiently compelling to outweigh a free exercise claim, [494 U.S. 911] cannot be merely abstract or symbolic. The State cannot plausibly assert that unbending application of a criminal prohibition is essential to fulfill any compelling interest if it does not, in fact, attempt to enforce that prohibition. In this case, the State actually has not evinced any concrete interest in enforcing its drug laws against religious users of peyote. Oregon has never sought to prosecute respondents, and does not claim that it has made significant enforcement efforts against other religious users of peyote. 3 The State's asserted interest thus amounts only to the symbolic preservation of an unenforced prohibition. But a government interest in "symbolism, even symbolism for so worthy a cause as the abolition of unlawful drugs," Treasury Employees v. Von Raab, 489 U.S. 656, 687 (1989) (SCALIA, J., dissenting), cannot suffice to abrogate the constitutional rights of individuals.</w:t>
      </w:r>
    </w:p>
    <w:p w:rsidR="00A31137" w:rsidRPr="00A31137" w:rsidRDefault="00A31137" w:rsidP="00A31137">
      <w:r w:rsidRPr="00A31137">
        <w:t>1990, Employment Div. v. Smith, 494 U.S. 911</w:t>
      </w:r>
    </w:p>
    <w:p w:rsidR="00A31137" w:rsidRPr="00A31137" w:rsidRDefault="00A31137" w:rsidP="00A31137">
      <w:r w:rsidRPr="00A31137">
        <w:t>Similarly, this Court's prior decisions have not allowed a government to rely on mere speculation about potential harms, but have demanded evidentiary support for a refusal to allow a religious exception. See Thomas, 450 U.S. at  719 (rejecting State's reasons for refusing religious exemption, for lack of "evidence in the record"); Yoder, 406 U.S. at 224-229 (rejecting State's argument concerning the dangers of a religious exemption as speculative, and unsupported by the record); Sherbert v. Verner, 374 U.S. 398,  407 (1963) ("there is no proof whatever to warrant such fears…as those which the [State] now advance[s]"). In this case, the State's justification for refusing to recognize an exception to its criminal laws for religious peyote use is entirely speculative.</w:t>
      </w:r>
    </w:p>
    <w:p w:rsidR="00A31137" w:rsidRPr="00A31137" w:rsidRDefault="00A31137" w:rsidP="00A31137">
      <w:r w:rsidRPr="00A31137">
        <w:t>1990, Employment Div. v. Smith, 494 U.S. 911</w:t>
      </w:r>
    </w:p>
    <w:p w:rsidR="00A31137" w:rsidRPr="00A31137" w:rsidRDefault="00A31137" w:rsidP="00A31137">
      <w:r w:rsidRPr="00A31137">
        <w:t>The State proclaims an interest in protecting the health and safety of its citizens from the dangers of unlawful drugs. It offers, however, no evidence that the religious use of peyote [494 U.S. 912] has ever harmed anyone. 4 The factual findings of other courts cast doubt on the State's assumption that religious use of peyote is harmful. See State v. Whittingham, 19 Ariz.App. 27, 30, 504 P.2d 950, 953 (1973) ("the State failed to prove that the quantities of peyote used in the sacraments of the Native American Church are sufficiently harmful to the health and welfare of the participants so as to permit a legitimate intrusion under the State's police power"); People v. Woody, 61 Cal.2d 716, 722-723, 40 Cal.Rptr. 69, 74, 394 P.2d 813, 818 (1964) ("as the Attorney General…admits, the opinion of scientists and other experts is 'that peyote…works no permanent deleterious injury to the Indian'").</w:t>
      </w:r>
    </w:p>
    <w:p w:rsidR="00A31137" w:rsidRPr="00A31137" w:rsidRDefault="00A31137" w:rsidP="00A31137">
      <w:r w:rsidRPr="00A31137">
        <w:t>1990, Employment Div. v. Smith, 494 U.S. 912</w:t>
      </w:r>
    </w:p>
    <w:p w:rsidR="00A31137" w:rsidRPr="00A31137" w:rsidRDefault="00A31137" w:rsidP="00A31137">
      <w:r w:rsidRPr="00A31137">
        <w:t>The fact that peyote is classified as a Schedule I controlled substance does not, by itself, show that any and all uses of peyote, in any circumstance, are inherently harmful and dangerous. The Federal Government, which created the classifications of unlawful drugs from which Oregon's drug laws are derived, apparently does not find peyote so dangerous as to preclude an exemption for religious use. 5 Moreover, [494 U.S. 913] other Schedule I drugs have lawful uses. See Olsen v. Drug Enforcement Admin., 279 U.S.App.D.C. 1-6, n. 4, 878 F.2d 1458, 1463, n. 4 (medical and research uses of marijuana).</w:t>
      </w:r>
    </w:p>
    <w:p w:rsidR="00A31137" w:rsidRPr="00A31137" w:rsidRDefault="00A31137" w:rsidP="00A31137">
      <w:r w:rsidRPr="00A31137">
        <w:t>1990, Employment Div. v. Smith, 494 U.S. 913</w:t>
      </w:r>
    </w:p>
    <w:p w:rsidR="00A31137" w:rsidRPr="00A31137" w:rsidRDefault="00A31137" w:rsidP="00A31137">
      <w:r w:rsidRPr="00A31137">
        <w:t>The carefully circumscribed ritual context in which respondents used peyote is far removed from the irresponsible and unrestricted recreational use of unlawful drugs. 6 The Native American Church's internal restrictions on, and supervision of, its members' use of peyote substantially obviate the State's health and safety concerns. See Olsen, 279 U.S.App.D.C. at 10, 878 F.2d at 1467 ("The Administrator [of DEA] finds that…the Native American Church's use of peyote is isolated to specific ceremonial occasions," and so "an accommodation can be made for a religious organization which uses peyote in circumscribed ceremonies" (quoting DEA Final Order)); id. at 7, 878 F.2d at 1464 ("for members of the Native American Church, use of peyote outside the ritual is sacrilegious"); Woody, 61 Cal.2d at 721, 394 P.2d at 817 ("to use peyote for nonreligious purposes is sacrilegious"); R. Julien, A Primer of Drug Action 148 (3d ed. 1981) ("peyote is seldom abused by members of the Native American [494 U.S. 914] Church"); J. Slotkin, The Peyote Way, in Teachings from the American Faith (D. Tedlock &amp; B. Tedlock, eds., 1975) 96, 104 ("the Native American Church…refuses to permit the presence of curiosity seekers at its rites, and vigorously opposes the sale or use of Peyote for nonsacramental purposes"); R. Bergman, Navajo Peyote Use: Its Apparent Safety, 128 Am.J. Psychiatry 695 (1971) (Bergman). 7</w:t>
      </w:r>
    </w:p>
    <w:p w:rsidR="00A31137" w:rsidRPr="00A31137" w:rsidRDefault="00A31137" w:rsidP="00A31137">
      <w:r w:rsidRPr="00A31137">
        <w:t>1990, Employment Div. v. Smith, 494 U.S. 914</w:t>
      </w:r>
    </w:p>
    <w:p w:rsidR="00A31137" w:rsidRPr="00A31137" w:rsidRDefault="00A31137" w:rsidP="00A31137">
      <w:r w:rsidRPr="00A31137">
        <w:t>Moreover, just as in Yoder, the values and interests of those seeking a religious exemption in this case are congruent, to a great degree, with those the State seeks to promote through its drug laws.   See Yoder, 406 U.S. at 224, 228-229 (since the Amish accept formal schooling up to 8th grade, and then provide "ideal" vocational education, State's interest in enforcing its law against the Amish is "less substantial than…for children generally"); id. at  238 (WHITE, J., concurring opinion). Not only does the Church's doctrine forbid nonreligious use of peyote; it also generally advocates self-reliance, familial responsibility, and abstinence from alcohol. See Brief for Association on American Indian Affairs, et al., as Amici Curiae 33-34 (the Church's "ethical code" has four parts: brotherly love, care of family, self-reliance, and avoidance of alcohol (quoting from the Church membership card)); Olsen, 279 U.S.App.D.C., at 7, 878 F.2d at 1464 (the Native American Church, "for all purposes other than the special, stylized ceremony, reinforced the state's prohibition"); [494 U.S. 915] Woody, 61 Cal.2d at 721-722, n. 3, 394 P.2d at 818, n. 3 ("most anthropological authorities hold Peyotism to be a positive, rather than negative, force in the lives of its adherents…the church forbids the use of alcohol…"). There is considerable evidence that the spiritual and social support provided by the Church has been effective in combatting the tragic effects of alcoholism on the Native American population. Two noted experts on peyotism, Dr. Omer C. Stewart and Dr. Robert Bergman, testified by affidavit to this effect on behalf of respondent Smith before the Employment Appeal Board. Smith Tr., Exh. 7; see also E. Anderson, Peyote: The Divine Cactus 165-166 (1980) (research by Dr. Bergman suggests "that the religious use of peyote seemed to be directed in an ego-strengthening direction with an emphasis on interpersonal relationships where each individual is assured of his own significance as well as the support of the group;" many people have "'come through difficult crises with the help of this religion…. It provides real help in seeing themselves not as people whose place and way in the world is gone, but as people whose way can be strong enough to change and meet new challenges'" (quoting Bergman, at 698)); P. Pascarosa and S. Futterman, Ethnopsychedelic Therapy for Alcoholics: Observations in the Peyote Ritual of the Native American Church, 8 (No. 3) J. of Psychedelic Drugs 215 (1976) (religious peyote use has been helpful in overcoming alcoholism); B. Albaugh and P. Anderson, Peyote in the Treatment of Alcoholism among American Indians, 131:11 Am.J.Psychiatry 1247, 1249 (1974) ("the philosophy, teachings, and format of the [Native American Church] can be of great benefit to the Indian alcoholic"); see generally O. Stewart, Peyote Religion 75 et seq. (1987) (noting frequent observations, across many tribes and periods in history, of correlation between peyotist religion and abstinence from alcohol). Far from promoting the lawless and irresponsible use of drugs, Native American Church members' spiritual [494 U.S. 916] code exemplifies values that Oregon's drug laws are presumably intended to foster.</w:t>
      </w:r>
    </w:p>
    <w:p w:rsidR="00A31137" w:rsidRPr="00A31137" w:rsidRDefault="00A31137" w:rsidP="00A31137">
      <w:r w:rsidRPr="00A31137">
        <w:t>1990, Employment Div. v. Smith, 494 U.S. 916</w:t>
      </w:r>
    </w:p>
    <w:p w:rsidR="00A31137" w:rsidRPr="00A31137" w:rsidRDefault="00A31137" w:rsidP="00A31137">
      <w:r w:rsidRPr="00A31137">
        <w:t>The State also seeks to support its refusal to make an exception for religious use of peyote by invoking its interest in abolishing drug trafficking. There is, however, practically no illegal traffic in peyote. See Olsen, 279 U.S.App.D.C., at 6, 10, 878 F.2d at 1463, 1467 (quoting DEA Final Order to the effect that total amount of peyote seized and analyzed by federal authorities between 1980 and 1987 was 19.4 pounds; in contrast, total amount of marijuana seized during that period was over 15 million pounds). Also, the availability of peyote for religious use, even if Oregon were to allow an exemption from its criminal laws, would still be strictly controlled by federal regulations, see 21 U.S.C. §§ 821-823 (registration requirements for distribution of controlled substances); 21 CFR § 1307.31 (1989) (distribution of peyote to Native American Church subject to registration requirements), and by the State of Texas, the only State in which peyote grows in significant quantities. See Texas Health &amp; Safety Code, § 481.111 (1990); Texas Admin.Code, Tit. 37, pt. 1, ch. 13, Controlled Substances Regulations, §§ 13.35-1-3.41 (1989); Woody, 61 Cal.2d at 720, 394 P.2d at 816 (peyote is "found in the Rio Grande Valley of Texas and northern Mexico"). Peyote simply is not a popular drug; its distribution for use in religious rituals has nothing to do with the vast and violent traffic in illegal narcotics that plagues this country.</w:t>
      </w:r>
    </w:p>
    <w:p w:rsidR="00A31137" w:rsidRPr="00A31137" w:rsidRDefault="00A31137" w:rsidP="00A31137">
      <w:r w:rsidRPr="00A31137">
        <w:t>1990, Employment Div. v. Smith, 494 U.S. 916</w:t>
      </w:r>
    </w:p>
    <w:p w:rsidR="00A31137" w:rsidRPr="00A31137" w:rsidRDefault="00A31137" w:rsidP="00A31137">
      <w:r w:rsidRPr="00A31137">
        <w:t>Finally, the State argues that granting an exception for religious peyote use would erode its interest in the uniform, fair, and certain enforcement of its drug laws. The State fears that, if it grants an exemption for religious peyote use, a flood of other claims to religious exemptions will follow. It would then be placed in a dilemma, it says, between allowing a patchwork of exemptions that would hinder its law enforcement efforts, and risking a violation of the Establishment Clause by arbitrarily limiting its religious exemptions. This [494 U.S. 917] argument, however, could be made in almost any free exercise case.   See Lupu, Where Rights Begin: The Problem of Burdens on the Free Exercise of Religion, 102 Harv.L.Rev. 933, 947 (1989) ("Behind every free exercise claim is a spectral march; grant this one, a voice whispers to each judge, and you will be confronted with an endless chain of exemption demands from religious deviants of every stripe"). This Court, however, consistently has rejected similar arguments in past free exercise cases, and it should do so here as well. See Frazee v. Illinois Dept. of Employment Security, 489 U.S. 829,  835 (1989) (rejecting State's speculation concerning cumulative effect of many similar claims); Thomas, 450 U.S. at  719 (same); Sherbert, 374 U.S. at  407.</w:t>
      </w:r>
    </w:p>
    <w:p w:rsidR="00A31137" w:rsidRPr="00A31137" w:rsidRDefault="00A31137" w:rsidP="00A31137">
      <w:r w:rsidRPr="00A31137">
        <w:t>1990, Employment Div. v. Smith, 494 U.S. 917</w:t>
      </w:r>
    </w:p>
    <w:p w:rsidR="00A31137" w:rsidRPr="00A31137" w:rsidRDefault="00A31137" w:rsidP="00A31137">
      <w:r w:rsidRPr="00A31137">
        <w:t>The State's apprehension of a flood of other religious claims is purely speculative. Almost half the States, and the Federal Government, have maintained an exemption for religious peyote use for many years, and apparently have not found themselves overwhelmed by claims to other religious exemptions. 8 Allowing an exemption for religious peyote use [494 U.S. 918] would not necessarily oblige the State to grant a similar exemption to other religious groups. The unusual circumstances that make the religious use of peyote compatible with the State's interests in health and safety and in preventing drug trafficking would not apply to other religious claims. Some religions, for example, might not restrict drug use to a limited ceremonial context, as does the Native American Church. See, e.g., Olsen, 279 U.S.App.D.C., at 7, 878 F.2d at 1464 ("the Ethiopian Zion Coptic Church…teaches that marijuana is properly smoked 'continually all day'"). Some religious claims, see n. 8, supra, involve drugs such as marijuana and heroin, in which there is significant illegal traffic, with its attendant greed and violence, so that it would be difficult to grant a religious exemption without seriously compromising law enforcement efforts. 9 That the State might grant an exemption for religious peyote use, but deny other religious claims arising in different circumstances, would not violate the Establishment Clause. Though the State must treat all religions equally, and not favor one over another, this obligation is fulfilled by the uniform application of the "compelling interest" test to all free exercise claims, not by reaching uniform results as to all claims. A showing that religious peyote use does not unduly interfere with the State's interests is "one that probably few other religious groups or sects could make," Yoder, 406 U.S. at  236; this does not mean that an exemption limited to peyote use is tantamount to an establishment of religion. See Hobbie v. Unemployment Appeals Comm'n of Fla., 480 U.S. 136, 144-145 (1987) ("the government may (and [494 U.S. 919] sometimes must) accommodate religious practices and…may do so without violating the Establishment Clause"); Yoder, 406 U.S. at 220-221 ("Court must not ignore the danger that an exception from a general [law]…may run afoul of the Establishment Clause, but that danger cannot be allowed to prevent any exception no matter how vital it may be to the protection of values promoted by the right of free exercise"); id. at  234, n. 22.</w:t>
      </w:r>
    </w:p>
    <w:p w:rsidR="00A31137" w:rsidRPr="00A31137" w:rsidRDefault="00A31137" w:rsidP="00A31137">
      <w:r w:rsidRPr="00A31137">
        <w:t>III</w:t>
      </w:r>
    </w:p>
    <w:p w:rsidR="00A31137" w:rsidRPr="00A31137" w:rsidRDefault="00A31137" w:rsidP="00A31137">
      <w:r w:rsidRPr="00A31137">
        <w:t>1990, Employment Div. v. Smith, 494 U.S. 919</w:t>
      </w:r>
    </w:p>
    <w:p w:rsidR="00A31137" w:rsidRPr="00A31137" w:rsidRDefault="00A31137" w:rsidP="00A31137">
      <w:r w:rsidRPr="00A31137">
        <w:t>Finally, although I agree with Justice O'CONNOR that courts should refrain from delving into questions of whether, as a matter of religious doctrine, a particular practice is "central" to the religion, ante at 906-907, I do not think this means that the courts must turn a blind eye to the severe impact of a State's restrictions on the adherents of a minority religion. Cf. Yoder, 406 U.S. at  219 (since "education is inseparable from and a part of the basic tenets of their religion…[just as] baptism, the confessional, or a sabbath may be for others," enforcement of State's compulsory education law would "gravely endanger if not destroy the free exercise of respondents' religious beliefs").</w:t>
      </w:r>
    </w:p>
    <w:p w:rsidR="00A31137" w:rsidRPr="00A31137" w:rsidRDefault="00A31137" w:rsidP="00A31137">
      <w:r w:rsidRPr="00A31137">
        <w:t>1990, Employment Div. v. Smith, 494 U.S. 919</w:t>
      </w:r>
    </w:p>
    <w:p w:rsidR="00A31137" w:rsidRPr="00A31137" w:rsidRDefault="00A31137" w:rsidP="00A31137">
      <w:r w:rsidRPr="00A31137">
        <w:t>Respondents believe, and their sincerity has never been at issue, that the peyote plant embodies their deity, and eating it is an act of worship and communion. Without peyote, they could not enact the essential ritual of their religion. See Brief for Association on American Indian Affairs, et al., as Amici Curiae 5-6 ("To the members, peyote is consecrated with powers to heal body, mind and spirit. It is a teacher; it teaches the way to spiritual life through living in harmony and balance with the forces of the Creation. The rituals are an integral part of the life process. They embody a form of worship in which the sacrament Peyote is the means for communicating with the Great Spirit"). See also Stewart, Peyote Religion at 327-330 (description of peyote ritual); [494 U.S. 920] T. Hillerman, People of Darkness 153 (1980) (description of Navajo peyote ritual).</w:t>
      </w:r>
    </w:p>
    <w:p w:rsidR="00A31137" w:rsidRPr="00A31137" w:rsidRDefault="00A31137" w:rsidP="00A31137">
      <w:r w:rsidRPr="00A31137">
        <w:t>1990, Employment Div. v. Smith, 494 U.S. 920</w:t>
      </w:r>
    </w:p>
    <w:p w:rsidR="00A31137" w:rsidRPr="00A31137" w:rsidRDefault="00A31137" w:rsidP="00A31137">
      <w:r w:rsidRPr="00A31137">
        <w:t>If Oregon can constitutionally prosecute them for this act of worship, they, like the Amish, may be "forced to migrate to some other and more tolerant region." Yoder, 406 U.S. at  218. This potentially devastating impact must be viewed in light of the federal policy—reached in reaction to many years of religious persecution and intolerance—of protecting the religious freedom of Native Americans. See American Indian Religious Freedom Act, 92 Stat. 469, 42 U.S.C. § 1996 ("it shall be the policy of the United States to protect and preserve for American Indians their inherent right of freedom to believe, express, and exercise the traditional religions…, including but not limited to access to sites, use and possession of sacred objects, and the freedom to worship through ceremonials and traditional rites"). 10 Congress recognized that certain substances, such as peyote,</w:t>
      </w:r>
    </w:p>
    <w:p w:rsidR="00A31137" w:rsidRPr="00A31137" w:rsidRDefault="00A31137" w:rsidP="00A31137">
      <w:r w:rsidRPr="00A31137">
        <w:t>1990, Employment Div. v. Smith, 494 U.S. 920</w:t>
      </w:r>
    </w:p>
    <w:p w:rsidR="00A31137" w:rsidRPr="00A31137" w:rsidRDefault="00A31137" w:rsidP="00A31137">
      <w:r w:rsidRPr="00A31137">
        <w:t>have religious significance because they are sacred, they have power, they heal, they are necessary to the exercise of [494 U.S. 921] the rites of the religion, they are necessary to the cultural integrity of the tribe, and, therefore, religious survival.</w:t>
      </w:r>
      <w:r w:rsidRPr="00A31137">
        <w:cr/>
      </w:r>
    </w:p>
    <w:p w:rsidR="00A31137" w:rsidRPr="00A31137" w:rsidRDefault="00A31137" w:rsidP="00A31137">
      <w:r w:rsidRPr="00A31137">
        <w:t>1990, Employment Div. v. Smith, 494 U.S. 921</w:t>
      </w:r>
    </w:p>
    <w:p w:rsidR="00A31137" w:rsidRPr="00A31137" w:rsidRDefault="00A31137" w:rsidP="00A31137">
      <w:r w:rsidRPr="00A31137">
        <w:t>H.R.Rep. No. 95-1308, p. 2 (1978), U.S.Code Cong. &amp; Admin.News 1978, pp. 1262, 1263.</w:t>
      </w:r>
    </w:p>
    <w:p w:rsidR="00A31137" w:rsidRPr="00A31137" w:rsidRDefault="00A31137" w:rsidP="00A31137">
      <w:r w:rsidRPr="00A31137">
        <w:t>1990, Employment Div. v. Smith, 494 U.S. 921</w:t>
      </w:r>
    </w:p>
    <w:p w:rsidR="00A31137" w:rsidRPr="00A31137" w:rsidRDefault="00A31137" w:rsidP="00A31137">
      <w:r w:rsidRPr="00A31137">
        <w:t>The American Indian Religious Freedom Act, in itself, may not create rights enforceable against government action restricting religious freedom, but this Court must scrupulously apply its free exercise analysis to the religious claims of Native Americans, however unorthodox they may be. Otherwise, both the First Amendment and the stated policy of Congress will offer to Native Americans merely an unfulfilled and hollow promise.</w:t>
      </w:r>
    </w:p>
    <w:p w:rsidR="00A31137" w:rsidRPr="00A31137" w:rsidRDefault="00A31137" w:rsidP="00A31137">
      <w:r w:rsidRPr="00A31137">
        <w:t>IV</w:t>
      </w:r>
    </w:p>
    <w:p w:rsidR="00A31137" w:rsidRPr="00A31137" w:rsidRDefault="00A31137" w:rsidP="00A31137">
      <w:r w:rsidRPr="00A31137">
        <w:t>1990, Employment Div. v. Smith, 494 U.S. 921</w:t>
      </w:r>
    </w:p>
    <w:p w:rsidR="00A31137" w:rsidRPr="00A31137" w:rsidRDefault="00A31137" w:rsidP="00A31137">
      <w:r w:rsidRPr="00A31137">
        <w:t>For these reasons, I conclude that Oregon's interest in enforcing its drug laws against religious use of peyote is not sufficiently compelling to outweigh respondents' right to the free exercise of their religion. Since the State could not constitutionally enforce its criminal prohibition against respondents, the interests underlying the State's drug laws cannot justify its denial of unemployment benefits. Absent such justification, the State's regulatory interest in denying benefits for religiously motivated "misconduct," see ante at  874, is indistinguishable from the state interests this Court has rejected in Frazee, Hobbie, Thomas, and Sherbert. The State of Oregon cannot, consistently with the Free Exercise Clause, deny respondents unemployment benefits.</w:t>
      </w:r>
    </w:p>
    <w:p w:rsidR="00A31137" w:rsidRPr="00A31137" w:rsidRDefault="00A31137" w:rsidP="00A31137">
      <w:r w:rsidRPr="00A31137">
        <w:t>1990, Employment Div. v. Smith, 494 U.S. 921</w:t>
      </w:r>
    </w:p>
    <w:p w:rsidR="00A31137" w:rsidRPr="00A31137" w:rsidRDefault="00A31137" w:rsidP="00A31137">
      <w:r w:rsidRPr="00A31137">
        <w:t>I dissent.</w:t>
      </w:r>
    </w:p>
    <w:p w:rsidR="00A31137" w:rsidRPr="00A31137" w:rsidRDefault="00A31137" w:rsidP="00A31137">
      <w:r w:rsidRPr="00A31137">
        <w:t>Footnotes</w:t>
      </w:r>
    </w:p>
    <w:p w:rsidR="00A31137" w:rsidRPr="00A31137" w:rsidRDefault="00A31137" w:rsidP="00A31137">
      <w:r w:rsidRPr="00A31137">
        <w:t>SCALIA, J., lead opinion (Footnotes)</w:t>
      </w:r>
    </w:p>
    <w:p w:rsidR="00A31137" w:rsidRPr="00A31137" w:rsidRDefault="00A31137" w:rsidP="00A31137">
      <w:r w:rsidRPr="00A31137">
        <w:t>1990, Employment Div. v. Smith, 494 U.S. 921</w:t>
      </w:r>
    </w:p>
    <w:p w:rsidR="00A31137" w:rsidRPr="00A31137" w:rsidRDefault="00A31137" w:rsidP="00A31137">
      <w:r w:rsidRPr="00A31137">
        <w:t>1. Both lines of cases have specifically adverted to the non-free exercise principle involved. Cantwell, for example, observed that</w:t>
      </w:r>
    </w:p>
    <w:p w:rsidR="00A31137" w:rsidRPr="00A31137" w:rsidRDefault="00A31137" w:rsidP="00A31137">
      <w:r w:rsidRPr="00A31137">
        <w:t>1990, Employment Div. v. Smith, 494 U.S. 921</w:t>
      </w:r>
    </w:p>
    <w:p w:rsidR="00A31137" w:rsidRPr="00A31137" w:rsidRDefault="00A31137" w:rsidP="00A31137">
      <w:r w:rsidRPr="00A31137">
        <w:t>[t]he fundamental law declares the interest of the United States that the free exercise of religion be not prohibited and that freedom to communicate information and opinion be not abridged.</w:t>
      </w:r>
    </w:p>
    <w:p w:rsidR="00A31137" w:rsidRPr="00A31137" w:rsidRDefault="00A31137" w:rsidP="00A31137">
      <w:r w:rsidRPr="00A31137">
        <w:t>1990, Employment Div. v. Smith, 494 U.S. 921</w:t>
      </w:r>
    </w:p>
    <w:p w:rsidR="00A31137" w:rsidRPr="00A31137" w:rsidRDefault="00A31137" w:rsidP="00A31137">
      <w:r w:rsidRPr="00A31137">
        <w:t>310 U.S. at  307. Murdock said:</w:t>
      </w:r>
    </w:p>
    <w:p w:rsidR="00A31137" w:rsidRPr="00A31137" w:rsidRDefault="00A31137" w:rsidP="00A31137">
      <w:r w:rsidRPr="00A31137">
        <w:t>1990, Employment Div. v. Smith, 494 U.S. 921</w:t>
      </w:r>
    </w:p>
    <w:p w:rsidR="00A31137" w:rsidRPr="00A31137" w:rsidRDefault="00A31137" w:rsidP="00A31137">
      <w:r w:rsidRPr="00A31137">
        <w:t>We do not mean to say that religious groups and the press are free from all financial burdens of government…. We have here something quite different, for example, from a tax on the income of one who engages in religious activities or a tax on property used or employed in connection with those activities. It is one thing to impose a tax on the income or property of a preacher. It is quite another thing to exact a tax from him for the privilege of delivering a sermon…. Those who can deprive religious groups of their colporteurs can take from them a part of the vital power of the press which has survived from the Reformation.</w:t>
      </w:r>
    </w:p>
    <w:p w:rsidR="00A31137" w:rsidRPr="00A31137" w:rsidRDefault="00A31137" w:rsidP="00A31137">
      <w:r w:rsidRPr="00A31137">
        <w:t>1990, Employment Div. v. Smith, 494 U.S. 921</w:t>
      </w:r>
    </w:p>
    <w:p w:rsidR="00A31137" w:rsidRPr="00A31137" w:rsidRDefault="00A31137" w:rsidP="00A31137">
      <w:r w:rsidRPr="00A31137">
        <w:t>319 U.S. at  112.</w:t>
      </w:r>
    </w:p>
    <w:p w:rsidR="00A31137" w:rsidRPr="00A31137" w:rsidRDefault="00A31137" w:rsidP="00A31137">
      <w:r w:rsidRPr="00A31137">
        <w:t>1990, Employment Div. v. Smith, 494 U.S. 921</w:t>
      </w:r>
    </w:p>
    <w:p w:rsidR="00A31137" w:rsidRPr="00A31137" w:rsidRDefault="00A31137" w:rsidP="00A31137">
      <w:r w:rsidRPr="00A31137">
        <w:t>Yoder said that</w:t>
      </w:r>
    </w:p>
    <w:p w:rsidR="00A31137" w:rsidRPr="00A31137" w:rsidRDefault="00A31137" w:rsidP="00A31137">
      <w:r w:rsidRPr="00A31137">
        <w:t>1990, Employment Div. v. Smith, 494 U.S. 921</w:t>
      </w:r>
    </w:p>
    <w:p w:rsidR="00A31137" w:rsidRPr="00A31137" w:rsidRDefault="00A31137" w:rsidP="00A31137">
      <w:r w:rsidRPr="00A31137">
        <w:t>the Court's holding in Pierce stands as a charter of the rights of parents to direct the religious upbringing of their children. And, when the interests of parenthood are combined with a free exercise claim of the nature revealed by this record, more than merely a "reasonable relation to some purpose within the competency of the State" is required to sustain the validity of the State's requirement under the First Amendment.</w:t>
      </w:r>
    </w:p>
    <w:p w:rsidR="00A31137" w:rsidRPr="00A31137" w:rsidRDefault="00A31137" w:rsidP="00A31137">
      <w:r w:rsidRPr="00A31137">
        <w:t>1990, Employment Div. v. Smith, 494 U.S. 921</w:t>
      </w:r>
    </w:p>
    <w:p w:rsidR="00A31137" w:rsidRPr="00A31137" w:rsidRDefault="00A31137" w:rsidP="00A31137">
      <w:r w:rsidRPr="00A31137">
        <w:t>406 U.S. at  233.</w:t>
      </w:r>
    </w:p>
    <w:p w:rsidR="00A31137" w:rsidRPr="00A31137" w:rsidRDefault="00A31137" w:rsidP="00A31137">
      <w:r w:rsidRPr="00A31137">
        <w:t>1990, Employment Div. v. Smith, 494 U.S. 921</w:t>
      </w:r>
    </w:p>
    <w:p w:rsidR="00A31137" w:rsidRPr="00A31137" w:rsidRDefault="00A31137" w:rsidP="00A31137">
      <w:r w:rsidRPr="00A31137">
        <w:t>2. Justice O'CONNOR seeks to distinguish Lyng v. Northwest Indian Cemetery Protective Assn., supra, and Bowen v. Roy, supra, on the ground that those cases involved the government's conduct of "its own internal affairs," which is different because, as Justice Douglas said in Sherbert,</w:t>
      </w:r>
    </w:p>
    <w:p w:rsidR="00A31137" w:rsidRPr="00A31137" w:rsidRDefault="00A31137" w:rsidP="00A31137">
      <w:r w:rsidRPr="00A31137">
        <w:t>1990, Employment Div. v. Smith, 494 U.S. 921</w:t>
      </w:r>
    </w:p>
    <w:p w:rsidR="00A31137" w:rsidRPr="00A31137" w:rsidRDefault="00A31137" w:rsidP="00A31137">
      <w:r w:rsidRPr="00A31137">
        <w:t>"the Free Exercise Clause is written in terms of what the government cannot do to the individual, not in terms of what the individual can exact from the government."</w:t>
      </w:r>
    </w:p>
    <w:p w:rsidR="00A31137" w:rsidRPr="00A31137" w:rsidRDefault="00A31137" w:rsidP="00A31137">
      <w:r w:rsidRPr="00A31137">
        <w:t>1990, Employment Div. v. Smith, 494 U.S. 921</w:t>
      </w:r>
    </w:p>
    <w:p w:rsidR="00A31137" w:rsidRPr="00A31137" w:rsidRDefault="00A31137" w:rsidP="00A31137">
      <w:r w:rsidRPr="00A31137">
        <w:t>Post at  900 (O'CONNOR, J., concurring), quoting Sherbert, supra, at  412 (Douglas, J., concurring). But since Justice Douglas voted with the majority in Sherbert, that quote obviously envisioned that what "the government cannot do to the individual" includes not just the prohibition of an individual's freedom of action through criminal laws, but also the running of its programs (in Sherbert, state unemployment compensation) in such fashion as to harm the individual's religious interests. Moreover, it is hard to see any reason in principle or practicality why the government should have to tailor its health and safety laws to conform to the diversity of religious belief, but should not have to tailor its management of public lands, Lyng, supra, or its administration of welfare programs, Roy, supra.</w:t>
      </w:r>
    </w:p>
    <w:p w:rsidR="00A31137" w:rsidRPr="00A31137" w:rsidRDefault="00A31137" w:rsidP="00A31137">
      <w:r w:rsidRPr="00A31137">
        <w:t>1990, Employment Div. v. Smith, 494 U.S. 921</w:t>
      </w:r>
    </w:p>
    <w:p w:rsidR="00A31137" w:rsidRPr="00A31137" w:rsidRDefault="00A31137" w:rsidP="00A31137">
      <w:r w:rsidRPr="00A31137">
        <w:t>3. Justice O'CONNOR suggests that "[t]here is nothing talismanic about neutral laws of general applicability," and that all laws burdening religious practices should be subject to compelling interest scrutiny because</w:t>
      </w:r>
    </w:p>
    <w:p w:rsidR="00A31137" w:rsidRPr="00A31137" w:rsidRDefault="00A31137" w:rsidP="00A31137">
      <w:r w:rsidRPr="00A31137">
        <w:t>1990, Employment Div. v. Smith, 494 U.S. 921</w:t>
      </w:r>
    </w:p>
    <w:p w:rsidR="00A31137" w:rsidRPr="00A31137" w:rsidRDefault="00A31137" w:rsidP="00A31137">
      <w:r w:rsidRPr="00A31137">
        <w:t>the First Amendment unequivocally makes freedom of religion, like freedom from race discrimination and freedom of speech, a "constitutional norm," not an "anomaly."</w:t>
      </w:r>
    </w:p>
    <w:p w:rsidR="00A31137" w:rsidRPr="00A31137" w:rsidRDefault="00A31137" w:rsidP="00A31137">
      <w:r w:rsidRPr="00A31137">
        <w:t>1990, Employment Div. v. Smith, 494 U.S. 921</w:t>
      </w:r>
    </w:p>
    <w:p w:rsidR="00A31137" w:rsidRPr="00A31137" w:rsidRDefault="00A31137" w:rsidP="00A31137">
      <w:r w:rsidRPr="00A31137">
        <w:t>Post at  901 (O'CONNOR, J., concurring). But this comparison with other fields supports, rather than undermines, the conclusion we draw today. Just as we subject to the most exacting scrutiny laws that make classifications based on race, see Palmore v. Sidoti, supra, or on the content of speech, see Sable Communications, supra, so too we strictly scrutinize governmental classifications based on religion, see McDaniel v. Paty, 435 U.S. 618 (1978); see also Torcaso v. Watkins, 367 U.S. 488 (1961). But we have held that race-neutral laws that have the effect of disproportionately disadvantaging a particular racial group do not thereby become subject to compelling interest analysis under the Equal Protection Clause, see Washington v. Davis, 426 U.S. 229 (1976) (police employment examination); and we have held that generally applicable laws unconcerned with regulating speech that have the effect of interfering with speech do not thereby become subject to compelling interest analysis under the First Amendment, see Citizen Publishing Co. v. United States, 394 U.S. 131,  139 (1969) (antitrust laws). Our conclusion that generally applicable, religion-neutral laws that have the effect of burdening a particular religious practice need not be justified by a compelling governmental interest is the only approach compatible with these precedents.</w:t>
      </w:r>
    </w:p>
    <w:p w:rsidR="00A31137" w:rsidRPr="00A31137" w:rsidRDefault="00A31137" w:rsidP="00A31137">
      <w:r w:rsidRPr="00A31137">
        <w:t>1990, Employment Div. v. Smith, 494 U.S. 921</w:t>
      </w:r>
    </w:p>
    <w:p w:rsidR="00A31137" w:rsidRPr="00A31137" w:rsidRDefault="00A31137" w:rsidP="00A31137">
      <w:r w:rsidRPr="00A31137">
        <w:t>4. While arguing that we should apply the compelling interest test in this case, Justice O'CONNOR nonetheless agrees that</w:t>
      </w:r>
    </w:p>
    <w:p w:rsidR="00A31137" w:rsidRPr="00A31137" w:rsidRDefault="00A31137" w:rsidP="00A31137">
      <w:r w:rsidRPr="00A31137">
        <w:t>1990, Employment Div. v. Smith, 494 U.S. 921</w:t>
      </w:r>
    </w:p>
    <w:p w:rsidR="00A31137" w:rsidRPr="00A31137" w:rsidRDefault="00A31137" w:rsidP="00A31137">
      <w:r w:rsidRPr="00A31137">
        <w:t>our determination of the constitutionality of Oregon's general criminal prohibition cannot, and should not, turn on the centrality of the particular religious practice at issue,</w:t>
      </w:r>
    </w:p>
    <w:p w:rsidR="00A31137" w:rsidRPr="00A31137" w:rsidRDefault="00A31137" w:rsidP="00A31137">
      <w:r w:rsidRPr="00A31137">
        <w:t>1990, Employment Div. v. Smith, 494 U.S. 921</w:t>
      </w:r>
    </w:p>
    <w:p w:rsidR="00A31137" w:rsidRPr="00A31137" w:rsidRDefault="00A31137" w:rsidP="00A31137">
      <w:r w:rsidRPr="00A31137">
        <w:t>post at 906-907 (O'CONNOR, J., concurring). This means, presumably, that compelling interest scrutiny must be applied to generally applicable laws that regulate or prohibit any religiously motivated activity, no matter how unimportant to the claimant's religion. Earlier in her opinion, however, Justice O'CONNOR appears to contradict this, saying that the proper approach is</w:t>
      </w:r>
    </w:p>
    <w:p w:rsidR="00A31137" w:rsidRPr="00A31137" w:rsidRDefault="00A31137" w:rsidP="00A31137">
      <w:r w:rsidRPr="00A31137">
        <w:t>1990, Employment Div. v. Smith, 494 U.S. 921</w:t>
      </w:r>
    </w:p>
    <w:p w:rsidR="00A31137" w:rsidRPr="00A31137" w:rsidRDefault="00A31137" w:rsidP="00A31137">
      <w:r w:rsidRPr="00A31137">
        <w:t>to determine whether the burden on the specific plaintiffs before us is constitutionally significant and whether the particular criminal interest asserted by the State before us is compelling.</w:t>
      </w:r>
    </w:p>
    <w:p w:rsidR="00A31137" w:rsidRPr="00A31137" w:rsidRDefault="00A31137" w:rsidP="00A31137">
      <w:r w:rsidRPr="00A31137">
        <w:t>1990, Employment Div. v. Smith, 494 U.S. 921</w:t>
      </w:r>
    </w:p>
    <w:p w:rsidR="00A31137" w:rsidRPr="00A31137" w:rsidRDefault="00A31137" w:rsidP="00A31137">
      <w:r w:rsidRPr="00A31137">
        <w:t>Post at  899. "Constitutionally significant burden" would seem to be "centrality" under another name. In any case, dispensing with a "centrality" inquiry is utterly unworkable. It would require, for example, the same degree of "compelling state interest" to impede the practice of throwing rice at church weddings as to impede the practice of getting married in church. There is no way out of the difficulty that, if general laws are to be subjected to a "religious practice" exception, both the importance of the law at issue and the centrality of the practice at issue must reasonably be considered.</w:t>
      </w:r>
    </w:p>
    <w:p w:rsidR="00A31137" w:rsidRPr="00A31137" w:rsidRDefault="00A31137" w:rsidP="00A31137">
      <w:r w:rsidRPr="00A31137">
        <w:t>1990, Employment Div. v. Smith, 494 U.S. 921</w:t>
      </w:r>
    </w:p>
    <w:p w:rsidR="00A31137" w:rsidRPr="00A31137" w:rsidRDefault="00A31137" w:rsidP="00A31137">
      <w:r w:rsidRPr="00A31137">
        <w:t>Nor is this difficulty avoided by Justice BLACKMUN's assertion that</w:t>
      </w:r>
    </w:p>
    <w:p w:rsidR="00A31137" w:rsidRPr="00A31137" w:rsidRDefault="00A31137" w:rsidP="00A31137">
      <w:r w:rsidRPr="00A31137">
        <w:t>1990, Employment Div. v. Smith, 494 U.S. 921</w:t>
      </w:r>
    </w:p>
    <w:p w:rsidR="00A31137" w:rsidRPr="00A31137" w:rsidRDefault="00A31137" w:rsidP="00A31137">
      <w:r w:rsidRPr="00A31137">
        <w:t>although courts should refrain from delving into questions of whether, as a matter of religious doctrine, a particular practice is "central" to the religion, I do not think this means that the courts must turn a blind eye to the severe impact of a State's restrictions on the adherents of a minority religion.</w:t>
      </w:r>
    </w:p>
    <w:p w:rsidR="00A31137" w:rsidRPr="00A31137" w:rsidRDefault="00A31137" w:rsidP="00A31137">
      <w:r w:rsidRPr="00A31137">
        <w:t>1990, Employment Div. v. Smith, 494 U.S. 921</w:t>
      </w:r>
    </w:p>
    <w:p w:rsidR="00A31137" w:rsidRPr="00A31137" w:rsidRDefault="00A31137" w:rsidP="00A31137">
      <w:r w:rsidRPr="00A31137">
        <w:t>Post at  919 (dissenting opinion). As Justice BLACKMUN's opinion proceeds to make clear, inquiry into "severe impact" is no different from inquiry into centrality. He has merely substituted for the question "How important is X to the religious adherent?" the question "How great will be the harm to the religious adherent if X is taken away?" There is no material difference.</w:t>
      </w:r>
    </w:p>
    <w:p w:rsidR="00A31137" w:rsidRPr="00A31137" w:rsidRDefault="00A31137" w:rsidP="00A31137">
      <w:r w:rsidRPr="00A31137">
        <w:t>1990, Employment Div. v. Smith, 494 U.S. 921</w:t>
      </w:r>
    </w:p>
    <w:p w:rsidR="00A31137" w:rsidRPr="00A31137" w:rsidRDefault="00A31137" w:rsidP="00A31137">
      <w:r w:rsidRPr="00A31137">
        <w:t>5. Justice O'CONNOR contends that the "parade of horribles" in the text only</w:t>
      </w:r>
    </w:p>
    <w:p w:rsidR="00A31137" w:rsidRPr="00A31137" w:rsidRDefault="00A31137" w:rsidP="00A31137">
      <w:r w:rsidRPr="00A31137">
        <w:t>1990, Employment Div. v. Smith, 494 U.S. 921</w:t>
      </w:r>
    </w:p>
    <w:p w:rsidR="00A31137" w:rsidRPr="00A31137" w:rsidRDefault="00A31137" w:rsidP="00A31137">
      <w:r w:rsidRPr="00A31137">
        <w:t>demonstrates…that courts have been quite capable of strik[ing] sensible balances between religious liberty and competing state interests.</w:t>
      </w:r>
    </w:p>
    <w:p w:rsidR="00A31137" w:rsidRPr="00A31137" w:rsidRDefault="00A31137" w:rsidP="00A31137">
      <w:r w:rsidRPr="00A31137">
        <w:t>1990, Employment Div. v. Smith, 494 U.S. 921</w:t>
      </w:r>
    </w:p>
    <w:p w:rsidR="00A31137" w:rsidRPr="00A31137" w:rsidRDefault="00A31137" w:rsidP="00A31137">
      <w:r w:rsidRPr="00A31137">
        <w:t>Post at  902 (O'CONNOR, J., concurring). But the cases we cite have struck "sensible balances" only because they have all applied the general laws, despite the claims for religious exemption. In any event, Justice O'CONNOR mistakes the purpose of our parade: it is not to suggest that courts would necessarily permit harmful exemptions from these laws (though they might), but to suggest that courts would constantly be in the business of determining whether the "severe impact" of various laws on religious practice (to use Justice BLACKMUN's terminology) or the "constitutiona[l] significan[ce]" of the "burden on the particular plaintiffs" (to use Justice O'CONNOR's terminology) suffices to permit us to confer an exemption. It is a parade of horribles because it is horrible to contemplate that federal judges will regularly balance against the importance of general laws the significance of religious practice.</w:t>
      </w:r>
    </w:p>
    <w:p w:rsidR="00A31137" w:rsidRPr="00A31137" w:rsidRDefault="00A31137" w:rsidP="00A31137">
      <w:r w:rsidRPr="00A31137">
        <w:t>O'CONNOR, J., concurring (Footnotes)</w:t>
      </w:r>
    </w:p>
    <w:p w:rsidR="00A31137" w:rsidRPr="00A31137" w:rsidRDefault="00A31137" w:rsidP="00A31137">
      <w:r w:rsidRPr="00A31137">
        <w:t>1990, Employment Div. v. Smith, 494 U.S. 921</w:t>
      </w:r>
    </w:p>
    <w:p w:rsidR="00A31137" w:rsidRPr="00A31137" w:rsidRDefault="00A31137" w:rsidP="00A31137">
      <w:r w:rsidRPr="00A31137">
        <w:t>* Although Justice BRENNAN, Justice MARSHALL, and Justice BLACKMUN join Parts I and II of this opinion, they do not concur in the judgment.</w:t>
      </w:r>
    </w:p>
    <w:p w:rsidR="00A31137" w:rsidRPr="00A31137" w:rsidRDefault="00A31137" w:rsidP="00A31137">
      <w:r w:rsidRPr="00A31137">
        <w:t>BLACKMUN, J., dissenting (Footnotes)</w:t>
      </w:r>
    </w:p>
    <w:p w:rsidR="00A31137" w:rsidRPr="00A31137" w:rsidRDefault="00A31137" w:rsidP="00A31137">
      <w:r w:rsidRPr="00A31137">
        <w:t>1990, Employment Div. v. Smith, 494 U.S. 921</w:t>
      </w:r>
    </w:p>
    <w:p w:rsidR="00A31137" w:rsidRPr="00A31137" w:rsidRDefault="00A31137" w:rsidP="00A31137">
      <w:r w:rsidRPr="00A31137">
        <w:t>1. See Hernandez v. Commissioner, 490 U.S. 680,  699 (1989) ("The free exercise inquiry asks whether government has placed a substantial burden on the observation of a central religious belief or practice and, if so, whether a compelling governmental interest justifies the burden"); Hobbie v. Unemployment Appeals Comm'n of Fla., 480 U.S. 136,  141 (1987) (state laws burdening religions "must be subjected to strict scrutiny and could be justified only by proof by the State of a compelling interest"); Bowen v. Roy, 476 U.S. 693,  732 (1986) (O'CONNOR, J., concurring in part and dissenting in part) ("Our precedents have long required the Government to show that a compelling state interest is served by its refusal to grant a religious exemption"); United States v. Lee, 455 U.S. 252, 257-258 (1982) ("The state may justify a limitation on religious liberty by showing that it is essential to accomplish an overriding governmental interest"); Thomas v. Review Bd of Indiana Security Div., 450 U.S. 707,  718 (1981) ("The state may justify an inroad on religious liberty by showing that it is the least restrictive means of achieving some compelling state interest"); Wisconsin v. Yoder, 406 U.S. 205,  215 (1972) ("only those interests of the highest order and those not otherwise served can overbalance legitimate claims to the free exercise of religion"); Sherbert v. Verner, 374 U.S. 398,  406 (1963) (question is "whether some compelling state interest…justifies the substantial infringement of appellant's First Amendment right").</w:t>
      </w:r>
    </w:p>
    <w:p w:rsidR="00A31137" w:rsidRPr="00A31137" w:rsidRDefault="00A31137" w:rsidP="00A31137">
      <w:r w:rsidRPr="00A31137">
        <w:t>1990, Employment Div. v. Smith, 494 U.S. 921</w:t>
      </w:r>
    </w:p>
    <w:p w:rsidR="00A31137" w:rsidRPr="00A31137" w:rsidRDefault="00A31137" w:rsidP="00A31137">
      <w:r w:rsidRPr="00A31137">
        <w:t>2. I reluctantly agree that, in light of this Court's decision in Employment Division v. Smith, 485 U.S. 660 (1988), the question on which certiorari was granted is properly presented in this case. I have grave doubts, however, as to the wisdom or propriety of deciding the constitutionality of a criminal prohibition which the State has not sought to enforce, which the State did not rely on in defending its denial of unemployment benefits before the state courts, and which the Oregon courts could, on remand, either invalidate on state constitutional grounds or conclude that it remains irrelevant to Oregon's interest in administering its unemployment benefits program.</w:t>
      </w:r>
    </w:p>
    <w:p w:rsidR="00A31137" w:rsidRPr="00A31137" w:rsidRDefault="00A31137" w:rsidP="00A31137">
      <w:r w:rsidRPr="00A31137">
        <w:t>1990, Employment Div. v. Smith, 494 U.S. 921</w:t>
      </w:r>
    </w:p>
    <w:p w:rsidR="00A31137" w:rsidRPr="00A31137" w:rsidRDefault="00A31137" w:rsidP="00A31137">
      <w:r w:rsidRPr="00A31137">
        <w:t>It is surprising, to say the least, that this Court, which so often prides itself about principles of judicial restraint and reduction of federal control over matters of state law, would stretch its jurisdiction to the limit in order to reach, in this abstract setting, the constitutionality of Oregon's criminal prohibition of peyote use.</w:t>
      </w:r>
    </w:p>
    <w:p w:rsidR="00A31137" w:rsidRPr="00A31137" w:rsidRDefault="00A31137" w:rsidP="00A31137">
      <w:r w:rsidRPr="00A31137">
        <w:t>1990, Employment Div. v. Smith, 494 U.S. 921</w:t>
      </w:r>
    </w:p>
    <w:p w:rsidR="00A31137" w:rsidRPr="00A31137" w:rsidRDefault="00A31137" w:rsidP="00A31137">
      <w:r w:rsidRPr="00A31137">
        <w:t>3. The only reported case in which the State of Oregon has sought to prosecute a person for religious peyote use is State v. Soto, 21 Ore.App. 794, 537 P.2d 142 (1975), cert. denied, 424 U.S. 955 (1976).</w:t>
      </w:r>
    </w:p>
    <w:p w:rsidR="00A31137" w:rsidRPr="00A31137" w:rsidRDefault="00A31137" w:rsidP="00A31137">
      <w:r w:rsidRPr="00A31137">
        <w:t>1990, Employment Div. v. Smith, 494 U.S. 921</w:t>
      </w:r>
    </w:p>
    <w:p w:rsidR="00A31137" w:rsidRPr="00A31137" w:rsidRDefault="00A31137" w:rsidP="00A31137">
      <w:r w:rsidRPr="00A31137">
        <w:t>4. This dearth of evidence is not surprising, since the State never asserted this health and safety interest before the Oregon courts; thus, there was no opportunity for factfinding concerning the alleged dangers of peyote use. What has now become the State's principal argument for its view that the criminal prohibition is enforceable against religious use of peyote rests on no evidentiary foundation at all.</w:t>
      </w:r>
    </w:p>
    <w:p w:rsidR="00A31137" w:rsidRPr="00A31137" w:rsidRDefault="00A31137" w:rsidP="00A31137">
      <w:r w:rsidRPr="00A31137">
        <w:t>1990, Employment Div. v. Smith, 494 U.S. 921</w:t>
      </w:r>
    </w:p>
    <w:p w:rsidR="00A31137" w:rsidRPr="00A31137" w:rsidRDefault="00A31137" w:rsidP="00A31137">
      <w:r w:rsidRPr="00A31137">
        <w:t>5. See 21 CFR § 1307.31 (1989) ("The listing of peyote as a controlled substance in Schedule I does not apply to the nondrug use of peyote in bona fide religious ceremonies of the Native American Church, and members of the Native American Church so using peyote are exempt from registration. Any person who manufactures peyote for or distributes peyote to the Native American Church, however, is required to obtain registration annually and to comply with all other requirements of law"); see Olsen v. Drug Enforcement Admin., 279 U.S.App.D.C. 1, 6-7, 878 F.2d 1458, 1463-1464 (1989) (explaining DEA's rationale for the exception).</w:t>
      </w:r>
    </w:p>
    <w:p w:rsidR="00A31137" w:rsidRPr="00A31137" w:rsidRDefault="00A31137" w:rsidP="00A31137">
      <w:r w:rsidRPr="00A31137">
        <w:t>1990, Employment Div. v. Smith, 494 U.S. 921</w:t>
      </w:r>
    </w:p>
    <w:p w:rsidR="00A31137" w:rsidRPr="00A31137" w:rsidRDefault="00A31137" w:rsidP="00A31137">
      <w:r w:rsidRPr="00A31137">
        <w:t>Moreover, 23 States, including many that have significant Native American populations, have statutory or judicially crafted exemptions in their drug laws for religious use of peyote. See Smith v. Employment Division, 307 Ore. 68, 73, n. 2, 763 P.2d 146, 148, n. 2 (1988). Although this does not prove that Oregon must have such an exception too, it is significant that these States, and the Federal Government, all find their (presumably compelling) interests in controlling the use of dangerous drugs compatible with an exemption for religious use of peyote. Cf. Boos v. Barry, 485 U.S. 312, 329 (1988) (finding that an ordinance restricting picketing near a foreign embassy was not the least restrictive means of serving the asserted government interest; existence of an analogous, but more narrowly drawn, federal statute showed that "a less restrictive alternative is readily available").</w:t>
      </w:r>
    </w:p>
    <w:p w:rsidR="00A31137" w:rsidRPr="00A31137" w:rsidRDefault="00A31137" w:rsidP="00A31137">
      <w:r w:rsidRPr="00A31137">
        <w:t>1990, Employment Div. v. Smith, 494 U.S. 921</w:t>
      </w:r>
    </w:p>
    <w:p w:rsidR="00A31137" w:rsidRPr="00A31137" w:rsidRDefault="00A31137" w:rsidP="00A31137">
      <w:r w:rsidRPr="00A31137">
        <w:t>6. In this respect, respondents' use of peyote seems closely analogous to the sacramental use of wine by the Roman Catholic Church. During Prohibition, the Federal Government exempted such use of wine from its general ban on possession and use of alcohol.   See National Prohibition Act, Title II, § 3, 41 Stat. 308. However compelling the Government's then general interest in prohibiting the use of alcohol may have been, it could not plausibly have asserted an interest sufficiently compelling to outweigh Catholics' right to take communion.</w:t>
      </w:r>
    </w:p>
    <w:p w:rsidR="00A31137" w:rsidRPr="00A31137" w:rsidRDefault="00A31137" w:rsidP="00A31137">
      <w:r w:rsidRPr="00A31137">
        <w:t>1990, Employment Div. v. Smith, 494 U.S. 921</w:t>
      </w:r>
    </w:p>
    <w:p w:rsidR="00A31137" w:rsidRPr="00A31137" w:rsidRDefault="00A31137" w:rsidP="00A31137">
      <w:r w:rsidRPr="00A31137">
        <w:t>7. The use of peyote is, to some degree, self-limiting. The peyote plant is extremely bitter, and eating it is an unpleasant experience, which would tend to discourage casual or recreational use. See State v. Whittingham, 19 Ariz.App. 27, 30, 504 P.2d 950, 953 (1973) ("peyote can cause vomiting by reason of its bitter taste"); E. Anderson, Peyote: The Divine Cactus 161 (1980) ("[T]he eating of peyote usually is a difficult ordeal in that nausea and other unpleasant physical manifestations occur regularly. Repeated use is likely, therefore, only if one is a serious researcher or is devoutly involved in taking peyote as part of a religious ceremony"); Slotkin, The Peyote Way at 98 ("many find it bitter, inducing indigestion or nausea").</w:t>
      </w:r>
    </w:p>
    <w:p w:rsidR="00A31137" w:rsidRPr="00A31137" w:rsidRDefault="00A31137" w:rsidP="00A31137">
      <w:r w:rsidRPr="00A31137">
        <w:t>1990, Employment Div. v. Smith, 494 U.S. 921</w:t>
      </w:r>
    </w:p>
    <w:p w:rsidR="00A31137" w:rsidRPr="00A31137" w:rsidRDefault="00A31137" w:rsidP="00A31137">
      <w:r w:rsidRPr="00A31137">
        <w:t>8. Over the years, various sects have raised free exercise claims regarding drug use. In no reported case, except those involving claims of religious peyote use, has the claimant prevailed.   See, e.g., Olsen v. Iowa, 808 F.2d 652 (CA8 1986) (marijuana use by Ethiopian Zion Coptic Church); United States v. Rush, 738 F.2d 497 (CA1 1984), cert. denied, 470 U.S. 1004 (1985) (same); United States v. Middleton, 690 F.2d 820 (CA11 1982), cert. denied, 460 U.S. 1051 (1983) (same); United States v. Hudson, 431 F.2d 468 (CA5 1970), cert. denied, 400 U.S. 1011 (1971) (marijuana and heroin use by Moslems); Leary v. United States, 383 F.2d 851 (CA5 1967), rev'd on other grounds, 395 U.S. 6 (1969) (marijuana use by Hindu); Commonwealth v. Nissenbaum, 404 Mass. 575, 536 N.E.2d 592 (1989) (marijuana use by Ethiopian Zion Coptic Church); State v. Blake, 5 Haw.App. 411, 695 P.2d 336 (1985) (marijuana use in practice of Hindu Tantrism); Whyte v. United States, 471 A.2d 1018 (D.C.App.1984) (marijuana use by Rastafarian); State v. Rocheleau, 142 Vt. 61, 451 A.2d 1144 (1982) (marijuana use by Tantric Buddhist); State v. Brashear, 92 N.M. 622, 593 P.2d 63 (1979) (marijuana use by nondenominational Christian); State v. Randall, 540 S.W.2d 156 (Mo.App.1976) (marijuana, LSD, and hashish use by Aquarian Brotherhood Church).   See generally Annotation, Free Exercise of Religion as Defense to Prosecution for Narcotic or Psychedelic Drug Offense, 35 A.L.R.3d 939 (1971 and Supp.1989).</w:t>
      </w:r>
    </w:p>
    <w:p w:rsidR="00A31137" w:rsidRPr="00A31137" w:rsidRDefault="00A31137" w:rsidP="00A31137">
      <w:r w:rsidRPr="00A31137">
        <w:t>1990, Employment Div. v. Smith, 494 U.S. 921</w:t>
      </w:r>
    </w:p>
    <w:p w:rsidR="00A31137" w:rsidRPr="00A31137" w:rsidRDefault="00A31137" w:rsidP="00A31137">
      <w:r w:rsidRPr="00A31137">
        <w:t>9. Thus, this case is distinguishable from United States v. Lee, 455 U.S. 252 (1982), in which the Court concluded that there was "no principled way" to distinguish other exemption claims, and the "tax system could not function if denominations were allowed to challenge the tax system because tax payments were spent in a manner that violates their religious belief." 455 U.S. at 260.</w:t>
      </w:r>
    </w:p>
    <w:p w:rsidR="00A31137" w:rsidRPr="00A31137" w:rsidRDefault="00A31137" w:rsidP="00A31137">
      <w:r w:rsidRPr="00A31137">
        <w:t>1990, Employment Div. v. Smith, 494 U.S. 921</w:t>
      </w:r>
    </w:p>
    <w:p w:rsidR="00A31137" w:rsidRPr="00A31137" w:rsidRDefault="00A31137" w:rsidP="00A31137">
      <w:r w:rsidRPr="00A31137">
        <w:t>10. See Report to Congress on American Indian Religious Freedom Act of 1978, pp. 1-8 (1979) (history of religious persecution); Barsh, The Illusion of Religious Freedom for Indigenous Americans, 65 Ore.L.Rev. 363, 369-374 (1986).</w:t>
      </w:r>
    </w:p>
    <w:p w:rsidR="00A31137" w:rsidRPr="00A31137" w:rsidRDefault="00A31137" w:rsidP="00A31137">
      <w:r w:rsidRPr="00A31137">
        <w:t>1990, Employment Div. v. Smith, 494 U.S. 921</w:t>
      </w:r>
    </w:p>
    <w:p w:rsidR="00A31137" w:rsidRPr="00A31137" w:rsidRDefault="00A31137" w:rsidP="00A31137">
      <w:r w:rsidRPr="00A31137">
        <w:t>Indeed, Oregon's attitude toward respondents' religious peyote use harkens back to the repressive federal policies pursued a century ago:</w:t>
      </w:r>
    </w:p>
    <w:p w:rsidR="00A31137" w:rsidRPr="00A31137" w:rsidRDefault="00A31137" w:rsidP="00A31137">
      <w:r w:rsidRPr="00A31137">
        <w:t>1990, Employment Div. v. Smith, 494 U.S. 921</w:t>
      </w:r>
    </w:p>
    <w:p w:rsidR="00A31137" w:rsidRPr="00A31137" w:rsidRDefault="00A31137" w:rsidP="00A31137">
      <w:r w:rsidRPr="00A31137">
        <w:t>In the government's view, traditional practices were not only morally degrading, but unhealthy. "Indians are fond of gatherings of every description," a 1913 public health study complained, advocating the restriction of dances and "sings" to stem contagious diseases. In 1921, the Commissioner of Indian Affairs, Charles Burke, reminded his staff to punish any Indian engaged in</w:t>
      </w:r>
    </w:p>
    <w:p w:rsidR="00A31137" w:rsidRPr="00A31137" w:rsidRDefault="00A31137" w:rsidP="00A31137">
      <w:r w:rsidRPr="00A31137">
        <w:t>1990, Employment Div. v. Smith, 494 U.S. 921</w:t>
      </w:r>
    </w:p>
    <w:p w:rsidR="00A31137" w:rsidRPr="00A31137" w:rsidRDefault="00A31137" w:rsidP="00A31137">
      <w:r w:rsidRPr="00A31137">
        <w:t>any dance which involves…the reckless giving away of property…frequent or prolonged periods of celebration…in fact, any disorderly or plainly excessive performance that promotes superstitious cruelty, licentiousness, idleness, danger to health, and shiftless indifference to family welfare.</w:t>
      </w:r>
    </w:p>
    <w:p w:rsidR="00A31137" w:rsidRPr="00A31137" w:rsidRDefault="00A31137" w:rsidP="00A31137">
      <w:r w:rsidRPr="00A31137">
        <w:t>1990, Employment Div. v. Smith, 494 U.S. 921</w:t>
      </w:r>
    </w:p>
    <w:p w:rsidR="00A31137" w:rsidRPr="00A31137" w:rsidRDefault="00A31137" w:rsidP="00A31137">
      <w:r w:rsidRPr="00A31137">
        <w:t>Two years later, he forbade Indians under the age of 50 from participating in any dances of any kind, and directed federal employees "to educate public opinion" against them.</w:t>
      </w:r>
    </w:p>
    <w:p w:rsidR="00A31137" w:rsidRPr="00A31137" w:rsidRDefault="00A31137" w:rsidP="00A31137">
      <w:r w:rsidRPr="00A31137">
        <w:t>1990, Employment Div. v. Smith, 494 U.S. 921</w:t>
      </w:r>
    </w:p>
    <w:p w:rsidR="00A31137" w:rsidRPr="00A31137" w:rsidRDefault="00A31137" w:rsidP="00A31137">
      <w:r w:rsidRPr="00A31137">
        <w:t>Id. at 370-371 (footnotes omitted).</w:t>
      </w:r>
    </w:p>
    <w:p w:rsidR="00A31137" w:rsidRPr="00A31137" w:rsidRDefault="00A31137" w:rsidP="00A31137">
      <w:r w:rsidRPr="00A31137">
        <w:t>Missouri v. Jenkins, 1990</w:t>
      </w:r>
    </w:p>
    <w:p w:rsidR="00A31137" w:rsidRPr="00A31137" w:rsidRDefault="00A31137" w:rsidP="00A31137">
      <w:r w:rsidRPr="00A31137">
        <w:t>Title:</w:t>
      </w:r>
      <w:r w:rsidRPr="00A31137">
        <w:tab/>
        <w:t>Missouri v. Jenkins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April 18, 1990</w:t>
      </w:r>
    </w:p>
    <w:p w:rsidR="00A31137" w:rsidRPr="00A31137" w:rsidRDefault="00A31137" w:rsidP="00A31137">
      <w:r w:rsidRPr="00A31137">
        <w:t>Source:</w:t>
      </w:r>
      <w:r w:rsidRPr="00A31137">
        <w:tab/>
        <w:t>495 U.S. 33</w:t>
      </w:r>
    </w:p>
    <w:p w:rsidR="00A31137" w:rsidRPr="00A31137" w:rsidRDefault="00A31137" w:rsidP="00A31137">
      <w:r w:rsidRPr="00A31137">
        <w:t>This case was argued October 30, 1989, and was decided April 18, 1990.</w:t>
      </w:r>
    </w:p>
    <w:p w:rsidR="00A31137" w:rsidRPr="00A31137" w:rsidRDefault="00A31137" w:rsidP="00A31137">
      <w:r w:rsidRPr="00A31137">
        <w:t>CERTIORARI TO THE UNITED STATES COURT OF APPEALS FOR</w:t>
      </w:r>
    </w:p>
    <w:p w:rsidR="00A31137" w:rsidRPr="00A31137" w:rsidRDefault="00A31137" w:rsidP="00A31137">
      <w:r w:rsidRPr="00A31137">
        <w:t>THE EIGHTH CIRCUIT</w:t>
      </w:r>
    </w:p>
    <w:p w:rsidR="00A31137" w:rsidRPr="00A31137" w:rsidRDefault="00A31137" w:rsidP="00A31137">
      <w:r w:rsidRPr="00A31137">
        <w:t>Syllabus</w:t>
      </w:r>
    </w:p>
    <w:p w:rsidR="00A31137" w:rsidRPr="00A31137" w:rsidRDefault="00A31137" w:rsidP="00A31137">
      <w:r w:rsidRPr="00A31137">
        <w:t>1990, Missouri v. Jenkins, 495 U.S. 33</w:t>
      </w:r>
    </w:p>
    <w:p w:rsidR="00A31137" w:rsidRPr="00A31137" w:rsidRDefault="00A31137" w:rsidP="00A31137">
      <w:r w:rsidRPr="00A31137">
        <w:t>In an action under 42 U.S.C. § 1983, the District Court found that the Kansas City, Missouri, School District (KCMSD) and petitioner State had operated a segregated school system within the KCMSD. The court issued an order detailing a desegregation remedy and the financing necessary to implement it. Although it allocated the costs of the remedy between the governmental entities, the court determined that several state law provisions would prevent KCMSD from being able to pay its share. Rather than exercising what it believed to be its power to order a tax increase to fund the remedy, the court chose to impose other means—including enjoining the effect of one of the state law provisions—to allow KCMSD to raise additional revenue. The Court of Appeals affirmed most of the initial order, but ordered the lower court to divide the remedy's cost equally between the entities. On remand, however, the District Court held that the State and KCMSD were 75% and 25% at fault, respectively, ordered them to share the cost of the remedy in that proportion, and held them jointly and severally liable. Subsequently, the court determined that KCMSD had exhausted all available means of raising additional revenue, and, finding itself with no choice but to exercise its remedial powers, ordered the KCMSD property tax levy increased through the 1991-1992 fiscal year. On appeal, the Court of Appeals rejected the State's argument that a federal court lacks judicial power to order a tax increase. Accepting the District Court's conclusion that state law limitations prevented KCMSD from raising sufficient funds, it held that those limitations must fall to the Constitution's command, and affirmed all of the District Court's actions taken to that point. However, concluding that federal/state comity principles required the District Court to use minimally obtrusive methods to remedy constitutional violations, it required that, in the future, the lower court should not set the property tax rate itself, but should authorize KCMSD to submit a levy to state tax collection authorities and should enjoin the operation of state tax laws hindering KCMSD from adequately funding the remedy. The Court of Appeals' judgment was entered on August 19, 1988. On September 16, the State filed with the court a document styled "State Appellants' Petition for Rehearing En Banc." On October 14, 1988, the Court of Appeals denied this and two [495 U.S. 34] similarly styled petitions by other parties seeking to intervene, and issued its mandate. One of the would-be intervenors filed with this Court an application for extension of time to file a petition for certiorari 78 days after the issuance of the order denying rehearing and 134 days after the entry of the Court of Appeals' judgment. The application was returned as untimely pursuant to 28 U.S.C. § 2101(c)—which requires that a civil certiorari petition be filed within 90 days after the entry of the judgment below, and that any application for an extension of time be filed within the original 90-day period—since, while the filing of a "petition for rehearing" under Federal Rule of Appellate Procedure 40 tolls the running of the 90-day period, the filing of a "suggestion for rehearing in banc" under Rule 35 does not. On January 10, 1989, the Clerk of the Court of Appeals issued an amended order, recalling the October 14 mandate and entering nunc pro tunc, effective October 14, an order denying the three "petitions for rehearing with suggestions for rehearing en banc." The State filed a petition for certiorari within 90 days of the October 14, 1988, order, which was granted, limited to the question of the property tax increase.</w:t>
      </w:r>
    </w:p>
    <w:p w:rsidR="00A31137" w:rsidRPr="00A31137" w:rsidRDefault="00A31137" w:rsidP="00A31137">
      <w:r w:rsidRPr="00A31137">
        <w:t>1990, Missouri v. Jenkins, 495 U.S. 34</w:t>
      </w:r>
    </w:p>
    <w:p w:rsidR="00A31137" w:rsidRPr="00A31137" w:rsidRDefault="00A31137" w:rsidP="00A31137">
      <w:r w:rsidRPr="00A31137">
        <w:t>Held:</w:t>
      </w:r>
    </w:p>
    <w:p w:rsidR="00A31137" w:rsidRPr="00A31137" w:rsidRDefault="00A31137" w:rsidP="00A31137">
      <w:r w:rsidRPr="00A31137">
        <w:t>1990, Missouri v. Jenkins, 495 U.S. 34</w:t>
      </w:r>
    </w:p>
    <w:p w:rsidR="00A31137" w:rsidRPr="00A31137" w:rsidRDefault="00A31137" w:rsidP="00A31137">
      <w:r w:rsidRPr="00A31137">
        <w:t>1. The State's certiorari petition was timely filed. The Court of Appeals appears to have interpreted and actually treated the State's papers as including a petition for rehearing before the panel. Had it regarded the State's papers as only a suggestion for rehearing in banc, without a petition for rehearing, it would have, as required by Federal Rules of Appellate Procedure 35(c) and 41(a), issued its mandate within 21 days of the entry of the panel's judgment or would have, under Rule 41(a), issued an order extending the time for the issuance of the mandate. Although this Court of Appeals may not on every occasion have observed these technicalities, it cannot be concluded that the court has engaged in a systematic practice of ignoring them. Although a court cannot, post hoc, amend an order to make it appear that it took an action which it never took, the Court of Appeals actually amended its order to reflect the reality of the action taken on October 14, at which time it had entered an order denying the "petitions for rehearing en banc" because this was the manner in which the papers filed with the court had been styled. While the court below, unlike other Courts of Appeals, does not have a published practice of treating all suggestions for rehearing in banc as containing both petitions for rehearing and suggestions for rehearing in banc, this Court will not assume that the court's action in this case is not in accord with its regular practice. Pp.  45-50.</w:t>
      </w:r>
    </w:p>
    <w:p w:rsidR="00A31137" w:rsidRPr="00A31137" w:rsidRDefault="00A31137" w:rsidP="00A31137">
      <w:r w:rsidRPr="00A31137">
        <w:t>1990, Missouri v. Jenkins, 495 U.S. 34</w:t>
      </w:r>
    </w:p>
    <w:p w:rsidR="00A31137" w:rsidRPr="00A31137" w:rsidRDefault="00A31137" w:rsidP="00A31137">
      <w:r w:rsidRPr="00A31137">
        <w:t>2. The District Court abused its discretion in imposing the tax increase, which contravened the principles of comity. Although that court believed that it had no alternative to imposing the tax itself, it, in [495 U.S. 35] fact, had the very alternative outlined by the Court of Appeals. Authorizing and directing local government institutions to devise and implement remedies not only protects the function of those institutions but, to the extent possible, also places the responsibility for solutions to the problems of segregation upon those who have themselves created the problems. While a district court should not grant local government carte blanche, local officials should at least have the opportunity to devise their own solutions to such problems. Here, KCMSD was ready, willing, and, but for the operation of state law, able to remedy the deprivation of constitutional rights itself. Pp. 50-52.</w:t>
      </w:r>
    </w:p>
    <w:p w:rsidR="00A31137" w:rsidRPr="00A31137" w:rsidRDefault="00A31137" w:rsidP="00A31137">
      <w:r w:rsidRPr="00A31137">
        <w:t>1990, Missouri v. Jenkins, 495 U.S. 35</w:t>
      </w:r>
    </w:p>
    <w:p w:rsidR="00A31137" w:rsidRPr="00A31137" w:rsidRDefault="00A31137" w:rsidP="00A31137">
      <w:r w:rsidRPr="00A31137">
        <w:t>3. The Court of Appeals' modifications of the District Court's order satisfy equitable and constitutional principles governing the District Court's power. Pp.  52-58.</w:t>
      </w:r>
    </w:p>
    <w:p w:rsidR="00A31137" w:rsidRPr="00A31137" w:rsidRDefault="00A31137" w:rsidP="00A31137">
      <w:r w:rsidRPr="00A31137">
        <w:t>1990, Missouri v. Jenkins, 495 U.S. 35</w:t>
      </w:r>
    </w:p>
    <w:p w:rsidR="00A31137" w:rsidRPr="00A31137" w:rsidRDefault="00A31137" w:rsidP="00A31137">
      <w:r w:rsidRPr="00A31137">
        <w:t>(a) This Court accepts the Court of Appeals' conclusion that the District Court's remedy was proper. The State's argument that the funding ordered by the District Court violates the principles of equity and comity because the remedial order itself was excessive aims at the scope of the remedy, rather than the manner in which the remedy is to be funded, and thus falls outside this Court's limited grant of certiorari. Pp.  53.</w:t>
      </w:r>
    </w:p>
    <w:p w:rsidR="00A31137" w:rsidRPr="00A31137" w:rsidRDefault="00A31137" w:rsidP="00A31137">
      <w:r w:rsidRPr="00A31137">
        <w:t>1990, Missouri v. Jenkins, 495 U.S. 35</w:t>
      </w:r>
    </w:p>
    <w:p w:rsidR="00A31137" w:rsidRPr="00A31137" w:rsidRDefault="00A31137" w:rsidP="00A31137">
      <w:r w:rsidRPr="00A31137">
        <w:t>(b) Under the circumstances of this case, the District Court did not abuse its discretion in ruling that KCMSD should be responsible for funding its share of the remedy. Milliken v. Bradley, 433 U.S. 267, did not hold that a district court could never set aside state laws preventing local governments from raising funds sufficient to satisfy their constitutional obligations just because those funds could also be obtained from the States. To the contrary, § 1983 is authority enough to require each tortfeasor to pay its share of the cost of a remedy if it can, and apportionment of the cost is part of the District Court's equitable powers. Here, the court believed that the Court of Appeals had ordered it to allocate the costs between the two entities. Had the court chosen, as the State argues, to allow the monetary obligations that KCMSD could not meet to fall on the State rather than interfere with state law to permit KCMSD to meet them, the implementation of the order might have been delayed if the State resisted efforts by KCMSD to obtain contribution. Pp.  53-54.</w:t>
      </w:r>
    </w:p>
    <w:p w:rsidR="00A31137" w:rsidRPr="00A31137" w:rsidRDefault="00A31137" w:rsidP="00A31137">
      <w:r w:rsidRPr="00A31137">
        <w:t>1990, Missouri v. Jenkins, 495 U.S. 35</w:t>
      </w:r>
    </w:p>
    <w:p w:rsidR="00A31137" w:rsidRPr="00A31137" w:rsidRDefault="00A31137" w:rsidP="00A31137">
      <w:r w:rsidRPr="00A31137">
        <w:t>(c) The modifications are not invalid under the Tenth Amendment, since that Amendment's reservation of nondelegated powers to the States is not implicated by a federal court judgment enforcing the express prohibitions of unlawful state conduct enacted by the Fourteenth Amendment. P.  55.</w:t>
      </w:r>
    </w:p>
    <w:p w:rsidR="00A31137" w:rsidRPr="00A31137" w:rsidRDefault="00A31137" w:rsidP="00A31137">
      <w:r w:rsidRPr="00A31137">
        <w:t>1990, Missouri v. Jenkins, 495 U.S. 35</w:t>
      </w:r>
    </w:p>
    <w:p w:rsidR="00A31137" w:rsidRPr="00A31137" w:rsidRDefault="00A31137" w:rsidP="00A31137">
      <w:r w:rsidRPr="00A31137">
        <w:t>(d) The Court of Appeals' order does not exceed the judicial power under Article III. A court can direct a local government body to levy [495 U.S. 36] its own taxes. See, e.g., Griffin v. Prince Edward County School Bd., 377 U.S. 218,  233. The State's argument that federal courts cannot set aside state-imposed limitations on local taxing authority because that requires local governments to do more than exercise the power that is theirs has been rejected, Von Hoffman v. City of Quincy, 4 Wall. 535, and fails to take account of local governments' obligations, under the Supremacy Clause, to fulfill the requirements that the Constitution imposes on them. Pp.  55-59.</w:t>
      </w:r>
    </w:p>
    <w:p w:rsidR="00A31137" w:rsidRPr="00A31137" w:rsidRDefault="00A31137" w:rsidP="00A31137">
      <w:r w:rsidRPr="00A31137">
        <w:t>1990, Missouri v. Jenkins, 495 U.S. 36</w:t>
      </w:r>
    </w:p>
    <w:p w:rsidR="00A31137" w:rsidRPr="00A31137" w:rsidRDefault="00A31137" w:rsidP="00A31137">
      <w:r w:rsidRPr="00A31137">
        <w:t>855 F.2d 1295 (CA 81988), affirmed in part, reversed in part, and remanded.</w:t>
      </w:r>
    </w:p>
    <w:p w:rsidR="00A31137" w:rsidRPr="00A31137" w:rsidRDefault="00A31137" w:rsidP="00A31137">
      <w:r w:rsidRPr="00A31137">
        <w:t>1990, Missouri v. Jenkins, 495 U.S. 36</w:t>
      </w:r>
    </w:p>
    <w:p w:rsidR="00A31137" w:rsidRPr="00A31137" w:rsidRDefault="00A31137" w:rsidP="00A31137">
      <w:r w:rsidRPr="00A31137">
        <w:t xml:space="preserve">WHITE, J., delivered the opinion for a unanimous Court with respect to Part II, and the opinion of the Court with respect to Parts I, III, and IV, in which BRENNAN, MARSHALL, BLACKMUN, and STEVENS, JJ., joined. KENNEDY, J., filed an opinion concurring in part and concurring in the judgment, in which REHNQUIST, C.J., and O'CONNOR and SCALIA, JJ., joined, post, p.  58. [495 U.S. 37] </w:t>
      </w:r>
    </w:p>
    <w:p w:rsidR="00A31137" w:rsidRPr="00A31137" w:rsidRDefault="00A31137" w:rsidP="00A31137">
      <w:r w:rsidRPr="00A31137">
        <w:t>WHITE, J., lead opinion</w:t>
      </w:r>
    </w:p>
    <w:p w:rsidR="00A31137" w:rsidRPr="00A31137" w:rsidRDefault="00A31137" w:rsidP="00A31137">
      <w:r w:rsidRPr="00A31137">
        <w:t>1990, Missouri v. Jenkins, 495 U.S. 37</w:t>
      </w:r>
    </w:p>
    <w:p w:rsidR="00A31137" w:rsidRPr="00A31137" w:rsidRDefault="00A31137" w:rsidP="00A31137">
      <w:r w:rsidRPr="00A31137">
        <w:t>Justice WHITE delivered the opinion of the Court.</w:t>
      </w:r>
    </w:p>
    <w:p w:rsidR="00A31137" w:rsidRPr="00A31137" w:rsidRDefault="00A31137" w:rsidP="00A31137">
      <w:r w:rsidRPr="00A31137">
        <w:t>1990, Missouri v. Jenkins, 495 U.S. 37</w:t>
      </w:r>
    </w:p>
    <w:p w:rsidR="00A31137" w:rsidRPr="00A31137" w:rsidRDefault="00A31137" w:rsidP="00A31137">
      <w:r w:rsidRPr="00A31137">
        <w:t>The United States District Court for the Western District of Missouri imposed an increase in the property taxes levied by the Kansas City, Missouri, School District (KCMSD) to ensure funding for the desegregation of KCMSD's public schools. We granted certiorari to consider the State of Missouri's argument that the District Court lacked the power to raise local property taxes. For the reasons given below, we hold that the District Court abused its discretion in imposing the tax increase. We also hold, however, that the modifications of the District Court's order made by the Court of Appeals do satisfy equitable and constitutional principles governing the District Court's power.</w:t>
      </w:r>
    </w:p>
    <w:p w:rsidR="00A31137" w:rsidRPr="00A31137" w:rsidRDefault="00A31137" w:rsidP="00A31137">
      <w:r w:rsidRPr="00A31137">
        <w:t>I</w:t>
      </w:r>
    </w:p>
    <w:p w:rsidR="00A31137" w:rsidRPr="00A31137" w:rsidRDefault="00A31137" w:rsidP="00A31137">
      <w:r w:rsidRPr="00A31137">
        <w:t>1990, Missouri v. Jenkins, 495 U.S. 37</w:t>
      </w:r>
    </w:p>
    <w:p w:rsidR="00A31137" w:rsidRPr="00A31137" w:rsidRDefault="00A31137" w:rsidP="00A31137">
      <w:r w:rsidRPr="00A31137">
        <w:t xml:space="preserve">In 1977, KCMSD and a group of KCMSD students filed a complaint alleging that the State of Missouri and surrounding school districts had operated a segregated public school system in the Kansas City metropolitan area. 1 The District Court realigned KCMSD as a party defendant, School Dist. of Kansas City v. Missouri, 460 F.Supp. 421 (WD Mo.1978), and KCMSD filed a cross-claim against the State, seeking indemnification for any liability that might be imposed on KCMSD for intradistrict segregation. 2 After a lengthy trial, the District Court found that KCMSD and the State had operated a segregated school system within the KCMSD. Jenkins v. Missouri, 593 F.Supp. 1485 (WD Mo.1984). 3 [495 U.S. 38] </w:t>
      </w:r>
    </w:p>
    <w:p w:rsidR="00A31137" w:rsidRPr="00A31137" w:rsidRDefault="00A31137" w:rsidP="00A31137">
      <w:r w:rsidRPr="00A31137">
        <w:t>1990, Missouri v. Jenkins, 495 U.S. 38</w:t>
      </w:r>
    </w:p>
    <w:p w:rsidR="00A31137" w:rsidRPr="00A31137" w:rsidRDefault="00A31137" w:rsidP="00A31137">
      <w:r w:rsidRPr="00A31137">
        <w:t>The District Court thereafter issued an order detailing the remedies necessary to eliminate the vestiges of segregation and the financing necessary to implement those remedies. Jenkins v. Missouri, 639 F.Supp. 19 (WD Mo.1985). 4 The District Court originally estimated the total cost of the desegregation remedy to be almost $88,000,000 over three years, of which it expected the State to pay $67,592,072 and KCMSD to pay $20,140,472. Id. at 43-44. The court concluded, however, that several provisions of Missouri law would prevent KCMSD from being able to pay its share of the obligation. Id. at 44. The Missouri Constitution limits local property taxes to $1.25 per $100 of assessed valuation unless a majority of the voters in the district approve a higher levy, up to $3.25 per $100; the levy may be raised above $3.25 per $100 only if two-thirds of the voters agree. Mo. Const., Art. X, § 11(b), (c). 5 The "Hancock Amendment" requires property tax rates to be rolled back when property is assessed at a higher valuation to ensure that taxes will not be increased solely as a result of reassessments. Mo. Const., Art. X, [495 U.S. 39] § 22(a); Mo.Rev.Stat. § 137.073.2 (1986). The Hancock Amendment thus prevents KCMSD from obtaining any revenue increase as a result of increases in the assessed valuation of real property. "Proposition C" allocates one cent of every dollar raised by the state sales tax to a schools trust fund, and requires school districts to reduce property taxes by an amount equal to 50% of the previous year's sales tax receipts in the district. Mo.Rev.Stat. § 164.013.1 (Supp.1988). However, the trust fund is allocated according to a formula that does not compensate KCMSD for the amount lost in property tax revenues, and the effect of Proposition C is to divert nearly half of the sales taxes collected in KCMSD to other parts of the State.</w:t>
      </w:r>
    </w:p>
    <w:p w:rsidR="00A31137" w:rsidRPr="00A31137" w:rsidRDefault="00A31137" w:rsidP="00A31137">
      <w:r w:rsidRPr="00A31137">
        <w:t>1990, Missouri v. Jenkins, 495 U.S. 39</w:t>
      </w:r>
    </w:p>
    <w:p w:rsidR="00A31137" w:rsidRPr="00A31137" w:rsidRDefault="00A31137" w:rsidP="00A31137">
      <w:r w:rsidRPr="00A31137">
        <w:t>The District Court believed that it had the power to order a tax increase to ensure adequate funding of the desegregation plan, but it hesitated to take this step. It chose instead to enjoin the effect of the Proposition C rollback to allow KCMSD to raise an additional $4,000,000 for the coming fiscal year. The court ordered KCMSD to submit to the voters a proposal for an increase in taxes sufficient to pay for its share of the desegregation remedy in following years. Jenkins v. Missouri, 639 F.Supp. at 45.</w:t>
      </w:r>
    </w:p>
    <w:p w:rsidR="00A31137" w:rsidRPr="00A31137" w:rsidRDefault="00A31137" w:rsidP="00A31137">
      <w:r w:rsidRPr="00A31137">
        <w:t>1990, Missouri v. Jenkins, 495 U.S. 39</w:t>
      </w:r>
    </w:p>
    <w:p w:rsidR="00A31137" w:rsidRPr="00A31137" w:rsidRDefault="00A31137" w:rsidP="00A31137">
      <w:r w:rsidRPr="00A31137">
        <w:t>The Court of Appeals for the Eighth Circuit affirmed the District Court's findings of liability and remedial order in most respects. Jenkins v. Missouri, 807 F.2d 657 (1986) (in banc). The Court of Appeals agreed with the State, however, that the District Court had failed to explain adequately why it had imposed most of the cost of the desegregation plan on the State. Id. at 684, 685. The Eighth Circuit ordered the District Court to divide the cost equally between the State and KCMSD. Id. at 685. We denied certiorari. Kansas City, Missouri, School Dist. v. Missouri, 484 U.S. 816 (1987).</w:t>
      </w:r>
    </w:p>
    <w:p w:rsidR="00A31137" w:rsidRPr="00A31137" w:rsidRDefault="00A31137" w:rsidP="00A31137">
      <w:r w:rsidRPr="00A31137">
        <w:t>1990, Missouri v. Jenkins, 495 U.S. 39</w:t>
      </w:r>
    </w:p>
    <w:p w:rsidR="00A31137" w:rsidRPr="00A31137" w:rsidRDefault="00A31137" w:rsidP="00A31137">
      <w:r w:rsidRPr="00A31137">
        <w:t>Proceedings before the District Court continued during the appeal. In its original remedial order, the District Court had directed KCMSD to prepare a study addressing the usefulness [495 U.S. 40] of "magnet schools" to promote desegregation. 6 Jenkins v. Missouri, 639 F.Supp. at 34-35. A year later, the District Court approved KCMSD's proposal to operate six magnet schools during the 1986-1987 school year. 7 The court again faced the problem of funding, for KCMSD's efforts to persuade the voters to approve a tax increase had failed, as had its efforts to seek funds from the Kansas City Council and the state legislature. Again hesitating to impose a tax increase itself, the court continued its injunction against the Proposition C rollback to enable KCMSD to raise an additional $6,500,000. App. 138-142.</w:t>
      </w:r>
    </w:p>
    <w:p w:rsidR="00A31137" w:rsidRPr="00A31137" w:rsidRDefault="00A31137" w:rsidP="00A31137">
      <w:r w:rsidRPr="00A31137">
        <w:t>1990, Missouri v. Jenkins, 495 U.S. 40</w:t>
      </w:r>
    </w:p>
    <w:p w:rsidR="00A31137" w:rsidRPr="00A31137" w:rsidRDefault="00A31137" w:rsidP="00A31137">
      <w:r w:rsidRPr="00A31137">
        <w:t>In November 1986, the District Court endorsed a marked expansion of the magnet school program. It adopted in substance a KCMSD proposal that every high school, every middle school, and half of the elementary schools in KCMSD become magnet schools by the 1991-1992 school year. It also approved the $142,736,025 budget proposed by KCMSD for implementation of the magnet school plan, as well as the expenditure of $52,858,301 for additional capital improvements. App. to Pet. for Cert. 120a-124a.</w:t>
      </w:r>
    </w:p>
    <w:p w:rsidR="00A31137" w:rsidRPr="00A31137" w:rsidRDefault="00A31137" w:rsidP="00A31137">
      <w:r w:rsidRPr="00A31137">
        <w:t>1990, Missouri v. Jenkins, 495 U.S. 40</w:t>
      </w:r>
    </w:p>
    <w:p w:rsidR="00A31137" w:rsidRPr="00A31137" w:rsidRDefault="00A31137" w:rsidP="00A31137">
      <w:r w:rsidRPr="00A31137">
        <w:t>The District Court next considered, as the Court of Appeals had directed, how to shift the cost of desegregation to KCMSD. The District Court concluded that it would be "clearly inequitable" to require the population of KCMSD to pay half of the desegregation cost, and that "even with Court help, it would be very difficult for the KCMSD to fund more than 25% of the costs of the entire remedial plan." Id. at 112a. The court reasoned that the State should pay for most of the desegregation cost under the principle that "'the person [495 U.S. 41] who starts the fire has more responsibility for the damages caused than the person who fails to put it out,'" id. at 111a, and that apportionment of damages between the State and KCMSD according to fault was supported by the doctrine of comparative fault in tort, which had been adopted by the Missouri Supreme Court in Gustafson v. Benda, 661 S.W.2d 11 (1983). The District Court then held that the State and KCMSD were 75% and 25% at fault, respectively, and ordered them to share the cost of the desegregation remedy in that proportion. To ensure complete funding of the remedy, the court also held the two tortfeasors jointly and severally liable for the cost of the plan. App. to Pet. for Cert. 113a.</w:t>
      </w:r>
    </w:p>
    <w:p w:rsidR="00A31137" w:rsidRPr="00A31137" w:rsidRDefault="00A31137" w:rsidP="00A31137">
      <w:r w:rsidRPr="00A31137">
        <w:t>1990, Missouri v. Jenkins, 495 U.S. 41</w:t>
      </w:r>
    </w:p>
    <w:p w:rsidR="00A31137" w:rsidRPr="00A31137" w:rsidRDefault="00A31137" w:rsidP="00A31137">
      <w:r w:rsidRPr="00A31137">
        <w:t>Three months later, the District Court adopted a plan requiring $187,450,334 in further capital improvements. 672 F.Supp. 400, 408 (WD Mo.1987). By then it was clear that KCMSD would lack the resources to pay for its 25% share of the desegregation cost. KCMSD requested that the District Court order the State to pay for any amount that KCMSD could not meet. The District Court declined to impose a greater share of the cost on the State, but it accepted that KCMSD had "exhausted all available means of raising additional revenue." Id. at 411. Finding itself with "no choice but to exercise its broad equitable powers and enter a judgment that will enable the KCMSD to raise its share of the cost of the plan," ibid., and believing that the</w:t>
      </w:r>
    </w:p>
    <w:p w:rsidR="00A31137" w:rsidRPr="00A31137" w:rsidRDefault="00A31137" w:rsidP="00A31137">
      <w:r w:rsidRPr="00A31137">
        <w:t>1990, Missouri v. Jenkins, 495 U.S. 41</w:t>
      </w:r>
    </w:p>
    <w:p w:rsidR="00A31137" w:rsidRPr="00A31137" w:rsidRDefault="00A31137" w:rsidP="00A31137">
      <w:r w:rsidRPr="00A31137">
        <w:t>United States Supreme Court has stated that a tax may be increased if "necessary to raise funds adequate to…operate and maintain without racial discrimination a public school system,"</w:t>
      </w:r>
    </w:p>
    <w:p w:rsidR="00A31137" w:rsidRPr="00A31137" w:rsidRDefault="00A31137" w:rsidP="00A31137">
      <w:r w:rsidRPr="00A31137">
        <w:t>1990, Missouri v. Jenkins, 495 U.S. 41</w:t>
      </w:r>
    </w:p>
    <w:p w:rsidR="00A31137" w:rsidRPr="00A31137" w:rsidRDefault="00A31137" w:rsidP="00A31137">
      <w:r w:rsidRPr="00A31137">
        <w:t>id. at 412 (quoting Griffin v. Prince Edward County School Bd., 377 U.S. 218,  233 (1964)), the court ordered the KCMSD property tax levy raised from $2.05 to $4.00 per $100 of assessed valuation through the 1991-1992 fiscal year. 672 F.Supp. at 412-413. 8 KCMSD was also directed to issue $150 [495 U.S. 42] million in capital improvement bonds. Id. at 413. A subsequent order directed that the revenues generated by the property tax increase be used to retire the capital improvement bonds. App. to Pet. for Cert. 63a.</w:t>
      </w:r>
    </w:p>
    <w:p w:rsidR="00A31137" w:rsidRPr="00A31137" w:rsidRDefault="00A31137" w:rsidP="00A31137">
      <w:r w:rsidRPr="00A31137">
        <w:t>1990, Missouri v. Jenkins, 495 U.S. 42</w:t>
      </w:r>
    </w:p>
    <w:p w:rsidR="00A31137" w:rsidRPr="00A31137" w:rsidRDefault="00A31137" w:rsidP="00A31137">
      <w:r w:rsidRPr="00A31137">
        <w:t>The State appealed, challenging the scope of the desegregation remedy, the allocation of the cost between the State and KCMSD, and the tax increase. A group of local taxpayers (Clark Group) and Jackson County, Missouri, also appealed from an order of the District Court denying their applications to intervene as of right. A panel of the Eighth Circuit affirmed in part and reversed in part. 855 F.2d 1295 (1988). With respect to the would-be intervenors, the Court of Appeals upheld the denial of intervention. Id. at 1316-1317. The scope of the desegregation order was also upheld against all the State's objections, id. at 1301-1307, as was the allocation of costs, id. at 1307-1308.</w:t>
      </w:r>
    </w:p>
    <w:p w:rsidR="00A31137" w:rsidRPr="00A31137" w:rsidRDefault="00A31137" w:rsidP="00A31137">
      <w:r w:rsidRPr="00A31137">
        <w:t>1990, Missouri v. Jenkins, 495 U.S. 42</w:t>
      </w:r>
    </w:p>
    <w:p w:rsidR="00A31137" w:rsidRPr="00A31137" w:rsidRDefault="00A31137" w:rsidP="00A31137">
      <w:r w:rsidRPr="00A31137">
        <w:t xml:space="preserve">Turning to the property tax increase, the Court of Appeals rejected the State's argument that a federal court lacks the judicial power to order a tax increase. The Court of Appeals agreed with the District Court that Griffin v. Prince Edward County School Bd., supra, 377 U.S. at  233, had established the District Court's authority to order county officials to levy taxes. 9 Accepting also the District Court's conclusion that state law prevented KCMSD from raising funds sufficient to implement the desegregation remedy, the Court of Appeals held that such state law limitations must fall to the command of the Constitution. 855 F.2d at 1313. [495 U.S. 43] </w:t>
      </w:r>
    </w:p>
    <w:p w:rsidR="00A31137" w:rsidRPr="00A31137" w:rsidRDefault="00A31137" w:rsidP="00A31137">
      <w:r w:rsidRPr="00A31137">
        <w:t>1990, Missouri v. Jenkins, 495 U.S. 43</w:t>
      </w:r>
    </w:p>
    <w:p w:rsidR="00A31137" w:rsidRPr="00A31137" w:rsidRDefault="00A31137" w:rsidP="00A31137">
      <w:r w:rsidRPr="00A31137">
        <w:t>Although the Court of Appeals thus "affirm[ed] the actions that the [District] [C]ourt has taken to this point," id. at 1314, it agreed with the State that principles of federal/state comity required the District Court to use "minimally obtrusive methods to remedy constitutional violations." Ibid. The Court of Appeals thus required that, in the future, the District Court should not set the property tax rate itself, but should authorize KCMSD to submit a levy to the state tax collection authorities and should enjoin the operation of state laws hindering KCMSD from adequately funding the remedy. 10 The Court of Appeals reasoned that permitting the school board to set the levy itself would minimize disruption of state laws and processes and would ensure maximum consideration of the views of state and local officials. Ibid. 11</w:t>
      </w:r>
    </w:p>
    <w:p w:rsidR="00A31137" w:rsidRPr="00A31137" w:rsidRDefault="00A31137" w:rsidP="00A31137">
      <w:r w:rsidRPr="00A31137">
        <w:t>1990, Missouri v. Jenkins, 495 U.S. 43</w:t>
      </w:r>
    </w:p>
    <w:p w:rsidR="00A31137" w:rsidRPr="00A31137" w:rsidRDefault="00A31137" w:rsidP="00A31137">
      <w:r w:rsidRPr="00A31137">
        <w:t>The judgment of the Court of Appeals was entered on August 19, 1988. On September 16, 1988, the State filed with the Court of Appeals a document styled "State Appellants' Petition for Rehearing En Banc." App. 489-502. Jackson County also filed a "Petition…for Rehearing by Court En Banc," id. at 458-469, and Clark Group filed a "Petition for Rehearing En Banc with Suggestions in Support." Id. at 470-488. On October 14, 1988, the Court of Appeals denied the petitions with an order stating as follows:</w:t>
      </w:r>
    </w:p>
    <w:p w:rsidR="00A31137" w:rsidRPr="00A31137" w:rsidRDefault="00A31137" w:rsidP="00A31137">
      <w:r w:rsidRPr="00A31137">
        <w:t>1990, Missouri v. Jenkins, 495 U.S. 43</w:t>
      </w:r>
    </w:p>
    <w:p w:rsidR="00A31137" w:rsidRPr="00A31137" w:rsidRDefault="00A31137" w:rsidP="00A31137">
      <w:r w:rsidRPr="00A31137">
        <w:t>There are now three petitions for rehearing en banc pending before the Court. It is hereby ordered that all petitions for rehearing [495 U.S. 44] en banc are denied.</w:t>
      </w:r>
    </w:p>
    <w:p w:rsidR="00A31137" w:rsidRPr="00A31137" w:rsidRDefault="00A31137" w:rsidP="00A31137">
      <w:r w:rsidRPr="00A31137">
        <w:t>1990, Missouri v. Jenkins, 495 U.S. 44</w:t>
      </w:r>
    </w:p>
    <w:p w:rsidR="00A31137" w:rsidRPr="00A31137" w:rsidRDefault="00A31137" w:rsidP="00A31137">
      <w:r w:rsidRPr="00A31137">
        <w:t>App. to Pet. for Cert. 53a. The mandate of the Court of Appeals issued on October 14.</w:t>
      </w:r>
    </w:p>
    <w:p w:rsidR="00A31137" w:rsidRPr="00A31137" w:rsidRDefault="00A31137" w:rsidP="00A31137">
      <w:r w:rsidRPr="00A31137">
        <w:t>1990, Missouri v. Jenkins, 495 U.S. 44</w:t>
      </w:r>
    </w:p>
    <w:p w:rsidR="00A31137" w:rsidRPr="00A31137" w:rsidRDefault="00A31137" w:rsidP="00A31137">
      <w:r w:rsidRPr="00A31137">
        <w:t>On December 31, 1988, 78 days after the issuance of the order denying rehearing and 134 days after the entry of the Court of Appeals' judgment, Jackson County presented to this Court an application for extension of time in which to file a petition for certiorari. 12 The Clerk of this Court returned the application to Jackson County as untimely. App. 503. According to the Clerk, the 90-day period in which Jackson County could petition for certiorari began to run on August 19, 1988, and expired on November 17, 1988. The Clerk informed Jackson County that, although the timely filing of a "petition for rehearing" with the Court of Appeals tolls the running of the 90-day period, the filing of a "petition for rehearing en banc" does not toll the time.</w:t>
      </w:r>
    </w:p>
    <w:p w:rsidR="00A31137" w:rsidRPr="00A31137" w:rsidRDefault="00A31137" w:rsidP="00A31137">
      <w:r w:rsidRPr="00A31137">
        <w:t>1990, Missouri v. Jenkins, 495 U.S. 44</w:t>
      </w:r>
    </w:p>
    <w:p w:rsidR="00A31137" w:rsidRPr="00A31137" w:rsidRDefault="00A31137" w:rsidP="00A31137">
      <w:r w:rsidRPr="00A31137">
        <w:t>On January 10, 1989, the Clerk of the Eighth Circuit issued an order amending the order of October 14, 1988. The amended order stated:</w:t>
      </w:r>
    </w:p>
    <w:p w:rsidR="00A31137" w:rsidRPr="00A31137" w:rsidRDefault="00A31137" w:rsidP="00A31137">
      <w:r w:rsidRPr="00A31137">
        <w:t>1990, Missouri v. Jenkins, 495 U.S. 44</w:t>
      </w:r>
    </w:p>
    <w:p w:rsidR="00A31137" w:rsidRPr="00A31137" w:rsidRDefault="00A31137" w:rsidP="00A31137">
      <w:r w:rsidRPr="00A31137">
        <w:t>This Court's mandate which was issued on October 14, 1988, is hereby recalled.</w:t>
      </w:r>
    </w:p>
    <w:p w:rsidR="00A31137" w:rsidRPr="00A31137" w:rsidRDefault="00A31137" w:rsidP="00A31137">
      <w:r w:rsidRPr="00A31137">
        <w:t>1990, Missouri v. Jenkins, 495 U.S. 44</w:t>
      </w:r>
    </w:p>
    <w:p w:rsidR="00A31137" w:rsidRPr="00A31137" w:rsidRDefault="00A31137" w:rsidP="00A31137">
      <w:r w:rsidRPr="00A31137">
        <w:t>There are three (3) petitions for rehearing with suggestions for rehearing en banc pending before the Court. It is hereby ordered that the petitions for rehearing and the petitions for rehearing with suggestions for rehearing en banc are denied.</w:t>
      </w:r>
    </w:p>
    <w:p w:rsidR="00A31137" w:rsidRPr="00A31137" w:rsidRDefault="00A31137" w:rsidP="00A31137">
      <w:r w:rsidRPr="00A31137">
        <w:t>1990, Missouri v. Jenkins, 495 U.S. 44</w:t>
      </w:r>
    </w:p>
    <w:p w:rsidR="00A31137" w:rsidRPr="00A31137" w:rsidRDefault="00A31137" w:rsidP="00A31137">
      <w:r w:rsidRPr="00A31137">
        <w:t>This order is entered nunc pro tunc effective October 14, 1988. The Court's mandate shall now issue forthwith.</w:t>
      </w:r>
    </w:p>
    <w:p w:rsidR="00A31137" w:rsidRPr="00A31137" w:rsidRDefault="00A31137" w:rsidP="00A31137">
      <w:r w:rsidRPr="00A31137">
        <w:t>1990, Missouri v. Jenkins, 495 U.S. 44</w:t>
      </w:r>
    </w:p>
    <w:p w:rsidR="00A31137" w:rsidRPr="00A31137" w:rsidRDefault="00A31137" w:rsidP="00A31137">
      <w:r w:rsidRPr="00A31137">
        <w:t xml:space="preserve">Id. at 513 (emphasis added). [495 U.S. 45] </w:t>
      </w:r>
    </w:p>
    <w:p w:rsidR="00A31137" w:rsidRPr="00A31137" w:rsidRDefault="00A31137" w:rsidP="00A31137">
      <w:r w:rsidRPr="00A31137">
        <w:t>1990, Missouri v. Jenkins, 495 U.S. 45</w:t>
      </w:r>
    </w:p>
    <w:p w:rsidR="00A31137" w:rsidRPr="00A31137" w:rsidRDefault="00A31137" w:rsidP="00A31137">
      <w:r w:rsidRPr="00A31137">
        <w:t>The State, Jackson County, and Clark Group filed petitions for certiorari within 90 days of the October 14, 1988, order. The State's petition argued that the remedies imposed by the District Court were excessive in scope, and that the property tax increase violated Article III, the Tenth Amendment, and principles of federal/state comity. We denied the petitions of Jackson County and Clark Group. 490 U.S. 1034 (1989). We granted the State's petition, limited to the question of the property tax increase, but we requested the parties to address whether the petition was timely filed. 490 U.S. 1034 (1989).</w:t>
      </w:r>
    </w:p>
    <w:p w:rsidR="00A31137" w:rsidRPr="00A31137" w:rsidRDefault="00A31137" w:rsidP="00A31137">
      <w:r w:rsidRPr="00A31137">
        <w:t>II</w:t>
      </w:r>
    </w:p>
    <w:p w:rsidR="00A31137" w:rsidRPr="00A31137" w:rsidRDefault="00A31137" w:rsidP="00A31137">
      <w:r w:rsidRPr="00A31137">
        <w:t>1990, Missouri v. Jenkins, 495 U.S. 45</w:t>
      </w:r>
    </w:p>
    <w:p w:rsidR="00A31137" w:rsidRPr="00A31137" w:rsidRDefault="00A31137" w:rsidP="00A31137">
      <w:r w:rsidRPr="00A31137">
        <w:t>We deal first with the question of our own jurisdiction. Title 28 U.S.C. § 2101(c) (1982 ed.) requires that a petition for certiorari in a civil case be filed within 90 days of the entry of the judgment below. This 90-day limit is mandatory and jurisdictional. We have no authority to extend the period for filing except as Congress permits. Unless the State's petition was filed within 90 days of the entry of the Court of Appeals' judgment, we must dismiss the petition.</w:t>
      </w:r>
    </w:p>
    <w:p w:rsidR="00A31137" w:rsidRPr="00A31137" w:rsidRDefault="00A31137" w:rsidP="00A31137">
      <w:r w:rsidRPr="00A31137">
        <w:t>1990, Missouri v. Jenkins, 495 U.S. 45</w:t>
      </w:r>
    </w:p>
    <w:p w:rsidR="00A31137" w:rsidRPr="00A31137" w:rsidRDefault="00A31137" w:rsidP="00A31137">
      <w:r w:rsidRPr="00A31137">
        <w:t>Since Department of Banking of Nebraska v. Pink, 317 U.S. 264 (1942), it has been the consistent practice of the Court to treat petitions for rehearing timely presented to the Courts of Appeals as tolling the start of the period in which a petition for certiorari must be sought until rehearing is denied or a new judgment is entered on the rehearing. 13 As [495 U.S. 46] was explained in Pink,</w:t>
      </w:r>
    </w:p>
    <w:p w:rsidR="00A31137" w:rsidRPr="00A31137" w:rsidRDefault="00A31137" w:rsidP="00A31137">
      <w:r w:rsidRPr="00A31137">
        <w:t>1990, Missouri v. Jenkins, 495 U.S. 46</w:t>
      </w:r>
    </w:p>
    <w:p w:rsidR="00A31137" w:rsidRPr="00A31137" w:rsidRDefault="00A31137" w:rsidP="00A31137">
      <w:r w:rsidRPr="00A31137">
        <w:t>[a] timely petition for rehearing…operates to suspend the finality of the…court's judgment, pending the court's further determination whether the judgment should be modified so as to alter its adjudication of the rights of the parties.</w:t>
      </w:r>
    </w:p>
    <w:p w:rsidR="00A31137" w:rsidRPr="00A31137" w:rsidRDefault="00A31137" w:rsidP="00A31137">
      <w:r w:rsidRPr="00A31137">
        <w:t>1990, Missouri v. Jenkins, 495 U.S. 46</w:t>
      </w:r>
    </w:p>
    <w:p w:rsidR="00A31137" w:rsidRPr="00A31137" w:rsidRDefault="00A31137" w:rsidP="00A31137">
      <w:r w:rsidRPr="00A31137">
        <w:t>Id. at 266. To put the matter another way, while the petition for rehearing is pending, there is no "judgment" to be reviewed. Cf. Zimmern v. United States, 298 U.S. 167, 169 (1936); Leishman v. Associated Wholesale Electric Co., 318 U.S. 203, 205 (1943).</w:t>
      </w:r>
      <w:r w:rsidRPr="00A31137">
        <w:cr/>
      </w:r>
    </w:p>
    <w:p w:rsidR="00A31137" w:rsidRPr="00A31137" w:rsidRDefault="00A31137" w:rsidP="00A31137">
      <w:r w:rsidRPr="00A31137">
        <w:t>1990, Missouri v. Jenkins, 495 U.S. 46</w:t>
      </w:r>
    </w:p>
    <w:p w:rsidR="00A31137" w:rsidRPr="00A31137" w:rsidRDefault="00A31137" w:rsidP="00A31137">
      <w:r w:rsidRPr="00A31137">
        <w:t>But as respondents point out, it has also been our consistent practice to treat suggestions for rehearing in banc presented to the United States Courts of Appeals that do not also include petitions for rehearing by the panel as not tolling the period for seeking certiorari. Our Rule 13.4 now expressly incorporates this practice. See n. 13, supra. This practice rests on the important distinction between "petitions for rehearing," which are authorized by Rule 40(a) of the Federal Rules of Appellate Procedure, and "suggestions for rehearing in banc," which are permitted by Rule 35(b). 14 In [495 U.S. 47] this case, the State styled its filing as a "Petition for Rehearing En Banc." 15 There is technically no provision for the filing of a "Petition for Rehearing En Banc" in the Rules of Appellate Procedure. A party may petition for rehearing before the panel under Rule 40, file a suggestion for a rehearing in banc under Rule 35, or do both, separately or together. The State's filing on its face did not exactly comport with any of these options. If the filing was no more than a suggestion for rehearing in banc, as respondents insist, the petition for certiorari was untimely. But if, as the State argues, its papers qualified for treatment as a petition for rehearing within the meaning of Rule 40 as well as a suggestion for rehearing in banc under Rule 35, the 90-day period for seeking certiorari began on October 14, 1988, and the State's petition for certiorari was timely filed.</w:t>
      </w:r>
    </w:p>
    <w:p w:rsidR="00A31137" w:rsidRPr="00A31137" w:rsidRDefault="00A31137" w:rsidP="00A31137">
      <w:r w:rsidRPr="00A31137">
        <w:t>1990, Missouri v. Jenkins, 495 U.S. 47</w:t>
      </w:r>
    </w:p>
    <w:p w:rsidR="00A31137" w:rsidRPr="00A31137" w:rsidRDefault="00A31137" w:rsidP="00A31137">
      <w:r w:rsidRPr="00A31137">
        <w:t>Though the matter is not without difficulty, we conclude that the State has the better of the argument. It appears to us that the Court of Appeals interpreted and actually treated the State's papers as including a petition for rehearing before the panel. 16 If the Eighth Circuit had regarded the State's [495 U.S. 48] papers as only a suggestion for rehearing in banc, without a petition for panel rehearing as well, Rules 35(c) and 41(a) of the Federal Rules of Appellate Procedure would have required the court to issue its mandate within 21 days of the entry of the panel's judgment. 17 The Court of Appeals did not issue the mandate within 21 days of the panel's judgment, but issued it only upon its October 14 order denying the State's petition. Nor did the Court of Appeals issue an order extending the time for the issuance of the mandate as it may do under Rule 41(a).</w:t>
      </w:r>
    </w:p>
    <w:p w:rsidR="00A31137" w:rsidRPr="00A31137" w:rsidRDefault="00A31137" w:rsidP="00A31137">
      <w:r w:rsidRPr="00A31137">
        <w:t>1990, Missouri v. Jenkins, 495 U.S. 48</w:t>
      </w:r>
    </w:p>
    <w:p w:rsidR="00A31137" w:rsidRPr="00A31137" w:rsidRDefault="00A31137" w:rsidP="00A31137">
      <w:r w:rsidRPr="00A31137">
        <w:t>Respondents insist that the Eighth Circuit routinely withholds the mandate during the pendency of a suggestion for rehearing in banc, even without the order contemplated by Rule 41(a), and point us to United States v. Samuels, 808 F.2d 1298, 1299 (1987), where the Chief Judge of that court wrote separately respecting the denial of rehearing in banc to emphasize that the Eighth Circuit has done so. The Court of Appeals may not on every occasion have observed the technicalities of Rules 35(c) and 41(a), but we cannot conclude from the respondents' submission that the Eighth Circuit has engaged in a systematic practice of ignoring those formalities. We presume that the Eighth Circuit withheld the mandate [495 U.S. 49] because, under Rule 41(a), it must do so when a petition for panel rehearing is pending.</w:t>
      </w:r>
    </w:p>
    <w:p w:rsidR="00A31137" w:rsidRPr="00A31137" w:rsidRDefault="00A31137" w:rsidP="00A31137">
      <w:r w:rsidRPr="00A31137">
        <w:t>1990, Missouri v. Jenkins, 495 U.S. 49</w:t>
      </w:r>
    </w:p>
    <w:p w:rsidR="00A31137" w:rsidRPr="00A31137" w:rsidRDefault="00A31137" w:rsidP="00A31137">
      <w:r w:rsidRPr="00A31137">
        <w:t>It is true that the Eighth Circuit's original October 14 order stated that there were three "petitions for rehearing en banc pending before the Court" and that all "petitions for rehearing en banc" were denied. Only after this Court's Clerk informed Jackson County that its application for extension of time was untimely did the Court of Appeals amend its October 14 order nunc pro tunc to state that there were "petitions for rehearing with suggestions for rehearing en banc pending before the Court" and that those "petitions for rehearing…with suggestions for rehearing en banc" were denied. Respondents argue that the original order is more probative of the Eighth Circuit's contemporaneous treatment of the State's petition, and they contend that order clearly does not treat the petition as requesting panel rehearing. They insist that the Eighth Circuit cannot, post hoc, amend its order to make it appear that it took an action which it never took.</w:t>
      </w:r>
    </w:p>
    <w:p w:rsidR="00A31137" w:rsidRPr="00A31137" w:rsidRDefault="00A31137" w:rsidP="00A31137">
      <w:r w:rsidRPr="00A31137">
        <w:t>1990, Missouri v. Jenkins, 495 U.S. 49</w:t>
      </w:r>
    </w:p>
    <w:p w:rsidR="00A31137" w:rsidRPr="00A31137" w:rsidRDefault="00A31137" w:rsidP="00A31137">
      <w:r w:rsidRPr="00A31137">
        <w:t>The Court of Appeals of course cannot make the record what it is not. The time for applying for certiorari will not be tolled when it appears that the lower court granted rehearing or amended its order solely for the purpose of extending that time. Cf. Wayne United Gas Co. v. Owens-Illinois Glass Co., 300 U.S. 131, 137 (1937); Conboy v. First National Bank of Jersey City, 203 U.S. 141, 145 (1906); Credit Co. v. Arkansas Central R. Co., 128 U.S. 258, 261 (1888). But, as we see it, that is not what happened in this case: the Eighth Circuit originally entered an order denying the "petitions for rehearing en banc" because the papers filed with the court were styled as "petitions for rehearing en banc." When it was subsequently brought to the Eighth Circuit's attention that it had neglected to refer to those papers in its order as petitions for rehearing with suggestions for rehearing in banc, the court amended its order nunc pro tunc to ensure that the order reflected the reality of the action taken on October 14. The Eighth Circuit surely knows [495 U.S. 50] more than we do about the meaning of its orders, and we accept its action for what it purports to be.</w:t>
      </w:r>
    </w:p>
    <w:p w:rsidR="00A31137" w:rsidRPr="00A31137" w:rsidRDefault="00A31137" w:rsidP="00A31137">
      <w:r w:rsidRPr="00A31137">
        <w:t>1990, Missouri v. Jenkins, 495 U.S. 50</w:t>
      </w:r>
    </w:p>
    <w:p w:rsidR="00A31137" w:rsidRPr="00A31137" w:rsidRDefault="00A31137" w:rsidP="00A31137">
      <w:r w:rsidRPr="00A31137">
        <w:t>The Eighth Circuit, unlike other Circuits, does not have a published practice of treating all suggestions for rehearing in banc, no matter how styled, as containing both petitions for panel rehearing and suggestions for rehearing in banc. Cf. Gonzalez v. Southern Pacific Transportation Co., 773 F.2d 637, 639 (CA5 1985); Eleventh Circuit Rule 35-6. Respondents argue that accepting the Eighth Circuit's interpretation of its October 14 order in this case risks confusion in future cases and invites the lower courts to pick and choose between those parties whose "petitions for rehearing in banc" they view favorably and wish to give additional time for seeking review in this Court, and those whose petitions they wish to give no such aid.</w:t>
      </w:r>
    </w:p>
    <w:p w:rsidR="00A31137" w:rsidRPr="00A31137" w:rsidRDefault="00A31137" w:rsidP="00A31137">
      <w:r w:rsidRPr="00A31137">
        <w:t>1990, Missouri v. Jenkins, 495 U.S. 50</w:t>
      </w:r>
    </w:p>
    <w:p w:rsidR="00A31137" w:rsidRPr="00A31137" w:rsidRDefault="00A31137" w:rsidP="00A31137">
      <w:r w:rsidRPr="00A31137">
        <w:t>We share respondents' concern about the stability and clarity of jurisdictional rules. It is undoubtedly desirable to have published rules of procedure giving parties fair warning of the treatment afforded petitions for rehearing and suggestions for rehearing in banc. Regular adherence to published rules of procedure best promotes the principles of fairness, stability, and uniformity that those rules are designed to advance. But in the end, we accept the Eighth Circuit's interpretation of its October 14 order, and will not assume that its action in this case is not in accord with its regular practice.</w:t>
      </w:r>
    </w:p>
    <w:p w:rsidR="00A31137" w:rsidRPr="00A31137" w:rsidRDefault="00A31137" w:rsidP="00A31137">
      <w:r w:rsidRPr="00A31137">
        <w:t>III</w:t>
      </w:r>
    </w:p>
    <w:p w:rsidR="00A31137" w:rsidRPr="00A31137" w:rsidRDefault="00A31137" w:rsidP="00A31137">
      <w:r w:rsidRPr="00A31137">
        <w:t>1990, Missouri v. Jenkins, 495 U.S. 50</w:t>
      </w:r>
    </w:p>
    <w:p w:rsidR="00A31137" w:rsidRPr="00A31137" w:rsidRDefault="00A31137" w:rsidP="00A31137">
      <w:r w:rsidRPr="00A31137">
        <w:t xml:space="preserve">We turn to the tax increase imposed by the District Court. The State urges us to hold that the tax increase violated Article III, the Tenth Amendment, and principles of federal/state comity. We find it unnecessary to reach the difficult constitutional issues, for we agree with the State that the tax increase contravened the principles of comity that must govern the exercise of the District Court's equitable discretion in this area. [495 U.S. 51] </w:t>
      </w:r>
    </w:p>
    <w:p w:rsidR="00A31137" w:rsidRPr="00A31137" w:rsidRDefault="00A31137" w:rsidP="00A31137">
      <w:r w:rsidRPr="00A31137">
        <w:t>1990, Missouri v. Jenkins, 495 U.S. 51</w:t>
      </w:r>
    </w:p>
    <w:p w:rsidR="00A31137" w:rsidRPr="00A31137" w:rsidRDefault="00A31137" w:rsidP="00A31137">
      <w:r w:rsidRPr="00A31137">
        <w:t>It is accepted by all the parties, as it was by the courts below, that the imposition of a tax increase by a federal court was an extraordinary event. In assuming for itself the fundamental and delicate power of taxation, the District Court not only intruded on local authority but circumvented it altogether. Before taking such a drastic step, the District Court was obliged to assure itself that no permissible alternative would have accomplished the required task. We have emphasized that, although the "remedial powers of an equity court must be adequate to the task,…they are not unlimited," Whitcomb v. Chavis, 403 U.S. 124, 161 (1971), and one of the most important considerations governing the exercise of equitable power is a proper respect for the integrity and function of local government institutions. Especially is this true where, as here, those institutions are ready, willing, and—but for the operation of state law curtailing their powers—able to remedy the deprivation of constitutional rights themselves.</w:t>
      </w:r>
    </w:p>
    <w:p w:rsidR="00A31137" w:rsidRPr="00A31137" w:rsidRDefault="00A31137" w:rsidP="00A31137">
      <w:r w:rsidRPr="00A31137">
        <w:t>1990, Missouri v. Jenkins, 495 U.S. 51</w:t>
      </w:r>
    </w:p>
    <w:p w:rsidR="00A31137" w:rsidRPr="00A31137" w:rsidRDefault="00A31137" w:rsidP="00A31137">
      <w:r w:rsidRPr="00A31137">
        <w:t>The District Court believed that it had no alternative to imposing a tax increase. But there was an alternative, the very one outlined by the Court of Appeals: it could have authorized or required KCMSD to levy property taxes at a rate adequate to fund the desegregation remedy, and could have enjoined the operation of state laws that would have prevented KCMSD from exercising this power. 855 F.2d at 1314; see infra at  52. The difference between the two approaches is far more than a matter of form. Authorizing and directing local government institutions to devise and implement remedies not only protects the function of those institutions but, to the extent possible, also places the responsibility for solutions to the problems of segregation upon those who have themselves created the problems.</w:t>
      </w:r>
    </w:p>
    <w:p w:rsidR="00A31137" w:rsidRPr="00A31137" w:rsidRDefault="00A31137" w:rsidP="00A31137">
      <w:r w:rsidRPr="00A31137">
        <w:t>1990, Missouri v. Jenkins, 495 U.S. 51</w:t>
      </w:r>
    </w:p>
    <w:p w:rsidR="00A31137" w:rsidRPr="00A31137" w:rsidRDefault="00A31137" w:rsidP="00A31137">
      <w:r w:rsidRPr="00A31137">
        <w:t>As Brown v. Board of Education, 349 U.S. 294,  299 (1955), observed, local authorities have the "primary responsibility for elucidating, assessing, and solving" the problems of desegregation. See also Milliken v. Bradley, 433 [495 U.S. 52] U.S. 267,  281 (1977). This is true as well of the problems of financing desegregation, for no matter has been more consistently placed upon the shoulders of local government than that of financing public schools. As was said in another context,</w:t>
      </w:r>
    </w:p>
    <w:p w:rsidR="00A31137" w:rsidRPr="00A31137" w:rsidRDefault="00A31137" w:rsidP="00A31137">
      <w:r w:rsidRPr="00A31137">
        <w:t>1990, Missouri v. Jenkins, 495 U.S. 52</w:t>
      </w:r>
    </w:p>
    <w:p w:rsidR="00A31137" w:rsidRPr="00A31137" w:rsidRDefault="00A31137" w:rsidP="00A31137">
      <w:r w:rsidRPr="00A31137">
        <w:t>[t]he very complexity of the problems of financing and managing a…public school system suggests that "there will be more than one constitutionally permissible method of solving them," and that…"the legislature's efforts to tackle the problems" should be entitled to respect.</w:t>
      </w:r>
    </w:p>
    <w:p w:rsidR="00A31137" w:rsidRPr="00A31137" w:rsidRDefault="00A31137" w:rsidP="00A31137">
      <w:r w:rsidRPr="00A31137">
        <w:t>1990, Missouri v. Jenkins, 495 U.S. 52</w:t>
      </w:r>
    </w:p>
    <w:p w:rsidR="00A31137" w:rsidRPr="00A31137" w:rsidRDefault="00A31137" w:rsidP="00A31137">
      <w:r w:rsidRPr="00A31137">
        <w:t>San Antonio Independent School District v. Rodriguez, 411 U.S. 1,  42 (1973) (quoting Jefferson v. Hackney, 406 U.S. 535, 546-547 (1972)). By no means should a district court grant local government carte blanche, cf. Swann v. Charlotte-Mecklenburg Bd. of Education, 402 U.S. 1 (1971), but local officials should at least have the opportunity to devise their own solutions to these problems. Cf. Sixty-Seventh Minnesota State Senate v. Beens, 406 U.S. 187 (1972) (per curiam).</w:t>
      </w:r>
    </w:p>
    <w:p w:rsidR="00A31137" w:rsidRPr="00A31137" w:rsidRDefault="00A31137" w:rsidP="00A31137">
      <w:r w:rsidRPr="00A31137">
        <w:t>1990, Missouri v. Jenkins, 495 U.S. 52</w:t>
      </w:r>
    </w:p>
    <w:p w:rsidR="00A31137" w:rsidRPr="00A31137" w:rsidRDefault="00A31137" w:rsidP="00A31137">
      <w:r w:rsidRPr="00A31137">
        <w:t>The District Court therefore abused its discretion in imposing the tax itself. The Court of Appeals should not have allowed the tax increase to stand, and should have reversed the District Court in this respect. See Langnes v. Green, 282 U.S. 531, 541-542 (1931).</w:t>
      </w:r>
    </w:p>
    <w:p w:rsidR="00A31137" w:rsidRPr="00A31137" w:rsidRDefault="00A31137" w:rsidP="00A31137">
      <w:r w:rsidRPr="00A31137">
        <w:t>IV</w:t>
      </w:r>
    </w:p>
    <w:p w:rsidR="00A31137" w:rsidRPr="00A31137" w:rsidRDefault="00A31137" w:rsidP="00A31137">
      <w:r w:rsidRPr="00A31137">
        <w:t>1990, Missouri v. Jenkins, 495 U.S. 52</w:t>
      </w:r>
    </w:p>
    <w:p w:rsidR="00A31137" w:rsidRPr="00A31137" w:rsidRDefault="00A31137" w:rsidP="00A31137">
      <w:r w:rsidRPr="00A31137">
        <w:t xml:space="preserve">We stand on different ground when we review the modifications to the District Court's order made by the Court of Appeals. As explained supra at  43, the Court of Appeals held that the District Court in the future should authorize KCMSD to submit a levy to the state tax collection authorities adequate to fund its budget, and should enjoin the operation of state laws that would limit or reduce the levy below that amount. 855 F.2d at 1314. 18 [495 U.S. 53] </w:t>
      </w:r>
    </w:p>
    <w:p w:rsidR="00A31137" w:rsidRPr="00A31137" w:rsidRDefault="00A31137" w:rsidP="00A31137">
      <w:r w:rsidRPr="00A31137">
        <w:t>1990, Missouri v. Jenkins, 495 U.S. 53</w:t>
      </w:r>
    </w:p>
    <w:p w:rsidR="00A31137" w:rsidRPr="00A31137" w:rsidRDefault="00A31137" w:rsidP="00A31137">
      <w:r w:rsidRPr="00A31137">
        <w:t>The State argues that the funding ordered by the District Court violates principles of equity and comity because the remedial order itself was excessive. As the State puts it,</w:t>
      </w:r>
    </w:p>
    <w:p w:rsidR="00A31137" w:rsidRPr="00A31137" w:rsidRDefault="00A31137" w:rsidP="00A31137">
      <w:r w:rsidRPr="00A31137">
        <w:t>1990, Missouri v. Jenkins, 495 U.S. 53</w:t>
      </w:r>
    </w:p>
    <w:p w:rsidR="00A31137" w:rsidRPr="00A31137" w:rsidRDefault="00A31137" w:rsidP="00A31137">
      <w:r w:rsidRPr="00A31137">
        <w:t>[t]he only reason that the court below needed to consider an unprecedented tax increase was the equally unprecedented cost of its remedial programs.</w:t>
      </w:r>
    </w:p>
    <w:p w:rsidR="00A31137" w:rsidRPr="00A31137" w:rsidRDefault="00A31137" w:rsidP="00A31137">
      <w:r w:rsidRPr="00A31137">
        <w:t>1990, Missouri v. Jenkins, 495 U.S. 53</w:t>
      </w:r>
    </w:p>
    <w:p w:rsidR="00A31137" w:rsidRPr="00A31137" w:rsidRDefault="00A31137" w:rsidP="00A31137">
      <w:r w:rsidRPr="00A31137">
        <w:t>Brief for Petitioners 42. We think this argument aims at the scope of the remedy, rather than the manner in which the remedy is to be funded, and thus falls outside our limited grant of certiorari in this case. As we denied certiorari on the first question presented by the State's petition, which did challenge the scope of the remedial order, we must resist the State's efforts to argue that point now. We accept, without approving or disapproving, the Court of Appeals' conclusion that the District Court's remedy was proper. See Cone v. West Virginia Pulp &amp; Paper Co., 330 U.S. 212, 215 (1947).</w:t>
      </w:r>
    </w:p>
    <w:p w:rsidR="00A31137" w:rsidRPr="00A31137" w:rsidRDefault="00A31137" w:rsidP="00A31137">
      <w:r w:rsidRPr="00A31137">
        <w:t>1990, Missouri v. Jenkins, 495 U.S. 53</w:t>
      </w:r>
    </w:p>
    <w:p w:rsidR="00A31137" w:rsidRPr="00A31137" w:rsidRDefault="00A31137" w:rsidP="00A31137">
      <w:r w:rsidRPr="00A31137">
        <w:t>The State has argued here that the District Court, having found the State and KCMSD jointly and severally liable, should have allowed any monetary obligations that KCMSD [495 U.S. 54] could not meet to fall on the State rather than interfere with state law to permit KCMSD to meet them. 19 Under the circumstances of this case, we cannot say it was an abuse of discretion for the District Court to rule that KCMSD should be responsible for funding its share of the remedy. The State strenuously opposed efforts by respondents to make it responsible for the cost of implementing the order, and had secured a reversal of the District Court's earlier decision placing on it all of the cost of substantial portions of the order. See 807 F.2d at 684-685. The District Court declined to require the State to pay for KCMSD's obligations because it believed that the Court of Appeals had ordered it to allocate the costs between the two governmental entities. See 672 F.Supp. at 411. Furthermore, if the District Court had chosen the route now suggested by the State, implementation of the remedial order might have been delayed if the State resisted efforts by KCMSD to obtain contribution.</w:t>
      </w:r>
    </w:p>
    <w:p w:rsidR="00A31137" w:rsidRPr="00A31137" w:rsidRDefault="00A31137" w:rsidP="00A31137">
      <w:r w:rsidRPr="00A31137">
        <w:t>1990, Missouri v. Jenkins, 495 U.S. 54</w:t>
      </w:r>
    </w:p>
    <w:p w:rsidR="00A31137" w:rsidRPr="00A31137" w:rsidRDefault="00A31137" w:rsidP="00A31137">
      <w:r w:rsidRPr="00A31137">
        <w:t>It is true that, in Milliken v. Bradley, 433 U.S. at  291, we stated that the enforcement of a money judgment against the State did not violate principles of federalism because</w:t>
      </w:r>
    </w:p>
    <w:p w:rsidR="00A31137" w:rsidRPr="00A31137" w:rsidRDefault="00A31137" w:rsidP="00A31137">
      <w:r w:rsidRPr="00A31137">
        <w:t>1990, Missouri v. Jenkins, 495 U.S. 54</w:t>
      </w:r>
    </w:p>
    <w:p w:rsidR="00A31137" w:rsidRPr="00A31137" w:rsidRDefault="00A31137" w:rsidP="00A31137">
      <w:r w:rsidRPr="00A31137">
        <w:t>[t]he District Court…neither attempted to restructure local governmental entities nor…mandat[ed] a particular method or structure of state or local financing.</w:t>
      </w:r>
    </w:p>
    <w:p w:rsidR="00A31137" w:rsidRPr="00A31137" w:rsidRDefault="00A31137" w:rsidP="00A31137">
      <w:r w:rsidRPr="00A31137">
        <w:t>1990, Missouri v. Jenkins, 495 U.S. 54</w:t>
      </w:r>
    </w:p>
    <w:p w:rsidR="00A31137" w:rsidRPr="00A31137" w:rsidRDefault="00A31137" w:rsidP="00A31137">
      <w:r w:rsidRPr="00A31137">
        <w:t xml:space="preserve">But we did not there state that a District Court could never set aside state laws preventing local governments from raising funds sufficient to satisfy their constitutional obligations just because those funds could also be obtained from the States. To the contrary, 42 U.S.C. § 1983 (1982 ed.), on which respondents' complaint is based, is authority enough to require each tortfeasor to pay its share of the cost of the remedy if it can, and apportionment of the cost is part of the equitable power of the District Court. Cf. Milliken v. Bradley, supra, at 289-290. [495 U.S. 55] </w:t>
      </w:r>
    </w:p>
    <w:p w:rsidR="00A31137" w:rsidRPr="00A31137" w:rsidRDefault="00A31137" w:rsidP="00A31137">
      <w:r w:rsidRPr="00A31137">
        <w:t>1990, Missouri v. Jenkins, 495 U.S. 55</w:t>
      </w:r>
    </w:p>
    <w:p w:rsidR="00A31137" w:rsidRPr="00A31137" w:rsidRDefault="00A31137" w:rsidP="00A31137">
      <w:r w:rsidRPr="00A31137">
        <w:t>We turn to the constitutional issues. The modifications ordered by the Court of Appeals cannot be assailed as invalid under the Tenth Amendment.</w:t>
      </w:r>
    </w:p>
    <w:p w:rsidR="00A31137" w:rsidRPr="00A31137" w:rsidRDefault="00A31137" w:rsidP="00A31137">
      <w:r w:rsidRPr="00A31137">
        <w:t>1990, Missouri v. Jenkins, 495 U.S. 55</w:t>
      </w:r>
    </w:p>
    <w:p w:rsidR="00A31137" w:rsidRPr="00A31137" w:rsidRDefault="00A31137" w:rsidP="00A31137">
      <w:r w:rsidRPr="00A31137">
        <w:t>The Tenth Amendment's reservation of nondelegated powers to the States is not implicated by a federal court judgment enforcing the express prohibitions of unlawful state conduct enacted by the Fourteenth Amendment.</w:t>
      </w:r>
    </w:p>
    <w:p w:rsidR="00A31137" w:rsidRPr="00A31137" w:rsidRDefault="00A31137" w:rsidP="00A31137">
      <w:r w:rsidRPr="00A31137">
        <w:t>1990, Missouri v. Jenkins, 495 U.S. 55</w:t>
      </w:r>
    </w:p>
    <w:p w:rsidR="00A31137" w:rsidRPr="00A31137" w:rsidRDefault="00A31137" w:rsidP="00A31137">
      <w:r w:rsidRPr="00A31137">
        <w:t>Id. at  291. "The Fourteenth Amendment…was avowedly directed against the power of the States," Pennsylvania v. Union Gas Co., 491 U.S. 1, 42 (1989) (SCALIA, J., concurring in part and dissenting in part), and so permits a federal court to disestablish local government institutions that interfere with its commands. Cf. New York City Bd of Estimate v. Morris, 489 U.S. 688 (1989); Reynolds v. Sims, 377 U.S. 533,  585 (1964).</w:t>
      </w:r>
    </w:p>
    <w:p w:rsidR="00A31137" w:rsidRPr="00A31137" w:rsidRDefault="00A31137" w:rsidP="00A31137">
      <w:r w:rsidRPr="00A31137">
        <w:t>1990, Missouri v. Jenkins, 495 U.S. 55</w:t>
      </w:r>
    </w:p>
    <w:p w:rsidR="00A31137" w:rsidRPr="00A31137" w:rsidRDefault="00A31137" w:rsidP="00A31137">
      <w:r w:rsidRPr="00A31137">
        <w:t>Finally, the State argues that an order to increase taxes cannot be sustained under the judicial power of Article III. Whatever the merits of this argument when applied to the District Court's own order increasing taxes, a point we have not reached, see supra, at 53, a court order directing a local government body to levy its own taxes is plainly a judicial act within the power of a federal court. We held as much in Griffin v. Prince Edward County School Bd., 377 U.S. at  233, where we stated that a District Court, faced with a county's attempt to avoid desegregation of the public schools by refusing to operate those schools, could</w:t>
      </w:r>
    </w:p>
    <w:p w:rsidR="00A31137" w:rsidRPr="00A31137" w:rsidRDefault="00A31137" w:rsidP="00A31137">
      <w:r w:rsidRPr="00A31137">
        <w:t>1990, Missouri v. Jenkins, 495 U.S. 55</w:t>
      </w:r>
    </w:p>
    <w:p w:rsidR="00A31137" w:rsidRPr="00A31137" w:rsidRDefault="00A31137" w:rsidP="00A31137">
      <w:r w:rsidRPr="00A31137">
        <w:t>require the [County] Supervisors to exercise the power that is theirs to levy taxes to raise funds adequate to reopen, operate, and maintain without racial discrimination a public school system….</w:t>
      </w:r>
    </w:p>
    <w:p w:rsidR="00A31137" w:rsidRPr="00A31137" w:rsidRDefault="00A31137" w:rsidP="00A31137">
      <w:r w:rsidRPr="00A31137">
        <w:t>1990, Missouri v. Jenkins, 495 U.S. 55</w:t>
      </w:r>
    </w:p>
    <w:p w:rsidR="00A31137" w:rsidRPr="00A31137" w:rsidRDefault="00A31137" w:rsidP="00A31137">
      <w:r w:rsidRPr="00A31137">
        <w:t>Griffin followed a long and venerable line of cases in which this Court held that federal courts could issue the writ of mandamus to compel local governmental bodies to levy taxes adequate to satisfy their debt obligations. See, e.g., Louisiana ex rel. Hubert v. Mayor and Council of New Orleans, 215 U.S. 170 (1909); Graham v. Folsom, 200 U.S. 248 (1906); Wolff v. New Orleans, 103 U.S. 358 (1881); United States v. New Orleans, 98 U.S. 381 (1879); Heine v. Levee [495 U.S. 56] Commissioners, 19 Wall. 655, 657 (1874); City of Galena v. Amy, 5 Wall. 705 (1867); Von Hoffman v. City of Quincy, 4 Wall. 535 (1867); Board of Commissioners of Knox County v. Aspinwall, 24 How. 376 (1861). 20</w:t>
      </w:r>
    </w:p>
    <w:p w:rsidR="00A31137" w:rsidRPr="00A31137" w:rsidRDefault="00A31137" w:rsidP="00A31137">
      <w:r w:rsidRPr="00A31137">
        <w:t>1990, Missouri v. Jenkins, 495 U.S. 56</w:t>
      </w:r>
    </w:p>
    <w:p w:rsidR="00A31137" w:rsidRPr="00A31137" w:rsidRDefault="00A31137" w:rsidP="00A31137">
      <w:r w:rsidRPr="00A31137">
        <w:t>The State maintains, however, that, even under these cases, the federal judicial power can go no further than to require local governments to levy taxes as authorized under state law. In other words, the State argues that federal courts cannot set aside state-imposed limitations on local taxing authority, because to do so is to do more than to require the local government "to exercise the power that is theirs." We disagree. This argument was rejected as early as Von Hoffman v. City of Quincy, supra. There, the holder of bonds issued by the City sought a writ of mandamus against the City requiring it to levy taxes sufficient to pay interest [495 U.S. 57] coupons then due. The City defended, based on a state statute that limited its power of taxation, and the Circuit Court refused to mandamus the City. This Court reversed, observing that the statute relied on by the City was passed after the bonds were issued, and holding that, because the City had ample authority to levy taxes to pay its bonds when they were issued, the statute impaired the contractual entitlements of the bondholders contrary to Art. I, § 10, cl. 1 of the Constitution, under which a State may not pass any law impairing the obligation of contracts. The statutory limitation, therefore, could be disregarded, and the City ordered to levy the necessary taxes to pay its bonds.</w:t>
      </w:r>
    </w:p>
    <w:p w:rsidR="00A31137" w:rsidRPr="00A31137" w:rsidRDefault="00A31137" w:rsidP="00A31137">
      <w:r w:rsidRPr="00A31137">
        <w:t>1990, Missouri v. Jenkins, 495 U.S. 57</w:t>
      </w:r>
    </w:p>
    <w:p w:rsidR="00A31137" w:rsidRPr="00A31137" w:rsidRDefault="00A31137" w:rsidP="00A31137">
      <w:r w:rsidRPr="00A31137">
        <w:t>It is therefore clear that a local government with taxing authority may be ordered to levy taxes in excess of the limit set by state statute where there is reason based in the Constitution for not observing the statutory limitation. In Von Hoffman, the limitation was disregarded because of the Contract Clause. Here the KCMSD may be ordered to levy taxes despite the statutory limitations on its authority in order to compel the discharge of an obligation imposed on KCMSD by the Fourteenth Amendment. To hold otherwise would fail to take account of the obligations of local governments, under the Supremacy Clause, to fulfill the requirements that the Constitution imposes on them. However wide the discretion of local authorities in fashioning desegregation remedies may be,</w:t>
      </w:r>
    </w:p>
    <w:p w:rsidR="00A31137" w:rsidRPr="00A31137" w:rsidRDefault="00A31137" w:rsidP="00A31137">
      <w:r w:rsidRPr="00A31137">
        <w:t>1990, Missouri v. Jenkins, 495 U.S. 57</w:t>
      </w:r>
    </w:p>
    <w:p w:rsidR="00A31137" w:rsidRPr="00A31137" w:rsidRDefault="00A31137" w:rsidP="00A31137">
      <w:r w:rsidRPr="00A31137">
        <w:t>if a state-imposed limitation on a school authority's discretion operates to inhibit or obstruct the operation of a unitary school system or impede the disestablishing of a dual school system, it must fall; state policy must give way when it operates to hinder vindication of federal constitutional guarantees.</w:t>
      </w:r>
    </w:p>
    <w:p w:rsidR="00A31137" w:rsidRPr="00A31137" w:rsidRDefault="00A31137" w:rsidP="00A31137">
      <w:r w:rsidRPr="00A31137">
        <w:t>1990, Missouri v. Jenkins, 495 U.S. 57</w:t>
      </w:r>
    </w:p>
    <w:p w:rsidR="00A31137" w:rsidRPr="00A31137" w:rsidRDefault="00A31137" w:rsidP="00A31137">
      <w:r w:rsidRPr="00A31137">
        <w:t>North Carolina State Bd of Education v. Swann, 402 U.S. 43,  45 (1971). Even though a particular remedy may not be required in every case to vindicate constitutional guarantees, where (as here) it has been found that a particular remedy is required, the State cannot hinder the [495 U.S. 58] process by preventing a local government from implementing that remedy. 21</w:t>
      </w:r>
    </w:p>
    <w:p w:rsidR="00A31137" w:rsidRPr="00A31137" w:rsidRDefault="00A31137" w:rsidP="00A31137">
      <w:r w:rsidRPr="00A31137">
        <w:t>1990, Missouri v. Jenkins, 495 U.S. 58</w:t>
      </w:r>
    </w:p>
    <w:p w:rsidR="00A31137" w:rsidRPr="00A31137" w:rsidRDefault="00A31137" w:rsidP="00A31137">
      <w:r w:rsidRPr="00A31137">
        <w:t>Accordingly, the judgment of the Court of Appeals is affirmed insofar as it required the District Court to modify its funding order, and reversed insofar as it allowed the tax increase imposed by the District Court to stand. The case is remanded for further proceedings consistent with this opinion.</w:t>
      </w:r>
    </w:p>
    <w:p w:rsidR="00A31137" w:rsidRPr="00A31137" w:rsidRDefault="00A31137" w:rsidP="00A31137">
      <w:r w:rsidRPr="00A31137">
        <w:t>1990, Missouri v. Jenkins, 495 U.S. 58</w:t>
      </w:r>
    </w:p>
    <w:p w:rsidR="00A31137" w:rsidRPr="00A31137" w:rsidRDefault="00A31137" w:rsidP="00A31137">
      <w:r w:rsidRPr="00A31137">
        <w:t>It is so ordered.</w:t>
      </w:r>
    </w:p>
    <w:p w:rsidR="00A31137" w:rsidRPr="00A31137" w:rsidRDefault="00A31137" w:rsidP="00A31137">
      <w:r w:rsidRPr="00A31137">
        <w:t>KENNEDY, J., concurring</w:t>
      </w:r>
    </w:p>
    <w:p w:rsidR="00A31137" w:rsidRPr="00A31137" w:rsidRDefault="00A31137" w:rsidP="00A31137">
      <w:r w:rsidRPr="00A31137">
        <w:t>1990, Missouri v. Jenkins, 495 U.S. 58</w:t>
      </w:r>
    </w:p>
    <w:p w:rsidR="00A31137" w:rsidRPr="00A31137" w:rsidRDefault="00A31137" w:rsidP="00A31137">
      <w:r w:rsidRPr="00A31137">
        <w:t>Justice KENNEDY, with whom THE CHIEF JUSTICE, Justice O'CONNOR, and Justice SCALIA join, concurring in part and concurring in the judgment.</w:t>
      </w:r>
    </w:p>
    <w:p w:rsidR="00A31137" w:rsidRPr="00A31137" w:rsidRDefault="00A31137" w:rsidP="00A31137">
      <w:r w:rsidRPr="00A31137">
        <w:t>1990, Missouri v. Jenkins, 495 U.S. 58</w:t>
      </w:r>
    </w:p>
    <w:p w:rsidR="00A31137" w:rsidRPr="00A31137" w:rsidRDefault="00A31137" w:rsidP="00A31137">
      <w:r w:rsidRPr="00A31137">
        <w:t>In agreement with the Court that we have jurisdiction to decide this case, I join Part II of the opinion. I agree also that the District Court exceeded its authority by attempting to impose a tax. The Court is unanimous in its holding that the Court of Appeals' judgment affirming "the actions that the [district] court has taken to this point," 855 F.2d 1295, 1314 (CA8 1988), must be reversed. This is consistent with our precedents and the basic principles defining judicial power.</w:t>
      </w:r>
    </w:p>
    <w:p w:rsidR="00A31137" w:rsidRPr="00A31137" w:rsidRDefault="00A31137" w:rsidP="00A31137">
      <w:r w:rsidRPr="00A31137">
        <w:t>1990, Missouri v. Jenkins, 495 U.S. 58</w:t>
      </w:r>
    </w:p>
    <w:p w:rsidR="00A31137" w:rsidRPr="00A31137" w:rsidRDefault="00A31137" w:rsidP="00A31137">
      <w:r w:rsidRPr="00A31137">
        <w:t>In my view, however, the Court transgresses these same principles when it goes further, much further, to embrace by broad dictum an expansion of power in the federal judiciary beyond all precedent. Today's casual embrace of taxation imposed by the unelected, life-tenured Federal Judiciary disregards [495 U.S. 59] fundamental precepts for the democratic control of public institutions. I cannot acquiesce in the majority's statements on this point, and, should there arise an actual dispute over the collection of taxes as here contemplated in a case that is not, like this one, premature, we should not confirm the outcome of premises adopted with so little constitutional justification. The Court's statements, in my view, cannot be seen as necessary for its judgment, or as precedent for the future, and I cannot join Parts III and IV of the Court's opinion.</w:t>
      </w:r>
    </w:p>
    <w:p w:rsidR="00A31137" w:rsidRPr="00A31137" w:rsidRDefault="00A31137" w:rsidP="00A31137">
      <w:r w:rsidRPr="00A31137">
        <w:t>I</w:t>
      </w:r>
    </w:p>
    <w:p w:rsidR="00A31137" w:rsidRPr="00A31137" w:rsidRDefault="00A31137" w:rsidP="00A31137">
      <w:r w:rsidRPr="00A31137">
        <w:t>1990, Missouri v. Jenkins, 495 U.S. 59</w:t>
      </w:r>
    </w:p>
    <w:p w:rsidR="00A31137" w:rsidRPr="00A31137" w:rsidRDefault="00A31137" w:rsidP="00A31137">
      <w:r w:rsidRPr="00A31137">
        <w:t>Some essential litigation history is necessary for a full understanding of what is at stake here and what will be wrought if the implications of all the Court's statements are followed to the full extent. The District Court's remedial plan was proposed for the most part by the Kansas City, Missouri, School District (KCMSD) itself, which is in name a defendant in the suit. Defendants, and above all defendants that are public entities, act in the highest and best tradition of our legal system when they acknowledge fault and cooperate to suggest remedies. But in the context of this dispute, it is of vital importance to note the KCMSD demonstrated little concern for the fiscal consequences of the remedy that it helped design.</w:t>
      </w:r>
    </w:p>
    <w:p w:rsidR="00A31137" w:rsidRPr="00A31137" w:rsidRDefault="00A31137" w:rsidP="00A31137">
      <w:r w:rsidRPr="00A31137">
        <w:t>1990, Missouri v. Jenkins, 495 U.S. 59</w:t>
      </w:r>
    </w:p>
    <w:p w:rsidR="00A31137" w:rsidRPr="00A31137" w:rsidRDefault="00A31137" w:rsidP="00A31137">
      <w:r w:rsidRPr="00A31137">
        <w:t>As the District Court acknowledged, the plaintiffs and the KCMSD pursued a "friendly adversary" relationship. Throughout the remedial phase of the litigation, the KCMSD proposed ever more expensive capital improvements with the agreement of the plaintiffs, and the State objected. Some of these improvements involved basic repairs to deteriorating facilities within the school system. The KCMSD, however, devised a broader concept for district-wide improvement, and the District Court approved it. The plan involved a variation of the magnet school concept. Magnet schools, as the majority opinion notes, ante at  40, n. 6, offer special programs, [495 U.S. 60] often used to encourage voluntary movement of students within the district in a pattern that aids desegregation.</w:t>
      </w:r>
    </w:p>
    <w:p w:rsidR="00A31137" w:rsidRPr="00A31137" w:rsidRDefault="00A31137" w:rsidP="00A31137">
      <w:r w:rsidRPr="00A31137">
        <w:t>1990, Missouri v. Jenkins, 495 U.S. 60</w:t>
      </w:r>
    </w:p>
    <w:p w:rsidR="00A31137" w:rsidRPr="00A31137" w:rsidRDefault="00A31137" w:rsidP="00A31137">
      <w:r w:rsidRPr="00A31137">
        <w:t>Although we have approved desegregation plans involving magnet schools of this conventional definition, see Milliken v. Bradley, 433 U.S. 267,  272 (1977), the District Court found this insufficient. App. to Pet. for Cert. 122a. Instead, the court and the KCMSD decided to make a magnet of the district as a whole. The hope was to draw new nonminority students from outside the district. The KCMSD plan adopted by the Court provided that</w:t>
      </w:r>
    </w:p>
    <w:p w:rsidR="00A31137" w:rsidRPr="00A31137" w:rsidRDefault="00A31137" w:rsidP="00A31137">
      <w:r w:rsidRPr="00A31137">
        <w:t>1990, Missouri v. Jenkins, 495 U.S. 60</w:t>
      </w:r>
    </w:p>
    <w:p w:rsidR="00A31137" w:rsidRPr="00A31137" w:rsidRDefault="00A31137" w:rsidP="00A31137">
      <w:r w:rsidRPr="00A31137">
        <w:t>every senior high school, every middle school, and approximately one-half of the elementary schools in the KCMSD will become magnet schools by the school year 1991-92.</w:t>
      </w:r>
    </w:p>
    <w:p w:rsidR="00A31137" w:rsidRPr="00A31137" w:rsidRDefault="00A31137" w:rsidP="00A31137">
      <w:r w:rsidRPr="00A31137">
        <w:t>1990, Missouri v. Jenkins, 495 U.S. 60</w:t>
      </w:r>
    </w:p>
    <w:p w:rsidR="00A31137" w:rsidRPr="00A31137" w:rsidRDefault="00A31137" w:rsidP="00A31137">
      <w:r w:rsidRPr="00A31137">
        <w:t>Id. at 121a. The plan was intended to "improve the quality of education of all KCMSD students." Id. at 103a. The District Court was candid to acknowledge that the</w:t>
      </w:r>
    </w:p>
    <w:p w:rsidR="00A31137" w:rsidRPr="00A31137" w:rsidRDefault="00A31137" w:rsidP="00A31137">
      <w:r w:rsidRPr="00A31137">
        <w:t>1990, Missouri v. Jenkins, 495 U.S. 60</w:t>
      </w:r>
    </w:p>
    <w:p w:rsidR="00A31137" w:rsidRPr="00A31137" w:rsidRDefault="00A31137" w:rsidP="00A31137">
      <w:r w:rsidRPr="00A31137">
        <w:t>long-term goal of this Court's remedial order is to make available to all KCMSD students educational opportunities equal to or greater than those presently available in the average Kansas City, Missouri metropolitan suburban school district.</w:t>
      </w:r>
    </w:p>
    <w:p w:rsidR="00A31137" w:rsidRPr="00A31137" w:rsidRDefault="00A31137" w:rsidP="00A31137">
      <w:r w:rsidRPr="00A31137">
        <w:t>1990, Missouri v. Jenkins, 495 U.S. 60</w:t>
      </w:r>
    </w:p>
    <w:p w:rsidR="00A31137" w:rsidRPr="00A31137" w:rsidRDefault="00A31137" w:rsidP="00A31137">
      <w:r w:rsidRPr="00A31137">
        <w:t>Id. at 145a-146a (emphasis in original).</w:t>
      </w:r>
    </w:p>
    <w:p w:rsidR="00A31137" w:rsidRPr="00A31137" w:rsidRDefault="00A31137" w:rsidP="00A31137">
      <w:r w:rsidRPr="00A31137">
        <w:t>1990, Missouri v. Jenkins, 495 U.S. 60</w:t>
      </w:r>
    </w:p>
    <w:p w:rsidR="00A31137" w:rsidRPr="00A31137" w:rsidRDefault="00A31137" w:rsidP="00A31137">
      <w:r w:rsidRPr="00A31137">
        <w:t>It comes as no surprise that the cost of this approach to the remedy far exceeded KCMSD's budget, or, for that matter, its authority to tax. A few examples are illustrative. Programs such as a "performing arts middle school," id. at 118a, a "technical magnet high school" that "will offer programs ranging from heating and air conditioning to cosmetology to robotics," id. at 75a, were approved. The plan also included a "25-acre farm and 25-acre wildland area" for science study. Id. at 20a. The Court rejected various proposals by the State to make "capital improvements necessary to eliminate health and safety hazards and to provide a good learning environment," because these proposals failed to "consider the criteria of suburban comparability." Id. at 70a. The District Court stated:</w:t>
      </w:r>
    </w:p>
    <w:p w:rsidR="00A31137" w:rsidRPr="00A31137" w:rsidRDefault="00A31137" w:rsidP="00A31137">
      <w:r w:rsidRPr="00A31137">
        <w:t>1990, Missouri v. Jenkins, 495 U.S. 60</w:t>
      </w:r>
    </w:p>
    <w:p w:rsidR="00A31137" w:rsidRPr="00A31137" w:rsidRDefault="00A31137" w:rsidP="00A31137">
      <w:r w:rsidRPr="00A31137">
        <w:t>This "patch and repair" approach proposed by the State would not achieve suburban comparability or the [495 U.S. 61] visual attractiveness sought by the Court, as it would result in floor coverings with unsightly sections of mismatched carpeting and tile, and individual walls possessing different shades of paint.</w:t>
      </w:r>
    </w:p>
    <w:p w:rsidR="00A31137" w:rsidRPr="00A31137" w:rsidRDefault="00A31137" w:rsidP="00A31137">
      <w:r w:rsidRPr="00A31137">
        <w:t>1990, Missouri v. Jenkins, 495 U.S. 61</w:t>
      </w:r>
    </w:p>
    <w:p w:rsidR="00A31137" w:rsidRPr="00A31137" w:rsidRDefault="00A31137" w:rsidP="00A31137">
      <w:r w:rsidRPr="00A31137">
        <w:t>Id. at 70a. Finding that construction of new schools would result in more "attractive" facilities than renovation of existing ones, the District Court approved new construction at a cost ranging from $61.80 per square foot to $95.70 per square foot, as distinct from renovation at $45 per square foot. Id. at 76a.</w:t>
      </w:r>
    </w:p>
    <w:p w:rsidR="00A31137" w:rsidRPr="00A31137" w:rsidRDefault="00A31137" w:rsidP="00A31137">
      <w:r w:rsidRPr="00A31137">
        <w:t>1990, Missouri v. Jenkins, 495 U.S. 61</w:t>
      </w:r>
    </w:p>
    <w:p w:rsidR="00A31137" w:rsidRPr="00A31137" w:rsidRDefault="00A31137" w:rsidP="00A31137">
      <w:r w:rsidRPr="00A31137">
        <w:t>By the time of the order at issue here, the District Court's remedies included some "$260 million in capital improvements and a magnet school plan costing over $200 million." Missouri v. Jenkins, 491 U.S. 274, 276 (1989). And the remedial orders grew more expensive as shortfalls in revenue became more severe. As the Eighth Circuit judges dissenting from denial of rehearing in banc put it:</w:t>
      </w:r>
    </w:p>
    <w:p w:rsidR="00A31137" w:rsidRPr="00A31137" w:rsidRDefault="00A31137" w:rsidP="00A31137">
      <w:r w:rsidRPr="00A31137">
        <w:t>1990, Missouri v. Jenkins, 495 U.S. 61</w:t>
      </w:r>
    </w:p>
    <w:p w:rsidR="00A31137" w:rsidRPr="00A31137" w:rsidRDefault="00A31137" w:rsidP="00A31137">
      <w:r w:rsidRPr="00A31137">
        <w:t>The remedies ordered go far beyond anything previously seen in a school desegregation case. The sheer immensity of the programs encompassed by the district court's order—the large number of magnet schools and the quantity of capital renovations and new construction—are concededly without parallel in any other school district in the country.</w:t>
      </w:r>
    </w:p>
    <w:p w:rsidR="00A31137" w:rsidRPr="00A31137" w:rsidRDefault="00A31137" w:rsidP="00A31137">
      <w:r w:rsidRPr="00A31137">
        <w:t>1990, Missouri v. Jenkins, 495 U.S. 61</w:t>
      </w:r>
    </w:p>
    <w:p w:rsidR="00A31137" w:rsidRPr="00A31137" w:rsidRDefault="00A31137" w:rsidP="00A31137">
      <w:r w:rsidRPr="00A31137">
        <w:t>855 F.2d at 1318-1319.</w:t>
      </w:r>
    </w:p>
    <w:p w:rsidR="00A31137" w:rsidRPr="00A31137" w:rsidRDefault="00A31137" w:rsidP="00A31137">
      <w:r w:rsidRPr="00A31137">
        <w:t>1990, Missouri v. Jenkins, 495 U.S. 61</w:t>
      </w:r>
    </w:p>
    <w:p w:rsidR="00A31137" w:rsidRPr="00A31137" w:rsidRDefault="00A31137" w:rsidP="00A31137">
      <w:r w:rsidRPr="00A31137">
        <w:t>The judicial taxation approved by the Eighth Circuit is also without parallel. Other Circuits that have faced funding problems arising from remedial decrees have concluded that, while courts have undoubted power to order that schools operate in compliance with the Constitution, the manner and methods of school financing are beyond federal judicial authority. See National City Bank v. Battisti, 581 F.2d 565 (CA6 1977); Plaquemines Parish School Bd. v. United States, 415 F.2d 817 (CA5 1969). The Third Circuit, while leaving open the possibility that in some situations a court-ordered tax might be appropriate, has also declined to approve judicial interference in taxation. Evans v. Buchanan, 582 F.2d 750 (1978), cert. denied, sub nom. Alexis I. DuPont [495 U.S. 62] School Dist. v. Evans, 447 U.S. 916 (1980). The Sixth Circuit, in a somewhat different context, has recognized the severe intrusion caused by federal court interference in state and local financing. Kelley v. Metropolitan County Bd. of Education of Nashville and Davidson County, Tenn., 836 F.2d 986 (1987), cert. denied, 487 U.S. 1206 (1988).</w:t>
      </w:r>
    </w:p>
    <w:p w:rsidR="00A31137" w:rsidRPr="00A31137" w:rsidRDefault="00A31137" w:rsidP="00A31137">
      <w:r w:rsidRPr="00A31137">
        <w:t>1990, Missouri v. Jenkins, 495 U.S. 62</w:t>
      </w:r>
    </w:p>
    <w:p w:rsidR="00A31137" w:rsidRPr="00A31137" w:rsidRDefault="00A31137" w:rsidP="00A31137">
      <w:r w:rsidRPr="00A31137">
        <w:t>Unlike these other courts, the Eighth Circuit has endorsed judicial taxation, first in dicta from cases in which taxation orders were in fact disapproved. United States v Missouri, 515 F.2d 1365, 1372-1373 (1975) (District Court may "implement its desegregation order by directing that provision be made for the levying of taxes"); Liddell v. Missouri, 731 F.2d 1294, 1320 (CA8), cert. denied, sub nom. Leggett v. Liddell, 469 U.S. 816 (1984) (District Court may impose tax "after exploration of every other fiscal alternative"). The case before us represents the first in which a lower federal court has in fact upheld taxation to fund a remedial decree.</w:t>
      </w:r>
    </w:p>
    <w:p w:rsidR="00A31137" w:rsidRPr="00A31137" w:rsidRDefault="00A31137" w:rsidP="00A31137">
      <w:r w:rsidRPr="00A31137">
        <w:t>1990, Missouri v. Jenkins, 495 U.S. 62</w:t>
      </w:r>
    </w:p>
    <w:p w:rsidR="00A31137" w:rsidRPr="00A31137" w:rsidRDefault="00A31137" w:rsidP="00A31137">
      <w:r w:rsidRPr="00A31137">
        <w:t>For reasons explained below, I agree with the Court that the Eighth Circuit's judgment affirming the District Court's direct levy of a property tax must be reversed. I cannot agree, however, that we "stand on different ground when we review the modifications to the District Court's order made by the Court of Appeals," ante at  52. At the outset, it must be noted that the Court of Appeals made no "modifications" to the District Court's order. Rather, it affirmed "the actions that the court has taken to this point." 855 F.2d at 1314. It is true that the Court of Appeals went on "to consider the procedures which the district court should use in the future." Ibid. (emphasis added). But the Court of Appeals' entire discussion of "a preferable method for future funding," ibid., can be considered no more than dictum, the court itself having already upheld the District Court's actions to date. No other order of the District Court was before the Court of Appeals.</w:t>
      </w:r>
    </w:p>
    <w:p w:rsidR="00A31137" w:rsidRPr="00A31137" w:rsidRDefault="00A31137" w:rsidP="00A31137">
      <w:r w:rsidRPr="00A31137">
        <w:t>1990, Missouri v. Jenkins, 495 U.S. 62</w:t>
      </w:r>
    </w:p>
    <w:p w:rsidR="00A31137" w:rsidRPr="00A31137" w:rsidRDefault="00A31137" w:rsidP="00A31137">
      <w:r w:rsidRPr="00A31137">
        <w:t>The Court states that the Court of Appeals' discussion of future taxation was not dictum because, although the Court of [495 U.S. 63] Appeals "did not require the District Court to reverse the tax increase that it had imposed for prior fiscal years," it "required the District Court to use the less obtrusive procedures beginning with the fiscal year commencing after the remand." Ante at 52-53, n. 18. But no such distinction is found in the Court of Appeals' opinion. Rather, the court "affirm[ed] the actions that the [district] court has taken to this point," which included the District Court's October 27, 1987, order increasing property taxes in the KCMSD through the end of fiscal year 1991-1992.   The District Court's January 3, 1989 order does not support, but refutes, the Court's characterization. The District Court rejected a request by the KCMSD to increase the property tax rate using the method endorsed by the Eighth Circuit from $4.00 to $4.23 per $100 of assessed valuation. The District Court reasoned that an increase in 1988 property taxes would be difficult to administer and cause resentment among taxpayers, and that an increase in 1989 property taxes would be premature because it was not yet known whether an increase would be necessary to fund expenditures. App. 511-512. In rejecting the KCMSD's request, the District Court left in effect the $4.00 rate it had established in its October 27, 1987, order.</w:t>
      </w:r>
    </w:p>
    <w:p w:rsidR="00A31137" w:rsidRPr="00A31137" w:rsidRDefault="00A31137" w:rsidP="00A31137">
      <w:r w:rsidRPr="00A31137">
        <w:t>1990, Missouri v. Jenkins, 495 U.S. 63</w:t>
      </w:r>
    </w:p>
    <w:p w:rsidR="00A31137" w:rsidRPr="00A31137" w:rsidRDefault="00A31137" w:rsidP="00A31137">
      <w:r w:rsidRPr="00A31137">
        <w:t>Whatever the Court thinks of the Court of Appeals' opinion, the District Court, on remand, appears to have thought it was under no compulsion to disturb its existing order establishing the $4.00 property tax rate through fiscal year 1991-1992 unless and until it became necessary to raise property taxes even higher. The Court's discussion today, and its stated approval of the "method for future funding" found "preferable" by the Court of Appeals, is unnecessary for the decision in this case. As the Court chooses to discuss the question of future taxation, however, I must state my respectful disagreement with its analysis and conclusions on this vital question.</w:t>
      </w:r>
    </w:p>
    <w:p w:rsidR="00A31137" w:rsidRPr="00A31137" w:rsidRDefault="00A31137" w:rsidP="00A31137">
      <w:r w:rsidRPr="00A31137">
        <w:t>1990, Missouri v. Jenkins, 495 U.S. 63</w:t>
      </w:r>
    </w:p>
    <w:p w:rsidR="00A31137" w:rsidRPr="00A31137" w:rsidRDefault="00A31137" w:rsidP="00A31137">
      <w:r w:rsidRPr="00A31137">
        <w:t>The premise of the Court's analysis, I submit, is infirm. Any purported distinction between direct imposition of a tax [495 U.S. 64] by the federal court and an order commanding the school district to impose the tax is but a convenient formalism where the court's action is predicated on elimination of state law limitations on the school district's taxing authority. As the Court describes it, the local KCMSD possesses plenary taxing powers which allow it to impose any tax it chooses if not "hinder[ed]" by the Missouri Constitution and state statutes. Ante at 57. This puts the conclusion before the premise. Local government bodies in Missouri, as elsewhere, must derive their power from a sovereign, and that sovereign is the State of Missouri.   See Mo. Const., Art. X, § 1 (political subdivisions may exercise only "[tax] power granted to them" by Missouri General Assembly). Under Missouri law, the KCMSD has power to impose a limited property tax levy up to $1.25 per $100 of assessed value. The power to exact a higher rate of property tax remains with the people, a majority of whom must agree to empower the KCMSD to increase the levy up to $3.75 per $100, and two-thirds of whom must agree for the levy to go higher. See Mo. Const., Art. X, §§ 11(b), (c). The Missouri Constitution states that</w:t>
      </w:r>
    </w:p>
    <w:p w:rsidR="00A31137" w:rsidRPr="00A31137" w:rsidRDefault="00A31137" w:rsidP="00A31137">
      <w:r w:rsidRPr="00A31137">
        <w:t>1990, Missouri v. Jenkins, 495 U.S. 64</w:t>
      </w:r>
    </w:p>
    <w:p w:rsidR="00A31137" w:rsidRPr="00A31137" w:rsidRDefault="00A31137" w:rsidP="00A31137">
      <w:r w:rsidRPr="00A31137">
        <w:t>[p]roperty taxes and other local taxes may not be increased above the limitations specified herein without direct voter approval as provided by this constitution.</w:t>
      </w:r>
    </w:p>
    <w:p w:rsidR="00A31137" w:rsidRPr="00A31137" w:rsidRDefault="00A31137" w:rsidP="00A31137">
      <w:r w:rsidRPr="00A31137">
        <w:t>1990, Missouri v. Jenkins, 495 U.S. 64</w:t>
      </w:r>
    </w:p>
    <w:p w:rsidR="00A31137" w:rsidRPr="00A31137" w:rsidRDefault="00A31137" w:rsidP="00A31137">
      <w:r w:rsidRPr="00A31137">
        <w:t>Mo. Const., Art. X, § 16.</w:t>
      </w:r>
    </w:p>
    <w:p w:rsidR="00A31137" w:rsidRPr="00A31137" w:rsidRDefault="00A31137" w:rsidP="00A31137">
      <w:r w:rsidRPr="00A31137">
        <w:t>1990, Missouri v. Jenkins, 495 U.S. 64</w:t>
      </w:r>
    </w:p>
    <w:p w:rsidR="00A31137" w:rsidRPr="00A31137" w:rsidRDefault="00A31137" w:rsidP="00A31137">
      <w:r w:rsidRPr="00A31137">
        <w:t>For this reason, I reject the artificial suggestion that the District Court may by "prevent[ing]…officials from applying state law that would interfere with the willing levy of property taxes by KCMSD," ante at  56, n. 20, cause the KCMSD to exercise power under state law. State laws, including taxation provisions legitimate and constitutional in themselves, define the power of the KCMSD. Cf. Washington v. Washington State Commercial Passenger Fishing Vessel Assn., 443 U.S. 658, 695 (1979) (whether a state agency "may be ordered actually to promulgate regulations having effect as a matter of state law may well be doubtful"). Absent a change in state law, no increase in property taxes could take [495 U.S. 65] place in the KCMSD without a federal court order. It makes no difference that the KCMSD stands "ready, willing, and…able" to impose a tax not authorized by state law. Ante at 51. Whatever taxing power the KCMSD may exercise outside the boundaries of state law would derive from the federal court. The Court never confronts the judicial authority to issue an order for this purpose. Absent a change in state law, the tax is imposed by federal authority under a federal decree. The question is whether a district court possesses a power to tax under federal law, either directly or through delegation to the KCMSD.</w:t>
      </w:r>
    </w:p>
    <w:p w:rsidR="00A31137" w:rsidRPr="00A31137" w:rsidRDefault="00A31137" w:rsidP="00A31137">
      <w:r w:rsidRPr="00A31137">
        <w:t>II</w:t>
      </w:r>
    </w:p>
    <w:p w:rsidR="00A31137" w:rsidRPr="00A31137" w:rsidRDefault="00A31137" w:rsidP="00A31137">
      <w:r w:rsidRPr="00A31137">
        <w:t>1990, Missouri v. Jenkins, 495 U.S. 65</w:t>
      </w:r>
    </w:p>
    <w:p w:rsidR="00A31137" w:rsidRPr="00A31137" w:rsidRDefault="00A31137" w:rsidP="00A31137">
      <w:r w:rsidRPr="00A31137">
        <w:t>Article III of the Constitution states that</w:t>
      </w:r>
    </w:p>
    <w:p w:rsidR="00A31137" w:rsidRPr="00A31137" w:rsidRDefault="00A31137" w:rsidP="00A31137">
      <w:r w:rsidRPr="00A31137">
        <w:t>1990, Missouri v. Jenkins, 495 U.S. 65</w:t>
      </w:r>
    </w:p>
    <w:p w:rsidR="00A31137" w:rsidRPr="00A31137" w:rsidRDefault="00A31137" w:rsidP="00A31137">
      <w:r w:rsidRPr="00A31137">
        <w:t>[t]he judicial Power of the United States, shall be vested in one supreme Court, and in such inferior Courts as the Congress may from time to time ordain and establish.</w:t>
      </w:r>
    </w:p>
    <w:p w:rsidR="00A31137" w:rsidRPr="00A31137" w:rsidRDefault="00A31137" w:rsidP="00A31137">
      <w:r w:rsidRPr="00A31137">
        <w:t>1990, Missouri v. Jenkins, 495 U.S. 65</w:t>
      </w:r>
    </w:p>
    <w:p w:rsidR="00A31137" w:rsidRPr="00A31137" w:rsidRDefault="00A31137" w:rsidP="00A31137">
      <w:r w:rsidRPr="00A31137">
        <w:t>The description of the judicial power nowhere includes the word "tax," or anything that resembles it. This reflects the Framers' understanding that taxation was not a proper area for judicial involvement.</w:t>
      </w:r>
    </w:p>
    <w:p w:rsidR="00A31137" w:rsidRPr="00A31137" w:rsidRDefault="00A31137" w:rsidP="00A31137">
      <w:r w:rsidRPr="00A31137">
        <w:t>1990, Missouri v. Jenkins, 495 U.S. 65</w:t>
      </w:r>
    </w:p>
    <w:p w:rsidR="00A31137" w:rsidRPr="00A31137" w:rsidRDefault="00A31137" w:rsidP="00A31137">
      <w:r w:rsidRPr="00A31137">
        <w:t>The judiciary…has no influence over either the sword or the purse, no direction either of the strength or of the wealth of the society, and can take no active resolution whatever.</w:t>
      </w:r>
    </w:p>
    <w:p w:rsidR="00A31137" w:rsidRPr="00A31137" w:rsidRDefault="00A31137" w:rsidP="00A31137">
      <w:r w:rsidRPr="00A31137">
        <w:t>1990, Missouri v. Jenkins, 495 U.S. 65</w:t>
      </w:r>
    </w:p>
    <w:p w:rsidR="00A31137" w:rsidRPr="00A31137" w:rsidRDefault="00A31137" w:rsidP="00A31137">
      <w:r w:rsidRPr="00A31137">
        <w:t>The Federalist No. 78, p. 523 (J. Cooke ed. 1961) (A. Hamilton).</w:t>
      </w:r>
    </w:p>
    <w:p w:rsidR="00A31137" w:rsidRPr="00A31137" w:rsidRDefault="00A31137" w:rsidP="00A31137">
      <w:r w:rsidRPr="00A31137">
        <w:t>1990, Missouri v. Jenkins, 495 U.S. 65</w:t>
      </w:r>
    </w:p>
    <w:p w:rsidR="00A31137" w:rsidRPr="00A31137" w:rsidRDefault="00A31137" w:rsidP="00A31137">
      <w:r w:rsidRPr="00A31137">
        <w:t xml:space="preserve">Our cases throughout the years leave no doubt that taxation is not a judicial function. Last Term, we rejected the invitation to cure an unconstitutional tax scheme by broadening the class of those taxed. We said that such a remedy "could be construed as the direct imposition of a state tax, a remedy beyond the power of a federal court." Davis v. Michigan Dept. of Treasury, 489 U.S. 803, 818 (1989). Our statement in Davis rested on the explicit holding in Moses Lake Homes v. Grant County, 365 U.S. 744 (1961), in which we reversed a judgment directing a District Court to decree a valid tax in place of an invalid one that the State had attempted to enforce: [495 U.S. 66] </w:t>
      </w:r>
    </w:p>
    <w:p w:rsidR="00A31137" w:rsidRPr="00A31137" w:rsidRDefault="00A31137" w:rsidP="00A31137">
      <w:r w:rsidRPr="00A31137">
        <w:t>1990, Missouri v. Jenkins, 495 U.S. 66</w:t>
      </w:r>
    </w:p>
    <w:p w:rsidR="00A31137" w:rsidRPr="00A31137" w:rsidRDefault="00A31137" w:rsidP="00A31137">
      <w:r w:rsidRPr="00A31137">
        <w:t>The effect of the Court's remand was to direct the District Court to decree a valid tax for the invalid one which the State had attempted to exact. The District Court has no power so to decree. Federal courts may not assess or levy taxes. Only the appropriate taxing officials of Grant County may assess and levy taxes on these leaseholds, and the federal courts may determine, within their jurisdiction, only whether the tax levied by those officials is or is not a valid one.</w:t>
      </w:r>
    </w:p>
    <w:p w:rsidR="00A31137" w:rsidRPr="00A31137" w:rsidRDefault="00A31137" w:rsidP="00A31137">
      <w:r w:rsidRPr="00A31137">
        <w:t>1990, Missouri v. Jenkins, 495 U.S. 66</w:t>
      </w:r>
    </w:p>
    <w:p w:rsidR="00A31137" w:rsidRPr="00A31137" w:rsidRDefault="00A31137" w:rsidP="00A31137">
      <w:r w:rsidRPr="00A31137">
        <w:t>Id. at 752.</w:t>
      </w:r>
    </w:p>
    <w:p w:rsidR="00A31137" w:rsidRPr="00A31137" w:rsidRDefault="00A31137" w:rsidP="00A31137">
      <w:r w:rsidRPr="00A31137">
        <w:t>1990, Missouri v. Jenkins, 495 U.S. 66</w:t>
      </w:r>
    </w:p>
    <w:p w:rsidR="00A31137" w:rsidRPr="00A31137" w:rsidRDefault="00A31137" w:rsidP="00A31137">
      <w:r w:rsidRPr="00A31137">
        <w:t>The nature of the District Court's order here reveals that it is not a proper exercise of the judicial power. The exercise of judicial power involves adjudication of controversies and imposition of burdens on those who are parties before the Court. The order at issue here is not of this character. It binds the broad class of all KCMSD taxpayers. It has the purpose and direct effect of extracting money from persons who have had no presence or representation in the suit. For this reason, the District Court's direct order imposing a tax was more than an abuse of discretion, for any attempt to collect the taxes from the citizens would have been a blatant denial of due process.</w:t>
      </w:r>
    </w:p>
    <w:p w:rsidR="00A31137" w:rsidRPr="00A31137" w:rsidRDefault="00A31137" w:rsidP="00A31137">
      <w:r w:rsidRPr="00A31137">
        <w:t>1990, Missouri v. Jenkins, 495 U.S. 66</w:t>
      </w:r>
    </w:p>
    <w:p w:rsidR="00A31137" w:rsidRPr="00A31137" w:rsidRDefault="00A31137" w:rsidP="00A31137">
      <w:r w:rsidRPr="00A31137">
        <w:t>Taxation by a legislature raises no due process concerns, for the citizens</w:t>
      </w:r>
    </w:p>
    <w:p w:rsidR="00A31137" w:rsidRPr="00A31137" w:rsidRDefault="00A31137" w:rsidP="00A31137">
      <w:r w:rsidRPr="00A31137">
        <w:t>1990, Missouri v. Jenkins, 495 U.S. 66</w:t>
      </w:r>
    </w:p>
    <w:p w:rsidR="00A31137" w:rsidRPr="00A31137" w:rsidRDefault="00A31137" w:rsidP="00A31137">
      <w:r w:rsidRPr="00A31137">
        <w:t>rights are protected in the only way that they can be in a complex society, by their power, immediate or remote, over those who make the rule.</w:t>
      </w:r>
    </w:p>
    <w:p w:rsidR="00A31137" w:rsidRPr="00A31137" w:rsidRDefault="00A31137" w:rsidP="00A31137">
      <w:r w:rsidRPr="00A31137">
        <w:t>1990, Missouri v. Jenkins, 495 U.S. 66</w:t>
      </w:r>
    </w:p>
    <w:p w:rsidR="00A31137" w:rsidRPr="00A31137" w:rsidRDefault="00A31137" w:rsidP="00A31137">
      <w:r w:rsidRPr="00A31137">
        <w:t>Bi-Metallic Co. v. Colorado State Bd. of Equalization, 239 U.S. 441, 445 (1915). The citizens who are taxed are given notice and a hearing through their representatives, whose power is a direct manifestation of the citizens' consent. A true exercise of judicial power provides due process of another sort. Where money is extracted from parties by a court's judgment, the adjudication itself provides the notice and opportunity to be heard that due process demands before a citizen may be deprived of property.</w:t>
      </w:r>
    </w:p>
    <w:p w:rsidR="00A31137" w:rsidRPr="00A31137" w:rsidRDefault="00A31137" w:rsidP="00A31137">
      <w:r w:rsidRPr="00A31137">
        <w:t>1990, Missouri v. Jenkins, 495 U.S. 66</w:t>
      </w:r>
    </w:p>
    <w:p w:rsidR="00A31137" w:rsidRPr="00A31137" w:rsidRDefault="00A31137" w:rsidP="00A31137">
      <w:r w:rsidRPr="00A31137">
        <w:t>The order here provides neither of these protections. Where a tax is imposed by a governmental body other than [495 U.S. 67] the legislature, even an administrative agency to which the legislature has delegated taxing authority, due process requires notice to the citizens to be taxed and some opportunity to be heard. See, e.g., Londoner v. Denver, 210 U.S. 373, 385-386 (1908). The citizens whose tax bills would have been doubled under the District Court's direct tax order would not have had these protections. The taxes were imposed by a District Court that was not "representative" in any sense, and the individual citizens of the KCMSD whose property (they later learned) was at stake were neither served with process nor heard in court. The method of taxation endorsed by today's dicta suffers the same flaw, for a district court order that overrides the citizens' state law protection against taxation without referendum approval can in no sense provide representational due process. No one suggests the KCMSD taxpayers are parties.</w:t>
      </w:r>
    </w:p>
    <w:p w:rsidR="00A31137" w:rsidRPr="00A31137" w:rsidRDefault="00A31137" w:rsidP="00A31137">
      <w:r w:rsidRPr="00A31137">
        <w:t>1990, Missouri v. Jenkins, 495 U.S. 67</w:t>
      </w:r>
    </w:p>
    <w:p w:rsidR="00A31137" w:rsidRPr="00A31137" w:rsidRDefault="00A31137" w:rsidP="00A31137">
      <w:r w:rsidRPr="00A31137">
        <w:t>A judicial taxation order is but an attempt to exercise a power that always has been thought legislative in nature. The location of the federal taxing power sheds light on today's attempt to approve judicial taxation at the local level. Article I, § 1 states that</w:t>
      </w:r>
    </w:p>
    <w:p w:rsidR="00A31137" w:rsidRPr="00A31137" w:rsidRDefault="00A31137" w:rsidP="00A31137">
      <w:r w:rsidRPr="00A31137">
        <w:t>1990, Missouri v. Jenkins, 495 U.S. 67</w:t>
      </w:r>
    </w:p>
    <w:p w:rsidR="00A31137" w:rsidRPr="00A31137" w:rsidRDefault="00A31137" w:rsidP="00A31137">
      <w:r w:rsidRPr="00A31137">
        <w:t>[a]ll legislative Powers herein granted shall be vested in a Congress of the United States, which shall consist of a Senate and House of Representatives….</w:t>
      </w:r>
    </w:p>
    <w:p w:rsidR="00A31137" w:rsidRPr="00A31137" w:rsidRDefault="00A31137" w:rsidP="00A31137">
      <w:r w:rsidRPr="00A31137">
        <w:t>1990, Missouri v. Jenkins, 495 U.S. 67</w:t>
      </w:r>
    </w:p>
    <w:p w:rsidR="00A31137" w:rsidRPr="00A31137" w:rsidRDefault="00A31137" w:rsidP="00A31137">
      <w:r w:rsidRPr="00A31137">
        <w:t>(Emphasis added.) The list of legislative powers in Article I, § 8, cl. 1 begins with the statement that "[t]he Congress shall have Power To lay and collect Taxes…. " As we have said, "[t]axation is a legislative function, and Congress…is the sole organ for levying taxes." National Cable Television Assn. Inc. v. United States, 415 U.S. 336, 340 (1974) (citing Article I, § 8, cl. 1).</w:t>
      </w:r>
    </w:p>
    <w:p w:rsidR="00A31137" w:rsidRPr="00A31137" w:rsidRDefault="00A31137" w:rsidP="00A31137">
      <w:r w:rsidRPr="00A31137">
        <w:t>1990, Missouri v. Jenkins, 495 U.S. 67</w:t>
      </w:r>
    </w:p>
    <w:p w:rsidR="00A31137" w:rsidRPr="00A31137" w:rsidRDefault="00A31137" w:rsidP="00A31137">
      <w:r w:rsidRPr="00A31137">
        <w:t>True, today's case is not an instance of one branch of the Federal Government invading the province of another. It is instead one that brings the weight of federal authority upon a local government and a State. This does not detract, however, from the fundamental point that the judiciary is not free to exercise all federal power; it may exercise only the [495 U.S. 68] judicial power. And the important effects of the taxation order discussed here raise additional federalism concerns that counsel against the Court's analysis.</w:t>
      </w:r>
    </w:p>
    <w:p w:rsidR="00A31137" w:rsidRPr="00A31137" w:rsidRDefault="00A31137" w:rsidP="00A31137">
      <w:r w:rsidRPr="00A31137">
        <w:t>1990, Missouri v. Jenkins, 495 U.S. 68</w:t>
      </w:r>
    </w:p>
    <w:p w:rsidR="00A31137" w:rsidRPr="00A31137" w:rsidRDefault="00A31137" w:rsidP="00A31137">
      <w:r w:rsidRPr="00A31137">
        <w:t>In perhaps the leading case concerning desegregation remedies, Milliken v. Bradley, 433 U.S. 267 (1977), we upheld a prospective remedial plan, not a "money judgment," ante at  54, against a State's claim that principles of federalism had been ignored in the plan's implementation. In so doing the Court emphasized that the District Court had</w:t>
      </w:r>
    </w:p>
    <w:p w:rsidR="00A31137" w:rsidRPr="00A31137" w:rsidRDefault="00A31137" w:rsidP="00A31137">
      <w:r w:rsidRPr="00A31137">
        <w:t>1990, Missouri v. Jenkins, 495 U.S. 68</w:t>
      </w:r>
    </w:p>
    <w:p w:rsidR="00A31137" w:rsidRPr="00A31137" w:rsidRDefault="00A31137" w:rsidP="00A31137">
      <w:r w:rsidRPr="00A31137">
        <w:t>neither attempted to restructure local governmental entities nor to mandate a particular method or structure of state or local financing.</w:t>
      </w:r>
    </w:p>
    <w:p w:rsidR="00A31137" w:rsidRPr="00A31137" w:rsidRDefault="00A31137" w:rsidP="00A31137">
      <w:r w:rsidRPr="00A31137">
        <w:t>1990, Missouri v. Jenkins, 495 U.S. 68</w:t>
      </w:r>
    </w:p>
    <w:p w:rsidR="00A31137" w:rsidRPr="00A31137" w:rsidRDefault="00A31137" w:rsidP="00A31137">
      <w:r w:rsidRPr="00A31137">
        <w:t>433 U.S. at  291. No such assurances emerge from today's decision, which endorses federal court intrusion into these precise matters. Our statement in a case decided more than 100 years ago should apply here.</w:t>
      </w:r>
    </w:p>
    <w:p w:rsidR="00A31137" w:rsidRPr="00A31137" w:rsidRDefault="00A31137" w:rsidP="00A31137">
      <w:r w:rsidRPr="00A31137">
        <w:t>1990, Missouri v. Jenkins, 495 U.S. 68</w:t>
      </w:r>
    </w:p>
    <w:p w:rsidR="00A31137" w:rsidRPr="00A31137" w:rsidRDefault="00A31137" w:rsidP="00A31137">
      <w:r w:rsidRPr="00A31137">
        <w:t>This power to impose burdens and raise money is the highest attribute of sovereignty, and is exercised, first, to raise money for public purposes only; and, second, by the power of legislative authority only. It is a power that has not been extended to the judiciary. Especially is it beyond the power of the Federal judiciary to assume the place of a State in the exercise of this authority at once so delicate and so important.</w:t>
      </w:r>
    </w:p>
    <w:p w:rsidR="00A31137" w:rsidRPr="00A31137" w:rsidRDefault="00A31137" w:rsidP="00A31137">
      <w:r w:rsidRPr="00A31137">
        <w:t>1990, Missouri v. Jenkins, 495 U.S. 68</w:t>
      </w:r>
    </w:p>
    <w:p w:rsidR="00A31137" w:rsidRPr="00A31137" w:rsidRDefault="00A31137" w:rsidP="00A31137">
      <w:r w:rsidRPr="00A31137">
        <w:t>Rees v. City of Watertown, 19 Wall. 107, 116-117 (1874).</w:t>
      </w:r>
    </w:p>
    <w:p w:rsidR="00A31137" w:rsidRPr="00A31137" w:rsidRDefault="00A31137" w:rsidP="00A31137">
      <w:r w:rsidRPr="00A31137">
        <w:t>1990, Missouri v. Jenkins, 495 U.S. 68</w:t>
      </w:r>
    </w:p>
    <w:p w:rsidR="00A31137" w:rsidRPr="00A31137" w:rsidRDefault="00A31137" w:rsidP="00A31137">
      <w:r w:rsidRPr="00A31137">
        <w:t>The confinement of taxation to the legislative branches, both in our Federal and State Governments, was not random. It reflected our ideal that the power of taxation must be under the control of those who are taxed. This truth animated all our colonial and revolutionary history.</w:t>
      </w:r>
    </w:p>
    <w:p w:rsidR="00A31137" w:rsidRPr="00A31137" w:rsidRDefault="00A31137" w:rsidP="00A31137">
      <w:r w:rsidRPr="00A31137">
        <w:t>1990, Missouri v. Jenkins, 495 U.S. 68</w:t>
      </w:r>
    </w:p>
    <w:p w:rsidR="00A31137" w:rsidRPr="00A31137" w:rsidRDefault="00A31137" w:rsidP="00A31137">
      <w:r w:rsidRPr="00A31137">
        <w:t>Your Memorialists conceive it to be a fundamental Principle…without which Freedom can no Where exist, that the People are not subject to any Taxes but such as are laid on them by their own Consent, or by those who are legally appointed to represent them: Property must become too precarious for the Genius of a free People [495 U.S. 69] which can be taken from them at the Will of others, who cannot know what Taxes such people can bear, or the easiest Mode of raising them; and who are not under that Restraint, which is the greatest Security against a burthensome Taxation, when the Representatives themselves must be affected by every tax imposed on the People.</w:t>
      </w:r>
    </w:p>
    <w:p w:rsidR="00A31137" w:rsidRPr="00A31137" w:rsidRDefault="00A31137" w:rsidP="00A31137">
      <w:r w:rsidRPr="00A31137">
        <w:t>1990, Missouri v. Jenkins, 495 U.S. 69</w:t>
      </w:r>
    </w:p>
    <w:p w:rsidR="00A31137" w:rsidRPr="00A31137" w:rsidRDefault="00A31137" w:rsidP="00A31137">
      <w:r w:rsidRPr="00A31137">
        <w:t>Virginia Petitions to King and Parliament, December 18, 1764, reprinted in The Stamp Act Crisis 41 (E. Morgan ed. 1952).</w:t>
      </w:r>
    </w:p>
    <w:p w:rsidR="00A31137" w:rsidRPr="00A31137" w:rsidRDefault="00A31137" w:rsidP="00A31137">
      <w:r w:rsidRPr="00A31137">
        <w:t>1990, Missouri v. Jenkins, 495 U.S. 69</w:t>
      </w:r>
    </w:p>
    <w:p w:rsidR="00A31137" w:rsidRPr="00A31137" w:rsidRDefault="00A31137" w:rsidP="00A31137">
      <w:r w:rsidRPr="00A31137">
        <w:t>The power of taxation is one that the federal judiciary does not possess. In our system "the legislative department alone has access to the pockets of the people," The Federalist No. 48, 334 (J. Cooke ed. 1961) (J. Madison), for it is the legislature that is accountable to them and represents their will. The authority that would levy the tax at issue here shares none of these qualities. Our federal judiciary, by design, is not representative or responsible to the people in a political sense; it is independent. Federal judges do not depend on the popular will for their office. They may not even share the burden of taxes they attempt to impose, for they may live outside the jurisdiction their orders affect. And federal judges have no fear that the competition for scarce public resources could result in a diminution of their salaries. It is not surprising that imposition of taxes by an authority so insulated from public communication or control can lead to deep feelings of frustration, powerlessness, and anger on the part of taxpaying citizens.</w:t>
      </w:r>
    </w:p>
    <w:p w:rsidR="00A31137" w:rsidRPr="00A31137" w:rsidRDefault="00A31137" w:rsidP="00A31137">
      <w:r w:rsidRPr="00A31137">
        <w:t>1990, Missouri v. Jenkins, 495 U.S. 69</w:t>
      </w:r>
    </w:p>
    <w:p w:rsidR="00A31137" w:rsidRPr="00A31137" w:rsidRDefault="00A31137" w:rsidP="00A31137">
      <w:r w:rsidRPr="00A31137">
        <w:t>The operation of tax systems is among the most difficult aspects of public administration. It is not a function the judiciary as an institution is designed to exercise. Unlike legislative bodies, which may hold hearings on how best to raise revenues, all subject to the views of constituents to whom the legislature is accountable, the judiciary must grope ahead with only the assistance of the parties, or perhaps random amici curiae. Those hearings would be without principled direction, for there exists no body of juridical axioms by [495 U.S. 70] which to guide or review them. On this questionable basis, the Court today would give authority for decisions that affect the life plans of local citizens, the revenue available for competing public needs, and the health of the local economy.</w:t>
      </w:r>
    </w:p>
    <w:p w:rsidR="00A31137" w:rsidRPr="00A31137" w:rsidRDefault="00A31137" w:rsidP="00A31137">
      <w:r w:rsidRPr="00A31137">
        <w:t>1990, Missouri v. Jenkins, 495 U.S. 70</w:t>
      </w:r>
    </w:p>
    <w:p w:rsidR="00A31137" w:rsidRPr="00A31137" w:rsidRDefault="00A31137" w:rsidP="00A31137">
      <w:r w:rsidRPr="00A31137">
        <w:t>Day-to-day administration of the tax must be accomplished by judicial trial and error, requisitioning the staff of the existing tax authority, or the hiring of a staff under the direction of the judge. The District Court orders in this case suggest the pitfalls of the first course.   See App. to Pet. for Cert. 55a (correcting order for assessment of penalties for nonpayment that "mistakenly" assessed penalties on an extra tax year); id. at 57a ("clarify[ing]" the inclusion of savings and loans, estates, trusts, and beneficiaries in the Court's income tax surcharge, and enforcement procedures). Forcing citizens to make financial decisions in fear of the fledgling judicial tax collector's next misstep must detract from the dignity and independence of the federal courts.</w:t>
      </w:r>
    </w:p>
    <w:p w:rsidR="00A31137" w:rsidRPr="00A31137" w:rsidRDefault="00A31137" w:rsidP="00A31137">
      <w:r w:rsidRPr="00A31137">
        <w:t>1990, Missouri v. Jenkins, 495 U.S. 70</w:t>
      </w:r>
    </w:p>
    <w:p w:rsidR="00A31137" w:rsidRPr="00A31137" w:rsidRDefault="00A31137" w:rsidP="00A31137">
      <w:r w:rsidRPr="00A31137">
        <w:t>The function of hiring and supervising a staff for what is essentially a political function has other complications. As part of its remedial order, for example, the District Court ordered the hiring of a "public information specialist," at a cost of $30,000. The purpose of the position was to "solicit community support and involvement" in the District Court's desegregation plan. See id. at 191a. This type of order raises a substantial question whether a district court may extract taxes from citizens who have no right of representation and then use the funds for expression with which the citizens may disagree. Cf. Abood v. Detroit Bd. of Education, 431 U.S. 209 (1977).</w:t>
      </w:r>
    </w:p>
    <w:p w:rsidR="00A31137" w:rsidRPr="00A31137" w:rsidRDefault="00A31137" w:rsidP="00A31137">
      <w:r w:rsidRPr="00A31137">
        <w:t>1990, Missouri v. Jenkins, 495 U.S. 70</w:t>
      </w:r>
    </w:p>
    <w:p w:rsidR="00A31137" w:rsidRPr="00A31137" w:rsidRDefault="00A31137" w:rsidP="00A31137">
      <w:r w:rsidRPr="00A31137">
        <w:t>The Court relies on dicta from Griffin v. School Bd. of Prince Edward County, 377 U.S. 218 (1964) to support its statements on judicial taxation. In Griffin, the Court faced an unrepentent and recalcitrant school board that attempted to provide financial support for white schools while refusing to operate schools for black schoolchildren. We stated that the district court could</w:t>
      </w:r>
    </w:p>
    <w:p w:rsidR="00A31137" w:rsidRPr="00A31137" w:rsidRDefault="00A31137" w:rsidP="00A31137">
      <w:r w:rsidRPr="00A31137">
        <w:t>1990, Missouri v. Jenkins, 495 U.S. 70</w:t>
      </w:r>
    </w:p>
    <w:p w:rsidR="00A31137" w:rsidRPr="00A31137" w:rsidRDefault="00A31137" w:rsidP="00A31137">
      <w:r w:rsidRPr="00A31137">
        <w:t>require the Supervisors to exercise the [495 U.S. 71] power that is theirs to levy taxes to raise funds adequate to reopen, operate, and maintain without racial discrimination a public school system.</w:t>
      </w:r>
    </w:p>
    <w:p w:rsidR="00A31137" w:rsidRPr="00A31137" w:rsidRDefault="00A31137" w:rsidP="00A31137">
      <w:r w:rsidRPr="00A31137">
        <w:t>1990, Missouri v. Jenkins, 495 U.S. 71</w:t>
      </w:r>
    </w:p>
    <w:p w:rsidR="00A31137" w:rsidRPr="00A31137" w:rsidRDefault="00A31137" w:rsidP="00A31137">
      <w:r w:rsidRPr="00A31137">
        <w:t>Id. at  233 (emphasis added). There is no occasion in this case to discuss the full implications of Griffin's observation, for it has no application here. Griffin endorsed the power of a federal court to order the local authority to exercise existing authority to tax.</w:t>
      </w:r>
    </w:p>
    <w:p w:rsidR="00A31137" w:rsidRPr="00A31137" w:rsidRDefault="00A31137" w:rsidP="00A31137">
      <w:r w:rsidRPr="00A31137">
        <w:t>1990, Missouri v. Jenkins, 495 U.S. 71</w:t>
      </w:r>
    </w:p>
    <w:p w:rsidR="00A31137" w:rsidRPr="00A31137" w:rsidRDefault="00A31137" w:rsidP="00A31137">
      <w:r w:rsidRPr="00A31137">
        <w:t>This case does not involve an order to a local government with plenary taxing power to impose a tax, or an order directed at one whose taxing power has been limited by a state law enacted in order to thwart a federal court order. An order of this type would find support in the Griffin dicta, and present a closer question than the one before us. Yet that order might implicate as well the "perversion of the normal legislative process" that we have found troubling in other contexts. See Spallone v. United States, 493 U.S. 265,  280 (1990). A legislative vote taken under judicial compulsion blurs lines of accountability by making it appear that a decision was reached by elected representatives when the reality is otherwise. For this reason, it is difficult to see the difference between an order to tax and direct judicial imposition of a tax.</w:t>
      </w:r>
    </w:p>
    <w:p w:rsidR="00A31137" w:rsidRPr="00A31137" w:rsidRDefault="00A31137" w:rsidP="00A31137">
      <w:r w:rsidRPr="00A31137">
        <w:t>1990, Missouri v. Jenkins, 495 U.S. 71</w:t>
      </w:r>
    </w:p>
    <w:p w:rsidR="00A31137" w:rsidRPr="00A31137" w:rsidRDefault="00A31137" w:rsidP="00A31137">
      <w:r w:rsidRPr="00A31137">
        <w:t>The Court asserts that its understanding of Griffin follows from cases in which the Court upheld the use of mandamus to compel local officials to collect taxes that were authorized under state law in order to meet bond obligations. See ante at 55-57. But as discussed above, supra, at 63-65, there was no state authority in this case for the KCMSD to exercise. In this situation, there could be no authority for a judicial order touching on taxation. See United States v. County of Macon, 99 U.S. 582, 591 (1879) (where the statute empowering the corporation to issue bonds contains a limit on the taxing power, federal court has no power of mandamus to compel a levy in excess of that power; "We have no power by mandamus to compel a municipal corporation to levy a tax which the law does not authorize. We cannot create new [495 U.S. 72] rights or confer new powers. All we can do is to bring existing powers into operation").</w:t>
      </w:r>
    </w:p>
    <w:p w:rsidR="00A31137" w:rsidRPr="00A31137" w:rsidRDefault="00A31137" w:rsidP="00A31137">
      <w:r w:rsidRPr="00A31137">
        <w:t>1990, Missouri v. Jenkins, 495 U.S. 72</w:t>
      </w:r>
    </w:p>
    <w:p w:rsidR="00A31137" w:rsidRPr="00A31137" w:rsidRDefault="00A31137" w:rsidP="00A31137">
      <w:r w:rsidRPr="00A31137">
        <w:t>The Court cites a single case, Von Hoffman v. City of Quincy, 4 Wall. 535 (1867), for the proposition that a federal court may set aside state taxation limits that interfere with the remedy sought by the district court. But the Court does not heed Von Hoffman's holding. There a municipality had authorized a tax levy in support of a specific bond obligation, but later limited the taxation authority in a way that impaired the bond obligation. The Court held the subsequent limitation itself unconstitutional, a violation of the Contracts Clause. Once the limitation was held invalid, the original specific grant of authority remained. There is no allegation here, nor could there be, that the neutral tax limitations imposed by the people of Missouri are unconstitutional. Compare Tr. of Oral Arg. 41 ("nothing in the record to suggest" that tax limitation was intended to frustrate desegregation) with Griffin, 377 U.S. at  221 (state constitution amended as part of state and school district plan to resist desegregation). The majority appears to concede that the Missouri tax law does not violate a specific provision of the Constitution, stating instead that state laws may be disregarded on the basis of a vague "reason based in the Constitution." Ante at  57. But this broad suggestion does not follow from the holding in Von Hoffman.</w:t>
      </w:r>
    </w:p>
    <w:p w:rsidR="00A31137" w:rsidRPr="00A31137" w:rsidRDefault="00A31137" w:rsidP="00A31137">
      <w:r w:rsidRPr="00A31137">
        <w:t>1990, Missouri v. Jenkins, 495 U.S. 72</w:t>
      </w:r>
    </w:p>
    <w:p w:rsidR="00A31137" w:rsidRPr="00A31137" w:rsidRDefault="00A31137" w:rsidP="00A31137">
      <w:r w:rsidRPr="00A31137">
        <w:t>Examination of the "long and venerable line of cases," ante at  55, cited by the Court to endorse judicial taxation reveals the lack of real support for the Court's rationale. One group of these cases holds simply that the common law writ of mandamus lies to compel a local official to perform a clear duty imposed by state law. See United States v. New Orleans, 98 U.S. 381 (1879) (reaffirming legislative nature of the taxing power and the availability of mandamus to compel officers to levy a tax where they were required by state law to do so); City of Galena v. Amy, 5 Wall. 705 (1867) (mandamus to state officials to collect a tax authorized by state law [495 U.S. 73] in order to fund a state bond obligation); Board of Commissioners of Knox County v. Aspinwall, 24 How. 376 (1861) (state statute gave tax officials authority to levy the tax needed to satisfy a bond obligation and explicitly required them to do so; mandamus was proper to compel performance of this "plain duty" under state law). These common law mandamus decisions do not purport to involve the Federal Constitution or remedial powers.</w:t>
      </w:r>
    </w:p>
    <w:p w:rsidR="00A31137" w:rsidRPr="00A31137" w:rsidRDefault="00A31137" w:rsidP="00A31137">
      <w:r w:rsidRPr="00A31137">
        <w:t>1990, Missouri v. Jenkins, 495 U.S. 73</w:t>
      </w:r>
    </w:p>
    <w:p w:rsidR="00A31137" w:rsidRPr="00A31137" w:rsidRDefault="00A31137" w:rsidP="00A31137">
      <w:r w:rsidRPr="00A31137">
        <w:t>A second set of cases, including the Von Hoffman case relied upon by the Court, invalidates on Contracts Clause grounds statutory limitations on taxation power passed subsequent to grants of tax authority in support of bond obligations. See Louisiana ex rel. Hubert v. Mayor and Council Of New Orleans, 215 U.S. 170 (1909) (state law authorized municipal tax in support of bond obligation; subsequent legislation removing the authority is invalid under Contracts Clause, and mandamus will lie against municipal official to collect the tax); Graham v. Folsom, 200 U.S. 248 (1906) (where state municipality enters into a bond obligation based on delegated state power to collect a tax, State may not by subsequent abolition of the municipality remove the taxing power; such an act is itself invalid as a violation of the Contracts Clause); Wolff v. New Orleans, 103 U.S. 358 (1880) (same). These cases, like Von Hoffman, are inapposite because there is no colorable argument that the provision of the Missouri Constitution limiting property tax assessments itself violates the Federal Constitution.</w:t>
      </w:r>
    </w:p>
    <w:p w:rsidR="00A31137" w:rsidRPr="00A31137" w:rsidRDefault="00A31137" w:rsidP="00A31137">
      <w:r w:rsidRPr="00A31137">
        <w:t>1990, Missouri v. Jenkins, 495 U.S. 73</w:t>
      </w:r>
    </w:p>
    <w:p w:rsidR="00A31137" w:rsidRPr="00A31137" w:rsidRDefault="00A31137" w:rsidP="00A31137">
      <w:r w:rsidRPr="00A31137">
        <w:t>A third group of cases involving taxation and municipal bonds is more relevant. These cases hold that, where there is no state or municipal taxation authority that the federal court may by mandamus command the officials to exercise, the court is itself without authority to order taxation. In some of these cases, the officials charged with administering the tax resigned their positions, and the Court held that no judicial remedy was available. See Heine v. Levee Commissioners, 19 Wall. 655 (1874) (where the levee commissioners [495 U.S. 74] had resigned their office, no one remained on whom the mandamus could operate). In Heine, the Court held that it had no equitable power to impose a tax in order to prevent the plaintiff's right from going without a remedy.</w:t>
      </w:r>
    </w:p>
    <w:p w:rsidR="00A31137" w:rsidRPr="00A31137" w:rsidRDefault="00A31137" w:rsidP="00A31137">
      <w:r w:rsidRPr="00A31137">
        <w:t>1990, Missouri v. Jenkins, 495 U.S. 74</w:t>
      </w:r>
    </w:p>
    <w:p w:rsidR="00A31137" w:rsidRPr="00A31137" w:rsidRDefault="00A31137" w:rsidP="00A31137">
      <w:r w:rsidRPr="00A31137">
        <w:t>The power we are here asked to exercise is the very delicate one of taxation. This power belongs in this country to the legislative sovereignty, State or National…. It certainly is not vested, as in the exercise of an original jurisdiction, in any Federal court. It is unreasonable to suppose that the legislature would ever select a Federal court for that purpose. It is not only not one of the inherent powers of the court to levy and collect taxes, but it is an invasion by the judiciary of the Federal government of the legislative functions of the State government. It is a most extraordinary request, and a compliance with it would involve consequences no less out of the way of judicial procedure, the end of which no wisdom can foresee.</w:t>
      </w:r>
    </w:p>
    <w:p w:rsidR="00A31137" w:rsidRPr="00A31137" w:rsidRDefault="00A31137" w:rsidP="00A31137">
      <w:r w:rsidRPr="00A31137">
        <w:t>1990, Missouri v. Jenkins, 495 U.S. 74</w:t>
      </w:r>
    </w:p>
    <w:p w:rsidR="00A31137" w:rsidRPr="00A31137" w:rsidRDefault="00A31137" w:rsidP="00A31137">
      <w:r w:rsidRPr="00A31137">
        <w:t>Id. at 660-661. Other cases state more broadly that, absent state authority for a tax levy, the exercise of which may be compelled by mandamus, the federal court is without power to impose any tax. See Meriwether v. Garrett, 102 U.S. 472 (1880) (where State repealed municipal charter, federal court had no authority to impose taxes, which may be collected only under authority from the legislature); id. at 515 (Field, J., concurring in judgment) ("The levying of taxes is not a judicial act. It has no elements of one"); United States v. County of Macon, 99 U.S. 582 (1879) (no authority to compel a levy higher than state law allowed outside situation where a subsequent limitation violated Contracts Clause); Rees v. City of Watertown, 19 Wall. 107 (1874) (holding mandamus unavailable where officials have resigned, and that tax limitation in effect when bond obligation was undertaken may not be exceeded by court order).</w:t>
      </w:r>
    </w:p>
    <w:p w:rsidR="00A31137" w:rsidRPr="00A31137" w:rsidRDefault="00A31137" w:rsidP="00A31137">
      <w:r w:rsidRPr="00A31137">
        <w:t>1990, Missouri v. Jenkins, 495 U.S. 74</w:t>
      </w:r>
    </w:p>
    <w:p w:rsidR="00A31137" w:rsidRPr="00A31137" w:rsidRDefault="00A31137" w:rsidP="00A31137">
      <w:r w:rsidRPr="00A31137">
        <w:t>With all respect, it is this third group of cases that applies. The majority would limit these authorities to a narrow "exceptio[n]" [495 U.S. 75] for cases where local officers resigned. Ante at 56, n. 20. This is not an accurate description. Rather, the cases show that, where a limitation on the local authority's taxing power is not a subsequent enactment itself in violation of the Contracts Clause, a federal court is without power to order a tax levy that goes beyond the authority granted by state law. The Court states that the KCMSD was "invested with authority to collect and disburse the property tax." Ibid. Invested by whom? It is plain that the KCMSD had no such power under state law. That being so, the authority to levy a higher tax would have to come from the federal court. The very cases cited by the majority show that a federal court has no such authority.</w:t>
      </w:r>
    </w:p>
    <w:p w:rsidR="00A31137" w:rsidRPr="00A31137" w:rsidRDefault="00A31137" w:rsidP="00A31137">
      <w:r w:rsidRPr="00A31137">
        <w:t>1990, Missouri v. Jenkins, 495 U.S. 75</w:t>
      </w:r>
    </w:p>
    <w:p w:rsidR="00A31137" w:rsidRPr="00A31137" w:rsidRDefault="00A31137" w:rsidP="00A31137">
      <w:r w:rsidRPr="00A31137">
        <w:t>At bottom, today's discussion seems motivated by the fear that failure to endorse judicial taxation power might, in some extreme circumstance, leave a court unable to remedy a constitutional violation. As I discuss below, I do not think this possibility is in reality a significant one. More important, this possibility is nothing more or less than the necessary consequence of any limit on judicial power. If, however, judicial discretion is to provide the sole limit on judicial remedies, that discretion must counsel restraint. Ill-considered entry into the volatile field of taxation is a step that may place at risk the legitimacy that justifies judicial independence.</w:t>
      </w:r>
    </w:p>
    <w:p w:rsidR="00A31137" w:rsidRPr="00A31137" w:rsidRDefault="00A31137" w:rsidP="00A31137">
      <w:r w:rsidRPr="00A31137">
        <w:t>III</w:t>
      </w:r>
    </w:p>
    <w:p w:rsidR="00A31137" w:rsidRPr="00A31137" w:rsidRDefault="00A31137" w:rsidP="00A31137">
      <w:r w:rsidRPr="00A31137">
        <w:t>1990, Missouri v. Jenkins, 495 U.S. 75</w:t>
      </w:r>
    </w:p>
    <w:p w:rsidR="00A31137" w:rsidRPr="00A31137" w:rsidRDefault="00A31137" w:rsidP="00A31137">
      <w:r w:rsidRPr="00A31137">
        <w:t>One of the most troubling aspects of the Court's opinion is that discussion of the important constitutional issues of judicial authority to tax need never have been undertaken to decide this case. Even were I willing to accept the Court's proposition that a federal court might in some extreme case authorize taxation, this case is not the one. The suggestion that failure to approve judicial taxation here would leave constitutional rights unvindicated rests on a presumption that the District Court's remedy is the only possible cure for the constitutional violations it found. Neither our precedents [495 U.S. 76] nor the record support this view. In fact, the taxation power is sought here on behalf of a remedial order unlike any before seen.</w:t>
      </w:r>
    </w:p>
    <w:p w:rsidR="00A31137" w:rsidRPr="00A31137" w:rsidRDefault="00A31137" w:rsidP="00A31137">
      <w:r w:rsidRPr="00A31137">
        <w:t>1990, Missouri v. Jenkins, 495 U.S. 76</w:t>
      </w:r>
    </w:p>
    <w:p w:rsidR="00A31137" w:rsidRPr="00A31137" w:rsidRDefault="00A31137" w:rsidP="00A31137">
      <w:r w:rsidRPr="00A31137">
        <w:t>It cannot be contended that interdistrict comparability, which was the ultimate goal of the District Court's orders, is itself a constitutional command. We have long since determined that "unequal expenditures between children who happen to reside in different districts" do not violate the Equal Protection Clause. San Antonio Independent School Dist. v. Rodriguez, 411 U.S. 1, 54-55 (1973). The District Court in this case found, and the Court of Appeals affirmed, that there was no interdistrict constitutional violation that would support mandatory interdistrict relief. See Jenkins v. Missouri, 807 F.2d 657 (CA8 1986). Instead, the District Court's conclusion that desegregation might be easier if more nonminority students could be attracted into the KCMSD was used as the hook on which to hang numerous policy choices about improving the quality of education in general within the KCMSD. The State's complaint that this suit represents the attempt of a school district that could not obtain public support for increased spending to enlist the District Court to finance its educational policy cannot be dismissed out of hand. The plaintiffs and KCMSD might well be seen as parties that have "joined forces apparently for the purpose of extracting funds from the state treasury." Milliken v. Bradley, 433 U.S. at  293 (Powell, J., concurring in judgment).</w:t>
      </w:r>
    </w:p>
    <w:p w:rsidR="00A31137" w:rsidRPr="00A31137" w:rsidRDefault="00A31137" w:rsidP="00A31137">
      <w:r w:rsidRPr="00A31137">
        <w:t>1990, Missouri v. Jenkins, 495 U.S. 76</w:t>
      </w:r>
    </w:p>
    <w:p w:rsidR="00A31137" w:rsidRPr="00A31137" w:rsidRDefault="00A31137" w:rsidP="00A31137">
      <w:r w:rsidRPr="00A31137">
        <w:t>This Court has never approved a remedy of the type adopted by the District Court. There are strong arguments against the validity of such a plan. A remedy that uses the quality of education as a lure to attract nonminority students will place the District Court at the center of controversies over educational philosophy that, by tradition, are left to this Nation's communities. Such a plan, as a practical matter, raises many of the concerns involved in interdistrict desegregation remedies. Cf. Milliken v. Bradley, 418 U.S. 717 [495 U.S. 77] (1974) (invalidating interdistrict remedial plan). District Courts can and must take needed steps to eliminate racial discrimination and ensure the operation of unitary school systems. But it is discrimination, not the ineptitude of educators or the indifference of the public, that is the evil to be remedied. An initial finding of discrimination cannot be used as the basis for a wholesale shift of authority over day-to-day school operations from parents, teachers, and elected officials to an unaccountable district judge whose province is law, not education.</w:t>
      </w:r>
    </w:p>
    <w:p w:rsidR="00A31137" w:rsidRPr="00A31137" w:rsidRDefault="00A31137" w:rsidP="00A31137">
      <w:r w:rsidRPr="00A31137">
        <w:t>1990, Missouri v. Jenkins, 495 U.S. 77</w:t>
      </w:r>
    </w:p>
    <w:p w:rsidR="00A31137" w:rsidRPr="00A31137" w:rsidRDefault="00A31137" w:rsidP="00A31137">
      <w:r w:rsidRPr="00A31137">
        <w:t xml:space="preserve">Perhaps it is good educational policy to provide a school district with the items included in the KCMSD capital improvement plan, for example: high schools in which every classroom will have air conditioning, an alarm system, and 15 microcomputers; a 2,000-square-foot planetarium; greenhouses and vivariums; a 25-acre farm with an air-conditioned meeting room for 104 people; a Model United Nations wired for language translation; broadcast capable radio and television studios with an editing and animation lab; a temperature controlled art gallery; movie editing and screening rooms; a 3,500-square-foot dust-free diesel mechanics room; 1,875-square-foot elementary school animal rooms for use in a Zoo Project; swimming pools; and numerous other facilities. But these items are a part of legitimate political debate over educational policy and spending priorities, not the Constitution's command of racial equality. Indeed, it may be that a mere 12-acre petting farm, or other corresponding reductions in court-ordered spending, might satisfy constitutional requirements while preserving scarce public funds for legislative allocation to other public needs, such as paving streets, feeding the poor, building prisons, or housing the homeless. Perhaps the KCMSD's Classical Greek theme schools emphasizing forensics and self-government will provide exemplary training in participatory democracy. But if today's dicta become law, such lessons will be of little use to students who grow up to become taxpayers in the KCMSD. [495 U.S. 78] </w:t>
      </w:r>
    </w:p>
    <w:p w:rsidR="00A31137" w:rsidRPr="00A31137" w:rsidRDefault="00A31137" w:rsidP="00A31137">
      <w:r w:rsidRPr="00A31137">
        <w:t>1990, Missouri v. Jenkins, 495 U.S. 78</w:t>
      </w:r>
    </w:p>
    <w:p w:rsidR="00A31137" w:rsidRPr="00A31137" w:rsidRDefault="00A31137" w:rsidP="00A31137">
      <w:r w:rsidRPr="00A31137">
        <w:t>I am required in light of our limited grant of certiorari to assume that the remedy chosen by the District Court was a permissible exercise of its remedial discretion. But it is misleading to suggest that a failure to fund this particular remedy would leave constitutional rights without a remedy. In fact, the District Court acknowledged in its very first remedial order that the development of a remedy in this case would involve "a choice among a wide range of possibilities." App. to Pet. for Cert. 153a. Its observation was consistent with our cases concerning the scope of equitable remedies, which have recognized that "equity has been characterized by a practical flexibility in shaping its remedies." Brown v. Board of Education, 349 U.S. 294,  300 (1955).</w:t>
      </w:r>
    </w:p>
    <w:p w:rsidR="00A31137" w:rsidRPr="00A31137" w:rsidRDefault="00A31137" w:rsidP="00A31137">
      <w:r w:rsidRPr="00A31137">
        <w:t>1990, Missouri v. Jenkins, 495 U.S. 78</w:t>
      </w:r>
    </w:p>
    <w:p w:rsidR="00A31137" w:rsidRPr="00A31137" w:rsidRDefault="00A31137" w:rsidP="00A31137">
      <w:r w:rsidRPr="00A31137">
        <w:t>Any argument that the remedy chosen by the District Court was the only one possible is in fact unsupportable in light of our previous cases. We have approved desegregation orders using assignment changes and some ancillary education programs to ensure the operation of a unitary school system for the district's children. See, e.g., Columbus Bd. of Education v. Penick, 443 U.S. 449 (1979); Dayton Bd of Education v. Brinkman, 433 U.S. 406 (1977). To suggest that a constitutional violation will go unremedied if a district does not, through capital improvements or other means, turn every school into a magnet school, and the entire district into a magnet district, is to suggest that the remedies approved in our past cases should have been disapproved as insufficient to deal with the violations. The truth of the matter is that the remedies in those cases were permissible choices among the many that might be adopted by a district court.</w:t>
      </w:r>
    </w:p>
    <w:p w:rsidR="00A31137" w:rsidRPr="00A31137" w:rsidRDefault="00A31137" w:rsidP="00A31137">
      <w:r w:rsidRPr="00A31137">
        <w:t>1990, Missouri v. Jenkins, 495 U.S. 78</w:t>
      </w:r>
    </w:p>
    <w:p w:rsidR="00A31137" w:rsidRPr="00A31137" w:rsidRDefault="00A31137" w:rsidP="00A31137">
      <w:r w:rsidRPr="00A31137">
        <w:t>The prudence we have required in other areas touching on federal court intrusion in local government, see, e.g., Spallone v. United States, 493 U.S. 265 (1990), is missing here. Even on the assumption that a federal court might order taxation in an extreme case, the unique nature of the taxing power would demand that this remedy be used as a last resort. In my view, a taxation order should not even be [495 U.S. 79] considered, and this Court need never have addressed the question, unless there has been a finding that, without the particular remedy at issue, the constitutional violation will go unremedied. By this I do not mean that the remedy is, as we assume this one was, within the broad discretion of the district court. Rather, as a prerequisite to considering a taxation order, I would require a finding that any remedy less costly than the one at issue would so plainly leave the violation unremedied that its implementation would itself be an abuse of discretion. There is no showing in this record that, faced with the revenue shortfall, the District Court gave due consideration to the possibility that another remedy among the "wide range of possibilities" would have addressed the constitutional violations without giving rise to a funding crisis.</w:t>
      </w:r>
    </w:p>
    <w:p w:rsidR="00A31137" w:rsidRPr="00A31137" w:rsidRDefault="00A31137" w:rsidP="00A31137">
      <w:r w:rsidRPr="00A31137">
        <w:t>1990, Missouri v. Jenkins, 495 U.S. 79</w:t>
      </w:r>
    </w:p>
    <w:p w:rsidR="00A31137" w:rsidRPr="00A31137" w:rsidRDefault="00A31137" w:rsidP="00A31137">
      <w:r w:rsidRPr="00A31137">
        <w:t>The District Court here did consider alternatives to the taxing measures it imposed, but only funding alternatives. See, e.g., App. to Pet. for Cert. 86a. There is no indication in the record that the District Court gave any consideration to the possibility that an alternative remedial plan, while less attractive from an educational policy viewpoint, might nonetheless suffice to cure the constitutional violation. Rather, it found only that the taxation orders were necessary to fund the particular remedy it had devised. This Court, with full justification, has given latitude to the district judges that must deal with persisting problems of desegregation. Even when faced with open defiance of the mandate of educational equality, however, no court has ever found necessary a remedy of the scope presented here. For this reason, no order of taxation has ever been approved. The Court fails to provide any explanation why this case presents the need to endorse by dictum so drastic a step.</w:t>
      </w:r>
    </w:p>
    <w:p w:rsidR="00A31137" w:rsidRPr="00A31137" w:rsidRDefault="00A31137" w:rsidP="00A31137">
      <w:r w:rsidRPr="00A31137">
        <w:t>1990, Missouri v. Jenkins, 495 U.S. 79</w:t>
      </w:r>
    </w:p>
    <w:p w:rsidR="00A31137" w:rsidRPr="00A31137" w:rsidRDefault="00A31137" w:rsidP="00A31137">
      <w:r w:rsidRPr="00A31137">
        <w:t>The suggestion that our limited grant of certiorari requires us to decide this case blinkered as to the actual remedy underlying it, ante at  53, is ill-founded. A limited grant of certiorari is not a means by which the Court can pose for itself [495 U.S. 80] an abstract question. Our jurisdiction is limited to particular Cases and Controversies. U.S. Const., Art. III, § 2, cl. 1. The only question this Court has authority to address is whether a judicial tax was appropriate in this case. Moreover, the petition for certiorari in this case included the contention that the District Court should not have considered the power to tax before considering whether its choice of remedy was the only possible way to achieve desegregation as a part of its argument on Question 2, which the Court granted. Pet. for Cert. 27. Far from being an improper invitation to go outside the question presented, attention to the extraordinary remedy here is the Court's duty. This would be a far more prudent course than recharacterizing the case in an attempt to reach premature decision on an important question. If the Court is to take upon itself the power to tax, respect for its own integrity demands that the power be exercised in support of true constitutional principle, not "suburban comparability" and "visual attractiveness."</w:t>
      </w:r>
    </w:p>
    <w:p w:rsidR="00A31137" w:rsidRPr="00A31137" w:rsidRDefault="00A31137" w:rsidP="00A31137">
      <w:r w:rsidRPr="00A31137">
        <w:t>IV</w:t>
      </w:r>
    </w:p>
    <w:p w:rsidR="00A31137" w:rsidRPr="00A31137" w:rsidRDefault="00A31137" w:rsidP="00A31137">
      <w:r w:rsidRPr="00A31137">
        <w:t>1990, Missouri v. Jenkins, 495 U.S. 80</w:t>
      </w:r>
    </w:p>
    <w:p w:rsidR="00A31137" w:rsidRPr="00A31137" w:rsidRDefault="00A31137" w:rsidP="00A31137">
      <w:r w:rsidRPr="00A31137">
        <w:t xml:space="preserve">This case is a stark illustration of the ever-present question whether ends justify means. Few ends are more important than enforcing the guarantee of equal educational opportunity for our Nation's children. But rules of taxation that override state political strictures not themselves subject to any constitutional infirmity raise serious questions of federal authority, questions compounded by the odd posture of a case in which the Court assumes the validity of a novel conception of desegregation remedies we never before have approved. The historical record of voluntary compliance with the decree of Brown v. Board of Education is not a proud chapter in our constitutional history, and the judges of the District Courts and Courts of Appeals have been courageous and skillful in implementing its mandate. But courage and skill must be exercised with due regard for the proper and historic role of the courts. [495 U.S. 81] </w:t>
      </w:r>
    </w:p>
    <w:p w:rsidR="00A31137" w:rsidRPr="00A31137" w:rsidRDefault="00A31137" w:rsidP="00A31137">
      <w:r w:rsidRPr="00A31137">
        <w:t>1990, Missouri v. Jenkins, 495 U.S. 81</w:t>
      </w:r>
    </w:p>
    <w:p w:rsidR="00A31137" w:rsidRPr="00A31137" w:rsidRDefault="00A31137" w:rsidP="00A31137">
      <w:r w:rsidRPr="00A31137">
        <w:t>I do not acknowledge the troubling departures in today's majority opinion as either necessary or appropriate to ensure full compliance with the Equal Protection Clause and its mandate to eliminate the cause and effects of racial discrimination in the schools. Indeed, while this case happens to arise in the compelling context of school desegregation, the principles involved are not limited to that context. There is no obvious limit to today's discussion that would prevent judicial taxation in cases involving prisons, hospitals, or other public institutions, or indeed to pay a large damages award levied against a municipality under 42 U.S.C. § 1983. This assertion of judicial power in one of the most sensitive of policy areas, that involving taxation, begins a process that, over time, could threaten fundamental alteration of the form of government our Constitution embodies.</w:t>
      </w:r>
    </w:p>
    <w:p w:rsidR="00A31137" w:rsidRPr="00A31137" w:rsidRDefault="00A31137" w:rsidP="00A31137">
      <w:r w:rsidRPr="00A31137">
        <w:t>1990, Missouri v. Jenkins, 495 U.S. 81</w:t>
      </w:r>
    </w:p>
    <w:p w:rsidR="00A31137" w:rsidRPr="00A31137" w:rsidRDefault="00A31137" w:rsidP="00A31137">
      <w:r w:rsidRPr="00A31137">
        <w:t>James Madison observed:</w:t>
      </w:r>
    </w:p>
    <w:p w:rsidR="00A31137" w:rsidRPr="00A31137" w:rsidRDefault="00A31137" w:rsidP="00A31137">
      <w:r w:rsidRPr="00A31137">
        <w:t>1990, Missouri v. Jenkins, 495 U.S. 81</w:t>
      </w:r>
    </w:p>
    <w:p w:rsidR="00A31137" w:rsidRPr="00A31137" w:rsidRDefault="00A31137" w:rsidP="00A31137">
      <w:r w:rsidRPr="00A31137">
        <w:t>Justice is the end of government. It is the end of civil society. It ever has been, and ever will be pursued, until it be obtained, or until liberty be lost in the pursuit.</w:t>
      </w:r>
    </w:p>
    <w:p w:rsidR="00A31137" w:rsidRPr="00A31137" w:rsidRDefault="00A31137" w:rsidP="00A31137">
      <w:r w:rsidRPr="00A31137">
        <w:t>1990, Missouri v. Jenkins, 495 U.S. 81</w:t>
      </w:r>
    </w:p>
    <w:p w:rsidR="00A31137" w:rsidRPr="00A31137" w:rsidRDefault="00A31137" w:rsidP="00A31137">
      <w:r w:rsidRPr="00A31137">
        <w:t>The Federalist, No. 51, p. 352 (J. Cooke ed. 1961). In pursuing the demand of justice for racial equality, I fear that the Court today loses sight of other basic political liberties guaranteed by our constitutional system, liberties that can coexist with a proper exercise of judicial remedial powers adequate to correct constitutional violations.</w:t>
      </w:r>
    </w:p>
    <w:p w:rsidR="00A31137" w:rsidRPr="00A31137" w:rsidRDefault="00A31137" w:rsidP="00A31137">
      <w:r w:rsidRPr="00A31137">
        <w:t>Footnotes</w:t>
      </w:r>
    </w:p>
    <w:p w:rsidR="00A31137" w:rsidRPr="00A31137" w:rsidRDefault="00A31137" w:rsidP="00A31137">
      <w:r w:rsidRPr="00A31137">
        <w:t>WHITE, J., lead opinion (Footnotes)</w:t>
      </w:r>
    </w:p>
    <w:p w:rsidR="00A31137" w:rsidRPr="00A31137" w:rsidRDefault="00A31137" w:rsidP="00A31137">
      <w:r w:rsidRPr="00A31137">
        <w:t>1990, Missouri v. Jenkins, 495 U.S. 81</w:t>
      </w:r>
    </w:p>
    <w:p w:rsidR="00A31137" w:rsidRPr="00A31137" w:rsidRDefault="00A31137" w:rsidP="00A31137">
      <w:r w:rsidRPr="00A31137">
        <w:t>1. This litigation has come to us once before, on the collateral issue of attorney's fees. Missouri v. Jenkins, 491 U.S. 274 (1989).</w:t>
      </w:r>
    </w:p>
    <w:p w:rsidR="00A31137" w:rsidRPr="00A31137" w:rsidRDefault="00A31137" w:rsidP="00A31137">
      <w:r w:rsidRPr="00A31137">
        <w:t>1990, Missouri v. Jenkins, 495 U.S. 81</w:t>
      </w:r>
    </w:p>
    <w:p w:rsidR="00A31137" w:rsidRPr="00A31137" w:rsidRDefault="00A31137" w:rsidP="00A31137">
      <w:r w:rsidRPr="00A31137">
        <w:t>2. The complaint originally alleged that the defendants had caused interdistrict segregation of the public schools. After KCMSD was realigned as a defendant, a group of students filed an amended complaint that also alleged intradistrict segregation. The District Court certified a plaintiff class of present and future KCMSD students.</w:t>
      </w:r>
    </w:p>
    <w:p w:rsidR="00A31137" w:rsidRPr="00A31137" w:rsidRDefault="00A31137" w:rsidP="00A31137">
      <w:r w:rsidRPr="00A31137">
        <w:t>1990, Missouri v. Jenkins, 495 U.S. 81</w:t>
      </w:r>
    </w:p>
    <w:p w:rsidR="00A31137" w:rsidRPr="00A31137" w:rsidRDefault="00A31137" w:rsidP="00A31137">
      <w:r w:rsidRPr="00A31137">
        <w:t>3. The District Court also found that none of the alleged discriminatory actions had resulted in lingering interdistrict effects, and so dismissed the suburban school districts and denied interdistrict relief.</w:t>
      </w:r>
    </w:p>
    <w:p w:rsidR="00A31137" w:rsidRPr="00A31137" w:rsidRDefault="00A31137" w:rsidP="00A31137">
      <w:r w:rsidRPr="00A31137">
        <w:t>1990, Missouri v. Jenkins, 495 U.S. 81</w:t>
      </w:r>
    </w:p>
    <w:p w:rsidR="00A31137" w:rsidRPr="00A31137" w:rsidRDefault="00A31137" w:rsidP="00A31137">
      <w:r w:rsidRPr="00A31137">
        <w:t>4. KCMSD was ordered to improve the quality of the curriculum and library, reduce teaching load, and implement tutoring, summer school and child development programs. The cost of these remedies was to be borne equally by the State and KCMSD. Jenkins v. Missouri, 639 F.Supp. 19, 28, 31-33 (WD Mo.1985). The District Court ordered an extensive capital improvement program to rehabilitate the deteriorating physical plant of KCMSD, the cost of which was estimated as at least $37,000,000, of which $27,000,000 was to be contributed by the State. Id. at 39-41. The District Court also required the defendants to encourage voluntary interdistrict transfer of students. No cost was placed on the interdistrict transfer program, but the State was ordered to underwrite the program in full. Id. at 38-39. The District Court further ordered the State to fund fully other portions of the desegregation program intended to reduce class size and to improve student achievement. Id. at 30, 33.</w:t>
      </w:r>
    </w:p>
    <w:p w:rsidR="00A31137" w:rsidRPr="00A31137" w:rsidRDefault="00A31137" w:rsidP="00A31137">
      <w:r w:rsidRPr="00A31137">
        <w:t>1990, Missouri v. Jenkins, 495 U.S. 81</w:t>
      </w:r>
    </w:p>
    <w:p w:rsidR="00A31137" w:rsidRPr="00A31137" w:rsidRDefault="00A31137" w:rsidP="00A31137">
      <w:r w:rsidRPr="00A31137">
        <w:t>5. KCMSD voters approved a levy of 53.75 per $100 in 1969, but efforts to raise the tax rate higher than that had consistently failed to obtain the approval of two-thirds of the voters, and the District Court found it unlikely that a proposal to raise taxes above $3.75 per $100 would receive the voters' approval. Jenkins v. Missouri, 639 F.Supp. at 44.</w:t>
      </w:r>
    </w:p>
    <w:p w:rsidR="00A31137" w:rsidRPr="00A31137" w:rsidRDefault="00A31137" w:rsidP="00A31137">
      <w:r w:rsidRPr="00A31137">
        <w:t>1990, Missouri v. Jenkins, 495 U.S. 81</w:t>
      </w:r>
    </w:p>
    <w:p w:rsidR="00A31137" w:rsidRPr="00A31137" w:rsidRDefault="00A31137" w:rsidP="00A31137">
      <w:r w:rsidRPr="00A31137">
        <w:t>6. "Magnet schools," as generally understood, are public schools of voluntary enrollment designed to promote integration by drawing students away from their neighborhoods and private schools through distinctive curricula and high quality. See Price &amp; Stern, Magnet Schools as a Strategy for Integration and School Reform, 5 Yale L. &amp; Pol'y Rev. 291 (1987).</w:t>
      </w:r>
    </w:p>
    <w:p w:rsidR="00A31137" w:rsidRPr="00A31137" w:rsidRDefault="00A31137" w:rsidP="00A31137">
      <w:r w:rsidRPr="00A31137">
        <w:t>1990, Missouri v. Jenkins, 495 U.S. 81</w:t>
      </w:r>
    </w:p>
    <w:p w:rsidR="00A31137" w:rsidRPr="00A31137" w:rsidRDefault="00A31137" w:rsidP="00A31137">
      <w:r w:rsidRPr="00A31137">
        <w:t>7. The District Court authorized $12,972,727 for operation of the six magnet schools and $12,877,330 for further capital improvements at those schools. Jenkins v. Missouri, 639 F.Supp. at 53-55.</w:t>
      </w:r>
    </w:p>
    <w:p w:rsidR="00A31137" w:rsidRPr="00A31137" w:rsidRDefault="00A31137" w:rsidP="00A31137">
      <w:r w:rsidRPr="00A31137">
        <w:t>1990, Missouri v. Jenkins, 495 U.S. 81</w:t>
      </w:r>
    </w:p>
    <w:p w:rsidR="00A31137" w:rsidRPr="00A31137" w:rsidRDefault="00A31137" w:rsidP="00A31137">
      <w:r w:rsidRPr="00A31137">
        <w:t>8. The District Court also imposed a 1.5% surcharge on the state income tax levied within the KCMSD. 672 F.Supp. 400, 412 (WD Mo.1987). The income tax surcharge was reversed by the Eighth Circuit. 855 F.2d 1295, 1315-1316 (1988). Respondents did not cross-petition to challenge this aspect of the Court of Appeals' judgment, so the surcharge is not before us.</w:t>
      </w:r>
    </w:p>
    <w:p w:rsidR="00A31137" w:rsidRPr="00A31137" w:rsidRDefault="00A31137" w:rsidP="00A31137">
      <w:r w:rsidRPr="00A31137">
        <w:t>1990, Missouri v. Jenkins, 495 U.S. 81</w:t>
      </w:r>
    </w:p>
    <w:p w:rsidR="00A31137" w:rsidRPr="00A31137" w:rsidRDefault="00A31137" w:rsidP="00A31137">
      <w:r w:rsidRPr="00A31137">
        <w:t>9. The Court of Appeals also relied on Circuit precedent suggesting that a District Court could order a property tax increase after exploring every other fiscal alternative. Id. at 1310-1311; see Liddell v. Missouri, 731 F.2d 1294 (in banc), cert. denied, 469 U.S. 816 (1984); United States v. Missouri, 515 F.2d 1365 (in banc), cert. denied sub nom. Ferguson Reorganized School Dist. R-2 v. United States, 423 U.S. 951 (1975).</w:t>
      </w:r>
    </w:p>
    <w:p w:rsidR="00A31137" w:rsidRPr="00A31137" w:rsidRDefault="00A31137" w:rsidP="00A31137">
      <w:r w:rsidRPr="00A31137">
        <w:t>1990, Missouri v. Jenkins, 495 U.S. 81</w:t>
      </w:r>
    </w:p>
    <w:p w:rsidR="00A31137" w:rsidRPr="00A31137" w:rsidRDefault="00A31137" w:rsidP="00A31137">
      <w:r w:rsidRPr="00A31137">
        <w:t>10. The Court of Appeals rejected the argument that such an injunction would violate the Tax Injunction Act, 28 U.S.C. § 1341 (1982 ed.), as the injunction would require the collection of additional taxes, not inhibit the collection of taxes. 855 F.2d at 1315. Accord, Appling County v. Municipal Electric Authority of Georgia, 621 F.2d 1301, 1304 (CA5), cert. denied, 449 U.S. 1015 (1980).</w:t>
      </w:r>
    </w:p>
    <w:p w:rsidR="00A31137" w:rsidRPr="00A31137" w:rsidRDefault="00A31137" w:rsidP="00A31137">
      <w:r w:rsidRPr="00A31137">
        <w:t>1990, Missouri v. Jenkins, 495 U.S. 81</w:t>
      </w:r>
    </w:p>
    <w:p w:rsidR="00A31137" w:rsidRPr="00A31137" w:rsidRDefault="00A31137" w:rsidP="00A31137">
      <w:r w:rsidRPr="00A31137">
        <w:t>11. Chief Judge Lay dissented from the resolution of the property tax issue. He argued that, as the State and KCMSD were jointly and severally liable for the cost of the desegregation remedy, the District Court should have allowed any amount that KCMSD was unable to pay to fall on the State, rather than require the tax increase. 855 F.2d at 1318.</w:t>
      </w:r>
    </w:p>
    <w:p w:rsidR="00A31137" w:rsidRPr="00A31137" w:rsidRDefault="00A31137" w:rsidP="00A31137">
      <w:r w:rsidRPr="00A31137">
        <w:t>1990, Missouri v. Jenkins, 495 U.S. 81</w:t>
      </w:r>
    </w:p>
    <w:p w:rsidR="00A31137" w:rsidRPr="00A31137" w:rsidRDefault="00A31137" w:rsidP="00A31137">
      <w:r w:rsidRPr="00A31137">
        <w:t>12. As we discuss infra at  45, 28 U.S.C. § 2101(c) (1982 ed.) requires that a petition for certiorari in a civil case be filed within 90 days after the entry of the judgment sought to be reviewed. Section 2101(c) also permits a Justice of this Court, "for good cause shown," to grant an extension of time for the filing of a petition for certiorari in a civil case for a period not exceeding 60 days. In civil cases, applications for extension of time must be presented during the original 90-day period. This Court's Rule 30.2.</w:t>
      </w:r>
    </w:p>
    <w:p w:rsidR="00A31137" w:rsidRPr="00A31137" w:rsidRDefault="00A31137" w:rsidP="00A31137">
      <w:r w:rsidRPr="00A31137">
        <w:t>1990, Missouri v. Jenkins, 495 U.S. 81</w:t>
      </w:r>
    </w:p>
    <w:p w:rsidR="00A31137" w:rsidRPr="00A31137" w:rsidRDefault="00A31137" w:rsidP="00A31137">
      <w:r w:rsidRPr="00A31137">
        <w:t>13. This practice is now reflected in this Court's Rule 13.4:</w:t>
      </w:r>
    </w:p>
    <w:p w:rsidR="00A31137" w:rsidRPr="00A31137" w:rsidRDefault="00A31137" w:rsidP="00A31137">
      <w:r w:rsidRPr="00A31137">
        <w:t>1990, Missouri v. Jenkins, 495 U.S. 81</w:t>
      </w:r>
    </w:p>
    <w:p w:rsidR="00A31137" w:rsidRPr="00A31137" w:rsidRDefault="00A31137" w:rsidP="00A31137">
      <w:r w:rsidRPr="00A31137">
        <w:t>[I]f a petition for rehearing is timely filed in the lower court by any party in the case, the time for filing the petition for a writ of certiorari…runs from the date of the denial of the petition for rehearing or the entry of a subsequent judgment. A suggestion made to a United States court of appeals for a rehearing in banc…is not a petition for rehearing within the meaning of this Rule.</w:t>
      </w:r>
    </w:p>
    <w:p w:rsidR="00A31137" w:rsidRPr="00A31137" w:rsidRDefault="00A31137" w:rsidP="00A31137">
      <w:r w:rsidRPr="00A31137">
        <w:t>1990, Missouri v. Jenkins, 495 U.S. 81</w:t>
      </w:r>
    </w:p>
    <w:p w:rsidR="00A31137" w:rsidRPr="00A31137" w:rsidRDefault="00A31137" w:rsidP="00A31137">
      <w:r w:rsidRPr="00A31137">
        <w:t>The practice does not extend to petitions for rehearing seeking only to correct a formal defect in the judgment or opinion of the lower court. In such cases, of which Pink was one, "no…alteration of the rights [is] asked, and the finality of the court's first order [is] never suspended." 317 U.S. at 266. See also FTC v. Minneapolis-Honeywell Co., 344 U.S. 206 (1952).</w:t>
      </w:r>
    </w:p>
    <w:p w:rsidR="00A31137" w:rsidRPr="00A31137" w:rsidRDefault="00A31137" w:rsidP="00A31137">
      <w:r w:rsidRPr="00A31137">
        <w:t>1990, Missouri v. Jenkins, 495 U.S. 81</w:t>
      </w:r>
    </w:p>
    <w:p w:rsidR="00A31137" w:rsidRPr="00A31137" w:rsidRDefault="00A31137" w:rsidP="00A31137">
      <w:r w:rsidRPr="00A31137">
        <w:t>14. A petition for rehearing is designed to bring to the panel's attention points of law or fact that it may have overlooked. Fed.Rule App.Proc. 40(a). The panel is required to consider the contentions in the petition for rehearing, if only to reject them. Rehearing in banc is a discretionary procedure employed only to address questions of exceptional importance or to maintain uniformity among Circuit decisions. Fed. Rule App.Proc. 35(a). As the Reporter for the Advisory Committee drafting the Rules has observed:</w:t>
      </w:r>
    </w:p>
    <w:p w:rsidR="00A31137" w:rsidRPr="00A31137" w:rsidRDefault="00A31137" w:rsidP="00A31137">
      <w:r w:rsidRPr="00A31137">
        <w:t>1990, Missouri v. Jenkins, 495 U.S. 81</w:t>
      </w:r>
    </w:p>
    <w:p w:rsidR="00A31137" w:rsidRPr="00A31137" w:rsidRDefault="00A31137" w:rsidP="00A31137">
      <w:r w:rsidRPr="00A31137">
        <w:t>[A] party who desires a hearing or rehearing in banc may "suggest" the appropriateness of such a hearing…. The term "suggest" was deliberately chosen to make it clear that a party's sole entitlement is to direct the attention of the court to the desirability of in banc consideration. A suggestion is neither a petition nor a motion; consequently, it requires no disposition by the court.</w:t>
      </w:r>
    </w:p>
    <w:p w:rsidR="00A31137" w:rsidRPr="00A31137" w:rsidRDefault="00A31137" w:rsidP="00A31137">
      <w:r w:rsidRPr="00A31137">
        <w:t>1990, Missouri v. Jenkins, 495 U.S. 81</w:t>
      </w:r>
    </w:p>
    <w:p w:rsidR="00A31137" w:rsidRPr="00A31137" w:rsidRDefault="00A31137" w:rsidP="00A31137">
      <w:r w:rsidRPr="00A31137">
        <w:t>Ward, The Federal Rules of Appellate Procedure, 28 Federal B.J. 100, 110-111 (1968); see also Moody v. Albemarle Paper Co., 417 U.S. 622, 625 (1974) (per curiam); Shenker v. Baltimore &amp; Ohio R. Co., 374 U.S. 1, 5 (1963); Western Pacific R. Corp. v. Western Pacific R. Co., 345 U.S. 247, 258-259 (1953). Consequently, Rule 35(c) specifically provides that the filing of a suggestion for rehearing in banc, unlike a petition for rehearing, "shall not affect the finality of the judgment of the court of appeals or stay the issuance of the mandate."</w:t>
      </w:r>
    </w:p>
    <w:p w:rsidR="00A31137" w:rsidRPr="00A31137" w:rsidRDefault="00A31137" w:rsidP="00A31137">
      <w:r w:rsidRPr="00A31137">
        <w:t>1990, Missouri v. Jenkins, 495 U.S. 81</w:t>
      </w:r>
    </w:p>
    <w:p w:rsidR="00A31137" w:rsidRPr="00A31137" w:rsidRDefault="00A31137" w:rsidP="00A31137">
      <w:r w:rsidRPr="00A31137">
        <w:t>15. We note that the Federal Rules of Appellate Procedure and 28 U.S.C. § 46(c) (1982 ed.) (which provides the Courts of Appeals with authority to sit in banc) speak of rehearing in banc, not en banc.</w:t>
      </w:r>
    </w:p>
    <w:p w:rsidR="00A31137" w:rsidRPr="00A31137" w:rsidRDefault="00A31137" w:rsidP="00A31137">
      <w:r w:rsidRPr="00A31137">
        <w:t>1990, Missouri v. Jenkins, 495 U.S. 81</w:t>
      </w:r>
    </w:p>
    <w:p w:rsidR="00A31137" w:rsidRPr="00A31137" w:rsidRDefault="00A31137" w:rsidP="00A31137">
      <w:r w:rsidRPr="00A31137">
        <w:t>16. Although respondents do not agree that the Eighth Circuit so treated the State's papers, they do not argue the Court of Appeals lacked the power to treat the State's "petition for rehearing en banc" as a petition for panel rehearing, even if it was intended subjectively and could be read objectively as only a suggestion for rehearing in banc. Furthermore, parties frequently combine a petition for rehearing and a suggestion for rehearing in banc in one document incorrectly labeled as a "petition for rehearing in banc," see Advisory Committee's Notes on Fed.Rule App.Proc. 35, 28 U.S.C.App., p. 491, and the Eighth Circuit may have believed, because of the label on the State's papers, that the State intended its filing to be read as containing both. Other Circuits routinely treat documents so labeled as containing only suggestions for rehearing in banc. See, e.g., United States v. Buljubasic, 828 F.2d 426 (CA7), cert. denied, 484 U.S. 815 (1987).</w:t>
      </w:r>
    </w:p>
    <w:p w:rsidR="00A31137" w:rsidRPr="00A31137" w:rsidRDefault="00A31137" w:rsidP="00A31137">
      <w:r w:rsidRPr="00A31137">
        <w:t>1990, Missouri v. Jenkins, 495 U.S. 81</w:t>
      </w:r>
    </w:p>
    <w:p w:rsidR="00A31137" w:rsidRPr="00A31137" w:rsidRDefault="00A31137" w:rsidP="00A31137">
      <w:r w:rsidRPr="00A31137">
        <w:t>17. Rule 35(c) explicitly states that the pendency of a suggestion for rehearing in banc shall not "affect the finality of the judgment of the court of appeals or stay the issuance of the mandate." Rule 41(a) requires the mandate of the Court of Appeals to issue "21 days after the entry of judgment unless the time is shortened or enlarged by order," but provides that a timely petition for panel rehearing "will stay the mandate until disposition of the petition unless otherwise ordered by the court." This case thus stands in contrast to United States v. Buljubasic, supra, where the Court of Appeals allowed the mandate to issue even though the appellant had filed a "Petition for Rehearing En Banc." In that case, the Court of Appeals treated the "Petition" as only a suggestion for rehearing in banc, and allowed the mandate to issue, as it was required to do under Rule 35(c).</w:t>
      </w:r>
    </w:p>
    <w:p w:rsidR="00A31137" w:rsidRPr="00A31137" w:rsidRDefault="00A31137" w:rsidP="00A31137">
      <w:r w:rsidRPr="00A31137">
        <w:t>1990, Missouri v. Jenkins, 495 U.S. 81</w:t>
      </w:r>
    </w:p>
    <w:p w:rsidR="00A31137" w:rsidRPr="00A31137" w:rsidRDefault="00A31137" w:rsidP="00A31137">
      <w:r w:rsidRPr="00A31137">
        <w:t>18. The Court of Appeals "affirm[ed] the actions that the court has taken to this point" but detailed "the procedures which the district court should use in the future." 855 F.2d at 1314. The Court of Appeals' discussion of the procedures to be used in the future was not dictum, for the court had before it the State's appeal from the entire funding order of the District Court. The Court of Appeals required the District Court to use the less obtrusive procedures beginning with the fiscal year commencing after the remand, but did not require the District Court to reverse the tax increase that it had imposed for prior fiscal years. See 855 F.2d at 1299 ("[W]e modify [the order's] future operation to more closely comport with limitations upon our judicial authority"); id. at 1318 ("[W]e…remand for further modifications as provided in this opinion"). This interpretation is supported by an order of the District Court issued on January 3, 1989. The District Court took no action to reverse its tax increase through fiscal year 1988-1989. The court also denied as premature a motion by KCMSD to approve a proposed property tax levy of $4.23 for fiscal year 1989-1990. The court then directed KCMSD to</w:t>
      </w:r>
    </w:p>
    <w:p w:rsidR="00A31137" w:rsidRPr="00A31137" w:rsidRDefault="00A31137" w:rsidP="00A31137">
      <w:r w:rsidRPr="00A31137">
        <w:t>1990, Missouri v. Jenkins, 495 U.S. 81</w:t>
      </w:r>
    </w:p>
    <w:p w:rsidR="00A31137" w:rsidRPr="00A31137" w:rsidRDefault="00A31137" w:rsidP="00A31137">
      <w:r w:rsidRPr="00A31137">
        <w:t>approve a property tax levy rate for 1989 at a later date when financial calculations for the 1989-1990 school year are clear and submit the proposed levy rate to the Court for approval at that time.</w:t>
      </w:r>
    </w:p>
    <w:p w:rsidR="00A31137" w:rsidRPr="00A31137" w:rsidRDefault="00A31137" w:rsidP="00A31137">
      <w:r w:rsidRPr="00A31137">
        <w:t>1990, Missouri v. Jenkins, 495 U.S. 81</w:t>
      </w:r>
    </w:p>
    <w:p w:rsidR="00A31137" w:rsidRPr="00A31137" w:rsidRDefault="00A31137" w:rsidP="00A31137">
      <w:r w:rsidRPr="00A31137">
        <w:t>App. 511-512. This direction indicates that the District Court understood that it was now obliged to allow KCMSD to set the tax levy itself. The District Court's approval of the levy was necessary because the Court of Appeals had required it to establish a maximum for the levy. See 855 F.2d at 1314.</w:t>
      </w:r>
    </w:p>
    <w:p w:rsidR="00A31137" w:rsidRPr="00A31137" w:rsidRDefault="00A31137" w:rsidP="00A31137">
      <w:r w:rsidRPr="00A31137">
        <w:t>1990, Missouri v. Jenkins, 495 U.S. 81</w:t>
      </w:r>
    </w:p>
    <w:p w:rsidR="00A31137" w:rsidRPr="00A31137" w:rsidRDefault="00A31137" w:rsidP="00A31137">
      <w:r w:rsidRPr="00A31137">
        <w:t>19. See Tr. of Oral Arg. 14. This suggestion was also made by the judge dissenting below and by Clark Group. See 855 F.2d at 1318 (Lay, C.J., concurring and dissenting); Brief for Icelean Clark, et al. as Amici Curiae 25-26.</w:t>
      </w:r>
    </w:p>
    <w:p w:rsidR="00A31137" w:rsidRPr="00A31137" w:rsidRDefault="00A31137" w:rsidP="00A31137">
      <w:r w:rsidRPr="00A31137">
        <w:t>1990, Missouri v. Jenkins, 495 U.S. 81</w:t>
      </w:r>
    </w:p>
    <w:p w:rsidR="00A31137" w:rsidRPr="00A31137" w:rsidRDefault="00A31137" w:rsidP="00A31137">
      <w:r w:rsidRPr="00A31137">
        <w:t>20. The old cases recognized two exceptions to this rule, neither of which is relevant here. First, it was held that federal courts could not, by writ of mandamus, compel state officers to release funds in the state treasury sufficient to satisfy state bond obligations. The Court viewed this attempt to employ the writ of mandamus as a ruse to avoid the Eleventh Amendment's bar against exercising federal jurisdiction over the State. See Louisiana v. Jumel, 107 U.S. 711, 720-721 (1883). This holding has no application to this case, for the Eleventh Amendment does not bar federal courts from imposing on the States the costs of securing prospective compliance with a desegregation order, Milliken v. Bradley, 433 U.S. 267,  290 (1977), and does not afford local school boards like KCMSD immunity from suit, Mt. Healthy City School Dist. Bd of Education v. Doyle, 429 U.S. 274, 280-281 (1977). Second, it was held that the writ of mandamus would not lie to compel the collection of taxes when there was no person against whom the writ could operate. See Meriwether v. Garrett, 102 U.S. 472, 501 (1880); id. at 515 (Field, J., concurring in judgment) ("[W]hen the law is gone, and the office of the collector abolished, there is nothing upon which the courts can act"); cf. Wolff v. New Orleans, 103 U.S. 358, 368 (1880) (distinguishing Meriwether, supra,). This exception also has no application to this case, where there are state and local officials invested with authority to collect and disburse the property tax and where, as matters now stand, the District Court need only prevent those officials from applying state law that would interfere with the willing levy of property taxes by KCMSD.</w:t>
      </w:r>
    </w:p>
    <w:p w:rsidR="00A31137" w:rsidRPr="00A31137" w:rsidRDefault="00A31137" w:rsidP="00A31137">
      <w:r w:rsidRPr="00A31137">
        <w:t>1990, Missouri v. Jenkins, 495 U.S. 81</w:t>
      </w:r>
    </w:p>
    <w:p w:rsidR="00A31137" w:rsidRPr="00A31137" w:rsidRDefault="00A31137" w:rsidP="00A31137">
      <w:r w:rsidRPr="00A31137">
        <w:t>21. United States v. County of Macon, 99 U.S. 582 (1879), held that mandamus would not lie to force a local government to levy taxes in excess of the limits contained in a statute in effect at the time the City incurred its bonded indebtedness, for the explicit limitation on the taxing power became part of the contract, the bondholders had notice of the limitation and were deemed to have consented to it, and hence no contractual remedy was unconstitutionally impaired by observing the statute. County of Macon has little relevance to the present case, for KCMSD's obligation to fund the desegregation remedy arises from its operation of a segregated school system in violation of the Constitution, not from a contract between KCMSD and respondents.</w:t>
      </w:r>
    </w:p>
    <w:p w:rsidR="00A31137" w:rsidRPr="00A31137" w:rsidRDefault="00A31137" w:rsidP="00A31137">
      <w:r w:rsidRPr="00A31137">
        <w:t>Board of Education v. Mergens, 1990</w:t>
      </w:r>
    </w:p>
    <w:p w:rsidR="00A31137" w:rsidRPr="00A31137" w:rsidRDefault="00A31137" w:rsidP="00A31137">
      <w:r w:rsidRPr="00A31137">
        <w:t>Title:</w:t>
      </w:r>
      <w:r w:rsidRPr="00A31137">
        <w:tab/>
        <w:t>Board of Education of Westside Community Schools v. Mergens By and Through Mergens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4, 1990</w:t>
      </w:r>
    </w:p>
    <w:p w:rsidR="00A31137" w:rsidRPr="00A31137" w:rsidRDefault="00A31137" w:rsidP="00A31137">
      <w:r w:rsidRPr="00A31137">
        <w:t>Source:</w:t>
      </w:r>
      <w:r w:rsidRPr="00A31137">
        <w:tab/>
        <w:t>496 U.S. 226</w:t>
      </w:r>
    </w:p>
    <w:p w:rsidR="00A31137" w:rsidRPr="00A31137" w:rsidRDefault="00A31137" w:rsidP="00A31137">
      <w:r w:rsidRPr="00A31137">
        <w:t>This case was argued January 9, 1990, and was decided June 4, 1990.</w:t>
      </w:r>
    </w:p>
    <w:p w:rsidR="00A31137" w:rsidRPr="00A31137" w:rsidRDefault="00A31137" w:rsidP="00A31137">
      <w:r w:rsidRPr="00A31137">
        <w:t>CERTIORARI TO THE UNITED STATES COURT OF APPEALS FOR</w:t>
      </w:r>
    </w:p>
    <w:p w:rsidR="00A31137" w:rsidRPr="00A31137" w:rsidRDefault="00A31137" w:rsidP="00A31137">
      <w:r w:rsidRPr="00A31137">
        <w:t>THE EIGHTH CIRCUIT</w:t>
      </w:r>
    </w:p>
    <w:p w:rsidR="00A31137" w:rsidRPr="00A31137" w:rsidRDefault="00A31137" w:rsidP="00A31137">
      <w:r w:rsidRPr="00A31137">
        <w:t>Syllabus</w:t>
      </w:r>
    </w:p>
    <w:p w:rsidR="00A31137" w:rsidRPr="00A31137" w:rsidRDefault="00A31137" w:rsidP="00A31137">
      <w:r w:rsidRPr="00A31137">
        <w:t>1990, Board of Educ. v. Mergens, 496 U.S. 226</w:t>
      </w:r>
    </w:p>
    <w:p w:rsidR="00A31137" w:rsidRPr="00A31137" w:rsidRDefault="00A31137" w:rsidP="00A31137">
      <w:r w:rsidRPr="00A31137">
        <w:t>Westside High School, a public secondary school that receives federal financial assistance, permits its students to join, on a voluntary basis, a number of recognized groups and clubs, all of which meet after school hours on school premises. Citing the Establishment Clause and a School Board policy requiring clubs to have faculty sponsorship, petitioner school officials denied the request of respondent Mergens for permission to form a Christian club that would have the same privileges and meet on the same terms and conditions as other Westside student groups, except that it would have no faculty sponsor. After the Board voted to uphold the denial, respondents, current and former Westside students, brought suit seeking declaratory and injunctive relief. They alleged, inter alia, that the refusal to permit the proposed club to meet at Westside violated the Equal Access Act, which prohibits public secondary schools that receive federal assistance and that maintain a "limited open forum" from denying "equal access" to students who wish to meet within the forum on the basis of the "religious, political, philosophical, or other content" of the speech at such meetings. In reversing the District Court's entry of judgment for petitioners, the Court of Appeals held that the Act applied to forbid discrimination against respondents' proposed club on the basis of its religious content, and that the Act did not violate the Establishment Clause.</w:t>
      </w:r>
    </w:p>
    <w:p w:rsidR="00A31137" w:rsidRPr="00A31137" w:rsidRDefault="00A31137" w:rsidP="00A31137">
      <w:r w:rsidRPr="00A31137">
        <w:t>1990, Board of Educ. v. Mergens, 496 U.S. 226</w:t>
      </w:r>
    </w:p>
    <w:p w:rsidR="00A31137" w:rsidRPr="00A31137" w:rsidRDefault="00A31137" w:rsidP="00A31137">
      <w:r w:rsidRPr="00A31137">
        <w:t>Held: The judgment is affirmed.</w:t>
      </w:r>
    </w:p>
    <w:p w:rsidR="00A31137" w:rsidRPr="00A31137" w:rsidRDefault="00A31137" w:rsidP="00A31137">
      <w:r w:rsidRPr="00A31137">
        <w:t>1990, Board of Educ. v. Mergens, 496 U.S. 226</w:t>
      </w:r>
    </w:p>
    <w:p w:rsidR="00A31137" w:rsidRPr="00A31137" w:rsidRDefault="00A31137" w:rsidP="00A31137">
      <w:r w:rsidRPr="00A31137">
        <w:t>867 F.2d 1076 (CA8 1989), affirmed.</w:t>
      </w:r>
    </w:p>
    <w:p w:rsidR="00A31137" w:rsidRPr="00A31137" w:rsidRDefault="00A31137" w:rsidP="00A31137">
      <w:r w:rsidRPr="00A31137">
        <w:t>1990, Board of Educ. v. Mergens, 496 U.S. 226</w:t>
      </w:r>
    </w:p>
    <w:p w:rsidR="00A31137" w:rsidRPr="00A31137" w:rsidRDefault="00A31137" w:rsidP="00A31137">
      <w:r w:rsidRPr="00A31137">
        <w:t>Justice O'CONNOR delivered the opinion of the Court with respect to Parts I, II-A, II-B, and II-C, concluding that petitioners violated the Equal Access Act by denying official recognition to respondents' proposed club. Pp.  234-247.</w:t>
      </w:r>
    </w:p>
    <w:p w:rsidR="00A31137" w:rsidRPr="00A31137" w:rsidRDefault="00A31137" w:rsidP="00A31137">
      <w:r w:rsidRPr="00A31137">
        <w:t>1990, Board of Educ. v. Mergens, 496 U.S. 226</w:t>
      </w:r>
    </w:p>
    <w:p w:rsidR="00A31137" w:rsidRPr="00A31137" w:rsidRDefault="00A31137" w:rsidP="00A31137">
      <w:r w:rsidRPr="00A31137">
        <w:t>(a) The Act provides, among other things, that a "limited open forum" exists whenever a covered school "grants an offering to or opportunity for one or more noncurriculum related student groups to meet on school premises." Its equal access obligation is therefore triggered even if [496 U.S. 227] such a school allows only one "noncurriculum related" group to meet. Pp. 234-237.</w:t>
      </w:r>
    </w:p>
    <w:p w:rsidR="00A31137" w:rsidRPr="00A31137" w:rsidRDefault="00A31137" w:rsidP="00A31137">
      <w:r w:rsidRPr="00A31137">
        <w:t>1990, Board of Educ. v. Mergens, 496 U.S. 227</w:t>
      </w:r>
    </w:p>
    <w:p w:rsidR="00A31137" w:rsidRPr="00A31137" w:rsidRDefault="00A31137" w:rsidP="00A31137">
      <w:r w:rsidRPr="00A31137">
        <w:t>(b) Although the Act does not define the crucial phrase "noncurriculum related student group," that term is best interpreted in the light of the Act's language, logic, and nondiscriminatory purpose, and Congress' intent to provide a low threshold for triggering the Act's requirements, to mean any student group that does not directly relate to the body of courses offered by the school. A group directly relates to a school's curriculum if the group's subject matter is actually taught, or will soon be taught, in a regularly offered course; if that subject matter concerns the body of courses as a whole; or if participation in the group is required for a particular course or results in academic credit. Whether a specific group is "noncurriculum related" will therefore depend on the particular school's curriculum, a determination that would be subject to factual findings well within the competence of trial courts to make. Pp.  237-243.</w:t>
      </w:r>
    </w:p>
    <w:p w:rsidR="00A31137" w:rsidRPr="00A31137" w:rsidRDefault="00A31137" w:rsidP="00A31137">
      <w:r w:rsidRPr="00A31137">
        <w:t>1990, Board of Educ. v. Mergens, 496 U.S. 227</w:t>
      </w:r>
    </w:p>
    <w:p w:rsidR="00A31137" w:rsidRPr="00A31137" w:rsidRDefault="00A31137" w:rsidP="00A31137">
      <w:r w:rsidRPr="00A31137">
        <w:t>(c) Westside's existing student clubs include one or more "noncurriculum related student group[s]" under the foregoing standard. For example, Subsurfers, a club for students interested in scuba diving, is such a group, since its subject matter is not taught in any regularly offered course; it does not directly relate to the curriculum as a whole in the same way that a student government or similar group might; and participation in it is not required by any course and does not result in extra academic credit. Thus, the school has maintained a "limited open forum" under the Act and is prohibited from discriminating, based on the content of the students' speech, against students who wish to meet on school premises during noninstructional time. Pp.  243-247.</w:t>
      </w:r>
    </w:p>
    <w:p w:rsidR="00A31137" w:rsidRPr="00A31137" w:rsidRDefault="00A31137" w:rsidP="00A31137">
      <w:r w:rsidRPr="00A31137">
        <w:t>1990, Board of Educ. v. Mergens, 496 U.S. 227</w:t>
      </w:r>
    </w:p>
    <w:p w:rsidR="00A31137" w:rsidRPr="00A31137" w:rsidRDefault="00A31137" w:rsidP="00A31137">
      <w:r w:rsidRPr="00A31137">
        <w:t xml:space="preserve">(d) Westside's denial of respondents' request to form a religious group constitutes a denial of "equal access" to the school's limited open forum. Although the school apparently permits respondents to meet informally after school, they seek equal access in the form of official recognition, which allows clubs to be part of the student activities program and carries with it access to the school newspaper, bulletin boards, public address system, and annual Club Fair. Since denial of such recognition is based on the religious content of the meetings respondents wish to conduct within the school's limited open forum, it violates the Act. Pp.  247-253. [496 U.S. 228] </w:t>
      </w:r>
    </w:p>
    <w:p w:rsidR="00A31137" w:rsidRPr="00A31137" w:rsidRDefault="00A31137" w:rsidP="00A31137">
      <w:r w:rsidRPr="00A31137">
        <w:t>1990, Board of Educ. v. Mergens, 496 U.S. 228</w:t>
      </w:r>
    </w:p>
    <w:p w:rsidR="00A31137" w:rsidRPr="00A31137" w:rsidRDefault="00A31137" w:rsidP="00A31137">
      <w:r w:rsidRPr="00A31137">
        <w:t>Justice O'CONNOR, joined by THE CHIEF JUSTICE, Justice WHITE, and Justice BLACKMUN, concluded in Part III that the Equal Access Act does not, on its face and as applied to Westside, contravene the Establishment Clause. The logic of Widmar v. Vincent, 454 U.S. 263, 271-275—which applied the three-part test of Lemon v. Kurtzman, 403 U.S. 602, 612-613, to hold that an "equal access" policy, at the state university level, does not violate the Clause—applies with equal force to the Act.</w:t>
      </w:r>
    </w:p>
    <w:p w:rsidR="00A31137" w:rsidRPr="00A31137" w:rsidRDefault="00A31137" w:rsidP="00A31137">
      <w:r w:rsidRPr="00A31137">
        <w:t>1990, Board of Educ. v. Mergens, 496 U.S. 228</w:t>
      </w:r>
    </w:p>
    <w:p w:rsidR="00A31137" w:rsidRPr="00A31137" w:rsidRDefault="00A31137" w:rsidP="00A31137">
      <w:r w:rsidRPr="00A31137">
        <w:t>(a) Because the Act on its face grants equal access to both secular and religious speech, it meets the secular purpose prong of the test. Pp.  248-249.</w:t>
      </w:r>
    </w:p>
    <w:p w:rsidR="00A31137" w:rsidRPr="00A31137" w:rsidRDefault="00A31137" w:rsidP="00A31137">
      <w:r w:rsidRPr="00A31137">
        <w:t>1990, Board of Educ. v. Mergens, 496 U.S. 228</w:t>
      </w:r>
    </w:p>
    <w:p w:rsidR="00A31137" w:rsidRPr="00A31137" w:rsidRDefault="00A31137" w:rsidP="00A31137">
      <w:r w:rsidRPr="00A31137">
        <w:t>(b) The Act does not have the primary effect of advancing religion. There is a crucial difference between government and private speech endorsing religion, and, as Congress recognized in passing the Act, high school students are mature enough and are likely to understand that a school does not endorse or support student speech that it merely permits on a nondiscriminatory basis. Moreover, the Act expressly limits participation by school officials at student religious group meetings and requires that such meetings be held during "noninstructional time," and thereby avoids the problems of the students' emulation of teachers as role models and mandatory attendance requirements that might otherwise indicate official endorsement or coercion. Although the possibility of student peer pressure remains, there is little if any risk of government endorsement or coercion where no formal classroom activities are involved and no school officials actively participate. Pp.  249-252.</w:t>
      </w:r>
    </w:p>
    <w:p w:rsidR="00A31137" w:rsidRPr="00A31137" w:rsidRDefault="00A31137" w:rsidP="00A31137">
      <w:r w:rsidRPr="00A31137">
        <w:t>1990, Board of Educ. v. Mergens, 496 U.S. 228</w:t>
      </w:r>
    </w:p>
    <w:p w:rsidR="00A31137" w:rsidRPr="00A31137" w:rsidRDefault="00A31137" w:rsidP="00A31137">
      <w:r w:rsidRPr="00A31137">
        <w:t>(c) Westside does not risk excessive entanglement between government and religion by complying with the Act, since the Act's provisions prohibit faculty monitors from participating in, nonschool persons from directing, controlling, or regularly attending, and school "sponsorship" of, religious meetings. Indeed, a denial of equal access might well create greater entanglement problems in the form of invasive monitoring to prevent religious speech at meetings at which it might occur. Pp.  252-253.</w:t>
      </w:r>
    </w:p>
    <w:p w:rsidR="00A31137" w:rsidRPr="00A31137" w:rsidRDefault="00A31137" w:rsidP="00A31137">
      <w:r w:rsidRPr="00A31137">
        <w:t>1990, Board of Educ. v. Mergens, 496 U.S. 228</w:t>
      </w:r>
    </w:p>
    <w:p w:rsidR="00A31137" w:rsidRPr="00A31137" w:rsidRDefault="00A31137" w:rsidP="00A31137">
      <w:r w:rsidRPr="00A31137">
        <w:t>Justice KENNEDY, joined by Justice SCALIA, agreeing that the Act does not violate the Establishment Clause, concluded that, since the accommodation of religion mandated by the Act is a neutral one, in the context of this case it suffices to inquire whether the Act violates either of two principles. First, the government cannot give direct benefits to religion in such a degree that it in fact establishes a state religion or religious faith, or tends to do so. County of Allegheny v. American Civil Liberties Union, Greater Pittsburgh Chapter, 492 U.S. 573,  655 (KENNEDY, J., concurring in judgment in part and dissenting in part). Any incidental benefits that accompany official recognition of a religious club under the Act's criteria do not lead to the establishment of religion under this standard. See Widmar v. Vincent, 454 U.S. 263. Second, the government cannot coerce any student to participate in a religious activity. Cf. County of Allegheny, supra, 492 U.S. at  659. The Act also satisfies this standard, since nothing on its face or in the facts of this case demonstrates that its enforcement will pressure students to participate in such an activity. Pp.  258-258, 260-262.</w:t>
      </w:r>
    </w:p>
    <w:p w:rsidR="00A31137" w:rsidRPr="00A31137" w:rsidRDefault="00A31137" w:rsidP="00A31137">
      <w:r w:rsidRPr="00A31137">
        <w:t>1990, Board of Educ. v. Mergens, 496 U.S. 228</w:t>
      </w:r>
    </w:p>
    <w:p w:rsidR="00A31137" w:rsidRPr="00A31137" w:rsidRDefault="00A31137" w:rsidP="00A31137">
      <w:r w:rsidRPr="00A31137">
        <w:t>Justice MARSHALL, joined by Justice BRENNAN, although agreeing that the Act as applied to Westside could withstand Establishment [496 U.S. 229] Clause scrutiny, concluded that the inclusion of the Christian Club in the type of forum presently established at the school, without more, will not assure government neutrality toward religion. Pp. 263-270.</w:t>
      </w:r>
    </w:p>
    <w:p w:rsidR="00A31137" w:rsidRPr="00A31137" w:rsidRDefault="00A31137" w:rsidP="00A31137">
      <w:r w:rsidRPr="00A31137">
        <w:t>1990, Board of Educ. v. Mergens, 496 U.S. 229</w:t>
      </w:r>
    </w:p>
    <w:p w:rsidR="00A31137" w:rsidRPr="00A31137" w:rsidRDefault="00A31137" w:rsidP="00A31137">
      <w:r w:rsidRPr="00A31137">
        <w:t>(a) The introduction of religious speech into the public schools reveals the tension between the Free Speech and Establishment Clauses, because the failure of a school to stand apart from religious speech can convey a message that the school endorses rather than merely tolerates that speech. Thus, the particular vigilance this Court has shown in monitoring compliance with the Establishment Clause in elementary and secondary schools, see, e.g., Edwards v. Aguillard, 482 U.S. 578, 583-584, must extend to monitoring of the actual effects of an "equal access" policy. Pp.  263-264.</w:t>
      </w:r>
    </w:p>
    <w:p w:rsidR="00A31137" w:rsidRPr="00A31137" w:rsidRDefault="00A31137" w:rsidP="00A31137">
      <w:r w:rsidRPr="00A31137">
        <w:t>1990, Board of Educ. v. Mergens, 496 U.S. 229</w:t>
      </w:r>
    </w:p>
    <w:p w:rsidR="00A31137" w:rsidRPr="00A31137" w:rsidRDefault="00A31137" w:rsidP="00A31137">
      <w:r w:rsidRPr="00A31137">
        <w:t>(b) The plurality misplaces its reliance on Widmar v. Vincent, 454 U.S. 263 in light of the substantially different character of the student forum at issue here. In Widmar, the state university maintained a wide-open and independent forum, affording many ideological organizations access to school facilities; took concrete steps to assure that the university's name was not identified with the policies or programs of any student group; and emphasized the autonomy of its students. Here, in contrast, Westside currently does not recognize any student group that advocates a controversial viewpoint and explicitly promotes its student clubs as a vital part of its total educational program and as a means of developing citizenship, shaping character, and inculcating fundamental values. Moreover, the absence of other advocacy-oriented clubs in the highly controlled environment provides a fertile ground for peer pressure. In these circumstances, Westside's failure to disassociate itself from the activities and goals of the Christian Club poses a real danger that it will be viewed by students as endorsing religious activity. Pp.  264-269.</w:t>
      </w:r>
    </w:p>
    <w:p w:rsidR="00A31137" w:rsidRPr="00A31137" w:rsidRDefault="00A31137" w:rsidP="00A31137">
      <w:r w:rsidRPr="00A31137">
        <w:t>1990, Board of Educ. v. Mergens, 496 U.S. 229</w:t>
      </w:r>
    </w:p>
    <w:p w:rsidR="00A31137" w:rsidRPr="00A31137" w:rsidRDefault="00A31137" w:rsidP="00A31137">
      <w:r w:rsidRPr="00A31137">
        <w:t>(c) Thus, Westside must take steps to fully disassociate itself from the Christian Club's religious speech and avoid appearing to sponsor or endorse the Club's goals. It could, for example, entirely discontinue encouraging student participation in clubs, and clarify that the clubs are not instrumentally related to the school's overall mission. Or, if Westside sought to continue its general endorsement of those clubs that did not engage in controversial speech, it could do so if it also affirmatively disclaimed endorsement of the Christian Club. Pp.  269-270.</w:t>
      </w:r>
    </w:p>
    <w:p w:rsidR="00A31137" w:rsidRPr="00A31137" w:rsidRDefault="00A31137" w:rsidP="00A31137">
      <w:r w:rsidRPr="00A31137">
        <w:t>1990, Board of Educ. v. Mergens, 496 U.S. 229</w:t>
      </w:r>
    </w:p>
    <w:p w:rsidR="00A31137" w:rsidRPr="00A31137" w:rsidRDefault="00A31137" w:rsidP="00A31137">
      <w:r w:rsidRPr="00A31137">
        <w:t xml:space="preserve">O'CONNOR, J., announced the judgment of the Court and delivered the opinion of the Court with respect to Parts I, II-A II-B, and II-C, in which REHNQUIST, C.J., and WHITE, BLACKMUN, SCALIA, and KENNEDY, JJ., joined, and an opinion with respect to Part III, in which REHNQUIST, C.J., and WHITE AND BLACKMUN, JJ., joined. KENNEDY, J., filed an opinion [496 U.S. 230] concurring in part and concurring in the judgment, in which SCALIA, J., joined, post, p. 258. MARSHALL, J., filed an opinion concurring in the judgment, in which BRENNAN, J., joined. STEVENS, J., filed a dissenting opinion, post, p.  270. [496 U.S. 231] </w:t>
      </w:r>
    </w:p>
    <w:p w:rsidR="00A31137" w:rsidRPr="00A31137" w:rsidRDefault="00A31137" w:rsidP="00A31137">
      <w:r w:rsidRPr="00A31137">
        <w:t>O'CONNOR, J., lead opinion</w:t>
      </w:r>
    </w:p>
    <w:p w:rsidR="00A31137" w:rsidRPr="00A31137" w:rsidRDefault="00A31137" w:rsidP="00A31137">
      <w:r w:rsidRPr="00A31137">
        <w:t>OPINION</w:t>
      </w:r>
    </w:p>
    <w:p w:rsidR="00A31137" w:rsidRPr="00A31137" w:rsidRDefault="00A31137" w:rsidP="00A31137">
      <w:r w:rsidRPr="00A31137">
        <w:t>1990, Board of Educ. v. Mergens, 496 U.S. 231</w:t>
      </w:r>
    </w:p>
    <w:p w:rsidR="00A31137" w:rsidRPr="00A31137" w:rsidRDefault="00A31137" w:rsidP="00A31137">
      <w:r w:rsidRPr="00A31137">
        <w:t>Justice O'CONNOR delivered the opinion of the Court, except as to Part III.</w:t>
      </w:r>
    </w:p>
    <w:p w:rsidR="00A31137" w:rsidRPr="00A31137" w:rsidRDefault="00A31137" w:rsidP="00A31137">
      <w:r w:rsidRPr="00A31137">
        <w:t>1990, Board of Educ. v. Mergens, 496 U.S. 231</w:t>
      </w:r>
    </w:p>
    <w:p w:rsidR="00A31137" w:rsidRPr="00A31137" w:rsidRDefault="00A31137" w:rsidP="00A31137">
      <w:r w:rsidRPr="00A31137">
        <w:t>This case requires us to decide whether the Equal Access Act, 98 Stat. 1302, 20 U.S.C. §§ 4071-4074, prohibits Westside High School from denying a student religious group permission to meet on school premises during noninstructional time, and if so, whether the Act, so construed, violates the Establishment Clause of the First Amendment.</w:t>
      </w:r>
    </w:p>
    <w:p w:rsidR="00A31137" w:rsidRPr="00A31137" w:rsidRDefault="00A31137" w:rsidP="00A31137">
      <w:r w:rsidRPr="00A31137">
        <w:t>I</w:t>
      </w:r>
    </w:p>
    <w:p w:rsidR="00A31137" w:rsidRPr="00A31137" w:rsidRDefault="00A31137" w:rsidP="00A31137">
      <w:r w:rsidRPr="00A31137">
        <w:t>1990, Board of Educ. v. Mergens, 496 U.S. 231</w:t>
      </w:r>
    </w:p>
    <w:p w:rsidR="00A31137" w:rsidRPr="00A31137" w:rsidRDefault="00A31137" w:rsidP="00A31137">
      <w:r w:rsidRPr="00A31137">
        <w:t>Respondents are current and former students at Westside High School, a public secondary school in Omaha, Nebraska. At the time this suit was filed, the school enrolled about 1,450 students and included grades 10 to 12; in the 1987-1988 school year, ninth graders were added. Westside High School is part of the Westside Community School system, an independent public school district. Petitioners are the Board of Education of Westside Community Schools (District 66); Wayne W. Meier, the president of the school board; James E. Findley, the principal of Westside High School; Kenneth K. Hanson, the superintendent of schools for the school district; and James A. Tangdell, the assistant superintendent of schools for the school district.</w:t>
      </w:r>
    </w:p>
    <w:p w:rsidR="00A31137" w:rsidRPr="00A31137" w:rsidRDefault="00A31137" w:rsidP="00A31137">
      <w:r w:rsidRPr="00A31137">
        <w:t>1990, Board of Educ. v. Mergens, 496 U.S. 231</w:t>
      </w:r>
    </w:p>
    <w:p w:rsidR="00A31137" w:rsidRPr="00A31137" w:rsidRDefault="00A31137" w:rsidP="00A31137">
      <w:r w:rsidRPr="00A31137">
        <w:t>Students at Westside High School are permitted to join various student groups and clubs, all of which meet after school hours on school premises. The students may choose from approximately 30 recognized groups on a voluntary basis. A list of student groups, together with a brief description of each provided by the school, appears in the Appendix to this opinion.</w:t>
      </w:r>
    </w:p>
    <w:p w:rsidR="00A31137" w:rsidRPr="00A31137" w:rsidRDefault="00A31137" w:rsidP="00A31137">
      <w:r w:rsidRPr="00A31137">
        <w:t>1990, Board of Educ. v. Mergens, 496 U.S. 231</w:t>
      </w:r>
    </w:p>
    <w:p w:rsidR="00A31137" w:rsidRPr="00A31137" w:rsidRDefault="00A31137" w:rsidP="00A31137">
      <w:r w:rsidRPr="00A31137">
        <w:t xml:space="preserve">School Board Policy 5610 concerning "Student Clubs and Organizations" recognizes these student clubs as a "vital part of the total education program as a means of developing citizenship, wholesome attitudes, good human relations, knowledge and skills." App. 488. Board Policy 5610 also provides that each club shall have faculty sponsorship and that [496 U.S. 232] </w:t>
      </w:r>
    </w:p>
    <w:p w:rsidR="00A31137" w:rsidRPr="00A31137" w:rsidRDefault="00A31137" w:rsidP="00A31137">
      <w:r w:rsidRPr="00A31137">
        <w:t>1990, Board of Educ. v. Mergens, 496 U.S. 232</w:t>
      </w:r>
    </w:p>
    <w:p w:rsidR="00A31137" w:rsidRPr="00A31137" w:rsidRDefault="00A31137" w:rsidP="00A31137">
      <w:r w:rsidRPr="00A31137">
        <w:t>clubs and organizations shall not be sponsored by any political or religious organization, or by any organization which denies membership on the basis of race, color, creed, sex or political belief.</w:t>
      </w:r>
    </w:p>
    <w:p w:rsidR="00A31137" w:rsidRPr="00A31137" w:rsidRDefault="00A31137" w:rsidP="00A31137">
      <w:r w:rsidRPr="00A31137">
        <w:t>1990, Board of Educ. v. Mergens, 496 U.S. 232</w:t>
      </w:r>
    </w:p>
    <w:p w:rsidR="00A31137" w:rsidRPr="00A31137" w:rsidRDefault="00A31137" w:rsidP="00A31137">
      <w:r w:rsidRPr="00A31137">
        <w:t>Ibid. Board Policy 6180, on "Recognition of Religious Beliefs and Customs" requires that "[s]tudents adhering to a specific set of religious beliefs or holding to little or no belief shall be alike respected." Id. at 462. In addition, Board Policy 5450 recognizes its students' "Freedom of Expression," consistent with the authority of the Board. Id. at 489.</w:t>
      </w:r>
    </w:p>
    <w:p w:rsidR="00A31137" w:rsidRPr="00A31137" w:rsidRDefault="00A31137" w:rsidP="00A31137">
      <w:r w:rsidRPr="00A31137">
        <w:t>1990, Board of Educ. v. Mergens, 496 U.S. 232</w:t>
      </w:r>
    </w:p>
    <w:p w:rsidR="00A31137" w:rsidRPr="00A31137" w:rsidRDefault="00A31137" w:rsidP="00A31137">
      <w:r w:rsidRPr="00A31137">
        <w:t>There is no written school board policy concerning the formation of student clubs. Rather, students wishing to form a club present their request to a school official, who determines whether the proposed club's goals and objectives are consistent with school board policies and with the school district's "Mission and Goals"—a broadly worded "blueprint" that expresses the district's commitment to teaching academic, physical, civic, and personal skills and values. Id. at 473-478.</w:t>
      </w:r>
    </w:p>
    <w:p w:rsidR="00A31137" w:rsidRPr="00A31137" w:rsidRDefault="00A31137" w:rsidP="00A31137">
      <w:r w:rsidRPr="00A31137">
        <w:t>1990, Board of Educ. v. Mergens, 496 U.S. 232</w:t>
      </w:r>
    </w:p>
    <w:p w:rsidR="00A31137" w:rsidRPr="00A31137" w:rsidRDefault="00A31137" w:rsidP="00A31137">
      <w:r w:rsidRPr="00A31137">
        <w:t>In January, 1985, respondent Bridget Mergens met with Westside's principal, Dr. Findley, and requested permission to form a Christian club at the school. The proposed club would have the same privileges and meet on the same terms and conditions as other Westside student groups, except that the proposed club would not have a faculty sponsor. According to the students' testimony at trial, the club's purpose would have been, among other things, to permit the students to read and discuss the Bible, to have fellowship, and to pray together. Membership would have been voluntary and open to all students, regardless of religious affiliation.</w:t>
      </w:r>
    </w:p>
    <w:p w:rsidR="00A31137" w:rsidRPr="00A31137" w:rsidRDefault="00A31137" w:rsidP="00A31137">
      <w:r w:rsidRPr="00A31137">
        <w:t>1990, Board of Educ. v. Mergens, 496 U.S. 232</w:t>
      </w:r>
    </w:p>
    <w:p w:rsidR="00A31137" w:rsidRPr="00A31137" w:rsidRDefault="00A31137" w:rsidP="00A31137">
      <w:r w:rsidRPr="00A31137">
        <w:t>Findley denied the request, as did associate superintendent Tangdell. In February, 1985, Findley and Tangdell informed Mergens that they had discussed the matter with superintendent Hanson and that he had agreed that her request should be denied. The school officials explained that school policy required all student clubs to have a faculty sponsor, [496 U.S. 233] which the proposed religious club would not or could not have, and that a religious club at the school would violate the Establishment Clause. In March, 1985, Mergens appealed the denial of her request to the Board of Education, but the Board voted to uphold the denial.</w:t>
      </w:r>
    </w:p>
    <w:p w:rsidR="00A31137" w:rsidRPr="00A31137" w:rsidRDefault="00A31137" w:rsidP="00A31137">
      <w:r w:rsidRPr="00A31137">
        <w:t>1990, Board of Educ. v. Mergens, 496 U.S. 233</w:t>
      </w:r>
    </w:p>
    <w:p w:rsidR="00A31137" w:rsidRPr="00A31137" w:rsidRDefault="00A31137" w:rsidP="00A31137">
      <w:r w:rsidRPr="00A31137">
        <w:t>Respondents, by and through their parents as next friends, then brought this suit in the United States District Court for the District of Nebraska, seeking declaratory and injunctive relief. They alleged that petitioners' refusal to permit the proposed club to meet at Westside violated the Equal Access Act, 20 U.S.C. §§ 4071-4074, which prohibits public secondary schools that receive federal financial assistance and that maintain a "limited open forum" from denying "equal access" to students who wish to meet within the forum on the basis of the content of the speech at such meetings, § 4071(a). Respondents further alleged that petitioners' actions denied them their First and Fourteenth Amendment rights to freedom of speech, association, and the free exercise of religion. Petitioners responded that the Equal Access Act did not apply to Westside, and that, if the Act did apply, it violated the Establishment Clause of the First Amendment, and was therefore unconstitutional. The United States intervened in the action pursuant to 28 U.S.C. § 2403 to defend the constitutionality of the Act.</w:t>
      </w:r>
    </w:p>
    <w:p w:rsidR="00A31137" w:rsidRPr="00A31137" w:rsidRDefault="00A31137" w:rsidP="00A31137">
      <w:r w:rsidRPr="00A31137">
        <w:t>1990, Board of Educ. v. Mergens, 496 U.S. 233</w:t>
      </w:r>
    </w:p>
    <w:p w:rsidR="00A31137" w:rsidRPr="00A31137" w:rsidRDefault="00A31137" w:rsidP="00A31137">
      <w:r w:rsidRPr="00A31137">
        <w:t xml:space="preserve">The District Court entered judgment for petitioners. The court held that the Act did not apply in this case because Westside did not have a "limited open forum" as defined by the Act—all of Westside's student clubs, the court concluded, were curriculum-related and tied to the educational function of the school. The court rejected respondents' constitutional claims, reasoning that Westside did not have a limited public forum as set forth in Widmar v. Vincent, 454 U.S. 263 (1981), and that Westside's denial of respondents' request was reasonably related to legitimate pedagogical concerns, see Hazelwood School Dist. v. Kuhlmeier, 484 U.S. 260,  273 (1988). [496 U.S. 234] </w:t>
      </w:r>
    </w:p>
    <w:p w:rsidR="00A31137" w:rsidRPr="00A31137" w:rsidRDefault="00A31137" w:rsidP="00A31137">
      <w:r w:rsidRPr="00A31137">
        <w:t>1990, Board of Educ. v. Mergens, 496 U.S. 234</w:t>
      </w:r>
    </w:p>
    <w:p w:rsidR="00A31137" w:rsidRPr="00A31137" w:rsidRDefault="00A31137" w:rsidP="00A31137">
      <w:r w:rsidRPr="00A31137">
        <w:t>The United States Court of Appeals for the Eighth Circuit reversed. 867 F.2d 1076 (1989). The Court of Appeals held that the District Court erred in concluding that all the existing student clubs at Westside were curriculum-related. The Court of Appeals noted that the "broad interpretation" advanced by the Westside school officials "would make the [Equal Access Act] meaningless" and would allow any school to "arbitrarily deny access to school facilities to any unfavored student club on the basis of its speech content," which was "exactly the result that Congress sought to prohibit by enacting the [Act]." Id. at 1078. The Court of Appeals instead found that "[m]any of the student clubs at WHS, including the chess club, are noncurriculum-related." Id. at 1079. Accordingly, because it found that Westside maintained a limited open forum under the Act, the Court of Appeals concluded that the Act applied to "forbi[d] discrimination against [respondents'] proposed club on the basis of its religious content." Ibid.</w:t>
      </w:r>
    </w:p>
    <w:p w:rsidR="00A31137" w:rsidRPr="00A31137" w:rsidRDefault="00A31137" w:rsidP="00A31137">
      <w:r w:rsidRPr="00A31137">
        <w:t>1990, Board of Educ. v. Mergens, 496 U.S. 234</w:t>
      </w:r>
    </w:p>
    <w:p w:rsidR="00A31137" w:rsidRPr="00A31137" w:rsidRDefault="00A31137" w:rsidP="00A31137">
      <w:r w:rsidRPr="00A31137">
        <w:t>The Court of Appeals then rejected petitioners' contention that the Act violated the Establishment Clause. Noting that the Act extended the decision in Widmar v. Vincent, supra, to public secondary schools, the Court of Appeals concluded that "[a]ny constitutional attack on the [Act] must therefore be predicated on the difference between secondary school students and university students." 867 F.2d at 1080 (footnote omitted). Because "Congress considered the difference in the maturity level of secondary students and university students before passing the [Act]," the Court of Appeals held, on the basis of Congress' factfinding, that the Act did not violate the Establishment Clause. Ibid.</w:t>
      </w:r>
    </w:p>
    <w:p w:rsidR="00A31137" w:rsidRPr="00A31137" w:rsidRDefault="00A31137" w:rsidP="00A31137">
      <w:r w:rsidRPr="00A31137">
        <w:t>1990, Board of Educ. v. Mergens, 496 U.S. 234</w:t>
      </w:r>
    </w:p>
    <w:p w:rsidR="00A31137" w:rsidRPr="00A31137" w:rsidRDefault="00A31137" w:rsidP="00A31137">
      <w:r w:rsidRPr="00A31137">
        <w:t>We granted certiorari, 492 U.S. 917 (1989), and now affirm.</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1990, Board of Educ. v. Mergens, 496 U.S. 234</w:t>
      </w:r>
    </w:p>
    <w:p w:rsidR="00A31137" w:rsidRPr="00A31137" w:rsidRDefault="00A31137" w:rsidP="00A31137">
      <w:r w:rsidRPr="00A31137">
        <w:t>In Widmar v. Vincent, 454 U.S. 263 (1981), we invalidated, on free speech grounds, a state university regulation that prohibited [496 U.S. 235] student use of school facilities "'for purposes of religious worship or religious teaching.'" Id. at  265. In doing so, we held that an "equal access" policy would not violate the Establishment Clause under our decision in Lemon v. Kurtzman, 403 U.S. 602, 612-613 (1971). In particular, we held that such a policy would have a secular purpose, would not have the primary effect of advancing religion, and would not result in excessive entanglement between government and religion. Widmar, 454 U.S. at 271-274. We noted, however, that</w:t>
      </w:r>
    </w:p>
    <w:p w:rsidR="00A31137" w:rsidRPr="00A31137" w:rsidRDefault="00A31137" w:rsidP="00A31137">
      <w:r w:rsidRPr="00A31137">
        <w:t>1990, Board of Educ. v. Mergens, 496 U.S. 235</w:t>
      </w:r>
    </w:p>
    <w:p w:rsidR="00A31137" w:rsidRPr="00A31137" w:rsidRDefault="00A31137" w:rsidP="00A31137">
      <w:r w:rsidRPr="00A31137">
        <w:t>[u]niversity students are, of course, young adults. They are less impressionable than younger students, and should be able to appreciate that the University's policy is one of neutrality toward religion.</w:t>
      </w:r>
    </w:p>
    <w:p w:rsidR="00A31137" w:rsidRPr="00A31137" w:rsidRDefault="00A31137" w:rsidP="00A31137">
      <w:r w:rsidRPr="00A31137">
        <w:t>1990, Board of Educ. v. Mergens, 496 U.S. 235</w:t>
      </w:r>
    </w:p>
    <w:p w:rsidR="00A31137" w:rsidRPr="00A31137" w:rsidRDefault="00A31137" w:rsidP="00A31137">
      <w:r w:rsidRPr="00A31137">
        <w:t>Id. at  274, n. 14.</w:t>
      </w:r>
    </w:p>
    <w:p w:rsidR="00A31137" w:rsidRPr="00A31137" w:rsidRDefault="00A31137" w:rsidP="00A31137">
      <w:r w:rsidRPr="00A31137">
        <w:t>1990, Board of Educ. v. Mergens, 496 U.S. 235</w:t>
      </w:r>
    </w:p>
    <w:p w:rsidR="00A31137" w:rsidRPr="00A31137" w:rsidRDefault="00A31137" w:rsidP="00A31137">
      <w:r w:rsidRPr="00A31137">
        <w:t>In 1984, Congress extended the reasoning of Widmar to public secondary schools. Under the Equal Access Act, a public secondary school with a "limited open forum" is prohibited from discriminating against students who wish to conduct a meeting within that forum on the basis of the "religious, political, philosophical, or other content of the speech at such meetings." 20 U.S.C. §§ 4071(a) and (b). Specifically, the Act provides:</w:t>
      </w:r>
    </w:p>
    <w:p w:rsidR="00A31137" w:rsidRPr="00A31137" w:rsidRDefault="00A31137" w:rsidP="00A31137">
      <w:r w:rsidRPr="00A31137">
        <w:t>1990, Board of Educ. v. Mergens, 496 U.S. 235</w:t>
      </w:r>
    </w:p>
    <w:p w:rsidR="00A31137" w:rsidRPr="00A31137" w:rsidRDefault="00A31137" w:rsidP="00A31137">
      <w:r w:rsidRPr="00A31137">
        <w:t>It shall be unlawful for any public secondary school which receives Federal financial assistance and which has a limited open forum to deny equal access or a fair opportunity to, or discriminate against, any students who wish to conduct a meeting within that limited open forum on the basis of the religious, political, philosophical, or other content of the speech at such meetings.</w:t>
      </w:r>
    </w:p>
    <w:p w:rsidR="00A31137" w:rsidRPr="00A31137" w:rsidRDefault="00A31137" w:rsidP="00A31137">
      <w:r w:rsidRPr="00A31137">
        <w:t>1990, Board of Educ. v. Mergens, 496 U.S. 235</w:t>
      </w:r>
    </w:p>
    <w:p w:rsidR="00A31137" w:rsidRPr="00A31137" w:rsidRDefault="00A31137" w:rsidP="00A31137">
      <w:r w:rsidRPr="00A31137">
        <w:t>20 U.S.C. § 4071(a). A "limited open forum" exists whenever a public secondary school</w:t>
      </w:r>
    </w:p>
    <w:p w:rsidR="00A31137" w:rsidRPr="00A31137" w:rsidRDefault="00A31137" w:rsidP="00A31137">
      <w:r w:rsidRPr="00A31137">
        <w:t>1990, Board of Educ. v. Mergens, 496 U.S. 235</w:t>
      </w:r>
    </w:p>
    <w:p w:rsidR="00A31137" w:rsidRPr="00A31137" w:rsidRDefault="00A31137" w:rsidP="00A31137">
      <w:r w:rsidRPr="00A31137">
        <w:t>grants an offering to or opportunity for one or more noncurriculum related student groups to meet on school premises during noninstructional time.</w:t>
      </w:r>
    </w:p>
    <w:p w:rsidR="00A31137" w:rsidRPr="00A31137" w:rsidRDefault="00A31137" w:rsidP="00A31137">
      <w:r w:rsidRPr="00A31137">
        <w:t>1990, Board of Educ. v. Mergens, 496 U.S. 235</w:t>
      </w:r>
    </w:p>
    <w:p w:rsidR="00A31137" w:rsidRPr="00A31137" w:rsidRDefault="00A31137" w:rsidP="00A31137">
      <w:r w:rsidRPr="00A31137">
        <w:t>§ 4071(b). "Meeting" is defined to include "those activities of student groups which are permitted under a school's limited open forum and are not directly related to the school curriculum." § 4072(3). [496 U.S. 236] "Noninstructional time" is defined to mean "time set aside by the school before actual classroom instruction begins or after actual classroom instruction ends." § 4072(4). Thus, even if a public secondary school allows only one "noncurriculum related student group" to meet, the Act's obligations are triggered and the school may not deny other clubs, on the basis of the content of their speech, equal access to meet on school premises during noninstructional time.</w:t>
      </w:r>
    </w:p>
    <w:p w:rsidR="00A31137" w:rsidRPr="00A31137" w:rsidRDefault="00A31137" w:rsidP="00A31137">
      <w:r w:rsidRPr="00A31137">
        <w:t>1990, Board of Educ. v. Mergens, 496 U.S. 236</w:t>
      </w:r>
    </w:p>
    <w:p w:rsidR="00A31137" w:rsidRPr="00A31137" w:rsidRDefault="00A31137" w:rsidP="00A31137">
      <w:r w:rsidRPr="00A31137">
        <w:t>The Act further specifies that "[s]chools shall be deemed to offer a fair opportunity to students who wish to conduct a meeting within its limited open forum" if the school uniformly provides that the meetings are voluntary and student-initiated; are not sponsored by the school, the government, or its agents or employees; do not materially and substantially interfere with the orderly conduct of educational activities within the school; and are not directed, controlled, conducted, or regularly attended by "nonschool persons." §§ 4071(c)(1), (2), (4), and (5). "Sponsorship" is defined to mean</w:t>
      </w:r>
    </w:p>
    <w:p w:rsidR="00A31137" w:rsidRPr="00A31137" w:rsidRDefault="00A31137" w:rsidP="00A31137">
      <w:r w:rsidRPr="00A31137">
        <w:t>1990, Board of Educ. v. Mergens, 496 U.S. 236</w:t>
      </w:r>
    </w:p>
    <w:p w:rsidR="00A31137" w:rsidRPr="00A31137" w:rsidRDefault="00A31137" w:rsidP="00A31137">
      <w:r w:rsidRPr="00A31137">
        <w:t>the act of promoting, leading, or participating in a meeting. The assignment of a teacher, administrator, or other school employee to a meeting for custodial purposes does not constitute sponsorship of the meeting.</w:t>
      </w:r>
    </w:p>
    <w:p w:rsidR="00A31137" w:rsidRPr="00A31137" w:rsidRDefault="00A31137" w:rsidP="00A31137">
      <w:r w:rsidRPr="00A31137">
        <w:t>1990, Board of Educ. v. Mergens, 496 U.S. 236</w:t>
      </w:r>
    </w:p>
    <w:p w:rsidR="00A31137" w:rsidRPr="00A31137" w:rsidRDefault="00A31137" w:rsidP="00A31137">
      <w:r w:rsidRPr="00A31137">
        <w:t>§ 4072(2). If the meetings are religious, employees or agents of the school or government may attend only in a "nonparticipatory capacity." § 4071(c)(3). Moreover, a State may not influence the form of any religious activity, require any person to participate in such activity, or compel any school agent or employee to attend a meeting if the content of the speech at the meeting is contrary to that person's beliefs. §§ 4071(d)(1), (2), and (3).</w:t>
      </w:r>
    </w:p>
    <w:p w:rsidR="00A31137" w:rsidRPr="00A31137" w:rsidRDefault="00A31137" w:rsidP="00A31137">
      <w:r w:rsidRPr="00A31137">
        <w:t>1990, Board of Educ. v. Mergens, 496 U.S. 236</w:t>
      </w:r>
    </w:p>
    <w:p w:rsidR="00A31137" w:rsidRPr="00A31137" w:rsidRDefault="00A31137" w:rsidP="00A31137">
      <w:r w:rsidRPr="00A31137">
        <w:t>Finally, the Act does not "authorize the United States to deny or withhold Federal financial assistance to any school," § 4071(e), or</w:t>
      </w:r>
    </w:p>
    <w:p w:rsidR="00A31137" w:rsidRPr="00A31137" w:rsidRDefault="00A31137" w:rsidP="00A31137">
      <w:r w:rsidRPr="00A31137">
        <w:t>1990, Board of Educ. v. Mergens, 496 U.S. 236</w:t>
      </w:r>
    </w:p>
    <w:p w:rsidR="00A31137" w:rsidRPr="00A31137" w:rsidRDefault="00A31137" w:rsidP="00A31137">
      <w:r w:rsidRPr="00A31137">
        <w:t>limit the authority of the school, its agents or employees, to maintain order and discipline on school premises, to protect the wellbeing of students and faculty, and to [496 U.S. 237] assure that attendance of students at the meetings is voluntary.</w:t>
      </w:r>
    </w:p>
    <w:p w:rsidR="00A31137" w:rsidRPr="00A31137" w:rsidRDefault="00A31137" w:rsidP="00A31137">
      <w:r w:rsidRPr="00A31137">
        <w:t>1990, Board of Educ. v. Mergens, 496 U.S. 237</w:t>
      </w:r>
    </w:p>
    <w:p w:rsidR="00A31137" w:rsidRPr="00A31137" w:rsidRDefault="00A31137" w:rsidP="00A31137">
      <w:r w:rsidRPr="00A31137">
        <w:t>§ 4071(f).</w:t>
      </w:r>
    </w:p>
    <w:p w:rsidR="00A31137" w:rsidRPr="00A31137" w:rsidRDefault="00A31137" w:rsidP="00A31137">
      <w:r w:rsidRPr="00A31137">
        <w:t>B</w:t>
      </w:r>
    </w:p>
    <w:p w:rsidR="00A31137" w:rsidRPr="00A31137" w:rsidRDefault="00A31137" w:rsidP="00A31137">
      <w:r w:rsidRPr="00A31137">
        <w:t>1990, Board of Educ. v. Mergens, 496 U.S. 237</w:t>
      </w:r>
    </w:p>
    <w:p w:rsidR="00A31137" w:rsidRPr="00A31137" w:rsidRDefault="00A31137" w:rsidP="00A31137">
      <w:r w:rsidRPr="00A31137">
        <w:t>The parties agree that Westside High School receives federal financial assistance and is a public secondary school within the meaning of the Act. App. 57-58. The Act's obligation to grant equal access to student groups is therefore triggered if Westside maintains a "limited open forum"—i.e., if it permits one or more "noncurriculum related student groups" to meet on campus before or after classes.</w:t>
      </w:r>
    </w:p>
    <w:p w:rsidR="00A31137" w:rsidRPr="00A31137" w:rsidRDefault="00A31137" w:rsidP="00A31137">
      <w:r w:rsidRPr="00A31137">
        <w:t>1990, Board of Educ. v. Mergens, 496 U.S. 237</w:t>
      </w:r>
    </w:p>
    <w:p w:rsidR="00A31137" w:rsidRPr="00A31137" w:rsidRDefault="00A31137" w:rsidP="00A31137">
      <w:r w:rsidRPr="00A31137">
        <w:t>Unfortunately, the Act does not define the crucial phrase "noncurriculum related student group." Our immediate task is therefore one of statutory interpretation. We begin, of course, with the language of the statute. See, e.g., Mallard v. U.S. District Court, 490 U.S. 294, 300; United States v. James, 478 U.S. 597, 604 (1986). The common meaning of the term "curriculum" is "the whole body of courses offered by an educational institution or one of its branches." Webster's Third New International Dictionary 557 (1976); see also Black's Law Dictionary 345 (5th ed. 1979) ("The set of studies or courses for a particular period, designated by a school or branch of a school"). Cf. Hazelwood School Dist. v. Kuhlmeier, 484 U.S. at  271 (high school newspaper produced as part of the school's journalism class was part of the curriclum). Any sensible interpretation of "noncurriculum related student group" must therefore be anchored in the notion that such student groups are those that are not related to the body of courses offered by the school. The difficult question is the degree of "unrelatedness to the curriculum" required for a group to be considered "noncurriculum related."</w:t>
      </w:r>
    </w:p>
    <w:p w:rsidR="00A31137" w:rsidRPr="00A31137" w:rsidRDefault="00A31137" w:rsidP="00A31137">
      <w:r w:rsidRPr="00A31137">
        <w:t>1990, Board of Educ. v. Mergens, 496 U.S. 237</w:t>
      </w:r>
    </w:p>
    <w:p w:rsidR="00A31137" w:rsidRPr="00A31137" w:rsidRDefault="00A31137" w:rsidP="00A31137">
      <w:r w:rsidRPr="00A31137">
        <w:t>The Act's definition of the sort of "meeting[s]" that must be accommodated under the statute, § 4071(a), sheds some light on this question. "[T]he term 'meeting' includes those activities of student groups which are…not directly related to the school curriculum." § 4072(3) (emphasis added). Congress' [496 U.S. 238] use of the phrase "directly related" implies that student groups directly related to the subject matter of courses offered by the school do not fall within the "noncurriculum related" category, and would therefore be considered "curriculum related."</w:t>
      </w:r>
    </w:p>
    <w:p w:rsidR="00A31137" w:rsidRPr="00A31137" w:rsidRDefault="00A31137" w:rsidP="00A31137">
      <w:r w:rsidRPr="00A31137">
        <w:t>1990, Board of Educ. v. Mergens, 496 U.S. 238</w:t>
      </w:r>
    </w:p>
    <w:p w:rsidR="00A31137" w:rsidRPr="00A31137" w:rsidRDefault="00A31137" w:rsidP="00A31137">
      <w:r w:rsidRPr="00A31137">
        <w:t>The logic of the Act also supports this view, namely, that a curriculum-related student group is one that has more than just a tangential or attenuated relationship to courses offered by the school. Because the purpose of granting equal access is to prohibit discrimination between religious or political clubs on the one hand and other noncurriculum-related student groups on the other, the Act is premised on the notion that a religious or political club is itself likely to be a noncurriculum-related student group. It follows, then, that a student group that is "curriculum related" must at least have a more direct relationship to the curriculum than a religious or political club would have.</w:t>
      </w:r>
    </w:p>
    <w:p w:rsidR="00A31137" w:rsidRPr="00A31137" w:rsidRDefault="00A31137" w:rsidP="00A31137">
      <w:r w:rsidRPr="00A31137">
        <w:t>1990, Board of Educ. v. Mergens, 496 U.S. 238</w:t>
      </w:r>
    </w:p>
    <w:p w:rsidR="00A31137" w:rsidRPr="00A31137" w:rsidRDefault="00A31137" w:rsidP="00A31137">
      <w:r w:rsidRPr="00A31137">
        <w:t>Although the phrase "noncurriculum related student group" nevertheless remains sufficiently ambiguous that we might normally resort to legislative history, see, e.g., James, supra, 478 U.S. at 606, we find the legislative history on this issue less than helpful. Because the bill that led to the Act was extensively rewritten in a series of multilateral negotiations after it was passed by the House and reported out of committee by the Senate, the committee reports shed no light on the language actually adopted. During congressional debate on the subject, legislators referred to a number of different definitions, and thus both petitioners and respondents can cite to legislative history favoring their interpretation of the phrase. Compare 130 Cong.Rec. 19223 (1984) (statement of Sen. Hatfield) (curriculum-related clubs are those that are "really a kind of extension of the classroom"), with ibid. (statement of Sen. Hatfield) (in response to question whether school districts would have full authority to decide what was curriculum-related, "[w]e in no way seek to limit that discretion"). See Laycock, Equal Access and Moments of Silence: The Equal [496 U.S. 239] Status of Religious Speech by Private Speakers, 81 Nw.U.L.Rev. 1, 37-39 (1986).</w:t>
      </w:r>
    </w:p>
    <w:p w:rsidR="00A31137" w:rsidRPr="00A31137" w:rsidRDefault="00A31137" w:rsidP="00A31137">
      <w:r w:rsidRPr="00A31137">
        <w:t>1990, Board of Educ. v. Mergens, 496 U.S. 239</w:t>
      </w:r>
    </w:p>
    <w:p w:rsidR="00A31137" w:rsidRPr="00A31137" w:rsidRDefault="00A31137" w:rsidP="00A31137">
      <w:r w:rsidRPr="00A31137">
        <w:t>We think it significant, however, that the Act, which was passed by wide, bipartisan majorities in both the House and the Senate, reflects at least some consensus on a broad legislative purpose. The committee reports indicate that the Act was intended to address perceived widespread discrimination against religious speech in public schools, see H.R.Rep. No. 98-710, p. 4 (1984); S.Rep. No. 98-357, pp. 10-11 (1984), and, as the language of the Act indicates, its sponsors contemplated that the Act would do more than merely validate the status quo. The committee reports also show that the Act was enacted in part in response to two federal appellate court decisions holding that student religious groups could not, consistent with the Establishment Clause, meet on school premises during noninstructional time. See H.R. Rep. No. 98-710, supra, at 3-6 (discussing Lubbock Civil Liberties Union v. Lubbock Independent School Dist., 669 F.2d 1038, 1042-1048 (CA5 1982), cert. denied, 459 U.S. 1155-1156 (1983), and Brandon v. Guilderland Bd. of Ed., 635 F.2d 971 (CA2 1980), cert. denied, 454 U.S. 1123 (1981)); S.Rep. No. 98-357, supra, at 6-9, 11-14 (same). A broad reading of the Act would be consistent with the views of those who sought to end discrimination by allowing students to meet and discuss religion before and after classes.</w:t>
      </w:r>
    </w:p>
    <w:p w:rsidR="00A31137" w:rsidRPr="00A31137" w:rsidRDefault="00A31137" w:rsidP="00A31137">
      <w:r w:rsidRPr="00A31137">
        <w:t>1990, Board of Educ. v. Mergens, 496 U.S. 239</w:t>
      </w:r>
    </w:p>
    <w:p w:rsidR="00A31137" w:rsidRPr="00A31137" w:rsidRDefault="00A31137" w:rsidP="00A31137">
      <w:r w:rsidRPr="00A31137">
        <w:t>In light of this legislative purpose, we think that the term "noncurriculum related student group" is best interpreted broadly to mean any student group that does not directly relate to the body of courses offered by the school. In our view, a student group directly relates to a school's curriculum if the subject matter of the group is actually taught, or will soon be taught, in a regularly offered course; if the subject matter of the group concerns the body of courses as a whole; if participation in the group is required for a particular course; or if participation in the group results in academic [496 U.S. 240] credit. We think this limited definition of groups that directly relate to the curriculum is a common sense interpretation of the Act that is consistent with Congress' intent to provide a low threshold for triggering the Act's requirements.</w:t>
      </w:r>
    </w:p>
    <w:p w:rsidR="00A31137" w:rsidRPr="00A31137" w:rsidRDefault="00A31137" w:rsidP="00A31137">
      <w:r w:rsidRPr="00A31137">
        <w:t>1990, Board of Educ. v. Mergens, 496 U.S. 240</w:t>
      </w:r>
    </w:p>
    <w:p w:rsidR="00A31137" w:rsidRPr="00A31137" w:rsidRDefault="00A31137" w:rsidP="00A31137">
      <w:r w:rsidRPr="00A31137">
        <w:t>For example, a French club would directly relate to the curriculum if a school taught French in a regularly offered course or planned to teach the subject in the near future. A school's student government would generally relate directly to the curriculum to the extent that it addresses concerns, solicits opinions, and formulates proposals pertaining to the body of courses offered by the school. If participation in a school's band or orchestra were required for the band or orchestra classes, or resulted in academic credit, then those groups would also directly relate to the curriculum. The existence of such groups at a school would not trigger the Act's obligations.</w:t>
      </w:r>
    </w:p>
    <w:p w:rsidR="00A31137" w:rsidRPr="00A31137" w:rsidRDefault="00A31137" w:rsidP="00A31137">
      <w:r w:rsidRPr="00A31137">
        <w:t>1990, Board of Educ. v. Mergens, 496 U.S. 240</w:t>
      </w:r>
    </w:p>
    <w:p w:rsidR="00A31137" w:rsidRPr="00A31137" w:rsidRDefault="00A31137" w:rsidP="00A31137">
      <w:r w:rsidRPr="00A31137">
        <w:t>On the other hand, unless a school could show that groups such as a chess club, a stamp collecting club, or a community service club fell within our description of groups that directly relate to the curriculum, such groups would be "noncurriculum related student groups" for purposes of the Act. The existence of such groups would create a "limited open forum" under the Act and would prohibit the school from denying equal access to any other student group on the basis of the content of that group's speech. Whether a specific student group is a "noncurriculum related student group" will therefore depend on a particular school's curriculum, but such determinations would be subject to factual findings well within the competence of trial courts to make.</w:t>
      </w:r>
    </w:p>
    <w:p w:rsidR="00A31137" w:rsidRPr="00A31137" w:rsidRDefault="00A31137" w:rsidP="00A31137">
      <w:r w:rsidRPr="00A31137">
        <w:t>1990, Board of Educ. v. Mergens, 496 U.S. 240</w:t>
      </w:r>
    </w:p>
    <w:p w:rsidR="00A31137" w:rsidRPr="00A31137" w:rsidRDefault="00A31137" w:rsidP="00A31137">
      <w:r w:rsidRPr="00A31137">
        <w:t>Petitioners contend that our reading of the Act unduly hinders local control over schools and school activities, but we think that schools and school districts nevertheless retain a significant measure of authority over the type of officially recognized activities in which their students participate. See, e.g., Hazelwood School Dist. v. Kuhlmeier, 484 U.S. 260 (1988); Bethel School Dist. No. 403 v. Fraser, 478 U.S. [496 U.S. 241] 675 (1986). First, schools and school districts maintain their traditional latitude to determine appropriate subjects of instruction. To the extent that a school chooses to structure its course offerings and existing student groups to avoid the Act's obligations, that result is not prohibited by the Act. On matters of statutory interpretation, "[o]ur task is to apply the text, not to improve on it." Pavelic &amp; LeFlore v. Marvel Entertainment Group, 493 U.S. 120, 126 (1989) (slip op., at 6). Second, the Act expressly does not limit a school's authority to prohibit meetings that would "materially and substantially interfere with the orderly conduct of educational activities within the school." § 4071(c)(4); cf. Tinker v. Des Moines Independent Community School Dist., 393 U.S. 503, 509 (1969). The Act also preserves</w:t>
      </w:r>
    </w:p>
    <w:p w:rsidR="00A31137" w:rsidRPr="00A31137" w:rsidRDefault="00A31137" w:rsidP="00A31137">
      <w:r w:rsidRPr="00A31137">
        <w:t>1990, Board of Educ. v. Mergens, 496 U.S. 241</w:t>
      </w:r>
    </w:p>
    <w:p w:rsidR="00A31137" w:rsidRPr="00A31137" w:rsidRDefault="00A31137" w:rsidP="00A31137">
      <w:r w:rsidRPr="00A31137">
        <w:t>the authority of the school, its agents or employees, to maintain order and discipline on school premises, to protect the wellbeing of students and faculty, and to assure that attendance of students, at meetings is voluntary.</w:t>
      </w:r>
    </w:p>
    <w:p w:rsidR="00A31137" w:rsidRPr="00A31137" w:rsidRDefault="00A31137" w:rsidP="00A31137">
      <w:r w:rsidRPr="00A31137">
        <w:t>1990, Board of Educ. v. Mergens, 496 U.S. 241</w:t>
      </w:r>
    </w:p>
    <w:p w:rsidR="00A31137" w:rsidRPr="00A31137" w:rsidRDefault="00A31137" w:rsidP="00A31137">
      <w:r w:rsidRPr="00A31137">
        <w:t>§ 4071(f). Finally, because the Act applies only to public secondary schools that receive federal financial assistance, § 4071(a), a school district seeking to escape the statute's obligations could simply forgo federal funding. Although we do not doubt that in some cases this may be an unrealistic option, Congress clearly sought to prohibit schools from discriminating on the basis of the content of a student group's speech, and that obligation is the price a federally funded school must pay if it opens its facilities to noncurriculum-related student groups.</w:t>
      </w:r>
    </w:p>
    <w:p w:rsidR="00A31137" w:rsidRPr="00A31137" w:rsidRDefault="00A31137" w:rsidP="00A31137">
      <w:r w:rsidRPr="00A31137">
        <w:t>1990, Board of Educ. v. Mergens, 496 U.S. 241</w:t>
      </w:r>
    </w:p>
    <w:p w:rsidR="00A31137" w:rsidRPr="00A31137" w:rsidRDefault="00A31137" w:rsidP="00A31137">
      <w:r w:rsidRPr="00A31137">
        <w:t>The dissent suggests that</w:t>
      </w:r>
    </w:p>
    <w:p w:rsidR="00A31137" w:rsidRPr="00A31137" w:rsidRDefault="00A31137" w:rsidP="00A31137">
      <w:r w:rsidRPr="00A31137">
        <w:t>1990, Board of Educ. v. Mergens, 496 U.S. 241</w:t>
      </w:r>
    </w:p>
    <w:p w:rsidR="00A31137" w:rsidRPr="00A31137" w:rsidRDefault="00A31137" w:rsidP="00A31137">
      <w:r w:rsidRPr="00A31137">
        <w:t>an extracurricular student organization is "noncurriculum related" if it has as its purpose (or as part of its purpose) the advocacy of partisan theological, political, or ethical views.</w:t>
      </w:r>
    </w:p>
    <w:p w:rsidR="00A31137" w:rsidRPr="00A31137" w:rsidRDefault="00A31137" w:rsidP="00A31137">
      <w:r w:rsidRPr="00A31137">
        <w:t>1990, Board of Educ. v. Mergens, 496 U.S. 241</w:t>
      </w:r>
    </w:p>
    <w:p w:rsidR="00A31137" w:rsidRPr="00A31137" w:rsidRDefault="00A31137" w:rsidP="00A31137">
      <w:r w:rsidRPr="00A31137">
        <w:t>Post at  276; see also id. at  271,  290 (Act is triggered only if school permits "controversial" or "distasteful" groups to use its facilities); post at  291 ("noncurriculum" subjects are those that "'cannot properly be included in a public school curriculum'"). This interpretation of the Act, we are told, is mandated by Congress' intention to [496 U.S. 242] "track our own Free Speech Clause jurisprudence," post at  279, n. 10, by incorporating Widmar's notion of a "limited public forum" into the language of the Act. Post at 271-272.</w:t>
      </w:r>
    </w:p>
    <w:p w:rsidR="00A31137" w:rsidRPr="00A31137" w:rsidRDefault="00A31137" w:rsidP="00A31137">
      <w:r w:rsidRPr="00A31137">
        <w:t>1990, Board of Educ. v. Mergens, 496 U.S. 242</w:t>
      </w:r>
    </w:p>
    <w:p w:rsidR="00A31137" w:rsidRPr="00A31137" w:rsidRDefault="00A31137" w:rsidP="00A31137">
      <w:r w:rsidRPr="00A31137">
        <w:t>This suggestion is flawed for at least two reasons. First, the Act itself neither uses the phrase "limited public forum" nor so much as hints that that doctrine is somehow "incorporated" into the words of the statute. The operative language of the statute, 20 U.S.C. § 4071(a), of course, refers to a "limited open forum," a term that is specifically defined in the next subsection, § 4071(b). Congress was presumably aware that "limited public forum," as used by the Court, is a term of art, see, e.g., Perry Ed. Assn. v. Perry Local Educators' Assn., 460 U.S. 37, 45-49 (1983), and had it intended to import that concept into the Act, one would suppose that it would have done so explicitly. Indeed, Congress' deliberate choice to use a different term—and to define that term—can only mean that it intended to establish a standard different from the one established by our free speech cases. See Laycock, 81 Nw.U.L. Rev. at 36 ("The statutory 'limited open forum' is an artificial construct, and comparisons with the constitutional ['limited public forum'] cases can be misleading"). To paraphrase the dissent, "[i]f Congress really intended to [incorporate] Widmar for reasons of administrative clarity, Congress kept its intent well hidden, both in the statute and in the debates preceding its passage." Post at 281-282, n. 15.</w:t>
      </w:r>
    </w:p>
    <w:p w:rsidR="00A31137" w:rsidRPr="00A31137" w:rsidRDefault="00A31137" w:rsidP="00A31137">
      <w:r w:rsidRPr="00A31137">
        <w:t>1990, Board of Educ. v. Mergens, 496 U.S. 242</w:t>
      </w:r>
    </w:p>
    <w:p w:rsidR="00A31137" w:rsidRPr="00A31137" w:rsidRDefault="00A31137" w:rsidP="00A31137">
      <w:r w:rsidRPr="00A31137">
        <w:t>Second, and more significant, the dissent's reliance on the legislative history to support its interpretation of the Act shows just how treacherous that task can be. The dissent appears to agree with our view that the legislative history of the Act, even if relevant, is highly unreliable, see, e.g., post at 274-275, n. 5, and 281-282, n. 15, yet the interpretation it suggests rests solely on a few passing, general references by legislators to our decision in Widmar, see post at  274 and n. 4. We think that reliance on legislative history is hazardous at best, but where "'not even the sponsors of the bill [496 U.S. 243] knew what it meant,'" post at  281, n. 15 (quoting Laycock, supra, at 38 (citation omitted)), such reliance cannot form a reasonable basis on which to interpret the text of a statute. For example, the dissent appears to place great reliance on a comment by Senator Levin that the Act extends the rule in Widmar to secondary schools, see post at  274, n. 4, but Senator Levin's understanding of the "rule," expressed in the same breath as the statement on which the dissent relies, fails to support the dissent's reading of the Act. See 130 Cong.Rec. 19236 (1984) ("The pending amendment will allow students equal access to secondary schools student-initiated religious meetings before and after school where the school generally allows groups of secondary school students to meet during those times") (emphasis added). Moreover, a number of Senators, during the same debate, warned that some of the views stated did not reflect their own views. See, e.g., ibid. ("I am troubled with the legislative history that you are making here") (statement of Sen. Chiles); id. at 19237 ("[T]here have been a number of statements made on the floor today which may be construed as legislative history modifying what my understanding was or what anyone's understanding might be of this bill") (statement of Sen. Denton). The only thing that can be said with any confidence is that some Senators may have thought that the obligations of the Act would be triggered only when a school permits advocacy groups to meet on school premises during noninstructional time. That conclusion, of course, cannot bear the weight the dissent places on it.</w:t>
      </w:r>
    </w:p>
    <w:p w:rsidR="00A31137" w:rsidRPr="00A31137" w:rsidRDefault="00A31137" w:rsidP="00A31137">
      <w:r w:rsidRPr="00A31137">
        <w:t>C</w:t>
      </w:r>
    </w:p>
    <w:p w:rsidR="00A31137" w:rsidRPr="00A31137" w:rsidRDefault="00A31137" w:rsidP="00A31137">
      <w:r w:rsidRPr="00A31137">
        <w:t>1990, Board of Educ. v. Mergens, 496 U.S. 243</w:t>
      </w:r>
    </w:p>
    <w:p w:rsidR="00A31137" w:rsidRPr="00A31137" w:rsidRDefault="00A31137" w:rsidP="00A31137">
      <w:r w:rsidRPr="00A31137">
        <w:t>The parties in this case focus their dispute on 10 of Westside's approximately 30 voluntary student clubs: Interact (a service club related to Rotary International); Chess; Subsurfers (a club for students interested in scuba diving); National Honor Society; Photography; Welcome to Westside (a club to introduce new students to the [496 U.S. 244] school); Future Business Leaders of America; Zonta (the female counterpart to Interact); Student Advisory Board (student government); and Student Forum (student government). App. 60. Petitioners contend that all of these student activities are curriculum-related because they further the goals of particular aspects of the school's curriculum. Welcome to Westside, for example, helps "further the School's overall goal of developing effective citizens by requiring student members to contribute to their fellow students." Brief for Petitioners 16. The student government clubs "advance the goals of the School's political science classes by providing an understanding and appreciation of government processes." Id. at 17. Subsurfers furthers "one of the essential goals of the Physical Education Department—enabling students to develop lifelong recreational interests." Id. at 18. Chess "supplement[s] math and science courses because it enhances students' ability to engage in critical thought processes." Id. at 18-19. Participation in Interact and Zonta "promotes effective citizenship, a critical goal of the WHS curriculum, specifically the Social Studies Department." Id. at 19.</w:t>
      </w:r>
    </w:p>
    <w:p w:rsidR="00A31137" w:rsidRPr="00A31137" w:rsidRDefault="00A31137" w:rsidP="00A31137">
      <w:r w:rsidRPr="00A31137">
        <w:t>1990, Board of Educ. v. Mergens, 496 U.S. 244</w:t>
      </w:r>
    </w:p>
    <w:p w:rsidR="00A31137" w:rsidRPr="00A31137" w:rsidRDefault="00A31137" w:rsidP="00A31137">
      <w:r w:rsidRPr="00A31137">
        <w:t>To the extent that petitioners contend that "curriculum related" means anything remotely related to abstract educational goals, however, we reject that argument. To define "curriculum related" in a way that results in almost no schools having limited open fora, or in a way that permits schools to evade the Act by strategically describing existing student groups, would render the Act merely hortatory. See 130 Cong.Rec. 19222 (1984) (statement of Sen. Leahy) ("[A] limited open forum should be triggered by what a school does, not by what it says"). As the court below explained:</w:t>
      </w:r>
    </w:p>
    <w:p w:rsidR="00A31137" w:rsidRPr="00A31137" w:rsidRDefault="00A31137" w:rsidP="00A31137">
      <w:r w:rsidRPr="00A31137">
        <w:t>1990, Board of Educ. v. Mergens, 496 U.S. 244</w:t>
      </w:r>
    </w:p>
    <w:p w:rsidR="00A31137" w:rsidRPr="00A31137" w:rsidRDefault="00A31137" w:rsidP="00A31137">
      <w:r w:rsidRPr="00A31137">
        <w:t>Allowing such a broad interpretation of "curriculum-related" would make the [Act] meaningless. A school's administration could simply declare that it maintains a closed forum and choose which student clubs it wanted to allow by tying the purposes of those clubs to [496 U.S. 245] some broadly defined educational goal. At the same time, the administration could arbitrarily deny access to school facilities to any unfavored student club on the basis of its speech content. This is exactly the result that Congress sought to prohibit by enacting the [Act]. A public secondary school cannot simply declare that it maintains a closed forum and then discriminate against a particular student group on the basis of the content of the speech of that group.</w:t>
      </w:r>
    </w:p>
    <w:p w:rsidR="00A31137" w:rsidRPr="00A31137" w:rsidRDefault="00A31137" w:rsidP="00A31137">
      <w:r w:rsidRPr="00A31137">
        <w:t>1990, Board of Educ. v. Mergens, 496 U.S. 245</w:t>
      </w:r>
    </w:p>
    <w:p w:rsidR="00A31137" w:rsidRPr="00A31137" w:rsidRDefault="00A31137" w:rsidP="00A31137">
      <w:r w:rsidRPr="00A31137">
        <w:t>867 F.2d 1076, 1078 (CA8 1989). See also Garnett v. Renton School Dist. No. 403, 874 F.2d 608, 614 (CA9 1989) ("Complete deference [to the school district] would render the Act meaningless because school boards could circumvent the Act's requirements simply by asserting that all student groups are curriculum related").</w:t>
      </w:r>
    </w:p>
    <w:p w:rsidR="00A31137" w:rsidRPr="00A31137" w:rsidRDefault="00A31137" w:rsidP="00A31137">
      <w:r w:rsidRPr="00A31137">
        <w:t>1990, Board of Educ. v. Mergens, 496 U.S. 245</w:t>
      </w:r>
    </w:p>
    <w:p w:rsidR="00A31137" w:rsidRPr="00A31137" w:rsidRDefault="00A31137" w:rsidP="00A31137">
      <w:r w:rsidRPr="00A31137">
        <w:t>Rather, we think it clear that Westside's existing student groups include one or more "noncurriculum related student groups." Although Westside's physical education classes apparently include swimming, see Record, Tr. of Preliminary Injunction Hearing 25, counsel stated at oral argument that scuba diving is not taught in any regularly offered course at the school, Tr. of Oral Arg. 6. Based on Westside's own description of the group, Subsurfers does not directly relate to the curriculum as a whole in the same way that a student government or similar group might. App. 485-486. Moreover, participation in Subsurfers is not required by any course at the school, and does not result in extra academic credit. Id. at 170-171, 236. Thus, Subsurfers is a "noncurriculum related student group" for purposes of the Act. Similarly, although math teachers at Westside have encouraged their students to play chess, id., at 442-444, chess is not taught in any regularly offered course at the school, Tr. of Oral Arg. 6, and participation in the chess club is not required for any class and does not result in extra credit for any class, App. 302-304. The chess club is therefore another "noncurriculum related student group" at [496 U.S. 246] Westside. Moreover, Westside's principal acknowledged at trial that the Peer Advocates program—a service group that works with special education classes—does not directly relate to any courses offered by the school and is not required by any courses offered by the school. Id. at 231-233; see also id. at 198-199 (participation in Peer Advocates is not required for any course and does not result in extra credit in any course). Peer Advocates would therefore also fit within our description of a "noncurriculum related student group." The record therefore supports a finding that Westside has maintained a limited open forum under the Act.</w:t>
      </w:r>
    </w:p>
    <w:p w:rsidR="00A31137" w:rsidRPr="00A31137" w:rsidRDefault="00A31137" w:rsidP="00A31137">
      <w:r w:rsidRPr="00A31137">
        <w:t>1990, Board of Educ. v. Mergens, 496 U.S. 246</w:t>
      </w:r>
    </w:p>
    <w:p w:rsidR="00A31137" w:rsidRPr="00A31137" w:rsidRDefault="00A31137" w:rsidP="00A31137">
      <w:r w:rsidRPr="00A31137">
        <w:t>Although our definition of "noncurriculum related student activities" looks to a school's actual practice, rather than its stated policy, we note that our conclusion is also supported by the school's own description of its student activities. As reprinted in the Appendix to this opinion, the school states that Band "is included in our regular curriculum"; Choir "is a course offered as part of the curriculum"; Distributive Education "is an extension of the Distributive Education class"; International Club is "developed through our foreign language classes"; Latin Club is "designed for those students who are taking Latin as a foreign language"; Student Publications "includes classes offered in preparation of the yearbook (Shield) and the student newspaper (Lance)"; Dramatics "is an extension of a regular academic class"; and Orchestra "is an extension of our regular curriculum." These descriptions constitute persuasive evidence that these student clubs directly relate to the curriculum. By inference, however, the fact that the descriptions of student activities such as Subsurfers and chess do not include such references strongly suggests that those clubs do not, by the school's own admission, directly relate to the curriculum. We therefore conclude that Westside permits "one or more noncurriculum related student groups to meet on school premises during noninstructional time," § 4071(b). Because Westside maintains a "limited open forum" under the Act, it is prohibited from [496 U.S. 247] discriminating, based on the content of the students' speech, against students who wish to meet on school premises during noninstructional time.</w:t>
      </w:r>
    </w:p>
    <w:p w:rsidR="00A31137" w:rsidRPr="00A31137" w:rsidRDefault="00A31137" w:rsidP="00A31137">
      <w:r w:rsidRPr="00A31137">
        <w:t>1990, Board of Educ. v. Mergens, 496 U.S. 247</w:t>
      </w:r>
    </w:p>
    <w:p w:rsidR="00A31137" w:rsidRPr="00A31137" w:rsidRDefault="00A31137" w:rsidP="00A31137">
      <w:r w:rsidRPr="00A31137">
        <w:t>The remaining statutory question is whether petitioners' denial of respondents' request to form a religious group constitutes a denial of "equal access" to the school's limited open forum. Although the school apparently permits respondents to meet informally after school, App. 315-316, respondents seek equal access in the form of official recognition by the school. Official recognition allows student clubs to be part of the student activities program, and carries with it access to the school newspaper, bulletin boards, the public address system, and the annual Club Fair. Id. at 434-435. Given that the Act explicitly prohibits denial of "equal access…to…any students who wish to conduct a meeting within [the school's] limited open forum" on the basis of the religious content of the speech at such meetings, § 4071(a), we hold that Westside's denial of respondents' request to form a Christian club denies them "equal access" under the Act.</w:t>
      </w:r>
    </w:p>
    <w:p w:rsidR="00A31137" w:rsidRPr="00A31137" w:rsidRDefault="00A31137" w:rsidP="00A31137">
      <w:r w:rsidRPr="00A31137">
        <w:t>1990, Board of Educ. v. Mergens, 496 U.S. 247</w:t>
      </w:r>
    </w:p>
    <w:p w:rsidR="00A31137" w:rsidRPr="00A31137" w:rsidRDefault="00A31137" w:rsidP="00A31137">
      <w:r w:rsidRPr="00A31137">
        <w:t>Because we rest our conclusion on statutory grounds, we need not decide—and therefore express no opinion on—whether the First Amendment requires the same result.</w:t>
      </w:r>
    </w:p>
    <w:p w:rsidR="00A31137" w:rsidRPr="00A31137" w:rsidRDefault="00A31137" w:rsidP="00A31137">
      <w:r w:rsidRPr="00A31137">
        <w:t>III</w:t>
      </w:r>
    </w:p>
    <w:p w:rsidR="00A31137" w:rsidRPr="00A31137" w:rsidRDefault="00A31137" w:rsidP="00A31137">
      <w:r w:rsidRPr="00A31137">
        <w:t>1990, Board of Educ. v. Mergens, 496 U.S. 247</w:t>
      </w:r>
    </w:p>
    <w:p w:rsidR="00A31137" w:rsidRPr="00A31137" w:rsidRDefault="00A31137" w:rsidP="00A31137">
      <w:r w:rsidRPr="00A31137">
        <w:t>Petitioners contend that, even if Westside has created a limited open forum within the meaning of the Act, its denial of official recognition to the proposed Christian club must nevertheless stand because the Act violates the Establishment Clause of the First Amendment, as applied to the States through the Fourteenth Amendment. Specifically, petitioners maintain that, because the school's recognized student activities are an integral part of its educational mission, official recognition of respondents' proposed club would effectively incorporate religious activities into the school's official program, endorse participation in the religious club, and provide [496 U.S. 248] the club with an official platform to proselytize other students.</w:t>
      </w:r>
    </w:p>
    <w:p w:rsidR="00A31137" w:rsidRPr="00A31137" w:rsidRDefault="00A31137" w:rsidP="00A31137">
      <w:r w:rsidRPr="00A31137">
        <w:t>1990, Board of Educ. v. Mergens, 496 U.S. 248</w:t>
      </w:r>
    </w:p>
    <w:p w:rsidR="00A31137" w:rsidRPr="00A31137" w:rsidRDefault="00A31137" w:rsidP="00A31137">
      <w:r w:rsidRPr="00A31137">
        <w:t>We disagree. In Widmar, we applied the three-part Lemon test to hold that an "equal access" policy, at the university level, does not violate the Establishment Clause. See 454 U.S. at 271-275 (applying Lemon, 403 U.S. at 612-613). We concluded that "an open-forum policy, including nondiscrimination against religious speech, would have a secular purpose," 454 U.S. at  271 (footnotes omitted), and would in fact avoid entanglement with religion. See id. at  272, n. 11 ("[T]he University would risk greater 'entanglement' by attempting to enforce its exclusion of 'religious worship' and 'religious speech'"). We also found that, although incidental benefits accrued to religious groups who used university facilities, this result did not amount to an establishment of religion. First, we stated that a university's forum does not "confer any imprimatur of state approval on religious sects or practices." Id. at  274. Indeed, the message is one of neutrality rather than endorsement; if a State refused to let religious groups use facilities open to others, then it would demonstrate not neutrality but hostility toward religion.</w:t>
      </w:r>
    </w:p>
    <w:p w:rsidR="00A31137" w:rsidRPr="00A31137" w:rsidRDefault="00A31137" w:rsidP="00A31137">
      <w:r w:rsidRPr="00A31137">
        <w:t>1990, Board of Educ. v. Mergens, 496 U.S. 248</w:t>
      </w:r>
    </w:p>
    <w:p w:rsidR="00A31137" w:rsidRPr="00A31137" w:rsidRDefault="00A31137" w:rsidP="00A31137">
      <w:r w:rsidRPr="00A31137">
        <w:t>The Establishment Clause does not license government to treat religion and those who teach or practice it, simply by virtue of their status as such, as subversive of American ideals and therefore subject to unique disabilities.</w:t>
      </w:r>
    </w:p>
    <w:p w:rsidR="00A31137" w:rsidRPr="00A31137" w:rsidRDefault="00A31137" w:rsidP="00A31137">
      <w:r w:rsidRPr="00A31137">
        <w:t>1990, Board of Educ. v. Mergens, 496 U.S. 248</w:t>
      </w:r>
    </w:p>
    <w:p w:rsidR="00A31137" w:rsidRPr="00A31137" w:rsidRDefault="00A31137" w:rsidP="00A31137">
      <w:r w:rsidRPr="00A31137">
        <w:t>McDaniel v. Paty, 435 U.S. 618,  641 (1978) (BRENNAN, J., concurring in judgment). Second, we noted that "[t]he [University's] provision of benefits to [a] broad…spectrum of groups"—both nonreligious and religious speakers—was "an important index of secular effect." 454 U.S. at  274.</w:t>
      </w:r>
    </w:p>
    <w:p w:rsidR="00A31137" w:rsidRPr="00A31137" w:rsidRDefault="00A31137" w:rsidP="00A31137">
      <w:r w:rsidRPr="00A31137">
        <w:t>1990, Board of Educ. v. Mergens, 496 U.S. 248</w:t>
      </w:r>
    </w:p>
    <w:p w:rsidR="00A31137" w:rsidRPr="00A31137" w:rsidRDefault="00A31137" w:rsidP="00A31137">
      <w:r w:rsidRPr="00A31137">
        <w:t>We think the logic of Widmar applies with equal force to the Equal Access Act. As an initial matter, the Act's prohibition of discrimination on the basis of "political, philosophical, or other" speech as well as religious speech is a sufficient basis for meeting the secular purpose prong of the Lemon test. See Edwards v. Aguillard, 482 U.S. 578,  586 (1987) [496 U.S. 249] (Court "is normally deferential to a [legislative] articulation of a secular purpose"); Mueller v. Allen, 463 U.S. 388, 394-395 (1983) (Court is "reluctan[t] to attribute unconstitutional motives to the States, particularly when a plausible secular purpose for the State's program may be discerned from the face of the statute"). Congress' avowed purpose—to prevent discrimination against religious and other types of speech—is undeniably secular. See Corporation of Presiding Bishop, Church of Jesus Christ of Latter-day Saints v. Amos, 483 U.S. 327, 335-336 (1987); Committee for Public Education and Religious Liberty v. Nyquist, 413 U.S. 756,  773 (1973). Cf. 42 U.S.C. § 2000e-2(a) (prohibiting employment discrimination on grounds of race, color, religion sex, or national origin). Even if some legislators were motivated by a conviction that religious speech in particular was valuable and worthy of protection, that alone would not invalidate the Act, because what is relevant is the legislative purpose of the statute, not the possibly religious motives of the legislators who enacted the law. Because the Act on its face grants equal access to both secular and religious speech, we think it clear that the Act's purpose was not to "'endorse or disapprove of religion,'" Wallace v. Jaffree, 472 U.S. 38,  56 (1985) (quoting Lynch v. Donnelly, 465 U.S. 668,  690 (1984) (O'CONNOR, J., concurring)).</w:t>
      </w:r>
    </w:p>
    <w:p w:rsidR="00A31137" w:rsidRPr="00A31137" w:rsidRDefault="00A31137" w:rsidP="00A31137">
      <w:r w:rsidRPr="00A31137">
        <w:t>1990, Board of Educ. v. Mergens, 496 U.S. 249</w:t>
      </w:r>
    </w:p>
    <w:p w:rsidR="00A31137" w:rsidRPr="00A31137" w:rsidRDefault="00A31137" w:rsidP="00A31137">
      <w:r w:rsidRPr="00A31137">
        <w:t>Petitioners' principal contention is that the Act has the primary effect of advancing religion. Specifically, petitioners urge that, because the student religious meetings are held under school aegis, and because the state's compulsory attendance laws bring the students together (and thereby provide a ready-made audience for student evangelists), an objective observer in the position of a secondary school student will perceive official school support for such religious meetings. See County of Allegheny v. ACLU, 492 U.S. 573,  593 (1989) (Establishment Clause inquiry is whether the government "'convey[s] or attempt[s] to convey a message that religion or [496 U.S. 250] a particular religious belief is favored or preferred'") (quoting Wallace v. Jaffree, supra, 472 U.S. at  70 (O'CONNOR, J., concurring in part and concurring in judgment)).</w:t>
      </w:r>
    </w:p>
    <w:p w:rsidR="00A31137" w:rsidRPr="00A31137" w:rsidRDefault="00A31137" w:rsidP="00A31137">
      <w:r w:rsidRPr="00A31137">
        <w:t>1990, Board of Educ. v. Mergens, 496 U.S. 250</w:t>
      </w:r>
    </w:p>
    <w:p w:rsidR="00A31137" w:rsidRPr="00A31137" w:rsidRDefault="00A31137" w:rsidP="00A31137">
      <w:r w:rsidRPr="00A31137">
        <w:t>We disagree. First, although we have invalidated the use of public funds to pay for teaching state-required subjects at parochial schools, in part because of the risk of creating</w:t>
      </w:r>
    </w:p>
    <w:p w:rsidR="00A31137" w:rsidRPr="00A31137" w:rsidRDefault="00A31137" w:rsidP="00A31137">
      <w:r w:rsidRPr="00A31137">
        <w:t>1990, Board of Educ. v. Mergens, 496 U.S. 250</w:t>
      </w:r>
    </w:p>
    <w:p w:rsidR="00A31137" w:rsidRPr="00A31137" w:rsidRDefault="00A31137" w:rsidP="00A31137">
      <w:r w:rsidRPr="00A31137">
        <w:t>a crucial symbolic link between government and religion, thereby enlisting—at least in the eyes of impressionable youngsters—the powers of government to the support of the religious denomination operating the school,</w:t>
      </w:r>
    </w:p>
    <w:p w:rsidR="00A31137" w:rsidRPr="00A31137" w:rsidRDefault="00A31137" w:rsidP="00A31137">
      <w:r w:rsidRPr="00A31137">
        <w:t>1990, Board of Educ. v. Mergens, 496 U.S. 250</w:t>
      </w:r>
    </w:p>
    <w:p w:rsidR="00A31137" w:rsidRPr="00A31137" w:rsidRDefault="00A31137" w:rsidP="00A31137">
      <w:r w:rsidRPr="00A31137">
        <w:t>Grand Rapids School Dist. v. Ball, 473 U.S. 373,  385 (1985), there is a crucial difference between government speech endorsing religion, which the Establishment Clause forbids, and private speech endorsing religion, which the Free Speech and Free Exercise Clauses protect. We think that secondary school students are mature enough and are likely to understand that a school does not endorse or support student speech that it merely permits on a nondiscriminatory basis. Cf. Tinker v. Des Moines Independent Community School Dist., 393 U.S. 503 (1969) (no danger that high school students' symbolic speech implied school endorsement); West Virginia State Bd. of Ed. v. Barnette, 319 U.S. 624 (1943) (same). See generally Note, 92 Yale L.J. 499, 507-509 (1983) (summarizing research in adolescent psychology). The proposition that schools do not endorse everything they fail to censor is not complicated.</w:t>
      </w:r>
    </w:p>
    <w:p w:rsidR="00A31137" w:rsidRPr="00A31137" w:rsidRDefault="00A31137" w:rsidP="00A31137">
      <w:r w:rsidRPr="00A31137">
        <w:t>1990, Board of Educ. v. Mergens, 496 U.S. 250</w:t>
      </w:r>
    </w:p>
    <w:p w:rsidR="00A31137" w:rsidRPr="00A31137" w:rsidRDefault="00A31137" w:rsidP="00A31137">
      <w:r w:rsidRPr="00A31137">
        <w:t>[P]articularly in this age of massive media information…the few years difference in age between high school and college students [does not] justif[y] departing from Widmar.</w:t>
      </w:r>
    </w:p>
    <w:p w:rsidR="00A31137" w:rsidRPr="00A31137" w:rsidRDefault="00A31137" w:rsidP="00A31137">
      <w:r w:rsidRPr="00A31137">
        <w:t>1990, Board of Educ. v. Mergens, 496 U.S. 250</w:t>
      </w:r>
    </w:p>
    <w:p w:rsidR="00A31137" w:rsidRPr="00A31137" w:rsidRDefault="00A31137" w:rsidP="00A31137">
      <w:r w:rsidRPr="00A31137">
        <w:t>Bender v. Williamsport Area School Dist., 475 U.S. 534, 556 (1986) (Powell, J., dissenting).</w:t>
      </w:r>
    </w:p>
    <w:p w:rsidR="00A31137" w:rsidRPr="00A31137" w:rsidRDefault="00A31137" w:rsidP="00A31137">
      <w:r w:rsidRPr="00A31137">
        <w:t>1990, Board of Educ. v. Mergens, 496 U.S. 250</w:t>
      </w:r>
    </w:p>
    <w:p w:rsidR="00A31137" w:rsidRPr="00A31137" w:rsidRDefault="00A31137" w:rsidP="00A31137">
      <w:r w:rsidRPr="00A31137">
        <w:t>Indeed, we note that Congress specifically rejected the argument that high school students are likely to confuse an equal access policy with state sponsorship of religion. See S.Rep. No. 98-357, p. 8 (1984); id. at 35 ("[S]tudents below the college level are capable of distinguishing between State-initiated, school sponsored, or teacher-led religious [496 U.S. 251] speech on the one hand and student-initiated, student-led religious speech on the other"). Given the deference due "the duly enacted and carefully considered decision of a coequal and representative branch of our Government," Walters v. National Assn. of Radiation Survivors, 473 U.S. 305, 319 (1985); see also Rostker v. Goldberg, 453 U.S. 57, 64 (1981), we do not lightly second-guess such legislative judgments, particularly where the judgments are based in part on empirical determinations.</w:t>
      </w:r>
    </w:p>
    <w:p w:rsidR="00A31137" w:rsidRPr="00A31137" w:rsidRDefault="00A31137" w:rsidP="00A31137">
      <w:r w:rsidRPr="00A31137">
        <w:t>1990, Board of Educ. v. Mergens, 496 U.S. 251</w:t>
      </w:r>
    </w:p>
    <w:p w:rsidR="00A31137" w:rsidRPr="00A31137" w:rsidRDefault="00A31137" w:rsidP="00A31137">
      <w:r w:rsidRPr="00A31137">
        <w:t xml:space="preserve">Second, we note that the Act expressly limits participation by school officials at meetings of student religious groups, §§ 4071(c)(2) and (3), and that any such meetings must be held during "noninstructional time," § 4071(b). The Act therefore avoids the problems of "the students' emulation of teachers as role models" and "mandatory attendance requirements," Edwards v. Aguillard, 482 U.S. at  584; see also Illinois ex rel. McCollum v. Board of Education, 333 U.S. 203, 209-210 (1948) (release time program invalid where students were "released in part from their legal duty [to attend school] upon the condition that they attend the religious classes"). To be sure, the possibility of student peer pressure remains, but there is little if any risk of official state endorsement or coercion where no formal classroom activities are involved and no school officials actively participate. Moreover, petitioners' fear of a mistaken inference of endorsement is largely self-imposed, because the school itself has control over any impressions it gives its students. To the extent a school makes clear that its recognition of respondents' proposed club is not an endorsement of the views of the club's participants, see Widmar, 454 U.S. at  274, n. 14 (noting that university student handbook states that the university's name will not be identified with the aims, policies, or opinions of any student organization or its members), students will reasonably understand that the school's official recognition of the club evinces neutrality toward, rather than endorsement of, religious speech. [496 U.S. 252] </w:t>
      </w:r>
    </w:p>
    <w:p w:rsidR="00A31137" w:rsidRPr="00A31137" w:rsidRDefault="00A31137" w:rsidP="00A31137">
      <w:r w:rsidRPr="00A31137">
        <w:t>1990, Board of Educ. v. Mergens, 496 U.S. 252</w:t>
      </w:r>
    </w:p>
    <w:p w:rsidR="00A31137" w:rsidRPr="00A31137" w:rsidRDefault="00A31137" w:rsidP="00A31137">
      <w:r w:rsidRPr="00A31137">
        <w:t>Third, the broad spectrum of officially recognized student clubs at Westside, and the fact that Westside students are free to initiate and organize additional student clubs, see App. 221-222, counteract any possible message of official endorsement of or preference for religion or a particular religious belief. See Widmar, 454 U.S. at  274 ("The provision of benefits to so broad a spectrum of groups is an important index of secular effect"). Although a school may not itself lead or direct a religious club, a school that permits a student-initiated and student-led religious club to meet after school, just as it permits any other student group to do, does not convey a message of state approval or endorsement of the particular religion. Under the Act, a school with a limited open forum may not lawfully deny access to a Jewish students' club, a Young Democrats club, or a philosophy club devoted to the study of Nietzsche. To the extent that a religious club is merely one of many different student-initiated voluntary clubs, students should perceive no message of government endorsement of religion. Thus, we conclude that the Act does not, at least on its face and as applied to Westside, have the primary effect of advancing religion. See id. at  275 ("At least in the absence of empirical evidence that religious groups will dominate [the university's] open forum,…the advancement of religion would not be the forum's 'primary effect'").</w:t>
      </w:r>
    </w:p>
    <w:p w:rsidR="00A31137" w:rsidRPr="00A31137" w:rsidRDefault="00A31137" w:rsidP="00A31137">
      <w:r w:rsidRPr="00A31137">
        <w:t>1990, Board of Educ. v. Mergens, 496 U.S. 252</w:t>
      </w:r>
    </w:p>
    <w:p w:rsidR="00A31137" w:rsidRPr="00A31137" w:rsidRDefault="00A31137" w:rsidP="00A31137">
      <w:r w:rsidRPr="00A31137">
        <w:t xml:space="preserve">Petitioners' final argument is that, by complying with the Act's requirement, the school risks excessive entanglement between government and religion. The proposed club, petitioners urge, would be required to have a faculty sponsor who would be charged with actively directing the activities of the group, guiding its leaders, and ensuring balance in the presentation of controversial ideas. Petitioners claim that this influence over the club's religious program would entangle the government in day-to-day surveillance of religion of the type forbidden by the Establishment Clause. [496 U.S. 253] </w:t>
      </w:r>
    </w:p>
    <w:p w:rsidR="00A31137" w:rsidRPr="00A31137" w:rsidRDefault="00A31137" w:rsidP="00A31137">
      <w:r w:rsidRPr="00A31137">
        <w:t>1990, Board of Educ. v. Mergens, 496 U.S. 253</w:t>
      </w:r>
    </w:p>
    <w:p w:rsidR="00A31137" w:rsidRPr="00A31137" w:rsidRDefault="00A31137" w:rsidP="00A31137">
      <w:r w:rsidRPr="00A31137">
        <w:t>Under the Act, however, faculty monitors may not participate in any religious meetings, and nonschool persons may not direct, control, or regularly attend activities of student groups. §§ 4071(c)(3) and (5). Moreover, the Act prohibits school "sponsorship" of any religious meetings, § 4071(c)(2), which means that school officials may not promote, lead, or participate in any such meeting, § 4072(2). Although the Act permits "[t]he assignment of a teacher, administrator, or other school employee to the meeting for custodial purposes," ibid., such custodial oversight of the student-initiated religious group, merely to ensure order and good behavior, does not impermissibly entangle government in the day-to-day surveillance or administration of religious activities. See Tony and Susan Alamo Foundation v. Secretary of Labor, 471 U.S. 290, 305-306 (1985). Indeed, as the Court noted in Widmar, a denial of equal access to religious speech might well create greater entanglement problems in the form of invasive monitoring to prevent religious speech at meetings at which such speech might occur. See Widmar, 454 U.S. at  272, n. 11.</w:t>
      </w:r>
    </w:p>
    <w:p w:rsidR="00A31137" w:rsidRPr="00A31137" w:rsidRDefault="00A31137" w:rsidP="00A31137">
      <w:r w:rsidRPr="00A31137">
        <w:t>1990, Board of Educ. v. Mergens, 496 U.S. 253</w:t>
      </w:r>
    </w:p>
    <w:p w:rsidR="00A31137" w:rsidRPr="00A31137" w:rsidRDefault="00A31137" w:rsidP="00A31137">
      <w:r w:rsidRPr="00A31137">
        <w:t>Accordingly, we hold that the Equal Access Act does not on its face contravene the Establishment Clause. Because we hold that petitioners have violated the Act, we do not decide respondents' claims under the Free Speech and Free Exercise Clauses. For the foregoing reasons, the judgment of the Court of Appeals is affirmed.</w:t>
      </w:r>
    </w:p>
    <w:p w:rsidR="00A31137" w:rsidRPr="00A31137" w:rsidRDefault="00A31137" w:rsidP="00A31137">
      <w:r w:rsidRPr="00A31137">
        <w:t>1990, Board of Educ. v. Mergens, 496 U.S. 253</w:t>
      </w:r>
    </w:p>
    <w:p w:rsidR="00A31137" w:rsidRPr="00A31137" w:rsidRDefault="00A31137" w:rsidP="00A31137">
      <w:r w:rsidRPr="00A31137">
        <w:t>It is so ordered.</w:t>
      </w:r>
    </w:p>
    <w:p w:rsidR="00A31137" w:rsidRPr="00A31137" w:rsidRDefault="00A31137" w:rsidP="00A31137">
      <w:r w:rsidRPr="00A31137">
        <w:t>APPENDIX</w:t>
      </w:r>
    </w:p>
    <w:p w:rsidR="00A31137" w:rsidRPr="00A31137" w:rsidRDefault="00A31137" w:rsidP="00A31137">
      <w:r w:rsidRPr="00A31137">
        <w:t>Plaintiff's Trial Exhibit 63</w:t>
      </w:r>
    </w:p>
    <w:p w:rsidR="00A31137" w:rsidRPr="00A31137" w:rsidRDefault="00A31137" w:rsidP="00A31137">
      <w:r w:rsidRPr="00A31137">
        <w:t>STUDENT ACTIVITIES</w:t>
      </w:r>
    </w:p>
    <w:p w:rsidR="00A31137" w:rsidRPr="00A31137" w:rsidRDefault="00A31137" w:rsidP="00A31137">
      <w:r w:rsidRPr="00A31137">
        <w:t>1990, Board of Educ. v. Mergens, 496 U.S. 253</w:t>
      </w:r>
    </w:p>
    <w:p w:rsidR="00A31137" w:rsidRPr="00A31137" w:rsidRDefault="00A31137" w:rsidP="00A31137">
      <w:r w:rsidRPr="00A31137">
        <w:t>August, 1984</w:t>
      </w:r>
    </w:p>
    <w:p w:rsidR="00A31137" w:rsidRPr="00A31137" w:rsidRDefault="00A31137" w:rsidP="00A31137">
      <w:r w:rsidRPr="00A31137">
        <w:t>1990, Board of Educ. v. Mergens, 496 U.S. 253</w:t>
      </w:r>
    </w:p>
    <w:p w:rsidR="00A31137" w:rsidRPr="00A31137" w:rsidRDefault="00A31137" w:rsidP="00A31137">
      <w:r w:rsidRPr="00A31137">
        <w:t>BAND—This activity is included in our regular curriculum. Extensions of this activity include Marching Band, Ensembles, Pep Band, and Concert Jazz Band. Performances, [496 U.S. 254] presentations, and programs are presented throughout the school year.</w:t>
      </w:r>
    </w:p>
    <w:p w:rsidR="00A31137" w:rsidRPr="00A31137" w:rsidRDefault="00A31137" w:rsidP="00A31137">
      <w:r w:rsidRPr="00A31137">
        <w:t>1990, Board of Educ. v. Mergens, 496 U.S. 254</w:t>
      </w:r>
    </w:p>
    <w:p w:rsidR="00A31137" w:rsidRPr="00A31137" w:rsidRDefault="00A31137" w:rsidP="00A31137">
      <w:r w:rsidRPr="00A31137">
        <w:t>CHESS CLUB—This activity is for those interested in playing chess. Opportunities to play are held after school throughout the school year.</w:t>
      </w:r>
    </w:p>
    <w:p w:rsidR="00A31137" w:rsidRPr="00A31137" w:rsidRDefault="00A31137" w:rsidP="00A31137">
      <w:r w:rsidRPr="00A31137">
        <w:t>1990, Board of Educ. v. Mergens, 496 U.S. 254</w:t>
      </w:r>
    </w:p>
    <w:p w:rsidR="00A31137" w:rsidRPr="00A31137" w:rsidRDefault="00A31137" w:rsidP="00A31137">
      <w:r w:rsidRPr="00A31137">
        <w:t>CHEERLEADERS—A girls sport cheerleader team is made up of a junior varsity and varsity. The boys sport cheerleaders consist of sophomores, junior varsity, and varsity. Tryouts for these spirit groups are held each spring.</w:t>
      </w:r>
    </w:p>
    <w:p w:rsidR="00A31137" w:rsidRPr="00A31137" w:rsidRDefault="00A31137" w:rsidP="00A31137">
      <w:r w:rsidRPr="00A31137">
        <w:t>1990, Board of Educ. v. Mergens, 496 U.S. 254</w:t>
      </w:r>
    </w:p>
    <w:p w:rsidR="00A31137" w:rsidRPr="00A31137" w:rsidRDefault="00A31137" w:rsidP="00A31137">
      <w:r w:rsidRPr="00A31137">
        <w:t>CHOIR—This is a course offered as part of the curriculum. Extensions of this class include Boys and Girls Glee, Warrior Voices, and Concert and Chamber Choirs. Membership in these activities are determined by enrollment and tryouts.</w:t>
      </w:r>
    </w:p>
    <w:p w:rsidR="00A31137" w:rsidRPr="00A31137" w:rsidRDefault="00A31137" w:rsidP="00A31137">
      <w:r w:rsidRPr="00A31137">
        <w:t>1990, Board of Educ. v. Mergens, 496 U.S. 254</w:t>
      </w:r>
    </w:p>
    <w:p w:rsidR="00A31137" w:rsidRPr="00A31137" w:rsidRDefault="00A31137" w:rsidP="00A31137">
      <w:r w:rsidRPr="00A31137">
        <w:t>CLASS OFFICERS—Voting and selection of junior and senior class officers for the following year are held each spring. Students interested in being a class officer will need to secure support, be willing to make a presentation to their class, and serve their class in an officer capacity for the following year.</w:t>
      </w:r>
    </w:p>
    <w:p w:rsidR="00A31137" w:rsidRPr="00A31137" w:rsidRDefault="00A31137" w:rsidP="00A31137">
      <w:r w:rsidRPr="00A31137">
        <w:t>1990, Board of Educ. v. Mergens, 496 U.S. 254</w:t>
      </w:r>
    </w:p>
    <w:p w:rsidR="00A31137" w:rsidRPr="00A31137" w:rsidRDefault="00A31137" w:rsidP="00A31137">
      <w:r w:rsidRPr="00A31137">
        <w:t>DISTRIBUTIVE EDUCATION (DECA)—This is an organization that is an extension of the Distributive Education class. Membership in this activity is offered to those students involved in D.E. The club for the current year is formulated at the beginning of school each fall.</w:t>
      </w:r>
    </w:p>
    <w:p w:rsidR="00A31137" w:rsidRPr="00A31137" w:rsidRDefault="00A31137" w:rsidP="00A31137">
      <w:r w:rsidRPr="00A31137">
        <w:t>1990, Board of Educ. v. Mergens, 496 U.S. 254</w:t>
      </w:r>
    </w:p>
    <w:p w:rsidR="00A31137" w:rsidRPr="00A31137" w:rsidRDefault="00A31137" w:rsidP="00A31137">
      <w:r w:rsidRPr="00A31137">
        <w:t>SPEECH &amp; DEBATE—This is an activity for students interested in participating on a competitive level in both speech and debate. The season begins the first week in November and continues through March.</w:t>
      </w:r>
    </w:p>
    <w:p w:rsidR="00A31137" w:rsidRPr="00A31137" w:rsidRDefault="00A31137" w:rsidP="00A31137">
      <w:r w:rsidRPr="00A31137">
        <w:t>1990, Board of Educ. v. Mergens, 496 U.S. 254</w:t>
      </w:r>
    </w:p>
    <w:p w:rsidR="00A31137" w:rsidRPr="00A31137" w:rsidRDefault="00A31137" w:rsidP="00A31137">
      <w:r w:rsidRPr="00A31137">
        <w:t xml:space="preserve">DRILL SQUAD &amp; SQUIRES—These are spirit groups primarily concerned with performing at half time at football and basketball games. Selection for these squads is made in the spring of each school year. These marching units are also support groups for other athletic teams. [496 U.S. 255] </w:t>
      </w:r>
    </w:p>
    <w:p w:rsidR="00A31137" w:rsidRPr="00A31137" w:rsidRDefault="00A31137" w:rsidP="00A31137">
      <w:r w:rsidRPr="00A31137">
        <w:t>1990, Board of Educ. v. Mergens, 496 U.S. 255</w:t>
      </w:r>
    </w:p>
    <w:p w:rsidR="00A31137" w:rsidRPr="00A31137" w:rsidRDefault="00A31137" w:rsidP="00A31137">
      <w:r w:rsidRPr="00A31137">
        <w:t>FUTURE BUSINESS LEADERS OF AMERICA (FBLA)—This is a club designed for students interested in pursuing the field of business. It is open to any student with an interest. Membership begins in the fall of each school year.</w:t>
      </w:r>
    </w:p>
    <w:p w:rsidR="00A31137" w:rsidRPr="00A31137" w:rsidRDefault="00A31137" w:rsidP="00A31137">
      <w:r w:rsidRPr="00A31137">
        <w:t>1990, Board of Educ. v. Mergens, 496 U.S. 255</w:t>
      </w:r>
    </w:p>
    <w:p w:rsidR="00A31137" w:rsidRPr="00A31137" w:rsidRDefault="00A31137" w:rsidP="00A31137">
      <w:r w:rsidRPr="00A31137">
        <w:t>FUTURE MEDICAL ASSISTANTS (FMA)—This is a club designed for students with an interest in pursuing any area of medicine. The organization assists in securing blood donations from individuals at Westside High School for the Red Cross. Meetings are held to inform the membership about opportunities in the medical field. Memberships are accepted at the beginning of school each fall.</w:t>
      </w:r>
    </w:p>
    <w:p w:rsidR="00A31137" w:rsidRPr="00A31137" w:rsidRDefault="00A31137" w:rsidP="00A31137">
      <w:r w:rsidRPr="00A31137">
        <w:t>1990, Board of Educ. v. Mergens, 496 U.S. 255</w:t>
      </w:r>
    </w:p>
    <w:p w:rsidR="00A31137" w:rsidRPr="00A31137" w:rsidRDefault="00A31137" w:rsidP="00A31137">
      <w:r w:rsidRPr="00A31137">
        <w:t>INTERACT—This is a boys' volunteer organization associated with the Rotary Club of America. Its basic function is to do volunteer work within the community. They are also a support and spirit group for our athletic teams. Membership is open to 11th and 12th grade boys, with membership opportunities being available in the fall of each school year.</w:t>
      </w:r>
    </w:p>
    <w:p w:rsidR="00A31137" w:rsidRPr="00A31137" w:rsidRDefault="00A31137" w:rsidP="00A31137">
      <w:r w:rsidRPr="00A31137">
        <w:t>1990, Board of Educ. v. Mergens, 496 U.S. 255</w:t>
      </w:r>
    </w:p>
    <w:p w:rsidR="00A31137" w:rsidRPr="00A31137" w:rsidRDefault="00A31137" w:rsidP="00A31137">
      <w:r w:rsidRPr="00A31137">
        <w:t>INTERNATIONAL CLUB—This is a club designed to help students understand people from other countries and is developed through our foreign language classes. French, German, Spanish, and Latin teachers encourage membership in this organization in the fall of each year. Sponsorship of foreign students who attend Westside is one of their major activities.</w:t>
      </w:r>
    </w:p>
    <w:p w:rsidR="00A31137" w:rsidRPr="00A31137" w:rsidRDefault="00A31137" w:rsidP="00A31137">
      <w:r w:rsidRPr="00A31137">
        <w:t>1990, Board of Educ. v. Mergens, 496 U.S. 255</w:t>
      </w:r>
    </w:p>
    <w:p w:rsidR="00A31137" w:rsidRPr="00A31137" w:rsidRDefault="00A31137" w:rsidP="00A31137">
      <w:r w:rsidRPr="00A31137">
        <w:t>LATIN CLUB (Junior Classical League)—This is a club designed for those students who are taking Latin as a foreign language. This club competes in competitive situations between schools and is involved with state competition as well. Students have the opportunity to join JCL beginning in the fall of each school year.</w:t>
      </w:r>
    </w:p>
    <w:p w:rsidR="00A31137" w:rsidRPr="00A31137" w:rsidRDefault="00A31137" w:rsidP="00A31137">
      <w:r w:rsidRPr="00A31137">
        <w:t>1990, Board of Educ. v. Mergens, 496 U.S. 255</w:t>
      </w:r>
    </w:p>
    <w:p w:rsidR="00A31137" w:rsidRPr="00A31137" w:rsidRDefault="00A31137" w:rsidP="00A31137">
      <w:r w:rsidRPr="00A31137">
        <w:t xml:space="preserve">MATH CLUB—This club is for any student interested in mathematics. Meetings are held periodically during the school year. [496 U.S. 256] </w:t>
      </w:r>
    </w:p>
    <w:p w:rsidR="00A31137" w:rsidRPr="00A31137" w:rsidRDefault="00A31137" w:rsidP="00A31137">
      <w:r w:rsidRPr="00A31137">
        <w:t>1990, Board of Educ. v. Mergens, 496 U.S. 256</w:t>
      </w:r>
    </w:p>
    <w:p w:rsidR="00A31137" w:rsidRPr="00A31137" w:rsidRDefault="00A31137" w:rsidP="00A31137">
      <w:r w:rsidRPr="00A31137">
        <w:t>STUDENT PUBLICATIONS—This activity includes classes offered in preparation of the yearbook (Shield) and the student newspaper (Lance). Opportunities to learn about journalism are provided for students interested in these areas. Membership in Quill and Scroll is an extension of a student's involvement in school publications.</w:t>
      </w:r>
    </w:p>
    <w:p w:rsidR="00A31137" w:rsidRPr="00A31137" w:rsidRDefault="00A31137" w:rsidP="00A31137">
      <w:r w:rsidRPr="00A31137">
        <w:t>1990, Board of Educ. v. Mergens, 496 U.S. 256</w:t>
      </w:r>
    </w:p>
    <w:p w:rsidR="00A31137" w:rsidRPr="00A31137" w:rsidRDefault="00A31137" w:rsidP="00A31137">
      <w:r w:rsidRPr="00A31137">
        <w:t>STUDENT FORUM—Each homeroom elects one representative as a member of the student forum. Their responsibility is to provide ideas, make suggestions, and serve as one informational group to the staff and administration for student government. Selections are made for this membership in the fall of each school year.</w:t>
      </w:r>
    </w:p>
    <w:p w:rsidR="00A31137" w:rsidRPr="00A31137" w:rsidRDefault="00A31137" w:rsidP="00A31137">
      <w:r w:rsidRPr="00A31137">
        <w:t>1990, Board of Educ. v. Mergens, 496 U.S. 256</w:t>
      </w:r>
    </w:p>
    <w:p w:rsidR="00A31137" w:rsidRPr="00A31137" w:rsidRDefault="00A31137" w:rsidP="00A31137">
      <w:r w:rsidRPr="00A31137">
        <w:t>DRAMATICS—This activity is an extension of a regular academic class. School plays, one-act plays, and musicals are provided for students with an interest and ability in these areas. Tryouts for these productions are announced prior to the selection of individuals for these activities.</w:t>
      </w:r>
    </w:p>
    <w:p w:rsidR="00A31137" w:rsidRPr="00A31137" w:rsidRDefault="00A31137" w:rsidP="00A31137">
      <w:r w:rsidRPr="00A31137">
        <w:t>1990, Board of Educ. v. Mergens, 496 U.S. 256</w:t>
      </w:r>
    </w:p>
    <w:p w:rsidR="00A31137" w:rsidRPr="00A31137" w:rsidRDefault="00A31137" w:rsidP="00A31137">
      <w:r w:rsidRPr="00A31137">
        <w:t>CREATIVE WRITING CLUB—This is an organization that provides students, with the interest and capability, an opportunity to do prose and poetry writing. This club meets periodically throughout the year and publishes the students' work. Any student with an interest is encouraged to become a member.</w:t>
      </w:r>
    </w:p>
    <w:p w:rsidR="00A31137" w:rsidRPr="00A31137" w:rsidRDefault="00A31137" w:rsidP="00A31137">
      <w:r w:rsidRPr="00A31137">
        <w:t>1990, Board of Educ. v. Mergens, 496 U.S. 256</w:t>
      </w:r>
    </w:p>
    <w:p w:rsidR="00A31137" w:rsidRPr="00A31137" w:rsidRDefault="00A31137" w:rsidP="00A31137">
      <w:r w:rsidRPr="00A31137">
        <w:t>PHOTOGRAPHY CLUB—This is a club for the student who has the interest and/or ability in photography. Students have an opportunity to take photos of school activities. A darkroom is provided for the students' use. Membership in this organization begins in the fall of each school year.</w:t>
      </w:r>
    </w:p>
    <w:p w:rsidR="00A31137" w:rsidRPr="00A31137" w:rsidRDefault="00A31137" w:rsidP="00A31137">
      <w:r w:rsidRPr="00A31137">
        <w:t>1990, Board of Educ. v. Mergens, 496 U.S. 256</w:t>
      </w:r>
    </w:p>
    <w:p w:rsidR="00A31137" w:rsidRPr="00A31137" w:rsidRDefault="00A31137" w:rsidP="00A31137">
      <w:r w:rsidRPr="00A31137">
        <w:t>ORCHESTRA—This activity is an extension of our regular curriculum. Performances are given periodically throughout the year. Tryouts are held for some special groups within the orchestra. All students signed up for that class have the opportunity to try out.</w:t>
      </w:r>
    </w:p>
    <w:p w:rsidR="00A31137" w:rsidRPr="00A31137" w:rsidRDefault="00A31137" w:rsidP="00A31137">
      <w:r w:rsidRPr="00A31137">
        <w:t>1990, Board of Educ. v. Mergens, 496 U.S. 256</w:t>
      </w:r>
    </w:p>
    <w:p w:rsidR="00A31137" w:rsidRPr="00A31137" w:rsidRDefault="00A31137" w:rsidP="00A31137">
      <w:r w:rsidRPr="00A31137">
        <w:t>OUTDOOR EDUCATION—This activity is an opportunity for interested students to be involved in the elementary [496 U.S. 257] school Outdoor Education Program. High school students are used as camp counselors and leaders for this activity. Students are solicited to help work prior to the fall and spring Outdoor Ed Program.</w:t>
      </w:r>
    </w:p>
    <w:p w:rsidR="00A31137" w:rsidRPr="00A31137" w:rsidRDefault="00A31137" w:rsidP="00A31137">
      <w:r w:rsidRPr="00A31137">
        <w:t>1990, Board of Educ. v. Mergens, 496 U.S. 257</w:t>
      </w:r>
    </w:p>
    <w:p w:rsidR="00A31137" w:rsidRPr="00A31137" w:rsidRDefault="00A31137" w:rsidP="00A31137">
      <w:r w:rsidRPr="00A31137">
        <w:t>SWIMMING TIMING TEAM—Offers an interested student a chance to be a part of the Timing Team that is used during the competitive swimming season. Regular season meets, invitational meets, and the metro swim meet are swimming activities at which these volunteers will work. Membership in these group is solicited prior to the beginning of the competitive season.</w:t>
      </w:r>
    </w:p>
    <w:p w:rsidR="00A31137" w:rsidRPr="00A31137" w:rsidRDefault="00A31137" w:rsidP="00A31137">
      <w:r w:rsidRPr="00A31137">
        <w:t>1990, Board of Educ. v. Mergens, 496 U.S. 257</w:t>
      </w:r>
    </w:p>
    <w:p w:rsidR="00A31137" w:rsidRPr="00A31137" w:rsidRDefault="00A31137" w:rsidP="00A31137">
      <w:r w:rsidRPr="00A31137">
        <w:t>STUDENT ADVISORY BOARD (SAB)—Is another facet of student government. Members are elected from each class to represent the student body. These elections are held at the same time class officers are elected. Any student has an opportunity to submit their name for consideration.</w:t>
      </w:r>
    </w:p>
    <w:p w:rsidR="00A31137" w:rsidRPr="00A31137" w:rsidRDefault="00A31137" w:rsidP="00A31137">
      <w:r w:rsidRPr="00A31137">
        <w:t>1990, Board of Educ. v. Mergens, 496 U.S. 257</w:t>
      </w:r>
    </w:p>
    <w:p w:rsidR="00A31137" w:rsidRPr="00A31137" w:rsidRDefault="00A31137" w:rsidP="00A31137">
      <w:r w:rsidRPr="00A31137">
        <w:t>INTRAMURALS—Are offered to Westside students these following times. Basketball begins the latter part of November and continues through February. Coeducational volleyball is the spring intramural activity. Announcements are made to students so they can organize and formulate teams prior to the beginning of these activities.</w:t>
      </w:r>
    </w:p>
    <w:p w:rsidR="00A31137" w:rsidRPr="00A31137" w:rsidRDefault="00A31137" w:rsidP="00A31137">
      <w:r w:rsidRPr="00A31137">
        <w:t>1990, Board of Educ. v. Mergens, 496 U.S. 257</w:t>
      </w:r>
    </w:p>
    <w:p w:rsidR="00A31137" w:rsidRPr="00A31137" w:rsidRDefault="00A31137" w:rsidP="00A31137">
      <w:r w:rsidRPr="00A31137">
        <w:t>COMPETITIVE ATHLETICS—Westside High School offers students the opportunity to try out and participate in eighteen varsity sports. Twenty-seven different competitive teams are available for students at each grade level. The seasons when these are offered and the procedures for getting involved can be found in the Warrior Bulletin that is published and distributed in August, prior to the opening of school.</w:t>
      </w:r>
    </w:p>
    <w:p w:rsidR="00A31137" w:rsidRPr="00A31137" w:rsidRDefault="00A31137" w:rsidP="00A31137">
      <w:r w:rsidRPr="00A31137">
        <w:t>1990, Board of Educ. v. Mergens, 496 U.S. 257</w:t>
      </w:r>
    </w:p>
    <w:p w:rsidR="00A31137" w:rsidRPr="00A31137" w:rsidRDefault="00A31137" w:rsidP="00A31137">
      <w:r w:rsidRPr="00A31137">
        <w:t xml:space="preserve">ZONTA CLUB (Z Club)—Is a volunteer club for girls associated with Zonta International. Approximately one hundred junior and senior girls are involved in this volunteer organization. Eleventh and twelfth grade students are encouraged to join in the fall of each school year. [496 U.S. 258] </w:t>
      </w:r>
    </w:p>
    <w:p w:rsidR="00A31137" w:rsidRPr="00A31137" w:rsidRDefault="00A31137" w:rsidP="00A31137">
      <w:r w:rsidRPr="00A31137">
        <w:t>1990, Board of Educ. v. Mergens, 496 U.S. 258</w:t>
      </w:r>
    </w:p>
    <w:p w:rsidR="00A31137" w:rsidRPr="00A31137" w:rsidRDefault="00A31137" w:rsidP="00A31137">
      <w:r w:rsidRPr="00A31137">
        <w:t>SUBSURFERS—Is a club designed for students interested in learning about skin and scuba diving and other practical applications of that sport. Opportunities in the classroom and in our pool are made available for students involved in this activity. Membership is solicited in the fall and spring of each year.</w:t>
      </w:r>
    </w:p>
    <w:p w:rsidR="00A31137" w:rsidRPr="00A31137" w:rsidRDefault="00A31137" w:rsidP="00A31137">
      <w:r w:rsidRPr="00A31137">
        <w:t>1990, Board of Educ. v. Mergens, 496 U.S. 258</w:t>
      </w:r>
    </w:p>
    <w:p w:rsidR="00A31137" w:rsidRPr="00A31137" w:rsidRDefault="00A31137" w:rsidP="00A31137">
      <w:r w:rsidRPr="00A31137">
        <w:t>WELCOME TO WESTSIDE CLUB—Is an organization for students who are interested in helping students new to District 66 and to Westside High School. Activities are held for them which are geared toward helping them become a part of our school curriculum and activities.</w:t>
      </w:r>
    </w:p>
    <w:p w:rsidR="00A31137" w:rsidRPr="00A31137" w:rsidRDefault="00A31137" w:rsidP="00A31137">
      <w:r w:rsidRPr="00A31137">
        <w:t>1990, Board of Educ. v. Mergens, 496 U.S. 258</w:t>
      </w:r>
    </w:p>
    <w:p w:rsidR="00A31137" w:rsidRPr="00A31137" w:rsidRDefault="00A31137" w:rsidP="00A31137">
      <w:r w:rsidRPr="00A31137">
        <w:t>WRESTLING AUXILIARY—Is for girls interested in supporting our competitive wrestling team. Membership is solicited prior to the competitive wrestling season.</w:t>
      </w:r>
    </w:p>
    <w:p w:rsidR="00A31137" w:rsidRPr="00A31137" w:rsidRDefault="00A31137" w:rsidP="00A31137">
      <w:r w:rsidRPr="00A31137">
        <w:t>1990, Board of Educ. v. Mergens, 496 U.S. 258</w:t>
      </w:r>
    </w:p>
    <w:p w:rsidR="00A31137" w:rsidRPr="00A31137" w:rsidRDefault="00A31137" w:rsidP="00A31137">
      <w:r w:rsidRPr="00A31137">
        <w:t>NATIONAL HONOR SOCIETY—Westside Honor Society is a chapter of the national organization and is bound by its rules and regulations. It is open to seniors who are in the upper 15% of their class. Westside in practice and by general agreement of the local chapter has inducted only those juniors in the upper 7% of their class. The selection is made not only upon scholarship but also character, leadership, and service. A committee meets and selects those students who they believe represent the high qualities of the organization. Induction into NHS is held in the spring of each year.</w:t>
      </w:r>
    </w:p>
    <w:p w:rsidR="00A31137" w:rsidRPr="00A31137" w:rsidRDefault="00A31137" w:rsidP="00A31137">
      <w:r w:rsidRPr="00A31137">
        <w:t>KENNEDY, J., concurring</w:t>
      </w:r>
    </w:p>
    <w:p w:rsidR="00A31137" w:rsidRPr="00A31137" w:rsidRDefault="00A31137" w:rsidP="00A31137">
      <w:r w:rsidRPr="00A31137">
        <w:t>1990, Board of Educ. v. Mergens, 496 U.S. 258</w:t>
      </w:r>
    </w:p>
    <w:p w:rsidR="00A31137" w:rsidRPr="00A31137" w:rsidRDefault="00A31137" w:rsidP="00A31137">
      <w:r w:rsidRPr="00A31137">
        <w:t>Justice KENNEDY, with whom Justice SCALIA joins, concurring in part and concurring in the judgment.</w:t>
      </w:r>
    </w:p>
    <w:p w:rsidR="00A31137" w:rsidRPr="00A31137" w:rsidRDefault="00A31137" w:rsidP="00A31137">
      <w:r w:rsidRPr="00A31137">
        <w:t>1990, Board of Educ. v. Mergens, 496 U.S. 258</w:t>
      </w:r>
    </w:p>
    <w:p w:rsidR="00A31137" w:rsidRPr="00A31137" w:rsidRDefault="00A31137" w:rsidP="00A31137">
      <w:r w:rsidRPr="00A31137">
        <w:t>The Court's interpretation of the statutory term "noncurriculum related groups" is proper and correct, in my view, and I join Parts I and II of the Court's opinion. I further agree that the Act does not violate the Establishment Clause, and so I concur in the judgment; but my view of the analytic premise that controls the establishment question differs from that employed by the plurality. I write to explain [496 U.S. 259] why I cannot join all that is said in Part III of JUSTICE O'CONNOR's opinion.</w:t>
      </w:r>
    </w:p>
    <w:p w:rsidR="00A31137" w:rsidRPr="00A31137" w:rsidRDefault="00A31137" w:rsidP="00A31137">
      <w:r w:rsidRPr="00A31137">
        <w:t>I</w:t>
      </w:r>
    </w:p>
    <w:p w:rsidR="00A31137" w:rsidRPr="00A31137" w:rsidRDefault="00A31137" w:rsidP="00A31137">
      <w:r w:rsidRPr="00A31137">
        <w:t>1990, Board of Educ. v. Mergens, 496 U.S. 259</w:t>
      </w:r>
    </w:p>
    <w:p w:rsidR="00A31137" w:rsidRPr="00A31137" w:rsidRDefault="00A31137" w:rsidP="00A31137">
      <w:r w:rsidRPr="00A31137">
        <w:t>A brief initial comment on the statutory issue is in order. The student clubs recognized by Westside school officials are a far cry from the groups given official recognition by university officials in Widmar v. Vincent, 454 U.S. 263 (1981). As Justice STEVENS points out in dissent, one of the consequences of the statute, as we now interpret it, is that clubs of a most controversial character might have access to the student life of high schools that in the past have given official recognition only to clubs of a more conventional kind. See post at  271,  276.</w:t>
      </w:r>
    </w:p>
    <w:p w:rsidR="00A31137" w:rsidRPr="00A31137" w:rsidRDefault="00A31137" w:rsidP="00A31137">
      <w:r w:rsidRPr="00A31137">
        <w:t>1990, Board of Educ. v. Mergens, 496 U.S. 259</w:t>
      </w:r>
    </w:p>
    <w:p w:rsidR="00A31137" w:rsidRPr="00A31137" w:rsidRDefault="00A31137" w:rsidP="00A31137">
      <w:r w:rsidRPr="00A31137">
        <w:t>It must be apparent to all that the Act has made a matter once left to the discretion of local school officials the subject of comprehensive regulation by federal law. This decision, however, was for Congress to make, subject to constitutional limitations. Congress having decided in favor of legislative intervention, it faced the task of formulating general statutory standards against the background protections of the Free Speech Clause, as well as the Establishment and Free Exercise Clauses. Given the complexities of our own jurisprudence in these areas, there is no doubt that the congressional task was a difficult one. While I can not pretend that the language Congress used in the Act is free from ambiguity in some of its vital provisions, the Court's interpretation of the phrase "noncurriculum related" seems to me to be the most rational and indeed the most plausible interpretation available, given the words and structure of the Act and the constitutional implications of the subject it addresses.</w:t>
      </w:r>
    </w:p>
    <w:p w:rsidR="00A31137" w:rsidRPr="00A31137" w:rsidRDefault="00A31137" w:rsidP="00A31137">
      <w:r w:rsidRPr="00A31137">
        <w:t>1990, Board of Educ. v. Mergens, 496 U.S. 259</w:t>
      </w:r>
    </w:p>
    <w:p w:rsidR="00A31137" w:rsidRPr="00A31137" w:rsidRDefault="00A31137" w:rsidP="00A31137">
      <w:r w:rsidRPr="00A31137">
        <w:t>There is one structural feature of the statute that should be noted. The opinion of the Court states that "[i]f the meetings are religious, employees or agents of the school or government may attend only in a 'nonparticipatory capacity.'" Ante at  236 (quoting 20 U.S.C. § 4071(c)(3)). This is based upon a provision in the Act in which nonparticipation is one [496 U.S. 260] of several statutory criteria that a school must meet in order to "be deemed to offer a fair opportunity to students who wish to conduct a meeting within its limited open forum." § 4071(c). It is not altogether clear, however, whether satisfaction of these criteria is the sole means of meeting the statutory requirement that schools with noncurriculum related student groups provide a "fair opportunity" to religious clubs. § 4071(a). Although we need not answer it today, left open is the question whether school officials may prove that they are in compliance with the statute without satisfying all of the criteria in § 4071(c). But in the matter before us, the school has not attempted to comply with the statute through any means, and we have only to determine whether it is possible for the statute to be implemented in a constitutional manner.</w:t>
      </w:r>
    </w:p>
    <w:p w:rsidR="00A31137" w:rsidRPr="00A31137" w:rsidRDefault="00A31137" w:rsidP="00A31137">
      <w:r w:rsidRPr="00A31137">
        <w:t>II</w:t>
      </w:r>
    </w:p>
    <w:p w:rsidR="00A31137" w:rsidRPr="00A31137" w:rsidRDefault="00A31137" w:rsidP="00A31137">
      <w:r w:rsidRPr="00A31137">
        <w:t>1990, Board of Educ. v. Mergens, 496 U.S. 260</w:t>
      </w:r>
    </w:p>
    <w:p w:rsidR="00A31137" w:rsidRPr="00A31137" w:rsidRDefault="00A31137" w:rsidP="00A31137">
      <w:r w:rsidRPr="00A31137">
        <w:t>I agree with the plurality that a school complying with the statute by satisfying the criteria in § 4071(c) does not violate the Establishment Clause. The accommodation of religion mandated by the Act is a neutral one, and, in the context of this case, it suffices to inquire whether the Act violates either one of two principles. The first is that the government cannot "give direct benefits to religion in such a degree that it in fact 'establishes a [state] religion or religious faith, or tends to do so.'" County of Allegheny v. American Civil Liberties Union, Greater Pittsburgh Chapter, 492 U.S. 573,  659 (1989) (KENNEDY, J., concurring in judgment in part and dissenting in part) (quoting Lynch v. Donnelly, 465 U.S. 668,  678 (1984)). Any incidental benefits that accompany official recognition of a religious club under the criteria set forth in the § 4071(c) do not lead to the establishment of religion under this standard. See Widmar, supra, 454 U.S. at 273-274. The second principle controlling the case now before us, in my view, is that the government cannot coerce any student to participate in a religious activity. Cf. County of Allegheny, supra, at 659. The Act is consistent with this standard [496 U.S. 261] as well. Nothing on the face of the Act or in the facts of the case as here presented demonstrates that enforcement of the statute will result in the coercion of any student to participate in a religious activity. The Act does not authorize school authorities to require, or even to encourage, students to become members of a religious club or to attend a club's meetings, see §§ 4071(c), (d), 4072(2); the meetings take place while school is not in session, see §§ 4071(b), 4072(4); and the Act does not compel any school employee to participate in, or to attend, a club's meetings or activities, see §§ 4071(c), (d)(4).</w:t>
      </w:r>
    </w:p>
    <w:p w:rsidR="00A31137" w:rsidRPr="00A31137" w:rsidRDefault="00A31137" w:rsidP="00A31137">
      <w:r w:rsidRPr="00A31137">
        <w:t>1990, Board of Educ. v. Mergens, 496 U.S. 261</w:t>
      </w:r>
    </w:p>
    <w:p w:rsidR="00A31137" w:rsidRPr="00A31137" w:rsidRDefault="00A31137" w:rsidP="00A31137">
      <w:r w:rsidRPr="00A31137">
        <w:t>The plurality uses a different test, one which asks whether school officials, by complying with the Act, have endorsed religion. It is true that when government gives impermissible assistance to a religion it can be said to have "endorsed" religion; but endorsement cannot be the test. The word endorsement has insufficient content to be dispositive. And for reasons I have explained elsewhere, see Allegheny County, supra, its literal application may result in neutrality in name but hostility in fact when the question is the government's proper relation to those who express some religious preference.</w:t>
      </w:r>
    </w:p>
    <w:p w:rsidR="00A31137" w:rsidRPr="00A31137" w:rsidRDefault="00A31137" w:rsidP="00A31137">
      <w:r w:rsidRPr="00A31137">
        <w:t>1990, Board of Educ. v. Mergens, 496 U.S. 261</w:t>
      </w:r>
    </w:p>
    <w:p w:rsidR="00A31137" w:rsidRPr="00A31137" w:rsidRDefault="00A31137" w:rsidP="00A31137">
      <w:r w:rsidRPr="00A31137">
        <w:t>I should think it inevitable that a public high school "endorses" a religious club, in a common-sense use of the term, if the club happens to be one of many activities that the school permits students to choose in order to further the development of their intellect and character in an extracurricular setting. But no constitutional violation occurs if the school's action is based upon a recognition of the fact that membership in a religious club is one of many permissible ways for a student to further his or her own personal enrichment. The inquiry with respect to coercion must be whether the government imposes pressure upon a student to participate in a religious activity. This inquiry, of course, must be undertaken with sensitivity to the special circumstances that exist in a secondary school, where the line between voluntary and [496 U.S. 262] coerced participation may be difficult to draw. No such coercion, however, has been shown to exist as a necessary result of this statute, either on its face or as respondents seek to invoke it on the facts of this case.</w:t>
      </w:r>
    </w:p>
    <w:p w:rsidR="00A31137" w:rsidRPr="00A31137" w:rsidRDefault="00A31137" w:rsidP="00A31137">
      <w:r w:rsidRPr="00A31137">
        <w:t>1990, Board of Educ. v. Mergens, 496 U.S. 262</w:t>
      </w:r>
    </w:p>
    <w:p w:rsidR="00A31137" w:rsidRPr="00A31137" w:rsidRDefault="00A31137" w:rsidP="00A31137">
      <w:r w:rsidRPr="00A31137">
        <w:t>For these reasons, I join Parts I and II of the Court's opinion, and concur in the judgment.</w:t>
      </w:r>
    </w:p>
    <w:p w:rsidR="00A31137" w:rsidRPr="00A31137" w:rsidRDefault="00A31137" w:rsidP="00A31137">
      <w:r w:rsidRPr="00A31137">
        <w:t>MARSHALL, J., concurring</w:t>
      </w:r>
    </w:p>
    <w:p w:rsidR="00A31137" w:rsidRPr="00A31137" w:rsidRDefault="00A31137" w:rsidP="00A31137">
      <w:r w:rsidRPr="00A31137">
        <w:t>1990, Board of Educ. v. Mergens, 496 U.S. 262</w:t>
      </w:r>
    </w:p>
    <w:p w:rsidR="00A31137" w:rsidRPr="00A31137" w:rsidRDefault="00A31137" w:rsidP="00A31137">
      <w:r w:rsidRPr="00A31137">
        <w:t>Justice MARSHALL, with whom Justice BRENNAN joins, concurring in the judgment.</w:t>
      </w:r>
    </w:p>
    <w:p w:rsidR="00A31137" w:rsidRPr="00A31137" w:rsidRDefault="00A31137" w:rsidP="00A31137">
      <w:r w:rsidRPr="00A31137">
        <w:t>1990, Board of Educ. v. Mergens, 496 U.S. 262</w:t>
      </w:r>
    </w:p>
    <w:p w:rsidR="00A31137" w:rsidRPr="00A31137" w:rsidRDefault="00A31137" w:rsidP="00A31137">
      <w:r w:rsidRPr="00A31137">
        <w:t>I agree with the majority that "noncurriculum" must be construed broadly to "prohibit schools from discriminating on the basis of the content of a student group's speech." Ante at  241. As the majority demonstrates, such a construction "is consistent with Congress' intent to provide a low threshold for triggering the Act's requirements." Ante at  240. In addition, to the extent that Congress intended the Act to track this Court's free speech jurisprudence, as the dissent argues, post at  279, n. 9, the majority's construction is faithful to our commitment to nondiscriminatory access to open fora in public schools. Widmar v. Vincent, 454 U.S. 263,  267 (1981). When a school allows student-initiated clubs not directly tied to the school's curriculum to use school facilities, it has "created a forum generally open to student groups" and is therefore constitutionally prohibited from enforcing a "content-based exclusion" of other student speech. Id. at  277. In this respect, the Act as construed by the majority simply codifies in statute what is already constitutionally mandated: schools may not discriminate among student-initiated groups that seek access to school facilities for expressive purposes not directly related to the school's curriculum.</w:t>
      </w:r>
    </w:p>
    <w:p w:rsidR="00A31137" w:rsidRPr="00A31137" w:rsidRDefault="00A31137" w:rsidP="00A31137">
      <w:r w:rsidRPr="00A31137">
        <w:t>1990, Board of Educ. v. Mergens, 496 U.S. 262</w:t>
      </w:r>
    </w:p>
    <w:p w:rsidR="00A31137" w:rsidRPr="00A31137" w:rsidRDefault="00A31137" w:rsidP="00A31137">
      <w:r w:rsidRPr="00A31137">
        <w:t>The Act's low threshold for triggering equal access, however, raises serious Establishment Clause concerns where secondary schools with fora that differ substantially from the forum in Widmar are required to grant access to student religious groups. Indeed, as applied in the present case, the Act mandates a religious group's access to a forum that is dedicated to promoting fundamental values and citizenship as [496 U.S. 263] defined by the school. The Establishment Clause does not forbid the operation of the Act in such circumstances, but it does require schools to change their relationship to their fora so as to disassociate themselves effectively from religious clubs' speech. Thus, although I agree with the plurality that the Act as applied to Westside could withstand Establishment Clause scrutiny, ante at 247-253 (O'CONNOR, J., joined by REHNQUIST, C.J., and WHITE and BLACKMUN, JJ.), I write separately to emphasize the steps Westside must take to avoid appearing to endorse the Christian Club's goals. The plurality's Establishment Clause analysis pays inadequate attention to the differences between this case and Widmar, and dismisses too lightly the distinctive pressures created by Westside's highly structured environment.</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1990, Board of Educ. v. Mergens, 496 U.S. 263</w:t>
      </w:r>
    </w:p>
    <w:p w:rsidR="00A31137" w:rsidRPr="00A31137" w:rsidRDefault="00A31137" w:rsidP="00A31137">
      <w:r w:rsidRPr="00A31137">
        <w:t>This case involves the intersection of two First Amendment guarantees—the Free Speech Clause and the Establishment Clause. We have long regarded free and open debate over matters of controversy as necessary to the functioning of our constitutional system. See, e.g., Police Dept. of Chicago v. Mosley, 408 U.S. 92, 95-96 (1972) ("To permit the continued building of our politics and culture, and to assure self-fulfillment for each individual, our people are guaranteed the right to express any thought, free from government censorship"). That the Constitution requires toleration of speech over its suppression is no less true in our Nation's schools. See Tinker v. Des Moines Independent Community School Dist., 393 U.S. 503, 512 (1969); Keyishian v. Board of Regents of Univ. of N.Y., 385 U.S. 589,  603 (1967); Hazelwood School Dist. v. Kuhlmeier, 484 U.S. 260, 280-281 (1988) (BRENNAN, J., dissenting).</w:t>
      </w:r>
    </w:p>
    <w:p w:rsidR="00A31137" w:rsidRPr="00A31137" w:rsidRDefault="00A31137" w:rsidP="00A31137">
      <w:r w:rsidRPr="00A31137">
        <w:t>1990, Board of Educ. v. Mergens, 496 U.S. 263</w:t>
      </w:r>
    </w:p>
    <w:p w:rsidR="00A31137" w:rsidRPr="00A31137" w:rsidRDefault="00A31137" w:rsidP="00A31137">
      <w:r w:rsidRPr="00A31137">
        <w:t>But the Constitution also demands that the State not take action that has the primary effect of advancing religion. See, e.g., Lemon v. Kurtzman, 403 U.S. 602,  612 (1971). [496 U.S. 264] The introduction of religious speech into the public schools reveals the tension between these two constitutional commitments, because the failure of a school to stand apart from religious speech can convey a message that the school endorses, rather than merely tolerates, that speech. Recognizing the potential dangers of school-endorsed religious practice, we have shown particular "vigilan[ce] in monitoring compliance with the Establishment Clause in elementary and secondary schools." Edwards v. Aguillard, 482 U.S. 578, 583-584 (1987). See also Wallace v. Jaffree, 472 U.S. 38,  40 (1985) (invalidating statute authorizing a moment of silence in public schools for meditation or voluntary prayer); Illinois ex rel. McCollum v. Board of Education of School Dist. No. 71, 333 U.S. 203 (1948) (invalidating statute providing for voluntary religious education in the public schools). This vigilance must extend to our monitoring of the actual effects of an "equal access" policy. If public schools are perceived as conferring the imprimatur of the State on religious doctrine or practice as a result of such a policy, the nominally "neutral" character of the policy will not save it from running afoul of the Establishment Clause.*</w:t>
      </w:r>
    </w:p>
    <w:p w:rsidR="00A31137" w:rsidRPr="00A31137" w:rsidRDefault="00A31137" w:rsidP="00A31137">
      <w:r w:rsidRPr="00A31137">
        <w:t>B</w:t>
      </w:r>
    </w:p>
    <w:p w:rsidR="00A31137" w:rsidRPr="00A31137" w:rsidRDefault="00A31137" w:rsidP="00A31137">
      <w:r w:rsidRPr="00A31137">
        <w:t>1990, Board of Educ. v. Mergens, 496 U.S. 264</w:t>
      </w:r>
    </w:p>
    <w:p w:rsidR="00A31137" w:rsidRPr="00A31137" w:rsidRDefault="00A31137" w:rsidP="00A31137">
      <w:r w:rsidRPr="00A31137">
        <w:t>We addressed at length the potential conflict between toleration and endorsement of religious speech in Widmar. There, a religious study group sought the same access to university facilities that the university afforded to over 100 [496 U.S. 265] officially recognized student groups, including many political organizations. In those circumstances, we concluded that granting religious organizations similar access to the public forum would have neither the purpose nor the primary effect of advancing religion. 454 U.S. at 270-275. The plurality suggests that our conclusion in Widmar controls this case. Ante at 248-253. But the plurality fails to recognize that the wide-open and independent character of the student forum in Widmar differs substantially from the forum at Westside.</w:t>
      </w:r>
    </w:p>
    <w:p w:rsidR="00A31137" w:rsidRPr="00A31137" w:rsidRDefault="00A31137" w:rsidP="00A31137">
      <w:r w:rsidRPr="00A31137">
        <w:t>1990, Board of Educ. v. Mergens, 496 U.S. 265</w:t>
      </w:r>
    </w:p>
    <w:p w:rsidR="00A31137" w:rsidRPr="00A31137" w:rsidRDefault="00A31137" w:rsidP="00A31137">
      <w:r w:rsidRPr="00A31137">
        <w:t>Westside currently does not recognize any student club that advocates a controversial viewpoint. Indeed, the clubs at Westside that trigger the Act involve scuba diving, chess, and counseling for special education students. Ante at 245-246. As a matter of school policy, Westside encourages student participation in clubs based on a broad conception of its educational mission. See App. 488; ante at  231. That mission comports with the Court's acknowledgment</w:t>
      </w:r>
    </w:p>
    <w:p w:rsidR="00A31137" w:rsidRPr="00A31137" w:rsidRDefault="00A31137" w:rsidP="00A31137">
      <w:r w:rsidRPr="00A31137">
        <w:t>1990, Board of Educ. v. Mergens, 496 U.S. 265</w:t>
      </w:r>
    </w:p>
    <w:p w:rsidR="00A31137" w:rsidRPr="00A31137" w:rsidRDefault="00A31137" w:rsidP="00A31137">
      <w:r w:rsidRPr="00A31137">
        <w:t>that public schools are vitally important "in the preparation of individuals for participation as citizens," and as vehicles for "inculcating fundamental values necessary to the maintenance of a democratic political system."</w:t>
      </w:r>
    </w:p>
    <w:p w:rsidR="00A31137" w:rsidRPr="00A31137" w:rsidRDefault="00A31137" w:rsidP="00A31137">
      <w:r w:rsidRPr="00A31137">
        <w:t>1990, Board of Educ. v. Mergens, 496 U.S. 265</w:t>
      </w:r>
    </w:p>
    <w:p w:rsidR="00A31137" w:rsidRPr="00A31137" w:rsidRDefault="00A31137" w:rsidP="00A31137">
      <w:r w:rsidRPr="00A31137">
        <w:t>Board of Education, Island Trees Union Free School Dist. No. 26 v. Pico, 457 U.S. 853,  864 (1982) (plurality) (quoting Ambach v. Norwick, 441 U.S. 68, 76-77 (1979)). Given the nature and function of student clubs at Westside, the school makes no effort to disassociate itself from the activities and goals of its student clubs.</w:t>
      </w:r>
    </w:p>
    <w:p w:rsidR="00A31137" w:rsidRPr="00A31137" w:rsidRDefault="00A31137" w:rsidP="00A31137">
      <w:r w:rsidRPr="00A31137">
        <w:t>1990, Board of Educ. v. Mergens, 496 U.S. 265</w:t>
      </w:r>
    </w:p>
    <w:p w:rsidR="00A31137" w:rsidRPr="00A31137" w:rsidRDefault="00A31137" w:rsidP="00A31137">
      <w:r w:rsidRPr="00A31137">
        <w:t>The entry of religious clubs into such a realm poses a real danger that those clubs will be viewed as part of the school's effort to inculcate fundamental values. The school's message with respect to its existing clubs is not one of toleration but one of endorsement. As the majority concedes, the program is part of the "district's commitment to teaching academic, physical, civic, and personal skills and values." Ante at  232. But although a school may permissibly encourage its students to become well-rounded as student-athletes, student-musicians, and student-tutors, the Constitution forbids [496 U.S. 266] schools to encourage students to become well-rounded as student-worshippers. Neutrality toward religion, as required by the Constitution, is not advanced by requiring a school that endorses the goals of some noncontroversial secular organizations to endorse the goals of religious organizations as well.</w:t>
      </w:r>
    </w:p>
    <w:p w:rsidR="00A31137" w:rsidRPr="00A31137" w:rsidRDefault="00A31137" w:rsidP="00A31137">
      <w:r w:rsidRPr="00A31137">
        <w:t>1990, Board of Educ. v. Mergens, 496 U.S. 266</w:t>
      </w:r>
    </w:p>
    <w:p w:rsidR="00A31137" w:rsidRPr="00A31137" w:rsidRDefault="00A31137" w:rsidP="00A31137">
      <w:r w:rsidRPr="00A31137">
        <w:t>The fact that the Act, when triggered, provides access to political as well as religious speech does not ameliorate the potential threat of endorsement. The breadth of beneficiaries under the Act does suggest that the Act may satisfy the "secular purpose" requirement of the Establishment Clause inquiry we identified in Lemon, 403 U.S. at 612-613. But see post at 284-285, n. 20 (STEVENS, J., dissenting). But the crucial question is how the Act affects each school. If a school already houses numerous ideological organizations, then the addition of a religion club will most likely not violate the Establishment Clause because the risk that students will erroneously attribute the views of the religion club to the school is minimal. To the extent a school tolerates speech by a wide range of ideological clubs, students cannot reasonably understand the school to endorse all of the groups' divergent and contradictory views. But if the religion club is the sole advocacy-oriented group in the forum, or one of a very limited number, and the school continues to promote its student-club program as instrumental to citizenship, then the school's failure to disassociate itself from the religious activity will reasonably be understood as an endorsement of that activity. That political and other advocacy-oriented groups are permitted to participate in a forum that, through school support and encouragement, is devoted to fostering a student's civic identity does not ameliorate the appearance of school endorsement unless the invitation is accepted and the forum is transformed into a forum like that in Widmar.</w:t>
      </w:r>
    </w:p>
    <w:p w:rsidR="00A31137" w:rsidRPr="00A31137" w:rsidRDefault="00A31137" w:rsidP="00A31137">
      <w:r w:rsidRPr="00A31137">
        <w:t>1990, Board of Educ. v. Mergens, 496 U.S. 266</w:t>
      </w:r>
    </w:p>
    <w:p w:rsidR="00A31137" w:rsidRPr="00A31137" w:rsidRDefault="00A31137" w:rsidP="00A31137">
      <w:r w:rsidRPr="00A31137">
        <w:t>For this reason, the plurality's reliance on Widmar is misplaced. The University of Missouri took concrete steps to ensure</w:t>
      </w:r>
    </w:p>
    <w:p w:rsidR="00A31137" w:rsidRPr="00A31137" w:rsidRDefault="00A31137" w:rsidP="00A31137">
      <w:r w:rsidRPr="00A31137">
        <w:t>1990, Board of Educ. v. Mergens, 496 U.S. 266</w:t>
      </w:r>
    </w:p>
    <w:p w:rsidR="00A31137" w:rsidRPr="00A31137" w:rsidRDefault="00A31137" w:rsidP="00A31137">
      <w:r w:rsidRPr="00A31137">
        <w:t>that the University's name will not "be identified in [496 U.S. 267] any way with the aims, policies, programs, products, or opinions of any organization or its members,"</w:t>
      </w:r>
    </w:p>
    <w:p w:rsidR="00A31137" w:rsidRPr="00A31137" w:rsidRDefault="00A31137" w:rsidP="00A31137">
      <w:r w:rsidRPr="00A31137">
        <w:t>1990, Board of Educ. v. Mergens, 496 U.S. 267</w:t>
      </w:r>
    </w:p>
    <w:p w:rsidR="00A31137" w:rsidRPr="00A31137" w:rsidRDefault="00A31137" w:rsidP="00A31137">
      <w:r w:rsidRPr="00A31137">
        <w:t>454 U.S. at  274, n. 14 (quoting University of Missouri student handbook). Westside, in contrast, explicitly promotes its student clubs "as a vital part of the total education program [and] as a means of developing citizenship." App. 488. And while the University of Missouri recognized such clubs as the Young Socialist Alliance and the Young Democrats, Chess v. Widmar, 635 F.2d 1310, 1312, n. 1 (CA8 1980), Westside has recognized no such political clubs, App. 488.</w:t>
      </w:r>
    </w:p>
    <w:p w:rsidR="00A31137" w:rsidRPr="00A31137" w:rsidRDefault="00A31137" w:rsidP="00A31137">
      <w:r w:rsidRPr="00A31137">
        <w:t>1990, Board of Educ. v. Mergens, 496 U.S. 267</w:t>
      </w:r>
    </w:p>
    <w:p w:rsidR="00A31137" w:rsidRPr="00A31137" w:rsidRDefault="00A31137" w:rsidP="00A31137">
      <w:r w:rsidRPr="00A31137">
        <w:t>The different approaches to student clubs embodied in these policies reflect a significant difference, for Establishment Clause purposes, between the respective roles that Westside High School and the University of Missouri attempt to play in their students' lives. To the extent that a school emphasizes the autonomy of its students, as does the University of Missouri, there is a corresponding decrease in the likelihood that student speech will be regarded as school speech. Conversely, where a school such as Westside regards its student clubs as a mechanism for defining and transmitting fundamental values, the inclusion of a religious club in the school's program will almost certainly signal school endorsement of the religious practice.</w:t>
      </w:r>
    </w:p>
    <w:p w:rsidR="00A31137" w:rsidRPr="00A31137" w:rsidRDefault="00A31137" w:rsidP="00A31137">
      <w:r w:rsidRPr="00A31137">
        <w:t>1990, Board of Educ. v. Mergens, 496 U.S. 267</w:t>
      </w:r>
    </w:p>
    <w:p w:rsidR="00A31137" w:rsidRPr="00A31137" w:rsidRDefault="00A31137" w:rsidP="00A31137">
      <w:r w:rsidRPr="00A31137">
        <w:t>Thus, the underlying difference between this case and Widmar is not that college and high school students have varying capacities to perceive the subtle differences between toleration and endorsement, but rather that the University of Missouri and Westside actually choose to define their respective missions in different ways. That high schools tend to emphasize student autonomy less than universities may suggest that high school administrators tend to perceive a difference in the maturity of secondary and university students. But the school's behavior, not the purported immaturity of high school students, is dispositive. If Westside stood apart from its club program and expressed the view, endorsed by Congress through its passage of the Act, that high school students [496 U.S. 268] are capable of engaging in wide-ranging discussion of sensitive and controversial speech, the inclusion of religious groups in Westside's forum would confirm the school's commitment to nondiscrimination. Here, though, the Act requires the school to permit religious speech in a forum explicitly designed to advance the school's interest in shaping the character of its students.</w:t>
      </w:r>
    </w:p>
    <w:p w:rsidR="00A31137" w:rsidRPr="00A31137" w:rsidRDefault="00A31137" w:rsidP="00A31137">
      <w:r w:rsidRPr="00A31137">
        <w:t>1990, Board of Educ. v. Mergens, 496 U.S. 268</w:t>
      </w:r>
    </w:p>
    <w:p w:rsidR="00A31137" w:rsidRPr="00A31137" w:rsidRDefault="00A31137" w:rsidP="00A31137">
      <w:r w:rsidRPr="00A31137">
        <w:t>The comprehensiveness of the access afforded by the Act further highlights the Establishment Clause dangers posed by the Act's application to fora such as Westside's. The Court holds that</w:t>
      </w:r>
    </w:p>
    <w:p w:rsidR="00A31137" w:rsidRPr="00A31137" w:rsidRDefault="00A31137" w:rsidP="00A31137">
      <w:r w:rsidRPr="00A31137">
        <w:t>1990, Board of Educ. v. Mergens, 496 U.S. 268</w:t>
      </w:r>
    </w:p>
    <w:p w:rsidR="00A31137" w:rsidRPr="00A31137" w:rsidRDefault="00A31137" w:rsidP="00A31137">
      <w:r w:rsidRPr="00A31137">
        <w:t>[o]fficial recognition allows student clubs to be part of the student activities program and carries with it access to the school newspaper, bulletin boards, the public address system, and the annual Club Fair.</w:t>
      </w:r>
    </w:p>
    <w:p w:rsidR="00A31137" w:rsidRPr="00A31137" w:rsidRDefault="00A31137" w:rsidP="00A31137">
      <w:r w:rsidRPr="00A31137">
        <w:t>1990, Board of Educ. v. Mergens, 496 U.S. 268</w:t>
      </w:r>
    </w:p>
    <w:p w:rsidR="00A31137" w:rsidRPr="00A31137" w:rsidRDefault="00A31137" w:rsidP="00A31137">
      <w:r w:rsidRPr="00A31137">
        <w:t>Ante at  247 (citing App. 434-435). Students would be alerted to the meetings of the religion club over the public address system; they would see religion club material posted on the official school bulletin board and club notices in the school newspaper; they would be recruited to join the religion club at the school-sponsored Club Fair. If a school has a variety of ideological clubs, as in Widmar, I agree with the plurality that a student is likely to understand that "a school does not endorse or support student speech that it merely permits on a nondiscriminatory basis." Ante at  250. When a school has a religion club but no other political or ideological organizations, however, that relatively fine distinction may be lost.</w:t>
      </w:r>
    </w:p>
    <w:p w:rsidR="00A31137" w:rsidRPr="00A31137" w:rsidRDefault="00A31137" w:rsidP="00A31137">
      <w:r w:rsidRPr="00A31137">
        <w:t>1990, Board of Educ. v. Mergens, 496 U.S. 268</w:t>
      </w:r>
    </w:p>
    <w:p w:rsidR="00A31137" w:rsidRPr="00A31137" w:rsidRDefault="00A31137" w:rsidP="00A31137">
      <w:r w:rsidRPr="00A31137">
        <w:t>Moreover, in the absence of a truly robust forum that includes the participation of more than one advocacy-oriented group, the presence of a religious club could provide a fertile ground for peer pressure, especially if the club commanded support from a substantial portion of the student body. Indeed, it is precisely in a school without such a forum that intolerance for different religious and other views would be most dangerous and that a student who does not share the religious beliefs of his classmates would perceive "that religion or a particular religious belief is favored or preferred." [496 U.S. 269] Wallace v. Jaffree, 472 U.S. 38,  70 (1985) (O'CONNOR, J., concurring in judgment).</w:t>
      </w:r>
    </w:p>
    <w:p w:rsidR="00A31137" w:rsidRPr="00A31137" w:rsidRDefault="00A31137" w:rsidP="00A31137">
      <w:r w:rsidRPr="00A31137">
        <w:t>1990, Board of Educ. v. Mergens, 496 U.S. 269</w:t>
      </w:r>
    </w:p>
    <w:p w:rsidR="00A31137" w:rsidRPr="00A31137" w:rsidRDefault="00A31137" w:rsidP="00A31137">
      <w:r w:rsidRPr="00A31137">
        <w:t>The plurality concedes that there is a "possibility of student peer pressure," ante at  251, but maintains that this does not amount to "official state endorsement." Ibid. This dismissal is too facile. We must remain sensitive, especially in the public schools, to "the numerous more subtle ways that government can show favoritism to particular beliefs or convey a message of disapproval to others." County of Allegheny v. ACLU, 492 U.S. 573, 627-628 (1989) (O'CONNOR, J., concurring in part and in judgment). When the government, through mandatory attendance laws, brings students together in a highly controlled environment every day for the better part of their waking hours and regulates virtually every aspect of their existence during that time, we should not be so quick to dismiss the problem of peer pressure as if the school environment had nothing to do with creating and fostering it. The State has structured an environment in which students holding mainstream views may be able to coerce adherents of minority religions to attend club meetings or to adhere to club beliefs. Thus, the State cannot disclaim its responsibility for those resulting pressures.</w:t>
      </w:r>
    </w:p>
    <w:p w:rsidR="00A31137" w:rsidRPr="00A31137" w:rsidRDefault="00A31137" w:rsidP="00A31137">
      <w:r w:rsidRPr="00A31137">
        <w:t>II</w:t>
      </w:r>
    </w:p>
    <w:p w:rsidR="00A31137" w:rsidRPr="00A31137" w:rsidRDefault="00A31137" w:rsidP="00A31137">
      <w:r w:rsidRPr="00A31137">
        <w:t>1990, Board of Educ. v. Mergens, 496 U.S. 269</w:t>
      </w:r>
    </w:p>
    <w:p w:rsidR="00A31137" w:rsidRPr="00A31137" w:rsidRDefault="00A31137" w:rsidP="00A31137">
      <w:r w:rsidRPr="00A31137">
        <w:t>Given these substantial risks posed by the inclusion of the proposed Christian Club within Westside's present forum, Westside must redefine its relationship to its club program. The plurality recognizes that such redefinition is necessary to avoid the risk of endorsement and construes the Act accordingly. The plurality holds that the Act "limits participation by school officials at meetings of student religious groups," ante at  251 (citing § 4071(c)(2) and (3)), and requires religious club meetings to be held during noninstructional time, ibid. (citing § 4071(b)). It also holds that schools may not sponsor any religious meetings. Ante at  253 (citing § 4072(2)). Finally, [496 U.S. 270] and perhaps most importantly, the plurality states that schools bear the responsibility for taking whatever further steps are necessary to make clear that their recognition of a religious club does not reflect their endorsement of the views of the club's participants. Ante at  251.</w:t>
      </w:r>
    </w:p>
    <w:p w:rsidR="00A31137" w:rsidRPr="00A31137" w:rsidRDefault="00A31137" w:rsidP="00A31137">
      <w:r w:rsidRPr="00A31137">
        <w:t>1990, Board of Educ. v. Mergens, 496 U.S. 270</w:t>
      </w:r>
    </w:p>
    <w:p w:rsidR="00A31137" w:rsidRPr="00A31137" w:rsidRDefault="00A31137" w:rsidP="00A31137">
      <w:r w:rsidRPr="00A31137">
        <w:t>Westside thus must do more than merely prohibit faculty members from actively participating in the Christian Club's meetings. It must fully disassociate itself from the Club's religious speech and avoid appearing to sponsor or endorse the Club's goals. It could, for example, entirely discontinue encouraging student participation in clubs and clarify that the clubs are not instrumentally related to the school's overall mission. Or, if the school sought to continue its general endorsement of those student clubs that did not engage in controversial speech, it could do so if it also affirmatively disclaimed any endorsement of the Christian Club.</w:t>
      </w:r>
    </w:p>
    <w:p w:rsidR="00A31137" w:rsidRPr="00A31137" w:rsidRDefault="00A31137" w:rsidP="00A31137">
      <w:r w:rsidRPr="00A31137">
        <w:t>III</w:t>
      </w:r>
    </w:p>
    <w:p w:rsidR="00A31137" w:rsidRPr="00A31137" w:rsidRDefault="00A31137" w:rsidP="00A31137">
      <w:r w:rsidRPr="00A31137">
        <w:t>1990, Board of Educ. v. Mergens, 496 U.S. 270</w:t>
      </w:r>
    </w:p>
    <w:p w:rsidR="00A31137" w:rsidRPr="00A31137" w:rsidRDefault="00A31137" w:rsidP="00A31137">
      <w:r w:rsidRPr="00A31137">
        <w:t>The inclusion of the Christian Club in the type of forum presently established at Westside, without more, will not assure government neutrality toward religion. Rather, because the school endorses the extracurricular program as part of its educational mission, the inclusion of the Christian Club in that program will convey to students the school-sanctioned message that involvement in religion develops "citizenship, wholesome attitudes, good human relations, knowledge and skills." App. 488. We need not question the value of that message to affirm that it is not the place of schools to issue it. Accordingly, schools such as Westside must be responsive not only to the broad terms of the Act's coverage but also to this Court's mandate that they effectively disassociate themselves from the religious speech that now may become commonplace in their facilities.</w:t>
      </w:r>
    </w:p>
    <w:p w:rsidR="00A31137" w:rsidRPr="00A31137" w:rsidRDefault="00A31137" w:rsidP="00A31137">
      <w:r w:rsidRPr="00A31137">
        <w:t>STEVENS, J., dissenting</w:t>
      </w:r>
    </w:p>
    <w:p w:rsidR="00A31137" w:rsidRPr="00A31137" w:rsidRDefault="00A31137" w:rsidP="00A31137">
      <w:r w:rsidRPr="00A31137">
        <w:t>1990, Board of Educ. v. Mergens, 496 U.S. 270</w:t>
      </w:r>
    </w:p>
    <w:p w:rsidR="00A31137" w:rsidRPr="00A31137" w:rsidRDefault="00A31137" w:rsidP="00A31137">
      <w:r w:rsidRPr="00A31137">
        <w:t>Justice STEVENS, dissenting.</w:t>
      </w:r>
    </w:p>
    <w:p w:rsidR="00A31137" w:rsidRPr="00A31137" w:rsidRDefault="00A31137" w:rsidP="00A31137">
      <w:r w:rsidRPr="00A31137">
        <w:t>1990, Board of Educ. v. Mergens, 496 U.S. 270</w:t>
      </w:r>
    </w:p>
    <w:p w:rsidR="00A31137" w:rsidRPr="00A31137" w:rsidRDefault="00A31137" w:rsidP="00A31137">
      <w:r w:rsidRPr="00A31137">
        <w:t>The dictionary is a necessary, and sometimes sufficient, aid to the judge confronted with the task of construing an opaque [496 U.S. 271] act of Congress. In a case like this, however, I believe we must probe more deeply to avoid a patently bizarre result. Can Congress really have intended to issue an order to every public high school in the nation stating, in substance, that if you sponsor a chess club, a scuba diving club, or a French club—without having formal classes in those subjects—you must also open your doors to every religious, political, or social organization, no matter how controversial or distasteful its views may be? I think not. A fair review of the legislative history of the Equal Access Act (Act), 98 Stat. 1302, 20 U.S.C. §§ 4071-4074, discloses that Congress intended to recognize a much narrower forum than the Court has legislated into existence today.</w:t>
      </w:r>
    </w:p>
    <w:p w:rsidR="00A31137" w:rsidRPr="00A31137" w:rsidRDefault="00A31137" w:rsidP="00A31137">
      <w:r w:rsidRPr="00A31137">
        <w:t>1990, Board of Educ. v. Mergens, 496 U.S. 271</w:t>
      </w:r>
    </w:p>
    <w:p w:rsidR="00A31137" w:rsidRPr="00A31137" w:rsidRDefault="00A31137" w:rsidP="00A31137">
      <w:r w:rsidRPr="00A31137">
        <w:t>The Act's basic design is easily summarized: when a public high school has a "limited open forum," it must not deny any student group access to that forum on the basis of the religious, political, philosophical or other content of the speech of the group. Although the consequences of having a limited open forum are thus quite clear, the definition of such a forum is less so. Nevertheless, there is considerable agreement about how this difficulty must be resolved. The Court correctly identifies three useful guides to Congress' intent. First, the text of the statute says that a school creates a limited open forum if it allows meetings on school premises by "noncurriculum related student groups," a concept that is ambiguous at best. 1 Ante at  237. Second, because this concept is ambiguous, the statute must be interpreted by reference to its general purpose, as revealed by its overall structure and by the legislative history. Ante at 238-239. Third, the Act's legislative history reveals that Congress intended to guarantee student religious groups access to high school fora comparable to the college forum involved in [496 U.S. 272] Widmar v. Vincent, 454 U.S. 263 (1981). Ante at  235.  239. All of this is common ground, shared by the parties and by every Court of Appeals to have construed the Act. 2</w:t>
      </w:r>
    </w:p>
    <w:p w:rsidR="00A31137" w:rsidRPr="00A31137" w:rsidRDefault="00A31137" w:rsidP="00A31137">
      <w:r w:rsidRPr="00A31137">
        <w:t>1990, Board of Educ. v. Mergens, 496 U.S. 272</w:t>
      </w:r>
    </w:p>
    <w:p w:rsidR="00A31137" w:rsidRPr="00A31137" w:rsidRDefault="00A31137" w:rsidP="00A31137">
      <w:r w:rsidRPr="00A31137">
        <w:t>A fourth agreement would seem to follow from these three. If "noncurriculum related" is an ambiguous term, and if it must therefore be interpreted in light of Congressional purpose, and if the purpose of Congress was to ensure that the rule of Widmar applied to high schools as it did to colleges, then the incidence of the Act in this case should depend upon whether, in light of Widmar, Westside would have to permit the Christian student group to meet if Westside were a college. 3 The characteristics of the college forum in Widmar should thus provide a useful background for interpreting the meaning of the undefined term "noncurriculum related student groups." But this step the Court does not take, and it is accordingly here that I part company with it.</w:t>
      </w:r>
    </w:p>
    <w:p w:rsidR="00A31137" w:rsidRPr="00A31137" w:rsidRDefault="00A31137" w:rsidP="00A31137">
      <w:r w:rsidRPr="00A31137">
        <w:t>1990, Board of Educ. v. Mergens, 496 U.S. 272</w:t>
      </w:r>
    </w:p>
    <w:p w:rsidR="00A31137" w:rsidRPr="00A31137" w:rsidRDefault="00A31137" w:rsidP="00A31137">
      <w:r w:rsidRPr="00A31137">
        <w:t>Our decision in Widmar encompassed two constitutional holdings. First, we interpreted the Free Speech Clause of the First Amendment to determine whether the University of Missouri at Kansas City had, by its own policies, abdicated discretion that it would otherwise have to make content-based discriminations among student groups seeking to meet on its campus. We agreed that it had. 454 U.S. at  269; see also id. at 280-281 (STEVENS, J., concurring in judgment). Next, we interpreted the Establishment Clause of the First Amendment to determine whether the University was prohibited from permitting student-initiated religious groups to participate in that forum. We agreed that it was [496 U.S. 273] not. Id. at 270-277; see also id. at 280-281 (STEVENS, J., concurring in judgment).</w:t>
      </w:r>
    </w:p>
    <w:p w:rsidR="00A31137" w:rsidRPr="00A31137" w:rsidRDefault="00A31137" w:rsidP="00A31137">
      <w:r w:rsidRPr="00A31137">
        <w:t>1990, Board of Educ. v. Mergens, 496 U.S. 273</w:t>
      </w:r>
    </w:p>
    <w:p w:rsidR="00A31137" w:rsidRPr="00A31137" w:rsidRDefault="00A31137" w:rsidP="00A31137">
      <w:r w:rsidRPr="00A31137">
        <w:t>To extend Widmar to high schools, then, would require us to pose two questions. We would first ask whether a high school had established a forum comparable under our Free Speech Clause jurisprudence to that which existed in Widmar. Only if this question were answered affirmatively would we then need to test the constitutionality of the Act by asking whether the Establishment Clause has different consequences when applied to a high school's open forum than when applied to a college's. I believe that in this case the first question must instead be answered in the negative, and that this answer ultimately proves dispositive under the Act, just as it would were only constitutional considerations in play.</w:t>
      </w:r>
    </w:p>
    <w:p w:rsidR="00A31137" w:rsidRPr="00A31137" w:rsidRDefault="00A31137" w:rsidP="00A31137">
      <w:r w:rsidRPr="00A31137">
        <w:t>1990, Board of Educ. v. Mergens, 496 U.S. 273</w:t>
      </w:r>
    </w:p>
    <w:p w:rsidR="00A31137" w:rsidRPr="00A31137" w:rsidRDefault="00A31137" w:rsidP="00A31137">
      <w:r w:rsidRPr="00A31137">
        <w:t>The forum at Westside is considerably different from that which existed at the University of Missouri. In Widmar, we held that the University had created "a generally open forum," id. at  269. Over 100 officially recognized student groups routinely participated in that forum. Id. at  265. They included groups whose activities not only were unrelated to any specific courses but also were of a kind that a state university could not properly sponsor or endorse. Thus, for example, they included such political organizations as the Young Socialist Alliance, the Women's Union, and the Young Democrats. See id. at  274; Chess v. Widmar, 635 F.2d 1310, 1312, and n. 1 (CA8 1980). The University permitted use of its facilities for speakers advocating transcendental meditation and humanism. Since the University had allowed such organizations and speakers the use of campus facilities, we concluded that the University could not discriminate against a religious group on the basis of the content of its speech. The forum established by the state university accommodated participating groups that were "noncurriculum related" not only because they did not mirror the school's classroom instruction, but also because they advocated [496 U.S. 274] controversial positions that a state university's obligation of neutrality prevented it from endorsing.</w:t>
      </w:r>
    </w:p>
    <w:p w:rsidR="00A31137" w:rsidRPr="00A31137" w:rsidRDefault="00A31137" w:rsidP="00A31137">
      <w:r w:rsidRPr="00A31137">
        <w:t>1990, Board of Educ. v. Mergens, 496 U.S. 274</w:t>
      </w:r>
    </w:p>
    <w:p w:rsidR="00A31137" w:rsidRPr="00A31137" w:rsidRDefault="00A31137" w:rsidP="00A31137">
      <w:r w:rsidRPr="00A31137">
        <w:t xml:space="preserve">The Court's opinion in Widmar left open the question whether its holding would apply to a public high school that had established a similar public forum. That question has now been answered in the affirmative by the District Court, the Court of Appeals, and by this Court. I agree with that answer. Before the question was answered judicially, Congress decided to answer it legislatively in order to preclude continued unconstitutional discrimination against high school students interested in religious speech. According to Senator Hatfield, a cosponsor of the Act, "All [it] does is merely to try to protect, as I say, a right that is guaranteed under the Constitution that is being denied certain students." 130 Cong.Rec. 19218 (1984). As the Court of Appeals correctly recognized, the Act codified the decision in Widmar, "extending its holding to secondary public schools." 867 F.2d at 1076, and n. l. 4 What the Court of Appeals failed to recognize, however, is the critical difference between the university forum in Widmar and the high school forum involved in this case. None of the clubs at the high school is even arguably controversial or partisan. 5 [496 U.S. 275] </w:t>
      </w:r>
    </w:p>
    <w:p w:rsidR="00A31137" w:rsidRPr="00A31137" w:rsidRDefault="00A31137" w:rsidP="00A31137">
      <w:r w:rsidRPr="00A31137">
        <w:t>1990, Board of Educ. v. Mergens, 496 U.S. 275</w:t>
      </w:r>
    </w:p>
    <w:p w:rsidR="00A31137" w:rsidRPr="00A31137" w:rsidRDefault="00A31137" w:rsidP="00A31137">
      <w:r w:rsidRPr="00A31137">
        <w:t xml:space="preserve">Nor would it be wise to ignore this difference. High school students may be adult enough to distinguish between those organizations that are sponsored by the school and those which lack school sponsorship even though they participate in a forum that the school does sponsor. See ante at  250. But high school students are also young enough that open fora may be less suitable for them than for college students. The need to decide whether to risk treating students as adults too soon, or alternatively to risk treating them as children too long, is an enduring problem for all educators. The youth of these students, whether described in terms of "impressionability" or "maturity," may be irrelevant to our application of the constitutional restrictions that limit educational discretion in the public schools, but it surely is not irrelevant to our interpretation of the educational policies that have been adopted. We would do no honor to Westside's administrators or the Congress by assuming that either treated casually the differences between high school and college students when formulating the policy and the statute at issue here. 6 [496 U.S. 276] </w:t>
      </w:r>
    </w:p>
    <w:p w:rsidR="00A31137" w:rsidRPr="00A31137" w:rsidRDefault="00A31137" w:rsidP="00A31137">
      <w:r w:rsidRPr="00A31137">
        <w:t>1990, Board of Educ. v. Mergens, 496 U.S. 276</w:t>
      </w:r>
    </w:p>
    <w:p w:rsidR="00A31137" w:rsidRPr="00A31137" w:rsidRDefault="00A31137" w:rsidP="00A31137">
      <w:r w:rsidRPr="00A31137">
        <w:t>For these reasons, I believe that the distinctions between Westside's program and the University of Missouri's program suggest what is the best understanding of the Act: an extracurricular student organization is "noncurriculum related" if it has as its purpose (or as part of its purpose) the advocacy of partisan theological, political, or ethical views. A school that admits at least one such club has apparently made the judgment that students are better off if the student community is permitted to, and perhaps even encouraged to, compete along ideological lines. This pedagogical strategy may be defensible or even desirable. But it is wrong to presume that Congress endorsed that strategy—and dictated its nationwide adoption—simply because it approved the application of Widmar to high schools. And it seems absurd to presume that Westside has invoked the same strategy by recognizing clubs like Swim Timing Team and Subsurfers which, though they may not correspond directly to anything in Westside's course offerings, are no more controversial than a grilled cheese sandwich.</w:t>
      </w:r>
    </w:p>
    <w:p w:rsidR="00A31137" w:rsidRPr="00A31137" w:rsidRDefault="00A31137" w:rsidP="00A31137">
      <w:r w:rsidRPr="00A31137">
        <w:t>1990, Board of Educ. v. Mergens, 496 U.S. 276</w:t>
      </w:r>
    </w:p>
    <w:p w:rsidR="00A31137" w:rsidRPr="00A31137" w:rsidRDefault="00A31137" w:rsidP="00A31137">
      <w:r w:rsidRPr="00A31137">
        <w:t>Accordingly, as I would construe the Act, a high school could properly sponsor a French club, a chess club, or a scuba diving club simply because their activities are fully consistent with the school's curricular mission. It would not matter whether formal courses in any of those subjects—or in directly related subjects—were being offered, as long as faculty encouragement of student participation in such groups would be consistent with both the school's obligation of neutrality and its legitimate pedagogical concerns. Nothing in Widmar implies that the existence of a French club, for example, would create a constitutional obligation to allow student members of the Ku Klux Klan or the Communist Party to [496 U.S. 277] have access to school facilities. 7 More importantly, nothing in that case suggests that the constitutional issue should turn on whether French is being taught in a formal course while the club is functioning.</w:t>
      </w:r>
    </w:p>
    <w:p w:rsidR="00A31137" w:rsidRPr="00A31137" w:rsidRDefault="00A31137" w:rsidP="00A31137">
      <w:r w:rsidRPr="00A31137">
        <w:t>1990, Board of Educ. v. Mergens, 496 U.S. 277</w:t>
      </w:r>
    </w:p>
    <w:p w:rsidR="00A31137" w:rsidRPr="00A31137" w:rsidRDefault="00A31137" w:rsidP="00A31137">
      <w:r w:rsidRPr="00A31137">
        <w:t>Conversely, if a high school decides to allow political groups to use its facilities, it plainly cannot discriminate among controversial groups because it agrees with the positions of some and disagrees with the ideas advocated by others. Again, the fact that the history of the Republican party might be taught in a political science course could not justify a decision to allow the young Republicans to form a club while denying Communists, white supremacists, or Christian Scientists the same privilege. In my judgment, the political activities of the young Republicans are "noncurriculum related" for reasons that have nothing to do with the content of the political science course. The statutory definition of what is "noncurriculum related" should depend on the constitutional concern that motivated our decision in Widmar.</w:t>
      </w:r>
    </w:p>
    <w:p w:rsidR="00A31137" w:rsidRPr="00A31137" w:rsidRDefault="00A31137" w:rsidP="00A31137">
      <w:r w:rsidRPr="00A31137">
        <w:t>1990, Board of Educ. v. Mergens, 496 U.S. 277</w:t>
      </w:r>
    </w:p>
    <w:p w:rsidR="00A31137" w:rsidRPr="00A31137" w:rsidRDefault="00A31137" w:rsidP="00A31137">
      <w:r w:rsidRPr="00A31137">
        <w:t>In this case, the district judge reviewed each of the clubs in the high school program and found that they are all "tied to the educational function of the institution." App. B to Pet. for Cert. 25-26. He correctly concluded that this club system "differs dramatically from those found to create an open forum policy in Widmar and Bender." Ibid. 8 I agree [496 U.S. 278] with his conclusion that, under a proper interpretation of the Act, this dramatic difference requires a different result.</w:t>
      </w:r>
    </w:p>
    <w:p w:rsidR="00A31137" w:rsidRPr="00A31137" w:rsidRDefault="00A31137" w:rsidP="00A31137">
      <w:r w:rsidRPr="00A31137">
        <w:t>1990, Board of Educ. v. Mergens, 496 U.S. 278</w:t>
      </w:r>
    </w:p>
    <w:p w:rsidR="00A31137" w:rsidRPr="00A31137" w:rsidRDefault="00A31137" w:rsidP="00A31137">
      <w:r w:rsidRPr="00A31137">
        <w:t>As I have already indicated, the majority, although it agrees that Congress intended by this Act to endorse the application of Widmar to high schools, does not compare this case to Widmar. Instead, the Court argues from two other propositions: first, that Congress intended to prohibit discrimination against religious groups, and, second, that the statute must not be construed in a fashion that would allow school boards to circumvent its reach by definitional fiat. I am in complete agreement with both of these principles. I do not, however, believe that either yields the conclusion which the majority adopts.</w:t>
      </w:r>
    </w:p>
    <w:p w:rsidR="00A31137" w:rsidRPr="00A31137" w:rsidRDefault="00A31137" w:rsidP="00A31137">
      <w:r w:rsidRPr="00A31137">
        <w:t>1990, Board of Educ. v. Mergens, 496 U.S. 278</w:t>
      </w:r>
    </w:p>
    <w:p w:rsidR="00A31137" w:rsidRPr="00A31137" w:rsidRDefault="00A31137" w:rsidP="00A31137">
      <w:r w:rsidRPr="00A31137">
        <w:t>First, as the majority correctly observes, Congress intended the Act to prohibit schools from excluding—or believing that they were legally obliged to exclude—religious student groups solely because the groups were religious. Congress was clearly concerned with two lines of decisions in the Courts of Appeals: one line prohibiting schools that wished to admit student-initiated religious groups from doing so, see Lubbock Civil Liberties Union v. Lubbock Independent School Dist., 669 F.2d 1038, 1042-1048 (CA5 1982), cert. denied, 459 U.S. 1155 (1983), and a second line allowing schools to exclude religious groups solely because of Establishment Clause concerns, see Brandon v. Guilderland Bd. of Ed., 635 F.2d 971 (CA2 1980), cert. denied, 454 U.S. 1123 (1981); see also Bender v. Williamsport Area School Dist., 563 F.Supp. 697 (MD Pa.1983), rev'd, 741 F.2d 538 (CA3 1984), vacated on other grounds, 475 U.S. 534 (1986). 9 See ante at  239. These cases, however, involve only schools which either desire to recognize religious student groups or [496 U.S. 279] schools which, like the University of Missouri at Kansas City, purport to exclude religious groups from a forum that is otherwise conceded to be open. It is obvious that Congress need go no further than our Widmar decision to redress this problem, and equally obvious that the majority's expansive reading of "noncurriculum related" is irrelevant to the Congressional objective of ending discrimination against religious student groups.</w:t>
      </w:r>
    </w:p>
    <w:p w:rsidR="00A31137" w:rsidRPr="00A31137" w:rsidRDefault="00A31137" w:rsidP="00A31137">
      <w:r w:rsidRPr="00A31137">
        <w:t>1990, Board of Educ. v. Mergens, 496 U.S. 279</w:t>
      </w:r>
    </w:p>
    <w:p w:rsidR="00A31137" w:rsidRPr="00A31137" w:rsidRDefault="00A31137" w:rsidP="00A31137">
      <w:r w:rsidRPr="00A31137">
        <w:t>Second, the majority is surely correct that a "'limited open forum should be triggered by what a school does, not by what it says.'" Ante at  244, quoting 130 Cong. Rec. 19222 (1984) (statement of Sen. Leahy). If, however, it is the recognition of advocacy groups that signals the creation of such a forum, I see no danger that school administrators will be able to manipulate the Act to defeat Congressional intent. 10 Indeed, it seems to me that it is the majority's own test that is suspect on this score. 11 It would appear that the school could alter the "noncurriculum related" status of Subsurfers, see ante at  245, simply by, for example, including one day of scuba instruction in its swimming classes, or by requiring [496 U.S. 280] physical education teachers to urge student participation in the club, or even by soliciting regular comments from the club about how the school could better accommodate the club's interest within coursework. 12 This may be what the school does rather than what it says, but the "doing" is mere bureaucratic procedure unrelated to the substance of the forum or the speech it encompasses.</w:t>
      </w:r>
    </w:p>
    <w:p w:rsidR="00A31137" w:rsidRPr="00A31137" w:rsidRDefault="00A31137" w:rsidP="00A31137">
      <w:r w:rsidRPr="00A31137">
        <w:t>1990, Board of Educ. v. Mergens, 496 U.S. 280</w:t>
      </w:r>
    </w:p>
    <w:p w:rsidR="00A31137" w:rsidRPr="00A31137" w:rsidRDefault="00A31137" w:rsidP="00A31137">
      <w:r w:rsidRPr="00A31137">
        <w:t xml:space="preserve">Not only is the Court's preferred construction subject to manipulation, but it also is exceptionally difficult to apply even in the absence of deliberate evasion. For example, the Court believes that Westside's swim team is "directly related" to the curriculum, but the scuba diving club is not. Ibid. The Court's analysis makes every high school football program a borderline case, for while many schools teach football in physical education classes, they usually teach touch football or flag football, and the varsity team usually plays tackle football. Tackle football involves more equipment and greater risk, and so arguably stands in the same relation to touch football as scuba diving does to swimming. Likewise, it would appear that high school administrators might reasonably have difficulty figuring out whether a cheerleading squad or pep club might trigger the Act's application. The answer, I suppose, might depend upon how strongly students were encouraged to support the football team. Obviously, every test will produce some hard cases, 13 but the Court's test seems to produce nothing but hard cases. [496 U.S. 281] </w:t>
      </w:r>
    </w:p>
    <w:p w:rsidR="00A31137" w:rsidRPr="00A31137" w:rsidRDefault="00A31137" w:rsidP="00A31137">
      <w:r w:rsidRPr="00A31137">
        <w:t>1990, Board of Educ. v. Mergens, 496 U.S. 281</w:t>
      </w:r>
    </w:p>
    <w:p w:rsidR="00A31137" w:rsidRPr="00A31137" w:rsidRDefault="00A31137" w:rsidP="00A31137">
      <w:r w:rsidRPr="00A31137">
        <w:t xml:space="preserve">For all of these reasons, the argument for construing "noncurriculum related" by recourse to the facts of Widmar, and so by reference to the existence of advocacy groups, seems to me overwhelming. It provides a test that is both more simple and more easily administered than what the majority has crafted. Indeed, the only plausible answer to this construction of the statute is that it could easily be achieved without reference to the exotic concept of "noncurriculum related" organizations. This point was made at length on the Senate floor by Senator Gorton. 14 Senator Hatfield answered that the term had been recommended to him by lawyers, apparently in an effort to capture the distinctions important to the judiciary's construction of the Free Speech clause. 15 [496 U.S. 282] </w:t>
      </w:r>
    </w:p>
    <w:p w:rsidR="00A31137" w:rsidRPr="00A31137" w:rsidRDefault="00A31137" w:rsidP="00A31137">
      <w:r w:rsidRPr="00A31137">
        <w:t>1990, Board of Educ. v. Mergens, 496 U.S. 282</w:t>
      </w:r>
    </w:p>
    <w:p w:rsidR="00A31137" w:rsidRPr="00A31137" w:rsidRDefault="00A31137" w:rsidP="00A31137">
      <w:r w:rsidRPr="00A31137">
        <w:t xml:space="preserve">Congress may sometimes, however, have a clear intent with respect to the whole of a statute even when it muddles the definition of a particular part, just as, in other cases, the intent behind a particular provision may be clear though the more comprehensive purpose of the statute is obscure. In this case, Congress' general intent is—as Senator Gorton certainly understood—a necessary guide to the Act's more particular terms. In answer to this strategy, the Court points out that references to Widmar must be considered in context. Ante at 242-243. That is surely so. But when this is done, it becomes immediately clear that those references are neither "few" nor "passing" nor even "general," ibid.; they are instead the sheet anchors holding fast a debate that would otherwise be swept away in a gale of confused utterances. 16 [496 U.S. 283] </w:t>
      </w:r>
    </w:p>
    <w:p w:rsidR="00A31137" w:rsidRPr="00A31137" w:rsidRDefault="00A31137" w:rsidP="00A31137">
      <w:r w:rsidRPr="00A31137">
        <w:t>1990, Board of Educ. v. Mergens, 496 U.S. 283</w:t>
      </w:r>
    </w:p>
    <w:p w:rsidR="00A31137" w:rsidRPr="00A31137" w:rsidRDefault="00A31137" w:rsidP="00A31137">
      <w:r w:rsidRPr="00A31137">
        <w:t>We might wish, along with Senator Gorton, that Congress had chosen a better term to effectuate its purposes. But our own efforts to articulate "public forum" analysis have not, in my opinion, been altogether satisfactory. See Cornelius v. NAACP Legal Defense &amp; Ed Fund Inc., 473 U.S. 788,  833 (1985) (STEVENS, J., dissenting). 17 Lawyers and legislators seeking to capture our distinctions in legislative terminology should be forgiven if they occasionally stumble. 18 Certainly [496 U.S. 284] we should not hold Congress to a standard of precision we ourselves are sometimes unable to obtain. "Our duty is to ask what Congress intended, and not to assay whether Congress might have stated that intent more naturally, more artfully, or more pithily." Sullivan v. Everhart, 494 U.S. 83 (STEVENS, J., dissenting).</w:t>
      </w:r>
    </w:p>
    <w:p w:rsidR="00A31137" w:rsidRPr="00A31137" w:rsidRDefault="00A31137" w:rsidP="00A31137">
      <w:r w:rsidRPr="00A31137">
        <w:t>II</w:t>
      </w:r>
    </w:p>
    <w:p w:rsidR="00A31137" w:rsidRPr="00A31137" w:rsidRDefault="00A31137" w:rsidP="00A31137">
      <w:r w:rsidRPr="00A31137">
        <w:t>1990, Board of Educ. v. Mergens, 496 U.S. 284</w:t>
      </w:r>
    </w:p>
    <w:p w:rsidR="00A31137" w:rsidRPr="00A31137" w:rsidRDefault="00A31137" w:rsidP="00A31137">
      <w:r w:rsidRPr="00A31137">
        <w:t>My construction of the Act makes it unnecessary to reach the Establishment Clause question that the Court decides. 19 It is nevertheless appropriate to point out that the question is much more difficult than the Court assumes. 20 [496 U.S. 285] The plurality focuses upon whether the Act might run afoul of the Establishment Clause because of the danger that some students will mistakenly believe that the student-initiated religious clubs are sponsored by the school. 21 I believe that the [496 U.S. 286] majority's construction of the statute obliges it to answer a further question: whether the Act violates the Establishment Clause by authorizing religious organizations to meet on high school grounds even when the high school's teachers and administrators deem it unwise to admit controversial or partisan organizations of any kind.</w:t>
      </w:r>
    </w:p>
    <w:p w:rsidR="00A31137" w:rsidRPr="00A31137" w:rsidRDefault="00A31137" w:rsidP="00A31137">
      <w:r w:rsidRPr="00A31137">
        <w:t>1990, Board of Educ. v. Mergens, 496 U.S. 286</w:t>
      </w:r>
    </w:p>
    <w:p w:rsidR="00A31137" w:rsidRPr="00A31137" w:rsidRDefault="00A31137" w:rsidP="00A31137">
      <w:r w:rsidRPr="00A31137">
        <w:t>Under the Court's interpretation of the Act, Congress has imposed a difficult choice on public high schools receiving federal financial assistance. If such a school continues to allow students to participate in such familiar and innocuous activities as a school chess or scuba diving club, it must also allow religious groups to make use of school facilities. Indeed, [496 U.S. 287] it is hard to see how a cheerleading squad or a pep club, among the most common student groups in American high schools, could avoid being "noncurriculum related" under the majority's test. The Act, as construed by the majority, comes perilously close to an outright command to allow organized prayer, and perhaps the kind of religious ceremonies involved in Widmar, on school premises.</w:t>
      </w:r>
    </w:p>
    <w:p w:rsidR="00A31137" w:rsidRPr="00A31137" w:rsidRDefault="00A31137" w:rsidP="00A31137">
      <w:r w:rsidRPr="00A31137">
        <w:t>1990, Board of Educ. v. Mergens, 496 U.S. 287</w:t>
      </w:r>
    </w:p>
    <w:p w:rsidR="00A31137" w:rsidRPr="00A31137" w:rsidRDefault="00A31137" w:rsidP="00A31137">
      <w:r w:rsidRPr="00A31137">
        <w:t>We have always treated with special sensitivity the Establishment Clause problems that result when religious observances are moved into the public schools. Edwards v. Aguillard, 482 U.S. 578, 583-584 (1987).</w:t>
      </w:r>
    </w:p>
    <w:p w:rsidR="00A31137" w:rsidRPr="00A31137" w:rsidRDefault="00A31137" w:rsidP="00A31137">
      <w:r w:rsidRPr="00A31137">
        <w:t>1990, Board of Educ. v. Mergens, 496 U.S. 287</w:t>
      </w:r>
    </w:p>
    <w:p w:rsidR="00A31137" w:rsidRPr="00A31137" w:rsidRDefault="00A31137" w:rsidP="00A31137">
      <w:r w:rsidRPr="00A31137">
        <w:t>The public school is at once the symbol of our democracy and the most pervasive means for promoting our common destiny. In no activity of the State is it more vital to keep out divisive forces than in its schools,…</w:t>
      </w:r>
    </w:p>
    <w:p w:rsidR="00A31137" w:rsidRPr="00A31137" w:rsidRDefault="00A31137" w:rsidP="00A31137">
      <w:r w:rsidRPr="00A31137">
        <w:t>1990, Board of Educ. v. Mergens, 496 U.S. 287</w:t>
      </w:r>
    </w:p>
    <w:p w:rsidR="00A31137" w:rsidRPr="00A31137" w:rsidRDefault="00A31137" w:rsidP="00A31137">
      <w:r w:rsidRPr="00A31137">
        <w:t>Illinois ex rel. McCollum Board of Education, School Dist. No. 71, 333 U.S. 203,  231 (1948) (Frankfurter, J., concurring). As the majority recognizes, ante at  251, student-initiated religious groups may exert a considerable degree of pressure even without official school sponsorship. "The law of imitation operates, and nonconformity is not an outstanding characteristic of children." McCollum, 333 U.S. at  227 (Frankfurter, J., concurring); see also Abington School Dist. v. Schempp, 374 U.S. 203, 290-291 (1963) (BRENNAN, J., concurring). Testimony in this case indicated that one purpose of the proposed Bible Club was to convert students to Christianity. App. 185. The influence that could result is the product not only of the Equal Access Act and student-initiated speech but also of the compulsory attendance laws, which we have long recognized to be of special constitutional importance in this context. Id. at 252-253; Wallace v. Jaffree, 472 U.S. 38,  60, n. 51 (1985). Moreover, the speech allowed is not simply the individual expression of personal conscience, as was the case in Tinker v. Des Moines Independent Community School Dist., 393 U.S. 503 (1969), or West Virginia State Bd of Ed. v. Barnette, 319 U.S. 624 (1943), but is instead the collective statement of an organization [496 U.S. 288] —a "student club," with powers and responsibilities defined by that status—that would not exist absent the state's intervention. 22</w:t>
      </w:r>
    </w:p>
    <w:p w:rsidR="00A31137" w:rsidRPr="00A31137" w:rsidRDefault="00A31137" w:rsidP="00A31137">
      <w:r w:rsidRPr="00A31137">
        <w:t>1990, Board of Educ. v. Mergens, 496 U.S. 288</w:t>
      </w:r>
    </w:p>
    <w:p w:rsidR="00A31137" w:rsidRPr="00A31137" w:rsidRDefault="00A31137" w:rsidP="00A31137">
      <w:r w:rsidRPr="00A31137">
        <w:t xml:space="preserve">I tend to agree with the Court that the Constitution does not forbid a local school district, or Congress, from bringing organized religion into the schools so long as all groups, religious or not, are welcomed equally if "they do not break either the laws or the furniture." 23 That Congress has such authority, however, does not mean that the concerns underlying the Establishment Clause are irrelevant when, and if, that authority is exercised. 24 Certainly we should not rush to embrace the conclusion that Congress swept aside these concerns by the hurried passage of clumsily drafted legislation. 25 [496 U.S. 289] </w:t>
      </w:r>
    </w:p>
    <w:p w:rsidR="00A31137" w:rsidRPr="00A31137" w:rsidRDefault="00A31137" w:rsidP="00A31137">
      <w:r w:rsidRPr="00A31137">
        <w:t>1990, Board of Educ. v. Mergens, 496 U.S. 289</w:t>
      </w:r>
    </w:p>
    <w:p w:rsidR="00A31137" w:rsidRPr="00A31137" w:rsidRDefault="00A31137" w:rsidP="00A31137">
      <w:r w:rsidRPr="00A31137">
        <w:t>There is an additional reason, also grounded in constitutional structure, why the Court's rendering of the Act is unsatisfying: so construed, the Act alters considerably the balance between state and federal authority over education, a balance long respected by both Congress and this Court. See, e.g., Board of Education, Island Trees Union Free School Dist. No. 26 v. Pico, 457 U.S. 853, 863-864 (1982). The traditional allocation of responsibility makes sense for pedagogical, political, and ethical reasons. 26 We have, of course, sometimes found it necessary to limit local control over schools in order to protect the constitutional integrity of public education.</w:t>
      </w:r>
    </w:p>
    <w:p w:rsidR="00A31137" w:rsidRPr="00A31137" w:rsidRDefault="00A31137" w:rsidP="00A31137">
      <w:r w:rsidRPr="00A31137">
        <w:t>1990, Board of Educ. v. Mergens, 496 U.S. 289</w:t>
      </w:r>
    </w:p>
    <w:p w:rsidR="00A31137" w:rsidRPr="00A31137" w:rsidRDefault="00A31137" w:rsidP="00A31137">
      <w:r w:rsidRPr="00A31137">
        <w:t>That [Boards of Education] are educating [496 U.S. 290] the young for citizenship is reason for scrupulous protection of Constitutional freedoms of the individual, if we are not to strangle the free mind at its source and teach youth to discount important principles of our government as mere platitudes.</w:t>
      </w:r>
    </w:p>
    <w:p w:rsidR="00A31137" w:rsidRPr="00A31137" w:rsidRDefault="00A31137" w:rsidP="00A31137">
      <w:r w:rsidRPr="00A31137">
        <w:t>1990, Board of Educ. v. Mergens, 496 U.S. 290</w:t>
      </w:r>
    </w:p>
    <w:p w:rsidR="00A31137" w:rsidRPr="00A31137" w:rsidRDefault="00A31137" w:rsidP="00A31137">
      <w:r w:rsidRPr="00A31137">
        <w:t>West Virginia Bd. of Educ. v. Barnette, 319 U.S. at  637; see also Brown v. Topeka Bd. of Education, 347 U.S. 483 (1954); Missouri v. Jenkins, 495 U.S. 33 (1990). Congress may make similar judgments, and has sometimes done so, finding it necessary to regulate public education in order to achieve important national goals.</w:t>
      </w:r>
    </w:p>
    <w:p w:rsidR="00A31137" w:rsidRPr="00A31137" w:rsidRDefault="00A31137" w:rsidP="00A31137">
      <w:r w:rsidRPr="00A31137">
        <w:t>1990, Board of Educ. v. Mergens, 496 U.S. 290</w:t>
      </w:r>
    </w:p>
    <w:p w:rsidR="00A31137" w:rsidRPr="00A31137" w:rsidRDefault="00A31137" w:rsidP="00A31137">
      <w:r w:rsidRPr="00A31137">
        <w:t>The Court's construction of this Act, however, leads to a sweeping intrusion by the federal government into the operation of our public schools, and does so despite the absence of any indication that Congress intended to divest local school districts of their power to shape the educational environment. If a high school administration continues to believe that it is sound policy to exclude controversial groups, such as political clubs, the Ku Klux Klan, and perhaps gay rights advocacy groups from its facilities, it now must also close its doors to traditional extracurricular activities that are noncontroversial but not directly related to any course being offered at the school. Congress made frequent reference to the primacy of local control in public education, and the legislative history of the Act is thus inconsistent with the Court's rigid definition of "noncurriculum related groups." 27 Indeed, [496 U.S. 291] the very fact that Congress omitted any definition in the statute itself is persuasive evidence of an intent to allow local officials broad discretion in deciding whether or not to create limited public fora. I see no reason—and no evidence of congressional intent—to constrain that discretion any more narrowly than our holding in Widmar requires.</w:t>
      </w:r>
    </w:p>
    <w:p w:rsidR="00A31137" w:rsidRPr="00A31137" w:rsidRDefault="00A31137" w:rsidP="00A31137">
      <w:r w:rsidRPr="00A31137">
        <w:t>III</w:t>
      </w:r>
    </w:p>
    <w:p w:rsidR="00A31137" w:rsidRPr="00A31137" w:rsidRDefault="00A31137" w:rsidP="00A31137">
      <w:r w:rsidRPr="00A31137">
        <w:t>1990, Board of Educ. v. Mergens, 496 U.S. 291</w:t>
      </w:r>
    </w:p>
    <w:p w:rsidR="00A31137" w:rsidRPr="00A31137" w:rsidRDefault="00A31137" w:rsidP="00A31137">
      <w:r w:rsidRPr="00A31137">
        <w:t>Against all these arguments, the Court interposes Noah Webster's famous dictionary. It is a massive tome, but no match for the weight the Court would put upon it. The Court relies heavily on the dictionary's definition of "curriculum." See ante at  237. That word, of course, is not the Act's; moreover, the word "noncurriculum" is not in the dictionary. Neither Webster nor Congress has authorized us to assume that "noncurriculum" is a precise antonym of the word "curriculum." "Nonplus," for example, does not mean "minus," and it would be incorrect to assume that a "nonentity" is not an "entity" at all. Purely as a matter of defining a newly-coined word, the term "noncurriculum" could fairly be construed to describe either the subjects that are "not a part of the current curriculum" or the subjects that "cannot properly be included in a public school curriculum." Either of those definitions is perfectly "sensible," because both describe subjects "that are not related to the body of courses offered by the school." See ante at  237. When one considers the basic purpose of the Act and its unquestioned linkage to our decision in Widmar, the latter definition surely is the more "sensible."</w:t>
      </w:r>
    </w:p>
    <w:p w:rsidR="00A31137" w:rsidRPr="00A31137" w:rsidRDefault="00A31137" w:rsidP="00A31137">
      <w:r w:rsidRPr="00A31137">
        <w:t>1990, Board of Educ. v. Mergens, 496 U.S. 291</w:t>
      </w:r>
    </w:p>
    <w:p w:rsidR="00A31137" w:rsidRPr="00A31137" w:rsidRDefault="00A31137" w:rsidP="00A31137">
      <w:r w:rsidRPr="00A31137">
        <w:t>I respectfully dissent.</w:t>
      </w:r>
    </w:p>
    <w:p w:rsidR="00A31137" w:rsidRPr="00A31137" w:rsidRDefault="00A31137" w:rsidP="00A31137">
      <w:r w:rsidRPr="00A31137">
        <w:t>Footnotes</w:t>
      </w:r>
    </w:p>
    <w:p w:rsidR="00A31137" w:rsidRPr="00A31137" w:rsidRDefault="00A31137" w:rsidP="00A31137">
      <w:r w:rsidRPr="00A31137">
        <w:t>MARSHALL, J., concurring (Footnotes)</w:t>
      </w:r>
    </w:p>
    <w:p w:rsidR="00A31137" w:rsidRPr="00A31137" w:rsidRDefault="00A31137" w:rsidP="00A31137">
      <w:r w:rsidRPr="00A31137">
        <w:t>1990, Board of Educ. v. Mergens, 496 U.S. 291</w:t>
      </w:r>
    </w:p>
    <w:p w:rsidR="00A31137" w:rsidRPr="00A31137" w:rsidRDefault="00A31137" w:rsidP="00A31137">
      <w:r w:rsidRPr="00A31137">
        <w:t>* As a majority of this Court today holds, see ante at 249-250 (O'CONNOR, J., joined by REHNQUIST, C.J., and WHITE and BLACKMUN, JJ.); infra at  270, the Establishment Clause proscribes public schools from "conveying a message 'that religion or a particular religious belief is preferred,'" County of Allegheny v. ACLU, 492 U.S. 573,  627 (1989) (quoting Wallace v. Jaffree, 472 U.S. 38,  70 (1985) (O'CONNOR, J., concurring in part and concurring in judgment)), even if such schools do not actually "impos[e] pressure upon a student to participate in a religious activity," ante at  261 (KENNEDY, J., concurring in part and concurring in judgment).</w:t>
      </w:r>
    </w:p>
    <w:p w:rsidR="00A31137" w:rsidRPr="00A31137" w:rsidRDefault="00A31137" w:rsidP="00A31137">
      <w:r w:rsidRPr="00A31137">
        <w:t>STEVENS, J., dissenting (Footnotes)</w:t>
      </w:r>
    </w:p>
    <w:p w:rsidR="00A31137" w:rsidRPr="00A31137" w:rsidRDefault="00A31137" w:rsidP="00A31137">
      <w:r w:rsidRPr="00A31137">
        <w:t>1990, Board of Educ. v. Mergens, 496 U.S. 291</w:t>
      </w:r>
    </w:p>
    <w:p w:rsidR="00A31137" w:rsidRPr="00A31137" w:rsidRDefault="00A31137" w:rsidP="00A31137">
      <w:r w:rsidRPr="00A31137">
        <w:t>1. For an extensive discussion of the phrase and its ambiguity, see Laycock, Equal Access and Moments of Silence: The Equal Status of Religious Speech by Private Speakers, 81 Nw.U.L.Rev. 1, 36-41 (1986).</w:t>
      </w:r>
    </w:p>
    <w:p w:rsidR="00A31137" w:rsidRPr="00A31137" w:rsidRDefault="00A31137" w:rsidP="00A31137">
      <w:r w:rsidRPr="00A31137">
        <w:t>1990, Board of Educ. v. Mergens, 496 U.S. 291</w:t>
      </w:r>
    </w:p>
    <w:p w:rsidR="00A31137" w:rsidRPr="00A31137" w:rsidRDefault="00A31137" w:rsidP="00A31137">
      <w:r w:rsidRPr="00A31137">
        <w:t>2. Brief for Petitioners 58-59, Brief for Respondents 34-40; Brief for the United States as Amicus Curiae 17-19, and nn. 21-22 (Act codifies Widmar), id. at 22 ("noncurriculum related" is an undefined term); id. at 25 ("noncurriculum related" should be construed by reference to the "larger objectives" of the Act); 867 F.2d 1076, 1078-1079 (CA8 1989); Garnett v. Renton School Dist. No. 403, 874 F.2d 608, 613-614 (CA9 1989).</w:t>
      </w:r>
    </w:p>
    <w:p w:rsidR="00A31137" w:rsidRPr="00A31137" w:rsidRDefault="00A31137" w:rsidP="00A31137">
      <w:r w:rsidRPr="00A31137">
        <w:t>1990, Board of Educ. v. Mergens, 496 U.S. 291</w:t>
      </w:r>
    </w:p>
    <w:p w:rsidR="00A31137" w:rsidRPr="00A31137" w:rsidRDefault="00A31137" w:rsidP="00A31137">
      <w:r w:rsidRPr="00A31137">
        <w:t>3. We would, of course, then have to consider, as the Court does now, whether the Establishment Clause permits Congress to apply Widmar's reasoning to secondary schools.</w:t>
      </w:r>
    </w:p>
    <w:p w:rsidR="00A31137" w:rsidRPr="00A31137" w:rsidRDefault="00A31137" w:rsidP="00A31137">
      <w:r w:rsidRPr="00A31137">
        <w:t>1990, Board of Educ. v. Mergens, 496 U.S. 291</w:t>
      </w:r>
    </w:p>
    <w:p w:rsidR="00A31137" w:rsidRPr="00A31137" w:rsidRDefault="00A31137" w:rsidP="00A31137">
      <w:r w:rsidRPr="00A31137">
        <w:t>4. The Court of Appeals quoted the following comment by Senator Levin:</w:t>
      </w:r>
    </w:p>
    <w:p w:rsidR="00A31137" w:rsidRPr="00A31137" w:rsidRDefault="00A31137" w:rsidP="00A31137">
      <w:r w:rsidRPr="00A31137">
        <w:t>1990, Board of Educ. v. Mergens, 496 U.S. 291</w:t>
      </w:r>
    </w:p>
    <w:p w:rsidR="00A31137" w:rsidRPr="00A31137" w:rsidRDefault="00A31137" w:rsidP="00A31137">
      <w:r w:rsidRPr="00A31137">
        <w:t>[T]he pending amendment is constitutional in light of the Supreme Court's decision in Widmar against Vincent. This amendment merely extends a similar constitutional rule as enunciated by the Court in Widmar to secondary schools.</w:t>
      </w:r>
    </w:p>
    <w:p w:rsidR="00A31137" w:rsidRPr="00A31137" w:rsidRDefault="00A31137" w:rsidP="00A31137">
      <w:r w:rsidRPr="00A31137">
        <w:t>1990, Board of Educ. v. Mergens, 496 U.S. 291</w:t>
      </w:r>
    </w:p>
    <w:p w:rsidR="00A31137" w:rsidRPr="00A31137" w:rsidRDefault="00A31137" w:rsidP="00A31137">
      <w:r w:rsidRPr="00A31137">
        <w:t>130 Cong.Rec. 19236 (1984) (statement of Sen. Levin).</w:t>
      </w:r>
    </w:p>
    <w:p w:rsidR="00A31137" w:rsidRPr="00A31137" w:rsidRDefault="00A31137" w:rsidP="00A31137">
      <w:r w:rsidRPr="00A31137">
        <w:t>1990, Board of Educ. v. Mergens, 496 U.S. 291</w:t>
      </w:r>
    </w:p>
    <w:p w:rsidR="00A31137" w:rsidRPr="00A31137" w:rsidRDefault="00A31137" w:rsidP="00A31137">
      <w:r w:rsidRPr="00A31137">
        <w:t>Other Senators agreed. See id. at 19221 (statement of Sen. Leahy); id, at 19237 ("…the Court was right in Widmar, and this bill seeks only to clarify and extend the law of that case a bit…. What we seek to do by this amendment is make clear that the same rule of law applies to students in our public secondary schools") (statement of Sen. Bumpers); id. at 19239 (statement of Sen. Biden). See also Brief for United States as Amicus Curiae 17-19, nn. 21-22 (collecting references to Widmar from Senate and House debates).</w:t>
      </w:r>
    </w:p>
    <w:p w:rsidR="00A31137" w:rsidRPr="00A31137" w:rsidRDefault="00A31137" w:rsidP="00A31137">
      <w:r w:rsidRPr="00A31137">
        <w:t>1990, Board of Educ. v. Mergens, 496 U.S. 291</w:t>
      </w:r>
    </w:p>
    <w:p w:rsidR="00A31137" w:rsidRPr="00A31137" w:rsidRDefault="00A31137" w:rsidP="00A31137">
      <w:r w:rsidRPr="00A31137">
        <w:t>5. The Court of Appeals also put too much weight upon the existence of a chess club at Westside. The court quoted an exchange between Senator Gorton and Senator Hatfield in which Senator Hatfield, a cosponsor of the Act, told Senator Gorton that a chess club would be "noncurriculum related" under the Act. 867 F.2d at 1078-1079. The exchange is completely inconclusive, however, when read in context. Senator Gorton's questions were designed to show that Senator Hatfield could not offer any satisfactory definition of "noncurriculum related." Senator Gorton's strategy succeeded, and in the course of the exchange, Senator "Hatfield offered just about every possible interpretation in less than two columns of the Congressional Record" Laycock, 81 Nw.U.L.Rev. at 37. Senator Hatfield eventually conceded that whether a chess club was "noncurriculum related" would depend upon what the school district's lawyers had to say about it. 130 Cong.Rec. 19225. This Court's majority does not place any special emphasis upon Senator Hatfield's reference to chess clubs, see ante at 245-246 (discussing chess clubs without reference to the legislative history), and I agree that it deserves none.</w:t>
      </w:r>
    </w:p>
    <w:p w:rsidR="00A31137" w:rsidRPr="00A31137" w:rsidRDefault="00A31137" w:rsidP="00A31137">
      <w:r w:rsidRPr="00A31137">
        <w:t>1990, Board of Educ. v. Mergens, 496 U.S. 291</w:t>
      </w:r>
    </w:p>
    <w:p w:rsidR="00A31137" w:rsidRPr="00A31137" w:rsidRDefault="00A31137" w:rsidP="00A31137">
      <w:r w:rsidRPr="00A31137">
        <w:t>6. What I have said before of universities is true a fortiori with respect to high schools: a school's extracurricular activities constitute a part of the school's teaching mission, and the school accordingly must make "decisions concerning the content of those activities." Widmar v. Vincent, 454 U.S. at  278 (STEVENS, J., concurring in judgment). Absent good reason to hold otherwise, these decisions should be left to teachers. Id. at  279 and n. 2. See also Bethel School Dist. No. 403 v. Fraser, 478 U.S. 675,  691, and n. 1 (STEVENS, J., dissenting).</w:t>
      </w:r>
    </w:p>
    <w:p w:rsidR="00A31137" w:rsidRPr="00A31137" w:rsidRDefault="00A31137" w:rsidP="00A31137">
      <w:r w:rsidRPr="00A31137">
        <w:t>1990, Board of Educ. v. Mergens, 496 U.S. 291</w:t>
      </w:r>
    </w:p>
    <w:p w:rsidR="00A31137" w:rsidRPr="00A31137" w:rsidRDefault="00A31137" w:rsidP="00A31137">
      <w:r w:rsidRPr="00A31137">
        <w:t>7. Although I recognize that Justice MARSHALL reads Widmar more broadly, I respectfully disagree with that reading. Moreover, even if language in Widmar supported that reading, the language would be dictum, given the distinction—acknowledged to be critical—between "the wide open and independent character of the student forum in Widmar" and the substantially different character of Westside's program. See ante at  285 (MARSHALL, J., concurring).</w:t>
      </w:r>
    </w:p>
    <w:p w:rsidR="00A31137" w:rsidRPr="00A31137" w:rsidRDefault="00A31137" w:rsidP="00A31137">
      <w:r w:rsidRPr="00A31137">
        <w:t>1990, Board of Educ. v. Mergens, 496 U.S. 291</w:t>
      </w:r>
    </w:p>
    <w:p w:rsidR="00A31137" w:rsidRPr="00A31137" w:rsidRDefault="00A31137" w:rsidP="00A31137">
      <w:r w:rsidRPr="00A31137">
        <w:t>8. In Bender v. Williamsport Area School Dist., 563 F.Supp. 697 (MD Pa.1983), the school officials conceded that any organization conducive to the intellectual or moral growth of students could meet during the activities period. Unlike the school officials in this case, the Williamsport officials had not claimed that the forum was limited on the basis of whether a group presented a one-sided view of controversial subjects. Id. at 706-707.</w:t>
      </w:r>
    </w:p>
    <w:p w:rsidR="00A31137" w:rsidRPr="00A31137" w:rsidRDefault="00A31137" w:rsidP="00A31137">
      <w:r w:rsidRPr="00A31137">
        <w:t>1990, Board of Educ. v. Mergens, 496 U.S. 291</w:t>
      </w:r>
    </w:p>
    <w:p w:rsidR="00A31137" w:rsidRPr="00A31137" w:rsidRDefault="00A31137" w:rsidP="00A31137">
      <w:r w:rsidRPr="00A31137">
        <w:t>9. The Bender litigation was pending before the Court of Appeals for the Third Circuit when the Act was drafted, and was much discussed by the Act's sponsors.</w:t>
      </w:r>
    </w:p>
    <w:p w:rsidR="00A31137" w:rsidRPr="00A31137" w:rsidRDefault="00A31137" w:rsidP="00A31137">
      <w:r w:rsidRPr="00A31137">
        <w:t>1990, Board of Educ. v. Mergens, 496 U.S. 291</w:t>
      </w:r>
    </w:p>
    <w:p w:rsidR="00A31137" w:rsidRPr="00A31137" w:rsidRDefault="00A31137" w:rsidP="00A31137">
      <w:r w:rsidRPr="00A31137">
        <w:t>10. Since the statute as I construe it would track our own Free Speech Clause jurisprudence, administrators could no more escape the Act's restrictions by mere labeling than they could escape the First Amendment itself by such means.</w:t>
      </w:r>
    </w:p>
    <w:p w:rsidR="00A31137" w:rsidRPr="00A31137" w:rsidRDefault="00A31137" w:rsidP="00A31137">
      <w:r w:rsidRPr="00A31137">
        <w:t>1990, Board of Educ. v. Mergens, 496 U.S. 291</w:t>
      </w:r>
    </w:p>
    <w:p w:rsidR="00A31137" w:rsidRPr="00A31137" w:rsidRDefault="00A31137" w:rsidP="00A31137">
      <w:r w:rsidRPr="00A31137">
        <w:t>11. According to the Court,</w:t>
      </w:r>
    </w:p>
    <w:p w:rsidR="00A31137" w:rsidRPr="00A31137" w:rsidRDefault="00A31137" w:rsidP="00A31137">
      <w:r w:rsidRPr="00A31137">
        <w:t>1990, Board of Educ. v. Mergens, 496 U.S. 291</w:t>
      </w:r>
    </w:p>
    <w:p w:rsidR="00A31137" w:rsidRPr="00A31137" w:rsidRDefault="00A31137" w:rsidP="00A31137">
      <w:r w:rsidRPr="00A31137">
        <w:t>In our view, a student group directly relates to a school's curriculum if the subject matter of the group is actually taught, or will soon be taught, in a regularly offered course; if the subject matter of the group concerns the body of courses as a whole; if participation in the group is required for a particular course; or if participation in the group results in academic credit.</w:t>
      </w:r>
    </w:p>
    <w:p w:rsidR="00A31137" w:rsidRPr="00A31137" w:rsidRDefault="00A31137" w:rsidP="00A31137">
      <w:r w:rsidRPr="00A31137">
        <w:t>1990, Board of Educ. v. Mergens, 496 U.S. 291</w:t>
      </w:r>
    </w:p>
    <w:p w:rsidR="00A31137" w:rsidRPr="00A31137" w:rsidRDefault="00A31137" w:rsidP="00A31137">
      <w:r w:rsidRPr="00A31137">
        <w:t>Ante at 239-240. The Court clarifies the meaning of the second part of this test by suggesting that</w:t>
      </w:r>
    </w:p>
    <w:p w:rsidR="00A31137" w:rsidRPr="00A31137" w:rsidRDefault="00A31137" w:rsidP="00A31137">
      <w:r w:rsidRPr="00A31137">
        <w:t>1990, Board of Educ. v. Mergens, 496 U.S. 291</w:t>
      </w:r>
    </w:p>
    <w:p w:rsidR="00A31137" w:rsidRPr="00A31137" w:rsidRDefault="00A31137" w:rsidP="00A31137">
      <w:r w:rsidRPr="00A31137">
        <w:t>[a] school's student government would generally relate directly to the curriculum to the extent that it addresses concerns, solicits opinions, and formulates proposals pertaining to the body of courses offered by the school.</w:t>
      </w:r>
    </w:p>
    <w:p w:rsidR="00A31137" w:rsidRPr="00A31137" w:rsidRDefault="00A31137" w:rsidP="00A31137">
      <w:r w:rsidRPr="00A31137">
        <w:t>1990, Board of Educ. v. Mergens, 496 U.S. 291</w:t>
      </w:r>
    </w:p>
    <w:p w:rsidR="00A31137" w:rsidRPr="00A31137" w:rsidRDefault="00A31137" w:rsidP="00A31137">
      <w:r w:rsidRPr="00A31137">
        <w:t>Ibid. Likewise, the fact that the International Club is "'developed through our foreign language classes'" suffices to satisfy the Court's test, presumably as a result of its first prong. See ante at  246.</w:t>
      </w:r>
    </w:p>
    <w:p w:rsidR="00A31137" w:rsidRPr="00A31137" w:rsidRDefault="00A31137" w:rsidP="00A31137">
      <w:r w:rsidRPr="00A31137">
        <w:t>1990, Board of Educ. v. Mergens, 496 U.S. 291</w:t>
      </w:r>
    </w:p>
    <w:p w:rsidR="00A31137" w:rsidRPr="00A31137" w:rsidRDefault="00A31137" w:rsidP="00A31137">
      <w:r w:rsidRPr="00A31137">
        <w:t>12. The club's membership might have a special interest in seeing more attention devoted to icthyological topics in biology classes, in adding oceanographic examples to physics classes, and in allowing advanced students in the school shops to design snorkeling gear. As I understand the majority's test, Subsurfers would not be "noncurriculum related" so long as the club made such suggestions as these on a regular basis, even if the Westside administration regularly thanked the club and rejected every suggestion it made. See ante at  240 (discussing the student government).</w:t>
      </w:r>
    </w:p>
    <w:p w:rsidR="00A31137" w:rsidRPr="00A31137" w:rsidRDefault="00A31137" w:rsidP="00A31137">
      <w:r w:rsidRPr="00A31137">
        <w:t>1990, Board of Educ. v. Mergens, 496 U.S. 291</w:t>
      </w:r>
    </w:p>
    <w:p w:rsidR="00A31137" w:rsidRPr="00A31137" w:rsidRDefault="00A31137" w:rsidP="00A31137">
      <w:r w:rsidRPr="00A31137">
        <w:t>13. Under my reading of the statute, for example, a difficult case might be posed if a district court were forced to decide whether a high school's Nietzsche Club were concerned with philology or doctrine. None of the very common clubs at Westside, however, causes any difficulties for this test, while nearly all of them present close questions if examined pursuant to the Court's rubric. The Nietzsche Club is a problem that can be dealt with when it actually arises.</w:t>
      </w:r>
    </w:p>
    <w:p w:rsidR="00A31137" w:rsidRPr="00A31137" w:rsidRDefault="00A31137" w:rsidP="00A31137">
      <w:r w:rsidRPr="00A31137">
        <w:t>1990, Board of Educ. v. Mergens, 496 U.S. 291</w:t>
      </w:r>
    </w:p>
    <w:p w:rsidR="00A31137" w:rsidRPr="00A31137" w:rsidRDefault="00A31137" w:rsidP="00A31137">
      <w:r w:rsidRPr="00A31137">
        <w:t>14. Senator Gorton proposed replacing the Act with another, which read:</w:t>
      </w:r>
    </w:p>
    <w:p w:rsidR="00A31137" w:rsidRPr="00A31137" w:rsidRDefault="00A31137" w:rsidP="00A31137">
      <w:r w:rsidRPr="00A31137">
        <w:t>1990, Board of Educ. v. Mergens, 496 U.S. 291</w:t>
      </w:r>
    </w:p>
    <w:p w:rsidR="00A31137" w:rsidRPr="00A31137" w:rsidRDefault="00A31137" w:rsidP="00A31137">
      <w:r w:rsidRPr="00A31137">
        <w:t>No public secondary school receiving Federal financial assistance shall prohibit the use of school facilities for meetings during noninstructional time by voluntary student groups solely on the basis that some or all of the speech engaged in by members of such groups during their meetings is or will be religious in nature.</w:t>
      </w:r>
    </w:p>
    <w:p w:rsidR="00A31137" w:rsidRPr="00A31137" w:rsidRDefault="00A31137" w:rsidP="00A31137">
      <w:r w:rsidRPr="00A31137">
        <w:t>1990, Board of Educ. v. Mergens, 496 U.S. 291</w:t>
      </w:r>
    </w:p>
    <w:p w:rsidR="00A31137" w:rsidRPr="00A31137" w:rsidRDefault="00A31137" w:rsidP="00A31137">
      <w:r w:rsidRPr="00A31137">
        <w:t>130 Cong.Rec. 19225 (1984).</w:t>
      </w:r>
    </w:p>
    <w:p w:rsidR="00A31137" w:rsidRPr="00A31137" w:rsidRDefault="00A31137" w:rsidP="00A31137">
      <w:r w:rsidRPr="00A31137">
        <w:t>1990, Board of Educ. v. Mergens, 496 U.S. 291</w:t>
      </w:r>
    </w:p>
    <w:p w:rsidR="00A31137" w:rsidRPr="00A31137" w:rsidRDefault="00A31137" w:rsidP="00A31137">
      <w:r w:rsidRPr="00A31137">
        <w:t>15. Senator Hatfield attributed the Act's complex terminology to</w:t>
      </w:r>
    </w:p>
    <w:p w:rsidR="00A31137" w:rsidRPr="00A31137" w:rsidRDefault="00A31137" w:rsidP="00A31137">
      <w:r w:rsidRPr="00A31137">
        <w:t>1990, Board of Educ. v. Mergens, 496 U.S. 291</w:t>
      </w:r>
    </w:p>
    <w:p w:rsidR="00A31137" w:rsidRPr="00A31137" w:rsidRDefault="00A31137" w:rsidP="00A31137">
      <w:r w:rsidRPr="00A31137">
        <w:t>too many lawyers wanting to put something down to satisfy one particular legal point of view, one legal school, or one precedent, or one court decision, or one experience.</w:t>
      </w:r>
    </w:p>
    <w:p w:rsidR="00A31137" w:rsidRPr="00A31137" w:rsidRDefault="00A31137" w:rsidP="00A31137">
      <w:r w:rsidRPr="00A31137">
        <w:t>1990, Board of Educ. v. Mergens, 496 U.S. 291</w:t>
      </w:r>
    </w:p>
    <w:p w:rsidR="00A31137" w:rsidRPr="00A31137" w:rsidRDefault="00A31137" w:rsidP="00A31137">
      <w:r w:rsidRPr="00A31137">
        <w:t>Ibid.</w:t>
      </w:r>
    </w:p>
    <w:p w:rsidR="00A31137" w:rsidRPr="00A31137" w:rsidRDefault="00A31137" w:rsidP="00A31137">
      <w:r w:rsidRPr="00A31137">
        <w:t>1990, Board of Educ. v. Mergens, 496 U.S. 291</w:t>
      </w:r>
    </w:p>
    <w:p w:rsidR="00A31137" w:rsidRPr="00A31137" w:rsidRDefault="00A31137" w:rsidP="00A31137">
      <w:r w:rsidRPr="00A31137">
        <w:t>In light of this admission and similar statements, it is astonishing that the United States asks us to believe that Congress, by using the phrase "noncurriculum related," intended to reject Widmar's definition of an "open forum" in favor of a definition that would be "highly specific" and less confusing. See Brief for United States as Amicus Curiae 20-21. I am instead inclined to agree with Professor Laycock, who observes that "[a] House opponent [of the Act] was surely correct when he said that not even the sponsors of the bill knew what it meant." Laycock, 81 Nw.U.L.Rev. at 38. The bill's supporters admitted that its language was murky, but suggested that something was better than nothing. See 130 Cong.Rec. 20946 (statement of Rep. Hyde). If Congress really intended to depart from Widmar for reasons of administrative clarity, Congress kept its intent well hidden, both in the statute and in the debates preceding its passage.</w:t>
      </w:r>
    </w:p>
    <w:p w:rsidR="00A31137" w:rsidRPr="00A31137" w:rsidRDefault="00A31137" w:rsidP="00A31137">
      <w:r w:rsidRPr="00A31137">
        <w:t>1990, Board of Educ. v. Mergens, 496 U.S. 291</w:t>
      </w:r>
    </w:p>
    <w:p w:rsidR="00A31137" w:rsidRPr="00A31137" w:rsidRDefault="00A31137" w:rsidP="00A31137">
      <w:r w:rsidRPr="00A31137">
        <w:t>16. The Court makes a gallant and commendable effort to vindicate Congress' peculiar diction. But I fear that, in the end, the Court's dogged persistence leads it to miss the forest for the trees. The Court quite properly points out that Congress' general intent cannot be established by a single reference, or even several statements, sundered from context. One can, of course, no more deduce the meaning of legislative history by quoting one randomly chosen Senator than one can capture the meaning of a play by quoting one randomly chosen character. To say that Polonius, Claudius, and Gertrude express differing views about Hamlet's "antic disposition" is not to say that Hamlet has no meaning. No reader of the congressional drama in this case can come away unimpressed by its focus upon Widmar: the congressional actors quite clearly agreed that Widmar's rule should be extended to high schools, but were confused about how to draft a statute that did so. Nothing quoted by the Court so much as hints at a contrary reading.</w:t>
      </w:r>
    </w:p>
    <w:p w:rsidR="00A31137" w:rsidRPr="00A31137" w:rsidRDefault="00A31137" w:rsidP="00A31137">
      <w:r w:rsidRPr="00A31137">
        <w:t>1990, Board of Educ. v. Mergens, 496 U.S. 291</w:t>
      </w:r>
    </w:p>
    <w:p w:rsidR="00A31137" w:rsidRPr="00A31137" w:rsidRDefault="00A31137" w:rsidP="00A31137">
      <w:r w:rsidRPr="00A31137">
        <w:t>The Court's discussion of Senator Levin's speech, ante at  243, is especially puzzling. The Court says that this dissent "plac[es] great reliance on a comment by Senator Levin." Ibid. In fact, Senator Levin's remark is one among four specific citations in a single footnote, and is further buttressed by the more than twenty additional citations collected in the Brief of the United States as Amicus Curiae. See n.  4, supra. The footnote singles out Senator Levin for special attention not because his views are of unique importance, but because his remarks were quoted by the Court of Appeals. Ibid. Still odder is the Court's own use of Senator Levin. The Court quotes the Senator as saying,</w:t>
      </w:r>
    </w:p>
    <w:p w:rsidR="00A31137" w:rsidRPr="00A31137" w:rsidRDefault="00A31137" w:rsidP="00A31137">
      <w:r w:rsidRPr="00A31137">
        <w:t>1990, Board of Educ. v. Mergens, 496 U.S. 291</w:t>
      </w:r>
    </w:p>
    <w:p w:rsidR="00A31137" w:rsidRPr="00A31137" w:rsidRDefault="00A31137" w:rsidP="00A31137">
      <w:r w:rsidRPr="00A31137">
        <w:t>The pending amendment will allow students equal access to secondary schools student-initiated religious meetings before and after school where the school generally allows groups of secondary school students to meet during those times.</w:t>
      </w:r>
    </w:p>
    <w:p w:rsidR="00A31137" w:rsidRPr="00A31137" w:rsidRDefault="00A31137" w:rsidP="00A31137">
      <w:r w:rsidRPr="00A31137">
        <w:t>1990, Board of Educ. v. Mergens, 496 U.S. 291</w:t>
      </w:r>
    </w:p>
    <w:p w:rsidR="00A31137" w:rsidRPr="00A31137" w:rsidRDefault="00A31137" w:rsidP="00A31137">
      <w:r w:rsidRPr="00A31137">
        <w:t>130 Cong.Rec. 19236 (1984). The Court emphasizes the word "generally." This word, however, puts Senator Levin in square opposition to the Court's reading of the Act. I agree with the Senator that the Act authorizes meetings by religious student-initiated groups in schools that permit meetings by student groups in general; the Court, however, must show that the Act authorizes such meetings even in schools that have a less generally open forum, one defined specifically enough to exclude partisan ideological organizations. Senator Levin's statement does not help the Court.</w:t>
      </w:r>
    </w:p>
    <w:p w:rsidR="00A31137" w:rsidRPr="00A31137" w:rsidRDefault="00A31137" w:rsidP="00A31137">
      <w:r w:rsidRPr="00A31137">
        <w:t>1990, Board of Educ. v. Mergens, 496 U.S. 291</w:t>
      </w:r>
    </w:p>
    <w:p w:rsidR="00A31137" w:rsidRPr="00A31137" w:rsidRDefault="00A31137" w:rsidP="00A31137">
      <w:r w:rsidRPr="00A31137">
        <w:t>Nor can the Court claim any assistance from the reservations expressed by Senators Chiles and Denton about the legislative history, ante at  243; when their remarks are considered in context, it becomes immediately apparent that both men were addressing specific problems completely unrelated to the Act's connection with Widmar.</w:t>
      </w:r>
    </w:p>
    <w:p w:rsidR="00A31137" w:rsidRPr="00A31137" w:rsidRDefault="00A31137" w:rsidP="00A31137">
      <w:r w:rsidRPr="00A31137">
        <w:t>1990, Board of Educ. v. Mergens, 496 U.S. 291</w:t>
      </w:r>
    </w:p>
    <w:p w:rsidR="00A31137" w:rsidRPr="00A31137" w:rsidRDefault="00A31137" w:rsidP="00A31137">
      <w:r w:rsidRPr="00A31137">
        <w:t>17. See also Farber &amp; Nowak, The Misleading Nature of Public Forum Analysis: Content and Context in First Amendment Adjudication, 70 Va.L.Rev. 1219, 1223-1225 (1984), L. Tribe, American Constitutional Law § 12-24 (2d ed. 1988).</w:t>
      </w:r>
    </w:p>
    <w:p w:rsidR="00A31137" w:rsidRPr="00A31137" w:rsidRDefault="00A31137" w:rsidP="00A31137">
      <w:r w:rsidRPr="00A31137">
        <w:t>1990, Board of Educ. v. Mergens, 496 U.S. 291</w:t>
      </w:r>
    </w:p>
    <w:p w:rsidR="00A31137" w:rsidRPr="00A31137" w:rsidRDefault="00A31137" w:rsidP="00A31137">
      <w:r w:rsidRPr="00A31137">
        <w:t>18. The Court would have us believe that the step is not a stumble, but a pirouette: the Court declares that any possible interpretation of the Act must concede that Congress intended to draw a subtle distinction between a "limited public forum" and a "limited open forum." Ante at  242. For the reasons given in n. 15, supra, I find this suggestion implausible: the drafting of this legislation was not so finely choreographed.</w:t>
      </w:r>
    </w:p>
    <w:p w:rsidR="00A31137" w:rsidRPr="00A31137" w:rsidRDefault="00A31137" w:rsidP="00A31137">
      <w:r w:rsidRPr="00A31137">
        <w:t>1990, Board of Educ. v. Mergens, 496 U.S. 291</w:t>
      </w:r>
    </w:p>
    <w:p w:rsidR="00A31137" w:rsidRPr="00A31137" w:rsidRDefault="00A31137" w:rsidP="00A31137">
      <w:r w:rsidRPr="00A31137">
        <w:t>Moreover, this Court's own opinion in Widmar refers, in quick succession and without apparent distinction, to "a forum generally open to the public," 454 U.S. at  268; "a generally open forum," id. at  269; and "a public forum," id. at 270. The District Court opinion in Bender—an opinion of great concern to Congress when it passed this Act—observed that "a university which accommodates student organizations by making its facilities 'generally open' for their meetings will have created a 'limited' public forum." 563 F.Supp., at 705. In the same month the Act was passed, the Court of Appeals' opinion in Bender closed the circle by using "limited open forum" to describe the First Amendment status of both the college forum in Widmar and the high school forum in Bender. Bender v. Williamsport Area School Dist., 741 F.2d 538, 547, n. 12 (CA3 1984); id. at 550. It would be wrong to say that the Court today slices these distinctions too thin: there is in fact no distinction for the slicing.</w:t>
      </w:r>
    </w:p>
    <w:p w:rsidR="00A31137" w:rsidRPr="00A31137" w:rsidRDefault="00A31137" w:rsidP="00A31137">
      <w:r w:rsidRPr="00A31137">
        <w:t>1990, Board of Educ. v. Mergens, 496 U.S. 291</w:t>
      </w:r>
    </w:p>
    <w:p w:rsidR="00A31137" w:rsidRPr="00A31137" w:rsidRDefault="00A31137" w:rsidP="00A31137">
      <w:r w:rsidRPr="00A31137">
        <w:t>Even were I to accept the Court's premise, however, it would not lead me to the Court's conclusion. It does not seem that a "limited open forum" would be, as the Court must suppose, narrower in scope than a "limited public forum." Dictionary definitions, which the Court seems to favor, point in the opposite direction.</w:t>
      </w:r>
    </w:p>
    <w:p w:rsidR="00A31137" w:rsidRPr="00A31137" w:rsidRDefault="00A31137" w:rsidP="00A31137">
      <w:r w:rsidRPr="00A31137">
        <w:t>1990, Board of Educ. v. Mergens, 496 U.S. 291</w:t>
      </w:r>
    </w:p>
    <w:p w:rsidR="00A31137" w:rsidRPr="00A31137" w:rsidRDefault="00A31137" w:rsidP="00A31137">
      <w:r w:rsidRPr="00A31137">
        <w:t>19. We consider Establishment Clause questions under the three-part analysis set forth in Lemon v. Kurtzman, 403 U.S. 602, 612-613 (1971):</w:t>
      </w:r>
    </w:p>
    <w:p w:rsidR="00A31137" w:rsidRPr="00A31137" w:rsidRDefault="00A31137" w:rsidP="00A31137">
      <w:r w:rsidRPr="00A31137">
        <w:t>1990, Board of Educ. v. Mergens, 496 U.S. 291</w:t>
      </w:r>
    </w:p>
    <w:p w:rsidR="00A31137" w:rsidRPr="00A31137" w:rsidRDefault="00A31137" w:rsidP="00A31137">
      <w:r w:rsidRPr="00A31137">
        <w:t>First, the statute must have a secular legislative purpose; second, its principal or primary effect must be one that neither advances nor inhibits religion,…; finally, the statute must not foster "an excessive government entanglement with religion."</w:t>
      </w:r>
    </w:p>
    <w:p w:rsidR="00A31137" w:rsidRPr="00A31137" w:rsidRDefault="00A31137" w:rsidP="00A31137">
      <w:r w:rsidRPr="00A31137">
        <w:t>1990, Board of Educ. v. Mergens, 496 U.S. 291</w:t>
      </w:r>
    </w:p>
    <w:p w:rsidR="00A31137" w:rsidRPr="00A31137" w:rsidRDefault="00A31137" w:rsidP="00A31137">
      <w:r w:rsidRPr="00A31137">
        <w:t>(Citations omitted.)</w:t>
      </w:r>
    </w:p>
    <w:p w:rsidR="00A31137" w:rsidRPr="00A31137" w:rsidRDefault="00A31137" w:rsidP="00A31137">
      <w:r w:rsidRPr="00A31137">
        <w:t>1990, Board of Educ. v. Mergens, 496 U.S. 291</w:t>
      </w:r>
    </w:p>
    <w:p w:rsidR="00A31137" w:rsidRPr="00A31137" w:rsidRDefault="00A31137" w:rsidP="00A31137">
      <w:r w:rsidRPr="00A31137">
        <w:t>20. The difficulty of the constitutional question compounds the problems with the Court's treatment of the statutory issue. In light of the ambiguity which it concedes to exist in both the statutory text and the legislative history, the Court has an obligation to adopt an equally reasonable construction of the Act that will avoid the constitutional issue. Cf. NLRB v. Catholic Bishops of Chicago, 440 U.S. 490,  500 (1979).</w:t>
      </w:r>
    </w:p>
    <w:p w:rsidR="00A31137" w:rsidRPr="00A31137" w:rsidRDefault="00A31137" w:rsidP="00A31137">
      <w:r w:rsidRPr="00A31137">
        <w:t>1990, Board of Educ. v. Mergens, 496 U.S. 291</w:t>
      </w:r>
    </w:p>
    <w:p w:rsidR="00A31137" w:rsidRPr="00A31137" w:rsidRDefault="00A31137" w:rsidP="00A31137">
      <w:r w:rsidRPr="00A31137">
        <w:t>21. The Court also considers briefly, and then rejects, the possibility that the Act may lack the "secular purpose" required by the Establishment Clause. See ante at 248-249. In my view, that question, too, is closer than the Court suggests. There is no doubt that the purpose of this Act is to facilitate meetings by religious student organizations at public high schools. See, e.g., 130 Cong.Rec. 19216 (statement of Sen. Denton). There would nevertheless be no problem with the Act if it did no more than redress discrimination against religion. See Corporation of Presiding Bishop, Church of Latterday Saints v. Amos, 483 U.S. 327,  338 (1987) (characterizing as "proper" the statutory "purpose of lifting a regulation that burdens the exercise of religion," even if the resulting exemption does not "come packaged with benefits to secular entities"). Under the Court's reading of the Act, however, Congress had a considerably more expansive purpose: that of authorizing religious groups to meet even in schools that prohibit assembly of all partisan organizations and thus do not single out religious groups in particular. The Act also authorizes meetings of political or philosophic as well as religious groups, but it is clear that Congress was principally interested in religious speech. Ante at  239. The application of Lemon's secular purpose requirement to the Act thus becomes more complicated.</w:t>
      </w:r>
    </w:p>
    <w:p w:rsidR="00A31137" w:rsidRPr="00A31137" w:rsidRDefault="00A31137" w:rsidP="00A31137">
      <w:r w:rsidRPr="00A31137">
        <w:t>1990, Board of Educ. v. Mergens, 496 U.S. 291</w:t>
      </w:r>
    </w:p>
    <w:p w:rsidR="00A31137" w:rsidRPr="00A31137" w:rsidRDefault="00A31137" w:rsidP="00A31137">
      <w:r w:rsidRPr="00A31137">
        <w:t>When examining this issue, the Court quite properly recognizes that we must distinguish between religious motives and religious purposes. See ante at  249. The Court, however, misapplies the distinction. If a particular legislator were to vote for a bill on the basis of a personal, religious belief that free speech is a good thing, the legislator would have a religious motive. That motive would present no problem under the Establishment Clause. If, however, the legislator were to vote for the bill on the basis of a prediction that the resulting speech would be religious in character, then the legislator would have a religious purpose. That would present a problem under the Establishment Clause. It is, moreover, entirely possible that this religious purpose might exist even absent a religious motive, as would be the case if the legislator's only reason for favoring religious speech was a belief that it would tend to produce cooperative behavior and so reduce the crime rate. It is the latter, not the former, kind of religious intention that is at issue here. As such, the Court's analysis of Lemon's purpose requirement presupposes that having a religious purpose for enacting a statute becomes analogous to having a religious motive for enacting the statute whenever the statute confers some incidental benefit upon secular activity. With this I cannot agree.</w:t>
      </w:r>
    </w:p>
    <w:p w:rsidR="00A31137" w:rsidRPr="00A31137" w:rsidRDefault="00A31137" w:rsidP="00A31137">
      <w:r w:rsidRPr="00A31137">
        <w:t>1990, Board of Educ. v. Mergens, 496 U.S. 291</w:t>
      </w:r>
    </w:p>
    <w:p w:rsidR="00A31137" w:rsidRPr="00A31137" w:rsidRDefault="00A31137" w:rsidP="00A31137">
      <w:r w:rsidRPr="00A31137">
        <w:t>To survive scrutiny under the Lemon test, it is not enough that a statute's sponsors identify some secular goals allegedly served by the Act. We have held that a statute is unconstitutional if it "does not have a clearly secular purpose," Wallace v. Jaffree, 472 U.S. 38,  56, or if its "primary purpose was to…provide persuasive advantage to a particular religious doctrine." Edwards v. Aguillard, 482 U.S. 578,  592 (1987). A law requiring that the Ten Commandments be posted in school classrooms is not vindicated by the possibility that reading it would teach students about a "fundamental legal code," Stone v. Graham, 449 U.S. 39,  41 (1980), and a law requiring recitation of the Lord's Prayer is likewise not saved by assertions—true or not—that such a practice serves the</w:t>
      </w:r>
    </w:p>
    <w:p w:rsidR="00A31137" w:rsidRPr="00A31137" w:rsidRDefault="00A31137" w:rsidP="00A31137">
      <w:r w:rsidRPr="00A31137">
        <w:t>1990, Board of Educ. v. Mergens, 496 U.S. 291</w:t>
      </w:r>
    </w:p>
    <w:p w:rsidR="00A31137" w:rsidRPr="00A31137" w:rsidRDefault="00A31137" w:rsidP="00A31137">
      <w:r w:rsidRPr="00A31137">
        <w:t>promotion of moral values, the contradiction to the materialistic trends of our times, the perpetuation of our institutions and the teaching of literature.</w:t>
      </w:r>
    </w:p>
    <w:p w:rsidR="00A31137" w:rsidRPr="00A31137" w:rsidRDefault="00A31137" w:rsidP="00A31137">
      <w:r w:rsidRPr="00A31137">
        <w:t>1990, Board of Educ. v. Mergens, 496 U.S. 291</w:t>
      </w:r>
    </w:p>
    <w:p w:rsidR="00A31137" w:rsidRPr="00A31137" w:rsidRDefault="00A31137" w:rsidP="00A31137">
      <w:r w:rsidRPr="00A31137">
        <w:t>Abington School Dist. v. Schempp, 374 U.S. 203,  223 (1963).</w:t>
      </w:r>
    </w:p>
    <w:p w:rsidR="00A31137" w:rsidRPr="00A31137" w:rsidRDefault="00A31137" w:rsidP="00A31137">
      <w:r w:rsidRPr="00A31137">
        <w:t>1990, Board of Educ. v. Mergens, 496 U.S. 291</w:t>
      </w:r>
    </w:p>
    <w:p w:rsidR="00A31137" w:rsidRPr="00A31137" w:rsidRDefault="00A31137" w:rsidP="00A31137">
      <w:r w:rsidRPr="00A31137">
        <w:t>In sum, the crucial question, under the purpose requirement of the Lemon test, is whether the challenged statute reflects a judgment that it would be desirable for people to be religious, or to adhere to a particular religion. The Court is correct to observe that it is irrelevant whether the legislature itself behaved religiously when it made (or abstained from making) that judgment. The Court's observation, however, is likewise irrelevant to the question before us. The Equal Access Act may nevertheless comply with the purpose requirement of the Lemon test by encompassing political and philosophic as well as religious speech, but that conclusion requires more explanation than the Court provides.</w:t>
      </w:r>
    </w:p>
    <w:p w:rsidR="00A31137" w:rsidRPr="00A31137" w:rsidRDefault="00A31137" w:rsidP="00A31137">
      <w:r w:rsidRPr="00A31137">
        <w:t>1990, Board of Educ. v. Mergens, 496 U.S. 291</w:t>
      </w:r>
    </w:p>
    <w:p w:rsidR="00A31137" w:rsidRPr="00A31137" w:rsidRDefault="00A31137" w:rsidP="00A31137">
      <w:r w:rsidRPr="00A31137">
        <w:t>22. Respondents have sought not merely access to school meeting rooms, but also "the same rights, privileges, terms, and conditions accorded to other clubs" at Westside. Brief for Respondents 1, and n. 2. In this respect, at least this case resembles Hazelwood School Dist. v. Kuhlmeier, 484 U.S. 260 (1988), more than it does Tinker, supra. Cf. Stewart, The First Amendment, The Public Schools, and the Inculcation of Community Values, 18 J.Law &amp; Ed. 23, 36 (1989) (stressing distinction between "cases…in which students seek only to prevent state interference with their communicative activities, and cases…in which students seek active assistance in the dissemination of their ideas").</w:t>
      </w:r>
    </w:p>
    <w:p w:rsidR="00A31137" w:rsidRPr="00A31137" w:rsidRDefault="00A31137" w:rsidP="00A31137">
      <w:r w:rsidRPr="00A31137">
        <w:t>1990, Board of Educ. v. Mergens, 496 U.S. 291</w:t>
      </w:r>
    </w:p>
    <w:p w:rsidR="00A31137" w:rsidRPr="00A31137" w:rsidRDefault="00A31137" w:rsidP="00A31137">
      <w:r w:rsidRPr="00A31137">
        <w:t>23. The quotation is from Congressman Frank, who spoke in support of the bill on the House floor. 130 Cong.Rec. 20933 (1984).</w:t>
      </w:r>
    </w:p>
    <w:p w:rsidR="00A31137" w:rsidRPr="00A31137" w:rsidRDefault="00A31137" w:rsidP="00A31137">
      <w:r w:rsidRPr="00A31137">
        <w:t>1990, Board of Educ. v. Mergens, 496 U.S. 291</w:t>
      </w:r>
    </w:p>
    <w:p w:rsidR="00A31137" w:rsidRPr="00A31137" w:rsidRDefault="00A31137" w:rsidP="00A31137">
      <w:r w:rsidRPr="00A31137">
        <w:t>24. The bill enjoyed "wide, bipartisan" support in both Houses, ante at  239, but it likewise provoked thoughtful, bipartisan opposition in each body. Senator Chafee was among those who opposed the bill; he warned his colleagues that passing it might secure religious access to the schools only at the price of educational quality:</w:t>
      </w:r>
    </w:p>
    <w:p w:rsidR="00A31137" w:rsidRPr="00A31137" w:rsidRDefault="00A31137" w:rsidP="00A31137">
      <w:r w:rsidRPr="00A31137">
        <w:t>1990, Board of Educ. v. Mergens, 496 U.S. 291</w:t>
      </w:r>
    </w:p>
    <w:p w:rsidR="00A31137" w:rsidRPr="00A31137" w:rsidRDefault="00A31137" w:rsidP="00A31137">
      <w:r w:rsidRPr="00A31137">
        <w:t>Legislation to encourage religious and political activity in the schools will do little to resolve our problems in education, but could lead to discord between those whose cooperation in the drive for excellence in education is more important than ever.</w:t>
      </w:r>
    </w:p>
    <w:p w:rsidR="00A31137" w:rsidRPr="00A31137" w:rsidRDefault="00A31137" w:rsidP="00A31137">
      <w:r w:rsidRPr="00A31137">
        <w:t>1990, Board of Educ. v. Mergens, 496 U.S. 291</w:t>
      </w:r>
    </w:p>
    <w:p w:rsidR="00A31137" w:rsidRPr="00A31137" w:rsidRDefault="00A31137" w:rsidP="00A31137">
      <w:r w:rsidRPr="00A31137">
        <w:t>130 Cong.Rec. 19248.</w:t>
      </w:r>
    </w:p>
    <w:p w:rsidR="00A31137" w:rsidRPr="00A31137" w:rsidRDefault="00A31137" w:rsidP="00A31137">
      <w:r w:rsidRPr="00A31137">
        <w:t>1990, Board of Educ. v. Mergens, 496 U.S. 291</w:t>
      </w:r>
    </w:p>
    <w:p w:rsidR="00A31137" w:rsidRPr="00A31137" w:rsidRDefault="00A31137" w:rsidP="00A31137">
      <w:r w:rsidRPr="00A31137">
        <w:t>25. Professor Laycock summarizes the circumstances of the Act's passage as follows:</w:t>
      </w:r>
    </w:p>
    <w:p w:rsidR="00A31137" w:rsidRPr="00A31137" w:rsidRDefault="00A31137" w:rsidP="00A31137">
      <w:r w:rsidRPr="00A31137">
        <w:t>1990, Board of Educ. v. Mergens, 496 U.S. 291</w:t>
      </w:r>
    </w:p>
    <w:p w:rsidR="00A31137" w:rsidRPr="00A31137" w:rsidRDefault="00A31137" w:rsidP="00A31137">
      <w:r w:rsidRPr="00A31137">
        <w:t>The bill was completely rewritten in a series of multilateral negotiations after it was passed by the House and reported out of committee in the Senate. Thus, the committee reports cast no light on the language actually adopted. Senator Hatfield offered the negotiated compromise as a floor amendment in the midst of the Senate's rush to adjourn for the Fourth of July. He repeatedly emphasized that as many as 1,000 people had been involved in the negotiations that produced the compromise version, and that not all the senators sponsoring the compromise agreed with everything in it. Senator Gorton accurately observed that too many cooks had spoiled the broth. But Hatfield had a large majority committed to his compromise, and he resisted any change that might have caused the deal to fall apart. The Hatfield compromise later passed the House under a special rule that precluded amendments and limited debate to one hour.</w:t>
      </w:r>
    </w:p>
    <w:p w:rsidR="00A31137" w:rsidRPr="00A31137" w:rsidRDefault="00A31137" w:rsidP="00A31137">
      <w:r w:rsidRPr="00A31137">
        <w:t>1990, Board of Educ. v. Mergens, 496 U.S. 291</w:t>
      </w:r>
    </w:p>
    <w:p w:rsidR="00A31137" w:rsidRPr="00A31137" w:rsidRDefault="00A31137" w:rsidP="00A31137">
      <w:r w:rsidRPr="00A31137">
        <w:t>Laycock, 81 Nw.U.L.Rev. at 37 (footnotes omitted).</w:t>
      </w:r>
    </w:p>
    <w:p w:rsidR="00A31137" w:rsidRPr="00A31137" w:rsidRDefault="00A31137" w:rsidP="00A31137">
      <w:r w:rsidRPr="00A31137">
        <w:t>1990, Board of Educ. v. Mergens, 496 U.S. 291</w:t>
      </w:r>
    </w:p>
    <w:p w:rsidR="00A31137" w:rsidRPr="00A31137" w:rsidRDefault="00A31137" w:rsidP="00A31137">
      <w:r w:rsidRPr="00A31137">
        <w:t>26. As a matter of pedagogy, delicate decisions about immersing young students in ideological cross-currents ought to be made by educators familiar with the experience and needs of the particular children affected, and with the culture of the community in which they are likely to live as adults. See Hazelwood School Dist. v. Kuhlmeier, 484 U.S. at 271-272. As a matter of politics, public schools are often dependent for financial support upon local communities. The schools may be better able to retain local favor if they are free to shape their policies in response to local preferences. See San Antonio Independent School Dist. v. Rodriguez, 411 U.S. 1, 49-53 (1973). As a matter of ethics, it is sensible to respect the desire of parents to guide the education of their children without surrendering control to distant politicians. See Meyer v. Nebraska, 262 U.S. 390, 399-403 (1923).</w:t>
      </w:r>
    </w:p>
    <w:p w:rsidR="00A31137" w:rsidRPr="00A31137" w:rsidRDefault="00A31137" w:rsidP="00A31137">
      <w:r w:rsidRPr="00A31137">
        <w:t>1990, Board of Educ. v. Mergens, 496 U.S. 291</w:t>
      </w:r>
    </w:p>
    <w:p w:rsidR="00A31137" w:rsidRPr="00A31137" w:rsidRDefault="00A31137" w:rsidP="00A31137">
      <w:r w:rsidRPr="00A31137">
        <w:t>27. See e.g., 130 Cong.Rec. 19217 (1984) ("I am fully committed to the proposition that schools and education in general must be under the guidance and control of local school districts local school boards, State school boards, and so forth. But where there is an action that is taken by such an official body, representing the public schools, which denies a right that is guaranteed under the Constitution, then the Congress of the United States, I think, has a duty and an obligation to step in and remedy that violated right") (statement of Sen. Hatfield). The Court does not suggest that Westside has deprived its students of any constitutionally guaranteed rights in this case. See also id. at 20941 ("The bill only applies if the school voluntarily creates a limited open forum. Everything is left to the local option. Everything is left to the local administrators and the local school board") (statement of Rep. Goodling).</w:t>
      </w:r>
    </w:p>
    <w:p w:rsidR="00A31137" w:rsidRPr="00A31137" w:rsidRDefault="00A31137" w:rsidP="00A31137">
      <w:r w:rsidRPr="00A31137">
        <w:t>United States v. Eichman, 1990</w:t>
      </w:r>
    </w:p>
    <w:p w:rsidR="00A31137" w:rsidRPr="00A31137" w:rsidRDefault="00A31137" w:rsidP="00A31137">
      <w:r w:rsidRPr="00A31137">
        <w:t>Title:</w:t>
      </w:r>
      <w:r w:rsidRPr="00A31137">
        <w:tab/>
        <w:t>United States v. Eichman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11, 1990</w:t>
      </w:r>
    </w:p>
    <w:p w:rsidR="00A31137" w:rsidRPr="00A31137" w:rsidRDefault="00A31137" w:rsidP="00A31137">
      <w:r w:rsidRPr="00A31137">
        <w:t>Source:</w:t>
      </w:r>
      <w:r w:rsidRPr="00A31137">
        <w:tab/>
        <w:t>496 U.S. 310</w:t>
      </w:r>
    </w:p>
    <w:p w:rsidR="00A31137" w:rsidRPr="00A31137" w:rsidRDefault="00A31137" w:rsidP="00A31137">
      <w:r w:rsidRPr="00A31137">
        <w:t>This case was argued May 14, 1990, and was decided June 11, 1990.</w:t>
      </w:r>
    </w:p>
    <w:p w:rsidR="00A31137" w:rsidRPr="00A31137" w:rsidRDefault="00A31137" w:rsidP="00A31137">
      <w:r w:rsidRPr="00A31137">
        <w:t>APPEAL FROM THE DISTRICT COURT FOR THE DISTRICT</w:t>
      </w:r>
    </w:p>
    <w:p w:rsidR="00A31137" w:rsidRPr="00A31137" w:rsidRDefault="00A31137" w:rsidP="00A31137">
      <w:r w:rsidRPr="00A31137">
        <w:t>OF COLUMBIA</w:t>
      </w:r>
    </w:p>
    <w:p w:rsidR="00A31137" w:rsidRPr="00A31137" w:rsidRDefault="00A31137" w:rsidP="00A31137">
      <w:r w:rsidRPr="00A31137">
        <w:t>Syllabus</w:t>
      </w:r>
    </w:p>
    <w:p w:rsidR="00A31137" w:rsidRPr="00A31137" w:rsidRDefault="00A31137" w:rsidP="00A31137">
      <w:r w:rsidRPr="00A31137">
        <w:t>1990, United States v. Eichman, 496 U.S. 310</w:t>
      </w:r>
    </w:p>
    <w:p w:rsidR="00A31137" w:rsidRPr="00A31137" w:rsidRDefault="00A31137" w:rsidP="00A31137">
      <w:r w:rsidRPr="00A31137">
        <w:t>After this Court held, in Texas v. Johnson, 491 U.S. 397, that a Texas statute criminalizing desecration of the United States flag in a way that the actor knew would seriously offend onlookers was unconstitutional as applied to an individual who had burned a flag during a political protest, Congress passed the Flag Protection Act of 1989. The Act criminalizes the conduct of anyone who "knowingly mutilates, defaces, physically defiles, burns, maintains on the floor or ground, or tramples upon" a United States flag, except conduct related to the disposal of a "worn or soiled" flag. Subsequently, appellees were prosecuted in the District Courts for violating the Act: some for knowingly burning several flags while protesting various aspects of the Government's policies and others, in a separate incident, for knowingly burning a flag while protesting the Act's passage. In each case, appellees moved to dismiss the charges on the ground that the Act violates the First Amendment. Both District Courts, following Johnson, supra, held the Act unconstitutional as applied, and dismissed the charges.</w:t>
      </w:r>
    </w:p>
    <w:p w:rsidR="00A31137" w:rsidRPr="00A31137" w:rsidRDefault="00A31137" w:rsidP="00A31137">
      <w:r w:rsidRPr="00A31137">
        <w:t>1990, United States v. Eichman, 496 U.S. 310</w:t>
      </w:r>
    </w:p>
    <w:p w:rsidR="00A31137" w:rsidRPr="00A31137" w:rsidRDefault="00A31137" w:rsidP="00A31137">
      <w:r w:rsidRPr="00A31137">
        <w:t>Held: Appellees' prosecution for burning a flag in violation of the Act is inconsistent with the First Amendment. The Government concedes, as it must, that appellees' flag-burning constituted expressive conduct, and this Court declines to reconsider its rejection in Johnson of the claim that flag-burning as a mode of expression does not enjoy the First Amendment's full protection. It is true that this Act, unlike the Texas law, contains no explicit content-based limitation on the scope of prohibited conduct. Nevertheless, it is clear that the Government's asserted interest in protecting the "physical integrity" of a privately owned flag in order to preserve the flag's status as a symbol of the Nation and certain national ideals is related to the suppression, and concerned with the content, of free expression. The mere destruction or disfigurement of a symbol's physical manifestation does not diminish or otherwise affect the symbol itself. The Government's interest is implicated only when a person's treatment of the flag communicates a message to others that is inconsistent with the identified ideals. The precise language of the Act's [496 U.S. 311] prohibitions confirms Congress' interest in the communicative impact of flag destruction, since each of the specified terms—with the possible exception of "burns"—unmistakably connotes disrespectful treatment of the flag and suggests a focus on those acts likely to damage the flag's symbolic value, and since the explicit exemption for disposal of "worn or soiled" flags protects certain acts traditionally associated with patriotic respect for the flag. Thus, the Act suffers from the same fundamental flaw as the Texas law, and its restriction on expression cannot "'be justified without reference to the content of the regulated speech,'" Boos v. Barry, 485 U.S. 312, 320. It must therefore be subjected to "the most exacting scrutiny," id. at 321, and, for the reasons stated in Johnson, supra, at 413-415, the Government's interest cannot justify its infringement on First Amendment rights. This conclusion will not be reassessed in light of Congress' recent recognition of a purported "national consensus" favoring a prohibition on flag-burning, since any suggestion that the Government's interest in suppressing speech becomes more weighty as popular opposition to that speech grows is foreign to the First Amendment. While flag desecration—like virulent ethnic and religious epithets, vulgar repudiations of the draft, and scurrilous caricatures—is deeply offensive to many, the Government may not prohibit the expression of an idea simply because society finds the idea itself offensive or disagreeable. Pp.  313-319.</w:t>
      </w:r>
    </w:p>
    <w:p w:rsidR="00A31137" w:rsidRPr="00A31137" w:rsidRDefault="00A31137" w:rsidP="00A31137">
      <w:r w:rsidRPr="00A31137">
        <w:t>1990, United States v. Eichman, 496 U.S. 311</w:t>
      </w:r>
    </w:p>
    <w:p w:rsidR="00A31137" w:rsidRPr="00A31137" w:rsidRDefault="00A31137" w:rsidP="00A31137">
      <w:r w:rsidRPr="00A31137">
        <w:t>No. 89-1433, 731 F.Supp. 1123 (DDC 1990); No. 89-1434, 731 F.Supp. 415, affirmed.</w:t>
      </w:r>
    </w:p>
    <w:p w:rsidR="00A31137" w:rsidRPr="00A31137" w:rsidRDefault="00A31137" w:rsidP="00A31137">
      <w:r w:rsidRPr="00A31137">
        <w:t>1990, United States v. Eichman, 496 U.S. 311</w:t>
      </w:r>
    </w:p>
    <w:p w:rsidR="00A31137" w:rsidRPr="00A31137" w:rsidRDefault="00A31137" w:rsidP="00A31137">
      <w:r w:rsidRPr="00A31137">
        <w:t xml:space="preserve">BRENNAN, J., delivered the opinion of the Court, in which MARSHALL, BLACKMUN, SCALIA, and KENNEDY, JJ., joined. STEVENS, J., filed a dissenting opinion, in which REHNQUIST, C.J., and WHITE and O'CONNOR, JJ., joined, post, p. 319. [496 U.S. 312] </w:t>
      </w:r>
    </w:p>
    <w:p w:rsidR="00A31137" w:rsidRPr="00A31137" w:rsidRDefault="00A31137" w:rsidP="00A31137">
      <w:r w:rsidRPr="00A31137">
        <w:t>BRENNAN, J., lead opinion</w:t>
      </w:r>
    </w:p>
    <w:p w:rsidR="00A31137" w:rsidRPr="00A31137" w:rsidRDefault="00A31137" w:rsidP="00A31137">
      <w:r w:rsidRPr="00A31137">
        <w:t>1990, United States v. Eichman, 496 U.S. 312</w:t>
      </w:r>
    </w:p>
    <w:p w:rsidR="00A31137" w:rsidRPr="00A31137" w:rsidRDefault="00A31137" w:rsidP="00A31137">
      <w:r w:rsidRPr="00A31137">
        <w:t>Justice BRENNAN delivered the opinion of the Court.</w:t>
      </w:r>
    </w:p>
    <w:p w:rsidR="00A31137" w:rsidRPr="00A31137" w:rsidRDefault="00A31137" w:rsidP="00A31137">
      <w:r w:rsidRPr="00A31137">
        <w:t>1990, United States v. Eichman, 496 U.S. 312</w:t>
      </w:r>
    </w:p>
    <w:p w:rsidR="00A31137" w:rsidRPr="00A31137" w:rsidRDefault="00A31137" w:rsidP="00A31137">
      <w:r w:rsidRPr="00A31137">
        <w:t>In these consolidated appeals, we consider whether appellees' prosecution for burning a United States flag in violation of the Flag Protection Act of 1989 is consistent with the First Amendment. Applying our recent decision in Texas v. Johnson, 491 U.S. 397 (1989), the District Courts held that the Act cannot constitutionally be applied to appellees. We affirm.</w:t>
      </w:r>
    </w:p>
    <w:p w:rsidR="00A31137" w:rsidRPr="00A31137" w:rsidRDefault="00A31137" w:rsidP="00A31137">
      <w:r w:rsidRPr="00A31137">
        <w:t>I</w:t>
      </w:r>
    </w:p>
    <w:p w:rsidR="00A31137" w:rsidRPr="00A31137" w:rsidRDefault="00A31137" w:rsidP="00A31137">
      <w:r w:rsidRPr="00A31137">
        <w:t>1990, United States v. Eichman, 496 U.S. 312</w:t>
      </w:r>
    </w:p>
    <w:p w:rsidR="00A31137" w:rsidRPr="00A31137" w:rsidRDefault="00A31137" w:rsidP="00A31137">
      <w:r w:rsidRPr="00A31137">
        <w:t>In No. 89-1433, the United States prosecuted certain appellees for violating the Flag Protection Act of 1989, 103 Stat. 777, 18 U.S.C.A. § 700 (Supp.1990), by knowingly setting fire to several United States flags on the steps of the United States Capitol while protesting various aspects of the Government's domestic and foreign policy. In No. 89-1434, the United States prosecuted other appellees for violating the Act by knowingly setting fire to a United States flag while protesting the Act's passage. In each case, the respective appellees moved to dismiss the flag-burning charge on the ground that the Act, both on its face and as applied, violates the First Amendment. Both the [496 U.S. 313] United States District Court for the Western District of Washington, 731 F.Supp. 415 (1990), and the United States District Court for the District of Columbia, 731 F.Supp. 1123 (1990), following Johnson, supra, held the Act unconstitutional as applied to appellees and dismissed the charges. 1 The United States appealed both decisions directly to this Court pursuant to 18 U.S.C.A. § 700(d) (Supp.1990). 2 We noted probable jurisdiction and consolidated the two cases. 494 U.S. 1063 (1990).</w:t>
      </w:r>
    </w:p>
    <w:p w:rsidR="00A31137" w:rsidRPr="00A31137" w:rsidRDefault="00A31137" w:rsidP="00A31137">
      <w:r w:rsidRPr="00A31137">
        <w:t>II</w:t>
      </w:r>
    </w:p>
    <w:p w:rsidR="00A31137" w:rsidRPr="00A31137" w:rsidRDefault="00A31137" w:rsidP="00A31137">
      <w:r w:rsidRPr="00A31137">
        <w:t>1990, United States v. Eichman, 496 U.S. 313</w:t>
      </w:r>
    </w:p>
    <w:p w:rsidR="00A31137" w:rsidRPr="00A31137" w:rsidRDefault="00A31137" w:rsidP="00A31137">
      <w:r w:rsidRPr="00A31137">
        <w:t>Last Term, in Johnson, we held that a Texas statute criminalizing the desecration of venerated objects, including the United States flag, was unconstitutional as applied to an individual who had set such a flag on fire during a political demonstration. The Texas statute provided that "[a] person commits an offense if he intentionally or knowingly desecrates…[a] national flag," where "desecrate" meant to "deface, damage, or otherwise physically mistreat in a way that the actor knows will seriously offend one or more persons likely to observe or discover his action." Tex. Penal Code Ann. § 42.09 (1989). We first held that Johnson's flag-burning was "conduct 'sufficiently imbued with elements of communication' to implicate the First Amendment.'" 491 U.S. at  406 (citation omitted). We next considered and rejected the State's contention that, under United States v. O'Brien, [496 U.S. 314] 391 U.S. 367 (1968), we ought to apply the deferential standard with which we have reviewed Government regulations of conduct containing both speech and nonspeech elements where "the governmental interest is unrelated to the suppression of free expression." Id. at 377. We reasoned that the State's asserted interest "in preserving the flag as a symbol of nationhood and national unity" was an interest "related 'to the suppression of free expression' within the meaning of O'Brien" because the State's concern with protecting the flag's symbolic meaning is implicated "only when a person's treatment of the flag communicates some message." Johnson, supra, at  410. We therefore subjected the statute to "'the most exacting scrutiny,'" id. at  412, quoting Boos v. Barry, 485 U.S. 312, 321 (1988), and we concluded that the State's asserted interests could not justify the infringement on the demonstrator's First Amendment rights.</w:t>
      </w:r>
    </w:p>
    <w:p w:rsidR="00A31137" w:rsidRPr="00A31137" w:rsidRDefault="00A31137" w:rsidP="00A31137">
      <w:r w:rsidRPr="00A31137">
        <w:t>1990, United States v. Eichman, 496 U.S. 314</w:t>
      </w:r>
    </w:p>
    <w:p w:rsidR="00A31137" w:rsidRPr="00A31137" w:rsidRDefault="00A31137" w:rsidP="00A31137">
      <w:r w:rsidRPr="00A31137">
        <w:t>After our decision in Johnson, Congress passed the Flag Protection Act of 1989. 3 The Act provides in relevant part:</w:t>
      </w:r>
    </w:p>
    <w:p w:rsidR="00A31137" w:rsidRPr="00A31137" w:rsidRDefault="00A31137" w:rsidP="00A31137">
      <w:r w:rsidRPr="00A31137">
        <w:t>1990, United States v. Eichman, 496 U.S. 314</w:t>
      </w:r>
    </w:p>
    <w:p w:rsidR="00A31137" w:rsidRPr="00A31137" w:rsidRDefault="00A31137" w:rsidP="00A31137">
      <w:r w:rsidRPr="00A31137">
        <w:t>(a)(1) Whoever knowingly mutilates, defaces, physically defiles, burns, maintains on the floor or ground, or tramples upon any flag of the United States shall be fined under this title or imprisoned for not more than one year, or both.</w:t>
      </w:r>
    </w:p>
    <w:p w:rsidR="00A31137" w:rsidRPr="00A31137" w:rsidRDefault="00A31137" w:rsidP="00A31137">
      <w:r w:rsidRPr="00A31137">
        <w:t>1990, United States v. Eichman, 496 U.S. 314</w:t>
      </w:r>
    </w:p>
    <w:p w:rsidR="00A31137" w:rsidRPr="00A31137" w:rsidRDefault="00A31137" w:rsidP="00A31137">
      <w:r w:rsidRPr="00A31137">
        <w:t>(2) This subsection does not prohibit any conduct consisting of the disposal of a flag when it has become worn or soiled.</w:t>
      </w:r>
    </w:p>
    <w:p w:rsidR="00A31137" w:rsidRPr="00A31137" w:rsidRDefault="00A31137" w:rsidP="00A31137">
      <w:r w:rsidRPr="00A31137">
        <w:t>1990, United States v. Eichman, 496 U.S. 314</w:t>
      </w:r>
    </w:p>
    <w:p w:rsidR="00A31137" w:rsidRPr="00A31137" w:rsidRDefault="00A31137" w:rsidP="00A31137">
      <w:r w:rsidRPr="00A31137">
        <w:t>(b) As used in this section, the term "flag of the United States" means any flag of the United States, or any part thereof, made of any substance, of any size, in a form that is commonly displayed.</w:t>
      </w:r>
    </w:p>
    <w:p w:rsidR="00A31137" w:rsidRPr="00A31137" w:rsidRDefault="00A31137" w:rsidP="00A31137">
      <w:r w:rsidRPr="00A31137">
        <w:t>1990, United States v. Eichman, 496 U.S. 314</w:t>
      </w:r>
    </w:p>
    <w:p w:rsidR="00A31137" w:rsidRPr="00A31137" w:rsidRDefault="00A31137" w:rsidP="00A31137">
      <w:r w:rsidRPr="00A31137">
        <w:t xml:space="preserve">18 U.S.C.A. § 700 (1988 ed., Supp. I). [496 U.S. 315] </w:t>
      </w:r>
    </w:p>
    <w:p w:rsidR="00A31137" w:rsidRPr="00A31137" w:rsidRDefault="00A31137" w:rsidP="00A31137">
      <w:r w:rsidRPr="00A31137">
        <w:t>1990, United States v. Eichman, 496 U.S. 315</w:t>
      </w:r>
    </w:p>
    <w:p w:rsidR="00A31137" w:rsidRPr="00A31137" w:rsidRDefault="00A31137" w:rsidP="00A31137">
      <w:r w:rsidRPr="00A31137">
        <w:t>The Government concedes in this case, as it must, that appellees' flag-burning constituted expressive conduct, Brief for United States 28; see Johnson, supra, at 405-406, but invites us to reconsider our rejection in Johnson of the claim that flag-burning as a mode of expression, like obscenity or "fighting words," does not enjoy the full protection of the First Amendment. Cf. Chaplinsky v. New Hampshire, 315 U.S. 568,  572 (1942). This we decline to do. 4 The only remaining question is whether the Flag Protection Act is sufficiently distinct from the Texas statute that it may constitutionally be applied to proscribe appellees' expressive conduct.</w:t>
      </w:r>
    </w:p>
    <w:p w:rsidR="00A31137" w:rsidRPr="00A31137" w:rsidRDefault="00A31137" w:rsidP="00A31137">
      <w:r w:rsidRPr="00A31137">
        <w:t>1990, United States v. Eichman, 496 U.S. 315</w:t>
      </w:r>
    </w:p>
    <w:p w:rsidR="00A31137" w:rsidRPr="00A31137" w:rsidRDefault="00A31137" w:rsidP="00A31137">
      <w:r w:rsidRPr="00A31137">
        <w:t>The Government contends that the Flag Protection Act is constitutional because, unlike the statute addressed in Johnson, the Act does not target expressive conduct on the basis of the content of its message. The Government asserts an interest in "protect[ing] the physical integrity of the flag under all circumstances" in order to safeguard the flag's identity "'as the unique and unalloyed symbol of the Nation.'" Brief for United States 28, 29. The Act proscribes conduct (other than disposal) that damages or mistreats a flag, without regard to the actor's motive, his intended message, or the likely effects of his conduct on onlookers. By contrast, the Texas statute expressly prohibited only those acts of physical flag desecration "that the actor knows will seriously offend" onlookers, and the former federal statute prohibited only those acts of desecration that "cas[t] contempt upon" the flag.</w:t>
      </w:r>
    </w:p>
    <w:p w:rsidR="00A31137" w:rsidRPr="00A31137" w:rsidRDefault="00A31137" w:rsidP="00A31137">
      <w:r w:rsidRPr="00A31137">
        <w:t>1990, United States v. Eichman, 496 U.S. 315</w:t>
      </w:r>
    </w:p>
    <w:p w:rsidR="00A31137" w:rsidRPr="00A31137" w:rsidRDefault="00A31137" w:rsidP="00A31137">
      <w:r w:rsidRPr="00A31137">
        <w:t xml:space="preserve">Although the Flag Protection Act contains no explicit content-based limitation on the scope of prohibited conduct, it is nevertheless clear that the Government's asserted interest is "related 'to the suppression of free expression,'" 491 U.S. at  410, and concerned with the content of such expression. The Government's interest in protecting the "physical integrity" [496 U.S. 316] of a privately owned flag 5 rests upon a perceived need to preserve the flag's status as a symbol of our Nation and certain national ideals. But the mere destruction or disfigurement of a particular physical manifestation of the symbol, without more, does not diminish or otherwise affect the symbol itself in any way. For example, the secret destruction of a flag in one's own basement would not threaten the flag's recognized meaning. Rather, the Government's desire to preserve the flag as a symbol for certain national ideals is implicated "only when a person's treatment of the flag communicates [a] message" to others that is inconsistent with those ideals. 6 Ibid. [496 U.S. 317] </w:t>
      </w:r>
    </w:p>
    <w:p w:rsidR="00A31137" w:rsidRPr="00A31137" w:rsidRDefault="00A31137" w:rsidP="00A31137">
      <w:r w:rsidRPr="00A31137">
        <w:t>1990, United States v. Eichman, 496 U.S. 317</w:t>
      </w:r>
    </w:p>
    <w:p w:rsidR="00A31137" w:rsidRPr="00A31137" w:rsidRDefault="00A31137" w:rsidP="00A31137">
      <w:r w:rsidRPr="00A31137">
        <w:t>Moreover, the precise language of the Act's prohibitions confirms Congress' interest in the communicative impact of flag destruction. The Act criminalizes the conduct of anyone who "knowingly mutilates, defaces, physically defiles, burns, maintains on the floor or ground, or tramples upon any flag." 18 U.S.C.A. § 700(a)(1) (Supp.1990). Each of the specified terms—with the possible exception of "burns"—unmistakably connotes disrespectful treatment of the flag and suggests a focus on those acts likely to damage the flag's symbolic value. 7 And the explicit exemption in § 700(a)(2) for disposal of "worn or soiled" flags protects certain acts traditionally associated with patriotic respect for the flag. 8</w:t>
      </w:r>
    </w:p>
    <w:p w:rsidR="00A31137" w:rsidRPr="00A31137" w:rsidRDefault="00A31137" w:rsidP="00A31137">
      <w:r w:rsidRPr="00A31137">
        <w:t>1990, United States v. Eichman, 496 U.S. 317</w:t>
      </w:r>
    </w:p>
    <w:p w:rsidR="00A31137" w:rsidRPr="00A31137" w:rsidRDefault="00A31137" w:rsidP="00A31137">
      <w:r w:rsidRPr="00A31137">
        <w:t>As we explained in Johnson, supra, at 416-417:</w:t>
      </w:r>
    </w:p>
    <w:p w:rsidR="00A31137" w:rsidRPr="00A31137" w:rsidRDefault="00A31137" w:rsidP="00A31137">
      <w:r w:rsidRPr="00A31137">
        <w:t>1990, United States v. Eichman, 496 U.S. 317</w:t>
      </w:r>
    </w:p>
    <w:p w:rsidR="00A31137" w:rsidRPr="00A31137" w:rsidRDefault="00A31137" w:rsidP="00A31137">
      <w:r w:rsidRPr="00A31137">
        <w:t>[I]f we were to hold that a State may forbid flag-burning wherever it is likely to endanger the flag's symbolic role, but allow it wherever burning a flag promotes that role—as where, for example, a person ceremoniously burns a dirty flag—we would be…permitting a State to 'prescribe what shall be orthodox' by saying that one may burn the flag to convey one's attitude toward it and its referents only if one does not endanger the flag's representation of nationhood and national unity.</w:t>
      </w:r>
    </w:p>
    <w:p w:rsidR="00A31137" w:rsidRPr="00A31137" w:rsidRDefault="00A31137" w:rsidP="00A31137">
      <w:r w:rsidRPr="00A31137">
        <w:t>1990, United States v. Eichman, 496 U.S. 317</w:t>
      </w:r>
    </w:p>
    <w:p w:rsidR="00A31137" w:rsidRPr="00A31137" w:rsidRDefault="00A31137" w:rsidP="00A31137">
      <w:r w:rsidRPr="00A31137">
        <w:t>Although Congress cast the Flag Protection Act in somewhat broader terms than the Texas statute at issue in Johnson, the Act still suffers from the same fundamental flaw: it suppresses expression out of concern for its likely communicative impact. Despite the Act's wider scope, [496 U.S. 318] its restriction on expression cannot be "'justified without reference to the content of the regulated speech.'" Boos, 485 U.S. at 320 (citation omitted); see Spence v. Washington, 418 U.S. 405,  414, nn. 8, 9 (1974) (State's interest in protecting flag's symbolic value is directly related to suppression of expression and thus O'Brien test is inapplicable even where statute declared "simply…that nothing may be affixed to or superimposed on a United States flag"). The Act therefore must be subjected to "the most exacting scrutiny," Boos, supra, at 321 and for the reasons stated in Johnson, supra, at 413-415, the Government's interest cannot justify its infringement on First Amendment rights. We decline the Government's invitation to reassess this conclusion in light of Congress' recent recognition of a purported "national consensus" favoring a prohibition on flag-burning. Brief for United States 27. Even assuming such a consensus exists, any suggestion that the Government's interest in suppressing speech becomes more weighty as popular opposition to that speech grows is foreign to the First Amendment.</w:t>
      </w:r>
    </w:p>
    <w:p w:rsidR="00A31137" w:rsidRPr="00A31137" w:rsidRDefault="00A31137" w:rsidP="00A31137">
      <w:r w:rsidRPr="00A31137">
        <w:t>III</w:t>
      </w:r>
    </w:p>
    <w:p w:rsidR="00A31137" w:rsidRPr="00A31137" w:rsidRDefault="00A31137" w:rsidP="00A31137">
      <w:r w:rsidRPr="00A31137">
        <w:t>1990, United States v. Eichman, 496 U.S. 318</w:t>
      </w:r>
    </w:p>
    <w:p w:rsidR="00A31137" w:rsidRPr="00A31137" w:rsidRDefault="00A31137" w:rsidP="00A31137">
      <w:r w:rsidRPr="00A31137">
        <w:t>"'National unity as an end which officials may foster by persuasion and example is not in question.'" Johnson, supra, at  418, quoting West Virginia Board of Education v. Barnette, 319 U.S. 624,  640 (1943). Government may create national symbols, promote them, and encourage their respectful treatment. 9 But the Flag Protection Act goes well beyond this by criminally proscribing expressive conduct because of its likely communicative impact.</w:t>
      </w:r>
    </w:p>
    <w:p w:rsidR="00A31137" w:rsidRPr="00A31137" w:rsidRDefault="00A31137" w:rsidP="00A31137">
      <w:r w:rsidRPr="00A31137">
        <w:t>1990, United States v. Eichman, 496 U.S. 318</w:t>
      </w:r>
    </w:p>
    <w:p w:rsidR="00A31137" w:rsidRPr="00A31137" w:rsidRDefault="00A31137" w:rsidP="00A31137">
      <w:r w:rsidRPr="00A31137">
        <w:t>We are aware that desecration of the flag is deeply offensive to many. But the same might be said, for example, of virulent ethnic and religious epithets, see Terminiello v. Chicago, 337 U.S. 1 (1949), vulgar repudiations of the draft, see [496 U.S. 319] Cohen v. California, 403 U.S. 15 (1971), and scurrilous caricatures, see Hustler Magazine, Inc. v. Falwell, 485 U.S. 46 (1988).</w:t>
      </w:r>
    </w:p>
    <w:p w:rsidR="00A31137" w:rsidRPr="00A31137" w:rsidRDefault="00A31137" w:rsidP="00A31137">
      <w:r w:rsidRPr="00A31137">
        <w:t>1990, United States v. Eichman, 496 U.S. 319</w:t>
      </w:r>
    </w:p>
    <w:p w:rsidR="00A31137" w:rsidRPr="00A31137" w:rsidRDefault="00A31137" w:rsidP="00A31137">
      <w:r w:rsidRPr="00A31137">
        <w:t>If there is a bedrock principle underlying the First Amendment, it is that the Government may not prohibit the expression of an idea simply because society finds the idea itself offensive or disagreeable.</w:t>
      </w:r>
    </w:p>
    <w:p w:rsidR="00A31137" w:rsidRPr="00A31137" w:rsidRDefault="00A31137" w:rsidP="00A31137">
      <w:r w:rsidRPr="00A31137">
        <w:t>1990, United States v. Eichman, 496 U.S. 319</w:t>
      </w:r>
    </w:p>
    <w:p w:rsidR="00A31137" w:rsidRPr="00A31137" w:rsidRDefault="00A31137" w:rsidP="00A31137">
      <w:r w:rsidRPr="00A31137">
        <w:t>Johnson, supra, at  414. Punishing desecration of the flag dilutes the very freedom that makes this emblem so revered, and worth revering. The judgments are</w:t>
      </w:r>
    </w:p>
    <w:p w:rsidR="00A31137" w:rsidRPr="00A31137" w:rsidRDefault="00A31137" w:rsidP="00A31137">
      <w:r w:rsidRPr="00A31137">
        <w:t>1990, United States v. Eichman, 496 U.S. 319</w:t>
      </w:r>
    </w:p>
    <w:p w:rsidR="00A31137" w:rsidRPr="00A31137" w:rsidRDefault="00A31137" w:rsidP="00A31137">
      <w:r w:rsidRPr="00A31137">
        <w:t>Affirmed.</w:t>
      </w:r>
    </w:p>
    <w:p w:rsidR="00A31137" w:rsidRPr="00A31137" w:rsidRDefault="00A31137" w:rsidP="00A31137">
      <w:r w:rsidRPr="00A31137">
        <w:t>STEVENS, J., dissenting</w:t>
      </w:r>
    </w:p>
    <w:p w:rsidR="00A31137" w:rsidRPr="00A31137" w:rsidRDefault="00A31137" w:rsidP="00A31137">
      <w:r w:rsidRPr="00A31137">
        <w:t>1990, United States v. Eichman, 496 U.S. 319</w:t>
      </w:r>
    </w:p>
    <w:p w:rsidR="00A31137" w:rsidRPr="00A31137" w:rsidRDefault="00A31137" w:rsidP="00A31137">
      <w:r w:rsidRPr="00A31137">
        <w:t>Justice STEVENS, with whom THE CHIEF JUSTICE, Justice WHITE and Justice O'CONNOR join, dissenting.</w:t>
      </w:r>
    </w:p>
    <w:p w:rsidR="00A31137" w:rsidRPr="00A31137" w:rsidRDefault="00A31137" w:rsidP="00A31137">
      <w:r w:rsidRPr="00A31137">
        <w:t>1990, United States v. Eichman, 496 U.S. 319</w:t>
      </w:r>
    </w:p>
    <w:p w:rsidR="00A31137" w:rsidRPr="00A31137" w:rsidRDefault="00A31137" w:rsidP="00A31137">
      <w:r w:rsidRPr="00A31137">
        <w:t>The Court's opinion ends where proper analysis of the issue should begin. Of course "the Government may not prohibit the expression of an idea simply because society finds the idea itself offensive or disagreeable." Ante this page. None of us disagrees with that proposition. But it is equally well settled that certain methods of expression may be prohibited if (a) the prohibition is supported by a legitimate societal interest that is unrelated to suppression of the ideas the speaker desires to express; (b) the prohibition does not entail any interference with the speaker's freedom to express those ideas by other means; and (c) the interest in allowing the speaker complete freedom of choice among alternative methods of expression is less important than the societal interest supporting the prohibition.</w:t>
      </w:r>
    </w:p>
    <w:p w:rsidR="00A31137" w:rsidRPr="00A31137" w:rsidRDefault="00A31137" w:rsidP="00A31137">
      <w:r w:rsidRPr="00A31137">
        <w:t>1990, United States v. Eichman, 496 U.S. 319</w:t>
      </w:r>
    </w:p>
    <w:p w:rsidR="00A31137" w:rsidRPr="00A31137" w:rsidRDefault="00A31137" w:rsidP="00A31137">
      <w:r w:rsidRPr="00A31137">
        <w:t>Contrary to the position taken by counsel for the flag burners in Texas v. Johnson, 491 U.S. 397 (1989), it is now conceded that the Federal Government has a legitimate interest in protecting the symbolic value of the American flag. Obviously that value cannot be measured, or even described, with any precision. It has at least these two components: in times of national crisis, it inspires and motivates the average citizen to make personal sacrifices in order to achieve societal goals of overriding importance; at all times, it serves as a reminder [496 U.S. 320] of the paramount importance of pursuing the ideals that characterize our society.</w:t>
      </w:r>
    </w:p>
    <w:p w:rsidR="00A31137" w:rsidRPr="00A31137" w:rsidRDefault="00A31137" w:rsidP="00A31137">
      <w:r w:rsidRPr="00A31137">
        <w:t>1990, United States v. Eichman, 496 U.S. 320</w:t>
      </w:r>
    </w:p>
    <w:p w:rsidR="00A31137" w:rsidRPr="00A31137" w:rsidRDefault="00A31137" w:rsidP="00A31137">
      <w:r w:rsidRPr="00A31137">
        <w:t>The first question the Court should consider is whether the interest in preserving the value of that symbol is unrelated to suppression of the ideas that flag burners are trying to express. In my judgment, the answer depends, at least in part, on what those ideas are. A flag burner might intend various messages. The flag burner may wish simply to convey hatred, contempt, or sheer opposition directed at the United States. This might be the case if the flag were burned by an enemy during time of war. A flag burner may also, or instead, seek to convey the depth of his personal conviction about some issue by willingly provoking the use of force against himself. In so doing, he says that "my disagreement with certain policies is so strong that I am prepared to risk physical harm (and perhaps imprisonment) in order to call attention to my views." This second possibility apparently describes the expressive conduct of the flag burners in these cases. Like the protesters who dramatized their opposition to our engagement in Vietnam by publicly burning their draft cards—and who were punished for doing so—their expressive conduct is consistent with affection for this country and respect for the ideals that the flag symbolizes. There is at least one further possibility: a flag burner may intend to make an accusation against the integrity of the American people who disagree with him. By burning the embodiment of America's collective commitment to freedom and equality, the flag burner charges that the majority has forsaken that commitment—that continued respect for the flag is nothing more than hypocrisy. Such a charge may be made even if the flag burner loves the country and zealously pursues the ideals that the country claims to honor.</w:t>
      </w:r>
    </w:p>
    <w:p w:rsidR="00A31137" w:rsidRPr="00A31137" w:rsidRDefault="00A31137" w:rsidP="00A31137">
      <w:r w:rsidRPr="00A31137">
        <w:t>1990, United States v. Eichman, 496 U.S. 320</w:t>
      </w:r>
    </w:p>
    <w:p w:rsidR="00A31137" w:rsidRPr="00A31137" w:rsidRDefault="00A31137" w:rsidP="00A31137">
      <w:r w:rsidRPr="00A31137">
        <w:t>The idea expressed by a particular act of flag burning is necessarily dependent on the temporal and political context in which it occurs. In the 1960's, it may have expressed opposition to the country's Vietnam policies, or at least to the [496 U.S. 321] compulsory draft. In Texas v. Johnson, it apparently expressed opposition to the platform of the Republican Party. In these cases, the respondents have explained that it expressed their opposition to racial discrimination, to the failure to care for the homeless, and of course to statutory prohibitions of flag burning. In any of these examples, the protestors may wish both to say that their own position is the only one faithful to liberty and equality and to accuse their fellow citizens of hypocritical indifference to—or even of a selfish departure from—the ideals which the flag is supposed to symbolize. The ideas expressed by flag burners are thus various, and often ambiguous.</w:t>
      </w:r>
    </w:p>
    <w:p w:rsidR="00A31137" w:rsidRPr="00A31137" w:rsidRDefault="00A31137" w:rsidP="00A31137">
      <w:r w:rsidRPr="00A31137">
        <w:t>1990, United States v. Eichman, 496 U.S. 321</w:t>
      </w:r>
    </w:p>
    <w:p w:rsidR="00A31137" w:rsidRPr="00A31137" w:rsidRDefault="00A31137" w:rsidP="00A31137">
      <w:r w:rsidRPr="00A31137">
        <w:t>The Government's legitimate interest in preserving the symbolic value of the flag is, however, essentially the same regardless of which of many different ideas may have motivated a particular act of flag burning. As I explained in my dissent in Johnson, 491 U.S. at 436-439, the flag uniquely symbolizes the ideas of liberty, equality, and tolerance—ideas that Americans have passionately defended and debated throughout our history. The flag embodies the spirit of our national commitment to those ideals. The message thereby transmitted does not take a stand upon our disagreements, except to say that those disagreements are best regarded as competing interpretations of shared ideals. It does not judge particular policies, except to say that they command respect when they are enlightened by the spirit of liberty and equality. To the world, the flag is our promise that we will continue to strive for these ideals. To us, the flag is a reminder both that the struggle for liberty and equality is unceasing and that our obligation of tolerance and respect for all of our fellow citizens encompasses those who disagree with us—indeed, even those whose ideas are disagreeable or offensive.</w:t>
      </w:r>
    </w:p>
    <w:p w:rsidR="00A31137" w:rsidRPr="00A31137" w:rsidRDefault="00A31137" w:rsidP="00A31137">
      <w:r w:rsidRPr="00A31137">
        <w:t>1990, United States v. Eichman, 496 U.S. 321</w:t>
      </w:r>
    </w:p>
    <w:p w:rsidR="00A31137" w:rsidRPr="00A31137" w:rsidRDefault="00A31137" w:rsidP="00A31137">
      <w:r w:rsidRPr="00A31137">
        <w:t>Thus, the Government may—indeed, it should—protect the symbolic value of the flag without regard to the specific content of the flag burners' speech. The prosecution in this [496 U.S. 322] case does not depend upon the object of the defendants' protest. It is, moreover, equally clear that the prohibition does not entail any interference with the speaker's freedom to express his or her ideas by other means. It may well be true that other means of expression may be less effective in drawing attention to those ideas, but that is not itself a sufficient reason for immunizing flag burning. Presumably a gigantic fireworks display or a parade of nude models in a public park might draw even more attention to a controversial message, but such methods of expression are nevertheless subject to regulation.</w:t>
      </w:r>
    </w:p>
    <w:p w:rsidR="00A31137" w:rsidRPr="00A31137" w:rsidRDefault="00A31137" w:rsidP="00A31137">
      <w:r w:rsidRPr="00A31137">
        <w:t>1990, United States v. Eichman, 496 U.S. 322</w:t>
      </w:r>
    </w:p>
    <w:p w:rsidR="00A31137" w:rsidRPr="00A31137" w:rsidRDefault="00A31137" w:rsidP="00A31137">
      <w:r w:rsidRPr="00A31137">
        <w:t>This case therefore comes down to a question of judgment. Does the admittedly important interest in allowing every speaker to choose the method of expressing his or her ideas that he or she deems most effective and appropriate outweigh the societal interest in preserving the symbolic value of the flag? This question, in turn, involves three different judgments: (1) The importance of the individual interest in selecting the preferred means of communication; (2) the importance of the national symbol; and (3) the question whether tolerance of flag burning will enhance or tarnish that value. The opinions in Texas v. Johnson demonstrate that reasonable judges may differ with respect to each of these judgments.</w:t>
      </w:r>
    </w:p>
    <w:p w:rsidR="00A31137" w:rsidRPr="00A31137" w:rsidRDefault="00A31137" w:rsidP="00A31137">
      <w:r w:rsidRPr="00A31137">
        <w:t>1990, United States v. Eichman, 496 U.S. 322</w:t>
      </w:r>
    </w:p>
    <w:p w:rsidR="00A31137" w:rsidRPr="00A31137" w:rsidRDefault="00A31137" w:rsidP="00A31137">
      <w:r w:rsidRPr="00A31137">
        <w:t xml:space="preserve">The individual interest is unquestionably a matter of great importance. Indeed, it is one of the critical components of the idea of liberty that the flag itself is intended to symbolize. Moreover, it is buttressed by the societal interest in being alerted to the need for thoughtful response to voices that might otherwise go unheard. The freedom of expression protected by the First Amendment embraces not only the freedom to communicate particular ideas but also the right to communicate them effectively. That right, however, is not absolute—the communicative value of a well-placed bomb in the Capitol does not entitle it to the protection of the First Amendment. [496 U.S. 323] </w:t>
      </w:r>
    </w:p>
    <w:p w:rsidR="00A31137" w:rsidRPr="00A31137" w:rsidRDefault="00A31137" w:rsidP="00A31137">
      <w:r w:rsidRPr="00A31137">
        <w:t>1990, United States v. Eichman, 496 U.S. 323</w:t>
      </w:r>
    </w:p>
    <w:p w:rsidR="00A31137" w:rsidRPr="00A31137" w:rsidRDefault="00A31137" w:rsidP="00A31137">
      <w:r w:rsidRPr="00A31137">
        <w:t>Burning a flag is not, of course, equivalent to burning a public building. Assuming that the protester is burning his own flag, it causes no physical harm to other persons or to their property. The impact is purely symbolic, and it is apparent that some thoughtful persons believe that impact, far from depreciating the value of the symbol, will actually enhance its meaning. I most respectfully disagree. Indeed, what makes this case particularly difficult for me is what I regard as the damage to the symbol that has already occurred as a result of this Court's decision to place its stamp of approval on the act of flag burning. A formerly dramatic expression of protest is now rather commonplace. In today's marketplace of ideas, the public burning of a Vietnam draft card is probably less provocative than lighting a cigarette. Tomorrow, flag burning may produce a similar reaction. There is surely a direct relationship between the communicative value of the act of flag burning and the symbolic value of the object being burned.</w:t>
      </w:r>
    </w:p>
    <w:p w:rsidR="00A31137" w:rsidRPr="00A31137" w:rsidRDefault="00A31137" w:rsidP="00A31137">
      <w:r w:rsidRPr="00A31137">
        <w:t>1990, United States v. Eichman, 496 U.S. 323</w:t>
      </w:r>
    </w:p>
    <w:p w:rsidR="00A31137" w:rsidRPr="00A31137" w:rsidRDefault="00A31137" w:rsidP="00A31137">
      <w:r w:rsidRPr="00A31137">
        <w:t>The symbolic value of the American flag is not the same today as it was yesterday. Events during the last three decades have altered the country's image in the eyes of numerous Americans, and some now have difficulty understanding the message that the flag conveyed to their parents and grandparents—whether born abroad and naturalized or native born. Moreover, the integrity of the symbol has been compromised by those leaders who seem to advocate compulsory worship of the flag even by individuals whom it offends, or who seem to manipulate the symbol of national purpose into a pretext for partisan disputes about meaner ends. And, as I have suggested, the residual value of the symbol after this Court's decision in Texas v. Johnson is surely not the same as it was a year ago.</w:t>
      </w:r>
    </w:p>
    <w:p w:rsidR="00A31137" w:rsidRPr="00A31137" w:rsidRDefault="00A31137" w:rsidP="00A31137">
      <w:r w:rsidRPr="00A31137">
        <w:t>1990, United States v. Eichman, 496 U.S. 323</w:t>
      </w:r>
    </w:p>
    <w:p w:rsidR="00A31137" w:rsidRPr="00A31137" w:rsidRDefault="00A31137" w:rsidP="00A31137">
      <w:r w:rsidRPr="00A31137">
        <w:t>Given all these considerations, plus the fact that the Court today is really doing nothing more than reconfirming what it has already decided, it might be appropriate to defer to the judgment of the majority and merely apply the doctrine of [496 U.S. 324] stare decisis to the case at hand. That action, however, would not honestly reflect my considered judgment concerning the relative importance of the conflicting interests that are at stake. I remain persuaded that the considerations identified in my opinion in Texas v. Johnson are of controlling importance in this case as well.</w:t>
      </w:r>
    </w:p>
    <w:p w:rsidR="00A31137" w:rsidRPr="00A31137" w:rsidRDefault="00A31137" w:rsidP="00A31137">
      <w:r w:rsidRPr="00A31137">
        <w:t>1990, United States v. Eichman, 496 U.S. 324</w:t>
      </w:r>
    </w:p>
    <w:p w:rsidR="00A31137" w:rsidRPr="00A31137" w:rsidRDefault="00A31137" w:rsidP="00A31137">
      <w:r w:rsidRPr="00A31137">
        <w:t>Accordingly, I respectfully dissent.</w:t>
      </w:r>
    </w:p>
    <w:p w:rsidR="00A31137" w:rsidRPr="00A31137" w:rsidRDefault="00A31137" w:rsidP="00A31137">
      <w:r w:rsidRPr="00A31137">
        <w:t>Footnotes</w:t>
      </w:r>
    </w:p>
    <w:p w:rsidR="00A31137" w:rsidRPr="00A31137" w:rsidRDefault="00A31137" w:rsidP="00A31137">
      <w:r w:rsidRPr="00A31137">
        <w:t>BRENNAN, J., lead opinion (Footnotes)</w:t>
      </w:r>
    </w:p>
    <w:p w:rsidR="00A31137" w:rsidRPr="00A31137" w:rsidRDefault="00A31137" w:rsidP="00A31137">
      <w:r w:rsidRPr="00A31137">
        <w:t>1990, United States v. Eichman, 496 U.S. 324</w:t>
      </w:r>
    </w:p>
    <w:p w:rsidR="00A31137" w:rsidRPr="00A31137" w:rsidRDefault="00A31137" w:rsidP="00A31137">
      <w:r w:rsidRPr="00A31137">
        <w:t>1. The Seattle appellees were also charged with causing willful injury to federal property in violation of 18 U.S.C. §§ 1361 and 1362. This charge remains pending before the District Court, and nothing in today's decision affects the constitutionality of this prosecution. See n. 5, infra.</w:t>
      </w:r>
    </w:p>
    <w:p w:rsidR="00A31137" w:rsidRPr="00A31137" w:rsidRDefault="00A31137" w:rsidP="00A31137">
      <w:r w:rsidRPr="00A31137">
        <w:t>1990, United States v. Eichman, 496 U.S. 324</w:t>
      </w:r>
    </w:p>
    <w:p w:rsidR="00A31137" w:rsidRPr="00A31137" w:rsidRDefault="00A31137" w:rsidP="00A31137">
      <w:r w:rsidRPr="00A31137">
        <w:t>2.</w:t>
      </w:r>
    </w:p>
    <w:p w:rsidR="00A31137" w:rsidRPr="00A31137" w:rsidRDefault="00A31137" w:rsidP="00A31137">
      <w:r w:rsidRPr="00A31137">
        <w:t>1990, United States v. Eichman, 496 U.S. 324</w:t>
      </w:r>
    </w:p>
    <w:p w:rsidR="00A31137" w:rsidRPr="00A31137" w:rsidRDefault="00A31137" w:rsidP="00A31137">
      <w:r w:rsidRPr="00A31137">
        <w:t>(1) An appeal may be taken directly to the Supreme Court of the United States from any interlocutory or final judgment, decree, or order issued by a United States district court ruling upon the constitutionality of subsection (a).</w:t>
      </w:r>
    </w:p>
    <w:p w:rsidR="00A31137" w:rsidRPr="00A31137" w:rsidRDefault="00A31137" w:rsidP="00A31137">
      <w:r w:rsidRPr="00A31137">
        <w:t>1990, United States v. Eichman, 496 U.S. 324</w:t>
      </w:r>
    </w:p>
    <w:p w:rsidR="00A31137" w:rsidRPr="00A31137" w:rsidRDefault="00A31137" w:rsidP="00A31137">
      <w:r w:rsidRPr="00A31137">
        <w:t>(2) The Supreme Court shall, if it has not previously ruled on the question, accept jurisdiction over the appeal and advance on the docket and expedite to the greatest extent possible.</w:t>
      </w:r>
    </w:p>
    <w:p w:rsidR="00A31137" w:rsidRPr="00A31137" w:rsidRDefault="00A31137" w:rsidP="00A31137">
      <w:r w:rsidRPr="00A31137">
        <w:t>1990, United States v. Eichman, 496 U.S. 324</w:t>
      </w:r>
    </w:p>
    <w:p w:rsidR="00A31137" w:rsidRPr="00A31137" w:rsidRDefault="00A31137" w:rsidP="00A31137">
      <w:r w:rsidRPr="00A31137">
        <w:t>18 U.S.C.A. § 700(d) (Supp.1990).</w:t>
      </w:r>
    </w:p>
    <w:p w:rsidR="00A31137" w:rsidRPr="00A31137" w:rsidRDefault="00A31137" w:rsidP="00A31137">
      <w:r w:rsidRPr="00A31137">
        <w:t>1990, United States v. Eichman, 496 U.S. 324</w:t>
      </w:r>
    </w:p>
    <w:p w:rsidR="00A31137" w:rsidRPr="00A31137" w:rsidRDefault="00A31137" w:rsidP="00A31137">
      <w:r w:rsidRPr="00A31137">
        <w:t>3. The Act replaced the then-existing federal flag burning statute, which Congress perceived might be unconstitutional in light of Johnson. Former 18 U.S.C. § 700(a) prohibited "knowingly cast[ing] contempt upon any flag of the United States by publicly mutilating, defacing, defiling, burning, or trampling upon it."</w:t>
      </w:r>
    </w:p>
    <w:p w:rsidR="00A31137" w:rsidRPr="00A31137" w:rsidRDefault="00A31137" w:rsidP="00A31137">
      <w:r w:rsidRPr="00A31137">
        <w:t>1990, United States v. Eichman, 496 U.S. 324</w:t>
      </w:r>
    </w:p>
    <w:p w:rsidR="00A31137" w:rsidRPr="00A31137" w:rsidRDefault="00A31137" w:rsidP="00A31137">
      <w:r w:rsidRPr="00A31137">
        <w:t>4. We deal here with concededly political speech, and have no occasion to pass on the validity of laws regulating commercial exploitation of the image of the United States flag. See Texas v. Johnson, 491 U.S. 397, 415-416, n. 10 (1989); cf. Halter v. Nebraska, 205 U.S. 34 (1907).</w:t>
      </w:r>
    </w:p>
    <w:p w:rsidR="00A31137" w:rsidRPr="00A31137" w:rsidRDefault="00A31137" w:rsidP="00A31137">
      <w:r w:rsidRPr="00A31137">
        <w:t>1990, United States v. Eichman, 496 U.S. 324</w:t>
      </w:r>
    </w:p>
    <w:p w:rsidR="00A31137" w:rsidRPr="00A31137" w:rsidRDefault="00A31137" w:rsidP="00A31137">
      <w:r w:rsidRPr="00A31137">
        <w:t>5. Today's decision does not affect the extent to which the Government's interest in protecting publicly owned flags might justify special measures on their behalf. See Spence v. Washington, 418 U.S. 405, 408-409 (1974); cf. Johnson, supra, at 412-413, n. 8.</w:t>
      </w:r>
    </w:p>
    <w:p w:rsidR="00A31137" w:rsidRPr="00A31137" w:rsidRDefault="00A31137" w:rsidP="00A31137">
      <w:r w:rsidRPr="00A31137">
        <w:t>1990, United States v. Eichman, 496 U.S. 324</w:t>
      </w:r>
    </w:p>
    <w:p w:rsidR="00A31137" w:rsidRPr="00A31137" w:rsidRDefault="00A31137" w:rsidP="00A31137">
      <w:r w:rsidRPr="00A31137">
        <w:t>6. Aside from the flag's association with particular ideals, at some irreducible level the flag is emblematic of the Nation as a sovereign entity. Appellant's amicus asserts that the Government has a legitimate non-speech-related interest in safeguarding this "eminently practical legal aspect of the flag, as an incident of sovereignty." Brief for the Speaker and the Leadership Group of the United States House of Representatives [as] Amicus Curiae 25. This interest has firm historical roots:</w:t>
      </w:r>
    </w:p>
    <w:p w:rsidR="00A31137" w:rsidRPr="00A31137" w:rsidRDefault="00A31137" w:rsidP="00A31137">
      <w:r w:rsidRPr="00A31137">
        <w:t>1990, United States v. Eichman, 496 U.S. 324</w:t>
      </w:r>
    </w:p>
    <w:p w:rsidR="00A31137" w:rsidRPr="00A31137" w:rsidRDefault="00A31137" w:rsidP="00A31137">
      <w:r w:rsidRPr="00A31137">
        <w:t>While the symbolic role of the flag is now well established, the flag was an important incident of sovereignty before it was used for symbolic purposes by patriots and others. When the nation's founders first determined to adopt a national flag, they intended to serve specific functions relating to our status as a sovereign nation.</w:t>
      </w:r>
    </w:p>
    <w:p w:rsidR="00A31137" w:rsidRPr="00A31137" w:rsidRDefault="00A31137" w:rsidP="00A31137">
      <w:r w:rsidRPr="00A31137">
        <w:t>1990, United States v. Eichman, 496 U.S. 324</w:t>
      </w:r>
    </w:p>
    <w:p w:rsidR="00A31137" w:rsidRPr="00A31137" w:rsidRDefault="00A31137" w:rsidP="00A31137">
      <w:r w:rsidRPr="00A31137">
        <w:t>Id. at 9; see id. at 5 (noting "flag's 'historic function' for such sovereign purposes as marking 'our national presence in schools, public buildings, battleships and airplanes'") (citation omitted).</w:t>
      </w:r>
    </w:p>
    <w:p w:rsidR="00A31137" w:rsidRPr="00A31137" w:rsidRDefault="00A31137" w:rsidP="00A31137">
      <w:r w:rsidRPr="00A31137">
        <w:t>1990, United States v. Eichman, 496 U.S. 324</w:t>
      </w:r>
    </w:p>
    <w:p w:rsidR="00A31137" w:rsidRPr="00A31137" w:rsidRDefault="00A31137" w:rsidP="00A31137">
      <w:r w:rsidRPr="00A31137">
        <w:t>We concede that the Government has a legitimate interest in preserving the flag's function as an "incident of sovereignty," though we need not address today the extent to which this interest may justify any laws regulating conduct that would thwart this core function, as might a commercial or like appropriation of the image of the United States flag. Amicus does not, and cannot, explain how a statute that penalizes anyone who knowingly burns, mutilates, or defiles any American flag is designed to advance this asserted interest in maintaining the association between the flag and the Nation. Burning a flag does not threaten to interfere with this association in any way; indeed, the flag-burner's message depends in part on the viewer's ability to make this very association.</w:t>
      </w:r>
    </w:p>
    <w:p w:rsidR="00A31137" w:rsidRPr="00A31137" w:rsidRDefault="00A31137" w:rsidP="00A31137">
      <w:r w:rsidRPr="00A31137">
        <w:t>1990, United States v. Eichman, 496 U.S. 324</w:t>
      </w:r>
    </w:p>
    <w:p w:rsidR="00A31137" w:rsidRPr="00A31137" w:rsidRDefault="00A31137" w:rsidP="00A31137">
      <w:r w:rsidRPr="00A31137">
        <w:t>7. For example, "defile" is defined as "to make filthy; to corrupt the purity or perfection of; to rob of chastity; to make ceremonially unclean; tarnish; dishonor." Webster's Third New International Dictionary 592 (1976). "Trample" is defined as "to tread heavily so as to bruise, crush, or injure; to inflict injury or destruction; have a contemptuous or ruthless attitude." Id. at 2425.</w:t>
      </w:r>
    </w:p>
    <w:p w:rsidR="00A31137" w:rsidRPr="00A31137" w:rsidRDefault="00A31137" w:rsidP="00A31137">
      <w:r w:rsidRPr="00A31137">
        <w:t>1990, United States v. Eichman, 496 U.S. 324</w:t>
      </w:r>
    </w:p>
    <w:p w:rsidR="00A31137" w:rsidRPr="00A31137" w:rsidRDefault="00A31137" w:rsidP="00A31137">
      <w:r w:rsidRPr="00A31137">
        <w:t>8. The Act also does not prohibit flying a flag in a storm or other conduct that threatens the physical integrity of the flag, albeit in an indirect manner unlikely to communicate disrespect.</w:t>
      </w:r>
    </w:p>
    <w:p w:rsidR="00A31137" w:rsidRPr="00A31137" w:rsidRDefault="00A31137" w:rsidP="00A31137">
      <w:r w:rsidRPr="00A31137">
        <w:t>1990, United States v. Eichman, 496 U.S. 324</w:t>
      </w:r>
    </w:p>
    <w:p w:rsidR="00A31137" w:rsidRPr="00A31137" w:rsidRDefault="00A31137" w:rsidP="00A31137">
      <w:r w:rsidRPr="00A31137">
        <w:t>9. See, e.g., 36 U.S.C. §§ 173-177 (suggesting manner in which flag ought to be displayed).</w:t>
      </w:r>
    </w:p>
    <w:p w:rsidR="00A31137" w:rsidRPr="00A31137" w:rsidRDefault="00A31137" w:rsidP="00A31137">
      <w:r w:rsidRPr="00A31137">
        <w:t>Rutan v. Republican Party, 1990</w:t>
      </w:r>
    </w:p>
    <w:p w:rsidR="00A31137" w:rsidRPr="00A31137" w:rsidRDefault="00A31137" w:rsidP="00A31137">
      <w:r w:rsidRPr="00A31137">
        <w:t>Title:</w:t>
      </w:r>
      <w:r w:rsidRPr="00A31137">
        <w:tab/>
        <w:t>Rutan v. Republican Party of Illinois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21, 1990</w:t>
      </w:r>
    </w:p>
    <w:p w:rsidR="00A31137" w:rsidRPr="00A31137" w:rsidRDefault="00A31137" w:rsidP="00A31137">
      <w:r w:rsidRPr="00A31137">
        <w:t>Source:</w:t>
      </w:r>
      <w:r w:rsidRPr="00A31137">
        <w:tab/>
        <w:t>497 U.S. 62</w:t>
      </w:r>
    </w:p>
    <w:p w:rsidR="00A31137" w:rsidRPr="00A31137" w:rsidRDefault="00A31137" w:rsidP="00A31137">
      <w:r w:rsidRPr="00A31137">
        <w:t>This case was argued January 16, 1990, and was decided June 21, 1990.</w:t>
      </w:r>
    </w:p>
    <w:p w:rsidR="00A31137" w:rsidRPr="00A31137" w:rsidRDefault="00A31137" w:rsidP="00A31137">
      <w:r w:rsidRPr="00A31137">
        <w:t>CERTIORARI TO THE UNITED STATES COURT OF APPEALS FOR</w:t>
      </w:r>
    </w:p>
    <w:p w:rsidR="00A31137" w:rsidRPr="00A31137" w:rsidRDefault="00A31137" w:rsidP="00A31137">
      <w:r w:rsidRPr="00A31137">
        <w:t>THE SEVENTH CIRCUIT</w:t>
      </w:r>
    </w:p>
    <w:p w:rsidR="00A31137" w:rsidRPr="00A31137" w:rsidRDefault="00A31137" w:rsidP="00A31137">
      <w:r w:rsidRPr="00A31137">
        <w:t>Syllabus</w:t>
      </w:r>
    </w:p>
    <w:p w:rsidR="00A31137" w:rsidRPr="00A31137" w:rsidRDefault="00A31137" w:rsidP="00A31137">
      <w:r w:rsidRPr="00A31137">
        <w:t>1990, Rutan v. Republican Party, 497 U.S. 62</w:t>
      </w:r>
    </w:p>
    <w:p w:rsidR="00A31137" w:rsidRPr="00A31137" w:rsidRDefault="00A31137" w:rsidP="00A31137">
      <w:r w:rsidRPr="00A31137">
        <w:t>The Illinois Governor issued an executive order instituting a hiring freeze, whereby state officials are prohibited from hiring any employee, filling any vacancy, creating any new position, or taking any similar action without the Governor's "express permission." Petitioners and cross-respondents—an applicant for employment, employees who had been denied promotions or transfers, and former employees who had not been recalled after layoffs—brought suit in the District Court, alleging that, by means of the freeze, the Governor was operating a political patronage system; that they had suffered discrimination in state employment because they had not been Republican Party supporters; and that this discrimination violates the First Amendment. The District Court dismissed the complaint for failure to state a claim upon which relief could be granted. The Court of Appeals affirmed in part and reversed in part. Noting that Elrod v. Burns, 427 U.S. 347, and Branti v. Finkel, 445 U.S. 507, had found that the patronage practice of discharging public employees on the basis of their political affiliation violates the First Amendment, the court held that other patronage practices violate the Amendment only when they are the "substantial equivalent of a dismissal," i.e., when they would lead reasonable persons to resign. The court concluded, based on Wygant v. Jackson Bd. of Education, 476 U.S. 267, that rejecting an employment application did not impose a hardship comparable to the loss of a job. Thus, it dismissed the hiring claim, but remanded the others for further proceedings.</w:t>
      </w:r>
    </w:p>
    <w:p w:rsidR="00A31137" w:rsidRPr="00A31137" w:rsidRDefault="00A31137" w:rsidP="00A31137">
      <w:r w:rsidRPr="00A31137">
        <w:t>1990, Rutan v. Republican Party, 497 U.S. 62</w:t>
      </w:r>
    </w:p>
    <w:p w:rsidR="00A31137" w:rsidRPr="00A31137" w:rsidRDefault="00A31137" w:rsidP="00A31137">
      <w:r w:rsidRPr="00A31137">
        <w:t>Held: The rule of Elrod and Branti extends to promotion, transfer, recall, and hiring decisions based on party affiliation and support, and petitioners and cross-respondents have stated claims upon which relief may be granted. Pp.  68-79.</w:t>
      </w:r>
    </w:p>
    <w:p w:rsidR="00A31137" w:rsidRPr="00A31137" w:rsidRDefault="00A31137" w:rsidP="00A31137">
      <w:r w:rsidRPr="00A31137">
        <w:t>1990, Rutan v. Republican Party, 497 U.S. 62</w:t>
      </w:r>
    </w:p>
    <w:p w:rsidR="00A31137" w:rsidRPr="00A31137" w:rsidRDefault="00A31137" w:rsidP="00A31137">
      <w:r w:rsidRPr="00A31137">
        <w:t>(a) Promotions, transfers, and recalls based on political affiliation or support are an impermissible infringement on public employees' First Amendment rights. Even though petitioners and cross-respondents [497 U.S. 63] have no legal entitlement to the promotions, transfers, and recalls, the government may not rely on a basis that infringes their constitutionally protected interests to deny them these valuable benefits. Perry v. Sindermann, 408 U.S. 593,  597. Significant penalties are imposed on those employees who exercise their First Amendment rights. Those who do not compromise their beliefs stand to lose the considerable increases in pay and job satisfaction attendant to promotions, the shorter commuting hours and lower maintenance expenses incident to transfers to more convenient work locations, and even the jobs themselves in the case of recalls. As in Elrod and Branti, these patronage practices are not narrowly tailored to serve vital government interests. A government's interest in securing effective employees can be met by discharging, demoting, or transferring persons whose work is deficient, and its interest in securing employees who will loyally implement its policies can be adequately served by choosing or dismissing high-level employees on the basis of their political views. Likewise, the "preservation of the democratic process" is not furthered by these patronage decisions, since political parties are nurtured by other less intrusive and equally effective methods, and since patronage decidedly impairs the elective process by discouraging public employees' free political expression. Pp.  71-75.</w:t>
      </w:r>
    </w:p>
    <w:p w:rsidR="00A31137" w:rsidRPr="00A31137" w:rsidRDefault="00A31137" w:rsidP="00A31137">
      <w:r w:rsidRPr="00A31137">
        <w:t>1990, Rutan v. Republican Party, 497 U.S. 63</w:t>
      </w:r>
    </w:p>
    <w:p w:rsidR="00A31137" w:rsidRPr="00A31137" w:rsidRDefault="00A31137" w:rsidP="00A31137">
      <w:r w:rsidRPr="00A31137">
        <w:t>(b) The standard used by the Court of Appeals to measure alleged patronage practices in government employment is unduly restrictive because it fails to recognize that there are deprivations less harsh than dismissal that nevertheless press state employees and applicants to conform their beliefs and associations to some state-selected orthdoxy. Pp.  75-76.</w:t>
      </w:r>
    </w:p>
    <w:p w:rsidR="00A31137" w:rsidRPr="00A31137" w:rsidRDefault="00A31137" w:rsidP="00A31137">
      <w:r w:rsidRPr="00A31137">
        <w:t>1990, Rutan v. Republican Party, 497 U.S. 63</w:t>
      </w:r>
    </w:p>
    <w:p w:rsidR="00A31137" w:rsidRPr="00A31137" w:rsidRDefault="00A31137" w:rsidP="00A31137">
      <w:r w:rsidRPr="00A31137">
        <w:t>(c) Patronage hiring places burdens on free speech and association similar to those imposed by patronage promotions, transfers, and recalls. Denial of a state job is a serious privation, since such jobs provide financial, health, and other benefits; since there may be openings with the State when business in the private sector is slow; and since there are occupations for which the government is the sole or major employer. Under this Court's sustained precedent, conditioning hiring decisions on political belief and association plainly constitutes an unconstitutional condition unless the government has a vital interest in doing so. See, e.g., Branti, supra, 445 U.S. at 515-516. There is no such government interest here, for the same reasons that the government lacks justification for patronage promotions, transfers, and recalls. It is inappropriate to rely on Wygant to distinguish hiring from dismissal in this context, since that case was concerned with the least harsh means of remedying past wrongs, and did not question that some remedy was permissible when there was sufficient evidence of past discrimination. Here, however, it is unnecessary to consider whether not being hired is less burdensome [497 U.S. 64] than being discharged, because the government is not pressed to do either on the basis of political affiliation. Pp.  76-79.</w:t>
      </w:r>
    </w:p>
    <w:p w:rsidR="00A31137" w:rsidRPr="00A31137" w:rsidRDefault="00A31137" w:rsidP="00A31137">
      <w:r w:rsidRPr="00A31137">
        <w:t>1990, Rutan v. Republican Party, 497 U.S. 64</w:t>
      </w:r>
    </w:p>
    <w:p w:rsidR="00A31137" w:rsidRPr="00A31137" w:rsidRDefault="00A31137" w:rsidP="00A31137">
      <w:r w:rsidRPr="00A31137">
        <w:t>868 F.2d 943 (CA7 1989), affirmed in part, reversed in part, and remanded.</w:t>
      </w:r>
    </w:p>
    <w:p w:rsidR="00A31137" w:rsidRPr="00A31137" w:rsidRDefault="00A31137" w:rsidP="00A31137">
      <w:r w:rsidRPr="00A31137">
        <w:t>1990, Rutan v. Republican Party, 497 U.S. 64</w:t>
      </w:r>
    </w:p>
    <w:p w:rsidR="00A31137" w:rsidRPr="00A31137" w:rsidRDefault="00A31137" w:rsidP="00A31137">
      <w:r w:rsidRPr="00A31137">
        <w:t>BRENNAN, J., delivered the opinion of the Court, in which WHITE, MARSHALL, BLACKMUN, and STEVENS, JJ., joined. STEVENS, J., filed a concurring opinion, post, p.  79. SCALIA, J., filed a dissenting opinion in which REHNQUIST, C.J., and KENNEDY, J., joined, and in which O'CONNOR, J., joined as to Parts II and III, post, p.  92.</w:t>
      </w:r>
    </w:p>
    <w:p w:rsidR="00A31137" w:rsidRPr="00A31137" w:rsidRDefault="00A31137" w:rsidP="00A31137">
      <w:r w:rsidRPr="00A31137">
        <w:t>BRENNAN, J., lead opinion</w:t>
      </w:r>
    </w:p>
    <w:p w:rsidR="00A31137" w:rsidRPr="00A31137" w:rsidRDefault="00A31137" w:rsidP="00A31137">
      <w:r w:rsidRPr="00A31137">
        <w:t>1990, Rutan v. Republican Party, 497 U.S. 64</w:t>
      </w:r>
    </w:p>
    <w:p w:rsidR="00A31137" w:rsidRPr="00A31137" w:rsidRDefault="00A31137" w:rsidP="00A31137">
      <w:r w:rsidRPr="00A31137">
        <w:t>Justice BRENNAN delivered the opinion of the Court.</w:t>
      </w:r>
    </w:p>
    <w:p w:rsidR="00A31137" w:rsidRPr="00A31137" w:rsidRDefault="00A31137" w:rsidP="00A31137">
      <w:r w:rsidRPr="00A31137">
        <w:t>1990, Rutan v. Republican Party, 497 U.S. 64</w:t>
      </w:r>
    </w:p>
    <w:p w:rsidR="00A31137" w:rsidRPr="00A31137" w:rsidRDefault="00A31137" w:rsidP="00A31137">
      <w:r w:rsidRPr="00A31137">
        <w:t>To the victor belong only those spoils that may be constitutionally obtained. Elrod v. Burns, 427 U.S. 347 (1976), and Branti v. Finkel, 445 U.S. 507 (1980), decided that the First Amendment forbids government officials to discharge or threaten to discharge public employees solely for not being supporters of the political party in power, unless party affiliation is an appropriate requirement for the position involved. [497 U.S. 65] Today we are asked to decide the constitutionality of several related political patronage practices—whether promotion, transfer, recall, and hiring decisions involving low-level public employees may be constitutionally based on party affiliation and support. We hold that they may not.</w:t>
      </w:r>
    </w:p>
    <w:p w:rsidR="00A31137" w:rsidRPr="00A31137" w:rsidRDefault="00A31137" w:rsidP="00A31137">
      <w:r w:rsidRPr="00A31137">
        <w:t>I</w:t>
      </w:r>
    </w:p>
    <w:p w:rsidR="00A31137" w:rsidRPr="00A31137" w:rsidRDefault="00A31137" w:rsidP="00A31137">
      <w:r w:rsidRPr="00A31137">
        <w:t>1990, Rutan v. Republican Party, 497 U.S. 65</w:t>
      </w:r>
    </w:p>
    <w:p w:rsidR="00A31137" w:rsidRPr="00A31137" w:rsidRDefault="00A31137" w:rsidP="00A31137">
      <w:r w:rsidRPr="00A31137">
        <w:t xml:space="preserve">The petition and cross-petition before us arise from a lawsuit protesting certain employment policies and practices instituted by Governor James Thompson of Illinois. 1 On November 12, 1980, the Governor issued an executive order proclaiming a hiring freeze for every agency, bureau, board, or commission subject to his control. The order prohibits state officials from hiring any employee, filling any vacancy, creating any new position, or taking any similar action. It affects approximately 60,000 state positions. More than 5,000 of these become available each year as a result of resignations, retirements, deaths, expansion, and reorganizations. The order proclaims that "no exceptions" are permitted without the Governor's "express permission after submission of appropriate requests to [his] office." Governor's Executive Order No. 5 (Nov. 12, 1980), Brief for Petitioners 11 (emphasis added). [497 U.S. 66] </w:t>
      </w:r>
    </w:p>
    <w:p w:rsidR="00A31137" w:rsidRPr="00A31137" w:rsidRDefault="00A31137" w:rsidP="00A31137">
      <w:r w:rsidRPr="00A31137">
        <w:t>1990, Rutan v. Republican Party, 497 U.S. 66</w:t>
      </w:r>
    </w:p>
    <w:p w:rsidR="00A31137" w:rsidRPr="00A31137" w:rsidRDefault="00A31137" w:rsidP="00A31137">
      <w:r w:rsidRPr="00A31137">
        <w:t>Requests for the Governor's "express permission" have allegedly become routine. Permission has been granted or withheld through an agency expressly created for this purpose, the Governor's Office of Personnel (Governor's Office). Agencies have been screening applicants under Illinois' civil service system, making their personnel choices, and submitting them as requests to be approved or disapproved by the Governor's Office. Among the employment decisions for which approvals have been required are new hires, promotions, transfers, and recalls after layoffs.</w:t>
      </w:r>
    </w:p>
    <w:p w:rsidR="00A31137" w:rsidRPr="00A31137" w:rsidRDefault="00A31137" w:rsidP="00A31137">
      <w:r w:rsidRPr="00A31137">
        <w:t>1990, Rutan v. Republican Party, 497 U.S. 66</w:t>
      </w:r>
    </w:p>
    <w:p w:rsidR="00A31137" w:rsidRPr="00A31137" w:rsidRDefault="00A31137" w:rsidP="00A31137">
      <w:r w:rsidRPr="00A31137">
        <w:t>By means of the freeze, according to petitioners, the Governor has been using the Governor's Office to operate a political patronage system to limit state employment and beneficial employment-related decisions to those who are supported by the Republican Party. In reviewing an agency's request that a particular applicant be approved for a particular position, the Governor's Office has looked at whether the applicant voted in Republican primaries in past election years, whether the applicant has provided financial or other support to the Republican Party and its candidates, whether the applicant has promised to join and work for the Republican Party in the future, and whether the applicant has the support of Republican Party officials at state or local levels.</w:t>
      </w:r>
    </w:p>
    <w:p w:rsidR="00A31137" w:rsidRPr="00A31137" w:rsidRDefault="00A31137" w:rsidP="00A31137">
      <w:r w:rsidRPr="00A31137">
        <w:t>1990, Rutan v. Republican Party, 497 U.S. 66</w:t>
      </w:r>
    </w:p>
    <w:p w:rsidR="00A31137" w:rsidRPr="00A31137" w:rsidRDefault="00A31137" w:rsidP="00A31137">
      <w:r w:rsidRPr="00A31137">
        <w:t>Five people (including the three petitioners) brought suit against various Illinois and Republican Party officials in the United States District Court for the Central District of Illinois. 2 They alleged that they had suffered discrimination with respect to state employment because they had not been supporters of the State's Republican Party and that this discrimination violates the First Amendment. Cynthia B. [497 U.S. 67] Rutan has been working for the State since 1974 as a rehabilitation counselor. She claims that, since 1981, she has been repeatedly denied promotions to supervisory positions for which she was qualified because she had not worked for or supported the Republican Party. Franklin Taylor, who operates road equipment for the Illinois Department of Transportation, claims that he was denied a promotion in 1983 because he did not have the support of the local Republican Party. Taylor also maintains that he was denied a transfer to an office nearer to his home because of opposition from the Republican Party chairmen in the counties in which he worked and to which he requested a transfer. James W. Moore claims that he has been repeatedly denied state employment as a prison guard because he did not have the support of Republican Party officials.</w:t>
      </w:r>
    </w:p>
    <w:p w:rsidR="00A31137" w:rsidRPr="00A31137" w:rsidRDefault="00A31137" w:rsidP="00A31137">
      <w:r w:rsidRPr="00A31137">
        <w:t>1990, Rutan v. Republican Party, 497 U.S. 67</w:t>
      </w:r>
    </w:p>
    <w:p w:rsidR="00A31137" w:rsidRPr="00A31137" w:rsidRDefault="00A31137" w:rsidP="00A31137">
      <w:r w:rsidRPr="00A31137">
        <w:t>The two other plaintiffs, before the Court as cross-respondents, allege that they were not recalled after layoffs because they lacked Republican credentials. Ricky Standefer was a state garage worker who claims that he was not recalled, although his fellow employees were, because he had voted in a Democratic primary and did not have the support of the Republican Party. Dan O'Brien, formerly a dietary manager with the mental health department, contends that he was not recalled after a layoff because of his party affiliation, and that he later obtained a lower-paying position with the corrections department only after receiving support from the chairman of the local Republican Party.</w:t>
      </w:r>
    </w:p>
    <w:p w:rsidR="00A31137" w:rsidRPr="00A31137" w:rsidRDefault="00A31137" w:rsidP="00A31137">
      <w:r w:rsidRPr="00A31137">
        <w:t>1990, Rutan v. Republican Party, 497 U.S. 67</w:t>
      </w:r>
    </w:p>
    <w:p w:rsidR="00A31137" w:rsidRPr="00A31137" w:rsidRDefault="00A31137" w:rsidP="00A31137">
      <w:r w:rsidRPr="00A31137">
        <w:t>The District Court dismissed the complaint with prejudice, under Federal Rule of Civil Procedure 12(b)(6), for failure to state a claim upon which relief could be granted. 641 F.Supp. 249 (CD Ill.1986). The United States Court of Appeals for the Seventh Circuit initially issued a panel opinion, 848 F.2d 1396 (1988), but then reheard the appeal en banc. The court affirmed the District Court's decision in part and reversed in part. 868 F.2d 943 (1989). Noting that this Court had previously determined that the patronage practice of discharging [497 U.S. 68] public employees on the basis of their political affiliation violates the First Amendment, the Court of Appeals held that other patronage practices violate the First Amendment only when they are the "substantial equivalent of a dismissal." Id. at 954. The court explained that an employment decision is equivalent to a dismissal when it is one that would lead a reasonable person to resign. Id. at 955. The court affirmed the dismissal of Moore's claim because it found that basing hiring decisions on political affiliation does not violate the First Amendment, but remanded the remaining claims for further proceedings. 3</w:t>
      </w:r>
    </w:p>
    <w:p w:rsidR="00A31137" w:rsidRPr="00A31137" w:rsidRDefault="00A31137" w:rsidP="00A31137">
      <w:r w:rsidRPr="00A31137">
        <w:t>1990, Rutan v. Republican Party, 497 U.S. 68</w:t>
      </w:r>
    </w:p>
    <w:p w:rsidR="00A31137" w:rsidRPr="00A31137" w:rsidRDefault="00A31137" w:rsidP="00A31137">
      <w:r w:rsidRPr="00A31137">
        <w:t>Rutan, Taylor, and Moore petitioned this Court to review the constitutional standard set forth by the Seventh Circuit and the dismissal of Moore's claim. Respondents cross-petitioned this Court, contending that the Seventh Circuit's remand of four of the five claims was improper because the employment decisions alleged here do not, as a matter of law, violate the First Amendment. We granted certiorari, 493 U.S. 807 (1989), to decide the important question whether the First Amendment's proscription of patronage dismissals recognized in Elrod, 427 U.S. 347 (1976), and Branti, 445 U.S. 507 (1980), extends to promotion, transfer, recall, or hiring decisions involving public employment positions for which party affiliation is not an appropriate requirement.</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1990, Rutan v. Republican Party, 497 U.S. 68</w:t>
      </w:r>
    </w:p>
    <w:p w:rsidR="00A31137" w:rsidRPr="00A31137" w:rsidRDefault="00A31137" w:rsidP="00A31137">
      <w:r w:rsidRPr="00A31137">
        <w:t>In Elrod, supra, we decided that a newly elected Democratic sheriff could not constitutionally engage in the patronage practice of replacing certain office staff with members of [497 U.S. 69] his own party "when the existing employees lack or fail to obtain requisite support from, or fail to affiliate with, that party." Id., 427 U.S. at 351, and  373 (plurality opinion) and  375 (Stewart, J., with BLACKMUN, J., concurring in judgment). The plurality explained that conditioning public employment on the provision of support for the favored political party "unquestionably inhibits protected belief and association." Id. at  359. It reasoned that conditioning employment on political activity pressures employees to pledge political allegiance to a party with which they prefer not to associate, to work for the election of political candidates they do not support, and to contribute money to be used to further policies with which they do not agree. The latter, the plurality noted, had been recognized by this Court as "tantamount to coerced belief." Id., 427 U.S. at  355 (citing Buckley v. Valeo, 424 U.S. 1,  19 (1976)). At the same time, employees are constrained from joining, working for or contributing to the political party and candidates of their own choice. Elrod, supra, 427 U.S. at 355-356. "[P]olitical belief and association constitute the core of those activities protected by the First Amendment," the plurality emphasized. 427 U.S. at  356. Both the plurality and the concurrence drew support from Perry v. Sindermann, 408 U.S. 593 (1972), in which this Court held that the State's refusal to renew a teacher's contract because he had been publicly critical of its policies imposed an unconstitutional condition on the receipt of a public benefit. See Elrod, supra, 427 U.S. at  359 (plurality opinion) and  375 (Stewart, J., concurring in judgment); see also Branti, supra, 445 U.S. at 514-516.</w:t>
      </w:r>
    </w:p>
    <w:p w:rsidR="00A31137" w:rsidRPr="00A31137" w:rsidRDefault="00A31137" w:rsidP="00A31137">
      <w:r w:rsidRPr="00A31137">
        <w:t>1990, Rutan v. Republican Party, 497 U.S. 69</w:t>
      </w:r>
    </w:p>
    <w:p w:rsidR="00A31137" w:rsidRPr="00A31137" w:rsidRDefault="00A31137" w:rsidP="00A31137">
      <w:r w:rsidRPr="00A31137">
        <w:t>The Court then decided that the government interests generally asserted in support of patronage fail to justify this burden on First Amendment rights because patronage dismissals are not the least restrictive means for fostering those interests. See Elrod, supra, 427 U.S. at 372-373 (plurality opinion) and 375 (Stewart, J., concurring in judgment). The plurality acknowledged that a government has a significant interest in ensuring that it has effective and efficient employees. It expressed [497 U.S. 70] doubt, however, that "mere difference of political persuasion motivates poor performance," and concluded that, in any case, the government can ensure employee effectiveness and efficiency through the less drastic means of discharging staff members whose work is inadequate. 427 U.S. at 365-366. The plurality also found that a government can meet its need for politically loyal employees to implement its policies by the less intrusive measure of dismissing, on political grounds, only those employees in policymaking positions. Id. at  367. Finally, although the plurality recognized that preservation of the democratic process "may in some instances justify limitations on First Amendment freedoms," it concluded that the "process functions as well without the practice, perhaps even better." Patronage, it explained, "can result in the entrenchment of one or a few parties to the exclusion of others," and</w:t>
      </w:r>
    </w:p>
    <w:p w:rsidR="00A31137" w:rsidRPr="00A31137" w:rsidRDefault="00A31137" w:rsidP="00A31137">
      <w:r w:rsidRPr="00A31137">
        <w:t>1990, Rutan v. Republican Party, 497 U.S. 70</w:t>
      </w:r>
    </w:p>
    <w:p w:rsidR="00A31137" w:rsidRPr="00A31137" w:rsidRDefault="00A31137" w:rsidP="00A31137">
      <w:r w:rsidRPr="00A31137">
        <w:t>is a very effective impediment to the associational and speech freedoms which are essential to a meaningful system of democratic government.</w:t>
      </w:r>
    </w:p>
    <w:p w:rsidR="00A31137" w:rsidRPr="00A31137" w:rsidRDefault="00A31137" w:rsidP="00A31137">
      <w:r w:rsidRPr="00A31137">
        <w:t>1990, Rutan v. Republican Party, 497 U.S. 70</w:t>
      </w:r>
    </w:p>
    <w:p w:rsidR="00A31137" w:rsidRPr="00A31137" w:rsidRDefault="00A31137" w:rsidP="00A31137">
      <w:r w:rsidRPr="00A31137">
        <w:t xml:space="preserve">Id. at 368-370. 4 [497 U.S. 71] </w:t>
      </w:r>
    </w:p>
    <w:p w:rsidR="00A31137" w:rsidRPr="00A31137" w:rsidRDefault="00A31137" w:rsidP="00A31137">
      <w:r w:rsidRPr="00A31137">
        <w:t>1990, Rutan v. Republican Party, 497 U.S. 71</w:t>
      </w:r>
    </w:p>
    <w:p w:rsidR="00A31137" w:rsidRPr="00A31137" w:rsidRDefault="00A31137" w:rsidP="00A31137">
      <w:r w:rsidRPr="00A31137">
        <w:t>Four years later, in Branti, supra, we decided that the First Amendment prohibited a newly appointed public defender, who was a Democrat, from discharging assistant public defenders because they did not have the support of the Democratic Party. The Court rejected an attempt to distinguish the case from Elrod, deciding that it was immaterial whether the public defender had attempted to coerce employees to change political parties or had only dismissed them on the basis of their private political beliefs. We explained that conditioning continued public employment on an employee's having obtained support from a particular political party violates the First Amendment because of "the coercion of belief that necessarily flows from the knowledge that one must have a sponsor in the dominant party in order to retain one's job." 445 U.S. at 516. "In sum," we said,</w:t>
      </w:r>
    </w:p>
    <w:p w:rsidR="00A31137" w:rsidRPr="00A31137" w:rsidRDefault="00A31137" w:rsidP="00A31137">
      <w:r w:rsidRPr="00A31137">
        <w:t>1990, Rutan v. Republican Party, 497 U.S. 71</w:t>
      </w:r>
    </w:p>
    <w:p w:rsidR="00A31137" w:rsidRPr="00A31137" w:rsidRDefault="00A31137" w:rsidP="00A31137">
      <w:r w:rsidRPr="00A31137">
        <w:t>there is no requirement that dismissed employees prove that they, or other employees, have been coerced into changing, either actually or ostensibly, their political allegiance.</w:t>
      </w:r>
    </w:p>
    <w:p w:rsidR="00A31137" w:rsidRPr="00A31137" w:rsidRDefault="00A31137" w:rsidP="00A31137">
      <w:r w:rsidRPr="00A31137">
        <w:t>1990, Rutan v. Republican Party, 497 U.S. 71</w:t>
      </w:r>
    </w:p>
    <w:p w:rsidR="00A31137" w:rsidRPr="00A31137" w:rsidRDefault="00A31137" w:rsidP="00A31137">
      <w:r w:rsidRPr="00A31137">
        <w:t>Id. at 517. To prevail, we concluded, public employees need show only that they were discharged because they were not affiliated with or sponsored by the Democratic Party. Ibid. 5</w:t>
      </w:r>
    </w:p>
    <w:p w:rsidR="00A31137" w:rsidRPr="00A31137" w:rsidRDefault="00A31137" w:rsidP="00A31137">
      <w:r w:rsidRPr="00A31137">
        <w:t>B</w:t>
      </w:r>
    </w:p>
    <w:p w:rsidR="00A31137" w:rsidRPr="00A31137" w:rsidRDefault="00A31137" w:rsidP="00A31137">
      <w:r w:rsidRPr="00A31137">
        <w:t>1990, Rutan v. Republican Party, 497 U.S. 71</w:t>
      </w:r>
    </w:p>
    <w:p w:rsidR="00A31137" w:rsidRPr="00A31137" w:rsidRDefault="00A31137" w:rsidP="00A31137">
      <w:r w:rsidRPr="00A31137">
        <w:t>We first address the claims of the four current or former employees. Respondents urge us to view Elrod and Branti [497 U.S. 72] as inapplicable because the patronage dismissals at issue in those cases are different in kind from failure to promote, failure to transfer, and failure to recall after layoff. Respondents initially contend that the employee petitioners' First Amendment rights have not been infringed, because they have no entitlement to promotion, transfer, or rehire. We rejected just such an argument in Elrod, 427 U.S. at 359-360 (plurality opinion) and  375 (Stewart, J., concurring in judgment), and Branti, 445 U.S. at 514-515, as both cases involved state workers who were employees at will, with no legal entitlement to continued employment. In Perry, 408 U.S. at 596-598, we held explicitly that the plaintiff teacher's lack of a contractual or tenure right to reemployment was immaterial to his First Amendment claim. We explained the viability of his First Amendment claim as follows:</w:t>
      </w:r>
    </w:p>
    <w:p w:rsidR="00A31137" w:rsidRPr="00A31137" w:rsidRDefault="00A31137" w:rsidP="00A31137">
      <w:r w:rsidRPr="00A31137">
        <w:t>1990, Rutan v. Republican Party, 497 U.S. 72</w:t>
      </w:r>
    </w:p>
    <w:p w:rsidR="00A31137" w:rsidRPr="00A31137" w:rsidRDefault="00A31137" w:rsidP="00A31137">
      <w:r w:rsidRPr="00A31137">
        <w:t>For at least a quarter-century, this Court has made clear that, even though a person has no "right" to a valuable governmental benefit, and even though the government may deny him the benefit for any number of reasons, there are some reasons upon which the government may not rely. It may not deny a benefit to a person on a basis that infringes his constitutionally protected interests—especially, his interest in freedom of speech. For if the government could deny a benefit to a person because of his constitutionally protected speech or associations, his exercise of those freedoms would in effect be penalized and inhibited. This would allow the government to "produce a result which [it] could not command directly." Speiser v. Randall, 357 U.S. 513,  526. Such interference with constitutional rights is impermissible.</w:t>
      </w:r>
    </w:p>
    <w:p w:rsidR="00A31137" w:rsidRPr="00A31137" w:rsidRDefault="00A31137" w:rsidP="00A31137">
      <w:r w:rsidRPr="00A31137">
        <w:t>1990, Rutan v. Republican Party, 497 U.S. 72</w:t>
      </w:r>
    </w:p>
    <w:p w:rsidR="00A31137" w:rsidRPr="00A31137" w:rsidRDefault="00A31137" w:rsidP="00A31137">
      <w:r w:rsidRPr="00A31137">
        <w:t>Perry, id., 408 U.S. at  597 (emphasis added).</w:t>
      </w:r>
    </w:p>
    <w:p w:rsidR="00A31137" w:rsidRPr="00A31137" w:rsidRDefault="00A31137" w:rsidP="00A31137">
      <w:r w:rsidRPr="00A31137">
        <w:t>1990, Rutan v. Republican Party, 497 U.S. 72</w:t>
      </w:r>
    </w:p>
    <w:p w:rsidR="00A31137" w:rsidRPr="00A31137" w:rsidRDefault="00A31137" w:rsidP="00A31137">
      <w:r w:rsidRPr="00A31137">
        <w:t xml:space="preserve">Likewise, we find the assertion here that the employee petitioners had no legal entitlement to promotion, transfer, or recall beside the point. [497 U.S. 73] </w:t>
      </w:r>
    </w:p>
    <w:p w:rsidR="00A31137" w:rsidRPr="00A31137" w:rsidRDefault="00A31137" w:rsidP="00A31137">
      <w:r w:rsidRPr="00A31137">
        <w:t>1990, Rutan v. Republican Party, 497 U.S. 73</w:t>
      </w:r>
    </w:p>
    <w:p w:rsidR="00A31137" w:rsidRPr="00A31137" w:rsidRDefault="00A31137" w:rsidP="00A31137">
      <w:r w:rsidRPr="00A31137">
        <w:t xml:space="preserve">Respondents next argue that the employment decisions at issue here do not violate the First Amendment because the decisions are not punitive, do not in any way adversely affect the terms of employment, and therefore do not chill the exercise of protected belief and association by public employees. 6 This is not credible. Employees who find themselves in dead-end positions due to their political backgrounds are adversely affected. They will feel a significant obligation to support political positions held by their superiors, and to refrain from acting on the political views they actually hold, in order to progress up the career ladder. Employees denied transfers to workplaces reasonably close to their homes until they join and work for the Republican Party will feel a daily pressure from their long commutes to do so. And employees who have been laid off may well feel compelled to engage in whatever political activity is necessary to regain regular paychecks and positions corresponding to their skill and experience. 7 [497 U.S. 74] </w:t>
      </w:r>
    </w:p>
    <w:p w:rsidR="00A31137" w:rsidRPr="00A31137" w:rsidRDefault="00A31137" w:rsidP="00A31137">
      <w:r w:rsidRPr="00A31137">
        <w:t>1990, Rutan v. Republican Party, 497 U.S. 74</w:t>
      </w:r>
    </w:p>
    <w:p w:rsidR="00A31137" w:rsidRPr="00A31137" w:rsidRDefault="00A31137" w:rsidP="00A31137">
      <w:r w:rsidRPr="00A31137">
        <w:t>The same First Amendment concerns that underlay our decisions in Elrod, supra, and Branti, supra, are implicated here. Employees who do not compromise their beliefs stand to lose the considerable increases in pay and job satisfaction attendant to promotions, the hours and maintenance expenses that are consumed by long daily commutes, and even their jobs if they are not rehired after a "temporary" layoff. These are significant penalties, and are imposed for the exercise of rights guaranteed by the First Amendment. Unless these patronage practices are narrowly tailored to further vital government interests, we must conclude that they impermissibly encroach on First Amendment freedoms. See Elrod, supra, 427 U.S. at 362-363 (plurality opinion) and  375 (Stewart, J., concurring in judgment); Branti, supra, 445 U.S. at 515-516.</w:t>
      </w:r>
    </w:p>
    <w:p w:rsidR="00A31137" w:rsidRPr="00A31137" w:rsidRDefault="00A31137" w:rsidP="00A31137">
      <w:r w:rsidRPr="00A31137">
        <w:t>1990, Rutan v. Republican Party, 497 U.S. 74</w:t>
      </w:r>
    </w:p>
    <w:p w:rsidR="00A31137" w:rsidRPr="00A31137" w:rsidRDefault="00A31137" w:rsidP="00A31137">
      <w:r w:rsidRPr="00A31137">
        <w:t>We find, however, that our conclusions in Elrod, supra, and Branti, supra, are equally applicable to the patronage practices at issue here. A government's interest in securing effective employees can be met by discharging, demoting or transferring staff members whose work is deficient. A government's interest in securing employees who will loyally implement its policies can be adequately served by choosing or dismissing certain high-level employees on the basis of their political views. See Elrod, supra, 427 U.S. at 365-368; Branti, supra, 445 U.S. at 518, and 9445 U.S. 520520, n. 14. Likewise, the "preservation of the democratic process" is no more furthered by the patronage promotions, transfers, and rehires at issue here than it is by patronage dismissals. First, "political parties are nurtured by other less intrusive and equally effective methods." Elrod, supra, 427 U.S. at 372-373. Political parties have already survived the substantial decline in patronage employment practices in this century. See Elrod, 427 U.S. at  369, and n. 23; see also L. Sabato, Goodbye to Good-time Charlie 67 (2d ed. 1983) ("The number of patronage positions has significantly decreased in virtually every state"); Congressional Quarterly Inc., State Government, [497 U.S. 75] CQ's Guide to Current Issues and Activities 134 (T. Beyle ed. 1989-1990) ("Linkage[s] between political parties and government office-holding…have died out under the pressures of varying forces [including] the declining influence of election workers when compared to media and money-intensive campaigning, such as the distribution of form letters and advertising"); Sorauf, Patronage and Party, 3 Midwest J.Pol.Sci. 115, 118-120 (1959) (many state and local parties have thrived without a patronage system). Second, patronage decidedly impairs the elective process by discouraging free political expression by public employees. See Elrod, 427 U.S. at  372 (explaining that the proper functioning of a democratic system "is indispensably dependent on the unfettered judgment of each citizen on matters of political concern"). Respondents, who include the Governor of Illinois and other state officials, do not suggest any other overriding government interest in favoring Republican Party supporters for promotion, transfer, and rehire.</w:t>
      </w:r>
    </w:p>
    <w:p w:rsidR="00A31137" w:rsidRPr="00A31137" w:rsidRDefault="00A31137" w:rsidP="00A31137">
      <w:r w:rsidRPr="00A31137">
        <w:t>1990, Rutan v. Republican Party, 497 U.S. 75</w:t>
      </w:r>
    </w:p>
    <w:p w:rsidR="00A31137" w:rsidRPr="00A31137" w:rsidRDefault="00A31137" w:rsidP="00A31137">
      <w:r w:rsidRPr="00A31137">
        <w:t>We therefore determine that promotions, transfers, and recalls after layoffs based on political affiliation or support are an impermissible infringement on the First Amendment rights of public employees. In doing so, we reject the Seventh Circuit's view of the appropriate constitutional standard by which to measure alleged patronage practices in government employment. The Seventh Circuit proposed that only those employment decisions that are the "substantial equivalent of a dismissal" violate a public employee's rights under the First Amendment. 868 F.2d at 954-957. We find this test unduly restrictive, because it fails to recognize that there are deprivations less harsh than dismissal that nevertheless press state employees and applicants to conform their beliefs and associations to some state-selected orthodoxy. See Elrod, supra, 427 U.S. at 356-357 (plurality opinion); West Virginia Bd. of Education v. Barnette, 319 U.S. 624,  642 (1943). 8 [497 U.S. 76] The First Amendment is not a tenure provision, protecting public employees from actual or constructive discharge. The First Amendment prevents the government, except in the most compelling circumstances, from wielding its power to interfere with its employees' freedom to believe and associate, or to not believe and not associate.</w:t>
      </w:r>
    </w:p>
    <w:p w:rsidR="00A31137" w:rsidRPr="00A31137" w:rsidRDefault="00A31137" w:rsidP="00A31137">
      <w:r w:rsidRPr="00A31137">
        <w:t>1990, Rutan v. Republican Party, 497 U.S. 76</w:t>
      </w:r>
    </w:p>
    <w:p w:rsidR="00A31137" w:rsidRPr="00A31137" w:rsidRDefault="00A31137" w:rsidP="00A31137">
      <w:r w:rsidRPr="00A31137">
        <w:t>Whether the four employees were in fact denied promotions, transfers, or rehire for failure to affiliate with and support the Republican Party is for the District Court to decide in the first instance. What we decide today is that such denials are irreconcilable with the Constitution, and that the allegations of the four employees state claims under 42 U.S.C. § 1983 (1982 ed.) for violations of the First and Fourteenth Amendments. Therefore, although we affirm the Seventh Circuit's judgment to reverse the District Court's dismissal of these claims and remand them for further proceedings, we do not adopt the Seventh Circuit's reasoning.</w:t>
      </w:r>
    </w:p>
    <w:p w:rsidR="00A31137" w:rsidRPr="00A31137" w:rsidRDefault="00A31137" w:rsidP="00A31137">
      <w:r w:rsidRPr="00A31137">
        <w:t>C</w:t>
      </w:r>
    </w:p>
    <w:p w:rsidR="00A31137" w:rsidRPr="00A31137" w:rsidRDefault="00A31137" w:rsidP="00A31137">
      <w:r w:rsidRPr="00A31137">
        <w:t>1990, Rutan v. Republican Party, 497 U.S. 76</w:t>
      </w:r>
    </w:p>
    <w:p w:rsidR="00A31137" w:rsidRPr="00A31137" w:rsidRDefault="00A31137" w:rsidP="00A31137">
      <w:r w:rsidRPr="00A31137">
        <w:t>Petitioner James W. Moore presents the closely related question whether patronage hiring violates the First Amendment. [497 U.S. 77] Patronage hiring places burdens on free speech and association similar to those imposed by the patronage practices discussed above. A state job is valuable. Like most employment, it provides regular paychecks, health insurance, and other benefits. In addition, there may be openings with the State when business in the private sector is slow. There are also occupations for which the government is a major (or the only) source of employment, such as social workers, elementary school teachers, and prison guards. Thus, denial of a state job is a serious privation.</w:t>
      </w:r>
    </w:p>
    <w:p w:rsidR="00A31137" w:rsidRPr="00A31137" w:rsidRDefault="00A31137" w:rsidP="00A31137">
      <w:r w:rsidRPr="00A31137">
        <w:t>1990, Rutan v. Republican Party, 497 U.S. 77</w:t>
      </w:r>
    </w:p>
    <w:p w:rsidR="00A31137" w:rsidRPr="00A31137" w:rsidRDefault="00A31137" w:rsidP="00A31137">
      <w:r w:rsidRPr="00A31137">
        <w:t>Nonetheless, respondents contend that the burden imposed is not of constitutional magnitude. 9 Decades of decisions by this Court belie such a claim. We premised Torcaso v. Watkins, 367 U.S. 488 (1961), on our understanding that loss of a job opportunity for failure to compromise one's convictions states a constitutional claim. We held that Maryland could not refuse an appointee a commission for the position of notary public on the ground that he refused to declare his belief in God, because the required oath "unconstitutionally invades the appellant's freedom of belief and religion." Id. at  496. In Keyishian v. Board of Regents of Univ. of New York, 385 U.S. 589, 609-610 (1967), we held a law affecting appointment and retention of teachers invalid because it premised employment on an unconstitutional restriction of political belief and association. In Elfbrandt v. Russell, 384 U.S. 11,  19 (1966), we struck down a loyalty oath which was a prerequisite for public employment.</w:t>
      </w:r>
    </w:p>
    <w:p w:rsidR="00A31137" w:rsidRPr="00A31137" w:rsidRDefault="00A31137" w:rsidP="00A31137">
      <w:r w:rsidRPr="00A31137">
        <w:t>1990, Rutan v. Republican Party, 497 U.S. 77</w:t>
      </w:r>
    </w:p>
    <w:p w:rsidR="00A31137" w:rsidRPr="00A31137" w:rsidRDefault="00A31137" w:rsidP="00A31137">
      <w:r w:rsidRPr="00A31137">
        <w:t>Almost half a century ago, this Court made clear that the government "may not enact a regulation providing that no Republican…shall be appointed to federal office." Public Workers v. Mitchell, 330 U.S. 75,  100 (1947). What the [497 U.S. 78] First Amendment precludes the government from commanding directly, it also precludes the government from accomplishing indirectly. See Perry, 408 U.S. at 597 (citing Speiser v. Randall, 357 U.S. 513,  526 (1958)); see supra, at  72. Under our sustained precedent, conditioning hiring decisions on political belief and association plainly constitutes an unconstitutional condition, unless the government has a vital interest in doing so. See Elrod, 427 U.S. at 362-363 (plurality opinion), and  375 (Stewart, J., concurring in judgment); Branti, 445 U.S. at 515-516,; see also Sherbert v. Verner, 374 U.S. 398 (1963) (unemployment benefits); Speiser v. Randall, supra, (tax exemption). We find no such government interest here, for the same reasons that we found the government lacks justification for patronage promotions, transfers or recalls. See supra at 71-76.</w:t>
      </w:r>
    </w:p>
    <w:p w:rsidR="00A31137" w:rsidRPr="00A31137" w:rsidRDefault="00A31137" w:rsidP="00A31137">
      <w:r w:rsidRPr="00A31137">
        <w:t>1990, Rutan v. Republican Party, 497 U.S. 78</w:t>
      </w:r>
    </w:p>
    <w:p w:rsidR="00A31137" w:rsidRPr="00A31137" w:rsidRDefault="00A31137" w:rsidP="00A31137">
      <w:r w:rsidRPr="00A31137">
        <w:t>The court below, having decided that the appropriate inquiry in patronage cases is whether the employment decision at issue is the substantial equivalent of a dismissal, affirmed the trial court's dismissal of Moore's claim. See 868 F.2d at 954. The Court of Appeals reasoned that "rejecting an employment application does not impose a hardship upon an employee comparable to the loss of [a] job." Ibid., citing Wygant v. Jackson Bd. of Education, 476 U.S. 267 (1986) (plurality opinion). Just as we reject the Seventh Circuit's proffered test, see supra at 75-76, we find the Seventh Circuit's reliance on Wygant to distinguish hiring from dismissal unavailing. The court cited a passage from the plurality opinion in Wygant explaining that school boards attempting to redress past discrimination must choose methods that broadly distribute the disadvantages imposed by affirmative action plans among innocent parties. The plurality said that race-based layoffs placed too great a burden on individual members of the nonminority race, but suggested that discriminatory hiring was permissible, under certain circumstances, even though it burdened white applicants because the burden was less intrusive than the loss of an existing job. [497 U.S. 79] Id. at 282-284. See also id. at 294-295 (WHITE, J., concurring in judgment).</w:t>
      </w:r>
    </w:p>
    <w:p w:rsidR="00A31137" w:rsidRPr="00A31137" w:rsidRDefault="00A31137" w:rsidP="00A31137">
      <w:r w:rsidRPr="00A31137">
        <w:t>1990, Rutan v. Republican Party, 497 U.S. 79</w:t>
      </w:r>
    </w:p>
    <w:p w:rsidR="00A31137" w:rsidRPr="00A31137" w:rsidRDefault="00A31137" w:rsidP="00A31137">
      <w:r w:rsidRPr="00A31137">
        <w:t>Wygant has no application to the question at issue here. The plurality's concern in that case was identifying the least harsh means of remedying past wrongs. It did not question that some remedy was permissible when there was sufficient evidence of past discrimination. In contrast, the Governor of Illinois has not instituted a remedial undertaking. It is unnecessary here to consider whether not being hired is less burdensome than being discharged, because the government is not pressed to do either on the basis of political affiliation. The question in the patronage context is not which penalty is more acute, but whether the government, without sufficient justification, is pressuring employees to discontinue the free exercise of their First Amendment rights.</w:t>
      </w:r>
      <w:r w:rsidRPr="00A31137">
        <w:cr/>
      </w:r>
    </w:p>
    <w:p w:rsidR="00A31137" w:rsidRPr="00A31137" w:rsidRDefault="00A31137" w:rsidP="00A31137">
      <w:r w:rsidRPr="00A31137">
        <w:t>1990, Rutan v. Republican Party, 497 U.S. 79</w:t>
      </w:r>
    </w:p>
    <w:p w:rsidR="00A31137" w:rsidRPr="00A31137" w:rsidRDefault="00A31137" w:rsidP="00A31137">
      <w:r w:rsidRPr="00A31137">
        <w:t>If Moore's employment application was set aside because he chose not to support the Republican Party, as he asserts, then Moore's First Amendment rights have been violated. Therefore, we find that Moore's complaint was improperly dismissed.</w:t>
      </w:r>
    </w:p>
    <w:p w:rsidR="00A31137" w:rsidRPr="00A31137" w:rsidRDefault="00A31137" w:rsidP="00A31137">
      <w:r w:rsidRPr="00A31137">
        <w:t>III</w:t>
      </w:r>
    </w:p>
    <w:p w:rsidR="00A31137" w:rsidRPr="00A31137" w:rsidRDefault="00A31137" w:rsidP="00A31137">
      <w:r w:rsidRPr="00A31137">
        <w:t>1990, Rutan v. Republican Party, 497 U.S. 79</w:t>
      </w:r>
    </w:p>
    <w:p w:rsidR="00A31137" w:rsidRPr="00A31137" w:rsidRDefault="00A31137" w:rsidP="00A31137">
      <w:r w:rsidRPr="00A31137">
        <w:t>We hold that the rule of Elrod and Branti extends to promotion, transfer, recall, and hiring decisions based on party affiliation and support, and that all of the petitioners and cross-respondents have stated claims upon which relief may be granted. We affirm the Seventh Circuit insofar as it remanded Rutan's, Taylor's, Standefer's, and O'Brien's claims. However, we reverse the Circuit Court's decision to uphold the dismissal of Moore's claim. All five claims are remanded for proceedings consistent with this opinion.</w:t>
      </w:r>
    </w:p>
    <w:p w:rsidR="00A31137" w:rsidRPr="00A31137" w:rsidRDefault="00A31137" w:rsidP="00A31137">
      <w:r w:rsidRPr="00A31137">
        <w:t>1990, Rutan v. Republican Party, 497 U.S. 79</w:t>
      </w:r>
    </w:p>
    <w:p w:rsidR="00A31137" w:rsidRPr="00A31137" w:rsidRDefault="00A31137" w:rsidP="00A31137">
      <w:r w:rsidRPr="00A31137">
        <w:t>It is so ordered.</w:t>
      </w:r>
    </w:p>
    <w:p w:rsidR="00A31137" w:rsidRPr="00A31137" w:rsidRDefault="00A31137" w:rsidP="00A31137">
      <w:r w:rsidRPr="00A31137">
        <w:t>STEVENS, J., concurring</w:t>
      </w:r>
    </w:p>
    <w:p w:rsidR="00A31137" w:rsidRPr="00A31137" w:rsidRDefault="00A31137" w:rsidP="00A31137">
      <w:r w:rsidRPr="00A31137">
        <w:t>1990, Rutan v. Republican Party, 497 U.S. 79</w:t>
      </w:r>
    </w:p>
    <w:p w:rsidR="00A31137" w:rsidRPr="00A31137" w:rsidRDefault="00A31137" w:rsidP="00A31137">
      <w:r w:rsidRPr="00A31137">
        <w:t>Justice STEVENS, concurring.</w:t>
      </w:r>
    </w:p>
    <w:p w:rsidR="00A31137" w:rsidRPr="00A31137" w:rsidRDefault="00A31137" w:rsidP="00A31137">
      <w:r w:rsidRPr="00A31137">
        <w:t>1990, Rutan v. Republican Party, 497 U.S. 79</w:t>
      </w:r>
    </w:p>
    <w:p w:rsidR="00A31137" w:rsidRPr="00A31137" w:rsidRDefault="00A31137" w:rsidP="00A31137">
      <w:r w:rsidRPr="00A31137">
        <w:t>While I join the Court's opinion, these additional comments are prompted by three propositions advanced by Justice SCALIA in his dissent. First, he implies that prohibiting imposition [497 U.S. 80] of an unconstitutional condition upon eligibility for government employment amounts to adoption of a civil service system. Second, he makes the startling assertion that a long history of open and widespread use of patronage practices immunizes them from constitutional scrutiny. Third, he assumes that the decisions in Elrod v. Burns, 427 U.S. 347 (1976), and Branti v. Finkel, 445 U.S. 507 (1980), represented dramatic departures from prior precedent.</w:t>
      </w:r>
    </w:p>
    <w:p w:rsidR="00A31137" w:rsidRPr="00A31137" w:rsidRDefault="00A31137" w:rsidP="00A31137">
      <w:r w:rsidRPr="00A31137">
        <w:t>1990, Rutan v. Republican Party, 497 U.S. 80</w:t>
      </w:r>
    </w:p>
    <w:p w:rsidR="00A31137" w:rsidRPr="00A31137" w:rsidRDefault="00A31137" w:rsidP="00A31137">
      <w:r w:rsidRPr="00A31137">
        <w:t>Several years before either Elrod or Branti was decided, I had occasion as a judge on the Court of Appeals for the Seventh Circuit to evaluate each of these propositions. Illinois State Employees Union, Council 34, Am. Fed of State, County, and Municipal Emp., AFL-CIO v. Lewis, 473 F.2d 561 (1972), cert. denied, 410 U.S. 928 (1973). With respect to the first, I wrote:</w:t>
      </w:r>
    </w:p>
    <w:p w:rsidR="00A31137" w:rsidRPr="00A31137" w:rsidRDefault="00A31137" w:rsidP="00A31137">
      <w:r w:rsidRPr="00A31137">
        <w:t>1990, Rutan v. Republican Party, 497 U.S. 80</w:t>
      </w:r>
    </w:p>
    <w:p w:rsidR="00A31137" w:rsidRPr="00A31137" w:rsidRDefault="00A31137" w:rsidP="00A31137">
      <w:r w:rsidRPr="00A31137">
        <w:t>Neither this court nor any other may impose a civil service system upon the State of Illinois. The General Assembly has provided an elaborate system regulating the appointment to specified positions solely on the basis of merit and fitness, the grounds for termination of such employment, and the procedures which must be followed in connection with hiring, firing, promotion, and retirement. A federal court has no power to establish any such employment code.</w:t>
      </w:r>
    </w:p>
    <w:p w:rsidR="00A31137" w:rsidRPr="00A31137" w:rsidRDefault="00A31137" w:rsidP="00A31137">
      <w:r w:rsidRPr="00A31137">
        <w:t>1990, Rutan v. Republican Party, 497 U.S. 80</w:t>
      </w:r>
    </w:p>
    <w:p w:rsidR="00A31137" w:rsidRPr="00A31137" w:rsidRDefault="00A31137" w:rsidP="00A31137">
      <w:r w:rsidRPr="00A31137">
        <w:t>However, recognition of plaintiffs' claims will not give every public employee civil service tenure, and will not require the state to follow any set procedure or to assume the burden of explaining or proving the grounds for every termination. It is the former employee who has the burden of proving that his discharge was motivated by an impermissible consideration. It is true, of course, that a prima facie case may impose a burden of explanation on the State. But the burden of proof will remain with the plaintiff employee, and we must assume that the trier of fact will be able to differentiate between those discharges which are politically motivated and [497 U.S. 81] those which are not. There is a clear distinction between the grant of tenure to an employee—a right which cannot be conferred by judicial fiat—and the prohibition of a discharge for a particular impermissible reason. The Supreme Court has plainly identified that distinction on many occasions, most recently in Perry v. Sindermann, 408 U.S. 593 (1972).</w:t>
      </w:r>
    </w:p>
    <w:p w:rsidR="00A31137" w:rsidRPr="00A31137" w:rsidRDefault="00A31137" w:rsidP="00A31137">
      <w:r w:rsidRPr="00A31137">
        <w:t>1990, Rutan v. Republican Party, 497 U.S. 81</w:t>
      </w:r>
    </w:p>
    <w:p w:rsidR="00A31137" w:rsidRPr="00A31137" w:rsidRDefault="00A31137" w:rsidP="00A31137">
      <w:r w:rsidRPr="00A31137">
        <w:t>Unlike a civil service system, the Fourteenth Amendment to the Constitution does not provide job security, as such, to public employees. If, however, a discharge is motivated by considerations of race, religion, or punishment of constitutionally protected conduct, it is well settled that the State's action is subject to federal judicial review. There is no merit to the argument that recognition of plaintiffs' constitutional claim would be tantamount to foisting a civil service code upon the State.</w:t>
      </w:r>
    </w:p>
    <w:p w:rsidR="00A31137" w:rsidRPr="00A31137" w:rsidRDefault="00A31137" w:rsidP="00A31137">
      <w:r w:rsidRPr="00A31137">
        <w:t>1990, Rutan v. Republican Party, 497 U.S. 81</w:t>
      </w:r>
    </w:p>
    <w:p w:rsidR="00A31137" w:rsidRPr="00A31137" w:rsidRDefault="00A31137" w:rsidP="00A31137">
      <w:r w:rsidRPr="00A31137">
        <w:t>473 F.2d at 567-568 (footnotes omitted). Denying the Governor of Illinois the power to require every state employee, and every applicant for state employment, to pledge allegiance and service to the political party in power is a far cry from a civil service code. The question in this case is simply whether a Governor may adopt a rule that would be plainly unconstitutional if enacted by the General Assembly of Illinois. 1</w:t>
      </w:r>
    </w:p>
    <w:p w:rsidR="00A31137" w:rsidRPr="00A31137" w:rsidRDefault="00A31137" w:rsidP="00A31137">
      <w:r w:rsidRPr="00A31137">
        <w:t>1990, Rutan v. Republican Party, 497 U.S. 81</w:t>
      </w:r>
    </w:p>
    <w:p w:rsidR="00A31137" w:rsidRPr="00A31137" w:rsidRDefault="00A31137" w:rsidP="00A31137">
      <w:r w:rsidRPr="00A31137">
        <w:t>Second, Justice SCALIA asserts that</w:t>
      </w:r>
    </w:p>
    <w:p w:rsidR="00A31137" w:rsidRPr="00A31137" w:rsidRDefault="00A31137" w:rsidP="00A31137">
      <w:r w:rsidRPr="00A31137">
        <w:t>1990, Rutan v. Republican Party, 497 U.S. 81</w:t>
      </w:r>
    </w:p>
    <w:p w:rsidR="00A31137" w:rsidRPr="00A31137" w:rsidRDefault="00A31137" w:rsidP="00A31137">
      <w:r w:rsidRPr="00A31137">
        <w:t>when a practice not expressly prohibited by the text of the Bill of Rights bears the endorsement of a long tradition of open, widespread, and unchallenged use that dates back to the beginning of the Republic, we have no proper basis for striking it down.</w:t>
      </w:r>
    </w:p>
    <w:p w:rsidR="00A31137" w:rsidRPr="00A31137" w:rsidRDefault="00A31137" w:rsidP="00A31137">
      <w:r w:rsidRPr="00A31137">
        <w:t>1990, Rutan v. Republican Party, 497 U.S. 81</w:t>
      </w:r>
    </w:p>
    <w:p w:rsidR="00A31137" w:rsidRPr="00A31137" w:rsidRDefault="00A31137" w:rsidP="00A31137">
      <w:r w:rsidRPr="00A31137">
        <w:t>Post at  95; post at  102 (a "clear and continuing tradition of our people" [497 U.S. 82] deserves "dispositive effect"). The argument that traditional practices are immune from constitutional scrutiny is advanced in two plurality opinions that Justice SCALIA has authored, but not by any opinion joined by a majority of the Members of the Court. 2</w:t>
      </w:r>
    </w:p>
    <w:p w:rsidR="00A31137" w:rsidRPr="00A31137" w:rsidRDefault="00A31137" w:rsidP="00A31137">
      <w:r w:rsidRPr="00A31137">
        <w:t>1990, Rutan v. Republican Party, 497 U.S. 82</w:t>
      </w:r>
    </w:p>
    <w:p w:rsidR="00A31137" w:rsidRPr="00A31137" w:rsidRDefault="00A31137" w:rsidP="00A31137">
      <w:r w:rsidRPr="00A31137">
        <w:t>In the Lewis case, I noted the obvious response to this position:</w:t>
      </w:r>
    </w:p>
    <w:p w:rsidR="00A31137" w:rsidRPr="00A31137" w:rsidRDefault="00A31137" w:rsidP="00A31137">
      <w:r w:rsidRPr="00A31137">
        <w:t>1990, Rutan v. Republican Party, 497 U.S. 82</w:t>
      </w:r>
    </w:p>
    <w:p w:rsidR="00A31137" w:rsidRPr="00A31137" w:rsidRDefault="00A31137" w:rsidP="00A31137">
      <w:r w:rsidRPr="00A31137">
        <w:t>if the age of a pernicious practice were a sufficient reason for its continued acceptance, the constitutional attack on racial discrimination would, of course, have been doomed to failure.</w:t>
      </w:r>
    </w:p>
    <w:p w:rsidR="00A31137" w:rsidRPr="00A31137" w:rsidRDefault="00A31137" w:rsidP="00A31137">
      <w:r w:rsidRPr="00A31137">
        <w:t>1990, Rutan v. Republican Party, 497 U.S. 82</w:t>
      </w:r>
    </w:p>
    <w:p w:rsidR="00A31137" w:rsidRPr="00A31137" w:rsidRDefault="00A31137" w:rsidP="00A31137">
      <w:r w:rsidRPr="00A31137">
        <w:t>473 F.2d at 568, n. 14. See, e.g., Brown v. Board of Education, 347 U.S. 483 (1954). 3 I then added [497 U.S. 83] this comment on the specific application of that argument to patronage practices:</w:t>
      </w:r>
    </w:p>
    <w:p w:rsidR="00A31137" w:rsidRPr="00A31137" w:rsidRDefault="00A31137" w:rsidP="00A31137">
      <w:r w:rsidRPr="00A31137">
        <w:t>1990, Rutan v. Republican Party, 497 U.S. 83</w:t>
      </w:r>
    </w:p>
    <w:p w:rsidR="00A31137" w:rsidRPr="00A31137" w:rsidRDefault="00A31137" w:rsidP="00A31137">
      <w:r w:rsidRPr="00A31137">
        <w:t>Finally, our answer to the constitutional question is not foreclosed by the fact that the "spoils system has been entrenched in American history for almost two hundred years." Alomar v. Dwyer, 447 F.2d 482, 483 (2d Cir.1971). For most of that period it was assumed, without serious question or debate, that since a public employee has no constitutional right to his job, there can be no valid constitutional objection to his summary removal. See Bailey v. [497 U.S. 84] Richardson, 86 U.S.App.D.C. 248,182 F.2d 46, 59 (1950), affirmed per curiam by an equally divided Court, 341 U.S. 918; Adler v. Board of Education, 342 U.S. 485. But as Mr. Justice Marshall so forcefully stated in 1965 when he was a circuit judge,</w:t>
      </w:r>
    </w:p>
    <w:p w:rsidR="00A31137" w:rsidRPr="00A31137" w:rsidRDefault="00A31137" w:rsidP="00A31137">
      <w:r w:rsidRPr="00A31137">
        <w:t>1990, Rutan v. Republican Party, 497 U.S. 84</w:t>
      </w:r>
    </w:p>
    <w:p w:rsidR="00A31137" w:rsidRPr="00A31137" w:rsidRDefault="00A31137" w:rsidP="00A31137">
      <w:r w:rsidRPr="00A31137">
        <w:t>the theory that public employment which may be denied altogether may be subjected to any conditions, regardless of how unreasonable, has been uniformly rejected.</w:t>
      </w:r>
    </w:p>
    <w:p w:rsidR="00A31137" w:rsidRPr="00A31137" w:rsidRDefault="00A31137" w:rsidP="00A31137">
      <w:r w:rsidRPr="00A31137">
        <w:t>1990, Rutan v. Republican Party, 497 U.S. 84</w:t>
      </w:r>
    </w:p>
    <w:p w:rsidR="00A31137" w:rsidRPr="00A31137" w:rsidRDefault="00A31137" w:rsidP="00A31137">
      <w:r w:rsidRPr="00A31137">
        <w:t>Keyishian v. Board of Regents, 345 F.2d 236, 239 (2d Cir.1965). The development of constitutional law subsequent to the Supreme Court's unequivocal repudiation of the line of cases ending with Bailey v. Richardson and Adler v. Board of Education is more relevant than the preceding doctrine which is now "universally rejected."</w:t>
      </w:r>
    </w:p>
    <w:p w:rsidR="00A31137" w:rsidRPr="00A31137" w:rsidRDefault="00A31137" w:rsidP="00A31137">
      <w:r w:rsidRPr="00A31137">
        <w:t>1990, Rutan v. Republican Party, 497 U.S. 84</w:t>
      </w:r>
    </w:p>
    <w:p w:rsidR="00A31137" w:rsidRPr="00A31137" w:rsidRDefault="00A31137" w:rsidP="00A31137">
      <w:r w:rsidRPr="00A31137">
        <w:t>Lewis, 473 F.2d at 568 (footnotes and citations omitted).</w:t>
      </w:r>
    </w:p>
    <w:p w:rsidR="00A31137" w:rsidRPr="00A31137" w:rsidRDefault="00A31137" w:rsidP="00A31137">
      <w:r w:rsidRPr="00A31137">
        <w:t>1990, Rutan v. Republican Party, 497 U.S. 84</w:t>
      </w:r>
    </w:p>
    <w:p w:rsidR="00A31137" w:rsidRPr="00A31137" w:rsidRDefault="00A31137" w:rsidP="00A31137">
      <w:r w:rsidRPr="00A31137">
        <w:t>With respect to Justice SCALIA's view that, until Elrod v. Burns was decided in 1976, it was unthinkable that patronage could be unconstitutional, see post at 96-97, it seems appropriate to point out again not only that my views in Lewis antedated Elrod by several years, but, more importantly, that they were firmly grounded in several decades of decisions of this Court. As explained in Lewis:</w:t>
      </w:r>
    </w:p>
    <w:p w:rsidR="00A31137" w:rsidRPr="00A31137" w:rsidRDefault="00A31137" w:rsidP="00A31137">
      <w:r w:rsidRPr="00A31137">
        <w:t>1990, Rutan v. Republican Party, 497 U.S. 84</w:t>
      </w:r>
    </w:p>
    <w:p w:rsidR="00A31137" w:rsidRPr="00A31137" w:rsidRDefault="00A31137" w:rsidP="00A31137">
      <w:r w:rsidRPr="00A31137">
        <w:t>[In 1947,] a closely divided Supreme Court upheld a statute prohibiting federal civil service employees from taking an active part in partisan political activities. United Public Workers v. Mitchell, 330 U.S. 75. The dissenting Justices felt that such an abridgment of First Amendment rights could not be justified. The majority, however, concluded that the government's interests in not compromising the quality of public service and in not permitting individual employees to use their public offices to advance partisan causes were sufficient to justify the limitation on their freedom.</w:t>
      </w:r>
    </w:p>
    <w:p w:rsidR="00A31137" w:rsidRPr="00A31137" w:rsidRDefault="00A31137" w:rsidP="00A31137">
      <w:r w:rsidRPr="00A31137">
        <w:t>1990, Rutan v. Republican Party, 497 U.S. 84</w:t>
      </w:r>
    </w:p>
    <w:p w:rsidR="00A31137" w:rsidRPr="00A31137" w:rsidRDefault="00A31137" w:rsidP="00A31137">
      <w:r w:rsidRPr="00A31137">
        <w:t xml:space="preserve">There was no dispute within the Court over the proposition that the employees' interests in political action were protected by the First Amendment. The Justices' different conclusions stemmed from their different appraisals of the sufficiency of the justification for the restriction. That justification—the desirability of political neutrality in the public service and the avoidance of the use of the power and prestige of government to favor one party or the other—would condemn rather than support the alleged conduct of defendant in this case. Thus, in dicta, the Court unequivocally stated that the Legislature could not require allegiance to a particular political faith as a condition of public employment: [497 U.S. 85] </w:t>
      </w:r>
    </w:p>
    <w:p w:rsidR="00A31137" w:rsidRPr="00A31137" w:rsidRDefault="00A31137" w:rsidP="00A31137">
      <w:r w:rsidRPr="00A31137">
        <w:t>1990, Rutan v. Republican Party, 497 U.S. 85</w:t>
      </w:r>
    </w:p>
    <w:p w:rsidR="00A31137" w:rsidRPr="00A31137" w:rsidRDefault="00A31137" w:rsidP="00A31137">
      <w:r w:rsidRPr="00A31137">
        <w:t>Appellants urge that federal employees are protected by the Bill of Rights and that Congress may not "enact a regulation providing that no Republican, Jew or Negro shall be appointed to federal office, or that no federal employee shall attend Mass or take any active part in missionary work." None would deny such limitations on Congressional power but, because there are some limitations, it does not follow that a prohibition against acting as ward leader or worker at the polls is invalid.</w:t>
      </w:r>
    </w:p>
    <w:p w:rsidR="00A31137" w:rsidRPr="00A31137" w:rsidRDefault="00A31137" w:rsidP="00A31137">
      <w:r w:rsidRPr="00A31137">
        <w:t>1990, Rutan v. Republican Party, 497 U.S. 85</w:t>
      </w:r>
    </w:p>
    <w:p w:rsidR="00A31137" w:rsidRPr="00A31137" w:rsidRDefault="00A31137" w:rsidP="00A31137">
      <w:r w:rsidRPr="00A31137">
        <w:t>330 U.S. 75.</w:t>
      </w:r>
    </w:p>
    <w:p w:rsidR="00A31137" w:rsidRPr="00A31137" w:rsidRDefault="00A31137" w:rsidP="00A31137">
      <w:r w:rsidRPr="00A31137">
        <w:t>1990, Rutan v. Republican Party, 497 U.S. 85</w:t>
      </w:r>
    </w:p>
    <w:p w:rsidR="00A31137" w:rsidRPr="00A31137" w:rsidRDefault="00A31137" w:rsidP="00A31137">
      <w:r w:rsidRPr="00A31137">
        <w:t>In 1952, the Court quoted that dicta in support of its holding that the State of Oklahoma could not require its employees to profess their loyalty by denying past association with Communists. Wieman v. Updegraff, 344 U.S. 183, 191-192. That decision did not recognize any special right to public employment; rather, it rested on the impact of the requirement on the citizen's First Amendment rights. We think it unlikely that the Supreme Court would consider these plaintiffs' interest in freely associating with members of the Democratic Party less worthy of protection than the Oklahoma employees' interest in associating with Communists or former Communists.</w:t>
      </w:r>
    </w:p>
    <w:p w:rsidR="00A31137" w:rsidRPr="00A31137" w:rsidRDefault="00A31137" w:rsidP="00A31137">
      <w:r w:rsidRPr="00A31137">
        <w:t>1990, Rutan v. Republican Party, 497 U.S. 85</w:t>
      </w:r>
    </w:p>
    <w:p w:rsidR="00A31137" w:rsidRPr="00A31137" w:rsidRDefault="00A31137" w:rsidP="00A31137">
      <w:r w:rsidRPr="00A31137">
        <w:t xml:space="preserve">In 1961, the Court held that a civilian cook could be summarily excluded from a naval gun factory. Cafeteria and Restaurant Workers Union, Local 473, AFL-CIO v. McElroy, 367 U.S. 886. The government's interest in maintaining the security of the military installation outweighed the cook's interest in working at a particular location. Again, however, the Court explicitly assumed that the sovereign could not deny employment for the reason that the citizen was a member of a particular political party or religious faith—"that she could not have been kept out because she was a Democrat or a Methodist." 367 U.S. at 898. [497 U.S. 86] </w:t>
      </w:r>
    </w:p>
    <w:p w:rsidR="00A31137" w:rsidRPr="00A31137" w:rsidRDefault="00A31137" w:rsidP="00A31137">
      <w:r w:rsidRPr="00A31137">
        <w:t>1990, Rutan v. Republican Party, 497 U.S. 86</w:t>
      </w:r>
    </w:p>
    <w:p w:rsidR="00A31137" w:rsidRPr="00A31137" w:rsidRDefault="00A31137" w:rsidP="00A31137">
      <w:r w:rsidRPr="00A31137">
        <w:t>In 1968, the Court held that "a teacher's exercise of his right to speak on issues of public importance may not furnish the basis for his dismissal from public employment." Pickering v. Board of Education, 391 U.S. 563, 574 (1968). The Court noted that although criminal sanctions</w:t>
      </w:r>
    </w:p>
    <w:p w:rsidR="00A31137" w:rsidRPr="00A31137" w:rsidRDefault="00A31137" w:rsidP="00A31137">
      <w:r w:rsidRPr="00A31137">
        <w:t>1990, Rutan v. Republican Party, 497 U.S. 86</w:t>
      </w:r>
    </w:p>
    <w:p w:rsidR="00A31137" w:rsidRPr="00A31137" w:rsidRDefault="00A31137" w:rsidP="00A31137">
      <w:r w:rsidRPr="00A31137">
        <w:t>have a somewhat different impact on the exercise of the right to freedom of speech from dismissal from employment, it is apparent that the threat of dismissal from public employment is nonetheless a potent means of inhibiting speech.</w:t>
      </w:r>
    </w:p>
    <w:p w:rsidR="00A31137" w:rsidRPr="00A31137" w:rsidRDefault="00A31137" w:rsidP="00A31137">
      <w:r w:rsidRPr="00A31137">
        <w:t>1990, Rutan v. Republican Party, 497 U.S. 86</w:t>
      </w:r>
    </w:p>
    <w:p w:rsidR="00A31137" w:rsidRPr="00A31137" w:rsidRDefault="00A31137" w:rsidP="00A31137">
      <w:r w:rsidRPr="00A31137">
        <w:t>Ibid. The holding in Pickering was a natural sequel to Mr. Justice Frankfurter's comment in dissent in Shelton v. Tucker that a scheme to terminate the employment of teachers solely because of their membership in unpopular organizations would run afoul of the Fourteenth Amendment. 364 U.S. 479,  496.</w:t>
      </w:r>
    </w:p>
    <w:p w:rsidR="00A31137" w:rsidRPr="00A31137" w:rsidRDefault="00A31137" w:rsidP="00A31137">
      <w:r w:rsidRPr="00A31137">
        <w:t>1990, Rutan v. Republican Party, 497 U.S. 86</w:t>
      </w:r>
    </w:p>
    <w:p w:rsidR="00A31137" w:rsidRPr="00A31137" w:rsidRDefault="00A31137" w:rsidP="00A31137">
      <w:r w:rsidRPr="00A31137">
        <w:t>In 1972, the Court reaffirmed the proposition that a nontenured public servant has no constitutional right to public employment, but nevertheless may not be dismissed for exercising his First Amendment rights. Perry v. Sindermann, 408 U.S. 593. The Court's explanation of its holding is pertinent here:</w:t>
      </w:r>
    </w:p>
    <w:p w:rsidR="00A31137" w:rsidRPr="00A31137" w:rsidRDefault="00A31137" w:rsidP="00A31137">
      <w:r w:rsidRPr="00A31137">
        <w:t>1990, Rutan v. Republican Party, 497 U.S. 86</w:t>
      </w:r>
    </w:p>
    <w:p w:rsidR="00A31137" w:rsidRPr="00A31137" w:rsidRDefault="00A31137" w:rsidP="00A31137">
      <w:r w:rsidRPr="00A31137">
        <w:t xml:space="preserve">For at least a quarter century, this Court has made clear that, even though a person has no "right" to a valuable governmental benefit and even though the government may deny him the benefit for any number of reasons, there are some reasons upon which the government may not act. It may not deny a benefit to a person on a basis that infringes his constitutionally protected interests—especially, his interest in freedom of speech. For if the government could deny a benefit to a person because of his constitutionally protected speech or associations, his exercise of those freedoms would in effect be penalized and inhibited. This would allow the government to "produce a result which [it] could not command directly." Speiser v. Randall, 357 U.S. 513,  526. Such interference with constitutional rights is impermissible. [497 U.S. 87] </w:t>
      </w:r>
    </w:p>
    <w:p w:rsidR="00A31137" w:rsidRPr="00A31137" w:rsidRDefault="00A31137" w:rsidP="00A31137">
      <w:r w:rsidRPr="00A31137">
        <w:t>1990, Rutan v. Republican Party, 497 U.S. 87</w:t>
      </w:r>
    </w:p>
    <w:p w:rsidR="00A31137" w:rsidRPr="00A31137" w:rsidRDefault="00A31137" w:rsidP="00A31137">
      <w:r w:rsidRPr="00A31137">
        <w:t>We have applied this general principle to denials of tax exemptions, Speiser v. Randall, supra, unemployment benefits, Sherbert v. Verner, 374 U.S. 398, 404-405, and welfare payments, Shapiro v. Thompson, 394 U.S. 618, 627 n. 6; Graham v. Richardson, 403 U.S. 365, 374. But, most often, we have applied the principle to denials of public employment. United Public Workers v. Mitchell, 330 U.S. 75,  100; Wieman v. Updegraff, 344 U.S. 183,  192; Shelton v. Tucker, 364 U.S. 479, 485-486; Torcaso v. Watkins, 367 U.S. 488, 495-496; Cafeteria and Restaurant Workers, etc. v. McElroy, 367 U.S. 886, 894; Cramp v. Board of Public Instruction, 368 U.S. 278,  288; Baggett v. Bullitt, 377 U.S. 360; Elfbrandt v. Russell, 384 U.S. 11,  17; Keyishian v. Board of Regents, 385 U.S. 589, 605-06; Whitehill v. Elkins, 389 U.S. 54; United States v. Robel, 389 U.S. 258; Pickering v. Board of Education, 391 U.S. 563, 568. We have applied the principle regardless of the public employee's contractual or other claim to a job. Compare Pickering v. Board of Education, supra, with Shelton v. Tucker, supra.</w:t>
      </w:r>
    </w:p>
    <w:p w:rsidR="00A31137" w:rsidRPr="00A31137" w:rsidRDefault="00A31137" w:rsidP="00A31137">
      <w:r w:rsidRPr="00A31137">
        <w:t>1990, Rutan v. Republican Party, 497 U.S. 87</w:t>
      </w:r>
    </w:p>
    <w:p w:rsidR="00A31137" w:rsidRPr="00A31137" w:rsidRDefault="00A31137" w:rsidP="00A31137">
      <w:r w:rsidRPr="00A31137">
        <w:t>Thus the respondent's lack of a contractual or tenure "right" to reemployment for the 1969-1970 academic year is immaterial to his free speech claim….</w:t>
      </w:r>
    </w:p>
    <w:p w:rsidR="00A31137" w:rsidRPr="00A31137" w:rsidRDefault="00A31137" w:rsidP="00A31137">
      <w:r w:rsidRPr="00A31137">
        <w:t>1990, Rutan v. Republican Party, 497 U.S. 87</w:t>
      </w:r>
    </w:p>
    <w:p w:rsidR="00A31137" w:rsidRPr="00A31137" w:rsidRDefault="00A31137" w:rsidP="00A31137">
      <w:r w:rsidRPr="00A31137">
        <w:t>408 U.S. at  597.</w:t>
      </w:r>
    </w:p>
    <w:p w:rsidR="00A31137" w:rsidRPr="00A31137" w:rsidRDefault="00A31137" w:rsidP="00A31137">
      <w:r w:rsidRPr="00A31137">
        <w:t>1990, Rutan v. Republican Party, 497 U.S. 87</w:t>
      </w:r>
    </w:p>
    <w:p w:rsidR="00A31137" w:rsidRPr="00A31137" w:rsidRDefault="00A31137" w:rsidP="00A31137">
      <w:r w:rsidRPr="00A31137">
        <w:t>This circuit has given full effect to this principle.</w:t>
      </w:r>
    </w:p>
    <w:p w:rsidR="00A31137" w:rsidRPr="00A31137" w:rsidRDefault="00A31137" w:rsidP="00A31137">
      <w:r w:rsidRPr="00A31137">
        <w:t>1990, Rutan v. Republican Party, 497 U.S. 87</w:t>
      </w:r>
    </w:p>
    <w:p w:rsidR="00A31137" w:rsidRPr="00A31137" w:rsidRDefault="00A31137" w:rsidP="00A31137">
      <w:r w:rsidRPr="00A31137">
        <w:t>473 F.2d at 569-572 (footnotes and citations omitted). See also American Federation of State County and Municipal Employees, AFL-CIO v. Shapp, 443 Pa. 527, 537-545, 280 A.2d 375, 379-383 (1971) (Barbieri, J., dissenting).</w:t>
      </w:r>
    </w:p>
    <w:p w:rsidR="00A31137" w:rsidRPr="00A31137" w:rsidRDefault="00A31137" w:rsidP="00A31137">
      <w:r w:rsidRPr="00A31137">
        <w:t>1990, Rutan v. Republican Party, 497 U.S. 87</w:t>
      </w:r>
    </w:p>
    <w:p w:rsidR="00A31137" w:rsidRPr="00A31137" w:rsidRDefault="00A31137" w:rsidP="00A31137">
      <w:r w:rsidRPr="00A31137">
        <w:t>To avoid the force of the line of authority described in the foregoing passage, Justice SCALIA would weigh the supposed general state interest in patronage hiring against the [497 U.S. 88] aggregated interests of the many employees affected by the practice. This defense of patronage obfuscates the critical distinction between partisan interest and the public interest. 4 It assumes that governmental power and public resources [497 U.S. 89] —in this case employment opportunities—may appropriately be used to subsidize partisan activities even when the political affiliation of the employee or the job applicant is entirely unrelated to his or her public service. 5 The premise on which this position rests would justify the use of public funds to compensate party members for their campaign work, or conversely, a legislative enactment denying public employment to nonmembers of the majority party. If such legislation is unconstitutional—as it clearly would be—an equally pernicious rule promulgated by the Executive must also be invalid.</w:t>
      </w:r>
    </w:p>
    <w:p w:rsidR="00A31137" w:rsidRPr="00A31137" w:rsidRDefault="00A31137" w:rsidP="00A31137">
      <w:r w:rsidRPr="00A31137">
        <w:t>1990, Rutan v. Republican Party, 497 U.S. 89</w:t>
      </w:r>
    </w:p>
    <w:p w:rsidR="00A31137" w:rsidRPr="00A31137" w:rsidRDefault="00A31137" w:rsidP="00A31137">
      <w:r w:rsidRPr="00A31137">
        <w:t>Justice SCALIA argues that distinguishing "inducement and compulsion" reveals that a patronage system's impairment of the speech and associational rights of employees and would-be employees is insignificant. Post at 109-110. This analysis contradicts the harsh reality of party discipline that is the linchpin of his theory of patronage. Post at  105 (emphasizing the "link between patronage and party discipline, and between that and party success"). 6 More importantly, [497 U.S. 90] it rests on the long-rejected fallacy that a privilege may be burdened by unconstitutional conditions. See, e.g., Perry v. Sindermann, 408 U.S. 593,  597 (1972). There are a few jobs for which an individual's race or religion may be relevant, see Wygant v. Jackson Board of Education, 476 U.S. 267, 314-315 (1986) (dissenting opinion); there are many jobs for which political affiliation is relevant to the employee's ability to function effectively as part of a given administration. In those cases—in other words, cases in which "the efficiency of the public service," Public Workers v. Mitchell, 330 U.S. 75,  101 (1947), would be advanced by hiring workers who are loyal to the Governor's party—such hiring is permissible under the holdings in Elrod and Branti. This case, however, concerns jobs in which race, religion, and political affiliation are all equally and entirely irrelevant to the public service to be performed. When an individual has [497 U.S. 91] been denied employment for an impermissible reason, it is unacceptable to balance the constitutional rights of the individual against the political interests of the party in power. It seems to me obvious that the government may not discriminate against particular individuals in hopes of advancing partisan interests through the misuse 7 of public funds.</w:t>
      </w:r>
    </w:p>
    <w:p w:rsidR="00A31137" w:rsidRPr="00A31137" w:rsidRDefault="00A31137" w:rsidP="00A31137">
      <w:r w:rsidRPr="00A31137">
        <w:t>1990, Rutan v. Republican Party, 497 U.S. 91</w:t>
      </w:r>
    </w:p>
    <w:p w:rsidR="00A31137" w:rsidRPr="00A31137" w:rsidRDefault="00A31137" w:rsidP="00A31137">
      <w:r w:rsidRPr="00A31137">
        <w:t>The only systemic consideration permissible in these circumstances is not that of the controlling party, but that of the aggregate of burdened individuals. By impairing individuals' freedoms of belief and association, unfettered patronage practices undermine the "free functioning of the electoral process." Elrod, 427 U.S. at  356. As I wrote in 1972:</w:t>
      </w:r>
    </w:p>
    <w:p w:rsidR="00A31137" w:rsidRPr="00A31137" w:rsidRDefault="00A31137" w:rsidP="00A31137">
      <w:r w:rsidRPr="00A31137">
        <w:t>1990, Rutan v. Republican Party, 497 U.S. 91</w:t>
      </w:r>
    </w:p>
    <w:p w:rsidR="00A31137" w:rsidRPr="00A31137" w:rsidRDefault="00A31137" w:rsidP="00A31137">
      <w:r w:rsidRPr="00A31137">
        <w:t>Indeed, when numbers are considered, it is appropriate not merely to consider the rights of a particular janitor who may have been offered a bribe from the public treasury to obtain his political surrender, but also the impact on the body politic as a whole when the free political choice of millions of public servants is inhibited or manipulated by the selective award of public benefits. While the patronage system is defended in the name of democratic tradition, its paternalistic impact on the political [497 U.S. 92] process is actually at war with the deeper traditions of democracy embodied in the First Amendment.</w:t>
      </w:r>
    </w:p>
    <w:p w:rsidR="00A31137" w:rsidRPr="00A31137" w:rsidRDefault="00A31137" w:rsidP="00A31137">
      <w:r w:rsidRPr="00A31137">
        <w:t>1990, Rutan v. Republican Party, 497 U.S. 92</w:t>
      </w:r>
    </w:p>
    <w:p w:rsidR="00A31137" w:rsidRPr="00A31137" w:rsidRDefault="00A31137" w:rsidP="00A31137">
      <w:r w:rsidRPr="00A31137">
        <w:t>Lewis, 473 F.2d at 576. 8</w:t>
      </w:r>
    </w:p>
    <w:p w:rsidR="00A31137" w:rsidRPr="00A31137" w:rsidRDefault="00A31137" w:rsidP="00A31137">
      <w:r w:rsidRPr="00A31137">
        <w:t>1990, Rutan v. Republican Party, 497 U.S. 92</w:t>
      </w:r>
    </w:p>
    <w:p w:rsidR="00A31137" w:rsidRPr="00A31137" w:rsidRDefault="00A31137" w:rsidP="00A31137">
      <w:r w:rsidRPr="00A31137">
        <w:t>The tradition that is relevant in this case is the American commitment to examine and reexamine past and present practices against the basic principles embodied in the Constitution. The inspirational command by our President in 1961 is entirely consistent with that tradition: "Ask not what your country can do for you—ask what you can do for your country." This case involves a contrary command: "Ask not what job applicants can do for the State—ask what they can do for our party." Whatever traditional support may remain for a command of that ilk, it is plainly an illegitimate excuse for the practices rejected by the Court today.</w:t>
      </w:r>
    </w:p>
    <w:p w:rsidR="00A31137" w:rsidRPr="00A31137" w:rsidRDefault="00A31137" w:rsidP="00A31137">
      <w:r w:rsidRPr="00A31137">
        <w:t>SCALIA, J., dissenting</w:t>
      </w:r>
    </w:p>
    <w:p w:rsidR="00A31137" w:rsidRPr="00A31137" w:rsidRDefault="00A31137" w:rsidP="00A31137">
      <w:r w:rsidRPr="00A31137">
        <w:t>1990, Rutan v. Republican Party, 497 U.S. 92</w:t>
      </w:r>
    </w:p>
    <w:p w:rsidR="00A31137" w:rsidRPr="00A31137" w:rsidRDefault="00A31137" w:rsidP="00A31137">
      <w:r w:rsidRPr="00A31137">
        <w:t>Justice SCALIA, with whom The Chief Justice and Justice KENNEDY join, and with whom Justice O'CONNOR joins as to Parts II and III, dissenting.</w:t>
      </w:r>
    </w:p>
    <w:p w:rsidR="00A31137" w:rsidRPr="00A31137" w:rsidRDefault="00A31137" w:rsidP="00A31137">
      <w:r w:rsidRPr="00A31137">
        <w:t>1990, Rutan v. Republican Party, 497 U.S. 92</w:t>
      </w:r>
    </w:p>
    <w:p w:rsidR="00A31137" w:rsidRPr="00A31137" w:rsidRDefault="00A31137" w:rsidP="00A31137">
      <w:r w:rsidRPr="00A31137">
        <w:t>Today the Court establishes the constitutional principle that party membership is not a permissible factor in the dispensation of government jobs, except those jobs for the performance of which party affiliation is an "appropriate requirement." Ante at  64. It is hard to say precisely (or even generally) what that exception means, but if there is any category of jobs for whose performance party affiliation is not an appropriate requirement, it is the job of being a judge, where [497 U.S. 93] partisanship is not only unneeded but positively undesirable. It is, however, rare that a federal administration of one party will appoint a judge from another party. And it has always been rare. See Marbury v. Madison, 1 Cranch 137 (1803). Thus, the new principle that the Court today announces will be enforced by a corps of judges (the Members of this Court included) who overwhelmingly owe their office to its violation. Something must be wrong here, and I suggest it is the Court.</w:t>
      </w:r>
    </w:p>
    <w:p w:rsidR="00A31137" w:rsidRPr="00A31137" w:rsidRDefault="00A31137" w:rsidP="00A31137">
      <w:r w:rsidRPr="00A31137">
        <w:t>1990, Rutan v. Republican Party, 497 U.S. 93</w:t>
      </w:r>
    </w:p>
    <w:p w:rsidR="00A31137" w:rsidRPr="00A31137" w:rsidRDefault="00A31137" w:rsidP="00A31137">
      <w:r w:rsidRPr="00A31137">
        <w:t>The merit principle for government employment is probably the most favored in modern America, having been widely adopted by civil-service legislation at both the state and federal levels. But there is another point of view, described in characteristically Jacksonian fashion by an eminent practitioner of the patronage system, George Washington Plunkitt of Tammany Hall:</w:t>
      </w:r>
    </w:p>
    <w:p w:rsidR="00A31137" w:rsidRPr="00A31137" w:rsidRDefault="00A31137" w:rsidP="00A31137">
      <w:r w:rsidRPr="00A31137">
        <w:t>1990, Rutan v. Republican Party, 497 U.S. 93</w:t>
      </w:r>
    </w:p>
    <w:p w:rsidR="00A31137" w:rsidRPr="00A31137" w:rsidRDefault="00A31137" w:rsidP="00A31137">
      <w:r w:rsidRPr="00A31137">
        <w:t>I ain't up on sillygisms, but I can give you some arguments that nobody can answer.</w:t>
      </w:r>
    </w:p>
    <w:p w:rsidR="00A31137" w:rsidRPr="00A31137" w:rsidRDefault="00A31137" w:rsidP="00A31137">
      <w:r w:rsidRPr="00A31137">
        <w:t>1990, Rutan v. Republican Party, 497 U.S. 93</w:t>
      </w:r>
    </w:p>
    <w:p w:rsidR="00A31137" w:rsidRPr="00A31137" w:rsidRDefault="00A31137" w:rsidP="00A31137">
      <w:r w:rsidRPr="00A31137">
        <w:t>First, this great and glorious country was built up by political parties; second, parties can't hold together if their workers don't get offices when they win; third, if the parties go to pieces, the government they built up must go to pieces, too; fourth, then there'll be hell to pay.</w:t>
      </w:r>
    </w:p>
    <w:p w:rsidR="00A31137" w:rsidRPr="00A31137" w:rsidRDefault="00A31137" w:rsidP="00A31137">
      <w:r w:rsidRPr="00A31137">
        <w:t>1990, Rutan v. Republican Party, 497 U.S. 93</w:t>
      </w:r>
    </w:p>
    <w:p w:rsidR="00A31137" w:rsidRPr="00A31137" w:rsidRDefault="00A31137" w:rsidP="00A31137">
      <w:r w:rsidRPr="00A31137">
        <w:t xml:space="preserve">W. Riordon, Plunkitt of Tammany Hall 13 (1963). It may well be that the Good Government Leagues of America were right, and that Plunkitt, James Michael Curley and their ilk were wrong; but that is not entirely certain. As the merit principle has been extended and its effects increasingly felt; as the Boss Tweeds, the Tammany Halls, the Pendergast Machines, the Byrd Machines and the Daley Machines have faded into history; we find that political leaders at all levels increasingly complain of the helplessness of elected government, unprotected by "party discipline," before the demands of small and cohesive interest groups. [497 U.S. 94] </w:t>
      </w:r>
    </w:p>
    <w:p w:rsidR="00A31137" w:rsidRPr="00A31137" w:rsidRDefault="00A31137" w:rsidP="00A31137">
      <w:r w:rsidRPr="00A31137">
        <w:t>1990, Rutan v. Republican Party, 497 U.S. 94</w:t>
      </w:r>
    </w:p>
    <w:p w:rsidR="00A31137" w:rsidRPr="00A31137" w:rsidRDefault="00A31137" w:rsidP="00A31137">
      <w:r w:rsidRPr="00A31137">
        <w:t>The choice between patronage and the merit principle—or, to be more realistic about it, the choice between the desirable mix of merit and patronage principles in widely varying federal, state, and local political contexts—is not so clear that I would be prepared, as an original matter, to chisel a single, inflexible prescription into the Constitution. Fourteen years ago, in Elrod v. Burns, 427 U.S. 347 (1976), the Court did that. Elrod was limited however, as was the later decision of Branti v. Finkel, 445 U.S. 507 (1980), to patronage firings, leaving it to state and federal legislatures to determine when and where political affiliation could be taken into account in hirings and promotions. Today the Court makes its constitutional civil-service reform absolute, extending to all decisions regarding government employment. Because the First Amendment has never been thought to require this disposition, which may well have disastrous consequences for our political system, I dissent.</w:t>
      </w:r>
    </w:p>
    <w:p w:rsidR="00A31137" w:rsidRPr="00A31137" w:rsidRDefault="00A31137" w:rsidP="00A31137">
      <w:r w:rsidRPr="00A31137">
        <w:t>I</w:t>
      </w:r>
    </w:p>
    <w:p w:rsidR="00A31137" w:rsidRPr="00A31137" w:rsidRDefault="00A31137" w:rsidP="00A31137">
      <w:r w:rsidRPr="00A31137">
        <w:t>1990, Rutan v. Republican Party, 497 U.S. 94</w:t>
      </w:r>
    </w:p>
    <w:p w:rsidR="00A31137" w:rsidRPr="00A31137" w:rsidRDefault="00A31137" w:rsidP="00A31137">
      <w:r w:rsidRPr="00A31137">
        <w:t>The restrictions that the Constitution places upon the government in its capacity as lawmaker, i.e., as the regulator of private conduct, are not the same as the restrictions that it places upon the government in its capacity as employer. We have recognized this in many contexts, with respect to many different constitutional guarantees. Private citizens perhaps cannot be prevented from wearing long hair, but policemen can. Kelley v. Johnson, 425 U.S. 238, 247 (1976). Private citizens cannot have their property searched without probable cause, but in many circumstances government employees can. O'Connor v. Ortega, 480 U.S. 709, 723 (1987) (plurality opinion); id. at 732 (SCALIA, J., concurring in judgment). Private citizens cannot be punished for refusing to provide the government information that may incriminate them, but government employees can be dismissed when the incriminating information that they refuse to provide relates to the performance of their job. Gardner v. Broderick, 392 [497 U.S. 95] U.S. 273, 277-278 (1968). With regard to freedom of speech in particular: Private citizens cannot be punished for speech of merely private concern, but government employees can be fired for that reason. Connick v. Myers, 461 U.S. 138, 147 (1983). Private citizens cannot be punished for partisan political activity, but federal and state employees can be dismissed and otherwise punished for that reason. Public Workers v. Mitchell, 330 U.S. 75,  101 (1947); CSC v. Letter Carriers, 413 U.S. 548, 556 (1973); Broadrick v. Oklahoma, 413 U.S. 601, 616-617 (1973).</w:t>
      </w:r>
    </w:p>
    <w:p w:rsidR="00A31137" w:rsidRPr="00A31137" w:rsidRDefault="00A31137" w:rsidP="00A31137">
      <w:r w:rsidRPr="00A31137">
        <w:t>1990, Rutan v. Republican Party, 497 U.S. 95</w:t>
      </w:r>
    </w:p>
    <w:p w:rsidR="00A31137" w:rsidRPr="00A31137" w:rsidRDefault="00A31137" w:rsidP="00A31137">
      <w:r w:rsidRPr="00A31137">
        <w:t>Once it is acknowledged that the Constitution's prohibition against laws "abridging the freedom of speech" does not apply to laws enacted in the government's capacity as employer the same way it does to laws enacted in the government's capacity as regulator of private conduct, it may sometimes be difficult to assess what employment practices are permissible and what are not. That seems to me not a difficult question, however, in the present context. The provisions of the Bill of Rights were designed to restrain transient majorities from impairing long-recognized personal liberties. They did not create by implication novel individual rights overturning accepted political norms. Thus, when a practice not expressly prohibited by the text of the Bill of Rights bears the endorsement of a long tradition of open, widespread, and unchallenged use that dates back to the beginning of the Republic, we have no proper basis for striking it down. 1 Such a venerable and accepted tradition is not to [497 U.S. 96] be laid on the examining table and scrutinized for its conformity to some abstract principle of First Amendment adjudication devised by this Court. To the contrary, such traditions are themselves the stuff out of which the Court's principles are to be formed. They are, in these uncertain areas, the very points of reference by which the legitimacy or illegitimacy of other practices are to be figured out. When it appears that the latest "rule," or "three-part test," or "balancing test" devised by the Court has placed us on a collision course with such a landmark practice, it is the former that must be recalculated by us, and not the latter that must be abandoned by our citizens. I know of no other way to formulate a constitutional jurisprudence that reflects, as it should, the principles adhered to, over time, by the American people, rather than those favored by the personal (and necessarily shifting) philosophical dispositions of a majority of this Court.</w:t>
      </w:r>
    </w:p>
    <w:p w:rsidR="00A31137" w:rsidRPr="00A31137" w:rsidRDefault="00A31137" w:rsidP="00A31137">
      <w:r w:rsidRPr="00A31137">
        <w:t>1990, Rutan v. Republican Party, 497 U.S. 96</w:t>
      </w:r>
    </w:p>
    <w:p w:rsidR="00A31137" w:rsidRPr="00A31137" w:rsidRDefault="00A31137" w:rsidP="00A31137">
      <w:r w:rsidRPr="00A31137">
        <w:t>I will not describe at length the claim of patronage to landmark status as one of our accepted political traditions. Justice Powell discussed it in his dissenting opinions in Elrod and Branti. Elrod, 427 U.S. at 378-379 (Powell, J., dissenting); Branti, 445 U.S. at 522, n. 1 (Powell, J., dissenting). Suffice it to say that patronage was, without any thought that it could be unconstitutional, a basis for government employment from the earliest days of the Republic until Elrod—and has continued unabated since Elrod to the extent still permitted by that unfortunate decision. See, e.g., D. Price, Bringing Back the Parties 24, 32 (1984); Gardner, A Theory of the Spoils System, 54 Public Choice 171, 181 (1987); Toinet &amp; Glenn, Clientelism and Corruption in the "Open" Society: The Case of the United States, in Private Patronage and Public Power 193, 202 (C. Clapham ed. [497 U.S. 97] 1982). Given that unbroken tradition regarding the application of an ambiguous constitutional text, there was in my view no basis for holding that patronage-based dismissals violated the First Amendment—much less for holding, as the Court does today, that even patronage hiring does so. 2</w:t>
      </w:r>
    </w:p>
    <w:p w:rsidR="00A31137" w:rsidRPr="00A31137" w:rsidRDefault="00A31137" w:rsidP="00A31137">
      <w:r w:rsidRPr="00A31137">
        <w:t>II</w:t>
      </w:r>
    </w:p>
    <w:p w:rsidR="00A31137" w:rsidRPr="00A31137" w:rsidRDefault="00A31137" w:rsidP="00A31137">
      <w:r w:rsidRPr="00A31137">
        <w:t>1990, Rutan v. Republican Party, 497 U.S. 97</w:t>
      </w:r>
    </w:p>
    <w:p w:rsidR="00A31137" w:rsidRPr="00A31137" w:rsidRDefault="00A31137" w:rsidP="00A31137">
      <w:r w:rsidRPr="00A31137">
        <w:t>Even accepting the Court's own mode of analysis, however, and engaging in "balancing" a tradition that ought to be part of the scales, Elrod, Branti, and today's extension of them seem to me wrong.</w:t>
      </w:r>
    </w:p>
    <w:p w:rsidR="00A31137" w:rsidRPr="00A31137" w:rsidRDefault="00A31137" w:rsidP="00A31137">
      <w:r w:rsidRPr="00A31137">
        <w:t>A</w:t>
      </w:r>
    </w:p>
    <w:p w:rsidR="00A31137" w:rsidRPr="00A31137" w:rsidRDefault="00A31137" w:rsidP="00A31137">
      <w:r w:rsidRPr="00A31137">
        <w:t>1990, Rutan v. Republican Party, 497 U.S. 97</w:t>
      </w:r>
    </w:p>
    <w:p w:rsidR="00A31137" w:rsidRPr="00A31137" w:rsidRDefault="00A31137" w:rsidP="00A31137">
      <w:r w:rsidRPr="00A31137">
        <w:t>The Court limits patronage on the ground that the individual's interest in uncoerced belief and expression outweighs the systemic interests invoked to justify the practice. Ante [497 U.S. 98] at 68-72. The opinion indicates that the government may prevail only if it proves that the practice is "narrowly tailored to further vital government interests." Ante at 74.</w:t>
      </w:r>
    </w:p>
    <w:p w:rsidR="00A31137" w:rsidRPr="00A31137" w:rsidRDefault="00A31137" w:rsidP="00A31137">
      <w:r w:rsidRPr="00A31137">
        <w:t>1990, Rutan v. Republican Party, 497 U.S. 98</w:t>
      </w:r>
    </w:p>
    <w:p w:rsidR="00A31137" w:rsidRPr="00A31137" w:rsidRDefault="00A31137" w:rsidP="00A31137">
      <w:r w:rsidRPr="00A31137">
        <w:t>That strict-scrutiny standard finds no support in our cases. Although our decisions establish that government employees do not lose all constitutional rights, we have consistently applied a lower level of scrutiny when</w:t>
      </w:r>
    </w:p>
    <w:p w:rsidR="00A31137" w:rsidRPr="00A31137" w:rsidRDefault="00A31137" w:rsidP="00A31137">
      <w:r w:rsidRPr="00A31137">
        <w:t>1990, Rutan v. Republican Party, 497 U.S. 98</w:t>
      </w:r>
    </w:p>
    <w:p w:rsidR="00A31137" w:rsidRPr="00A31137" w:rsidRDefault="00A31137" w:rsidP="00A31137">
      <w:r w:rsidRPr="00A31137">
        <w:t>the governmental function operating…[is] not the power to regulate or license, as lawmaker, an entire trade or profession, or to control an entire branch of private business, but, rather, as proprietor, to manage [its] internal operatio[ns]….</w:t>
      </w:r>
    </w:p>
    <w:p w:rsidR="00A31137" w:rsidRPr="00A31137" w:rsidRDefault="00A31137" w:rsidP="00A31137">
      <w:r w:rsidRPr="00A31137">
        <w:t>1990, Rutan v. Republican Party, 497 U.S. 98</w:t>
      </w:r>
    </w:p>
    <w:p w:rsidR="00A31137" w:rsidRPr="00A31137" w:rsidRDefault="00A31137" w:rsidP="00A31137">
      <w:r w:rsidRPr="00A31137">
        <w:t>Cafeteria &amp; Restaurant Workers v. McElroy, 367 U.S. 886, 896 (1961). When dealing with its own employees, the government may not act in a manner that is "patently arbitrary or discriminatory," id. at 898, but its regulations are valid if they bear a "rational connection" to the governmental end sought to be served, Kelley v. Johnson, 425 U.S. at 247.</w:t>
      </w:r>
    </w:p>
    <w:p w:rsidR="00A31137" w:rsidRPr="00A31137" w:rsidRDefault="00A31137" w:rsidP="00A31137">
      <w:r w:rsidRPr="00A31137">
        <w:t>1990, Rutan v. Republican Party, 497 U.S. 98</w:t>
      </w:r>
    </w:p>
    <w:p w:rsidR="00A31137" w:rsidRPr="00A31137" w:rsidRDefault="00A31137" w:rsidP="00A31137">
      <w:r w:rsidRPr="00A31137">
        <w:t>In particular, restrictions on speech by public employees are not judged by the test applicable to similar restrictions on speech by nonemployees. We have said that</w:t>
      </w:r>
    </w:p>
    <w:p w:rsidR="00A31137" w:rsidRPr="00A31137" w:rsidRDefault="00A31137" w:rsidP="00A31137">
      <w:r w:rsidRPr="00A31137">
        <w:t>1990, Rutan v. Republican Party, 497 U.S. 98</w:t>
      </w:r>
    </w:p>
    <w:p w:rsidR="00A31137" w:rsidRPr="00A31137" w:rsidRDefault="00A31137" w:rsidP="00A31137">
      <w:r w:rsidRPr="00A31137">
        <w:t>[a] governmental employer may subject its employees to such special restrictions on free expression as are reasonably necessary to promote effective government.</w:t>
      </w:r>
    </w:p>
    <w:p w:rsidR="00A31137" w:rsidRPr="00A31137" w:rsidRDefault="00A31137" w:rsidP="00A31137">
      <w:r w:rsidRPr="00A31137">
        <w:t>1990, Rutan v. Republican Party, 497 U.S. 98</w:t>
      </w:r>
    </w:p>
    <w:p w:rsidR="00A31137" w:rsidRPr="00A31137" w:rsidRDefault="00A31137" w:rsidP="00A31137">
      <w:r w:rsidRPr="00A31137">
        <w:t>Brown v. Glines, 444 U.S. 348, 356, n. 13, (1980). In Public Workers v. Mitchell, 330 U.S. at  101, upholding provisions of the Hatch Act which prohibit political activities by federal employees, we said that</w:t>
      </w:r>
    </w:p>
    <w:p w:rsidR="00A31137" w:rsidRPr="00A31137" w:rsidRDefault="00A31137" w:rsidP="00A31137">
      <w:r w:rsidRPr="00A31137">
        <w:t>1990, Rutan v. Republican Party, 497 U.S. 98</w:t>
      </w:r>
    </w:p>
    <w:p w:rsidR="00A31137" w:rsidRPr="00A31137" w:rsidRDefault="00A31137" w:rsidP="00A31137">
      <w:r w:rsidRPr="00A31137">
        <w:t>it is not necessary that the act regulated be anything more than an act reasonably deemed by Congress to interfere with the efficiency of the public service.</w:t>
      </w:r>
    </w:p>
    <w:p w:rsidR="00A31137" w:rsidRPr="00A31137" w:rsidRDefault="00A31137" w:rsidP="00A31137">
      <w:r w:rsidRPr="00A31137">
        <w:t>1990, Rutan v. Republican Party, 497 U.S. 98</w:t>
      </w:r>
    </w:p>
    <w:p w:rsidR="00A31137" w:rsidRPr="00A31137" w:rsidRDefault="00A31137" w:rsidP="00A31137">
      <w:r w:rsidRPr="00A31137">
        <w:t>We reaffirmed Mitchell in CSC v. Letter Carriers, 413 U.S. at 556, over a dissent by Justice Douglas arguing against application of a special standard to government employees, except insofar as their "job performance" is concerned, id. at 597. We did not say that the Hatch Act was narrowly tailored to meet [497 U.S. 99] the government's interest, but merely deferred to the judgment of Congress, which we were not "in any position to dispute." Id. at 567. Indeed, we recognized that the Act was not indispensably necessary to achieve those ends, since we repeatedly noted that "Congress at some time [may] come to a different view." Ibid., see also id. at 555, 564. In Broadrick v. Oklahoma, 413 U.S. 601 (1973), we upheld similar restrictions on state employees, though directed "at political expression which if engaged in by private persons would plainly be protected by the First and Fourteenth Amendments," id. at  616.</w:t>
      </w:r>
    </w:p>
    <w:p w:rsidR="00A31137" w:rsidRPr="00A31137" w:rsidRDefault="00A31137" w:rsidP="00A31137">
      <w:r w:rsidRPr="00A31137">
        <w:t>1990, Rutan v. Republican Party, 497 U.S. 99</w:t>
      </w:r>
    </w:p>
    <w:p w:rsidR="00A31137" w:rsidRPr="00A31137" w:rsidRDefault="00A31137" w:rsidP="00A31137">
      <w:r w:rsidRPr="00A31137">
        <w:t>To the same effect are cases that specifically concern adverse employment action taken against public employees because of their speech. In Pickering v. Board of Education of Township High School Dist., 391 U.S. 563, 568 (1968), we recognized:</w:t>
      </w:r>
    </w:p>
    <w:p w:rsidR="00A31137" w:rsidRPr="00A31137" w:rsidRDefault="00A31137" w:rsidP="00A31137">
      <w:r w:rsidRPr="00A31137">
        <w:t>1990, Rutan v. Republican Party, 497 U.S. 99</w:t>
      </w:r>
    </w:p>
    <w:p w:rsidR="00A31137" w:rsidRPr="00A31137" w:rsidRDefault="00A31137" w:rsidP="00A31137">
      <w:r w:rsidRPr="00A31137">
        <w:t>[T]he State has interests as an employer in regulating the speech of its employees that differ significantly from those it possesses in connection with regulation of the speech of the citizenry in general. The problem in any case is to arrive at a balance between the interests of the [employee], as a citizen, in commenting upon matters of public concern and the interests of the State, as an employer, in promoting the efficiency of the public services it performs through its employees.</w:t>
      </w:r>
    </w:p>
    <w:p w:rsidR="00A31137" w:rsidRPr="00A31137" w:rsidRDefault="00A31137" w:rsidP="00A31137">
      <w:r w:rsidRPr="00A31137">
        <w:t>1990, Rutan v. Republican Party, 497 U.S. 99</w:t>
      </w:r>
    </w:p>
    <w:p w:rsidR="00A31137" w:rsidRPr="00A31137" w:rsidRDefault="00A31137" w:rsidP="00A31137">
      <w:r w:rsidRPr="00A31137">
        <w:t>Because the restriction on speech is more attenuated when the government conditions employment than when it imposes criminal penalties, and because "government offices could not function if every employment decision became a constitutional matter," Connick v. Myers, 461 U.S. at 143, we have held that government employment decisions taken on the basis of an employee's speech do not "abridg[e] the freedom of speech," U.S. Const., Amdt. 1, merely because they fail [497 U.S. 100] the narrow-tailoring and compelling-interest tests applicable to direct regulation of speech. We have not subjected such decisions to strict scrutiny, but have accorded "a wide degree of deference to the employer's judgment" that an employee's speech will interfere with close working relationships. 461 U.S. at 152.</w:t>
      </w:r>
    </w:p>
    <w:p w:rsidR="00A31137" w:rsidRPr="00A31137" w:rsidRDefault="00A31137" w:rsidP="00A31137">
      <w:r w:rsidRPr="00A31137">
        <w:t>1990, Rutan v. Republican Party, 497 U.S. 100</w:t>
      </w:r>
    </w:p>
    <w:p w:rsidR="00A31137" w:rsidRPr="00A31137" w:rsidRDefault="00A31137" w:rsidP="00A31137">
      <w:r w:rsidRPr="00A31137">
        <w:t>When the government takes adverse action against an employee on the basis of his political affiliation (an interest whose constitutional protection is derived from the interest in speech), the same analysis applies. That is why both the Elrod plurality, 427 U.S. at  359, and the opinion concurring in the judgment, id. at  375, as well as Branti, 445 U.S. at 514-515, and the Court today, ante at  72, rely on Perry v. Sindermann, 408 U.S. 593 (1972), a case that applied the test announced in Pickering, not the strict-scrutiny test applied to restrictions imposed on the public at large. Since the government may dismiss an employee for political speech "reasonably deemed by Congress to interfere with the efficiency of the public service," Public Workers v. Mitchell, supra, 330 U.S. at  101, it follows a fortiori that the government may dismiss an employee for political affiliation if "reasonably necessary to promote effective government." Brown v. Glines, supra, 444 U.S. at 356, n. 13.</w:t>
      </w:r>
    </w:p>
    <w:p w:rsidR="00A31137" w:rsidRPr="00A31137" w:rsidRDefault="00A31137" w:rsidP="00A31137">
      <w:r w:rsidRPr="00A31137">
        <w:t>1990, Rutan v. Republican Party, 497 U.S. 100</w:t>
      </w:r>
    </w:p>
    <w:p w:rsidR="00A31137" w:rsidRPr="00A31137" w:rsidRDefault="00A31137" w:rsidP="00A31137">
      <w:r w:rsidRPr="00A31137">
        <w:t>While it is clear from the above cases that the normal "strict scrutiny" that we accord to government regulation of speech is not applicable in this field, 3 the precise test that replaces [497 U.S. 101] it is not so clear; we have used various formulations. The one that appears in the case dealing with an employment practice closest in its effects to patronage is whether the [497 U.S. 102] practice could be "reasonably deemed" by the enacting legislature to further a legitimate goal. Public Workers v. Mitchell, supra, 330 U.S. at 101. For purposes of my ensuing discussion, however, I will apply a less permissive standard that seems more in accord with our general "balancing" test: can the governmental advantages of this employment practice reasonably be deemed to outweigh its "coercive" effects?</w:t>
      </w:r>
    </w:p>
    <w:p w:rsidR="00A31137" w:rsidRPr="00A31137" w:rsidRDefault="00A31137" w:rsidP="00A31137">
      <w:r w:rsidRPr="00A31137">
        <w:t>B</w:t>
      </w:r>
    </w:p>
    <w:p w:rsidR="00A31137" w:rsidRPr="00A31137" w:rsidRDefault="00A31137" w:rsidP="00A31137">
      <w:r w:rsidRPr="00A31137">
        <w:t>1990, Rutan v. Republican Party, 497 U.S. 102</w:t>
      </w:r>
    </w:p>
    <w:p w:rsidR="00A31137" w:rsidRPr="00A31137" w:rsidRDefault="00A31137" w:rsidP="00A31137">
      <w:r w:rsidRPr="00A31137">
        <w:t>Preliminarily, I may observe that the Court today not only declines, in this area replete with constitutional ambiguities, to give the clear and continuing tradition of our people the dispositive effect I think it deserves, but even declines to give it substantial weight in the balancing. That is contrary to what the Court has done in many other contexts. In evaluating [497 U.S. 103] so-called "substantive due process" claims, we have examined our history and tradition with respect to the asserted right. See, e.g., Michael H. v. Gerald D., 491 U.S. 110 (1989); Bowers v. Hardwick, 478 U.S. 186, 192-194 (1986). In evaluating claims that a particular procedure violates the Due Process Clause, we have asked whether the procedure is traditional. See, e.g., Burnham v. Superior Court of California, Marin County, 495 U.S. 604 (1990). And in applying the Fourth Amendment's reasonableness test, we have looked to the history of judicial and public acceptance of the type of search in question. See, e.g., Camara v. Municipal Court of San Francisco, 387 U.S. 523, 537 (1967). See also Press-Enterprise Co. v. Superior Court of California, Riverside County, 478 U.S. 1, 8 (1986) (tradition of accessibility to judicial proceedings implies judgment of experience that individual's interest in access outweighs government's interest in closure); Richmond Newspapers, Inc. v. Virginia, 448 U.S. 555,  589 (1980) (BRENNAN, J., concurring in judgment) ("Such a tradition [of public access] commands respect in part because the Constitution carries the gloss of history"); Walz v. Tax Comm'n of New York, 397 U.S. 664,  678 (1970) ("unbroken practice of according the [property tax] exemption to churches" demonstrates that it does not violate Establishment Clause).</w:t>
      </w:r>
    </w:p>
    <w:p w:rsidR="00A31137" w:rsidRPr="00A31137" w:rsidRDefault="00A31137" w:rsidP="00A31137">
      <w:r w:rsidRPr="00A31137">
        <w:t>1990, Rutan v. Republican Party, 497 U.S. 103</w:t>
      </w:r>
    </w:p>
    <w:p w:rsidR="00A31137" w:rsidRPr="00A31137" w:rsidRDefault="00A31137" w:rsidP="00A31137">
      <w:r w:rsidRPr="00A31137">
        <w:t>But even laying tradition entirely aside, it seems to me our balancing test is amply met. I assume, as the Court's opinion assumes, that the balancing is to be done on a generalized basis, and not case-by-case. The Court holds that the governmental benefits of patronage cannot reasonably be thought to outweigh its "coercive" effects (even the lesser "coercive" effects of patronage hiring as opposed to patronage firing) not merely in 1990 in the State of Illinois, but at any time in any of the numerous political subdivisions of this vast country. It seems to me that that categorical pronouncement reflects a naive vision of politics and an inadequate appreciation of the systemic effects of patronage in promoting political stability [497 U.S. 104] and facilitating the social and political integration of previously powerless groups.</w:t>
      </w:r>
    </w:p>
    <w:p w:rsidR="00A31137" w:rsidRPr="00A31137" w:rsidRDefault="00A31137" w:rsidP="00A31137">
      <w:r w:rsidRPr="00A31137">
        <w:t>1990, Rutan v. Republican Party, 497 U.S. 104</w:t>
      </w:r>
    </w:p>
    <w:p w:rsidR="00A31137" w:rsidRPr="00A31137" w:rsidRDefault="00A31137" w:rsidP="00A31137">
      <w:r w:rsidRPr="00A31137">
        <w:t>The whole point of my dissent is that the desirability of patronage is a policy question to be decided by the people's representatives; I do not mean, therefore, to endorse that system. But in order to demonstrate that a legislature could reasonably determine that its benefits outweigh its "coercive" effects, I must describe those benefits as the proponents of patronage see them: As Justice Powell discussed at length in his Elrod dissent, patronage stabilizes political parties and prevents excessive political fragmentation—both of which are results in which States have a strong governmental interest. Party strength requires the efforts of the rank-and-file, especially in "the dull periods between elections," to perform such tasks as organizing precincts, registering new voters, and providing constituent services. Elrod, 427 U.S. at  385 (dissenting opinion). Even the most enthusiastic supporter of a party's program will shrink before such drudgery, and it is folly to think that ideological conviction alone will motivate sufficient numbers to keep the party going through the off-years.</w:t>
      </w:r>
    </w:p>
    <w:p w:rsidR="00A31137" w:rsidRPr="00A31137" w:rsidRDefault="00A31137" w:rsidP="00A31137">
      <w:r w:rsidRPr="00A31137">
        <w:t>1990, Rutan v. Republican Party, 497 U.S. 104</w:t>
      </w:r>
    </w:p>
    <w:p w:rsidR="00A31137" w:rsidRPr="00A31137" w:rsidRDefault="00A31137" w:rsidP="00A31137">
      <w:r w:rsidRPr="00A31137">
        <w:t>For the most part, as every politician knows, the hope of some reward generates a major portion of the local political activity supporting parties.</w:t>
      </w:r>
    </w:p>
    <w:p w:rsidR="00A31137" w:rsidRPr="00A31137" w:rsidRDefault="00A31137" w:rsidP="00A31137">
      <w:r w:rsidRPr="00A31137">
        <w:t>1990, Rutan v. Republican Party, 497 U.S. 104</w:t>
      </w:r>
    </w:p>
    <w:p w:rsidR="00A31137" w:rsidRPr="00A31137" w:rsidRDefault="00A31137" w:rsidP="00A31137">
      <w:r w:rsidRPr="00A31137">
        <w:t>Ibid. Here is the judgment of one such politician, Jacob Arvey (best known as the promoter of Adlai Stevenson): Patronage is</w:t>
      </w:r>
    </w:p>
    <w:p w:rsidR="00A31137" w:rsidRPr="00A31137" w:rsidRDefault="00A31137" w:rsidP="00A31137">
      <w:r w:rsidRPr="00A31137">
        <w:t>1990, Rutan v. Republican Party, 497 U.S. 104</w:t>
      </w:r>
    </w:p>
    <w:p w:rsidR="00A31137" w:rsidRPr="00A31137" w:rsidRDefault="00A31137" w:rsidP="00A31137">
      <w:r w:rsidRPr="00A31137">
        <w:t>"a necessary evil if you want a strong organization, because the patronage system permits of discipline, and without discipline, there's no party organization."</w:t>
      </w:r>
    </w:p>
    <w:p w:rsidR="00A31137" w:rsidRPr="00A31137" w:rsidRDefault="00A31137" w:rsidP="00A31137">
      <w:r w:rsidRPr="00A31137">
        <w:t>1990, Rutan v. Republican Party, 497 U.S. 104</w:t>
      </w:r>
    </w:p>
    <w:p w:rsidR="00A31137" w:rsidRPr="00A31137" w:rsidRDefault="00A31137" w:rsidP="00A31137">
      <w:r w:rsidRPr="00A31137">
        <w:t>Quoted in M. Tolchin &amp; S. Tolchin, To the Victor 36 (1971). A major study of the patronage system describes the reality as follows:</w:t>
      </w:r>
    </w:p>
    <w:p w:rsidR="00A31137" w:rsidRPr="00A31137" w:rsidRDefault="00A31137" w:rsidP="00A31137">
      <w:r w:rsidRPr="00A31137">
        <w:t>1990, Rutan v. Republican Party, 497 U.S. 104</w:t>
      </w:r>
    </w:p>
    <w:p w:rsidR="00A31137" w:rsidRPr="00A31137" w:rsidRDefault="00A31137" w:rsidP="00A31137">
      <w:r w:rsidRPr="00A31137">
        <w:t>[A]lthough men have many motives for entering political life…the vast underpinning of both major parties is made up of men who seek practical rewards. Tangible advantages constitute the unifying thread of most successful political practitioners….</w:t>
      </w:r>
    </w:p>
    <w:p w:rsidR="00A31137" w:rsidRPr="00A31137" w:rsidRDefault="00A31137" w:rsidP="00A31137">
      <w:r w:rsidRPr="00A31137">
        <w:t>1990, Rutan v. Republican Party, 497 U.S. 104</w:t>
      </w:r>
    </w:p>
    <w:p w:rsidR="00A31137" w:rsidRPr="00A31137" w:rsidRDefault="00A31137" w:rsidP="00A31137">
      <w:r w:rsidRPr="00A31137">
        <w:t xml:space="preserve">Id. at 22. [497 U.S. 105] </w:t>
      </w:r>
    </w:p>
    <w:p w:rsidR="00A31137" w:rsidRPr="00A31137" w:rsidRDefault="00A31137" w:rsidP="00A31137">
      <w:r w:rsidRPr="00A31137">
        <w:t>1990, Rutan v. Republican Party, 497 U.S. 105</w:t>
      </w:r>
    </w:p>
    <w:p w:rsidR="00A31137" w:rsidRPr="00A31137" w:rsidRDefault="00A31137" w:rsidP="00A31137">
      <w:r w:rsidRPr="00A31137">
        <w:t>With so little patronage cement, party discipline is relatively low; the rate of participation and amount of service the party can extract from [Montclair] county committeemen are minuscule compared with Cook County. The party considers itself lucky if 50 percent of its committeemen show up at meetings—even those labeled "urgent"—while even lower percentages turn out at functions intended to produce crowds for visiting candidates.</w:t>
      </w:r>
    </w:p>
    <w:p w:rsidR="00A31137" w:rsidRPr="00A31137" w:rsidRDefault="00A31137" w:rsidP="00A31137">
      <w:r w:rsidRPr="00A31137">
        <w:t>1990, Rutan v. Republican Party, 497 U.S. 105</w:t>
      </w:r>
    </w:p>
    <w:p w:rsidR="00A31137" w:rsidRPr="00A31137" w:rsidRDefault="00A31137" w:rsidP="00A31137">
      <w:r w:rsidRPr="00A31137">
        <w:t>Id. at 123. See also W. Grimshaw, The Political Economy of Machine Politics, 4 Corruption and Reform 15, 30 (1989); G. Pomper, Voters, Elections, and Parties 255 (1988); Wolfinger, Why Political Machines Have Not Withered Away and Other Revisionist Thoughts, 34 J.Politics 365, 384 (1972).</w:t>
      </w:r>
    </w:p>
    <w:p w:rsidR="00A31137" w:rsidRPr="00A31137" w:rsidRDefault="00A31137" w:rsidP="00A31137">
      <w:r w:rsidRPr="00A31137">
        <w:t>1990, Rutan v. Republican Party, 497 U.S. 105</w:t>
      </w:r>
    </w:p>
    <w:p w:rsidR="00A31137" w:rsidRPr="00A31137" w:rsidRDefault="00A31137" w:rsidP="00A31137">
      <w:r w:rsidRPr="00A31137">
        <w:t>The Court simply refuses to acknowledge the link between patronage and party discipline, and between that and party success. It relies (as did the plurality in Elrod, 427 U.S. at  369, n. 23) on a single study of a rural Pennsylvania county by Professor Sorauf, ante at  75—a work that has been described as "more persuasive about the ineffectuality of Democratic leaders in Centre County than about the generalizability of [its] findings." Wolfinger, supra, at 384, n. 39. It is unpersuasive to claim, as the Court does, that party workers are obsolete because campaigns are now conducted through media and other money-intensive means. Ante at  75. Those techniques have supplemented but not supplanted personal contacts. See Price, Bringing Back the Parties, at 25. Certainly they have not made personal contacts unnecessary in campaigns for the lower-level offices that are the foundations of party strength, nor have they replaced the myriad functions performed by party regulars not directly related to campaigning. And to the extent such techniques have replaced older methods of campaigning (partly in response to the limitations the Court has placed on patronage), the political system is not clearly better off. See Elrod, supra, at  384 (Powell, J., dissenting); Branti, 445 [497 U.S. 106] U.S. at 528 (Powell, J., dissenting). Increased reliance on money-intensive campaign techniques tends to entrench those in power much more effectively than patronage—but without the attendant benefit of strengthening the party system. A challenger can more easily obtain the support of party workers (who can expect to be rewarded even if the candidate loses—if not this year, then the next) than the financial support of political action committees (which will generally support incumbents, who are likely to prevail).</w:t>
      </w:r>
    </w:p>
    <w:p w:rsidR="00A31137" w:rsidRPr="00A31137" w:rsidRDefault="00A31137" w:rsidP="00A31137">
      <w:r w:rsidRPr="00A31137">
        <w:t>1990, Rutan v. Republican Party, 497 U.S. 106</w:t>
      </w:r>
    </w:p>
    <w:p w:rsidR="00A31137" w:rsidRPr="00A31137" w:rsidRDefault="00A31137" w:rsidP="00A31137">
      <w:r w:rsidRPr="00A31137">
        <w:t>It is self-evident that eliminating patronage will significantly undermine party discipline, and that, as party discipline wanes, so will the strength of the two-party system. But, says the Court, "[p]olitical parties have already survived the substantial decline in patronage employment practices in this century." Ante at  74. This is almost verbatim what was said in Elrod, see 427 U.S. at  369. Fourteen years later, it seems much less convincing. Indeed, now that we have witnessed, in 18 of the last 22 years, an Executive Branch of the Federal Government under the control of one party while the Congress is entirely or (for two years) partially within the control of the other party; now that we have undergone the most recent federal election, in which 98% of the incumbents, of whatever party, were returned to office; and now that we have seen elected officials changing their political affiliation with unprecedented readiness, Washington Post, Apr. 10, 1990, p. A1, the statement that "political parties have already survived" has a positively whistling-in-the-graveyard character to it. Parties have assuredly survived—but as what? As the forges upon which many of the essential compromises of American political life are hammered out? Or merely as convenient vehicles for the conducting of national presidential elections?</w:t>
      </w:r>
    </w:p>
    <w:p w:rsidR="00A31137" w:rsidRPr="00A31137" w:rsidRDefault="00A31137" w:rsidP="00A31137">
      <w:r w:rsidRPr="00A31137">
        <w:t>1990, Rutan v. Republican Party, 497 U.S. 106</w:t>
      </w:r>
    </w:p>
    <w:p w:rsidR="00A31137" w:rsidRPr="00A31137" w:rsidRDefault="00A31137" w:rsidP="00A31137">
      <w:r w:rsidRPr="00A31137">
        <w:t>The patronage system does not, of course, merely foster political parties in general; it fosters the two-party system in particular. When getting a job, as opposed to effectuating a particular substantive policy, is an available incentive for [497 U.S. 107] party workers, those attracted by that incentive are likely to work for the party that has the best chance of displacing the "ins," rather than for some splinter group that has a more attractive political philosophy but little hope of success. Not only is a two-party system more likely to emerge, but the differences between those parties are more likely to be moderated, as each has a relatively greater interest in appealing to a majority of the electorate and a relatively lesser interest in furthering philosophies or programs that are far from the mainstream. The stabilizing effects of such a system are obvious. See Toinet &amp; Glenn, Clientelism and Corruption in the "Open" Society, at 208. In the context of electoral laws, we have approved the States' pursuit of such stability and their avoidance of the "splintered parties and unrestrained factionalism [that] may do significant damage to the fabric of government." Storer v. Brown, 415 U.S. 724, 736 (1974) (upholding law disqualifying persons from running as independents if affiliated with a party in the past year).</w:t>
      </w:r>
    </w:p>
    <w:p w:rsidR="00A31137" w:rsidRPr="00A31137" w:rsidRDefault="00A31137" w:rsidP="00A31137">
      <w:r w:rsidRPr="00A31137">
        <w:t>1990, Rutan v. Republican Party, 497 U.S. 107</w:t>
      </w:r>
    </w:p>
    <w:p w:rsidR="00A31137" w:rsidRPr="00A31137" w:rsidRDefault="00A31137" w:rsidP="00A31137">
      <w:r w:rsidRPr="00A31137">
        <w:t>Equally apparent is the relatively destabilizing nature of a system in which candidates cannot rely upon patronage-based party loyalty for their campaign support, but must attract workers and raise funds by appealing to various interest-groups. See Tolchin &amp; Tolchin, To the Victor, at 127-130. There is little doubt that our decisions in Elrod and Branti, by contributing to the decline of party strength, have also contributed to the growth of interest-group politics in the last decade. See, e.g., Fitts, The Vice of Virtue, 136 U.Pa.L.Rev. 1567, 1603-1607 (1988). Our decision today will greatly accelerate the trend. It is not only campaigns that are affected, of course, but the subsequent behavior of politicians once they are in power. The replacement of a system firmly based in party discipline with one in which each officeholder comes to his own accommodation with competing interest groups produces "a dispersion of political influence that may inhibit a [497 U.S. 108] political party from enacting its programs into law." Branti, supra, at 531 (Powell, J., dissenting). 4</w:t>
      </w:r>
    </w:p>
    <w:p w:rsidR="00A31137" w:rsidRPr="00A31137" w:rsidRDefault="00A31137" w:rsidP="00A31137">
      <w:r w:rsidRPr="00A31137">
        <w:t>1990, Rutan v. Republican Party, 497 U.S. 108</w:t>
      </w:r>
    </w:p>
    <w:p w:rsidR="00A31137" w:rsidRPr="00A31137" w:rsidRDefault="00A31137" w:rsidP="00A31137">
      <w:r w:rsidRPr="00A31137">
        <w:t>Patronage, moreover, has been a powerful means of achieving the social and political integration of excluded groups. See, e.g., Elrod, supra, 427 U.S. at  379 (Powell, J., dissenting); Cornwell, Bosses, Machines and Ethnic Politics, in Ethnic Group Politics 190, 195-197 (H. Bailey, Jr., &amp; E. Katz eds. 1969). By supporting and ultimately dominating a particular party "machine," racial and ethnic minorities have—on the basis of their politics, rather than their race or ethnicity—acquired the patronage awards the machine had power to confer. No one disputes the historical accuracy of this observation, and there is no reason to think that patronage can no longer serve that function. The abolition of patronage, however, prevents groups that have only recently obtained political power, especially blacks, from following this path to economic and social advancement.</w:t>
      </w:r>
    </w:p>
    <w:p w:rsidR="00A31137" w:rsidRPr="00A31137" w:rsidRDefault="00A31137" w:rsidP="00A31137">
      <w:r w:rsidRPr="00A31137">
        <w:t>1990, Rutan v. Republican Party, 497 U.S. 108</w:t>
      </w:r>
    </w:p>
    <w:p w:rsidR="00A31137" w:rsidRPr="00A31137" w:rsidRDefault="00A31137" w:rsidP="00A31137">
      <w:r w:rsidRPr="00A31137">
        <w:t>Every ethnic group that has achieved political power in American cities has used the bureaucracy to provide jobs in return for political support. It's only when Blacks begin to play the same game that the rules get changed. Now the use of such jobs to build political bases becomes an "evil" activity, and the city insists on taking the control back "downtown."</w:t>
      </w:r>
    </w:p>
    <w:p w:rsidR="00A31137" w:rsidRPr="00A31137" w:rsidRDefault="00A31137" w:rsidP="00A31137">
      <w:r w:rsidRPr="00A31137">
        <w:t>1990, Rutan v. Republican Party, 497 U.S. 108</w:t>
      </w:r>
    </w:p>
    <w:p w:rsidR="00A31137" w:rsidRPr="00A31137" w:rsidRDefault="00A31137" w:rsidP="00A31137">
      <w:r w:rsidRPr="00A31137">
        <w:t>New York Amsterdam News, Apr. 1, 1978, p. A-4, quoted in Hamilton, The Patron-Recipient Relationship and Minority Politics in New York City, 94 Pol.Sci.Q. 211, 212 (1979).</w:t>
      </w:r>
    </w:p>
    <w:p w:rsidR="00A31137" w:rsidRPr="00A31137" w:rsidRDefault="00A31137" w:rsidP="00A31137">
      <w:r w:rsidRPr="00A31137">
        <w:t>1990, Rutan v. Republican Party, 497 U.S. 108</w:t>
      </w:r>
    </w:p>
    <w:p w:rsidR="00A31137" w:rsidRPr="00A31137" w:rsidRDefault="00A31137" w:rsidP="00A31137">
      <w:r w:rsidRPr="00A31137">
        <w:t>While the patronage system has the benefits argued for above, it also has undoubted disadvantages. It facilitates financial corruption, such as salary kickbacks and partisan political activity on government-paid time. It reduces the efficiency [497 U.S. 109] of government, because it creates incentives to hire more and less-qualified workers and because highly qualified workers are reluctant to accept jobs that may only last until the next election. And, of course, it applies some greater or lesser inducement for individuals to join and work for the party in power.</w:t>
      </w:r>
    </w:p>
    <w:p w:rsidR="00A31137" w:rsidRPr="00A31137" w:rsidRDefault="00A31137" w:rsidP="00A31137">
      <w:r w:rsidRPr="00A31137">
        <w:t>1990, Rutan v. Republican Party, 497 U.S. 109</w:t>
      </w:r>
    </w:p>
    <w:p w:rsidR="00A31137" w:rsidRPr="00A31137" w:rsidRDefault="00A31137" w:rsidP="00A31137">
      <w:r w:rsidRPr="00A31137">
        <w:t>To hear the Court tell it, this last is the greatest evil. That is not my view, and it has not historically been the view of the American people. Corruption and inefficiency, rather than abridgement of liberty, have been the major criticisms leading to enactment of the civil-service laws—for the very good reason that the patronage system does not have as harsh an effect upon conscience, expression, and association as the Court suggests. As described above, it is the nature of the pragmatic, patronage-based, two-party system to build alliances and to suppress rather than foster ideological tests for participation in the division of political "spoils." What the patronage system ordinarily demands of the party worker is loyalty to, and activity on behalf of, the organization itself, rather than a set of political beliefs. He is generally free to urge within the organization the adoption of any political position; but if that position is rejected, he must vote and work for the party nonetheless. The diversity of political expression (other than expression of party loyalty) is channeled, in other words, to a different stage—to the contests for party endorsement, rather than the partisan elections. It is undeniable, of course, that the patronage system entails some constraint upon the expression of views, particularly at the partisan-election stage, and considerable constraint upon the employee's right to associate with the other party. It greatly exaggerates these, however, to describe them as a general "'coercion of belief,'" ante at  71, quoting Branti, 445 U.S. at 516; see also ante at  75; Elrod, 427 U.S. at  355 (plurality opinion). Indeed, it greatly exaggerates them to call them "coercion" at all, since we generally make a distinction between inducement and compulsion. The public official [497 U.S. 110] offered a bribe is not "coerced" to violate the law, and the private citizen offered a patronage job is not "coerced" to work for the party. In sum, I do not deny that the patronage system influences or redirects, perhaps to a substantial degree, individual political expression and political association. But, like the many generations of Americans that have preceded us, I do not consider that a significant impairment of free speech or free association.</w:t>
      </w:r>
    </w:p>
    <w:p w:rsidR="00A31137" w:rsidRPr="00A31137" w:rsidRDefault="00A31137" w:rsidP="00A31137">
      <w:r w:rsidRPr="00A31137">
        <w:t>1990, Rutan v. Republican Party, 497 U.S. 110</w:t>
      </w:r>
    </w:p>
    <w:p w:rsidR="00A31137" w:rsidRPr="00A31137" w:rsidRDefault="00A31137" w:rsidP="00A31137">
      <w:r w:rsidRPr="00A31137">
        <w:t>In emphasizing the advantages and minimizing the disadvantages (or at least minimizing one of the disadvantages) of the patronage system, I do not mean to suggest that that system is best. It may not always be; it may never be. To oppose our Elrod-Branti jurisprudence, one need not believe that the patronage system is necessarily desirable; nor even that it is always and everywhere arguably desirable, but merely that it is a political arrangement that may sometimes be a reasonable choice, and should therefore be left to the judgment of the people's elected representatives. The choice in question, I emphasize, is not just between patronage and a merit-based civil service, but rather among various combinations of the two that may suit different political units and different eras: permitting patronage hiring, for example, but prohibiting patronage dismissal; permitting patronage in most municipal agencies but prohibiting it in the police department; or permitting it in the mayor's office but prohibiting it everywhere else. I find it impossible to say that, always and everywhere, all of these choices fail our "balancing" test.</w:t>
      </w:r>
    </w:p>
    <w:p w:rsidR="00A31137" w:rsidRPr="00A31137" w:rsidRDefault="00A31137" w:rsidP="00A31137">
      <w:r w:rsidRPr="00A31137">
        <w:t>C</w:t>
      </w:r>
    </w:p>
    <w:p w:rsidR="00A31137" w:rsidRPr="00A31137" w:rsidRDefault="00A31137" w:rsidP="00A31137">
      <w:r w:rsidRPr="00A31137">
        <w:t>1990, Rutan v. Republican Party, 497 U.S. 110</w:t>
      </w:r>
    </w:p>
    <w:p w:rsidR="00A31137" w:rsidRPr="00A31137" w:rsidRDefault="00A31137" w:rsidP="00A31137">
      <w:r w:rsidRPr="00A31137">
        <w:t>The last point explains why Elrod and Branti should be overruled, rather than merely not extended. Even in the field of constitutional adjudication, where the pull of stare decisis is at its weakest, see Glidden Co. v. Zdanok, 370 U.S. 530,  543 (1962) (opinion of Harlan, J.), one is reluctant to depart from precedent. But when that precedent is not only wrong, not only recent, not only contradicted by a long prior [497 U.S. 111] tradition, but also has proved unworkable in practice, then all reluctance ought to disappear. In my view that is the situation here. Though unwilling to leave it to the political process to draw the line between desirable and undesirable patronage, the Court has neither been prepared to rule that no such line exists (i.e., that all patronage is unconstitutional) nor able to design the line itself in a manner that judges, lawyers, and public employees can understand. Elrod allowed patronage dismissals of persons in "policymaking" or "confidential" positions. 427 U.S. at 367 (plurality opinion); id. at 375 (Stewart, J., concurring). Branti retreated from that formulation, asking instead</w:t>
      </w:r>
    </w:p>
    <w:p w:rsidR="00A31137" w:rsidRPr="00A31137" w:rsidRDefault="00A31137" w:rsidP="00A31137">
      <w:r w:rsidRPr="00A31137">
        <w:t>1990, Rutan v. Republican Party, 497 U.S. 111</w:t>
      </w:r>
    </w:p>
    <w:p w:rsidR="00A31137" w:rsidRPr="00A31137" w:rsidRDefault="00A31137" w:rsidP="00A31137">
      <w:r w:rsidRPr="00A31137">
        <w:t>whether the hiring authority can demonstrate that party affiliation is an appropriate requirement for the effective performance of the public office involved.</w:t>
      </w:r>
    </w:p>
    <w:p w:rsidR="00A31137" w:rsidRPr="00A31137" w:rsidRDefault="00A31137" w:rsidP="00A31137">
      <w:r w:rsidRPr="00A31137">
        <w:t>1990, Rutan v. Republican Party, 497 U.S. 111</w:t>
      </w:r>
    </w:p>
    <w:p w:rsidR="00A31137" w:rsidRPr="00A31137" w:rsidRDefault="00A31137" w:rsidP="00A31137">
      <w:r w:rsidRPr="00A31137">
        <w:t>445 U.S. at 518. What that means is anybody's guess. The Courts of Appeals have devised various tests for determining when "affiliation is an appropriate requirement." See generally Martin, A Decade of Branti Decisions: A Government Officials' Guide to Patronage Dismissals, 39 Am.U.L.Rev. 11, 23-42 (1989). These interpretations of Branti are not only significantly at variance with each other, they are still so general that for most positions it is impossible to know whether party affiliation is a permissible requirement until a court renders its decision.</w:t>
      </w:r>
    </w:p>
    <w:p w:rsidR="00A31137" w:rsidRPr="00A31137" w:rsidRDefault="00A31137" w:rsidP="00A31137">
      <w:r w:rsidRPr="00A31137">
        <w:t>1990, Rutan v. Republican Party, 497 U.S. 111</w:t>
      </w:r>
    </w:p>
    <w:p w:rsidR="00A31137" w:rsidRPr="00A31137" w:rsidRDefault="00A31137" w:rsidP="00A31137">
      <w:r w:rsidRPr="00A31137">
        <w:t>A few examples will illustrate the shambles Branti has produced. A city cannot fire a deputy sheriff because of his political affiliation, 5 but then again perhaps it can, 6 especially if he is called the "police captain." 7 A county cannot fire on that basis its attorney for the department of social [497 U.S. 112] services, 8 nor its assistant attorney for family court, 9 but a city can fire its solicitor and his assistants, 10 or its assistant city attorney, 11 or its assistant state's attorney, 12 or its corporation counsel. 13 A city cannot discharge its deputy court clerk for his political affiliation, 14 but it can fire its legal assistant to the clerk on that basis. 15 Firing a juvenile court bailiff seems impermissible, 16 but it may be permissible if he is assigned permanently to a single judge. 17 A city cannot fire on partisan grounds its director of roads, 18 but it can fire the second in command of the water department. 19 A government cannot discharge for political reasons the senior vice president of its development bank, 20 but it can discharge the regional director of its rural housing administration. 21</w:t>
      </w:r>
    </w:p>
    <w:p w:rsidR="00A31137" w:rsidRPr="00A31137" w:rsidRDefault="00A31137" w:rsidP="00A31137">
      <w:r w:rsidRPr="00A31137">
        <w:t>1990, Rutan v. Republican Party, 497 U.S. 112</w:t>
      </w:r>
    </w:p>
    <w:p w:rsidR="00A31137" w:rsidRPr="00A31137" w:rsidRDefault="00A31137" w:rsidP="00A31137">
      <w:r w:rsidRPr="00A31137">
        <w:t>The examples could be multiplied, but this summary should make obvious that the "tests" devised to implement Branti have produced inconsistent and unpredictable results. That uncertainty undermines the purpose of both the nonpatronage [497 U.S. 113] rule and the exception. The rule achieves its objective of preventing the "coercion" of political affiliation, see supra at 97, only if the employee is confident that he can engage in (or refrain from) political activities without risking dismissal. Since the current doctrine leaves many employees utterly in the dark about whether their jobs are protected, they are likely to play it safe. On the other side, the exception was designed to permit the government to implement its electoral mandate. Elrod, supra, at 367 (plurality opinion). But unless the government is fairly sure that dismissal is permitted, it will leave the politically uncongenial official in place, since an incorrect decision will expose it to lengthy litigation and a large damage award, perhaps even against the responsible officials personally.</w:t>
      </w:r>
    </w:p>
    <w:p w:rsidR="00A31137" w:rsidRPr="00A31137" w:rsidRDefault="00A31137" w:rsidP="00A31137">
      <w:r w:rsidRPr="00A31137">
        <w:t>1990, Rutan v. Republican Party, 497 U.S. 113</w:t>
      </w:r>
    </w:p>
    <w:p w:rsidR="00A31137" w:rsidRPr="00A31137" w:rsidRDefault="00A31137" w:rsidP="00A31137">
      <w:r w:rsidRPr="00A31137">
        <w:t>This uncertainty and confusion are not the result of the fact that Elrod, and then Branti, chose the wrong "line." My point is that there is no right line—or at least no right line that can be nationally applied and that is known by judges. Once we reject as the criterion a long political tradition showing that party-based [497 U.S. 114] employment is entirely permissible, yet are unwilling (as any reasonable person must be) to replace it with the principle that party-based employment is entirely impermissible, we have left the realm of law and entered the domain of political science, seeking to ascertain when and where the undoubted benefits of political hiring and firing are worth its undoubted costs. The answer to that will vary from State to State, and indeed from city to city, even if one rejects out of hand (as the Branti line does) the benefits associated with party stability. Indeed, the answer will even vary from year to year. During one period, for example, it may be desirable for the manager of a municipally owned public utility to be a career specialist, insulated from the political system. During another, when the efficient operation of that utility or even its very existence has become a burning political issue, it may be desirable that he be hired and fired on a political basis. The appropriate "mix" of party-based employment is a political question if there ever was one, and we should give it back to the voters of the various political units to decide, through civil-service legislation crafted to suit the time and place, which mix is best.</w:t>
      </w:r>
    </w:p>
    <w:p w:rsidR="00A31137" w:rsidRPr="00A31137" w:rsidRDefault="00A31137" w:rsidP="00A31137">
      <w:r w:rsidRPr="00A31137">
        <w:t>III</w:t>
      </w:r>
    </w:p>
    <w:p w:rsidR="00A31137" w:rsidRPr="00A31137" w:rsidRDefault="00A31137" w:rsidP="00A31137">
      <w:r w:rsidRPr="00A31137">
        <w:t>1990, Rutan v. Republican Party, 497 U.S. 114</w:t>
      </w:r>
    </w:p>
    <w:p w:rsidR="00A31137" w:rsidRPr="00A31137" w:rsidRDefault="00A31137" w:rsidP="00A31137">
      <w:r w:rsidRPr="00A31137">
        <w:t>Even were I not convinced that Elrod and Branti were wrongly decided, I would hold that they should not be extended beyond their facts, viz., actual discharge of employees for their political affiliation. Those cases invalidated patronage firing in order to prevent the "restraint it places on freedoms of belief and association." Elrod, 427 U.S. at  355 (plurality opinion); see also id. at  357 (patronage "compels or restrains" and "inhibits" belief and association). The loss of one's current livelihood is an appreciably greater constraint than such other disappointments as the failure to obtain a promotion or selection for an uncongenial transfer. Even if the "coercive" effect of the former has been held always to outweigh the benefits of party-based employment decisions, the "coercive" effect of the latter should not be. We have drawn a line between firing and other employment decisions in other contexts, see Wygant v. Jackson Bd. of Education, 476 U.S. 267, 282-283 (1986) (plurality opinion), and should do so here as well.</w:t>
      </w:r>
    </w:p>
    <w:p w:rsidR="00A31137" w:rsidRPr="00A31137" w:rsidRDefault="00A31137" w:rsidP="00A31137">
      <w:r w:rsidRPr="00A31137">
        <w:t>1990, Rutan v. Republican Party, 497 U.S. 114</w:t>
      </w:r>
    </w:p>
    <w:p w:rsidR="00A31137" w:rsidRPr="00A31137" w:rsidRDefault="00A31137" w:rsidP="00A31137">
      <w:r w:rsidRPr="00A31137">
        <w:t>I would reject the alternative that the Seventh Circuit adopted in this case, which allows a cause of action if the employee can demonstrate that he was subjected to the "substantial equivalent of dismissal." 868 F.2d 943, 950, 954 (CA7 1989). The trouble with that seemingly reasonable standard is that it is so imprecise that it will multiply yet again the harmful uncertainty and litigation that Branti has already created. If Elrod and Branti are not to be reconsidered in light of their demonstrably unsatisfactory consequences, I would go no further than to allow a cause of action when the employee has lost his position, that is, his formal title and salary. That narrow ground alone is enough to resolve the constitutional [497 U.S. 115] claims in the present case. Since none of the plaintiffs has alleged loss of his position because of affiliation, 22 I would affirm the Seventh Circuit's judgment insofar as it affirmed the dismissal of petitioners' claims, and would reverse the Seventh Circuit's judgment insofar as it reversed the dismissal of cross-respondent's claims.</w:t>
      </w:r>
    </w:p>
    <w:p w:rsidR="00A31137" w:rsidRPr="00A31137" w:rsidRDefault="00A31137" w:rsidP="00A31137">
      <w:r w:rsidRPr="00A31137">
        <w:t>1990, Rutan v. Republican Party, 497 U.S. 115</w:t>
      </w:r>
    </w:p>
    <w:p w:rsidR="00A31137" w:rsidRPr="00A31137" w:rsidRDefault="00A31137" w:rsidP="00A31137">
      <w:r w:rsidRPr="00A31137">
        <w:t>The Court's opinion, of course, not only declines to confine Elrod and Branti to dismissals in the narrow sense I have proposed but, unlike the Seventh Circuit, even extends those opinions beyond "constructive" dismissals—indeed, even beyond adverse treatment of current employees—to all hiring decisions. In the long run, there may be cause to rejoice in that extension. When the courts are flooded with litigation under that most unmanageable of standards (Branti) brought by that most persistent and tenacious of suitors (the disappointed office-seeker), we may be moved to reconsider our intrusion into this entire field.</w:t>
      </w:r>
    </w:p>
    <w:p w:rsidR="00A31137" w:rsidRPr="00A31137" w:rsidRDefault="00A31137" w:rsidP="00A31137">
      <w:r w:rsidRPr="00A31137">
        <w:t>1990, Rutan v. Republican Party, 497 U.S. 115</w:t>
      </w:r>
    </w:p>
    <w:p w:rsidR="00A31137" w:rsidRPr="00A31137" w:rsidRDefault="00A31137" w:rsidP="00A31137">
      <w:r w:rsidRPr="00A31137">
        <w:t>In the meantime, I dissent.</w:t>
      </w:r>
    </w:p>
    <w:p w:rsidR="00A31137" w:rsidRPr="00A31137" w:rsidRDefault="00A31137" w:rsidP="00A31137">
      <w:r w:rsidRPr="00A31137">
        <w:t>Footnotes</w:t>
      </w:r>
    </w:p>
    <w:p w:rsidR="00A31137" w:rsidRPr="00A31137" w:rsidRDefault="00A31137" w:rsidP="00A31137">
      <w:r w:rsidRPr="00A31137">
        <w:t>BRENNAN, J., lead opinion (Footnotes)</w:t>
      </w:r>
    </w:p>
    <w:p w:rsidR="00A31137" w:rsidRPr="00A31137" w:rsidRDefault="00A31137" w:rsidP="00A31137">
      <w:r w:rsidRPr="00A31137">
        <w:t>1990, Rutan v. Republican Party, 497 U.S. 115</w:t>
      </w:r>
    </w:p>
    <w:p w:rsidR="00A31137" w:rsidRPr="00A31137" w:rsidRDefault="00A31137" w:rsidP="00A31137">
      <w:r w:rsidRPr="00A31137">
        <w:t>1. The cases come to us in a preliminary posture and the question is limited to whether the allegations of petitioners Rutan et al. state a cognizable First Amendment claim sufficient to withstand respondents' motion to dismiss under Federal Rule of Civil Procedure 12(b)(6). Therefore, for purposes of our review, we must assume that petitioners' well-pleaded allegations are true. Berkovitz v. United States, 486 U.S. 531, 540 (1988).</w:t>
      </w:r>
    </w:p>
    <w:p w:rsidR="00A31137" w:rsidRPr="00A31137" w:rsidRDefault="00A31137" w:rsidP="00A31137">
      <w:r w:rsidRPr="00A31137">
        <w:t>1990, Rutan v. Republican Party, 497 U.S. 115</w:t>
      </w:r>
    </w:p>
    <w:p w:rsidR="00A31137" w:rsidRPr="00A31137" w:rsidRDefault="00A31137" w:rsidP="00A31137">
      <w:r w:rsidRPr="00A31137">
        <w:t>Three of the five original plaintiffs who brought the lawsuit—Rutan, Taylor, and Moore—are petitioners in case No. 88-1872, and we refer to them as "petitioners." The defendants in the lawsuit are various Illinois and Republican Party officials. We refer to them as "respondents" because they are the respondents in case No. 88-1872. They are also the cross-petitioners in case No. 88-2074. Four of the five original plaintiffs—Rutan, Taylor, Standefer, and O'Brien—are named as cross-respondents in case No. 88-2074.</w:t>
      </w:r>
    </w:p>
    <w:p w:rsidR="00A31137" w:rsidRPr="00A31137" w:rsidRDefault="00A31137" w:rsidP="00A31137">
      <w:r w:rsidRPr="00A31137">
        <w:t>1990, Rutan v. Republican Party, 497 U.S. 115</w:t>
      </w:r>
    </w:p>
    <w:p w:rsidR="00A31137" w:rsidRPr="00A31137" w:rsidRDefault="00A31137" w:rsidP="00A31137">
      <w:r w:rsidRPr="00A31137">
        <w:t>2. The five originally brought this action both individually and on behalf of those similarly situated. The Seventh Circuit, noting that the District Court had failed to address the class-action questions, reviewed the case as one brought by individuals only. 868 F.2d 943, 947 (1989). We therefore have only the claims of the individuals before us.</w:t>
      </w:r>
    </w:p>
    <w:p w:rsidR="00A31137" w:rsidRPr="00A31137" w:rsidRDefault="00A31137" w:rsidP="00A31137">
      <w:r w:rsidRPr="00A31137">
        <w:t>1990, Rutan v. Republican Party, 497 U.S. 115</w:t>
      </w:r>
    </w:p>
    <w:p w:rsidR="00A31137" w:rsidRPr="00A31137" w:rsidRDefault="00A31137" w:rsidP="00A31137">
      <w:r w:rsidRPr="00A31137">
        <w:t>3. The Seventh Circuit explained that Standefer's and O'Brien's claims might be cognizable if there were a formal or informal system of rehiring employees in their positions, 868 F.2d at 956-957, but expressed considerable doubt that Rutan and Taylor would be able to show that they suffered the "substantial equivalent of a dismissal" by being denied promotions and a transfer. Id. at 955-956.</w:t>
      </w:r>
    </w:p>
    <w:p w:rsidR="00A31137" w:rsidRPr="00A31137" w:rsidRDefault="00A31137" w:rsidP="00A31137">
      <w:r w:rsidRPr="00A31137">
        <w:t>1990, Rutan v. Republican Party, 497 U.S. 115</w:t>
      </w:r>
    </w:p>
    <w:p w:rsidR="00A31137" w:rsidRPr="00A31137" w:rsidRDefault="00A31137" w:rsidP="00A31137">
      <w:r w:rsidRPr="00A31137">
        <w:t>4. Justice SCALIA's lengthy discussion of the appropriate standard of review for restrictions the government places on the constitutionally protected activities of its employees to ensure efficient and effective operations, see post at 94-102, is not only questionable, it offers no support for his conclusion that patronage practices pass muster under the First Amendment. The interests that Justice SCALIA regards as potentially furthered by patronage practices are not interests that the government has in its capacity as an employer. Justice SCALIA describes the possible benefits of patronage as follows: "patronage stabilizes political parties and prevents excessive political fragmentation," post at  104; patronage is necessary to strong, disciplined party organizations, post at 104-105; patronage "fosters the two-party system," post at  106; and patronage is "a powerful means of achieving the social and political integration of excluded groups," post at  108. These are interests the government might have in the structure and functioning of society as a whole. That the government attempts to use public employment to further such interests does not render those interests employment-related. Therefore, even were Justice SCALIA correct that less-than-strict scrutiny is appropriate when the government takes measures to ensure the proper functioning of its internal operations, such a rule has no relevance to the restrictions on freedom of association and speech at issue in this case.</w:t>
      </w:r>
    </w:p>
    <w:p w:rsidR="00A31137" w:rsidRPr="00A31137" w:rsidRDefault="00A31137" w:rsidP="00A31137">
      <w:r w:rsidRPr="00A31137">
        <w:t>1990, Rutan v. Republican Party, 497 U.S. 115</w:t>
      </w:r>
    </w:p>
    <w:p w:rsidR="00A31137" w:rsidRPr="00A31137" w:rsidRDefault="00A31137" w:rsidP="00A31137">
      <w:r w:rsidRPr="00A31137">
        <w:t>5. Branti v. Finkel, 445 U.S. 507 (1980), also refined the exception created by Elrod v. Burns, 427 U.S. 347 (1976), for certain employees. In Elrod, we suggested that policymaking and confidential employees probably could be dismissed on the basis of their political views. Elrod, supra, at  367 (plurality), and  375 (Stewart, J., concurring in judgment). In Branti, we said that a State demonstrates a compelling interest in infringing First Amendment rights only when it can show that "party affiliation is an appropriate requirement for the effective performance of the public office involved." Branti, supra, at 518. The scope of this exception does not concern us here, as respondents concede that the five employees who brought this suit are not within it.</w:t>
      </w:r>
    </w:p>
    <w:p w:rsidR="00A31137" w:rsidRPr="00A31137" w:rsidRDefault="00A31137" w:rsidP="00A31137">
      <w:r w:rsidRPr="00A31137">
        <w:t>1990, Rutan v. Republican Party, 497 U.S. 115</w:t>
      </w:r>
    </w:p>
    <w:p w:rsidR="00A31137" w:rsidRPr="00A31137" w:rsidRDefault="00A31137" w:rsidP="00A31137">
      <w:r w:rsidRPr="00A31137">
        <w:t>6. Respondents' reliance on Johnson v. Transportation Agency, Santa Clara County, Cal., 480 U.S. 616 (1987), to this effect is misplaced. The question in Johnson was whether the Santa Clara County affirmative action program violated the antidiscrimination requirement of Title VII. In that context, we said that the denial of a promotion did not unsettle any legitimate, firmly rooted expectations. We did not dispute, however, that it placed a burden on the person to whom the promotion was denied. We considered Johnson's expectations in discussing whether the plan unnecessarily trammeled the rights of male employees—i.e., whether its goal was pursued with an excessive rather than reasonable amount of dislocation. Our decision that promotion denials are not such an imposition that Title VII prevented Santa Clara from considering gender in order to redress past discrimination does not mean that promotion denials are not enough of an imposition to pressure employees to affiliate with the favored party.</w:t>
      </w:r>
    </w:p>
    <w:p w:rsidR="00A31137" w:rsidRPr="00A31137" w:rsidRDefault="00A31137" w:rsidP="00A31137">
      <w:r w:rsidRPr="00A31137">
        <w:t>1990, Rutan v. Republican Party, 497 U.S. 115</w:t>
      </w:r>
    </w:p>
    <w:p w:rsidR="00A31137" w:rsidRPr="00A31137" w:rsidRDefault="00A31137" w:rsidP="00A31137">
      <w:r w:rsidRPr="00A31137">
        <w:t>7. The complaint in this case states that Dan O'Brien was driven to do exactly this. After being rejected for recall by the Governor's Office, he allegedly pursued the support of a Republican Party official, despite his previous interest in the Democratic Party.</w:t>
      </w:r>
    </w:p>
    <w:p w:rsidR="00A31137" w:rsidRPr="00A31137" w:rsidRDefault="00A31137" w:rsidP="00A31137">
      <w:r w:rsidRPr="00A31137">
        <w:t>1990, Rutan v. Republican Party, 497 U.S. 115</w:t>
      </w:r>
    </w:p>
    <w:p w:rsidR="00A31137" w:rsidRPr="00A31137" w:rsidRDefault="00A31137" w:rsidP="00A31137">
      <w:r w:rsidRPr="00A31137">
        <w:t>8. The Seventh Circuit's proffered test was not based on that court's determination that other patronage practices do not burden the free exercise of First Amendment rights. Rather, the court chose to defer to the political process in an area in which it felt this Court had not yet spoken clearly. 868 F.2d at 953-954. The court also expressed concern that the opposite conclusion would open state employment to excessive interference by the federal judiciary. Ibid. We respect but do not share this concern.</w:t>
      </w:r>
    </w:p>
    <w:p w:rsidR="00A31137" w:rsidRPr="00A31137" w:rsidRDefault="00A31137" w:rsidP="00A31137">
      <w:r w:rsidRPr="00A31137">
        <w:t>1990, Rutan v. Republican Party, 497 U.S. 115</w:t>
      </w:r>
    </w:p>
    <w:p w:rsidR="00A31137" w:rsidRPr="00A31137" w:rsidRDefault="00A31137" w:rsidP="00A31137">
      <w:r w:rsidRPr="00A31137">
        <w:t>Our decision does not impose the federal judiciary's supervision on any state government activity that is otherwise immune. The federal courts have long been available for protesting unlawful state employment decisions. Under Title VII, 42 U.S.C. §§ 2000e(a), (f), and 2000e2(a) (1982 ed.), it is a violation of federal law to discriminate in any way in state employment (excepting certain high-level positions) on the basis of race, color, religion, sex, or national origin. Moreover, the First Amendment, as the court below noted, already protects state employees not only from patronage dismissals but</w:t>
      </w:r>
    </w:p>
    <w:p w:rsidR="00A31137" w:rsidRPr="00A31137" w:rsidRDefault="00A31137" w:rsidP="00A31137">
      <w:r w:rsidRPr="00A31137">
        <w:t>1990, Rutan v. Republican Party, 497 U.S. 115</w:t>
      </w:r>
    </w:p>
    <w:p w:rsidR="00A31137" w:rsidRPr="00A31137" w:rsidRDefault="00A31137" w:rsidP="00A31137">
      <w:r w:rsidRPr="00A31137">
        <w:t>even an act of retaliation as trivial as failing to hold a birthday party for a public employee…when intended to punish her for exercising her free speech rights.</w:t>
      </w:r>
    </w:p>
    <w:p w:rsidR="00A31137" w:rsidRPr="00A31137" w:rsidRDefault="00A31137" w:rsidP="00A31137">
      <w:r w:rsidRPr="00A31137">
        <w:t>1990, Rutan v. Republican Party, 497 U.S. 115</w:t>
      </w:r>
    </w:p>
    <w:p w:rsidR="00A31137" w:rsidRPr="00A31137" w:rsidRDefault="00A31137" w:rsidP="00A31137">
      <w:r w:rsidRPr="00A31137">
        <w:t>868 F.2d at 954, n. 4.</w:t>
      </w:r>
    </w:p>
    <w:p w:rsidR="00A31137" w:rsidRPr="00A31137" w:rsidRDefault="00A31137" w:rsidP="00A31137">
      <w:r w:rsidRPr="00A31137">
        <w:t>1990, Rutan v. Republican Party, 497 U.S. 115</w:t>
      </w:r>
    </w:p>
    <w:p w:rsidR="00A31137" w:rsidRPr="00A31137" w:rsidRDefault="00A31137" w:rsidP="00A31137">
      <w:r w:rsidRPr="00A31137">
        <w:t>9. To the extent that respondents also argue that Moore has not been penalized for the exercise of protected speech and association rights because he had no claim of right to employment in the first place, that argument is foreclosed by Perry v. Sindermann, 408 U.S. 593,  597 (1972). See supra at  72.</w:t>
      </w:r>
    </w:p>
    <w:p w:rsidR="00A31137" w:rsidRPr="00A31137" w:rsidRDefault="00A31137" w:rsidP="00A31137">
      <w:r w:rsidRPr="00A31137">
        <w:t>STEVENS, J., concurring (Footnotes)</w:t>
      </w:r>
    </w:p>
    <w:p w:rsidR="00A31137" w:rsidRPr="00A31137" w:rsidRDefault="00A31137" w:rsidP="00A31137">
      <w:r w:rsidRPr="00A31137">
        <w:t>1990, Rutan v. Republican Party, 497 U.S. 115</w:t>
      </w:r>
    </w:p>
    <w:p w:rsidR="00A31137" w:rsidRPr="00A31137" w:rsidRDefault="00A31137" w:rsidP="00A31137">
      <w:r w:rsidRPr="00A31137">
        <w:t>1. Despite Justice SCALIA's imprecise use of the term, post at  114, the legal issue presented in this litigation is plainly not a "political question." See Elrod v. Burns, 427 U.S. 347, 351-353 (1976); Illinois State Employees Union, Council 34, Am. Fed. of State, County, and Municipal Emp., AFL-CIO v. Lewis, 473 F.2d 561, 566-567 (1972), cert. denied, 410 U.S. 928 (1973).</w:t>
      </w:r>
    </w:p>
    <w:p w:rsidR="00A31137" w:rsidRPr="00A31137" w:rsidRDefault="00A31137" w:rsidP="00A31137">
      <w:r w:rsidRPr="00A31137">
        <w:t>1990, Rutan v. Republican Party, 497 U.S. 115</w:t>
      </w:r>
    </w:p>
    <w:p w:rsidR="00A31137" w:rsidRPr="00A31137" w:rsidRDefault="00A31137" w:rsidP="00A31137">
      <w:r w:rsidRPr="00A31137">
        <w:t>2. See Michael H. v. Gerald D., 491 U.S. 110 (1989) (plurality); Burnham v. Superior Court of California, Marin County, 495 U.S. 604 (1990) (plurality). Justice SCALlA's additional reliance on Bowers v. Hardwick, 478 U.S. 186 (1986), post at  103, is misplaced because, in that case, the Court used a history of state criminal prohibitions to support its refusal to extend the doctrine of substantive due process to previously unprotected conduct. The question in this case is whether mere longevity can immunize from constitutional review state conduct that would otherwise violate the First Amendment.</w:t>
      </w:r>
    </w:p>
    <w:p w:rsidR="00A31137" w:rsidRPr="00A31137" w:rsidRDefault="00A31137" w:rsidP="00A31137">
      <w:r w:rsidRPr="00A31137">
        <w:t>1990, Rutan v. Republican Party, 497 U.S. 115</w:t>
      </w:r>
    </w:p>
    <w:p w:rsidR="00A31137" w:rsidRPr="00A31137" w:rsidRDefault="00A31137" w:rsidP="00A31137">
      <w:r w:rsidRPr="00A31137">
        <w:t>3. Ironically, at the time of the adoption of the Bill of Rights, the party system itself was far from an "accepted political nor[m]." Post at  95. Our founders viewed it as a pathology:</w:t>
      </w:r>
    </w:p>
    <w:p w:rsidR="00A31137" w:rsidRPr="00A31137" w:rsidRDefault="00A31137" w:rsidP="00A31137">
      <w:r w:rsidRPr="00A31137">
        <w:t>1990, Rutan v. Republican Party, 497 U.S. 115</w:t>
      </w:r>
    </w:p>
    <w:p w:rsidR="00A31137" w:rsidRPr="00A31137" w:rsidRDefault="00A31137" w:rsidP="00A31137">
      <w:r w:rsidRPr="00A31137">
        <w:t>Political discussion in eighteenth-century England and America was pervaded by a kind of anti-party cant. Jonathan Swift, in his Thoughts on Various Subjects, had said that "Party is the madness of many, for the gain of the few." This maxim, which was repeated on this side of the Atlantic by men like John Adams and William Paterson, plainly struck a deep resonance in the American mind. Madison and Hamilton, when they discussed parties or factions (for them the terms were usually interchangeable) in The Federalist, did so only to arraign their bad effects. In the great debate over the adoption of the Constitution both sides spoke ill of parties. The popular sage, Franklin (who was not always consistent on the subject), gave an eloquent warning against factions and "the infinite mutual abuse of parties, tearing to pieces the best of characters." George Washington devoted a large part of his political testament, the Farewell Address, to stern warnings against "the baneful effects of the Spirit of Party." His successor, John Adams, believed that "a division of the republic into two great parties…is to be dreaded as the greatest political evil under our Constitution." Similar admonitions can be found in the writings of the arch-Federalist Fisher Adams and the "philosopher of Jeffersonian democracy," John Taylor of Carolina. If there was one point of political philosophy upon which these men, who differed on so many things, agreed quite readily, it was their common conviction about the baneful effects of the spirit of party.</w:t>
      </w:r>
    </w:p>
    <w:p w:rsidR="00A31137" w:rsidRPr="00A31137" w:rsidRDefault="00A31137" w:rsidP="00A31137">
      <w:r w:rsidRPr="00A31137">
        <w:t>1990, Rutan v. Republican Party, 497 U.S. 115</w:t>
      </w:r>
    </w:p>
    <w:p w:rsidR="00A31137" w:rsidRPr="00A31137" w:rsidRDefault="00A31137" w:rsidP="00A31137">
      <w:r w:rsidRPr="00A31137">
        <w:t>R. Hofstadter, The Idea of a Party System 2-3 (1969) (footnote omitted).</w:t>
      </w:r>
    </w:p>
    <w:p w:rsidR="00A31137" w:rsidRPr="00A31137" w:rsidRDefault="00A31137" w:rsidP="00A31137">
      <w:r w:rsidRPr="00A31137">
        <w:t>1990, Rutan v. Republican Party, 497 U.S. 115</w:t>
      </w:r>
    </w:p>
    <w:p w:rsidR="00A31137" w:rsidRPr="00A31137" w:rsidRDefault="00A31137" w:rsidP="00A31137">
      <w:r w:rsidRPr="00A31137">
        <w:t>Our contemporary recognition of a state interest in protecting the two major parties from damaging intra-party feuding or unrestrained factionalism, see, e.g., Storer v. Brown, 415 U.S. 724 (1974); post at 106-107, has not disturbed our protection of the rights of individual voters and the role of alternative parties in our government. See, e.g., Anderson v. Celebrezze, 460 U.S. 780, 793 (1983) (burdens on new or small parties and independent candidates impinge on associational choices); Williams v. Rhodes, 393 U.S. 23, 32 (1968) (there is "no reason why two parties should retain a permanent monopoly on the right to have people vote for or against them").</w:t>
      </w:r>
    </w:p>
    <w:p w:rsidR="00A31137" w:rsidRPr="00A31137" w:rsidRDefault="00A31137" w:rsidP="00A31137">
      <w:r w:rsidRPr="00A31137">
        <w:t>1990, Rutan v. Republican Party, 497 U.S. 115</w:t>
      </w:r>
    </w:p>
    <w:p w:rsidR="00A31137" w:rsidRPr="00A31137" w:rsidRDefault="00A31137" w:rsidP="00A31137">
      <w:r w:rsidRPr="00A31137">
        <w:t>4. Although Justice SCALlA's defense of patronage turns on the benefits of fostering the two-party system, post at 106-107, his opinion is devoid of reference to meaningful evidence that patronage practices have played a significant role in the preservation of the two-party system. In each of the examples that he cites—"the Boss Tweeds, the Tammany Halls, the Pendergast Machines, the Byrd Machines and the Daley Machines," post at  93—patronage practices were used solely to protect the power of an entrenched majority. See Laycock, Notes on the Role of Judicial Review, the Expansion of Federal Power, and the Structure of Constitutional Rights, 99 Yale L.J. 1711, 1722 (1990) (describing the "hopelessness of contesting elections" in Chicago's "one-party system" when "half a dozen employees of the city and of city contractors were paid with public funds to work [a precinct] for the other side"); Johnson, Successful Reform Litigation: The Shakman Patronage Case, 64 Chi.-Kent L.Rev. 479, 481 (1988) (the "massive Democratic patronage employment system" maintained a "noncompetitive political system" in Cook County in the 1960's).</w:t>
      </w:r>
    </w:p>
    <w:p w:rsidR="00A31137" w:rsidRPr="00A31137" w:rsidRDefault="00A31137" w:rsidP="00A31137">
      <w:r w:rsidRPr="00A31137">
        <w:t>1990, Rutan v. Republican Party, 497 U.S. 115</w:t>
      </w:r>
    </w:p>
    <w:p w:rsidR="00A31137" w:rsidRPr="00A31137" w:rsidRDefault="00A31137" w:rsidP="00A31137">
      <w:r w:rsidRPr="00A31137">
        <w:t>Without repeating the Court's studied rejection of the policy arguments for patronage practices in Elrod, 427 U.S. at 364-373, I note only that many commentators agree more with Justice SCALIA's admissions of the systemic costs of patronage practices—the "financial corruption, such as salary kickbacks and partisan political activity on government-paid time," the reduced efficiency of government, and the undeniable constraint upon the expression of views by employees, post at 108-110—than with his belief that patronage is necessary to political stability and integration of powerless groups. See, e.g., G. Pomper, Voters, Elections, and Parties 282-304 (1988) (multiple causes of party decline); D. Price, Bringing Back the Parties 22-25 (1984) (same); Comment, 41 U.Chi.L.Rev. 297, 319-328 (1974) (same); Wolfinger, Why Political Machines Have Not Withered Away and Other Revisionist Thoughts, 34 J.Pol. 365, 398 (1972) (absence of machine politics in California); J. James, American Political Parties in Transition 85 (1974) (inefficient and antiparty effects of patronage); Johnston, Patrons and Clients, Jobs and Machines: A Case Study of the Uses of Patronage, 73 Am.Pol.Sci.Rev. 385 (1979) (same); Grimshaw, The Political Economy of Machine Politics, 4 Corruption and Reform 15 (1989) (same); Comment, 49 U.Chi.L.Rev. 181, 197-200 (1982) (same); Freedman, Doing Battle with the Patronage Army: Politics, Courts and Personnel Administration in Chicago, 48 Pub.Admin.Rev. 847 (1988) (race and machine politics).</w:t>
      </w:r>
    </w:p>
    <w:p w:rsidR="00A31137" w:rsidRPr="00A31137" w:rsidRDefault="00A31137" w:rsidP="00A31137">
      <w:r w:rsidRPr="00A31137">
        <w:t>1990, Rutan v. Republican Party, 497 U.S. 115</w:t>
      </w:r>
    </w:p>
    <w:p w:rsidR="00A31137" w:rsidRPr="00A31137" w:rsidRDefault="00A31137" w:rsidP="00A31137">
      <w:r w:rsidRPr="00A31137">
        <w:t>Incidentally, although some might suggest that Jacob Arvey was "best known as the promoter of Adlai Stevenson," post at  104, that connection is of interest only because of Mr. Arvey's creative and firm leadership of the powerful political organization that was subsequently led by Richard J. Daley. M. Tolchin &amp; S. Tolchin, To the Victor 36 (1971).</w:t>
      </w:r>
    </w:p>
    <w:p w:rsidR="00A31137" w:rsidRPr="00A31137" w:rsidRDefault="00A31137" w:rsidP="00A31137">
      <w:r w:rsidRPr="00A31137">
        <w:t>1990, Rutan v. Republican Party, 497 U.S. 115</w:t>
      </w:r>
    </w:p>
    <w:p w:rsidR="00A31137" w:rsidRPr="00A31137" w:rsidRDefault="00A31137" w:rsidP="00A31137">
      <w:r w:rsidRPr="00A31137">
        <w:t>5. Neither Justice SCALIA nor any of the parties suggests that party affiliation is relevant to any of the positions at stake in this litigation—rehabilitation counselor, road equipment operator, prison guard, dietary manager, and temporary garage worker. Reliance on the difficulty of precisely dividing the positions in which political affiliation is relevant to the quality of public service from those in which it is not an appropriate requirement of the job is thus inapposite. See post at 110-114. Difficulty in deciding borderline cases does not justify imposition of a loyalty oath in the vast category of positions in which it is irrelevant.</w:t>
      </w:r>
    </w:p>
    <w:p w:rsidR="00A31137" w:rsidRPr="00A31137" w:rsidRDefault="00A31137" w:rsidP="00A31137">
      <w:r w:rsidRPr="00A31137">
        <w:t>1990, Rutan v. Republican Party, 497 U.S. 115</w:t>
      </w:r>
    </w:p>
    <w:p w:rsidR="00A31137" w:rsidRPr="00A31137" w:rsidRDefault="00A31137" w:rsidP="00A31137">
      <w:r w:rsidRPr="00A31137">
        <w:t>6. The iron fist inside the velvet glove of Justice SCALIA's "inducements" and "influences" is apparent from his own descriptions of the essential features of a patronage system. See, e.g., post at  109 (the worker may "urge within the organization the adoption of any political position; but if that position is rejected, he must vote and work for the party nonetheless"); post at  105 (quoting M. Tolchin &amp; S. Tolchin, To the Victor, at 123 (reporting that Montclair, New Jersey, Democrats provide fewer services than Cook County, Illinois, Democrats, while "the rate of issue participation is much higher among Montclair Democrats, who are not bound by the fear displayed by the Cook County committeemen")); post at  105 (citing W. Grimshaw, The Political Economy of Machine Politics, 4 Corruption and Reform 15, 30 (1989) (reporting that Mayor Daley "sacked" a black committeeman for briefly withholding support for a school board nominee whom civil rights activists opposed)).</w:t>
      </w:r>
    </w:p>
    <w:p w:rsidR="00A31137" w:rsidRPr="00A31137" w:rsidRDefault="00A31137" w:rsidP="00A31137">
      <w:r w:rsidRPr="00A31137">
        <w:t>1990, Rutan v. Republican Party, 497 U.S. 115</w:t>
      </w:r>
    </w:p>
    <w:p w:rsidR="00A31137" w:rsidRPr="00A31137" w:rsidRDefault="00A31137" w:rsidP="00A31137">
      <w:r w:rsidRPr="00A31137">
        <w:t>Of course, we have firmly rejected any requirement that aggrieved employees "prove that they, or other employees, have been coerced into changing, either actually or ostensibly, their political allegiance." Branti, 445 U.S. at 517. What is at issue in these cases is not whether an employee is actually coerced or merely influenced, but whether the attempt to obtain his or her support through "party discipline" is legitimate. To apply the relevant question to Justice SCALlA's example, post at 109-110 the person who attempts to bribe a public official is guilty of a crime regardless whether the official submits to temptation; likewise, a political party's attempt to maintain loyalty through allocation of government resources is improper regardless whether any employee capitulates.</w:t>
      </w:r>
    </w:p>
    <w:p w:rsidR="00A31137" w:rsidRPr="00A31137" w:rsidRDefault="00A31137" w:rsidP="00A31137">
      <w:r w:rsidRPr="00A31137">
        <w:t>1990, Rutan v. Republican Party, 497 U.S. 115</w:t>
      </w:r>
    </w:p>
    <w:p w:rsidR="00A31137" w:rsidRPr="00A31137" w:rsidRDefault="00A31137" w:rsidP="00A31137">
      <w:r w:rsidRPr="00A31137">
        <w:t>7. I use the term "misuse" deliberately, because the entire rationale for patronage hiring as an economic incentive for partisan political activity rests on the assumption that the patronage employee filling a government position must be paid a premium to reward him for his partisan services. Without such a premium, the economic incentive rationale on which Justice SCALIA relies does not exist. It has been clear to Congress and this Court for over a century that refusal to contribute "may lead to putting good men out of the service, liberal payments may be made the ground for keeping poor ones in," and</w:t>
      </w:r>
    </w:p>
    <w:p w:rsidR="00A31137" w:rsidRPr="00A31137" w:rsidRDefault="00A31137" w:rsidP="00A31137">
      <w:r w:rsidRPr="00A31137">
        <w:t>1990, Rutan v. Republican Party, 497 U.S. 115</w:t>
      </w:r>
    </w:p>
    <w:p w:rsidR="00A31137" w:rsidRPr="00A31137" w:rsidRDefault="00A31137" w:rsidP="00A31137">
      <w:r w:rsidRPr="00A31137">
        <w:t>the government itself may be made to furnish indirectly the money to defray the expenses of keeping the political party in power that happens to have for the time being the control of the public patronage.</w:t>
      </w:r>
    </w:p>
    <w:p w:rsidR="00A31137" w:rsidRPr="00A31137" w:rsidRDefault="00A31137" w:rsidP="00A31137">
      <w:r w:rsidRPr="00A31137">
        <w:t>1990, Rutan v. Republican Party, 497 U.S. 115</w:t>
      </w:r>
    </w:p>
    <w:p w:rsidR="00A31137" w:rsidRPr="00A31137" w:rsidRDefault="00A31137" w:rsidP="00A31137">
      <w:r w:rsidRPr="00A31137">
        <w:t>Ex parte Curtis, 106 U.S. 371, 375 (1882) (upholding constitutionality of Act of Aug. 15, 1876, § 6, ch. 287, 19 Stat. 169, prohibiting nonappointed federal employees from requesting or receiving anything of value for political purposes).</w:t>
      </w:r>
    </w:p>
    <w:p w:rsidR="00A31137" w:rsidRPr="00A31137" w:rsidRDefault="00A31137" w:rsidP="00A31137">
      <w:r w:rsidRPr="00A31137">
        <w:t>1990, Rutan v. Republican Party, 497 U.S. 115</w:t>
      </w:r>
    </w:p>
    <w:p w:rsidR="00A31137" w:rsidRPr="00A31137" w:rsidRDefault="00A31137" w:rsidP="00A31137">
      <w:r w:rsidRPr="00A31137">
        <w:t>Petitioners Rutan and Taylor both allege that they are more qualified than the persons who were promoted over them.</w:t>
      </w:r>
    </w:p>
    <w:p w:rsidR="00A31137" w:rsidRPr="00A31137" w:rsidRDefault="00A31137" w:rsidP="00A31137">
      <w:r w:rsidRPr="00A31137">
        <w:t>1990, Rutan v. Republican Party, 497 U.S. 115</w:t>
      </w:r>
    </w:p>
    <w:p w:rsidR="00A31137" w:rsidRPr="00A31137" w:rsidRDefault="00A31137" w:rsidP="00A31137">
      <w:r w:rsidRPr="00A31137">
        <w:t>8. A decade later, in Anderson v. Celebrezze, 460 U.S. at 794, this Court decided that a law burdening independent candidates, by</w:t>
      </w:r>
    </w:p>
    <w:p w:rsidR="00A31137" w:rsidRPr="00A31137" w:rsidRDefault="00A31137" w:rsidP="00A31137">
      <w:r w:rsidRPr="00A31137">
        <w:t>1990, Rutan v. Republican Party, 497 U.S. 115</w:t>
      </w:r>
    </w:p>
    <w:p w:rsidR="00A31137" w:rsidRPr="00A31137" w:rsidRDefault="00A31137" w:rsidP="00A31137">
      <w:r w:rsidRPr="00A31137">
        <w:t>limiting the opportunities of independent-minded voters to associate in the electoral arena to enhance their political effectiveness as a group,</w:t>
      </w:r>
    </w:p>
    <w:p w:rsidR="00A31137" w:rsidRPr="00A31137" w:rsidRDefault="00A31137" w:rsidP="00A31137">
      <w:r w:rsidRPr="00A31137">
        <w:t>1990, Rutan v. Republican Party, 497 U.S. 115</w:t>
      </w:r>
    </w:p>
    <w:p w:rsidR="00A31137" w:rsidRPr="00A31137" w:rsidRDefault="00A31137" w:rsidP="00A31137">
      <w:r w:rsidRPr="00A31137">
        <w:t>would burden associational choices and thereby "threaten to reduce diversity and competition in the marketplace of ideas." We concluded that</w:t>
      </w:r>
    </w:p>
    <w:p w:rsidR="00A31137" w:rsidRPr="00A31137" w:rsidRDefault="00A31137" w:rsidP="00A31137">
      <w:r w:rsidRPr="00A31137">
        <w:t>1990, Rutan v. Republican Party, 497 U.S. 115</w:t>
      </w:r>
    </w:p>
    <w:p w:rsidR="00A31137" w:rsidRPr="00A31137" w:rsidRDefault="00A31137" w:rsidP="00A31137">
      <w:r w:rsidRPr="00A31137">
        <w:t>the primary values protected by the First Amendment—"a profound national commitment to the principle that debate on public issues should be uninhibited, robust, and wide-open," New York Times Co. v. Sullivan, 376 U.S. 254,  270 (1964)—are served when election campaigns are not monopolized by the existing political parties.</w:t>
      </w:r>
    </w:p>
    <w:p w:rsidR="00A31137" w:rsidRPr="00A31137" w:rsidRDefault="00A31137" w:rsidP="00A31137">
      <w:r w:rsidRPr="00A31137">
        <w:t>1990, Rutan v. Republican Party, 497 U.S. 115</w:t>
      </w:r>
    </w:p>
    <w:p w:rsidR="00A31137" w:rsidRPr="00A31137" w:rsidRDefault="00A31137" w:rsidP="00A31137">
      <w:r w:rsidRPr="00A31137">
        <w:t>Ibid.</w:t>
      </w:r>
    </w:p>
    <w:p w:rsidR="00A31137" w:rsidRPr="00A31137" w:rsidRDefault="00A31137" w:rsidP="00A31137">
      <w:r w:rsidRPr="00A31137">
        <w:t>SCALIA, J., dissenting (Footnotes)</w:t>
      </w:r>
    </w:p>
    <w:p w:rsidR="00A31137" w:rsidRPr="00A31137" w:rsidRDefault="00A31137" w:rsidP="00A31137">
      <w:r w:rsidRPr="00A31137">
        <w:t>1990, Rutan v. Republican Party, 497 U.S. 115</w:t>
      </w:r>
    </w:p>
    <w:p w:rsidR="00A31137" w:rsidRPr="00A31137" w:rsidRDefault="00A31137" w:rsidP="00A31137">
      <w:r w:rsidRPr="00A31137">
        <w:t>1. The customary invocation of Brown v. Board of Education, 347 U.S. 483 (1954), as demonstrating the dangerous consequences of this principle, see ante at  82 (STEVENS, J., concurring), is unsupportable. I argue for the role of tradition in giving content only to ambiguous constitutional text; no tradition can supersede the Constitution. In my view, the Fourteenth Amendment's requirement of "equal protection of the laws," combined with the Thirteenth Amendment's abolition of the institution of black slavery, leaves no room for doubt that laws treating people differently because of their race are invalid. Moreover, even if one does not regard the Fourteenth Amendment as crystal clear on this point, a tradition of unchallenged validity did not exist with respect to the practice in Brown. To the contrary, in the 19th century, the principle of "separate-but-equal" had been vigorously opposed on constitutional grounds, litigated up to this Court, and upheld only over the dissent of one of our historically most respected Justices. See Plessy v. Ferguson, 163 U.S. 537, 555-556 (1896) (Harlan, J., dissenting).</w:t>
      </w:r>
    </w:p>
    <w:p w:rsidR="00A31137" w:rsidRPr="00A31137" w:rsidRDefault="00A31137" w:rsidP="00A31137">
      <w:r w:rsidRPr="00A31137">
        <w:t>1990, Rutan v. Republican Party, 497 U.S. 115</w:t>
      </w:r>
    </w:p>
    <w:p w:rsidR="00A31137" w:rsidRPr="00A31137" w:rsidRDefault="00A31137" w:rsidP="00A31137">
      <w:r w:rsidRPr="00A31137">
        <w:t>2. Justice STEVENS seeks to counteract this tradition by relying upon the supposed "unequivocal repudiation" of the right-privilege distinction. Ante at  83. That will not do. If the right-privilege distinction was once used to explain the practice, and if that distinction is to be repudiated, then one must simply devise some other theory to explain it. The order of precedence is that a constitutional theory must be wrong if its application contradicts a clear constitutional tradition, not that a clear constitutional tradition must be wrong if it does not conform to the current constitutional theory. On Justice STEVENS' view of the matter, this Court examines a historical practice, endows it with an intellectual foundation, and later, by simply undermining that foundation, relegates the constitutional tradition to the dustbin of history. That is not how constitutional adjudication works. Cf. Burnham v. Superior Court of California, Marin County, 495 U.S. 604 (1990) (opinion of SCALIA, J.). I am not sure, in any event, that the right-privilege distinction has been as unequivocally rejected as Justice STEVENS supposes. It has certainly been recognized that the fact that the government need not confer a certain benefit does not mean that it can attach any conditions whatever to the conferral of that benefit. But it remains true that certain conditions can be attached to benefits that cannot be imposed as prescriptions upon the public at large. If Justice STEVENS chooses to call this something other than a right-privilege distinction, that is fine and good—but it is, in any case, what explains the nonpatronage restrictions upon federal employees that the Court continues to approve, and there is no reason why it cannot support patronage restrictions as well.</w:t>
      </w:r>
    </w:p>
    <w:p w:rsidR="00A31137" w:rsidRPr="00A31137" w:rsidRDefault="00A31137" w:rsidP="00A31137">
      <w:r w:rsidRPr="00A31137">
        <w:t>1990, Rutan v. Republican Party, 497 U.S. 115</w:t>
      </w:r>
    </w:p>
    <w:p w:rsidR="00A31137" w:rsidRPr="00A31137" w:rsidRDefault="00A31137" w:rsidP="00A31137">
      <w:r w:rsidRPr="00A31137">
        <w:t>3. The Court calls our description of the appropriate standard of review "questionable," and suggests that these cases applied strict scrutiny ("even were Justice SCALIA correct that less-than-strict scrutiny is appropriate"). Ante at  70, n. 4 (emphasis added). This suggestion is incorrect, does not aid the Court's argument, and, if accepted would eviscerate the strict-scrutiny standard. It is incorrect because even a casual perusal of the cases reveals that the governmental actions were sustained not because they were shown to be "narrowly tailored to further vital government interests," ante at  74, but because they were "reasonably" deemed necessary to promote effective government. It does not aid the Court's argument, moreover, because whatever standard those cases applied must be applied here, and if the asserted interests in patronage are as weighty as those proffered in the previous cases, then Elrod and Branti were wrongly decided. It eviscerates the standard, finally, because, if the practices upheld in those cases survived strict scrutiny, then the so-called "strict scrutiny" test means nothing. Suppose a State made it unlawful for an employee of a privately owned nuclear power plant to criticize his employer. Can there be any doubt that we would reject out of hand the State's argument that the statute was justified by the compelling interest in maintaining the appearance that such employees are operating nuclear plants properly, so as to maintain public confidence in the plants' safety? But cf. CSC v. Letter Carriers, 413 U.S. 548, 565 (1973) (Hatch Act justified by need for government employees to "appear to the public to be avoiding [political partiality], if confidence in the system of representative Government is not to be eroded"). Suppose again that a State prohibited a private employee from speaking on the job about matters of private concern. Would we even hesitate before dismissing the State's claim that the compelling interest in fostering an efficient economy overrides the individual's interest in speaking on such matters? But cf. Connick v. Myers, 461 U.S. 138, 147 (1983) ("[W]hen a public employee speaks…upon matters only of personal interest, absent the most unusual circumstances, a federal court is not the appropriate forum in which to review the wisdom of a personnel decision taken by a public agency allegedly in reaction to the employee's behavior"). If the Court thinks that strict scrutiny is appropriate in all these cases, then it should forthrightly admit that Public Workers v. Mitchell, 330 U.S. 75 (1947), Letter Carriers, supra; Pickering v. Board of Education of Township High School Dist., 391 U.S. 563 (1968), Connick, and similar cases were mistaken, and should be overruled; if it rejects that course, then it should admit that those cases applied, as they said they did, a reasonableness test.</w:t>
      </w:r>
    </w:p>
    <w:p w:rsidR="00A31137" w:rsidRPr="00A31137" w:rsidRDefault="00A31137" w:rsidP="00A31137">
      <w:r w:rsidRPr="00A31137">
        <w:t>1990, Rutan v. Republican Party, 497 U.S. 115</w:t>
      </w:r>
    </w:p>
    <w:p w:rsidR="00A31137" w:rsidRPr="00A31137" w:rsidRDefault="00A31137" w:rsidP="00A31137">
      <w:r w:rsidRPr="00A31137">
        <w:t>The Court's further contention that these cases are limited to the "interests that the government has in its capacity as an employer," ante at  70, n. 4, as distinct from its interests "in the structure and functioning of society as a whole," ibid., is neither true nor relevant. Surely a principal reason for the statutes that we have upheld preventing political activity by government employees—and indeed the only substantial reason, with respect to those employees who are permitted to be hired and fired on a political basis—is to prevent the party in power from obtaining what is considered an unfair advantage in political campaigns. That is precisely the type of governmental interest at issue here. But even if the Court were correct, I see no reason in policy or principle why the government would be limited to furthering only its interests "as employer." In fact, we have seemingly approved the furtherance of broader governmental interests through employment restrictions. In Hampton v. Mow Sun Wong, 426 U.S. 88 (1976), we held unlawful a Civil Service Commission regulation prohibiting the hiring of aliens on the ground that the Commission lacked the requisite authority. We were willing, however, to</w:t>
      </w:r>
    </w:p>
    <w:p w:rsidR="00A31137" w:rsidRPr="00A31137" w:rsidRDefault="00A31137" w:rsidP="00A31137">
      <w:r w:rsidRPr="00A31137">
        <w:t>1990, Rutan v. Republican Party, 497 U.S. 115</w:t>
      </w:r>
    </w:p>
    <w:p w:rsidR="00A31137" w:rsidRPr="00A31137" w:rsidRDefault="00A31137" w:rsidP="00A31137">
      <w:r w:rsidRPr="00A31137">
        <w:t>assume…that, if the Congress or the President had expressly imposed the citizenship requirement, it would be justified by the national interest in providing an incentive for aliens to become naturalized, or possibly even as providing the President with an expendable token for treaty negotiating purposes.</w:t>
      </w:r>
    </w:p>
    <w:p w:rsidR="00A31137" w:rsidRPr="00A31137" w:rsidRDefault="00A31137" w:rsidP="00A31137">
      <w:r w:rsidRPr="00A31137">
        <w:t>1990, Rutan v. Republican Party, 497 U.S. 115</w:t>
      </w:r>
    </w:p>
    <w:p w:rsidR="00A31137" w:rsidRPr="00A31137" w:rsidRDefault="00A31137" w:rsidP="00A31137">
      <w:r w:rsidRPr="00A31137">
        <w:t>Id. at 105. Three months after our opinion, the President adopted the restriction by Executive Order. Exec.Order No. 11935, 3 CFR 146 (1976 Comp.). On remand, the lower courts denied the Mow Sun Wong plaintiffs relief, on the basis of this new Executive Order and relying upon the interest in providing an incentive for citizenship. Mow Sun Wong v. Hampton, 435 F.Supp. 37 (ND Cal.1977), aff'd, 626 F.2d 739 (CA9 1980). We denied certiorari sub nom. Lum v. Campbell, 450 U.S. 959 (1981). In other cases, the lower federal courts have uniformly reached the same result. See, e.g., Jalil v. Campbell, 192 U.S.App. D.C. 4, 7, 590 F.2d 1120, 1123, n. 3 (1978); Vergara v. Hampton, 581 F.2d 1281 (CA7 1978), cert. denied, 441 U.S. 905 (1979); Santin Ramos v. United States Civil Service Comm'n, 430 F.Supp. 422 (PR 1977) (three-judge court).</w:t>
      </w:r>
    </w:p>
    <w:p w:rsidR="00A31137" w:rsidRPr="00A31137" w:rsidRDefault="00A31137" w:rsidP="00A31137">
      <w:r w:rsidRPr="00A31137">
        <w:t>1990, Rutan v. Republican Party, 497 U.S. 115</w:t>
      </w:r>
    </w:p>
    <w:p w:rsidR="00A31137" w:rsidRPr="00A31137" w:rsidRDefault="00A31137" w:rsidP="00A31137">
      <w:r w:rsidRPr="00A31137">
        <w:t>4. Justice STEVENS discounts these systemic effects when he characterizes patronage as fostering partisan, rather than public, interests. Ante at  88. But, taking Justice STEVENS at his word, one wonders why patronage can ever be an "appropriate requirement for the position involved," ante at  64.</w:t>
      </w:r>
    </w:p>
    <w:p w:rsidR="00A31137" w:rsidRPr="00A31137" w:rsidRDefault="00A31137" w:rsidP="00A31137">
      <w:r w:rsidRPr="00A31137">
        <w:t>1990, Rutan v. Republican Party, 497 U.S. 115</w:t>
      </w:r>
    </w:p>
    <w:p w:rsidR="00A31137" w:rsidRPr="00A31137" w:rsidRDefault="00A31137" w:rsidP="00A31137">
      <w:r w:rsidRPr="00A31137">
        <w:t>5. Jones v. Dodson, 727 F.2d 1329, 1338 (CA4 1984).</w:t>
      </w:r>
    </w:p>
    <w:p w:rsidR="00A31137" w:rsidRPr="00A31137" w:rsidRDefault="00A31137" w:rsidP="00A31137">
      <w:r w:rsidRPr="00A31137">
        <w:t>1990, Rutan v. Republican Party, 497 U.S. 115</w:t>
      </w:r>
    </w:p>
    <w:p w:rsidR="00A31137" w:rsidRPr="00A31137" w:rsidRDefault="00A31137" w:rsidP="00A31137">
      <w:r w:rsidRPr="00A31137">
        <w:t>6. McBee v. Jim Hogg County, Texas, 730 F.2d 1009, 1014-1015 (CA5 1984) (en banc).</w:t>
      </w:r>
    </w:p>
    <w:p w:rsidR="00A31137" w:rsidRPr="00A31137" w:rsidRDefault="00A31137" w:rsidP="00A31137">
      <w:r w:rsidRPr="00A31137">
        <w:t>1990, Rutan v. Republican Party, 497 U.S. 115</w:t>
      </w:r>
    </w:p>
    <w:p w:rsidR="00A31137" w:rsidRPr="00A31137" w:rsidRDefault="00A31137" w:rsidP="00A31137">
      <w:r w:rsidRPr="00A31137">
        <w:t>7. Joyner v. Lancaster, 553 F.Supp. 809, 818 (MDNC 1982), later proceeding, 815 F.2d 20 24 (CA4), cert. denied, 484 U.S. 830 (1987).</w:t>
      </w:r>
    </w:p>
    <w:p w:rsidR="00A31137" w:rsidRPr="00A31137" w:rsidRDefault="00A31137" w:rsidP="00A31137">
      <w:r w:rsidRPr="00A31137">
        <w:t>1990, Rutan v. Republican Party, 497 U.S. 115</w:t>
      </w:r>
    </w:p>
    <w:p w:rsidR="00A31137" w:rsidRPr="00A31137" w:rsidRDefault="00A31137" w:rsidP="00A31137">
      <w:r w:rsidRPr="00A31137">
        <w:t>8. Layden v. Costello, 517 F.Supp. 860, 862 (NDNY 1981).</w:t>
      </w:r>
    </w:p>
    <w:p w:rsidR="00A31137" w:rsidRPr="00A31137" w:rsidRDefault="00A31137" w:rsidP="00A31137">
      <w:r w:rsidRPr="00A31137">
        <w:t>1990, Rutan v. Republican Party, 497 U.S. 115</w:t>
      </w:r>
    </w:p>
    <w:p w:rsidR="00A31137" w:rsidRPr="00A31137" w:rsidRDefault="00A31137" w:rsidP="00A31137">
      <w:r w:rsidRPr="00A31137">
        <w:t>9. Tavano v. County of Niagara, New York, 621 F.Supp. 345, 349-350 (WDNY 1985), aff'd mem., 800 F.2d 1128 (CA2 1986).</w:t>
      </w:r>
    </w:p>
    <w:p w:rsidR="00A31137" w:rsidRPr="00A31137" w:rsidRDefault="00A31137" w:rsidP="00A31137">
      <w:r w:rsidRPr="00A31137">
        <w:t>1990, Rutan v. Republican Party, 497 U.S. 115</w:t>
      </w:r>
    </w:p>
    <w:p w:rsidR="00A31137" w:rsidRPr="00A31137" w:rsidRDefault="00A31137" w:rsidP="00A31137">
      <w:r w:rsidRPr="00A31137">
        <w:t>10. Ness v. Marshall, 660 F.2d 517, 521-522 (CA3 1981); Montaquila v. St. Cyr, 433 A.2d 206, 211 (R.I. 1981).</w:t>
      </w:r>
    </w:p>
    <w:p w:rsidR="00A31137" w:rsidRPr="00A31137" w:rsidRDefault="00A31137" w:rsidP="00A31137">
      <w:r w:rsidRPr="00A31137">
        <w:t>1990, Rutan v. Republican Party, 497 U.S. 115</w:t>
      </w:r>
    </w:p>
    <w:p w:rsidR="00A31137" w:rsidRPr="00A31137" w:rsidRDefault="00A31137" w:rsidP="00A31137">
      <w:r w:rsidRPr="00A31137">
        <w:t>11. Finkelstein v. Barthelemy, 678 F.Supp. 1255 1265 (ED La 1988).</w:t>
      </w:r>
    </w:p>
    <w:p w:rsidR="00A31137" w:rsidRPr="00A31137" w:rsidRDefault="00A31137" w:rsidP="00A31137">
      <w:r w:rsidRPr="00A31137">
        <w:t>1990, Rutan v. Republican Party, 497 U.S. 115</w:t>
      </w:r>
    </w:p>
    <w:p w:rsidR="00A31137" w:rsidRPr="00A31137" w:rsidRDefault="00A31137" w:rsidP="00A31137">
      <w:r w:rsidRPr="00A31137">
        <w:t>12. Livas v. Petka, 711 F.2d 798, 800-801 (CA7 1983).</w:t>
      </w:r>
    </w:p>
    <w:p w:rsidR="00A31137" w:rsidRPr="00A31137" w:rsidRDefault="00A31137" w:rsidP="00A31137">
      <w:r w:rsidRPr="00A31137">
        <w:t>1990, Rutan v. Republican Party, 497 U.S. 115</w:t>
      </w:r>
    </w:p>
    <w:p w:rsidR="00A31137" w:rsidRPr="00A31137" w:rsidRDefault="00A31137" w:rsidP="00A31137">
      <w:r w:rsidRPr="00A31137">
        <w:t>13. Bavoso v. Harding, 507 F.Supp. 313, 316 (SDNY 1980).</w:t>
      </w:r>
    </w:p>
    <w:p w:rsidR="00A31137" w:rsidRPr="00A31137" w:rsidRDefault="00A31137" w:rsidP="00A31137">
      <w:r w:rsidRPr="00A31137">
        <w:t>1990, Rutan v. Republican Party, 497 U.S. 115</w:t>
      </w:r>
    </w:p>
    <w:p w:rsidR="00A31137" w:rsidRPr="00A31137" w:rsidRDefault="00A31137" w:rsidP="00A31137">
      <w:r w:rsidRPr="00A31137">
        <w:t>14. Barnes v. Bosley, 745 F.2d 501, 508 (CA8 1984), cert. denied, 471 U.S. 1017 (1985).</w:t>
      </w:r>
    </w:p>
    <w:p w:rsidR="00A31137" w:rsidRPr="00A31137" w:rsidRDefault="00A31137" w:rsidP="00A31137">
      <w:r w:rsidRPr="00A31137">
        <w:t>1990, Rutan v. Republican Party, 497 U.S. 115</w:t>
      </w:r>
    </w:p>
    <w:p w:rsidR="00A31137" w:rsidRPr="00A31137" w:rsidRDefault="00A31137" w:rsidP="00A31137">
      <w:r w:rsidRPr="00A31137">
        <w:t>15. Bauer v. Bosley, 802 F.2d 1058, 1063 (CA8 1986), cert. denied, 481 U.S. 1038 (1987).</w:t>
      </w:r>
    </w:p>
    <w:p w:rsidR="00A31137" w:rsidRPr="00A31137" w:rsidRDefault="00A31137" w:rsidP="00A31137">
      <w:r w:rsidRPr="00A31137">
        <w:t>1990, Rutan v. Republican Party, 497 U.S. 115</w:t>
      </w:r>
    </w:p>
    <w:p w:rsidR="00A31137" w:rsidRPr="00A31137" w:rsidRDefault="00A31137" w:rsidP="00A31137">
      <w:r w:rsidRPr="00A31137">
        <w:t>16. Elrod v. Burns, 427 U.S. 347, 351 (1976).</w:t>
      </w:r>
    </w:p>
    <w:p w:rsidR="00A31137" w:rsidRPr="00A31137" w:rsidRDefault="00A31137" w:rsidP="00A31137">
      <w:r w:rsidRPr="00A31137">
        <w:t>1990, Rutan v. Republican Party, 497 U.S. 115</w:t>
      </w:r>
    </w:p>
    <w:p w:rsidR="00A31137" w:rsidRPr="00A31137" w:rsidRDefault="00A31137" w:rsidP="00A31137">
      <w:r w:rsidRPr="00A31137">
        <w:t>17. Balogh v. Charron, 855 F.2d 356 (CA6 1988).</w:t>
      </w:r>
    </w:p>
    <w:p w:rsidR="00A31137" w:rsidRPr="00A31137" w:rsidRDefault="00A31137" w:rsidP="00A31137">
      <w:r w:rsidRPr="00A31137">
        <w:t>1990, Rutan v. Republican Party, 497 U.S. 115</w:t>
      </w:r>
    </w:p>
    <w:p w:rsidR="00A31137" w:rsidRPr="00A31137" w:rsidRDefault="00A31137" w:rsidP="00A31137">
      <w:r w:rsidRPr="00A31137">
        <w:t>18. Abraham v. Pekarski, 537 F.Supp. 858, 865 (ED Pa 1982), aff'd in part and dismissed in part, 728 F.2d 167 (CA3), cert. denied, 467 U.S. 1242 (1984).</w:t>
      </w:r>
    </w:p>
    <w:p w:rsidR="00A31137" w:rsidRPr="00A31137" w:rsidRDefault="00A31137" w:rsidP="00A31137">
      <w:r w:rsidRPr="00A31137">
        <w:t>1990, Rutan v. Republican Party, 497 U.S. 115</w:t>
      </w:r>
    </w:p>
    <w:p w:rsidR="00A31137" w:rsidRPr="00A31137" w:rsidRDefault="00A31137" w:rsidP="00A31137">
      <w:r w:rsidRPr="00A31137">
        <w:t>19. Tomczak v. Chicago, 765 F.2d 633 (CA7), cert. denied, 474 U.S. 946 (1985).</w:t>
      </w:r>
    </w:p>
    <w:p w:rsidR="00A31137" w:rsidRPr="00A31137" w:rsidRDefault="00A31137" w:rsidP="00A31137">
      <w:r w:rsidRPr="00A31137">
        <w:t>1990, Rutan v. Republican Party, 497 U.S. 115</w:t>
      </w:r>
    </w:p>
    <w:p w:rsidR="00A31137" w:rsidRPr="00A31137" w:rsidRDefault="00A31137" w:rsidP="00A31137">
      <w:r w:rsidRPr="00A31137">
        <w:t>20. De Choudens v. Government Development Bank of Puerto Rico, 801 F.2d 5, 10 (CA1 1986) (en banc), cert. denied, 481 U.S. 1013 (1987).</w:t>
      </w:r>
    </w:p>
    <w:p w:rsidR="00A31137" w:rsidRPr="00A31137" w:rsidRDefault="00A31137" w:rsidP="00A31137">
      <w:r w:rsidRPr="00A31137">
        <w:t>1990, Rutan v. Republican Party, 497 U.S. 115</w:t>
      </w:r>
    </w:p>
    <w:p w:rsidR="00A31137" w:rsidRPr="00A31137" w:rsidRDefault="00A31137" w:rsidP="00A31137">
      <w:r w:rsidRPr="00A31137">
        <w:t>21. Rosario Nevarez v. Torres Gaztambide, 820 F.2d 525 (CA1 1987).</w:t>
      </w:r>
    </w:p>
    <w:p w:rsidR="00A31137" w:rsidRPr="00A31137" w:rsidRDefault="00A31137" w:rsidP="00A31137">
      <w:r w:rsidRPr="00A31137">
        <w:t>1990, Rutan v. Republican Party, 497 U.S. 115</w:t>
      </w:r>
    </w:p>
    <w:p w:rsidR="00A31137" w:rsidRPr="00A31137" w:rsidRDefault="00A31137" w:rsidP="00A31137">
      <w:r w:rsidRPr="00A31137">
        <w:t>22. Standefer and O'Brien do not allege that their political affiliation was the reason they were laid off, but only that it was the reason they were not recalled. Complaint ¶¶ 9, 21-22, App. to Respondent's Brief in Opposition; 641 F.Supp. 249, 256, 257 (CDIll.1986). Those claims are essentially identical to the claims of persons wishing to be hired; neither fall within the narrow rule of Elrod and Branti against patronage firing.</w:t>
      </w:r>
    </w:p>
    <w:p w:rsidR="00A31137" w:rsidRPr="00A31137" w:rsidRDefault="00A31137" w:rsidP="00A31137">
      <w:r w:rsidRPr="00A31137">
        <w:t>Cruzan v. Director, MDH, 1990</w:t>
      </w:r>
    </w:p>
    <w:p w:rsidR="00A31137" w:rsidRPr="00A31137" w:rsidRDefault="00A31137" w:rsidP="00A31137">
      <w:r w:rsidRPr="00A31137">
        <w:t>Title:</w:t>
      </w:r>
      <w:r w:rsidRPr="00A31137">
        <w:tab/>
        <w:t>Cruzan by Cruzan v. Director, Missouri Department of Health</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25, 1990</w:t>
      </w:r>
    </w:p>
    <w:p w:rsidR="00A31137" w:rsidRPr="00A31137" w:rsidRDefault="00A31137" w:rsidP="00A31137">
      <w:r w:rsidRPr="00A31137">
        <w:t>Source:</w:t>
      </w:r>
      <w:r w:rsidRPr="00A31137">
        <w:tab/>
        <w:t>497 U.S. 261</w:t>
      </w:r>
    </w:p>
    <w:p w:rsidR="00A31137" w:rsidRPr="00A31137" w:rsidRDefault="00A31137" w:rsidP="00A31137">
      <w:r w:rsidRPr="00A31137">
        <w:t>This case was argued December 6, 1989, and was decided June 25, 1990.</w:t>
      </w:r>
    </w:p>
    <w:p w:rsidR="00A31137" w:rsidRPr="00A31137" w:rsidRDefault="00A31137" w:rsidP="00A31137">
      <w:r w:rsidRPr="00A31137">
        <w:t>CERTIORARI TO THE SUPREME COURT OF MISSOURI</w:t>
      </w:r>
    </w:p>
    <w:p w:rsidR="00A31137" w:rsidRPr="00A31137" w:rsidRDefault="00A31137" w:rsidP="00A31137">
      <w:r w:rsidRPr="00A31137">
        <w:t>Syllabus</w:t>
      </w:r>
    </w:p>
    <w:p w:rsidR="00A31137" w:rsidRPr="00A31137" w:rsidRDefault="00A31137" w:rsidP="00A31137">
      <w:r w:rsidRPr="00A31137">
        <w:t>1990, Cruzan v. Director, MDH, 497 U.S. 261</w:t>
      </w:r>
    </w:p>
    <w:p w:rsidR="00A31137" w:rsidRPr="00A31137" w:rsidRDefault="00A31137" w:rsidP="00A31137">
      <w:r w:rsidRPr="00A31137">
        <w:t>Petitioner Nancy Cruzan is incompetent, having sustained severe injuries in an automobile accident, and now lies in a Missouri state hospital in what is referred to as a persistent vegetative state: generally, a condition in which a person exhibits motor reflexes but evinces no indications of significant cognitive function. The State is bearing the cost of her care. Hospital employees refused, without court approval, to honor the request of Cruzan's parents, copetitioners here, to terminate her artificial nutrition and hydration, since that would result in death. A state trial court authorized the termination, finding that a person in Cruzan's condition has a fundamental right under the State and Federal Constitutions to direct or refuse the withdrawal of death-prolonging procedures, and that Cruzan's expression to a former housemate that she would not wish to continue her life if sick or injured unless she could live at least halfway normally suggested that she would not wish to continue on with her nutrition and hydration. The State Supreme Court reversed. While recognizing a right to refuse treatment embodied in the common-law doctrine of informed consent, the court questioned its applicability in this case. It also declined to read into the State Constitution a broad right to privacy that would support an unrestricted right to refuse treatment and expressed doubt that the Federal Constitution embodied such a right. The court then decided that the State Living Will statute embodied a state policy strongly favoring the preservation of life, and that Cruzan's statements to her housemate were unreliable for the purpose of determining her intent. It rejected the argument that her parents were entitled to order the termination of her medical treatment, concluding that no person can assume that choice for an incompetent in the absence of the formalities required by the Living Will statute or clear and convincing evidence of the patient's wishes.</w:t>
      </w:r>
    </w:p>
    <w:p w:rsidR="00A31137" w:rsidRPr="00A31137" w:rsidRDefault="00A31137" w:rsidP="00A31137">
      <w:r w:rsidRPr="00A31137">
        <w:t>1990, Cruzan v. Director, MDH, 497 U.S. 261</w:t>
      </w:r>
    </w:p>
    <w:p w:rsidR="00A31137" w:rsidRPr="00A31137" w:rsidRDefault="00A31137" w:rsidP="00A31137">
      <w:r w:rsidRPr="00A31137">
        <w:t>Held:</w:t>
      </w:r>
    </w:p>
    <w:p w:rsidR="00A31137" w:rsidRPr="00A31137" w:rsidRDefault="00A31137" w:rsidP="00A31137">
      <w:r w:rsidRPr="00A31137">
        <w:t>1990, Cruzan v. Director, MDH, 497 U.S. 261</w:t>
      </w:r>
    </w:p>
    <w:p w:rsidR="00A31137" w:rsidRPr="00A31137" w:rsidRDefault="00A31137" w:rsidP="00A31137">
      <w:r w:rsidRPr="00A31137">
        <w:t xml:space="preserve">1. The United States Constitution does not forbid Missouri to require that evidence of an incompetent's wishes as to the withdrawal of life-sustaining treatment be proved by clear and convincing evidence. Pp.  269-285. [497 U.S. 262] </w:t>
      </w:r>
    </w:p>
    <w:p w:rsidR="00A31137" w:rsidRPr="00A31137" w:rsidRDefault="00A31137" w:rsidP="00A31137">
      <w:r w:rsidRPr="00A31137">
        <w:t>1990, Cruzan v. Director, MDH, 497 U.S. 262</w:t>
      </w:r>
    </w:p>
    <w:p w:rsidR="00A31137" w:rsidRPr="00A31137" w:rsidRDefault="00A31137" w:rsidP="00A31137">
      <w:r w:rsidRPr="00A31137">
        <w:t>(a) Most state courts have based a right to refuse treatment on the common law right to informed consent, see, e.g., In re Storar, 52 N.Y.2d 363, 438 N.Y.S.2d 266, 420 N.E.2d 64, or on both that right and a constitutional privacy right, see, e.g., Superintendent of Belchertown State School v. Saikewicz, 373 Mass. 728, 370 N.E.2d 417. In addition to relying on state constitutions and the common law, state courts have also turned to state statutes for guidance, see, e.g., Conservatorship of Drabick, 200 Cal.App.3d 185, 245 Cal.Rptr. 840. However, these sources are not available to this Court, where the question is simply whether the Federal Constitution prohibits Missouri from choosing the rule of law which it did.</w:t>
      </w:r>
    </w:p>
    <w:p w:rsidR="00A31137" w:rsidRPr="00A31137" w:rsidRDefault="00A31137" w:rsidP="00A31137">
      <w:r w:rsidRPr="00A31137">
        <w:t>1990, Cruzan v. Director, MDH, 497 U.S. 262</w:t>
      </w:r>
    </w:p>
    <w:p w:rsidR="00A31137" w:rsidRPr="00A31137" w:rsidRDefault="00A31137" w:rsidP="00A31137">
      <w:r w:rsidRPr="00A31137">
        <w:t>(b) A competent person has a liberty interest under the Due Process Clause in refusing unwanted medical treatment. Cf., e.g., Jacobson v. Massachusetts, 197 U.S. 11, 24-30. However, the question whether that constitutional right has been violated must be determined by balancing the liberty interest against relevant state interests. For purposes of this case, it is assumed that a competent person would have a constitutionally protected right to refuse lifesaving hydration and nutrition. This does not mean that an incompetent person should possess the same right, since such a person is unable to make an informed and voluntary choice to exercise that hypothetical right or any other right. While Missouri has in effect recognized that, under certain circumstances, a surrogate may act for the patient in electing to withdraw hydration and nutrition and thus cause death, it has established a procedural safeguard to assure that the surrogate's action conforms as best it may to the wishes expressed by the patient while competent. Pp.  280-285,</w:t>
      </w:r>
    </w:p>
    <w:p w:rsidR="00A31137" w:rsidRPr="00A31137" w:rsidRDefault="00A31137" w:rsidP="00A31137">
      <w:r w:rsidRPr="00A31137">
        <w:t>1990, Cruzan v. Director, MDH, 497 U.S. 262</w:t>
      </w:r>
    </w:p>
    <w:p w:rsidR="00A31137" w:rsidRPr="00A31137" w:rsidRDefault="00A31137" w:rsidP="00A31137">
      <w:r w:rsidRPr="00A31137">
        <w:t>(c) It is permissible for Missouri, in its proceedings, to apply a clear and convincing evidence standard, which is an appropriate standard when the individual interests at stake are both particularly important and more substantial than mere loss of money, Santosky v. Kramer, 455 U.S. 745, 756. Here, Missouri has a general interest in the protection and preservation of human life, as well as other, more particular interests, at stake. It may legitimately seek to safeguard the personal element of an individual's choice between life and death. The State is also entitled to guard against potential abuses by surrogates who may not act to protect the patient. Similarly, it is entitled to consider that a judicial proceeding regarding an incompetent's wishes may not be adversarial, with the added guarantee of accurate factfinding that the adversary process brings with it. The State may also properly decline to make judgments about the "quality" of a particular individual's life, and simply assert an unqualified interest in the preservation of human life to be weighed against the constitutionally protected interests of the individual. It is self-evident that these interests are more substantial, both on [497 U.S. 263] an individual and societal level, than those involved in a common civil dispute. The clear and convincing evidence standard also serves as a societal judgment about how the risk of error should be distributed between the litigants. Missouri may permissibly place the increased risk of an erroneous decision on those seeking to terminate life-sustaining treatment. An erroneous decision not to terminate results in a maintenance of the status quo, with at least the potential that a wrong decision will eventually be corrected or its impact mitigated by an event such as an advancement in medical science or the patient's unexpected death. However, an erroneous decision to withdraw such treatment is not susceptible of correction. Although Missouri's proof requirement may have frustrated the effectuation of Cruzan's not-fully-expressed desires, the Constitution does not require general rules to work flawlessly. Pp. 280-285.</w:t>
      </w:r>
    </w:p>
    <w:p w:rsidR="00A31137" w:rsidRPr="00A31137" w:rsidRDefault="00A31137" w:rsidP="00A31137">
      <w:r w:rsidRPr="00A31137">
        <w:t>1990, Cruzan v. Director, MDH, 497 U.S. 263</w:t>
      </w:r>
    </w:p>
    <w:p w:rsidR="00A31137" w:rsidRPr="00A31137" w:rsidRDefault="00A31137" w:rsidP="00A31137">
      <w:r w:rsidRPr="00A31137">
        <w:t>2. The State Supreme Court did not commit constitutional error in concluding that the evidence adduced at trial did not amount to clear and convincing proof of Cruzan's desire to have hydration and nutrition withdrawn. The trial court had not adopted a clear and convincing evidence standard, and Cruzan's observations that she did not want to live life as a "vegetable" did not deal in terms with withdrawal of medical treatment or of hydration and nutrition. P.  285.</w:t>
      </w:r>
    </w:p>
    <w:p w:rsidR="00A31137" w:rsidRPr="00A31137" w:rsidRDefault="00A31137" w:rsidP="00A31137">
      <w:r w:rsidRPr="00A31137">
        <w:t>1990, Cruzan v. Director, MDH, 497 U.S. 263</w:t>
      </w:r>
    </w:p>
    <w:p w:rsidR="00A31137" w:rsidRPr="00A31137" w:rsidRDefault="00A31137" w:rsidP="00A31137">
      <w:r w:rsidRPr="00A31137">
        <w:t>3. The Due Process Clause does not require a State to accept the "substituted judgment" of close family members in the absence of substantial proof that their views reflect the patient's. This Court's decision upholding a State's favored treatment of traditional family relationships, Michael H. v. Gerald D., 491 U.S. 110, may not be turned into a constitutional requirement that a State must recognize the primacy of these relationships in a situation like this. Nor may a decision upholding a State's right to permit family decisionmaking, Parham v. J.R., 442 U.S. 584, be turned into a constitutional requirement that the State recognize such decisionmaking. Nancy Cruzan's parents would surely be qualified to exercise such a right of "substituted judgment" were it required by the Constitution. However, for the same reasons that Missouri may require clear and convincing evidence of a patient's wishes, it may also choose to defer only to those wishes, rather than confide the decision to close family members. Pp.  285-287.</w:t>
      </w:r>
    </w:p>
    <w:p w:rsidR="00A31137" w:rsidRPr="00A31137" w:rsidRDefault="00A31137" w:rsidP="00A31137">
      <w:r w:rsidRPr="00A31137">
        <w:t>1990, Cruzan v. Director, MDH, 497 U.S. 263</w:t>
      </w:r>
    </w:p>
    <w:p w:rsidR="00A31137" w:rsidRPr="00A31137" w:rsidRDefault="00A31137" w:rsidP="00A31137">
      <w:r w:rsidRPr="00A31137">
        <w:t>760 S.W.2d 408, affirmed.</w:t>
      </w:r>
    </w:p>
    <w:p w:rsidR="00A31137" w:rsidRPr="00A31137" w:rsidRDefault="00A31137" w:rsidP="00A31137">
      <w:r w:rsidRPr="00A31137">
        <w:t>1990, Cruzan v. Director, MDH, 497 U.S. 263</w:t>
      </w:r>
    </w:p>
    <w:p w:rsidR="00A31137" w:rsidRPr="00A31137" w:rsidRDefault="00A31137" w:rsidP="00A31137">
      <w:r w:rsidRPr="00A31137">
        <w:t xml:space="preserve">REHNQUIST, C.J., delivered the opinion of the Court, in which WHITE, O'CONNOR, SCALIA, and KENNEDY, JJ., joined. O'CONNOR, J., post, p.  287, and SCALIA, J., post, p.  292, filed concurring opinions. BRENNAN, J., filed a dissenting opinion, in which MARSHALL and BLACKMUN, [497 U.S. 264] JJ., joined, post, p. 301. STEVENS, J., filed a dissenting opinion, post, p.  330. [497 U.S. 265] </w:t>
      </w:r>
    </w:p>
    <w:p w:rsidR="00A31137" w:rsidRPr="00A31137" w:rsidRDefault="00A31137" w:rsidP="00A31137">
      <w:r w:rsidRPr="00A31137">
        <w:t>REHNQUIST, J., lead opinion</w:t>
      </w:r>
    </w:p>
    <w:p w:rsidR="00A31137" w:rsidRPr="00A31137" w:rsidRDefault="00A31137" w:rsidP="00A31137">
      <w:r w:rsidRPr="00A31137">
        <w:t>1990, Cruzan v. Director, MDH, 497 U.S. 265</w:t>
      </w:r>
    </w:p>
    <w:p w:rsidR="00A31137" w:rsidRPr="00A31137" w:rsidRDefault="00A31137" w:rsidP="00A31137">
      <w:r w:rsidRPr="00A31137">
        <w:t>Chief Justice REHNQUIST delivered the opinion of the Court.</w:t>
      </w:r>
    </w:p>
    <w:p w:rsidR="00A31137" w:rsidRPr="00A31137" w:rsidRDefault="00A31137" w:rsidP="00A31137">
      <w:r w:rsidRPr="00A31137">
        <w:t>1990, Cruzan v. Director, MDH, 497 U.S. 265</w:t>
      </w:r>
    </w:p>
    <w:p w:rsidR="00A31137" w:rsidRPr="00A31137" w:rsidRDefault="00A31137" w:rsidP="00A31137">
      <w:r w:rsidRPr="00A31137">
        <w:t xml:space="preserve">Petitioner Nancy Beth Cruzan was rendered incompetent as a result of severe injuries sustained during an automobile accident. Copetitioners Lester and Joyce Cruzan, Nancy's parents and coguardians, sought a court order directing the withdrawal of their daughter's artificial feeding and hydration equipment after it became apparent that she had virtually no chance of recovering her cognitive faculties. The Supreme Court of Missouri held that, because there was no clear and convincing evidence of Nancy's desire to have life-sustaining treatment withdrawn under such circumstances, her parents lacked authority to effectuate such a request. We granted certiorari, 492 U.S. 917 (1989), and now affirm. [497 U.S. 266] </w:t>
      </w:r>
    </w:p>
    <w:p w:rsidR="00A31137" w:rsidRPr="00A31137" w:rsidRDefault="00A31137" w:rsidP="00A31137">
      <w:r w:rsidRPr="00A31137">
        <w:t>1990, Cruzan v. Director, MDH, 497 U.S. 266</w:t>
      </w:r>
    </w:p>
    <w:p w:rsidR="00A31137" w:rsidRPr="00A31137" w:rsidRDefault="00A31137" w:rsidP="00A31137">
      <w:r w:rsidRPr="00A31137">
        <w:t xml:space="preserve">On the night of January 11, 1983, Nancy Cruzan lost control of her car as she traveled down Elm Road in Jasper County, Missouri. The vehicle overturned, and Cruzan was discovered lying face down in a ditch without detectable respiratory or cardiac function. Paramedics were able to restore her breathing and heartbeat at the accident site, and she was transported to a hospital in an unconscious state. An attending neurosurgeon diagnosed her as having sustained probable cerebral contusions compounded by significant anoxia (lack of oxygen). The Missouri trial court in this case found that permanent brain damage generally results after 6 minutes in an anoxic state; it was estimated that Cruzan was deprived of oxygen from 12 to 14 minutes. She remained in a coma for approximately three weeks, and then progressed to an unconscious state in which she was able to orally ingest some nutrition. In order to ease feeding and further the recovery, surgeons implanted a gastrostomy feeding and hydration tube in Cruzan with the consent of her then husband. Subsequent rehabilitative efforts proved unavailing. She now lies in a Missouri state hospital in what is commonly referred to as a persistent vegetative state: generally, a condition in which a person exhibits motor reflexes but evinces no indications of significant cognitive function. 1 The State of Missouri is bearing the cost of her care. [497 U.S. 267] </w:t>
      </w:r>
    </w:p>
    <w:p w:rsidR="00A31137" w:rsidRPr="00A31137" w:rsidRDefault="00A31137" w:rsidP="00A31137">
      <w:r w:rsidRPr="00A31137">
        <w:t>1990, Cruzan v. Director, MDH, 497 U.S. 267</w:t>
      </w:r>
    </w:p>
    <w:p w:rsidR="00A31137" w:rsidRPr="00A31137" w:rsidRDefault="00A31137" w:rsidP="00A31137">
      <w:r w:rsidRPr="00A31137">
        <w:t>After it had become apparent that Nancy Cruzan had virtually no chance of regaining her mental faculties, her parents asked hospital employees to terminate the artificial nutrition and hydration procedures. All agree that such a [497 U.S. 268] removal would cause her death. The employees refused to honor the request without court approval. The parents then sought and received authorization from the state trial court for termination. The court found that a person in Nancy's condition had a fundamental right under the State and Federal Constitutions to refuse or direct the withdrawal of "death prolonging procedures." App. to Pet. for Cert. A99. The court also found that Nancy's</w:t>
      </w:r>
    </w:p>
    <w:p w:rsidR="00A31137" w:rsidRPr="00A31137" w:rsidRDefault="00A31137" w:rsidP="00A31137">
      <w:r w:rsidRPr="00A31137">
        <w:t>1990, Cruzan v. Director, MDH, 497 U.S. 268</w:t>
      </w:r>
    </w:p>
    <w:p w:rsidR="00A31137" w:rsidRPr="00A31137" w:rsidRDefault="00A31137" w:rsidP="00A31137">
      <w:r w:rsidRPr="00A31137">
        <w:t>expressed thoughts at age twenty-five in somewhat serious conversation with a housemate friend that, if sick or injured, she would not wish to continue her life unless she could live at least halfway normally suggests that, given her present condition, she would not wish to continue on with her nutrition and hydration.</w:t>
      </w:r>
    </w:p>
    <w:p w:rsidR="00A31137" w:rsidRPr="00A31137" w:rsidRDefault="00A31137" w:rsidP="00A31137">
      <w:r w:rsidRPr="00A31137">
        <w:t>1990, Cruzan v. Director, MDH, 497 U.S. 268</w:t>
      </w:r>
    </w:p>
    <w:p w:rsidR="00A31137" w:rsidRPr="00A31137" w:rsidRDefault="00A31137" w:rsidP="00A31137">
      <w:r w:rsidRPr="00A31137">
        <w:t>Id. at A97-A98.</w:t>
      </w:r>
    </w:p>
    <w:p w:rsidR="00A31137" w:rsidRPr="00A31137" w:rsidRDefault="00A31137" w:rsidP="00A31137">
      <w:r w:rsidRPr="00A31137">
        <w:t>1990, Cruzan v. Director, MDH, 497 U.S. 268</w:t>
      </w:r>
    </w:p>
    <w:p w:rsidR="00A31137" w:rsidRPr="00A31137" w:rsidRDefault="00A31137" w:rsidP="00A31137">
      <w:r w:rsidRPr="00A31137">
        <w:t>The Supreme Court of Missouri reversed by a divided vote. The court recognized a right to refuse treatment embodied in the common law doctrine of informed consent, but expressed skepticism about the application of that doctrine in the circumstances of this case. Cruzan v. Harmon, 760 S.W.2d 408, 416-417 (Mo.1988) (en banc). The court also declined to read a broad right of privacy into the State Constitution which would "support the right of a person to refuse medical treatment in every circumstance," and expressed doubt as to whether such a right existed under the United States Constitution. Id. at 417-418. It then decided that the Missouri Living Will statute, Mo.Rev.Stat. § 459.010 et seq. (1986), embodied a state policy strongly favoring the preservation of life. 760 S.W.2d, at 419-420. The court found that Cruzan's statements to her roommate regarding her desire to live or die under certain conditions were "unreliable for the purpose of determining her intent," id. at 424, "and thus insufficient to support the coguardians claim to exercise substituted judgment on Nancy's behalf." Id. at 426. It rejected the argument that Cruzan's parents were entitled to order the termination of her medical treatment, [497 U.S. 269] concluding that</w:t>
      </w:r>
    </w:p>
    <w:p w:rsidR="00A31137" w:rsidRPr="00A31137" w:rsidRDefault="00A31137" w:rsidP="00A31137">
      <w:r w:rsidRPr="00A31137">
        <w:t>1990, Cruzan v. Director, MDH, 497 U.S. 269</w:t>
      </w:r>
    </w:p>
    <w:p w:rsidR="00A31137" w:rsidRPr="00A31137" w:rsidRDefault="00A31137" w:rsidP="00A31137">
      <w:r w:rsidRPr="00A31137">
        <w:t>no person can assume that choice for an incompetent in the absence of the formalities required under Missouri's Living Will statutes or the clear and convincing, inherently reliable evidence absent here.</w:t>
      </w:r>
    </w:p>
    <w:p w:rsidR="00A31137" w:rsidRPr="00A31137" w:rsidRDefault="00A31137" w:rsidP="00A31137">
      <w:r w:rsidRPr="00A31137">
        <w:t>1990, Cruzan v. Director, MDH, 497 U.S. 269</w:t>
      </w:r>
    </w:p>
    <w:p w:rsidR="00A31137" w:rsidRPr="00A31137" w:rsidRDefault="00A31137" w:rsidP="00A31137">
      <w:r w:rsidRPr="00A31137">
        <w:t>Id. at 425. The court also expressed its view that "[b]road policy questions bearing on life and death are more properly addressed by representative assemblies" than judicial bodies. Id. at 426.</w:t>
      </w:r>
    </w:p>
    <w:p w:rsidR="00A31137" w:rsidRPr="00A31137" w:rsidRDefault="00A31137" w:rsidP="00A31137">
      <w:r w:rsidRPr="00A31137">
        <w:t>1990, Cruzan v. Director, MDH, 497 U.S. 269</w:t>
      </w:r>
    </w:p>
    <w:p w:rsidR="00A31137" w:rsidRPr="00A31137" w:rsidRDefault="00A31137" w:rsidP="00A31137">
      <w:r w:rsidRPr="00A31137">
        <w:t>We granted certiorari to consider the question of whether Cruzan has a right under the United States Constitution which would require the hospital to withdraw life-sustaining treatment from her under these circumstances.</w:t>
      </w:r>
    </w:p>
    <w:p w:rsidR="00A31137" w:rsidRPr="00A31137" w:rsidRDefault="00A31137" w:rsidP="00A31137">
      <w:r w:rsidRPr="00A31137">
        <w:t>1990, Cruzan v. Director, MDH, 497 U.S. 269</w:t>
      </w:r>
    </w:p>
    <w:p w:rsidR="00A31137" w:rsidRPr="00A31137" w:rsidRDefault="00A31137" w:rsidP="00A31137">
      <w:r w:rsidRPr="00A31137">
        <w:t>At common law, even the touching of one person by another without consent and without legal justification was a battery. See W. Keeton, D. Dobbs, R. Keeton, &amp; D. Owen, Prosser and Keeton on Law of Torts § 9, pp. 39-42 (5th ed. 1984). Before the turn of the century, this Court observed that</w:t>
      </w:r>
    </w:p>
    <w:p w:rsidR="00A31137" w:rsidRPr="00A31137" w:rsidRDefault="00A31137" w:rsidP="00A31137">
      <w:r w:rsidRPr="00A31137">
        <w:t>1990, Cruzan v. Director, MDH, 497 U.S. 269</w:t>
      </w:r>
    </w:p>
    <w:p w:rsidR="00A31137" w:rsidRPr="00A31137" w:rsidRDefault="00A31137" w:rsidP="00A31137">
      <w:r w:rsidRPr="00A31137">
        <w:t>[n]o right is held more sacred, or is more carefully guarded by the common law, than the right of every individual to the possession and control of his own person, free from all restraint or interference of others, unless by clear and unquestionable authority of law.</w:t>
      </w:r>
    </w:p>
    <w:p w:rsidR="00A31137" w:rsidRPr="00A31137" w:rsidRDefault="00A31137" w:rsidP="00A31137">
      <w:r w:rsidRPr="00A31137">
        <w:t>1990, Cruzan v. Director, MDH, 497 U.S. 269</w:t>
      </w:r>
    </w:p>
    <w:p w:rsidR="00A31137" w:rsidRPr="00A31137" w:rsidRDefault="00A31137" w:rsidP="00A31137">
      <w:r w:rsidRPr="00A31137">
        <w:t>Union Pacific R. Co. v. Botsford, 141 U.S. 250, 251 (1891). This notion of bodily integrity has been embodied in the requirement that informed consent is generally required for medical treatment. Justice Cardozo, while on the Court of Appeals of New York, aptly described this doctrine:</w:t>
      </w:r>
    </w:p>
    <w:p w:rsidR="00A31137" w:rsidRPr="00A31137" w:rsidRDefault="00A31137" w:rsidP="00A31137">
      <w:r w:rsidRPr="00A31137">
        <w:t>1990, Cruzan v. Director, MDH, 497 U.S. 269</w:t>
      </w:r>
    </w:p>
    <w:p w:rsidR="00A31137" w:rsidRPr="00A31137" w:rsidRDefault="00A31137" w:rsidP="00A31137">
      <w:r w:rsidRPr="00A31137">
        <w:t>Every human being of adult years and sound mind has a right to determine what shall be done with his own body, and a surgeon who performs an operation without his patient's consent commits an assault, for which he is liable in damages.</w:t>
      </w:r>
    </w:p>
    <w:p w:rsidR="00A31137" w:rsidRPr="00A31137" w:rsidRDefault="00A31137" w:rsidP="00A31137">
      <w:r w:rsidRPr="00A31137">
        <w:t>1990, Cruzan v. Director, MDH, 497 U.S. 269</w:t>
      </w:r>
    </w:p>
    <w:p w:rsidR="00A31137" w:rsidRPr="00A31137" w:rsidRDefault="00A31137" w:rsidP="00A31137">
      <w:r w:rsidRPr="00A31137">
        <w:t xml:space="preserve">Schloendorff v. Society of New York Hospital, 211 N.Y. 125, 129-30, 105 N.E. 92, 93 (1914). The informed consent doctrine has become firmly entrenched in American tort law. See Dobbs, Keeton, &amp; Owen, supra, § 32, pp. 189-192; F. Rozovsky, Consent to Treatment, A Practical Guide 1-98 (2d ed. 1990). [497 U.S. 270] </w:t>
      </w:r>
    </w:p>
    <w:p w:rsidR="00A31137" w:rsidRPr="00A31137" w:rsidRDefault="00A31137" w:rsidP="00A31137">
      <w:r w:rsidRPr="00A31137">
        <w:t>1990, Cruzan v. Director, MDH, 497 U.S. 270</w:t>
      </w:r>
    </w:p>
    <w:p w:rsidR="00A31137" w:rsidRPr="00A31137" w:rsidRDefault="00A31137" w:rsidP="00A31137">
      <w:r w:rsidRPr="00A31137">
        <w:t>The logical corollary of the doctrine of informed consent is that the patient generally possesses the right not to consent, that is, to refuse treatment. Until about 15 years ago and the seminal decision in In re Quinlan, 70 N.J. 10, 355 A.2d 647, cert. denied sub nom. Garger v. New Jersey, 429 U.S. 922 (1976), the number of right-to-refuse-treatment decisions were relatively few. 2 Most of the earlier cases involved patients who refused medical treatment forbidden by their religious beliefs, thus implicating First Amendment rights as well as common law rights of self-determination. 3 More recently, however, with the advance of medical technology capable of sustaining life well past the point where natural forces would have brought certain death in earlier times, cases involving the right to refuse life-sustaining treatment have burgeoned. See 760 S.W.2d at 412, n. 4 (collecting 54 reported decisions from 1976-1988).</w:t>
      </w:r>
    </w:p>
    <w:p w:rsidR="00A31137" w:rsidRPr="00A31137" w:rsidRDefault="00A31137" w:rsidP="00A31137">
      <w:r w:rsidRPr="00A31137">
        <w:t>1990, Cruzan v. Director, MDH, 497 U.S. 270</w:t>
      </w:r>
    </w:p>
    <w:p w:rsidR="00A31137" w:rsidRPr="00A31137" w:rsidRDefault="00A31137" w:rsidP="00A31137">
      <w:r w:rsidRPr="00A31137">
        <w:t>In the Quinlan case, young Karen Quinlan suffered severe brain damage as the result of anoxia, and entered a persistent vegetative state. Karen's father sought judicial approval to disconnect his daughter's respirator. The New Jersey Supreme Court granted the relief, holding that Karen had a right of privacy grounded in the Federal Constitution to terminate treatment. In re Quinlan, 70 N.J. at 38-42, 355 A.2d at 662-664. Recognizing that this right was not absolute, however, the court balanced it against asserted state interests. Noting that the State's interest "weakens and the individual's right to privacy grows as the degree of bodily invasion increases and the prognosis dims," the court concluded that the state interests had to give way in that case. Id. at [497 U.S. 271] 41, 355 A.2d at 664. The court also concluded that the "only practical way" to prevent the loss of Karen's privacy right due to her incompetence was to allow her guardian and family to decide "whether she would exercise it in these circumstances." Ibid.</w:t>
      </w:r>
    </w:p>
    <w:p w:rsidR="00A31137" w:rsidRPr="00A31137" w:rsidRDefault="00A31137" w:rsidP="00A31137">
      <w:r w:rsidRPr="00A31137">
        <w:t>1990, Cruzan v. Director, MDH, 497 U.S. 271</w:t>
      </w:r>
    </w:p>
    <w:p w:rsidR="00A31137" w:rsidRPr="00A31137" w:rsidRDefault="00A31137" w:rsidP="00A31137">
      <w:r w:rsidRPr="00A31137">
        <w:t>After Quinlan, however, most courts have based a right to refuse treatment either solely on the common law right to informed consent or on both the common law right and a constitutional privacy right. See L. Tribe, American Constitutional Law § 15-11, p. 1365 (2d ed. 1988). In Superintendent of Belchertown State School v. Saikewicz, 373 Mass. 728, 370 N.E.2d 417 (1977), the Supreme Judicial Court of Massachusetts relied on both the right of privacy and the right of informed consent to permit the withholding of chemotherapy from a profoundly-retarded 67-year-old man suffering from leukemia. Id. at 737-738, 370 N.E.2d at 424. Reasoning that an incompetent person retains the same rights as a competent individual "because the value of human dignity extends to both," the court adopted a "substituted judgment" standard whereby courts were to determine what an incompetent individual's decision would have been under the circumstances. Id. at 745, 752-753, 757-758, 370 N.E.2d at 427, 431, 434. Distilling certain state interests from prior case law—the preservation of life, the protection of the interests of innocent third parties, the prevention of suicide, and the maintenance of the ethical integrity of the medical profession—the court recognized the first interest as paramount and noted it was greatest when an affliction was curable,</w:t>
      </w:r>
    </w:p>
    <w:p w:rsidR="00A31137" w:rsidRPr="00A31137" w:rsidRDefault="00A31137" w:rsidP="00A31137">
      <w:r w:rsidRPr="00A31137">
        <w:t>1990, Cruzan v. Director, MDH, 497 U.S. 271</w:t>
      </w:r>
    </w:p>
    <w:p w:rsidR="00A31137" w:rsidRPr="00A31137" w:rsidRDefault="00A31137" w:rsidP="00A31137">
      <w:r w:rsidRPr="00A31137">
        <w:t>as opposed to the State interest where, as here, the issue is not whether, but when, for how long, and at what cost to the individual [a] life may be briefly extended.</w:t>
      </w:r>
    </w:p>
    <w:p w:rsidR="00A31137" w:rsidRPr="00A31137" w:rsidRDefault="00A31137" w:rsidP="00A31137">
      <w:r w:rsidRPr="00A31137">
        <w:t>1990, Cruzan v. Director, MDH, 497 U.S. 271</w:t>
      </w:r>
    </w:p>
    <w:p w:rsidR="00A31137" w:rsidRPr="00A31137" w:rsidRDefault="00A31137" w:rsidP="00A31137">
      <w:r w:rsidRPr="00A31137">
        <w:t>Id. at 742, 370 N.E.2d at 426.</w:t>
      </w:r>
    </w:p>
    <w:p w:rsidR="00A31137" w:rsidRPr="00A31137" w:rsidRDefault="00A31137" w:rsidP="00A31137">
      <w:r w:rsidRPr="00A31137">
        <w:t>1990, Cruzan v. Director, MDH, 497 U.S. 271</w:t>
      </w:r>
    </w:p>
    <w:p w:rsidR="00A31137" w:rsidRPr="00A31137" w:rsidRDefault="00A31137" w:rsidP="00A31137">
      <w:r w:rsidRPr="00A31137">
        <w:t>In In re Storar, 52 N.Y.2d 363, 438 N.Y. S.2d 266, 420 N.E.2d 64, cert. denied, 464 U.S. 858 (1981), the New York Court of Appeals declined to base a right to refuse treatment on a constitutional privacy right. Instead, it found such a right "adequately [497 U.S. 272] supported" by the informed consent doctrine. Id. at 376-377, 438 N.Y.S.2d at 272, 420 N.E.2d at 70. In In re Eichner (decided with In re Storar, supra), an 83-year-old man who had suffered brain damage from anoxia entered a vegetative state and was thus incompetent to consent to the removal of his respirator. The court, however, found it unnecessary to reach the question of whether his rights could be exercised by others, since it found the evidence clear and convincing from statements made by the patient when competent that he "did not want to be maintained in a vegetative coma by use of a respirator." Id. at 380, 438 N.Y.S.2d at 274, 420 N.E.2d at 72. In the companion Storar case, a 52-year-old man suffering from bladder cancer had been profoundly retarded during most of his life. Implicitly rejecting the approach taken in Saikewicz, supra, the court reasoned that, due to such life-long incompetency, "it is unrealistic to attempt to determine whether he would want to continue potentially life-prolonging treatment if he were competent." 52 N.Y.2d at 380, 438 N.Y.S.2d at 275, 420 N.E.2d at 72. As the evidence showed that the patient's required blood transfusions did not involve excessive pain and, without them, his mental and physical abilities would deteriorate, the court concluded that it should not</w:t>
      </w:r>
    </w:p>
    <w:p w:rsidR="00A31137" w:rsidRPr="00A31137" w:rsidRDefault="00A31137" w:rsidP="00A31137">
      <w:r w:rsidRPr="00A31137">
        <w:t>1990, Cruzan v. Director, MDH, 497 U.S. 272</w:t>
      </w:r>
    </w:p>
    <w:p w:rsidR="00A31137" w:rsidRPr="00A31137" w:rsidRDefault="00A31137" w:rsidP="00A31137">
      <w:r w:rsidRPr="00A31137">
        <w:t>allow an incompetent patient to bleed to death because someone, even someone as close as a parent or sibling, feels that this is best for one with an incurable disease.</w:t>
      </w:r>
    </w:p>
    <w:p w:rsidR="00A31137" w:rsidRPr="00A31137" w:rsidRDefault="00A31137" w:rsidP="00A31137">
      <w:r w:rsidRPr="00A31137">
        <w:t>1990, Cruzan v. Director, MDH, 497 U.S. 272</w:t>
      </w:r>
    </w:p>
    <w:p w:rsidR="00A31137" w:rsidRPr="00A31137" w:rsidRDefault="00A31137" w:rsidP="00A31137">
      <w:r w:rsidRPr="00A31137">
        <w:t>Id. at 382, 438 N.Y.S.2d at 275, 420 N.E.2d at 73.</w:t>
      </w:r>
    </w:p>
    <w:p w:rsidR="00A31137" w:rsidRPr="00A31137" w:rsidRDefault="00A31137" w:rsidP="00A31137">
      <w:r w:rsidRPr="00A31137">
        <w:t>1990, Cruzan v. Director, MDH, 497 U.S. 272</w:t>
      </w:r>
    </w:p>
    <w:p w:rsidR="00A31137" w:rsidRPr="00A31137" w:rsidRDefault="00A31137" w:rsidP="00A31137">
      <w:r w:rsidRPr="00A31137">
        <w:t>Many of the later cases build on the principles established in Quinlan, Saikewicz and Storar/Eichner. For instance, in In re Conroy, 98 N.J. 321, 486 A.2d 1209 (1985), the same court that decided Quinlan considered whether a nasogastric feeding tube could be removed from an 84-year-old incompetent nursing-home resident suffering irreversible mental and physical ailments. While recognizing that a federal right of privacy might apply in the case, the court, contrary to its approach in Quinlan, decided to base its decision on the common law right to self-determination and informed consent. [497 U.S. 273] 98 N.J. at 348, 486 A.2d at 1223.</w:t>
      </w:r>
    </w:p>
    <w:p w:rsidR="00A31137" w:rsidRPr="00A31137" w:rsidRDefault="00A31137" w:rsidP="00A31137">
      <w:r w:rsidRPr="00A31137">
        <w:t>1990, Cruzan v. Director, MDH, 497 U.S. 273</w:t>
      </w:r>
    </w:p>
    <w:p w:rsidR="00A31137" w:rsidRPr="00A31137" w:rsidRDefault="00A31137" w:rsidP="00A31137">
      <w:r w:rsidRPr="00A31137">
        <w:t>On balance, the right to self-determination ordinarily outweighs any countervailing state interests, and competent persons generally are permitted to refuse medical treatment, even at the risk of death. Most of the cases that have held otherwise, unless they involved the interest in protecting innocent third parties, have concerned the patient's competency to make a rational and considered choice.</w:t>
      </w:r>
    </w:p>
    <w:p w:rsidR="00A31137" w:rsidRPr="00A31137" w:rsidRDefault="00A31137" w:rsidP="00A31137">
      <w:r w:rsidRPr="00A31137">
        <w:t>1990, Cruzan v. Director, MDH, 497 U.S. 273</w:t>
      </w:r>
    </w:p>
    <w:p w:rsidR="00A31137" w:rsidRPr="00A31137" w:rsidRDefault="00A31137" w:rsidP="00A31137">
      <w:r w:rsidRPr="00A31137">
        <w:t>Id. at 353-354, 486 A.2d at 1225.</w:t>
      </w:r>
    </w:p>
    <w:p w:rsidR="00A31137" w:rsidRPr="00A31137" w:rsidRDefault="00A31137" w:rsidP="00A31137">
      <w:r w:rsidRPr="00A31137">
        <w:t>1990, Cruzan v. Director, MDH, 497 U.S. 273</w:t>
      </w:r>
    </w:p>
    <w:p w:rsidR="00A31137" w:rsidRPr="00A31137" w:rsidRDefault="00A31137" w:rsidP="00A31137">
      <w:r w:rsidRPr="00A31137">
        <w:t>Reasoning that the right of self-determination should not be lost merely because an individual is unable to sense a violation of it, the court held that incompetent individuals retain a right to refuse treatment. It also held that such a right could be exercised by a surrogate decisionmaker using a "subjective" standard when there was clear evidence that the incompetent person would have exercised it. Where such evidence was lacking, the court held that an individual's right could still be invoked in certain circumstances under objective "best interest" standards. Id. at 361-368, 486 A.2d at 1229-1233. Thus, if some trustworthy evidence existed that the individual would have wanted to terminate treatment, but not enough to clearly establish a person's wishes for purposes of the subjective standard, and the burden of a prolonged life from the experience of pain and suffering markedly outweighed its satisfactions, treatment could be terminated under a "limited-objective" standard. Where no trustworthy evidence existed, and a person's suffering would make the administration of life-sustaining treatment inhumane, a "pure-objective" standard could be used to terminate treatment. If none of these conditions obtained, the court held it was best to err in favor of preserving life. Id. at 364-368, 486 A.2d at 1231-1233.</w:t>
      </w:r>
    </w:p>
    <w:p w:rsidR="00A31137" w:rsidRPr="00A31137" w:rsidRDefault="00A31137" w:rsidP="00A31137">
      <w:r w:rsidRPr="00A31137">
        <w:t>1990, Cruzan v. Director, MDH, 497 U.S. 273</w:t>
      </w:r>
    </w:p>
    <w:p w:rsidR="00A31137" w:rsidRPr="00A31137" w:rsidRDefault="00A31137" w:rsidP="00A31137">
      <w:r w:rsidRPr="00A31137">
        <w:t>The court also rejected certain categorical distinctions that had been drawn in prior refusal-of-treatment cases as lacking substance for decision purposes: the distinction between actively hastening death by terminating treatment and passively [497 U.S. 274] allowing a person to die of a disease; between treating individuals as an initial matter versus withdrawing treatment afterwards; between ordinary versus extraordinary treatment; and between treatment by artificial feeding versus other forms of life-sustaining medical procedures. Id.. at 369-374, 486 A.2d at 1233-1237. As to the last item, the court acknowledged the "emotional significance" of food, but noted that feeding by implanted tubes is a</w:t>
      </w:r>
    </w:p>
    <w:p w:rsidR="00A31137" w:rsidRPr="00A31137" w:rsidRDefault="00A31137" w:rsidP="00A31137">
      <w:r w:rsidRPr="00A31137">
        <w:t>1990, Cruzan v. Director, MDH, 497 U.S. 274</w:t>
      </w:r>
    </w:p>
    <w:p w:rsidR="00A31137" w:rsidRPr="00A31137" w:rsidRDefault="00A31137" w:rsidP="00A31137">
      <w:r w:rsidRPr="00A31137">
        <w:t>medical procedur[e] with inherent risks and possible side effects, instituted by skilled healthcare providers to compensate for impaired physical functioning</w:t>
      </w:r>
    </w:p>
    <w:p w:rsidR="00A31137" w:rsidRPr="00A31137" w:rsidRDefault="00A31137" w:rsidP="00A31137">
      <w:r w:rsidRPr="00A31137">
        <w:t>1990, Cruzan v. Director, MDH, 497 U.S. 274</w:t>
      </w:r>
    </w:p>
    <w:p w:rsidR="00A31137" w:rsidRPr="00A31137" w:rsidRDefault="00A31137" w:rsidP="00A31137">
      <w:r w:rsidRPr="00A31137">
        <w:t>which analytically was equivalent to artificial breathing using a respirator. Id. at 373, 486 A.2d at 1236. 4</w:t>
      </w:r>
    </w:p>
    <w:p w:rsidR="00A31137" w:rsidRPr="00A31137" w:rsidRDefault="00A31137" w:rsidP="00A31137">
      <w:r w:rsidRPr="00A31137">
        <w:t>1990, Cruzan v. Director, MDH, 497 U.S. 274</w:t>
      </w:r>
    </w:p>
    <w:p w:rsidR="00A31137" w:rsidRPr="00A31137" w:rsidRDefault="00A31137" w:rsidP="00A31137">
      <w:r w:rsidRPr="00A31137">
        <w:t>In contrast to Conroy, the Court of Appeals of New York recently refused to accept less than the clearly expressed wishes of a patient before permitting the exercise of her right to refuse treatment by a surrogate decisionmaker. In re Westchester County Medical Center on behalf of O'Connor, 72 N.Y.2d 517, 534 N.Y.S.2d 886, 531 N.E.2d 607 (1988) (O'Connor). There, the court, over the objection of the patient's family members, granted an order to insert a feeding tube into a 77-year-old [497 U.S. 275] woman rendered incompetent as a result of several strokes. While continuing to recognize a common law right to refuse treatment, the court rejected the substituted judgment approach for asserting it</w:t>
      </w:r>
    </w:p>
    <w:p w:rsidR="00A31137" w:rsidRPr="00A31137" w:rsidRDefault="00A31137" w:rsidP="00A31137">
      <w:r w:rsidRPr="00A31137">
        <w:t>1990, Cruzan v. Director, MDH, 497 U.S. 275</w:t>
      </w:r>
    </w:p>
    <w:p w:rsidR="00A31137" w:rsidRPr="00A31137" w:rsidRDefault="00A31137" w:rsidP="00A31137">
      <w:r w:rsidRPr="00A31137">
        <w:t>because it is inconsistent with our fundamental commitment to the notion that no person or court should substitute its judgment as to what would be an acceptable quality of life for another. Consequently, we adhere to the view that, despite its pitfalls and inevitable uncertainties, the inquiry must always be narrowed to the patient's expressed intent, with every effort made to minimize the opportunity for error.</w:t>
      </w:r>
    </w:p>
    <w:p w:rsidR="00A31137" w:rsidRPr="00A31137" w:rsidRDefault="00A31137" w:rsidP="00A31137">
      <w:r w:rsidRPr="00A31137">
        <w:t>1990, Cruzan v. Director, MDH, 497 U.S. 275</w:t>
      </w:r>
    </w:p>
    <w:p w:rsidR="00A31137" w:rsidRPr="00A31137" w:rsidRDefault="00A31137" w:rsidP="00A31137">
      <w:r w:rsidRPr="00A31137">
        <w:t>Id. at 530, 534 N.Y.S.2d at 892, 531 N.E.2d at 613 (citation omitted). The court held that the record lacked the requisite clear and convincing evidence of the patient's expressed intent to withhold life-sustaining treatment. Id. at 531-534, 534 N.Y.S.2d at 892-894, 531 N.E.2d at 613-615.</w:t>
      </w:r>
    </w:p>
    <w:p w:rsidR="00A31137" w:rsidRPr="00A31137" w:rsidRDefault="00A31137" w:rsidP="00A31137">
      <w:r w:rsidRPr="00A31137">
        <w:t>1990, Cruzan v. Director, MDH, 497 U.S. 275</w:t>
      </w:r>
    </w:p>
    <w:p w:rsidR="00A31137" w:rsidRPr="00A31137" w:rsidRDefault="00A31137" w:rsidP="00A31137">
      <w:r w:rsidRPr="00A31137">
        <w:t>Other courts have found state statutory law relevant to the resolution of these issues. In Conservatorship of Drabick, 200 Cal.App.3d 185, 245 Cal.Rptr. 840, cert. denied, 488 U.S. 958 (1988), the California Court of Appeal authorized the removal of a nasogastric feeding tube from a 44-year-old man who was in a persistent vegetative state as a result of an auto accident. Noting that the right to refuse treatment was grounded in both the common law and a constitutional right of privacy, the court held that a state probate statute authorized the patient's conservator to order the withdrawal of life-sustaining treatment when such a decision was made in good faith based on medical advice and the conservatee's best interests. While acknowledging that "to claim that [a patient's] 'right to choose' survives incompetence is a legal fiction at best," the court reasoned that the respect society accords to persons as individuals is not lost upon incompetence, and is best preserved by allowing others "to make a decision that reflects [a patient's] interests more closely than would a purely technological decision to do whatever is possible." 5 [497 U.S. 276] Id., 200 Cal.App.3d, at 208, 246 Cal.Rptr., at 854-855. See also In re Conservatorship of Torres, 357 N.W.2d 332 (Minn.1984) (Minnesota court had constitutional and statutory authority to authorize a conservator to order the removal of an incompetent individual's respirator since in patient's best interests).</w:t>
      </w:r>
    </w:p>
    <w:p w:rsidR="00A31137" w:rsidRPr="00A31137" w:rsidRDefault="00A31137" w:rsidP="00A31137">
      <w:r w:rsidRPr="00A31137">
        <w:t>1990, Cruzan v. Director, MDH, 497 U.S. 276</w:t>
      </w:r>
    </w:p>
    <w:p w:rsidR="00A31137" w:rsidRPr="00A31137" w:rsidRDefault="00A31137" w:rsidP="00A31137">
      <w:r w:rsidRPr="00A31137">
        <w:t>In In re Estate of Longeway, 133 Ill.2d 33, 139 Ill.Dec. 780, 549 N.E.2d 292 (1989), the Supreme Court of Illinois considered whether a 76-year-old woman rendered incompetent from a series of strokes had a right to the discontinuance of artificial nutrition and hydration. Noting that the boundaries of a federal right of privacy were uncertain, the court found a right to refuse treatment in the doctrine of informed consent. Id. at 43-45, 139 Ill.Dec. at 784-785, 549 N.E.2d at 296-297. The court further held that the State Probate Act impliedly authorized a guardian to exercise a ward's right to refuse artificial sustenance in the event that the ward was terminally ill and irreversibly comatose. Id. at 45-47, 139 Ill.Dec. at 786, 549 N.E.2d at 298. Declining to adopt a best interests standard for deciding when it would be appropriate to exercise a ward's right because it "lets another make a determination of a patient's quality of life," the court opted instead for a substituted judgment standard. Id. at 49, 139 Ill.Dec. at 787, 549 N.E.2d at 299. Finding the "expressed intent" standard utilized in O'Connor, supra, too rigid, the court noted that other clear and convincing evidence of the patient's intent could be considered. 133 Ill.2d at 50-51, 139 Ill.Dec. at 787, 549 N.E.2d at 300. The court also adopted the "consensus opinion [that] treats artificial nutrition and hydration as medical treatment." Id. at 42, 139 Ill.Dec. at 784, 549 N.E.2d at 296. Cf. McConnell v. Beverly Enterprises-Connecticut, Inc., 209 Conn. 692, 705, [497 U.S. 277] 553 A.2d 596, 603 (1989) (right to withdraw artificial nutrition and hydration found in the Connecticut Removal of Life Support Systems Act, which "provid[es] functional guidelines for the exercise of the common law and constitutional rights of self-determination"; attending physician authorized to remove treatment after finding that patient is in a terminal condition, obtaining consent of family, and considering expressed wishes of patient). 6</w:t>
      </w:r>
    </w:p>
    <w:p w:rsidR="00A31137" w:rsidRPr="00A31137" w:rsidRDefault="00A31137" w:rsidP="00A31137">
      <w:r w:rsidRPr="00A31137">
        <w:t>1990, Cruzan v. Director, MDH, 497 U.S. 277</w:t>
      </w:r>
    </w:p>
    <w:p w:rsidR="00A31137" w:rsidRPr="00A31137" w:rsidRDefault="00A31137" w:rsidP="00A31137">
      <w:r w:rsidRPr="00A31137">
        <w:t>As these cases demonstrate, the common law doctrine of informed consent is viewed as generally encompassing the right of a competent individual to refuse medical treatment. Beyond that, these decisions demonstrate both similarity and diversity in their approach to decision of what all agree is a perplexing question with unusually strong moral and ethical overtones. State courts have available to them for decision a number of sources—state constitutions, statutes, and common law—which are not available to us. In this Court, the question is simply and starkly whether the United States Constitution prohibits Missouri from choosing the rule of decision which it did. This is the first case in which we have been squarely presented with the issue of whether the United States Constitution grants what is in common parlance referred to as a "right to die." We follow the judicious counsel of our decision in Twin City Bank v. Nebeker, 167 U.S. 196, 202 (1897), where we said that, in deciding</w:t>
      </w:r>
    </w:p>
    <w:p w:rsidR="00A31137" w:rsidRPr="00A31137" w:rsidRDefault="00A31137" w:rsidP="00A31137">
      <w:r w:rsidRPr="00A31137">
        <w:t>1990, Cruzan v. Director, MDH, 497 U.S. 277</w:t>
      </w:r>
    </w:p>
    <w:p w:rsidR="00A31137" w:rsidRPr="00A31137" w:rsidRDefault="00A31137" w:rsidP="00A31137">
      <w:r w:rsidRPr="00A31137">
        <w:t>a question [497 U.S. 278] of such magnitude and importance…it is the [better] part of wisdom not to attempt, by any general statement, to cover every possible phase of the subject.</w:t>
      </w:r>
    </w:p>
    <w:p w:rsidR="00A31137" w:rsidRPr="00A31137" w:rsidRDefault="00A31137" w:rsidP="00A31137">
      <w:r w:rsidRPr="00A31137">
        <w:t>1990, Cruzan v. Director, MDH, 497 U.S. 278</w:t>
      </w:r>
    </w:p>
    <w:p w:rsidR="00A31137" w:rsidRPr="00A31137" w:rsidRDefault="00A31137" w:rsidP="00A31137">
      <w:r w:rsidRPr="00A31137">
        <w:t>The Fourteenth Amendment provides that no State shall "deprive any person of life, liberty, or property, without due process of law." The principle that a competent person has a constitutionally protected liberty interest in refusing unwanted medical treatment may be inferred from our prior decisions. In Jacobson v. Massachusetts, 197 U.S. 11, 24-30 (1905), for instance, the Court balanced an individual's liberty interest in declining an unwanted smallpox vaccine against the State's interest in preventing disease. Decisions prior to the incorporation of the Fourth Amendment into the Fourteenth Amendment analyzed searches and seizures involving the body under the Due Process Clause and were thought to implicate substantial liberty interests. See, e.g., Breithaupt v. Abram, 352 U.S. 432, 439 (1957) ("As against the right of an individual that his person be held inviolable…must be set the interests of society…. ")</w:t>
      </w:r>
    </w:p>
    <w:p w:rsidR="00A31137" w:rsidRPr="00A31137" w:rsidRDefault="00A31137" w:rsidP="00A31137">
      <w:r w:rsidRPr="00A31137">
        <w:t>1990, Cruzan v. Director, MDH, 497 U.S. 278</w:t>
      </w:r>
    </w:p>
    <w:p w:rsidR="00A31137" w:rsidRPr="00A31137" w:rsidRDefault="00A31137" w:rsidP="00A31137">
      <w:r w:rsidRPr="00A31137">
        <w:t>Just this Term, in the course of holding that a State's procedures for administering antipsychotic medication to prisoners were sufficient to satisfy due process concerns, we recognized that prisoners possess</w:t>
      </w:r>
    </w:p>
    <w:p w:rsidR="00A31137" w:rsidRPr="00A31137" w:rsidRDefault="00A31137" w:rsidP="00A31137">
      <w:r w:rsidRPr="00A31137">
        <w:t>1990, Cruzan v. Director, MDH, 497 U.S. 278</w:t>
      </w:r>
    </w:p>
    <w:p w:rsidR="00A31137" w:rsidRPr="00A31137" w:rsidRDefault="00A31137" w:rsidP="00A31137">
      <w:r w:rsidRPr="00A31137">
        <w:t>a significant liberty interest in avoiding the unwanted administration of antipsychotic drugs under the Due Process Clause of the Fourteenth Amendment.</w:t>
      </w:r>
    </w:p>
    <w:p w:rsidR="00A31137" w:rsidRPr="00A31137" w:rsidRDefault="00A31137" w:rsidP="00A31137">
      <w:r w:rsidRPr="00A31137">
        <w:t>1990, Cruzan v. Director, MDH, 497 U.S. 278</w:t>
      </w:r>
    </w:p>
    <w:p w:rsidR="00A31137" w:rsidRPr="00A31137" w:rsidRDefault="00A31137" w:rsidP="00A31137">
      <w:r w:rsidRPr="00A31137">
        <w:t>Washington v. Harper, 494 U.S. 210, 221-222 (1990); see also id. at 229 ("The forcible injection of medication into a nonconsenting person's body represents a substantial interference with that person's liberty"). Still other cases support the recognition of a general liberty interest in refusing medical treatment. Vitek v. Jones, 445 U.S. 480, 494 (1980) (transfer to mental hospital coupled with mandatory behavior modification treatment implicated liberty interests); Parham v. J.R., 442 U.S. 584, 600 (1979) ("a child, in common with adults, has a substantial liberty [497 U.S. 279] interest in not being confined unnecessarily for medical treatment").</w:t>
      </w:r>
    </w:p>
    <w:p w:rsidR="00A31137" w:rsidRPr="00A31137" w:rsidRDefault="00A31137" w:rsidP="00A31137">
      <w:r w:rsidRPr="00A31137">
        <w:t>1990, Cruzan v. Director, MDH, 497 U.S. 279</w:t>
      </w:r>
    </w:p>
    <w:p w:rsidR="00A31137" w:rsidRPr="00A31137" w:rsidRDefault="00A31137" w:rsidP="00A31137">
      <w:r w:rsidRPr="00A31137">
        <w:t>But determining that a person has a "liberty interest" under the Due Process Clause does not end the inquiry; 7 "whether respondent's constitutional rights have been violated must be determined by balancing his liberty interests against the relevant state interests." Youngberg v. Romeo, 457 U.S. 307, 321 (1982). See also Mills v. Rogers, 457 U.S. 291, 299 (1982).</w:t>
      </w:r>
    </w:p>
    <w:p w:rsidR="00A31137" w:rsidRPr="00A31137" w:rsidRDefault="00A31137" w:rsidP="00A31137">
      <w:r w:rsidRPr="00A31137">
        <w:t>1990, Cruzan v. Director, MDH, 497 U.S. 279</w:t>
      </w:r>
    </w:p>
    <w:p w:rsidR="00A31137" w:rsidRPr="00A31137" w:rsidRDefault="00A31137" w:rsidP="00A31137">
      <w:r w:rsidRPr="00A31137">
        <w:t>Petitioners insist that, under the general holdings of our cases, the forced administration of life-sustaining medical treatment, and even of artificially-delivered food and water essential to life, would implicate a competent person's liberty interest. Although we think the logic of the cases discussed above would embrace such a liberty interest, the dramatic consequences involved in refusal of such treatment would inform the inquiry as to whether the deprivation of that interest is constitutionally permissible. But for purposes of this case, we assume that the United States Constitution would grant a competent person a constitutionally protected right to refuse lifesaving hydration and nutrition.</w:t>
      </w:r>
    </w:p>
    <w:p w:rsidR="00A31137" w:rsidRPr="00A31137" w:rsidRDefault="00A31137" w:rsidP="00A31137">
      <w:r w:rsidRPr="00A31137">
        <w:t>1990, Cruzan v. Director, MDH, 497 U.S. 279</w:t>
      </w:r>
    </w:p>
    <w:p w:rsidR="00A31137" w:rsidRPr="00A31137" w:rsidRDefault="00A31137" w:rsidP="00A31137">
      <w:r w:rsidRPr="00A31137">
        <w:t>Petitioners go on to assert that an incompetent person should possess the same right in this respect as is possessed by a competent person. They rely primarily on our decisions in Parham v. J.R., supra, and Youngberg v. Romeo, 457 U.S. 307 (1982). In Parham, we held that a mentally disturbed minor child had a liberty interest in "not being confined unnecessarily for medical treatment," 442 U.S. at 600, but we certainly did not intimate that such a minor child, after commitment, would have a liberty interest in refusing treatment. In Youngberg, we held that a seriously retarded adult had a liberty [497 U.S. 280] interest in safety and freedom from bodily restraint, 457 U.S. at 320. Youngberg, however, did not deal with decisions to administer or withhold medical treatment.</w:t>
      </w:r>
    </w:p>
    <w:p w:rsidR="00A31137" w:rsidRPr="00A31137" w:rsidRDefault="00A31137" w:rsidP="00A31137">
      <w:r w:rsidRPr="00A31137">
        <w:t>1990, Cruzan v. Director, MDH, 497 U.S. 280</w:t>
      </w:r>
    </w:p>
    <w:p w:rsidR="00A31137" w:rsidRPr="00A31137" w:rsidRDefault="00A31137" w:rsidP="00A31137">
      <w:r w:rsidRPr="00A31137">
        <w:t>The difficulty with petitioners' claim is that, in a sense, it begs the question: an incompetent person is not able to make an informed and voluntary choice to exercise a hypothetical right to refuse treatment or any other right. Such a "right" must be exercised for her, if at all, by some sort of surrogate. Here, Missouri has in effect recognized that, under certain circumstances, a surrogate may act for the patient in electing to have hydration and nutrition withdrawn in such a way as to cause death, but it has established a procedural safeguard to assure that the action of the surrogate conforms as best it may to the wishes expressed by the patient while competent. Missouri requires that evidence of the incompetent's wishes as to the withdrawal of treatment be proved by clear and convincing evidence. The question, then, is whether the United States Constitution forbids the establishment of this procedural requirement by the State. We hold that it does not.</w:t>
      </w:r>
    </w:p>
    <w:p w:rsidR="00A31137" w:rsidRPr="00A31137" w:rsidRDefault="00A31137" w:rsidP="00A31137">
      <w:r w:rsidRPr="00A31137">
        <w:t>1990, Cruzan v. Director, MDH, 497 U.S. 280</w:t>
      </w:r>
    </w:p>
    <w:p w:rsidR="00A31137" w:rsidRPr="00A31137" w:rsidRDefault="00A31137" w:rsidP="00A31137">
      <w:r w:rsidRPr="00A31137">
        <w:t xml:space="preserve">Whether or not Missouri's clear and convincing evidence requirement comports with the United States Constitution depends in part on what interests the State may properly seek to protect in this situation. Missouri relies on its interest in the protection and preservation of human life, and there can be no gainsaying this interest. As a general matter, the States—indeed, all civilized nations—demonstrate their commitment to life by treating homicide as serious crime. Moreover, the majority of States in this country have laws imposing criminal penalties on one who assists another to commit suicide. 8 We do not think a State is required to remain neutral in the face of an informed and voluntary decision by a physically able adult to starve to death. [497 U.S. 281] </w:t>
      </w:r>
    </w:p>
    <w:p w:rsidR="00A31137" w:rsidRPr="00A31137" w:rsidRDefault="00A31137" w:rsidP="00A31137">
      <w:r w:rsidRPr="00A31137">
        <w:t>1990, Cruzan v. Director, MDH, 497 U.S. 281</w:t>
      </w:r>
    </w:p>
    <w:p w:rsidR="00A31137" w:rsidRPr="00A31137" w:rsidRDefault="00A31137" w:rsidP="00A31137">
      <w:r w:rsidRPr="00A31137">
        <w:t>But in the context presented here, a State has more particular interests at stake. The choice between life and death is a deeply personal decision of obvious and overwhelming finality. We believe Missouri may legitimately seek to safeguard the personal element of this choice through the imposition of heightened evidentiary requirements. It cannot be disputed that the Due Process Clause protects an interest in life as well as an interest in refusing life-sustaining medical treatment. Not all incompetent patients will have loved ones available to serve as surrogate decisionmakers. And even where family members are present, "[t]here will, of course, be some unfortunate situations in which family members will not act to protect a patient." In re Jobes, 108 N.J. 394, 419, 529 A.2d 434, 477 (1987). A State is entitled to guard against potential abuses in such situations. Similarly, a State is entitled to consider that a judicial proceeding to make a determination regarding an incompetent's wishes may very well not be an adversarial one, with the added guarantee of accurate factfinding that the adversary process brings with it. 9 See Ohio v. Akron Center for Reproductive [497 U.S. 282] Health, post at 515-516 (1990). Finally, we think a State may properly decline to make judgments about the "quality" of life that a particular individual may enjoy, and simply assert an unqualified interest in the preservation of human life to be weighed against the constitutionally protected interests of the individual.</w:t>
      </w:r>
    </w:p>
    <w:p w:rsidR="00A31137" w:rsidRPr="00A31137" w:rsidRDefault="00A31137" w:rsidP="00A31137">
      <w:r w:rsidRPr="00A31137">
        <w:t>1990, Cruzan v. Director, MDH, 497 U.S. 282</w:t>
      </w:r>
    </w:p>
    <w:p w:rsidR="00A31137" w:rsidRPr="00A31137" w:rsidRDefault="00A31137" w:rsidP="00A31137">
      <w:r w:rsidRPr="00A31137">
        <w:t>In our view, Missouri has permissibly sought to advance these interests through the adoption of a "clear and convincing" standard of proof to govern such proceedings.</w:t>
      </w:r>
    </w:p>
    <w:p w:rsidR="00A31137" w:rsidRPr="00A31137" w:rsidRDefault="00A31137" w:rsidP="00A31137">
      <w:r w:rsidRPr="00A31137">
        <w:t>1990, Cruzan v. Director, MDH, 497 U.S. 282</w:t>
      </w:r>
    </w:p>
    <w:p w:rsidR="00A31137" w:rsidRPr="00A31137" w:rsidRDefault="00A31137" w:rsidP="00A31137">
      <w:r w:rsidRPr="00A31137">
        <w:t>The function of a standard of proof, as that concept is embodied in the Due Process Clause and in the realm of factfinding, is to</w:t>
      </w:r>
    </w:p>
    <w:p w:rsidR="00A31137" w:rsidRPr="00A31137" w:rsidRDefault="00A31137" w:rsidP="00A31137">
      <w:r w:rsidRPr="00A31137">
        <w:t>1990, Cruzan v. Director, MDH, 497 U.S. 282</w:t>
      </w:r>
    </w:p>
    <w:p w:rsidR="00A31137" w:rsidRPr="00A31137" w:rsidRDefault="00A31137" w:rsidP="00A31137">
      <w:r w:rsidRPr="00A31137">
        <w:t>instruct the factfinder concerning the degree of confidence our society thinks he should have in the correctness of factual conclusions for a particular type of adjudication.</w:t>
      </w:r>
    </w:p>
    <w:p w:rsidR="00A31137" w:rsidRPr="00A31137" w:rsidRDefault="00A31137" w:rsidP="00A31137">
      <w:r w:rsidRPr="00A31137">
        <w:t>1990, Cruzan v. Director, MDH, 497 U.S. 282</w:t>
      </w:r>
    </w:p>
    <w:p w:rsidR="00A31137" w:rsidRPr="00A31137" w:rsidRDefault="00A31137" w:rsidP="00A31137">
      <w:r w:rsidRPr="00A31137">
        <w:t>Addington v. Texas, 441 U.S. 418, 423 (1979) (quoting In re Winship, 397 U.S. 358,  370 (1970) (Harlan, J., concurring)).</w:t>
      </w:r>
    </w:p>
    <w:p w:rsidR="00A31137" w:rsidRPr="00A31137" w:rsidRDefault="00A31137" w:rsidP="00A31137">
      <w:r w:rsidRPr="00A31137">
        <w:t>1990, Cruzan v. Director, MDH, 497 U.S. 282</w:t>
      </w:r>
    </w:p>
    <w:p w:rsidR="00A31137" w:rsidRPr="00A31137" w:rsidRDefault="00A31137" w:rsidP="00A31137">
      <w:r w:rsidRPr="00A31137">
        <w:t>This Court has mandated an intermediate standard of proof—"clear and convincing evidence"—when the individual interests at stake in a state proceeding are both "particularly important" and "more substantial than mere loss of money."</w:t>
      </w:r>
    </w:p>
    <w:p w:rsidR="00A31137" w:rsidRPr="00A31137" w:rsidRDefault="00A31137" w:rsidP="00A31137">
      <w:r w:rsidRPr="00A31137">
        <w:t>1990, Cruzan v. Director, MDH, 497 U.S. 282</w:t>
      </w:r>
    </w:p>
    <w:p w:rsidR="00A31137" w:rsidRPr="00A31137" w:rsidRDefault="00A31137" w:rsidP="00A31137">
      <w:r w:rsidRPr="00A31137">
        <w:t>Santosky v. Kramer, 455 U.S. 745, 756 (1982) (quoting Addington, supra, at 424). Thus, such a standard has been required in deportation proceedings, Woodby v. INS, 385 U.S. 276 (1966), in denaturalization proceedings, Schneiderman v. United States, 320 U.S. 118 (1943), in civil commitment proceedings, Addington, supra, and in proceedings for the termination of parental rights. Santosky, supra. 10 Further, [497 U.S. 283] this level of proof,</w:t>
      </w:r>
    </w:p>
    <w:p w:rsidR="00A31137" w:rsidRPr="00A31137" w:rsidRDefault="00A31137" w:rsidP="00A31137">
      <w:r w:rsidRPr="00A31137">
        <w:t>1990, Cruzan v. Director, MDH, 497 U.S. 283</w:t>
      </w:r>
    </w:p>
    <w:p w:rsidR="00A31137" w:rsidRPr="00A31137" w:rsidRDefault="00A31137" w:rsidP="00A31137">
      <w:r w:rsidRPr="00A31137">
        <w:t>or an even higher one, has traditionally been imposed in cases involving allegations of civil fraud, and in a variety of other kinds of civil cases involving such issues as…lost wills, oral contracts to make bequests, and the like.</w:t>
      </w:r>
    </w:p>
    <w:p w:rsidR="00A31137" w:rsidRPr="00A31137" w:rsidRDefault="00A31137" w:rsidP="00A31137">
      <w:r w:rsidRPr="00A31137">
        <w:t>1990, Cruzan v. Director, MDH, 497 U.S. 283</w:t>
      </w:r>
    </w:p>
    <w:p w:rsidR="00A31137" w:rsidRPr="00A31137" w:rsidRDefault="00A31137" w:rsidP="00A31137">
      <w:r w:rsidRPr="00A31137">
        <w:t>Woodby, supra, 385 U.S. at 285, n. 18.</w:t>
      </w:r>
    </w:p>
    <w:p w:rsidR="00A31137" w:rsidRPr="00A31137" w:rsidRDefault="00A31137" w:rsidP="00A31137">
      <w:r w:rsidRPr="00A31137">
        <w:t>1990, Cruzan v. Director, MDH, 497 U.S. 283</w:t>
      </w:r>
    </w:p>
    <w:p w:rsidR="00A31137" w:rsidRPr="00A31137" w:rsidRDefault="00A31137" w:rsidP="00A31137">
      <w:r w:rsidRPr="00A31137">
        <w:t xml:space="preserve">We think it self-evident that the interests at stake in the instant proceedings are more substantial, both on an individual and societal level, than those involved in a run-of-the-mine civil dispute. But not only does the standard of proof reflect the importance of a particular adjudication, it also serves as "a societal judgment about how the risk of error should be distributed between the litigants." Santosky, supra, 455 U.S. at 755; Addington, supra, 441 U.S. at 423. The more stringent the burden of proof a party must bear, the more that party bears the risk of an erroneous decision. We believe that Missouri may permissibly place an increased risk of an erroneous decision on those seeking to terminate an incompetent individual's life-sustaining treatment. An erroneous decision not to terminate results in a maintenance of the status quo; the possibility of subsequent developments such as advancements in medical science, the discovery of new evidence regarding the patient's intent, changes in the law, or simply the unexpected death of the patient despite the administration of life-sustaining treatment, at least create the potential that a wrong decision will eventually be corrected or its impact mitigated. An erroneous decision to withdraw life-sustaining treatment, however, is not susceptible of correction. In Santosky, one of the factors which led the Court to require proof by clear and convincing evidence in a proceeding to terminate parental rights was that a decision in such a case was final and irrevocable. Santosky, supra, 455 U.S. at 759. The same must surely be said of the decision to discontinue hydration and nutrition of a patient such as Nancy Cruzan, which all agree will result in her death. [497 U.S. 284] </w:t>
      </w:r>
    </w:p>
    <w:p w:rsidR="00A31137" w:rsidRPr="00A31137" w:rsidRDefault="00A31137" w:rsidP="00A31137">
      <w:r w:rsidRPr="00A31137">
        <w:t>1990, Cruzan v. Director, MDH, 497 U.S. 284</w:t>
      </w:r>
    </w:p>
    <w:p w:rsidR="00A31137" w:rsidRPr="00A31137" w:rsidRDefault="00A31137" w:rsidP="00A31137">
      <w:r w:rsidRPr="00A31137">
        <w:t>It is also worth noting that most, if not all, States simply forbid oral testimony entirely in determining the wishes of parties in transactions which, while important, simply do not have the consequences that a decision to terminate a person's life does. At common law and by statute in most States, the parol evidence rule prevents the variations of the terms of a written contract by oral testimony. The statute of frauds makes unenforceable oral contracts to leave property by will, and statutes regulating the making of wills universally require that those instruments be in writing. See 2 A. Corbin, Contracts § 398, pp. 360-361 (1950); 2 W. Page, Law of Wills §§ 19.3-19.5, pp. 61-71 (1960). There is no doubt that statutes requiring wills to be in writing, and statutes of frauds which require that a contract to make a will be in writing, on occasion frustrate the effectuation of the intent of a particular decedent, just as Missouri's requirement of proof in this case may have frustrated the effectuation of the not-fully-expressed desires of Nancy Cruzan. But the Constitution does not require general rules to work faultlessly; no general rule can.</w:t>
      </w:r>
    </w:p>
    <w:p w:rsidR="00A31137" w:rsidRPr="00A31137" w:rsidRDefault="00A31137" w:rsidP="00A31137">
      <w:r w:rsidRPr="00A31137">
        <w:t>1990, Cruzan v. Director, MDH, 497 U.S. 284</w:t>
      </w:r>
    </w:p>
    <w:p w:rsidR="00A31137" w:rsidRPr="00A31137" w:rsidRDefault="00A31137" w:rsidP="00A31137">
      <w:r w:rsidRPr="00A31137">
        <w:t>In sum, we conclude that a State may apply a clear and convincing evidence standard in proceedings where a guardian seeks to discontinue nutrition and hydration of a person diagnosed to be in a persistent vegetative state. We note that many courts which have adopted some sort of substituted judgment procedure in situations like this, whether they limit consideration of evidence to the prior expressed wishes of the incompetent individual, or whether they allow more general proof of what the individual's decision would have been, require a clear and convincing standard of proof for such evidence. See, e.g., Longeway, 133 Ill.2d at 50-51, 139 Ill.Dec. at 787, 549 N.E.2d at 300; McConnell, 209 Conn., at 707-710, 553 A.2d at 604-605; O'Connor, 72 N.Y.2d at 529-530, 531 N.E.2d at 613; In re Gardner, 534 A.2d 947, 952-953 (Me.1987); In re Jobes, 108 N.J. at 412-413, 529 A.2d [497 U.S. 285] at 443; Leach v. Akron General Medical Center, 68 Ohio Misc. 1, 11, 426 N.E.2d 809, 815 (1980).</w:t>
      </w:r>
    </w:p>
    <w:p w:rsidR="00A31137" w:rsidRPr="00A31137" w:rsidRDefault="00A31137" w:rsidP="00A31137">
      <w:r w:rsidRPr="00A31137">
        <w:t>1990, Cruzan v. Director, MDH, 497 U.S. 285</w:t>
      </w:r>
    </w:p>
    <w:p w:rsidR="00A31137" w:rsidRPr="00A31137" w:rsidRDefault="00A31137" w:rsidP="00A31137">
      <w:r w:rsidRPr="00A31137">
        <w:t>The Supreme Court of Missouri held that, in this case, the testimony adduced at trial did not amount to clear and convincing proof of the patient's desire to have hydration and nutrition withdrawn. In so doing, it reversed a decision of the Missouri trial court, which had found that the evidence "suggest[ed]" Nancy Cruzan would not have desired to continue such measures, App. to Pet. for Cert. A98, but which had not adopted the standard of "clear and convincing evidence" enunciated by the Supreme Court. The testimony adduced at trial consisted primarily of Nancy Cruzan's statements, made to a housemate about a year before her accident, that she would not want to live should she face life as a "vegetable," and other observations to the same effect. The observations did not deal in terms with withdrawal of medical treatment or of hydration and nutrition. We cannot say that the Supreme Court of Missouri committed constitutional error in reaching the conclusion that it did. 11</w:t>
      </w:r>
    </w:p>
    <w:p w:rsidR="00A31137" w:rsidRPr="00A31137" w:rsidRDefault="00A31137" w:rsidP="00A31137">
      <w:r w:rsidRPr="00A31137">
        <w:t>1990, Cruzan v. Director, MDH, 497 U.S. 285</w:t>
      </w:r>
    </w:p>
    <w:p w:rsidR="00A31137" w:rsidRPr="00A31137" w:rsidRDefault="00A31137" w:rsidP="00A31137">
      <w:r w:rsidRPr="00A31137">
        <w:t>Petitioners alternatively contend that Missouri must accept the "substituted judgment" of close family members even in the absence of substantial proof that their views reflect [497 U.S. 286] the views of the patient. They rely primarily upon our decisions in Michael H. v. Gerald D., 491 U.S. 110 (1989), and Parham v. J.R., 442 U.S. 584 (1979). But we do not think these cases support their claim. In Michael H., we upheld the constitutionality of California's favored treatment of traditional family relationships; such a holding may not be turned around into a constitutional requirement that a State must recognize the primacy of those relationships in a situation like this. And in Parham, where the patient was a minor, we also upheld the constitutionality of a state scheme in which parents made certain decisions for mentally ill minors. Here again, petitioners would seek to turn a decision which allowed a State to rely on family decisionmaking into a constitutional requirement that the State recognize such decisionmaking. But constitutional law does not work that way.</w:t>
      </w:r>
    </w:p>
    <w:p w:rsidR="00A31137" w:rsidRPr="00A31137" w:rsidRDefault="00A31137" w:rsidP="00A31137">
      <w:r w:rsidRPr="00A31137">
        <w:t>1990, Cruzan v. Director, MDH, 497 U.S. 286</w:t>
      </w:r>
    </w:p>
    <w:p w:rsidR="00A31137" w:rsidRPr="00A31137" w:rsidRDefault="00A31137" w:rsidP="00A31137">
      <w:r w:rsidRPr="00A31137">
        <w:t>No doubt is engendered by anything in this record but that Nancy Cruzan's mother and father are loving and caring parents. If the State were required by the United States Constitution to repose a right of "substituted judgment" with anyone, the Cruzans would surely qualify. But we do not think the Due Process Clause requires the State to repose judgment on these matters with anyone but the patient herself. Close family members may have a strong feeling—a feeling not at all ignoble or unworthy, but not entirely disinterested, either—that they do not wish to witness the continuation of the life of a loved one which they regard as hopeless, meaningless, and even degrading. But there is no automatic assurance that the view of close family members will necessarily be the same as the patient's would have been had she been confronted with the prospect of her situation while competent. All of the reasons previously discussed for allowing Missouri to require clear and convincing evidence of the patient's wishes lead us to conclude that the State may [497 U.S. 287] choose to defer only to those wishes, rather than confide the decision to close family members. 12</w:t>
      </w:r>
    </w:p>
    <w:p w:rsidR="00A31137" w:rsidRPr="00A31137" w:rsidRDefault="00A31137" w:rsidP="00A31137">
      <w:r w:rsidRPr="00A31137">
        <w:t>1990, Cruzan v. Director, MDH, 497 U.S. 287</w:t>
      </w:r>
    </w:p>
    <w:p w:rsidR="00A31137" w:rsidRPr="00A31137" w:rsidRDefault="00A31137" w:rsidP="00A31137">
      <w:r w:rsidRPr="00A31137">
        <w:t>The judgment of the Supreme Court of Missouri is</w:t>
      </w:r>
    </w:p>
    <w:p w:rsidR="00A31137" w:rsidRPr="00A31137" w:rsidRDefault="00A31137" w:rsidP="00A31137">
      <w:r w:rsidRPr="00A31137">
        <w:t>1990, Cruzan v. Director, MDH, 497 U.S. 287</w:t>
      </w:r>
    </w:p>
    <w:p w:rsidR="00A31137" w:rsidRPr="00A31137" w:rsidRDefault="00A31137" w:rsidP="00A31137">
      <w:r w:rsidRPr="00A31137">
        <w:t>Affirmed.</w:t>
      </w:r>
    </w:p>
    <w:p w:rsidR="00A31137" w:rsidRPr="00A31137" w:rsidRDefault="00A31137" w:rsidP="00A31137">
      <w:r w:rsidRPr="00A31137">
        <w:t>O'CONNOR, J., concurring</w:t>
      </w:r>
    </w:p>
    <w:p w:rsidR="00A31137" w:rsidRPr="00A31137" w:rsidRDefault="00A31137" w:rsidP="00A31137">
      <w:r w:rsidRPr="00A31137">
        <w:t>1990, Cruzan v. Director, MDH, 497 U.S. 287</w:t>
      </w:r>
    </w:p>
    <w:p w:rsidR="00A31137" w:rsidRPr="00A31137" w:rsidRDefault="00A31137" w:rsidP="00A31137">
      <w:r w:rsidRPr="00A31137">
        <w:t>Justice O'CONNOR, concurring.</w:t>
      </w:r>
    </w:p>
    <w:p w:rsidR="00A31137" w:rsidRPr="00A31137" w:rsidRDefault="00A31137" w:rsidP="00A31137">
      <w:r w:rsidRPr="00A31137">
        <w:t>1990, Cruzan v. Director, MDH, 497 U.S. 287</w:t>
      </w:r>
    </w:p>
    <w:p w:rsidR="00A31137" w:rsidRPr="00A31137" w:rsidRDefault="00A31137" w:rsidP="00A31137">
      <w:r w:rsidRPr="00A31137">
        <w:t>I agree that a protected liberty interest in refusing unwanted medical treatment may be inferred from our prior decisions, see ante at 278-279, and that the refusal of artificially delivered food and water is encompassed within that liberty interest. See ante at  279. I write separately to clarify why I believe this to be so.</w:t>
      </w:r>
    </w:p>
    <w:p w:rsidR="00A31137" w:rsidRPr="00A31137" w:rsidRDefault="00A31137" w:rsidP="00A31137">
      <w:r w:rsidRPr="00A31137">
        <w:t>1990, Cruzan v. Director, MDH, 497 U.S. 287</w:t>
      </w:r>
    </w:p>
    <w:p w:rsidR="00A31137" w:rsidRPr="00A31137" w:rsidRDefault="00A31137" w:rsidP="00A31137">
      <w:r w:rsidRPr="00A31137">
        <w:t>As the Court notes, the liberty interest in refusing medical treatment flows from decisions involving the State's invasions into the body. See ante at 278-279. Because our notions of liberty are inextricably entwined with our idea of physical freedom and self-determination, the Court has often deemed state incursions into the body repugnant to the interests protected by the Due Process Clause. See, e.g., Rochin v. California, 342 U.S. 165,  172 (1952) ("Illegally breaking into the privacy of the petitioner, the struggle to open his mouth and remove what was there, the forcible extraction of his [497 U.S. 288] stomach's contents…is bound to offend even hardened sensibilities"); Union Pacific R. C.o. v. Botsford, 141 U.S. 250, 251 (1891). Our Fourth Amendment jurisprudence has echoed this same concern. See Schmerber v. California, 384 U.S. 757, 772 (1966) ("The integrity of an individual's person is a cherished value of our society"); Winston v. Lee, 470 U.S. 753, 759 (1985) ("A compelled surgical intrusion into an individual's body for evidence…implicates expectations of privacy and security of such magnitude that the intrusion may be 'unreasonable' even if likely to produce evidence of a crime"). The State's imposition of medical treatment on an unwilling competent adult necessarily involves some form of restraint and intrusion. A seriously ill or dying patient whose wishes are not honored may feel a captive of the machinery required for life-sustaining measures or other medical interventions. Such forced treatment may burden that individual's liberty interests as much as any state coercion. See, e.g., Washington v. Harper, 494 U.S. 210, 221 (1990); Parham v. J.R., 442 U.S. 584, 600 (1979) ("It is not disputed that a child, in common with adults, has a substantial liberty interest in not being confined unnecessarily for medical treatment").</w:t>
      </w:r>
    </w:p>
    <w:p w:rsidR="00A31137" w:rsidRPr="00A31137" w:rsidRDefault="00A31137" w:rsidP="00A31137">
      <w:r w:rsidRPr="00A31137">
        <w:t>1990, Cruzan v. Director, MDH, 497 U.S. 288</w:t>
      </w:r>
    </w:p>
    <w:p w:rsidR="00A31137" w:rsidRPr="00A31137" w:rsidRDefault="00A31137" w:rsidP="00A31137">
      <w:r w:rsidRPr="00A31137">
        <w:t>The State's artificial provision of nutrition and hydration implicates identical concerns. Artificial feeding cannot readily be distinguished from other forms of medical treatment. See, e.g., Council on Ethical and Judicial Affairs, American Medical Association, AMA Ethical Opinion 2.20, Withholding or Withdrawing Life-Prolonging Medical Treatment, Current Opinions 13 (1989); The Hastings Center, Guidelines on the Termination of Life-Sustaining Treatment and the Care of the Dying 59 (1987). Whether or not the techniques used to pass food and water into the patient's alimentary tract are termed "medical treatment," it is clear they all involve some degree of intrusion and restraint. Feeding a patient by means of a nasogastric tube requires a physician to pass a long flexible tube through the patient's [497 U.S. 289] nose, throat and esophagus and into the stomach. Because of the discomfort such a tube causes, "[m]any patients need to be restrained forcibly, and their hands put into large mittens to prevent them from removing the tube." Major, The Medical Procedures for Providing Food and Water: Indications and Effects, in By No Extraordinary Means: The Choice to Forgo Life-Sustaining Food and Water 25 (J. Lynn ed. 1986). A gastrostomy tube (as was used to provide food and water to Nancy Cruzan, see ante at 266) or jejunostomy tube must be surgically implanted into the stomach or small intestine. Office of Technology Assessment Task Force, Life-Sustaining Technologies and the Elderly 282 (1988).   Requiring a competent adult to endure such procedures against her will burdens the patient's liberty, dignity, and freedom to determine the course of her own treatment. Accordingly, the liberty guaranteed by the Due Process Clause must protect, if it protects anything, an individual's deeply personal decision to reject medical treatment, including the artificial delivery of food and water.</w:t>
      </w:r>
    </w:p>
    <w:p w:rsidR="00A31137" w:rsidRPr="00A31137" w:rsidRDefault="00A31137" w:rsidP="00A31137">
      <w:r w:rsidRPr="00A31137">
        <w:t>1990, Cruzan v. Director, MDH, 497 U.S. 289</w:t>
      </w:r>
    </w:p>
    <w:p w:rsidR="00A31137" w:rsidRPr="00A31137" w:rsidRDefault="00A31137" w:rsidP="00A31137">
      <w:r w:rsidRPr="00A31137">
        <w:t>I also write separately to emphasize that the Court does not today decide the issue whether a State must also give effect to the decisions of a surrogate decisionmaker. See ante at  287, n. 12.   In my view, such a duty may well be constitutionally required to protect the patient's liberty interest in refusing medical treatment. Few individuals provide explicit oral or written instructions regarding their intent to refuse medical treatment should they become incompetent. 1 [497 U.S. 290] States which decline to consider any evidence other than such instructions may frequently fail to honor a patient's intent. Such failures might be avoided if the State considered an equally probative source of evidence: the patient's appointment of a proxy to make health care decisions on her behalf. Delegating the authority to make medical decisions to a family member or friend is becoming a common method of planning for the future. See, e.g., Green, The Legal Status of Consent Obtained from Families of Adult Patients to Withhold or Withdraw Treatment, 258 JAMA 229, 230 (1987). Several States have recognized the practical wisdom of such a procedure by enacting durable power of attorney statutes that specifically authorize an individual to appoint a surrogate to make medical treatment decisions. 2 Some state courts have suggested that an agent appointed pursuant to a general durable power of attorney statute would also be empowered to make health care decisions on behalf of the patient. 3 See, e.g., In re Peter, 108 N.J. 365, 378-379, 529 [497 U.S. 291] A.2d 419, 426 (1987); see also 73 Op.Md. Atty.Gen. No. 88-046 (1988) (interpreting Md.Est. &amp; Trusts Code Ann. §§ 13-601 to 13-602 (1974), as authorizing a delegatee to make health care decisions). Other States allow an individual to designate a proxy to carry out the intent of a living will. 4 These procedures for surrogate decisionmaking, which appear to be rapidly gaining in acceptance, may be a [497 U.S. 292] valuable additional safeguard of the patient's interest in directing his medical care. Moreover, as patients are likely to select a family member as a surrogate, see 2 President's Commission for the Study of Ethical Problems in Medicine and Biomedical and Behavioral Research, Making Health Care Decisions 240 (1982), giving effect to a proxy's decisions may also protect the "freedom of personal choice in matters of…family life." Cleveland Board of Education v. LaFleur, 414 U.S. 632,  639 (1974).</w:t>
      </w:r>
    </w:p>
    <w:p w:rsidR="00A31137" w:rsidRPr="00A31137" w:rsidRDefault="00A31137" w:rsidP="00A31137">
      <w:r w:rsidRPr="00A31137">
        <w:t>1990, Cruzan v. Director, MDH, 497 U.S. 292</w:t>
      </w:r>
    </w:p>
    <w:p w:rsidR="00A31137" w:rsidRPr="00A31137" w:rsidRDefault="00A31137" w:rsidP="00A31137">
      <w:r w:rsidRPr="00A31137">
        <w:t>Today's decision, holding only that the Constitution permits a State to require clear and convincing evidence of Nancy Cruzan's desire to have artificial hydration and nutrition withdrawn, does not preclude a future determination that the Constitution requires the States to implement the decisions of a patient's duly appointed surrogate. Nor does it prevent States from developing other approaches for protecting an incompetent individual's liberty interest in refusing medical treatment. As is evident from the Court's survey of state court decisions, see ante at 271-277, no national consensus has yet emerged on the best solution for this difficult and sensitive problem. Today we decide only that one State's practice does not violate the Constitution; the more challenging task of crafting appropriate procedures for safeguarding incompetents' liberty interests is entrusted to the "laboratory" of the States, New State Ice Co. v. Liebmann, 285 U.S. 262,  311 (1932) (Brandeis, J., dissenting), in the first instance.</w:t>
      </w:r>
    </w:p>
    <w:p w:rsidR="00A31137" w:rsidRPr="00A31137" w:rsidRDefault="00A31137" w:rsidP="00A31137">
      <w:r w:rsidRPr="00A31137">
        <w:t>SCALIA, J., concurring</w:t>
      </w:r>
    </w:p>
    <w:p w:rsidR="00A31137" w:rsidRPr="00A31137" w:rsidRDefault="00A31137" w:rsidP="00A31137">
      <w:r w:rsidRPr="00A31137">
        <w:t>1990, Cruzan v. Director, MDH, 497 U.S. 292</w:t>
      </w:r>
    </w:p>
    <w:p w:rsidR="00A31137" w:rsidRPr="00A31137" w:rsidRDefault="00A31137" w:rsidP="00A31137">
      <w:r w:rsidRPr="00A31137">
        <w:t>Justice SCALIA, concurring.</w:t>
      </w:r>
    </w:p>
    <w:p w:rsidR="00A31137" w:rsidRPr="00A31137" w:rsidRDefault="00A31137" w:rsidP="00A31137">
      <w:r w:rsidRPr="00A31137">
        <w:t>1990, Cruzan v. Director, MDH, 497 U.S. 292</w:t>
      </w:r>
    </w:p>
    <w:p w:rsidR="00A31137" w:rsidRPr="00A31137" w:rsidRDefault="00A31137" w:rsidP="00A31137">
      <w:r w:rsidRPr="00A31137">
        <w:t>The various opinions in this case portray quite clearly the difficult, indeed agonizing, questions that are presented by the constantly increasing power of science to keep the human body alive for longer than any reasonable person would want to inhabit it. The States have begun to grapple with these problems through legislation. I am concerned, from the tenor of today's opinions, that we are poised to confuse that [497 U.S. 293] enterprise as successfully as we have confused the enterprise of legislating concerning abortion—requiring it to be conducted against a background of federal constitutional imperatives that are unknown because they are being newly crafted from Term to Term. That would be a great misfortune.</w:t>
      </w:r>
    </w:p>
    <w:p w:rsidR="00A31137" w:rsidRPr="00A31137" w:rsidRDefault="00A31137" w:rsidP="00A31137">
      <w:r w:rsidRPr="00A31137">
        <w:t>1990, Cruzan v. Director, MDH, 497 U.S. 293</w:t>
      </w:r>
    </w:p>
    <w:p w:rsidR="00A31137" w:rsidRPr="00A31137" w:rsidRDefault="00A31137" w:rsidP="00A31137">
      <w:r w:rsidRPr="00A31137">
        <w:t>While I agree with the Court's analysis today, and therefore join in its opinion, I would have preferred that we announce, clearly and promptly, that the federal courts have no business in this field; that American law has always accorded the State the power to prevent, by force if necessary, suicide—including suicide by refusing to take appropriate measures necessary to preserve one's life; that the point at which life becomes "worthless," and the point at which the means necessary to preserve it become "extraordinary" or "inappropriate," are neither set forth in the Constitution nor known to the nine Justices of this Court any better than they are known to nine people picked at random from the Kansas City telephone directory; and hence, that even when it is demonstrated by clear and convincing evidence that a patient no longer wishes certain measures to be taken to preserve her life, it is up to the citizens of Missouri to decide, through their elected representatives, whether that wish will be honored. It is quite impossible (because the Constitution says nothing about the matter) that those citizens will decide upon a line less lawful than the one we would choose; and it is unlikely (because we know no more about "life-and-death" than they do) that they will decide upon a line less reasonable.</w:t>
      </w:r>
    </w:p>
    <w:p w:rsidR="00A31137" w:rsidRPr="00A31137" w:rsidRDefault="00A31137" w:rsidP="00A31137">
      <w:r w:rsidRPr="00A31137">
        <w:t>1990, Cruzan v. Director, MDH, 497 U.S. 293</w:t>
      </w:r>
    </w:p>
    <w:p w:rsidR="00A31137" w:rsidRPr="00A31137" w:rsidRDefault="00A31137" w:rsidP="00A31137">
      <w:r w:rsidRPr="00A31137">
        <w:t>The text of the Due Process Clause does not protect individuals against deprivations of liberty simpliciter. It protects them against deprivations of liberty "without due process of law." To determine that such a deprivation would not occur if Nancy Cruzan were forced to take nourishment against her will, it is unnecessary to reopen the historically recurrent debate over whether "due process" includes substantive restrictions. Compare Murray's Lessee v. Hoboken Land and Improvement Co., 18 How. 272 (1856), with Scott [497 U.S. 294] v. Sandford, 19 How. 393,  450 (1857); compare Tyson &amp; Bro. v. United Theatre Ticket Offices, Inc., 273 U.S. 418 (1927), with Olsen v. Nebraska ex rel. Western Reference &amp; Bond Assn., Inc., 313 U.S. 236, 246-247 (1941); compare Ferguson v. Skrupa, 372 U.S. 726,  730 (1963), with Moore v. East Cleveland, 431 U.S. 494 (1977) (plurality opinion); see Easterbrook, Substance and Due Process, 1982 S.Ct.Rev 85; Monaghan, Our Perfect Constitution, 56 N.Y.U.L.Rev. 353 (1981). It is at least true that no "substantive due process" claim can be maintained unless the claimant demonstrates that the State has deprived him of a right historically and traditionally protected against State interference. Michael H. v. Gerald D., 491 U.S. 110,  122 (1989) (plurality opinion); Bowers v. Hardwick, 478 U.S. 186,  192 (1986); Moore, supra, 431 U.S. at 502-503 (plurality opinion). That cannot possibly be established here.</w:t>
      </w:r>
    </w:p>
    <w:p w:rsidR="00A31137" w:rsidRPr="00A31137" w:rsidRDefault="00A31137" w:rsidP="00A31137">
      <w:r w:rsidRPr="00A31137">
        <w:t>1990, Cruzan v. Director, MDH, 497 U.S. 294</w:t>
      </w:r>
    </w:p>
    <w:p w:rsidR="00A31137" w:rsidRPr="00A31137" w:rsidRDefault="00A31137" w:rsidP="00A31137">
      <w:r w:rsidRPr="00A31137">
        <w:t>At common law in England, a suicide—defined as one who "deliberately puts an end to his own existence, or commits any unlawful malicious act, the consequence of which is his own death," 4 W. Blackstone, Commentaries *189—was criminally liable. Ibid. Although the States abolished the penalties imposed by the common law (i.e., forfeiture and ignominious burial), they did so to spare the innocent family, and not to legitimize the act. Case law at the time of the Fourteenth Amendment generally held that assisting suicide was a criminal offense. See Marzen, O'Dowd, Crone, &amp; Balch, Suicide: A Constitutional Right?, 24 Duquesne L.Rev. 1, 76 (1985) ("In short, twenty-one of the thirty-seven states, and eighteen of the thirty ratifying states, prohibited assisting suicide. Only eight of the states, and seven of the ratifying states, definitely did not"); see also 1 F. Wharton, Criminal Law § 122 (6th rev. ed. 1868). The System of Penal Law presented to the House of Representatives by Representative Livingston in 1828 would have criminalized assisted suicide. E. Livingston, A System of Penal Law, Penal Code 122 (1828). The Field Penal Code, [497 U.S. 295] adopted by the Dakota Territory in 1877, proscribed attempted suicide and assisted suicide. Marzen, O'Dowd, Crone, &amp; Balch, 24 Duquesne L.Rev. at 76-77. And most States that did not explicitly prohibit assisted suicide in 1868 recognized, when the issue arose in the 50 years following the Fourteenth Amendment's ratification, that assisted and (in some cases) attempted suicide were unlawful. Id. at 77-100; 148-242 (surveying development of States' laws). Thus,</w:t>
      </w:r>
    </w:p>
    <w:p w:rsidR="00A31137" w:rsidRPr="00A31137" w:rsidRDefault="00A31137" w:rsidP="00A31137">
      <w:r w:rsidRPr="00A31137">
        <w:t>1990, Cruzan v. Director, MDH, 497 U.S. 295</w:t>
      </w:r>
    </w:p>
    <w:p w:rsidR="00A31137" w:rsidRPr="00A31137" w:rsidRDefault="00A31137" w:rsidP="00A31137">
      <w:r w:rsidRPr="00A31137">
        <w:t>there is no significant support for the claim that a right to suicide is so rooted in our tradition that it may be deemed "fundamental" or "implicit in the concept of ordered liberty."</w:t>
      </w:r>
    </w:p>
    <w:p w:rsidR="00A31137" w:rsidRPr="00A31137" w:rsidRDefault="00A31137" w:rsidP="00A31137">
      <w:r w:rsidRPr="00A31137">
        <w:t>1990, Cruzan v. Director, MDH, 497 U.S. 295</w:t>
      </w:r>
    </w:p>
    <w:p w:rsidR="00A31137" w:rsidRPr="00A31137" w:rsidRDefault="00A31137" w:rsidP="00A31137">
      <w:r w:rsidRPr="00A31137">
        <w:t>Id. at 100 (quoting Palko v. Connecticut, 302 U.S. 319,  325 (1937))</w:t>
      </w:r>
    </w:p>
    <w:p w:rsidR="00A31137" w:rsidRPr="00A31137" w:rsidRDefault="00A31137" w:rsidP="00A31137">
      <w:r w:rsidRPr="00A31137">
        <w:t>1990, Cruzan v. Director, MDH, 497 U.S. 295</w:t>
      </w:r>
    </w:p>
    <w:p w:rsidR="00A31137" w:rsidRPr="00A31137" w:rsidRDefault="00A31137" w:rsidP="00A31137">
      <w:r w:rsidRPr="00A31137">
        <w:t>Petitioners rely on three distinctions to separate Nancy Cruzan's case from ordinary suicide: (1) that she is permanently incapacitated and in pain; (2) that she would bring on her death not by any affirmative act but by merely declining treatment that provides nourishment; and (3) that preventing her from effectuating her presumed wish to die requires violation of her bodily integrity. None of these suffices. Suicide was not excused even when committed "to avoid those ills which [persons] had not the fortitude to endure." 4 Blackstone, supra, at *189.</w:t>
      </w:r>
    </w:p>
    <w:p w:rsidR="00A31137" w:rsidRPr="00A31137" w:rsidRDefault="00A31137" w:rsidP="00A31137">
      <w:r w:rsidRPr="00A31137">
        <w:t>1990, Cruzan v. Director, MDH, 497 U.S. 295</w:t>
      </w:r>
    </w:p>
    <w:p w:rsidR="00A31137" w:rsidRPr="00A31137" w:rsidRDefault="00A31137" w:rsidP="00A31137">
      <w:r w:rsidRPr="00A31137">
        <w:t>The life of those to whom life has become a burden—of those who are hopelessly diseased or fatally wounded—nay, even the lives of criminals condemned to death, are under the protection of the law, equally as the lives of those who are in the full tide of life's enjoyment, and anxious to continue to live.</w:t>
      </w:r>
    </w:p>
    <w:p w:rsidR="00A31137" w:rsidRPr="00A31137" w:rsidRDefault="00A31137" w:rsidP="00A31137">
      <w:r w:rsidRPr="00A31137">
        <w:t>1990, Cruzan v. Director, MDH, 497 U.S. 295</w:t>
      </w:r>
    </w:p>
    <w:p w:rsidR="00A31137" w:rsidRPr="00A31137" w:rsidRDefault="00A31137" w:rsidP="00A31137">
      <w:r w:rsidRPr="00A31137">
        <w:t>Blackburn v. State, 23 Ohio St. 146, 163 (1873). Thus, a man who prepared a poison, and placed it within reach of his wife, "to put an end to her suffering" from a terminal illness was convicted of murder, People v. Roberts, 211 Mich. 187, 178 N.W. 690, 693 (1920); the "incurable suffering of the suicide, as a legal question, could hardly affect the degree of criminality…. " Note, 30 Yale L.J. 408, 412 (1921) (discussing Roberts). Nor would the imminence of the patient's death have [497 U.S. 296] affected liability.</w:t>
      </w:r>
    </w:p>
    <w:p w:rsidR="00A31137" w:rsidRPr="00A31137" w:rsidRDefault="00A31137" w:rsidP="00A31137">
      <w:r w:rsidRPr="00A31137">
        <w:t>1990, Cruzan v. Director, MDH, 497 U.S. 296</w:t>
      </w:r>
    </w:p>
    <w:p w:rsidR="00A31137" w:rsidRPr="00A31137" w:rsidRDefault="00A31137" w:rsidP="00A31137">
      <w:r w:rsidRPr="00A31137">
        <w:t>The lives of all are equally under the protection of the law, and under that protection to their last moment….   [Assisted suicide] is declared by the law to be murder, irrespective of the wishes or the condition of the party to whom the poison is administered….</w:t>
      </w:r>
    </w:p>
    <w:p w:rsidR="00A31137" w:rsidRPr="00A31137" w:rsidRDefault="00A31137" w:rsidP="00A31137">
      <w:r w:rsidRPr="00A31137">
        <w:t>1990, Cruzan v. Director, MDH, 497 U.S. 296</w:t>
      </w:r>
    </w:p>
    <w:p w:rsidR="00A31137" w:rsidRPr="00A31137" w:rsidRDefault="00A31137" w:rsidP="00A31137">
      <w:r w:rsidRPr="00A31137">
        <w:t>Blackburn, supra, at 163; see also Commonwealth v. Bowen, 13 Mass. 356, 360 (1816).</w:t>
      </w:r>
    </w:p>
    <w:p w:rsidR="00A31137" w:rsidRPr="00A31137" w:rsidRDefault="00A31137" w:rsidP="00A31137">
      <w:r w:rsidRPr="00A31137">
        <w:t>1990, Cruzan v. Director, MDH, 497 U.S. 296</w:t>
      </w:r>
    </w:p>
    <w:p w:rsidR="00A31137" w:rsidRPr="00A31137" w:rsidRDefault="00A31137" w:rsidP="00A31137">
      <w:r w:rsidRPr="00A31137">
        <w:t>The second asserted distinction—suggested by the recent cases canvassed by the Court concerning the right to refuse treatment, ante at 270-277—relies on the dichotomy between action and inaction. Suicide, it is said, consists of an affirmative act to end one's life; refusing treatment is not an affirmative act "causing" death, but merely a passive acceptance of the natural process of dying. I readily acknowledge that the distinction between action and inaction has some bearing upon the legislative judgment of what ought to be prevented as suicide—though even there it would seem to me unreasonable to draw the line precisely between action and inaction, rather than between various forms of inaction. It would not make much sense to say that one may not kill oneself by walking into the sea, but may sit on the beach until submerged by the incoming tide; or that one may not intentionally lock oneself into a cold storage locker, but may refrain from coming indoors when the temperature drops below freezing. Even as a legislative matter, in other words, the intelligent line does not fall between action and inaction, but between those forms of inaction that consist of abstaining from "ordinary" care and those that consist of abstaining from "excessive" or "heroic" measures. Unlike action vs. inaction, that is not a line to be discerned by logic or legal analysis, and we should not pretend that it is.</w:t>
      </w:r>
    </w:p>
    <w:p w:rsidR="00A31137" w:rsidRPr="00A31137" w:rsidRDefault="00A31137" w:rsidP="00A31137">
      <w:r w:rsidRPr="00A31137">
        <w:t>1990, Cruzan v. Director, MDH, 497 U.S. 296</w:t>
      </w:r>
    </w:p>
    <w:p w:rsidR="00A31137" w:rsidRPr="00A31137" w:rsidRDefault="00A31137" w:rsidP="00A31137">
      <w:r w:rsidRPr="00A31137">
        <w:t>But to return to the principal point for present purposes: the irrelevance of the action-inaction distinction. Starving oneself to death is no different from putting a gun to one's temple as far as the common law definition of suicide is concerned; the cause of death in both cases is the suicide's conscious [497 U.S. 297] decision to "pu[t] an end to his own existence." 4 Blackstone, supra, at *189. See In re Caulk, 125 N.H. 226, 232, 480 A.2d 93, 97 (1984); State ex rel. White v. Narick, 170 W.Va. 195, 292 S.E.2d 54 (1982); Von Holden v. Chapman, 87App.Div.2d 66, 450 N.Y.S.2d 623 (1982). Of course, the common law rejected the action-inaction distinction in other contexts involving the taking of human life as well. In the prosecution of a parent for the starvation death of her infant, it was no defense that the infant's death was "caused" by no action of the parent, but by the natural process of starvation, or by the infant's natural inability to provide for itself. See Lewis v. State, 72 Ga. 164 (1883); People v. McDonald, 49 Hun. 67, 1 N.Y.S. 703 (1888); Commonwealth v. Hall, 322 Mass. 523, 528, 78 N.E.2d 644, 647 (1948) (collecting cases); F. Wharton, Law of Homicide §§ 134-135, 304 (2d ed. 1875); 2 J. Bishop, Commentaries on the Criminal Law § 686 (5th ed. 1872); J. Hawley &amp; M. McGregor, Criminal Law 152 (3d ed. 1899). A physician, moreover, could be criminally liable for failure to provide care that could have extended the patient's life, even if death was immediately caused by the underlying disease that the physician failed to treat. Barrow v. State, 17 Okl.Cr. 340, 188 P. 351 (1920); People v. Phillips, 64 Cal.2d 574, 414 P.2d 353 (1966).</w:t>
      </w:r>
    </w:p>
    <w:p w:rsidR="00A31137" w:rsidRPr="00A31137" w:rsidRDefault="00A31137" w:rsidP="00A31137">
      <w:r w:rsidRPr="00A31137">
        <w:t>1990, Cruzan v. Director, MDH, 497 U.S. 297</w:t>
      </w:r>
    </w:p>
    <w:p w:rsidR="00A31137" w:rsidRPr="00A31137" w:rsidRDefault="00A31137" w:rsidP="00A31137">
      <w:r w:rsidRPr="00A31137">
        <w:t>It is not surprising, therefore, that the early cases considering the claimed right to refuse medical treatment dismissed as specious the nice distinction between</w:t>
      </w:r>
    </w:p>
    <w:p w:rsidR="00A31137" w:rsidRPr="00A31137" w:rsidRDefault="00A31137" w:rsidP="00A31137">
      <w:r w:rsidRPr="00A31137">
        <w:t>1990, Cruzan v. Director, MDH, 497 U.S. 297</w:t>
      </w:r>
    </w:p>
    <w:p w:rsidR="00A31137" w:rsidRPr="00A31137" w:rsidRDefault="00A31137" w:rsidP="00A31137">
      <w:r w:rsidRPr="00A31137">
        <w:t>passively submitting to death and actively seeking it. The distinction may be merely verbal, as it would be if an adult sought death by starvation instead of a drug. If the State may interrupt one mode of self-destruction, it may with equal authority interfere with the other.</w:t>
      </w:r>
    </w:p>
    <w:p w:rsidR="00A31137" w:rsidRPr="00A31137" w:rsidRDefault="00A31137" w:rsidP="00A31137">
      <w:r w:rsidRPr="00A31137">
        <w:t>1990, Cruzan v. Director, MDH, 497 U.S. 297</w:t>
      </w:r>
    </w:p>
    <w:p w:rsidR="00A31137" w:rsidRPr="00A31137" w:rsidRDefault="00A31137" w:rsidP="00A31137">
      <w:r w:rsidRPr="00A31137">
        <w:t>John F. Kennedy Memorial Hosp. v. Heston, 58 N.J. 576, 581-582, 279 A.2d 670, 672-673 (1971); see also Application of President &amp; Directors of Georgetown College, Inc., 118 U.S.App.D.C. 80, 88-89, 331 F.2d 1000, [497 U.S. 298] 1008-1009 (Wright, J., in chambers), cert. denied, 377 U.S. 978 (1964).</w:t>
      </w:r>
    </w:p>
    <w:p w:rsidR="00A31137" w:rsidRPr="00A31137" w:rsidRDefault="00A31137" w:rsidP="00A31137">
      <w:r w:rsidRPr="00A31137">
        <w:t>1990, Cruzan v. Director, MDH, 497 U.S. 298</w:t>
      </w:r>
    </w:p>
    <w:p w:rsidR="00A31137" w:rsidRPr="00A31137" w:rsidRDefault="00A31137" w:rsidP="00A31137">
      <w:r w:rsidRPr="00A31137">
        <w:t>The third asserted basis of distinction—that frustrating Nancy Cruzan's wish to die in the present case requires interference with her bodily integrity—is likewise inadequate, because such interference is impermissible only if one begs the question whether her refusal to undergo the treatment on her own is suicide. It has always been lawful not only for the State, but even for private citizens, to interfere with bodily integrity to prevent a felony. See Phillips v. Trull, 11 Johns. 486 (N.Y.1814); City Council v. Payne, 2 Nott &amp; McCord 475 (S.C.1821); Vandeveer v. Mattocks, 3 Ind. 479 (1852); T. Cooley, Law of Torts 174-175 (1879); Wilgus, Arrest Without a Warrant, 22 Mich.L.Rev. 673 (1924); Restatement of Torts § 119 (1934). That general rule has of course been applied to suicide. At common law, even a private person's use of force to prevent suicide was privileged. Colby v. Jackson, 12 N.H. 526, 530-531 (1842); Look v. Choate, 108 Mass. 116, 120 (1871); Commonwealth v. Mink, 123 Mass. 422, 429 (1877); In re Doyle, 16 R.I. 537, 539, 18 A. 159, 159-160 (1889); Porter v. Ritch, 70 Conn. 235, 255, 39 A. 169, 175 (1898); Emmerich v. Thorley, 54 N.Y.S. 791, 793-794 (1898); State v. Hembd, 305 Minn. 120, 130, 232 N.W.2d 872, 878 (1975); 2 C. Addison, Law of Torts § 819 (1876); Cooley, supra, at 179-180. It is not even reasonable, much less required by the Constitution, to maintain that, although the State has the right to prevent a person from slashing his wrists, it does not have the power to apply physical force to prevent him from doing so, nor the power, should he succeed, to apply, coercively if necessary, medical measures to stop the flow of blood. The state-run hospital, I am certain, is not liable under 42 U.S.C. § 1983 for violation of constitutional rights, nor the private hospital liable under general tort law, if, in a State where suicide is unlawful, it pumps out the stomach of a person who has intentionally [497 U.S. 299] taken an overdose of barbiturates, despite that person's wishes to the contrary.</w:t>
      </w:r>
    </w:p>
    <w:p w:rsidR="00A31137" w:rsidRPr="00A31137" w:rsidRDefault="00A31137" w:rsidP="00A31137">
      <w:r w:rsidRPr="00A31137">
        <w:t>1990, Cruzan v. Director, MDH, 497 U.S. 299</w:t>
      </w:r>
    </w:p>
    <w:p w:rsidR="00A31137" w:rsidRPr="00A31137" w:rsidRDefault="00A31137" w:rsidP="00A31137">
      <w:r w:rsidRPr="00A31137">
        <w:t>The dissents of Justices BRENNAN and STEVENS make a plausible case for our intervention here only by embracing—the latter explicitly and the former by implication—a political principle that the States are free to adopt, but that is demonstrably not imposed by the Constitution. "The State," says Justice BRENNAN,</w:t>
      </w:r>
    </w:p>
    <w:p w:rsidR="00A31137" w:rsidRPr="00A31137" w:rsidRDefault="00A31137" w:rsidP="00A31137">
      <w:r w:rsidRPr="00A31137">
        <w:t>1990, Cruzan v. Director, MDH, 497 U.S. 299</w:t>
      </w:r>
    </w:p>
    <w:p w:rsidR="00A31137" w:rsidRPr="00A31137" w:rsidRDefault="00A31137" w:rsidP="00A31137">
      <w:r w:rsidRPr="00A31137">
        <w:t>has no legitimate general interest in someone's life, completely abstracted from the interest of the person living that life, that could outweigh the person's choice to avoid medical treatment.</w:t>
      </w:r>
    </w:p>
    <w:p w:rsidR="00A31137" w:rsidRPr="00A31137" w:rsidRDefault="00A31137" w:rsidP="00A31137">
      <w:r w:rsidRPr="00A31137">
        <w:t>1990, Cruzan v. Director, MDH, 497 U.S. 299</w:t>
      </w:r>
    </w:p>
    <w:p w:rsidR="00A31137" w:rsidRPr="00A31137" w:rsidRDefault="00A31137" w:rsidP="00A31137">
      <w:r w:rsidRPr="00A31137">
        <w:t>Post at  313 (emphasis added). The italicized phrase sounds moderate enough, and is all that is needed to cover the present case—but the proposition cannot logically be so limited. One who accepts it must also accept, I think, that the State has no such legitimate interest that could outweigh "the person's choice to put an end to her life." Similarly, if one agrees with Justice BRENNAN that</w:t>
      </w:r>
    </w:p>
    <w:p w:rsidR="00A31137" w:rsidRPr="00A31137" w:rsidRDefault="00A31137" w:rsidP="00A31137">
      <w:r w:rsidRPr="00A31137">
        <w:t>1990, Cruzan v. Director, MDH, 497 U.S. 299</w:t>
      </w:r>
    </w:p>
    <w:p w:rsidR="00A31137" w:rsidRPr="00A31137" w:rsidRDefault="00A31137" w:rsidP="00A31137">
      <w:r w:rsidRPr="00A31137">
        <w:t>the State's general interest in life must accede to Nancy Cruzan's particularized and intense interest in self-determination in her choice of medical treatment,</w:t>
      </w:r>
    </w:p>
    <w:p w:rsidR="00A31137" w:rsidRPr="00A31137" w:rsidRDefault="00A31137" w:rsidP="00A31137">
      <w:r w:rsidRPr="00A31137">
        <w:t>1990, Cruzan v. Director, MDH, 497 U.S. 299</w:t>
      </w:r>
    </w:p>
    <w:p w:rsidR="00A31137" w:rsidRPr="00A31137" w:rsidRDefault="00A31137" w:rsidP="00A31137">
      <w:r w:rsidRPr="00A31137">
        <w:t>ibid. (emphasis added), he must also believe that the State must accede to her "particularized and intense interest in self-determination in her choice whether to continue living or to die." For insofar as balancing the relative interests of the State and the individual is concerned, there is nothing distinctive about accepting death through the refusal of "medical treatment," as opposed to accepting it through the refusal of food, or through the failure to shut off the engine and get out of the car after parking in one's garage after work. Suppose that Nancy Cruzan were in precisely the condition she is in today, except that she could be fed and digest food and water without artificial assistance. How is the State's "interest" in keeping her alive thereby increased, or her interest in deciding whether she wants to continue living reduced? It seems to me, in other words, that Justice BRENNAN's position ultimately rests upon the proposition that it is none of the State's [497 U.S. 300] business if a person wants to commit suicide. Justice STEVENS is explicit on the point:</w:t>
      </w:r>
    </w:p>
    <w:p w:rsidR="00A31137" w:rsidRPr="00A31137" w:rsidRDefault="00A31137" w:rsidP="00A31137">
      <w:r w:rsidRPr="00A31137">
        <w:t>1990, Cruzan v. Director, MDH, 497 U.S. 300</w:t>
      </w:r>
    </w:p>
    <w:p w:rsidR="00A31137" w:rsidRPr="00A31137" w:rsidRDefault="00A31137" w:rsidP="00A31137">
      <w:r w:rsidRPr="00A31137">
        <w:t>Choices about death touch the core of liberty…. [N]ot much may be said with confidence about death unless it is said from faith, and that alone is reason enough to protect the freedom to conform choices about death to individual conscience.</w:t>
      </w:r>
    </w:p>
    <w:p w:rsidR="00A31137" w:rsidRPr="00A31137" w:rsidRDefault="00A31137" w:rsidP="00A31137">
      <w:r w:rsidRPr="00A31137">
        <w:t>1990, Cruzan v. Director, MDH, 497 U.S. 300</w:t>
      </w:r>
    </w:p>
    <w:p w:rsidR="00A31137" w:rsidRPr="00A31137" w:rsidRDefault="00A31137" w:rsidP="00A31137">
      <w:r w:rsidRPr="00A31137">
        <w:t>Post at  343. This is a view that some societies have held, and that our States are free to adopt if they wish. But it is not a view imposed by our constitutional traditions, in which the power of the State to prohibit suicide is unquestionable.</w:t>
      </w:r>
    </w:p>
    <w:p w:rsidR="00A31137" w:rsidRPr="00A31137" w:rsidRDefault="00A31137" w:rsidP="00A31137">
      <w:r w:rsidRPr="00A31137">
        <w:t>1990, Cruzan v. Director, MDH, 497 U.S. 300</w:t>
      </w:r>
    </w:p>
    <w:p w:rsidR="00A31137" w:rsidRPr="00A31137" w:rsidRDefault="00A31137" w:rsidP="00A31137">
      <w:r w:rsidRPr="00A31137">
        <w:t>What I have said above is not meant to suggest that I would think it desirable, if we were sure that Nancy Cruzan wanted to die, to keep her alive by the means at issue here. I assert only that the Constitution has nothing to say about the subject. To raise up a constitutional right here, we would have to create out of nothing (for it exists neither in text nor tradition) some constitutional principle whereby, although the State may insist that an individual come in out of the cold and eat food, it may not insist that he take medicine; and although it may pump his stomach empty of poison he has ingested, it may not fill his stomach with food he has failed to ingest. Are there, then, no reasonable and humane limits that ought not to be exceeded in requiring an individual to preserve his own life? There obviously are, but they are not set forth in the Due Process Clause. What assures us that those limits will not be exceeded is the same constitutional guarantee that is the source of most of our protection—what protects us, for example, from being assessed a tax of 100% of our income above the subsistence level, from being forbidden to drive cars, or from being required to send our children to school for 10 hours a day, none of which horribles is categorically prohibited by the Constitution. Our salvation is the Equal Protection Clause, which requires the democratic majority to accept for themselves and their loved ones what they impose on you and me. This Court need not, and has no authority to, inject itself into every field of human activity [497 U.S. 301] where irrationality and oppression may theoretically occur, and if it tries to do so, it will destroy itself.</w:t>
      </w:r>
    </w:p>
    <w:p w:rsidR="00A31137" w:rsidRPr="00A31137" w:rsidRDefault="00A31137" w:rsidP="00A31137">
      <w:r w:rsidRPr="00A31137">
        <w:t>BRENNAN, J., dissenting</w:t>
      </w:r>
    </w:p>
    <w:p w:rsidR="00A31137" w:rsidRPr="00A31137" w:rsidRDefault="00A31137" w:rsidP="00A31137">
      <w:r w:rsidRPr="00A31137">
        <w:t>1990, Cruzan v. Director, MDH, 497 U.S. 301</w:t>
      </w:r>
    </w:p>
    <w:p w:rsidR="00A31137" w:rsidRPr="00A31137" w:rsidRDefault="00A31137" w:rsidP="00A31137">
      <w:r w:rsidRPr="00A31137">
        <w:t>Justice BRENNAN, with whom Justice MARSHALL and Justice BLACKMUN join, dissenting.</w:t>
      </w:r>
    </w:p>
    <w:p w:rsidR="00A31137" w:rsidRPr="00A31137" w:rsidRDefault="00A31137" w:rsidP="00A31137">
      <w:r w:rsidRPr="00A31137">
        <w:t>1990, Cruzan v. Director, MDH, 497 U.S. 301</w:t>
      </w:r>
    </w:p>
    <w:p w:rsidR="00A31137" w:rsidRPr="00A31137" w:rsidRDefault="00A31137" w:rsidP="00A31137">
      <w:r w:rsidRPr="00A31137">
        <w:t>Medical technology has effectively created a twilight zone of suspended animation where death commences while life, in some form, continues. Some patients, however, want no part of a life sustained only by medical technology. Instead, they prefer a plan of medical treatment that allows nature to take its course and permits them to die with dignity. 1</w:t>
      </w:r>
    </w:p>
    <w:p w:rsidR="00A31137" w:rsidRPr="00A31137" w:rsidRDefault="00A31137" w:rsidP="00A31137">
      <w:r w:rsidRPr="00A31137">
        <w:t>1990, Cruzan v. Director, MDH, 497 U.S. 301</w:t>
      </w:r>
    </w:p>
    <w:p w:rsidR="00A31137" w:rsidRPr="00A31137" w:rsidRDefault="00A31137" w:rsidP="00A31137">
      <w:r w:rsidRPr="00A31137">
        <w:t>Nancy Cruzan has dwelt in that twilight zone for six years. She is oblivious to her surroundings and will remain so. Cruzan v. Harmon, 760 S.W.2d 408, 411 (Mo.1988). Her body twitches only reflexively, without consciousness. Ibid. The areas of her brain that once thought, felt, and experienced sensations have degenerated badly, and are continuing to do so. The cavities remaining are filling with cerebrospinal fluid. The "'cerebral cortical atrophy is irreversible, permanent, progressive and ongoing.'" Ibid. "Nancy will never interact meaningfully with her environment again. She will remain in a persistent vegetative state until her death." Id. at 422. 2 Because she cannot swallow, her nutrition and hydration are delivered through a tube surgically implanted in her stomach.</w:t>
      </w:r>
    </w:p>
    <w:p w:rsidR="00A31137" w:rsidRPr="00A31137" w:rsidRDefault="00A31137" w:rsidP="00A31137">
      <w:r w:rsidRPr="00A31137">
        <w:t>1990, Cruzan v. Director, MDH, 497 U.S. 301</w:t>
      </w:r>
    </w:p>
    <w:p w:rsidR="00A31137" w:rsidRPr="00A31137" w:rsidRDefault="00A31137" w:rsidP="00A31137">
      <w:r w:rsidRPr="00A31137">
        <w:t>A grown woman at the time of the accident, Nancy had previously expressed her wish to forgo continuing medical care under circumstances such as these. Her family and her [497 U.S. 302] friends are convinced that this is what she would want. See n. |497 U.S. 261fn3/20|20, infra. A guardian ad litem appointed by the trial court is also convinced that this is what Nancy would want. See 760 S.W.2d at 444 (Higgins, J., dissenting from denial of rehearing). Yet the Missouri Supreme Court, alone among state courts deciding such a question, has determined that an irreversibly vegetative patient will remain a passive prisoner of medical technology—for Nancy, perhaps for the next 30 years. See id. at 424, 427.</w:t>
      </w:r>
    </w:p>
    <w:p w:rsidR="00A31137" w:rsidRPr="00A31137" w:rsidRDefault="00A31137" w:rsidP="00A31137">
      <w:r w:rsidRPr="00A31137">
        <w:t>1990, Cruzan v. Director, MDH, 497 U.S. 302</w:t>
      </w:r>
    </w:p>
    <w:p w:rsidR="00A31137" w:rsidRPr="00A31137" w:rsidRDefault="00A31137" w:rsidP="00A31137">
      <w:r w:rsidRPr="00A31137">
        <w:t>Today the Court, while tentatively accepting that there is some degree of constitutionally protected liberty interest in avoiding unwanted medical treatment, including life-sustaining medical treatment such as artificial nutrition and hydration, affirms the decision of the Missouri Supreme Court. The majority opinion, as I read it, would affirm that decision on the ground that a State may require "clear and convincing" evidence of Nancy Cruzan's prior decision to forgo life-sustaining treatment under circumstances such as hers in order to ensure that her actual wishes are honored. See ante at 282-283, 286-287. Because I believe that Nancy Cruzan has a fundamental right to be free of unwanted artificial nutrition and hydration, which right is not outweighed by any interests of the State, and because I find that the improperly biased procedural obstacles imposed by the Missouri Supreme Court impermissibly burden that right, I respectfully dissent. Nancy Cruzan is entitled to choose to die with dignity.</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1990, Cruzan v. Director, MDH, 497 U.S. 302</w:t>
      </w:r>
    </w:p>
    <w:p w:rsidR="00A31137" w:rsidRPr="00A31137" w:rsidRDefault="00A31137" w:rsidP="00A31137">
      <w:r w:rsidRPr="00A31137">
        <w:t>"[T]he timing of death—once a matter of fate—is now a matter of human choice." Office of Technology Assessment Task Force, Life Sustaining Technologies and the Elderly 41 (1988). Of the approximately two million people who die each year, 80% die in hospitals and long-term care institutions, 3 [497 U.S. 303] and perhaps 70% of those after a decision to forgo life-sustaining treatment has been made. 4 Nearly every death involves a decision whether to undertake some medical procedure that could prolong the process of dying. Such decisions are difficult and personal. They must be made on the basis of individual values, informed by medical realities, yet within a framework governed by law. The role of the courts is confined to defining that framework, delineating the ways in which government may and may not participate in such decisions.</w:t>
      </w:r>
    </w:p>
    <w:p w:rsidR="00A31137" w:rsidRPr="00A31137" w:rsidRDefault="00A31137" w:rsidP="00A31137">
      <w:r w:rsidRPr="00A31137">
        <w:t>1990, Cruzan v. Director, MDH, 497 U.S. 303</w:t>
      </w:r>
    </w:p>
    <w:p w:rsidR="00A31137" w:rsidRPr="00A31137" w:rsidRDefault="00A31137" w:rsidP="00A31137">
      <w:r w:rsidRPr="00A31137">
        <w:t>The question before this Court is a relatively narrow one: whether the Due Process Clause allows Missouri to require a now-incompetent patient in an irreversible persistent vegetative state to remain on life-support absent rigorously clear and convincing evidence that avoiding the treatment represents the patient's prior, express choice. See ante at 277-278. If a fundamental right is at issue, Missouri's rule of decision must be scrutinized under the standards this Court has always applied in such circumstances. As we said in Zablocki v. Redhail, 434 U.S. 374,  388 (1978), if a requirement imposed by a State</w:t>
      </w:r>
    </w:p>
    <w:p w:rsidR="00A31137" w:rsidRPr="00A31137" w:rsidRDefault="00A31137" w:rsidP="00A31137">
      <w:r w:rsidRPr="00A31137">
        <w:t>1990, Cruzan v. Director, MDH, 497 U.S. 303</w:t>
      </w:r>
    </w:p>
    <w:p w:rsidR="00A31137" w:rsidRPr="00A31137" w:rsidRDefault="00A31137" w:rsidP="00A31137">
      <w:r w:rsidRPr="00A31137">
        <w:t>significantly interferes with the exercise of a fundamental right, it cannot be upheld unless it is supported by sufficiently important state interests and is closely tailored to effectuate only those interests.</w:t>
      </w:r>
    </w:p>
    <w:p w:rsidR="00A31137" w:rsidRPr="00A31137" w:rsidRDefault="00A31137" w:rsidP="00A31137">
      <w:r w:rsidRPr="00A31137">
        <w:t>1990, Cruzan v. Director, MDH, 497 U.S. 303</w:t>
      </w:r>
    </w:p>
    <w:p w:rsidR="00A31137" w:rsidRPr="00A31137" w:rsidRDefault="00A31137" w:rsidP="00A31137">
      <w:r w:rsidRPr="00A31137">
        <w:t>The Constitution imposes on this Court the obligation to</w:t>
      </w:r>
    </w:p>
    <w:p w:rsidR="00A31137" w:rsidRPr="00A31137" w:rsidRDefault="00A31137" w:rsidP="00A31137">
      <w:r w:rsidRPr="00A31137">
        <w:t>1990, Cruzan v. Director, MDH, 497 U.S. 303</w:t>
      </w:r>
    </w:p>
    <w:p w:rsidR="00A31137" w:rsidRPr="00A31137" w:rsidRDefault="00A31137" w:rsidP="00A31137">
      <w:r w:rsidRPr="00A31137">
        <w:t>examine carefully…the extent to which [the legitimate government interests advanced] are served by the challenged regulation.</w:t>
      </w:r>
    </w:p>
    <w:p w:rsidR="00A31137" w:rsidRPr="00A31137" w:rsidRDefault="00A31137" w:rsidP="00A31137">
      <w:r w:rsidRPr="00A31137">
        <w:t>1990, Cruzan v. Director, MDH, 497 U.S. 303</w:t>
      </w:r>
    </w:p>
    <w:p w:rsidR="00A31137" w:rsidRPr="00A31137" w:rsidRDefault="00A31137" w:rsidP="00A31137">
      <w:r w:rsidRPr="00A31137">
        <w:t>Moore v. East Cleveland, 431 U.S. 494,  499 (1977). See also Carey v. Population Services International, 431 U.S. 678,  690 (1977) (invalidating a requirement that bore "no relation to the State's interest"). An evidentiary rule, just as a substantive prohibition, must meet these standards if it significantly burdens a fundamental liberty interest. Fundamental [497 U.S. 304] rights "are protected not only against heavy-handed frontal attack, but also from being stifled by more subtle governmental interference." Bates v. Little Rock, 361 U.S. 516, 523 (1960).</w:t>
      </w:r>
    </w:p>
    <w:p w:rsidR="00A31137" w:rsidRPr="00A31137" w:rsidRDefault="00A31137" w:rsidP="00A31137">
      <w:r w:rsidRPr="00A31137">
        <w:t>B</w:t>
      </w:r>
    </w:p>
    <w:p w:rsidR="00A31137" w:rsidRPr="00A31137" w:rsidRDefault="00A31137" w:rsidP="00A31137">
      <w:r w:rsidRPr="00A31137">
        <w:t>1990, Cruzan v. Director, MDH, 497 U.S. 304</w:t>
      </w:r>
    </w:p>
    <w:p w:rsidR="00A31137" w:rsidRPr="00A31137" w:rsidRDefault="00A31137" w:rsidP="00A31137">
      <w:r w:rsidRPr="00A31137">
        <w:t>The starting point for our legal analysis must be whether a competent person has a constitutional right to avoid unwanted medical care. Earlier this Term, this Court held that the Due Process Clause of the Fourteenth Amendment confers a significant liberty interest in avoiding unwanted medical treatment. Washington v. Harper, 494 U.S. 210, 221-222 (1990). Today, the Court concedes that our prior decisions "support the recognition of a general liberty interest in refusing medical treatment." See ante at  278. The Court, however, avoids discussing either the measure of that liberty interest or its application by assuming, for purposes of this case only, that a competent person has a constitutionally protected liberty interest in being free of unwanted artificial nutrition and hydration. See ante at  279. Justice O'CONNOR's opinion is less parsimonious. She openly affirms that "the Court has often deemed state incursions into the body repugnant to the interests protected by the Due Process Clause," that there is a liberty interest in avoiding unwanted medical treatment, and that it encompasses the right to be free of "artificially delivered food and water." See ante at  287.</w:t>
      </w:r>
    </w:p>
    <w:p w:rsidR="00A31137" w:rsidRPr="00A31137" w:rsidRDefault="00A31137" w:rsidP="00A31137">
      <w:r w:rsidRPr="00A31137">
        <w:t>1990, Cruzan v. Director, MDH, 497 U.S. 304</w:t>
      </w:r>
    </w:p>
    <w:p w:rsidR="00A31137" w:rsidRPr="00A31137" w:rsidRDefault="00A31137" w:rsidP="00A31137">
      <w:r w:rsidRPr="00A31137">
        <w:t>But if a competent person has a liberty interest to be free of unwanted medical treatment, as both the majority and Justice O'CONNOR concede, it must be fundamental. "We are dealing here with [a decision] which involves one of the basic civil rights of man." Skinner v. Oklahoma ex rel. Williamson, 316 U.S. 535,  541 (1942) (invalidating a statute authorizing sterilization of certain felons). Whatever other liberties protected by the Due Process Clause are fundamental, "those liberties that are 'deeply rooted in this Nation's history and tradition'" are among them. Bowers v. Hardwick, [497 U.S. 305] 478 U.S. 186, 192 (1986) (quoting Moore v. East Cleveland, supra, 431 U.S. at  503 (plurality opinion)). "Such a tradition commands respect in part because the Constitution carries the gloss of history." Richmond Newspapers, Inc. v. Virginia, 448 U.S. 555,  589 (1980) (BRENNAN, J., concurring in judgment).</w:t>
      </w:r>
    </w:p>
    <w:p w:rsidR="00A31137" w:rsidRPr="00A31137" w:rsidRDefault="00A31137" w:rsidP="00A31137">
      <w:r w:rsidRPr="00A31137">
        <w:t>1990, Cruzan v. Director, MDH, 497 U.S. 305</w:t>
      </w:r>
    </w:p>
    <w:p w:rsidR="00A31137" w:rsidRPr="00A31137" w:rsidRDefault="00A31137" w:rsidP="00A31137">
      <w:r w:rsidRPr="00A31137">
        <w:t>The right to be free from medical attention without consent, to determine what shall be done with one's own body, is deeply rooted in this Nation's traditions, as the majority acknowledges. See ante at  270. This right has long been "firmly entrenched in American tort law" and is securely grounded in the earliest common law. Ibid. See also Mills v. Rogers, 457 U.S. 291, 294, n. 4 (1982) ("the right to refuse any medical treatment emerged from the doctrines of trespass and battery, which were applied to unauthorized touchings by a physician").</w:t>
      </w:r>
    </w:p>
    <w:p w:rsidR="00A31137" w:rsidRPr="00A31137" w:rsidRDefault="00A31137" w:rsidP="00A31137">
      <w:r w:rsidRPr="00A31137">
        <w:t>1990, Cruzan v. Director, MDH, 497 U.S. 305</w:t>
      </w:r>
    </w:p>
    <w:p w:rsidR="00A31137" w:rsidRPr="00A31137" w:rsidRDefault="00A31137" w:rsidP="00A31137">
      <w:r w:rsidRPr="00A31137">
        <w:t>Anglo-American law starts with the premise of thorough-going self-determination. It follows that each man is considered to be master of his own body, and he may, if he be of sound mind, expressly prohibit the performance of lifesaving surgery or other medical treatment.</w:t>
      </w:r>
    </w:p>
    <w:p w:rsidR="00A31137" w:rsidRPr="00A31137" w:rsidRDefault="00A31137" w:rsidP="00A31137">
      <w:r w:rsidRPr="00A31137">
        <w:t>1990, Cruzan v. Director, MDH, 497 U.S. 305</w:t>
      </w:r>
    </w:p>
    <w:p w:rsidR="00A31137" w:rsidRPr="00A31137" w:rsidRDefault="00A31137" w:rsidP="00A31137">
      <w:r w:rsidRPr="00A31137">
        <w:t xml:space="preserve">Natanson v. Kline, 186 Kan. 393, 406-407, 350 P.2d 1093, 1104 (1960). "The inviolability of the person" has been held as "sacred" and "carefully guarded" as any common law right. Union Pacific R. Co. v. Botsford, 141 U.S. 250, 251-252 (1891). Thus, freedom from unwanted medical attention is unquestionably among those principles "so rooted in the traditions and conscience of our people as to be ranked as fundamental." Snyder v. Massachusetts, 291 U.S. 97,  105 (1934). 5 [497 U.S. 306] </w:t>
      </w:r>
    </w:p>
    <w:p w:rsidR="00A31137" w:rsidRPr="00A31137" w:rsidRDefault="00A31137" w:rsidP="00A31137">
      <w:r w:rsidRPr="00A31137">
        <w:t>1990, Cruzan v. Director, MDH, 497 U.S. 306</w:t>
      </w:r>
    </w:p>
    <w:p w:rsidR="00A31137" w:rsidRPr="00A31137" w:rsidRDefault="00A31137" w:rsidP="00A31137">
      <w:r w:rsidRPr="00A31137">
        <w:t>That there may be serious consequences involved in refusal of the medical treatment at issue here does not vitiate the right under our common law tradition of medical self-determination. It is</w:t>
      </w:r>
    </w:p>
    <w:p w:rsidR="00A31137" w:rsidRPr="00A31137" w:rsidRDefault="00A31137" w:rsidP="00A31137">
      <w:r w:rsidRPr="00A31137">
        <w:t>1990, Cruzan v. Director, MDH, 497 U.S. 306</w:t>
      </w:r>
    </w:p>
    <w:p w:rsidR="00A31137" w:rsidRPr="00A31137" w:rsidRDefault="00A31137" w:rsidP="00A31137">
      <w:r w:rsidRPr="00A31137">
        <w:t>a well-established rule of general law…that it is the patient, not the physician, who ultimately decides if treatment—any treatment—is to be given at all…. The rule has never been qualified in its application by either the nature or purpose of the treatment, or the gravity of the consequences of acceding to or foregoing it.</w:t>
      </w:r>
    </w:p>
    <w:p w:rsidR="00A31137" w:rsidRPr="00A31137" w:rsidRDefault="00A31137" w:rsidP="00A31137">
      <w:r w:rsidRPr="00A31137">
        <w:t>1990, Cruzan v. Director, MDH, 497 U.S. 306</w:t>
      </w:r>
    </w:p>
    <w:p w:rsidR="00A31137" w:rsidRPr="00A31137" w:rsidRDefault="00A31137" w:rsidP="00A31137">
      <w:r w:rsidRPr="00A31137">
        <w:t xml:space="preserve">Tune v. Walter Reed Army Medical Hospital, 602 F.Supp. 1452, 1455 (DC 1985). See also Downer v. Veilleux, 322 A.2d 82, 91 (Me.1974) ("The rationale of this rule lies in the fact that every competent adult has the right to forego treatment, or even cure, if it entails what for him are intolerable consequences or risks, however unwise his sense of values may be to others"). 6 [497 U.S. 307] </w:t>
      </w:r>
    </w:p>
    <w:p w:rsidR="00A31137" w:rsidRPr="00A31137" w:rsidRDefault="00A31137" w:rsidP="00A31137">
      <w:r w:rsidRPr="00A31137">
        <w:t>1990, Cruzan v. Director, MDH, 497 U.S. 307</w:t>
      </w:r>
    </w:p>
    <w:p w:rsidR="00A31137" w:rsidRPr="00A31137" w:rsidRDefault="00A31137" w:rsidP="00A31137">
      <w:r w:rsidRPr="00A31137">
        <w:t>No material distinction can be drawn between the treatment to which Nancy Cruzan continues to be subject—artificial nutrition and hydration—and any other medical treatment. See ante at 288-289 (O'CONNOR, J., concurring). The artificial delivery of nutrition and hydration is undoubtedly medical treatment. The technique to which Nancy Cruzan is subject—artificial feeding through a gastrostomy tube—involves a tube implanted surgically into her stomach through incisions in her abdominal wall. It may obstruct the intestinal tract, erode and pierce the stomach wall, or cause leakage of the stomach's contents into the abdominal cavity. See Page, Andrassy, &amp; Sandler, Techniques in Delivery of Liquid Diets, in Nutrition in Clinical Surgery 66-67 (M. Deitel 2d ed. 1985). The tube can cause pneumonia from reflux of the stomach's contents into the lung. See Bernard &amp; Forlaw, Complications and Their Prevention, in Enteral and Tube Feeding 553 (J. Rombeau &amp; M. Caldwell eds. 1984). Typically, and in this case (see Tr. 377), commercially prepared formulas are used, rather than fresh food. See Matarese, Enteral Alimentation, in Surgical Nutrition 726 (J. Fischer ed. 1983). The type of formula and method of administration must be experimented with to avoid gastrointestinal problems. Id. at 748. The patient must be monitored daily by medical personnel as to weight, fluid intake and fluid output; blood tests must be done weekly. Id. at 749, 751.</w:t>
      </w:r>
    </w:p>
    <w:p w:rsidR="00A31137" w:rsidRPr="00A31137" w:rsidRDefault="00A31137" w:rsidP="00A31137">
      <w:r w:rsidRPr="00A31137">
        <w:t>1990, Cruzan v. Director, MDH, 497 U.S. 307</w:t>
      </w:r>
    </w:p>
    <w:p w:rsidR="00A31137" w:rsidRPr="00A31137" w:rsidRDefault="00A31137" w:rsidP="00A31137">
      <w:r w:rsidRPr="00A31137">
        <w:t xml:space="preserve">Artificial delivery of food and water is regarded as medical treatment by the medical profession and the Federal Government. 7 According to the American Academy of Neurology: [497 U.S. 308] </w:t>
      </w:r>
    </w:p>
    <w:p w:rsidR="00A31137" w:rsidRPr="00A31137" w:rsidRDefault="00A31137" w:rsidP="00A31137">
      <w:r w:rsidRPr="00A31137">
        <w:t>1990, Cruzan v. Director, MDH, 497 U.S. 308</w:t>
      </w:r>
    </w:p>
    <w:p w:rsidR="00A31137" w:rsidRPr="00A31137" w:rsidRDefault="00A31137" w:rsidP="00A31137">
      <w:r w:rsidRPr="00A31137">
        <w:t>[t]he artificial provision of nutrition and hydration is a form of medical treatment…analogous to other forms of life-sustaining treatment, such as the use of the respirator. When a patient is unconscious, both a respirator and an artificial feeding device serve to support or replace normal bodily functions that are compromised as a result of the patient's illness.</w:t>
      </w:r>
    </w:p>
    <w:p w:rsidR="00A31137" w:rsidRPr="00A31137" w:rsidRDefault="00A31137" w:rsidP="00A31137">
      <w:r w:rsidRPr="00A31137">
        <w:t>1990, Cruzan v. Director, MDH, 497 U.S. 308</w:t>
      </w:r>
    </w:p>
    <w:p w:rsidR="00A31137" w:rsidRPr="00A31137" w:rsidRDefault="00A31137" w:rsidP="00A31137">
      <w:r w:rsidRPr="00A31137">
        <w:t>Position of the American Academy of Neurology on Certain Aspects of the Care and Management of the Persistent Vegetative State Patient, 39 Neurology 125 (Jan.1989). See also Council on Ethical and Judicial Affairs of the American Medical Association, Current Opinions, Opinion 2.20 (1989) ("Life-prolonging medical treatment includes medication and artificially or technologically supplied respiration, nutrition or hydration"); President's Commission 88 (life-sustaining treatment includes respirators, kidney dialysis machines, special feeding procedures). The Federal Government permits the cost of the medical devices and formulas used in enteral feeding to be reimbursed under Medicare. See Pub.L. 99509, § 9340, note following 42 U.S.C. § 1395u, p. 592 (1982 ed., Supp. V). The formulas are regulated by the Federal Drug Administration as "medical foods," see 21 U.S.C. § 360ee, and the feeding tubes are regulated as medical devices, 21 CFR § 876.5980 (1989).</w:t>
      </w:r>
    </w:p>
    <w:p w:rsidR="00A31137" w:rsidRPr="00A31137" w:rsidRDefault="00A31137" w:rsidP="00A31137">
      <w:r w:rsidRPr="00A31137">
        <w:t>1990, Cruzan v. Director, MDH, 497 U.S. 308</w:t>
      </w:r>
    </w:p>
    <w:p w:rsidR="00A31137" w:rsidRPr="00A31137" w:rsidRDefault="00A31137" w:rsidP="00A31137">
      <w:r w:rsidRPr="00A31137">
        <w:t>Nor does the fact that Nancy Cruzan is now incompetent deprive her of her fundamental rights. See Youngberg v. Romeo, 457 U.S. 307, 315, 316, 319 (1982) (holding that severely retarded man's liberty interests in safety, freedom from bodily restraint and reasonable training survive involuntary commitment); Parham v. J.R., 442 U.S. 584, 600 (1979) (recognizing a child's substantial liberty interest in not being confined unnecessarily for medical treatment); Jackson v. Indiana, 406 U.S. 715, 730, 738 (1972) (holding that Indiana could not violate the due process and equal protection rights of a mentally retarded deaf mute by committing him for an indefinite amount of time simply because he was incompetent to stand trial on the criminal charges filed against [497 U.S. 309] him). As the majority recognizes, ante at 280, the question is not whether an incompetent has constitutional rights, but how such rights may be exercised. As we explained in Thompson v. Oklahoma, 487 U.S. 815 (1988),</w:t>
      </w:r>
    </w:p>
    <w:p w:rsidR="00A31137" w:rsidRPr="00A31137" w:rsidRDefault="00A31137" w:rsidP="00A31137">
      <w:r w:rsidRPr="00A31137">
        <w:t>1990, Cruzan v. Director, MDH, 497 U.S. 309</w:t>
      </w:r>
    </w:p>
    <w:p w:rsidR="00A31137" w:rsidRPr="00A31137" w:rsidRDefault="00A31137" w:rsidP="00A31137">
      <w:r w:rsidRPr="00A31137">
        <w:t>[t]he law must often adjust the manner in which it affords rights to those whose status renders them unable to exercise choice freely and rationally. Children, the insane, and those who are irreversibly ill with loss of brain function, for instance, all retain "rights," to be sure, but often such rights are only meaningful as they are exercised by agents acting with the best interests of their principals in mind.</w:t>
      </w:r>
    </w:p>
    <w:p w:rsidR="00A31137" w:rsidRPr="00A31137" w:rsidRDefault="00A31137" w:rsidP="00A31137">
      <w:r w:rsidRPr="00A31137">
        <w:t>1990, Cruzan v. Director, MDH, 497 U.S. 309</w:t>
      </w:r>
    </w:p>
    <w:p w:rsidR="00A31137" w:rsidRPr="00A31137" w:rsidRDefault="00A31137" w:rsidP="00A31137">
      <w:r w:rsidRPr="00A31137">
        <w:t>Id. at 825, n. 23 (emphasis added). "To deny [its] exercise because the patient is unconscious or incompetent would be to deny the right." Foody v. Manchester Memorial Hospital, 40 Conn.Supp. 127, 133, 482 A.2d 713, 718 (1984).</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1990, Cruzan v. Director, MDH, 497 U.S. 309</w:t>
      </w:r>
    </w:p>
    <w:p w:rsidR="00A31137" w:rsidRPr="00A31137" w:rsidRDefault="00A31137" w:rsidP="00A31137">
      <w:r w:rsidRPr="00A31137">
        <w:t>The right to be free from unwanted medical attention is a right to evaluate the potential benefit of treatment and its possible consequences according to one's own values and to make a personal decision whether to subject oneself to the intrusion. For a patient like Nancy Cruzan, the sole benefit of medical treatment is being kept metabolically alive. Neither artificial nutrition nor any other form of medical treatment available today can cure or in any way ameliorate her condition. 8 Irreversibly vegetative patients are devoid of thought, [497 U.S. 310] emotion and sensation; they are permanently and completely unconscious. See |497 U.S. 261fn3/2|n. 2, supra. 9 As the President's Commission concluded in approving the withdrawal of life support equipment from irreversibly vegetative patients:</w:t>
      </w:r>
    </w:p>
    <w:p w:rsidR="00A31137" w:rsidRPr="00A31137" w:rsidRDefault="00A31137" w:rsidP="00A31137">
      <w:r w:rsidRPr="00A31137">
        <w:t>1990, Cruzan v. Director, MDH, 497 U.S. 310</w:t>
      </w:r>
    </w:p>
    <w:p w:rsidR="00A31137" w:rsidRPr="00A31137" w:rsidRDefault="00A31137" w:rsidP="00A31137">
      <w:r w:rsidRPr="00A31137">
        <w:t>[T]reatment ordinarily aims to benefit a patient through preserving life, relieving pain and suffering, protecting against disability, and returning maximally effective functioning. If a prognosis of permanent unconsciousness is correct, however, continued treatment cannot confer such benefits. Pain and suffering are absent, as are joy, satisfaction, and pleasure. Disability is total, and no return to an even minimal level of social or human functioning is possible.</w:t>
      </w:r>
    </w:p>
    <w:p w:rsidR="00A31137" w:rsidRPr="00A31137" w:rsidRDefault="00A31137" w:rsidP="00A31137">
      <w:r w:rsidRPr="00A31137">
        <w:t>1990, Cruzan v. Director, MDH, 497 U.S. 310</w:t>
      </w:r>
    </w:p>
    <w:p w:rsidR="00A31137" w:rsidRPr="00A31137" w:rsidRDefault="00A31137" w:rsidP="00A31137">
      <w:r w:rsidRPr="00A31137">
        <w:t>President's Commission 181-182.</w:t>
      </w:r>
    </w:p>
    <w:p w:rsidR="00A31137" w:rsidRPr="00A31137" w:rsidRDefault="00A31137" w:rsidP="00A31137">
      <w:r w:rsidRPr="00A31137">
        <w:t>1990, Cruzan v. Director, MDH, 497 U.S. 310</w:t>
      </w:r>
    </w:p>
    <w:p w:rsidR="00A31137" w:rsidRPr="00A31137" w:rsidRDefault="00A31137" w:rsidP="00A31137">
      <w:r w:rsidRPr="00A31137">
        <w:t>There are also affirmative reasons why someone like Nancy might choose to forgo artificial nutrition and hydration under these circumstances. Dying is personal. And it is profound. For many, the thought of an ignoble end, steeped in decay, is abhorrent. A quiet, proud death, bodily integrity [497 U.S. 311] intact, is a matter of extreme consequence. "In certain, thankfully rare, circumstances the burden of maintaining the corporeal existence degrades the very humanity it was meant to serve." Brophy v. New England Sinai Hospital, Inc., 398 Mass. 417, 434, 497 N.E.2d 626, 635-636 (1986) (finding the subject of the proceeding "in a condition which [he] has indicated he would consider to be degrading and without human dignity" and holding that "[t]he duty of the State to preserve life must encompass a recognition of an individual's right to avoid circumstances in which the individual himself would feel that efforts to sustain life demean or degrade his humanity"). Another court, hearing a similar case, noted:</w:t>
      </w:r>
    </w:p>
    <w:p w:rsidR="00A31137" w:rsidRPr="00A31137" w:rsidRDefault="00A31137" w:rsidP="00A31137">
      <w:r w:rsidRPr="00A31137">
        <w:t>1990, Cruzan v. Director, MDH, 497 U.S. 311</w:t>
      </w:r>
    </w:p>
    <w:p w:rsidR="00A31137" w:rsidRPr="00A31137" w:rsidRDefault="00A31137" w:rsidP="00A31137">
      <w:r w:rsidRPr="00A31137">
        <w:t>It is apparent from the testimony that what was on [the patient's] mind was not only the invasiveness of life-sustaining systems, such as the [nasogastric] tube, upon the integrity of his body. It was also the utter helplessness of the permanently comatose person, the wasting of a once strong body, and the submission of the most private bodily functions to the attention of others.</w:t>
      </w:r>
    </w:p>
    <w:p w:rsidR="00A31137" w:rsidRPr="00A31137" w:rsidRDefault="00A31137" w:rsidP="00A31137">
      <w:r w:rsidRPr="00A31137">
        <w:t>1990, Cruzan v. Director, MDH, 497 U.S. 311</w:t>
      </w:r>
    </w:p>
    <w:p w:rsidR="00A31137" w:rsidRPr="00A31137" w:rsidRDefault="00A31137" w:rsidP="00A31137">
      <w:r w:rsidRPr="00A31137">
        <w:t>In re Gardner, 534 A.2d 947, 953 (Me.1987).</w:t>
      </w:r>
    </w:p>
    <w:p w:rsidR="00A31137" w:rsidRPr="00A31137" w:rsidRDefault="00A31137" w:rsidP="00A31137">
      <w:r w:rsidRPr="00A31137">
        <w:t>1990, Cruzan v. Director, MDH, 497 U.S. 311</w:t>
      </w:r>
    </w:p>
    <w:p w:rsidR="00A31137" w:rsidRPr="00A31137" w:rsidRDefault="00A31137" w:rsidP="00A31137">
      <w:r w:rsidRPr="00A31137">
        <w:t>Such conditions are, for many, humiliating to contemplate, 10 as is visiting a prolonged and anguished vigil on one's parents, spouse, and children. A long, drawn-out death can have a debilitating effect on family members. See Carnwath &amp; Johnson, Psychiatric Morbidity Among Spouses of Patients With Stroke, 294 Brit.Med.J. 409 (1987); Livingston, Families Who Care, 291 Brit.Med.J. 919 (1985). For some, the idea of being remembered in their persistent vegetative [497 U.S. 312] states, rather than as they were before their illness or accident, may be very disturbing. 11</w:t>
      </w:r>
    </w:p>
    <w:p w:rsidR="00A31137" w:rsidRPr="00A31137" w:rsidRDefault="00A31137" w:rsidP="00A31137">
      <w:r w:rsidRPr="00A31137">
        <w:t>B</w:t>
      </w:r>
    </w:p>
    <w:p w:rsidR="00A31137" w:rsidRPr="00A31137" w:rsidRDefault="00A31137" w:rsidP="00A31137">
      <w:r w:rsidRPr="00A31137">
        <w:t>1990, Cruzan v. Director, MDH, 497 U.S. 312</w:t>
      </w:r>
    </w:p>
    <w:p w:rsidR="00A31137" w:rsidRPr="00A31137" w:rsidRDefault="00A31137" w:rsidP="00A31137">
      <w:r w:rsidRPr="00A31137">
        <w:t>Although the right to be free of unwanted medical intervention, like other constitutionally protected interests, may not be absolute, 12 no State interest could outweigh the rights of an individual in Nancy Cruzan's position. Whatever a State's possible interests in mandating life-support treatment under other circumstances, there is no good to be obtained here by Missouri's insistence that Nancy Cruzan remain on life-support systems if it is indeed her wish not to do so. Missouri does not claim, nor could it, that society as a whole will be benefited by Nancy's receiving medical treatment. [497 U.S. 313] No third party's situation will be improved, and no harm to others will be averted. Cf. nn. |497 U.S. 261fn3/6|6 and |497 U.S. 261fn3/8|8, supra. 13</w:t>
      </w:r>
    </w:p>
    <w:p w:rsidR="00A31137" w:rsidRPr="00A31137" w:rsidRDefault="00A31137" w:rsidP="00A31137">
      <w:r w:rsidRPr="00A31137">
        <w:t>1990, Cruzan v. Director, MDH, 497 U.S. 313</w:t>
      </w:r>
    </w:p>
    <w:p w:rsidR="00A31137" w:rsidRPr="00A31137" w:rsidRDefault="00A31137" w:rsidP="00A31137">
      <w:r w:rsidRPr="00A31137">
        <w:t>The only state interest asserted here is a general interest in the preservation of life. 14 But the State has no legitimate general interest in someone's life, completely abstracted from the interest of the person living that life, that could outweigh the person's choice to avoid medical treatment.</w:t>
      </w:r>
    </w:p>
    <w:p w:rsidR="00A31137" w:rsidRPr="00A31137" w:rsidRDefault="00A31137" w:rsidP="00A31137">
      <w:r w:rsidRPr="00A31137">
        <w:t>1990, Cruzan v. Director, MDH, 497 U.S. 313</w:t>
      </w:r>
    </w:p>
    <w:p w:rsidR="00A31137" w:rsidRPr="00A31137" w:rsidRDefault="00A31137" w:rsidP="00A31137">
      <w:r w:rsidRPr="00A31137">
        <w:t>[T]he regulation of constitutionally protected decisions…must be predicated on legitimate state concerns other than disagreement with the choice the individual has made…. Otherwise, the interest in liberty protected by the Due Process Clause would be a nullity.</w:t>
      </w:r>
    </w:p>
    <w:p w:rsidR="00A31137" w:rsidRPr="00A31137" w:rsidRDefault="00A31137" w:rsidP="00A31137">
      <w:r w:rsidRPr="00A31137">
        <w:t>1990, Cruzan v. Director, MDH, 497 U.S. 313</w:t>
      </w:r>
    </w:p>
    <w:p w:rsidR="00A31137" w:rsidRPr="00A31137" w:rsidRDefault="00A31137" w:rsidP="00A31137">
      <w:r w:rsidRPr="00A31137">
        <w:t>Hodgson v. Minnesota, post, [497 U.S. 314] at 435 (1990) (Opinion of STEVENS, J.) (emphasis added). Thus, the State's general interest in life must accede to Nancy Cruzan's particularized and intense interest in self-determination in her choice of medical treatment. There is simply nothing legitimately within the State's purview to be gained by superseding her decision.</w:t>
      </w:r>
    </w:p>
    <w:p w:rsidR="00A31137" w:rsidRPr="00A31137" w:rsidRDefault="00A31137" w:rsidP="00A31137">
      <w:r w:rsidRPr="00A31137">
        <w:t>1990, Cruzan v. Director, MDH, 497 U.S. 314</w:t>
      </w:r>
    </w:p>
    <w:p w:rsidR="00A31137" w:rsidRPr="00A31137" w:rsidRDefault="00A31137" w:rsidP="00A31137">
      <w:r w:rsidRPr="00A31137">
        <w:t>Moreover, there may be considerable danger that Missouri's rule of decision would impair rather than serve any interest the State does have in sustaining life. Current medical practice recommends use of heroic measures if there is a scintilla of a chance that the patient will recover, on the assumption that the measures will be discontinued should the patient improve. When the President's Commission in 1982 approved the withdrawal of life support equipment from irreversibly vegetative patients, it explained that</w:t>
      </w:r>
    </w:p>
    <w:p w:rsidR="00A31137" w:rsidRPr="00A31137" w:rsidRDefault="00A31137" w:rsidP="00A31137">
      <w:r w:rsidRPr="00A31137">
        <w:t>1990, Cruzan v. Director, MDH, 497 U.S. 314</w:t>
      </w:r>
    </w:p>
    <w:p w:rsidR="00A31137" w:rsidRPr="00A31137" w:rsidRDefault="00A31137" w:rsidP="00A31137">
      <w:r w:rsidRPr="00A31137">
        <w:t>[a]n even more troubling wrong occurs when a treatment that might save life or improve health is not started because the health care personnel are afraid that they will find it very difficult to stop the treatment if, as is fairly likely, it proves to be of little benefit and greatly burdens the patient.</w:t>
      </w:r>
    </w:p>
    <w:p w:rsidR="00A31137" w:rsidRPr="00A31137" w:rsidRDefault="00A31137" w:rsidP="00A31137">
      <w:r w:rsidRPr="00A31137">
        <w:t>1990, Cruzan v. Director, MDH, 497 U.S. 314</w:t>
      </w:r>
    </w:p>
    <w:p w:rsidR="00A31137" w:rsidRPr="00A31137" w:rsidRDefault="00A31137" w:rsidP="00A31137">
      <w:r w:rsidRPr="00A31137">
        <w:t xml:space="preserve">President's Commission 75. A New Jersey court recognized that families as well as doctors might be discouraged by an inability to stop life-support measures from "even attempting certain types of care [which] could thereby force them into hasty and premature decisions to allow a patient to die." In re Conroy, 98 N.J. 321, 370, 486 A.2d 1209, 1234 (1985). See also Brief for American Academy of Neurology as Amicus Curiae 9 (expressing same concern). 15 [497 U.S. 315] </w:t>
      </w:r>
    </w:p>
    <w:p w:rsidR="00A31137" w:rsidRPr="00A31137" w:rsidRDefault="00A31137" w:rsidP="00A31137">
      <w:r w:rsidRPr="00A31137">
        <w:t>III</w:t>
      </w:r>
    </w:p>
    <w:p w:rsidR="00A31137" w:rsidRPr="00A31137" w:rsidRDefault="00A31137" w:rsidP="00A31137">
      <w:r w:rsidRPr="00A31137">
        <w:t>1990, Cruzan v. Director, MDH, 497 U.S. 315</w:t>
      </w:r>
    </w:p>
    <w:p w:rsidR="00A31137" w:rsidRPr="00A31137" w:rsidRDefault="00A31137" w:rsidP="00A31137">
      <w:r w:rsidRPr="00A31137">
        <w:t>This is not to say that the State has no legitimate interests to assert here. As the majority recognizes, ante at 281-282, Missouri has a parens patriae interest in providing Nancy Cruzan, now incompetent, with as accurate as possible a determination of how she would exercise her rights under these circumstances. Second, if and when it is determined that Nancy Cruzan would want to continue treatment, the State may legitimately assert an interest in providing that treatment. But until Nancy's wishes have been determined, [497 U.S. 316] the only state interest that may be asserted is an interest in safe-guarding the accuracy of that determination.</w:t>
      </w:r>
    </w:p>
    <w:p w:rsidR="00A31137" w:rsidRPr="00A31137" w:rsidRDefault="00A31137" w:rsidP="00A31137">
      <w:r w:rsidRPr="00A31137">
        <w:t>1990, Cruzan v. Director, MDH, 497 U.S. 316</w:t>
      </w:r>
    </w:p>
    <w:p w:rsidR="00A31137" w:rsidRPr="00A31137" w:rsidRDefault="00A31137" w:rsidP="00A31137">
      <w:r w:rsidRPr="00A31137">
        <w:t>Accuracy, therefore, must be our touchstone. Missouri may constitutionally impose only those procedural requirements that serve to enhance the accuracy of a determination of Nancy Cruzan's wishes or are at least consistent with an accurate determination. The Missouri "safeguard" that the Court upholds today does not meet that standard. The determination needed in this context is whether the incompetent person would choose to live in a persistent vegetative state on life-support or to avoid this medical treatment. Missouri's rule of decision imposes a markedly asymmetrical evidentiary burden. Only evidence of specific statements of treatment choice made by the patient when competent is admissible to support a finding that the patient, now in a persistent vegetative state, would wish to avoid further medical treatment. Moreover, this evidence must be clear and convincing. No proof is required to support a finding that the incompetent person would wish to continue treatment.</w:t>
      </w:r>
    </w:p>
    <w:p w:rsidR="00A31137" w:rsidRPr="00A31137" w:rsidRDefault="00A31137" w:rsidP="00A31137">
      <w:r w:rsidRPr="00A31137">
        <w:t>A</w:t>
      </w:r>
    </w:p>
    <w:p w:rsidR="00A31137" w:rsidRPr="00A31137" w:rsidRDefault="00A31137" w:rsidP="00A31137">
      <w:r w:rsidRPr="00A31137">
        <w:t>1990, Cruzan v. Director, MDH, 497 U.S. 316</w:t>
      </w:r>
    </w:p>
    <w:p w:rsidR="00A31137" w:rsidRPr="00A31137" w:rsidRDefault="00A31137" w:rsidP="00A31137">
      <w:r w:rsidRPr="00A31137">
        <w:t>The majority offers several justifications for Missouri's heightened evidentiary standard. First, the majority explains that the State may constitutionally adopt this rule to govern determinations of an incompetent's wishes in order to advance the State's substantive interests, including its unqualified interest in the preservation of human life. See ante at 282-283 and n. 10. Missouri's evidentiary standard, however, cannot rest on the State's own interest in a particular substantive result. To be sure, courts have long erected clear and convincing evidence standards to place the greater risk of erroneous decisions on those bringing disfavored claims. 16 In such cases, however, the choice to discourage [497 U.S. 317] certain claims was a legitimate, constitutional policy choice. In contrast, Missouri has no such power to disfavor a choice by Nancy Cruzan to avoid medical treatment, because Missouri has no legitimate interest in providing Nancy with treatment until it is established that this represents her choice. See supra at 312-314. Just as a State may not override Nancy's choice directly, it may not do so indirectly through the imposition of a procedural rule.</w:t>
      </w:r>
    </w:p>
    <w:p w:rsidR="00A31137" w:rsidRPr="00A31137" w:rsidRDefault="00A31137" w:rsidP="00A31137">
      <w:r w:rsidRPr="00A31137">
        <w:t>1990, Cruzan v. Director, MDH, 497 U.S. 317</w:t>
      </w:r>
    </w:p>
    <w:p w:rsidR="00A31137" w:rsidRPr="00A31137" w:rsidRDefault="00A31137" w:rsidP="00A31137">
      <w:r w:rsidRPr="00A31137">
        <w:t xml:space="preserve">Second, the majority offers two explanations for why Missouri's clear and convincing evidence standard is a means of enhancing accuracy, but neither is persuasive. The majority initially argues that a clear and convincing evidence standard is necessary to compensate for the possibility that such proceedings will lack the "guarantee of accurate factfinding that the adversary process brings with it," citing Ohio v. Akron Center for Reproductive Health, post at 515-516 (upholding a clear and convincing evidence standard for an ex parte proceeding). Ante at 281-282. Without supporting the Court's decision in that case, I note that the proceeding to determine an incompetent's wishes is quite different from a proceeding to determine whether a minor may bypass notifying her parents before undergoing an abortion on the ground that she is mature enough to make the decision or that the abortion is in her best interests. [497 U.S. 318] </w:t>
      </w:r>
    </w:p>
    <w:p w:rsidR="00A31137" w:rsidRPr="00A31137" w:rsidRDefault="00A31137" w:rsidP="00A31137">
      <w:r w:rsidRPr="00A31137">
        <w:t>1990, Cruzan v. Director, MDH, 497 U.S. 318</w:t>
      </w:r>
    </w:p>
    <w:p w:rsidR="00A31137" w:rsidRPr="00A31137" w:rsidRDefault="00A31137" w:rsidP="00A31137">
      <w:r w:rsidRPr="00A31137">
        <w:t>An adversarial proceeding is of particular importance when one side has a strong personal interest which needs to be counterbalanced to assure the court that the questions will be fully explored. A minor who has a strong interest in obtaining permission for an abortion without notifying her parents may come forward whether or not society would be satisfied that she has made the decision with the seasoned judgment of an adult. The proceeding here is of a different nature. Barring venal motives, which a trial court has the means of ferreting out, the decision to come forward to request a judicial order to stop treatment represents a slowly and carefully considered resolution by at least one adult and more frequently several adults that discontinuation of treatment is the patient's wish.</w:t>
      </w:r>
    </w:p>
    <w:p w:rsidR="00A31137" w:rsidRPr="00A31137" w:rsidRDefault="00A31137" w:rsidP="00A31137">
      <w:r w:rsidRPr="00A31137">
        <w:t>1990, Cruzan v. Director, MDH, 497 U.S. 318</w:t>
      </w:r>
    </w:p>
    <w:p w:rsidR="00A31137" w:rsidRPr="00A31137" w:rsidRDefault="00A31137" w:rsidP="00A31137">
      <w:r w:rsidRPr="00A31137">
        <w:t>In addition, the bypass procedure at issue in Akron, supra, is ex parte and secret. The court may not notify the minor's parents, siblings or friends. No one may be present to submit evidence unless brought forward by the minor herself. In contrast, the proceeding to determine Nancy Cruzan's wishes was neither ex parte nor secret. In a hearing to determine the treatment preferences of an incompetent person, a court is not limited to adjusting burdens of proof as its only means of protecting against a possible imbalance. Indeed, any concern that those who come forward will present a one-sided view would be better addressed by appointing a guardian ad litem, who could use the State's powers of discovery to gather and present evidence regarding the patient's wishes. A guardian ad litem's task is to uncover any conflicts of interest and ensure that each party likely to have relevant evidence is consulted and brought forward—for example, other members of the family, friends, clergy, and doctors. See, e.g., In re Colyer, 99 Wash.2d 114, 133, 660 P.2d 738, 748-749 (1983). Missouri's heightened evidentiary standard attempts to achieve balance by discounting evidence; the guardian ad litem technique achieves balance by probing for additional evidence. Where, as here, the family members, [497 U.S. 319] friends, doctors and guardian ad litem agree, it is not because the process has failed, as the majority suggests. See ante at 281, n. 9. It is because there is no genuine dispute as to Nancy's preference.</w:t>
      </w:r>
    </w:p>
    <w:p w:rsidR="00A31137" w:rsidRPr="00A31137" w:rsidRDefault="00A31137" w:rsidP="00A31137">
      <w:r w:rsidRPr="00A31137">
        <w:t>1990, Cruzan v. Director, MDH, 497 U.S. 319</w:t>
      </w:r>
    </w:p>
    <w:p w:rsidR="00A31137" w:rsidRPr="00A31137" w:rsidRDefault="00A31137" w:rsidP="00A31137">
      <w:r w:rsidRPr="00A31137">
        <w:t>The majority next argues that where, as here, important individual rights are at stake, a clear and convincing evidence standard has long been held to be an appropriate means of enhancing accuracy, citing decisions concerning what process an individual is due before he can be deprived of a liberty interest. See ante at  283. In those cases, however, this Court imposed a clear and convincing standard as a constitutional minimum on the basis of its evaluation that one side's interests clearly outweighed the second side's interests, and therefore the second side should bear the risk of error. See Santosky v. Kramer, 455 U.S. 745, 753, 766-767 (1982) (requiring a clear and convincing evidence standard for termination of parental rights because the parent's interest is fundamental, but the State has no legitimate interest in termination unless the parent is unfit, and finding that the State's interest in finding the best home for the child does not arise until the parent has been found unfit); Addington v. Texas, 441 U.S. 418, 426-427 (1979) (requiring clear and convincing evidence in an involuntary commitment hearing because the interest of the individual far outweighs that of a State, which has no legitimate interest in confining individuals who are not mentally ill and do not pose a danger to themselves or others). Moreover, we have always recognized that shifting the risk of error reduces the likelihood of errors in one direction at the cost of increasing the likelihood of errors in the other. See Addington, supra, at 423 (contrasting heightened standards of proof to a preponderance standard in which the two sides "share the risk of error in roughly equal fashion" because society does not favor one outcome over the other). In the cases cited by the majority, the imbalance imposed by a heightened evidentiary standard was not only acceptable, but required because the standard was deployed to protect an individual's [497 U.S. 320] exercise of a fundamental right, as the majority admits, ante at 282-283, n. 10. In contrast, the Missouri court imposed a clear and convincing standard as an obstacle to the exercise of a fundamental right.</w:t>
      </w:r>
    </w:p>
    <w:p w:rsidR="00A31137" w:rsidRPr="00A31137" w:rsidRDefault="00A31137" w:rsidP="00A31137">
      <w:r w:rsidRPr="00A31137">
        <w:t>1990, Cruzan v. Director, MDH, 497 U.S. 320</w:t>
      </w:r>
    </w:p>
    <w:p w:rsidR="00A31137" w:rsidRPr="00A31137" w:rsidRDefault="00A31137" w:rsidP="00A31137">
      <w:r w:rsidRPr="00A31137">
        <w:t>The majority claims that the allocation of the risk of error is justified because it is more important not to terminate life-support for someone who would wish it continued than to honor the wishes of someone who would not. An erroneous decision to terminate life-support is irrevocable, says the majority, while an erroneous decision not to terminate "results in a maintenance of the status quo." See ante at  283. 17 But, from the point of view of the patient, an erroneous decision in either direction is irrevocable. An erroneous decision to terminate artificial nutrition and hydration, to be sure, will lead to failure of that last remnant of physiological life, the brain stem, and result in complete brain death. An erroneous decision not to terminate life-support, however, robs a patient of the very qualities protected by the right to avoid unwanted medical treatment. His own degraded existence is perpetuated; his family's suffering is protracted; the memory he leaves behind becomes more and more distorted.</w:t>
      </w:r>
    </w:p>
    <w:p w:rsidR="00A31137" w:rsidRPr="00A31137" w:rsidRDefault="00A31137" w:rsidP="00A31137">
      <w:r w:rsidRPr="00A31137">
        <w:t>1990, Cruzan v. Director, MDH, 497 U.S. 320</w:t>
      </w:r>
    </w:p>
    <w:p w:rsidR="00A31137" w:rsidRPr="00A31137" w:rsidRDefault="00A31137" w:rsidP="00A31137">
      <w:r w:rsidRPr="00A31137">
        <w:t>Even a later decision to grant him his wish cannot undo the intervening harm. But a later decision is unlikely in any event. "[T]he discovery of new evidence," to which the majority [497 U.S. 321] refers, ibid., is more hypothetical than plausible. The majority also misconceives the relevance of the possibility of "advancements in medical science," ibid., by treating it as a reason to force someone to continue medical treatment against his will. The possibility of a medical miracle is indeed part of the calculus, but it is a part of the patient's calculus. If current research suggests that some hope for cure or even moderate improvement is possible within the life-span projected, this is a factor that should be and would be accorded significant weight in assessing what the patient himself would choose. 18</w:t>
      </w:r>
    </w:p>
    <w:p w:rsidR="00A31137" w:rsidRPr="00A31137" w:rsidRDefault="00A31137" w:rsidP="00A31137">
      <w:r w:rsidRPr="00A31137">
        <w:t>B</w:t>
      </w:r>
    </w:p>
    <w:p w:rsidR="00A31137" w:rsidRPr="00A31137" w:rsidRDefault="00A31137" w:rsidP="00A31137">
      <w:r w:rsidRPr="00A31137">
        <w:t>1990, Cruzan v. Director, MDH, 497 U.S. 321</w:t>
      </w:r>
    </w:p>
    <w:p w:rsidR="00A31137" w:rsidRPr="00A31137" w:rsidRDefault="00A31137" w:rsidP="00A31137">
      <w:r w:rsidRPr="00A31137">
        <w:t>Even more than its heightened evidentiary standard, the Missouri court's categorical exclusion of relevant evidence dispenses with any semblance of accurate factfinding. The court adverted to no evidence supporting its decision, but held that no clear and convincing, inherently reliable evidence had been presented to show that Nancy would want to avoid further treatment. In doing so, the court failed to consider statements Nancy had made to family members and a close friend. 19 The court also failed to consider testimony [497 U.S. 322] from Nancy's mother and sister that they were certain that Nancy would want to discontinue to artificial nutrition and hydration, 20 even after the court found that Nancy's family was loving and without malignant motive. See 760 S.W.2d at 412. The court also failed to consider the conclusions of the guardian ad litem, appointed by the trial court, that there was clear and convincing evidence that Nancy would want to [497 U.S. 323] discontinue medical treatment and that this was in her best interests. Id. at 444 (Higgins, J., dissenting from denial of rehearing); Brief for Respondent Guardian ad litem 2-3. The court did not specifically define what kind of evidence it would consider clear and convincing, but its general discussion suggests that only a living will or equivalently formal directive from the patient when competent would meet this standard. See 760 S.W.2d at 424-425.</w:t>
      </w:r>
    </w:p>
    <w:p w:rsidR="00A31137" w:rsidRPr="00A31137" w:rsidRDefault="00A31137" w:rsidP="00A31137">
      <w:r w:rsidRPr="00A31137">
        <w:t>1990, Cruzan v. Director, MDH, 497 U.S. 323</w:t>
      </w:r>
    </w:p>
    <w:p w:rsidR="00A31137" w:rsidRPr="00A31137" w:rsidRDefault="00A31137" w:rsidP="00A31137">
      <w:r w:rsidRPr="00A31137">
        <w:t xml:space="preserve">Too few people execute living wills or equivalently formal directives for such an evidentiary rule to ensure adequately that the wishes of incompetent persons will be honored. 21 While it might be a wise social policy to encourage people to furnish such instructions, no general conclusion about a patient's choice can be drawn from the absence of formalities. The probability of becoming irreversibly vegetative is so low that many people may not feel an urgency to marshal formal evidence of their preferences. Some may not wish to dwell on their own physical deterioration and mortality. Even someone with a resolute determination to avoid life-support under circumstances such as Nancy's would still need to know that such things as living wills exist and how to execute one. Often legal help would be necessary, especially given the majority's apparent willingness to permit States to insist that a person's wishes are not truly known unless the particular medical treatment is specified. See ante at  285. [497 U.S. 324] </w:t>
      </w:r>
    </w:p>
    <w:p w:rsidR="00A31137" w:rsidRPr="00A31137" w:rsidRDefault="00A31137" w:rsidP="00A31137">
      <w:r w:rsidRPr="00A31137">
        <w:t>1990, Cruzan v. Director, MDH, 497 U.S. 324</w:t>
      </w:r>
    </w:p>
    <w:p w:rsidR="00A31137" w:rsidRPr="00A31137" w:rsidRDefault="00A31137" w:rsidP="00A31137">
      <w:r w:rsidRPr="00A31137">
        <w:t>As a California appellate court observed:</w:t>
      </w:r>
    </w:p>
    <w:p w:rsidR="00A31137" w:rsidRPr="00A31137" w:rsidRDefault="00A31137" w:rsidP="00A31137">
      <w:r w:rsidRPr="00A31137">
        <w:t>1990, Cruzan v. Director, MDH, 497 U.S. 324</w:t>
      </w:r>
    </w:p>
    <w:p w:rsidR="00A31137" w:rsidRPr="00A31137" w:rsidRDefault="00A31137" w:rsidP="00A31137">
      <w:r w:rsidRPr="00A31137">
        <w:t>The lack of generalized public awareness of the statutory scheme and the typically human characteristics of procrastination and reluctance to contemplate the need for such arrangements however makes this a tool which will all too often go unused by those who might desire it.</w:t>
      </w:r>
    </w:p>
    <w:p w:rsidR="00A31137" w:rsidRPr="00A31137" w:rsidRDefault="00A31137" w:rsidP="00A31137">
      <w:r w:rsidRPr="00A31137">
        <w:t>1990, Cruzan v. Director, MDH, 497 U.S. 324</w:t>
      </w:r>
    </w:p>
    <w:p w:rsidR="00A31137" w:rsidRPr="00A31137" w:rsidRDefault="00A31137" w:rsidP="00A31137">
      <w:r w:rsidRPr="00A31137">
        <w:t>Barber v. Superior Court, 147 Cal.App.3d 1006, 1015, 195 Cal.Rptr. 484, 489 (1983). When a person tells family or close friends that she does not want her life sustained artificially, she is</w:t>
      </w:r>
    </w:p>
    <w:p w:rsidR="00A31137" w:rsidRPr="00A31137" w:rsidRDefault="00A31137" w:rsidP="00A31137">
      <w:r w:rsidRPr="00A31137">
        <w:t>1990, Cruzan v. Director, MDH, 497 U.S. 324</w:t>
      </w:r>
    </w:p>
    <w:p w:rsidR="00A31137" w:rsidRPr="00A31137" w:rsidRDefault="00A31137" w:rsidP="00A31137">
      <w:r w:rsidRPr="00A31137">
        <w:t>express[ing] her wishes in the only terms familiar to her, and…as clearly as a lay person should be asked to express them. To require more is unrealistic, and for all practical purposes, it precludes the rights of patients to forego life-sustaining treatment.</w:t>
      </w:r>
    </w:p>
    <w:p w:rsidR="00A31137" w:rsidRPr="00A31137" w:rsidRDefault="00A31137" w:rsidP="00A31137">
      <w:r w:rsidRPr="00A31137">
        <w:t>1990, Cruzan v. Director, MDH, 497 U.S. 324</w:t>
      </w:r>
    </w:p>
    <w:p w:rsidR="00A31137" w:rsidRPr="00A31137" w:rsidRDefault="00A31137" w:rsidP="00A31137">
      <w:r w:rsidRPr="00A31137">
        <w:t>In re O'Connor, 72 N.Y.2d 517, 551, 534 N.Y.S.2d 886, 905, 531 N.E.2d 607, 626 (1988) (Simons, J., dissenting). 22 When Missouri enacted a living will statute, it specifically provided that the absence of a living will does not warrant a presumption that a patient wishes continued medical treatment. See |497 U.S. 261fn3/15|n. 15, supra. [497 U.S. 325] Thus, apparently not even Missouri's own legislature believes that a person who does not execute a living will fails to do so because he wishes continuous medical treatment under all circumstances.</w:t>
      </w:r>
    </w:p>
    <w:p w:rsidR="00A31137" w:rsidRPr="00A31137" w:rsidRDefault="00A31137" w:rsidP="00A31137">
      <w:r w:rsidRPr="00A31137">
        <w:t>1990, Cruzan v. Director, MDH, 497 U.S. 325</w:t>
      </w:r>
    </w:p>
    <w:p w:rsidR="00A31137" w:rsidRPr="00A31137" w:rsidRDefault="00A31137" w:rsidP="00A31137">
      <w:r w:rsidRPr="00A31137">
        <w:t>The testimony of close friends and family members, on the other hand, may often be the best evidence available of what the patient's choice would be. It is they with whom the patient most likely will have discussed such questions and they who know the patient best. "Family members have a unique knowledge of the patient which is vital to any decision on his or her behalf." Newman, Treatment Refusals for the Critically and Terminally Ill: Proposed Rules for the Family, the Physician, and the State, 3 N.Y.L.S. Human Rights Annual 35, 46 (1985). The Missouri court's decision to ignore this whole category of testimony is also at odds with the practices of other States. See, e.g., In re Peter, 108 N.J. 365, 529 A.2d 419 (1987); Brophy v. New England Sinai Hospital, Inc., 398 Mass. 417, 497 N.E.2d 626 (1986); In re Severns, 425 A.2d 156 (Del.Ch.1980).</w:t>
      </w:r>
    </w:p>
    <w:p w:rsidR="00A31137" w:rsidRPr="00A31137" w:rsidRDefault="00A31137" w:rsidP="00A31137">
      <w:r w:rsidRPr="00A31137">
        <w:t>1990, Cruzan v. Director, MDH, 497 U.S. 325</w:t>
      </w:r>
    </w:p>
    <w:p w:rsidR="00A31137" w:rsidRPr="00A31137" w:rsidRDefault="00A31137" w:rsidP="00A31137">
      <w:r w:rsidRPr="00A31137">
        <w:t>The Missouri court's disdain for Nancy's statements in serious conversations not long before her accident, for the opinions of Nancy's family and friends as to her values, beliefs and certain choice, and even for the opinion of an outside objective factfinder appointed by the State, evinces a disdain for Nancy Cruzan's own right to choose. The rules by which an incompetent person's wishes are determined must represent every effort to determine those wishes. The rule that the Missouri court adopted and that this Court upholds, however, skews the result away from a determination that as accurately as possible reflects the individual's own preferences and beliefs. It is a rule that transforms human beings into passive subjects of medical technology.</w:t>
      </w:r>
    </w:p>
    <w:p w:rsidR="00A31137" w:rsidRPr="00A31137" w:rsidRDefault="00A31137" w:rsidP="00A31137">
      <w:r w:rsidRPr="00A31137">
        <w:t>1990, Cruzan v. Director, MDH, 497 U.S. 325</w:t>
      </w:r>
    </w:p>
    <w:p w:rsidR="00A31137" w:rsidRPr="00A31137" w:rsidRDefault="00A31137" w:rsidP="00A31137">
      <w:r w:rsidRPr="00A31137">
        <w:t>[M]edical care decisions must be guided by the individual patient's interests and values. Allowing persons to determine their own medical treatment is an important way in which society respects persons as individuals. [497 U.S. 326] Moreover, the respect due to persons as individuals does not diminish simply because they have become incapable of participating in treatment decisions…. [I]t is still possible for others to make a decision that reflects [the patient's] interests more closely than would a purely technological decision to do whatever is possible. Lacking the ability to decide, [a patient] has a right to a decision that takes his interests into account.</w:t>
      </w:r>
    </w:p>
    <w:p w:rsidR="00A31137" w:rsidRPr="00A31137" w:rsidRDefault="00A31137" w:rsidP="00A31137">
      <w:r w:rsidRPr="00A31137">
        <w:t>1990, Cruzan v. Director, MDH, 497 U.S. 326</w:t>
      </w:r>
    </w:p>
    <w:p w:rsidR="00A31137" w:rsidRPr="00A31137" w:rsidRDefault="00A31137" w:rsidP="00A31137">
      <w:r w:rsidRPr="00A31137">
        <w:t>In re Drabick, 200 Cal.App.3d 185, 208, 245 Cal.Rptr. 840, 854-855 (1988).</w:t>
      </w:r>
    </w:p>
    <w:p w:rsidR="00A31137" w:rsidRPr="00A31137" w:rsidRDefault="00A31137" w:rsidP="00A31137">
      <w:r w:rsidRPr="00A31137">
        <w:t>C</w:t>
      </w:r>
    </w:p>
    <w:p w:rsidR="00A31137" w:rsidRPr="00A31137" w:rsidRDefault="00A31137" w:rsidP="00A31137">
      <w:r w:rsidRPr="00A31137">
        <w:t>1990, Cruzan v. Director, MDH, 497 U.S. 326</w:t>
      </w:r>
    </w:p>
    <w:p w:rsidR="00A31137" w:rsidRPr="00A31137" w:rsidRDefault="00A31137" w:rsidP="00A31137">
      <w:r w:rsidRPr="00A31137">
        <w:t>I do not suggest that States must sit by helplessly if the choices of incompetent patients are in danger of being ignored. See ante at  281. Even if the Court had ruled that Missouri's rule of decision is unconstitutional, as I believe it should have, States would nevertheless remain free to fashion procedural protections to safeguard the interests of incompetents under these circumstances. The Constitution provides merely a framework here: protections must be genuinely aimed at ensuring decisions commensurate with the will of the patient, and must be reliable as instruments to that end. Of the many States which have instituted such protections, Missouri is virtually the only one to have fashioned a rule that lessens the likelihood of accurate determinations. In contrast, nothing in the Constitution prevents States from reviewing the advisability of a family decision by requiring a court proceeding or by appointing an impartial guardian ad litem.</w:t>
      </w:r>
    </w:p>
    <w:p w:rsidR="00A31137" w:rsidRPr="00A31137" w:rsidRDefault="00A31137" w:rsidP="00A31137">
      <w:r w:rsidRPr="00A31137">
        <w:t>1990, Cruzan v. Director, MDH, 497 U.S. 326</w:t>
      </w:r>
    </w:p>
    <w:p w:rsidR="00A31137" w:rsidRPr="00A31137" w:rsidRDefault="00A31137" w:rsidP="00A31137">
      <w:r w:rsidRPr="00A31137">
        <w:t>There are various approaches to determining an incompetent patient's treatment choice in use by the several States today, and there may be advantages and disadvantages to each, and other approaches not yet envisioned. The choice, in largest part, is and should be left to the States, so long as each State is seeking, in a reliable manner, to discover what the patient would want. But with such momentous interests in the balance, States must avoid procedures that will prejudice [497 U.S. 327] the decision.</w:t>
      </w:r>
    </w:p>
    <w:p w:rsidR="00A31137" w:rsidRPr="00A31137" w:rsidRDefault="00A31137" w:rsidP="00A31137">
      <w:r w:rsidRPr="00A31137">
        <w:t>1990, Cruzan v. Director, MDH, 497 U.S. 327</w:t>
      </w:r>
    </w:p>
    <w:p w:rsidR="00A31137" w:rsidRPr="00A31137" w:rsidRDefault="00A31137" w:rsidP="00A31137">
      <w:r w:rsidRPr="00A31137">
        <w:t>To err either way—to keep a person alive under circumstances under which he would rather have been allowed to die, or to allow that person to die when he would have chosen to cling to life—would be deeply unfortunate.</w:t>
      </w:r>
    </w:p>
    <w:p w:rsidR="00A31137" w:rsidRPr="00A31137" w:rsidRDefault="00A31137" w:rsidP="00A31137">
      <w:r w:rsidRPr="00A31137">
        <w:t>1990, Cruzan v. Director, MDH, 497 U.S. 327</w:t>
      </w:r>
    </w:p>
    <w:p w:rsidR="00A31137" w:rsidRPr="00A31137" w:rsidRDefault="00A31137" w:rsidP="00A31137">
      <w:r w:rsidRPr="00A31137">
        <w:t>In re Conroy, 98 N.J. at 343, 486 A.2d at 1 220.</w:t>
      </w:r>
    </w:p>
    <w:p w:rsidR="00A31137" w:rsidRPr="00A31137" w:rsidRDefault="00A31137" w:rsidP="00A31137">
      <w:r w:rsidRPr="00A31137">
        <w:t>D</w:t>
      </w:r>
    </w:p>
    <w:p w:rsidR="00A31137" w:rsidRPr="00A31137" w:rsidRDefault="00A31137" w:rsidP="00A31137">
      <w:r w:rsidRPr="00A31137">
        <w:t>1990, Cruzan v. Director, MDH, 497 U.S. 327</w:t>
      </w:r>
    </w:p>
    <w:p w:rsidR="00A31137" w:rsidRPr="00A31137" w:rsidRDefault="00A31137" w:rsidP="00A31137">
      <w:r w:rsidRPr="00A31137">
        <w:t>Finally, I cannot agree with the majority that where it is not possible to determine what choice an incompetent patient would make, a State's role as parens patriae permits the State automatically to make that choice itself. See ante at  286 (explaining that the Due Process Clause does not require a State to confide the decision to "anyone but the patient herself"). Under fair rules of evidence, it is improbable that a court could not determine what the patient's choice would be. Under the rule of decision adopted by Missouri and upheld today by this Court, such occasions might be numerous. But in neither case does it follow that it is constitutionally acceptable for the State invariably to assume the role of deciding for the patient. A State's legitimate interest in safeguarding a patient's choice cannot be furthered by simply appropriating it.</w:t>
      </w:r>
    </w:p>
    <w:p w:rsidR="00A31137" w:rsidRPr="00A31137" w:rsidRDefault="00A31137" w:rsidP="00A31137">
      <w:r w:rsidRPr="00A31137">
        <w:t>1990, Cruzan v. Director, MDH, 497 U.S. 327</w:t>
      </w:r>
    </w:p>
    <w:p w:rsidR="00A31137" w:rsidRPr="00A31137" w:rsidRDefault="00A31137" w:rsidP="00A31137">
      <w:r w:rsidRPr="00A31137">
        <w:t>The majority justifies its position by arguing that, while close family members may have a strong feeling about the question,</w:t>
      </w:r>
    </w:p>
    <w:p w:rsidR="00A31137" w:rsidRPr="00A31137" w:rsidRDefault="00A31137" w:rsidP="00A31137">
      <w:r w:rsidRPr="00A31137">
        <w:t>1990, Cruzan v. Director, MDH, 497 U.S. 327</w:t>
      </w:r>
    </w:p>
    <w:p w:rsidR="00A31137" w:rsidRPr="00A31137" w:rsidRDefault="00A31137" w:rsidP="00A31137">
      <w:r w:rsidRPr="00A31137">
        <w:t>there is no automatic assurance that the view of close family members will necessarily be the same as the patient's would have been had she been confronted with the prospect of her situation while competent.</w:t>
      </w:r>
    </w:p>
    <w:p w:rsidR="00A31137" w:rsidRPr="00A31137" w:rsidRDefault="00A31137" w:rsidP="00A31137">
      <w:r w:rsidRPr="00A31137">
        <w:t>1990, Cruzan v. Director, MDH, 497 U.S. 327</w:t>
      </w:r>
    </w:p>
    <w:p w:rsidR="00A31137" w:rsidRPr="00A31137" w:rsidRDefault="00A31137" w:rsidP="00A31137">
      <w:r w:rsidRPr="00A31137">
        <w:t>Ibid. I cannot quarrel with this observation. But it leads only to another question: Is there any reason to suppose that a State is more likely to make the choice that the patient would have made than someone who knew the patient intimately? To ask this is to answer it. As the New Jersey Supreme Court observed:</w:t>
      </w:r>
    </w:p>
    <w:p w:rsidR="00A31137" w:rsidRPr="00A31137" w:rsidRDefault="00A31137" w:rsidP="00A31137">
      <w:r w:rsidRPr="00A31137">
        <w:t>1990, Cruzan v. Director, MDH, 497 U.S. 327</w:t>
      </w:r>
    </w:p>
    <w:p w:rsidR="00A31137" w:rsidRPr="00A31137" w:rsidRDefault="00A31137" w:rsidP="00A31137">
      <w:r w:rsidRPr="00A31137">
        <w:t>Family members are best qualified to make substituted judgments for incompetent patients not only because of their peculiar grasp of the patient's approach to life, but also [497 U.S. 328] because of their special bonds with him or her…. It is…they who treat the patient as a person, rather than a symbol of a cause.</w:t>
      </w:r>
    </w:p>
    <w:p w:rsidR="00A31137" w:rsidRPr="00A31137" w:rsidRDefault="00A31137" w:rsidP="00A31137">
      <w:r w:rsidRPr="00A31137">
        <w:t>1990, Cruzan v. Director, MDH, 497 U.S. 328</w:t>
      </w:r>
    </w:p>
    <w:p w:rsidR="00A31137" w:rsidRPr="00A31137" w:rsidRDefault="00A31137" w:rsidP="00A31137">
      <w:r w:rsidRPr="00A31137">
        <w:t>In re Jobes, 108 N.J. 394, 416, 529 A.2d 434, 445 (1987). The State, in contrast, is a stranger to the patient.</w:t>
      </w:r>
    </w:p>
    <w:p w:rsidR="00A31137" w:rsidRPr="00A31137" w:rsidRDefault="00A31137" w:rsidP="00A31137">
      <w:r w:rsidRPr="00A31137">
        <w:t>1990, Cruzan v. Director, MDH, 497 U.S. 328</w:t>
      </w:r>
    </w:p>
    <w:p w:rsidR="00A31137" w:rsidRPr="00A31137" w:rsidRDefault="00A31137" w:rsidP="00A31137">
      <w:r w:rsidRPr="00A31137">
        <w:t>A State's inability to discern an incompetent patient's choice still need not mean that a State is rendered powerless to protect that choice. But I would find that the Due Process Clause prohibits a State from doing more than that. A State may ensure that the person who makes the decision on the patient's behalf is the one whom the patient himself would have selected to make that choice for him. And a State may exclude from consideration anyone having improper motives. But a State generally must either repose the choice with the person whom the patient himself would most likely have chosen as proxy or leave the decision to the patient's family. 23</w:t>
      </w:r>
    </w:p>
    <w:p w:rsidR="00A31137" w:rsidRPr="00A31137" w:rsidRDefault="00A31137" w:rsidP="00A31137">
      <w:r w:rsidRPr="00A31137">
        <w:t>IV</w:t>
      </w:r>
    </w:p>
    <w:p w:rsidR="00A31137" w:rsidRPr="00A31137" w:rsidRDefault="00A31137" w:rsidP="00A31137">
      <w:r w:rsidRPr="00A31137">
        <w:t>1990, Cruzan v. Director, MDH, 497 U.S. 328</w:t>
      </w:r>
    </w:p>
    <w:p w:rsidR="00A31137" w:rsidRPr="00A31137" w:rsidRDefault="00A31137" w:rsidP="00A31137">
      <w:r w:rsidRPr="00A31137">
        <w:t>As many as 10,000 patients are being maintained in persistent vegetative states in the United States, and the number is expected to increase significantly in the near future. See Cranford, supra, n. 2, at 27, 31. Medical technology, developed over the past 20 or so years, is often capable of resuscitating people after they have stopped breathing or their hearts have stopped beating. Some of those people are brought fully back to life. Two decades ago, those who were not and could not swallow and digest food died. Intravenous solutions could not provide sufficient calories to maintain people for more than a short time. Today, various forms of artificial feeding have been developed that are able to keep people metabolically alive for years, even decades. See Spencer &amp; Palmisano, Specialized Nutritional Support of [497 U.S. 329] Patients—A Hospital's Legal Duty?, 11 Quality Rev.Bull. 160, 160-161 (1985). In addition, in this century, chronic or degenerative ailments have replaced communicable diseases as the primary causes of death. See R. Weir, Abating Treatment with Critically Ill Patients 12-13 (1989); President's Commission 15-16. The 80% of Americans who die in hospitals are</w:t>
      </w:r>
    </w:p>
    <w:p w:rsidR="00A31137" w:rsidRPr="00A31137" w:rsidRDefault="00A31137" w:rsidP="00A31137">
      <w:r w:rsidRPr="00A31137">
        <w:t>1990, Cruzan v. Director, MDH, 497 U.S. 329</w:t>
      </w:r>
    </w:p>
    <w:p w:rsidR="00A31137" w:rsidRPr="00A31137" w:rsidRDefault="00A31137" w:rsidP="00A31137">
      <w:r w:rsidRPr="00A31137">
        <w:t>likely to meet their end…"in a sedated or comatose state; betubed nasally, abdominally and intravenously; and far more like manipulated objects than like moral subjects." 24 A fifth of all adults surviving to age 80 will suffer a progressive dementing disorder prior to death. See Cohen &amp; Eisdorfer, Dementing Disorders, in The Practice of Geriatrics 194 (E. Calkins, P. Davis, &amp; A, Ford eds. 1986).</w:t>
      </w:r>
    </w:p>
    <w:p w:rsidR="00A31137" w:rsidRPr="00A31137" w:rsidRDefault="00A31137" w:rsidP="00A31137">
      <w:r w:rsidRPr="00A31137">
        <w:t>1990, Cruzan v. Director, MDH, 497 U.S. 329</w:t>
      </w:r>
    </w:p>
    <w:p w:rsidR="00A31137" w:rsidRPr="00A31137" w:rsidRDefault="00A31137" w:rsidP="00A31137">
      <w:r w:rsidRPr="00A31137">
        <w:t>[L]aw, equity and justice must not themselves quail and be helpless in the face of modern technological marvels presenting questions hitherto unthought-of.</w:t>
      </w:r>
    </w:p>
    <w:p w:rsidR="00A31137" w:rsidRPr="00A31137" w:rsidRDefault="00A31137" w:rsidP="00A31137">
      <w:r w:rsidRPr="00A31137">
        <w:t>1990, Cruzan v. Director, MDH, 497 U.S. 329</w:t>
      </w:r>
    </w:p>
    <w:p w:rsidR="00A31137" w:rsidRPr="00A31137" w:rsidRDefault="00A31137" w:rsidP="00A31137">
      <w:r w:rsidRPr="00A31137">
        <w:t>In re Quinlan, 70 N.J. 10, 44, 355 A.2d 647, 665, cert. denied, 429 U.S. 922 (1976). The new medical technology can reclaim those who would have been irretrievably lost a few decades ago and restore them to active lives. For Nancy Cruzan, it failed, and for others with wasting incurable disease it may be doomed to failure. In these unfortunate situations, the bodies and preferences and memories of the victims do not escheat to the State; nor does our Constitution permit the State or any other government to commandeer them. No singularity of feeling exists upon which such a government might confidently rely as parens patriae. The President's Commission, after years of research, concluded:</w:t>
      </w:r>
    </w:p>
    <w:p w:rsidR="00A31137" w:rsidRPr="00A31137" w:rsidRDefault="00A31137" w:rsidP="00A31137">
      <w:r w:rsidRPr="00A31137">
        <w:t>1990, Cruzan v. Director, MDH, 497 U.S. 329</w:t>
      </w:r>
    </w:p>
    <w:p w:rsidR="00A31137" w:rsidRPr="00A31137" w:rsidRDefault="00A31137" w:rsidP="00A31137">
      <w:r w:rsidRPr="00A31137">
        <w:t>In few areas of health care are people's evaluations of their experiences so varied and uniquely personal as in their assessments of the nature and value of the processes associated with dying. For some, every moment of life is of inestimable value; for others, life without [497 U.S. 330] some desired level of mental or physical ability is worthless or burdensome. A moderate degree of suffering may be an important means of personal growth and religious experience to one person, but only frightening or despicable to another.</w:t>
      </w:r>
    </w:p>
    <w:p w:rsidR="00A31137" w:rsidRPr="00A31137" w:rsidRDefault="00A31137" w:rsidP="00A31137">
      <w:r w:rsidRPr="00A31137">
        <w:t>1990, Cruzan v. Director, MDH, 497 U.S. 330</w:t>
      </w:r>
    </w:p>
    <w:p w:rsidR="00A31137" w:rsidRPr="00A31137" w:rsidRDefault="00A31137" w:rsidP="00A31137">
      <w:r w:rsidRPr="00A31137">
        <w:t>President's Commission 276. Yet Missouri and this Court have displaced Nancy's own assessment of the processes associated with dying. They have discarded evidence of her will, ignored her values, and deprived her of the right to a decision as closely approximating her own choice as humanly possible. They have done so disingenuously in her name, and openly in Missouri's own. That Missouri and this Court may truly be motivated only by concern for incompetent patients makes no matter. As one of our most prominent jurists warned us decades ago:</w:t>
      </w:r>
    </w:p>
    <w:p w:rsidR="00A31137" w:rsidRPr="00A31137" w:rsidRDefault="00A31137" w:rsidP="00A31137">
      <w:r w:rsidRPr="00A31137">
        <w:t>1990, Cruzan v. Director, MDH, 497 U.S. 330</w:t>
      </w:r>
    </w:p>
    <w:p w:rsidR="00A31137" w:rsidRPr="00A31137" w:rsidRDefault="00A31137" w:rsidP="00A31137">
      <w:r w:rsidRPr="00A31137">
        <w:t>Experience should teach us to be most on our guard to protect liberty when the government's purposes are beneficent…. The greatest dangers to liberty lurk in insidious encroachment by men of zeal, well meaning but without understanding.</w:t>
      </w:r>
    </w:p>
    <w:p w:rsidR="00A31137" w:rsidRPr="00A31137" w:rsidRDefault="00A31137" w:rsidP="00A31137">
      <w:r w:rsidRPr="00A31137">
        <w:t>1990, Cruzan v. Director, MDH, 497 U.S. 330</w:t>
      </w:r>
    </w:p>
    <w:p w:rsidR="00A31137" w:rsidRPr="00A31137" w:rsidRDefault="00A31137" w:rsidP="00A31137">
      <w:r w:rsidRPr="00A31137">
        <w:t>Olmstead v. United States, 277 U.S. 438, 479(1928) (Brandeis, J., dissenting).</w:t>
      </w:r>
    </w:p>
    <w:p w:rsidR="00A31137" w:rsidRPr="00A31137" w:rsidRDefault="00A31137" w:rsidP="00A31137">
      <w:r w:rsidRPr="00A31137">
        <w:t>1990, Cruzan v. Director, MDH, 497 U.S. 330</w:t>
      </w:r>
    </w:p>
    <w:p w:rsidR="00A31137" w:rsidRPr="00A31137" w:rsidRDefault="00A31137" w:rsidP="00A31137">
      <w:r w:rsidRPr="00A31137">
        <w:t>I respectfully dissent.</w:t>
      </w:r>
    </w:p>
    <w:p w:rsidR="00A31137" w:rsidRPr="00A31137" w:rsidRDefault="00A31137" w:rsidP="00A31137">
      <w:r w:rsidRPr="00A31137">
        <w:t>STEVENS, J., dissenting</w:t>
      </w:r>
    </w:p>
    <w:p w:rsidR="00A31137" w:rsidRPr="00A31137" w:rsidRDefault="00A31137" w:rsidP="00A31137">
      <w:r w:rsidRPr="00A31137">
        <w:t>1990, Cruzan v. Director, MDH, 497 U.S. 330</w:t>
      </w:r>
    </w:p>
    <w:p w:rsidR="00A31137" w:rsidRPr="00A31137" w:rsidRDefault="00A31137" w:rsidP="00A31137">
      <w:r w:rsidRPr="00A31137">
        <w:t>Justice STEVENS, dissenting.</w:t>
      </w:r>
    </w:p>
    <w:p w:rsidR="00A31137" w:rsidRPr="00A31137" w:rsidRDefault="00A31137" w:rsidP="00A31137">
      <w:r w:rsidRPr="00A31137">
        <w:t>1990, Cruzan v. Director, MDH, 497 U.S. 330</w:t>
      </w:r>
    </w:p>
    <w:p w:rsidR="00A31137" w:rsidRPr="00A31137" w:rsidRDefault="00A31137" w:rsidP="00A31137">
      <w:r w:rsidRPr="00A31137">
        <w:t>Our Constitution is born of the proposition that all legitimate governments must secure the equal right of every person to "Life, Liberty, and the pursuit of Happiness." 1 In the ordinary case, we quite naturally assume that these three [497 U.S. 331] ends are compatible, mutually enhancing, and perhaps even coincident.</w:t>
      </w:r>
    </w:p>
    <w:p w:rsidR="00A31137" w:rsidRPr="00A31137" w:rsidRDefault="00A31137" w:rsidP="00A31137">
      <w:r w:rsidRPr="00A31137">
        <w:t>1990, Cruzan v. Director, MDH, 497 U.S. 331</w:t>
      </w:r>
    </w:p>
    <w:p w:rsidR="00A31137" w:rsidRPr="00A31137" w:rsidRDefault="00A31137" w:rsidP="00A31137">
      <w:r w:rsidRPr="00A31137">
        <w:t>The Court would make an exception here. It permits the State's abstract, undifferentiated interest in the preservation of life to overwhelm the best interests of Nancy Beth Cruzan, interests which would, according to an undisputed finding, be served by allowing her guardians to exercise her constitutional right to discontinue medical treatment. Ironically, the Court reaches this conclusion despite endorsing three significant propositions which should save it from any such dilemma. First, a competent individual's decision to refuse life-sustaining medical procedures is an aspect of liberty protected by the Due Process Clause of the Fourteenth Amendment. See ante at 278-279. Second, upon a proper evidentiary showing, a qualified guardian may make that decision on behalf of an inCompetent ward. See, e.g., ante at 284-285. Third, in answering the important question presented by this tragic case, it is wise "not to attempt by any general statement, to cover every possible phase of the subject." see ante at  278 (citation omitted). Together, these considerations suggest that Nancy Cruzan's liberty to be free from medical treatment must be understood in light of the facts and circumstances particular to her.</w:t>
      </w:r>
    </w:p>
    <w:p w:rsidR="00A31137" w:rsidRPr="00A31137" w:rsidRDefault="00A31137" w:rsidP="00A31137">
      <w:r w:rsidRPr="00A31137">
        <w:t>1990, Cruzan v. Director, MDH, 497 U.S. 331</w:t>
      </w:r>
    </w:p>
    <w:p w:rsidR="00A31137" w:rsidRPr="00A31137" w:rsidRDefault="00A31137" w:rsidP="00A31137">
      <w:r w:rsidRPr="00A31137">
        <w:t>I would so hold: in my view, the Constitution requires the State to care for Nancy Cruzan's life in a way that gives appropriate respect to her own best interests.</w:t>
      </w:r>
    </w:p>
    <w:p w:rsidR="00A31137" w:rsidRPr="00A31137" w:rsidRDefault="00A31137" w:rsidP="00A31137">
      <w:r w:rsidRPr="00A31137">
        <w:t>I</w:t>
      </w:r>
    </w:p>
    <w:p w:rsidR="00A31137" w:rsidRPr="00A31137" w:rsidRDefault="00A31137" w:rsidP="00A31137">
      <w:r w:rsidRPr="00A31137">
        <w:t>1990, Cruzan v. Director, MDH, 497 U.S. 331</w:t>
      </w:r>
    </w:p>
    <w:p w:rsidR="00A31137" w:rsidRPr="00A31137" w:rsidRDefault="00A31137" w:rsidP="00A31137">
      <w:r w:rsidRPr="00A31137">
        <w:t xml:space="preserve">This case is the first in which we consider whether, and how, the Constitution protects the liberty of seriously ill patients to be free from life-sustaining medical treatment. So put, the question is both general and profound. We need not, however, resolve the question in the abstract. Our responsibility as judges both enables and compels us to treat the problem as it is illuminated by the facts of the controversy before us. [497 U.S. 332] </w:t>
      </w:r>
    </w:p>
    <w:p w:rsidR="00A31137" w:rsidRPr="00A31137" w:rsidRDefault="00A31137" w:rsidP="00A31137">
      <w:r w:rsidRPr="00A31137">
        <w:t>1990, Cruzan v. Director, MDH, 497 U.S. 332</w:t>
      </w:r>
    </w:p>
    <w:p w:rsidR="00A31137" w:rsidRPr="00A31137" w:rsidRDefault="00A31137" w:rsidP="00A31137">
      <w:r w:rsidRPr="00A31137">
        <w:t xml:space="preserve">The most important of those facts are these: "clear and convincing </w:t>
      </w:r>
    </w:p>
    <w:p w:rsidR="00A31137" w:rsidRPr="00A31137" w:rsidRDefault="00A31137" w:rsidP="00A31137">
      <w:r w:rsidRPr="00A31137">
        <w:t>evidence" established that Nancy Cruzan is "oblivious to her environment except for reflexive responses to sound and perhaps to painful stimuli"; that "she has no cognitive or reflexive ability to swallow food or water"; that "she will never recover" these abilities; and that her "cerebral cortical atrophy is irreversible, permanent, progressive and ongoing." App. to Pet. for Cert. A94-A95. Recovery and consciousness are impossible; the highest cognitive brain function that can be hoped for is a grimace in "recognition of ordinarily painful stimuli" or an "apparent response to sound." Id. at A95. 2</w:t>
      </w:r>
    </w:p>
    <w:p w:rsidR="00A31137" w:rsidRPr="00A31137" w:rsidRDefault="00A31137" w:rsidP="00A31137">
      <w:r w:rsidRPr="00A31137">
        <w:t>1990, Cruzan v. Director, MDH, 497 U.S. 332</w:t>
      </w:r>
    </w:p>
    <w:p w:rsidR="00A31137" w:rsidRPr="00A31137" w:rsidRDefault="00A31137" w:rsidP="00A31137">
      <w:r w:rsidRPr="00A31137">
        <w:t>After thus evaluating Nancy Cruzan's medical condition, the trial judge next examined how the interests of third parties would be affected if Nancy's parents were allowed to withdraw the gastrostomy tube that had been implanted in [497 U.S. 333] their daughter. His findings make it clear that the parents' request had no economic motivation, 3 and that granting their request would neither adversely affect any innocent third parties nor breach the ethical standards of the medical profession. 4 He then considered, and rejected, a religious objection to his decision, 5 and explained why he concluded that the ward's constitutional "right to liberty" outweighed the general public policy on which the State relied:</w:t>
      </w:r>
    </w:p>
    <w:p w:rsidR="00A31137" w:rsidRPr="00A31137" w:rsidRDefault="00A31137" w:rsidP="00A31137">
      <w:r w:rsidRPr="00A31137">
        <w:t>1990, Cruzan v. Director, MDH, 497 U.S. 333</w:t>
      </w:r>
    </w:p>
    <w:p w:rsidR="00A31137" w:rsidRPr="00A31137" w:rsidRDefault="00A31137" w:rsidP="00A31137">
      <w:r w:rsidRPr="00A31137">
        <w:t>There is a fundamental natural right, expressed in our Constitution as the "right to liberty," which permits an individual to refuse or direct the withholding or withdrawal of artificial death prolonging procedures when the person has no more cognitive brain function than our Ward and all the physicians agree there is no hope of further recovery while the deterioration of the brain continues with further overall worsening physical contractures. To the extent that the statute or public policy prohibits withholding or withdrawal of nutrition and hydration or euthanasia or mercy killing, if such be the definition, under all circumstances, arbitrarily and with no exceptions, it is in violation of our Ward's constitutional rights by depriving her of liberty without due process of [497 U.S. 334] law. To decide otherwise that medical treatment once undertaken must be continued irrespective of its lack of success or benefit to the patient in effect gives one's body to medical science without their consent.</w:t>
      </w:r>
    </w:p>
    <w:p w:rsidR="00A31137" w:rsidRPr="00A31137" w:rsidRDefault="00A31137" w:rsidP="00A31137">
      <w:r w:rsidRPr="00A31137">
        <w:t>*    *    *    *</w:t>
      </w:r>
    </w:p>
    <w:p w:rsidR="00A31137" w:rsidRPr="00A31137" w:rsidRDefault="00A31137" w:rsidP="00A31137">
      <w:r w:rsidRPr="00A31137">
        <w:t>1990, Cruzan v. Director, MDH, 497 U.S. 334</w:t>
      </w:r>
    </w:p>
    <w:p w:rsidR="00A31137" w:rsidRPr="00A31137" w:rsidRDefault="00A31137" w:rsidP="00A31137">
      <w:r w:rsidRPr="00A31137">
        <w:t>The Co-guardians are required only to exercise their legal authority to act in the best interests of their Ward as they discharge their duty and are free to act or not with this authority as they may determine.</w:t>
      </w:r>
    </w:p>
    <w:p w:rsidR="00A31137" w:rsidRPr="00A31137" w:rsidRDefault="00A31137" w:rsidP="00A31137">
      <w:r w:rsidRPr="00A31137">
        <w:t>1990, Cruzan v. Director, MDH, 497 U.S. 334</w:t>
      </w:r>
    </w:p>
    <w:p w:rsidR="00A31137" w:rsidRPr="00A31137" w:rsidRDefault="00A31137" w:rsidP="00A31137">
      <w:r w:rsidRPr="00A31137">
        <w:t>Id. at A98-A99 (footnotes omitted).</w:t>
      </w:r>
    </w:p>
    <w:p w:rsidR="00A31137" w:rsidRPr="00A31137" w:rsidRDefault="00A31137" w:rsidP="00A31137">
      <w:r w:rsidRPr="00A31137">
        <w:t>II</w:t>
      </w:r>
    </w:p>
    <w:p w:rsidR="00A31137" w:rsidRPr="00A31137" w:rsidRDefault="00A31137" w:rsidP="00A31137">
      <w:r w:rsidRPr="00A31137">
        <w:t>1990, Cruzan v. Director, MDH, 497 U.S. 334</w:t>
      </w:r>
    </w:p>
    <w:p w:rsidR="00A31137" w:rsidRPr="00A31137" w:rsidRDefault="00A31137" w:rsidP="00A31137">
      <w:r w:rsidRPr="00A31137">
        <w:t>Because he believed he had a duty to do so, the independent guardian ad litem appealed the trial court's order to the Missouri Supreme Court. In that appeal, however, the guardian advised the court that he did not disagree with the trial court's decision. Specifically, he endorsed the critical finding that "it was in Nancy Cruzan's best interests to have the tube feeding discontinued." 6</w:t>
      </w:r>
    </w:p>
    <w:p w:rsidR="00A31137" w:rsidRPr="00A31137" w:rsidRDefault="00A31137" w:rsidP="00A31137">
      <w:r w:rsidRPr="00A31137">
        <w:t>1990, Cruzan v. Director, MDH, 497 U.S. 334</w:t>
      </w:r>
    </w:p>
    <w:p w:rsidR="00A31137" w:rsidRPr="00A31137" w:rsidRDefault="00A31137" w:rsidP="00A31137">
      <w:r w:rsidRPr="00A31137">
        <w:t xml:space="preserve">That important conclusion thus was not disputed by the litigants. One might reasonably suppose that it would be dispositive: if Nancy Cruzan has no interest in continued treatment, and if she has a liberty interest in being free from unwanted treatment, and if the cessation of treatment would have no adverse impact on third parties, and if no reason exists to doubt the good faith of Nancy's parents, then what possible basis could the State have for insisting upon continued medical treatment? Yet, instead of questioning or endorsing the trial court's conclusions about Nancy Cruzan's interests, the State Supreme Court largely ignored them. [497 U.S. 335] </w:t>
      </w:r>
    </w:p>
    <w:p w:rsidR="00A31137" w:rsidRPr="00A31137" w:rsidRDefault="00A31137" w:rsidP="00A31137">
      <w:r w:rsidRPr="00A31137">
        <w:t>1990, Cruzan v. Director, MDH, 497 U.S. 335</w:t>
      </w:r>
    </w:p>
    <w:p w:rsidR="00A31137" w:rsidRPr="00A31137" w:rsidRDefault="00A31137" w:rsidP="00A31137">
      <w:r w:rsidRPr="00A31137">
        <w:t>The opinion of that court referred to four different state interests that have been identified in other somewhat similar cases, but acknowledged that only the State's general interest in "the preservation of life" was implicated by this case. 7 It defined that interest as follows:</w:t>
      </w:r>
    </w:p>
    <w:p w:rsidR="00A31137" w:rsidRPr="00A31137" w:rsidRDefault="00A31137" w:rsidP="00A31137">
      <w:r w:rsidRPr="00A31137">
        <w:t>1990, Cruzan v. Director, MDH, 497 U.S. 335</w:t>
      </w:r>
    </w:p>
    <w:p w:rsidR="00A31137" w:rsidRPr="00A31137" w:rsidRDefault="00A31137" w:rsidP="00A31137">
      <w:r w:rsidRPr="00A31137">
        <w:t>The state's interest in life embraces two separate concerns: an interest in the prolongation of the life of the individual patient and an interest in the sanctity of life itself.</w:t>
      </w:r>
    </w:p>
    <w:p w:rsidR="00A31137" w:rsidRPr="00A31137" w:rsidRDefault="00A31137" w:rsidP="00A31137">
      <w:r w:rsidRPr="00A31137">
        <w:t>1990, Cruzan v. Director, MDH, 497 U.S. 335</w:t>
      </w:r>
    </w:p>
    <w:p w:rsidR="00A31137" w:rsidRPr="00A31137" w:rsidRDefault="00A31137" w:rsidP="00A31137">
      <w:r w:rsidRPr="00A31137">
        <w:t>Cruzan v. Harmon, 760 S.W.2d 408, 419 (1988). Although the court did not characterize this interest as absolute, it repeatedly indicated that it outweighs any countervailing interest that is based on the "quality of life" of any individual patient. 8 In the view of the state-court majority, [497 U.S. 336] that general interest is strong enough to foreclose any decision to refuse treatment for an incompetent person unless that person had previously evidenced, in clear and convincing terms, such a decision for herself. The best interests of the incompetent individual who had never confronted the issue—or perhaps had been incompetent since birth—are entirely irrelevant and unprotected under the reasoning of the State Supreme Court's four-judge majority.</w:t>
      </w:r>
    </w:p>
    <w:p w:rsidR="00A31137" w:rsidRPr="00A31137" w:rsidRDefault="00A31137" w:rsidP="00A31137">
      <w:r w:rsidRPr="00A31137">
        <w:t>1990, Cruzan v. Director, MDH, 497 U.S. 336</w:t>
      </w:r>
    </w:p>
    <w:p w:rsidR="00A31137" w:rsidRPr="00A31137" w:rsidRDefault="00A31137" w:rsidP="00A31137">
      <w:r w:rsidRPr="00A31137">
        <w:t>The three dissenting judges found Nancy Cruzan's interests compelling. They agreed with the trial court's evaluation of state policy. In his persuasive dissent, Judge Blackmar explained that decisions about the care of chronically ill patients were traditionally private:</w:t>
      </w:r>
    </w:p>
    <w:p w:rsidR="00A31137" w:rsidRPr="00A31137" w:rsidRDefault="00A31137" w:rsidP="00A31137">
      <w:r w:rsidRPr="00A31137">
        <w:t>1990, Cruzan v. Director, MDH, 497 U.S. 336</w:t>
      </w:r>
    </w:p>
    <w:p w:rsidR="00A31137" w:rsidRPr="00A31137" w:rsidRDefault="00A31137" w:rsidP="00A31137">
      <w:r w:rsidRPr="00A31137">
        <w:t>My disagreement with the principal opinion lies fundamentally in its emphasis on the interest of and the role of the state, represented by the Attorney General. Decisions about prolongation of life are of recent origin. For most of the world's history, and presently in most parts of the world, such decisions would never arise, because the technology would not be available. Decisions about medical treatment have customarily been made by the patient, or by those closest to the patient if the patient, because of youth or infirmity, is unable to make the decisions. This is nothing new in substituted decisionmaking. The state is seldom called upon to be the decisionmaker.</w:t>
      </w:r>
    </w:p>
    <w:p w:rsidR="00A31137" w:rsidRPr="00A31137" w:rsidRDefault="00A31137" w:rsidP="00A31137">
      <w:r w:rsidRPr="00A31137">
        <w:t>1990, Cruzan v. Director, MDH, 497 U.S. 336</w:t>
      </w:r>
    </w:p>
    <w:p w:rsidR="00A31137" w:rsidRPr="00A31137" w:rsidRDefault="00A31137" w:rsidP="00A31137">
      <w:r w:rsidRPr="00A31137">
        <w:t>I would not accept the assumption, inherent in the principal opinion, that, with our advanced technology, the state must necessarily become involved in a decision about using extraordinary measures to prolong life. Decisions of this kind are made daily by the patient or relatives, on the basis of medical advice and their conclusion as to what is best. Very few cases reach court, and [497 U.S. 337] I doubt whether this case would be before us but for the fact that Nancy lies in a state hospital. I do not place primary emphasis on the patient's expressions, except possibly in the very unusual case, of which I find no example in the books, in which the patient expresses a view that all available life supports should be made use of. Those closest to the patient are best positioned to make judgments about the patient's best interest.</w:t>
      </w:r>
    </w:p>
    <w:p w:rsidR="00A31137" w:rsidRPr="00A31137" w:rsidRDefault="00A31137" w:rsidP="00A31137">
      <w:r w:rsidRPr="00A31137">
        <w:t>1990, Cruzan v. Director, MDH, 497 U.S. 337</w:t>
      </w:r>
    </w:p>
    <w:p w:rsidR="00A31137" w:rsidRPr="00A31137" w:rsidRDefault="00A31137" w:rsidP="00A31137">
      <w:r w:rsidRPr="00A31137">
        <w:t>Id. at 428. Judge Blackmar then argued that Missouri's policy imposed upon dying individuals and their families a controversial and objectionable view of life's meaning:</w:t>
      </w:r>
    </w:p>
    <w:p w:rsidR="00A31137" w:rsidRPr="00A31137" w:rsidRDefault="00A31137" w:rsidP="00A31137">
      <w:r w:rsidRPr="00A31137">
        <w:t>1990, Cruzan v. Director, MDH, 497 U.S. 337</w:t>
      </w:r>
    </w:p>
    <w:p w:rsidR="00A31137" w:rsidRPr="00A31137" w:rsidRDefault="00A31137" w:rsidP="00A31137">
      <w:r w:rsidRPr="00A31137">
        <w:t>It is unrealistic to say that the preservation of life is an absolute, without regard to the quality of life. I make this statement only in the context of a case in which the trial judge has found that there is no chance for amelioration of Nancy's condition. The principal opinion accepts this conclusion. It is appropriate to consider the quality of life in making decisions about the extraordinary medical treatment. Those who have made decisions about such matters without resort to the courts certainly consider the quality of life, and balance this against the unpleasant consequences to the patient. There is evidence that Nancy may react to pain stimuli. If she has any awareness of her surroundings, her life must be a living hell. She is unable to express herself or to do anything at all to alter her situation. Her parents, who are her closest relatives, are best able to feel for her and to decide what is best for her. The state should not substitute its decisions for theirs. Nor am I impressed with the crypto-philosophers cited in the principal opinion, who declaim about the sanctity of any life without regard to its quality. They dwell in ivory towers.</w:t>
      </w:r>
    </w:p>
    <w:p w:rsidR="00A31137" w:rsidRPr="00A31137" w:rsidRDefault="00A31137" w:rsidP="00A31137">
      <w:r w:rsidRPr="00A31137">
        <w:t>1990, Cruzan v. Director, MDH, 497 U.S. 337</w:t>
      </w:r>
    </w:p>
    <w:p w:rsidR="00A31137" w:rsidRPr="00A31137" w:rsidRDefault="00A31137" w:rsidP="00A31137">
      <w:r w:rsidRPr="00A31137">
        <w:t>Id. at 429. [497 U.S. 338] Finally, Judge Blackmar concluded that the Missouri policy was illegitimate because it treats life as a theoretical abstraction, severed from, and indeed opposed to, the person of Nancy Cruzan.</w:t>
      </w:r>
    </w:p>
    <w:p w:rsidR="00A31137" w:rsidRPr="00A31137" w:rsidRDefault="00A31137" w:rsidP="00A31137">
      <w:r w:rsidRPr="00A31137">
        <w:t>1990, Cruzan v. Director, MDH, 497 U.S. 338</w:t>
      </w:r>
    </w:p>
    <w:p w:rsidR="00A31137" w:rsidRPr="00A31137" w:rsidRDefault="00A31137" w:rsidP="00A31137">
      <w:r w:rsidRPr="00A31137">
        <w:t>The Cruzan family appropriately came before the court seeking relief. The circuit judge properly found the facts and applied the law. His factual findings are supported by the record, and his legal conclusions by overwhelming weight of authority. The principal opinion attempts to establish absolutes, but does so at the expense of human factors. In so doing, it unnecessarily subjects Nancy and those close to her to continuous torture which no family should be forced to endure.</w:t>
      </w:r>
    </w:p>
    <w:p w:rsidR="00A31137" w:rsidRPr="00A31137" w:rsidRDefault="00A31137" w:rsidP="00A31137">
      <w:r w:rsidRPr="00A31137">
        <w:t>1990, Cruzan v. Director, MDH, 497 U.S. 338</w:t>
      </w:r>
    </w:p>
    <w:p w:rsidR="00A31137" w:rsidRPr="00A31137" w:rsidRDefault="00A31137" w:rsidP="00A31137">
      <w:r w:rsidRPr="00A31137">
        <w:t>Id. at 429-430.</w:t>
      </w:r>
    </w:p>
    <w:p w:rsidR="00A31137" w:rsidRPr="00A31137" w:rsidRDefault="00A31137" w:rsidP="00A31137">
      <w:r w:rsidRPr="00A31137">
        <w:t>1990, Cruzan v. Director, MDH, 497 U.S. 338</w:t>
      </w:r>
    </w:p>
    <w:p w:rsidR="00A31137" w:rsidRPr="00A31137" w:rsidRDefault="00A31137" w:rsidP="00A31137">
      <w:r w:rsidRPr="00A31137">
        <w:t>Although Judge Blackmar did not frame his argument as such, it propounds a sound constitutional objection to the Missouri majority's reasoning: Missouri's regulation is an unreasonable intrusion upon traditionally private matters encompassed within the liberty protected by the Due Process Clause.</w:t>
      </w:r>
    </w:p>
    <w:p w:rsidR="00A31137" w:rsidRPr="00A31137" w:rsidRDefault="00A31137" w:rsidP="00A31137">
      <w:r w:rsidRPr="00A31137">
        <w:t>1990, Cruzan v. Director, MDH, 497 U.S. 338</w:t>
      </w:r>
    </w:p>
    <w:p w:rsidR="00A31137" w:rsidRPr="00A31137" w:rsidRDefault="00A31137" w:rsidP="00A31137">
      <w:r w:rsidRPr="00A31137">
        <w:t>The portion of this Court's opinion that considers the merits of this case is similarly unsatisfactory. It, too, fails to respect the best interests of the patient. 9 It, too, relies on what is tantamount to a waiver rationale: the dying patient's best interests are put to one side, and the entire inquiry is focused on her prior expressions of intent. 10 An innocent person's constitutional right to be free from unwanted medical treatment is thereby categorically limited to those patients who had the foresight to make an unambiguous statement [497 U.S. 339] of their wishes while competent. The Court's decision affords no protection to children, to young people who are victims of unexpected accidents or illnesses, or to the countless thousands of elderly persons who either fail to decide, or fail to explain, how they want to be treated if they should experience a similar fate. Because Nancy Beth Cruzan did not have the foresight to preserve her constitutional right in a living will, or some comparable "clear and convincing" alternative, her right is gone forever, and her fate is in the hands of the state legislature instead of in those of her family, her independent neutral guardian ad litem, and an impartial judge—all of whom agree on the course of action that is in her best interests. The Court's willingness to find a waiver of this constitutional right reveals a distressing misunderstanding of the importance of individual liberty.</w:t>
      </w:r>
    </w:p>
    <w:p w:rsidR="00A31137" w:rsidRPr="00A31137" w:rsidRDefault="00A31137" w:rsidP="00A31137">
      <w:r w:rsidRPr="00A31137">
        <w:t>III</w:t>
      </w:r>
    </w:p>
    <w:p w:rsidR="00A31137" w:rsidRPr="00A31137" w:rsidRDefault="00A31137" w:rsidP="00A31137">
      <w:r w:rsidRPr="00A31137">
        <w:t>1990, Cruzan v. Director, MDH, 497 U.S. 339</w:t>
      </w:r>
    </w:p>
    <w:p w:rsidR="00A31137" w:rsidRPr="00A31137" w:rsidRDefault="00A31137" w:rsidP="00A31137">
      <w:r w:rsidRPr="00A31137">
        <w:t xml:space="preserve">It is perhaps predictable that courts might undervalue the liberty at stake here. Because death is so profoundly personal, public reflection upon it is unusual. As this sad case shows, however, such reflection must become more common if we are to deal responsibly with the modern circumstances of death. Medical advances have altered the physiological conditions of death in ways that may be alarming: highly invasive treatment may perpetuate human existence through a merger of body and machine that some might reasonably regard as an insult to life, rather than as its continuation. But those same advances, and the reorganization of medical care accompanying the new science and technology, have also transformed the political and social conditions of death: people are less likely to die at home, and more likely to die in relatively public places such as hospitals or nursing homes. 11 [497 U.S. 340] </w:t>
      </w:r>
    </w:p>
    <w:p w:rsidR="00A31137" w:rsidRPr="00A31137" w:rsidRDefault="00A31137" w:rsidP="00A31137">
      <w:r w:rsidRPr="00A31137">
        <w:t>1990, Cruzan v. Director, MDH, 497 U.S. 340</w:t>
      </w:r>
    </w:p>
    <w:p w:rsidR="00A31137" w:rsidRPr="00A31137" w:rsidRDefault="00A31137" w:rsidP="00A31137">
      <w:r w:rsidRPr="00A31137">
        <w:t>Ultimate questions that might once have been dealt with in intimacy by a family and its physician 12 have now become the concern of institutions. When the institution is a state hospital, [497 U.S. 341] as it is in this case, the government itself becomes involved. 13 Dying nonetheless remains a part of "the life which characteristically has its place in the home," Poe v. Ullman, 367 U.S. 497,  551 (1961) (Harlan, J., dissenting). The</w:t>
      </w:r>
    </w:p>
    <w:p w:rsidR="00A31137" w:rsidRPr="00A31137" w:rsidRDefault="00A31137" w:rsidP="00A31137">
      <w:r w:rsidRPr="00A31137">
        <w:t>1990, Cruzan v. Director, MDH, 497 U.S. 341</w:t>
      </w:r>
    </w:p>
    <w:p w:rsidR="00A31137" w:rsidRPr="00A31137" w:rsidRDefault="00A31137" w:rsidP="00A31137">
      <w:r w:rsidRPr="00A31137">
        <w:t>integrity of that life is something so fundamental that it has been found to draw to its protection the principles of more than one explicitly granted Constitutional right,</w:t>
      </w:r>
    </w:p>
    <w:p w:rsidR="00A31137" w:rsidRPr="00A31137" w:rsidRDefault="00A31137" w:rsidP="00A31137">
      <w:r w:rsidRPr="00A31137">
        <w:t>1990, Cruzan v. Director, MDH, 497 U.S. 341</w:t>
      </w:r>
    </w:p>
    <w:p w:rsidR="00A31137" w:rsidRPr="00A31137" w:rsidRDefault="00A31137" w:rsidP="00A31137">
      <w:r w:rsidRPr="00A31137">
        <w:t>id. at 551-552, and our decisions have demarcated a "private realm of family life which the state cannot enter." Prince v. Massachusetts, 321 U.S. 158, 166-167 (1944). The physical boundaries of the home, of course, remain crucial guarantors of the life within it. See, e.g., Payton v. New York, 445 U.S. 573, 589 (1980); Stanley v. Georgia, 394 U.S. 557,  565 (1969). Nevertheless, this Court has long recognized that the liberty to make the decisions and choices constitutive of private life is so fundamental to our "concept of ordered liberty," Palko v. Connecticut, 302 U.S. 319,  325 (1937), that those choices must occasionally be afforded more direct protection. [497 U.S. 342] See, e.g., Meyer v. Nebraska, 262 U.S. 390 (1923); Griswold v. Connecticut, 381 U.S. 479 (1965); Roe v. Wade, 410 U.S. 113 (1973); Thornburgh v. American College of Obstetricians and Gynecologists, 476 U.S. 747, 772-782 (1986) (STEVENS, J., concurring).</w:t>
      </w:r>
    </w:p>
    <w:p w:rsidR="00A31137" w:rsidRPr="00A31137" w:rsidRDefault="00A31137" w:rsidP="00A31137">
      <w:r w:rsidRPr="00A31137">
        <w:t>1990, Cruzan v. Director, MDH, 497 U.S. 342</w:t>
      </w:r>
    </w:p>
    <w:p w:rsidR="00A31137" w:rsidRPr="00A31137" w:rsidRDefault="00A31137" w:rsidP="00A31137">
      <w:r w:rsidRPr="00A31137">
        <w:t>Respect for these choices has guided our recognition of rights pertaining to bodily integrity. The constitutional decisions identifying those rights, like the common law tradition upon which they built, 14 are mindful that the "makers of our Constitution…recognized the significance of man's spiritual nature." Olmstead v. United States, 277 U.S. 438,  478 (1928) (Brandeis, J., dissenting). It may truly be said that "our notions of liberty are inextricably entwined with our idea of physical freedom and self-determination." Ante at  287 (O'CONNOR, J., concurring). Thus we have construed the Due Process Clause to preclude physically invasive recoveries of evidence not only because such procedures are "brutal" but also because they are "offensive to human dignity." Rochin v. California, 342 U.S. 165,  174 (1952). We have interpreted the Constitution to interpose barriers to a State's efforts to sterilize some criminals not only because the proposed punishment would do "irreparable injury" to bodily integrity, but because "[m]arriage and procreation" concern "the basic civil rights of man." Skinner v. Oklahoma ex rel. Williamson, 316 U.S. 535,  541 (1942). The sanctity, and individual privacy, of the human body is obviously fundamental to liberty. "Every violation of a person's bodily integrity is an invasion of his or her liberty." Washington v. Harper, 494 U.S. 210, 237, (1990) (STEVENS, J., concurring in part and dissenting in part). Yet, just as the constitutional protection for the "physical curtilage of the home…is surely [497 U.S. 343] …a result of solicitude to protect the privacies of the life within," Poe v. Ullman, 367 U.S. at  551 (Harlan, J., dissenting), so too the constitutional protection for the human body is surely inseparable from concern for the mind and spirit that dwell therein.</w:t>
      </w:r>
    </w:p>
    <w:p w:rsidR="00A31137" w:rsidRPr="00A31137" w:rsidRDefault="00A31137" w:rsidP="00A31137">
      <w:r w:rsidRPr="00A31137">
        <w:t>1990, Cruzan v. Director, MDH, 497 U.S. 343</w:t>
      </w:r>
    </w:p>
    <w:p w:rsidR="00A31137" w:rsidRPr="00A31137" w:rsidRDefault="00A31137" w:rsidP="00A31137">
      <w:r w:rsidRPr="00A31137">
        <w:t>It is against this background of decisional law, and the constitutional tradition which it illuminates, that the right to be free from unwanted life-sustaining medical treatment must be understood. That right presupposes no abandonment of the desire for life. Nor is it reducible to a protection against batteries undertaken in the name of treatment, or to a guarantee against the infliction of bodily discomfort. Choices about death touch the core of liberty. Our duty, and the concomitant freedom, to come to terms with the conditions of our own mortality are undoubtedly "so rooted in the traditions and conscience of our people as to be ranked as fundamental," Snyder v. Massachusetts, 291 U.S. 97,  105 (1934), and indeed are essential incidents of the unalienable rights to life and liberty endowed us by our Creator. See Meachum v. Fano, 427 U.S. 215, 230 (1976) (STEVENS, J., dissenting).</w:t>
      </w:r>
    </w:p>
    <w:p w:rsidR="00A31137" w:rsidRPr="00A31137" w:rsidRDefault="00A31137" w:rsidP="00A31137">
      <w:r w:rsidRPr="00A31137">
        <w:t>1990, Cruzan v. Director, MDH, 497 U.S. 343</w:t>
      </w:r>
    </w:p>
    <w:p w:rsidR="00A31137" w:rsidRPr="00A31137" w:rsidRDefault="00A31137" w:rsidP="00A31137">
      <w:r w:rsidRPr="00A31137">
        <w:t>The more precise constitutional significance of death is difficult to describe; not much may be said with confidence about death unless it is said from faith, and that alone is reason enough to protect the freedom to conform choices about death to individual conscience. We may also, however, justly assume that death is not life's simple opposite, or its necessary terminus, 15 but rather its completion. Our ethical tradition has long regarded an appreciation of mortality as essential to understanding life's significance. It may, in fact, be impossible to live for anything without being prepared to die for something. Certainly there was no disdain for life in Nathan Hale's most famous declaration or in Patrick Henry's; [497 U.S. 344] their words instead bespeak a passion for life that forever preserves their own lives in the memories of their countrymen. 16 From such "honored dead we take increased devotion to that cause for which they gave the last full measure of devotion." 17</w:t>
      </w:r>
    </w:p>
    <w:p w:rsidR="00A31137" w:rsidRPr="00A31137" w:rsidRDefault="00A31137" w:rsidP="00A31137">
      <w:r w:rsidRPr="00A31137">
        <w:t>1990, Cruzan v. Director, MDH, 497 U.S. 344</w:t>
      </w:r>
    </w:p>
    <w:p w:rsidR="00A31137" w:rsidRPr="00A31137" w:rsidRDefault="00A31137" w:rsidP="00A31137">
      <w:r w:rsidRPr="00A31137">
        <w:t>These considerations cast into stark relief the injustice, and unconstitutionality, of Missouri's treatment of Nancy Beth Cruzan. Nancy Cruzan's death, when it comes, cannot be an historic act of heroism; it will inevitably be the consequence of her tragic accident. But Nancy Cruzan's interest in life, no less than that of any other person, includes an interest in how she will be thought of after her death by those whose opinions mattered to her. There can be no doubt that her life made her dear to her family, and to others. How she dies will affect how that life is remembered. The trial court's order authorizing Nancy's parents to cease their daughter's treatment would have permitted the family that cares for Nancy to bring to a close her tragedy and her death. Missouri's objection to that order subordinates Nancy's body, her family, and the lasting significance of her life to the State's own interests. The decision we review thereby interferes with constitutional interests of the highest order.</w:t>
      </w:r>
    </w:p>
    <w:p w:rsidR="00A31137" w:rsidRPr="00A31137" w:rsidRDefault="00A31137" w:rsidP="00A31137">
      <w:r w:rsidRPr="00A31137">
        <w:t>1990, Cruzan v. Director, MDH, 497 U.S. 344</w:t>
      </w:r>
    </w:p>
    <w:p w:rsidR="00A31137" w:rsidRPr="00A31137" w:rsidRDefault="00A31137" w:rsidP="00A31137">
      <w:r w:rsidRPr="00A31137">
        <w:t>To be constitutionally permissible, Missouri's intrusion upon these fundamental liberties must, at a minimum, bear a reasonable relationship to a legitimate state end. See, e.g., Meyer v. Nebraska, 262 U.S. at  400; Doe v. Bolton, 410 U.S. 179, 194-195, 199 (1973). Missouri asserts that its policy is related to a state interest in the protection of life. In my view, however, it is an effort to define life, rather than to protect it, that is the heart of Missouri's policy. Missouri insists, without regard to Nancy Cruzan's own interests, upon [497 U.S. 345] equating her life with the biological persistence of her bodily functions. Nancy Cruzan, it must be remembered, is not now simply incompetent. She is in a persistent vegetative state, and has been so for seven years. The trial court found, and no party contested, that Nancy has no possibility of recovery, and no consciousness.</w:t>
      </w:r>
    </w:p>
    <w:p w:rsidR="00A31137" w:rsidRPr="00A31137" w:rsidRDefault="00A31137" w:rsidP="00A31137">
      <w:r w:rsidRPr="00A31137">
        <w:t>1990, Cruzan v. Director, MDH, 497 U.S. 345</w:t>
      </w:r>
    </w:p>
    <w:p w:rsidR="00A31137" w:rsidRPr="00A31137" w:rsidRDefault="00A31137" w:rsidP="00A31137">
      <w:r w:rsidRPr="00A31137">
        <w:t>It seems to me that the Court errs insofar as it characterizes this case as involving "judgments about the 'quality' of life that a particular individual may enjoy," ante at  282. Nancy Cruzan is obviously "alive" in a physiological sense. But for patients like Nancy Cruzan, who have no consciousness and no chance of recovery, there is a serious question as to whether the mere persistence of their bodies is "life" as that word is commonly understood, or as it is used in both the Constitution and the Declaration of Independence. 18 The State's unflagging determination to perpetuate Nancy Cruzan's physical existence is comprehensible only as an effort to define life's meaning, not as an attempt to preserve its sanctity.</w:t>
      </w:r>
    </w:p>
    <w:p w:rsidR="00A31137" w:rsidRPr="00A31137" w:rsidRDefault="00A31137" w:rsidP="00A31137">
      <w:r w:rsidRPr="00A31137">
        <w:t>1990, Cruzan v. Director, MDH, 497 U.S. 345</w:t>
      </w:r>
    </w:p>
    <w:p w:rsidR="00A31137" w:rsidRPr="00A31137" w:rsidRDefault="00A31137" w:rsidP="00A31137">
      <w:r w:rsidRPr="00A31137">
        <w:t>This much should be clear from the oddity of Missouri's definition alone. Life, particularly human life, is not commonly thought of as a merely physiological condition or function. 19 [497 U.S. 346] Its sanctity is often thought to derive from the impossibility of any such reduction. When people speak of life, they often mean to describe the experiences that comprise a person's history, as when it is said that somebody "led a good life." 20 They may also mean to refer to the practical manifestation of the human spirit, a meaning captured by the familiar observation that somebody "added life" to an assembly. If there is a shared thread among the various opinions on this subject, it may be that life is an activity which is at once the matrix for and an integration of a person's interests. In [497 U.S. 347] any event, absent some theological abstraction, the idea of life is not conceived separately from the idea of a living person. Yet, it is by precisely such a separation that Missouri asserts an interest in Nancy Cruzan's life in opposition to Nancy Cruzan's own interests. The resulting definition is uncommon indeed.</w:t>
      </w:r>
    </w:p>
    <w:p w:rsidR="00A31137" w:rsidRPr="00A31137" w:rsidRDefault="00A31137" w:rsidP="00A31137">
      <w:r w:rsidRPr="00A31137">
        <w:t>1990, Cruzan v. Director, MDH, 497 U.S. 347</w:t>
      </w:r>
    </w:p>
    <w:p w:rsidR="00A31137" w:rsidRPr="00A31137" w:rsidRDefault="00A31137" w:rsidP="00A31137">
      <w:r w:rsidRPr="00A31137">
        <w:t>The laws punishing homicide, upon which the Court relies, ante at  280, do not support a contrary inference. Obviously, such laws protect both the life and interests of those who would otherwise be victims. Even laws against suicide presuppose that those inclined to take their own lives have some interest in living, and, indeed, that the depressed people whose lives are preserved may later be thankful for the State's intervention. Likewise, decisions that address the "quality of life" of incompetent, but conscious, patients rest upon the recognition that these patients have some interest in continuing their lives, even if that interest pales in some eyes when measured against interests in dignity or comfort. Not so here. Contrary to the Court's suggestion, Missouri's protection of life in a form abstracted from the living is not commonplace; it is aberrant.</w:t>
      </w:r>
    </w:p>
    <w:p w:rsidR="00A31137" w:rsidRPr="00A31137" w:rsidRDefault="00A31137" w:rsidP="00A31137">
      <w:r w:rsidRPr="00A31137">
        <w:t>1990, Cruzan v. Director, MDH, 497 U.S. 347</w:t>
      </w:r>
    </w:p>
    <w:p w:rsidR="00A31137" w:rsidRPr="00A31137" w:rsidRDefault="00A31137" w:rsidP="00A31137">
      <w:r w:rsidRPr="00A31137">
        <w:t>Nor does Missouri's treatment of Nancy Cruzan find precedent in the various state law cases surveyed by the majority. Despite the Court's assertion that state courts have demonstrated "both similarity and diversity in their approach" to the issue before us, none of the decisions surveyed by the Court interposed an absolute bar to the termination of treatment for a patient in a persistent vegetative state. For example, In re Westchester County Medical Center on behalf of O'Connor, 72 N.Y.2d 517, 534 N.Y.S.2d 886, 531 N.E.2d 607 (1988), pertained to an incompetent patient who</w:t>
      </w:r>
    </w:p>
    <w:p w:rsidR="00A31137" w:rsidRPr="00A31137" w:rsidRDefault="00A31137" w:rsidP="00A31137">
      <w:r w:rsidRPr="00A31137">
        <w:t>1990, Cruzan v. Director, MDH, 497 U.S. 347</w:t>
      </w:r>
    </w:p>
    <w:p w:rsidR="00A31137" w:rsidRPr="00A31137" w:rsidRDefault="00A31137" w:rsidP="00A31137">
      <w:r w:rsidRPr="00A31137">
        <w:t xml:space="preserve">was not in a coma or vegetative state. She was conscious, and capable of responding to simple questions or requests sometimes by squeezing the questioner's hand and sometimes verbally. [497 U.S. 348] Id. at 524-525, 534 N.Y. S.2d at 888-889, 531 N.E.2d at 609-610. Likewise, In re Storar, 52 N.Y.2d 363, 438 N.Y.S.2d 266, 420 N.E.2d 64 (1981), involved a conscious patient who was incompetent because "profoundly retarded with a mental age of about 18 months." Id. at 373, 438 N.Y.S.2d at 270, 420 N.E.2d at 68. When it decided In re Conroy, 98 N.J. 321, 486 A.2d 1209 (1985), the New Jersey Supreme Court noted that "Ms. Conroy was not brain dead, comatose, or in a chronic vegetative state," 98 N.J. at 337, 486 A.2d at 1217, and then distinguished In re Quinlan, 70 N.J. 10, 355 A.2d 647 (1976), on the ground that Karen Quinlan had been in a "persistent vegetative or comatose state." 98 N.J. at 358-359, 486 A.2d at 1228. By contrast, an unbroken stream of cases has authorized procedures for the cessation of treatment of patients in persistent vegetative states. 21 Considered [497 U.S. 349] against the background of other cases involving patients in persistent vegetative states, instead of against the broader—and inapt—category of cases involving chronically ill incompetent patients, Missouri's decision is anomalous. [497 U.S. 350] </w:t>
      </w:r>
    </w:p>
    <w:p w:rsidR="00A31137" w:rsidRPr="00A31137" w:rsidRDefault="00A31137" w:rsidP="00A31137">
      <w:r w:rsidRPr="00A31137">
        <w:t>1990, Cruzan v. Director, MDH, 497 U.S. 350</w:t>
      </w:r>
    </w:p>
    <w:p w:rsidR="00A31137" w:rsidRPr="00A31137" w:rsidRDefault="00A31137" w:rsidP="00A31137">
      <w:r w:rsidRPr="00A31137">
        <w:t>In short, there is no reasonable ground for believing that Nancy Beth Cruzan has any personal interest in the perpetuation of what the State has decided is her life. As I have already suggested, it would be possible to hypothesize such an interest on the basis of theological or philosophical conjecture. But even to posit such a basis for the State's action is to condemn it. It is not within the province of secular government to circumscribe the liberties of the people by regulations designed wholly for he purpose of establishing a sectarian definition of life. See Webster v. Reproductive Services, 492 U.S. 490, 566-572 (1989) (STEVENS, J., dissenting).</w:t>
      </w:r>
    </w:p>
    <w:p w:rsidR="00A31137" w:rsidRPr="00A31137" w:rsidRDefault="00A31137" w:rsidP="00A31137">
      <w:r w:rsidRPr="00A31137">
        <w:t>1990, Cruzan v. Director, MDH, 497 U.S. 350</w:t>
      </w:r>
    </w:p>
    <w:p w:rsidR="00A31137" w:rsidRPr="00A31137" w:rsidRDefault="00A31137" w:rsidP="00A31137">
      <w:r w:rsidRPr="00A31137">
        <w:t>My disagreement with the Court is thus unrelated to its endorsement of the clear and convincing standard of proof for cases of this kind. Indeed, I agree that the controlling facts must be established with unmistakable clarity. The critical question, however, is not how to prove the controlling facts but rather what proven facts should be controlling. In my view, the constitutional answer is clear: the best interests of the individual, especially when buttressed by the interests of all related third parties, must prevail over any general state policy that simply ignores those interests. 22 Indeed, the only apparent secular basis for the State's interest in life is the policy's persuasive impact upon people other than Nancy and her family. Yet, "[a]lthough the State may properly perform a teaching function," and although that teaching may foster respect for the sanctity of life, the State may not pursue its project by infringing constitutionally protected interests [497 U.S. 351] for "symbolic effect." Carey v. Population Services International, 431 U.S. 678,  715 (1977) (STEVENS, J., concurring in part and concurring in judgment). The failure of Missouri's policy to heed the interests of a dying individual with respect to matters so private is ample evidence of the policy's illegitimacy.</w:t>
      </w:r>
    </w:p>
    <w:p w:rsidR="00A31137" w:rsidRPr="00A31137" w:rsidRDefault="00A31137" w:rsidP="00A31137">
      <w:r w:rsidRPr="00A31137">
        <w:t>1990, Cruzan v. Director, MDH, 497 U.S. 351</w:t>
      </w:r>
    </w:p>
    <w:p w:rsidR="00A31137" w:rsidRPr="00A31137" w:rsidRDefault="00A31137" w:rsidP="00A31137">
      <w:r w:rsidRPr="00A31137">
        <w:t>Only because Missouri has arrogated to itself the power to define life, and only because the Court permits this usurpation, are Nancy Cruzan's life and liberty put into disquieting conflict. If Nancy Cruzan's life were defined by reference to her own interests, so that her life expired when her biological existence ceased serving any of her own interests, then her constitutionally protected interest in freedom from unwanted treatment would not come into conflict with her constitutionally protected interest in life. Conversely, if there were any evidence that Nancy Cruzan herself defined life to encompass every form of biological persistence by a human being, so that the continuation of treatment would serve Nancy's own liberty, then once again there would be no conflict between life and liberty. The opposition of life and liberty in this case are thus not the result of Nancy Cruzan's tragic accident, but are instead the artificial consequence of Missouri's effort and this Court's willingness, to abstract Nancy Cruzan's life from Nancy Cruzan's person.</w:t>
      </w:r>
    </w:p>
    <w:p w:rsidR="00A31137" w:rsidRPr="00A31137" w:rsidRDefault="00A31137" w:rsidP="00A31137">
      <w:r w:rsidRPr="00A31137">
        <w:t>IV</w:t>
      </w:r>
    </w:p>
    <w:p w:rsidR="00A31137" w:rsidRPr="00A31137" w:rsidRDefault="00A31137" w:rsidP="00A31137">
      <w:r w:rsidRPr="00A31137">
        <w:t>1990, Cruzan v. Director, MDH, 497 U.S. 351</w:t>
      </w:r>
    </w:p>
    <w:p w:rsidR="00A31137" w:rsidRPr="00A31137" w:rsidRDefault="00A31137" w:rsidP="00A31137">
      <w:r w:rsidRPr="00A31137">
        <w:t>Both this Court's majority and the state court's majority express great deference to the policy choice made by the state legislature. 23 That deference is, in my view, based [497 U.S. 352] upon a severe error in the Court's constitutional logic. The Court believes that the liberty interest claimed here on behalf of Nancy Cruzan is peculiarly problematic because "an incompetent person is not able to make an informed and voluntary choice to exercise a hypothetical right to refuse treatment or any other right." Ante at 280. The impossibility of such an exercise affords the State, according to the Court, some discretion to interpose "a procedural requirement" that effectively compels the continuation of Nancy Cruzan's treatment.</w:t>
      </w:r>
    </w:p>
    <w:p w:rsidR="00A31137" w:rsidRPr="00A31137" w:rsidRDefault="00A31137" w:rsidP="00A31137">
      <w:r w:rsidRPr="00A31137">
        <w:t>1990, Cruzan v. Director, MDH, 497 U.S. 352</w:t>
      </w:r>
    </w:p>
    <w:p w:rsidR="00A31137" w:rsidRPr="00A31137" w:rsidRDefault="00A31137" w:rsidP="00A31137">
      <w:r w:rsidRPr="00A31137">
        <w:t>There is, however, nothing "hypothetical" about Nancy Cruzan's constitutionally protected interest in freedom from unwanted treatment, and the difficulties involved in ascertaining what her interests are do not in any way justify the State's decision to oppose her interests with its own. As this case comes to us, the crucial question—and the question addressed by the Court—is not what Nancy Cruzan's interests are, but whether the State must give effect to them. There is certainly nothing novel about the practice of permitting a next friend to assert constitutional rights on behalf of an incompetent patient who is unable to do so. See, e.g., Youngberg v. Romeo, 457 U.S. 307, 310 (1982); Whitmore v. Arkansas, 495 U.S. 149, 161-164 (1990). Thus, if Nancy Cruzan's incapacity to "exercise" her rights is to alter the balance between her interests and the State's, there must be some further explanation of how it does so. The Court offers two possibilities, neither of them satisfactory.</w:t>
      </w:r>
    </w:p>
    <w:p w:rsidR="00A31137" w:rsidRPr="00A31137" w:rsidRDefault="00A31137" w:rsidP="00A31137">
      <w:r w:rsidRPr="00A31137">
        <w:t>1990, Cruzan v. Director, MDH, 497 U.S. 352</w:t>
      </w:r>
    </w:p>
    <w:p w:rsidR="00A31137" w:rsidRPr="00A31137" w:rsidRDefault="00A31137" w:rsidP="00A31137">
      <w:r w:rsidRPr="00A31137">
        <w:t>The first possibility is that the State's policy favoring life is by its nature less intrusive upon the patient's interest than any alternative. The Court suggests that Missouri's policy "results in a maintenance of the status quo," and is subject to reversal, while a decision to terminate treatment "is not susceptible [497 U.S. 353] of correction" because death is irreversible. Ante at 283. Yet this explanation begs the question, for it assumes either that the State's policy is consistent with Nancy Cruzan's own interests or that no damage is done by ignoring her interests. The first assumption is without basis in the record of this case, and would obviate any need for the State to rely, as it does, upon its own interests rather than upon the patient's. The second assumption is unconscionable. Insofar as Nancy Cruzan has an interest in being remembered for how she lived rather than how she died, the damage done to those memories by the prolongation of her death is irreversible. Insofar as Nancy Cruzan has an interest in the cessation of any pain, the continuation of her pain is irreversible. Insofar as Nancy Cruzan has an interest in a closure to her life consistent with her own beliefs rather than those of the Missouri legislature, the State's imposition of its contrary view is irreversible. To deny the importance of these consequences is in effect to deny that Nancy Cruzan has interests at all, and thereby to deny her personhood in the name of preserving the sanctity of her life.</w:t>
      </w:r>
    </w:p>
    <w:p w:rsidR="00A31137" w:rsidRPr="00A31137" w:rsidRDefault="00A31137" w:rsidP="00A31137">
      <w:r w:rsidRPr="00A31137">
        <w:t>1990, Cruzan v. Director, MDH, 497 U.S. 353</w:t>
      </w:r>
    </w:p>
    <w:p w:rsidR="00A31137" w:rsidRPr="00A31137" w:rsidRDefault="00A31137" w:rsidP="00A31137">
      <w:r w:rsidRPr="00A31137">
        <w:t>The second possibility is that the State must be allowed to define the interests of incompetent patients with respect to life-sustaining treatment because there is no procedure capable of determining what those interests are in any particular case. The Court points out various possible "abuses" and inaccuracies that may affect procedures authorizing the termination of treatment. See ante at 281-282. The Court correctly notes that, in some cases, there may be a conflict between the interests of an incompetent patient and the interests of members of her family. A State's procedures must guard against the risk that the survivors' interests are not mistaken for the patient's. Yet the appointment of the neutral guardian ad litem, coupled with the searching inquiry conducted by the trial judge and the imposition of the clear and convincing standard of proof, all effectively avoided that risk in this case. Why such procedural safeguards should not [497 U.S. 354] be adequate to avoid a similar risk in other cases is a question the Court simply ignores.</w:t>
      </w:r>
    </w:p>
    <w:p w:rsidR="00A31137" w:rsidRPr="00A31137" w:rsidRDefault="00A31137" w:rsidP="00A31137">
      <w:r w:rsidRPr="00A31137">
        <w:t>1990, Cruzan v. Director, MDH, 497 U.S. 354</w:t>
      </w:r>
    </w:p>
    <w:p w:rsidR="00A31137" w:rsidRPr="00A31137" w:rsidRDefault="00A31137" w:rsidP="00A31137">
      <w:r w:rsidRPr="00A31137">
        <w:t>Indeed, to argue that the mere possibility of error in any case suffices to allow the State's interests to override the particular interests of incompetent individuals in every case, or to argue that the interests of such individuals are unknowable and therefore may be subordinated to the State's concerns, is once again to deny Nancy Cruzan's personhood. The meaning of respect for her personhood, and for that of others who are gravely ill and incapacitated, is, admittedly, not easily defined: choices about life and death are profound ones, not susceptible of resolution by recourse to medical or legal rules. It may be that the best we can do is to ensure that these choices are made by those who will care enough about the patient to investigate her interests with particularity and caution. The Court seems to recognize as much when it cautions against formulating any general or inflexible rule to govern all the cases that might arise in this area of the law. Ante at 277-278. The Court's deference to the legislature is, however, itself an inflexible rule, one that the Court is willing to apply in this case even though the Court's principal grounds for deferring to Missouri's legislature are hypothetical circumstances not relevant to Nancy Cruzan's interests .</w:t>
      </w:r>
    </w:p>
    <w:p w:rsidR="00A31137" w:rsidRPr="00A31137" w:rsidRDefault="00A31137" w:rsidP="00A31137">
      <w:r w:rsidRPr="00A31137">
        <w:t>1990, Cruzan v. Director, MDH, 497 U.S. 354</w:t>
      </w:r>
    </w:p>
    <w:p w:rsidR="00A31137" w:rsidRPr="00A31137" w:rsidRDefault="00A31137" w:rsidP="00A31137">
      <w:r w:rsidRPr="00A31137">
        <w:t>On either explanation, then, the Court's deference seems ultimately to derive from the premise that chronically incompetent persons have no constitutionally cognizable interests at all, and so are not persons within the meaning of the Constitution. Deference of this sort is patently unconstitutional. It is also dangerous in ways that may not be immediately apparent. Today the State of Missouri has announced its intent to spend several hundred thousand dollars in preserving the life of Nancy Beth Cruzan in order to vindicate its general policy favoring the preservation of human life. Tomorrow, another State equally eager to champion an interest in the "quality of life" might favor a policy designed to ensure quick [497 U.S. 355] and comfortable deaths by denying treatment to categories of marginally hopeless cases. If the State in fact has an interest in defining life, and if the State's policy with respect to the termination of life-sustaining treatment commands deference from the judiciary, it is unclear how any resulting conflict between the best interests of the individual and the general policy of the State would be resolved. 24 I believe the Constitution requires that the individual's vital interest in liberty should prevail over the general policy in that case, just as in this.</w:t>
      </w:r>
    </w:p>
    <w:p w:rsidR="00A31137" w:rsidRPr="00A31137" w:rsidRDefault="00A31137" w:rsidP="00A31137">
      <w:r w:rsidRPr="00A31137">
        <w:t>1990, Cruzan v. Director, MDH, 497 U.S. 355</w:t>
      </w:r>
    </w:p>
    <w:p w:rsidR="00A31137" w:rsidRPr="00A31137" w:rsidRDefault="00A31137" w:rsidP="00A31137">
      <w:r w:rsidRPr="00A31137">
        <w:t>That a contrary result is readily imaginable under the majority's theory makes manifest that this Court cannot defer to any State policy that drives a theoretical wedge between a person's life, on the one hand, and that person's liberty or happiness, on the other. 25 The consequence of such a theory [497 U.S. 356] is to deny the personhood of those whose lives are defined by the State's interests rather than their own. This consequence may be acceptable in theology or in speculative philosophy, see Meyer, 262 U.S. at 401-402, but it is radically inconsistent with the foundation of all legitimate government. Our Constitution presupposes a respect for the personhood of every individual, and nowhere is strict adherence to that principle more essential than in the Judicial Branch. See, e.g., Thornburgh v. American College of Obstetricians and Gynecologists, 476 U.S. at 781-782 (STEVENS, J., concurring).</w:t>
      </w:r>
    </w:p>
    <w:p w:rsidR="00A31137" w:rsidRPr="00A31137" w:rsidRDefault="00A31137" w:rsidP="00A31137">
      <w:r w:rsidRPr="00A31137">
        <w:t>V</w:t>
      </w:r>
    </w:p>
    <w:p w:rsidR="00A31137" w:rsidRPr="00A31137" w:rsidRDefault="00A31137" w:rsidP="00A31137">
      <w:r w:rsidRPr="00A31137">
        <w:t>1990, Cruzan v. Director, MDH, 497 U.S. 356</w:t>
      </w:r>
    </w:p>
    <w:p w:rsidR="00A31137" w:rsidRPr="00A31137" w:rsidRDefault="00A31137" w:rsidP="00A31137">
      <w:r w:rsidRPr="00A31137">
        <w:t>In this case, as is no doubt true in many others, the predicament confronted by the healthy members of the Cruzan family merely adds emphasis to the best interests finding made by the trial judge. Each of us has an interest in the kind of memories that will survive after death. To that end, individual decisions are often motivated by their impact on others. A member of the kind of family identified in the trial court's findings in this case would likely have not only a normal interest in minimizing the burden that her own illness imposes on others but also an interest in having their memories of her filled predominantly with thoughts about her past vitality rather than her current condition. The meaning and completion of her life should be controlled by persons who have her best interests at heart—not by a state legislature concerned only with the "preservation of human life."</w:t>
      </w:r>
    </w:p>
    <w:p w:rsidR="00A31137" w:rsidRPr="00A31137" w:rsidRDefault="00A31137" w:rsidP="00A31137">
      <w:r w:rsidRPr="00A31137">
        <w:t>1990, Cruzan v. Director, MDH, 497 U.S. 356</w:t>
      </w:r>
    </w:p>
    <w:p w:rsidR="00A31137" w:rsidRPr="00A31137" w:rsidRDefault="00A31137" w:rsidP="00A31137">
      <w:r w:rsidRPr="00A31137">
        <w:t>The Cruzan family's continuing concern provides a concrete reminder that Nancy Cruzan's interests did not disappear with her vitality or her consciousness. However commendable may be the State's interest in human life, it cannot pursue that interest by aPpropriating Nancy Cruzan's life as a symbol for its own purposes. Lives do not exist in abstraction [497 U.S. 357] from persons, and to pretend otherwise is not to honor but to desecrate the State's responsibility for protecting life. A State that seeks to demonstrate its commitment to life may do so by aiding those who are actively struggling for life and health. In this endeavor, unfortunately, no State can lack for opportunities: there can be no need to make an example of tragic cases like that of Nancy Cruzan.</w:t>
      </w:r>
    </w:p>
    <w:p w:rsidR="00A31137" w:rsidRPr="00A31137" w:rsidRDefault="00A31137" w:rsidP="00A31137">
      <w:r w:rsidRPr="00A31137">
        <w:t>1990, Cruzan v. Director, MDH, 497 U.S. 357</w:t>
      </w:r>
    </w:p>
    <w:p w:rsidR="00A31137" w:rsidRPr="00A31137" w:rsidRDefault="00A31137" w:rsidP="00A31137">
      <w:r w:rsidRPr="00A31137">
        <w:t>I respectfully dissent.</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1990, Cruzan v. Director, MDH, 497 U.S. 357</w:t>
      </w:r>
    </w:p>
    <w:p w:rsidR="00A31137" w:rsidRPr="00A31137" w:rsidRDefault="00A31137" w:rsidP="00A31137">
      <w:r w:rsidRPr="00A31137">
        <w:t>1. The State Supreme Court, adopting much of the trial court's findings, described Nancy Cruzan's medical condition as follows:</w:t>
      </w:r>
    </w:p>
    <w:p w:rsidR="00A31137" w:rsidRPr="00A31137" w:rsidRDefault="00A31137" w:rsidP="00A31137">
      <w:r w:rsidRPr="00A31137">
        <w:t>1990, Cruzan v. Director, MDH, 497 U.S. 357</w:t>
      </w:r>
    </w:p>
    <w:p w:rsidR="00A31137" w:rsidRPr="00A31137" w:rsidRDefault="00A31137" w:rsidP="00A31137">
      <w:r w:rsidRPr="00A31137">
        <w:t>…(1) [H]er respiration and circulation are not artificially maintained and are within the normal limits of a thirty-year-old female; (2) she is oblivious to her environment except for reflexive responses to sound and perhaps painful stimuli; (3) she suffered anoxia of the brain, resulting in a massive enlargement of the ventricles filling with cerebrospinal fluid in the area where the brain has degenerated and [her] cerebral cortical atrophy is irreversible, permanent, progressive and ongoing; (4) her highest cognitive brain function is exhibited by her grimacing perhaps in recognition of ordinarily painful stimuli, indicating the experience of pain and apparent response to sound; (5) she is a spastic quadriplegic; (6) her four extremities are contracted with irreversible muscular and tendon damage to all extremities; (7) she has no cognitive or reflexive ability to swallow food or water to maintain her daily essential needs and…she will never recover her ability to swallow sufficient [sic] to satisfy her needs. In sum, Nancy is diagnosed as in a persistent vegetative state. She is not dead. She is not terminally ill. Medical experts testified that she could live another thirty years.</w:t>
      </w:r>
    </w:p>
    <w:p w:rsidR="00A31137" w:rsidRPr="00A31137" w:rsidRDefault="00A31137" w:rsidP="00A31137">
      <w:r w:rsidRPr="00A31137">
        <w:t>1990, Cruzan v. Director, MDH, 497 U.S. 357</w:t>
      </w:r>
    </w:p>
    <w:p w:rsidR="00A31137" w:rsidRPr="00A31137" w:rsidRDefault="00A31137" w:rsidP="00A31137">
      <w:r w:rsidRPr="00A31137">
        <w:t>Cruzan v. Harmon, 760 S.W.2d 408, 411 (Mo.1988) (en banc) (quotations omitted; footnote omitted). In observing that Cruzan was not dead, the court referred to the following Missouri statute:</w:t>
      </w:r>
    </w:p>
    <w:p w:rsidR="00A31137" w:rsidRPr="00A31137" w:rsidRDefault="00A31137" w:rsidP="00A31137">
      <w:r w:rsidRPr="00A31137">
        <w:t>1990, Cruzan v. Director, MDH, 497 U.S. 357</w:t>
      </w:r>
    </w:p>
    <w:p w:rsidR="00A31137" w:rsidRPr="00A31137" w:rsidRDefault="00A31137" w:rsidP="00A31137">
      <w:r w:rsidRPr="00A31137">
        <w:t>For all legal purposes, the occurrence of human death shall be determined in accordance with the usual and customary standards of medical practice, provided that death shall not be determined to have occurred unless the following minimal conditions have been met:</w:t>
      </w:r>
    </w:p>
    <w:p w:rsidR="00A31137" w:rsidRPr="00A31137" w:rsidRDefault="00A31137" w:rsidP="00A31137">
      <w:r w:rsidRPr="00A31137">
        <w:t>1990, Cruzan v. Director, MDH, 497 U.S. 357</w:t>
      </w:r>
    </w:p>
    <w:p w:rsidR="00A31137" w:rsidRPr="00A31137" w:rsidRDefault="00A31137" w:rsidP="00A31137">
      <w:r w:rsidRPr="00A31137">
        <w:t>(1) When respiration and circulation are not artificially maintained, there is an irreversible cessation of spontaneous respiration and circulation; or</w:t>
      </w:r>
    </w:p>
    <w:p w:rsidR="00A31137" w:rsidRPr="00A31137" w:rsidRDefault="00A31137" w:rsidP="00A31137">
      <w:r w:rsidRPr="00A31137">
        <w:t>1990, Cruzan v. Director, MDH, 497 U.S. 357</w:t>
      </w:r>
    </w:p>
    <w:p w:rsidR="00A31137" w:rsidRPr="00A31137" w:rsidRDefault="00A31137" w:rsidP="00A31137">
      <w:r w:rsidRPr="00A31137">
        <w:t>(2) When respiration and circulation are artificially maintained, and there is total and irreversible cessation of all brain function, including the brain stem and that such determination is made by a licensed physician.</w:t>
      </w:r>
    </w:p>
    <w:p w:rsidR="00A31137" w:rsidRPr="00A31137" w:rsidRDefault="00A31137" w:rsidP="00A31137">
      <w:r w:rsidRPr="00A31137">
        <w:t>1990, Cruzan v. Director, MDH, 497 U.S. 357</w:t>
      </w:r>
    </w:p>
    <w:p w:rsidR="00A31137" w:rsidRPr="00A31137" w:rsidRDefault="00A31137" w:rsidP="00A31137">
      <w:r w:rsidRPr="00A31137">
        <w:t>Mo.Rev.Stat. § 194.005 (1986). Since Cruzan's respiration and circulation were not being artificially maintained, she obviously fit within the first proviso of the statute.</w:t>
      </w:r>
    </w:p>
    <w:p w:rsidR="00A31137" w:rsidRPr="00A31137" w:rsidRDefault="00A31137" w:rsidP="00A31137">
      <w:r w:rsidRPr="00A31137">
        <w:t>1990, Cruzan v. Director, MDH, 497 U.S. 357</w:t>
      </w:r>
    </w:p>
    <w:p w:rsidR="00A31137" w:rsidRPr="00A31137" w:rsidRDefault="00A31137" w:rsidP="00A31137">
      <w:r w:rsidRPr="00A31137">
        <w:t>Dr. Fred Plum, the creator of the term "persistent vegetative state" and a renowned expert on the subject, has described the "vegetative state" in the following terms:</w:t>
      </w:r>
    </w:p>
    <w:p w:rsidR="00A31137" w:rsidRPr="00A31137" w:rsidRDefault="00A31137" w:rsidP="00A31137">
      <w:r w:rsidRPr="00A31137">
        <w:t>1990, Cruzan v. Director, MDH, 497 U.S. 357</w:t>
      </w:r>
    </w:p>
    <w:p w:rsidR="00A31137" w:rsidRPr="00A31137" w:rsidRDefault="00A31137" w:rsidP="00A31137">
      <w:r w:rsidRPr="00A31137">
        <w:t>"Vegetative state" describes a body which is functioning entirely in terms of its internal controls. It maintains temperature. It maintains heart beat and pulmonary ventilation. It maintains digestive activity. It maintains reflex activity of muscles and nerves for low level conditioned responses. But there is no behavioral evidence of either self-awareness or awareness of the surroundings in a learned manner.</w:t>
      </w:r>
    </w:p>
    <w:p w:rsidR="00A31137" w:rsidRPr="00A31137" w:rsidRDefault="00A31137" w:rsidP="00A31137">
      <w:r w:rsidRPr="00A31137">
        <w:t>1990, Cruzan v. Director, MDH, 497 U.S. 357</w:t>
      </w:r>
    </w:p>
    <w:p w:rsidR="00A31137" w:rsidRPr="00A31137" w:rsidRDefault="00A31137" w:rsidP="00A31137">
      <w:r w:rsidRPr="00A31137">
        <w:t>In re Jobes, 108 N.J. 394, 403, 529 A.2d 434, 438 ( 1987). See also Brief for American Medical Association et al., as Amici Curiae 6 ("The persistent vegetative state can best be understood as one of the conditions in which patients have suffered a loss of consciousness").</w:t>
      </w:r>
    </w:p>
    <w:p w:rsidR="00A31137" w:rsidRPr="00A31137" w:rsidRDefault="00A31137" w:rsidP="00A31137">
      <w:r w:rsidRPr="00A31137">
        <w:t>1990, Cruzan v. Director, MDH, 497 U.S. 357</w:t>
      </w:r>
    </w:p>
    <w:p w:rsidR="00A31137" w:rsidRPr="00A31137" w:rsidRDefault="00A31137" w:rsidP="00A31137">
      <w:r w:rsidRPr="00A31137">
        <w:t>2. See generally Karnezis, Patient's Right to Refuse Treatment Allegedly Necessary to Sustain Life, 93 A.L.R.3d 67 (1979) (collecting cases); Cantor, A Patient's Decision to Decline Life-Saving Medical Treatment: Bodily Integrity Versus the Preservation of Life, 26 Rutgers L.Rev. 228, 229, and n. 5 (1973) (noting paucity of cases).</w:t>
      </w:r>
    </w:p>
    <w:p w:rsidR="00A31137" w:rsidRPr="00A31137" w:rsidRDefault="00A31137" w:rsidP="00A31137">
      <w:r w:rsidRPr="00A31137">
        <w:t>1990, Cruzan v. Director, MDH, 497 U.S. 357</w:t>
      </w:r>
    </w:p>
    <w:p w:rsidR="00A31137" w:rsidRPr="00A31137" w:rsidRDefault="00A31137" w:rsidP="00A31137">
      <w:r w:rsidRPr="00A31137">
        <w:t>3. See Chapman, The Uniform Rights of the Terminally Ill Act: Too Little, Too Late?, 42 Ark.L.Rev. 319, 324, n. 15 (1989); see also F. Rozovsky, Consent to Treatment, A Practical Guide 415-423 (2d ed. 1984).</w:t>
      </w:r>
    </w:p>
    <w:p w:rsidR="00A31137" w:rsidRPr="00A31137" w:rsidRDefault="00A31137" w:rsidP="00A31137">
      <w:r w:rsidRPr="00A31137">
        <w:t>1990, Cruzan v. Director, MDH, 497 U.S. 357</w:t>
      </w:r>
    </w:p>
    <w:p w:rsidR="00A31137" w:rsidRPr="00A31137" w:rsidRDefault="00A31137" w:rsidP="00A31137">
      <w:r w:rsidRPr="00A31137">
        <w:t>4. In a later trilogy of cases, the New Jersey Supreme Court stressed that the analytic framework adopted in Conroy was limited to elderly, incompetent patients with shortened life expectancies, and established alternative approaches to deal with a different set of situations. See In re Farrell, 108 N.J. 335, 529 A.2d 404 (1987) (37-year-old competent mother with terminal illness had right to removal of respirator based on common law and constitutional principles which overrode competing state interests); In re Peter, 108 N.J. 365, 529 A.2d 419 (1987) (65-year-old woman in persistent vegetative state had right to removal of nasogastric feeding tube—under Conroy subjective test, power of attorney and hearsay testimony constituted clear and convincing proof of patient's intent to have treatment withdrawn); In re Jobes, 108 N.J. 394, 529 A.2d 434 (1987) (31-year-old woman in persistent vegetative state entitled to removal of jejunostomy feeding tube—even though hearsay testimony regarding patient's intent insufficient to meet clear and convincing standard of proof, under Quinlan, family or close friends entitled to make a substituted judgment for patient).</w:t>
      </w:r>
    </w:p>
    <w:p w:rsidR="00A31137" w:rsidRPr="00A31137" w:rsidRDefault="00A31137" w:rsidP="00A31137">
      <w:r w:rsidRPr="00A31137">
        <w:t>1990, Cruzan v. Director, MDH, 497 U.S. 357</w:t>
      </w:r>
    </w:p>
    <w:p w:rsidR="00A31137" w:rsidRPr="00A31137" w:rsidRDefault="00A31137" w:rsidP="00A31137">
      <w:r w:rsidRPr="00A31137">
        <w:t>5. The Drabick court drew support for its analysis from earlier, influential decisions rendered by California courts of appeal. See Bouvia v. Superior Court, 179 Cal.App.3d 1127, 225 Cal. Rptr. 297 (1986) (competent 28-year-old quadriplegic had right to removal of nasogastric feeding tube inserted against her will); Bartling v. Superior Court, 163 Cal.App.3d 186, 209 Cal. Rptr. 220 (1984) (competent 70-year-old, seriously-ill man had right to the removal of respirator); Barber v. Superior Court, 147 Cal.App.3d 1006, 195 Cal.Rptr. 484 (1983) (physicians could not be prosecuted for homicide on account of removing respirator and intravenous feeding tubes of patient in persistent vegetative state).</w:t>
      </w:r>
    </w:p>
    <w:p w:rsidR="00A31137" w:rsidRPr="00A31137" w:rsidRDefault="00A31137" w:rsidP="00A31137">
      <w:r w:rsidRPr="00A31137">
        <w:t>1990, Cruzan v. Director, MDH, 497 U.S. 357</w:t>
      </w:r>
    </w:p>
    <w:p w:rsidR="00A31137" w:rsidRPr="00A31137" w:rsidRDefault="00A31137" w:rsidP="00A31137">
      <w:r w:rsidRPr="00A31137">
        <w:t>6. Besides the Missouri Supreme Court in Cruzan and the courts in McConnell, Longeway, Drabick, Bouvia, Barber, O'Connor, Conroy, Jobes, and Peter, supra, appellate courts of at least four other States and one Federal District Court have specifically considered and discussed the issue of withholding or withdrawing artificial nutrition and hydration from incompetent individuals. See Gray v. Romeo, 697 F.Supp. 580 (RI 1988); In re Gardner, 534 A.2d 947 (Me.1987); In re Grant, 109 Wash.2d 545, 747 P.2d 445 (1987); Brophy v. New England Sinai Hospital, Inc., 398 Mass. 417, 497 N.E.2d 626 (1986); Corbett v. D'Alessandro, 487 So.2d 368 (Fla.App. 1986). All of these courts permitted or would permit the termination of such measures based on rights grounded in the common law, or in the State or Federal Constitution.</w:t>
      </w:r>
    </w:p>
    <w:p w:rsidR="00A31137" w:rsidRPr="00A31137" w:rsidRDefault="00A31137" w:rsidP="00A31137">
      <w:r w:rsidRPr="00A31137">
        <w:t>1990, Cruzan v. Director, MDH, 497 U.S. 357</w:t>
      </w:r>
    </w:p>
    <w:p w:rsidR="00A31137" w:rsidRPr="00A31137" w:rsidRDefault="00A31137" w:rsidP="00A31137">
      <w:r w:rsidRPr="00A31137">
        <w:t>7. Although many state courts have held that a right to refuse treatment is encompassed by a generalized constitutional right of privacy, we have never so held. We believe this issue is more properly analyzed in terms of a Fourteenth Amendment liberty interest. See Bowers v. Hardwick, 478 U.S. 186, 194-195 (1986).</w:t>
      </w:r>
    </w:p>
    <w:p w:rsidR="00A31137" w:rsidRPr="00A31137" w:rsidRDefault="00A31137" w:rsidP="00A31137">
      <w:r w:rsidRPr="00A31137">
        <w:t>1990, Cruzan v. Director, MDH, 497 U.S. 357</w:t>
      </w:r>
    </w:p>
    <w:p w:rsidR="00A31137" w:rsidRPr="00A31137" w:rsidRDefault="00A31137" w:rsidP="00A31137">
      <w:r w:rsidRPr="00A31137">
        <w:t>8. See Smith, All's Well That Ends Well: Toward a Policy of Assisted Rational Suicide or Merely Enlightened Self-Determination?, 22 U.C. Davis L.Rev. 275, 290-291, n. 106 (1989) (compiling statutes).</w:t>
      </w:r>
    </w:p>
    <w:p w:rsidR="00A31137" w:rsidRPr="00A31137" w:rsidRDefault="00A31137" w:rsidP="00A31137">
      <w:r w:rsidRPr="00A31137">
        <w:t>1990, Cruzan v. Director, MDH, 497 U.S. 357</w:t>
      </w:r>
    </w:p>
    <w:p w:rsidR="00A31137" w:rsidRPr="00A31137" w:rsidRDefault="00A31137" w:rsidP="00A31137">
      <w:r w:rsidRPr="00A31137">
        <w:t>9. Since Cruzan was a patient at a state hospital when this litigation commenced, the State has been involved as an adversary from the beginning. However, it can be expected that many of these types of disputes will arise in private institutions, where a guardian ad litem or similar party will have been appointed as the sole representative of the incompetent individual in the litigation. In such cases, a guardian may act in entire good faith, and yet not maintain a position truly adversarial to that of the family. Indeed, as noted by the court below,</w:t>
      </w:r>
    </w:p>
    <w:p w:rsidR="00A31137" w:rsidRPr="00A31137" w:rsidRDefault="00A31137" w:rsidP="00A31137">
      <w:r w:rsidRPr="00A31137">
        <w:t>1990, Cruzan v. Director, MDH, 497 U.S. 357</w:t>
      </w:r>
    </w:p>
    <w:p w:rsidR="00A31137" w:rsidRPr="00A31137" w:rsidRDefault="00A31137" w:rsidP="00A31137">
      <w:r w:rsidRPr="00A31137">
        <w:t>[t]he guardian ad litem [in this case] finds himself in the predicament of believing that it is in Nancy's "best interest to have the tube feeding discontinued," but "feeling that an appeal should be made because our responsibility to her as attorneys and guardians ad litem was to pursue this matter to the highest court in the state in view of the fact that this is a case of first impression in the State of Missouri."</w:t>
      </w:r>
    </w:p>
    <w:p w:rsidR="00A31137" w:rsidRPr="00A31137" w:rsidRDefault="00A31137" w:rsidP="00A31137">
      <w:r w:rsidRPr="00A31137">
        <w:t>1990, Cruzan v. Director, MDH, 497 U.S. 357</w:t>
      </w:r>
    </w:p>
    <w:p w:rsidR="00A31137" w:rsidRPr="00A31137" w:rsidRDefault="00A31137" w:rsidP="00A31137">
      <w:r w:rsidRPr="00A31137">
        <w:t>760 S.W.2d at 410, n. 1. Cruzan's guardian ad litem has also filed a brief in this Court urging reversal of the Missouri Supreme Court's decision. None of this is intended to suggest that the guardian acted the least bit improperly in this proceeding. It is only meant to illustrate the limits which may obtain on the adversarial nature of this type of litigation.</w:t>
      </w:r>
    </w:p>
    <w:p w:rsidR="00A31137" w:rsidRPr="00A31137" w:rsidRDefault="00A31137" w:rsidP="00A31137">
      <w:r w:rsidRPr="00A31137">
        <w:t>1990, Cruzan v. Director, MDH, 497 U.S. 357</w:t>
      </w:r>
    </w:p>
    <w:p w:rsidR="00A31137" w:rsidRPr="00A31137" w:rsidRDefault="00A31137" w:rsidP="00A31137">
      <w:r w:rsidRPr="00A31137">
        <w:t>10. We recognize that these cases involved instances where the government sought to take action against an individual. See Price Waterhouse v. Hopkins, 490 U.S. 228, 253 (1989) (plurality opinion). Here, by contrast, the government seeks to protect the interests of an individual as well as its own institutional interests, in life. We do not see any reason why important individual interests should be afforded less protection simply because the government finds itself in the position of defending them.</w:t>
      </w:r>
    </w:p>
    <w:p w:rsidR="00A31137" w:rsidRPr="00A31137" w:rsidRDefault="00A31137" w:rsidP="00A31137">
      <w:r w:rsidRPr="00A31137">
        <w:t>1990, Cruzan v. Director, MDH, 497 U.S. 357</w:t>
      </w:r>
    </w:p>
    <w:p w:rsidR="00A31137" w:rsidRPr="00A31137" w:rsidRDefault="00A31137" w:rsidP="00A31137">
      <w:r w:rsidRPr="00A31137">
        <w:t>[W]e find it significant that…the defendant rather than the plaintiff seeks the clear and convincing standard of proof—suggesting that this standard ordinarily serves as a shield rather than…a sword.</w:t>
      </w:r>
    </w:p>
    <w:p w:rsidR="00A31137" w:rsidRPr="00A31137" w:rsidRDefault="00A31137" w:rsidP="00A31137">
      <w:r w:rsidRPr="00A31137">
        <w:t>1990, Cruzan v. Director, MDH, 497 U.S. 357</w:t>
      </w:r>
    </w:p>
    <w:p w:rsidR="00A31137" w:rsidRPr="00A31137" w:rsidRDefault="00A31137" w:rsidP="00A31137">
      <w:r w:rsidRPr="00A31137">
        <w:t>Id. at 253. That it is the government that has picked up the shield should be of no moment.</w:t>
      </w:r>
    </w:p>
    <w:p w:rsidR="00A31137" w:rsidRPr="00A31137" w:rsidRDefault="00A31137" w:rsidP="00A31137">
      <w:r w:rsidRPr="00A31137">
        <w:t>1990, Cruzan v. Director, MDH, 497 U.S. 357</w:t>
      </w:r>
    </w:p>
    <w:p w:rsidR="00A31137" w:rsidRPr="00A31137" w:rsidRDefault="00A31137" w:rsidP="00A31137">
      <w:r w:rsidRPr="00A31137">
        <w:t>11. The clear and convincing standard of proof has been variously defined in this context as</w:t>
      </w:r>
    </w:p>
    <w:p w:rsidR="00A31137" w:rsidRPr="00A31137" w:rsidRDefault="00A31137" w:rsidP="00A31137">
      <w:r w:rsidRPr="00A31137">
        <w:t>1990, Cruzan v. Director, MDH, 497 U.S. 357</w:t>
      </w:r>
    </w:p>
    <w:p w:rsidR="00A31137" w:rsidRPr="00A31137" w:rsidRDefault="00A31137" w:rsidP="00A31137">
      <w:r w:rsidRPr="00A31137">
        <w:t>proof sufficient to persuade the trier of fact that the patient held a firm and settled commitment to the termination of life supports under the circumstances like those presented,</w:t>
      </w:r>
    </w:p>
    <w:p w:rsidR="00A31137" w:rsidRPr="00A31137" w:rsidRDefault="00A31137" w:rsidP="00A31137">
      <w:r w:rsidRPr="00A31137">
        <w:t>1990, Cruzan v. Director, MDH, 497 U.S. 357</w:t>
      </w:r>
    </w:p>
    <w:p w:rsidR="00A31137" w:rsidRPr="00A31137" w:rsidRDefault="00A31137" w:rsidP="00A31137">
      <w:r w:rsidRPr="00A31137">
        <w:t>In re Westchester County Medical Center on behalf of O'Connor, 72 N.Y.2d 517, 534 N.Y.S.2d 886, 892, 531 N.E.2d 607, 613 (1988) (O'Connor), and as evidence which</w:t>
      </w:r>
    </w:p>
    <w:p w:rsidR="00A31137" w:rsidRPr="00A31137" w:rsidRDefault="00A31137" w:rsidP="00A31137">
      <w:r w:rsidRPr="00A31137">
        <w:t>1990, Cruzan v. Director, MDH, 497 U.S. 357</w:t>
      </w:r>
    </w:p>
    <w:p w:rsidR="00A31137" w:rsidRPr="00A31137" w:rsidRDefault="00A31137" w:rsidP="00A31137">
      <w:r w:rsidRPr="00A31137">
        <w:t>produces in the mind of the trier of fact a firm belief or conviction as to the truth of the allegations sought to be established, evidence so clear, direct and weighty and convincing as to enable [the factfinder] to come to a clear conviction, without hesitancy, of the truth of the precise facts in issue.</w:t>
      </w:r>
    </w:p>
    <w:p w:rsidR="00A31137" w:rsidRPr="00A31137" w:rsidRDefault="00A31137" w:rsidP="00A31137">
      <w:r w:rsidRPr="00A31137">
        <w:t>1990, Cruzan v. Director, MDH, 497 U.S. 357</w:t>
      </w:r>
    </w:p>
    <w:p w:rsidR="00A31137" w:rsidRPr="00A31137" w:rsidRDefault="00A31137" w:rsidP="00A31137">
      <w:r w:rsidRPr="00A31137">
        <w:t>In re Jobes, 108 N.J. at 407-408, 529 A.2d at 441 (quotation omitted). In both of these cases, the evidence of the patient's intent to refuse medical treatment was arguably stronger than that presented here. The New York Court of Appeals and the Supreme Court of New Jersey, respectively, held that the proof failed to meet a clear and convincing threshold. See O'Connor, supra, 72 N.Y.2d at 526-534, 534 N.Y.S.2d at 889-894, 531 N.E.2d at 610-615; Jobes, supra, 108 N.J. at 442-443, 529 A.2d 434.</w:t>
      </w:r>
    </w:p>
    <w:p w:rsidR="00A31137" w:rsidRPr="00A31137" w:rsidRDefault="00A31137" w:rsidP="00A31137">
      <w:r w:rsidRPr="00A31137">
        <w:t>1990, Cruzan v. Director, MDH, 497 U.S. 357</w:t>
      </w:r>
    </w:p>
    <w:p w:rsidR="00A31137" w:rsidRPr="00A31137" w:rsidRDefault="00A31137" w:rsidP="00A31137">
      <w:r w:rsidRPr="00A31137">
        <w:t>12. We are not faced in this case with the question of whether a State might be required to defer to the decision of a surrogate if competent and probative evidence established that the patient herself had expressed a desire that the decision to terminate life sustaining treatment be made for her by that individual. Petitioners also adumbrate in their brief a claim based on the Equal Protection Clause of the Fourteenth Amendment to the effect that Missouri has impermissibly treated incompetent patients differently from competent ones, citing the statement in Cleburne v. Cleburne Living Center, Inc., 473 U.S. 432,  439 (1985), that the clause is "essentially a direction that all persons similarly situated should be treated alike." The differences between the choice made by a competent person to refuse medical treatment and the choice made for an incompetent person by someone else to refuse medical treatment are so obviously different that the State is warranted in establishing rigorous procedures for the latter class of cases which do not apply to the former class.</w:t>
      </w:r>
    </w:p>
    <w:p w:rsidR="00A31137" w:rsidRPr="00A31137" w:rsidRDefault="00A31137" w:rsidP="00A31137">
      <w:r w:rsidRPr="00A31137">
        <w:t>O'CONNOR, J., concurring (Footnotes)</w:t>
      </w:r>
    </w:p>
    <w:p w:rsidR="00A31137" w:rsidRPr="00A31137" w:rsidRDefault="00A31137" w:rsidP="00A31137">
      <w:r w:rsidRPr="00A31137">
        <w:t>1990, Cruzan v. Director, MDH, 497 U.S. 357</w:t>
      </w:r>
    </w:p>
    <w:p w:rsidR="00A31137" w:rsidRPr="00A31137" w:rsidRDefault="00A31137" w:rsidP="00A31137">
      <w:r w:rsidRPr="00A31137">
        <w:t>1. See 2 President's Commission for the Study of Ethical Problems in Medicine and Biomedical and Behavioral Research, Making Health Care Decisions 241-242 (1982) (36% of those surveyed gave instructions regarding how they would like to be treated if they ever became too sick to make decisions; 23% put those instructions in writing) (Lou Harris Poll, September 1982); American Medical Association Surveys of Physician and Public Opinion on Health Care Issues 29-30 (1988) (56% of those surveyed had told family members their wishes concerning the use of life-sustaining treatment if they entered an irreversible coma; 15% had filled out a living will specifying those wishes).</w:t>
      </w:r>
    </w:p>
    <w:p w:rsidR="00A31137" w:rsidRPr="00A31137" w:rsidRDefault="00A31137" w:rsidP="00A31137">
      <w:r w:rsidRPr="00A31137">
        <w:t>1990, Cruzan v. Director, MDH, 497 U.S. 357</w:t>
      </w:r>
    </w:p>
    <w:p w:rsidR="00A31137" w:rsidRPr="00A31137" w:rsidRDefault="00A31137" w:rsidP="00A31137">
      <w:r w:rsidRPr="00A31137">
        <w:t>2. At least 13 states and the District of Columbia have durable power of attorney statutes expressly authorizing the appointment of proxies for making health care decisions. See Alaska Stat. Ann. §§ 13.26.335, 13.26.344(l) (Supp.1989); Cal.Civ.Code § 2500 (Supp.1990), D.C.Code § 21-2205 (1989); Idaho Code § 39-4505 (Supp. 1989); Ill.Rev.Stat., ch. 110 1/2, ¶ 804-1 to 804-12 (Supp.1988), Kan.Stat.Ann. § 58-625 (Supp. 1989); Me.Rev.Stat.Ann., Tit. 18-A, § 5-501 (Supp.1989); Nev.Rev.Stat. § 449.800 (Supp. 1989); Ohio Rev.Code Ann. § 1337.11 et seq. (Supp.1989); Ore.Rev.Stat. § 127.510 (1989); Pa.Con.Stat.Ann., Tit. 20, § 5603(h) (Purdon Supp.1989); R.I.Gen.Laws § 23-4.10-1 et seq. (1989); Tex.Rev.Civ.Stat.ann. § 4590h-1 (Vernon Supp.1990); Vt.Stat.Ann., Tit. 14, § 3451 et seq. (1989).</w:t>
      </w:r>
    </w:p>
    <w:p w:rsidR="00A31137" w:rsidRPr="00A31137" w:rsidRDefault="00A31137" w:rsidP="00A31137">
      <w:r w:rsidRPr="00A31137">
        <w:t>1990, Cruzan v. Director, MDH, 497 U.S. 357</w:t>
      </w:r>
    </w:p>
    <w:p w:rsidR="00A31137" w:rsidRPr="00A31137" w:rsidRDefault="00A31137" w:rsidP="00A31137">
      <w:r w:rsidRPr="00A31137">
        <w:t>3. All 50 states and the District of Columbia have general durable power of attorney statutes. See Ala.Code § 26-1-2 (1986); Alaska Stat.Ann. §§ 13.26.350 to 13.26.356 (Supp. 1989); Ariz.Rev.Stat.Ann. § 14-5501 (1975); Ark.Code Ann. §§ 28-68-201 to 28-68-203 (1987); Cal.Civ.Code Ann. § 2400 (West Supp.1990); Colo.Rev.Stat. § 15-14-501 et seq. (1987); Conn.Gen.Stat. § 45-690 (Supp.1989); Del.Code Ann., Tit. 12, §§ 4901-4905 (1987); D.C.Code § 21-2081 et seq. (1989); Fla.Stat. § 709.08 (1989); Ga.Code Ann. § 10-6-36 (1989); Haw.Rev.Stat. §§ 551D-1 to 551D-7 (Supp.1989); Idaho Code § 15-5-501 et seq. (Supp.1989); Ill.Rev.Stat., ch. 110 1/2, ¶ 802-6 (1987); Ind.Code §§ 30-2-11-1 to 30-2-11-7 (1988); Iowa Code § 633.705 (Supp.1989); Kan.Stat.Ann. § 58-610 (1983); Ky.Rev.Stat.Ann. § 386.093 (Baldwin 1983); La. Civ.Code Ann. § 3027 (West Supp.1990); Me. Rev.Stat.Ann., Tit. 18-A, § 5-501 et seq. (Supp. 1989); Md.Est. &amp; Trusts Code Ann. §§ 13-601 to 13-602 (1974) (as interpreted by the Attorney General, see 73 Op.Md.Atty.Gen. No. 88-046 (Oct. 17, 1988)); Mass.Gen.Laws ch. 201B, § 1 to 201B, § 7 (1988); Mich.Comp.Laws § 700.495, 700.497 (1980); Minn.Stat. § 523.01 et seq. (1988); Miss.Code Ann. § 87-3-13 (Supp. 1989); Mo.Rev.Stat. § 404.700 (Supp.1990); Mont.Code Ann. §§ 72-5-501 to 72-5-502 (1989); Neb.Rev.Stat. §§ 30-2664 to 30-2672, 30-2667 (1985); Nev.Rev.Stat. § 111.460 et seq. (1986); N.H.Rev.Stat.Ann. § 506:6 et seq. (Supp. 1989); N.J.Stat.Ann. § 46:2B-8 (1989); N.M. Stat.Ann. § 45-5-501 et seq. (1989); N.Y.Gen. Oblig.Law § 5-1602 (McKinney 1989); N.C.Gen. Stat. § 32A-1 et seq. (1987); N.D.Cent.Code §§ 30.1-30-01 to 30.1-30-05 (Supp.1989); Ohio Rev.Code Ann. § 1337.09 (Supp.1989); Okla. Stat., Tit. 58, §§ 1071-1077 (Supp.1989); Ore. Rev.Stat. § 127.005 (1989); Pa.Con.Stat.Ann., Tit. 20, §§ 5601 et seq., 5602(a)(9) (Purdon Supp.1989); R.I.Gen.Laws § 34-22-6.1 (1984); S.C.Code §§ 62-5-501 to 62-5-502 (1987); S.D. Codified Laws § 59-7-2.1 (1978); Tenn.Code Ann. § 346-101 et seq. (1984); Tex.Prob.Code Ann. § 36A (Supp.1990); Utah Code Ann. § 75-5-501 et seq. (1978); Vt.Stat.Ann., Tit. 14, § 3051 et seq. (1989); Va.Code § 11-9.1 et seq. (1989); Wash.Rev.Code § 11.94.020 (1989); W.Va.Code § 39-4-1 et seq. (Supp.1989); Wis. Stat. § 243.07 (1987-1988) (as interpreted by the Attorney General, see Wis.Op.Atty.Gen. 35-88 (1988)); Wyo.Stat. § 3-5-101 et seq. (1985).</w:t>
      </w:r>
    </w:p>
    <w:p w:rsidR="00A31137" w:rsidRPr="00A31137" w:rsidRDefault="00A31137" w:rsidP="00A31137">
      <w:r w:rsidRPr="00A31137">
        <w:t>1990, Cruzan v. Director, MDH, 497 U.S. 357</w:t>
      </w:r>
    </w:p>
    <w:p w:rsidR="00A31137" w:rsidRPr="00A31137" w:rsidRDefault="00A31137" w:rsidP="00A31137">
      <w:r w:rsidRPr="00A31137">
        <w:t>4. Thirteen states have living will statutes authorizing the appointment of healthcare proxies. See Ark.Code Ann. § 20-17-202 (Supp.1989); Del.Code Ann., Tit. 16, § 2502 (1983); Fla.Stat. § 765.05(2) (1989); Idaho Code § 39-4504 (Supp.1989); Ind.Code § 16-8-11-14(g)(2) (1988); Iowa Code § 144A.7(1)(a) (1989); La.R. S.Ann., 40:1299.58.1, 40:1299.58.3(C) (West Supp.1990); Minn.Stat. § 145B.01 et seq. (Supp. 1989); Texas Health &amp; Safety Code Ann. § 672.003(d) (Supp.1990); Utah Code Ann. §§ 75-2-1105, 75-2-1106 (Supp.1989); Va.Code § 54.1-2986(2) (1988); 1987 Wash.Laws, ch. 162 § 1, Sec. (1)(b); Wyo.Stat. § 35-22-102 (1988).</w:t>
      </w:r>
    </w:p>
    <w:p w:rsidR="00A31137" w:rsidRPr="00A31137" w:rsidRDefault="00A31137" w:rsidP="00A31137">
      <w:r w:rsidRPr="00A31137">
        <w:t>BRENNAN, J., dissenting (Footnotes)</w:t>
      </w:r>
    </w:p>
    <w:p w:rsidR="00A31137" w:rsidRPr="00A31137" w:rsidRDefault="00A31137" w:rsidP="00A31137">
      <w:r w:rsidRPr="00A31137">
        <w:t>1990, Cruzan v. Director, MDH, 497 U.S. 357</w:t>
      </w:r>
    </w:p>
    <w:p w:rsidR="00A31137" w:rsidRPr="00A31137" w:rsidRDefault="00A31137" w:rsidP="00A31137">
      <w:r w:rsidRPr="00A31137">
        <w:t>1. Rasmussen v. Fleming, 154 Ariz. 207, 211, 741 P.2d 674, 678 (1987) (en banc).</w:t>
      </w:r>
    </w:p>
    <w:p w:rsidR="00A31137" w:rsidRPr="00A31137" w:rsidRDefault="00A31137" w:rsidP="00A31137">
      <w:r w:rsidRPr="00A31137">
        <w:t>1990, Cruzan v. Director, MDH, 497 U.S. 357</w:t>
      </w:r>
    </w:p>
    <w:p w:rsidR="00A31137" w:rsidRPr="00A31137" w:rsidRDefault="00A31137" w:rsidP="00A31137">
      <w:r w:rsidRPr="00A31137">
        <w:t>2. Vegetative state patients may react reflexively to sounds, movements and normally painful stimuli, but they do not feel any pain or sense anybody or anything. Vegetative state patients may appear awake, but are completely unaware. See Cranford, The Persistent Vegetative State: The Medical Reality, 18 Hastings Ctr.Rep. 27, 28, 31 (1988).</w:t>
      </w:r>
    </w:p>
    <w:p w:rsidR="00A31137" w:rsidRPr="00A31137" w:rsidRDefault="00A31137" w:rsidP="00A31137">
      <w:r w:rsidRPr="00A31137">
        <w:t>1990, Cruzan v. Director, MDH, 497 U.S. 357</w:t>
      </w:r>
    </w:p>
    <w:p w:rsidR="00A31137" w:rsidRPr="00A31137" w:rsidRDefault="00A31137" w:rsidP="00A31137">
      <w:r w:rsidRPr="00A31137">
        <w:t>3. See President's Commission for the Study of Ethical Problems in Medicine and Biomedical and Behavioral Research, Deciding to Forego Life Sustaining Treatment 15, n. 1, and 17-18 (1983) (hereafter President's Commission).</w:t>
      </w:r>
    </w:p>
    <w:p w:rsidR="00A31137" w:rsidRPr="00A31137" w:rsidRDefault="00A31137" w:rsidP="00A31137">
      <w:r w:rsidRPr="00A31137">
        <w:t>1990, Cruzan v. Director, MDH, 497 U.S. 357</w:t>
      </w:r>
    </w:p>
    <w:p w:rsidR="00A31137" w:rsidRPr="00A31137" w:rsidRDefault="00A31137" w:rsidP="00A31137">
      <w:r w:rsidRPr="00A31137">
        <w:t>4. See Lipton, Do-Not-Resuscitate Decisions in a Community Hospital: Incidence, Implications and Outcomes, 256 JAMA 1164, 1168 (1986).</w:t>
      </w:r>
    </w:p>
    <w:p w:rsidR="00A31137" w:rsidRPr="00A31137" w:rsidRDefault="00A31137" w:rsidP="00A31137">
      <w:r w:rsidRPr="00A31137">
        <w:t>1990, Cruzan v. Director, MDH, 497 U.S. 357</w:t>
      </w:r>
    </w:p>
    <w:p w:rsidR="00A31137" w:rsidRPr="00A31137" w:rsidRDefault="00A31137" w:rsidP="00A31137">
      <w:r w:rsidRPr="00A31137">
        <w:t>5. See e.g, Canterbury v. Spence, 150 U.S.App.D.C. 263, 271, 464 F.2d 772, 780, cert. denied, 409 U.S. 1064 (1972) ("The root premise" of informed consent "is the concept, fundamental in American jurisprudence, that '[e]very human being of adult years and sound mind has a right to determine what shall be done with his own body'") (quoting Schloendorff v. Society of New York Hospital, 211 N.Y. 125, 129-130, 105 N.E. 92, 93 (1914) (Cardozo, J.)). See generally Washington v. Harper, 494 U.S. 210, 241 (1990) (STEVENS, J., dissenting) ("There is no doubt…that a competent individual's right to refuse [psychotropic] medication is a fundamental liberty interest deserving the highest order of protection") .</w:t>
      </w:r>
    </w:p>
    <w:p w:rsidR="00A31137" w:rsidRPr="00A31137" w:rsidRDefault="00A31137" w:rsidP="00A31137">
      <w:r w:rsidRPr="00A31137">
        <w:t>1990, Cruzan v. Director, MDH, 497 U.S. 357</w:t>
      </w:r>
    </w:p>
    <w:p w:rsidR="00A31137" w:rsidRPr="00A31137" w:rsidRDefault="00A31137" w:rsidP="00A31137">
      <w:r w:rsidRPr="00A31137">
        <w:t>6. Under traditional tort law, exceptions have been found only to protect dependent children. See Cruzan v. Harmon, 760 S.W.2d 408, 422, n. 17 (Mo.1988) (citing cases where Missouri courts have ordered blood transfusions for children over the religious objection of parents); see also Winthrop University Hospital v. Hess, 128 Misc.2d 804, 490 N.Y.S.2d 996 (Sup.Ct. Nassau Co. 1985) (court ordered blood transfusion for religious objector because she was the mother of an infant and had explained that her objection was to the signing of the consent, not the transfusion itself); Application of President &amp; Directors of Georgetown College, Inc., 118 U.S.App.D.C. 80, 88, 331 F.2d 1000, 1008, cert. denied, 377 U.S. 978 (1964) (blood transfusion ordered for mother of infant). Cf. In re Estate of Brooks, 32 Ill.2d 361, 373, 205 N.E.2d 435, 441-442 (1965) (finding that lower court erred in ordering a blood transfusion for a woman—whose children were grown—and concluding: "Even though we may consider appellant's beliefs unwise, foolish or ridiculous, in the absence of an overriding danger to society we may not permit interference therewith in the form of a conservatorship established in the waning hours of her life for the sole purpose of compelling her to accept medical treatment forbidden by her religious principles, and previously refused by her with full knowledge of the probable consequences").</w:t>
      </w:r>
    </w:p>
    <w:p w:rsidR="00A31137" w:rsidRPr="00A31137" w:rsidRDefault="00A31137" w:rsidP="00A31137">
      <w:r w:rsidRPr="00A31137">
        <w:t>1990, Cruzan v. Director, MDH, 497 U.S. 357</w:t>
      </w:r>
    </w:p>
    <w:p w:rsidR="00A31137" w:rsidRPr="00A31137" w:rsidRDefault="00A31137" w:rsidP="00A31137">
      <w:r w:rsidRPr="00A31137">
        <w:t>7. The Missouri court appears to be alone among state courts to suggest otherwise, 760 S.W.2d at 419 and 423, although the court did not rely on a distinction between artificial feeding and other forms of medical treatment. Id. at 423. See, e.g., Delio v. Westchester County Medical Center, 129 App.Div.2d 1, 19, 516 N.Y.S.2d 677, 689 (1987) ("review of the decisions in other jurisdictions…failed to uncover a single case in which a court confronted with an application to discontinue feeding by artificial means has evaluated medical procedures to provide nutrition and hydration differently from other types of life-sustaining procedures").</w:t>
      </w:r>
    </w:p>
    <w:p w:rsidR="00A31137" w:rsidRPr="00A31137" w:rsidRDefault="00A31137" w:rsidP="00A31137">
      <w:r w:rsidRPr="00A31137">
        <w:t>1990, Cruzan v. Director, MDH, 497 U.S. 357</w:t>
      </w:r>
    </w:p>
    <w:p w:rsidR="00A31137" w:rsidRPr="00A31137" w:rsidRDefault="00A31137" w:rsidP="00A31137">
      <w:r w:rsidRPr="00A31137">
        <w:t>8. While brain stem cells can survive 15 to 20 minutes without oxygen, cells in the cerebral hemispheres are destroyed if they are deprived of oxygen for as few as 4 to 6 minutes. See Cranford &amp; Smith, Some Critical Distinctions Between Brain Death and the Persistent Vegetative State, 6 Ethics Sci. &amp; Med. 199, 203 (1979). It is estimated that Nancy's brain was deprived of oxygen from 12 to 14 minutes. See ante at  266. Out of the 100,000 patients who, like Nancy, have fallen into persistent vegetative states in the past 20 years due to loss of oxygen to the brain, there have been only three even partial recoveries documented in the medical literature. Brief for American Medical Association et al. as Amici Curiae 11-12. The longest any person has ever been in a persistent vegetative state and recovered was 22 months. See Snyder, Cranford, Rubens, Bundlic, &amp; Rockswold, Delayed Recovery from Postanoxic Persistent Vegetative State, 14 Annals Neurol. 156 (1983). Nancy has been in this state for seven years.</w:t>
      </w:r>
    </w:p>
    <w:p w:rsidR="00A31137" w:rsidRPr="00A31137" w:rsidRDefault="00A31137" w:rsidP="00A31137">
      <w:r w:rsidRPr="00A31137">
        <w:t>1990, Cruzan v. Director, MDH, 497 U.S. 357</w:t>
      </w:r>
    </w:p>
    <w:p w:rsidR="00A31137" w:rsidRPr="00A31137" w:rsidRDefault="00A31137" w:rsidP="00A31137">
      <w:r w:rsidRPr="00A31137">
        <w:t>9. The American Academy of Neurology offers three independent bases on which the medical profession rests these neurological conclusions:</w:t>
      </w:r>
    </w:p>
    <w:p w:rsidR="00A31137" w:rsidRPr="00A31137" w:rsidRDefault="00A31137" w:rsidP="00A31137">
      <w:r w:rsidRPr="00A31137">
        <w:t>1990, Cruzan v. Director, MDH, 497 U.S. 357</w:t>
      </w:r>
    </w:p>
    <w:p w:rsidR="00A31137" w:rsidRPr="00A31137" w:rsidRDefault="00A31137" w:rsidP="00A31137">
      <w:r w:rsidRPr="00A31137">
        <w:t>First, direct clinical experience with these patients demonstrates that there is no behavioral indication of any awareness of pain or suffering.</w:t>
      </w:r>
    </w:p>
    <w:p w:rsidR="00A31137" w:rsidRPr="00A31137" w:rsidRDefault="00A31137" w:rsidP="00A31137">
      <w:r w:rsidRPr="00A31137">
        <w:t>1990, Cruzan v. Director, MDH, 497 U.S. 357</w:t>
      </w:r>
    </w:p>
    <w:p w:rsidR="00A31137" w:rsidRPr="00A31137" w:rsidRDefault="00A31137" w:rsidP="00A31137">
      <w:r w:rsidRPr="00A31137">
        <w:t>Second, in all persistent vegetative state patients studied to date, post-mortem examination reveals overwhelming bilateral damage to the cerebral hemispheres to a degree incompatible with consciousness….</w:t>
      </w:r>
    </w:p>
    <w:p w:rsidR="00A31137" w:rsidRPr="00A31137" w:rsidRDefault="00A31137" w:rsidP="00A31137">
      <w:r w:rsidRPr="00A31137">
        <w:t>1990, Cruzan v. Director, MDH, 497 U.S. 357</w:t>
      </w:r>
    </w:p>
    <w:p w:rsidR="00A31137" w:rsidRPr="00A31137" w:rsidRDefault="00A31137" w:rsidP="00A31137">
      <w:r w:rsidRPr="00A31137">
        <w:t>Third, recent data utilizing positron emission tomography indicates that the metabolic rate for glucose in the cerebral cortex is greatly reduced in persistent vegetative state patients, to a degree incompatible with consciousness.</w:t>
      </w:r>
    </w:p>
    <w:p w:rsidR="00A31137" w:rsidRPr="00A31137" w:rsidRDefault="00A31137" w:rsidP="00A31137">
      <w:r w:rsidRPr="00A31137">
        <w:t>1990, Cruzan v. Director, MDH, 497 U.S. 357</w:t>
      </w:r>
    </w:p>
    <w:p w:rsidR="00A31137" w:rsidRPr="00A31137" w:rsidRDefault="00A31137" w:rsidP="00A31137">
      <w:r w:rsidRPr="00A31137">
        <w:t>Position of the American Academy of Neurology on Certain Aspects of the Care and Management of the Persistent Vegetative State Patient, 39 Neurology 125 (Jan.1989).</w:t>
      </w:r>
    </w:p>
    <w:p w:rsidR="00A31137" w:rsidRPr="00A31137" w:rsidRDefault="00A31137" w:rsidP="00A31137">
      <w:r w:rsidRPr="00A31137">
        <w:t>1990, Cruzan v. Director, MDH, 497 U.S. 357</w:t>
      </w:r>
    </w:p>
    <w:p w:rsidR="00A31137" w:rsidRPr="00A31137" w:rsidRDefault="00A31137" w:rsidP="00A31137">
      <w:r w:rsidRPr="00A31137">
        <w:t>10. Nancy Cruzan, for instance, is totally and permanently disabled. All four of her limbs are severely contracted; her fingernails cut into her wrists. App. to Pet. for Cert. A93. She is incontinent of bowel and bladder. The most intimate aspects of her existence are exposed to and controlled by strangers. Brief for Respondent Guardian Ad Litem 2. Her family is convinced that Nancy would find this state degrading. See n. |497 U.S. 261fn3/20|20, infra.</w:t>
      </w:r>
    </w:p>
    <w:p w:rsidR="00A31137" w:rsidRPr="00A31137" w:rsidRDefault="00A31137" w:rsidP="00A31137">
      <w:r w:rsidRPr="00A31137">
        <w:t>1990, Cruzan v. Director, MDH, 497 U.S. 357</w:t>
      </w:r>
    </w:p>
    <w:p w:rsidR="00A31137" w:rsidRPr="00A31137" w:rsidRDefault="00A31137" w:rsidP="00A31137">
      <w:r w:rsidRPr="00A31137">
        <w:t>11. What general information exists about what most people would choose or would prefer to have chosen for them under these circumstances also indicates the importance of ensuring a means for now-incompetent patients to exercise their right to avoid unwanted medical treatment. A 1988 poll conducted by the American Medical Association found that 80% of those surveyed favored withdrawal of life support systems from hopelessly ill or irreversibly comatose patients if they or their families requested it. New York Times, June 5, 1988, p. 14, col. 4 (citing American Medical News, June 3, 1988, p. 9, col. 1). Another 1988 poll conducted by the Colorado University Graduate School of Public Affairs showed that 85% of those questioned would not want to have their own lives maintained with artificial nutrition and hydration if they became permanently unconscious. The Coloradoan, Sept. 29, 1988, p. 1.</w:t>
      </w:r>
    </w:p>
    <w:p w:rsidR="00A31137" w:rsidRPr="00A31137" w:rsidRDefault="00A31137" w:rsidP="00A31137">
      <w:r w:rsidRPr="00A31137">
        <w:t>1990, Cruzan v. Director, MDH, 497 U.S. 357</w:t>
      </w:r>
    </w:p>
    <w:p w:rsidR="00A31137" w:rsidRPr="00A31137" w:rsidRDefault="00A31137" w:rsidP="00A31137">
      <w:r w:rsidRPr="00A31137">
        <w:t>Such attitudes have been translated into considerable political action. Since 1976, 40 States and the District of Columbia have enacted natural death acts, expressly providing for self-determination under some or all of these situations. See Brief for Society for the Right to Die, Inc. as Amicus Curiae 8; Weiner, Privacy Family, and Medical Decision Making for Persistent Vegetative Patients, 11 Cardozo L.Rev. 713, 720 (1990). Thirteen States and the District of Columbia have enacted statutes authorizing the appointment of proxies for making health care decisions. See ante at  290, n. 2 (O'CONNOR, J., concurring).</w:t>
      </w:r>
    </w:p>
    <w:p w:rsidR="00A31137" w:rsidRPr="00A31137" w:rsidRDefault="00A31137" w:rsidP="00A31137">
      <w:r w:rsidRPr="00A31137">
        <w:t>1990, Cruzan v. Director, MDH, 497 U.S. 357</w:t>
      </w:r>
    </w:p>
    <w:p w:rsidR="00A31137" w:rsidRPr="00A31137" w:rsidRDefault="00A31137" w:rsidP="00A31137">
      <w:r w:rsidRPr="00A31137">
        <w:t>12. See Jacobson v. Massachusetts, 197 U.S. 11, 26-27 (1905) (upholding a Massachusetts law imposing fines or imprisonment on those refusing to be vaccinated as "of paramount necessity" to that State's fight against a smallpox epidemic).</w:t>
      </w:r>
    </w:p>
    <w:p w:rsidR="00A31137" w:rsidRPr="00A31137" w:rsidRDefault="00A31137" w:rsidP="00A31137">
      <w:r w:rsidRPr="00A31137">
        <w:t>1990, Cruzan v. Director, MDH, 497 U.S. 357</w:t>
      </w:r>
    </w:p>
    <w:p w:rsidR="00A31137" w:rsidRPr="00A31137" w:rsidRDefault="00A31137" w:rsidP="00A31137">
      <w:r w:rsidRPr="00A31137">
        <w:t>13. Were such interests at stake, however, I would find that the Due Process Clause places limits on what invasive medical procedures could be forced on an unwilling comatose patient in pursuit of the interests of a third party. If Missouri were correct that its interests outweigh Nancy's interest in avoiding medical procedures as long as she is free of pain and physical discomfort, see 760 S.W.2d at 424, it is not apparent why a State could not choose to remove one of her kidneys without consent on the ground that society would be better off if the recipient of that kidney were saved from renal poisoning. Nancy cannot feel surgical pain. See |497 U.S. 261fn3/2|n. 2, supra. Nor would removal of one kidney be expected to shorten her life expectancy. See The American Medical Association Family Medical Guide 506 (J. Kunz ed. 1982). Patches of her skin could also be removed to provide grafts for burn victims, and scrapings of bone marrow to provide grafts for someone with leukemia. Perhaps the State could lawfully remove more vital organs for transplanting into others who would then be cured of their ailments, provided the State placed Nancy on some other life-support equipment to replace the lost function. Indeed, why could the State not perform medical experiments on her body, experiments that might save countless lives, and would cause her no greater burden than she already bears by being fed through the gastrostomy tube? This would be too brave a new world for me and, I submit, for our Constitution .</w:t>
      </w:r>
    </w:p>
    <w:p w:rsidR="00A31137" w:rsidRPr="00A31137" w:rsidRDefault="00A31137" w:rsidP="00A31137">
      <w:r w:rsidRPr="00A31137">
        <w:t>1990, Cruzan v. Director, MDH, 497 U.S. 357</w:t>
      </w:r>
    </w:p>
    <w:p w:rsidR="00A31137" w:rsidRPr="00A31137" w:rsidRDefault="00A31137" w:rsidP="00A31137">
      <w:r w:rsidRPr="00A31137">
        <w:t>14. The Missouri Supreme Court reviewed the state interests that had been identified by other courts as potentially relevant—prevention of homicide and suicide, protection of interests of innocent third parties, maintenance of the ethical integrity of the medical profession, and preservation of life—and concluded that: "In this case, only the state's interest in the preservation of life is implicated." 760 S.W.2d at 419.</w:t>
      </w:r>
    </w:p>
    <w:p w:rsidR="00A31137" w:rsidRPr="00A31137" w:rsidRDefault="00A31137" w:rsidP="00A31137">
      <w:r w:rsidRPr="00A31137">
        <w:t>1990, Cruzan v. Director, MDH, 497 U.S. 357</w:t>
      </w:r>
    </w:p>
    <w:p w:rsidR="00A31137" w:rsidRPr="00A31137" w:rsidRDefault="00A31137" w:rsidP="00A31137">
      <w:r w:rsidRPr="00A31137">
        <w:t>15. In any event, the State interest identified by the Missouri Supreme Court—a comprehensive and "unqualified" interest in preserving life, id. at 420, 424 is not even well supported by that State's own enactments. In the first place, Missouri has no law requiring every person to procure any needed medical care nor a state health insurance program to underwrite such care. Id. at 429 (Blackmar, J., dissenting). Second, as the state court admitted, Missouri has a living will statute which specifically "allows and encourages the pre-planned termination of life." Ibid.; see Mo.Rev.Stat. § 459.015.1 (1986). The fact that Missouri actively provides for its citizens to choose a natural death under certain circumstances suggests that the State's interest in life is not so unqualified as the court below suggests. It is true that this particular statute does not apply to nonterminal patients and does not include artificial nutrition and hydration as one of the measures that may be declined. Nonetheless, Missouri has also not chosen to require court review of every decision to withhold or withdraw life-support made on behalf of an incompetent patient. Such decisions are made every day, without state participation. See 760 S.W.2d at 428 (Blackmar, J., dissenting) .</w:t>
      </w:r>
    </w:p>
    <w:p w:rsidR="00A31137" w:rsidRPr="00A31137" w:rsidRDefault="00A31137" w:rsidP="00A31137">
      <w:r w:rsidRPr="00A31137">
        <w:t>1990, Cruzan v. Director, MDH, 497 U.S. 357</w:t>
      </w:r>
    </w:p>
    <w:p w:rsidR="00A31137" w:rsidRPr="00A31137" w:rsidRDefault="00A31137" w:rsidP="00A31137">
      <w:r w:rsidRPr="00A31137">
        <w:t>In addition, precisely what implication can be drawn from the statute's limitations is unclear, given the inclusion of a series of "interpretive" provisions in the Act. The first such provision explains that the Act is to be interpreted consistently with the following:</w:t>
      </w:r>
    </w:p>
    <w:p w:rsidR="00A31137" w:rsidRPr="00A31137" w:rsidRDefault="00A31137" w:rsidP="00A31137">
      <w:r w:rsidRPr="00A31137">
        <w:t>1990, Cruzan v. Director, MDH, 497 U.S. 357</w:t>
      </w:r>
    </w:p>
    <w:p w:rsidR="00A31137" w:rsidRPr="00A31137" w:rsidRDefault="00A31137" w:rsidP="00A31137">
      <w:r w:rsidRPr="00A31137">
        <w:t>Each person has the primary right to request or refuse medical treatment subject to the state's interest in protecting innocent third parties, preventing homicide and suicide and preserving good ethical standards in the medical profession.</w:t>
      </w:r>
    </w:p>
    <w:p w:rsidR="00A31137" w:rsidRPr="00A31137" w:rsidRDefault="00A31137" w:rsidP="00A31137">
      <w:r w:rsidRPr="00A31137">
        <w:t>1990, Cruzan v. Director, MDH, 497 U.S. 357</w:t>
      </w:r>
    </w:p>
    <w:p w:rsidR="00A31137" w:rsidRPr="00A31137" w:rsidRDefault="00A31137" w:rsidP="00A31137">
      <w:r w:rsidRPr="00A31137">
        <w:t>Mo.Rev.Stat. § 459.055(1) (1986). The second of these subsections explains that the Act's provisions are cumulative, and not intended to increase or decrease the right of a patient to make decisions or lawfully effect the withholding or withdrawal of medical care. § 459.055(2). The third subsection provides that</w:t>
      </w:r>
    </w:p>
    <w:p w:rsidR="00A31137" w:rsidRPr="00A31137" w:rsidRDefault="00A31137" w:rsidP="00A31137">
      <w:r w:rsidRPr="00A31137">
        <w:t>1990, Cruzan v. Director, MDH, 497 U.S. 357</w:t>
      </w:r>
    </w:p>
    <w:p w:rsidR="00A31137" w:rsidRPr="00A31137" w:rsidRDefault="00A31137" w:rsidP="00A31137">
      <w:r w:rsidRPr="00A31137">
        <w:t>no presumption concerning the intention of an individual who has not executed a declaration to consent to the use or withholding of medical procedures</w:t>
      </w:r>
    </w:p>
    <w:p w:rsidR="00A31137" w:rsidRPr="00A31137" w:rsidRDefault="00A31137" w:rsidP="00A31137">
      <w:r w:rsidRPr="00A31137">
        <w:t>1990, Cruzan v. Director, MDH, 497 U.S. 357</w:t>
      </w:r>
    </w:p>
    <w:p w:rsidR="00A31137" w:rsidRPr="00A31137" w:rsidRDefault="00A31137" w:rsidP="00A31137">
      <w:r w:rsidRPr="00A31137">
        <w:t>shall be created. § 459.055(3).</w:t>
      </w:r>
    </w:p>
    <w:p w:rsidR="00A31137" w:rsidRPr="00A31137" w:rsidRDefault="00A31137" w:rsidP="00A31137">
      <w:r w:rsidRPr="00A31137">
        <w:t>1990, Cruzan v. Director, MDH, 497 U.S. 357</w:t>
      </w:r>
    </w:p>
    <w:p w:rsidR="00A31137" w:rsidRPr="00A31137" w:rsidRDefault="00A31137" w:rsidP="00A31137">
      <w:r w:rsidRPr="00A31137">
        <w:t>Thus, even if it were conceivable that a State could assert an interest sufficiently compelling to overcome Nancy Cruzan's constitutional right, Missouri law demonstrates a more modest interest at best. See generally Capital Cities Cable, Inc. v. Crisp, 467 U.S. 691, 715 (1984) (finding that state regulations narrow in scope indicated that State had only a moderate interest in its professed goal).</w:t>
      </w:r>
    </w:p>
    <w:p w:rsidR="00A31137" w:rsidRPr="00A31137" w:rsidRDefault="00A31137" w:rsidP="00A31137">
      <w:r w:rsidRPr="00A31137">
        <w:t>1990, Cruzan v. Director, MDH, 497 U.S. 357</w:t>
      </w:r>
    </w:p>
    <w:p w:rsidR="00A31137" w:rsidRPr="00A31137" w:rsidRDefault="00A31137" w:rsidP="00A31137">
      <w:r w:rsidRPr="00A31137">
        <w:t>16. See Colorado v. New Mexico, 467 U.S. 310 (1984) (requiring clear and convincing evidence before one State is permitted to divert water from another to accommodate society's interests in stable property rights and efficient use of resources); New York v. New Jersey, 256 U.S. 296 (1921) (promoting federalism by requiring clear and convincing evidence before using Court's power to control the conduct of one State at the behest of another); Maxwell Land-Grant Case, 121 U.S. 325 (1887) (requiring clear, unequivocal, and convincing evidence to set aside, annul or correct a patent or other title to property issued by the Government in order to secure settled expectations concerning property rights); Marcum v. Zaring, 406 P.2d 970 (Okla.1965) (promoting stability of marriage by requiring clear and convincing evidence to prove its invalidity); Stevenson v. Stein, 412 Pa. 478, 195 A.2d 268 (1963)(promoting settled expectations concerning property rights by requiring clear and convincing evidence to prove adverse possession).</w:t>
      </w:r>
    </w:p>
    <w:p w:rsidR="00A31137" w:rsidRPr="00A31137" w:rsidRDefault="00A31137" w:rsidP="00A31137">
      <w:r w:rsidRPr="00A31137">
        <w:t>1990, Cruzan v. Director, MDH, 497 U.S. 357</w:t>
      </w:r>
    </w:p>
    <w:p w:rsidR="00A31137" w:rsidRPr="00A31137" w:rsidRDefault="00A31137" w:rsidP="00A31137">
      <w:r w:rsidRPr="00A31137">
        <w:t>17. The majority's definition of the "status quo," of course, begs the question. Artificial delivery of nutrition and hydration represents the "status quo" only if the State has chosen to permit doctors and hospitals to keep a patient on life-support systems over the protests of his family or guardian. The "status quo" absent that state interference would be the natural result of his accident or illness (and the family's decision). The majority's definition of status quo, however, is</w:t>
      </w:r>
    </w:p>
    <w:p w:rsidR="00A31137" w:rsidRPr="00A31137" w:rsidRDefault="00A31137" w:rsidP="00A31137">
      <w:r w:rsidRPr="00A31137">
        <w:t>1990, Cruzan v. Director, MDH, 497 U.S. 357</w:t>
      </w:r>
    </w:p>
    <w:p w:rsidR="00A31137" w:rsidRPr="00A31137" w:rsidRDefault="00A31137" w:rsidP="00A31137">
      <w:r w:rsidRPr="00A31137">
        <w:t>to a large extent a predictable, yet accidental confluence of technology, psyche, and inertia. The general citizenry…never said that it favored the creation of coma wards where permanently unconscious patients would be tended for years and years. Nor did the populace as a whole authorize the preeminence of doctors over families in making treatment decisions for incompetent patients.</w:t>
      </w:r>
    </w:p>
    <w:p w:rsidR="00A31137" w:rsidRPr="00A31137" w:rsidRDefault="00A31137" w:rsidP="00A31137">
      <w:r w:rsidRPr="00A31137">
        <w:t>1990, Cruzan v. Director, MDH, 497 U.S. 357</w:t>
      </w:r>
    </w:p>
    <w:p w:rsidR="00A31137" w:rsidRPr="00A31137" w:rsidRDefault="00A31137" w:rsidP="00A31137">
      <w:r w:rsidRPr="00A31137">
        <w:t>Rhoden, Litigating Life and Death, 102 Harv.L.Rev. 375, 433-434 (1988).</w:t>
      </w:r>
    </w:p>
    <w:p w:rsidR="00A31137" w:rsidRPr="00A31137" w:rsidRDefault="00A31137" w:rsidP="00A31137">
      <w:r w:rsidRPr="00A31137">
        <w:t>1990, Cruzan v. Director, MDH, 497 U.S. 357</w:t>
      </w:r>
    </w:p>
    <w:p w:rsidR="00A31137" w:rsidRPr="00A31137" w:rsidRDefault="00A31137" w:rsidP="00A31137">
      <w:r w:rsidRPr="00A31137">
        <w:t>18. For Nancy Cruzan, no such cure or improvement is in view. So much of her brain has deteriorated and been replaced by fluid, see App. to Pet. for Cert. A94, that apparently the only medical advance that could restore consciousness to her body would be a brain transplant. Cf. n. |497 U.S. 261fn3/22|22, infra.</w:t>
      </w:r>
    </w:p>
    <w:p w:rsidR="00A31137" w:rsidRPr="00A31137" w:rsidRDefault="00A31137" w:rsidP="00A31137">
      <w:r w:rsidRPr="00A31137">
        <w:t>1990, Cruzan v. Director, MDH, 497 U.S. 357</w:t>
      </w:r>
    </w:p>
    <w:p w:rsidR="00A31137" w:rsidRPr="00A31137" w:rsidRDefault="00A31137" w:rsidP="00A31137">
      <w:r w:rsidRPr="00A31137">
        <w:t>19. The trial court had relied on the testimony of Athena Comer, a long-time friend, coworker and a housemate for several months, as sufficient to show that Nancy Cruzan would wish to be free of medical treatment under her present circumstances. App. to Pet. for Cert. A94. Ms. Comer described a conversation she and Nancy had while living together concerning Ms. Comer's sister, who had become ill suddenly and died during the night. The Comer family had been told that, if she had lived through the night, she would have been in a vegetative state. Nancy had lost a grandmother a few months before. Ms. Comer testified that:</w:t>
      </w:r>
    </w:p>
    <w:p w:rsidR="00A31137" w:rsidRPr="00A31137" w:rsidRDefault="00A31137" w:rsidP="00A31137">
      <w:r w:rsidRPr="00A31137">
        <w:t>1990, Cruzan v. Director, MDH, 497 U.S. 357</w:t>
      </w:r>
    </w:p>
    <w:p w:rsidR="00A31137" w:rsidRPr="00A31137" w:rsidRDefault="00A31137" w:rsidP="00A31137">
      <w:r w:rsidRPr="00A31137">
        <w:t>Nancy said she would never want to live [as a vegetative state] because if she couldn't be normal or even, you know, like half way, and do things for yourself, because Nancy always did, that she didn't want to live…and we talked about it a lot.</w:t>
      </w:r>
    </w:p>
    <w:p w:rsidR="00A31137" w:rsidRPr="00A31137" w:rsidRDefault="00A31137" w:rsidP="00A31137">
      <w:r w:rsidRPr="00A31137">
        <w:t>1990, Cruzan v. Director, MDH, 497 U.S. 357</w:t>
      </w:r>
    </w:p>
    <w:p w:rsidR="00A31137" w:rsidRPr="00A31137" w:rsidRDefault="00A31137" w:rsidP="00A31137">
      <w:r w:rsidRPr="00A31137">
        <w:t>Tr. 388-389. She said "several times" that</w:t>
      </w:r>
    </w:p>
    <w:p w:rsidR="00A31137" w:rsidRPr="00A31137" w:rsidRDefault="00A31137" w:rsidP="00A31137">
      <w:r w:rsidRPr="00A31137">
        <w:t>1990, Cruzan v. Director, MDH, 497 U.S. 357</w:t>
      </w:r>
    </w:p>
    <w:p w:rsidR="00A31137" w:rsidRPr="00A31137" w:rsidRDefault="00A31137" w:rsidP="00A31137">
      <w:r w:rsidRPr="00A31137">
        <w:t>she wouldn't want to live that way because if she was going to live, she wanted to be able to live, not to just lay in a bed and not be able to move because you can't do anything for yourself.</w:t>
      </w:r>
    </w:p>
    <w:p w:rsidR="00A31137" w:rsidRPr="00A31137" w:rsidRDefault="00A31137" w:rsidP="00A31137">
      <w:r w:rsidRPr="00A31137">
        <w:t>1990, Cruzan v. Director, MDH, 497 U.S. 357</w:t>
      </w:r>
    </w:p>
    <w:p w:rsidR="00A31137" w:rsidRPr="00A31137" w:rsidRDefault="00A31137" w:rsidP="00A31137">
      <w:r w:rsidRPr="00A31137">
        <w:t>Id. at 390, 396.</w:t>
      </w:r>
    </w:p>
    <w:p w:rsidR="00A31137" w:rsidRPr="00A31137" w:rsidRDefault="00A31137" w:rsidP="00A31137">
      <w:r w:rsidRPr="00A31137">
        <w:t>1990, Cruzan v. Director, MDH, 497 U.S. 357</w:t>
      </w:r>
    </w:p>
    <w:p w:rsidR="00A31137" w:rsidRPr="00A31137" w:rsidRDefault="00A31137" w:rsidP="00A31137">
      <w:r w:rsidRPr="00A31137">
        <w:t>[S]he said that she hoped that [all the] people in her family knew that she wouldn't want to live [as a vegetable] because she knew it was usually up to the family whether you lived that way or not.</w:t>
      </w:r>
    </w:p>
    <w:p w:rsidR="00A31137" w:rsidRPr="00A31137" w:rsidRDefault="00A31137" w:rsidP="00A31137">
      <w:r w:rsidRPr="00A31137">
        <w:t>1990, Cruzan v. Director, MDH, 497 U.S. 357</w:t>
      </w:r>
    </w:p>
    <w:p w:rsidR="00A31137" w:rsidRPr="00A31137" w:rsidRDefault="00A31137" w:rsidP="00A31137">
      <w:r w:rsidRPr="00A31137">
        <w:t>Id. at 399.</w:t>
      </w:r>
    </w:p>
    <w:p w:rsidR="00A31137" w:rsidRPr="00A31137" w:rsidRDefault="00A31137" w:rsidP="00A31137">
      <w:r w:rsidRPr="00A31137">
        <w:t>1990, Cruzan v. Director, MDH, 497 U.S. 357</w:t>
      </w:r>
    </w:p>
    <w:p w:rsidR="00A31137" w:rsidRPr="00A31137" w:rsidRDefault="00A31137" w:rsidP="00A31137">
      <w:r w:rsidRPr="00A31137">
        <w:t>The conversation took place approximately a year before Nancy's accident, and was described by Ms. Comer as a "very serious" conversation that continued for approximately half an hour without interruption. Id. at 390. The Missouri Supreme Court dismissed Nancy's statement as "unreliable" on the ground that it was an informally expressed reaction to other people's medical conditions. 760 S.W.2d at 424.</w:t>
      </w:r>
    </w:p>
    <w:p w:rsidR="00A31137" w:rsidRPr="00A31137" w:rsidRDefault="00A31137" w:rsidP="00A31137">
      <w:r w:rsidRPr="00A31137">
        <w:t>1990, Cruzan v. Director, MDH, 497 U.S. 357</w:t>
      </w:r>
    </w:p>
    <w:p w:rsidR="00A31137" w:rsidRPr="00A31137" w:rsidRDefault="00A31137" w:rsidP="00A31137">
      <w:r w:rsidRPr="00A31137">
        <w:t>The Missouri Supreme Court did not refer to other evidence of Nancy's wishes or explain why it was rejected. Nancy's sister Christy, to whom she was very close, testified that she and Nancy had had two very serious conversations about a year and a half before the accident A day or two after their niece was stillborn (but would have been badly damaged if she had lived), Nancy had said that maybe it was part of a "greater plan" that the baby had been stillborn and did not have to face "the possible life of mere existence." Tr. 537. A month later, after their grandmother had died after a long battle with heart problems, Nancy said that</w:t>
      </w:r>
    </w:p>
    <w:p w:rsidR="00A31137" w:rsidRPr="00A31137" w:rsidRDefault="00A31137" w:rsidP="00A31137">
      <w:r w:rsidRPr="00A31137">
        <w:t>1990, Cruzan v. Director, MDH, 497 U.S. 357</w:t>
      </w:r>
    </w:p>
    <w:p w:rsidR="00A31137" w:rsidRPr="00A31137" w:rsidRDefault="00A31137" w:rsidP="00A31137">
      <w:r w:rsidRPr="00A31137">
        <w:t>it was better for my grandmother not to be kind of brought back and forth [by] medical [treatment], brought back from a critical near point of death….</w:t>
      </w:r>
    </w:p>
    <w:p w:rsidR="00A31137" w:rsidRPr="00A31137" w:rsidRDefault="00A31137" w:rsidP="00A31137">
      <w:r w:rsidRPr="00A31137">
        <w:t>1990, Cruzan v. Director, MDH, 497 U.S. 357</w:t>
      </w:r>
    </w:p>
    <w:p w:rsidR="00A31137" w:rsidRPr="00A31137" w:rsidRDefault="00A31137" w:rsidP="00A31137">
      <w:r w:rsidRPr="00A31137">
        <w:t>Id. at 541.</w:t>
      </w:r>
    </w:p>
    <w:p w:rsidR="00A31137" w:rsidRPr="00A31137" w:rsidRDefault="00A31137" w:rsidP="00A31137">
      <w:r w:rsidRPr="00A31137">
        <w:t>1990, Cruzan v. Director, MDH, 497 U.S. 357</w:t>
      </w:r>
    </w:p>
    <w:p w:rsidR="00A31137" w:rsidRPr="00A31137" w:rsidRDefault="00A31137" w:rsidP="00A31137">
      <w:r w:rsidRPr="00A31137">
        <w:t>20. Nancy's sister Christy, Nancy's mother, and another of Nancy's friends testified that Nancy would want to discontinue the hydration and nutrition. Christy said that "Nancy would be horrified at the state she is in." Id. at 535. She would also "want to take that burden away from [her family]." Id. at 544. Based on "a lifetime of experience, [I know Nancy's wishes] are to discontinue the hydration and the nutrition." Id. at 542. Nancy's mother testified:</w:t>
      </w:r>
    </w:p>
    <w:p w:rsidR="00A31137" w:rsidRPr="00A31137" w:rsidRDefault="00A31137" w:rsidP="00A31137">
      <w:r w:rsidRPr="00A31137">
        <w:t>1990, Cruzan v. Director, MDH, 497 U.S. 357</w:t>
      </w:r>
    </w:p>
    <w:p w:rsidR="00A31137" w:rsidRPr="00A31137" w:rsidRDefault="00A31137" w:rsidP="00A31137">
      <w:r w:rsidRPr="00A31137">
        <w:t>Nancy would not want to be like she is now. [I]f it were me up there or Christy or any of us, she would be doing for us what we are trying to do for her. I know she would,…as her mother.</w:t>
      </w:r>
    </w:p>
    <w:p w:rsidR="00A31137" w:rsidRPr="00A31137" w:rsidRDefault="00A31137" w:rsidP="00A31137">
      <w:r w:rsidRPr="00A31137">
        <w:t>1990, Cruzan v. Director, MDH, 497 U.S. 357</w:t>
      </w:r>
    </w:p>
    <w:p w:rsidR="00A31137" w:rsidRPr="00A31137" w:rsidRDefault="00A31137" w:rsidP="00A31137">
      <w:r w:rsidRPr="00A31137">
        <w:t>Id. at 526.</w:t>
      </w:r>
    </w:p>
    <w:p w:rsidR="00A31137" w:rsidRPr="00A31137" w:rsidRDefault="00A31137" w:rsidP="00A31137">
      <w:r w:rsidRPr="00A31137">
        <w:t>1990, Cruzan v. Director, MDH, 497 U.S. 357</w:t>
      </w:r>
    </w:p>
    <w:p w:rsidR="00A31137" w:rsidRPr="00A31137" w:rsidRDefault="00A31137" w:rsidP="00A31137">
      <w:r w:rsidRPr="00A31137">
        <w:t>21. Surveys show that the overwhelming majority of Americans have not executed such written instructions. See Emmanuel &amp; Emmanuel, The Medical Directive: A New Comprehensive Advance Care Document, 261 JAMA 3288 (1989) (only 9% of Americans execute advance directives about how they would wish treatment decisions to be handled if they became incompetent); American Medical Association Surveys of Physician and Public Opinion on Health Care Issues 29-30 (1988) (only 15% of those surveyed had executed living wills); 2 President's Commission for the Study of Ethical Problems in Medicine and Biomedical and Behavioral Research, Making Health Care Decisions 241-242 (1982) (23% of those surveyed said that they had put treatment instructions in writing).</w:t>
      </w:r>
    </w:p>
    <w:p w:rsidR="00A31137" w:rsidRPr="00A31137" w:rsidRDefault="00A31137" w:rsidP="00A31137">
      <w:r w:rsidRPr="00A31137">
        <w:t>1990, Cruzan v. Director, MDH, 497 U.S. 357</w:t>
      </w:r>
    </w:p>
    <w:p w:rsidR="00A31137" w:rsidRPr="00A31137" w:rsidRDefault="00A31137" w:rsidP="00A31137">
      <w:r w:rsidRPr="00A31137">
        <w:t>22. New York is the only State besides Missouri to deny a request to terminate life support on the ground that clear and convincing evidence of prior, expressed intent was absent, although New York did so in the context of very different situations. Mrs. O'Connor, the subject of In re O'Connor, had several times expressed her desire not to be placed on life-support if she were not going to be able to care for herself. However, both of her daughters testified that they did not know whether their mother would want to decline artificial nutrition and hydration under her present circumstances. Cf. |497 U.S. 261fn3/13|n. 13, supra. Moreover, despite damage from several strokes, Mrs. O'Connor was conscious and capable of responding to simple questions and requests, and the medical testimony suggested she might improve to some extent. Cf. supra, at  301. The New York Court of Appeals also denied permission to terminate blood transfusions for a severely retarded man with terminal cancer because there was no evidence of a treatment choice made by the man when competent, as he had never been competent. See In re Storar, 52 N.Y.2d 363, 438 N.Y.S.2d 266, 420 N.E.2d 64, cert. denied, 454 U.S. 858 (1981). Again, the court relied on evidence that the man was conscious, functioning in the way he always had, and that the transfusions did not cause him substantial pain (although it was clear he did not like them).</w:t>
      </w:r>
    </w:p>
    <w:p w:rsidR="00A31137" w:rsidRPr="00A31137" w:rsidRDefault="00A31137" w:rsidP="00A31137">
      <w:r w:rsidRPr="00A31137">
        <w:t>1990, Cruzan v. Director, MDH, 497 U.S. 357</w:t>
      </w:r>
    </w:p>
    <w:p w:rsidR="00A31137" w:rsidRPr="00A31137" w:rsidRDefault="00A31137" w:rsidP="00A31137">
      <w:r w:rsidRPr="00A31137">
        <w:t>23. Only in the exceedingly rare case where the State cannot find any family member or friend who can be trusted to endeavor genuinely to make the treatment choice the patient would have made does the State become the legitimate surrogate decisionmaker.</w:t>
      </w:r>
    </w:p>
    <w:p w:rsidR="00A31137" w:rsidRPr="00A31137" w:rsidRDefault="00A31137" w:rsidP="00A31137">
      <w:r w:rsidRPr="00A31137">
        <w:t>1990, Cruzan v. Director, MDH, 497 U.S. 357</w:t>
      </w:r>
    </w:p>
    <w:p w:rsidR="00A31137" w:rsidRPr="00A31137" w:rsidRDefault="00A31137" w:rsidP="00A31137">
      <w:r w:rsidRPr="00A31137">
        <w:t>24. Fadiman, The Liberation of Lolly and Gronky, Life Magazine, Dec. 1986, p. 72 (quoting medical ethicist Joseph Fletcher).</w:t>
      </w:r>
    </w:p>
    <w:p w:rsidR="00A31137" w:rsidRPr="00A31137" w:rsidRDefault="00A31137" w:rsidP="00A31137">
      <w:r w:rsidRPr="00A31137">
        <w:t>STEVENS, J., dissenting (Footnotes)</w:t>
      </w:r>
    </w:p>
    <w:p w:rsidR="00A31137" w:rsidRPr="00A31137" w:rsidRDefault="00A31137" w:rsidP="00A31137">
      <w:r w:rsidRPr="00A31137">
        <w:t>1990, Cruzan v. Director, MDH, 497 U.S. 357</w:t>
      </w:r>
    </w:p>
    <w:p w:rsidR="00A31137" w:rsidRPr="00A31137" w:rsidRDefault="00A31137" w:rsidP="00A31137">
      <w:r w:rsidRPr="00A31137">
        <w:t>1. It is stated in the Declaration of Independence that:</w:t>
      </w:r>
    </w:p>
    <w:p w:rsidR="00A31137" w:rsidRPr="00A31137" w:rsidRDefault="00A31137" w:rsidP="00A31137">
      <w:r w:rsidRPr="00A31137">
        <w:t>1990, Cruzan v. Director, MDH, 497 U.S. 357</w:t>
      </w:r>
    </w:p>
    <w:p w:rsidR="00A31137" w:rsidRPr="00A31137" w:rsidRDefault="00A31137" w:rsidP="00A31137">
      <w:r w:rsidRPr="00A31137">
        <w:t>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w:t>
      </w:r>
    </w:p>
    <w:p w:rsidR="00A31137" w:rsidRPr="00A31137" w:rsidRDefault="00A31137" w:rsidP="00A31137">
      <w:r w:rsidRPr="00A31137">
        <w:t>1990, Cruzan v. Director, MDH, 497 U.S. 357</w:t>
      </w:r>
    </w:p>
    <w:p w:rsidR="00A31137" w:rsidRPr="00A31137" w:rsidRDefault="00A31137" w:rsidP="00A31137">
      <w:r w:rsidRPr="00A31137">
        <w:t>2. The trial court found as follows on the basis of "clear and convincing evidence:"</w:t>
      </w:r>
    </w:p>
    <w:p w:rsidR="00A31137" w:rsidRPr="00A31137" w:rsidRDefault="00A31137" w:rsidP="00A31137">
      <w:r w:rsidRPr="00A31137">
        <w:t>1990, Cruzan v. Director, MDH, 497 U.S. 357</w:t>
      </w:r>
    </w:p>
    <w:p w:rsidR="00A31137" w:rsidRPr="00A31137" w:rsidRDefault="00A31137" w:rsidP="00A31137">
      <w:r w:rsidRPr="00A31137">
        <w:t>1. That her respiration and circulation are not artificially maintained and within essentially normal limits for a 30-year-old female with vital signs recently reported as BP 130/80; pulse 78 and regular; respiration spontaneous at 16 to 18 per minute.</w:t>
      </w:r>
    </w:p>
    <w:p w:rsidR="00A31137" w:rsidRPr="00A31137" w:rsidRDefault="00A31137" w:rsidP="00A31137">
      <w:r w:rsidRPr="00A31137">
        <w:t>1990, Cruzan v. Director, MDH, 497 U.S. 357</w:t>
      </w:r>
    </w:p>
    <w:p w:rsidR="00A31137" w:rsidRPr="00A31137" w:rsidRDefault="00A31137" w:rsidP="00A31137">
      <w:r w:rsidRPr="00A31137">
        <w:t>2. That she is oblivious to her environment except for reflexive responses to sound and perhaps to painful stimuli.</w:t>
      </w:r>
    </w:p>
    <w:p w:rsidR="00A31137" w:rsidRPr="00A31137" w:rsidRDefault="00A31137" w:rsidP="00A31137">
      <w:r w:rsidRPr="00A31137">
        <w:t>1990, Cruzan v. Director, MDH, 497 U.S. 357</w:t>
      </w:r>
    </w:p>
    <w:p w:rsidR="00A31137" w:rsidRPr="00A31137" w:rsidRDefault="00A31137" w:rsidP="00A31137">
      <w:r w:rsidRPr="00A31137">
        <w:t>3. That she has suffered anoxia of the brain resulting in massive enlargement of the ventricles filling with cerebrospinal fluid in the area where the brain has degenerated. This cerebral cortical atrophy is irreversible, permanent, progressive and ongoing.</w:t>
      </w:r>
    </w:p>
    <w:p w:rsidR="00A31137" w:rsidRPr="00A31137" w:rsidRDefault="00A31137" w:rsidP="00A31137">
      <w:r w:rsidRPr="00A31137">
        <w:t>1990, Cruzan v. Director, MDH, 497 U.S. 357</w:t>
      </w:r>
    </w:p>
    <w:p w:rsidR="00A31137" w:rsidRPr="00A31137" w:rsidRDefault="00A31137" w:rsidP="00A31137">
      <w:r w:rsidRPr="00A31137">
        <w:t>4. That her highest cognitive brain function is exhibited by her grimacing perhaps in recognition of ordinarily painful stimuli, indicating the experience of pain and her apparent response to sound.</w:t>
      </w:r>
    </w:p>
    <w:p w:rsidR="00A31137" w:rsidRPr="00A31137" w:rsidRDefault="00A31137" w:rsidP="00A31137">
      <w:r w:rsidRPr="00A31137">
        <w:t>1990, Cruzan v. Director, MDH, 497 U.S. 357</w:t>
      </w:r>
    </w:p>
    <w:p w:rsidR="00A31137" w:rsidRPr="00A31137" w:rsidRDefault="00A31137" w:rsidP="00A31137">
      <w:r w:rsidRPr="00A31137">
        <w:t>5. That she is spastic quadriplegic.</w:t>
      </w:r>
    </w:p>
    <w:p w:rsidR="00A31137" w:rsidRPr="00A31137" w:rsidRDefault="00A31137" w:rsidP="00A31137">
      <w:r w:rsidRPr="00A31137">
        <w:t>1990, Cruzan v. Director, MDH, 497 U.S. 357</w:t>
      </w:r>
    </w:p>
    <w:p w:rsidR="00A31137" w:rsidRPr="00A31137" w:rsidRDefault="00A31137" w:rsidP="00A31137">
      <w:r w:rsidRPr="00A31137">
        <w:t>6. That she has contractures of her four extremities which are slowly progressive with irreversible muscular and tendon damage to all extremities.</w:t>
      </w:r>
    </w:p>
    <w:p w:rsidR="00A31137" w:rsidRPr="00A31137" w:rsidRDefault="00A31137" w:rsidP="00A31137">
      <w:r w:rsidRPr="00A31137">
        <w:t>1990, Cruzan v. Director, MDH, 497 U.S. 357</w:t>
      </w:r>
    </w:p>
    <w:p w:rsidR="00A31137" w:rsidRPr="00A31137" w:rsidRDefault="00A31137" w:rsidP="00A31137">
      <w:r w:rsidRPr="00A31137">
        <w:t>7. That she has no cognitive or reflexive ability to swallow food or water to maintain her daily essential needs. That she will never recover her ability to swallow sufficient to satisfy her needs.</w:t>
      </w:r>
    </w:p>
    <w:p w:rsidR="00A31137" w:rsidRPr="00A31137" w:rsidRDefault="00A31137" w:rsidP="00A31137">
      <w:r w:rsidRPr="00A31137">
        <w:t>1990, Cruzan v. Director, MDH, 497 U.S. 357</w:t>
      </w:r>
    </w:p>
    <w:p w:rsidR="00A31137" w:rsidRPr="00A31137" w:rsidRDefault="00A31137" w:rsidP="00A31137">
      <w:r w:rsidRPr="00A31137">
        <w:t>App. to Pet. for Cert., at A94-A95.</w:t>
      </w:r>
    </w:p>
    <w:p w:rsidR="00A31137" w:rsidRPr="00A31137" w:rsidRDefault="00A31137" w:rsidP="00A31137">
      <w:r w:rsidRPr="00A31137">
        <w:t>1990, Cruzan v. Director, MDH, 497 U.S. 357</w:t>
      </w:r>
    </w:p>
    <w:p w:rsidR="00A31137" w:rsidRPr="00A31137" w:rsidRDefault="00A31137" w:rsidP="00A31137">
      <w:r w:rsidRPr="00A31137">
        <w:t>3.</w:t>
      </w:r>
    </w:p>
    <w:p w:rsidR="00A31137" w:rsidRPr="00A31137" w:rsidRDefault="00A31137" w:rsidP="00A31137">
      <w:r w:rsidRPr="00A31137">
        <w:t>1990, Cruzan v. Director, MDH, 497 U.S. 357</w:t>
      </w:r>
    </w:p>
    <w:p w:rsidR="00A31137" w:rsidRPr="00A31137" w:rsidRDefault="00A31137" w:rsidP="00A31137">
      <w:r w:rsidRPr="00A31137">
        <w:t>The only economic considerations in this case rest with Respondent's employer, the State of Missouri, which is bearing the entire cost of care. Our ward is an adult without financial resources other than Social Security whose not inconsiderable medical insurance has been exhausted since January 1986.</w:t>
      </w:r>
    </w:p>
    <w:p w:rsidR="00A31137" w:rsidRPr="00A31137" w:rsidRDefault="00A31137" w:rsidP="00A31137">
      <w:r w:rsidRPr="00A31137">
        <w:t>1990, Cruzan v. Director, MDH, 497 U.S. 357</w:t>
      </w:r>
    </w:p>
    <w:p w:rsidR="00A31137" w:rsidRPr="00A31137" w:rsidRDefault="00A31137" w:rsidP="00A31137">
      <w:r w:rsidRPr="00A31137">
        <w:t>Id. at A96.</w:t>
      </w:r>
    </w:p>
    <w:p w:rsidR="00A31137" w:rsidRPr="00A31137" w:rsidRDefault="00A31137" w:rsidP="00A31137">
      <w:r w:rsidRPr="00A31137">
        <w:t>1990, Cruzan v. Director, MDH, 497 U.S. 357</w:t>
      </w:r>
    </w:p>
    <w:p w:rsidR="00A31137" w:rsidRPr="00A31137" w:rsidRDefault="00A31137" w:rsidP="00A31137">
      <w:r w:rsidRPr="00A31137">
        <w:t>4.</w:t>
      </w:r>
    </w:p>
    <w:p w:rsidR="00A31137" w:rsidRPr="00A31137" w:rsidRDefault="00A31137" w:rsidP="00A31137">
      <w:r w:rsidRPr="00A31137">
        <w:t>1990, Cruzan v. Director, MDH, 497 U.S. 357</w:t>
      </w:r>
    </w:p>
    <w:p w:rsidR="00A31137" w:rsidRPr="00A31137" w:rsidRDefault="00A31137" w:rsidP="00A31137">
      <w:r w:rsidRPr="00A31137">
        <w:t>In this case there are no innocent third parties requiring state protection, neither homicide nor suicide will be committed, and the consensus of the medical witnesses indicated concerns personal to themselves or the legal consequences of such actions rather than any objections that good ethical standards of the profession would be breached if the nutrition and hydration were withdrawn the same as any other artificial death prolonging procedures the statute specifically authorizes.</w:t>
      </w:r>
    </w:p>
    <w:p w:rsidR="00A31137" w:rsidRPr="00A31137" w:rsidRDefault="00A31137" w:rsidP="00A31137">
      <w:r w:rsidRPr="00A31137">
        <w:t>1990, Cruzan v. Director, MDH, 497 U.S. 357</w:t>
      </w:r>
    </w:p>
    <w:p w:rsidR="00A31137" w:rsidRPr="00A31137" w:rsidRDefault="00A31137" w:rsidP="00A31137">
      <w:r w:rsidRPr="00A31137">
        <w:t>Id. at A98.</w:t>
      </w:r>
    </w:p>
    <w:p w:rsidR="00A31137" w:rsidRPr="00A31137" w:rsidRDefault="00A31137" w:rsidP="00A31137">
      <w:r w:rsidRPr="00A31137">
        <w:t>1990, Cruzan v. Director, MDH, 497 U.S. 357</w:t>
      </w:r>
    </w:p>
    <w:p w:rsidR="00A31137" w:rsidRPr="00A31137" w:rsidRDefault="00A31137" w:rsidP="00A31137">
      <w:r w:rsidRPr="00A31137">
        <w:t>5.</w:t>
      </w:r>
    </w:p>
    <w:p w:rsidR="00A31137" w:rsidRPr="00A31137" w:rsidRDefault="00A31137" w:rsidP="00A31137">
      <w:r w:rsidRPr="00A31137">
        <w:t>1990, Cruzan v. Director, MDH, 497 U.S. 357</w:t>
      </w:r>
    </w:p>
    <w:p w:rsidR="00A31137" w:rsidRPr="00A31137" w:rsidRDefault="00A31137" w:rsidP="00A31137">
      <w:r w:rsidRPr="00A31137">
        <w:t>Nancy's present unresponsive and hopeless existence is not the will of the Supreme Ruler but of man's will to forcefully feed her when she herself cannot swallow, thus fueling respiratory and circulatory pumps to no cognitive purpose for her except sound and perhaps pain.</w:t>
      </w:r>
    </w:p>
    <w:p w:rsidR="00A31137" w:rsidRPr="00A31137" w:rsidRDefault="00A31137" w:rsidP="00A31137">
      <w:r w:rsidRPr="00A31137">
        <w:t>1990, Cruzan v. Director, MDH, 497 U.S. 357</w:t>
      </w:r>
    </w:p>
    <w:p w:rsidR="00A31137" w:rsidRPr="00A31137" w:rsidRDefault="00A31137" w:rsidP="00A31137">
      <w:r w:rsidRPr="00A31137">
        <w:t>Id. at A97.</w:t>
      </w:r>
    </w:p>
    <w:p w:rsidR="00A31137" w:rsidRPr="00A31137" w:rsidRDefault="00A31137" w:rsidP="00A31137">
      <w:r w:rsidRPr="00A31137">
        <w:t>1990, Cruzan v. Director, MDH, 497 U.S. 357</w:t>
      </w:r>
    </w:p>
    <w:p w:rsidR="00A31137" w:rsidRPr="00A31137" w:rsidRDefault="00A31137" w:rsidP="00A31137">
      <w:r w:rsidRPr="00A31137">
        <w:t>6.</w:t>
      </w:r>
    </w:p>
    <w:p w:rsidR="00A31137" w:rsidRPr="00A31137" w:rsidRDefault="00A31137" w:rsidP="00A31137">
      <w:r w:rsidRPr="00A31137">
        <w:t>1990, Cruzan v. Director, MDH, 497 U.S. 357</w:t>
      </w:r>
    </w:p>
    <w:p w:rsidR="00A31137" w:rsidRPr="00A31137" w:rsidRDefault="00A31137" w:rsidP="00A31137">
      <w:r w:rsidRPr="00A31137">
        <w:t>Appellant guardian ad litem advised this court:</w:t>
      </w:r>
    </w:p>
    <w:p w:rsidR="00A31137" w:rsidRPr="00A31137" w:rsidRDefault="00A31137" w:rsidP="00A31137">
      <w:r w:rsidRPr="00A31137">
        <w:t>1990, Cruzan v. Director, MDH, 497 U.S. 357</w:t>
      </w:r>
    </w:p>
    <w:p w:rsidR="00A31137" w:rsidRPr="00A31137" w:rsidRDefault="00A31137" w:rsidP="00A31137">
      <w:r w:rsidRPr="00A31137">
        <w:t>we informed the [trial] court that we felt it was in Nancy Cruzan's best interests to have the tube feeding discontinued. We now find ourselves in the position of appealing from a judgment we basically agree with.</w:t>
      </w:r>
    </w:p>
    <w:p w:rsidR="00A31137" w:rsidRPr="00A31137" w:rsidRDefault="00A31137" w:rsidP="00A31137">
      <w:r w:rsidRPr="00A31137">
        <w:t>1990, Cruzan v. Director, MDH, 497 U.S. 357</w:t>
      </w:r>
    </w:p>
    <w:p w:rsidR="00A31137" w:rsidRPr="00A31137" w:rsidRDefault="00A31137" w:rsidP="00A31137">
      <w:r w:rsidRPr="00A31137">
        <w:t>Cruzan v. Harmon, 760 S.W.2d 408, 435 (Mo.1988) (Higgins, J., dissenting)</w:t>
      </w:r>
    </w:p>
    <w:p w:rsidR="00A31137" w:rsidRPr="00A31137" w:rsidRDefault="00A31137" w:rsidP="00A31137">
      <w:r w:rsidRPr="00A31137">
        <w:t>1990, Cruzan v. Director, MDH, 497 U.S. 357</w:t>
      </w:r>
    </w:p>
    <w:p w:rsidR="00A31137" w:rsidRPr="00A31137" w:rsidRDefault="00A31137" w:rsidP="00A31137">
      <w:r w:rsidRPr="00A31137">
        <w:t>7.</w:t>
      </w:r>
    </w:p>
    <w:p w:rsidR="00A31137" w:rsidRPr="00A31137" w:rsidRDefault="00A31137" w:rsidP="00A31137">
      <w:r w:rsidRPr="00A31137">
        <w:t>1990, Cruzan v. Director, MDH, 497 U.S. 357</w:t>
      </w:r>
    </w:p>
    <w:p w:rsidR="00A31137" w:rsidRPr="00A31137" w:rsidRDefault="00A31137" w:rsidP="00A31137">
      <w:r w:rsidRPr="00A31137">
        <w:t>Four state interests have been identified: preservation of life, prevention of homicide and suicide, the protection of interests of innocent third parties and the maintenance of the ethical integrity of the medical profession. See Section 459.055(1), RSMo 1986; Brophy, 497 N.E.2d at 634. In this case, only the state's interest in the preservation of life is implicated.</w:t>
      </w:r>
    </w:p>
    <w:p w:rsidR="00A31137" w:rsidRPr="00A31137" w:rsidRDefault="00A31137" w:rsidP="00A31137">
      <w:r w:rsidRPr="00A31137">
        <w:t>1990, Cruzan v. Director, MDH, 497 U.S. 357</w:t>
      </w:r>
    </w:p>
    <w:p w:rsidR="00A31137" w:rsidRPr="00A31137" w:rsidRDefault="00A31137" w:rsidP="00A31137">
      <w:r w:rsidRPr="00A31137">
        <w:t>Id. at 419.</w:t>
      </w:r>
    </w:p>
    <w:p w:rsidR="00A31137" w:rsidRPr="00A31137" w:rsidRDefault="00A31137" w:rsidP="00A31137">
      <w:r w:rsidRPr="00A31137">
        <w:t>1990, Cruzan v. Director, MDH, 497 U.S. 357</w:t>
      </w:r>
    </w:p>
    <w:p w:rsidR="00A31137" w:rsidRPr="00A31137" w:rsidRDefault="00A31137" w:rsidP="00A31137">
      <w:r w:rsidRPr="00A31137">
        <w:t>8.</w:t>
      </w:r>
    </w:p>
    <w:p w:rsidR="00A31137" w:rsidRPr="00A31137" w:rsidRDefault="00A31137" w:rsidP="00A31137">
      <w:r w:rsidRPr="00A31137">
        <w:t>1990, Cruzan v. Director, MDH, 497 U.S. 357</w:t>
      </w:r>
    </w:p>
    <w:p w:rsidR="00A31137" w:rsidRPr="00A31137" w:rsidRDefault="00A31137" w:rsidP="00A31137">
      <w:r w:rsidRPr="00A31137">
        <w:t>The state's concern with the sanctity of life rests on the principle that life is precious and worthy of preservation without regard to its quality.</w:t>
      </w:r>
    </w:p>
    <w:p w:rsidR="00A31137" w:rsidRPr="00A31137" w:rsidRDefault="00A31137" w:rsidP="00A31137">
      <w:r w:rsidRPr="00A31137">
        <w:t>1990, Cruzan v. Director, MDH, 497 U.S. 357</w:t>
      </w:r>
    </w:p>
    <w:p w:rsidR="00A31137" w:rsidRPr="00A31137" w:rsidRDefault="00A31137" w:rsidP="00A31137">
      <w:r w:rsidRPr="00A31137">
        <w:t>Ibid.</w:t>
      </w:r>
    </w:p>
    <w:p w:rsidR="00A31137" w:rsidRPr="00A31137" w:rsidRDefault="00A31137" w:rsidP="00A31137">
      <w:r w:rsidRPr="00A31137">
        <w:t>1990, Cruzan v. Director, MDH, 497 U.S. 357</w:t>
      </w:r>
    </w:p>
    <w:p w:rsidR="00A31137" w:rsidRPr="00A31137" w:rsidRDefault="00A31137" w:rsidP="00A31137">
      <w:r w:rsidRPr="00A31137">
        <w:t>It is tempting to equate the state's interest in the preservation of life with some measure of quality of life. As the discussion which follows shows, some courts find quality of life a convenient focus when justifying the termination of treatment. But the state's interest is not in quality of life. The broad policy statements of the legislature make no such distinction; nor shall we. Were quality of life at issue, persons with all manner of handicaps might find the state seeking to terminate their lives. Instead, the state's interest is in life; that interest is unqualified.</w:t>
      </w:r>
    </w:p>
    <w:p w:rsidR="00A31137" w:rsidRPr="00A31137" w:rsidRDefault="00A31137" w:rsidP="00A31137">
      <w:r w:rsidRPr="00A31137">
        <w:t>1990, Cruzan v. Director, MDH, 497 U.S. 357</w:t>
      </w:r>
    </w:p>
    <w:p w:rsidR="00A31137" w:rsidRPr="00A31137" w:rsidRDefault="00A31137" w:rsidP="00A31137">
      <w:r w:rsidRPr="00A31137">
        <w:t>Id. at 420.</w:t>
      </w:r>
    </w:p>
    <w:p w:rsidR="00A31137" w:rsidRPr="00A31137" w:rsidRDefault="00A31137" w:rsidP="00A31137">
      <w:r w:rsidRPr="00A31137">
        <w:t>1990, Cruzan v. Director, MDH, 497 U.S. 357</w:t>
      </w:r>
    </w:p>
    <w:p w:rsidR="00A31137" w:rsidRPr="00A31137" w:rsidRDefault="00A31137" w:rsidP="00A31137">
      <w:r w:rsidRPr="00A31137">
        <w:t>As we previously stated, however, the state's interest is not in quality of life. The state's interest is an unqualified interest in life.</w:t>
      </w:r>
    </w:p>
    <w:p w:rsidR="00A31137" w:rsidRPr="00A31137" w:rsidRDefault="00A31137" w:rsidP="00A31137">
      <w:r w:rsidRPr="00A31137">
        <w:t>1990, Cruzan v. Director, MDH, 497 U.S. 357</w:t>
      </w:r>
    </w:p>
    <w:p w:rsidR="00A31137" w:rsidRPr="00A31137" w:rsidRDefault="00A31137" w:rsidP="00A31137">
      <w:r w:rsidRPr="00A31137">
        <w:t>Id. at 422.</w:t>
      </w:r>
    </w:p>
    <w:p w:rsidR="00A31137" w:rsidRPr="00A31137" w:rsidRDefault="00A31137" w:rsidP="00A31137">
      <w:r w:rsidRPr="00A31137">
        <w:t>1990, Cruzan v. Director, MDH, 497 U.S. 357</w:t>
      </w:r>
    </w:p>
    <w:p w:rsidR="00A31137" w:rsidRPr="00A31137" w:rsidRDefault="00A31137" w:rsidP="00A31137">
      <w:r w:rsidRPr="00A31137">
        <w:t>The argument made here, that Nancy will not recover, is but a thinly veiled statement that her life in its present form is not worth living. Yet a diminished quality of life does not support a decision to cause death.</w:t>
      </w:r>
    </w:p>
    <w:p w:rsidR="00A31137" w:rsidRPr="00A31137" w:rsidRDefault="00A31137" w:rsidP="00A31137">
      <w:r w:rsidRPr="00A31137">
        <w:t>1990, Cruzan v. Director, MDH, 497 U.S. 357</w:t>
      </w:r>
    </w:p>
    <w:p w:rsidR="00A31137" w:rsidRPr="00A31137" w:rsidRDefault="00A31137" w:rsidP="00A31137">
      <w:r w:rsidRPr="00A31137">
        <w:t>Ibid.</w:t>
      </w:r>
    </w:p>
    <w:p w:rsidR="00A31137" w:rsidRPr="00A31137" w:rsidRDefault="00A31137" w:rsidP="00A31137">
      <w:r w:rsidRPr="00A31137">
        <w:t>1990, Cruzan v. Director, MDH, 497 U.S. 357</w:t>
      </w:r>
    </w:p>
    <w:p w:rsidR="00A31137" w:rsidRPr="00A31137" w:rsidRDefault="00A31137" w:rsidP="00A31137">
      <w:r w:rsidRPr="00A31137">
        <w:t>Given the fact that Nancy is alive and that the burdens of her treatment are not excessive for her, we do not believe her right to refuse treatment, whether that right proceeds from a constitutional right of privacy or a common law right to refuse treatment, outweighs the immense, clear fact of life in which the state maintains a vital interest.</w:t>
      </w:r>
    </w:p>
    <w:p w:rsidR="00A31137" w:rsidRPr="00A31137" w:rsidRDefault="00A31137" w:rsidP="00A31137">
      <w:r w:rsidRPr="00A31137">
        <w:t>1990, Cruzan v. Director, MDH, 497 U.S. 357</w:t>
      </w:r>
    </w:p>
    <w:p w:rsidR="00A31137" w:rsidRPr="00A31137" w:rsidRDefault="00A31137" w:rsidP="00A31137">
      <w:r w:rsidRPr="00A31137">
        <w:t>Id. at 424.</w:t>
      </w:r>
    </w:p>
    <w:p w:rsidR="00A31137" w:rsidRPr="00A31137" w:rsidRDefault="00A31137" w:rsidP="00A31137">
      <w:r w:rsidRPr="00A31137">
        <w:t>1990, Cruzan v. Director, MDH, 497 U.S. 357</w:t>
      </w:r>
    </w:p>
    <w:p w:rsidR="00A31137" w:rsidRPr="00A31137" w:rsidRDefault="00A31137" w:rsidP="00A31137">
      <w:r w:rsidRPr="00A31137">
        <w:t>9. See especially ante at  282 ("we think a State may properly decline to make judgments about the 'quality' of life that a particular individual may enjoy, and simply assert an unqualified interest in the preservation of human life to be weighed against the constitutionally protected interests of the individual"); ante at 2853, n. 10 (stating that the government is seeking to protect "its own institutional interests" in life).</w:t>
      </w:r>
    </w:p>
    <w:p w:rsidR="00A31137" w:rsidRPr="00A31137" w:rsidRDefault="00A31137" w:rsidP="00A31137">
      <w:r w:rsidRPr="00A31137">
        <w:t>1990, Cruzan v. Director, MDH, 497 U.S. 357</w:t>
      </w:r>
    </w:p>
    <w:p w:rsidR="00A31137" w:rsidRPr="00A31137" w:rsidRDefault="00A31137" w:rsidP="00A31137">
      <w:r w:rsidRPr="00A31137">
        <w:t>10. See, e.g, ante at  284.</w:t>
      </w:r>
    </w:p>
    <w:p w:rsidR="00A31137" w:rsidRPr="00A31137" w:rsidRDefault="00A31137" w:rsidP="00A31137">
      <w:r w:rsidRPr="00A31137">
        <w:t>1990, Cruzan v. Director, MDH, 497 U.S. 357</w:t>
      </w:r>
    </w:p>
    <w:p w:rsidR="00A31137" w:rsidRPr="00A31137" w:rsidRDefault="00A31137" w:rsidP="00A31137">
      <w:r w:rsidRPr="00A31137">
        <w:t>11.</w:t>
      </w:r>
    </w:p>
    <w:p w:rsidR="00A31137" w:rsidRPr="00A31137" w:rsidRDefault="00A31137" w:rsidP="00A31137">
      <w:r w:rsidRPr="00A31137">
        <w:t>1990, Cruzan v. Director, MDH, 497 U.S. 357</w:t>
      </w:r>
    </w:p>
    <w:p w:rsidR="00A31137" w:rsidRPr="00A31137" w:rsidRDefault="00A31137" w:rsidP="00A31137">
      <w:r w:rsidRPr="00A31137">
        <w:t>Until the latter part of this century, medicine had relatively little treatment to offer the dying, and the vast majority of persons died at home, rather than in the hospital.</w:t>
      </w:r>
    </w:p>
    <w:p w:rsidR="00A31137" w:rsidRPr="00A31137" w:rsidRDefault="00A31137" w:rsidP="00A31137">
      <w:r w:rsidRPr="00A31137">
        <w:t>1990, Cruzan v. Director, MDH, 497 U.S. 357</w:t>
      </w:r>
    </w:p>
    <w:p w:rsidR="00A31137" w:rsidRPr="00A31137" w:rsidRDefault="00A31137" w:rsidP="00A31137">
      <w:r w:rsidRPr="00A31137">
        <w:t>Brief for American Medical Association et al. as Amici Curiae 6.</w:t>
      </w:r>
    </w:p>
    <w:p w:rsidR="00A31137" w:rsidRPr="00A31137" w:rsidRDefault="00A31137" w:rsidP="00A31137">
      <w:r w:rsidRPr="00A31137">
        <w:t>1990, Cruzan v. Director, MDH, 497 U.S. 357</w:t>
      </w:r>
    </w:p>
    <w:p w:rsidR="00A31137" w:rsidRPr="00A31137" w:rsidRDefault="00A31137" w:rsidP="00A31137">
      <w:r w:rsidRPr="00A31137">
        <w:t>In 1985, 83% of deaths [of] Americans age 65 or over occurred in a hospital or nursing home. Sager, Easterling, et al., Changes in the Location of Death after Passage of Medicare's Prospective Payment System: A National Study, 320 New Eng.J.Med. 433, 435 (1989).</w:t>
      </w:r>
    </w:p>
    <w:p w:rsidR="00A31137" w:rsidRPr="00A31137" w:rsidRDefault="00A31137" w:rsidP="00A31137">
      <w:r w:rsidRPr="00A31137">
        <w:t>1990, Cruzan v. Director, MDH, 497 U.S. 357</w:t>
      </w:r>
    </w:p>
    <w:p w:rsidR="00A31137" w:rsidRPr="00A31137" w:rsidRDefault="00A31137" w:rsidP="00A31137">
      <w:r w:rsidRPr="00A31137">
        <w:t>Id. at 6, n. 2.</w:t>
      </w:r>
    </w:p>
    <w:p w:rsidR="00A31137" w:rsidRPr="00A31137" w:rsidRDefault="00A31137" w:rsidP="00A31137">
      <w:r w:rsidRPr="00A31137">
        <w:t>1990, Cruzan v. Director, MDH, 497 U.S. 357</w:t>
      </w:r>
    </w:p>
    <w:p w:rsidR="00A31137" w:rsidRPr="00A31137" w:rsidRDefault="00A31137" w:rsidP="00A31137">
      <w:r w:rsidRPr="00A31137">
        <w:t>According to the President's Commission for the Study of Ethical Problems in Medicine and Biomedical and Behavioral Research:</w:t>
      </w:r>
    </w:p>
    <w:p w:rsidR="00A31137" w:rsidRPr="00A31137" w:rsidRDefault="00A31137" w:rsidP="00A31137">
      <w:r w:rsidRPr="00A31137">
        <w:t>1990, Cruzan v. Director, MDH, 497 U.S. 357</w:t>
      </w:r>
    </w:p>
    <w:p w:rsidR="00A31137" w:rsidRPr="00A31137" w:rsidRDefault="00A31137" w:rsidP="00A31137">
      <w:r w:rsidRPr="00A31137">
        <w:t>Just as recent years have seen alterations in the underlying causes of death, the places where people die have also changed. For most of recorded history, deaths (of natural causes) usually occurred in the home.</w:t>
      </w:r>
    </w:p>
    <w:p w:rsidR="00A31137" w:rsidRPr="00A31137" w:rsidRDefault="00A31137" w:rsidP="00A31137">
      <w:r w:rsidRPr="00A31137">
        <w:t>1990, Cruzan v. Director, MDH, 497 U.S. 357</w:t>
      </w:r>
    </w:p>
    <w:p w:rsidR="00A31137" w:rsidRPr="00A31137" w:rsidRDefault="00A31137" w:rsidP="00A31137">
      <w:r w:rsidRPr="00A31137">
        <w:t>Everyone knew about death at first hand; there was nothing unfamiliar or even queer about the phenomenon. People seem to have known a lot more about the process itself than is the case today. The "deathbed" was a real place, and the dying person usually knew where he was and when it was time to assemble the family and call for the priest.</w:t>
      </w:r>
    </w:p>
    <w:p w:rsidR="00A31137" w:rsidRPr="00A31137" w:rsidRDefault="00A31137" w:rsidP="00A31137">
      <w:r w:rsidRPr="00A31137">
        <w:t>1990, Cruzan v. Director, MDH, 497 U.S. 357</w:t>
      </w:r>
    </w:p>
    <w:p w:rsidR="00A31137" w:rsidRPr="00A31137" w:rsidRDefault="00A31137" w:rsidP="00A31137">
      <w:r w:rsidRPr="00A31137">
        <w:t>Even when people did get admitted to a medical care institution. those whose conditions proved incurable were discharged to the care of their families. This was not only because the health care system could no longer be helpful, but also because alcohol and opiates (the only drugs available to ease pain and suffering) were available without a prescription. Institutional care was reserved for the poor or those without family support; hospitals often aimed more at saving patients' souls than at providing medical care.</w:t>
      </w:r>
    </w:p>
    <w:p w:rsidR="00A31137" w:rsidRPr="00A31137" w:rsidRDefault="00A31137" w:rsidP="00A31137">
      <w:r w:rsidRPr="00A31137">
        <w:t>1990, Cruzan v. Director, MDH, 497 U.S. 357</w:t>
      </w:r>
    </w:p>
    <w:p w:rsidR="00A31137" w:rsidRPr="00A31137" w:rsidRDefault="00A31137" w:rsidP="00A31137">
      <w:r w:rsidRPr="00A31137">
        <w:t>As medicine has been able to do more for dying patients, their care has increasingly been delivered in institutional settings. By 1949, institutions were the sites of 50% of all deaths; by 1958, the figure was 61%; and by 1977, over 70%. Perhaps 80% of all deaths in the United States now occur in hospitals and long-term care institutions, such as nursing homes. The change in where very ill patients are treated permits health care professionals to marshall the instruments of scientific medicine more effectively. But people who are dying may well find such a setting alienating and unsupportive.</w:t>
      </w:r>
    </w:p>
    <w:p w:rsidR="00A31137" w:rsidRPr="00A31137" w:rsidRDefault="00A31137" w:rsidP="00A31137">
      <w:r w:rsidRPr="00A31137">
        <w:t>1990, Cruzan v. Director, MDH, 497 U.S. 357</w:t>
      </w:r>
    </w:p>
    <w:p w:rsidR="00A31137" w:rsidRPr="00A31137" w:rsidRDefault="00A31137" w:rsidP="00A31137">
      <w:r w:rsidRPr="00A31137">
        <w:t>Deciding to Forego Life Sustaining Treatment 17-18 (1983) (footnotes omitted), quoting, Thomas, Dying as Failure, 447 Annals Am.Acad.Pol. &amp; Soc.Sci. 1, 3 (1980).</w:t>
      </w:r>
    </w:p>
    <w:p w:rsidR="00A31137" w:rsidRPr="00A31137" w:rsidRDefault="00A31137" w:rsidP="00A31137">
      <w:r w:rsidRPr="00A31137">
        <w:t>1990, Cruzan v. Director, MDH, 497 U.S. 357</w:t>
      </w:r>
    </w:p>
    <w:p w:rsidR="00A31137" w:rsidRPr="00A31137" w:rsidRDefault="00A31137" w:rsidP="00A31137">
      <w:r w:rsidRPr="00A31137">
        <w:t>12. We have recognized that the special relationship between patient and physician will often be encompassed within the domain of private life protected by the Due Process Clause. See, e.g., Griswold v. Connecticut, 381 U.S. 479,  481 (1965); Roe v. Wade, 410 U.S. 113, 152-153 (1973); Thornburgh v. American College of Obstetricians and Gynecologists, 476 U.S. 747,  759 (1986).</w:t>
      </w:r>
    </w:p>
    <w:p w:rsidR="00A31137" w:rsidRPr="00A31137" w:rsidRDefault="00A31137" w:rsidP="00A31137">
      <w:r w:rsidRPr="00A31137">
        <w:t>1990, Cruzan v. Director, MDH, 497 U.S. 357</w:t>
      </w:r>
    </w:p>
    <w:p w:rsidR="00A31137" w:rsidRPr="00A31137" w:rsidRDefault="00A31137" w:rsidP="00A31137">
      <w:r w:rsidRPr="00A31137">
        <w:t>13. The Court recognizes that "the State has been involved as an adversary from the beginning" in this case only because Nancy Cruzan "was a patient at a state hospital when this litigation commenced," ante at  281, n. 9. It seems to me, however, that the Court draws precisely the wrong conclusion from this insight. The Court apparently believes that the absence of the State from the litigation would have created a problem, because agreement among the family and the independent guardian ad litem as to Nancy Cruzan's best interests might have prevented her treatment from becoming the focus of a "truly adversarial" proceeding. Ibid. It may reasonably be debated whether some judicial process should be required before life-sustaining treatment is discontinued; this issue has divided the state courts. Compare In re Estate of Longeway, 133 Ill.2d 33, 51, 139 Ill.Dec. 780, 788. 549 N.E.2d 292, 300 (1989) (requiring judicial approval of guardian's decision) with In re Hamlin, 102 Wash.2d 810, 818-819, 689 P.2d 1372, 1377-1378 (1984) (discussing circumstances in which judicial approval is unnecessary). Cf. In re Torres, 357 N.W.2d 332, 341, n. 4 (Minn.1984) ("At oral argument, it was disclosed that, on an average, about 10 life support systems are disconnected weekly in Minnesota"). I tend, however, to agree with Judge Blackmar that the intervention of the State in these proceedings as an adversary is not so much a cure as it is part of the disease.</w:t>
      </w:r>
    </w:p>
    <w:p w:rsidR="00A31137" w:rsidRPr="00A31137" w:rsidRDefault="00A31137" w:rsidP="00A31137">
      <w:r w:rsidRPr="00A31137">
        <w:t>1990, Cruzan v. Director, MDH, 497 U.S. 357</w:t>
      </w:r>
    </w:p>
    <w:p w:rsidR="00A31137" w:rsidRPr="00A31137" w:rsidRDefault="00A31137" w:rsidP="00A31137">
      <w:r w:rsidRPr="00A31137">
        <w:t>14. See ante at  269; ante at  278.</w:t>
      </w:r>
    </w:p>
    <w:p w:rsidR="00A31137" w:rsidRPr="00A31137" w:rsidRDefault="00A31137" w:rsidP="00A31137">
      <w:r w:rsidRPr="00A31137">
        <w:t>1990, Cruzan v. Director, MDH, 497 U.S. 357</w:t>
      </w:r>
    </w:p>
    <w:p w:rsidR="00A31137" w:rsidRPr="00A31137" w:rsidRDefault="00A31137" w:rsidP="00A31137">
      <w:r w:rsidRPr="00A31137">
        <w:t>No right is held more sacred, or is more carefully guarded by the common law, than the right of every individual to the possession and control of his own person, free from all restraint or interference of others, unless by clear and unquestionable authority of law.</w:t>
      </w:r>
    </w:p>
    <w:p w:rsidR="00A31137" w:rsidRPr="00A31137" w:rsidRDefault="00A31137" w:rsidP="00A31137">
      <w:r w:rsidRPr="00A31137">
        <w:t>1990, Cruzan v. Director, MDH, 497 U.S. 357</w:t>
      </w:r>
    </w:p>
    <w:p w:rsidR="00A31137" w:rsidRPr="00A31137" w:rsidRDefault="00A31137" w:rsidP="00A31137">
      <w:r w:rsidRPr="00A31137">
        <w:t>Union Pacific R. Co. v. Botsford, 141 U.S. 250, 251 (1891).</w:t>
      </w:r>
    </w:p>
    <w:p w:rsidR="00A31137" w:rsidRPr="00A31137" w:rsidRDefault="00A31137" w:rsidP="00A31137">
      <w:r w:rsidRPr="00A31137">
        <w:t>1990, Cruzan v. Director, MDH, 497 U.S. 357</w:t>
      </w:r>
    </w:p>
    <w:p w:rsidR="00A31137" w:rsidRPr="00A31137" w:rsidRDefault="00A31137" w:rsidP="00A31137">
      <w:r w:rsidRPr="00A31137">
        <w:t>15. Many philosophies and religions have, for example, long venerated the idea that there is a "life after death," and that the human soul endures even after the human body has perished. Surely Missouri would not wish to define its interest in life in a way antithetical to this tradition.</w:t>
      </w:r>
    </w:p>
    <w:p w:rsidR="00A31137" w:rsidRPr="00A31137" w:rsidRDefault="00A31137" w:rsidP="00A31137">
      <w:r w:rsidRPr="00A31137">
        <w:t>1990, Cruzan v. Director, MDH, 497 U.S. 357</w:t>
      </w:r>
    </w:p>
    <w:p w:rsidR="00A31137" w:rsidRPr="00A31137" w:rsidRDefault="00A31137" w:rsidP="00A31137">
      <w:r w:rsidRPr="00A31137">
        <w:t>16. See, e.g., H. Johnston, Nathan Hale 1776: Biography and Memorials 128-129 (1914); J. Axelrad, Patrick Henry: The Voice of Freedom 110-111 (1947)</w:t>
      </w:r>
    </w:p>
    <w:p w:rsidR="00A31137" w:rsidRPr="00A31137" w:rsidRDefault="00A31137" w:rsidP="00A31137">
      <w:r w:rsidRPr="00A31137">
        <w:t>1990, Cruzan v. Director, MDH, 497 U.S. 357</w:t>
      </w:r>
    </w:p>
    <w:p w:rsidR="00A31137" w:rsidRPr="00A31137" w:rsidRDefault="00A31137" w:rsidP="00A31137">
      <w:r w:rsidRPr="00A31137">
        <w:t>17. A. Lincoln, Gettysburg Address, 1 Documents of American History (H. Commager ed.) (9th ed. 1973)</w:t>
      </w:r>
    </w:p>
    <w:p w:rsidR="00A31137" w:rsidRPr="00A31137" w:rsidRDefault="00A31137" w:rsidP="00A31137">
      <w:r w:rsidRPr="00A31137">
        <w:t>1990, Cruzan v. Director, MDH, 497 U.S. 357</w:t>
      </w:r>
    </w:p>
    <w:p w:rsidR="00A31137" w:rsidRPr="00A31137" w:rsidRDefault="00A31137" w:rsidP="00A31137">
      <w:r w:rsidRPr="00A31137">
        <w:t>18. The Supreme Judicial Court of Massachusetts observed in this connection:</w:t>
      </w:r>
    </w:p>
    <w:p w:rsidR="00A31137" w:rsidRPr="00A31137" w:rsidRDefault="00A31137" w:rsidP="00A31137">
      <w:r w:rsidRPr="00A31137">
        <w:t>1990, Cruzan v. Director, MDH, 497 U.S. 357</w:t>
      </w:r>
    </w:p>
    <w:p w:rsidR="00A31137" w:rsidRPr="00A31137" w:rsidRDefault="00A31137" w:rsidP="00A31137">
      <w:r w:rsidRPr="00A31137">
        <w:t>When we balance the State's interest in prolonging a patient's life</w:t>
      </w:r>
    </w:p>
    <w:p w:rsidR="00A31137" w:rsidRPr="00A31137" w:rsidRDefault="00A31137" w:rsidP="00A31137">
      <w:r w:rsidRPr="00A31137">
        <w:t>1990, Cruzan v. Director, MDH, 497 U.S. 357</w:t>
      </w:r>
    </w:p>
    <w:p w:rsidR="00A31137" w:rsidRPr="00A31137" w:rsidRDefault="00A31137" w:rsidP="00A31137">
      <w:r w:rsidRPr="00A31137">
        <w:t>against the rights of the patient to reject such prolongation, we must recognize that the State's interest in life encompasses a broader interest than mere corporeal existence. In certain thankfully rare circumstances, the burden of maintaining the corporeal existence degrades the very humanity it was meant to serve.</w:t>
      </w:r>
    </w:p>
    <w:p w:rsidR="00A31137" w:rsidRPr="00A31137" w:rsidRDefault="00A31137" w:rsidP="00A31137">
      <w:r w:rsidRPr="00A31137">
        <w:t>1990, Cruzan v. Director, MDH, 497 U.S. 357</w:t>
      </w:r>
    </w:p>
    <w:p w:rsidR="00A31137" w:rsidRPr="00A31137" w:rsidRDefault="00A31137" w:rsidP="00A31137">
      <w:r w:rsidRPr="00A31137">
        <w:t>Brophy v. New England Sinai Hospital, Inc., 398 Mass. 417, 433-434, 497 N.E.2d 626, 635 (1986). The Brophy court then stressed that this reflection upon the nature of the State's interest in life was distinguishable from any considerations related to the quality of a particular patient's life, considerations which the court regarded as irrelevant to its inquiry. See also In re Eichner, 73 App.Div.2d 431, 465, 426 N.Y.S.2d 517, 543 (1980) (A patient in a persistent vegetative state "has no health, and, in the true sense, no life for the State to protect"), modified in In re Storar, 52 N.Y.2d 363, 438 N.Y.S.2d 266, 420 N.E.2d 64 (1981).</w:t>
      </w:r>
    </w:p>
    <w:p w:rsidR="00A31137" w:rsidRPr="00A31137" w:rsidRDefault="00A31137" w:rsidP="00A31137">
      <w:r w:rsidRPr="00A31137">
        <w:t>1990, Cruzan v. Director, MDH, 497 U.S. 357</w:t>
      </w:r>
    </w:p>
    <w:p w:rsidR="00A31137" w:rsidRPr="00A31137" w:rsidRDefault="00A31137" w:rsidP="00A31137">
      <w:r w:rsidRPr="00A31137">
        <w:t>19. One learned observer suggests, in the course of discussing persistent vegetative states, that</w:t>
      </w:r>
    </w:p>
    <w:p w:rsidR="00A31137" w:rsidRPr="00A31137" w:rsidRDefault="00A31137" w:rsidP="00A31137">
      <w:r w:rsidRPr="00A31137">
        <w:t>1990, Cruzan v. Director, MDH, 497 U.S. 357</w:t>
      </w:r>
    </w:p>
    <w:p w:rsidR="00A31137" w:rsidRPr="00A31137" w:rsidRDefault="00A31137" w:rsidP="00A31137">
      <w:r w:rsidRPr="00A31137">
        <w:t>few of us would accept the preservation of such a reduced level of function as a proper goal for medicine, even though we sadly accept it as an unfortunate and unforeseen result of treatment that had higher aspirations, and even if we refuse actively to cause such vegetative life to cease.</w:t>
      </w:r>
    </w:p>
    <w:p w:rsidR="00A31137" w:rsidRPr="00A31137" w:rsidRDefault="00A31137" w:rsidP="00A31137">
      <w:r w:rsidRPr="00A31137">
        <w:t>1990, Cruzan v. Director, MDH, 497 U.S. 357</w:t>
      </w:r>
    </w:p>
    <w:p w:rsidR="00A31137" w:rsidRPr="00A31137" w:rsidRDefault="00A31137" w:rsidP="00A31137">
      <w:r w:rsidRPr="00A31137">
        <w:t>L. Kass, Toward a More Natural Science 203 (1985). This assessment may be controversial. Nevertheless, I again tend to agree with Judge Blackmar, who in his dissent from the Missouri Supreme Court's decision contended that it would be unreasonable for the State to assume that most people did in fact hold a view contrary to the one described by Dr. Kass.</w:t>
      </w:r>
    </w:p>
    <w:p w:rsidR="00A31137" w:rsidRPr="00A31137" w:rsidRDefault="00A31137" w:rsidP="00A31137">
      <w:r w:rsidRPr="00A31137">
        <w:t>1990, Cruzan v. Director, MDH, 497 U.S. 357</w:t>
      </w:r>
    </w:p>
    <w:p w:rsidR="00A31137" w:rsidRPr="00A31137" w:rsidRDefault="00A31137" w:rsidP="00A31137">
      <w:r w:rsidRPr="00A31137">
        <w:t>My view is further buttressed by the comments of the President's Commission for the Study of Ethical Problems in Medicine and Biomedical and Behavioral Research:</w:t>
      </w:r>
    </w:p>
    <w:p w:rsidR="00A31137" w:rsidRPr="00A31137" w:rsidRDefault="00A31137" w:rsidP="00A31137">
      <w:r w:rsidRPr="00A31137">
        <w:t>1990, Cruzan v. Director, MDH, 497 U.S. 357</w:t>
      </w:r>
    </w:p>
    <w:p w:rsidR="00A31137" w:rsidRPr="00A31137" w:rsidRDefault="00A31137" w:rsidP="00A31137">
      <w:r w:rsidRPr="00A31137">
        <w:t>The primary basis for medical treatment of patients is the prospect that each individual's interests (specifically, the interest in wellbeing) will be promoted. Thus, treatment ordinarily aims to benefit a patient through preserving life, relieving pain and suffering, protecting against disability, and returning maximally effective functioning. If a prognosis of permanent unconsciousness is correct, however, continued treatment cannot confer such benefits. Pain and suffering are absent, as are joy, satisfaction, and pleasure. Disability is total, and no return to an even minimal level of social or human functioning is possible.</w:t>
      </w:r>
    </w:p>
    <w:p w:rsidR="00A31137" w:rsidRPr="00A31137" w:rsidRDefault="00A31137" w:rsidP="00A31137">
      <w:r w:rsidRPr="00A31137">
        <w:t>1990, Cruzan v. Director, MDH, 497 U.S. 357</w:t>
      </w:r>
    </w:p>
    <w:p w:rsidR="00A31137" w:rsidRPr="00A31137" w:rsidRDefault="00A31137" w:rsidP="00A31137">
      <w:r w:rsidRPr="00A31137">
        <w:t>Deciding to Forego Life-Sustaining Treatment 181-182 (1983).</w:t>
      </w:r>
    </w:p>
    <w:p w:rsidR="00A31137" w:rsidRPr="00A31137" w:rsidRDefault="00A31137" w:rsidP="00A31137">
      <w:r w:rsidRPr="00A31137">
        <w:t>1990, Cruzan v. Director, MDH, 497 U.S. 357</w:t>
      </w:r>
    </w:p>
    <w:p w:rsidR="00A31137" w:rsidRPr="00A31137" w:rsidRDefault="00A31137" w:rsidP="00A31137">
      <w:r w:rsidRPr="00A31137">
        <w:t>20. It is this sense of the word that explains its use to describe a biography: for example, Boswell's Life of Johnson or Beveridge's The Life of John Marshall. The reader of a book so titled would be surprised to find that it contained a compilation of biological data.</w:t>
      </w:r>
    </w:p>
    <w:p w:rsidR="00A31137" w:rsidRPr="00A31137" w:rsidRDefault="00A31137" w:rsidP="00A31137">
      <w:r w:rsidRPr="00A31137">
        <w:t>1990, Cruzan v. Director, MDH, 497 U.S. 357</w:t>
      </w:r>
    </w:p>
    <w:p w:rsidR="00A31137" w:rsidRPr="00A31137" w:rsidRDefault="00A31137" w:rsidP="00A31137">
      <w:r w:rsidRPr="00A31137">
        <w:t>21. See, e.g., In re Estate of Longeway, 133 Ill.2d 33, 139 Ill.Dec. 780, 549 N.E.2d 292 (1989) (authorizing removal of a gastronomy tube from a permanently unconscious patient after judicial approval is obtained); McConnell v. Beverly Enterprises-Connecticut, Inc., 209 Conn. 692, 705, 553 A.2d 596, 603 (1989) (authorizing, pursuant to statute, removal of a gastronomy tube from patient in a persistent vegetative state, where patient had previously expressed a wish not to have treatment sustained); Gray v. Romeo, 697 F.Supp. 580 (RI 1988) (authorizing removal of a feeding tube from a patient in a persistent vegetative state); Rasmussen v. Fleming, 154 Ariz. 207, 741 P.2d 674 (1987) (en banc) (authorizing procedures for the removal of a feeding tube from a patient in a persistent vegetative state); In re Gardner, 534 A.2d 947 (Me.1987) (allowing discontinuation of life-sustaining procedures for a patient in a persistent vegetative state); In re Peter, 108 N.J. 365, 529 A.2d 419 (1987) (authorizing procedures for cessation of treatment to elderly nursing home patient in a persistent vegetative state); In re Jobes, 108 N.J. 394, 529 A.2d 434 (1987) (authorizing procedures for cessation of treatment to nonelderly patient determined by "clear and convincing" evidence to be in a persistent vegetative state); Brophy v. New England Sinai Hospital, Inc., 398 Mass. 417, 497 N.E.2d 626 (1986) (permitting removal of a feeding tube from a patient in a persistent vegetative state); John F. Kennedy Memorial Hospital, Inc. v. Bludworth, 452 So.2d 921 (Fla.1984) (holding that court approval was not needed to authorize cessation of life-support for patient in a persistent vegetative state who had executed a living will); In re Torres, 357 N.W.2d 332 (Minn. 1984) (authorizing removal of a permanently unconscious patient from life-support systems); In re L.H.R., 253 Ga. 439, 321 S.E.2d 716 (1984) (allowing parents to terminate life support for infant in a chronic vegetative state); In re Hamlin, 102 Wash.2d 810, 689 P.2d 1372 (1984) (allowing termination, without judicial intervention, of life support for patient in a vegetative state if doctors and guardian concur; conflicts among doctors and the guardian with respect to cessation of treatment are to be resolved by a trial court); In re Colyer, 99 Wash.2d 114, 660 P.2d 738 (1983), modified on other grounds, In re Hamlin, 102 Wash.2d 810, 689 P.2d 1372 (1984) (allowing court-appointed guardian to authorize cessation of treatment of patient in persistent vegetative state); In re Eichner (decided with In re Storar), 52 N.Y.2d 363, 438 N.Y. S.2d 266, 420 N.E.2d 64, cert. denied, 454 U.S. 858 (1981) (authorizing the removal of a patient in a persistent vegetative state from a respirator); In re Quinlan, 70 N.J. 10, 355 A.2d 647, cert. denied, 429 U.S. 922 (1976) (authorizing, on constitutional grounds, the removal of a patient in a persistent vegetative state from a respirator); Corbett v. D'Alessandro, 487 So.2d 368 (Fla.App.1986) (authorizing removal of nasogastric feeding tube from patient in persistent vegetative state); In re Drabick, 200 Cal.App.3d 185, 218, 245 Cal.Rptr. 840, 861 (1988) ("Life sustaining treatment is not 'necessary' under Probate Code section 2355 if it offers no reasonable possibility of returning the conservatee to cognitive life and if it is not otherwise in the conservatee's best interests, as determined by the conservator in good faith"); Delio v. Westchester County Medical Center, 129 App.Div.2d 1, 516 N.Y.S.2d 677 (1987) (authorizing discontinuation of artificial feeding for a 33-year-old patient in a persistent vegetative state); Leach v. Akron General Medical Center, 68 Ohio Misc. 1, 426 N.E.2d 809 (1980) (authorizing removal of a patient in a persistent vegetative state from a respirator); In re Severns, 425 A.2d 156 (Del.Ch.1980) (authorizing discontinuation of all medical support measures for a patient in a "virtual vegetative state").</w:t>
      </w:r>
    </w:p>
    <w:p w:rsidR="00A31137" w:rsidRPr="00A31137" w:rsidRDefault="00A31137" w:rsidP="00A31137">
      <w:r w:rsidRPr="00A31137">
        <w:t>1990, Cruzan v. Director, MDH, 497 U.S. 357</w:t>
      </w:r>
    </w:p>
    <w:p w:rsidR="00A31137" w:rsidRPr="00A31137" w:rsidRDefault="00A31137" w:rsidP="00A31137">
      <w:r w:rsidRPr="00A31137">
        <w:t>These cases are not the only ones which have allowed the cessation of life-sustaining treatment to incompetent patients. See, e.g., Superintendent of Belchertown State School v. Saikewicz, 373 Mass. 728, 370 N.E.2d 417 (1977) (holding that treatment could have been withheld from a profoundly mentally retarded patient); Bouvia v. Superior Court of Los Angeles, 179 Cal.App.3d 1127, 225 Cal.Rptr. 297 (1986) (allowing removal of life-saving nasogastric tube from competent, highly intelligent patient who was in extreme pain).</w:t>
      </w:r>
    </w:p>
    <w:p w:rsidR="00A31137" w:rsidRPr="00A31137" w:rsidRDefault="00A31137" w:rsidP="00A31137">
      <w:r w:rsidRPr="00A31137">
        <w:t>1990, Cruzan v. Director, MDH, 497 U.S. 357</w:t>
      </w:r>
    </w:p>
    <w:p w:rsidR="00A31137" w:rsidRPr="00A31137" w:rsidRDefault="00A31137" w:rsidP="00A31137">
      <w:r w:rsidRPr="00A31137">
        <w:t>22. Although my reasoning entails the conclusion that the best interests of the incompetent patient must be respected even when the patient is conscious, rather than in a vegetative state, considerations pertaining to the "quality of life," in addition to considerations about the definition of life, might then be relevant. The State's interest in protecting the life, and thereby the interests of the incompetent patient, would accordingly be more forceful, and the constitutional questions would be correspondingly complicated .</w:t>
      </w:r>
    </w:p>
    <w:p w:rsidR="00A31137" w:rsidRPr="00A31137" w:rsidRDefault="00A31137" w:rsidP="00A31137">
      <w:r w:rsidRPr="00A31137">
        <w:t>1990, Cruzan v. Director, MDH, 497 U.S. 357</w:t>
      </w:r>
    </w:p>
    <w:p w:rsidR="00A31137" w:rsidRPr="00A31137" w:rsidRDefault="00A31137" w:rsidP="00A31137">
      <w:r w:rsidRPr="00A31137">
        <w:t>23. Thus, the state court wrote:</w:t>
      </w:r>
    </w:p>
    <w:p w:rsidR="00A31137" w:rsidRPr="00A31137" w:rsidRDefault="00A31137" w:rsidP="00A31137">
      <w:r w:rsidRPr="00A31137">
        <w:t>1990, Cruzan v. Director, MDH, 497 U.S. 357</w:t>
      </w:r>
    </w:p>
    <w:p w:rsidR="00A31137" w:rsidRPr="00A31137" w:rsidRDefault="00A31137" w:rsidP="00A31137">
      <w:r w:rsidRPr="00A31137">
        <w:t>This State has expressed a strong policy favoring life. We believe that policy dictates that we err on the side of preserving life. If there is to be a change in that policy, it must come from the people through their elected representatives. Broad policy questions bearing on life and death issues are more properly addressed by representative assemblies. These have vast fact and opinion gathering and synthesizing powers unavailable to courts; the exercise of these powers is particularly appropriate where issues invoke the concerns of medicine, ethics, morality, philosophy, theology and law. Assuming change is appropriate, this issue demands a comprehensive resolution which courts cannot provide.</w:t>
      </w:r>
    </w:p>
    <w:p w:rsidR="00A31137" w:rsidRPr="00A31137" w:rsidRDefault="00A31137" w:rsidP="00A31137">
      <w:r w:rsidRPr="00A31137">
        <w:t>1990, Cruzan v. Director, MDH, 497 U.S. 357</w:t>
      </w:r>
    </w:p>
    <w:p w:rsidR="00A31137" w:rsidRPr="00A31137" w:rsidRDefault="00A31137" w:rsidP="00A31137">
      <w:r w:rsidRPr="00A31137">
        <w:t>760 S.W.2d at 426.</w:t>
      </w:r>
    </w:p>
    <w:p w:rsidR="00A31137" w:rsidRPr="00A31137" w:rsidRDefault="00A31137" w:rsidP="00A31137">
      <w:r w:rsidRPr="00A31137">
        <w:t>1990, Cruzan v. Director, MDH, 497 U.S. 357</w:t>
      </w:r>
    </w:p>
    <w:p w:rsidR="00A31137" w:rsidRPr="00A31137" w:rsidRDefault="00A31137" w:rsidP="00A31137">
      <w:r w:rsidRPr="00A31137">
        <w:t>24. The Supreme Judicial Court of Massachusetts anticipated this possibility in its Brophy decision, where it observed that the</w:t>
      </w:r>
    </w:p>
    <w:p w:rsidR="00A31137" w:rsidRPr="00A31137" w:rsidRDefault="00A31137" w:rsidP="00A31137">
      <w:r w:rsidRPr="00A31137">
        <w:t>1990, Cruzan v. Director, MDH, 497 U.S. 357</w:t>
      </w:r>
    </w:p>
    <w:p w:rsidR="00A31137" w:rsidRPr="00A31137" w:rsidRDefault="00A31137" w:rsidP="00A31137">
      <w:r w:rsidRPr="00A31137">
        <w:t>duty of the State to preserve life must encompass a recognition of an individual's right to avoid circumstances in which the individual himself would feel that efforts to sustain life demean or degrade his humanity,</w:t>
      </w:r>
    </w:p>
    <w:p w:rsidR="00A31137" w:rsidRPr="00A31137" w:rsidRDefault="00A31137" w:rsidP="00A31137">
      <w:r w:rsidRPr="00A31137">
        <w:t>1990, Cruzan v. Director, MDH, 497 U.S. 357</w:t>
      </w:r>
    </w:p>
    <w:p w:rsidR="00A31137" w:rsidRPr="00A31137" w:rsidRDefault="00A31137" w:rsidP="00A31137">
      <w:r w:rsidRPr="00A31137">
        <w:t>because otherwise the State's defense of life would be tantamount to an effort by "the State to make decisions regarding the individual's quality of life." 398 Mass. at 434, 497 N.E.2d at 635. Accord, Gray v. Romeo, 697 F.Supp. at 588.</w:t>
      </w:r>
    </w:p>
    <w:p w:rsidR="00A31137" w:rsidRPr="00A31137" w:rsidRDefault="00A31137" w:rsidP="00A31137">
      <w:r w:rsidRPr="00A31137">
        <w:t>1990, Cruzan v. Director, MDH, 497 U.S. 357</w:t>
      </w:r>
    </w:p>
    <w:p w:rsidR="00A31137" w:rsidRPr="00A31137" w:rsidRDefault="00A31137" w:rsidP="00A31137">
      <w:r w:rsidRPr="00A31137">
        <w:t>25. Judge Campbell said on behalf of the Florida District Court of Appeal for the Second District:</w:t>
      </w:r>
    </w:p>
    <w:p w:rsidR="00A31137" w:rsidRPr="00A31137" w:rsidRDefault="00A31137" w:rsidP="00A31137">
      <w:r w:rsidRPr="00A31137">
        <w:t>1990, Cruzan v. Director, MDH, 497 U.S. 357</w:t>
      </w:r>
    </w:p>
    <w:p w:rsidR="00A31137" w:rsidRPr="00A31137" w:rsidRDefault="00A31137" w:rsidP="00A31137">
      <w:r w:rsidRPr="00A31137">
        <w:t>we want to acknowledge that we began our deliberations in this matter, as did those who drafted our Declaration of Independence, with the solemnity and the gratefulness of the knowledge "that all men are…endowed by their Creator with…Life." It was not without considerable searching of our hearts, souls, and minds, as well as the jurisprudence of this great Land that we have reached our conclusions. We forcefully affirm that Life, having been endowed by our Creator, should not be lightly taken nor relinquished. We recognize, however, that we are also endowed with a certain amount of dignity and the right to the "Pursuit of Happiness." When, therefore, it may be determined by reason of the advanced scientific and medical technologies of this day that Life has, through causes beyond our control, reached the unconscious and vegetative state where all that remains is the forced function of the body's vital functions, including the artificial sustenance of the body itself, then we recognize the right to allow the natural consequence of the removal of those artificial life sustaining measures.</w:t>
      </w:r>
    </w:p>
    <w:p w:rsidR="00A31137" w:rsidRPr="00A31137" w:rsidRDefault="00A31137" w:rsidP="00A31137">
      <w:r w:rsidRPr="00A31137">
        <w:t>1990, Cruzan v. Director, MDH, 497 U.S. 357</w:t>
      </w:r>
    </w:p>
    <w:p w:rsidR="00A31137" w:rsidRPr="00A31137" w:rsidRDefault="00A31137" w:rsidP="00A31137">
      <w:r w:rsidRPr="00A31137">
        <w:t>Corbett v. D'Alessandro, 487 So.2d at 371.</w:t>
      </w:r>
    </w:p>
    <w:p w:rsidR="00A31137" w:rsidRPr="00A31137" w:rsidRDefault="00A31137" w:rsidP="00A31137">
      <w:r w:rsidRPr="00A31137">
        <w:t>Hodgson v. Minnesota, 1990</w:t>
      </w:r>
    </w:p>
    <w:p w:rsidR="00A31137" w:rsidRPr="00A31137" w:rsidRDefault="00A31137" w:rsidP="00A31137">
      <w:r w:rsidRPr="00A31137">
        <w:t>Title:</w:t>
      </w:r>
      <w:r w:rsidRPr="00A31137">
        <w:tab/>
        <w:t>Hodgson v. Minnesota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25, 1990</w:t>
      </w:r>
    </w:p>
    <w:p w:rsidR="00A31137" w:rsidRPr="00A31137" w:rsidRDefault="00A31137" w:rsidP="00A31137">
      <w:r w:rsidRPr="00A31137">
        <w:t>Source:</w:t>
      </w:r>
      <w:r w:rsidRPr="00A31137">
        <w:tab/>
        <w:t>497 U.S. 417</w:t>
      </w:r>
    </w:p>
    <w:p w:rsidR="00A31137" w:rsidRPr="00A31137" w:rsidRDefault="00A31137" w:rsidP="00A31137">
      <w:r w:rsidRPr="00A31137">
        <w:t>This case was argued November 29, 1989, and was decided June 25, 1990.</w:t>
      </w:r>
    </w:p>
    <w:p w:rsidR="00A31137" w:rsidRPr="00A31137" w:rsidRDefault="00A31137" w:rsidP="00A31137">
      <w:r w:rsidRPr="00A31137">
        <w:t>CERTIORARI TO THE UNITED STATES COURT OF APPEALS FOR</w:t>
      </w:r>
    </w:p>
    <w:p w:rsidR="00A31137" w:rsidRPr="00A31137" w:rsidRDefault="00A31137" w:rsidP="00A31137">
      <w:r w:rsidRPr="00A31137">
        <w:t>THE EIGHTH CIRCUIT</w:t>
      </w:r>
    </w:p>
    <w:p w:rsidR="00A31137" w:rsidRPr="00A31137" w:rsidRDefault="00A31137" w:rsidP="00A31137">
      <w:r w:rsidRPr="00A31137">
        <w:t>Syllabus</w:t>
      </w:r>
    </w:p>
    <w:p w:rsidR="00A31137" w:rsidRPr="00A31137" w:rsidRDefault="00A31137" w:rsidP="00A31137">
      <w:r w:rsidRPr="00A31137">
        <w:t>1990, Hodgson v. Minnesota, 497 U.S. 417</w:t>
      </w:r>
    </w:p>
    <w:p w:rsidR="00A31137" w:rsidRPr="00A31137" w:rsidRDefault="00A31137" w:rsidP="00A31137">
      <w:r w:rsidRPr="00A31137">
        <w:t>Subdivision 2 of Minn.Stat. § 144.343 provides that no abortion shall be performed on a woman under 18 years of age until at least 48 hours after both of her parents have been notified. The two-parent notice requirement is mandatory unless, inter alia, the woman declares that she is a victim of parental abuse or neglect, in which event notice of her declaration must be given to the proper authorities. Subdivision 6 provides that, if a court enjoins the enforcement of subdivision 2, the same two-parent notice requirement is effective unless a court of competent jurisdiction orders the abortion to proceed without notice upon proof by the minor that she is "mature and capable of giving informed consent" or that an abortion without notice to both parents would be in her best interest. Two days before the statute's effective date, a group consisting of doctors, clinics, pregnant minors, and the mother of a pregnant minor filed suit in the District Court, alleging that the statute violated the Due Process and Equal Protection Clauses of the Fourteenth Amendment. The court declared the statute unconstitutional in its entirety, and enjoined its enforcement. The Court of Appeals, sitting in banc, reversed. Although it rejected the State's submission that subdivision 2's two-parent notice requirement was constitutional without any bypass procedure, the court held that subdivision 6 was valid and that its bypass procedure saved the statute as a whole. The court also rejected the argument that the 48-hour waiting period imposed a significant burden on the minor's abortion right.</w:t>
      </w:r>
    </w:p>
    <w:p w:rsidR="00A31137" w:rsidRPr="00A31137" w:rsidRDefault="00A31137" w:rsidP="00A31137">
      <w:r w:rsidRPr="00A31137">
        <w:t>1990, Hodgson v. Minnesota, 497 U.S. 417</w:t>
      </w:r>
    </w:p>
    <w:p w:rsidR="00A31137" w:rsidRPr="00A31137" w:rsidRDefault="00A31137" w:rsidP="00A31137">
      <w:r w:rsidRPr="00A31137">
        <w:t>Held: The judgment is affirmed.</w:t>
      </w:r>
    </w:p>
    <w:p w:rsidR="00A31137" w:rsidRPr="00A31137" w:rsidRDefault="00A31137" w:rsidP="00A31137">
      <w:r w:rsidRPr="00A31137">
        <w:t>1990, Hodgson v. Minnesota, 497 U.S. 417</w:t>
      </w:r>
    </w:p>
    <w:p w:rsidR="00A31137" w:rsidRPr="00A31137" w:rsidRDefault="00A31137" w:rsidP="00A31137">
      <w:r w:rsidRPr="00A31137">
        <w:t>853 F.2d 1452 (CA8 1988), affirmed.</w:t>
      </w:r>
    </w:p>
    <w:p w:rsidR="00A31137" w:rsidRPr="00A31137" w:rsidRDefault="00A31137" w:rsidP="00A31137">
      <w:r w:rsidRPr="00A31137">
        <w:t>1990, Hodgson v. Minnesota, 497 U.S. 417</w:t>
      </w:r>
    </w:p>
    <w:p w:rsidR="00A31137" w:rsidRPr="00A31137" w:rsidRDefault="00A31137" w:rsidP="00A31137">
      <w:r w:rsidRPr="00A31137">
        <w:t>Justice STEVENS delivered the opinion of the Court with respect to Parts I, II, IV, and VII, concluding that subdivision 2 of § 144.343 violates the Constitution insofar as it requires two-parent notification.</w:t>
      </w:r>
    </w:p>
    <w:p w:rsidR="00A31137" w:rsidRPr="00A31137" w:rsidRDefault="00A31137" w:rsidP="00A31137">
      <w:r w:rsidRPr="00A31137">
        <w:t>1990, Hodgson v. Minnesota, 497 U.S. 417</w:t>
      </w:r>
    </w:p>
    <w:p w:rsidR="00A31137" w:rsidRPr="00A31137" w:rsidRDefault="00A31137" w:rsidP="00A31137">
      <w:r w:rsidRPr="00A31137">
        <w:t>(a) Since none of this Court's abortion decisions dealing with parental consent or notification statutes focused on the possible significance of making the consent or notice applicable to both parents instead of just [497 U.S. 418] one, the District Court's extensive and unchallenged findings on the question are significant. On the basis of extensive trial testimony, the District Court found, inter alia, that the two-parent notification requirement had particularly harmful effects on both the minor and the custodial parent when the parents were divorced or separated, especially in the context of an abusive or dysfunctional family; that the requirement also had adverse effects in families in which the minor lives with both parents, particularly where family violence is a serious problem; that the requirement actually impairs family communication in many instances, since minors who otherwise would inform one parent were unwilling to do so when such notification would involve going to court for a bypass in any event; that few minors can take advantage of the abuse exception because of the obligation to report the information to the authorities and the attendant loss of privacy; and that the two-parent requirement did not further the State's interests in protecting pregnant minors or assuring family integrity. The court also found that, in many cases, the statutory 48-hour waiting period was extended to a week or more by scheduling considerations, thereby increasing the risk associated with the abortion to a statistically significant degree. Pp. 436-444.</w:t>
      </w:r>
    </w:p>
    <w:p w:rsidR="00A31137" w:rsidRPr="00A31137" w:rsidRDefault="00A31137" w:rsidP="00A31137">
      <w:r w:rsidRPr="00A31137">
        <w:t>1990, Hodgson v. Minnesota, 497 U.S. 418</w:t>
      </w:r>
    </w:p>
    <w:p w:rsidR="00A31137" w:rsidRPr="00A31137" w:rsidRDefault="00A31137" w:rsidP="00A31137">
      <w:r w:rsidRPr="00A31137">
        <w:t>(b) The requirement that both parents be notified, whether or not both wish to be notified or have assumed responsibility for the upbringing of the child, does not reasonably further any legitimate state interest. Any such interest in supporting the authority of a parent, who is presumed to act in the minor's best interest, to assure that the abortion decision is knowing, intelligent, and deliberate, would be fully served by a one-parent notification requirement as to functioning families, where notice to either parent would normally constitute notice to both. As to the many families in which the parent notified would not notify the other parent, the State has no legitimate interest in questioning the first parent's judgment or in presuming him or her incompetent to make decisions regarding the child's health and welfare. Moreover, as the record demonstrates, the two-parent requirement actually disserves the state interest in protecting and assisting the minor with respect to the thousands of dysfunctional families affected by the statute, where the requirement proved positively harmful. There is no merit to the argument that the two-parent requirement is justified because, in the ideal family, the minor should make her decision only after consultation with both parents, who should naturally be concerned with her welfare. The State has no legitimate interest in conforming family life to a state-designed ideal by requiring family members to talk together. Nor can the State's interest in protecting a parent's interest in shaping a child's values and lifestyle overcome the liberty interests of a minor acting with the consent of a single parent or court. The combined force of the separate [497 U.S. 419] interest of one parent and the minor's privacy interest outweighs the separate interest of the second parent, and the justification for any rule requiring parental involvement in the abortion decision rests entirely on the best interests of the child. The fact that the two-parent requirement is virtually an oddity among state and federal consent provisions governing childrens' health, welfare, and education further demonstrates its unreasonableness and the ease with which the State can adopt less burdensome means to protect the minor's welfare. Pp. 450-455.</w:t>
      </w:r>
    </w:p>
    <w:p w:rsidR="00A31137" w:rsidRPr="00A31137" w:rsidRDefault="00A31137" w:rsidP="00A31137">
      <w:r w:rsidRPr="00A31137">
        <w:t>1990, Hodgson v. Minnesota, 497 U.S. 419</w:t>
      </w:r>
    </w:p>
    <w:p w:rsidR="00A31137" w:rsidRPr="00A31137" w:rsidRDefault="00A31137" w:rsidP="00A31137">
      <w:r w:rsidRPr="00A31137">
        <w:t>Justice STEVENS, joined by Justice O'CONNOR, concluded in Parts V and VI that:</w:t>
      </w:r>
    </w:p>
    <w:p w:rsidR="00A31137" w:rsidRPr="00A31137" w:rsidRDefault="00A31137" w:rsidP="00A31137">
      <w:r w:rsidRPr="00A31137">
        <w:t>1990, Hodgson v. Minnesota, 497 U.S. 419</w:t>
      </w:r>
    </w:p>
    <w:p w:rsidR="00A31137" w:rsidRPr="00A31137" w:rsidRDefault="00A31137" w:rsidP="00A31137">
      <w:r w:rsidRPr="00A31137">
        <w:t>1. Three separate but related interests are relevant to the constitutionality of the 48-hour waiting period and the two-parent notification requirement. First, the State has a strong and legitimate interest in the welfare of its young citizens, whose immaturity, inexperience, and lack of judgment may sometimes impair their ability to exercise their rights wisely. That interest justifies a state-imposed requirement that the minor notify and consult with a parent before terminating her pregnancy. See, e.g., Ohio v. Akron Center for Reproductive Health, post, at 510-511. Second, parents have an interest in controlling their childrens' education and upbringing, and a natural parent's stake in the relationship with a child may rise to the level of a protected liberty interest if the parent has demonstrated his commitment by assuming personal, financial, or custodial responsibility for the child. Third, the family has a privacy interest in its childrens' upbringing and education which is constitutionally protected against undue state interference. When government intrudes on the family's choices, the governmental interests advanced and the extent to which they are served by the challenged regulation must be carefully examined. Pp.  444-448.</w:t>
      </w:r>
    </w:p>
    <w:p w:rsidR="00A31137" w:rsidRPr="00A31137" w:rsidRDefault="00A31137" w:rsidP="00A31137">
      <w:r w:rsidRPr="00A31137">
        <w:t>1990, Hodgson v. Minnesota, 497 U.S. 419</w:t>
      </w:r>
    </w:p>
    <w:p w:rsidR="00A31137" w:rsidRPr="00A31137" w:rsidRDefault="00A31137" w:rsidP="00A31137">
      <w:r w:rsidRPr="00A31137">
        <w:t>2. To the extent that subdivision 2 of the state statute requires that a minor wait 48 hours after notifying a single parent of her intention to obtain an abortion, it reasonably furthers the legitimate state interest in ensuring that the minor's decision is knowing and intelligent. The State may properly enact laws designed to aid a parent who has assumed "primary responsibility" for a minor's wellbeing in discharging that responsibility, and the 48-hour delay provides the parent the opportunity to consult with his or her spouse and a family physician, to inquire into the competency of the abortion doctor, and to discuss the decision's religious and moral implications with the minor and provide needed guidance and counsel as to how the decision will affect her future. The delay imposes only a minimal burden on the minor's rights. The statute does not impose any period of delay if the parents or a court, acting in loco parentis, provide consent to the procedure. Moreover, the record reveals that [497 U.S. 420] the waiting period may run concurrently with the time necessary to make an appointment for the abortion. Pp. 448-449.</w:t>
      </w:r>
    </w:p>
    <w:p w:rsidR="00A31137" w:rsidRPr="00A31137" w:rsidRDefault="00A31137" w:rsidP="00A31137">
      <w:r w:rsidRPr="00A31137">
        <w:t>1990, Hodgson v. Minnesota, 497 U.S. 420</w:t>
      </w:r>
    </w:p>
    <w:p w:rsidR="00A31137" w:rsidRPr="00A31137" w:rsidRDefault="00A31137" w:rsidP="00A31137">
      <w:r w:rsidRPr="00A31137">
        <w:t>Justice O'CONNOR concluded that subdivision 6 of the state statute—two-parent notification plus judicial bypass—passes constitutional muster because the interference with the family's internal operation required by subdivision 2's two-parent notice requirement simply does not exist where the minor can avoid notifying one or both parents by using the bypass procedure. See, e.g., Planned Parenthood of Central Missouri v. Danforth, 428 U.S. 52, 90-91. P.  461.</w:t>
      </w:r>
    </w:p>
    <w:p w:rsidR="00A31137" w:rsidRPr="00A31137" w:rsidRDefault="00A31137" w:rsidP="00A31137">
      <w:r w:rsidRPr="00A31137">
        <w:t>1990, Hodgson v. Minnesota, 497 U.S. 420</w:t>
      </w:r>
    </w:p>
    <w:p w:rsidR="00A31137" w:rsidRPr="00A31137" w:rsidRDefault="00A31137" w:rsidP="00A31137">
      <w:r w:rsidRPr="00A31137">
        <w:t>Justice KENNEDY, joined by THE CHIEF JUSTICE, Justice WHITE, and Justice SCALIA, concluded:</w:t>
      </w:r>
    </w:p>
    <w:p w:rsidR="00A31137" w:rsidRPr="00A31137" w:rsidRDefault="00A31137" w:rsidP="00A31137">
      <w:r w:rsidRPr="00A31137">
        <w:t>1990, Hodgson v. Minnesota, 497 U.S. 420</w:t>
      </w:r>
    </w:p>
    <w:p w:rsidR="00A31137" w:rsidRPr="00A31137" w:rsidRDefault="00A31137" w:rsidP="00A31137">
      <w:r w:rsidRPr="00A31137">
        <w:t>1. The state statute's 48-hour waiting period is necessary to enable notified parents to consult with their daughter or her physician, if they so wish, results in little or no delay, and is therefore constitutional. Pp.  496-497.</w:t>
      </w:r>
    </w:p>
    <w:p w:rsidR="00A31137" w:rsidRPr="00A31137" w:rsidRDefault="00A31137" w:rsidP="00A31137">
      <w:r w:rsidRPr="00A31137">
        <w:t>1990, Hodgson v. Minnesota, 497 U.S. 420</w:t>
      </w:r>
    </w:p>
    <w:p w:rsidR="00A31137" w:rsidRPr="00A31137" w:rsidRDefault="00A31137" w:rsidP="00A31137">
      <w:r w:rsidRPr="00A31137">
        <w:t>2. Subdivision 6 of the statute—which requires two-parent notification unless the pregnant minor obtains a judicial bypass—is constitutional. By creating a judicial mechanism to identify, and exempt from the strictures of the law, those cases in which the minor is mature or in which parental notification is not in her best interest, subdivision 6 precisely addresses the concern underlying the Court's invalidation of subdivision 2: the possibility that, in some cases, two-parent notification would not work to the benefit of minors or their parents. In providing for the bypass, moreover, Minnesota has simply attempted to fit its legislation into the framework supplied by this Court's previous cases, particularly Bellotti v. Baird, 443 U.S. 622, which stands for the proposition that a two-parent consent law is constitutional if it provides for a sufficient judicial bypass alternative. See id. at  643 (opinion of Powell, J.); id. at 656-657 (WHITE, J., dissenting). The conclusion that subdivision 6 must be sustained is compelled not only by Bellotti but also by H.L. v. Matheson, 450 U.S. 398, in which the Court held that a two-parent notice statute without a bypass was constitutional as applied to immature minors whose best interests would be served by notice. If that is the case, but if such a law is not constitutional as applied to minors who are mature or whose best interests are not so served, a judicial bypass is an expeditious and efficient means by which to separate the applications of the law which are constitutional from those which are not. Pp.  497-501.</w:t>
      </w:r>
    </w:p>
    <w:p w:rsidR="00A31137" w:rsidRPr="00A31137" w:rsidRDefault="00A31137" w:rsidP="00A31137">
      <w:r w:rsidRPr="00A31137">
        <w:t>1990, Hodgson v. Minnesota, 497 U.S. 420</w:t>
      </w:r>
    </w:p>
    <w:p w:rsidR="00A31137" w:rsidRPr="00A31137" w:rsidRDefault="00A31137" w:rsidP="00A31137">
      <w:r w:rsidRPr="00A31137">
        <w:t xml:space="preserve">STEVENS, J., announced the judgment of the Court and delivered the opinion of the Court with respect to Parts I, II, IV, and VII, in which BRENNAN, MARSHALL, BLACKMUN, and O'CONNOR, JJ., joined, an opinion with respect to Part III, in which BRENNAN, J., joined, an opinion with [497 U.S. 421] respect to Parts V and VI, in which O'CONNOR, J., joined, and a dissenting opinion with respect to Part VIII. O'CONNOR, J., filed an opinion concurring in part and concurring in the judgment, post, p. 458. MARSHALL, J., filed an opinion concurring in part, concurring in the judgment in part, and dissenting in part, in which BRENNAN and BLACKMUN, JJ., joined, post, p. 461. SCALIA, J., filed an opinion concurring in the judgment in part and dissenting in part, post, p. 479. KENNEDY, J., filed an opinion concurring in the judgment in part and dissenting in part, in which REHNQUIST, C.J., and WHITE and SCALIA, JJ., joined, post, p.  480. [497 U.S. 422] </w:t>
      </w:r>
    </w:p>
    <w:p w:rsidR="00A31137" w:rsidRPr="00A31137" w:rsidRDefault="00A31137" w:rsidP="00A31137">
      <w:r w:rsidRPr="00A31137">
        <w:t>STEVENS, J., lead opinion</w:t>
      </w:r>
    </w:p>
    <w:p w:rsidR="00A31137" w:rsidRPr="00A31137" w:rsidRDefault="00A31137" w:rsidP="00A31137">
      <w:r w:rsidRPr="00A31137">
        <w:t>1990, Hodgson v. Minnesota, 497 U.S. 422</w:t>
      </w:r>
    </w:p>
    <w:p w:rsidR="00A31137" w:rsidRPr="00A31137" w:rsidRDefault="00A31137" w:rsidP="00A31137">
      <w:r w:rsidRPr="00A31137">
        <w:t>Justice STEVENS announced the judgment of the Court and delivered the opinion of the Court with respect to Parts I, II, IV, and VII, an opinion with respect to Part III in which Justice BRENNAN joins, an opinion with respect to Parts V and VI in which Justice O'CONNOR joins, and a dissenting opinion with respect to Part VIII.</w:t>
      </w:r>
    </w:p>
    <w:p w:rsidR="00A31137" w:rsidRPr="00A31137" w:rsidRDefault="00A31137" w:rsidP="00A31137">
      <w:r w:rsidRPr="00A31137">
        <w:t>1990, Hodgson v. Minnesota, 497 U.S. 422</w:t>
      </w:r>
    </w:p>
    <w:p w:rsidR="00A31137" w:rsidRPr="00A31137" w:rsidRDefault="00A31137" w:rsidP="00A31137">
      <w:r w:rsidRPr="00A31137">
        <w:t>A Minnesota statute, Minn.Stat. §§ 144.343(2)(7) (1988), provides, with certain exceptions, that no abortion shall be performed on a woman under 18 years of age until at least 48 hours after both of her parents have been notified. In subdivisions 2-4 of the statute, the notice is mandatory unless (1) the attending physician certifies that an immediate abortion is necessary to prevent the woman's death and there is insufficient time to provide the required notice; (2) both of her parents have consented in writing; or (3) the woman declares that she is a victim of parental abuse or neglect, in which event notice of her declaration must be given to the proper authorities. The United States Court of Appeals for the [497 U.S. 423] Eighth Circuit, sitting en banc, unanimously held this provision unconstitutional. In No. 88-1309, we granted the State's petition to review that holding. Subdivision 6 of the same statute provides that, if a court enjoins the enforcement of subdivision 2, the same notice requirement shall be effective unless the pregnant woman obtains a court order permitting the abortion to proceed. By a vote of 7-3, the Court of Appeals upheld the constitutionality of subdivision 6. In No. 88-1125, we granted the plaintiffs' petition to review that holding.</w:t>
      </w:r>
    </w:p>
    <w:p w:rsidR="00A31137" w:rsidRPr="00A31137" w:rsidRDefault="00A31137" w:rsidP="00A31137">
      <w:r w:rsidRPr="00A31137">
        <w:t>1990, Hodgson v. Minnesota, 497 U.S. 423</w:t>
      </w:r>
    </w:p>
    <w:p w:rsidR="00A31137" w:rsidRPr="00A31137" w:rsidRDefault="00A31137" w:rsidP="00A31137">
      <w:r w:rsidRPr="00A31137">
        <w:t>For reasons that follow, we now conclude that the requirement of notice to both of the pregnant minor's parents is not reasonably related to legitimate state interests, and that subdivision 2 is unconstitutional. A different majority of the Court, for reasons stated in separate opinions, concludes that subdivision 6 is constitutional. Accordingly, the judgment of the Court of Appeals in its entirety is affirmed.</w:t>
      </w:r>
    </w:p>
    <w:p w:rsidR="00A31137" w:rsidRPr="00A31137" w:rsidRDefault="00A31137" w:rsidP="00A31137">
      <w:r w:rsidRPr="00A31137">
        <w:t>I</w:t>
      </w:r>
    </w:p>
    <w:p w:rsidR="00A31137" w:rsidRPr="00A31137" w:rsidRDefault="00A31137" w:rsidP="00A31137">
      <w:r w:rsidRPr="00A31137">
        <w:t>1990, Hodgson v. Minnesota, 497 U.S. 423</w:t>
      </w:r>
    </w:p>
    <w:p w:rsidR="00A31137" w:rsidRPr="00A31137" w:rsidRDefault="00A31137" w:rsidP="00A31137">
      <w:r w:rsidRPr="00A31137">
        <w:t>The parental notice statute was enacted in 1981 as an amendment to the Minors' Consent to Health Services Act. The earlier statute, which remains in effect as subdivision 1 of § 144.343 and as § 144.346, had modified the common law requirement of parental consent for any medical procedure performed on minors. It authorized "any minor" to give effective consent without any parental involvement for the treatment of "pregnancy and conditions associated therewith, venereal disease, alcohol and other drug abuse." 1 [497 U.S. 424] The statute, unlike others of its age, 2 applied to abortion services.</w:t>
      </w:r>
    </w:p>
    <w:p w:rsidR="00A31137" w:rsidRPr="00A31137" w:rsidRDefault="00A31137" w:rsidP="00A31137">
      <w:r w:rsidRPr="00A31137">
        <w:t>1990, Hodgson v. Minnesota, 497 U.S. 424</w:t>
      </w:r>
    </w:p>
    <w:p w:rsidR="00A31137" w:rsidRPr="00A31137" w:rsidRDefault="00A31137" w:rsidP="00A31137">
      <w:r w:rsidRPr="00A31137">
        <w:t xml:space="preserve">The 1981 amendment qualified the authority of an "unemancipated minor" 3 to give effective consent to an abortion by requiring that either her physician or an agent notify "the parent" personally or by certified mail at least 48 hours before the procedure is performed. 4 The term "parent" is defined in subdivision 3 to mean "both parents of the pregnant woman if they are both living." No exception is made for [497 U.S. 425] a divorced parent, a noncustodial parent, or a biological parent who never married or lived with the pregnant woman's mother. 5 The statute does provide however, that if only one parent is living, or "if the second one cannot be located through reasonably diligent effort," notice to one parent is [497 U.S. 426] sufficient. 6 It also makes exceptions for cases in which emergency treatment prior to notice "is necessary to prevent the woman's death," both parents have already given their consent in writing, or the proper authorities are advised that the minor is a victim of sexual or physical abuse. 7 The statute subjects a person performing an abortion in violation of its terms to criminal sanctions and to civil liability in an action brought by any person "wrongfully denied notification." 8 [497 U.S. 427] </w:t>
      </w:r>
    </w:p>
    <w:p w:rsidR="00A31137" w:rsidRPr="00A31137" w:rsidRDefault="00A31137" w:rsidP="00A31137">
      <w:r w:rsidRPr="00A31137">
        <w:t>1990, Hodgson v. Minnesota, 497 U.S. 427</w:t>
      </w:r>
    </w:p>
    <w:p w:rsidR="00A31137" w:rsidRPr="00A31137" w:rsidRDefault="00A31137" w:rsidP="00A31137">
      <w:r w:rsidRPr="00A31137">
        <w:t xml:space="preserve">Subdivision 6 authorizes a judicial bypass of the two-parent notice requirement if subdivision 2 is ever "temporarily or permanently" enjoined by judicial order. If the pregnant minor can convince "any judge of a court of competent jurisdiction" that she is "mature and capable of giving informed consent to the proposed abortion," or that an abortion without notice to both parents would be in her best interest, the court can authorize the physician to proceed without notice. The statute provides that the bypass procedure shall be confidential, that it shall be expedited, that the minor has a right to court-appointed counsel, and that she shall be afforded free access to the court "24 hours a day, seven days a week." An order denying an abortion can be appealed on an expedited basis, but an order authorizing an abortion without notification is not subject to appeal. 9 [497 U.S. 428] </w:t>
      </w:r>
    </w:p>
    <w:p w:rsidR="00A31137" w:rsidRPr="00A31137" w:rsidRDefault="00A31137" w:rsidP="00A31137">
      <w:r w:rsidRPr="00A31137">
        <w:t>1990, Hodgson v. Minnesota, 497 U.S. 428</w:t>
      </w:r>
    </w:p>
    <w:p w:rsidR="00A31137" w:rsidRPr="00A31137" w:rsidRDefault="00A31137" w:rsidP="00A31137">
      <w:r w:rsidRPr="00A31137">
        <w:t>The statute contains a severability provision, but it does not include a statement of its purposes. The Minnesota Attorney General has advised us that those purposes are apparent from the statutory text, and that they</w:t>
      </w:r>
    </w:p>
    <w:p w:rsidR="00A31137" w:rsidRPr="00A31137" w:rsidRDefault="00A31137" w:rsidP="00A31137">
      <w:r w:rsidRPr="00A31137">
        <w:t>1990, Hodgson v. Minnesota, 497 U.S. 428</w:t>
      </w:r>
    </w:p>
    <w:p w:rsidR="00A31137" w:rsidRPr="00A31137" w:rsidRDefault="00A31137" w:rsidP="00A31137">
      <w:r w:rsidRPr="00A31137">
        <w:t>include the recognition and fostering of parent-child relationships, promoting counsel to a child in a difficult and traumatic choice, and providing for notice to those who are naturally most concerned for the child's welfare. 10</w:t>
      </w:r>
    </w:p>
    <w:p w:rsidR="00A31137" w:rsidRPr="00A31137" w:rsidRDefault="00A31137" w:rsidP="00A31137">
      <w:r w:rsidRPr="00A31137">
        <w:t>1990, Hodgson v. Minnesota, 497 U.S. 428</w:t>
      </w:r>
    </w:p>
    <w:p w:rsidR="00A31137" w:rsidRPr="00A31137" w:rsidRDefault="00A31137" w:rsidP="00A31137">
      <w:r w:rsidRPr="00A31137">
        <w:t>The District Court found that the primary purpose of the legislation was to protect the wellbeing of minors by encouraging them to discuss with their parents the decision whether to terminate their pregnancies. 11 It also found that the legislature was motivated by a [497 U.S. 429] desire to deter and dissuade minors from choosing to terminate their pregnancies. 12 The Attorney General, however, disclaims any reliance on this purpose. 13</w:t>
      </w:r>
    </w:p>
    <w:p w:rsidR="00A31137" w:rsidRPr="00A31137" w:rsidRDefault="00A31137" w:rsidP="00A31137">
      <w:r w:rsidRPr="00A31137">
        <w:t>II</w:t>
      </w:r>
    </w:p>
    <w:p w:rsidR="00A31137" w:rsidRPr="00A31137" w:rsidRDefault="00A31137" w:rsidP="00A31137">
      <w:r w:rsidRPr="00A31137">
        <w:t>1990, Hodgson v. Minnesota, 497 U.S. 429</w:t>
      </w:r>
    </w:p>
    <w:p w:rsidR="00A31137" w:rsidRPr="00A31137" w:rsidRDefault="00A31137" w:rsidP="00A31137">
      <w:r w:rsidRPr="00A31137">
        <w:t>This litigation was commenced on July 30, 1981, two days before the effective date of the parental notification statute. The plaintiffs include two Minnesota doctors who specialize in obstetrics and gynecology, four clinics providing abortion and contraceptive services in metropolitan areas in Minnesota, six pregnant minors representing a class of pregnant minors, and the mother of a pregnant minor. Plaintiffs alleged that the statute violated the Due Process and Equal Protection Clauses of the Fourteenth Amendment and various provisions of the Minnesota Constitution.</w:t>
      </w:r>
    </w:p>
    <w:p w:rsidR="00A31137" w:rsidRPr="00A31137" w:rsidRDefault="00A31137" w:rsidP="00A31137">
      <w:r w:rsidRPr="00A31137">
        <w:t>1990, Hodgson v. Minnesota, 497 U.S. 429</w:t>
      </w:r>
    </w:p>
    <w:p w:rsidR="00A31137" w:rsidRPr="00A31137" w:rsidRDefault="00A31137" w:rsidP="00A31137">
      <w:r w:rsidRPr="00A31137">
        <w:t>Based on the allegations in their verified complaint, the District Court entered a temporary restraining order enjoining [497 U.S. 430] the enforcement of subdivision 2 of the statute. After a hearing, the court entered a preliminary injunction which still remains in effect. App. 31. The District Court refused, however, to rule on the validity of the judicial bypass procedure in advance of trial. 14</w:t>
      </w:r>
    </w:p>
    <w:p w:rsidR="00A31137" w:rsidRPr="00A31137" w:rsidRDefault="00A31137" w:rsidP="00A31137">
      <w:r w:rsidRPr="00A31137">
        <w:t>1990, Hodgson v. Minnesota, 497 U.S. 430</w:t>
      </w:r>
    </w:p>
    <w:p w:rsidR="00A31137" w:rsidRPr="00A31137" w:rsidRDefault="00A31137" w:rsidP="00A31137">
      <w:r w:rsidRPr="00A31137">
        <w:t>In 1986, after a 5-week trial, the District Court concluded that both the two-parent notification requirement and the 48-hour waiting period were invalid. It further concluded that the definition of the term "parent," which is carried over into the notification requirement, was not severable from the remainder of the statute. The court declared the entire statute unconstitutional and enjoined the defendants from enforcing it.</w:t>
      </w:r>
    </w:p>
    <w:p w:rsidR="00A31137" w:rsidRPr="00A31137" w:rsidRDefault="00A31137" w:rsidP="00A31137">
      <w:r w:rsidRPr="00A31137">
        <w:t>1990, Hodgson v. Minnesota, 497 U.S. 430</w:t>
      </w:r>
    </w:p>
    <w:p w:rsidR="00A31137" w:rsidRPr="00A31137" w:rsidRDefault="00A31137" w:rsidP="00A31137">
      <w:r w:rsidRPr="00A31137">
        <w:t>A three-judge panel of the Court of Appeals affirmed. The court first held that a compulsory notification requirement is invalid if it does not provide the pregnant minor with the option of an alternative court procedure in which she can demonstrate either her maturity or that performance of an abortion without notification would be in her best interests. App. to Pet. for Cert. in No. 88-1125, p. 62a. Second, relying heavily on the findings of the District Court concerning the impact of a two-parent notice requirement on families in which the parents are divorced, separated, or unmarried, the panel also concluded that the unconstitutional notification requirement could not be saved by the judicial bypass. The court reasoned that a mature minor and her custodial parent are in a better position than a court to determine whether notifying the noncustodial parent would be in the child's best interests and that they should not be forced to submit to a "Hobson's choice" between an unconstitutional notice requirement and a burdensome court bypass. 15 The panel further [497 U.S. 431] held that the two-parent notice requirement was not severable. 16</w:t>
      </w:r>
    </w:p>
    <w:p w:rsidR="00A31137" w:rsidRPr="00A31137" w:rsidRDefault="00A31137" w:rsidP="00A31137">
      <w:r w:rsidRPr="00A31137">
        <w:t>1990, Hodgson v. Minnesota, 497 U.S. 431</w:t>
      </w:r>
    </w:p>
    <w:p w:rsidR="00A31137" w:rsidRPr="00A31137" w:rsidRDefault="00A31137" w:rsidP="00A31137">
      <w:r w:rsidRPr="00A31137">
        <w:t>The panel opinion was vacated, and the Court of Appeals reheard the case en banc. 853 F.2d 1452 (CA8 1988). The court unanimously and summarily rejected the State's submission that the two-parent notice requirement was constitutional without any bypass procedure. Id. at 1456-1457. The majority concluded, however, that subdivision 6 of the statute was valid. It agreed with the District Court that the development of a full factual record may demonstrate that a facially valid statute is "unconstitutional in operation," id. at 1459, and that</w:t>
      </w:r>
    </w:p>
    <w:p w:rsidR="00A31137" w:rsidRPr="00A31137" w:rsidRDefault="00A31137" w:rsidP="00A31137">
      <w:r w:rsidRPr="00A31137">
        <w:t>1990, Hodgson v. Minnesota, 497 U.S. 431</w:t>
      </w:r>
    </w:p>
    <w:p w:rsidR="00A31137" w:rsidRPr="00A31137" w:rsidRDefault="00A31137" w:rsidP="00A31137">
      <w:r w:rsidRPr="00A31137">
        <w:t>the detailed factual findings concerning the general difficulties of obtaining an abortion in Minnesota and the trauma of the bypass procedure, compared to its effectiveness, raise considerable questions about the practical [497 U.S. 432] wisdom of this statute.</w:t>
      </w:r>
    </w:p>
    <w:p w:rsidR="00A31137" w:rsidRPr="00A31137" w:rsidRDefault="00A31137" w:rsidP="00A31137">
      <w:r w:rsidRPr="00A31137">
        <w:t>1990, Hodgson v. Minnesota, 497 U.S. 432</w:t>
      </w:r>
    </w:p>
    <w:p w:rsidR="00A31137" w:rsidRPr="00A31137" w:rsidRDefault="00A31137" w:rsidP="00A31137">
      <w:r w:rsidRPr="00A31137">
        <w:t>Ibid. In the majority's opinion, however, those questions were for the legislature to consider because the statute served valid state interests: the interest in</w:t>
      </w:r>
    </w:p>
    <w:p w:rsidR="00A31137" w:rsidRPr="00A31137" w:rsidRDefault="00A31137" w:rsidP="00A31137">
      <w:r w:rsidRPr="00A31137">
        <w:t>1990, Hodgson v. Minnesota, 497 U.S. 432</w:t>
      </w:r>
    </w:p>
    <w:p w:rsidR="00A31137" w:rsidRPr="00A31137" w:rsidRDefault="00A31137" w:rsidP="00A31137">
      <w:r w:rsidRPr="00A31137">
        <w:t>"encouraging an unmarried pregnant minor to seek the help and advice of her parents in making the very important decision whether or not to bear a child," 17</w:t>
      </w:r>
    </w:p>
    <w:p w:rsidR="00A31137" w:rsidRPr="00A31137" w:rsidRDefault="00A31137" w:rsidP="00A31137">
      <w:r w:rsidRPr="00A31137">
        <w:t>1990, Hodgson v. Minnesota, 497 U.S. 432</w:t>
      </w:r>
    </w:p>
    <w:p w:rsidR="00A31137" w:rsidRPr="00A31137" w:rsidRDefault="00A31137" w:rsidP="00A31137">
      <w:r w:rsidRPr="00A31137">
        <w:t>as well as the independent interest of the parents in the upbringing of their children. 18</w:t>
      </w:r>
    </w:p>
    <w:p w:rsidR="00A31137" w:rsidRPr="00A31137" w:rsidRDefault="00A31137" w:rsidP="00A31137">
      <w:r w:rsidRPr="00A31137">
        <w:t>1990, Hodgson v. Minnesota, 497 U.S. 432</w:t>
      </w:r>
    </w:p>
    <w:p w:rsidR="00A31137" w:rsidRPr="00A31137" w:rsidRDefault="00A31137" w:rsidP="00A31137">
      <w:r w:rsidRPr="00A31137">
        <w:t>After noting that the State did not challenge the District Court's findings, id. at 1462, the court concluded that these findings placed undue emphasis on one-parent and no-parent households. For even though the two-parent notice requirement may not further the interests of the pregnant minor in such cases, the rights of "best-interest" and mature minors were nevertheless protected by the bypass procedure. More importantly,</w:t>
      </w:r>
    </w:p>
    <w:p w:rsidR="00A31137" w:rsidRPr="00A31137" w:rsidRDefault="00A31137" w:rsidP="00A31137">
      <w:r w:rsidRPr="00A31137">
        <w:t>1990, Hodgson v. Minnesota, 497 U.S. 432</w:t>
      </w:r>
    </w:p>
    <w:p w:rsidR="00A31137" w:rsidRPr="00A31137" w:rsidRDefault="00A31137" w:rsidP="00A31137">
      <w:r w:rsidRPr="00A31137">
        <w:t>as applied to all pregnant minors, regardless of their family circumstances, the district court did not consider whether parental and family interests (as distinguished from the interests of the minor alone) justified the two-parent notice requirement.</w:t>
      </w:r>
    </w:p>
    <w:p w:rsidR="00A31137" w:rsidRPr="00A31137" w:rsidRDefault="00A31137" w:rsidP="00A31137">
      <w:r w:rsidRPr="00A31137">
        <w:t>1990, Hodgson v. Minnesota, 497 U.S. 432</w:t>
      </w:r>
    </w:p>
    <w:p w:rsidR="00A31137" w:rsidRPr="00A31137" w:rsidRDefault="00A31137" w:rsidP="00A31137">
      <w:r w:rsidRPr="00A31137">
        <w:t>Id. at 1463. The court wrote:</w:t>
      </w:r>
    </w:p>
    <w:p w:rsidR="00A31137" w:rsidRPr="00A31137" w:rsidRDefault="00A31137" w:rsidP="00A31137">
      <w:r w:rsidRPr="00A31137">
        <w:t>1990, Hodgson v. Minnesota, 497 U.S. 432</w:t>
      </w:r>
    </w:p>
    <w:p w:rsidR="00A31137" w:rsidRPr="00A31137" w:rsidRDefault="00A31137" w:rsidP="00A31137">
      <w:r w:rsidRPr="00A31137">
        <w:t>The district court enjoined the entire statute because of the impact of the two-parent notice requirement primarily upon one group of pregnant minors, without considering the effect of the bypass or the parental and family interests which have been recognized by the Supreme Court. In concentrating upon the impact of the statute on the pregnant minor not living with both parents, and on the mature or non best-interest pregnant [497 U.S. 433] minor, the district court gave only limited consideration to the 50% or more pregnant minors who live with both parents and to pregnant minors who are immature and whose best interests may require parental involvement. The district court's determination that an undue burden on the one group renders the statute unconstitutional for all is contrary to the Supreme Court's decision that a notice-consent/bypass procedure plainly serves important state interests and is narrowly drawn to protect only those interests….   Considering the statute as a whole and as applied to all pregnant minors, the two-parent notice requirement does not unconstitutionally burden the minor's abortion right.</w:t>
      </w:r>
    </w:p>
    <w:p w:rsidR="00A31137" w:rsidRPr="00A31137" w:rsidRDefault="00A31137" w:rsidP="00A31137">
      <w:r w:rsidRPr="00A31137">
        <w:t>1990, Hodgson v. Minnesota, 497 U.S. 433</w:t>
      </w:r>
    </w:p>
    <w:p w:rsidR="00A31137" w:rsidRPr="00A31137" w:rsidRDefault="00A31137" w:rsidP="00A31137">
      <w:r w:rsidRPr="00A31137">
        <w:t>Id. at 1464-1465 (citation omitted). The Court of Appeals also rejected the argument that the 48-hour waiting period imposed a significant burden on the minor's abortion right, finding that the waiting period could run concurrently with the scheduling of an appointment for the procedure. Accordingly, the court reversed the judgment of the District Court without reaching the question of severability. 19</w:t>
      </w:r>
    </w:p>
    <w:p w:rsidR="00A31137" w:rsidRPr="00A31137" w:rsidRDefault="00A31137" w:rsidP="00A31137">
      <w:r w:rsidRPr="00A31137">
        <w:t>1990, Hodgson v. Minnesota, 497 U.S. 433</w:t>
      </w:r>
    </w:p>
    <w:p w:rsidR="00A31137" w:rsidRPr="00A31137" w:rsidRDefault="00A31137" w:rsidP="00A31137">
      <w:r w:rsidRPr="00A31137">
        <w:t xml:space="preserve">In dissent, two members of the court criticized the majority for ignoring "the evidence amassed in a five-week trial," for relying on the judicial bypass procedure "to uphold an unconstitutional two-parent notification requirement," and for creating "a new right, apparently of constitutional dimension, for noncustodial parents to receive notice of their minor children's activities." Id. at 1466. One of the dissenters joined a third dissenter in expressing the opinion that "a single-parent notification requirement would withstand constitutional challenge." Id. at 1472. We granted certiorari, 492 U.S. 917 (1989). [497 U.S. 434] </w:t>
      </w:r>
    </w:p>
    <w:p w:rsidR="00A31137" w:rsidRPr="00A31137" w:rsidRDefault="00A31137" w:rsidP="00A31137">
      <w:r w:rsidRPr="00A31137">
        <w:t>III</w:t>
      </w:r>
    </w:p>
    <w:p w:rsidR="00A31137" w:rsidRPr="00A31137" w:rsidRDefault="00A31137" w:rsidP="00A31137">
      <w:r w:rsidRPr="00A31137">
        <w:t>1990, Hodgson v. Minnesota, 497 U.S. 434</w:t>
      </w:r>
    </w:p>
    <w:p w:rsidR="00A31137" w:rsidRPr="00A31137" w:rsidRDefault="00A31137" w:rsidP="00A31137">
      <w:r w:rsidRPr="00A31137">
        <w:t>There is a natural difference between men and women: only women have the capacity to bear children. A woman's decision to beget or to bear a child is a component of her liberty that is protected by the Due Process Clause of the Fourteenth Amendment to the Constitution. See Harris v. McRae, 448 U.S. 297, 316-318 (1980); Carey v. Population Services International, 431 U.S. 678,  685,  687 (1977); Cleveland Board of Education v. LaFleur, 414 U.S. 632, 639-640 (1974); Roe v. Wade, 410 U.S. 113, 152-153 (1973); id. at 168-170 (Stewart, J., concurring); Eisenstadt v. Baird, 405 U.S. 438,  453 (1972); Griswold v. Connecticut, 381 U.S. 479, 502-503 (1965) (WHITE, J., concurring in judgment). That Clause, as interpreted in those cases, protects the woman's right to make such decisions independently and privately, see Whalen v. Roe, 429 U.S. 589, 598-600, and n. 23 (1977), free of unwarranted governmental intrusion.</w:t>
      </w:r>
    </w:p>
    <w:p w:rsidR="00A31137" w:rsidRPr="00A31137" w:rsidRDefault="00A31137" w:rsidP="00A31137">
      <w:r w:rsidRPr="00A31137">
        <w:t>1990, Hodgson v. Minnesota, 497 U.S. 434</w:t>
      </w:r>
    </w:p>
    <w:p w:rsidR="00A31137" w:rsidRPr="00A31137" w:rsidRDefault="00A31137" w:rsidP="00A31137">
      <w:r w:rsidRPr="00A31137">
        <w:t>Moreover, the potentially severe detriment facing a pregnant woman, see Roe v. Wade, 410 U.S. at  153, is not mitigated by her minority. Indeed, considering her probable education, employment skills, financial resources, and emotional maturity, unwanted motherhood may be exceptionally burdensome for a minor. In addition, the fact of having a child brings with it adult legal responsibility, for parenthood, like attainment of the age of majority, is one of the traditional criteria for the termination of the legal disabilities of minority. In sum, there are few situations in which denying a minor the right to make an important decision will have consequences so grave and indelible.</w:t>
      </w:r>
    </w:p>
    <w:p w:rsidR="00A31137" w:rsidRPr="00A31137" w:rsidRDefault="00A31137" w:rsidP="00A31137">
      <w:r w:rsidRPr="00A31137">
        <w:t>1990, Hodgson v. Minnesota, 497 U.S. 434</w:t>
      </w:r>
    </w:p>
    <w:p w:rsidR="00A31137" w:rsidRPr="00A31137" w:rsidRDefault="00A31137" w:rsidP="00A31137">
      <w:r w:rsidRPr="00A31137">
        <w:t>Bellotti v. Baird, 443 U.S. 622,  642 (1979) (Bellotti II).</w:t>
      </w:r>
    </w:p>
    <w:p w:rsidR="00A31137" w:rsidRPr="00A31137" w:rsidRDefault="00A31137" w:rsidP="00A31137">
      <w:r w:rsidRPr="00A31137">
        <w:t>1990, Hodgson v. Minnesota, 497 U.S. 434</w:t>
      </w:r>
    </w:p>
    <w:p w:rsidR="00A31137" w:rsidRPr="00A31137" w:rsidRDefault="00A31137" w:rsidP="00A31137">
      <w:r w:rsidRPr="00A31137">
        <w:t>As we stated in Planned Parenthood of Central Missouri v. Danforth, 428 U.S. 52,  74 (1976), the right to make this decision "do[es] not mature and come into being magically only when [497 U.S. 435] one attains the state-defined age of majority." Thus, the constitutional protection against unjustified state intrusion into the process of deciding whether or not to bear a child extends to pregnant minors as well as adult women.</w:t>
      </w:r>
    </w:p>
    <w:p w:rsidR="00A31137" w:rsidRPr="00A31137" w:rsidRDefault="00A31137" w:rsidP="00A31137">
      <w:r w:rsidRPr="00A31137">
        <w:t>1990, Hodgson v. Minnesota, 497 U.S. 435</w:t>
      </w:r>
    </w:p>
    <w:p w:rsidR="00A31137" w:rsidRPr="00A31137" w:rsidRDefault="00A31137" w:rsidP="00A31137">
      <w:r w:rsidRPr="00A31137">
        <w:t xml:space="preserve">In cases involving abortion, as in cases involving the right to travel or the right to marry, the identification of the constitutionally protected interest is merely the beginning of the analysis. State regulation of travel and of marriage is obviously permissible even though a State may not categorically exclude nonresidents from its borders, Shapiro v. Thompson, 394 U.S. 618,  631 (1969), or deny prisoners the right to marry, Turner v. Safley, 482 U.S. 78, 94-99 (1987). But the regulation of constitutionally protected decisions, such as where a person shall reside or whom he or she shall marry, must be predicated on legitimate state concerns other than disagreement with the choice the individual has made. Cf. Turner v. Safley, supra; Loving v. Virginia, 388 U.S. 1,  12 (1967). In the abortion area, a State may have no obligation to spend its own money, or use its own facilities, to subsidize nontherapeutic abortions for minors or adults. See, e.g., Maher v. Roe, 432 U.S. 464 (1977); cf. Webster v. Reproductive Health Services, 492 U.S. 490, 508-511 (1989); id. at 523-524 (O'CONNOR, J., concurring in part and concurring in judgment). A State's value judgment favoring childbirth over abortion may provide adequate support for decisions involving such allocation of public funds, but not for simply substituting a state decision for an individual decision that a woman has a right to make for herself. Otherwise, the interest in liberty protected by the Due Process Clause would be a nullity. A state policy favoring childbirth over abortion is not, in itself, a sufficient justification for overriding the woman's decision or for placing "obstacles—absolute or otherwise—in the pregnant woman's path to an abortion." Maher, 432 U.S. at  474; see also Harris v. McRae, 448 U.S. at 315-316. [497 U.S. 436] </w:t>
      </w:r>
    </w:p>
    <w:p w:rsidR="00A31137" w:rsidRPr="00A31137" w:rsidRDefault="00A31137" w:rsidP="00A31137">
      <w:r w:rsidRPr="00A31137">
        <w:t>1990, Hodgson v. Minnesota, 497 U.S. 436</w:t>
      </w:r>
    </w:p>
    <w:p w:rsidR="00A31137" w:rsidRPr="00A31137" w:rsidRDefault="00A31137" w:rsidP="00A31137">
      <w:r w:rsidRPr="00A31137">
        <w:t>In these cases, the State of Minnesota does not rest its defense of this statute on any such value judgment. Indeed, it affirmatively disavows that state interest as a basis for upholding this law. 20 Moreover, it is clear that the state judges who have interpreted the statute in over 3,000 decisions implementing its bypass procedures have found no legislative intent to disfavor the decision to terminate a pregnancy. On the contrary, in all but a handful of cases, they have approved such decisions. 21 Because the Minnesota statute unquestionably places obstacles in the pregnant minor's path to an abortion, the State has the burden of establishing its constitutionality. Under any analysis, the Minnesota statute cannot be sustained if the obstacles it imposes are not reasonably related to legitimate state interests. Cf. Turner v. Safley, 482 U.S. at  97; Carey v. Population Services International, 431 U.S. at  704 (opinion of Powell, J.); Doe v. Bolton, 410 U.S. 179, 194-195 (1973).</w:t>
      </w:r>
    </w:p>
    <w:p w:rsidR="00A31137" w:rsidRPr="00A31137" w:rsidRDefault="00A31137" w:rsidP="00A31137">
      <w:r w:rsidRPr="00A31137">
        <w:t>IV</w:t>
      </w:r>
    </w:p>
    <w:p w:rsidR="00A31137" w:rsidRPr="00A31137" w:rsidRDefault="00A31137" w:rsidP="00A31137">
      <w:r w:rsidRPr="00A31137">
        <w:t>1990, Hodgson v. Minnesota, 497 U.S. 436</w:t>
      </w:r>
    </w:p>
    <w:p w:rsidR="00A31137" w:rsidRPr="00A31137" w:rsidRDefault="00A31137" w:rsidP="00A31137">
      <w:r w:rsidRPr="00A31137">
        <w:t>The Court has considered the constitutionality of statutes providing for parental consent or parental notification in six abortion cases decided during the last 14 years. 22 Although the Massachusetts statute reviewed in Bellotti v. Baird, 428 U.S. 132 (1976) (Bellotti I), and Bellotti II required the consent of both parents, and the Utah statute reviewed in H.L. [497 U.S. 437] v. Matheson, 450 U.S. 398 (1981), required notice to "the parents," 23 none of the opinions in any of those cases focused on the possible significance of making the consent or the notice requirement applicable to both parents instead of just one. In contrast, the arguments in these cases, as well as the extensive findings of the District Court, are directed primarily at that distinction. It is therefore appropriate to summarize these findings before addressing the constitutionality of the 48-hour waiting period or the two-parent notification requirement, particularly since none of the findings has been challenged in either this Court or the Court of Appeals.</w:t>
      </w:r>
    </w:p>
    <w:p w:rsidR="00A31137" w:rsidRPr="00A31137" w:rsidRDefault="00A31137" w:rsidP="00A31137">
      <w:r w:rsidRPr="00A31137">
        <w:t>1990, Hodgson v. Minnesota, 497 U.S. 437</w:t>
      </w:r>
    </w:p>
    <w:p w:rsidR="00A31137" w:rsidRPr="00A31137" w:rsidRDefault="00A31137" w:rsidP="00A31137">
      <w:r w:rsidRPr="00A31137">
        <w:t xml:space="preserve">Approximately one out of every two marriages ends in divorce. 648 F.Supp. 756, 768 (Minn.1986). Unrebutted evidence indicates that only 50% of minors in the State of Minnesota reside with both biological parents. Ibid.; App. 125-126. This conclusion is substantially corroborated by a study indicating that 9% of the minors in Minnesota live with neither parent and 33% live with only one parent. 648 F.Supp. at 768. 24 [497 U.S. 438] </w:t>
      </w:r>
    </w:p>
    <w:p w:rsidR="00A31137" w:rsidRPr="00A31137" w:rsidRDefault="00A31137" w:rsidP="00A31137">
      <w:r w:rsidRPr="00A31137">
        <w:t>1990, Hodgson v. Minnesota, 497 U.S. 438</w:t>
      </w:r>
    </w:p>
    <w:p w:rsidR="00A31137" w:rsidRPr="00A31137" w:rsidRDefault="00A31137" w:rsidP="00A31137">
      <w:r w:rsidRPr="00A31137">
        <w:t>The District Court found—on the basis of extensive testimony at trial—that the two-parent notification requirement had particularly harmful effects on both the minor and the custodial parent when the parents were divorced or separated. Relations between the minor and absent parent were not reestablished as a result of the forced notification, thereby often producing disappointment in the minor "when an anticipated reestablishment of her relationship with the absent parent d[id] not occur." Moreover,</w:t>
      </w:r>
    </w:p>
    <w:p w:rsidR="00A31137" w:rsidRPr="00A31137" w:rsidRDefault="00A31137" w:rsidP="00A31137">
      <w:r w:rsidRPr="00A31137">
        <w:t>1990, Hodgson v. Minnesota, 497 U.S. 438</w:t>
      </w:r>
    </w:p>
    <w:p w:rsidR="00A31137" w:rsidRPr="00A31137" w:rsidRDefault="00A31137" w:rsidP="00A31137">
      <w:r w:rsidRPr="00A31137">
        <w:t>[t]he reaction of the custodial parent to the requirement of forced notification is often one of anger, resentment and frustration at the intrusion of the absent parent,</w:t>
      </w:r>
    </w:p>
    <w:p w:rsidR="00A31137" w:rsidRPr="00A31137" w:rsidRDefault="00A31137" w:rsidP="00A31137">
      <w:r w:rsidRPr="00A31137">
        <w:t>1990, Hodgson v. Minnesota, 497 U.S. 438</w:t>
      </w:r>
    </w:p>
    <w:p w:rsidR="00A31137" w:rsidRPr="00A31137" w:rsidRDefault="00A31137" w:rsidP="00A31137">
      <w:r w:rsidRPr="00A31137">
        <w:t xml:space="preserve"> and fear that notification will threaten the custody rights of the parent or otherwise promote intra-family violence. Tragically, those fears were often realized:</w:t>
      </w:r>
    </w:p>
    <w:p w:rsidR="00A31137" w:rsidRPr="00A31137" w:rsidRDefault="00A31137" w:rsidP="00A31137">
      <w:r w:rsidRPr="00A31137">
        <w:t>1990, Hodgson v. Minnesota, 497 U.S. 438</w:t>
      </w:r>
    </w:p>
    <w:p w:rsidR="00A31137" w:rsidRPr="00A31137" w:rsidRDefault="00A31137" w:rsidP="00A31137">
      <w:r w:rsidRPr="00A31137">
        <w:t>Involuntary involvement of the second biological parent is especially detrimental when the minor comes from an abusive, dysfunctional family. Notification of the minor's pregnancy and abortion decision can provoke violence, even where the parents are divorced or separated. Studies have shown that violence and harassment may continue well beyond the divorce, especially when children are involved.</w:t>
      </w:r>
    </w:p>
    <w:p w:rsidR="00A31137" w:rsidRPr="00A31137" w:rsidRDefault="00A31137" w:rsidP="00A31137">
      <w:r w:rsidRPr="00A31137">
        <w:t>1990, Hodgson v. Minnesota, 497 U.S. 438</w:t>
      </w:r>
    </w:p>
    <w:p w:rsidR="00A31137" w:rsidRPr="00A31137" w:rsidRDefault="00A31137" w:rsidP="00A31137">
      <w:r w:rsidRPr="00A31137">
        <w:t>…Furthermore, a mother's perception in a dysfunctional family that there will be violence if the father learns of the daughter's pregnancy is likely to be an accurate perception.</w:t>
      </w:r>
    </w:p>
    <w:p w:rsidR="00A31137" w:rsidRPr="00A31137" w:rsidRDefault="00A31137" w:rsidP="00A31137">
      <w:r w:rsidRPr="00A31137">
        <w:t>1990, Hodgson v. Minnesota, 497 U.S. 438</w:t>
      </w:r>
    </w:p>
    <w:p w:rsidR="00A31137" w:rsidRPr="00A31137" w:rsidRDefault="00A31137" w:rsidP="00A31137">
      <w:r w:rsidRPr="00A31137">
        <w:t>Id. at 769. The District Court further found:</w:t>
      </w:r>
    </w:p>
    <w:p w:rsidR="00A31137" w:rsidRPr="00A31137" w:rsidRDefault="00A31137" w:rsidP="00A31137">
      <w:r w:rsidRPr="00A31137">
        <w:t>1990, Hodgson v. Minnesota, 497 U.S. 438</w:t>
      </w:r>
    </w:p>
    <w:p w:rsidR="00A31137" w:rsidRPr="00A31137" w:rsidRDefault="00A31137" w:rsidP="00A31137">
      <w:r w:rsidRPr="00A31137">
        <w:t>Twenty to twenty-five percent of the minors who go to court either are accompanied by one parent who knows and consents to the abortion or have already told one parent of their intent to terminate their pregnancy. The vast majority of these voluntarily informed parents [497 U.S. 439] are women who are divorced or separated from spouses whom they have not seen in years. Going to court to avoid notifying the other parent burdens the privacy of both the minor and the accompanying parent. The custodial parents are angry that their consent is not sufficient, and fear that notification will bring the absent parent back into the family in an intrusive and abusive way.</w:t>
      </w:r>
    </w:p>
    <w:p w:rsidR="00A31137" w:rsidRPr="00A31137" w:rsidRDefault="00A31137" w:rsidP="00A31137">
      <w:r w:rsidRPr="00A31137">
        <w:t>1990, Hodgson v. Minnesota, 497 U.S. 439</w:t>
      </w:r>
    </w:p>
    <w:p w:rsidR="00A31137" w:rsidRPr="00A31137" w:rsidRDefault="00A31137" w:rsidP="00A31137">
      <w:r w:rsidRPr="00A31137">
        <w:t>Ibid.</w:t>
      </w:r>
    </w:p>
    <w:p w:rsidR="00A31137" w:rsidRPr="00A31137" w:rsidRDefault="00A31137" w:rsidP="00A31137">
      <w:r w:rsidRPr="00A31137">
        <w:t>1990, Hodgson v. Minnesota, 497 U.S. 439</w:t>
      </w:r>
    </w:p>
    <w:p w:rsidR="00A31137" w:rsidRPr="00A31137" w:rsidRDefault="00A31137" w:rsidP="00A31137">
      <w:r w:rsidRPr="00A31137">
        <w:t>The District Court also found that the two-parent notification requirement had adverse effects in families in which the minor lives with both parents. These effects were particularly pronounced in the distressingly large number of cases in which family violence is a serious problem. The court found that many minors in Minnesota "live in fear of violence by family members" and "are, in fact, victims of rape, incest, neglect and violence." 25 The District Court found that few minors can take advantage of the exception for a minor who declares that she is a victim of sexual or physical abuse because of the obligation to report the information to the authorities and the attendant loss of privacy. See Findings 46 and 47, [497 U.S. 440] 648 F.Supp. at 764. 26 This concern about family violence helps to explain why the District Court found that in many instances the requirement that both parents be notified actually impairs family communication. Minors who otherwise would inform one parent were unwilling to do so when such notification likely would also involve the parent in the torturous ordeal of explaining to a court why the second parent should not be notified. The court found:</w:t>
      </w:r>
    </w:p>
    <w:p w:rsidR="00A31137" w:rsidRPr="00A31137" w:rsidRDefault="00A31137" w:rsidP="00A31137">
      <w:r w:rsidRPr="00A31137">
        <w:t>1990, Hodgson v. Minnesota, 497 U.S. 440</w:t>
      </w:r>
    </w:p>
    <w:p w:rsidR="00A31137" w:rsidRPr="00A31137" w:rsidRDefault="00A31137" w:rsidP="00A31137">
      <w:r w:rsidRPr="00A31137">
        <w:t>Minors who ordinarily would notify one parent may be dissuaded from doing so by the two-parent requirement. A minor who must go to court for authorization in any event may elect not to tell either parent. In these instances, the requirement that minors notify both biological parents actually reduces parent-child communication.</w:t>
      </w:r>
    </w:p>
    <w:p w:rsidR="00A31137" w:rsidRPr="00A31137" w:rsidRDefault="00A31137" w:rsidP="00A31137">
      <w:r w:rsidRPr="00A31137">
        <w:t>1990, Hodgson v. Minnesota, 497 U.S. 440</w:t>
      </w:r>
    </w:p>
    <w:p w:rsidR="00A31137" w:rsidRPr="00A31137" w:rsidRDefault="00A31137" w:rsidP="00A31137">
      <w:r w:rsidRPr="00A31137">
        <w:t>Id. at 769. 27</w:t>
      </w:r>
    </w:p>
    <w:p w:rsidR="00A31137" w:rsidRPr="00A31137" w:rsidRDefault="00A31137" w:rsidP="00A31137">
      <w:r w:rsidRPr="00A31137">
        <w:t>1990, Hodgson v. Minnesota, 497 U.S. 440</w:t>
      </w:r>
    </w:p>
    <w:p w:rsidR="00A31137" w:rsidRPr="00A31137" w:rsidRDefault="00A31137" w:rsidP="00A31137">
      <w:r w:rsidRPr="00A31137">
        <w:t>The great majority of bypass petitions are filed in the three metropolitan counties in Minnesota, where courts schedule bypass hearings on a regular basis and have in place procedures for hearing emergency petitions. Id. at 762. Courts in the nonmetropolitan areas are acquainted with the statute and, for the most part, apply it conscientiously, but a number of counties are served by judges who are unwilling to hear bypass petitions. Id. at 763. Aside from the unavoidable [497 U.S. 441] notification of court officials, the confidentiality of minors has been maintained. Ibid.</w:t>
      </w:r>
    </w:p>
    <w:p w:rsidR="00A31137" w:rsidRPr="00A31137" w:rsidRDefault="00A31137" w:rsidP="00A31137">
      <w:r w:rsidRPr="00A31137">
        <w:t>1990, Hodgson v. Minnesota, 497 U.S. 441</w:t>
      </w:r>
    </w:p>
    <w:p w:rsidR="00A31137" w:rsidRPr="00A31137" w:rsidRDefault="00A31137" w:rsidP="00A31137">
      <w:r w:rsidRPr="00A31137">
        <w:t>During the period between August 1, 1981, and March 1, 1986, 3,573 judicial bypass petitions were filed in Minnesota courts. All but 15 were granted. 28 The judges who adjudicated over 90% of these petitions testified; none of them identified any positive effects of the law. 29 The court experience produced fear, tension, anxiety, and shame among minors, [497 U.S. 442] causing some who were mature, and some whose best interests would have been served by an abortion, to "forgo the bypass option and either notify their parents or carry to term." Finding 44, 648 F.Supp. at 763. Among parents who supported their daughters in the bypass proceedings, the court experience evoked similar reactions. 30</w:t>
      </w:r>
    </w:p>
    <w:p w:rsidR="00A31137" w:rsidRPr="00A31137" w:rsidRDefault="00A31137" w:rsidP="00A31137">
      <w:r w:rsidRPr="00A31137">
        <w:t>1990, Hodgson v. Minnesota, 497 U.S. 442</w:t>
      </w:r>
    </w:p>
    <w:p w:rsidR="00A31137" w:rsidRPr="00A31137" w:rsidRDefault="00A31137" w:rsidP="00A31137">
      <w:r w:rsidRPr="00A31137">
        <w:t>Scheduling petitions in the Minnesota court typically required minors to wait only two or three days for hearings. The District Court found, however, that the statutory waiting period of 48 hours was frequently compounded by a number of other factors that "commonly" created a delay of 72 hours, id. at 764-765, and, "in many cases" a delay of a week or more in effecting a decision to terminate a pregnancy. Id. at 765. A delay of that magnitude increased the medical risk associated with the abortion procedure to "a statistically significant degree." Finding 43, 648 F.Supp. at 763. While recognizing that a mandatory delay following the notice to a minor's parent served the State's interest in protecting pregnant minors, the court found that that interest could be served by a shorter waiting period. Id. at 779-780.</w:t>
      </w:r>
    </w:p>
    <w:p w:rsidR="00A31137" w:rsidRPr="00A31137" w:rsidRDefault="00A31137" w:rsidP="00A31137">
      <w:r w:rsidRPr="00A31137">
        <w:t>1990, Hodgson v. Minnesota, 497 U.S. 442</w:t>
      </w:r>
    </w:p>
    <w:p w:rsidR="00A31137" w:rsidRPr="00A31137" w:rsidRDefault="00A31137" w:rsidP="00A31137">
      <w:r w:rsidRPr="00A31137">
        <w:t>At least 37 witnesses testified to the issue whether the statute furthered the State's interest in protecting pregnant minors. Only two witnesses testified that a two-parent notification statute did minors more good than harm; neither of these witnesses had direct experience with the Minnesota statute. Summarizing its findings on the question whether the statute as a whole furthered the State's interests, the District Court wrote:</w:t>
      </w:r>
    </w:p>
    <w:p w:rsidR="00A31137" w:rsidRPr="00A31137" w:rsidRDefault="00A31137" w:rsidP="00A31137">
      <w:r w:rsidRPr="00A31137">
        <w:t>1990, Hodgson v. Minnesota, 497 U.S. 442</w:t>
      </w:r>
    </w:p>
    <w:p w:rsidR="00A31137" w:rsidRPr="00A31137" w:rsidRDefault="00A31137" w:rsidP="00A31137">
      <w:r w:rsidRPr="00A31137">
        <w:t>Of the remaining witnesses who spoke to the issue whether Minn.Stat. § 144.343 effectuates the State's interest in protecting pregnant minors, all but four of [497 U.S. 443] these are personally involved in the statute's implementation in Minnesota. They are judges, public defenders, guardians ad litem, and clinic counselors. None of these witnesses testified that the statute has a beneficial effect upon the minors whom it affects. Some testified the law has a negligible effect upon intra-family communication and upon the minors' decisionmaking process. Others testified the statute has a deleterious effect on the wellbeing of the minors to whom it applies because it increases the stress attendant to the abortion decision without creating any corresponding benefit. Thus five weeks of trial have produced no factual basis upon which this court can find that Minn.Stat. § 144.343(2)-(7) on the whole furthers in any meaningful way the state's interest in protecting pregnant minors or assuring family integrity.</w:t>
      </w:r>
    </w:p>
    <w:p w:rsidR="00A31137" w:rsidRPr="00A31137" w:rsidRDefault="00A31137" w:rsidP="00A31137">
      <w:r w:rsidRPr="00A31137">
        <w:t>1990, Hodgson v. Minnesota, 497 U.S. 443</w:t>
      </w:r>
    </w:p>
    <w:p w:rsidR="00A31137" w:rsidRPr="00A31137" w:rsidRDefault="00A31137" w:rsidP="00A31137">
      <w:r w:rsidRPr="00A31137">
        <w:t>Id. at 775. Focusing specifically on the statutory requirement that both parents be notified, the District Court concluded:</w:t>
      </w:r>
    </w:p>
    <w:p w:rsidR="00A31137" w:rsidRPr="00A31137" w:rsidRDefault="00A31137" w:rsidP="00A31137">
      <w:r w:rsidRPr="00A31137">
        <w:t>1990, Hodgson v. Minnesota, 497 U.S. 443</w:t>
      </w:r>
    </w:p>
    <w:p w:rsidR="00A31137" w:rsidRPr="00A31137" w:rsidRDefault="00A31137" w:rsidP="00A31137">
      <w:r w:rsidRPr="00A31137">
        <w:t>The court finds that this requirement places a significant burden upon pregnant minors who do not live with both parents. Particularly in these cases, notification of an abusive, or even a disinterested, absent parent has the effect of reintroducing that parent's disruptive or unhelpful participation into the family at a time of acute stress. Similarly, the two-parent notification requirement places a significant obstacle in the path of minors in two-parent homes who voluntarily have consulted with one parent but not with the other out of fear of psychological, sexual, or physical abuse toward either the minor or the notified parent. In either case, the alternative of going to court to seek authorization to proceed without notifying the second parent introduces a traumatic distraction into her relationship with the parent whom the minor has notified. The anxiety attending either option tends to interfere with and burden the parent-child communication [497 U.S. 444] the minor voluntarily initiated with the custodial parent.</w:t>
      </w:r>
    </w:p>
    <w:p w:rsidR="00A31137" w:rsidRPr="00A31137" w:rsidRDefault="00A31137" w:rsidP="00A31137">
      <w:r w:rsidRPr="00A31137">
        <w:t>*    *    *    *</w:t>
      </w:r>
    </w:p>
    <w:p w:rsidR="00A31137" w:rsidRPr="00A31137" w:rsidRDefault="00A31137" w:rsidP="00A31137">
      <w:r w:rsidRPr="00A31137">
        <w:t>1990, Hodgson v. Minnesota, 497 U.S. 444</w:t>
      </w:r>
    </w:p>
    <w:p w:rsidR="00A31137" w:rsidRPr="00A31137" w:rsidRDefault="00A31137" w:rsidP="00A31137">
      <w:r w:rsidRPr="00A31137">
        <w:t>…Indeed, 20 to 25% of minors seeking judicial authorization to proceed with an abortion without parental notification are accompanied to court by one parent, or at least have obtained the approval of one parent. In these cases, the necessity either to notify the second parent despite the agreement of both the minor and the notified parent that such notification is undesirable, or to obtain a judicial waiver of the notification requirement, distracts the minor and her parent and disrupts their communication. Thus, the need to notify the second parent or to make a burdensome court appearance actively interferes with the parent-child communication voluntarily initiated by the child, communication assertedly at the heart of the State's purpose in requiring notification of both parents. In these cases, requiring notification of both parents affirmatively discourages parent-child communication.</w:t>
      </w:r>
    </w:p>
    <w:p w:rsidR="00A31137" w:rsidRPr="00A31137" w:rsidRDefault="00A31137" w:rsidP="00A31137">
      <w:r w:rsidRPr="00A31137">
        <w:t>1990, Hodgson v. Minnesota, 497 U.S. 444</w:t>
      </w:r>
    </w:p>
    <w:p w:rsidR="00A31137" w:rsidRPr="00A31137" w:rsidRDefault="00A31137" w:rsidP="00A31137">
      <w:r w:rsidRPr="00A31137">
        <w:t>Id. at 777-778.</w:t>
      </w:r>
    </w:p>
    <w:p w:rsidR="00A31137" w:rsidRPr="00A31137" w:rsidRDefault="00A31137" w:rsidP="00A31137">
      <w:r w:rsidRPr="00A31137">
        <w:t>V</w:t>
      </w:r>
    </w:p>
    <w:p w:rsidR="00A31137" w:rsidRPr="00A31137" w:rsidRDefault="00A31137" w:rsidP="00A31137">
      <w:r w:rsidRPr="00A31137">
        <w:t>1990, Hodgson v. Minnesota, 497 U.S. 444</w:t>
      </w:r>
    </w:p>
    <w:p w:rsidR="00A31137" w:rsidRPr="00A31137" w:rsidRDefault="00A31137" w:rsidP="00A31137">
      <w:r w:rsidRPr="00A31137">
        <w:t>Three separate but related interests—the interest in the welfare of the pregnant minor, the interest of the parents, and the interest of the family unit—are relevant to our consideration of the constitutionality of the 48-hour waiting period and the two-parent notification requirement.</w:t>
      </w:r>
    </w:p>
    <w:p w:rsidR="00A31137" w:rsidRPr="00A31137" w:rsidRDefault="00A31137" w:rsidP="00A31137">
      <w:r w:rsidRPr="00A31137">
        <w:t>1990, Hodgson v. Minnesota, 497 U.S. 444</w:t>
      </w:r>
    </w:p>
    <w:p w:rsidR="00A31137" w:rsidRPr="00A31137" w:rsidRDefault="00A31137" w:rsidP="00A31137">
      <w:r w:rsidRPr="00A31137">
        <w:t>The State has a strong and legitimate interest in the welfare of its young citizens, whose immaturity, inexperience, and lack of judgment may sometimes impair their ability to exercise their rights wisely. See Bellotti II, 443 U.S. at 634-639 (opinion of Powell, J.); Prince v. Massachusetts, 321 U.S. 158, 166-167 (1944). 31 That interest, which justifies [497 U.S. 445] state-imposed requirements that a minor obtain his or her parent's consent before undergoing an operation, marrying, or entering military service, see Parham v. J.R., 442 U.S. 584, 603-604 (1979); Planned Parenthood of Central Missouri v. Danforth, 428 U.S. at  95 (WHITE, J., concurring in part and dissenting in part); id. at 102-103 (opinion concurring in part and dissenting in part), extends also to the minor's decision to terminate her pregnancy. Although the Court has held that parents may not exercise "an absolute, and possibly arbitrary, veto" over that decision, Danforth, 428 U.S. at  74, it has never challenged a State's reasonable judgment that the decision should be made after notification to and consultation with a parent. See Ohio v. Akron Center for Reproductive Health, post, at 510-511; Akron v. Akron Center for Reproductive Health, Inc., 462 U.S. 416,  428, n. 10, 439 (1983); H.L. v. Matheson, 450 U.S. at 409-410; Bellotti II, 443 U.S. at 640-641 (opinion of Powell, J.); Danforth, 428 U.S. at  75. As Justice Stewart, joined by Justice Powell, pointed out in his concurrence in Danforth:</w:t>
      </w:r>
    </w:p>
    <w:p w:rsidR="00A31137" w:rsidRPr="00A31137" w:rsidRDefault="00A31137" w:rsidP="00A31137">
      <w:r w:rsidRPr="00A31137">
        <w:t>1990, Hodgson v. Minnesota, 497 U.S. 445</w:t>
      </w:r>
    </w:p>
    <w:p w:rsidR="00A31137" w:rsidRPr="00A31137" w:rsidRDefault="00A31137" w:rsidP="00A31137">
      <w:r w:rsidRPr="00A31137">
        <w:t>There can be little doubt that the State furthers a constitutionally permissible end by encouraging an unmarried pregnant minor to seek the help and advice of her parents in making the very important decision whether or not to bear a child.</w:t>
      </w:r>
    </w:p>
    <w:p w:rsidR="00A31137" w:rsidRPr="00A31137" w:rsidRDefault="00A31137" w:rsidP="00A31137">
      <w:r w:rsidRPr="00A31137">
        <w:t>1990, Hodgson v. Minnesota, 497 U.S. 445</w:t>
      </w:r>
    </w:p>
    <w:p w:rsidR="00A31137" w:rsidRPr="00A31137" w:rsidRDefault="00A31137" w:rsidP="00A31137">
      <w:r w:rsidRPr="00A31137">
        <w:t>Id. at 91.</w:t>
      </w:r>
    </w:p>
    <w:p w:rsidR="00A31137" w:rsidRPr="00A31137" w:rsidRDefault="00A31137" w:rsidP="00A31137">
      <w:r w:rsidRPr="00A31137">
        <w:t>1990, Hodgson v. Minnesota, 497 U.S. 445</w:t>
      </w:r>
    </w:p>
    <w:p w:rsidR="00A31137" w:rsidRPr="00A31137" w:rsidRDefault="00A31137" w:rsidP="00A31137">
      <w:r w:rsidRPr="00A31137">
        <w:t>Parents have an interest in controlling the education and upbringing of their children, but that interest is "a counterpart of the responsibilities they have assumed." Lehr v. Robertson, 463 U.S. 248, 257 (1983); see also Parham, 442 U.S. at 9442 U.S. 602602 (citing 1 W. Blackstone, Commentaries *447; [497 U.S. 446] 2 J. Kent, Commentaries on American Law *190); Pierce v. Society of Sisters, 268 U.S. 510,  535 (1925). The fact of biological parentage generally offers a person only "an opportunity…to develop a relationship with his offspring." Lehr, 463 U.S. at 262; see also Caban v. Mohammed, 441 U.S. 380, 397 (1979) (Stewart, J., dissenting). But the demonstration of commitment to the child through the assumption of personal, financial, or custodial responsibility may give the natural parent a stake in the relationship with the child rising to the level of a liberty interest. See Stanley v. Illinois, 405 U.S. 645, 651 (1972); Lehr, 463 U.S. at 261; Michael H. v. Gerald D., 491 U.S. 110, 157-160 (1989) (WHITE, J., dissenting); cf. Caban, 441 U.S. at 393, n. 14. But see Michael H., 491 U.S. at 123-127 (plurality opinion).</w:t>
      </w:r>
    </w:p>
    <w:p w:rsidR="00A31137" w:rsidRPr="00A31137" w:rsidRDefault="00A31137" w:rsidP="00A31137">
      <w:r w:rsidRPr="00A31137">
        <w:t>1990, Hodgson v. Minnesota, 497 U.S. 446</w:t>
      </w:r>
    </w:p>
    <w:p w:rsidR="00A31137" w:rsidRPr="00A31137" w:rsidRDefault="00A31137" w:rsidP="00A31137">
      <w:r w:rsidRPr="00A31137">
        <w:t>While the State has a legitimate interest in the creation and dissolution of the marriage contract, see Sosna v. Iowa, 419 U.S. 393, 404 (1975); Maynard v. Hill, 125 U.S. 190, 205 (1888), the family has a privacy interest in the upbringing and education of children and the intimacies of the marital relationship which is protected by the Constitution against undue state interference. See Wisconsin v. Yoder, 406 U.S. 205, 233-234 (1972); Griswold v. Connecticut, 381 U.S. at 495-496 (Goldberg, J., concurring); Poe v. Ullman, 367 U.S. 497, 551-552 (1961) (Harlan, J., dissenting); Gilbert v. Minnesota, 254 U.S. 325, 335-336 (1920) (Brandeis, J., dissenting); see also Michael H. v. Gerald D., 491 U.S. at  132 (O'CONNOR, J., concurring in part); Roberts v. United States Jaycees, 468 U.S. 609, 618-620 (1984); Cleveland Board of Education v. LaFleur, 414 U.S. 632, 639-640 (1974). The family may assign one parent to guide the children's education and the other to look after their health. 32</w:t>
      </w:r>
    </w:p>
    <w:p w:rsidR="00A31137" w:rsidRPr="00A31137" w:rsidRDefault="00A31137" w:rsidP="00A31137">
      <w:r w:rsidRPr="00A31137">
        <w:t>1990, Hodgson v. Minnesota, 497 U.S. 446</w:t>
      </w:r>
    </w:p>
    <w:p w:rsidR="00A31137" w:rsidRPr="00A31137" w:rsidRDefault="00A31137" w:rsidP="00A31137">
      <w:r w:rsidRPr="00A31137">
        <w:t>The statist notion that governmental power should supersede parental authority in [497 U.S. 447] all cases because some parents abuse and neglect children is repugnant to American tradition.</w:t>
      </w:r>
    </w:p>
    <w:p w:rsidR="00A31137" w:rsidRPr="00A31137" w:rsidRDefault="00A31137" w:rsidP="00A31137">
      <w:r w:rsidRPr="00A31137">
        <w:t>1990, Hodgson v. Minnesota, 497 U.S. 447</w:t>
      </w:r>
    </w:p>
    <w:p w:rsidR="00A31137" w:rsidRPr="00A31137" w:rsidRDefault="00A31137" w:rsidP="00A31137">
      <w:r w:rsidRPr="00A31137">
        <w:t>Parham, 442 U.S. at 603. We have long held that there exists a "private realm of family life which the state cannot enter." Prince v. Massachusetts, 321 U.S. at  166. Thus, when the government intrudes on choices concerning the arrangement of the household, this Court has carefully examined the "governmental interests advanced and the extent to which they are served by the challenged regulation." Moore v. East Cleveland, 431 U.S. 494,  499 (1977) (plurality opinion); id. at  507, 510-511 (BRENNAN, J., concurring); see also Meyer v. Nebraska, 262 U.S. 390, 399-400 (1923).</w:t>
      </w:r>
    </w:p>
    <w:p w:rsidR="00A31137" w:rsidRPr="00A31137" w:rsidRDefault="00A31137" w:rsidP="00A31137">
      <w:r w:rsidRPr="00A31137">
        <w:t>1990, Hodgson v. Minnesota, 497 U.S. 447</w:t>
      </w:r>
    </w:p>
    <w:p w:rsidR="00A31137" w:rsidRPr="00A31137" w:rsidRDefault="00A31137" w:rsidP="00A31137">
      <w:r w:rsidRPr="00A31137">
        <w:t>A natural parent who has demonstrated sufficient commitment to his or her children is thereafter entitled to raise the children free from undue state interference. As Justice WHITE explained in his opinion for the Court in Stanley v. Illinois, 405 U.S. 645 (1972):</w:t>
      </w:r>
    </w:p>
    <w:p w:rsidR="00A31137" w:rsidRPr="00A31137" w:rsidRDefault="00A31137" w:rsidP="00A31137">
      <w:r w:rsidRPr="00A31137">
        <w:t>1990, Hodgson v. Minnesota, 497 U.S. 447</w:t>
      </w:r>
    </w:p>
    <w:p w:rsidR="00A31137" w:rsidRPr="00A31137" w:rsidRDefault="00A31137" w:rsidP="00A31137">
      <w:r w:rsidRPr="00A31137">
        <w:t>The Court has frequently emphasized the importance of the family. The rights to conceive and to raise one's children have been deemed "essential," Meyer v. Nebraska, 262 U.S. 390,  399 (1923), "basic civil rights of man," Skinner v. Oklahoma, 316 U.S. 535,  541 (1942), and "[r]ights far more precious…than property rights," May v. Anderson, 345 U.S. 528, 533 (1953).</w:t>
      </w:r>
    </w:p>
    <w:p w:rsidR="00A31137" w:rsidRPr="00A31137" w:rsidRDefault="00A31137" w:rsidP="00A31137">
      <w:r w:rsidRPr="00A31137">
        <w:t>1990, Hodgson v. Minnesota, 497 U.S. 447</w:t>
      </w:r>
    </w:p>
    <w:p w:rsidR="00A31137" w:rsidRPr="00A31137" w:rsidRDefault="00A31137" w:rsidP="00A31137">
      <w:r w:rsidRPr="00A31137">
        <w:t>It is cardinal with us that the custody, care and nurture of the child reside first in the parents, whose primary function and freedom include preparation for obligations the state can neither supply nor hinder.</w:t>
      </w:r>
    </w:p>
    <w:p w:rsidR="00A31137" w:rsidRPr="00A31137" w:rsidRDefault="00A31137" w:rsidP="00A31137">
      <w:r w:rsidRPr="00A31137">
        <w:t>1990, Hodgson v. Minnesota, 497 U.S. 447</w:t>
      </w:r>
    </w:p>
    <w:p w:rsidR="00A31137" w:rsidRPr="00A31137" w:rsidRDefault="00A31137" w:rsidP="00A31137">
      <w:r w:rsidRPr="00A31137">
        <w:t>Prince v. Massachusetts, 321 U.S. 158,  166 (1944). The integrity of the family unit has found protection in the Due Process Clause of the Fourteenth Amendment, Meyer v. Nebraska, supra, [262 U.S.] at  399, the Equal Protection Clause of the Fourteenth Amendment, Skinner v. Oklahoma, supra, and the Ninth Amendment, Griswold v. [497 U.S. 448] Connecticut, 381 U.S. 479,  496 (1965) (Goldberg, J., concurring).</w:t>
      </w:r>
    </w:p>
    <w:p w:rsidR="00A31137" w:rsidRPr="00A31137" w:rsidRDefault="00A31137" w:rsidP="00A31137">
      <w:r w:rsidRPr="00A31137">
        <w:t>1990, Hodgson v. Minnesota, 497 U.S. 448</w:t>
      </w:r>
    </w:p>
    <w:p w:rsidR="00A31137" w:rsidRPr="00A31137" w:rsidRDefault="00A31137" w:rsidP="00A31137">
      <w:r w:rsidRPr="00A31137">
        <w:t>Id. at 651. 33</w:t>
      </w:r>
    </w:p>
    <w:p w:rsidR="00A31137" w:rsidRPr="00A31137" w:rsidRDefault="00A31137" w:rsidP="00A31137">
      <w:r w:rsidRPr="00A31137">
        <w:t>VI</w:t>
      </w:r>
    </w:p>
    <w:p w:rsidR="00A31137" w:rsidRPr="00A31137" w:rsidRDefault="00A31137" w:rsidP="00A31137">
      <w:r w:rsidRPr="00A31137">
        <w:t>1990, Hodgson v. Minnesota, 497 U.S. 448</w:t>
      </w:r>
    </w:p>
    <w:p w:rsidR="00A31137" w:rsidRPr="00A31137" w:rsidRDefault="00A31137" w:rsidP="00A31137">
      <w:r w:rsidRPr="00A31137">
        <w:t>We think it is clear that a requirement that a minor wait 48 hours after notifying a single parent of her intention to get an abortion would reasonably further the legitimate state interest in ensuring that the minor's decision is knowing and intelligent. We have held that when a parent or another person has assumed "primary responsibility" for a minor's wellbeing, the State may properly enact "laws designed to aid discharge of that responsibility." Ginsberg v. New York, 390 U.S. 629,  639 (1968). To the extent that subdivision 2 of the Minnesota statute requires notification of only one parent, it does just that. The brief waiting period provides the parent the opportunity to consult with his or her spouse and a family physician, and it permits the parent to inquire into the competency of the doctor performing the abortion, discuss the religious or moral implications of the abortion decision, and provide the daughter needed guidance and counsel in [497 U.S. 449] evaluating the impact of the decision on her future. See Zbaraz v. Hartigan, 763 F.2d 1532, 1552 (CA7 1985) (Coffey, J., dissenting), aff'd by an equally divided Court, 484 U.S. 171 (1987).</w:t>
      </w:r>
    </w:p>
    <w:p w:rsidR="00A31137" w:rsidRPr="00A31137" w:rsidRDefault="00A31137" w:rsidP="00A31137">
      <w:r w:rsidRPr="00A31137">
        <w:t>1990, Hodgson v. Minnesota, 497 U.S. 449</w:t>
      </w:r>
    </w:p>
    <w:p w:rsidR="00A31137" w:rsidRPr="00A31137" w:rsidRDefault="00A31137" w:rsidP="00A31137">
      <w:r w:rsidRPr="00A31137">
        <w:t xml:space="preserve">The 48-hour delay imposes only a minimal burden on the right of the minor to decide whether or not to terminate her pregnancy. Although the District Court found that scheduling factors, weather, and the minor's school and work commitments may combine, in many cases, to create a delay of a week or longer between the initiation of notification and the abortion, 648 F.Supp. at 765, there is no evidence that the 48-hour period itself is unreasonable or longer than appropriate for adequate consultation between parent and child. The statute does not impose any period of delay once the parents or a court, acting in loco parentis, express their agreement that the minor is mature or that the procedure would be in her best interest. Indeed, as the Court of Appeals noted and the record reveals, 34 the 48-hour waiting period may run concurrently with the time necessary to make an appointment for the procedure, thus resulting in little or no delay. 35 [497 U.S. 450] </w:t>
      </w:r>
    </w:p>
    <w:p w:rsidR="00A31137" w:rsidRPr="00A31137" w:rsidRDefault="00A31137" w:rsidP="00A31137">
      <w:r w:rsidRPr="00A31137">
        <w:t>VII</w:t>
      </w:r>
    </w:p>
    <w:p w:rsidR="00A31137" w:rsidRPr="00A31137" w:rsidRDefault="00A31137" w:rsidP="00A31137">
      <w:r w:rsidRPr="00A31137">
        <w:t>1990, Hodgson v. Minnesota, 497 U.S. 450</w:t>
      </w:r>
    </w:p>
    <w:p w:rsidR="00A31137" w:rsidRPr="00A31137" w:rsidRDefault="00A31137" w:rsidP="00A31137">
      <w:r w:rsidRPr="00A31137">
        <w:t>It is equally clear that the requirement that both parents be notified, whether or not both wish to be notified or have assumed responsibility for the upbringing of the child, does not reasonably further any legitimate state interest. The usual justification for a parental consent or notification provision is that it supports the authority of a parent who is presumed to act in the minor's best interest, and thereby assures that the minor's decision to terminate her pregnancy is knowing, intelligent, and deliberate. To the extent that such an interest is legitimate, it would be fully served by a requirement that the minor notify one parent, who can then seek the counsel of his or her mate or any other party when such advice and support is deemed necessary to help the child make a difficult decision. In the ideal family setting, of course, notice to either parent would normally constitute notice to both. A statute requiring two-parent notification would not further any state interest in those instances. In many families, however, the parent notified by the child would not notify the other parent. In those cases, the State has no legitimate interest in questioning one parent's judgment that notice to the other parent would not assist the minor or in presuming that the parent who has assumed parental duties is incompetent to make decisions regarding the health and welfare of the child.</w:t>
      </w:r>
    </w:p>
    <w:p w:rsidR="00A31137" w:rsidRPr="00A31137" w:rsidRDefault="00A31137" w:rsidP="00A31137">
      <w:r w:rsidRPr="00A31137">
        <w:t>1990, Hodgson v. Minnesota, 497 U.S. 450</w:t>
      </w:r>
    </w:p>
    <w:p w:rsidR="00A31137" w:rsidRPr="00A31137" w:rsidRDefault="00A31137" w:rsidP="00A31137">
      <w:r w:rsidRPr="00A31137">
        <w:t>Not only does two-parent notification fail to serve any state interest with respect to functioning families, it disserves the state interest in protecting and assisting the minor with respect to dysfunctional families. The record reveals that in the thousands of dysfunctional families affected by this statute, the two-parent notice requirement proved positively harmful to the minor and her family. The testimony [497 U.S. 451] at trial established that this requirement, ostensibly designed for the benefit of the minor, resulted in major trauma to the child, and often to a parent as well. In some cases, the parents were divorced and the second parent did not have custody or otherwise participate in the child's upbringing. App. 244-245; id. at 466; id. at 115. In these circumstances, the privacy of the parent and child was violated, even when they suffered no other physical or psychological harm. In other instances, however, the second parent had either deserted or abused the child, id. at 462, 464, had died under tragic circumstances, id. at 120-121, or was not notified because of the considered judgment that notification would inflict unnecessary stress on a parent who was ill. Id. at 204, 465. 36 In these circumstances, the statute was not merely ineffectual in achieving the State's goals, but actually counterproductive. The focus on notifying the second parent distracted both the parent and minor from the minor's imminent abortion decision.</w:t>
      </w:r>
    </w:p>
    <w:p w:rsidR="00A31137" w:rsidRPr="00A31137" w:rsidRDefault="00A31137" w:rsidP="00A31137">
      <w:r w:rsidRPr="00A31137">
        <w:t>1990, Hodgson v. Minnesota, 497 U.S. 451</w:t>
      </w:r>
    </w:p>
    <w:p w:rsidR="00A31137" w:rsidRPr="00A31137" w:rsidRDefault="00A31137" w:rsidP="00A31137">
      <w:r w:rsidRPr="00A31137">
        <w:t>The State does not rely primarily on the best interests of the minor in defending this statute. Rather, it argues that, in the ideal family, the minor should make her decision only [497 U.S. 452] after consultation with both parents, who should naturally be concerned with the child's welfare, and that the State has an interest in protecting the independent right of the parents "to determine and strive for what they believe to be best for their children." Minn.Br. 26. Neither of these reasons can justify the two-parent notification requirement. The second parent may well have an interest in the minor's abortion decision, making full communication among all members of a family desirable in some cases, but such communication may not be decreed by the State. The State has no more interest in requiring all family members to talk with one another than it has in requiring certain of them to live together. In Moore v. East Cleveland, 431 U.S. 494 (1977), we invalidated a zoning ordinance which "slic[ed] deeply into the family itself," id. at 498, permitting the city to "standardiz[e] its children—and its adults—by forcing all to live in certain narrowly defined family patterns." Id. at  506. Although the ordinance was supported by state interests other than the state interest in substituting its conception of family life for the family's own view, the ordinance's relation to those state interests was too "tenuous" to satisfy constitutional standards. By implication, a state interest in standardizing its children and adults, making the "private realm of family life" conform to some state-designed ideal, is not a legitimate state interest at all. See also Meyer v. Nebraska, 262 U.S. at 399-400 (right to establish a home and bring up children may not be interfered with by legislative action which is without "reasonable relation to some purpose within the competency of the State to effect").</w:t>
      </w:r>
    </w:p>
    <w:p w:rsidR="00A31137" w:rsidRPr="00A31137" w:rsidRDefault="00A31137" w:rsidP="00A31137">
      <w:r w:rsidRPr="00A31137">
        <w:t>1990, Hodgson v. Minnesota, 497 U.S. 452</w:t>
      </w:r>
    </w:p>
    <w:p w:rsidR="00A31137" w:rsidRPr="00A31137" w:rsidRDefault="00A31137" w:rsidP="00A31137">
      <w:r w:rsidRPr="00A31137">
        <w:t>Nor can any state interest in protecting a parent's interest in shaping a child's values and lifestyle overcome the liberty interests of a minor acting with the consent of a single parent or court. See Bellotti II, 443 U.S. 622 (1979); Bellotti I, 428 U.S. 132 (1976); Planned Parenthood of Central Missouri v. Danforth, 428 U.S. 52 (1976). In Danforth, the majority identified the only state interest in requiring parental consent [497 U.S. 453] as that in "the safeguarding of the family unit and of parental authority," and held that that state interest was insufficient to support the requirement that mature minors receive parental consent. The Court summarily concluded that</w:t>
      </w:r>
    </w:p>
    <w:p w:rsidR="00A31137" w:rsidRPr="00A31137" w:rsidRDefault="00A31137" w:rsidP="00A31137">
      <w:r w:rsidRPr="00A31137">
        <w:t>1990, Hodgson v. Minnesota, 497 U.S. 453</w:t>
      </w:r>
    </w:p>
    <w:p w:rsidR="00A31137" w:rsidRPr="00A31137" w:rsidRDefault="00A31137" w:rsidP="00A31137">
      <w:r w:rsidRPr="00A31137">
        <w:t>[a]ny independent interest the parent may have in the termination of the minor daughter's pregnancy is no more weighty than the right of privacy of the competent minor mature enough to have become pregnant.</w:t>
      </w:r>
    </w:p>
    <w:p w:rsidR="00A31137" w:rsidRPr="00A31137" w:rsidRDefault="00A31137" w:rsidP="00A31137">
      <w:r w:rsidRPr="00A31137">
        <w:t>1990, Hodgson v. Minnesota, 497 U.S. 453</w:t>
      </w:r>
    </w:p>
    <w:p w:rsidR="00A31137" w:rsidRPr="00A31137" w:rsidRDefault="00A31137" w:rsidP="00A31137">
      <w:r w:rsidRPr="00A31137">
        <w:t>Id. at  75. It follows that the combined force of the separate interest of one parent and the minor's privacy interest must outweigh the separate interest of the second parent.</w:t>
      </w:r>
    </w:p>
    <w:p w:rsidR="00A31137" w:rsidRPr="00A31137" w:rsidRDefault="00A31137" w:rsidP="00A31137">
      <w:r w:rsidRPr="00A31137">
        <w:t>1990, Hodgson v. Minnesota, 497 U.S. 453</w:t>
      </w:r>
    </w:p>
    <w:p w:rsidR="00A31137" w:rsidRPr="00A31137" w:rsidRDefault="00A31137" w:rsidP="00A31137">
      <w:r w:rsidRPr="00A31137">
        <w:t>In Bellotti I and Bellotti II, we also identified the difference between parental interests and the child's best interest. Although the District Court invalidated the Massachusetts statute there under review on the grounds that it permitted a parent or the court, acting in loco parentis, to refuse consent based on the parent's own interests, the state Attorney General argued that the parental right consisted "'exclusively of the right to assess independently, for their minor child, what will serve that child's best interest.'" 428 U.S. at  144. Because we believed that the Attorney General's interpretation "would avoid or substantially modify the federal constitutional challenge," id. at 148, we ordered the District Court to certify the state-law question to the Supreme Judicial Court of Massachusetts. Id. at 151-152. On review in this Court for the second time, after the Supreme Judicial Court stated unambiguously that the "good cause" standard required the judge to grant consent to an abortion found to be in the minor's best interest, 443 U.S. at  630,  644, we confirmed that such a construction satisfied "some of the concerns" about the statute's constitutionality, id. at  644, and thereby avoided "much of what was objectionable in the statute successfully challenged in Danforth." Id. at  645. Indeed, the constitutional defects that Justice Powell identified in the statute—its failure to allow a minor who is found to be mature and fully competent to make the abortion [497 U.S. 454] decision independently and its requirement of parental consultation even when an abortion without notification would be in the minor's best interests—are predicated on the assumption that the justification for any rule requiring parental involvement in the abortion decision rests entirely on the best interests of the child. Id. at  651. 37</w:t>
      </w:r>
    </w:p>
    <w:p w:rsidR="00A31137" w:rsidRPr="00A31137" w:rsidRDefault="00A31137" w:rsidP="00A31137">
      <w:r w:rsidRPr="00A31137">
        <w:t>1990, Hodgson v. Minnesota, 497 U.S. 454</w:t>
      </w:r>
    </w:p>
    <w:p w:rsidR="00A31137" w:rsidRPr="00A31137" w:rsidRDefault="00A31137" w:rsidP="00A31137">
      <w:r w:rsidRPr="00A31137">
        <w:t>Unsurprisingly, the Minnesota two-parent notification requirement is an oddity among state and federal consent provisions governing the health, welfare, and education of children. A minor desiring to enlist in the armed services or the Reserve Officers' Training Corps (ROTC) need only obtain the consent of "his parent or guardian." 10 U.S.C. § 505(a); 2104(b)(4); 2107(b)(4). The consent of "a parent or guardian" is also sufficient to obtain a passport for foreign travel from the United States Department of State, 22 CFR § 51.27 (1989), and to participate as a subject in most forms of medical research. 45 CFR §§ 46.404, 46.405 (1988). In virtually every State, the consent of one parent is enough to obtain a driver's license or operator's permit. The same may be said with respect to the decision to submit to any medical or surgical procedure other than an abortion. 38 Indeed, the only other Minnesota statute that the State has identified which requires two-parent consent [497 U.S. 455] is that authorizing the minor to change his name. Tr. of Oral Arg. 30, 32; Reply Brief for Petitioner in No. 88-1309, p. 5 (citing Minn. Stat. § 259.10 (1988)). These statutes provide testimony to the unreasonableness of the Minnesota two-parent notification requirement and to the ease with which the State can adopt less burdensome means to protect the minor's welfare. Cf. Clark v. Jeter, 486 U.S. 456, 464 (1988); Turner v. Safley, 482 U.S. 78,  98 (1987). We therefore hold that this requirement violates the Constitution.</w:t>
      </w:r>
    </w:p>
    <w:p w:rsidR="00A31137" w:rsidRPr="00A31137" w:rsidRDefault="00A31137" w:rsidP="00A31137">
      <w:r w:rsidRPr="00A31137">
        <w:t>VIII</w:t>
      </w:r>
    </w:p>
    <w:p w:rsidR="00A31137" w:rsidRPr="00A31137" w:rsidRDefault="00A31137" w:rsidP="00A31137">
      <w:r w:rsidRPr="00A31137">
        <w:t>1990, Hodgson v. Minnesota, 497 U.S. 455</w:t>
      </w:r>
    </w:p>
    <w:p w:rsidR="00A31137" w:rsidRPr="00A31137" w:rsidRDefault="00A31137" w:rsidP="00A31137">
      <w:r w:rsidRPr="00A31137">
        <w:t>The Court holds that the constitutional objection to the two-parent notice requirement is removed by the judicial bypass option provided in subdivision 6 of the Minnesota statute. I respectfully dissent from that holding.</w:t>
      </w:r>
    </w:p>
    <w:p w:rsidR="00A31137" w:rsidRPr="00A31137" w:rsidRDefault="00A31137" w:rsidP="00A31137">
      <w:r w:rsidRPr="00A31137">
        <w:t>1990, Hodgson v. Minnesota, 497 U.S. 455</w:t>
      </w:r>
    </w:p>
    <w:p w:rsidR="00A31137" w:rsidRPr="00A31137" w:rsidRDefault="00A31137" w:rsidP="00A31137">
      <w:r w:rsidRPr="00A31137">
        <w:t>A majority of the Court has previously held that a statute requiring one parent's consent to a minor's abortion will be upheld if the State provides an</w:t>
      </w:r>
    </w:p>
    <w:p w:rsidR="00A31137" w:rsidRPr="00A31137" w:rsidRDefault="00A31137" w:rsidP="00A31137">
      <w:r w:rsidRPr="00A31137">
        <w:t>1990, Hodgson v. Minnesota, 497 U.S. 455</w:t>
      </w:r>
    </w:p>
    <w:p w:rsidR="00A31137" w:rsidRPr="00A31137" w:rsidRDefault="00A31137" w:rsidP="00A31137">
      <w:r w:rsidRPr="00A31137">
        <w:t>alternate procedure whereby a pregnant minor may demonstrate that she is sufficiently mature to make the abortion decision herself or that, despite her immaturity, an abortion would be in her best interests.</w:t>
      </w:r>
    </w:p>
    <w:p w:rsidR="00A31137" w:rsidRPr="00A31137" w:rsidRDefault="00A31137" w:rsidP="00A31137">
      <w:r w:rsidRPr="00A31137">
        <w:t>1990, Hodgson v. Minnesota, 497 U.S. 455</w:t>
      </w:r>
    </w:p>
    <w:p w:rsidR="00A31137" w:rsidRPr="00A31137" w:rsidRDefault="00A31137" w:rsidP="00A31137">
      <w:r w:rsidRPr="00A31137">
        <w:t>Planned Parenthood Assn. of Kansas City, Mo., Inc. v. Ashcroft, 462 U.S. 476,  491 (1983) (opinion of Powell, J.); id. at  505 (opinion of O'CONNOR, J.). Indeed, in Bellotti II, four Members of the Court expressed the same opinion about a statute requiring the consent of both parents. See 443 U.S. at 643-644. Neither of those precedents should control our decision today.</w:t>
      </w:r>
    </w:p>
    <w:p w:rsidR="00A31137" w:rsidRPr="00A31137" w:rsidRDefault="00A31137" w:rsidP="00A31137">
      <w:r w:rsidRPr="00A31137">
        <w:t>1990, Hodgson v. Minnesota, 497 U.S. 455</w:t>
      </w:r>
    </w:p>
    <w:p w:rsidR="00A31137" w:rsidRPr="00A31137" w:rsidRDefault="00A31137" w:rsidP="00A31137">
      <w:r w:rsidRPr="00A31137">
        <w:t>In Bellotti II, eight Members of the Court joined the judgment holding the Massachusetts statute unconstitutional. Thus, the Court did not hold that the judicial bypass set forth in that statute was valid; it held just the opposite. Moreover, the discussion of the minimum requirements for a valid judicial bypass in Justice Powell's opinion was joined by only four Members of the Court. Indeed, neither the arguments of the parties, nor any of the opinions in the case, [497 U.S. 456] considered the significant difference between a statute requiring the involvement of both parents in the abortion decision and a statute that merely requires the involvement of one. Thus, the doctrine of stare decisis does not require that the standards articulated in Justice Powell's opinion be applied to a statute that mandates the involvement of both parents.</w:t>
      </w:r>
    </w:p>
    <w:p w:rsidR="00A31137" w:rsidRPr="00A31137" w:rsidRDefault="00A31137" w:rsidP="00A31137">
      <w:r w:rsidRPr="00A31137">
        <w:t>1990, Hodgson v. Minnesota, 497 U.S. 456</w:t>
      </w:r>
    </w:p>
    <w:p w:rsidR="00A31137" w:rsidRPr="00A31137" w:rsidRDefault="00A31137" w:rsidP="00A31137">
      <w:r w:rsidRPr="00A31137">
        <w:t>Unlike Bellotti II, the judgment in Ashcroft sustained the constitutionality of the statute containing a judicial bypass as an alternative to the requirement of one parent's consent to a minor's abortion. The distinctions between notice and consent and between notification of both parents rather than just one arguably constitute a sufficient response to an argument resting on stare decisis. Further analysis is necessary, however, because, at least on the surface, the consent requirement would appear to be more onerous than a requirement of mere notice.</w:t>
      </w:r>
    </w:p>
    <w:p w:rsidR="00A31137" w:rsidRPr="00A31137" w:rsidRDefault="00A31137" w:rsidP="00A31137">
      <w:r w:rsidRPr="00A31137">
        <w:t>1990, Hodgson v. Minnesota, 497 U.S. 456</w:t>
      </w:r>
    </w:p>
    <w:p w:rsidR="00A31137" w:rsidRPr="00A31137" w:rsidRDefault="00A31137" w:rsidP="00A31137">
      <w:r w:rsidRPr="00A31137">
        <w:t>The significance of the distinction between a statute requiring the consent of one parent and a statute requiring notice to both parents must be tested by the relationship of the respective requirements to legitimate state interests. We have concluded that the State has a strong and legitimate interest in providing a pregnant minor with the advice and support of a parent during the decisional period. A general rule requiring the minor to obtain the consent of one parent reasonably furthers that interest. An exception from the general rule is necessary to protect the minor from an arbitrary veto that is motivated by the separate concerns of the parent, rather than the best interest of the child. Cf. Parham v. J.R., 442 U.S. at 604-608. But the need for an exception does not undermine the conclusion that the general rule is perfectly reasonable—just as a rule requiring the consent of either parent for any other medical procedure would surely be reasonable if an exception were made for those emergencies in which, for example, a parent might deny life-saving [497 U.S. 457] treatment to a child on religious grounds. See id. at 602-603.</w:t>
      </w:r>
    </w:p>
    <w:p w:rsidR="00A31137" w:rsidRPr="00A31137" w:rsidRDefault="00A31137" w:rsidP="00A31137">
      <w:r w:rsidRPr="00A31137">
        <w:t>1990, Hodgson v. Minnesota, 497 U.S. 457</w:t>
      </w:r>
    </w:p>
    <w:p w:rsidR="00A31137" w:rsidRPr="00A31137" w:rsidRDefault="00A31137" w:rsidP="00A31137">
      <w:r w:rsidRPr="00A31137">
        <w:t>For reasons already set forth at length, a rule requiring consent or notification of both parents is not reasonably related to the state interest in giving the pregnant minor the benefit of parental advice. The State has not called our attention to, nor am I aware of, any other medical situation in Minnesota or elsewhere in which the provision of treatment for a child has been conditioned on notice to, or consent by, both parents rather than just one. Indeed, the fact that one-parent consent is the virtually uniform rule for any other activity which affects the minor's health, safety or welfare emphasizes the aberrant quality of the two-parent notice requirement.</w:t>
      </w:r>
    </w:p>
    <w:p w:rsidR="00A31137" w:rsidRPr="00A31137" w:rsidRDefault="00A31137" w:rsidP="00A31137">
      <w:r w:rsidRPr="00A31137">
        <w:t>1990, Hodgson v. Minnesota, 497 U.S. 457</w:t>
      </w:r>
    </w:p>
    <w:p w:rsidR="00A31137" w:rsidRPr="00A31137" w:rsidRDefault="00A31137" w:rsidP="00A31137">
      <w:r w:rsidRPr="00A31137">
        <w:t>A judicial bypass that is designed to handle exceptions from a reasonable general rule, and thereby preserve the constitutionality of that rule, is quite different from a requirement that a minor—or a minor and one of her parents—must apply to a court for permission to avoid the application of a rule that is not reasonably related to legitimate state goals. A requirement that a minor acting with the consent of both parents apply to a court for permission to effectuate her decision clearly would constitute an unjustified official interference with the privacy of the minor and her family. The requirement that the bypass procedure must be invoked when the minor and one parent agree that the other parent should not be notified represents an equally unjustified governmental intrusion into the family's decisional process. When the parents are living together and have joint custody over the child, the State has no legitimate interest in the communication between father and mother about the child.</w:t>
      </w:r>
    </w:p>
    <w:p w:rsidR="00A31137" w:rsidRPr="00A31137" w:rsidRDefault="00A31137" w:rsidP="00A31137">
      <w:r w:rsidRPr="00A31137">
        <w:t>1990, Hodgson v. Minnesota, 497 U.S. 457</w:t>
      </w:r>
    </w:p>
    <w:p w:rsidR="00A31137" w:rsidRPr="00A31137" w:rsidRDefault="00A31137" w:rsidP="00A31137">
      <w:r w:rsidRPr="00A31137">
        <w:t>[W]here the parents are divorced, the minor and/or custodial parent, and not a court, is in the best position to determine whether notifying the noncustodial parent would be in the child's best interests.</w:t>
      </w:r>
    </w:p>
    <w:p w:rsidR="00A31137" w:rsidRPr="00A31137" w:rsidRDefault="00A31137" w:rsidP="00A31137">
      <w:r w:rsidRPr="00A31137">
        <w:t>1990, Hodgson v. Minnesota, 497 U.S. 457</w:t>
      </w:r>
    </w:p>
    <w:p w:rsidR="00A31137" w:rsidRPr="00A31137" w:rsidRDefault="00A31137" w:rsidP="00A31137">
      <w:r w:rsidRPr="00A31137">
        <w:t>App. to Pet. for Cert. in No. 88-1125, p. 69a. As the Court of Appeals panel originally [497 U.S. 458] concluded, the</w:t>
      </w:r>
    </w:p>
    <w:p w:rsidR="00A31137" w:rsidRPr="00A31137" w:rsidRDefault="00A31137" w:rsidP="00A31137">
      <w:r w:rsidRPr="00A31137">
        <w:t>1990, Hodgson v. Minnesota, 497 U.S. 458</w:t>
      </w:r>
    </w:p>
    <w:p w:rsidR="00A31137" w:rsidRPr="00A31137" w:rsidRDefault="00A31137" w:rsidP="00A31137">
      <w:r w:rsidRPr="00A31137">
        <w:t>minor and custodial parent,…by virtue of their major interest and superior position, should alone have the opportunity to decide to whom, if anyone, notice of the minor's abortion decision should be given.</w:t>
      </w:r>
    </w:p>
    <w:p w:rsidR="00A31137" w:rsidRPr="00A31137" w:rsidRDefault="00A31137" w:rsidP="00A31137">
      <w:r w:rsidRPr="00A31137">
        <w:t>1990, Hodgson v. Minnesota, 497 U.S. 458</w:t>
      </w:r>
    </w:p>
    <w:p w:rsidR="00A31137" w:rsidRPr="00A31137" w:rsidRDefault="00A31137" w:rsidP="00A31137">
      <w:r w:rsidRPr="00A31137">
        <w:t>Ibid. (citation omitted). I agree with that conclusion.</w:t>
      </w:r>
    </w:p>
    <w:p w:rsidR="00A31137" w:rsidRPr="00A31137" w:rsidRDefault="00A31137" w:rsidP="00A31137">
      <w:r w:rsidRPr="00A31137">
        <w:t>*    *    *    *</w:t>
      </w:r>
    </w:p>
    <w:p w:rsidR="00A31137" w:rsidRPr="00A31137" w:rsidRDefault="00A31137" w:rsidP="00A31137">
      <w:r w:rsidRPr="00A31137">
        <w:t>1990, Hodgson v. Minnesota, 497 U.S. 458</w:t>
      </w:r>
    </w:p>
    <w:p w:rsidR="00A31137" w:rsidRPr="00A31137" w:rsidRDefault="00A31137" w:rsidP="00A31137">
      <w:r w:rsidRPr="00A31137">
        <w:t>The judgment of the Court of Appeals in its entirety is affirmed.</w:t>
      </w:r>
    </w:p>
    <w:p w:rsidR="00A31137" w:rsidRPr="00A31137" w:rsidRDefault="00A31137" w:rsidP="00A31137">
      <w:r w:rsidRPr="00A31137">
        <w:t>1990, Hodgson v. Minnesota, 497 U.S. 458</w:t>
      </w:r>
    </w:p>
    <w:p w:rsidR="00A31137" w:rsidRPr="00A31137" w:rsidRDefault="00A31137" w:rsidP="00A31137">
      <w:r w:rsidRPr="00A31137">
        <w:t>It is so ordered.</w:t>
      </w:r>
    </w:p>
    <w:p w:rsidR="00A31137" w:rsidRPr="00A31137" w:rsidRDefault="00A31137" w:rsidP="00A31137">
      <w:r w:rsidRPr="00A31137">
        <w:t>O'CONNOR, J., concurring</w:t>
      </w:r>
    </w:p>
    <w:p w:rsidR="00A31137" w:rsidRPr="00A31137" w:rsidRDefault="00A31137" w:rsidP="00A31137">
      <w:r w:rsidRPr="00A31137">
        <w:t>1990, Hodgson v. Minnesota, 497 U.S. 458</w:t>
      </w:r>
    </w:p>
    <w:p w:rsidR="00A31137" w:rsidRPr="00A31137" w:rsidRDefault="00A31137" w:rsidP="00A31137">
      <w:r w:rsidRPr="00A31137">
        <w:t>Justice O'CONNOR, concurring in part and concurring in the judgment in part.</w:t>
      </w:r>
    </w:p>
    <w:p w:rsidR="00A31137" w:rsidRPr="00A31137" w:rsidRDefault="00A31137" w:rsidP="00A31137">
      <w:r w:rsidRPr="00A31137">
        <w:t>I</w:t>
      </w:r>
    </w:p>
    <w:p w:rsidR="00A31137" w:rsidRPr="00A31137" w:rsidRDefault="00A31137" w:rsidP="00A31137">
      <w:r w:rsidRPr="00A31137">
        <w:t>1990, Hodgson v. Minnesota, 497 U.S. 458</w:t>
      </w:r>
    </w:p>
    <w:p w:rsidR="00A31137" w:rsidRPr="00A31137" w:rsidRDefault="00A31137" w:rsidP="00A31137">
      <w:r w:rsidRPr="00A31137">
        <w:t>I join all but Parts III and VIII of Justice STEVENS' opinion. While I agree with some of the central points made in Part III, I cannot join the broader discussion. I agree that the Court has characterized</w:t>
      </w:r>
    </w:p>
    <w:p w:rsidR="00A31137" w:rsidRPr="00A31137" w:rsidRDefault="00A31137" w:rsidP="00A31137">
      <w:r w:rsidRPr="00A31137">
        <w:t>1990, Hodgson v. Minnesota, 497 U.S. 458</w:t>
      </w:r>
    </w:p>
    <w:p w:rsidR="00A31137" w:rsidRPr="00A31137" w:rsidRDefault="00A31137" w:rsidP="00A31137">
      <w:r w:rsidRPr="00A31137">
        <w:t>[a] woman's decision to beget or to bear a child [as] a component of her liberty that is protected by the Due Process Clause of the Fourteenth Amendment to the Constitution.</w:t>
      </w:r>
    </w:p>
    <w:p w:rsidR="00A31137" w:rsidRPr="00A31137" w:rsidRDefault="00A31137" w:rsidP="00A31137">
      <w:r w:rsidRPr="00A31137">
        <w:t>1990, Hodgson v. Minnesota, 497 U.S. 458</w:t>
      </w:r>
    </w:p>
    <w:p w:rsidR="00A31137" w:rsidRPr="00A31137" w:rsidRDefault="00A31137" w:rsidP="00A31137">
      <w:r w:rsidRPr="00A31137">
        <w:t>Ante at  434. See, e.g., Carey v. Population Services International, 431 U.S. 678,  685,  687 (1977); Griswold v. Connecticut, 381 U.S. 479, 502-503 (1965) (WHITE, J., concurring in judgment). This Court extended that liberty interest to minors in Bellotti v. Baird, 443 U.S. 622,  642 (1979) (Bellotti II), and Planned Parenthood of Central Missouri v. Danforth, 428 U.S. 52,  74 (1976), albeit with some important limitations:</w:t>
      </w:r>
    </w:p>
    <w:p w:rsidR="00A31137" w:rsidRPr="00A31137" w:rsidRDefault="00A31137" w:rsidP="00A31137">
      <w:r w:rsidRPr="00A31137">
        <w:t>1990, Hodgson v. Minnesota, 497 U.S. 458</w:t>
      </w:r>
    </w:p>
    <w:p w:rsidR="00A31137" w:rsidRPr="00A31137" w:rsidRDefault="00A31137" w:rsidP="00A31137">
      <w:r w:rsidRPr="00A31137">
        <w:t>[P]arental notice and consent are qualifications that typically may be imposed by the State on a minor's right to make important decisions. As immature minors often lack the ability to make fully informed choices that take account of both immediate and long-range consequences, a State reasonably may determine that parental consultation often is desirable and in the best interest of the minor.</w:t>
      </w:r>
    </w:p>
    <w:p w:rsidR="00A31137" w:rsidRPr="00A31137" w:rsidRDefault="00A31137" w:rsidP="00A31137">
      <w:r w:rsidRPr="00A31137">
        <w:t>1990, Hodgson v. Minnesota, 497 U.S. 458</w:t>
      </w:r>
    </w:p>
    <w:p w:rsidR="00A31137" w:rsidRPr="00A31137" w:rsidRDefault="00A31137" w:rsidP="00A31137">
      <w:r w:rsidRPr="00A31137">
        <w:t>Bellotti II, supra, at 640-641; see also H.L. v. Matheson, 450 U.S. 398,  423 (1981) (STEVENS, J., concurring in judgment); cf. Thompson v. [497 U.S. 459] Oklahoma, 487 U.S. 815, 835 (1988) ("Inexperience, less education, and less intelligence make the teenager less able to evaluate the consequences of his or her conduct, while at the same time he or she is much more apt to be motivated by mere emotion or peer pressure than is an adult"); Stanford v. Kentucky, 492 U.S. 361, 395 (1989) (BRENNAN, J., dissenting) ("[M]inors are treated differently from adults in our laws, which reflects the simple truth derived from communal experience, that juveniles as a class have not the level of maturation and responsibility that we presume in adults and consider desirable for full participation in the rights and duties of modern life").</w:t>
      </w:r>
    </w:p>
    <w:p w:rsidR="00A31137" w:rsidRPr="00A31137" w:rsidRDefault="00A31137" w:rsidP="00A31137">
      <w:r w:rsidRPr="00A31137">
        <w:t>1990, Hodgson v. Minnesota, 497 U.S. 459</w:t>
      </w:r>
    </w:p>
    <w:p w:rsidR="00A31137" w:rsidRPr="00A31137" w:rsidRDefault="00A31137" w:rsidP="00A31137">
      <w:r w:rsidRPr="00A31137">
        <w:t>It has been my understanding in this area that</w:t>
      </w:r>
    </w:p>
    <w:p w:rsidR="00A31137" w:rsidRPr="00A31137" w:rsidRDefault="00A31137" w:rsidP="00A31137">
      <w:r w:rsidRPr="00A31137">
        <w:t>1990, Hodgson v. Minnesota, 497 U.S. 459</w:t>
      </w:r>
    </w:p>
    <w:p w:rsidR="00A31137" w:rsidRPr="00A31137" w:rsidRDefault="00A31137" w:rsidP="00A31137">
      <w:r w:rsidRPr="00A31137">
        <w:t>[i]f the particular regulation does not "unduly burde[n]" the fundamental right,…then our evaluation of that regulation is limited to our determination that the regulation rationally relates to a legitimate state purpose.</w:t>
      </w:r>
    </w:p>
    <w:p w:rsidR="00A31137" w:rsidRPr="00A31137" w:rsidRDefault="00A31137" w:rsidP="00A31137">
      <w:r w:rsidRPr="00A31137">
        <w:t>1990, Hodgson v. Minnesota, 497 U.S. 459</w:t>
      </w:r>
    </w:p>
    <w:p w:rsidR="00A31137" w:rsidRPr="00A31137" w:rsidRDefault="00A31137" w:rsidP="00A31137">
      <w:r w:rsidRPr="00A31137">
        <w:t>Akron v. Akron Center for Reproductive Health, Inc., 462 U.S. 416,  453 (1983) (O'CONNOR, J., dissenting); see also Webster v. Reproductive Health Services, 492 U.S. 490, 530 (1989) (O'CONNOR, J., concurring in part and concurring in judgment). It is with that understanding that I agree with Justice STEVENS' statement that the</w:t>
      </w:r>
    </w:p>
    <w:p w:rsidR="00A31137" w:rsidRPr="00A31137" w:rsidRDefault="00A31137" w:rsidP="00A31137">
      <w:r w:rsidRPr="00A31137">
        <w:t>1990, Hodgson v. Minnesota, 497 U.S. 459</w:t>
      </w:r>
    </w:p>
    <w:p w:rsidR="00A31137" w:rsidRPr="00A31137" w:rsidRDefault="00A31137" w:rsidP="00A31137">
      <w:r w:rsidRPr="00A31137">
        <w:t>statute cannot be sustained if the obstacles it imposes are not reasonably related to legitimate state interests. Cf. Turner v. Safley, 482 U.S. at  97; Carey v. Population Services International, 431 U.S. at  704 (opinion of Powell, J.); Doe v. Bolton, 410 U.S. 179, 194-195, 199 (1973).</w:t>
      </w:r>
    </w:p>
    <w:p w:rsidR="00A31137" w:rsidRPr="00A31137" w:rsidRDefault="00A31137" w:rsidP="00A31137">
      <w:r w:rsidRPr="00A31137">
        <w:t>1990, Hodgson v. Minnesota, 497 U.S. 459</w:t>
      </w:r>
    </w:p>
    <w:p w:rsidR="00A31137" w:rsidRPr="00A31137" w:rsidRDefault="00A31137" w:rsidP="00A31137">
      <w:r w:rsidRPr="00A31137">
        <w:t>Ante at  436.</w:t>
      </w:r>
    </w:p>
    <w:p w:rsidR="00A31137" w:rsidRPr="00A31137" w:rsidRDefault="00A31137" w:rsidP="00A31137">
      <w:r w:rsidRPr="00A31137">
        <w:t>1990, Hodgson v. Minnesota, 497 U.S. 459</w:t>
      </w:r>
    </w:p>
    <w:p w:rsidR="00A31137" w:rsidRPr="00A31137" w:rsidRDefault="00A31137" w:rsidP="00A31137">
      <w:r w:rsidRPr="00A31137">
        <w:t>I agree with Justice STEVENS that Minnesota has offered no sufficient justification for its interference with the family's decisionmaking processes created by subdivision 2—two-parent notification. Subdivision 2 is the most stringent notification statute in the country. See ante at  425, n. 5. The only other state that defines the generic term "parents," see, e.g., Tenn.Code Ann. § 36-1-201, Art. III(6) (Supp. 1989) (adoption statute) ("'Parents' [497 U.S. 460] means either the singular or plural of the word 'parent'"); see also ante at 437, n. 23, as "both parents" is Arkansas, and that statute provides for numerous exceptions to the two-parent notification requirement and permits bypassing notification where notification would not be in the best interests of the minor. See Ark.Code §§ 20-16-802, 20-16-804, 20-16-808 (Supp.1989).</w:t>
      </w:r>
    </w:p>
    <w:p w:rsidR="00A31137" w:rsidRPr="00A31137" w:rsidRDefault="00A31137" w:rsidP="00A31137">
      <w:r w:rsidRPr="00A31137">
        <w:t>1990, Hodgson v. Minnesota, 497 U.S. 460</w:t>
      </w:r>
    </w:p>
    <w:p w:rsidR="00A31137" w:rsidRPr="00A31137" w:rsidRDefault="00A31137" w:rsidP="00A31137">
      <w:r w:rsidRPr="00A31137">
        <w:t>The Minnesota exception to notification for minors who are victims of neglect or abuse is, in reality, a means of notifying the parents. As Justice STEVENS points out, see ante at  426, n. 7, to avail herself of the neglect or abuse exception, the minor must report the abuse. A report requires the welfare agency to immediately "conduct an assessment." Minn.Stat. § 626.556(10)(a) (1988). If the agency interviews the victim, it must notify the parent of the fact of the interview; if the parent is the subject of an investigation, he has a right of access to the record of the investigation. §§ 626.556(10)(c); 626.556(11); see also Tr. of Oral Arg. 19 ("[I]t turns out that the reporting statute in Minnesota requires that, after it's reported to the welfare department, the welfare department has to do an assessment and tell the parents about the assessment. This could all be done in a timeframe even before the abortion occurs"). The combination of the abused minor's reluctance to report sexual or physical abuse, see ante at  440, n. 26, with the likelihood that invoking the abuse exception for the purpose of avoiding notice will result in notice, makes the abuse exception less than effectual.</w:t>
      </w:r>
    </w:p>
    <w:p w:rsidR="00A31137" w:rsidRPr="00A31137" w:rsidRDefault="00A31137" w:rsidP="00A31137">
      <w:r w:rsidRPr="00A31137">
        <w:t>1990, Hodgson v. Minnesota, 497 U.S. 460</w:t>
      </w:r>
    </w:p>
    <w:p w:rsidR="00A31137" w:rsidRPr="00A31137" w:rsidRDefault="00A31137" w:rsidP="00A31137">
      <w:r w:rsidRPr="00A31137">
        <w:t xml:space="preserve">Minnesota's two-parent notice requirement is all the more unreasonable when one considers that only half of the minors in the State of Minnesota reside with both biological parents. See ante at  437. A third live with only one parent. Ibid. Given its broad sweep and its failure to serve the purposes asserted by the State in too many cases, I join the Court's striking of subdivision 2. [497 U.S. 461] </w:t>
      </w:r>
    </w:p>
    <w:p w:rsidR="00A31137" w:rsidRPr="00A31137" w:rsidRDefault="00A31137" w:rsidP="00A31137">
      <w:r w:rsidRPr="00A31137">
        <w:t>II</w:t>
      </w:r>
    </w:p>
    <w:p w:rsidR="00A31137" w:rsidRPr="00A31137" w:rsidRDefault="00A31137" w:rsidP="00A31137">
      <w:r w:rsidRPr="00A31137">
        <w:t>1990, Hodgson v. Minnesota, 497 U.S. 461</w:t>
      </w:r>
    </w:p>
    <w:p w:rsidR="00A31137" w:rsidRPr="00A31137" w:rsidRDefault="00A31137" w:rsidP="00A31137">
      <w:r w:rsidRPr="00A31137">
        <w:t>In a series of cases, this Court has explicitly approved judicial bypass as a means of tailoring a parental consent provision so as to avoid unduly burdening the minor's limited right to obtain an abortion. See Bellotti v. Baird, 428 U.S. 132, 147-148 (1976); Planned Parenthood of Central Missouri v. Danforth, 428 U.S. 52 (1976); Bellotti II, 443 U.S. at 642-644. In Danforth, the Court stated that the</w:t>
      </w:r>
    </w:p>
    <w:p w:rsidR="00A31137" w:rsidRPr="00A31137" w:rsidRDefault="00A31137" w:rsidP="00A31137">
      <w:r w:rsidRPr="00A31137">
        <w:t>1990, Hodgson v. Minnesota, 497 U.S. 461</w:t>
      </w:r>
    </w:p>
    <w:p w:rsidR="00A31137" w:rsidRPr="00A31137" w:rsidRDefault="00A31137" w:rsidP="00A31137">
      <w:r w:rsidRPr="00A31137">
        <w:t>primary constitutional deficiency lies in [the notification statute's] imposition of an absolute limitation on the minor's right to obtain an abortion….   [A] materially different constitutional issue would be presented under a provision requiring parental consent or consultation in most cases but providing for prompt (i) judicial resolution of any disagreement between the parent and the minor, or (ii) judicial determination that the minor is mature enough to give an informed consent without parental concurrence or that abortion in any event is in the minor's best interest. Such a provision would not impose parental approval as an absolute condition upon the minor's right, but would assure in most instances consultation between the parent and child.</w:t>
      </w:r>
    </w:p>
    <w:p w:rsidR="00A31137" w:rsidRPr="00A31137" w:rsidRDefault="00A31137" w:rsidP="00A31137">
      <w:r w:rsidRPr="00A31137">
        <w:t>1990, Hodgson v. Minnesota, 497 U.S. 461</w:t>
      </w:r>
    </w:p>
    <w:p w:rsidR="00A31137" w:rsidRPr="00A31137" w:rsidRDefault="00A31137" w:rsidP="00A31137">
      <w:r w:rsidRPr="00A31137">
        <w:t>428 U.S. at 90-91. Subdivision 6 passes constitutional muster because the interference with the internal operation of the family required by subdivision 2 simply does not exist where the minor can avoid notifying one or both parents by use of the bypass procedure.</w:t>
      </w:r>
    </w:p>
    <w:p w:rsidR="00A31137" w:rsidRPr="00A31137" w:rsidRDefault="00A31137" w:rsidP="00A31137">
      <w:r w:rsidRPr="00A31137">
        <w:t>MARSHALL, J., concurring and dissenting</w:t>
      </w:r>
    </w:p>
    <w:p w:rsidR="00A31137" w:rsidRPr="00A31137" w:rsidRDefault="00A31137" w:rsidP="00A31137">
      <w:r w:rsidRPr="00A31137">
        <w:t>1990, Hodgson v. Minnesota, 497 U.S. 461</w:t>
      </w:r>
    </w:p>
    <w:p w:rsidR="00A31137" w:rsidRPr="00A31137" w:rsidRDefault="00A31137" w:rsidP="00A31137">
      <w:r w:rsidRPr="00A31137">
        <w:t>Justice MARSHALL, with whom Justice BRENNAN and Justice BLACKMUN join, concurring in part, concurring in the judgment in part, and dissenting in part.</w:t>
      </w:r>
    </w:p>
    <w:p w:rsidR="00A31137" w:rsidRPr="00A31137" w:rsidRDefault="00A31137" w:rsidP="00A31137">
      <w:r w:rsidRPr="00A31137">
        <w:t>1990, Hodgson v. Minnesota, 497 U.S. 461</w:t>
      </w:r>
    </w:p>
    <w:p w:rsidR="00A31137" w:rsidRPr="00A31137" w:rsidRDefault="00A31137" w:rsidP="00A31137">
      <w:r w:rsidRPr="00A31137">
        <w:t>I concur in Parts I, II, IV, and VII of Justice STEVENS' opinion for the Court in No. 88-1309. 1 Although I do [497 U.S. 462] not believe that the Constitution permits a State to require a minor to notify or consult with a parent before obtaining an abortion, compare ante at 445 with infra at 463-472, I am in substantial agreement with the remainder of the reasoning in Part V of the Court's opinion. For the reasons stated by Justice STEVENS, ante at 450-455, Minnesota's two-parent notification requirement is not even reasonably related to a legitimate state interest. Therefore, that requirement surely would not pass the strict scrutiny applicable to restrictions on a woman's fundamental right to have an abortion.</w:t>
      </w:r>
    </w:p>
    <w:p w:rsidR="00A31137" w:rsidRPr="00A31137" w:rsidRDefault="00A31137" w:rsidP="00A31137">
      <w:r w:rsidRPr="00A31137">
        <w:t>1990, Hodgson v. Minnesota, 497 U.S. 462</w:t>
      </w:r>
    </w:p>
    <w:p w:rsidR="00A31137" w:rsidRPr="00A31137" w:rsidRDefault="00A31137" w:rsidP="00A31137">
      <w:r w:rsidRPr="00A31137">
        <w:t>I dissent from the judgment of the Court in No. 89-1125, however, that the judicial bypass option renders the parental notification and 48-hour delay requirements constitutional. See ante at 497-501 (opinion of O'CONNOR, J.); post at 497-501 (opinion of KENNEDY, J.). The bypass procedure cannot save those requirements because the bypass itself is unconstitutional, both on its face and as applied. At the very least, this scheme substantially burdens a woman's right to privacy without advancing a compelling state interest. More significantly, in some instances it usurps a young woman's control over her own body by giving either a parent or a court the power effectively to veto her decision to have an abortion.</w:t>
      </w:r>
    </w:p>
    <w:p w:rsidR="00A31137" w:rsidRPr="00A31137" w:rsidRDefault="00A31137" w:rsidP="00A31137">
      <w:r w:rsidRPr="00A31137">
        <w:t>I</w:t>
      </w:r>
    </w:p>
    <w:p w:rsidR="00A31137" w:rsidRPr="00A31137" w:rsidRDefault="00A31137" w:rsidP="00A31137">
      <w:r w:rsidRPr="00A31137">
        <w:t>1990, Hodgson v. Minnesota, 497 U.S. 462</w:t>
      </w:r>
    </w:p>
    <w:p w:rsidR="00A31137" w:rsidRPr="00A31137" w:rsidRDefault="00A31137" w:rsidP="00A31137">
      <w:r w:rsidRPr="00A31137">
        <w:t>This Court has consistently held since Roe v. Wade, 410 U.S. 113 (1973), that the constitutional right of privacy "is broad enough to encompass a woman's decision whether or not to terminate her pregnancy." Id. at  153. We have also repeatedly stated that "[a] woman's right to make that choice freely is fundamental." Thornburgh v. American College of Obstetricians and Gynecologists, 476 U.S. 747,  772 (1986). Accord, Akron v. Akron Center for Reproductive Health, Inc., 462 U.S. 416,  420, n. 1 (1983); Roe, supra, 410 U.S. at [497 U.S. 463]  155. As we reiterated in American College of Obstetricians and Gynecologists, supra,</w:t>
      </w:r>
    </w:p>
    <w:p w:rsidR="00A31137" w:rsidRPr="00A31137" w:rsidRDefault="00A31137" w:rsidP="00A31137">
      <w:r w:rsidRPr="00A31137">
        <w:t>1990, Hodgson v. Minnesota, 497 U.S. 463</w:t>
      </w:r>
    </w:p>
    <w:p w:rsidR="00A31137" w:rsidRPr="00A31137" w:rsidRDefault="00A31137" w:rsidP="00A31137">
      <w:r w:rsidRPr="00A31137">
        <w:t>Few decisions are more personal and intimate, more properly private, or more basic to individual dignity and autonomy, than a woman's decision—with the guidance of her physician and within the limits specified in Roe—whether to end her pregnancy.</w:t>
      </w:r>
    </w:p>
    <w:p w:rsidR="00A31137" w:rsidRPr="00A31137" w:rsidRDefault="00A31137" w:rsidP="00A31137">
      <w:r w:rsidRPr="00A31137">
        <w:t>1990, Hodgson v. Minnesota, 497 U.S. 463</w:t>
      </w:r>
    </w:p>
    <w:p w:rsidR="00A31137" w:rsidRPr="00A31137" w:rsidRDefault="00A31137" w:rsidP="00A31137">
      <w:r w:rsidRPr="00A31137">
        <w:t>Id. 476 U.S. at  772. Accordingly, we have subjected state laws limiting that right to the most exacting scrutiny, requiring a State to show that such a law is narrowly drawn to serve a compelling interest. Roe, supra, 410 U.S. at  155; Akron Center for Reproductive Health, supra, 462 U.S. at  427. Only such strict judicial scrutiny is sufficiently protective of a woman's right to make the intensely personal decision whether to terminate her pregnancy.</w:t>
      </w:r>
    </w:p>
    <w:p w:rsidR="00A31137" w:rsidRPr="00A31137" w:rsidRDefault="00A31137" w:rsidP="00A31137">
      <w:r w:rsidRPr="00A31137">
        <w:t>1990, Hodgson v. Minnesota, 497 U.S. 463</w:t>
      </w:r>
    </w:p>
    <w:p w:rsidR="00A31137" w:rsidRPr="00A31137" w:rsidRDefault="00A31137" w:rsidP="00A31137">
      <w:r w:rsidRPr="00A31137">
        <w:t>Roe remains the law of the land. See Webster v. Reproductive Health Services, 492 U.S. 490,  521 (1989) (plurality opinion); id. at  525 (O'CONNOR, J., concurring in part and concurring in judgment); id. at  537,  560 (BLACKMUN, J., concurring in part and dissenting in part). Indeed, today's decision reaffirms the vitality of Roe, as five Justices have voted to strike down a state law restricting a woman's right to have an abortion. Accordingly, to be constitutional, state restrictions on abortion must meet the rigorous test set forth above.</w:t>
      </w:r>
    </w:p>
    <w:p w:rsidR="00A31137" w:rsidRPr="00A31137" w:rsidRDefault="00A31137" w:rsidP="00A31137">
      <w:r w:rsidRPr="00A31137">
        <w:t>II</w:t>
      </w:r>
    </w:p>
    <w:p w:rsidR="00A31137" w:rsidRPr="00A31137" w:rsidRDefault="00A31137" w:rsidP="00A31137">
      <w:r w:rsidRPr="00A31137">
        <w:t>1990, Hodgson v. Minnesota, 497 U.S. 463</w:t>
      </w:r>
    </w:p>
    <w:p w:rsidR="00A31137" w:rsidRPr="00A31137" w:rsidRDefault="00A31137" w:rsidP="00A31137">
      <w:r w:rsidRPr="00A31137">
        <w:t>I strongly disagree with the Court's conclusion that the State may constitutionally force a minor woman either to notify both parents (or in some cases only one parent 2) and then wait 48 hours before proceeding with an abortion, or disclose her intimate affairs to a judge and ask that he grant her permission to have an abortion. See post at 497-501 (opinion of KENNEDY, J.). Cf. ante at 448-449 (opinion of STEVENS, J.) (finding that requiring minor to wait 48 hours after notifying one parent reasonably furthers legitimate state interest). [497 U.S. 464] First, the parental notification and delay requirements significantly restrict a young woman's right to reproductive choice. I base my conclusion not on my intuition about the needs and attitudes of young women, but on a sizable and impressive collection of empirical data documenting the effects of parental notification statutes and of delaying an abortion. Second, the burdensome restrictions are not narrowly tailored to serve any compelling state interest. Finally, for the reasons discussed in Part III, infra, the judicial bypass procedure does not save the notice and delay requirements.</w:t>
      </w:r>
    </w:p>
    <w:p w:rsidR="00A31137" w:rsidRPr="00A31137" w:rsidRDefault="00A31137" w:rsidP="00A31137">
      <w:r w:rsidRPr="00A31137">
        <w:t>A</w:t>
      </w:r>
    </w:p>
    <w:p w:rsidR="00A31137" w:rsidRPr="00A31137" w:rsidRDefault="00A31137" w:rsidP="00A31137">
      <w:r w:rsidRPr="00A31137">
        <w:t>1990, Hodgson v. Minnesota, 497 U.S. 464</w:t>
      </w:r>
    </w:p>
    <w:p w:rsidR="00A31137" w:rsidRPr="00A31137" w:rsidRDefault="00A31137" w:rsidP="00A31137">
      <w:r w:rsidRPr="00A31137">
        <w:t>Neither the scope of a woman's privacy right nor the magnitude of a law's burden is diminished because a woman is a minor. Bellotti v. Baird, 443 U.S. 622,  642 (1979) (Bellotti II) (plurality opinion); Planned Parenthood of Central Missouri v. Danforth, 428 U.S. 52,  74 (1976). Rather, a woman's minority status affects only the nature of the State's interests. Although the Court considers the burdens that the two-parent notification requirement imposes on a minor woman's exercise of her right to privacy, ante at 450-451, and n. 36, it fails to recognize that forced notification of only one parent also significantly burdens a young woman's right to have an abortion, see ante at 459-460 (opinion of O'CONNOR, J.); post at 491-497 (opinion of KENNEDY, J.). Cf. ante at 448-449 (opinion of STEVENS, J.).</w:t>
      </w:r>
    </w:p>
    <w:p w:rsidR="00A31137" w:rsidRPr="00A31137" w:rsidRDefault="00A31137" w:rsidP="00A31137">
      <w:r w:rsidRPr="00A31137">
        <w:t>1990, Hodgson v. Minnesota, 497 U.S. 464</w:t>
      </w:r>
    </w:p>
    <w:p w:rsidR="00A31137" w:rsidRPr="00A31137" w:rsidRDefault="00A31137" w:rsidP="00A31137">
      <w:r w:rsidRPr="00A31137">
        <w:t>A substantial proportion of pregnant minors voluntarily consult with a parent regardless of the existence of a notification requirement. See, e.g., Torres, Forrest, &amp; Eisman, Telling Parents: Clinic Policies and Adolescents' Use of Family Planning and Abortion Services, 12 Family Planning Perspectives 284, 287, 288, 290 (1980) (51% of minors discussed abortion with parents in the absence of a parental consent or notification requirement). Minors 15 years old or younger are even more likely voluntarily to discuss the abortion decision with their parents. Id. at 290 (69% of such minors voluntarily [497 U.S. 465] discuss abortion with parents). For these women, the notification requirement by itself does not impose a significant burden. But for those young women who would choose not to inform their parents, the burden is evident: the notification requirement destroys their right to avoid disclosure of a deeply personal matter. Cf. Whalen v. Roe, 429 U.S. 589, 599-600 (1977).</w:t>
      </w:r>
    </w:p>
    <w:p w:rsidR="00A31137" w:rsidRPr="00A31137" w:rsidRDefault="00A31137" w:rsidP="00A31137">
      <w:r w:rsidRPr="00A31137">
        <w:t>1990, Hodgson v. Minnesota, 497 U.S. 465</w:t>
      </w:r>
    </w:p>
    <w:p w:rsidR="00A31137" w:rsidRPr="00A31137" w:rsidRDefault="00A31137" w:rsidP="00A31137">
      <w:r w:rsidRPr="00A31137">
        <w:t>A notification requirement can also have severe physical and psychological effects on a young woman. First, forced notification of one parent, like forced notification of both parents, can be extremely traumatic for a young woman, depending on the nature of her relationship with her parents. Cf. ante at 450-451, and n. 36. The disclosure of a daughter's intention to have an abortion often leads to a family crisis, characterized by severe parental anger and rejection. Osofsky &amp; Osofsky, Teenage Pregnancy: Psychosocial Considerations, 21 Clinical Obstetrics and Gynecology 1161 1164-1165 (1978). The impact of any notification requirement is especially devastating for minors who live in fear of physical, psychological, or sexual abuse. See, e.g., Clary, Minor Women Obtaining Abortions: A Study of Parental Notification in a Metropolitan Area, 72 American J. of Pub. Health 283, 284 (1982) (finding that many minors chose not to inform parents voluntarily because of fear of negative consequences such as physical punishment or other retaliation). See also Tr. 911 (testimony of Dr. Elissa Benedek) (stating that usually minors accurately predict parental reaction to news about daughters' pregnancies). Cf. ante at 438-440, and n. 25. Certainly, child abuse is not limited to families with two parents.</w:t>
      </w:r>
    </w:p>
    <w:p w:rsidR="00A31137" w:rsidRPr="00A31137" w:rsidRDefault="00A31137" w:rsidP="00A31137">
      <w:r w:rsidRPr="00A31137">
        <w:t>1990, Hodgson v. Minnesota, 497 U.S. 465</w:t>
      </w:r>
    </w:p>
    <w:p w:rsidR="00A31137" w:rsidRPr="00A31137" w:rsidRDefault="00A31137" w:rsidP="00A31137">
      <w:r w:rsidRPr="00A31137">
        <w:t>Second, the prospect of having to notify a parent causes many young women to delay their abortions, thereby increasing the health risks of the procedure. See Cates, Schulz &amp; Grimes, The Risks Associated with Teenage Abortion, 309 New England J. of Medicine 621, 623 (1983) (finding that for women 19 years old and younger, the number of deaths per 100,000 abortions was 0.2 for the first 8 weeks of pregnancy, [497 U.S. 466] 0.6 for weeks 9-12, 3.4 for weeks 13-16, and 7.8 for week 17 and after). See also H.L. v. Matheson, 450 U.S. 398,  439 (1981) (MARSHALL, J., dissenting). The risks posed by this delay are especially significant because adolescents already delay seeking medical care until relatively late in their pregnancies, when risks are higher. See 1 National Research Council, Risking the Future: Adolescent Sexuality, Pregnancy, and Childbearing 114 (C. Hayes ed. 1987).</w:t>
      </w:r>
    </w:p>
    <w:p w:rsidR="00A31137" w:rsidRPr="00A31137" w:rsidRDefault="00A31137" w:rsidP="00A31137">
      <w:r w:rsidRPr="00A31137">
        <w:t>1990, Hodgson v. Minnesota, 497 U.S. 466</w:t>
      </w:r>
    </w:p>
    <w:p w:rsidR="00A31137" w:rsidRPr="00A31137" w:rsidRDefault="00A31137" w:rsidP="00A31137">
      <w:r w:rsidRPr="00A31137">
        <w:t>In addition, a notification requirement compels many minors seeking an abortion to travel to a State without such a requirement to avoid notifying a parent. Cartoof &amp; Klerman, Parental Consent for Abortion: Impact of the Massachusetts Law, 76 American J. of Pub. Health 397, 399 (1986) (finding that one-third of minors seeking abortions traveled outside of State to avoid Massachusetts' parental notice requirement). Other women may resort to the horrors of self-abortion or illegal abortion rather than tell a parent. Torres, Forrest, &amp; Eisman, supra, at 288 (9% of minors attending family planning clinics said they would have a self-induced or illegal abortion rather than tell a parent); H.L. v. Matheson, supra, at  439, and n. 26 (MARSHALL, J., dissenting). See also Greydanus &amp; Railsback, Abortion in Adolescence, 1 Seminars in Adolescent Medicine 213, 214 (1985) (noting 100-times greater death rate for women who obtain illegal abortions than for those who obtain legal ones). 3 Still others would forgo an abortion entirely and carry the fetus to term, Torres, Forrest, &amp; Eisman, supra, at 289, 291 (9% of minors in family planning clinics said they would carry fetus [497 U.S. 467] to term rather than inform parents of decision to abort), subjecting themselves to the much greater health risks of pregnancy and childbirth and to the physical, psychological, and financial hardships of unwanted motherhood. See Greydanus &amp; Railsback, supra, at 214 (noting that minor's overall risk of dying from childbirth is over nine times greater than risk of dying from legal abortion); Lewis, Minors' Competence to Consent to Abortion, 42 American Psychologist 84, 87 (1987) ("[P]regnancy continuation poses far greater psychological, physical, and economic risks to the adolescent than does abortion") (citation omitted). See also Bellotti II, 443 U.S. at  642 (plurality opinion) ("[C]onsidering her probable education, employment skills, financial resources, and emotional maturity, unwanted motherhood may be exceptionally burdensome for a minor"). Clearly, then, requiring notification of one parent significantly burdens a young woman's right to terminate her pregnancy.</w:t>
      </w:r>
    </w:p>
    <w:p w:rsidR="00A31137" w:rsidRPr="00A31137" w:rsidRDefault="00A31137" w:rsidP="00A31137">
      <w:r w:rsidRPr="00A31137">
        <w:t>1990, Hodgson v. Minnesota, 497 U.S. 467</w:t>
      </w:r>
    </w:p>
    <w:p w:rsidR="00A31137" w:rsidRPr="00A31137" w:rsidRDefault="00A31137" w:rsidP="00A31137">
      <w:r w:rsidRPr="00A31137">
        <w:t>The 48-hour delay after notification further aggravates the harm caused by the pre-notification delay that may flow from a minor's fear of notifying a parent. Moreover, the 48-hour delay burdens the rights of all minors, including those who would voluntarily consult with one or both parents. 4 Justice STEVENS' assertion that the 48-hour delay "imposes only a minimal burden," ante at  449; see also post at  496 (opinion of KENNEDY, J.), ignores the increased health risks and costs that this delay entails. The District Court specifically found as a matter of fact that "[d]elay of any length in performing an abortion increases the statistical risk of mortality and morbidity." 648 F.Supp. 756, 765 (Minn 1986). Even a brief delay can have a particularly detrimental impact if it pushes the abortion into the second trimester, when the operation is substantially more risky and costly. Ibid. See [497 U.S. 468] also C. Tietze &amp; S. Henshaw, Induced Abortion: A World Review 1986, pp. 103-104 (6th ed. 1986) (rate of major complications nearly doubles in the week following the end of the first trimester and increases significantly thereafter). Moreover, the District Court found that the 48-hour delay</w:t>
      </w:r>
    </w:p>
    <w:p w:rsidR="00A31137" w:rsidRPr="00A31137" w:rsidRDefault="00A31137" w:rsidP="00A31137">
      <w:r w:rsidRPr="00A31137">
        <w:t>1990, Hodgson v. Minnesota, 497 U.S. 468</w:t>
      </w:r>
    </w:p>
    <w:p w:rsidR="00A31137" w:rsidRPr="00A31137" w:rsidRDefault="00A31137" w:rsidP="00A31137">
      <w:r w:rsidRPr="00A31137">
        <w:t>frequently is compounded by scheduling factors such as clinic hours, transportation requirements, weather, a minor's school and work commitments, and sometimes a single parent's family and work commitments,</w:t>
      </w:r>
    </w:p>
    <w:p w:rsidR="00A31137" w:rsidRPr="00A31137" w:rsidRDefault="00A31137" w:rsidP="00A31137">
      <w:r w:rsidRPr="00A31137">
        <w:t>1990, Hodgson v. Minnesota, 497 U.S. 468</w:t>
      </w:r>
    </w:p>
    <w:p w:rsidR="00A31137" w:rsidRPr="00A31137" w:rsidRDefault="00A31137" w:rsidP="00A31137">
      <w:r w:rsidRPr="00A31137">
        <w:t xml:space="preserve">often resulting in an effective delay of a week or more. 648 F.Supp. at 765. 5 The increased risk caused by a delay of that magnitude, the District Court found, is statistically significant at any point in the pregnancy. Ibid. Certainly no pregnant woman facing these heightened risks to her health would dismiss them as "minimal." 6 [497 U.S. 469] </w:t>
      </w:r>
    </w:p>
    <w:p w:rsidR="00A31137" w:rsidRPr="00A31137" w:rsidRDefault="00A31137" w:rsidP="00A31137">
      <w:r w:rsidRPr="00A31137">
        <w:t>C</w:t>
      </w:r>
    </w:p>
    <w:p w:rsidR="00A31137" w:rsidRPr="00A31137" w:rsidRDefault="00A31137" w:rsidP="00A31137">
      <w:r w:rsidRPr="00A31137">
        <w:t>1990, Hodgson v. Minnesota, 497 U.S. 469</w:t>
      </w:r>
    </w:p>
    <w:p w:rsidR="00A31137" w:rsidRPr="00A31137" w:rsidRDefault="00A31137" w:rsidP="00A31137">
      <w:r w:rsidRPr="00A31137">
        <w:t>Because the parental notification and delay requirements burden a young woman's right freely to decide whether to terminate her pregnancy, the State must show that these requirements are justified by a compelling state interest and are closely tailored to further that interest. The main purpose of the notification requirement is to</w:t>
      </w:r>
    </w:p>
    <w:p w:rsidR="00A31137" w:rsidRPr="00A31137" w:rsidRDefault="00A31137" w:rsidP="00A31137">
      <w:r w:rsidRPr="00A31137">
        <w:t>1990, Hodgson v. Minnesota, 497 U.S. 469</w:t>
      </w:r>
    </w:p>
    <w:p w:rsidR="00A31137" w:rsidRPr="00A31137" w:rsidRDefault="00A31137" w:rsidP="00A31137">
      <w:r w:rsidRPr="00A31137">
        <w:t>protect the wellbeing of minors by encouraging minors to discuss with their parents the decision whether to terminate their pregnancies</w:t>
      </w:r>
    </w:p>
    <w:p w:rsidR="00A31137" w:rsidRPr="00A31137" w:rsidRDefault="00A31137" w:rsidP="00A31137">
      <w:r w:rsidRPr="00A31137">
        <w:t>1990, Hodgson v. Minnesota, 497 U.S. 469</w:t>
      </w:r>
    </w:p>
    <w:p w:rsidR="00A31137" w:rsidRPr="00A31137" w:rsidRDefault="00A31137" w:rsidP="00A31137">
      <w:r w:rsidRPr="00A31137">
        <w:t>Id. at 766. The 44-hour delay, in turn, is designed to provide parents with adequate time to consult with their daughters. Ante at 448-449 (opinion of STEVENS, J.); post at  496 (opinion of KENNEDY, J.). As Justice STEVENS states, such consultation is intended to ensure that the minor's decision is "knowing and intelligent." Ante at  448. I need not determine whether the State's interest ultimately outweighs young women's privacy interests, however, because the strictures here are not closely tailored to further the State's asserted goal.</w:t>
      </w:r>
    </w:p>
    <w:p w:rsidR="00A31137" w:rsidRPr="00A31137" w:rsidRDefault="00A31137" w:rsidP="00A31137">
      <w:r w:rsidRPr="00A31137">
        <w:t>1990, Hodgson v. Minnesota, 497 U.S. 469</w:t>
      </w:r>
    </w:p>
    <w:p w:rsidR="00A31137" w:rsidRPr="00A31137" w:rsidRDefault="00A31137" w:rsidP="00A31137">
      <w:r w:rsidRPr="00A31137">
        <w:t>For the many young women who would voluntarily consult with a parent before having an abortion, see supra at 464-465, the notification and delay requirements are superfluous, and so do not advance the State's interest. The requirements affect only those women who would not otherwise notify a parent. But compelled notification is unlikely to result in productive consultation in families in which a daughter does not feel comfortable consulting her parents about intimate or sexual matters. See Melton, Legal Regulation of Adolescent Abortion: Unintended Effects, 42 American Psychologist 79, 81 (1987) (stating that, in many families, compelled parental notification is unlikely to result in meaningful discussion about the daughter's predicament); Tr. 1357-1358 (testimony of Dr. Steven Butzer) (stating that involuntary disclosure is disruptive to family and has "almost universally negative" effects, in accord with minor's expectations). [497 U.S. 470] Moreover, in those families with a history of child abuse, a pregnant minor forced to notify a parent is more likely to be greeted by physical assault or psychological harassment than open and caring conversation about her predicament. See Tr. 316 (testimony of Dr. Lenore Walker) (stating that forced notification in dysfunctional families is likely to sever communication patterns and increase the risk of violence); H.L. v. Matheson, 450 U.S. at  446 (MARSHALL, J., dissenting). Forced notification in such situations would amount to punishing the daughter for the lack of a stable and communicative family environment, when the blame for that situation lies principally, if not entirely, with the parents. Parental notification in the less-than-ideal family, therefore, would not lead to an informed decision by the minor. 7</w:t>
      </w:r>
    </w:p>
    <w:p w:rsidR="00A31137" w:rsidRPr="00A31137" w:rsidRDefault="00A31137" w:rsidP="00A31137">
      <w:r w:rsidRPr="00A31137">
        <w:t>1990, Hodgson v. Minnesota, 497 U.S. 470</w:t>
      </w:r>
    </w:p>
    <w:p w:rsidR="00A31137" w:rsidRPr="00A31137" w:rsidRDefault="00A31137" w:rsidP="00A31137">
      <w:r w:rsidRPr="00A31137">
        <w:t>The State also claims that the statute serves the interest of protecting parents' independent right "to shape the[ir] child[ren]'s values and lifestyle[s]" and "to determine and strive for what they believe to be best for their children." Brief for Petitioners in No. 88-1309, p. 26. If this is so, the statute is surely under-inclusive, as it does not require parental notification where the minor seeks medical treatment for pregnancy, venereal disease, or alcohol and other drug abuse. See Minn.Stat. § 144.343(1) (1988). Are we to believe that [497 U.S. 471] Minnesota parents have no interest in their children's wellbeing in these other contexts?</w:t>
      </w:r>
    </w:p>
    <w:p w:rsidR="00A31137" w:rsidRPr="00A31137" w:rsidRDefault="00A31137" w:rsidP="00A31137">
      <w:r w:rsidRPr="00A31137">
        <w:t>1990, Hodgson v. Minnesota, 497 U.S. 471</w:t>
      </w:r>
    </w:p>
    <w:p w:rsidR="00A31137" w:rsidRPr="00A31137" w:rsidRDefault="00A31137" w:rsidP="00A31137">
      <w:r w:rsidRPr="00A31137">
        <w:t>In any event, parents' right to direct their children's upbringing is a right against state interference with family matters. See, e.g., Prince v. Massachusetts, 321 U.S. 158,  166 (1944) (noting that this Court's decisions "have respected the private realm of family life which the state cannot enter"). See also Wisconsin v. Yoder, 406 U.S. 205,  232 (1972); Pierce v. Society of Sisters, 268 U.S. 510, 534-535 (1925). Yet, ironically, the State's requirements here affirmatively interfere in family life by trying to force families to conform to the State's archetype of the ideal family. Cf. Moore v. East Cleveland, 431 U.S. 494,  506 (1977) ("[T]he Constitution prevents [the state] from standardizing its children—and its adults—by forcing all to live in certain narrowly defined family patterns"); ante at  452. It is a strange constitutional alchemy that would transform a limitation on state power into a justification for governmental intrusion into family interactions. Moreover, as a practical matter, "state intervention is hardly likely to resurrect parental authority that the parents themselves are unable to preserve." H.L. v. Matheson, supra, 450 U.S. at  448 (MARSHALL, J., dissenting). See also Planned Parenthood of Central Mo., 428 U.S. at  75 (finding it unlikely that parental veto power over abortion "will enhance parental authority or control where the minor and the nonconsenting parent are so fundamentally in conflict and the very existence of the pregnancy already has fractured the family structure").</w:t>
      </w:r>
    </w:p>
    <w:p w:rsidR="00A31137" w:rsidRPr="00A31137" w:rsidRDefault="00A31137" w:rsidP="00A31137">
      <w:r w:rsidRPr="00A31137">
        <w:t>1990, Hodgson v. Minnesota, 497 U.S. 471</w:t>
      </w:r>
    </w:p>
    <w:p w:rsidR="00A31137" w:rsidRPr="00A31137" w:rsidRDefault="00A31137" w:rsidP="00A31137">
      <w:r w:rsidRPr="00A31137">
        <w:t>Even if the State's interest is construed as merely the facilitation of the exercise of parental authority, the notification and delay requirements are not narrowly drawn. Parental authority is not limitless. Certainly where parental involvement threatens to harm the child, the parent's authority must yield. Prince v. Massachusetts, supra, 321 U.S. at 169-170; H.L. v. Matheson, supra, 450 U.S. at  449 (MARSHALL, J., dissenting). Yet the notification and delay requirements facilitate [497 U.S. 472] the exercise of parental authority even where it may physically or psychologically harm the child. See supra at  470.</w:t>
      </w:r>
    </w:p>
    <w:p w:rsidR="00A31137" w:rsidRPr="00A31137" w:rsidRDefault="00A31137" w:rsidP="00A31137">
      <w:r w:rsidRPr="00A31137">
        <w:t>1990, Hodgson v. Minnesota, 497 U.S. 472</w:t>
      </w:r>
    </w:p>
    <w:p w:rsidR="00A31137" w:rsidRPr="00A31137" w:rsidRDefault="00A31137" w:rsidP="00A31137">
      <w:r w:rsidRPr="00A31137">
        <w:t>Furthermore, the exercise of parental authority in some instances will take the form of obstructing the minor's decision to have an abortion. A parent who objects to the abortion, once notified, can exert strong pressure on the minor—in the form of stern disapproval, withdrawal of financial support, or physical or emotional abuse—to block her from getting an abortion. See Bellotti II, 443 U.S. at  647 (plurality opinion) ("[M]any parents hold strong views on the subject of abortion, and young pregnant minors, especially those living at home, are particularly vulnerable to their parents' efforts to obstruct…an abortion"). See also H.L. v. Matheson, 450 U.S. at 438-439 (MARSHALL, J., dissenting). In such circumstances, the notification requirement becomes, in effect, a consent requirement. As discussed below, infra at  473, the State may not permit any person, including a parent, to veto a woman's decision to terminate her pregnancy.</w:t>
      </w:r>
    </w:p>
    <w:p w:rsidR="00A31137" w:rsidRPr="00A31137" w:rsidRDefault="00A31137" w:rsidP="00A31137">
      <w:r w:rsidRPr="00A31137">
        <w:t>1990, Hodgson v. Minnesota, 497 U.S. 472</w:t>
      </w:r>
    </w:p>
    <w:p w:rsidR="00A31137" w:rsidRPr="00A31137" w:rsidRDefault="00A31137" w:rsidP="00A31137">
      <w:r w:rsidRPr="00A31137">
        <w:t>Because the notification and delay requirements effectively give parents the opportunity to exercise an unconstitutional veto in some situations, those requirements are not narrowly tailored to the State's interest in facilitating legitimate exercises of parental authority.</w:t>
      </w:r>
    </w:p>
    <w:p w:rsidR="00A31137" w:rsidRPr="00A31137" w:rsidRDefault="00A31137" w:rsidP="00A31137">
      <w:r w:rsidRPr="00A31137">
        <w:t>III</w:t>
      </w:r>
    </w:p>
    <w:p w:rsidR="00A31137" w:rsidRPr="00A31137" w:rsidRDefault="00A31137" w:rsidP="00A31137">
      <w:r w:rsidRPr="00A31137">
        <w:t>1990, Hodgson v. Minnesota, 497 U.S. 472</w:t>
      </w:r>
    </w:p>
    <w:p w:rsidR="00A31137" w:rsidRPr="00A31137" w:rsidRDefault="00A31137" w:rsidP="00A31137">
      <w:r w:rsidRPr="00A31137">
        <w:t>The parental notification and 48-hour delay requirements, then, do not satisfy the strict scrutiny applicable to laws restricting a woman's constitutional right to have an abortion. The judicial bypass procedure cannot salvage those requirements because that procedure itself is unconstitutional.</w:t>
      </w:r>
    </w:p>
    <w:p w:rsidR="00A31137" w:rsidRPr="00A31137" w:rsidRDefault="00A31137" w:rsidP="00A31137">
      <w:r w:rsidRPr="00A31137">
        <w:t>A</w:t>
      </w:r>
    </w:p>
    <w:p w:rsidR="00A31137" w:rsidRPr="00A31137" w:rsidRDefault="00A31137" w:rsidP="00A31137">
      <w:r w:rsidRPr="00A31137">
        <w:t>1990, Hodgson v. Minnesota, 497 U.S. 472</w:t>
      </w:r>
    </w:p>
    <w:p w:rsidR="00A31137" w:rsidRPr="00A31137" w:rsidRDefault="00A31137" w:rsidP="00A31137">
      <w:r w:rsidRPr="00A31137">
        <w:t>The State argues that the bypass procedure saves the notification and delay requirements because it provides an alternative way to obtain a legal abortion for minors who would be harmed by those requirements. This Court has upheld a [497 U.S. 473] one-parent consent requirement where the State provided an alternative judicial procedure</w:t>
      </w:r>
    </w:p>
    <w:p w:rsidR="00A31137" w:rsidRPr="00A31137" w:rsidRDefault="00A31137" w:rsidP="00A31137">
      <w:r w:rsidRPr="00A31137">
        <w:t>1990, Hodgson v. Minnesota, 497 U.S. 473</w:t>
      </w:r>
    </w:p>
    <w:p w:rsidR="00A31137" w:rsidRPr="00A31137" w:rsidRDefault="00A31137" w:rsidP="00A31137">
      <w:r w:rsidRPr="00A31137">
        <w:t>"whereby a pregnant minor [could] demonstrate that she [was] sufficiently mature to make the abortion decision herself or that, despite her immaturity, an abortion would be in her best interests."</w:t>
      </w:r>
    </w:p>
    <w:p w:rsidR="00A31137" w:rsidRPr="00A31137" w:rsidRDefault="00A31137" w:rsidP="00A31137">
      <w:r w:rsidRPr="00A31137">
        <w:t>1990, Hodgson v. Minnesota, 497 U.S. 473</w:t>
      </w:r>
    </w:p>
    <w:p w:rsidR="00A31137" w:rsidRPr="00A31137" w:rsidRDefault="00A31137" w:rsidP="00A31137">
      <w:r w:rsidRPr="00A31137">
        <w:t>Planned Parenthood Assn. of Kansas City, Inc. v. Ashcroft, 462 U.S. 476,  491 (1983) (opinion of Powell, J.) (quoting Akron Center for Reproductive Health, 462 U.S. at 439-440).</w:t>
      </w:r>
    </w:p>
    <w:p w:rsidR="00A31137" w:rsidRPr="00A31137" w:rsidRDefault="00A31137" w:rsidP="00A31137">
      <w:r w:rsidRPr="00A31137">
        <w:t>1990, Hodgson v. Minnesota, 497 U.S. 473</w:t>
      </w:r>
    </w:p>
    <w:p w:rsidR="00A31137" w:rsidRPr="00A31137" w:rsidRDefault="00A31137" w:rsidP="00A31137">
      <w:r w:rsidRPr="00A31137">
        <w:t>I continue to believe, however, that a judicial bypass procedure of this sort is itself unconstitutional because it effectively gives a judge "an absolute veto over the decision of the physician and his patient." Planned Parenthood Assn. of Kansas City, supra, 462 U.S. at  504 (BLACKMUN, J., concurring in part and dissenting in part); see also Bellotti II, 443 U.S. at  655 (STEVENS, J., concurring in judgment) ("The provision of an absolute veto to a judge…is to me particularly troubling…. It is inherent in the right to make the abortion decision that the right may be exercised without public scrutiny and in defiance of the contrary opinion of the sovereign or other third parties") (footnote omitted); Planned Parenthood of Central Mo., supra, 428 U.S. at  74 ("[T]he State does not have the constitutional authority to give a third party an absolute, and possibly arbitrary, veto over the decision of the physician and his patient to terminate the patient's pregnancy, regardless of the reason for withholding the consent"). No person may veto any minor's decision, made in consultation with her physician, to terminate her pregnancy. An "immature" minor has no less right to make decisions regarding her own body than a mature adult.</w:t>
      </w:r>
    </w:p>
    <w:p w:rsidR="00A31137" w:rsidRPr="00A31137" w:rsidRDefault="00A31137" w:rsidP="00A31137">
      <w:r w:rsidRPr="00A31137">
        <w:t>1990, Hodgson v. Minnesota, 497 U.S. 473</w:t>
      </w:r>
    </w:p>
    <w:p w:rsidR="00A31137" w:rsidRPr="00A31137" w:rsidRDefault="00A31137" w:rsidP="00A31137">
      <w:r w:rsidRPr="00A31137">
        <w:t>Minnesota's bypass provision allows a judge to authorize an abortion if he determines either that a woman is sufficiently mature to make the decision on her own or, if she is not sufficiently mature, that an abortion without parental notification would serve her best interests. Minn.Stat. § 144.343(6) (1988). Of course, if a judge refuses to authorize [497 U.S. 474] an abortion, a young woman can then reevaluate whether she wants to notify a parent. But many women will carry the fetus to term rather than notify a parent. See supra at 466-467. Other women may decide to inform a parent, but then confront parental pressure or abuse so severe as to obstruct the abortion. For these women, the judge's refusal to authorize an abortion effectively constitutes an absolute veto.</w:t>
      </w:r>
    </w:p>
    <w:p w:rsidR="00A31137" w:rsidRPr="00A31137" w:rsidRDefault="00A31137" w:rsidP="00A31137">
      <w:r w:rsidRPr="00A31137">
        <w:t>1990, Hodgson v. Minnesota, 497 U.S. 474</w:t>
      </w:r>
    </w:p>
    <w:p w:rsidR="00A31137" w:rsidRPr="00A31137" w:rsidRDefault="00A31137" w:rsidP="00A31137">
      <w:r w:rsidRPr="00A31137">
        <w:t>The constitutional defects in any provision allowing someone to veto a woman's abortion decision are exacerbated by the vagueness of the standards contained in this statute. The statute gives no guidance on how a judge is to determine whether a minor is sufficiently "mature" and "capable" to make the decision on her own. See Minn.Stat. § 144.343(6)(c)(i) (1988) (judge shall authorize abortion if he "determines that the pregnant woman is mature and capable of giving informed consent to the proposed abortion"). Cf. Lewis, 42 American Psychologist, at 84, 87 (noting the absence of a judicial standard for assessing maturity). The statute similarly is silent as to how a judge is to determine whether an abortion without parental notification would serve an immature minor's "best interests." § 144.343(6)(c)(i) (judge shall authorize abortion for immature minor without notification "if said judge concludes that the pregnant woman's best interests would be served thereby"). Is the judge expected to know more about the woman's medical needs or psychological makeup than her doctor? Should he consider the woman's financial and emotional status to determine the quality of life the woman and her future child would enjoy in this world? Neither the record nor the Court answers such questions. As Justice STEVENS wrote in Bellotti II, the best interest standard</w:t>
      </w:r>
    </w:p>
    <w:p w:rsidR="00A31137" w:rsidRPr="00A31137" w:rsidRDefault="00A31137" w:rsidP="00A31137">
      <w:r w:rsidRPr="00A31137">
        <w:t>1990, Hodgson v. Minnesota, 497 U.S. 474</w:t>
      </w:r>
    </w:p>
    <w:p w:rsidR="00A31137" w:rsidRPr="00A31137" w:rsidRDefault="00A31137" w:rsidP="00A31137">
      <w:r w:rsidRPr="00A31137">
        <w:t>provides little real guidance to the judge, and his decision must necessarily reflect personal and societal values and mores whose enforcement upon the minor—particularly when contrary to her own informed and reasonable decision—is fundamentally at odds with privacy interests underlying the constitutional protection [497 U.S. 475] afforded to her decision.</w:t>
      </w:r>
    </w:p>
    <w:p w:rsidR="00A31137" w:rsidRPr="00A31137" w:rsidRDefault="00A31137" w:rsidP="00A31137">
      <w:r w:rsidRPr="00A31137">
        <w:t>1990, Hodgson v. Minnesota, 497 U.S. 475</w:t>
      </w:r>
    </w:p>
    <w:p w:rsidR="00A31137" w:rsidRPr="00A31137" w:rsidRDefault="00A31137" w:rsidP="00A31137">
      <w:r w:rsidRPr="00A31137">
        <w:t>443 U.S. at 655-656 (STEVENS, J., concurring in judgment). It is difficult to conceive of any reason, aside from a judge's personal opposition to abortion, that would justify a finding that an immature woman's best interests would be served by forcing her to endure pregnancy and childbirth against her will.</w:t>
      </w:r>
    </w:p>
    <w:p w:rsidR="00A31137" w:rsidRPr="00A31137" w:rsidRDefault="00A31137" w:rsidP="00A31137">
      <w:r w:rsidRPr="00A31137">
        <w:t>B</w:t>
      </w:r>
    </w:p>
    <w:p w:rsidR="00A31137" w:rsidRPr="00A31137" w:rsidRDefault="00A31137" w:rsidP="00A31137">
      <w:r w:rsidRPr="00A31137">
        <w:t>1990, Hodgson v. Minnesota, 497 U.S. 475</w:t>
      </w:r>
    </w:p>
    <w:p w:rsidR="00A31137" w:rsidRPr="00A31137" w:rsidRDefault="00A31137" w:rsidP="00A31137">
      <w:r w:rsidRPr="00A31137">
        <w:t>Even if I did not believe that a judicial bypass procedure was facially unconstitutional, the experience of Minnesota's procedure in operation demonstrates that the bypass provision before us cannot save the parental notification and delay requirements. This Court has addressed judicial bypass procedures only in the context of facial challenges. See Planned Parenthood Assn. of Kansas City, 462 U.S. at 490-493 (opinion of Powell, J.); Akron Center for Reproductive Health, 462 U.S. at 439-442; Bellotti II, 443 U.S. at 643-644 (plurality opinion). The Court has never considered the actual burdens a particular bypass provision imposes on a woman's right to choose an abortion. Such consideration establishes that, even if judges authorized every abortion sought by petitioning minors, Minnesota's judicial bypass is far too burdensome to remedy an otherwise unconstitutional statute.</w:t>
      </w:r>
    </w:p>
    <w:p w:rsidR="00A31137" w:rsidRPr="00A31137" w:rsidRDefault="00A31137" w:rsidP="00A31137">
      <w:r w:rsidRPr="00A31137">
        <w:t>1990, Hodgson v. Minnesota, 497 U.S. 475</w:t>
      </w:r>
    </w:p>
    <w:p w:rsidR="00A31137" w:rsidRPr="00A31137" w:rsidRDefault="00A31137" w:rsidP="00A31137">
      <w:r w:rsidRPr="00A31137">
        <w:t>The District Court found that the bypass procedure imposed significant burdens on minors. First,</w:t>
      </w:r>
    </w:p>
    <w:p w:rsidR="00A31137" w:rsidRPr="00A31137" w:rsidRDefault="00A31137" w:rsidP="00A31137">
      <w:r w:rsidRPr="00A31137">
        <w:t>1990, Hodgson v. Minnesota, 497 U.S. 475</w:t>
      </w:r>
    </w:p>
    <w:p w:rsidR="00A31137" w:rsidRPr="00A31137" w:rsidRDefault="00A31137" w:rsidP="00A31137">
      <w:r w:rsidRPr="00A31137">
        <w:t>scheduling practices in Minnesota courts typically require minors to wait two or three days between their first contact with the court and the hearing on their petitions. This delay may combine with other factors to result in a delay of a week or more.</w:t>
      </w:r>
    </w:p>
    <w:p w:rsidR="00A31137" w:rsidRPr="00A31137" w:rsidRDefault="00A31137" w:rsidP="00A31137">
      <w:r w:rsidRPr="00A31137">
        <w:t>1990, Hodgson v. Minnesota, 497 U.S. 475</w:t>
      </w:r>
    </w:p>
    <w:p w:rsidR="00A31137" w:rsidRPr="00A31137" w:rsidRDefault="00A31137" w:rsidP="00A31137">
      <w:r w:rsidRPr="00A31137">
        <w:t>648 F.Supp. at [497 U.S. 476] 763. As noted above, supra, at 467-468, a delay of only a few days can significantly increase the health risks to the minor; a week-long delay inevitably does. Furthermore, in several counties in Minnesota, no judge is willing to hear bypass petitions, forcing women in those areas to travel long distances to obtain a hearing. 648 F.Supp. at 763; Donovan, Judging Teenagers: How Minors Fare When They Seek Court-Authorized Abortions, 15 Family Planning Perspectives 259, 264 (1983) (50% of Minnesota minors utilizing bypass were not residents of city in which court was located); Melton, 42 American Psychologist, at 80 ("In Minnesota, where judges in rural counties have often recused themselves from participation in the abortion hearings, minors sometimes have to travel a round-trip of more than 500 miles for the hearing"). The burden of such travel, often requiring an overnight stay in a distant city, is particularly heavy for poor women from rural areas. Furthermore, a young woman's absence from home, school, or work during the time required for such travel and for the hearing itself can jeopardize the woman's confidentiality. See ibid.</w:t>
      </w:r>
    </w:p>
    <w:p w:rsidR="00A31137" w:rsidRPr="00A31137" w:rsidRDefault="00A31137" w:rsidP="00A31137">
      <w:r w:rsidRPr="00A31137">
        <w:t>1990, Hodgson v. Minnesota, 497 U.S. 476</w:t>
      </w:r>
    </w:p>
    <w:p w:rsidR="00A31137" w:rsidRPr="00A31137" w:rsidRDefault="00A31137" w:rsidP="00A31137">
      <w:r w:rsidRPr="00A31137">
        <w:t>The District Court also found that the bypass procedure can be extremely traumatic for young women.</w:t>
      </w:r>
    </w:p>
    <w:p w:rsidR="00A31137" w:rsidRPr="00A31137" w:rsidRDefault="00A31137" w:rsidP="00A31137">
      <w:r w:rsidRPr="00A31137">
        <w:t>1990, Hodgson v. Minnesota, 497 U.S. 476</w:t>
      </w:r>
    </w:p>
    <w:p w:rsidR="00A31137" w:rsidRPr="00A31137" w:rsidRDefault="00A31137" w:rsidP="00A31137">
      <w:r w:rsidRPr="00A31137">
        <w:t>The experience of going to court for a judicial authorization produces fear and tension in many minors. Minors are apprehensive about the prospect of facing an authority figure who holds in his hands the power to veto their decision to proceed without notifying one or both parents. Many minors are angry and resentful at being required to justify their decision before complete strangers. Despite the confidentiality of the proceeding, many minors resent having to reveal intimate details of their personal and family lives to these strangers. Finally, many minors are left feeling guilty and ashamed about their lifestyle and their decision to terminate their pregnancy. Some mature minors and some minors in whose best interests it is to proceed without notifying their parents are so daunted by the judicial proceeding that they forego the bypass option and either notify their parents or carry to term.</w:t>
      </w:r>
    </w:p>
    <w:p w:rsidR="00A31137" w:rsidRPr="00A31137" w:rsidRDefault="00A31137" w:rsidP="00A31137">
      <w:r w:rsidRPr="00A31137">
        <w:t>1990, Hodgson v. Minnesota, 497 U.S. 476</w:t>
      </w:r>
    </w:p>
    <w:p w:rsidR="00A31137" w:rsidRPr="00A31137" w:rsidRDefault="00A31137" w:rsidP="00A31137">
      <w:r w:rsidRPr="00A31137">
        <w:t>Some minors are so upset by the bypass proceeding that they consider it more difficult than the medical procedure itself. Indeed the anxiety resulting from the bypass [497 U.S. 477] proceeding may linger until the time of the medical procedure and thus render the latter more difficult than necessary.</w:t>
      </w:r>
    </w:p>
    <w:p w:rsidR="00A31137" w:rsidRPr="00A31137" w:rsidRDefault="00A31137" w:rsidP="00A31137">
      <w:r w:rsidRPr="00A31137">
        <w:t>1990, Hodgson v. Minnesota, 497 U.S. 477</w:t>
      </w:r>
    </w:p>
    <w:p w:rsidR="00A31137" w:rsidRPr="00A31137" w:rsidRDefault="00A31137" w:rsidP="00A31137">
      <w:r w:rsidRPr="00A31137">
        <w:t>648 F.Supp. at 763-764. 8</w:t>
      </w:r>
    </w:p>
    <w:p w:rsidR="00A31137" w:rsidRPr="00A31137" w:rsidRDefault="00A31137" w:rsidP="00A31137">
      <w:r w:rsidRPr="00A31137">
        <w:t>1990, Hodgson v. Minnesota, 497 U.S. 477</w:t>
      </w:r>
    </w:p>
    <w:p w:rsidR="00A31137" w:rsidRPr="00A31137" w:rsidRDefault="00A31137" w:rsidP="00A31137">
      <w:r w:rsidRPr="00A31137">
        <w:t>Yet, despite the substantial burdens imposed by these proceedings, the bypass is, in effect, a "rubber stamp," id. at 766 (testimony of Honorable William Sweeney); only an extremely small number of petitions are denied, id. at 765. See also Melton, supra, at 80 ("Available research indicates that judicial bypass proceedings are merely pro forma. Although they represent substantial intrusion on minors' privacy and take up significant amounts of court time, there is no evidence that they promote more reasoned decisionmaking or screen out adolescents who may be particularly immature or vulnerable…. The hearings typically last less than 15 minutes…. Despite the complex issues involved (maturity and the best interests of the minor), experts are rarely if ever called to testify"). The judges who have adjudicated over 90% of the bypass petitions between 1981 and 1986 could not identify any positive effects of the bypass procedure. See 648 F.Supp. at 766; ante at 441-442, and n. 29. The large number of women who undergo the bypass process do not receive any sort of counseling from the court—which is not surprising, given the court's limited role and lack of expertise in that area. The bypass process itself thus cannot serve the state interest of promoting informed decisionmaking by all minors. If the State truly were concerned about ensuring [497 U.S. 478] that all minors consult with a knowledgeable and caring adult, it would provide for some form of counseling rather than for a judicial procedure in which a judge merely gives or withholds his consent. 9</w:t>
      </w:r>
    </w:p>
    <w:p w:rsidR="00A31137" w:rsidRPr="00A31137" w:rsidRDefault="00A31137" w:rsidP="00A31137">
      <w:r w:rsidRPr="00A31137">
        <w:t>1990, Hodgson v. Minnesota, 497 U.S. 478</w:t>
      </w:r>
    </w:p>
    <w:p w:rsidR="00A31137" w:rsidRPr="00A31137" w:rsidRDefault="00A31137" w:rsidP="00A31137">
      <w:r w:rsidRPr="00A31137">
        <w:t>Thus, regardless of one's view of the facial validity of a bypass procedure, Minnesota's procedure in practice imposes an excessive burden on young women's right to choose an abortion. Cf. Bellotti II, 443 U.S. at  655 (STEVENS, J., concurring in judgment) ("[T]he need to commence judicial proceedings in order to obtain a legal abortion would impose a burden at least as great as, and probably greater than, that imposed on the minor child by the need to obtain the consent of a parent"). Furthermore, the process does not serve the State's interest of ensuring that minors' decisions are informed. Surely, then, a State could not require that all minor women seeking an abortion obtain judicial approval. 10 The Court's holding that the burdensome bypass procedure saves the State's burdensome notification and delay requirements [497 U.S. 479] thus strikes me as the equivalent of saying that two wrongs make a right. I cannot accept such a novel judicial calculus.</w:t>
      </w:r>
    </w:p>
    <w:p w:rsidR="00A31137" w:rsidRPr="00A31137" w:rsidRDefault="00A31137" w:rsidP="00A31137">
      <w:r w:rsidRPr="00A31137">
        <w:t>IV</w:t>
      </w:r>
    </w:p>
    <w:p w:rsidR="00A31137" w:rsidRPr="00A31137" w:rsidRDefault="00A31137" w:rsidP="00A31137">
      <w:r w:rsidRPr="00A31137">
        <w:t>1990, Hodgson v. Minnesota, 497 U.S. 479</w:t>
      </w:r>
    </w:p>
    <w:p w:rsidR="00A31137" w:rsidRPr="00A31137" w:rsidRDefault="00A31137" w:rsidP="00A31137">
      <w:r w:rsidRPr="00A31137">
        <w:t>A majority of the Court today strikes down an unreasonable and vastly overbroad requirement that a pregnant minor notify both her parents of her decision to obtain an abortion. With that decision I agree. At the same time, though, a different majority holds that a State may require a young woman to notify one or even both parents and then wait 48 hours before having an abortion, as long as the State provides a judicial bypass procedure. From that decision I vehemently dissent. This scheme forces a young woman in an already dire situation to choose between two fundamentally unacceptable alternatives: notifying a possibly dictatorial or even abusive parent and justifying her profoundly personal decision in an intimidating judicial proceeding to a black-robed stranger. For such a woman, this dilemma is more likely to result in trauma and pain than in an informed and voluntary decision.</w:t>
      </w:r>
    </w:p>
    <w:p w:rsidR="00A31137" w:rsidRPr="00A31137" w:rsidRDefault="00A31137" w:rsidP="00A31137">
      <w:r w:rsidRPr="00A31137">
        <w:t>SCALIA, J., concurring and dissenting</w:t>
      </w:r>
    </w:p>
    <w:p w:rsidR="00A31137" w:rsidRPr="00A31137" w:rsidRDefault="00A31137" w:rsidP="00A31137">
      <w:r w:rsidRPr="00A31137">
        <w:t>1990, Hodgson v. Minnesota, 497 U.S. 479</w:t>
      </w:r>
    </w:p>
    <w:p w:rsidR="00A31137" w:rsidRPr="00A31137" w:rsidRDefault="00A31137" w:rsidP="00A31137">
      <w:r w:rsidRPr="00A31137">
        <w:t>Justice SCALIA, concurring in the judgment in part and dissenting in part.</w:t>
      </w:r>
    </w:p>
    <w:p w:rsidR="00A31137" w:rsidRPr="00A31137" w:rsidRDefault="00A31137" w:rsidP="00A31137">
      <w:r w:rsidRPr="00A31137">
        <w:t>1990, Hodgson v. Minnesota, 497 U.S. 479</w:t>
      </w:r>
    </w:p>
    <w:p w:rsidR="00A31137" w:rsidRPr="00A31137" w:rsidRDefault="00A31137" w:rsidP="00A31137">
      <w:r w:rsidRPr="00A31137">
        <w:t>As I understand the various opinions today: One Justice holds that two-parent notification is unconstitutional (at least in the present circumstances) without judicial bypass, but constitutional with bypass, ante at 459-461 (O'CONNOR, J., concurring in part and concurring in judgment); four Justices would hold that two-parent notification is constitutional with or without bypass, post at 488-497 (KENNEDY, J., concurring in judgment in part and dissenting in part); four Justices would hold that two-parent notification is unconstitutional with or without bypass, though the four apply two different standards, ante at 455-458 (opinion of STEVENS, J.), ante at 472-479 (MARSHALL, J., concurring in part and dissenting in part); [497 U.S. 480] six Justices hold that one-parent notification with bypass is constitutional, though for two different sets of reasons, Ohio v. Akron Center for Reproductive Health, post, at 510-517; post at 522-524 (STEVENS, J., concurring in judgment); and three Justices would hold that one-parent notification with bypass is unconstitutional, post at 526-527 (BLACKMUN, J., dissenting). One will search in vain the document we are supposed to be construing for text that provides the basis for the argument over these distinctions, and will find in our society's tradition regarding abortion no hint that the distinctions are constitutionally relevant, much less any indication how a constitutional argument about them ought to be resolved. The random and unpredictable results of our consequently unchanneled individual views make it increasingly evident, Term after Term, that the tools for this job are not to be found in the lawyer's—and hence not in the judge's—workbox. I continue to dissent from this enterprise of devising an Abortion Code, and from the illusion that we have authority to do so.</w:t>
      </w:r>
    </w:p>
    <w:p w:rsidR="00A31137" w:rsidRPr="00A31137" w:rsidRDefault="00A31137" w:rsidP="00A31137">
      <w:r w:rsidRPr="00A31137">
        <w:t>KENNEDY, J., concurring and dissenting</w:t>
      </w:r>
    </w:p>
    <w:p w:rsidR="00A31137" w:rsidRPr="00A31137" w:rsidRDefault="00A31137" w:rsidP="00A31137">
      <w:r w:rsidRPr="00A31137">
        <w:t>1990, Hodgson v. Minnesota, 497 U.S. 480</w:t>
      </w:r>
    </w:p>
    <w:p w:rsidR="00A31137" w:rsidRPr="00A31137" w:rsidRDefault="00A31137" w:rsidP="00A31137">
      <w:r w:rsidRPr="00A31137">
        <w:t>Justice KENNEDY, with whom THE CHIEF JUSTICE, Justice WHITE, and Justice SCALIA join, concurring in the judgment in part and dissenting in part.</w:t>
      </w:r>
    </w:p>
    <w:p w:rsidR="00A31137" w:rsidRPr="00A31137" w:rsidRDefault="00A31137" w:rsidP="00A31137">
      <w:r w:rsidRPr="00A31137">
        <w:t>1990, Hodgson v. Minnesota, 497 U.S. 480</w:t>
      </w:r>
    </w:p>
    <w:p w:rsidR="00A31137" w:rsidRPr="00A31137" w:rsidRDefault="00A31137" w:rsidP="00A31137">
      <w:r w:rsidRPr="00A31137">
        <w:t>"There can be little doubt that the State furthers a constitutionally permissible end by encouraging an unmarried pregnant minor to seek the help and advice of her parents in making the very important decision whether or not to bear a child. That is a grave decision, and a girl of tender years, under emotional stress, may be ill-equipped to make it without mature advice and emotional support."</w:t>
      </w:r>
    </w:p>
    <w:p w:rsidR="00A31137" w:rsidRPr="00A31137" w:rsidRDefault="00A31137" w:rsidP="00A31137">
      <w:r w:rsidRPr="00A31137">
        <w:t>1990, Hodgson v. Minnesota, 497 U.S. 480</w:t>
      </w:r>
    </w:p>
    <w:p w:rsidR="00A31137" w:rsidRPr="00A31137" w:rsidRDefault="00A31137" w:rsidP="00A31137">
      <w:r w:rsidRPr="00A31137">
        <w:t>Bellotti v. Baird (Bellotti II), 443 U.S. 622, 640-641 (1979) (plurality opinion) (quoting Planned Parenthood of Central Missouri v. Danforth, 428 U.S. 52,  91 (1976) (Stewart, J., concurring)); see also H.L. v. Matheson, 450 U.S. 398, 409-411 (1981); id. at 422-423 (STEVENS, J., concurring in judgment); Danforth, supra, 428 U.S. at 94-95 (WHITE, J., concurring in part and dissenting in part); id. at 102-103 (STEVENS, J., concurring in [497 U.S. 481] part and dissenting in part). Today the Court holds that a statute requiring a minor to notify both parents that she plans to have an abortion is not a permissible means of furthering the interest described with such specificity in Bellotti II. This conclusion, which no doubt will come as a surprise to most parents, is incompatible with our constitutional tradition and any acceptable notion of judicial review of legislative enactments. I dissent from the portion of the Court's judgment affirming the Court of Appeals' conclusion that Minnesota two-parent notice statute is unconstitutional.</w:t>
      </w:r>
    </w:p>
    <w:p w:rsidR="00A31137" w:rsidRPr="00A31137" w:rsidRDefault="00A31137" w:rsidP="00A31137">
      <w:r w:rsidRPr="00A31137">
        <w:t>1990, Hodgson v. Minnesota, 497 U.S. 481</w:t>
      </w:r>
    </w:p>
    <w:p w:rsidR="00A31137" w:rsidRPr="00A31137" w:rsidRDefault="00A31137" w:rsidP="00A31137">
      <w:r w:rsidRPr="00A31137">
        <w:t>The Minnesota statute also provides, however, that if the two-parent notice requirement is invalidated, the same notice requirement is effective unless the pregnant minor obtains a court order permitting the abortion to proceed. Minn.Stat. § 144.343(6) (1988). The Court of Appeals sustained this portion of the statute, in effect a two-parent notice requirement with a judicial bypass. Five Members of the Court, the four who join this opinion and Justice O'CONNOR, agree with the Court of Appeals' decision on this aspect of the statute. As announced by Justice STEVENS, who dissents from this part of the Court's decision, the Court of Appeals' judgment on this portion of the statute is therefore affirmed.</w:t>
      </w:r>
    </w:p>
    <w:p w:rsidR="00A31137" w:rsidRPr="00A31137" w:rsidRDefault="00A31137" w:rsidP="00A31137">
      <w:r w:rsidRPr="00A31137">
        <w:t>I</w:t>
      </w:r>
    </w:p>
    <w:p w:rsidR="00A31137" w:rsidRPr="00A31137" w:rsidRDefault="00A31137" w:rsidP="00A31137">
      <w:r w:rsidRPr="00A31137">
        <w:t>1990, Hodgson v. Minnesota, 497 U.S. 481</w:t>
      </w:r>
    </w:p>
    <w:p w:rsidR="00A31137" w:rsidRPr="00A31137" w:rsidRDefault="00A31137" w:rsidP="00A31137">
      <w:r w:rsidRPr="00A31137">
        <w:t>The provisions of the statute before us are straightforward. In essence, the statute provides that, before a physician in Minnesota may perform an abortion on an unemancipated minor, the physician or the physician's agent must notify both of the minor's parents, if each one can be located through reasonable effort, either personally or by certified mail at least 48 hours before the abortion is performed. Minn. Stat. §§ 144.343(2)-(3) (1988). Notification is not required if the abortion is necessary to prevent the minor's death; or if both parents have consented to the abortion; or if the minor declares that she is the victim of sexual abuse, neglect, or physical abuse. § 144.343(4). Failure to comply [497 U.S. 482] with these requirements is a misdemeanor, and the statute authorizes a civil action against the noncomplying physician by the minor's parents. § 144.343(5).</w:t>
      </w:r>
    </w:p>
    <w:p w:rsidR="00A31137" w:rsidRPr="00A31137" w:rsidRDefault="00A31137" w:rsidP="00A31137">
      <w:r w:rsidRPr="00A31137">
        <w:t>1990, Hodgson v. Minnesota, 497 U.S. 482</w:t>
      </w:r>
    </w:p>
    <w:p w:rsidR="00A31137" w:rsidRPr="00A31137" w:rsidRDefault="00A31137" w:rsidP="00A31137">
      <w:r w:rsidRPr="00A31137">
        <w:t>The statute also provides that, if a court enjoins the notice requirement of subdivision 2, parental notice under the subdivision shall still be required unless the minor obtains a court order dispensing with it. Under the statute, the court is required to authorize the physician to perform the abortion without parental notice if the court determines that the minor is "mature and capable of giving informed consent to the proposed abortion" or that "the performance of an abortion upon her without notification of her parents, guardian, or conservator would be in her best interests." § 144.343(6).</w:t>
      </w:r>
    </w:p>
    <w:p w:rsidR="00A31137" w:rsidRPr="00A31137" w:rsidRDefault="00A31137" w:rsidP="00A31137">
      <w:r w:rsidRPr="00A31137">
        <w:t>II</w:t>
      </w:r>
    </w:p>
    <w:p w:rsidR="00A31137" w:rsidRPr="00A31137" w:rsidRDefault="00A31137" w:rsidP="00A31137">
      <w:r w:rsidRPr="00A31137">
        <w:t>1990, Hodgson v. Minnesota, 497 U.S. 482</w:t>
      </w:r>
    </w:p>
    <w:p w:rsidR="00A31137" w:rsidRPr="00A31137" w:rsidRDefault="00A31137" w:rsidP="00A31137">
      <w:r w:rsidRPr="00A31137">
        <w:t>The State identifies two interests served by the law. The first is the State's interest in the welfare of pregnant minors. The second is the State's interest in acknowledging and promoting the role of parents in the care and upbringing of their children. Justice STEVENS, writing for two Members of the Court, acknowledges the legitimacy of the first interest, but decides that the second interest is somehow illegitimate, at least as to whichever parent a minor chooses not to notify. I cannot agree that the Constitution prevents a State from keeping both parents informed of the medical condition or medical treatment of their child under the terms and conditions of this statute.</w:t>
      </w:r>
    </w:p>
    <w:p w:rsidR="00A31137" w:rsidRPr="00A31137" w:rsidRDefault="00A31137" w:rsidP="00A31137">
      <w:r w:rsidRPr="00A31137">
        <w:t>1990, Hodgson v. Minnesota, 497 U.S. 482</w:t>
      </w:r>
    </w:p>
    <w:p w:rsidR="00A31137" w:rsidRPr="00A31137" w:rsidRDefault="00A31137" w:rsidP="00A31137">
      <w:r w:rsidRPr="00A31137">
        <w:t>The welfare of the child has always been the central concern of laws with regard to minors. The law does not give to children many rights given to adults, and provides, in general, that children can exercise the rights they do have only through and with parental consent. Parham v. J.R., 442 U.S. 584, 621 (1979) (STEWART, J., concurring in judgment). Legislatures historically have acted on the basis of the qualitative differences in maturity between children and adults, see Schall v. Martin, 467 U.S. 253, 265-267 (1984); Thompson [497 U.S. 483] v. Oklahoma, 487 U.S. 815, 853-854 (1988) (O'CONNOR, J., concurring in judgment) (collecting cases); Stanford v. Kentucky, 492 U.S. 361, 384 (1989) (BRENNAN, J., dissenting), and not without reason. Age is a rough but fair approximation of maturity and judgment, and a State has an interest in seeing that a child, when confronted with serious decisions such as whether or not to abort a pregnancy, has the assistance of her parents in making the choice. If anything is settled by our previous cases dealing with parental notification and consent laws, it is this point. See Bellotti II, 443 U.S. at 640-641; Matheson, 450 U.S. at 409-411; id. at 422-423 (STEVENS, J., concurring in judgment).</w:t>
      </w:r>
    </w:p>
    <w:p w:rsidR="00A31137" w:rsidRPr="00A31137" w:rsidRDefault="00A31137" w:rsidP="00A31137">
      <w:r w:rsidRPr="00A31137">
        <w:t>1990, Hodgson v. Minnesota, 497 U.S. 483</w:t>
      </w:r>
    </w:p>
    <w:p w:rsidR="00A31137" w:rsidRPr="00A31137" w:rsidRDefault="00A31137" w:rsidP="00A31137">
      <w:r w:rsidRPr="00A31137">
        <w:t xml:space="preserve">Protection of the right of each parent to participate in the upbringing of her or his own children is a further discrete interest that the State recognizes by the statute. The common law historically has given recognition to the right of parents, not merely to be notified of their children's actions, but to speak and act on their behalf. Absent a showing of neglect or abuse, a father "possessed the paramount right to the custody and control of his minor children, and to superintend their education and nurture." J. Schouler, Law of Domestic Relations 337 (3d. ed. 1882); see also 1 W. Blackstone, Commentaries *452-*453; 2 J. Kent, Commentaries on American Law *203-*206; G. Field, Legal Relations of Infants 63-80 (1888). In this century, the common law of most States has abandoned the idea that parental rights are vested solely in fathers, with mothers being viewed merely as agents of their husbands, cf. ante at  446, n. 32; it is now the case that each parent has parental rights and parental responsibilities. See W. Keeton, D. Dobbs, R. Keeton, &amp; D. Owen, Prosser and Keeton on the Law of Torts, ch. 4, § 18, p. 115 (5th ed. 1984). Limitations have emerged on the prerogatives of parents to act contrary to the best interests of the child with respect to matters such as compulsory schooling and child labor. As a general matter, however, it remains [497 U.S. 484] </w:t>
      </w:r>
    </w:p>
    <w:p w:rsidR="00A31137" w:rsidRPr="00A31137" w:rsidRDefault="00A31137" w:rsidP="00A31137">
      <w:r w:rsidRPr="00A31137">
        <w:t>1990, Hodgson v. Minnesota, 497 U.S. 484</w:t>
      </w:r>
    </w:p>
    <w:p w:rsidR="00A31137" w:rsidRPr="00A31137" w:rsidRDefault="00A31137" w:rsidP="00A31137">
      <w:r w:rsidRPr="00A31137">
        <w:t>cardinal with us that the custody, care and nurture of the child reside first in the parents, whose primary function and freedom include preparation for obligations the state can neither supply nor hinder.</w:t>
      </w:r>
    </w:p>
    <w:p w:rsidR="00A31137" w:rsidRPr="00A31137" w:rsidRDefault="00A31137" w:rsidP="00A31137">
      <w:r w:rsidRPr="00A31137">
        <w:t>1990, Hodgson v. Minnesota, 497 U.S. 484</w:t>
      </w:r>
    </w:p>
    <w:p w:rsidR="00A31137" w:rsidRPr="00A31137" w:rsidRDefault="00A31137" w:rsidP="00A31137">
      <w:r w:rsidRPr="00A31137">
        <w:t>Prince v. Massachusetts, 321 U.S. 158,  166 (1944).</w:t>
      </w:r>
    </w:p>
    <w:p w:rsidR="00A31137" w:rsidRPr="00A31137" w:rsidRDefault="00A31137" w:rsidP="00A31137">
      <w:r w:rsidRPr="00A31137">
        <w:t>1990, Hodgson v. Minnesota, 497 U.S. 484</w:t>
      </w:r>
    </w:p>
    <w:p w:rsidR="00A31137" w:rsidRPr="00A31137" w:rsidRDefault="00A31137" w:rsidP="00A31137">
      <w:r w:rsidRPr="00A31137">
        <w:t>The history and culture of Western civilization reflect a strong tradition of parental concern for the nurture and upbringing of their children. This primary role of the parents in the upbringing of their children is now established beyond debate as an enduring American tradition.</w:t>
      </w:r>
    </w:p>
    <w:p w:rsidR="00A31137" w:rsidRPr="00A31137" w:rsidRDefault="00A31137" w:rsidP="00A31137">
      <w:r w:rsidRPr="00A31137">
        <w:t>1990, Hodgson v. Minnesota, 497 U.S. 484</w:t>
      </w:r>
    </w:p>
    <w:p w:rsidR="00A31137" w:rsidRPr="00A31137" w:rsidRDefault="00A31137" w:rsidP="00A31137">
      <w:r w:rsidRPr="00A31137">
        <w:t>Wisconsin v. Yoder, 406 U.S. 205,  232 (1972); see also Pierce v. Society of Sisters, 268 U.S. 510,  535 (1925).</w:t>
      </w:r>
    </w:p>
    <w:p w:rsidR="00A31137" w:rsidRPr="00A31137" w:rsidRDefault="00A31137" w:rsidP="00A31137">
      <w:r w:rsidRPr="00A31137">
        <w:t>1990, Hodgson v. Minnesota, 497 U.S. 484</w:t>
      </w:r>
    </w:p>
    <w:p w:rsidR="00A31137" w:rsidRPr="00A31137" w:rsidRDefault="00A31137" w:rsidP="00A31137">
      <w:r w:rsidRPr="00A31137">
        <w:t>A State pursues a legitimate end under the Constitution when it attempts to foster and preserve the parent-child relation by giving all parents the opportunity to participate in the care and nurture of their children. We have held that parents have a liberty interest, protected by the Constitution, in having a reasonable opportunity to develop close relations with their children. See Santosky v. Kramer, 455 U.S. 745, 753-754 (1982); Caban v. Mohammed, 441 U.S. 380 (1979); Stanley v. Illinois, 405 U.S. 645, 651-652 (1972). We have recognized, of course, that there are limits to the constitutional right of parents to have custody of or to participate in decisions affecting their children. If a parent has relinquished the opportunity to develop a relation with the child, and his or her only link to the child is biological, the Constitution does not require a State to allow parental participation. See Lehr v. Robertson, 463 U.S. 248, 261-265 (1983); Quilloin v. Walcott, 434 U.S. 246, 254-256 (1978). But the fact that the Constitution does not protect the parent-child relationship in all circumstances does not mean that the State cannot attempt to foster parental participation where the Constitution does not demand that it do so. A State may seek to protect and facilitate the parent-child bond on the assumption that parents will act in their child's best interests. See Parham v. J.R., supra, at 602-603; Ginsberg v. New York, 390 U.S. 629,  639 (1968). Indeed, [497 U.S. 485] we have held that a State cannot terminate parental rights based upon a presumption that a class of parents is unfit without affording individual parents an opportunity to rebut the presumption. See Stanley, supra, at 654-658; Santosky, supra, 455 U.S. at 753 ("The fundamental liberty interest of natural parents in the care, custody, and management of their child does not evaporate simply because they have not been model parents…"). If a State cannot legislate on the broad assumption that classes of parents are unfit and undeserving of parental rights without affording an opportunity to rebut the assumption, it is at least permissible for a State to legislate on the premise that parents, as a general rule, are interested in their children's welfare and will act in accord with it.</w:t>
      </w:r>
    </w:p>
    <w:p w:rsidR="00A31137" w:rsidRPr="00A31137" w:rsidRDefault="00A31137" w:rsidP="00A31137">
      <w:r w:rsidRPr="00A31137">
        <w:t>1990, Hodgson v. Minnesota, 497 U.S. 485</w:t>
      </w:r>
    </w:p>
    <w:p w:rsidR="00A31137" w:rsidRPr="00A31137" w:rsidRDefault="00A31137" w:rsidP="00A31137">
      <w:r w:rsidRPr="00A31137">
        <w:t>The Court's descriptions of the State's interests in this case are caricatures, both of the law and of our most revered institutions. The Court labels these interests as ones in "standardizing its children and adults,".and in ensuring that each family, to the extent possible, "conform to some state-designed ideal." Ante at  452; see also ante at  471 (MARSHALL, J., concurring in part, concurring in judgment in part, and dissenting in part) (accusing Minnesota of "trying to force families to conform to the State's archetype of the ideal family"). Minnesota asserts no such purpose, by explicit statement or by any permissible inference. All that Minnesota asserts is an interest in seeing that parents know about a vital decision facing their child. That interest is a valid one without regard to whether the child is living with either one or both parents, or to the attachment between the minor's parents. How the family unit responds to such notice is, for the most part, beyond the State's control. The State would no doubt prefer that all parents, after being notified under the statute, would contact their daughters and assist them in making their decisions with the child's best interests at heart; but it has not, contrary to the Court's intimation, "decreed" communication, nor could it. What [497 U.S. 486] the State can do is make the communication possible by at least informing parents of their daughter's intentions.</w:t>
      </w:r>
    </w:p>
    <w:p w:rsidR="00A31137" w:rsidRPr="00A31137" w:rsidRDefault="00A31137" w:rsidP="00A31137">
      <w:r w:rsidRPr="00A31137">
        <w:t>1990, Hodgson v. Minnesota, 497 U.S. 486</w:t>
      </w:r>
    </w:p>
    <w:p w:rsidR="00A31137" w:rsidRPr="00A31137" w:rsidRDefault="00A31137" w:rsidP="00A31137">
      <w:r w:rsidRPr="00A31137">
        <w:t>Minnesota has done no more than act upon the common-sense proposition that, in assisting their daughter in deciding whether to have an abortion, parents can best fulfill their roles if they have the same information about their own child's medical condition and medical choices as the child's doctor does; and that to deny parents this knowledge is to risk, or perpetuate, estrangement or alienation from the child when she is in the greatest need of parental guidance and support. The Court does the State, and our constitutional tradition, sad disservice by impugning the legitimacy of these elemental objectives.</w:t>
      </w:r>
    </w:p>
    <w:p w:rsidR="00A31137" w:rsidRPr="00A31137" w:rsidRDefault="00A31137" w:rsidP="00A31137">
      <w:r w:rsidRPr="00A31137">
        <w:t>1990, Hodgson v. Minnesota, 497 U.S. 486</w:t>
      </w:r>
    </w:p>
    <w:p w:rsidR="00A31137" w:rsidRPr="00A31137" w:rsidRDefault="00A31137" w:rsidP="00A31137">
      <w:r w:rsidRPr="00A31137">
        <w:t>Given the societal interest that underlies parental notice and consent laws, it comes as no surprise that most States have enacted statutes requiring that, in general, a physician must notify or obtain the consent of at least one of her parents or legal guardian before performing an abortion on a minor. See Wardle, "Time Enough": Webster v. Reproductive Health Services and the Prudent Pace of Justice, 41 Fla.L.Rev. 881, 963-965 (1989) (collecting statutes). Five States, including Minnesota, appear to require, as a general rule, the notification of both parents before a physician may perform an abortion on a minor. See Ark.Code Ann. §§ 20-16-801 through 20-16-808 (Supp. 1989); Idaho Code § 18-610(6) (1987); Tenn.Code Ann. § 39-4-202 (1982); Utah Code Ann. § 76-7-304 (1990). Another six States appear to require, with varying exceptions, the consent of both parents. See Del.Code Ann., Title 24, § 1790(b)(3) (1987); Ill.Rev. Stat., ch. 38, ¶ 81-54(3) (1989); Ky.Rev.Stat.Ann. § 311.732 (Michie 1990); Mass. Gen.Laws § 112, § 12S (1988); Miss.Code. Ann. § 41-41-53 (Supp.1989); N.D.Cent. Code § 14-02.1-03.1 (1981). Whether these statutes are more or less restrictive than the Minnesota statute is not the issue, although I pause to note that, because the Court's decision today turns upon its perception that the law's requirements, [497 U.S. 487] despite its exceptions, are the most "stringent" in the country, see ante at 459 (O'CONNOR, J., concurring in part and concurring in judgment), the Court's decision has no import for the validity of these other statutes. What is important is that Minnesota is not alone in acknowledging the vitality of these governmental interests and adopting laws that, in the legislature's judgment, are best suited to serving them while protecting the minor's welfare.</w:t>
      </w:r>
    </w:p>
    <w:p w:rsidR="00A31137" w:rsidRPr="00A31137" w:rsidRDefault="00A31137" w:rsidP="00A31137">
      <w:r w:rsidRPr="00A31137">
        <w:t>1990, Hodgson v. Minnesota, 497 U.S. 487</w:t>
      </w:r>
    </w:p>
    <w:p w:rsidR="00A31137" w:rsidRPr="00A31137" w:rsidRDefault="00A31137" w:rsidP="00A31137">
      <w:r w:rsidRPr="00A31137">
        <w:t>On a more general level, the current trend among state legislatures is to enact joint custody laws making it the norm for divorced or separated parents to share the legal responsibility and authority for making decisions concerning their children's care, education, religion, and medical treatment. See 2 H. Clark, Law of Domestic Relations in the United States § 20.5 (2d ed. 1987); Folberg, Joint Custody Law—The Second Wave, 23 J.Family L. 1, 14-55 (1984-1985) (collecting statutes). Under Minnesota law, for example, there exists a presumption in divorce proceedings that joint custody, if requested by either or both parents, is in the best interests of the child. See Minn.Stat. § 518.17(2) (Supp.1989). Even if joint custody is not awarded, Minnesota law provides that each parent, unless the court specifically directs otherwise to protect the welfare of a parent or the child,</w:t>
      </w:r>
    </w:p>
    <w:p w:rsidR="00A31137" w:rsidRPr="00A31137" w:rsidRDefault="00A31137" w:rsidP="00A31137">
      <w:r w:rsidRPr="00A31137">
        <w:t>1990, Hodgson v. Minnesota, 497 U.S. 487</w:t>
      </w:r>
    </w:p>
    <w:p w:rsidR="00A31137" w:rsidRPr="00A31137" w:rsidRDefault="00A31137" w:rsidP="00A31137">
      <w:r w:rsidRPr="00A31137">
        <w:t>has the right of access to, and to receive copies of, school, medical, dental, religious training, and other important records and information about the minor children;</w:t>
      </w:r>
    </w:p>
    <w:p w:rsidR="00A31137" w:rsidRPr="00A31137" w:rsidRDefault="00A31137" w:rsidP="00A31137">
      <w:r w:rsidRPr="00A31137">
        <w:t>1990, Hodgson v. Minnesota, 497 U.S. 487</w:t>
      </w:r>
    </w:p>
    <w:p w:rsidR="00A31137" w:rsidRPr="00A31137" w:rsidRDefault="00A31137" w:rsidP="00A31137">
      <w:r w:rsidRPr="00A31137">
        <w:t xml:space="preserve">the responsibility to "keep the other party informed as to the name and address of the school of attendance of the minor children"; the responsibility to "notify the other party of [an accident or serious illness of a minor child], and the name of the health care provider and the place of treatment"; and "the right to reasonable access and telephone contact with the minor children." Minn.Stat. § 518.17(3) (1988). Minnesota's two-parent notification law does no more than apply these general principles to the specific case of abortion. [497 U.S. 488] </w:t>
      </w:r>
    </w:p>
    <w:p w:rsidR="00A31137" w:rsidRPr="00A31137" w:rsidRDefault="00A31137" w:rsidP="00A31137">
      <w:r w:rsidRPr="00A31137">
        <w:t>1990, Hodgson v. Minnesota, 497 U.S. 488</w:t>
      </w:r>
    </w:p>
    <w:p w:rsidR="00A31137" w:rsidRPr="00A31137" w:rsidRDefault="00A31137" w:rsidP="00A31137">
      <w:r w:rsidRPr="00A31137">
        <w:t>Federal law contains similar provisions regulating the health and welfare of children that require the notification or consent of both parents. For example, one condition for obtaining a grant under the Adolescent Family Life Act is that an applicant must provide assurances that it will</w:t>
      </w:r>
    </w:p>
    <w:p w:rsidR="00A31137" w:rsidRPr="00A31137" w:rsidRDefault="00A31137" w:rsidP="00A31137">
      <w:r w:rsidRPr="00A31137">
        <w:t>1990, Hodgson v. Minnesota, 497 U.S. 488</w:t>
      </w:r>
    </w:p>
    <w:p w:rsidR="00A31137" w:rsidRPr="00A31137" w:rsidRDefault="00A31137" w:rsidP="00A31137">
      <w:r w:rsidRPr="00A31137">
        <w:t>notify the parents or guardians of any unemancipated minor requesting services [relating to family planning] from the applicant and…will obtain the permission of such parents or guardians with respect to the provision of such services.</w:t>
      </w:r>
    </w:p>
    <w:p w:rsidR="00A31137" w:rsidRPr="00A31137" w:rsidRDefault="00A31137" w:rsidP="00A31137">
      <w:r w:rsidRPr="00A31137">
        <w:t>1990, Hodgson v. Minnesota, 497 U.S. 488</w:t>
      </w:r>
    </w:p>
    <w:p w:rsidR="00A31137" w:rsidRPr="00A31137" w:rsidRDefault="00A31137" w:rsidP="00A31137">
      <w:r w:rsidRPr="00A31137">
        <w:t>42 U.S.C. § 300z-5(a)(22)(A)(i) (1982 ed.); see § 300z-5(a)(22)(A)(ii) (requiring only notice to parents or guardians if the unemancipated minor is pregnant). See also 42 U.S.C. § 5671(d) (1982 ed., Supp. V) (authorizing funding for certain experimental juvenile drug and alcohol treatment programs if safeguards are established for obtaining the informed consent of the "parents or guardians" of minors); 50 U.S.C.App. § 454(c)(4) (1982 ed.) (permitting induction of 17-year-olds into the Armed Forces with the written consent of his "parents or guardian"); 45 CFR § 46.408 (1989) (requiring consent of both parents before a minor may participate in medical research posing more than a "minimal" risk of harm). With all respect, I submit the Court today errs when it states that Minnesota's two-parent notice law is an "oddity among state and federal consent provisions." Ante at  454.</w:t>
      </w:r>
    </w:p>
    <w:p w:rsidR="00A31137" w:rsidRPr="00A31137" w:rsidRDefault="00A31137" w:rsidP="00A31137">
      <w:r w:rsidRPr="00A31137">
        <w:t>III</w:t>
      </w:r>
    </w:p>
    <w:p w:rsidR="00A31137" w:rsidRPr="00A31137" w:rsidRDefault="00A31137" w:rsidP="00A31137">
      <w:r w:rsidRPr="00A31137">
        <w:t>1990, Hodgson v. Minnesota, 497 U.S. 488</w:t>
      </w:r>
    </w:p>
    <w:p w:rsidR="00A31137" w:rsidRPr="00A31137" w:rsidRDefault="00A31137" w:rsidP="00A31137">
      <w:r w:rsidRPr="00A31137">
        <w:t>At least two Members of the Court concede, as they must, that a State has a legitimate interest in the welfare of the pregnant minor and that, in furtherance of this interest, the State may require the minor to notify, and consult with, one of her parents. See ante at 444-446 (opinion of STEVENS, J.); cf. ante at  469 (MARSHALL, J., concurring in part, concurring in judgment in part, and dissenting in part). The Court nonetheless holds the Minnesota statute unconstitutional because it requires the minor to notify not one parent, but both parents, a requirement that the Court says bears [497 U.S. 489] no reasonable relation to the minor's welfare. See ante at 450-455; cf. ante at 469-472 (MARSHALL, J., concurring in part, concurring in judgment in part, and dissenting in part). The Court also concludes that Minnesota does not have a legitimate interest in facilitating the participation of both parents in the care and upbringing of their children. Given the substantial protection that minors have under Minnesota law generally, and under the statute in question, the judicial bypass provisions of the law are not necessary to its validity. The two-parent notification law enacted by Minnesota is, in my view, valid without the judicial bypass provision of subdivision 6.</w:t>
      </w:r>
    </w:p>
    <w:p w:rsidR="00A31137" w:rsidRPr="00A31137" w:rsidRDefault="00A31137" w:rsidP="00A31137">
      <w:r w:rsidRPr="00A31137">
        <w:t>A</w:t>
      </w:r>
    </w:p>
    <w:p w:rsidR="00A31137" w:rsidRPr="00A31137" w:rsidRDefault="00A31137" w:rsidP="00A31137">
      <w:r w:rsidRPr="00A31137">
        <w:t>1990, Hodgson v. Minnesota, 497 U.S. 489</w:t>
      </w:r>
    </w:p>
    <w:p w:rsidR="00A31137" w:rsidRPr="00A31137" w:rsidRDefault="00A31137" w:rsidP="00A31137">
      <w:r w:rsidRPr="00A31137">
        <w:t>We have been over much of this ground before. It is beyond dispute that in many families, whether the parents are living together or apart, notice to both parents serves the interests of the parents and the minor, and that the State can legislate with this fact in mind. In H.L. v. Matheson, 450 U.S. 398 (1981), we considered the constitutionality of a statute which required a physician, before performing an abortion on a minor, to "'[n]otify, if possible, the [minor's] parents or guardian.'" Id. at  400 (quoting Utah Code Ann. § 76-7-304 (1978)) (emphasis added). We held that the statute, as applied to unmarried, dependent, and immature minors,</w:t>
      </w:r>
    </w:p>
    <w:p w:rsidR="00A31137" w:rsidRPr="00A31137" w:rsidRDefault="00A31137" w:rsidP="00A31137">
      <w:r w:rsidRPr="00A31137">
        <w:t>1990, Hodgson v. Minnesota, 497 U.S. 489</w:t>
      </w:r>
    </w:p>
    <w:p w:rsidR="00A31137" w:rsidRPr="00A31137" w:rsidRDefault="00A31137" w:rsidP="00A31137">
      <w:r w:rsidRPr="00A31137">
        <w:t>plainly serves important state interests, is narrowly drawn to protect only those interests, and does not violate any guarantees of the Constitution.</w:t>
      </w:r>
    </w:p>
    <w:p w:rsidR="00A31137" w:rsidRPr="00A31137" w:rsidRDefault="00A31137" w:rsidP="00A31137">
      <w:r w:rsidRPr="00A31137">
        <w:t>1990, Hodgson v. Minnesota, 497 U.S. 489</w:t>
      </w:r>
    </w:p>
    <w:p w:rsidR="00A31137" w:rsidRPr="00A31137" w:rsidRDefault="00A31137" w:rsidP="00A31137">
      <w:r w:rsidRPr="00A31137">
        <w:t>450 U.S. at  413. Our holding was made with knowledge of the contentions, supported by citations to medical and sociological literature, that are proffered again today for the proposition that notification imposes burdens on minors. See id. at 436-441 (MARSHALL, J., dissenting). We nonetheless rejected arguments that a requirement of parental notification was the equivalent of a requirement of parental consent, id. at 411; that the statute was unconstitutional because it required notification only as to abortions, and not as to other medical [497 U.S. 490] procedures, id. at 412; and that the statute was unconstitutional because it might deter some minors from seeking abortions, id. at  413.</w:t>
      </w:r>
    </w:p>
    <w:p w:rsidR="00A31137" w:rsidRPr="00A31137" w:rsidRDefault="00A31137" w:rsidP="00A31137">
      <w:r w:rsidRPr="00A31137">
        <w:t>1990, Hodgson v. Minnesota, 497 U.S. 490</w:t>
      </w:r>
    </w:p>
    <w:p w:rsidR="00A31137" w:rsidRPr="00A31137" w:rsidRDefault="00A31137" w:rsidP="00A31137">
      <w:r w:rsidRPr="00A31137">
        <w:t>Our decision was based upon the well-accepted premise that we must defer to a reasonable judgment by the state legislature when it determines what is sound public policy. Justice STEVENS's opinion concurring in the Court's judgment relied upon an explicit statement of this principle. Concluding that the Utah statute requiring notification of both parents was valid as to all unmarried minors, both mature and immature, Justice STEVENS reasoned that the State's interest in ensuring that a young woman considering an abortion receive appropriate consultation was "plainly sufficient to support a state legislature's determination that such appropriate consultation should include parental advice." Id. at  423. The Court today departs from this rule. It now suggests that a general requirement that both parents be notified is unconstitutional because of its own conclusion that the law is unnecessary when notice produces favorable results, see ante at  450, and irrational in all of the instances when it produces unfavorable results, see ante at 450-451. In Matheson, Justice STEVENS rejected these same arguments as insufficient to establish that the Utah statute was unconstitutional:</w:t>
      </w:r>
    </w:p>
    <w:p w:rsidR="00A31137" w:rsidRPr="00A31137" w:rsidRDefault="00A31137" w:rsidP="00A31137">
      <w:r w:rsidRPr="00A31137">
        <w:t>1990, Hodgson v. Minnesota, 497 U.S. 490</w:t>
      </w:r>
    </w:p>
    <w:p w:rsidR="00A31137" w:rsidRPr="00A31137" w:rsidRDefault="00A31137" w:rsidP="00A31137">
      <w:r w:rsidRPr="00A31137">
        <w:t>Of course, a conclusion that the Utah statute is invalid would not prevent young pregnant women from voluntarily seeking the advice of their parents prior to making the abortion decision. But the State may legitimately decide that such consultation should be made more probable by ensuring that parents are informed of their daughter's decision[.]</w:t>
      </w:r>
    </w:p>
    <w:p w:rsidR="00A31137" w:rsidRPr="00A31137" w:rsidRDefault="00A31137" w:rsidP="00A31137">
      <w:r w:rsidRPr="00A31137">
        <w:t>*    *    *    *</w:t>
      </w:r>
    </w:p>
    <w:p w:rsidR="00A31137" w:rsidRPr="00A31137" w:rsidRDefault="00A31137" w:rsidP="00A31137">
      <w:r w:rsidRPr="00A31137">
        <w:t>1990, Hodgson v. Minnesota, 497 U.S. 490</w:t>
      </w:r>
    </w:p>
    <w:p w:rsidR="00A31137" w:rsidRPr="00A31137" w:rsidRDefault="00A31137" w:rsidP="00A31137">
      <w:r w:rsidRPr="00A31137">
        <w:t>Utah's interest in its parental-notice statute is not diminished by the fact that there can be no guarantee that meaningful parent-child communication will actually occur. Good-faith compliance with the statute's requirements [497 U.S. 491] would tend to facilitate communication between daughters and parents regarding the abortion decision. The possibility that some parents will not react with compassion and understanding upon being informed of their daughter's predicament or that, even if they are receptive, they will incorrectly advise her, does not undercut the legitimacy of the State's attempt to establish a procedure that will enhance the probability that a pregnant young woman exercise as wisely as possible her right to make the abortion decision.</w:t>
      </w:r>
    </w:p>
    <w:p w:rsidR="00A31137" w:rsidRPr="00A31137" w:rsidRDefault="00A31137" w:rsidP="00A31137">
      <w:r w:rsidRPr="00A31137">
        <w:t>1990, Hodgson v. Minnesota, 497 U.S. 491</w:t>
      </w:r>
    </w:p>
    <w:p w:rsidR="00A31137" w:rsidRPr="00A31137" w:rsidRDefault="00A31137" w:rsidP="00A31137">
      <w:r w:rsidRPr="00A31137">
        <w:t>450 U.S. at 423-424 (STEVENS, J., concurring in judgment) (emphasis added). Justice STEVENS' reasoning was correct then and it remains correct today.</w:t>
      </w:r>
    </w:p>
    <w:p w:rsidR="00A31137" w:rsidRPr="00A31137" w:rsidRDefault="00A31137" w:rsidP="00A31137">
      <w:r w:rsidRPr="00A31137">
        <w:t>B</w:t>
      </w:r>
    </w:p>
    <w:p w:rsidR="00A31137" w:rsidRPr="00A31137" w:rsidRDefault="00A31137" w:rsidP="00A31137">
      <w:r w:rsidRPr="00A31137">
        <w:t>1990, Hodgson v. Minnesota, 497 U.S. 491</w:t>
      </w:r>
    </w:p>
    <w:p w:rsidR="00A31137" w:rsidRPr="00A31137" w:rsidRDefault="00A31137" w:rsidP="00A31137">
      <w:r w:rsidRPr="00A31137">
        <w:t>In applying the standards established in our prior decisions to the case at hand,</w:t>
      </w:r>
    </w:p>
    <w:p w:rsidR="00A31137" w:rsidRPr="00A31137" w:rsidRDefault="00A31137" w:rsidP="00A31137">
      <w:r w:rsidRPr="00A31137">
        <w:t>1990, Hodgson v. Minnesota, 497 U.S. 491</w:t>
      </w:r>
    </w:p>
    <w:p w:rsidR="00A31137" w:rsidRPr="00A31137" w:rsidRDefault="00A31137" w:rsidP="00A31137">
      <w:r w:rsidRPr="00A31137">
        <w:t>we must keep in mind that when we are concerned with extremely sensitive issues, such as the one involved here, "the appropriate forum for their resolution in a democracy is the legislature. We should not forget that 'legislatures are ultimate guardians of the liberties and welfare of the people in quite as great a degree as the courts.' Missouri, K &amp; T R. Co. v. May, 194 U.S. 267, 270 (1904) (Holmes, J.)." Maher, 432 U.S. at 479-480 (footnote omitted).</w:t>
      </w:r>
    </w:p>
    <w:p w:rsidR="00A31137" w:rsidRPr="00A31137" w:rsidRDefault="00A31137" w:rsidP="00A31137">
      <w:r w:rsidRPr="00A31137">
        <w:t>1990, Hodgson v. Minnesota, 497 U.S. 491</w:t>
      </w:r>
    </w:p>
    <w:p w:rsidR="00A31137" w:rsidRPr="00A31137" w:rsidRDefault="00A31137" w:rsidP="00A31137">
      <w:r w:rsidRPr="00A31137">
        <w:t>Akron v. Akron Center for Reproductive Health, Inc., 462 U.S. 416,  465 (1983) (O'CONNOR, J., dissenting). The Minnesota Legislature, like the legislatures of many States, has found it necessary to address the issue of parental notice in its statutory laws. In my view it has acted in a permissible manner.</w:t>
      </w:r>
    </w:p>
    <w:p w:rsidR="00A31137" w:rsidRPr="00A31137" w:rsidRDefault="00A31137" w:rsidP="00A31137">
      <w:r w:rsidRPr="00A31137">
        <w:t>1990, Hodgson v. Minnesota, 497 U.S. 491</w:t>
      </w:r>
    </w:p>
    <w:p w:rsidR="00A31137" w:rsidRPr="00A31137" w:rsidRDefault="00A31137" w:rsidP="00A31137">
      <w:r w:rsidRPr="00A31137">
        <w:t>All must acknowledge that it was reasonable for the legislature to conclude that, in most cases, notice to both parents will work to the minor's benefit. See Bellotti II, 443 U.S. at  640, n. 20 (parental involvement, if compassionate and supportive, is highly desirable). This is true not only in what the Court calls the "ideal family setting," where both parents and the minor live under one roof, [497 U.S. 492] but also where the minor no longer lives with both parents. The Court does not deny that many absent parents maintain significant ties with their children, and seek to participate in their lives, to guide, to teach, and to care for them. It is beyond dispute that these attachments, in cases not involving mistreatment or abuse, are essential to the minor's wellbeing, and that parental notice is supportive of this kind of family tie. Although it may be true that notice to one parent will often result in notice to both, the State need not rely upon the decision of one parent to notify the other, particularly where both parents maintain ties with their daughter but not with each other, and when both parents share responsibilities and duties with respect to the child.</w:t>
      </w:r>
    </w:p>
    <w:p w:rsidR="00A31137" w:rsidRPr="00A31137" w:rsidRDefault="00A31137" w:rsidP="00A31137">
      <w:r w:rsidRPr="00A31137">
        <w:t>1990, Hodgson v. Minnesota, 497 U.S. 492</w:t>
      </w:r>
    </w:p>
    <w:p w:rsidR="00A31137" w:rsidRPr="00A31137" w:rsidRDefault="00A31137" w:rsidP="00A31137">
      <w:r w:rsidRPr="00A31137">
        <w:t>I acknowledge that, in some cases, notifying both parents will not produce desirable results despite the fact that no actual instance is in the record before us, as the two-parent notification requirement was enjoined before it went into effect. Cf. ante at  438 (stating as a matter of historical fact that the "two-parent notification requirement had particularly harmful effects on both the minor and the custodial parent" and that fears that notification of an absent parent would produce harmful results "were often realized") (emphasis added). We need not decide today, however, whether the Constitution permits a State to require that a physician notify both biological parents before performing an abortion on any minor, for the simple reason that Minnesota has not enacted such a law.</w:t>
      </w:r>
    </w:p>
    <w:p w:rsidR="00A31137" w:rsidRPr="00A31137" w:rsidRDefault="00A31137" w:rsidP="00A31137">
      <w:r w:rsidRPr="00A31137">
        <w:t>1990, Hodgson v. Minnesota, 497 U.S. 492</w:t>
      </w:r>
    </w:p>
    <w:p w:rsidR="00A31137" w:rsidRPr="00A31137" w:rsidRDefault="00A31137" w:rsidP="00A31137">
      <w:r w:rsidRPr="00A31137">
        <w:t xml:space="preserve">The Minnesota statute in fact contains exceptions to ensure that the statutory notice requirement does not apply if it proves a serious threat to the minor's health or safety. First, the statute does not require notice at all costs; to comply with the law, a physician need only use "reasonably diligent effort" to locate and notify both of the minor's parents. If the second parent cannot be located, as may be the case if the parent has deserted the family or ceased to maintain contact with the minor or the other parent, the only notice required is to the first parent.   Minn.Stat. § 144.343(3) (1988). [497 U.S. 493] </w:t>
      </w:r>
    </w:p>
    <w:p w:rsidR="00A31137" w:rsidRPr="00A31137" w:rsidRDefault="00A31137" w:rsidP="00A31137">
      <w:r w:rsidRPr="00A31137">
        <w:t>1990, Hodgson v. Minnesota, 497 U.S. 493</w:t>
      </w:r>
    </w:p>
    <w:p w:rsidR="00A31137" w:rsidRPr="00A31137" w:rsidRDefault="00A31137" w:rsidP="00A31137">
      <w:r w:rsidRPr="00A31137">
        <w:t>Second, even where both parents can be located, notice is not required if the physician certifies that the abortion is necessary to prevent the woman's death and there is insufficient time to provide the required notice, § 144.343(4)(a); if the minor's parents have authorized the abortion in writing, § 144.343(4)(b); or if the minor declares that she is the victim of sexual abuse, neglect, or physical abuse, § 144.343(4)(c). Under Minnesota law, "neglect" of a minor means the failure of a parent</w:t>
      </w:r>
    </w:p>
    <w:p w:rsidR="00A31137" w:rsidRPr="00A31137" w:rsidRDefault="00A31137" w:rsidP="00A31137">
      <w:r w:rsidRPr="00A31137">
        <w:t>1990, Hodgson v. Minnesota, 497 U.S. 493</w:t>
      </w:r>
    </w:p>
    <w:p w:rsidR="00A31137" w:rsidRPr="00A31137" w:rsidRDefault="00A31137" w:rsidP="00A31137">
      <w:r w:rsidRPr="00A31137">
        <w:t>to supply a child with necessary food, clothing, shelter or medical care when reasonably able to do so or failure to protect a child from conditions or actions which imminently and seriously endanger the child's physical or mental health when reasonably able to do so,</w:t>
      </w:r>
    </w:p>
    <w:p w:rsidR="00A31137" w:rsidRPr="00A31137" w:rsidRDefault="00A31137" w:rsidP="00A31137">
      <w:r w:rsidRPr="00A31137">
        <w:t>1990, Hodgson v. Minnesota, 497 U.S. 493</w:t>
      </w:r>
    </w:p>
    <w:p w:rsidR="00A31137" w:rsidRPr="00A31137" w:rsidRDefault="00A31137" w:rsidP="00A31137">
      <w:r w:rsidRPr="00A31137">
        <w:t>Minn.Stat. § 626.556(2)(c) (Supp.1989); physical abuse is defined as "any physical injury inflicted by a person responsible for the child's care on a child other than by accidental means," § 626.556(2)(d); and sexual abuse includes any sexual contact by a parent or other person responsible for the child's care or in a position of authority with respect to the child. § 626.556(2)(a). I cannot believe that these exceptions are too narrow to eliminate from the statute's coverage those instances in which notice would place the minor in danger of parental violence or other conduct that is a real threat to the physical or mental health of the child.</w:t>
      </w:r>
    </w:p>
    <w:p w:rsidR="00A31137" w:rsidRPr="00A31137" w:rsidRDefault="00A31137" w:rsidP="00A31137">
      <w:r w:rsidRPr="00A31137">
        <w:t>1990, Hodgson v. Minnesota, 497 U.S. 493</w:t>
      </w:r>
    </w:p>
    <w:p w:rsidR="00A31137" w:rsidRPr="00A31137" w:rsidRDefault="00A31137" w:rsidP="00A31137">
      <w:r w:rsidRPr="00A31137">
        <w:t>The Court challenges the efficacy of this last exception because it believes that the statutory requirement that a physician report a minor's declaration of abuse to appropriate authorities, see § 144.343(4)(c), will deter minors from using the exception. This is not a proper basis for declaring the law invalid. Laws are not declared unconstitutional because of some general reluctance to follow a statutory scheme the legislature finds necessary to accomplish a legitimate state objective. Beyond any question, it is reasonable for the State to require that physicians report declarations of abuse to ensure that mistreatment is known to authorities responsible for the protection of minors. This [497 U.S. 494] requirement is but a single manifestation of the broad duty in Minnesota to report suspected cases of child abuse to the proper authorities. See Minn.Stat. § 626.556(1) (1988) (declaring it to be the public policy of the State "to protect children whose health or welfare may be jeopardized through physical abuse, neglect or sexual abuse" and "to strengthen the family and make the home, school, and community safer for children by promoting responsible child care in all settings").</w:t>
      </w:r>
    </w:p>
    <w:p w:rsidR="00A31137" w:rsidRPr="00A31137" w:rsidRDefault="00A31137" w:rsidP="00A31137">
      <w:r w:rsidRPr="00A31137">
        <w:t>1990, Hodgson v. Minnesota, 497 U.S. 494</w:t>
      </w:r>
    </w:p>
    <w:p w:rsidR="00A31137" w:rsidRPr="00A31137" w:rsidRDefault="00A31137" w:rsidP="00A31137">
      <w:r w:rsidRPr="00A31137">
        <w:t>No one can contend that a minor who is pregnant is somehow less deserving of the State's protection. It is reasonable to provide that any minor who contends that she cannot notify her parent or parents because she is the victim of neglect or abuse allow the State to use its power to investigate her declaration and protect her from harm. Any parent, moreover, who responds to notice by threatening or harming the minor or the other parent may be prosecuted by the State to the full extent of its laws. See Minn.Stat. § 518B.01 (1988) (Domestic Abuse Act); Minn.Stat. §§ 609.221, 609.222, 609.223, 609.224 (1988 and Supp. 1989) (assault statutes); §§ 609.341 through 609.345 (sexual abuse statutes); § 609.378 (criminal neglect statute). Just as it relies upon such laws as its first line of defense for dealing with all other instances of abuse in family situations, so too is the State entitled to rely upon them here.</w:t>
      </w:r>
    </w:p>
    <w:p w:rsidR="00A31137" w:rsidRPr="00A31137" w:rsidRDefault="00A31137" w:rsidP="00A31137">
      <w:r w:rsidRPr="00A31137">
        <w:t>1990, Hodgson v. Minnesota, 497 U.S. 494</w:t>
      </w:r>
    </w:p>
    <w:p w:rsidR="00A31137" w:rsidRPr="00A31137" w:rsidRDefault="00A31137" w:rsidP="00A31137">
      <w:r w:rsidRPr="00A31137">
        <w:t>Notwithstanding the exceptions and protections we have discussed, it does remain possible, of course, that in some instances notifying one or both parents will not be in the minor's best interests. Allegations of a similar possibility, based upon sociological evidence similar to that presented in this case, was made by the appellant in Matheson. See Brief for Appellant 10-11; Brief for Planned Parenthood Federation of America, Inc., et al., as Amici Curiae 1631 in Matheson, O.T.1980, No. 79-5903. The Court there held that the parental notification law was valid, at least as to immature minors, for the simple reason that a [497 U.S. 495] law is not invalid if it fails to further the governmental interest in every instance. This point formed the cornerstone of Justice STEVENS's concurring opinion in Matheson, see 450 U.S. at 423-424, and it finds its most explicit statement in the Court's opinion in Parham v. J.R., 442 U.S. at 602-603:</w:t>
      </w:r>
    </w:p>
    <w:p w:rsidR="00A31137" w:rsidRPr="00A31137" w:rsidRDefault="00A31137" w:rsidP="00A31137">
      <w:r w:rsidRPr="00A31137">
        <w:t>1990, Hodgson v. Minnesota, 497 U.S. 495</w:t>
      </w:r>
    </w:p>
    <w:p w:rsidR="00A31137" w:rsidRPr="00A31137" w:rsidRDefault="00A31137" w:rsidP="00A31137">
      <w:r w:rsidRPr="00A31137">
        <w:t>The law's concept of the family rests on a presumption that parents possess what a child lacks in maturity, experience, and capacity for judgment required for making life's difficult decisions. More importantly, historically, it has recognized that natural bonds of affection lead parents to act in the best interests of their children….</w:t>
      </w:r>
    </w:p>
    <w:p w:rsidR="00A31137" w:rsidRPr="00A31137" w:rsidRDefault="00A31137" w:rsidP="00A31137">
      <w:r w:rsidRPr="00A31137">
        <w:t>1990, Hodgson v. Minnesota, 497 U.S. 495</w:t>
      </w:r>
    </w:p>
    <w:p w:rsidR="00A31137" w:rsidRPr="00A31137" w:rsidRDefault="00A31137" w:rsidP="00A31137">
      <w:r w:rsidRPr="00A31137">
        <w:t>As with so many other legal presumptions, experience and reality may rebut what the law accepts as a starting point; the incidence of child neglect and abuse cases attest to this. That some parents may at times be acting against the best interests of their children…creates a basis for caution, but is hardly a reason to discard wholesale those pages of human experience that teach that parents generally do act in the child's best interests.</w:t>
      </w:r>
    </w:p>
    <w:p w:rsidR="00A31137" w:rsidRPr="00A31137" w:rsidRDefault="00A31137" w:rsidP="00A31137">
      <w:r w:rsidRPr="00A31137">
        <w:t>1990, Hodgson v. Minnesota, 497 U.S. 495</w:t>
      </w:r>
    </w:p>
    <w:p w:rsidR="00A31137" w:rsidRPr="00A31137" w:rsidRDefault="00A31137" w:rsidP="00A31137">
      <w:r w:rsidRPr="00A31137">
        <w:t>The only cases in which a majority of the Court has deviated from this principle are those in which a State sought to condition a minor's access to abortion services upon receipt of her parent's consent to do so. In Planned Parenthood of Central Missouri v. Danforth, 428 U.S. 52 (1976), the Court invalidated a Missouri law requiring that a physician obtain the consent of one parent before performing an abortion. The Court's reasoning was unmistakable:</w:t>
      </w:r>
    </w:p>
    <w:p w:rsidR="00A31137" w:rsidRPr="00A31137" w:rsidRDefault="00A31137" w:rsidP="00A31137">
      <w:r w:rsidRPr="00A31137">
        <w:t>1990, Hodgson v. Minnesota, 497 U.S. 495</w:t>
      </w:r>
    </w:p>
    <w:p w:rsidR="00A31137" w:rsidRPr="00A31137" w:rsidRDefault="00A31137" w:rsidP="00A31137">
      <w:r w:rsidRPr="00A31137">
        <w:t>[T]he State does not have the constitutional authority to give a third party an absolute, and possibly arbitrary, veto over the decision of the physician and his patient to terminate the patient's pregnancy, regardless of the reason for withholding the consent.</w:t>
      </w:r>
    </w:p>
    <w:p w:rsidR="00A31137" w:rsidRPr="00A31137" w:rsidRDefault="00A31137" w:rsidP="00A31137">
      <w:r w:rsidRPr="00A31137">
        <w:t>1990, Hodgson v. Minnesota, 497 U.S. 495</w:t>
      </w:r>
    </w:p>
    <w:p w:rsidR="00A31137" w:rsidRPr="00A31137" w:rsidRDefault="00A31137" w:rsidP="00A31137">
      <w:r w:rsidRPr="00A31137">
        <w:t>Id. at  74. The Court today, ignoring this statement, relies heavily upon isolated passages from Danforth, see ante at 452-453, and other cases involving parental consent laws, [497 U.S. 496] see, e.g., ante at  453 (citing Bellotti II). Justice MARSHALL, on the other hand, expressly equates laws requiring parental consent with laws requiring parental notification, see ante at 471-472 (MARSHALL, J., concurring in part, concurring in judgment in part, and dissenting in part).</w:t>
      </w:r>
    </w:p>
    <w:p w:rsidR="00A31137" w:rsidRPr="00A31137" w:rsidRDefault="00A31137" w:rsidP="00A31137">
      <w:r w:rsidRPr="00A31137">
        <w:t>1990, Hodgson v. Minnesota, 497 U.S. 496</w:t>
      </w:r>
    </w:p>
    <w:p w:rsidR="00A31137" w:rsidRPr="00A31137" w:rsidRDefault="00A31137" w:rsidP="00A31137">
      <w:r w:rsidRPr="00A31137">
        <w:t>The difference between notice and consent was apparent to us before, and is apparent now. Unlike parental consent laws, a law requiring parental notice does not give any third party the legal right to make the minor's decision for her, or to prevent her from obtaining an abortion should she choose to have one performed. We have acknowledged this distinction as "fundamental," and as one "substantially modify[ing] the federal constitutional challenge." Bellotti v. Baird (Bellotti I), 428 U.S. 132,  145,  148 (1976); see also Matheson, supra, 450 U.S. at  411, n. 17. The law before us does not place an absolute obstacle before any minor seeking to obtain an abortion, and it represents a considered weighing of the competing interests of minors and their parents.</w:t>
      </w:r>
    </w:p>
    <w:p w:rsidR="00A31137" w:rsidRPr="00A31137" w:rsidRDefault="00A31137" w:rsidP="00A31137">
      <w:r w:rsidRPr="00A31137">
        <w:t>1990, Hodgson v. Minnesota, 497 U.S. 496</w:t>
      </w:r>
    </w:p>
    <w:p w:rsidR="00A31137" w:rsidRPr="00A31137" w:rsidRDefault="00A31137" w:rsidP="00A31137">
      <w:r w:rsidRPr="00A31137">
        <w:t>It cannot be doubted that, as long as a state statute is within "the bounds of reason and [does not] assum[e] the character of a merely arbitrary fiat…[then] [t]he State…must decide upon measures that are needful for the protection of its people…. "</w:t>
      </w:r>
    </w:p>
    <w:p w:rsidR="00A31137" w:rsidRPr="00A31137" w:rsidRDefault="00A31137" w:rsidP="00A31137">
      <w:r w:rsidRPr="00A31137">
        <w:t>1990, Hodgson v. Minnesota, 497 U.S. 496</w:t>
      </w:r>
    </w:p>
    <w:p w:rsidR="00A31137" w:rsidRPr="00A31137" w:rsidRDefault="00A31137" w:rsidP="00A31137">
      <w:r w:rsidRPr="00A31137">
        <w:t>Akron, 462 U.S. at  459 (O'CONNOR, J., dissenting) (quoting Purity Extract &amp; Tonic Co. v. Lynch, 226 U.S. 192, 204-205 (1912)). Like all laws of general application, the Minnesota statute cannot produce perfect results in every situation to which it applies; but the State is under no obligation to enact perfect laws. The statute before us, including the 48-hour waiting period, which is necessary to enable notified parents to consult with their daughter or their daughter's physician, if they so wish, and results in little or no delay, represents a permissible, reasoned attempt to preserve the parents' role in a minor's decision to have an abortion without placing any absolute obstacles before a minor who is determined to elect an abortion for her own interest as she sees it. Section 144.343, without the [497 U.S. 497] judicial bypass provision of subdivision 6, is constitutional. I would reverse the contrary judgment of the Court. of Appeals.</w:t>
      </w:r>
    </w:p>
    <w:p w:rsidR="00A31137" w:rsidRPr="00A31137" w:rsidRDefault="00A31137" w:rsidP="00A31137">
      <w:r w:rsidRPr="00A31137">
        <w:t>IV</w:t>
      </w:r>
    </w:p>
    <w:p w:rsidR="00A31137" w:rsidRPr="00A31137" w:rsidRDefault="00A31137" w:rsidP="00A31137">
      <w:r w:rsidRPr="00A31137">
        <w:t>1990, Hodgson v. Minnesota, 497 U.S. 497</w:t>
      </w:r>
    </w:p>
    <w:p w:rsidR="00A31137" w:rsidRPr="00A31137" w:rsidRDefault="00A31137" w:rsidP="00A31137">
      <w:r w:rsidRPr="00A31137">
        <w:t>Because a majority of the Court holds that the two-parent notice requirement contained in subdivision 2 is unconstitutional, it is necessary for the Court to consider whether the same notice requirement is constitutional if the minor has the option of obtaining a court order permitting the abortion to proceed in lieu of the required notice. Minn.Stat. § 144.343(6) (1988). Assuming, as I am bound to do for this part of the analysis, that the notice provisions standing alone are invalid, I conclude that the two-parent notice requirement with the judicial bypass alternative is constitutional.</w:t>
      </w:r>
    </w:p>
    <w:p w:rsidR="00A31137" w:rsidRPr="00A31137" w:rsidRDefault="00A31137" w:rsidP="00A31137">
      <w:r w:rsidRPr="00A31137">
        <w:t>1990, Hodgson v. Minnesota, 497 U.S. 497</w:t>
      </w:r>
    </w:p>
    <w:p w:rsidR="00A31137" w:rsidRPr="00A31137" w:rsidRDefault="00A31137" w:rsidP="00A31137">
      <w:r w:rsidRPr="00A31137">
        <w:t>The Court concludes that Minnesota's two-parent notice law without a judicial bypass is unconstitutional because of the possibility that, in some cases, the rule would not work to the benefit of minors or their parents. If one were to attempt to design a statute that would address the Court's concerns, one would do precisely what Minnesota has done in § 144.343(6): create a judicial mechanism to identify, and exempt from the strictures of the law, those cases in which the minor is mature or in which notification of the minor's parents is not in the minor's best interests. The bypass procedure comports in all respects with our precedents. See Bellotti II, 443 U.S. at 643-644; Planned Parenthood Assn. of Kansas City, Mo. v. Ashcroft, 462 U.S. 476,  491 (1983) (opinion of Powell, J.); id. at  505 (O'CONNOR, J., concurring in judgment in part and dissenting in part); Ohio v. Akron Center for Reproductive Health, post, p. 502.</w:t>
      </w:r>
    </w:p>
    <w:p w:rsidR="00A31137" w:rsidRPr="00A31137" w:rsidRDefault="00A31137" w:rsidP="00A31137">
      <w:r w:rsidRPr="00A31137">
        <w:t>1990, Hodgson v. Minnesota, 497 U.S. 497</w:t>
      </w:r>
    </w:p>
    <w:p w:rsidR="00A31137" w:rsidRPr="00A31137" w:rsidRDefault="00A31137" w:rsidP="00A31137">
      <w:r w:rsidRPr="00A31137">
        <w:t>In providing for the bypass, Minnesota has done nothing other than attempt to fit its legislation into the framework that we have supplied in our previous cases. The simple fact is that our decision in Bellotti II stands for the proposition that a two-parent consent law is constitutional if it provides [497 U.S. 498] for a sufficient judicial bypass alternative, and it requires us to sustain the statute before us here. In Bellotti II, the Court considered the constitutionality of a statute which required a physician to obtain, in most circumstances, the consent of both of a minor's parents before performing an abortion on the minor. See 443 U.S. at 625-626 (citing Mass.Gen.Laws. Ann., ch. 112, § 12S (West Supp.1979)). Although eight Members of the Court concluded that the statute was unconstitutional, five indicated that they would uphold a two-parent consent statute with an adequate judicial bypass.</w:t>
      </w:r>
    </w:p>
    <w:p w:rsidR="00A31137" w:rsidRPr="00A31137" w:rsidRDefault="00A31137" w:rsidP="00A31137">
      <w:r w:rsidRPr="00A31137">
        <w:t>1990, Hodgson v. Minnesota, 497 U.S. 498</w:t>
      </w:r>
    </w:p>
    <w:p w:rsidR="00A31137" w:rsidRPr="00A31137" w:rsidRDefault="00A31137" w:rsidP="00A31137">
      <w:r w:rsidRPr="00A31137">
        <w:t>For four of the eight Justices forming the majority in Bellotti II, the failure of the statute lay in its inadequate bypass procedure, not its requirement that both of the minor's parents consent to the abortion. See 443 U.S. at  643 (opinion of Powell, J.). Justice Powell's opinion specifically stated that</w:t>
      </w:r>
    </w:p>
    <w:p w:rsidR="00A31137" w:rsidRPr="00A31137" w:rsidRDefault="00A31137" w:rsidP="00A31137">
      <w:r w:rsidRPr="00A31137">
        <w:t>1990, Hodgson v. Minnesota, 497 U.S. 498</w:t>
      </w:r>
    </w:p>
    <w:p w:rsidR="00A31137" w:rsidRPr="00A31137" w:rsidRDefault="00A31137" w:rsidP="00A31137">
      <w:r w:rsidRPr="00A31137">
        <w:t>if the State decides to require a pregnant minor to obtain one or both parents' consent to an abortion, it also must provide an alternative procedure whereby authorization for the abortion can be obtained,</w:t>
      </w:r>
    </w:p>
    <w:p w:rsidR="00A31137" w:rsidRPr="00A31137" w:rsidRDefault="00A31137" w:rsidP="00A31137">
      <w:r w:rsidRPr="00A31137">
        <w:t>1990, Hodgson v. Minnesota, 497 U.S. 498</w:t>
      </w:r>
    </w:p>
    <w:p w:rsidR="00A31137" w:rsidRPr="00A31137" w:rsidRDefault="00A31137" w:rsidP="00A31137">
      <w:r w:rsidRPr="00A31137">
        <w:t>ibid. (emphasis added), and then stated the minimum requirements for such a procedure. In response to the dissent's contention that his opinion was advisory, Justice Powell stated that the four Members of the Court thought it necessary</w:t>
      </w:r>
    </w:p>
    <w:p w:rsidR="00A31137" w:rsidRPr="00A31137" w:rsidRDefault="00A31137" w:rsidP="00A31137">
      <w:r w:rsidRPr="00A31137">
        <w:t>1990, Hodgson v. Minnesota, 497 U.S. 498</w:t>
      </w:r>
    </w:p>
    <w:p w:rsidR="00A31137" w:rsidRPr="00A31137" w:rsidRDefault="00A31137" w:rsidP="00A31137">
      <w:r w:rsidRPr="00A31137">
        <w:t>to provide some guidance as to how a State constitutionally may provide for adult involvement—either by parents or a state official such as a judge—in the abortion decision of minors. In view of the importance of the issue raised, and the protracted litigation to which these parties already have been subjected, we think it would be irresponsible simply to invalidate [the Massachusetts law] without stating our views as to the controlling principles.</w:t>
      </w:r>
    </w:p>
    <w:p w:rsidR="00A31137" w:rsidRPr="00A31137" w:rsidRDefault="00A31137" w:rsidP="00A31137">
      <w:r w:rsidRPr="00A31137">
        <w:t>1990, Hodgson v. Minnesota, 497 U.S. 498</w:t>
      </w:r>
    </w:p>
    <w:p w:rsidR="00A31137" w:rsidRPr="00A31137" w:rsidRDefault="00A31137" w:rsidP="00A31137">
      <w:r w:rsidRPr="00A31137">
        <w:t>Id. at  652, n. 32. See also id. at 651-652 (REHNQUIST, J., concurring) (joining Justice Powell's opinion because "unless and until [the Court is willing to overrule Danforth], literally thousands of judges [497 U.S. 499] cannot be left with nothing more than the guidance offered by a truly fragmented holding of this Court").</w:t>
      </w:r>
    </w:p>
    <w:p w:rsidR="00A31137" w:rsidRPr="00A31137" w:rsidRDefault="00A31137" w:rsidP="00A31137">
      <w:r w:rsidRPr="00A31137">
        <w:t>1990, Hodgson v. Minnesota, 497 U.S. 499</w:t>
      </w:r>
    </w:p>
    <w:p w:rsidR="00A31137" w:rsidRPr="00A31137" w:rsidRDefault="00A31137" w:rsidP="00A31137">
      <w:r w:rsidRPr="00A31137">
        <w:t>Justice WHITE dissented from the Court's judgment that the Massachusetts statute was unconstitutional. In his view, no bypass was necessary, so it must follow that a two-parent consent statute with an adequate bypass procedure would have been valid. See id. at 656-657 (dissenting opinion). In sum, five Members of the Court in Bellotti II found, either by express statement or by implication, that it was permissible under the Constitution for a State to require the consent of two parents, as long as it provides a consent substitute in the form of an adequate judicial bypass procedure.</w:t>
      </w:r>
    </w:p>
    <w:p w:rsidR="00A31137" w:rsidRPr="00A31137" w:rsidRDefault="00A31137" w:rsidP="00A31137">
      <w:r w:rsidRPr="00A31137">
        <w:t>1990, Hodgson v. Minnesota, 497 U.S. 499</w:t>
      </w:r>
    </w:p>
    <w:p w:rsidR="00A31137" w:rsidRPr="00A31137" w:rsidRDefault="00A31137" w:rsidP="00A31137">
      <w:r w:rsidRPr="00A31137">
        <w:t>I cannot accept Justice STEVENS' suggestion today that the plurality, in announcing these rules, did not "consider" the fact that it was doing so in the context of a two-parent consent requirement, see ante at 34. The statute was explicit in its command that both parents consent to the abortion. See 443 U.S. at 625-626. The plurality indicated that it was aware of this fact, see id. at  630, and n. 10, and the dissent drew a specific contrast between the two-parent consent requirement then before the Court and the one-parent consent requirement before the Court in Danforth. See id. at  653 (STEVENS, J., concurring in judgment). Aware of all of these circumstances, the plurality stated the controlling principles with specific reference to laws requiring the consent of "one or both" parents. Id. at  643. The plurality's considered reasoning, coupled with the dissenting views of Justice WHITE, was intended to set forth the dispositive principles of law for deciding the constitutionality of parental consent laws. The Court has relied upon these principles in deciding the constitutionality of laws requiring notice or the consent of one parent, see Akron v. Akron Center for Reproductive Health, 462 U.S. at 439-442 (consent); Ohio v. Akron Center for Reproductive Health, post at 511-514 (notice). As Bellotti II dealt with the far more demanding [497 U.S. 500] requirement of two-parent consent, and approved of such a requirement when coupled with a judicial bypass alternative, I must conclude that these same principles validate a two-parent notice requirement when coupled with a judicial bypass alternative.</w:t>
      </w:r>
    </w:p>
    <w:p w:rsidR="00A31137" w:rsidRPr="00A31137" w:rsidRDefault="00A31137" w:rsidP="00A31137">
      <w:r w:rsidRPr="00A31137">
        <w:t>1990, Hodgson v. Minnesota, 497 U.S. 500</w:t>
      </w:r>
    </w:p>
    <w:p w:rsidR="00A31137" w:rsidRPr="00A31137" w:rsidRDefault="00A31137" w:rsidP="00A31137">
      <w:r w:rsidRPr="00A31137">
        <w:t>A second precedent that compels the conclusion that a two-parent notice law with a judicial bypass alternative is constitutional is our decision in Matheson. There we held that a two-parent notice statute without a bypass was constitutional as applied to immature minors whose best interests would be served by notice. Like the statute before the Court in Matheson, the Minnesota statute, as amended by subdivision 6, requires a physician to notify the parents of those immature minors whose best interest will be served by the communication.</w:t>
      </w:r>
    </w:p>
    <w:p w:rsidR="00A31137" w:rsidRPr="00A31137" w:rsidRDefault="00A31137" w:rsidP="00A31137">
      <w:r w:rsidRPr="00A31137">
        <w:t>1990, Hodgson v. Minnesota, 497 U.S. 500</w:t>
      </w:r>
    </w:p>
    <w:p w:rsidR="00A31137" w:rsidRPr="00A31137" w:rsidRDefault="00A31137" w:rsidP="00A31137">
      <w:r w:rsidRPr="00A31137">
        <w:t>If a two-parent notification law may be constitutional as applied to immature minors whose best interests are served by the law, but not as applied to minors who are mature or whose best interests are not so served, a judicial bypass is an expeditious and efficient means by which to separate the applications of the law which are constitutional from those which are not. Justice STEVENS' characterization of the judicial bypass procedure discussed in our past cases as a necessary "exception" to a "reasonable general rule," such as a one-parent consent requirement, see ante at  456,  457, is far off the mark. If a judicial bypass is mandated by the Constitution at all, it must be because a general consent rule is unreasonable in at least some of its applications, and the bypass is necessary to save the statute. See, e.g., Bellotti II, 443 U.S. at  643; Matheson, 450 U.S. at  420 (Powell, J., concurring). No reason can be given for refusing to apply a similar analysis to the less demanding case of a notice statute. It follows that a similar result should obtain: a law that requires notice to one or both parents is constitutional with a bypass. I thus concur in that portion of the judgment announced, but not agreed with, by Justice STEVENS [497 U.S. 501] which affirms the Court of Appeals' conclusion that § 144.343(6) is constitutional.</w:t>
      </w:r>
    </w:p>
    <w:p w:rsidR="00A31137" w:rsidRPr="00A31137" w:rsidRDefault="00A31137" w:rsidP="00A31137">
      <w:r w:rsidRPr="00A31137">
        <w:t>V</w:t>
      </w:r>
    </w:p>
    <w:p w:rsidR="00A31137" w:rsidRPr="00A31137" w:rsidRDefault="00A31137" w:rsidP="00A31137">
      <w:r w:rsidRPr="00A31137">
        <w:t>1990, Hodgson v. Minnesota, 497 U.S. 501</w:t>
      </w:r>
    </w:p>
    <w:p w:rsidR="00A31137" w:rsidRPr="00A31137" w:rsidRDefault="00A31137" w:rsidP="00A31137">
      <w:r w:rsidRPr="00A31137">
        <w:t>In this case, the Court rejects a legislature's judgment that parents should at least be aware of their daughter's intention to seek an abortion, even if the State does not empower the parents to control the child's decision. That judgment is rejected, although it rests upon a tradition of a parental role in the care and upbringing of children that is as old as civilization itself. Our precedents do not permit this result.</w:t>
      </w:r>
    </w:p>
    <w:p w:rsidR="00A31137" w:rsidRPr="00A31137" w:rsidRDefault="00A31137" w:rsidP="00A31137">
      <w:r w:rsidRPr="00A31137">
        <w:t>1990, Hodgson v. Minnesota, 497 U.S. 501</w:t>
      </w:r>
    </w:p>
    <w:p w:rsidR="00A31137" w:rsidRPr="00A31137" w:rsidRDefault="00A31137" w:rsidP="00A31137">
      <w:r w:rsidRPr="00A31137">
        <w:t>It is true that, for all too many young women, the prospect of two parents, perhaps even one parent, sustaining her with support that is compassionate and committed is an illusion. Statistics on drug and alcohol abuse by parents and documentations of child neglect and mistreatment are but fragments of the evidence showing the tragic reality that becomes day-to-day life for thousands of minors. But the Court errs in serious degree when it commands its own solution to the cruel consequences of individual misconduct, parental failure, and social ills. The legislative authority is entitled to attempt to meet these wrongs by taking reasonable measures to recognize and promote the primacy of the family tie, a concept which this Court now seems intent on declaring a constitutional irrelevance.</w:t>
      </w:r>
    </w:p>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1990, Hodgson v. Minnesota, 497 U.S. 501</w:t>
      </w:r>
    </w:p>
    <w:p w:rsidR="00A31137" w:rsidRPr="00A31137" w:rsidRDefault="00A31137" w:rsidP="00A31137">
      <w:r w:rsidRPr="00A31137">
        <w:t>1. Subdivision 1 of § 144.343 presently provides:</w:t>
      </w:r>
    </w:p>
    <w:p w:rsidR="00A31137" w:rsidRPr="00A31137" w:rsidRDefault="00A31137" w:rsidP="00A31137">
      <w:r w:rsidRPr="00A31137">
        <w:t>1990, Hodgson v. Minnesota, 497 U.S. 501</w:t>
      </w:r>
    </w:p>
    <w:p w:rsidR="00A31137" w:rsidRPr="00A31137" w:rsidRDefault="00A31137" w:rsidP="00A31137">
      <w:r w:rsidRPr="00A31137">
        <w:t>Any minor may give effective consent for medical, mental and other health services to determine the presence of or to treat pregnancy and conditions associated therewith, venereal disease, alcohol and other drug abuse, and the consent of no other person is required.</w:t>
      </w:r>
    </w:p>
    <w:p w:rsidR="00A31137" w:rsidRPr="00A31137" w:rsidRDefault="00A31137" w:rsidP="00A31137">
      <w:r w:rsidRPr="00A31137">
        <w:t>1990, Hodgson v. Minnesota, 497 U.S. 501</w:t>
      </w:r>
    </w:p>
    <w:p w:rsidR="00A31137" w:rsidRPr="00A31137" w:rsidRDefault="00A31137" w:rsidP="00A31137">
      <w:r w:rsidRPr="00A31137">
        <w:t>The statute permits the health professional treating the minor to notify parents only when a failure to do so would jeopardize the minor's health. Minn.Stat. § 144.346 (1988).</w:t>
      </w:r>
    </w:p>
    <w:p w:rsidR="00A31137" w:rsidRPr="00A31137" w:rsidRDefault="00A31137" w:rsidP="00A31137">
      <w:r w:rsidRPr="00A31137">
        <w:t>1990, Hodgson v. Minnesota, 497 U.S. 501</w:t>
      </w:r>
    </w:p>
    <w:p w:rsidR="00A31137" w:rsidRPr="00A31137" w:rsidRDefault="00A31137" w:rsidP="00A31137">
      <w:r w:rsidRPr="00A31137">
        <w:t>2. See Haw.Rev.Stat. § 577A-2 (1976); Mo.Rev. Stat. § 431.062 (Supp.1971). See generally Pilpel &amp; Zuckerman, Abortion and the Rights of Minors, in Abortion, Society and the Law 275, 279-280 (D. Walbert &amp; J. Butler eds. 1973).</w:t>
      </w:r>
    </w:p>
    <w:p w:rsidR="00A31137" w:rsidRPr="00A31137" w:rsidRDefault="00A31137" w:rsidP="00A31137">
      <w:r w:rsidRPr="00A31137">
        <w:t>1990, Hodgson v. Minnesota, 497 U.S. 501</w:t>
      </w:r>
    </w:p>
    <w:p w:rsidR="00A31137" w:rsidRPr="00A31137" w:rsidRDefault="00A31137" w:rsidP="00A31137">
      <w:r w:rsidRPr="00A31137">
        <w:t>3. Although there is no statutory definition of emancipation in Minnesota, see Streitz v. Streitz, 363 N.W.2d 135, 137 (Minn.App.1985), we have no reason to question the State's representation that Minn.Stat. §§ 144.341 and 144.342 (1988) apply to the minor's decision to terminate her pregnancy. Brief for Respondents in No. 881125, p. 2, n. 2. Those sections provide that a minor who is living separate and apart from her parents or who is either married or has borne a child may give effective consent to medical services without the consent of any other person.</w:t>
      </w:r>
    </w:p>
    <w:p w:rsidR="00A31137" w:rsidRPr="00A31137" w:rsidRDefault="00A31137" w:rsidP="00A31137">
      <w:r w:rsidRPr="00A31137">
        <w:t>1990, Hodgson v. Minnesota, 497 U.S. 501</w:t>
      </w:r>
    </w:p>
    <w:p w:rsidR="00A31137" w:rsidRPr="00A31137" w:rsidRDefault="00A31137" w:rsidP="00A31137">
      <w:r w:rsidRPr="00A31137">
        <w:t>The notification statute also applies to a woman for whom a guardian or conservator has been appointed because of a finding of incompetency. § 144.343(2). This portion of the statute is not challenged in this case.</w:t>
      </w:r>
    </w:p>
    <w:p w:rsidR="00A31137" w:rsidRPr="00A31137" w:rsidRDefault="00A31137" w:rsidP="00A31137">
      <w:r w:rsidRPr="00A31137">
        <w:t>1990, Hodgson v. Minnesota, 497 U.S. 501</w:t>
      </w:r>
    </w:p>
    <w:p w:rsidR="00A31137" w:rsidRPr="00A31137" w:rsidRDefault="00A31137" w:rsidP="00A31137">
      <w:r w:rsidRPr="00A31137">
        <w:t>4. Subdivision 2 provides:</w:t>
      </w:r>
    </w:p>
    <w:p w:rsidR="00A31137" w:rsidRPr="00A31137" w:rsidRDefault="00A31137" w:rsidP="00A31137">
      <w:r w:rsidRPr="00A31137">
        <w:t>1990, Hodgson v. Minnesota, 497 U.S. 501</w:t>
      </w:r>
    </w:p>
    <w:p w:rsidR="00A31137" w:rsidRPr="00A31137" w:rsidRDefault="00A31137" w:rsidP="00A31137">
      <w:r w:rsidRPr="00A31137">
        <w:t>Notwithstanding the provisions of section 13.02, subdivision 8, no abortion operation shall be performed upon an unemancipated minor…until at least 48 hours after written notice of the pending operation has been delivered in the manner specified in subdivisions 2 to 4.</w:t>
      </w:r>
    </w:p>
    <w:p w:rsidR="00A31137" w:rsidRPr="00A31137" w:rsidRDefault="00A31137" w:rsidP="00A31137">
      <w:r w:rsidRPr="00A31137">
        <w:t>1990, Hodgson v. Minnesota, 497 U.S. 501</w:t>
      </w:r>
    </w:p>
    <w:p w:rsidR="00A31137" w:rsidRPr="00A31137" w:rsidRDefault="00A31137" w:rsidP="00A31137">
      <w:r w:rsidRPr="00A31137">
        <w:t>(a) The notice shall be addressed to the parent at the usual place of abode of the parent and delivered personally to the parent by the physician or an agent.</w:t>
      </w:r>
    </w:p>
    <w:p w:rsidR="00A31137" w:rsidRPr="00A31137" w:rsidRDefault="00A31137" w:rsidP="00A31137">
      <w:r w:rsidRPr="00A31137">
        <w:t>1990, Hodgson v. Minnesota, 497 U.S. 501</w:t>
      </w:r>
    </w:p>
    <w:p w:rsidR="00A31137" w:rsidRPr="00A31137" w:rsidRDefault="00A31137" w:rsidP="00A31137">
      <w:r w:rsidRPr="00A31137">
        <w:t>(b) In lieu of the delivery required by clause (a), notice shall be made by certified mail addressed to the parent at the usual place of abode of the parent with return receipt requested and restricted delivery to the addressee which means postal employee can only deliver the mail to the authorized addressee. Time of delivery shall be deemed to occur at 12 o'clock noon on the next day on which regular mail delivery takes place, subsequent to mailing.</w:t>
      </w:r>
    </w:p>
    <w:p w:rsidR="00A31137" w:rsidRPr="00A31137" w:rsidRDefault="00A31137" w:rsidP="00A31137">
      <w:r w:rsidRPr="00A31137">
        <w:t>1990, Hodgson v. Minnesota, 497 U.S. 501</w:t>
      </w:r>
    </w:p>
    <w:p w:rsidR="00A31137" w:rsidRPr="00A31137" w:rsidRDefault="00A31137" w:rsidP="00A31137">
      <w:r w:rsidRPr="00A31137">
        <w:t>5. The Minnesota statute is the most intrusive in the Nation. Of the 38 States that require parental participation in the minor's decision to terminate her pregnancy, 27 make express that the participation of only one parent is required. An additional three States, Idaho, Tennessee, and Utah, require an unmarried minor to notify "the parents or guardian" but do not specify whether "parents" refers to either member of the parental unit or whether notice to one parent constitutes constructive notice to both. See Idaho Code § 18-609(6) (1987); Tenn.Code Ann. § 39-15-202(f) (Supp.1989); Utah Code Ann. § 76-7-304(2) (1990). In contrast, Arkansas does require an unmarried minor to notify both parents but provides exceptions where the second parent "cannot be located through reasonably diligent effort," or a parent's "whereabouts are unknown," the parent has not been in contact with the minor's custodial parent or the minor for at least one year, or the parent is guilty of sexual abuse. Ark.Code Ann. §§ 2016-802, 20 16-808 (Supp. 1989). Delaware requires the consent only of parents who are residing in the same household; if the minor is not living with both of her parents, the consent of one parent is sufficient. Del.Code.Ann. Tit. 24, § 1790(b)(3) (1987). Illinois law does not require the consent of a parent who has deserted the family or is not available. Ill.Rev.Stat., ch. 38, ¶ 81-54(3) (1989). Kentucky requires an unmarried minor to obtain the consent of a legal guardian or "both parents, if available," but provides that if both parents are not available, the consent of the available parent shall suffice. Ky.Rev.Stat.Ann. §§ 311 .732(2)(a), (b) (Michie 1990). Under Massachusetts law, an unmarried minor need obtain the consent of only one parent if the other parent "is unavailable to the physician within a reasonable time and in a reasonable manner," or if the parents are divorced and the other parent does not have custody. Mass.Gen.Laws § 112, § 12S (1988). Mississippi law requires only the consent of the parent with primary custody, care and control of the minor if the parents are divorced or unmarried and living apart and, in all other cases, the consent of only one parent if the other parent is not available in a reasonable time or manner. Miss.Code Ann. § 41-41-53(2) (Supp.1989). Finally, North Dakota requires only the consent of the custodial parent if the parents are separated and divorced, or the legal guardian if the minor is subject to guardianship. N.D.Cent.Code § 14-02.1-03.1 (1981).</w:t>
      </w:r>
    </w:p>
    <w:p w:rsidR="00A31137" w:rsidRPr="00A31137" w:rsidRDefault="00A31137" w:rsidP="00A31137">
      <w:r w:rsidRPr="00A31137">
        <w:t>1990, Hodgson v. Minnesota, 497 U.S. 501</w:t>
      </w:r>
    </w:p>
    <w:p w:rsidR="00A31137" w:rsidRPr="00A31137" w:rsidRDefault="00A31137" w:rsidP="00A31137">
      <w:r w:rsidRPr="00A31137">
        <w:t>6. Subdivision 3 provides, in part:</w:t>
      </w:r>
    </w:p>
    <w:p w:rsidR="00A31137" w:rsidRPr="00A31137" w:rsidRDefault="00A31137" w:rsidP="00A31137">
      <w:r w:rsidRPr="00A31137">
        <w:t>1990, Hodgson v. Minnesota, 497 U.S. 501</w:t>
      </w:r>
    </w:p>
    <w:p w:rsidR="00A31137" w:rsidRPr="00A31137" w:rsidRDefault="00A31137" w:rsidP="00A31137">
      <w:r w:rsidRPr="00A31137">
        <w:t>For purposes of this section, "parent" means both parents of the pregnant woman if they are both living, one parent of the pregnant woman if only one is living or if the second one cannot be located through reasonably diligent effort, or the guardian or conservator if the pregnant woman has one.</w:t>
      </w:r>
    </w:p>
    <w:p w:rsidR="00A31137" w:rsidRPr="00A31137" w:rsidRDefault="00A31137" w:rsidP="00A31137">
      <w:r w:rsidRPr="00A31137">
        <w:t>1990, Hodgson v. Minnesota, 497 U.S. 501</w:t>
      </w:r>
    </w:p>
    <w:p w:rsidR="00A31137" w:rsidRPr="00A31137" w:rsidRDefault="00A31137" w:rsidP="00A31137">
      <w:r w:rsidRPr="00A31137">
        <w:t>7. Subdivision 4 provides:</w:t>
      </w:r>
    </w:p>
    <w:p w:rsidR="00A31137" w:rsidRPr="00A31137" w:rsidRDefault="00A31137" w:rsidP="00A31137">
      <w:r w:rsidRPr="00A31137">
        <w:t>1990, Hodgson v. Minnesota, 497 U.S. 501</w:t>
      </w:r>
    </w:p>
    <w:p w:rsidR="00A31137" w:rsidRPr="00A31137" w:rsidRDefault="00A31137" w:rsidP="00A31137">
      <w:r w:rsidRPr="00A31137">
        <w:t>No notice shall be required under this section if:</w:t>
      </w:r>
    </w:p>
    <w:p w:rsidR="00A31137" w:rsidRPr="00A31137" w:rsidRDefault="00A31137" w:rsidP="00A31137">
      <w:r w:rsidRPr="00A31137">
        <w:t>1990, Hodgson v. Minnesota, 497 U.S. 501</w:t>
      </w:r>
    </w:p>
    <w:p w:rsidR="00A31137" w:rsidRPr="00A31137" w:rsidRDefault="00A31137" w:rsidP="00A31137">
      <w:r w:rsidRPr="00A31137">
        <w:t>(a) The attending physician certifies in the pregnant woman's medical record that the abortion is necessary to prevent the woman's death and there is insufficient time to provide the required notice; or</w:t>
      </w:r>
    </w:p>
    <w:p w:rsidR="00A31137" w:rsidRPr="00A31137" w:rsidRDefault="00A31137" w:rsidP="00A31137">
      <w:r w:rsidRPr="00A31137">
        <w:t>1990, Hodgson v. Minnesota, 497 U.S. 501</w:t>
      </w:r>
    </w:p>
    <w:p w:rsidR="00A31137" w:rsidRPr="00A31137" w:rsidRDefault="00A31137" w:rsidP="00A31137">
      <w:r w:rsidRPr="00A31137">
        <w:t>(b) The abortion is authorized in writing by the person or persons who are entitled to notice; or</w:t>
      </w:r>
    </w:p>
    <w:p w:rsidR="00A31137" w:rsidRPr="00A31137" w:rsidRDefault="00A31137" w:rsidP="00A31137">
      <w:r w:rsidRPr="00A31137">
        <w:t>1990, Hodgson v. Minnesota, 497 U.S. 501</w:t>
      </w:r>
    </w:p>
    <w:p w:rsidR="00A31137" w:rsidRPr="00A31137" w:rsidRDefault="00A31137" w:rsidP="00A31137">
      <w:r w:rsidRPr="00A31137">
        <w:t>(c) The pregnant minor woman declares that she is a victim of sexual abuse, neglect, or physical abuse as defined in section 626.556. Notice of that declaration shall be made to the proper authorities as provided in section 626.556, subdivision 3.</w:t>
      </w:r>
    </w:p>
    <w:p w:rsidR="00A31137" w:rsidRPr="00A31137" w:rsidRDefault="00A31137" w:rsidP="00A31137">
      <w:r w:rsidRPr="00A31137">
        <w:t>1990, Hodgson v. Minnesota, 497 U.S. 501</w:t>
      </w:r>
    </w:p>
    <w:p w:rsidR="00A31137" w:rsidRPr="00A31137" w:rsidRDefault="00A31137" w:rsidP="00A31137">
      <w:r w:rsidRPr="00A31137">
        <w:t>Under Minn.Stat. § 626.556 (1988), if the minor declares that she is the victim of abuse, the notified physician or physician's agent must report the abuse to the local welfare or law enforcement agency within 24 hours, §§ 626.556(3)(a), (3)(e), whereupon the welfare agency</w:t>
      </w:r>
    </w:p>
    <w:p w:rsidR="00A31137" w:rsidRPr="00A31137" w:rsidRDefault="00A31137" w:rsidP="00A31137">
      <w:r w:rsidRPr="00A31137">
        <w:t>1990, Hodgson v. Minnesota, 497 U.S. 501</w:t>
      </w:r>
    </w:p>
    <w:p w:rsidR="00A31137" w:rsidRPr="00A31137" w:rsidRDefault="00A31137" w:rsidP="00A31137">
      <w:r w:rsidRPr="00A31137">
        <w:t>shall immediately conduct an assessment and offer protective social services for purposes of preventing further abuses, safeguarding and enhancing the welfare of the abused or neglected minor, and preserving family life whenever possible.</w:t>
      </w:r>
    </w:p>
    <w:p w:rsidR="00A31137" w:rsidRPr="00A31137" w:rsidRDefault="00A31137" w:rsidP="00A31137">
      <w:r w:rsidRPr="00A31137">
        <w:t>1990, Hodgson v. Minnesota, 497 U.S. 501</w:t>
      </w:r>
    </w:p>
    <w:p w:rsidR="00A31137" w:rsidRPr="00A31137" w:rsidRDefault="00A31137" w:rsidP="00A31137">
      <w:r w:rsidRPr="00A31137">
        <w:t>§ 626.556(10)(a). If the agency interviews the victim, it must notify the parent of the fact of the interview at the conclusion of the investigation unless it obtains a court order. § 626.556(10)(c). lndividuals who are subjects of the investigation have a right of access to the record of the investigation. § 626.556(11).</w:t>
      </w:r>
    </w:p>
    <w:p w:rsidR="00A31137" w:rsidRPr="00A31137" w:rsidRDefault="00A31137" w:rsidP="00A31137">
      <w:r w:rsidRPr="00A31137">
        <w:t>1990, Hodgson v. Minnesota, 497 U.S. 501</w:t>
      </w:r>
    </w:p>
    <w:p w:rsidR="00A31137" w:rsidRPr="00A31137" w:rsidRDefault="00A31137" w:rsidP="00A31137">
      <w:r w:rsidRPr="00A31137">
        <w:t>8. Subdivision 5 provides:</w:t>
      </w:r>
    </w:p>
    <w:p w:rsidR="00A31137" w:rsidRPr="00A31137" w:rsidRDefault="00A31137" w:rsidP="00A31137">
      <w:r w:rsidRPr="00A31137">
        <w:t>1990, Hodgson v. Minnesota, 497 U.S. 501</w:t>
      </w:r>
    </w:p>
    <w:p w:rsidR="00A31137" w:rsidRPr="00A31137" w:rsidRDefault="00A31137" w:rsidP="00A31137">
      <w:r w:rsidRPr="00A31137">
        <w:t>Performance of an abortion in violation of this section shall be a misdemeanor and shall be grounds for a civil action by a person wrongfully denied notification. A person shall not be held liable under this section if the person establishes by written evidence that the person relied upon evidence sufficient to convince a careful and prudent person that the representations of the pregnant woman regarding information necessary to comply with this section are bona fide and true, or if the person has attempted with reasonable diligence to deliver notice, but has been unable to do so.</w:t>
      </w:r>
    </w:p>
    <w:p w:rsidR="00A31137" w:rsidRPr="00A31137" w:rsidRDefault="00A31137" w:rsidP="00A31137">
      <w:r w:rsidRPr="00A31137">
        <w:t>1990, Hodgson v. Minnesota, 497 U.S. 501</w:t>
      </w:r>
    </w:p>
    <w:p w:rsidR="00A31137" w:rsidRPr="00A31137" w:rsidRDefault="00A31137" w:rsidP="00A31137">
      <w:r w:rsidRPr="00A31137">
        <w:t>9. Subdivision 6 provides:</w:t>
      </w:r>
    </w:p>
    <w:p w:rsidR="00A31137" w:rsidRPr="00A31137" w:rsidRDefault="00A31137" w:rsidP="00A31137">
      <w:r w:rsidRPr="00A31137">
        <w:t>1990, Hodgson v. Minnesota, 497 U.S. 501</w:t>
      </w:r>
    </w:p>
    <w:p w:rsidR="00A31137" w:rsidRPr="00A31137" w:rsidRDefault="00A31137" w:rsidP="00A31137">
      <w:r w:rsidRPr="00A31137">
        <w:t>If subdivision 2 of this law is ever temporarily or permanently restrained or enjoined by judicial order, subdivision 2 shall be enforced as though the following paragraph were incorporated as paragraph (c) of that subdivision, provided, however, that if such temporary or permanent restraining order or injunction is ever stayed or dissolved, or otherwise ceases to have effect, subdivision 2 shall have full force and effect, without being modified by the addition to the following substitute paragraph which shall have no force or effect until or unless an injunction or restraining order is again in effect.</w:t>
      </w:r>
    </w:p>
    <w:p w:rsidR="00A31137" w:rsidRPr="00A31137" w:rsidRDefault="00A31137" w:rsidP="00A31137">
      <w:r w:rsidRPr="00A31137">
        <w:t>1990, Hodgson v. Minnesota, 497 U.S. 501</w:t>
      </w:r>
    </w:p>
    <w:p w:rsidR="00A31137" w:rsidRPr="00A31137" w:rsidRDefault="00A31137" w:rsidP="00A31137">
      <w:r w:rsidRPr="00A31137">
        <w:t>(c)(i) If such a pregnant woman elects not to allow the notification of one or both of her parents or guardian or conservator, any judge of a court of competent jurisdiction shall, upon petition, or motion, and after an appropriate hearing, authorize a physician to perform the abortion if said judge determines that the pregnant woman is mature and capable of giving informed consent to the proposed abortion. If said judge determines that the pregnant woman is not mature, or if the pregnant woman does not claim to be mature, the judge shall determine whether the performance of an abortion upon her without notification of her parents, guardian, or conservator would be in her best interests and shall authorize a physician to perform the abortion without such notification if said judge concludes that the pregnant woman's best interests would be served thereby.</w:t>
      </w:r>
    </w:p>
    <w:p w:rsidR="00A31137" w:rsidRPr="00A31137" w:rsidRDefault="00A31137" w:rsidP="00A31137">
      <w:r w:rsidRPr="00A31137">
        <w:t>1990, Hodgson v. Minnesota, 497 U.S. 501</w:t>
      </w:r>
    </w:p>
    <w:p w:rsidR="00A31137" w:rsidRPr="00A31137" w:rsidRDefault="00A31137" w:rsidP="00A31137">
      <w:r w:rsidRPr="00A31137">
        <w:t>(ii) Such a pregnant woman may participate in proceedings in the court on her own behalf and the court may appoint a guardian ad litem for her. The court shall, however, advise her that she has a right to court appointed counsel, and shall, upon her request, provide her with such counsel.</w:t>
      </w:r>
    </w:p>
    <w:p w:rsidR="00A31137" w:rsidRPr="00A31137" w:rsidRDefault="00A31137" w:rsidP="00A31137">
      <w:r w:rsidRPr="00A31137">
        <w:t>1990, Hodgson v. Minnesota, 497 U.S. 501</w:t>
      </w:r>
    </w:p>
    <w:p w:rsidR="00A31137" w:rsidRPr="00A31137" w:rsidRDefault="00A31137" w:rsidP="00A31137">
      <w:r w:rsidRPr="00A31137">
        <w:t>(iii) Proceedings in the court under this section shall be confidential and shall be given such precedence over other pending matters so that the court may reach a decision promptly and without delay so as to serve the best interests of the pregnant woman. A judge of the court who conducts proceedings under this section shall make in writing specific factual findings and legal conclusions supporting the decision and shall order a record of the evidence to be maintained including the judge's own findings and conclusions.</w:t>
      </w:r>
    </w:p>
    <w:p w:rsidR="00A31137" w:rsidRPr="00A31137" w:rsidRDefault="00A31137" w:rsidP="00A31137">
      <w:r w:rsidRPr="00A31137">
        <w:t>1990, Hodgson v. Minnesota, 497 U.S. 501</w:t>
      </w:r>
    </w:p>
    <w:p w:rsidR="00A31137" w:rsidRPr="00A31137" w:rsidRDefault="00A31137" w:rsidP="00A31137">
      <w:r w:rsidRPr="00A31137">
        <w:t>(iv) An expedited confidential appeal shall be available to any such pregnant woman for whom the court denies an order authorizing an abortion without notification. An order authorizing an abortion without notification shall not be subject to appeal. No filing fees shall be required of any such pregnant woman at either the trial or the appellate level. Access to the trial court for the purposes of such a petition or motion, and access to the appellate courts for purposes of making an appeal from denial of the same, shall be afforded such a pregnant woman 24 hours a day, seven days a week.</w:t>
      </w:r>
    </w:p>
    <w:p w:rsidR="00A31137" w:rsidRPr="00A31137" w:rsidRDefault="00A31137" w:rsidP="00A31137">
      <w:r w:rsidRPr="00A31137">
        <w:t>1990, Hodgson v. Minnesota, 497 U.S. 501</w:t>
      </w:r>
    </w:p>
    <w:p w:rsidR="00A31137" w:rsidRPr="00A31137" w:rsidRDefault="00A31137" w:rsidP="00A31137">
      <w:r w:rsidRPr="00A31137">
        <w:t>10. Brief for Petitioner in No. 88-1309, p. 4 (hereinafter Minn.Br.); see also id. at 8-9.</w:t>
      </w:r>
    </w:p>
    <w:p w:rsidR="00A31137" w:rsidRPr="00A31137" w:rsidRDefault="00A31137" w:rsidP="00A31137">
      <w:r w:rsidRPr="00A31137">
        <w:t>1990, Hodgson v. Minnesota, 497 U.S. 501</w:t>
      </w:r>
    </w:p>
    <w:p w:rsidR="00A31137" w:rsidRPr="00A31137" w:rsidRDefault="00A31137" w:rsidP="00A31137">
      <w:r w:rsidRPr="00A31137">
        <w:t>11.</w:t>
      </w:r>
    </w:p>
    <w:p w:rsidR="00A31137" w:rsidRPr="00A31137" w:rsidRDefault="00A31137" w:rsidP="00A31137">
      <w:r w:rsidRPr="00A31137">
        <w:t>1990, Hodgson v. Minnesota, 497 U.S. 501</w:t>
      </w:r>
    </w:p>
    <w:p w:rsidR="00A31137" w:rsidRPr="00A31137" w:rsidRDefault="00A31137" w:rsidP="00A31137">
      <w:r w:rsidRPr="00A31137">
        <w:t>The Minnesota legislature had several purposes in mind when it amended Minn.Stat. § 144.343 in 1981. The primary purpose was to protect the wellbeing of minors by encouraging minors to discuss with their parents the decision whether to terminate their pregnancies. Encouraging such discussion was intended to achieve several salutary results. Parents can provide emotional support and guidance and thus forestall irrational and emotional decisionmaking. Parents can also provide information concerning the minor's medical history of which the minor may not be aware. Parents can also supervise post-abortion care. In addition, parents can support the minor's psychological wellbeing and thus mitigate adverse psychological sequelae that may attend the abortion procedure.</w:t>
      </w:r>
    </w:p>
    <w:p w:rsidR="00A31137" w:rsidRPr="00A31137" w:rsidRDefault="00A31137" w:rsidP="00A31137">
      <w:r w:rsidRPr="00A31137">
        <w:t>1990, Hodgson v. Minnesota, 497 U.S. 501</w:t>
      </w:r>
    </w:p>
    <w:p w:rsidR="00A31137" w:rsidRPr="00A31137" w:rsidRDefault="00A31137" w:rsidP="00A31137">
      <w:r w:rsidRPr="00A31137">
        <w:t>648 F.Supp. 756, 765-766 (Minn. 1 986).</w:t>
      </w:r>
    </w:p>
    <w:p w:rsidR="00A31137" w:rsidRPr="00A31137" w:rsidRDefault="00A31137" w:rsidP="00A31137">
      <w:r w:rsidRPr="00A31137">
        <w:t>1990, Hodgson v. Minnesota, 497 U.S. 501</w:t>
      </w:r>
    </w:p>
    <w:p w:rsidR="00A31137" w:rsidRPr="00A31137" w:rsidRDefault="00A31137" w:rsidP="00A31137">
      <w:r w:rsidRPr="00A31137">
        <w:t>12. The District Court's finding 59 reads as follows:</w:t>
      </w:r>
    </w:p>
    <w:p w:rsidR="00A31137" w:rsidRPr="00A31137" w:rsidRDefault="00A31137" w:rsidP="00A31137">
      <w:r w:rsidRPr="00A31137">
        <w:t>1990, Hodgson v. Minnesota, 497 U.S. 501</w:t>
      </w:r>
    </w:p>
    <w:p w:rsidR="00A31137" w:rsidRPr="00A31137" w:rsidRDefault="00A31137" w:rsidP="00A31137">
      <w:r w:rsidRPr="00A31137">
        <w:t>The court finds that a desire to deter and dissuade minors from choosing to terminate their pregnancies also motivated the legislature. Testimony before a legislative committee considering the proposed notification requirement indicated that influential supporters of the measure hoped it "would save lives" by influencing minors to carry their pregnancies to term rather than aborting.</w:t>
      </w:r>
    </w:p>
    <w:p w:rsidR="00A31137" w:rsidRPr="00A31137" w:rsidRDefault="00A31137" w:rsidP="00A31137">
      <w:r w:rsidRPr="00A31137">
        <w:t>1990, Hodgson v. Minnesota, 497 U.S. 501</w:t>
      </w:r>
    </w:p>
    <w:p w:rsidR="00A31137" w:rsidRPr="00A31137" w:rsidRDefault="00A31137" w:rsidP="00A31137">
      <w:r w:rsidRPr="00A31137">
        <w:t>Id. at 766.</w:t>
      </w:r>
    </w:p>
    <w:p w:rsidR="00A31137" w:rsidRPr="00A31137" w:rsidRDefault="00A31137" w:rsidP="00A31137">
      <w:r w:rsidRPr="00A31137">
        <w:t>1990, Hodgson v. Minnesota, 497 U.S. 501</w:t>
      </w:r>
    </w:p>
    <w:p w:rsidR="00A31137" w:rsidRPr="00A31137" w:rsidRDefault="00A31137" w:rsidP="00A31137">
      <w:r w:rsidRPr="00A31137">
        <w:t>13.</w:t>
      </w:r>
    </w:p>
    <w:p w:rsidR="00A31137" w:rsidRPr="00A31137" w:rsidRDefault="00A31137" w:rsidP="00A31137">
      <w:r w:rsidRPr="00A31137">
        <w:t>1990, Hodgson v. Minnesota, 497 U.S. 501</w:t>
      </w:r>
    </w:p>
    <w:p w:rsidR="00A31137" w:rsidRPr="00A31137" w:rsidRDefault="00A31137" w:rsidP="00A31137">
      <w:r w:rsidRPr="00A31137">
        <w:t>The court also found that a desire to dissuade minors from choosing to terminate their pregnancies also motivated the legislature. Finding 59, Hodgson Appendix 25a. This finding was based on no more than the testimony before a legislative committee of some supporters of the act who hoped it "would save lives." There is no direct evidence, however, that this was the motive of any legislator.</w:t>
      </w:r>
    </w:p>
    <w:p w:rsidR="00A31137" w:rsidRPr="00A31137" w:rsidRDefault="00A31137" w:rsidP="00A31137">
      <w:r w:rsidRPr="00A31137">
        <w:t>1990, Hodgson v. Minnesota, 497 U.S. 501</w:t>
      </w:r>
    </w:p>
    <w:p w:rsidR="00A31137" w:rsidRPr="00A31137" w:rsidRDefault="00A31137" w:rsidP="00A31137">
      <w:r w:rsidRPr="00A31137">
        <w:t>Minn.Br. 4, n. 2.</w:t>
      </w:r>
    </w:p>
    <w:p w:rsidR="00A31137" w:rsidRPr="00A31137" w:rsidRDefault="00A31137" w:rsidP="00A31137">
      <w:r w:rsidRPr="00A31137">
        <w:t>1990, Hodgson v. Minnesota, 497 U.S. 501</w:t>
      </w:r>
    </w:p>
    <w:p w:rsidR="00A31137" w:rsidRPr="00A31137" w:rsidRDefault="00A31137" w:rsidP="00A31137">
      <w:r w:rsidRPr="00A31137">
        <w:t>14. On January 23, 1985, the court granted partial summary judgment in favor of defendants on several of the plaintiffs' claims, but reserved ruling on the constitutionality of subdivision 6 as applied until after trial.</w:t>
      </w:r>
    </w:p>
    <w:p w:rsidR="00A31137" w:rsidRPr="00A31137" w:rsidRDefault="00A31137" w:rsidP="00A31137">
      <w:r w:rsidRPr="00A31137">
        <w:t>1990, Hodgson v. Minnesota, 497 U.S. 501</w:t>
      </w:r>
    </w:p>
    <w:p w:rsidR="00A31137" w:rsidRPr="00A31137" w:rsidRDefault="00A31137" w:rsidP="00A31137">
      <w:r w:rsidRPr="00A31137">
        <w:t>15.</w:t>
      </w:r>
    </w:p>
    <w:p w:rsidR="00A31137" w:rsidRPr="00A31137" w:rsidRDefault="00A31137" w:rsidP="00A31137">
      <w:r w:rsidRPr="00A31137">
        <w:t>1990, Hodgson v. Minnesota, 497 U.S. 501</w:t>
      </w:r>
    </w:p>
    <w:p w:rsidR="00A31137" w:rsidRPr="00A31137" w:rsidRDefault="00A31137" w:rsidP="00A31137">
      <w:r w:rsidRPr="00A31137">
        <w:t>Where the underlying notification provision is unconstitutional because, with respect to children of broken families, it fails to further the state's significant interests, however, a mature minor or minor whose best interests are contrary to notifying the noncustodial parent is forced to either suffer the unconstitutional requirement or submit to the burdensome court bypass procedure. Such a Hobson's choice fails to further any significant interest. Just as there must be a constitutional judicial alternative to a notice requirement, so there must be a constitutional notice or consent alternative to the court bypass.</w:t>
      </w:r>
    </w:p>
    <w:p w:rsidR="00A31137" w:rsidRPr="00A31137" w:rsidRDefault="00A31137" w:rsidP="00A31137">
      <w:r w:rsidRPr="00A31137">
        <w:t>1990, Hodgson v. Minnesota, 497 U.S. 501</w:t>
      </w:r>
    </w:p>
    <w:p w:rsidR="00A31137" w:rsidRPr="00A31137" w:rsidRDefault="00A31137" w:rsidP="00A31137">
      <w:r w:rsidRPr="00A31137">
        <w:t>The second reason for our conclusion that the court bypass procedure does not save the two-parent notification requirement is that, where the parents are divorced, the minor and/or custodial parent, and not a court, is in the best position to determine whether notifying the noncustodial parent would be in the child's best interests. In situations where the minor has a good relationship with the noncustodial parent but the custodial parent does not, there is nothing to prevent the minor from consulting with the noncustodial parent if she so desires. The minor and custodial parent, however, by virtue of their major interest and superior position, should alone have the opportunity to decide to whom, if anyone, notice of the minor's abortion decision should be given.</w:t>
      </w:r>
    </w:p>
    <w:p w:rsidR="00A31137" w:rsidRPr="00A31137" w:rsidRDefault="00A31137" w:rsidP="00A31137">
      <w:r w:rsidRPr="00A31137">
        <w:t>1990, Hodgson v. Minnesota, 497 U.S. 501</w:t>
      </w:r>
    </w:p>
    <w:p w:rsidR="00A31137" w:rsidRPr="00A31137" w:rsidRDefault="00A31137" w:rsidP="00A31137">
      <w:r w:rsidRPr="00A31137">
        <w:t>App. to Pet. for Cert. in No. 88-1125, pp. 68a-69a (citations omitted).</w:t>
      </w:r>
    </w:p>
    <w:p w:rsidR="00A31137" w:rsidRPr="00A31137" w:rsidRDefault="00A31137" w:rsidP="00A31137">
      <w:r w:rsidRPr="00A31137">
        <w:t>1990, Hodgson v. Minnesota, 497 U.S. 501</w:t>
      </w:r>
    </w:p>
    <w:p w:rsidR="00A31137" w:rsidRPr="00A31137" w:rsidRDefault="00A31137" w:rsidP="00A31137">
      <w:r w:rsidRPr="00A31137">
        <w:t>16. The panel did not reach the question of the constitutionality or severability of the mandatory 48-hour waiting period. A concurring judge agreed with the panel that a requirement that a pregnant minor seeking an abortion notify a noncustodial parent could not withstand constitutional scrutiny, and was not saved by a court bypass procedure. Id. at 72a.</w:t>
      </w:r>
    </w:p>
    <w:p w:rsidR="00A31137" w:rsidRPr="00A31137" w:rsidRDefault="00A31137" w:rsidP="00A31137">
      <w:r w:rsidRPr="00A31137">
        <w:t>1990, Hodgson v. Minnesota, 497 U.S. 501</w:t>
      </w:r>
    </w:p>
    <w:p w:rsidR="00A31137" w:rsidRPr="00A31137" w:rsidRDefault="00A31137" w:rsidP="00A31137">
      <w:r w:rsidRPr="00A31137">
        <w:t>17. 853 F.2d, at 1460, quoting from Justice Powell's opinion in Bellotti v. Baird, 443 U.S. 622, 640-641 (1979) (Bellotti II).</w:t>
      </w:r>
    </w:p>
    <w:p w:rsidR="00A31137" w:rsidRPr="00A31137" w:rsidRDefault="00A31137" w:rsidP="00A31137">
      <w:r w:rsidRPr="00A31137">
        <w:t>1990, Hodgson v. Minnesota, 497 U.S. 501</w:t>
      </w:r>
    </w:p>
    <w:p w:rsidR="00A31137" w:rsidRPr="00A31137" w:rsidRDefault="00A31137" w:rsidP="00A31137">
      <w:r w:rsidRPr="00A31137">
        <w:t>18. The court also suggested that the statute furthered the "state interest in providing an opportunity for parents to supply essential medical and other information to a physician," 853 F.2d, at 1461, but the State has not argued here that that interest provides an additional basis for upholding the statute.</w:t>
      </w:r>
    </w:p>
    <w:p w:rsidR="00A31137" w:rsidRPr="00A31137" w:rsidRDefault="00A31137" w:rsidP="00A31137">
      <w:r w:rsidRPr="00A31137">
        <w:t>1990, Hodgson v. Minnesota, 497 U.S. 501</w:t>
      </w:r>
    </w:p>
    <w:p w:rsidR="00A31137" w:rsidRPr="00A31137" w:rsidRDefault="00A31137" w:rsidP="00A31137">
      <w:r w:rsidRPr="00A31137">
        <w:t>19. The court also rejected the argument that the statute violated the Equal Protection Clause by singling out abortion as the only pregnancy-related medical procedure requiring notification. Id. at 1466. The equal protection challenge is not renewed here.</w:t>
      </w:r>
    </w:p>
    <w:p w:rsidR="00A31137" w:rsidRPr="00A31137" w:rsidRDefault="00A31137" w:rsidP="00A31137">
      <w:r w:rsidRPr="00A31137">
        <w:t>1990, Hodgson v. Minnesota, 497 U.S. 501</w:t>
      </w:r>
    </w:p>
    <w:p w:rsidR="00A31137" w:rsidRPr="00A31137" w:rsidRDefault="00A31137" w:rsidP="00A31137">
      <w:r w:rsidRPr="00A31137">
        <w:t>20. See n. 14, supra.</w:t>
      </w:r>
    </w:p>
    <w:p w:rsidR="00A31137" w:rsidRPr="00A31137" w:rsidRDefault="00A31137" w:rsidP="00A31137">
      <w:r w:rsidRPr="00A31137">
        <w:t>1990, Hodgson v. Minnesota, 497 U.S. 501</w:t>
      </w:r>
    </w:p>
    <w:p w:rsidR="00A31137" w:rsidRPr="00A31137" w:rsidRDefault="00A31137" w:rsidP="00A31137">
      <w:r w:rsidRPr="00A31137">
        <w:t>21. The District Court found:</w:t>
      </w:r>
    </w:p>
    <w:p w:rsidR="00A31137" w:rsidRPr="00A31137" w:rsidRDefault="00A31137" w:rsidP="00A31137">
      <w:r w:rsidRPr="00A31137">
        <w:t>1990, Hodgson v. Minnesota, 497 U.S. 501</w:t>
      </w:r>
    </w:p>
    <w:p w:rsidR="00A31137" w:rsidRPr="00A31137" w:rsidRDefault="00A31137" w:rsidP="00A31137">
      <w:r w:rsidRPr="00A31137">
        <w:t>During the period for which statistics have been compiled, 3,573 bypass petitions were filed in Minnesota courts. Six petitions were withdrawn before decision. Nine petitions were denied and 3,558 were granted.</w:t>
      </w:r>
    </w:p>
    <w:p w:rsidR="00A31137" w:rsidRPr="00A31137" w:rsidRDefault="00A31137" w:rsidP="00A31137">
      <w:r w:rsidRPr="00A31137">
        <w:t>1990, Hodgson v. Minnesota, 497 U.S. 501</w:t>
      </w:r>
    </w:p>
    <w:p w:rsidR="00A31137" w:rsidRPr="00A31137" w:rsidRDefault="00A31137" w:rsidP="00A31137">
      <w:r w:rsidRPr="00A31137">
        <w:t>Finding No. 55, 648 F.Supp., at 765.</w:t>
      </w:r>
    </w:p>
    <w:p w:rsidR="00A31137" w:rsidRPr="00A31137" w:rsidRDefault="00A31137" w:rsidP="00A31137">
      <w:r w:rsidRPr="00A31137">
        <w:t>1990, Hodgson v. Minnesota, 497 U.S. 501</w:t>
      </w:r>
    </w:p>
    <w:p w:rsidR="00A31137" w:rsidRPr="00A31137" w:rsidRDefault="00A31137" w:rsidP="00A31137">
      <w:r w:rsidRPr="00A31137">
        <w:t>22. Planned Parenthood of Central Missouri v. Danforth, 428 U.S. 52, 72-75 (1976); Bellotti v. Baird, 428 U.S. 132 (1976) (Bellotti I); Bellotti II, 443 U.S. 622 (1979); H.L. v. Matheson, 450 U.S. 398 (1981); Akron v. Akron Center for Reproductive Health, Inc., 462 U.S. 416, 439-442 (1983); and Planned Parenthood Assn. of Kansas City, Mo., Inc. v. Ashcroft, 462 U.S. 476, 490-493 (1983); id. at  505 (O'CONNOR, J., concurring in judgment in part and dissenting in part).</w:t>
      </w:r>
    </w:p>
    <w:p w:rsidR="00A31137" w:rsidRPr="00A31137" w:rsidRDefault="00A31137" w:rsidP="00A31137">
      <w:r w:rsidRPr="00A31137">
        <w:t>1990, Hodgson v. Minnesota, 497 U.S. 501</w:t>
      </w:r>
    </w:p>
    <w:p w:rsidR="00A31137" w:rsidRPr="00A31137" w:rsidRDefault="00A31137" w:rsidP="00A31137">
      <w:r w:rsidRPr="00A31137">
        <w:t>23. The Utah statute reviewed in Matheson required the physician to "[n]otify, if possible, the parents or guardian of the woman upon whom the abortion is to be performed." Utah Code Ann. § 76-7-304(2) (1990). Unlike the Minnesota statute under review today, the Utah statute did not define the term "parents." The statute is ambiguous as to whether the term refers to each parent individually or rather to the parental unit, which could be represented by either the mother or the father, and neither the argument nor the discussion in Matheson indicated that notice to both parents was required. State law, to the extent it addresses the issue, is to the contrary: although Utah law provides that a noncustodial parent retains the right to consent to marriage, enlistment, and the performance of major medical or surgical treatment, the right to notice of the minor's abortion is not among the parent's specific residual rights and duties. Utah Code Ann. § 78-3a-2(13) (Supp.1989).</w:t>
      </w:r>
    </w:p>
    <w:p w:rsidR="00A31137" w:rsidRPr="00A31137" w:rsidRDefault="00A31137" w:rsidP="00A31137">
      <w:r w:rsidRPr="00A31137">
        <w:t>1990, Hodgson v. Minnesota, 497 U.S. 501</w:t>
      </w:r>
    </w:p>
    <w:p w:rsidR="00A31137" w:rsidRPr="00A31137" w:rsidRDefault="00A31137" w:rsidP="00A31137">
      <w:r w:rsidRPr="00A31137">
        <w:t>24. The figures are not dissimilar to those throughout the Nation. See, e.g., Brief for American Psychological Association et al. as Amici Curiae 12-13 ("It is estimated that by age 17, 70 percent of white children born in 1980 will have spent at least some time with only one parent, and 94 percent of black children will have lived in one-parent homes".) (citing Hofferth, Updating Children's Life Course, 47 J. Marriage and Fam. 93 (1985)).</w:t>
      </w:r>
    </w:p>
    <w:p w:rsidR="00A31137" w:rsidRPr="00A31137" w:rsidRDefault="00A31137" w:rsidP="00A31137">
      <w:r w:rsidRPr="00A31137">
        <w:t>1990, Hodgson v. Minnesota, 497 U.S. 501</w:t>
      </w:r>
    </w:p>
    <w:p w:rsidR="00A31137" w:rsidRPr="00A31137" w:rsidRDefault="00A31137" w:rsidP="00A31137">
      <w:r w:rsidRPr="00A31137">
        <w:t>25.</w:t>
      </w:r>
    </w:p>
    <w:p w:rsidR="00A31137" w:rsidRPr="00A31137" w:rsidRDefault="00A31137" w:rsidP="00A31137">
      <w:r w:rsidRPr="00A31137">
        <w:t>1990, Hodgson v. Minnesota, 497 U.S. 501</w:t>
      </w:r>
    </w:p>
    <w:p w:rsidR="00A31137" w:rsidRPr="00A31137" w:rsidRDefault="00A31137" w:rsidP="00A31137">
      <w:r w:rsidRPr="00A31137">
        <w:t>Studies indicating that family violence occurs in two million families in the United States substantially underestimate the actual number of such families. In Minnesota alone, reports indicate that there are an average of 31,200 incidents of assault on women by their partners each year. Based on these statistics, state officials suggest that the "battering" of women by their partners "has come to be recognized as perhaps the most frequently committed violent crime in the state" of Minnesota. These numbers do not include incidents of psychological or sexual abuse, low-level physical abuse, abuse of any sort of the child of a batterer, or those incidents which are not reported. Many minors in Minnesota live in fear of violence by family members; many of them are, in fact, victims of rape, incest, neglect and violence. It is impossible to accurately assess the magnitude of the problem of family violence in Minnesota because members of dysfunctional families are characteristically secretive about such matters and minors are particularly reluctant to reveal violence or abuse in their families. Thus the incidence of such family violence is dramatically underreported.</w:t>
      </w:r>
    </w:p>
    <w:p w:rsidR="00A31137" w:rsidRPr="00A31137" w:rsidRDefault="00A31137" w:rsidP="00A31137">
      <w:r w:rsidRPr="00A31137">
        <w:t>1990, Hodgson v. Minnesota, 497 U.S. 501</w:t>
      </w:r>
    </w:p>
    <w:p w:rsidR="00A31137" w:rsidRPr="00A31137" w:rsidRDefault="00A31137" w:rsidP="00A31137">
      <w:r w:rsidRPr="00A31137">
        <w:t>648 F.Supp. at 768-769.</w:t>
      </w:r>
    </w:p>
    <w:p w:rsidR="00A31137" w:rsidRPr="00A31137" w:rsidRDefault="00A31137" w:rsidP="00A31137">
      <w:r w:rsidRPr="00A31137">
        <w:t>1990, Hodgson v. Minnesota, 497 U.S. 501</w:t>
      </w:r>
    </w:p>
    <w:p w:rsidR="00A31137" w:rsidRPr="00A31137" w:rsidRDefault="00A31137" w:rsidP="00A31137">
      <w:r w:rsidRPr="00A31137">
        <w:t>26.</w:t>
      </w:r>
    </w:p>
    <w:p w:rsidR="00A31137" w:rsidRPr="00A31137" w:rsidRDefault="00A31137" w:rsidP="00A31137">
      <w:r w:rsidRPr="00A31137">
        <w:t>1990, Hodgson v. Minnesota, 497 U.S. 501</w:t>
      </w:r>
    </w:p>
    <w:p w:rsidR="00A31137" w:rsidRPr="00A31137" w:rsidRDefault="00A31137" w:rsidP="00A31137">
      <w:r w:rsidRPr="00A31137">
        <w:t>Minors who are victims of sexual or physical abuse often are reluctant to reveal the existence of the abuse to those outside the home. More importantly, notification to government authorities creates a substantial risk that the confidentiality of the minor's decision to terminate her pregnancy will be lost. Thus, few minors choose to declare they are victims of sexual or physical abuse despite the prevalence of such abuse in Minnesota, as elsewhere.</w:t>
      </w:r>
    </w:p>
    <w:p w:rsidR="00A31137" w:rsidRPr="00A31137" w:rsidRDefault="00A31137" w:rsidP="00A31137">
      <w:r w:rsidRPr="00A31137">
        <w:t>1990, Hodgson v. Minnesota, 497 U.S. 501</w:t>
      </w:r>
    </w:p>
    <w:p w:rsidR="00A31137" w:rsidRPr="00A31137" w:rsidRDefault="00A31137" w:rsidP="00A31137">
      <w:r w:rsidRPr="00A31137">
        <w:t>Id. at 764.</w:t>
      </w:r>
    </w:p>
    <w:p w:rsidR="00A31137" w:rsidRPr="00A31137" w:rsidRDefault="00A31137" w:rsidP="00A31137">
      <w:r w:rsidRPr="00A31137">
        <w:t>1990, Hodgson v. Minnesota, 497 U.S. 501</w:t>
      </w:r>
    </w:p>
    <w:p w:rsidR="00A31137" w:rsidRPr="00A31137" w:rsidRDefault="00A31137" w:rsidP="00A31137">
      <w:r w:rsidRPr="00A31137">
        <w:t>27. As one of the guardians ad litem testified,</w:t>
      </w:r>
    </w:p>
    <w:p w:rsidR="00A31137" w:rsidRPr="00A31137" w:rsidRDefault="00A31137" w:rsidP="00A31137">
      <w:r w:rsidRPr="00A31137">
        <w:t>1990, Hodgson v. Minnesota, 497 U.S. 501</w:t>
      </w:r>
    </w:p>
    <w:p w:rsidR="00A31137" w:rsidRPr="00A31137" w:rsidRDefault="00A31137" w:rsidP="00A31137">
      <w:r w:rsidRPr="00A31137">
        <w:t>We have had situations reported to me by my other guardians as well as teenagers that I talked to myself who have said that they will consider telling one parent, usually mom, sometimes dad, but since they would have to go to court anyway, because they are absolutely sure they don't want the other parent to know, they don't tell either one.</w:t>
      </w:r>
    </w:p>
    <w:p w:rsidR="00A31137" w:rsidRPr="00A31137" w:rsidRDefault="00A31137" w:rsidP="00A31137">
      <w:r w:rsidRPr="00A31137">
        <w:t>1990, Hodgson v. Minnesota, 497 U.S. 501</w:t>
      </w:r>
    </w:p>
    <w:p w:rsidR="00A31137" w:rsidRPr="00A31137" w:rsidRDefault="00A31137" w:rsidP="00A31137">
      <w:r w:rsidRPr="00A31137">
        <w:t>App. 239 (Testimony of Susanne Smith).</w:t>
      </w:r>
    </w:p>
    <w:p w:rsidR="00A31137" w:rsidRPr="00A31137" w:rsidRDefault="00A31137" w:rsidP="00A31137">
      <w:r w:rsidRPr="00A31137">
        <w:t>1990, Hodgson v. Minnesota, 497 U.S. 501</w:t>
      </w:r>
    </w:p>
    <w:p w:rsidR="00A31137" w:rsidRPr="00A31137" w:rsidRDefault="00A31137" w:rsidP="00A31137">
      <w:r w:rsidRPr="00A31137">
        <w:t>28. See n. 21, supra.</w:t>
      </w:r>
    </w:p>
    <w:p w:rsidR="00A31137" w:rsidRPr="00A31137" w:rsidRDefault="00A31137" w:rsidP="00A31137">
      <w:r w:rsidRPr="00A31137">
        <w:t>1990, Hodgson v. Minnesota, 497 U.S. 501</w:t>
      </w:r>
    </w:p>
    <w:p w:rsidR="00A31137" w:rsidRPr="00A31137" w:rsidRDefault="00A31137" w:rsidP="00A31137">
      <w:r w:rsidRPr="00A31137">
        <w:t>29. One testified that minors found the bypass procedure "a very nerve-racking experience," Finding 60, 648 F.Supp. at 766; another testified that the minor's "level of apprehension is twice what I normally see in court." Ibid. A Massachusetts judge who heard similar petitions in that State expressed the opinion that "going to court was 'absolutely' traumatic for minors…at a very, very difficult time in their lives." Ibid. One judge stated that he did not "perceive any useful public purpose to what I am doing in these cases," and that he did not "see anything that is being accomplished that is useful to anybody." Testimony of Gerald C. Martin, App. in No. 86-5423 (CA8), pp. A-488-A-489.</w:t>
      </w:r>
    </w:p>
    <w:p w:rsidR="00A31137" w:rsidRPr="00A31137" w:rsidRDefault="00A31137" w:rsidP="00A31137">
      <w:r w:rsidRPr="00A31137">
        <w:t>1990, Hodgson v. Minnesota, 497 U.S. 501</w:t>
      </w:r>
    </w:p>
    <w:p w:rsidR="00A31137" w:rsidRPr="00A31137" w:rsidRDefault="00A31137" w:rsidP="00A31137">
      <w:r w:rsidRPr="00A31137">
        <w:t>The public defenders and guardians ad litem gave similar testimony. See Testimony of Cynthia Daly (public defender) App. 187 (bypass "was another hoop to jump through and a very damaging and stress-producing procedure that didn't do any good"); Testimony of Susanne Smith (guardian ad litem), id. at 234. ("The teenagers that we see in the guardian's office are very nervous, very scared. Some of them are terrified about court processes. They are often exhausted…. They are upset about and tell us that they are upset about the fact that they have to explain very intimate details of their personal lives to strangers. They talk about feeling that they don't belong in the court system, that they are ashamed, embarrassed and somehow that they are being punished for the situation they are in"); Testimony of Heather Sweetland (public defender) App. in No. 86-5423 (CA8), p. A-585 ("Most of the women that are my clients in these hearings are scared…Some of them will relax slightly, but the majority of them are very nervous").</w:t>
      </w:r>
    </w:p>
    <w:p w:rsidR="00A31137" w:rsidRPr="00A31137" w:rsidRDefault="00A31137" w:rsidP="00A31137">
      <w:r w:rsidRPr="00A31137">
        <w:t>1990, Hodgson v. Minnesota, 497 U.S. 501</w:t>
      </w:r>
    </w:p>
    <w:p w:rsidR="00A31137" w:rsidRPr="00A31137" w:rsidRDefault="00A31137" w:rsidP="00A31137">
      <w:r w:rsidRPr="00A31137">
        <w:t>Doctor Hodgson, one of the plaintiffs in this case, testified that, when her minor patients returned from the court process,</w:t>
      </w:r>
    </w:p>
    <w:p w:rsidR="00A31137" w:rsidRPr="00A31137" w:rsidRDefault="00A31137" w:rsidP="00A31137">
      <w:r w:rsidRPr="00A31137">
        <w:t>1990, Hodgson v. Minnesota, 497 U.S. 501</w:t>
      </w:r>
    </w:p>
    <w:p w:rsidR="00A31137" w:rsidRPr="00A31137" w:rsidRDefault="00A31137" w:rsidP="00A31137">
      <w:r w:rsidRPr="00A31137">
        <w:t>some of them are wringing wet with perspiration. They're markedly relieved, many of them. They—they dread the court procedure often more than the actual abortion procedure. And it—it's frequently necessary to give them a sedative of some kind beforehand.</w:t>
      </w:r>
    </w:p>
    <w:p w:rsidR="00A31137" w:rsidRPr="00A31137" w:rsidRDefault="00A31137" w:rsidP="00A31137">
      <w:r w:rsidRPr="00A31137">
        <w:t>1990, Hodgson v. Minnesota, 497 U.S. 501</w:t>
      </w:r>
    </w:p>
    <w:p w:rsidR="00A31137" w:rsidRPr="00A31137" w:rsidRDefault="00A31137" w:rsidP="00A31137">
      <w:r w:rsidRPr="00A31137">
        <w:t>App. 468.</w:t>
      </w:r>
    </w:p>
    <w:p w:rsidR="00A31137" w:rsidRPr="00A31137" w:rsidRDefault="00A31137" w:rsidP="00A31137">
      <w:r w:rsidRPr="00A31137">
        <w:t>1990, Hodgson v. Minnesota, 497 U.S. 501</w:t>
      </w:r>
    </w:p>
    <w:p w:rsidR="00A31137" w:rsidRPr="00A31137" w:rsidRDefault="00A31137" w:rsidP="00A31137">
      <w:r w:rsidRPr="00A31137">
        <w:t>30. According to the testimony at trial, parents who participated in the bypass procedure—many of whom had never before been in court—were "real upset" about having to appear in court, id. at 167, and were "angry, they were worried about their kid and they were nervous too." Id. at 186.</w:t>
      </w:r>
    </w:p>
    <w:p w:rsidR="00A31137" w:rsidRPr="00A31137" w:rsidRDefault="00A31137" w:rsidP="00A31137">
      <w:r w:rsidRPr="00A31137">
        <w:t>1990, Hodgson v. Minnesota, 497 U.S. 501</w:t>
      </w:r>
    </w:p>
    <w:p w:rsidR="00A31137" w:rsidRPr="00A31137" w:rsidRDefault="00A31137" w:rsidP="00A31137">
      <w:r w:rsidRPr="00A31137">
        <w:t>31.</w:t>
      </w:r>
    </w:p>
    <w:p w:rsidR="00A31137" w:rsidRPr="00A31137" w:rsidRDefault="00A31137" w:rsidP="00A31137">
      <w:r w:rsidRPr="00A31137">
        <w:t>1990, Hodgson v. Minnesota, 497 U.S. 501</w:t>
      </w:r>
    </w:p>
    <w:p w:rsidR="00A31137" w:rsidRPr="00A31137" w:rsidRDefault="00A31137" w:rsidP="00A31137">
      <w:r w:rsidRPr="00A31137">
        <w:t>Properly understood…the tradition of parental authority is not inconsistent with our tradition of individual liberty; rather, the former is one of the basic presuppositions of the latter. Legal restrictions on minors, especially those supportive of the parental role, may be important to the child's chances for the full growth and maturity that make eventual participation in a free society meaningful and rewarding.</w:t>
      </w:r>
    </w:p>
    <w:p w:rsidR="00A31137" w:rsidRPr="00A31137" w:rsidRDefault="00A31137" w:rsidP="00A31137">
      <w:r w:rsidRPr="00A31137">
        <w:t>1990, Hodgson v. Minnesota, 497 U.S. 501</w:t>
      </w:r>
    </w:p>
    <w:p w:rsidR="00A31137" w:rsidRPr="00A31137" w:rsidRDefault="00A31137" w:rsidP="00A31137">
      <w:r w:rsidRPr="00A31137">
        <w:t>Bellotti II, 443 U.S. at 638-639 (opinion of Powell, J.). See also Stanford v. Kentucky, 492 U.S. 361, 394-396 (1989) (BRENNAN, J., dissenting); Thompson v. Oklahoma, 487 U.S. 815, 825-826, n. 23 (1988) (plurality opinion).</w:t>
      </w:r>
    </w:p>
    <w:p w:rsidR="00A31137" w:rsidRPr="00A31137" w:rsidRDefault="00A31137" w:rsidP="00A31137">
      <w:r w:rsidRPr="00A31137">
        <w:t>1990, Hodgson v. Minnesota, 497 U.S. 501</w:t>
      </w:r>
    </w:p>
    <w:p w:rsidR="00A31137" w:rsidRPr="00A31137" w:rsidRDefault="00A31137" w:rsidP="00A31137">
      <w:r w:rsidRPr="00A31137">
        <w:t>32. Under common law principles, one parent has authority to act as agent for the other in matters of their child's upbringing and education. See E. Spencer, Law of Domestic Relations 432 (1911); T. Reeve, Law of Baron and Femme 295 (1816).</w:t>
      </w:r>
    </w:p>
    <w:p w:rsidR="00A31137" w:rsidRPr="00A31137" w:rsidRDefault="00A31137" w:rsidP="00A31137">
      <w:r w:rsidRPr="00A31137">
        <w:t>1990, Hodgson v. Minnesota, 497 U.S. 501</w:t>
      </w:r>
    </w:p>
    <w:p w:rsidR="00A31137" w:rsidRPr="00A31137" w:rsidRDefault="00A31137" w:rsidP="00A31137">
      <w:r w:rsidRPr="00A31137">
        <w:t>33.</w:t>
      </w:r>
    </w:p>
    <w:p w:rsidR="00A31137" w:rsidRPr="00A31137" w:rsidRDefault="00A31137" w:rsidP="00A31137">
      <w:r w:rsidRPr="00A31137">
        <w:t>1990, Hodgson v. Minnesota, 497 U.S. 501</w:t>
      </w:r>
    </w:p>
    <w:p w:rsidR="00A31137" w:rsidRPr="00A31137" w:rsidRDefault="00A31137" w:rsidP="00A31137">
      <w:r w:rsidRPr="00A31137">
        <w:t>Certainly the safeguarding of the home does not follow merely from the sanctity of property rights. The home derives its preeminence as the seat of family life. And the integrity of that life is something so fundamental that it has been found to draw to its protection the principles of more than one explicitly granted Constitutional right.</w:t>
      </w:r>
    </w:p>
    <w:p w:rsidR="00A31137" w:rsidRPr="00A31137" w:rsidRDefault="00A31137" w:rsidP="00A31137">
      <w:r w:rsidRPr="00A31137">
        <w:t>1990, Hodgson v. Minnesota, 497 U.S. 501</w:t>
      </w:r>
    </w:p>
    <w:p w:rsidR="00A31137" w:rsidRPr="00A31137" w:rsidRDefault="00A31137" w:rsidP="00A31137">
      <w:r w:rsidRPr="00A31137">
        <w:t>Poe v. Ullman, 367 U.S. 497, 551-552 (1961) (Harlan, J., dissenting).</w:t>
      </w:r>
    </w:p>
    <w:p w:rsidR="00A31137" w:rsidRPr="00A31137" w:rsidRDefault="00A31137" w:rsidP="00A31137">
      <w:r w:rsidRPr="00A31137">
        <w:t>1990, Hodgson v. Minnesota, 497 U.S. 501</w:t>
      </w:r>
    </w:p>
    <w:p w:rsidR="00A31137" w:rsidRPr="00A31137" w:rsidRDefault="00A31137" w:rsidP="00A31137">
      <w:r w:rsidRPr="00A31137">
        <w:t>Far more than contraceptives, at issue in Poe and Griswold v. Connecticut, 381 U.S. 479 (1965), the married couple has a well-recognized interest in protecting the sanctity of their communications from undue interference by the State. See, e.g., Stein v. Bowman, 13 Pet. 209, 223 (1839) ("This rule is founded upon the deepest and soundest principles of our nature. Principles which have grown out of those domestic relations, that constitute the basis of civil society and which are essential to the enjoyment of that confidence which should subsist between those who are connected by the nearest and dearest relations of life. To break down or impair the great principles which protect the sanctities of husband and wife would be to destroy the best solace of human existence"); 2 W. Best, Principles of Law of Evidence 994-995 (1st Am. ed. 1876); 1 S. Greenleaf, Law of Evidence 286 287 (12th ed. 1866); 1 M. Phillips, Law of Evidence 69-80 (3d ed. 1849).</w:t>
      </w:r>
    </w:p>
    <w:p w:rsidR="00A31137" w:rsidRPr="00A31137" w:rsidRDefault="00A31137" w:rsidP="00A31137">
      <w:r w:rsidRPr="00A31137">
        <w:t>1990, Hodgson v. Minnesota, 497 U.S. 501</w:t>
      </w:r>
    </w:p>
    <w:p w:rsidR="00A31137" w:rsidRPr="00A31137" w:rsidRDefault="00A31137" w:rsidP="00A31137">
      <w:r w:rsidRPr="00A31137">
        <w:t>34. The record contains the telephone training manual of one clinic which contemplates that notification will be made on the date the patient contacts the clinic to arrange an abortion so that the appointment can be scheduled for a few days later. Since that clinic typically has a 1- to 2-day backlog, App. 146-147, the statutory waiting period creates little delay.</w:t>
      </w:r>
    </w:p>
    <w:p w:rsidR="00A31137" w:rsidRPr="00A31137" w:rsidRDefault="00A31137" w:rsidP="00A31137">
      <w:r w:rsidRPr="00A31137">
        <w:t>1990, Hodgson v. Minnesota, 497 U.S. 501</w:t>
      </w:r>
    </w:p>
    <w:p w:rsidR="00A31137" w:rsidRPr="00A31137" w:rsidRDefault="00A31137" w:rsidP="00A31137">
      <w:r w:rsidRPr="00A31137">
        <w:t>35. Akron v. Akron Center for Reproductive Health, Inc., 462 U.S. at  449, upon which the plaintiffs rely, is not to the contrary. There we invalidated a provision that required that mature women, capable of consenting to an abortion, wait 24 hours after giving consent before undergoing an abortion. The only legitimate state interest asserted was that the "woman's decision be informed." Id. at  450. We decided that</w:t>
      </w:r>
    </w:p>
    <w:p w:rsidR="00A31137" w:rsidRPr="00A31137" w:rsidRDefault="00A31137" w:rsidP="00A31137">
      <w:r w:rsidRPr="00A31137">
        <w:t>1990, Hodgson v. Minnesota, 497 U.S. 501</w:t>
      </w:r>
    </w:p>
    <w:p w:rsidR="00A31137" w:rsidRPr="00A31137" w:rsidRDefault="00A31137" w:rsidP="00A31137">
      <w:r w:rsidRPr="00A31137">
        <w:t>if a woman, after appropriate counseling, is prepared to give her written informed consent and proceed with the abortion, a State may not demand that she delay the effectuation of that decision.</w:t>
      </w:r>
    </w:p>
    <w:p w:rsidR="00A31137" w:rsidRPr="00A31137" w:rsidRDefault="00A31137" w:rsidP="00A31137">
      <w:r w:rsidRPr="00A31137">
        <w:t>1990, Hodgson v. Minnesota, 497 U.S. 501</w:t>
      </w:r>
    </w:p>
    <w:p w:rsidR="00A31137" w:rsidRPr="00A31137" w:rsidRDefault="00A31137" w:rsidP="00A31137">
      <w:r w:rsidRPr="00A31137">
        <w:t>Id. at 450-451. By contrast, in this case, the State asserts a legitimate interest in protecting minor women from their own immaturity. As we explain in the text, the right of the minor to make an informed decision to terminate her pregnancy is not defeated by the 48-hour waiting period. It is significant that the statute does not impose a waiting period if a substitute competent decisionmaker—a parent or court—gives affirmative consent to the abortion.</w:t>
      </w:r>
    </w:p>
    <w:p w:rsidR="00A31137" w:rsidRPr="00A31137" w:rsidRDefault="00A31137" w:rsidP="00A31137">
      <w:r w:rsidRPr="00A31137">
        <w:t>1990, Hodgson v. Minnesota, 497 U.S. 501</w:t>
      </w:r>
    </w:p>
    <w:p w:rsidR="00A31137" w:rsidRPr="00A31137" w:rsidRDefault="00A31137" w:rsidP="00A31137">
      <w:r w:rsidRPr="00A31137">
        <w:t>36. The most common reason for not notifying the second parent was that that parent was a child or spouse-batterer, App. at 204, and notification would have provoked further abuse. For example, Judge Allen Oleisky, whose familiarity with the Minnesota statute is based on his having heard over 1,000 petitions from minors, id. at 154, testified that battering is a frequent crime in Minnesota, that parents seek an exemption from the notification requirement because they have been battered or are afraid of assault, and that notification of the father would "set the whole thing off again in some cases." Id. at 166-167. See also id. at 237, 245, 339.</w:t>
      </w:r>
    </w:p>
    <w:p w:rsidR="00A31137" w:rsidRPr="00A31137" w:rsidRDefault="00A31137" w:rsidP="00A31137">
      <w:r w:rsidRPr="00A31137">
        <w:t>1990, Hodgson v. Minnesota, 497 U.S. 501</w:t>
      </w:r>
    </w:p>
    <w:p w:rsidR="00A31137" w:rsidRPr="00A31137" w:rsidRDefault="00A31137" w:rsidP="00A31137">
      <w:r w:rsidRPr="00A31137">
        <w:t>That testimony is confirmed by the uncontradicted testimony of one of plaintiffs' experts that notice of a daughter's pregnancy</w:t>
      </w:r>
    </w:p>
    <w:p w:rsidR="00A31137" w:rsidRPr="00A31137" w:rsidRDefault="00A31137" w:rsidP="00A31137">
      <w:r w:rsidRPr="00A31137">
        <w:t>1990, Hodgson v. Minnesota, 497 U.S. 501</w:t>
      </w:r>
    </w:p>
    <w:p w:rsidR="00A31137" w:rsidRPr="00A31137" w:rsidRDefault="00A31137" w:rsidP="00A31137">
      <w:r w:rsidRPr="00A31137">
        <w:t>would absolutely enrage [a batterer]. It would be much like showing a red cape to a bull. That kind of information just plays right into his worst fears and his most vulnerable spots. The sexual jealousy, his dislike of his daughter's going out with anybody else, would make him very angry and would probably create severe abuse as well as long-term communication difficulties.</w:t>
      </w:r>
    </w:p>
    <w:p w:rsidR="00A31137" w:rsidRPr="00A31137" w:rsidRDefault="00A31137" w:rsidP="00A31137">
      <w:r w:rsidRPr="00A31137">
        <w:t>1990, Hodgson v. Minnesota, 497 U.S. 501</w:t>
      </w:r>
    </w:p>
    <w:p w:rsidR="00A31137" w:rsidRPr="00A31137" w:rsidRDefault="00A31137" w:rsidP="00A31137">
      <w:r w:rsidRPr="00A31137">
        <w:t>Id. at 194 (Testimony of Lenore Walker).</w:t>
      </w:r>
    </w:p>
    <w:p w:rsidR="00A31137" w:rsidRPr="00A31137" w:rsidRDefault="00A31137" w:rsidP="00A31137">
      <w:r w:rsidRPr="00A31137">
        <w:t>1990, Hodgson v. Minnesota, 497 U.S. 501</w:t>
      </w:r>
    </w:p>
    <w:p w:rsidR="00A31137" w:rsidRPr="00A31137" w:rsidRDefault="00A31137" w:rsidP="00A31137">
      <w:r w:rsidRPr="00A31137">
        <w:t>37. Justice KENNEDY recognizes that parental rights are coupled with parental responsibilities, post at  483, and that</w:t>
      </w:r>
    </w:p>
    <w:p w:rsidR="00A31137" w:rsidRPr="00A31137" w:rsidRDefault="00A31137" w:rsidP="00A31137">
      <w:r w:rsidRPr="00A31137">
        <w:t>1990, Hodgson v. Minnesota, 497 U.S. 501</w:t>
      </w:r>
    </w:p>
    <w:p w:rsidR="00A31137" w:rsidRPr="00A31137" w:rsidRDefault="00A31137" w:rsidP="00A31137">
      <w:r w:rsidRPr="00A31137">
        <w:t>a State [may] legislate on the premise that parents, as a general rule, are interested in their children's welfare and will act in accord with it,</w:t>
      </w:r>
    </w:p>
    <w:p w:rsidR="00A31137" w:rsidRPr="00A31137" w:rsidRDefault="00A31137" w:rsidP="00A31137">
      <w:r w:rsidRPr="00A31137">
        <w:t>1990, Hodgson v. Minnesota, 497 U.S. 501</w:t>
      </w:r>
    </w:p>
    <w:p w:rsidR="00A31137" w:rsidRPr="00A31137" w:rsidRDefault="00A31137" w:rsidP="00A31137">
      <w:r w:rsidRPr="00A31137">
        <w:t>post at  485. That, of course, is precisely our point. What the State may not do is legislate on the generalized assumptions that a parent in an intact family will not act in his or her child's best interests and will fail to involve the other parent in the child's upbringing when that involvement is appropriate.</w:t>
      </w:r>
    </w:p>
    <w:p w:rsidR="00A31137" w:rsidRPr="00A31137" w:rsidRDefault="00A31137" w:rsidP="00A31137">
      <w:r w:rsidRPr="00A31137">
        <w:t>1990, Hodgson v. Minnesota, 497 U.S. 501</w:t>
      </w:r>
    </w:p>
    <w:p w:rsidR="00A31137" w:rsidRPr="00A31137" w:rsidRDefault="00A31137" w:rsidP="00A31137">
      <w:r w:rsidRPr="00A31137">
        <w:t>38. See, e.g., Brief for American Psychological Association et al. as Amici Curiae 6, n. 8 (state law typically allows a minor parent—whatever her age—to consent to the health care of her child); Brief for the American College of Obstetricians and Gynecologists et al. as Amici Curiae 25 ("In areas that do not deal with sexuality or substance abuse, states require, at most, a single parent's consent before performing medical procedures on a minor").</w:t>
      </w:r>
    </w:p>
    <w:p w:rsidR="00A31137" w:rsidRPr="00A31137" w:rsidRDefault="00A31137" w:rsidP="00A31137">
      <w:r w:rsidRPr="00A31137">
        <w:t>MARSHALL, J., concurring and dissenting (Footnotes)</w:t>
      </w:r>
    </w:p>
    <w:p w:rsidR="00A31137" w:rsidRPr="00A31137" w:rsidRDefault="00A31137" w:rsidP="00A31137">
      <w:r w:rsidRPr="00A31137">
        <w:t>1990, Hodgson v. Minnesota, 497 U.S. 501</w:t>
      </w:r>
    </w:p>
    <w:p w:rsidR="00A31137" w:rsidRPr="00A31137" w:rsidRDefault="00A31137" w:rsidP="00A31137">
      <w:r w:rsidRPr="00A31137">
        <w:t>1. 1 concur in Part VII on the understanding that the opinion does not dispute that a minor's liberty interest alone outweighs the interest of the second parent in shaping a child's values and lifestyles, regardless of the interest of the first parent. Cf. ante at 452-453.</w:t>
      </w:r>
    </w:p>
    <w:p w:rsidR="00A31137" w:rsidRPr="00A31137" w:rsidRDefault="00A31137" w:rsidP="00A31137">
      <w:r w:rsidRPr="00A31137">
        <w:t>1990, Hodgson v. Minnesota, 497 U.S. 501</w:t>
      </w:r>
    </w:p>
    <w:p w:rsidR="00A31137" w:rsidRPr="00A31137" w:rsidRDefault="00A31137" w:rsidP="00A31137">
      <w:r w:rsidRPr="00A31137">
        <w:t>2. The statute provides for one-parent notification where only one parent is living or where the second parent "cannot be located through reasonably diligent effort." Minn.Stat. § 144.343(3) (1988).</w:t>
      </w:r>
    </w:p>
    <w:p w:rsidR="00A31137" w:rsidRPr="00A31137" w:rsidRDefault="00A31137" w:rsidP="00A31137">
      <w:r w:rsidRPr="00A31137">
        <w:t>1990, Hodgson v. Minnesota, 497 U.S. 501</w:t>
      </w:r>
    </w:p>
    <w:p w:rsidR="00A31137" w:rsidRPr="00A31137" w:rsidRDefault="00A31137" w:rsidP="00A31137">
      <w:r w:rsidRPr="00A31137">
        <w:t>3. Dr. Jane Hodgson testified before the District Court that one 14-year-old patient, in order to keep her pregnancy private, tried to induce an abortion with the help of her friends by inserting a metallic object into her vagina, thereby tearing her body, scarring her cervix, and causing bleeding. When that attempt failed to induce an abortion, the patient, then four or five months pregnant, finally went to an abortion clinic. Because of the damage to the patient's cervix, doctors had to perform a hysterotomy, meaning that that woman must have a Cesarean section to deliver a child in the future. App. 462.</w:t>
      </w:r>
    </w:p>
    <w:p w:rsidR="00A31137" w:rsidRPr="00A31137" w:rsidRDefault="00A31137" w:rsidP="00A31137">
      <w:r w:rsidRPr="00A31137">
        <w:t>1990, Hodgson v. Minnesota, 497 U.S. 501</w:t>
      </w:r>
    </w:p>
    <w:p w:rsidR="00A31137" w:rsidRPr="00A31137" w:rsidRDefault="00A31137" w:rsidP="00A31137">
      <w:r w:rsidRPr="00A31137">
        <w:t>4. As Justice STEVENS notes, ante at  449, the 48-hour delay does not apply if a parent or court consents to the abortion.</w:t>
      </w:r>
    </w:p>
    <w:p w:rsidR="00A31137" w:rsidRPr="00A31137" w:rsidRDefault="00A31137" w:rsidP="00A31137">
      <w:r w:rsidRPr="00A31137">
        <w:t>1990, Hodgson v. Minnesota, 497 U.S. 501</w:t>
      </w:r>
    </w:p>
    <w:p w:rsidR="00A31137" w:rsidRPr="00A31137" w:rsidRDefault="00A31137" w:rsidP="00A31137">
      <w:r w:rsidRPr="00A31137">
        <w:t>5. Although these other factors would constrain a young woman's ability to schedule an abortion even in the absence of the 48-hour delay requirement, the addition of the immutable statutory delay reduces both the woman's and the clinic's scheduling flexibility, and thus can exacerbate the effect of the other factors. For instance, a woman might contact a clinic on Monday and find that her schedule and the clinic's allow for only a Tuesday appointment for that week. Without the 48-hour delay requirement, the woman could be treated the next day; with the statutory delay, however, the woman would be forced to wait a week.</w:t>
      </w:r>
    </w:p>
    <w:p w:rsidR="00A31137" w:rsidRPr="00A31137" w:rsidRDefault="00A31137" w:rsidP="00A31137">
      <w:r w:rsidRPr="00A31137">
        <w:t>1990, Hodgson v. Minnesota, 497 U.S. 501</w:t>
      </w:r>
    </w:p>
    <w:p w:rsidR="00A31137" w:rsidRPr="00A31137" w:rsidRDefault="00A31137" w:rsidP="00A31137">
      <w:r w:rsidRPr="00A31137">
        <w:t>6. Justice STEVENS concludes that the 48-hour delay requirement actually results in "little or no delay," because the statutory period "may run concurrently with the time necessary to make an appointment for the procedure." Ante at  449. See also post at  496 (opinion of KENNEDY, J.) ("48-hour waiting period…results in little or no delay"); 853 F.2d 1452, 1465 (CA8 1988) (en banc). Justice STEVENS bases this conclusion on the testimony of the co-administrator of one abortion clinic that a one- or two-day scheduling backlog was typical. Ante at  449, n. 34. "One or two days" however, obviously means that the backlog is not necessarily 48 hours. Furthermore, that witness also stated that if "a woman says that she must be seen on a particular day, our policy is we will always see her." App. 147. But because of the mandated 48-hour delay, the clinic cannot honor a woman's request for an abortion until at least two full days have elapsed. The testimony therefore is hardly sufficient to justify ignoring the District Court's factual finding with regard to the effects of the delay requirement.</w:t>
      </w:r>
    </w:p>
    <w:p w:rsidR="00A31137" w:rsidRPr="00A31137" w:rsidRDefault="00A31137" w:rsidP="00A31137">
      <w:r w:rsidRPr="00A31137">
        <w:t>1990, Hodgson v. Minnesota, 497 U.S. 501</w:t>
      </w:r>
    </w:p>
    <w:p w:rsidR="00A31137" w:rsidRPr="00A31137" w:rsidRDefault="00A31137" w:rsidP="00A31137">
      <w:r w:rsidRPr="00A31137">
        <w:t>7. The State also asserts that the requirements permit parents to provide doctors with relevant information about their daughters' medical history and "to assist with ensuring that proper after-care procedures are followed." Brief of Petitioners in No. 88-1309, pp. 34-36. See also ante at  448 (opinion of Justice STEVENS) (delay period "permits the parent to inquire into the competency of the doctor performing the abortion"). If these are actual state interests, it seems peculiar that the State does not try to facilitate similar parental involvement in minors' treatment for pregnancy and childbirth, see infra, this page, which pose far greater risks to the minor's health than abortion, see supra, 466-467. In any event, compelled notification is unlikely to result in helpful parental involvement in those families in which a parent reacts to the news of the daughter's predicament by rejecting or abusing the young woman. See supra, this page.</w:t>
      </w:r>
    </w:p>
    <w:p w:rsidR="00A31137" w:rsidRPr="00A31137" w:rsidRDefault="00A31137" w:rsidP="00A31137">
      <w:r w:rsidRPr="00A31137">
        <w:t>1990, Hodgson v. Minnesota, 497 U.S. 501</w:t>
      </w:r>
    </w:p>
    <w:p w:rsidR="00A31137" w:rsidRPr="00A31137" w:rsidRDefault="00A31137" w:rsidP="00A31137">
      <w:r w:rsidRPr="00A31137">
        <w:t>8. Dr. Hodgson testified that some minors dread the court procedure so much that they become "wringing wet with perspiration" and frequently require a sedative beforehand. App. 468. One judge who has heard a significant number of bypass petitions testified that the court experience is "very nervewracking" for young women. 648 F.Supp. at 766. Another testified that pregnant minors'</w:t>
      </w:r>
    </w:p>
    <w:p w:rsidR="00A31137" w:rsidRPr="00A31137" w:rsidRDefault="00A31137" w:rsidP="00A31137">
      <w:r w:rsidRPr="00A31137">
        <w:t>1990, Hodgson v. Minnesota, 497 U.S. 501</w:t>
      </w:r>
    </w:p>
    <w:p w:rsidR="00A31137" w:rsidRPr="00A31137" w:rsidRDefault="00A31137" w:rsidP="00A31137">
      <w:r w:rsidRPr="00A31137">
        <w:t>level of apprehension is twice what I normally see in court…. You see all the typical things that you would see with somebody under incredible amounts of stress—answering monosyllabically, tone of voice, tenor of voice, shaky, wringing of hands, you know, one young lady had her—her hands were turning blue and it was warm in my office.</w:t>
      </w:r>
    </w:p>
    <w:p w:rsidR="00A31137" w:rsidRPr="00A31137" w:rsidRDefault="00A31137" w:rsidP="00A31137">
      <w:r w:rsidRPr="00A31137">
        <w:t>1990, Hodgson v. Minnesota, 497 U.S. 501</w:t>
      </w:r>
    </w:p>
    <w:p w:rsidR="00A31137" w:rsidRPr="00A31137" w:rsidRDefault="00A31137" w:rsidP="00A31137">
      <w:r w:rsidRPr="00A31137">
        <w:t>Ibid.</w:t>
      </w:r>
    </w:p>
    <w:p w:rsidR="00A31137" w:rsidRPr="00A31137" w:rsidRDefault="00A31137" w:rsidP="00A31137">
      <w:r w:rsidRPr="00A31137">
        <w:t>1990, Hodgson v. Minnesota, 497 U.S. 501</w:t>
      </w:r>
    </w:p>
    <w:p w:rsidR="00A31137" w:rsidRPr="00A31137" w:rsidRDefault="00A31137" w:rsidP="00A31137">
      <w:r w:rsidRPr="00A31137">
        <w:t>9. Maine, for example, requires that a minor obtain the consent of a parent, guardian, or adult family member, undergo a judicial bypass, or receive counseling from the physician or a counselor according to specified criteria. See Me.Rev.Stat.Ann., Tit. 22, § 1597-A (Supp. 1989). Wisconsin requires abortion providers to encourage parental notification unless they determine that the minor has a valid reason for not notifying her parents. Wisc.Stat. § 146.78 (1987-1988). In the latter situation, the provider must encourage—but not require—the minor to notify "another family member, close family friend, school counselor, social worker or other appropriate person." § 146.78(5)(c). I express no opinion on the constitutionality or efficacy of these schemes, but raise them only as examples of alternatives that seem more closely related than a judicial bypass procedure to the goal of ensuring that the minor's decision is informed.</w:t>
      </w:r>
    </w:p>
    <w:p w:rsidR="00A31137" w:rsidRPr="00A31137" w:rsidRDefault="00A31137" w:rsidP="00A31137">
      <w:r w:rsidRPr="00A31137">
        <w:t>1990, Hodgson v. Minnesota, 497 U.S. 501</w:t>
      </w:r>
    </w:p>
    <w:p w:rsidR="00A31137" w:rsidRPr="00A31137" w:rsidRDefault="00A31137" w:rsidP="00A31137">
      <w:r w:rsidRPr="00A31137">
        <w:t>In any event, most abortion clinics already provide extensive counseling. See 1 National Research Council, Risking the Future: Adolescent Sexuality, Pregnancy, and Childbearing 191-192 (C. Hayes ed. 1987) (90% of abortion clinics routinely provide counseling for all first-abortion patients, and all clinics make counseling available to all patients on request).</w:t>
      </w:r>
    </w:p>
    <w:p w:rsidR="00A31137" w:rsidRPr="00A31137" w:rsidRDefault="00A31137" w:rsidP="00A31137">
      <w:r w:rsidRPr="00A31137">
        <w:t>1990, Hodgson v. Minnesota, 497 U.S. 501</w:t>
      </w:r>
    </w:p>
    <w:p w:rsidR="00A31137" w:rsidRPr="00A31137" w:rsidRDefault="00A31137" w:rsidP="00A31137">
      <w:r w:rsidRPr="00A31137">
        <w:t>10. Indeed, the State conceded in oral argument before the Eighth Circuit, sitting en banc, that a judicial approval provision by itself would be unconstitutional. See 853 F.2d at 1469 (Lay, C.J., dissenting).</w:t>
      </w:r>
    </w:p>
    <w:p w:rsidR="00A31137" w:rsidRPr="00A31137" w:rsidRDefault="00A31137" w:rsidP="00A31137">
      <w:r w:rsidRPr="00A31137">
        <w:t>President Bush's Address to the Nation Announcing Allied Military Action in the Persian Gulf, 1991</w:t>
      </w:r>
    </w:p>
    <w:p w:rsidR="00A31137" w:rsidRPr="00A31137" w:rsidRDefault="00A31137" w:rsidP="00A31137">
      <w:r w:rsidRPr="00A31137">
        <w:t>Title:</w:t>
      </w:r>
      <w:r w:rsidRPr="00A31137">
        <w:tab/>
        <w:t>President Bush's Address to the Nation Announcing Allied Military Action in the Persian Gulf</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January 16, 1991</w:t>
      </w:r>
    </w:p>
    <w:p w:rsidR="00A31137" w:rsidRPr="00A31137" w:rsidRDefault="00A31137" w:rsidP="00A31137">
      <w:r w:rsidRPr="00A31137">
        <w:t>Source:</w:t>
      </w:r>
      <w:r w:rsidRPr="00A31137">
        <w:tab/>
        <w:t>Public Papers of the Presidents, Bush, 1991, pp.42-45</w:t>
      </w:r>
    </w:p>
    <w:p w:rsidR="00A31137" w:rsidRPr="00A31137" w:rsidRDefault="00A31137" w:rsidP="00A31137">
      <w:r w:rsidRPr="00A31137">
        <w:t>Public Papers of Bush, 1991, p.42</w:t>
      </w:r>
    </w:p>
    <w:p w:rsidR="00A31137" w:rsidRPr="00A31137" w:rsidRDefault="00A31137" w:rsidP="00A31137">
      <w:r w:rsidRPr="00A31137">
        <w:t>Just 2 hours ago, allied air forces began an attack on military targets in Iraq and Kuwait. These attacks continue as I speak. Ground forces are not engaged.</w:t>
      </w:r>
    </w:p>
    <w:p w:rsidR="00A31137" w:rsidRPr="00A31137" w:rsidRDefault="00A31137" w:rsidP="00A31137">
      <w:r w:rsidRPr="00A31137">
        <w:t>Public Papers of Bush, 1991, p.42–p.43</w:t>
      </w:r>
    </w:p>
    <w:p w:rsidR="00A31137" w:rsidRPr="00A31137" w:rsidRDefault="00A31137" w:rsidP="00A31137">
      <w:r w:rsidRPr="00A31137">
        <w:t>This conflict started August 2d when the dictator of Iraq invaded a small and helpless [p.43] neighbor. Kuwait—a member of the Arab League and a member of the United Nations-was crushed; its people, brutalized. Five months ago, Saddam Hussein started this cruel war against Kuwait. Tonight, the battle has been joined.</w:t>
      </w:r>
    </w:p>
    <w:p w:rsidR="00A31137" w:rsidRPr="00A31137" w:rsidRDefault="00A31137" w:rsidP="00A31137">
      <w:r w:rsidRPr="00A31137">
        <w:t>Public Papers of Bush, 1991, p.43</w:t>
      </w:r>
    </w:p>
    <w:p w:rsidR="00A31137" w:rsidRPr="00A31137" w:rsidRDefault="00A31137" w:rsidP="00A31137">
      <w:r w:rsidRPr="00A31137">
        <w:t>This military action, taken in accord with United Nations resolutions and with the consent of the United States Congress, follows months of constant and virtually endless diplomatic activity on the part of the United Nations, the United States, and many, many other countries. Arab leaders sought what became known as an Arab solution, only to conclude that Saddam Hussein was unwilling to leave Kuwait. Others traveled to Baghdad in a variety of efforts to restore peace and justice. Our Secretary of State, James Baker, held an historic meeting in Geneva, only to be totally rebuffed. This past weekend, in a last-ditch effort, the Secretary-General of the United Nations went to the Middle East with peace in his heart—his second such mission. And he came back from Baghdad with no progress at all in getting Saddam Hussein to withdraw from Kuwait.</w:t>
      </w:r>
    </w:p>
    <w:p w:rsidR="00A31137" w:rsidRPr="00A31137" w:rsidRDefault="00A31137" w:rsidP="00A31137">
      <w:r w:rsidRPr="00A31137">
        <w:t>Public Papers of Bush, 1991, p.43</w:t>
      </w:r>
    </w:p>
    <w:p w:rsidR="00A31137" w:rsidRPr="00A31137" w:rsidRDefault="00A31137" w:rsidP="00A31137">
      <w:r w:rsidRPr="00A31137">
        <w:t>Now the 28 countries with forces in the Gulf area have exhausted all reasonable efforts to reach a peaceful resolution—have no choice but to drive Saddam from Kuwait by force. We will not fail.</w:t>
      </w:r>
    </w:p>
    <w:p w:rsidR="00A31137" w:rsidRPr="00A31137" w:rsidRDefault="00A31137" w:rsidP="00A31137">
      <w:r w:rsidRPr="00A31137">
        <w:t>Public Papers of Bush, 1991, p.43</w:t>
      </w:r>
    </w:p>
    <w:p w:rsidR="00A31137" w:rsidRPr="00A31137" w:rsidRDefault="00A31137" w:rsidP="00A31137">
      <w:r w:rsidRPr="00A31137">
        <w:t>As I report to you, air attacks are underway against military targets in Iraq. We are determined to knock out Saddam Hussein's nuclear bomb potential. We will also destroy his chemical weapons facilities. Much of Saddam's artillery and tanks will be destroyed. Our operations are designed to best protect the lives of all the coalition forces by targeting Saddam's vast military arsenal. Initial reports from General Schwarzkopf are that our operations are proceeding according to plan.</w:t>
      </w:r>
    </w:p>
    <w:p w:rsidR="00A31137" w:rsidRPr="00A31137" w:rsidRDefault="00A31137" w:rsidP="00A31137">
      <w:r w:rsidRPr="00A31137">
        <w:t>Public Papers of Bush, 1991, p.43</w:t>
      </w:r>
    </w:p>
    <w:p w:rsidR="00A31137" w:rsidRPr="00A31137" w:rsidRDefault="00A31137" w:rsidP="00A31137">
      <w:r w:rsidRPr="00A31137">
        <w:t>Our objectives are clear: Saddam Hussein's forces will leave Kuwait. The legitimate government of Kuwait will be restored to its rightful place, and Kuwait will once again be free. Iraq will eventually comply with all relevant United Nations resolutions, and then, when peace is restored, it is our hope that Iraq will live as a peaceful and cooperative member of the family of nations, thus enhancing the security and stability of the Gulf.</w:t>
      </w:r>
    </w:p>
    <w:p w:rsidR="00A31137" w:rsidRPr="00A31137" w:rsidRDefault="00A31137" w:rsidP="00A31137">
      <w:r w:rsidRPr="00A31137">
        <w:t>Public Papers of Bush, 1991, p.43</w:t>
      </w:r>
    </w:p>
    <w:p w:rsidR="00A31137" w:rsidRPr="00A31137" w:rsidRDefault="00A31137" w:rsidP="00A31137">
      <w:r w:rsidRPr="00A31137">
        <w:t>Some may ask: Why act now? Why not wait? The answer is clear: The world could wait no longer. Sanctions, though having some effect, showed no signs of accomplishing their objective. Sanctions were tried for well over 5 months, and we and our allies concluded that sanctions alone would not force Saddam from Kuwait.</w:t>
      </w:r>
    </w:p>
    <w:p w:rsidR="00A31137" w:rsidRPr="00A31137" w:rsidRDefault="00A31137" w:rsidP="00A31137">
      <w:r w:rsidRPr="00A31137">
        <w:t>Public Papers of Bush, 1991, p.43</w:t>
      </w:r>
    </w:p>
    <w:p w:rsidR="00A31137" w:rsidRPr="00A31137" w:rsidRDefault="00A31137" w:rsidP="00A31137">
      <w:r w:rsidRPr="00A31137">
        <w:t>While the world waited, Saddam Hussein systematically raped, pillaged, and plundered a tiny nation, no threat to his own. He subjected the people of Kuwait to unspeakable atrocities—and among those maimed and murdered, innocent children.</w:t>
      </w:r>
    </w:p>
    <w:p w:rsidR="00A31137" w:rsidRPr="00A31137" w:rsidRDefault="00A31137" w:rsidP="00A31137">
      <w:r w:rsidRPr="00A31137">
        <w:t>Public Papers of Bush, 1991, p.43</w:t>
      </w:r>
    </w:p>
    <w:p w:rsidR="00A31137" w:rsidRPr="00A31137" w:rsidRDefault="00A31137" w:rsidP="00A31137">
      <w:r w:rsidRPr="00A31137">
        <w:t>While the world waited, Saddam sought to add to the chemical weapons arsenal he now possesses, an infinitely more dangerous weapon of mass destruction—a nuclear weapon. And while the world waited, while the world talked peace and withdrawal, Saddam Hussein dug in and moved massive forces into Kuwait.</w:t>
      </w:r>
    </w:p>
    <w:p w:rsidR="00A31137" w:rsidRPr="00A31137" w:rsidRDefault="00A31137" w:rsidP="00A31137">
      <w:r w:rsidRPr="00A31137">
        <w:t>Public Papers of Bush, 1991, p.43</w:t>
      </w:r>
    </w:p>
    <w:p w:rsidR="00A31137" w:rsidRPr="00A31137" w:rsidRDefault="00A31137" w:rsidP="00A31137">
      <w:r w:rsidRPr="00A31137">
        <w:t>While the world waited, while Saddam stalled, more damage was being done to the fragile economies of the Third World, emerging democracies of Eastern Europe, to the entire world, including to our own economy.</w:t>
      </w:r>
    </w:p>
    <w:p w:rsidR="00A31137" w:rsidRPr="00A31137" w:rsidRDefault="00A31137" w:rsidP="00A31137">
      <w:r w:rsidRPr="00A31137">
        <w:t>Public Papers of Bush, 1991, p.43</w:t>
      </w:r>
    </w:p>
    <w:p w:rsidR="00A31137" w:rsidRPr="00A31137" w:rsidRDefault="00A31137" w:rsidP="00A31137">
      <w:r w:rsidRPr="00A31137">
        <w:t>The United States, together with the United Nations, exhausted every means at our disposal to bring this crisis to a peaceful end. However, Saddam clearly felt that by stalling and threatening and defying the United Nations, he could weaken the forces arrayed against him.</w:t>
      </w:r>
    </w:p>
    <w:p w:rsidR="00A31137" w:rsidRPr="00A31137" w:rsidRDefault="00A31137" w:rsidP="00A31137">
      <w:r w:rsidRPr="00A31137">
        <w:t>Public Papers of Bush, 1991, p.43</w:t>
      </w:r>
    </w:p>
    <w:p w:rsidR="00A31137" w:rsidRPr="00A31137" w:rsidRDefault="00A31137" w:rsidP="00A31137">
      <w:r w:rsidRPr="00A31137">
        <w:t>While the world waited, Saddam Hussein met every overture of peace with open contempt. While the world prayed for peace, Saddam prepared for war.</w:t>
      </w:r>
    </w:p>
    <w:p w:rsidR="00A31137" w:rsidRPr="00A31137" w:rsidRDefault="00A31137" w:rsidP="00A31137">
      <w:r w:rsidRPr="00A31137">
        <w:t>Public Papers of Bush, 1991, p.43</w:t>
      </w:r>
    </w:p>
    <w:p w:rsidR="00A31137" w:rsidRPr="00A31137" w:rsidRDefault="00A31137" w:rsidP="00A31137">
      <w:r w:rsidRPr="00A31137">
        <w:t>I had hoped that when the United States Congress, in historic debate, took its resolute action, Saddam would realize he could not prevail and would move out of Kuwait in accord with the United Nation resolutions. He did not do that. Instead, he remained intransigent, certain that time was on his side.</w:t>
      </w:r>
    </w:p>
    <w:p w:rsidR="00A31137" w:rsidRPr="00A31137" w:rsidRDefault="00A31137" w:rsidP="00A31137">
      <w:r w:rsidRPr="00A31137">
        <w:t>Public Papers of Bush, 1991, p.43–p.44</w:t>
      </w:r>
    </w:p>
    <w:p w:rsidR="00A31137" w:rsidRPr="00A31137" w:rsidRDefault="00A31137" w:rsidP="00A31137">
      <w:r w:rsidRPr="00A31137">
        <w:t>Saddam was warned over and over again to comply with the will of the United Nations: Leave Kuwait, or be driven out. Saddam has arrogantly rejected all warnings. Instead, he tried to make this a dispute [p.44] between Iraq and the United States of America.</w:t>
      </w:r>
    </w:p>
    <w:p w:rsidR="00A31137" w:rsidRPr="00A31137" w:rsidRDefault="00A31137" w:rsidP="00A31137">
      <w:r w:rsidRPr="00A31137">
        <w:t>Public Papers of Bush, 1991, p.44</w:t>
      </w:r>
    </w:p>
    <w:p w:rsidR="00A31137" w:rsidRPr="00A31137" w:rsidRDefault="00A31137" w:rsidP="00A31137">
      <w:r w:rsidRPr="00A31137">
        <w:t>Well, he failed. Tonight, 28 nations-countries from 5 continents, Europe and Asia, Africa, and the Arab League—have forces in the Gulf area standing shoulder to shoulder against Saddam Hussein. These countries had hoped the use of force could be avoided. Regrettably, we now believe that only force will make him leave.</w:t>
      </w:r>
    </w:p>
    <w:p w:rsidR="00A31137" w:rsidRPr="00A31137" w:rsidRDefault="00A31137" w:rsidP="00A31137">
      <w:r w:rsidRPr="00A31137">
        <w:t>Public Papers of Bush, 1991, p.44</w:t>
      </w:r>
    </w:p>
    <w:p w:rsidR="00A31137" w:rsidRPr="00A31137" w:rsidRDefault="00A31137" w:rsidP="00A31137">
      <w:r w:rsidRPr="00A31137">
        <w:t>Prior to ordering our forces into battle, I instructed our military commanders to take every necessary step to prevail as quickly as possible, and with the greatest degree of protection possible for American and allied service men and women. I've told the American people before that this will not be another Vietnam, and I repeat this here tonight. Our troops will have the best possible support in the entire world, and they will not be asked to fight with one hand tied behind their back. I'm hopeful that this fighting will not go on for long and that casualties will be held to an absolute minimum.</w:t>
      </w:r>
    </w:p>
    <w:p w:rsidR="00A31137" w:rsidRPr="00A31137" w:rsidRDefault="00A31137" w:rsidP="00A31137">
      <w:r w:rsidRPr="00A31137">
        <w:t>Public Papers of Bush, 1991, p.44</w:t>
      </w:r>
    </w:p>
    <w:p w:rsidR="00A31137" w:rsidRPr="00A31137" w:rsidRDefault="00A31137" w:rsidP="00A31137">
      <w:r w:rsidRPr="00A31137">
        <w:t>This is an historic moment. We have in this past year made great progress in ending the long era of conflict and cold war. We have before us the opportunity to forge for ourselves and for future generations a new world order—a world where the rule of law, not the law of the jungle, governs the conduct of nations. When we are successful—and we will be—we have a real chance at this new world order, an order in which a credible United Nations can use its peacekeeping role to fulfill the promise and vision of the U.N.'s founders.</w:t>
      </w:r>
    </w:p>
    <w:p w:rsidR="00A31137" w:rsidRPr="00A31137" w:rsidRDefault="00A31137" w:rsidP="00A31137">
      <w:r w:rsidRPr="00A31137">
        <w:t>Public Papers of Bush, 1991, p.44</w:t>
      </w:r>
    </w:p>
    <w:p w:rsidR="00A31137" w:rsidRPr="00A31137" w:rsidRDefault="00A31137" w:rsidP="00A31137">
      <w:r w:rsidRPr="00A31137">
        <w:t>We have no argument with the people of Iraq. Indeed, for the innocents caught in this conflict, I pray for their safety. Our goal is not the conquest of Iraq. It is the liberation of Kuwait. It is my hope that somehow the Iraqi people can, even now, convince their dictator that he must lay down his arms, leave Kuwait, and let Iraq itself rejoin the family of peace-loving nations.</w:t>
      </w:r>
    </w:p>
    <w:p w:rsidR="00A31137" w:rsidRPr="00A31137" w:rsidRDefault="00A31137" w:rsidP="00A31137">
      <w:r w:rsidRPr="00A31137">
        <w:t>Public Papers of Bush, 1991, p.44</w:t>
      </w:r>
    </w:p>
    <w:p w:rsidR="00A31137" w:rsidRPr="00A31137" w:rsidRDefault="00A31137" w:rsidP="00A31137">
      <w:r w:rsidRPr="00A31137">
        <w:t>Thomas Paine wrote many years ago: "These are the times that try men's souls." Those well-known words are so very true today. But even as planes of the multinational forces attack Iraq, I prefer to think of peace, not war. I am convinced not only that we will prevail but that out of the horror of combat will come the recognition that no nation can stand against a world united, no nation will be permitted to brutally assault its neighbor.</w:t>
      </w:r>
    </w:p>
    <w:p w:rsidR="00A31137" w:rsidRPr="00A31137" w:rsidRDefault="00A31137" w:rsidP="00A31137">
      <w:r w:rsidRPr="00A31137">
        <w:t>Public Papers of Bush, 1991, p.44</w:t>
      </w:r>
    </w:p>
    <w:p w:rsidR="00A31137" w:rsidRPr="00A31137" w:rsidRDefault="00A31137" w:rsidP="00A31137">
      <w:r w:rsidRPr="00A31137">
        <w:t>No President can easily commit our sons and daughters to war. They are the Nation's finest. Ours is an all-volunteer force, magnificently trained, highly motivated. The troops know why they're there. And listen to what they say, for they've said it better than any President or Prime Minister ever could.</w:t>
      </w:r>
    </w:p>
    <w:p w:rsidR="00A31137" w:rsidRPr="00A31137" w:rsidRDefault="00A31137" w:rsidP="00A31137">
      <w:r w:rsidRPr="00A31137">
        <w:t>Public Papers of Bush, 1991, p.44</w:t>
      </w:r>
    </w:p>
    <w:p w:rsidR="00A31137" w:rsidRPr="00A31137" w:rsidRDefault="00A31137" w:rsidP="00A31137">
      <w:r w:rsidRPr="00A31137">
        <w:t>Listen to Hollywood Huddleston, Marine lance corporal. He says, "Let's free these people, so we can go home and be free again." And he's right. The terrible crimes and tortures committed by Saddam's henchmen against the innocent people of Kuwait are an affront to mankind and a challenge to the freedom of all.</w:t>
      </w:r>
    </w:p>
    <w:p w:rsidR="00A31137" w:rsidRPr="00A31137" w:rsidRDefault="00A31137" w:rsidP="00A31137">
      <w:r w:rsidRPr="00A31137">
        <w:t>Public Papers of Bush, 1991, p.44</w:t>
      </w:r>
    </w:p>
    <w:p w:rsidR="00A31137" w:rsidRPr="00A31137" w:rsidRDefault="00A31137" w:rsidP="00A31137">
      <w:r w:rsidRPr="00A31137">
        <w:t>Listen to one of our great officers out there, Marine Lieutenant General Walter Boomer. He said: "There are things worth fighting for. A world in which brutality and lawlessness are allowed to go unchecked isn't the kind of world we're going to want to live in."</w:t>
      </w:r>
    </w:p>
    <w:p w:rsidR="00A31137" w:rsidRPr="00A31137" w:rsidRDefault="00A31137" w:rsidP="00A31137">
      <w:r w:rsidRPr="00A31137">
        <w:t>Public Papers of Bush, 1991, p.44</w:t>
      </w:r>
    </w:p>
    <w:p w:rsidR="00A31137" w:rsidRPr="00A31137" w:rsidRDefault="00A31137" w:rsidP="00A31137">
      <w:r w:rsidRPr="00A31137">
        <w:t>Listen to Master Sergeant J.P. Kendall of the 82d Airborne: "We're here for more than just the price of a gallon of gas. What we're doing is going to chart the future of the world for the next 100 years. It's better to deal with this guy now than 5 years from now."</w:t>
      </w:r>
    </w:p>
    <w:p w:rsidR="00A31137" w:rsidRPr="00A31137" w:rsidRDefault="00A31137" w:rsidP="00A31137">
      <w:r w:rsidRPr="00A31137">
        <w:t>Public Papers of Bush, 1991, p.44</w:t>
      </w:r>
    </w:p>
    <w:p w:rsidR="00A31137" w:rsidRPr="00A31137" w:rsidRDefault="00A31137" w:rsidP="00A31137">
      <w:r w:rsidRPr="00A31137">
        <w:t>And finally, we should all sit up and listen to Jackie Jones, an Army lieutenant, when she says, "If we let him get away with this, who knows what's going to be next?"</w:t>
      </w:r>
    </w:p>
    <w:p w:rsidR="00A31137" w:rsidRPr="00A31137" w:rsidRDefault="00A31137" w:rsidP="00A31137">
      <w:r w:rsidRPr="00A31137">
        <w:t>Public Papers of Bush, 1991, p.44</w:t>
      </w:r>
    </w:p>
    <w:p w:rsidR="00A31137" w:rsidRPr="00A31137" w:rsidRDefault="00A31137" w:rsidP="00A31137">
      <w:r w:rsidRPr="00A31137">
        <w:t>I have called upon Hollywood and Walter and J.P. and Jackie and all their courageous comrades-in-arms to do what must be done. Tonight, America and the world are deeply grateful to them and to their families. And let me say to everyone listening or watching tonight: When the troops we've sent in finish their work, I am determined to bring them home as soon as possible.</w:t>
      </w:r>
    </w:p>
    <w:p w:rsidR="00A31137" w:rsidRPr="00A31137" w:rsidRDefault="00A31137" w:rsidP="00A31137">
      <w:r w:rsidRPr="00A31137">
        <w:t>Public Papers of Bush, 1991, p.44</w:t>
      </w:r>
    </w:p>
    <w:p w:rsidR="00A31137" w:rsidRPr="00A31137" w:rsidRDefault="00A31137" w:rsidP="00A31137">
      <w:r w:rsidRPr="00A31137">
        <w:t>Tonight, as our forces fight, they and their families are in our prayers. May God bless each and every one of them, and the coalition forces at our side in the Gulf, and may He continue to bless our nation, the United States of America.</w:t>
      </w:r>
    </w:p>
    <w:p w:rsidR="00A31137" w:rsidRPr="00A31137" w:rsidRDefault="00A31137" w:rsidP="00A31137">
      <w:r w:rsidRPr="00A31137">
        <w:t>Public Papers of Bush, 1991, p.45</w:t>
      </w:r>
    </w:p>
    <w:p w:rsidR="00A31137" w:rsidRPr="00A31137" w:rsidRDefault="00A31137" w:rsidP="00A31137">
      <w:r w:rsidRPr="00A31137">
        <w:t>NOTE: President Bush spoke at 9:01 p.m. from the Oval Office at the White House. In his address, he referred to President Saddam Hussein of Iraq; Secretary of State James A. Baker III; United Nations Secretary-General Javier Perez de Cuellar de la Guerra; and Gen. H. Norman Schwarzkopf, commander of the U.S. forces in the Persian Gulf. The address was broadcast live on nationwide radio and television.</w:t>
      </w:r>
    </w:p>
    <w:p w:rsidR="00A31137" w:rsidRPr="00A31137" w:rsidRDefault="00A31137" w:rsidP="00A31137">
      <w:r w:rsidRPr="00A31137">
        <w:t>President Bush's Remarks Upon Presenting the Presidential Medal of Freedom to Margaret Thatcher, 1991</w:t>
      </w:r>
    </w:p>
    <w:p w:rsidR="00A31137" w:rsidRPr="00A31137" w:rsidRDefault="00A31137" w:rsidP="00A31137">
      <w:r w:rsidRPr="00A31137">
        <w:t>Title:</w:t>
      </w:r>
      <w:r w:rsidRPr="00A31137">
        <w:tab/>
        <w:t>President Bush's Remarks Upon Presenting the Presidential Medal of Freedom to Margaret Thatcher</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March 7, 1991</w:t>
      </w:r>
    </w:p>
    <w:p w:rsidR="00A31137" w:rsidRPr="00A31137" w:rsidRDefault="00A31137" w:rsidP="00A31137">
      <w:r w:rsidRPr="00A31137">
        <w:t>Source:</w:t>
      </w:r>
      <w:r w:rsidRPr="00A31137">
        <w:tab/>
        <w:t>Public Papers of the Presidents, Bush, 1991, pp.225-227</w:t>
      </w:r>
    </w:p>
    <w:p w:rsidR="00A31137" w:rsidRPr="00A31137" w:rsidRDefault="00A31137" w:rsidP="00A31137">
      <w:r w:rsidRPr="00A31137">
        <w:t>Public Papers of Bush, 1991, p.225</w:t>
      </w:r>
    </w:p>
    <w:p w:rsidR="00A31137" w:rsidRPr="00A31137" w:rsidRDefault="00A31137" w:rsidP="00A31137">
      <w:r w:rsidRPr="00A31137">
        <w:t>The President. Welcome, welcome, Margaret. Please be seated. Ladies and gentlemen and so many distinguished guests, and members of this administration, and friends of what is indeed a special relationship. Particularly to Sir Denis Thatcher and Mark and Diane Thatcher, and above all, the greengrocer's daughter who shaped a nation to her will.</w:t>
      </w:r>
    </w:p>
    <w:p w:rsidR="00A31137" w:rsidRPr="00A31137" w:rsidRDefault="00A31137" w:rsidP="00A31137">
      <w:r w:rsidRPr="00A31137">
        <w:t>Public Papers of Bush, 1991, p.225</w:t>
      </w:r>
    </w:p>
    <w:p w:rsidR="00A31137" w:rsidRPr="00A31137" w:rsidRDefault="00A31137" w:rsidP="00A31137">
      <w:r w:rsidRPr="00A31137">
        <w:t>America's highest civilian award is the Medal of Freedom. And we're here to present it to one of the greatest leaders of our time. For over 11 of the most extraordinary years in British history, she helped freedom lift the peoples of Europe and the world. Former Prime Minister Margaret Thatcher, we are delighted you are with us today.</w:t>
      </w:r>
    </w:p>
    <w:p w:rsidR="00A31137" w:rsidRPr="00A31137" w:rsidRDefault="00A31137" w:rsidP="00A31137">
      <w:r w:rsidRPr="00A31137">
        <w:t>Public Papers of Bush, 1991, p.225</w:t>
      </w:r>
    </w:p>
    <w:p w:rsidR="00A31137" w:rsidRPr="00A31137" w:rsidRDefault="00A31137" w:rsidP="00A31137">
      <w:r w:rsidRPr="00A31137">
        <w:t>She's been called the Iron Lady—irrepressible, at times incorrigible, always indomitable. [Laughter] And she summoned the best in the human spirit, speaking for our values and our dreams. Once she said, "Turn if you like; the lady's not for turning." And she wasn't. Instead, the free world turned to her—for counsel, for courage, for leadership that proclaimed a belief in right and wrong—not a devotion to what is popular.</w:t>
      </w:r>
    </w:p>
    <w:p w:rsidR="00A31137" w:rsidRPr="00A31137" w:rsidRDefault="00A31137" w:rsidP="00A31137">
      <w:r w:rsidRPr="00A31137">
        <w:t>Public Papers of Bush, 1991, p.225</w:t>
      </w:r>
    </w:p>
    <w:p w:rsidR="00A31137" w:rsidRPr="00A31137" w:rsidRDefault="00A31137" w:rsidP="00A31137">
      <w:r w:rsidRPr="00A31137">
        <w:t>It has been said that great leaders reflect their time. Margaret Thatcher did. She also transformed her time as few leaders ever have. Consider the 1980's and early nineties—a golden age of liberty. Remember what she meant and how she mattered. Hers was not merely among Britain's finest hours. She helped mold perhaps democracy's finest era.</w:t>
      </w:r>
    </w:p>
    <w:p w:rsidR="00A31137" w:rsidRPr="00A31137" w:rsidRDefault="00A31137" w:rsidP="00A31137">
      <w:r w:rsidRPr="00A31137">
        <w:t>Public Papers of Bush, 1991, p.225</w:t>
      </w:r>
    </w:p>
    <w:p w:rsidR="00A31137" w:rsidRPr="00A31137" w:rsidRDefault="00A31137" w:rsidP="00A31137">
      <w:r w:rsidRPr="00A31137">
        <w:t>Think first of what she meant to the place that Shakespeare called "this blessed plot, this earth, this realm, this England." She didn't create spirit in the British people; it's been there for a millennium. But Margaret Thatcher believed in it and once again unleashed it.</w:t>
      </w:r>
    </w:p>
    <w:p w:rsidR="00A31137" w:rsidRPr="00A31137" w:rsidRDefault="00A31137" w:rsidP="00A31137">
      <w:r w:rsidRPr="00A31137">
        <w:t>Public Papers of Bush, 1991, p.225</w:t>
      </w:r>
    </w:p>
    <w:p w:rsidR="00A31137" w:rsidRPr="00A31137" w:rsidRDefault="00A31137" w:rsidP="00A31137">
      <w:r w:rsidRPr="00A31137">
        <w:t>She cherished human dignity and self-determination. So, when an antidemocratic military moved against the Falkland Islands, Britain met the challenge. And she sought to decrease what government must do and increase what the individual may do. So she put private roofs over British heads—and restored economic pride to British hearts. Like her successor, John Major, she believed passionately in free enterprise. And so she used it to renew British initiative and national pride. Margaret Thatcher didn't merely make Britain a leader in the new world order; she defined the essence of the United Kingdom.</w:t>
      </w:r>
    </w:p>
    <w:p w:rsidR="00A31137" w:rsidRPr="00A31137" w:rsidRDefault="00A31137" w:rsidP="00A31137">
      <w:r w:rsidRPr="00A31137">
        <w:t>Public Papers of Bush, 1991, p.225</w:t>
      </w:r>
    </w:p>
    <w:p w:rsidR="00A31137" w:rsidRPr="00A31137" w:rsidRDefault="00A31137" w:rsidP="00A31137">
      <w:r w:rsidRPr="00A31137">
        <w:t>Think next of what she meant to us-what she meant to America. Mrs. Thatcher understood the ties that bind our nations-moral and economic, political and spiritual-so she defended America, helped inspire it. No country could have had a more valiant comrade in arms. No President—as another great leader, Ronald Reagan, could attest—could ask for a better friend.</w:t>
      </w:r>
    </w:p>
    <w:p w:rsidR="00A31137" w:rsidRPr="00A31137" w:rsidRDefault="00A31137" w:rsidP="00A31137">
      <w:r w:rsidRPr="00A31137">
        <w:t>Public Papers of Bush, 1991, p.225–p.226</w:t>
      </w:r>
    </w:p>
    <w:p w:rsidR="00A31137" w:rsidRPr="00A31137" w:rsidRDefault="00A31137" w:rsidP="00A31137">
      <w:r w:rsidRPr="00A31137">
        <w:t>We will never forget her courage in helping forge a great coalition against the aggression which brutalized the Gulf. Nor will I forget one special phone conversation that I had with the Prime Minister. In the early days of the Gulf crisis—I'm not sure you [p.226] remember this one, Margaret—in the early days of the Gulf crisis I called her to say that though we fully intended to interdict Iraqi shipping, we were going to let a single vessel heading for Oman enter port down at Yemen—going around Oman down to Yemen—let it enter port without being stopped. And she listened to my explanation, agreed with the decision, but then added these words of caution—words that guided me through the Gulf crisis, words I'll never forget as long as I'm alive. "Remember, George," she said, "this is no time to go wobbly." [Laughter]</w:t>
      </w:r>
    </w:p>
    <w:p w:rsidR="00A31137" w:rsidRPr="00A31137" w:rsidRDefault="00A31137" w:rsidP="00A31137">
      <w:r w:rsidRPr="00A31137">
        <w:t>Public Papers of Bush, 1991, p.226</w:t>
      </w:r>
    </w:p>
    <w:p w:rsidR="00A31137" w:rsidRPr="00A31137" w:rsidRDefault="00A31137" w:rsidP="00A31137">
      <w:r w:rsidRPr="00A31137">
        <w:t>Those who work with me in the White House know we use that expression often and have used it during some troubling days. And never, ever will it be said that Margaret Thatcher went wobbly. [Laughter]</w:t>
      </w:r>
    </w:p>
    <w:p w:rsidR="00A31137" w:rsidRPr="00A31137" w:rsidRDefault="00A31137" w:rsidP="00A31137">
      <w:r w:rsidRPr="00A31137">
        <w:t>Public Papers of Bush, 1991, p.226</w:t>
      </w:r>
    </w:p>
    <w:p w:rsidR="00A31137" w:rsidRPr="00A31137" w:rsidRDefault="00A31137" w:rsidP="00A31137">
      <w:r w:rsidRPr="00A31137">
        <w:t>Finally, think of what Margaret Thatcher meant to the world. Her resolution and dedication set an example for all of us. She showed that you can't lock people behind walls forever when moral conviction uplifts their souls. And she knew tyranny is powerless against the primacy of the heart.</w:t>
      </w:r>
    </w:p>
    <w:p w:rsidR="00A31137" w:rsidRPr="00A31137" w:rsidRDefault="00A31137" w:rsidP="00A31137">
      <w:r w:rsidRPr="00A31137">
        <w:t>Public Papers of Bush, 1991, p.226</w:t>
      </w:r>
    </w:p>
    <w:p w:rsidR="00A31137" w:rsidRPr="00A31137" w:rsidRDefault="00A31137" w:rsidP="00A31137">
      <w:r w:rsidRPr="00A31137">
        <w:t>Margaret Thatcher helped bring the cold war to an end, helped the human will outlast bayonets and barbed wire. She sailed freedom's ship wherever it was imperiled. Prophet and crusader, idealist and realist, this heroic woman made history move her way.</w:t>
      </w:r>
    </w:p>
    <w:p w:rsidR="00A31137" w:rsidRPr="00A31137" w:rsidRDefault="00A31137" w:rsidP="00A31137">
      <w:r w:rsidRPr="00A31137">
        <w:t>Public Papers of Bush, 1991, p.226</w:t>
      </w:r>
    </w:p>
    <w:p w:rsidR="00A31137" w:rsidRPr="00A31137" w:rsidRDefault="00A31137" w:rsidP="00A31137">
      <w:r w:rsidRPr="00A31137">
        <w:t>Prime Minister, there will always be an England, but there can never be another Margaret Thatcher. Thank you for all you've done.</w:t>
      </w:r>
    </w:p>
    <w:p w:rsidR="00A31137" w:rsidRPr="00A31137" w:rsidRDefault="00A31137" w:rsidP="00A31137">
      <w:r w:rsidRPr="00A31137">
        <w:t>Public Papers of Bush, 1991, p.226</w:t>
      </w:r>
    </w:p>
    <w:p w:rsidR="00A31137" w:rsidRPr="00A31137" w:rsidRDefault="00A31137" w:rsidP="00A31137">
      <w:r w:rsidRPr="00A31137">
        <w:t>And now I have the great privilege to ask Commander Ross to read the citation on the Medal of Freedom. We're delighted you're here.</w:t>
      </w:r>
    </w:p>
    <w:p w:rsidR="00A31137" w:rsidRPr="00A31137" w:rsidRDefault="00A31137" w:rsidP="00A31137">
      <w:r w:rsidRPr="00A31137">
        <w:t>Public Papers of Bush, 1991, p.226</w:t>
      </w:r>
    </w:p>
    <w:p w:rsidR="00A31137" w:rsidRPr="00A31137" w:rsidRDefault="00A31137" w:rsidP="00A31137">
      <w:r w:rsidRPr="00A31137">
        <w:t>Commander Ross. The President of the United States of America awards this Presidential Medal of Freedom to the Right Honorable Margaret Thatcher. Three times elected Prime Minister of the United Kingdom, Margaret Thatcher led her country with fearlessness, determination, integrity, and a true vision for Britain. In over a decade of achievement, she extended prosperity at home and made signal contributions to transatlantic partnership, the unity of the West, and overcoming the postwar division of Europe. With a strong sense of her nation's history and of the principles which brought it to greatness, she restored confidence to the British people.</w:t>
      </w:r>
    </w:p>
    <w:p w:rsidR="00A31137" w:rsidRPr="00A31137" w:rsidRDefault="00A31137" w:rsidP="00A31137">
      <w:r w:rsidRPr="00A31137">
        <w:t>Public Papers of Bush, 1991, p.226</w:t>
      </w:r>
    </w:p>
    <w:p w:rsidR="00A31137" w:rsidRPr="00A31137" w:rsidRDefault="00A31137" w:rsidP="00A31137">
      <w:r w:rsidRPr="00A31137">
        <w:t>The United States honors a steadfast and true ally and a firm friend of political and economic freedom throughout the world.</w:t>
      </w:r>
    </w:p>
    <w:p w:rsidR="00A31137" w:rsidRPr="00A31137" w:rsidRDefault="00A31137" w:rsidP="00A31137">
      <w:r w:rsidRPr="00A31137">
        <w:t>Public Papers of Bush, 1991, p.226</w:t>
      </w:r>
    </w:p>
    <w:p w:rsidR="00A31137" w:rsidRPr="00A31137" w:rsidRDefault="00A31137" w:rsidP="00A31137">
      <w:r w:rsidRPr="00A31137">
        <w:t>Signed, George Bush, The White House, Washington, DC, 7 March 1991.</w:t>
      </w:r>
    </w:p>
    <w:p w:rsidR="00A31137" w:rsidRPr="00A31137" w:rsidRDefault="00A31137" w:rsidP="00A31137">
      <w:r w:rsidRPr="00A31137">
        <w:t>Public Papers of Bush, 1991, p.226</w:t>
      </w:r>
    </w:p>
    <w:p w:rsidR="00A31137" w:rsidRPr="00A31137" w:rsidRDefault="00A31137" w:rsidP="00A31137">
      <w:r w:rsidRPr="00A31137">
        <w:t>Mrs. Thatcher. Mr. President, ladies and gentlemen, I am so very honored to receive the Presidential Medal of Freedom of the greatest country in the free world. And thank you, Mr. President, for the wonderful things you have said, including that wobbly bit. [Laughter]</w:t>
      </w:r>
    </w:p>
    <w:p w:rsidR="00A31137" w:rsidRPr="00A31137" w:rsidRDefault="00A31137" w:rsidP="00A31137">
      <w:r w:rsidRPr="00A31137">
        <w:t>Public Papers of Bush, 1991, p.226</w:t>
      </w:r>
    </w:p>
    <w:p w:rsidR="00A31137" w:rsidRPr="00A31137" w:rsidRDefault="00A31137" w:rsidP="00A31137">
      <w:r w:rsidRPr="00A31137">
        <w:t>It's a double honor to receive this medal from the hands of a President whose steadfast leadership has just won the victory of freedom that will rank with the greatest in history. And I am especially moved to receive it in the White House, which in addition to its powerful historical association has many sterling memories for me personally. It was here with you and your predecessor that I embarked on the adventure of restoring the economy and the defenses of the free world against the many threats that faced us a decade ago.</w:t>
      </w:r>
    </w:p>
    <w:p w:rsidR="00A31137" w:rsidRPr="00A31137" w:rsidRDefault="00A31137" w:rsidP="00A31137">
      <w:r w:rsidRPr="00A31137">
        <w:t>Public Papers of Bush, 1991, p.226</w:t>
      </w:r>
    </w:p>
    <w:p w:rsidR="00A31137" w:rsidRPr="00A31137" w:rsidRDefault="00A31137" w:rsidP="00A31137">
      <w:r w:rsidRPr="00A31137">
        <w:t>We've overcome many difficulties since those early days and faced many crises. The onward march of freedom is not inevitable; it has its enemies, as we know. But when in our time freedom came to be tested, there were no faint hearts in the White House-only great hearts. Great hearts who had been wise enough to keep their sword and armor in case of danger. Great hearts who had harnessed the genius of scientists so that your armed forces had the very best equipment. Great hearts who knew that the sovereignty of freedom and justice had to be upheld not by pious sentiments or platitudes but by staunch and valiant deeds of men and women.</w:t>
      </w:r>
    </w:p>
    <w:p w:rsidR="00A31137" w:rsidRPr="00A31137" w:rsidRDefault="00A31137" w:rsidP="00A31137">
      <w:r w:rsidRPr="00A31137">
        <w:t>Public Papers of Bush, 1991, p.226</w:t>
      </w:r>
    </w:p>
    <w:p w:rsidR="00A31137" w:rsidRPr="00A31137" w:rsidRDefault="00A31137" w:rsidP="00A31137">
      <w:r w:rsidRPr="00A31137">
        <w:t>The decision to use force is not easy to take, either for politicians or for generals, for whose performance in the campaign I have boundless admiration.</w:t>
      </w:r>
    </w:p>
    <w:p w:rsidR="00A31137" w:rsidRPr="00A31137" w:rsidRDefault="00A31137" w:rsidP="00A31137">
      <w:r w:rsidRPr="00A31137">
        <w:t>Public Papers of Bush, 1991, p.226–p.227</w:t>
      </w:r>
    </w:p>
    <w:p w:rsidR="00A31137" w:rsidRPr="00A31137" w:rsidRDefault="00A31137" w:rsidP="00A31137">
      <w:r w:rsidRPr="00A31137">
        <w:t>I've been involved in taking three such decisions, some of which you referred to, Mr. President. First, it fell to me to send armed forces 8,000 miles to recover the [p.227] Falkland Islands from an earlier aggressor. And then with President Reagan, to allow the use of air bases in Britain for the raid on Libya. We in Britain have experienced and still experience terrorism and knew someone had to stand up against it. And then, third, Mr. President, I was with you at Aspen when you made the historic decision that Saddam's seizure of Kuwait would not stand.</w:t>
      </w:r>
    </w:p>
    <w:p w:rsidR="00A31137" w:rsidRPr="00A31137" w:rsidRDefault="00A31137" w:rsidP="00A31137">
      <w:r w:rsidRPr="00A31137">
        <w:t>Public Papers of Bush, 1991, p.227</w:t>
      </w:r>
    </w:p>
    <w:p w:rsidR="00A31137" w:rsidRPr="00A31137" w:rsidRDefault="00A31137" w:rsidP="00A31137">
      <w:r w:rsidRPr="00A31137">
        <w:t>I wish only that the Iraqi dictator could have seen your somber determination on that occasion. Much grief to his countrymen, much pain to his neighbors and to us might then have been avoided.</w:t>
      </w:r>
    </w:p>
    <w:p w:rsidR="00A31137" w:rsidRPr="00A31137" w:rsidRDefault="00A31137" w:rsidP="00A31137">
      <w:r w:rsidRPr="00A31137">
        <w:t>Public Papers of Bush, 1991, p.227</w:t>
      </w:r>
    </w:p>
    <w:p w:rsidR="00A31137" w:rsidRPr="00A31137" w:rsidRDefault="00A31137" w:rsidP="00A31137">
      <w:r w:rsidRPr="00A31137">
        <w:t>Like you, Mr. President, I hate violence. And there's only one thing I hate even more—giving in to violence. We didn't give in to it. The battle of Desert Storm has not only liberated Kuwait and her people; it has sent an awesome warning to any other dictator who sets out to extinguish the rights of others for his own evil gain. The sanction of force must not be left to tyrants who have no moral scruples about its use.</w:t>
      </w:r>
    </w:p>
    <w:p w:rsidR="00A31137" w:rsidRPr="00A31137" w:rsidRDefault="00A31137" w:rsidP="00A31137">
      <w:r w:rsidRPr="00A31137">
        <w:t>Public Papers of Bush, 1991, p.227</w:t>
      </w:r>
    </w:p>
    <w:p w:rsidR="00A31137" w:rsidRPr="00A31137" w:rsidRDefault="00A31137" w:rsidP="00A31137">
      <w:r w:rsidRPr="00A31137">
        <w:t>I want to pay a grateful tribute on behalf of myself, the British people, and the British soldiers who fought in the field, to the statesmen and generals who conceived, planned, and executed a great victory with a minimum of allied casualties. We and the world are in their debt.</w:t>
      </w:r>
    </w:p>
    <w:p w:rsidR="00A31137" w:rsidRPr="00A31137" w:rsidRDefault="00A31137" w:rsidP="00A31137">
      <w:r w:rsidRPr="00A31137">
        <w:t>Public Papers of Bush, 1991, p.227</w:t>
      </w:r>
    </w:p>
    <w:p w:rsidR="00A31137" w:rsidRPr="00A31137" w:rsidRDefault="00A31137" w:rsidP="00A31137">
      <w:r w:rsidRPr="00A31137">
        <w:t>But freedom has won victories in peace as well. The way of life and prosperity of Western Europe was a constant reproach to the poverty of communism in Eastern Europe. Now that the shackles of communism have been removed from Poland, Hungary, Czechoslovakia, and Bulgaria, they are now free to rejoin Western Europe—something which would                        have seemed impossible 2 or 3 years ago.</w:t>
      </w:r>
    </w:p>
    <w:p w:rsidR="00A31137" w:rsidRPr="00A31137" w:rsidRDefault="00A31137" w:rsidP="00A31137">
      <w:r w:rsidRPr="00A31137">
        <w:t>Public Papers of Bush, 1991, p.227</w:t>
      </w:r>
    </w:p>
    <w:p w:rsidR="00A31137" w:rsidRPr="00A31137" w:rsidRDefault="00A31137" w:rsidP="00A31137">
      <w:r w:rsidRPr="00A31137">
        <w:t>The great principles of freedom, justice, and democracy, which are the inheritance of both our countries, find their most eloquent expression in the American Declaration of Independence. As one of your statesmen pointed out, it was not a document designed for one generation, but, and I quote, "For posterity unlimited, undefined, endless and perpetual." And so it has been. And so it may ever be.</w:t>
      </w:r>
    </w:p>
    <w:p w:rsidR="00A31137" w:rsidRPr="00A31137" w:rsidRDefault="00A31137" w:rsidP="00A31137">
      <w:r w:rsidRPr="00A31137">
        <w:t>Public Papers of Bush, 1991, p.227</w:t>
      </w:r>
    </w:p>
    <w:p w:rsidR="00A31137" w:rsidRPr="00A31137" w:rsidRDefault="00A31137" w:rsidP="00A31137">
      <w:r w:rsidRPr="00A31137">
        <w:t>Mr. President, once again, its truths have been upheld. Once again, the strong bond between our two countries in peace have been reaffirmed as it has been in war. The peoples of the alliance you, sir, formed will feel proud not only because the battles they fought were won but because they know that what you did was morally right. Their victory will bring hope to other oppressed peoples that they, too, one day may be free.</w:t>
      </w:r>
    </w:p>
    <w:p w:rsidR="00A31137" w:rsidRPr="00A31137" w:rsidRDefault="00A31137" w:rsidP="00A31137">
      <w:r w:rsidRPr="00A31137">
        <w:t>Public Papers of Bush, 1991, p.227</w:t>
      </w:r>
    </w:p>
    <w:p w:rsidR="00A31137" w:rsidRPr="00A31137" w:rsidRDefault="00A31137" w:rsidP="00A31137">
      <w:r w:rsidRPr="00A31137">
        <w:t>It is in that spirit, Mr. President, that I accept this award—not on behalf of myself only but on behalf of my country and remembering the people struggling toward freedom in the Baltic States, remembering those striving to make freedom work in Eastern Europe, and those trying to negotiate a free South Africa in peace. And on behalf of those throughout history who never having known freedom have, nonetheless, died for it. And for us here today.</w:t>
      </w:r>
    </w:p>
    <w:p w:rsidR="00A31137" w:rsidRPr="00A31137" w:rsidRDefault="00A31137" w:rsidP="00A31137">
      <w:r w:rsidRPr="00A31137">
        <w:t>Public Papers of Bush, 1991, p.227</w:t>
      </w:r>
    </w:p>
    <w:p w:rsidR="00A31137" w:rsidRPr="00A31137" w:rsidRDefault="00A31137" w:rsidP="00A31137">
      <w:r w:rsidRPr="00A31137">
        <w:t>Mr. President, this is a very proud day. May I thank you for this award. May I say that we salute America and we salute you, Mr. President, and all the things you stand for. Thank you.</w:t>
      </w:r>
    </w:p>
    <w:p w:rsidR="00A31137" w:rsidRPr="00A31137" w:rsidRDefault="00A31137" w:rsidP="00A31137">
      <w:r w:rsidRPr="00A31137">
        <w:t>Public Papers of Bush, 1991, p.227</w:t>
      </w:r>
    </w:p>
    <w:p w:rsidR="00A31137" w:rsidRPr="00A31137" w:rsidRDefault="00A31137" w:rsidP="00A31137">
      <w:r w:rsidRPr="00A31137">
        <w:t>NOTE: The President spoke at 5:30 p.m. in the East Room at the White House. During the ceremony, the following persons were referred to: Sir Denis Thatcher, husband of former Prime Minister Thatcher, and their children, Mark and Diane; Prime Minister John Major of the United Kingdom; Jake Ross, Navy aide to the President; and President Saddam Hussein of Iraq.</w:t>
      </w:r>
    </w:p>
    <w:p w:rsidR="00A31137" w:rsidRPr="00A31137" w:rsidRDefault="00A31137" w:rsidP="00A31137">
      <w:r w:rsidRPr="00A31137">
        <w:t>President Bush's Statement on the United Nations Persian Gulf Cease-Fire Resolution, 1991</w:t>
      </w:r>
    </w:p>
    <w:p w:rsidR="00A31137" w:rsidRPr="00A31137" w:rsidRDefault="00A31137" w:rsidP="00A31137">
      <w:r w:rsidRPr="00A31137">
        <w:t>Title:</w:t>
      </w:r>
      <w:r w:rsidRPr="00A31137">
        <w:tab/>
        <w:t>President Bush's Statement on the United Nations Persian Gulf Cease-Fire Resolution</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April 3, 1991</w:t>
      </w:r>
    </w:p>
    <w:p w:rsidR="00A31137" w:rsidRPr="00A31137" w:rsidRDefault="00A31137" w:rsidP="00A31137">
      <w:r w:rsidRPr="00A31137">
        <w:t>Source:</w:t>
      </w:r>
      <w:r w:rsidRPr="00A31137">
        <w:tab/>
        <w:t>Public Papers of the Presidents, Bush, 1991, pp.323-324</w:t>
      </w:r>
    </w:p>
    <w:p w:rsidR="00A31137" w:rsidRPr="00A31137" w:rsidRDefault="00A31137" w:rsidP="00A31137">
      <w:r w:rsidRPr="00A31137">
        <w:t>Public Papers of Bush, 1991, p.323</w:t>
      </w:r>
    </w:p>
    <w:p w:rsidR="00A31137" w:rsidRPr="00A31137" w:rsidRDefault="00A31137" w:rsidP="00A31137">
      <w:r w:rsidRPr="00A31137">
        <w:t>I am extremely pleased that the Security Council has voted in favor of Resolution 687. Fourteen times now the United Nations has demonstrated its determination to contribute significantly to the prospects for lasting peace and security in the Gulf region.</w:t>
      </w:r>
      <w:r w:rsidRPr="00A31137">
        <w:cr/>
      </w:r>
    </w:p>
    <w:p w:rsidR="00A31137" w:rsidRPr="00A31137" w:rsidRDefault="00A31137" w:rsidP="00A31137">
      <w:r w:rsidRPr="00A31137">
        <w:t>Public Papers of Bush, 1991, p.323–p.324</w:t>
      </w:r>
    </w:p>
    <w:p w:rsidR="00A31137" w:rsidRPr="00A31137" w:rsidRDefault="00A31137" w:rsidP="00A31137">
      <w:r w:rsidRPr="00A31137">
        <w:t>This latest resolution creates the basis for a formal cease-fire in the Gulf. It comes 8 months since Iraq invaded Kuwait. During these 8 months, the world community has stood up for what is right and just. It is now up to Iraq's Government to demonstrate that it is prepared to respect the will of the [p.324] world community and communicate its formal acceptance of this resolution to the Security Council and the Secretary-General.</w:t>
      </w:r>
    </w:p>
    <w:p w:rsidR="00A31137" w:rsidRPr="00A31137" w:rsidRDefault="00A31137" w:rsidP="00A31137">
      <w:r w:rsidRPr="00A31137">
        <w:t>Public Papers of Bush, 1991, p.324</w:t>
      </w:r>
    </w:p>
    <w:p w:rsidR="00A31137" w:rsidRPr="00A31137" w:rsidRDefault="00A31137" w:rsidP="00A31137">
      <w:r w:rsidRPr="00A31137">
        <w:t>The resolution is unprecedented. It creates a force to monitor the legal border between Iraq and Kuwait; it also provides a U.N. guarantee of that border. Once this observer force arrives, all remaining U.S. ground forces will be withdrawn from Iraqi territory.</w:t>
      </w:r>
    </w:p>
    <w:p w:rsidR="00A31137" w:rsidRPr="00A31137" w:rsidRDefault="00A31137" w:rsidP="00A31137">
      <w:r w:rsidRPr="00A31137">
        <w:t>Public Papers of Bush, 1991, p.324</w:t>
      </w:r>
    </w:p>
    <w:p w:rsidR="00A31137" w:rsidRPr="00A31137" w:rsidRDefault="00A31137" w:rsidP="00A31137">
      <w:r w:rsidRPr="00A31137">
        <w:t>The resolution establishes a fund to compensate Kuwait and other claimants for the damage caused by Iraq's aggression. The resolution also includes provisions designed to ensure that Iraq cannot rebuild its military strength to threaten anew the peace of the region. Weapons of mass destruction and the means to deliver them are to be destroyed; this is to be confirmed by on-site inspection.</w:t>
      </w:r>
    </w:p>
    <w:p w:rsidR="00A31137" w:rsidRPr="00A31137" w:rsidRDefault="00A31137" w:rsidP="00A31137">
      <w:r w:rsidRPr="00A31137">
        <w:t>Public Papers of Bush, 1991, p.324</w:t>
      </w:r>
    </w:p>
    <w:p w:rsidR="00A31137" w:rsidRPr="00A31137" w:rsidRDefault="00A31137" w:rsidP="00A31137">
      <w:r w:rsidRPr="00A31137">
        <w:t>Certain sanctions will remain in force until such time as Iraq is led by a government that convinces the world of its intent both to live in peace with its neighbors and to devote its resources to the welfare of the Iraqi people. The resolution thus provides the necessary latitude for the international community to adjust its relations with Iraq depending upon Iraq's leadership and behavior.</w:t>
      </w:r>
    </w:p>
    <w:p w:rsidR="00A31137" w:rsidRPr="00A31137" w:rsidRDefault="00A31137" w:rsidP="00A31137">
      <w:r w:rsidRPr="00A31137">
        <w:t>Public Papers of Bush, 1991, p.324</w:t>
      </w:r>
    </w:p>
    <w:p w:rsidR="00A31137" w:rsidRPr="00A31137" w:rsidRDefault="00A31137" w:rsidP="00A31137">
      <w:r w:rsidRPr="00A31137">
        <w:t>I also want to condemn in the strongest terms continued attacks by Iraqi Government forces against defenseless Kurdish and other Iraqi civilians. This sort of behavior will continue to set Iraq apart from the community of civilized nations. I call upon Iraq's leaders to halt these attacks immediately and to allow international organizations to go to work inside Iraq to alleviate the suffering and to ensure that humanitarian aid reaches needy civilians. As a result of these cruel attacks, Turkey is now faced with a mounting refugee problem. The United States is prepared to extend economic help to Turkey through multilateral channels, and we call upon others to do likewise.</w:t>
      </w:r>
    </w:p>
    <w:p w:rsidR="00A31137" w:rsidRPr="00A31137" w:rsidRDefault="00A31137" w:rsidP="00A31137">
      <w:r w:rsidRPr="00A31137">
        <w:t>President Bush's Message to the Senate Transmitting the Treaty on Conventional Armed Forces in Europe, 1991</w:t>
      </w:r>
    </w:p>
    <w:p w:rsidR="00A31137" w:rsidRPr="00A31137" w:rsidRDefault="00A31137" w:rsidP="00A31137">
      <w:r w:rsidRPr="00A31137">
        <w:t>Title:</w:t>
      </w:r>
      <w:r w:rsidRPr="00A31137">
        <w:tab/>
        <w:t>President Bush's Message to the Senate Transmitting the Treaty on Conventional Armed Forces in Europe</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July 9, 1991</w:t>
      </w:r>
    </w:p>
    <w:p w:rsidR="00A31137" w:rsidRPr="00A31137" w:rsidRDefault="00A31137" w:rsidP="00A31137">
      <w:r w:rsidRPr="00A31137">
        <w:t>Source:</w:t>
      </w:r>
      <w:r w:rsidRPr="00A31137">
        <w:tab/>
        <w:t>Public Papers of the Presidents, Bush, 1991, pp.849-850</w:t>
      </w:r>
    </w:p>
    <w:p w:rsidR="00A31137" w:rsidRPr="00A31137" w:rsidRDefault="00A31137" w:rsidP="00A31137">
      <w:r w:rsidRPr="00A31137">
        <w:t>Public Papers of Bush, 1991, p.849</w:t>
      </w:r>
    </w:p>
    <w:p w:rsidR="00A31137" w:rsidRPr="00A31137" w:rsidRDefault="00A31137" w:rsidP="00A31137">
      <w:r w:rsidRPr="00A31137">
        <w:t>To the Senate of the United States:</w:t>
      </w:r>
    </w:p>
    <w:p w:rsidR="00A31137" w:rsidRPr="00A31137" w:rsidRDefault="00A31137" w:rsidP="00A31137">
      <w:r w:rsidRPr="00A31137">
        <w:t>Public Papers of Bush, 1991, p.849</w:t>
      </w:r>
    </w:p>
    <w:p w:rsidR="00A31137" w:rsidRPr="00A31137" w:rsidRDefault="00A31137" w:rsidP="00A31137">
      <w:r w:rsidRPr="00A31137">
        <w:t>I transmit herewith, for the advice and consent of the Senate to ratification, the Treaty on Conventional Armed Forces in Europe (CFE). The Treaty includes the following documents, which are integral parts thereof: the Protocol on Existing Types (with an Annex thereto), the Protocol on Aircraft Reclassification, the Protocol on Reduction, the Protocol on Helicopter Recategorization, the Protocol on Information Exchange (with an Annex on Format), the Protocol on Inspection, the Protocol on the Joint Consultative Group, and the Protocol on Provisional Application. The Treaty, together with the Protocols, was signed at Paris on November 19, 1990. I transmit also, for the information of the Senate, the Report of the Department of State on the Treaty.</w:t>
      </w:r>
    </w:p>
    <w:p w:rsidR="00A31137" w:rsidRPr="00A31137" w:rsidRDefault="00A31137" w:rsidP="00A31137">
      <w:r w:rsidRPr="00A31137">
        <w:t>Public Papers of Bush, 1991, p.849</w:t>
      </w:r>
    </w:p>
    <w:p w:rsidR="00A31137" w:rsidRPr="00A31137" w:rsidRDefault="00A31137" w:rsidP="00A31137">
      <w:r w:rsidRPr="00A31137">
        <w:t>In addition, I transmit herewith, for the information of the Senate, six documents associated with, but not part of, the Treaty that are relevant to the Senate's consideration of the Treaty: Statement by the Union of Soviet Socialist Republics, dated June 14, 1991; Statement by the Government of the United States of America, dated June 14, 1991, responding to the Statement by the Union of Soviet Socialist Republics (Statements identical in content were made by the 20 other signatory states on the same date. Copies of these Statements are also transmitted.); Declaration by the Government of the Federal Republic of Germany on the Personnel Strength of German Armed Forces, dated November 19, 1990; Declaration of the States Parties to the Treaty on Conventional Armed Forces in Europe With Respect to Personnel Strength, dated November 19, 1990; Declaration of the States Parties to the Treaty on Conventional Armed Forces in Europe With Respect to Land-Based Naval Aircraft, dated November 19, 1990; and Statement by the Representative of the Union of Soviet Socialist Republics to the Joint Consultative Group, dated June 14, 1991. The first two Statements are legally binding and constitute a separate international agreement, while the latter four documents represent political commitments.</w:t>
      </w:r>
    </w:p>
    <w:p w:rsidR="00A31137" w:rsidRPr="00A31137" w:rsidRDefault="00A31137" w:rsidP="00A31137">
      <w:r w:rsidRPr="00A31137">
        <w:t>Public Papers of Bush, 1991, p.849</w:t>
      </w:r>
    </w:p>
    <w:p w:rsidR="00A31137" w:rsidRPr="00A31137" w:rsidRDefault="00A31137" w:rsidP="00A31137">
      <w:r w:rsidRPr="00A31137">
        <w:t>The CFE Treaty is the most ambitious arms control agreement ever concluded. The complexities of negotiating a treaty involving 22 nations and tens of thousands of armaments spread over an area of more than two and a half million square miles were immense. Difficult technical issues such as definitions, counting rules, methods for destroying reduced equipment, and inspection rights were painstakingly negotiated.</w:t>
      </w:r>
    </w:p>
    <w:p w:rsidR="00A31137" w:rsidRPr="00A31137" w:rsidRDefault="00A31137" w:rsidP="00A31137">
      <w:r w:rsidRPr="00A31137">
        <w:t>Public Papers of Bush, 1991, p.849–p.850</w:t>
      </w:r>
    </w:p>
    <w:p w:rsidR="00A31137" w:rsidRPr="00A31137" w:rsidRDefault="00A31137" w:rsidP="00A31137">
      <w:r w:rsidRPr="00A31137">
        <w:t>The Treaty is the first conventional arms control agreement since World War II. It marks the first time in history that European [p.850] nations, together with the United States and Canada, have agreed to reduce and numerically limit their land-based conventional military equipment, especially equipment necessary to conduct offensive operations. Significantly, the reductions will eliminate the overwhelming Soviet numerical advantage in conventional armaments that has existed in Europe for more than 40 years. The Treaty's limits enhance stability by ending force disparities, and they limit the capability for launching surprise attack and initiating large-scale offensive action in Europe.</w:t>
      </w:r>
    </w:p>
    <w:p w:rsidR="00A31137" w:rsidRPr="00A31137" w:rsidRDefault="00A31137" w:rsidP="00A31137">
      <w:r w:rsidRPr="00A31137">
        <w:t>Public Papers of Bush, 1991, p.850</w:t>
      </w:r>
    </w:p>
    <w:p w:rsidR="00A31137" w:rsidRPr="00A31137" w:rsidRDefault="00A31137" w:rsidP="00A31137">
      <w:r w:rsidRPr="00A31137">
        <w:t>The Treaty contains a wide-ranging verification regime. Under this regime, in which intrusive on-site inspection complements national technical means to monitor compliance, ground and. air forces of the participating states in the area of application of the Treaty will be subject to inspection, either at declared sites or with challenge inspections. The Treaty also provides for a detailed information exchange on the command organization of each participating state's land, air, and air defense forces as well as information about the number and location of each participating state's military equipment, subject to the limitations and other provisions of the Treaty. This information will be updated periodically and as significant changes to such data and reductions of equipment take place.</w:t>
      </w:r>
    </w:p>
    <w:p w:rsidR="00A31137" w:rsidRPr="00A31137" w:rsidRDefault="00A31137" w:rsidP="00A31137">
      <w:r w:rsidRPr="00A31137">
        <w:t>Public Papers of Bush, 1991, p.850</w:t>
      </w:r>
    </w:p>
    <w:p w:rsidR="00A31137" w:rsidRPr="00A31137" w:rsidRDefault="00A31137" w:rsidP="00A31137">
      <w:r w:rsidRPr="00A31137">
        <w:t>The military equipment to be reduced and limited consists of battle tanks, armored combat vehicles, artillery, attack helicopters, and combat aircraft in service with the conventional armed forces of the States Parties in Europe from the Atlantic to the Urals. Inclusion of the Baltic military district within the area of application of the Treaty ensures that the Treaty's limits apply comprehensively to all Soviet forces within the area. This does not represent any change in the long-standing U.S. policy of nonrecognition of the forcible incorporation of the Baltic States into the Soviet Union. At the conclusion of the 40-month reduction period, the numerical limits on this equipment in the area of application for each group of participating states will be as follows: 20,000 battle tanks, 30,000 armored combat vehicles, 20,000 pieces of artillery, 2,000 attack helicopters, and 6,800 combat aircraft. All military equipment subject to and in excess of these limits that was in the area of application at the time of Treaty signature or entry into force (whichever amount is greater) must be destroyed or, within specified limits, converted to nonmilitary or other purposes. Subceilings are established for specific geographical zones within the area of application, the purpose of these being to thin out forces on the central front while forestalling buildups in the flank areas. Under the so-called "sufficiency rule" of the Treaty, no State Party may hold more than approximately one-third of the total amount of equipment in these five categories permitted within the area of application as a whole.</w:t>
      </w:r>
    </w:p>
    <w:p w:rsidR="00A31137" w:rsidRPr="00A31137" w:rsidRDefault="00A31137" w:rsidP="00A31137">
      <w:r w:rsidRPr="00A31137">
        <w:t>Public Papers of Bush, 1991, p.850</w:t>
      </w:r>
    </w:p>
    <w:p w:rsidR="00A31137" w:rsidRPr="00A31137" w:rsidRDefault="00A31137" w:rsidP="00A31137">
      <w:r w:rsidRPr="00A31137">
        <w:t>Above and beyond eliminating force disparities and limiting the capability for launching large-scale offensive action, the CFE Treaty will be of major importance in laying the indispensable foundation for the post-Cold War security architecture in Europe. Only with this foundation in place can we move from a European security order based on confrontation to one based on cooperation.</w:t>
      </w:r>
    </w:p>
    <w:p w:rsidR="00A31137" w:rsidRPr="00A31137" w:rsidRDefault="00A31137" w:rsidP="00A31137">
      <w:r w:rsidRPr="00A31137">
        <w:t>Public Papers of Bush, 1991, p.850</w:t>
      </w:r>
    </w:p>
    <w:p w:rsidR="00A31137" w:rsidRPr="00A31137" w:rsidRDefault="00A31137" w:rsidP="00A31137">
      <w:r w:rsidRPr="00A31137">
        <w:t>I believe that the CFE Treaty is in the best interests of the United States and represents an important step in defining the new security regime in Europe. It achieves unprecedented arms reductions that strengthen U.S., Canadian, and European security. Therefore, I urge the Senate to give early and favorable consideration to the Treaty and its related Protocols and Annexes, and to give advice and consent to its ratification.</w:t>
      </w:r>
    </w:p>
    <w:p w:rsidR="00A31137" w:rsidRPr="00A31137" w:rsidRDefault="00A31137" w:rsidP="00A31137">
      <w:r w:rsidRPr="00A31137">
        <w:t>GEORGE BUSH</w:t>
      </w:r>
    </w:p>
    <w:p w:rsidR="00A31137" w:rsidRPr="00A31137" w:rsidRDefault="00A31137" w:rsidP="00A31137">
      <w:r w:rsidRPr="00A31137">
        <w:t>The White House,</w:t>
      </w:r>
    </w:p>
    <w:p w:rsidR="00A31137" w:rsidRPr="00A31137" w:rsidRDefault="00A31137" w:rsidP="00A31137">
      <w:r w:rsidRPr="00A31137">
        <w:t>July 9, 1991.</w:t>
      </w:r>
    </w:p>
    <w:p w:rsidR="00A31137" w:rsidRPr="00A31137" w:rsidRDefault="00A31137" w:rsidP="00A31137">
      <w:r w:rsidRPr="00A31137">
        <w:t>President Bush's Message Honoring Civilians Killed During the Attempted Coup in the Soviet Union, 1991</w:t>
      </w:r>
    </w:p>
    <w:p w:rsidR="00A31137" w:rsidRPr="00A31137" w:rsidRDefault="00A31137" w:rsidP="00A31137">
      <w:r w:rsidRPr="00A31137">
        <w:t>Title:</w:t>
      </w:r>
      <w:r w:rsidRPr="00A31137">
        <w:tab/>
        <w:t>President Bush's Message Honoring Civilians Killed During the Attempted Coup in the Soviet Union</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August 24, 1991</w:t>
      </w:r>
    </w:p>
    <w:p w:rsidR="00A31137" w:rsidRPr="00A31137" w:rsidRDefault="00A31137" w:rsidP="00A31137">
      <w:r w:rsidRPr="00A31137">
        <w:t>Source:</w:t>
      </w:r>
      <w:r w:rsidRPr="00A31137">
        <w:tab/>
        <w:t>Public Papers of the Presidents, Bush, 1991, p.1086</w:t>
      </w:r>
    </w:p>
    <w:p w:rsidR="00A31137" w:rsidRPr="00A31137" w:rsidRDefault="00A31137" w:rsidP="00A31137">
      <w:r w:rsidRPr="00A31137">
        <w:t>Public Papers of Bush, 1991, p.1086</w:t>
      </w:r>
    </w:p>
    <w:p w:rsidR="00A31137" w:rsidRPr="00A31137" w:rsidRDefault="00A31137" w:rsidP="00A31137">
      <w:r w:rsidRPr="00A31137">
        <w:t>A great American, Patrick Henry, more than 200 years ago said: "Give me liberty or give me death." In the years since then, many Americans have faced that choice and have made the supreme sacrifice in defense of freedom and democracy. The justice of the cause does not make the loss of brave men and women any easier to bear.</w:t>
      </w:r>
    </w:p>
    <w:p w:rsidR="00A31137" w:rsidRPr="00A31137" w:rsidRDefault="00A31137" w:rsidP="00A31137">
      <w:r w:rsidRPr="00A31137">
        <w:t>Public Papers of Bush, 1991, p.1086</w:t>
      </w:r>
    </w:p>
    <w:p w:rsidR="00A31137" w:rsidRPr="00A31137" w:rsidRDefault="00A31137" w:rsidP="00A31137">
      <w:r w:rsidRPr="00A31137">
        <w:t>The American people during this past week shared the shock of the Russian people at the attack on their liberties, watched with admiration their defense of their "White House" and all it symbolized, and shared their joy at the collapse of the effort to reimpose tyranny. Today, we share your sorrow at the price these brave souls paid in the just cause for which they and you fought. They did not die in vain. May the memory of them remain bright and the democracy for which they gave their lives flourish among you.</w:t>
      </w:r>
    </w:p>
    <w:p w:rsidR="00A31137" w:rsidRPr="00A31137" w:rsidRDefault="00A31137" w:rsidP="00A31137">
      <w:r w:rsidRPr="00A31137">
        <w:t>Public Papers of Bush, 1991, p.1086</w:t>
      </w:r>
    </w:p>
    <w:p w:rsidR="00A31137" w:rsidRPr="00A31137" w:rsidRDefault="00A31137" w:rsidP="00A31137">
      <w:r w:rsidRPr="00A31137">
        <w:t>NOTE: Robert S. Strauss, U.S. Ambassador to the Soviet Union, read this Presidential message at the August 24 funeral of three civilians killed in Moscow during the attempted coup.</w:t>
      </w:r>
    </w:p>
    <w:p w:rsidR="00A31137" w:rsidRPr="00A31137" w:rsidRDefault="00A31137" w:rsidP="00A31137">
      <w:r w:rsidRPr="00A31137">
        <w:t>President Bush's Address to the Nation on the Supreme Court Nomination of Clarence Thomas, 1991</w:t>
      </w:r>
    </w:p>
    <w:p w:rsidR="00A31137" w:rsidRPr="00A31137" w:rsidRDefault="00A31137" w:rsidP="00A31137">
      <w:r w:rsidRPr="00A31137">
        <w:t>Title:</w:t>
      </w:r>
      <w:r w:rsidRPr="00A31137">
        <w:tab/>
        <w:t>President Bush's Address to the Nation on the Supreme Court Nomination of Clarence Thomas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September 6, 1991</w:t>
      </w:r>
    </w:p>
    <w:p w:rsidR="00A31137" w:rsidRPr="00A31137" w:rsidRDefault="00A31137" w:rsidP="00A31137">
      <w:r w:rsidRPr="00A31137">
        <w:t>Source:</w:t>
      </w:r>
      <w:r w:rsidRPr="00A31137">
        <w:tab/>
        <w:t>Public Papers of the Presidents, Bush, 1991, pp.1123-1124</w:t>
      </w:r>
    </w:p>
    <w:p w:rsidR="00A31137" w:rsidRPr="00A31137" w:rsidRDefault="00A31137" w:rsidP="00A31137">
      <w:r w:rsidRPr="00A31137">
        <w:t>Public Papers of Bush, 1991, p.1123</w:t>
      </w:r>
    </w:p>
    <w:p w:rsidR="00A31137" w:rsidRPr="00A31137" w:rsidRDefault="00A31137" w:rsidP="00A31137">
      <w:r w:rsidRPr="00A31137">
        <w:t>My fellow Americans:</w:t>
      </w:r>
    </w:p>
    <w:p w:rsidR="00A31137" w:rsidRPr="00A31137" w:rsidRDefault="00A31137" w:rsidP="00A31137">
      <w:r w:rsidRPr="00A31137">
        <w:t>Public Papers of Bush, 1991, p.1123</w:t>
      </w:r>
    </w:p>
    <w:p w:rsidR="00A31137" w:rsidRPr="00A31137" w:rsidRDefault="00A31137" w:rsidP="00A31137">
      <w:r w:rsidRPr="00A31137">
        <w:t>I would like to talk today about opportunity in America. Our land, unique among all nations, grew out of high ideals, the most precious of which is that every man and woman deserves a chance to go as far as their abilities and hard work will take them, that all deserve to live free from the bonds of prejudice and arbitrary limitation.</w:t>
      </w:r>
    </w:p>
    <w:p w:rsidR="00A31137" w:rsidRPr="00A31137" w:rsidRDefault="00A31137" w:rsidP="00A31137">
      <w:r w:rsidRPr="00A31137">
        <w:t>Public Papers of Bush, 1991, p.1123</w:t>
      </w:r>
    </w:p>
    <w:p w:rsidR="00A31137" w:rsidRPr="00A31137" w:rsidRDefault="00A31137" w:rsidP="00A31137">
      <w:r w:rsidRPr="00A31137">
        <w:t>For more than two centuries our national soul, the U.S. Constitution, has given life to the values of equality before the law. While people try from time to time to bury that spirit beneath an avalanche of lawsuits, technicalities, and decrees, every American knows that profound notions of fairness, justice, equality, and civility define us and bind us. Not every American can recite the Constitution, but most of us can feel it. We feel it because Americans, through their daily deeds, give real life to American principles.</w:t>
      </w:r>
    </w:p>
    <w:p w:rsidR="00A31137" w:rsidRPr="00A31137" w:rsidRDefault="00A31137" w:rsidP="00A31137">
      <w:r w:rsidRPr="00A31137">
        <w:t>Public Papers of Bush, 1991, p.1123</w:t>
      </w:r>
    </w:p>
    <w:p w:rsidR="00A31137" w:rsidRPr="00A31137" w:rsidRDefault="00A31137" w:rsidP="00A31137">
      <w:r w:rsidRPr="00A31137">
        <w:t>Next week, the Senate will begin hearings about a man whose life is a story of opportunity: Judge Clarence Thomas, my nominee to serve on the United States Supreme Court. Most of you have heard his story, how Clarence Thomas was raised in Pinpoint, Georgia, by stern and loving grandparents, educated in parochial schools, graduated from Holy Cross and the Yale Law School.</w:t>
      </w:r>
    </w:p>
    <w:p w:rsidR="00A31137" w:rsidRPr="00A31137" w:rsidRDefault="00A31137" w:rsidP="00A31137">
      <w:r w:rsidRPr="00A31137">
        <w:t>Public Papers of Bush, 1991, p.1123</w:t>
      </w:r>
    </w:p>
    <w:p w:rsidR="00A31137" w:rsidRPr="00A31137" w:rsidRDefault="00A31137" w:rsidP="00A31137">
      <w:r w:rsidRPr="00A31137">
        <w:t>He grew up deprived of material wealth, but blessed with the important treasures: a loving family, sturdy values, and a chance. His family, friends, and teachers did not define equal opportunity in terms of regulations or statistics, and neither did he. Clarence defined opportunity through education, dedication, and just plain hard work.</w:t>
      </w:r>
    </w:p>
    <w:p w:rsidR="00A31137" w:rsidRPr="00A31137" w:rsidRDefault="00A31137" w:rsidP="00A31137">
      <w:r w:rsidRPr="00A31137">
        <w:t>Public Papers of Bush, 1991, p.1123</w:t>
      </w:r>
    </w:p>
    <w:p w:rsidR="00A31137" w:rsidRPr="00A31137" w:rsidRDefault="00A31137" w:rsidP="00A31137">
      <w:r w:rsidRPr="00A31137">
        <w:t>When you hear or see coverage of those hearings, think of your sons, your daughters, your loved ones, and their voyage into a tough world. Then think of this extraordinary man who conquered deprivation without self-pity or complaint. And think of what it means to appoint to our highest Court a man who appreciates the real glories of our form of government and understands the real difficulties our Nation faces.</w:t>
      </w:r>
    </w:p>
    <w:p w:rsidR="00A31137" w:rsidRPr="00A31137" w:rsidRDefault="00A31137" w:rsidP="00A31137">
      <w:r w:rsidRPr="00A31137">
        <w:t>Public Papers of Bush, 1991, p.1123–p.1124</w:t>
      </w:r>
    </w:p>
    <w:p w:rsidR="00A31137" w:rsidRPr="00A31137" w:rsidRDefault="00A31137" w:rsidP="00A31137">
      <w:r w:rsidRPr="00A31137">
        <w:t>When a President selects a Justice to the Supreme Court, he must pick someone who appreciates our Constitution's timeless majesty [p.1124] , who understands the importance of the rule of law in our society. But the nominee also must cherish the values that make our land great, that make our chins quiver in pride and gratitude when troops return home bearing the flag or when Americans through hard work, determination, and dedication expand the frontiers of possibility.</w:t>
      </w:r>
    </w:p>
    <w:p w:rsidR="00A31137" w:rsidRPr="00A31137" w:rsidRDefault="00A31137" w:rsidP="00A31137">
      <w:r w:rsidRPr="00A31137">
        <w:t>Public Papers of Bush, 1991, p.1124</w:t>
      </w:r>
    </w:p>
    <w:p w:rsidR="00A31137" w:rsidRPr="00A31137" w:rsidRDefault="00A31137" w:rsidP="00A31137">
      <w:r w:rsidRPr="00A31137">
        <w:t>Clarence Thomas has preserved the fabric of our Constitution as a judge on the U.S. Court of Appeals. And he will continue to do so on the Supreme Court.</w:t>
      </w:r>
    </w:p>
    <w:p w:rsidR="00A31137" w:rsidRPr="00A31137" w:rsidRDefault="00A31137" w:rsidP="00A31137">
      <w:r w:rsidRPr="00A31137">
        <w:t>Public Papers of Bush, 1991, p.1124</w:t>
      </w:r>
    </w:p>
    <w:p w:rsidR="00A31137" w:rsidRPr="00A31137" w:rsidRDefault="00A31137" w:rsidP="00A31137">
      <w:r w:rsidRPr="00A31137">
        <w:t>Senate hearings start next week. I know the Senate will maintain standards of dignity and appropriate scrutiny when it comes to Judge Thomas. And I urge all Americans to do the same. I know that the American public, when it gets a chance to see Clarence Thomas in action, will feel as I do, proud that we have entrusted this son of America with the task of keeping our heart healthy and whole, and proud of this man who embodies the promise of equality and opportunity in America.</w:t>
      </w:r>
    </w:p>
    <w:p w:rsidR="00A31137" w:rsidRPr="00A31137" w:rsidRDefault="00A31137" w:rsidP="00A31137">
      <w:r w:rsidRPr="00A31137">
        <w:t>Public Papers of Bush, 1991, p.1124</w:t>
      </w:r>
    </w:p>
    <w:p w:rsidR="00A31137" w:rsidRPr="00A31137" w:rsidRDefault="00A31137" w:rsidP="00A31137">
      <w:r w:rsidRPr="00A31137">
        <w:t>Thank you. May God bless you. And may God bless the United States of America.</w:t>
      </w:r>
    </w:p>
    <w:p w:rsidR="00A31137" w:rsidRPr="00A31137" w:rsidRDefault="00A31137" w:rsidP="00A31137">
      <w:r w:rsidRPr="00A31137">
        <w:t>Public Papers of Bush, 1991, p.1124</w:t>
      </w:r>
    </w:p>
    <w:p w:rsidR="00A31137" w:rsidRPr="00A31137" w:rsidRDefault="00A31137" w:rsidP="00A31137">
      <w:r w:rsidRPr="00A31137">
        <w:t>NOTE: The President recorded this address for radio broadcast at 2:05 p.m. in the Roosevelt Room at the White House.</w:t>
      </w:r>
    </w:p>
    <w:p w:rsidR="00A31137" w:rsidRPr="00A31137" w:rsidRDefault="00A31137" w:rsidP="00A31137">
      <w:r w:rsidRPr="00A31137">
        <w:t>President Bush's Remarks on Signing the Civil Rights Act of 1991</w:t>
      </w:r>
    </w:p>
    <w:p w:rsidR="00A31137" w:rsidRPr="00A31137" w:rsidRDefault="00A31137" w:rsidP="00A31137">
      <w:r w:rsidRPr="00A31137">
        <w:t>Title:</w:t>
      </w:r>
      <w:r w:rsidRPr="00A31137">
        <w:tab/>
        <w:t>President Bush's Remarks on Signing the Civil Rights Act of 1991</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November 21, 1991</w:t>
      </w:r>
    </w:p>
    <w:p w:rsidR="00A31137" w:rsidRPr="00A31137" w:rsidRDefault="00A31137" w:rsidP="00A31137">
      <w:r w:rsidRPr="00A31137">
        <w:t>Source:</w:t>
      </w:r>
      <w:r w:rsidRPr="00A31137">
        <w:tab/>
        <w:t>Public Papers of the Presidents, Bush, 1991, pp.1502-1503</w:t>
      </w:r>
    </w:p>
    <w:p w:rsidR="00A31137" w:rsidRPr="00A31137" w:rsidRDefault="00A31137" w:rsidP="00A31137">
      <w:r w:rsidRPr="00A31137">
        <w:t>Public Papers of Bush, 1991, p.1502</w:t>
      </w:r>
    </w:p>
    <w:p w:rsidR="00A31137" w:rsidRPr="00A31137" w:rsidRDefault="00A31137" w:rsidP="00A31137">
      <w:r w:rsidRPr="00A31137">
        <w:t>Welcome to the White House. And may I salute the members of the Cabinet who are here today, Members of the Congress, many Members of Congress, distinguished guests.</w:t>
      </w:r>
    </w:p>
    <w:p w:rsidR="00A31137" w:rsidRPr="00A31137" w:rsidRDefault="00A31137" w:rsidP="00A31137">
      <w:r w:rsidRPr="00A31137">
        <w:t>Public Papers of Bush, 1991, p.1502</w:t>
      </w:r>
    </w:p>
    <w:p w:rsidR="00A31137" w:rsidRPr="00A31137" w:rsidRDefault="00A31137" w:rsidP="00A31137">
      <w:r w:rsidRPr="00A31137">
        <w:t>Today we celebrate a law that will fight the evil of discrimination while also building bridges of harmony between Americans of all races, sexes, creeds, and backgrounds. For the past few years, the issue of civil rights legislation has divided Americans. No more. From day one, I told the American people that I wanted a civil rights bill that advances the cause of equal opportunity. And I wanted a bill that advances the cause of racial harmony. And I wanted a bill that encourages people to work together. And today I am signing that bill, the Civil Rights Act of 1991.</w:t>
      </w:r>
    </w:p>
    <w:p w:rsidR="00A31137" w:rsidRPr="00A31137" w:rsidRDefault="00A31137" w:rsidP="00A31137">
      <w:r w:rsidRPr="00A31137">
        <w:t>Public Papers of Bush, 1991, p.1502</w:t>
      </w:r>
    </w:p>
    <w:p w:rsidR="00A31137" w:rsidRPr="00A31137" w:rsidRDefault="00A31137" w:rsidP="00A31137">
      <w:r w:rsidRPr="00A31137">
        <w:t>Discrimination, whether on the basis of race, national origin, sex, religion, or disability, is worse than wrong. It's an evil that strikes at the very heart of the American ideal. This bill, building on current law, will help ensure that no American will discriminate against another.</w:t>
      </w:r>
    </w:p>
    <w:p w:rsidR="00A31137" w:rsidRPr="00A31137" w:rsidRDefault="00A31137" w:rsidP="00A31137">
      <w:r w:rsidRPr="00A31137">
        <w:t>Public Papers of Bush, 1991, p.1502</w:t>
      </w:r>
    </w:p>
    <w:p w:rsidR="00A31137" w:rsidRPr="00A31137" w:rsidRDefault="00A31137" w:rsidP="00A31137">
      <w:r w:rsidRPr="00A31137">
        <w:t>For these reasons, this is a very good bill. Let me repeat: This is a very good bill. Last year, back in May of 1990 in the Rose Garden, right here with some of you present, I appealed for a bill I could sign. And I said that day that I cannot and will not sign a quota bill. Instead, I said that the American people deserved a civil rights bill that, number one, insisted that employers focus on equal opportunity, not on developing strategies to avoid litigation. Number two, they deserved a bill that was based upon fundamental principles of fairness, that anyone who believes their rights have been violated is entitled to their day in court and that the accused are innocent until proved guilty. And number three, they deserved a bill that provided adequate deterrent against harassment based upon race, sex, religion, or disability.</w:t>
      </w:r>
    </w:p>
    <w:p w:rsidR="00A31137" w:rsidRPr="00A31137" w:rsidRDefault="00A31137" w:rsidP="00A31137">
      <w:r w:rsidRPr="00A31137">
        <w:t>Public Papers of Bush, 1991, p.1502</w:t>
      </w:r>
    </w:p>
    <w:p w:rsidR="00A31137" w:rsidRPr="00A31137" w:rsidRDefault="00A31137" w:rsidP="00A31137">
      <w:r w:rsidRPr="00A31137">
        <w:t>I also said, that day back in 1990, that this administration is committed to action that is truly affirmative, positive action in every sense, to strike down all barriers to advancement of every kind for all people. And in that same spirit, I say again today: I support affirmative action. Nothing in this bill overturns the Government's affirmative action programs.</w:t>
      </w:r>
    </w:p>
    <w:p w:rsidR="00A31137" w:rsidRPr="00A31137" w:rsidRDefault="00A31137" w:rsidP="00A31137">
      <w:r w:rsidRPr="00A31137">
        <w:t>Public Papers of Bush, 1991, p.1502</w:t>
      </w:r>
    </w:p>
    <w:p w:rsidR="00A31137" w:rsidRPr="00A31137" w:rsidRDefault="00A31137" w:rsidP="00A31137">
      <w:r w:rsidRPr="00A31137">
        <w:t>And unlike last year's bill, a bill I was forced to veto, this bill will not encourage quotas or racial preferences because this bill will not create lawsuits on the basis of numbers alone. I oppose quotas because they incite tensions between the races, between the sexes, between people who get trapped in a numbers game.</w:t>
      </w:r>
    </w:p>
    <w:p w:rsidR="00A31137" w:rsidRPr="00A31137" w:rsidRDefault="00A31137" w:rsidP="00A31137">
      <w:r w:rsidRPr="00A31137">
        <w:t>Public Papers of Bush, 1991, p.1503</w:t>
      </w:r>
    </w:p>
    <w:p w:rsidR="00A31137" w:rsidRPr="00A31137" w:rsidRDefault="00A31137" w:rsidP="00A31137">
      <w:r w:rsidRPr="00A31137">
        <w:t>This bill contains several important innovations. For example, it contains strong new remedies for the victims of discrimination and harassment, along with provisions capping damages that are an important model to be followed in tort reform. And it encourages mediation and arbitration between parties before the last resort of litigation. Our goal and our promise is harmony, a return to civility and brotherhood, as we build a better America for ourselves and our children.</w:t>
      </w:r>
    </w:p>
    <w:p w:rsidR="00A31137" w:rsidRPr="00A31137" w:rsidRDefault="00A31137" w:rsidP="00A31137">
      <w:r w:rsidRPr="00A31137">
        <w:t>Public Papers of Bush, 1991, p.1503</w:t>
      </w:r>
    </w:p>
    <w:p w:rsidR="00A31137" w:rsidRPr="00A31137" w:rsidRDefault="00A31137" w:rsidP="00A31137">
      <w:r w:rsidRPr="00A31137">
        <w:t>We had to work hard for this agreement. This bill passed both Houses of Congress overwhelmingly with broad support on both sides of the aisle. A tip of the hat goes to Senator Kennedy and former Congressman Hawkins, who, way back in February of 1990, got the ball rolling. And I congratulate and thank particularly Senators Dole, Danforth, and Hatch, Congressmen Michel, Goodling, and Hyde for ensuring that today's legislation fulfills those principles that I outlined in the Rose Garden last year.</w:t>
      </w:r>
    </w:p>
    <w:p w:rsidR="00A31137" w:rsidRPr="00A31137" w:rsidRDefault="00A31137" w:rsidP="00A31137">
      <w:r w:rsidRPr="00A31137">
        <w:t>Public Papers of Bush, 1991, p.1503</w:t>
      </w:r>
    </w:p>
    <w:p w:rsidR="00A31137" w:rsidRPr="00A31137" w:rsidRDefault="00A31137" w:rsidP="00A31137">
      <w:r w:rsidRPr="00A31137">
        <w:t>No one likes to oppose a bill containing the words "civil rights," especially me. And no one in Congress likes to vote against one, either. I owe a debt of gratitude to those who stood with us against counterproductive legislation last year and again earlier this year, as well as to those who led the way toward the important agreement we've reached today. I'm talking about Democrats, I'm talking about Republicans, and those outside the Congress who played a constructive role. And to all of you, I am very, very grateful because I believe this is in the best interest of the United States.</w:t>
      </w:r>
    </w:p>
    <w:p w:rsidR="00A31137" w:rsidRPr="00A31137" w:rsidRDefault="00A31137" w:rsidP="00A31137">
      <w:r w:rsidRPr="00A31137">
        <w:t>Public Papers of Bush, 1991, p.1503</w:t>
      </w:r>
    </w:p>
    <w:p w:rsidR="00A31137" w:rsidRPr="00A31137" w:rsidRDefault="00A31137" w:rsidP="00A31137">
      <w:r w:rsidRPr="00A31137">
        <w:t>But to the Congress I also say this: The 1991 civil rights bill is only the first step. If we seek—and I believe that every one of us does—to build a new era of harmony and shared purpose, we must make it possible for all Americans to scale the ladder of opportunity. If we seek to ease racial tensions in America, civil rights legislation is, by itself, not enough. The elimination of discrimination in the workplace is a vital element of the American dream, but it is simply not enough.</w:t>
      </w:r>
    </w:p>
    <w:p w:rsidR="00A31137" w:rsidRPr="00A31137" w:rsidRDefault="00A31137" w:rsidP="00A31137">
      <w:r w:rsidRPr="00A31137">
        <w:t>Public Papers of Bush, 1991, p.1503</w:t>
      </w:r>
    </w:p>
    <w:p w:rsidR="00A31137" w:rsidRPr="00A31137" w:rsidRDefault="00A31137" w:rsidP="00A31137">
      <w:r w:rsidRPr="00A31137">
        <w:t>I believe in an America free from racism, free from bigotry.</w:t>
      </w:r>
    </w:p>
    <w:p w:rsidR="00A31137" w:rsidRPr="00A31137" w:rsidRDefault="00A31137" w:rsidP="00A31137">
      <w:r w:rsidRPr="00A31137">
        <w:t>Public Papers of Bush, 1991, p.1503</w:t>
      </w:r>
    </w:p>
    <w:p w:rsidR="00A31137" w:rsidRPr="00A31137" w:rsidRDefault="00A31137" w:rsidP="00A31137">
      <w:r w:rsidRPr="00A31137">
        <w:t>I believe in an America where anyone who wants to work has a job.</w:t>
      </w:r>
    </w:p>
    <w:p w:rsidR="00A31137" w:rsidRPr="00A31137" w:rsidRDefault="00A31137" w:rsidP="00A31137">
      <w:r w:rsidRPr="00A31137">
        <w:t>Public Papers of Bush, 1991, p.1503</w:t>
      </w:r>
    </w:p>
    <w:p w:rsidR="00A31137" w:rsidRPr="00A31137" w:rsidRDefault="00A31137" w:rsidP="00A31137">
      <w:r w:rsidRPr="00A31137">
        <w:t>I believe in an America where every child receives a first-rate education, a place where our children have the same chance to achieve their goals as everyone else's kids do.</w:t>
      </w:r>
    </w:p>
    <w:p w:rsidR="00A31137" w:rsidRPr="00A31137" w:rsidRDefault="00A31137" w:rsidP="00A31137">
      <w:r w:rsidRPr="00A31137">
        <w:t>Public Papers of Bush, 1991, p.1503</w:t>
      </w:r>
    </w:p>
    <w:p w:rsidR="00A31137" w:rsidRPr="00A31137" w:rsidRDefault="00A31137" w:rsidP="00A31137">
      <w:r w:rsidRPr="00A31137">
        <w:t>I believe in an America where all people enjoy equal protection under the law, where everyone can live and work in a climate free from fear and despair, where drugs and crime have been banished from our neighborhoods and from our schools.</w:t>
      </w:r>
    </w:p>
    <w:p w:rsidR="00A31137" w:rsidRPr="00A31137" w:rsidRDefault="00A31137" w:rsidP="00A31137">
      <w:r w:rsidRPr="00A31137">
        <w:t>Public Papers of Bush, 1991, p.1503</w:t>
      </w:r>
    </w:p>
    <w:p w:rsidR="00A31137" w:rsidRPr="00A31137" w:rsidRDefault="00A31137" w:rsidP="00A31137">
      <w:r w:rsidRPr="00A31137">
        <w:t>And I believe in an America where everyone has a place to call his own, a stake in the community, the comfort of a home.</w:t>
      </w:r>
    </w:p>
    <w:p w:rsidR="00A31137" w:rsidRPr="00A31137" w:rsidRDefault="00A31137" w:rsidP="00A31137">
      <w:r w:rsidRPr="00A31137">
        <w:t>Public Papers of Bush, 1991, p.1503</w:t>
      </w:r>
    </w:p>
    <w:p w:rsidR="00A31137" w:rsidRPr="00A31137" w:rsidRDefault="00A31137" w:rsidP="00A31137">
      <w:r w:rsidRPr="00A31137">
        <w:t>I believe in an America where we measure success not in dollars and lawsuits but in opportunity, prosperity, and harmony. I believe in the ideals we all share, ideals that made America great: Decency, fairness, faith, hard work, generosity, vigor, and vision.</w:t>
      </w:r>
    </w:p>
    <w:p w:rsidR="00A31137" w:rsidRPr="00A31137" w:rsidRDefault="00A31137" w:rsidP="00A31137">
      <w:r w:rsidRPr="00A31137">
        <w:t>Public Papers of Bush, 1991, p.1503</w:t>
      </w:r>
    </w:p>
    <w:p w:rsidR="00A31137" w:rsidRPr="00A31137" w:rsidRDefault="00A31137" w:rsidP="00A31137">
      <w:r w:rsidRPr="00A31137">
        <w:t>The American dream rests on the vision of life, liberty, and the pursuit of happiness. In our workplaces, in our schools, or on our streets, this dream begins with equality and opportunity. Our agenda for the next American century, whether it be guaranteeing equal protection under the law, promoting excellence in education, or creating jobs, will ensure for generations to come that America remains the beacon of opportunity in the world.</w:t>
      </w:r>
    </w:p>
    <w:p w:rsidR="00A31137" w:rsidRPr="00A31137" w:rsidRDefault="00A31137" w:rsidP="00A31137">
      <w:r w:rsidRPr="00A31137">
        <w:t>Public Papers of Bush, 1991, p.1503</w:t>
      </w:r>
    </w:p>
    <w:p w:rsidR="00A31137" w:rsidRPr="00A31137" w:rsidRDefault="00A31137" w:rsidP="00A31137">
      <w:r w:rsidRPr="00A31137">
        <w:t>Now with great pride, and thanks to so many people here in the Rose Garden today, especially the Members of Congress with us, with great pride I will sign this good, sound legislation into law. Thank you very much.</w:t>
      </w:r>
    </w:p>
    <w:p w:rsidR="00A31137" w:rsidRPr="00A31137" w:rsidRDefault="00A31137" w:rsidP="00A31137">
      <w:r w:rsidRPr="00A31137">
        <w:t>Public Papers of Bush, 1991, p.1503</w:t>
      </w:r>
    </w:p>
    <w:p w:rsidR="00A31137" w:rsidRPr="00A31137" w:rsidRDefault="00A31137" w:rsidP="00A31137">
      <w:r w:rsidRPr="00A31137">
        <w:t>NOTE: The President spoke at 1:18 p.m. in the Rose Garden at the White House. S. 1745, approved November 21, was assigned Public Law No. 102-166.</w:t>
      </w:r>
    </w:p>
    <w:p w:rsidR="00A31137" w:rsidRPr="00A31137" w:rsidRDefault="00A31137" w:rsidP="00A31137">
      <w:r w:rsidRPr="00A31137">
        <w:t>President Bush's Statement on the Resignation of Mikhail Gorbachev as President of the Soviet Union, 1991</w:t>
      </w:r>
    </w:p>
    <w:p w:rsidR="00A31137" w:rsidRPr="00A31137" w:rsidRDefault="00A31137" w:rsidP="00A31137">
      <w:r w:rsidRPr="00A31137">
        <w:t>Title:</w:t>
      </w:r>
      <w:r w:rsidRPr="00A31137">
        <w:tab/>
        <w:t>President Bush's Statement on the Resignation of Mikhail Gorbachev as President of the Soviet Union</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December 25, 1991</w:t>
      </w:r>
    </w:p>
    <w:p w:rsidR="00A31137" w:rsidRPr="00A31137" w:rsidRDefault="00A31137" w:rsidP="00A31137">
      <w:r w:rsidRPr="00A31137">
        <w:t>Source:</w:t>
      </w:r>
      <w:r w:rsidRPr="00A31137">
        <w:tab/>
        <w:t>Public Papers of the Presidents, Bush, 1991, p.1653</w:t>
      </w:r>
    </w:p>
    <w:p w:rsidR="00A31137" w:rsidRPr="00A31137" w:rsidRDefault="00A31137" w:rsidP="00A31137">
      <w:r w:rsidRPr="00A31137">
        <w:t>Public Papers of Bush, 1991, p.1653</w:t>
      </w:r>
    </w:p>
    <w:p w:rsidR="00A31137" w:rsidRPr="00A31137" w:rsidRDefault="00A31137" w:rsidP="00A31137">
      <w:r w:rsidRPr="00A31137">
        <w:t>Mikhail Gorbachev's resignation as President of the Soviet Union culminates a remarkable era in the history of his country and in its long and often difficult relationship with the United States. As he leaves office, I would like to express publicly and on behalf of the American people my gratitude to him for years of sustained commitment to world peace and my personal respect for his intellect, vision, and courage.</w:t>
      </w:r>
    </w:p>
    <w:p w:rsidR="00A31137" w:rsidRPr="00A31137" w:rsidRDefault="00A31137" w:rsidP="00A31137">
      <w:r w:rsidRPr="00A31137">
        <w:t>Public Papers of Bush, 1991, p.1653</w:t>
      </w:r>
    </w:p>
    <w:p w:rsidR="00A31137" w:rsidRPr="00A31137" w:rsidRDefault="00A31137" w:rsidP="00A31137">
      <w:r w:rsidRPr="00A31137">
        <w:t>President Gorbachev is responsible for one of the most important developments of this century, the revolutionary transformation of a totalitarian dictatorship and the liberation of his people from its smothering embrace. His personal commitment to democratic and economic reform through perestroika and glasnost, a commitment which demanded the highest degree of political and personal ingenuity and courage, permitted the peoples of Russia and other Republics to cast aside decades of dark oppression and put in place the foundations of freedom.</w:t>
      </w:r>
    </w:p>
    <w:p w:rsidR="00A31137" w:rsidRPr="00A31137" w:rsidRDefault="00A31137" w:rsidP="00A31137">
      <w:r w:rsidRPr="00A31137">
        <w:t>Public Papers of Bush, 1991, p.1653</w:t>
      </w:r>
    </w:p>
    <w:p w:rsidR="00A31137" w:rsidRPr="00A31137" w:rsidRDefault="00A31137" w:rsidP="00A31137">
      <w:r w:rsidRPr="00A31137">
        <w:t>Working with President Reagan, myself, and other allied leaders, President Gorbachev acted boldly and decisively to end the bitter divisions of the cold war and contributed to the remaking of a Europe whole and free. His and Foreign Minister Eduard Shevardnadze's "New Thinking" in foreign affairs permitted the United States and the Soviet Union to move from confrontation to partnership in the search for peace across the globe. Together we negotiated historic reductions in chemical, nuclear, and conventional forces and reduced the risk of a nuclear conflict.</w:t>
      </w:r>
    </w:p>
    <w:p w:rsidR="00A31137" w:rsidRPr="00A31137" w:rsidRDefault="00A31137" w:rsidP="00A31137">
      <w:r w:rsidRPr="00A31137">
        <w:t>Public Papers of Bush, 1991, p.1653</w:t>
      </w:r>
    </w:p>
    <w:p w:rsidR="00A31137" w:rsidRPr="00A31137" w:rsidRDefault="00A31137" w:rsidP="00A31137">
      <w:r w:rsidRPr="00A31137">
        <w:t>Working together, we helped the people of Eastern Europe win their liberty and the German people their goal of unity in peace and freedom. Our partnership led to unprecedented cooperation in repelling Iraqi aggression in Kuwait, in bringing peace to Nicaragua and Cambodia, and independence to Namibia. And our work continues as we seek a lasting and just peace between Israelis and Arabs in the Middle East and an end to the conflict in Afghanistan.</w:t>
      </w:r>
    </w:p>
    <w:p w:rsidR="00A31137" w:rsidRPr="00A31137" w:rsidRDefault="00A31137" w:rsidP="00A31137">
      <w:r w:rsidRPr="00A31137">
        <w:t>Public Papers of Bush, 1991, p.1653</w:t>
      </w:r>
    </w:p>
    <w:p w:rsidR="00A31137" w:rsidRPr="00A31137" w:rsidRDefault="00A31137" w:rsidP="00A31137">
      <w:r w:rsidRPr="00A31137">
        <w:t>President Gorbachev's participation in these historic events is his legacy to his country and to the world. This record assures him an honored place in history and, most importantly for the future, establishes a solid basis from which the United States and the West can work in equally constructive ways with his successors.</w:t>
      </w:r>
    </w:p>
    <w:p w:rsidR="00A31137" w:rsidRPr="00A31137" w:rsidRDefault="00A31137" w:rsidP="00A31137">
      <w:r w:rsidRPr="00A31137">
        <w:t>McCleskey v. Zant, 1991</w:t>
      </w:r>
    </w:p>
    <w:p w:rsidR="00A31137" w:rsidRPr="00A31137" w:rsidRDefault="00A31137" w:rsidP="00A31137">
      <w:r w:rsidRPr="00A31137">
        <w:t>Title:</w:t>
      </w:r>
      <w:r w:rsidRPr="00A31137">
        <w:tab/>
        <w:t>McCleskey v. Zant</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April 16, 1991</w:t>
      </w:r>
    </w:p>
    <w:p w:rsidR="00A31137" w:rsidRPr="00A31137" w:rsidRDefault="00A31137" w:rsidP="00A31137">
      <w:r w:rsidRPr="00A31137">
        <w:t>Source:</w:t>
      </w:r>
      <w:r w:rsidRPr="00A31137">
        <w:tab/>
        <w:t>499 U.S. 467</w:t>
      </w:r>
    </w:p>
    <w:p w:rsidR="00A31137" w:rsidRPr="00A31137" w:rsidRDefault="00A31137" w:rsidP="00A31137">
      <w:r w:rsidRPr="00A31137">
        <w:t>This case was argued October 31, 1990, and was decided April 16, 1991.</w:t>
      </w:r>
    </w:p>
    <w:p w:rsidR="00A31137" w:rsidRPr="00A31137" w:rsidRDefault="00A31137" w:rsidP="00A31137">
      <w:r w:rsidRPr="00A31137">
        <w:t>CERTIORARI TO THE UNITED STATES COURT OF APPEALS</w:t>
      </w:r>
    </w:p>
    <w:p w:rsidR="00A31137" w:rsidRPr="00A31137" w:rsidRDefault="00A31137" w:rsidP="00A31137">
      <w:r w:rsidRPr="00A31137">
        <w:t>FOR THE ELEVENTH CIRCUIT</w:t>
      </w:r>
    </w:p>
    <w:p w:rsidR="00A31137" w:rsidRPr="00A31137" w:rsidRDefault="00A31137" w:rsidP="00A31137">
      <w:r w:rsidRPr="00A31137">
        <w:t>Syllabus</w:t>
      </w:r>
    </w:p>
    <w:p w:rsidR="00A31137" w:rsidRPr="00A31137" w:rsidRDefault="00A31137" w:rsidP="00A31137">
      <w:r w:rsidRPr="00A31137">
        <w:t>1991, McCleskey v. Zant, 499 U.S. 467</w:t>
      </w:r>
    </w:p>
    <w:p w:rsidR="00A31137" w:rsidRPr="00A31137" w:rsidRDefault="00A31137" w:rsidP="00A31137">
      <w:r w:rsidRPr="00A31137">
        <w:t>To rebut petitioner McCleskey's alibi defense at his 1978 Georgia trial for murder and a related crime, the State called Officer Evans, the occupant of the jail cell next to McCleskey's, who testified that McCleskey had admitted and boasted about the killing. On the basis of this and other evidence supporting McCleskey's guilt, the jury convicted him and sentenced him to death. After the State Supreme Court affirmed, he filed an unsuccessful petition for state habeas corpus relief, alleging, inter alia, that his statements to Evans were elicited in a situation created by the State to induce him to make incriminating statements without the assistance of counsel in violation of Massiah v. United States, 377 U.S. 201. He then filed his first federal habeas petition, which did not raise a Massiah claim, and a second state petition, both of which were ultimately unsuccessful. Finally, he filed his second federal habeas petition in 1987, basing a Massiah challenge on a 21-page statement that Evans had made to police two weeks before the trial. The document, which the State furnished at McCleskey's request shortly before he filed his second federal petition, related conversations that were consistent with Evans' trial testimony, but also recounted the tactics used by Evans to engage McCleskey in conversation. Moreover, at a hearing on the petition, Ulysses Worthy, a jailer during McCleskey's pretrial incarceration whose identity came to light after the petition was filed, gave testimony indicating that Evans' cell assignment had been made at the State's behest. In light of the Evans statement and Worthy's testimony, the District Court found an ab initio relationship between Evans and the State, and granted McCleskey relief under Massiah. The Court of Appeals reversed on the basis of the doctrine of abuse of the writ, which defines the circumstances in which federal courts decline to entertain a claim presented for the first time in a second or subsequent habeas corpus petition.</w:t>
      </w:r>
    </w:p>
    <w:p w:rsidR="00A31137" w:rsidRPr="00A31137" w:rsidRDefault="00A31137" w:rsidP="00A31137">
      <w:r w:rsidRPr="00A31137">
        <w:t>1991, McCleskey v. Zant, 499 U.S. 467</w:t>
      </w:r>
    </w:p>
    <w:p w:rsidR="00A31137" w:rsidRPr="00A31137" w:rsidRDefault="00A31137" w:rsidP="00A31137">
      <w:r w:rsidRPr="00A31137">
        <w:t>Held: McCleskey's failure to raise his Massiah claim in his first federal habeas petition constituted abuse of the writ. Pp.  477-503.</w:t>
      </w:r>
    </w:p>
    <w:p w:rsidR="00A31137" w:rsidRPr="00A31137" w:rsidRDefault="00A31137" w:rsidP="00A31137">
      <w:r w:rsidRPr="00A31137">
        <w:t>1991, McCleskey v. Zant, 499 U.S. 467</w:t>
      </w:r>
    </w:p>
    <w:p w:rsidR="00A31137" w:rsidRPr="00A31137" w:rsidRDefault="00A31137" w:rsidP="00A31137">
      <w:r w:rsidRPr="00A31137">
        <w:t>(a) Much confusion exists as to the proper standard for applying the abuse of the writ doctrine, which refers to a complex and evolving body of equitable principles informed and controlled by historical usage, statutory developments, and judicial decisions. This Court has heretofore [499 U.S. 468] defined such abuse in an oblique way, through dicta and denials of certiorari petitions or stay applications, see Witt v. Wainwright, 470 U.S. 1039, 1043 (MARSHALL, J., dissenting), and, because of historical changes and the complexity of the subject, has not always followed an unwavering line in its conclusions as to the writ's availability, Fay v. Noia, 372 U.S. 391, 411-412. Pp.  477-489.</w:t>
      </w:r>
    </w:p>
    <w:p w:rsidR="00A31137" w:rsidRPr="00A31137" w:rsidRDefault="00A31137" w:rsidP="00A31137">
      <w:r w:rsidRPr="00A31137">
        <w:t>1991, McCleskey v. Zant, 499 U.S. 468</w:t>
      </w:r>
    </w:p>
    <w:p w:rsidR="00A31137" w:rsidRPr="00A31137" w:rsidRDefault="00A31137" w:rsidP="00A31137">
      <w:r w:rsidRPr="00A31137">
        <w:t>(b) Although this Court's federal habeas decisions do not all admit of ready synthesis, a review of these precedents demonstrates that a claim need not have been deliberately abandoned in an earlier petition in order to establish that its inclusion in a subsequent petition constitutes abuse of the writ, see, e.g., Sanders v. United States, 373 U.S. 1,  18; that such inclusion constitutes abuse if the claim could have been raised in the first petition, but was omitted through inexcusable neglect, see, e.g., Delo v. Stokes, 495 U.S. 320, 321-322, and that, because the doctrines of procedural default and abuse of the writ implicate nearly identical concerns, the determination of inexcusable neglect in the abuse context should be governed by the same standard used to determine whether to excuse a habeas petitioner's state procedural defaults, see, e.g., Wainwright v. Sykes, 433 U.S. 72. Thus, when a prisoner files a second or subsequent habeas petition, the government bears the burden of pleading abuse of the writ. This burden is satisfied if the government, with clarity and particularity, notes petitioner's prior writ history, identifies the claims that appear for the first time, and alleges that petitioner has abused the writ. The burden to disprove abuse then shifts to petitioner. To excuse his failure to raise the claim earlier, he must show cause—e.g., that he was impeded by some objective factor external to the defense, such as governmental interference or the reasonable unavailability of the factual basis for the claim—as well as actual prejudice resulting from the errors of which he complains. He will not be entitled to an evidentiary hearing if the district court determines as a matter of law that he cannot satisfy the cause and prejudice standard. However, if he cannot show cause, the failure to earlier raise the claim may nonetheless be excused if he can show that a fundamental miscarriage of justice—the conviction of an innocent person—would result from a failure to entertain the claim. Pp.  478-497.</w:t>
      </w:r>
    </w:p>
    <w:p w:rsidR="00A31137" w:rsidRPr="00A31137" w:rsidRDefault="00A31137" w:rsidP="00A31137">
      <w:r w:rsidRPr="00A31137">
        <w:t>1991, McCleskey v. Zant, 499 U.S. 468</w:t>
      </w:r>
    </w:p>
    <w:p w:rsidR="00A31137" w:rsidRPr="00A31137" w:rsidRDefault="00A31137" w:rsidP="00A31137">
      <w:r w:rsidRPr="00A31137">
        <w:t>(c) McCleskey has not satisfied the foregoing standard for excusing the omission of his Massiah claim from his first federal habeas petition. He lacks cause for that omission, and, therefore, the question whether he would be prejudiced by his inability to raise the claim need not be considered. See Murray v. Carrier, 477 U.S. 478, 494. That he may not have known about, or been able to discover, the Evans document before filing his first federal petition does not establish cause, since knowledge gleaned from the trial about the jail cell conversations and [499 U.S. 469] Evans' conduct, as well as McCleskey's admitted participation in those conversations, put him on notice that he should pursue the Massiah claim in the first federal petition as he had done in his first state petition. Nor does the unavailability of Worthy's identity and testimony at the time of the first federal petition establish cause, since the fact that Evans' statement was the only new evidence McCleskey had when he filed the Massiah claim in his second federal petition demonstrates the irrelevance of Worthy to that claim. Moreover, cause cannot be established by the State's allegedly wrongful concealment of the Evans document until 1987, since the District Court found no wrongdoing in the failure to hand over the document earlier, and since any initial concealment would not have prevented McCleskey from raising a Massiah claim in the first federal petition. Amadeo v. Zant, 486 U.S. 214, 224, distinguished. Furthermore, the narrow miscarriage of justice exception to the cause requirement is of no avail to McCleskey, since he cannot demonstrate that the alleged Massiah violation caused the conviction of an innocent person. The record demonstrates that that violation, if it be one, resulted in the admission at trial of truthful inculpatory evidence which did not affect the reliability of the guilt determination. In fact, the Evans statement that McCleskey now embraces confirms his guilt. Pp.  497-503.</w:t>
      </w:r>
    </w:p>
    <w:p w:rsidR="00A31137" w:rsidRPr="00A31137" w:rsidRDefault="00A31137" w:rsidP="00A31137">
      <w:r w:rsidRPr="00A31137">
        <w:t>1991, McCleskey v. Zant, 499 U.S. 469</w:t>
      </w:r>
    </w:p>
    <w:p w:rsidR="00A31137" w:rsidRPr="00A31137" w:rsidRDefault="00A31137" w:rsidP="00A31137">
      <w:r w:rsidRPr="00A31137">
        <w:t>890 F.2d 342 (CA 11 1989), affirmed.</w:t>
      </w:r>
    </w:p>
    <w:p w:rsidR="00A31137" w:rsidRPr="00A31137" w:rsidRDefault="00A31137" w:rsidP="00A31137">
      <w:r w:rsidRPr="00A31137">
        <w:t>1991, McCleskey v. Zant, 499 U.S. 469</w:t>
      </w:r>
    </w:p>
    <w:p w:rsidR="00A31137" w:rsidRPr="00A31137" w:rsidRDefault="00A31137" w:rsidP="00A31137">
      <w:r w:rsidRPr="00A31137">
        <w:t xml:space="preserve">KENNEDY, J., delivered the opinion of the Court, in which REHNQUIST, C.J., and WHITE, O'CONNOR, SCALIA, and SOUTER, JJ., joined. MARSHALL, J., filed a dissenting opinion, in which BLACKMUN and STEVENS, JJ., joined, post, p.  506. [499 U.S. 470] </w:t>
      </w:r>
    </w:p>
    <w:p w:rsidR="00A31137" w:rsidRPr="00A31137" w:rsidRDefault="00A31137" w:rsidP="00A31137">
      <w:r w:rsidRPr="00A31137">
        <w:t>KENNEDY, J., lead opinion</w:t>
      </w:r>
    </w:p>
    <w:p w:rsidR="00A31137" w:rsidRPr="00A31137" w:rsidRDefault="00A31137" w:rsidP="00A31137">
      <w:r w:rsidRPr="00A31137">
        <w:t>1991, McCleskey v. Zant, 499 U.S. 470</w:t>
      </w:r>
    </w:p>
    <w:p w:rsidR="00A31137" w:rsidRPr="00A31137" w:rsidRDefault="00A31137" w:rsidP="00A31137">
      <w:r w:rsidRPr="00A31137">
        <w:t>JUSTICE KENNEDY delivered the opinion of the Court.</w:t>
      </w:r>
    </w:p>
    <w:p w:rsidR="00A31137" w:rsidRPr="00A31137" w:rsidRDefault="00A31137" w:rsidP="00A31137">
      <w:r w:rsidRPr="00A31137">
        <w:t>1991, McCleskey v. Zant, 499 U.S. 470</w:t>
      </w:r>
    </w:p>
    <w:p w:rsidR="00A31137" w:rsidRPr="00A31137" w:rsidRDefault="00A31137" w:rsidP="00A31137">
      <w:r w:rsidRPr="00A31137">
        <w:t>The doctrine of abuse of the writ defines the circumstances in which federal courts decline to entertain a claim presented for the first time in a second or subsequent petition for a writ of habeas corpus. Petitioner Warren McCleskey, in a second federal habeas petition, presented a claim under Massiah v. United States, 377 U.S. 201 (1964), that he failed to include in his first federal petition. The Court of Appeals for the Eleventh Circuit held that assertion of the Massiah claim in this manner abused the writ. Though our analysis differs from that of the Court of Appeals, we agree that the petitioner here abused the writ, and we affirm the judgment.</w:t>
      </w:r>
    </w:p>
    <w:p w:rsidR="00A31137" w:rsidRPr="00A31137" w:rsidRDefault="00A31137" w:rsidP="00A31137">
      <w:r w:rsidRPr="00A31137">
        <w:t>I</w:t>
      </w:r>
    </w:p>
    <w:p w:rsidR="00A31137" w:rsidRPr="00A31137" w:rsidRDefault="00A31137" w:rsidP="00A31137">
      <w:r w:rsidRPr="00A31137">
        <w:t>1991, McCleskey v. Zant, 499 U.S. 470</w:t>
      </w:r>
    </w:p>
    <w:p w:rsidR="00A31137" w:rsidRPr="00A31137" w:rsidRDefault="00A31137" w:rsidP="00A31137">
      <w:r w:rsidRPr="00A31137">
        <w:t>McCleskey and three other men, all armed, robbed a Georgia furniture store in 1978. One of the robbers shot and killed an off-duty policeman who entered the store in the midst of the crime. McCleskey confessed to the police that he participated in the robbery. When on trial for both the robbery and the murder, however, McCleskey renounced his confession after taking the stand with an alibi denying all involvement. To rebut McCleskey's testimony, the prosecution called Offie Evans, who had occupied a jail cell next to McCleskey's. Evans testified that McCleskey admitted shooting the officer during the robbery and boasted that he would have shot his way out of the store even in the face of a dozen policemen.</w:t>
      </w:r>
    </w:p>
    <w:p w:rsidR="00A31137" w:rsidRPr="00A31137" w:rsidRDefault="00A31137" w:rsidP="00A31137">
      <w:r w:rsidRPr="00A31137">
        <w:t>1991, McCleskey v. Zant, 499 U.S. 470</w:t>
      </w:r>
    </w:p>
    <w:p w:rsidR="00A31137" w:rsidRPr="00A31137" w:rsidRDefault="00A31137" w:rsidP="00A31137">
      <w:r w:rsidRPr="00A31137">
        <w:t>Although no one witnessed the shooting, further direct and circumstantial evidence supported McCleskey's guilt of the murder. An eyewitness testified that someone ran from the store carrying a pearl-handled pistol soon after the robbery. Other witnesses testified that McCleskey earlier had stolen a pearl-handled pistol of the same caliber as the bullet that killed the officer. Ben Wright, one of McCleskey's accomplices, confirmed that, during the crime, McCleskey carried a white-handled handgun matching the caliber of the fatal bullet. [499 U.S. 471] Wright also testified that McCleskey admitted shooting the officer. Finally, the prosecutor introduced McCleskey's confession of participation in the robbery.</w:t>
      </w:r>
    </w:p>
    <w:p w:rsidR="00A31137" w:rsidRPr="00A31137" w:rsidRDefault="00A31137" w:rsidP="00A31137">
      <w:r w:rsidRPr="00A31137">
        <w:t>1991, McCleskey v. Zant, 499 U.S. 471</w:t>
      </w:r>
    </w:p>
    <w:p w:rsidR="00A31137" w:rsidRPr="00A31137" w:rsidRDefault="00A31137" w:rsidP="00A31137">
      <w:r w:rsidRPr="00A31137">
        <w:t>In December, 1978, the jury convicted McCleskey of murder and sentenced him to death. Since his conviction, McCleskey has pursued direct and collateral remedies for more than a decade. We describe this procedural history in detail, both for a proper understanding of the case and as an illustration of the context in which allegations of abuse of the writ arise.</w:t>
      </w:r>
    </w:p>
    <w:p w:rsidR="00A31137" w:rsidRPr="00A31137" w:rsidRDefault="00A31137" w:rsidP="00A31137">
      <w:r w:rsidRPr="00A31137">
        <w:t>1991, McCleskey v. Zant, 499 U.S. 471</w:t>
      </w:r>
    </w:p>
    <w:p w:rsidR="00A31137" w:rsidRPr="00A31137" w:rsidRDefault="00A31137" w:rsidP="00A31137">
      <w:r w:rsidRPr="00A31137">
        <w:t>On direct appeal to the Supreme Court of Georgia, McCleskey raised six grounds of error. A summary of McCleskey's claims on direct appeal, as well as those he asserted in each of his four collateral proceedings, is set forth in the Appendix to this opinion, infra. The portion of the appeal relevant for our purposes involves McCleskey's attack on Evans' rebuttal testimony. McCleskey contended that the trial court</w:t>
      </w:r>
    </w:p>
    <w:p w:rsidR="00A31137" w:rsidRPr="00A31137" w:rsidRDefault="00A31137" w:rsidP="00A31137">
      <w:r w:rsidRPr="00A31137">
        <w:t>1991, McCleskey v. Zant, 499 U.S. 471</w:t>
      </w:r>
    </w:p>
    <w:p w:rsidR="00A31137" w:rsidRPr="00A31137" w:rsidRDefault="00A31137" w:rsidP="00A31137">
      <w:r w:rsidRPr="00A31137">
        <w:t>erred in allowing evidence of [McCleskey's] oral statement admitting the murder made to [Evans] in the next cell, because the prosecutor had deliberately withheld such statement</w:t>
      </w:r>
    </w:p>
    <w:p w:rsidR="00A31137" w:rsidRPr="00A31137" w:rsidRDefault="00A31137" w:rsidP="00A31137">
      <w:r w:rsidRPr="00A31137">
        <w:t>1991, McCleskey v. Zant, 499 U.S. 471</w:t>
      </w:r>
    </w:p>
    <w:p w:rsidR="00A31137" w:rsidRPr="00A31137" w:rsidRDefault="00A31137" w:rsidP="00A31137">
      <w:r w:rsidRPr="00A31137">
        <w:t>in violation of Brady v. Maryland, 373 U.S. 83 (1963). McClesky v. State, 245 Ga. 108, 112, 263 S.E.2d 146, 149 (1980). A unanimous Georgia Supreme Court acknowledged that the prosecutor did not furnish Evans' statement to the defense, but ruled that, because the undisclosed evidence was not exculpatory, McCleskey suffered no material prejudice and was not denied a fair trial under Brady. 245 Ga. at 112-113, 263 S.E.2d at 149. The court noted, moreover, that the evidence McCleskey wanted to inspect was "introduced to the jury in its entirety" through Evans' testimony, and that McCleskey's argument that</w:t>
      </w:r>
    </w:p>
    <w:p w:rsidR="00A31137" w:rsidRPr="00A31137" w:rsidRDefault="00A31137" w:rsidP="00A31137">
      <w:r w:rsidRPr="00A31137">
        <w:t>1991, McCleskey v. Zant, 499 U.S. 471</w:t>
      </w:r>
    </w:p>
    <w:p w:rsidR="00A31137" w:rsidRPr="00A31137" w:rsidRDefault="00A31137" w:rsidP="00A31137">
      <w:r w:rsidRPr="00A31137">
        <w:t>the evidence was needed in order to prepare a proper defense or impeach other witnesses ha[d] no merit because the evidence requested was statements made by [McCleskey] himself.</w:t>
      </w:r>
    </w:p>
    <w:p w:rsidR="00A31137" w:rsidRPr="00A31137" w:rsidRDefault="00A31137" w:rsidP="00A31137">
      <w:r w:rsidRPr="00A31137">
        <w:t>1991, McCleskey v. Zant, 499 U.S. 471</w:t>
      </w:r>
    </w:p>
    <w:p w:rsidR="00A31137" w:rsidRPr="00A31137" w:rsidRDefault="00A31137" w:rsidP="00A31137">
      <w:r w:rsidRPr="00A31137">
        <w:t>Ibid. The court rejected McCleskey's other contentions, and [499 U.S. 472] affirmed his conviction and sentence. Ibid. We denied certiorari. McClesky v. Georgia, 449 U.S. 891 (1980).</w:t>
      </w:r>
    </w:p>
    <w:p w:rsidR="00A31137" w:rsidRPr="00A31137" w:rsidRDefault="00A31137" w:rsidP="00A31137">
      <w:r w:rsidRPr="00A31137">
        <w:t>1991, McCleskey v. Zant, 499 U.S. 472</w:t>
      </w:r>
    </w:p>
    <w:p w:rsidR="00A31137" w:rsidRPr="00A31137" w:rsidRDefault="00A31137" w:rsidP="00A31137">
      <w:r w:rsidRPr="00A31137">
        <w:t>McCleskey then initiated postconviction proceedings. In January 1981, he filed a petition for state habeas corpus relief. The amended petition raised 23 challenges to his murder conviction and death sentence. See Appendix, infra. Three of the claims concerned Evans' testimony. First, McCleskey contended that the State violated his due process rights under Giglio v. United States, 405 U.S. 150 (1972), by its failure to disclose an agreement to drop pending escape charges against Evans in return for his cooperation and testimony. App. 20. Second, McCleskey reasserted his Brady claim that the State violated his due process rights by the deliberate withholding of the statement he made to Evans while in jail. Id. at 21. Third, McCleskey alleged that admission of Evans' testimony violated the Sixth Amendment right to counsel as construed in Massiah v. United States, supra. On this theory,</w:t>
      </w:r>
    </w:p>
    <w:p w:rsidR="00A31137" w:rsidRPr="00A31137" w:rsidRDefault="00A31137" w:rsidP="00A31137">
      <w:r w:rsidRPr="00A31137">
        <w:t>1991, McCleskey v. Zant, 499 U.S. 472</w:t>
      </w:r>
    </w:p>
    <w:p w:rsidR="00A31137" w:rsidRPr="00A31137" w:rsidRDefault="00A31137" w:rsidP="00A31137">
      <w:r w:rsidRPr="00A31137">
        <w:t>[t]he introduction into evidence of [his] statements to [Evans], elicited in a situation created to induce [McCleskey] to make incriminating statements without the assistance of counsel, violated [McCleskey's] right to counsel under the Sixth Amendment to the Constitution of the United States.</w:t>
      </w:r>
    </w:p>
    <w:p w:rsidR="00A31137" w:rsidRPr="00A31137" w:rsidRDefault="00A31137" w:rsidP="00A31137">
      <w:r w:rsidRPr="00A31137">
        <w:t>1991, McCleskey v. Zant, 499 U.S. 472</w:t>
      </w:r>
    </w:p>
    <w:p w:rsidR="00A31137" w:rsidRPr="00A31137" w:rsidRDefault="00A31137" w:rsidP="00A31137">
      <w:r w:rsidRPr="00A31137">
        <w:t>App. 22.</w:t>
      </w:r>
    </w:p>
    <w:p w:rsidR="00A31137" w:rsidRPr="00A31137" w:rsidRDefault="00A31137" w:rsidP="00A31137">
      <w:r w:rsidRPr="00A31137">
        <w:t>1991, McCleskey v. Zant, 499 U.S. 472</w:t>
      </w:r>
    </w:p>
    <w:p w:rsidR="00A31137" w:rsidRPr="00A31137" w:rsidRDefault="00A31137" w:rsidP="00A31137">
      <w:r w:rsidRPr="00A31137">
        <w:t>At the state habeas corpus hearing, Evans testified that one of the detectives investigating the murder agreed to speak a word on his behalf to the federal authorities about certain federal charges pending against him. The state habeas court ruled that the ex parte recommendation did not implicate Giglio, and it denied relief on all other claims. The Supreme Court of Georgia denied McCleskey's application for a certificate of probable cause, and we denied his second petition for a writ of certiorari. McCleskey v. Zant, 454 U.S. 1093 (1981).</w:t>
      </w:r>
    </w:p>
    <w:p w:rsidR="00A31137" w:rsidRPr="00A31137" w:rsidRDefault="00A31137" w:rsidP="00A31137">
      <w:r w:rsidRPr="00A31137">
        <w:t>1991, McCleskey v. Zant, 499 U.S. 472</w:t>
      </w:r>
    </w:p>
    <w:p w:rsidR="00A31137" w:rsidRPr="00A31137" w:rsidRDefault="00A31137" w:rsidP="00A31137">
      <w:r w:rsidRPr="00A31137">
        <w:t>In December, 1981, McCleskey filed his first federal habeas corpus petition in the United States District Court for the Northern District of Georgia, asserting 18 grounds for relief. [499 U.S. 473] See Appendix, infra. The petition failed to allege the Massiah claim, but it did reassert the Giglio and Brady claims. Following extensive hearings in August and October, 1983, the District Court held that the detective's statement to Evans was a promise of favorable treatment, and that failure to disclose the promise violated Giglio. McCleskey v. Zant, 580 F.Supp. 338, 380-384 (ND Ga.1984). The District Court further held that Evans' trial testimony may have affected the jury's verdict on the charge of malice murder. On these premises, it granted relief. Id. at 384.</w:t>
      </w:r>
    </w:p>
    <w:p w:rsidR="00A31137" w:rsidRPr="00A31137" w:rsidRDefault="00A31137" w:rsidP="00A31137">
      <w:r w:rsidRPr="00A31137">
        <w:t>1991, McCleskey v. Zant, 499 U.S. 473</w:t>
      </w:r>
    </w:p>
    <w:p w:rsidR="00A31137" w:rsidRPr="00A31137" w:rsidRDefault="00A31137" w:rsidP="00A31137">
      <w:r w:rsidRPr="00A31137">
        <w:t>The Court of Appeals reversed the District Court's grant of the writ. McCleskey v. Kemp, 753 F.2d 877 (CA11 1985). The court held that the State had not made a promise to Evans of the kind contemplated by Giglio, and that in any event the Giglio error would be harmless. 7 53 F.2d at 88 885. The court affirmed the District Court on all other grounds. We granted certiorari limited to the question whether Georgia's capital sentencing procedures were constitutional, and denied relief. 481 U.S. 279 (1987).</w:t>
      </w:r>
    </w:p>
    <w:p w:rsidR="00A31137" w:rsidRPr="00A31137" w:rsidRDefault="00A31137" w:rsidP="00A31137">
      <w:r w:rsidRPr="00A31137">
        <w:t>1991, McCleskey v. Zant, 499 U.S. 473</w:t>
      </w:r>
    </w:p>
    <w:p w:rsidR="00A31137" w:rsidRPr="00A31137" w:rsidRDefault="00A31137" w:rsidP="00A31137">
      <w:r w:rsidRPr="00A31137">
        <w:t>McCleskey continued his postconviction attacks by filing a second state habeas corpus action in 1987 which, as amended, contained five claims for relief. See Appendix, infra. One of the claims again centered on Evans' testimony, alleging the State had an agreement with Evans that it had failed to disclose. The state trial court held a hearing and dismissed the petition. The Supreme Court of Georgia denied McCleskey's application for a certificate of probable cause.</w:t>
      </w:r>
    </w:p>
    <w:p w:rsidR="00A31137" w:rsidRPr="00A31137" w:rsidRDefault="00A31137" w:rsidP="00A31137">
      <w:r w:rsidRPr="00A31137">
        <w:t>1991, McCleskey v. Zant, 499 U.S. 473</w:t>
      </w:r>
    </w:p>
    <w:p w:rsidR="00A31137" w:rsidRPr="00A31137" w:rsidRDefault="00A31137" w:rsidP="00A31137">
      <w:r w:rsidRPr="00A31137">
        <w:t>In July, 1987, McCleskey filed a second federal habeas action, the one we now review. In the District Court, McCleskey asserted seven claims, including a Massiah challenge to the introduction of Evans' testimony. See Appendix, infra. McCleskey had presented a Massiah claim, it will be recalled, in his first state habeas action when he alleged that the conversation recounted by Evans at trial had been "elicited [499 U.S. 474] in a situation created to induce" him to make an incriminating statement without the assistance of counsel. The first federal petition did not present a Massiah claim. The proffered basis for the Massiah claim in the second federal petition was a 21-page signed statement that Evans made to the Atlanta Police Department on August 1, 1978, two weeks before the trial began. The department furnished the document to McCleskey one month before he filed his second federal petition.</w:t>
      </w:r>
    </w:p>
    <w:p w:rsidR="00A31137" w:rsidRPr="00A31137" w:rsidRDefault="00A31137" w:rsidP="00A31137">
      <w:r w:rsidRPr="00A31137">
        <w:t>1991, McCleskey v. Zant, 499 U.S. 474</w:t>
      </w:r>
    </w:p>
    <w:p w:rsidR="00A31137" w:rsidRPr="00A31137" w:rsidRDefault="00A31137" w:rsidP="00A31137">
      <w:r w:rsidRPr="00A31137">
        <w:t>The statement related pretrial jailhouse conversations that Evans had with McCleskey and that Evans overheard between McCleskey and Bernard Dupree. By the statement's own terms, McCleskey participated in all the reported jail cell conversations. Consistent with Evans' testimony at trial, the statement reports McCleskey admitting and boasting about the murder. It also recounts that Evans posed as Ben Wright's uncle and told McCleskey he had talked with Wright about the robbery and the murder.</w:t>
      </w:r>
    </w:p>
    <w:p w:rsidR="00A31137" w:rsidRPr="00A31137" w:rsidRDefault="00A31137" w:rsidP="00A31137">
      <w:r w:rsidRPr="00A31137">
        <w:t>1991, McCleskey v. Zant, 499 U.S. 474</w:t>
      </w:r>
    </w:p>
    <w:p w:rsidR="00A31137" w:rsidRPr="00A31137" w:rsidRDefault="00A31137" w:rsidP="00A31137">
      <w:r w:rsidRPr="00A31137">
        <w:t>In his second federal habeas petition, McCleskey asserted that the statement proved Evans "was acting in direct concert with State officials" during the incriminating conversations with McCleskey, and that the authorities "deliberately elicited" inculpatory admissions in violation of McCleskey's Sixth Amendment right to counsel. Massiah v. United States, 377 U.S. at  206. 1 Tr. Exh. 1, pp. 11-12. Among other responses, the State of Georgia contended that McCleskey's presentation of a Massiah claim for the first time in the second federal petition was an abuse of the writ. 28 U.S.C. § 2244(b); Rule 9(b) of the Rules Governing § 2254 Cases.</w:t>
      </w:r>
    </w:p>
    <w:p w:rsidR="00A31137" w:rsidRPr="00A31137" w:rsidRDefault="00A31137" w:rsidP="00A31137">
      <w:r w:rsidRPr="00A31137">
        <w:t>1991, McCleskey v. Zant, 499 U.S. 474</w:t>
      </w:r>
    </w:p>
    <w:p w:rsidR="00A31137" w:rsidRPr="00A31137" w:rsidRDefault="00A31137" w:rsidP="00A31137">
      <w:r w:rsidRPr="00A31137">
        <w:t>The District Court held extensive hearings in July and August, 1987, focusing on the arrangement the jailers had made for Evans' cell assignment in 1978. Several witnesses denied that Evans had been placed next to McCleskey by design or instructed to overhear conversations or obtain statements from McCleskey. McCleskey's key witness was Ulysses [499 U.S. 475] Worthy, a jailer at the Fulton County Jail during the summer of 1978. McCleskey's lawyers contacted Worthy after a detective testified that the 1978 Evans statement was taken in Worthy's office. The District Court characterized Worthy's testimony as "often confused and self-contradictory." McCleskey v. Kemp, No. C87-1517A (ND Ga. Dec. 23, 1987), App. 81. Worthy testified that someone at some time requested permission to move Evans near McCleskey's cell. He contradicted himself, however, concerning when, why, and by whom Evans was moved, and about whether he overheard investigators urging Evans to engage McCleskey in conversation. Id. at 76-81.</w:t>
      </w:r>
    </w:p>
    <w:p w:rsidR="00A31137" w:rsidRPr="00A31137" w:rsidRDefault="00A31137" w:rsidP="00A31137">
      <w:r w:rsidRPr="00A31137">
        <w:t>1991, McCleskey v. Zant, 499 U.S. 475</w:t>
      </w:r>
    </w:p>
    <w:p w:rsidR="00A31137" w:rsidRPr="00A31137" w:rsidRDefault="00A31137" w:rsidP="00A31137">
      <w:r w:rsidRPr="00A31137">
        <w:t>On December 23, 1987, the District Court granted McCleskey relief based upon a violation of Massiah. Id. at 63-97. The court stated that the Evans statement "contains strong indication of an ab initio relationship between Evans and the authorities." Id. at 84. In addition, the court credited Worthy's testimony suggesting that the police had used Evans to obtain incriminating information from McCleskey. Based on the Evans statement and portions of Worthy's testimony, the District Court found that the jail authorities had placed Evans in the cell adjoining McCleskey's "for the purpose of gathering incriminating information"; that "Evans was probably coached in how to approach McCleskey and given critical facts unknown to the general public"; that Evans talked with McCleskey and eavesdropped on McCleskey's conversations with others; and that Evans reported what he had heard to the authorities. Id. at 83. These findings, in the District Court's view, established a Massiah violation.</w:t>
      </w:r>
    </w:p>
    <w:p w:rsidR="00A31137" w:rsidRPr="00A31137" w:rsidRDefault="00A31137" w:rsidP="00A31137">
      <w:r w:rsidRPr="00A31137">
        <w:t>1991, McCleskey v. Zant, 499 U.S. 475</w:t>
      </w:r>
    </w:p>
    <w:p w:rsidR="00A31137" w:rsidRPr="00A31137" w:rsidRDefault="00A31137" w:rsidP="00A31137">
      <w:r w:rsidRPr="00A31137">
        <w:t>In granting habeas relief, the District Court rejected the State's argument that McCleskey's assertion of the Massiah claim for the first time in the second federal petition constituted an abuse of the writ. The court ruled that McCleskey did not deliberately abandon the claim after raising it in his first state habeas petition. "This is not a case," the District [499 U.S. 476] Court reasoned, "where petitioner has reserved his proof or deliberately withheld his claim for a second petition." Id. at 84. The District Court also determined that, when McCleskey filed his first federal petition, he did not know about either the 21-page Evans document or the identity of Worthy, and that the failure to discover the evidence for the first federal petition "was not due to [McCleskey's] inexcusable neglect." Id. at 85.</w:t>
      </w:r>
    </w:p>
    <w:p w:rsidR="00A31137" w:rsidRPr="00A31137" w:rsidRDefault="00A31137" w:rsidP="00A31137">
      <w:r w:rsidRPr="00A31137">
        <w:t>1991, McCleskey v. Zant, 499 U.S. 476</w:t>
      </w:r>
    </w:p>
    <w:p w:rsidR="00A31137" w:rsidRPr="00A31137" w:rsidRDefault="00A31137" w:rsidP="00A31137">
      <w:r w:rsidRPr="00A31137">
        <w:t>The Eleventh Circuit reversed, holding that the District Court abused its discretion by failing to dismiss McCleskey's Massiah claim as an abuse of the writ. McCleskey v. Zant, 890 F.2d 342 (CA11 1989). The Court of Appeals agreed with the District Court that the petitioner must</w:t>
      </w:r>
    </w:p>
    <w:p w:rsidR="00A31137" w:rsidRPr="00A31137" w:rsidRDefault="00A31137" w:rsidP="00A31137">
      <w:r w:rsidRPr="00A31137">
        <w:t>1991, McCleskey v. Zant, 499 U.S. 476</w:t>
      </w:r>
    </w:p>
    <w:p w:rsidR="00A31137" w:rsidRPr="00A31137" w:rsidRDefault="00A31137" w:rsidP="00A31137">
      <w:r w:rsidRPr="00A31137">
        <w:t>show that he did not deliberately abandon the claim and that his failure to raise it [in the first federal habeas proceeding] was not due to inexcusable neglect.</w:t>
      </w:r>
    </w:p>
    <w:p w:rsidR="00A31137" w:rsidRPr="00A31137" w:rsidRDefault="00A31137" w:rsidP="00A31137">
      <w:r w:rsidRPr="00A31137">
        <w:t>1991, McCleskey v. Zant, 499 U.S. 476</w:t>
      </w:r>
    </w:p>
    <w:p w:rsidR="00A31137" w:rsidRPr="00A31137" w:rsidRDefault="00A31137" w:rsidP="00A31137">
      <w:r w:rsidRPr="00A31137">
        <w:t>Id. at 346-347. Accepting the District Court's findings that, at the first petition stage, McCleskey knew neither the existence of the Evans statement nor the identity of Worthy, the court held that the District Court "misconstru[ed] the meaning of deliberate abandonment." Id. at 348-349. Because McCleskey included a Massiah claim in his first state petition, dropped it in his first federal petition, and then reasserted it in his second federal petition, he "made a knowing choice not to pursue the claim after having raised it previously" that constituted a prima facie showing of "deliberate abandonment." 890 F.2d at 349. The court further found the State's alleged concealment of the Evans statement irrelevant because it "was simply the catalyst that caused counsel to pursue the Massiah claim more vigorously," and did not itself "demonstrate the existence of a Massiah violation." Id. at 350. The court concluded that McCleskey had presented no reason why counsel could not have discovered Worthy earlier. Ibid. Finally, the court ruled that McCleskey's claim did not fall within the ends of justice exception to the abuse of the writ doctrine because any [499 U.S. 477] Massiah violation that may have been committed would have been harmless error. 890 F.2d at 350-351.</w:t>
      </w:r>
    </w:p>
    <w:p w:rsidR="00A31137" w:rsidRPr="00A31137" w:rsidRDefault="00A31137" w:rsidP="00A31137">
      <w:r w:rsidRPr="00A31137">
        <w:t>1991, McCleskey v. Zant, 499 U.S. 477</w:t>
      </w:r>
    </w:p>
    <w:p w:rsidR="00A31137" w:rsidRPr="00A31137" w:rsidRDefault="00A31137" w:rsidP="00A31137">
      <w:r w:rsidRPr="00A31137">
        <w:t>McCleskey petitioned this Court for a writ of certiorari, alleging numerous errors in the Eleventh Circuit's abuse of the writ analysis. In our order granting the petition, we requested the parties to address the following additional question:</w:t>
      </w:r>
    </w:p>
    <w:p w:rsidR="00A31137" w:rsidRPr="00A31137" w:rsidRDefault="00A31137" w:rsidP="00A31137">
      <w:r w:rsidRPr="00A31137">
        <w:t>1991, McCleskey v. Zant, 499 U.S. 477</w:t>
      </w:r>
    </w:p>
    <w:p w:rsidR="00A31137" w:rsidRPr="00A31137" w:rsidRDefault="00A31137" w:rsidP="00A31137">
      <w:r w:rsidRPr="00A31137">
        <w:t>Must the State demonstrate that a claim was deliberately abandoned in an earlier petition for a writ of habeas corpus in order to establish that inclusion of that claim in a subsequent habeas petition constitutes abuse of the writ?</w:t>
      </w:r>
    </w:p>
    <w:p w:rsidR="00A31137" w:rsidRPr="00A31137" w:rsidRDefault="00A31137" w:rsidP="00A31137">
      <w:r w:rsidRPr="00A31137">
        <w:t>1991, McCleskey v. Zant, 499 U.S. 477</w:t>
      </w:r>
    </w:p>
    <w:p w:rsidR="00A31137" w:rsidRPr="00A31137" w:rsidRDefault="00A31137" w:rsidP="00A31137">
      <w:r w:rsidRPr="00A31137">
        <w:t>496 U.S. 904 (1990).</w:t>
      </w:r>
    </w:p>
    <w:p w:rsidR="00A31137" w:rsidRPr="00A31137" w:rsidRDefault="00A31137" w:rsidP="00A31137">
      <w:r w:rsidRPr="00A31137">
        <w:t>II</w:t>
      </w:r>
    </w:p>
    <w:p w:rsidR="00A31137" w:rsidRPr="00A31137" w:rsidRDefault="00A31137" w:rsidP="00A31137">
      <w:r w:rsidRPr="00A31137">
        <w:t>1991, McCleskey v. Zant, 499 U.S. 477</w:t>
      </w:r>
    </w:p>
    <w:p w:rsidR="00A31137" w:rsidRPr="00A31137" w:rsidRDefault="00A31137" w:rsidP="00A31137">
      <w:r w:rsidRPr="00A31137">
        <w:t>The parties agree that the government has the burden of pleading abuse of the writ, and that, once the government makes a proper submission, the petitioner must show that he has not abused the writ in seeking habeas relief. See Sanders v. United States, 373 U.S. 1, 10-11 (1963); Price v. Johnston, 334 U.S. 266,  292 (1948). Much confusion exists though, on the standard for determining when a petitioner abuses the writ. Although the standard is central to the proper determination of many federal habeas corpus actions, we have had little occasion to define it. Indeed, there is truth to the observation that we have defined abuse of the writ in an oblique way, through dicta and denials of certiorari petitions or stay applications. See Witt v. Wainwright, 470 U.S. 1039, 1043 (1985) (MARSHALL, J., dissenting). Today we give the subject our careful consideration. We begin by tracing the historical development of some of the substantive and procedural aspects of the writ, and then consider the standard for abuse that district courts should apply in actions seeking federal habeas corpus relief.</w:t>
      </w:r>
    </w:p>
    <w:p w:rsidR="00A31137" w:rsidRPr="00A31137" w:rsidRDefault="00A31137" w:rsidP="00A31137">
      <w:r w:rsidRPr="00A31137">
        <w:t>A</w:t>
      </w:r>
    </w:p>
    <w:p w:rsidR="00A31137" w:rsidRPr="00A31137" w:rsidRDefault="00A31137" w:rsidP="00A31137">
      <w:r w:rsidRPr="00A31137">
        <w:t>1991, McCleskey v. Zant, 499 U.S. 477</w:t>
      </w:r>
    </w:p>
    <w:p w:rsidR="00A31137" w:rsidRPr="00A31137" w:rsidRDefault="00A31137" w:rsidP="00A31137">
      <w:r w:rsidRPr="00A31137">
        <w:t>The Judiciary Act of 1789, ch. 20, § 14, 1 Stat. 81-82, empowered federal courts to issue writs of habeas corpus to prisoners "in custody, under or by colour of the authority of [499 U.S. 478] the United States." In the early decades of our new federal system, English common law defined the substantive scope of the writ. Ex parte Watkins, 3 Pet.193, 201-203 (1830). Federal prisoners could use the writ to challenge confinement imposed by a court that lacked jurisdiction, ibid., or detention by the executive without proper legal process, see Ex parte Wells, 18 How. 307 (1856).</w:t>
      </w:r>
    </w:p>
    <w:p w:rsidR="00A31137" w:rsidRPr="00A31137" w:rsidRDefault="00A31137" w:rsidP="00A31137">
      <w:r w:rsidRPr="00A31137">
        <w:t>1991, McCleskey v. Zant, 499 U.S. 478</w:t>
      </w:r>
    </w:p>
    <w:p w:rsidR="00A31137" w:rsidRPr="00A31137" w:rsidRDefault="00A31137" w:rsidP="00A31137">
      <w:r w:rsidRPr="00A31137">
        <w:t>The common law limitations on the scope of the writ were subject to various expansive forces, both statutory and judicial. See generally Bator, Finality in Criminal Law and Federal Habeas Corpus for State Prisoners, 76 Harv.L.Rev. 441, 463-499 (1963). The major statutory expansion of the writ occurred in 1867, when Congress extended federal habeas corpus to prisoners held in state custody. Act of Feb. 5, 1867, ch. 28, § 1, 14 Stat. 385. For the most part, however, expansion of the writ has come through judicial decisionmaking. As then-JUSTICE REHNQUIST explained in Wainwright v. Sykes, 433 U.S. 72,  79 (1977), the Court began by interpreting the concept of jurisdictional defect with generosity to include sentences imposed without statutory authorization, Ex parte Lange, 18 Wall. 163,  176 (1874), and convictions obtained under an unconstitutional statute, Ex parte Siebold, 100 U.S. 371, 376-377 (1880). Later, we allowed habeas relief for confinement under a state conviction obtained without adequate procedural protections for the defendant. Frank v. Mangum, 237 U.S. 309 (1915); Moore v. Dempsey, 261 U.S. 86 (1923).</w:t>
      </w:r>
    </w:p>
    <w:p w:rsidR="00A31137" w:rsidRPr="00A31137" w:rsidRDefault="00A31137" w:rsidP="00A31137">
      <w:r w:rsidRPr="00A31137">
        <w:t>1991, McCleskey v. Zant, 499 U.S. 478</w:t>
      </w:r>
    </w:p>
    <w:p w:rsidR="00A31137" w:rsidRPr="00A31137" w:rsidRDefault="00A31137" w:rsidP="00A31137">
      <w:r w:rsidRPr="00A31137">
        <w:t>Confronting this line of precedents extending the reach of the writ, in Waley v. Johnston, 316 U.S. 101 (1942),</w:t>
      </w:r>
    </w:p>
    <w:p w:rsidR="00A31137" w:rsidRPr="00A31137" w:rsidRDefault="00A31137" w:rsidP="00A31137">
      <w:r w:rsidRPr="00A31137">
        <w:t>1991, McCleskey v. Zant, 499 U.S. 478</w:t>
      </w:r>
    </w:p>
    <w:p w:rsidR="00A31137" w:rsidRPr="00A31137" w:rsidRDefault="00A31137" w:rsidP="00A31137">
      <w:r w:rsidRPr="00A31137">
        <w:t>the Court openly discarded the concept of jurisdiction—by then more a fiction than anything else—as a touchstone of the availability of federal habeas review, and acknowledged that such review is available for claims of</w:t>
      </w:r>
    </w:p>
    <w:p w:rsidR="00A31137" w:rsidRPr="00A31137" w:rsidRDefault="00A31137" w:rsidP="00A31137">
      <w:r w:rsidRPr="00A31137">
        <w:t>1991, McCleskey v. Zant, 499 U.S. 478</w:t>
      </w:r>
    </w:p>
    <w:p w:rsidR="00A31137" w:rsidRPr="00A31137" w:rsidRDefault="00A31137" w:rsidP="00A31137">
      <w:r w:rsidRPr="00A31137">
        <w:t>disregard of the constitutional rights of the accused, and where the writ is the only effective means of preserving his rights.</w:t>
      </w:r>
    </w:p>
    <w:p w:rsidR="00A31137" w:rsidRPr="00A31137" w:rsidRDefault="00A31137" w:rsidP="00A31137">
      <w:r w:rsidRPr="00A31137">
        <w:t>1991, McCleskey v. Zant, 499 U.S. 478</w:t>
      </w:r>
    </w:p>
    <w:p w:rsidR="00A31137" w:rsidRPr="00A31137" w:rsidRDefault="00A31137" w:rsidP="00A31137">
      <w:r w:rsidRPr="00A31137">
        <w:t>Wainwright v. Sykes, supra, 433 U.S. at  79 (quoting Waley v. Johnston, supra, 316 U.S. at 104-105). [499 U.S. 479] With the exception of Fourth Amendment violations that a petitioner has been given a full and fair opportunity to litigate in state court, Stone v. Powell, 428 U.S. 465,  495 (1976), the writ today appears to extend to all dispositive constitutional claims presented in a proper procedural manner. See Brown v. Allen, 344 U.S. 443 (1953); Wainwright v. Sykes, supra, 433 U.S. at  79.</w:t>
      </w:r>
    </w:p>
    <w:p w:rsidR="00A31137" w:rsidRPr="00A31137" w:rsidRDefault="00A31137" w:rsidP="00A31137">
      <w:r w:rsidRPr="00A31137">
        <w:t>1991, McCleskey v. Zant, 499 U.S. 479</w:t>
      </w:r>
    </w:p>
    <w:p w:rsidR="00A31137" w:rsidRPr="00A31137" w:rsidRDefault="00A31137" w:rsidP="00A31137">
      <w:r w:rsidRPr="00A31137">
        <w:t>One procedural requisite is that a petition not lead to an abuse of the writ. We must next consider the origins and meaning of that rule.</w:t>
      </w:r>
    </w:p>
    <w:p w:rsidR="00A31137" w:rsidRPr="00A31137" w:rsidRDefault="00A31137" w:rsidP="00A31137">
      <w:r w:rsidRPr="00A31137">
        <w:t>B</w:t>
      </w:r>
    </w:p>
    <w:p w:rsidR="00A31137" w:rsidRPr="00A31137" w:rsidRDefault="00A31137" w:rsidP="00A31137">
      <w:r w:rsidRPr="00A31137">
        <w:t>1991, McCleskey v. Zant, 499 U.S. 479</w:t>
      </w:r>
    </w:p>
    <w:p w:rsidR="00A31137" w:rsidRPr="00A31137" w:rsidRDefault="00A31137" w:rsidP="00A31137">
      <w:r w:rsidRPr="00A31137">
        <w:t>At common law, res judicata did not attach to a court's denial of habeas relief. "[A] refusal to discharge on one writ [was] not a bar to the issuance of a new writ." 1 W. Bailey, Law of Habeas Corpus and Special Remedies 206 (1913) (citing cases).</w:t>
      </w:r>
    </w:p>
    <w:p w:rsidR="00A31137" w:rsidRPr="00A31137" w:rsidRDefault="00A31137" w:rsidP="00A31137">
      <w:r w:rsidRPr="00A31137">
        <w:t>1991, McCleskey v. Zant, 499 U.S. 479</w:t>
      </w:r>
    </w:p>
    <w:p w:rsidR="00A31137" w:rsidRPr="00A31137" w:rsidRDefault="00A31137" w:rsidP="00A31137">
      <w:r w:rsidRPr="00A31137">
        <w:t>[A] renewed application could be made to every other judge or court in the realm, and each court or judge was bound to consider the question of the prisoner's right to a discharge independently, and not to be influenced by the previous decisions refusing discharge.</w:t>
      </w:r>
    </w:p>
    <w:p w:rsidR="00A31137" w:rsidRPr="00A31137" w:rsidRDefault="00A31137" w:rsidP="00A31137">
      <w:r w:rsidRPr="00A31137">
        <w:t>1991, McCleskey v. Zant, 499 U.S. 479</w:t>
      </w:r>
    </w:p>
    <w:p w:rsidR="00A31137" w:rsidRPr="00A31137" w:rsidRDefault="00A31137" w:rsidP="00A31137">
      <w:r w:rsidRPr="00A31137">
        <w:t>W. Church, Writ of Habeas Corpus § 386, p. 570 (2d ed. 1893) (hereinafter Church). See, e.g., Ex parte Kaine, 14 F.Cas. 79, 80 (No. 7, 597) (S.D.N.Y.1853); In re Kopel, 148 F. 505, 506 (S.D. N.Y.1906). The rule made sense because, at common law, an order denying habeas relief could not be reviewed. Church 570; L. Yackle, Postconviction Remedies § 151, p. 551 (1981); Goddard, A Note on Habeas Corpus, 65 L.Q.Rev. 30, 32 (1949). Successive petitions served as a substitute for appeal. See W. Duker, A Constitutional History of Habeas Corpus 5-6 (1980); Church 570; Goddard, supra, at 35.</w:t>
      </w:r>
    </w:p>
    <w:p w:rsidR="00A31137" w:rsidRPr="00A31137" w:rsidRDefault="00A31137" w:rsidP="00A31137">
      <w:r w:rsidRPr="00A31137">
        <w:t>1991, McCleskey v. Zant, 499 U.S. 479</w:t>
      </w:r>
    </w:p>
    <w:p w:rsidR="00A31137" w:rsidRPr="00A31137" w:rsidRDefault="00A31137" w:rsidP="00A31137">
      <w:r w:rsidRPr="00A31137">
        <w:t>As appellate review became available from a decision in habeas refusing to discharge the prisoner, courts began to question the continuing validity of the common law rule allowing endless successive petitions. Church 602. Some courts rejected the common law rule, holding a denial of habeas relief [499 U.S. 480] res judicata. See, e.g., Perry v. McLendon, 62 Ga. 598, 603-605 (1879); McMahon v. Mead, 30 S.D. 515, 518, 139 N.W. 122, 123 (1912); Ex parte Heller, 146 Wis. 517, 524, 131 N.W. 991, 994 (1911). Others adopted a middle position between the extremes of res judicata and endless successive petitions. Justice Field's opinion on circuit in Ex parte Cuddy, 40 F. 62 (1889), exemplifies this balance.</w:t>
      </w:r>
    </w:p>
    <w:p w:rsidR="00A31137" w:rsidRPr="00A31137" w:rsidRDefault="00A31137" w:rsidP="00A31137">
      <w:r w:rsidRPr="00A31137">
        <w:t>1991, McCleskey v. Zant, 499 U.S. 480</w:t>
      </w:r>
    </w:p>
    <w:p w:rsidR="00A31137" w:rsidRPr="00A31137" w:rsidRDefault="00A31137" w:rsidP="00A31137">
      <w:r w:rsidRPr="00A31137">
        <w:t>[W]hile the doctrine of res judicata does not apply,…the officers before whom the second application is made may take into consideration the fact that a previous application had been made to another officer and refused; and in some instances, that fact may justify a refusal of the second. The action of the court or justice on the second application will naturally be affected to some degree by the character of the court or officer to whom the first application was made, and the fullness of the consideration given to it…. In what I have said I refer, of course, to cases where a second application is made upon the same facts presented, or which might have been presented, on the first. The question is entirely different when subsequent occurring events have changed the situation of the petitioner, so as in fact to present a new case for consideration. In the present application, there are no new facts which did not exist when the first was presented…. I am of the opinion that, in such a case, a second application should not be heard….</w:t>
      </w:r>
    </w:p>
    <w:p w:rsidR="00A31137" w:rsidRPr="00A31137" w:rsidRDefault="00A31137" w:rsidP="00A31137">
      <w:r w:rsidRPr="00A31137">
        <w:t>1991, McCleskey v. Zant, 499 U.S. 480</w:t>
      </w:r>
    </w:p>
    <w:p w:rsidR="00A31137" w:rsidRPr="00A31137" w:rsidRDefault="00A31137" w:rsidP="00A31137">
      <w:r w:rsidRPr="00A31137">
        <w:t>Id. at 65-66. Cf. Ex parte Moebus, 148 F. 39, 40-41 (NH 1906) (second petition disallowed "unless some substantial change in the circumstances had intervened").</w:t>
      </w:r>
    </w:p>
    <w:p w:rsidR="00A31137" w:rsidRPr="00A31137" w:rsidRDefault="00A31137" w:rsidP="00A31137">
      <w:r w:rsidRPr="00A31137">
        <w:t>1991, McCleskey v. Zant, 499 U.S. 480</w:t>
      </w:r>
    </w:p>
    <w:p w:rsidR="00A31137" w:rsidRPr="00A31137" w:rsidRDefault="00A31137" w:rsidP="00A31137">
      <w:r w:rsidRPr="00A31137">
        <w:t>We resolved the confusion over the continuing validity of the common law rule, at least for federal courts, in Salinger v. Loisel, 265 U.S. 224 (1924), and Wong Doo v. United States, 265 U.S. 239 (1924). These decisions reaffirmed that res judicata does not apply "to a decision on habeas corpus refusing to discharge the prisoner." Salinger v. Loisel [499 U.S. 481] supra, at 230; see Wong Doo v. United States, supra, at 240. They recognized, however, that the availability of appellate review required a modification of the common law rule allowing endless applications. As we explained in Salinger:</w:t>
      </w:r>
    </w:p>
    <w:p w:rsidR="00A31137" w:rsidRPr="00A31137" w:rsidRDefault="00A31137" w:rsidP="00A31137">
      <w:r w:rsidRPr="00A31137">
        <w:t>1991, McCleskey v. Zant, 499 U.S. 481</w:t>
      </w:r>
    </w:p>
    <w:p w:rsidR="00A31137" w:rsidRPr="00A31137" w:rsidRDefault="00A31137" w:rsidP="00A31137">
      <w:r w:rsidRPr="00A31137">
        <w:t>In early times when a refusal to discharge was not open to appellate review, courts and judges were accustomed to exercise an independent judgment on each successive application, regardless of the number. But when a right to an appellate review was given, the reason for that practice ceased, and the practice came to be materially changed….</w:t>
      </w:r>
    </w:p>
    <w:p w:rsidR="00A31137" w:rsidRPr="00A31137" w:rsidRDefault="00A31137" w:rsidP="00A31137">
      <w:r w:rsidRPr="00A31137">
        <w:t>1991, McCleskey v. Zant, 499 U.S. 481</w:t>
      </w:r>
    </w:p>
    <w:p w:rsidR="00A31137" w:rsidRPr="00A31137" w:rsidRDefault="00A31137" w:rsidP="00A31137">
      <w:r w:rsidRPr="00A31137">
        <w:t>265 U.S. at 230-231.</w:t>
      </w:r>
    </w:p>
    <w:p w:rsidR="00A31137" w:rsidRPr="00A31137" w:rsidRDefault="00A31137" w:rsidP="00A31137">
      <w:r w:rsidRPr="00A31137">
        <w:t>1991, McCleskey v. Zant, 499 U.S. 481</w:t>
      </w:r>
    </w:p>
    <w:p w:rsidR="00A31137" w:rsidRPr="00A31137" w:rsidRDefault="00A31137" w:rsidP="00A31137">
      <w:r w:rsidRPr="00A31137">
        <w:t>Relying on Justice Field's opinion in Ex parte Cuddy, we announced that second and subsequent petitions should be</w:t>
      </w:r>
    </w:p>
    <w:p w:rsidR="00A31137" w:rsidRPr="00A31137" w:rsidRDefault="00A31137" w:rsidP="00A31137">
      <w:r w:rsidRPr="00A31137">
        <w:t>1991, McCleskey v. Zant, 499 U.S. 481</w:t>
      </w:r>
    </w:p>
    <w:p w:rsidR="00A31137" w:rsidRPr="00A31137" w:rsidRDefault="00A31137" w:rsidP="00A31137">
      <w:r w:rsidRPr="00A31137">
        <w:t>disposed of in the exercise of a sound judicial discretion guided and controlled by a consideration of whatever has a rational bearing on the propriety of the discharge sought. Among matters which may be considered, and even given controlling weight, are (a) the existence of another remedy, such as a right in ordinary course to an appellate review in the criminal case, and (b) a prior refusal to discharge on a like application.</w:t>
      </w:r>
    </w:p>
    <w:p w:rsidR="00A31137" w:rsidRPr="00A31137" w:rsidRDefault="00A31137" w:rsidP="00A31137">
      <w:r w:rsidRPr="00A31137">
        <w:t>1991, McCleskey v. Zant, 499 U.S. 481</w:t>
      </w:r>
    </w:p>
    <w:p w:rsidR="00A31137" w:rsidRPr="00A31137" w:rsidRDefault="00A31137" w:rsidP="00A31137">
      <w:r w:rsidRPr="00A31137">
        <w:t>265 U.S. at 231.</w:t>
      </w:r>
    </w:p>
    <w:p w:rsidR="00A31137" w:rsidRPr="00A31137" w:rsidRDefault="00A31137" w:rsidP="00A31137">
      <w:r w:rsidRPr="00A31137">
        <w:t>1991, McCleskey v. Zant, 499 U.S. 481</w:t>
      </w:r>
    </w:p>
    <w:p w:rsidR="00A31137" w:rsidRPr="00A31137" w:rsidRDefault="00A31137" w:rsidP="00A31137">
      <w:r w:rsidRPr="00A31137">
        <w:t>Because the lower court in Salinger had not disposed of the subsequent application for habeas corpus by reliance on dismissal of the prior application, the decision did not present an opportunity to apply the doctrine of abuse of the writ. 265 U.S. at 232. Wong Doo did present the question. There, the District Court had dismissed on res judicata grounds a second petition containing a due process claim that was raised, but not argued, in the first federal habeas petition. The petitioner "had full opportunity to offer proof of this due process claim at the hearing on the first petition," and he offered "[n]o reason for not presenting the proof at the outset…. " Wong Doo, 265 U.S. at 241. The record of the first petition did not contain proof of the due process claim, [499 U.S. 482] but "what [was] said of it there and in the briefs show[ed] that it was accessible all the time." Ibid. In these circumstances, we upheld the dismissal of the second petition. We held that "according to a sound judicial discretion, controlling weight must have been given to the prior refusal." Ibid. So while we rejected res judicata in a strict sense as a basis for dismissing a later habeas action, we made clear that the prior adjudication bore vital relevance to the exercise of the court's discretion in determining whether to consider the petition.</w:t>
      </w:r>
    </w:p>
    <w:p w:rsidR="00A31137" w:rsidRPr="00A31137" w:rsidRDefault="00A31137" w:rsidP="00A31137">
      <w:r w:rsidRPr="00A31137">
        <w:t>1991, McCleskey v. Zant, 499 U.S. 482</w:t>
      </w:r>
    </w:p>
    <w:p w:rsidR="00A31137" w:rsidRPr="00A31137" w:rsidRDefault="00A31137" w:rsidP="00A31137">
      <w:r w:rsidRPr="00A31137">
        <w:t xml:space="preserve">Price v. Johnston, 334 U.S. 266 (1948), the next decision in this line, arose in a somewhat different context from Salinger or Wong Doo. In Price, the petitioner's fourth habeas petition alleged a claim that, arguably at least, was neither the explicit basis of a former petition nor inferable from the facts earlier alleged. The District Court and Court of Appeals dismissed the petition without hearing on the sole ground that the claim was not raised in one of the earlier habeas actions. We reversed and remanded, reasoning that the dismissal "precluded a proper development of the issue of the allegedly abusive use of the habeas corpus writ." 334 U.S. at  293. We explained that the State must plead an abuse of the writ with particularity, and that the burden then shifts to petitioner to show that presentation of the new claim does not constitute abuse. Id. at  292. The District Court erred because it dismissed the petition without affording the petitioner an opportunity to explain the basis for raising his claim late. We gave directions for the proper inquiry in the trial court. If the explanation "is inadequate, the court may dismiss the petition without further proceedings." Ibid. But if a petitioner "present[s] adequate reasons for not making the allegation earlier, reasons which make it fair and just for the trial court to overlook the delay," he must be given the opportunity to develop these matters in a hearing. Id. at 291-292. Without considering whether the petitioner had abused the writ, we remanded the case. [499 U.S. 483] </w:t>
      </w:r>
    </w:p>
    <w:p w:rsidR="00A31137" w:rsidRPr="00A31137" w:rsidRDefault="00A31137" w:rsidP="00A31137">
      <w:r w:rsidRPr="00A31137">
        <w:t>1991, McCleskey v. Zant, 499 U.S. 483</w:t>
      </w:r>
    </w:p>
    <w:p w:rsidR="00A31137" w:rsidRPr="00A31137" w:rsidRDefault="00A31137" w:rsidP="00A31137">
      <w:r w:rsidRPr="00A31137">
        <w:t>Although Price recognized that abuse of the writ principles limit a petitioner's ability to file repetitive petitions, it also contained dicta touching on the standard for abuse that appeared to contradict this point. Price stated that</w:t>
      </w:r>
    </w:p>
    <w:p w:rsidR="00A31137" w:rsidRPr="00A31137" w:rsidRDefault="00A31137" w:rsidP="00A31137">
      <w:r w:rsidRPr="00A31137">
        <w:t>1991, McCleskey v. Zant, 499 U.S. 483</w:t>
      </w:r>
    </w:p>
    <w:p w:rsidR="00A31137" w:rsidRPr="00A31137" w:rsidRDefault="00A31137" w:rsidP="00A31137">
      <w:r w:rsidRPr="00A31137">
        <w:t>the three prior refusals to discharge petitioner can have no bearing or weight on the disposition to be made of the new matter raised in the fourth petition.</w:t>
      </w:r>
    </w:p>
    <w:p w:rsidR="00A31137" w:rsidRPr="00A31137" w:rsidRDefault="00A31137" w:rsidP="00A31137">
      <w:r w:rsidRPr="00A31137">
        <w:t>1991, McCleskey v. Zant, 499 U.S. 483</w:t>
      </w:r>
    </w:p>
    <w:p w:rsidR="00A31137" w:rsidRPr="00A31137" w:rsidRDefault="00A31137" w:rsidP="00A31137">
      <w:r w:rsidRPr="00A31137">
        <w:t>Id. at  289. This proposition ignored the significance of appellate jurisdictional changes, see supra at 479-480, as well as the general disfavor we had expressed in Salinger and Wong Doo toward endless repetitive petitions. It did not even comport with language in Price itself which recognized that, in certain circumstances, new claims raised for the first time in a second or subsequent petition should not be entertained. As will become clear, the quoted portion of Price has been ignored in our later decisions.</w:t>
      </w:r>
    </w:p>
    <w:p w:rsidR="00A31137" w:rsidRPr="00A31137" w:rsidRDefault="00A31137" w:rsidP="00A31137">
      <w:r w:rsidRPr="00A31137">
        <w:t>1991, McCleskey v. Zant, 499 U.S. 483</w:t>
      </w:r>
    </w:p>
    <w:p w:rsidR="00A31137" w:rsidRPr="00A31137" w:rsidRDefault="00A31137" w:rsidP="00A31137">
      <w:r w:rsidRPr="00A31137">
        <w:t>One month after the Price decision, Congress enacted legislation, 28 U.S.C. § 2244, which, for the first time, addressed the issue of repetitive federal habeas corpus petitions:</w:t>
      </w:r>
    </w:p>
    <w:p w:rsidR="00A31137" w:rsidRPr="00A31137" w:rsidRDefault="00A31137" w:rsidP="00A31137">
      <w:r w:rsidRPr="00A31137">
        <w:t>1991, McCleskey v. Zant, 499 U.S. 483</w:t>
      </w:r>
    </w:p>
    <w:p w:rsidR="00A31137" w:rsidRPr="00A31137" w:rsidRDefault="00A31137" w:rsidP="00A31137">
      <w:r w:rsidRPr="00A31137">
        <w:t>No circuit or district judge shall be required to entertain an application for a writ of habeas corpus to inquire into the detention of a person pursuant to a judgment of a court of the United States, or of any State, if it appears that the legality of such detention has been determined by a judge or court of the United States on a prior application for a writ of habeas corpus and the petition presents no new ground not theretofore presented and determined, and the judge or court is satisfied that the ends of justice will not be served by such inquiry.</w:t>
      </w:r>
    </w:p>
    <w:p w:rsidR="00A31137" w:rsidRPr="00A31137" w:rsidRDefault="00A31137" w:rsidP="00A31137">
      <w:r w:rsidRPr="00A31137">
        <w:t>1991, McCleskey v. Zant, 499 U.S. 483</w:t>
      </w:r>
    </w:p>
    <w:p w:rsidR="00A31137" w:rsidRPr="00A31137" w:rsidRDefault="00A31137" w:rsidP="00A31137">
      <w:r w:rsidRPr="00A31137">
        <w:t>28 U.S.C. § 2244 (1964 ed.). Because § 2244 allowed a district court to dismiss a successive petition that "present[ed] no new ground not theretofore presented and determined," one might have concluded, by negative implication, that Congress denied permission to dismiss any petition that alleged new grounds for relief. Such an interpretation would have superseded the judicial principles [499 U.S. 484] recognizing that claims not raised or litigated in a prior petition could, when raised in a later petition, constitute abuse. But the Reviser's Note to the 1948 statute made clear that, as a general matter, Congress did not intend the new section to disrupt the judicial evolution of habeas principles, 28 U.S.C. § 2244 (1964 ed.) (Reviser's Note), and we confirmed in Sanders v. United States, 373 U.S. at 11-12, that Congress' silence on the standard for abuse of the writ involving a new claim was "not intended to foreclose judicial application of the abuse-of-writ principle as developed in Wong Doo and Price."</w:t>
      </w:r>
    </w:p>
    <w:p w:rsidR="00A31137" w:rsidRPr="00A31137" w:rsidRDefault="00A31137" w:rsidP="00A31137">
      <w:r w:rsidRPr="00A31137">
        <w:t>1991, McCleskey v. Zant, 499 U.S. 484</w:t>
      </w:r>
    </w:p>
    <w:p w:rsidR="00A31137" w:rsidRPr="00A31137" w:rsidRDefault="00A31137" w:rsidP="00A31137">
      <w:r w:rsidRPr="00A31137">
        <w:t>Sanders also recognized our special responsibility in the development of habeas corpus with respect to another provision of the 1948 revision of the judicial code, 28 U.S.C. § 2255 (1964 ed.). The statute created a new postconviction remedy for federal prisoners with a provision for repetitive petitions different from the one found in § 2244. While § 2244 permitted dismissal of subsequent habeas petitions that "present[ed] no new ground not theretofore presented and determined," § 2255 allowed a federal district court to refuse to entertain a subsequent petition seeking "similar relief." On its face, § 2255 appeared to announce a much stricter abuse of the writ standard than its counterpart in § 2244. We concluded in Sanders, however, that the language in § 2255 "cannot be taken literally," and construed it to be the "material equivalent" of the abuse standard in § 2244. Sanders v. United States, supra, at 13-14.</w:t>
      </w:r>
    </w:p>
    <w:p w:rsidR="00A31137" w:rsidRPr="00A31137" w:rsidRDefault="00A31137" w:rsidP="00A31137">
      <w:r w:rsidRPr="00A31137">
        <w:t>1991, McCleskey v. Zant, 499 U.S. 484</w:t>
      </w:r>
    </w:p>
    <w:p w:rsidR="00A31137" w:rsidRPr="00A31137" w:rsidRDefault="00A31137" w:rsidP="00A31137">
      <w:r w:rsidRPr="00A31137">
        <w:t>In addition to answering these questions, Sanders undertook a more general "formulation of basic rules to guide the lower federal courts" concerning the doctrine of abuse of the writ. Id. at  15. After reiterating that the government must plead abuse of the writ and the petitioner must refute a well-pleaded allegation, Sanders addressed the definition of and rationale for the doctrine. It noted that equitable principles governed abuse of the writ, including "the principle that a suitor's conduct in relation to the matter at hand may [499 U.S. 485] disentitle him to the relief he seeks," and that these principles must be applied within the sound discretion of district courts. Id. at 17-18. The Court furnished illustrations of writ abuse:</w:t>
      </w:r>
    </w:p>
    <w:p w:rsidR="00A31137" w:rsidRPr="00A31137" w:rsidRDefault="00A31137" w:rsidP="00A31137">
      <w:r w:rsidRPr="00A31137">
        <w:t>1991, McCleskey v. Zant, 499 U.S. 485</w:t>
      </w:r>
    </w:p>
    <w:p w:rsidR="00A31137" w:rsidRPr="00A31137" w:rsidRDefault="00A31137" w:rsidP="00A31137">
      <w:r w:rsidRPr="00A31137">
        <w:t>Thus, for example, if a prisoner deliberately withholds one of two grounds for federal collateral relief at the time of filing his first application, in the hope of being granted two hearings, rather than one, or for some other such reason, he may be deemed to have waived his right to a hearing on a second application presenting the withheld ground. The same may be true if, as in Wong Doo, the prisoner deliberately abandons one of his grounds at the first hearing. Nothing in the traditions of habeas corpus requires the federal courts to tolerate needless, piecemeal litigation, or to entertain collateral proceedings whose only purpose is to vex, harass, or delay.</w:t>
      </w:r>
    </w:p>
    <w:p w:rsidR="00A31137" w:rsidRPr="00A31137" w:rsidRDefault="00A31137" w:rsidP="00A31137">
      <w:r w:rsidRPr="00A31137">
        <w:t>1991, McCleskey v. Zant, 499 U.S. 485</w:t>
      </w:r>
    </w:p>
    <w:p w:rsidR="00A31137" w:rsidRPr="00A31137" w:rsidRDefault="00A31137" w:rsidP="00A31137">
      <w:r w:rsidRPr="00A31137">
        <w:t>Id. at  18. The Court also cited Fay v. Noia, 372 U.S. 391, 438-440 (1963), and Townsend v. Sain, 372 U.S. 293,  317 (1963), for further guidance on the doctrine of abuse of the writ, stating that the principles of those cases "govern equally here." 373 U.S. at  18. Finally, Sanders established that federal courts must reach the merits of an abusive petition if "the ends of justice demand." Ibid.</w:t>
      </w:r>
    </w:p>
    <w:p w:rsidR="00A31137" w:rsidRPr="00A31137" w:rsidRDefault="00A31137" w:rsidP="00A31137">
      <w:r w:rsidRPr="00A31137">
        <w:t>1991, McCleskey v. Zant, 499 U.S. 485</w:t>
      </w:r>
    </w:p>
    <w:p w:rsidR="00A31137" w:rsidRPr="00A31137" w:rsidRDefault="00A31137" w:rsidP="00A31137">
      <w:r w:rsidRPr="00A31137">
        <w:t>Three years after Sanders, Congress once more amended the habeas corpus statute. The amendment was an attempt to alleviate the increasing burden on federal courts caused by successive and abusive petitions by "introducing a greater degree of finality of judgments in habeas corpus proceedings." S.Rep. No. 1797, 89th Cong., 2d Sess., 2 (1966); see also H.R.Rep. No. 1892, 89th Cong., 2d Sess., 5-6 (1966), U.S.Code Cong. &amp; Admin.News 1966, pp. 3663, 3664. The amendment recast § 2244 into three subparagraphs. Subparagraph (a) deletes the reference to state prisoners in the old § 2244, but left the provision otherwise intact. 28 U.S.C. § 2244(a). Subparagraph (c) states that, where a state prisoner seeks relief for an alleged denial of a federal [499 U.S. 486] constitutional right before this Court, any decision rendered by the Court shall be "conclusive as to all issues of fact or law with respect to an asserted denial of a Federal right…. " 28 U.S.C. § 2244(c).</w:t>
      </w:r>
    </w:p>
    <w:p w:rsidR="00A31137" w:rsidRPr="00A31137" w:rsidRDefault="00A31137" w:rsidP="00A31137">
      <w:r w:rsidRPr="00A31137">
        <w:t>1991, McCleskey v. Zant, 499 U.S. 486</w:t>
      </w:r>
    </w:p>
    <w:p w:rsidR="00A31137" w:rsidRPr="00A31137" w:rsidRDefault="00A31137" w:rsidP="00A31137">
      <w:r w:rsidRPr="00A31137">
        <w:t>Congress added subparagraph (b) to address repetitive applications by state prisoners:</w:t>
      </w:r>
    </w:p>
    <w:p w:rsidR="00A31137" w:rsidRPr="00A31137" w:rsidRDefault="00A31137" w:rsidP="00A31137">
      <w:r w:rsidRPr="00A31137">
        <w:t>1991, McCleskey v. Zant, 499 U.S. 486</w:t>
      </w:r>
    </w:p>
    <w:p w:rsidR="00A31137" w:rsidRPr="00A31137" w:rsidRDefault="00A31137" w:rsidP="00A31137">
      <w:r w:rsidRPr="00A31137">
        <w:t>(b) When after an evidentiary hearing on the merits of a material factual issue, or after a hearing on the merits of an issue of law, a person in custody pursuant to the judgment of a State court has been denied by a court of the United States or a justice or judge of the United States release from custody or other remedy on an application for a writ of habeas corpus, a subsequent application for a writ of habeas corpus on behalf of such person need not be entertained by a court of the United States or a justice or judge of the United States unless the application alleges and is predicated on a factual or other ground not adjudicated on the hearing of the earlier application for the writ, and unless the court, justice, or judge is satisfied that the applicant has not on the earlier application deliberately withheld the newly asserted ground or otherwise abused the writ.</w:t>
      </w:r>
    </w:p>
    <w:p w:rsidR="00A31137" w:rsidRPr="00A31137" w:rsidRDefault="00A31137" w:rsidP="00A31137">
      <w:r w:rsidRPr="00A31137">
        <w:t>1991, McCleskey v. Zant, 499 U.S. 486</w:t>
      </w:r>
    </w:p>
    <w:p w:rsidR="00A31137" w:rsidRPr="00A31137" w:rsidRDefault="00A31137" w:rsidP="00A31137">
      <w:r w:rsidRPr="00A31137">
        <w:t>28 U.S.C. § 2244(b). Subparagraph (b) establishes a "qualified application of the doctrine of res judicata." S.Rep. No. 1797, supra, at 2, U.S.Code Cong. &amp; Admin.News 1966, p. 3664. It states that a federal court "need not entertain" a second or subsequent habeas petition "unless" the petitioner satisfies two conditions. First, the subsequent petition must allege a new ground, factual or otherwise. Second, the applicant must satisfy the judge that he did not deliberately withhold the ground earlier or "otherwise abus[e] the writ." See Smith v. Yeager, 393 U.S. 122, 125 (1968) ("essential question [under § 2244(b)] is whether the petitioner 'deliberately withheld the newly asserted ground' in the prior proceeding, or 'otherwise abused the writ'"). If the petitioner meets these conditions, the court must consider the subsequent petition [499 U.S. 487] as long as other habeas errors, such as nonexhaustion, 28 U.S.C. § 2254(b), or procedural default, Wainwright v. Sykes, 433 U.S. 72 (1977), are not present.</w:t>
      </w:r>
    </w:p>
    <w:p w:rsidR="00A31137" w:rsidRPr="00A31137" w:rsidRDefault="00A31137" w:rsidP="00A31137">
      <w:r w:rsidRPr="00A31137">
        <w:t>1991, McCleskey v. Zant, 499 U.S. 487</w:t>
      </w:r>
    </w:p>
    <w:p w:rsidR="00A31137" w:rsidRPr="00A31137" w:rsidRDefault="00A31137" w:rsidP="00A31137">
      <w:r w:rsidRPr="00A31137">
        <w:t>Section 2244(b) raises, but does not answer, other questions. It does not state whether a district court may overlook a deliberately withheld or otherwise abusive claim to entertain the petition in any event. That is, it does not state the limits on the district court's discretion to entertain abusive petitions. Nor does the statute define the term "abuse of the writ." As was true of similar silences in the original 1948 version of § 2244, however, see supra at  484, Congress did not intend § 2244(b) to foreclose application of the court-announced principles defining and limiting a district court's discretion to entertain abusive petitions. See Delo v. Stokes, 495 U.S. 320, 321-322 (1990) (District Court abused discretion in entertaining a new claim in a fourth federal petition that was an abuse of the writ).</w:t>
      </w:r>
    </w:p>
    <w:p w:rsidR="00A31137" w:rsidRPr="00A31137" w:rsidRDefault="00A31137" w:rsidP="00A31137">
      <w:r w:rsidRPr="00A31137">
        <w:t>1991, McCleskey v. Zant, 499 U.S. 487</w:t>
      </w:r>
    </w:p>
    <w:p w:rsidR="00A31137" w:rsidRPr="00A31137" w:rsidRDefault="00A31137" w:rsidP="00A31137">
      <w:r w:rsidRPr="00A31137">
        <w:t>Rule 9(b) of the Rules Governing Habeas Corpus Proceedings, promulgated in 1976, also speaks to the problem of new grounds for relief raised in subsequent petitions. It provides:</w:t>
      </w:r>
    </w:p>
    <w:p w:rsidR="00A31137" w:rsidRPr="00A31137" w:rsidRDefault="00A31137" w:rsidP="00A31137">
      <w:r w:rsidRPr="00A31137">
        <w:t>1991, McCleskey v. Zant, 499 U.S. 487</w:t>
      </w:r>
    </w:p>
    <w:p w:rsidR="00A31137" w:rsidRPr="00A31137" w:rsidRDefault="00A31137" w:rsidP="00A31137">
      <w:r w:rsidRPr="00A31137">
        <w:t>A second or successive petition may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w:t>
      </w:r>
    </w:p>
    <w:p w:rsidR="00A31137" w:rsidRPr="00A31137" w:rsidRDefault="00A31137" w:rsidP="00A31137">
      <w:r w:rsidRPr="00A31137">
        <w:t>1991, McCleskey v. Zant, 499 U.S. 487</w:t>
      </w:r>
    </w:p>
    <w:p w:rsidR="00A31137" w:rsidRPr="00A31137" w:rsidRDefault="00A31137" w:rsidP="00A31137">
      <w:r w:rsidRPr="00A31137">
        <w:t>28 U.S.C. § 2254 Rule 9(b). Like 28 U.S.C. § 2244(b), Rule 9(b) "incorporates the judge-made principle governing the abuse of the writ set forth in Sanders." Rose v. Lundy, 455 U.S. 509, 521 (1982) (plurality opinion); id. at 533 (Brennan, J., dissenting) (same). The Advisory Committee Notes make clear that a new claim in a subsequent petition should not be entertained if the judge finds the failure to raise it earlier "inexcusable." Advisory Committee Notes to [499 U.S. 488] Rule 9, 28 U.S.C. § 2254, pp. 426-427. The Notes also state that a retroactive change in the law and newly discovered evidence represent acceptable excuses for failing to raise the claim earlier. Id. at 427.</w:t>
      </w:r>
    </w:p>
    <w:p w:rsidR="00A31137" w:rsidRPr="00A31137" w:rsidRDefault="00A31137" w:rsidP="00A31137">
      <w:r w:rsidRPr="00A31137">
        <w:t>1991, McCleskey v. Zant, 499 U.S. 488</w:t>
      </w:r>
    </w:p>
    <w:p w:rsidR="00A31137" w:rsidRPr="00A31137" w:rsidRDefault="00A31137" w:rsidP="00A31137">
      <w:r w:rsidRPr="00A31137">
        <w:t>In recent years, we have applied the abuse of the writ doctrine in various contexts. In Woodard v. Hutchins, 464 U.S. 377 (1984) (per curiam), the petitioner offered no explanation for asserting three claims in a second federal habeas petition not raised in the first. Five Justices inferred from the lack of explanation that the three claims "could and should have been raised in" the first petition, and that the failure to do so constituted abuse of the writ. Id. at 378-379, and n. 3 (Powell, J., joined by four Justices concurring in grant of application to vacate stay). Similarly, in Antone v. Dugger, 465 U.S. 200 (1984) (per curiam), we upheld the Court of Appeals' judgment that claims presented for the first time in a second federal petition constituted an abuse of the writ. We rejected petitioner's argument that he should be excused from his failure to raise the claims in the first federal petition because his counsel during first federal habeas prepared the petition in haste and did not have time to become familiar with the case. Id. at 205-206, and n. 4. And just last Term, we held that claims raised for the first time in a fourth federal habeas petition abused the writ because they "could have been raised" or "could have been developed" in the first federal habeas petition. Delo v. Stokes, supra, at 321-322. See also Kuhlmann v. Wilson, 477 U.S. 436, 444 n. 6 (1986) (plurality opinion) (petition that raises grounds "available but not relied upon in a prior petition" is an example of abuse of the writ); Straight v. Wainwright, 476 U.S. 1132, 1133 (1986) (Powell, J., joined by three Justices concurring in denial of stay) (new arguments in second petition that "plainly could have been raised earlier" constitute abuse of the writ); Rose v. Lundy, supra, 455 U.S. at 521 (plurality) (prisoner who proceeds with exhausted claims in first federal [499 U.S. 489] petition and deliberately sets aside his unexhausted claims risks dismissal of subsequent federal petitions).</w:t>
      </w:r>
    </w:p>
    <w:p w:rsidR="00A31137" w:rsidRPr="00A31137" w:rsidRDefault="00A31137" w:rsidP="00A31137">
      <w:r w:rsidRPr="00A31137">
        <w:t>III</w:t>
      </w:r>
    </w:p>
    <w:p w:rsidR="00A31137" w:rsidRPr="00A31137" w:rsidRDefault="00A31137" w:rsidP="00A31137">
      <w:r w:rsidRPr="00A31137">
        <w:t>1991, McCleskey v. Zant, 499 U.S. 489</w:t>
      </w:r>
    </w:p>
    <w:p w:rsidR="00A31137" w:rsidRPr="00A31137" w:rsidRDefault="00A31137" w:rsidP="00A31137">
      <w:r w:rsidRPr="00A31137">
        <w:t>Our discussion demonstrates that the doctrine of abuse of the writ refers to a complex and evolving body of equitable principles informed and controlled by historical usage, statutory developments, and judicial decisions. Because of historical changes and the complexity of the subject, the Court has not "always followed an unwavering line in its conclusions as to the availability of the Great Writ." Fay v. Noia, 372 U.S. at 411-412. Today we attempt to define the doctrine of abuse of the writ with more precision.</w:t>
      </w:r>
    </w:p>
    <w:p w:rsidR="00A31137" w:rsidRPr="00A31137" w:rsidRDefault="00A31137" w:rsidP="00A31137">
      <w:r w:rsidRPr="00A31137">
        <w:t>1991, McCleskey v. Zant, 499 U.S. 489</w:t>
      </w:r>
    </w:p>
    <w:p w:rsidR="00A31137" w:rsidRPr="00A31137" w:rsidRDefault="00A31137" w:rsidP="00A31137">
      <w:r w:rsidRPr="00A31137">
        <w:t>Although our decisions on the subject do not all admit of ready synthesis, one point emerges with clarity: abuse of the writ is not confined to instances of deliberate abandonment. Sanders mentioned deliberate abandonment as but one example of conduct that disentitled a petitioner to relief. Sanders cited a passage in Townsend v. Sain, 372 U.S. at  317, which applied the principle of inexcusable neglect, and noted that this principle also governs in the abuse of the writ context, Sanders v. United States, 373 U.S. at  18.</w:t>
      </w:r>
    </w:p>
    <w:p w:rsidR="00A31137" w:rsidRPr="00A31137" w:rsidRDefault="00A31137" w:rsidP="00A31137">
      <w:r w:rsidRPr="00A31137">
        <w:t>1991, McCleskey v. Zant, 499 U.S. 489</w:t>
      </w:r>
    </w:p>
    <w:p w:rsidR="00A31137" w:rsidRPr="00A31137" w:rsidRDefault="00A31137" w:rsidP="00A31137">
      <w:r w:rsidRPr="00A31137">
        <w:t>As Sanders' reference to Townsend demonstrates, as many courts of appeals recognize, see e.g., McCleskey v. Zant, 890 F.2d at 346-347; Hall v. Lockhart, 863 F.2d 609, 610 (CA8 1988); Jones v. Estelle, 722 F.2d 159, 163 (CA6 1983); Miller v. Bordenkircher, 764 F.2d 245, 260-252 (CA4 1986), and as McCleskey concedes, Brief for Petitioner 39-40, 45-48, a petitioner may abuse the writ by failing to raise a claim through inexcusable neglect. Our recent decisions confirm that a petitioner can abuse the writ by raising a claim in a subsequent petition that he could have raised in his first, regardless of whether the failure to raise it earlier stemmed from a deliberate choice. See, e.g., Delo v. Stokes, 495 U.S. at 321-322; Antone v. Dugger, supra, 466 U.S. at 205-206. See also 28 U.S.C. § 2244(b) (recognizing that a petitioner [499 U.S. 490] can abuse the writ in a fashion that does not constitute deliberate abandonment).</w:t>
      </w:r>
    </w:p>
    <w:p w:rsidR="00A31137" w:rsidRPr="00A31137" w:rsidRDefault="00A31137" w:rsidP="00A31137">
      <w:r w:rsidRPr="00A31137">
        <w:t>1991, McCleskey v. Zant, 499 U.S. 490</w:t>
      </w:r>
    </w:p>
    <w:p w:rsidR="00A31137" w:rsidRPr="00A31137" w:rsidRDefault="00A31137" w:rsidP="00A31137">
      <w:r w:rsidRPr="00A31137">
        <w:t>The inexcusable neglect standard demands more from a petitioner than the standard of deliberate abandonment. But we have not given the former term the content necessary to guide district courts in the ordered consideration of allegedly abusive habeas corpus petitions. For reasons we explain below, a review of our habeas corpus precedents leads us to decide that the same standard used to determine whether to excuse state procedural defaults should govern the determination of inexcusable neglect in the abuse of the writ context.</w:t>
      </w:r>
    </w:p>
    <w:p w:rsidR="00A31137" w:rsidRPr="00A31137" w:rsidRDefault="00A31137" w:rsidP="00A31137">
      <w:r w:rsidRPr="00A31137">
        <w:t>1991, McCleskey v. Zant, 499 U.S. 490</w:t>
      </w:r>
    </w:p>
    <w:p w:rsidR="00A31137" w:rsidRPr="00A31137" w:rsidRDefault="00A31137" w:rsidP="00A31137">
      <w:r w:rsidRPr="00A31137">
        <w:t>The prohibition against adjudication in federal habeas corpus of claims defaulted in state court is similar in purpose and design to the abuse of the writ doctrine, which in general prohibits subsequent habeas consideration of claims not raised, and thus defaulted, in the first federal habeas proceeding. The terms "abuse of the writ" and "inexcusable neglect," on the one hand, and "procedural default," on the other, imply a background norm of procedural regularity binding on the petitioner. This explains the presumption against habeas adjudication both of claims defaulted in state court and of claims defaulted in the first round of federal habeas. A federal habeas court's power to excuse these types of defaulted claims derives from the court's equitable discretion. See Reed v. Ross, 468 U.S. 1, 9 (1984) (procedural default); Sanders v. United States, 373 U.S. at 17-18 (abuse of the writ). In habeas, equity recognizes that "a suitor's conduct in relation to the matter at hand may disentitle him to the relief he seeks." Id. at  17. For these reasons, both the abuse of the writ doctrine and our procedural default jurisprudence concentrate on a petitioner's acts to determine whether he has a legitimate excuse for failing to raise a claim at the appropriate time.</w:t>
      </w:r>
    </w:p>
    <w:p w:rsidR="00A31137" w:rsidRPr="00A31137" w:rsidRDefault="00A31137" w:rsidP="00A31137">
      <w:r w:rsidRPr="00A31137">
        <w:t>1991, McCleskey v. Zant, 499 U.S. 490</w:t>
      </w:r>
    </w:p>
    <w:p w:rsidR="00A31137" w:rsidRPr="00A31137" w:rsidRDefault="00A31137" w:rsidP="00A31137">
      <w:r w:rsidRPr="00A31137">
        <w:t>The doctrines of procedural default and abuse of the writ implicate nearly identical concerns flowing from the significant [499 U.S. 491] costs of federal habeas corpus review. To begin with, the writ strikes at finality. One of the law's very objects is the finality of its judgments. Neither innocence nor just punishment can be vindicated until the final judgment is known. "Without finality, the criminal law is deprived of much of its deterrent effect." Teague v. Lane, 489 U.S. 288, 309 (1989). And when a habeas petitioner succeeds in obtaining a new trial, the "'erosion of memory' and 'dispersion of witnesses' that occur with the passage of time," Kuhlmann v. Wilson, supra, 477 U.S. at 453, prejudice the government and diminish the chances of a reliable criminal adjudication. Though Fay v. Noia, supra, may have cast doubt upon these propositions, since Fay, we have taken care in our habeas corpus decisions to reconfirm the importance of finality. See, e.g., Teague v. Lane, supra, 489 U.S. at 308-309; Murray v. Carrier, 477 U.S. 478, 487 (1986); Reed v. Ross, supra, 468 U.S. at 10; Engle v. Isaac, 456 U.S. 107,  127 (1982).</w:t>
      </w:r>
    </w:p>
    <w:p w:rsidR="00A31137" w:rsidRPr="00A31137" w:rsidRDefault="00A31137" w:rsidP="00A31137">
      <w:r w:rsidRPr="00A31137">
        <w:t>1991, McCleskey v. Zant, 499 U.S. 491</w:t>
      </w:r>
    </w:p>
    <w:p w:rsidR="00A31137" w:rsidRPr="00A31137" w:rsidRDefault="00A31137" w:rsidP="00A31137">
      <w:r w:rsidRPr="00A31137">
        <w:t>Finality has special importance in the context of a federal attack on a state conviction. Murray v. Carrier, supra, 477 U.S. at 487; Engle v. Isaac, supra, 456 U.S. at  128. Reexamination of state convictions on federal habeas "frustrate[s]…'both the States' sovereign power to punish offenders and their good faith attempts to honor constitutional rights.'" Murray v. Carrier, supra, 477 U.S. at 487 (quoting Engle, supra, 456 U.S. at  128). Our federal system recognizes the independent power of a State to articulate societal norms through criminal law; but the power of a State to pass laws means little if the State cannot enforce them.</w:t>
      </w:r>
    </w:p>
    <w:p w:rsidR="00A31137" w:rsidRPr="00A31137" w:rsidRDefault="00A31137" w:rsidP="00A31137">
      <w:r w:rsidRPr="00A31137">
        <w:t>1991, McCleskey v. Zant, 499 U.S. 491</w:t>
      </w:r>
    </w:p>
    <w:p w:rsidR="00A31137" w:rsidRPr="00A31137" w:rsidRDefault="00A31137" w:rsidP="00A31137">
      <w:r w:rsidRPr="00A31137">
        <w:t>Habeas review extracts further costs. Federal collateral litigation places a heavy burden on scarce federal judicial resources, and threatens the capacity of the system to resolve primary disputes. Schneckloth v. Bustamonte, 412 U.S. 218,  260 (1973) (Powell, J., concurring). Finally, habeas corpus review may give litigants incentives to withhold claims for manipulative purposes and may establish disincentives to [499 U.S. 492] present claims when evidence is fresh. Reed v. Ross, supra, 468 U.S. at 13; Wainwright v. Sykes, 433 U.S. at  89.</w:t>
      </w:r>
    </w:p>
    <w:p w:rsidR="00A31137" w:rsidRPr="00A31137" w:rsidRDefault="00A31137" w:rsidP="00A31137">
      <w:r w:rsidRPr="00A31137">
        <w:t>1991, McCleskey v. Zant, 499 U.S. 492</w:t>
      </w:r>
    </w:p>
    <w:p w:rsidR="00A31137" w:rsidRPr="00A31137" w:rsidRDefault="00A31137" w:rsidP="00A31137">
      <w:r w:rsidRPr="00A31137">
        <w:t>Far more severe are the disruptions when a claim is presented for the first time in a second or subsequent federal habeas petition. If "[c]ollateral review of a conviction extends the ordeal of trial for both society and the accused," Engle v. Isaac, supra, 456 U.S. at 126-127, the ordeal worsens during subsequent collateral proceedings. Perpetual disrespect for the finality of convictions disparages the entire criminal justice system.</w:t>
      </w:r>
    </w:p>
    <w:p w:rsidR="00A31137" w:rsidRPr="00A31137" w:rsidRDefault="00A31137" w:rsidP="00A31137">
      <w:r w:rsidRPr="00A31137">
        <w:t>1991, McCleskey v. Zant, 499 U.S. 492</w:t>
      </w:r>
    </w:p>
    <w:p w:rsidR="00A31137" w:rsidRPr="00A31137" w:rsidRDefault="00A31137" w:rsidP="00A31137">
      <w:r w:rsidRPr="00A31137">
        <w:t>A procedural system which permits an endless repetition of inquiry into facts and law in a vain search for ultimate certitude implies a lack of confidence about the possibilities of justice that cannot but war with the underlying substantive commands…. There comes a point where a procedural system which leaves matters perpetually open no longer reflects humane concern, but merely anxiety and a desire for immobility.</w:t>
      </w:r>
    </w:p>
    <w:p w:rsidR="00A31137" w:rsidRPr="00A31137" w:rsidRDefault="00A31137" w:rsidP="00A31137">
      <w:r w:rsidRPr="00A31137">
        <w:t>1991, McCleskey v. Zant, 499 U.S. 492</w:t>
      </w:r>
    </w:p>
    <w:p w:rsidR="00A31137" w:rsidRPr="00A31137" w:rsidRDefault="00A31137" w:rsidP="00A31137">
      <w:r w:rsidRPr="00A31137">
        <w:t>Bator, 76 Harv.L.Rev. at 452-453. If reexamination of a conviction in the first round of federal habeas stretches resources, examination of new claims raised in a second or subsequent petition spreads them thinner still. These later petitions deplete the resources needed for federal litigants in the first instance, including litigants commencing their first federal habeas action. The phenomenon calls to mind Justice Jackson's admonition that "[i]t must prejudice the occasional meritorious application to be buried in a flood of worthless ones." Brown v. Allen, 344 U.S. at  537 (Jackson, J., concurring in result). And if reexamination of convictions in the first round of habeas offends federalism and comity, the offense increases when a State must defend its conviction in a second or subsequent habeas proceeding on grounds not even raised in the first petition.</w:t>
      </w:r>
    </w:p>
    <w:p w:rsidR="00A31137" w:rsidRPr="00A31137" w:rsidRDefault="00A31137" w:rsidP="00A31137">
      <w:r w:rsidRPr="00A31137">
        <w:t>1991, McCleskey v. Zant, 499 U.S. 492</w:t>
      </w:r>
    </w:p>
    <w:p w:rsidR="00A31137" w:rsidRPr="00A31137" w:rsidRDefault="00A31137" w:rsidP="00A31137">
      <w:r w:rsidRPr="00A31137">
        <w:t>The federal writ of habeas corpus overrides all these considerations, essential as they are to the rule of law, when a petitioner raises a meritorious constitutional claim in a [499 U.S. 493] proper manner in a habeas petition. Our procedural default jurisprudence and abuse of the writ jurisprudence help define this dimension of procedural regularity. Both doctrines impose on petitioners a burden of reasonable compliance with procedures designed to discourage baseless claims and to keep the system open for valid ones; both recognize the law's interest in finality; and both invoke equitable principles to define the court's discretion to excuse pleading and procedural requirements for petitioners who could not comply with them in the exercise of reasonable care and diligence. It is true that a habeas court's concern to honor state procedural default rules rests in part on respect for the integrity of procedures "employed by a coordinate jurisdiction within the federal system," Wainwright v. Sykes, supra, 433 U.S. at  88, and that such respect is not implicated when a petitioner defaults a claim by failing to raise it in the first round of federal habeas review. Nonetheless, the doctrines of procedural default and abuse of the writ are both designed to lessen the injury to a State that results through reexamination of a state conviction on a ground that the State did not have the opportunity to address at a prior, appropriate time; and both doctrines seek to vindicate the State's interest in the finality of its criminal judgments.</w:t>
      </w:r>
    </w:p>
    <w:p w:rsidR="00A31137" w:rsidRPr="00A31137" w:rsidRDefault="00A31137" w:rsidP="00A31137">
      <w:r w:rsidRPr="00A31137">
        <w:t>1991, McCleskey v. Zant, 499 U.S. 493</w:t>
      </w:r>
    </w:p>
    <w:p w:rsidR="00A31137" w:rsidRPr="00A31137" w:rsidRDefault="00A31137" w:rsidP="00A31137">
      <w:r w:rsidRPr="00A31137">
        <w:t>We conclude from the unity of structure and purpose in the jurisprudence of state procedural defaults and abuse of the writ that the standard for excusing a failure to raise a claim at the appropriate time should be the same in both contexts. We have held that a procedural default will be excused upon a showing of cause and prejudice. Wainwright v. Sykes, supra. We now hold that the same standard applies to determine if there has been an abuse of the writ through inexcusable neglect.</w:t>
      </w:r>
    </w:p>
    <w:p w:rsidR="00A31137" w:rsidRPr="00A31137" w:rsidRDefault="00A31137" w:rsidP="00A31137">
      <w:r w:rsidRPr="00A31137">
        <w:t>1991, McCleskey v. Zant, 499 U.S. 493</w:t>
      </w:r>
    </w:p>
    <w:p w:rsidR="00A31137" w:rsidRPr="00A31137" w:rsidRDefault="00A31137" w:rsidP="00A31137">
      <w:r w:rsidRPr="00A31137">
        <w:t>In procedural default cases, the cause standard requires the petitioner to show that "some objective factor external to the defense impeded counsel's efforts" to raise the claim in state court. Murray v. Carrier, 477 U.S. at 488. Objective [499 U.S. 494] factors that constitute cause include "'interference by officials'" that makes compliance with the state's procedural rule impracticable, and "a showing that the factual or legal basis for a claim was not reasonably available to counsel." Ibid. In addition, constitutionally "ineffective assistance of counsel…is cause." Ibid. Attorney error short of ineffective assistance of counsel, however, does not constitute cause, and will not excuse a procedural default. Id. at 486-488. Once the petitioner has established cause, he must show "'actual prejudice' resulting from the errors of which he complains." United States v. Frady, 456 U.S. 152,  168 (1982).</w:t>
      </w:r>
    </w:p>
    <w:p w:rsidR="00A31137" w:rsidRPr="00A31137" w:rsidRDefault="00A31137" w:rsidP="00A31137">
      <w:r w:rsidRPr="00A31137">
        <w:t>1991, McCleskey v. Zant, 499 U.S. 494</w:t>
      </w:r>
    </w:p>
    <w:p w:rsidR="00A31137" w:rsidRPr="00A31137" w:rsidRDefault="00A31137" w:rsidP="00A31137">
      <w:r w:rsidRPr="00A31137">
        <w:t>Federal courts retain the authority to issue the writ of habeas corpus in a further, narrow class of cases despite a petitioner's failure to show cause for a procedural default. These are extraordinary instances when a constitutional violation probably has caused the conviction of one innocent of the crime. We have described this class of cases as implicating a fundamental miscarriage of justice. Murray v. Carrier, supra, 477 U.S. at 485.</w:t>
      </w:r>
    </w:p>
    <w:p w:rsidR="00A31137" w:rsidRPr="00A31137" w:rsidRDefault="00A31137" w:rsidP="00A31137">
      <w:r w:rsidRPr="00A31137">
        <w:t>1991, McCleskey v. Zant, 499 U.S. 494</w:t>
      </w:r>
    </w:p>
    <w:p w:rsidR="00A31137" w:rsidRPr="00A31137" w:rsidRDefault="00A31137" w:rsidP="00A31137">
      <w:r w:rsidRPr="00A31137">
        <w:t>The cause and prejudice analysis we have adopted for cases of procedural default applies to an abuse of the writ inquiry in the following manner. When a prisoner files a second or subsequent application, the government bears the burden of pleading abuse of the writ. The government satisfies this burden if, with clarity and particularity, it notes petitioner's prior writ history, identifies the claims that appear for the first time, and alleges that petitioner has abused the writ. The burden to disprove abuse then becomes petitioner's. To excuse his failure to raise the claim earlier, he must show cause for failing to raise it and prejudice therefrom as those concepts have been defined in our procedural default decisions. The petitioner's opportunity to meet the burden of cause and prejudice will not include an evidentiary hearing if the district court determines as a matter of law that petitioner cannot satisfy the standard. If petitioner cannot show cause, the failure to raise the claim in an earlier petition may [499 U.S. 495] nonetheless be excused if he or she can show that a fundamental miscarriage of justice would result from a failure to entertain the claim. Application of the cause and prejudice standard in the abuse of the writ context does not mitigate the force of Teague v. Lane, supra, which prohibits, with certain exceptions, the retroactive application of new law to claims raised in federal habeas. Nor does it imply that there is a constitutional right to counsel in federal habeas corpus. See Pennsylvania v. Finley, 481 U.S. 551, 555 (1987) ("the right to appointed counsel extends to the first appeal of right, and no further").</w:t>
      </w:r>
    </w:p>
    <w:p w:rsidR="00A31137" w:rsidRPr="00A31137" w:rsidRDefault="00A31137" w:rsidP="00A31137">
      <w:r w:rsidRPr="00A31137">
        <w:t>1991, McCleskey v. Zant, 499 U.S. 495</w:t>
      </w:r>
    </w:p>
    <w:p w:rsidR="00A31137" w:rsidRPr="00A31137" w:rsidRDefault="00A31137" w:rsidP="00A31137">
      <w:r w:rsidRPr="00A31137">
        <w:t xml:space="preserve">Although the cause and prejudice standard differs from some of the language in Price v. Johnston, 334 U.S. 266 (1948), it is consistent with Cuddy, Salinger, Wong Doo, and Sanders, as well as our modern abuse of the writ decisions, including Antone, Woodard, and Delo. In addition, the exception to cause for fundamental miscarriages of justice gives meaningful content to the otherwise unexplained "ends of justice" inquiry mandated by Sanders. Sanders drew the phrase "ends of justice" from the 1948 version of § 2244. 28 U.S.C. § 2244 (1964 ed.) (judge need not entertain subsequent application if he is satisfied that "the ends of justice will not be served by such inquiry"). Sanders v. United States, 373 U.S. at 15-17. Although the 1966 revision to the habeas statute eliminated any reference to an "ends of justice" inquiry, a plurality of the Court in Kuhlmann v. Wilson, 477 U.S. at 454, held that this inquiry remained appropriate, and required federal courts to entertain successive petitions when a petitioner supplements a constitutional claim with a "colorable showing of factual innocence." The miscarriage of justice exception to cause serves as "an additional safeguard against compelling an innocent man to suffer an unconstitutional loss of liberty," Stone v. Powell, 428 U.S. at 492-493, n. 31, guaranteeing that the ends of justice will be served in full. [499 U.S. 496] </w:t>
      </w:r>
    </w:p>
    <w:p w:rsidR="00A31137" w:rsidRPr="00A31137" w:rsidRDefault="00A31137" w:rsidP="00A31137">
      <w:r w:rsidRPr="00A31137">
        <w:t>1991, McCleskey v. Zant, 499 U.S. 496</w:t>
      </w:r>
    </w:p>
    <w:p w:rsidR="00A31137" w:rsidRPr="00A31137" w:rsidRDefault="00A31137" w:rsidP="00A31137">
      <w:r w:rsidRPr="00A31137">
        <w:t>Considerations of certainty and stability in our discharge of the judicial function support adoption of the cause and prejudice standard in the abuse of the writ context. Well-defined in the case law, the standard will be familiar to federal courts. Its application clarifies the imprecise contours of the term "inexcusable neglect." The standard is an objective one, and can be applied in a manner that comports with the threshold nature of the abuse of the writ inquiry. See Price v. Johnston, 334 U.S. at  287 (abuse of the writ is "preliminary as well as collateral to a decision as to the sufficiency or merits of the allegation itself"). Finally, the standard provides "a sound and workable means of channeling the discretion of federal habeas courts." Murray v. Carrier, 477 U.S. at 497.</w:t>
      </w:r>
    </w:p>
    <w:p w:rsidR="00A31137" w:rsidRPr="00A31137" w:rsidRDefault="00A31137" w:rsidP="00A31137">
      <w:r w:rsidRPr="00A31137">
        <w:t>1991, McCleskey v. Zant, 499 U.S. 496</w:t>
      </w:r>
    </w:p>
    <w:p w:rsidR="00A31137" w:rsidRPr="00A31137" w:rsidRDefault="00A31137" w:rsidP="00A31137">
      <w:r w:rsidRPr="00A31137">
        <w:t>[I]t is important, in order to preclude individualized enforcement of the Constitution in different parts of the Nation, to lay down as specifically as the nature of the problem permits the standards or directions that should govern the District Judges in the disposition of applications for habeas corpus by prisoners under sentence of State Courts.</w:t>
      </w:r>
    </w:p>
    <w:p w:rsidR="00A31137" w:rsidRPr="00A31137" w:rsidRDefault="00A31137" w:rsidP="00A31137">
      <w:r w:rsidRPr="00A31137">
        <w:t>1991, McCleskey v. Zant, 499 U.S. 496</w:t>
      </w:r>
    </w:p>
    <w:p w:rsidR="00A31137" w:rsidRPr="00A31137" w:rsidRDefault="00A31137" w:rsidP="00A31137">
      <w:r w:rsidRPr="00A31137">
        <w:t>Brown v. Allen, 344 U.S. at 501-502 (opinion of Frankfurter, J.).</w:t>
      </w:r>
    </w:p>
    <w:p w:rsidR="00A31137" w:rsidRPr="00A31137" w:rsidRDefault="00A31137" w:rsidP="00A31137">
      <w:r w:rsidRPr="00A31137">
        <w:t>1991, McCleskey v. Zant, 499 U.S. 496</w:t>
      </w:r>
    </w:p>
    <w:p w:rsidR="00A31137" w:rsidRPr="00A31137" w:rsidRDefault="00A31137" w:rsidP="00A31137">
      <w:r w:rsidRPr="00A31137">
        <w:t>The cause and prejudice standard should curtail the abusive petitions that in recent years have threatened to undermine the integrity of the habeas corpus process. "Federal courts should not continue to tolerate—even in capital cases—this type of abuse of the writ of habeas corpus." Woodard v. Hutchins, 464 U.S. at 380. The writ of habeas corpus is one of the centerpieces of our liberties.</w:t>
      </w:r>
    </w:p>
    <w:p w:rsidR="00A31137" w:rsidRPr="00A31137" w:rsidRDefault="00A31137" w:rsidP="00A31137">
      <w:r w:rsidRPr="00A31137">
        <w:t>1991, McCleskey v. Zant, 499 U.S. 496</w:t>
      </w:r>
    </w:p>
    <w:p w:rsidR="00A31137" w:rsidRPr="00A31137" w:rsidRDefault="00A31137" w:rsidP="00A31137">
      <w:r w:rsidRPr="00A31137">
        <w:t>But the writ has potentialities for evil as well as for good. Abuse of the writ may undermine the orderly administration of justice, and therefore weaken the forces of authority that are essential for civilization.</w:t>
      </w:r>
    </w:p>
    <w:p w:rsidR="00A31137" w:rsidRPr="00A31137" w:rsidRDefault="00A31137" w:rsidP="00A31137">
      <w:r w:rsidRPr="00A31137">
        <w:t>1991, McCleskey v. Zant, 499 U.S. 496</w:t>
      </w:r>
    </w:p>
    <w:p w:rsidR="00A31137" w:rsidRPr="00A31137" w:rsidRDefault="00A31137" w:rsidP="00A31137">
      <w:r w:rsidRPr="00A31137">
        <w:t xml:space="preserve">Brown v. Allen, supra, 344 U.S. at  512 (opinion of Frankfurter, J.). Adoption of the cause and prejudice standard acknowledges the historic purpose and function of the writ in our constitutional system, and, by preventing its abuse, assures its continued efficacy. [499 U.S. 497] </w:t>
      </w:r>
    </w:p>
    <w:p w:rsidR="00A31137" w:rsidRPr="00A31137" w:rsidRDefault="00A31137" w:rsidP="00A31137">
      <w:r w:rsidRPr="00A31137">
        <w:t>1991, McCleskey v. Zant, 499 U.S. 497</w:t>
      </w:r>
    </w:p>
    <w:p w:rsidR="00A31137" w:rsidRPr="00A31137" w:rsidRDefault="00A31137" w:rsidP="00A31137">
      <w:r w:rsidRPr="00A31137">
        <w:t>We now apply these principles to the case before us.</w:t>
      </w:r>
    </w:p>
    <w:p w:rsidR="00A31137" w:rsidRPr="00A31137" w:rsidRDefault="00A31137" w:rsidP="00A31137">
      <w:r w:rsidRPr="00A31137">
        <w:t>IV</w:t>
      </w:r>
    </w:p>
    <w:p w:rsidR="00A31137" w:rsidRPr="00A31137" w:rsidRDefault="00A31137" w:rsidP="00A31137">
      <w:r w:rsidRPr="00A31137">
        <w:t>1991, McCleskey v. Zant, 499 U.S. 497</w:t>
      </w:r>
    </w:p>
    <w:p w:rsidR="00A31137" w:rsidRPr="00A31137" w:rsidRDefault="00A31137" w:rsidP="00A31137">
      <w:r w:rsidRPr="00A31137">
        <w:t>McCleskey based the Massiah claim in his second federal petition on the 21-page Evans document alone. Worthy's identity did not come to light until the hearing. The District Court found, based on the document's revelation of the tactics used by Evans in engaging McCleskey in conversation (such as his pretending to be Ben Wright's uncle and his claim that he was supposed to participate in the robbery), that the document established an ab initio relationship between Evans and the authorities. It relied on the finding and on Worthy's later testimony to conclude that the State committed a Massiah violation.</w:t>
      </w:r>
    </w:p>
    <w:p w:rsidR="00A31137" w:rsidRPr="00A31137" w:rsidRDefault="00A31137" w:rsidP="00A31137">
      <w:r w:rsidRPr="00A31137">
        <w:t>1991, McCleskey v. Zant, 499 U.S. 497</w:t>
      </w:r>
    </w:p>
    <w:p w:rsidR="00A31137" w:rsidRPr="00A31137" w:rsidRDefault="00A31137" w:rsidP="00A31137">
      <w:r w:rsidRPr="00A31137">
        <w:t>This ruling on the merits cannot come before us or any federal court if it is premised on a claim that constitutes an abuse of the writ. We must consider, therefore, the preliminary question whether McCleskey had cause for failing to raise the Massiah claim in his first federal petition. The District Court found that neither the 21-page document nor Worthy were known or discoverable before filing the first federal petition. Relying on these findings, McCleskey argues that his failure to raise the Massiah claim in the first petition should be excused. For reasons set forth below, we disagree.</w:t>
      </w:r>
    </w:p>
    <w:p w:rsidR="00A31137" w:rsidRPr="00A31137" w:rsidRDefault="00A31137" w:rsidP="00A31137">
      <w:r w:rsidRPr="00A31137">
        <w:t>1991, McCleskey v. Zant, 499 U.S. 497</w:t>
      </w:r>
    </w:p>
    <w:p w:rsidR="00A31137" w:rsidRPr="00A31137" w:rsidRDefault="00A31137" w:rsidP="00A31137">
      <w:r w:rsidRPr="00A31137">
        <w:t>That McCleskey did not possess or could not reasonably have obtained certain evidence fails to establish cause if other known or discoverable evidence could have supported the claim in any event. "[C]ause…requires a showing of some external impediment preventing counsel from constructing or raising a claim." Murray v. Carrier, supra, 477 U.S. at 492 (emphasis added). For cause to exist, the external impediment, whether it be government interference or the reasonable unavailability of the factual basis for the claim, must have prevented petitioner from raising the claim. See id. at 488 (cause if "interference by officials…made compliance [499 U.S. 498] impracticable"); Amadeo v. Zant, 486 U.S. 214, 222 (1988) (cause if unavailable evidence "was the reason" for default). Abuse of the writ doctrine examines petitioner's conduct: the question is whether petitioner possessed, or by reasonable means could have obtained, a sufficient basis to allege a claim in the first petition and pursue the matter through the habeas process, see 28 U.S.C. § 2254 Rule 6 (Discovery); Rule 7 (Expansion of Record); Rule 8 (Evidentiary Hearing). The requirement of cause in the abuse of the writ context is based on the principle that petitioner must conduct a reasonable and diligent investigation aimed at including all relevant claims and grounds for relief in the first federal habeas petition. If what petitioner knows or could discover upon reasonable investigation supports a claim for relief in a federal habeas petition, what he does not know is irrelevant. Omission of the claim will not be excused merely because evidence discovered later might also have supported or strengthened the claim.</w:t>
      </w:r>
    </w:p>
    <w:p w:rsidR="00A31137" w:rsidRPr="00A31137" w:rsidRDefault="00A31137" w:rsidP="00A31137">
      <w:r w:rsidRPr="00A31137">
        <w:t>1991, McCleskey v. Zant, 499 U.S. 498</w:t>
      </w:r>
    </w:p>
    <w:p w:rsidR="00A31137" w:rsidRPr="00A31137" w:rsidRDefault="00A31137" w:rsidP="00A31137">
      <w:r w:rsidRPr="00A31137">
        <w:t>In applying these principles, we turn first to the 21-page signed statement. It is essential at the outset to distinguish between two issues: (1) whether petitioner knew about or could have discovered the 21-page document; and (2) whether he knew about or could have discovered the evidence the document recounted, namely the jail-cell conversations. The District Court's error lies in its conflation of the two inquiries, an error petitioner would have us perpetuate here.</w:t>
      </w:r>
    </w:p>
    <w:p w:rsidR="00A31137" w:rsidRPr="00A31137" w:rsidRDefault="00A31137" w:rsidP="00A31137">
      <w:r w:rsidRPr="00A31137">
        <w:t>1991, McCleskey v. Zant, 499 U.S. 498</w:t>
      </w:r>
    </w:p>
    <w:p w:rsidR="00A31137" w:rsidRPr="00A31137" w:rsidRDefault="00A31137" w:rsidP="00A31137">
      <w:r w:rsidRPr="00A31137">
        <w:t>The 21-page document unavailable to McCleskey at the time of the first petition does not establish that McCleskey had cause for failing to raise the Massiah claim at the outset.* Based on testimony and questioning at trial, McCleskey [499 U.S. 499] knew that he had confessed the murder during jail cell conversations with Evans, knew that Evans claimed to be a relative of Ben Wright during the conversations, and knew that Evans told the police about the conversations. Knowledge of these facts alone would put McCleskey on notice to pursue the Massiah claim in his first federal habeas petition, as he had done in the first state habeas petition.</w:t>
      </w:r>
    </w:p>
    <w:p w:rsidR="00A31137" w:rsidRPr="00A31137" w:rsidRDefault="00A31137" w:rsidP="00A31137">
      <w:r w:rsidRPr="00A31137">
        <w:t>1991, McCleskey v. Zant, 499 U.S. 499</w:t>
      </w:r>
    </w:p>
    <w:p w:rsidR="00A31137" w:rsidRPr="00A31137" w:rsidRDefault="00A31137" w:rsidP="00A31137">
      <w:r w:rsidRPr="00A31137">
        <w:t>But there was more. The District Court's finding that the 21-page document established an ab initio relationship between Evans and the authorities rested in its entirety on conversations in which McCleskey himself participated. [499 U.S. 500] Though at trial McCleskey denied the inculpatory conversations, his current arguments presuppose them. Quite apart from the inequity in McCleskey's reliance on that which he earlier denied under oath, the more fundamental point remains that, because McCleskey participated in the conversations reported by Evans, he knew everything in the document that the District Court relied upon to establish the ab initio connection between Evans and the police. McCleskey has had at least constructive knowledge all along of the facts he now claims to have learned only from the 21-page document. The unavailability of the document did not prevent McCleskey from raising the Massiah claim in the first federal petition, and is not cause for his failure to do so. And of course, McCleskey cannot contend that his false representations at trial constitute cause for the omission of a claim from the first federal petition.</w:t>
      </w:r>
    </w:p>
    <w:p w:rsidR="00A31137" w:rsidRPr="00A31137" w:rsidRDefault="00A31137" w:rsidP="00A31137">
      <w:r w:rsidRPr="00A31137">
        <w:t>1991, McCleskey v. Zant, 499 U.S. 500</w:t>
      </w:r>
    </w:p>
    <w:p w:rsidR="00A31137" w:rsidRPr="00A31137" w:rsidRDefault="00A31137" w:rsidP="00A31137">
      <w:r w:rsidRPr="00A31137">
        <w:t>The District Court's determination that jailer Worthy's identity and testimony could not have been known prior to the first federal petition does not alter our conclusion. It must be remembered that the 21-page statement was the only new evidence McCleskey had when he filed the Massiah claim in the second federal petition in 1987. Under McCleskey's own theory, nothing was known about Worthy even then. If McCleskey did not need to know about Worthy and his testimony to press the Massiah claim in the second petition, neither did he need to know about him to assert it in the first. Ignorance about Worthy did not prevent McCleskey from raising the Massiah claim in the first federal petition, and will not excuse his failure to do so.</w:t>
      </w:r>
    </w:p>
    <w:p w:rsidR="00A31137" w:rsidRPr="00A31137" w:rsidRDefault="00A31137" w:rsidP="00A31137">
      <w:r w:rsidRPr="00A31137">
        <w:t>1991, McCleskey v. Zant, 499 U.S. 500</w:t>
      </w:r>
    </w:p>
    <w:p w:rsidR="00A31137" w:rsidRPr="00A31137" w:rsidRDefault="00A31137" w:rsidP="00A31137">
      <w:r w:rsidRPr="00A31137">
        <w:t>Though this reasoning suffices to show the irrelevance of the District Court's finding concerning Worthy, the whole question illustrates the rationale for requiring a prompt investigation and the full pursuit of habeas claims in the first petition. At the time of the first federal petition, written logs and records with prison staff names and assignments existed. By the time of the second federal petition, officials had [499 U.S. 501] destroyed the records pursuant to normal retention schedules. Worthy's inconsistent and confused testimony in this case demonstrates the obvious proposition that factfinding processes are impaired when delayed. Had McCleskey presented this claim in the first federal habeas proceeding, when official records were available, he could have identified the relevant officers and cell assignment sheets. The critical facts for the Massiah claim, including the reason for Evans' placement in the cell adjacent to McCleskey's and the precise conversation that each officer had with Evans before he was put there, likely would have been reconstructed with greater precision than now can be achieved. By failing to raise the Massiah claim in 1981, McCleskey foreclosed the procedures best suited for disclosure of the facts needed for a reliable determination.</w:t>
      </w:r>
    </w:p>
    <w:p w:rsidR="00A31137" w:rsidRPr="00A31137" w:rsidRDefault="00A31137" w:rsidP="00A31137">
      <w:r w:rsidRPr="00A31137">
        <w:t>1991, McCleskey v. Zant, 499 U.S. 501</w:t>
      </w:r>
    </w:p>
    <w:p w:rsidR="00A31137" w:rsidRPr="00A31137" w:rsidRDefault="00A31137" w:rsidP="00A31137">
      <w:r w:rsidRPr="00A31137">
        <w:t>McCleskey nonetheless seeks to hold the State responsible for his omission of the Massiah claim in the first petition. His current strategy is to allege that the State engaged in wrongful conduct in withholding the 21-page document. This argument need not detain us long. When all is said and done, the issue is not presented in the case, despite all the emphasis upon it in McCleskey's brief and oral argument. The Atlanta police turned over the 21-page document upon request in 1987. The District Court found no misrepresentation or wrongful conduct by the State in failing to hand over the document earlier, and our discussion of the evidence in the record concerning the existence of the statement, see n., supra, as well as the fact that at least four courts have considered and rejected petitioner's Brady claim, belies McCleskey's characterization of the case. And as we have taken care to explain, the document is not critical to McCleskey's notice of a Massiah claim anyway.</w:t>
      </w:r>
    </w:p>
    <w:p w:rsidR="00A31137" w:rsidRPr="00A31137" w:rsidRDefault="00A31137" w:rsidP="00A31137">
      <w:r w:rsidRPr="00A31137">
        <w:t>1991, McCleskey v. Zant, 499 U.S. 501</w:t>
      </w:r>
    </w:p>
    <w:p w:rsidR="00A31137" w:rsidRPr="00A31137" w:rsidRDefault="00A31137" w:rsidP="00A31137">
      <w:r w:rsidRPr="00A31137">
        <w:t>Petitioner's reliance on the procedural default discussion in Amadeo v. Zant, 486 U.S. 214 (1988), is misplaced. In Amadeo, the Court mentioned that government concealment of evidence could be cause for a procedural default if it "was [499 U.S. 502] the reason for the failure of a petitioner's lawyers to raise the jury challenge in the trial court." Id. at 222. This case differs from Amadeo in two crucial respects. First, there is no finding that the State concealed evidence. And second, even if the State intentionally concealed the 21-page document, the concealment would not establish cause here because, in light of McCleskey's knowledge of the information in the document, any initial concealment would not have prevented him from raising the claim in the first federal petition.</w:t>
      </w:r>
    </w:p>
    <w:p w:rsidR="00A31137" w:rsidRPr="00A31137" w:rsidRDefault="00A31137" w:rsidP="00A31137">
      <w:r w:rsidRPr="00A31137">
        <w:t>1991, McCleskey v. Zant, 499 U.S. 502</w:t>
      </w:r>
    </w:p>
    <w:p w:rsidR="00A31137" w:rsidRPr="00A31137" w:rsidRDefault="00A31137" w:rsidP="00A31137">
      <w:r w:rsidRPr="00A31137">
        <w:t>As McCleskey lacks cause for failing to raise the Massiah claim in the first federal petition, we need not consider whether he would be prejudiced by his inability to raise the alleged Massiah violation at this late date. See Murray v. Carrier, 477 U.S. at 494 (rejecting proposition that showing of prejudice permits relief in the absence of cause).</w:t>
      </w:r>
    </w:p>
    <w:p w:rsidR="00A31137" w:rsidRPr="00A31137" w:rsidRDefault="00A31137" w:rsidP="00A31137">
      <w:r w:rsidRPr="00A31137">
        <w:t>1991, McCleskey v. Zant, 499 U.S. 502</w:t>
      </w:r>
    </w:p>
    <w:p w:rsidR="00A31137" w:rsidRPr="00A31137" w:rsidRDefault="00A31137" w:rsidP="00A31137">
      <w:r w:rsidRPr="00A31137">
        <w:t>We do address whether the Court should nonetheless exercise its equitable discretion to correct a miscarriage of justice. That narrow exception is of no avail to McCleskey. The Massiah violation, if it be one, resulted in the admission at trial of truthful inculpatory evidence which did not affect the reliability of the guilt determination. The very statement McCleskey now seeks to embrace confirms his guilt. As the District Court observed:</w:t>
      </w:r>
    </w:p>
    <w:p w:rsidR="00A31137" w:rsidRPr="00A31137" w:rsidRDefault="00A31137" w:rsidP="00A31137">
      <w:r w:rsidRPr="00A31137">
        <w:t>1991, McCleskey v. Zant, 499 U.S. 502</w:t>
      </w:r>
    </w:p>
    <w:p w:rsidR="00A31137" w:rsidRPr="00A31137" w:rsidRDefault="00A31137" w:rsidP="00A31137">
      <w:r w:rsidRPr="00A31137">
        <w:t>After having read [the Evans statement], the court has concluded that nobody short of William Faulkner could have contrived that statement, and, as a consequence, finds the testimony of Offie Evans absolutely to be true, and the court states on the record that it entertains absolutely no doubt as to the guilt of Mr. McCleskey.</w:t>
      </w:r>
    </w:p>
    <w:p w:rsidR="00A31137" w:rsidRPr="00A31137" w:rsidRDefault="00A31137" w:rsidP="00A31137">
      <w:r w:rsidRPr="00A31137">
        <w:t>1991, McCleskey v. Zant, 499 U.S. 502</w:t>
      </w:r>
    </w:p>
    <w:p w:rsidR="00A31137" w:rsidRPr="00A31137" w:rsidRDefault="00A31137" w:rsidP="00A31137">
      <w:r w:rsidRPr="00A31137">
        <w:t>4 Tr. 4. We agree with this conclusion. McCleskey cannot demonstrate that the alleged Massiah violation caused the conviction of an innocent person. Murray v. Carrier, supra, 477 U.S. at 496.</w:t>
      </w:r>
    </w:p>
    <w:p w:rsidR="00A31137" w:rsidRPr="00A31137" w:rsidRDefault="00A31137" w:rsidP="00A31137">
      <w:r w:rsidRPr="00A31137">
        <w:t>1991, McCleskey v. Zant, 499 U.S. 502</w:t>
      </w:r>
    </w:p>
    <w:p w:rsidR="00A31137" w:rsidRPr="00A31137" w:rsidRDefault="00A31137" w:rsidP="00A31137">
      <w:r w:rsidRPr="00A31137">
        <w:t>The history of the proceedings in this case, and the burden upon the State in defending against allegations made for the [499 U.S. 503] first time in federal court some 9 years after the trial, reveal the necessity for the abuse of the writ doctrine. The cause and prejudice standard we adopt today leaves ample room for consideration of constitutional errors in a first federal habeas petition and in a later petition under appropriate circumstances. Petitioner has not satisfied this standard for excusing the omission of the Massiah claim from his first petition. The judgment of the Court of Appeals is</w:t>
      </w:r>
    </w:p>
    <w:p w:rsidR="00A31137" w:rsidRPr="00A31137" w:rsidRDefault="00A31137" w:rsidP="00A31137">
      <w:r w:rsidRPr="00A31137">
        <w:t>1991, McCleskey v. Zant, 499 U.S. 503</w:t>
      </w:r>
    </w:p>
    <w:p w:rsidR="00A31137" w:rsidRPr="00A31137" w:rsidRDefault="00A31137" w:rsidP="00A31137">
      <w:r w:rsidRPr="00A31137">
        <w:t>Affirmed.</w:t>
      </w:r>
    </w:p>
    <w:p w:rsidR="00A31137" w:rsidRPr="00A31137" w:rsidRDefault="00A31137" w:rsidP="00A31137">
      <w:r w:rsidRPr="00A31137">
        <w:t>APPENDIX</w:t>
      </w:r>
    </w:p>
    <w:p w:rsidR="00A31137" w:rsidRPr="00A31137" w:rsidRDefault="00A31137" w:rsidP="00A31137">
      <w:r w:rsidRPr="00A31137">
        <w:t>Petitioner's Claims for Relief at Various Stages of the Litigation</w:t>
      </w:r>
    </w:p>
    <w:p w:rsidR="00A31137" w:rsidRPr="00A31137" w:rsidRDefault="00A31137" w:rsidP="00A31137">
      <w:r w:rsidRPr="00A31137">
        <w:t>1991, McCleskey v. Zant, 499 U.S. 503</w:t>
      </w:r>
    </w:p>
    <w:p w:rsidR="00A31137" w:rsidRPr="00A31137" w:rsidRDefault="00A31137" w:rsidP="00A31137">
      <w:r w:rsidRPr="00A31137">
        <w:t>1. Direct Appeal. On direct appeal, McCleskey raised the following claims: (1) the death penalty was administered in a discriminatory fashion because of prosecutorial discretion, (2) the prosecutor conducted an illegal post-indictment lineup, (3) the trial court erred in admitting at trial the statement McCleskey made to the police, (4) the trial court erred in allowing Evans to testify about McCleskey's jail-house confession, (5) the prosecutor failed to disclose certain impeachment evidence; and (6) the trial court erred in admitting evidence of McCleskey's prior criminal acts. McClesky v. State, 245 Ga. 108, 112-114, 263 S.E.2d 146, 149-151 (1980).</w:t>
      </w:r>
    </w:p>
    <w:p w:rsidR="00A31137" w:rsidRPr="00A31137" w:rsidRDefault="00A31137" w:rsidP="00A31137">
      <w:r w:rsidRPr="00A31137">
        <w:t>1991, McCleskey v. Zant, 499 U.S. 503</w:t>
      </w:r>
    </w:p>
    <w:p w:rsidR="00A31137" w:rsidRPr="00A31137" w:rsidRDefault="00A31137" w:rsidP="00A31137">
      <w:r w:rsidRPr="00A31137">
        <w:t>2. First State Habeas Corpus Petition. McCleskey's first state habeas petition alleged the following constitutional violations: (1) the Georgia death penalty is administered arbitrarily, capriciously, and whimsically; (2) Georgia officials imposed McCleskey's capital sentence pursuant to a pattern and practice of discrimination on the basis of race, sex, and poverty; (3) the death penalty lacks theoretical or factual justification and fails to serve any rational interest; (4) McCleskey's death sentence is cruel and unusual punishment in light of all mitigating factors; (5) McCleskey received inadequate notice and opportunity to be heard; (6) the jury did not constitute a fair cross-section of the community; (7) the jury was biased [499 U.S. 504] in favor of the prosecution; (8) the trial court improperly excused two jurors who were opposed to the death penalty; (9) McCleskey's post-arrest statement should have been excluded because it was obtained after an allegedly illegal arrest; (10) the post-arrest statement was extracted involuntarily; (11) the State failed to disclose an "arrangement" with one of its key witnesses, Evans; (12) the State deliberately withheld a statement made by McCleskey to Evans; (13) the trial court erred in failing to grant McCleskey funds to employ experts in aid of his defense; (14) three witnesses for the State witnessed a highly suggestive lineup involving McCleskey prior to trial; (15) the trial court's jury instructions concerning intent impermissibly shifted the burden of persuasion to McCleskey; (16) the prosecution impermissibly referred to the appellate process during the sentencing phase; (17) the trial court improperly admitted evidence of other crimes for which McCleskey had not been convicted; (18) the trial court's instructions concerning evidence of McCleskey's other bad acts was overbroad; (19) the appellate review procedures of Georgia denied McCleskey effective assistance of counsel, a fair hearing, and the basic tools of an adequate defense; (20) the means by which the death penalty is administered inflicts wanton and unnecessary torture; (21) McCleskey was denied effective assistance of counsel in numerous contexts; (22) introduction of statements petitioner made to Evans were elicited in a situation created to induce McCleskey to make incriminating statements; (23) the evidence was insufficient to convict McCleskey of capital murder. Petition, HC No. 4909, 2 Tr., Exh. H.</w:t>
      </w:r>
    </w:p>
    <w:p w:rsidR="00A31137" w:rsidRPr="00A31137" w:rsidRDefault="00A31137" w:rsidP="00A31137">
      <w:r w:rsidRPr="00A31137">
        <w:t>1991, McCleskey v. Zant, 499 U.S. 504</w:t>
      </w:r>
    </w:p>
    <w:p w:rsidR="00A31137" w:rsidRPr="00A31137" w:rsidRDefault="00A31137" w:rsidP="00A31137">
      <w:r w:rsidRPr="00A31137">
        <w:t>3. First Federal Habeas Corpus Petition. McCleskey raised the following claims in his first federal habeas petition: (1) the Georgia death penalty discriminated on the basis of race; (2) the State failed to disclose an "understanding" with Evans; (3) the trial court's instructions to the jury impermissibly shifted the burden to McCleskey; (4) the prosecutor improperly referred to the appellate process at the sentencing [499 U.S. 505] phase; (5) the trial court impermissibly refused to grant McCleskey funds to employ experts in aid of his defense; (6) the trial court's instructions concerning evidence of McCleskey's other bad acts was overbroad; (7) the trial court's instructions gave the jury too much discretion to consider nonstatutory aggravating circumstances; (8) the trial court improperly admitted evidence of other crimes for which McCleskey had not been convicted; (9) three witnesses for the State witnessed a highly suggestive lineup involving McCleskey prior to trial; (10) McCleskey's post-arrest statement should have been excluded because it was extracted involuntarily; (11) the trial court impermissibly excluded two jurors who were opposed to the death penalty; (12) the death penalty lacks theoretical or factual justification and fails to serve any rational interest; (13) the State deliberately withheld a statement made by McCleskey to Evans; (14) the evidence was insufficient to convict McCleskey of capital murder; (15) McCleskey's counsel failed to investigate the State's evidence adequately; (16) McCleskey's counsel failed to raise certain objections or make certain motions at trial; (17) McCleskey's counsel failed to undertake an independent investigation of possible mitigating circumstances prior to trial; and (18) after trial, McCleskey's counsel failed to review and correct the judge's sentence report. McCleskey v. Zant, 580 F.Supp. 338 (N.D.Ga.1984).</w:t>
      </w:r>
    </w:p>
    <w:p w:rsidR="00A31137" w:rsidRPr="00A31137" w:rsidRDefault="00A31137" w:rsidP="00A31137">
      <w:r w:rsidRPr="00A31137">
        <w:t>1991, McCleskey v. Zant, 499 U.S. 505</w:t>
      </w:r>
    </w:p>
    <w:p w:rsidR="00A31137" w:rsidRPr="00A31137" w:rsidRDefault="00A31137" w:rsidP="00A31137">
      <w:r w:rsidRPr="00A31137">
        <w:t xml:space="preserve">4. Second State Habeas Petition. In his second state habeas petition, McCleskey alleged the following claims: (1) the prosecutor systematically excluded blacks from the jury; (2) the State of Georgia imposed the death penalty against McCleskey in a racially discriminatory manner; (3) the State failed to disclose its agreement with Evans; (4) the trial court impermissibly refused to grant McCleskey funds to employ experts in aid of his defense; and (5) the prosecutor improperly referred to the appellate process at the sentencing phase. Petition, 2 Tr., Exh. G. [499 U.S. 506] </w:t>
      </w:r>
    </w:p>
    <w:p w:rsidR="00A31137" w:rsidRPr="00A31137" w:rsidRDefault="00A31137" w:rsidP="00A31137">
      <w:r w:rsidRPr="00A31137">
        <w:t>1991, McCleskey v. Zant, 499 U.S. 506</w:t>
      </w:r>
    </w:p>
    <w:p w:rsidR="00A31137" w:rsidRPr="00A31137" w:rsidRDefault="00A31137" w:rsidP="00A31137">
      <w:r w:rsidRPr="00A31137">
        <w:t>5. Second Federal Habeas Corpus Petition. In his second federal habeas petition, McCleskey alleged the following claims: (1) Evans' testimony concerning his conversation with McCleskey was inadmissible because Evans acted as a state informant in a situation created to induce McCleskey to make incriminating statements; (2) the State failed to correct the misleading testimony of Evans; (3) the State failed to disclose "an arrangement" with Evans; (4) the prosecutor improperly referred to the appellate process at the sentencing phase; and (5) the State systematically excluded blacks from McCleskey's jury; (6) the death penalty was imposed on McCleskey pursuant to a pattern and practice of racial discrimination by Georgia officials against black defendants; and (7) the trial court impermissibly refused to grant McCleskey funds to employ experts in aid of his defense. Federal Habeas Petition, 1 Tr., Exh. 1.</w:t>
      </w:r>
    </w:p>
    <w:p w:rsidR="00A31137" w:rsidRPr="00A31137" w:rsidRDefault="00A31137" w:rsidP="00A31137">
      <w:r w:rsidRPr="00A31137">
        <w:t>MARSHALL, J., dissenting</w:t>
      </w:r>
    </w:p>
    <w:p w:rsidR="00A31137" w:rsidRPr="00A31137" w:rsidRDefault="00A31137" w:rsidP="00A31137">
      <w:r w:rsidRPr="00A31137">
        <w:t>1991, McCleskey v. Zant, 499 U.S. 506</w:t>
      </w:r>
    </w:p>
    <w:p w:rsidR="00A31137" w:rsidRPr="00A31137" w:rsidRDefault="00A31137" w:rsidP="00A31137">
      <w:r w:rsidRPr="00A31137">
        <w:t>JUSTICE MARSHALL, with whom JUSTICE BLACKMUN and JUSTICE STEVENS join, dissenting.</w:t>
      </w:r>
    </w:p>
    <w:p w:rsidR="00A31137" w:rsidRPr="00A31137" w:rsidRDefault="00A31137" w:rsidP="00A31137">
      <w:r w:rsidRPr="00A31137">
        <w:t>1991, McCleskey v. Zant, 499 U.S. 506</w:t>
      </w:r>
    </w:p>
    <w:p w:rsidR="00A31137" w:rsidRPr="00A31137" w:rsidRDefault="00A31137" w:rsidP="00A31137">
      <w:r w:rsidRPr="00A31137">
        <w:t>Today's decision departs drastically from the norms that inform the proper judicial function. Without even the most casual admission that it is discarding longstanding legal principles, the Court radically redefines the content of the "abuse of the writ" doctrine, substituting the strict liability "cause and prejudice" standard of Wainwright v. Sykes, 433 U.S. 72 (1977), for the good faith "deliberate abandonment" standard of Sanders v. United States, 373 U.S. 1 (1963). This doctrinal innovation, which repudiates a line of judicial decisions codified by Congress in the governing statute and procedural rules, was by no means foreseeable when the petitioner in this case filed his first federal habeas application. Indeed, the new rule announced and applied today was not even requested by respondent at any point in this litigation. Finally, rather than remand this case for reconsideration in light of its new standard, the majority performs an independent reconstruction of the record, disregarding the factual findings of the District Court and applying its new rule in a [499 U.S. 507] manner that encourages state officials to conceal evidence that would likely prompt a petitioner to raise a particular claim on habeas. Because I cannot acquiesce in this unjustifiable assault on the Great Writ, I dissent.</w:t>
      </w:r>
    </w:p>
    <w:p w:rsidR="00A31137" w:rsidRPr="00A31137" w:rsidRDefault="00A31137" w:rsidP="00A31137">
      <w:r w:rsidRPr="00A31137">
        <w:t>I</w:t>
      </w:r>
    </w:p>
    <w:p w:rsidR="00A31137" w:rsidRPr="00A31137" w:rsidRDefault="00A31137" w:rsidP="00A31137">
      <w:r w:rsidRPr="00A31137">
        <w:t>1991, McCleskey v. Zant, 499 U.S. 507</w:t>
      </w:r>
    </w:p>
    <w:p w:rsidR="00A31137" w:rsidRPr="00A31137" w:rsidRDefault="00A31137" w:rsidP="00A31137">
      <w:r w:rsidRPr="00A31137">
        <w:t>Disclaiming innovation, the majority depicts the "cause and prejudice" test as merely a clarification of existing law. Our decisions, the majority explains, have left "[m]uch confusion…on the standard for determining when a petitioner abuses the writ." Ante at  477. But amidst this "confusion," the majority purports to discern a trend toward the cause and prejudice standard, and concludes that this is the rule that best comports with "our habeas corpus precedents," ante at  490; see ante at  495, and with the "complex and evolving body of equitable principles" that have traditionally defined the abuse of the writ doctrine, id. at  489. This attempt to gloss over the break between today's decision and established precedents is completely unconvincing.</w:t>
      </w:r>
    </w:p>
    <w:p w:rsidR="00A31137" w:rsidRPr="00A31137" w:rsidRDefault="00A31137" w:rsidP="00A31137">
      <w:r w:rsidRPr="00A31137">
        <w:t>1991, McCleskey v. Zant, 499 U.S. 507</w:t>
      </w:r>
    </w:p>
    <w:p w:rsidR="00A31137" w:rsidRPr="00A31137" w:rsidRDefault="00A31137" w:rsidP="00A31137">
      <w:r w:rsidRPr="00A31137">
        <w:t>Drawing on the practice at common law in England, this Court long ago established that the power of a federal court to entertain a second or successive petition should turn not on "the inflexible doctrine of res judicata," but rather on the exercise of "sound judicial discretion guided and controlled by a consideration of whatever has a rational bearing on the subject." Wong Doo v. United States, 265 U.S. 239, 240-241 (1924); accord, Salinger v. Loisel, 265 U.S. 224, 230-232, (1924). Thus, in Wong Doo, the Court held that the District Court acted within its discretion in dismissing a petition premised on a ground that was raised but expressly abandoned in an earlier petition. "The petitioner had full opportunity," the Court explained,</w:t>
      </w:r>
    </w:p>
    <w:p w:rsidR="00A31137" w:rsidRPr="00A31137" w:rsidRDefault="00A31137" w:rsidP="00A31137">
      <w:r w:rsidRPr="00A31137">
        <w:t>1991, McCleskey v. Zant, 499 U.S. 507</w:t>
      </w:r>
    </w:p>
    <w:p w:rsidR="00A31137" w:rsidRPr="00A31137" w:rsidRDefault="00A31137" w:rsidP="00A31137">
      <w:r w:rsidRPr="00A31137">
        <w:t>to offer proof [of the abandoned ground] at the hearing on the first petition; and, if he was intending to rely on that ground, good faith required that he produce the proof then.</w:t>
      </w:r>
    </w:p>
    <w:p w:rsidR="00A31137" w:rsidRPr="00A31137" w:rsidRDefault="00A31137" w:rsidP="00A31137">
      <w:r w:rsidRPr="00A31137">
        <w:t>1991, McCleskey v. Zant, 499 U.S. 507</w:t>
      </w:r>
    </w:p>
    <w:p w:rsidR="00A31137" w:rsidRPr="00A31137" w:rsidRDefault="00A31137" w:rsidP="00A31137">
      <w:r w:rsidRPr="00A31137">
        <w:t>265 U.S. at 241. Noting that the evidence supporting the abandoned ground had been "accessible [499 U.S. 508] all the time," the Court inferred that petitioner, an alien seeking to forestall his imminent deportation, had split his claims in order to "postpone the execution of the [deportation] order." Ibid.</w:t>
      </w:r>
    </w:p>
    <w:p w:rsidR="00A31137" w:rsidRPr="00A31137" w:rsidRDefault="00A31137" w:rsidP="00A31137">
      <w:r w:rsidRPr="00A31137">
        <w:t>1991, McCleskey v. Zant, 499 U.S. 508</w:t>
      </w:r>
    </w:p>
    <w:p w:rsidR="00A31137" w:rsidRPr="00A31137" w:rsidRDefault="00A31137" w:rsidP="00A31137">
      <w:r w:rsidRPr="00A31137">
        <w:t>In Price v. Johnston, 334 U.S. 266 (1948), in contrast, the Court held that the District Court abused its discretion by summarily dismissing a petition that raised a claim not asserted in any of three previous petitions filed by the same prisoner. Whereas it had been clear from the record that the petitioner in Wong Doo had possessed access to the facts supporting his abandoned claim, the District Court in Price had no basis for assuming that the prisoner had "acquired no new or additional information since" the disposition of his earlier petitions. Id. at  290. "[E]ven if it [had been] found that petitioner did have prior knowledge of all the facts concerning the allegation in question," the Court added, the District Court should not have dismissed the petition before affording the prisoner an opportunity to articulate "some justifiable reason [why] he was previously unable to assert his rights or was unaware of the significance of relevant facts." Id. at  291.</w:t>
      </w:r>
    </w:p>
    <w:p w:rsidR="00A31137" w:rsidRPr="00A31137" w:rsidRDefault="00A31137" w:rsidP="00A31137">
      <w:r w:rsidRPr="00A31137">
        <w:t>1991, McCleskey v. Zant, 499 U.S. 508</w:t>
      </w:r>
    </w:p>
    <w:p w:rsidR="00A31137" w:rsidRPr="00A31137" w:rsidRDefault="00A31137" w:rsidP="00A31137">
      <w:r w:rsidRPr="00A31137">
        <w:t>In Sanders v. United States, 373 U.S. 1 (1963), the Court crystallized the various factors bearing on a district court's discretion to entertain a successive petition. 1 The Court in Sanders distinguished successive petitions raising previously asserted grounds from those raising previously unasserted grounds. With regard to the former class of petitions, the Court explained, the district court may give "[c]ontrolling weight…to [the] denial of a prior application" unless "the ends of justice would…be served by reaching the merits of the subsequent application." Id. at  15. With regard to the [499 U.S. 509] latter, however, the district court must reach the merits of the petition unless "there has been an abuse of the writ…. " Id. at 17. In determining whether the omission of the claim from the previous petition constitutes an abuse of the writ, the judgment of the district court is to be guided chiefly by the "'[equitable] principle that a suitor's conduct in relation to the matter at hand may disentitle him to the relief he seeks.'" Ibid, quoting Fay v. Noia, 372 U.S. 391,  438 (1963).</w:t>
      </w:r>
    </w:p>
    <w:p w:rsidR="00A31137" w:rsidRPr="00A31137" w:rsidRDefault="00A31137" w:rsidP="00A31137">
      <w:r w:rsidRPr="00A31137">
        <w:t>1991, McCleskey v. Zant, 499 U.S. 509</w:t>
      </w:r>
    </w:p>
    <w:p w:rsidR="00A31137" w:rsidRPr="00A31137" w:rsidRDefault="00A31137" w:rsidP="00A31137">
      <w:r w:rsidRPr="00A31137">
        <w:t>Thus, for example, if a prisoner deliberately withholds one of two grounds for federal collateral relief at the time of filing his first application, in the hope of being granted two hearings, rather than one, or for some other such reason, he may be deemed to have waived his right to a hearing on a second application presenting the withheld ground. The same may be true if, as in Wong Doo, the prisoner deliberately abandons one of his grounds at the first hearing. Nothing in the traditions of habeas corpus requires the federal courts to tolerate needless piecemeal litigation, or to entertain collateral proceedings whose only purpose is to vex, harass, or delay.</w:t>
      </w:r>
    </w:p>
    <w:p w:rsidR="00A31137" w:rsidRPr="00A31137" w:rsidRDefault="00A31137" w:rsidP="00A31137">
      <w:r w:rsidRPr="00A31137">
        <w:t>1991, McCleskey v. Zant, 499 U.S. 509</w:t>
      </w:r>
    </w:p>
    <w:p w:rsidR="00A31137" w:rsidRPr="00A31137" w:rsidRDefault="00A31137" w:rsidP="00A31137">
      <w:r w:rsidRPr="00A31137">
        <w:t>373 U.S. at  18.</w:t>
      </w:r>
    </w:p>
    <w:p w:rsidR="00A31137" w:rsidRPr="00A31137" w:rsidRDefault="00A31137" w:rsidP="00A31137">
      <w:r w:rsidRPr="00A31137">
        <w:t>1991, McCleskey v. Zant, 499 U.S. 509</w:t>
      </w:r>
    </w:p>
    <w:p w:rsidR="00A31137" w:rsidRPr="00A31137" w:rsidRDefault="00A31137" w:rsidP="00A31137">
      <w:r w:rsidRPr="00A31137">
        <w:t>What emerges from Sanders and its predecessors is essentially a good faith standard. As illustrated by Wong Doo, the principal form of bad faith that the "abuse of the writ" doctrine is intended to deter is the deliberate abandonment of a claim the factual and legal basis of which are known to the petitioner (or his counsel) when he files his first petition. The Court in Sanders stressed this point by equating its analysis with that of Fay v. Noia, supra, which established the then-prevailing "deliberate bypass" test for the cognizability of claims on which a petitioner procedurally defaulted in state proceedings. See 373 U.S. at  18. A petitioner also abuses the writ under Sanders when he uses the writ to achieve some end other than expeditious relief from unlawful confinement—such as "to vex, harass, or delay." However, so long [499 U.S. 510] as the petitioner's previous application was based on a good faith assessment of the claims available to him, see Price v. Johnston, supra, 334 U.S. at 289; Wong Doo, supra, 265 U.S. at 241; the denial of the application does not bar the petitioner from availing himself of "new or additional information," Price v. Johnston, supra, 334 U.S. at  290, in support of a claim not previously raised. Accord, Advisory Committee's Note to Habeas Corpus Rule 9, 28 U.S.C. p. 427.</w:t>
      </w:r>
    </w:p>
    <w:p w:rsidR="00A31137" w:rsidRPr="00A31137" w:rsidRDefault="00A31137" w:rsidP="00A31137">
      <w:r w:rsidRPr="00A31137">
        <w:t>1991, McCleskey v. Zant, 499 U.S. 510</w:t>
      </w:r>
    </w:p>
    <w:p w:rsidR="00A31137" w:rsidRPr="00A31137" w:rsidRDefault="00A31137" w:rsidP="00A31137">
      <w:r w:rsidRPr="00A31137">
        <w:t xml:space="preserve">"Cause and prejudice"—the standard currently applicable to procedural defaults in state proceedings, see Wainwright v. Sykes, 433 U.S. 72 (1977)—imposes a much stricter test. As this Court's precedents make clear, a petitioner has cause for failing effectively to present his federal claim in state proceedings only when "some objective factor external to the defense impeded counsel's efforts to comply with the State's procedural rule…. " Murray v. Carrier, 477 U.S. 478, 488 (1986). Under this test, the state of mind of counsel is largely irrelevant. Indeed, this Court has held that even counsel's reasonable perception that a particular claim is without factual or legal foundation does not excuse the failure to raise that claim in the absence of an objective, external impediment to counsel's efforts. See Smith v. Murray, 477 U.S. 527, 535-536 (1986). In this sense, the cause component of the Wainwright v. Sykes test establishes a strict liability standard. 2 [499 U.S. 511] </w:t>
      </w:r>
    </w:p>
    <w:p w:rsidR="00A31137" w:rsidRPr="00A31137" w:rsidRDefault="00A31137" w:rsidP="00A31137">
      <w:r w:rsidRPr="00A31137">
        <w:t>1991, McCleskey v. Zant, 499 U.S. 511</w:t>
      </w:r>
    </w:p>
    <w:p w:rsidR="00A31137" w:rsidRPr="00A31137" w:rsidRDefault="00A31137" w:rsidP="00A31137">
      <w:r w:rsidRPr="00A31137">
        <w:t xml:space="preserve">Equally foreign to our abuse of the writ jurisprudence is the requirement that a petitioner show "prejudice." Under Sanders, a petitioner who articulates a justifiable reason for failing to present a claim in a previous habeas application is not required in addition to demonstrate any particular degree of prejudice before the habeas court must consider his claim. If the petitioner demonstrates that his claim has merit, it is the State that must show that the resulting constitutional error was harmless beyond a reasonable doubt. See L. Yackle, Postconviction Remedies § 133, p. 503 (1981). 3 [499 U.S. 512] </w:t>
      </w:r>
    </w:p>
    <w:p w:rsidR="00A31137" w:rsidRPr="00A31137" w:rsidRDefault="00A31137" w:rsidP="00A31137">
      <w:r w:rsidRPr="00A31137">
        <w:t>II</w:t>
      </w:r>
    </w:p>
    <w:p w:rsidR="00A31137" w:rsidRPr="00A31137" w:rsidRDefault="00A31137" w:rsidP="00A31137">
      <w:r w:rsidRPr="00A31137">
        <w:t>1991, McCleskey v. Zant, 499 U.S. 512</w:t>
      </w:r>
    </w:p>
    <w:p w:rsidR="00A31137" w:rsidRPr="00A31137" w:rsidRDefault="00A31137" w:rsidP="00A31137">
      <w:r w:rsidRPr="00A31137">
        <w:t>The real question posed by the majority's analysis is not whether the cause and prejudice test departs from the principles of Sanders—for it clearly does—but whether the majority has succeeded in justifying this departure as an exercise of this Court's common lawmaking discretion. In my view, the majority does not come close to justifying its new standard.</w:t>
      </w:r>
    </w:p>
    <w:p w:rsidR="00A31137" w:rsidRPr="00A31137" w:rsidRDefault="00A31137" w:rsidP="00A31137">
      <w:r w:rsidRPr="00A31137">
        <w:t>A</w:t>
      </w:r>
    </w:p>
    <w:p w:rsidR="00A31137" w:rsidRPr="00A31137" w:rsidRDefault="00A31137" w:rsidP="00A31137">
      <w:r w:rsidRPr="00A31137">
        <w:t>1991, McCleskey v. Zant, 499 U.S. 512</w:t>
      </w:r>
    </w:p>
    <w:p w:rsidR="00A31137" w:rsidRPr="00A31137" w:rsidRDefault="00A31137" w:rsidP="00A31137">
      <w:r w:rsidRPr="00A31137">
        <w:t>Incorporation of the cause and prejudice test into the abuse of the writ doctrine cannot be justified as an exercise of this Court's common lawmaking discretion, because this Court has no discretion to exercise in this area. Congress has affirmatively ratified the Sanders good faith standard in the governing statute and procedural rules, thereby insulating that standard from judicial repeal.</w:t>
      </w:r>
    </w:p>
    <w:p w:rsidR="00A31137" w:rsidRPr="00A31137" w:rsidRDefault="00A31137" w:rsidP="00A31137">
      <w:r w:rsidRPr="00A31137">
        <w:t>1991, McCleskey v. Zant, 499 U.S. 512</w:t>
      </w:r>
    </w:p>
    <w:p w:rsidR="00A31137" w:rsidRPr="00A31137" w:rsidRDefault="00A31137" w:rsidP="00A31137">
      <w:r w:rsidRPr="00A31137">
        <w:t>The abuse of the writ doctrine is embodied in 28 U.S.C. § 2244(b) and in Habeas Corpus Rule 9(b). Enacted three years after Sanders, § 2244(b) recodified the statutory authority of a district court to dismiss a second or successive petition, amending the statutory language to incorporate the Sanders criteria:</w:t>
      </w:r>
    </w:p>
    <w:p w:rsidR="00A31137" w:rsidRPr="00A31137" w:rsidRDefault="00A31137" w:rsidP="00A31137">
      <w:r w:rsidRPr="00A31137">
        <w:t>1991, McCleskey v. Zant, 499 U.S. 512</w:t>
      </w:r>
    </w:p>
    <w:p w:rsidR="00A31137" w:rsidRPr="00A31137" w:rsidRDefault="00A31137" w:rsidP="00A31137">
      <w:r w:rsidRPr="00A31137">
        <w:t>[A] subsequent application for a writ of habeas corpus…need not be entertained by a court…unless the application alleges and is predicated on a factual or other ground not adjudicated on the hearing of the earlier application for the writ, and unless the court…is satisfied that the applicant has not on the earlier application deliberately withheld the newly asserted ground or otherwise abused the writ.</w:t>
      </w:r>
    </w:p>
    <w:p w:rsidR="00A31137" w:rsidRPr="00A31137" w:rsidRDefault="00A31137" w:rsidP="00A31137">
      <w:r w:rsidRPr="00A31137">
        <w:t>1991, McCleskey v. Zant, 499 U.S. 512</w:t>
      </w:r>
    </w:p>
    <w:p w:rsidR="00A31137" w:rsidRPr="00A31137" w:rsidRDefault="00A31137" w:rsidP="00A31137">
      <w:r w:rsidRPr="00A31137">
        <w:t>28 U.S.C. § 2244(b). Consistent with Sanders, the purpose of the recodification was to spare a district court the obligation to entertain a petition</w:t>
      </w:r>
    </w:p>
    <w:p w:rsidR="00A31137" w:rsidRPr="00A31137" w:rsidRDefault="00A31137" w:rsidP="00A31137">
      <w:r w:rsidRPr="00A31137">
        <w:t>1991, McCleskey v. Zant, 499 U.S. 512</w:t>
      </w:r>
    </w:p>
    <w:p w:rsidR="00A31137" w:rsidRPr="00A31137" w:rsidRDefault="00A31137" w:rsidP="00A31137">
      <w:r w:rsidRPr="00A31137">
        <w:t>containing allegations identical to those asserted in a previous application that has been denied, or predicated upon grounds obviously well known to [the petitioner when] when [he] [499 U.S. 513] filed the preceding application.</w:t>
      </w:r>
    </w:p>
    <w:p w:rsidR="00A31137" w:rsidRPr="00A31137" w:rsidRDefault="00A31137" w:rsidP="00A31137">
      <w:r w:rsidRPr="00A31137">
        <w:t>1991, McCleskey v. Zant, 499 U.S. 513</w:t>
      </w:r>
    </w:p>
    <w:p w:rsidR="00A31137" w:rsidRPr="00A31137" w:rsidRDefault="00A31137" w:rsidP="00A31137">
      <w:r w:rsidRPr="00A31137">
        <w:t>S.Rep. No. 1797, 89th Cong., 2d Sess., 2 (1966), U.S.Code Cong. &amp; Admin. News 1966, p. 3664 (emphasis added). Rule 9(b) likewise adopts Sanders' terminology:</w:t>
      </w:r>
    </w:p>
    <w:p w:rsidR="00A31137" w:rsidRPr="00A31137" w:rsidRDefault="00A31137" w:rsidP="00A31137">
      <w:r w:rsidRPr="00A31137">
        <w:t>1991, McCleskey v. Zant, 499 U.S. 513</w:t>
      </w:r>
    </w:p>
    <w:p w:rsidR="00A31137" w:rsidRPr="00A31137" w:rsidRDefault="00A31137" w:rsidP="00A31137">
      <w:r w:rsidRPr="00A31137">
        <w:t>A second or successive petition may be dismissed if the judge finds that it fails to allege new or different grounds for relief and the prior determination was on the merits or, if new and different grounds are alleged, the judge finds that the failure of the petitioner to assert those grounds in a prior petition constituted an abuse of the writ.</w:t>
      </w:r>
    </w:p>
    <w:p w:rsidR="00A31137" w:rsidRPr="00A31137" w:rsidRDefault="00A31137" w:rsidP="00A31137">
      <w:r w:rsidRPr="00A31137">
        <w:t>1991, McCleskey v. Zant, 499 U.S. 513</w:t>
      </w:r>
    </w:p>
    <w:p w:rsidR="00A31137" w:rsidRPr="00A31137" w:rsidRDefault="00A31137" w:rsidP="00A31137">
      <w:r w:rsidRPr="00A31137">
        <w:t xml:space="preserve">There can be no question that § 2244(b) and Rule 9(b) codify Sanders. The legislative history of, and Advisory Committee's Notes to, Rule 9(b) expressly so indicate, see 28 U.S.C. pp. 426-427; H.R.Rep. No. 94-1471, pp. 5-6 (1976), U.S.Code Cong. &amp; Admin.News 1976, p. 2478, and such has been the universal understanding of this Court, see Rose v. Lundy, 455 U.S. 509, 521 (1982), of the lower courts, see, e.g., Williams v. Lockhart, 862 F.2d 155, 157 (CA8 1988); Neuschafer v. Whitley, 860 F.2d 1470, 1474 (CA9 1988), cert. denied sub nom. Demosthenes v. Neuschafer, 493 U.S. 906 (1989); 860 F.2d at 1479 (Alarcon, J., concurring in result); Davis v. Dugger, 829 F.2d 1513, 1518, n. 13 (CA11 1987); Passman v. Blackburn, 797 F.2d 1335, 1341 (CA5 1986), cert. denied, 480 U.S. 948 (1987); United States v. Talk, 597 F.2d 249, 250-251 (CA10 1979); United States ex rel. Fletcher v. Brierley, 460 F.2d 444, 446, n. 4A (CA3), cert. denied, 409 U.S. 1044 (1972), and of commentators, see, e.g., 17A C. Wright, A. Miller &amp; E. Cooper, Federal Practice and Procedure § 4267, pp. 477-478 (2d ed.1988); L. Yackle, supra, § 154. 4 [499 U.S. 514] </w:t>
      </w:r>
    </w:p>
    <w:p w:rsidR="00A31137" w:rsidRPr="00A31137" w:rsidRDefault="00A31137" w:rsidP="00A31137">
      <w:r w:rsidRPr="00A31137">
        <w:t>1991, McCleskey v. Zant, 499 U.S. 514</w:t>
      </w:r>
    </w:p>
    <w:p w:rsidR="00A31137" w:rsidRPr="00A31137" w:rsidRDefault="00A31137" w:rsidP="00A31137">
      <w:r w:rsidRPr="00A31137">
        <w:t>The majority concedes that § 2244(b) and Rule 9(b) codify Sanders, see ante at  487, but concludes nonetheless that Congress did "not answer" all of the "questions" concerning the abuse of the writ doctrine, ibid. The majority emphasizes that § 2244(b) refers to second or successive petitions from petitioners who have "deliberately withheld the newly asserted ground or otherwise abused the writ," without exhaustively cataloging the ways in which the writ may "otherwise" be "abused." See ibid.; ante at  486, 489-490. From this "silenc[e]," the majority infers a congressional delegation of lawmaking power broad enough to encompass the engrafting of the cause and prejudice test onto the abuse of the writ doctrine. Ante at  487.</w:t>
      </w:r>
    </w:p>
    <w:p w:rsidR="00A31137" w:rsidRPr="00A31137" w:rsidRDefault="00A31137" w:rsidP="00A31137">
      <w:r w:rsidRPr="00A31137">
        <w:t>1991, McCleskey v. Zant, 499 U.S. 514</w:t>
      </w:r>
    </w:p>
    <w:p w:rsidR="00A31137" w:rsidRPr="00A31137" w:rsidRDefault="00A31137" w:rsidP="00A31137">
      <w:r w:rsidRPr="00A31137">
        <w:t>It is difficult to take this reasoning seriously. Because "cause" under Sykes makes the mental state of the petitioner (or his counsel) irrelevant, "cause" completely subsumes "deliberate abandonment." See Engle v. Isaac, 456 U.S. 107,  130, n. 36 (1982); see also Wainwright v. Sykes, 433 U.S. at  87. Thus, if merely failing to raise a claim without "cause"—that is, without some external impediment to raising it—necessarily constitutes an abuse of the writ, the statutory reference to deliberate withholding of a claim would be rendered superfluous. Insofar as Sanders was primarily concerned with limiting dismissal of a second or subsequent petition to instances in which the petitioner had deliberately abandoned the new claim, see 373 U.S. at  18, the suggestion that Congress invested courts with the discretion to read this language out of the statute is completely irreconcilable with the proposition that § 2244(b) and Rule 9(b) codify Sanders.</w:t>
      </w:r>
    </w:p>
    <w:p w:rsidR="00A31137" w:rsidRPr="00A31137" w:rsidRDefault="00A31137" w:rsidP="00A31137">
      <w:r w:rsidRPr="00A31137">
        <w:t>1991, McCleskey v. Zant, 499 U.S. 514</w:t>
      </w:r>
    </w:p>
    <w:p w:rsidR="00A31137" w:rsidRPr="00A31137" w:rsidRDefault="00A31137" w:rsidP="00A31137">
      <w:r w:rsidRPr="00A31137">
        <w:t>To give content to "otherwise abus[e] the writ" as used in § 2244(b), we must look to Sanders. As I have explained, [499 U.S. 515] the Court in Sanders identified two broad classes of bad-faith conduct that bar adjudication of a claim not raised in a previous habeas application: the deliberate abandonment or withholding of that claim from the first petition and the filing of a petition aimed at some purpose other than expeditious relief from unlawful confinement, such as "to vex, harass, or delay." See ibid. By referring to second or successive applications from habeas petitioners who have "deliberately withheld the newly asserted ground or otherwise abused the writ," § 2244(b) tracks this division. Congress may well have selected the phrase "otherwise abused the writ" with the expectation that courts would continue to elaborate upon the types of dilatory tactics that, in addition to deliberate abandonment of a known claim, constitute an abuse of the writ. But consistent with Congress' intent to codify Sanders' good faith test, such elaborations must be confined to circumstances in which a petitioner's omission of an unknown claim is conjoined with his intentional filing of a petition for an improper purpose, such as "to vex, harass or delay."</w:t>
      </w:r>
    </w:p>
    <w:p w:rsidR="00A31137" w:rsidRPr="00A31137" w:rsidRDefault="00A31137" w:rsidP="00A31137">
      <w:r w:rsidRPr="00A31137">
        <w:t>1991, McCleskey v. Zant, 499 U.S. 515</w:t>
      </w:r>
    </w:p>
    <w:p w:rsidR="00A31137" w:rsidRPr="00A31137" w:rsidRDefault="00A31137" w:rsidP="00A31137">
      <w:r w:rsidRPr="00A31137">
        <w:t>The majority tacitly acknowledges this constraint on the Court's interpretive discretion by suggesting that "cause" is tantamount to "inexcusable neglect." This claim, too, is untenable. The majority exaggerates when it claims that the "inexcusable neglect" formulation—which this Court has never applied in an abuse of the writ decision—functions as an independent standard for evaluating a petitioner's failure to raise a claim in a previous habeas application. It is true that Sanders compared its own analysis to the analysis in Townsend v. Sain, 372 U.S. 293 (1963), which established that a district court should deny an evidentiary hearing if the habeas petitioner inexcusably neglected to develop factual evidence in state proceedings. See id. at  317. Townsend, however, expressly equated "inexcusable neglect" with the "deliberate bypass" test of Fay v. Noia. See 372 U.S. at [499 U.S. 516] 317. 5 But even if "inexcusable neglect" does usefully describe a class of abuses separate from deliberate abandonment, the melding of "cause and prejudice" into the abuse of the writ doctrine cannot be defended as a means of "giving content" to "inexcusable neglect." Ante at  490. For under Sykes' strict liability standard, mere attorney negligence is never excusable. See Murray v. Carrier, 477 U.S. at 488 ("So long as a defendant is represented by counsel whose performance is not constitutionally ineffective,…we discern no inequity in requiring him to bear the risk of attorney error that results in a procedural default").</w:t>
      </w:r>
    </w:p>
    <w:p w:rsidR="00A31137" w:rsidRPr="00A31137" w:rsidRDefault="00A31137" w:rsidP="00A31137">
      <w:r w:rsidRPr="00A31137">
        <w:t>1991, McCleskey v. Zant, 499 U.S. 516</w:t>
      </w:r>
    </w:p>
    <w:p w:rsidR="00A31137" w:rsidRPr="00A31137" w:rsidRDefault="00A31137" w:rsidP="00A31137">
      <w:r w:rsidRPr="00A31137">
        <w:t>Confirmation that the majority today exercises legislative power not properly belonging to this Court is supplied by Congress' own recent consideration and rejection of an amendment to § 2244(b). It is axiomatic that this Court does not function as a backup legislature for the reconsideration of failed attempts to amend existing statutes. See Bowsher v. Merck &amp; Co., 460 U.S. 824, 837, n. 12 (1983); FTC v. Ruberoid Co., 343 U.S. 470, 478-479 (1952); see also North Haven Bd. of Ed. v. Bell, 456 U.S. 512, 534-535 (1982). Yet that is exactly the effect of today's decision. As reported out of the House Committee on the Judiciary, § 1303 of H.R. 5269, 101st Cong., 2d Sess. (1990), would have required dismissal of any second or subsequent application by a habeas petitioner under sentence of death unless the petitioner [499 U.S. 517] raised a new claim "the factual basis of [which] could not have been discovered by the exercise of reasonable diligence," H.R.Rep. No. 101-681, pt. 1, p. 29 (1990), U.S.Code Cong. &amp; Admin. News 1990, p. 6472 (emphasis added). 6 The Committee Report accompanying this legislation explained that</w:t>
      </w:r>
    </w:p>
    <w:p w:rsidR="00A31137" w:rsidRPr="00A31137" w:rsidRDefault="00A31137" w:rsidP="00A31137">
      <w:r w:rsidRPr="00A31137">
        <w:t>1991, McCleskey v. Zant, 499 U.S. 517</w:t>
      </w:r>
    </w:p>
    <w:p w:rsidR="00A31137" w:rsidRPr="00A31137" w:rsidRDefault="00A31137" w:rsidP="00A31137">
      <w:r w:rsidRPr="00A31137">
        <w:t>courts have properly construed section 2244(b) and Rule 9(b) as codifications of the guidelines the [Supreme] Court itself prescribed in Sanders.</w:t>
      </w:r>
    </w:p>
    <w:p w:rsidR="00A31137" w:rsidRPr="00A31137" w:rsidRDefault="00A31137" w:rsidP="00A31137">
      <w:r w:rsidRPr="00A31137">
        <w:t>1991, McCleskey v. Zant, 499 U.S. 517</w:t>
      </w:r>
    </w:p>
    <w:p w:rsidR="00A31137" w:rsidRPr="00A31137" w:rsidRDefault="00A31137" w:rsidP="00A31137">
      <w:r w:rsidRPr="00A31137">
        <w:t>Id. at 119, U.S.Code Cong. &amp; Admin.News 1990, p. 6524 (citation omitted). The Report justified adoption of the tougher "reasonable diligence" standard on the ground that</w:t>
      </w:r>
    </w:p>
    <w:p w:rsidR="00A31137" w:rsidRPr="00A31137" w:rsidRDefault="00A31137" w:rsidP="00A31137">
      <w:r w:rsidRPr="00A31137">
        <w:t>1991, McCleskey v. Zant, 499 U.S. 517</w:t>
      </w:r>
    </w:p>
    <w:p w:rsidR="00A31137" w:rsidRPr="00A31137" w:rsidRDefault="00A31137" w:rsidP="00A31137">
      <w:r w:rsidRPr="00A31137">
        <w:t>[t]he Sanders guidelines have not…satisfactorily met concerns that death row prisoners may file second or successive habeas corpus applications as a means of extending litigation.</w:t>
      </w:r>
    </w:p>
    <w:p w:rsidR="00A31137" w:rsidRPr="00A31137" w:rsidRDefault="00A31137" w:rsidP="00A31137">
      <w:r w:rsidRPr="00A31137">
        <w:t>1991, McCleskey v. Zant, 499 U.S. 517</w:t>
      </w:r>
    </w:p>
    <w:p w:rsidR="00A31137" w:rsidRPr="00A31137" w:rsidRDefault="00A31137" w:rsidP="00A31137">
      <w:r w:rsidRPr="00A31137">
        <w:t>Ibid. Unfazed by Congress' rejection of this legislation, the majority arrogates to itself the power to repeal Sanders and to replace it with a tougher standard. 7</w:t>
      </w:r>
    </w:p>
    <w:p w:rsidR="00A31137" w:rsidRPr="00A31137" w:rsidRDefault="00A31137" w:rsidP="00A31137">
      <w:r w:rsidRPr="00A31137">
        <w:t>B</w:t>
      </w:r>
    </w:p>
    <w:p w:rsidR="00A31137" w:rsidRPr="00A31137" w:rsidRDefault="00A31137" w:rsidP="00A31137">
      <w:r w:rsidRPr="00A31137">
        <w:t>1991, McCleskey v. Zant, 499 U.S. 517</w:t>
      </w:r>
    </w:p>
    <w:p w:rsidR="00A31137" w:rsidRPr="00A31137" w:rsidRDefault="00A31137" w:rsidP="00A31137">
      <w:r w:rsidRPr="00A31137">
        <w:t>Even if the fusion of cause and prejudice into the abuse of the writ doctrine were not foreclosed by the will of Congress, the majority fails to demonstrate that such a rule would be a wise or just exercise of the Court's common lawmaking discretion. In fact, the majority's abrupt change in law subverts the policies underlying § 2244(b) and unfairly prejudices the petitioner in this case.</w:t>
      </w:r>
    </w:p>
    <w:p w:rsidR="00A31137" w:rsidRPr="00A31137" w:rsidRDefault="00A31137" w:rsidP="00A31137">
      <w:r w:rsidRPr="00A31137">
        <w:t>1991, McCleskey v. Zant, 499 U.S. 517</w:t>
      </w:r>
    </w:p>
    <w:p w:rsidR="00A31137" w:rsidRPr="00A31137" w:rsidRDefault="00A31137" w:rsidP="00A31137">
      <w:r w:rsidRPr="00A31137">
        <w:t>The majority premises adoption of the cause and prejudice test almost entirely on the importance of "finality." See ante at 490-493. At best, this is an insufficiently developed justification for cause and prejudice or any other possible conception of the abuse of the writ doctrine. For the very [499 U.S. 518] essence of the Great Writ is our criminal justice system's commitment to suspending "[c]onventional notions of finality of litigation…where life or liberty is at stake and infringement of constitutional rights is alleged." Sanders, 373 U.S. at 8. To recognize this principle is not to make the straw-man claim that the writ must be accompanied by "'[a] procedural system which permits an endless repetition of inquiry into facts and law in a vain search for ultimate certitude.'" Ante at  492, quoting Bator, Finality in Criminal Law and Federal Habeas Corpus for State Prisoners, 76 Harv.L.Rev. 441, 452 (1963). Rather, it is only to point out the plain fact that we may not, "[u]nder the guise of fashioning a procedural rule,…wip[e] out the practical efficacy of a jurisdiction conferred by Congress on the District Courts." Brown v. Allen, 344 U.S. 443, 498-499 (1953) (opinion of Frankfurter, J.).</w:t>
      </w:r>
    </w:p>
    <w:p w:rsidR="00A31137" w:rsidRPr="00A31137" w:rsidRDefault="00A31137" w:rsidP="00A31137">
      <w:r w:rsidRPr="00A31137">
        <w:t>1991, McCleskey v. Zant, 499 U.S. 518</w:t>
      </w:r>
    </w:p>
    <w:p w:rsidR="00A31137" w:rsidRPr="00A31137" w:rsidRDefault="00A31137" w:rsidP="00A31137">
      <w:r w:rsidRPr="00A31137">
        <w:t>The majority seeks to demonstrate that cause and prejudice strikes an acceptable balance between the state's interest in finality and the purposes of habeas corpus by analogizing the abuse of the writ doctrine to the procedural default doctrine. According to the majority, these two doctrines "implicate nearly identical concerns flowing from the significant costs of federal habeas corpus review." Ante at 490-491. And because this Court has already deemed cause and prejudice to be an appropriate standard for assessing procedural defaults, the majority reasons, the same standard should be used for assessing the failure to raise a claim in a previous habeas petition. See ante at 490-493.</w:t>
      </w:r>
    </w:p>
    <w:p w:rsidR="00A31137" w:rsidRPr="00A31137" w:rsidRDefault="00A31137" w:rsidP="00A31137">
      <w:r w:rsidRPr="00A31137">
        <w:t>1991, McCleskey v. Zant, 499 U.S. 518</w:t>
      </w:r>
    </w:p>
    <w:p w:rsidR="00A31137" w:rsidRPr="00A31137" w:rsidRDefault="00A31137" w:rsidP="00A31137">
      <w:r w:rsidRPr="00A31137">
        <w:t>This analysis does not withstand scrutiny. This Court's precedents on the procedural default doctrine identify two purposes served by the cause and prejudice test. The first purpose is to promote respect for a State's legitimate procedural rules. See, e.g., Reed v. Ross, 468 U.S. 1, 14 (1984); Sykes, 433 U.S. at 87-90. As the Court has explained, the willingness of a habeas court to entertain a claim that a state court has deemed to be procedurally barred "undercut[s] the [499 U.S. 519] State's ability to enforce its procedural rules," Engle v. Isaac, 456 U.S. at 129, and may cause "state courts themselves [to be] less stringent in their enforcement," Sykes, supra, 433 U.S. at  89. See generally Meltzer, State Court Forfeitures of Federal Rights, 99 Harv.L.Rev. 1128, 1150-1158 (1986). The second purpose of the cause and prejudice test is to preserve the connection between federal collateral review and the general "deterrent" function served by the Great Writ.</w:t>
      </w:r>
    </w:p>
    <w:p w:rsidR="00A31137" w:rsidRPr="00A31137" w:rsidRDefault="00A31137" w:rsidP="00A31137">
      <w:r w:rsidRPr="00A31137">
        <w:t>1991, McCleskey v. Zant, 499 U.S. 519</w:t>
      </w:r>
    </w:p>
    <w:p w:rsidR="00A31137" w:rsidRPr="00A31137" w:rsidRDefault="00A31137" w:rsidP="00A31137">
      <w:r w:rsidRPr="00A31137">
        <w:t>"[T]he threat of habeas serves as a necessary additional incentive for trial and appellate courts throughout the land to conduct their proceedings in a manner consistent with established constitutional standards."</w:t>
      </w:r>
    </w:p>
    <w:p w:rsidR="00A31137" w:rsidRPr="00A31137" w:rsidRDefault="00A31137" w:rsidP="00A31137">
      <w:r w:rsidRPr="00A31137">
        <w:t>1991, McCleskey v. Zant, 499 U.S. 519</w:t>
      </w:r>
    </w:p>
    <w:p w:rsidR="00A31137" w:rsidRPr="00A31137" w:rsidRDefault="00A31137" w:rsidP="00A31137">
      <w:r w:rsidRPr="00A31137">
        <w:t>Teague v. Lane, 489 U.S. 288, 306 (1989) (plurality opinion), quoting Desist v. United States, 394 U.S. 244, 262-263 (1969) (Harlan, J., dissenting); see Rose v. Mitchell, 443 U.S. 545, 563 (1979). Obviously, this understanding of the disciplining effect of federal habeas corpus presupposes that a criminal defendant has given the state trial and appellate courts a fair opportunity to pass on his constitutional claims. See Murray v. Carrier, 477 U.S. at 487; Engle v. Isaac, supra, 456 U.S. at 128-129. With regard to both of these purposes, the strictness of the cause and prejudice test has been justified on the ground that the defendant's procedural default is akin to an independent and adequate state law ground for the judgment of conviction. See Sykes, supra, 433 U.S. at 81-83.</w:t>
      </w:r>
    </w:p>
    <w:p w:rsidR="00A31137" w:rsidRPr="00A31137" w:rsidRDefault="00A31137" w:rsidP="00A31137">
      <w:r w:rsidRPr="00A31137">
        <w:t>1991, McCleskey v. Zant, 499 U.S. 519</w:t>
      </w:r>
    </w:p>
    <w:p w:rsidR="00A31137" w:rsidRPr="00A31137" w:rsidRDefault="00A31137" w:rsidP="00A31137">
      <w:r w:rsidRPr="00A31137">
        <w:t>Neither of these concerns is even remotely implicated in the abuse of the writ setting. The abuse of the writ doctrine clearly contemplates a situation in which a petitioner (as in this case) has complied with applicable state procedural rules and effectively raised his constitutional claim in state proceedings; were it otherwise, the abuse of the writ doctrine would not perform a screening function independent from that performed by the procedural default doctrine and by the requirement that a habeas petitioner exhaust his state remedies, see 28 U.S.C. §§ 2254(b), (c). Cf. ante at 486-487. Because the abuse of the writ doctrine presupposes that the [499 U.S. 520] petitioner has effectively raised his claim in state proceedings, a decision by the habeas court to entertain the claim notwithstanding its omission from an earlier habeas petition will neither breed disrespect for state procedural rules nor unfairly subject state courts to federal collateral review in the absence of a state court disposition of a federal claim. 8</w:t>
      </w:r>
    </w:p>
    <w:p w:rsidR="00A31137" w:rsidRPr="00A31137" w:rsidRDefault="00A31137" w:rsidP="00A31137">
      <w:r w:rsidRPr="00A31137">
        <w:t>1991, McCleskey v. Zant, 499 U.S. 520</w:t>
      </w:r>
    </w:p>
    <w:p w:rsidR="00A31137" w:rsidRPr="00A31137" w:rsidRDefault="00A31137" w:rsidP="00A31137">
      <w:r w:rsidRPr="00A31137">
        <w:t>Because the abuse of the writ doctrine addresses the situation in which a federal habeas court must determine whether to hear a claim withheld from another federal habeas court, the test for identifying an abuse must strike an appropriate balance between finality and review in that setting. Only when informed by Sanders does § 2244(b) strike an efficient balance. A habeas petitioner's own interest in liberty furnishes a powerful incentive to assert in his first petition all claims that the petitioner (or his counsel) believes have a reasonable prospect for [499 U.S. 521] success. See Note, 83 Harv.L.Rev. 1038, 1153-1154 (1970); see also Rose v. Lundy, 455 U.S. at 520 ("The prisoner's principal interest, of course, is in obtaining speedy federal relief on his claims"). Sanders' bar on the later assertion of claims omitted in bad faith adequately fortifies this natural incentive. At the same time, however, the petitioner faces an effective disincentive to asserting any claim that he believes does not have a reasonable prospect for success: the adverse adjudication of such a claim will bar its reassertion under the successive-petition doctrine, see 28 U.S.C. § 2244(b); Sanders, supra, 373 U.S. at  17, whereas omission of the claim will not prevent the petitioner from asserting the claim for the first time in a later petition should the discovery of new evidence or the advent of intervening changes in law invest the claim with merit, S.Rep. No. 1797, at 2; Advisory Committee's Note to Habeas Corpus Rule 9, 28 U.S.C. p. 427.</w:t>
      </w:r>
    </w:p>
    <w:p w:rsidR="00A31137" w:rsidRPr="00A31137" w:rsidRDefault="00A31137" w:rsidP="00A31137">
      <w:r w:rsidRPr="00A31137">
        <w:t>1991, McCleskey v. Zant, 499 U.S. 521</w:t>
      </w:r>
    </w:p>
    <w:p w:rsidR="00A31137" w:rsidRPr="00A31137" w:rsidRDefault="00A31137" w:rsidP="00A31137">
      <w:r w:rsidRPr="00A31137">
        <w:t>The cause and prejudice test destroys this balance. By design, the cause and prejudice standard creates a near-irrebuttable presumption that omitted claims are permanently barred. This outcome not only conflicts with Congress' intent that a petitioner be free to avail himself of newly discovered evidence or intervening changes in law, S.Rep. No. 1797, at 2; Advisory Committee's Note to Habeas Corpus Rule 9, 28 U.S.C. p. 427, but also subverts the statutory disincentive to the assertion of frivolous claims. Rather than face the cause and prejudice bar, a petitioner will assert all conceivable claims, whether or not these claims reasonably appear to have merit. The possibility that these claims will be adversely adjudicated, and thereafter be barred from relitigation under the successive-petition doctrine, will not effectively discourage the petitioner from asserting them, for the petitioner will have virtually no expectation that any withheld claim could be revived should his assessment of its merit later prove mistaken. Far from promoting efficiency, the majority's rule thus invites the very type of "baseless claims," ante at  493, that the majority seeks to avert.</w:t>
      </w:r>
    </w:p>
    <w:p w:rsidR="00A31137" w:rsidRPr="00A31137" w:rsidRDefault="00A31137" w:rsidP="00A31137">
      <w:r w:rsidRPr="00A31137">
        <w:t>1991, McCleskey v. Zant, 499 U.S. 521</w:t>
      </w:r>
    </w:p>
    <w:p w:rsidR="00A31137" w:rsidRPr="00A31137" w:rsidRDefault="00A31137" w:rsidP="00A31137">
      <w:r w:rsidRPr="00A31137">
        <w:t>The majority's adoption of the cause and prejudice test is not only unwise, but also manifestly unfair. The proclaimed purpose of the majority's new strict liability standard is to increase to the maximum extent a petitioner's incentive to investigate all conceivable claims before filing his first petition. See ante at  498. Whatever its merits, this was not the rule when the petitioner in this case filed his first petition. [499 U.S. 522] From the legislative history of § 2244(b) and Rule 9(b) and from the universal agreement of courts and commentators, see supra at 513, McCleskey's counsel could have reached no other conclusion but that his investigatory efforts in preparing his client's petition would be measured against the Sanders good faith standard. There can be little question that his efforts satisfied that test; indeed, the District Court expressly concluded that McCleskey's counsel on his first habeas conducted a reasonable and competent investigation before concluding that a claim based on Massiah v. United States, 377 U.S. 201 (1964), would be without factual foundation. See App. 8485; see also infra at 526. Before today, that would have been enough. The Court's utter indifference to the injustice of retroactively applying its new, strict liability standard to this habeas petitioner stands in marked contrast to this Court's eagerness to protect States from the unfair surprise of "new rules" that enforce the constitutional rights of citizens charged with criminal wrongdoing. See Butler v. McKellar, 494 U.S. 407, 412-414 (1990); Saffle v. Parks, 494 U.S. 484, 488 (1990); Teague v. Lane, 489 U.S. at 299-310 (plurality opinion).</w:t>
      </w:r>
    </w:p>
    <w:p w:rsidR="00A31137" w:rsidRPr="00A31137" w:rsidRDefault="00A31137" w:rsidP="00A31137">
      <w:r w:rsidRPr="00A31137">
        <w:t>1991, McCleskey v. Zant, 499 U.S. 522</w:t>
      </w:r>
    </w:p>
    <w:p w:rsidR="00A31137" w:rsidRPr="00A31137" w:rsidRDefault="00A31137" w:rsidP="00A31137">
      <w:r w:rsidRPr="00A31137">
        <w:t>This injustice is compounded by the Court's activism in fashioning its new rule. The applicability of Sykes' cause and prejudice test was not litigated in either the District Court or the Court of Appeals. The additional question that we requested the parties to address reasonably could have been read to relate merely to the burden of proof under the abuse of the writ doctrine; 9 it evidently did not put the parties on notice that this Court was contemplating a change in the governing legal standard, since respondent did not even mention Sykes or cause and prejudice in its brief or at oral [499 U.S. 523] argument, much less request the Court to adopt this standard. 10 In this respect, too, today's decision departs from norms that inform the proper judicial function. See Heckler v. Campbell, 461 U.S. 458, 468, n. 12 (1983) (Court will consider ground in support of judgment not raised below only in extraordinary case); accord, Granfinanciera, S.A. v. Nordberg, 492 U.S. 33, 39 (1989). It cannot be said that McCleskey had a fair opportunity to challenge the reasoning that the majority today invokes to strip him of his Massiah claim.</w:t>
      </w:r>
    </w:p>
    <w:p w:rsidR="00A31137" w:rsidRPr="00A31137" w:rsidRDefault="00A31137" w:rsidP="00A31137">
      <w:r w:rsidRPr="00A31137">
        <w:t>III</w:t>
      </w:r>
    </w:p>
    <w:p w:rsidR="00A31137" w:rsidRPr="00A31137" w:rsidRDefault="00A31137" w:rsidP="00A31137">
      <w:r w:rsidRPr="00A31137">
        <w:t>1991, McCleskey v. Zant, 499 U.S. 523</w:t>
      </w:r>
    </w:p>
    <w:p w:rsidR="00A31137" w:rsidRPr="00A31137" w:rsidRDefault="00A31137" w:rsidP="00A31137">
      <w:r w:rsidRPr="00A31137">
        <w:t xml:space="preserve">The manner in which the majority applies its new rule is as objectionable as the manner in which the majority creates that rule. As even the majority acknowledges, see ante at  470, the standard that it announces today is not the one employed by the Court of Appeals, which purported to rely on Sanders, see 890 F.2d 342, 347 (CA11 1989). See ante at  470. Where, as here, application of a different standard from the one applied by the lower court requires an in-depth review of the record, the ordinary course is to remand so that the parties have a fair opportunity to address, and the lower court to consider, all of the relevant issues. See, e.g., Anderson v. Liberty Lobby, Inc., 477 U.S. 242, 257 (1986); Mandel v. Bradley, 432 U.S. 173, 179 (1977) (per curiam); see also United States v. Hasting, 461 U.S. 499, 515-518 (1983) (STEVENS, J., concurring in judgment) (Court should not undertake record review "function that can better be performed by other judges"). [499 U.S. 524] </w:t>
      </w:r>
    </w:p>
    <w:p w:rsidR="00A31137" w:rsidRPr="00A31137" w:rsidRDefault="00A31137" w:rsidP="00A31137">
      <w:r w:rsidRPr="00A31137">
        <w:t>1991, McCleskey v. Zant, 499 U.S. 524</w:t>
      </w:r>
    </w:p>
    <w:p w:rsidR="00A31137" w:rsidRPr="00A31137" w:rsidRDefault="00A31137" w:rsidP="00A31137">
      <w:r w:rsidRPr="00A31137">
        <w:t xml:space="preserve">A remand would have been particularly appropriate in this case in view of the patent deficiencies in the reasoning of the Court of Appeals. The Court of Appeals concluded that McCleskey deliberately abandoned his Massiah claim because his counsel "made a knowing choice not to pursue the claim after having raised it" unsuccessfully on state collateral review. 890 F.2d at 349. This reasoning, which the majority declines to endorse, is obviously faulty. As I have explained, the abuse of the writ doctrine is independent from the procedural default and exhaustion doctrines; § 2244(b) and Rule 9(b) contemplate a habeas petitioner who has effectively presented his claim in state proceedings but withheld that claim from a previous habeas application. Because § 2244(b) and Rule 9(b) authorize the district court to consider such a claim under appropriate circumstances, it cannot be the case that a petitioner invariably abuses the writ by consciously failing to include in his first habeas petition a claim raised in state proceedings. Insofar as Congress intended that the district court excuse the withholding of a claim when the petitioner produces newly discovered evidence or intervening changes in law, S.Rep. No. 1797, at 2; Advisory Committee's Note to Habeas Corpus Rule 9, 28 U.S.C. p. 427, a petitioner cannot be deemed to have deliberately abandoned the claim in an earlier habeas proceeding unless the petitioner was aware then of the evidence and law that support the claim. See, e.g., Wong Doo, 265 U.S. at 241. If the Court of Appeals had properly applied Sanders, it would almost certainly have agreed with the District Court's conclusion that McCleskey was not aware of the evidence that supported his Massiah claim when he filed his first petition. In any case, because the Court of Appeals' reversal was based on an erroneous application of Sanders, the majority's decision not to remand cannot be justified on the ground that the Court of Appeals would necessarily have decided the case the same way under the cause and prejudice standard. [499 U.S. 525] </w:t>
      </w:r>
    </w:p>
    <w:p w:rsidR="00A31137" w:rsidRPr="00A31137" w:rsidRDefault="00A31137" w:rsidP="00A31137">
      <w:r w:rsidRPr="00A31137">
        <w:t>1991, McCleskey v. Zant, 499 U.S. 525</w:t>
      </w:r>
    </w:p>
    <w:p w:rsidR="00A31137" w:rsidRPr="00A31137" w:rsidRDefault="00A31137" w:rsidP="00A31137">
      <w:r w:rsidRPr="00A31137">
        <w:t>Undaunted by the difficulty of applying its new rule without the benefit of any lower court's preliminary consideration, the majority forges ahead to perform its own independent review of the record. The majority concludes that McCleskey had no cause to withhold his Massiah claim, because all of the evidence supporting that claim was available before he filed his first habeas petition. The majority purports to accept the District Court's finding that Offie Evans' 21-page statement was, at that point, being held beyond McCleskey's reach. See ante at  498, and n *. 11 But the State's failure to produce this document, the majority explains, furnished no excuse for McCleskey's failure to assert his Massiah claim "because McCleskey participated in the conversations reported by Evans," and therefore "knew everything in the document that the District Court relied upon to establish the ab initio connection between Evans and the police." Ante at  500. The majority also points out that no [499 U.S. 526] external force impeded McCleskey's discovery of the testimony of jailer Worthy. See ibid.</w:t>
      </w:r>
    </w:p>
    <w:p w:rsidR="00A31137" w:rsidRPr="00A31137" w:rsidRDefault="00A31137" w:rsidP="00A31137">
      <w:r w:rsidRPr="00A31137">
        <w:t>1991, McCleskey v. Zant, 499 U.S. 526</w:t>
      </w:r>
    </w:p>
    <w:p w:rsidR="00A31137" w:rsidRPr="00A31137" w:rsidRDefault="00A31137" w:rsidP="00A31137">
      <w:r w:rsidRPr="00A31137">
        <w:t>To appreciate the hollowness—and the dangerousness—of this reasoning, it is necessary to recall the District Court's central finding: that the State did covertly plant Evans in an adjoining cell for the purpose of eliciting incriminating statements that could be used against McCleskey at trial. See App. 83. Once this finding is credited, it follows that the State affirmatively misled McCleskey and his counsel throughout their unsuccessful pursuit of the Massiah claim in state collateral proceedings and their investigation of that claim in preparing for McCleskey's first federal habeas proceeding. McCleskey's counsel deposed or interviewed the assistant district attorney, various jailers, and other government officials responsible for Evans' confinement, all of whom denied any knowledge of an agreement between Evans and the State. See App. 25-28, 44-47, 79, 85.</w:t>
      </w:r>
    </w:p>
    <w:p w:rsidR="00A31137" w:rsidRPr="00A31137" w:rsidRDefault="00A31137" w:rsidP="00A31137">
      <w:r w:rsidRPr="00A31137">
        <w:t>1991, McCleskey v. Zant, 499 U.S. 526</w:t>
      </w:r>
    </w:p>
    <w:p w:rsidR="00A31137" w:rsidRPr="00A31137" w:rsidRDefault="00A31137" w:rsidP="00A31137">
      <w:r w:rsidRPr="00A31137">
        <w:t>Against this background of deceit, the State's withholding of Evans' 21-page statement assumes critical importance. The majority overstates McCleskey's and his counsel's awareness of the statement's contents. For example, the statement relates that state officials were present when Evans made a phone call at McCleskey's request to McCleskey's girlfriend, Plaintiff's Exh. 8, p. 14, a fact that McCleskey and his counsel had no reason to know, and that strongly supports the District Court's finding of an ab initio relationship between Evans and the State. But in any event, the importance of the statement lay much less in what the statement said than in its simple existence. Without the statement, McCleskey's counsel had nothing more than his client's testimony to back up counsel's own suspicion of a possible Massiah violation; given the state officials' adamant denials of any arrangement with Evans, and given the state habeas court's rejection of the Massiah claim, counsel quite reasonably concluded that raising this claim in McCleskey's first habeas petition would be futile. All this changed once [499 U.S. 527] counsel finally obtained the statement, for, at that point, there was credible, independent corroboration of counsel's suspicion. This additional evidence not only gave counsel the reasonable expectation of success that had previously been lacking, but also gave him a basis for conducting further investigation into the underlying claim. Indeed, it was by piecing together the circumstances under which the statement had been transcribed that McCleskey's counsel was able to find Worthy, a state official who was finally willing to admit that Evans had been planted in the cell adjoining McCleskey's. 12</w:t>
      </w:r>
    </w:p>
    <w:p w:rsidR="00A31137" w:rsidRPr="00A31137" w:rsidRDefault="00A31137" w:rsidP="00A31137">
      <w:r w:rsidRPr="00A31137">
        <w:t>1991, McCleskey v. Zant, 499 U.S. 527</w:t>
      </w:r>
    </w:p>
    <w:p w:rsidR="00A31137" w:rsidRPr="00A31137" w:rsidRDefault="00A31137" w:rsidP="00A31137">
      <w:r w:rsidRPr="00A31137">
        <w:t>The majority's analysis of this case is dangerous precisely because it treats as irrelevant the effect that the State's disinformation strategy had on counsel's assessment of the reasonableness of pursuing the Massiah claim. For the majority, all that matters is that no external obstacle barred McCleskey from finding Worthy. But obviously, counsel's decision even to look for evidence in support of a particular claim has to be informed by what counsel reasonably perceives to be the prospect that the claim may have merit; in this case, by withholding the 21-page statement and by affirmatively misleading counsel as to the State's involvement with Evans, state officials created a climate in which McCleskey's first habeas counsel was perfectly justified in focusing his attentions elsewhere. The sum and substance of the majority's analysis is that McCleskey had no "cause" for failing to assert the Massiah claim because he did not try [499 U.S. 528] hard enough to pierce the State's veil of deception. Because the majority excludes from its conception of cause any recognition of how state officials can distort a petitioner's reasonable perception of whether pursuit of a particular claim is worthwhile, the majority's conception of "cause" creates an incentive for state officials to engage in this very type of misconduct.</w:t>
      </w:r>
    </w:p>
    <w:p w:rsidR="00A31137" w:rsidRPr="00A31137" w:rsidRDefault="00A31137" w:rsidP="00A31137">
      <w:r w:rsidRPr="00A31137">
        <w:t>1991, McCleskey v. Zant, 499 U.S. 528</w:t>
      </w:r>
    </w:p>
    <w:p w:rsidR="00A31137" w:rsidRPr="00A31137" w:rsidRDefault="00A31137" w:rsidP="00A31137">
      <w:r w:rsidRPr="00A31137">
        <w:t>Although the majority finds it unnecessary to reach the question whether McCleskey was "prejudiced" by the Massiah violation in this case, I have no doubt that the admission of Evans' testimony at trial satisfies any fair conception of this prong of the Sykes test. No witness from the furniture store was able to identify which of the four robbers shot the off-duty police officer. The State did put on evidence that McCleskey had earlier stolen the pearl-handled pistol that was determined to be the likely murder weapon, but the significance of this testimony was clouded by a codefendant's admission that he had been carrying this weapon for weeks at a time, App. 16, and by a prosecution witness' own prior statement that she had seen only the codefendant carry the pistol, id. at 11-14. See also id. at 89 (District Court finding that "the evidence on [McCleskey's] possession of the gun in question was conflicting"). Outside of the self-serving and easily impeachable testimony of the codefendant, the only evidence that directly supported the State's identification of McCleskey as the triggerman was the testimony of Evans. As the District Court found, "Evans' testimony about the petitioner's incriminating statements was critical to the state's case." Id. at 89. Without it, the jury might very well have reached a different verdict.</w:t>
      </w:r>
    </w:p>
    <w:p w:rsidR="00A31137" w:rsidRPr="00A31137" w:rsidRDefault="00A31137" w:rsidP="00A31137">
      <w:r w:rsidRPr="00A31137">
        <w:t>1991, McCleskey v. Zant, 499 U.S. 528</w:t>
      </w:r>
    </w:p>
    <w:p w:rsidR="00A31137" w:rsidRPr="00A31137" w:rsidRDefault="00A31137" w:rsidP="00A31137">
      <w:r w:rsidRPr="00A31137">
        <w:t xml:space="preserve">Thus, as I read the record, McCleskey should be entitled to the consideration of his petition for habeas corpus even under the cause and prejudice test. The case is certainly close enough to warrant a remand so that the issues can be fully and fairly briefed. [499 U.S. 529] </w:t>
      </w:r>
    </w:p>
    <w:p w:rsidR="00A31137" w:rsidRPr="00A31137" w:rsidRDefault="00A31137" w:rsidP="00A31137">
      <w:r w:rsidRPr="00A31137">
        <w:t>IV</w:t>
      </w:r>
    </w:p>
    <w:p w:rsidR="00A31137" w:rsidRPr="00A31137" w:rsidRDefault="00A31137" w:rsidP="00A31137">
      <w:r w:rsidRPr="00A31137">
        <w:t>1991, McCleskey v. Zant, 499 U.S. 529</w:t>
      </w:r>
    </w:p>
    <w:p w:rsidR="00A31137" w:rsidRPr="00A31137" w:rsidRDefault="00A31137" w:rsidP="00A31137">
      <w:r w:rsidRPr="00A31137">
        <w:t>Ironically, the majority seeks to defend its doctrinal innovation on the ground that it will promote respect for the "rule of law." Ante at  492. Obviously, respect for the rule of law must start with those who are responsible for pronouncing the law. The majority's invocation of "'the orderly administration of justice,'" ante at  496, rings hollow when the majority itself tosses aside established precedents without explanation, disregards the will of Congress, fashions rules that defy the reasonable expectations of the persons who must conform their conduct to the law's dictates, and applies those rules in a way that rewards state misconduct and deceit. Whatever "abuse of the writ" today's decision is designed to avert pales in comparison with the majority's own abuse of the norms that inform the proper judicial function.</w:t>
      </w:r>
    </w:p>
    <w:p w:rsidR="00A31137" w:rsidRPr="00A31137" w:rsidRDefault="00A31137" w:rsidP="00A31137">
      <w:r w:rsidRPr="00A31137">
        <w:t>1991, McCleskey v. Zant, 499 U.S. 529</w:t>
      </w:r>
    </w:p>
    <w:p w:rsidR="00A31137" w:rsidRPr="00A31137" w:rsidRDefault="00A31137" w:rsidP="00A31137">
      <w:r w:rsidRPr="00A31137">
        <w:t>I dissent.</w:t>
      </w:r>
    </w:p>
    <w:p w:rsidR="00A31137" w:rsidRPr="00A31137" w:rsidRDefault="00A31137" w:rsidP="00A31137">
      <w:r w:rsidRPr="00A31137">
        <w:t>Footnotes</w:t>
      </w:r>
    </w:p>
    <w:p w:rsidR="00A31137" w:rsidRPr="00A31137" w:rsidRDefault="00A31137" w:rsidP="00A31137">
      <w:r w:rsidRPr="00A31137">
        <w:t>KENNEDY, J., lead opinion (Footnotes)</w:t>
      </w:r>
    </w:p>
    <w:p w:rsidR="00A31137" w:rsidRPr="00A31137" w:rsidRDefault="00A31137" w:rsidP="00A31137">
      <w:r w:rsidRPr="00A31137">
        <w:t>1991, McCleskey v. Zant, 499 U.S. 529</w:t>
      </w:r>
    </w:p>
    <w:p w:rsidR="00A31137" w:rsidRPr="00A31137" w:rsidRDefault="00A31137" w:rsidP="00A31137">
      <w:r w:rsidRPr="00A31137">
        <w:t>* We accept as not clearly erroneous the District Court finding that the document itself was neither known nor reasonably discoverable at the time of the first federal petition. We note for sake of completeness, however, that this finding is not free from substantial doubt. The record contains much evidence that McCleskey knew, or should have known, of the written document. When McCleskey took the stand at trial, the prosecutor asked him about conversations with a prisoner in an adjacent cell. These questions provoked a side-bar conference. The lawyers for the defense reasserted their request for "statements from the defendant," to which the court responded that "a statement…was furnished to the Court but…doesn't help [McCleskey]." App. 17. If there were any doubt about an additional document, it is difficult to see why such doubt had not evaporated by the time of the direct appeal and both the first state and first federal habeas actions. In those proceedings, McCleskey made deliberate withholding of a statement by McCleskey to Evans the specific basis for a Brady claim. In rejecting this claim on direct review, the Georgia Supreme Court said: "The prosecutor showed defense counsel his file, but did not furnish this witness's [i.e., Evans'] statement." McClesky v. State, 245 Ga. 108, 112, 263 S.E.2d 146, 150 (1980) (emphasis added). At the first state habeas corpus hearing, McCleskey's trial counsel testified that the prosecutor told him that the statement of an unnamed individual had been presented to the trial court, but withheld from the defense. The prosecutor made clear the individual's identity in his February, 1981, state habeas deposition when he stated:</w:t>
      </w:r>
    </w:p>
    <w:p w:rsidR="00A31137" w:rsidRPr="00A31137" w:rsidRDefault="00A31137" w:rsidP="00A31137">
      <w:r w:rsidRPr="00A31137">
        <w:t>1991, McCleskey v. Zant, 499 U.S. 529</w:t>
      </w:r>
    </w:p>
    <w:p w:rsidR="00A31137" w:rsidRPr="00A31137" w:rsidRDefault="00A31137" w:rsidP="00A31137">
      <w:r w:rsidRPr="00A31137">
        <w:t>…Offie Evans gave his statement but it was not introduced at the trial. It was part of the matter that was made [in] in camera inspection by the judge prior to trial.</w:t>
      </w:r>
    </w:p>
    <w:p w:rsidR="00A31137" w:rsidRPr="00A31137" w:rsidRDefault="00A31137" w:rsidP="00A31137">
      <w:r w:rsidRPr="00A31137">
        <w:t>1991, McCleskey v. Zant, 499 U.S. 529</w:t>
      </w:r>
    </w:p>
    <w:p w:rsidR="00A31137" w:rsidRPr="00A31137" w:rsidRDefault="00A31137" w:rsidP="00A31137">
      <w:r w:rsidRPr="00A31137">
        <w:t>App. 25.</w:t>
      </w:r>
    </w:p>
    <w:p w:rsidR="00A31137" w:rsidRPr="00A31137" w:rsidRDefault="00A31137" w:rsidP="00A31137">
      <w:r w:rsidRPr="00A31137">
        <w:t>1991, McCleskey v. Zant, 499 U.S. 529</w:t>
      </w:r>
    </w:p>
    <w:p w:rsidR="00A31137" w:rsidRPr="00A31137" w:rsidRDefault="00A31137" w:rsidP="00A31137">
      <w:r w:rsidRPr="00A31137">
        <w:t>All of this took place before the first federal petition. The record, then, furnishes strong evidence that McCleskey knew or should have known of the Evans document before the first federal petition, but chose not to pursue it. We need not pass upon the trial court's finding to the contrary, however, for the relevant question in this case is whether he knew or should have known of the contents of the conversations recounted in the document.</w:t>
      </w:r>
    </w:p>
    <w:p w:rsidR="00A31137" w:rsidRPr="00A31137" w:rsidRDefault="00A31137" w:rsidP="00A31137">
      <w:r w:rsidRPr="00A31137">
        <w:t>MARSHALL, J., dissenting (Footnotes)</w:t>
      </w:r>
    </w:p>
    <w:p w:rsidR="00A31137" w:rsidRPr="00A31137" w:rsidRDefault="00A31137" w:rsidP="00A31137">
      <w:r w:rsidRPr="00A31137">
        <w:t>1991, McCleskey v. Zant, 499 U.S. 529</w:t>
      </w:r>
    </w:p>
    <w:p w:rsidR="00A31137" w:rsidRPr="00A31137" w:rsidRDefault="00A31137" w:rsidP="00A31137">
      <w:r w:rsidRPr="00A31137">
        <w:t>1. Although Sanders examined the abuse of the writ question in the context of a motion for collateral review filed under 28 U.S.C. § 2255 the Court made it clear that the same principles apply in the context of a petition for habeas corpus filed under 28 U.S.C. § 2254. See 373 U.S. at 12-15.</w:t>
      </w:r>
    </w:p>
    <w:p w:rsidR="00A31137" w:rsidRPr="00A31137" w:rsidRDefault="00A31137" w:rsidP="00A31137">
      <w:r w:rsidRPr="00A31137">
        <w:t>1991, McCleskey v. Zant, 499 U.S. 529</w:t>
      </w:r>
    </w:p>
    <w:p w:rsidR="00A31137" w:rsidRPr="00A31137" w:rsidRDefault="00A31137" w:rsidP="00A31137">
      <w:r w:rsidRPr="00A31137">
        <w:t>2. Contrary to the majority's suggestion, this Court's more recent decisions on abuse of the writ by no means foreshadowed the shift to Sykes' strict liability standard. The cases cited by the majority all involved eleventh-hour dispositions of capital stay applications, and the cursory analysis in each ruling suggests merely that the habeas petitioner failed to carry his burden of articulating a credible explanation for having failed to raise the claim in an earlier petition. See Advisory Committee's Note to Habeas Corpus Rule 9, 28 U.S.C. p. 427 ("[T]he petitioner has the burden of proving that he has not abused the writ"); accord, Price v. Johnston, 334 U.S. 266,  292 (1948); see also Sanders v. United States, 373 U.S. 1,  10 (1963) (Government merely has burden to plead abuse of the writ). Thus, in Woodard v. Hutchins, 464 U.S. 377 (1984) (per curiam), the five Justices concurring in the order concluded that the habeas petitioner had abused the writ because he "offer[ed] no explanation for having failed to raise [three new] claims in his first petition for habeas corpus." Id. at 379 (Powell, J., joined by Burger, C.J., BLACKMUN, REHNQUIST, and O'CONNOR, JJ., concurring in order vacating stay) (emphasis added). A petitioner who gives no explanation for omitting his claims from a previous application necessarily fails to carry his burden of justification. Similarly, in Antone v. Dugger, 465 U.S. 200 (1984) (per curiam), the Court rejected as "meritless" the petitioner's claim that the imminence of his execution prevented his counsel from identifying all of the claims that could be raised in the first petition, because the petitioner's execution had in fact been stayed during the pendency of the original habeas proceeding. Id. at 206, n. 4. Finally, in 2Delo v. Stokes, 495 U.S. 320 (1990) (per curiam), the Court, in a five-sentence analysis, concluded that the petitioner had abused the writ by raising a claim the legal basis of which was readily apparent at the time of the first petition. Id. at 321-322. The opinion says nothing about whether the petitioner offered any explanation to rebut the presumption that the petitioner had deliberately abandoned this claim. In short, the analysis in these decisions is as consistent with Sanders' deliberate abandonment test as with Sykes' cause and prejudice test.</w:t>
      </w:r>
    </w:p>
    <w:p w:rsidR="00A31137" w:rsidRPr="00A31137" w:rsidRDefault="00A31137" w:rsidP="00A31137">
      <w:r w:rsidRPr="00A31137">
        <w:t>1991, McCleskey v. Zant, 499 U.S. 529</w:t>
      </w:r>
    </w:p>
    <w:p w:rsidR="00A31137" w:rsidRPr="00A31137" w:rsidRDefault="00A31137" w:rsidP="00A31137">
      <w:r w:rsidRPr="00A31137">
        <w:t>3. The majority is simply incorrect, moreover, when it claims that the "prejudice" component of the Sykes test is "[w]ell-defined in the case law." Ante at  496. The Court in Sykes expressly declined to define this concept, see 433 U.S. at  91, and since then, the Court has elaborated upon "prejudice" only as it applies to nonconstitutional jury instruction challenges, leaving "the import of the term in other situations…an open question." United States v. Frady, 456 U.S. 152,  168 (1982). Thus, far from resolving "confusion" over the proper application of the abuse of the writ doctrine, today's decision creates it.</w:t>
      </w:r>
    </w:p>
    <w:p w:rsidR="00A31137" w:rsidRPr="00A31137" w:rsidRDefault="00A31137" w:rsidP="00A31137">
      <w:r w:rsidRPr="00A31137">
        <w:t>1991, McCleskey v. Zant, 499 U.S. 529</w:t>
      </w:r>
    </w:p>
    <w:p w:rsidR="00A31137" w:rsidRPr="00A31137" w:rsidRDefault="00A31137" w:rsidP="00A31137">
      <w:r w:rsidRPr="00A31137">
        <w:t>4. In this respect, the abuse of the writ doctrine rests on a different foundation from the procedural default doctrine. In Wainwright v. Sykes, 433 U.S. 72 (1977), the Court emphasized that the procedural default rule set down in Fay v. Noia, 372 U.S. 391 (1963), derived only from "comity" considerations, 433 U.S. at  83, and explained that the content of this doctrine is therefore subject to the Court's traditional, common law discretion "to overturn or modify its earlier views of the scope of the writ, even where the statutory language authorizing judicial action has remained unchanged," id. at  81. But unlike Fay v. Noia's "deliberate bypass" test for procedural defaults, the "deliberate abandonment" test of Sanders has been expressly ratified by Congress. This legislative action necessarily constrains the scope of this Court's common lawmaking discretion.</w:t>
      </w:r>
    </w:p>
    <w:p w:rsidR="00A31137" w:rsidRPr="00A31137" w:rsidRDefault="00A31137" w:rsidP="00A31137">
      <w:r w:rsidRPr="00A31137">
        <w:t>1991, McCleskey v. Zant, 499 U.S. 529</w:t>
      </w:r>
    </w:p>
    <w:p w:rsidR="00A31137" w:rsidRPr="00A31137" w:rsidRDefault="00A31137" w:rsidP="00A31137">
      <w:r w:rsidRPr="00A31137">
        <w:t>5. Indeed, Congress expressly amended Rule 9(b) to eliminate language that would have established a standard similar to "inexcusable neglect." As initially submitted to Congress, Rule 9(b) would have authorized a district court to entertain a second or successive petition raising a previously unasserted ground unless the court "finds that the failure of the petitioner to assert th[at] groun[d] in a prior petition is not excusable." H.R.Rep. No. 94-1471, p. 8 (1976), U.S. Code Cong. &amp; Admin.News 1976, p. 2485 (emphasis added). Explaining that</w:t>
      </w:r>
    </w:p>
    <w:p w:rsidR="00A31137" w:rsidRPr="00A31137" w:rsidRDefault="00A31137" w:rsidP="00A31137">
      <w:r w:rsidRPr="00A31137">
        <w:t>1991, McCleskey v. Zant, 499 U.S. 529</w:t>
      </w:r>
    </w:p>
    <w:p w:rsidR="00A31137" w:rsidRPr="00A31137" w:rsidRDefault="00A31137" w:rsidP="00A31137">
      <w:r w:rsidRPr="00A31137">
        <w:t>the "not excusable" language [would] creat[e] a new and undefined standard that [would] g[ive] a judge too broad a discretion to dismiss a second or successive petition,</w:t>
      </w:r>
    </w:p>
    <w:p w:rsidR="00A31137" w:rsidRPr="00A31137" w:rsidRDefault="00A31137" w:rsidP="00A31137">
      <w:r w:rsidRPr="00A31137">
        <w:t>1991, McCleskey v. Zant, 499 U.S. 529</w:t>
      </w:r>
    </w:p>
    <w:p w:rsidR="00A31137" w:rsidRPr="00A31137" w:rsidRDefault="00A31137" w:rsidP="00A31137">
      <w:r w:rsidRPr="00A31137">
        <w:t>Congress substituted Sanders' "abuse of the writ" formulation. See id. at 5, U.S.Code Cong. &amp; Admin.News 1976, p. 2482. This amendment was designed to "brin[g] Rule 9(b) into conformity with existing law." Ibid.</w:t>
      </w:r>
    </w:p>
    <w:p w:rsidR="00A31137" w:rsidRPr="00A31137" w:rsidRDefault="00A31137" w:rsidP="00A31137">
      <w:r w:rsidRPr="00A31137">
        <w:t>1991, McCleskey v. Zant, 499 U.S. 529</w:t>
      </w:r>
    </w:p>
    <w:p w:rsidR="00A31137" w:rsidRPr="00A31137" w:rsidRDefault="00A31137" w:rsidP="00A31137">
      <w:r w:rsidRPr="00A31137">
        <w:t>6. House bill 5269 was the House version of the legislation that became the Crime Control Act of 1990, Pub.L. 101-647, 104 Stat. 4789, the final version of which left § 2244(b) unamended.</w:t>
      </w:r>
    </w:p>
    <w:p w:rsidR="00A31137" w:rsidRPr="00A31137" w:rsidRDefault="00A31137" w:rsidP="00A31137">
      <w:r w:rsidRPr="00A31137">
        <w:t>1991, McCleskey v. Zant, 499 U.S. 529</w:t>
      </w:r>
    </w:p>
    <w:p w:rsidR="00A31137" w:rsidRPr="00A31137" w:rsidRDefault="00A31137" w:rsidP="00A31137">
      <w:r w:rsidRPr="00A31137">
        <w:t>7. Moreover, the rejected amendment to § 2244(b) would have changed the standard only for second or subsequent petitions filed by petitioners under a sentence of death, leaving the Sanders standard intact for noncapital petitioners. The majority's decision today changes the standard for all habeas petitioners.</w:t>
      </w:r>
    </w:p>
    <w:p w:rsidR="00A31137" w:rsidRPr="00A31137" w:rsidRDefault="00A31137" w:rsidP="00A31137">
      <w:r w:rsidRPr="00A31137">
        <w:t>1991, McCleskey v. Zant, 499 U.S. 529</w:t>
      </w:r>
    </w:p>
    <w:p w:rsidR="00A31137" w:rsidRPr="00A31137" w:rsidRDefault="00A31137" w:rsidP="00A31137">
      <w:r w:rsidRPr="00A31137">
        <w:t>8. Insofar as the habeas court's entertainment of the petitioner's claim in these circumstances depends on the petitioner's articulation of a justifiable reason for having failed to raise the claim in the earlier federal petition, see Sanders, 373 U.S. at 17-18; Price v. Johnston, 334 U.S. at  291, the federal court may very well be considering the claim on the basis of evidence discovered after, or legal developments that postdate, the termination of the state proceedings. But the decision to permit a petitioner to avail himself of federal habeas relief under those conditions is one that Congress expressly made in authorizing district courts to entertain second or successive petitions under § 2244(b) and Rule 9(b). See S.Rep. No. 1797, at 2, U.S.Code Cong. &amp; Admin. News 1966, p. 3664 ("newly discovered evidence" is basis for second petition raising previously unasserted ground); Advisory Committee's Note to Habeas Corpus Rule 9, 28 U.S.C. p. 427 ("A retroactive change in the law and newly discovered evidence are examples" of "instances in which petitioner's failure to assert a ground in a prior petition is excusable").</w:t>
      </w:r>
    </w:p>
    <w:p w:rsidR="00A31137" w:rsidRPr="00A31137" w:rsidRDefault="00A31137" w:rsidP="00A31137">
      <w:r w:rsidRPr="00A31137">
        <w:t>1991, McCleskey v. Zant, 499 U.S. 529</w:t>
      </w:r>
    </w:p>
    <w:p w:rsidR="00A31137" w:rsidRPr="00A31137" w:rsidRDefault="00A31137" w:rsidP="00A31137">
      <w:r w:rsidRPr="00A31137">
        <w:t>9. The question reads:</w:t>
      </w:r>
    </w:p>
    <w:p w:rsidR="00A31137" w:rsidRPr="00A31137" w:rsidRDefault="00A31137" w:rsidP="00A31137">
      <w:r w:rsidRPr="00A31137">
        <w:t>1991, McCleskey v. Zant, 499 U.S. 529</w:t>
      </w:r>
    </w:p>
    <w:p w:rsidR="00A31137" w:rsidRPr="00A31137" w:rsidRDefault="00A31137" w:rsidP="00A31137">
      <w:r w:rsidRPr="00A31137">
        <w:t>Must the State demonstrate that a claim was deliberately abandoned in an earlier petition for a writ of habeas corpus in order to establish that inclusion of that claim in a subsequent habeas petition constitutes abuse of the writ?</w:t>
      </w:r>
    </w:p>
    <w:p w:rsidR="00A31137" w:rsidRPr="00A31137" w:rsidRDefault="00A31137" w:rsidP="00A31137">
      <w:r w:rsidRPr="00A31137">
        <w:t>1991, McCleskey v. Zant, 499 U.S. 529</w:t>
      </w:r>
    </w:p>
    <w:p w:rsidR="00A31137" w:rsidRPr="00A31137" w:rsidRDefault="00A31137" w:rsidP="00A31137">
      <w:r w:rsidRPr="00A31137">
        <w:t>496 U.S. 904 (1990) (emphasis added).</w:t>
      </w:r>
    </w:p>
    <w:p w:rsidR="00A31137" w:rsidRPr="00A31137" w:rsidRDefault="00A31137" w:rsidP="00A31137">
      <w:r w:rsidRPr="00A31137">
        <w:t>1991, McCleskey v. Zant, 499 U.S. 529</w:t>
      </w:r>
    </w:p>
    <w:p w:rsidR="00A31137" w:rsidRPr="00A31137" w:rsidRDefault="00A31137" w:rsidP="00A31137">
      <w:r w:rsidRPr="00A31137">
        <w:t>10. Petitioner McCleskey addressed the applicability of the cause and prejudice test only in his reply brief and in response to arguments raised by amicus curiae Criminal Justice Legal Foundation. It is well established, however, that this Court will not consider an argument advanced by amicus when that argument was not raised or passed on below and was not advanced in this Court by the party on whose behalf the argument is being raised. See United Parcel Service, Inc. v. Mitchell, 451 U.S. 56, 60, n. 2 (1981); Bell v. Wolfish, 441 U.S. 520, 531, n. 13 (1979); Knetsch v. United States, 364 U.S. 361, 370 (1960).</w:t>
      </w:r>
    </w:p>
    <w:p w:rsidR="00A31137" w:rsidRPr="00A31137" w:rsidRDefault="00A31137" w:rsidP="00A31137">
      <w:r w:rsidRPr="00A31137">
        <w:t>1991, McCleskey v. Zant, 499 U.S. 529</w:t>
      </w:r>
    </w:p>
    <w:p w:rsidR="00A31137" w:rsidRPr="00A31137" w:rsidRDefault="00A31137" w:rsidP="00A31137">
      <w:r w:rsidRPr="00A31137">
        <w:t>11. Nonetheless, "for the sake of completeness," the majority feels constrained to express its opinion that "this finding is not free from substantial doubt." Ante at  498, n. Pointing to certain vague clues arising at different points during the state proceedings at trial and on direct and collateral review, the majority asserts that</w:t>
      </w:r>
    </w:p>
    <w:p w:rsidR="00A31137" w:rsidRPr="00A31137" w:rsidRDefault="00A31137" w:rsidP="00A31137">
      <w:r w:rsidRPr="00A31137">
        <w:t>1991, McCleskey v. Zant, 499 U.S. 529</w:t>
      </w:r>
    </w:p>
    <w:p w:rsidR="00A31137" w:rsidRPr="00A31137" w:rsidRDefault="00A31137" w:rsidP="00A31137">
      <w:r w:rsidRPr="00A31137">
        <w:t>[t]he record…furnishes strong evidence that McCleskey knew or should have known of the Evans document before the first federal petition.</w:t>
      </w:r>
    </w:p>
    <w:p w:rsidR="00A31137" w:rsidRPr="00A31137" w:rsidRDefault="00A31137" w:rsidP="00A31137">
      <w:r w:rsidRPr="00A31137">
        <w:t>1991, McCleskey v. Zant, 499 U.S. 529</w:t>
      </w:r>
    </w:p>
    <w:p w:rsidR="00A31137" w:rsidRPr="00A31137" w:rsidRDefault="00A31137" w:rsidP="00A31137">
      <w:r w:rsidRPr="00A31137">
        <w:t>Ante at  499, n. It is the majority's account, however, that is incomplete. Omitted is any mention of the State's evasions of counsel's repeated attempts to compel disclosure of any statement in the State's possession. In particular, the majority neglects to mention the withholding of the statement from a box of documents produced during discovery in McCleskey's state collateral review action; these documents were represented to counsel as comprising "a complete copy of the prosecutor's file resulting from the criminal prosecution of Warren McCleskey in Fulton County." App. 29 (emphasis added). McCleskey ultimately obtained the statement by filing a request under a state "open records" statute that was not construed to apply to police investigative files until six years after McCleskey's first federal habeas proceeding. See generally Napper v. Georgia Television Co., 257 Ga. 156, 356 S.E.2d 640 (1987). This fact, too, is missing from the majority's account.</w:t>
      </w:r>
    </w:p>
    <w:p w:rsidR="00A31137" w:rsidRPr="00A31137" w:rsidRDefault="00A31137" w:rsidP="00A31137">
      <w:r w:rsidRPr="00A31137">
        <w:t>1991, McCleskey v. Zant, 499 U.S. 529</w:t>
      </w:r>
    </w:p>
    <w:p w:rsidR="00A31137" w:rsidRPr="00A31137" w:rsidRDefault="00A31137" w:rsidP="00A31137">
      <w:r w:rsidRPr="00A31137">
        <w:t>12. The majority gratuitously characterizes Worthy's testimony as being contradictory on the facts essential to McCleskey's Massiah claim. See ante at  475. According to the District Court—which is obviously in a better position to know than is the majority—"Worthy never waivered from the fact that someone, at some point, requested his permission to move Evans to be near McCleskey." App. 78; accord, id. at 81 ("The fact that someone, at some point, requested his permission to move Evans is the one fact from which Worthy never waivered in his two days of direct and cross-examination. The state has introduced no affirmative evidence that Worthy is either lying or mistaken").</w:t>
      </w:r>
    </w:p>
    <w:p w:rsidR="00A31137" w:rsidRPr="00A31137" w:rsidRDefault="00A31137" w:rsidP="00A31137">
      <w:r w:rsidRPr="00A31137">
        <w:t>Rust v. Sullivan, 1991</w:t>
      </w:r>
    </w:p>
    <w:p w:rsidR="00A31137" w:rsidRPr="00A31137" w:rsidRDefault="00A31137" w:rsidP="00A31137">
      <w:r w:rsidRPr="00A31137">
        <w:t>Title:</w:t>
      </w:r>
      <w:r w:rsidRPr="00A31137">
        <w:tab/>
        <w:t>Rust v. Sullivan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May 23, 1991</w:t>
      </w:r>
    </w:p>
    <w:p w:rsidR="00A31137" w:rsidRPr="00A31137" w:rsidRDefault="00A31137" w:rsidP="00A31137">
      <w:r w:rsidRPr="00A31137">
        <w:t>Source:</w:t>
      </w:r>
      <w:r w:rsidRPr="00A31137">
        <w:tab/>
        <w:t>500 U.S. 173</w:t>
      </w:r>
    </w:p>
    <w:p w:rsidR="00A31137" w:rsidRPr="00A31137" w:rsidRDefault="00A31137" w:rsidP="00A31137">
      <w:r w:rsidRPr="00A31137">
        <w:t>This case was argued October 30, 1990, and was decided May 23, 1991.</w:t>
      </w:r>
    </w:p>
    <w:p w:rsidR="00A31137" w:rsidRPr="00A31137" w:rsidRDefault="00A31137" w:rsidP="00A31137">
      <w:r w:rsidRPr="00A31137">
        <w:t>CERTIORARI TO THE UNITED STATES COURT OF APPEALS</w:t>
      </w:r>
    </w:p>
    <w:p w:rsidR="00A31137" w:rsidRPr="00A31137" w:rsidRDefault="00A31137" w:rsidP="00A31137">
      <w:r w:rsidRPr="00A31137">
        <w:t>FOR THE SECOND CIRCUIT</w:t>
      </w:r>
    </w:p>
    <w:p w:rsidR="00A31137" w:rsidRPr="00A31137" w:rsidRDefault="00A31137" w:rsidP="00A31137">
      <w:r w:rsidRPr="00A31137">
        <w:t>Syllabus</w:t>
      </w:r>
    </w:p>
    <w:p w:rsidR="00A31137" w:rsidRPr="00A31137" w:rsidRDefault="00A31137" w:rsidP="00A31137">
      <w:r w:rsidRPr="00A31137">
        <w:t>1991, Rust v. Sullivan, 500 U.S. 173</w:t>
      </w:r>
    </w:p>
    <w:p w:rsidR="00A31137" w:rsidRPr="00A31137" w:rsidRDefault="00A31137" w:rsidP="00A31137">
      <w:r w:rsidRPr="00A31137">
        <w:t>Section 1008 of the Public Health Service Act specifies that none of the federal funds appropriated under the Act's Title X for family-planning services "shall be used in programs where abortion is a method of family planning." In 1988, respondent Secretary of Health and Human Services issued new regulations that, inter alia, prohibit Title X projects from engaging in counseling concerning, referrals for, and activities advocating abortion as a method of family planning, and require such projects to maintain an objective integrity and independence from the prohibited abortion activities by the use of separate facilities, personnel, and accounting records. Before the regulations could be applied, petitioners—Title X grantees and doctors who supervise Title X funds—filed suits, which were consolidated, challenging the regulations' facial validity and seeking declaratory and injunctive relief to prevent their implementation. In affirming the District Court's grant of summary judgment to the Secretary, the Court of Appeals held that the regulations were a permissible construction of the statute and consistent with the First and Fifth Amendments.</w:t>
      </w:r>
    </w:p>
    <w:p w:rsidR="00A31137" w:rsidRPr="00A31137" w:rsidRDefault="00A31137" w:rsidP="00A31137">
      <w:r w:rsidRPr="00A31137">
        <w:t>1991, Rust v. Sullivan, 500 U.S. 173</w:t>
      </w:r>
    </w:p>
    <w:p w:rsidR="00A31137" w:rsidRPr="00A31137" w:rsidRDefault="00A31137" w:rsidP="00A31137">
      <w:r w:rsidRPr="00A31137">
        <w:t>Held:</w:t>
      </w:r>
    </w:p>
    <w:p w:rsidR="00A31137" w:rsidRPr="00A31137" w:rsidRDefault="00A31137" w:rsidP="00A31137">
      <w:r w:rsidRPr="00A31137">
        <w:t>1991, Rust v. Sullivan, 500 U.S. 173</w:t>
      </w:r>
    </w:p>
    <w:p w:rsidR="00A31137" w:rsidRPr="00A31137" w:rsidRDefault="00A31137" w:rsidP="00A31137">
      <w:r w:rsidRPr="00A31137">
        <w:tab/>
        <w:t>1. The regulations are a permissible construction of Title X. Pp.  183-191.</w:t>
      </w:r>
    </w:p>
    <w:p w:rsidR="00A31137" w:rsidRPr="00A31137" w:rsidRDefault="00A31137" w:rsidP="00A31137">
      <w:r w:rsidRPr="00A31137">
        <w:t>1991, Rust v. Sullivan, 500 U.S. 173</w:t>
      </w:r>
    </w:p>
    <w:p w:rsidR="00A31137" w:rsidRPr="00A31137" w:rsidRDefault="00A31137" w:rsidP="00A31137">
      <w:r w:rsidRPr="00A31137">
        <w:t>(a) Because § 1008 is ambiguous, in that it does not speak directly to the issues of abortion counseling, referral, and advocacy, or to "program integrity," the Secretary's construction must be accorded substantial deference as the interpretation of the agency charged with administering the statute, and may not be disturbed as an abuse of discretion if it reflects a plausible construction of the statute's plain language and does not otherwise conflict with Congress' expressed intent. Chevron U.S.A. Inc. v. Natural Resource Defense Council, Inc., 467 U.S. 837, 842-844. P.  184.</w:t>
      </w:r>
    </w:p>
    <w:p w:rsidR="00A31137" w:rsidRPr="00A31137" w:rsidRDefault="00A31137" w:rsidP="00A31137">
      <w:r w:rsidRPr="00A31137">
        <w:t>1991, Rust v. Sullivan, 500 U.S. 173</w:t>
      </w:r>
    </w:p>
    <w:p w:rsidR="00A31137" w:rsidRPr="00A31137" w:rsidRDefault="00A31137" w:rsidP="00A31137">
      <w:r w:rsidRPr="00A31137">
        <w:t>(b) Title X's broad language plainly allows the abortion counseling, referral, and advocacy regulations. Since the Title neither defines [500 U.S. 174] § 1008's "method of family planning" phrase nor enumerates what types of medical and counseling services are entitled to funding, it cannot be said that the Secretary's construction of the § 1008 prohibition to require a ban on such activities within Title X projects is impermissible. Moreover, since the legislative history is ambiguous as to Congress' intent on these issues, this Court will defer to the Secretary's expertise. Petitioners' contention, that the regulations are entitled to little or no deference because they reverse the Secretary's longstanding policy permitting nondirective counseling and referral for abortion, is rejected. Because an agency must be given ample latitude to adapt its rules to changing circumstances, a revised interpretation may deserve deference. The Secretary's change of interpretation is amply supported by a "reasoned analysis" indicating that the new regulations are more in keeping with the statute's original intent, are justified by client experience under the prior policy, and accord with a shift in attitude against the "elimination of unborn children by abortion." Pp. 184-187.</w:t>
      </w:r>
    </w:p>
    <w:p w:rsidR="00A31137" w:rsidRPr="00A31137" w:rsidRDefault="00A31137" w:rsidP="00A31137">
      <w:r w:rsidRPr="00A31137">
        <w:t>1991, Rust v. Sullivan, 500 U.S. 174</w:t>
      </w:r>
    </w:p>
    <w:p w:rsidR="00A31137" w:rsidRPr="00A31137" w:rsidRDefault="00A31137" w:rsidP="00A31137">
      <w:r w:rsidRPr="00A31137">
        <w:t>(c) The regulations' "program integrity" requirements are not inconsistent with Title X's plain language. The Secretary's view, that the requirements are necessary to ensure that Title X grantees apply federal funds only to authorized purposes and avoid creating the appearance of governmental support for abortion-related activities, is not unreasonable in light of § 1008's express prohibitory language and is entltled to deference. Petitioners' contention is unpersuasive that the requirements frustrate Congress' intent, clearly expressed in the Act and the legislative history, that Title X programs be an integral part of a broader, comprehensive, health care system that envisions the efficient use of non-Title X funds. The statements relied on are highly generalized and do not directly address the scope of § 1008 and, therefore, cannot form the basis for enjoining the regulations. Indeed, the legislative history demonstrates that Congress intended that Title X funds be kept separate and distinct from abortion-related activities. Moreover, there is no need to invalidate the regulations in order to save the statute from unconstitutionality, since petitioners' constitutional arguments do not carry the day. Pp.  187-191.</w:t>
      </w:r>
    </w:p>
    <w:p w:rsidR="00A31137" w:rsidRPr="00A31137" w:rsidRDefault="00A31137" w:rsidP="00A31137">
      <w:r w:rsidRPr="00A31137">
        <w:t>1991, Rust v. Sullivan, 500 U.S. 174</w:t>
      </w:r>
    </w:p>
    <w:p w:rsidR="00A31137" w:rsidRPr="00A31137" w:rsidRDefault="00A31137" w:rsidP="00A31137">
      <w:r w:rsidRPr="00A31137">
        <w:t>2. The regulations do not violate the First Amendment free speech rights of private Title X fund recipients, their staffs, or their patients by impermissibly imposing viewpoint-discriminatory conditions on Government subsidies. There is no question but that § 1008's prohibition is constitutional, since the Government may make a value judgment favoring childbirth over abortion, and implement that judgment by the allocation of public funds. Maher v. Roe, 432 U.S. 464,  474. In so doing, the Government has not discriminated on the basis of viewpoint; it has merely chosen to fund one activity to the exclusion of another. Similarly, [500 U.S. 175] in implementing the statutory prohibition by forbidding counseling, referral, and the provision of information regarding abortion as a method of family planning, the regulations simply ensure that appropriated funds are not used for activities, including speech, that are outside the federal program's scope. Arkansas Writers' Project, Inc. v. Ragland, 481 U.S. 221, distinguished. Petitioners' view that, if the Government chooses to subsidize one protected right, it must subsidize analogous counterpart rights, has been soundly rejected. See, e.g., Regan v. Taxation With Representation of Wash., 461 U.S. 540. On their face, the regulations cannot be read, as petitioners contend, to bar abortion referral or counseling where a woman's life is placed in imminent peril by her pregnancy, since it does not seem that such counseling could be considered a "method of family planning" under § 1008, and since provisions of the regulations themselves contemplate that a Title X project could engage in otherwise prohibited abortion-related activities in such circumstances. Nor can the regulations' restrictions on the subsidization of abortion-related speech be held to unconstitutionally condition the receipt of a benefit, Title X funding, on the relinquishment of a constitutional right, the right to engage in abortion advocacy and counseling. The regulations do not force the Title X grantee, or its employees, to give up abortion-related speech; they merely require that such activities be kept separate and distinct from the activities of the Title X project. FCC v. League of Women Voters of Cal., 468 U.S. 364, 400; Regan, supra, 461 U.S. at  546, distinguished. Although it could be argued that the traditional doctor-patient relationship should enjoy First Amendment protection from Government regulation, even when subsidized by the Government, cf., e.g., United States v. Kokinda, 497 U.S. 720, 726, that question need not be resolved here, since the Title X program regulations do not significantly impinge on the doctor-patient relationship. Pp.  192-200.</w:t>
      </w:r>
    </w:p>
    <w:p w:rsidR="00A31137" w:rsidRPr="00A31137" w:rsidRDefault="00A31137" w:rsidP="00A31137">
      <w:r w:rsidRPr="00A31137">
        <w:t>1991, Rust v. Sullivan, 500 U.S. 175</w:t>
      </w:r>
    </w:p>
    <w:p w:rsidR="00A31137" w:rsidRPr="00A31137" w:rsidRDefault="00A31137" w:rsidP="00A31137">
      <w:r w:rsidRPr="00A31137">
        <w:t>3. The regulations do not violate a woman's Fifth Amendment right to choose whether to terminate her pregnancy. The Government has no constitutional duty to subsidize an activity merely because it is constitutionally protected, and may validly choose to allocate public funds for medical services relating to childbirth but not to abortion. Webster v. Reproductive Health Services, 492 U.S. 490,  510. That allocation places no governmental obstacle in the path of a woman wishing to terminate her pregnancy, and leaves her with the same choices as if the Government had chosen not to fund family planning services at all. See, e.g., Harris v. McRae, 448 U.S. 297,  315,  317; Webster, supra,  509. Nor do the regulations place restrictions on the patient/doctor dialogue which violate a woman's right to make an informed and voluntary choice under Akron v. Akron Center for Reproductive Health, Inc., 462 U.S. [500 U.S. 176] 416, and Thornburg v. American College of Obstetricians and Gynecologists, 476 U.S. 747. Unlike the laws invalidated in those cases, which required all doctors to provide all pregnant patients contemplating abortion with specific antiabortion information, here, a doctor's ability to provide, and a woman's right to receive, abortion-related information remains unfettered outside the context of the Title X project. The fact that most Title X clients may be effectively precluded by indigency from seeing a health care provider for abortion-related services does not affect the outcome here, since the financial constraints on such a woman's ability to enjoy the full range of constitutionally protected freedom of choice are the product not of governmental restrictions, but of her indigency. McRae, supra, 448 U.S. at  316. Pp.  201-203.</w:t>
      </w:r>
    </w:p>
    <w:p w:rsidR="00A31137" w:rsidRPr="00A31137" w:rsidRDefault="00A31137" w:rsidP="00A31137">
      <w:r w:rsidRPr="00A31137">
        <w:t>1991, Rust v. Sullivan, 500 U.S. 176</w:t>
      </w:r>
    </w:p>
    <w:p w:rsidR="00A31137" w:rsidRPr="00A31137" w:rsidRDefault="00A31137" w:rsidP="00A31137">
      <w:r w:rsidRPr="00A31137">
        <w:t>889 F.2d 401 (C.A.2 1989), affirmed.</w:t>
      </w:r>
    </w:p>
    <w:p w:rsidR="00A31137" w:rsidRPr="00A31137" w:rsidRDefault="00A31137" w:rsidP="00A31137">
      <w:r w:rsidRPr="00A31137">
        <w:t>1991, Rust v. Sullivan, 500 U.S. 176</w:t>
      </w:r>
    </w:p>
    <w:p w:rsidR="00A31137" w:rsidRPr="00A31137" w:rsidRDefault="00A31137" w:rsidP="00A31137">
      <w:r w:rsidRPr="00A31137">
        <w:t xml:space="preserve">REHNQUIST, C.J., delivered the opinion of the Court, in which WHITE, KENNEDY, SCALIA, and SOUTER, JJ., joined. BLACKMUN, J., filed a dissenting opinion, in which MARSHALL, J., joined; in Part I of which O'CONNOR, J., joined; and in Parts II and III of which STEVENS, J., joined, post, p.  203. STEVENS, J., post, p.  220, and O'CONNOR, J., filed dissenting opinions, post, p.  223. [500 U.S. 177] </w:t>
      </w:r>
    </w:p>
    <w:p w:rsidR="00A31137" w:rsidRPr="00A31137" w:rsidRDefault="00A31137" w:rsidP="00A31137">
      <w:r w:rsidRPr="00A31137">
        <w:t>REHNQUIST, J., lead opinion</w:t>
      </w:r>
    </w:p>
    <w:p w:rsidR="00A31137" w:rsidRPr="00A31137" w:rsidRDefault="00A31137" w:rsidP="00A31137">
      <w:r w:rsidRPr="00A31137">
        <w:t>1991, Rust v. Sullivan, 500 U.S. 177</w:t>
      </w:r>
    </w:p>
    <w:p w:rsidR="00A31137" w:rsidRPr="00A31137" w:rsidRDefault="00A31137" w:rsidP="00A31137">
      <w:r w:rsidRPr="00A31137">
        <w:t>CHIEF JUSTICE REHNQUIST delivered the opinion of the Court.</w:t>
      </w:r>
    </w:p>
    <w:p w:rsidR="00A31137" w:rsidRPr="00A31137" w:rsidRDefault="00A31137" w:rsidP="00A31137">
      <w:r w:rsidRPr="00A31137">
        <w:t>1991, Rust v. Sullivan, 500 U.S. 177</w:t>
      </w:r>
    </w:p>
    <w:p w:rsidR="00A31137" w:rsidRPr="00A31137" w:rsidRDefault="00A31137" w:rsidP="00A31137">
      <w:r w:rsidRPr="00A31137">
        <w:t>These cases concern a facial challenge to Department of Health and Human Services (HHS) regulations which limit [500 U.S. 178] the ability of Title X fund recipients to engage in abortion-related activities. The United States Court of Appeals for the Second Circuit upheld the regulations, finding them to be a permissible construction of the statute, as well as consistent with the First and Fifth Amendments of the Constitution. We granted certiorari to resolve a split among the Courts of Appeals. 1 We affirm.</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1991, Rust v. Sullivan, 500 U.S. 178</w:t>
      </w:r>
    </w:p>
    <w:p w:rsidR="00A31137" w:rsidRPr="00A31137" w:rsidRDefault="00A31137" w:rsidP="00A31137">
      <w:r w:rsidRPr="00A31137">
        <w:t>In 1970, Congress enacted Title X of the Public Health Service Act (Act), 84 stat. 1506, as amended, 42 U.S.C. §§ 300-300a6, which provides federal funding for family planning services. The Act authorizes the Secretary to</w:t>
      </w:r>
    </w:p>
    <w:p w:rsidR="00A31137" w:rsidRPr="00A31137" w:rsidRDefault="00A31137" w:rsidP="00A31137">
      <w:r w:rsidRPr="00A31137">
        <w:t>1991, Rust v. Sullivan, 500 U.S. 178</w:t>
      </w:r>
    </w:p>
    <w:p w:rsidR="00A31137" w:rsidRPr="00A31137" w:rsidRDefault="00A31137" w:rsidP="00A31137">
      <w:r w:rsidRPr="00A31137">
        <w:t>make grants to and enter into contracts with public or nonprofit private entities to assist in the establishment and operation of voluntary family planning projects which shall offer a broad range of acceptable and effective family [500 U.S. 179] planning methods and services.</w:t>
      </w:r>
    </w:p>
    <w:p w:rsidR="00A31137" w:rsidRPr="00A31137" w:rsidRDefault="00A31137" w:rsidP="00A31137">
      <w:r w:rsidRPr="00A31137">
        <w:t>1991, Rust v. Sullivan, 500 U.S. 179</w:t>
      </w:r>
    </w:p>
    <w:p w:rsidR="00A31137" w:rsidRPr="00A31137" w:rsidRDefault="00A31137" w:rsidP="00A31137">
      <w:r w:rsidRPr="00A31137">
        <w:t>42 U.S.C. § 300(a). Grants and contracts under Title X must "be made in accordance with such regulations as the Secretary may promulgate." 42 U.S.C. § 300a-4. Section 1008 of the Act, however, provides that "[n]one of the funds appropriated under this subchapter shall be used in programs where abortion is a method of family planning." 42 U.S.C. § 300a-6. That restriction was intended to ensure that Title X funds would</w:t>
      </w:r>
    </w:p>
    <w:p w:rsidR="00A31137" w:rsidRPr="00A31137" w:rsidRDefault="00A31137" w:rsidP="00A31137">
      <w:r w:rsidRPr="00A31137">
        <w:t>1991, Rust v. Sullivan, 500 U.S. 179</w:t>
      </w:r>
    </w:p>
    <w:p w:rsidR="00A31137" w:rsidRPr="00A31137" w:rsidRDefault="00A31137" w:rsidP="00A31137">
      <w:r w:rsidRPr="00A31137">
        <w:t>be used only to support preventive family planning services, population research, infertility services, and other related medical, informational, and educational activities.</w:t>
      </w:r>
    </w:p>
    <w:p w:rsidR="00A31137" w:rsidRPr="00A31137" w:rsidRDefault="00A31137" w:rsidP="00A31137">
      <w:r w:rsidRPr="00A31137">
        <w:t>1991, Rust v. Sullivan, 500 U.S. 179</w:t>
      </w:r>
    </w:p>
    <w:p w:rsidR="00A31137" w:rsidRPr="00A31137" w:rsidRDefault="00A31137" w:rsidP="00A31137">
      <w:r w:rsidRPr="00A31137">
        <w:t>H.R. Conf.Rep. No. 91-1667, p. 8 (1970), U.S.Code Cong. &amp; Admin.News 1970, pp. 5068, 5081-82.</w:t>
      </w:r>
    </w:p>
    <w:p w:rsidR="00A31137" w:rsidRPr="00A31137" w:rsidRDefault="00A31137" w:rsidP="00A31137">
      <w:r w:rsidRPr="00A31137">
        <w:t>1991, Rust v. Sullivan, 500 U.S. 179</w:t>
      </w:r>
    </w:p>
    <w:p w:rsidR="00A31137" w:rsidRPr="00A31137" w:rsidRDefault="00A31137" w:rsidP="00A31137">
      <w:r w:rsidRPr="00A31137">
        <w:t>In 1988, the Secretary promulgated new regulations designed to provide</w:t>
      </w:r>
    </w:p>
    <w:p w:rsidR="00A31137" w:rsidRPr="00A31137" w:rsidRDefault="00A31137" w:rsidP="00A31137">
      <w:r w:rsidRPr="00A31137">
        <w:t>1991, Rust v. Sullivan, 500 U.S. 179</w:t>
      </w:r>
    </w:p>
    <w:p w:rsidR="00A31137" w:rsidRPr="00A31137" w:rsidRDefault="00A31137" w:rsidP="00A31137">
      <w:r w:rsidRPr="00A31137">
        <w:t>"clear and operational guidance" to grantees about how to preserve the distinction between Title X programs and abortion as a method of family planning.</w:t>
      </w:r>
    </w:p>
    <w:p w:rsidR="00A31137" w:rsidRPr="00A31137" w:rsidRDefault="00A31137" w:rsidP="00A31137">
      <w:r w:rsidRPr="00A31137">
        <w:t>1991, Rust v. Sullivan, 500 U.S. 179</w:t>
      </w:r>
    </w:p>
    <w:p w:rsidR="00A31137" w:rsidRPr="00A31137" w:rsidRDefault="00A31137" w:rsidP="00A31137">
      <w:r w:rsidRPr="00A31137">
        <w:t>53 Fed.Reg. 29232924 (1988). The regulations clarify, through the definition of the term "family planning," that Congress intended Title X funds "to be used only to support preventive family planning services." H.R.Conf. Rep. No. 91-1667, p. 8, U.S.Code Cong. &amp; Admin.News 1970, p. 5081 (emphasis added). Accordingly, Title X services are limited to "preconceptual counseling, education, and general reproductive health care," and expressly exclude "pregnancy care (including obstetric or prenatal care)." 42 CFR § 59.2 (1989). 2 The regulations</w:t>
      </w:r>
    </w:p>
    <w:p w:rsidR="00A31137" w:rsidRPr="00A31137" w:rsidRDefault="00A31137" w:rsidP="00A31137">
      <w:r w:rsidRPr="00A31137">
        <w:t>1991, Rust v. Sullivan, 500 U.S. 179</w:t>
      </w:r>
    </w:p>
    <w:p w:rsidR="00A31137" w:rsidRPr="00A31137" w:rsidRDefault="00A31137" w:rsidP="00A31137">
      <w:r w:rsidRPr="00A31137">
        <w:t>focus the emphasis of the Title X program on its traditional mission: the provision of preventive family planning services specifically designed to enable individuals to determine the number and spacing of their children, while clarifying that pregnant women must be referred to appropriate prenatal care services.</w:t>
      </w:r>
    </w:p>
    <w:p w:rsidR="00A31137" w:rsidRPr="00A31137" w:rsidRDefault="00A31137" w:rsidP="00A31137">
      <w:r w:rsidRPr="00A31137">
        <w:t>1991, Rust v. Sullivan, 500 U.S. 179</w:t>
      </w:r>
    </w:p>
    <w:p w:rsidR="00A31137" w:rsidRPr="00A31137" w:rsidRDefault="00A31137" w:rsidP="00A31137">
      <w:r w:rsidRPr="00A31137">
        <w:t>53 Fed.Reg. 2925 (1988).</w:t>
      </w:r>
    </w:p>
    <w:p w:rsidR="00A31137" w:rsidRPr="00A31137" w:rsidRDefault="00A31137" w:rsidP="00A31137">
      <w:r w:rsidRPr="00A31137">
        <w:t>1991, Rust v. Sullivan, 500 U.S. 179</w:t>
      </w:r>
    </w:p>
    <w:p w:rsidR="00A31137" w:rsidRPr="00A31137" w:rsidRDefault="00A31137" w:rsidP="00A31137">
      <w:r w:rsidRPr="00A31137">
        <w:t>The regulations attach three principal conditions on the grant of federal funds for Title X projects. First, the regulations specify that a</w:t>
      </w:r>
    </w:p>
    <w:p w:rsidR="00A31137" w:rsidRPr="00A31137" w:rsidRDefault="00A31137" w:rsidP="00A31137">
      <w:r w:rsidRPr="00A31137">
        <w:t>1991, Rust v. Sullivan, 500 U.S. 179</w:t>
      </w:r>
    </w:p>
    <w:p w:rsidR="00A31137" w:rsidRPr="00A31137" w:rsidRDefault="00A31137" w:rsidP="00A31137">
      <w:r w:rsidRPr="00A31137">
        <w:t>Title X project may not provide counseling concerning the use of abortion as a method of family planning or provide referral for abortion as a method of family planning.</w:t>
      </w:r>
    </w:p>
    <w:p w:rsidR="00A31137" w:rsidRPr="00A31137" w:rsidRDefault="00A31137" w:rsidP="00A31137">
      <w:r w:rsidRPr="00A31137">
        <w:t>1991, Rust v. Sullivan, 500 U.S. 179</w:t>
      </w:r>
    </w:p>
    <w:p w:rsidR="00A31137" w:rsidRPr="00A31137" w:rsidRDefault="00A31137" w:rsidP="00A31137">
      <w:r w:rsidRPr="00A31137">
        <w:t>42 CFR 59.8(a)(1) (1989). Because Title X is limited to preconceptional services, the program does not furnish services related to childbirth. Only in the context of a referral out of the Title X program is a pregnant woman given transitional information. § 59.8(a)(2). Title X [500 U.S. 180] projects must refer every pregnant client</w:t>
      </w:r>
    </w:p>
    <w:p w:rsidR="00A31137" w:rsidRPr="00A31137" w:rsidRDefault="00A31137" w:rsidP="00A31137">
      <w:r w:rsidRPr="00A31137">
        <w:t>1991, Rust v. Sullivan, 500 U.S. 180</w:t>
      </w:r>
    </w:p>
    <w:p w:rsidR="00A31137" w:rsidRPr="00A31137" w:rsidRDefault="00A31137" w:rsidP="00A31137">
      <w:r w:rsidRPr="00A31137">
        <w:t>for appropriate prenatal and/or social services by furnishing a list of available providers that promote the welfare of the mother and the unborn child.</w:t>
      </w:r>
    </w:p>
    <w:p w:rsidR="00A31137" w:rsidRPr="00A31137" w:rsidRDefault="00A31137" w:rsidP="00A31137">
      <w:r w:rsidRPr="00A31137">
        <w:t>1991, Rust v. Sullivan, 500 U.S. 180</w:t>
      </w:r>
    </w:p>
    <w:p w:rsidR="00A31137" w:rsidRPr="00A31137" w:rsidRDefault="00A31137" w:rsidP="00A31137">
      <w:r w:rsidRPr="00A31137">
        <w:t>Ibid. The list may not be used indirectly to encourage or promote abortion,</w:t>
      </w:r>
    </w:p>
    <w:p w:rsidR="00A31137" w:rsidRPr="00A31137" w:rsidRDefault="00A31137" w:rsidP="00A31137">
      <w:r w:rsidRPr="00A31137">
        <w:t>1991, Rust v. Sullivan, 500 U.S. 180</w:t>
      </w:r>
    </w:p>
    <w:p w:rsidR="00A31137" w:rsidRPr="00A31137" w:rsidRDefault="00A31137" w:rsidP="00A31137">
      <w:r w:rsidRPr="00A31137">
        <w:t>such as by weighing the list of referrals in favor of health care providers which perform abortions, by including on the list of referral providers health care providers whose principal business is the provision of abortions, by excluding available providers who do not provide abortions, or by "steering" clients to providers who offer abortion as a method of family planning.</w:t>
      </w:r>
    </w:p>
    <w:p w:rsidR="00A31137" w:rsidRPr="00A31137" w:rsidRDefault="00A31137" w:rsidP="00A31137">
      <w:r w:rsidRPr="00A31137">
        <w:t>1991, Rust v. Sullivan, 500 U.S. 180</w:t>
      </w:r>
    </w:p>
    <w:p w:rsidR="00A31137" w:rsidRPr="00A31137" w:rsidRDefault="00A31137" w:rsidP="00A31137">
      <w:r w:rsidRPr="00A31137">
        <w:t>§ 59.8(a)(3). The Title X project is expressly prohibited from referring a pregnant woman to an abortion provider, even upon specific request. One permissible response to such an inquiry is that</w:t>
      </w:r>
    </w:p>
    <w:p w:rsidR="00A31137" w:rsidRPr="00A31137" w:rsidRDefault="00A31137" w:rsidP="00A31137">
      <w:r w:rsidRPr="00A31137">
        <w:t>1991, Rust v. Sullivan, 500 U.S. 180</w:t>
      </w:r>
    </w:p>
    <w:p w:rsidR="00A31137" w:rsidRPr="00A31137" w:rsidRDefault="00A31137" w:rsidP="00A31137">
      <w:r w:rsidRPr="00A31137">
        <w:t>the project does not consider abortion an appropriate method of family planning, and therefore does not counsel or refer for abortion.</w:t>
      </w:r>
    </w:p>
    <w:p w:rsidR="00A31137" w:rsidRPr="00A31137" w:rsidRDefault="00A31137" w:rsidP="00A31137">
      <w:r w:rsidRPr="00A31137">
        <w:t>1991, Rust v. Sullivan, 500 U.S. 180</w:t>
      </w:r>
    </w:p>
    <w:p w:rsidR="00A31137" w:rsidRPr="00A31137" w:rsidRDefault="00A31137" w:rsidP="00A31137">
      <w:r w:rsidRPr="00A31137">
        <w:t>§ 59.8(b)(5).</w:t>
      </w:r>
    </w:p>
    <w:p w:rsidR="00A31137" w:rsidRPr="00A31137" w:rsidRDefault="00A31137" w:rsidP="00A31137">
      <w:r w:rsidRPr="00A31137">
        <w:t>1991, Rust v. Sullivan, 500 U.S. 180</w:t>
      </w:r>
    </w:p>
    <w:p w:rsidR="00A31137" w:rsidRPr="00A31137" w:rsidRDefault="00A31137" w:rsidP="00A31137">
      <w:r w:rsidRPr="00A31137">
        <w:t>Second, the regulations broadly prohibit a Title X project from engaging in activities that "encourage, promote or advocate abortion as a method of family planning." § 59.10(a). Forbidden activities include lobbying for legislation that would increase the availability of abortion as a method of family planning, developing or disseminating materials advocating abortion as a method of family planning, providing speakers to promote abortion as a method of family planning, using legal action to make abortion available in any way as a method of family planning, and paying dues to any group that advocates abortion as a method of family planning as a substantial part of its activities. Ibid.</w:t>
      </w:r>
    </w:p>
    <w:p w:rsidR="00A31137" w:rsidRPr="00A31137" w:rsidRDefault="00A31137" w:rsidP="00A31137">
      <w:r w:rsidRPr="00A31137">
        <w:t>B</w:t>
      </w:r>
    </w:p>
    <w:p w:rsidR="00A31137" w:rsidRPr="00A31137" w:rsidRDefault="00A31137" w:rsidP="00A31137">
      <w:r w:rsidRPr="00A31137">
        <w:t>1991, Rust v. Sullivan, 500 U.S. 180</w:t>
      </w:r>
    </w:p>
    <w:p w:rsidR="00A31137" w:rsidRPr="00A31137" w:rsidRDefault="00A31137" w:rsidP="00A31137">
      <w:r w:rsidRPr="00A31137">
        <w:t>Third, the regulations require that Title X projects be organized so that they are "physically and financially separate" from prohibited abortion activities. § 59.9. To be deemed physically and financially separate,</w:t>
      </w:r>
    </w:p>
    <w:p w:rsidR="00A31137" w:rsidRPr="00A31137" w:rsidRDefault="00A31137" w:rsidP="00A31137">
      <w:r w:rsidRPr="00A31137">
        <w:t>1991, Rust v. Sullivan, 500 U.S. 180</w:t>
      </w:r>
    </w:p>
    <w:p w:rsidR="00A31137" w:rsidRPr="00A31137" w:rsidRDefault="00A31137" w:rsidP="00A31137">
      <w:r w:rsidRPr="00A31137">
        <w:t>a Title X project must have an objective integrity and independence from prohibited activities. Mere bookkeeping separation of Title X funds from other monies is not sufficient.</w:t>
      </w:r>
    </w:p>
    <w:p w:rsidR="00A31137" w:rsidRPr="00A31137" w:rsidRDefault="00A31137" w:rsidP="00A31137">
      <w:r w:rsidRPr="00A31137">
        <w:t>1991, Rust v. Sullivan, 500 U.S. 180</w:t>
      </w:r>
    </w:p>
    <w:p w:rsidR="00A31137" w:rsidRPr="00A31137" w:rsidRDefault="00A31137" w:rsidP="00A31137">
      <w:r w:rsidRPr="00A31137">
        <w:t>Ibid. The regulations [500 U.S. 181] provide a list of nonexclusive factors for the Secretary to consider in conducting a case-by-case determination of objective integrity and independence, such as the existence of separate accounting records and separate personnel, and the degree of physical separation of the project from facilities for prohibited activities. Ibid.</w:t>
      </w:r>
    </w:p>
    <w:p w:rsidR="00A31137" w:rsidRPr="00A31137" w:rsidRDefault="00A31137" w:rsidP="00A31137">
      <w:r w:rsidRPr="00A31137">
        <w:t>1991, Rust v. Sullivan, 500 U.S. 181</w:t>
      </w:r>
    </w:p>
    <w:p w:rsidR="00A31137" w:rsidRPr="00A31137" w:rsidRDefault="00A31137" w:rsidP="00A31137">
      <w:r w:rsidRPr="00A31137">
        <w:t>Petitioners are Title X grantees and doctors who supervise Title X funds suing on behalf of themselves and their patients. Respondent is the Secretary of the Department of Health and Human Services. After the regulations had been promulgated, but before they had been applied, petitioners filed two separate actions, later consolidated, challenging the facial validity of the regulations and seeking declaratory and injunctive relief to prevent implementation of the regulations. Petitioners challenged the regulations on the grounds that they were not authorized by Title X and that they violate the First and Fifth Amendment rights of Title X clients and the First Amendment rights of Title X health providers. After initially granting the petitioners a preliminary injunction, the District Court rejected petitioners' statutory and constitutional challenges to the regulations and granted summary judgment in favor of the Secretary. New York v. Bowen, 690 F.Supp. 1261 (SDNY 1988).</w:t>
      </w:r>
    </w:p>
    <w:p w:rsidR="00A31137" w:rsidRPr="00A31137" w:rsidRDefault="00A31137" w:rsidP="00A31137">
      <w:r w:rsidRPr="00A31137">
        <w:t>1991, Rust v. Sullivan, 500 U.S. 181</w:t>
      </w:r>
    </w:p>
    <w:p w:rsidR="00A31137" w:rsidRPr="00A31137" w:rsidRDefault="00A31137" w:rsidP="00A31137">
      <w:r w:rsidRPr="00A31137">
        <w:t>A panel of the Court of Appeals for the Second Circuit affirmed. 889 F.2d 401 (1989). Applying this Court's decision in Chevron U.S.A. Inc. v. Natural Resources Defense Council, Inc., 467 U.S. 837, 842-843 (1984), the Court of Appeals determined that the regulations were a permissible construction of the statute that legitimately effectuated Congressional intent. The court rejected as "highly strained," petitioners' contention that the plain language of § 1008 forbids Title X projects only from performing abortions. The court reasoned that</w:t>
      </w:r>
    </w:p>
    <w:p w:rsidR="00A31137" w:rsidRPr="00A31137" w:rsidRDefault="00A31137" w:rsidP="00A31137">
      <w:r w:rsidRPr="00A31137">
        <w:t>1991, Rust v. Sullivan, 500 U.S. 181</w:t>
      </w:r>
    </w:p>
    <w:p w:rsidR="00A31137" w:rsidRPr="00A31137" w:rsidRDefault="00A31137" w:rsidP="00A31137">
      <w:r w:rsidRPr="00A31137">
        <w:t>it would be wholly anomalous to read Section 1008 to mean that a program that merely counsels, but does not perform, abortions does not include abortion as a "method of family planning."</w:t>
      </w:r>
    </w:p>
    <w:p w:rsidR="00A31137" w:rsidRPr="00A31137" w:rsidRDefault="00A31137" w:rsidP="00A31137">
      <w:r w:rsidRPr="00A31137">
        <w:t>1991, Rust v. Sullivan, 500 U.S. 181</w:t>
      </w:r>
    </w:p>
    <w:p w:rsidR="00A31137" w:rsidRPr="00A31137" w:rsidRDefault="00A31137" w:rsidP="00A31137">
      <w:r w:rsidRPr="00A31137">
        <w:t>889 F.2d at 407. "[T]he natural [500 U.S. 182] construction of…the term 'method of family planning' includes counseling concerning abortion." Ibid. The court found this construction consistent with the legislative history, and observed that</w:t>
      </w:r>
    </w:p>
    <w:p w:rsidR="00A31137" w:rsidRPr="00A31137" w:rsidRDefault="00A31137" w:rsidP="00A31137">
      <w:r w:rsidRPr="00A31137">
        <w:t>1991, Rust v. Sullivan, 500 U.S. 182</w:t>
      </w:r>
    </w:p>
    <w:p w:rsidR="00A31137" w:rsidRPr="00A31137" w:rsidRDefault="00A31137" w:rsidP="00A31137">
      <w:r w:rsidRPr="00A31137">
        <w:t>[a]ppellants' contrary view of the legislative history is based entirely on highly generalized statements about the expansive scope of the family planning services</w:t>
      </w:r>
    </w:p>
    <w:p w:rsidR="00A31137" w:rsidRPr="00A31137" w:rsidRDefault="00A31137" w:rsidP="00A31137">
      <w:r w:rsidRPr="00A31137">
        <w:t>1991, Rust v. Sullivan, 500 U.S. 182</w:t>
      </w:r>
    </w:p>
    <w:p w:rsidR="00A31137" w:rsidRPr="00A31137" w:rsidRDefault="00A31137" w:rsidP="00A31137">
      <w:r w:rsidRPr="00A31137">
        <w:t>that "do not specifically mention counseling concerning abortion as an intended service of Title X projects" and that "surely cannot be read to trump a section of the statute that specifically excludes it." Id. at 407-408.</w:t>
      </w:r>
    </w:p>
    <w:p w:rsidR="00A31137" w:rsidRPr="00A31137" w:rsidRDefault="00A31137" w:rsidP="00A31137">
      <w:r w:rsidRPr="00A31137">
        <w:t>1991, Rust v. Sullivan, 500 U.S. 182</w:t>
      </w:r>
    </w:p>
    <w:p w:rsidR="00A31137" w:rsidRPr="00A31137" w:rsidRDefault="00A31137" w:rsidP="00A31137">
      <w:r w:rsidRPr="00A31137">
        <w:t>Turning to petitioners' constitutional challenges to the regulations, the Court of Appeals rejected petitioners' Fifth Amendment challenge. It held that the regulations do not impermissibly burden a woman's right to an abortion, because the</w:t>
      </w:r>
    </w:p>
    <w:p w:rsidR="00A31137" w:rsidRPr="00A31137" w:rsidRDefault="00A31137" w:rsidP="00A31137">
      <w:r w:rsidRPr="00A31137">
        <w:t>1991, Rust v. Sullivan, 500 U.S. 182</w:t>
      </w:r>
    </w:p>
    <w:p w:rsidR="00A31137" w:rsidRPr="00A31137" w:rsidRDefault="00A31137" w:rsidP="00A31137">
      <w:r w:rsidRPr="00A31137">
        <w:t>government may validly choose to favor childbirth over abortion and to implement that choice by funding medical services relating to childbirth but not those relating to abortion.</w:t>
      </w:r>
    </w:p>
    <w:p w:rsidR="00A31137" w:rsidRPr="00A31137" w:rsidRDefault="00A31137" w:rsidP="00A31137">
      <w:r w:rsidRPr="00A31137">
        <w:t>1991, Rust v. Sullivan, 500 U.S. 182</w:t>
      </w:r>
    </w:p>
    <w:p w:rsidR="00A31137" w:rsidRPr="00A31137" w:rsidRDefault="00A31137" w:rsidP="00A31137">
      <w:r w:rsidRPr="00A31137">
        <w:t>Id. at 410. Finding that the prohibition on the performance of abortions upheld by the Court in Webster v. Reproductive Health Services, 492 U.S. 490 (1989), was "substantially greater in impact than the regulations challenged in the instant matter," 889 F.2d at 411, the court concluded that the regulations "create[d] no affirmative legal barriers to access to abortion." Ibid., citing Webster v. Reproductive Health Services.</w:t>
      </w:r>
    </w:p>
    <w:p w:rsidR="00A31137" w:rsidRPr="00A31137" w:rsidRDefault="00A31137" w:rsidP="00A31137">
      <w:r w:rsidRPr="00A31137">
        <w:t>1991, Rust v. Sullivan, 500 U.S. 182</w:t>
      </w:r>
    </w:p>
    <w:p w:rsidR="00A31137" w:rsidRPr="00A31137" w:rsidRDefault="00A31137" w:rsidP="00A31137">
      <w:r w:rsidRPr="00A31137">
        <w:t>The court likewise found that the</w:t>
      </w:r>
    </w:p>
    <w:p w:rsidR="00A31137" w:rsidRPr="00A31137" w:rsidRDefault="00A31137" w:rsidP="00A31137">
      <w:r w:rsidRPr="00A31137">
        <w:t>1991, Rust v. Sullivan, 500 U.S. 182</w:t>
      </w:r>
    </w:p>
    <w:p w:rsidR="00A31137" w:rsidRPr="00A31137" w:rsidRDefault="00A31137" w:rsidP="00A31137">
      <w:r w:rsidRPr="00A31137">
        <w:t>Secretary's implementation of Congress's decision not to fund abortion counseling, referral or advocacy also does not, under applicable Supreme Court precedent, constitute a facial violation of the First Amendment rights of health care providers or of women.</w:t>
      </w:r>
    </w:p>
    <w:p w:rsidR="00A31137" w:rsidRPr="00A31137" w:rsidRDefault="00A31137" w:rsidP="00A31137">
      <w:r w:rsidRPr="00A31137">
        <w:t>1991, Rust v. Sullivan, 500 U.S. 182</w:t>
      </w:r>
    </w:p>
    <w:p w:rsidR="00A31137" w:rsidRPr="00A31137" w:rsidRDefault="00A31137" w:rsidP="00A31137">
      <w:r w:rsidRPr="00A31137">
        <w:t>889 F.2d at 412. The court explained that, under Regan v. Taxation With Representation of Wash., 461 U.S. 540 (1983), the government has no obligation to subsidize even the exercise of fundamental rights, including "speech rights." The court also held that the regulations do not violate the First Amendment by "condition[ing] receipt of a benefit on the [500 U.S. 183] relinquishment of constitutional rights," because Title X grantees and their employees "remain free to say whatever they wish about abortion outside the Title X project." 889 F.2d at 412. Finally, the court rejected petitioners' contention that the regulations "facially discriminate on the basis of the viewpoint of the speech involved." Id. at 414.</w:t>
      </w:r>
    </w:p>
    <w:p w:rsidR="00A31137" w:rsidRPr="00A31137" w:rsidRDefault="00A31137" w:rsidP="00A31137">
      <w:r w:rsidRPr="00A31137">
        <w:t>II</w:t>
      </w:r>
    </w:p>
    <w:p w:rsidR="00A31137" w:rsidRPr="00A31137" w:rsidRDefault="00A31137" w:rsidP="00A31137">
      <w:r w:rsidRPr="00A31137">
        <w:t>1991, Rust v. Sullivan, 500 U.S. 183</w:t>
      </w:r>
    </w:p>
    <w:p w:rsidR="00A31137" w:rsidRPr="00A31137" w:rsidRDefault="00A31137" w:rsidP="00A31137">
      <w:r w:rsidRPr="00A31137">
        <w:t>We begin by pointing out the posture of the cases before us. Petitioners are challenging the facial validity of the regulations. Thus, we are concerned only with the question whether, on their face, the regulations are both authorized by the Act, and can be construed in such a manner that they can be applied to a set of individuals without infringing upon constitutionally protected rights. Petitioners face a heavy burden in seeking to have the regulations invalidated as facially unconstitutional.</w:t>
      </w:r>
    </w:p>
    <w:p w:rsidR="00A31137" w:rsidRPr="00A31137" w:rsidRDefault="00A31137" w:rsidP="00A31137">
      <w:r w:rsidRPr="00A31137">
        <w:t>1991, Rust v. Sullivan, 500 U.S. 183</w:t>
      </w:r>
    </w:p>
    <w:p w:rsidR="00A31137" w:rsidRPr="00A31137" w:rsidRDefault="00A31137" w:rsidP="00A31137">
      <w:r w:rsidRPr="00A31137">
        <w:t>A facial challenge to a legislative Act is, of course, the most difficult challenge to mount successfully, since the challenger must establish that no set of circumstances exists under which the Act would be valid. The fact that [the regulations] might operate unconstitutionally under some conceivable set of circumstances is insufficient to render [them] wholly invalid.</w:t>
      </w:r>
    </w:p>
    <w:p w:rsidR="00A31137" w:rsidRPr="00A31137" w:rsidRDefault="00A31137" w:rsidP="00A31137">
      <w:r w:rsidRPr="00A31137">
        <w:t>1991, Rust v. Sullivan, 500 U.S. 183</w:t>
      </w:r>
    </w:p>
    <w:p w:rsidR="00A31137" w:rsidRPr="00A31137" w:rsidRDefault="00A31137" w:rsidP="00A31137">
      <w:r w:rsidRPr="00A31137">
        <w:t>United States v. Salerno, 481 U.S. 739, 745 (1987).</w:t>
      </w:r>
    </w:p>
    <w:p w:rsidR="00A31137" w:rsidRPr="00A31137" w:rsidRDefault="00A31137" w:rsidP="00A31137">
      <w:r w:rsidRPr="00A31137">
        <w:t>1991, Rust v. Sullivan, 500 U.S. 183</w:t>
      </w:r>
    </w:p>
    <w:p w:rsidR="00A31137" w:rsidRPr="00A31137" w:rsidRDefault="00A31137" w:rsidP="00A31137">
      <w:r w:rsidRPr="00A31137">
        <w:t xml:space="preserve">We turn first to petitioners' contention that the regulations exceed the Secretary's authority under Title X, and are arbitrary and capricious. We begin with an examination of the regulations concerning abortion counseling, referral, and advocacy, which every Court of Appeals has found to be authorized by the statute, and then turn to the "program integrity requirement," with respect to which the courts below have adopted conflicting positions. We then address petitioner's claim that the regulations must be struck down because they raise a substantial constitutional question. [500 U.S. 184] </w:t>
      </w:r>
    </w:p>
    <w:p w:rsidR="00A31137" w:rsidRPr="00A31137" w:rsidRDefault="00A31137" w:rsidP="00A31137">
      <w:r w:rsidRPr="00A31137">
        <w:t>A</w:t>
      </w:r>
    </w:p>
    <w:p w:rsidR="00A31137" w:rsidRPr="00A31137" w:rsidRDefault="00A31137" w:rsidP="00A31137">
      <w:r w:rsidRPr="00A31137">
        <w:t>1991, Rust v. Sullivan, 500 U.S. 184</w:t>
      </w:r>
    </w:p>
    <w:p w:rsidR="00A31137" w:rsidRPr="00A31137" w:rsidRDefault="00A31137" w:rsidP="00A31137">
      <w:r w:rsidRPr="00A31137">
        <w:t>We need not dwell on the plain language of the statute, because we agree with every court to have addressed the issue that the language is ambiguous. The language of § 1008—that "[n]one of the funds appropriated under this subchapter shall be used in programs where abortion is a method of family planning"—does not speak directly to the issues of counseling, referral, advocacy, or program integrity. If a statute is</w:t>
      </w:r>
    </w:p>
    <w:p w:rsidR="00A31137" w:rsidRPr="00A31137" w:rsidRDefault="00A31137" w:rsidP="00A31137">
      <w:r w:rsidRPr="00A31137">
        <w:t>1991, Rust v. Sullivan, 500 U.S. 184</w:t>
      </w:r>
    </w:p>
    <w:p w:rsidR="00A31137" w:rsidRPr="00A31137" w:rsidRDefault="00A31137" w:rsidP="00A31137">
      <w:r w:rsidRPr="00A31137">
        <w:t>silent or ambiguous with respect to the specific issue, the question for the court is whether the agency's answer is based on a permissible construction of the statute.</w:t>
      </w:r>
    </w:p>
    <w:p w:rsidR="00A31137" w:rsidRPr="00A31137" w:rsidRDefault="00A31137" w:rsidP="00A31137">
      <w:r w:rsidRPr="00A31137">
        <w:t>1991, Rust v. Sullivan, 500 U.S. 184</w:t>
      </w:r>
    </w:p>
    <w:p w:rsidR="00A31137" w:rsidRPr="00A31137" w:rsidRDefault="00A31137" w:rsidP="00A31137">
      <w:r w:rsidRPr="00A31137">
        <w:t>Chevron, 467 U.S. at 842-843.</w:t>
      </w:r>
    </w:p>
    <w:p w:rsidR="00A31137" w:rsidRPr="00A31137" w:rsidRDefault="00A31137" w:rsidP="00A31137">
      <w:r w:rsidRPr="00A31137">
        <w:t>1991, Rust v. Sullivan, 500 U.S. 184</w:t>
      </w:r>
    </w:p>
    <w:p w:rsidR="00A31137" w:rsidRPr="00A31137" w:rsidRDefault="00A31137" w:rsidP="00A31137">
      <w:r w:rsidRPr="00A31137">
        <w:t>The Secretary's construction of Title X may not be disturbed as an abuse of discretion if it reflects a plausible construction of the plain language of the statute and does not otherwise conflict with Congress' expressed intent. Ibid. In determining whether a construction is permissible,</w:t>
      </w:r>
    </w:p>
    <w:p w:rsidR="00A31137" w:rsidRPr="00A31137" w:rsidRDefault="00A31137" w:rsidP="00A31137">
      <w:r w:rsidRPr="00A31137">
        <w:t>1991, Rust v. Sullivan, 500 U.S. 184</w:t>
      </w:r>
    </w:p>
    <w:p w:rsidR="00A31137" w:rsidRPr="00A31137" w:rsidRDefault="00A31137" w:rsidP="00A31137">
      <w:r w:rsidRPr="00A31137">
        <w:t>[t]he court need not conclude that the agency construction was the only one it could permissibly have adopted…or even the reading the court would have reached if the question initially had arisen in a judicial proceeding.</w:t>
      </w:r>
    </w:p>
    <w:p w:rsidR="00A31137" w:rsidRPr="00A31137" w:rsidRDefault="00A31137" w:rsidP="00A31137">
      <w:r w:rsidRPr="00A31137">
        <w:t>1991, Rust v. Sullivan, 500 U.S. 184</w:t>
      </w:r>
    </w:p>
    <w:p w:rsidR="00A31137" w:rsidRPr="00A31137" w:rsidRDefault="00A31137" w:rsidP="00A31137">
      <w:r w:rsidRPr="00A31137">
        <w:t>Id. at 843, n. 11. Rather, substantial deference is accorded to the interpretation of the authorizing statute by the agency authorized with administering it. Id. at 844.</w:t>
      </w:r>
    </w:p>
    <w:p w:rsidR="00A31137" w:rsidRPr="00A31137" w:rsidRDefault="00A31137" w:rsidP="00A31137">
      <w:r w:rsidRPr="00A31137">
        <w:t>1991, Rust v. Sullivan, 500 U.S. 184</w:t>
      </w:r>
    </w:p>
    <w:p w:rsidR="00A31137" w:rsidRPr="00A31137" w:rsidRDefault="00A31137" w:rsidP="00A31137">
      <w:r w:rsidRPr="00A31137">
        <w:t xml:space="preserve">The broad language of Title X plainly allows the Secretary's construction of the statute. By its own terms, § 1008 prohibits the use of Title X funds "in programs where abortion is a method of family planning." Title X does not define the term "method of family planning," nor does it enumerate what types of medical and counseling services are entitled to Title X funding. Based on the broad directives provided by Congress in Title X in general and § 1008 in particular, we are unable to say that the Secretary's construction of the prohibition in § 1008 to require a ban on counseling, referral, and advocacy within the Title X project is impermissible. [500 U.S. 185] </w:t>
      </w:r>
    </w:p>
    <w:p w:rsidR="00A31137" w:rsidRPr="00A31137" w:rsidRDefault="00A31137" w:rsidP="00A31137">
      <w:r w:rsidRPr="00A31137">
        <w:t>1991, Rust v. Sullivan, 500 U.S. 185</w:t>
      </w:r>
    </w:p>
    <w:p w:rsidR="00A31137" w:rsidRPr="00A31137" w:rsidRDefault="00A31137" w:rsidP="00A31137">
      <w:r w:rsidRPr="00A31137">
        <w:t xml:space="preserve">The District Courts and Courts of Appeals that have examined the legislative history have all found, at least with regard to the Act's counseling, referral, and advocacy provisions, that the legislative history is ambiguous with respect to Congress' intent in enacting Title X and the prohibition of § 1008. Massachusetts v. Sullivan, 899 F.2d 53, 62 (CA1 1990) ("Congress has not addressed specifically the question of the scope of the abortion prohibition. The language of the statute and the legislative history can support either of the litigants' positions"); Planned Parenthood Federation of America v. Sullivan, 913 F.2d 1492, 1497 (CA10 1990) ("[T]he contemporaneous legislative history does not address whether clinics receiving Title X funds can engage in nondirective counseling including the abortion option and referrals"); New York v. Sullivan, 889 F.2d 401, 407 (CA2 1989) (case below) ("Nothing in the legislative history of Title X detracts" from the Secretary's construction of § 1008). We join these courts in holding that the legislative history is ambiguous, and fails to shed light on relevant congressional intent. At no time did Congress directly address the issues of abortion counseling, referral, or advocacy. The parties' attempts to characterize highly generalized, conflicting statements in the legislative history into accurate revelations of congressional intent are unavailing. 3 [500 U.S. 186] </w:t>
      </w:r>
    </w:p>
    <w:p w:rsidR="00A31137" w:rsidRPr="00A31137" w:rsidRDefault="00A31137" w:rsidP="00A31137">
      <w:r w:rsidRPr="00A31137">
        <w:t>1991, Rust v. Sullivan, 500 U.S. 186</w:t>
      </w:r>
    </w:p>
    <w:p w:rsidR="00A31137" w:rsidRPr="00A31137" w:rsidRDefault="00A31137" w:rsidP="00A31137">
      <w:r w:rsidRPr="00A31137">
        <w:t>When we find, as we do here, that the legislative history is ambiguous and unenlightening on the matters with respect to which the regulations deal, we customarily defer to the expertise of the agency. Petitioners argue, however, that the regulations are entitled to little or no deference, because they "reverse a longstanding agency policy that permitted nondirective counseling and referral for abortion," Brief for Petitioners in No. 89-1392, p. 20, and thus represent a sharp beak from the Secretary's prior construction of the statute. Petitioners argue that the agency's prior consistent interpretation of Section 1008 to permit nondirective counseling and to encourage coordination with local and state family planning services is entitled to substantial weight.</w:t>
      </w:r>
    </w:p>
    <w:p w:rsidR="00A31137" w:rsidRPr="00A31137" w:rsidRDefault="00A31137" w:rsidP="00A31137">
      <w:r w:rsidRPr="00A31137">
        <w:t>1991, Rust v. Sullivan, 500 U.S. 186</w:t>
      </w:r>
    </w:p>
    <w:p w:rsidR="00A31137" w:rsidRPr="00A31137" w:rsidRDefault="00A31137" w:rsidP="00A31137">
      <w:r w:rsidRPr="00A31137">
        <w:t>This Court has rejected the argument that an agency's interpretation "is not entitled to deference because it represents a sharp break with prior interpretations" of the statute in question. Chevron, 467 U.S. at 862. In Chevron, we held that a revised interpretation deserves deference because "[a]n initial agency interpretation is not instantly carved in stone," and "the agency, to engage in informed rulemaking, must consider varying interpretations and the wisdom of its policy on a continuing basis." Id. at 863-864. An agency is not required to "'establish rules of conduct to last forever,'" Motor Vehicle Mfrs. Assn. of United States v. State [500 U.S. 187] Farm Mutual Automobile Ins. Co., 463 U.S. 29, 42 (1983), quoting American Trucking Assns., Inc. v. Atchinson, T. &amp; S.F.R. Co., 387 U.S. 397, 416 (1967); NLRB v. Curtin Matheson Scientific, Inc., 494 U.S. 775 (1990), but rather "must be given ample latitude to 'adapt [its] rules and policies to the demands of changing circumstances.'" Motor Vehicle Mfrs., supra, 463 U.S. at 42, quoting Permian Basin Area Rate Cases, 390 U.S. 747, 784 (1968).</w:t>
      </w:r>
    </w:p>
    <w:p w:rsidR="00A31137" w:rsidRPr="00A31137" w:rsidRDefault="00A31137" w:rsidP="00A31137">
      <w:r w:rsidRPr="00A31137">
        <w:t>1991, Rust v. Sullivan, 500 U.S. 187</w:t>
      </w:r>
    </w:p>
    <w:p w:rsidR="00A31137" w:rsidRPr="00A31137" w:rsidRDefault="00A31137" w:rsidP="00A31137">
      <w:r w:rsidRPr="00A31137">
        <w:t>We find that the Secretary amply justified his change of interpretation with a "reasoned analysis." Motor Vehicle Mfrs., supra, 463 U.S. at 42. The Secretary explained that the regulations are a result of his determination, in the wake of the critical reports of the General Accounting Office (GAO) and the Office of the Inspector General (OIG), that prior policy failed to implement properly the statute and that it was necessary to provide "clear and operational guidance to grantees to preserve the distinction between Title X programs and abortion as a method of family planning." 53 Fed.Reg. 2923-2924 (1988). He also determined that the new regulations are more in keeping with the original intent of the statute, are justified by client experience under the prior policy, and are supported by a shift in attitude against the "elimination of unborn children by abortion." We believe that these justifications are sufficient to support the Secretary's revised approach. Having concluded that the plain language and legislative history are ambiguous as to Congress' intent in enacting Title X, we must defer to the Secretary's permissible construction of the statute.</w:t>
      </w:r>
    </w:p>
    <w:p w:rsidR="00A31137" w:rsidRPr="00A31137" w:rsidRDefault="00A31137" w:rsidP="00A31137">
      <w:r w:rsidRPr="00A31137">
        <w:t>B</w:t>
      </w:r>
    </w:p>
    <w:p w:rsidR="00A31137" w:rsidRPr="00A31137" w:rsidRDefault="00A31137" w:rsidP="00A31137">
      <w:r w:rsidRPr="00A31137">
        <w:t>1991, Rust v. Sullivan, 500 U.S. 187</w:t>
      </w:r>
    </w:p>
    <w:p w:rsidR="00A31137" w:rsidRPr="00A31137" w:rsidRDefault="00A31137" w:rsidP="00A31137">
      <w:r w:rsidRPr="00A31137">
        <w:t>We turn next to the "program integrity" requirements embodied at § 59.9 of the regulations, mandating separate facilities, personnel, and records. These requirements are not inconsistent with the plain language of Title X. Petitioners contend, however, that they are based on an impermissible construction of the statute because they frustrate the clearly [500 U.S. 188] expressed intent of Congress that Title X programs be an integral part of a broader, comprehensive, health care system. They argue that this integration is impermissibly burdened because the efficient use of nonTitle X funds by Title X grantees will be adversely affected by the regulations.</w:t>
      </w:r>
    </w:p>
    <w:p w:rsidR="00A31137" w:rsidRPr="00A31137" w:rsidRDefault="00A31137" w:rsidP="00A31137">
      <w:r w:rsidRPr="00A31137">
        <w:t>1991, Rust v. Sullivan, 500 U.S. 188</w:t>
      </w:r>
    </w:p>
    <w:p w:rsidR="00A31137" w:rsidRPr="00A31137" w:rsidRDefault="00A31137" w:rsidP="00A31137">
      <w:r w:rsidRPr="00A31137">
        <w:t>The Secretary defends the separation requirements of § 59.9 on the grounds that they are necessary to assure that Title X grantees apply federal funds only to federally authorized purposes and that grantees avoid creating the appearance that the government is supporting abortion-related activities. The program integrity regulations were promulgated in direct response to the observations in the GAO and OIG reports that,</w:t>
      </w:r>
    </w:p>
    <w:p w:rsidR="00A31137" w:rsidRPr="00A31137" w:rsidRDefault="00A31137" w:rsidP="00A31137">
      <w:r w:rsidRPr="00A31137">
        <w:t>1991, Rust v. Sullivan, 500 U.S. 188</w:t>
      </w:r>
    </w:p>
    <w:p w:rsidR="00A31137" w:rsidRPr="00A31137" w:rsidRDefault="00A31137" w:rsidP="00A31137">
      <w:r w:rsidRPr="00A31137">
        <w:t>[b]ecause the distinction between the recipient's title X and other activities may not be easily recognized, the public can get the impression that Federal funds are being improperly used for abortion activities.</w:t>
      </w:r>
    </w:p>
    <w:p w:rsidR="00A31137" w:rsidRPr="00A31137" w:rsidRDefault="00A31137" w:rsidP="00A31137">
      <w:r w:rsidRPr="00A31137">
        <w:t>1991, Rust v. Sullivan, 500 U.S. 188</w:t>
      </w:r>
    </w:p>
    <w:p w:rsidR="00A31137" w:rsidRPr="00A31137" w:rsidRDefault="00A31137" w:rsidP="00A31137">
      <w:r w:rsidRPr="00A31137">
        <w:t>App. 85. The Secretary concluded that:</w:t>
      </w:r>
    </w:p>
    <w:p w:rsidR="00A31137" w:rsidRPr="00A31137" w:rsidRDefault="00A31137" w:rsidP="00A31137">
      <w:r w:rsidRPr="00A31137">
        <w:t>1991, Rust v. Sullivan, 500 U.S. 188</w:t>
      </w:r>
    </w:p>
    <w:p w:rsidR="00A31137" w:rsidRPr="00A31137" w:rsidRDefault="00A31137" w:rsidP="00A31137">
      <w:r w:rsidRPr="00A31137">
        <w:t>[M]eeting the requirement of section 1008 mandates that Title X programs be organized so that they are physically and financially separate from other activities which are prohibited from inclusion in a Title X program. Having a program that is separate from such activities is a necessary predicate to any determination that abortion is not being included as a method of family planning in the Title X program.</w:t>
      </w:r>
    </w:p>
    <w:p w:rsidR="00A31137" w:rsidRPr="00A31137" w:rsidRDefault="00A31137" w:rsidP="00A31137">
      <w:r w:rsidRPr="00A31137">
        <w:t>1991, Rust v. Sullivan, 500 U.S. 188</w:t>
      </w:r>
    </w:p>
    <w:p w:rsidR="00A31137" w:rsidRPr="00A31137" w:rsidRDefault="00A31137" w:rsidP="00A31137">
      <w:r w:rsidRPr="00A31137">
        <w:t>53 Fed.Reg. 2940 (1988). The Secretary further argues that the separation requirements do not represent a deviation from past policy because the agency has consistently taken the position that § 1008 requires some degree of physical and financial separation between Title X projects and abortion-related activities.</w:t>
      </w:r>
    </w:p>
    <w:p w:rsidR="00A31137" w:rsidRPr="00A31137" w:rsidRDefault="00A31137" w:rsidP="00A31137">
      <w:r w:rsidRPr="00A31137">
        <w:t>1991, Rust v. Sullivan, 500 U.S. 188</w:t>
      </w:r>
    </w:p>
    <w:p w:rsidR="00A31137" w:rsidRPr="00A31137" w:rsidRDefault="00A31137" w:rsidP="00A31137">
      <w:r w:rsidRPr="00A31137">
        <w:t>We agree that the program integrity requirements are based on a permissible construction of the statute, and are not inconsistent with Congressional intent. As noted, the legislative history is clear about very little, and program integrity is no exception. The statements relied upon by the petitioners [500 U.S. 189] to infer such an intent are highly generalized, and do not directly address the scope of § 1008.</w:t>
      </w:r>
    </w:p>
    <w:p w:rsidR="00A31137" w:rsidRPr="00A31137" w:rsidRDefault="00A31137" w:rsidP="00A31137">
      <w:r w:rsidRPr="00A31137">
        <w:t>1991, Rust v. Sullivan, 500 U.S. 189</w:t>
      </w:r>
    </w:p>
    <w:p w:rsidR="00A31137" w:rsidRPr="00A31137" w:rsidRDefault="00A31137" w:rsidP="00A31137">
      <w:r w:rsidRPr="00A31137">
        <w:t>For example, the cornerstone of the conclusion that, in Title X, Congress intended a comprehensive, integrated system of family planning services is the statement in the statute requiring state health authorities applying for Title X funds to submit "a state plan for a coordinated and comprehensive program of family planning services." § 1002. This statement is, on its face, ambiguous as to Congress' intent in enacting Title X and the prohibition of § 1008. Placed in context, the statement merely requires that a State health authority submit a plan for a "coordinated and comprehensive program of family planning services" in order to be eligible for Title X funds. By its own terms, the language evinces Congress' intent to place a duty on state entities seeking federal funds; it does not speak either to an overall view of family planning services or to the Secretary's responsibility for implementing the statute. Likewise, the statement in the original House Report on Title X that the Act was "not intended to interfere with or limit programs conducted in accordance with State or local laws" and supported through non-Title X funds is equally unclear. H.R. Conf.Rep. No. 91-1667, pp. 8-9 (1970), U.S.Code Cong. &amp; Admin.News 1970, p. 5082. This language directly follows the statement that it is the</w:t>
      </w:r>
    </w:p>
    <w:p w:rsidR="00A31137" w:rsidRPr="00A31137" w:rsidRDefault="00A31137" w:rsidP="00A31137">
      <w:r w:rsidRPr="00A31137">
        <w:t>1991, Rust v. Sullivan, 500 U.S. 189</w:t>
      </w:r>
    </w:p>
    <w:p w:rsidR="00A31137" w:rsidRPr="00A31137" w:rsidRDefault="00A31137" w:rsidP="00A31137">
      <w:r w:rsidRPr="00A31137">
        <w:t>intent of both Houses that the funds authorized under this legislation be used only to support preventive family planning services…. The conferees have adopted the language contained in section 1008, which prohibits the use of such funds for abortion, in order to make this intent clear.</w:t>
      </w:r>
    </w:p>
    <w:p w:rsidR="00A31137" w:rsidRPr="00A31137" w:rsidRDefault="00A31137" w:rsidP="00A31137">
      <w:r w:rsidRPr="00A31137">
        <w:t>1991, Rust v. Sullivan, 500 U.S. 189</w:t>
      </w:r>
    </w:p>
    <w:p w:rsidR="00A31137" w:rsidRPr="00A31137" w:rsidRDefault="00A31137" w:rsidP="00A31137">
      <w:r w:rsidRPr="00A31137">
        <w:t>Id. at 8, U.S.Code Cong. &amp; Admin.News 1970, pp. 5081-82. When placed in context and read in light of the express prohibition of § 1008, the statements fall short of evidencing a congressional intent that would render the Secretary's interpretation of the statute impermissible.</w:t>
      </w:r>
    </w:p>
    <w:p w:rsidR="00A31137" w:rsidRPr="00A31137" w:rsidRDefault="00A31137" w:rsidP="00A31137">
      <w:r w:rsidRPr="00A31137">
        <w:t>1991, Rust v. Sullivan, 500 U.S. 189</w:t>
      </w:r>
    </w:p>
    <w:p w:rsidR="00A31137" w:rsidRPr="00A31137" w:rsidRDefault="00A31137" w:rsidP="00A31137">
      <w:r w:rsidRPr="00A31137">
        <w:t>While the petitioners' interpretation of the legislative history may be a permissible one, it is by no means the only one, and it is certainly not the one found by the Secretary. It is well [500 U.S. 190] established that legislative history which does not demonstrate a clear and certain congressional intent cannot form the basis for enjoining the regulations. See Motor Vehicle Mfrs., 463 U.S. at 42. The Secretary based the need for the separation requirements "squarely on the congressional intent that abortion not be a part of a Title X funded program." 52 Fed.Reg. 33212 (1987). Indeed, if one thing is clear from the legislative history, it is that Congress intended that Title X funds be kept separate and distinct from abortion-related activities. It is undisputed that Title X was intended to provide primarily prepregnancy preventive services. Certainly the Secretary's interpretation of the statute that separate facilities are necessary, especially in light of the express prohibition of § 1008, cannot be judged unreasonable. Accordingly, we defer to the Secretary's reasoned determination that the program integrity requirements are necessary to implement the prohibition.</w:t>
      </w:r>
    </w:p>
    <w:p w:rsidR="00A31137" w:rsidRPr="00A31137" w:rsidRDefault="00A31137" w:rsidP="00A31137">
      <w:r w:rsidRPr="00A31137">
        <w:t>1991, Rust v. Sullivan, 500 U.S. 190</w:t>
      </w:r>
    </w:p>
    <w:p w:rsidR="00A31137" w:rsidRPr="00A31137" w:rsidRDefault="00A31137" w:rsidP="00A31137">
      <w:r w:rsidRPr="00A31137">
        <w:t>Petitioners also contend that the regulations must be invalidated because they raise serious questions of constitutional law. They rely on Edward J. Debartolo Corp. v. Florida Gulf Coast Building and Construction Trades Council, 485 U.S. 568 (1988), and NLRB v. Catholic Bishop of Chicago, 440 U.S. 490 (1979), which hold that "an Act of Congress ought not to be construed to violate the Constitution if any other possible construction remains available." Id. at  500. Under this canon of statutory construction, "[t]he elementary rule is that every reasonable construction must be resorted to in order to save a statute from unconstitutionality." Debartolo Corp., supra, 485 U.S. at 575 (emphasis added) quoting Hooper v. California, 155 U.S. 648, 657 (1895).</w:t>
      </w:r>
    </w:p>
    <w:p w:rsidR="00A31137" w:rsidRPr="00A31137" w:rsidRDefault="00A31137" w:rsidP="00A31137">
      <w:r w:rsidRPr="00A31137">
        <w:t>1991, Rust v. Sullivan, 500 U.S. 190</w:t>
      </w:r>
    </w:p>
    <w:p w:rsidR="00A31137" w:rsidRPr="00A31137" w:rsidRDefault="00A31137" w:rsidP="00A31137">
      <w:r w:rsidRPr="00A31137">
        <w:t>The principle enunciated in Hooper v. California, supra, and subsequent cases is a categorical one:</w:t>
      </w:r>
    </w:p>
    <w:p w:rsidR="00A31137" w:rsidRPr="00A31137" w:rsidRDefault="00A31137" w:rsidP="00A31137">
      <w:r w:rsidRPr="00A31137">
        <w:t>1991, Rust v. Sullivan, 500 U.S. 190</w:t>
      </w:r>
    </w:p>
    <w:p w:rsidR="00A31137" w:rsidRPr="00A31137" w:rsidRDefault="00A31137" w:rsidP="00A31137">
      <w:r w:rsidRPr="00A31137">
        <w:t>as between two possible interpretations of a statute, by one of which it would be unconstitutional and by the other valid, our plain duty is to adopt that which will save the Act.</w:t>
      </w:r>
    </w:p>
    <w:p w:rsidR="00A31137" w:rsidRPr="00A31137" w:rsidRDefault="00A31137" w:rsidP="00A31137">
      <w:r w:rsidRPr="00A31137">
        <w:t>1991, Rust v. Sullivan, 500 U.S. 190</w:t>
      </w:r>
    </w:p>
    <w:p w:rsidR="00A31137" w:rsidRPr="00A31137" w:rsidRDefault="00A31137" w:rsidP="00A31137">
      <w:r w:rsidRPr="00A31137">
        <w:t>Blodgett v. Holden, 275 U.S. 142, 148 (1927) (opinion of Holmes, J.). This principle [500 U.S. 191] is based at least in part on the fact that a decision to declare an act of Congress unconstitutional "is the gravest and most delicate duty that this Court is called on to perform." Id. Following Hooper, supra, cases such as United States v. Delaware and Hudson Co., 213 U.S. 366, 408, and United States v. Jin Fuey Moy, 241 U.S. 394, 401, developed the corollary doctrine that</w:t>
      </w:r>
    </w:p>
    <w:p w:rsidR="00A31137" w:rsidRPr="00A31137" w:rsidRDefault="00A31137" w:rsidP="00A31137">
      <w:r w:rsidRPr="00A31137">
        <w:t>1991, Rust v. Sullivan, 500 U.S. 191</w:t>
      </w:r>
    </w:p>
    <w:p w:rsidR="00A31137" w:rsidRPr="00A31137" w:rsidRDefault="00A31137" w:rsidP="00A31137">
      <w:r w:rsidRPr="00A31137">
        <w:t>[a] statute must be construed, if fairly possible, so as to avoid not only the conclusion that it is unconstitutional but also grave doubts upon that score.</w:t>
      </w:r>
    </w:p>
    <w:p w:rsidR="00A31137" w:rsidRPr="00A31137" w:rsidRDefault="00A31137" w:rsidP="00A31137">
      <w:r w:rsidRPr="00A31137">
        <w:t>1991, Rust v. Sullivan, 500 U.S. 191</w:t>
      </w:r>
    </w:p>
    <w:p w:rsidR="00A31137" w:rsidRPr="00A31137" w:rsidRDefault="00A31137" w:rsidP="00A31137">
      <w:r w:rsidRPr="00A31137">
        <w:t>Jin Fuey Moy, supra, at 9241 U.S. 401401. This canon is followed out of respect for Congress, which we assume legislates in the light of constitutional limitations. FTC v. American Tobacco Co., 264 U.S. 298, 305-307 (1924). It is qualified by the proposition that "avoidance of a difficulty will not be pressed to the point of disingenuous evasion." Moore Ice Cream Co. v. Rose, 289 U.S. 373, 379 (1933).</w:t>
      </w:r>
    </w:p>
    <w:p w:rsidR="00A31137" w:rsidRPr="00A31137" w:rsidRDefault="00A31137" w:rsidP="00A31137">
      <w:r w:rsidRPr="00A31137">
        <w:t>1991, Rust v. Sullivan, 500 U.S. 191</w:t>
      </w:r>
    </w:p>
    <w:p w:rsidR="00A31137" w:rsidRPr="00A31137" w:rsidRDefault="00A31137" w:rsidP="00A31137">
      <w:r w:rsidRPr="00A31137">
        <w:t xml:space="preserve">Here Congress forbade the use of appropriated funds in programs where abortion is a method of family planning. It authorized the Secretary to promulgate regulations implementing this provision. The extensive litigation regarding governmental restrictions on abortion since our decision in Roe v. Wade, 410 U.S. 113 (1973), suggests that it was likely that any set of regulations promulgated by the Secretary—other than the ones in force prior to 1988 and found by him to be relatively toothless and ineffectual—would be challenged on constitutional grounds. While we do not think that the constitutional arguments made by petitioners in this case are without some force, in Part III, infra, we hold that they do not carry the day. Applying the canon of construction under discussion as best we can, we hold that the regulations promulgated by the Secretary do not raise the sort of "grave and doubtful constitutional questions," Delaware and Hudson Co., supra, 213 U.S. at 408, that would lead us to assume Congress did not intend to authorize their issuance. Therefore, we need not invalidate the regulations in order to save the statute from unconstitutionality. [500 U.S. 192] </w:t>
      </w:r>
    </w:p>
    <w:p w:rsidR="00A31137" w:rsidRPr="00A31137" w:rsidRDefault="00A31137" w:rsidP="00A31137">
      <w:r w:rsidRPr="00A31137">
        <w:t>III</w:t>
      </w:r>
    </w:p>
    <w:p w:rsidR="00A31137" w:rsidRPr="00A31137" w:rsidRDefault="00A31137" w:rsidP="00A31137">
      <w:r w:rsidRPr="00A31137">
        <w:t>1991, Rust v. Sullivan, 500 U.S. 192</w:t>
      </w:r>
    </w:p>
    <w:p w:rsidR="00A31137" w:rsidRPr="00A31137" w:rsidRDefault="00A31137" w:rsidP="00A31137">
      <w:r w:rsidRPr="00A31137">
        <w:t>Petitioners contend that the regulations violate the First Amendment by impermissibly discriminating based on viewpoint because they prohibit</w:t>
      </w:r>
    </w:p>
    <w:p w:rsidR="00A31137" w:rsidRPr="00A31137" w:rsidRDefault="00A31137" w:rsidP="00A31137">
      <w:r w:rsidRPr="00A31137">
        <w:t>1991, Rust v. Sullivan, 500 U.S. 192</w:t>
      </w:r>
    </w:p>
    <w:p w:rsidR="00A31137" w:rsidRPr="00A31137" w:rsidRDefault="00A31137" w:rsidP="00A31137">
      <w:r w:rsidRPr="00A31137">
        <w:t>all discussion about abortion as a lawful option—including counseling, referral, and the provision of neutral and accurate information about ending a pregnancy—while compelling the clinic or counselor to provide information that promotes continuing a pregnancy to term.</w:t>
      </w:r>
    </w:p>
    <w:p w:rsidR="00A31137" w:rsidRPr="00A31137" w:rsidRDefault="00A31137" w:rsidP="00A31137">
      <w:r w:rsidRPr="00A31137">
        <w:t>1991, Rust v. Sullivan, 500 U.S. 192</w:t>
      </w:r>
    </w:p>
    <w:p w:rsidR="00A31137" w:rsidRPr="00A31137" w:rsidRDefault="00A31137" w:rsidP="00A31137">
      <w:r w:rsidRPr="00A31137">
        <w:t>Brief for Petitioners in No. 891391, p. 11. They assert that the regulations violate the "free speech rights of private health care organizations that receive Title X funds, of their staff, and of their patients" by impermissibly imposing "viewpoint-discriminatory conditions on government subsidies," and thus penaliz[e] speech funded with non-Title X monies. Id. at 13, 14, 24. Because</w:t>
      </w:r>
    </w:p>
    <w:p w:rsidR="00A31137" w:rsidRPr="00A31137" w:rsidRDefault="00A31137" w:rsidP="00A31137">
      <w:r w:rsidRPr="00A31137">
        <w:t>1991, Rust v. Sullivan, 500 U.S. 192</w:t>
      </w:r>
    </w:p>
    <w:p w:rsidR="00A31137" w:rsidRPr="00A31137" w:rsidRDefault="00A31137" w:rsidP="00A31137">
      <w:r w:rsidRPr="00A31137">
        <w:t>Title X continues to fund speech ancillary to pregnancy testing in a manner that is not evenhanded with respect to views and information about abortion, it invidiously discriminates on the basis of viewpoint.</w:t>
      </w:r>
    </w:p>
    <w:p w:rsidR="00A31137" w:rsidRPr="00A31137" w:rsidRDefault="00A31137" w:rsidP="00A31137">
      <w:r w:rsidRPr="00A31137">
        <w:t>1991, Rust v. Sullivan, 500 U.S. 192</w:t>
      </w:r>
    </w:p>
    <w:p w:rsidR="00A31137" w:rsidRPr="00A31137" w:rsidRDefault="00A31137" w:rsidP="00A31137">
      <w:r w:rsidRPr="00A31137">
        <w:t>Id. at 18. Relying on Regan v. Taxation With Representation of Wash. and Arkansas Writers Project, Inc. v. Ragland, 481 U.S. 221, 234 (1987), petitioners also assert that, while the Government may place certain conditions on the receipt of federal subsidies, it may not "discriminate invidiously in its subsidies in such a way as to 'ai[m] at the suppression of dangerous ideas.'" Regan, supra, 461 U.S. at  548 (quoting Cammarano v. United States, 358 U.S. 498, 513 (1959)).</w:t>
      </w:r>
    </w:p>
    <w:p w:rsidR="00A31137" w:rsidRPr="00A31137" w:rsidRDefault="00A31137" w:rsidP="00A31137">
      <w:r w:rsidRPr="00A31137">
        <w:t>1991, Rust v. Sullivan, 500 U.S. 192</w:t>
      </w:r>
    </w:p>
    <w:p w:rsidR="00A31137" w:rsidRPr="00A31137" w:rsidRDefault="00A31137" w:rsidP="00A31137">
      <w:r w:rsidRPr="00A31137">
        <w:t>There is no question but that the statutory prohibition contained in § 1008 is constitutional. In Maher v. Roe, supra, we upheld a state welfare regulation under which Medicaid recipients received payments for services related to childbirth, but not for nontherapeutic abortions. The Court rejected the claim that this unequal subsidization worked a violation of the Constitution. We held that the government may "make a value judgment favoring childbirth over abortion, and…implement that judgment by the allocation [500 U.S. 193] of public funds." Id. 432 U.S. at  474. Here the Government is exercising the authority it possesses under Maher and McRae to subsidize family planning services which will lead to conception and childbirth, and declining to "promote or encourage abortion." The Government can, without violating the Constitution, selectively fund a program to encourage certain activities it believes to be in the public interest, without at the same time funding an alternate program which seeks to deal with the problem in another way. In so doing, the Government has not discriminated on the basis of viewpoint; it has merely chosen to fund one activity to the exclusion of the other. "[A] legislature's decision not to subsidize the exercise of a fundamental right does not infringe the right." Regan, supra, 461 U.S. at  549. See also Buckley v. Valeo, 424 U.S. 1 (1976); Cammarano v. United States, supra. "A refusal to fund protected activity, without more, cannot be equated with the imposition of a 'penalty' on that activity." McRae, 448 U.S. at  317, n.19.</w:t>
      </w:r>
    </w:p>
    <w:p w:rsidR="00A31137" w:rsidRPr="00A31137" w:rsidRDefault="00A31137" w:rsidP="00A31137">
      <w:r w:rsidRPr="00A31137">
        <w:t>1991, Rust v. Sullivan, 500 U.S. 193</w:t>
      </w:r>
    </w:p>
    <w:p w:rsidR="00A31137" w:rsidRPr="00A31137" w:rsidRDefault="00A31137" w:rsidP="00A31137">
      <w:r w:rsidRPr="00A31137">
        <w:t>There is a basic difference between direct state interference with a protected activity and state encouragement of an alternative activity consonant with legislative policy.</w:t>
      </w:r>
    </w:p>
    <w:p w:rsidR="00A31137" w:rsidRPr="00A31137" w:rsidRDefault="00A31137" w:rsidP="00A31137">
      <w:r w:rsidRPr="00A31137">
        <w:t>1991, Rust v. Sullivan, 500 U.S. 193</w:t>
      </w:r>
    </w:p>
    <w:p w:rsidR="00A31137" w:rsidRPr="00A31137" w:rsidRDefault="00A31137" w:rsidP="00A31137">
      <w:r w:rsidRPr="00A31137">
        <w:t>Maher, 432 U.S. at  475.</w:t>
      </w:r>
    </w:p>
    <w:p w:rsidR="00A31137" w:rsidRPr="00A31137" w:rsidRDefault="00A31137" w:rsidP="00A31137">
      <w:r w:rsidRPr="00A31137">
        <w:t>1991, Rust v. Sullivan, 500 U.S. 193</w:t>
      </w:r>
    </w:p>
    <w:p w:rsidR="00A31137" w:rsidRPr="00A31137" w:rsidRDefault="00A31137" w:rsidP="00A31137">
      <w:r w:rsidRPr="00A31137">
        <w:t>The challenged regulations implement the statutory prohibition by prohibiting counseling, referral, and the provision of information regarding abortion as a method of family planning. They are designed to ensure that the limits of the federal program are observed. The Title X program is designed not for prenatal care, but to encourage family planning. A doctor who wished to offer prenatal care to a project patient who became pregnant could properly be prohibited from doing so because such service is outside the scope of the federally funded program. The regulations prohibiting abortion counseling and referral are of the same ilk; "no funds appropriated for the project may be used in programs where abortion is a method of family planning," and a doctor employed by the project may be prohibited in [500 U.S. 194] the course of his project duties from counseling abortion or referring for abortion. This is not a case of the Government "suppressing a dangerous idea," but of a prohibition on a project grantee or its employees from engaging in activities outside of its scope.</w:t>
      </w:r>
    </w:p>
    <w:p w:rsidR="00A31137" w:rsidRPr="00A31137" w:rsidRDefault="00A31137" w:rsidP="00A31137">
      <w:r w:rsidRPr="00A31137">
        <w:t>1991, Rust v. Sullivan, 500 U.S. 194</w:t>
      </w:r>
    </w:p>
    <w:p w:rsidR="00A31137" w:rsidRPr="00A31137" w:rsidRDefault="00A31137" w:rsidP="00A31137">
      <w:r w:rsidRPr="00A31137">
        <w:t>To hold that the Government unconstitutionally discriminates on the basis of viewpoint when it chooses to fund a program dedicated to advance certain permissible goals because the program, in advancing those goals, necessarily discourages alternate goals would render numerous government programs constitutionally suspect. When Congress established a National Endowment for Democracy to encourage other countries to adopt democratic principles, 22 U.S.C. § 4411(b), it was not constitutionally required to fund a program to encourage competing lines of political philosophy such as Communism and Fascism. Petitioners' assertions ultimately boil down to the position that, if the government chooses to subsidize one protected right, it must subsidize analogous counterpart rights. But the Court has soundly rejected that proposition. Regan v. Taxation With Representation of Wash., supra; Maher v. Roe, supra; Harris v. McRae, supra. Within far broader limits than petitioners are willing to concede, when the government appropriates public funds to establish a program, it is entitled to define the limits of that program.</w:t>
      </w:r>
    </w:p>
    <w:p w:rsidR="00A31137" w:rsidRPr="00A31137" w:rsidRDefault="00A31137" w:rsidP="00A31137">
      <w:r w:rsidRPr="00A31137">
        <w:t>1991, Rust v. Sullivan, 500 U.S. 194</w:t>
      </w:r>
    </w:p>
    <w:p w:rsidR="00A31137" w:rsidRPr="00A31137" w:rsidRDefault="00A31137" w:rsidP="00A31137">
      <w:r w:rsidRPr="00A31137">
        <w:t>We believe that petitioners' reliance upon our decision in Arkansas Writers Project, supra, is misplaced. That case involved a state sales tax which discriminated between magazines on the basis of their content. Relying on this fact, and on the fact that the tax "targets a small group within the press," contrary to our decision in Minneapolis Star &amp; Tribune Co. v. Minnesota Comm'r of Revenue, 460 U.S. 575 (1983), the Court held the tax invalid. But we have here not the case of a general law singling out a disfavored group on the basis of speech content, but a case of the Government refusing [500 U.S. 195] to fund activities, including speech, which are specifically excluded from the scope of the project funded.</w:t>
      </w:r>
    </w:p>
    <w:p w:rsidR="00A31137" w:rsidRPr="00A31137" w:rsidRDefault="00A31137" w:rsidP="00A31137">
      <w:r w:rsidRPr="00A31137">
        <w:t>1991, Rust v. Sullivan, 500 U.S. 195</w:t>
      </w:r>
    </w:p>
    <w:p w:rsidR="00A31137" w:rsidRPr="00A31137" w:rsidRDefault="00A31137" w:rsidP="00A31137">
      <w:r w:rsidRPr="00A31137">
        <w:t xml:space="preserve">Petitioners rely heavily on their claim that the regulations would not, in the circumstance of a medical emergency, permit a Title X project to refer a woman whose pregnancy places her life in imminent peril to a provider of abortions or abortion-related services. This case, of course, involves only a facial challenge to the regulations, and we do not have before us any application by the Secretary to a specific fact situation. On their face, we do not read the regulations to bar abortion referral or counseling in such circumstances. Abortion counseling as a "method of family planning" is prohibited, and it does not seem that a medically necessitated abortion in such circumstances would be the equivalent of its use as a "method of family planning." Neither § 1008 nor the specific restrictions of the regulations would apply. Moreover, the regulations themselves contemplate that a Title X project would be permitted to engage in otherwise prohibited abortion-related activity in such circumstances. Section 59.8(a)(2) provides a specific exemption for emergency care, and requires Title X recipients "to refer the client immediately to an appropriate provider of emergency medical services." 42 CFR 59.8(a)(2) (1989). Section 59.5(b)(1) also requires Title X projects to provide "necessary referral to other medical facilities when medically indicated." 4 [500 U.S. 196] </w:t>
      </w:r>
    </w:p>
    <w:p w:rsidR="00A31137" w:rsidRPr="00A31137" w:rsidRDefault="00A31137" w:rsidP="00A31137">
      <w:r w:rsidRPr="00A31137">
        <w:t>1991, Rust v. Sullivan, 500 U.S. 196</w:t>
      </w:r>
    </w:p>
    <w:p w:rsidR="00A31137" w:rsidRPr="00A31137" w:rsidRDefault="00A31137" w:rsidP="00A31137">
      <w:r w:rsidRPr="00A31137">
        <w:t>Petitioners also contend that the restrictions on the subsidization of abortion-related speech contained in the regulations are impermissible because they condition the receipt of a benefit, in this case Title X funding, on the relinquishment of a constitutional right, the right to engage in abortion advocacy and counseling. Relying on Perry v. Sindermann, 408 U.S. 593,  597 (1972), and FCC v. League of Women Voters of Cal., 468 U.S. 364 (1984), petitioners argue that,</w:t>
      </w:r>
    </w:p>
    <w:p w:rsidR="00A31137" w:rsidRPr="00A31137" w:rsidRDefault="00A31137" w:rsidP="00A31137">
      <w:r w:rsidRPr="00A31137">
        <w:t>1991, Rust v. Sullivan, 500 U.S. 196</w:t>
      </w:r>
    </w:p>
    <w:p w:rsidR="00A31137" w:rsidRPr="00A31137" w:rsidRDefault="00A31137" w:rsidP="00A31137">
      <w:r w:rsidRPr="00A31137">
        <w:t>even though the government may deny [a]…benefit for any number of reasons, there are some reasons upon which the government may not rely. It may not deny a benefit to a person on a basis that infringes his constitutionally protected interests—especially, his interest in freedom of speech.</w:t>
      </w:r>
    </w:p>
    <w:p w:rsidR="00A31137" w:rsidRPr="00A31137" w:rsidRDefault="00A31137" w:rsidP="00A31137">
      <w:r w:rsidRPr="00A31137">
        <w:t>1991, Rust v. Sullivan, 500 U.S. 196</w:t>
      </w:r>
    </w:p>
    <w:p w:rsidR="00A31137" w:rsidRPr="00A31137" w:rsidRDefault="00A31137" w:rsidP="00A31137">
      <w:r w:rsidRPr="00A31137">
        <w:t>Perry, supra, 408 U.S. at  597.</w:t>
      </w:r>
    </w:p>
    <w:p w:rsidR="00A31137" w:rsidRPr="00A31137" w:rsidRDefault="00A31137" w:rsidP="00A31137">
      <w:r w:rsidRPr="00A31137">
        <w:t>1991, Rust v. Sullivan, 500 U.S. 196</w:t>
      </w:r>
    </w:p>
    <w:p w:rsidR="00A31137" w:rsidRPr="00A31137" w:rsidRDefault="00A31137" w:rsidP="00A31137">
      <w:r w:rsidRPr="00A31137">
        <w:t xml:space="preserve">Petitioners' reliance on these cases is unavailing, however, because here the government is not denying a benefit to anyone, but is instead simply insisting that public funds be spent for the purposes for which they were authorized. The Secretary's regulations do not force the Title X grantee to give up abortion-related speech; they merely require that the grantee keep such activities separate and distinct from Title X activities. Title X expressly distinguishes between a Title X grantee and a Title X project. The grantee, which normally is a health care organization, may receive funds from a variety of sources for a variety of purposes. Brief for Petitioners in No. 89-1391, pp. 3, n. 5, 13. The grantee receives Title X funds, however, for the specific and limited purpose of establishing and operating a Title X project. 42 U.S.C. § 300(a). The regulations govern the scope of the Title X project's activities, and leave the grantee unfettered in its other activities. The Title X grantee can continue to perform abortions, provide abortion-related services, and engage in abortion advocacy; it simply is required to conduct those activities through programs that are separate and independent from the project that receives Title X funds. 42 CFR 59.9 (1989). [500 U.S. 197] </w:t>
      </w:r>
    </w:p>
    <w:p w:rsidR="00A31137" w:rsidRPr="00A31137" w:rsidRDefault="00A31137" w:rsidP="00A31137">
      <w:r w:rsidRPr="00A31137">
        <w:t>1991, Rust v. Sullivan, 500 U.S. 197</w:t>
      </w:r>
    </w:p>
    <w:p w:rsidR="00A31137" w:rsidRPr="00A31137" w:rsidRDefault="00A31137" w:rsidP="00A31137">
      <w:r w:rsidRPr="00A31137">
        <w:t>In contrast, our "unconstitutional conditions" cases involve situations in which the government has placed a condition on the recipient of the subsidy, rather that on a particular program or service, thus effectively prohibiting the recipient from engaging in the protected conduct outside the scope of the federally funded program. In FCC v. League of Women Voters of Cal., we invalidated a federal law providing that noncommercial television and radio stations that receive federal grants may not "engage in editorializing." Under that law, a recipient of federal funds was "barred absolutely from all editorializing," because it "is not able to segregate its activities according to the source of its funding," and thus "has no way of limiting the use of its federal funds to all noneditorializing activities." The effect of the law was that</w:t>
      </w:r>
    </w:p>
    <w:p w:rsidR="00A31137" w:rsidRPr="00A31137" w:rsidRDefault="00A31137" w:rsidP="00A31137">
      <w:r w:rsidRPr="00A31137">
        <w:t>1991, Rust v. Sullivan, 500 U.S. 197</w:t>
      </w:r>
    </w:p>
    <w:p w:rsidR="00A31137" w:rsidRPr="00A31137" w:rsidRDefault="00A31137" w:rsidP="00A31137">
      <w:r w:rsidRPr="00A31137">
        <w:t>a noncommercial educational station that receives only 1% of its overall income from [federal] grants is barred absolutely from all editorializing</w:t>
      </w:r>
    </w:p>
    <w:p w:rsidR="00A31137" w:rsidRPr="00A31137" w:rsidRDefault="00A31137" w:rsidP="00A31137">
      <w:r w:rsidRPr="00A31137">
        <w:t>1991, Rust v. Sullivan, 500 U.S. 197</w:t>
      </w:r>
    </w:p>
    <w:p w:rsidR="00A31137" w:rsidRPr="00A31137" w:rsidRDefault="00A31137" w:rsidP="00A31137">
      <w:r w:rsidRPr="00A31137">
        <w:t>and "barred from using even wholly private funds to finance its editorial activity." 468 U.S. at 400. We expressly recognized, however, that were Congress to permit the recipient stations to</w:t>
      </w:r>
    </w:p>
    <w:p w:rsidR="00A31137" w:rsidRPr="00A31137" w:rsidRDefault="00A31137" w:rsidP="00A31137">
      <w:r w:rsidRPr="00A31137">
        <w:t>1991, Rust v. Sullivan, 500 U.S. 197</w:t>
      </w:r>
    </w:p>
    <w:p w:rsidR="00A31137" w:rsidRPr="00A31137" w:rsidRDefault="00A31137" w:rsidP="00A31137">
      <w:r w:rsidRPr="00A31137">
        <w:t>establish 'affiliate' organizations which could then use the station's facilities to editorialize with nonfederal funds, such a statutory mechanism would plainly be valid.</w:t>
      </w:r>
    </w:p>
    <w:p w:rsidR="00A31137" w:rsidRPr="00A31137" w:rsidRDefault="00A31137" w:rsidP="00A31137">
      <w:r w:rsidRPr="00A31137">
        <w:t>1991, Rust v. Sullivan, 500 U.S. 197</w:t>
      </w:r>
    </w:p>
    <w:p w:rsidR="00A31137" w:rsidRPr="00A31137" w:rsidRDefault="00A31137" w:rsidP="00A31137">
      <w:r w:rsidRPr="00A31137">
        <w:t>Ibid. Such a scheme would permit the station</w:t>
      </w:r>
    </w:p>
    <w:p w:rsidR="00A31137" w:rsidRPr="00A31137" w:rsidRDefault="00A31137" w:rsidP="00A31137">
      <w:r w:rsidRPr="00A31137">
        <w:t>1991, Rust v. Sullivan, 500 U.S. 197</w:t>
      </w:r>
    </w:p>
    <w:p w:rsidR="00A31137" w:rsidRPr="00A31137" w:rsidRDefault="00A31137" w:rsidP="00A31137">
      <w:r w:rsidRPr="00A31137">
        <w:t>to make known its views on matters of public importance through its nonfederally funded, editorializing affiliate without losing federal grants for its noneditorializing broadcast activities.</w:t>
      </w:r>
    </w:p>
    <w:p w:rsidR="00A31137" w:rsidRPr="00A31137" w:rsidRDefault="00A31137" w:rsidP="00A31137">
      <w:r w:rsidRPr="00A31137">
        <w:t>1991, Rust v. Sullivan, 500 U.S. 197</w:t>
      </w:r>
    </w:p>
    <w:p w:rsidR="00A31137" w:rsidRPr="00A31137" w:rsidRDefault="00A31137" w:rsidP="00A31137">
      <w:r w:rsidRPr="00A31137">
        <w:t>Ibid.</w:t>
      </w:r>
    </w:p>
    <w:p w:rsidR="00A31137" w:rsidRPr="00A31137" w:rsidRDefault="00A31137" w:rsidP="00A31137">
      <w:r w:rsidRPr="00A31137">
        <w:t>1991, Rust v. Sullivan, 500 U.S. 197</w:t>
      </w:r>
    </w:p>
    <w:p w:rsidR="00A31137" w:rsidRPr="00A31137" w:rsidRDefault="00A31137" w:rsidP="00A31137">
      <w:r w:rsidRPr="00A31137">
        <w:t>Similarly, in Regan, we held that Congress could, in the exercise of its spending power, reasonably refuse to subsidize the lobbying activities of tax-exempt charitable organizations by prohibiting such organizations from using tax-deductible contributions to support their lobbying efforts. In so holding, we explained that such organizations remained free "to receive deductible contributions to support…nonlobbying activit[ies]." 461 U.S. at  545. Thus, a charitable organization could create, under § 501(c)(3) of the Internal [500 U.S. 198] Revenue Code of 1954, 26 U.S.C. § 501(c)(3), an affiliate to conduct its nonlobbying activities using tax-deductible contributions, and at the same time establish, under § 501(c)(4), a separate affiliate to pursue its lobbying efforts without such contributions. Regan, supra, at  544. Given that alternative, the Court concluded that</w:t>
      </w:r>
    </w:p>
    <w:p w:rsidR="00A31137" w:rsidRPr="00A31137" w:rsidRDefault="00A31137" w:rsidP="00A31137">
      <w:r w:rsidRPr="00A31137">
        <w:t>1991, Rust v. Sullivan, 500 U.S. 198</w:t>
      </w:r>
    </w:p>
    <w:p w:rsidR="00A31137" w:rsidRPr="00A31137" w:rsidRDefault="00A31137" w:rsidP="00A31137">
      <w:r w:rsidRPr="00A31137">
        <w:t>Congress has not infringed any First Amendment rights or regulated any First Amendment activity[; it] has simply chosen not to pay for [appellee's] lobbying.</w:t>
      </w:r>
    </w:p>
    <w:p w:rsidR="00A31137" w:rsidRPr="00A31137" w:rsidRDefault="00A31137" w:rsidP="00A31137">
      <w:r w:rsidRPr="00A31137">
        <w:t>1991, Rust v. Sullivan, 500 U.S. 198</w:t>
      </w:r>
    </w:p>
    <w:p w:rsidR="00A31137" w:rsidRPr="00A31137" w:rsidRDefault="00A31137" w:rsidP="00A31137">
      <w:r w:rsidRPr="00A31137">
        <w:t>Id. at  546. We also noted that appellee</w:t>
      </w:r>
    </w:p>
    <w:p w:rsidR="00A31137" w:rsidRPr="00A31137" w:rsidRDefault="00A31137" w:rsidP="00A31137">
      <w:r w:rsidRPr="00A31137">
        <w:t>1991, Rust v. Sullivan, 500 U.S. 198</w:t>
      </w:r>
    </w:p>
    <w:p w:rsidR="00A31137" w:rsidRPr="00A31137" w:rsidRDefault="00A31137" w:rsidP="00A31137">
      <w:r w:rsidRPr="00A31137">
        <w:t>would, of course, have to ensure that th § 501(c)(3) organization did not subsidize the § 501(c)(4) organization; otherwise, public funds might be spent on an activity Congress chose not to subsidize.</w:t>
      </w:r>
    </w:p>
    <w:p w:rsidR="00A31137" w:rsidRPr="00A31137" w:rsidRDefault="00A31137" w:rsidP="00A31137">
      <w:r w:rsidRPr="00A31137">
        <w:t>1991, Rust v. Sullivan, 500 U.S. 198</w:t>
      </w:r>
    </w:p>
    <w:p w:rsidR="00A31137" w:rsidRPr="00A31137" w:rsidRDefault="00A31137" w:rsidP="00A31137">
      <w:r w:rsidRPr="00A31137">
        <w:t>Ibid. The condition that federal funds will be used only to further the purposes of a grant does not violate constitutional rights.</w:t>
      </w:r>
    </w:p>
    <w:p w:rsidR="00A31137" w:rsidRPr="00A31137" w:rsidRDefault="00A31137" w:rsidP="00A31137">
      <w:r w:rsidRPr="00A31137">
        <w:t>1991, Rust v. Sullivan, 500 U.S. 198</w:t>
      </w:r>
    </w:p>
    <w:p w:rsidR="00A31137" w:rsidRPr="00A31137" w:rsidRDefault="00A31137" w:rsidP="00A31137">
      <w:r w:rsidRPr="00A31137">
        <w:t>Congress could, for example, grant funds to an organization dedicated to combating teenage drug abuse, but condition the grant by providing that none of the money received from Congress should be used to lobby state legislatures.</w:t>
      </w:r>
    </w:p>
    <w:p w:rsidR="00A31137" w:rsidRPr="00A31137" w:rsidRDefault="00A31137" w:rsidP="00A31137">
      <w:r w:rsidRPr="00A31137">
        <w:t>1991, Rust v. Sullivan, 500 U.S. 198</w:t>
      </w:r>
    </w:p>
    <w:p w:rsidR="00A31137" w:rsidRPr="00A31137" w:rsidRDefault="00A31137" w:rsidP="00A31137">
      <w:r w:rsidRPr="00A31137">
        <w:t>See id. at  548.</w:t>
      </w:r>
    </w:p>
    <w:p w:rsidR="00A31137" w:rsidRPr="00A31137" w:rsidRDefault="00A31137" w:rsidP="00A31137">
      <w:r w:rsidRPr="00A31137">
        <w:t>1991, Rust v. Sullivan, 500 U.S. 198</w:t>
      </w:r>
    </w:p>
    <w:p w:rsidR="00A31137" w:rsidRPr="00A31137" w:rsidRDefault="00A31137" w:rsidP="00A31137">
      <w:r w:rsidRPr="00A31137">
        <w:t>By requiring that the Title X grantee engage in abortion-related activity separately from activity receiving federal funding, Congress has, consistent with our teachings in League of Women Voters and Regan, not denied it the right to engage in abortion-related activities. Congress has merely refused to fund such activities out of the public fisc, and the Secretary has simply required a certain degree of separation from the Title X project in order to ensure the integrity of the federally funded program.</w:t>
      </w:r>
    </w:p>
    <w:p w:rsidR="00A31137" w:rsidRPr="00A31137" w:rsidRDefault="00A31137" w:rsidP="00A31137">
      <w:r w:rsidRPr="00A31137">
        <w:t>1991, Rust v. Sullivan, 500 U.S. 198</w:t>
      </w:r>
    </w:p>
    <w:p w:rsidR="00A31137" w:rsidRPr="00A31137" w:rsidRDefault="00A31137" w:rsidP="00A31137">
      <w:r w:rsidRPr="00A31137">
        <w:t>The same principles apply to petitioners' claim that the regulations abridge the free speech rights of the grantee's staff. Individuals who are voluntarily employed for a Title X project must perform their duties in accordance with the regulation's restrictions on abortion counseling and referral. The employees remain free, however, to pursue abortion-related activities when they are not acting under the auspices of the Title X project. The regulations, which govern solely [500 U.S. 199] the scope of the Title X project's activities, do not in any way restrict the activities of those persons acting as private individuals. The employees' freedom of expression is limited during the time that they actually work for the project, but this limitation is a consequence of their decision to accept employment in a project, the scope of which is permissibly restricted by the funding authority. 5</w:t>
      </w:r>
    </w:p>
    <w:p w:rsidR="00A31137" w:rsidRPr="00A31137" w:rsidRDefault="00A31137" w:rsidP="00A31137">
      <w:r w:rsidRPr="00A31137">
        <w:t>1991, Rust v. Sullivan, 500 U.S. 199</w:t>
      </w:r>
    </w:p>
    <w:p w:rsidR="00A31137" w:rsidRPr="00A31137" w:rsidRDefault="00A31137" w:rsidP="00A31137">
      <w:r w:rsidRPr="00A31137">
        <w:t xml:space="preserve">This is not to suggest that funding by the Government, even when coupled with the freedom of the fund recipients to speak outside the scope of the Government-funded project, is invariably sufficient to justify government control over the content of expression. For example, this Court has recognized [500 U.S. 200] that the existence of a Government "subsidy," in the form of Government-owned property, does not justify the restriction of speech in areas that have "been traditionally open to the public for expressive activity," United States v. Kokinda, 497 U.S. 720, 726 (1990); Hague v. CIO, 307 U.S. 496,  515 (1939) (opinion of Roberts, J.), or have been "expressly dedicated to speech activity." Kokinda, supra, at 726; Perry Education Assn. v. Perry Local Educators' Assn., 460 U.S. 37,  45 (1983). Similarly, we have recognized that the university is a traditional sphere of free expression so fundamental to the functioning of our society that the Government's ability to control speech within that sphere by means of conditions attached to the expenditure of Government funds is restricted by the vagueness and overbreadth doctrines of the First Amendment, Keyishian v. Board of Regents, 385 U.S. 589,  603, 605-606 (1967). It could be argued by analogy that traditional relationships such as that between doctor and patient should enjoy protection under the First Amendment from government regulation, even when subsidized by the Government. We need not resolve that question here, however, because the Title X program regulations do not significantly impinge upon the doctorpatient relationship. Nothing in them requires a doctor to represent as his own any opinion that he does not in fact hold. Nor is the doctor-patient relationship established by the Title X program sufficiently all-encompassing so as to justify an expectation on the part of the patient of comprehensive medical advice. The program does not provide post-conception medical care, and therefore a doctor's silence with regard to abortion cannot reasonably be thought to mislead a client into thinking that the doctor does not consider abortion an appropriate option for her. The doctor is always free to make clear that advice regarding abortion is simply beyond the scope of the program. In these circumstances, the general rule that the Government may choose not to subsidize speech applies with full force. [500 U.S. 201] </w:t>
      </w:r>
    </w:p>
    <w:p w:rsidR="00A31137" w:rsidRPr="00A31137" w:rsidRDefault="00A31137" w:rsidP="00A31137">
      <w:r w:rsidRPr="00A31137">
        <w:t>IV</w:t>
      </w:r>
    </w:p>
    <w:p w:rsidR="00A31137" w:rsidRPr="00A31137" w:rsidRDefault="00A31137" w:rsidP="00A31137">
      <w:r w:rsidRPr="00A31137">
        <w:t>1991, Rust v. Sullivan, 500 U.S. 201</w:t>
      </w:r>
    </w:p>
    <w:p w:rsidR="00A31137" w:rsidRPr="00A31137" w:rsidRDefault="00A31137" w:rsidP="00A31137">
      <w:r w:rsidRPr="00A31137">
        <w:t>We turn now to petitioners' argument that the regulations violate a woman's Fifth Amendment right to choose whether to terminate her pregnancy. We recently reaffirmed the long-recognized principle that</w:t>
      </w:r>
    </w:p>
    <w:p w:rsidR="00A31137" w:rsidRPr="00A31137" w:rsidRDefault="00A31137" w:rsidP="00A31137">
      <w:r w:rsidRPr="00A31137">
        <w:t>1991, Rust v. Sullivan, 500 U.S. 201</w:t>
      </w:r>
    </w:p>
    <w:p w:rsidR="00A31137" w:rsidRPr="00A31137" w:rsidRDefault="00A31137" w:rsidP="00A31137">
      <w:r w:rsidRPr="00A31137">
        <w:t>"the Due Process Clauses generally confer no affirmative right to governmental aid, even where such aid may be necessary to secure life, liberty, or property interests of which the government itself may not deprive the individual."</w:t>
      </w:r>
    </w:p>
    <w:p w:rsidR="00A31137" w:rsidRPr="00A31137" w:rsidRDefault="00A31137" w:rsidP="00A31137">
      <w:r w:rsidRPr="00A31137">
        <w:t>1991, Rust v. Sullivan, 500 U.S. 201</w:t>
      </w:r>
    </w:p>
    <w:p w:rsidR="00A31137" w:rsidRPr="00A31137" w:rsidRDefault="00A31137" w:rsidP="00A31137">
      <w:r w:rsidRPr="00A31137">
        <w:t>Webster, 492 U.S. at  507, quoting DeShaney v. Winnebago County Dept. of Social Services, 489 U.S. 189,  196 (1989). The Government has no constitutional duty to subsidize an activity merely because the activity is constitutionally protected, and may validly choose to fund childbirth over abortion and "'implement that judgment by the allocation of public funds'" for medical services relating to childbirth, but not to those relating to abortion. Webster, supra, 492 U.S. at  510 (citation omitted). The Government has no affirmative duty to "commit any resources to facilitating abortions," Webster, 492 U.S. at  511, and its decision to fund childbirth but not abortion</w:t>
      </w:r>
    </w:p>
    <w:p w:rsidR="00A31137" w:rsidRPr="00A31137" w:rsidRDefault="00A31137" w:rsidP="00A31137">
      <w:r w:rsidRPr="00A31137">
        <w:t>1991, Rust v. Sullivan, 500 U.S. 201</w:t>
      </w:r>
    </w:p>
    <w:p w:rsidR="00A31137" w:rsidRPr="00A31137" w:rsidRDefault="00A31137" w:rsidP="00A31137">
      <w:r w:rsidRPr="00A31137">
        <w:t>places no governmental obstacle in the path of a woman who chooses to terminate her pregnancy, but rather, by means of unequal subsidization of abortion and other medical services, encourages alternative activity deemed in the public interest.</w:t>
      </w:r>
    </w:p>
    <w:p w:rsidR="00A31137" w:rsidRPr="00A31137" w:rsidRDefault="00A31137" w:rsidP="00A31137">
      <w:r w:rsidRPr="00A31137">
        <w:t>1991, Rust v. Sullivan, 500 U.S. 201</w:t>
      </w:r>
    </w:p>
    <w:p w:rsidR="00A31137" w:rsidRPr="00A31137" w:rsidRDefault="00A31137" w:rsidP="00A31137">
      <w:r w:rsidRPr="00A31137">
        <w:t>McRae, 448 U.S. at  315.</w:t>
      </w:r>
    </w:p>
    <w:p w:rsidR="00A31137" w:rsidRPr="00A31137" w:rsidRDefault="00A31137" w:rsidP="00A31137">
      <w:r w:rsidRPr="00A31137">
        <w:t>1991, Rust v. Sullivan, 500 U.S. 201</w:t>
      </w:r>
    </w:p>
    <w:p w:rsidR="00A31137" w:rsidRPr="00A31137" w:rsidRDefault="00A31137" w:rsidP="00A31137">
      <w:r w:rsidRPr="00A31137">
        <w:t>That the regulations do not impermissibly burden a woman's Fifth Amendment rights is evident from the line of cases beginning with Maher and McRae and culminating in our most recent decision in Webster. Just as Congress' refusal to fund abortions in McRae left "an indigent woman with at least the same range of choice in deciding whether to obtain a medically necessary abortion as she would have had if Congress had chosen to subsidize no health care costs at all," 448 U.S. at  317, and</w:t>
      </w:r>
    </w:p>
    <w:p w:rsidR="00A31137" w:rsidRPr="00A31137" w:rsidRDefault="00A31137" w:rsidP="00A31137">
      <w:r w:rsidRPr="00A31137">
        <w:t>1991, Rust v. Sullivan, 500 U.S. 201</w:t>
      </w:r>
    </w:p>
    <w:p w:rsidR="00A31137" w:rsidRPr="00A31137" w:rsidRDefault="00A31137" w:rsidP="00A31137">
      <w:r w:rsidRPr="00A31137">
        <w:t>Missouri's refusal to allow public employees to perform abortions in public hospitals leaves a pregnant woman with the same choices as if the State had chosen not [500 U.S. 202] to operate any public hospitals,</w:t>
      </w:r>
    </w:p>
    <w:p w:rsidR="00A31137" w:rsidRPr="00A31137" w:rsidRDefault="00A31137" w:rsidP="00A31137">
      <w:r w:rsidRPr="00A31137">
        <w:t>1991, Rust v. Sullivan, 500 U.S. 202</w:t>
      </w:r>
    </w:p>
    <w:p w:rsidR="00A31137" w:rsidRPr="00A31137" w:rsidRDefault="00A31137" w:rsidP="00A31137">
      <w:r w:rsidRPr="00A31137">
        <w:t>Webster, supra, at  509, Congress' refusal to fund abortion counseling and advocacy leaves a pregnant woman with the same choices as if the government had chosen not to fund family planning services at all. The difficulty that a woman encounters when a Title X project does not provide abortion counseling or referral leaves her in no different position than she would have been if the government had not enacted Title X.</w:t>
      </w:r>
    </w:p>
    <w:p w:rsidR="00A31137" w:rsidRPr="00A31137" w:rsidRDefault="00A31137" w:rsidP="00A31137">
      <w:r w:rsidRPr="00A31137">
        <w:t>1991, Rust v. Sullivan, 500 U.S. 202</w:t>
      </w:r>
    </w:p>
    <w:p w:rsidR="00A31137" w:rsidRPr="00A31137" w:rsidRDefault="00A31137" w:rsidP="00A31137">
      <w:r w:rsidRPr="00A31137">
        <w:t>In Webster, we stated that,</w:t>
      </w:r>
    </w:p>
    <w:p w:rsidR="00A31137" w:rsidRPr="00A31137" w:rsidRDefault="00A31137" w:rsidP="00A31137">
      <w:r w:rsidRPr="00A31137">
        <w:t>1991, Rust v. Sullivan, 500 U.S. 202</w:t>
      </w:r>
    </w:p>
    <w:p w:rsidR="00A31137" w:rsidRPr="00A31137" w:rsidRDefault="00A31137" w:rsidP="00A31137">
      <w:r w:rsidRPr="00A31137">
        <w:t>[h]aving held that the State's refusal [in Maher] to fund abortions does not violate Roe v. Wade, it strains logic to reach a contrary result for the use of public facilities and employees.</w:t>
      </w:r>
    </w:p>
    <w:p w:rsidR="00A31137" w:rsidRPr="00A31137" w:rsidRDefault="00A31137" w:rsidP="00A31137">
      <w:r w:rsidRPr="00A31137">
        <w:t>1991, Rust v. Sullivan, 500 U.S. 202</w:t>
      </w:r>
    </w:p>
    <w:p w:rsidR="00A31137" w:rsidRPr="00A31137" w:rsidRDefault="00A31137" w:rsidP="00A31137">
      <w:r w:rsidRPr="00A31137">
        <w:t>492 U.S. at 509-510. It similarly would strain logic, in light of the more extreme restrictions in those cases, to find that the mere decision to exclude abortion-related services from a federally funded pre-conceptual family planning program, is unconstitutional.</w:t>
      </w:r>
    </w:p>
    <w:p w:rsidR="00A31137" w:rsidRPr="00A31137" w:rsidRDefault="00A31137" w:rsidP="00A31137">
      <w:r w:rsidRPr="00A31137">
        <w:t>1991, Rust v. Sullivan, 500 U.S. 202</w:t>
      </w:r>
    </w:p>
    <w:p w:rsidR="00A31137" w:rsidRPr="00A31137" w:rsidRDefault="00A31137" w:rsidP="00A31137">
      <w:r w:rsidRPr="00A31137">
        <w:t>Petitioners also argue that by impermissibly infringing on the doctor/patient relationship and depriving a Title X client of information concerning abortion as a method of family planning, the regulations violate a woman's Fifth Amendment right to medical self-determination and to make informed medical decisions free of government-imposed harm. They argue that, under our decisions in Akron v. Akron Center for Reproductive Health, Inc., 462 U.S. 416 (1983), and Thornburg v. American College of Obstetricians and Gynecologists, 476 U.S. 747 (1986), the government cannot interfere with a woman's right to make an informed and voluntary choice by placing restrictions on the patient/doctor dialogue.</w:t>
      </w:r>
    </w:p>
    <w:p w:rsidR="00A31137" w:rsidRPr="00A31137" w:rsidRDefault="00A31137" w:rsidP="00A31137">
      <w:r w:rsidRPr="00A31137">
        <w:t>1991, Rust v. Sullivan, 500 U.S. 202</w:t>
      </w:r>
    </w:p>
    <w:p w:rsidR="00A31137" w:rsidRPr="00A31137" w:rsidRDefault="00A31137" w:rsidP="00A31137">
      <w:r w:rsidRPr="00A31137">
        <w:t>In Akron, we invalidated a city ordinance requiring all physicians to make specified statements to the patient prior to performing an abortion in order to ensure that the woman's consent was "truly informed." 462 U.S. at  423. Similarly, in Thornburg, we struck down a state statute mandating that a list of agencies offering alternatives to abortion and a description of fetal development be provided to every woman considering terminating her pregnancy through an [500 U.S. 203] abortion. Critical to our decisions in Akron and Thornburg to invalidate a governmental intrusion into the patient/doctor dialogue was the fact that the laws in both cases required all doctors within their respective jurisdictions to provide all pregnant patients contemplating an abortion a litany of information, regardless of whether the patient sought the information or whether the doctor thought the information necessary to the patient's decision. Under the Secretary's regulations, however, a doctor's ability to provide, and a woman's right to receive, information concerning abortion and abortion-related services outside the context of the Title X project remains unfettered. It would undoubtedly be easier for a woman seeking an abortion if she could receive information about abortion from a Title X project, but the Constitution does not require that the Government distort the scope of its mandated program in order to provide that information.</w:t>
      </w:r>
    </w:p>
    <w:p w:rsidR="00A31137" w:rsidRPr="00A31137" w:rsidRDefault="00A31137" w:rsidP="00A31137">
      <w:r w:rsidRPr="00A31137">
        <w:t>1991, Rust v. Sullivan, 500 U.S. 203</w:t>
      </w:r>
    </w:p>
    <w:p w:rsidR="00A31137" w:rsidRPr="00A31137" w:rsidRDefault="00A31137" w:rsidP="00A31137">
      <w:r w:rsidRPr="00A31137">
        <w:t>Petitioners contend, however, that most Title X clients are effectively precluded by indigency and poverty from seeing a health care provider who will provide abortion-related services. But once again, even these Title X clients are in no worse position than if Congress had never enacted Title X.</w:t>
      </w:r>
    </w:p>
    <w:p w:rsidR="00A31137" w:rsidRPr="00A31137" w:rsidRDefault="00A31137" w:rsidP="00A31137">
      <w:r w:rsidRPr="00A31137">
        <w:t>1991, Rust v. Sullivan, 500 U.S. 203</w:t>
      </w:r>
    </w:p>
    <w:p w:rsidR="00A31137" w:rsidRPr="00A31137" w:rsidRDefault="00A31137" w:rsidP="00A31137">
      <w:r w:rsidRPr="00A31137">
        <w:t>The financial constraints that restrict an indigent woman's ability to enjoy the full range of constitutionally protected freedom of choice are the product not of governmental restrictions on access to abortion, but rather of her indigency.</w:t>
      </w:r>
    </w:p>
    <w:p w:rsidR="00A31137" w:rsidRPr="00A31137" w:rsidRDefault="00A31137" w:rsidP="00A31137">
      <w:r w:rsidRPr="00A31137">
        <w:t>1991, Rust v. Sullivan, 500 U.S. 203</w:t>
      </w:r>
    </w:p>
    <w:p w:rsidR="00A31137" w:rsidRPr="00A31137" w:rsidRDefault="00A31137" w:rsidP="00A31137">
      <w:r w:rsidRPr="00A31137">
        <w:t>McRae, supra, 448 U.S. at  316.</w:t>
      </w:r>
    </w:p>
    <w:p w:rsidR="00A31137" w:rsidRPr="00A31137" w:rsidRDefault="00A31137" w:rsidP="00A31137">
      <w:r w:rsidRPr="00A31137">
        <w:t>1991, Rust v. Sullivan, 500 U.S. 203</w:t>
      </w:r>
    </w:p>
    <w:p w:rsidR="00A31137" w:rsidRPr="00A31137" w:rsidRDefault="00A31137" w:rsidP="00A31137">
      <w:r w:rsidRPr="00A31137">
        <w:t>The Secretary's regulations are a permissible construction of Title X, and do not violate either the First or Fifth Amendments to the Constitution. Accordingly, the judgment of the Court of Appeals is</w:t>
      </w:r>
    </w:p>
    <w:p w:rsidR="00A31137" w:rsidRPr="00A31137" w:rsidRDefault="00A31137" w:rsidP="00A31137">
      <w:r w:rsidRPr="00A31137">
        <w:t>1991, Rust v. Sullivan, 500 U.S. 203</w:t>
      </w:r>
    </w:p>
    <w:p w:rsidR="00A31137" w:rsidRPr="00A31137" w:rsidRDefault="00A31137" w:rsidP="00A31137">
      <w:r w:rsidRPr="00A31137">
        <w:t>Affirmed.</w:t>
      </w:r>
    </w:p>
    <w:p w:rsidR="00A31137" w:rsidRPr="00A31137" w:rsidRDefault="00A31137" w:rsidP="00A31137">
      <w:r w:rsidRPr="00A31137">
        <w:t>BLACKMUN, J., dissenting</w:t>
      </w:r>
    </w:p>
    <w:p w:rsidR="00A31137" w:rsidRPr="00A31137" w:rsidRDefault="00A31137" w:rsidP="00A31137">
      <w:r w:rsidRPr="00A31137">
        <w:t>1991, Rust v. Sullivan, 500 U.S. 203</w:t>
      </w:r>
    </w:p>
    <w:p w:rsidR="00A31137" w:rsidRPr="00A31137" w:rsidRDefault="00A31137" w:rsidP="00A31137">
      <w:r w:rsidRPr="00A31137">
        <w:t>JUSTICE BLACKMUN, with whom JUSTICE MARSHALL joins, with whom JUSTICE STEVENS joins as to Parts II and [500 U.S. 204] III, and with whom JUSTICE O'CONNOR joins as to Part I, dissenting.</w:t>
      </w:r>
    </w:p>
    <w:p w:rsidR="00A31137" w:rsidRPr="00A31137" w:rsidRDefault="00A31137" w:rsidP="00A31137">
      <w:r w:rsidRPr="00A31137">
        <w:t>1991, Rust v. Sullivan, 500 U.S. 204</w:t>
      </w:r>
    </w:p>
    <w:p w:rsidR="00A31137" w:rsidRPr="00A31137" w:rsidRDefault="00A31137" w:rsidP="00A31137">
      <w:r w:rsidRPr="00A31137">
        <w:t>Casting aside established principles of statutory construction and administrative jurisprudence, the majority in these cases today unnecessarily passes upon important questions of constitutional law. In so doing, the Court, for the first time, upholds viewpoint-based suppression of speech solely because it is imposed on those dependent upon the Government for economic support. Under essentially the same rationale, the majority upholds direct regulation of dialogue between a pregnant woman and her physician when that regulation has both the purpose and the effect of manipulating her decision as to the continuance of her pregnancy. I conclude that the Secretary's regulation of referral, advocacy, and counseling activities exceeds his statutory authority, and also that the Regulations violate the First and Fifth Amendments of our Constitution. Accordingly, I dissent, and would reverse the divided-vote judgment of the Court of Appeals.</w:t>
      </w:r>
    </w:p>
    <w:p w:rsidR="00A31137" w:rsidRPr="00A31137" w:rsidRDefault="00A31137" w:rsidP="00A31137">
      <w:r w:rsidRPr="00A31137">
        <w:t>I</w:t>
      </w:r>
    </w:p>
    <w:p w:rsidR="00A31137" w:rsidRPr="00A31137" w:rsidRDefault="00A31137" w:rsidP="00A31137">
      <w:r w:rsidRPr="00A31137">
        <w:t>1991, Rust v. Sullivan, 500 U.S. 204</w:t>
      </w:r>
    </w:p>
    <w:p w:rsidR="00A31137" w:rsidRPr="00A31137" w:rsidRDefault="00A31137" w:rsidP="00A31137">
      <w:r w:rsidRPr="00A31137">
        <w:t>The majority does not dispute that "[f]ederal statutes are to be so construed as to avoid serious doubt of their constitutionality." Machinists v. Street, 367 U.S. 740, 749 (1961). See also Hooper v. California, 155 U.S. 648, 657 (1895); Crowell v. Benson, 285 U.S. 22,  62 (1932); United States v. Security Industrial Bank, 459 U.S. 70, 78 (1982). Nor does the majority deny that this principle is fully applicable to cases such as the instant one, in which a plausible but constitutionally suspect statutory interpretation is embodied in an administrative regulation. See Edward J. DeBartolo Corp. v. Florida Gulf Coast Building &amp; Construction Trades Council, 485 U.S. 568, 575 (1988); NLRB v. Catholic Bishop of Chicago, 440 U.S. 490 (1979); Kent v. Dulles, 357 U.S. 116, 129-130 (1958). Rather, in its zeal to address the constitutional issues, the majority sidesteps this established canon of construction with the feeble excuse that the challenged [500 U.S. 205] Regulations</w:t>
      </w:r>
    </w:p>
    <w:p w:rsidR="00A31137" w:rsidRPr="00A31137" w:rsidRDefault="00A31137" w:rsidP="00A31137">
      <w:r w:rsidRPr="00A31137">
        <w:t>1991, Rust v. Sullivan, 500 U.S. 205</w:t>
      </w:r>
    </w:p>
    <w:p w:rsidR="00A31137" w:rsidRPr="00A31137" w:rsidRDefault="00A31137" w:rsidP="00A31137">
      <w:r w:rsidRPr="00A31137">
        <w:t>do not raise the sort of "grave and doubtful constitutional questions,"…that would lead us to assume Congress did not intend to authorize their issuance.</w:t>
      </w:r>
    </w:p>
    <w:p w:rsidR="00A31137" w:rsidRPr="00A31137" w:rsidRDefault="00A31137" w:rsidP="00A31137">
      <w:r w:rsidRPr="00A31137">
        <w:t>1991, Rust v. Sullivan, 500 U.S. 205</w:t>
      </w:r>
    </w:p>
    <w:p w:rsidR="00A31137" w:rsidRPr="00A31137" w:rsidRDefault="00A31137" w:rsidP="00A31137">
      <w:r w:rsidRPr="00A31137">
        <w:t>Ante at  191, quoting United States v. Delaware and Hudson Co., 213 U.S. 366, 408 (1909).</w:t>
      </w:r>
    </w:p>
    <w:p w:rsidR="00A31137" w:rsidRPr="00A31137" w:rsidRDefault="00A31137" w:rsidP="00A31137">
      <w:r w:rsidRPr="00A31137">
        <w:t>1991, Rust v. Sullivan, 500 U.S. 205</w:t>
      </w:r>
    </w:p>
    <w:p w:rsidR="00A31137" w:rsidRPr="00A31137" w:rsidRDefault="00A31137" w:rsidP="00A31137">
      <w:r w:rsidRPr="00A31137">
        <w:t>This facile response to the intractable problem the Court addresses today is disingenuous, at best. Whether or not one believes that these Regulations are valid, it avoids reality to contend that they do not give rise to serious constitutional questions. The canon is applicable to this case not because "it was likely that [the Regulations]…would be challenged on constitutional grounds," ante at  191, but because the question squarely presented by the Regulations—the extent to which the Government may attach an otherwise unconstitutional condition to the receipt of a public benefit—implicates a troubled area of our jurisprudence in which a court ought not entangle itself unnecessarily. See, e.g., Epstein, Unconstitutional Conditions, State Power, and the Limits of Consent, 102 Harv.L.Rev. 4, 6 (1988) (describing this problem as "the basic structural issue that for over a hundred years has bedeviled courts and commentators alike…. "); Sullivan, Unconstitutional Conditions, 102 Harv.L.Rev. 1413, 1415-1416 (1989) (observing that this Court's unconstitutional conditions cases "seem a minefield to be traversed gingerly").</w:t>
      </w:r>
    </w:p>
    <w:p w:rsidR="00A31137" w:rsidRPr="00A31137" w:rsidRDefault="00A31137" w:rsidP="00A31137">
      <w:r w:rsidRPr="00A31137">
        <w:t>1991, Rust v. Sullivan, 500 U.S. 205</w:t>
      </w:r>
    </w:p>
    <w:p w:rsidR="00A31137" w:rsidRPr="00A31137" w:rsidRDefault="00A31137" w:rsidP="00A31137">
      <w:r w:rsidRPr="00A31137">
        <w:t xml:space="preserve">As is discussed in Parts II and III, infra, the Regulations impose viewpoint-based restrictions upon protected speech, and are aimed at a woman's decision whether to continue or terminate her pregnancy. In both respects, they implicate core constitutional values. This verity is evidenced by the fact that two of the three Courts of Appeals that have entertained challenges to the Regulations have invalidated them on constitutional grounds. See Massachusetts v. Secretary of Health and Human Services, 899 F.2d 53 (CA1 1990); Planned Parenthood Federation of America v. Sullivan, 913 F.2d 1492 (CA10 1990). [500 U.S. 206] </w:t>
      </w:r>
    </w:p>
    <w:p w:rsidR="00A31137" w:rsidRPr="00A31137" w:rsidRDefault="00A31137" w:rsidP="00A31137">
      <w:r w:rsidRPr="00A31137">
        <w:t>1991, Rust v. Sullivan, 500 U.S. 206</w:t>
      </w:r>
    </w:p>
    <w:p w:rsidR="00A31137" w:rsidRPr="00A31137" w:rsidRDefault="00A31137" w:rsidP="00A31137">
      <w:r w:rsidRPr="00A31137">
        <w:t>A divided panel of the Tenth Circuit found the Regulations</w:t>
      </w:r>
    </w:p>
    <w:p w:rsidR="00A31137" w:rsidRPr="00A31137" w:rsidRDefault="00A31137" w:rsidP="00A31137">
      <w:r w:rsidRPr="00A31137">
        <w:t>1991, Rust v. Sullivan, 500 U.S. 206</w:t>
      </w:r>
    </w:p>
    <w:p w:rsidR="00A31137" w:rsidRPr="00A31137" w:rsidRDefault="00A31137" w:rsidP="00A31137">
      <w:r w:rsidRPr="00A31137">
        <w:t>fal[l] squarely within the prohibition in Thornburgh v. American College of Obstetricians and Gynecologists, 476 U.S. 747 (1986), and City of Akron v. Akron Center for Reproductive Health, Inc., 462 U.S. 416 (1983), against intrusion into the advice a woman requests from or is given by her doctor.</w:t>
      </w:r>
    </w:p>
    <w:p w:rsidR="00A31137" w:rsidRPr="00A31137" w:rsidRDefault="00A31137" w:rsidP="00A31137">
      <w:r w:rsidRPr="00A31137">
        <w:t>1991, Rust v. Sullivan, 500 U.S. 206</w:t>
      </w:r>
    </w:p>
    <w:p w:rsidR="00A31137" w:rsidRPr="00A31137" w:rsidRDefault="00A31137" w:rsidP="00A31137">
      <w:r w:rsidRPr="00A31137">
        <w:t>913 F.2d at 1501. The First Circuit, en banc with one judge dissenting, found the Regulations to violate both the privacy rights of Title X patients and the First Amendment rights of Title X grantees. See also New York v. Sullivan, 889 F.2d 401, 415 (CA2 1989) (Kearse, J., dissenting in part). That a bare majority of this Court today reaches a different result does not change the fact that the constitutional questions raised by the Regulations are both grave and doubtful.</w:t>
      </w:r>
    </w:p>
    <w:p w:rsidR="00A31137" w:rsidRPr="00A31137" w:rsidRDefault="00A31137" w:rsidP="00A31137">
      <w:r w:rsidRPr="00A31137">
        <w:t>1991, Rust v. Sullivan, 500 U.S. 206</w:t>
      </w:r>
    </w:p>
    <w:p w:rsidR="00A31137" w:rsidRPr="00A31137" w:rsidRDefault="00A31137" w:rsidP="00A31137">
      <w:r w:rsidRPr="00A31137">
        <w:t xml:space="preserve">Nor is this a case in which the statutory language itself requires us to address a constitutional question. Section 1008 of the Public Health Service Act, 84 Stat. 1508, 42 U.S.C. § 300a-6, provides simply: "None of the funds appropriated under this title shall be used in programs where abortion is a method of family planning." The majority concedes that this language "does not speak directly to the issues of counseling, referral, advocacy, or program integrity," ante at  184, and that "the legislative history is ambiguous" in this respect. Ante at  186. Consequently, the language of § 1008 easily sustains a constitutionally trouble-free interpretation. 1 [500 U.S. 207] </w:t>
      </w:r>
    </w:p>
    <w:p w:rsidR="00A31137" w:rsidRPr="00A31137" w:rsidRDefault="00A31137" w:rsidP="00A31137">
      <w:r w:rsidRPr="00A31137">
        <w:t>1991, Rust v. Sullivan, 500 U.S. 207</w:t>
      </w:r>
    </w:p>
    <w:p w:rsidR="00A31137" w:rsidRPr="00A31137" w:rsidRDefault="00A31137" w:rsidP="00A31137">
      <w:r w:rsidRPr="00A31137">
        <w:t>Thus, this is not a situation in which "the intention of Congress is revealed too distinctly to permit us to ignore it because of mere misgivings as to power." Moore Ice Cream Co. v. Rose, 289 U.S. 373, 379 (1933). Indeed, it would appear that our duty to avoid passing unnecessarily upon important constitutional questions is strongest where, as here, the language of the statute is decidedly ambiguous. It is both logical and eminently prudent to assume that, when Congress intends to press the limits of constitutionality in its enactments, it will express that intent in explicit and unambiguous terms. See Sunstein, Law and Administration After Chevron, 90 Colum.L.Rev. 2071, 2113 (1990) ("It is thus implausible that, after Chevron, agency interpretations of ambiguous statutes will prevail even if the consequence of those interpretations is to produce invalidity or to raise serious constitutional doubts").</w:t>
      </w:r>
    </w:p>
    <w:p w:rsidR="00A31137" w:rsidRPr="00A31137" w:rsidRDefault="00A31137" w:rsidP="00A31137">
      <w:r w:rsidRPr="00A31137">
        <w:t>1991, Rust v. Sullivan, 500 U.S. 207</w:t>
      </w:r>
    </w:p>
    <w:p w:rsidR="00A31137" w:rsidRPr="00A31137" w:rsidRDefault="00A31137" w:rsidP="00A31137">
      <w:r w:rsidRPr="00A31137">
        <w:t>Because I conclude that a plainly constitutional construction of § 1008 "is not only 'fairly possible' but entirely reasonable," Machinists, 367 U.S. at 750, I would reverse the judgment of the Court of Appeals on this ground without deciding the constitutionality of the Secretary's Regulations.</w:t>
      </w:r>
    </w:p>
    <w:p w:rsidR="00A31137" w:rsidRPr="00A31137" w:rsidRDefault="00A31137" w:rsidP="00A31137">
      <w:r w:rsidRPr="00A31137">
        <w:t>II</w:t>
      </w:r>
    </w:p>
    <w:p w:rsidR="00A31137" w:rsidRPr="00A31137" w:rsidRDefault="00A31137" w:rsidP="00A31137">
      <w:r w:rsidRPr="00A31137">
        <w:t>1991, Rust v. Sullivan, 500 U.S. 207</w:t>
      </w:r>
    </w:p>
    <w:p w:rsidR="00A31137" w:rsidRPr="00A31137" w:rsidRDefault="00A31137" w:rsidP="00A31137">
      <w:r w:rsidRPr="00A31137">
        <w:t>I also strongly disagree with the majority's disposition of petitioners' constitutional claims, and because I feel that a response thereto is indicated, I move on to that issue.</w:t>
      </w:r>
    </w:p>
    <w:p w:rsidR="00A31137" w:rsidRPr="00A31137" w:rsidRDefault="00A31137" w:rsidP="00A31137">
      <w:r w:rsidRPr="00A31137">
        <w:t>A</w:t>
      </w:r>
    </w:p>
    <w:p w:rsidR="00A31137" w:rsidRPr="00A31137" w:rsidRDefault="00A31137" w:rsidP="00A31137">
      <w:r w:rsidRPr="00A31137">
        <w:t>1991, Rust v. Sullivan, 500 U.S. 207</w:t>
      </w:r>
    </w:p>
    <w:p w:rsidR="00A31137" w:rsidRPr="00A31137" w:rsidRDefault="00A31137" w:rsidP="00A31137">
      <w:r w:rsidRPr="00A31137">
        <w:t>Until today, the Court never has upheld viewpoint-based suppression of speech simply because that suppression was a condition upon the acceptance of public funds. Whatever may be the Government's power to condition the receipt of its largess upon the relinquishment of constitutional rights, it surely does not extend to a condition that suppresses the recipient's cherished freedom of speech based solely upon the content or viewpoint of that speech. Speiser v. Randall, 357 U.S. 513, 518-519 (1958) ("To deny an exemption to claimants [500 U.S. 208] who engage in certain forms of speech is in effect to penalize them for such speech…. The denial is 'frankly aimed at the suppression of dangerous ideas,'" quoting American Communications Assn. v. Douds, 339 U.S. 382,  402 (1950)). See Cammarano v. United States, 358 U.S. 498, 513 (1959). See also League of Women Voters, 468 U.S. at 407 (REHNQUIST, J., dissenting). Cf. Arkansas Writers' Project, Inc. v. Ragland, 481 U.S. 221, 237 (1987) (SCALIA, J., dissenting). This rule is a sound one, for, as the Court often has noted:</w:t>
      </w:r>
    </w:p>
    <w:p w:rsidR="00A31137" w:rsidRPr="00A31137" w:rsidRDefault="00A31137" w:rsidP="00A31137">
      <w:r w:rsidRPr="00A31137">
        <w:t>1991, Rust v. Sullivan, 500 U.S. 208</w:t>
      </w:r>
    </w:p>
    <w:p w:rsidR="00A31137" w:rsidRPr="00A31137" w:rsidRDefault="00A31137" w:rsidP="00A31137">
      <w:r w:rsidRPr="00A31137">
        <w:t>"A regulation of speech that is motivated by nothing more than a desire to curtail expression of a particular point of view on controversial issues of general interest is the purest example of a 'law…abridging the freedom of speech, or of the press.'"</w:t>
      </w:r>
    </w:p>
    <w:p w:rsidR="00A31137" w:rsidRPr="00A31137" w:rsidRDefault="00A31137" w:rsidP="00A31137">
      <w:r w:rsidRPr="00A31137">
        <w:t>1991, Rust v. Sullivan, 500 U.S. 208</w:t>
      </w:r>
    </w:p>
    <w:p w:rsidR="00A31137" w:rsidRPr="00A31137" w:rsidRDefault="00A31137" w:rsidP="00A31137">
      <w:r w:rsidRPr="00A31137">
        <w:t>League of Women Voters, 468 U.S. at 383-384, quoting Consolidated Edison Co. v. Public Service Comm'n of New York, 447 U.S. 530, 546 (1980) (STEVENS, J., concurring in judgment).</w:t>
      </w:r>
    </w:p>
    <w:p w:rsidR="00A31137" w:rsidRPr="00A31137" w:rsidRDefault="00A31137" w:rsidP="00A31137">
      <w:r w:rsidRPr="00A31137">
        <w:t>1991, Rust v. Sullivan, 500 U.S. 208</w:t>
      </w:r>
    </w:p>
    <w:p w:rsidR="00A31137" w:rsidRPr="00A31137" w:rsidRDefault="00A31137" w:rsidP="00A31137">
      <w:r w:rsidRPr="00A31137">
        <w:t>[A]bove all else, the First Amendment means that government has no power to restrict expression because of its message, its ideas, its subject matter, or its content.</w:t>
      </w:r>
    </w:p>
    <w:p w:rsidR="00A31137" w:rsidRPr="00A31137" w:rsidRDefault="00A31137" w:rsidP="00A31137">
      <w:r w:rsidRPr="00A31137">
        <w:t>1991, Rust v. Sullivan, 500 U.S. 208</w:t>
      </w:r>
    </w:p>
    <w:p w:rsidR="00A31137" w:rsidRPr="00A31137" w:rsidRDefault="00A31137" w:rsidP="00A31137">
      <w:r w:rsidRPr="00A31137">
        <w:t>Police Department of Chicago v. Mosley, 408 U.S. 92, 95 (1972).</w:t>
      </w:r>
    </w:p>
    <w:p w:rsidR="00A31137" w:rsidRPr="00A31137" w:rsidRDefault="00A31137" w:rsidP="00A31137">
      <w:r w:rsidRPr="00A31137">
        <w:t>1991, Rust v. Sullivan, 500 U.S. 208</w:t>
      </w:r>
    </w:p>
    <w:p w:rsidR="00A31137" w:rsidRPr="00A31137" w:rsidRDefault="00A31137" w:rsidP="00A31137">
      <w:r w:rsidRPr="00A31137">
        <w:t>Nothing in the Court's opinion in Regan v. Taxation With Representation of Washington, 461 U.S. 540 (1983), can be said to challenge this long-settled understanding. In Regan, the Court upheld a content-neutral provision of the Internal Revenue Code, 26 U.S.C. § 501(c)(3), that disallowed a particular tax-exempt status to organizations that "attempt[ed] to influence legislation," while affording such status to veterans' organizations irrespective of their lobbying activities. Finding the case controlled by Cammarano, supra, the Court explained:</w:t>
      </w:r>
    </w:p>
    <w:p w:rsidR="00A31137" w:rsidRPr="00A31137" w:rsidRDefault="00A31137" w:rsidP="00A31137">
      <w:r w:rsidRPr="00A31137">
        <w:t>1991, Rust v. Sullivan, 500 U.S. 208</w:t>
      </w:r>
    </w:p>
    <w:p w:rsidR="00A31137" w:rsidRPr="00A31137" w:rsidRDefault="00A31137" w:rsidP="00A31137">
      <w:r w:rsidRPr="00A31137">
        <w:t>The case would be different if Congress were to discriminate invidiously in its subsidies in such a way as to "'ai[m] at the suppression of dangerous ideas.'"…We find no indication that the statute was intended to suppress any ideas or any demonstration that it has had that effect.</w:t>
      </w:r>
    </w:p>
    <w:p w:rsidR="00A31137" w:rsidRPr="00A31137" w:rsidRDefault="00A31137" w:rsidP="00A31137">
      <w:r w:rsidRPr="00A31137">
        <w:t>1991, Rust v. Sullivan, 500 U.S. 208</w:t>
      </w:r>
    </w:p>
    <w:p w:rsidR="00A31137" w:rsidRPr="00A31137" w:rsidRDefault="00A31137" w:rsidP="00A31137">
      <w:r w:rsidRPr="00A31137">
        <w:t>461 U.S. at  548, quoting Cammarano, 358 U.S. at [500 U.S. 209] 513, in turn quoting Speiser, 357 U.S. at 519. The separate concurrence in Regan joined the Court's opinion precisely</w:t>
      </w:r>
    </w:p>
    <w:p w:rsidR="00A31137" w:rsidRPr="00A31137" w:rsidRDefault="00A31137" w:rsidP="00A31137">
      <w:r w:rsidRPr="00A31137">
        <w:t>1991, Rust v. Sullivan, 500 U.S. 209</w:t>
      </w:r>
    </w:p>
    <w:p w:rsidR="00A31137" w:rsidRPr="00A31137" w:rsidRDefault="00A31137" w:rsidP="00A31137">
      <w:r w:rsidRPr="00A31137">
        <w:t>[b]ecause 26 U.S.C. § 501's discrimination between veterans' organizations and charitable organizations is not based on the content of their speech.</w:t>
      </w:r>
    </w:p>
    <w:p w:rsidR="00A31137" w:rsidRPr="00A31137" w:rsidRDefault="00A31137" w:rsidP="00A31137">
      <w:r w:rsidRPr="00A31137">
        <w:t>1991, Rust v. Sullivan, 500 U.S. 209</w:t>
      </w:r>
    </w:p>
    <w:p w:rsidR="00A31137" w:rsidRPr="00A31137" w:rsidRDefault="00A31137" w:rsidP="00A31137">
      <w:r w:rsidRPr="00A31137">
        <w:t>Id. 461 U.S. at  551.</w:t>
      </w:r>
    </w:p>
    <w:p w:rsidR="00A31137" w:rsidRPr="00A31137" w:rsidRDefault="00A31137" w:rsidP="00A31137">
      <w:r w:rsidRPr="00A31137">
        <w:t>1991, Rust v. Sullivan, 500 U.S. 209</w:t>
      </w:r>
    </w:p>
    <w:p w:rsidR="00A31137" w:rsidRPr="00A31137" w:rsidRDefault="00A31137" w:rsidP="00A31137">
      <w:r w:rsidRPr="00A31137">
        <w:t>It cannot seriously be disputed that the counseling and referral provisions at issue in the present cases constitute content-based regulation of speech. Title X grantees may provide counseling and referral regarding any of a wide range of family planning and other topics, save abortion. Cf. Consolidated Edison Co., 447 U.S. at 537 ("The First Amendment's hostility to content-based regulation extends not only to restrictions on particular viewpoints, but also to prohibition of public discussion of an entire topic"); Boos v. Barry, 485 U.S. 312, 319 (1988) (opinion of O'CONNOR, J.) (same).</w:t>
      </w:r>
    </w:p>
    <w:p w:rsidR="00A31137" w:rsidRPr="00A31137" w:rsidRDefault="00A31137" w:rsidP="00A31137">
      <w:r w:rsidRPr="00A31137">
        <w:t>1991, Rust v. Sullivan, 500 U.S. 209</w:t>
      </w:r>
    </w:p>
    <w:p w:rsidR="00A31137" w:rsidRPr="00A31137" w:rsidRDefault="00A31137" w:rsidP="00A31137">
      <w:r w:rsidRPr="00A31137">
        <w:t>The Regulations are also clearly viewpoint-based. While suppressing speech favorable to abortion with one hand, the Secretary compels anti-abortion speech with the other. For example, the Department of Health and Human Services' own description of the Regulations makes plain that</w:t>
      </w:r>
    </w:p>
    <w:p w:rsidR="00A31137" w:rsidRPr="00A31137" w:rsidRDefault="00A31137" w:rsidP="00A31137">
      <w:r w:rsidRPr="00A31137">
        <w:t>1991, Rust v. Sullivan, 500 U.S. 209</w:t>
      </w:r>
    </w:p>
    <w:p w:rsidR="00A31137" w:rsidRPr="00A31137" w:rsidRDefault="00A31137" w:rsidP="00A31137">
      <w:r w:rsidRPr="00A31137">
        <w:t>Title X projects are required to facilitate access to prenatal care and social services, including adoption services, that might be needed by the pregnant client to promote her wellbeing and that of her child, while making it abundantly clear that the project is not permitted to promote abortion by facilitating access to abortion through the referral process.</w:t>
      </w:r>
    </w:p>
    <w:p w:rsidR="00A31137" w:rsidRPr="00A31137" w:rsidRDefault="00A31137" w:rsidP="00A31137">
      <w:r w:rsidRPr="00A31137">
        <w:t>1991, Rust v. Sullivan, 500 U.S. 209</w:t>
      </w:r>
    </w:p>
    <w:p w:rsidR="00A31137" w:rsidRPr="00A31137" w:rsidRDefault="00A31137" w:rsidP="00A31137">
      <w:r w:rsidRPr="00A31137">
        <w:t>53 Fed.Reg. 2927 (1988) (emphasis added).</w:t>
      </w:r>
    </w:p>
    <w:p w:rsidR="00A31137" w:rsidRPr="00A31137" w:rsidRDefault="00A31137" w:rsidP="00A31137">
      <w:r w:rsidRPr="00A31137">
        <w:t>1991, Rust v. Sullivan, 500 U.S. 209</w:t>
      </w:r>
    </w:p>
    <w:p w:rsidR="00A31137" w:rsidRPr="00A31137" w:rsidRDefault="00A31137" w:rsidP="00A31137">
      <w:r w:rsidRPr="00A31137">
        <w:t>Moreover, the Regulations command that a project refer for prenatal care each woman diagnosed as pregnant, irrespective of the woman's expressed desire to continue or terminate her pregnancy. 42 CFR § 59.8(a)(2) (1990). If a client asks directly about abortion, a Title X physician or counselor is required to say, in essence, that the project does not consider abortion to be an appropriate method of family planning. § 59.8(b)(4). Both requirements are antithetical to [500 U.S. 210] the First Amendment. See Wooley v. Maynard, 430 U.S. 705,  714 (1977).</w:t>
      </w:r>
    </w:p>
    <w:p w:rsidR="00A31137" w:rsidRPr="00A31137" w:rsidRDefault="00A31137" w:rsidP="00A31137">
      <w:r w:rsidRPr="00A31137">
        <w:t>1991, Rust v. Sullivan, 500 U.S. 210</w:t>
      </w:r>
    </w:p>
    <w:p w:rsidR="00A31137" w:rsidRPr="00A31137" w:rsidRDefault="00A31137" w:rsidP="00A31137">
      <w:r w:rsidRPr="00A31137">
        <w:t>The Regulations pertaining to "advocacy" are even more explicitly viewpoint-based. These provide: "A Title X project may not encourage, promote or advocate abortion as a method of family planning." § 59.10 (emphasis added). They explain:</w:t>
      </w:r>
    </w:p>
    <w:p w:rsidR="00A31137" w:rsidRPr="00A31137" w:rsidRDefault="00A31137" w:rsidP="00A31137">
      <w:r w:rsidRPr="00A31137">
        <w:t>1991, Rust v. Sullivan, 500 U.S. 210</w:t>
      </w:r>
    </w:p>
    <w:p w:rsidR="00A31137" w:rsidRPr="00A31137" w:rsidRDefault="00A31137" w:rsidP="00A31137">
      <w:r w:rsidRPr="00A31137">
        <w:t>This requirement prohibits actions to assistwomen to obtain abortions or increase the availability or accessibility of abortion for family planning purposes.</w:t>
      </w:r>
    </w:p>
    <w:p w:rsidR="00A31137" w:rsidRPr="00A31137" w:rsidRDefault="00A31137" w:rsidP="00A31137">
      <w:r w:rsidRPr="00A31137">
        <w:t>1991, Rust v. Sullivan, 500 U.S. 210</w:t>
      </w:r>
    </w:p>
    <w:p w:rsidR="00A31137" w:rsidRPr="00A31137" w:rsidRDefault="00A31137" w:rsidP="00A31137">
      <w:r w:rsidRPr="00A31137">
        <w:t>§ 59.10(a) (emphasis added). The Regulations do not, however, proscribe or even regulate antiabortion advocacy. These are clearly restrictions aimed at the suppression of "dangerous ideas."</w:t>
      </w:r>
    </w:p>
    <w:p w:rsidR="00A31137" w:rsidRPr="00A31137" w:rsidRDefault="00A31137" w:rsidP="00A31137">
      <w:r w:rsidRPr="00A31137">
        <w:t>1991, Rust v. Sullivan, 500 U.S. 210</w:t>
      </w:r>
    </w:p>
    <w:p w:rsidR="00A31137" w:rsidRPr="00A31137" w:rsidRDefault="00A31137" w:rsidP="00A31137">
      <w:r w:rsidRPr="00A31137">
        <w:t>Remarkably, the majority concludes that "the Government has not discriminated on the basis of viewpoint; it has merely chosen to fund one activity to the exclusion of another." Ante at  193. But the majority's claim that the Regulations merely limit a Title X project's speech to preventive or preconceptional services, ibid., rings hollow in light of the broad range of non-preventive services that the Regulations authorize Title X projects to provide. 2 By refusing to fund those family planning projects that advocate abortion because they advocate abortion, the Government plainly has targeted a particular viewpoint. Cf. Ward v. Rock Against Racism, 491 U.S. 781 (1989). The majority's reliance on the fact that the Regulations pertain solely to funding decisions simply begs the question. Clearly, there are some bases upon which government may not rest its decision to fund or not to fund. For example, the Members of the majority surely would agree that government may not base its [500 U.S. 211] decision to support an activity upon considerations of race. See, e.g., Yick Wo v. Hopkins, 118 U.S. 356 (1886). As demonstrated above, our cases make clear that ideological viewpoint is a similarly repugnant ground upon which to base funding decisions.</w:t>
      </w:r>
    </w:p>
    <w:p w:rsidR="00A31137" w:rsidRPr="00A31137" w:rsidRDefault="00A31137" w:rsidP="00A31137">
      <w:r w:rsidRPr="00A31137">
        <w:t>1991, Rust v. Sullivan, 500 U.S. 211</w:t>
      </w:r>
    </w:p>
    <w:p w:rsidR="00A31137" w:rsidRPr="00A31137" w:rsidRDefault="00A31137" w:rsidP="00A31137">
      <w:r w:rsidRPr="00A31137">
        <w:t xml:space="preserve">The majority's reliance upon Regan in this connection is also misplaced. That case stands for the proposition that government has no obligation to subsidize a private party's efforts to petition the legislature regarding its views. Thus, if the challenged Regulations were confined to nonideological limitations upon the use of Title X funds for lobbying activities, there would exist no violation of the First Amendment. The advocacy Regulations at issue here, however, are not limited to lobbying, but extend to all speech having the effect of encouraging, promoting, or advocating abortion as a method of family planning. § 59.10(a). Thus, in addition to their impermissible focus upon the viewpoint of regulated speech, the provisions intrude upon a wide range of communicative conduct, including the very words spoken to a woman by her physician. By manipulating the content of the doctor/patient dialogue, the Regulations upheld today force each of the petitioners "to be an instrument for fostering public adherence to an ideological point of view [he or she] finds unacceptable." Wooley v. Maynard, 430 U.S. at  715. This type of intrusive, ideologically based regulation of speech goes far beyond the narrow lobbying limitations approved in Regan, and cannot be justified simply because it is a condition upon the receipt of a governmental benefit. 3 [500 U.S. 212] </w:t>
      </w:r>
    </w:p>
    <w:p w:rsidR="00A31137" w:rsidRPr="00A31137" w:rsidRDefault="00A31137" w:rsidP="00A31137">
      <w:r w:rsidRPr="00A31137">
        <w:t>B</w:t>
      </w:r>
    </w:p>
    <w:p w:rsidR="00A31137" w:rsidRPr="00A31137" w:rsidRDefault="00A31137" w:rsidP="00A31137">
      <w:r w:rsidRPr="00A31137">
        <w:t>1991, Rust v. Sullivan, 500 U.S. 212</w:t>
      </w:r>
    </w:p>
    <w:p w:rsidR="00A31137" w:rsidRPr="00A31137" w:rsidRDefault="00A31137" w:rsidP="00A31137">
      <w:r w:rsidRPr="00A31137">
        <w:t>The Court concludes that the challenged Regulations do not violate the First Amendment rights of Title X staff members, because any limitation of the employees' freedom of expression is simply a consequence of their decision to accept employment at a federally funded project. Ante at 198-199. But it has never been sufficient to justify an otherwise unconstitutional condition upon public employment that the employee may escape the condition by relinquishing his or her job. It is beyond question</w:t>
      </w:r>
    </w:p>
    <w:p w:rsidR="00A31137" w:rsidRPr="00A31137" w:rsidRDefault="00A31137" w:rsidP="00A31137">
      <w:r w:rsidRPr="00A31137">
        <w:t>1991, Rust v. Sullivan, 500 U.S. 212</w:t>
      </w:r>
    </w:p>
    <w:p w:rsidR="00A31137" w:rsidRPr="00A31137" w:rsidRDefault="00A31137" w:rsidP="00A31137">
      <w:r w:rsidRPr="00A31137">
        <w:t>that a government may not require an individual to relinquish rights guaranteed him by the First Amendment as a condition of public employment.</w:t>
      </w:r>
    </w:p>
    <w:p w:rsidR="00A31137" w:rsidRPr="00A31137" w:rsidRDefault="00A31137" w:rsidP="00A31137">
      <w:r w:rsidRPr="00A31137">
        <w:t>1991, Rust v. Sullivan, 500 U.S. 212</w:t>
      </w:r>
    </w:p>
    <w:p w:rsidR="00A31137" w:rsidRPr="00A31137" w:rsidRDefault="00A31137" w:rsidP="00A31137">
      <w:r w:rsidRPr="00A31137">
        <w:t>Abood v. Detroit Board of Education, 431 U.S. 209,  234 (1977), citing Elrod v. Burns, 427 U.S. 347, 357-360 (1976), and cases cited therein; Perry v. Sindermann, 408 U.S. 593 (1972); Keyishian v. Board of Regents, 385 U.S. 589 (1967). Nearly two decades ago, it was said:</w:t>
      </w:r>
    </w:p>
    <w:p w:rsidR="00A31137" w:rsidRPr="00A31137" w:rsidRDefault="00A31137" w:rsidP="00A31137">
      <w:r w:rsidRPr="00A31137">
        <w:t>1991, Rust v. Sullivan, 500 U.S. 212</w:t>
      </w:r>
    </w:p>
    <w:p w:rsidR="00A31137" w:rsidRPr="00A31137" w:rsidRDefault="00A31137" w:rsidP="00A31137">
      <w:r w:rsidRPr="00A31137">
        <w:t>For at least a quarter-century, this Court has made clear that, even though a person has no "right" to a valuable governmental benefit, and even though the government may deny him the benefit for any number of reasons, there are some reasons upon which the government may not rely. It may not deny a benefit to a [500 U.S. 213] person on a basis that infringes his constitutionally protected interests—especially, his interest in freedom of speech. For if the government could deny a benefit to a person because of his constitutionally protected speech or associations, his exercise of those freedoms would, in effect, be penalized and inhibited. This would allow the government to "produce a result which [it] could not command directly."</w:t>
      </w:r>
    </w:p>
    <w:p w:rsidR="00A31137" w:rsidRPr="00A31137" w:rsidRDefault="00A31137" w:rsidP="00A31137">
      <w:r w:rsidRPr="00A31137">
        <w:t>1991, Rust v. Sullivan, 500 U.S. 213</w:t>
      </w:r>
    </w:p>
    <w:p w:rsidR="00A31137" w:rsidRPr="00A31137" w:rsidRDefault="00A31137" w:rsidP="00A31137">
      <w:r w:rsidRPr="00A31137">
        <w:t>Perry v. Sindermann, 408 U.S. at  597, quoting Speiser v. Randall, 357 U.S. 513,  526 (1958).</w:t>
      </w:r>
    </w:p>
    <w:p w:rsidR="00A31137" w:rsidRPr="00A31137" w:rsidRDefault="00A31137" w:rsidP="00A31137">
      <w:r w:rsidRPr="00A31137">
        <w:t>1991, Rust v. Sullivan, 500 U.S. 213</w:t>
      </w:r>
    </w:p>
    <w:p w:rsidR="00A31137" w:rsidRPr="00A31137" w:rsidRDefault="00A31137" w:rsidP="00A31137">
      <w:r w:rsidRPr="00A31137">
        <w:t>The majority attempts to circumvent this principle by emphasizing that Title X physicians and counselors "remain free…to pursue abortion-related activities when they are not acting under the auspices of the Title X project." Ante at  198. "The regulations," the majority explains, "do not in any way restrict the activities of those persons acting as private individuals." Ibid. Under the majority's reasoning, the First Amendment could be read to tolerate any governmental restriction upon an employee's speech so long as that restriction is limited to the funded workplace. This is a dangerous proposition, and one the Court has rightly rejected in the past.</w:t>
      </w:r>
    </w:p>
    <w:p w:rsidR="00A31137" w:rsidRPr="00A31137" w:rsidRDefault="00A31137" w:rsidP="00A31137">
      <w:r w:rsidRPr="00A31137">
        <w:t>1991, Rust v. Sullivan, 500 U.S. 213</w:t>
      </w:r>
    </w:p>
    <w:p w:rsidR="00A31137" w:rsidRPr="00A31137" w:rsidRDefault="00A31137" w:rsidP="00A31137">
      <w:r w:rsidRPr="00A31137">
        <w:t>In Abood, it was no answer to the petitioners' claim of compelled speech as a condition upon public employment that their speech outside the workplace remained unregulated by the State. Nor was the public employee's First Amendment claim in Rankin v. McPherson, 483 U.S. 378 (1987), derogated because the communication that her employer sought to punish occurred during business hours. At the least, such conditions require courts to balance the speaker's interest in the message against those of government in preventing its dissemination. Id. at 384; Pickering v. Board of Education, 391 U.S. 563, 568 (1968).</w:t>
      </w:r>
    </w:p>
    <w:p w:rsidR="00A31137" w:rsidRPr="00A31137" w:rsidRDefault="00A31137" w:rsidP="00A31137">
      <w:r w:rsidRPr="00A31137">
        <w:t>1991, Rust v. Sullivan, 500 U.S. 213</w:t>
      </w:r>
    </w:p>
    <w:p w:rsidR="00A31137" w:rsidRPr="00A31137" w:rsidRDefault="00A31137" w:rsidP="00A31137">
      <w:r w:rsidRPr="00A31137">
        <w:t>In the cases at bar, the speaker's interest in the communication is both clear and vital. In addressing the family planning needs of their clients, the physicians and counselors who staff Title X projects seek to provide them with the full range of information and options regarding their health and reproductive freedom. Indeed, the legitimate expectations [500 U.S. 214] of the patient and the ethical responsibilities of the medical profession demand no less.</w:t>
      </w:r>
    </w:p>
    <w:p w:rsidR="00A31137" w:rsidRPr="00A31137" w:rsidRDefault="00A31137" w:rsidP="00A31137">
      <w:r w:rsidRPr="00A31137">
        <w:t>1991, Rust v. Sullivan, 500 U.S. 214</w:t>
      </w:r>
    </w:p>
    <w:p w:rsidR="00A31137" w:rsidRPr="00A31137" w:rsidRDefault="00A31137" w:rsidP="00A31137">
      <w:r w:rsidRPr="00A31137">
        <w:t>The patient's right of self-decision can be effectively exercised only if the patient possesses enough information to enable an intelligent choice…. The physician has an ethical obligation to help the patient make choices from among the therapeutic alternatives consistent with good medical practice.</w:t>
      </w:r>
    </w:p>
    <w:p w:rsidR="00A31137" w:rsidRPr="00A31137" w:rsidRDefault="00A31137" w:rsidP="00A31137">
      <w:r w:rsidRPr="00A31137">
        <w:t>1991, Rust v. Sullivan, 500 U.S. 214</w:t>
      </w:r>
    </w:p>
    <w:p w:rsidR="00A31137" w:rsidRPr="00A31137" w:rsidRDefault="00A31137" w:rsidP="00A31137">
      <w:r w:rsidRPr="00A31137">
        <w:t>Current Opinions, the Council on Ethical and Judicial Affairs of the American Medical Association ¶ 8.08 (1989). See also President's Commission for the Study of Ethical Problems in Medicine and Biomedical and Behavioral Research, Making Health Care Decisions 70 (1982); American College of Obstetricians &amp; Gynecologists, Standards for Obstetric-Gynecologic Services 62 (7th ed.1989). When a client becomes pregnant, the full range of therapeutic alternatives includes the abortion option, and Title X counselors' interest in providing this information is compelling.</w:t>
      </w:r>
    </w:p>
    <w:p w:rsidR="00A31137" w:rsidRPr="00A31137" w:rsidRDefault="00A31137" w:rsidP="00A31137">
      <w:r w:rsidRPr="00A31137">
        <w:t>1991, Rust v. Sullivan, 500 U.S. 214</w:t>
      </w:r>
    </w:p>
    <w:p w:rsidR="00A31137" w:rsidRPr="00A31137" w:rsidRDefault="00A31137" w:rsidP="00A31137">
      <w:r w:rsidRPr="00A31137">
        <w:t>The Government's articulated interest in distorting the doctor/patient dialogue—ensuring that federal funds are not spent for a purpose outside the scope of the program—falls far short of that necessary to justify the suppression of truthful information and professional medical opinion regarding constitutionally protected conduct. 4 Moreover, the offending Regulation is not narrowly tailored to serve this interest. For example, the governmental interest at stake could be served by imposing rigorous bookkeeping standards to ensure financial separation or adopting content-neutral rules for the balanced dissemination of family planning and health information. See Massachusetts v. Secretary of Health &amp; Human Services, 899 F.2d 53, 74 (CA1 1990), cert. pending, No. 89-1929. By failing to balance or even to consider the free speech interests claimed by Title X physicians against the Government's asserted interest in suppressing the speech, the Court falters in its duty to implement the protection [500 U.S. 215] that the First Amendment clearly provides for this important message.</w:t>
      </w:r>
    </w:p>
    <w:p w:rsidR="00A31137" w:rsidRPr="00A31137" w:rsidRDefault="00A31137" w:rsidP="00A31137">
      <w:r w:rsidRPr="00A31137">
        <w:t>C</w:t>
      </w:r>
    </w:p>
    <w:p w:rsidR="00A31137" w:rsidRPr="00A31137" w:rsidRDefault="00A31137" w:rsidP="00A31137">
      <w:r w:rsidRPr="00A31137">
        <w:t>1991, Rust v. Sullivan, 500 U.S. 215</w:t>
      </w:r>
    </w:p>
    <w:p w:rsidR="00A31137" w:rsidRPr="00A31137" w:rsidRDefault="00A31137" w:rsidP="00A31137">
      <w:r w:rsidRPr="00A31137">
        <w:t>Finally, it is of no small significance that the speech the Secretary would suppress is truthful information regarding constitutionally protected conduct of vital importance to the listener. One can imagine no legitimate governmental interest that might be served by suppressing such information. Concededly, the abortion debate is among the most divisive and contentious issues that our Nation has faced in recent years.</w:t>
      </w:r>
    </w:p>
    <w:p w:rsidR="00A31137" w:rsidRPr="00A31137" w:rsidRDefault="00A31137" w:rsidP="00A31137">
      <w:r w:rsidRPr="00A31137">
        <w:t>1991, Rust v. Sullivan, 500 U.S. 215</w:t>
      </w:r>
    </w:p>
    <w:p w:rsidR="00A31137" w:rsidRPr="00A31137" w:rsidRDefault="00A31137" w:rsidP="00A31137">
      <w:r w:rsidRPr="00A31137">
        <w:t>But freedom to differ is not limited to things that do not matter much. That would be a mere shadow of freedom. The test of its substance is the right to differ as to things that touch the heart of the existing order.</w:t>
      </w:r>
    </w:p>
    <w:p w:rsidR="00A31137" w:rsidRPr="00A31137" w:rsidRDefault="00A31137" w:rsidP="00A31137">
      <w:r w:rsidRPr="00A31137">
        <w:t>1991, Rust v. Sullivan, 500 U.S. 215</w:t>
      </w:r>
    </w:p>
    <w:p w:rsidR="00A31137" w:rsidRPr="00A31137" w:rsidRDefault="00A31137" w:rsidP="00A31137">
      <w:r w:rsidRPr="00A31137">
        <w:t>West Virginia Board of Education v. Barnette, 319 U.S. 624,  642 (1943).</w:t>
      </w:r>
    </w:p>
    <w:p w:rsidR="00A31137" w:rsidRPr="00A31137" w:rsidRDefault="00A31137" w:rsidP="00A31137">
      <w:r w:rsidRPr="00A31137">
        <w:t>III</w:t>
      </w:r>
    </w:p>
    <w:p w:rsidR="00A31137" w:rsidRPr="00A31137" w:rsidRDefault="00A31137" w:rsidP="00A31137">
      <w:r w:rsidRPr="00A31137">
        <w:t>1991, Rust v. Sullivan, 500 U.S. 215</w:t>
      </w:r>
    </w:p>
    <w:p w:rsidR="00A31137" w:rsidRPr="00A31137" w:rsidRDefault="00A31137" w:rsidP="00A31137">
      <w:r w:rsidRPr="00A31137">
        <w:t>By far the most disturbing aspect of today's ruling is the effect it will have on the Fifth Amendment rights of the women who, supposedly, are beneficiaries of Title X programs. The majority rejects petitioners' Fifth Amendment claims summarily. It relies primarily upon the decisions in Harris v. McRae, 448 U.S. 297 (1980), and Webster v. Reproductive Health Services, 492 U.S. 490 (1989). There were dissents in those cases, and we continue to believe that they were wrongly and unfortunately decided. Be that as it may, even if one accepts as valid the Court's theorizing in those cases, the majority's reasoning in the present cases is flawed.</w:t>
      </w:r>
    </w:p>
    <w:p w:rsidR="00A31137" w:rsidRPr="00A31137" w:rsidRDefault="00A31137" w:rsidP="00A31137">
      <w:r w:rsidRPr="00A31137">
        <w:t>1991, Rust v. Sullivan, 500 U.S. 215</w:t>
      </w:r>
    </w:p>
    <w:p w:rsidR="00A31137" w:rsidRPr="00A31137" w:rsidRDefault="00A31137" w:rsidP="00A31137">
      <w:r w:rsidRPr="00A31137">
        <w:t xml:space="preserve">Until today, the Court has allowed to stand only those restrictions upon reproductive freedom that, while limiting the availability of abortion, have left intact a woman's ability to decide without coercion whether she will continue her pregnancy to term. Maher v. Roe, 432 U.S. 464 (1977), McRae, and Webster are all to this effect. Today's decision abandons that principle, and with disastrous results. [500 U.S. 216] </w:t>
      </w:r>
    </w:p>
    <w:p w:rsidR="00A31137" w:rsidRPr="00A31137" w:rsidRDefault="00A31137" w:rsidP="00A31137">
      <w:r w:rsidRPr="00A31137">
        <w:t>1991, Rust v. Sullivan, 500 U.S. 216</w:t>
      </w:r>
    </w:p>
    <w:p w:rsidR="00A31137" w:rsidRPr="00A31137" w:rsidRDefault="00A31137" w:rsidP="00A31137">
      <w:r w:rsidRPr="00A31137">
        <w:t>Contrary to the majority's characterization, this is not a case in which individuals seek government aid in exercising their fundamental rights. The Fifth Amendment right asserted by petitioners is the right of a pregnant woman to be free from affirmative governmental interference in her decision. Roe v. Wade, 410 U.S. 113 (1973), and its progeny are not so much about a medical procedure as they are about a woman's fundamental right to self-determination. Those cases serve to vindicate the idea that "liberty," if it means anything, must entail freedom from governmental domination in making the most intimate and personal of decisions. See, e.g., Akron v. Akron Center for Reproductive Health, Inc., 462 U.S. 416,  444 (1983) (governmental interest in ensuring that pregnant women receive medically relevant information "will not justify abortion regulations designed to influence the woman's informed choice between abortion or childbirth"); Maher v. Roe, 432 U.S. at  473 (noting that the Court's abortion cases "recognize a constitutionally protected interest 'in making certain kinds of important decisions' free from governmental compulsion," quoting Whalen v. Roe, 429 U.S. 589, 599 (1977)); see also Harris v. McRae, 448 U.S. at  312; Thornburgh, 476 U.S. at  759; Roe v. Wade, 410 U.S. at 169-170 (Stewart, J., concurring). By suppressing medically pertinent information and injecting a restrictive ideological message unrelated to considerations of maternal health, the Government places formidable obstacles in the path of Title X clients' freedom of choice and thereby violates their Fifth Amendment rights.</w:t>
      </w:r>
    </w:p>
    <w:p w:rsidR="00A31137" w:rsidRPr="00A31137" w:rsidRDefault="00A31137" w:rsidP="00A31137">
      <w:r w:rsidRPr="00A31137">
        <w:t>1991, Rust v. Sullivan, 500 U.S. 216</w:t>
      </w:r>
    </w:p>
    <w:p w:rsidR="00A31137" w:rsidRPr="00A31137" w:rsidRDefault="00A31137" w:rsidP="00A31137">
      <w:r w:rsidRPr="00A31137">
        <w:t>It is crystal clear that the aim of the challenged provisions—an aim the majority cannot escape noticing—is not simply to ensure that federal funds are not used to perform abortions, but to "reduce the incidence of abortion." 42 CFR § 59.2 (1990) (in definition of "family planning"). As recounted above, the Regulations require Title X physicians and counselors to provide information pertaining only to childbirth, [500 U.S. 217] to refer a pregnant woman for prenatal care irrespective of her medical situation, and, upon direct inquiry, to respond that abortion is not an "appropriate method" of family planning.</w:t>
      </w:r>
    </w:p>
    <w:p w:rsidR="00A31137" w:rsidRPr="00A31137" w:rsidRDefault="00A31137" w:rsidP="00A31137">
      <w:r w:rsidRPr="00A31137">
        <w:t>1991, Rust v. Sullivan, 500 U.S. 217</w:t>
      </w:r>
    </w:p>
    <w:p w:rsidR="00A31137" w:rsidRPr="00A31137" w:rsidRDefault="00A31137" w:rsidP="00A31137">
      <w:r w:rsidRPr="00A31137">
        <w:t>The undeniable message conveyed by this forced speech, and the one that the Title X client will draw from it, is that abortion nearly always is an improper medical option. Although her physician's words, in fact, are strictly controlled by the Government, and wholly unrelated to her particular medical situation, the Title X client will reasonably construe them as professional advice to forgo her right to obtain an abortion. As would most rational patients, many of these women will follow that perceived advice and carry their pregnancy to term, despite their needs to the contrary and despite the safety of the abortion procedure for the vast majority of them. Others, delayed by the Regulations' mandatory prenatal referral, will be prevented from acquiring abortions during the period in which the process is medically sound and constitutionally protected.</w:t>
      </w:r>
    </w:p>
    <w:p w:rsidR="00A31137" w:rsidRPr="00A31137" w:rsidRDefault="00A31137" w:rsidP="00A31137">
      <w:r w:rsidRPr="00A31137">
        <w:t>1991, Rust v. Sullivan, 500 U.S. 217</w:t>
      </w:r>
    </w:p>
    <w:p w:rsidR="00A31137" w:rsidRPr="00A31137" w:rsidRDefault="00A31137" w:rsidP="00A31137">
      <w:r w:rsidRPr="00A31137">
        <w:t>In view of the inevitable effect of the Regulations, the majority's conclusion that</w:t>
      </w:r>
    </w:p>
    <w:p w:rsidR="00A31137" w:rsidRPr="00A31137" w:rsidRDefault="00A31137" w:rsidP="00A31137">
      <w:r w:rsidRPr="00A31137">
        <w:t>1991, Rust v. Sullivan, 500 U.S. 217</w:t>
      </w:r>
    </w:p>
    <w:p w:rsidR="00A31137" w:rsidRPr="00A31137" w:rsidRDefault="00A31137" w:rsidP="00A31137">
      <w:r w:rsidRPr="00A31137">
        <w:t>[t]he difficulty that a woman encounters when a Title X project does not provide abortion counseling or referral leaves her in no different position than she would have been if the government had not enacted Title X,</w:t>
      </w:r>
    </w:p>
    <w:p w:rsidR="00A31137" w:rsidRPr="00A31137" w:rsidRDefault="00A31137" w:rsidP="00A31137">
      <w:r w:rsidRPr="00A31137">
        <w:t>1991, Rust v. Sullivan, 500 U.S. 217</w:t>
      </w:r>
    </w:p>
    <w:p w:rsidR="00A31137" w:rsidRPr="00A31137" w:rsidRDefault="00A31137" w:rsidP="00A31137">
      <w:r w:rsidRPr="00A31137">
        <w:t xml:space="preserve">ante at  202, is insensitive and contrary to common human experience. Both the purpose and result of the challenged Regulations is to deny women the ability voluntarily to decide their procreative destiny. For these women, the Government will have obliterated the freedom to choose as surely as if it had banned abortions outright. The denial of this freedom is not a consequence of poverty, but of the Government's ill-intentioned distortion of information it has chosen to provide. 5 [500 U.S. 218] </w:t>
      </w:r>
    </w:p>
    <w:p w:rsidR="00A31137" w:rsidRPr="00A31137" w:rsidRDefault="00A31137" w:rsidP="00A31137">
      <w:r w:rsidRPr="00A31137">
        <w:t>1991, Rust v. Sullivan, 500 U.S. 218</w:t>
      </w:r>
    </w:p>
    <w:p w:rsidR="00A31137" w:rsidRPr="00A31137" w:rsidRDefault="00A31137" w:rsidP="00A31137">
      <w:r w:rsidRPr="00A31137">
        <w:t>The substantial obstacles to bodily self-determination that the Regulations impose are doubly offensive because they are effected by manipulating the very words spoken by physicians and counselors to their patients. In our society, the doctor/patient dialogue embodies a unique relationship of trust. The specialized nature of medical science and the emotional distress often attendant to health-related decisions requires that patients place their complete confidence, and often their very lives, in the hands of medical professionals. One seeks a physician's aid not only for medication or diagnosis, but also for guidance, professional judgment, and vital emotional support. Accordingly, each of us attaches profound importance and authority to the words of advice spoken by the physician.</w:t>
      </w:r>
    </w:p>
    <w:p w:rsidR="00A31137" w:rsidRPr="00A31137" w:rsidRDefault="00A31137" w:rsidP="00A31137">
      <w:r w:rsidRPr="00A31137">
        <w:t>1991, Rust v. Sullivan, 500 U.S. 218</w:t>
      </w:r>
    </w:p>
    <w:p w:rsidR="00A31137" w:rsidRPr="00A31137" w:rsidRDefault="00A31137" w:rsidP="00A31137">
      <w:r w:rsidRPr="00A31137">
        <w:t>It is for this reason that we have guarded so jealously the doctor/patient dialogue from governmental intrusion.</w:t>
      </w:r>
    </w:p>
    <w:p w:rsidR="00A31137" w:rsidRPr="00A31137" w:rsidRDefault="00A31137" w:rsidP="00A31137">
      <w:r w:rsidRPr="00A31137">
        <w:t>1991, Rust v. Sullivan, 500 U.S. 218</w:t>
      </w:r>
    </w:p>
    <w:p w:rsidR="00A31137" w:rsidRPr="00A31137" w:rsidRDefault="00A31137" w:rsidP="00A31137">
      <w:r w:rsidRPr="00A31137">
        <w:t>[I]n Roe and subsequent cases, we have "stressed repeatedly the central role of the physician, both in consulting with the woman about whether or not to have an abortion, and in determining how any abortion was to be carried out."</w:t>
      </w:r>
    </w:p>
    <w:p w:rsidR="00A31137" w:rsidRPr="00A31137" w:rsidRDefault="00A31137" w:rsidP="00A31137">
      <w:r w:rsidRPr="00A31137">
        <w:t>1991, Rust v. Sullivan, 500 U.S. 218</w:t>
      </w:r>
    </w:p>
    <w:p w:rsidR="00A31137" w:rsidRPr="00A31137" w:rsidRDefault="00A31137" w:rsidP="00A31137">
      <w:r w:rsidRPr="00A31137">
        <w:t>Akron, 462 U.S. at  447 quoting Colautti v. Franklin, 439 U.S. 379,  387 (1979). See also Thornburgh, 476 U.S. at  763. The majority's approval of the Secretary's Regulations flies in the face of our repeated warnings that regulations tending to "confine the attending physician in an undesired and uncomfortable straitjacket in the practice of his profession," cannot endure. Planned Parenthood of Central Mo. v. Danforth, 428 U.S. 52,  67, n. 8 (1976).</w:t>
      </w:r>
    </w:p>
    <w:p w:rsidR="00A31137" w:rsidRPr="00A31137" w:rsidRDefault="00A31137" w:rsidP="00A31137">
      <w:r w:rsidRPr="00A31137">
        <w:t>1991, Rust v. Sullivan, 500 U.S. 218</w:t>
      </w:r>
    </w:p>
    <w:p w:rsidR="00A31137" w:rsidRPr="00A31137" w:rsidRDefault="00A31137" w:rsidP="00A31137">
      <w:r w:rsidRPr="00A31137">
        <w:t>The majority attempts to distinguish our holdings in Akron and Thornburgh on the post hoc basis that the governmental [500 U.S. 219] intrusions into the doctor/patient dialogue invalidated in those cases applied to all physicians within a jurisdiction while the Regulations now before the Court pertain to the narrow class of healthcare professionals employed at Title X projects. Ante at 202. But the rights protected by the Constitution are personal rights. Loving v. Virginia, 388 U.S. 1,  12 (1967); Shelley v. Kraemer, 334 U.S. 1,  22 (1948). And for the individual woman, the deprivation of liberty by the Government is no less substantial because it affects few, rather than many. It cannot be that an otherwise unconstitutional infringement of choice is made lawful because it touches only some of the Nation's pregnant women, and not all of them.</w:t>
      </w:r>
    </w:p>
    <w:p w:rsidR="00A31137" w:rsidRPr="00A31137" w:rsidRDefault="00A31137" w:rsidP="00A31137">
      <w:r w:rsidRPr="00A31137">
        <w:t>1991, Rust v. Sullivan, 500 U.S. 219</w:t>
      </w:r>
    </w:p>
    <w:p w:rsidR="00A31137" w:rsidRPr="00A31137" w:rsidRDefault="00A31137" w:rsidP="00A31137">
      <w:r w:rsidRPr="00A31137">
        <w:t>The manipulation of the doctor/patient dialogue achieved through the Secretary's Regulations is clearly an effort "to deter a woman from making a decision that, with her physician, is hers to make." Thornburgh, 476 U.S. at  759. As such, it violates the Fifth Amendment. 6</w:t>
      </w:r>
    </w:p>
    <w:p w:rsidR="00A31137" w:rsidRPr="00A31137" w:rsidRDefault="00A31137" w:rsidP="00A31137">
      <w:r w:rsidRPr="00A31137">
        <w:t>IV</w:t>
      </w:r>
    </w:p>
    <w:p w:rsidR="00A31137" w:rsidRPr="00A31137" w:rsidRDefault="00A31137" w:rsidP="00A31137">
      <w:r w:rsidRPr="00A31137">
        <w:t>1991, Rust v. Sullivan, 500 U.S. 219</w:t>
      </w:r>
    </w:p>
    <w:p w:rsidR="00A31137" w:rsidRPr="00A31137" w:rsidRDefault="00A31137" w:rsidP="00A31137">
      <w:r w:rsidRPr="00A31137">
        <w:t>In its haste further to restrict the right of every woman to control her reproductive freedom and bodily integrity, the majority disregards established principles of law and contorts this Court's decided cases to arrive at its preordained result. The majority professes to leave undisturbed the free speech protections upon which our society has come to rely, but one must wonder what force the First Amendment retains if it is read to countenance the deliberate manipulation by the Government [500 U.S. 220] of the dialogue between a woman and her physician. While technically leaving intact the fundamental right protected by Roe v. Wade, the Court, "through a relentlessly formalistic catechism," McRae, 448 U.S. at  341 (MARSHALL, J., dissenting), once again has rendered the right's substance nugatory. See Webster v. Reproductive Health Services, 492 U.S. at  537 (opinions concurring in part and dissenting in part). This is a course nearly as noxious as overruling Roe directly, for if a right is found to be unenforceable, even against flagrant attempts by government to circumvent it, then it ceases to be a right at all. This, I fear, may be the effect of today's decision.</w:t>
      </w:r>
    </w:p>
    <w:p w:rsidR="00A31137" w:rsidRPr="00A31137" w:rsidRDefault="00A31137" w:rsidP="00A31137">
      <w:r w:rsidRPr="00A31137">
        <w:t>STEVENS, J., dissenting</w:t>
      </w:r>
    </w:p>
    <w:p w:rsidR="00A31137" w:rsidRPr="00A31137" w:rsidRDefault="00A31137" w:rsidP="00A31137">
      <w:r w:rsidRPr="00A31137">
        <w:t>1991, Rust v. Sullivan, 500 U.S. 220</w:t>
      </w:r>
    </w:p>
    <w:p w:rsidR="00A31137" w:rsidRPr="00A31137" w:rsidRDefault="00A31137" w:rsidP="00A31137">
      <w:r w:rsidRPr="00A31137">
        <w:t>JUSTICE STEVENS, dissenting.</w:t>
      </w:r>
    </w:p>
    <w:p w:rsidR="00A31137" w:rsidRPr="00A31137" w:rsidRDefault="00A31137" w:rsidP="00A31137">
      <w:r w:rsidRPr="00A31137">
        <w:t>1991, Rust v. Sullivan, 500 U.S. 220</w:t>
      </w:r>
    </w:p>
    <w:p w:rsidR="00A31137" w:rsidRPr="00A31137" w:rsidRDefault="00A31137" w:rsidP="00A31137">
      <w:r w:rsidRPr="00A31137">
        <w:t>In my opinion, the Court has not paid sufficient attention to the language of the controlling statute or to the consistent interpretation accorded the statute by the responsible cabinet officers during four different Presidencies and 18 years.</w:t>
      </w:r>
    </w:p>
    <w:p w:rsidR="00A31137" w:rsidRPr="00A31137" w:rsidRDefault="00A31137" w:rsidP="00A31137">
      <w:r w:rsidRPr="00A31137">
        <w:t>1991, Rust v. Sullivan, 500 U.S. 220</w:t>
      </w:r>
    </w:p>
    <w:p w:rsidR="00A31137" w:rsidRPr="00A31137" w:rsidRDefault="00A31137" w:rsidP="00A31137">
      <w:r w:rsidRPr="00A31137">
        <w:t>The relevant text of the "Family Planning Services and Population Research Act of 1970" has remained unchanged since its enactment. 84 Stat. 1504. The preamble to the Act states that it was passed:</w:t>
      </w:r>
    </w:p>
    <w:p w:rsidR="00A31137" w:rsidRPr="00A31137" w:rsidRDefault="00A31137" w:rsidP="00A31137">
      <w:r w:rsidRPr="00A31137">
        <w:t>1991, Rust v. Sullivan, 500 U.S. 220</w:t>
      </w:r>
    </w:p>
    <w:p w:rsidR="00A31137" w:rsidRPr="00A31137" w:rsidRDefault="00A31137" w:rsidP="00A31137">
      <w:r w:rsidRPr="00A31137">
        <w:t>To promote public health and welfare by expanding, improving, and better coordinating the family planning services and population research activities of the Federal Government, and for other purposes.</w:t>
      </w:r>
    </w:p>
    <w:p w:rsidR="00A31137" w:rsidRPr="00A31137" w:rsidRDefault="00A31137" w:rsidP="00A31137">
      <w:r w:rsidRPr="00A31137">
        <w:t>1991, Rust v. Sullivan, 500 U.S. 220</w:t>
      </w:r>
    </w:p>
    <w:p w:rsidR="00A31137" w:rsidRPr="00A31137" w:rsidRDefault="00A31137" w:rsidP="00A31137">
      <w:r w:rsidRPr="00A31137">
        <w:t>Ibid. The declaration of congressional purposes emphasizes the importance of educating the public about family planning services. Thus, § 2 of the Act states, in part, that the purpose of the Act is:</w:t>
      </w:r>
    </w:p>
    <w:p w:rsidR="00A31137" w:rsidRPr="00A31137" w:rsidRDefault="00A31137" w:rsidP="00A31137">
      <w:r w:rsidRPr="00A31137">
        <w:t>1991, Rust v. Sullivan, 500 U.S. 220</w:t>
      </w:r>
    </w:p>
    <w:p w:rsidR="00A31137" w:rsidRPr="00A31137" w:rsidRDefault="00A31137" w:rsidP="00A31137">
      <w:r w:rsidRPr="00A31137">
        <w:t>(1) to assist in making comprehensive voluntary family planning services readily available to all persons desiring such services;</w:t>
      </w:r>
    </w:p>
    <w:p w:rsidR="00A31137" w:rsidRPr="00A31137" w:rsidRDefault="00A31137" w:rsidP="00A31137">
      <w:r w:rsidRPr="00A31137">
        <w:t>*    *    *    *</w:t>
      </w:r>
    </w:p>
    <w:p w:rsidR="00A31137" w:rsidRPr="00A31137" w:rsidRDefault="00A31137" w:rsidP="00A31137">
      <w:r w:rsidRPr="00A31137">
        <w:t>1991, Rust v. Sullivan, 500 U.S. 220</w:t>
      </w:r>
    </w:p>
    <w:p w:rsidR="00A31137" w:rsidRPr="00A31137" w:rsidRDefault="00A31137" w:rsidP="00A31137">
      <w:r w:rsidRPr="00A31137">
        <w:tab/>
        <w:t>(5) to develop and make readily available information (including educational materials) on family planning and [500 U.S. 221] population growth to all persons desiring such information.</w:t>
      </w:r>
    </w:p>
    <w:p w:rsidR="00A31137" w:rsidRPr="00A31137" w:rsidRDefault="00A31137" w:rsidP="00A31137">
      <w:r w:rsidRPr="00A31137">
        <w:t>1991, Rust v. Sullivan, 500 U.S. 221</w:t>
      </w:r>
    </w:p>
    <w:p w:rsidR="00A31137" w:rsidRPr="00A31137" w:rsidRDefault="00A31137" w:rsidP="00A31137">
      <w:r w:rsidRPr="00A31137">
        <w:t>42 U.S.C. § 300 (Congressional Declaration of Purpose).</w:t>
      </w:r>
    </w:p>
    <w:p w:rsidR="00A31137" w:rsidRPr="00A31137" w:rsidRDefault="00A31137" w:rsidP="00A31137">
      <w:r w:rsidRPr="00A31137">
        <w:t>1991, Rust v. Sullivan, 500 U.S. 221</w:t>
      </w:r>
    </w:p>
    <w:p w:rsidR="00A31137" w:rsidRPr="00A31137" w:rsidRDefault="00A31137" w:rsidP="00A31137">
      <w:r w:rsidRPr="00A31137">
        <w:t>In contrast to the statutory emphasis on making relevant information readily available to the public, the statute contains no suggestion that Congress intended to authorize the suppression or censorship of any information by any Government employee or by any grant recipient.</w:t>
      </w:r>
    </w:p>
    <w:p w:rsidR="00A31137" w:rsidRPr="00A31137" w:rsidRDefault="00A31137" w:rsidP="00A31137">
      <w:r w:rsidRPr="00A31137">
        <w:t>1991, Rust v. Sullivan, 500 U.S. 221</w:t>
      </w:r>
    </w:p>
    <w:p w:rsidR="00A31137" w:rsidRPr="00A31137" w:rsidRDefault="00A31137" w:rsidP="00A31137">
      <w:r w:rsidRPr="00A31137">
        <w:t>Section 6 of the Act authorizes the provision of federal funds to support the establishment and operation of voluntary family planning projects. The section also empowers the Secretary to promulgate regulations imposing conditions on grant recipients to ensure that "such grants will be effectively utilized for the purposes for which made." § 300a-4(b). Not a word in the statute, however, authorizes the Secretary to impose any restrictions on the dissemination of truthful information or professional advice by grant recipients.</w:t>
      </w:r>
    </w:p>
    <w:p w:rsidR="00A31137" w:rsidRPr="00A31137" w:rsidRDefault="00A31137" w:rsidP="00A31137">
      <w:r w:rsidRPr="00A31137">
        <w:t>1991, Rust v. Sullivan, 500 U.S. 221</w:t>
      </w:r>
    </w:p>
    <w:p w:rsidR="00A31137" w:rsidRPr="00A31137" w:rsidRDefault="00A31137" w:rsidP="00A31137">
      <w:r w:rsidRPr="00A31137">
        <w:t>The word "prohibition" is used only once in the Act. Section 6, which adds to the Public Health Service Act the new Title X, covering the subject of population research and voluntary planning programs, includes the following provision:</w:t>
      </w:r>
    </w:p>
    <w:p w:rsidR="00A31137" w:rsidRPr="00A31137" w:rsidRDefault="00A31137" w:rsidP="00A31137">
      <w:r w:rsidRPr="00A31137">
        <w:t>1991, Rust v. Sullivan, 500 U.S. 221</w:t>
      </w:r>
    </w:p>
    <w:p w:rsidR="00A31137" w:rsidRPr="00A31137" w:rsidRDefault="00A31137" w:rsidP="00A31137">
      <w:r w:rsidRPr="00A31137">
        <w:t>PROHIBITION OF ABORTION</w:t>
      </w:r>
    </w:p>
    <w:p w:rsidR="00A31137" w:rsidRPr="00A31137" w:rsidRDefault="00A31137" w:rsidP="00A31137">
      <w:r w:rsidRPr="00A31137">
        <w:t>1991, Rust v. Sullivan, 500 U.S. 221</w:t>
      </w:r>
    </w:p>
    <w:p w:rsidR="00A31137" w:rsidRPr="00A31137" w:rsidRDefault="00A31137" w:rsidP="00A31137">
      <w:r w:rsidRPr="00A31137">
        <w:t>SEC. 1008. None of the funds appropriated under this title shall be used in programs where abortion is a method of family planning.</w:t>
      </w:r>
    </w:p>
    <w:p w:rsidR="00A31137" w:rsidRPr="00A31137" w:rsidRDefault="00A31137" w:rsidP="00A31137">
      <w:r w:rsidRPr="00A31137">
        <w:t>1991, Rust v. Sullivan, 500 U.S. 221</w:t>
      </w:r>
    </w:p>
    <w:p w:rsidR="00A31137" w:rsidRPr="00A31137" w:rsidRDefault="00A31137" w:rsidP="00A31137">
      <w:r w:rsidRPr="00A31137">
        <w:t>84 Stat. 1508, 42 U.S.C. § 300a-6. Read in the context of the entire statute, this prohibition is plainly directed at conduct, rather than the dissemination of information or advice, by potential grant recipients.</w:t>
      </w:r>
    </w:p>
    <w:p w:rsidR="00A31137" w:rsidRPr="00A31137" w:rsidRDefault="00A31137" w:rsidP="00A31137">
      <w:r w:rsidRPr="00A31137">
        <w:t>1991, Rust v. Sullivan, 500 U.S. 221</w:t>
      </w:r>
    </w:p>
    <w:p w:rsidR="00A31137" w:rsidRPr="00A31137" w:rsidRDefault="00A31137" w:rsidP="00A31137">
      <w:r w:rsidRPr="00A31137">
        <w:t>The original regulations promulgated in 1971 by the Secretary of Health, Education and Welfare so interpreted the statute. This "'contemporaneous construction of [the] statute by the men charged with the responsibility of setting its machinery in motion'" is entitled to particular respect. See Power Reactor Development Co. v. Electrical Workers, 367 [500 U.S. 222] U.S. 396, 408 (1961) (citation omitted); Udall v. Tallman, 380 U.S. 1, 16 (1965); Aluminum Co. of America v. Central Lincoln Peoples' Utility District, 467 U.S. 380, 390 (1984). The regulations described the kind of services that grant recipients had to provide in order to be eligible for federal funding, but they did not purport to regulate or restrict the kinds of advice or information that recipients might make available to their clients. Conforming to the language of the governing statute, the regulations provided that "[t]he project will not provide abortions as a method of family planning." 42 CFR § 59.5(a)(9) (1972) (emphasis added). Like the statute itself, the regulations prohibited conduct, not speech.</w:t>
      </w:r>
    </w:p>
    <w:p w:rsidR="00A31137" w:rsidRPr="00A31137" w:rsidRDefault="00A31137" w:rsidP="00A31137">
      <w:r w:rsidRPr="00A31137">
        <w:t>1991, Rust v. Sullivan, 500 U.S. 222</w:t>
      </w:r>
    </w:p>
    <w:p w:rsidR="00A31137" w:rsidRPr="00A31137" w:rsidRDefault="00A31137" w:rsidP="00A31137">
      <w:r w:rsidRPr="00A31137">
        <w:t>The same is true of the regulations promulgated in 1986 by the Secretary of Health and Human Services. They also prohibited grant recipients from performing abortions, but did not purport to censor or mandate any kind of speech. See 42 CFR §§ 59.159.13 (1986).</w:t>
      </w:r>
    </w:p>
    <w:p w:rsidR="00A31137" w:rsidRPr="00A31137" w:rsidRDefault="00A31137" w:rsidP="00A31137">
      <w:r w:rsidRPr="00A31137">
        <w:t>1991, Rust v. Sullivan, 500 U.S. 222</w:t>
      </w:r>
    </w:p>
    <w:p w:rsidR="00A31137" w:rsidRPr="00A31137" w:rsidRDefault="00A31137" w:rsidP="00A31137">
      <w:r w:rsidRPr="00A31137">
        <w:t>The entirely new approach adopted by the Secretary in 1988 was not, in my view, authorized by the statute. The new regulations did not merely reflect a change in a policy determination that the Secretary had been authorized by Congress to make. Cf. Chevron U.S.A. Inc. v. Natural Resources Defense Counsel, Inc., 467 U.S. 837, 865 (1984). Rather, they represented an assumption of policymaking responsibility that Congress had not delegated to the Secretary. See id. at 842-843 ("If the intent of Congress is clear, that is the end of the matter; for the court, as well as the agency, must give effect to the unambiguously expressed intent of Congress"). In a society that abhors censorship and in which policymakers have traditionally placed the highest value on the freedom to communicate, it is unrealistic to conclude that statutory authority to regulate conduct implicitly authorized the Executive to regulate speech.</w:t>
      </w:r>
    </w:p>
    <w:p w:rsidR="00A31137" w:rsidRPr="00A31137" w:rsidRDefault="00A31137" w:rsidP="00A31137">
      <w:r w:rsidRPr="00A31137">
        <w:t>1991, Rust v. Sullivan, 500 U.S. 222</w:t>
      </w:r>
    </w:p>
    <w:p w:rsidR="00A31137" w:rsidRPr="00A31137" w:rsidRDefault="00A31137" w:rsidP="00A31137">
      <w:r w:rsidRPr="00A31137">
        <w:t>Because I am convinced that the 1970 Act did not authorize the Secretary to censor the speech of grant recipients or their [500 U.S. 223] employees, I would hold the challenged regulations invalid and reverse the judgment of the Court of Appeals.</w:t>
      </w:r>
    </w:p>
    <w:p w:rsidR="00A31137" w:rsidRPr="00A31137" w:rsidRDefault="00A31137" w:rsidP="00A31137">
      <w:r w:rsidRPr="00A31137">
        <w:t>1991, Rust v. Sullivan, 500 U.S. 223</w:t>
      </w:r>
    </w:p>
    <w:p w:rsidR="00A31137" w:rsidRPr="00A31137" w:rsidRDefault="00A31137" w:rsidP="00A31137">
      <w:r w:rsidRPr="00A31137">
        <w:t>Even if I thought the statute were ambiguous, however, I would reach the same result for the reasons stated in JUSTICE O'CONNOR's dissenting opinion. As she also explains, if a majority of the Court had reached this result, it would be improper to comment on the constitutional issues that the parties have debated. Because the majority has reached out to decide the constitutional questions, however, I am persuaded that JUSTICE BLACKMUN is correct in concluding that the majority's arguments merit a response. I am also persuaded that JUSTICE BLACKMUN has correctly analyzed these issues. I have therefore joined Parts II and III of his opinion.</w:t>
      </w:r>
    </w:p>
    <w:p w:rsidR="00A31137" w:rsidRPr="00A31137" w:rsidRDefault="00A31137" w:rsidP="00A31137">
      <w:r w:rsidRPr="00A31137">
        <w:t>O'CONNOR, J., dissenting</w:t>
      </w:r>
    </w:p>
    <w:p w:rsidR="00A31137" w:rsidRPr="00A31137" w:rsidRDefault="00A31137" w:rsidP="00A31137">
      <w:r w:rsidRPr="00A31137">
        <w:t>1991, Rust v. Sullivan, 500 U.S. 223</w:t>
      </w:r>
    </w:p>
    <w:p w:rsidR="00A31137" w:rsidRPr="00A31137" w:rsidRDefault="00A31137" w:rsidP="00A31137">
      <w:r w:rsidRPr="00A31137">
        <w:t>JUSTICE O'CONNOR, dissenting.</w:t>
      </w:r>
    </w:p>
    <w:p w:rsidR="00A31137" w:rsidRPr="00A31137" w:rsidRDefault="00A31137" w:rsidP="00A31137">
      <w:r w:rsidRPr="00A31137">
        <w:t>1991, Rust v. Sullivan, 500 U.S. 223</w:t>
      </w:r>
    </w:p>
    <w:p w:rsidR="00A31137" w:rsidRPr="00A31137" w:rsidRDefault="00A31137" w:rsidP="00A31137">
      <w:r w:rsidRPr="00A31137">
        <w:t>[W]here an otherwise acceptable construction of a statute would raise serious constitutional problems, the Court will construe the statute to avoid such problems unless such construction is plainly contrary to the intent of Congress.</w:t>
      </w:r>
    </w:p>
    <w:p w:rsidR="00A31137" w:rsidRPr="00A31137" w:rsidRDefault="00A31137" w:rsidP="00A31137">
      <w:r w:rsidRPr="00A31137">
        <w:t>1991, Rust v. Sullivan, 500 U.S. 223</w:t>
      </w:r>
    </w:p>
    <w:p w:rsidR="00A31137" w:rsidRPr="00A31137" w:rsidRDefault="00A31137" w:rsidP="00A31137">
      <w:r w:rsidRPr="00A31137">
        <w:t>Edward J. DeBartolo Corp. v. Florida Gulf Coast Building &amp; Construction Trades Council, 485 U.S. 568, 575 (1988). JUSTICE BLACKMUN has explained well why this longstanding canon of statutory construction applies in this case, and I join Part I of his dissent. Part II demonstrates why the challenged regulations, which constitute the Secretary's interpretation of § 1008 of the Public Health Service Act, 84 Stat. 1508, 42 U.S.C. § 300a-6, "raise serious constitutional problems": the regulations place content-based restrictions on the speech of Title X fund recipients, restrictions directed precisely at speech concerning one of "the most divisive and contentious issues that our Nation has faced in recent years." Ante at  215.</w:t>
      </w:r>
    </w:p>
    <w:p w:rsidR="00A31137" w:rsidRPr="00A31137" w:rsidRDefault="00A31137" w:rsidP="00A31137">
      <w:r w:rsidRPr="00A31137">
        <w:t>1991, Rust v. Sullivan, 500 U.S. 223</w:t>
      </w:r>
    </w:p>
    <w:p w:rsidR="00A31137" w:rsidRPr="00A31137" w:rsidRDefault="00A31137" w:rsidP="00A31137">
      <w:r w:rsidRPr="00A31137">
        <w:t>One may well conclude, as JUSTICE BLACKMUN does in Part II, that the regulations are unconstitutional for this reason. I do not join Part II of the dissent, however, for the same reason that I do not join Part III, in which JUSTICE [500 U.S. 224] BLACKMUN concludes that the regulations are unconstitutional under the Fifth Amendment. The canon of construction that JUSTICE BLACKMUN correctly applies here is grounded in large part upon our time-honored practice of not reaching constitutional questions unnecessarily. See DeBartolo, supra, at 575.</w:t>
      </w:r>
    </w:p>
    <w:p w:rsidR="00A31137" w:rsidRPr="00A31137" w:rsidRDefault="00A31137" w:rsidP="00A31137">
      <w:r w:rsidRPr="00A31137">
        <w:t>1991, Rust v. Sullivan, 500 U.S. 224</w:t>
      </w:r>
    </w:p>
    <w:p w:rsidR="00A31137" w:rsidRPr="00A31137" w:rsidRDefault="00A31137" w:rsidP="00A31137">
      <w:r w:rsidRPr="00A31137">
        <w:t>It is a fundamental rule of judicial restraint…that this Court will not reach constitutional questions in advance of the necessity of deciding them.</w:t>
      </w:r>
    </w:p>
    <w:p w:rsidR="00A31137" w:rsidRPr="00A31137" w:rsidRDefault="00A31137" w:rsidP="00A31137">
      <w:r w:rsidRPr="00A31137">
        <w:t>1991, Rust v. Sullivan, 500 U.S. 224</w:t>
      </w:r>
    </w:p>
    <w:p w:rsidR="00A31137" w:rsidRPr="00A31137" w:rsidRDefault="00A31137" w:rsidP="00A31137">
      <w:r w:rsidRPr="00A31137">
        <w:t>Three Affiliated Tribes of Fort Berthold Reservation v. Wold Engineering, P.C., 467 U.S. 138, 157 (1984). See also Alexander v. Louisiana, 405 U.S. 625, 633 (1972); Burton v. United States, 196 U.S. 283, 295 (1905); Liverpool, New York and Philadelphia S.S. Co. v. Commissioners of Emigration, 113 U.S. 33,  39 (1885) (In the exercise of its jurisdiction to pronounce unconstitutional laws of the United States, this Court "has rigidly adhered" to the rule "never to anticipate a question of constitutional law in advance of the necessity of deciding it").</w:t>
      </w:r>
    </w:p>
    <w:p w:rsidR="00A31137" w:rsidRPr="00A31137" w:rsidRDefault="00A31137" w:rsidP="00A31137">
      <w:r w:rsidRPr="00A31137">
        <w:t>1991, Rust v. Sullivan, 500 U.S. 224</w:t>
      </w:r>
    </w:p>
    <w:p w:rsidR="00A31137" w:rsidRPr="00A31137" w:rsidRDefault="00A31137" w:rsidP="00A31137">
      <w:r w:rsidRPr="00A31137">
        <w:t>This Court acts at the limits of its power when it invalidates a law on constitutional grounds. In recognition of our place in the constitutional scheme, we must act with "great gravity and delicacy" when telling a coordinate branch that its actions are absolutely prohibited absent constitutional amendment. Adkins v. Children's Hospital of District of Columbia, 261 U.S. 525,  544 (1923). See also Blodgett v. Holden, 275 U.S. 142, 147-148 (1927) (Holmes, J., concurring). In this case, we need only tell the Secretary that his regulations are not a reasonable interpretation of the statute; we need not tell Congress that it cannot pass such legislation. If we rule solely on statutory grounds, Congress retains the power to force the constitutional question by legislating more explicitly. It may instead choose to do nothing. That decision should be left to Congress; we should not tell Congress what it cannot do before it has chosen to do it. It is enough in this case to conclude that neither the language nor the history of § 1008 compels the Secretary's interpretation, [500 U.S. 225] and that the interpretation raises serious First Amendment concerns. On this basis alone, I would reverse the judgment of the Court of Appeals and invalidate the challenged regulations.</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1991, Rust v. Sullivan, 500 U.S. 225</w:t>
      </w:r>
    </w:p>
    <w:p w:rsidR="00A31137" w:rsidRPr="00A31137" w:rsidRDefault="00A31137" w:rsidP="00A31137">
      <w:r w:rsidRPr="00A31137">
        <w:t>1. Both the First Circuit and the Tenth Circuit have invalidated the regulations, primarily on constitutional grounds. See Massachusetts v. Secretary of Health and Human Services, 899 F.2d 53 (CA1 1990); Planned Parenthood Federation of America v. Sullivan, 913 F.2d 1492 (CA10 1990).</w:t>
      </w:r>
    </w:p>
    <w:p w:rsidR="00A31137" w:rsidRPr="00A31137" w:rsidRDefault="00A31137" w:rsidP="00A31137">
      <w:r w:rsidRPr="00A31137">
        <w:t>1991, Rust v. Sullivan, 500 U.S. 225</w:t>
      </w:r>
    </w:p>
    <w:p w:rsidR="00A31137" w:rsidRPr="00A31137" w:rsidRDefault="00A31137" w:rsidP="00A31137">
      <w:r w:rsidRPr="00A31137">
        <w:t>2.</w:t>
      </w:r>
    </w:p>
    <w:p w:rsidR="00A31137" w:rsidRPr="00A31137" w:rsidRDefault="00A31137" w:rsidP="00A31137">
      <w:r w:rsidRPr="00A31137">
        <w:t>1991, Rust v. Sullivan, 500 U.S. 225</w:t>
      </w:r>
    </w:p>
    <w:p w:rsidR="00A31137" w:rsidRPr="00A31137" w:rsidRDefault="00A31137" w:rsidP="00A31137">
      <w:r w:rsidRPr="00A31137">
        <w:t>Most clients of title X-sponsored clinics are not pregnant, and generally receive only physical examinations, education on contraceptive methods, and services related to birth control.</w:t>
      </w:r>
    </w:p>
    <w:p w:rsidR="00A31137" w:rsidRPr="00A31137" w:rsidRDefault="00A31137" w:rsidP="00A31137">
      <w:r w:rsidRPr="00A31137">
        <w:t>1991, Rust v. Sullivan, 500 U.S. 225</w:t>
      </w:r>
    </w:p>
    <w:p w:rsidR="00A31137" w:rsidRPr="00A31137" w:rsidRDefault="00A31137" w:rsidP="00A31137">
      <w:r w:rsidRPr="00A31137">
        <w:t>General Accounting Office Report, App. at 95.</w:t>
      </w:r>
    </w:p>
    <w:p w:rsidR="00A31137" w:rsidRPr="00A31137" w:rsidRDefault="00A31137" w:rsidP="00A31137">
      <w:r w:rsidRPr="00A31137">
        <w:t>1991, Rust v. Sullivan, 500 U.S. 225</w:t>
      </w:r>
    </w:p>
    <w:p w:rsidR="00A31137" w:rsidRPr="00A31137" w:rsidRDefault="00A31137" w:rsidP="00A31137">
      <w:r w:rsidRPr="00A31137">
        <w:t>3. For instance, the Secretary relies on the following passage of the House Report as evidence that the regulations are consistent with legislative intent:</w:t>
      </w:r>
    </w:p>
    <w:p w:rsidR="00A31137" w:rsidRPr="00A31137" w:rsidRDefault="00A31137" w:rsidP="00A31137">
      <w:r w:rsidRPr="00A31137">
        <w:t>1991, Rust v. Sullivan, 500 U.S. 225</w:t>
      </w:r>
    </w:p>
    <w:p w:rsidR="00A31137" w:rsidRPr="00A31137" w:rsidRDefault="00A31137" w:rsidP="00A31137">
      <w:r w:rsidRPr="00A31137">
        <w:t>It is, and has been, the intent of both Houses that the funds authorized under this legislation be used only to support preventive family planning services, population research, infertility services, and other related medical, informational, and educational activities. The conferees have adopted the language contained in section 1008, which prohibits the use of such funds for abortion, in order to make this intent clear.</w:t>
      </w:r>
    </w:p>
    <w:p w:rsidR="00A31137" w:rsidRPr="00A31137" w:rsidRDefault="00A31137" w:rsidP="00A31137">
      <w:r w:rsidRPr="00A31137">
        <w:t>1991, Rust v. Sullivan, 500 U.S. 225</w:t>
      </w:r>
    </w:p>
    <w:p w:rsidR="00A31137" w:rsidRPr="00A31137" w:rsidRDefault="00A31137" w:rsidP="00A31137">
      <w:r w:rsidRPr="00A31137">
        <w:t>H.R.Conf.Rep. No. 91-1667, p. 8 (1970), U.S.Code Cong.Admin.News 1970, pp. 5081-82. Petitioners, however, point to language in the statement of purpose in the House Report preceding the passage of Title X stressing the importance of supplying both family planning information and a full range of family planning information, and of developing a comprehensive and coordinated program. Petitioners also rely on the Senate Report which states:</w:t>
      </w:r>
    </w:p>
    <w:p w:rsidR="00A31137" w:rsidRPr="00A31137" w:rsidRDefault="00A31137" w:rsidP="00A31137">
      <w:r w:rsidRPr="00A31137">
        <w:t>1991, Rust v. Sullivan, 500 U.S. 225</w:t>
      </w:r>
    </w:p>
    <w:p w:rsidR="00A31137" w:rsidRPr="00A31137" w:rsidRDefault="00A31137" w:rsidP="00A31137">
      <w:r w:rsidRPr="00A31137">
        <w:t>The committee does not view family planning as merely a euphemism for birth control. It is properly a part of comprehensive health care, and should consist of much more than the dispensation of contraceptive devices…. [A] successful family planning program must contain…[m]edical services, including consultation examination, prescription, and continuing supervision, supplies, instruction, and referral to other medical services as needed.</w:t>
      </w:r>
    </w:p>
    <w:p w:rsidR="00A31137" w:rsidRPr="00A31137" w:rsidRDefault="00A31137" w:rsidP="00A31137">
      <w:r w:rsidRPr="00A31137">
        <w:t>1991, Rust v. Sullivan, 500 U.S. 225</w:t>
      </w:r>
    </w:p>
    <w:p w:rsidR="00A31137" w:rsidRPr="00A31137" w:rsidRDefault="00A31137" w:rsidP="00A31137">
      <w:r w:rsidRPr="00A31137">
        <w:t>S.Rep. No. 91-1004, p. 10 (1970).</w:t>
      </w:r>
    </w:p>
    <w:p w:rsidR="00A31137" w:rsidRPr="00A31137" w:rsidRDefault="00A31137" w:rsidP="00A31137">
      <w:r w:rsidRPr="00A31137">
        <w:t>1991, Rust v. Sullivan, 500 U.S. 225</w:t>
      </w:r>
    </w:p>
    <w:p w:rsidR="00A31137" w:rsidRPr="00A31137" w:rsidRDefault="00A31137" w:rsidP="00A31137">
      <w:r w:rsidRPr="00A31137">
        <w:t>These directly conflicting statements of legislative intent demonstrate amply the inadequacies of the "traditional tools of statutory construction," Immigration and Naturalization Service v. Cardoza-Fonseca, 480 U.S. [421] at 446-447, in resolving the issue before us.</w:t>
      </w:r>
    </w:p>
    <w:p w:rsidR="00A31137" w:rsidRPr="00A31137" w:rsidRDefault="00A31137" w:rsidP="00A31137">
      <w:r w:rsidRPr="00A31137">
        <w:t>1991, Rust v. Sullivan, 500 U.S. 225</w:t>
      </w:r>
    </w:p>
    <w:p w:rsidR="00A31137" w:rsidRPr="00A31137" w:rsidRDefault="00A31137" w:rsidP="00A31137">
      <w:r w:rsidRPr="00A31137">
        <w:t>4. We also find that, on their face, the regulations are narrowly tailored to fit Congress' intent in Title X that federal funds not be used to "promote or advocate" abortion as a "method of family planning." The regulations are designed to ensure compliance with the prohibition of § 1008 that none of the funds appropriated under Title X be used in a program where abortion is a method of family planning. We have recognized that Congress' power to allocate funds for public purposes includes an ancillary power to ensure that those funds are properly applied to the prescribed use. See South Dakota v. Dole, 483 U.S. 203, 207-209 (1987) (upholding against Tenth Amendment challenge requirement that States raise drinking age as condition to receipt of federal highway funds); Buckley v. Valeo, 424 U.S. 1,  99 (1976).</w:t>
      </w:r>
    </w:p>
    <w:p w:rsidR="00A31137" w:rsidRPr="00A31137" w:rsidRDefault="00A31137" w:rsidP="00A31137">
      <w:r w:rsidRPr="00A31137">
        <w:t>1991, Rust v. Sullivan, 500 U.S. 225</w:t>
      </w:r>
    </w:p>
    <w:p w:rsidR="00A31137" w:rsidRPr="00A31137" w:rsidRDefault="00A31137" w:rsidP="00A31137">
      <w:r w:rsidRPr="00A31137">
        <w:t>5. Petitioners also contend that the regulations violate the First Amendment by penalizing speech funded with non-Title X monies. They argue that, since Title X requires that grant recipients contribute to the financing of Title X projects through the use of matching funds and grant-related income, the regulation's restrictions on abortion counseling and advocacy penalize privately funded speech.</w:t>
      </w:r>
    </w:p>
    <w:p w:rsidR="00A31137" w:rsidRPr="00A31137" w:rsidRDefault="00A31137" w:rsidP="00A31137">
      <w:r w:rsidRPr="00A31137">
        <w:t>1991, Rust v. Sullivan, 500 U.S. 225</w:t>
      </w:r>
    </w:p>
    <w:p w:rsidR="00A31137" w:rsidRPr="00A31137" w:rsidRDefault="00A31137" w:rsidP="00A31137">
      <w:r w:rsidRPr="00A31137">
        <w:t>We find this argument flawed for several reasons. First, Title X subsidies are just that, subsidies. The recipient is in no way compelled to operate a Title X project; to avoid the force of the regulations, it can simply decline the subsidy. See Grove City College v. Bell, 465 U.S. 555, 575 (1984) (petitioner's First Amendment rights not violated, because it "may terminate its participation in the [federal] program, and thus avoid the requirements of [the federal program]"). By accepting Title X funds, a recipient voluntarily consents to any restrictions placed on any matching funds or grant-related income. Potential grant recipients can choose between accepting Title X funds—subject to the Government's conditions that they provide matching funds and forgo abortion counseling and referral in the Title X project—or declining the subsidy and financing their own unsubsidized program. We have never held that the Government violates the First Amendment simply by offering that choice. Second, the Secretary's regulations apply only to Title X programs. A recipient is therefore able to "limi[t] the use of its federal funds to [Title X] activities." FCC v. League of Women Voters of Cal., 468 U.S. 364, at 400 (1984). It is in no way "barred from using even wholly private funds to finance" its pro-abortion activities outside the Title X program. Ibid. The regulations are limited to Title X funds; the recipient remains free to use private, non-Title X funds to finance abortion-related activities.</w:t>
      </w:r>
    </w:p>
    <w:p w:rsidR="00A31137" w:rsidRPr="00A31137" w:rsidRDefault="00A31137" w:rsidP="00A31137">
      <w:r w:rsidRPr="00A31137">
        <w:t>BLACKMUN, J., dissenting (Footnotes)</w:t>
      </w:r>
    </w:p>
    <w:p w:rsidR="00A31137" w:rsidRPr="00A31137" w:rsidRDefault="00A31137" w:rsidP="00A31137">
      <w:r w:rsidRPr="00A31137">
        <w:t>1991, Rust v. Sullivan, 500 U.S. 225</w:t>
      </w:r>
    </w:p>
    <w:p w:rsidR="00A31137" w:rsidRPr="00A31137" w:rsidRDefault="00A31137" w:rsidP="00A31137">
      <w:r w:rsidRPr="00A31137">
        <w:t>1. The majority states: "There is no question but that the statutory prohibition contained in § 1008 is constitutional." Ante at  192. This statement simply begs the question. Were the Court to read § 1008 to prohibit only the actual performance of abortions with Title X fund as, indeed, the Secretary did until February 2, 1988, see 53 Bed.Reg. 2923 (1988)—the provision would fall within the category of restrictions that the Court upheld in Harris v. McRae, 448 U.S. 297 (1980), and Maher v. Roe, 432 U.S. 464 (1977). By interpreting the statute to authorize the regulation of abortion-related speech between physician and patient, however, the Secretary, and now the Court, have rejected a constitutionally sound construction in favor of one that is by no means clearly constitutional.</w:t>
      </w:r>
    </w:p>
    <w:p w:rsidR="00A31137" w:rsidRPr="00A31137" w:rsidRDefault="00A31137" w:rsidP="00A31137">
      <w:r w:rsidRPr="00A31137">
        <w:t>1991, Rust v. Sullivan, 500 U.S. 225</w:t>
      </w:r>
    </w:p>
    <w:p w:rsidR="00A31137" w:rsidRPr="00A31137" w:rsidRDefault="00A31137" w:rsidP="00A31137">
      <w:r w:rsidRPr="00A31137">
        <w:t>2. In addition to requiring referral for prenatal care and adoption services, the Regulations permit general health services such as physical examinations, screening for breast cancer, treatment of gynecological problems, and treatment for sexually transmitted diseases. 53 Fed.Reg. 2927 (1988). None of the latter are strictly preventive, preconceptional services.</w:t>
      </w:r>
    </w:p>
    <w:p w:rsidR="00A31137" w:rsidRPr="00A31137" w:rsidRDefault="00A31137" w:rsidP="00A31137">
      <w:r w:rsidRPr="00A31137">
        <w:t>1991, Rust v. Sullivan, 500 U.S. 225</w:t>
      </w:r>
    </w:p>
    <w:p w:rsidR="00A31137" w:rsidRPr="00A31137" w:rsidRDefault="00A31137" w:rsidP="00A31137">
      <w:r w:rsidRPr="00A31137">
        <w:t>3. The majority attempts to obscure the breadth of its decision through its curious contention that "the Title X program regulations do not significantly impinge upon the doctor-patient relationship." Ante at  200. That the doctor-patient relationship is substantially burdened by a rule prohibiting the dissemination by the physician of pertinent medical information is beyond serious dispute. This burden is undiminished by the fact that the relationship at issue here is not an "all-encompassing" one. A woman seeking the services of a Title X clinic has every reason to expect, as do we all, that her physician will not withhold relevant information regarding the very purpose of her visit. To suggest otherwise is to engage in uninformed fantasy. Further, to hold that the doctor-patient relationship is somehow incomplete where a patient lacks the resources to seek comprehensive health care from a single provider is to ignore the situation of a vast number of Americans. As JUSTICE MARSHALL has noted in a different context:</w:t>
      </w:r>
    </w:p>
    <w:p w:rsidR="00A31137" w:rsidRPr="00A31137" w:rsidRDefault="00A31137" w:rsidP="00A31137">
      <w:r w:rsidRPr="00A31137">
        <w:t>1991, Rust v. Sullivan, 500 U.S. 225</w:t>
      </w:r>
    </w:p>
    <w:p w:rsidR="00A31137" w:rsidRPr="00A31137" w:rsidRDefault="00A31137" w:rsidP="00A31137">
      <w:r w:rsidRPr="00A31137">
        <w:t>It is perfectly proper for judges to disagree about what the Constitution requires. But it is disgraceful for an interpretation of the Constitution to be premised upon unfounded assumptions about how people live.</w:t>
      </w:r>
    </w:p>
    <w:p w:rsidR="00A31137" w:rsidRPr="00A31137" w:rsidRDefault="00A31137" w:rsidP="00A31137">
      <w:r w:rsidRPr="00A31137">
        <w:t>1991, Rust v. Sullivan, 500 U.S. 225</w:t>
      </w:r>
    </w:p>
    <w:p w:rsidR="00A31137" w:rsidRPr="00A31137" w:rsidRDefault="00A31137" w:rsidP="00A31137">
      <w:r w:rsidRPr="00A31137">
        <w:t>United States v. Kras, 409 U.S. 434,  460 (1973) (dissenting opinion).</w:t>
      </w:r>
    </w:p>
    <w:p w:rsidR="00A31137" w:rsidRPr="00A31137" w:rsidRDefault="00A31137" w:rsidP="00A31137">
      <w:r w:rsidRPr="00A31137">
        <w:t>1991, Rust v. Sullivan, 500 U.S. 225</w:t>
      </w:r>
    </w:p>
    <w:p w:rsidR="00A31137" w:rsidRPr="00A31137" w:rsidRDefault="00A31137" w:rsidP="00A31137">
      <w:r w:rsidRPr="00A31137">
        <w:t>4. It is to be noted that the Secretary has made no claim that the Regulations at issue reflect any concern for the health or welfare of Title X clients.</w:t>
      </w:r>
    </w:p>
    <w:p w:rsidR="00A31137" w:rsidRPr="00A31137" w:rsidRDefault="00A31137" w:rsidP="00A31137">
      <w:r w:rsidRPr="00A31137">
        <w:t>1991, Rust v. Sullivan, 500 U.S. 225</w:t>
      </w:r>
    </w:p>
    <w:p w:rsidR="00A31137" w:rsidRPr="00A31137" w:rsidRDefault="00A31137" w:rsidP="00A31137">
      <w:r w:rsidRPr="00A31137">
        <w:t>5. In the context of common law tort liability, commentators have recognized:</w:t>
      </w:r>
    </w:p>
    <w:p w:rsidR="00A31137" w:rsidRPr="00A31137" w:rsidRDefault="00A31137" w:rsidP="00A31137">
      <w:r w:rsidRPr="00A31137">
        <w:t>1991, Rust v. Sullivan, 500 U.S. 225</w:t>
      </w:r>
    </w:p>
    <w:p w:rsidR="00A31137" w:rsidRPr="00A31137" w:rsidRDefault="00A31137" w:rsidP="00A31137">
      <w:r w:rsidRPr="00A31137">
        <w:t>If there is no duty to go to the assistance of a person in difficulty or peril, there is at least a duty to avoid any affirmative acts which make his situation worse…. The same is true, of course, of a physician who accepts a charity patient. Such a defendant will then be liable for a failure to use reasonable care for the protection of the plaintiffs interests.</w:t>
      </w:r>
    </w:p>
    <w:p w:rsidR="00A31137" w:rsidRPr="00A31137" w:rsidRDefault="00A31137" w:rsidP="00A31137">
      <w:r w:rsidRPr="00A31137">
        <w:t>1991, Rust v. Sullivan, 500 U.S. 225</w:t>
      </w:r>
    </w:p>
    <w:p w:rsidR="00A31137" w:rsidRPr="00A31137" w:rsidRDefault="00A31137" w:rsidP="00A31137">
      <w:r w:rsidRPr="00A31137">
        <w:t>P. Keeton et al., Prosser and Keeton on the Law of Torts 378 (5th ed.1984) (footnotes omitted). This observation seems equally appropriate to the cases at bar.</w:t>
      </w:r>
    </w:p>
    <w:p w:rsidR="00A31137" w:rsidRPr="00A31137" w:rsidRDefault="00A31137" w:rsidP="00A31137">
      <w:r w:rsidRPr="00A31137">
        <w:t>1991, Rust v. Sullivan, 500 U.S. 225</w:t>
      </w:r>
    </w:p>
    <w:p w:rsidR="00A31137" w:rsidRPr="00A31137" w:rsidRDefault="00A31137" w:rsidP="00A31137">
      <w:r w:rsidRPr="00A31137">
        <w:t>6. Significantly, the Court interprets the challenged regulations to allow a Title X project to refer a woman whose health would be seriously endangered by continued pregnancy to an abortion provider. Ante at  195. To hold otherwise would be to adopt an interpretation that would most certainly violate a patient's right to substantive due process. See, e.g., Youngberg v. Romeo, 457 U.S. 307 (1982); Revere v. Massachusetts General Hospital, 463 U.S. 239 (1983). The Solicitor General at oral argument, however, afforded the Regulations a far less charitable interpretation. See Tr. of Oral Arg. 44-47.</w:t>
      </w:r>
    </w:p>
    <w:p w:rsidR="00A31137" w:rsidRPr="00A31137" w:rsidRDefault="00A31137" w:rsidP="00A31137">
      <w:r w:rsidRPr="00A31137">
        <w:t>Airports Auth. v. Citizens for Noise Abatement, 1991</w:t>
      </w:r>
    </w:p>
    <w:p w:rsidR="00A31137" w:rsidRPr="00A31137" w:rsidRDefault="00A31137" w:rsidP="00A31137">
      <w:r w:rsidRPr="00A31137">
        <w:t>Title:</w:t>
      </w:r>
      <w:r w:rsidRPr="00A31137">
        <w:tab/>
        <w:t>Metropolitan Washington Airports Authority v. Citizens for the Abatement of Aircraft Noise, Inc.</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17, 1991</w:t>
      </w:r>
    </w:p>
    <w:p w:rsidR="00A31137" w:rsidRPr="00A31137" w:rsidRDefault="00A31137" w:rsidP="00A31137">
      <w:r w:rsidRPr="00A31137">
        <w:t>Source:</w:t>
      </w:r>
      <w:r w:rsidRPr="00A31137">
        <w:tab/>
        <w:t>501 U.S. 252</w:t>
      </w:r>
    </w:p>
    <w:p w:rsidR="00A31137" w:rsidRPr="00A31137" w:rsidRDefault="00A31137" w:rsidP="00A31137">
      <w:r w:rsidRPr="00A31137">
        <w:t>This case was argued April 19, 1991, and was decided June 17, 1991.</w:t>
      </w:r>
    </w:p>
    <w:p w:rsidR="00A31137" w:rsidRPr="00A31137" w:rsidRDefault="00A31137" w:rsidP="00A31137">
      <w:r w:rsidRPr="00A31137">
        <w:t>Syllabus</w:t>
      </w:r>
    </w:p>
    <w:p w:rsidR="00A31137" w:rsidRPr="00A31137" w:rsidRDefault="00A31137" w:rsidP="00A31137">
      <w:r w:rsidRPr="00A31137">
        <w:t>1991, Airports Auth. v. Citizens for Noise Abatement, 501 U.S. 252</w:t>
      </w:r>
    </w:p>
    <w:p w:rsidR="00A31137" w:rsidRPr="00A31137" w:rsidRDefault="00A31137" w:rsidP="00A31137">
      <w:r w:rsidRPr="00A31137">
        <w:t>An Act of Congress (hereinafter the Transfer Act) authorized the transfer of operating control of Washington National Airport (National) and Dulles International Airport (Dulles) from the federal Department of Transportation to petitioner Metropolitan Washington Airports Authority (MWAA), which was created by a compact between Virginia and the District of Columbia. Both airports are located in the Virginia suburbs of the District. Dulles is larger than National, and lies in a rural area miles from the Capitol. National is a much busier airport, due to the convenience of its location at the center of the metropolitan area, but its flight paths over densely populated areas have generated concern among residents about safety, noise, and pollution. Because of congressional concern that surrender of federal control of the airports might result in the transfer of a significant amount of traffic from National to Dulles, the Transfer Act authorizes the MWAA's Board of Directors to create a Board of Review (Board). The Board is to be composed of nine congressmen who serve on committees having jurisdiction over transportation issues, and who are to act "in their individual capacities." The Board is vested with a variety of powers, including the authority to veto decisions made by MWAA's directors. After the directors adopted bylaws providing for the Board, and Virginia and the District amended their legislation to give MWAA powers to establish the Board, the directors appointed the Board's nine members from lists submitted by Congress. The directors then adopted a Master Plan providing for extensive new facilities at National, and the Board voted not to disapprove that Plan. Subsequently, respondents—individuals living along National flight paths and Citizens for the Abatement of Aircraft Noise, Inc. (CAAN), whose members include persons living along such paths, and whose purposes include the reduction of National operations and associated noise, safety, and air pollution problems—brought this action seeking declaratory and injunctive relief, alleging that the Board's veto power is unconstitutional. Although ruling that respondents had standing to maintain the action, the District Court granted summary judgment for petitioners. The Court of Appeals reversed, holding, inter alia, that Congress' delegation of the [501 U.S. 253] veto power to the Board violated the constitutional doctrine of separation of powers.</w:t>
      </w:r>
    </w:p>
    <w:p w:rsidR="00A31137" w:rsidRPr="00A31137" w:rsidRDefault="00A31137" w:rsidP="00A31137">
      <w:r w:rsidRPr="00A31137">
        <w:t>1991, Airports Auth. v. Citizens for Noise Abatement, 501 U.S. 253</w:t>
      </w:r>
    </w:p>
    <w:p w:rsidR="00A31137" w:rsidRPr="00A31137" w:rsidRDefault="00A31137" w:rsidP="00A31137">
      <w:r w:rsidRPr="00A31137">
        <w:t>Held:</w:t>
      </w:r>
    </w:p>
    <w:p w:rsidR="00A31137" w:rsidRPr="00A31137" w:rsidRDefault="00A31137" w:rsidP="00A31137">
      <w:r w:rsidRPr="00A31137">
        <w:t>1991, Airports Auth. v. Citizens for Noise Abatement, 501 U.S. 253</w:t>
      </w:r>
    </w:p>
    <w:p w:rsidR="00A31137" w:rsidRPr="00A31137" w:rsidRDefault="00A31137" w:rsidP="00A31137">
      <w:r w:rsidRPr="00A31137">
        <w:t>1. Respondents have standing. Accepting as true their claims that the Master Plan will result in increased noise, pollution, and accidents, they have alleged "personal injury" to themselves that is "fairly traceable" to the Board's veto power. See Allen v. Wright, 468 U.S. 737,  751. This is because knowledge that the Plan was subject to that power undoubtedly influenced MWAA's directors when they drew up the Plan. Moreover, because invalidation of the veto power will prevent enactment of the Plan, the relief respondents have requested is "likely to…redres[s]" their alleged injury. Ibid. Furthermore, the harm they allege is not confined to the consequences of a possible increase in National activity, since the Board and the Master Plan injure CAAN by making it more difficult for it to fulfill its goal of reducing that activity. Pp.  264-265.</w:t>
      </w:r>
    </w:p>
    <w:p w:rsidR="00A31137" w:rsidRPr="00A31137" w:rsidRDefault="00A31137" w:rsidP="00A31137">
      <w:r w:rsidRPr="00A31137">
        <w:t>1991, Airports Auth. v. Citizens for Noise Abatement, 501 U.S. 253</w:t>
      </w:r>
    </w:p>
    <w:p w:rsidR="00A31137" w:rsidRPr="00A31137" w:rsidRDefault="00A31137" w:rsidP="00A31137">
      <w:r w:rsidRPr="00A31137">
        <w:t>2. Congress' conditioning of the airports' transfer upon the creation of a Board of Review composed of congressmen and having veto power over the MWAA directors' decisions violates the separation of powers. Pp.  265-277.</w:t>
      </w:r>
    </w:p>
    <w:p w:rsidR="00A31137" w:rsidRPr="00A31137" w:rsidRDefault="00A31137" w:rsidP="00A31137">
      <w:r w:rsidRPr="00A31137">
        <w:t>1991, Airports Auth. v. Citizens for Noise Abatement, 501 U.S. 253</w:t>
      </w:r>
    </w:p>
    <w:p w:rsidR="00A31137" w:rsidRPr="00A31137" w:rsidRDefault="00A31137" w:rsidP="00A31137">
      <w:r w:rsidRPr="00A31137">
        <w:t xml:space="preserve">(a) Petitioners argue incorrectly that this case does not raise any separation-of-powers issue because the Board is a state creation that neither exercises federal power nor acts as an agent of Congress. An examination of the Board's origin and structure reveals an entity created at the initiative of Congress, the powers of which Congress has mandated in detail, the purpose of which is to protect an acknowledged federal interest in the efficient operation of airports vital to the smooth conduct of Government and congressional business, and membership in which is controlled by Congress and restricted to Members charged with authority over air transportation. Such an entity necessarily exercises sufficient federal powers as an agent of Congress to mandate separation of powers scrutiny. Any other conclusion would permit Congress to evade the Constitution's "carefully crafted" constraints, INS v. Chadha, 462 U.S. 919,  959, simply by delegating primary responsibility for execution of national policy to the States, subject to the veto power of Members of Congress acting "in their individual capacities." Cf. Bowsher v. Synar, 478 U.S. 714,  755 (STEVENS, J., concurring in judgment). Nor is there merit to petitioners' contention that the Board should nevertheless be immune from scrutiny for constitutional defects because it was created in the course of Congress' exercise of its power to dispose of federal property under Article IV, § 3, cl. 2. South Dakota v. Dole, 483 U.S. 203,  212, distinguished. Pp.  265-271. [501 U.S. 254] </w:t>
      </w:r>
    </w:p>
    <w:p w:rsidR="00A31137" w:rsidRPr="00A31137" w:rsidRDefault="00A31137" w:rsidP="00A31137">
      <w:r w:rsidRPr="00A31137">
        <w:t>1991, Airports Auth. v. Citizens for Noise Abatement, 501 U.S. 254</w:t>
      </w:r>
    </w:p>
    <w:p w:rsidR="00A31137" w:rsidRPr="00A31137" w:rsidRDefault="00A31137" w:rsidP="00A31137">
      <w:r w:rsidRPr="00A31137">
        <w:t>(b) Congress has not followed a constitutionally acceptable procedure in delegating decisionmaking authority to the Board. To forestall the danger of encroachment into the executive sphere, the Constitution imposes two basic and related constraints on Congress. It may not invest itself, its Members, or its agents with executive power. See, e.g., J. W. Hampton, Jr., &amp; Co. v. United States, 276 U.S. 394, 406; Bowsher, supra, 478 U.S. at  726. And when it exercises its legislative power, it must follow the "single, finely wrought and exhaustively considered procedures" specified in Article I. Chadha, supra, 462 U.S. at  951. If the Board's power is considered to be executive, the Constitution does not permit an agent of Congress to exercise it. However, if the power is considered to be legislative, Congress must, but has not, exercised it in conformity with the bicameralism and presentment requirements of Article I, § 7. Although Congress imposed its will on the MWAA by means that are unique and that might prove to be innocuous, the statutory scheme by which it did so provides a blueprint for extensive expansion of the legislative power beyond its constitutionally defined role. Pp.  271-277.</w:t>
      </w:r>
    </w:p>
    <w:p w:rsidR="00A31137" w:rsidRPr="00A31137" w:rsidRDefault="00A31137" w:rsidP="00A31137">
      <w:r w:rsidRPr="00A31137">
        <w:t>1991, Airports Auth. v. Citizens for Noise Abatement, 501 U.S. 254</w:t>
      </w:r>
    </w:p>
    <w:p w:rsidR="00A31137" w:rsidRPr="00A31137" w:rsidRDefault="00A31137" w:rsidP="00A31137">
      <w:r w:rsidRPr="00A31137">
        <w:t>286 U.S.App.D.C. 334, 917 F.2d 48 (CADC 1990), affirmed.</w:t>
      </w:r>
    </w:p>
    <w:p w:rsidR="00A31137" w:rsidRPr="00A31137" w:rsidRDefault="00A31137" w:rsidP="00A31137">
      <w:r w:rsidRPr="00A31137">
        <w:t>1991, Airports Auth. v. Citizens for Noise Abatement, 501 U.S. 254</w:t>
      </w:r>
    </w:p>
    <w:p w:rsidR="00A31137" w:rsidRPr="00A31137" w:rsidRDefault="00A31137" w:rsidP="00A31137">
      <w:r w:rsidRPr="00A31137">
        <w:t xml:space="preserve">STEVENS, J., delivered the opinion of the Court, in which BLACKMUN, O'CONNOR, SCALIA, KENNEDY, and SOUTER, JJ., joined. WHITE, J., filed a dissenting opinion, in which REHNQUIST, C.J., and MARSHALL, J., joined, post, p.  277. [501 U.S. 255] </w:t>
      </w:r>
    </w:p>
    <w:p w:rsidR="00A31137" w:rsidRPr="00A31137" w:rsidRDefault="00A31137" w:rsidP="00A31137">
      <w:r w:rsidRPr="00A31137">
        <w:t>STEVENS, J., lead opinion</w:t>
      </w:r>
    </w:p>
    <w:p w:rsidR="00A31137" w:rsidRPr="00A31137" w:rsidRDefault="00A31137" w:rsidP="00A31137">
      <w:r w:rsidRPr="00A31137">
        <w:t>1991, Airports Auth. v. Citizens for Noise Abatement, 501 U.S. 255</w:t>
      </w:r>
    </w:p>
    <w:p w:rsidR="00A31137" w:rsidRPr="00A31137" w:rsidRDefault="00A31137" w:rsidP="00A31137">
      <w:r w:rsidRPr="00A31137">
        <w:t>JUSTICE STEVENS delivered the opinion of the Court.</w:t>
      </w:r>
    </w:p>
    <w:p w:rsidR="00A31137" w:rsidRPr="00A31137" w:rsidRDefault="00A31137" w:rsidP="00A31137">
      <w:r w:rsidRPr="00A31137">
        <w:t>1991, Airports Auth. v. Citizens for Noise Abatement, 501 U.S. 255</w:t>
      </w:r>
    </w:p>
    <w:p w:rsidR="00A31137" w:rsidRPr="00A31137" w:rsidRDefault="00A31137" w:rsidP="00A31137">
      <w:r w:rsidRPr="00A31137">
        <w:t>An Act of Congress authorizing the transfer of operating control of two major airports from the Federal Government to the Metropolitan Washington Airport Authority (MWAA) conditioned the transfer on the creation by MWAA of a unique "Board of Review" composed of nine Members of Congress and vested with veto power over decisions made by MWAA's Board of Directors. 1 The principal question presented is whether this unusual statutory condition violates the constitutional principle of separation of powers, as interpreted in INS v. Chadha, 462 U.S. 919 (1983), Bowsher v. Synar, 478 U.S. 714 (1986), and Springer v. Philippine Islands, 277 U.S. 189 (1928). We conclude, as did the Court of Appeals for the District of Columbia Circuit, that the condition is unconstitutional.</w:t>
      </w:r>
    </w:p>
    <w:p w:rsidR="00A31137" w:rsidRPr="00A31137" w:rsidRDefault="00A31137" w:rsidP="00A31137">
      <w:r w:rsidRPr="00A31137">
        <w:t>I</w:t>
      </w:r>
    </w:p>
    <w:p w:rsidR="00A31137" w:rsidRPr="00A31137" w:rsidRDefault="00A31137" w:rsidP="00A31137">
      <w:r w:rsidRPr="00A31137">
        <w:t>1991, Airports Auth. v. Citizens for Noise Abatement, 501 U.S. 255</w:t>
      </w:r>
    </w:p>
    <w:p w:rsidR="00A31137" w:rsidRPr="00A31137" w:rsidRDefault="00A31137" w:rsidP="00A31137">
      <w:r w:rsidRPr="00A31137">
        <w:t>In 1940, Congress authorized the Executive Branch to acquire a tract of land a few miles from the Capitol and to construct what is now Washington National Airport (National). 54 Stat. 686. From the time it opened until 1987, National was owned and operated by the Federal Government. The airport was first managed by the Civil Aeronautics Agency, a division of the Commerce Department. 54 Stat. 688. In 1959, control of National shifted to the newly created Federal Aviation Administration (FAA), an agency that, since 1967, has been a part of the Department of Transportation. See 72 Stat. 731; 80 Stat. 932, 938.</w:t>
      </w:r>
    </w:p>
    <w:p w:rsidR="00A31137" w:rsidRPr="00A31137" w:rsidRDefault="00A31137" w:rsidP="00A31137">
      <w:r w:rsidRPr="00A31137">
        <w:t>1991, Airports Auth. v. Citizens for Noise Abatement, 501 U.S. 255</w:t>
      </w:r>
    </w:p>
    <w:p w:rsidR="00A31137" w:rsidRPr="00A31137" w:rsidRDefault="00A31137" w:rsidP="00A31137">
      <w:r w:rsidRPr="00A31137">
        <w:t>A few years after National opened, the Truman Administration proposed that a federal corporation be formed to operate the airport. See Congressional Research Service, Federal Ownership of National and Dulles Airports: Background, Pro-Con Analysis, and Outlook 4 (1985) (CRS Report), reprinted in Hearings before the Subcommittee on [501 U.S. 256] Governmental Efficiency and the District of Columbia of the Senate Committee on Governmental Affairs, 99th Cong., 1st Sess., p. 404 (1985). The proposal was endorsed by the Hoover Commission in 1949, but never adopted by Congress. Instead, when Congress authorized construction of a second major airport to serve the Washington area, it again provided for federal ownership and operation. 64 Stat. 770. Dulles International Airport (Dulles) was opened in 1962 under the direct control of the FAA. See CRS Report 1-2.</w:t>
      </w:r>
    </w:p>
    <w:p w:rsidR="00A31137" w:rsidRPr="00A31137" w:rsidRDefault="00A31137" w:rsidP="00A31137">
      <w:r w:rsidRPr="00A31137">
        <w:t>1991, Airports Auth. v. Citizens for Noise Abatement, 501 U.S. 256</w:t>
      </w:r>
    </w:p>
    <w:p w:rsidR="00A31137" w:rsidRPr="00A31137" w:rsidRDefault="00A31137" w:rsidP="00A31137">
      <w:r w:rsidRPr="00A31137">
        <w:t>National and Dulles are the only two major commercial airports owned by the Federal Government. A third airport, Baltimore Washington International (BWI), which is owned by the State of Maryland, also serves the Washington metropolitan area. Like Dulles, it is larger than National and located in a rural area many miles from the Capitol. Because of its location, National is by far the busiest and most profitable of the three. 2 Although proposals for the joint operating control of all three airports have been considered, the plan that gave rise to this litigation involves only National and Dulles, both of which are located in Virginia. Maryland's interest in the overall problem explains its representation on the Board of Directors of MWAA. See 49 U.S.C. App. § 2456(e)(3)(C).</w:t>
      </w:r>
    </w:p>
    <w:p w:rsidR="00A31137" w:rsidRPr="00A31137" w:rsidRDefault="00A31137" w:rsidP="00A31137">
      <w:r w:rsidRPr="00A31137">
        <w:t>1991, Airports Auth. v. Citizens for Noise Abatement, 501 U.S. 256</w:t>
      </w:r>
    </w:p>
    <w:p w:rsidR="00A31137" w:rsidRPr="00A31137" w:rsidRDefault="00A31137" w:rsidP="00A31137">
      <w:r w:rsidRPr="00A31137">
        <w:t>Throughout its history, National has been the subject of controversy. Its location at the center of the Metropolitan area is a great convenience for air travelers, but flight paths over densely populated areas have generated concern among local residents about safety, noise, and pollution. Those living [501 U.S. 257] closest to the airport have provided the strongest support for proposals to close National or to transfer some of its operations to Dulles. See CRS Report 3.</w:t>
      </w:r>
    </w:p>
    <w:p w:rsidR="00A31137" w:rsidRPr="00A31137" w:rsidRDefault="00A31137" w:rsidP="00A31137">
      <w:r w:rsidRPr="00A31137">
        <w:t>1991, Airports Auth. v. Citizens for Noise Abatement, 501 U.S. 257</w:t>
      </w:r>
    </w:p>
    <w:p w:rsidR="00A31137" w:rsidRPr="00A31137" w:rsidRDefault="00A31137" w:rsidP="00A31137">
      <w:r w:rsidRPr="00A31137">
        <w:t>Despite the FAA's history of profitable operation of National and excellent management of both airports, the Secretary of Transportation concluded that necessary capital improvements could not be financed for either National or Dulles unless control of the airports was transferred to a regional authority with power to raise money by selling tax-exempt bonds. 3 In 1984, she therefore appointed an advisory commission to develop a plan for the creation of such a regional authority. Id. at 6.</w:t>
      </w:r>
    </w:p>
    <w:p w:rsidR="00A31137" w:rsidRPr="00A31137" w:rsidRDefault="00A31137" w:rsidP="00A31137">
      <w:r w:rsidRPr="00A31137">
        <w:t>1991, Airports Auth. v. Citizens for Noise Abatement, 501 U.S. 257</w:t>
      </w:r>
    </w:p>
    <w:p w:rsidR="00A31137" w:rsidRPr="00A31137" w:rsidRDefault="00A31137" w:rsidP="00A31137">
      <w:r w:rsidRPr="00A31137">
        <w:t>The Commission recommended that the proposed authority be created by a congressionally approved compact between Virginia and the District, and that its Board of Directors be composed of 11 members serving staggered 6-year terms, with five members to be appointed by the Governor of Virginia, three by the Mayor of the District, two by the Governor of Maryland, and one by the President, with the advice and consent of the Senate. See App. 17. Emphasizing the importance of a "nonpolitical, independent authority," the Commission recommended that members of the board "should not hold elective or appointive political office." Ibid. To allay concerns that local interests would not be adequately represented, the Commission recommended a requirement that all [501 U.S. 258] board members except the Presidential appointee reside in the Washington metropolitan area. Ibid.</w:t>
      </w:r>
    </w:p>
    <w:p w:rsidR="00A31137" w:rsidRPr="00A31137" w:rsidRDefault="00A31137" w:rsidP="00A31137">
      <w:r w:rsidRPr="00A31137">
        <w:t>1991, Airports Auth. v. Citizens for Noise Abatement, 501 U.S. 258</w:t>
      </w:r>
    </w:p>
    <w:p w:rsidR="00A31137" w:rsidRPr="00A31137" w:rsidRDefault="00A31137" w:rsidP="00A31137">
      <w:r w:rsidRPr="00A31137">
        <w:t>In 1985, Virginia and the District both passed legislation authorizing the establishment of the recommended regional authority. See 1985 Va.Acts, ch. 598; 1985 D.C.Law 647. A bill embodying the advisory commission's recommendations passed the Senate. See 132 Cong.Rec. 7263-7281 (1986). In the House of Representatives, however, the legislation encountered strong opposition from Members who expressed concern that the surrender of federal control of the airports might result in the transfer of a significant amount of traffic from National to Dulles. See Hearings on H.R. 2337, H.R. 5040, and S. 1017 before the Subcommittee on Aviation of the House Committee on Public Works &amp; Transportation, 99th Cong., 2d Sess., 1-3, 22 (1986).</w:t>
      </w:r>
    </w:p>
    <w:p w:rsidR="00A31137" w:rsidRPr="00A31137" w:rsidRDefault="00A31137" w:rsidP="00A31137">
      <w:r w:rsidRPr="00A31137">
        <w:t>1991, Airports Auth. v. Citizens for Noise Abatement, 501 U.S. 258</w:t>
      </w:r>
    </w:p>
    <w:p w:rsidR="00A31137" w:rsidRPr="00A31137" w:rsidRDefault="00A31137" w:rsidP="00A31137">
      <w:r w:rsidRPr="00A31137">
        <w:t>Substitute bills were therefore drafted to provide for the establishment of a review board with veto power over major actions of MWAA's Board of Directors. Under two of the proposals, the board of review would clearly have acted as an agent of the Congress. After Congress received an opinion from the Department of Justice that a veto of MWAA action by such a board of review "would plainly be legislative action that must conform to the requirements of Article 1, § 7 of the Constitution," 4 the Senate adopted a version of the review [501 U.S. 259] board that required Members of Congress to serve in their individual capacities as representatives of users of the airports. See 132 Cong.Rec. 28372-28375, 28504, 28521-28525 (1986). The provision was further amended in the House, id. at 32127-32144, and the Senate concurred, id. at 32483. Ultimately, § 2456(f) of the Transfer Act as enacted defined the composition and powers of the Board of Review in much greater detail than the Board of Directors. Compare 49 U.S.C. App. § 2456(f) with § 2456(e).</w:t>
      </w:r>
    </w:p>
    <w:p w:rsidR="00A31137" w:rsidRPr="00A31137" w:rsidRDefault="00A31137" w:rsidP="00A31137">
      <w:r w:rsidRPr="00A31137">
        <w:t>1991, Airports Auth. v. Citizens for Noise Abatement, 501 U.S. 259</w:t>
      </w:r>
    </w:p>
    <w:p w:rsidR="00A31137" w:rsidRPr="00A31137" w:rsidRDefault="00A31137" w:rsidP="00A31137">
      <w:r w:rsidRPr="00A31137">
        <w:t>Subparagraph (1) of § 2456(f) specifies that the Board of Review "shall consist" of nine Members of the Congress, eight of whom serve on committees with jurisdiction over transportation issues and none of whom may be a Member from Maryland, Virginia, or the District of Columbia. 5 Subparagraph [501 U.S. 260] 4(B) details the actions that must be submitted to the Board of Review for approval, which include adoption of a budget, authorization of bonds, promulgation of regulations, endorsement of a master plan, and appointment of the chief executive officer of the Authority. 6 Subparagraph 4(D) explains that disapproval by the Board will prevent submitted actions from taking effect. 7 Other significant provisions of the Act include paragraph 5, which authorizes the Board of Review to require Authority directors to consider any action relating to the airports; 8 subsection (g), which requires that any action changing the hours of operation at either National or Dulles be taken by regulation, and therefore be subject to veto by the Board of Review; 9 and [501 U.S. 261] subsection (h), which contains a provision disabling MWAA's Board of Directors from performing any action subject to the veto power if a court should hold that the Board of Review provisions of the Act are invalid. 10</w:t>
      </w:r>
    </w:p>
    <w:p w:rsidR="00A31137" w:rsidRPr="00A31137" w:rsidRDefault="00A31137" w:rsidP="00A31137">
      <w:r w:rsidRPr="00A31137">
        <w:t>1991, Airports Auth. v. Citizens for Noise Abatement, 501 U.S. 261</w:t>
      </w:r>
    </w:p>
    <w:p w:rsidR="00A31137" w:rsidRPr="00A31137" w:rsidRDefault="00A31137" w:rsidP="00A31137">
      <w:r w:rsidRPr="00A31137">
        <w:t>On March 2, 1987, the Secretary of Transportation and the MWAA entered into a long-term lease complying with all of the conditions specified in the then recently enacted Transfer Act. See App. to Pet. for Cert. 163a-187a. The lease provided for a 50-year term and annual rental payments of three million dollars "in 1987 dollars." Id. at 170a, 178a. After the lease was executed, MWAA's Board of Directors adopted bylaws providing for the Board of Review, id. at 151a-154a, and Virginia and the District of Columbia amended their legislation to give MWAA power to establish the Board of Review, 1987 Va.Acts, ch. 665; 1987 D.C.Law 7-18. On September 2, 1987, the directors appointed the nine members of the Board of Review from lists that had been submitted by the Speaker of the House of Representatives and the President pro tempore of the Senate. App. 57-58.</w:t>
      </w:r>
    </w:p>
    <w:p w:rsidR="00A31137" w:rsidRPr="00A31137" w:rsidRDefault="00A31137" w:rsidP="00A31137">
      <w:r w:rsidRPr="00A31137">
        <w:t>1991, Airports Auth. v. Citizens for Noise Abatement, 501 U.S. 261</w:t>
      </w:r>
    </w:p>
    <w:p w:rsidR="00A31137" w:rsidRPr="00A31137" w:rsidRDefault="00A31137" w:rsidP="00A31137">
      <w:r w:rsidRPr="00A31137">
        <w:t>On March 16, 1988, MWAA's Board of Directors adopted a master plan providing for the construction of a new terminal at National with gates capable of handling larger aircraft, an additional taxiway turnoff to reduce aircraft time on the runway and thereby improve airport capacity, a new dual-level roadway system, and new parking facilities. Id. at 70-71, 89-91. On April 13, the Board of Review met and voted not to disapprove the master plan. Id. at 73-78.</w:t>
      </w:r>
    </w:p>
    <w:p w:rsidR="00A31137" w:rsidRPr="00A31137" w:rsidRDefault="00A31137" w:rsidP="00A31137">
      <w:r w:rsidRPr="00A31137">
        <w:t>II</w:t>
      </w:r>
    </w:p>
    <w:p w:rsidR="00A31137" w:rsidRPr="00A31137" w:rsidRDefault="00A31137" w:rsidP="00A31137">
      <w:r w:rsidRPr="00A31137">
        <w:t>1991, Airports Auth. v. Citizens for Noise Abatement, 501 U.S. 261</w:t>
      </w:r>
    </w:p>
    <w:p w:rsidR="00A31137" w:rsidRPr="00A31137" w:rsidRDefault="00A31137" w:rsidP="00A31137">
      <w:r w:rsidRPr="00A31137">
        <w:t>In November, 1988, Citizens for the Abatement of Aircraft Noise, Inc., and two individuals who reside under flight [501 U.S. 262] paths of aircraft departing from and arriving at National (collectively CAAN) brought this action. CAAN sought a declaration that the Board of Review's power to veto actions of MWAA's Board of Directors is unconstitutional, and an injunction against any action by the Board of Review, as well as any action by the Board of Directors that is subject to Board of Review approval. Id. at 10. The complaint alleged that most of the members of CAAN live under flight paths to and from National, and that CAAN's primary purpose is to develop and implement a transportation policy for the Washington area that would include balanced service among its three major airports, thus reducing the operations at National and alleviating noise, safety, and air pollution problems associated with such operations. Id. at 4. The complaint named MWAA and its Board of Review as defendants. Id. at 5.</w:t>
      </w:r>
    </w:p>
    <w:p w:rsidR="00A31137" w:rsidRPr="00A31137" w:rsidRDefault="00A31137" w:rsidP="00A31137">
      <w:r w:rsidRPr="00A31137">
        <w:t>1991, Airports Auth. v. Citizens for Noise Abatement, 501 U.S. 262</w:t>
      </w:r>
    </w:p>
    <w:p w:rsidR="00A31137" w:rsidRPr="00A31137" w:rsidRDefault="00A31137" w:rsidP="00A31137">
      <w:r w:rsidRPr="00A31137">
        <w:t>The District Court granted the defendants' motion for summary judgment. 718 F.Supp. 974 (DC 1989). As a preliminary matter, however, the court held that plaintiffs had standing to maintain the action for two reasons: 11 first, because the master plan will facilitate increased activity at National that is harmful to plaintiffs, and second, because the composition of the Board of Review diminishes the influence of CAAN on airport user issues, since local congressmen and senators are ineligible for service on the Board. Id. at 980-982. On the merits, the District Court concluded that there was no violation of the doctrine of separation of powers, because the members of the Board of Review acted in their individual capacities as representatives of airport users, and therefore the Board was not an agent of Congress. Id. at 985. Moreover, the Board's powers were derived from the legislation enacted by Virginia and the District, as implemented by MWAA's bylaws, rather than from the Transfer [501 U.S. 263] Act. Id. at 986. "In short, because Congress exercises no federal power under the Act, it cannot overstep its constitutionally designated bounds." Ibid.</w:t>
      </w:r>
    </w:p>
    <w:p w:rsidR="00A31137" w:rsidRPr="00A31137" w:rsidRDefault="00A31137" w:rsidP="00A31137">
      <w:r w:rsidRPr="00A31137">
        <w:t>1991, Airports Auth. v. Citizens for Noise Abatement, 501 U.S. 263</w:t>
      </w:r>
    </w:p>
    <w:p w:rsidR="00A31137" w:rsidRPr="00A31137" w:rsidRDefault="00A31137" w:rsidP="00A31137">
      <w:r w:rsidRPr="00A31137">
        <w:t>A divided panel of the Court of Appeals for the District of Columbia Circuit reversed. 286 U.S.App.D.C. 334, 917 F.2d 48 (1990). The court agreed that plaintiffs had standing, because they had alleged a distinct and palpable injury that was "fairly traceable" to the implementation of the master plan, and a favorable ruling would prevent MWAA from implementing that plan. Id. at 339, 917 F.2d at 53. On the merits, the majority concluded that it was "wholly unrealistic to view the Board of Review as solely a creature of state law immune to separation of powers scrutiny," because it was federal law that had required the establishment of the Board and defined its powers. Id. at 340, 917 F.2d at 54. It held that the Board was, "in essence, a congressional agent" with disapproval powers over key operational decisions that were "quintessentially executive," id. at 343, 917 F.2d at 57, and therefore violated the separation of powers, ibid. The dissenting judge, emphasizing the importance of construing federal statutes to avoid constitutional questions when fairly possible, concluded that the Board of Review should not be characterized as a federal entity, but that, even if it were so characterized, its members could, consistent with the Constitution, serve in their individual capacities, even though they were Members of Congress. Id. at 345-347, 917 F.2d at 59-61.</w:t>
      </w:r>
    </w:p>
    <w:p w:rsidR="00A31137" w:rsidRPr="00A31137" w:rsidRDefault="00A31137" w:rsidP="00A31137">
      <w:r w:rsidRPr="00A31137">
        <w:t>1991, Airports Auth. v. Citizens for Noise Abatement, 501 U.S. 263</w:t>
      </w:r>
    </w:p>
    <w:p w:rsidR="00A31137" w:rsidRPr="00A31137" w:rsidRDefault="00A31137" w:rsidP="00A31137">
      <w:r w:rsidRPr="00A31137">
        <w:t>Because of the importance of the constitutional question, we granted MWAA's petition for certiorari. 498 U.S. 1045-1046 (1991). Although the United States intervened in the Court of Appeals to support the constitutionality of the Transfer Act, see 28 U.S.C. § 2403(a), the United States did not join in MWAA's petition for certiorari. As a respondent in this Court pursuant to this Court's Rule 12.4, the United [501 U.S. 264] States has again taken the position that the Transfer Act is constitutional. 12</w:t>
      </w:r>
    </w:p>
    <w:p w:rsidR="00A31137" w:rsidRPr="00A31137" w:rsidRDefault="00A31137" w:rsidP="00A31137">
      <w:r w:rsidRPr="00A31137">
        <w:t>III</w:t>
      </w:r>
    </w:p>
    <w:p w:rsidR="00A31137" w:rsidRPr="00A31137" w:rsidRDefault="00A31137" w:rsidP="00A31137">
      <w:r w:rsidRPr="00A31137">
        <w:t>1991, Airports Auth. v. Citizens for Noise Abatement, 501 U.S. 264</w:t>
      </w:r>
    </w:p>
    <w:p w:rsidR="00A31137" w:rsidRPr="00A31137" w:rsidRDefault="00A31137" w:rsidP="00A31137">
      <w:r w:rsidRPr="00A31137">
        <w:t>Petitioners (MWAA and the Board of Review) renew the challenge to respondents' standing that was rejected by the District Court and the Court of Appeals. To establish standing, respondents</w:t>
      </w:r>
    </w:p>
    <w:p w:rsidR="00A31137" w:rsidRPr="00A31137" w:rsidRDefault="00A31137" w:rsidP="00A31137">
      <w:r w:rsidRPr="00A31137">
        <w:t>1991, Airports Auth. v. Citizens for Noise Abatement, 501 U.S. 264</w:t>
      </w:r>
    </w:p>
    <w:p w:rsidR="00A31137" w:rsidRPr="00A31137" w:rsidRDefault="00A31137" w:rsidP="00A31137">
      <w:r w:rsidRPr="00A31137">
        <w:t>must allege personal injury fairly traceable to the defendant's allegedly unlawful conduct and likely to be redressed by the requested relief.</w:t>
      </w:r>
    </w:p>
    <w:p w:rsidR="00A31137" w:rsidRPr="00A31137" w:rsidRDefault="00A31137" w:rsidP="00A31137">
      <w:r w:rsidRPr="00A31137">
        <w:t>1991, Airports Auth. v. Citizens for Noise Abatement, 501 U.S. 264</w:t>
      </w:r>
    </w:p>
    <w:p w:rsidR="00A31137" w:rsidRPr="00A31137" w:rsidRDefault="00A31137" w:rsidP="00A31137">
      <w:r w:rsidRPr="00A31137">
        <w:t>Allen v. Wright, 468 U.S. 737,  751 (1984). Petitioners argue that respondents' asserted injuries are caused by factors independent of the Board of Review's veto power, and that the injuries will not be cured by invalidation of the Board of Review. We believe that petitioners are mistaken.</w:t>
      </w:r>
    </w:p>
    <w:p w:rsidR="00A31137" w:rsidRPr="00A31137" w:rsidRDefault="00A31137" w:rsidP="00A31137">
      <w:r w:rsidRPr="00A31137">
        <w:t>1991, Airports Auth. v. Citizens for Noise Abatement, 501 U.S. 264</w:t>
      </w:r>
    </w:p>
    <w:p w:rsidR="00A31137" w:rsidRPr="00A31137" w:rsidRDefault="00A31137" w:rsidP="00A31137">
      <w:r w:rsidRPr="00A31137">
        <w:t>Respondents alleged that the master plan allows increased air traffic at National and a consequent increase in accident risks, noise, and pollution. App. 10.</w:t>
      </w:r>
    </w:p>
    <w:p w:rsidR="00A31137" w:rsidRPr="00A31137" w:rsidRDefault="00A31137" w:rsidP="00A31137">
      <w:r w:rsidRPr="00A31137">
        <w:t>1991, Airports Auth. v. Citizens for Noise Abatement, 501 U.S. 264</w:t>
      </w:r>
    </w:p>
    <w:p w:rsidR="00A31137" w:rsidRPr="00A31137" w:rsidRDefault="00A31137" w:rsidP="00A31137">
      <w:r w:rsidRPr="00A31137">
        <w:t>For purposes of ruling on a motion to dismiss for want of standing, both the trial and reviewing courts must accept as true all material allegations of the complaint.</w:t>
      </w:r>
    </w:p>
    <w:p w:rsidR="00A31137" w:rsidRPr="00A31137" w:rsidRDefault="00A31137" w:rsidP="00A31137">
      <w:r w:rsidRPr="00A31137">
        <w:t>1991, Airports Auth. v. Citizens for Noise Abatement, 501 U.S. 264</w:t>
      </w:r>
    </w:p>
    <w:p w:rsidR="00A31137" w:rsidRPr="00A31137" w:rsidRDefault="00A31137" w:rsidP="00A31137">
      <w:r w:rsidRPr="00A31137">
        <w:t>Warth v. Seldin, 422 U.S. 490, 501 (1975). If we accept that the master plan's provisions will result in increased noise, pollution, and danger of accidents, [501 U.S. 265] this "personal injury" to respondents is "fairly traceable" to the Board of Review's veto power, because knowledge that the master plan was subject to the veto power undoubtedly influenced MWAA's Board of Directors when it drew up the plan. Because invalidation of the veto power will prevent the enactment of the master plan, see 49 U.S.C. App. § 2456(h), the relief respondents have requested is likely to redress their alleged injury. Moreover, the harm respondents have alleged is not confined to the consequences of a possible increase in the level of activity at National. The harm also includes the creation of an impediment to a reduction in that activity. See App. 8. The Board of Review was created by Congress as a mechanism to preserve operations at National at their present level, or at a higher level if possible. See supra at  258. The Board of Review and the Master Plan, which even petitioners acknowledge is, at a minimum, "noise-neutral," Brief for Petitioners 37-38, therefore injure CAAN by making it more difficult for CAAN to reduce noise and activity at National. 13</w:t>
      </w:r>
    </w:p>
    <w:p w:rsidR="00A31137" w:rsidRPr="00A31137" w:rsidRDefault="00A31137" w:rsidP="00A31137">
      <w:r w:rsidRPr="00A31137">
        <w:t>IV</w:t>
      </w:r>
    </w:p>
    <w:p w:rsidR="00A31137" w:rsidRPr="00A31137" w:rsidRDefault="00A31137" w:rsidP="00A31137">
      <w:r w:rsidRPr="00A31137">
        <w:t>1991, Airports Auth. v. Citizens for Noise Abatement, 501 U.S. 265</w:t>
      </w:r>
    </w:p>
    <w:p w:rsidR="00A31137" w:rsidRPr="00A31137" w:rsidRDefault="00A31137" w:rsidP="00A31137">
      <w:r w:rsidRPr="00A31137">
        <w:t xml:space="preserve">Petitioners argue that this case does not raise any separation of powers issue, because the Board of Review neither exercises federal power nor acts as an agent of Congress. Examining the origin and structure of the Board, we conclude that petitioners are incorrect. [501 U.S. 266] </w:t>
      </w:r>
    </w:p>
    <w:p w:rsidR="00A31137" w:rsidRPr="00A31137" w:rsidRDefault="00A31137" w:rsidP="00A31137">
      <w:r w:rsidRPr="00A31137">
        <w:t>1991, Airports Auth. v. Citizens for Noise Abatement, 501 U.S. 266</w:t>
      </w:r>
    </w:p>
    <w:p w:rsidR="00A31137" w:rsidRPr="00A31137" w:rsidRDefault="00A31137" w:rsidP="00A31137">
      <w:r w:rsidRPr="00A31137">
        <w:t>Petitioners lay great stress on the fact that the Board of Review was established by the bylaws of MWAA, which was created by legislation enacted by the State of Virginia and the District of Columbia. Putting aside the unsettled question whether the District of Columbia acts as a State or as an agent of the Federal Government for separation of powers purposes, we believe the fact that the Board of Review was created by state enactments is not enough to immunize it from separation of powers review. Several factors combine to mandate this result.</w:t>
      </w:r>
    </w:p>
    <w:p w:rsidR="00A31137" w:rsidRPr="00A31137" w:rsidRDefault="00A31137" w:rsidP="00A31137">
      <w:r w:rsidRPr="00A31137">
        <w:t>1991, Airports Auth. v. Citizens for Noise Abatement, 501 U.S. 266</w:t>
      </w:r>
    </w:p>
    <w:p w:rsidR="00A31137" w:rsidRPr="00A31137" w:rsidRDefault="00A31137" w:rsidP="00A31137">
      <w:r w:rsidRPr="00A31137">
        <w:t>Control over National and Dulles was originally in federal hands, and was transferred to MWAA only subject to the condition that the States create the Board of Review. Congress placed such significance on the Board that it required that the Board's invalidation prevent the Airports Authority from taking any action that would have been subject to Board oversight. See 49 U.S.C. App. § 2456(h). Moreover, the Federal Government has a strong and continuing interest in the efficient operation of the airports, which are vital to the smooth conduct of Government business, especially to the work of Congress, whose Members must maintain offices in both Washington and the districts that they represent, and must shuttle back and forth according to the dictates of busy and often unpredictable schedules. This federal interest was identified in the preamble to the Transfer Act, 14 justified a Presidential appointee on the Board of Directors, and motivated the creation of the Board of Review, the structure and the powers of which Congress mandated in detail, see § 2456(f). Most significant, [501 U.S. 267] membership on the Board of Review is limited to federal officials, specifically members of congressional committees charged with authority over air transportation.</w:t>
      </w:r>
    </w:p>
    <w:p w:rsidR="00A31137" w:rsidRPr="00A31137" w:rsidRDefault="00A31137" w:rsidP="00A31137">
      <w:r w:rsidRPr="00A31137">
        <w:t>1991, Airports Auth. v. Citizens for Noise Abatement, 501 U.S. 267</w:t>
      </w:r>
    </w:p>
    <w:p w:rsidR="00A31137" w:rsidRPr="00A31137" w:rsidRDefault="00A31137" w:rsidP="00A31137">
      <w:r w:rsidRPr="00A31137">
        <w:t>That the Members of Congress who serve on the Board nominally serve "in their individual capacities, as representatives of users" of the airports, § 2456(f)(1), does not prevent this group of officials from qualifying as a congressional agent exercising federal authority for separation-of-powers purposes. As we recently held, "separation of powers analysis does not turn on the labeling of an activity," Mistretta v. United State, 488 U.S. 361,  393 (1989). The Transfer Act imposes no requirement that the Members of Congress who are appointed to the Board actually be users of the airports. Rather, the Act imposes the requirement that the Board members have congressional responsibilities related to the federal regulation of air transportation regulation. These facts belie the ipse dixit that the Board members will act "in their individual capacities."</w:t>
      </w:r>
    </w:p>
    <w:p w:rsidR="00A31137" w:rsidRPr="00A31137" w:rsidRDefault="00A31137" w:rsidP="00A31137">
      <w:r w:rsidRPr="00A31137">
        <w:t>1991, Airports Auth. v. Citizens for Noise Abatement, 501 U.S. 267</w:t>
      </w:r>
    </w:p>
    <w:p w:rsidR="00A31137" w:rsidRPr="00A31137" w:rsidRDefault="00A31137" w:rsidP="00A31137">
      <w:r w:rsidRPr="00A31137">
        <w:t>Although the legislative history is not necessary to our conclusion that the Board members act in their official congressional capacities, the floor debates in the House confirm our view. See, e.g., 132 Cong.Rec. 32135 (1986) (The bill "also provides for continuing congressional review over the major decisions of the new airport authority. A Congressional Board will still have veto power over the new airport authority's: annual budget; issuance of bonds; regulations; master plan; and the naming of the Chief Executive Officer") (Rep. Lehman); id. at 32136 ("In addition, the motion provides continued congressional control over both airports. Congress would retain oversight through a Board of Review made up of nine Members of Congress. This Board would have the right to overturn major decisions of the airport authority") (Rep. Coughlin); id. at 32137 ("Under this plan, Congress retains enough control of the airports to deal with any unseen pitfalls resulting from this transfer of authority…. [501 U.S. 268] We are getting our cake and eating it too…. The beauty of the deal is that Congress retains its control without spending a dime") (Rep. Smith); id. at 32141 ("There is, however, a congressional board which is established by this…. [T]hat board has been established to make sure that the Nation's interest, the congressional interest was attended to in the consideration of how these two airports are operated") (Rep. Hoyer); id. at 32142 (The bill does "not give up congressional control and oversight—that remains in a Congressional Board of review") (Rep. Conte); id. at 32143 ("I understand that one concern of Members is that, by leasing these airports to a local authority, we would be losing control over them. But, in fact, under this bill, exactly the opposite is true. We will have more control than before") (Rep. Hammerschmidt).</w:t>
      </w:r>
    </w:p>
    <w:p w:rsidR="00A31137" w:rsidRPr="00A31137" w:rsidRDefault="00A31137" w:rsidP="00A31137">
      <w:r w:rsidRPr="00A31137">
        <w:t>1991, Airports Auth. v. Citizens for Noise Abatement, 501 U.S. 268</w:t>
      </w:r>
    </w:p>
    <w:p w:rsidR="00A31137" w:rsidRPr="00A31137" w:rsidRDefault="00A31137" w:rsidP="00A31137">
      <w:r w:rsidRPr="00A31137">
        <w:t>Congress, as a body, also exercises substantial power over the appointment and removal of the particular Members of Congress who serve on the Board. The Transfer Act provides that the Board "shall consist" of</w:t>
      </w:r>
    </w:p>
    <w:p w:rsidR="00A31137" w:rsidRPr="00A31137" w:rsidRDefault="00A31137" w:rsidP="00A31137">
      <w:r w:rsidRPr="00A31137">
        <w:t>1991, Airports Auth. v. Citizens for Noise Abatement, 501 U.S. 268</w:t>
      </w:r>
    </w:p>
    <w:p w:rsidR="00A31137" w:rsidRPr="00A31137" w:rsidRDefault="00A31137" w:rsidP="00A31137">
      <w:r w:rsidRPr="00A31137">
        <w:t>two members of the Public Works and Transportation Committee and two members of the Appropriations Committee of the House of Representatives from a list provided by the Speaker of the House,</w:t>
      </w:r>
    </w:p>
    <w:p w:rsidR="00A31137" w:rsidRPr="00A31137" w:rsidRDefault="00A31137" w:rsidP="00A31137">
      <w:r w:rsidRPr="00A31137">
        <w:t>1991, Airports Auth. v. Citizens for Noise Abatement, 501 U.S. 268</w:t>
      </w:r>
    </w:p>
    <w:p w:rsidR="00A31137" w:rsidRPr="00A31137" w:rsidRDefault="00A31137" w:rsidP="00A31137">
      <w:r w:rsidRPr="00A31137">
        <w:t>two members of the Commerce, Science, and Transportation Committee and two members of the Appropriations Committee of the Senate from a list provided by the President pro tempore of the Senate,</w:t>
      </w:r>
    </w:p>
    <w:p w:rsidR="00A31137" w:rsidRPr="00A31137" w:rsidRDefault="00A31137" w:rsidP="00A31137">
      <w:r w:rsidRPr="00A31137">
        <w:t>1991, Airports Auth. v. Citizens for Noise Abatement, 501 U.S. 268</w:t>
      </w:r>
    </w:p>
    <w:p w:rsidR="00A31137" w:rsidRPr="00A31137" w:rsidRDefault="00A31137" w:rsidP="00A31137">
      <w:r w:rsidRPr="00A31137">
        <w:t>and</w:t>
      </w:r>
    </w:p>
    <w:p w:rsidR="00A31137" w:rsidRPr="00A31137" w:rsidRDefault="00A31137" w:rsidP="00A31137">
      <w:r w:rsidRPr="00A31137">
        <w:t>1991, Airports Auth. v. Citizens for Noise Abatement, 501 U.S. 268</w:t>
      </w:r>
    </w:p>
    <w:p w:rsidR="00A31137" w:rsidRPr="00A31137" w:rsidRDefault="00A31137" w:rsidP="00A31137">
      <w:r w:rsidRPr="00A31137">
        <w:t>one member chosen alternately…from a list provided by the Speaker of the House or the President pro tempore of the Senate, respectively.</w:t>
      </w:r>
    </w:p>
    <w:p w:rsidR="00A31137" w:rsidRPr="00A31137" w:rsidRDefault="00A31137" w:rsidP="00A31137">
      <w:r w:rsidRPr="00A31137">
        <w:t>1991, Airports Auth. v. Citizens for Noise Abatement, 501 U.S. 268</w:t>
      </w:r>
    </w:p>
    <w:p w:rsidR="00A31137" w:rsidRPr="00A31137" w:rsidRDefault="00A31137" w:rsidP="00A31137">
      <w:r w:rsidRPr="00A31137">
        <w:t>49 U.S.C. App. § 2456(f)(1). Significantly, appointments must be made from the lists, and there is no requirement that the lists contain more recommendations than the number of Board openings. Cf. 28 U.S.C. § 991(a) (Sentencing Reform Act upheld in Mistretta required only that the President "conside[r]" the recommendations of the Judicial Conference); 31 U.S.C. § 703(a) (Congressional [501 U.S. 269] Commission only "recommend[s]" individuals for selection as Comptroller General). The list system, combined with congressional authority over committee assignments, guarantees Congress effective control over appointments. Control over committee assignments also gives Congress effective removal power over Board members, because depriving a Board member of membership in the relevant committees deprives the member of authority to sit on the Board. See 49 U.S.C. App. § 2456(f)(1) (Board "shall consist" of relevant committee members). 15</w:t>
      </w:r>
    </w:p>
    <w:p w:rsidR="00A31137" w:rsidRPr="00A31137" w:rsidRDefault="00A31137" w:rsidP="00A31137">
      <w:r w:rsidRPr="00A31137">
        <w:t>1991, Airports Auth. v. Citizens for Noise Abatement, 501 U.S. 269</w:t>
      </w:r>
    </w:p>
    <w:p w:rsidR="00A31137" w:rsidRPr="00A31137" w:rsidRDefault="00A31137" w:rsidP="00A31137">
      <w:r w:rsidRPr="00A31137">
        <w:t>We thus confront an entity created at the initiative of Congress, the powers of which Congress has delineated, the purpose of which is to protect an acknowledged federal interest, and membership in which is restricted to congressional officials. Such an entity necessarily exercises sufficient federal power as an agent of Congress to mandate separation of powers scrutiny. Any other conclusion would permit Congress to evade the "carefully crafted" constraints of the Constitution, INS v. Chadha, 462 U.S. 919,  959 (1983), simply by delegating primary responsibility for execution of national [501 U.S. 270] policy to the States, subject to the veto power of Members of Congress acting "in their individual capacities." Cf. Bowsher v. Synar, 478 U.S. 714,  755 (1986) (STEVENS, J., concurring in judgment). 16</w:t>
      </w:r>
    </w:p>
    <w:p w:rsidR="00A31137" w:rsidRPr="00A31137" w:rsidRDefault="00A31137" w:rsidP="00A31137">
      <w:r w:rsidRPr="00A31137">
        <w:t>1991, Airports Auth. v. Citizens for Noise Abatement, 501 U.S. 270</w:t>
      </w:r>
    </w:p>
    <w:p w:rsidR="00A31137" w:rsidRPr="00A31137" w:rsidRDefault="00A31137" w:rsidP="00A31137">
      <w:r w:rsidRPr="00A31137">
        <w:t>Petitioners contend that the Board of Review should nevertheless be immune from scrutiny for constitutional defects because it was created in the course of Congress' exercise of its power to dispose of federal property. See U.S.Const., Art. IV, § 3, cl. 2. 17 In South Dakota v. Dole, 483 U.S. 203 (1987), we held that a grant of highway funds to a State conditioned on the State's prohibition of the possession of alcoholic beverages by persons under the age of 21 was a lawful exercise of Congress' power to spend money for the general welfare. See U.S.Const., Art. I, § 8, cl. 1. Even assuming that "Congress might lack the power to impose a national minimum drinking age directly," we held that this indirect "encouragement to state action" was a valid use of the spending power. Id. at  212. We thus concluded that Congress could endeavor to accomplish the federal objective of regulating the national drinking age by the indirect use of the spending power even though that regulatory authority [501 U.S. 271] would otherwise be a matter within state control pursuant to the Twenty-first Amendment. 18</w:t>
      </w:r>
    </w:p>
    <w:p w:rsidR="00A31137" w:rsidRPr="00A31137" w:rsidRDefault="00A31137" w:rsidP="00A31137">
      <w:r w:rsidRPr="00A31137">
        <w:t>1991, Airports Auth. v. Citizens for Noise Abatement, 501 U.S. 271</w:t>
      </w:r>
    </w:p>
    <w:p w:rsidR="00A31137" w:rsidRPr="00A31137" w:rsidRDefault="00A31137" w:rsidP="00A31137">
      <w:r w:rsidRPr="00A31137">
        <w:t>Our holding in Dole did not involve separation of powers principles. It concerned only the allocation of power between the Federal Government and the States. Our reasoning that, absent coercion, a Sovereign State has both the incentive and the ability to protect its own rights and powers, and therefore may cede such rights and powers, see id. at 210-211, is inapplicable to the issue presented by this case. Here, unlike Dole, there is no question about federal power to operate the airports. The question is whether the maintenance of federal control over the airports by means of the Board of Review, which is allegedly a federal instrumentality, is invalid, not because it invades any state power, but because Congress' continued control violates the separation-of-powers principle, the aim of which is to protect not the States, but "the whole people from improvident laws." Chadha, at  951. Nothing in our opinion in Dole implied that a highway grant to a State could have been conditioned on the State's creating a "Highway Board of Review" composed of Members of Congress. We must therefore consider whether the powers of the Board of Review may, consistent with the separation of powers, be exercised by an agent of Congress.</w:t>
      </w:r>
    </w:p>
    <w:p w:rsidR="00A31137" w:rsidRPr="00A31137" w:rsidRDefault="00A31137" w:rsidP="00A31137">
      <w:r w:rsidRPr="00A31137">
        <w:t>V</w:t>
      </w:r>
    </w:p>
    <w:p w:rsidR="00A31137" w:rsidRPr="00A31137" w:rsidRDefault="00A31137" w:rsidP="00A31137">
      <w:r w:rsidRPr="00A31137">
        <w:t>1991, Airports Auth. v. Citizens for Noise Abatement, 501 U.S. 271</w:t>
      </w:r>
    </w:p>
    <w:p w:rsidR="00A31137" w:rsidRPr="00A31137" w:rsidRDefault="00A31137" w:rsidP="00A31137">
      <w:r w:rsidRPr="00A31137">
        <w:t>Because National and Dulles are the property of the Federal Government and their operations directly affect interstate [501 U.S. 272] commerce, there is no doubt concerning the ultimate power of Congress to enact legislation defining the policies that govern those operations. Congress itself can formulate the details, or it can enact general standards and assign to the Executive Branch the responsibility for making necessary managerial decisions in conformance with those standards. The question presented is only whether the Legislature has followed a constitutionally acceptable procedure in delegating decisionmaking authority to the Board of Review.</w:t>
      </w:r>
    </w:p>
    <w:p w:rsidR="00A31137" w:rsidRPr="00A31137" w:rsidRDefault="00A31137" w:rsidP="00A31137">
      <w:r w:rsidRPr="00A31137">
        <w:t>1991, Airports Auth. v. Citizens for Noise Abatement, 501 U.S. 272</w:t>
      </w:r>
    </w:p>
    <w:p w:rsidR="00A31137" w:rsidRPr="00A31137" w:rsidRDefault="00A31137" w:rsidP="00A31137">
      <w:r w:rsidRPr="00A31137">
        <w:t>The structure of our Government as conceived by the Framers of our Constitution disperses the federal power among the three branches—the Legislative, the Executive, and the Judicial—placing both substantive and procedural limitations on each. The ultimate purpose of this separation of powers is to protect the liberty and security of the governed. As former Attorney General Levi explained:</w:t>
      </w:r>
    </w:p>
    <w:p w:rsidR="00A31137" w:rsidRPr="00A31137" w:rsidRDefault="00A31137" w:rsidP="00A31137">
      <w:r w:rsidRPr="00A31137">
        <w:t>1991, Airports Auth. v. Citizens for Noise Abatement, 501 U.S. 272</w:t>
      </w:r>
    </w:p>
    <w:p w:rsidR="00A31137" w:rsidRPr="00A31137" w:rsidRDefault="00A31137" w:rsidP="00A31137">
      <w:r w:rsidRPr="00A31137">
        <w:t>The essence of the separation of powers concept formulated by the Founders from the political experience and philosophy of the revolutionary era is that each branch, in different ways, within the sphere of its defined powers and subject to the distinct institutional responsibilities of the others, is essential to the liberty and security of the people. Each branch, in its own way, is the people's agent, its fiduciary for certain purposes.</w:t>
      </w:r>
    </w:p>
    <w:p w:rsidR="00A31137" w:rsidRPr="00A31137" w:rsidRDefault="00A31137" w:rsidP="00A31137">
      <w:r w:rsidRPr="00A31137">
        <w:t>*    *    *    *</w:t>
      </w:r>
    </w:p>
    <w:p w:rsidR="00A31137" w:rsidRPr="00A31137" w:rsidRDefault="00A31137" w:rsidP="00A31137">
      <w:r w:rsidRPr="00A31137">
        <w:t>1991, Airports Auth. v. Citizens for Noise Abatement, 501 U.S. 272</w:t>
      </w:r>
    </w:p>
    <w:p w:rsidR="00A31137" w:rsidRPr="00A31137" w:rsidRDefault="00A31137" w:rsidP="00A31137">
      <w:r w:rsidRPr="00A31137">
        <w:t>Fiduciaries do not meet their obligations by arrogating to themselves the distinct duties of their master's other agents.</w:t>
      </w:r>
    </w:p>
    <w:p w:rsidR="00A31137" w:rsidRPr="00A31137" w:rsidRDefault="00A31137" w:rsidP="00A31137">
      <w:r w:rsidRPr="00A31137">
        <w:t>1991, Airports Auth. v. Citizens for Noise Abatement, 501 U.S. 272</w:t>
      </w:r>
    </w:p>
    <w:p w:rsidR="00A31137" w:rsidRPr="00A31137" w:rsidRDefault="00A31137" w:rsidP="00A31137">
      <w:r w:rsidRPr="00A31137">
        <w:t>Levi, Some Aspects of Separation of Powers, 76 Colum.L.Rev. 385-386 (1976).</w:t>
      </w:r>
    </w:p>
    <w:p w:rsidR="00A31137" w:rsidRPr="00A31137" w:rsidRDefault="00A31137" w:rsidP="00A31137">
      <w:r w:rsidRPr="00A31137">
        <w:t>1991, Airports Auth. v. Citizens for Noise Abatement, 501 U.S. 272</w:t>
      </w:r>
    </w:p>
    <w:p w:rsidR="00A31137" w:rsidRPr="00A31137" w:rsidRDefault="00A31137" w:rsidP="00A31137">
      <w:r w:rsidRPr="00A31137">
        <w:t xml:space="preserve">Violations of the separation of powers principle have been uncommon, because each branch has traditionally respected the prerogatives of the other two. Nevertheless, the Court has been sensitive to its responsibility to enforce the principle when necessary. [501 U.S. 273] </w:t>
      </w:r>
    </w:p>
    <w:p w:rsidR="00A31137" w:rsidRPr="00A31137" w:rsidRDefault="00A31137" w:rsidP="00A31137">
      <w:r w:rsidRPr="00A31137">
        <w:t>1991, Airports Auth. v. Citizens for Noise Abatement, 501 U.S. 273</w:t>
      </w:r>
    </w:p>
    <w:p w:rsidR="00A31137" w:rsidRPr="00A31137" w:rsidRDefault="00A31137" w:rsidP="00A31137">
      <w:r w:rsidRPr="00A31137">
        <w:t>Time and again, we have reaffirmed the importance in our constitutional scheme of the separation of governmental powers into the three coordinate branches. See, e.g., Bowsher v. Synar, 478 U.S. at  725 (citing Humphrey's Executor, 295 U.S. [602], at 629-630 (1935)). As we stated in Buckley v. Valeo, 424 U.S. 1 (1976), the system of separated powers and checks and balances established in the Constitution was regarded by the Framers as "self-executing safeguard against the encroachment or aggrandizement of one branch at the expense of the other." Id. at  122. We have not hesitated to invalidate provisions of law which violate this principle. See id. at  123.</w:t>
      </w:r>
    </w:p>
    <w:p w:rsidR="00A31137" w:rsidRPr="00A31137" w:rsidRDefault="00A31137" w:rsidP="00A31137">
      <w:r w:rsidRPr="00A31137">
        <w:t>1991, Airports Auth. v. Citizens for Noise Abatement, 501 U.S. 273</w:t>
      </w:r>
    </w:p>
    <w:p w:rsidR="00A31137" w:rsidRPr="00A31137" w:rsidRDefault="00A31137" w:rsidP="00A31137">
      <w:r w:rsidRPr="00A31137">
        <w:t>Morrison v. Olson, 487 U.S. 654,  693 (1988).</w:t>
      </w:r>
    </w:p>
    <w:p w:rsidR="00A31137" w:rsidRPr="00A31137" w:rsidRDefault="00A31137" w:rsidP="00A31137">
      <w:r w:rsidRPr="00A31137">
        <w:t>1991, Airports Auth. v. Citizens for Noise Abatement, 501 U.S. 273</w:t>
      </w:r>
    </w:p>
    <w:p w:rsidR="00A31137" w:rsidRPr="00A31137" w:rsidRDefault="00A31137" w:rsidP="00A31137">
      <w:r w:rsidRPr="00A31137">
        <w:t>The abuses by the monarch recounted in the Declaration of Independence provide dramatic evidence of the threat to liberty posed by a too powerful executive. But, as James Madison recognized, the representatives of the majority in a democratic society, if unconstrained, may pose a similar threat:</w:t>
      </w:r>
    </w:p>
    <w:p w:rsidR="00A31137" w:rsidRPr="00A31137" w:rsidRDefault="00A31137" w:rsidP="00A31137">
      <w:r w:rsidRPr="00A31137">
        <w:t>1991, Airports Auth. v. Citizens for Noise Abatement, 501 U.S. 273</w:t>
      </w:r>
    </w:p>
    <w:p w:rsidR="00A31137" w:rsidRPr="00A31137" w:rsidRDefault="00A31137" w:rsidP="00A31137">
      <w:r w:rsidRPr="00A31137">
        <w:t>It will not be denied that power is of an encroaching nature, and that it ought to be effectually restrained from passing the limits assigned to it.</w:t>
      </w:r>
    </w:p>
    <w:p w:rsidR="00A31137" w:rsidRPr="00A31137" w:rsidRDefault="00A31137" w:rsidP="00A31137">
      <w:r w:rsidRPr="00A31137">
        <w:t>*    *    *    *</w:t>
      </w:r>
    </w:p>
    <w:p w:rsidR="00A31137" w:rsidRPr="00A31137" w:rsidRDefault="00A31137" w:rsidP="00A31137">
      <w:r w:rsidRPr="00A31137">
        <w:t>1991, Airports Auth. v. Citizens for Noise Abatement, 501 U.S. 273</w:t>
      </w:r>
    </w:p>
    <w:p w:rsidR="00A31137" w:rsidRPr="00A31137" w:rsidRDefault="00A31137" w:rsidP="00A31137">
      <w:r w:rsidRPr="00A31137">
        <w:t>The founders of our republics…seem never for a moment to have turned their eyes from the danger to liberty from the overgrown and all-grasping prerogative of an hereditary magistrate, supported and fortified by an hereditary branch of the legislative authority. They seem never to have recollected the danger from legislative usurpations which, by assembling all power in the same hands, must lead to the same tyranny as is threatened by executive usurpations…. [I]t is against the enterprising ambition of this department that the people ought to indulge all their jealousy and exhaust all their precautions.</w:t>
      </w:r>
    </w:p>
    <w:p w:rsidR="00A31137" w:rsidRPr="00A31137" w:rsidRDefault="00A31137" w:rsidP="00A31137">
      <w:r w:rsidRPr="00A31137">
        <w:t>1991, Airports Auth. v. Citizens for Noise Abatement, 501 U.S. 273</w:t>
      </w:r>
    </w:p>
    <w:p w:rsidR="00A31137" w:rsidRPr="00A31137" w:rsidRDefault="00A31137" w:rsidP="00A31137">
      <w:r w:rsidRPr="00A31137">
        <w:t>The legislative department derives a superiority in our governments from other circumstances. Its constitutional [501 U.S. 274] powers being at once more extensive and less susceptible of precise limits, it can, with the greater facility, mask under complicated and indirect measures, the encroachments which it makes on the coordinate departments. It is not unfrequently a question of real nicety in legislative bodies whether the operation of a particular measure will or will not extend beyond the legislative sphere.</w:t>
      </w:r>
    </w:p>
    <w:p w:rsidR="00A31137" w:rsidRPr="00A31137" w:rsidRDefault="00A31137" w:rsidP="00A31137">
      <w:r w:rsidRPr="00A31137">
        <w:t>1991, Airports Auth. v. Citizens for Noise Abatement, 501 U.S. 274</w:t>
      </w:r>
    </w:p>
    <w:p w:rsidR="00A31137" w:rsidRPr="00A31137" w:rsidRDefault="00A31137" w:rsidP="00A31137">
      <w:r w:rsidRPr="00A31137">
        <w:t>The Federalist No. 48, pp. 332-334 (J. Cooke ed.1961) (J. Madison).</w:t>
      </w:r>
    </w:p>
    <w:p w:rsidR="00A31137" w:rsidRPr="00A31137" w:rsidRDefault="00A31137" w:rsidP="00A31137">
      <w:r w:rsidRPr="00A31137">
        <w:t>1991, Airports Auth. v. Citizens for Noise Abatement, 501 U.S. 274</w:t>
      </w:r>
    </w:p>
    <w:p w:rsidR="00A31137" w:rsidRPr="00A31137" w:rsidRDefault="00A31137" w:rsidP="00A31137">
      <w:r w:rsidRPr="00A31137">
        <w:t>To forestall the danger of encroachment "beyond the legislative sphere," the Constitution imposes two basic and related constraints on the Congress. It may not "invest itself or its Members with either executive power or judicial power." J.W. Hampton, Jr., Co. v. United States, 276 U.S. 394, 406 (1928). And when it exercises its legislative power, it must follow the "single, finely wrought and exhaustively considered, procedures" specified in Article I. INS v. Chadha, 462 U.S. 919, 91 (1983). 19</w:t>
      </w:r>
    </w:p>
    <w:p w:rsidR="00A31137" w:rsidRPr="00A31137" w:rsidRDefault="00A31137" w:rsidP="00A31137">
      <w:r w:rsidRPr="00A31137">
        <w:t>1991, Airports Auth. v. Citizens for Noise Abatement, 501 U.S. 274</w:t>
      </w:r>
    </w:p>
    <w:p w:rsidR="00A31137" w:rsidRPr="00A31137" w:rsidRDefault="00A31137" w:rsidP="00A31137">
      <w:r w:rsidRPr="00A31137">
        <w:t>The first constraint is illustrated by the Court's holdings in Springer v. Philippine Islands, 277 U.S. 189 (1928), and Bowsher v. Synar, 478 U.S. 714 (1986). Springer involved the validity of acts of the Philippine legislature that authorized a committee of three—two legislators and one executive—to vote corporate stock owned by the Philippine Government. Because the Organic Act of the Philippine Islands incorporated the separation of powers principle, and because the challenged statute authorized two legislators to perform [501 U.S. 275] the executive function of controlling the management of the government-owned corporations, the Court held the statutes invalid. Our more recent decision in Bowsher involved a delegation of authority to the Comptroller General to revise the federal budget. After concluding that the Comptroller General was, in effect, an agent of Congress, the Court held that he could not exercise executive powers:</w:t>
      </w:r>
    </w:p>
    <w:p w:rsidR="00A31137" w:rsidRPr="00A31137" w:rsidRDefault="00A31137" w:rsidP="00A31137">
      <w:r w:rsidRPr="00A31137">
        <w:t>1991, Airports Auth. v. Citizens for Noise Abatement, 501 U.S. 275</w:t>
      </w:r>
    </w:p>
    <w:p w:rsidR="00A31137" w:rsidRPr="00A31137" w:rsidRDefault="00A31137" w:rsidP="00A31137">
      <w:r w:rsidRPr="00A31137">
        <w:t>To permit the execution of the laws to be vested in an officer answerable only to Congress would, in practical terms, reserve in Congress control over the execution of the laws…. The structure of the Constitution does not permit Congress to execute the laws; it follows that Congress cannot grant to an officer under its control what it does not possess.</w:t>
      </w:r>
    </w:p>
    <w:p w:rsidR="00A31137" w:rsidRPr="00A31137" w:rsidRDefault="00A31137" w:rsidP="00A31137">
      <w:r w:rsidRPr="00A31137">
        <w:t>1991, Airports Auth. v. Citizens for Noise Abatement, 501 U.S. 275</w:t>
      </w:r>
    </w:p>
    <w:p w:rsidR="00A31137" w:rsidRPr="00A31137" w:rsidRDefault="00A31137" w:rsidP="00A31137">
      <w:r w:rsidRPr="00A31137">
        <w:t>Bowsher, 478 U.S. at  726.</w:t>
      </w:r>
    </w:p>
    <w:p w:rsidR="00A31137" w:rsidRPr="00A31137" w:rsidRDefault="00A31137" w:rsidP="00A31137">
      <w:r w:rsidRPr="00A31137">
        <w:t>1991, Airports Auth. v. Citizens for Noise Abatement, 501 U.S. 275</w:t>
      </w:r>
    </w:p>
    <w:p w:rsidR="00A31137" w:rsidRPr="00A31137" w:rsidRDefault="00A31137" w:rsidP="00A31137">
      <w:r w:rsidRPr="00A31137">
        <w:t>The second constraint is illustrated by our decision in Chadha. That case involved the validity of a statute that authorized either House of Congress, by resolution, to invalidate a decision by the Attorney General to allow a deportable alien to remain in the United States. Congress had the power to achieve that result through legislation, but the statute was nevertheless invalid because Congress cannot exercise its legislative power to enact laws without following the bicameral and presentment procedures specified in Article I. For the same reason, an attempt to characterize the budgetary action of the Comptroller General in Bowsher as legislative action would not have saved its constitutionality, because Congress may not delegate the power to legislate to its own agents or to its own Members. 20</w:t>
      </w:r>
    </w:p>
    <w:p w:rsidR="00A31137" w:rsidRPr="00A31137" w:rsidRDefault="00A31137" w:rsidP="00A31137">
      <w:r w:rsidRPr="00A31137">
        <w:t>1991, Airports Auth. v. Citizens for Noise Abatement, 501 U.S. 275</w:t>
      </w:r>
    </w:p>
    <w:p w:rsidR="00A31137" w:rsidRPr="00A31137" w:rsidRDefault="00A31137" w:rsidP="00A31137">
      <w:r w:rsidRPr="00A31137">
        <w:t>Respondents rely on both of these constraints in their challenge to the Board of Review. The Court of Appeals found it unnecessary to discuss the second constraint, because the [501 U.S. 276] court was satisfied that the power exercised by the Board of Review over "key operational decisions is quintessentially executive." 286 U.S.App.D.C. at 342, 917 F.2d at 56. We need not agree or disagree with this characterization by the Court of Appeals to conclude that the Board of Review's power is constitutionally impermissible. If the power is executive, the Constitution does not permit an agent of Congress to exercise it. If the power is legislative, Congress must exercise it in conformity with the bicameralism and presentment requirements of Art. I, § 7. In short, when Congress</w:t>
      </w:r>
    </w:p>
    <w:p w:rsidR="00A31137" w:rsidRPr="00A31137" w:rsidRDefault="00A31137" w:rsidP="00A31137">
      <w:r w:rsidRPr="00A31137">
        <w:t>1991, Airports Auth. v. Citizens for Noise Abatement, 501 U.S. 276</w:t>
      </w:r>
    </w:p>
    <w:p w:rsidR="00A31137" w:rsidRPr="00A31137" w:rsidRDefault="00A31137" w:rsidP="00A31137">
      <w:r w:rsidRPr="00A31137">
        <w:t>[takes] action that ha[s] the purpose and effect of altering the legal rights, duties, and relations of persons…outside the Legislative Branch,</w:t>
      </w:r>
    </w:p>
    <w:p w:rsidR="00A31137" w:rsidRPr="00A31137" w:rsidRDefault="00A31137" w:rsidP="00A31137">
      <w:r w:rsidRPr="00A31137">
        <w:t>1991, Airports Auth. v. Citizens for Noise Abatement, 501 U.S. 276</w:t>
      </w:r>
    </w:p>
    <w:p w:rsidR="00A31137" w:rsidRPr="00A31137" w:rsidRDefault="00A31137" w:rsidP="00A31137">
      <w:r w:rsidRPr="00A31137">
        <w:t>it must take that action by the procedures authorized in the Constitution. See Chadha, 462 U.S. at 952-955. 21</w:t>
      </w:r>
    </w:p>
    <w:p w:rsidR="00A31137" w:rsidRPr="00A31137" w:rsidRDefault="00A31137" w:rsidP="00A31137">
      <w:r w:rsidRPr="00A31137">
        <w:t>1991, Airports Auth. v. Citizens for Noise Abatement, 501 U.S. 276</w:t>
      </w:r>
    </w:p>
    <w:p w:rsidR="00A31137" w:rsidRPr="00A31137" w:rsidRDefault="00A31137" w:rsidP="00A31137">
      <w:r w:rsidRPr="00A31137">
        <w:t>One might argue that the provision for a Board of Review is the kind of practical accommodation between the Legislature and the Executive that should be permitted in a "workable government." 22 Admittedly, Congress imposed its will on the regional authority created by the District of Columbia and the Commonwealth of Virginia by means that are unique, [501 U.S. 277] and that might prove to be innocuous. However, the statutory scheme challenged today provides a blueprint for extensive expansion of the legislative power beyond its constitutionally confined role. Given the scope of the federal power to dispense benefits to the States in a variety of forms and subject to a host of statutory conditions, Congress could, if this Board of Review were valid, use similar expedients to enable its Members or its agents to retain control, outside the ordinary legislative process, of the activities of state grant recipients charged with executing virtually every aspect of national policy. As James Madison presciently observed, the legislature</w:t>
      </w:r>
    </w:p>
    <w:p w:rsidR="00A31137" w:rsidRPr="00A31137" w:rsidRDefault="00A31137" w:rsidP="00A31137">
      <w:r w:rsidRPr="00A31137">
        <w:t>1991, Airports Auth. v. Citizens for Noise Abatement, 501 U.S. 277</w:t>
      </w:r>
    </w:p>
    <w:p w:rsidR="00A31137" w:rsidRPr="00A31137" w:rsidRDefault="00A31137" w:rsidP="00A31137">
      <w:r w:rsidRPr="00A31137">
        <w:t>can, with greater facility, mask under complicated and indirect measures the encroachments which it makes on the coordinate departments.</w:t>
      </w:r>
    </w:p>
    <w:p w:rsidR="00A31137" w:rsidRPr="00A31137" w:rsidRDefault="00A31137" w:rsidP="00A31137">
      <w:r w:rsidRPr="00A31137">
        <w:t>1991, Airports Auth. v. Citizens for Noise Abatement, 501 U.S. 277</w:t>
      </w:r>
    </w:p>
    <w:p w:rsidR="00A31137" w:rsidRPr="00A31137" w:rsidRDefault="00A31137" w:rsidP="00A31137">
      <w:r w:rsidRPr="00A31137">
        <w:t>The Federalist No. 48, at 334. Heeding his warning that legislative "power is of an encroaching nature," we conclude that the Board of Review is an impermissible encroachment. 23</w:t>
      </w:r>
    </w:p>
    <w:p w:rsidR="00A31137" w:rsidRPr="00A31137" w:rsidRDefault="00A31137" w:rsidP="00A31137">
      <w:r w:rsidRPr="00A31137">
        <w:t>1991, Airports Auth. v. Citizens for Noise Abatement, 501 U.S. 277</w:t>
      </w:r>
    </w:p>
    <w:p w:rsidR="00A31137" w:rsidRPr="00A31137" w:rsidRDefault="00A31137" w:rsidP="00A31137">
      <w:r w:rsidRPr="00A31137">
        <w:t>The judgment of the Court of Appeals is affirmed.</w:t>
      </w:r>
    </w:p>
    <w:p w:rsidR="00A31137" w:rsidRPr="00A31137" w:rsidRDefault="00A31137" w:rsidP="00A31137">
      <w:r w:rsidRPr="00A31137">
        <w:t>1991, Airports Auth. v. Citizens for Noise Abatement, 501 U.S. 277</w:t>
      </w:r>
    </w:p>
    <w:p w:rsidR="00A31137" w:rsidRPr="00A31137" w:rsidRDefault="00A31137" w:rsidP="00A31137">
      <w:r w:rsidRPr="00A31137">
        <w:t>It is so ordered.</w:t>
      </w:r>
    </w:p>
    <w:p w:rsidR="00A31137" w:rsidRPr="00A31137" w:rsidRDefault="00A31137" w:rsidP="00A31137">
      <w:r w:rsidRPr="00A31137">
        <w:t>WHITE, J., dissenting</w:t>
      </w:r>
    </w:p>
    <w:p w:rsidR="00A31137" w:rsidRPr="00A31137" w:rsidRDefault="00A31137" w:rsidP="00A31137">
      <w:r w:rsidRPr="00A31137">
        <w:t>1991, Airports Auth. v. Citizens for Noise Abatement, 501 U.S. 277</w:t>
      </w:r>
    </w:p>
    <w:p w:rsidR="00A31137" w:rsidRPr="00A31137" w:rsidRDefault="00A31137" w:rsidP="00A31137">
      <w:r w:rsidRPr="00A31137">
        <w:t>JUSTICE WHITE, with whom THE CHIEF JUSTICE and JUSTICE MARSHALL join, dissenting.</w:t>
      </w:r>
    </w:p>
    <w:p w:rsidR="00A31137" w:rsidRPr="00A31137" w:rsidRDefault="00A31137" w:rsidP="00A31137">
      <w:r w:rsidRPr="00A31137">
        <w:t>1991, Airports Auth. v. Citizens for Noise Abatement, 501 U.S. 277</w:t>
      </w:r>
    </w:p>
    <w:p w:rsidR="00A31137" w:rsidRPr="00A31137" w:rsidRDefault="00A31137" w:rsidP="00A31137">
      <w:r w:rsidRPr="00A31137">
        <w:t>Today the Court strikes down yet another innovative and otherwise lawful governmental experiment in the name of separation of powers. To reach this result, the majority must strain to bring state enactments within the ambit of a doctrine hitherto applicable only to the Federal Government, and strain again to extend the doctrine even though both Congress and the Executive argue for the constitutionality of [501 U.S. 278] the arrangement which the Court invalidates. These efforts are untenable, because they violate the</w:t>
      </w:r>
    </w:p>
    <w:p w:rsidR="00A31137" w:rsidRPr="00A31137" w:rsidRDefault="00A31137" w:rsidP="00A31137">
      <w:r w:rsidRPr="00A31137">
        <w:t>1991, Airports Auth. v. Citizens for Noise Abatement, 501 U.S. 278</w:t>
      </w:r>
    </w:p>
    <w:p w:rsidR="00A31137" w:rsidRPr="00A31137" w:rsidRDefault="00A31137" w:rsidP="00A31137">
      <w:r w:rsidRPr="00A31137">
        <w:t>"cardinal principle that this Court will first ascertain whether a construction of [a] statute is fairly possible by which the [constitutional] question may be avoided."</w:t>
      </w:r>
    </w:p>
    <w:p w:rsidR="00A31137" w:rsidRPr="00A31137" w:rsidRDefault="00A31137" w:rsidP="00A31137">
      <w:r w:rsidRPr="00A31137">
        <w:t>1991, Airports Auth. v. Citizens for Noise Abatement, 501 U.S. 278</w:t>
      </w:r>
    </w:p>
    <w:p w:rsidR="00A31137" w:rsidRPr="00A31137" w:rsidRDefault="00A31137" w:rsidP="00A31137">
      <w:r w:rsidRPr="00A31137">
        <w:t>Ashwander v. TVA, 297 U.S. 288,  348 (1936) (Brandeis, J., concurring), (quoting Crowell v. Benson, 285 U.S. 22,  62 (1932)). They are also untenable because the Court's separation of powers cases in no way compel the decision the majority reaches.</w:t>
      </w:r>
    </w:p>
    <w:p w:rsidR="00A31137" w:rsidRPr="00A31137" w:rsidRDefault="00A31137" w:rsidP="00A31137">
      <w:r w:rsidRPr="00A31137">
        <w:t>I</w:t>
      </w:r>
    </w:p>
    <w:p w:rsidR="00A31137" w:rsidRPr="00A31137" w:rsidRDefault="00A31137" w:rsidP="00A31137">
      <w:r w:rsidRPr="00A31137">
        <w:t>1991, Airports Auth. v. Citizens for Noise Abatement, 501 U.S. 278</w:t>
      </w:r>
    </w:p>
    <w:p w:rsidR="00A31137" w:rsidRPr="00A31137" w:rsidRDefault="00A31137" w:rsidP="00A31137">
      <w:r w:rsidRPr="00A31137">
        <w:t>For the first time in its history, the Court employs separation of powers doctrine to invalidate a body created under state law. T he majority justifies this unprecedented step on the ground that the Board of Review "exercises sufficient federal power…to mandate separation of powers scrutiny." Ante at  269. This conclusion follows, it is claimed, because the Board, as presently constituted, would not exist but for the conditions set by Congress in the Metropolitan Washington Airports Act of 1986, 49 U.S.C. App. § 2456(f)(1). This unprecedented rationale is insufficient on at least two counts. The Court's reasoning fails first because it ignores the plain terms of every instrument relevant to this case. The Court further errs because it also misapprehends the nature of the Transfer Act as a lawful exercise of congressional authority under the Property Clause. U.S.Const., Art. IV, § 3, cl. 2.</w:t>
      </w:r>
    </w:p>
    <w:p w:rsidR="00A31137" w:rsidRPr="00A31137" w:rsidRDefault="00A31137" w:rsidP="00A31137">
      <w:r w:rsidRPr="00A31137">
        <w:t>A</w:t>
      </w:r>
    </w:p>
    <w:p w:rsidR="00A31137" w:rsidRPr="00A31137" w:rsidRDefault="00A31137" w:rsidP="00A31137">
      <w:r w:rsidRPr="00A31137">
        <w:t>1991, Airports Auth. v. Citizens for Noise Abatement, 501 U.S. 278</w:t>
      </w:r>
    </w:p>
    <w:p w:rsidR="00A31137" w:rsidRPr="00A31137" w:rsidRDefault="00A31137" w:rsidP="00A31137">
      <w:r w:rsidRPr="00A31137">
        <w:t>Both the Airports Authority (Authority) and the Board are clearly creatures of state law. The Authority came into being exclusively by virtue of acts passed by the Commonwealth of Virginia, 1985 Va. Acts, ch. 598, § 2, and the District of Columbia, 1985 D.C.Law 6-67, § 3. 1 These enactments [501 U.S. 279] expressly declared that the Authority would be a "public body corporate and politic…independent of all other bodies" with such powers as "conferred upon it by the legislative authorities of both the Commonwealth of Virginia and the District." 1985 Va. Acts, ch. 598, § 2; 1985 D.C.Law 6-67, § 3. The Transfer Act acknowledged that the authority was to have only "the powers and jurisdiction as are conferred upon it jointly by the legislative authority of the Commonwealth of Virginia and the District of Columbia," § 2456(a), and was to be "independent of the…Federal Government," 49 U.S.C. App. § 2456(b)(1). Under the Transfer Act, the Secretary of Transportation and the Authority negotiated a lease that defined the powers and composition of the Board to be established. Lease, Art. 13, see App. to Pet. for Cert. 175a-176a. Even then, the Board could not come into existence until the state-created Authority adopted bylaws establishing it. Bylaws, Art. IV, see App. to Pet. for Cert. 151a-154a. To allay any doubt about the Board's provenance, both Virginia and the District amended their enabling legislation to make explicit the Authority's power to establish the Board under state law. See 1987 Va.Acts, ch. 665, § 5, subd. A, par. 5; 1987 D.C.Law 7-18, § 3(c)(2).</w:t>
      </w:r>
    </w:p>
    <w:p w:rsidR="00A31137" w:rsidRPr="00A31137" w:rsidRDefault="00A31137" w:rsidP="00A31137">
      <w:r w:rsidRPr="00A31137">
        <w:t>1991, Airports Auth. v. Citizens for Noise Abatement, 501 U.S. 279</w:t>
      </w:r>
    </w:p>
    <w:p w:rsidR="00A31137" w:rsidRPr="00A31137" w:rsidRDefault="00A31137" w:rsidP="00A31137">
      <w:r w:rsidRPr="00A31137">
        <w:t>The specific features of the Board are consistent with its status as a state-created entity. As the Airports Act and [501 U.S. 280] the lease contemplated, the bylaws provide that the Board consist of nine Members of Congress whom the Board of Directors would appoint. 49 U.S.C. App. § 2456(f)(1); Lease, Art. 13A, App. to Pet. for Cert. 175a; Bylaws, Art. IV, § 1, App. to Pet. for Cert. 151. But, again as contemplated by both the Transfer Act and lease, the bylaws also make clear that the Members of Congress sit not as congressional agents, but "in their individual capacities," as "representatives of the users of the Metropolitan Washington Airports." Id. at 151a. To ensure that the Board members protect the interests of nationwide users, the bylaws further provide that Members of Congress from Virginia, Maryland, and the District of Columbia would be ineligible. Id. at 152a.</w:t>
      </w:r>
    </w:p>
    <w:p w:rsidR="00A31137" w:rsidRPr="00A31137" w:rsidRDefault="00A31137" w:rsidP="00A31137">
      <w:r w:rsidRPr="00A31137">
        <w:t>1991, Airports Auth. v. Citizens for Noise Abatement, 501 U.S. 280</w:t>
      </w:r>
    </w:p>
    <w:p w:rsidR="00A31137" w:rsidRPr="00A31137" w:rsidRDefault="00A31137" w:rsidP="00A31137">
      <w:r w:rsidRPr="00A31137">
        <w:t>As the Court has emphasized,</w:t>
      </w:r>
    </w:p>
    <w:p w:rsidR="00A31137" w:rsidRPr="00A31137" w:rsidRDefault="00A31137" w:rsidP="00A31137">
      <w:r w:rsidRPr="00A31137">
        <w:t>1991, Airports Auth. v. Citizens for Noise Abatement, 501 U.S. 280</w:t>
      </w:r>
    </w:p>
    <w:p w:rsidR="00A31137" w:rsidRPr="00A31137" w:rsidRDefault="00A31137" w:rsidP="00A31137">
      <w:r w:rsidRPr="00A31137">
        <w:t>[g]oing behind the plain language of a statute in search of a possibly contrary…intent is "a step to be taken cautiously" even under the best of circumstances.</w:t>
      </w:r>
    </w:p>
    <w:p w:rsidR="00A31137" w:rsidRPr="00A31137" w:rsidRDefault="00A31137" w:rsidP="00A31137">
      <w:r w:rsidRPr="00A31137">
        <w:t>1991, Airports Auth. v. Citizens for Noise Abatement, 501 U.S. 280</w:t>
      </w:r>
    </w:p>
    <w:p w:rsidR="00A31137" w:rsidRPr="00A31137" w:rsidRDefault="00A31137" w:rsidP="00A31137">
      <w:r w:rsidRPr="00A31137">
        <w:t>American Tobacco Co. v. Patterson, 456 U.S. 63, 75 (1982) (quoting Piper v. Chris-Craft Industries, Inc., 430 U.S. 1, 26 (1977)). Nowhere should this caution be greater than where the Court flirts with embracing "serious constitutional problems" at the expense of "constru[ing a] statute to avoid such problems." Edward J. DeBartolo Corp. v. Florida Gulf Coast Building &amp; Construction Trades Council, 485 U.S. 568, 575 (1988); see Murray v. The Charming Betsy, 2 Cranch 64, 118 (1804) (Marshall, C.J.). The majority nonetheless offers three reasons for taking just these steps. First, control over the airports "was originally in federal hands," and was transferred "only subject to the condition that the States create the Board." Ante at  266. Second, "the Federal Government has a strong and continuing interest in the efficient operation of the airports." Id. at 266-267. Finally, "and most significant, membership on the Board of Review is limited to federal officials." Ibid. In other words, Congress, in effect, created a body that, in effect, discharges an ongoing interest of the Federal Government [501 U.S. 281] through federal officials who, in effect, serve as congressional agents.</w:t>
      </w:r>
    </w:p>
    <w:p w:rsidR="00A31137" w:rsidRPr="00A31137" w:rsidRDefault="00A31137" w:rsidP="00A31137">
      <w:r w:rsidRPr="00A31137">
        <w:t>1991, Airports Auth. v. Citizens for Noise Abatement, 501 U.S. 281</w:t>
      </w:r>
    </w:p>
    <w:p w:rsidR="00A31137" w:rsidRPr="00A31137" w:rsidRDefault="00A31137" w:rsidP="00A31137">
      <w:r w:rsidRPr="00A31137">
        <w:t>This picture stands in stark contrast to that drawn in each of the applicable enactments and agreements which, as noted, establish a state-created authority given the power to create a body to safeguard the interests of nationwide travelers by means of federal officials serving in their individual capacities. We have, to be sure, held that separation of powers analysis "does not turn on the labeling of the activity," but instead looks to "practical consequences," Mistretta v. United States, 488 U.S. 361,  393 (1989). This observation, however, does not give the Court a license to supplant the careful work of the Airports Authority, Virginia, the District, the Federal Executive, and Congress with its own in-house punditry. This is especially so when the instruments under consideration do not merely "label" but detail an arrangement in which any unconstitutional consequences are pure speculation.</w:t>
      </w:r>
    </w:p>
    <w:p w:rsidR="00A31137" w:rsidRPr="00A31137" w:rsidRDefault="00A31137" w:rsidP="00A31137">
      <w:r w:rsidRPr="00A31137">
        <w:t>1991, Airports Auth. v. Citizens for Noise Abatement, 501 U.S. 281</w:t>
      </w:r>
    </w:p>
    <w:p w:rsidR="00A31137" w:rsidRPr="00A31137" w:rsidRDefault="00A31137" w:rsidP="00A31137">
      <w:r w:rsidRPr="00A31137">
        <w:t xml:space="preserve">As an initial matter, the Board may not have existed but for Congress, but it does not follow that Congress created the Board, or even that Congress' role is a "factor" mandating separation of powers scrutiny. Congressional suggestion does not render subsequent independent state actions federal ones. Aside from the clear statutory language, the majority's conclusion ignores the entire series of voluntary and intervening actions, agreements, and enactments on the part of the Federal Executive, Virginia, the District, and the Authority, without which the Transfer Act would have been nullity and the Board of Review would not have existed. Congress commonly enacts conditional transfers of federal resources to the States. See, e.g., Fullilove v. Klutznick, 448 U.S. 448 (1980); Lau v. Nichols, 414 U.S. 563 (1974); Steward Machine Co. v. Davis, 301 U.S. 548 (1937). Separation-of-powers doctrine would know few bounds if such transfers compelled its application to the state enactments that result. [501 U.S. 282] </w:t>
      </w:r>
    </w:p>
    <w:p w:rsidR="00A31137" w:rsidRPr="00A31137" w:rsidRDefault="00A31137" w:rsidP="00A31137">
      <w:r w:rsidRPr="00A31137">
        <w:t>1991, Airports Auth. v. Citizens for Noise Abatement, 501 U.S. 282</w:t>
      </w:r>
    </w:p>
    <w:p w:rsidR="00A31137" w:rsidRPr="00A31137" w:rsidRDefault="00A31137" w:rsidP="00A31137">
      <w:r w:rsidRPr="00A31137">
        <w:t>Likewise, nothing charges the Board with oversight of any strong and continuing interest of the Federal Government, much less with conducting such oversight as an agent of Congress. Despite disclaimers, the majority is quick to point to portions of the legislative history in which various Members of Congress state their belief that the Board would insure congressional control over the airports. Ante at 267-268. But that is not all the legislative history contains. Other statements support the declaration in all the relevant enactments that Members of Congress are to sit on a state-created body in their individual capacities to safeguard the interests of frequent, nationwide users. On this point, Members of the House, the Senate, and the Executive agreed. Representative Hammerschmidt, for example, stated that the purpose of a "board of review composed of Congressmen is…to protect the interests of all users of the two airports." 132 Cong.Rec. 32143 (1986). Senator Kassebaum contended that members of Congress could further this purpose, since "[m]ost Members are intensely interested in the amount of service to and from certain cities, from both National and Dulles." Id. at 6069. Secretary of the Treasury Dole echoed these sentiments, testifying that "Members of Congress are heavy users of the air transportation system." Hearing on H.R. 2337, H.R. 5040, and S. 1017 before the Subcommittee on Aviation of the House Committee on Public Works and Transportation, 99th Cong., 2d Sess., 110 (1986).</w:t>
      </w:r>
    </w:p>
    <w:p w:rsidR="00A31137" w:rsidRPr="00A31137" w:rsidRDefault="00A31137" w:rsidP="00A31137">
      <w:r w:rsidRPr="00A31137">
        <w:t>1991, Airports Auth. v. Citizens for Noise Abatement, 501 U.S. 282</w:t>
      </w:r>
    </w:p>
    <w:p w:rsidR="00A31137" w:rsidRPr="00A31137" w:rsidRDefault="00A31137" w:rsidP="00A31137">
      <w:r w:rsidRPr="00A31137">
        <w:t>Considered as a creature of state law, the Board offends no constitutional provision or doctrine. The Court does not assert that congressional membership on a state-created entity, without more, violates the Incompatibility or Ineligibility Clauses. U.S.Const., Art. I, § 6, cl. 2. By their express terms, these provisions prohibit Members of Congress from serving in another federal office. They say nothing to bar congressional service in state or State-created offices. To the contrary, the Framers considered and rejected such a bar. 1 M. Farrand, The Records of the Federal Convention of [501 U.S. 283] 1787, pp. 20-21, 217, 386, 389, 428-429 (1966 ed). As Roger Sherman observed, maintaining a state ineligibility requirement would amount to "erecting a Kingdom at war with itself." Id. at 386. The historical practice of the First Congress confirms the Conventions sentiments, insofar as several Members simultaneously sat as state legislators and judges. See, e.g., Biographical Directory of the United States Congress, 1774-1989, pp. 748, 1389, 1923 (1989). As the Court has held, actions by Members of the First Congress provide weighty evidence on the Constitution's meaning. Bowsher v. Synar, 478 U.S. 714, 723-724 (1986). Constitutional text and history leave no question but that Virginia and the District of Columbia could constitutionally agree to pass reciprocal legislation creating a body to which nonfederal officers would appoint Members of Congress functioning in their individual capacities. No one in this case contends otherwise.</w:t>
      </w:r>
    </w:p>
    <w:p w:rsidR="00A31137" w:rsidRPr="00A31137" w:rsidRDefault="00A31137" w:rsidP="00A31137">
      <w:r w:rsidRPr="00A31137">
        <w:t>B</w:t>
      </w:r>
    </w:p>
    <w:p w:rsidR="00A31137" w:rsidRPr="00A31137" w:rsidRDefault="00A31137" w:rsidP="00A31137">
      <w:r w:rsidRPr="00A31137">
        <w:t>1991, Airports Auth. v. Citizens for Noise Abatement, 501 U.S. 283</w:t>
      </w:r>
    </w:p>
    <w:p w:rsidR="00A31137" w:rsidRPr="00A31137" w:rsidRDefault="00A31137" w:rsidP="00A31137">
      <w:r w:rsidRPr="00A31137">
        <w:t>The Court's haste to extend separation-of-powers doctrine is even less defensible in light of the federal statute on which it relies. Far from transforming the Board into a federal entity, the Airports Act confirms the Board's constitutionality, inasmuch as that statute is a legitimate exercise of congressional authority under the Property Clause. U.S.Const., Art. IV, § 3, cl. 2. To overlook this fact, the Court must once again ignore plain meaning, this time the plain meaning of the Court's controlling precedent regarding Congress' coextensive authority under the Spending Clause. Ibid.</w:t>
      </w:r>
    </w:p>
    <w:p w:rsidR="00A31137" w:rsidRPr="00A31137" w:rsidRDefault="00A31137" w:rsidP="00A31137">
      <w:r w:rsidRPr="00A31137">
        <w:t>1991, Airports Auth. v. Citizens for Noise Abatement, 501 U.S. 283</w:t>
      </w:r>
    </w:p>
    <w:p w:rsidR="00A31137" w:rsidRPr="00A31137" w:rsidRDefault="00A31137" w:rsidP="00A31137">
      <w:r w:rsidRPr="00A31137">
        <w:t>As the majority acknowledges, in South Dakota v. Dole, 483 U.S. 203 (1987), the Court held that Congress could condition a grant of Federal funds to a State on the State's raising the drinking age to 21, even assuming that Congress did not have the power to mandate a minimum national drinking age directly. As the majority fails to acknowledge, the Court's holding in no way turned on a State's "incentive and…ability to protect its own rights and powers." Ante at [501 U.S. 284] 271. Rather, the Court stated that Congress could exercise its spending authority so long as the conditional grant of funds did not violate an "'independent constitutional bar.'" Dole, supra, at  209 (quoting Lawrence County v. Lead-Deadwood School Dist., 469 U.S. 256, 269-270 (1985)). Dole defined this constraint as follows:</w:t>
      </w:r>
    </w:p>
    <w:p w:rsidR="00A31137" w:rsidRPr="00A31137" w:rsidRDefault="00A31137" w:rsidP="00A31137">
      <w:r w:rsidRPr="00A31137">
        <w:t>1991, Airports Auth. v. Citizens for Noise Abatement, 501 U.S. 284</w:t>
      </w:r>
    </w:p>
    <w:p w:rsidR="00A31137" w:rsidRPr="00A31137" w:rsidRDefault="00A31137" w:rsidP="00A31137">
      <w:r w:rsidRPr="00A31137">
        <w:t>[T]he "independent constitutional bar" limitation on the spending power is not…a prohibition on the indirect achievement of objectives which Congress is not empowered to achieve directly. Instead, we think that the language in our earlier opinions stands for the unexceptional proposition that the [spending] power may not be used to induce the States to engage in activities that would themselves be unconstitutional. Thus, for example, a grant of federal funds conditioned on invidiously discriminatory state action or the infliction of cruel and unusual punishment would be an illegitimate exercise of the Congress' broad spending power…. Were South Dakota to succumb to the blandishments offered by Congress and raise its drinking age to 21, the State's action in so doing would not violate the constitutional rights of anyone.</w:t>
      </w:r>
    </w:p>
    <w:p w:rsidR="00A31137" w:rsidRPr="00A31137" w:rsidRDefault="00A31137" w:rsidP="00A31137">
      <w:r w:rsidRPr="00A31137">
        <w:t>1991, Airports Auth. v. Citizens for Noise Abatement, 501 U.S. 284</w:t>
      </w:r>
    </w:p>
    <w:p w:rsidR="00A31137" w:rsidRPr="00A31137" w:rsidRDefault="00A31137" w:rsidP="00A31137">
      <w:r w:rsidRPr="00A31137">
        <w:t>483 U.S. at 210-211 (emphasis added).</w:t>
      </w:r>
    </w:p>
    <w:p w:rsidR="00A31137" w:rsidRPr="00A31137" w:rsidRDefault="00A31137" w:rsidP="00A31137">
      <w:r w:rsidRPr="00A31137">
        <w:t>1991, Airports Auth. v. Citizens for Noise Abatement, 501 U.S. 284</w:t>
      </w:r>
    </w:p>
    <w:p w:rsidR="00A31137" w:rsidRPr="00A31137" w:rsidRDefault="00A31137" w:rsidP="00A31137">
      <w:r w:rsidRPr="00A31137">
        <w:t>Dole states only that Congress may not induce the States to engage in activities that would themselves have been unconstitutional in the absence of the inducement. The decision does not indicate that Congress can act only when its actions implicate "the allocation of power between the Federal Government and the States" ante at  271, as opposed to principles, "the aim of which is not to protect the States but 'the whole people, from improvident laws.'" Ibid. Nor could it. In the context of § 1983, the Court has rejected any broad distinction between constitutional provisions that allocate powers and those that affirm rights. Dennis v. Higgins, 498 U.S. 439, 447-448 (1991). The majority's own application of its test to this case illustrates the difficulties in its position. The Court asserts that Dole cannot safeguard [501 U.S. 285] the Board, because separation-of-powers doctrine, ultimately, protects the rights of the people. By this logic, Dole itself would have had to come out the other way, since the Twenty-first Amendment reinstated state authority over liquor, which, in turn, strengthened federalism, which, in turn, theoretically protects the rights of the people no less than separation of powers principles. See The Federalist No. 51, p. 323 (C. Rossiter ed.1961) (J. Madison).</w:t>
      </w:r>
    </w:p>
    <w:p w:rsidR="00A31137" w:rsidRPr="00A31137" w:rsidRDefault="00A31137" w:rsidP="00A31137">
      <w:r w:rsidRPr="00A31137">
        <w:t>1991, Airports Auth. v. Citizens for Noise Abatement, 501 U.S. 285</w:t>
      </w:r>
    </w:p>
    <w:p w:rsidR="00A31137" w:rsidRPr="00A31137" w:rsidRDefault="00A31137" w:rsidP="00A31137">
      <w:r w:rsidRPr="00A31137">
        <w:t xml:space="preserve">There is no question that Dole, when faithfully read, places the Board outside the scope of separation of powers scrutiny. As noted, no one suggests that Virginia and the District of Columbia could not have created a board of review to which nonfederal officers would appoint Members of Congress had Congress not offered any inducement to do so. The Airports Act, therefore, did not induce the States to engage in activities that would themselves be unconstitutional. Nor is there any assertion that this case involves the rare circumstance in which "the financial inducement offered by Congress might be so coercive as to pass the point at which 'pressure turns into compulsion.'" Dole, supra, 483 U.S. at  211 (quoting Steward Machine Co., 301 U.S. at  590). In Dole, Congress authorized the Secretary of Transportation to withdraw funding should the States fail to comply with certain conditions. Here, Congress merely indicated that federal control over National and Dulles would continue given a failure to comply with certain conditions. Virginia and the District may sorely have wanted control over the airports for themselves. Placing conditions on a desire, however, does not amount to compulsion. Dole therefore requires precisely what the majority denies—the rejection of separation of powers doctrine as an "independent bar" against Congress conditioning the lease of federal property in this case. 2 [501 U.S. 286] </w:t>
      </w:r>
    </w:p>
    <w:p w:rsidR="00A31137" w:rsidRPr="00A31137" w:rsidRDefault="00A31137" w:rsidP="00A31137">
      <w:r w:rsidRPr="00A31137">
        <w:t>II</w:t>
      </w:r>
    </w:p>
    <w:p w:rsidR="00A31137" w:rsidRPr="00A31137" w:rsidRDefault="00A31137" w:rsidP="00A31137">
      <w:r w:rsidRPr="00A31137">
        <w:t>1991, Airports Auth. v. Citizens for Noise Abatement, 501 U.S. 286</w:t>
      </w:r>
    </w:p>
    <w:p w:rsidR="00A31137" w:rsidRPr="00A31137" w:rsidRDefault="00A31137" w:rsidP="00A31137">
      <w:r w:rsidRPr="00A31137">
        <w:t>Even assuming that separation of powers principles apply, the Court can hold the Board to be unconstitutional only by extending those principles in an unwarranted fashion. The majority contends otherwise, reasoning that the Constitution requires today's result whether the Board exercises executive or legislative power. Ante at 274-276. Yet never before has the Court struck down a body on separation of powers grounds that neither Congress nor the Executive oppose. It is absurd to suggest that the Board's power represents the type of "legislative usurpatio[n]…which, by assembling all power in the same hands…must lead to the same tyranny," that concerned the Framers. The Federalist No. 48, supra, at 309-310 (J. Madison). More to the point, it is clear that the Board does not offend separation of powers principles either under our cases dealing with executive power or our decisions concerning legislative authority. 3</w:t>
      </w:r>
    </w:p>
    <w:p w:rsidR="00A31137" w:rsidRPr="00A31137" w:rsidRDefault="00A31137" w:rsidP="00A31137">
      <w:r w:rsidRPr="00A31137">
        <w:t>A</w:t>
      </w:r>
    </w:p>
    <w:p w:rsidR="00A31137" w:rsidRPr="00A31137" w:rsidRDefault="00A31137" w:rsidP="00A31137">
      <w:r w:rsidRPr="00A31137">
        <w:t>1991, Airports Auth. v. Citizens for Noise Abatement, 501 U.S. 286</w:t>
      </w:r>
    </w:p>
    <w:p w:rsidR="00A31137" w:rsidRPr="00A31137" w:rsidRDefault="00A31137" w:rsidP="00A31137">
      <w:r w:rsidRPr="00A31137">
        <w:t>Based on its faulty premise that the Board is exercising federal power, the Court first reasons that "[if] the [Board's] power is executive, the Constitution does not permit an [501 U.S. 287] agent of Congress to exercise it." Ante at 276. The majority does not, however, rely on the constitutional provisions most directly on point. Under the Incompatibility and Ineligibility Clauses, Members of Congress may not serve in another office that is under the authority of the United States. U.S.Const., Art. I, § 6, cl. 2. If the Board did exercise executive authority that is federal in nature, the Court would have no need to say anything other than that congressional membership on the Board violated these express constitutional limitations. The majority's failure is either unaccountable or suggests that it harbors a certain discomfort with its own position that the Board, in fact, exercises significant federal power. Whichever is the case, the Court instead relies on expanding nontextual principles as articulated in Bowsher v. Synar, 478 U.S. 714 (1986). Bowsher, echoing Springer v. Philippine Islands, 277 U.S. 189 (1928), held that the Constitution prevented legislative agents from exercising executive authority. Bowsher, supra, 478 U.S. at  726. The Court asserts that the Board, again in effect, is controlled by Congress. The analysis the Court has hitherto employed to recognize congressional control, however, show this not to be the case.</w:t>
      </w:r>
    </w:p>
    <w:p w:rsidR="00A31137" w:rsidRPr="00A31137" w:rsidRDefault="00A31137" w:rsidP="00A31137">
      <w:r w:rsidRPr="00A31137">
        <w:t>1991, Airports Auth. v. Citizens for Noise Abatement, 501 U.S. 287</w:t>
      </w:r>
    </w:p>
    <w:p w:rsidR="00A31137" w:rsidRPr="00A31137" w:rsidRDefault="00A31137" w:rsidP="00A31137">
      <w:r w:rsidRPr="00A31137">
        <w:t>As Bowsher made clear, a "critical factor" in determining whether an official is "subservient to Congress" is the degree to which Congress maintains the power of removal. Bowsher, supra, at  727. Congress cannot "draw to itself, or to either branch of it, the power to remove or the right to participate in the exercise of" the removal of a federal executive officer. Myers v. United States, 272 U.S. 52,  161 (1926). Here Congress exercises no such power. Unlike the statutes struck down in Bowsher and Myers, the Transfer Act contains no provision authorizing Congress to discharge anyone from the Board. Instead, the only express mention of removal authority over Board members in any enactment occurs in resolutions passed by the Board of Directors under the bylaws. These resolutions provide that members of the [501 U.S. 288] Board shall sit for fixed terms, but may be removed by the Board of Directors for cause. See Resolution No. 87-12 (June 3, 1987), App. 47-48; Resolution No. 87-27 (Sept. 2, 1987), App. 60. This arrangement is consistent with the settled principle that "the power of removal result[s] by a natural implication from the power of appointing." 1 Annals of Cong. 496 (1789) (statement of Rep. Madison). See Carlucci v. Doe, 488 U.S. 93, 99 (1988); Myers, supra, 272 U.S. at  119.</w:t>
      </w:r>
    </w:p>
    <w:p w:rsidR="00A31137" w:rsidRPr="00A31137" w:rsidRDefault="00A31137" w:rsidP="00A31137">
      <w:r w:rsidRPr="00A31137">
        <w:t>1991, Airports Auth. v. Citizens for Noise Abatement, 501 U.S. 288</w:t>
      </w:r>
    </w:p>
    <w:p w:rsidR="00A31137" w:rsidRPr="00A31137" w:rsidRDefault="00A31137" w:rsidP="00A31137">
      <w:r w:rsidRPr="00A31137">
        <w:t>The majority counters that Congress maintains</w:t>
      </w:r>
    </w:p>
    <w:p w:rsidR="00A31137" w:rsidRPr="00A31137" w:rsidRDefault="00A31137" w:rsidP="00A31137">
      <w:r w:rsidRPr="00A31137">
        <w:t>1991, Airports Auth. v. Citizens for Noise Abatement, 501 U.S. 288</w:t>
      </w:r>
    </w:p>
    <w:p w:rsidR="00A31137" w:rsidRPr="00A31137" w:rsidRDefault="00A31137" w:rsidP="00A31137">
      <w:r w:rsidRPr="00A31137">
        <w:t>effective removal power over Board members because depriving a Board member of membership in [certain congressional] committees deprives the member of authority to sit on the Board.</w:t>
      </w:r>
    </w:p>
    <w:p w:rsidR="00A31137" w:rsidRPr="00A31137" w:rsidRDefault="00A31137" w:rsidP="00A31137">
      <w:r w:rsidRPr="00A31137">
        <w:t>1991, Airports Auth. v. Citizens for Noise Abatement, 501 U.S. 288</w:t>
      </w:r>
    </w:p>
    <w:p w:rsidR="00A31137" w:rsidRPr="00A31137" w:rsidRDefault="00A31137" w:rsidP="00A31137">
      <w:r w:rsidRPr="00A31137">
        <w:t>Ante at  269. This conclusion rests on the faulty premise that the Airports Act requires the removal of a Board member once he or she leaves a particular committee. But the Act does not say this. Rather, it merely states that members of the Board "shall consist" of Members of Congress who sit in certain specified committees. 49 U.S.C. App. § 2456(f)(1). Moreover, the Act elsewhere provides that the standard term of service on the Board is six years. § 2456(f)(2). This term, which spans three Congresses, suggests that a Board member's tenure need not turn on continuing committee or even congressional status. Nor, to date, has any member of the Board been removed for having lost a committee post. Tr. of Oral Arg. 11. Once again, the Court seizes upon a less plausible interpretation to reach a constitutional infirmity despite "'[t]he elementary rule is that every reasonable construction must be resorted to, in order to save a statute from unconstitutionality.'" DeBartolo Corp., 485 U.S. at 575 (quoting Hooper v. California, 155 U.S. 648, 657 (1895)); see Ashwander, 297 U.S. at  348.</w:t>
      </w:r>
    </w:p>
    <w:p w:rsidR="00A31137" w:rsidRPr="00A31137" w:rsidRDefault="00A31137" w:rsidP="00A31137">
      <w:r w:rsidRPr="00A31137">
        <w:t>1991, Airports Auth. v. Citizens for Noise Abatement, 501 U.S. 288</w:t>
      </w:r>
    </w:p>
    <w:p w:rsidR="00A31137" w:rsidRPr="00A31137" w:rsidRDefault="00A31137" w:rsidP="00A31137">
      <w:r w:rsidRPr="00A31137">
        <w:t>Nor has Congress improperly influenced the appointment process, which is ordinarily a less important factor in separation-of-powers analysis in any event. The Authority's bylaws, reflecting the lease and the Transfer Act, provide that the Board consist of two members each from the House [501 U.S. 289] Appropriations Committee, the House Public Works Committee, the Senate Appropriations Committee, and the Senate Commerce, Science and Transportation Committee, as well as an additional Member from the House or Senate. Bylaws, Art. IV, § 4, App. to Pet. for Cert. 153a; see Lease, Art. 13A, App. to Pet. for Cert. 175a; 49 U.S.C.App. § 2456(f)(1). The Board of Directors appoints members from lists provided by the Speaker of the House and the President pro tempore of the Senate. To the majority, these provisions add up to impermissible congressional control. Our cases point to the opposite conclusion.</w:t>
      </w:r>
    </w:p>
    <w:p w:rsidR="00A31137" w:rsidRPr="00A31137" w:rsidRDefault="00A31137" w:rsidP="00A31137">
      <w:r w:rsidRPr="00A31137">
        <w:t>1991, Airports Auth. v. Citizens for Noise Abatement, 501 U.S. 289</w:t>
      </w:r>
    </w:p>
    <w:p w:rsidR="00A31137" w:rsidRPr="00A31137" w:rsidRDefault="00A31137" w:rsidP="00A31137">
      <w:r w:rsidRPr="00A31137">
        <w:t>Twice in recent Terms, the Court has considered similar mechanisms without suggesting that they raised any constitutional concern. In Bowsher, the Court voiced no qualms concerning Presidential appointment of the Comptroller General from a list of three individuals suggested by the House Speaker and the President pro tempore. 478 U.S. at  727. Likewise, in Mistretta, the Court upheld Congress' authority to require the President to appoint three federal judges to the Sentencing Commission after considering a list of six judges recommended by the Judicial Conference of the United States. 488 U.S. at  410, n. 31. The majority attempts to distinguish these cases by asserting that the lists involved were merely recommendations, whereas Board "must " be chosen from the submitted lists at issue here. Ante at 268-269. A fair reading of the requirement shows only that the Board may not be chosen outside the lists. It is perfectly plausible to infer that the Directors are free to reject any and all candidates on the lists until acceptable names are submitted. It is difficult to see how the marginal difference that would remain between list processes in Bowsher and Mistretta, on one hand, and in this case, on the other, would possess any constitutional importance. In sharp contrast, Springer can be readily distinguished. In that instance, as in Buckley v. Valeo, 424 U.S. 1 (1976), the Court struck down a scheme in which the legislature usurped for [501 U.S. 290] itself the appointment authority of a coequal, coordinate branch of government. Springer, 277 U.S. at 203. Here Congress has neither expressly nor substantively vested appointment power in itself or appropriated appointment power properly lodged with the President.</w:t>
      </w:r>
    </w:p>
    <w:p w:rsidR="00A31137" w:rsidRPr="00A31137" w:rsidRDefault="00A31137" w:rsidP="00A31137">
      <w:r w:rsidRPr="00A31137">
        <w:t>1991, Airports Auth. v. Citizens for Noise Abatement, 501 U.S. 290</w:t>
      </w:r>
    </w:p>
    <w:p w:rsidR="00A31137" w:rsidRPr="00A31137" w:rsidRDefault="00A31137" w:rsidP="00A31137">
      <w:r w:rsidRPr="00A31137">
        <w:t>Our recent case law also compels approval of the Board's composition. The majority makes much of the requirement that appointees to the Board must be members of the enumerated congressional committees. Ante at  269. Committee membership, the argument goes, somehow belies the express declaration that Members of Congress are to sit in their individual capacities as representatives of frequent nationwide travelers. Mistretta, however, refused to disqualify federal judges, sitting in their individual capacities, from exercising nonjudicial authority simply because they possessed judicial expertise relevant to their posts on the Sentencing Commission. It is difficult, then, to see why Members of Congress, sitting in their individual capacities, should be disqualified from exercising nonlegislative authority because their legislative expertise—as enhanced by their membership on key transportation and finance committees—is relevant to their posts on the Board. I refuse to invalidate the Board because its members are too well qualified.</w:t>
      </w:r>
    </w:p>
    <w:p w:rsidR="00A31137" w:rsidRPr="00A31137" w:rsidRDefault="00A31137" w:rsidP="00A31137">
      <w:r w:rsidRPr="00A31137">
        <w:t>B</w:t>
      </w:r>
    </w:p>
    <w:p w:rsidR="00A31137" w:rsidRPr="00A31137" w:rsidRDefault="00A31137" w:rsidP="00A31137">
      <w:r w:rsidRPr="00A31137">
        <w:t>1991, Airports Auth. v. Citizens for Noise Abatement, 501 U.S. 290</w:t>
      </w:r>
    </w:p>
    <w:p w:rsidR="00A31137" w:rsidRPr="00A31137" w:rsidRDefault="00A31137" w:rsidP="00A31137">
      <w:r w:rsidRPr="00A31137">
        <w:t>The majority alternatively suggests that the Board wields an unconstitutional legislative veto contrary to Chadha. See 462 U.S. at 952-955. If the Board's "power is legislative," the Court opines, "Congress must exercise it in conformity with the bicameralism and presentment requirements of Art. I, § 7." Ante at  276. The problem with this theory is that, if the Board is exercising federal power, its power is not legislative. Neither does the Board itself serve as an agent of Congress, in any case.</w:t>
      </w:r>
    </w:p>
    <w:p w:rsidR="00A31137" w:rsidRPr="00A31137" w:rsidRDefault="00A31137" w:rsidP="00A31137">
      <w:r w:rsidRPr="00A31137">
        <w:t>1991, Airports Auth. v. Citizens for Noise Abatement, 501 U.S. 290</w:t>
      </w:r>
    </w:p>
    <w:p w:rsidR="00A31137" w:rsidRPr="00A31137" w:rsidRDefault="00A31137" w:rsidP="00A31137">
      <w:r w:rsidRPr="00A31137">
        <w:t>The majority never makes up its mind whether its claim is that the Board exercises legislative or executive authority. [501 U.S. 291] The Court of Appeals, however, had no doubts, concluding that the Board's authority was "quintessentially executive." 286 U.S.App.D.C. 334, 342, 917 F.2d 48, 56 (1990). Judge Mikva, in dissent, operated on the same assumption. See id. at 344-347, 917 F.2d at 58-61. Accord, 718 F.Supp. 974 986 (DC 1989); Federal Firefighters Association, Local 1 v. United States, 723 F.Supp. 825, 826 (DC 1989). If federal authority is being wielded by the Board, the lower courts' characterization is surely correct. Before their transfer to the Airports Authority, National and Dulles were managed by the Federal Aviation Administration, which in turn succeeded the Civil Aeronautics Agency. Ante at 255. There is no question that these two agencies exercised paradigmatic executive power, or that the transfer of the airports in no way altered that power, which is now in the hands of the Authority. In Chadha, by contrast, there was no question—at least among all but one member of the Court—that the power over alien deportability was legislative. 462 U.S. at 951-959; id. at  976, 984-989 (WHITE, J., dissenting). But see id. at  959, 964-967 (Powell, J., concurring in judgment). Chadha is therefore inapposite. Even more questionable is reliance on Bowsher to suggest that requirements of bicameralism and presentment apply to the actions of a "quintessentially executive" entity. While a concurrence in that case explored this theory, 478 U.S. at  755 (STEVENS, J., concurring in judgment), the Court never so held, id. at  732. The Board's authority is not of an order that the Court has ever held to be "an exercise of legislative power…subject to the standards prescribed in Art. I." Chadha, supra, 462 U.S. at  957. The majority can make it so only by reaching past our precedents.</w:t>
      </w:r>
    </w:p>
    <w:p w:rsidR="00A31137" w:rsidRPr="00A31137" w:rsidRDefault="00A31137" w:rsidP="00A31137">
      <w:r w:rsidRPr="00A31137">
        <w:t>1991, Airports Auth. v. Citizens for Noise Abatement, 501 U.S. 291</w:t>
      </w:r>
    </w:p>
    <w:p w:rsidR="00A31137" w:rsidRPr="00A31137" w:rsidRDefault="00A31137" w:rsidP="00A31137">
      <w:r w:rsidRPr="00A31137">
        <w:t>More important, the case for viewing the Board as a "congressional agent" is even less compelling in the context of Article I than it was with reference to Article II. Chadha dealt with a self-evident exercise of congressional authority in the form of a resolution passed by either House. 462 U.S. at [501 U.S. 292] 925. Bowsher involved a situation in which congressional control was at least arguable, since the Comptroller General labored under numerous, express statutory obligations to Congress itself. See 478 U.S. at 741-746 (STEVENS, J., concurring in judgment). Even then, the Court did not adopt the theory that such control subjected the actions of the Comptroller General to bicameralism and presentment requirements, but instead held that Congress' power of removal amounted to an unconstitutional intrusion on executive authority. Id. at 727-734. Here, by contrast, the Board operates under no obligations to Congress of any sort. To the contrary, every relevant instrument declares that Members of Congress sit in their "individual capacities" as "representatives of the users of the Metropolitan Washington Airports." Bylaws, Art. IV, § 1, App. to Pet. for Cert. 151a; Lease, Art. 13A, App. to Pet. for Cert. 175a; 49 U.S.C. App. § 2456(f)(1). There may well be instances in which a significant congressional presence would mandate an extension of the principles set forth in Chadha. This plainly is not one.</w:t>
      </w:r>
    </w:p>
    <w:p w:rsidR="00A31137" w:rsidRPr="00A31137" w:rsidRDefault="00A31137" w:rsidP="00A31137">
      <w:r w:rsidRPr="00A31137">
        <w:t>III</w:t>
      </w:r>
    </w:p>
    <w:p w:rsidR="00A31137" w:rsidRPr="00A31137" w:rsidRDefault="00A31137" w:rsidP="00A31137">
      <w:r w:rsidRPr="00A31137">
        <w:t>1991, Airports Auth. v. Citizens for Noise Abatement, 501 U.S. 292</w:t>
      </w:r>
    </w:p>
    <w:p w:rsidR="00A31137" w:rsidRPr="00A31137" w:rsidRDefault="00A31137" w:rsidP="00A31137">
      <w:r w:rsidRPr="00A31137">
        <w:t>The majority claims not to retreat from our settled rule that</w:t>
      </w:r>
    </w:p>
    <w:p w:rsidR="00A31137" w:rsidRPr="00A31137" w:rsidRDefault="00A31137" w:rsidP="00A31137">
      <w:r w:rsidRPr="00A31137">
        <w:t>1991, Airports Auth. v. Citizens for Noise Abatement, 501 U.S. 292</w:t>
      </w:r>
    </w:p>
    <w:p w:rsidR="00A31137" w:rsidRPr="00A31137" w:rsidRDefault="00A31137" w:rsidP="00A31137">
      <w:r w:rsidRPr="00A31137">
        <w:t>[w]hen this Court is asked to invalidate a statutory provision that has been approved by both Houses of the Congress and signed by the President,…it should only do so for the most compelling constitutional reasons.</w:t>
      </w:r>
    </w:p>
    <w:p w:rsidR="00A31137" w:rsidRPr="00A31137" w:rsidRDefault="00A31137" w:rsidP="00A31137">
      <w:r w:rsidRPr="00A31137">
        <w:t>1991, Airports Auth. v. Citizens for Noise Abatement, 501 U.S. 292</w:t>
      </w:r>
    </w:p>
    <w:p w:rsidR="00A31137" w:rsidRPr="00A31137" w:rsidRDefault="00A31137" w:rsidP="00A31137">
      <w:r w:rsidRPr="00A31137">
        <w:t>Mistretta, 488 U.S. at  384 (quoting Bowsher, supra, 478 U.S. at  736 (STEVENS, J.)). This rule should apply with even greater force when the arrangement under challenge has also been approved by what are functionally two state legislatures and two state executives.</w:t>
      </w:r>
    </w:p>
    <w:p w:rsidR="00A31137" w:rsidRPr="00A31137" w:rsidRDefault="00A31137" w:rsidP="00A31137">
      <w:r w:rsidRPr="00A31137">
        <w:t>1991, Airports Auth. v. Citizens for Noise Abatement, 501 U.S. 292</w:t>
      </w:r>
    </w:p>
    <w:p w:rsidR="00A31137" w:rsidRPr="00A31137" w:rsidRDefault="00A31137" w:rsidP="00A31137">
      <w:r w:rsidRPr="00A31137">
        <w:t>Since the "compelling constitutional reasons" on which we have relied in our past separation of powers decisions are insufficient to strike down the Board, the Court has had to inflate those reasons needlessly to defend today's decision. I cannot follow along this course. The Board violates none of the principles set forth in our cases. Still less does it provide [501 U.S. 293] a "blueprint for extensive expansion of the legislative power beyond its constitutionally confined role." Ante at 277. This view utterly ignores the Executive's ability to protect itself through, among other things, the ample power of the veto. Should Congress ever undertake such improbable projects as transferring national parklands to the States on the condition that its agents control their oversight, see Brief for Respondents 39, there is little doubt that the President would be equal to the task of safeguarding his or her interests. Least of all, finally, can it be said that the Board reflects "[t]he propensity of the legislative department to intrude upon the rights, and to absorb the powers, of the other departments" that the Framers feared. The Federalist No. 73, at p. 442 (A. Hamilton). Accordingly, I dissent.</w:t>
      </w:r>
    </w:p>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1991, Airports Auth. v. Citizens for Noise Abatement, 501 U.S. 293</w:t>
      </w:r>
    </w:p>
    <w:p w:rsidR="00A31137" w:rsidRPr="00A31137" w:rsidRDefault="00A31137" w:rsidP="00A31137">
      <w:r w:rsidRPr="00A31137">
        <w:t>1. Metropolitan Washington Airports Act of 1986, 100 Stat. 3341, 49 U.S.C. App. §§ 24512461 (Transfer Act).</w:t>
      </w:r>
    </w:p>
    <w:p w:rsidR="00A31137" w:rsidRPr="00A31137" w:rsidRDefault="00A31137" w:rsidP="00A31137">
      <w:r w:rsidRPr="00A31137">
        <w:t>1991, Airports Auth. v. Citizens for Noise Abatement, 501 U.S. 293</w:t>
      </w:r>
    </w:p>
    <w:p w:rsidR="00A31137" w:rsidRPr="00A31137" w:rsidRDefault="00A31137" w:rsidP="00A31137">
      <w:r w:rsidRPr="00A31137">
        <w:t>2.</w:t>
      </w:r>
    </w:p>
    <w:p w:rsidR="00A31137" w:rsidRPr="00A31137" w:rsidRDefault="00A31137" w:rsidP="00A31137">
      <w:r w:rsidRPr="00A31137">
        <w:t>1991, Airports Auth. v. Citizens for Noise Abatement, 501 U.S. 293</w:t>
      </w:r>
    </w:p>
    <w:p w:rsidR="00A31137" w:rsidRPr="00A31137" w:rsidRDefault="00A31137" w:rsidP="00A31137">
      <w:r w:rsidRPr="00A31137">
        <w:t>Of the three airports, National, as the Nation's 14th busiest airport (1983), handles by far the most traffic. In 1983, these airports handled passenger volumes of: National, 14.2 million; Dulles, 2.9 million; and BWI, 5.2 million. Other measures of airport activity also indicate a much greater activity level at National. On a combined basis, the [airports] earned the Federal Government a profit of $11.4 million. This profit, however, is entirely the result of activity at National, as Dulles consistently operates at a deficit. BWI, which not long ago operated at a loss, is now a consistent moneymaker for Maryland.</w:t>
      </w:r>
    </w:p>
    <w:p w:rsidR="00A31137" w:rsidRPr="00A31137" w:rsidRDefault="00A31137" w:rsidP="00A31137">
      <w:r w:rsidRPr="00A31137">
        <w:t>1991, Airports Auth. v. Citizens for Noise Abatement, 501 U.S. 293</w:t>
      </w:r>
    </w:p>
    <w:p w:rsidR="00A31137" w:rsidRPr="00A31137" w:rsidRDefault="00A31137" w:rsidP="00A31137">
      <w:r w:rsidRPr="00A31137">
        <w:t>CRS Report 2.</w:t>
      </w:r>
    </w:p>
    <w:p w:rsidR="00A31137" w:rsidRPr="00A31137" w:rsidRDefault="00A31137" w:rsidP="00A31137">
      <w:r w:rsidRPr="00A31137">
        <w:t>1991, Airports Auth. v. Citizens for Noise Abatement, 501 U.S. 293</w:t>
      </w:r>
    </w:p>
    <w:p w:rsidR="00A31137" w:rsidRPr="00A31137" w:rsidRDefault="00A31137" w:rsidP="00A31137">
      <w:r w:rsidRPr="00A31137">
        <w:t>3.</w:t>
      </w:r>
    </w:p>
    <w:p w:rsidR="00A31137" w:rsidRPr="00A31137" w:rsidRDefault="00A31137" w:rsidP="00A31137">
      <w:r w:rsidRPr="00A31137">
        <w:t>1991, Airports Auth. v. Citizens for Noise Abatement, 501 U.S. 293</w:t>
      </w:r>
    </w:p>
    <w:p w:rsidR="00A31137" w:rsidRPr="00A31137" w:rsidRDefault="00A31137" w:rsidP="00A31137">
      <w:r w:rsidRPr="00A31137">
        <w:t>There is no question that the daily management of the airports by the Metropolitan Washington Airports unit of FAA has been excellent. However, inclusion of the airports in the unified Federal budget has generally stymied most efforts to improve or expand facilities at either airport to keep pace with the growing commercial and air travel needs of the Washington area. No major capital projects have been financed at either airport from Federal appropriations since the construction of Dulles in the early 1960's. Given the continuing need to limit federal expenditures to reduce Federal deficits, it is unlikely that any significant capital improvements could be undertaken at the airports in the foreseeable future.</w:t>
      </w:r>
    </w:p>
    <w:p w:rsidR="00A31137" w:rsidRPr="00A31137" w:rsidRDefault="00A31137" w:rsidP="00A31137">
      <w:r w:rsidRPr="00A31137">
        <w:t>1991, Airports Auth. v. Citizens for Noise Abatement, 501 U.S. 293</w:t>
      </w:r>
    </w:p>
    <w:p w:rsidR="00A31137" w:rsidRPr="00A31137" w:rsidRDefault="00A31137" w:rsidP="00A31137">
      <w:r w:rsidRPr="00A31137">
        <w:t>S.Rep. No. 99-193, p. 2 (1985).</w:t>
      </w:r>
    </w:p>
    <w:p w:rsidR="00A31137" w:rsidRPr="00A31137" w:rsidRDefault="00A31137" w:rsidP="00A31137">
      <w:r w:rsidRPr="00A31137">
        <w:t>1991, Airports Auth. v. Citizens for Noise Abatement, 501 U.S. 293</w:t>
      </w:r>
    </w:p>
    <w:p w:rsidR="00A31137" w:rsidRPr="00A31137" w:rsidRDefault="00A31137" w:rsidP="00A31137">
      <w:r w:rsidRPr="00A31137">
        <w:t>4.</w:t>
      </w:r>
    </w:p>
    <w:p w:rsidR="00A31137" w:rsidRPr="00A31137" w:rsidRDefault="00A31137" w:rsidP="00A31137">
      <w:r w:rsidRPr="00A31137">
        <w:t>1991, Airports Auth. v. Citizens for Noise Abatement, 501 U.S. 293</w:t>
      </w:r>
    </w:p>
    <w:p w:rsidR="00A31137" w:rsidRPr="00A31137" w:rsidRDefault="00A31137" w:rsidP="00A31137">
      <w:r w:rsidRPr="00A31137">
        <w:t>Two of the suggestions made by the staff would present substantial constitutional problems. The first of these proposals would create a "Federal Board of Directors," consisting of three members of the House, appointed by the Speaker, three members of the Senate, appointed by the President pro tempore, and the Comptroller General. As proposed, this Federal Board would clearly be unconstitutional. In reality, the Federal Board would be no more than a committee of Congress plus the Comptroller General—who is clearly a legislative officer. This committee would be authorized by the bill to veto certain types of actions otherwise within the Airports Authority's power under applicable state law. In the absence of the Federal Board, the Airports Authority could implement those decisions without further review or approval. Disapproval by the Federal Board of a particular action would thus have "the purpose and effect of altering the legal rights, duties, and relations of persons…outside the Legislative Branch," INS v. Chadha, 462 U.S. 919,  952 (1983), and would plainly be legislative action that must conform to the requirements of Article 1, section 7 of the Constitution: passage by both Houses and approval by the President. Id. at 954-955. Congress cannot directly vest the Federal Board with authority to veto decisions made by the Airports Authority any more than it can authorize one House, one committee, or one officer to overturn the Attorney General's decision to allow a deportable alien to remain in the United States, to reject rules implemented by an executive agency pursuant to delegated authority, to dictate mandatory budget cuts to be made by the President, or to overturn any decision made by a state agency.</w:t>
      </w:r>
    </w:p>
    <w:p w:rsidR="00A31137" w:rsidRPr="00A31137" w:rsidRDefault="00A31137" w:rsidP="00A31137">
      <w:r w:rsidRPr="00A31137">
        <w:t>1991, Airports Auth. v. Citizens for Noise Abatement, 501 U.S. 293</w:t>
      </w:r>
    </w:p>
    <w:p w:rsidR="00A31137" w:rsidRPr="00A31137" w:rsidRDefault="00A31137" w:rsidP="00A31137">
      <w:r w:rsidRPr="00A31137">
        <w:t>App. 26-27 (footnotes omitted).</w:t>
      </w:r>
    </w:p>
    <w:p w:rsidR="00A31137" w:rsidRPr="00A31137" w:rsidRDefault="00A31137" w:rsidP="00A31137">
      <w:r w:rsidRPr="00A31137">
        <w:t>1991, Airports Auth. v. Citizens for Noise Abatement, 501 U.S. 293</w:t>
      </w:r>
    </w:p>
    <w:p w:rsidR="00A31137" w:rsidRPr="00A31137" w:rsidRDefault="00A31137" w:rsidP="00A31137">
      <w:r w:rsidRPr="00A31137">
        <w:t>5.</w:t>
      </w:r>
    </w:p>
    <w:p w:rsidR="00A31137" w:rsidRPr="00A31137" w:rsidRDefault="00A31137" w:rsidP="00A31137">
      <w:r w:rsidRPr="00A31137">
        <w:t>1991, Airports Auth. v. Citizens for Noise Abatement, 501 U.S. 293</w:t>
      </w:r>
    </w:p>
    <w:p w:rsidR="00A31137" w:rsidRPr="00A31137" w:rsidRDefault="00A31137" w:rsidP="00A31137">
      <w:r w:rsidRPr="00A31137">
        <w:t>The board of directors shall be subject to review of its actions and to requests, in accordance with this subsection, by a Board of Review of the Airports Authority. Such Board of Review shall be established by the board of directors and shall consist of the following, in their individual capacities, as representatives of users of the Metropolitan Washington Airports:</w:t>
      </w:r>
    </w:p>
    <w:p w:rsidR="00A31137" w:rsidRPr="00A31137" w:rsidRDefault="00A31137" w:rsidP="00A31137">
      <w:r w:rsidRPr="00A31137">
        <w:t>1991, Airports Auth. v. Citizens for Noise Abatement, 501 U.S. 293</w:t>
      </w:r>
    </w:p>
    <w:p w:rsidR="00A31137" w:rsidRPr="00A31137" w:rsidRDefault="00A31137" w:rsidP="00A31137">
      <w:r w:rsidRPr="00A31137">
        <w:t>(A) two members of the Public Works and Transportation Committee and two members of the Appropriations Committee of the House of Representatives from a list provided by the Speaker of the House;</w:t>
      </w:r>
    </w:p>
    <w:p w:rsidR="00A31137" w:rsidRPr="00A31137" w:rsidRDefault="00A31137" w:rsidP="00A31137">
      <w:r w:rsidRPr="00A31137">
        <w:t>1991, Airports Auth. v. Citizens for Noise Abatement, 501 U.S. 293</w:t>
      </w:r>
    </w:p>
    <w:p w:rsidR="00A31137" w:rsidRPr="00A31137" w:rsidRDefault="00A31137" w:rsidP="00A31137">
      <w:r w:rsidRPr="00A31137">
        <w:t>(B) two members of the Commerce, Science, and Transportation Committee and two members of the Appropriations Committee of the Senate from a list provided by the President pro tempore of the Senate; and</w:t>
      </w:r>
    </w:p>
    <w:p w:rsidR="00A31137" w:rsidRPr="00A31137" w:rsidRDefault="00A31137" w:rsidP="00A31137">
      <w:r w:rsidRPr="00A31137">
        <w:t>1991, Airports Auth. v. Citizens for Noise Abatement, 501 U.S. 293</w:t>
      </w:r>
    </w:p>
    <w:p w:rsidR="00A31137" w:rsidRPr="00A31137" w:rsidRDefault="00A31137" w:rsidP="00A31137">
      <w:r w:rsidRPr="00A31137">
        <w:t>(C) one member chosen alternatively from members of the House of Representatives and members of the Senate, from a list provided by the Speaker of the House or the President pro tempore of the Senate, respectively.</w:t>
      </w:r>
    </w:p>
    <w:p w:rsidR="00A31137" w:rsidRPr="00A31137" w:rsidRDefault="00A31137" w:rsidP="00A31137">
      <w:r w:rsidRPr="00A31137">
        <w:t>1991, Airports Auth. v. Citizens for Noise Abatement, 501 U.S. 293</w:t>
      </w:r>
    </w:p>
    <w:p w:rsidR="00A31137" w:rsidRPr="00A31137" w:rsidRDefault="00A31137" w:rsidP="00A31137">
      <w:r w:rsidRPr="00A31137">
        <w:t>The members of the Board of Review shall elect a chairman. A member of the House of Representatives or the Senate from Maryland or Virginia and the Delegate from the District of Columbia may not serve on the Board of Review.</w:t>
      </w:r>
    </w:p>
    <w:p w:rsidR="00A31137" w:rsidRPr="00A31137" w:rsidRDefault="00A31137" w:rsidP="00A31137">
      <w:r w:rsidRPr="00A31137">
        <w:t>1991, Airports Auth. v. Citizens for Noise Abatement, 501 U.S. 293</w:t>
      </w:r>
    </w:p>
    <w:p w:rsidR="00A31137" w:rsidRPr="00A31137" w:rsidRDefault="00A31137" w:rsidP="00A31137">
      <w:r w:rsidRPr="00A31137">
        <w:t>49 U.S.C. App. § 2456(f)(1).</w:t>
      </w:r>
    </w:p>
    <w:p w:rsidR="00A31137" w:rsidRPr="00A31137" w:rsidRDefault="00A31137" w:rsidP="00A31137">
      <w:r w:rsidRPr="00A31137">
        <w:t>1991, Airports Auth. v. Citizens for Noise Abatement, 501 U.S. 293</w:t>
      </w:r>
    </w:p>
    <w:p w:rsidR="00A31137" w:rsidRPr="00A31137" w:rsidRDefault="00A31137" w:rsidP="00A31137">
      <w:r w:rsidRPr="00A31137">
        <w:t>6.</w:t>
      </w:r>
    </w:p>
    <w:p w:rsidR="00A31137" w:rsidRPr="00A31137" w:rsidRDefault="00A31137" w:rsidP="00A31137">
      <w:r w:rsidRPr="00A31137">
        <w:t>1991, Airports Auth. v. Citizens for Noise Abatement, 501 U.S. 293</w:t>
      </w:r>
    </w:p>
    <w:p w:rsidR="00A31137" w:rsidRPr="00A31137" w:rsidRDefault="00A31137" w:rsidP="00A31137">
      <w:r w:rsidRPr="00A31137">
        <w:t>The following are the actions referred to in subparagraph (A):</w:t>
      </w:r>
    </w:p>
    <w:p w:rsidR="00A31137" w:rsidRPr="00A31137" w:rsidRDefault="00A31137" w:rsidP="00A31137">
      <w:r w:rsidRPr="00A31137">
        <w:t>1991, Airports Auth. v. Citizens for Noise Abatement, 501 U.S. 293</w:t>
      </w:r>
    </w:p>
    <w:p w:rsidR="00A31137" w:rsidRPr="00A31137" w:rsidRDefault="00A31137" w:rsidP="00A31137">
      <w:r w:rsidRPr="00A31137">
        <w:t>(i) the adoption of an annual budget;</w:t>
      </w:r>
    </w:p>
    <w:p w:rsidR="00A31137" w:rsidRPr="00A31137" w:rsidRDefault="00A31137" w:rsidP="00A31137">
      <w:r w:rsidRPr="00A31137">
        <w:t>1991, Airports Auth. v. Citizens for Noise Abatement, 501 U.S. 293</w:t>
      </w:r>
    </w:p>
    <w:p w:rsidR="00A31137" w:rsidRPr="00A31137" w:rsidRDefault="00A31137" w:rsidP="00A31137">
      <w:r w:rsidRPr="00A31137">
        <w:t>(ii) the authorization for the issuance of bonds;</w:t>
      </w:r>
    </w:p>
    <w:p w:rsidR="00A31137" w:rsidRPr="00A31137" w:rsidRDefault="00A31137" w:rsidP="00A31137">
      <w:r w:rsidRPr="00A31137">
        <w:t>1991, Airports Auth. v. Citizens for Noise Abatement, 501 U.S. 293</w:t>
      </w:r>
    </w:p>
    <w:p w:rsidR="00A31137" w:rsidRPr="00A31137" w:rsidRDefault="00A31137" w:rsidP="00A31137">
      <w:r w:rsidRPr="00A31137">
        <w:t>(iii) the adoption, amendment, or repeal of a regulation;</w:t>
      </w:r>
    </w:p>
    <w:p w:rsidR="00A31137" w:rsidRPr="00A31137" w:rsidRDefault="00A31137" w:rsidP="00A31137">
      <w:r w:rsidRPr="00A31137">
        <w:t>1991, Airports Auth. v. Citizens for Noise Abatement, 501 U.S. 293</w:t>
      </w:r>
    </w:p>
    <w:p w:rsidR="00A31137" w:rsidRPr="00A31137" w:rsidRDefault="00A31137" w:rsidP="00A31137">
      <w:r w:rsidRPr="00A31137">
        <w:t>(iv) the adoption or revision of a master plan, including any proposal for land acquisition; and</w:t>
      </w:r>
    </w:p>
    <w:p w:rsidR="00A31137" w:rsidRPr="00A31137" w:rsidRDefault="00A31137" w:rsidP="00A31137">
      <w:r w:rsidRPr="00A31137">
        <w:t>1991, Airports Auth. v. Citizens for Noise Abatement, 501 U.S. 293</w:t>
      </w:r>
    </w:p>
    <w:p w:rsidR="00A31137" w:rsidRPr="00A31137" w:rsidRDefault="00A31137" w:rsidP="00A31137">
      <w:r w:rsidRPr="00A31137">
        <w:t>(v) the appointment of the chief executive officer.</w:t>
      </w:r>
    </w:p>
    <w:p w:rsidR="00A31137" w:rsidRPr="00A31137" w:rsidRDefault="00A31137" w:rsidP="00A31137">
      <w:r w:rsidRPr="00A31137">
        <w:t>1991, Airports Auth. v. Citizens for Noise Abatement, 501 U.S. 293</w:t>
      </w:r>
    </w:p>
    <w:p w:rsidR="00A31137" w:rsidRPr="00A31137" w:rsidRDefault="00A31137" w:rsidP="00A31137">
      <w:r w:rsidRPr="00A31137">
        <w:t>§ 2456(f)(4)(B).</w:t>
      </w:r>
    </w:p>
    <w:p w:rsidR="00A31137" w:rsidRPr="00A31137" w:rsidRDefault="00A31137" w:rsidP="00A31137">
      <w:r w:rsidRPr="00A31137">
        <w:t>1991, Airports Auth. v. Citizens for Noise Abatement, 501 U.S. 293</w:t>
      </w:r>
    </w:p>
    <w:p w:rsidR="00A31137" w:rsidRPr="00A31137" w:rsidRDefault="00A31137" w:rsidP="00A31137">
      <w:r w:rsidRPr="00A31137">
        <w:t>7.</w:t>
      </w:r>
    </w:p>
    <w:p w:rsidR="00A31137" w:rsidRPr="00A31137" w:rsidRDefault="00A31137" w:rsidP="00A31137">
      <w:r w:rsidRPr="00A31137">
        <w:t>1991, Airports Auth. v. Citizens for Noise Abatement, 501 U.S. 293</w:t>
      </w:r>
    </w:p>
    <w:p w:rsidR="00A31137" w:rsidRPr="00A31137" w:rsidRDefault="00A31137" w:rsidP="00A31137">
      <w:r w:rsidRPr="00A31137">
        <w:t>An action disapproved under this paragraph shall not take effect. Unless an annual budget for a fiscal year has taken effect in accordance with this paragraph, the Airports Authority may not obligate or expend any money in such fiscal year, except for (i) debt service on previously authorized obligations, and (ii) obligations and expenditures for previously authorized capital expenditures and routine operating expenses.</w:t>
      </w:r>
    </w:p>
    <w:p w:rsidR="00A31137" w:rsidRPr="00A31137" w:rsidRDefault="00A31137" w:rsidP="00A31137">
      <w:r w:rsidRPr="00A31137">
        <w:t>1991, Airports Auth. v. Citizens for Noise Abatement, 501 U.S. 293</w:t>
      </w:r>
    </w:p>
    <w:p w:rsidR="00A31137" w:rsidRPr="00A31137" w:rsidRDefault="00A31137" w:rsidP="00A31137">
      <w:r w:rsidRPr="00A31137">
        <w:t>§ 2456(f)(4)(D).</w:t>
      </w:r>
    </w:p>
    <w:p w:rsidR="00A31137" w:rsidRPr="00A31137" w:rsidRDefault="00A31137" w:rsidP="00A31137">
      <w:r w:rsidRPr="00A31137">
        <w:t>1991, Airports Auth. v. Citizens for Noise Abatement, 501 U.S. 293</w:t>
      </w:r>
    </w:p>
    <w:p w:rsidR="00A31137" w:rsidRPr="00A31137" w:rsidRDefault="00A31137" w:rsidP="00A31137">
      <w:r w:rsidRPr="00A31137">
        <w:t>8.</w:t>
      </w:r>
    </w:p>
    <w:p w:rsidR="00A31137" w:rsidRPr="00A31137" w:rsidRDefault="00A31137" w:rsidP="00A31137">
      <w:r w:rsidRPr="00A31137">
        <w:t>1991, Airports Auth. v. Citizens for Noise Abatement, 501 U.S. 293</w:t>
      </w:r>
    </w:p>
    <w:p w:rsidR="00A31137" w:rsidRPr="00A31137" w:rsidRDefault="00A31137" w:rsidP="00A31137">
      <w:r w:rsidRPr="00A31137">
        <w:t>The Board of Review may request the Airports Authority to consider and vote, or to report, on any matter related to the Metropolitan Washington Airports. Upon receipt of such a request the Airports Authority shall consider and vote, or report, on the matter as promptly as feasible.</w:t>
      </w:r>
    </w:p>
    <w:p w:rsidR="00A31137" w:rsidRPr="00A31137" w:rsidRDefault="00A31137" w:rsidP="00A31137">
      <w:r w:rsidRPr="00A31137">
        <w:t>1991, Airports Auth. v. Citizens for Noise Abatement, 501 U.S. 293</w:t>
      </w:r>
    </w:p>
    <w:p w:rsidR="00A31137" w:rsidRPr="00A31137" w:rsidRDefault="00A31137" w:rsidP="00A31137">
      <w:r w:rsidRPr="00A31137">
        <w:t>§ 2456(f)(5).</w:t>
      </w:r>
    </w:p>
    <w:p w:rsidR="00A31137" w:rsidRPr="00A31137" w:rsidRDefault="00A31137" w:rsidP="00A31137">
      <w:r w:rsidRPr="00A31137">
        <w:t>1991, Airports Auth. v. Citizens for Noise Abatement, 501 U.S. 293</w:t>
      </w:r>
    </w:p>
    <w:p w:rsidR="00A31137" w:rsidRPr="00A31137" w:rsidRDefault="00A31137" w:rsidP="00A31137">
      <w:r w:rsidRPr="00A31137">
        <w:t>9.</w:t>
      </w:r>
    </w:p>
    <w:p w:rsidR="00A31137" w:rsidRPr="00A31137" w:rsidRDefault="00A31137" w:rsidP="00A31137">
      <w:r w:rsidRPr="00A31137">
        <w:t>1991, Airports Auth. v. Citizens for Noise Abatement, 501 U.S. 293</w:t>
      </w:r>
    </w:p>
    <w:p w:rsidR="00A31137" w:rsidRPr="00A31137" w:rsidRDefault="00A31137" w:rsidP="00A31137">
      <w:r w:rsidRPr="00A31137">
        <w:t>Any action of the Airports Authority changing, or having the effect of changing, the hours of operation of or the type of aircraft serving either of the Metropolitan Washington Airports may be taken only by regulation of the Airports Authority.</w:t>
      </w:r>
    </w:p>
    <w:p w:rsidR="00A31137" w:rsidRPr="00A31137" w:rsidRDefault="00A31137" w:rsidP="00A31137">
      <w:r w:rsidRPr="00A31137">
        <w:t>1991, Airports Auth. v. Citizens for Noise Abatement, 501 U.S. 293</w:t>
      </w:r>
    </w:p>
    <w:p w:rsidR="00A31137" w:rsidRPr="00A31137" w:rsidRDefault="00A31137" w:rsidP="00A31137">
      <w:r w:rsidRPr="00A31137">
        <w:t>§ 2456(g).</w:t>
      </w:r>
    </w:p>
    <w:p w:rsidR="00A31137" w:rsidRPr="00A31137" w:rsidRDefault="00A31137" w:rsidP="00A31137">
      <w:r w:rsidRPr="00A31137">
        <w:t>1991, Airports Auth. v. Citizens for Noise Abatement, 501 U.S. 293</w:t>
      </w:r>
    </w:p>
    <w:p w:rsidR="00A31137" w:rsidRPr="00A31137" w:rsidRDefault="00A31137" w:rsidP="00A31137">
      <w:r w:rsidRPr="00A31137">
        <w:t>10.</w:t>
      </w:r>
    </w:p>
    <w:p w:rsidR="00A31137" w:rsidRPr="00A31137" w:rsidRDefault="00A31137" w:rsidP="00A31137">
      <w:r w:rsidRPr="00A31137">
        <w:t>1991, Airports Auth. v. Citizens for Noise Abatement, 501 U.S. 293</w:t>
      </w:r>
    </w:p>
    <w:p w:rsidR="00A31137" w:rsidRPr="00A31137" w:rsidRDefault="00A31137" w:rsidP="00A31137">
      <w:r w:rsidRPr="00A31137">
        <w:t>If the Board of Review established under subsection (f) of this section is unable to carry out its functions under this subchapter by reason of a judicial order, the Airports Authority shall have no authority to perform any of the actions that are required by paragraph (f)(4) of this section to be submitted to the Board of Review.</w:t>
      </w:r>
    </w:p>
    <w:p w:rsidR="00A31137" w:rsidRPr="00A31137" w:rsidRDefault="00A31137" w:rsidP="00A31137">
      <w:r w:rsidRPr="00A31137">
        <w:t>1991, Airports Auth. v. Citizens for Noise Abatement, 501 U.S. 293</w:t>
      </w:r>
    </w:p>
    <w:p w:rsidR="00A31137" w:rsidRPr="00A31137" w:rsidRDefault="00A31137" w:rsidP="00A31137">
      <w:r w:rsidRPr="00A31137">
        <w:t>§ 2456(h).</w:t>
      </w:r>
    </w:p>
    <w:p w:rsidR="00A31137" w:rsidRPr="00A31137" w:rsidRDefault="00A31137" w:rsidP="00A31137">
      <w:r w:rsidRPr="00A31137">
        <w:t>1991, Airports Auth. v. Citizens for Noise Abatement, 501 U.S. 293</w:t>
      </w:r>
    </w:p>
    <w:p w:rsidR="00A31137" w:rsidRPr="00A31137" w:rsidRDefault="00A31137" w:rsidP="00A31137">
      <w:r w:rsidRPr="00A31137">
        <w:t>11. The District Court also rejected the arguments that the case was not ripe for review, and that plaintiffs had failed to exhaust administrative remedies. 718 F.Supp. at 979-980.</w:t>
      </w:r>
    </w:p>
    <w:p w:rsidR="00A31137" w:rsidRPr="00A31137" w:rsidRDefault="00A31137" w:rsidP="00A31137">
      <w:r w:rsidRPr="00A31137">
        <w:t>1991, Airports Auth. v. Citizens for Noise Abatement, 501 U.S. 293</w:t>
      </w:r>
    </w:p>
    <w:p w:rsidR="00A31137" w:rsidRPr="00A31137" w:rsidRDefault="00A31137" w:rsidP="00A31137">
      <w:r w:rsidRPr="00A31137">
        <w:t>12. Rule 12.4 provides that</w:t>
      </w:r>
    </w:p>
    <w:p w:rsidR="00A31137" w:rsidRPr="00A31137" w:rsidRDefault="00A31137" w:rsidP="00A31137">
      <w:r w:rsidRPr="00A31137">
        <w:t>1991, Airports Auth. v. Citizens for Noise Abatement, 501 U.S. 293</w:t>
      </w:r>
    </w:p>
    <w:p w:rsidR="00A31137" w:rsidRPr="00A31137" w:rsidRDefault="00A31137" w:rsidP="00A31137">
      <w:r w:rsidRPr="00A31137">
        <w:t>[a]ll parties to the proceeding in the court whose judgment is sought to be reviewed shall be deemed parties in this Court, unless the petitioner notifies the Clerk of this Court in writing of the petitioner's belief that one or more of the parties below has no interest in the outcome of the petition…. All parties other than petitioners shall be respondents….</w:t>
      </w:r>
    </w:p>
    <w:p w:rsidR="00A31137" w:rsidRPr="00A31137" w:rsidRDefault="00A31137" w:rsidP="00A31137">
      <w:r w:rsidRPr="00A31137">
        <w:t>1991, Airports Auth. v. Citizens for Noise Abatement, 501 U.S. 293</w:t>
      </w:r>
    </w:p>
    <w:p w:rsidR="00A31137" w:rsidRPr="00A31137" w:rsidRDefault="00A31137" w:rsidP="00A31137">
      <w:r w:rsidRPr="00A31137">
        <w:t>Even though the United States is technically a respondent under Rule 12.4, we shall use the term "respondents" to refer solely to plaintiffs.</w:t>
      </w:r>
    </w:p>
    <w:p w:rsidR="00A31137" w:rsidRPr="00A31137" w:rsidRDefault="00A31137" w:rsidP="00A31137">
      <w:r w:rsidRPr="00A31137">
        <w:t>1991, Airports Auth. v. Citizens for Noise Abatement, 501 U.S. 293</w:t>
      </w:r>
    </w:p>
    <w:p w:rsidR="00A31137" w:rsidRPr="00A31137" w:rsidRDefault="00A31137" w:rsidP="00A31137">
      <w:r w:rsidRPr="00A31137">
        <w:t>The United States does not support the position taken by petitioners and the dissent. The United States argues that,</w:t>
      </w:r>
    </w:p>
    <w:p w:rsidR="00A31137" w:rsidRPr="00A31137" w:rsidRDefault="00A31137" w:rsidP="00A31137">
      <w:r w:rsidRPr="00A31137">
        <w:t>1991, Airports Auth. v. Citizens for Noise Abatement, 501 U.S. 293</w:t>
      </w:r>
    </w:p>
    <w:p w:rsidR="00A31137" w:rsidRPr="00A31137" w:rsidRDefault="00A31137" w:rsidP="00A31137">
      <w:r w:rsidRPr="00A31137">
        <w:t>[i]f the exercise of state authority were sufficient, in itself, to validate a statutorily imposed condition like the one in this case, a massive loophole in the separation of powers would be opened.</w:t>
      </w:r>
    </w:p>
    <w:p w:rsidR="00A31137" w:rsidRPr="00A31137" w:rsidRDefault="00A31137" w:rsidP="00A31137">
      <w:r w:rsidRPr="00A31137">
        <w:t>1991, Airports Auth. v. Citizens for Noise Abatement, 501 U.S. 293</w:t>
      </w:r>
    </w:p>
    <w:p w:rsidR="00A31137" w:rsidRPr="00A31137" w:rsidRDefault="00A31137" w:rsidP="00A31137">
      <w:r w:rsidRPr="00A31137">
        <w:t>Brief for the United States 31. According to the United States, the condition in this case is constitutional only because "there is here a reasonable basis for the appointment of Members of Congress 'in their individual capacities.'" Id. at 33.</w:t>
      </w:r>
    </w:p>
    <w:p w:rsidR="00A31137" w:rsidRPr="00A31137" w:rsidRDefault="00A31137" w:rsidP="00A31137">
      <w:r w:rsidRPr="00A31137">
        <w:t>1991, Airports Auth. v. Citizens for Noise Abatement, 501 U.S. 293</w:t>
      </w:r>
    </w:p>
    <w:p w:rsidR="00A31137" w:rsidRPr="00A31137" w:rsidRDefault="00A31137" w:rsidP="00A31137">
      <w:r w:rsidRPr="00A31137">
        <w:t>13. In the lower courts, petitioners also challenged this action on ripeness grounds. Although petitioners do not press this issue on appeal, it concerns our jurisdiction under Article III, so we must consider the question on our own initiative. See Liberty Mutual Ins. Co. v. Wetzel, 424 U.S. 737, 740 (1976). We have no trouble concluding, however, that a challenge to the Board of Review's veto power is ripe even if the veto power has not been exercised to respondents' detriment. The threat of the veto hangs over the Board of Directors like the sword over Damocles, creating a "here-and-now subservience" to the Board of Review sufficient to raise constitutional questions. See Bowsher v. Synar, 478 U.S. 714,  727, n. 5 (1986).</w:t>
      </w:r>
    </w:p>
    <w:p w:rsidR="00A31137" w:rsidRPr="00A31137" w:rsidRDefault="00A31137" w:rsidP="00A31137">
      <w:r w:rsidRPr="00A31137">
        <w:t>1991, Airports Auth. v. Citizens for Noise Abatement, 501 U.S. 293</w:t>
      </w:r>
    </w:p>
    <w:p w:rsidR="00A31137" w:rsidRPr="00A31137" w:rsidRDefault="00A31137" w:rsidP="00A31137">
      <w:r w:rsidRPr="00A31137">
        <w:t>14.</w:t>
      </w:r>
    </w:p>
    <w:p w:rsidR="00A31137" w:rsidRPr="00A31137" w:rsidRDefault="00A31137" w:rsidP="00A31137">
      <w:r w:rsidRPr="00A31137">
        <w:t>1991, Airports Auth. v. Citizens for Noise Abatement, 501 U.S. 293</w:t>
      </w:r>
    </w:p>
    <w:p w:rsidR="00A31137" w:rsidRPr="00A31137" w:rsidRDefault="00A31137" w:rsidP="00A31137">
      <w:r w:rsidRPr="00A31137">
        <w:t>The Congress finds that—</w:t>
      </w:r>
    </w:p>
    <w:p w:rsidR="00A31137" w:rsidRPr="00A31137" w:rsidRDefault="00A31137" w:rsidP="00A31137">
      <w:r w:rsidRPr="00A31137">
        <w:t>*    *    *    *</w:t>
      </w:r>
    </w:p>
    <w:p w:rsidR="00A31137" w:rsidRPr="00A31137" w:rsidRDefault="00A31137" w:rsidP="00A31137">
      <w:r w:rsidRPr="00A31137">
        <w:t>1991, Airports Auth. v. Citizens for Noise Abatement, 501 U.S. 293</w:t>
      </w:r>
    </w:p>
    <w:p w:rsidR="00A31137" w:rsidRPr="00A31137" w:rsidRDefault="00A31137" w:rsidP="00A31137">
      <w:r w:rsidRPr="00A31137">
        <w:tab/>
        <w:t>(3) the Federal Government has a continuing but limited interest in the operation of the two federally owned airports, which serve the travel and cargo needs of the entire Metropolitan Washington region, as well as the District of Columbia, as the national seat of government.</w:t>
      </w:r>
    </w:p>
    <w:p w:rsidR="00A31137" w:rsidRPr="00A31137" w:rsidRDefault="00A31137" w:rsidP="00A31137">
      <w:r w:rsidRPr="00A31137">
        <w:t>1991, Airports Auth. v. Citizens for Noise Abatement, 501 U.S. 293</w:t>
      </w:r>
    </w:p>
    <w:p w:rsidR="00A31137" w:rsidRPr="00A31137" w:rsidRDefault="00A31137" w:rsidP="00A31137">
      <w:r w:rsidRPr="00A31137">
        <w:t>49 U.S.C. App. § 2451.</w:t>
      </w:r>
    </w:p>
    <w:p w:rsidR="00A31137" w:rsidRPr="00A31137" w:rsidRDefault="00A31137" w:rsidP="00A31137">
      <w:r w:rsidRPr="00A31137">
        <w:t>1991, Airports Auth. v. Citizens for Noise Abatement, 501 U.S. 293</w:t>
      </w:r>
    </w:p>
    <w:p w:rsidR="00A31137" w:rsidRPr="00A31137" w:rsidRDefault="00A31137" w:rsidP="00A31137">
      <w:r w:rsidRPr="00A31137">
        <w:t>15. Thus, whether or not the statute gives the Airports Authority formal appointment and removal power over the Board of Review is irrelevant. Also irrelevant for separation of powers purposes is the likelihood that Congress will discipline Board members by depriving them of Committee membership. See Bowsher, 478 U.S. at  730 (rejecting relevance of likelihood that Congress would actually remove the Comptroller General). The dissenting judge on the Court of Appeals suggested that a constitutional problem could be avoided by reading the statute's requirement that Board members be members of particular congressional committees as applying only at the time of appointment. See 286 U.S.App.D.C. 334, 347, 917 F.2d 48, 61 (1990) (Mikva, J., dissenting). We do not dispute that statutes should be interpreted, if possible, to avoid constitutional difficulties. See, e.g., Edward J. DeBartolo Corp. v. Florida Gulf Coast Building &amp; Construction Trades Council, 485 U.S. 568, 575 (1988). However, the statutory language unambiguously requires that the Board of Review "shall consist" of members of certain congressional committees. The Transfer Act cannot fairly be read to impose this requirement only at the time of appointment.</w:t>
      </w:r>
    </w:p>
    <w:p w:rsidR="00A31137" w:rsidRPr="00A31137" w:rsidRDefault="00A31137" w:rsidP="00A31137">
      <w:r w:rsidRPr="00A31137">
        <w:t>1991, Airports Auth. v. Citizens for Noise Abatement, 501 U.S. 293</w:t>
      </w:r>
    </w:p>
    <w:p w:rsidR="00A31137" w:rsidRPr="00A31137" w:rsidRDefault="00A31137" w:rsidP="00A31137">
      <w:r w:rsidRPr="00A31137">
        <w:t>16. Petitioners and the United States both place great weight on the fact that the Framers at the Constitutional Convention expressly rejected a constitutional provision that would have prohibited an individual from holding both state and federal office. Brief for Petitioners 15; Brief for United States 21-23. The Framers apparently were concerned that such a prohibition would limit the pool of talented citizens to one level of government or the other. See 1 M. Farrand, Records of the Federal Convention of 1787, pp. 221, 217, 386, 389, 428-429 (1911). Neither Petitioners nor the United States, however, point to any endorsement by the Framers of offices that are nominally created by the State but for which concurrent federal office is a prerequisite.</w:t>
      </w:r>
    </w:p>
    <w:p w:rsidR="00A31137" w:rsidRPr="00A31137" w:rsidRDefault="00A31137" w:rsidP="00A31137">
      <w:r w:rsidRPr="00A31137">
        <w:t>1991, Airports Auth. v. Citizens for Noise Abatement, 501 U.S. 293</w:t>
      </w:r>
    </w:p>
    <w:p w:rsidR="00A31137" w:rsidRPr="00A31137" w:rsidRDefault="00A31137" w:rsidP="00A31137">
      <w:r w:rsidRPr="00A31137">
        <w:t>17. U.S.Const., Art. IV, § 3, cl. 2 provides in relevant part:</w:t>
      </w:r>
    </w:p>
    <w:p w:rsidR="00A31137" w:rsidRPr="00A31137" w:rsidRDefault="00A31137" w:rsidP="00A31137">
      <w:r w:rsidRPr="00A31137">
        <w:t>1991, Airports Auth. v. Citizens for Noise Abatement, 501 U.S. 293</w:t>
      </w:r>
    </w:p>
    <w:p w:rsidR="00A31137" w:rsidRPr="00A31137" w:rsidRDefault="00A31137" w:rsidP="00A31137">
      <w:r w:rsidRPr="00A31137">
        <w:t>The Congress shall have Power to dispose of and make all needful Rules and Regulations respecting the Territory or other Property belonging to the United States.</w:t>
      </w:r>
    </w:p>
    <w:p w:rsidR="00A31137" w:rsidRPr="00A31137" w:rsidRDefault="00A31137" w:rsidP="00A31137">
      <w:r w:rsidRPr="00A31137">
        <w:t>1991, Airports Auth. v. Citizens for Noise Abatement, 501 U.S. 293</w:t>
      </w:r>
    </w:p>
    <w:p w:rsidR="00A31137" w:rsidRPr="00A31137" w:rsidRDefault="00A31137" w:rsidP="00A31137">
      <w:r w:rsidRPr="00A31137">
        <w:t>18. U.S.Const., Amdt. 21 provides:</w:t>
      </w:r>
    </w:p>
    <w:p w:rsidR="00A31137" w:rsidRPr="00A31137" w:rsidRDefault="00A31137" w:rsidP="00A31137">
      <w:r w:rsidRPr="00A31137">
        <w:t>1991, Airports Auth. v. Citizens for Noise Abatement, 501 U.S. 293</w:t>
      </w:r>
    </w:p>
    <w:p w:rsidR="00A31137" w:rsidRPr="00A31137" w:rsidRDefault="00A31137" w:rsidP="00A31137">
      <w:r w:rsidRPr="00A31137">
        <w:t>SECTION 1. The eighteenth article of amendment to the Constitution of the United States is hereby repealed.</w:t>
      </w:r>
    </w:p>
    <w:p w:rsidR="00A31137" w:rsidRPr="00A31137" w:rsidRDefault="00A31137" w:rsidP="00A31137">
      <w:r w:rsidRPr="00A31137">
        <w:t>1991, Airports Auth. v. Citizens for Noise Abatement, 501 U.S. 293</w:t>
      </w:r>
    </w:p>
    <w:p w:rsidR="00A31137" w:rsidRPr="00A31137" w:rsidRDefault="00A31137" w:rsidP="00A31137">
      <w:r w:rsidRPr="00A31137">
        <w:t>SEC. 2. The transportation or importation into any State, Territory, or possession of the United States for delivery or use therein of intoxicating liquors, in violation of the laws thereof, is hereby prohibited.</w:t>
      </w:r>
    </w:p>
    <w:p w:rsidR="00A31137" w:rsidRPr="00A31137" w:rsidRDefault="00A31137" w:rsidP="00A31137">
      <w:r w:rsidRPr="00A31137">
        <w:t>1991, Airports Auth. v. Citizens for Noise Abatement, 501 U.S. 293</w:t>
      </w:r>
    </w:p>
    <w:p w:rsidR="00A31137" w:rsidRPr="00A31137" w:rsidRDefault="00A31137" w:rsidP="00A31137">
      <w:r w:rsidRPr="00A31137">
        <w:t>SEC. 3. This article shall be inoperative unless it shall have been ratified as an amendment to the Constitution by conventions in several States, as provided in the Constitution, within seven years from the date of the submission hereof to the States by the Congress.</w:t>
      </w:r>
    </w:p>
    <w:p w:rsidR="00A31137" w:rsidRPr="00A31137" w:rsidRDefault="00A31137" w:rsidP="00A31137">
      <w:r w:rsidRPr="00A31137">
        <w:t>1991, Airports Auth. v. Citizens for Noise Abatement, 501 U.S. 293</w:t>
      </w:r>
    </w:p>
    <w:p w:rsidR="00A31137" w:rsidRPr="00A31137" w:rsidRDefault="00A31137" w:rsidP="00A31137">
      <w:r w:rsidRPr="00A31137">
        <w:t>19.</w:t>
      </w:r>
    </w:p>
    <w:p w:rsidR="00A31137" w:rsidRPr="00A31137" w:rsidRDefault="00A31137" w:rsidP="00A31137">
      <w:r w:rsidRPr="00A31137">
        <w:t>1991, Airports Auth. v. Citizens for Noise Abatement, 501 U.S. 293</w:t>
      </w:r>
    </w:p>
    <w:p w:rsidR="00A31137" w:rsidRPr="00A31137" w:rsidRDefault="00A31137" w:rsidP="00A31137">
      <w:r w:rsidRPr="00A31137">
        <w:t>As we emphasized in Chadha, when Congress legislates, when it makes binding policy, it must follow the procedures prescribed in Article I. Neither the unquestioned urgency of the national budget crisis nor the Comptroller General's proud record of professionalism and dedication provides a justification for allowing a congressional agent to set policy that binds the Nation. Rather than turning the task over to its agent, if the Legislative Branch decides to act with conclusive effect, it must do so through a process akin to that specified in the fallback provision—through enactment by both Houses and presentment to the President.</w:t>
      </w:r>
    </w:p>
    <w:p w:rsidR="00A31137" w:rsidRPr="00A31137" w:rsidRDefault="00A31137" w:rsidP="00A31137">
      <w:r w:rsidRPr="00A31137">
        <w:t>1991, Airports Auth. v. Citizens for Noise Abatement, 501 U.S. 293</w:t>
      </w:r>
    </w:p>
    <w:p w:rsidR="00A31137" w:rsidRPr="00A31137" w:rsidRDefault="00A31137" w:rsidP="00A31137">
      <w:r w:rsidRPr="00A31137">
        <w:t>Bowsher v. Synar, 478 U.S. 714, 757-759 (1986) (STEVENS, J. concurring in the judgment).</w:t>
      </w:r>
    </w:p>
    <w:p w:rsidR="00A31137" w:rsidRPr="00A31137" w:rsidRDefault="00A31137" w:rsidP="00A31137">
      <w:r w:rsidRPr="00A31137">
        <w:t>1991, Airports Auth. v. Citizens for Noise Abatement, 501 U.S. 293</w:t>
      </w:r>
    </w:p>
    <w:p w:rsidR="00A31137" w:rsidRPr="00A31137" w:rsidRDefault="00A31137" w:rsidP="00A31137">
      <w:r w:rsidRPr="00A31137">
        <w:t>20.</w:t>
      </w:r>
    </w:p>
    <w:p w:rsidR="00A31137" w:rsidRPr="00A31137" w:rsidRDefault="00A31137" w:rsidP="00A31137">
      <w:r w:rsidRPr="00A31137">
        <w:t>1991, Airports Auth. v. Citizens for Noise Abatement, 501 U.S. 293</w:t>
      </w:r>
    </w:p>
    <w:p w:rsidR="00A31137" w:rsidRPr="00A31137" w:rsidRDefault="00A31137" w:rsidP="00A31137">
      <w:r w:rsidRPr="00A31137">
        <w:t>If Congress were free to delegate its policymaking authority to one of its components, or to one of its agents, it would be able to evade "the carefully crafted restraints spelled out in the Constitution." Id. at  959</w:t>
      </w:r>
    </w:p>
    <w:p w:rsidR="00A31137" w:rsidRPr="00A31137" w:rsidRDefault="00A31137" w:rsidP="00A31137">
      <w:r w:rsidRPr="00A31137">
        <w:t>1991, Airports Auth. v. Citizens for Noise Abatement, 501 U.S. 293</w:t>
      </w:r>
    </w:p>
    <w:p w:rsidR="00A31137" w:rsidRPr="00A31137" w:rsidRDefault="00A31137" w:rsidP="00A31137">
      <w:r w:rsidRPr="00A31137">
        <w:t>Bowsher, 478 U.S. at  755 (STEVENS, J., concurring in the judgment).</w:t>
      </w:r>
    </w:p>
    <w:p w:rsidR="00A31137" w:rsidRPr="00A31137" w:rsidRDefault="00A31137" w:rsidP="00A31137">
      <w:r w:rsidRPr="00A31137">
        <w:t>1991, Airports Auth. v. Citizens for Noise Abatement, 501 U.S. 293</w:t>
      </w:r>
    </w:p>
    <w:p w:rsidR="00A31137" w:rsidRPr="00A31137" w:rsidRDefault="00A31137" w:rsidP="00A31137">
      <w:r w:rsidRPr="00A31137">
        <w:t>21. The Constitution does permit Congress or a part of Congress to take some actions with effects outside the Legislative Branch by means other than the provisions of Art. 1, § 7. These include at least the power of the House alone to initiate impeachments, Art. 1, § 2, cl. 5; the power of the Senate alone to try impeachments, Art. 1, § 3, cl. 6; the power of the Senate alone to approve or disapprove Presidential appointments, Art. II, § 2, cl. 2; and the power of the Senate alone to ratify treaties, Art. II, § 2, cl. 2. See also Art. II, § 1, and Amdt. 12 (Congressional role in Presidential election process); Art. V (Congressional role in Amendment process). Moreover, Congress can, of course, manage its own affairs without complying with the constraints of Art. I, § 7. See Chadha, 462 U.S. at  954, n. 16 (1983); Bowsher, 478 U.S. at 753-756 (STEVENS, J., concurring).</w:t>
      </w:r>
    </w:p>
    <w:p w:rsidR="00A31137" w:rsidRPr="00A31137" w:rsidRDefault="00A31137" w:rsidP="00A31137">
      <w:r w:rsidRPr="00A31137">
        <w:t>1991, Airports Auth. v. Citizens for Noise Abatement, 501 U.S. 293</w:t>
      </w:r>
    </w:p>
    <w:p w:rsidR="00A31137" w:rsidRPr="00A31137" w:rsidRDefault="00A31137" w:rsidP="00A31137">
      <w:r w:rsidRPr="00A31137">
        <w:t>22.</w:t>
      </w:r>
    </w:p>
    <w:p w:rsidR="00A31137" w:rsidRPr="00A31137" w:rsidRDefault="00A31137" w:rsidP="00A31137">
      <w:r w:rsidRPr="00A31137">
        <w:t>1991, Airports Auth. v. Citizens for Noise Abatement, 501 U.S. 293</w:t>
      </w:r>
    </w:p>
    <w:p w:rsidR="00A31137" w:rsidRPr="00A31137" w:rsidRDefault="00A31137" w:rsidP="00A31137">
      <w:r w:rsidRPr="00A31137">
        <w:t>While the Constitution diffuses power the better to secure liberty, it also contemplates that practice will integrate the dispersed powers into a workable government. It enjoins upon its branches separateness but interdependence, autonomy but reciprocity.</w:t>
      </w:r>
      <w:r w:rsidRPr="00A31137">
        <w:cr/>
      </w:r>
    </w:p>
    <w:p w:rsidR="00A31137" w:rsidRPr="00A31137" w:rsidRDefault="00A31137" w:rsidP="00A31137">
      <w:r w:rsidRPr="00A31137">
        <w:t>1991, Airports Auth. v. Citizens for Noise Abatement, 501 U.S. 293</w:t>
      </w:r>
    </w:p>
    <w:p w:rsidR="00A31137" w:rsidRPr="00A31137" w:rsidRDefault="00A31137" w:rsidP="00A31137">
      <w:r w:rsidRPr="00A31137">
        <w:t>Youngstown Sheet &amp; Tube Co. v. Sawyer, 343 U.S. 579,  635 (1952) (concurring opinion).</w:t>
      </w:r>
    </w:p>
    <w:p w:rsidR="00A31137" w:rsidRPr="00A31137" w:rsidRDefault="00A31137" w:rsidP="00A31137">
      <w:r w:rsidRPr="00A31137">
        <w:t>1991, Airports Auth. v. Citizens for Noise Abatement, 501 U.S. 293</w:t>
      </w:r>
    </w:p>
    <w:p w:rsidR="00A31137" w:rsidRPr="00A31137" w:rsidRDefault="00A31137" w:rsidP="00A31137">
      <w:r w:rsidRPr="00A31137">
        <w:t>23. Because we invalidate the Board of Review under basic separation of powers principles, we need not address respondents' claim that Members of Congress serve on the Board in violation of the Incompatibility and Ineligibility Clauses. See U.S.Const., Art. 1, § 6. We also express no opinion on whether the appointment process of the Board of Review contravenes the Appointments Clause, U.S.Const., Art. 11, § 2, cl. 2.</w:t>
      </w:r>
    </w:p>
    <w:p w:rsidR="00A31137" w:rsidRPr="00A31137" w:rsidRDefault="00A31137" w:rsidP="00A31137">
      <w:r w:rsidRPr="00A31137">
        <w:t>WHITE, J., dissenting (Footnotes)</w:t>
      </w:r>
    </w:p>
    <w:p w:rsidR="00A31137" w:rsidRPr="00A31137" w:rsidRDefault="00A31137" w:rsidP="00A31137">
      <w:r w:rsidRPr="00A31137">
        <w:t>1991, Airports Auth. v. Citizens for Noise Abatement, 501 U.S. 293</w:t>
      </w:r>
    </w:p>
    <w:p w:rsidR="00A31137" w:rsidRPr="00A31137" w:rsidRDefault="00A31137" w:rsidP="00A31137">
      <w:r w:rsidRPr="00A31137">
        <w:t>1. The District of Columbia, of course, is not a State under the Constitution. See, e.g., Hepburn &amp; Dundas v. Ellzey, 2 Cranch 445, 452-453 (1805). Nonetheless, neither respondents nor the Court of Appeals contend that the Airports Authority is a federal entity because it derives its authority from a delegation by the District as well as Virginia. For the purposes of separation of powers limitations, the power that the District delegated to the authority operates as the functional equivalent of state or local power. Cf. Key v. Doyle, 434 U.S. 59, 68, n. 13 (1977); District of Columbia v. John R. Thompson Co., 346 U.S. 100, 110 (1953). This conclusion follows with additional force since the District currently acts under "home rule" authority. See District of Columbia Self-Government and Governmental Reorganization Act, Pub.L. 93-198, 87 Stat. 774 (1973). The majority does not suggest that the Authority's partial District of Columbia parentage furnishes a basis for subjecting the Board to separation of powers analysis. Ante at  266.</w:t>
      </w:r>
    </w:p>
    <w:p w:rsidR="00A31137" w:rsidRPr="00A31137" w:rsidRDefault="00A31137" w:rsidP="00A31137">
      <w:r w:rsidRPr="00A31137">
        <w:t>1991, Airports Auth. v. Citizens for Noise Abatement, 501 U.S. 293</w:t>
      </w:r>
    </w:p>
    <w:p w:rsidR="00A31137" w:rsidRPr="00A31137" w:rsidRDefault="00A31137" w:rsidP="00A31137">
      <w:r w:rsidRPr="00A31137">
        <w:t>2. This is not to say that Congress could condition a grant of property on a State enactment consenting to the exercise of federal lawmaking powers that Congress or its individual members could not exercise consistent with Article I. We do not have that situation here, for as explained, the Board does not exercise federal power.</w:t>
      </w:r>
    </w:p>
    <w:p w:rsidR="00A31137" w:rsidRPr="00A31137" w:rsidRDefault="00A31137" w:rsidP="00A31137">
      <w:r w:rsidRPr="00A31137">
        <w:t>1991, Airports Auth. v. Citizens for Noise Abatement, 501 U.S. 293</w:t>
      </w:r>
    </w:p>
    <w:p w:rsidR="00A31137" w:rsidRPr="00A31137" w:rsidRDefault="00A31137" w:rsidP="00A31137">
      <w:r w:rsidRPr="00A31137">
        <w:t>3. For these reasons, the Court's historical exposition is not entirely relevant. The majority attempts to clear the path for its decision by stressing the Framers' fear of overweaning legislative authority. Ante at 272-274. It cannot be seriously maintained, however, that the basis for fearing legislative encroachment has increased or even persisted, rather than substantially diminished. At one point, Congress may have reigned as the preeminent Branch, much as the Framers predicted. See W. Wilson, Congressional Government 40-57 (1885). It does so no longer. This century has witnessed a vast increase in the power that Congress has transferred to the Executive. See INS v. Chadha, 462 U.S. 919, 968-974 (1983) (WHITE, J., dissenting). Given this shift in the constitutional balance, the Framers' fears of legislative tyranny ring hollow when invoked to portray a body like the Board as a serious encroachment on the powers of the Executive.</w:t>
      </w:r>
    </w:p>
    <w:p w:rsidR="00A31137" w:rsidRPr="00A31137" w:rsidRDefault="00A31137" w:rsidP="00A31137">
      <w:r w:rsidRPr="00A31137">
        <w:t>Florida v. Bostick, 1991</w:t>
      </w:r>
    </w:p>
    <w:p w:rsidR="00A31137" w:rsidRPr="00A31137" w:rsidRDefault="00A31137" w:rsidP="00A31137">
      <w:r w:rsidRPr="00A31137">
        <w:t>Title:</w:t>
      </w:r>
      <w:r w:rsidRPr="00A31137">
        <w:tab/>
        <w:t>Florida v. Bostick</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20, 1991</w:t>
      </w:r>
    </w:p>
    <w:p w:rsidR="00A31137" w:rsidRPr="00A31137" w:rsidRDefault="00A31137" w:rsidP="00A31137">
      <w:r w:rsidRPr="00A31137">
        <w:t>Source:</w:t>
      </w:r>
      <w:r w:rsidRPr="00A31137">
        <w:tab/>
        <w:t>501 U.S. 419</w:t>
      </w:r>
    </w:p>
    <w:p w:rsidR="00A31137" w:rsidRPr="00A31137" w:rsidRDefault="00A31137" w:rsidP="00A31137">
      <w:r w:rsidRPr="00A31137">
        <w:t>This case was argued February 26, 1991, and was decided June 20, 1991.</w:t>
      </w:r>
    </w:p>
    <w:p w:rsidR="00A31137" w:rsidRPr="00A31137" w:rsidRDefault="00A31137" w:rsidP="00A31137">
      <w:r w:rsidRPr="00A31137">
        <w:t>CERTIORARI TO THE SUPREME COURT OF FLORIDA</w:t>
      </w:r>
    </w:p>
    <w:p w:rsidR="00A31137" w:rsidRPr="00A31137" w:rsidRDefault="00A31137" w:rsidP="00A31137">
      <w:r w:rsidRPr="00A31137">
        <w:t>Syllabus</w:t>
      </w:r>
    </w:p>
    <w:p w:rsidR="00A31137" w:rsidRPr="00A31137" w:rsidRDefault="00A31137" w:rsidP="00A31137">
      <w:r w:rsidRPr="00A31137">
        <w:t>1991, Florida v. Bostick, 501 U.S. 429</w:t>
      </w:r>
    </w:p>
    <w:p w:rsidR="00A31137" w:rsidRPr="00A31137" w:rsidRDefault="00A31137" w:rsidP="00A31137">
      <w:r w:rsidRPr="00A31137">
        <w:t>As part of a drug interdiction effort, Broward County Sheriff's Department officers routinely board buses at scheduled stops and ask passengers for permission to search their luggage. Two officers boarded respondent Bostick's bus and, without articulable suspicion, questioned him and requested his consent to search his luggage for drugs, advising him of his right to refuse. He gave his permission, and the officers, after finding cocaine, arrested Bostick on drug trafficking charges. His motion to suppress the cocaine on the ground that it had been seized in violation of the Fourth Amendment was denied by the trial court. The Florida Court of Appeal affirmed, but certified a question to the State Supreme Court. That court, reasoning that a reasonable passenger would not have felt free to leave the bus to avoid questioning by the police, adopted a per se rule that the sheriff's practice of "working the buses" is unconstitutional.</w:t>
      </w:r>
    </w:p>
    <w:p w:rsidR="00A31137" w:rsidRPr="00A31137" w:rsidRDefault="00A31137" w:rsidP="00A31137">
      <w:r w:rsidRPr="00A31137">
        <w:t>1991, Florida v. Bostick, 501 U.S. 429</w:t>
      </w:r>
    </w:p>
    <w:p w:rsidR="00A31137" w:rsidRPr="00A31137" w:rsidRDefault="00A31137" w:rsidP="00A31137">
      <w:r w:rsidRPr="00A31137">
        <w:t>Held:</w:t>
      </w:r>
    </w:p>
    <w:p w:rsidR="00A31137" w:rsidRPr="00A31137" w:rsidRDefault="00A31137" w:rsidP="00A31137">
      <w:r w:rsidRPr="00A31137">
        <w:t>1991, Florida v. Bostick, 501 U.S. 429</w:t>
      </w:r>
    </w:p>
    <w:p w:rsidR="00A31137" w:rsidRPr="00A31137" w:rsidRDefault="00A31137" w:rsidP="00A31137">
      <w:r w:rsidRPr="00A31137">
        <w:t>1. The Florida Supreme Court erred in adopting a per se rule that every encounter on a bus is a seizure. The appropriate test is whether, taking into account all of the circumstances surrounding the encounter, a reasonable passenger would feel free to decline the officers' requests or otherwise terminate the encounter. Pp.  433-437.</w:t>
      </w:r>
    </w:p>
    <w:p w:rsidR="00A31137" w:rsidRPr="00A31137" w:rsidRDefault="00A31137" w:rsidP="00A31137">
      <w:r w:rsidRPr="00A31137">
        <w:t>1991, Florida v. Bostick, 501 U.S. 429</w:t>
      </w:r>
    </w:p>
    <w:p w:rsidR="00A31137" w:rsidRPr="00A31137" w:rsidRDefault="00A31137" w:rsidP="00A31137">
      <w:r w:rsidRPr="00A31137">
        <w:t>(a) A consensual encounter does not trigger Fourth Amendment scrutiny. See Terry v. Ohio, 392 U.S. 1, 19, n. 16. Even when officers have no basis for suspecting a particular individual, they may generally ask the individual questions, Florida v. Rodriguez, 469 U.S. 1, 5-6, ask to examine identification, INS v. Delgdo, 466 U.S. 210, 216, and request consent to search luggage, Florida v. Royer, 460 U.S. 491, 501, provided they do not convey a message that compliance with their requests is required. Thus, there is no doubt that, if this same encounter had taken place before Bostick boarded the bus or in the bus terminal, it would not be a seizure. Pp.  434-435.</w:t>
      </w:r>
    </w:p>
    <w:p w:rsidR="00A31137" w:rsidRPr="00A31137" w:rsidRDefault="00A31137" w:rsidP="00A31137">
      <w:r w:rsidRPr="00A31137">
        <w:t>1991, Florida v. Bostick, 501 U.S. 429</w:t>
      </w:r>
    </w:p>
    <w:p w:rsidR="00A31137" w:rsidRPr="00A31137" w:rsidRDefault="00A31137" w:rsidP="00A31137">
      <w:r w:rsidRPr="00A31137">
        <w:t>(b) That this encounter took place on a bus is but one relevant factor in determining whether or not it was of a coercive nature. The state court erred in focusing on the "free to leave" language of Michigan v. Chesternut, 486 U.S. 567, 573, rather than on the principle that those words were intended to capture. This inquiry is not an accurate measure of an encounter's coercive effect when a person is seated on a bus about to depart, has no desire to leave, and would not feel free to leave [501 U.S. 430] even if there were no police present. The more appropriate inquiry is whether a reasonable passenger would feel free to decline the officers' request or otherwise terminate the encounter. Thus, this case is analytically indistinguishable from INS v. Delgado, supra. There, no seizure occurred when INS agents visited factories at random, stationing some agents at exits while others questioned workers, because, even though workers were not free to leave without being questioned, the agents' conduct gave them no reason to believe that they would be detained if they answered truthfully or refused to answer. Such a refusal, alone, does not furnish the minimal level of objective justification needed for detention or seizure. Id. at 216-217. Pp.  435-437.</w:t>
      </w:r>
    </w:p>
    <w:p w:rsidR="00A31137" w:rsidRPr="00A31137" w:rsidRDefault="00A31137" w:rsidP="00A31137">
      <w:r w:rsidRPr="00A31137">
        <w:t>1991, Florida v. Bostick, 501 U.S. 430</w:t>
      </w:r>
    </w:p>
    <w:p w:rsidR="00A31137" w:rsidRPr="00A31137" w:rsidRDefault="00A31137" w:rsidP="00A31137">
      <w:r w:rsidRPr="00A31137">
        <w:t>2. This case is remanded for the Florida courts to evaluate the seizure question under the correct legal standard. The trial court made no express findings of fact, and the State Supreme Court rested its decision on a single fact—that the encounter took place on a bus—rather than on the totality of the circumstances. Rejected, however, is Bostick's argument that he must have been seized because no reasonable person would freely consent to a search of luggage containing drugs, since the "reasonable person" test presumes an innocent person. Pp.  437-440.</w:t>
      </w:r>
    </w:p>
    <w:p w:rsidR="00A31137" w:rsidRPr="00A31137" w:rsidRDefault="00A31137" w:rsidP="00A31137">
      <w:r w:rsidRPr="00A31137">
        <w:t>1991, Florida v. Bostick, 501 U.S. 430</w:t>
      </w:r>
    </w:p>
    <w:p w:rsidR="00A31137" w:rsidRPr="00A31137" w:rsidRDefault="00A31137" w:rsidP="00A31137">
      <w:r w:rsidRPr="00A31137">
        <w:t>554 So.2d 1153 (Fla.1989), reversed and remanded.</w:t>
      </w:r>
    </w:p>
    <w:p w:rsidR="00A31137" w:rsidRPr="00A31137" w:rsidRDefault="00A31137" w:rsidP="00A31137">
      <w:r w:rsidRPr="00A31137">
        <w:t>1991, Florida v. Bostick, 501 U.S. 430</w:t>
      </w:r>
    </w:p>
    <w:p w:rsidR="00A31137" w:rsidRPr="00A31137" w:rsidRDefault="00A31137" w:rsidP="00A31137">
      <w:r w:rsidRPr="00A31137">
        <w:t xml:space="preserve">O'CONNOR, J., delivered the opinion of the Court, in which REHNQUIST, C.J., and WHITE, SCALIA, KENNEDY, and SOUTER, JJ., joined. MARSHALL, J., filed a dissenting opinion, in which BLACKMUN and STEVENS, JJ., joined, post, p.  440. [501 U.S. 431] </w:t>
      </w:r>
    </w:p>
    <w:p w:rsidR="00A31137" w:rsidRPr="00A31137" w:rsidRDefault="00A31137" w:rsidP="00A31137">
      <w:r w:rsidRPr="00A31137">
        <w:t>O'CONNOR, J., lead opinion</w:t>
      </w:r>
    </w:p>
    <w:p w:rsidR="00A31137" w:rsidRPr="00A31137" w:rsidRDefault="00A31137" w:rsidP="00A31137">
      <w:r w:rsidRPr="00A31137">
        <w:t>1991, Florida v. Bostick, 501 U.S. 431</w:t>
      </w:r>
    </w:p>
    <w:p w:rsidR="00A31137" w:rsidRPr="00A31137" w:rsidRDefault="00A31137" w:rsidP="00A31137">
      <w:r w:rsidRPr="00A31137">
        <w:t>JUSTICE O'CONNOR delivered the opinion of the Court.</w:t>
      </w:r>
    </w:p>
    <w:p w:rsidR="00A31137" w:rsidRPr="00A31137" w:rsidRDefault="00A31137" w:rsidP="00A31137">
      <w:r w:rsidRPr="00A31137">
        <w:t>1991, Florida v. Bostick, 501 U.S. 431</w:t>
      </w:r>
    </w:p>
    <w:p w:rsidR="00A31137" w:rsidRPr="00A31137" w:rsidRDefault="00A31137" w:rsidP="00A31137">
      <w:r w:rsidRPr="00A31137">
        <w:t>We have held that the Fourth Amendment permits police officers to approach individuals at random in airport lobbies and other public places to ask them questions and to request consent to search their luggage, so long as a reasonable person would understand that he or she could refuse to cooperate. This case requires us to determine whether the same rule applies to police encounters that take place on a bus.</w:t>
      </w:r>
    </w:p>
    <w:p w:rsidR="00A31137" w:rsidRPr="00A31137" w:rsidRDefault="00A31137" w:rsidP="00A31137">
      <w:r w:rsidRPr="00A31137">
        <w:t>I</w:t>
      </w:r>
    </w:p>
    <w:p w:rsidR="00A31137" w:rsidRPr="00A31137" w:rsidRDefault="00A31137" w:rsidP="00A31137">
      <w:r w:rsidRPr="00A31137">
        <w:t>1991, Florida v. Bostick, 501 U.S. 431</w:t>
      </w:r>
    </w:p>
    <w:p w:rsidR="00A31137" w:rsidRPr="00A31137" w:rsidRDefault="00A31137" w:rsidP="00A31137">
      <w:r w:rsidRPr="00A31137">
        <w:t>Drug interdiction efforts have led to the use of police surveillance at airports, train stations, and bus depots. Law enforcement officers stationed at such locations routinely approach individuals, either randomly or because they suspect in some vague way that the individuals may be engaged in criminal activity, and ask them potentially incriminating questions. Broward County has adopted such a program. County Sheriff's Department officers routinely board buses at scheduled stops and ask passengers for permission to search their luggage.</w:t>
      </w:r>
    </w:p>
    <w:p w:rsidR="00A31137" w:rsidRPr="00A31137" w:rsidRDefault="00A31137" w:rsidP="00A31137">
      <w:r w:rsidRPr="00A31137">
        <w:t>1991, Florida v. Bostick, 501 U.S. 431</w:t>
      </w:r>
    </w:p>
    <w:p w:rsidR="00A31137" w:rsidRPr="00A31137" w:rsidRDefault="00A31137" w:rsidP="00A31137">
      <w:r w:rsidRPr="00A31137">
        <w:t>In this case, two officers discovered cocaine when they searched a suitcase belonging to Terrance Bostick. The underlying facts of the search are in dispute, but the Florida Supreme Court, whose decision we review here, stated explicitly the factual premise for its decision:</w:t>
      </w:r>
    </w:p>
    <w:p w:rsidR="00A31137" w:rsidRPr="00A31137" w:rsidRDefault="00A31137" w:rsidP="00A31137">
      <w:r w:rsidRPr="00A31137">
        <w:t>1991, Florida v. Bostick, 501 U.S. 431</w:t>
      </w:r>
    </w:p>
    <w:p w:rsidR="00A31137" w:rsidRPr="00A31137" w:rsidRDefault="00A31137" w:rsidP="00A31137">
      <w:r w:rsidRPr="00A31137">
        <w:t>"Two officers, complete with badges, insignia and one of them holding a recognizable zipper pouch, containing a pistol, boarded a bus bound from Miami to Atlanta during a stopover in Fort Lauderdale. Eyeing the passengers, the officers admittedly without articulable suspicion, picked out the defendant passenger and asked to inspect his ticket and identification. The ticket, from Miami to Atlanta, matched the defendant's identification and both were immediately returned to him as unremarkable. However, the two police officers persisted, and explained their presence as narcotics agents on the [501 U.S. 432] lookout for illegal drugs. In pursuit of that aim, they then requested the defendant's consent to search his luggage. Needless to say, there is a conflict in the evidence about whether the defendant consented to the search of the second bag in which the contraband was found and as to whether he was informed of his right to refuse consent. However, any conflict must be resolved in favor of the state, it being a question of fact decided by the trial judge."</w:t>
      </w:r>
    </w:p>
    <w:p w:rsidR="00A31137" w:rsidRPr="00A31137" w:rsidRDefault="00A31137" w:rsidP="00A31137">
      <w:r w:rsidRPr="00A31137">
        <w:t>1991, Florida v. Bostick, 501 U.S. 432</w:t>
      </w:r>
    </w:p>
    <w:p w:rsidR="00A31137" w:rsidRPr="00A31137" w:rsidRDefault="00A31137" w:rsidP="00A31137">
      <w:r w:rsidRPr="00A31137">
        <w:t>554 So.2d 1153, 1154-1155 (1989), quoting 510 So.2d 321, 322 (Fla. App.1987) (Letts, J., dissenting in part).</w:t>
      </w:r>
    </w:p>
    <w:p w:rsidR="00A31137" w:rsidRPr="00A31137" w:rsidRDefault="00A31137" w:rsidP="00A31137">
      <w:r w:rsidRPr="00A31137">
        <w:t>1991, Florida v. Bostick, 501 U.S. 432</w:t>
      </w:r>
    </w:p>
    <w:p w:rsidR="00A31137" w:rsidRPr="00A31137" w:rsidRDefault="00A31137" w:rsidP="00A31137">
      <w:r w:rsidRPr="00A31137">
        <w:t>Two facts are particularly worth noting. First, the police specifically advised Bostick that he had the right to refuse consent. Bostick appears to have disputed the point, but, as the Florida Supreme Court noted explicitly, the trial court resolved this evidentiary conflict in the State's favor. Second, at no time did the officers threaten Bostick with a gun. The Florida Supreme Court indicated that one officer carried a zipper pouch containing a pistol—the equivalent of carrying a gun in a holster—but the court did not suggest that the gun was ever removed from its pouch, pointed at Bostick, or otherwise used in a threatening manner. The dissent's characterization of the officers as "gun-wielding inquisitor[s]," post at  448, is colorful, but lacks any basis in fact.</w:t>
      </w:r>
    </w:p>
    <w:p w:rsidR="00A31137" w:rsidRPr="00A31137" w:rsidRDefault="00A31137" w:rsidP="00A31137">
      <w:r w:rsidRPr="00A31137">
        <w:t>1991, Florida v. Bostick, 501 U.S. 432</w:t>
      </w:r>
    </w:p>
    <w:p w:rsidR="00A31137" w:rsidRPr="00A31137" w:rsidRDefault="00A31137" w:rsidP="00A31137">
      <w:r w:rsidRPr="00A31137">
        <w:t>Bostick was arrested and charged with trafficking in cocaine. He moved to suppress the cocaine on the grounds that it had been seized in violation of his Fourth Amendment rights. The trial court denied the motion, but made no factual findings. Bostick subsequently entered a plea of guilty, but reserved the right to appeal the denial of the motion to suppress.</w:t>
      </w:r>
    </w:p>
    <w:p w:rsidR="00A31137" w:rsidRPr="00A31137" w:rsidRDefault="00A31137" w:rsidP="00A31137">
      <w:r w:rsidRPr="00A31137">
        <w:t>1991, Florida v. Bostick, 501 U.S. 432</w:t>
      </w:r>
    </w:p>
    <w:p w:rsidR="00A31137" w:rsidRPr="00A31137" w:rsidRDefault="00A31137" w:rsidP="00A31137">
      <w:r w:rsidRPr="00A31137">
        <w:t>The Florida District Court of Appeal affirmed, but considered the issue sufficiently important that it certified a question to the Florida Supreme Court. 510 So.2d at 322. [501 U.S. 433] The Supreme Court reasoned that Bostick had been seized because a reasonable passenger in his situation would not have felt free to leave the bus to avoid questioning by the police. 554 So.2d at 1154. It rephrased and answered the certified question so as to make the bus setting dispositive in every case. It ruled categorically that</w:t>
      </w:r>
    </w:p>
    <w:p w:rsidR="00A31137" w:rsidRPr="00A31137" w:rsidRDefault="00A31137" w:rsidP="00A31137">
      <w:r w:rsidRPr="00A31137">
        <w:t>1991, Florida v. Bostick, 501 U.S. 433</w:t>
      </w:r>
    </w:p>
    <w:p w:rsidR="00A31137" w:rsidRPr="00A31137" w:rsidRDefault="00A31137" w:rsidP="00A31137">
      <w:r w:rsidRPr="00A31137">
        <w:t>''an impermissible seizure result[s] when police mount a drug search on buses during scheduled stops and question boarded passengers without articulable reasons for doing so, thereby obtaining consent to search the passengers' luggage."</w:t>
      </w:r>
    </w:p>
    <w:p w:rsidR="00A31137" w:rsidRPr="00A31137" w:rsidRDefault="00A31137" w:rsidP="00A31137">
      <w:r w:rsidRPr="00A31137">
        <w:t>1991, Florida v. Bostick, 501 U.S. 433</w:t>
      </w:r>
    </w:p>
    <w:p w:rsidR="00A31137" w:rsidRPr="00A31137" w:rsidRDefault="00A31137" w:rsidP="00A31137">
      <w:r w:rsidRPr="00A31137">
        <w:t>Ibid. The Florida Supreme Court thus adopted a per se rule that the Broward County Sheriff's practice of "working the buses" is unconstitutional.* The result of this decision is that police in Florida, as elsewhere, may approach persons at random in most public places, ask them questions and seek consent to a search, see id. at 1156; but they may not engage in the same behavior on a bus. Id. at 1157. We granted certiorari, 498 U.S. 894 (1990), to determine whether the Florida Supreme Court's per se rule is consistent with our Fourth Amendment jurisprudence.</w:t>
      </w:r>
    </w:p>
    <w:p w:rsidR="00A31137" w:rsidRPr="00A31137" w:rsidRDefault="00A31137" w:rsidP="00A31137">
      <w:r w:rsidRPr="00A31137">
        <w:t>II</w:t>
      </w:r>
    </w:p>
    <w:p w:rsidR="00A31137" w:rsidRPr="00A31137" w:rsidRDefault="00A31137" w:rsidP="00A31137">
      <w:r w:rsidRPr="00A31137">
        <w:t>1991, Florida v. Bostick, 501 U.S. 433</w:t>
      </w:r>
    </w:p>
    <w:p w:rsidR="00A31137" w:rsidRPr="00A31137" w:rsidRDefault="00A31137" w:rsidP="00A31137">
      <w:r w:rsidRPr="00A31137">
        <w:t>The sole issue presented for our review is whether a police encounter on a bus of the type described above necessarily constitutes a "seizure" within the meaning of the Fourth Amendment. The State concedes, and we accept for purposes of this decision, that the officers lacked the reasonable [501 U.S. 434] suspicion required to justify a seizure and that, if a seizure took place, the drugs found in Bostick's suitcase must be suppressed as tainted fruit.</w:t>
      </w:r>
    </w:p>
    <w:p w:rsidR="00A31137" w:rsidRPr="00A31137" w:rsidRDefault="00A31137" w:rsidP="00A31137">
      <w:r w:rsidRPr="00A31137">
        <w:t>1991, Florida v. Bostick, 501 U.S. 434</w:t>
      </w:r>
    </w:p>
    <w:p w:rsidR="00A31137" w:rsidRPr="00A31137" w:rsidRDefault="00A31137" w:rsidP="00A31137">
      <w:r w:rsidRPr="00A31137">
        <w:t>Our cases make it clear that a seizure does not occur simply because a police officer approaches an individual and asks a few questions. So long as a reasonable person would feel free "to disregard the police and go about his business," California v. Hodari D., 499 U.S. 621, 628 (1991), the encounter is consensual, and no reasonable suspicion is required. The encounter will not trigger Fourth Amendment scrutiny unless it loses its consensual nature. The Court made precisely this point in Terry v. Ohio, 392 U.S. 1, 19, n. 16 (1968):</w:t>
      </w:r>
    </w:p>
    <w:p w:rsidR="00A31137" w:rsidRPr="00A31137" w:rsidRDefault="00A31137" w:rsidP="00A31137">
      <w:r w:rsidRPr="00A31137">
        <w:t>1991, Florida v. Bostick, 501 U.S. 434</w:t>
      </w:r>
    </w:p>
    <w:p w:rsidR="00A31137" w:rsidRPr="00A31137" w:rsidRDefault="00A31137" w:rsidP="00A31137">
      <w:r w:rsidRPr="00A31137">
        <w:t>Obviously, not all personal intercourse between policemen and citizens involves "seizures" of persons. Only when the officer, by means of physical force or show of authority, has in some way restrained the liberty of a citizen may we conclude that a "seizure" has occurred.</w:t>
      </w:r>
    </w:p>
    <w:p w:rsidR="00A31137" w:rsidRPr="00A31137" w:rsidRDefault="00A31137" w:rsidP="00A31137">
      <w:r w:rsidRPr="00A31137">
        <w:t>1991, Florida v. Bostick, 501 U.S. 434</w:t>
      </w:r>
    </w:p>
    <w:p w:rsidR="00A31137" w:rsidRPr="00A31137" w:rsidRDefault="00A31137" w:rsidP="00A31137">
      <w:r w:rsidRPr="00A31137">
        <w:t>Since Terry, we have held repeatedly that mere police questioning does not constitute a seizure. In Florida v. Royer, 460 U.S. 491 (1983) (plurality opinion), for example, we explained that</w:t>
      </w:r>
    </w:p>
    <w:p w:rsidR="00A31137" w:rsidRPr="00A31137" w:rsidRDefault="00A31137" w:rsidP="00A31137">
      <w:r w:rsidRPr="00A31137">
        <w:t>1991, Florida v. Bostick, 501 U.S. 434</w:t>
      </w:r>
    </w:p>
    <w:p w:rsidR="00A31137" w:rsidRPr="00A31137" w:rsidRDefault="00A31137" w:rsidP="00A31137">
      <w:r w:rsidRPr="00A31137">
        <w:t>law enforcement officers do not violate the Fourth Amendment by merely approaching an individual on the street or in another public place, by asking him if he is willing to answer some questions, by putting questions to him if the person is willing to listen, or by offering in evidence in a criminal prosecution his voluntary answers to such questions.</w:t>
      </w:r>
    </w:p>
    <w:p w:rsidR="00A31137" w:rsidRPr="00A31137" w:rsidRDefault="00A31137" w:rsidP="00A31137">
      <w:r w:rsidRPr="00A31137">
        <w:t>1991, Florida v. Bostick, 501 U.S. 434</w:t>
      </w:r>
    </w:p>
    <w:p w:rsidR="00A31137" w:rsidRPr="00A31137" w:rsidRDefault="00A31137" w:rsidP="00A31137">
      <w:r w:rsidRPr="00A31137">
        <w:t>Id. at 497; see id. at 523, n. 3 (REHNQUIST, J., dissenting).</w:t>
      </w:r>
    </w:p>
    <w:p w:rsidR="00A31137" w:rsidRPr="00A31137" w:rsidRDefault="00A31137" w:rsidP="00A31137">
      <w:r w:rsidRPr="00A31137">
        <w:t>1991, Florida v. Bostick, 501 U.S. 434</w:t>
      </w:r>
    </w:p>
    <w:p w:rsidR="00A31137" w:rsidRPr="00A31137" w:rsidRDefault="00A31137" w:rsidP="00A31137">
      <w:r w:rsidRPr="00A31137">
        <w:t>There is no doubt that, if this same encounter had taken place before Bostick boarded the bus or in the lobby of the bus terminal, it would not rise to the level of a seizure. The Court has dealt with similar encounters in airports, and has found them to be "the sort of consensual encounter[s] that implicat[e] no Fourth Amendment interest." Florida v. Rodriguez, 469 U.S. 1, 5-6 (1984). We have stated that even [501 U.S. 435] when officers have no basis for suspecting a particular individual, they may generally ask questions of that individual, see INS v. Delgado, 466 U.S. 210, 216 (1984); Rodriguez, supra, 469 U.S. at 5-6; ask to examine the individual's identification, see Delgado, supra, 466 U.S. at 216; Royer, supra, 460 U.S. at 501 (plurality opinion); United States v. Mendenhall, 446 U.S. 544, 557-558 (1980); and request consent to search his or her luggage, see Royer, supra, 460 U.S. at 501 (plurality opinion)—as long as the police do not convey a message that compliance with their requests is required.</w:t>
      </w:r>
    </w:p>
    <w:p w:rsidR="00A31137" w:rsidRPr="00A31137" w:rsidRDefault="00A31137" w:rsidP="00A31137">
      <w:r w:rsidRPr="00A31137">
        <w:t>1991, Florida v. Bostick, 501 U.S. 435</w:t>
      </w:r>
    </w:p>
    <w:p w:rsidR="00A31137" w:rsidRPr="00A31137" w:rsidRDefault="00A31137" w:rsidP="00A31137">
      <w:r w:rsidRPr="00A31137">
        <w:t>Bostick insists that this case is different because it took place in the cramped confines of a bus. A police encounter is much more intimidating in this setting, he argues, because police tower over a seated passenger and there is little room to move around. Bostick claims to find support in language from Michigan v. Chesternut, 486 U.S. 567, 573 (1988), and other cases, indicating that a seizure occurs when a reasonable person would believe that he or she is not "free to leave." Bostick maintains that a reasonable bus passenger would not have felt free to leave under the circumstances of this case because there is nowhere to go on a bus. Also, the bus was about to depart. Had Bostick disembarked, he would have risked being stranded and losing whatever baggage he had locked away in the luggage compartment.</w:t>
      </w:r>
    </w:p>
    <w:p w:rsidR="00A31137" w:rsidRPr="00A31137" w:rsidRDefault="00A31137" w:rsidP="00A31137">
      <w:r w:rsidRPr="00A31137">
        <w:t>1991, Florida v. Bostick, 501 U.S. 435</w:t>
      </w:r>
    </w:p>
    <w:p w:rsidR="00A31137" w:rsidRPr="00A31137" w:rsidRDefault="00A31137" w:rsidP="00A31137">
      <w:r w:rsidRPr="00A31137">
        <w:t>The Florida Supreme Court found this argument persuasive, so much so that it adopted a per se rule prohibiting the police from randomly boarding buses as a means of drug interdiction. The state court erred, however, in focusing on whether Bostick was "free to leave," rather than on the principle that those words were intended to capture. When police attempt to question a person who is walking down the street or through an airport lobby, it makes sense to inquire whether a reasonable person would feel free to continue walking. But when the person is seated on a bus and has no desire to leave, the degree to which a reasonable person [501 U.S. 436] would feel that he or she could leave is not an accurate measure of the coercive effect of the encounter.</w:t>
      </w:r>
    </w:p>
    <w:p w:rsidR="00A31137" w:rsidRPr="00A31137" w:rsidRDefault="00A31137" w:rsidP="00A31137">
      <w:r w:rsidRPr="00A31137">
        <w:t>1991, Florida v. Bostick, 501 U.S. 436</w:t>
      </w:r>
    </w:p>
    <w:p w:rsidR="00A31137" w:rsidRPr="00A31137" w:rsidRDefault="00A31137" w:rsidP="00A31137">
      <w:r w:rsidRPr="00A31137">
        <w:t>Here, for example, the mere fact that Bostick did not feel free to leave the bus does not mean that the police seized him. Bostick was a passenger on a bus that was scheduled to depart. He would not have felt free to leave the bus even if the police had not been present. Bostick's movements were "confined" in a sense, but this was the natural result of his decision to take the bus; it says nothing about whether or not the police conduct at issue was coercive.</w:t>
      </w:r>
    </w:p>
    <w:p w:rsidR="00A31137" w:rsidRPr="00A31137" w:rsidRDefault="00A31137" w:rsidP="00A31137">
      <w:r w:rsidRPr="00A31137">
        <w:t>1991, Florida v. Bostick, 501 U.S. 436</w:t>
      </w:r>
    </w:p>
    <w:p w:rsidR="00A31137" w:rsidRPr="00A31137" w:rsidRDefault="00A31137" w:rsidP="00A31137">
      <w:r w:rsidRPr="00A31137">
        <w:t>In this respect, the Court's decision in INS v. Delgado, supra, is dispositive. At issue there was the INS' practice of visiting factories at random and questioning employees to determine whether any were illegal aliens. Several INS agents would stand near the building's exits, while other agents walked through the factory questioning workers. The Court acknowledged that the workers may not have been free to leave their worksite, but explained that this was not the result of police activity:</w:t>
      </w:r>
    </w:p>
    <w:p w:rsidR="00A31137" w:rsidRPr="00A31137" w:rsidRDefault="00A31137" w:rsidP="00A31137">
      <w:r w:rsidRPr="00A31137">
        <w:t>1991, Florida v. Bostick, 501 U.S. 436</w:t>
      </w:r>
    </w:p>
    <w:p w:rsidR="00A31137" w:rsidRPr="00A31137" w:rsidRDefault="00A31137" w:rsidP="00A31137">
      <w:r w:rsidRPr="00A31137">
        <w:t>Ordinarily, when people are at work, their freedom to move about has been meaningfully restricted, not by the actions of law enforcement officials, but by the workers' voluntary obligations to their employers.</w:t>
      </w:r>
    </w:p>
    <w:p w:rsidR="00A31137" w:rsidRPr="00A31137" w:rsidRDefault="00A31137" w:rsidP="00A31137">
      <w:r w:rsidRPr="00A31137">
        <w:t>1991, Florida v. Bostick, 501 U.S. 436</w:t>
      </w:r>
    </w:p>
    <w:p w:rsidR="00A31137" w:rsidRPr="00A31137" w:rsidRDefault="00A31137" w:rsidP="00A31137">
      <w:r w:rsidRPr="00A31137">
        <w:t>Id. 466 U.S. at 218. We concluded that there was no seizure because, even though the workers were not free to leave the building without being questioned, the agents' conduct should have given employees</w:t>
      </w:r>
    </w:p>
    <w:p w:rsidR="00A31137" w:rsidRPr="00A31137" w:rsidRDefault="00A31137" w:rsidP="00A31137">
      <w:r w:rsidRPr="00A31137">
        <w:t>1991, Florida v. Bostick, 501 U.S. 436</w:t>
      </w:r>
    </w:p>
    <w:p w:rsidR="00A31137" w:rsidRPr="00A31137" w:rsidRDefault="00A31137" w:rsidP="00A31137">
      <w:r w:rsidRPr="00A31137">
        <w:t>no reason to believe that they would be detained if they gave truthful answers to the questions put to them or if they simply refused to answer.</w:t>
      </w:r>
    </w:p>
    <w:p w:rsidR="00A31137" w:rsidRPr="00A31137" w:rsidRDefault="00A31137" w:rsidP="00A31137">
      <w:r w:rsidRPr="00A31137">
        <w:t>1991, Florida v. Bostick, 501 U.S. 436</w:t>
      </w:r>
    </w:p>
    <w:p w:rsidR="00A31137" w:rsidRPr="00A31137" w:rsidRDefault="00A31137" w:rsidP="00A31137">
      <w:r w:rsidRPr="00A31137">
        <w:t>Ibid.</w:t>
      </w:r>
    </w:p>
    <w:p w:rsidR="00A31137" w:rsidRPr="00A31137" w:rsidRDefault="00A31137" w:rsidP="00A31137">
      <w:r w:rsidRPr="00A31137">
        <w:t>1991, Florida v. Bostick, 501 U.S. 436</w:t>
      </w:r>
    </w:p>
    <w:p w:rsidR="00A31137" w:rsidRPr="00A31137" w:rsidRDefault="00A31137" w:rsidP="00A31137">
      <w:r w:rsidRPr="00A31137">
        <w:t>The present case is analytically indistinguishable from Delgado. Like the workers in that case, Bostick's freedom of movement was restricted by a factor independent of police conduct—i.e., by his being a passenger on a bus. Accordingly, the "free to leave" analysis on which Bostick relies is inapplicable. In such a situation, the appropriate inquiry is whether a reasonable person would feel free to decline the officers' requests or otherwise terminate the encounter. This [501 U.S. 437] formulation follows logically from prior cases and breaks no new ground. We have said before that the crucial test is whether, taking into account all of the circumstances surrounding the encounter, the police conduct would "have communicated to a reasonable person that he was not at liberty to ignore the police presence and go about his business." Chesternut, supra, 486 U.S. at 569. See also Hodari D., supra, 499 U.S. at 628. Where the encounter takes place is one factor, but it is not the only one. And, as the Solicitor General correctly observes, an individual may decline an officer's request without fearing prosecution. See Brief for the United States as Amicus Curiae 25. We have consistently held that a refusal to cooperate, without more, does not furnish the minimal level of objective justification needed for a detention or seizure. See Delgado, 466 U.S. at 216-217; Royer, 460 U.S. at 498 (plurality opinion); Brown v. Texas, 443 U.S. 47, 52-53 (1979).</w:t>
      </w:r>
    </w:p>
    <w:p w:rsidR="00A31137" w:rsidRPr="00A31137" w:rsidRDefault="00A31137" w:rsidP="00A31137">
      <w:r w:rsidRPr="00A31137">
        <w:t>1991, Florida v. Bostick, 501 U.S. 437</w:t>
      </w:r>
    </w:p>
    <w:p w:rsidR="00A31137" w:rsidRPr="00A31137" w:rsidRDefault="00A31137" w:rsidP="00A31137">
      <w:r w:rsidRPr="00A31137">
        <w:t>The facts of this case, as described by the Florida Supreme Court, leave some doubt whether a seizure occurred. Two officers walked up to Bostick on the bus, asked him a few questions, and asked if they could search his bags. As we have explained, no seizure occurs when police ask questions of an individual, ask to examine the individual's identification, and request consent to search his or her luggage—so long as the officers do not convey a message that compliance with their requests is required. Here, the facts recited by the Florida Supreme Court indicate that the officers did not point guns at Bostick or otherwise threaten him, and that they specifically advised Bostick that he could refuse consent.</w:t>
      </w:r>
    </w:p>
    <w:p w:rsidR="00A31137" w:rsidRPr="00A31137" w:rsidRDefault="00A31137" w:rsidP="00A31137">
      <w:r w:rsidRPr="00A31137">
        <w:t>1991, Florida v. Bostick, 501 U.S. 437</w:t>
      </w:r>
    </w:p>
    <w:p w:rsidR="00A31137" w:rsidRPr="00A31137" w:rsidRDefault="00A31137" w:rsidP="00A31137">
      <w:r w:rsidRPr="00A31137">
        <w:t>Nevertheless, we refrain from deciding whether or not a seizure occurred in this case. The trial court made no express findings of fact, and the Florida Supreme Court rested its decision on a single fact—that the encounter took place on a bus—rather than on the totality of the circumstances. We remand so that the Florida courts may evaluate the seizure question under the correct legal standard. We do reject, however, Bostick's argument that he must have been seized [501 U.S. 438] because no reasonable person would freely consent to a search of luggage that he or she knows contains drugs. This argument cannot prevail because the "reasonable person" test presupposes an innocent person. See Royer, supra, 460 U.S. at 519, n. 4 (BLACKMUN, J., dissenting) ("The fact that [respondent] knew the search was likely to turn up contraband is, of course, irrelevant; the potential intrusiveness of the officers' conduct must be judged from the viewpoint of an innocent person in [his] position"). Accord, Chesternut, 486 U.S. at 574 ("This 'reasonable person' standard…ensures that the scope of Fourth Amendment protection does not vary with the state of mind of the particular individual being approached").</w:t>
      </w:r>
    </w:p>
    <w:p w:rsidR="00A31137" w:rsidRPr="00A31137" w:rsidRDefault="00A31137" w:rsidP="00A31137">
      <w:r w:rsidRPr="00A31137">
        <w:t>1991, Florida v. Bostick, 501 U.S. 438</w:t>
      </w:r>
    </w:p>
    <w:p w:rsidR="00A31137" w:rsidRPr="00A31137" w:rsidRDefault="00A31137" w:rsidP="00A31137">
      <w:r w:rsidRPr="00A31137">
        <w:t>The dissent characterizes our decision as holding that police may board buses and, by an "intimidating show of authority," post at  447 (emphasis added), demand of passengers their "voluntary" cooperation. That characterization is incorrect. Clearly, a bus passenger's decision to cooperate with law enforcement officers authorizes the police to conduct a search without first obtaining a warrant only if the cooperation is voluntary. "Consent" that is the product of official intimidation or harassment is not consent at all. Citizens do not forfeit their constitutional rights when they are coerced to comply with a request that they would prefer to refuse. The question to be decided by the Florida courts on remand is whether Bostick chose to permit the search of his luggage.</w:t>
      </w:r>
    </w:p>
    <w:p w:rsidR="00A31137" w:rsidRPr="00A31137" w:rsidRDefault="00A31137" w:rsidP="00A31137">
      <w:r w:rsidRPr="00A31137">
        <w:t>1991, Florida v. Bostick, 501 U.S. 438</w:t>
      </w:r>
    </w:p>
    <w:p w:rsidR="00A31137" w:rsidRPr="00A31137" w:rsidRDefault="00A31137" w:rsidP="00A31137">
      <w:r w:rsidRPr="00A31137">
        <w:t>The dissent also attempts to characterize our decision as applying a lesser degree of constitutional protection to those individuals who travel by bus, rather than by other forms of transportation. This, too, is an erroneous characterization. Our Fourth Amendment inquiry in this ease—whether a reasonable person would have felt free to decline the officers' requests or otherwise terminate the encounter—applies equally to police encounters that take place on trains, planes, and city streets. It is the dissent that would single out this particular [501 U.S. 439] mode of travel for differential treatment by adopting a per se rule that random bus searches are unconstitutional.</w:t>
      </w:r>
    </w:p>
    <w:p w:rsidR="00A31137" w:rsidRPr="00A31137" w:rsidRDefault="00A31137" w:rsidP="00A31137">
      <w:r w:rsidRPr="00A31137">
        <w:t>1991, Florida v. Bostick, 501 U.S. 439</w:t>
      </w:r>
    </w:p>
    <w:p w:rsidR="00A31137" w:rsidRPr="00A31137" w:rsidRDefault="00A31137" w:rsidP="00A31137">
      <w:r w:rsidRPr="00A31137">
        <w:t>The dissent reserves its strongest criticism for the proposition that police officers can approach individuals as to whom they have no reasonable suspicion and ask them potentially incriminating questions. But this proposition is by no means novel; it has been endorsed by the Court any number of times. Terry, Royer, Rodriguez, and Delgado are just a few examples. As we have explained, today's decision follows logically from those decisions, and breaks no new ground. Unless the dissent advocates overruling a long, unbroken line of decisions dating back more than 20 years, its criticism is not well taken.</w:t>
      </w:r>
    </w:p>
    <w:p w:rsidR="00A31137" w:rsidRPr="00A31137" w:rsidRDefault="00A31137" w:rsidP="00A31137">
      <w:r w:rsidRPr="00A31137">
        <w:t>1991, Florida v. Bostick, 501 U.S. 439</w:t>
      </w:r>
    </w:p>
    <w:p w:rsidR="00A31137" w:rsidRPr="00A31137" w:rsidRDefault="00A31137" w:rsidP="00A31137">
      <w:r w:rsidRPr="00A31137">
        <w:t>This Court, as the dissent correctly observes, is not empowered to suspend constitutional guarantees so that the Government may more effectively wage a "war on drugs." See post at  440, 450-451. If that war is to be fought, those who fight it must respect the rights of individuals, whether or not those individuals are suspected of having committed a crime. By the same token, this Court is not empowered to forbid law enforcement practices simply because it considers them distasteful. The Fourth Amendment proscribes unreasonable searches and seizures; it does not proscribe voluntary cooperation. The cramped confines of a bus are one relevant factor that should be considered in evaluating whether a passenger's consent is voluntary. We cannot agree, however, with the Florida Supreme Court that this single factor will be dispositive in every case.</w:t>
      </w:r>
    </w:p>
    <w:p w:rsidR="00A31137" w:rsidRPr="00A31137" w:rsidRDefault="00A31137" w:rsidP="00A31137">
      <w:r w:rsidRPr="00A31137">
        <w:t>1991, Florida v. Bostick, 501 U.S. 439</w:t>
      </w:r>
    </w:p>
    <w:p w:rsidR="00A31137" w:rsidRPr="00A31137" w:rsidRDefault="00A31137" w:rsidP="00A31137">
      <w:r w:rsidRPr="00A31137">
        <w:t>We adhere to the rule that, in order to determine whether a particular encounter constitutes a seizure, a court must consider all the circumstances surrounding the encounter to determine whether the police conduct would have communicated to a reasonable person that the person was not free to decline the officers' requests or otherwise terminate the encounter. That rule applies to encounters that take place on a city street or in an airport lobby, and it applies equally to [501 U.S. 440] encounters on a bus. The Florida Supreme Court erred in adopting a per se rule.</w:t>
      </w:r>
    </w:p>
    <w:p w:rsidR="00A31137" w:rsidRPr="00A31137" w:rsidRDefault="00A31137" w:rsidP="00A31137">
      <w:r w:rsidRPr="00A31137">
        <w:t>1991, Florida v. Bostick, 501 U.S. 440</w:t>
      </w:r>
    </w:p>
    <w:p w:rsidR="00A31137" w:rsidRPr="00A31137" w:rsidRDefault="00A31137" w:rsidP="00A31137">
      <w:r w:rsidRPr="00A31137">
        <w:t>The judgment of the Florida Supreme Court is reversed, and the case remanded for further proceedings not inconsistent with this opinion.</w:t>
      </w:r>
    </w:p>
    <w:p w:rsidR="00A31137" w:rsidRPr="00A31137" w:rsidRDefault="00A31137" w:rsidP="00A31137">
      <w:r w:rsidRPr="00A31137">
        <w:t>1991, Florida v. Bostick, 501 U.S. 440</w:t>
      </w:r>
    </w:p>
    <w:p w:rsidR="00A31137" w:rsidRPr="00A31137" w:rsidRDefault="00A31137" w:rsidP="00A31137">
      <w:r w:rsidRPr="00A31137">
        <w:t>It is so ordered.</w:t>
      </w:r>
    </w:p>
    <w:p w:rsidR="00A31137" w:rsidRPr="00A31137" w:rsidRDefault="00A31137" w:rsidP="00A31137">
      <w:r w:rsidRPr="00A31137">
        <w:t>MARSHALL, J., dissenting</w:t>
      </w:r>
    </w:p>
    <w:p w:rsidR="00A31137" w:rsidRPr="00A31137" w:rsidRDefault="00A31137" w:rsidP="00A31137">
      <w:r w:rsidRPr="00A31137">
        <w:t>1991, Florida v. Bostick, 501 U.S. 440</w:t>
      </w:r>
    </w:p>
    <w:p w:rsidR="00A31137" w:rsidRPr="00A31137" w:rsidRDefault="00A31137" w:rsidP="00A31137">
      <w:r w:rsidRPr="00A31137">
        <w:t>JUSTICE MARSHALL, with whom JUSTICE BLACKMUN and JUSTICE STEVENS join, dissenting.</w:t>
      </w:r>
    </w:p>
    <w:p w:rsidR="00A31137" w:rsidRPr="00A31137" w:rsidRDefault="00A31137" w:rsidP="00A31137">
      <w:r w:rsidRPr="00A31137">
        <w:t>1991, Florida v. Bostick, 501 U.S. 440</w:t>
      </w:r>
    </w:p>
    <w:p w:rsidR="00A31137" w:rsidRPr="00A31137" w:rsidRDefault="00A31137" w:rsidP="00A31137">
      <w:r w:rsidRPr="00A31137">
        <w:t>Our Nation, we are told, is engaged in a "war on drugs." No one disputes that it is the job of law enforcement officials to devise effective weapons for fighting this war. But the effectiveness of a law enforcement technique is not proof of its constitutionality. The general warrant, for example, was certainly an effective means of law enforcement. Yet it was one of the primary aims of the Fourth Amendment to protect citizens from the tyranny of being singled out for search and seizure without particularized suspicion notwithstanding the effectiveness of this method. See Boyd v. United States, 116 U.S. 616, 625-630 (1886); see also Harris v. United States, 331 U.S. 145,  171 (1947) (Frankfurter, J., dissenting). In my view, the law enforcement technique with which we are confronted in this case—the suspicionless police sweep of buses in intrastate or interstate travel—bears all of the indicia of coercion and unjustified intrusion associated with the general warrant. Because I believe that the bus sweep at issue in this case violates the core values of the Fourth Amendment, I dissent.</w:t>
      </w:r>
    </w:p>
    <w:p w:rsidR="00A31137" w:rsidRPr="00A31137" w:rsidRDefault="00A31137" w:rsidP="00A31137">
      <w:r w:rsidRPr="00A31137">
        <w:t>I</w:t>
      </w:r>
    </w:p>
    <w:p w:rsidR="00A31137" w:rsidRPr="00A31137" w:rsidRDefault="00A31137" w:rsidP="00A31137">
      <w:r w:rsidRPr="00A31137">
        <w:t>1991, Florida v. Bostick, 501 U.S. 440</w:t>
      </w:r>
    </w:p>
    <w:p w:rsidR="00A31137" w:rsidRPr="00A31137" w:rsidRDefault="00A31137" w:rsidP="00A31137">
      <w:r w:rsidRPr="00A31137">
        <w:t>At issue in this case is a "new and increasingly common tactic in the war on drugs": the suspicionless police sweep of buses in interstate or intrastate travel. United States v. Lewis, 287 U.S.App.D.C. 306, 307, 921 F.2d 1294, 1295 (1990); see United States v. Flowers, 912 F.2d 707, 710 (CA4 1990) (describing technique in Charlotte, North Carolina); United States v. Madison, 936 F.2d 90, 91, (CA2 1991) (describing [501 U.S. 441] technique in Port Authority terminal in New York City); United States v. Chandler, 744 F.Supp. 333, 335 (DC 1990) ("[I]t has become routine to subject interstate travelers to warrantless searches and intimidating interviews while sitting aboard a bus stopped for a short layover in the Capital"); 554 So.2d 1153, 1156-1157 (Fla.1989) (describing Florida police policy of "'working the buses'"); see also ante at 431. Typically under this technique, a group of state or federal officers will board a bus while it is stopped at an intermediate point on its route. Often displaying badges, weapons or other indicia of authority, the officers identify themselves and announce their purpose to intercept drug traffickers. They proceed to approach individual passengers, requesting them to show identification, produce their tickets, and explain the purpose of their travels. Never do the officers advise the passengers that they are free not to speak with the officers. An "interview" of this type ordinarily culminates in a request for consent to search the passenger's luggage. See generally United States v. Lewis, supra, at 308, 921 F.2d at 1296; United States v. Flowers, supra, at 708-709; United States v. Madison, supra, at 91; 554 So.2d at 1154.</w:t>
      </w:r>
    </w:p>
    <w:p w:rsidR="00A31137" w:rsidRPr="00A31137" w:rsidRDefault="00A31137" w:rsidP="00A31137">
      <w:r w:rsidRPr="00A31137">
        <w:t>1991, Florida v. Bostick, 501 U.S. 441</w:t>
      </w:r>
    </w:p>
    <w:p w:rsidR="00A31137" w:rsidRPr="00A31137" w:rsidRDefault="00A31137" w:rsidP="00A31137">
      <w:r w:rsidRPr="00A31137">
        <w:t>These sweeps are conducted in "dragnet" style. The police admittedly act without an "articulable suspicion" in deciding which buses to board and which passengers to approach for interviewing. 1 By proceeding systematically in this [501 U.S. 442] fashion, the police are able to engage in a tremendously high volume of searches. See, e.g., Florida v. Kerwick, 512 So.2d 347, 348-349 (Fla. App.1987) (single officer employing sweep technique able to search over 3,000 bags in nine-month period). The percentage of successful drug interdictions is low. See United States v. Flowers, supra, at 710 (sweep of 100 buses resulted in seven arrests).</w:t>
      </w:r>
    </w:p>
    <w:p w:rsidR="00A31137" w:rsidRPr="00A31137" w:rsidRDefault="00A31137" w:rsidP="00A31137">
      <w:r w:rsidRPr="00A31137">
        <w:t>1991, Florida v. Bostick, 501 U.S. 442</w:t>
      </w:r>
    </w:p>
    <w:p w:rsidR="00A31137" w:rsidRPr="00A31137" w:rsidRDefault="00A31137" w:rsidP="00A31137">
      <w:r w:rsidRPr="00A31137">
        <w:t xml:space="preserve">To put it mildly, these sweeps "are inconvenient, intrusive, and intimidating." United States v. Chandler, 744 F.Supp. at 335. They occur within cramped confines, with officers typically placing themselves in between the passenger selected for an interview and the exit of the bus. See, e.g., id. at 336. Because the bus is only temporarily stationed at a point short of its destination, the passengers are in no position to leave as a means of evading the officers' questioning. Undoubtedly, such a sweep holds up the progress of the bus. See United States v. Fields, 909 F.2d 470, 474 n. 2 (CA11 1990); cf. United States v. Rembert, 694 F.Supp. 163, 175 (WDNC 1988) (reporting testimony of officer that he makes "'every effort in the world not to delay the bus,'" but that the driver does not leave terminal until sweep is complete). Thus, this "new and increasingly common tactic," United States v. Lewis, supra, 287 U.S.App.D.C. at 307, 921 F.2d at 1295, burdens the experience of traveling by bus with a degree of governmental interference to which, until now, our society has been proudly unaccustomed. See, e.g., State ex rel. Ekstrom v. Justice Court, 136 Ariz. 1, 6, 663 P.2d 992, 997 (1983) (Feldman, J., concurring) ("The thought that an American can be compelled to 'show his papers' before exercising his right to walk the streets, drive the highways, or board the trains is repugnant to American institutions and ideals"). [501 U.S. 443] </w:t>
      </w:r>
    </w:p>
    <w:p w:rsidR="00A31137" w:rsidRPr="00A31137" w:rsidRDefault="00A31137" w:rsidP="00A31137">
      <w:r w:rsidRPr="00A31137">
        <w:t>1991, Florida v. Bostick, 501 U.S. 443</w:t>
      </w:r>
    </w:p>
    <w:p w:rsidR="00A31137" w:rsidRPr="00A31137" w:rsidRDefault="00A31137" w:rsidP="00A31137">
      <w:r w:rsidRPr="00A31137">
        <w:t>This aspect of the suspicionless sweep has not been lost on many of the lower courts called upon to review the constitutionality of this practice. Remarkably, the courts located at the heart of the "drug war" have been the most adamant in condemning this technique. As one Florida court put it:</w:t>
      </w:r>
    </w:p>
    <w:p w:rsidR="00A31137" w:rsidRPr="00A31137" w:rsidRDefault="00A31137" w:rsidP="00A31137">
      <w:r w:rsidRPr="00A31137">
        <w:t>1991, Florida v. Bostick, 501 U.S. 443</w:t>
      </w:r>
    </w:p>
    <w:p w:rsidR="00A31137" w:rsidRPr="00A31137" w:rsidRDefault="00A31137" w:rsidP="00A31137">
      <w:r w:rsidRPr="00A31137">
        <w:t>"[T]he evidence in this cause has evoked images of other days, under other flags, when no man traveled his nation's roads or railways without fear of unwarranted interruption, by individuals who held temporary power in the Government. The spectre of American citizens being asked, by badge-wielding police, for identification, travel papers—in short, a raison d'etre—is foreign to any fair reading of the Constitution, and its guarantee of human liberties. This is not Hitler's Berlin, nor Stalin's Moscow, nor is it white supremacist South Africa. Yet in Broward County, Florida, these police officers approach every person on board buses and trains ("that time permits") and check identification [and] tickets, [and] ask to search luggage—all in the name of "voluntary cooperation" with law enforcement…. "</w:t>
      </w:r>
    </w:p>
    <w:p w:rsidR="00A31137" w:rsidRPr="00A31137" w:rsidRDefault="00A31137" w:rsidP="00A31137">
      <w:r w:rsidRPr="00A31137">
        <w:t>1991, Florida v. Bostick, 501 U.S. 443</w:t>
      </w:r>
    </w:p>
    <w:p w:rsidR="00A31137" w:rsidRPr="00A31137" w:rsidRDefault="00A31137" w:rsidP="00A31137">
      <w:r w:rsidRPr="00A31137">
        <w:t>554 So.2d at 1158, quoting State v. Kerwick, supra, at 348-349 (quoting trial court order). The District Court for the District of Columbia spoke in equally pointed words:</w:t>
      </w:r>
    </w:p>
    <w:p w:rsidR="00A31137" w:rsidRPr="00A31137" w:rsidRDefault="00A31137" w:rsidP="00A31137">
      <w:r w:rsidRPr="00A31137">
        <w:t>1991, Florida v. Bostick, 501 U.S. 443</w:t>
      </w:r>
    </w:p>
    <w:p w:rsidR="00A31137" w:rsidRPr="00A31137" w:rsidRDefault="00A31137" w:rsidP="00A31137">
      <w:r w:rsidRPr="00A31137">
        <w:t>It seems rather incongruous at this point in the world's history that we find totalitarian states becoming more like our free society while we in this nation are taking on their former trappings of suppressed liberties and freedoms.</w:t>
      </w:r>
    </w:p>
    <w:p w:rsidR="00A31137" w:rsidRPr="00A31137" w:rsidRDefault="00A31137" w:rsidP="00A31137">
      <w:r w:rsidRPr="00A31137">
        <w:t>*    *    *    *</w:t>
      </w:r>
    </w:p>
    <w:p w:rsidR="00A31137" w:rsidRPr="00A31137" w:rsidRDefault="00A31137" w:rsidP="00A31137">
      <w:r w:rsidRPr="00A31137">
        <w:t>1991, Florida v. Bostick, 501 U.S. 443</w:t>
      </w:r>
    </w:p>
    <w:p w:rsidR="00A31137" w:rsidRPr="00A31137" w:rsidRDefault="00A31137" w:rsidP="00A31137">
      <w:r w:rsidRPr="00A31137">
        <w:t>The random indiscriminate stopping and questioning of individuals on interstate busses seems to have gone too far. If this Court approves such "bus stops" and allows prosecutions to be based on evidence seized as a result of such "stops," then we will have stripped our [501 U.S. 444] citizens of basic Constitutional protections. Such action would be inconsistent with what this nation has stood for during its 200 years of existence. If passengers on a bus passing through the Capital of this great nation cannot be free from police interference where there is absolutely no basis for the police officers to stop and question them, then the police will be free to accost people on our streets without any reason or cause. In this "anything goes" war on drugs, random knocks on the doors of our citizens' homes seeking "consent" to search for drugs cannot be far away. This is not America.</w:t>
      </w:r>
    </w:p>
    <w:p w:rsidR="00A31137" w:rsidRPr="00A31137" w:rsidRDefault="00A31137" w:rsidP="00A31137">
      <w:r w:rsidRPr="00A31137">
        <w:t>1991, Florida v. Bostick, 501 U.S. 444</w:t>
      </w:r>
    </w:p>
    <w:p w:rsidR="00A31137" w:rsidRPr="00A31137" w:rsidRDefault="00A31137" w:rsidP="00A31137">
      <w:r w:rsidRPr="00A31137">
        <w:t>United States v. Lewis, 728 F.Supp. 784, 788-789, rev'd, 287 U.S.App.D.C. 306, 921 F.2d 1294 (1990). See also United States v. Alexander, 755 F.Supp. 448, 453 (DC 1991); United States v. Madison, 744 F.Supp. 490, 495-497 (SDNY 1990), rev'd, 936 F.2d 90 (CA2 1991); United States v. Chandler, supra, at 335-336; United States v. Mark, 742 F.Supp. 17, 18-19 (DC 1990); United States v. Alston, 742 F.Supp. 13, 15 (DC 1990); United States v. Cothran, 729 F.Supp. 153, 156-158 (DC 1990), rev'd, 287 U.S.App.D.C. 306, 921 F.2d 1294 (1990); United States v. Felder, 732 F.Supp. 204, 209 (DC 1990).</w:t>
      </w:r>
    </w:p>
    <w:p w:rsidR="00A31137" w:rsidRPr="00A31137" w:rsidRDefault="00A31137" w:rsidP="00A31137">
      <w:r w:rsidRPr="00A31137">
        <w:t>1991, Florida v. Bostick, 501 U.S. 444</w:t>
      </w:r>
    </w:p>
    <w:p w:rsidR="00A31137" w:rsidRPr="00A31137" w:rsidRDefault="00A31137" w:rsidP="00A31137">
      <w:r w:rsidRPr="00A31137">
        <w:t>The question for this Court, then, is whether the suspicionless, dragnet-style sweep of buses in intrastate and interstate travel is consistent with the Fourth Amendment. The majority suggests that this latest tactic in the drug war is perfectly compatible with the Constitution. I disagree.</w:t>
      </w:r>
    </w:p>
    <w:p w:rsidR="00A31137" w:rsidRPr="00A31137" w:rsidRDefault="00A31137" w:rsidP="00A31137">
      <w:r w:rsidRPr="00A31137">
        <w:t>II</w:t>
      </w:r>
    </w:p>
    <w:p w:rsidR="00A31137" w:rsidRPr="00A31137" w:rsidRDefault="00A31137" w:rsidP="00A31137">
      <w:r w:rsidRPr="00A31137">
        <w:t>1991, Florida v. Bostick, 501 U.S. 444</w:t>
      </w:r>
    </w:p>
    <w:p w:rsidR="00A31137" w:rsidRPr="00A31137" w:rsidRDefault="00A31137" w:rsidP="00A31137">
      <w:r w:rsidRPr="00A31137">
        <w:t>I have no objection to the manner in which the majority frames the test for determining whether a suspicionless bus sweep amounts to a Fourth Amendment "seizure." I agree that the appropriate question is whether a passenger who is approached during such a sweep "would feel free to decline the officers' requests or otherwise terminate the encounter." [501 U.S. 445] Ante at  436. What I cannot understand is how the majority can possibly suggest an affirmative answer to this question.</w:t>
      </w:r>
    </w:p>
    <w:p w:rsidR="00A31137" w:rsidRPr="00A31137" w:rsidRDefault="00A31137" w:rsidP="00A31137">
      <w:r w:rsidRPr="00A31137">
        <w:t>1991, Florida v. Bostick, 501 U.S. 445</w:t>
      </w:r>
    </w:p>
    <w:p w:rsidR="00A31137" w:rsidRPr="00A31137" w:rsidRDefault="00A31137" w:rsidP="00A31137">
      <w:r w:rsidRPr="00A31137">
        <w:t>The majority reverses what it characterizes as the Florida Supreme Court's "per se rule" against suspicionless encounters between the police and bus passengers, see ante at  433, 435-440, suggesting only in dictum its "doubt" that a seizure occurred on the facts of this case, see ante at  437. However, the notion that the Florida Supreme Court decided this case on the basis of any "per se rule" independent of the facts of this case is wholly a product of the majority's imagination. As the majority acknowledges, the Florida Supreme Court "stated explicitly the factual premise for its decision." Ante at  431. This factual premise contained all of the details of the encounter between respondent and the police. See 554 So.2d at 1154; ante at 431-432. The lower court's analysis of whether respondent was seized drew heavily on these facts, and the court repeatedly emphasized that its conclusion was based on "all the circumstances" of this case. 554 So.2d at 1157 (emphasis added); see ibid. ("Here, the circumstances indicate that the officers effectively 'seized' [respondent]" (emphasis added)).</w:t>
      </w:r>
    </w:p>
    <w:p w:rsidR="00A31137" w:rsidRPr="00A31137" w:rsidRDefault="00A31137" w:rsidP="00A31137">
      <w:r w:rsidRPr="00A31137">
        <w:t>1991, Florida v. Bostick, 501 U.S. 445</w:t>
      </w:r>
    </w:p>
    <w:p w:rsidR="00A31137" w:rsidRPr="00A31137" w:rsidRDefault="00A31137" w:rsidP="00A31137">
      <w:r w:rsidRPr="00A31137">
        <w:t>The majority's conclusion that the Florida Supreme Court, contrary to all appearances, ignored these facts is based solely on the failure of the lower court to expressly incorporate all of the facts into its reformulation of the certified question on which respondent took his appeal. See ante at  433. 2 The majority never explains the basis of its implausible assumption that the Florida Supreme Court intended its phrasing of the certified question to trump its opinion's careful treatment of the facts in this case. Certainly, when this Court issues an opinion, it does not intend lower courts and [501 U.S. 446] parties to treat as irrelevant the analysis of facts that the parties neglected to cram into the question presented in the petition for certiorari. But in any case, because the issue whether a seizure has occurred in any given factual setting is a question of law, see United States v. Mendenhall, 446 U.S. 544, 554-555 (1980) (opinion of Stewart, J.); United States v. Maragh, 282 U.S.App.D.C. 256, 258-259, 894 F.2d 415, 417-418 (CADC), cert. denied, 498 U.S. 880 (1990), nothing prevents this Court from deciding on its own whether a seizure occurred based on all of the facts of this case as they appear in the opinion of the Florida Supreme Court.</w:t>
      </w:r>
    </w:p>
    <w:p w:rsidR="00A31137" w:rsidRPr="00A31137" w:rsidRDefault="00A31137" w:rsidP="00A31137">
      <w:r w:rsidRPr="00A31137">
        <w:t>1991, Florida v. Bostick, 501 U.S. 446</w:t>
      </w:r>
    </w:p>
    <w:p w:rsidR="00A31137" w:rsidRPr="00A31137" w:rsidRDefault="00A31137" w:rsidP="00A31137">
      <w:r w:rsidRPr="00A31137">
        <w:t>These facts exhibit all of the elements of coercion associated with a typical bus sweep. Two officers boarded the Greyhound bus on which respondent was a passenger while the bus, en route from Miami to Atlanta, was on a brief stop to pick up passengers in Fort Lauderdale. The officers made a visible display of their badges and wore bright green "raid" jackets bearing the insignia of the Broward County Sheriff's Department; one held a gun in a recognizable weapons pouch. See 554 So.2d at 1154, 1157. These facts alone constitute an intimidating "show of authority." See Michigan v. Chesternut, 486 U.S. 567, 575 (1988) (display of weapon contributes to coercive environment); United States v. Mendenhall, supra, 446 U.S. at 554 (opinion of Stewart, J.) ("threatening presence of several officers" and "display of a weapon"); id. at 555 (uniformed attire). Once on board, the officers approached respondent, who was sitting in the back of the bus, identified themselves as narcotics officers and began to question him. See 554 So.2d at 1154. One officer stood in front of respondent's seat, partially blocking the narrow aisle through which respondent would have been required to pass to reach the exit of the bus. See id. at 1157.</w:t>
      </w:r>
    </w:p>
    <w:p w:rsidR="00A31137" w:rsidRPr="00A31137" w:rsidRDefault="00A31137" w:rsidP="00A31137">
      <w:r w:rsidRPr="00A31137">
        <w:t>1991, Florida v. Bostick, 501 U.S. 446</w:t>
      </w:r>
    </w:p>
    <w:p w:rsidR="00A31137" w:rsidRPr="00A31137" w:rsidRDefault="00A31137" w:rsidP="00A31137">
      <w:r w:rsidRPr="00A31137">
        <w:t>As far as is revealed by facts on which the Florida Supreme Court premised its decision, the officers did not advise respondent that he was free to break off this "interview." Inexplicably, the majority repeatedly stresses the trial court's [501 U.S. 447] implicit finding that the police officers advised respondent that he was free to refuse permission to search his travel bag. See ante at  432, 437-438. This aspect of the exchange between respondent and the police is completely irrelevant to the issue before us. For as the State concedes, and as the majority purports to "accept," id. at 433-434, if respondent was unlawfully seized when the officers approached him and initiated questioning, the resulting search was likewise unlawful no matter how well advised respondent was of his right to refuse it. See Florida v. Royer, 460 U.S. 491, 501, 507-508 (1983) (plurality opinion); Wong Sun v. United States, 371 U.S. 471 (1963). Consequently, the issue is not whether a passenger in respondent's position would have felt free to deny consent to the search of his bag, but whether such a passenger—without being apprised of his rights—would have felt free to terminate the antecedent encounter with the police.</w:t>
      </w:r>
    </w:p>
    <w:p w:rsidR="00A31137" w:rsidRPr="00A31137" w:rsidRDefault="00A31137" w:rsidP="00A31137">
      <w:r w:rsidRPr="00A31137">
        <w:t>1991, Florida v. Bostick, 501 U.S. 447</w:t>
      </w:r>
    </w:p>
    <w:p w:rsidR="00A31137" w:rsidRPr="00A31137" w:rsidRDefault="00A31137" w:rsidP="00A31137">
      <w:r w:rsidRPr="00A31137">
        <w:t xml:space="preserve">Unlike the majority, I have no doubt that the answer to this question is no. Apart from trying to accommodate the officers, respondent had only two options. First, he could have remained seated while obstinately refusing to respond to the officers' questioning. But in light of the intimidating show of authority that the officers made upon boarding the bus, respondent reasonably could have believed that such behavior would only arouse the officers' suspicions and intensify their interrogation. Indeed, officers who carry out bus sweeps like the one at issue here frequently admit that this is the effect of a passenger's refusal to cooperate. See, e.g., United States v. Cothran, 729 F.Supp. at 156; United States v. Felder, 732 F.Supp. at 205. The majority's observation that a mere refusal to answer questions, "without more," does not give rise to a reasonable basis for seizing a passenger, ante at 437, is utterly beside the point, because a passenger unadvised of his rights and otherwise unversed in constitutional law has no reason to know that the police cannot hold his refusal to cooperate against him. [501 U.S. 448] </w:t>
      </w:r>
    </w:p>
    <w:p w:rsidR="00A31137" w:rsidRPr="00A31137" w:rsidRDefault="00A31137" w:rsidP="00A31137">
      <w:r w:rsidRPr="00A31137">
        <w:t>1991, Florida v. Bostick, 501 U.S. 448</w:t>
      </w:r>
    </w:p>
    <w:p w:rsidR="00A31137" w:rsidRPr="00A31137" w:rsidRDefault="00A31137" w:rsidP="00A31137">
      <w:r w:rsidRPr="00A31137">
        <w:t>Second, respondent could have tried to escape the officers' presence by leaving the bus altogether. But because doing so would have required respondent to squeeze past the gun-wielding inquisitor who was blocking the aisle of the bus, this hardly seems like a course that respondent reasonably would have viewed as available to him. 3 The majority lamely protests that nothing in the stipulated facts shows that the questioning officer "point[ed] [his] gu[n] at [respondent] or otherwise threatened him" with the weapon. Ante at  437 (emphasis added). Our decisions recognize the obvious point, however, that the choice of the police to "display" their weapons during an encounter exerts significant coercive pressure on the confronted citizen. E.g., Michigan v. Chesternut, supra, 486 U.S. at 575; United States v. Mendenhall, supra, 446 U.S. at 554. We have never suggested that the police must go so far as to put a citizen in immediate apprehension of being shot before a court can take account of the intimidating effect of being questioned by an officer with weapon in hand.</w:t>
      </w:r>
    </w:p>
    <w:p w:rsidR="00A31137" w:rsidRPr="00A31137" w:rsidRDefault="00A31137" w:rsidP="00A31137">
      <w:r w:rsidRPr="00A31137">
        <w:t>1991, Florida v. Bostick, 501 U.S. 448</w:t>
      </w:r>
    </w:p>
    <w:p w:rsidR="00A31137" w:rsidRPr="00A31137" w:rsidRDefault="00A31137" w:rsidP="00A31137">
      <w:r w:rsidRPr="00A31137">
        <w:t>Even if respondent had perceived that the officers would let him leave the bus, moreover, he could not reasonably have been expected to resort to this means of evading their intrusive questioning. For so far as respondent knew, the bus's departure from the terminal was imminent. Unlike a person approached by the police on the street, see Michigan v. Chesternut, supra, or at a bus or airport terminal after reaching his destination, see United States v. Mendenhall, supra, a passenger approached by the police at an intermediate point in a long bus journey cannot simply leave the scene and repair to a safe haven to avoid unwanted probing by law enforcement officials. The vulnerability that an intrastate or interstate traveler experiences when confronted by the police outside of his "own familiar territory" surely aggravates [501 U.S. 449] the coercive quality of such an encounter. See Schneckloth v. Bustamonte, 412 U.S. 218,  247 (1973).</w:t>
      </w:r>
    </w:p>
    <w:p w:rsidR="00A31137" w:rsidRPr="00A31137" w:rsidRDefault="00A31137" w:rsidP="00A31137">
      <w:r w:rsidRPr="00A31137">
        <w:t>1991, Florida v. Bostick, 501 U.S. 449</w:t>
      </w:r>
    </w:p>
    <w:p w:rsidR="00A31137" w:rsidRPr="00A31137" w:rsidRDefault="00A31137" w:rsidP="00A31137">
      <w:r w:rsidRPr="00A31137">
        <w:t>The case on which the majority primarily relies, INS v. Delgado, 466 U.S. 210 (1984), is distinguishable in every relevant respect. In Delgado, this Court held that workers approached by law enforcement officials inside of a factory were not "seized" for purposes of the Fourth Amendment. The Court was careful to point out, however, that the presence of the agents did not furnish the workers with a reasonable basis for believing that they were not free to leave the factory, as at least some of them did. See id. at 218-219, and n. 7. Unlike passengers confronted by law enforcement officials on a bus stopped temporarily at an intermediate point in its journey, workers approached by law enforcement officials at their workplace need not abandon personal belongings and venture into unfamiliar environs in order to avoid unwanted questioning. Moreover, the workers who did not leave the building in Delgado remained free to move about the entire factory, see id. at 218, a considerably less confining environment than a bus. Finally, contrary to the officer who confronted respondent, the law enforcement officials in Delgado did not conduct their interviews with guns in hand. See id. at 212.</w:t>
      </w:r>
    </w:p>
    <w:p w:rsidR="00A31137" w:rsidRPr="00A31137" w:rsidRDefault="00A31137" w:rsidP="00A31137">
      <w:r w:rsidRPr="00A31137">
        <w:t>1991, Florida v. Bostick, 501 U.S. 449</w:t>
      </w:r>
    </w:p>
    <w:p w:rsidR="00A31137" w:rsidRPr="00A31137" w:rsidRDefault="00A31137" w:rsidP="00A31137">
      <w:r w:rsidRPr="00A31137">
        <w:t xml:space="preserve">Rather than requiring the police to justify the coercive tactics employed here, the majority blames respondent for his own sensation of constraint. The majority concedes that respondent "did not feel free to leave the bus" as a means of breaking off the interrogation by the Broward County officers. Ante at  436. But this experience of confinement, the majority explains, "was the natural result of his decision to take the bus." Ibid. (emphasis added). Thus, in the majority's view, because respondent's "freedom of movement was restricted by a factor independent of police conduct—i.e., by his being a passenger on a bus," ante at 0436436, respondent was not seized for purposes of the Fourth Amendment. [501 U.S. 450] </w:t>
      </w:r>
    </w:p>
    <w:p w:rsidR="00A31137" w:rsidRPr="00A31137" w:rsidRDefault="00A31137" w:rsidP="00A31137">
      <w:r w:rsidRPr="00A31137">
        <w:t>1991, Florida v. Bostick, 501 U.S. 450</w:t>
      </w:r>
    </w:p>
    <w:p w:rsidR="00A31137" w:rsidRPr="00A31137" w:rsidRDefault="00A31137" w:rsidP="00A31137">
      <w:r w:rsidRPr="00A31137">
        <w:t>This reasoning borders on sophism, and trivializes the values that underlie the Fourth Amendment. Obviously, a person's "voluntary decision" to place himself in a room with only one exit does not authorize the police to force an encounter upon him by placing themselves in front of the exit. It is no more acceptable for the police to force an encounter on a person by exploiting his "voluntary decision" to expose himself to perfectly legitimate personal or social constraints. By consciously deciding to single out persons who have undertaken interstate or intrastate travel, officers who conduct suspicionless, dragnet-style sweeps put passengers to the choice of cooperating or of exiting their buses and possibly being stranded in unfamiliar locations. It is exactly because this "choice" is no "choice" at all that police engage this technique.</w:t>
      </w:r>
    </w:p>
    <w:p w:rsidR="00A31137" w:rsidRPr="00A31137" w:rsidRDefault="00A31137" w:rsidP="00A31137">
      <w:r w:rsidRPr="00A31137">
        <w:t>1991, Florida v. Bostick, 501 U.S. 450</w:t>
      </w:r>
    </w:p>
    <w:p w:rsidR="00A31137" w:rsidRPr="00A31137" w:rsidRDefault="00A31137" w:rsidP="00A31137">
      <w:r w:rsidRPr="00A31137">
        <w:t>In my view, the Fourth Amendment clearly condemns the suspicionless, dragnet-style sweep of intrastate or interstate buses. Withdrawing this particular weapon from the government's drug war arsenal would hardly leave the police without any means of combatting the use of buses as instrumentalities of the drug trade. The police would remain free, for example, to approach passengers whom they have a reasonable, articulable basis to suspect of criminal wrongdoing. 4 Alternatively, they could continue to confront passengers without suspicion so long as they took simple steps, like advising the passengers confronted of their right to decline to be questioned, to dispel the aura of coercion and intimidation that pervades such encounters. There is no reason to expect that such requirements would render the Nation's buses law enforcement-free zones.</w:t>
      </w:r>
    </w:p>
    <w:p w:rsidR="00A31137" w:rsidRPr="00A31137" w:rsidRDefault="00A31137" w:rsidP="00A31137">
      <w:r w:rsidRPr="00A31137">
        <w:t>III</w:t>
      </w:r>
    </w:p>
    <w:p w:rsidR="00A31137" w:rsidRPr="00A31137" w:rsidRDefault="00A31137" w:rsidP="00A31137">
      <w:r w:rsidRPr="00A31137">
        <w:t>1991, Florida v. Bostick, 501 U.S. 450</w:t>
      </w:r>
    </w:p>
    <w:p w:rsidR="00A31137" w:rsidRPr="00A31137" w:rsidRDefault="00A31137" w:rsidP="00A31137">
      <w:r w:rsidRPr="00A31137">
        <w:t>The majority attempts to gloss over the violence that today's decision does to the Fourth Amendment with empty admonitions. "If th[e] [war on drugs] is to be fought," the majority [501 U.S. 451] intones, "those who fight it must respect the rights of individuals, whether or not those individuals are suspected of having committed a crime." Ante at 439. The majority's actions, however, speak louder than its words.</w:t>
      </w:r>
    </w:p>
    <w:p w:rsidR="00A31137" w:rsidRPr="00A31137" w:rsidRDefault="00A31137" w:rsidP="00A31137">
      <w:r w:rsidRPr="00A31137">
        <w:t>1991, Florida v. Bostick, 501 U.S. 451</w:t>
      </w:r>
    </w:p>
    <w:p w:rsidR="00A31137" w:rsidRPr="00A31137" w:rsidRDefault="00A31137" w:rsidP="00A31137">
      <w:r w:rsidRPr="00A31137">
        <w:t>I dissent.</w:t>
      </w:r>
    </w:p>
    <w:p w:rsidR="00A31137" w:rsidRPr="00A31137" w:rsidRDefault="00A31137" w:rsidP="00A31137">
      <w:r w:rsidRPr="00A31137">
        <w:t>Footnotes</w:t>
      </w:r>
    </w:p>
    <w:p w:rsidR="00A31137" w:rsidRPr="00A31137" w:rsidRDefault="00A31137" w:rsidP="00A31137">
      <w:r w:rsidRPr="00A31137">
        <w:t>O'CONNOR, J., lead opinion (Footnotes)</w:t>
      </w:r>
    </w:p>
    <w:p w:rsidR="00A31137" w:rsidRPr="00A31137" w:rsidRDefault="00A31137" w:rsidP="00A31137">
      <w:r w:rsidRPr="00A31137">
        <w:t>1991, Florida v. Bostick, 501 U.S. 451</w:t>
      </w:r>
    </w:p>
    <w:p w:rsidR="00A31137" w:rsidRPr="00A31137" w:rsidRDefault="00A31137" w:rsidP="00A31137">
      <w:r w:rsidRPr="00A31137">
        <w:t>* The dissent acknowledges that the Florida Supreme Court's answer to the certified question reads like a per se rule, but dismisses as "implausible" the notion that the court would actually apply this rule to "trump" a careful analysis of all the relevant facts. Post at  445. Implausible as it may seem, that is precisely what the Florida Supreme Court does. It routinely grants review in bus search cases and quashes denials of motions to suppress expressly on the basis of its answer to the certified question in this case. See, e.g., McBride v. State, 554 So.2d 1160 (1989); Mendez v. State, 554 So.2d 1161 (1989); Shaw v. State, 555 So.2d 351 (1989); Avery v. State, 555 So.2d 351 (1989); Serpa v. State, 555 So.2d 1210 (1989); Jones v. State, 559 So.2d 1096 (1990).</w:t>
      </w:r>
    </w:p>
    <w:p w:rsidR="00A31137" w:rsidRPr="00A31137" w:rsidRDefault="00A31137" w:rsidP="00A31137">
      <w:r w:rsidRPr="00A31137">
        <w:t>MARSHALL, J., dissenting (Footnotes)</w:t>
      </w:r>
    </w:p>
    <w:p w:rsidR="00A31137" w:rsidRPr="00A31137" w:rsidRDefault="00A31137" w:rsidP="00A31137">
      <w:r w:rsidRPr="00A31137">
        <w:t>1991, Florida v. Bostick, 501 U.S. 451</w:t>
      </w:r>
    </w:p>
    <w:p w:rsidR="00A31137" w:rsidRPr="00A31137" w:rsidRDefault="00A31137" w:rsidP="00A31137">
      <w:r w:rsidRPr="00A31137">
        <w:t>1. That is to say, the police who conduct these sweeps decline to offer a reasonable, articulable suspicion of criminal wrongdoing sufficient to justify a warrantless "stop" or "seizure" of the confronted passenger. See Terry v. Ohio, 392 U.S. 1, 20-22, 30-31 (1968); Florida v. Royer, 460 U.S. 491, 498-499 (1983) (plurality opinion). It does not follow, however, that the approach of passengers during a sweep is completely random. Indeed, at least one officer who routinely confronts interstate travelers candidly admitted that race is a factor influencing his decision whom to approach. See United States v. Williams, No. 1:89CR0135 (ND Ohio. June 13, 1989), p. 3 ("Detective Zaller testified that the factors initiating the focus upon the three young black males in this case included: (1) that they were young and black…. "), aff'd, No. 89-4083 (CA6, Oct. 19, 1990), p. 7 [916 F.2d 714 (table)] (the officers "knew that the couriers, more often than not, were young black males"), vacated and remanded, 500 U.S. 901 (1991). Thus, the basis of the decision to single out particular passengers during a suspicionless sweep is less likely to be inarticulable than unspeakable.</w:t>
      </w:r>
    </w:p>
    <w:p w:rsidR="00A31137" w:rsidRPr="00A31137" w:rsidRDefault="00A31137" w:rsidP="00A31137">
      <w:r w:rsidRPr="00A31137">
        <w:t>1991, Florida v. Bostick, 501 U.S. 451</w:t>
      </w:r>
    </w:p>
    <w:p w:rsidR="00A31137" w:rsidRPr="00A31137" w:rsidRDefault="00A31137" w:rsidP="00A31137">
      <w:r w:rsidRPr="00A31137">
        <w:t>2. As reformulated, this question read:</w:t>
      </w:r>
    </w:p>
    <w:p w:rsidR="00A31137" w:rsidRPr="00A31137" w:rsidRDefault="00A31137" w:rsidP="00A31137">
      <w:r w:rsidRPr="00A31137">
        <w:t>1991, Florida v. Bostick, 501 U.S. 451</w:t>
      </w:r>
    </w:p>
    <w:p w:rsidR="00A31137" w:rsidRPr="00A31137" w:rsidRDefault="00A31137" w:rsidP="00A31137">
      <w:r w:rsidRPr="00A31137">
        <w:t>Does an impermissible seizure result when police mount a drug search on buses during scheduled stops and question boarded passengers without articulable reasons for doing so, thereby obtaining consent to search the passengers' luggage?</w:t>
      </w:r>
    </w:p>
    <w:p w:rsidR="00A31137" w:rsidRPr="00A31137" w:rsidRDefault="00A31137" w:rsidP="00A31137">
      <w:r w:rsidRPr="00A31137">
        <w:t>1991, Florida v. Bostick, 501 U.S. 451</w:t>
      </w:r>
    </w:p>
    <w:p w:rsidR="00A31137" w:rsidRPr="00A31137" w:rsidRDefault="00A31137" w:rsidP="00A31137">
      <w:r w:rsidRPr="00A31137">
        <w:t>554 So.2d at 1154.</w:t>
      </w:r>
    </w:p>
    <w:p w:rsidR="00A31137" w:rsidRPr="00A31137" w:rsidRDefault="00A31137" w:rsidP="00A31137">
      <w:r w:rsidRPr="00A31137">
        <w:t>1991, Florida v. Bostick, 501 U.S. 451</w:t>
      </w:r>
    </w:p>
    <w:p w:rsidR="00A31137" w:rsidRPr="00A31137" w:rsidRDefault="00A31137" w:rsidP="00A31137">
      <w:r w:rsidRPr="00A31137">
        <w:t>3. As the majority's discussion makes plain, see ante at  432,  437, the officer questioning respondent clearly carried a weapons pouch during the interview. See also 554 So.2d at 1 157.</w:t>
      </w:r>
    </w:p>
    <w:p w:rsidR="00A31137" w:rsidRPr="00A31137" w:rsidRDefault="00A31137" w:rsidP="00A31137">
      <w:r w:rsidRPr="00A31137">
        <w:t>1991, Florida v. Bostick, 501 U.S. 451</w:t>
      </w:r>
    </w:p>
    <w:p w:rsidR="00A31137" w:rsidRPr="00A31137" w:rsidRDefault="00A31137" w:rsidP="00A31137">
      <w:r w:rsidRPr="00A31137">
        <w:t>4. Insisting that police officers explain their decision to single out a particular passenger for questioning would help prevent their reliance on impermissible criteria such as race. See n. 1, supra.</w:t>
      </w:r>
    </w:p>
    <w:p w:rsidR="00A31137" w:rsidRPr="00A31137" w:rsidRDefault="00A31137" w:rsidP="00A31137">
      <w:r w:rsidRPr="00A31137">
        <w:t>Masson v. New Yorker Magazine, Inc., 1991</w:t>
      </w:r>
    </w:p>
    <w:p w:rsidR="00A31137" w:rsidRPr="00A31137" w:rsidRDefault="00A31137" w:rsidP="00A31137">
      <w:r w:rsidRPr="00A31137">
        <w:t>Title:</w:t>
      </w:r>
      <w:r w:rsidRPr="00A31137">
        <w:tab/>
        <w:t>Masson v. New Yorker Magazine, Inc.</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20, 1991</w:t>
      </w:r>
    </w:p>
    <w:p w:rsidR="00A31137" w:rsidRPr="00A31137" w:rsidRDefault="00A31137" w:rsidP="00A31137">
      <w:r w:rsidRPr="00A31137">
        <w:t>Source:</w:t>
      </w:r>
      <w:r w:rsidRPr="00A31137">
        <w:tab/>
        <w:t>501 U.S. 496</w:t>
      </w:r>
    </w:p>
    <w:p w:rsidR="00A31137" w:rsidRPr="00A31137" w:rsidRDefault="00A31137" w:rsidP="00A31137">
      <w:r w:rsidRPr="00A31137">
        <w:t>This case was argued January 14, 1991, and was decided June 20, 1991.</w:t>
      </w:r>
    </w:p>
    <w:p w:rsidR="00A31137" w:rsidRPr="00A31137" w:rsidRDefault="00A31137" w:rsidP="00A31137">
      <w:r w:rsidRPr="00A31137">
        <w:t>CERTIORARI TO THE UNITED STATES COURT OF APPEALS</w:t>
      </w:r>
    </w:p>
    <w:p w:rsidR="00A31137" w:rsidRPr="00A31137" w:rsidRDefault="00A31137" w:rsidP="00A31137">
      <w:r w:rsidRPr="00A31137">
        <w:t>FOR THE NINTH CIRCUIT</w:t>
      </w:r>
    </w:p>
    <w:p w:rsidR="00A31137" w:rsidRPr="00A31137" w:rsidRDefault="00A31137" w:rsidP="00A31137">
      <w:r w:rsidRPr="00A31137">
        <w:t>Syllabus</w:t>
      </w:r>
    </w:p>
    <w:p w:rsidR="00A31137" w:rsidRPr="00A31137" w:rsidRDefault="00A31137" w:rsidP="00A31137">
      <w:r w:rsidRPr="00A31137">
        <w:t>1991, Masson v. New Yorker Magazine, Inc., 501 U.S. 496</w:t>
      </w:r>
    </w:p>
    <w:p w:rsidR="00A31137" w:rsidRPr="00A31137" w:rsidRDefault="00A31137" w:rsidP="00A31137">
      <w:r w:rsidRPr="00A31137">
        <w:t>Petitioner Masson, a psychoanalyst, became disillusioned with Freudian psychology while serving as Projects Director of the Sigmund Freud Archives, and was fired after advancing his own theories. Thereafter, respondent Malcolm, an author and contributor to respondent The New Yorker, a magazine, taped several interviews with Masson and wrote a lengthy article on his relationship with the Archives. One of Malcolm's narrative devices consists of enclosing lengthy passages attributed to Masson in quotation marks. Masson allegedly expressed alarm about several errors in those passages before the article was published. After its publication, and with knowledge of Masson's allegations that it contained defamatory material, respondent Alfred A. Knopf, Inc., published the work as a book, which portrayed Masson in a most unflattering light. He brought an action for libel under California law in the Federal District Court, concentrating on passages alleged to be defamatory, six of which are before this Court. In each instance, the quoted statement does not appear in the taped interviews. The parties dispute whether there were additional untaped interviews, the notes from which Malcolm allegedly transcribed. The court granted respondents' motion for summary judgment. It concluded that the alleged inaccuracies were substantially true or were rational interpretations of ambiguous conversations, and therefore did not raise a jury question of actual malice, which is required when libel is alleged by a public figure. The Court of Appeals affirmed.   The court found, among other things, that one passage—in which Masson was quoted as saying that Archive officials had considered him an "intellectual gigolo" while the tape showed that he said he "was much too junior within the hierarchy of analysis for these important…analysts to be caught dead with [him]"—was not defamatory, and would not be actionable under the "incremental harm" doctrine.</w:t>
      </w:r>
    </w:p>
    <w:p w:rsidR="00A31137" w:rsidRPr="00A31137" w:rsidRDefault="00A31137" w:rsidP="00A31137">
      <w:r w:rsidRPr="00A31137">
        <w:t>1991, Masson v. New Yorker Magazine, Inc., 501 U.S. 496</w:t>
      </w:r>
    </w:p>
    <w:p w:rsidR="00A31137" w:rsidRPr="00A31137" w:rsidRDefault="00A31137" w:rsidP="00A31137">
      <w:r w:rsidRPr="00A31137">
        <w:t>Held:</w:t>
      </w:r>
    </w:p>
    <w:p w:rsidR="00A31137" w:rsidRPr="00A31137" w:rsidRDefault="00A31137" w:rsidP="00A31137">
      <w:r w:rsidRPr="00A31137">
        <w:t>1991, Masson v. New Yorker Magazine, Inc., 501 U.S. 496</w:t>
      </w:r>
    </w:p>
    <w:p w:rsidR="00A31137" w:rsidRPr="00A31137" w:rsidRDefault="00A31137" w:rsidP="00A31137">
      <w:r w:rsidRPr="00A31137">
        <w:t>1. The evidence presents a jury question whether Malcolm acted with requisite knowledge of falsity or reckless disregard as to the truth or falsity of five of the passages. Pp.  509-525.</w:t>
      </w:r>
    </w:p>
    <w:p w:rsidR="00A31137" w:rsidRPr="00A31137" w:rsidRDefault="00A31137" w:rsidP="00A31137">
      <w:r w:rsidRPr="00A31137">
        <w:t>1991, Masson v. New Yorker Magazine, Inc., 501 U.S. 496</w:t>
      </w:r>
    </w:p>
    <w:p w:rsidR="00A31137" w:rsidRPr="00A31137" w:rsidRDefault="00A31137" w:rsidP="00A31137">
      <w:r w:rsidRPr="00A31137">
        <w:t>(a) As relevant here, the First Amendment limits California's libel law by requiring that a public figure prove by clear and convincing evidence that the defendant published the defamatory statement with [501 U.S. 497] actual malice. However, in place of the term actual malice, it is better practice that jury instructions refer to publication of a statement with knowledge of falsity or reckless disregard as to truth or falsity. Pp. 509-511.</w:t>
      </w:r>
    </w:p>
    <w:p w:rsidR="00A31137" w:rsidRPr="00A31137" w:rsidRDefault="00A31137" w:rsidP="00A31137">
      <w:r w:rsidRPr="00A31137">
        <w:t>1991, Masson v. New Yorker Magazine, Inc., 501 U.S. 497</w:t>
      </w:r>
    </w:p>
    <w:p w:rsidR="00A31137" w:rsidRPr="00A31137" w:rsidRDefault="00A31137" w:rsidP="00A31137">
      <w:r w:rsidRPr="00A31137">
        <w:t>(b) A trier of fact in this case could find that the reasonable reader would understand the quotations attributed to Masson to be nearly verbatim reports of his statements. In general, quotation marks indicate a verbatim reproduction, and quotations add authority to a statement and credibility to an author's work. A fabricated quotation may injure reputation by attributing an untrue factual assertion to the speaker, or by indicating a negative personal trait or an attitude the speaker does not hold. While some quotations do not convey that the speaker actually said or wrote the quoted material, such is not the case here. Malcolm's work gives the reader no clue that the quotations are anything but the reproductions of actual conversations, and the work was published in a magazine that enjoyed a reputation for scrupulous factual inquiry. These factors could lead a reader to take the quotations at face value. Pp.  511-513.</w:t>
      </w:r>
    </w:p>
    <w:p w:rsidR="00A31137" w:rsidRPr="00A31137" w:rsidRDefault="00A31137" w:rsidP="00A31137">
      <w:r w:rsidRPr="00A31137">
        <w:t>1991, Masson v. New Yorker Magazine, Inc., 501 U.S. 497</w:t>
      </w:r>
    </w:p>
    <w:p w:rsidR="00A31137" w:rsidRPr="00A31137" w:rsidRDefault="00A31137" w:rsidP="00A31137">
      <w:r w:rsidRPr="00A31137">
        <w:t>(c) The common law of libel overlooks minor inaccuracies and concentrates upon substantial truth. Thus, a deliberate alteration of a plaintiff's words does not equate with knowledge of falsity for purposes of New York Times Co. v. Sullivan, 376 U.S. 254, 279-280, and Gertz v. Robert Welch, Inc., 418 U.S. 323,  342, unless it results in a material change in the statement's meaning. While the use of quotations to attribute words not in fact spoken is important to that inquiry, the idea that any alteration beyond correction of grammar or syntax by itself proves falsity is rejected. Even if a statement has been recorded, the existence of both a speaker and a reporter, the translation between two media, the addition of punctuation, and the practical necessity to edit and make intelligible a speakers' perhaps rambling comments, make it misleading to suggest that a quotation will be reconstructed with complete accuracy. However, if alterations give a different meaning to a speaker's statements, bearing upon their defamatory character, then the device of quotations might well be critical in finding the words actionable. Pp.  513-518.</w:t>
      </w:r>
    </w:p>
    <w:p w:rsidR="00A31137" w:rsidRPr="00A31137" w:rsidRDefault="00A31137" w:rsidP="00A31137">
      <w:r w:rsidRPr="00A31137">
        <w:t>1991, Masson v. New Yorker Magazine, Inc., 501 U.S. 497</w:t>
      </w:r>
    </w:p>
    <w:p w:rsidR="00A31137" w:rsidRPr="00A31137" w:rsidRDefault="00A31137" w:rsidP="00A31137">
      <w:r w:rsidRPr="00A31137">
        <w:t>(d) Although the Court of Appeals applied a test of substantial truth, it erred in going one step further and concluding that an altered quotation is protected so long as it is a "rational interpretation" of the actual statement. The protection for rational interpretation serves First Amendment principle by allowing an author the interpretive license that is necessary when relying upon ambiguous sources; but where a writer uses a quotation that a reasonable reader would conclude purports to be a verbatim repetition of the speaker's statement, the quotation [501 U.S. 498] marks indicate that the author is not interpreting the speaker's ambiguous statement, but is attempting to convey what the speaker said. Time, Inc. v. Pape, 401 U.S. 279; Bose Corp. v. Consumers Union of United States, Inc., 466 U.S. 485, distinguished. Pp.  518-520.</w:t>
      </w:r>
    </w:p>
    <w:p w:rsidR="00A31137" w:rsidRPr="00A31137" w:rsidRDefault="00A31137" w:rsidP="00A31137">
      <w:r w:rsidRPr="00A31137">
        <w:t>1991, Masson v. New Yorker Magazine, Inc., 501 U.S. 498</w:t>
      </w:r>
    </w:p>
    <w:p w:rsidR="00A31137" w:rsidRPr="00A31137" w:rsidRDefault="00A31137" w:rsidP="00A31137">
      <w:r w:rsidRPr="00A31137">
        <w:t>(e) In determining whether Masson has shown sufficient falsification to survive summary judgment, it must be assumed, except where otherwise evidenced by the tape recordings' transcripts, that he is correct in denying that he made the statements Malcolm attributed to him, and that Malcolm reported with knowledge or reckless disregard of the differences between what he said and what was quoted. Malcolm's typewritten notes should not be considered, since Masson denied making the statements, and since the record contains substantial additional evidence to support a jury determination under a clear and convincing evidence standard that Malcolm deliberately or recklessly altered the quotations. While she contests Masson's allegations, only a trial on the merits will resolve the factual dispute. Pp.  520-521.</w:t>
      </w:r>
    </w:p>
    <w:p w:rsidR="00A31137" w:rsidRPr="00A31137" w:rsidRDefault="00A31137" w:rsidP="00A31137">
      <w:r w:rsidRPr="00A31137">
        <w:t>1991, Masson v. New Yorker Magazine, Inc., 501 U.S. 498</w:t>
      </w:r>
    </w:p>
    <w:p w:rsidR="00A31137" w:rsidRPr="00A31137" w:rsidRDefault="00A31137" w:rsidP="00A31137">
      <w:r w:rsidRPr="00A31137">
        <w:t>(f) Five of the six published passages differ materially in meaning from the tape recorded statements so as to create an issue of fact for a jury as to falsity. Whether the "intellectual gigolo" passage is defamatory is a question of California law, and to the extent that the Court of Appeals based its conclusion on the First Amendment, it was mistaken. Moreover, an "incremental harm" doctrine—which measures the incremental reputational harm inflicted by the challenged statements beyond the harm imposed by the nonactionable remainder of the publication—is not compelled as a matter of First Amendment protection for speech, since it does not bear on whether a defendant has published a statement with knowledge of falsity or reckless disregard of whether it was false or not. Pp.  521-525.</w:t>
      </w:r>
    </w:p>
    <w:p w:rsidR="00A31137" w:rsidRPr="00A31137" w:rsidRDefault="00A31137" w:rsidP="00A31137">
      <w:r w:rsidRPr="00A31137">
        <w:t>1991, Masson v. New Yorker Magazine, Inc., 501 U.S. 498</w:t>
      </w:r>
    </w:p>
    <w:p w:rsidR="00A31137" w:rsidRPr="00A31137" w:rsidRDefault="00A31137" w:rsidP="00A31137">
      <w:r w:rsidRPr="00A31137">
        <w:t>2. On remand, the Court of Appeals should consider Masson's argument that the District Court erred in granting summary judgment to the New Yorker Magazine, Inc., and Alfred A. Knopf, Inc., on the basis of their respective relations with Malcolm or the lack of any independent actual malice, since the court failed to reach his argument because of its disposition with respect to Malcolm. P.  525.</w:t>
      </w:r>
    </w:p>
    <w:p w:rsidR="00A31137" w:rsidRPr="00A31137" w:rsidRDefault="00A31137" w:rsidP="00A31137">
      <w:r w:rsidRPr="00A31137">
        <w:t>1991, Masson v. New Yorker Magazine, Inc., 501 U.S. 498</w:t>
      </w:r>
    </w:p>
    <w:p w:rsidR="00A31137" w:rsidRPr="00A31137" w:rsidRDefault="00A31137" w:rsidP="00A31137">
      <w:r w:rsidRPr="00A31137">
        <w:t>895 F.2d 1535, (CA9 1989), reversed and remanded.</w:t>
      </w:r>
    </w:p>
    <w:p w:rsidR="00A31137" w:rsidRPr="00A31137" w:rsidRDefault="00A31137" w:rsidP="00A31137">
      <w:r w:rsidRPr="00A31137">
        <w:t>1991, Masson v. New Yorker Magazine, Inc., 501 U.S. 498</w:t>
      </w:r>
    </w:p>
    <w:p w:rsidR="00A31137" w:rsidRPr="00A31137" w:rsidRDefault="00A31137" w:rsidP="00A31137">
      <w:r w:rsidRPr="00A31137">
        <w:t xml:space="preserve">KENNEDY, J., delivered the opinion of the Court, in which REHNQUIST, C.J., and MARSHALL, BLACKMUN, STEVENS, O'CONNOR, and SOUTER, JJ., joined, and in Parts I, II-A, II-D, and III-A of which WHITE and SCALIA, JJ., joined. WHITE, J., filed an opinion concurring in part and dissenting in part, in which SCALIA, J., joined, post, p.  525. [501 U.S. 499] </w:t>
      </w:r>
    </w:p>
    <w:p w:rsidR="00A31137" w:rsidRPr="00A31137" w:rsidRDefault="00A31137" w:rsidP="00A31137">
      <w:r w:rsidRPr="00A31137">
        <w:t>KENNEDY, J., lead opinion</w:t>
      </w:r>
    </w:p>
    <w:p w:rsidR="00A31137" w:rsidRPr="00A31137" w:rsidRDefault="00A31137" w:rsidP="00A31137">
      <w:r w:rsidRPr="00A31137">
        <w:t>1991, Masson v. New Yorker Magazine, Inc., 501 U.S. 499</w:t>
      </w:r>
    </w:p>
    <w:p w:rsidR="00A31137" w:rsidRPr="00A31137" w:rsidRDefault="00A31137" w:rsidP="00A31137">
      <w:r w:rsidRPr="00A31137">
        <w:t>JUSTICE KENNEDY delivered the opinion of the Court.</w:t>
      </w:r>
    </w:p>
    <w:p w:rsidR="00A31137" w:rsidRPr="00A31137" w:rsidRDefault="00A31137" w:rsidP="00A31137">
      <w:r w:rsidRPr="00A31137">
        <w:t>1991, Masson v. New Yorker Magazine, Inc., 501 U.S. 499</w:t>
      </w:r>
    </w:p>
    <w:p w:rsidR="00A31137" w:rsidRPr="00A31137" w:rsidRDefault="00A31137" w:rsidP="00A31137">
      <w:r w:rsidRPr="00A31137">
        <w:t>In this libel case, a public figure claims he was defamed by an author who, with full knowledge of the inaccuracy, used quotation marks to attribute to him comments he had not made. The First Amendment protects authors and journalists who write about public figures by requiring a plaintiff to prove that the defamatory statements were made with what we have called "actual malice," a term of art denoting deliberate or reckless falsification. We consider in this opinion whether the attributed quotations had the degree of falsity required to prove this state of mind, so that the public figure can defeat a motion for summary judgment and proceed to a trial on the merits of the defamation claim.</w:t>
      </w:r>
    </w:p>
    <w:p w:rsidR="00A31137" w:rsidRPr="00A31137" w:rsidRDefault="00A31137" w:rsidP="00A31137">
      <w:r w:rsidRPr="00A31137">
        <w:t>I</w:t>
      </w:r>
    </w:p>
    <w:p w:rsidR="00A31137" w:rsidRPr="00A31137" w:rsidRDefault="00A31137" w:rsidP="00A31137">
      <w:r w:rsidRPr="00A31137">
        <w:t>1991, Masson v. New Yorker Magazine, Inc., 501 U.S. 499</w:t>
      </w:r>
    </w:p>
    <w:p w:rsidR="00A31137" w:rsidRPr="00A31137" w:rsidRDefault="00A31137" w:rsidP="00A31137">
      <w:r w:rsidRPr="00A31137">
        <w:t>Petitioner Jeffrey Masson trained at Harvard University as a Sanskrit scholar, and in 1970 became a professor of Sanskrit &amp; Indian Studies at the University of Toronto. He spent eight years in psychoanalytic training, and qualified as [501 U.S. 500] an analyst in 1978. Through his professional activities, he came to know Dr. Kurt Eissler, head of the Sigmund Freud Archives, and Dr. Anna Freud, daughter of Sigmund Freud and a major psychoanalyst in her own right. The Sigmund Freud Archives, located at Maresfield Gardens outside of London, serves as a repository for materials about Freud, including his own writings, letters, and personal library. The materials, and the right of access to them, are of immense value to those who study Freud, his theories, life and work.</w:t>
      </w:r>
    </w:p>
    <w:p w:rsidR="00A31137" w:rsidRPr="00A31137" w:rsidRDefault="00A31137" w:rsidP="00A31137">
      <w:r w:rsidRPr="00A31137">
        <w:t>1991, Masson v. New Yorker Magazine, Inc., 501 U.S. 500</w:t>
      </w:r>
    </w:p>
    <w:p w:rsidR="00A31137" w:rsidRPr="00A31137" w:rsidRDefault="00A31137" w:rsidP="00A31137">
      <w:r w:rsidRPr="00A31137">
        <w:t>In 1980, Eissler and Anna Freud hired petitioner as Projects Director of the Archives. After assuming his post, petitioner became disillusioned with Freudian psychology. In a 1981 lecture before the Western New England Psychoanalytical Society in New Haven, Connecticut, he advanced his theories of Freud. Soon after, the Board of the Archives terminated petitioner as Projects Director.</w:t>
      </w:r>
    </w:p>
    <w:p w:rsidR="00A31137" w:rsidRPr="00A31137" w:rsidRDefault="00A31137" w:rsidP="00A31137">
      <w:r w:rsidRPr="00A31137">
        <w:t>1991, Masson v. New Yorker Magazine, Inc., 501 U.S. 500</w:t>
      </w:r>
    </w:p>
    <w:p w:rsidR="00A31137" w:rsidRPr="00A31137" w:rsidRDefault="00A31137" w:rsidP="00A31137">
      <w:r w:rsidRPr="00A31137">
        <w:t>Respondent Janet Malcolm is an author and a contributor to respondent The New Yorker, a weekly magazine. She contacted petitioner in 1982 regarding the possibility of an article on his relationship with the Archives. He agreed, and the two met in person and spoke by telephone in a series of interviews. Based on the interviews and other sources, Malcolm wrote a lengthy article. One of Malcolm's narrative devices consists of enclosing lengthy passages in quotation marks, reporting statements of Masson, Eissler, and her other subjects.</w:t>
      </w:r>
    </w:p>
    <w:p w:rsidR="00A31137" w:rsidRPr="00A31137" w:rsidRDefault="00A31137" w:rsidP="00A31137">
      <w:r w:rsidRPr="00A31137">
        <w:t>1991, Masson v. New Yorker Magazine, Inc., 501 U.S. 500</w:t>
      </w:r>
    </w:p>
    <w:p w:rsidR="00A31137" w:rsidRPr="00A31137" w:rsidRDefault="00A31137" w:rsidP="00A31137">
      <w:r w:rsidRPr="00A31137">
        <w:t>During the editorial process, Nancy Franklin, a member of the fact-checking department at The New Yorker, called petitioner to confirm some of the facts underlying the article. According to petitioner, he expressed alarm at the number of errors in the few passages Franklin discussed with him. Petitioner contends that he asked permission to review those portions of the article which attributed quotations or information to him, but was brushed off with a never-fulfilled promise [501 U.S. 501] to "get back to [him]." App. 67. Franklin disputes petitioner's version of their conversation. App. 246-247.</w:t>
      </w:r>
    </w:p>
    <w:p w:rsidR="00A31137" w:rsidRPr="00A31137" w:rsidRDefault="00A31137" w:rsidP="00A31137">
      <w:r w:rsidRPr="00A31137">
        <w:t>1991, Masson v. New Yorker Magazine, Inc., 501 U.S. 501</w:t>
      </w:r>
    </w:p>
    <w:p w:rsidR="00A31137" w:rsidRPr="00A31137" w:rsidRDefault="00A31137" w:rsidP="00A31137">
      <w:r w:rsidRPr="00A31137">
        <w:t>The New Yorker published Malcolm's piece in December, 1983, as a two-part series. In 1984, with knowledge of at least petitioner's general allegation that the article contained defamatory material, respondent Alfred A. Knopf, Inc., published the entire work as a book, entitled In the Freud Archives.</w:t>
      </w:r>
    </w:p>
    <w:p w:rsidR="00A31137" w:rsidRPr="00A31137" w:rsidRDefault="00A31137" w:rsidP="00A31137">
      <w:r w:rsidRPr="00A31137">
        <w:t>1991, Masson v. New Yorker Magazine, Inc., 501 U.S. 501</w:t>
      </w:r>
    </w:p>
    <w:p w:rsidR="00A31137" w:rsidRPr="00A31137" w:rsidRDefault="00A31137" w:rsidP="00A31137">
      <w:r w:rsidRPr="00A31137">
        <w:t>Malcolm's work received complimentary reviews. But this gave little joy to Masson, for the book portrays him in a most unflattering light. According to one reviewer,</w:t>
      </w:r>
    </w:p>
    <w:p w:rsidR="00A31137" w:rsidRPr="00A31137" w:rsidRDefault="00A31137" w:rsidP="00A31137">
      <w:r w:rsidRPr="00A31137">
        <w:t>1991, Masson v. New Yorker Magazine, Inc., 501 U.S. 501</w:t>
      </w:r>
    </w:p>
    <w:p w:rsidR="00A31137" w:rsidRPr="00A31137" w:rsidRDefault="00A31137" w:rsidP="00A31137">
      <w:r w:rsidRPr="00A31137">
        <w:t>Masson the promising psychoanalytic scholar emerges gradually, as a grandiose egotist—mean-spirited, self-serving, full of braggadocio, impossibly arrogant and, in the end, a self-destructive fool. But it is not Janet Malcolm who calls him such: his own words reveal this psychological profile—a self-portrait offered to us through the efforts of an observer and listener who is, surely, as wise as any in the psychoanalytic profession.</w:t>
      </w:r>
    </w:p>
    <w:p w:rsidR="00A31137" w:rsidRPr="00A31137" w:rsidRDefault="00A31137" w:rsidP="00A31137">
      <w:r w:rsidRPr="00A31137">
        <w:t>1991, Masson v. New Yorker Magazine, Inc., 501 U.S. 501</w:t>
      </w:r>
    </w:p>
    <w:p w:rsidR="00A31137" w:rsidRPr="00A31137" w:rsidRDefault="00A31137" w:rsidP="00A31137">
      <w:r w:rsidRPr="00A31137">
        <w:t>Coles, Freudianism Confronts Its Malcontents, Boston Globe, May 27, 1984, pp. 58, 60.</w:t>
      </w:r>
    </w:p>
    <w:p w:rsidR="00A31137" w:rsidRPr="00A31137" w:rsidRDefault="00A31137" w:rsidP="00A31137">
      <w:r w:rsidRPr="00A31137">
        <w:t>1991, Masson v. New Yorker Magazine, Inc., 501 U.S. 501</w:t>
      </w:r>
    </w:p>
    <w:p w:rsidR="00A31137" w:rsidRPr="00A31137" w:rsidRDefault="00A31137" w:rsidP="00A31137">
      <w:r w:rsidRPr="00A31137">
        <w:t>Petitioner wrote a letter to the New York Times Book Review calling the book "distorted." In response, Malcolm stated:</w:t>
      </w:r>
    </w:p>
    <w:p w:rsidR="00A31137" w:rsidRPr="00A31137" w:rsidRDefault="00A31137" w:rsidP="00A31137">
      <w:r w:rsidRPr="00A31137">
        <w:t>1991, Masson v. New Yorker Magazine, Inc., 501 U.S. 501</w:t>
      </w:r>
    </w:p>
    <w:p w:rsidR="00A31137" w:rsidRPr="00A31137" w:rsidRDefault="00A31137" w:rsidP="00A31137">
      <w:r w:rsidRPr="00A31137">
        <w:t>Many of [the] things Mr. Masson told me (on tape) were discreditable to him, and I felt it best not to include them. Everything I do quote Mr. Masson as saying was said by him, almost word for word. (The "almost" refers to changes made for the sake of correct syntax.) I would be glad to play the tapes of my conversation with Mr. Masson to the editors of The Book Review whenever they have 40 or 50 short hours to spare.</w:t>
      </w:r>
    </w:p>
    <w:p w:rsidR="00A31137" w:rsidRPr="00A31137" w:rsidRDefault="00A31137" w:rsidP="00A31137">
      <w:r w:rsidRPr="00A31137">
        <w:t>1991, Masson v. New Yorker Magazine, Inc., 501 U.S. 501</w:t>
      </w:r>
    </w:p>
    <w:p w:rsidR="00A31137" w:rsidRPr="00A31137" w:rsidRDefault="00A31137" w:rsidP="00A31137">
      <w:r w:rsidRPr="00A31137">
        <w:t>App. 222-223.</w:t>
      </w:r>
    </w:p>
    <w:p w:rsidR="00A31137" w:rsidRPr="00A31137" w:rsidRDefault="00A31137" w:rsidP="00A31137">
      <w:r w:rsidRPr="00A31137">
        <w:t>1991, Masson v. New Yorker Magazine, Inc., 501 U.S. 501</w:t>
      </w:r>
    </w:p>
    <w:p w:rsidR="00A31137" w:rsidRPr="00A31137" w:rsidRDefault="00A31137" w:rsidP="00A31137">
      <w:r w:rsidRPr="00A31137">
        <w:t>Petitioner brought an action for libel under California law in the United States District Court for the Northern District of California. During extensive discovery and repeated [501 U.S. 502] amendments to the complaint, petitioner concentrated on various passages alleged to be defamatory, dropping some and adding others. The tape recordings of the interviews demonstrated that petitioner had, in fact, made statements substantially identical to a number of the passages, and those passages are no longer in the case. We discuss only the passages relied on by petitioner in his briefs to this Court.</w:t>
      </w:r>
    </w:p>
    <w:p w:rsidR="00A31137" w:rsidRPr="00A31137" w:rsidRDefault="00A31137" w:rsidP="00A31137">
      <w:r w:rsidRPr="00A31137">
        <w:t>1991, Masson v. New Yorker Magazine, Inc., 501 U.S. 502</w:t>
      </w:r>
    </w:p>
    <w:p w:rsidR="00A31137" w:rsidRPr="00A31137" w:rsidRDefault="00A31137" w:rsidP="00A31137">
      <w:r w:rsidRPr="00A31137">
        <w:t>Each passage before us purports to quote a statement made by petitioner during the interviews. Yet in each instance no identical statement appears in the more than 40 hours of taped interviews. Petitioner complains that Malcolm fabricated all but one passage; with respect to that passage, he claims Malcolm omitted a crucial portion, rendering the remainder misleading.</w:t>
      </w:r>
    </w:p>
    <w:p w:rsidR="00A31137" w:rsidRPr="00A31137" w:rsidRDefault="00A31137" w:rsidP="00A31137">
      <w:r w:rsidRPr="00A31137">
        <w:t>1991, Masson v. New Yorker Magazine, Inc., 501 U.S. 502</w:t>
      </w:r>
    </w:p>
    <w:p w:rsidR="00A31137" w:rsidRPr="00A31137" w:rsidRDefault="00A31137" w:rsidP="00A31137">
      <w:r w:rsidRPr="00A31137">
        <w:t>(a) "Intellectual Gigolo." Malcolm quoted a description by petitioner of his relationship with Eissler and Anna Freud as follows:</w:t>
      </w:r>
    </w:p>
    <w:p w:rsidR="00A31137" w:rsidRPr="00A31137" w:rsidRDefault="00A31137" w:rsidP="00A31137">
      <w:r w:rsidRPr="00A31137">
        <w:t>1991, Masson v. New Yorker Magazine, Inc., 501 U.S. 502</w:t>
      </w:r>
    </w:p>
    <w:p w:rsidR="00A31137" w:rsidRPr="00A31137" w:rsidRDefault="00A31137" w:rsidP="00A31137">
      <w:r w:rsidRPr="00A31137">
        <w:t>"Then I met a rather attractive older graduate student and I had an affair with her. One day, she took me to some art event, and she was sorry afterward. She said, "Well, it is very nice sleeping with you in your room, but you're the kind of person who should never leave the room—you're just a social embarrassment anywhere else, though you do fine in your own room." And you know, in their way, if not in so many words, Eissler and Anna Freud told me the same thing. They like me well enough "in my own room." They loved to hear from me what creeps and dolts analysts are. I was like an intellectual gigolo—you get your pleasure from him, but you don't take him out in public…. "</w:t>
      </w:r>
    </w:p>
    <w:p w:rsidR="00A31137" w:rsidRPr="00A31137" w:rsidRDefault="00A31137" w:rsidP="00A31137">
      <w:r w:rsidRPr="00A31137">
        <w:t>1991, Masson v. New Yorker Magazine, Inc., 501 U.S. 502</w:t>
      </w:r>
    </w:p>
    <w:p w:rsidR="00A31137" w:rsidRPr="00A31137" w:rsidRDefault="00A31137" w:rsidP="00A31137">
      <w:r w:rsidRPr="00A31137">
        <w:t xml:space="preserve">In the Freud Archives 38. The tape recordings contain the substance of petitioner's reference to his graduate student friend, App. 95, but no suggestion that Eissler or Anna Freud considered him, or that he considered himself, an "'intellectual gigolo.'" Instead, petitioner said: [501 U.S. 503] </w:t>
      </w:r>
    </w:p>
    <w:p w:rsidR="00A31137" w:rsidRPr="00A31137" w:rsidRDefault="00A31137" w:rsidP="00A31137">
      <w:r w:rsidRPr="00A31137">
        <w:t>1991, Masson v. New Yorker Magazine, Inc., 501 U.S. 503</w:t>
      </w:r>
    </w:p>
    <w:p w:rsidR="00A31137" w:rsidRPr="00A31137" w:rsidRDefault="00A31137" w:rsidP="00A31137">
      <w:r w:rsidRPr="00A31137">
        <w:t>They felt, in a sense, I was a private asset but a public liability…. They liked me when I was alone in their living room, and I could talk and chat and tell them the truth about things and they would tell me. But that I was, in a sense, much too junior within the hierarchy of analysis, for these important training analysts to be caught dead with me.</w:t>
      </w:r>
    </w:p>
    <w:p w:rsidR="00A31137" w:rsidRPr="00A31137" w:rsidRDefault="00A31137" w:rsidP="00A31137">
      <w:r w:rsidRPr="00A31137">
        <w:t>1991, Masson v. New Yorker Magazine, Inc., 501 U.S. 503</w:t>
      </w:r>
    </w:p>
    <w:p w:rsidR="00A31137" w:rsidRPr="00A31137" w:rsidRDefault="00A31137" w:rsidP="00A31137">
      <w:r w:rsidRPr="00A31137">
        <w:t>Id. at 104.</w:t>
      </w:r>
    </w:p>
    <w:p w:rsidR="00A31137" w:rsidRPr="00A31137" w:rsidRDefault="00A31137" w:rsidP="00A31137">
      <w:r w:rsidRPr="00A31137">
        <w:t>1991, Masson v. New Yorker Magazine, Inc., 501 U.S. 503</w:t>
      </w:r>
    </w:p>
    <w:p w:rsidR="00A31137" w:rsidRPr="00A31137" w:rsidRDefault="00A31137" w:rsidP="00A31137">
      <w:r w:rsidRPr="00A31137">
        <w:t>(b) "Sex, Women, Fun." Malcolm quoted petitioner as describing his plans for Maresfield Gardens, which he had hoped to occupy after Anna Freud's death:</w:t>
      </w:r>
    </w:p>
    <w:p w:rsidR="00A31137" w:rsidRPr="00A31137" w:rsidRDefault="00A31137" w:rsidP="00A31137">
      <w:r w:rsidRPr="00A31137">
        <w:t>1991, Masson v. New Yorker Magazine, Inc., 501 U.S. 503</w:t>
      </w:r>
    </w:p>
    <w:p w:rsidR="00A31137" w:rsidRPr="00A31137" w:rsidRDefault="00A31137" w:rsidP="00A31137">
      <w:r w:rsidRPr="00A31137">
        <w:t>"It was a beautiful house, but it was dark and sombre and dead. Nothing ever went on there. I was the only person who ever came. I would have renovated it, opened it up, brought it to life. Maresfield Gardens would have been a center of scholarship, but it would also have been a place of sex, women, fun. It would have been like the change in The Wizard of Oz, from black-and-white into color."</w:t>
      </w:r>
    </w:p>
    <w:p w:rsidR="00A31137" w:rsidRPr="00A31137" w:rsidRDefault="00A31137" w:rsidP="00A31137">
      <w:r w:rsidRPr="00A31137">
        <w:t>1991, Masson v. New Yorker Magazine, Inc., 501 U.S. 503</w:t>
      </w:r>
    </w:p>
    <w:p w:rsidR="00A31137" w:rsidRPr="00A31137" w:rsidRDefault="00A31137" w:rsidP="00A31137">
      <w:r w:rsidRPr="00A31137">
        <w:t>In the Freud Archives 33. The tape recordings contain a similar statement, but in place of the reference to "sex, women, fun," and The Wizard of Oz, petitioner commented:</w:t>
      </w:r>
    </w:p>
    <w:p w:rsidR="00A31137" w:rsidRPr="00A31137" w:rsidRDefault="00A31137" w:rsidP="00A31137">
      <w:r w:rsidRPr="00A31137">
        <w:t>1991, Masson v. New Yorker Magazine, Inc., 501 U.S. 503</w:t>
      </w:r>
    </w:p>
    <w:p w:rsidR="00A31137" w:rsidRPr="00A31137" w:rsidRDefault="00A31137" w:rsidP="00A31137">
      <w:r w:rsidRPr="00A31137">
        <w:t>[I]t is an incredible storehouse. I mean, the library, Freud's library alone is priceless in terms of what it contains: all his books with his annotations in them; the Schreber case annotated, that kind of thing. It's fascinating.</w:t>
      </w:r>
    </w:p>
    <w:p w:rsidR="00A31137" w:rsidRPr="00A31137" w:rsidRDefault="00A31137" w:rsidP="00A31137">
      <w:r w:rsidRPr="00A31137">
        <w:t>1991, Masson v. New Yorker Magazine, Inc., 501 U.S. 503</w:t>
      </w:r>
    </w:p>
    <w:p w:rsidR="00A31137" w:rsidRPr="00A31137" w:rsidRDefault="00A31137" w:rsidP="00A31137">
      <w:r w:rsidRPr="00A31137">
        <w:t>App. 127. Petitioner did talk, earlier in the interview, of his meeting with a London analyst:</w:t>
      </w:r>
    </w:p>
    <w:p w:rsidR="00A31137" w:rsidRPr="00A31137" w:rsidRDefault="00A31137" w:rsidP="00A31137">
      <w:r w:rsidRPr="00A31137">
        <w:t>1991, Masson v. New Yorker Magazine, Inc., 501 U.S. 503</w:t>
      </w:r>
    </w:p>
    <w:p w:rsidR="00A31137" w:rsidRPr="00A31137" w:rsidRDefault="00A31137" w:rsidP="00A31137">
      <w:r w:rsidRPr="00A31137">
        <w:t>I like him. So, and we got on very well. That was the first time we ever met and you know, it was buddy-buddy, and we were to stay with each other and [laughs] we were going to pass women on to each other, and we were going to have a great time together when I lived in the Freud house. We'd have great parties there and we were [laughs]—</w:t>
      </w:r>
    </w:p>
    <w:p w:rsidR="00A31137" w:rsidRPr="00A31137" w:rsidRDefault="00A31137" w:rsidP="00A31137">
      <w:r w:rsidRPr="00A31137">
        <w:t xml:space="preserve">*    *    *     [501 U.S. 504] </w:t>
      </w:r>
    </w:p>
    <w:p w:rsidR="00A31137" w:rsidRPr="00A31137" w:rsidRDefault="00A31137" w:rsidP="00A31137">
      <w:r w:rsidRPr="00A31137">
        <w:t>1991, Masson v. New Yorker Magazine, Inc., 501 U.S. 504</w:t>
      </w:r>
    </w:p>
    <w:p w:rsidR="00A31137" w:rsidRPr="00A31137" w:rsidRDefault="00A31137" w:rsidP="00A31137">
      <w:r w:rsidRPr="00A31137">
        <w:t>…going to really, we were going to live it up.</w:t>
      </w:r>
    </w:p>
    <w:p w:rsidR="00A31137" w:rsidRPr="00A31137" w:rsidRDefault="00A31137" w:rsidP="00A31137">
      <w:r w:rsidRPr="00A31137">
        <w:t>1991, Masson v. New Yorker Magazine, Inc., 501 U.S. 504</w:t>
      </w:r>
    </w:p>
    <w:p w:rsidR="00A31137" w:rsidRPr="00A31137" w:rsidRDefault="00A31137" w:rsidP="00A31137">
      <w:r w:rsidRPr="00A31137">
        <w:t>Id. at 129.</w:t>
      </w:r>
    </w:p>
    <w:p w:rsidR="00A31137" w:rsidRPr="00A31137" w:rsidRDefault="00A31137" w:rsidP="00A31137">
      <w:r w:rsidRPr="00A31137">
        <w:t>1991, Masson v. New Yorker Magazine, Inc., 501 U.S. 504</w:t>
      </w:r>
    </w:p>
    <w:p w:rsidR="00A31137" w:rsidRPr="00A31137" w:rsidRDefault="00A31137" w:rsidP="00A31137">
      <w:r w:rsidRPr="00A31137">
        <w:t>(c) "It Sounded Better." Petitioner spoke with Malcolm about the history of his family, including the reasons his grandfather changed the family name from Moussaieff to Masson, and why petitioner adopted the abandoned family name as his middle name. The article contains the passage:</w:t>
      </w:r>
    </w:p>
    <w:p w:rsidR="00A31137" w:rsidRPr="00A31137" w:rsidRDefault="00A31137" w:rsidP="00A31137">
      <w:r w:rsidRPr="00A31137">
        <w:t>1991, Masson v. New Yorker Magazine, Inc., 501 U.S. 504</w:t>
      </w:r>
    </w:p>
    <w:p w:rsidR="00A31137" w:rsidRPr="00A31137" w:rsidRDefault="00A31137" w:rsidP="00A31137">
      <w:r w:rsidRPr="00A31137">
        <w:t>"My father is a gem merchant who doesn't like to stay in any one place too long. His father was a gem merchant, too—a Bessarabian gem merchant, named Moussaieff, who went to Paris in the twenties and adopted the name Masson. My parents named me Jeffrey Lloyd Masson, but in 1975 I decided to change my middle name to Moussaieff—it sounded better."</w:t>
      </w:r>
    </w:p>
    <w:p w:rsidR="00A31137" w:rsidRPr="00A31137" w:rsidRDefault="00A31137" w:rsidP="00A31137">
      <w:r w:rsidRPr="00A31137">
        <w:t>1991, Masson v. New Yorker Magazine, Inc., 501 U.S. 504</w:t>
      </w:r>
    </w:p>
    <w:p w:rsidR="00A31137" w:rsidRPr="00A31137" w:rsidRDefault="00A31137" w:rsidP="00A31137">
      <w:r w:rsidRPr="00A31137">
        <w:t>In the Freud Archives 36. In the most similar tape recorded statement, Masson explained at considerable length that his grandfather had changed the family name from Moussaieff to Masson when living in France, "[j]ust to hide his Jewishness." Petitioner had changed his last name back to Moussaieff, but his then-wife Terry objected that "nobody could pronounce it and nobody knew how to spell it, and it wasn't the name that she knew me by." Petitioner had changed his name to Moussaieff because he "just liked it." "[I]t was sort of part of analysis: a return to the roots, and your family tradition and so on." In the end, he had agreed with Terry that "it wasn't her name after all," and used Moussaieff as a middle instead of a last name. App. 87-89.</w:t>
      </w:r>
    </w:p>
    <w:p w:rsidR="00A31137" w:rsidRPr="00A31137" w:rsidRDefault="00A31137" w:rsidP="00A31137">
      <w:r w:rsidRPr="00A31137">
        <w:t>1991, Masson v. New Yorker Magazine, Inc., 501 U.S. 504</w:t>
      </w:r>
    </w:p>
    <w:p w:rsidR="00A31137" w:rsidRPr="00A31137" w:rsidRDefault="00A31137" w:rsidP="00A31137">
      <w:r w:rsidRPr="00A31137">
        <w:t>(d) "I Don't Know Why I Put It In." The article recounts part of a conversation between Malcolm and petitioner about the paper petitioner presented at his 1981 New Haven lecture:</w:t>
      </w:r>
    </w:p>
    <w:p w:rsidR="00A31137" w:rsidRPr="00A31137" w:rsidRDefault="00A31137" w:rsidP="00A31137">
      <w:r w:rsidRPr="00A31137">
        <w:t>1991, Masson v. New Yorker Magazine, Inc., 501 U.S. 504</w:t>
      </w:r>
    </w:p>
    <w:p w:rsidR="00A31137" w:rsidRPr="00A31137" w:rsidRDefault="00A31137" w:rsidP="00A31137">
      <w:r w:rsidRPr="00A31137">
        <w:t>[I] asked him what had happened between the time of the lecture and the present to change him from a Freudian [501 U.S. 505] psychoanalyst with somewhat outre views into the bitter and belligerent anti-Freudian he had become.</w:t>
      </w:r>
    </w:p>
    <w:p w:rsidR="00A31137" w:rsidRPr="00A31137" w:rsidRDefault="00A31137" w:rsidP="00A31137">
      <w:r w:rsidRPr="00A31137">
        <w:t>1991, Masson v. New Yorker Magazine, Inc., 501 U.S. 505</w:t>
      </w:r>
    </w:p>
    <w:p w:rsidR="00A31137" w:rsidRPr="00A31137" w:rsidRDefault="00A31137" w:rsidP="00A31137">
      <w:r w:rsidRPr="00A31137">
        <w:t>Masson sidestepped my question. "You're right, there was nothing disrespectful of analysis in that paper," he said. "That remark about the sterility of psychoanalysis was something I tacked on at the last minute, and it was totally gratuitous. I don't know why I put it in."</w:t>
      </w:r>
    </w:p>
    <w:p w:rsidR="00A31137" w:rsidRPr="00A31137" w:rsidRDefault="00A31137" w:rsidP="00A31137">
      <w:r w:rsidRPr="00A31137">
        <w:t>1991, Masson v. New Yorker Magazine, Inc., 501 U.S. 505</w:t>
      </w:r>
    </w:p>
    <w:p w:rsidR="00A31137" w:rsidRPr="00A31137" w:rsidRDefault="00A31137" w:rsidP="00A31137">
      <w:r w:rsidRPr="00A31137">
        <w:t>In the Freud Archives 53. The tape recordings instead contain the following discussion of the New Haven lecture:</w:t>
      </w:r>
    </w:p>
    <w:p w:rsidR="00A31137" w:rsidRPr="00A31137" w:rsidRDefault="00A31137" w:rsidP="00A31137">
      <w:r w:rsidRPr="00A31137">
        <w:t>1991, Masson v. New Yorker Magazine, Inc., 501 U.S. 505</w:t>
      </w:r>
    </w:p>
    <w:p w:rsidR="00A31137" w:rsidRPr="00A31137" w:rsidRDefault="00A31137" w:rsidP="00A31137">
      <w:r w:rsidRPr="00A31137">
        <w:t>Masson: "So they really couldn't judge the material. And, in fact, until the last sentence I think they were quite fascinated. I think the last sentence was an in, [sic] possibly, gratuitously offensive way to end a paper to a group of analysts. Uh,—"</w:t>
      </w:r>
    </w:p>
    <w:p w:rsidR="00A31137" w:rsidRPr="00A31137" w:rsidRDefault="00A31137" w:rsidP="00A31137">
      <w:r w:rsidRPr="00A31137">
        <w:t>1991, Masson v. New Yorker Magazine, Inc., 501 U.S. 505</w:t>
      </w:r>
    </w:p>
    <w:p w:rsidR="00A31137" w:rsidRPr="00A31137" w:rsidRDefault="00A31137" w:rsidP="00A31137">
      <w:r w:rsidRPr="00A31137">
        <w:t>Malcolm: "What were the circumstances under which you put it [in]?…"</w:t>
      </w:r>
    </w:p>
    <w:p w:rsidR="00A31137" w:rsidRPr="00A31137" w:rsidRDefault="00A31137" w:rsidP="00A31137">
      <w:r w:rsidRPr="00A31137">
        <w:t>1991, Masson v. New Yorker Magazine, Inc., 501 U.S. 505</w:t>
      </w:r>
    </w:p>
    <w:p w:rsidR="00A31137" w:rsidRPr="00A31137" w:rsidRDefault="00A31137" w:rsidP="00A31137">
      <w:r w:rsidRPr="00A31137">
        <w:t>Masson: "That it was, was true."</w:t>
      </w:r>
    </w:p>
    <w:p w:rsidR="00A31137" w:rsidRPr="00A31137" w:rsidRDefault="00A31137" w:rsidP="00A31137">
      <w:r w:rsidRPr="00A31137">
        <w:t>*    *    *    *</w:t>
      </w:r>
    </w:p>
    <w:p w:rsidR="00A31137" w:rsidRPr="00A31137" w:rsidRDefault="00A31137" w:rsidP="00A31137">
      <w:r w:rsidRPr="00A31137">
        <w:t>1991, Masson v. New Yorker Magazine, Inc., 501 U.S. 505</w:t>
      </w:r>
    </w:p>
    <w:p w:rsidR="00A31137" w:rsidRPr="00A31137" w:rsidRDefault="00A31137" w:rsidP="00A31137">
      <w:r w:rsidRPr="00A31137">
        <w:t>…I really believe it. I didn't believe anybody would agree with me.</w:t>
      </w:r>
    </w:p>
    <w:p w:rsidR="00A31137" w:rsidRPr="00A31137" w:rsidRDefault="00A31137" w:rsidP="00A31137">
      <w:r w:rsidRPr="00A31137">
        <w:t>*    *    *    *</w:t>
      </w:r>
    </w:p>
    <w:p w:rsidR="00A31137" w:rsidRPr="00A31137" w:rsidRDefault="00A31137" w:rsidP="00A31137">
      <w:r w:rsidRPr="00A31137">
        <w:t>1991, Masson v. New Yorker Magazine, Inc., 501 U.S. 505</w:t>
      </w:r>
    </w:p>
    <w:p w:rsidR="00A31137" w:rsidRPr="00A31137" w:rsidRDefault="00A31137" w:rsidP="00A31137">
      <w:r w:rsidRPr="00A31137">
        <w:t>…But I felt I should say something because the paper's still well within the analytic tradition in a sense….</w:t>
      </w:r>
    </w:p>
    <w:p w:rsidR="00A31137" w:rsidRPr="00A31137" w:rsidRDefault="00A31137" w:rsidP="00A31137">
      <w:r w:rsidRPr="00A31137">
        <w:t>*    *    *    *</w:t>
      </w:r>
    </w:p>
    <w:p w:rsidR="00A31137" w:rsidRPr="00A31137" w:rsidRDefault="00A31137" w:rsidP="00A31137">
      <w:r w:rsidRPr="00A31137">
        <w:t>1991, Masson v. New Yorker Magazine, Inc., 501 U.S. 505</w:t>
      </w:r>
    </w:p>
    <w:p w:rsidR="00A31137" w:rsidRPr="00A31137" w:rsidRDefault="00A31137" w:rsidP="00A31137">
      <w:r w:rsidRPr="00A31137">
        <w:t>…It's really not a deep criticism of Freud. It contains all the material that would allow one to criticize Freud, but I didn't really do it. And then I thought, I really must say one thing that I really believe, that's not going to appeal to anybody and that was the very last sentence. Because I really do believe psychoanalysis is entirely sterile….</w:t>
      </w:r>
    </w:p>
    <w:p w:rsidR="00A31137" w:rsidRPr="00A31137" w:rsidRDefault="00A31137" w:rsidP="00A31137">
      <w:r w:rsidRPr="00A31137">
        <w:t>1991, Masson v. New Yorker Magazine, Inc., 501 U.S. 505</w:t>
      </w:r>
    </w:p>
    <w:p w:rsidR="00A31137" w:rsidRPr="00A31137" w:rsidRDefault="00A31137" w:rsidP="00A31137">
      <w:r w:rsidRPr="00A31137">
        <w:t>App. 176.</w:t>
      </w:r>
    </w:p>
    <w:p w:rsidR="00A31137" w:rsidRPr="00A31137" w:rsidRDefault="00A31137" w:rsidP="00A31137">
      <w:r w:rsidRPr="00A31137">
        <w:t>1991, Masson v. New Yorker Magazine, Inc., 501 U.S. 505</w:t>
      </w:r>
    </w:p>
    <w:p w:rsidR="00A31137" w:rsidRPr="00A31137" w:rsidRDefault="00A31137" w:rsidP="00A31137">
      <w:r w:rsidRPr="00A31137">
        <w:t xml:space="preserve">(e) "Greatest Analyst Who Ever Lived." The article contains the following self-explanatory passage: [501 U.S. 506] </w:t>
      </w:r>
    </w:p>
    <w:p w:rsidR="00A31137" w:rsidRPr="00A31137" w:rsidRDefault="00A31137" w:rsidP="00A31137">
      <w:r w:rsidRPr="00A31137">
        <w:t>1991, Masson v. New Yorker Magazine, Inc., 501 U.S. 506</w:t>
      </w:r>
    </w:p>
    <w:p w:rsidR="00A31137" w:rsidRPr="00A31137" w:rsidRDefault="00A31137" w:rsidP="00A31137">
      <w:r w:rsidRPr="00A31137">
        <w:t>A few days after my return to New York, Masson, in a state of elation, telephoned me to say that Farrar, Straus &amp; Giroux has taken The Assault on Truth [Masson's book]. "Wait till it reaches the best-seller list, and watch how the analysts will crawl," he crowed. "They move whichever way the wind blows. They will want me back, they will say that Masson is a great scholar, a major analyst—after Freud, he's the greatest analyst who ever lived. Suddenly they'll be calling, begging, cajoling: 'Please take back what you've said about our profession; our patients are quitting.' They'll try a short smear campaign, then they'll try to buy me, and ultimately they'll have to shut up. Judgment will be passed by history. There is no possible refutation of this book. It's going to cause a revolution in psychoanalysis. Analysis stands or falls with me now."</w:t>
      </w:r>
    </w:p>
    <w:p w:rsidR="00A31137" w:rsidRPr="00A31137" w:rsidRDefault="00A31137" w:rsidP="00A31137">
      <w:r w:rsidRPr="00A31137">
        <w:t>1991, Masson v. New Yorker Magazine, Inc., 501 U.S. 506</w:t>
      </w:r>
    </w:p>
    <w:p w:rsidR="00A31137" w:rsidRPr="00A31137" w:rsidRDefault="00A31137" w:rsidP="00A31137">
      <w:r w:rsidRPr="00A31137">
        <w:t>In the Freud Archives 162. This material does not appear in the tape recordings. Petitioner did make the following statements on related topics in one of the taped interviews with Malcolm:</w:t>
      </w:r>
    </w:p>
    <w:p w:rsidR="00A31137" w:rsidRPr="00A31137" w:rsidRDefault="00A31137" w:rsidP="00A31137">
      <w:r w:rsidRPr="00A31137">
        <w:t>1991, Masson v. New Yorker Magazine, Inc., 501 U.S. 506</w:t>
      </w:r>
    </w:p>
    <w:p w:rsidR="00A31137" w:rsidRPr="00A31137" w:rsidRDefault="00A31137" w:rsidP="00A31137">
      <w:r w:rsidRPr="00A31137">
        <w:t>…I assure you when that book comes out, which I honestly believe is an honest book, there is nothing, you know, mean-minded about it. It's the honest fruit of research and intellectual toil. And there is not an analyst in the country who will say a single word in favor of it.</w:t>
      </w:r>
    </w:p>
    <w:p w:rsidR="00A31137" w:rsidRPr="00A31137" w:rsidRDefault="00A31137" w:rsidP="00A31137">
      <w:r w:rsidRPr="00A31137">
        <w:t>1991, Masson v. New Yorker Magazine, Inc., 501 U.S. 506</w:t>
      </w:r>
    </w:p>
    <w:p w:rsidR="00A31137" w:rsidRPr="00A31137" w:rsidRDefault="00A31137" w:rsidP="00A31137">
      <w:r w:rsidRPr="00A31137">
        <w:t>App. 136.</w:t>
      </w:r>
    </w:p>
    <w:p w:rsidR="00A31137" w:rsidRPr="00A31137" w:rsidRDefault="00A31137" w:rsidP="00A31137">
      <w:r w:rsidRPr="00A31137">
        <w:t>1991, Masson v. New Yorker Magazine, Inc., 501 U.S. 506</w:t>
      </w:r>
    </w:p>
    <w:p w:rsidR="00A31137" w:rsidRPr="00A31137" w:rsidRDefault="00A31137" w:rsidP="00A31137">
      <w:r w:rsidRPr="00A31137">
        <w:t>Talk to enough analysts and get them right down to these concrete issues and you watch how different it is from my position. It's utterly the opposite and that's finally what I realized, that I hold a position that no other analyst holds, including, alas, Freud. At first I thought: Okay, it's me and Freud against the rest of the analytic world, or me and Freud and Anna Freud and Kur[t] Eissler and Vic Calef and Brian Bird and Sam [501 U.S. 507] Lipton against the rest of the world. Not so, it's me. It's me alone.</w:t>
      </w:r>
    </w:p>
    <w:p w:rsidR="00A31137" w:rsidRPr="00A31137" w:rsidRDefault="00A31137" w:rsidP="00A31137">
      <w:r w:rsidRPr="00A31137">
        <w:t>1991, Masson v. New Yorker Magazine, Inc., 501 U.S. 507</w:t>
      </w:r>
    </w:p>
    <w:p w:rsidR="00A31137" w:rsidRPr="00A31137" w:rsidRDefault="00A31137" w:rsidP="00A31137">
      <w:r w:rsidRPr="00A31137">
        <w:t>Id. at 139. The tape of this interview also contains the following exchange between petitioner and Malcolm:</w:t>
      </w:r>
    </w:p>
    <w:p w:rsidR="00A31137" w:rsidRPr="00A31137" w:rsidRDefault="00A31137" w:rsidP="00A31137">
      <w:r w:rsidRPr="00A31137">
        <w:t>1991, Masson v. New Yorker Magazine, Inc., 501 U.S. 507</w:t>
      </w:r>
    </w:p>
    <w:p w:rsidR="00A31137" w:rsidRPr="00A31137" w:rsidRDefault="00A31137" w:rsidP="00A31137">
      <w:r w:rsidRPr="00A31137">
        <w:t>Masson: "…analysis stands or falls with me now."</w:t>
      </w:r>
    </w:p>
    <w:p w:rsidR="00A31137" w:rsidRPr="00A31137" w:rsidRDefault="00A31137" w:rsidP="00A31137">
      <w:r w:rsidRPr="00A31137">
        <w:t>1991, Masson v. New Yorker Magazine, Inc., 501 U.S. 507</w:t>
      </w:r>
    </w:p>
    <w:p w:rsidR="00A31137" w:rsidRPr="00A31137" w:rsidRDefault="00A31137" w:rsidP="00A31137">
      <w:r w:rsidRPr="00A31137">
        <w:t>Malcolm: "Well that's a very grandiose thing to say."</w:t>
      </w:r>
    </w:p>
    <w:p w:rsidR="00A31137" w:rsidRPr="00A31137" w:rsidRDefault="00A31137" w:rsidP="00A31137">
      <w:r w:rsidRPr="00A31137">
        <w:t>1991, Masson v. New Yorker Magazine, Inc., 501 U.S. 507</w:t>
      </w:r>
    </w:p>
    <w:p w:rsidR="00A31137" w:rsidRPr="00A31137" w:rsidRDefault="00A31137" w:rsidP="00A31137">
      <w:r w:rsidRPr="00A31137">
        <w:t>Masson: "Yeah, but it's got nothing to do with me. It's got to do with the things I discovered."</w:t>
      </w:r>
    </w:p>
    <w:p w:rsidR="00A31137" w:rsidRPr="00A31137" w:rsidRDefault="00A31137" w:rsidP="00A31137">
      <w:r w:rsidRPr="00A31137">
        <w:t>1991, Masson v. New Yorker Magazine, Inc., 501 U.S. 507</w:t>
      </w:r>
    </w:p>
    <w:p w:rsidR="00A31137" w:rsidRPr="00A31137" w:rsidRDefault="00A31137" w:rsidP="00A31137">
      <w:r w:rsidRPr="00A31137">
        <w:t>Id. at 137.</w:t>
      </w:r>
    </w:p>
    <w:p w:rsidR="00A31137" w:rsidRPr="00A31137" w:rsidRDefault="00A31137" w:rsidP="00A31137">
      <w:r w:rsidRPr="00A31137">
        <w:t>1991, Masson v. New Yorker Magazine, Inc., 501 U.S. 507</w:t>
      </w:r>
    </w:p>
    <w:p w:rsidR="00A31137" w:rsidRPr="00A31137" w:rsidRDefault="00A31137" w:rsidP="00A31137">
      <w:r w:rsidRPr="00A31137">
        <w:t>(f) "He Had The Wrong Man." In discussing the Archives' board meeting at which petitioner's employment was terminated, Malcolm quotes petitioner as giving the following explanation of Eissler's attempt to extract a promise of confidentiality:</w:t>
      </w:r>
    </w:p>
    <w:p w:rsidR="00A31137" w:rsidRPr="00A31137" w:rsidRDefault="00A31137" w:rsidP="00A31137">
      <w:r w:rsidRPr="00A31137">
        <w:t>1991, Masson v. New Yorker Magazine, Inc., 501 U.S. 507</w:t>
      </w:r>
    </w:p>
    <w:p w:rsidR="00A31137" w:rsidRPr="00A31137" w:rsidRDefault="00A31137" w:rsidP="00A31137">
      <w:r w:rsidRPr="00A31137">
        <w:t>[Eissler] was always putting moral pressure on me. "Do you want to poison Anna Freud's last days? Have you no heart? You're going to kill the poor old woman." I said to him, "What have I done? You're doing it. You're firing me. What am I supposed to do—be grateful to you?" "You could be silent about it. You could swallow it. I know it is painful for you. But you could just live with it in silence." "Why should I do that?" "Because it is the honorable thing to do." Well, he had the wrong man.</w:t>
      </w:r>
    </w:p>
    <w:p w:rsidR="00A31137" w:rsidRPr="00A31137" w:rsidRDefault="00A31137" w:rsidP="00A31137">
      <w:r w:rsidRPr="00A31137">
        <w:t>1991, Masson v. New Yorker Magazine, Inc., 501 U.S. 507</w:t>
      </w:r>
    </w:p>
    <w:p w:rsidR="00A31137" w:rsidRPr="00A31137" w:rsidRDefault="00A31137" w:rsidP="00A31137">
      <w:r w:rsidRPr="00A31137">
        <w:t>In the Freud Archives 67. From the tape recordings, on the other hand, it appears that Malcolm deleted part of petitioner's explanation (italicized below), and petitioner argues that the "wrong man" sentence relates to something quite different from Eissler's entreaty that silence was "the honorable thing." In the tape recording, petitioner states:</w:t>
      </w:r>
    </w:p>
    <w:p w:rsidR="00A31137" w:rsidRPr="00A31137" w:rsidRDefault="00A31137" w:rsidP="00A31137">
      <w:r w:rsidRPr="00A31137">
        <w:t>1991, Masson v. New Yorker Magazine, Inc., 501 U.S. 507</w:t>
      </w:r>
    </w:p>
    <w:p w:rsidR="00A31137" w:rsidRPr="00A31137" w:rsidRDefault="00A31137" w:rsidP="00A31137">
      <w:r w:rsidRPr="00A31137">
        <w:t>But it was wrong of Eissler to do that, you know. He was constantly putting various kinds of moral pressure on me and, "Do you want to poison Anna Freud's last days? Have you no heart?" He called me: "Have you no heart? You're going to kill the poor old woman. [501 U.S. 508] Have you no heart? Think of what she's done for you and you are now willing to do this to her." I said, "What have I, what have I done? You did it. You fired me. What am I supposed to do: thank you? be grateful to you?" He said, "Well you could never talk about it. You could be silent about it. You could swallow it. I know it's painful for you but just live with it in silence." "Fuck you," I said, "Why should I do that? Why? You know, why should one do that?" "Because it's the honorable thing to do and you will save face. And who knows? If you never speak about it and you quietly and humbly accept our judgment, who knows that in a few years if we don't bring you back?" Well, he had the wrong man.</w:t>
      </w:r>
    </w:p>
    <w:p w:rsidR="00A31137" w:rsidRPr="00A31137" w:rsidRDefault="00A31137" w:rsidP="00A31137">
      <w:r w:rsidRPr="00A31137">
        <w:t>1991, Masson v. New Yorker Magazine, Inc., 501 U.S. 508</w:t>
      </w:r>
    </w:p>
    <w:p w:rsidR="00A31137" w:rsidRPr="00A31137" w:rsidRDefault="00A31137" w:rsidP="00A31137">
      <w:r w:rsidRPr="00A31137">
        <w:t>App. 215-216.</w:t>
      </w:r>
    </w:p>
    <w:p w:rsidR="00A31137" w:rsidRPr="00A31137" w:rsidRDefault="00A31137" w:rsidP="00A31137">
      <w:r w:rsidRPr="00A31137">
        <w:t>1991, Masson v. New Yorker Magazine, Inc., 501 U.S. 508</w:t>
      </w:r>
    </w:p>
    <w:p w:rsidR="00A31137" w:rsidRPr="00A31137" w:rsidRDefault="00A31137" w:rsidP="00A31137">
      <w:r w:rsidRPr="00A31137">
        <w:t>Malcolm submitted to the District Court that not all of her discussions with petitioner were recorded on tape, in particular conversations that occurred while the two of them walked together or traveled by car, while petitioner stayed at Malcolm's home in New York, or while her tape recorder was inoperable. She claimed to have taken notes of these unrecorded sessions, which she later typed, then discarding the handwritten originals. Petitioner denied that any discussion relating to the substance of the article occurred during his stay at Malcolm's home in New York, that Malcolm took notes during any of their conversations, or that Malcolm gave any indication that her tape recorder was broken.</w:t>
      </w:r>
    </w:p>
    <w:p w:rsidR="00A31137" w:rsidRPr="00A31137" w:rsidRDefault="00A31137" w:rsidP="00A31137">
      <w:r w:rsidRPr="00A31137">
        <w:t>1991, Masson v. New Yorker Magazine, Inc., 501 U.S. 508</w:t>
      </w:r>
    </w:p>
    <w:p w:rsidR="00A31137" w:rsidRPr="00A31137" w:rsidRDefault="00A31137" w:rsidP="00A31137">
      <w:r w:rsidRPr="00A31137">
        <w:t>Respondents moved for summary judgment. The parties agreed that petitioner was a public figure, and so could escape summary judgment only if the evidence in the record would permit a reasonable finder of fact, by clear and convincing evidence, to conclude that respondents published a defamatory statement with actual malice as defined by our cases. Anderson v. Liberty Lobby, Inc., 477 U.S. 242, 255-256 (1986). The District Court analyzed each of the passages and held that the alleged inaccuracies did not raise a jury question. The court found that the allegedly fabricated quotations were either substantially true or were "'one of a number of possible [501 U.S. 509] rational interpretations' of a conversation or event that 'bristled with ambiguities,'" and thus were entitled to constitutional protection. 686 F.Supp. 1396, 1399 (1987) (quoting Bose Corp. v. Consumer's Union of the United States, Inc., 466 U.S. 485, 512 (1984)). The court also ruled that the "he had the wrong man" passage involved an exercise of editorial judgment upon which the courts could not intrude. 686 F.Supp. at 1403-1404.</w:t>
      </w:r>
    </w:p>
    <w:p w:rsidR="00A31137" w:rsidRPr="00A31137" w:rsidRDefault="00A31137" w:rsidP="00A31137">
      <w:r w:rsidRPr="00A31137">
        <w:t>1991, Masson v. New Yorker Magazine, Inc., 501 U.S. 509</w:t>
      </w:r>
    </w:p>
    <w:p w:rsidR="00A31137" w:rsidRPr="00A31137" w:rsidRDefault="00A31137" w:rsidP="00A31137">
      <w:r w:rsidRPr="00A31137">
        <w:t>The Court of Appeals affirmed, with one judge dissenting. 895 F.2d 1535 (CA9 1989). The court assumed for much of its opinion that Malcolm had deliberately altered each quotation not found on the tape recordings, but nevertheless held that petitioner failed to raise a jury question of actual malice, in large part for the reasons stated by the District Court. In its examination of the "intellectual gigolo" passage, the court agreed with the District Court that petitioner could not demonstrate actual malice, because Malcolm had not altered the substantive content of petitioner's self-description, but went on to note that it did not consider the "intellectual gigolo" passage defamatory, as the quotation merely reported Kurt Eissler's and Anna Freud's opinions about petitioner. In any event, concluded the court, the statement would not be actionable under the "'incremental harm branch' of the 'libel-proof' doctrine," id. at 1541 (quoting Herbert v. Lando, 781 F.2d 298, 310-311 (CA2 1986)).</w:t>
      </w:r>
    </w:p>
    <w:p w:rsidR="00A31137" w:rsidRPr="00A31137" w:rsidRDefault="00A31137" w:rsidP="00A31137">
      <w:r w:rsidRPr="00A31137">
        <w:t>1991, Masson v. New Yorker Magazine, Inc., 501 U.S. 509</w:t>
      </w:r>
    </w:p>
    <w:p w:rsidR="00A31137" w:rsidRPr="00A31137" w:rsidRDefault="00A31137" w:rsidP="00A31137">
      <w:r w:rsidRPr="00A31137">
        <w:t>The dissent argued that any intentional or reckless alteration would prove actual malice, so long as a passage within quotation marks purports to be a verbatim rendition of what was said, contains material inaccuracies, and is defamatory. 895 F.2d at 1562-1570. We granted certiorari, 498 U.S. 808 (1990), and now reverse.</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1991, Masson v. New Yorker Magazine, Inc., 501 U.S. 509</w:t>
      </w:r>
    </w:p>
    <w:p w:rsidR="00A31137" w:rsidRPr="00A31137" w:rsidRDefault="00A31137" w:rsidP="00A31137">
      <w:r w:rsidRPr="00A31137">
        <w:t>Under California law,</w:t>
      </w:r>
    </w:p>
    <w:p w:rsidR="00A31137" w:rsidRPr="00A31137" w:rsidRDefault="00A31137" w:rsidP="00A31137">
      <w:r w:rsidRPr="00A31137">
        <w:t>1991, Masson v. New Yorker Magazine, Inc., 501 U.S. 509</w:t>
      </w:r>
    </w:p>
    <w:p w:rsidR="00A31137" w:rsidRPr="00A31137" w:rsidRDefault="00A31137" w:rsidP="00A31137">
      <w:r w:rsidRPr="00A31137">
        <w:t>[l]ibel is a false and unprivileged publication by writing…which exposes any person to hatred, [501 U.S. 510] contempt, ridicule, or obloquy, or which causes him to be shunned or avoided, or which has a tendency to injure him in his occupation.</w:t>
      </w:r>
    </w:p>
    <w:p w:rsidR="00A31137" w:rsidRPr="00A31137" w:rsidRDefault="00A31137" w:rsidP="00A31137">
      <w:r w:rsidRPr="00A31137">
        <w:t>1991, Masson v. New Yorker Magazine, Inc., 501 U.S. 510</w:t>
      </w:r>
    </w:p>
    <w:p w:rsidR="00A31137" w:rsidRPr="00A31137" w:rsidRDefault="00A31137" w:rsidP="00A31137">
      <w:r w:rsidRPr="00A31137">
        <w:t>Cal.Civ.Code Ann. § 45 (West 1982). False attribution of statements to a person may constitute libel if the falsity exposes that person to an injury comprehended by the statute. See Selleck v. Globe International, Inc., 166 Cal.App.3d 1123, 1132, 212 Cal.Rptr. 838, 844 (1985); Cameron v. Wernick, 251 Cal.App.2d 890, 60 Cal.Rptr. 102 (1967); Kerby v. Hal Roach Studios, Inc., 53 Cal.App.2d 207, 213, 127 P.2d 577, 581 (1942); cf. Baker v. Los Angeles Herald Examiner, 42 Cal.3d 254, 260-261, 228 Cal.Rptr. 206, 208-210, 721 P.2d 87, 90-91 (1986). It matters not under California law that petitioner alleges only part of the work at issue to be false. "[T]he test of libel is not quantitative; a single sentence may be the basis for an action in libel even though buried in a much longer text," though the California courts recognize that, "[w]hile a drop of poison may be lethal, weaker poisons are sometimes diluted to the point of impotency." Washburn v. Wright, 261 Cal.App.2d 789, 795, 68 Cal.Rptr. 224, 228 (1968).</w:t>
      </w:r>
    </w:p>
    <w:p w:rsidR="00A31137" w:rsidRPr="00A31137" w:rsidRDefault="00A31137" w:rsidP="00A31137">
      <w:r w:rsidRPr="00A31137">
        <w:t>1991, Masson v. New Yorker Magazine, Inc., 501 U.S. 510</w:t>
      </w:r>
    </w:p>
    <w:p w:rsidR="00A31137" w:rsidRPr="00A31137" w:rsidRDefault="00A31137" w:rsidP="00A31137">
      <w:r w:rsidRPr="00A31137">
        <w:t>The First Amendment limits California's libel law in various respects. When, as here, the plaintiff is a public figure, he cannot recover unless he proves by clear and convincing evidence that the defendant published the defamatory statement with actual malice, i.e., with "knowledge that it was false or with reckless disregard of whether it was false or not." New York Times Co. v. Sullivan, 376 U.S. 254, 279-280 (1964). Mere negligence does not suffice. Rather, the plaintiff must demonstrate that the author "in fact entertained serious doubts as to the truth of his publication," St. Amant v. Thompson, 390 U.S. 727, 731 (1968), or acted with a "high degree of awareness of…probable falsity," Garrison v. Louisiana, 379 U.S. 64, 74 (1964).</w:t>
      </w:r>
    </w:p>
    <w:p w:rsidR="00A31137" w:rsidRPr="00A31137" w:rsidRDefault="00A31137" w:rsidP="00A31137">
      <w:r w:rsidRPr="00A31137">
        <w:t>1991, Masson v. New Yorker Magazine, Inc., 501 U.S. 510</w:t>
      </w:r>
    </w:p>
    <w:p w:rsidR="00A31137" w:rsidRPr="00A31137" w:rsidRDefault="00A31137" w:rsidP="00A31137">
      <w:r w:rsidRPr="00A31137">
        <w:t>Actual malice under the New York Times standard should not be confused with the concept of malice as an evil intent or a motive arising from spite or ill-will. See Greenbelt [501 U.S. 511] Cooperative Publishing Assn., Inc. v. Bresler, 398 U.S. 6 (1970). We have used the term actual malice as a shorthand to describe the First Amendment protections for speech injurious to reputation, and we continue to do so here. But the term can confuse as well as enlighten. In this respect, the phrase may be an unfortunate one. See Harte-Hanks Communications, Inc. v. Connaughton, 491 U.S. 657, 666, n. 7 (1989). In place of the term actual malice, it is better practice that jury instructions refer to publication of a statement with knowledge of falsity or reckless disregard as to truth or falsity. This definitional principle must be remembered in the case before us.</w:t>
      </w:r>
    </w:p>
    <w:p w:rsidR="00A31137" w:rsidRPr="00A31137" w:rsidRDefault="00A31137" w:rsidP="00A31137">
      <w:r w:rsidRPr="00A31137">
        <w:t>B</w:t>
      </w:r>
    </w:p>
    <w:p w:rsidR="00A31137" w:rsidRPr="00A31137" w:rsidRDefault="00A31137" w:rsidP="00A31137">
      <w:r w:rsidRPr="00A31137">
        <w:t>1991, Masson v. New Yorker Magazine, Inc., 501 U.S. 511</w:t>
      </w:r>
    </w:p>
    <w:p w:rsidR="00A31137" w:rsidRPr="00A31137" w:rsidRDefault="00A31137" w:rsidP="00A31137">
      <w:r w:rsidRPr="00A31137">
        <w:t>In general, quotation marks around a passage indicate to the reader that the passage reproduces the speaker's words verbatim. They inform the reader that he or she is reading the statement of the speaker, not a paraphrase or other indirect interpretation by an author. By providing this information, quotations add authority to the statement and credibility to the author's work. Quotations allow the reader to form his or her own conclusions, and to assess the conclusions of the author, instead of relying entirely upon the author's characterization of her subject.</w:t>
      </w:r>
    </w:p>
    <w:p w:rsidR="00A31137" w:rsidRPr="00A31137" w:rsidRDefault="00A31137" w:rsidP="00A31137">
      <w:r w:rsidRPr="00A31137">
        <w:t>1991, Masson v. New Yorker Magazine, Inc., 501 U.S. 511</w:t>
      </w:r>
    </w:p>
    <w:p w:rsidR="00A31137" w:rsidRPr="00A31137" w:rsidRDefault="00A31137" w:rsidP="00A31137">
      <w:r w:rsidRPr="00A31137">
        <w:t>A fabricated quotation may injure reputation in at least two senses, either giving rise to a conceivable claim of defamation. First, the quotation might injure because it attributes an untrue factual assertion to the speaker. An example would be a fabricated quotation of a public official admitting he had been convicted of a serious crime when in fact he had not.</w:t>
      </w:r>
    </w:p>
    <w:p w:rsidR="00A31137" w:rsidRPr="00A31137" w:rsidRDefault="00A31137" w:rsidP="00A31137">
      <w:r w:rsidRPr="00A31137">
        <w:t>1991, Masson v. New Yorker Magazine, Inc., 501 U.S. 511</w:t>
      </w:r>
    </w:p>
    <w:p w:rsidR="00A31137" w:rsidRPr="00A31137" w:rsidRDefault="00A31137" w:rsidP="00A31137">
      <w:r w:rsidRPr="00A31137">
        <w:t>Second, regardless of the truth or falsity of the factual matters asserted within the quoted statement, the attribution may result in injury to reputation because the manner of expression or even the fact that the statement was made indicates a negative personal trait or an attitude the speaker does not hold. John Lennon once was quoted as saying of [501 U.S. 512] the Beatles, "We're more popular than Jesus Christ now." Time, Aug. 12, 1966, p. 38. Supposing the quotation had been a fabrication, it appears California law could permit recovery for defamation because, even without regard to the truth of the underlying assertion, false attribution of the statement could have injured his reputation. Here, in like manner, one need not determine whether petitioner is or is not the greatest analyst who ever lived in order to determine that it might have injured his reputation to be reported as having so proclaimed.</w:t>
      </w:r>
    </w:p>
    <w:p w:rsidR="00A31137" w:rsidRPr="00A31137" w:rsidRDefault="00A31137" w:rsidP="00A31137">
      <w:r w:rsidRPr="00A31137">
        <w:t>1991, Masson v. New Yorker Magazine, Inc., 501 U.S. 512</w:t>
      </w:r>
    </w:p>
    <w:p w:rsidR="00A31137" w:rsidRPr="00A31137" w:rsidRDefault="00A31137" w:rsidP="00A31137">
      <w:r w:rsidRPr="00A31137">
        <w:t>A self-condemnatory quotation may carry more force than criticism by another. It is against self-interest to admit one's own criminal liability, arrogance, or lack of integrity, and so all the more easy to credit when it happens. This principle underlies the elemental rule of evidence which permits the introduction of admissions, despite their hearsay character, because we assume "that persons do not make statements which are damaging to themselves unless satisfied for good reason that they are true." Advisory Committee's Notes on Fed.Rule Evid. 804(b)(3), 28 U.S.C. App. p. 789 (citing Hileman v. Northwest Engineering Co., 346 F.2d 668 (CA6 1965)).</w:t>
      </w:r>
    </w:p>
    <w:p w:rsidR="00A31137" w:rsidRPr="00A31137" w:rsidRDefault="00A31137" w:rsidP="00A31137">
      <w:r w:rsidRPr="00A31137">
        <w:t>1991, Masson v. New Yorker Magazine, Inc., 501 U.S. 512</w:t>
      </w:r>
    </w:p>
    <w:p w:rsidR="00A31137" w:rsidRPr="00A31137" w:rsidRDefault="00A31137" w:rsidP="00A31137">
      <w:r w:rsidRPr="00A31137">
        <w:t>Of course, quotations do not always convey that the speaker actually said or wrote the quoted material.</w:t>
      </w:r>
    </w:p>
    <w:p w:rsidR="00A31137" w:rsidRPr="00A31137" w:rsidRDefault="00A31137" w:rsidP="00A31137">
      <w:r w:rsidRPr="00A31137">
        <w:t>1991, Masson v. New Yorker Magazine, Inc., 501 U.S. 512</w:t>
      </w:r>
    </w:p>
    <w:p w:rsidR="00A31137" w:rsidRPr="00A31137" w:rsidRDefault="00A31137" w:rsidP="00A31137">
      <w:r w:rsidRPr="00A31137">
        <w:t>Punctuation marks, like words, have many uses. Writers often use quotation marks, yet no reasonable reader would assume that such punctuation automatically implies the truth of the quoted material.</w:t>
      </w:r>
    </w:p>
    <w:p w:rsidR="00A31137" w:rsidRPr="00A31137" w:rsidRDefault="00A31137" w:rsidP="00A31137">
      <w:r w:rsidRPr="00A31137">
        <w:t>1991, Masson v. New Yorker Magazine, Inc., 501 U.S. 512</w:t>
      </w:r>
    </w:p>
    <w:p w:rsidR="00A31137" w:rsidRPr="00A31137" w:rsidRDefault="00A31137" w:rsidP="00A31137">
      <w:r w:rsidRPr="00A31137">
        <w:t>Baker v. Los Angeles Examiner, 42 Cal.3d at 263, 228 Cal.Rptr. at 211, 721 P.2d at 92. In Baker, a television reviewer printed a hypothetical conversation between a station vice-president and writer/producer, and the court found that no reasonable reader would conclude the plaintiff in fact had made the statement attributed to him. Id. at 267, 228 Cal.Rptr. at 213, 721 P.2d at 95. Writers often use quotations as in Baker, and a reader will not reasonably understand the quotations to indicate reproduction of a conversation that took place. In other [501 U.S. 513] instances, an acknowledgement that the work is so-called docudrama or historical fiction, or that it recreates conversations from memory, not from recordings, might indicate that the quotations should not be interpreted as the actual statements of the speaker to whom they are attributed.</w:t>
      </w:r>
    </w:p>
    <w:p w:rsidR="00A31137" w:rsidRPr="00A31137" w:rsidRDefault="00A31137" w:rsidP="00A31137">
      <w:r w:rsidRPr="00A31137">
        <w:t>1991, Masson v. New Yorker Magazine, Inc., 501 U.S. 513</w:t>
      </w:r>
    </w:p>
    <w:p w:rsidR="00A31137" w:rsidRPr="00A31137" w:rsidRDefault="00A31137" w:rsidP="00A31137">
      <w:r w:rsidRPr="00A31137">
        <w:t>The work at issue here, however, as with much journalistic writing, provides the reader no clue that the quotations are being used as a rhetorical device or to paraphrase the speaker's actual statements. To the contrary, the work purports to be nonfiction, the result of numerous interviews. At least a trier of fact could so conclude. The work contains lengthy quotations attributed to petitioner, and neither Malcolm nor her publishers indicate to the reader that the quotations are anything but the reproduction of actual conversations. Further, the work was published in The New Yorker, a magazine which at the relevant time seemed to enjoy a reputation for scrupulous factual accuracy. These factors would, or at least could, lead a reader to take the quotations at face value. A defendant may be able to argue to the jury that quotations should be viewed by the reader as nonliteral or reconstructions, but we conclude that a trier of fact in this case could find that the reasonable reader would understand the quotations to be nearly verbatim reports of statements made by the subject.</w:t>
      </w:r>
    </w:p>
    <w:p w:rsidR="00A31137" w:rsidRPr="00A31137" w:rsidRDefault="00A31137" w:rsidP="00A31137">
      <w:r w:rsidRPr="00A31137">
        <w:t>C</w:t>
      </w:r>
    </w:p>
    <w:p w:rsidR="00A31137" w:rsidRPr="00A31137" w:rsidRDefault="00A31137" w:rsidP="00A31137">
      <w:r w:rsidRPr="00A31137">
        <w:t>1991, Masson v. New Yorker Magazine, Inc., 501 U.S. 513</w:t>
      </w:r>
    </w:p>
    <w:p w:rsidR="00A31137" w:rsidRPr="00A31137" w:rsidRDefault="00A31137" w:rsidP="00A31137">
      <w:r w:rsidRPr="00A31137">
        <w:t xml:space="preserve">The constitutional question we must consider here is whether, in the framework of a summary judgment motion, the evidence suffices to show that respondents acted with the requisite knowledge of falsity or reckless disregard as to truth or falsity. This inquiry, in turn, requires us to consider the concept of falsity, for we cannot discuss the standards for knowledge or reckless disregard without some understanding of the acts required for liability. We must consider whether the requisite falsity inheres in the attribution of words to the petitioner which he did not speak. [501 U.S. 514] </w:t>
      </w:r>
    </w:p>
    <w:p w:rsidR="00A31137" w:rsidRPr="00A31137" w:rsidRDefault="00A31137" w:rsidP="00A31137">
      <w:r w:rsidRPr="00A31137">
        <w:t>1991, Masson v. New Yorker Magazine, Inc., 501 U.S. 514</w:t>
      </w:r>
    </w:p>
    <w:p w:rsidR="00A31137" w:rsidRPr="00A31137" w:rsidRDefault="00A31137" w:rsidP="00A31137">
      <w:r w:rsidRPr="00A31137">
        <w:t>In some sense, any alteration of a verbatim quotation is false. But writers and reporters, by necessity, alter what people say, at the very least to eliminate grammatical and syntactical infelicities. If every alteration constituted the falsity required to prove actual malice, the practice of journalism, which the First Amendment standard is designed to protect, would require a radical change, one inconsistent with our precedents and First Amendment principles. Petitioner concedes this absolute definition of falsity in the quotation context is too stringent, and acknowledges that "minor changes to correct for grammar or syntax" do not amount to falsity for purposes of proving actual malice. Brief for Petitioner 18, 36-37. We agree, and must determine what, in addition to this technical falsity, proves falsity for purposes of the actual malice inquiry.</w:t>
      </w:r>
    </w:p>
    <w:p w:rsidR="00A31137" w:rsidRPr="00A31137" w:rsidRDefault="00A31137" w:rsidP="00A31137">
      <w:r w:rsidRPr="00A31137">
        <w:t>1991, Masson v. New Yorker Magazine, Inc., 501 U.S. 514</w:t>
      </w:r>
    </w:p>
    <w:p w:rsidR="00A31137" w:rsidRPr="00A31137" w:rsidRDefault="00A31137" w:rsidP="00A31137">
      <w:r w:rsidRPr="00A31137">
        <w:t>Petitioner argues that, excepting correction of grammar or syntax, publication of a quotation with knowledge that it does not contain the words the public figure used demonstrates actual malice. The author will have published the quotation with knowledge of falsity, and no more need be shown. Petitioner suggests that, by invoking more forgiving standards, the Court of Appeals would permit and encourage the publication of falsehoods. Petitioner believes that the intentional manufacture of quotations does not "represen[t] the sort of inaccuracy that is commonplace in the forum of robust debate to which the New York Times rule applies," Bose Corp., 466 U.S. at 513, and that protection of deliberate falsehoods would hinder the First Amendment values of robust and well-informed public debate by reducing the reliability of information available to the public.</w:t>
      </w:r>
    </w:p>
    <w:p w:rsidR="00A31137" w:rsidRPr="00A31137" w:rsidRDefault="00A31137" w:rsidP="00A31137">
      <w:r w:rsidRPr="00A31137">
        <w:t>1991, Masson v. New Yorker Magazine, Inc., 501 U.S. 514</w:t>
      </w:r>
    </w:p>
    <w:p w:rsidR="00A31137" w:rsidRPr="00A31137" w:rsidRDefault="00A31137" w:rsidP="00A31137">
      <w:r w:rsidRPr="00A31137">
        <w:t>We reject the idea that any alteration beyond correction of grammar or syntax by itself proves falsity in the sense relevant to determining actual malice under the First Amendment. An interviewer who writes from notes often will engage in the task of attempting a reconstruction of the speaker's statement. That author would, we may assume, [501 U.S. 515] act with knowledge that, at times, she has attributed to her subject words other than those actually used. Under petitioner's proposed standard, an author in this situation would lack First Amendment protection if she reported as quotations the substance of a subject's derogatory statements about himself.</w:t>
      </w:r>
    </w:p>
    <w:p w:rsidR="00A31137" w:rsidRPr="00A31137" w:rsidRDefault="00A31137" w:rsidP="00A31137">
      <w:r w:rsidRPr="00A31137">
        <w:t>1991, Masson v. New Yorker Magazine, Inc., 501 U.S. 515</w:t>
      </w:r>
    </w:p>
    <w:p w:rsidR="00A31137" w:rsidRPr="00A31137" w:rsidRDefault="00A31137" w:rsidP="00A31137">
      <w:r w:rsidRPr="00A31137">
        <w:t>Even if a journalist has tape recorded the spoken statement of a public figure, the full and exact statement will be reported in only rare circumstances. The existence of both a speaker and a reporter; the translation between two media, speech and the printed word; the addition of punctuation; and the practical necessity to edit and make intelligible a speaker's perhaps rambling comments, all make it misleading to suggest that a quotation will be reconstructed with complete accuracy. The use or absence of punctuation may distort a speaker's meaning, for example, where that meaning turns upon a speaker's emphasis of a particular word. In other cases, if a speaker makes an obvious misstatement, for example by unconscious substitution of one name for another, a journalist might alter the speaker's words but preserve his intended meaning. And conversely, an exact quotation out of context can distort meaning, although the speaker did use each reported word.</w:t>
      </w:r>
    </w:p>
    <w:p w:rsidR="00A31137" w:rsidRPr="00A31137" w:rsidRDefault="00A31137" w:rsidP="00A31137">
      <w:r w:rsidRPr="00A31137">
        <w:t>1991, Masson v. New Yorker Magazine, Inc., 501 U.S. 515</w:t>
      </w:r>
    </w:p>
    <w:p w:rsidR="00A31137" w:rsidRPr="00A31137" w:rsidRDefault="00A31137" w:rsidP="00A31137">
      <w:r w:rsidRPr="00A31137">
        <w:t>In all events, technical distinctions between correcting grammar and syntax and some greater level of alteration do not appear workable, for we can think of no method by which courts or juries would draw the line between cleaning up and other changes, except by reference to the meaning a statement conveys to a reasonable reader. To attempt narrow distinctions of this type would be an unnecessary departure from First Amendment principles of general applicability, and, just as important, a departure from the underlying purposes of the tort of libel as understood since the latter half of the 16th century. From then until now, the tort action for defamation has existed to redress injury to the plaintiff's reputation by a statement that is defamatory and false. See [501 U.S. 516] Milkovich v. Lorain Journal Co., 497 U.S. 1, 11 (1990). As we have recognized,</w:t>
      </w:r>
    </w:p>
    <w:p w:rsidR="00A31137" w:rsidRPr="00A31137" w:rsidRDefault="00A31137" w:rsidP="00A31137">
      <w:r w:rsidRPr="00A31137">
        <w:t>1991, Masson v. New Yorker Magazine, Inc., 501 U.S. 516</w:t>
      </w:r>
    </w:p>
    <w:p w:rsidR="00A31137" w:rsidRPr="00A31137" w:rsidRDefault="00A31137" w:rsidP="00A31137">
      <w:r w:rsidRPr="00A31137">
        <w:t>[t]he legitimate state interest underlying the law of libel is the compensation of individuals for the harm inflicted on them by defamatory falsehood.</w:t>
      </w:r>
    </w:p>
    <w:p w:rsidR="00A31137" w:rsidRPr="00A31137" w:rsidRDefault="00A31137" w:rsidP="00A31137">
      <w:r w:rsidRPr="00A31137">
        <w:t>1991, Masson v. New Yorker Magazine, Inc., 501 U.S. 516</w:t>
      </w:r>
    </w:p>
    <w:p w:rsidR="00A31137" w:rsidRPr="00A31137" w:rsidRDefault="00A31137" w:rsidP="00A31137">
      <w:r w:rsidRPr="00A31137">
        <w:t>Gertz v. Robert Welch, Inc., 418 U.S. 323 (1974). If an author alters a speaker's words but effects no material change in meaning, including any meaning conveyed by the manner or fact of expression, the speaker suffers no injury to reputation that is compensable as a defamation.</w:t>
      </w:r>
    </w:p>
    <w:p w:rsidR="00A31137" w:rsidRPr="00A31137" w:rsidRDefault="00A31137" w:rsidP="00A31137">
      <w:r w:rsidRPr="00A31137">
        <w:t>1991, Masson v. New Yorker Magazine, Inc., 501 U.S. 516</w:t>
      </w:r>
    </w:p>
    <w:p w:rsidR="00A31137" w:rsidRPr="00A31137" w:rsidRDefault="00A31137" w:rsidP="00A31137">
      <w:r w:rsidRPr="00A31137">
        <w:t>These essential principles of defamation law accommodate the special case of inaccurate quotations without the necessity for a discrete body of jurisprudence directed to this subject alone. Last Term, in Milkovich v. Lorain Journal Co., we refused "to create a wholesale defamation exemption for anything that might be labeled 'opinion.'" 497 U.S. at 18 (citation omitted). We recognized that "expressions of 'opinion' may often imply an assertion of objective fact." Ibid. We allowed the defamation action to go forward in that case, holding that a reasonable trier of fact could find that the so-called expressions of opinion could be interpreted as including false assertions as to factual matters. So too in the case before us, we reject any special test of falsity for quotations, including one which would draw the line at correction of grammar or syntax. We conclude, rather, that the exceptions suggested by petitioner for grammatical or syntactical corrections serve to illuminate a broader principle.</w:t>
      </w:r>
    </w:p>
    <w:p w:rsidR="00A31137" w:rsidRPr="00A31137" w:rsidRDefault="00A31137" w:rsidP="00A31137">
      <w:r w:rsidRPr="00A31137">
        <w:t>1991, Masson v. New Yorker Magazine, Inc., 501 U.S. 516</w:t>
      </w:r>
    </w:p>
    <w:p w:rsidR="00A31137" w:rsidRPr="00A31137" w:rsidRDefault="00A31137" w:rsidP="00A31137">
      <w:r w:rsidRPr="00A31137">
        <w:t>The common law of libel takes but one approach to the question of falsity, regardless of the form of the communication. See Restatement (Second) of Torts § 563, Comment c (1977); W. Keeton, D. Dobbs, R. Keeton, &amp; D. Owen, Prosser and Keeton on Law of Torts 776 (5th ed.1984). It overlooks minor inaccuracies and concentrates upon substantial truth. As in other jurisdictions, California law permits the defense of substantial truth, and would absolve a defendant even if she cannot</w:t>
      </w:r>
    </w:p>
    <w:p w:rsidR="00A31137" w:rsidRPr="00A31137" w:rsidRDefault="00A31137" w:rsidP="00A31137">
      <w:r w:rsidRPr="00A31137">
        <w:t>1991, Masson v. New Yorker Magazine, Inc., 501 U.S. 516</w:t>
      </w:r>
    </w:p>
    <w:p w:rsidR="00A31137" w:rsidRPr="00A31137" w:rsidRDefault="00A31137" w:rsidP="00A31137">
      <w:r w:rsidRPr="00A31137">
        <w:t>justify every word of the alleged defamatory matter; it is sufficient if the substance of the [501 U.S. 517] charge be proved true, irrespective of slight inaccuracy in the details.</w:t>
      </w:r>
    </w:p>
    <w:p w:rsidR="00A31137" w:rsidRPr="00A31137" w:rsidRDefault="00A31137" w:rsidP="00A31137">
      <w:r w:rsidRPr="00A31137">
        <w:t>1991, Masson v. New Yorker Magazine, Inc., 501 U.S. 517</w:t>
      </w:r>
    </w:p>
    <w:p w:rsidR="00A31137" w:rsidRPr="00A31137" w:rsidRDefault="00A31137" w:rsidP="00A31137">
      <w:r w:rsidRPr="00A31137">
        <w:t>B. Witkin, Summary of California Law, § 495 (9th ed.1988) (citing cases). In this case, of course, the burden is upon petitioner to prove falsity. See Philadelphia Newspapers, Inc. v. Hepps, 475 U.S. 767, 775 (1986). The essence of that inquiry, however, remains the same whether the burden rests upon plaintiff or defendant. Minor inaccuracies do not amount to falsity so long as "the substance, the gist, the sting, of the libelous charge be justified." Heuer v. Kee, 15 Cal.App.2d 710, 714, 59 P.2d 1063, 1064 (1936); see also Alioto v. Cowles Communications, Inc., 623 F.2d 616, 619 (CA9 1980); Maheu v. Hughes Tool Co., 569 F.2d 459, 465-466 (CA9 1978). Put another way, the statement is not considered false unless it "would have a different effect on the mind of the reader from that which the pleaded truth would have produced." R. Sack, Libel, Slander, and Related Problems 138 (1980); see, e.g., Wheling v. Columbia Broadcasting System, Inc., 721 F.2d 506, 509 (CA5 1983); see generally R. Smolla, Law of Defamation § 5.08 (1991). Our definition of actual malice relies upon this historical understanding.</w:t>
      </w:r>
    </w:p>
    <w:p w:rsidR="00A31137" w:rsidRPr="00A31137" w:rsidRDefault="00A31137" w:rsidP="00A31137">
      <w:r w:rsidRPr="00A31137">
        <w:t>1991, Masson v. New Yorker Magazine, Inc., 501 U.S. 517</w:t>
      </w:r>
    </w:p>
    <w:p w:rsidR="00A31137" w:rsidRPr="00A31137" w:rsidRDefault="00A31137" w:rsidP="00A31137">
      <w:r w:rsidRPr="00A31137">
        <w:t>We conclude that a deliberate alteration of the words uttered by a plaintiff does not equate with knowledge of falsity for purposes of New York Times Co. v. Sullivan, 376 U.S. at 279-280, and Gertz v. Robert Welch, Inc., supra, 418 U.S. at  342, unless the alteration results in a material change in the meaning conveyed by the statement. The use of quotations to attribute words not in fact spoken bears in a most important way on that inquiry, but it is not dispositive in every case.</w:t>
      </w:r>
    </w:p>
    <w:p w:rsidR="00A31137" w:rsidRPr="00A31137" w:rsidRDefault="00A31137" w:rsidP="00A31137">
      <w:r w:rsidRPr="00A31137">
        <w:t>1991, Masson v. New Yorker Magazine, Inc., 501 U.S. 517</w:t>
      </w:r>
    </w:p>
    <w:p w:rsidR="00A31137" w:rsidRPr="00A31137" w:rsidRDefault="00A31137" w:rsidP="00A31137">
      <w:r w:rsidRPr="00A31137">
        <w:t>Deliberate or reckless falsification that comprises actual malice turns upon words and punctuation only because words and punctuation express meaning. Meaning is the life of language. And, for the reasons we have given, quotations may be a devastating instrument for conveying false meaning. In the case under consideration, readers of In the Freud Archives may have found Malcolm's portrait of petitioner especially [501 U.S. 518] damning because so much of it appeared to be a self-portrait, told by petitioner in his own words. And if the alterations of petitioner's words gave a different meaning to the statements, bearing upon their defamatory character, then the device of quotations might well be critical in finding the words actionable.</w:t>
      </w:r>
    </w:p>
    <w:p w:rsidR="00A31137" w:rsidRPr="00A31137" w:rsidRDefault="00A31137" w:rsidP="00A31137">
      <w:r w:rsidRPr="00A31137">
        <w:t>D</w:t>
      </w:r>
    </w:p>
    <w:p w:rsidR="00A31137" w:rsidRPr="00A31137" w:rsidRDefault="00A31137" w:rsidP="00A31137">
      <w:r w:rsidRPr="00A31137">
        <w:t>1991, Masson v. New Yorker Magazine, Inc., 501 U.S. 518</w:t>
      </w:r>
    </w:p>
    <w:p w:rsidR="00A31137" w:rsidRPr="00A31137" w:rsidRDefault="00A31137" w:rsidP="00A31137">
      <w:r w:rsidRPr="00A31137">
        <w:t>The Court of Appeals applied a test of substantial truth which, in exposition if not in application, comports with much of the above discussion. The Court of Appeals, however, went one step beyond protection of quotations that convey the meaning of a speaker's statement with substantial accuracy, and concluded that an altered quotation is protected so long as it is a "rational interpretation" of an actual statement, drawing this standard from our decisions in Time, Inc. v. Pape, 401 U.S. 279 (1971), and Bose Corp. v. Consumers Union of United States, Inc., 466 U.S. 485 (1984). Application of our protection for rational interpretation in this context finds no support in general principles of defamation law or in our First Amendment jurisprudence. Neither Time, Inc. v. Pape nor Bose Corp. involved the fabrication of quotations, or any analogous claim, and because many of the quotations at issue might reasonably be construed to state or imply factual assertions that are both false and defamatory, we cannot accept the reasoning of the Court of Appeals on this point.</w:t>
      </w:r>
    </w:p>
    <w:p w:rsidR="00A31137" w:rsidRPr="00A31137" w:rsidRDefault="00A31137" w:rsidP="00A31137">
      <w:r w:rsidRPr="00A31137">
        <w:t>1991, Masson v. New Yorker Magazine, Inc., 501 U.S. 518</w:t>
      </w:r>
    </w:p>
    <w:p w:rsidR="00A31137" w:rsidRPr="00A31137" w:rsidRDefault="00A31137" w:rsidP="00A31137">
      <w:r w:rsidRPr="00A31137">
        <w:t>In Time, Inc. v. Pape, we reversed a libel judgment which arose out of a magazine article summarizing a report by the United States Commission on Civil Rights discussing police civil rights abuses. The article quoted the Commission's summary of the facts surrounding an incident of police brutality, but failed to include the Commission's qualification that these were allegations taken from a civil complaint. The Court noted that "the attitude of the Commission toward the factual verity of the episodes recounted was anything but straightforward," and distinguished between a "direct account of events that speak for themselves," 401 U.S. at 285, 286, and an article descriptive of what the Commission had reported. Time, Inc. v. Pape took into account the difficult choices that confront an author who departs from direct quotation and offers his own interpretation of an ambiguous source. A fair reading of our opinion is that the defendant did not publish a falsification sufficient to sustain a finding of actual malice.</w:t>
      </w:r>
    </w:p>
    <w:p w:rsidR="00A31137" w:rsidRPr="00A31137" w:rsidRDefault="00A31137" w:rsidP="00A31137">
      <w:r w:rsidRPr="00A31137">
        <w:t>1991, Masson v. New Yorker Magazine, Inc., 501 U.S. 518</w:t>
      </w:r>
    </w:p>
    <w:p w:rsidR="00A31137" w:rsidRPr="00A31137" w:rsidRDefault="00A31137" w:rsidP="00A31137">
      <w:r w:rsidRPr="00A31137">
        <w:t>In Bose Corp., a Consumer Reports reviewer had attempted to describe in words the experience of listening to music through a pair of loudspeakers, and we concluded that the result was not an assessment of events that speak for themselves, but "'one of a number of possible rational interpretations' of an event 'that bristled with ambiguities' and descriptive challenges for the writer." 466 U.S. at 512 (quoting Time, Inc. v. Pape, supra, 401 U.S. at 290). We refused to permit recovery for choice of language which, though perhaps reflecting a misconception, represented "the sort of inaccuracy that is commonplace in the forum of robust debate to which the New York Times rule applies." 466 U.S. at 513.</w:t>
      </w:r>
    </w:p>
    <w:p w:rsidR="00A31137" w:rsidRPr="00A31137" w:rsidRDefault="00A31137" w:rsidP="00A31137">
      <w:r w:rsidRPr="00A31137">
        <w:t>1991, Masson v. New Yorker Magazine, Inc., 501 U.S. 518</w:t>
      </w:r>
    </w:p>
    <w:p w:rsidR="00A31137" w:rsidRPr="00A31137" w:rsidRDefault="00A31137" w:rsidP="00A31137">
      <w:r w:rsidRPr="00A31137">
        <w:t>The protection for rational interpretation serves First Amendment principles by allowing an author the interpretive license that is necessary when relying upon ambiguous sources. Where, however, a writer uses a quotation, and where a reasonable reader would conclude that the quotation purports to be a verbatim repetition of a statement by the speaker, the quotation marks indicate that the author is not involved in an interpretation of the speaker's ambiguous statement, but attempting to convey what the speaker said. This orthodox use of a quotation is the quintessential "direct account of events that speak for themselves." Time, Inc. v. Pape, supra, 401 U.S. at 285. More accurately, the quotation allows the subject to speak for himself.</w:t>
      </w:r>
    </w:p>
    <w:p w:rsidR="00A31137" w:rsidRPr="00A31137" w:rsidRDefault="00A31137" w:rsidP="00A31137">
      <w:r w:rsidRPr="00A31137">
        <w:t>1991, Masson v. New Yorker Magazine, Inc., 501 U.S. 518</w:t>
      </w:r>
    </w:p>
    <w:p w:rsidR="00A31137" w:rsidRPr="00A31137" w:rsidRDefault="00A31137" w:rsidP="00A31137">
      <w:r w:rsidRPr="00A31137">
        <w:t>The significance of the quotations at issue, absent any qualification, is to inform us that we are reading the statement [501 U.S. 520] of petitioner, not Malcolm's rational interpretation of what petitioner has said or thought. Were we to assess quotations under a rational interpretation standard, we would give journalists the freedom to place statements in their subjects' mouths without fear of liability. By eliminating any method of distinguishing between the statements of the subject and the interpretation of the author, we would diminish to a great degree the trustworthiness of the printed word, and eliminate the real meaning of quotations. Not only public figures but the press doubtless would suffer under such a rule. Newsworthy figures might become more wary of journalists, knowing that any comment could be transmuted and attributed to the subject, so long as some bounds of rational interpretation were not exceeded. We would ill-serve the values of the First Amendment if we were to grant near absolute, constitutional protection for such a practice. We doubt the suggestion that, as a general rule, readers will assume that direct quotations are but a rational interpretation of the speaker's words, and we decline to adopt any such presumption in determining the permissible interpretations of the quotations in question here.</w:t>
      </w:r>
    </w:p>
    <w:p w:rsidR="00A31137" w:rsidRPr="00A31137" w:rsidRDefault="00A31137" w:rsidP="00A31137">
      <w:r w:rsidRPr="00A31137">
        <w:t>III</w:t>
      </w:r>
    </w:p>
    <w:p w:rsidR="00A31137" w:rsidRPr="00A31137" w:rsidRDefault="00A31137" w:rsidP="00A31137">
      <w:r w:rsidRPr="00A31137">
        <w:t>A</w:t>
      </w:r>
    </w:p>
    <w:p w:rsidR="00A31137" w:rsidRPr="00A31137" w:rsidRDefault="00A31137" w:rsidP="00A31137">
      <w:r w:rsidRPr="00A31137">
        <w:t>1991, Masson v. New Yorker Magazine, Inc., 501 U.S. 520</w:t>
      </w:r>
    </w:p>
    <w:p w:rsidR="00A31137" w:rsidRPr="00A31137" w:rsidRDefault="00A31137" w:rsidP="00A31137">
      <w:r w:rsidRPr="00A31137">
        <w:t xml:space="preserve">We apply these principles to the case before us. On summary judgment, we must draw all justifiable inferences in favor of the nonmoving party, including questions of credibility and of the weight to be accorded particular evidence. Anderson v. Liberty Lobby, Inc., 477 U.S. at 255. So we must assume, except where otherwise evidenced by the transcripts of the tape recordings, that petitioner is correct in denying that he made the statements attributed to him by Malcolm, and that Malcolm reported with knowledge or reckless disregard of the differences between what petitioner said and what was quoted. [501 U.S. 521] </w:t>
      </w:r>
    </w:p>
    <w:p w:rsidR="00A31137" w:rsidRPr="00A31137" w:rsidRDefault="00A31137" w:rsidP="00A31137">
      <w:r w:rsidRPr="00A31137">
        <w:t>1991, Masson v. New Yorker Magazine, Inc., 501 U.S. 521</w:t>
      </w:r>
    </w:p>
    <w:p w:rsidR="00A31137" w:rsidRPr="00A31137" w:rsidRDefault="00A31137" w:rsidP="00A31137">
      <w:r w:rsidRPr="00A31137">
        <w:t>Respondents argue that, in determining whether petitioner has shown sufficient falsification to survive summary judgment, we should consider not only the tape-recorded statements but also Malcolm's typewritten notes. We must decline that suggestion. To begin with, petitioner affirms in an affidavit that he did not make the complained of statements. The record contains substantial additional evidence, moreover, evidence which, in a light most favorable to petitioner, would support a jury determination under a clear and convincing standard that Malcolm deliberately or recklessly altered the quotations.</w:t>
      </w:r>
    </w:p>
    <w:p w:rsidR="00A31137" w:rsidRPr="00A31137" w:rsidRDefault="00A31137" w:rsidP="00A31137">
      <w:r w:rsidRPr="00A31137">
        <w:t>1991, Masson v. New Yorker Magazine, Inc., 501 U.S. 521</w:t>
      </w:r>
    </w:p>
    <w:p w:rsidR="00A31137" w:rsidRPr="00A31137" w:rsidRDefault="00A31137" w:rsidP="00A31137">
      <w:r w:rsidRPr="00A31137">
        <w:t>First, many of the challenged passages resemble quotations that appear on the tapes, except for the addition or alteration of certain phrases, giving rise to a reasonable inference that the statements have been altered. Second, Malcolm had the tapes in her possession, and was not working under a tight deadline. Unlike a case involving hot news, Malcolm cannot complain that she lacked the practical ability to compare the tapes with her work in progress. Third, Malcolm represented to the editor-in-chief of The New Yorker that all the quotations were from the tape recordings. Fourth, Malcolm's explanations of the time and place of unrecorded conversations during which petitioner allegedly made some of the quoted statements have not been consistent in all respects. Fifth, petitioner suggests that the progression from typewritten notes, to manuscript, then to galleys provides further evidence of intentional alteration. Malcolm contests petitioner's allegations, and only a trial on the merits will resolve the factual dispute. But at this stage, the evidence creates a jury question whether Malcolm published the statements with knowledge or reckless disregard of the alterations.</w:t>
      </w:r>
    </w:p>
    <w:p w:rsidR="00A31137" w:rsidRPr="00A31137" w:rsidRDefault="00A31137" w:rsidP="00A31137">
      <w:r w:rsidRPr="00A31137">
        <w:t>B</w:t>
      </w:r>
    </w:p>
    <w:p w:rsidR="00A31137" w:rsidRPr="00A31137" w:rsidRDefault="00A31137" w:rsidP="00A31137">
      <w:r w:rsidRPr="00A31137">
        <w:t>1991, Masson v. New Yorker Magazine, Inc., 501 U.S. 521</w:t>
      </w:r>
    </w:p>
    <w:p w:rsidR="00A31137" w:rsidRPr="00A31137" w:rsidRDefault="00A31137" w:rsidP="00A31137">
      <w:r w:rsidRPr="00A31137">
        <w:t xml:space="preserve">We must determine whether the published passages differ materially in meaning from the tape recorded statements, so as to create an issue of fact for a jury as to falsity. [501 U.S. 522] </w:t>
      </w:r>
    </w:p>
    <w:p w:rsidR="00A31137" w:rsidRPr="00A31137" w:rsidRDefault="00A31137" w:rsidP="00A31137">
      <w:r w:rsidRPr="00A31137">
        <w:t>1991, Masson v. New Yorker Magazine, Inc., 501 U.S. 522</w:t>
      </w:r>
    </w:p>
    <w:p w:rsidR="00A31137" w:rsidRPr="00A31137" w:rsidRDefault="00A31137" w:rsidP="00A31137">
      <w:r w:rsidRPr="00A31137">
        <w:t>(a) "Intellectual Gigolo." We agree with the dissenting opinion in the Court of Appeals that "[f]airly read, intellectual gigolo suggests someone who forsakes intellectual integrity in exchange for pecuniary or other gain." 895 F.2d at 1551. A reasonable jury could find a material difference between the meaning of this passage and petitioner's tape-recorded statement that he was considered "much too junior within the hierarchy of analysis, for these important training analysts to be caught dead with [him]."</w:t>
      </w:r>
    </w:p>
    <w:p w:rsidR="00A31137" w:rsidRPr="00A31137" w:rsidRDefault="00A31137" w:rsidP="00A31137">
      <w:r w:rsidRPr="00A31137">
        <w:t>1991, Masson v. New Yorker Magazine, Inc., 501 U.S. 522</w:t>
      </w:r>
    </w:p>
    <w:p w:rsidR="00A31137" w:rsidRPr="00A31137" w:rsidRDefault="00A31137" w:rsidP="00A31137">
      <w:r w:rsidRPr="00A31137">
        <w:t>The Court of Appeals majority found it difficult to perceive how the "intellectual gigolo" quotation was defamatory, a determination supported not by any citation to California law, but only by the argument that the passage appears to be a report of Eissler's and Anna Freud's opinions of petitioner. Id. at 1541. We agree with the Court of Appeals that the most natural interpretation of this quotation is not an admission that petitioner considers himself an intellectual gigolo, but a statement that Eissler and Anna Freud considered him so. It does not follow, though, that the statement is harmless. Petitioner is entitled to argue that the passage should be analyzed as if Malcolm had reported falsely that Eissler had given this assessment (with the added level of complexity that the quotation purports to represent petitioner's understanding of Eissler's view). An admission that two well-respected senior colleagues considered one an "intellectual gigolo" could be as or more damaging than a similar self-appraisal. In all events, whether the "intellectual gigolo" quotation is defamatory is a question of California law. To the extent that the Court of Appeals based its conclusion in the First Amendment, it was mistaken.</w:t>
      </w:r>
    </w:p>
    <w:p w:rsidR="00A31137" w:rsidRPr="00A31137" w:rsidRDefault="00A31137" w:rsidP="00A31137">
      <w:r w:rsidRPr="00A31137">
        <w:t>1991, Masson v. New Yorker Magazine, Inc., 501 U.S. 522</w:t>
      </w:r>
    </w:p>
    <w:p w:rsidR="00A31137" w:rsidRPr="00A31137" w:rsidRDefault="00A31137" w:rsidP="00A31137">
      <w:r w:rsidRPr="00A31137">
        <w:t>The Court of Appeals relied upon the "incremental harm" doctrine as an alternative basis for its decision. As the court explained it,</w:t>
      </w:r>
    </w:p>
    <w:p w:rsidR="00A31137" w:rsidRPr="00A31137" w:rsidRDefault="00A31137" w:rsidP="00A31137">
      <w:r w:rsidRPr="00A31137">
        <w:t>1991, Masson v. New Yorker Magazine, Inc., 501 U.S. 522</w:t>
      </w:r>
    </w:p>
    <w:p w:rsidR="00A31137" w:rsidRPr="00A31137" w:rsidRDefault="00A31137" w:rsidP="00A31137">
      <w:r w:rsidRPr="00A31137">
        <w:t>[t]his doctrine measures the incremental reputational harm inflicted by the challenged statements beyond the harm imposed by the nonactionable remainder of the publication.</w:t>
      </w:r>
    </w:p>
    <w:p w:rsidR="00A31137" w:rsidRPr="00A31137" w:rsidRDefault="00A31137" w:rsidP="00A31137">
      <w:r w:rsidRPr="00A31137">
        <w:t>1991, Masson v. New Yorker Magazine, Inc., 501 U.S. 522</w:t>
      </w:r>
    </w:p>
    <w:p w:rsidR="00A31137" w:rsidRPr="00A31137" w:rsidRDefault="00A31137" w:rsidP="00A31137">
      <w:r w:rsidRPr="00A31137">
        <w:t>Ibid.; see generally Note, 98 Harv.L.Rev. [501 U.S. 523] 1909 (1985); R. Smolla, Law of Defamation § 9.10[4][d] (1991). The court ruled, as a matter of law, that,</w:t>
      </w:r>
    </w:p>
    <w:p w:rsidR="00A31137" w:rsidRPr="00A31137" w:rsidRDefault="00A31137" w:rsidP="00A31137">
      <w:r w:rsidRPr="00A31137">
        <w:t>1991, Masson v. New Yorker Magazine, Inc., 501 U.S. 523</w:t>
      </w:r>
    </w:p>
    <w:p w:rsidR="00A31137" w:rsidRPr="00A31137" w:rsidRDefault="00A31137" w:rsidP="00A31137">
      <w:r w:rsidRPr="00A31137">
        <w:t>[g]iven the…many provocative, bombastic statements indisputably made by Masson and quoted by Malcolm, the additional harm caused by the "intellectual gigolo" quote was nominal or nonexistent, rendering the defamation claim as to this quote nonactionable.</w:t>
      </w:r>
    </w:p>
    <w:p w:rsidR="00A31137" w:rsidRPr="00A31137" w:rsidRDefault="00A31137" w:rsidP="00A31137">
      <w:r w:rsidRPr="00A31137">
        <w:t>1991, Masson v. New Yorker Magazine, Inc., 501 U.S. 523</w:t>
      </w:r>
    </w:p>
    <w:p w:rsidR="00A31137" w:rsidRPr="00A31137" w:rsidRDefault="00A31137" w:rsidP="00A31137">
      <w:r w:rsidRPr="00A31137">
        <w:t>895 F.2d at 1541.</w:t>
      </w:r>
    </w:p>
    <w:p w:rsidR="00A31137" w:rsidRPr="00A31137" w:rsidRDefault="00A31137" w:rsidP="00A31137">
      <w:r w:rsidRPr="00A31137">
        <w:t>1991, Masson v. New Yorker Magazine, Inc., 501 U.S. 523</w:t>
      </w:r>
    </w:p>
    <w:p w:rsidR="00A31137" w:rsidRPr="00A31137" w:rsidRDefault="00A31137" w:rsidP="00A31137">
      <w:r w:rsidRPr="00A31137">
        <w:t>This reasoning requires a court to conclude that, in fact, a plaintiff made the other quoted statements, cf. Liberty Lobby, Inc. v. Anderson, 241 U.S.App.D.C. 246, 251, 746 F.2d 1563, 1568 (1984), vacated and remanded on other grounds, 477 U.S. 242 (1986), and then to undertake a factual inquiry into the reputational damage caused by the remainder of the publication. As noted by the dissent in the Court of Appeals, the most "provocative, bombastic statements" quoted by Malcolm are those complained of by petitioner, and so this would not seem an appropriate application of the incremental harm doctrine. 895 F.2d at 1566.</w:t>
      </w:r>
    </w:p>
    <w:p w:rsidR="00A31137" w:rsidRPr="00A31137" w:rsidRDefault="00A31137" w:rsidP="00A31137">
      <w:r w:rsidRPr="00A31137">
        <w:t>1991, Masson v. New Yorker Magazine, Inc., 501 U.S. 523</w:t>
      </w:r>
    </w:p>
    <w:p w:rsidR="00A31137" w:rsidRPr="00A31137" w:rsidRDefault="00A31137" w:rsidP="00A31137">
      <w:r w:rsidRPr="00A31137">
        <w:t>Furthermore, the Court of Appeals provided no indication whether it considered the incremental harm doctrine to be grounded in California law or the First Amendment. Here, we reject any suggestion that the incremental harm doctrine is compelled as a matter of First Amendment protection for speech. The question of incremental harm does not bear upon whether a defendant has published a statement with knowledge of falsity or reckless disregard of whether it was false or not. As a question of state law, on the other hand, we are given no indication that California accepts this doctrine, though it remains free to do so. Of course, state tort law doctrines of injury, causation, and damages calculation might allow a defendant to press the argument that the statements did not result in any incremental harm to a plaintiff's reputation.</w:t>
      </w:r>
    </w:p>
    <w:p w:rsidR="00A31137" w:rsidRPr="00A31137" w:rsidRDefault="00A31137" w:rsidP="00A31137">
      <w:r w:rsidRPr="00A31137">
        <w:t>1991, Masson v. New Yorker Magazine, Inc., 501 U.S. 523</w:t>
      </w:r>
    </w:p>
    <w:p w:rsidR="00A31137" w:rsidRPr="00A31137" w:rsidRDefault="00A31137" w:rsidP="00A31137">
      <w:r w:rsidRPr="00A31137">
        <w:t>(b) "Sex, Women, Fun." This passage presents a closer question. The "sex, women, fun" quotation offers a very different picture of petitioner's plans for Maresfield Gardens [501 U.S. 524] than his remark that "Freud's library alone is priceless." See supra at 503. Petitioner's other tape-recorded remarks did indicate that he and another analyst planned to have great parties at the Freud house and, in a context that may not even refer to Freud house activities, to "pass women on to each other." We cannot conclude as a matter of law that these remarks bear the same substantial meaning as the quoted passage's suggestion that petitioner would make the Freud house a place of "sex, women, fun."</w:t>
      </w:r>
    </w:p>
    <w:p w:rsidR="00A31137" w:rsidRPr="00A31137" w:rsidRDefault="00A31137" w:rsidP="00A31137">
      <w:r w:rsidRPr="00A31137">
        <w:t>1991, Masson v. New Yorker Magazine, Inc., 501 U.S. 524</w:t>
      </w:r>
    </w:p>
    <w:p w:rsidR="00A31137" w:rsidRPr="00A31137" w:rsidRDefault="00A31137" w:rsidP="00A31137">
      <w:r w:rsidRPr="00A31137">
        <w:t>(c) "It Sounded Better." We agree with the District Court and the Court of Appeals that any difference between petitioner's tape-recorded statement that he "just liked" the name Moussaieff, and the quotation that "it sounded better" is, in context; immaterial. Although Malcolm did not include all of petitioner's lengthy explanation of his name change, she did convey the gist of that explanation: Petitioner took his abandoned family name as his middle name. We agree with the Court of Appeals that the words attributed to petitioner did not materially alter the meaning of his statement.</w:t>
      </w:r>
    </w:p>
    <w:p w:rsidR="00A31137" w:rsidRPr="00A31137" w:rsidRDefault="00A31137" w:rsidP="00A31137">
      <w:r w:rsidRPr="00A31137">
        <w:t>1991, Masson v. New Yorker Magazine, Inc., 501 U.S. 524</w:t>
      </w:r>
    </w:p>
    <w:p w:rsidR="00A31137" w:rsidRPr="00A31137" w:rsidRDefault="00A31137" w:rsidP="00A31137">
      <w:r w:rsidRPr="00A31137">
        <w:t>(d) "I Don't Know Why I Put It In." Malcolm quotes petitioner as saying that he "tacked on at the last minute" a "totally gratuitous" remark about the "sterility of psychoanalysis" in an academic paper, and that he did so for no particular reason. In the tape recordings, petitioner does admit that the remark was "possibly [a] gratuitously offensive way to end a paper to a group of analysts," but when asked why he included the remark, he answered "[because] it was true…I really believe it." Malcolm's version contains material differences from petitioner's statement, and it is conceivable that the alteration results in a statement that could injure a scholar's reputation.</w:t>
      </w:r>
    </w:p>
    <w:p w:rsidR="00A31137" w:rsidRPr="00A31137" w:rsidRDefault="00A31137" w:rsidP="00A31137">
      <w:r w:rsidRPr="00A31137">
        <w:t>1991, Masson v. New Yorker Magazine, Inc., 501 U.S. 524</w:t>
      </w:r>
    </w:p>
    <w:p w:rsidR="00A31137" w:rsidRPr="00A31137" w:rsidRDefault="00A31137" w:rsidP="00A31137">
      <w:r w:rsidRPr="00A31137">
        <w:t>(e) "Greatest Analyst Who Ever Lived." While petitioner did, on numerous occasions, predict that his theories would do irreparable damage to the practice of psychoanalysis, and did suggest that no other analyst shared his views, no tape-recorded statement appears to contain the substance or the [501 U.S. 525] arrogant and unprofessional tone apparent in this quotation. A material difference exists between the quotation and the tape-recorded statements, and a jury could find that the difference exposed petitioner to contempt, ridicule or obloquy.</w:t>
      </w:r>
    </w:p>
    <w:p w:rsidR="00A31137" w:rsidRPr="00A31137" w:rsidRDefault="00A31137" w:rsidP="00A31137">
      <w:r w:rsidRPr="00A31137">
        <w:t>1991, Masson v. New Yorker Magazine, Inc., 501 U.S. 525</w:t>
      </w:r>
    </w:p>
    <w:p w:rsidR="00A31137" w:rsidRPr="00A31137" w:rsidRDefault="00A31137" w:rsidP="00A31137">
      <w:r w:rsidRPr="00A31137">
        <w:t>(f) "He Had The Wrong Man." The quoted version makes it appear as if petitioner rejected a plea to remain in stoic silence and do "the honorable thing." The tape-recorded version indicates that petitioner rejected a plea supported by far more varied motives: Eissler told petitioner that not only would silence be "the honorable thing," but petitioner would "save face," and might be rewarded for that silence with eventual reinstatement. Petitioner described himself as willing to undergo a scandal in order to shine the light of publicity upon the actions of the Freud Archives, while Malcolm would have petitioner describe himself as a person who was "the wrong man" to do "the honorable thing." This difference is material, a jury might find it defamatory, and, for the reasons we have given, there is evidence to support a finding of deliberate or reckless falsification.</w:t>
      </w:r>
    </w:p>
    <w:p w:rsidR="00A31137" w:rsidRPr="00A31137" w:rsidRDefault="00A31137" w:rsidP="00A31137">
      <w:r w:rsidRPr="00A31137">
        <w:t>1991, Masson v. New Yorker Magazine, Inc., 501 U.S. 525</w:t>
      </w:r>
    </w:p>
    <w:p w:rsidR="00A31137" w:rsidRPr="00A31137" w:rsidRDefault="00A31137" w:rsidP="00A31137">
      <w:r w:rsidRPr="00A31137">
        <w:t>Because of the Court of Appeals' disposition with respect to Malcolm, it did not have occasion to address petitioner's argument that the District Court erred in granting summary judgment to The New Yorker Magazine, Inc., and Alfred A. Knopf, Inc., on the basis of their respective relations with Malcolm or the lack of any independent actual malice. These questions are best addressed in the first instance on remand.</w:t>
      </w:r>
    </w:p>
    <w:p w:rsidR="00A31137" w:rsidRPr="00A31137" w:rsidRDefault="00A31137" w:rsidP="00A31137">
      <w:r w:rsidRPr="00A31137">
        <w:t>1991, Masson v. New Yorker Magazine, Inc., 501 U.S. 525</w:t>
      </w:r>
    </w:p>
    <w:p w:rsidR="00A31137" w:rsidRPr="00A31137" w:rsidRDefault="00A31137" w:rsidP="00A31137">
      <w:r w:rsidRPr="00A31137">
        <w:t>The judgment of the Court of Appeals is reversed, and the case is remanded for further proceedings consistent with this opinion.</w:t>
      </w:r>
    </w:p>
    <w:p w:rsidR="00A31137" w:rsidRPr="00A31137" w:rsidRDefault="00A31137" w:rsidP="00A31137">
      <w:r w:rsidRPr="00A31137">
        <w:t>1991, Masson v. New Yorker Magazine, Inc., 501 U.S. 525</w:t>
      </w:r>
    </w:p>
    <w:p w:rsidR="00A31137" w:rsidRPr="00A31137" w:rsidRDefault="00A31137" w:rsidP="00A31137">
      <w:r w:rsidRPr="00A31137">
        <w:t>It is so ordered.</w:t>
      </w:r>
    </w:p>
    <w:p w:rsidR="00A31137" w:rsidRPr="00A31137" w:rsidRDefault="00A31137" w:rsidP="00A31137">
      <w:r w:rsidRPr="00A31137">
        <w:t>WHITE, J., concurring and dissenting</w:t>
      </w:r>
    </w:p>
    <w:p w:rsidR="00A31137" w:rsidRPr="00A31137" w:rsidRDefault="00A31137" w:rsidP="00A31137">
      <w:r w:rsidRPr="00A31137">
        <w:t>1991, Masson v. New Yorker Magazine, Inc., 501 U.S. 525</w:t>
      </w:r>
    </w:p>
    <w:p w:rsidR="00A31137" w:rsidRPr="00A31137" w:rsidRDefault="00A31137" w:rsidP="00A31137">
      <w:r w:rsidRPr="00A31137">
        <w:t>JUSTICE WHITE, with whom JUSTICE SCALIA joins, concurring in part and dissenting in part.</w:t>
      </w:r>
    </w:p>
    <w:p w:rsidR="00A31137" w:rsidRPr="00A31137" w:rsidRDefault="00A31137" w:rsidP="00A31137">
      <w:r w:rsidRPr="00A31137">
        <w:t>1991, Masson v. New Yorker Magazine, Inc., 501 U.S. 525</w:t>
      </w:r>
    </w:p>
    <w:p w:rsidR="00A31137" w:rsidRPr="00A31137" w:rsidRDefault="00A31137" w:rsidP="00A31137">
      <w:r w:rsidRPr="00A31137">
        <w:t>I join Parts I, II-A, II-D, and III-A, but cannot wholly agree with the remainder of the opinion. My principal disagreement [501 U.S. 526] is with the holding, ante at 517, that</w:t>
      </w:r>
    </w:p>
    <w:p w:rsidR="00A31137" w:rsidRPr="00A31137" w:rsidRDefault="00A31137" w:rsidP="00A31137">
      <w:r w:rsidRPr="00A31137">
        <w:t>1991, Masson v. New Yorker Magazine, Inc., 501 U.S. 526</w:t>
      </w:r>
    </w:p>
    <w:p w:rsidR="00A31137" w:rsidRPr="00A31137" w:rsidRDefault="00A31137" w:rsidP="00A31137">
      <w:r w:rsidRPr="00A31137">
        <w:t>a deliberate alteration of the words uttered by a plaintiff does not equate with knowledge of falsity…unless the alteration results in a material change in the meaning conveyed by the statement.</w:t>
      </w:r>
    </w:p>
    <w:p w:rsidR="00A31137" w:rsidRPr="00A31137" w:rsidRDefault="00A31137" w:rsidP="00A31137">
      <w:r w:rsidRPr="00A31137">
        <w:t>1991, Masson v. New Yorker Magazine, Inc., 501 U.S. 526</w:t>
      </w:r>
    </w:p>
    <w:p w:rsidR="00A31137" w:rsidRPr="00A31137" w:rsidRDefault="00A31137" w:rsidP="00A31137">
      <w:r w:rsidRPr="00A31137">
        <w:t>New York Times Co. v. Sullivan, 376 U.S. 254 (1964), "malice" means deliberate falsehood or reckless disregard for whether the fact asserted is true or false. Id. at 279-280. As the Court recognizes, the use of quotation marks in reporting what a person said asserts that the person spoke the words as quoted. As this case comes to us, it is to be judged on the basis that, in the instances identified by the Court, the reporter, Malcolm, wrote that Masson said certain things that she knew Masson did not say. By any definition of the term, this was "knowing falsehood": Malcolm asserts that Masson said these very words, knowing that he did not. The issue, as the Court recognizes, is whether Masson spoke the words attributed to him, not whether the fact, if any, asserted by the attributed words is true or false. In my view, we need to go no further to conclude that the defendants in this case were not entitled to summary judgment on the issue of malice with respect to any of the six erroneous quotations.</w:t>
      </w:r>
    </w:p>
    <w:p w:rsidR="00A31137" w:rsidRPr="00A31137" w:rsidRDefault="00A31137" w:rsidP="00A31137">
      <w:r w:rsidRPr="00A31137">
        <w:t>1991, Masson v. New Yorker Magazine, Inc., 501 U.S. 526</w:t>
      </w:r>
    </w:p>
    <w:p w:rsidR="00A31137" w:rsidRPr="00A31137" w:rsidRDefault="00A31137" w:rsidP="00A31137">
      <w:r w:rsidRPr="00A31137">
        <w:t>That there was at least an issue for the jury to decide on the question of deliberate or reckless falsehood, does not mean that plaintiffs were necessarily entitled to go to trial. If, as a matter of law, reasonable jurors could not conclude that attributing to Masson certain words that he did not say amounted to libel under California law, i.e.,</w:t>
      </w:r>
    </w:p>
    <w:p w:rsidR="00A31137" w:rsidRPr="00A31137" w:rsidRDefault="00A31137" w:rsidP="00A31137">
      <w:r w:rsidRPr="00A31137">
        <w:t>1991, Masson v. New Yorker Magazine, Inc., 501 U.S. 526</w:t>
      </w:r>
    </w:p>
    <w:p w:rsidR="00A31137" w:rsidRPr="00A31137" w:rsidRDefault="00A31137" w:rsidP="00A31137">
      <w:r w:rsidRPr="00A31137">
        <w:t>expose[d] [Masson] to hatred, contempt, ridicule, or obloquy, or which causes him to be shunned or avoided, or which has a tendency to injure him in his occupation,</w:t>
      </w:r>
    </w:p>
    <w:p w:rsidR="00A31137" w:rsidRPr="00A31137" w:rsidRDefault="00A31137" w:rsidP="00A31137">
      <w:r w:rsidRPr="00A31137">
        <w:t>1991, Masson v. New Yorker Magazine, Inc., 501 U.S. 526</w:t>
      </w:r>
    </w:p>
    <w:p w:rsidR="00A31137" w:rsidRPr="00A31137" w:rsidRDefault="00A31137" w:rsidP="00A31137">
      <w:r w:rsidRPr="00A31137">
        <w:t>Cal.Civ.Code Ann. § 45 (West 1982), a motion for summary judgment on this ground would be justified.* I would suppose, for example, [501 U.S. 527] that, if Malcolm wrote that Masson said that he wore contact lenses, when he said nothing about his eyes or his vision, the trial judge would grant summary judgment for the defendants and dismiss the case. The same would be true if Masson had said "I was spoiled as a child by my Mother," whereas, Malcolm reports that he said "I was spoiled as a child by my parents." But if reasonable jurors could conclude that the deliberate misquotation was libelous, the case should go to the jury.</w:t>
      </w:r>
    </w:p>
    <w:p w:rsidR="00A31137" w:rsidRPr="00A31137" w:rsidRDefault="00A31137" w:rsidP="00A31137">
      <w:r w:rsidRPr="00A31137">
        <w:t>1991, Masson v. New Yorker Magazine, Inc., 501 U.S. 527</w:t>
      </w:r>
    </w:p>
    <w:p w:rsidR="00A31137" w:rsidRPr="00A31137" w:rsidRDefault="00A31137" w:rsidP="00A31137">
      <w:r w:rsidRPr="00A31137">
        <w:t>This seems to me to be the straightforward, traditional approach to deal with this case. Instead, the Court states that deliberate misquotation does not amount to New York Times malice unless it results in a material change in the meaning conveyed by the statement. This ignores the fact that, under New York Times, reporting a known falsehood—here the knowingly false attribution—is sufficient proof of malice. The falsehood, apparently, must be substantial; the reporter may lie a little, but not too much.</w:t>
      </w:r>
    </w:p>
    <w:p w:rsidR="00A31137" w:rsidRPr="00A31137" w:rsidRDefault="00A31137" w:rsidP="00A31137">
      <w:r w:rsidRPr="00A31137">
        <w:t>1991, Masson v. New Yorker Magazine, Inc., 501 U.S. 527</w:t>
      </w:r>
    </w:p>
    <w:p w:rsidR="00A31137" w:rsidRPr="00A31137" w:rsidRDefault="00A31137" w:rsidP="00A31137">
      <w:r w:rsidRPr="00A31137">
        <w:t>This standard is not only a less manageable one than the traditional approach, but it also assigns to the courts issues that are for the jury to decide. For a court to ask whether a misquotation substantially alters the meaning of spoken words in a defamatory manner is a far different inquiry than whether reasonable jurors could find that the misquotation was different enough to be libelous. In the one case, the court is measuring the difference from its own point of view; in the other it is asking how the jury would or could view the erroneous attribution.</w:t>
      </w:r>
    </w:p>
    <w:p w:rsidR="00A31137" w:rsidRPr="00A31137" w:rsidRDefault="00A31137" w:rsidP="00A31137">
      <w:r w:rsidRPr="00A31137">
        <w:t>1991, Masson v. New Yorker Magazine, Inc., 501 U.S. 527</w:t>
      </w:r>
    </w:p>
    <w:p w:rsidR="00A31137" w:rsidRPr="00A31137" w:rsidRDefault="00A31137" w:rsidP="00A31137">
      <w:r w:rsidRPr="00A31137">
        <w:t>The Court attempts to justify its holding in several ways, none of which is persuasive. First, it observes that an interviewer who takes notes of any interview will attempt to reconstruct what the speaker said, and will often knowingly attribute to the subject words that were not used by the speaker. Ante at 514-515. But this is nothing more than an assertion that authors may misrepresent because they cannot remember what the speaker actually said. This [501 U.S. 528] should be no dilemma for such authors, or they could report their story without purporting to quote when they are not sure, thereby leaving the reader to trust or doubt the author, rather than believing that the subject actually said what he is claimed to have said. Moreover, this basis for the Court's rule has no application where there is a tape of the interview and the author is in no way at a loss to know what the speaker actually said. Second, the Court speculates that, even with the benefit of a recording, the author will find it necessary at times to reconstruct, ante at 515, but again, in those cases, why should the author be free to put his or her reconstruction in quotation marks, rather than report without them? Third, the Court suggests that misquotations that do not materially alter the meaning inflict no injury to reputation that is compensable as defamation. Ante at 517. This may be true, but this is a question of defamation or not, and has nothing to do with whether the author deliberately put within quotation marks and attributed to the speaker words that the author knew the speaker did not utter.</w:t>
      </w:r>
    </w:p>
    <w:p w:rsidR="00A31137" w:rsidRPr="00A31137" w:rsidRDefault="00A31137" w:rsidP="00A31137">
      <w:r w:rsidRPr="00A31137">
        <w:t>1991, Masson v. New Yorker Magazine, Inc., 501 U.S. 528</w:t>
      </w:r>
    </w:p>
    <w:p w:rsidR="00A31137" w:rsidRPr="00A31137" w:rsidRDefault="00A31137" w:rsidP="00A31137">
      <w:r w:rsidRPr="00A31137">
        <w:t>As I see it, the defendants' motion for summary judgment based on lack of malice should not have been granted on any of the six quotations considered by the Court in Part III-B of its opinion. I therefore dissent from the result reached with respect to the "It Sounded Better" quotation dealt with in paragraph (c) of Part III-B, but agree with the Court's judgment on the other five misquotations.</w:t>
      </w:r>
    </w:p>
    <w:p w:rsidR="00A31137" w:rsidRPr="00A31137" w:rsidRDefault="00A31137" w:rsidP="00A31137">
      <w:r w:rsidRPr="00A31137">
        <w:t>Footnotes</w:t>
      </w:r>
    </w:p>
    <w:p w:rsidR="00A31137" w:rsidRPr="00A31137" w:rsidRDefault="00A31137" w:rsidP="00A31137">
      <w:r w:rsidRPr="00A31137">
        <w:t>WHITE, J., concurring and dissenting (Footnotes)</w:t>
      </w:r>
    </w:p>
    <w:p w:rsidR="00A31137" w:rsidRPr="00A31137" w:rsidRDefault="00A31137" w:rsidP="00A31137">
      <w:r w:rsidRPr="00A31137">
        <w:t>1991, Masson v. New Yorker Magazine, Inc., 501 U.S. 528</w:t>
      </w:r>
    </w:p>
    <w:p w:rsidR="00A31137" w:rsidRPr="00A31137" w:rsidRDefault="00A31137" w:rsidP="00A31137">
      <w:r w:rsidRPr="00A31137">
        <w:t>* In dealing with the intellectual gigolo passage, the Court of Appeals ruled that there was no malice, but, in the alternative, went on to say that, as a matter of law, the erroneous attribution was not actionable defamation. 895 F.2d 1535, 1541541 (CA9 1989).</w:t>
      </w:r>
    </w:p>
    <w:p w:rsidR="00A31137" w:rsidRPr="00A31137" w:rsidRDefault="00A31137" w:rsidP="00A31137">
      <w:r w:rsidRPr="00A31137">
        <w:t>Barnes v. Glen Theatre, Inc., 1991</w:t>
      </w:r>
    </w:p>
    <w:p w:rsidR="00A31137" w:rsidRPr="00A31137" w:rsidRDefault="00A31137" w:rsidP="00A31137">
      <w:r w:rsidRPr="00A31137">
        <w:t>Title:</w:t>
      </w:r>
      <w:r w:rsidRPr="00A31137">
        <w:tab/>
        <w:t>Barnes v. Glen Theatre, Inc.</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21, 1991</w:t>
      </w:r>
    </w:p>
    <w:p w:rsidR="00A31137" w:rsidRPr="00A31137" w:rsidRDefault="00A31137" w:rsidP="00A31137">
      <w:r w:rsidRPr="00A31137">
        <w:t>Source:</w:t>
      </w:r>
      <w:r w:rsidRPr="00A31137">
        <w:tab/>
        <w:t>501 U.S. 560</w:t>
      </w:r>
    </w:p>
    <w:p w:rsidR="00A31137" w:rsidRPr="00A31137" w:rsidRDefault="00A31137" w:rsidP="00A31137">
      <w:r w:rsidRPr="00A31137">
        <w:t>This case was argued January 8, 1991, and was decided June 21, 1991.</w:t>
      </w:r>
    </w:p>
    <w:p w:rsidR="00A31137" w:rsidRPr="00A31137" w:rsidRDefault="00A31137" w:rsidP="00A31137">
      <w:r w:rsidRPr="00A31137">
        <w:t>CERTIORARI TO THE UNITED STATES COURT OF APPEALS</w:t>
      </w:r>
    </w:p>
    <w:p w:rsidR="00A31137" w:rsidRPr="00A31137" w:rsidRDefault="00A31137" w:rsidP="00A31137">
      <w:r w:rsidRPr="00A31137">
        <w:t>FOR THE SEVENTH CIRCUIT</w:t>
      </w:r>
    </w:p>
    <w:p w:rsidR="00A31137" w:rsidRPr="00A31137" w:rsidRDefault="00A31137" w:rsidP="00A31137">
      <w:r w:rsidRPr="00A31137">
        <w:t>Syllabus</w:t>
      </w:r>
    </w:p>
    <w:p w:rsidR="00A31137" w:rsidRPr="00A31137" w:rsidRDefault="00A31137" w:rsidP="00A31137">
      <w:r w:rsidRPr="00A31137">
        <w:t>1991, Barnes v. Glen Theatre, Inc., 501 U.S. 560</w:t>
      </w:r>
    </w:p>
    <w:p w:rsidR="00A31137" w:rsidRPr="00A31137" w:rsidRDefault="00A31137" w:rsidP="00A31137">
      <w:r w:rsidRPr="00A31137">
        <w:t>Respondents, two Indiana establishments wishing to provide totally nude dancing as entertainment and individual dancers employed at those establishments, brought suit in the District Court to enjoin enforcement of the state public indecency law—which requires respondent dancers to wear pasties and a G-string—asserting that the law's prohibition against total nudity in public places violates the First Amendment. The court held that the nude dancing involved here was not expressive conduct. The Court of Appeals reversed, ruling that nonobscene nude dancing performed for entertainment is protected expression, and that the statute was an improper infringement of that activity because its purpose was to prevent the message of eroticism and sexuality conveyed by the dancers.</w:t>
      </w:r>
    </w:p>
    <w:p w:rsidR="00A31137" w:rsidRPr="00A31137" w:rsidRDefault="00A31137" w:rsidP="00A31137">
      <w:r w:rsidRPr="00A31137">
        <w:t>1991, Barnes v. Glen Theatre, Inc., 501 U.S. 560</w:t>
      </w:r>
    </w:p>
    <w:p w:rsidR="00A31137" w:rsidRPr="00A31137" w:rsidRDefault="00A31137" w:rsidP="00A31137">
      <w:r w:rsidRPr="00A31137">
        <w:t>Held: The judgment is reversed.</w:t>
      </w:r>
    </w:p>
    <w:p w:rsidR="00A31137" w:rsidRPr="00A31137" w:rsidRDefault="00A31137" w:rsidP="00A31137">
      <w:r w:rsidRPr="00A31137">
        <w:t>1991, Barnes v. Glen Theatre, Inc., 501 U.S. 560</w:t>
      </w:r>
    </w:p>
    <w:p w:rsidR="00A31137" w:rsidRPr="00A31137" w:rsidRDefault="00A31137" w:rsidP="00A31137">
      <w:r w:rsidRPr="00A31137">
        <w:t>904 F.2d 1081 (CA9 1990), reversed.</w:t>
      </w:r>
    </w:p>
    <w:p w:rsidR="00A31137" w:rsidRPr="00A31137" w:rsidRDefault="00A31137" w:rsidP="00A31137">
      <w:r w:rsidRPr="00A31137">
        <w:t>1991, Barnes v. Glen Theatre, Inc., 501 U.S. 560</w:t>
      </w:r>
    </w:p>
    <w:p w:rsidR="00A31137" w:rsidRPr="00A31137" w:rsidRDefault="00A31137" w:rsidP="00A31137">
      <w:r w:rsidRPr="00A31137">
        <w:t>The CHIEF JUSTICE, joined by JUSTICE O'CONNOR and JUSTICE KENNEDY, concluded that the enforcement of Indiana's public indecency law to prevent totally nude dancing does not violate the First Amendment's guarantee of freedom of expression. Pp.  565-572.</w:t>
      </w:r>
    </w:p>
    <w:p w:rsidR="00A31137" w:rsidRPr="00A31137" w:rsidRDefault="00A31137" w:rsidP="00A31137">
      <w:r w:rsidRPr="00A31137">
        <w:t>1991, Barnes v. Glen Theatre, Inc., 501 U.S. 560</w:t>
      </w:r>
    </w:p>
    <w:p w:rsidR="00A31137" w:rsidRPr="00A31137" w:rsidRDefault="00A31137" w:rsidP="00A31137">
      <w:r w:rsidRPr="00A31137">
        <w:t>(a) Nude dancing of the kind sought to be performed here is expressive conduct within the outer perimeters of the First Amendment, although only marginally so. See, e.g., Doran v. Salem Inn, Inc., 422 U.S. 922, 932. Pp.  565-566.</w:t>
      </w:r>
    </w:p>
    <w:p w:rsidR="00A31137" w:rsidRPr="00A31137" w:rsidRDefault="00A31137" w:rsidP="00A31137">
      <w:r w:rsidRPr="00A31137">
        <w:t>1991, Barnes v. Glen Theatre, Inc., 501 U.S. 560</w:t>
      </w:r>
    </w:p>
    <w:p w:rsidR="00A31137" w:rsidRPr="00A31137" w:rsidRDefault="00A31137" w:rsidP="00A31137">
      <w:r w:rsidRPr="00A31137">
        <w:t>(b) Applying the four-part test of United States v. O'Brien, 391 U.S. 367, 376-377—which rejected the contention that symbolic speech is entitled to full First Amendment protection—the statute is justified despite its incidental limitations on some expressive activity. The law is clearly within the State's constitutional power. And it furthers a substantial governmental interest in protecting societal order and morality. Public indecency statutes reflect moral disapproval of people appearing in the nude among strangers in public places, and this particular law follows a line of state laws, dating back to 1831, banning public nudity. The States' traditional police power is defined as the authority to provide for the public health, safety, and morals, and such a basis for legislation [501 U.S. 561] has been upheld. See, e.g., Paris Adult Theatre I v. Slaton, 413 U.S. 49,  61. This governmental interest is unrelated to the suppression of free expression, since public nudity is the evil the State seeks to prevent, whether or not it is combined with expressive activity. The law does not proscribe nudity in these establishments because the dancers are conveying an erotic message. To the contrary, an erotic performance may be presented without any state interference, so long as the performers wear a scant amount of clothing. Finally, the incidental restriction on First Amendment freedom is no greater than is essential to the furtherance of the governmental interest. Since the statutory prohibition is not a means to some greater end, but an end itself, it is without cavil that the statute is narrowly tailored. Pp.  566-572.</w:t>
      </w:r>
    </w:p>
    <w:p w:rsidR="00A31137" w:rsidRPr="00A31137" w:rsidRDefault="00A31137" w:rsidP="00A31137">
      <w:r w:rsidRPr="00A31137">
        <w:t>1991, Barnes v. Glen Theatre, Inc., 501 U.S. 561</w:t>
      </w:r>
    </w:p>
    <w:p w:rsidR="00A31137" w:rsidRPr="00A31137" w:rsidRDefault="00A31137" w:rsidP="00A31137">
      <w:r w:rsidRPr="00A31137">
        <w:t>JUSTICE SCALIA concluded that the statute—as a general law regulating conduct and not specifically directed at expression, either in practice or on its face—is not subject to normal First Amendment scrutiny, and should be upheld on the ground that moral opposition to nudity supplies a rational basis for its prohibition. Cf. Employment Division, Oregon Dept. of Human Resources v. Smith, 494 U.S. 872. There is no intermediate level of scrutiny requiring that an incidental restriction on expression, such as that involved here, be justified by an important or substantial governmental interest. Pp.  572-580.</w:t>
      </w:r>
    </w:p>
    <w:p w:rsidR="00A31137" w:rsidRPr="00A31137" w:rsidRDefault="00A31137" w:rsidP="00A31137">
      <w:r w:rsidRPr="00A31137">
        <w:t>1991, Barnes v. Glen Theatre, Inc., 501 U.S. 561</w:t>
      </w:r>
    </w:p>
    <w:p w:rsidR="00A31137" w:rsidRPr="00A31137" w:rsidRDefault="00A31137" w:rsidP="00A31137">
      <w:r w:rsidRPr="00A31137">
        <w:t xml:space="preserve">JUSTICE SOUTER, agreeing that the nude dancing at issue here is subject to a degree of First Amendment protection, and that the test of United States v. O'Brien, 391 U.S. 367, is the appropriate analysis to determine the actual protection required, concluded that the State's interest in preventing the secondary effects of adult entertainment establishments—prostitution, sexual assaults, and other criminal activity—is sufficient under O'Brien to justify the law's enforcement against nude dancing. The prevention of such effects clearly falls within the State's constitutional power. In addition, the asserted interest is plainly substantial, and the State could have concluded that it is furthered by a prohibition on nude dancing, even without localized proof of the harmful effects. See Renton v. Playtime Theatres, Inc., 475 U.S. 41, 50. Moreover, the interest is unrelated to the suppression of free expression, since the pernicious effects are merely associated with nude dancing establishments and are not the result of the expression inherent in nude dancing. Id. at 48. Finally, the restriction is no greater than is essential to further the governmental interest, since pasties and a G-string moderate expression to a minor degree when measured against the dancer's remaining capacity and opportunity to express an erotic message. Pp.  581-587. [501 U.S. 562] </w:t>
      </w:r>
    </w:p>
    <w:p w:rsidR="00A31137" w:rsidRPr="00A31137" w:rsidRDefault="00A31137" w:rsidP="00A31137">
      <w:r w:rsidRPr="00A31137">
        <w:t>1991, Barnes v. Glen Theatre, Inc., 501 U.S. 562</w:t>
      </w:r>
    </w:p>
    <w:p w:rsidR="00A31137" w:rsidRPr="00A31137" w:rsidRDefault="00A31137" w:rsidP="00A31137">
      <w:r w:rsidRPr="00A31137">
        <w:t>REHNQUIST, C.J., announced the judgment of the Court and delivered an opinion in which O'CONNOR and KENNEDY, JJ., joined. SCALIA, J., post, p.  572, and SOUTER, J., post, p.  581, filed opinions concurring in the judgment. WHITE, J., filed a dissenting opinion, in which MARSHALL, BLACKMUN, and STEVENS, JJ., joined, post, p.  587.</w:t>
      </w:r>
    </w:p>
    <w:p w:rsidR="00A31137" w:rsidRPr="00A31137" w:rsidRDefault="00A31137" w:rsidP="00A31137">
      <w:r w:rsidRPr="00A31137">
        <w:t>REHNQUIST, J., lead opinion</w:t>
      </w:r>
    </w:p>
    <w:p w:rsidR="00A31137" w:rsidRPr="00A31137" w:rsidRDefault="00A31137" w:rsidP="00A31137">
      <w:r w:rsidRPr="00A31137">
        <w:t>1991, Barnes v. Glen Theatre, Inc., 501 U.S. 562</w:t>
      </w:r>
    </w:p>
    <w:p w:rsidR="00A31137" w:rsidRPr="00A31137" w:rsidRDefault="00A31137" w:rsidP="00A31137">
      <w:r w:rsidRPr="00A31137">
        <w:t>CHIEF JUSTICE REHNQUIST delivered the opinion of the Court.</w:t>
      </w:r>
    </w:p>
    <w:p w:rsidR="00A31137" w:rsidRPr="00A31137" w:rsidRDefault="00A31137" w:rsidP="00A31137">
      <w:r w:rsidRPr="00A31137">
        <w:t>1991, Barnes v. Glen Theatre, Inc., 501 U.S. 562</w:t>
      </w:r>
    </w:p>
    <w:p w:rsidR="00A31137" w:rsidRPr="00A31137" w:rsidRDefault="00A31137" w:rsidP="00A31137">
      <w:r w:rsidRPr="00A31137">
        <w:t>Respondents are two establishments in South Bend, Indiana, that wish to provide totally nude dancing as entertainment, and individual dancers who are employed at these [501 U.S. 563] establishments. They claim that the First Amendment's guarantee of freedom of expression prevents the State of Indiana from enforcing its public indecency law to prevent this form of dancing. We reject their claim.</w:t>
      </w:r>
    </w:p>
    <w:p w:rsidR="00A31137" w:rsidRPr="00A31137" w:rsidRDefault="00A31137" w:rsidP="00A31137">
      <w:r w:rsidRPr="00A31137">
        <w:t>1991, Barnes v. Glen Theatre, Inc., 501 U.S. 563</w:t>
      </w:r>
    </w:p>
    <w:p w:rsidR="00A31137" w:rsidRPr="00A31137" w:rsidRDefault="00A31137" w:rsidP="00A31137">
      <w:r w:rsidRPr="00A31137">
        <w:t>The facts appear from the pleadings and findings of the District Court, and are uncontested here. The Kitty Kat Lounge, Inc. (Kitty Kat) is located in the city of South Bend. It sells alcoholic beverages and presents "go-go dancing." Its proprietor desires to present "totally nude dancing," but an applicable Indiana statute regulating public nudity requires that the dancers wear "pasties" and a "G-string" when they dance. The dancers are not paid an hourly wage, but work on commission. They receive a 100 percent commission on the first $60 in drink sales during their performances. Darlene Miller, one of the respondents in the action, had worked at the Kitty Kat for about two years at the time this action was brought. Miller wishes to dance nude because she believes she would make more money doing so.</w:t>
      </w:r>
    </w:p>
    <w:p w:rsidR="00A31137" w:rsidRPr="00A31137" w:rsidRDefault="00A31137" w:rsidP="00A31137">
      <w:r w:rsidRPr="00A31137">
        <w:t>1991, Barnes v. Glen Theatre, Inc., 501 U.S. 563</w:t>
      </w:r>
    </w:p>
    <w:p w:rsidR="00A31137" w:rsidRPr="00A31137" w:rsidRDefault="00A31137" w:rsidP="00A31137">
      <w:r w:rsidRPr="00A31137">
        <w:t>Respondent Glen Theatre, Inc., is an Indiana corporation with a place of business in South Bend. Its primary business is supplying so-called adult entertainment through written and printed materials, movie showings, and live entertainment at an enclosed "bookstore." The live entertainment at the "bookstore" consists of nude and seminude performances and showings of the female body through glass panels. Customers sit in a booth and insert coins into a timing mechanism that permits them to observe the live nude and seminude dancers for a period of time. One of Glen Theatre's dancers, Gayle Ann Marie Sutro, has danced, modeled, and acted professionally for more than 15 years, and in addition to her performances at the Glen Theatre, can be seen in a pornographic movie at a nearby theater. App. to Pet. for Cert. 131-133.</w:t>
      </w:r>
    </w:p>
    <w:p w:rsidR="00A31137" w:rsidRPr="00A31137" w:rsidRDefault="00A31137" w:rsidP="00A31137">
      <w:r w:rsidRPr="00A31137">
        <w:t>1991, Barnes v. Glen Theatre, Inc., 501 U.S. 563</w:t>
      </w:r>
    </w:p>
    <w:p w:rsidR="00A31137" w:rsidRPr="00A31137" w:rsidRDefault="00A31137" w:rsidP="00A31137">
      <w:r w:rsidRPr="00A31137">
        <w:t>Respondents sued in the United States District Court for the Northern District of Indiana to enjoin the enforcement of the Indiana public indecency statute, Ind.Code § 35-45-4-1 [501 U.S. 564] (1988), asserting that its prohibition against complete nudity in public places violated the First Amendment. The District Court originally granted respondents' prayer for an injunction, finding that the statute was facially overbroad. The Court of Appeals for the Seventh Circuit reversed, deciding that previous litigation with respect to the statute in the Supreme Court of Indiana and this Court precluded the possibility of such a challenge, 1 and remanded to the District Court in order for the plaintiffs to pursue their claim that the statute violated the First Amendment as applied to their dancing. Glen Theatre, Inc. v. Pearson, 802 F.2d 287, 288-290 (1986). On remand, the District Court concluded that [501 U.S. 565] "the type of dancing these plaintiffs wish to perform is not expressive activity protected by the Constitution of the United States," and rendered judgment in favor of the defendants. Glen Theatre, Inc. v. Civil City of South Bend, 695 F.Supp. 414, 419 (ND Ind.1988). The case was again appealed to the Seventh Circuit, and a panel of that court reversed the District Court, holding that the nude dancing involved here was expressive conduct protected by the First Amendment. Miller v. Civil City of South Bend, 887 F.2d 826 (CA7 1989). The Court of Appeals then heard the case en banc, and the court rendered a series of comprehensive and thoughtful opinions. The majority concluded that nonobscene nude dancing performed for entertainment is expression protected by the First Amendment, and that the public indecency statute was an improper infringement of that expressive activity because its purpose was to prevent the message of eroticism and sexuality conveyed by the dancers. Miller v. Civil City of South Bend, 904 F.2d 1081 (CA7 1990). We granted certiorari, 498 U.S. 807 (1990), and now hold that the Indiana statutory requirement that the dancers in the establishments involved in this case must wear pasties and a G-string does not violate the First Amendment.</w:t>
      </w:r>
    </w:p>
    <w:p w:rsidR="00A31137" w:rsidRPr="00A31137" w:rsidRDefault="00A31137" w:rsidP="00A31137">
      <w:r w:rsidRPr="00A31137">
        <w:t>1991, Barnes v. Glen Theatre, Inc., 501 U.S. 565</w:t>
      </w:r>
    </w:p>
    <w:p w:rsidR="00A31137" w:rsidRPr="00A31137" w:rsidRDefault="00A31137" w:rsidP="00A31137">
      <w:r w:rsidRPr="00A31137">
        <w:t>Several of our cases contain language suggesting that nude dancing of the kind involved here is expressive conduct protected by the First Amendment. In Doran v. Salem Inn, Inc., 422 U.S. 922, 932 (1975), we said:</w:t>
      </w:r>
    </w:p>
    <w:p w:rsidR="00A31137" w:rsidRPr="00A31137" w:rsidRDefault="00A31137" w:rsidP="00A31137">
      <w:r w:rsidRPr="00A31137">
        <w:t>1991, Barnes v. Glen Theatre, Inc., 501 U.S. 565</w:t>
      </w:r>
    </w:p>
    <w:p w:rsidR="00A31137" w:rsidRPr="00A31137" w:rsidRDefault="00A31137" w:rsidP="00A31137">
      <w:r w:rsidRPr="00A31137">
        <w:t>[A]lthough the customary "barroom" type of nude dancing may involve only the barest minimum of protected expression, we recognized in California v. LaRue, 409 U.S. 109, 118 (1972), that this form of entertainment might be entitled to First and Fourteenth Amendment protection under some circumstances.</w:t>
      </w:r>
    </w:p>
    <w:p w:rsidR="00A31137" w:rsidRPr="00A31137" w:rsidRDefault="00A31137" w:rsidP="00A31137">
      <w:r w:rsidRPr="00A31137">
        <w:t>1991, Barnes v. Glen Theatre, Inc., 501 U.S. 565</w:t>
      </w:r>
    </w:p>
    <w:p w:rsidR="00A31137" w:rsidRPr="00A31137" w:rsidRDefault="00A31137" w:rsidP="00A31137">
      <w:r w:rsidRPr="00A31137">
        <w:t>In Schad v. Borough of Mount Ephraim, 452 U.S. 61, 66 (1981), we said that "[f]urthermore, as the state courts in this case recognized, nude dancing is not without its First Amendment protections from official regulation" (citations omitted). These statements support the conclusion of the Court of Appeals [501 U.S. 566] that nude dancing of the kind sought to be performed here is expressive conduct within the outer perimeters of the First Amendment, though we view it as only marginally so. This, of course, does not end our inquiry. We must determine the level of protection to be afforded to the expressive conduct at issue, and must determine whether the Indiana statute is an impermissible infringement of that protected activity.</w:t>
      </w:r>
    </w:p>
    <w:p w:rsidR="00A31137" w:rsidRPr="00A31137" w:rsidRDefault="00A31137" w:rsidP="00A31137">
      <w:r w:rsidRPr="00A31137">
        <w:t>1991, Barnes v. Glen Theatre, Inc., 501 U.S. 566</w:t>
      </w:r>
    </w:p>
    <w:p w:rsidR="00A31137" w:rsidRPr="00A31137" w:rsidRDefault="00A31137" w:rsidP="00A31137">
      <w:r w:rsidRPr="00A31137">
        <w:t>Indiana, of course, has not banned nude dancing as such, but has proscribed public nudity across the board. The Supreme Court of Indiana has construed the Indiana statute to preclude nudity in what are essentially places of public accommodation such as the Glen Theatre and the Kitty Kat Lounge. In such places, respondents point out, minors are excluded and there are no nonconsenting viewers. Respondents contend that, while the state may license establishments such as the ones involved here and limit the geographical area in which they do business, it may not in any way limit the performance of the dances within them without violating the First Amendment. The petitioner contends, on the other hand, that Indiana's restriction on nude dancing is a valid "time, place or manner" restriction under cases such as Clark v. Community for Creative Non-Violence, 468 U.S. 288 (1984).</w:t>
      </w:r>
    </w:p>
    <w:p w:rsidR="00A31137" w:rsidRPr="00A31137" w:rsidRDefault="00A31137" w:rsidP="00A31137">
      <w:r w:rsidRPr="00A31137">
        <w:t>1991, Barnes v. Glen Theatre, Inc., 501 U.S. 566</w:t>
      </w:r>
    </w:p>
    <w:p w:rsidR="00A31137" w:rsidRPr="00A31137" w:rsidRDefault="00A31137" w:rsidP="00A31137">
      <w:r w:rsidRPr="00A31137">
        <w:t>The "time, place, or manner" test was developed for evaluating restrictions on expression taking place on public property which had been dedicated as a "public forum," Ward v. Rock Against Racism, 491 U.S. 781,  791 (1989), although we have on at least one occasion applied it to conduct occurring on private property. See Renton v. Playtime Theatres, Inc., 475 U.S. 41 (1986). In Clark, we observed that this test has been interpreted to embody much the same standards as those set forth in United States v. O'Brien, 391 U.S. 367 (1968), and we turn, therefore, to the rule enunciated in O'Brien.</w:t>
      </w:r>
    </w:p>
    <w:p w:rsidR="00A31137" w:rsidRPr="00A31137" w:rsidRDefault="00A31137" w:rsidP="00A31137">
      <w:r w:rsidRPr="00A31137">
        <w:t>1991, Barnes v. Glen Theatre, Inc., 501 U.S. 566</w:t>
      </w:r>
    </w:p>
    <w:p w:rsidR="00A31137" w:rsidRPr="00A31137" w:rsidRDefault="00A31137" w:rsidP="00A31137">
      <w:r w:rsidRPr="00A31137">
        <w:t>O'Brien burned his draft card on the steps of the South Boston courthouse in the presence of a sizable crowd, and [501 U.S. 567] was convicted of violating a statute that prohibited the knowing destruction or mutilation of such a card. He claimed that his conviction was contrary to the First Amendment because his act was "symbolic speech"—expressive conduct. The court rejected his contention that symbolic speech is entitled to full First Amendment protection, saying:</w:t>
      </w:r>
    </w:p>
    <w:p w:rsidR="00A31137" w:rsidRPr="00A31137" w:rsidRDefault="00A31137" w:rsidP="00A31137">
      <w:r w:rsidRPr="00A31137">
        <w:t>1991, Barnes v. Glen Theatre, Inc., 501 U.S. 567</w:t>
      </w:r>
    </w:p>
    <w:p w:rsidR="00A31137" w:rsidRPr="00A31137" w:rsidRDefault="00A31137" w:rsidP="00A31137">
      <w:r w:rsidRPr="00A31137">
        <w:t>[E]ven on the assumption that the alleged communicative element in O'Brien's conduct is sufficient to bring into play the First Amendment, it does not necessarily follow that the destruction of a registration certificate is constitutionally protected activity. This Court has held that, when "speech" and "nonspeech" elements are combined in the same course of conduct, a sufficiently important governmental interest in regulating the nonspeech element can justify incidental limitations on First Amendment freedoms. To characterize the quality of the governmental interest which must appear, the Court has employed a variety of descriptive terms: compelling; substantial; subordinating; paramount; cogent; strong. 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w:t>
      </w:r>
    </w:p>
    <w:p w:rsidR="00A31137" w:rsidRPr="00A31137" w:rsidRDefault="00A31137" w:rsidP="00A31137">
      <w:r w:rsidRPr="00A31137">
        <w:t>1991, Barnes v. Glen Theatre, Inc., 501 U.S. 567</w:t>
      </w:r>
    </w:p>
    <w:p w:rsidR="00A31137" w:rsidRPr="00A31137" w:rsidRDefault="00A31137" w:rsidP="00A31137">
      <w:r w:rsidRPr="00A31137">
        <w:t>Id. at 376-377 (footnotes omitted).</w:t>
      </w:r>
    </w:p>
    <w:p w:rsidR="00A31137" w:rsidRPr="00A31137" w:rsidRDefault="00A31137" w:rsidP="00A31137">
      <w:r w:rsidRPr="00A31137">
        <w:t>1991, Barnes v. Glen Theatre, Inc., 501 U.S. 567</w:t>
      </w:r>
    </w:p>
    <w:p w:rsidR="00A31137" w:rsidRPr="00A31137" w:rsidRDefault="00A31137" w:rsidP="00A31137">
      <w:r w:rsidRPr="00A31137">
        <w:t>Applying the four-part O'Brien test enunciated above, we find that Indiana's public indecency statute is justified despite its incidental limitations on some expressive activity. The public indecency statute is clearly within the constitutional power of the State, and furthers substantial governmental interests. It is impossible to discern, other than from the text of the statute, exactly what governmental interest the Indiana legislators had in mind when they enacted [501 U.S. 568] this statute, for Indiana does not record legislative history, and the state's highest court has not shed additional light on the statute's purpose. Nonetheless, the statute's purpose of protecting societal order and morality is clear from its text and history. Public indecency statutes of this sort are of ancient origin, and presently exist in at least 47 States. Public indecency, including nudity, was a criminal offense at common law, and this Court recognized the common law roots of the offense of "gross and open indecency" in Winters v. New York, 333 U.S. 507,  515 (1948). Public nudity was considered an act malum en se. Le Roy v. Sidley, 1 Sid. 168, 82 Eng.Rep. 1036 (K.B.1664). Public indecency statutes such as the one before us reflect moral disapproval of people appearing in the nude among strangers in public places.</w:t>
      </w:r>
    </w:p>
    <w:p w:rsidR="00A31137" w:rsidRPr="00A31137" w:rsidRDefault="00A31137" w:rsidP="00A31137">
      <w:r w:rsidRPr="00A31137">
        <w:t>1991, Barnes v. Glen Theatre, Inc., 501 U.S. 568</w:t>
      </w:r>
    </w:p>
    <w:p w:rsidR="00A31137" w:rsidRPr="00A31137" w:rsidRDefault="00A31137" w:rsidP="00A31137">
      <w:r w:rsidRPr="00A31137">
        <w:t>This public indecency statute follows a long line of earlier Indiana statutes banning all public nudity. The history of Indiana's public indecency statute shows that it predates barroom nude dancing, and was enacted as a general prohibition. At least as early as 1831, Indiana had a statute punishing "open and notorious lewdness, or…any grossly scandalous and public indecency." Rev.Laws of Ind., ch. 26, § 60 (1831); Ind.Rev.Stat., ch. 53, § 81 (1834). A gap during which no statute was in effect was filled by the Indiana Supreme Court in Ardery v. State, 56 Ind. 328 (1877), which held that the court could sustain a conviction for exhibition of "privates" in the presence of others. The court traced the offense to the Bible story of Adam and Eve. Id. at 329-330. In 1881, a statute was enacted that would remain essentially unchanged for nearly a century:</w:t>
      </w:r>
    </w:p>
    <w:p w:rsidR="00A31137" w:rsidRPr="00A31137" w:rsidRDefault="00A31137" w:rsidP="00A31137">
      <w:r w:rsidRPr="00A31137">
        <w:t>1991, Barnes v. Glen Theatre, Inc., 501 U.S. 568</w:t>
      </w:r>
    </w:p>
    <w:p w:rsidR="00A31137" w:rsidRPr="00A31137" w:rsidRDefault="00A31137" w:rsidP="00A31137">
      <w:r w:rsidRPr="00A31137">
        <w:t>Whoever, being over fourteen years of age, makes an indecent exposure of his person in a public place, or in any place where there are other persons to be offended or annoyed thereby,…is guilty of public indecency….</w:t>
      </w:r>
    </w:p>
    <w:p w:rsidR="00A31137" w:rsidRPr="00A31137" w:rsidRDefault="00A31137" w:rsidP="00A31137">
      <w:r w:rsidRPr="00A31137">
        <w:t>1991, Barnes v. Glen Theatre, Inc., 501 U.S. 568</w:t>
      </w:r>
    </w:p>
    <w:p w:rsidR="00A31137" w:rsidRPr="00A31137" w:rsidRDefault="00A31137" w:rsidP="00A31137">
      <w:r w:rsidRPr="00A31137">
        <w:t>1881 Ind.Acts, ch. 37, § 90. [501 U.S. 569] The language quoted above remained unchanged until it was simultaneously repealed and replaced with the present statute in 1976. 1976 Ind.Acts, Pub.L. 148, Art. 45, ch. 4, § 1. 2</w:t>
      </w:r>
    </w:p>
    <w:p w:rsidR="00A31137" w:rsidRPr="00A31137" w:rsidRDefault="00A31137" w:rsidP="00A31137">
      <w:r w:rsidRPr="00A31137">
        <w:t>1991, Barnes v. Glen Theatre, Inc., 501 U.S. 569</w:t>
      </w:r>
    </w:p>
    <w:p w:rsidR="00A31137" w:rsidRPr="00A31137" w:rsidRDefault="00A31137" w:rsidP="00A31137">
      <w:r w:rsidRPr="00A31137">
        <w:t>This and other public indecency statutes were designed to protect morals and public order. The traditional police power of the States is defined as the authority to provide for the public health, safety, and morals, and we have upheld such a basis for legislation. In Paris Adult Theatre I v. Slaton, 413 U.S. 49,  61 (1973), we said:</w:t>
      </w:r>
    </w:p>
    <w:p w:rsidR="00A31137" w:rsidRPr="00A31137" w:rsidRDefault="00A31137" w:rsidP="00A31137">
      <w:r w:rsidRPr="00A31137">
        <w:t>1991, Barnes v. Glen Theatre, Inc., 501 U.S. 569</w:t>
      </w:r>
    </w:p>
    <w:p w:rsidR="00A31137" w:rsidRPr="00A31137" w:rsidRDefault="00A31137" w:rsidP="00A31137">
      <w:r w:rsidRPr="00A31137">
        <w:t>In deciding Roth [v. United States, 354 U.S. 476 (1957)], this Court implicitly accepted that a legislature could legitimately act on such a conclusion to protect "the social interest in order and morality." [Id.] at  485.</w:t>
      </w:r>
    </w:p>
    <w:p w:rsidR="00A31137" w:rsidRPr="00A31137" w:rsidRDefault="00A31137" w:rsidP="00A31137">
      <w:r w:rsidRPr="00A31137">
        <w:t>1991, Barnes v. Glen Theatre, Inc., 501 U.S. 569</w:t>
      </w:r>
    </w:p>
    <w:p w:rsidR="00A31137" w:rsidRPr="00A31137" w:rsidRDefault="00A31137" w:rsidP="00A31137">
      <w:r w:rsidRPr="00A31137">
        <w:t>(Emphasis omitted.) And in Bowers v. Hardwick, 478 U.S. 186,  196 (1986), we said:</w:t>
      </w:r>
    </w:p>
    <w:p w:rsidR="00A31137" w:rsidRPr="00A31137" w:rsidRDefault="00A31137" w:rsidP="00A31137">
      <w:r w:rsidRPr="00A31137">
        <w:t>1991, Barnes v. Glen Theatre, Inc., 501 U.S. 569</w:t>
      </w:r>
    </w:p>
    <w:p w:rsidR="00A31137" w:rsidRPr="00A31137" w:rsidRDefault="00A31137" w:rsidP="00A31137">
      <w:r w:rsidRPr="00A31137">
        <w:t>The law, however, is constantly based on notions of morality, and if all laws representing essentially moral choices are to be invalidated under the Due Process Clause, the courts will be very busy indeed.</w:t>
      </w:r>
    </w:p>
    <w:p w:rsidR="00A31137" w:rsidRPr="00A31137" w:rsidRDefault="00A31137" w:rsidP="00A31137">
      <w:r w:rsidRPr="00A31137">
        <w:t>1991, Barnes v. Glen Theatre, Inc., 501 U.S. 569</w:t>
      </w:r>
    </w:p>
    <w:p w:rsidR="00A31137" w:rsidRPr="00A31137" w:rsidRDefault="00A31137" w:rsidP="00A31137">
      <w:r w:rsidRPr="00A31137">
        <w:t xml:space="preserve">Thus, the public indecency statute furthers a substantial government interest in protecting order and morality. [501 U.S. 570] </w:t>
      </w:r>
    </w:p>
    <w:p w:rsidR="00A31137" w:rsidRPr="00A31137" w:rsidRDefault="00A31137" w:rsidP="00A31137">
      <w:r w:rsidRPr="00A31137">
        <w:t>1991, Barnes v. Glen Theatre, Inc., 501 U.S. 570</w:t>
      </w:r>
    </w:p>
    <w:p w:rsidR="00A31137" w:rsidRPr="00A31137" w:rsidRDefault="00A31137" w:rsidP="00A31137">
      <w:r w:rsidRPr="00A31137">
        <w:t>This interest is unrelated to the suppression of free expression. Some may view restricting nudity on moral grounds as necessarily related to expression. We disagree. It can be argued, of course, that almost limitless types of conduct—including appearing in the nude in public—are "expressive," and in one sense of the word this is true. People who go about in the nude in public may be expressing something about themselves by so doing. But the court rejected this expansive notion of "expressive conduct" in O'Brien, saying:</w:t>
      </w:r>
    </w:p>
    <w:p w:rsidR="00A31137" w:rsidRPr="00A31137" w:rsidRDefault="00A31137" w:rsidP="00A31137">
      <w:r w:rsidRPr="00A31137">
        <w:t>1991, Barnes v. Glen Theatre, Inc., 501 U.S. 570</w:t>
      </w:r>
    </w:p>
    <w:p w:rsidR="00A31137" w:rsidRPr="00A31137" w:rsidRDefault="00A31137" w:rsidP="00A31137">
      <w:r w:rsidRPr="00A31137">
        <w:t>We cannot accept the view that an apparently limitless variety of conduct can be labelled "speech" whenever the person engaging in the conduct intends thereby to express an idea.</w:t>
      </w:r>
    </w:p>
    <w:p w:rsidR="00A31137" w:rsidRPr="00A31137" w:rsidRDefault="00A31137" w:rsidP="00A31137">
      <w:r w:rsidRPr="00A31137">
        <w:t>1991, Barnes v. Glen Theatre, Inc., 501 U.S. 570</w:t>
      </w:r>
    </w:p>
    <w:p w:rsidR="00A31137" w:rsidRPr="00A31137" w:rsidRDefault="00A31137" w:rsidP="00A31137">
      <w:r w:rsidRPr="00A31137">
        <w:t>391 U.S. at  376.</w:t>
      </w:r>
    </w:p>
    <w:p w:rsidR="00A31137" w:rsidRPr="00A31137" w:rsidRDefault="00A31137" w:rsidP="00A31137">
      <w:r w:rsidRPr="00A31137">
        <w:t>1991, Barnes v. Glen Theatre, Inc., 501 U.S. 570</w:t>
      </w:r>
    </w:p>
    <w:p w:rsidR="00A31137" w:rsidRPr="00A31137" w:rsidRDefault="00A31137" w:rsidP="00A31137">
      <w:r w:rsidRPr="00A31137">
        <w:t>And in Dallas v. Stanglin, 490 U.S. 19, we further observed:</w:t>
      </w:r>
    </w:p>
    <w:p w:rsidR="00A31137" w:rsidRPr="00A31137" w:rsidRDefault="00A31137" w:rsidP="00A31137">
      <w:r w:rsidRPr="00A31137">
        <w:t>1991, Barnes v. Glen Theatre, Inc., 501 U.S. 570</w:t>
      </w:r>
    </w:p>
    <w:p w:rsidR="00A31137" w:rsidRPr="00A31137" w:rsidRDefault="00A31137" w:rsidP="00A31137">
      <w:r w:rsidRPr="00A31137">
        <w:t>It is possible to find some kernel of expression in almost every activity a person undertakes—for example, walking down the street or meeting one's friends at a shopping mall—but such a kernel is not sufficient to bring the activity within the protection of the First Amendment. We think the activity of these dance-hall patrons coming together to engage in recreational dancing—is not protected by the First Amendment.</w:t>
      </w:r>
    </w:p>
    <w:p w:rsidR="00A31137" w:rsidRPr="00A31137" w:rsidRDefault="00A31137" w:rsidP="00A31137">
      <w:r w:rsidRPr="00A31137">
        <w:t>1991, Barnes v. Glen Theatre, Inc., 501 U.S. 570</w:t>
      </w:r>
    </w:p>
    <w:p w:rsidR="00A31137" w:rsidRPr="00A31137" w:rsidRDefault="00A31137" w:rsidP="00A31137">
      <w:r w:rsidRPr="00A31137">
        <w:t>490 U.S. 19, 25.</w:t>
      </w:r>
    </w:p>
    <w:p w:rsidR="00A31137" w:rsidRPr="00A31137" w:rsidRDefault="00A31137" w:rsidP="00A31137">
      <w:r w:rsidRPr="00A31137">
        <w:t>1991, Barnes v. Glen Theatre, Inc., 501 U.S. 570</w:t>
      </w:r>
    </w:p>
    <w:p w:rsidR="00A31137" w:rsidRPr="00A31137" w:rsidRDefault="00A31137" w:rsidP="00A31137">
      <w:r w:rsidRPr="00A31137">
        <w:t>Respondents contend that, even though prohibiting nudity in public generally may not be related to suppressing expression, prohibiting the performance of nude dancing is related to expression because the state seeks to prevent its erotic message. Therefore, they reason that the application of the Indiana statute to the nude dancing in this case violates the First Amendment, because it fails the third part of the O'Brien test, viz: the governmental interest must be unrelated to the suppression of free expression.</w:t>
      </w:r>
    </w:p>
    <w:p w:rsidR="00A31137" w:rsidRPr="00A31137" w:rsidRDefault="00A31137" w:rsidP="00A31137">
      <w:r w:rsidRPr="00A31137">
        <w:t>1991, Barnes v. Glen Theatre, Inc., 501 U.S. 570</w:t>
      </w:r>
    </w:p>
    <w:p w:rsidR="00A31137" w:rsidRPr="00A31137" w:rsidRDefault="00A31137" w:rsidP="00A31137">
      <w:r w:rsidRPr="00A31137">
        <w:t>But we do not think that, when Indiana applies its statute to the nude dancing in these nightclubs it is proscribing nudity because of the erotic message conveyed by the dancers. [501 U.S. 571] Presumably numerous other erotic performances are presented at these establishments and similar clubs without any interference from the state, so long as the performers wear a scant amount of clothing. Likewise, the requirement that the dancers don pasties and a G-string does not deprive the dance of whatever erotic message it conveys; it simply makes the message slightly less graphic. The perceived evil that Indiana seeks to address is not erotic dancing, but public nudity. The appearance of people of all shapes, sizes and ages in the nude at a beach, for example, would convey little if any erotic message, yet the state still seeks to prevent it. Public nudity is the evil the state seeks to prevent, whether or not it is combined with expressive activity.</w:t>
      </w:r>
    </w:p>
    <w:p w:rsidR="00A31137" w:rsidRPr="00A31137" w:rsidRDefault="00A31137" w:rsidP="00A31137">
      <w:r w:rsidRPr="00A31137">
        <w:t>1991, Barnes v. Glen Theatre, Inc., 501 U.S. 571</w:t>
      </w:r>
    </w:p>
    <w:p w:rsidR="00A31137" w:rsidRPr="00A31137" w:rsidRDefault="00A31137" w:rsidP="00A31137">
      <w:r w:rsidRPr="00A31137">
        <w:t>This conclusion is buttressed by a reference to the facts of O'Brien. An act of Congress provided that anyone who knowingly destroyed a selective service registration certificate committed an offense. O'Brien burned his certificate on the steps of the South Boston Courthouse to influence others to adopt his anti-war beliefs. This Court upheld his conviction, reasoning that the continued availability of issued certificates served a legitimate and substantial purpose in the administration of the selective service system. O'Brien's deliberate destruction of his certificate frustrated this purpose and "for this noncommunicative aspect of his conduct, and for nothing else, he was convicted." 391 U.S. at  382. It was assumed that O'Brien's act in burning the certificate had a communicative element in it sufficient to bring into play the First Amendment, 391 U.S. at  382, but it was for the noncommunicative element that he was prosecuted. So here with the Indiana statute; while the dancing to which it was applied had a communicative element, it was not the dancing that was prohibited, but simply its being done in the nude.</w:t>
      </w:r>
    </w:p>
    <w:p w:rsidR="00A31137" w:rsidRPr="00A31137" w:rsidRDefault="00A31137" w:rsidP="00A31137">
      <w:r w:rsidRPr="00A31137">
        <w:t>1991, Barnes v. Glen Theatre, Inc., 501 U.S. 571</w:t>
      </w:r>
    </w:p>
    <w:p w:rsidR="00A31137" w:rsidRPr="00A31137" w:rsidRDefault="00A31137" w:rsidP="00A31137">
      <w:r w:rsidRPr="00A31137">
        <w:t>The fourth part of the O'Brien test requires that the incidental restriction on First Amendment freedom be no greater than is essential to the furtherance of the governmental interest. As indicated in the discussion above, [501 U.S. 572] the governmental interest served by the text of the prohibition is societal disapproval of nudity in public places and among strangers. The statutory prohibition is not a means to some greater end, but an end in itself. It is without cavil that the public indecency statute is "narrowly tailored;" Indiana's requirement that the dancers wear at least pasties and a G-string is modest, and the bare minimum necessary to achieve the state's purpose.</w:t>
      </w:r>
    </w:p>
    <w:p w:rsidR="00A31137" w:rsidRPr="00A31137" w:rsidRDefault="00A31137" w:rsidP="00A31137">
      <w:r w:rsidRPr="00A31137">
        <w:t>1991, Barnes v. Glen Theatre, Inc., 501 U.S. 572</w:t>
      </w:r>
    </w:p>
    <w:p w:rsidR="00A31137" w:rsidRPr="00A31137" w:rsidRDefault="00A31137" w:rsidP="00A31137">
      <w:r w:rsidRPr="00A31137">
        <w:t>The judgment of the Court of Appeals accordingly is</w:t>
      </w:r>
    </w:p>
    <w:p w:rsidR="00A31137" w:rsidRPr="00A31137" w:rsidRDefault="00A31137" w:rsidP="00A31137">
      <w:r w:rsidRPr="00A31137">
        <w:t>1991, Barnes v. Glen Theatre, Inc., 501 U.S. 572</w:t>
      </w:r>
    </w:p>
    <w:p w:rsidR="00A31137" w:rsidRPr="00A31137" w:rsidRDefault="00A31137" w:rsidP="00A31137">
      <w:r w:rsidRPr="00A31137">
        <w:t>Reversed.</w:t>
      </w:r>
    </w:p>
    <w:p w:rsidR="00A31137" w:rsidRPr="00A31137" w:rsidRDefault="00A31137" w:rsidP="00A31137">
      <w:r w:rsidRPr="00A31137">
        <w:t>SCALIA, J., concurring</w:t>
      </w:r>
    </w:p>
    <w:p w:rsidR="00A31137" w:rsidRPr="00A31137" w:rsidRDefault="00A31137" w:rsidP="00A31137">
      <w:r w:rsidRPr="00A31137">
        <w:t>1991, Barnes v. Glen Theatre, Inc., 501 U.S. 572</w:t>
      </w:r>
    </w:p>
    <w:p w:rsidR="00A31137" w:rsidRPr="00A31137" w:rsidRDefault="00A31137" w:rsidP="00A31137">
      <w:r w:rsidRPr="00A31137">
        <w:t>JUSTICE SCALIA, concurring in the judgment.</w:t>
      </w:r>
    </w:p>
    <w:p w:rsidR="00A31137" w:rsidRPr="00A31137" w:rsidRDefault="00A31137" w:rsidP="00A31137">
      <w:r w:rsidRPr="00A31137">
        <w:t>1991, Barnes v. Glen Theatre, Inc., 501 U.S. 572</w:t>
      </w:r>
    </w:p>
    <w:p w:rsidR="00A31137" w:rsidRPr="00A31137" w:rsidRDefault="00A31137" w:rsidP="00A31137">
      <w:r w:rsidRPr="00A31137">
        <w:t>I agree that the judgment of the Court of Appeals must be reversed. In my view, however, the challenged regulation must be upheld, not because it survives some lower level of First-Amendment scrutiny, but because, as a general law regulating conduct and not specifically directed at expression, it is not subject to First-Amendment scrutiny at all.</w:t>
      </w:r>
    </w:p>
    <w:p w:rsidR="00A31137" w:rsidRPr="00A31137" w:rsidRDefault="00A31137" w:rsidP="00A31137">
      <w:r w:rsidRPr="00A31137">
        <w:t>I</w:t>
      </w:r>
    </w:p>
    <w:p w:rsidR="00A31137" w:rsidRPr="00A31137" w:rsidRDefault="00A31137" w:rsidP="00A31137">
      <w:r w:rsidRPr="00A31137">
        <w:t>1991, Barnes v. Glen Theatre, Inc., 501 U.S. 572</w:t>
      </w:r>
    </w:p>
    <w:p w:rsidR="00A31137" w:rsidRPr="00A31137" w:rsidRDefault="00A31137" w:rsidP="00A31137">
      <w:r w:rsidRPr="00A31137">
        <w:t>Indiana's public indecency statute provides:</w:t>
      </w:r>
    </w:p>
    <w:p w:rsidR="00A31137" w:rsidRPr="00A31137" w:rsidRDefault="00A31137" w:rsidP="00A31137">
      <w:r w:rsidRPr="00A31137">
        <w:t>1991, Barnes v. Glen Theatre, Inc., 501 U.S. 572</w:t>
      </w:r>
    </w:p>
    <w:p w:rsidR="00A31137" w:rsidRPr="00A31137" w:rsidRDefault="00A31137" w:rsidP="00A31137">
      <w:r w:rsidRPr="00A31137">
        <w:t>(a) A person who knowingly or intentionally, in a public place:</w:t>
      </w:r>
    </w:p>
    <w:p w:rsidR="00A31137" w:rsidRPr="00A31137" w:rsidRDefault="00A31137" w:rsidP="00A31137">
      <w:r w:rsidRPr="00A31137">
        <w:t>1991, Barnes v. Glen Theatre, Inc., 501 U.S. 572</w:t>
      </w:r>
    </w:p>
    <w:p w:rsidR="00A31137" w:rsidRPr="00A31137" w:rsidRDefault="00A31137" w:rsidP="00A31137">
      <w:r w:rsidRPr="00A31137">
        <w:t>(1) engages in sexual intercourse;</w:t>
      </w:r>
    </w:p>
    <w:p w:rsidR="00A31137" w:rsidRPr="00A31137" w:rsidRDefault="00A31137" w:rsidP="00A31137">
      <w:r w:rsidRPr="00A31137">
        <w:t>1991, Barnes v. Glen Theatre, Inc., 501 U.S. 572</w:t>
      </w:r>
    </w:p>
    <w:p w:rsidR="00A31137" w:rsidRPr="00A31137" w:rsidRDefault="00A31137" w:rsidP="00A31137">
      <w:r w:rsidRPr="00A31137">
        <w:t>(2) engages in deviate sexual conduct;</w:t>
      </w:r>
    </w:p>
    <w:p w:rsidR="00A31137" w:rsidRPr="00A31137" w:rsidRDefault="00A31137" w:rsidP="00A31137">
      <w:r w:rsidRPr="00A31137">
        <w:t>1991, Barnes v. Glen Theatre, Inc., 501 U.S. 572</w:t>
      </w:r>
    </w:p>
    <w:p w:rsidR="00A31137" w:rsidRPr="00A31137" w:rsidRDefault="00A31137" w:rsidP="00A31137">
      <w:r w:rsidRPr="00A31137">
        <w:t>(3) appears in a state of nudity; or</w:t>
      </w:r>
    </w:p>
    <w:p w:rsidR="00A31137" w:rsidRPr="00A31137" w:rsidRDefault="00A31137" w:rsidP="00A31137">
      <w:r w:rsidRPr="00A31137">
        <w:t>1991, Barnes v. Glen Theatre, Inc., 501 U.S. 572</w:t>
      </w:r>
    </w:p>
    <w:p w:rsidR="00A31137" w:rsidRPr="00A31137" w:rsidRDefault="00A31137" w:rsidP="00A31137">
      <w:r w:rsidRPr="00A31137">
        <w:t>(4) fondles the genitals of himself or another person;</w:t>
      </w:r>
    </w:p>
    <w:p w:rsidR="00A31137" w:rsidRPr="00A31137" w:rsidRDefault="00A31137" w:rsidP="00A31137">
      <w:r w:rsidRPr="00A31137">
        <w:t>1991, Barnes v. Glen Theatre, Inc., 501 U.S. 572</w:t>
      </w:r>
    </w:p>
    <w:p w:rsidR="00A31137" w:rsidRPr="00A31137" w:rsidRDefault="00A31137" w:rsidP="00A31137">
      <w:r w:rsidRPr="00A31137">
        <w:t>commits public indecency, a Class A misdemeanor.</w:t>
      </w:r>
    </w:p>
    <w:p w:rsidR="00A31137" w:rsidRPr="00A31137" w:rsidRDefault="00A31137" w:rsidP="00A31137">
      <w:r w:rsidRPr="00A31137">
        <w:t>1991, Barnes v. Glen Theatre, Inc., 501 U.S. 572</w:t>
      </w:r>
    </w:p>
    <w:p w:rsidR="00A31137" w:rsidRPr="00A31137" w:rsidRDefault="00A31137" w:rsidP="00A31137">
      <w:r w:rsidRPr="00A31137">
        <w:t>(b) "Nudity" means the showing of the human male or female genitals, pubic area, or buttocks with less than a fully opaque covering, the showing of the female breast with less than a fully opaque covering of any part of the nipple, or the showing of covered male genitals in a discernibly turgid state.</w:t>
      </w:r>
    </w:p>
    <w:p w:rsidR="00A31137" w:rsidRPr="00A31137" w:rsidRDefault="00A31137" w:rsidP="00A31137">
      <w:r w:rsidRPr="00A31137">
        <w:t>1991, Barnes v. Glen Theatre, Inc., 501 U.S. 572</w:t>
      </w:r>
    </w:p>
    <w:p w:rsidR="00A31137" w:rsidRPr="00A31137" w:rsidRDefault="00A31137" w:rsidP="00A31137">
      <w:r w:rsidRPr="00A31137">
        <w:t>Ind.Code § 35-45-4-1 (1988). On its face, this law is not directed at expression in particular. As Judge Easterbrook put it in his dissent below:</w:t>
      </w:r>
    </w:p>
    <w:p w:rsidR="00A31137" w:rsidRPr="00A31137" w:rsidRDefault="00A31137" w:rsidP="00A31137">
      <w:r w:rsidRPr="00A31137">
        <w:t>1991, Barnes v. Glen Theatre, Inc., 501 U.S. 572</w:t>
      </w:r>
    </w:p>
    <w:p w:rsidR="00A31137" w:rsidRPr="00A31137" w:rsidRDefault="00A31137" w:rsidP="00A31137">
      <w:r w:rsidRPr="00A31137">
        <w:t>Indiana [501 U.S. 573] does not regulate dancing. It regulates public nudity…. Almost the entire domain of Indiana's statute is unrelated to expression, unless we view nude beaches and topless hot dog vendors as speech.</w:t>
      </w:r>
    </w:p>
    <w:p w:rsidR="00A31137" w:rsidRPr="00A31137" w:rsidRDefault="00A31137" w:rsidP="00A31137">
      <w:r w:rsidRPr="00A31137">
        <w:t>1991, Barnes v. Glen Theatre, Inc., 501 U.S. 573</w:t>
      </w:r>
    </w:p>
    <w:p w:rsidR="00A31137" w:rsidRPr="00A31137" w:rsidRDefault="00A31137" w:rsidP="00A31137">
      <w:r w:rsidRPr="00A31137">
        <w:t>Miller v. Civil City of South Bend, 904 F.2d 1081, 1120 (CA7 1990) (Easterbrook, J., dissenting). The intent to convey a "message of eroticism" (or any other message) is not a necessary element of the statutory offense of public indecency; nor does one commit that statutory offense by conveying the most explicit "message of eroticism," so long as he does not commit any of the four specified acts in the process. 1</w:t>
      </w:r>
    </w:p>
    <w:p w:rsidR="00A31137" w:rsidRPr="00A31137" w:rsidRDefault="00A31137" w:rsidP="00A31137">
      <w:r w:rsidRPr="00A31137">
        <w:t>1991, Barnes v. Glen Theatre, Inc., 501 U.S. 573</w:t>
      </w:r>
    </w:p>
    <w:p w:rsidR="00A31137" w:rsidRPr="00A31137" w:rsidRDefault="00A31137" w:rsidP="00A31137">
      <w:r w:rsidRPr="00A31137">
        <w:t>Indiana's statute is in the line of a long tradition of laws against public nudity, which have never been thought to run afoul of traditional understanding of "the freedom of speech." Public indecency—including public nudity—has long been an offense at common law. See 50 Am.Jur.2d 449, 472-474 (1970); 93 A.L.R. 996, 997-998 (1934); Winters v. New York, 333 U.S. 507,  515 (1948). Indiana's first public nudity statute, Rev.Laws of Indiana, ch. 26, § 60 (1831), predated by many years the appearance of nude barroom dancing. It was general in scope, directed at all public nudity, and not just at public nude expression; and all succeeding statutes, down to [501 U.S. 574] the present one, have been the same. Were it the case that Indiana in practice targeted only expressive nudity, while turning a blind eye to nude beaches and unclothed purveyors of hot dogs and machine tools, see Miller, 904 F.2d at 1120, 1121, it might be said that what posed as a regulation of conduct in general was in reality a regulation of only communicative conduct. Respondents have adduced no evidence of that. Indiana officials have brought many public indecency prosecutions for activities having no communicative element. See Bond v. State, 515 N.E.2d 856, 857 (Ind.1987); In re Levinson, 444 N.E.2d 1175, 1176 (Ind.1983); Preston v. State, 259 Ind. 353, 354-355, 287 N.E.2d 347, 348 (1972); Thomas v. State, 238 Ind. 658, 659-660, 154 N.E.2d 503, 504-505 (1958); Blanton v. State, 533 N.E.2d 190, 191 (Ind.App.1989); Sweeney v. State, 486 N.E.2d 651, 652 (Ind.App.1985); Thompson v. State, 482 N.E.2d 1372, 1373-1374 (Ind.App.1985); Adims v. State, 461 N.E.2d 740, 741-742 (Ind.App.1984); State v. Elliott, 435 N.E.2d 302, 304 (Ind.App.1982); Lasko v. State, 409 N.E.2d 1124, 1126 (Ind.App.1980). 2</w:t>
      </w:r>
    </w:p>
    <w:p w:rsidR="00A31137" w:rsidRPr="00A31137" w:rsidRDefault="00A31137" w:rsidP="00A31137">
      <w:r w:rsidRPr="00A31137">
        <w:t>1991, Barnes v. Glen Theatre, Inc., 501 U.S. 574</w:t>
      </w:r>
    </w:p>
    <w:p w:rsidR="00A31137" w:rsidRPr="00A31137" w:rsidRDefault="00A31137" w:rsidP="00A31137">
      <w:r w:rsidRPr="00A31137">
        <w:t xml:space="preserve">The dissent confidently asserts, post at 590-591, that the purpose of restricting nudity in public places in general is to protect nonconsenting parties from offense; and argues that, since only consenting, admission-paying patrons see respondents dance, that purpose cannot apply, and the only remaining purpose must relate to the communicative elements of the performance. Perhaps the dissenters believe that "offense to others" ought to be the only reason for restricting nudity in public places generally, but there is no [501 U.S. 575] basis for thinking that our society has ever shared that Thoreauvian "you may do what you like so long as it does not injure someone else" beau ideal—much less for thinking that it was written into the Constitution. The purpose of Indiana's nudity law would be violated, I think, if 60,000 fully consenting adults crowded into the Hoosierdome to display their genitals to one another, even if there were not an offended innocent in the crowd. Our society prohibits, and all human societies have prohibited, certain activities not because they harm others but because they are considered, in the traditional phrase, "contra bonos mores," i.e., immoral. In American society, such prohibitions have included, for example, sadomasochism, cockfighting, bestiality, suicide, drug use, prostitution, and sodomy. While there may be great diversity of view on whether various of these prohibitions should exist (though I have found few ready to abandon, in principle, all of them) there is no doubt that, absent specific constitutional protection for the conduct involved, the Constitution does not prohibit them simply because they regulate "morality." See Bowers v. Hardwick, 478 U.S. 186,  196 (1986) (upholding prohibition of private homosexual sodomy enacted solely on "the presumed belief of a majority of the electorate in [the jurisdiction] that homosexual sodomy is immoral and unacceptable"). See also Paris Adult Theatre I v. Slaton, 413 U.S. 49,  68, n. 15 (1973); Dronenburg v. Zech, 239 U.S.App.D.C. 229, 238, and n. 6, 741 F.2d 1388, 1397, and n. 6 (1984) (opinion of Bork, J.). The purpose of the Indiana statute, as both its text and the manner of its enforcement demonstrate, is to enforce the traditional moral belief that people should not expose their private parts indiscriminately, regardless of whether those who see them are disedified. Since that is so, the dissent has no basis for positing that, where only thoroughly edified adults are present, the purpose must be repression of communication. 3 [501 U.S. 576] </w:t>
      </w:r>
    </w:p>
    <w:p w:rsidR="00A31137" w:rsidRPr="00A31137" w:rsidRDefault="00A31137" w:rsidP="00A31137">
      <w:r w:rsidRPr="00A31137">
        <w:t>II</w:t>
      </w:r>
    </w:p>
    <w:p w:rsidR="00A31137" w:rsidRPr="00A31137" w:rsidRDefault="00A31137" w:rsidP="00A31137">
      <w:r w:rsidRPr="00A31137">
        <w:t>1991, Barnes v. Glen Theatre, Inc., 501 U.S. 576</w:t>
      </w:r>
    </w:p>
    <w:p w:rsidR="00A31137" w:rsidRPr="00A31137" w:rsidRDefault="00A31137" w:rsidP="00A31137">
      <w:r w:rsidRPr="00A31137">
        <w:t>Since the Indiana regulation is a general law not specifically targeted at expressive conduct, its application to such conduct does not, in my view, implicate the First Amendment.</w:t>
      </w:r>
    </w:p>
    <w:p w:rsidR="00A31137" w:rsidRPr="00A31137" w:rsidRDefault="00A31137" w:rsidP="00A31137">
      <w:r w:rsidRPr="00A31137">
        <w:t>1991, Barnes v. Glen Theatre, Inc., 501 U.S. 576</w:t>
      </w:r>
    </w:p>
    <w:p w:rsidR="00A31137" w:rsidRPr="00A31137" w:rsidRDefault="00A31137" w:rsidP="00A31137">
      <w:r w:rsidRPr="00A31137">
        <w:t>The First Amendment explicitly protects "the freedom of speech [and] of the press"—oral and written speech—not "expressive conduct." When any law restricts speech, even for a purpose that has nothing to do with the suppression of communication (for instance, to reduce noise, see Saia v. New York, 334 U.S. 558, 561 (1948), to regulate election campaigns, see Buckley v. Valeo, 424 U.S. 1,  16 (1976), or to prevent littering, see Schneider v. State, 308 U.S. 147,  163 (1939)), we insist that it meet the high First-Amendment standard of justification. But virtually every law restricts conduct, and virtually any prohibited conduct can be performed for an expressive purpose—if only expressive of the fact that the actor disagrees with the prohibition. See, e.g., Florida Free Beaches, Inc. v. Miami, 734 F.2d 608, 609 (1984) (nude sunbathers challenging public indecency law claimed their "message" was that nudity is not indecent). It cannot reasonably be demanded, therefore, that every restriction of expression incidentally produced by a general law regulating conduct pass normal First Amendment scrutiny, or even—as some of our cases have suggested, see e.g., United States v. O'Brien, 391 U.S. 367,  377 (1968)—that it be justified by an "important or substantial" [501 U.S. 577] government interest. Nor do our holdings require such justification: we have never invalidated the application of a general law simply because the conduct that it reached was being engaged in for expressive purposes and the government could not demonstrate a sufficiently important state interest.</w:t>
      </w:r>
    </w:p>
    <w:p w:rsidR="00A31137" w:rsidRPr="00A31137" w:rsidRDefault="00A31137" w:rsidP="00A31137">
      <w:r w:rsidRPr="00A31137">
        <w:t>1991, Barnes v. Glen Theatre, Inc., 501 U.S. 577</w:t>
      </w:r>
    </w:p>
    <w:p w:rsidR="00A31137" w:rsidRPr="00A31137" w:rsidRDefault="00A31137" w:rsidP="00A31137">
      <w:r w:rsidRPr="00A31137">
        <w:t>This is not to say that the First Amendment affords no protection to expressive conduct. Where the government prohibits conduct precisely because of its communicative attributes, we hold the regulation unconstitutional. See, e.g., United States v. Eichman, 496 U.S. 310 (1990) (burning flag); Texas v. Johnson, 491 U.S. 397 (1989) (same); Spence v. Washington, 418 U.S. 405 (1974) (defacing flag); Tinker v. Des Moines Independent Community School District, 393 U.S. 503 (1969) (wearing black arm bands); Brown v. Louisiana, 383 U.S. 131 (1966) (participating in silent sit-in); Stromberg v. California, 283 U.S. 359 (1931) (flying a red flag). 4 In each of the foregoing cases, we explicitly found that suppressing communication was the object of the regulation of conduct. Where that has not been the case, however—where suppression of communicative use of the conduct was merely the incidental effect of forbidding the conduct for other reasons—we have allowed the regulation to stand. O'Brien, 391 U.S. at  377 (law banning destruction of draft card upheld in application against card-burning to protest [501 U.S. 578] war); FTC v. Superior Court Trial Lawyers Assn., 493 U.S. 411 (1990) (Sherman Act upheld in application against restraint of trade to protest low pay); cf. United States v. Albertini, 472 U.S. 675, 687-688 (1985) (rule barring petitioner from military base upheld in application against entrance on base to protest war); Clark v. Community for Creative Non-Violence, 468 U.S. 288 (1984) (rule barring sleeping in parks upheld in application against persons engaging in such conduct to dramatize plight of homeless). As we clearly expressed the point in Johnson:</w:t>
      </w:r>
    </w:p>
    <w:p w:rsidR="00A31137" w:rsidRPr="00A31137" w:rsidRDefault="00A31137" w:rsidP="00A31137">
      <w:r w:rsidRPr="00A31137">
        <w:t>1991, Barnes v. Glen Theatre, Inc., 501 U.S. 578</w:t>
      </w:r>
    </w:p>
    <w:p w:rsidR="00A31137" w:rsidRPr="00A31137" w:rsidRDefault="00A31137" w:rsidP="00A31137">
      <w:r w:rsidRPr="00A31137">
        <w:t>The government generally has a freer hand in restricting expressive conduct than it has in restricting the written or spoken word. It may not, however, proscribe particular conduct because it has expressive elements. What might be termed the more generalized guarantee of freedom of expression makes the communicative nature of conduct an inadequate basis for singling out that conduct for proscription.</w:t>
      </w:r>
    </w:p>
    <w:p w:rsidR="00A31137" w:rsidRPr="00A31137" w:rsidRDefault="00A31137" w:rsidP="00A31137">
      <w:r w:rsidRPr="00A31137">
        <w:t>1991, Barnes v. Glen Theatre, Inc., 501 U.S. 578</w:t>
      </w:r>
    </w:p>
    <w:p w:rsidR="00A31137" w:rsidRPr="00A31137" w:rsidRDefault="00A31137" w:rsidP="00A31137">
      <w:r w:rsidRPr="00A31137">
        <w:t>491 U.S. at  406 (internal quotations and citations omitted; emphasis in original).</w:t>
      </w:r>
    </w:p>
    <w:p w:rsidR="00A31137" w:rsidRPr="00A31137" w:rsidRDefault="00A31137" w:rsidP="00A31137">
      <w:r w:rsidRPr="00A31137">
        <w:t>1991, Barnes v. Glen Theatre, Inc., 501 U.S. 578</w:t>
      </w:r>
    </w:p>
    <w:p w:rsidR="00A31137" w:rsidRPr="00A31137" w:rsidRDefault="00A31137" w:rsidP="00A31137">
      <w:r w:rsidRPr="00A31137">
        <w:t>All our holdings (though admittedly not some of our discussion) support the conclusion that</w:t>
      </w:r>
    </w:p>
    <w:p w:rsidR="00A31137" w:rsidRPr="00A31137" w:rsidRDefault="00A31137" w:rsidP="00A31137">
      <w:r w:rsidRPr="00A31137">
        <w:t>1991, Barnes v. Glen Theatre, Inc., 501 U.S. 578</w:t>
      </w:r>
    </w:p>
    <w:p w:rsidR="00A31137" w:rsidRPr="00A31137" w:rsidRDefault="00A31137" w:rsidP="00A31137">
      <w:r w:rsidRPr="00A31137">
        <w:t>the only First Amendment analysis applicable to laws that do not directly or indirectly impede speech is the threshold inquiry of whether the purpose of the law is to suppress communication. If not, that is the end of the matter so far as First Amendment guarantees are concerned; if so, the court then proceeds to determine whether there is substantial justification for the proscription.</w:t>
      </w:r>
    </w:p>
    <w:p w:rsidR="00A31137" w:rsidRPr="00A31137" w:rsidRDefault="00A31137" w:rsidP="00A31137">
      <w:r w:rsidRPr="00A31137">
        <w:t>1991, Barnes v. Glen Theatre, Inc., 501 U.S. 578</w:t>
      </w:r>
    </w:p>
    <w:p w:rsidR="00A31137" w:rsidRPr="00A31137" w:rsidRDefault="00A31137" w:rsidP="00A31137">
      <w:r w:rsidRPr="00A31137">
        <w:t>Community for Creative Non-Violence v. Watt, 227 U.S.App.D.C.19, 55-56, 703 F.2d 586, 622-623 (1983) (en banc) (Scalia, J., dissenting) (footnote omitted; emphasis omitted), rev'd, Clark v. Community for Creative Non-Violence, 468 U.S. 288 (1984). Such a regime ensures that the government does not act to suppress communication, without requiring that all conduct-restricting regulation [501 U.S. 579] (which means in effect all regulation) survive an enhanced level of scrutiny.</w:t>
      </w:r>
    </w:p>
    <w:p w:rsidR="00A31137" w:rsidRPr="00A31137" w:rsidRDefault="00A31137" w:rsidP="00A31137">
      <w:r w:rsidRPr="00A31137">
        <w:t>1991, Barnes v. Glen Theatre, Inc., 501 U.S. 579</w:t>
      </w:r>
    </w:p>
    <w:p w:rsidR="00A31137" w:rsidRPr="00A31137" w:rsidRDefault="00A31137" w:rsidP="00A31137">
      <w:r w:rsidRPr="00A31137">
        <w:t>We have explicitly adopted such a regime in another First Amendment context: that of Free Exercise. In Employment Division, Oregon Dept. of Human Resources v. Smith, 494 U.S. 872 (1990), we held that general laws not specifically targeted at religious practices did not require heightened First Amendment scrutiny even though they diminished some people's ability to practice their religion.</w:t>
      </w:r>
    </w:p>
    <w:p w:rsidR="00A31137" w:rsidRPr="00A31137" w:rsidRDefault="00A31137" w:rsidP="00A31137">
      <w:r w:rsidRPr="00A31137">
        <w:t>1991, Barnes v. Glen Theatre, Inc., 501 U.S. 579</w:t>
      </w:r>
    </w:p>
    <w:p w:rsidR="00A31137" w:rsidRPr="00A31137" w:rsidRDefault="00A31137" w:rsidP="00A31137">
      <w:r w:rsidRPr="00A31137">
        <w:t>The government's ability to enforce generally applicable prohibitions of socially harmful conduct, like its ability to carry out other aspects of public policy, "cannot depend on measuring the effects of a governmental action on a religious objector's spiritual development."</w:t>
      </w:r>
    </w:p>
    <w:p w:rsidR="00A31137" w:rsidRPr="00A31137" w:rsidRDefault="00A31137" w:rsidP="00A31137">
      <w:r w:rsidRPr="00A31137">
        <w:t>1991, Barnes v. Glen Theatre, Inc., 501 U.S. 579</w:t>
      </w:r>
    </w:p>
    <w:p w:rsidR="00A31137" w:rsidRPr="00A31137" w:rsidRDefault="00A31137" w:rsidP="00A31137">
      <w:r w:rsidRPr="00A31137">
        <w:t>Id. at  885, quoting Lyng v. Northwest Indian Cemetery Protective Assn., 485 U.S. 439,  451 (1988); see also Minersville School District v. Gobitis, 310 U.S. 586, 594-595 (1940) (Frankfurter, J.) ("Conscientious scruples have not, in the course of the long struggle for religious toleration, relieved the individual from obedience to a general law not aimed at the promotion or restriction of religious beliefs."). There is even greater reason to apply this approach to the regulation of expressive conduct. Relatively few can plausibly assert that their illegal conduct is being engaged in for religious reasons; but almost anyone can violate almost any law as a means of expression. In the one case, as in the other, if the law is not directed against the protected value (religion or expression) the law must be obeyed.</w:t>
      </w:r>
    </w:p>
    <w:p w:rsidR="00A31137" w:rsidRPr="00A31137" w:rsidRDefault="00A31137" w:rsidP="00A31137">
      <w:r w:rsidRPr="00A31137">
        <w:t>III</w:t>
      </w:r>
    </w:p>
    <w:p w:rsidR="00A31137" w:rsidRPr="00A31137" w:rsidRDefault="00A31137" w:rsidP="00A31137">
      <w:r w:rsidRPr="00A31137">
        <w:t>1991, Barnes v. Glen Theatre, Inc., 501 U.S. 579</w:t>
      </w:r>
    </w:p>
    <w:p w:rsidR="00A31137" w:rsidRPr="00A31137" w:rsidRDefault="00A31137" w:rsidP="00A31137">
      <w:r w:rsidRPr="00A31137">
        <w:t>While I do not think the plurality's conclusions differ greatly from my own, I cannot entirely endorse its reasoning. The plurality purports to apply to this general law, insofar as it regulates this allegedly expressive conduct, an intermediate level of First Amendment scrutiny: the government interest in the regulation must be "'important or substantial,'" ante at  567, quoting O'Brien, 391 U.S. at  377. As I have indicated, [501 U.S. 580] I do not believe such a heightened standard exists. I think we should avoid wherever possible, moreover, a method of analysis that requires judicial assessment of the "importance" of government interests—and especially of government interests in various aspects of morality.</w:t>
      </w:r>
    </w:p>
    <w:p w:rsidR="00A31137" w:rsidRPr="00A31137" w:rsidRDefault="00A31137" w:rsidP="00A31137">
      <w:r w:rsidRPr="00A31137">
        <w:t>1991, Barnes v. Glen Theatre, Inc., 501 U.S. 580</w:t>
      </w:r>
    </w:p>
    <w:p w:rsidR="00A31137" w:rsidRPr="00A31137" w:rsidRDefault="00A31137" w:rsidP="00A31137">
      <w:r w:rsidRPr="00A31137">
        <w:t>Neither of the cases that the plurality cites to support the "importance" of the State's interest here, see ante at  569, is in point. Paris Adult Theatre I v. Slaton, 413 U.S. at  61, and Bowers v. Hardwick, 478 U.S. at  196, did uphold laws prohibiting private conduct based on concerns of decency and morality; but neither opinion held that those concerns were particularly "important" or "substantial," or amounted to anything more than a rational basis for regulation. Slaton involved an exhibition which, since it was obscene and at least to some extent public, was unprotected by the First Amendment, see Roth v. United States, 354 U.S. 476 (1957); the State's prohibition could therefore be invalidated only if it had no rational basis. We found that the State's "right…to maintain a decent society" provided a "legitimate" basis for regulation—even as to obscene material viewed by consenting adults. 413 U.S. at 59-60. In Bowers, we held that, since homosexual behavior is not a fundamental right, a Georgia law prohibiting private homosexual intercourse needed only a rational basis in order to comply with the Due Process Clause. Moral opposition to homosexuality, we said, provided that rational basis. 478 U.S. at  196. I would uphold the Indiana statute on precisely the same ground: moral opposition to nudity supplies a rational basis for its prohibition, and since the First Amendment has no application to this case, no more than that is needed.</w:t>
      </w:r>
    </w:p>
    <w:p w:rsidR="00A31137" w:rsidRPr="00A31137" w:rsidRDefault="00A31137" w:rsidP="00A31137">
      <w:r w:rsidRPr="00A31137">
        <w:t>*    *    *    *</w:t>
      </w:r>
    </w:p>
    <w:p w:rsidR="00A31137" w:rsidRPr="00A31137" w:rsidRDefault="00A31137" w:rsidP="00A31137">
      <w:r w:rsidRPr="00A31137">
        <w:t>1991, Barnes v. Glen Theatre, Inc., 501 U.S. 580</w:t>
      </w:r>
    </w:p>
    <w:p w:rsidR="00A31137" w:rsidRPr="00A31137" w:rsidRDefault="00A31137" w:rsidP="00A31137">
      <w:r w:rsidRPr="00A31137">
        <w:t>Indiana may constitutionally enforce its prohibition of public nudity even against those who choose to use public nudity as a means of communication. The State is regulating conduct, not expression, and those who choose to employ conduct [501 U.S. 581] as a means of expression must make sure that the conduct they select is not generally forbidden. For these reasons, I agree that the judgment should be reversed.</w:t>
      </w:r>
    </w:p>
    <w:p w:rsidR="00A31137" w:rsidRPr="00A31137" w:rsidRDefault="00A31137" w:rsidP="00A31137">
      <w:r w:rsidRPr="00A31137">
        <w:t>SOUTER, J., concurring</w:t>
      </w:r>
    </w:p>
    <w:p w:rsidR="00A31137" w:rsidRPr="00A31137" w:rsidRDefault="00A31137" w:rsidP="00A31137">
      <w:r w:rsidRPr="00A31137">
        <w:t>1991, Barnes v. Glen Theatre, Inc., 501 U.S. 581</w:t>
      </w:r>
    </w:p>
    <w:p w:rsidR="00A31137" w:rsidRPr="00A31137" w:rsidRDefault="00A31137" w:rsidP="00A31137">
      <w:r w:rsidRPr="00A31137">
        <w:t>JUSTICE SOUTER, concurring in the judgment.</w:t>
      </w:r>
    </w:p>
    <w:p w:rsidR="00A31137" w:rsidRPr="00A31137" w:rsidRDefault="00A31137" w:rsidP="00A31137">
      <w:r w:rsidRPr="00A31137">
        <w:t>1991, Barnes v. Glen Theatre, Inc., 501 U.S. 581</w:t>
      </w:r>
    </w:p>
    <w:p w:rsidR="00A31137" w:rsidRPr="00A31137" w:rsidRDefault="00A31137" w:rsidP="00A31137">
      <w:r w:rsidRPr="00A31137">
        <w:t>Not all dancing is entitled to First Amendment protection as expressive activity. This Court has previously categorized ballroom dancing as beyond the Amendment's protection, Dallas v. Stanglin, 490 U.S. 19, 24-25 (1989), and dancing as aerobic exercise would likewise be outside the First Amendment's concern. But dancing as a performance directed to an actual or hypothetical audience gives expression at least to generalized emotion or feeling, and where the dancer is nude or nearly so, the feeling expressed, in the absence of some contrary clue, is eroticism, carrying an endorsement of erotic experience. Such is the expressive content of the dances described in the record.</w:t>
      </w:r>
    </w:p>
    <w:p w:rsidR="00A31137" w:rsidRPr="00A31137" w:rsidRDefault="00A31137" w:rsidP="00A31137">
      <w:r w:rsidRPr="00A31137">
        <w:t>1991, Barnes v. Glen Theatre, Inc., 501 U.S. 581</w:t>
      </w:r>
    </w:p>
    <w:p w:rsidR="00A31137" w:rsidRPr="00A31137" w:rsidRDefault="00A31137" w:rsidP="00A31137">
      <w:r w:rsidRPr="00A31137">
        <w:t xml:space="preserve">Although such performance dancing is inherently expressive, nudity per se is not. It is a condition, not an activity, and the voluntary assumption of that condition, without more, apparently expresses nothing beyond the view that the condition is somehow appropriate to the circumstances. But every voluntary act implies some such idea, and the implication is thus so common and minimal that calling all voluntary activity expressive would reduce the concept of expression to the point of the meaningless. A search for some expression beyond the minimal in the choice to go nude will often yield nothing: a person may choose nudity, for example, for maximum sunbathing. But when nudity is combined with expressive activity, its stimulative and attractive value certainly can enhance the force of expression, and a dancer's acts in going from clothed to nude, as in a strip-tease, are integrated into the dance and its expressive function. Thus, I agree with the plurality and the dissent that an interest in freely engaging in the nude dancing at issue here is subject to a degree of First Amendment protection. [501 U.S. 582] </w:t>
      </w:r>
    </w:p>
    <w:p w:rsidR="00A31137" w:rsidRPr="00A31137" w:rsidRDefault="00A31137" w:rsidP="00A31137">
      <w:r w:rsidRPr="00A31137">
        <w:t>1991, Barnes v. Glen Theatre, Inc., 501 U.S. 582</w:t>
      </w:r>
    </w:p>
    <w:p w:rsidR="00A31137" w:rsidRPr="00A31137" w:rsidRDefault="00A31137" w:rsidP="00A31137">
      <w:r w:rsidRPr="00A31137">
        <w:t>I also agree with the plurality that the appropriate analysis to determine the actual protection required by the First Amendment is the four-part enquiry described in United States v. O'Brien, 391 U.S. 367 (1968), for judging the limits of appropriate state action burdening expressive acts as distinct from pure speech or representation. I nonetheless write separately to rest my concurrence in the judgment, not on the possible sufficiency of society's moral views to justify the limitations at issue, but on the State's substantial interest in combating the secondary effects of adult entertainment establishments of the sort typified by respondents' establishments.</w:t>
      </w:r>
    </w:p>
    <w:p w:rsidR="00A31137" w:rsidRPr="00A31137" w:rsidRDefault="00A31137" w:rsidP="00A31137">
      <w:r w:rsidRPr="00A31137">
        <w:t>1991, Barnes v. Glen Theatre, Inc., 501 U.S. 582</w:t>
      </w:r>
    </w:p>
    <w:p w:rsidR="00A31137" w:rsidRPr="00A31137" w:rsidRDefault="00A31137" w:rsidP="00A31137">
      <w:r w:rsidRPr="00A31137">
        <w:t>It is, of course, true that this justification has not been articulated by Indiana's legislature or by its courts. As the plurality observes, "Indiana does not record legislative history, and the state's highest court has not shed additional light on the statute's purpose," ante at  568. While it is certainly sound in such circumstances to infer general purposes "of protecting societal order and morality…from [the statute's] text and history," ibid., I think that we need not so limit ourselves in identifying the justification for the legislation at issue here, and may legitimately consider petitioners' assertion that the statute is applied to nude dancing because such dancing "encourag[es] prostitution, increas[es] sexual assaults, and attract[s] other criminal activity." Brief for Petitioners 37.</w:t>
      </w:r>
    </w:p>
    <w:p w:rsidR="00A31137" w:rsidRPr="00A31137" w:rsidRDefault="00A31137" w:rsidP="00A31137">
      <w:r w:rsidRPr="00A31137">
        <w:t>1991, Barnes v. Glen Theatre, Inc., 501 U.S. 582</w:t>
      </w:r>
    </w:p>
    <w:p w:rsidR="00A31137" w:rsidRPr="00A31137" w:rsidRDefault="00A31137" w:rsidP="00A31137">
      <w:r w:rsidRPr="00A31137">
        <w:t>This asserted justification for the statute may not be ignored merely because it is unclear to what extent this purpose motivated the Indiana Legislature in enacting the statute. Our appropriate focus is not an empirical enquiry into the actual intent of the enacting legislature, but rather the existence or not of a current governmental interest in the service of which the challenged application of the statute may be constitutional. Cf. McGowan v. Maryland, 366 U.S. 420 [501 U.S. 583] (1961). At least as to the regulation of expressive conduct, 1</w:t>
      </w:r>
    </w:p>
    <w:p w:rsidR="00A31137" w:rsidRPr="00A31137" w:rsidRDefault="00A31137" w:rsidP="00A31137">
      <w:r w:rsidRPr="00A31137">
        <w:t>1991, Barnes v. Glen Theatre, Inc., 501 U.S. 583</w:t>
      </w:r>
    </w:p>
    <w:p w:rsidR="00A31137" w:rsidRPr="00A31137" w:rsidRDefault="00A31137" w:rsidP="00A31137">
      <w:r w:rsidRPr="00A31137">
        <w:t>[w]e decline to void [a statute] essentially on the ground that it is unwise legislation which [the legislature] had the undoubted power to enact and which could be reenacted in its exact form if the same or another legislator made a "wiser" speech about it.</w:t>
      </w:r>
    </w:p>
    <w:p w:rsidR="00A31137" w:rsidRPr="00A31137" w:rsidRDefault="00A31137" w:rsidP="00A31137">
      <w:r w:rsidRPr="00A31137">
        <w:t>1991, Barnes v. Glen Theatre, Inc., 501 U.S. 583</w:t>
      </w:r>
    </w:p>
    <w:p w:rsidR="00A31137" w:rsidRPr="00A31137" w:rsidRDefault="00A31137" w:rsidP="00A31137">
      <w:r w:rsidRPr="00A31137">
        <w:t>O'Brien, supra, 391 U.S. at  384. In my view, the interest asserted by petitioners in preventing prostitution, sexual assault, and other criminal activity, although presumably not a justification for all applications of the statute, is sufficient under O'Brien to justify the State's enforcement of the statute against the type of adult entertainment at issue here.</w:t>
      </w:r>
    </w:p>
    <w:p w:rsidR="00A31137" w:rsidRPr="00A31137" w:rsidRDefault="00A31137" w:rsidP="00A31137">
      <w:r w:rsidRPr="00A31137">
        <w:t>1991, Barnes v. Glen Theatre, Inc., 501 U.S. 583</w:t>
      </w:r>
    </w:p>
    <w:p w:rsidR="00A31137" w:rsidRPr="00A31137" w:rsidRDefault="00A31137" w:rsidP="00A31137">
      <w:r w:rsidRPr="00A31137">
        <w:t>At the outset, it is clear that the prevention of such evils falls within the constitutional power of the State, which satisfies the first O'Brien criterion. See id. at  377. The second O'Brien prong asks whether the regulation "furthers an important or substantial governmental interest." Ibid. The asserted state interest is plainly a substantial one; the only question is whether prohibiting nude dancing of the sort at issue here "furthers" that interest. I believe that our cases have addressed this question sufficiently to establish that it does.</w:t>
      </w:r>
    </w:p>
    <w:p w:rsidR="00A31137" w:rsidRPr="00A31137" w:rsidRDefault="00A31137" w:rsidP="00A31137">
      <w:r w:rsidRPr="00A31137">
        <w:t>1991, Barnes v. Glen Theatre, Inc., 501 U.S. 583</w:t>
      </w:r>
    </w:p>
    <w:p w:rsidR="00A31137" w:rsidRPr="00A31137" w:rsidRDefault="00A31137" w:rsidP="00A31137">
      <w:r w:rsidRPr="00A31137">
        <w:t>In Renton v. Playtime Theatres, Inc., 475 U.S. 41 (1986), we upheld a city's zoning ordinance designed to prevent the occurrence of harmful secondary effects, including the crime associated with adult entertainment by protecting approximately 95% of the city's area from the placement of motion picture theaters emphasizing "'matter depicting, describing or relating to "specified sexual activities" or "specified anatomical areas"…for observation by patrons therein.'" Id. at 44. Of particular importance to the present enquiry, we held that the city of Renton was not compelled to justify its restrictions by studies specifically relating to the problems [501 U.S. 584] that would be caused by adult theaters in that city. Rather, "Renton was entitled to rely on the experiences of Seattle and other cities," id. at 51, which demonstrated the harmful secondary effects correlated with the presence "of even one [adult] theater in a given neighborhood." Id. at 50; cf. Young v. American Mini Theatres, Inc., 427 U.S. 50,  71, n. 34 (1976) (legislative finding that "a concentration of 'adult' movie theaters causes the area to deteriorate and become a focus of crime"); California v. LaRue, 409 U.S. 109, 111 (1972) (administrative findings of criminal activity associated with adult entertainment).</w:t>
      </w:r>
    </w:p>
    <w:p w:rsidR="00A31137" w:rsidRPr="00A31137" w:rsidRDefault="00A31137" w:rsidP="00A31137">
      <w:r w:rsidRPr="00A31137">
        <w:t>1991, Barnes v. Glen Theatre, Inc., 501 U.S. 584</w:t>
      </w:r>
    </w:p>
    <w:p w:rsidR="00A31137" w:rsidRPr="00A31137" w:rsidRDefault="00A31137" w:rsidP="00A31137">
      <w:r w:rsidRPr="00A31137">
        <w:t>The type of entertainment respondents seek to provide is plainly of the same character as that at issue in Renton, American Mini Theatres, and LaRue. It therefore is no leap to say that live nude dancing of the sort at issue here is likely to produce the same pernicious secondary effects as the adult films displaying "specified anatomical areas" at issue in Renton. Other reported cases from the Circuit in which this litigation arose confirm the conclusion. See, e.g., United States v. Marren, 890 F.2d 924, 926 (CA7 1989) (prostitution associated with nude dancing establishment); United States v. Doerr, 886 F.2d 944, 949 (CA7 1989) (same). In light of Renton's recognition that legislation seeking to combat the secondary effects of adult entertainment need not await localized proof of those effects, the State of Indiana could reasonably conclude that forbidding nude entertainment of the type offered at the Kitty Kat Lounge and the Glen Theatre's "bookstore" furthers its interest in preventing prostitution, sexual assault, and associated crimes. Given our recognition that</w:t>
      </w:r>
    </w:p>
    <w:p w:rsidR="00A31137" w:rsidRPr="00A31137" w:rsidRDefault="00A31137" w:rsidP="00A31137">
      <w:r w:rsidRPr="00A31137">
        <w:t>1991, Barnes v. Glen Theatre, Inc., 501 U.S. 584</w:t>
      </w:r>
    </w:p>
    <w:p w:rsidR="00A31137" w:rsidRPr="00A31137" w:rsidRDefault="00A31137" w:rsidP="00A31137">
      <w:r w:rsidRPr="00A31137">
        <w:t>society's interest in protecting this type of expression is of a wholly different, and lesser, magnitude than the interest in untrammeled political debate,</w:t>
      </w:r>
    </w:p>
    <w:p w:rsidR="00A31137" w:rsidRPr="00A31137" w:rsidRDefault="00A31137" w:rsidP="00A31137">
      <w:r w:rsidRPr="00A31137">
        <w:t>1991, Barnes v. Glen Theatre, Inc., 501 U.S. 584</w:t>
      </w:r>
    </w:p>
    <w:p w:rsidR="00A31137" w:rsidRPr="00A31137" w:rsidRDefault="00A31137" w:rsidP="00A31137">
      <w:r w:rsidRPr="00A31137">
        <w:t>American Mini Theatres, supra, 427 U.S. at  70, I do not believe that a State is required affirmatively to undertake to litigate this issue repeatedly in every [501 U.S. 585] case. The statute as applied to nudity of the sort at issue here therefore satisfies the second prong of O'Brien. 2</w:t>
      </w:r>
    </w:p>
    <w:p w:rsidR="00A31137" w:rsidRPr="00A31137" w:rsidRDefault="00A31137" w:rsidP="00A31137">
      <w:r w:rsidRPr="00A31137">
        <w:t>1991, Barnes v. Glen Theatre, Inc., 501 U.S. 585</w:t>
      </w:r>
    </w:p>
    <w:p w:rsidR="00A31137" w:rsidRPr="00A31137" w:rsidRDefault="00A31137" w:rsidP="00A31137">
      <w:r w:rsidRPr="00A31137">
        <w:t>The third O'Brien condition is that the governmental interest be "unrelated to the suppression of free expression," 391 U.S. at  377, and, on its face, the governmental interest in combating prostitution and other criminal activity is not at all inherently related to expression. The dissent contends, however, that Indiana seeks to regulate nude dancing as its means of combating such secondary effects</w:t>
      </w:r>
    </w:p>
    <w:p w:rsidR="00A31137" w:rsidRPr="00A31137" w:rsidRDefault="00A31137" w:rsidP="00A31137">
      <w:r w:rsidRPr="00A31137">
        <w:t>1991, Barnes v. Glen Theatre, Inc., 501 U.S. 585</w:t>
      </w:r>
    </w:p>
    <w:p w:rsidR="00A31137" w:rsidRPr="00A31137" w:rsidRDefault="00A31137" w:rsidP="00A31137">
      <w:r w:rsidRPr="00A31137">
        <w:t>because…creating or emphasizing [the] thoughts and ideas [expressed by nude dancing] in the minds of the spectators may lead to increased prostitution,</w:t>
      </w:r>
    </w:p>
    <w:p w:rsidR="00A31137" w:rsidRPr="00A31137" w:rsidRDefault="00A31137" w:rsidP="00A31137">
      <w:r w:rsidRPr="00A31137">
        <w:t>1991, Barnes v. Glen Theatre, Inc., 501 U.S. 585</w:t>
      </w:r>
    </w:p>
    <w:p w:rsidR="00A31137" w:rsidRPr="00A31137" w:rsidRDefault="00A31137" w:rsidP="00A31137">
      <w:r w:rsidRPr="00A31137">
        <w:t>post at  592, and that regulation of expressive conduct because of the fear that the expression will prove persuasive is inherently related to the suppression of free expression. Ibid.</w:t>
      </w:r>
    </w:p>
    <w:p w:rsidR="00A31137" w:rsidRPr="00A31137" w:rsidRDefault="00A31137" w:rsidP="00A31137">
      <w:r w:rsidRPr="00A31137">
        <w:t>1991, Barnes v. Glen Theatre, Inc., 501 U.S. 585</w:t>
      </w:r>
    </w:p>
    <w:p w:rsidR="00A31137" w:rsidRPr="00A31137" w:rsidRDefault="00A31137" w:rsidP="00A31137">
      <w:r w:rsidRPr="00A31137">
        <w:t>The major premise of the dissent's reasoning may be correct, but its minor premise describing the causal theory of Indiana's regulatory justification is not. To say that pernicious secondary effects are associated with nude dancing establishments is not necessarily to say that such effects result from the persuasive effect of the expression inherent in nude dancing. It is to say, rather, only that the effects are correlated with the existence of establishments offering such dancing, without deciding what the precise causes of the correlation [501 U.S. 586] actually are. It is possible, for example, that the higher incidence of prostitution and sexual assault in the vicinity of adult entertainment locations results from the concentration of crowds of men predisposed to such activities, or from the simple viewing of nude bodies, regardless of whether those bodies are engaged in expression or not. In neither case would the chain of causation run through the persuasive effect of the expressive component of nude dancing.</w:t>
      </w:r>
    </w:p>
    <w:p w:rsidR="00A31137" w:rsidRPr="00A31137" w:rsidRDefault="00A31137" w:rsidP="00A31137">
      <w:r w:rsidRPr="00A31137">
        <w:t>1991, Barnes v. Glen Theatre, Inc., 501 U.S. 586</w:t>
      </w:r>
    </w:p>
    <w:p w:rsidR="00A31137" w:rsidRPr="00A31137" w:rsidRDefault="00A31137" w:rsidP="00A31137">
      <w:r w:rsidRPr="00A31137">
        <w:t xml:space="preserve">Because the State's interest in banning nude dancing results from a simple correlation of such dancing with other evils, rather than from a relationship between the other evils and the expressive component of the dancing, the interest is unrelated to the suppression of free expression. Renton is again persuasive in support of this conclusion. In Renton, we held that an ordinance that regulated adult theaters because the presence of such theaters was correlated with secondary effects that the local government had an interest in regulating was content-neutral (a determination similar to the "unrelated to the suppression of free expression" determination here, see Clark v. Community for Creative Non-Violence, 468 U.S. 288, 298, and n. 8 (1984)) because it was "justified without reference to the content of the regulated speech." 475 U.S. at 48 (emphasis in original). We reached this conclusion without need to decide whether the cause of the correlation might have been the persuasive effect of the adult films that were being regulated. Similarly here, the "secondary effects" justification means that enforcement of the Indiana statute against nude dancing is "justified without reference to the content of the regulated [expression]," ibid. (emphasis omitted), which is sufficient, at least in the context of sexually explicit expression, 3 to satisfy the third prong of the O'Brien test. [501 U.S. 587] </w:t>
      </w:r>
    </w:p>
    <w:p w:rsidR="00A31137" w:rsidRPr="00A31137" w:rsidRDefault="00A31137" w:rsidP="00A31137">
      <w:r w:rsidRPr="00A31137">
        <w:t>1991, Barnes v. Glen Theatre, Inc., 501 U.S. 587</w:t>
      </w:r>
    </w:p>
    <w:p w:rsidR="00A31137" w:rsidRPr="00A31137" w:rsidRDefault="00A31137" w:rsidP="00A31137">
      <w:r w:rsidRPr="00A31137">
        <w:t>The fourth O'Brien condition, that the restriction be no greater than essential to further the governmental interest, requires little discussion. Pasties and a G-string moderate the expression to some degree, to be sure, but only to a degree. Dropping the final stitch is prohibited, but the limitation is minor when measured against the dancer's remaining capacity and opportunity to express the erotic message. Nor, so far as we are told, is the dancer or her employer limited by anything short of obscenity laws from expressing an erotic message by articulate speech or representational means; a pornographic movie featuring one of respondents, for example, was playing nearby without any interference from the authorities at the time these cases arose.</w:t>
      </w:r>
    </w:p>
    <w:p w:rsidR="00A31137" w:rsidRPr="00A31137" w:rsidRDefault="00A31137" w:rsidP="00A31137">
      <w:r w:rsidRPr="00A31137">
        <w:t>1991, Barnes v. Glen Theatre, Inc., 501 U.S. 587</w:t>
      </w:r>
    </w:p>
    <w:p w:rsidR="00A31137" w:rsidRPr="00A31137" w:rsidRDefault="00A31137" w:rsidP="00A31137">
      <w:r w:rsidRPr="00A31137">
        <w:t>Accordingly, I find O'Brien satisfied, and concur in the judgment.</w:t>
      </w:r>
    </w:p>
    <w:p w:rsidR="00A31137" w:rsidRPr="00A31137" w:rsidRDefault="00A31137" w:rsidP="00A31137">
      <w:r w:rsidRPr="00A31137">
        <w:t>WHITE, J., dissenting</w:t>
      </w:r>
    </w:p>
    <w:p w:rsidR="00A31137" w:rsidRPr="00A31137" w:rsidRDefault="00A31137" w:rsidP="00A31137">
      <w:r w:rsidRPr="00A31137">
        <w:t>1991, Barnes v. Glen Theatre, Inc., 501 U.S. 587</w:t>
      </w:r>
    </w:p>
    <w:p w:rsidR="00A31137" w:rsidRPr="00A31137" w:rsidRDefault="00A31137" w:rsidP="00A31137">
      <w:r w:rsidRPr="00A31137">
        <w:t>JUSTICE WHITE, with whom JUSTICE MARSHALL, JUSTICE BLACKMUN, and JUSTICE STEVENS join, dissenting.</w:t>
      </w:r>
    </w:p>
    <w:p w:rsidR="00A31137" w:rsidRPr="00A31137" w:rsidRDefault="00A31137" w:rsidP="00A31137">
      <w:r w:rsidRPr="00A31137">
        <w:t>1991, Barnes v. Glen Theatre, Inc., 501 U.S. 587</w:t>
      </w:r>
    </w:p>
    <w:p w:rsidR="00A31137" w:rsidRPr="00A31137" w:rsidRDefault="00A31137" w:rsidP="00A31137">
      <w:r w:rsidRPr="00A31137">
        <w:t xml:space="preserve">The first question presented to us in this case is whether nonobscene nude dancing performed as entertainment is expressive conduct protected by the First Amendment. The Court of Appeals held that it is, observing that our prior decisions permit no other conclusion. Not surprisingly, then, the Court now concedes that "nude dancing of the kind sought to be performed here is expressive conduct within the outer perimeters of the First Amendment…. " Ante at  566. This is no more than recognizing, as the Seventh Circuit observed, that dancing is an ancient art form and "inherently embodies the expression and communication of ideas and emotions." Miller v. Civil City of South Bend, 904 F.2d 1081, 1087 (1990) (en banc). 1 [501 U.S. 588] </w:t>
      </w:r>
    </w:p>
    <w:p w:rsidR="00A31137" w:rsidRPr="00A31137" w:rsidRDefault="00A31137" w:rsidP="00A31137">
      <w:r w:rsidRPr="00A31137">
        <w:t>1991, Barnes v. Glen Theatre, Inc., 501 U.S. 588</w:t>
      </w:r>
    </w:p>
    <w:p w:rsidR="00A31137" w:rsidRPr="00A31137" w:rsidRDefault="00A31137" w:rsidP="00A31137">
      <w:r w:rsidRPr="00A31137">
        <w:t>Having arrived at the conclusion that nude dancing performed as entertainment enjoys First Amendment protection, the Court states that it must</w:t>
      </w:r>
    </w:p>
    <w:p w:rsidR="00A31137" w:rsidRPr="00A31137" w:rsidRDefault="00A31137" w:rsidP="00A31137">
      <w:r w:rsidRPr="00A31137">
        <w:t>1991, Barnes v. Glen Theatre, Inc., 501 U.S. 588</w:t>
      </w:r>
    </w:p>
    <w:p w:rsidR="00A31137" w:rsidRPr="00A31137" w:rsidRDefault="00A31137" w:rsidP="00A31137">
      <w:r w:rsidRPr="00A31137">
        <w:t>determine the level of protection to be afforded to the expressive conduct at issue, and must determine whether the Indiana statute is an impermissible infringement of that protected activity.</w:t>
      </w:r>
    </w:p>
    <w:p w:rsidR="00A31137" w:rsidRPr="00A31137" w:rsidRDefault="00A31137" w:rsidP="00A31137">
      <w:r w:rsidRPr="00A31137">
        <w:t>1991, Barnes v. Glen Theatre, Inc., 501 U.S. 588</w:t>
      </w:r>
    </w:p>
    <w:p w:rsidR="00A31137" w:rsidRPr="00A31137" w:rsidRDefault="00A31137" w:rsidP="00A31137">
      <w:r w:rsidRPr="00A31137">
        <w:t>Ante at  566. For guidance, the plurality turns to United States v. O'Brien, 391 U.S. 367 (1968), which held that expressive conduct could be narrowly regulated or forbidden in pursuit of an important or substantial governmental interest that is unrelated to the content of the expression. The plurality finds that the Indiana statute satisfies the O'Brien test in all respects.</w:t>
      </w:r>
    </w:p>
    <w:p w:rsidR="00A31137" w:rsidRPr="00A31137" w:rsidRDefault="00A31137" w:rsidP="00A31137">
      <w:r w:rsidRPr="00A31137">
        <w:t>1991, Barnes v. Glen Theatre, Inc., 501 U.S. 588</w:t>
      </w:r>
    </w:p>
    <w:p w:rsidR="00A31137" w:rsidRPr="00A31137" w:rsidRDefault="00A31137" w:rsidP="00A31137">
      <w:r w:rsidRPr="00A31137">
        <w:t>The plurality acknowledges that it is impossible to discern the exact state interests which the Indiana legislature had in mind when it enacted the Indiana statute, but the Court nonetheless concludes that it is clear from the statute's text and history that the law's purpose is to protect "societal order and morality." Ante at  568. The plurality goes on to [501 U.S. 589] conclude that Indiana's statute "was enacted as a general prohibition," ante at 568 (emphasis added), on people appearing in the nude among strangers in public places. The plurality then points to cases in which we upheld legislation based on the State's police power, and ultimately concludes that the Indiana statute "furthers a substantial government interest in protecting order and morality." Ante at 569. The plurality also holds that the basis for banning nude dancing is unrelated to free expression, and that it is narrowly drawn to serve the State's interest.</w:t>
      </w:r>
    </w:p>
    <w:p w:rsidR="00A31137" w:rsidRPr="00A31137" w:rsidRDefault="00A31137" w:rsidP="00A31137">
      <w:r w:rsidRPr="00A31137">
        <w:t>1991, Barnes v. Glen Theatre, Inc., 501 U.S. 589</w:t>
      </w:r>
    </w:p>
    <w:p w:rsidR="00A31137" w:rsidRPr="00A31137" w:rsidRDefault="00A31137" w:rsidP="00A31137">
      <w:r w:rsidRPr="00A31137">
        <w:t>The plurality's analysis is erroneous in several respects. Both the Court and JUSTICE SCALIA in his concurring opinion overlook a fundamental and critical aspect of our cases upholding the States' exercise of their police powers. None of the cases they rely upon, including O'Brien and Bowers v. Hardwick, 478 U.S. 186 (1986), involved anything less than truly general proscriptions on individual conduct. In O'Brien, for example, individuals were prohibited from destroying their draft cards at any time and in any place, even in completely private places such as the home. Likewise, in Bowers, the State prohibited sodomy, regardless of where the conduct might occur, including the home, as was true in that case. The same is true of cases like Employment Division, Oregon Dept. of Human Resources v. Smith, 494 U.S. 872 (1990), which, though not applicable here because it did not involve any claim that the peyote users were engaged in expressive activity, recognized that the State's interests in preventing the use of illegal drugs extends even into the home. By contrast, in this case, Indiana does not suggest that its statute applies to, or could be applied to, nudity wherever it occurs, including the home. We do not understand the Court or JUSTICE SCALIA to be suggesting that Indiana could constitutionally enact such an intrusive prohibition, nor do we think such a suggestion would be tenable in light of our decision in Stanley v. Georgia, 394 U.S. 557, (1969), in which we held that States could not punish the [501 U.S. 590] mere possession of obscenity in the privacy of one's own home.</w:t>
      </w:r>
    </w:p>
    <w:p w:rsidR="00A31137" w:rsidRPr="00A31137" w:rsidRDefault="00A31137" w:rsidP="00A31137">
      <w:r w:rsidRPr="00A31137">
        <w:t>1991, Barnes v. Glen Theatre, Inc., 501 U.S. 590</w:t>
      </w:r>
    </w:p>
    <w:p w:rsidR="00A31137" w:rsidRPr="00A31137" w:rsidRDefault="00A31137" w:rsidP="00A31137">
      <w:r w:rsidRPr="00A31137">
        <w:t>We are told by the Attorney General of Indiana that, in State v. Baysinger, 272 Ind. 236, 397 N.E.2d 580 (1979), the Indiana Supreme Court held that the statute at issue here cannot and does not prohibit nudity as a part of some larger form of expression meriting protection when the communication of ideas is involved. Brief for Petitioners 25, 30-31; Reply Brief for Petitioners 9-11. Petitioners also state that the evils sought to be avoided by applying the statute in this case would not obtain in the case of theatrical productions, such as Salome or Hair. Id. at 11-12. Neither is there any evidence that the State has attempted to apply the statute to nudity in performances such as plays, ballets or operas. "No arrests have ever been made for nudity as part of a play or ballet." App.19 (affidavit of Sgt. Timothy Corbett).</w:t>
      </w:r>
    </w:p>
    <w:p w:rsidR="00A31137" w:rsidRPr="00A31137" w:rsidRDefault="00A31137" w:rsidP="00A31137">
      <w:r w:rsidRPr="00A31137">
        <w:t>1991, Barnes v. Glen Theatre, Inc., 501 U.S. 590</w:t>
      </w:r>
    </w:p>
    <w:p w:rsidR="00A31137" w:rsidRPr="00A31137" w:rsidRDefault="00A31137" w:rsidP="00A31137">
      <w:r w:rsidRPr="00A31137">
        <w:t>Thus, the Indiana statute is not a general prohibition of the type we have upheld in prior cases. As a result, the Court's and JUSTICE SCALIA's simple references to the State's general interest in promoting societal order and morality is not sufficient justification for a statute which concededly reaches a significant amount of protected expressive activity. Instead, in applying the O'Brien test, we are obligated to carefully examine the reasons the State has chosen to regulate this expressive conduct in a less than general statute. In other words, when the State enacts a law which draws a line between expressive conduct which is regulated and nonexpressive conduct of the same type which is not regulated, O'Brien places the burden on the State to justify the distinctions it has made. Closer inquiry as to the purpose of the statute is surely appropriate.</w:t>
      </w:r>
    </w:p>
    <w:p w:rsidR="00A31137" w:rsidRPr="00A31137" w:rsidRDefault="00A31137" w:rsidP="00A31137">
      <w:r w:rsidRPr="00A31137">
        <w:t>1991, Barnes v. Glen Theatre, Inc., 501 U.S. 590</w:t>
      </w:r>
    </w:p>
    <w:p w:rsidR="00A31137" w:rsidRPr="00A31137" w:rsidRDefault="00A31137" w:rsidP="00A31137">
      <w:r w:rsidRPr="00A31137">
        <w:t>Legislators do not just randomly select certain conduct for proscription; they have reasons for doing so, and those reasons illuminate the purpose of the law that is passed. Indeed, a law may have multiple purposes. The purpose of [501 U.S. 591] forbidding people from appearing nude in parks, beaches, hot dog stands, and like public places is to protect others from offense. But that could not possibly be the purpose of preventing nude dancing in theaters and barrooms, since the viewers are exclusively consenting adults who pay money to see these dances. The purpose of the proscription in these contexts is to protect the viewers from what the State believes is the harmful message that nude dancing communicates. This is why Clark v. Community for Creative Non-Violence, 468 U.S. 288 (1984), is of no help to the State:</w:t>
      </w:r>
    </w:p>
    <w:p w:rsidR="00A31137" w:rsidRPr="00A31137" w:rsidRDefault="00A31137" w:rsidP="00A31137">
      <w:r w:rsidRPr="00A31137">
        <w:t>1991, Barnes v. Glen Theatre, Inc., 501 U.S. 591</w:t>
      </w:r>
    </w:p>
    <w:p w:rsidR="00A31137" w:rsidRPr="00A31137" w:rsidRDefault="00A31137" w:rsidP="00A31137">
      <w:r w:rsidRPr="00A31137">
        <w:t>In Clark,…the damage to the parks was the same whether the sleepers were camping out for fun, were in fact homeless, or wished by sleeping in the park to make a symbolic statement on behalf of the homeless.</w:t>
      </w:r>
    </w:p>
    <w:p w:rsidR="00A31137" w:rsidRPr="00A31137" w:rsidRDefault="00A31137" w:rsidP="00A31137">
      <w:r w:rsidRPr="00A31137">
        <w:t>1991, Barnes v. Glen Theatre, Inc., 501 U.S. 591</w:t>
      </w:r>
    </w:p>
    <w:p w:rsidR="00A31137" w:rsidRPr="00A31137" w:rsidRDefault="00A31137" w:rsidP="00A31137">
      <w:r w:rsidRPr="00A31137">
        <w:t>904 F.2d at 1103 (Posner, J., concurring). That cannot be said in this case: the perceived damage to the public interest caused by appearing nude on the streets or in the parks, as I have said, is not what the State seeks to avoid in preventing nude dancing in theaters and taverns. There the perceived harm is the communicative aspect of the erotic dance. As the State now tells us, and as JUSTICE SOUTER agrees, the State's goal in applying what it describes as its "content-neutral" statute to the nude dancing in this case is "deterrence of prostitution, sexual assaults, criminal activity, degradation of women, and other activities which break down family structure." Reply Brief for Petitioners 11. The attainment of these goals, however, depends on preventing an expressive activity.</w:t>
      </w:r>
    </w:p>
    <w:p w:rsidR="00A31137" w:rsidRPr="00A31137" w:rsidRDefault="00A31137" w:rsidP="00A31137">
      <w:r w:rsidRPr="00A31137">
        <w:t>1991, Barnes v. Glen Theatre, Inc., 501 U.S. 591</w:t>
      </w:r>
    </w:p>
    <w:p w:rsidR="00A31137" w:rsidRPr="00A31137" w:rsidRDefault="00A31137" w:rsidP="00A31137">
      <w:r w:rsidRPr="00A31137">
        <w:t>The plurality nevertheless holds that the third requirement of the O'Brien test, that the governmental interest be unrelated to the suppression of free expression, is satisfied, because, in applying the statute to nude dancing, the State is not "proscribing nudity because of the erotic message conveyed by the dancers." Ante at  570. The plurality suggests that this is so because the State does not ban dancing that sends an erotic message; it is only nude erotic dancing that is forbidden. The perceived evil is not erotic dancing, but public [501 U.S. 592] nudity, which may be prohibited despite any incidental impact on expressive activity. This analysis is transparently erroneous.</w:t>
      </w:r>
    </w:p>
    <w:p w:rsidR="00A31137" w:rsidRPr="00A31137" w:rsidRDefault="00A31137" w:rsidP="00A31137">
      <w:r w:rsidRPr="00A31137">
        <w:t>1991, Barnes v. Glen Theatre, Inc., 501 U.S. 592</w:t>
      </w:r>
    </w:p>
    <w:p w:rsidR="00A31137" w:rsidRPr="00A31137" w:rsidRDefault="00A31137" w:rsidP="00A31137">
      <w:r w:rsidRPr="00A31137">
        <w:t>In arriving at its conclusion, the Court concedes that nude dancing conveys an erotic message, and concedes that the message would be muted if the dancers wore pasties and G-strings. Indeed, the emotional or erotic impact of the dance is intensified by the nudity of the performers. As Judge Posner argued in his thoughtful concurring opinion in the Court of Appeals, the nudity of the dancer is an integral part of the emotions and thoughts that a nude dancing performance evokes. Id. at 1090-1098. The sight of a fully clothed, or even a partially clothed, dancer generally will have a far different impact on a spectator than that of a nude dancer, even if the same dance is performed. The nudity is itself an expressive component of the dance, not merely incidental "conduct." We have previously pointed out that "'[n]udity alone' does not place otherwise protected material outside the mantle of the First Amendment." Schad v. Mt. Ephraim, 452 U.S. 61, 66 (1981).</w:t>
      </w:r>
    </w:p>
    <w:p w:rsidR="00A31137" w:rsidRPr="00A31137" w:rsidRDefault="00A31137" w:rsidP="00A31137">
      <w:r w:rsidRPr="00A31137">
        <w:t>1991, Barnes v. Glen Theatre, Inc., 501 U.S. 592</w:t>
      </w:r>
    </w:p>
    <w:p w:rsidR="00A31137" w:rsidRPr="00A31137" w:rsidRDefault="00A31137" w:rsidP="00A31137">
      <w:r w:rsidRPr="00A31137">
        <w:t>This being the case, it cannot be that the statutory prohibition is unrelated to expressive conduct. Since the State permits the dancers to perform if they wear pasties and G-strings, but forbids nude dancing, it is precisely because of the distinctive, expressive content of the nude dancing performances at issue in this case that the State seeks to apply the statutory prohibition. It is only because nude dancing performances may generate emotions and feelings of eroticism and sensuality among the spectators that the State seeks to regulate such expressive activity, apparently on the assumption that creating or emphasizing such thoughts and ideas in the minds of the spectators may lead to increased prostitution and the degradation of women. But generating thoughts, ideas, and emotions is the essence of communication. The nudity element of nude dancing performances cannot [501 U.S. 593] be neatly pigeonholed as mere "conduct" independent of any expressive component of the dance. 2</w:t>
      </w:r>
    </w:p>
    <w:p w:rsidR="00A31137" w:rsidRPr="00A31137" w:rsidRDefault="00A31137" w:rsidP="00A31137">
      <w:r w:rsidRPr="00A31137">
        <w:t>1991, Barnes v. Glen Theatre, Inc., 501 U.S. 593</w:t>
      </w:r>
    </w:p>
    <w:p w:rsidR="00A31137" w:rsidRPr="00A31137" w:rsidRDefault="00A31137" w:rsidP="00A31137">
      <w:r w:rsidRPr="00A31137">
        <w:t>That fact dictates the level of First Amendment protection to be accorded the performances at issue here. In Texas v. Johnson, 491 U.S. 397, 411-412 (1989), the Court observed:</w:t>
      </w:r>
    </w:p>
    <w:p w:rsidR="00A31137" w:rsidRPr="00A31137" w:rsidRDefault="00A31137" w:rsidP="00A31137">
      <w:r w:rsidRPr="00A31137">
        <w:t>1991, Barnes v. Glen Theatre, Inc., 501 U.S. 593</w:t>
      </w:r>
    </w:p>
    <w:p w:rsidR="00A31137" w:rsidRPr="00A31137" w:rsidRDefault="00A31137" w:rsidP="00A31137">
      <w:r w:rsidRPr="00A31137">
        <w:t>Whether Johnson's treatment of the flag violated Texas law thus depended on the likely communicative impact of his expressive conduct…. We must therefore subject the State's asserted interest in preserving the special symbolic character of the flag to "the most exacting scrutiny." Boos v. Barry, 485 U.S. [312], 321 [(1988)].</w:t>
      </w:r>
    </w:p>
    <w:p w:rsidR="00A31137" w:rsidRPr="00A31137" w:rsidRDefault="00A31137" w:rsidP="00A31137">
      <w:r w:rsidRPr="00A31137">
        <w:t>1991, Barnes v. Glen Theatre, Inc., 501 U.S. 593</w:t>
      </w:r>
    </w:p>
    <w:p w:rsidR="00A31137" w:rsidRPr="00A31137" w:rsidRDefault="00A31137" w:rsidP="00A31137">
      <w:r w:rsidRPr="00A31137">
        <w:t>Content-based restrictions "will be upheld only if narrowly drawn to accomplish a compelling governmental interest." United States v. Grace, 461 U.S. 171, 177 (1983); Sable Communications of California, Inc. v. FCC, 492 U.S. 115, 126 (1989). Nothing could be clearer from our cases.</w:t>
      </w:r>
    </w:p>
    <w:p w:rsidR="00A31137" w:rsidRPr="00A31137" w:rsidRDefault="00A31137" w:rsidP="00A31137">
      <w:r w:rsidRPr="00A31137">
        <w:t>1991, Barnes v. Glen Theatre, Inc., 501 U.S. 593</w:t>
      </w:r>
    </w:p>
    <w:p w:rsidR="00A31137" w:rsidRPr="00A31137" w:rsidRDefault="00A31137" w:rsidP="00A31137">
      <w:r w:rsidRPr="00A31137">
        <w:t>That the performances in the Kitty Kat Lounge may not be high art, to say the least, and may not appeal to the Court, is hardly an excuse for distorting and ignoring settled doctrine. The plurality's assessment of the artistic merits of nude dancing performances should not be the determining factor in deciding this case. In the words of Justice Harlan,</w:t>
      </w:r>
    </w:p>
    <w:p w:rsidR="00A31137" w:rsidRPr="00A31137" w:rsidRDefault="00A31137" w:rsidP="00A31137">
      <w:r w:rsidRPr="00A31137">
        <w:t>1991, Barnes v. Glen Theatre, Inc., 501 U.S. 593</w:t>
      </w:r>
    </w:p>
    <w:p w:rsidR="00A31137" w:rsidRPr="00A31137" w:rsidRDefault="00A31137" w:rsidP="00A31137">
      <w:r w:rsidRPr="00A31137">
        <w:t>it is largely because governmental officials cannot make principled decisions [501 U.S. 594] in this area that the Constitution leaves matters of taste and style so largely to the individual.</w:t>
      </w:r>
    </w:p>
    <w:p w:rsidR="00A31137" w:rsidRPr="00A31137" w:rsidRDefault="00A31137" w:rsidP="00A31137">
      <w:r w:rsidRPr="00A31137">
        <w:t>1991, Barnes v. Glen Theatre, Inc., 501 U.S. 594</w:t>
      </w:r>
    </w:p>
    <w:p w:rsidR="00A31137" w:rsidRPr="00A31137" w:rsidRDefault="00A31137" w:rsidP="00A31137">
      <w:r w:rsidRPr="00A31137">
        <w:t>Cohen v. California, 403 U.S. 15,  25 (1971).</w:t>
      </w:r>
    </w:p>
    <w:p w:rsidR="00A31137" w:rsidRPr="00A31137" w:rsidRDefault="00A31137" w:rsidP="00A31137">
      <w:r w:rsidRPr="00A31137">
        <w:t>1991, Barnes v. Glen Theatre, Inc., 501 U.S. 594</w:t>
      </w:r>
    </w:p>
    <w:p w:rsidR="00A31137" w:rsidRPr="00A31137" w:rsidRDefault="00A31137" w:rsidP="00A31137">
      <w:r w:rsidRPr="00A31137">
        <w:t>[W]hile the entertainment afforded by a nude ballet at Lincoln Center to those who can pay the price may differ vastly in content (as viewed by judges) or in quality (as viewed by critics), it may not differ in substance from the dance viewed by the person who…wants some "entertainment" with his beer or shot of rye.</w:t>
      </w:r>
    </w:p>
    <w:p w:rsidR="00A31137" w:rsidRPr="00A31137" w:rsidRDefault="00A31137" w:rsidP="00A31137">
      <w:r w:rsidRPr="00A31137">
        <w:t>1991, Barnes v. Glen Theatre, Inc., 501 U.S. 594</w:t>
      </w:r>
    </w:p>
    <w:p w:rsidR="00A31137" w:rsidRPr="00A31137" w:rsidRDefault="00A31137" w:rsidP="00A31137">
      <w:r w:rsidRPr="00A31137">
        <w:t>Salem Inn, Inc. v. Frank, 501 F.2d 18, 21, n. 3 (CA2 1974), aff'd in part, Doran v. Salem Inn, Inc., 422 U.S. 922 (1975).</w:t>
      </w:r>
    </w:p>
    <w:p w:rsidR="00A31137" w:rsidRPr="00A31137" w:rsidRDefault="00A31137" w:rsidP="00A31137">
      <w:r w:rsidRPr="00A31137">
        <w:t>1991, Barnes v. Glen Theatre, Inc., 501 U.S. 594</w:t>
      </w:r>
    </w:p>
    <w:p w:rsidR="00A31137" w:rsidRPr="00A31137" w:rsidRDefault="00A31137" w:rsidP="00A31137">
      <w:r w:rsidRPr="00A31137">
        <w:t xml:space="preserve">The plurality and JUSTICE SOUTER do not go beyond saying that the state interests asserted here are important and substantial. But even if there were compelling interests, the Indiana statute is not narrowly drawn. If the State is genuinely concerned with prostitution and associated evils, as JUSTICE SOUTER seems to think, or the type of conduct that was occurring in California v. LaRue, 409 U.S. 109 (1972), it can adopt restrictions that do not interfere with the expressiveness of nonobscene nude dancing performances. For instance, the State could perhaps require that, while performing, nude performers remain at all times a certain minimum distance from spectators, that nude entertainment be limited to certain hours, or even that establishments providing such entertainment be dispersed throughout the city. Cf. Renton v. Playtime Theatres, Inc., 475 U.S. 41 (1986). Likewise, the State clearly has the authority to criminalize prostitution and obscene behavior. Banning an entire category of expressive activity, however, generally does not satisfy the narrow tailoring requirement of strict First Amendment scrutiny. See Frisby v. Schultz, 487 U.S. 474,  485 (1988). Furthermore, if nude dancing in barrooms as compared with other establishments, is the most worrisome problem, the State could invoke its Twenty-first Amendment powers and impose appropriate regulation. New York State Liquor Authority v. Bellanca, 452 U.S. 714 (1981) (per curiam); California v. LaRue, supra. [501 U.S. 595] </w:t>
      </w:r>
    </w:p>
    <w:p w:rsidR="00A31137" w:rsidRPr="00A31137" w:rsidRDefault="00A31137" w:rsidP="00A31137">
      <w:r w:rsidRPr="00A31137">
        <w:t>1991, Barnes v. Glen Theatre, Inc., 501 U.S. 595</w:t>
      </w:r>
    </w:p>
    <w:p w:rsidR="00A31137" w:rsidRPr="00A31137" w:rsidRDefault="00A31137" w:rsidP="00A31137">
      <w:r w:rsidRPr="00A31137">
        <w:t>As I see it, our cases require us to affirm, absent a compelling state interest supporting the statute. Neither the Court nor the State suggest that the statute could withstand scrutiny under that standard.</w:t>
      </w:r>
    </w:p>
    <w:p w:rsidR="00A31137" w:rsidRPr="00A31137" w:rsidRDefault="00A31137" w:rsidP="00A31137">
      <w:r w:rsidRPr="00A31137">
        <w:t>1991, Barnes v. Glen Theatre, Inc., 501 U.S. 595</w:t>
      </w:r>
    </w:p>
    <w:p w:rsidR="00A31137" w:rsidRPr="00A31137" w:rsidRDefault="00A31137" w:rsidP="00A31137">
      <w:r w:rsidRPr="00A31137">
        <w:t>JUSTICE SCALIA's views are similar to those of the Court, and suffer from the same defects. The Justice asserts that a general law barring specified conduct does not implicate the First Amendment unless the purpose of the law is to suppress the expressive quality of the forbidden conduct, and that, absent such purpose, First Amendment protections are not triggered simply because the incidental effect of the law is to proscribe conduct that is unquestionably expressive. Cf. Community for Creative Non-Violence v. Watt, 227 U.S.App.D.C. 19, 703 F.2d 586, 622-623 (1983) (SCALIA, J., dissenting). The application of the Justice's proposition to this case is simple to state: the statute at issue is a general law banning nude appearances in public places, including barrooms and theaters. There is no showing that the purpose of this general law was to regulate expressive conduct; hence, the First Amendment is irrelevant, and nude dancing in theaters and barrooms may be forbidden irrespective of the expressiveness of the dancing.</w:t>
      </w:r>
    </w:p>
    <w:p w:rsidR="00A31137" w:rsidRPr="00A31137" w:rsidRDefault="00A31137" w:rsidP="00A31137">
      <w:r w:rsidRPr="00A31137">
        <w:t>1991, Barnes v. Glen Theatre, Inc., 501 U.S. 595</w:t>
      </w:r>
    </w:p>
    <w:p w:rsidR="00A31137" w:rsidRPr="00A31137" w:rsidRDefault="00A31137" w:rsidP="00A31137">
      <w:r w:rsidRPr="00A31137">
        <w:t>As I have pointed out, however, the premise for the Justice's position—that the statute is a general law of the type our cases contemplate—is nonexistent in this case. Reference to JUSTICE SCALIA's own hypothetical makes this clear. We agree with JUSTICE SCALIA that the Indiana statute would not permit 60,000 consenting Hoosiers to expose themselves to each other in the Hoosierdome. No one can doubt, however, that those same 60,000 Hoosiers would be perfectly free to drive to their respective homes all across Indiana and, once there, to parade around, cavort, and revel in the nude for hours in front of relatives and friends. It is difficult to see why the State's interest in morality is any less in that situation, especially if, as JUSTICE SCALIA seems to suggest, nudity is inherently evil, but clearly the statute does [501 U.S. 596] not reach such activity. As we pointed out earlier, the State's failure to enact a truly general proscription requires closer scrutiny of the reasons for the distinctions the State has drawn. See supra at 590.</w:t>
      </w:r>
    </w:p>
    <w:p w:rsidR="00A31137" w:rsidRPr="00A31137" w:rsidRDefault="00A31137" w:rsidP="00A31137">
      <w:r w:rsidRPr="00A31137">
        <w:t>1991, Barnes v. Glen Theatre, Inc., 501 U.S. 596</w:t>
      </w:r>
    </w:p>
    <w:p w:rsidR="00A31137" w:rsidRPr="00A31137" w:rsidRDefault="00A31137" w:rsidP="00A31137">
      <w:r w:rsidRPr="00A31137">
        <w:t>As explained previously, the purpose of applying the law to the nude dancing performances in respondents' establishments is to prevent their customers from being exposed to the distinctive communicative aspects of nude dancing. That being the case, JUSTICE SCALIA's observation is fully applicable here: "Where government prohibits conduct precisely because of its communicative attributes, we hold the regulation unconstitutional." Ante at  577.</w:t>
      </w:r>
    </w:p>
    <w:p w:rsidR="00A31137" w:rsidRPr="00A31137" w:rsidRDefault="00A31137" w:rsidP="00A31137">
      <w:r w:rsidRPr="00A31137">
        <w:t>1991, Barnes v. Glen Theatre, Inc., 501 U.S. 596</w:t>
      </w:r>
    </w:p>
    <w:p w:rsidR="00A31137" w:rsidRPr="00A31137" w:rsidRDefault="00A31137" w:rsidP="00A31137">
      <w:r w:rsidRPr="00A31137">
        <w:t>The O'Brien decision does not help JUSTICE SCALIA. Indeed, his position, like the Court's, would eviscerate the O'Brien test. Employment Division, Oregon Dept. of Human Resources v. Smith, 494 U.S. 872 (1990), is likewise not on point. The Indiana law, as applied to nude dancing, targets the expressive activity itself; in Indiana, nudity in a dancing performance is a crime because of the message such dancing communicates. In Smith, the use of drugs was not criminal because the use was part of or occurred within the course of an otherwise protected religious ceremony, but because a general law made it so, and was supported by the same interests in the religious context as in others.</w:t>
      </w:r>
    </w:p>
    <w:p w:rsidR="00A31137" w:rsidRPr="00A31137" w:rsidRDefault="00A31137" w:rsidP="00A31137">
      <w:r w:rsidRPr="00A31137">
        <w:t>1991, Barnes v. Glen Theatre, Inc., 501 U.S. 596</w:t>
      </w:r>
    </w:p>
    <w:p w:rsidR="00A31137" w:rsidRPr="00A31137" w:rsidRDefault="00A31137" w:rsidP="00A31137">
      <w:r w:rsidRPr="00A31137">
        <w:t>Accordingly, I would affirm the judgment of the Court of Appeals, and dissent from this Court's judgment.</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1991, Barnes v. Glen Theatre, Inc., 501 U.S. 596</w:t>
      </w:r>
    </w:p>
    <w:p w:rsidR="00A31137" w:rsidRPr="00A31137" w:rsidRDefault="00A31137" w:rsidP="00A31137">
      <w:r w:rsidRPr="00A31137">
        <w:t>1. The Indiana Supreme Court appeared to give the public indecency statute a limiting construction to save it from a facial overbreadth attack:</w:t>
      </w:r>
    </w:p>
    <w:p w:rsidR="00A31137" w:rsidRPr="00A31137" w:rsidRDefault="00A31137" w:rsidP="00A31137">
      <w:r w:rsidRPr="00A31137">
        <w:t>1991, Barnes v. Glen Theatre, Inc., 501 U.S. 596</w:t>
      </w:r>
    </w:p>
    <w:p w:rsidR="00A31137" w:rsidRPr="00A31137" w:rsidRDefault="00A31137" w:rsidP="00A31137">
      <w:r w:rsidRPr="00A31137">
        <w:t>There is no right to appear nude in public. Rather, it may be constitutionally required to tolerate or to allow some nudity as a part of some larger form of expression meriting protection, when the communication of ideas is involved.</w:t>
      </w:r>
    </w:p>
    <w:p w:rsidR="00A31137" w:rsidRPr="00A31137" w:rsidRDefault="00A31137" w:rsidP="00A31137">
      <w:r w:rsidRPr="00A31137">
        <w:t>1991, Barnes v. Glen Theatre, Inc., 501 U.S. 596</w:t>
      </w:r>
    </w:p>
    <w:p w:rsidR="00A31137" w:rsidRPr="00A31137" w:rsidRDefault="00A31137" w:rsidP="00A31137">
      <w:r w:rsidRPr="00A31137">
        <w:t>State v. Baysinger, 272 Ind. 236, 247, 397 N.E.2d 580, 587 (1979) (emphasis added), appeals dism'd sub nom. Clark v. Indiana, 446 U.S. 931, and Dove v. Indiana, 449 U.S. 806 (1980).</w:t>
      </w:r>
    </w:p>
    <w:p w:rsidR="00A31137" w:rsidRPr="00A31137" w:rsidRDefault="00A31137" w:rsidP="00A31137">
      <w:r w:rsidRPr="00A31137">
        <w:t>1991, Barnes v. Glen Theatre, Inc., 501 U.S. 596</w:t>
      </w:r>
    </w:p>
    <w:p w:rsidR="00A31137" w:rsidRPr="00A31137" w:rsidRDefault="00A31137" w:rsidP="00A31137">
      <w:r w:rsidRPr="00A31137">
        <w:t>Five years after Baysinger, however, the Indiana Supreme Court reversed a decision of the Indiana Court of Appeals holding that the statute did "not apply to activity such as the theatrical appearances involved herein, which may not be prohibited absent a finding of obscenity," in a case involving a partially nude dance in the "Miss Erotica of Fort Wayne" contest. Erhardt v. State, 468 N.E.2d 224 (Ind.1984). The Indiana Supreme Court did not discuss the constitutional issues beyond a cursory comment that the statute had been upheld against constitutional attack in Baysinger, and Erhardt's conduct fell within the statutory prohibition. Justice Hunter dissented, arguing that</w:t>
      </w:r>
    </w:p>
    <w:p w:rsidR="00A31137" w:rsidRPr="00A31137" w:rsidRDefault="00A31137" w:rsidP="00A31137">
      <w:r w:rsidRPr="00A31137">
        <w:t>1991, Barnes v. Glen Theatre, Inc., 501 U.S. 596</w:t>
      </w:r>
    </w:p>
    <w:p w:rsidR="00A31137" w:rsidRPr="00A31137" w:rsidRDefault="00A31137" w:rsidP="00A31137">
      <w:r w:rsidRPr="00A31137">
        <w:t>a public indecency statute which prohibits nudity in any public place is unconstitutionally overbroad. My reasons for so concluding have already been articulated in State v. Baysinger, (1979) 272 Ind. 236, 397 N.E.2d 580 (Hunter and DeBruler, JJ., dissenting).</w:t>
      </w:r>
    </w:p>
    <w:p w:rsidR="00A31137" w:rsidRPr="00A31137" w:rsidRDefault="00A31137" w:rsidP="00A31137">
      <w:r w:rsidRPr="00A31137">
        <w:t>1991, Barnes v. Glen Theatre, Inc., 501 U.S. 596</w:t>
      </w:r>
    </w:p>
    <w:p w:rsidR="00A31137" w:rsidRPr="00A31137" w:rsidRDefault="00A31137" w:rsidP="00A31137">
      <w:r w:rsidRPr="00A31137">
        <w:t>Id. at 225-226, 397 N.E.2d 580. Justice DeBruler expressed similar views in his dissent in Erhardt. Ibid. Therefore, the Indiana Supreme Court did not affirmatively limit the reach of the statute in Baysinger, but merely said that, to the extent the First Amendment would require it, the statute might be unconstitutional as applied to some activities.</w:t>
      </w:r>
    </w:p>
    <w:p w:rsidR="00A31137" w:rsidRPr="00A31137" w:rsidRDefault="00A31137" w:rsidP="00A31137">
      <w:r w:rsidRPr="00A31137">
        <w:t>1991, Barnes v. Glen Theatre, Inc., 501 U.S. 596</w:t>
      </w:r>
    </w:p>
    <w:p w:rsidR="00A31137" w:rsidRPr="00A31137" w:rsidRDefault="00A31137" w:rsidP="00A31137">
      <w:r w:rsidRPr="00A31137">
        <w:t>2. Indiana Code § 35-451 (1988) provides:</w:t>
      </w:r>
    </w:p>
    <w:p w:rsidR="00A31137" w:rsidRPr="00A31137" w:rsidRDefault="00A31137" w:rsidP="00A31137">
      <w:r w:rsidRPr="00A31137">
        <w:t>1991, Barnes v. Glen Theatre, Inc., 501 U.S. 596</w:t>
      </w:r>
    </w:p>
    <w:p w:rsidR="00A31137" w:rsidRPr="00A31137" w:rsidRDefault="00A31137" w:rsidP="00A31137">
      <w:r w:rsidRPr="00A31137">
        <w:t>Public Indecency</w:t>
      </w:r>
    </w:p>
    <w:p w:rsidR="00A31137" w:rsidRPr="00A31137" w:rsidRDefault="00A31137" w:rsidP="00A31137">
      <w:r w:rsidRPr="00A31137">
        <w:t>1991, Barnes v. Glen Theatre, Inc., 501 U.S. 596</w:t>
      </w:r>
    </w:p>
    <w:p w:rsidR="00A31137" w:rsidRPr="00A31137" w:rsidRDefault="00A31137" w:rsidP="00A31137">
      <w:r w:rsidRPr="00A31137">
        <w:t>Sec. 1. (a) A person who knowingly or intentionally, in a public place:</w:t>
      </w:r>
    </w:p>
    <w:p w:rsidR="00A31137" w:rsidRPr="00A31137" w:rsidRDefault="00A31137" w:rsidP="00A31137">
      <w:r w:rsidRPr="00A31137">
        <w:t>1991, Barnes v. Glen Theatre, Inc., 501 U.S. 596</w:t>
      </w:r>
    </w:p>
    <w:p w:rsidR="00A31137" w:rsidRPr="00A31137" w:rsidRDefault="00A31137" w:rsidP="00A31137">
      <w:r w:rsidRPr="00A31137">
        <w:t>(1) engages in sexual intercourse;</w:t>
      </w:r>
    </w:p>
    <w:p w:rsidR="00A31137" w:rsidRPr="00A31137" w:rsidRDefault="00A31137" w:rsidP="00A31137">
      <w:r w:rsidRPr="00A31137">
        <w:t>1991, Barnes v. Glen Theatre, Inc., 501 U.S. 596</w:t>
      </w:r>
    </w:p>
    <w:p w:rsidR="00A31137" w:rsidRPr="00A31137" w:rsidRDefault="00A31137" w:rsidP="00A31137">
      <w:r w:rsidRPr="00A31137">
        <w:t>(2) engages in deviate sexual conduct;</w:t>
      </w:r>
    </w:p>
    <w:p w:rsidR="00A31137" w:rsidRPr="00A31137" w:rsidRDefault="00A31137" w:rsidP="00A31137">
      <w:r w:rsidRPr="00A31137">
        <w:t>1991, Barnes v. Glen Theatre, Inc., 501 U.S. 596</w:t>
      </w:r>
    </w:p>
    <w:p w:rsidR="00A31137" w:rsidRPr="00A31137" w:rsidRDefault="00A31137" w:rsidP="00A31137">
      <w:r w:rsidRPr="00A31137">
        <w:t>(3) appears in a state of nudity; or</w:t>
      </w:r>
    </w:p>
    <w:p w:rsidR="00A31137" w:rsidRPr="00A31137" w:rsidRDefault="00A31137" w:rsidP="00A31137">
      <w:r w:rsidRPr="00A31137">
        <w:t>1991, Barnes v. Glen Theatre, Inc., 501 U.S. 596</w:t>
      </w:r>
    </w:p>
    <w:p w:rsidR="00A31137" w:rsidRPr="00A31137" w:rsidRDefault="00A31137" w:rsidP="00A31137">
      <w:r w:rsidRPr="00A31137">
        <w:t>(4) fondles the genitals of himself or another person;</w:t>
      </w:r>
    </w:p>
    <w:p w:rsidR="00A31137" w:rsidRPr="00A31137" w:rsidRDefault="00A31137" w:rsidP="00A31137">
      <w:r w:rsidRPr="00A31137">
        <w:t>1991, Barnes v. Glen Theatre, Inc., 501 U.S. 596</w:t>
      </w:r>
    </w:p>
    <w:p w:rsidR="00A31137" w:rsidRPr="00A31137" w:rsidRDefault="00A31137" w:rsidP="00A31137">
      <w:r w:rsidRPr="00A31137">
        <w:t>commits public indecency, a Class A misdemeanor.</w:t>
      </w:r>
    </w:p>
    <w:p w:rsidR="00A31137" w:rsidRPr="00A31137" w:rsidRDefault="00A31137" w:rsidP="00A31137">
      <w:r w:rsidRPr="00A31137">
        <w:t>1991, Barnes v. Glen Theatre, Inc., 501 U.S. 596</w:t>
      </w:r>
    </w:p>
    <w:p w:rsidR="00A31137" w:rsidRPr="00A31137" w:rsidRDefault="00A31137" w:rsidP="00A31137">
      <w:r w:rsidRPr="00A31137">
        <w:t>(b) "Nudity" means the showing of the human male or female genitals, pubic area, or buttocks with less than a fully opaque covering, the showing of the female breast with less than a fully opaque covering of any part of the nipple, or the showing of the covered male genitals in a discernibly turgid state.</w:t>
      </w:r>
    </w:p>
    <w:p w:rsidR="00A31137" w:rsidRPr="00A31137" w:rsidRDefault="00A31137" w:rsidP="00A31137">
      <w:r w:rsidRPr="00A31137">
        <w:t>SCALIA, J., concurring (Footnotes)</w:t>
      </w:r>
    </w:p>
    <w:p w:rsidR="00A31137" w:rsidRPr="00A31137" w:rsidRDefault="00A31137" w:rsidP="00A31137">
      <w:r w:rsidRPr="00A31137">
        <w:t>1991, Barnes v. Glen Theatre, Inc., 501 U.S. 596</w:t>
      </w:r>
    </w:p>
    <w:p w:rsidR="00A31137" w:rsidRPr="00A31137" w:rsidRDefault="00A31137" w:rsidP="00A31137">
      <w:r w:rsidRPr="00A31137">
        <w:t>1. Respondents assert that the statute cannot be characterized as a general regulation of conduct, unrelated to suppression of expression, because one defense put forward in oral argument below by the attorney general referred to the "message of eroticism" conveyed by respondents. But that argument seemed to go to whether the statute could constitutionally be applied to the present performances, rather than to what was the purpose of the legislation. Moreover, the State's argument below was in the alternative: (1) that the statute does not implicate the First Amendment because it is a neutral rule not directed at expression, and (2) that the statute in any event survives First Amendment scrutiny because of the State's interest in suppressing nude barroom dancing. The second argument can be claimed to contradict the first (though I think it does not); but it certainly does not waive or abandon it. In any case, the clear purpose shown by both the text and historical use of the statute cannot be refuted by a litigating statement in a single case.</w:t>
      </w:r>
    </w:p>
    <w:p w:rsidR="00A31137" w:rsidRPr="00A31137" w:rsidRDefault="00A31137" w:rsidP="00A31137">
      <w:r w:rsidRPr="00A31137">
        <w:t>1991, Barnes v. Glen Theatre, Inc., 501 U.S. 596</w:t>
      </w:r>
    </w:p>
    <w:p w:rsidR="00A31137" w:rsidRPr="00A31137" w:rsidRDefault="00A31137" w:rsidP="00A31137">
      <w:r w:rsidRPr="00A31137">
        <w:t>2. Respondents also contend that the statute, as interpreted, is not content-neutral in the expressive conduct to which it applies, since it allegedly does not apply to nudity in theatrical productions. See State v. Baysinger, 272 Ind. 236, 247, 397 N.E.2d 580, 587 (1979). I am not sure that theater versus non-theater represents a distinction based on content, rather than format, but assuming that it does, the argument nonetheless fails for the reason the plurality describes, ante at  564, n. 1.</w:t>
      </w:r>
    </w:p>
    <w:p w:rsidR="00A31137" w:rsidRPr="00A31137" w:rsidRDefault="00A31137" w:rsidP="00A31137">
      <w:r w:rsidRPr="00A31137">
        <w:t>1991, Barnes v. Glen Theatre, Inc., 501 U.S. 596</w:t>
      </w:r>
    </w:p>
    <w:p w:rsidR="00A31137" w:rsidRPr="00A31137" w:rsidRDefault="00A31137" w:rsidP="00A31137">
      <w:r w:rsidRPr="00A31137">
        <w:t>3. The dissent, post at  590, 595-596 also misunderstands what is meant by the term "general law." I do not mean that the law restricts the targeted conduct in all places at all times. A law is "general" for the present purposes if it regulates conduct without regard to whether that conduct is expressive. Concededly, Indiana bans nudity in public places, but not within the privacy of the home. (That is not surprising, since the common law offense, and the traditional moral prohibition, runs against public nudity, not against all nudity. E.g., 50 Am.Jur.2d at 472-474.) But that confirms, rather than refutes, the general nature of the law: one may not go nude in public, whether or not one intends thereby to convey a message, and similarly one may go nude in private, again whether or not that nudity is expressive.</w:t>
      </w:r>
    </w:p>
    <w:p w:rsidR="00A31137" w:rsidRPr="00A31137" w:rsidRDefault="00A31137" w:rsidP="00A31137">
      <w:r w:rsidRPr="00A31137">
        <w:t>1991, Barnes v. Glen Theatre, Inc., 501 U.S. 596</w:t>
      </w:r>
    </w:p>
    <w:p w:rsidR="00A31137" w:rsidRPr="00A31137" w:rsidRDefault="00A31137" w:rsidP="00A31137">
      <w:r w:rsidRPr="00A31137">
        <w:t>4. It is easy to conclude that conduct has been forbidden because of its communicative attributes when the conduct in question is what the Court has called "inherently expressive," and what I would prefer to call "conventionally expressive"—such as flying a red flag. I mean by that phrase (as I assume the Court means by "inherently expressive") conduct that is normally engaged in for the purpose of communicating an idea, or perhaps an emotion, to someone else. I am not sure whether dancing fits that description, see Dallas v. Stanglin, 490 U.S. 19, 24 (1989) (social dance group "do[es] not involve the sort of expressive association that the First Amendment has been held to protect"). But even if it does, this law is directed against nudity, not dancing. Nudity is not normally engaged in for the purpose of communicating an idea or an emotion.</w:t>
      </w:r>
    </w:p>
    <w:p w:rsidR="00A31137" w:rsidRPr="00A31137" w:rsidRDefault="00A31137" w:rsidP="00A31137">
      <w:r w:rsidRPr="00A31137">
        <w:t>SOUTER, J., concurring (Footnotes)</w:t>
      </w:r>
    </w:p>
    <w:p w:rsidR="00A31137" w:rsidRPr="00A31137" w:rsidRDefault="00A31137" w:rsidP="00A31137">
      <w:r w:rsidRPr="00A31137">
        <w:t>1991, Barnes v. Glen Theatre, Inc., 501 U.S. 596</w:t>
      </w:r>
    </w:p>
    <w:p w:rsidR="00A31137" w:rsidRPr="00A31137" w:rsidRDefault="00A31137" w:rsidP="00A31137">
      <w:r w:rsidRPr="00A31137">
        <w:t>1. Cf., e.g., Edwards v. Aguillard, 482 U.S. 578 (1987) (striking down state statute on Establishment Clause grounds due to impermissible legislative intent).</w:t>
      </w:r>
    </w:p>
    <w:p w:rsidR="00A31137" w:rsidRPr="00A31137" w:rsidRDefault="00A31137" w:rsidP="00A31137">
      <w:r w:rsidRPr="00A31137">
        <w:t>1991, Barnes v. Glen Theatre, Inc., 501 U.S. 596</w:t>
      </w:r>
    </w:p>
    <w:p w:rsidR="00A31137" w:rsidRPr="00A31137" w:rsidRDefault="00A31137" w:rsidP="00A31137">
      <w:r w:rsidRPr="00A31137">
        <w:t>2. Because there is no overbreadth challenge before us, we are not called upon to decide whether the application of the statute would be valid in other contexts. It is enough, then, to say that the secondary effects rationale on which I rely here would be open to question if the State were to seek to enforce the statute by barring expressive nudity in classes of productions that could not readily be analogized to the adult films at issue in Renton v. Playtime Theatres, Inc., 475 U.S. 41 (1986). It is difficult to see, for example, how the enforcement of Indiana's statute against nudity in a production of "Hair" or "Equus" somewhere other than an "adult" theater would further the State's interest in avoiding harmful secondary effects, in the absence of evidence that expressive nudity outside the context of Renton-type adult entertainment was correlated with such secondary effects.</w:t>
      </w:r>
    </w:p>
    <w:p w:rsidR="00A31137" w:rsidRPr="00A31137" w:rsidRDefault="00A31137" w:rsidP="00A31137">
      <w:r w:rsidRPr="00A31137">
        <w:t>1991, Barnes v. Glen Theatre, Inc., 501 U.S. 596</w:t>
      </w:r>
    </w:p>
    <w:p w:rsidR="00A31137" w:rsidRPr="00A31137" w:rsidRDefault="00A31137" w:rsidP="00A31137">
      <w:r w:rsidRPr="00A31137">
        <w:t>3. I reach this conclusion again mindful, as was the Court in Renton, that the protection of sexually explicit expression may be of lesser societal importance than the protection of other forms of expression. See Renton, supra, at 49, and n. 2, citing Young v. American Mini Theatres, Inc., 427 U.S. 50,  70 (1976).</w:t>
      </w:r>
    </w:p>
    <w:p w:rsidR="00A31137" w:rsidRPr="00A31137" w:rsidRDefault="00A31137" w:rsidP="00A31137">
      <w:r w:rsidRPr="00A31137">
        <w:t>WHITE, J., dissenting (Footnotes)</w:t>
      </w:r>
    </w:p>
    <w:p w:rsidR="00A31137" w:rsidRPr="00A31137" w:rsidRDefault="00A31137" w:rsidP="00A31137">
      <w:r w:rsidRPr="00A31137">
        <w:t>1991, Barnes v. Glen Theatre, Inc., 501 U.S. 596</w:t>
      </w:r>
    </w:p>
    <w:p w:rsidR="00A31137" w:rsidRPr="00A31137" w:rsidRDefault="00A31137" w:rsidP="00A31137">
      <w:r w:rsidRPr="00A31137">
        <w:t>1. JUSTICE SCALIA suggests that performance dancing is not inherently expressive activity, see ante at  577, n. 4, but the Court of Appeals has the better view:</w:t>
      </w:r>
    </w:p>
    <w:p w:rsidR="00A31137" w:rsidRPr="00A31137" w:rsidRDefault="00A31137" w:rsidP="00A31137">
      <w:r w:rsidRPr="00A31137">
        <w:t>1991, Barnes v. Glen Theatre, Inc., 501 U.S. 596</w:t>
      </w:r>
    </w:p>
    <w:p w:rsidR="00A31137" w:rsidRPr="00A31137" w:rsidRDefault="00A31137" w:rsidP="00A31137">
      <w:r w:rsidRPr="00A31137">
        <w:t>Dance has been defined as "the art of moving the body in a rhythmical way, usually to music, to express an emotion or idea, to narrate a story, or simply to take delight in the movement itself." 16 The New Encyclopedia Britannica 935 (1989). Inherently, it is the communication of emotion or ideas. At the root of all</w:t>
      </w:r>
    </w:p>
    <w:p w:rsidR="00A31137" w:rsidRPr="00A31137" w:rsidRDefault="00A31137" w:rsidP="00A31137">
      <w:r w:rsidRPr="00A31137">
        <w:t>1991, Barnes v. Glen Theatre, Inc., 501 U.S. 596</w:t>
      </w:r>
    </w:p>
    <w:p w:rsidR="00A31137" w:rsidRPr="00A31137" w:rsidRDefault="00A31137" w:rsidP="00A31137">
      <w:r w:rsidRPr="00A31137">
        <w:t>[t]he varied manifestations of dancing…lies the common impulse to resort to movement to externalise states which we cannot externalise by rational means. This is basic dance.</w:t>
      </w:r>
    </w:p>
    <w:p w:rsidR="00A31137" w:rsidRPr="00A31137" w:rsidRDefault="00A31137" w:rsidP="00A31137">
      <w:r w:rsidRPr="00A31137">
        <w:t>1991, Barnes v. Glen Theatre, Inc., 501 U.S. 596</w:t>
      </w:r>
    </w:p>
    <w:p w:rsidR="00A31137" w:rsidRPr="00A31137" w:rsidRDefault="00A31137" w:rsidP="00A31137">
      <w:r w:rsidRPr="00A31137">
        <w:t>Martin, J., Introduction to the Dance (1939). Aristotle recognized in Poetics that the purpose of dance is "to represent men's character as well as what they do and suffer." The raw communicative power of dance was noted by the French poet Stephane Mallarme, who declared that the dancer "writing with her body…suggests things which the written work could express only in several paragraphs of dialogue or descriptive prose."</w:t>
      </w:r>
    </w:p>
    <w:p w:rsidR="00A31137" w:rsidRPr="00A31137" w:rsidRDefault="00A31137" w:rsidP="00A31137">
      <w:r w:rsidRPr="00A31137">
        <w:t>1991, Barnes v. Glen Theatre, Inc., 501 U.S. 596</w:t>
      </w:r>
    </w:p>
    <w:p w:rsidR="00A31137" w:rsidRPr="00A31137" w:rsidRDefault="00A31137" w:rsidP="00A31137">
      <w:r w:rsidRPr="00A31137">
        <w:t>904 F.2d at 1085-1086. JUSTICE SCALIA cites Dallas v. Stanglin, 490 U.S. 19 (1989), but that decision dealt with social dancing, not performance dancing; and the submission in that case, which we rejected, was not that social dancing was an expressive activity, but that plaintiff's associational rights were violated by restricting admission to dance halls on the basis of age. The Justice also asserts that, even if dancing is inherently expressive, nudity is not. The statement may be true, but it tells us nothing about dancing in the nude.</w:t>
      </w:r>
    </w:p>
    <w:p w:rsidR="00A31137" w:rsidRPr="00A31137" w:rsidRDefault="00A31137" w:rsidP="00A31137">
      <w:r w:rsidRPr="00A31137">
        <w:t>1991, Barnes v. Glen Theatre, Inc., 501 U.S. 596</w:t>
      </w:r>
    </w:p>
    <w:p w:rsidR="00A31137" w:rsidRPr="00A31137" w:rsidRDefault="00A31137" w:rsidP="00A31137">
      <w:r w:rsidRPr="00A31137">
        <w:t>2. JUSTICE SOUTER agrees with the Court that the third requirement of the O'Brien test is satisfied, but only because he is not certain that there is a causal connection between the message conveyed by nude dancing and the evils which the State is seeking to prevent. See ante at  585. JUSTICE SOUTER's analysis is at least as flawed as that of the Court. If JUSTICE SOUTER is correct that there is no causal connection between the message conveyed by the nude dancing at issue here and the negative secondary effects that the State desires to regulate, the State does not have even a rational basis for its absolute prohibition on nude dancing that is admittedly expressive. Furthermore, if the real problem is the "concentration of crowds of men predisposed to the" designated evils, ante at  586, then the First Amendment requires that the State address that problem in a fashion that does not include banning an entire category of expressive activity. See Renton v. Playtime Theatres, Inc., 475 U.S. 41 (1986).</w:t>
      </w:r>
    </w:p>
    <w:p w:rsidR="00A31137" w:rsidRPr="00A31137" w:rsidRDefault="00A31137" w:rsidP="00A31137">
      <w:r w:rsidRPr="00A31137">
        <w:t>Payne v. Tennessee, 1991</w:t>
      </w:r>
    </w:p>
    <w:p w:rsidR="00A31137" w:rsidRPr="00A31137" w:rsidRDefault="00A31137" w:rsidP="00A31137">
      <w:r w:rsidRPr="00A31137">
        <w:t>Title:</w:t>
      </w:r>
      <w:r w:rsidRPr="00A31137">
        <w:tab/>
        <w:t>Payne v. Tennessee</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27, 1991</w:t>
      </w:r>
    </w:p>
    <w:p w:rsidR="00A31137" w:rsidRPr="00A31137" w:rsidRDefault="00A31137" w:rsidP="00A31137">
      <w:r w:rsidRPr="00A31137">
        <w:t>Source:</w:t>
      </w:r>
      <w:r w:rsidRPr="00A31137">
        <w:tab/>
        <w:t>501 U.S. 808</w:t>
      </w:r>
    </w:p>
    <w:p w:rsidR="00A31137" w:rsidRPr="00A31137" w:rsidRDefault="00A31137" w:rsidP="00A31137">
      <w:r w:rsidRPr="00A31137">
        <w:t>This case was argued April 24, 1991, and was decided June 27, 1991.</w:t>
      </w:r>
    </w:p>
    <w:p w:rsidR="00A31137" w:rsidRPr="00A31137" w:rsidRDefault="00A31137" w:rsidP="00A31137">
      <w:r w:rsidRPr="00A31137">
        <w:t>CERTIORARI TO THE SUPREME COURT OF TENNESSEE</w:t>
      </w:r>
    </w:p>
    <w:p w:rsidR="00A31137" w:rsidRPr="00A31137" w:rsidRDefault="00A31137" w:rsidP="00A31137">
      <w:r w:rsidRPr="00A31137">
        <w:t>Syllabus</w:t>
      </w:r>
    </w:p>
    <w:p w:rsidR="00A31137" w:rsidRPr="00A31137" w:rsidRDefault="00A31137" w:rsidP="00A31137">
      <w:r w:rsidRPr="00A31137">
        <w:t>1991, Payne v. Tennessee, 501 U.S. 808</w:t>
      </w:r>
    </w:p>
    <w:p w:rsidR="00A31137" w:rsidRPr="00A31137" w:rsidRDefault="00A31137" w:rsidP="00A31137">
      <w:r w:rsidRPr="00A31137">
        <w:t>Petitioner Payne was convicted by a Tennessee jury of the first-degree murders of Charisse Christopher and her 2-year-old daughter, and of first-degree assault upon, with intent to murder, Charisse's 3-year-old son Nicholas. The brutal crimes were committed in the victims' apartment after Charisse resisted Payne's sexual advances. During the sentencing phase of the trial, Payne called his parents, his girlfriend, and a clinical psychologist, each of whom testified as to various mitigating aspects of his background and character. The State called Nicholas' grandmother, who testified that the child missed his mother and baby sister. In arguing for the death penalty, the prosecutor commented on the continuing effects on Nicholas of his experience and on the effects of the crimes upon the victims' family. The jury sentenced Payne to death on each of the murder counts. The State Supreme Court affirmed, rejecting his contention that the admission of the grandmother's testimony and the State's closing argument violated his Eighth Amendment rights under Booth v. Maryland, 482 U.S. 496, and South Carolina v. Gathers, 490 U.S. 805, which held that evidence and argument relating to the victim and the impact of the victim's death on the victim's family are per se inadmissible at a capital sentencing hearing.</w:t>
      </w:r>
    </w:p>
    <w:p w:rsidR="00A31137" w:rsidRPr="00A31137" w:rsidRDefault="00A31137" w:rsidP="00A31137">
      <w:r w:rsidRPr="00A31137">
        <w:t>1991, Payne v. Tennessee, 501 U.S. 808</w:t>
      </w:r>
    </w:p>
    <w:p w:rsidR="00A31137" w:rsidRPr="00A31137" w:rsidRDefault="00A31137" w:rsidP="00A31137">
      <w:r w:rsidRPr="00A31137">
        <w:t>Held: The Eighth Amendment erects no per se bar prohibiting a capital sentencing jury from considering "victim impact" evidence relating to the victim's personal characteristics and the emotional impact of the murder on the victim's family, or precluding a prosecutor from arguing such evidence at a capital sentencing hearing. To the extent that this Court held to the contrary in Booth and Gathers, those cases are overruled. Pp.  817-830.</w:t>
      </w:r>
    </w:p>
    <w:p w:rsidR="00A31137" w:rsidRPr="00A31137" w:rsidRDefault="00A31137" w:rsidP="00A31137">
      <w:r w:rsidRPr="00A31137">
        <w:t>1991, Payne v. Tennessee, 501 U.S. 808</w:t>
      </w:r>
    </w:p>
    <w:p w:rsidR="00A31137" w:rsidRPr="00A31137" w:rsidRDefault="00A31137" w:rsidP="00A31137">
      <w:r w:rsidRPr="00A31137">
        <w:t>(a) There are numerous infirmities in the rule created by Booth and Gathers. Those cases were based on two premises: that evidence relating to a particular victim or to the harm caused a victim's family does not, in general, reflect on the defendant's "blameworthiness," and that only evidence of "blameworthiness" is relevant to the capital sentencing decision. See Booth, supra at 504-505. However, assessment of the harm caused by the defendant has long been an important factor in determining the appropriate punishment, and victim impact evidence is simply another method of informing the sentencing authority about such harm. In excluding such evidence, the Court in Booth, supra at 504, misread [501 U.S. 809] the statement in Woodson v. North Carolina, 428 U.S. 280, 304, that the capital defendant must be treated as a "uniquely individual human bein[g]." As Gregg v. Georgia, 428 U.S. 153,.203-204, demonstrates, the Woodson language was not intended to describe a class of evidence that could not be received, but a class of evidence that must be received, i.e., any relevant, nonprejudicial material, see Barefoot v. Estelle, 463 U.S. 880, 898. The Booth Court's misreading of precedent has unfairly weighted the scales in a capital trial. Virtually no limits are placed on the relevant mitigating evidence a capital defendant may introduce concerning his own circumstances. See, e.g., Eddings v. Oklahoma, 455 U.S. 104, 114. The State has a legitimate interest in counteracting such evidence, but the Booth rule prevents it from doing so. Similarly, fairness to the prosecution requires rejection of Gathers' extension of the Booth rule to the prosecutor's argument, since, under the Eighth Amendment, this Court has given the capital defendant's attorney broad latitude to argue relevant mitigating evidence reflecting on his client's individual personality. The Court in Booth, supra at 506-507, also erred in reasoning that it would be difficult, if not impossible, for a capital defendant to rebut victim impact evidence without shifting the focus of the sentencing hearing away from the defendant to the victim. The mere fact that, for tactical reasons, it might not be prudent for the defense to rebut such evidence makes the case no different from others in which a party is faced with this sort of dilemma. Nor is there merit to the concern voiced in Booth, supra at 506, that admission of such evidence permits a jury to find that defendants whose victims were assets to their communities are more deserving of punishment than those whose victims are perceived to be less worthy. Such evidence is not generally offered to encourage comparative judgments of this kind, but is designed to show instead each victim's uniqueness as an individual human being. In the event that victim impact evidence is introduced that is so unduly prejudicial that it renders the trial fundamentally unfair, the Fourteenth Amendment's Due Process Clause provides a mechanism for relief. See Darden v. Wainwright, 477 U.S. 168, 179-183. Thus, a State may properly conclude that, for the jury to assess meaningfully the defendant's moral culpability and blameworthiness, it should have before it at the sentencing phase victim impact evidence. Pp.  817-827.</w:t>
      </w:r>
    </w:p>
    <w:p w:rsidR="00A31137" w:rsidRPr="00A31137" w:rsidRDefault="00A31137" w:rsidP="00A31137">
      <w:r w:rsidRPr="00A31137">
        <w:t>1991, Payne v. Tennessee, 501 U.S. 809</w:t>
      </w:r>
    </w:p>
    <w:p w:rsidR="00A31137" w:rsidRPr="00A31137" w:rsidRDefault="00A31137" w:rsidP="00A31137">
      <w:r w:rsidRPr="00A31137">
        <w:t>(b) Although adherence to the doctrine of stare decisis is usually the best policy, the doctrine is not an inexorable command. This Court has never felt constrained to follow precedent when governing decisions are unworkable or badly reasoned, Smith v. Allwright, 321 U.S. 649,  655, particularly in constitutional cases, where correction through legislative action is practically impossible, Burnet v. Coronado Oil &amp; Gas Co., 285 U.S. 393,  407 (Brandeis, J., dissenting), and in cases involving procedural [501 U.S. 810] and evidentiary rules. Booth and Gathers were decided by the narrowest of margins, over spirited dissents challenging their basic underpinnings; have been questioned by Members of this Court in later decisions; have defied consistent application by the lower courts, see, e.g., State v. Huertas, 51 Ohio St.3d 22, 33, 553 N.E.2d 1058, 1070; and, for the reasons heretofore stated, were wrongly decided. Pp. 827-830.</w:t>
      </w:r>
    </w:p>
    <w:p w:rsidR="00A31137" w:rsidRPr="00A31137" w:rsidRDefault="00A31137" w:rsidP="00A31137">
      <w:r w:rsidRPr="00A31137">
        <w:t>1991, Payne v. Tennessee, 501 U.S. 810</w:t>
      </w:r>
    </w:p>
    <w:p w:rsidR="00A31137" w:rsidRPr="00A31137" w:rsidRDefault="00A31137" w:rsidP="00A31137">
      <w:r w:rsidRPr="00A31137">
        <w:t>791 S.W.2d 10, affirmed.</w:t>
      </w:r>
    </w:p>
    <w:p w:rsidR="00A31137" w:rsidRPr="00A31137" w:rsidRDefault="00A31137" w:rsidP="00A31137">
      <w:r w:rsidRPr="00A31137">
        <w:t>1991, Payne v. Tennessee, 501 U.S. 810</w:t>
      </w:r>
    </w:p>
    <w:p w:rsidR="00A31137" w:rsidRPr="00A31137" w:rsidRDefault="00A31137" w:rsidP="00A31137">
      <w:r w:rsidRPr="00A31137">
        <w:t xml:space="preserve">REHNQUIST, C.J., delivered the opinion of the Court, in which WHITE, O'CONNOR, SCALIA, KENNEDY, and SOUTER, JJ., joined. O'CONNOR, J., filed a concurring opinion, in which WHITE and KENNEDY, JJ., joined, post, p.  830. SCALIA, J., filed a concurring opinion, in Part II of which O'CONNOR and KENNEDY, JJ., joined, post, p.  833. SOUTER, J., filed a concurring opinion, in which KENNEDY, J., joined, post, p.  835. MARSHALL, J., filed a dissenting opinion, in which BLACKMUN, J., joined, post, p.  844. STEVENS, J., filed a dissenting opinion, in which BLACKMUN, J., joined, post, p.  856. [501 U.S. 811] </w:t>
      </w:r>
    </w:p>
    <w:p w:rsidR="00A31137" w:rsidRPr="00A31137" w:rsidRDefault="00A31137" w:rsidP="00A31137">
      <w:r w:rsidRPr="00A31137">
        <w:t>REHNQUIST, J., lead opinion</w:t>
      </w:r>
    </w:p>
    <w:p w:rsidR="00A31137" w:rsidRPr="00A31137" w:rsidRDefault="00A31137" w:rsidP="00A31137">
      <w:r w:rsidRPr="00A31137">
        <w:t>1991, Payne v. Tennessee, 501 U.S. 811</w:t>
      </w:r>
    </w:p>
    <w:p w:rsidR="00A31137" w:rsidRPr="00A31137" w:rsidRDefault="00A31137" w:rsidP="00A31137">
      <w:r w:rsidRPr="00A31137">
        <w:t>CHIEF JUSTICE REHNQUIST delivered the opinion of the Court.</w:t>
      </w:r>
    </w:p>
    <w:p w:rsidR="00A31137" w:rsidRPr="00A31137" w:rsidRDefault="00A31137" w:rsidP="00A31137">
      <w:r w:rsidRPr="00A31137">
        <w:t>1991, Payne v. Tennessee, 501 U.S. 811</w:t>
      </w:r>
    </w:p>
    <w:p w:rsidR="00A31137" w:rsidRPr="00A31137" w:rsidRDefault="00A31137" w:rsidP="00A31137">
      <w:r w:rsidRPr="00A31137">
        <w:t>In this case, we reconsider our holdings in Booth v. Maryland, 482 U.S. 496 (1987), and South Carolina v. Gathers, 490 U.S. 805 (1989), that the Eighth Amendment bars the admission of victim impact evidence during the penalty phase of a capital trial.</w:t>
      </w:r>
    </w:p>
    <w:p w:rsidR="00A31137" w:rsidRPr="00A31137" w:rsidRDefault="00A31137" w:rsidP="00A31137">
      <w:r w:rsidRPr="00A31137">
        <w:t>1991, Payne v. Tennessee, 501 U.S. 811</w:t>
      </w:r>
    </w:p>
    <w:p w:rsidR="00A31137" w:rsidRPr="00A31137" w:rsidRDefault="00A31137" w:rsidP="00A31137">
      <w:r w:rsidRPr="00A31137">
        <w:t>Petitioner, Pervis Tyrone Payne, was convicted by a jury on two counts of first-degree murder and one count of assault with intent to commit murder in the first degree. He was sentenced to death for each of the murders and to 30 years in prison for the assault.</w:t>
      </w:r>
    </w:p>
    <w:p w:rsidR="00A31137" w:rsidRPr="00A31137" w:rsidRDefault="00A31137" w:rsidP="00A31137">
      <w:r w:rsidRPr="00A31137">
        <w:t>1991, Payne v. Tennessee, 501 U.S. 811</w:t>
      </w:r>
    </w:p>
    <w:p w:rsidR="00A31137" w:rsidRPr="00A31137" w:rsidRDefault="00A31137" w:rsidP="00A31137">
      <w:r w:rsidRPr="00A31137">
        <w:t>The victims of Payne's offenses were 28-year-old Charisse Christopher, her 2-year-old daughter Lacie, and her 3-year-old son Nicholas. The three lived together in an apartment in Millington, Tennessee, across the hall from Payne's girlfriend, Bobbie Thomas. On Saturday, June 27, 1987, Payne visited Thomas' apartment several times in expectation of her return from her mother's house in Arkansas, but found no one at home. On one visit, he left his overnight bag, containing [501 U.S. 812] clothes and other items for his weekend stay, in the hallway outside Thomas' apartment. With the bag were three cans of malt liquor.</w:t>
      </w:r>
    </w:p>
    <w:p w:rsidR="00A31137" w:rsidRPr="00A31137" w:rsidRDefault="00A31137" w:rsidP="00A31137">
      <w:r w:rsidRPr="00A31137">
        <w:t>1991, Payne v. Tennessee, 501 U.S. 812</w:t>
      </w:r>
    </w:p>
    <w:p w:rsidR="00A31137" w:rsidRPr="00A31137" w:rsidRDefault="00A31137" w:rsidP="00A31137">
      <w:r w:rsidRPr="00A31137">
        <w:t>Payne passed the morning and early afternoon injecting cocaine and drinking beer. Later, he drove around the town with a friend in the friend's car, each of them taking turns reading a pornographic magazine. Sometime around 3 p.m., Payne returned to the apartment complex, entered the Christophers' apartment, and began making sexual advances towards Charisse. Charisse resisted, and Payne became violent. A neighbor who resided in the apartment directly beneath the Christophers heard Charisse screaming, "'Get out, get out,' as if she were telling the children to leave." Brief for Respondent 3. The noise briefly subsided, and then began, "'horribly loud.'" Ibid. T he neighbor called the police after she heard a "blood curdling scream" from the Christophers' apartment. Ibid.</w:t>
      </w:r>
    </w:p>
    <w:p w:rsidR="00A31137" w:rsidRPr="00A31137" w:rsidRDefault="00A31137" w:rsidP="00A31137">
      <w:r w:rsidRPr="00A31137">
        <w:t>1991, Payne v. Tennessee, 501 U.S. 812</w:t>
      </w:r>
    </w:p>
    <w:p w:rsidR="00A31137" w:rsidRPr="00A31137" w:rsidRDefault="00A31137" w:rsidP="00A31137">
      <w:r w:rsidRPr="00A31137">
        <w:t>When the first police officer arrived at the scene, he immediately encountered Payne, who was leaving the apartment building, so covered with blood that he appeared to be "'sweating blood.'" The officer confronted Payne, who responded, "'I'm the complainant.'" Id. at 3-4. When the officer asked, "'What's going on up there?'", Payne struck the officer with the overnight bag, dropped his tennis shoes, and fled. 791 S.W.2d 10, 12 (Tenn.1990).</w:t>
      </w:r>
    </w:p>
    <w:p w:rsidR="00A31137" w:rsidRPr="00A31137" w:rsidRDefault="00A31137" w:rsidP="00A31137">
      <w:r w:rsidRPr="00A31137">
        <w:t>1991, Payne v. Tennessee, 501 U.S. 812</w:t>
      </w:r>
    </w:p>
    <w:p w:rsidR="00A31137" w:rsidRPr="00A31137" w:rsidRDefault="00A31137" w:rsidP="00A31137">
      <w:r w:rsidRPr="00A31137">
        <w:t xml:space="preserve">Inside the apartment, the police encountered a horrifying scene. Blood covered the walls and floor throughout the unit. Charisse and her children were lying on the floor in the kitchen. Nicholas, despite several wounds inflicted by a butcher knife that completely penetrated through his body from front to back, was still breathing. Miraculously, he survived, but not until after undergoing seven hours of surgery and a transfusion of 1,700 cc's of blood—400 to 500 cc's more than his estimated normal blood volume. Charisse and Lacie were dead. [501 U.S. 813] </w:t>
      </w:r>
    </w:p>
    <w:p w:rsidR="00A31137" w:rsidRPr="00A31137" w:rsidRDefault="00A31137" w:rsidP="00A31137">
      <w:r w:rsidRPr="00A31137">
        <w:t>1991, Payne v. Tennessee, 501 U.S. 813</w:t>
      </w:r>
    </w:p>
    <w:p w:rsidR="00A31137" w:rsidRPr="00A31137" w:rsidRDefault="00A31137" w:rsidP="00A31137">
      <w:r w:rsidRPr="00A31137">
        <w:t>Charisse's body was found on the kitchen floor on her back, her legs fully extended. She had sustained 42 direct knife wounds and 42 defensive wounds on her arms and hands. The wounds were caused by 41 separate thrusts of a butcher knife. None of the 84 wounds inflicted by Payne were individually fatal; rather, the cause of death was most likely bleeding from all of the wounds.</w:t>
      </w:r>
    </w:p>
    <w:p w:rsidR="00A31137" w:rsidRPr="00A31137" w:rsidRDefault="00A31137" w:rsidP="00A31137">
      <w:r w:rsidRPr="00A31137">
        <w:t>1991, Payne v. Tennessee, 501 U.S. 813</w:t>
      </w:r>
    </w:p>
    <w:p w:rsidR="00A31137" w:rsidRPr="00A31137" w:rsidRDefault="00A31137" w:rsidP="00A31137">
      <w:r w:rsidRPr="00A31137">
        <w:t>Lacie's body was on the kitchen floor near her mother. She had suffered stab wounds to the chest, abdomen, back, and head. The murder weapon, a butcher knife, was found at her feet. Payne's baseball cap was snapped on her arm near her elbow. Three cans of malt liquor bearing Payne's fingerprints were found on a table near her body, and a fourth empty one was on the landing outside the apartment door.</w:t>
      </w:r>
    </w:p>
    <w:p w:rsidR="00A31137" w:rsidRPr="00A31137" w:rsidRDefault="00A31137" w:rsidP="00A31137">
      <w:r w:rsidRPr="00A31137">
        <w:t>1991, Payne v. Tennessee, 501 U.S. 813</w:t>
      </w:r>
    </w:p>
    <w:p w:rsidR="00A31137" w:rsidRPr="00A31137" w:rsidRDefault="00A31137" w:rsidP="00A31137">
      <w:r w:rsidRPr="00A31137">
        <w:t>Payne was apprehended later that day hiding in the attic of the home of a former girlfriend. As he descended the stairs of the attic, he stated to the arresting officers, "'Man, I ain't killed no woman.'" Id. at 13. According to one of the officers, Payne had "'a wild look about him. His pupils were contracted. He was foaming at the mouth, saliva. He appeared to be very nervous. He was breathing real rapid.'" Ibid. He had blood on his body and clothes and several scratches across his chest. It was later determined that the blood stains matched the victims' blood types. A search of his pockets revealed a packet containing cocaine residue, a hypodermic syringe wrapper, and a cap from a hypodermic syringe. His overnight bag, containing a bloody white shirt, was found in a nearby dumpster.</w:t>
      </w:r>
    </w:p>
    <w:p w:rsidR="00A31137" w:rsidRPr="00A31137" w:rsidRDefault="00A31137" w:rsidP="00A31137">
      <w:r w:rsidRPr="00A31137">
        <w:t>1991, Payne v. Tennessee, 501 U.S. 813</w:t>
      </w:r>
    </w:p>
    <w:p w:rsidR="00A31137" w:rsidRPr="00A31137" w:rsidRDefault="00A31137" w:rsidP="00A31137">
      <w:r w:rsidRPr="00A31137">
        <w:t>At trial, Payne took the stand and, despite the overwhelming and relatively uncontroverted evidence against him, testified that he had not harmed any of the Christophers. Rather, he asserted that another man had raced by him as he was walking up the stairs to the floor where the Christophers lived. He stated that he had gotten blood on himself when, after hearing moans from the Christophers' apartment, he [501 U.S. 814] had tried to help the victims. According to his testimony, he panicked and fled when he heard police sirens and noticed the blood on his clothes. The jury returned guilty verdicts against Payne on all counts.</w:t>
      </w:r>
    </w:p>
    <w:p w:rsidR="00A31137" w:rsidRPr="00A31137" w:rsidRDefault="00A31137" w:rsidP="00A31137">
      <w:r w:rsidRPr="00A31137">
        <w:t>1991, Payne v. Tennessee, 501 U.S. 814</w:t>
      </w:r>
    </w:p>
    <w:p w:rsidR="00A31137" w:rsidRPr="00A31137" w:rsidRDefault="00A31137" w:rsidP="00A31137">
      <w:r w:rsidRPr="00A31137">
        <w:t>During the sentencing phase of the trial, Payne presented the testimony of four witnesses: his mother and father, Bobbie Thomas, and Dr. John T. Hutson, a clinical psychologist specializing in criminal court evaluation work. Bobbie Thomas testified that she met Payne at church, during a time when she was being abused by her husband. She stated that Payne was a very caring person, and that he devoted much time and attention to her three children, who were being affected by her marital difficulties. She said that the children had come to love him very much, and would miss him, and that he "behaved just like a father that loved his kids." She asserted that he did not drink, nor did he use drugs, and that it was generally inconsistent with Payne's character to have committed these crimes.</w:t>
      </w:r>
    </w:p>
    <w:p w:rsidR="00A31137" w:rsidRPr="00A31137" w:rsidRDefault="00A31137" w:rsidP="00A31137">
      <w:r w:rsidRPr="00A31137">
        <w:t>1991, Payne v. Tennessee, 501 U.S. 814</w:t>
      </w:r>
    </w:p>
    <w:p w:rsidR="00A31137" w:rsidRPr="00A31137" w:rsidRDefault="00A31137" w:rsidP="00A31137">
      <w:r w:rsidRPr="00A31137">
        <w:t>Dr. Hutson testified that, based on Payne's low score on an IQ test, Payne was "mentally handicapped." Hutson also said that Payne was neither psychotic nor schizophrenic, and that Payne was the most polite prisoner he had ever met. Payne's parents testified that their son had no prior criminal record, and had never been arrested. They also stated that Payne had no history of alcohol or drug abuse, he worked with his father as a painter, he was good with children, and he was a good son.</w:t>
      </w:r>
    </w:p>
    <w:p w:rsidR="00A31137" w:rsidRPr="00A31137" w:rsidRDefault="00A31137" w:rsidP="00A31137">
      <w:r w:rsidRPr="00A31137">
        <w:t>1991, Payne v. Tennessee, 501 U.S. 814</w:t>
      </w:r>
    </w:p>
    <w:p w:rsidR="00A31137" w:rsidRPr="00A31137" w:rsidRDefault="00A31137" w:rsidP="00A31137">
      <w:r w:rsidRPr="00A31137">
        <w:t>The State presented the testimony of Charisse's mother, Mary Zvolanek. When asked how Nicholas had been affected by the murders of his mother and sister, she responded:</w:t>
      </w:r>
    </w:p>
    <w:p w:rsidR="00A31137" w:rsidRPr="00A31137" w:rsidRDefault="00A31137" w:rsidP="00A31137">
      <w:r w:rsidRPr="00A31137">
        <w:t>1991, Payne v. Tennessee, 501 U.S. 814</w:t>
      </w:r>
    </w:p>
    <w:p w:rsidR="00A31137" w:rsidRPr="00A31137" w:rsidRDefault="00A31137" w:rsidP="00A31137">
      <w:r w:rsidRPr="00A31137">
        <w:t>He cries for his mom. He doesn't seem to understand why she doesn't come home. And he cries for his sister Lacie. He comes to me many times during the week and asks me, Grandmama, do you miss my Lacie. And I [501 U.S. 815] tell him yes. He says, I'm worried about my Lacie.</w:t>
      </w:r>
    </w:p>
    <w:p w:rsidR="00A31137" w:rsidRPr="00A31137" w:rsidRDefault="00A31137" w:rsidP="00A31137">
      <w:r w:rsidRPr="00A31137">
        <w:t>1991, Payne v. Tennessee, 501 U.S. 815</w:t>
      </w:r>
    </w:p>
    <w:p w:rsidR="00A31137" w:rsidRPr="00A31137" w:rsidRDefault="00A31137" w:rsidP="00A31137">
      <w:r w:rsidRPr="00A31137">
        <w:t>App. 3.</w:t>
      </w:r>
    </w:p>
    <w:p w:rsidR="00A31137" w:rsidRPr="00A31137" w:rsidRDefault="00A31137" w:rsidP="00A31137">
      <w:r w:rsidRPr="00A31137">
        <w:t>1991, Payne v. Tennessee, 501 U.S. 815</w:t>
      </w:r>
    </w:p>
    <w:p w:rsidR="00A31137" w:rsidRPr="00A31137" w:rsidRDefault="00A31137" w:rsidP="00A31137">
      <w:r w:rsidRPr="00A31137">
        <w:t>In arguing for the death penalty during closing argument, the prosecutor commented on the continuing effects of Nicholas' experience, stating:</w:t>
      </w:r>
    </w:p>
    <w:p w:rsidR="00A31137" w:rsidRPr="00A31137" w:rsidRDefault="00A31137" w:rsidP="00A31137">
      <w:r w:rsidRPr="00A31137">
        <w:t>1991, Payne v. Tennessee, 501 U.S. 815</w:t>
      </w:r>
    </w:p>
    <w:p w:rsidR="00A31137" w:rsidRPr="00A31137" w:rsidRDefault="00A31137" w:rsidP="00A31137">
      <w:r w:rsidRPr="00A31137">
        <w:t>But we do know that Nicholas was alive. And Nicholas was in the same room. Nicholas was still conscious. His eyes were open. He responded to the paramedics. He was able to follow their directions. He was able to hold his intestines in as he was carried to the ambulance. So he knew what happened to his mother and baby sister.</w:t>
      </w:r>
    </w:p>
    <w:p w:rsidR="00A31137" w:rsidRPr="00A31137" w:rsidRDefault="00A31137" w:rsidP="00A31137">
      <w:r w:rsidRPr="00A31137">
        <w:t>1991, Payne v. Tennessee, 501 U.S. 815</w:t>
      </w:r>
    </w:p>
    <w:p w:rsidR="00A31137" w:rsidRPr="00A31137" w:rsidRDefault="00A31137" w:rsidP="00A31137">
      <w:r w:rsidRPr="00A31137">
        <w:t>Id. at 9.</w:t>
      </w:r>
    </w:p>
    <w:p w:rsidR="00A31137" w:rsidRPr="00A31137" w:rsidRDefault="00A31137" w:rsidP="00A31137">
      <w:r w:rsidRPr="00A31137">
        <w:t>1991, Payne v. Tennessee, 501 U.S. 815</w:t>
      </w:r>
    </w:p>
    <w:p w:rsidR="00A31137" w:rsidRPr="00A31137" w:rsidRDefault="00A31137" w:rsidP="00A31137">
      <w:r w:rsidRPr="00A31137">
        <w:t>There is nothing you can do to ease the pain of any of the families involved in this case. There is nothing you can do to ease the pain of Bernice or Carl Payne, and that's a tragedy. There is nothing you can do basically to ease the pain of Mr. and Mrs. Zvolanek, and that's a tragedy. They will have to live with it the rest of their lives. There is obviously nothing you can do for Charisse and Lacie Jo. But there is something that you can do for Nicholas.</w:t>
      </w:r>
    </w:p>
    <w:p w:rsidR="00A31137" w:rsidRPr="00A31137" w:rsidRDefault="00A31137" w:rsidP="00A31137">
      <w:r w:rsidRPr="00A31137">
        <w:t>1991, Payne v. Tennessee, 501 U.S. 815</w:t>
      </w:r>
    </w:p>
    <w:p w:rsidR="00A31137" w:rsidRPr="00A31137" w:rsidRDefault="00A31137" w:rsidP="00A31137">
      <w:r w:rsidRPr="00A31137">
        <w:t>Somewhere down the road Nicholas is going to grow up, hopefully. He's going to want to know what happened. And he is going to know what happened to his baby sister and his mother. He is going to want to know what type of justice was done. He is going to want to know what happened. With your verdict, you will provide the answer.</w:t>
      </w:r>
    </w:p>
    <w:p w:rsidR="00A31137" w:rsidRPr="00A31137" w:rsidRDefault="00A31137" w:rsidP="00A31137">
      <w:r w:rsidRPr="00A31137">
        <w:t>1991, Payne v. Tennessee, 501 U.S. 815</w:t>
      </w:r>
    </w:p>
    <w:p w:rsidR="00A31137" w:rsidRPr="00A31137" w:rsidRDefault="00A31137" w:rsidP="00A31137">
      <w:r w:rsidRPr="00A31137">
        <w:t>Id. at 12.</w:t>
      </w:r>
    </w:p>
    <w:p w:rsidR="00A31137" w:rsidRPr="00A31137" w:rsidRDefault="00A31137" w:rsidP="00A31137">
      <w:r w:rsidRPr="00A31137">
        <w:t>1991, Payne v. Tennessee, 501 U.S. 815</w:t>
      </w:r>
    </w:p>
    <w:p w:rsidR="00A31137" w:rsidRPr="00A31137" w:rsidRDefault="00A31137" w:rsidP="00A31137">
      <w:r w:rsidRPr="00A31137">
        <w:t>In the rebuttal to Payne's closing argument, the prosecutor stated:</w:t>
      </w:r>
    </w:p>
    <w:p w:rsidR="00A31137" w:rsidRPr="00A31137" w:rsidRDefault="00A31137" w:rsidP="00A31137">
      <w:r w:rsidRPr="00A31137">
        <w:t>1991, Payne v. Tennessee, 501 U.S. 815</w:t>
      </w:r>
    </w:p>
    <w:p w:rsidR="00A31137" w:rsidRPr="00A31137" w:rsidRDefault="00A31137" w:rsidP="00A31137">
      <w:r w:rsidRPr="00A31137">
        <w:t>You saw the videotape this morning. You saw what Nicholas Christopher will carry in his mind forever. When you talk about cruel, when you talk about atrocious, and when you talk about heinous, that picture will [501 U.S. 816] always come into your mind, probably throughout the rest of your lives….</w:t>
      </w:r>
    </w:p>
    <w:p w:rsidR="00A31137" w:rsidRPr="00A31137" w:rsidRDefault="00A31137" w:rsidP="00A31137">
      <w:r w:rsidRPr="00A31137">
        <w:t>*    *    *    *</w:t>
      </w:r>
    </w:p>
    <w:p w:rsidR="00A31137" w:rsidRPr="00A31137" w:rsidRDefault="00A31137" w:rsidP="00A31137">
      <w:r w:rsidRPr="00A31137">
        <w:t>1991, Payne v. Tennessee, 501 U.S. 816</w:t>
      </w:r>
    </w:p>
    <w:p w:rsidR="00A31137" w:rsidRPr="00A31137" w:rsidRDefault="00A31137" w:rsidP="00A31137">
      <w:r w:rsidRPr="00A31137">
        <w:t>…No one will ever know about Lacie Jo, because she never had the chance to grow up. Her life was taken from her at the age of two years old. So, no, there won't be a high school principal to talk about Lacie Jo Christopher, and there won't be anybody to take her to her high school prom. And there won't be anybody there—there won't be her mother there or Nicholas' mother there to kiss him at night. His mother will never kiss him good night or pat him as he goes off to bed, or hold him and sing him a lullaby.</w:t>
      </w:r>
    </w:p>
    <w:p w:rsidR="00A31137" w:rsidRPr="00A31137" w:rsidRDefault="00A31137" w:rsidP="00A31137">
      <w:r w:rsidRPr="00A31137">
        <w:t>*    *    *    *</w:t>
      </w:r>
    </w:p>
    <w:p w:rsidR="00A31137" w:rsidRPr="00A31137" w:rsidRDefault="00A31137" w:rsidP="00A31137">
      <w:r w:rsidRPr="00A31137">
        <w:t>1991, Payne v. Tennessee, 501 U.S. 816</w:t>
      </w:r>
    </w:p>
    <w:p w:rsidR="00A31137" w:rsidRPr="00A31137" w:rsidRDefault="00A31137" w:rsidP="00A31137">
      <w:r w:rsidRPr="00A31137">
        <w:t>[Petitioner's attorney] wants you to think about a good reputation, people who love the defendant and things about him. He doesn't want you to think about the people who love Charisse Christopher, her mother and daddy who loved her. The people who loved little Lacie Jo, the grandparents who are still here. The brother who mourns for her every single day and wants to know where his best little playmate is. He doesn't have anybody to watch cartoons with him, a little one. These are the things that go into why it is especially cruel, heinous, and atrocious, the burden that that child will carry forever.</w:t>
      </w:r>
    </w:p>
    <w:p w:rsidR="00A31137" w:rsidRPr="00A31137" w:rsidRDefault="00A31137" w:rsidP="00A31137">
      <w:r w:rsidRPr="00A31137">
        <w:t>1991, Payne v. Tennessee, 501 U.S. 816</w:t>
      </w:r>
    </w:p>
    <w:p w:rsidR="00A31137" w:rsidRPr="00A31137" w:rsidRDefault="00A31137" w:rsidP="00A31137">
      <w:r w:rsidRPr="00A31137">
        <w:t>Id. at 13-15.</w:t>
      </w:r>
    </w:p>
    <w:p w:rsidR="00A31137" w:rsidRPr="00A31137" w:rsidRDefault="00A31137" w:rsidP="00A31137">
      <w:r w:rsidRPr="00A31137">
        <w:t>1991, Payne v. Tennessee, 501 U.S. 816</w:t>
      </w:r>
    </w:p>
    <w:p w:rsidR="00A31137" w:rsidRPr="00A31137" w:rsidRDefault="00A31137" w:rsidP="00A31137">
      <w:r w:rsidRPr="00A31137">
        <w:t>The jury sentenced Payne to death on each of the murder counts.</w:t>
      </w:r>
    </w:p>
    <w:p w:rsidR="00A31137" w:rsidRPr="00A31137" w:rsidRDefault="00A31137" w:rsidP="00A31137">
      <w:r w:rsidRPr="00A31137">
        <w:t>1991, Payne v. Tennessee, 501 U.S. 816</w:t>
      </w:r>
    </w:p>
    <w:p w:rsidR="00A31137" w:rsidRPr="00A31137" w:rsidRDefault="00A31137" w:rsidP="00A31137">
      <w:r w:rsidRPr="00A31137">
        <w:t>The Supreme Court of Tennessee affirmed the conviction and sentence. 791 S.W.2d 10 (1990). The court rejected Payne's contention that the admission of the grandmother's testimony and the State's closing argument constituted prejudicial violations of his rights under the Eighth Amendment as applied in Booth v. Maryland, 482 U.S. 496 (1987), and South Carolina v. Gathers, 490 U.S. 805 (1989). The court characterized the grandmother's testimony as "technically irrelevant," [501 U.S. 817] but concluded that it "did not create a constitutionally unacceptable risk of an arbitrary imposition of the death penalty, and was harmless beyond a reasonable doubt." 791 S.W.2d at 18.</w:t>
      </w:r>
    </w:p>
    <w:p w:rsidR="00A31137" w:rsidRPr="00A31137" w:rsidRDefault="00A31137" w:rsidP="00A31137">
      <w:r w:rsidRPr="00A31137">
        <w:t>1991, Payne v. Tennessee, 501 U.S. 817</w:t>
      </w:r>
    </w:p>
    <w:p w:rsidR="00A31137" w:rsidRPr="00A31137" w:rsidRDefault="00A31137" w:rsidP="00A31137">
      <w:r w:rsidRPr="00A31137">
        <w:t>The court determined that the prosecutor's comments during closing argument were "relevant to [Payne's] personal responsibility and moral guilt." Id. at 19. The court explained that</w:t>
      </w:r>
    </w:p>
    <w:p w:rsidR="00A31137" w:rsidRPr="00A31137" w:rsidRDefault="00A31137" w:rsidP="00A31137">
      <w:r w:rsidRPr="00A31137">
        <w:t>1991, Payne v. Tennessee, 501 U.S. 817</w:t>
      </w:r>
    </w:p>
    <w:p w:rsidR="00A31137" w:rsidRPr="00A31137" w:rsidRDefault="00A31137" w:rsidP="00A31137">
      <w:r w:rsidRPr="00A31137">
        <w:t>[w]hen a person deliberately picks a butcher knife out of a kitchen drawer and proceeds to stab to death a twenty-eight-year-old mother, her two and one-half year old daughter, and her three and one-half year old son, in the same room, the physical and mental condition of the boy he left for dead is surely relevant in determining his "blameworthiness."</w:t>
      </w:r>
    </w:p>
    <w:p w:rsidR="00A31137" w:rsidRPr="00A31137" w:rsidRDefault="00A31137" w:rsidP="00A31137">
      <w:r w:rsidRPr="00A31137">
        <w:t>1991, Payne v. Tennessee, 501 U.S. 817</w:t>
      </w:r>
    </w:p>
    <w:p w:rsidR="00A31137" w:rsidRPr="00A31137" w:rsidRDefault="00A31137" w:rsidP="00A31137">
      <w:r w:rsidRPr="00A31137">
        <w:t>The court concluded that any violation of Payne's rights under Booth and Gathers "was harmless beyond a reasonable doubt." Ibid.</w:t>
      </w:r>
    </w:p>
    <w:p w:rsidR="00A31137" w:rsidRPr="00A31137" w:rsidRDefault="00A31137" w:rsidP="00A31137">
      <w:r w:rsidRPr="00A31137">
        <w:t>1991, Payne v. Tennessee, 501 U.S. 817</w:t>
      </w:r>
    </w:p>
    <w:p w:rsidR="00A31137" w:rsidRPr="00A31137" w:rsidRDefault="00A31137" w:rsidP="00A31137">
      <w:r w:rsidRPr="00A31137">
        <w:t>We granted certiorari, 498 U.S. 1080 (1991), to reconsider our holdings in Booth and Gathers that the Eighth Amendment prohibits a capital sentencing jury from considering "victim impact" evidence relating to the personal characteristics of the victim and the emotional impact of the crimes on the victim's family.</w:t>
      </w:r>
    </w:p>
    <w:p w:rsidR="00A31137" w:rsidRPr="00A31137" w:rsidRDefault="00A31137" w:rsidP="00A31137">
      <w:r w:rsidRPr="00A31137">
        <w:t>1991, Payne v. Tennessee, 501 U.S. 817</w:t>
      </w:r>
    </w:p>
    <w:p w:rsidR="00A31137" w:rsidRPr="00A31137" w:rsidRDefault="00A31137" w:rsidP="00A31137">
      <w:r w:rsidRPr="00A31137">
        <w:t>In Booth, the defendant robbed and murdered an elderly couple. As required by a state statute, a victim impact statement was prepared based on interviews with the victims' son, daughter, son-in-law, and granddaughter. The statement, which described the personal characteristics of the victims, the emotional impact of the crimes on the family, and set forth the family members' opinions and characterizations of the crimes and the defendant, was submitted to the jury at sentencing. The jury imposed the death penalty. The conviction and sentence were affirmed on appeal by the State's highest court.</w:t>
      </w:r>
    </w:p>
    <w:p w:rsidR="00A31137" w:rsidRPr="00A31137" w:rsidRDefault="00A31137" w:rsidP="00A31137">
      <w:r w:rsidRPr="00A31137">
        <w:t>1991, Payne v. Tennessee, 501 U.S. 817</w:t>
      </w:r>
    </w:p>
    <w:p w:rsidR="00A31137" w:rsidRPr="00A31137" w:rsidRDefault="00A31137" w:rsidP="00A31137">
      <w:r w:rsidRPr="00A31137">
        <w:t>This Court held by a 5-to-4 vote that the Eighth Amendment prohibits a jury from considering a victim impact statement at the sentencing phase of a capital trial. The Court [501 U.S. 818] made clear that the admissibility of victim impact evidence was not to be determined on a case-by-case basis, but that such evidence was per se inadmissible in the sentencing phase of a capital case except to the extent that it "relate[d] directly to the circumstances of the crime." 482 U.S. at 507, n. 10 In Gathers, decided two years later, the Court extended the rule announced in Booth to statements made by a prosecutor to the sentencing jury regarding the personal qualities of the victim.</w:t>
      </w:r>
    </w:p>
    <w:p w:rsidR="00A31137" w:rsidRPr="00A31137" w:rsidRDefault="00A31137" w:rsidP="00A31137">
      <w:r w:rsidRPr="00A31137">
        <w:t>1991, Payne v. Tennessee, 501 U.S. 818</w:t>
      </w:r>
    </w:p>
    <w:p w:rsidR="00A31137" w:rsidRPr="00A31137" w:rsidRDefault="00A31137" w:rsidP="00A31137">
      <w:r w:rsidRPr="00A31137">
        <w:t>The Booth Court began its analysis with the observation that the capital defendant must be treated as a "'uniquely individual human bein[g],'" 482 U.S. at 504 (quoting Woodson v. North Carolina, 428 U.S. 280, 304 (1976)), and therefore the Constitution requires the jury to make an individualized determination as to whether the defendant should be executed based on the "'character of the individual and the circumstances of the crime.'" 482 U.S. at 502 (quoting Zant v. Stephens, 462 U.S. 862, 879 (1983)). The Court concluded that, while no prior decision of this Court had mandated that only the defendant's character and immediate characteristics of the crime may constitutionally be considered, other factors are irrelevant to the capital sentencing decision unless they have "some bearing on the defendant's 'personal responsibility and moral guilt.'" 482 U.S. at 502 (quoting Enmund v. Florida, 458 U.S. 782, 801 (1982)). To the extent that victim impact evidence presents "factors about which the defendant was unaware, and that were irrelevant to the decision to kill," the Court concluded, it has nothing to do with the "blameworthiness of a particular defendant." 482 U.S. at 504, 505. Evidence of the victim's character, the Court observed,</w:t>
      </w:r>
    </w:p>
    <w:p w:rsidR="00A31137" w:rsidRPr="00A31137" w:rsidRDefault="00A31137" w:rsidP="00A31137">
      <w:r w:rsidRPr="00A31137">
        <w:t>1991, Payne v. Tennessee, 501 U.S. 818</w:t>
      </w:r>
    </w:p>
    <w:p w:rsidR="00A31137" w:rsidRPr="00A31137" w:rsidRDefault="00A31137" w:rsidP="00A31137">
      <w:r w:rsidRPr="00A31137">
        <w:t>could well distract the sentencing jury from its constitutionally required task [of] determining whether the death penalty is appropriate in light of the background and record of the accused and the particular circumstances of the crime.</w:t>
      </w:r>
    </w:p>
    <w:p w:rsidR="00A31137" w:rsidRPr="00A31137" w:rsidRDefault="00A31137" w:rsidP="00A31137">
      <w:r w:rsidRPr="00A31137">
        <w:t>1991, Payne v. Tennessee, 501 U.S. 818</w:t>
      </w:r>
    </w:p>
    <w:p w:rsidR="00A31137" w:rsidRPr="00A31137" w:rsidRDefault="00A31137" w:rsidP="00A31137">
      <w:r w:rsidRPr="00A31137">
        <w:t>The Court concluded that, except to the extent that victim impact evidence relates "directly [501 U.S. 819] to the circumstances of the crime," id. at 507, and n. 10, the prosecution may not introduce such evidence at a capital sentencing hearing, because "it creates an impermissible risk that the capital sentencing decision will be made in an arbitrary manner," id. at 505.</w:t>
      </w:r>
    </w:p>
    <w:p w:rsidR="00A31137" w:rsidRPr="00A31137" w:rsidRDefault="00A31137" w:rsidP="00A31137">
      <w:r w:rsidRPr="00A31137">
        <w:t>1991, Payne v. Tennessee, 501 U.S. 819</w:t>
      </w:r>
    </w:p>
    <w:p w:rsidR="00A31137" w:rsidRPr="00A31137" w:rsidRDefault="00A31137" w:rsidP="00A31137">
      <w:r w:rsidRPr="00A31137">
        <w:t>Booth and Gathers were based on two premises: that evidence relating to a particular victim or to the harm that a capital defendant causes a victim's family do not in general reflect on the defendant's "blameworthiness," and that only evidence relating to "blameworthiness" is relevant to the capital sentencing decision. However, the assessment of harm caused by the defendant as a result of the crime charged has understandably been an important concern of the criminal law, both in determining the elements of the offense and in determining the appropriate punishment. Thus, two equally blameworthy criminal defendants may be guilty of different offenses solely because their acts cause differing amounts of harm.</w:t>
      </w:r>
    </w:p>
    <w:p w:rsidR="00A31137" w:rsidRPr="00A31137" w:rsidRDefault="00A31137" w:rsidP="00A31137">
      <w:r w:rsidRPr="00A31137">
        <w:t>1991, Payne v. Tennessee, 501 U.S. 819</w:t>
      </w:r>
    </w:p>
    <w:p w:rsidR="00A31137" w:rsidRPr="00A31137" w:rsidRDefault="00A31137" w:rsidP="00A31137">
      <w:r w:rsidRPr="00A31137">
        <w:t>If a bank robber aims his gun at a guard, pulls the trigger, and kills his target, he may be put to death. If the gun unexpectedly misfires, he may not. His moral guilt in both cases is identical, but his responsibility in the former is greater.</w:t>
      </w:r>
    </w:p>
    <w:p w:rsidR="00A31137" w:rsidRPr="00A31137" w:rsidRDefault="00A31137" w:rsidP="00A31137">
      <w:r w:rsidRPr="00A31137">
        <w:t>1991, Payne v. Tennessee, 501 U.S. 819</w:t>
      </w:r>
    </w:p>
    <w:p w:rsidR="00A31137" w:rsidRPr="00A31137" w:rsidRDefault="00A31137" w:rsidP="00A31137">
      <w:r w:rsidRPr="00A31137">
        <w:t>Booth, 482 U.S. at 519 (SCALIA, J., dissenting). The same is true with respect to two defendants, each of whom participates in a robbery, and each of whom acts with reckless disregard for human life; if the robbery in which the first defendant participated results in the death of a victim, he may be subjected to the death penalty, but if the robbery in which the second defendant participates does not result in the death of a victim, the death penalty may not be imposed. Tison v. Arizona, 481 U.S. 137, 148 (1987).</w:t>
      </w:r>
    </w:p>
    <w:p w:rsidR="00A31137" w:rsidRPr="00A31137" w:rsidRDefault="00A31137" w:rsidP="00A31137">
      <w:r w:rsidRPr="00A31137">
        <w:t>1991, Payne v. Tennessee, 501 U.S. 819</w:t>
      </w:r>
    </w:p>
    <w:p w:rsidR="00A31137" w:rsidRPr="00A31137" w:rsidRDefault="00A31137" w:rsidP="00A31137">
      <w:r w:rsidRPr="00A31137">
        <w:t>The principles which have guided criminal sentencing—as opposed to criminal liability—have varied with the times. The book of Exodus prescribes the Lex talionis, "An eye for an eye, a tooth for a tooth." Exodus 21: 22-23. In England and on the continent of Europe, as recently as the 18th century, crimes which would be regarded as quite minor today [501 U.S. 820] were capital offenses. Writing in the 18th century, the Italian criminologist Cesare Beccaria advocated the idea that "the punishment should fit the crime." He said that "[w]e have seen that the true measure of crimes is the injury done to society." J. Farrer, Crimes and Punishments 199 (1880).</w:t>
      </w:r>
    </w:p>
    <w:p w:rsidR="00A31137" w:rsidRPr="00A31137" w:rsidRDefault="00A31137" w:rsidP="00A31137">
      <w:r w:rsidRPr="00A31137">
        <w:t>1991, Payne v. Tennessee, 501 U.S. 820</w:t>
      </w:r>
    </w:p>
    <w:p w:rsidR="00A31137" w:rsidRPr="00A31137" w:rsidRDefault="00A31137" w:rsidP="00A31137">
      <w:r w:rsidRPr="00A31137">
        <w:t>Gradually the list of crimes punishable by death diminished, and legislatures began grading the severity of crimes in accordance with the harm done by the criminal. The sentence for a given offense, rather than being precisely fixed by the legislature, was prescribed in terms of a minimum and a maximum, with the actual sentence to be decided by the judge. With the increasing importance of probation, as opposed to imprisonment, as a part of the penological process, some States such as California developed the "indeterminate sentence," where the time of incarceration was left almost entirely to the penological authorities, rather than to the courts. But more recently, the pendulum has swung back. The Federal Sentencing Guidelines, which went into effect in 1987, provided for very precise calibration of sentences, depending upon a number of factors. These factors relate both to the subjective guilt of the defendant and to the harm caused by his acts.</w:t>
      </w:r>
    </w:p>
    <w:p w:rsidR="00A31137" w:rsidRPr="00A31137" w:rsidRDefault="00A31137" w:rsidP="00A31137">
      <w:r w:rsidRPr="00A31137">
        <w:t>1991, Payne v. Tennessee, 501 U.S. 820</w:t>
      </w:r>
    </w:p>
    <w:p w:rsidR="00A31137" w:rsidRPr="00A31137" w:rsidRDefault="00A31137" w:rsidP="00A31137">
      <w:r w:rsidRPr="00A31137">
        <w:t>Wherever judges in recent years have had discretion to impose sentence, the consideration of the harm caused by the crime has been an important factor in the exercise of that discretion:</w:t>
      </w:r>
    </w:p>
    <w:p w:rsidR="00A31137" w:rsidRPr="00A31137" w:rsidRDefault="00A31137" w:rsidP="00A31137">
      <w:r w:rsidRPr="00A31137">
        <w:t>1991, Payne v. Tennessee, 501 U.S. 820</w:t>
      </w:r>
    </w:p>
    <w:p w:rsidR="00A31137" w:rsidRPr="00A31137" w:rsidRDefault="00A31137" w:rsidP="00A31137">
      <w:r w:rsidRPr="00A31137">
        <w:t>The first significance of harm in Anglo-American jurisprudence is, then, as a prerequisite to the criminal sanction. The second significance of harm—one no less important to judges—is as a measure of the seriousness of the offense, and therefore as a standard for determining the severity of the sentence that will be meted out.</w:t>
      </w:r>
    </w:p>
    <w:p w:rsidR="00A31137" w:rsidRPr="00A31137" w:rsidRDefault="00A31137" w:rsidP="00A31137">
      <w:r w:rsidRPr="00A31137">
        <w:t>1991, Payne v. Tennessee, 501 U.S. 820</w:t>
      </w:r>
    </w:p>
    <w:p w:rsidR="00A31137" w:rsidRPr="00A31137" w:rsidRDefault="00A31137" w:rsidP="00A31137">
      <w:r w:rsidRPr="00A31137">
        <w:t>S. Wheeler, K. Mann, &amp; A. Sarat, Sitting in Judgment: The Sentencing of White-Collar Criminals 56 (1988). Whatever the prevailing sentencing philosophy, the sentencing authority has always been free to consider a wide range of [501 U.S. 821] relevant material. Williams v. New York, 337 U.S. 241 (1949). In the federal system, we observed that</w:t>
      </w:r>
    </w:p>
    <w:p w:rsidR="00A31137" w:rsidRPr="00A31137" w:rsidRDefault="00A31137" w:rsidP="00A31137">
      <w:r w:rsidRPr="00A31137">
        <w:t>1991, Payne v. Tennessee, 501 U.S. 821</w:t>
      </w:r>
    </w:p>
    <w:p w:rsidR="00A31137" w:rsidRPr="00A31137" w:rsidRDefault="00A31137" w:rsidP="00A31137">
      <w:r w:rsidRPr="00A31137">
        <w:t>a judge may appropriately conduct an inquiry broad in scope, largely unlimited either as to the kind of information he may consider, or the source from which it may come.</w:t>
      </w:r>
    </w:p>
    <w:p w:rsidR="00A31137" w:rsidRPr="00A31137" w:rsidRDefault="00A31137" w:rsidP="00A31137">
      <w:r w:rsidRPr="00A31137">
        <w:t>1991, Payne v. Tennessee, 501 U.S. 821</w:t>
      </w:r>
    </w:p>
    <w:p w:rsidR="00A31137" w:rsidRPr="00A31137" w:rsidRDefault="00A31137" w:rsidP="00A31137">
      <w:r w:rsidRPr="00A31137">
        <w:t>United States v. Tucker, 404 U.S. 443, 446 (1972). Even in the context of capital sentencing, prior to Booth, the joint opinion of Justices Stewart, Powell, and STEVENS in Gregg v. Georgia, 428 U.S. 153, 203-204 (1976), had rejected petitioner's attack on the Georgia statute because of the "wide scope of evidence and argument allowed at presentence hearings." The joint opinion stated:</w:t>
      </w:r>
    </w:p>
    <w:p w:rsidR="00A31137" w:rsidRPr="00A31137" w:rsidRDefault="00A31137" w:rsidP="00A31137">
      <w:r w:rsidRPr="00A31137">
        <w:t>1991, Payne v. Tennessee, 501 U.S. 821</w:t>
      </w:r>
    </w:p>
    <w:p w:rsidR="00A31137" w:rsidRPr="00A31137" w:rsidRDefault="00A31137" w:rsidP="00A31137">
      <w:r w:rsidRPr="00A31137">
        <w:t>We think that the Georgia court wisely has chosen not to impose unnecessary restrictions on the evidence that can be offered at such a hearing and to approve open and far-ranging argument…. So long as the evidence introduced and the arguments made at the presentence hearing do not prejudice a defendant, it is preferable not to impose restrictions. We think it desirable for the jury to have as much information before it as possible when it makes the sentencing decision.</w:t>
      </w:r>
    </w:p>
    <w:p w:rsidR="00A31137" w:rsidRPr="00A31137" w:rsidRDefault="00A31137" w:rsidP="00A31137">
      <w:r w:rsidRPr="00A31137">
        <w:t>1991, Payne v. Tennessee, 501 U.S. 821</w:t>
      </w:r>
    </w:p>
    <w:p w:rsidR="00A31137" w:rsidRPr="00A31137" w:rsidRDefault="00A31137" w:rsidP="00A31137">
      <w:r w:rsidRPr="00A31137">
        <w:t>The Maryland statute involved in Booth required that the presentence report in all felony cases include a "victim impact statement" which would describe the effect of the crime on the victim and his family. Booth, supra, at 498. Congress and most of the States have, in recent years, enacted similar legislation to enable the sentencing authority to consider information about the harm caused by the crime committed by the defendant. The evidence involved in the present case was not admitted pursuant to any such enactment, but its purpose and effect were much the same as if it had been. While the admission of this particular kind of evidence—designed to portray for the sentencing authority the actual harm caused by a particular crime—is of recent origin, this fact hardly renders it unconstitutional. Williams v. Florida, 399 U.S. 78 (1970) (upholding the constitutionality of a [501 U.S. 822] notice-of-alibi statute, of a kind enacted by at least 15 States dating from 197); United States v. DiFrancesco, 449 U.S. 117, 142 (1980) (upholding against a double jeopardy challenge an Act of Congress representing "a considered legislative attempt to attack a specific problem in our criminal justice system, that is, the tendency on the part of some trial judges 'to mete out light sentences in cases involving organized crime management personnel'").</w:t>
      </w:r>
    </w:p>
    <w:p w:rsidR="00A31137" w:rsidRPr="00A31137" w:rsidRDefault="00A31137" w:rsidP="00A31137">
      <w:r w:rsidRPr="00A31137">
        <w:t>1991, Payne v. Tennessee, 501 U.S. 822</w:t>
      </w:r>
    </w:p>
    <w:p w:rsidR="00A31137" w:rsidRPr="00A31137" w:rsidRDefault="00A31137" w:rsidP="00A31137">
      <w:r w:rsidRPr="00A31137">
        <w:t xml:space="preserve">We have held that a State cannot preclude the sentencer from considering "any relevant mitigating evidence" that the defendant proffers in support of a sentence less than death. Eddings v. Oklahoma, 455 U.S. 104, 114 (1982). See also Skipper v. South Carolina, 476 U.S. 1 (1986). Thus, we have, as the Court observed in Booth, required that the capital defendant be treated as a "'uniquely individual human bein[g],'" 482 U.S. at 504 (quoting Woodson v. North Carolina, 428 U.S. at 304). But it was never held or even suggested in any of our cases preceding Booth that the defendant, entitled as he was to individualized consideration, was to receive that consideration wholly apart from the crime which he had committed. The language quoted from Woodson in the Booth opinion was not intended to describe a class of evidence that could not be received, but a class of evidence which must be received. Any doubt on the matter is dispelled by comparing the language in Woodson with the language from Gregg v. Georgia, quoted above, which was handed down the same day as Woodson. This misreading of precedent in Booth has, we think, unfairly weighted the scales in a capital trial; while virtually no limits are placed on the relevant mitigating evidence a capital defendant may introduce concerning his own circumstances, the State is barred from either offering "a quick glimpse of the life" which a defendant "chose to extinguish," Mills v. Maryland, 486 U.S. 367, 397 (1988), (REHNQUIST, C.J., dissenting), or demonstrating the loss to the victim's family and to society which has resulted from the defendant's homicide. [501 U.S. 823] </w:t>
      </w:r>
    </w:p>
    <w:p w:rsidR="00A31137" w:rsidRPr="00A31137" w:rsidRDefault="00A31137" w:rsidP="00A31137">
      <w:r w:rsidRPr="00A31137">
        <w:t>1991, Payne v. Tennessee, 501 U.S. 823</w:t>
      </w:r>
    </w:p>
    <w:p w:rsidR="00A31137" w:rsidRPr="00A31137" w:rsidRDefault="00A31137" w:rsidP="00A31137">
      <w:r w:rsidRPr="00A31137">
        <w:t>The Booth Court reasoned that victim impact evidence must be excluded because it would be difficult, if not impossible, for the defendant to rebut such evidence without shifting the focus of the sentencing hearing away from the defendant, thus creating a "'mini-trial' on the victim's character." Booth, supra at 506-507. In many cases, the evidence relating to the victim is already before the jury, at least in part because of its relevance at the guilt phase of the trial. But even as to additional evidence admitted at the sentencing phase, the mere fact that, for tactical reasons, it might not be prudent for the defense to rebut victim impact evidence makes the case no different than others in which a party is faced with this sort of a dilemma. As we explained in rejecting the contention that expert testimony on future dangerousness should be excluded from capital trials,</w:t>
      </w:r>
    </w:p>
    <w:p w:rsidR="00A31137" w:rsidRPr="00A31137" w:rsidRDefault="00A31137" w:rsidP="00A31137">
      <w:r w:rsidRPr="00A31137">
        <w:t>1991, Payne v. Tennessee, 501 U.S. 823</w:t>
      </w:r>
    </w:p>
    <w:p w:rsidR="00A31137" w:rsidRPr="00A31137" w:rsidRDefault="00A31137" w:rsidP="00A31137">
      <w:r w:rsidRPr="00A31137">
        <w:t>the rules of evidence generally extant at the federal and state levels anticipate that relevant, unprivileged evidence should be admitted and its weight left to the factfinder, who would have the benefit of cross-examination and contrary evidence by the opposing party.</w:t>
      </w:r>
    </w:p>
    <w:p w:rsidR="00A31137" w:rsidRPr="00A31137" w:rsidRDefault="00A31137" w:rsidP="00A31137">
      <w:r w:rsidRPr="00A31137">
        <w:t>1991, Payne v. Tennessee, 501 U.S. 823</w:t>
      </w:r>
    </w:p>
    <w:p w:rsidR="00A31137" w:rsidRPr="00A31137" w:rsidRDefault="00A31137" w:rsidP="00A31137">
      <w:r w:rsidRPr="00A31137">
        <w:t>Barefoot v. Estelle, 463 U.S. 880, 898 (1983).</w:t>
      </w:r>
    </w:p>
    <w:p w:rsidR="00A31137" w:rsidRPr="00A31137" w:rsidRDefault="00A31137" w:rsidP="00A31137">
      <w:r w:rsidRPr="00A31137">
        <w:t>1991, Payne v. Tennessee, 501 U.S. 823</w:t>
      </w:r>
    </w:p>
    <w:p w:rsidR="00A31137" w:rsidRPr="00A31137" w:rsidRDefault="00A31137" w:rsidP="00A31137">
      <w:r w:rsidRPr="00A31137">
        <w:t>Payne echoes the concern voiced in Booth's case that the admission of victim impact evidence permits a jury to find that defendants whose victims were assets to their community are more deserving of punishment than those whose victims are perceived to be less worthy. Booth, supra at 506, n. 8. As a general matter, however, victim impact evidence is not offered to encourage comparative judgments of this kind—for instance, that the killer of a hardworking, devoted parent deserves the death penalty, but that the murderer of a reprobate does not. It is designed to show, instead, each victim's "uniqueness as an individual human being," whatever the jury might think the loss to the community resulting from his death might be. The facts of Gathers are an excellent illustration of this: the evidence showed that the victim was an out-of-work, mentally handicapped individual, perhaps [501 U.S. 824] not, in the eyes of most, a significant contributor to society, but nonetheless a murdered human being.</w:t>
      </w:r>
    </w:p>
    <w:p w:rsidR="00A31137" w:rsidRPr="00A31137" w:rsidRDefault="00A31137" w:rsidP="00A31137">
      <w:r w:rsidRPr="00A31137">
        <w:t>1991, Payne v. Tennessee, 501 U.S. 824</w:t>
      </w:r>
    </w:p>
    <w:p w:rsidR="00A31137" w:rsidRPr="00A31137" w:rsidRDefault="00A31137" w:rsidP="00A31137">
      <w:r w:rsidRPr="00A31137">
        <w:t>Under our constitutional system, the primary responsibility for defining crimes against state law, fixing punishments for the commission of these crimes, and establishing procedures for criminal trials rests with the States. The state laws respecting crimes, punishments, and criminal procedure are, of course, subject to the overriding provisions of the United States Constitution. Where the State imposes the death penalty for a particular crime, we have held that the Eighth Amendment imposes special limitations upon that process.</w:t>
      </w:r>
    </w:p>
    <w:p w:rsidR="00A31137" w:rsidRPr="00A31137" w:rsidRDefault="00A31137" w:rsidP="00A31137">
      <w:r w:rsidRPr="00A31137">
        <w:t>1991, Payne v. Tennessee, 501 U.S. 824</w:t>
      </w:r>
    </w:p>
    <w:p w:rsidR="00A31137" w:rsidRPr="00A31137" w:rsidRDefault="00A31137" w:rsidP="00A31137">
      <w:r w:rsidRPr="00A31137">
        <w:t>First, there is a required threshold below which the death penalty cannot be imposed. In this context, the State must establish rational criteria that narrow the decisionmaker's judgment as to whether the circumstances of a particular defendant's case meet the threshold. Moreover, a societal consensus that the death penalty is disproportionate to a particular offense prevents a State from imposing the death penalty for that offense. Second, States cannot limit the sentencer's consideration of any relevant circumstance that could cause it to decline to impose the penalty. In this respect, the State cannot challenge the sentencer's discretion, but must allow it to consider any relevant information offered by the defendant.</w:t>
      </w:r>
    </w:p>
    <w:p w:rsidR="00A31137" w:rsidRPr="00A31137" w:rsidRDefault="00A31137" w:rsidP="00A31137">
      <w:r w:rsidRPr="00A31137">
        <w:t>1991, Payne v. Tennessee, 501 U.S. 824</w:t>
      </w:r>
    </w:p>
    <w:p w:rsidR="00A31137" w:rsidRPr="00A31137" w:rsidRDefault="00A31137" w:rsidP="00A31137">
      <w:r w:rsidRPr="00A31137">
        <w:t>McCleskey v. Kemp, 481 U.S. 279, 305-306 (1987). But, as we noted in California v. Ramos, 463 U.S. 992, 1001 (1983), "[b]eyond these limitations…, the Court has deferred to the State's choice of substantive factors relevant to the penalty determination."</w:t>
      </w:r>
    </w:p>
    <w:p w:rsidR="00A31137" w:rsidRPr="00A31137" w:rsidRDefault="00A31137" w:rsidP="00A31137">
      <w:r w:rsidRPr="00A31137">
        <w:t>1991, Payne v. Tennessee, 501 U.S. 824</w:t>
      </w:r>
    </w:p>
    <w:p w:rsidR="00A31137" w:rsidRPr="00A31137" w:rsidRDefault="00A31137" w:rsidP="00A31137">
      <w:r w:rsidRPr="00A31137">
        <w:t>Within the constitutional limitations defined by our cases, the States enjoy their traditional latitude to prescribe the method by which those who commit murder shall be punished.</w:t>
      </w:r>
    </w:p>
    <w:p w:rsidR="00A31137" w:rsidRPr="00A31137" w:rsidRDefault="00A31137" w:rsidP="00A31137">
      <w:r w:rsidRPr="00A31137">
        <w:t>1991, Payne v. Tennessee, 501 U.S. 824</w:t>
      </w:r>
    </w:p>
    <w:p w:rsidR="00A31137" w:rsidRPr="00A31137" w:rsidRDefault="00A31137" w:rsidP="00A31137">
      <w:r w:rsidRPr="00A31137">
        <w:t>Blystone v. Pennsylvania, 494 U.S. 299, 309 (1990). The States remain free, in capital cases, as well as others, to [501 U.S. 825] devise new procedures and new remedies to meet felt needs. Victim impact evidence is simply another form or method of informing the sentencing authority about the specific harm caused by the crime in question, evidence of a general type long considered by sentencing authorities. We think the Booth Court was wrong in stating that this kind of evidence leads to the arbitrary imposition of the death penalty. In the majority of cases, and in this case, victim impact evidence serves entirely legitimate purposes. In the event that evidence is introduced that is so unduly prejudicial that it renders the trial fundamentally unfair, the Due Process Clause of the Fourteenth Amendment provides a mechanism for relief. See Darden v. Wainwright, 477 U.S. 168, 179-183 (1986). Courts have always taken into consideration the harm done by the defendant in imposing sentence, and the evidence adduced in this case was illustrative of the harm caused by Payne's double murder.</w:t>
      </w:r>
    </w:p>
    <w:p w:rsidR="00A31137" w:rsidRPr="00A31137" w:rsidRDefault="00A31137" w:rsidP="00A31137">
      <w:r w:rsidRPr="00A31137">
        <w:t>1991, Payne v. Tennessee, 501 U.S. 825</w:t>
      </w:r>
    </w:p>
    <w:p w:rsidR="00A31137" w:rsidRPr="00A31137" w:rsidRDefault="00A31137" w:rsidP="00A31137">
      <w:r w:rsidRPr="00A31137">
        <w:t>We are now of the view that a State may properly conclude that, for the jury to assess meaningfully the defendant's moral culpability and blameworthiness, it should have before it at the sentencing phase evidence of the specific harm caused by the defendant.</w:t>
      </w:r>
    </w:p>
    <w:p w:rsidR="00A31137" w:rsidRPr="00A31137" w:rsidRDefault="00A31137" w:rsidP="00A31137">
      <w:r w:rsidRPr="00A31137">
        <w:t>1991, Payne v. Tennessee, 501 U.S. 825</w:t>
      </w:r>
    </w:p>
    <w:p w:rsidR="00A31137" w:rsidRPr="00A31137" w:rsidRDefault="00A31137" w:rsidP="00A31137">
      <w:r w:rsidRPr="00A31137">
        <w:t>[T]he State has a legitimate interest in counteracting the mitigating evidence which the defendant is entitled to put in, by reminding the sentencer that just as the murderer should be considered as an individual, so too the victim is an individual whose death represents a unique loss to society and in particular to his family.</w:t>
      </w:r>
    </w:p>
    <w:p w:rsidR="00A31137" w:rsidRPr="00A31137" w:rsidRDefault="00A31137" w:rsidP="00A31137">
      <w:r w:rsidRPr="00A31137">
        <w:t>1991, Payne v. Tennessee, 501 U.S. 825</w:t>
      </w:r>
    </w:p>
    <w:p w:rsidR="00A31137" w:rsidRPr="00A31137" w:rsidRDefault="00A31137" w:rsidP="00A31137">
      <w:r w:rsidRPr="00A31137">
        <w:t>Booth, 482 U.S. at 517 (WHITE, J., dissenting) (citation omitted). By turning the victim into a "faceless stranger at the penalty phase of a capital trial," Gathers, 490 U.S. at 821 (O'CONNOR, J., dissenting), Booth deprives the State of the full moral force of its evidence, and may prevent the jury from having before it all the information necessary to determine the proper punishment for a first-degree murder.</w:t>
      </w:r>
    </w:p>
    <w:p w:rsidR="00A31137" w:rsidRPr="00A31137" w:rsidRDefault="00A31137" w:rsidP="00A31137">
      <w:r w:rsidRPr="00A31137">
        <w:t>1991, Payne v. Tennessee, 501 U.S. 825</w:t>
      </w:r>
    </w:p>
    <w:p w:rsidR="00A31137" w:rsidRPr="00A31137" w:rsidRDefault="00A31137" w:rsidP="00A31137">
      <w:r w:rsidRPr="00A31137">
        <w:t>The present case is an example of the potential for such unfairness. The capital sentencing jury heard testimony from [501 U.S. 826] Payne's girlfriend that they met at church; that he was affectionate, caring, and kind to her children; that he was not an abuser of drugs or alcohol; and that it was inconsistent with his character to have committed the murders. Payne's parents testified that he was a good son, and a clinical psychologist testified that Payne was an extremely polite prisoner and suffered from a low IQ. None of this testimony was related to the circumstances of Payne's brutal crimes. In contrast, the only evidence of the impact of Payne's offenses during the sentencing phase was Nicholas' grandmother's description—in response to a single question—that the child misses his mother and baby sister. Payne argues that the Eighth Amendment commands that the jury's death sentence must be set aside because the jury heard this testimony. But the testimony illustrated quite poignantly some of the harm that Payne's killing had caused; there is nothing unfair about allowing the jury to bear in mind that harm at the same time as it considers the mitigating evidence introduced by the defendant. The Supreme Court of Tennessee in this case obviously felt the unfairness of the rule pronounced by Booth when it said:</w:t>
      </w:r>
    </w:p>
    <w:p w:rsidR="00A31137" w:rsidRPr="00A31137" w:rsidRDefault="00A31137" w:rsidP="00A31137">
      <w:r w:rsidRPr="00A31137">
        <w:t>1991, Payne v. Tennessee, 501 U.S. 826</w:t>
      </w:r>
    </w:p>
    <w:p w:rsidR="00A31137" w:rsidRPr="00A31137" w:rsidRDefault="00A31137" w:rsidP="00A31137">
      <w:r w:rsidRPr="00A31137">
        <w:t>It is an affront to the civilized members of the human race to say that, at sentencing in a capital case, a parade of witnesses may praise the background, character and good deeds of Defendant (as was done in this case), without limitation as to relevancy, but nothing may be said that bears upon the character of, or the harm imposed, upon the victims.</w:t>
      </w:r>
    </w:p>
    <w:p w:rsidR="00A31137" w:rsidRPr="00A31137" w:rsidRDefault="00A31137" w:rsidP="00A31137">
      <w:r w:rsidRPr="00A31137">
        <w:t>1991, Payne v. Tennessee, 501 U.S. 826</w:t>
      </w:r>
    </w:p>
    <w:p w:rsidR="00A31137" w:rsidRPr="00A31137" w:rsidRDefault="00A31137" w:rsidP="00A31137">
      <w:r w:rsidRPr="00A31137">
        <w:t>791 S.W.2d at 19.</w:t>
      </w:r>
    </w:p>
    <w:p w:rsidR="00A31137" w:rsidRPr="00A31137" w:rsidRDefault="00A31137" w:rsidP="00A31137">
      <w:r w:rsidRPr="00A31137">
        <w:t>1991, Payne v. Tennessee, 501 U.S. 826</w:t>
      </w:r>
    </w:p>
    <w:p w:rsidR="00A31137" w:rsidRPr="00A31137" w:rsidRDefault="00A31137" w:rsidP="00A31137">
      <w:r w:rsidRPr="00A31137">
        <w:t>In Gathers, as indicated above, we extended the holding of Booth barring victim impact evidence to the prosecutor's argument to the jury. Human nature being what it is, capable lawyers trying cases to juries try to convey to the jurors that the people involved in the underlying events are, or were, living human beings, with something to be gained or lost from the jury's verdict. Under the aegis of the Eighth Amendment, we have given the broadest latitude to the defendant to introduce relevant mitigating evidence reflecting [501 U.S. 827] on his individual personality, and the defendant's attorney may argue that evidence to the jury. Petitioner's attorney in this case did just that. For the reasons discussed above, we now reject the view—expressed in Gathers—that a State may not permit the prosecutor to similarly argue to the jury the human cost of the crime of which the defendant stands convicted. We reaffirm the view expressed by Justice Cardozo in Snyder v. Massachusetts, 291 U.S. 97,  122 (1934):</w:t>
      </w:r>
    </w:p>
    <w:p w:rsidR="00A31137" w:rsidRPr="00A31137" w:rsidRDefault="00A31137" w:rsidP="00A31137">
      <w:r w:rsidRPr="00A31137">
        <w:t>1991, Payne v. Tennessee, 501 U.S. 827</w:t>
      </w:r>
    </w:p>
    <w:p w:rsidR="00A31137" w:rsidRPr="00A31137" w:rsidRDefault="00A31137" w:rsidP="00A31137">
      <w:r w:rsidRPr="00A31137">
        <w:t>[J]ustice, though due to the accused, is due to the accuser also. The concept of fairness must not be strained till it is narrowed to a filament. We are to keep the balance true.</w:t>
      </w:r>
    </w:p>
    <w:p w:rsidR="00A31137" w:rsidRPr="00A31137" w:rsidRDefault="00A31137" w:rsidP="00A31137">
      <w:r w:rsidRPr="00A31137">
        <w:t>1991, Payne v. Tennessee, 501 U.S. 827</w:t>
      </w:r>
    </w:p>
    <w:p w:rsidR="00A31137" w:rsidRPr="00A31137" w:rsidRDefault="00A31137" w:rsidP="00A31137">
      <w:r w:rsidRPr="00A31137">
        <w:t>We thus hold that, if the State chooses to permit the admission of victim impact evidence and prosecutorial argument on that subject, the Eighth Amendment erects no per se bar. A State may legitimately conclude that evidence about the victim and about the impact of the murder on the victim's family is relevant to the jury's decision as to whether or not the death penalty should be imposed. There is no reason to treat such evidence differently than other relevant evidence is treated.</w:t>
      </w:r>
    </w:p>
    <w:p w:rsidR="00A31137" w:rsidRPr="00A31137" w:rsidRDefault="00A31137" w:rsidP="00A31137">
      <w:r w:rsidRPr="00A31137">
        <w:t>1991, Payne v. Tennessee, 501 U.S. 827</w:t>
      </w:r>
    </w:p>
    <w:p w:rsidR="00A31137" w:rsidRPr="00A31137" w:rsidRDefault="00A31137" w:rsidP="00A31137">
      <w:r w:rsidRPr="00A31137">
        <w:t>Payne and his amicus argue that, despite these numerous infirmities in the rule created by Booth and Gathers, we should adhere to the doctrine of stare decisis and stop short of overruling those cases. Stare decisis is the preferred course, because it promotes the evenhanded, predictable, and consistent development of legal principles, fosters reliance on judicial decisions, and contributes to the actual and perceived integrity of the judicial process. See Vasquez v. Hillery, 474 U.S. 254, 265-266 (1986). Adhering to precedent "is usually the wise policy, because, in most matters, it is more important that the applicable rule of law be settled than it be settled right." Burnet v. Coronado Oil &amp; Gas Co., 285 U.S. 393,  406 (1932) (Brandeis, J., dissenting). Nevertheless, when governing decisions are unworkable or are badly reasoned, "this Court has never felt constrained to follow precedent." Smith v. Allwright, 321 U.S. 649,  665 (1944). [501 U.S. 828] Stare decisis is not an inexorable command; rather, it "is a principle of policy and not a mechanical formula of adherence to the latest decision." Helvering v. Hallock, 30 U.S. 106, 119 (1940). This is particularly true in constitutional cases, because in such cases "correction through legislative action is practically impossible." Burnet v. Coronado Oil &amp; Gas Co., supra at  407 (Brandeis, J., dissenting). Considerations in favor of stare decisis are at their acme in cases involving property and contract rights, where reliance interests are involved, see Swift &amp; Co. v. Wickham, 382 U.S. 111, 116 (1965); Oregon ex rel. State Land Bd. v. Corvallis Sand &amp; Gravel Co., 429 U.S. 363 (1977); Burnet v. Coronado Oil &amp; Gas Co., supra at 405-411 (Brandeis, J., dissenting); United States v. Title Ins. &amp; Trust Co., 265 U.S. 472 (1924); The Genesee Chief v. Fitzhugh, 12 How. 443, 458 (1852); the opposite is true in cases, such as the present one, involving procedural and evidentiary rules.</w:t>
      </w:r>
    </w:p>
    <w:p w:rsidR="00A31137" w:rsidRPr="00A31137" w:rsidRDefault="00A31137" w:rsidP="00A31137">
      <w:r w:rsidRPr="00A31137">
        <w:t>1991, Payne v. Tennessee, 501 U.S. 828</w:t>
      </w:r>
    </w:p>
    <w:p w:rsidR="00A31137" w:rsidRPr="00A31137" w:rsidRDefault="00A31137" w:rsidP="00A31137">
      <w:r w:rsidRPr="00A31137">
        <w:t>Applying these general principles, the Court has, during the past 20 Terms, overruled in whole or in part 33 of its previous constitutional decisions. 1 Booth and Gathers were decided [501 U.S. 829] by the narrowest of margins, over spirited dissents challenging the basic underpinnings of those decisions. They have been questioned by Members' of the Court in later [501 U.S. 830] decisions and have defied consistent application by the lower courts. See Gathers, 490 U.S. at 813 (O'CONNOR, J., dissenting); Mills v. Maryland, 486 U.S. at 395-396 (REHNQUIST, C.J., dissenting). See also State v. Hertas, 51 Ohio St.3d 22, 33, 553 N.E.2d 1058, 1070 (1990) ("The fact that the majority and two dissenters in this case all interpret the opinions and footnotes in Booth and Gathers differently demonstrates the uncertainty of the law in this area") (Moyer, C.J., concurring). Reconsidering these decisions now, we conclude, for the reasons heretofore stated, that they were wrongly decided and should be, and now are, overruled. 2 We accordingly affirm the judgment of the Supreme Court of Tennessee.</w:t>
      </w:r>
    </w:p>
    <w:p w:rsidR="00A31137" w:rsidRPr="00A31137" w:rsidRDefault="00A31137" w:rsidP="00A31137">
      <w:r w:rsidRPr="00A31137">
        <w:t>1991, Payne v. Tennessee, 501 U.S. 830</w:t>
      </w:r>
    </w:p>
    <w:p w:rsidR="00A31137" w:rsidRPr="00A31137" w:rsidRDefault="00A31137" w:rsidP="00A31137">
      <w:r w:rsidRPr="00A31137">
        <w:t>It is so ordered.</w:t>
      </w:r>
    </w:p>
    <w:p w:rsidR="00A31137" w:rsidRPr="00A31137" w:rsidRDefault="00A31137" w:rsidP="00A31137">
      <w:r w:rsidRPr="00A31137">
        <w:t>O'CONNOR, J., concurring</w:t>
      </w:r>
    </w:p>
    <w:p w:rsidR="00A31137" w:rsidRPr="00A31137" w:rsidRDefault="00A31137" w:rsidP="00A31137">
      <w:r w:rsidRPr="00A31137">
        <w:t>1991, Payne v. Tennessee, 501 U.S. 830</w:t>
      </w:r>
    </w:p>
    <w:p w:rsidR="00A31137" w:rsidRPr="00A31137" w:rsidRDefault="00A31137" w:rsidP="00A31137">
      <w:r w:rsidRPr="00A31137">
        <w:t>JUSTICE O'CONNOR, with whom JUSTICE WHITE and JUSTICE KENNEDY join, concurring.</w:t>
      </w:r>
    </w:p>
    <w:p w:rsidR="00A31137" w:rsidRPr="00A31137" w:rsidRDefault="00A31137" w:rsidP="00A31137">
      <w:r w:rsidRPr="00A31137">
        <w:t>1991, Payne v. Tennessee, 501 U.S. 830</w:t>
      </w:r>
    </w:p>
    <w:p w:rsidR="00A31137" w:rsidRPr="00A31137" w:rsidRDefault="00A31137" w:rsidP="00A31137">
      <w:r w:rsidRPr="00A31137">
        <w:t>In my view, a State may legitimately determine that victim impact evidence is relevant to a capital sentencing proceeding. A State may decide that the jury, before determining whether a convicted murderer should receive the death penalty, should know the full extent of the harm caused by the crime, including its impact on the victim's family and community. A State may decide also that the jury should see "a quick glimpse of the life petitioner chose to extinguish," Mills v. Maryland, 486 U.S. 367, 397 (1988) (REHNQUIST, [501 U.S. 831] C.J., dissenting), to remind the jury that the person whose life was taken was a unique human being.</w:t>
      </w:r>
    </w:p>
    <w:p w:rsidR="00A31137" w:rsidRPr="00A31137" w:rsidRDefault="00A31137" w:rsidP="00A31137">
      <w:r w:rsidRPr="00A31137">
        <w:t>1991, Payne v. Tennessee, 501 U.S. 831</w:t>
      </w:r>
    </w:p>
    <w:p w:rsidR="00A31137" w:rsidRPr="00A31137" w:rsidRDefault="00A31137" w:rsidP="00A31137">
      <w:r w:rsidRPr="00A31137">
        <w:t>Given that victim impact evidence is potentially relevant, nothing in the Eighth Amendment commands that States treat it differently than other kinds of relevant evidence.</w:t>
      </w:r>
    </w:p>
    <w:p w:rsidR="00A31137" w:rsidRPr="00A31137" w:rsidRDefault="00A31137" w:rsidP="00A31137">
      <w:r w:rsidRPr="00A31137">
        <w:t>1991, Payne v. Tennessee, 501 U.S. 831</w:t>
      </w:r>
    </w:p>
    <w:p w:rsidR="00A31137" w:rsidRPr="00A31137" w:rsidRDefault="00A31137" w:rsidP="00A31137">
      <w:r w:rsidRPr="00A31137">
        <w:t>The Eighth Amendment stands as a shield against those practices and punishments which are either inherently cruel or which so offend the moral consensus of this society as to be deemed "cruel and unusual."</w:t>
      </w:r>
    </w:p>
    <w:p w:rsidR="00A31137" w:rsidRPr="00A31137" w:rsidRDefault="00A31137" w:rsidP="00A31137">
      <w:r w:rsidRPr="00A31137">
        <w:t>1991, Payne v. Tennessee, 501 U.S. 831</w:t>
      </w:r>
    </w:p>
    <w:p w:rsidR="00A31137" w:rsidRPr="00A31137" w:rsidRDefault="00A31137" w:rsidP="00A31137">
      <w:r w:rsidRPr="00A31137">
        <w:t>South Carolina v. Gathers, 490 U.S. 805, 821 (1989) (O'CONNOR, J., dissenting). Certainly there is no strong societal consensus that a jury may not take into account the loss suffered by a victim's family or that a murder victim must remain a faceless stranger at the penalty phase of a capital trial. Just the opposite is true. Most States have enacted legislation enabling judges and juries to consider victim impact evidence. Ante at  821. The possibility that this evidence may in some cases be unduly inflammatory does not justify a prophylactic, constitutionally based rule that this evidence may never be admitted. Trial courts routinely exclude evidence that is unduly inflammatory; where inflammatory evidence is improperly admitted, appellate courts carefully review the record to determine whether the error was prejudicial.</w:t>
      </w:r>
    </w:p>
    <w:p w:rsidR="00A31137" w:rsidRPr="00A31137" w:rsidRDefault="00A31137" w:rsidP="00A31137">
      <w:r w:rsidRPr="00A31137">
        <w:t>1991, Payne v. Tennessee, 501 U.S. 831</w:t>
      </w:r>
    </w:p>
    <w:p w:rsidR="00A31137" w:rsidRPr="00A31137" w:rsidRDefault="00A31137" w:rsidP="00A31137">
      <w:r w:rsidRPr="00A31137">
        <w:t>We do not hold today that victim impact evidence must be admitted, or even that it should be admitted. We hold merely that, if a State decides to permit consideration of this evidence, "the Eighth Amendment erects no per se bar." Ante at  827. If, in a particular case, a witness' testimony or a prosecutor's remark so infects the sentencing proceeding as to render it fundamentally unfair, the defendant may seek appropriate relief under the Due Process Clause of the Fourteenth Amendment.</w:t>
      </w:r>
    </w:p>
    <w:p w:rsidR="00A31137" w:rsidRPr="00A31137" w:rsidRDefault="00A31137" w:rsidP="00A31137">
      <w:r w:rsidRPr="00A31137">
        <w:t>1991, Payne v. Tennessee, 501 U.S. 831</w:t>
      </w:r>
    </w:p>
    <w:p w:rsidR="00A31137" w:rsidRPr="00A31137" w:rsidRDefault="00A31137" w:rsidP="00A31137">
      <w:r w:rsidRPr="00A31137">
        <w:t>That line was not crossed in this case. The State called as a witness Mary Zvolanek, Nicholas' grandmother. Her testimony was brief. She explained that Nicholas cried for his mother and baby sister and could not understand why they [501 U.S. 832] didn't come home. I do not doubt that the jurors were moved by this testimony—who would not have been? But surely this brief statement did not inflame their passions more than did the facts of the crime: Charisse Christopher was stabbed 41 times with a butcher knife and bled to death; her 2-year-old daughter Lacie was killed by repeated thrusts of that same knife; and 3-year-old Nicholas, despite stab wounds that penetrated completely through his body from front to back, survived—only to witness the brutal murders of his mother and baby sister. In light of the jury's unavoidable familiarity with the facts of Payne's vicious attack, I cannot conclude that the additional information provided by Mary Zvolanek's testimony deprived petitioner of due process.</w:t>
      </w:r>
    </w:p>
    <w:p w:rsidR="00A31137" w:rsidRPr="00A31137" w:rsidRDefault="00A31137" w:rsidP="00A31137">
      <w:r w:rsidRPr="00A31137">
        <w:t>1991, Payne v. Tennessee, 501 U.S. 832</w:t>
      </w:r>
    </w:p>
    <w:p w:rsidR="00A31137" w:rsidRPr="00A31137" w:rsidRDefault="00A31137" w:rsidP="00A31137">
      <w:r w:rsidRPr="00A31137">
        <w:t>Nor did the prosecutor's comments about Charisse and Lacie in the closing argument violate the Constitution. The jury had earlier seen a videotape of the murder scene that included the slashed and bloody corpses of Charisse and Lacie. In arguing that Payne deserved the death penalty, the prosecutor sought to remind the jury that Charisse and Lacie were more than just lifeless bodies on a videotape, that they were unique human beings. The prosecutor remarked that Charisse would never again sing a lullaby to her son and that Lacie would never attend a high school prom. In my view, these statements were permissible. "Murder is the ultimate act of depersonalization." Brief for Justice For All Political Committee et al. as Amici Curiae 3. It transforms a living person with hopes, dreams, and fears into a corpse, thereby taking away all that is special and unique about the person. The Constitution does not preclude a State from deciding to give some of that back.</w:t>
      </w:r>
    </w:p>
    <w:p w:rsidR="00A31137" w:rsidRPr="00A31137" w:rsidRDefault="00A31137" w:rsidP="00A31137">
      <w:r w:rsidRPr="00A31137">
        <w:t>1991, Payne v. Tennessee, 501 U.S. 832</w:t>
      </w:r>
    </w:p>
    <w:p w:rsidR="00A31137" w:rsidRPr="00A31137" w:rsidRDefault="00A31137" w:rsidP="00A31137">
      <w:r w:rsidRPr="00A31137">
        <w:t>I agree with the Court that Booth v. Maryland, 482 U.S. 496 (1987), and Gathers, supra, were wrongly decided. The Eighth Amendment does not prohibit a State from choosing to admit evidence concerning a murder victim's personal characteristics or the impact of the crime on the victim's family [501 U.S. 833] and community. Booth also addressed another kind of victim impact evidence—opinions of the victim's family about the crime, the defendant, and the appropriate sentence. As the Court notes in today's decision, we do not reach this issue, as no evidence of this kind was introduced at petitioner's trial. Ante at  830, n. 2. Nor do we express an opinion as to other aspects of the prosecutor's conduct. As to the victim impact evidence that was introduced, its admission did not violate the Constitution. Accordingly, I join the Court's opinion.</w:t>
      </w:r>
    </w:p>
    <w:p w:rsidR="00A31137" w:rsidRPr="00A31137" w:rsidRDefault="00A31137" w:rsidP="00A31137">
      <w:r w:rsidRPr="00A31137">
        <w:t>SCALIA, J., concurring</w:t>
      </w:r>
    </w:p>
    <w:p w:rsidR="00A31137" w:rsidRPr="00A31137" w:rsidRDefault="00A31137" w:rsidP="00A31137">
      <w:r w:rsidRPr="00A31137">
        <w:t>1991, Payne v. Tennessee, 501 U.S. 833</w:t>
      </w:r>
    </w:p>
    <w:p w:rsidR="00A31137" w:rsidRPr="00A31137" w:rsidRDefault="00A31137" w:rsidP="00A31137">
      <w:r w:rsidRPr="00A31137">
        <w:t>JUSTICE SCALIA, with whom JUSTICE O'CONNOR and JUSTICE KENNEDY join as to Part II, concurring.</w:t>
      </w:r>
    </w:p>
    <w:p w:rsidR="00A31137" w:rsidRPr="00A31137" w:rsidRDefault="00A31137" w:rsidP="00A31137">
      <w:r w:rsidRPr="00A31137">
        <w:t>1991, Payne v. Tennessee, 501 U.S. 833</w:t>
      </w:r>
    </w:p>
    <w:p w:rsidR="00A31137" w:rsidRPr="00A31137" w:rsidRDefault="00A31137" w:rsidP="00A31137">
      <w:r w:rsidRPr="00A31137">
        <w:t>The Court correctly observes the injustice of requiring the exclusion of relevant aggravating evidence during capital sentencing, while requiring the admission of all relevant mitigating evidence, see, e.g., Eddings v. Oklahoma, 455 U.S. 104 (1982); Lockett v. Ohio, 438 U.S. 586 (1978) (plurality opinion). I have previously expressed my belief that the latter requirement is both wrong and, when combined with the remainder of our capital sentencing jurisprudence, unworkable. See Walton v. Arizona, 497 U.S. 639, 671-673 (1990) (opinion concurring in part and concurring in judgment). Even if it were abandoned, however, I would still affirm the judgment here. True enough, the Eighth Amendment permits parity between mitigating and aggravating factors. But more broadly and fundamentally still, it permits the People to decide (within the limits of other constitutional guarantees) what is a crime and what constitutes aggravation and mitigation of a crime.</w:t>
      </w:r>
    </w:p>
    <w:p w:rsidR="00A31137" w:rsidRPr="00A31137" w:rsidRDefault="00A31137" w:rsidP="00A31137">
      <w:r w:rsidRPr="00A31137">
        <w:t>1991, Payne v. Tennessee, 501 U.S. 833</w:t>
      </w:r>
    </w:p>
    <w:p w:rsidR="00A31137" w:rsidRPr="00A31137" w:rsidRDefault="00A31137" w:rsidP="00A31137">
      <w:r w:rsidRPr="00A31137">
        <w:t>The response to JUSTICE MARSHALL's strenuous defense of the virtues of stare decisis can be found in the writings of JUSTICE MARSHALL himself. That doctrine, he has reminded [501 U.S. 834] us, "is not 'an imprisonment of reason.'" Guardians Assn. v. Civil Service Comm'n of New York City, 463 U.S. 582, 618 (1983) (dissenting opinion) (quoting United States v. International Boxing Club of N.Y. Inc., 348 U.S. 236, 249 (1955) (Frankfurter, J., dissenting)). If there was ever a case that defied reason, it was Booth v. Maryland, 482 U.S. 496 (1987), imposing a constitutional rule that had absolutely no basis in constitutional text, in historical practice, or in logic. JUSTICE MARSHALL has also explained that</w:t>
      </w:r>
    </w:p>
    <w:p w:rsidR="00A31137" w:rsidRPr="00A31137" w:rsidRDefault="00A31137" w:rsidP="00A31137">
      <w:r w:rsidRPr="00A31137">
        <w:t>1991, Payne v. Tennessee, 501 U.S. 834</w:t>
      </w:r>
    </w:p>
    <w:p w:rsidR="00A31137" w:rsidRPr="00A31137" w:rsidRDefault="00A31137" w:rsidP="00A31137">
      <w:r w:rsidRPr="00A31137">
        <w:t>"[t]he jurist concerned with public confidence in, and acceptance of the judicial system might well consider that, however admirable its resolute adherence to the law as it was, a decision contrary to the public sense of justice as it is, operates, so far as it is known, to diminish respect for the courts and for law itself."</w:t>
      </w:r>
    </w:p>
    <w:p w:rsidR="00A31137" w:rsidRPr="00A31137" w:rsidRDefault="00A31137" w:rsidP="00A31137">
      <w:r w:rsidRPr="00A31137">
        <w:t>1991, Payne v. Tennessee, 501 U.S. 834</w:t>
      </w:r>
    </w:p>
    <w:p w:rsidR="00A31137" w:rsidRPr="00A31137" w:rsidRDefault="00A31137" w:rsidP="00A31137">
      <w:r w:rsidRPr="00A31137">
        <w:t>Flood v. Kuhn, 407 U.S. 258,  293, n. 4 (1972) (dissenting opinion) (quoting Szanton, Stare Decisis; A Dissenting View, 10 Hastings L.J. 394, 397 (1959)) (internal quotation marks omitted). Booth's stunning ipse dixit, that a crime's unanticipated consequences must be deemed "irrelevant" to the sentence, 482 U.S. at 503, conflicts with a public sense of justice keen enough that it has found voice in a nationwide "victims' rights" movement.</w:t>
      </w:r>
    </w:p>
    <w:p w:rsidR="00A31137" w:rsidRPr="00A31137" w:rsidRDefault="00A31137" w:rsidP="00A31137">
      <w:r w:rsidRPr="00A31137">
        <w:t>1991, Payne v. Tennessee, 501 U.S. 834</w:t>
      </w:r>
    </w:p>
    <w:p w:rsidR="00A31137" w:rsidRPr="00A31137" w:rsidRDefault="00A31137" w:rsidP="00A31137">
      <w:r w:rsidRPr="00A31137">
        <w:t>Today, however, JUSTICE MARSHALL demands of us some "special justification"—beyond the mere conviction that the rule of Booth significantly harms our criminal justice system and is egregiously wrong—before we can be absolved of exercising "[p]ower, not reason." Post at  844. I do not think that is fair. In fact, quite to the contrary, what would enshrine power as the governing principle of this Court is the notion that an important constitutional decision with plainly inadequate rational support must be left in place for the sole reason that it once attracted five votes.</w:t>
      </w:r>
    </w:p>
    <w:p w:rsidR="00A31137" w:rsidRPr="00A31137" w:rsidRDefault="00A31137" w:rsidP="00A31137">
      <w:r w:rsidRPr="00A31137">
        <w:t>1991, Payne v. Tennessee, 501 U.S. 834</w:t>
      </w:r>
    </w:p>
    <w:p w:rsidR="00A31137" w:rsidRPr="00A31137" w:rsidRDefault="00A31137" w:rsidP="00A31137">
      <w:r w:rsidRPr="00A31137">
        <w:t>It seems to me difficult for those who were in the majority in Booth to hold themselves forth as ardent apostles of stare decisis. That doctrine, to the extent it rests upon anything more than administrative convenience, is merely the application [501 U.S. 835] to judicial precedents of a more general principle that the settled practices and expectations of a democratic society should generally not be disturbed by the courts. It is hard to have a genuine regard for stare decisis without honoring that more general principle as well. A decision of this Court which, while not overruling a prior holding, nonetheless announces a novel rule, contrary to long and unchallenged practice, and pronounces it to be the Law of the Land—such a decision, no less than an explicit overruling, should be approached with great caution. It was, I suggest, Booth, and not today's decision, that compromised the fundamental values underlying the doctrine of stare decisis.</w:t>
      </w:r>
    </w:p>
    <w:p w:rsidR="00A31137" w:rsidRPr="00A31137" w:rsidRDefault="00A31137" w:rsidP="00A31137">
      <w:r w:rsidRPr="00A31137">
        <w:t>SOUTER, J., concurring</w:t>
      </w:r>
    </w:p>
    <w:p w:rsidR="00A31137" w:rsidRPr="00A31137" w:rsidRDefault="00A31137" w:rsidP="00A31137">
      <w:r w:rsidRPr="00A31137">
        <w:t>1991, Payne v. Tennessee, 501 U.S. 835</w:t>
      </w:r>
    </w:p>
    <w:p w:rsidR="00A31137" w:rsidRPr="00A31137" w:rsidRDefault="00A31137" w:rsidP="00A31137">
      <w:r w:rsidRPr="00A31137">
        <w:t>JUSTICE SOUTER, with whom JUSTICE KENNEDY joins, concurring.</w:t>
      </w:r>
    </w:p>
    <w:p w:rsidR="00A31137" w:rsidRPr="00A31137" w:rsidRDefault="00A31137" w:rsidP="00A31137">
      <w:r w:rsidRPr="00A31137">
        <w:t>1991, Payne v. Tennessee, 501 U.S. 835</w:t>
      </w:r>
    </w:p>
    <w:p w:rsidR="00A31137" w:rsidRPr="00A31137" w:rsidRDefault="00A31137" w:rsidP="00A31137">
      <w:r w:rsidRPr="00A31137">
        <w:t>I join the Court's opinion addressing two categories of facts excluded from consideration at capital sentencing proceedings by Booth v. Maryland, 482 U.S. 496 (1987), and South Carolina v. Gathers, 490 U.S. 805 (1989): information revealing the individuality of the victim and the impact of the crime on the victim's survivors. 1 As to these two categories, I believe Booth and Gathers were wrongly decided.</w:t>
      </w:r>
    </w:p>
    <w:p w:rsidR="00A31137" w:rsidRPr="00A31137" w:rsidRDefault="00A31137" w:rsidP="00A31137">
      <w:r w:rsidRPr="00A31137">
        <w:t>1991, Payne v. Tennessee, 501 U.S. 835</w:t>
      </w:r>
    </w:p>
    <w:p w:rsidR="00A31137" w:rsidRPr="00A31137" w:rsidRDefault="00A31137" w:rsidP="00A31137">
      <w:r w:rsidRPr="00A31137">
        <w:t>To my knowledge, our legal tradition has never included a general rule that evidence of a crime's effects on the victim and others is, standing alone, irrelevant to a sentencing determination of the defendant's culpability. Indeed, as the Court's opinion today, see ante at 819-821, and dissents in Booth, supra at 519-520 (opinion of SCALIA, J.) and Gathers, supra at 817-820 (opinion of O'CONNOR, J.), make clear, criminal conduct has traditionally been categorized and penalized differently according to consequences not specifically [501 U.S. 836] intended, but determined in part by conditions unknown to a defendant when he acted. The majority opinion in Booth, supra at 502-503, nonetheless characterized the consideration in a capital sentencing proceeding of a victim's individuality and the consequences of his death on his survivors as "irrelevant" and productive of "arbitrary and capricious" results, insofar as that would allow the sentencing authority to take account of information not specifically contemplated by the defendant prior to his ultimate criminal decision. This condemnation comprehends two quite separate elements. As to one such element, the condemnation is merited, but insufficient to justify the rule in Booth, and as to the other, it is mistaken.</w:t>
      </w:r>
    </w:p>
    <w:p w:rsidR="00A31137" w:rsidRPr="00A31137" w:rsidRDefault="00A31137" w:rsidP="00A31137">
      <w:r w:rsidRPr="00A31137">
        <w:t>1991, Payne v. Tennessee, 501 U.S. 836</w:t>
      </w:r>
    </w:p>
    <w:p w:rsidR="00A31137" w:rsidRPr="00A31137" w:rsidRDefault="00A31137" w:rsidP="00A31137">
      <w:r w:rsidRPr="00A31137">
        <w:t>Evidence about the victim and survivors, and any jury argument predicated on it, can, of course, be so inflammatory as to risk a verdict impermissibly based on passion, not deliberation. Cf. Penry v. Lynaugh, 492 U.S. 302, 319-328 (1989) (capital sentence should be imposed as a "'reasoned moral response'") (quoting California v. Brown, 479 U.S. 538, 545 (1987) (O'CONNOR, J., concurring)); Gholson v. Estelle, 675 F.2d 734, 738 (CA5 1982) ("If a person is to be executed, it should be as a result of a decision based on reason and reliable evidence"). But this is just as true when the defendant knew of the specific facts as when he was ignorant of their details, and, in each case, there is a traditional guard against the inflammatory risk, in the trial judge's authority and responsibility to control the proceedings consistently with due process, on which ground defendants may object and, if necessary, appeal. See Darden v. Wainwright, 477 U.S. 168, 178-183 (1986) (due process standard of fundamental fairness governs argument of prosecutor at sentencing); United States v. Serhant, 740 F.2d 548, 551-552 (CA7 1984) (applying due process to purportedly "inflammatory" victim impact statements); see also Lesko v. Lehman, 925 F.2d 1527, 1545-1547 (CA3 1991); Coleman v. Saffle, 869 F.2d 1377, 1394-1396 (CA10 1989), cert. denied, 494 U.S. 1090 [501 U.S. 837] (1990); Rushing v. Butler, 868 F.2d 800, 806-807 (CA5 1989). With the command of due process before us, this Court and the other courts of the state and federal systems will perform the "duty to search for constitutional error with painstaking care," an obligation "never more exacting than it is in a capital case." Burger v. Kemp, 483 U.S. 776, 785 (1987).</w:t>
      </w:r>
    </w:p>
    <w:p w:rsidR="00A31137" w:rsidRPr="00A31137" w:rsidRDefault="00A31137" w:rsidP="00A31137">
      <w:r w:rsidRPr="00A31137">
        <w:t>1991, Payne v. Tennessee, 501 U.S. 837</w:t>
      </w:r>
    </w:p>
    <w:p w:rsidR="00A31137" w:rsidRPr="00A31137" w:rsidRDefault="00A31137" w:rsidP="00A31137">
      <w:r w:rsidRPr="00A31137">
        <w:t>Booth, supra, 2 nonetheless goes further and imposes a blanket prohibition on consideration of evidence of the victim's individuality and the consequential harm to survivors as irrelevant to the choice between imprisonment and execution, except when such evidence goes to the "circumstances of the crime," id. at 502, and probably then only when the facts in question were known to the defendant and relevant to his decision to kill, id. at 505. This prohibition rests on the belief that consideration of such details about the victim and survivors as may have been outside the defendant's knowledge is inconsistent with the sentencing jury's Eighth Amendment duty "in the unique circumstance of a capital sentencing hearing…to focus on the defendant as a 'uniquely individual human bein[g].'" Id. at 504 (quoting Woodson v. North Carolina, 428 U.S. 280, 304 (1976) (plurality opinion of Stewart, Powell, and STEVENS, JJ.)). The assumption made is that the obligation to consider the defendant's uniqueness limits the data about a crime's impact, on which a defendant's moral guilt may be calculated, to the facts he specifically knew and presumably considered. His uniqueness, in other words, is defined by the specifics of his knowledge and the reasoning that is thought to follow from it.</w:t>
      </w:r>
    </w:p>
    <w:p w:rsidR="00A31137" w:rsidRPr="00A31137" w:rsidRDefault="00A31137" w:rsidP="00A31137">
      <w:r w:rsidRPr="00A31137">
        <w:t>1991, Payne v. Tennessee, 501 U.S. 837</w:t>
      </w:r>
    </w:p>
    <w:p w:rsidR="00A31137" w:rsidRPr="00A31137" w:rsidRDefault="00A31137" w:rsidP="00A31137">
      <w:r w:rsidRPr="00A31137">
        <w:t>To hold, however, that, in setting the appropriate sentence, a defendant must be considered in his uniqueness is not to require that only unique qualities be considered. While a defendant's anticipation of specific consequences to the victims of his intended act is relevant to sentencing, such detailed [501 U.S. 838] foreknowledge does not exhaust the category of morally relevant fact. One such fact that is known to all murderers and relevant to the blameworthiness of each one was identified by the Booth majority itself when it barred the sentencing authority in capital cases from considering "the full range of foreseeable consequences of a defendant's actions." 482 U.S. at 504. Murder has foreseeable consequences. When it happens, it is always to distinct individuals, and, after it happens, other victims are left behind. Every defendant knows, if endowed with the mental competence for criminal responsibility, that the life he will take by his homicidal behavior is that of a unique person, like himself, and that the person to be killed probably has close associates, "survivors," who will suffer harms and deprivations from the victim's death. Just as defendants know that they are not faceless human ciphers, they know that their victims are not valueless fungibles; and just as defendants appreciate the web of relationships and dependencies in which they live, they know that their victims are not human islands, but individuals with parents or children, spouses or friends or dependents. Thus, when a defendant chooses to kill, or to raise the risk of a victim's death, this choice necessarily relates to a whole human being and threatens an association of others, who may be distinctly hurt. The fact that the defendant may not know the details of a victim's life and characteristics, or the exact identities and needs of those who may survive, should not in any way obscure the further facts that death is always to a "unique" individual, and harm to some group of survivors is a consequence of a successful homicidal act so foreseeable as to be virtually inevitable.</w:t>
      </w:r>
    </w:p>
    <w:p w:rsidR="00A31137" w:rsidRPr="00A31137" w:rsidRDefault="00A31137" w:rsidP="00A31137">
      <w:r w:rsidRPr="00A31137">
        <w:t>1991, Payne v. Tennessee, 501 U.S. 838</w:t>
      </w:r>
    </w:p>
    <w:p w:rsidR="00A31137" w:rsidRPr="00A31137" w:rsidRDefault="00A31137" w:rsidP="00A31137">
      <w:r w:rsidRPr="00A31137">
        <w:t>That foreseeability of the killing's consequences imbues them with direct moral relevance, cf. Penry v. Lynaugh, supra at 328 (death penalty should be "'reasoned moral response'"), and evidence of the specific harm caused when a homicidal risk is realized is nothing more than evidence of the risk that the defendant originally chose to run despite the [501 U.S. 839] kinds of consequences that were obviously foreseeable. It is morally both defensible and appropriate to consider such evidence when penalizing a murderer, like other criminals, in light of common knowledge and the moral responsibility that such knowledge entails. Any failure to take account of a victim's individuality and the effects of his death upon close survivors would thus more appropriately be called an act of lenity than their consideration an invitation to arbitrary sentencing. Indeed, given a defendant's option to introduce relevant evidence in mitigation, see, e.g., Eddings v. Oklahoma, 455 U.S. 104, 113-114 (1982); Lockett v. Ohio, 438 U.S. 586, 604 (1978), sentencing without such evidence of victim impact may be seen as a significantly imbalanced process. See Mills v. Maryland, 486 U.S. 367, 397 (1988) (REHNQUIST, C.J., dissenting).</w:t>
      </w:r>
    </w:p>
    <w:p w:rsidR="00A31137" w:rsidRPr="00A31137" w:rsidRDefault="00A31137" w:rsidP="00A31137">
      <w:r w:rsidRPr="00A31137">
        <w:t>1991, Payne v. Tennessee, 501 U.S. 839</w:t>
      </w:r>
    </w:p>
    <w:p w:rsidR="00A31137" w:rsidRPr="00A31137" w:rsidRDefault="00A31137" w:rsidP="00A31137">
      <w:r w:rsidRPr="00A31137">
        <w:t>I so view the relevance of the two categories of victim impact evidence at issue here, and I fully agree with the majority's conclusion, and the opinions expressed by the dissenters in Booth and Gathers, that nothing in the Eighth Amendment's condemnation of cruel and unusual punishment would require that evidence to be excluded. See ante at  827 ("[I]f the State chooses to permit the admission of victim impact evidence and prosecutorial argument on that subject, the Eighth Amendment erects no per se bar"); Booth, supra at 515-516 (WHITE, J., dissenting) (nothing "'cruel or unusual' or otherwise unconstitutional about the legislature's decision to use victim impact statements in capital sentencing hearings"); Gathers, 490 U.S. at 816-821 (O'CONNOR, J., dissenting); id. at 823-825 (SCALIA, J., dissenting).</w:t>
      </w:r>
    </w:p>
    <w:p w:rsidR="00A31137" w:rsidRPr="00A31137" w:rsidRDefault="00A31137" w:rsidP="00A31137">
      <w:r w:rsidRPr="00A31137">
        <w:t>1991, Payne v. Tennessee, 501 U.S. 839</w:t>
      </w:r>
    </w:p>
    <w:p w:rsidR="00A31137" w:rsidRPr="00A31137" w:rsidRDefault="00A31137" w:rsidP="00A31137">
      <w:r w:rsidRPr="00A31137">
        <w:t>I do not, however, rest my decision to overrule wholly on the constitutional error that I see in the cases in question. I must rely as well on my further view that Booth sets an unworkable standard of constitutional relevance that threatens, on its own terms, to produce such arbitrary consequences and uncertainty of application as virtually to guarantee a result far diminished from the case's promise of appropriately [501 U.S. 840] individualized sentencing for capital defendants. 482 U.S. at 502. These conclusions will be seen to result from the interaction of three facts. First, although Booth was prompted by the introduction of a systematically prepared "victim impact statement" at the sentencing phase of the trial, Booth's restriction of relevant facts to what the defendant knew and considered in deciding to kill applies to any evidence, however derived or presented. Second, details of which the defendant was unaware, about the victim and survivors, will customarily be disclosed by the evidence introduced at the guilt phase of the trial. Third, the jury that determines guilt will usually determine, or make recommendations about, the imposition of capital punishment.</w:t>
      </w:r>
    </w:p>
    <w:p w:rsidR="00A31137" w:rsidRPr="00A31137" w:rsidRDefault="00A31137" w:rsidP="00A31137">
      <w:r w:rsidRPr="00A31137">
        <w:t>1991, Payne v. Tennessee, 501 U.S. 840</w:t>
      </w:r>
    </w:p>
    <w:p w:rsidR="00A31137" w:rsidRPr="00A31137" w:rsidRDefault="00A31137" w:rsidP="00A31137">
      <w:r w:rsidRPr="00A31137">
        <w:t>A hypothetical case will illustrate these facts and raise what I view as the serious practical problems with application of the Booth standard. Assume that a minister, unidentified as such and wearing no clerical collar, walks down a street to his church office on a brief errand, while his wife and adolescent daughter wait for him in a parked car. He is robbed and killed by a stranger, and his survivors witness his death. What are the circumstances of the crime that can be considered at the sentencing phase under Booth? The defendant did not know his victim was a minister, or that he had a wife and child, let alone that they were watching. Under Booth, these facts were irrelevant to his decision to kill, and they should be barred from consideration at sentencing. Yet evidence of them will surely be admitted at the guilt phase of the trial. The widow will testify to what she saw, and, in so doing, she will not be asked to pretend that she was a mere bystander. She could not succeed at that if she tried. The daughter may well testify too. The jury will not be kept from knowing that the victim was a minister, with a wife and child, on an errand to his church. This is so not only because the widow will not try to deceive the jury about her relationship, but also because the usual standards of trial relevance afford factfinders enough information about [501 U.S. 841] surrounding circumstances to let them make sense of the narrowly material facts of the crime itself. No one claims that jurors in a capital case should be deprived of such common contextual evidence, even though the defendant knew nothing about the errand, the victim's occupation, or his family. And yet, if these facts are not kept from the jury at the guilt stage, they will be in the jurors' minds at the sentencing stage.</w:t>
      </w:r>
    </w:p>
    <w:p w:rsidR="00A31137" w:rsidRPr="00A31137" w:rsidRDefault="00A31137" w:rsidP="00A31137">
      <w:r w:rsidRPr="00A31137">
        <w:t>1991, Payne v. Tennessee, 501 U.S. 841</w:t>
      </w:r>
    </w:p>
    <w:p w:rsidR="00A31137" w:rsidRPr="00A31137" w:rsidRDefault="00A31137" w:rsidP="00A31137">
      <w:r w:rsidRPr="00A31137">
        <w:t>Booth thus raises a dilemma with very practical consequences. If we were to require the rules of guilt-phase evidence to be changed to guarantee the full effect of Booth's promise to exclude consideration of specific facts unknown to the defendant and thus supposedly without significance in morally evaluating his decision to kill, we would seriously reduce the comprehensibility of most trials by depriving jurors of those details of context that allow them to understand what is being described. If, on the other hand, we are to leave the rules of trial evidence alone, Booth's objective will not be attained without requiring a separate sentencing jury to be empaneled. This would be a major imposition on the States, however, and I suppose that no one would seriously consider adding such a further requirement.</w:t>
      </w:r>
    </w:p>
    <w:p w:rsidR="00A31137" w:rsidRPr="00A31137" w:rsidRDefault="00A31137" w:rsidP="00A31137">
      <w:r w:rsidRPr="00A31137">
        <w:t>1991, Payne v. Tennessee, 501 U.S. 841</w:t>
      </w:r>
    </w:p>
    <w:p w:rsidR="00A31137" w:rsidRPr="00A31137" w:rsidRDefault="00A31137" w:rsidP="00A31137">
      <w:r w:rsidRPr="00A31137">
        <w:t>But, even if Booth were extended one way or the other to exclude completely from the sentencing proceeding all facts about the crime's victims not known by the defendant, the case would be vulnerable to the further charge that it would lead to arbitrary sentencing results. In the preceding hypothetical, Booth would require that all evidence about the victim's family, including its very existence, be excluded from sentencing consideration because the defendant did not know of it when he killed the victim. Yet, if the victim's daughter had screamed "Daddy, look out," as the defendant approached the victim with drawn gun, then the evidence of at least the daughter's survivorship would be admissible even under a strict reading of Booth, because the defendant, prior to killing, had been made aware of the daughter's existence, [501 U.S. 842] which therefore became relevant in evaluating the defendant's decision to kill. Resting a decision about the admission of impact evidence on such a fortuity is arbitrary.</w:t>
      </w:r>
    </w:p>
    <w:p w:rsidR="00A31137" w:rsidRPr="00A31137" w:rsidRDefault="00A31137" w:rsidP="00A31137">
      <w:r w:rsidRPr="00A31137">
        <w:t>1991, Payne v. Tennessee, 501 U.S. 842</w:t>
      </w:r>
    </w:p>
    <w:p w:rsidR="00A31137" w:rsidRPr="00A31137" w:rsidRDefault="00A31137" w:rsidP="00A31137">
      <w:r w:rsidRPr="00A31137">
        <w:t>Thus, the status quo is unsatisfactory, and the question is whether the case that has produced it should be overruled. In this instance, as in any other, overruling a precedent of this Court is a matter of no small import, for "the doctrine of stare decisis is of fundamental importance to the rule of law." Welch v. Texas Dept. of Highways and Public Transportation, 483 U.S. 468, 494 (1987). To be sure, stare decisis is not an "inexorable command," Burnet v. Coronado Oil &amp; Gas Co., 285 U.S. 393,  405 (1932) (Brandeis, J., dissenting); and our "considered practice [has] not [been] to apply stare decisis as rigidly in constitutional [cases] as in nonconstitutional cases," Glidden Co. v. Zdanok, 370 U.S. 530,  543 (1962). See Burnet, supra at 405-407; Patterson v. McLean Credit Union, 491 U.S. 164, 172-173 (1989). But, even in constitutional cases, the doctrine carries such persuasive force that we have always required a departure from precedent to be supported by some "special justification." Arizona v. Rumsey, 467 U.S. 203, 212 (1984).</w:t>
      </w:r>
    </w:p>
    <w:p w:rsidR="00A31137" w:rsidRPr="00A31137" w:rsidRDefault="00A31137" w:rsidP="00A31137">
      <w:r w:rsidRPr="00A31137">
        <w:t>1991, Payne v. Tennessee, 501 U.S. 842</w:t>
      </w:r>
    </w:p>
    <w:p w:rsidR="00A31137" w:rsidRPr="00A31137" w:rsidRDefault="00A31137" w:rsidP="00A31137">
      <w:r w:rsidRPr="00A31137">
        <w:t>The Court has a special justification in this case. Booth promises more than it can deliver, given the unresolved tension between common evidentiary standards at the guilt phase and Booth's promise of a sentencing determination free from the consideration of facts unknown to the defendant and irrelevant to his decision to kill. An extension of the case to guarantee a sentencing authority free from the influence of information extraneous under Booth would be either an unworkable or a costly extension of an erroneous principle and would itself create a risk of arbitrary results. There is only one other course open to us. We can recede from the erroneous holding that created the tension and extended the false promise, and there is precedent in our stare decisis jurisprudence for doing just this. In prior cases, when this Court has confronted a wrongly decided, unworkable [501 U.S. 843] precedent calling for some further action by the Court, we have chosen not to compound the original error, but to overrule the precedent. See Swift &amp; Co. v. Wickham, 382 U.S. 111 (1965); 3 Continental T.V., Inc. v. GTE Sylvania Inc., 433 U.S. 36 (1977); 4 see also Patterson v. McLean Credit [501 U.S. 844] Union, supra at  173. Following this course here has itself the support not only of precedent, but of practical sense as well. Therefore, I join the Court in its partial overruling of Booth and Gathers.</w:t>
      </w:r>
    </w:p>
    <w:p w:rsidR="00A31137" w:rsidRPr="00A31137" w:rsidRDefault="00A31137" w:rsidP="00A31137">
      <w:r w:rsidRPr="00A31137">
        <w:t>MARSHALL, J., dissenting</w:t>
      </w:r>
    </w:p>
    <w:p w:rsidR="00A31137" w:rsidRPr="00A31137" w:rsidRDefault="00A31137" w:rsidP="00A31137">
      <w:r w:rsidRPr="00A31137">
        <w:t>1991, Payne v. Tennessee, 501 U.S. 844</w:t>
      </w:r>
    </w:p>
    <w:p w:rsidR="00A31137" w:rsidRPr="00A31137" w:rsidRDefault="00A31137" w:rsidP="00A31137">
      <w:r w:rsidRPr="00A31137">
        <w:t>JUSTICE MARSHALL, with whom JUSTICE BLACKMUN joins, dissenting.</w:t>
      </w:r>
    </w:p>
    <w:p w:rsidR="00A31137" w:rsidRPr="00A31137" w:rsidRDefault="00A31137" w:rsidP="00A31137">
      <w:r w:rsidRPr="00A31137">
        <w:t>1991, Payne v. Tennessee, 501 U.S. 844</w:t>
      </w:r>
    </w:p>
    <w:p w:rsidR="00A31137" w:rsidRPr="00A31137" w:rsidRDefault="00A31137" w:rsidP="00A31137">
      <w:r w:rsidRPr="00A31137">
        <w:t>Power, not reason, is the new currency of this Court's decisionmaking. Four Terms ago, a five-Justice majority of this Court held that "victim impact" evidence of the type at issue in this case could not constitutionally be introduced during the penalty phase of a capital trial. Booth v. Maryland, 482 U.S. 496 (1987). By another 5-4 vote, a majority of this Court rebuffed an attack upon this ruling just two Terms ago. South Carolina v. Gathers, 490 U.S. 805 (1989). Nevertheless, having expressly invited respondent to renew the attack, 498 U.S. 1076 (1991), today's majority overrules Booth and Gathers and credits the dissenting views expressed in those cases. Neither the law nor the facts supporting Booth and Gathers underwent any change in the last four years. Only the personnel of this Court did.</w:t>
      </w:r>
    </w:p>
    <w:p w:rsidR="00A31137" w:rsidRPr="00A31137" w:rsidRDefault="00A31137" w:rsidP="00A31137">
      <w:r w:rsidRPr="00A31137">
        <w:t>1991, Payne v. Tennessee, 501 U.S. 844</w:t>
      </w:r>
    </w:p>
    <w:p w:rsidR="00A31137" w:rsidRPr="00A31137" w:rsidRDefault="00A31137" w:rsidP="00A31137">
      <w:r w:rsidRPr="00A31137">
        <w:t>In dispatching Booth and Gathers to their graves, today's majority ominously suggests that an even more extensive upheaval of this Court's precedents may be in store. Renouncing this Court's historical commitment to a conception of "the judiciary as a source of impersonal and reasoned judgments," Moragne v. States Marine Lines, 398 U.S. 375, 403 (1970), [501 U.S. 845] the majority declares itself free to discard any principle of constitutional liberty which was recognized or reaffirmed over the dissenting votes of four Justices and with which five or more Justices now disagree. The implications of this radical new exception to the doctrine of stare decisis are staggering. The majority today sends a clear signal that scores of established constitutional liberties are now ripe for reconsideration, thereby inviting the very type of open defiance of our precedents that the majority rewards in this case. Because I believe that this Court owes more to its constitutional precedents in general and to Booth and Gathers in particular. I dissent.</w:t>
      </w:r>
    </w:p>
    <w:p w:rsidR="00A31137" w:rsidRPr="00A31137" w:rsidRDefault="00A31137" w:rsidP="00A31137">
      <w:r w:rsidRPr="00A31137">
        <w:t>I</w:t>
      </w:r>
    </w:p>
    <w:p w:rsidR="00A31137" w:rsidRPr="00A31137" w:rsidRDefault="00A31137" w:rsidP="00A31137">
      <w:r w:rsidRPr="00A31137">
        <w:t>1991, Payne v. Tennessee, 501 U.S. 845</w:t>
      </w:r>
    </w:p>
    <w:p w:rsidR="00A31137" w:rsidRPr="00A31137" w:rsidRDefault="00A31137" w:rsidP="00A31137">
      <w:r w:rsidRPr="00A31137">
        <w:t>Speaking for the Court as then constituted, Justice Powell and Justice Brennan set out the rationale for excluding victim impact evidence from the sentencing proceedings in a capital case. See Booth v. Maryland, supra at 504-509; South Carolina v. Gathers, supra at 810-811. As the majorities in Booth and Gathers recognized, the core principle of this Court's capital jurisprudence is that the sentence of death must reflect an "'individualized determination'" of the defendant's "'personal responsibility and moral guilt,'" and must be based upon factors that channel the jury's discretion "'so as to minimize the risk of wholly arbitrary and capricious action.'" Booth v. Maryland, supra at 502, quoting Zant v. Stephens, 462 U.S. 862, 879 (1983); Enmund v. Florida, 458 U.S. 782, 801 (1982), and Gregg v. Georgia, 428 U.S. 153,  189 (1976) (joint opinion of Stewart, Powell, and STEVENS, JJ.); accord, South Carolina v. Gathers, supra at 810. The State's introduction of victim impact evidence, Justice Powell and Justice Brennan explained, violates this fundamental principle. Where, as is ordinarily the case, the defendant was unaware of the personal circumstances of his victim, admitting evidence of the victim's character and the impact of the murder upon the victim's family predicates the sentencing determination on "factors…wholly unrelated to the [501 U.S. 846] blameworthiness of [the] particular defendant." Booth v. Maryland, supra at 504; South Carolina v. Gathers, supra at 810. And even where the defendant was in a position to foresee the likely impact of his conduct, admission of victim impact evidence creates an unacceptable risk of sentencing arbitrariness. As Justice Powell explained in Booth, the probative value of such evidence is always outweighed by its prejudicial effect because of its inherent capacity to draw the jury's attention away from the character of the defendant and the circumstances of the crime to such illicit considerations as the eloquence with which family members express their grief and the status of the victim in the community. See Booth v. Maryland, supra at 505-507, and n. 8; South Carolina v. Gathers, supra at 810-811. I continue to find these considerations wholly persuasive, and I see no purpose in trying to improve upon Justice Powell's and Justice Brennan's exposition of them.</w:t>
      </w:r>
    </w:p>
    <w:p w:rsidR="00A31137" w:rsidRPr="00A31137" w:rsidRDefault="00A31137" w:rsidP="00A31137">
      <w:r w:rsidRPr="00A31137">
        <w:t>1991, Payne v. Tennessee, 501 U.S. 846</w:t>
      </w:r>
    </w:p>
    <w:p w:rsidR="00A31137" w:rsidRPr="00A31137" w:rsidRDefault="00A31137" w:rsidP="00A31137">
      <w:r w:rsidRPr="00A31137">
        <w:t xml:space="preserve">There is nothing new in the majority's discussion of the supposed deficiencies in Booth and Gathers. Every one of the arguments made by the majority can be found in the dissenting opinions filed in those two cases, and, as I show in the margin, each argument was convincingly answered by Justice Powell and Justice Brennan. 1 [501 U.S. 847] </w:t>
      </w:r>
    </w:p>
    <w:p w:rsidR="00A31137" w:rsidRPr="00A31137" w:rsidRDefault="00A31137" w:rsidP="00A31137">
      <w:r w:rsidRPr="00A31137">
        <w:t>1991, Payne v. Tennessee, 501 U.S. 847</w:t>
      </w:r>
    </w:p>
    <w:p w:rsidR="00A31137" w:rsidRPr="00A31137" w:rsidRDefault="00A31137" w:rsidP="00A31137">
      <w:r w:rsidRPr="00A31137">
        <w:t>But contrary to the impression that one might receive from reading the majority's lengthy rehearsing of the issues addressed in Booth and Gathers, the outcome of this case does [501 U.S. 848] not turn simply on who—the Booth and Gathers majorities or the Booth and Gathers dissenters—had the better of the argument. Justice Powell and Justice Brennan's position carried the day in those cases and became the law of the land. The real question, then, is whether today's majority has come forward with the type of extraordinary showing that this Court has historically demanded before overruling one of its precedents. In my view, the majority clearly has not made any such showing. Indeed, the striking feature of the majority's opinion is its radical assertion that it need not even try.</w:t>
      </w:r>
    </w:p>
    <w:p w:rsidR="00A31137" w:rsidRPr="00A31137" w:rsidRDefault="00A31137" w:rsidP="00A31137">
      <w:r w:rsidRPr="00A31137">
        <w:t>II</w:t>
      </w:r>
    </w:p>
    <w:p w:rsidR="00A31137" w:rsidRPr="00A31137" w:rsidRDefault="00A31137" w:rsidP="00A31137">
      <w:r w:rsidRPr="00A31137">
        <w:t>1991, Payne v. Tennessee, 501 U.S. 848</w:t>
      </w:r>
    </w:p>
    <w:p w:rsidR="00A31137" w:rsidRPr="00A31137" w:rsidRDefault="00A31137" w:rsidP="00A31137">
      <w:r w:rsidRPr="00A31137">
        <w:t>The overruling of one of this Court's precedents ought to be a matter of great moment and consequence. Although the doctrine of stare decisis is not an "inexorable command," Burnet v. Coronado Oil &amp; Gas Co., 285 U.S. 393,  405 (1932) (Brandeis, J., dissenting), this Court has repeatedly stressed that fidelity to precedent is fundamental to "a society governed by the rule of law," Akron v. Akron Center for Reproductive Health, Inc., 462 U.S. 416,  420 (1983). See generally Patterson v. McLean Credit Union, 491 U.S. 164,  172 (1989) ("[I]t is indisputable that stare decisis is a basic self-governing principle within the Judicial Branch, which is entrusted with the sensitive and difficult task of fashioning and preserving a jurisprudential system that is not based upon [501 U.S. 849] 'an arbitrary discretion.' The Federalist, No. 78, p. 490 (H. Lodge ed. 1888) (A. Hamilton)"); Appeal of Concerned Corporators of Portsmouth Savings Bank, 129 N.H. 183, 227, 525 A.2d 671, 701 (1987) (Souter, J., dissenting) ("[S]tare decisis…is essential if case-by-case judicial decisionmaking is to be reconciled with the principle of the rule of law, for when governing legal standards are open to revision in every case, deciding cases becomes a mere exercise of judicial will, with arbitrary and unpredictable results,'" quoting Thornburgh v. American College of Obstetricians and Gynecologists, 476 U.S. 747, 786-787 (1986) (WHITE, J., dissenting)).</w:t>
      </w:r>
    </w:p>
    <w:p w:rsidR="00A31137" w:rsidRPr="00A31137" w:rsidRDefault="00A31137" w:rsidP="00A31137">
      <w:r w:rsidRPr="00A31137">
        <w:t>1991, Payne v. Tennessee, 501 U.S. 849</w:t>
      </w:r>
    </w:p>
    <w:p w:rsidR="00A31137" w:rsidRPr="00A31137" w:rsidRDefault="00A31137" w:rsidP="00A31137">
      <w:r w:rsidRPr="00A31137">
        <w:t>Consequently, this Court has never departed from precedent without "special justification." Arizona v. Rumsey, 467 U.S. 203, 212 (1984). Such justifications include the advent of "subsequent changes or development in the law" that undermine a decision's rationale, Patterson v. McLean Credit Union, supra at  173; the need "to bring [a decision] into agreement with experience and with facts newly ascertained," Burnet v. Coronado Oil &amp; Gas Co., supra at  412 (Brandeis, J., dissenting); and a showing that a particular precedent has become a "detriment to coherence and consistency in the law," Patterson v. McLean Credit Union, supra at  173.</w:t>
      </w:r>
    </w:p>
    <w:p w:rsidR="00A31137" w:rsidRPr="00A31137" w:rsidRDefault="00A31137" w:rsidP="00A31137">
      <w:r w:rsidRPr="00A31137">
        <w:t>1991, Payne v. Tennessee, 501 U.S. 849</w:t>
      </w:r>
    </w:p>
    <w:p w:rsidR="00A31137" w:rsidRPr="00A31137" w:rsidRDefault="00A31137" w:rsidP="00A31137">
      <w:r w:rsidRPr="00A31137">
        <w:t>The majority cannot seriously claim that any of these traditional bases for overruling a precedent applies to Booth or Gathers. The majority does not suggest that the legal rationale of these decisions has been undercut by changes or developments in doctrine during the last two years. Nor does the majority claim that experience over that period of time has discredited the principle that "any decision to impose the death sentence be, and appear to be, based on reason rather than caprice or emotion," Gardner v. Florida, 430 U.S. 349, 358 (1977) (plurality opinion), the larger postulate of political morality on which Booth and Gathers rest.</w:t>
      </w:r>
    </w:p>
    <w:p w:rsidR="00A31137" w:rsidRPr="00A31137" w:rsidRDefault="00A31137" w:rsidP="00A31137">
      <w:r w:rsidRPr="00A31137">
        <w:t>1991, Payne v. Tennessee, 501 U.S. 849</w:t>
      </w:r>
    </w:p>
    <w:p w:rsidR="00A31137" w:rsidRPr="00A31137" w:rsidRDefault="00A31137" w:rsidP="00A31137">
      <w:r w:rsidRPr="00A31137">
        <w:t>The majority does assert that Booth and Gathers "have defied consistent application by the lower courts," ante at  830, [501 U.S. 850] but the evidence that the majority proffers is so feeble that the majority cannot sincerely expect anyone to believe this claim. To support its contention, the majority points to JUSTICE O'CONNOR's dissent in Gathers, which noted a division among lower courts over whether Booth prohibited prosecutorial arguments relating to the victim's personal characteristics. See 490 U.S. at 813. That, of course, was the issue expressly considered and resolved in Gathers. The majority also cites THE CHIEF JUSTICE's dissent in Mills v. Maryland, 486 U.S. 367, 395-398 (1988). That opinion does not contain a single word about any supposed "[in]consistent application" of Booth in the lower courts. Finally, the majority refers to a divided Ohio Supreme Court decision disposing of an issue concerning victim impact evidence. See State v. Huertas, 51 Ohio St.3d 22, 553 N.E.2d 1058 (1990), cert. dism'd as improvidently granted, 498 U.S. 336 (1991). Obviously, if a division among the members of a single lower court in a single case were sufficient to demonstrate that a particular precedent was a "detriment to coherence and consistency in the law," Patterson v. McLean Credit Union, supra at  173, there would hardly be a decision in United States Reports that we would not be obliged to reconsider. It takes little real detective work to discern just what has changed since this Court decided Booth and Gathers: this Court's own personnel. Indeed, the majority candidly explains why this particular contingency, which until now has been almost universally understood not to be sufficient to warrant overruling a precedent, see, e.g., Florida Dept. of Health and Rehabilitative Services v. Florida Nursing Home Assn., 450 U.S. 147, 153 (1981) (STEVENS, J., concurring); Mitchell v. W. T. Grant Co., 416 U.S. 600, 636 (1974) (Stewart, J., dissenting); Mapp v. Ohio, 367 U.S. 643,  677 (1961) (Harlan, J., dissenting); but see South Carolina v. Gathers, supra at 824 (SCALIA, J., dissenting), is sufficient to justify overruling Booth and Gathers. "Considerations in favor of stare decisis are at their acme," the majority explains,</w:t>
      </w:r>
    </w:p>
    <w:p w:rsidR="00A31137" w:rsidRPr="00A31137" w:rsidRDefault="00A31137" w:rsidP="00A31137">
      <w:r w:rsidRPr="00A31137">
        <w:t>1991, Payne v. Tennessee, 501 U.S. 850</w:t>
      </w:r>
    </w:p>
    <w:p w:rsidR="00A31137" w:rsidRPr="00A31137" w:rsidRDefault="00A31137" w:rsidP="00A31137">
      <w:r w:rsidRPr="00A31137">
        <w:t>in [501 U.S. 851] cases involving property and contract rights, where reliance interests are involved[;] the opposite is true in cases such as the present one involving procedural and evidentiary rules.</w:t>
      </w:r>
    </w:p>
    <w:p w:rsidR="00A31137" w:rsidRPr="00A31137" w:rsidRDefault="00A31137" w:rsidP="00A31137">
      <w:r w:rsidRPr="00A31137">
        <w:t>1991, Payne v. Tennessee, 501 U.S. 851</w:t>
      </w:r>
    </w:p>
    <w:p w:rsidR="00A31137" w:rsidRPr="00A31137" w:rsidRDefault="00A31137" w:rsidP="00A31137">
      <w:r w:rsidRPr="00A31137">
        <w:t>Ante at  828 (citations omitted). In addition, the majority points out, "Booth and Gathers were decided by the narrowest of margins, over spirited dissents," and thereafter were "questioned by Members of the Court." Ante at 828-829. Taken together, these considerations make it legitimate, in the majority's view, to elevate the position of the Booth and Gathers dissenters into the law of the land.</w:t>
      </w:r>
    </w:p>
    <w:p w:rsidR="00A31137" w:rsidRPr="00A31137" w:rsidRDefault="00A31137" w:rsidP="00A31137">
      <w:r w:rsidRPr="00A31137">
        <w:t>1991, Payne v. Tennessee, 501 U.S. 851</w:t>
      </w:r>
    </w:p>
    <w:p w:rsidR="00A31137" w:rsidRPr="00A31137" w:rsidRDefault="00A31137" w:rsidP="00A31137">
      <w:r w:rsidRPr="00A31137">
        <w:t>This truncation of the Court's duty to stand by its own precedents is astonishing. By limiting full protection of the doctrine of stare decisis to "cases involving property and contract rights," ante at  828, the majority sends a clear signal that essentially all decisions implementing the personal liberties protected by the Bill of Rights and the Fourteenth Amendment are open to reexamination. Taking into account the majority's additional criterion for overruling—that a case either was decided or reaffirmed by a 5-4 margin "over spirited dissen[t]," ante at  829—the continued vitality of literally scores of decisions must be understood to depend on nothing more than the proclivities of the individuals who now comprise a majority of this Court. See, e.g., Metro Broadcasting v. FCC, 497 U.S. 547 (1990) (authority of Federal government to set aside broadcast licenses for minority applicants); Grady v. Corbin, 495 U.S. 508 (1990) (right under Double Jeopardy Clause not to be subjected twice to prosecution for same criminal conduct); Mills v. Maryland, supra, (Eighth Amendment right to jury instructions that do not preclude consideration of nonunanimous mitigating factors in capital sentencing); United States v. Paradise, 480 U.S. 149 (1987) (right to promotions as remedy for racial discrimination in government hiring); Ford v. Wainwright, 477 U.S. 399 (1986) (Eighth Amendment right not to be executed if insane); Thornburgh v. American College of Obstetricians and Gynecologists, 476 U.S. 747 (1986) (reaffirming [501 U.S. 852] right to abortion recognized in Roe v. Wade, 410 U.S. 113 (1973)); Aguilar v. Felton, 473 U.S. 402 (1985) (Establishment Clause bar on governmental financial assistance to parochial schools). 2</w:t>
      </w:r>
    </w:p>
    <w:p w:rsidR="00A31137" w:rsidRPr="00A31137" w:rsidRDefault="00A31137" w:rsidP="00A31137">
      <w:r w:rsidRPr="00A31137">
        <w:t>1991, Payne v. Tennessee, 501 U.S. 852</w:t>
      </w:r>
    </w:p>
    <w:p w:rsidR="00A31137" w:rsidRPr="00A31137" w:rsidRDefault="00A31137" w:rsidP="00A31137">
      <w:r w:rsidRPr="00A31137">
        <w:t>In my view, this impoverished conception of stare decisis cannot possibly be reconciled with the values that inform the proper judicial function. Contrary to what the majority suggests, stare decisis is important not merely because individuals rely on precedent to structure their commercial activity, but because fidelity to precedent is part and parcel of a conception of "the judiciary as a source of impersonal and reasoned judgments." Moragne v. States Marine Lines, 398 U.S. at 403. Indeed, this function of stare decisis is in many respects even more critical in adjudication involving constitutional liberties than in adjudication involving commercial [501 U.S. 853] entitlements. Because enforcement of the Bill of Rights and the Fourteenth Amendment frequently requires this Court to rein in the forces of democratic politics, this Court can legitimately lay claim to compliance with its directives only if the public understands the Court to be implementing "principles…founded in the law, rather than in the proclivities of individuals." Vasquez v. Hillery, 474 U.S. 254, 265 (1986). 3 Thus, as JUSTICE STEVENS has explained, the "stron[g] presumption of validity" to which "recently decided cases" are entitled "is an essential thread in the mantle of protection that the law affords the individual…. It is the unpopular or beleaguered individual—not the man in power—who has the greatest stake in the integrity of the law." Florida Dept. of Health and Rehabilitative Services v. Florida Nursing Home Assn., 450 U.S. at 153-154 (concurring opinion).</w:t>
      </w:r>
    </w:p>
    <w:p w:rsidR="00A31137" w:rsidRPr="00A31137" w:rsidRDefault="00A31137" w:rsidP="00A31137">
      <w:r w:rsidRPr="00A31137">
        <w:t>1991, Payne v. Tennessee, 501 U.S. 853</w:t>
      </w:r>
    </w:p>
    <w:p w:rsidR="00A31137" w:rsidRPr="00A31137" w:rsidRDefault="00A31137" w:rsidP="00A31137">
      <w:r w:rsidRPr="00A31137">
        <w:t>Carried to its logical conclusion, the majority's debilitated conception of stare decisis would destroy the Court's very capacity to resolve authoritatively the abiding conflicts between those with power and those without. If this Court shows so little respect for its own precedents, it can hardly expect them to be treated more respectfully by the state actors whom these decisions are supposed to bind. See [501 U.S. 854] Mitchell v. W. T. Grant Co., 416 U.S. at 634 (Stewart, J., dissenting). By signaling its willingness to give fresh consideration to any constitutional liberty recognized by a 5-4 vote "over spirited dissen[t]," ante at  829, the majority invites state actors to renew the very policies deemed unconstitutional in the hope that this Court may now reverse course, even if it has only recently reaffirmed the constitutional liberty in question.</w:t>
      </w:r>
    </w:p>
    <w:p w:rsidR="00A31137" w:rsidRPr="00A31137" w:rsidRDefault="00A31137" w:rsidP="00A31137">
      <w:r w:rsidRPr="00A31137">
        <w:t>1991, Payne v. Tennessee, 501 U.S. 854</w:t>
      </w:r>
    </w:p>
    <w:p w:rsidR="00A31137" w:rsidRPr="00A31137" w:rsidRDefault="00A31137" w:rsidP="00A31137">
      <w:r w:rsidRPr="00A31137">
        <w:t>Indeed, the majority's disposition of this case nicely illustrates the rewards of such a strategy of defiance. The Tennessee Supreme Court did nothing in this case to disguise its contempt for this Court's decisions in Booth and Gathers. Summing up its reaction to those cases, it concluded:</w:t>
      </w:r>
    </w:p>
    <w:p w:rsidR="00A31137" w:rsidRPr="00A31137" w:rsidRDefault="00A31137" w:rsidP="00A31137">
      <w:r w:rsidRPr="00A31137">
        <w:t>1991, Payne v. Tennessee, 501 U.S. 854</w:t>
      </w:r>
    </w:p>
    <w:p w:rsidR="00A31137" w:rsidRPr="00A31137" w:rsidRDefault="00A31137" w:rsidP="00A31137">
      <w:r w:rsidRPr="00A31137">
        <w:t>It is an affront to the civilized members of the human race to say that, at sentencing in a capital case, a parade of witnesses may praise the background, character and good deeds of Defendant (as was done in this case), without limitation as to relevancy, but nothing may be said that bears upon the character of, or harm imposed, upon the victims.</w:t>
      </w:r>
    </w:p>
    <w:p w:rsidR="00A31137" w:rsidRPr="00A31137" w:rsidRDefault="00A31137" w:rsidP="00A31137">
      <w:r w:rsidRPr="00A31137">
        <w:t>1991, Payne v. Tennessee, 501 U.S. 854</w:t>
      </w:r>
    </w:p>
    <w:p w:rsidR="00A31137" w:rsidRPr="00A31137" w:rsidRDefault="00A31137" w:rsidP="00A31137">
      <w:r w:rsidRPr="00A31137">
        <w:t xml:space="preserve">791 S.W.2d 10, 19 (1990). Offering no explanation for how this case could possibly be distinguished from Booth and Gathers—for obviously, there is none to offer—the court perfunctorily declared that the victim impact evidence and the prosecutor's argument based on this evidence "did not violate either [of those decisions]." Ibid. It cannot be clearer that the court simply declined to be bound by this Court's precedents. 4 [501 U.S. 855] </w:t>
      </w:r>
    </w:p>
    <w:p w:rsidR="00A31137" w:rsidRPr="00A31137" w:rsidRDefault="00A31137" w:rsidP="00A31137">
      <w:r w:rsidRPr="00A31137">
        <w:t>1991, Payne v. Tennessee, 501 U.S. 855</w:t>
      </w:r>
    </w:p>
    <w:p w:rsidR="00A31137" w:rsidRPr="00A31137" w:rsidRDefault="00A31137" w:rsidP="00A31137">
      <w:r w:rsidRPr="00A31137">
        <w:t xml:space="preserve">Far from condemning this blatant disregard for the rule of law, the majority applauds it. In the Tennessee Supreme Court's denigration of Booth and Gathers as "'an affront to the civilized members of the human race,'" the majority finds only confirmation of "the unfairness of the rule pronounced by" the majorities in those cases. Ante at  826. It is hard to imagine a more complete abdication of this Court's historic commitment to defending the supremacy of its own pronouncements on issues of constitutional liberty. See Cooper v. Aaron, 358 U.S. 1 (1958); see also Hutto v. Davis, 454 U.S. 370, 375 (1982) (per curiam) ("[U]nless we wish anarchy to prevail within the federal judicial system, a precedent of this Court must be followed by the lower federal courts no matter how misguided the judges of those courts may think it to be"). In light of the cost that such abdication exacts on the authoritativeness of all of this Court's pronouncements, it is also hard to imagine a more short-sighted strategy for effecting change in our constitutional order. [501 U.S. 856] </w:t>
      </w:r>
    </w:p>
    <w:p w:rsidR="00A31137" w:rsidRPr="00A31137" w:rsidRDefault="00A31137" w:rsidP="00A31137">
      <w:r w:rsidRPr="00A31137">
        <w:t>III</w:t>
      </w:r>
    </w:p>
    <w:p w:rsidR="00A31137" w:rsidRPr="00A31137" w:rsidRDefault="00A31137" w:rsidP="00A31137">
      <w:r w:rsidRPr="00A31137">
        <w:t>1991, Payne v. Tennessee, 501 U.S. 856</w:t>
      </w:r>
    </w:p>
    <w:p w:rsidR="00A31137" w:rsidRPr="00A31137" w:rsidRDefault="00A31137" w:rsidP="00A31137">
      <w:r w:rsidRPr="00A31137">
        <w:t>Today's decision charts an unmistakable course. If the majority's radical reconstruction of the rules for overturning this Court's decisions is to be taken at face value—and the majority offers us no reason why it should not—then the overruling of Booth and Gathers is but a preview of an even broader and more far-reaching assault upon this Court's precedents. Cast aside today are those condemned to face society's ultimate penalty. Tomorrow's victims may be minorities, women, or the indigent. Inevitably, this campaign to resurrect yesterday's "spirited dissents" will squander the authority and the legitimacy of this Court as a protector of the powerless.</w:t>
      </w:r>
    </w:p>
    <w:p w:rsidR="00A31137" w:rsidRPr="00A31137" w:rsidRDefault="00A31137" w:rsidP="00A31137">
      <w:r w:rsidRPr="00A31137">
        <w:t>1991, Payne v. Tennessee, 501 U.S. 856</w:t>
      </w:r>
    </w:p>
    <w:p w:rsidR="00A31137" w:rsidRPr="00A31137" w:rsidRDefault="00A31137" w:rsidP="00A31137">
      <w:r w:rsidRPr="00A31137">
        <w:t>I dissent.</w:t>
      </w:r>
    </w:p>
    <w:p w:rsidR="00A31137" w:rsidRPr="00A31137" w:rsidRDefault="00A31137" w:rsidP="00A31137">
      <w:r w:rsidRPr="00A31137">
        <w:t>STEVENS, J., dissenting</w:t>
      </w:r>
    </w:p>
    <w:p w:rsidR="00A31137" w:rsidRPr="00A31137" w:rsidRDefault="00A31137" w:rsidP="00A31137">
      <w:r w:rsidRPr="00A31137">
        <w:t>1991, Payne v. Tennessee, 501 U.S. 856</w:t>
      </w:r>
    </w:p>
    <w:p w:rsidR="00A31137" w:rsidRPr="00A31137" w:rsidRDefault="00A31137" w:rsidP="00A31137">
      <w:r w:rsidRPr="00A31137">
        <w:t>JUSTICE STEVENS, with whom JUSTICE BLACKMUN joins, dissenting.</w:t>
      </w:r>
    </w:p>
    <w:p w:rsidR="00A31137" w:rsidRPr="00A31137" w:rsidRDefault="00A31137" w:rsidP="00A31137">
      <w:r w:rsidRPr="00A31137">
        <w:t>1991, Payne v. Tennessee, 501 U.S. 856</w:t>
      </w:r>
    </w:p>
    <w:p w:rsidR="00A31137" w:rsidRPr="00A31137" w:rsidRDefault="00A31137" w:rsidP="00A31137">
      <w:r w:rsidRPr="00A31137">
        <w:t>The novel rule that the Court announces today represents a dramatic departure from the principles that have governed our capital sentencing jurisprudence for decades. JUSTICE MARSHALL is properly concerned about the majority's trivialization of the doctrine of stare decisis. But even if Booth v. Maryland, 482 U.S. 496 (1987), and South Carolina v. Gathers, 490 U.S. 805 (1989), had not been decided, today's decision would represent a sharp break with past decisions. Our cases provide no support whatsoever for the majority's conclusion that the prosecutor may introduce evidence that sheds no light on the defendant's guilt or moral culpability, and thus serves no purpose other than to encourage jurors to decide in favor of death, rather than life, on the basis of their emotions, rather than their reason.</w:t>
      </w:r>
    </w:p>
    <w:p w:rsidR="00A31137" w:rsidRPr="00A31137" w:rsidRDefault="00A31137" w:rsidP="00A31137">
      <w:r w:rsidRPr="00A31137">
        <w:t>1991, Payne v. Tennessee, 501 U.S. 856</w:t>
      </w:r>
    </w:p>
    <w:p w:rsidR="00A31137" w:rsidRPr="00A31137" w:rsidRDefault="00A31137" w:rsidP="00A31137">
      <w:r w:rsidRPr="00A31137">
        <w:t>Until today, our capital punishment jurisprudence has required that any decision to impose the death penalty be based solely on evidence that tends to inform the jury about the character of the offense and the character of the defendant. Evidence that serves no purpose other than to appeal to the [501 U.S. 857] sympathies or emotions of the jurors has never been considered admissible. Thus, if a defendant, who had murdered a convenience store clerk in cold blood in the course of an armed robbery, offered evidence unknown to him at the time of the crime about the immoral character of his victim, all would recognize immediately that the evidence was irrelevant and inadmissible. Evenhanded justice requires that the same constraint be imposed on the advocate of the death penalty.</w:t>
      </w:r>
    </w:p>
    <w:p w:rsidR="00A31137" w:rsidRPr="00A31137" w:rsidRDefault="00A31137" w:rsidP="00A31137">
      <w:r w:rsidRPr="00A31137">
        <w:t>1991, Payne v. Tennessee, 501 U.S. 857</w:t>
      </w:r>
    </w:p>
    <w:p w:rsidR="00A31137" w:rsidRPr="00A31137" w:rsidRDefault="00A31137" w:rsidP="00A31137">
      <w:r w:rsidRPr="00A31137">
        <w:t>In Williams v. New York, 337 U.S. 241 (1949), this Court considered the scope of the inquiry that should precede the imposition of a death sentence. Relying on practices that had developed "both before and since the American colonies became a nation," id. at  246, Justice Black described the wide latitude that had been accorded judges in considering the source and type of evidence that is relevant to the sentencing determination. Notably, that opinion refers not only to the relevance of evidence establishing the defendant's guilt, but also to the relevance of "the fullest information possible concerning the defendant's life and characteristics." Id. at  247. "Victim impact" evidence, however, was unheard of when Williams was decided. The relevant evidence of harm to society consisted of proof that the defendant was guilty of the offense charged in the indictment.</w:t>
      </w:r>
    </w:p>
    <w:p w:rsidR="00A31137" w:rsidRPr="00A31137" w:rsidRDefault="00A31137" w:rsidP="00A31137">
      <w:r w:rsidRPr="00A31137">
        <w:t>1991, Payne v. Tennessee, 501 U.S. 857</w:t>
      </w:r>
    </w:p>
    <w:p w:rsidR="00A31137" w:rsidRPr="00A31137" w:rsidRDefault="00A31137" w:rsidP="00A31137">
      <w:r w:rsidRPr="00A31137">
        <w:t>Almost 30 years after our decision in Williams, the Court reviewed the scope of evidence relevant in capital sentencing. See Lockett v. Ohio, 438 U.S. 586 (1978). In his plurality opinion, Chief Justice Burger concluded that, in a capital case, the sentencer must not be prevented</w:t>
      </w:r>
    </w:p>
    <w:p w:rsidR="00A31137" w:rsidRPr="00A31137" w:rsidRDefault="00A31137" w:rsidP="00A31137">
      <w:r w:rsidRPr="00A31137">
        <w:t>1991, Payne v. Tennessee, 501 U.S. 857</w:t>
      </w:r>
    </w:p>
    <w:p w:rsidR="00A31137" w:rsidRPr="00A31137" w:rsidRDefault="00A31137" w:rsidP="00A31137">
      <w:r w:rsidRPr="00A31137">
        <w:t>from considering, as a mitigating factor, any aspect of a defendant's character or record and any of the circumstances of the offense that the defendant proffers as a basis for a sentence less than death.</w:t>
      </w:r>
    </w:p>
    <w:p w:rsidR="00A31137" w:rsidRPr="00A31137" w:rsidRDefault="00A31137" w:rsidP="00A31137">
      <w:r w:rsidRPr="00A31137">
        <w:t>1991, Payne v. Tennessee, 501 U.S. 857</w:t>
      </w:r>
    </w:p>
    <w:p w:rsidR="00A31137" w:rsidRPr="00A31137" w:rsidRDefault="00A31137" w:rsidP="00A31137">
      <w:r w:rsidRPr="00A31137">
        <w:t>Id. at 604 (emphasis deleted). As in Williams, the character of the offense and the character of the offender constituted [501 U.S. 858] the entire category of relevant evidence. "Victim impact" evidence was still unheard of when Lockett was decided.</w:t>
      </w:r>
    </w:p>
    <w:p w:rsidR="00A31137" w:rsidRPr="00A31137" w:rsidRDefault="00A31137" w:rsidP="00A31137">
      <w:r w:rsidRPr="00A31137">
        <w:t>1991, Payne v. Tennessee, 501 U.S. 858</w:t>
      </w:r>
    </w:p>
    <w:p w:rsidR="00A31137" w:rsidRPr="00A31137" w:rsidRDefault="00A31137" w:rsidP="00A31137">
      <w:r w:rsidRPr="00A31137">
        <w:t>As the Court acknowledges today, the use of victim impact evidence "is of recent origin," ante at  821. Insofar as the Court's jurisprudence is concerned, this type of evidence made its first appearance in 1987 in Booth v. Maryland, 482 U.S. 496. In his opinion for the Court, Justice Powell noted that our prior cases had stated that the question whether an individual defendant should be executed is to be determined on the basis of "'the character of the individual and the circumstances of the crime,'" id. at 502 (quoting Zant v. Stephens, 462 U.S. 862, 879 (1983)). See also Eddings v. Oklahoma, 455 U.S. 104, 112 (1982). Relying on those cases and on Enmund v. Florida, 458 U.S. 782, 801 (1982), the Court concluded that, unless evidence has some bearing on the defendant's personal responsibility and moral guilt, its admission would create a risk that a death sentence might be based on considerations that are constitutionally impermissible or totally irrelevant to the sentencing process. 482 U.S. at 502. Evidence that served no purpose except to describe the personal characteristics of the victim and the emotional impact of the crime on the victim's family was therefore constitutionally irrelevant.</w:t>
      </w:r>
    </w:p>
    <w:p w:rsidR="00A31137" w:rsidRPr="00A31137" w:rsidRDefault="00A31137" w:rsidP="00A31137">
      <w:r w:rsidRPr="00A31137">
        <w:t>1991, Payne v. Tennessee, 501 U.S. 858</w:t>
      </w:r>
    </w:p>
    <w:p w:rsidR="00A31137" w:rsidRPr="00A31137" w:rsidRDefault="00A31137" w:rsidP="00A31137">
      <w:r w:rsidRPr="00A31137">
        <w:t>Our decision in Booth was entirely consistent with the practices that had been followed "both before and since the American colonies became a nation," Williams, 337 U.S. at  246. Our holding was mandated by our capital punishment jurisprudence, which requires any decision to impose the death penalty to be based on reason, rather than caprice or emotion. See Gardner v. Florida, 430 U.S. 349, 362 (1977) (opinion of STEVENS, J.). The dissenting opinions in Booth and in Gathers can be searched in vain for any judicial precedent sanctioning the use of evidence unrelated to the character of the offense or the character of the offender in the sentencing process. Today, however, relying on nothing more than those dissenting opinions, the Court abandons [501 U.S. 859] rules of relevance that are older than the Nation itself, and ventures into uncharted seas of irrelevance.</w:t>
      </w:r>
    </w:p>
    <w:p w:rsidR="00A31137" w:rsidRPr="00A31137" w:rsidRDefault="00A31137" w:rsidP="00A31137">
      <w:r w:rsidRPr="00A31137">
        <w:t>1991, Payne v. Tennessee, 501 U.S. 859</w:t>
      </w:r>
    </w:p>
    <w:p w:rsidR="00A31137" w:rsidRPr="00A31137" w:rsidRDefault="00A31137" w:rsidP="00A31137">
      <w:r w:rsidRPr="00A31137">
        <w:t xml:space="preserve">Today's majority has obviously been moved by an argument that has strong political appeal, but no proper place in a reasoned judicial opinion. Because our decision in Lockett, 438 U.S. at 604 (opinion of Burger, C.J.), recognizes the defendant's right to introduce all mitigating evidence that may inform the jury about his character, the Court suggests that fairness requires that the State be allowed to respond with similar evidence about the victim. See ante at 825-826. 1 This argument is a classic non sequitur: the victim is not on trial; her character, whether good or bad, cannot therefore constitute either an aggravating or a mitigating circumstance. [501 U.S. 860] </w:t>
      </w:r>
    </w:p>
    <w:p w:rsidR="00A31137" w:rsidRPr="00A31137" w:rsidRDefault="00A31137" w:rsidP="00A31137">
      <w:r w:rsidRPr="00A31137">
        <w:t>1991, Payne v. Tennessee, 501 U.S. 860</w:t>
      </w:r>
    </w:p>
    <w:p w:rsidR="00A31137" w:rsidRPr="00A31137" w:rsidRDefault="00A31137" w:rsidP="00A31137">
      <w:r w:rsidRPr="00A31137">
        <w:t>Even if introduction of evidence about the victim could be equated with introduction of evidence about the defendant, the argument would remain flawed in both its premise and its conclusion. The conclusion that exclusion of victim impact evidence results in a significantly imbalanced sentencing procedure is simply inaccurate. Just as the defendant is entitled to introduce any relevant mitigating evidence, so the State may rebut that evidence and may designate any relevant conduct to be an aggravating factor provided that the factor is sufficiently well defined and consistently applied to cabin the sentencer's discretion.</w:t>
      </w:r>
    </w:p>
    <w:p w:rsidR="00A31137" w:rsidRPr="00A31137" w:rsidRDefault="00A31137" w:rsidP="00A31137">
      <w:r w:rsidRPr="00A31137">
        <w:t>1991, Payne v. Tennessee, 501 U.S. 860</w:t>
      </w:r>
    </w:p>
    <w:p w:rsidR="00A31137" w:rsidRPr="00A31137" w:rsidRDefault="00A31137" w:rsidP="00A31137">
      <w:r w:rsidRPr="00A31137">
        <w:t>The premise that a criminal prosecution requires an evenhanded balance between the State and the defendant is also incorrect. The Constitution grants certain rights to the criminal defendant and imposes special limitations on the State designed to protect the individual from overreaching by the disproportionately powerful State. Thus, the State must prove a defendant's guilt beyond a reasonable doubt. See In re Winship, 397 U.S. 358 (1970). Rules of evidence are also weighted in the defendant's favor. For example, the prosecution generally cannot introduce evidence of the defendant's character to prove his propensity to commit a crime, but the defendant can introduce such reputation evidence to show his law-abiding nature. See, e.g., Fed.Rule Evid. 404(a). Even if balance were required or desirable, today's decision, by permitting both the defendant and the State to introduce irrelevant evidence for the sentencer's consideration without any guidance, surely does nothing to enhance parity in the sentencing process.</w:t>
      </w:r>
    </w:p>
    <w:p w:rsidR="00A31137" w:rsidRPr="00A31137" w:rsidRDefault="00A31137" w:rsidP="00A31137">
      <w:r w:rsidRPr="00A31137">
        <w:t>III</w:t>
      </w:r>
    </w:p>
    <w:p w:rsidR="00A31137" w:rsidRPr="00A31137" w:rsidRDefault="00A31137" w:rsidP="00A31137">
      <w:r w:rsidRPr="00A31137">
        <w:t>1991, Payne v. Tennessee, 501 U.S. 860</w:t>
      </w:r>
    </w:p>
    <w:p w:rsidR="00A31137" w:rsidRPr="00A31137" w:rsidRDefault="00A31137" w:rsidP="00A31137">
      <w:r w:rsidRPr="00A31137">
        <w:t>Victim impact evidence, as used in this case, has two flaws, both related to the Eighth Amendment's command that the punishment of death may not be meted out arbitrarily or capriciously. First, aspects of the character of the victim unforeseeable to the defendant at the time of his crime are irrelevant [501 U.S. 861] to the defendant's "personal responsibility and moral guilt," and therefore cannot justify a death sentence. See Enmund v. Florida, 458 U.S. at 801; see also id. at 825 (O'CONNOR, J., dissenting) ("[P]roportionality requires a nexus between the punishment imposed and the defendant's blameworthiness"); Tison v. Arizona, 481 U.S. 137, 149 (1987) ("The heart of the retribution rationale is that a criminal sentence must be directly related to the personal culpability of the criminal offender"); California v. Brown, 479 U.S. 538, 545 (1987) (O'CONNOR, J., concurring).</w:t>
      </w:r>
    </w:p>
    <w:p w:rsidR="00A31137" w:rsidRPr="00A31137" w:rsidRDefault="00A31137" w:rsidP="00A31137">
      <w:r w:rsidRPr="00A31137">
        <w:t>1991, Payne v. Tennessee, 501 U.S. 861</w:t>
      </w:r>
    </w:p>
    <w:p w:rsidR="00A31137" w:rsidRPr="00A31137" w:rsidRDefault="00A31137" w:rsidP="00A31137">
      <w:r w:rsidRPr="00A31137">
        <w:t>Second, the quantity and quality of victim impact evidence sufficient to turn a verdict of life in prison into a verdict of death is not defined until after the crime has been committed, and therefore cannot possibly be applied consistently in different cases. The sentencer's unguided consideration of victim impact evidence thus conflicts with the principle central to our capital punishment jurisprudence that,</w:t>
      </w:r>
    </w:p>
    <w:p w:rsidR="00A31137" w:rsidRPr="00A31137" w:rsidRDefault="00A31137" w:rsidP="00A31137">
      <w:r w:rsidRPr="00A31137">
        <w:t>1991, Payne v. Tennessee, 501 U.S. 861</w:t>
      </w:r>
    </w:p>
    <w:p w:rsidR="00A31137" w:rsidRPr="00A31137" w:rsidRDefault="00A31137" w:rsidP="00A31137">
      <w:r w:rsidRPr="00A31137">
        <w:t>where discretion is afforded a sentencing body on a matter so grave as the determination of whether a human life should be taken or spared, that discretion must be suitably directed and limited so as to minimize the risk of wholly arbitrary and capricious action.</w:t>
      </w:r>
    </w:p>
    <w:p w:rsidR="00A31137" w:rsidRPr="00A31137" w:rsidRDefault="00A31137" w:rsidP="00A31137">
      <w:r w:rsidRPr="00A31137">
        <w:t>1991, Payne v. Tennessee, 501 U.S. 861</w:t>
      </w:r>
    </w:p>
    <w:p w:rsidR="00A31137" w:rsidRPr="00A31137" w:rsidRDefault="00A31137" w:rsidP="00A31137">
      <w:r w:rsidRPr="00A31137">
        <w:t>Gregg v. Georgia, 428 U.S. 153,  189 (1976) (joint opinion of Stewart, Powell, and STEVENS, JJ.). Open-ended reliance by a capital sentencer on victim impact evidence simply does not provide a "principled way to distinguish [cases], in which the death penalty [i]s imposed, from the many cases in which it [i]s not." Godfrey v. Georgia, 446 U.S. 420, 433 (1980) (opinion of Stewart, J.).</w:t>
      </w:r>
    </w:p>
    <w:p w:rsidR="00A31137" w:rsidRPr="00A31137" w:rsidRDefault="00A31137" w:rsidP="00A31137">
      <w:r w:rsidRPr="00A31137">
        <w:t>1991, Payne v. Tennessee, 501 U.S. 861</w:t>
      </w:r>
    </w:p>
    <w:p w:rsidR="00A31137" w:rsidRPr="00A31137" w:rsidRDefault="00A31137" w:rsidP="00A31137">
      <w:r w:rsidRPr="00A31137">
        <w:t>The majority attempts to justify the admission of victim impact evidence by arguing that "consideration of the harm caused by the crime has been an important factor in the exercise of [sentencing] discretion." Ante at  820. This statement is misleading and inaccurate. It is misleading because it is not limited to harm that is foreseeable. It is inaccurate because it fails to differentiate between legislative determinations and judicial sentencing. It is true that an evaluation of [501 U.S. 862] the harm caused by different kinds of wrongful conduct is a critical aspect in legislative definitions of offenses and determinations concerning sentencing guidelines. There is a rational correlation between moral culpability and the foreseeable harm caused by criminal conduct. Moreover, in the capital sentencing area, legislative identification of the special aggravating factors that may justify the imposition of the death penalty is entirely appropriate. 2 But the majority cites no authority for the suggestion that unforeseeable and indirect harms to a victim's family are properly considered as aggravating evidence on a case-by-case basis.</w:t>
      </w:r>
    </w:p>
    <w:p w:rsidR="00A31137" w:rsidRPr="00A31137" w:rsidRDefault="00A31137" w:rsidP="00A31137">
      <w:r w:rsidRPr="00A31137">
        <w:t>1991, Payne v. Tennessee, 501 U.S. 862</w:t>
      </w:r>
    </w:p>
    <w:p w:rsidR="00A31137" w:rsidRPr="00A31137" w:rsidRDefault="00A31137" w:rsidP="00A31137">
      <w:r w:rsidRPr="00A31137">
        <w:t xml:space="preserve">The dissents in Booth and Gathers and the majority today offer only the recent decision in Tison v. Arizona, 481 U.S. 137 (1987), and two legislative examples to support their contention that harm to the victim has traditionally influenced sentencing discretion. Tison held that the death penalty may be imposed on a felon who acts with reckless disregard for human life if a death occurs in the course of the felony, even though capital punishment cannot be imposed if no one dies as a result of the crime. The first legislative example is that attempted murder and murder are classified as two different offenses subject to different punishments. Ante at  819. The second legislative example is that a person who drives while intoxicated is guilty of vehicular homicide if his actions result in a death, but is not guilty of this offense if he has the good fortune to make it home without killing anyone. See Booth, 482 U.S. at 516 (WHITE, J., dissenting). [501 U.S. 863] </w:t>
      </w:r>
    </w:p>
    <w:p w:rsidR="00A31137" w:rsidRPr="00A31137" w:rsidRDefault="00A31137" w:rsidP="00A31137">
      <w:r w:rsidRPr="00A31137">
        <w:t>1991, Payne v. Tennessee, 501 U.S. 863</w:t>
      </w:r>
    </w:p>
    <w:p w:rsidR="00A31137" w:rsidRPr="00A31137" w:rsidRDefault="00A31137" w:rsidP="00A31137">
      <w:r w:rsidRPr="00A31137">
        <w:t>These three scenarios, however, are fully consistent with the Eighth Amendment jurisprudence reflected in Booth and Gathers, and do not demonstrate that harm to the victim may be considered by a capital sentencer in the ad hoc and post hoc manner authorized by today's majority. The majority's examples demonstrate only that harm to the victim may justify enhanced punishment if the harm is both foreseeable to the defendant and clearly identified in advance of the crime by the legislature as a class of harm that should in every case result in more severe punishment.</w:t>
      </w:r>
    </w:p>
    <w:p w:rsidR="00A31137" w:rsidRPr="00A31137" w:rsidRDefault="00A31137" w:rsidP="00A31137">
      <w:r w:rsidRPr="00A31137">
        <w:t>1991, Payne v. Tennessee, 501 U.S. 863</w:t>
      </w:r>
    </w:p>
    <w:p w:rsidR="00A31137" w:rsidRPr="00A31137" w:rsidRDefault="00A31137" w:rsidP="00A31137">
      <w:r w:rsidRPr="00A31137">
        <w:t>In each scenario, the defendants could reasonably foresee that their acts might result in loss of human life. In addition, in each, the decision that the defendants should be treated differently was made prior to the crime by the legislature, the decision of which is subject to scrutiny for basic rationality. Finally, in each scenario, every defendant who causes the well defined harm of destroying a human life will be subject to the determination that his conduct should be punished more severely. The majority's scenarios therefore provide no support for its holding, which permits a jury to sentence a defendant to death because of harm to the victim and his family that the defendant could not foresee, which was not even identified until after the crime had been committed, and which may be deemed by the jury, without any rational explanation, to justify a death sentence in one case but not in another. Unlike the rule elucidated by the scenarios on which the majority relies, the majority's holding offends the Eighth Amendment because it permits the sentencer to rely on irrelevant evidence in an arbitrary and capricious manner.</w:t>
      </w:r>
    </w:p>
    <w:p w:rsidR="00A31137" w:rsidRPr="00A31137" w:rsidRDefault="00A31137" w:rsidP="00A31137">
      <w:r w:rsidRPr="00A31137">
        <w:t>1991, Payne v. Tennessee, 501 U.S. 863</w:t>
      </w:r>
    </w:p>
    <w:p w:rsidR="00A31137" w:rsidRPr="00A31137" w:rsidRDefault="00A31137" w:rsidP="00A31137">
      <w:r w:rsidRPr="00A31137">
        <w:t>The majority's argument that "the sentencing authority has always been free to consider a wide range of relevant material," ante at 820-821 (emphasis added), thus cannot justify consideration of victim impact evidence that is irrelevant because it details harms that the defendant could not have foreseen. Nor does the majority's citation of Gregg v. Georgia [501 U.S. 864] concerning the "wide scope of evidence and argument allowed at presentence hearings," 428 U.S. at 203 (joint opinion of Stewart, Powell, and STEVENS, JJ.), support today's holding. See ante at  821. The Gregg plurality endorsed the sentencer's consideration of a wide range of evidence "[s]o long as the evidence introduced and the arguments made at the presentence hearing do not prejudice a defendant." 428 U.S. at 203-204. Irrelevant victim impact evidence that distracts the sentencer from the proper focus of sentencing and encourages reliance on emotion and other arbitrary factors necessarily prejudices the defendant.</w:t>
      </w:r>
    </w:p>
    <w:p w:rsidR="00A31137" w:rsidRPr="00A31137" w:rsidRDefault="00A31137" w:rsidP="00A31137">
      <w:r w:rsidRPr="00A31137">
        <w:t>1991, Payne v. Tennessee, 501 U.S. 864</w:t>
      </w:r>
    </w:p>
    <w:p w:rsidR="00A31137" w:rsidRPr="00A31137" w:rsidRDefault="00A31137" w:rsidP="00A31137">
      <w:r w:rsidRPr="00A31137">
        <w:t>The majority's apparent inability to understand this fact is highlighted by its misunderstanding of Justice Powell's argument in Booth that admission of victim impact evidence is undesirable because it risks shifting the focus of the sentencing hearing away from the defendant and the circumstances of the crime and creating a "'mini-trial' on the victim's character." 482 U.S. at 507. Booth found this risk insupportable not, as today's majority suggests, because it creates a "tactical" "dilemma" for the defendant, see ante at  823, but because it allows the possibility that the jury will be so distracted by prejudicial and irrelevant considerations that it will base its life-or-death decision on whim or caprice. See 482 U.S. at 506-507.</w:t>
      </w:r>
    </w:p>
    <w:p w:rsidR="00A31137" w:rsidRPr="00A31137" w:rsidRDefault="00A31137" w:rsidP="00A31137">
      <w:r w:rsidRPr="00A31137">
        <w:t>IV</w:t>
      </w:r>
    </w:p>
    <w:p w:rsidR="00A31137" w:rsidRPr="00A31137" w:rsidRDefault="00A31137" w:rsidP="00A31137">
      <w:r w:rsidRPr="00A31137">
        <w:t>1991, Payne v. Tennessee, 501 U.S. 864</w:t>
      </w:r>
    </w:p>
    <w:p w:rsidR="00A31137" w:rsidRPr="00A31137" w:rsidRDefault="00A31137" w:rsidP="00A31137">
      <w:r w:rsidRPr="00A31137">
        <w:t>The majority thus does far more than validate a State's judgment that "the jury should see 'a quick glimpse of the life petitioner chose to extinguish,' Mills v. Maryland, 486 U.S. 367, 397 (1988) (REHNQUIST, C.J., dissenting)." Ante at 830-831 (O'CONNOR, J., concurring). Instead, it allows a jury to hold a defendant responsible for a whole array of harms that he could not foresee and for which he is therefore not blameworthy. JUSTICE SOUTER argues that these harms are sufficiently foreseeable to hold the defendant accountable because</w:t>
      </w:r>
    </w:p>
    <w:p w:rsidR="00A31137" w:rsidRPr="00A31137" w:rsidRDefault="00A31137" w:rsidP="00A31137">
      <w:r w:rsidRPr="00A31137">
        <w:t>1991, Payne v. Tennessee, 501 U.S. 864</w:t>
      </w:r>
    </w:p>
    <w:p w:rsidR="00A31137" w:rsidRPr="00A31137" w:rsidRDefault="00A31137" w:rsidP="00A31137">
      <w:r w:rsidRPr="00A31137">
        <w:t>[e]very defendant knows, if endowed with the mental competence for criminal responsibility, that [501 U.S. 865] the life he will take by his homicidal behavior is that of a unique person, like himself, and that the person to be killed probably has close associates, "survivors," who will suffer harms and deprivations from the victim's death.</w:t>
      </w:r>
    </w:p>
    <w:p w:rsidR="00A31137" w:rsidRPr="00A31137" w:rsidRDefault="00A31137" w:rsidP="00A31137">
      <w:r w:rsidRPr="00A31137">
        <w:t>1991, Payne v. Tennessee, 501 U.S. 865</w:t>
      </w:r>
    </w:p>
    <w:p w:rsidR="00A31137" w:rsidRPr="00A31137" w:rsidRDefault="00A31137" w:rsidP="00A31137">
      <w:r w:rsidRPr="00A31137">
        <w:t>Ante at  838 (SOUTER, J., concurring). But every juror and trial judge knows this much as well. Evidence about who those survivors are and what harms and deprivations they have suffered is therefore not necessary to apprise the sentencer of any information that was actually foreseeable to the defendant. Its only function can be to "divert the jury's attention away from the defendant's background and record, and the circumstances of the crime." See Booth, 482 U.S. at 505.</w:t>
      </w:r>
    </w:p>
    <w:p w:rsidR="00A31137" w:rsidRPr="00A31137" w:rsidRDefault="00A31137" w:rsidP="00A31137">
      <w:r w:rsidRPr="00A31137">
        <w:t>1991, Payne v. Tennessee, 501 U.S. 865</w:t>
      </w:r>
    </w:p>
    <w:p w:rsidR="00A31137" w:rsidRPr="00A31137" w:rsidRDefault="00A31137" w:rsidP="00A31137">
      <w:r w:rsidRPr="00A31137">
        <w:t>Arguing in the alternative, JUSTICE SOUTER correctly points out that victim impact evidence will sometimes come to the attention of the jury during the guilt phase of the trial. Ante at  840. He reasons that the ideal of basing sentencing determinations entirely on the moral culpability of the defendant is therefore unattainable unless a different jury is empaneled for the sentencing hearing. Ante at  841. Thus, to justify overruling Booth, he assumes that the decision must otherwise be extended far beyond its actual holding.</w:t>
      </w:r>
    </w:p>
    <w:p w:rsidR="00A31137" w:rsidRPr="00A31137" w:rsidRDefault="00A31137" w:rsidP="00A31137">
      <w:r w:rsidRPr="00A31137">
        <w:t>1991, Payne v. Tennessee, 501 U.S. 865</w:t>
      </w:r>
    </w:p>
    <w:p w:rsidR="00A31137" w:rsidRPr="00A31137" w:rsidRDefault="00A31137" w:rsidP="00A31137">
      <w:r w:rsidRPr="00A31137">
        <w:t>JUSTICE SOUTER's assumption is entirely unwarranted. For as long as the contours of relevance at sentencing hearings have been limited to evidence concerning the character of the offense and the character of the offender, the law has also recognized that evidence that is admissible for a proper purpose may not be excluded because it is inadmissible for other purposes and may indirectly prejudice the jury. See 1 J. Wigmore, Evidence § 13 (P. Tillers rev.1983). In the case before us today, much of what might be characterized as victim impact evidence was properly admitted during the guilt phase of the trial and, given the horrible character of this crime, may have been sufficient to justify the Tennessee Supreme Court's conclusion that the error was harmless because the jury would necessarily have imposed the death sentence even absent the error. The fact that a good deal of [501 U.S. 866] such evidence is routinely and properly brought to the attention of the jury merely indicates that the rule of Booth may not affect the outcome of many cases.</w:t>
      </w:r>
    </w:p>
    <w:p w:rsidR="00A31137" w:rsidRPr="00A31137" w:rsidRDefault="00A31137" w:rsidP="00A31137">
      <w:r w:rsidRPr="00A31137">
        <w:t>1991, Payne v. Tennessee, 501 U.S. 866</w:t>
      </w:r>
    </w:p>
    <w:p w:rsidR="00A31137" w:rsidRPr="00A31137" w:rsidRDefault="00A31137" w:rsidP="00A31137">
      <w:r w:rsidRPr="00A31137">
        <w:t>In reaching our decision today, however, we should not be concerned with the cases in which victim impact evidence will not make a difference. We should be concerned instead with the cases in which it will make a difference. In those cases, defendants will be sentenced arbitrarily to death on the basis of evidence that would not otherwise be admissible because it is irrelevant to the defendants' moral culpability. The Constitution's proscription against the arbitrary imposition of the death penalty must necessarily proscribe the admission of evidence that serves no purpose other than to result in such arbitrary sentences.</w:t>
      </w:r>
    </w:p>
    <w:p w:rsidR="00A31137" w:rsidRPr="00A31137" w:rsidRDefault="00A31137" w:rsidP="00A31137">
      <w:r w:rsidRPr="00A31137">
        <w:t>V</w:t>
      </w:r>
    </w:p>
    <w:p w:rsidR="00A31137" w:rsidRPr="00A31137" w:rsidRDefault="00A31137" w:rsidP="00A31137">
      <w:r w:rsidRPr="00A31137">
        <w:t>1991, Payne v. Tennessee, 501 U.S. 866</w:t>
      </w:r>
    </w:p>
    <w:p w:rsidR="00A31137" w:rsidRPr="00A31137" w:rsidRDefault="00A31137" w:rsidP="00A31137">
      <w:r w:rsidRPr="00A31137">
        <w:t xml:space="preserve">The notion that the inability to produce an ideal system of justice in which every punishment is precisely married to the defendant's blameworthiness somehow justifies a rule that completely divorces some capital sentencing determinations from moral culpability is incomprehensible to me. Also incomprehensible is the argument that such a rule is required for the jury to take into account that each murder victim is a "unique" human being. See ante at  823; ante at 830-831 (O'CONNOR, J., concurring); ante at  838 (SOUTER, J., concurring). The fact that each of us is unique is a proposition so obvious that it surely requires no evidentiary support. What is not obvious, however, is the way in which the character or reputation in one case may differ from that of other possible victims. Evidence offered to prove such differences can only be intended to identify some victims as more worthy of protection than others. Such proof risks decisions based on the same invidious motives as a prosecutor's decision to seek the death penalty if a victim is white, but to accept a plea bargain if the victim is black. See McCleskey v. Kemp, 481 U.S. 279,  366 (1987) (STEVENS, J., dissenting). [501 U.S. 867] </w:t>
      </w:r>
    </w:p>
    <w:p w:rsidR="00A31137" w:rsidRPr="00A31137" w:rsidRDefault="00A31137" w:rsidP="00A31137">
      <w:r w:rsidRPr="00A31137">
        <w:t>1991, Payne v. Tennessee, 501 U.S. 867</w:t>
      </w:r>
    </w:p>
    <w:p w:rsidR="00A31137" w:rsidRPr="00A31137" w:rsidRDefault="00A31137" w:rsidP="00A31137">
      <w:r w:rsidRPr="00A31137">
        <w:t>Given the current popularity of capital punishment in a crime-ridden society, the political appeal of arguments that assume that increasing the severity of sentences is the best cure for the cancer of crime, and the political strength of the "victims' rights" movement, I recognize that today's decision will be greeted with enthusiasm by a large number of concerned and thoughtful citizens. The great tragedy of the decision, however, is the danger that the "hydraulic pressure" of public opinion that Justice Holmes once described 3—and that properly influences the deliberations of democratic legislatures—has played a role not only in the Court's decision to hear this case, 4 and in its decision to reach the constitutional question without pausing to consider affirming on the basis of the Tennessee Supreme Court's rationale, 5 but even in its resolution of the constitutional issue involved. Today is a sad day for a great institution.</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1991, Payne v. Tennessee, 501 U.S. 867</w:t>
      </w:r>
    </w:p>
    <w:p w:rsidR="00A31137" w:rsidRPr="00A31137" w:rsidRDefault="00A31137" w:rsidP="00A31137">
      <w:r w:rsidRPr="00A31137">
        <w:t>1. Perez v. Campbell, 402 U.S. 637 (1971) (overruling Kesler v. Department of Public Safety of Utah, 369 U.S. 153 (1962)); Dunn v. Blumstein, 405 U.S. 330 (1972) (overruling Pope v. Williams, 193 U.S. 621 (1904)); Lehnhausen v. Lake Shore Auto Parts Co., 410 U.S. 356 (1973) (overruling Quaker City Cab Co. v. Pennsylvania, 277 U.S. 389 (1928)); Miller v. California, 413 U.S. 15 (1973) (overruling Book Named "John Cleland's Memoirs of a Woman of Pleasure" v. Attorney General of Mass., 383 U.S. 413 (1966)); North Dakota Pharmacy Bd. v. Snyder's Drug Stores, Inc., 414 U.S. 156 (1973) (overruling Louis K. Liggett Co. v. Baldridge, 278 U.S. 105 (1928)); Edelman v. Jordan, 415 U.S. 651 (1974) (overruling in part Shapiro v. Thompson, 394 U.S. 618 (1969); State Dept. of Health &amp; Rehabilitative Services of Florida v. Zarate, 407 U.S. 918 (1972); and Sterrett v. Mothers' &amp; Children's Rights Organization, 409 U.S. 809 (1972)); Taylor v. Louisiana, 419 U.S. 522 (1975) (overruling in effect Hoyt v. Florida, 368 U.S. 57 (1961)); Michelin Tire Corp. v. Wages, 423 U.S. 276 (1976) (overruling Low v. Austin, 13 Wall. 29 (1872)); Virginia State Bd. of Pharmacy v. Virginia Citizens Consumer Council, Inc., 425 U.S. 748 (1976) (overruling Valentine v. Chrestensen, 316 U.S. 52 (1942)); National League of Cities v. Usery, 426 U.S. 833 (1976) (overruling Maryland v. Wirtz, 392 U.S. 183 (1968)); New Orleans v. Dukes, 427 U.S. 297 (1976) (overruling Morey v. Doud, 354 U.S. 457 (1957)); Craig v. Boren, 429 U.S. 190 (1976) (overruling Goesaert v. Cleary, 335 U.S. 464 (1948)); Complete Auto Transit, Inc. v. Brady, 430 U.S. 274 (1977) (overruling Spector Motor Service, Inc. v. O'Connor, 340 U.S. 602 (1951)); Shaffer v. Heitner, 433 U.S. 186 (1977) (overruling Pennoyer v. Neff, 95 U.S. 714 (1878));Department of Revenue of Washington v. Association of Washington Stevedoring Cos., 435 U.S. 734 (1978) (overruling Puget Sound Stevedoring Co. v. State Tax Comm'n, 302 U.S. 90 (1937)); United States v. Scott, 437 U.S. 82 (1978) (overruling United States v. Jenkins, 420 U.S. 358 (1975)); Hughes v. Oklahoma, 441 U.S. 322 (1979) (overruling Geer v. Connecticut, 161 U.S. 519 (1896)); United States v. Salvucci, 448 U.S. 83 (1980) (overruling Jones v. United States, 362 U.S. 257 (1960)); Commonwealth Edison Co. v. Montana, 453 U.S. 609 (1981) (overruling Heisler v. Thomas Colliery Co., 260 U.S. 245 (1922)); Illinois v. Gates, 462 U.S. 213 (1983) (overruling Aguilar v. Texas, 378 U.S. 108 (1964)); Pennhurst State School and Hospital v. Halderman, 465 U.S. 89 (1984) (overruling in part Rolston v. Missouri Fund Comm'rs, 120 U.S. 390 (1887)); United States v. One Assortment of 89 Firearms, 465 U.S. 354 (1984) (overruling Coffey v. United States, 116 U.S. 436 (1886)); Garcia v. San Antonio Metropolitan Transit Authority, 469 U.S. 528 (1985) (overruling National League of Cities v. Usery, supra); United States v. Miller, 471 U.S. 130 (1985) (overruling in part Ex parte Bain, 121 U.S. 1 (1887)); Daniels v. Williams, 474 U.S. 327 (1986) (overruling in part Parratt v. Taylor, 451 U.S. 527 (1981)); Batson v. Kentucky, 476 U.S. 79 (1986) (overruling in part Swain v. Alabama, 380 U.S. 202 (1965)); Solorio v. United States, 483 U.S. 435 (1987) (overruling O'Callahan v. Parker, 395 U.S. 258 (1969)); Welch v. Texas Dept. of Highways and Public Transportation, 483 U.S. 468 (1987) (overruling in part Parden v. Terminal Railway of Alabama Docks Dept., 377 U.S. 184 (1964)); South Carolina v. Baker, 485 U.S. 505 (1988) (overruling Pollock v. Farmers' Loan &amp; Trust Co., 157 U.S. 429 (1895)); Thornburgh v. Abbott, 490 U.S. 401 (1989) (overruling in part Procunier v. Martinez, 416 U.S. 396 (1974)); Alabama v. Smith, 490 U.S. 794 (1989) (overruling Simpson v. Rice (decided with North Carolina v. Pearce), 395 U.S. 711 (1969)); Healy v. Beer Institute, 491 U.S. 324 (1989) (overruling Joseph E. Seagram &amp; Sons, Inc. v. Hostetter, 384 U.S. 35 (1966)); Collins v. Youngblood, 497 U.S. 37 (1990) (overruling Kring v. Missouri, 107 U.S. 221 (1883); Thompson v. Utah, 170 U.S. 343 (1898)); California v. Acevedo, 500 U.S. 565 (1991) (overruling Arkansas v. Sanders, 442 U.S. 753 (1979)).</w:t>
      </w:r>
    </w:p>
    <w:p w:rsidR="00A31137" w:rsidRPr="00A31137" w:rsidRDefault="00A31137" w:rsidP="00A31137">
      <w:r w:rsidRPr="00A31137">
        <w:t>1991, Payne v. Tennessee, 501 U.S. 867</w:t>
      </w:r>
    </w:p>
    <w:p w:rsidR="00A31137" w:rsidRPr="00A31137" w:rsidRDefault="00A31137" w:rsidP="00A31137">
      <w:r w:rsidRPr="00A31137">
        <w:t>2. Our holding today is limited to the holdings of Booth v. Maryland, 482 U.S. 496 (1987), and South Carolina v. Gathers, 490 U.S. 805 (1989), that evidence and argument relating to the victim and the impact of the victim's death on the victim's family are inadmissible at a capital sentencing hearing. Booth also held that the admission of a victim's family members' characterizations and opinions about the crime, the defendant, and the appropriate sentence violates the Eighth Amendment. No evidence of the latter sort was presented at the trial in this case.</w:t>
      </w:r>
    </w:p>
    <w:p w:rsidR="00A31137" w:rsidRPr="00A31137" w:rsidRDefault="00A31137" w:rsidP="00A31137">
      <w:r w:rsidRPr="00A31137">
        <w:t>SOUTER, J., concurring (Footnotes)</w:t>
      </w:r>
    </w:p>
    <w:p w:rsidR="00A31137" w:rsidRPr="00A31137" w:rsidRDefault="00A31137" w:rsidP="00A31137">
      <w:r w:rsidRPr="00A31137">
        <w:t>1991, Payne v. Tennessee, 501 U.S. 867</w:t>
      </w:r>
    </w:p>
    <w:p w:rsidR="00A31137" w:rsidRPr="00A31137" w:rsidRDefault="00A31137" w:rsidP="00A31137">
      <w:r w:rsidRPr="00A31137">
        <w:t>1. This case presents no challenge to the Court's holding in Booth v. Maryland that a sentencing authority should not receive a third category of information concerning a victim's family members' characterization of and opinions about the crime, the defendant, and the appropriate sentence. See ante at  830, n. 2.</w:t>
      </w:r>
    </w:p>
    <w:p w:rsidR="00A31137" w:rsidRPr="00A31137" w:rsidRDefault="00A31137" w:rsidP="00A31137">
      <w:r w:rsidRPr="00A31137">
        <w:t>1991, Payne v. Tennessee, 501 U.S. 867</w:t>
      </w:r>
    </w:p>
    <w:p w:rsidR="00A31137" w:rsidRPr="00A31137" w:rsidRDefault="00A31137" w:rsidP="00A31137">
      <w:r w:rsidRPr="00A31137">
        <w:t>2. Because this discussion goes only to the underlying substantive rule in question, for brevity, I will confine most references to Booth alone.</w:t>
      </w:r>
    </w:p>
    <w:p w:rsidR="00A31137" w:rsidRPr="00A31137" w:rsidRDefault="00A31137" w:rsidP="00A31137">
      <w:r w:rsidRPr="00A31137">
        <w:t>1991, Payne v. Tennessee, 501 U.S. 867</w:t>
      </w:r>
    </w:p>
    <w:p w:rsidR="00A31137" w:rsidRPr="00A31137" w:rsidRDefault="00A31137" w:rsidP="00A31137">
      <w:r w:rsidRPr="00A31137">
        <w:t>3. In Swift &amp; Co. v. Wickham, the Court overruled Kesler v. Department of Public Safety of Utah, 369 U.S. 153 (1962). The issue presented in both Swift and Kesler concerned the application of the three-judge district court statute, 28 U.S.C. § 2281 (1970 ed.), in cases of alleged state statutory preemption by federal law. The Court had held in Kesler that</w:t>
      </w:r>
    </w:p>
    <w:p w:rsidR="00A31137" w:rsidRPr="00A31137" w:rsidRDefault="00A31137" w:rsidP="00A31137">
      <w:r w:rsidRPr="00A31137">
        <w:t>1991, Payne v. Tennessee, 501 U.S. 867</w:t>
      </w:r>
    </w:p>
    <w:p w:rsidR="00A31137" w:rsidRPr="00A31137" w:rsidRDefault="00A31137" w:rsidP="00A31137">
      <w:r w:rsidRPr="00A31137">
        <w:t>§ 2281 comes into play only when the Supremacy Clause of the Federal Constitution is immediately drawn in question, but not when issues of federal or state statutory construction must first be decided even though the Supremacy Clause may ultimately be implicated.</w:t>
      </w:r>
    </w:p>
    <w:p w:rsidR="00A31137" w:rsidRPr="00A31137" w:rsidRDefault="00A31137" w:rsidP="00A31137">
      <w:r w:rsidRPr="00A31137">
        <w:t>1991, Payne v. Tennessee, 501 U.S. 867</w:t>
      </w:r>
    </w:p>
    <w:p w:rsidR="00A31137" w:rsidRPr="00A31137" w:rsidRDefault="00A31137" w:rsidP="00A31137">
      <w:r w:rsidRPr="00A31137">
        <w:t>382 U.S. at 115.</w:t>
      </w:r>
    </w:p>
    <w:p w:rsidR="00A31137" w:rsidRPr="00A31137" w:rsidRDefault="00A31137" w:rsidP="00A31137">
      <w:r w:rsidRPr="00A31137">
        <w:t>1991, Payne v. Tennessee, 501 U.S. 867</w:t>
      </w:r>
    </w:p>
    <w:p w:rsidR="00A31137" w:rsidRPr="00A31137" w:rsidRDefault="00A31137" w:rsidP="00A31137">
      <w:r w:rsidRPr="00A31137">
        <w:t>Three years later, in Swift &amp; Co. v. Wickham, a majority of the Court disagreed with the Kesler analysis of the question, finding it inconsistent with the statute and earlier precedents of this Court. 382 U.S. at 122 ("The upshot of these decisions seems abundantly clear: Supremacy Clause cases are not within the purview of § 2281"). The Court concluded that there were</w:t>
      </w:r>
    </w:p>
    <w:p w:rsidR="00A31137" w:rsidRPr="00A31137" w:rsidRDefault="00A31137" w:rsidP="00A31137">
      <w:r w:rsidRPr="00A31137">
        <w:t>1991, Payne v. Tennessee, 501 U.S. 867</w:t>
      </w:r>
    </w:p>
    <w:p w:rsidR="00A31137" w:rsidRPr="00A31137" w:rsidRDefault="00A31137" w:rsidP="00A31137">
      <w:r w:rsidRPr="00A31137">
        <w:t>[t]wo possible interpretations of § 2281 [that] would provide a more practical rule for three-judge court jurisdiction. The first is that Kesler might be extended to hold, as some of its language might be thought to indicate, that all suits to enjoin the enforcement of a state statute, whatever the federal ground, must be channeled through three-judge courts. The second is that no such suits resting solely on "supremacy" grounds fall within the statute.</w:t>
      </w:r>
    </w:p>
    <w:p w:rsidR="00A31137" w:rsidRPr="00A31137" w:rsidRDefault="00A31137" w:rsidP="00A31137">
      <w:r w:rsidRPr="00A31137">
        <w:t>1991, Payne v. Tennessee, 501 U.S. 867</w:t>
      </w:r>
    </w:p>
    <w:p w:rsidR="00A31137" w:rsidRPr="00A31137" w:rsidRDefault="00A31137" w:rsidP="00A31137">
      <w:r w:rsidRPr="00A31137">
        <w:t>Id. at 125 (footnote omitted).</w:t>
      </w:r>
    </w:p>
    <w:p w:rsidR="00A31137" w:rsidRPr="00A31137" w:rsidRDefault="00A31137" w:rsidP="00A31137">
      <w:r w:rsidRPr="00A31137">
        <w:t>1991, Payne v. Tennessee, 501 U.S. 867</w:t>
      </w:r>
    </w:p>
    <w:p w:rsidR="00A31137" w:rsidRPr="00A31137" w:rsidRDefault="00A31137" w:rsidP="00A31137">
      <w:r w:rsidRPr="00A31137">
        <w:t>Rather than extend the incorrectly decided opinion in Kesler, the Court decided to overrule it. 382 U.S. at 126-127.</w:t>
      </w:r>
    </w:p>
    <w:p w:rsidR="00A31137" w:rsidRPr="00A31137" w:rsidRDefault="00A31137" w:rsidP="00A31137">
      <w:r w:rsidRPr="00A31137">
        <w:t>1991, Payne v. Tennessee, 501 U.S. 867</w:t>
      </w:r>
    </w:p>
    <w:p w:rsidR="00A31137" w:rsidRPr="00A31137" w:rsidRDefault="00A31137" w:rsidP="00A31137">
      <w:r w:rsidRPr="00A31137">
        <w:t>4. In Continental T.V., Inc. v. GTE Sylvania Inc., the Court overruled United States v. Arnold, Schwinn &amp; Co., 388 U.S. 365 (1967), which had held that</w:t>
      </w:r>
    </w:p>
    <w:p w:rsidR="00A31137" w:rsidRPr="00A31137" w:rsidRDefault="00A31137" w:rsidP="00A31137">
      <w:r w:rsidRPr="00A31137">
        <w:t>1991, Payne v. Tennessee, 501 U.S. 867</w:t>
      </w:r>
    </w:p>
    <w:p w:rsidR="00A31137" w:rsidRPr="00A31137" w:rsidRDefault="00A31137" w:rsidP="00A31137">
      <w:r w:rsidRPr="00A31137">
        <w:t>[u]nder the Sherman Act, it is [per se] unreasonable…for a manufacturer to seek to restrict and confine areas or persons with whom an article may be traded after the manufacturer has parted with dominion over it.</w:t>
      </w:r>
    </w:p>
    <w:p w:rsidR="00A31137" w:rsidRPr="00A31137" w:rsidRDefault="00A31137" w:rsidP="00A31137">
      <w:r w:rsidRPr="00A31137">
        <w:t>1991, Payne v. Tennessee, 501 U.S. 867</w:t>
      </w:r>
    </w:p>
    <w:p w:rsidR="00A31137" w:rsidRPr="00A31137" w:rsidRDefault="00A31137" w:rsidP="00A31137">
      <w:r w:rsidRPr="00A31137">
        <w:t>Id. at 379. The decision distinguished between restrictions on retailers based on whether the underlying transaction was a sale, in which case the Court applied a per se ban, or not a sale, in which case the arrangement would be subject to a "rule of reason" analysis. In Continental T.V., Inc., the Court reconsidered this per se rule in light of our traditional reliance on a "rule of reason" analysis for § 1 claims under the Sherman Act and the "continuing controversy and confusion, both in the scholarly journals and in the federal courts" caused by the sale/nonsale distinction drawn by the Court in Schwinn. 433 U.S. at 47-56. The Court proceeded to reexamination, and concluded</w:t>
      </w:r>
    </w:p>
    <w:p w:rsidR="00A31137" w:rsidRPr="00A31137" w:rsidRDefault="00A31137" w:rsidP="00A31137">
      <w:r w:rsidRPr="00A31137">
        <w:t>1991, Payne v. Tennessee, 501 U.S. 867</w:t>
      </w:r>
    </w:p>
    <w:p w:rsidR="00A31137" w:rsidRPr="00A31137" w:rsidRDefault="00A31137" w:rsidP="00A31137">
      <w:r w:rsidRPr="00A31137">
        <w:t>that the distinction drawn in Schwinn between sale and nonsale transactions is not sufficient to justify the application of a per se rule in one situation and a rule of reason in the other. The question remains whether the per se rule stated in Schwinn should be expanded to include nonsale transactions or abandoned in favor of a return to the rule of reason.</w:t>
      </w:r>
    </w:p>
    <w:p w:rsidR="00A31137" w:rsidRPr="00A31137" w:rsidRDefault="00A31137" w:rsidP="00A31137">
      <w:r w:rsidRPr="00A31137">
        <w:t>1991, Payne v. Tennessee, 501 U.S. 867</w:t>
      </w:r>
    </w:p>
    <w:p w:rsidR="00A31137" w:rsidRPr="00A31137" w:rsidRDefault="00A31137" w:rsidP="00A31137">
      <w:r w:rsidRPr="00A31137">
        <w:t>Id. at 57. The Court found "no persuasive support for expanding the per se rule," and Schwinn was overruled. 433 U.S. at 57.</w:t>
      </w:r>
    </w:p>
    <w:p w:rsidR="00A31137" w:rsidRPr="00A31137" w:rsidRDefault="00A31137" w:rsidP="00A31137">
      <w:r w:rsidRPr="00A31137">
        <w:t>MARSHALL, J., dissenting (Footnotes)</w:t>
      </w:r>
    </w:p>
    <w:p w:rsidR="00A31137" w:rsidRPr="00A31137" w:rsidRDefault="00A31137" w:rsidP="00A31137">
      <w:r w:rsidRPr="00A31137">
        <w:t>1991, Payne v. Tennessee, 501 U.S. 867</w:t>
      </w:r>
    </w:p>
    <w:p w:rsidR="00A31137" w:rsidRPr="00A31137" w:rsidRDefault="00A31137" w:rsidP="00A31137">
      <w:r w:rsidRPr="00A31137">
        <w:t>1. The majority's primary argument is that punishment in criminal law is frequently based on an "assessment of [the] harm caused by the defendant as a result of the crime charged." Ante at  819. See also Booth v. Maryland, 482 U.S. 496, 516 (1987) (WHITE, J., dissenting); id. at 519-520 (SCALIA, J., dissenting); South Carolina v. Gathers, 490 U.S. 805, 818-819 (1989) (O'CONNOR, J., dissenting). Nothing in Booth or Gathers, however, conflicts with this unremarkable observation. These cases stand merely for the proposition that the State may not put on evidence of one particular species of harm—namely, that associated with the victim's personal characteristics independent of the circumstances of the offense—in the course of a capital murder proceeding. See Booth v. Maryland, supra, at 507, n. 10 (emphasizing that decision does not bar reliance on victim impact evidence in capital sentencing so long as such evidence "relate[s] directly to the circumstances of the crime"); id. at 509, n. 12 (emphasizing that decision does not bar reliance on victim impact evidence in sentencing for noncapital crimes). It may be the case that such a rule departs from the latitude of sentencers in criminal law generally to "tak[e] into consideration the harm done by the defendant." Ante at  825. But as the Booth Court pointed out, because this Court's capital sentencing jurisprudence is founded on the premise that "death is a 'punishment different from all other sanctions,'" it is completely unavailing to attempt to infer from sentencing considerations in noncapital settings the proper treatment of any particular sentencing issue in a capital case. 482 U.S. at 509, n. 12, quoting Woodson v. North Carolina, 428 U.S. 280, 303-304, 305 (1976) (opinion of Stewart, Powell, and STEVENS, JJ.).</w:t>
      </w:r>
    </w:p>
    <w:p w:rsidR="00A31137" w:rsidRPr="00A31137" w:rsidRDefault="00A31137" w:rsidP="00A31137">
      <w:r w:rsidRPr="00A31137">
        <w:t>1991, Payne v. Tennessee, 501 U.S. 867</w:t>
      </w:r>
    </w:p>
    <w:p w:rsidR="00A31137" w:rsidRPr="00A31137" w:rsidRDefault="00A31137" w:rsidP="00A31137">
      <w:r w:rsidRPr="00A31137">
        <w:t>The majority also discounts Justice Powell's concern with the inherently prejudicial quality of victim impact evidence. "[T]he mere fact that for tactical reasons it might not be prudent for the defense to rebut victim impact evidence," the majority protests, "makes the case no different than others in which a party is faced with this sort of a dilemma." Ante at  823. See also Booth v. Maryland, supra at 518 (WHITE, J., dissenting). Unsurprisingly, this tautology is completely unresponsive to Justice Powell's argument. The Booth Court established a rule excluding introduction of victim impact evidence not merely because it is difficult to rebut—a feature of victim impact evidence that may be "no different" from that of many varieties of relevant, legitimate evidence—but because the effect of this evidence in the sentencing proceeding is unfairly prejudicial:</w:t>
      </w:r>
    </w:p>
    <w:p w:rsidR="00A31137" w:rsidRPr="00A31137" w:rsidRDefault="00A31137" w:rsidP="00A31137">
      <w:r w:rsidRPr="00A31137">
        <w:t>1991, Payne v. Tennessee, 501 U.S. 867</w:t>
      </w:r>
    </w:p>
    <w:p w:rsidR="00A31137" w:rsidRPr="00A31137" w:rsidRDefault="00A31137" w:rsidP="00A31137">
      <w:r w:rsidRPr="00A31137">
        <w:t>The prospect of a "mini-trial" on the victim's character is more than simply unappealing; it could well distract the sentencing jury from its constitutionally required task—determining whether the death penalty is appropriate in light of the background and record of the accused and the particular circumstances of the crime.</w:t>
      </w:r>
    </w:p>
    <w:p w:rsidR="00A31137" w:rsidRPr="00A31137" w:rsidRDefault="00A31137" w:rsidP="00A31137">
      <w:r w:rsidRPr="00A31137">
        <w:t>1991, Payne v. Tennessee, 501 U.S. 867</w:t>
      </w:r>
    </w:p>
    <w:p w:rsidR="00A31137" w:rsidRPr="00A31137" w:rsidRDefault="00A31137" w:rsidP="00A31137">
      <w:r w:rsidRPr="00A31137">
        <w:t>482 U.S. at 507. The law is replete with per se prohibitions of types of evidence the probative effect of which is generally outweighed by its unfair prejudice. See, e.g., Fed.Rules Evid. 404, 407-412. There is nothing anomalous in the notion that the Eighth Amendment would similarly exclude evidence that has an undue capacity to undermine the regime of individualized sentencing that our capital jurisprudence demands.</w:t>
      </w:r>
    </w:p>
    <w:p w:rsidR="00A31137" w:rsidRPr="00A31137" w:rsidRDefault="00A31137" w:rsidP="00A31137">
      <w:r w:rsidRPr="00A31137">
        <w:t>1991, Payne v. Tennessee, 501 U.S. 867</w:t>
      </w:r>
    </w:p>
    <w:p w:rsidR="00A31137" w:rsidRPr="00A31137" w:rsidRDefault="00A31137" w:rsidP="00A31137">
      <w:r w:rsidRPr="00A31137">
        <w:t>Finally, the majority contends that the exclusion of victim impact evidence</w:t>
      </w:r>
    </w:p>
    <w:p w:rsidR="00A31137" w:rsidRPr="00A31137" w:rsidRDefault="00A31137" w:rsidP="00A31137">
      <w:r w:rsidRPr="00A31137">
        <w:t>1991, Payne v. Tennessee, 501 U.S. 867</w:t>
      </w:r>
    </w:p>
    <w:p w:rsidR="00A31137" w:rsidRPr="00A31137" w:rsidRDefault="00A31137" w:rsidP="00A31137">
      <w:r w:rsidRPr="00A31137">
        <w:t>deprives the State of the full moral force of its evidence, and may prevent the jury from having before it all the information necessary to determine the proper punishment for a first-degree murder.</w:t>
      </w:r>
    </w:p>
    <w:p w:rsidR="00A31137" w:rsidRPr="00A31137" w:rsidRDefault="00A31137" w:rsidP="00A31137">
      <w:r w:rsidRPr="00A31137">
        <w:t>1991, Payne v. Tennessee, 501 U.S. 867</w:t>
      </w:r>
    </w:p>
    <w:p w:rsidR="00A31137" w:rsidRPr="00A31137" w:rsidRDefault="00A31137" w:rsidP="00A31137">
      <w:r w:rsidRPr="00A31137">
        <w:t>Ante at  825. The majority's recycled contention, see Booth, supra, at 517 (WHITE, J., dissenting); id. at 520 (SCALIA, J., dissenting); Gathers, supra, at 817-818 (O'CONNOR, J., dissenting), begs the question. Before it is possible to conclude that the exclusion of victim impact evidence prevents the State from making its case or the jury from considering relevant evidence, it is necessary to determine whether victim impact evidence is consistent with the substantive standards that define the scope of permissible sentencing determinations under the Eighth Amendment. The majority offers no persuasive answer to Justice Powell and Justice Brennan's conclusion that victim impact evidence is frequently irrelevant to any permissible sentencing consideration and that such evidence risks exerting illegitimate "moral force" by directing the jury's attention on illicit considerations such as the victim's standing in the community.</w:t>
      </w:r>
    </w:p>
    <w:p w:rsidR="00A31137" w:rsidRPr="00A31137" w:rsidRDefault="00A31137" w:rsidP="00A31137">
      <w:r w:rsidRPr="00A31137">
        <w:t>1991, Payne v. Tennessee, 501 U.S. 867</w:t>
      </w:r>
    </w:p>
    <w:p w:rsidR="00A31137" w:rsidRPr="00A31137" w:rsidRDefault="00A31137" w:rsidP="00A31137">
      <w:r w:rsidRPr="00A31137">
        <w:t>2. Based on the majority's new criteria for overruling, these decisions, too, must be included on the "endangered precedents" list: Rutan v. Republican Party of Illinois, 497 U.S. 62 (1990) (First Amendment right not to be denied public employment on the basis of party affiliation); Peel v. Attorney Registration and Disciplinary Comm'n of Ill., 496 U.S. 91 (1990) (First Amendment right to advertise legal specialization); Zinernon v. Burch, 494 U.S. 113 (1990) (due process right to procedural safeguards aimed at assuring voluntariness of decision to commit oneself to mental hospital); James v. Illinois, 493 U.S. 307 (1990) (Fourth Amendment right to exclusion of illegally obtained evidence introduced for impeachment of defense witness); Rankin v. McPherson, 483 U.S. 378 (1987) (First Amendment right of public employee to express views on matter of public importance); Rock v. Arkansas, 483 U.S. 44 (1987) (Fifth Amendment and Sixth Amendment right of criminal defendant to provide hypnotically refreshed testimony on his own behalf); Gray v. Mississippi, 481 U.S. 648 (1987) (rejecting applicability of harmless error analysis to Eighth Amendment right not to be sentenced to death by "death qualified" jury); Maine v. Moulton, 474 U.S. 159 (1985) (Sixth Amendment right to counsel violated by introduction of statements made to government informant codefendant in course of preparing defense strategy); Garcia v. San Antonio Metropolitan Transit Authority, 469 U.S. 528 (1985) (rejecting theory that Tenth Amendment provides immunity to states from federal regulation); Pulliam v. Allen, 466 U.S. 522 (1984) (right to obtain injunctive relief from constitutional violations committed by judicial officials).</w:t>
      </w:r>
    </w:p>
    <w:p w:rsidR="00A31137" w:rsidRPr="00A31137" w:rsidRDefault="00A31137" w:rsidP="00A31137">
      <w:r w:rsidRPr="00A31137">
        <w:t>1991, Payne v. Tennessee, 501 U.S. 867</w:t>
      </w:r>
    </w:p>
    <w:p w:rsidR="00A31137" w:rsidRPr="00A31137" w:rsidRDefault="00A31137" w:rsidP="00A31137">
      <w:r w:rsidRPr="00A31137">
        <w:t>3. It does not answer this concern to suggest that Justices owe fidelity to the text of the Constitution, rather than to the case law of this Court interpreting the Constitution. See, e.g., South Carolina v. Gathers, 490 U.S. at 825. (SCALIA, J., dissenting). The text of the Constitution is rarely so plain as to be self-executing; invariably, this Court must develop mediating principles and doctrines in order to bring the text of constitutional provisions to bear on particular facts. Thus, to rebut the charge of personal lawmaking, Justices who would discard the mediating principles embodied in precedent must do more than state that they are following the "text" of the Constitution; they must explain why they are entitled to substitute their mediating principles for those that are already settled in the law. And such an explanation will be sufficient to legitimize the departure from precedent only if it measures up to the extraordinary standard necessary to justify overruling one of this Court's precedents. See generally Note, 103 Harv.L.Rev. 1344, 1351-1354 (1990).</w:t>
      </w:r>
    </w:p>
    <w:p w:rsidR="00A31137" w:rsidRPr="00A31137" w:rsidRDefault="00A31137" w:rsidP="00A31137">
      <w:r w:rsidRPr="00A31137">
        <w:t>1991, Payne v. Tennessee, 501 U.S. 867</w:t>
      </w:r>
    </w:p>
    <w:p w:rsidR="00A31137" w:rsidRPr="00A31137" w:rsidRDefault="00A31137" w:rsidP="00A31137">
      <w:r w:rsidRPr="00A31137">
        <w:t>4. Equally unsatisfactory is the Tennessee Supreme Court's purported finding that any error associated with the victim impact evidence in this case was harmless. See 791 S.W.2d at 19. This finding was based on the court's conclusion that "the death penalty was the only rational punishment available" in light of the "inhuman brutality" evident in the circumstances of the murder. Ibid. It is well established that a State cannot make the death penalty mandatory for any class of aggravated murder; no matter how "brutal" the circumstances of the offense, the State must permit the sentencer discretion to impose a sentence of less than death. See Roberts v. Louisiana, 428 U.S. 325 (1976); Woodson v. North Carolina, 428 U.S. 280 (1976). It follows that an appellate court cannot deem error to be automatically harmless based solely on the aggravated character of a murder without assessing the impact of the error on the sentencer's discretion. Cf. Clemons v. Mississippi, 494 U.S. 738, 751-752 (1990).</w:t>
      </w:r>
    </w:p>
    <w:p w:rsidR="00A31137" w:rsidRPr="00A31137" w:rsidRDefault="00A31137" w:rsidP="00A31137">
      <w:r w:rsidRPr="00A31137">
        <w:t>1991, Payne v. Tennessee, 501 U.S. 867</w:t>
      </w:r>
    </w:p>
    <w:p w:rsidR="00A31137" w:rsidRPr="00A31137" w:rsidRDefault="00A31137" w:rsidP="00A31137">
      <w:r w:rsidRPr="00A31137">
        <w:t>To sentence petitioner to death, the jury was required to find that the mitigating circumstances shown by petitioner did not outweigh the aggravating circumstances. See App. 21-22. In what it tried to pass off as harmless error analysis, the Tennessee Supreme Court failed to address how the victim impact evidence introduced during the sentencing proceedings in this case likely affected the jury's determination that the balance of aggravating and mitigating circumstances dictated a death sentence. Outside of a videotape of the crime scene, the State introduced no additional substantive evidence in the penalty phase other than the testimony of Mary Zvolanek, mother and grandmother of the murder victims. See 791 S.W.2d at 17. Under these circumstances, it is simply impossible to conclude that this victim impact testimony, combined with the prosecutor's extrapolation from it in his closing argument, was harmless beyond a reasonable doubt.</w:t>
      </w:r>
    </w:p>
    <w:p w:rsidR="00A31137" w:rsidRPr="00A31137" w:rsidRDefault="00A31137" w:rsidP="00A31137">
      <w:r w:rsidRPr="00A31137">
        <w:t>STEVENS, J., dissenting (Footnotes)</w:t>
      </w:r>
    </w:p>
    <w:p w:rsidR="00A31137" w:rsidRPr="00A31137" w:rsidRDefault="00A31137" w:rsidP="00A31137">
      <w:r w:rsidRPr="00A31137">
        <w:t>1991, Payne v. Tennessee, 501 U.S. 867</w:t>
      </w:r>
    </w:p>
    <w:p w:rsidR="00A31137" w:rsidRPr="00A31137" w:rsidRDefault="00A31137" w:rsidP="00A31137">
      <w:r w:rsidRPr="00A31137">
        <w:t>1. JUSTICE SCALIA accurately described the argument in his dissent in Booth v. Maryland, 482 U.S. 496 (1987):</w:t>
      </w:r>
    </w:p>
    <w:p w:rsidR="00A31137" w:rsidRPr="00A31137" w:rsidRDefault="00A31137" w:rsidP="00A31137">
      <w:r w:rsidRPr="00A31137">
        <w:t>1991, Payne v. Tennessee, 501 U.S. 867</w:t>
      </w:r>
    </w:p>
    <w:p w:rsidR="00A31137" w:rsidRPr="00A31137" w:rsidRDefault="00A31137" w:rsidP="00A31137">
      <w:r w:rsidRPr="00A31137">
        <w:t>Recent years have seen an outpouring of popular concern for what has come to be known as "victims' rights"—a phrase that describes what its proponents feel is the failure of courts of justice to take into account in their sentencing decisions not only the factors mitigating the defendant's moral guilt, but also the amount of harm he has caused to innocent members of society. Many citizens have found one-sided, and hence unjust, the criminal trial in which a parade of witnesses comes forth to testify to the pressures beyond normal human experience that drove the defendant to commit his crime, with no one to lay before the sentencing authority the full reality of human suffering the defendant has produced—which (and not moral guilt alone) is one of the reasons society deems his act worthy of the prescribed penalty.</w:t>
      </w:r>
    </w:p>
    <w:p w:rsidR="00A31137" w:rsidRPr="00A31137" w:rsidRDefault="00A31137" w:rsidP="00A31137">
      <w:r w:rsidRPr="00A31137">
        <w:t>1991, Payne v. Tennessee, 501 U.S. 867</w:t>
      </w:r>
    </w:p>
    <w:p w:rsidR="00A31137" w:rsidRPr="00A31137" w:rsidRDefault="00A31137" w:rsidP="00A31137">
      <w:r w:rsidRPr="00A31137">
        <w:t>Id. at 520.</w:t>
      </w:r>
    </w:p>
    <w:p w:rsidR="00A31137" w:rsidRPr="00A31137" w:rsidRDefault="00A31137" w:rsidP="00A31137">
      <w:r w:rsidRPr="00A31137">
        <w:t>1991, Payne v. Tennessee, 501 U.S. 867</w:t>
      </w:r>
    </w:p>
    <w:p w:rsidR="00A31137" w:rsidRPr="00A31137" w:rsidRDefault="00A31137" w:rsidP="00A31137">
      <w:r w:rsidRPr="00A31137">
        <w:t>In his concurring opinion today, JUSTICE SCALIA again relies on the popular opinion that has "found voice in a nationwide 'victims' rights' movement." Ante at  834. His view that the exclusion of evidence about "a crime's unanticipated consequences" "significantly harms our criminal justice system," ibid., rests on the untenable premise that the strength of that system is to be measured by the number of death sentences that may be returned on the basis of such evidence. Because the word "arbitrary" is not to be found in the constitutional text, he apparently can find no reason to object to the arbitrary imposition of capital punishment.</w:t>
      </w:r>
    </w:p>
    <w:p w:rsidR="00A31137" w:rsidRPr="00A31137" w:rsidRDefault="00A31137" w:rsidP="00A31137">
      <w:r w:rsidRPr="00A31137">
        <w:t>1991, Payne v. Tennessee, 501 U.S. 867</w:t>
      </w:r>
    </w:p>
    <w:p w:rsidR="00A31137" w:rsidRPr="00A31137" w:rsidRDefault="00A31137" w:rsidP="00A31137">
      <w:r w:rsidRPr="00A31137">
        <w:t>2. Thus, it is entirely consistent with the Eighth Amendment principles underlying Booth and South Carolina v. Gathers, 490 U.S. 805 (1989), to authorize the death sentence for the assassination of the President or Vice President, see 18 U.S.C. §§ 1751, 1111, a Congressman, Cabinet official, Supreme Court Justice, or the head of an executive department, § 351, or the murder of a policeman on active duty, see Md.Ann.Code, Art. 27, § 413(d)(1) (1987). Such statutory provisions give the potential offender notice of the special consequences of his crime and ensure that the legislatively determined punishment will be applied consistently to all defendants.</w:t>
      </w:r>
    </w:p>
    <w:p w:rsidR="00A31137" w:rsidRPr="00A31137" w:rsidRDefault="00A31137" w:rsidP="00A31137">
      <w:r w:rsidRPr="00A31137">
        <w:t>1991, Payne v. Tennessee, 501 U.S. 867</w:t>
      </w:r>
    </w:p>
    <w:p w:rsidR="00A31137" w:rsidRPr="00A31137" w:rsidRDefault="00A31137" w:rsidP="00A31137">
      <w:r w:rsidRPr="00A31137">
        <w:t>3. Northern Securities Co. v. United States, 193 U.S. 197, 400-401 (1904) (Holmes, J., dissenting).</w:t>
      </w:r>
    </w:p>
    <w:p w:rsidR="00A31137" w:rsidRPr="00A31137" w:rsidRDefault="00A31137" w:rsidP="00A31137">
      <w:r w:rsidRPr="00A31137">
        <w:t>1991, Payne v. Tennessee, 501 U.S. 867</w:t>
      </w:r>
    </w:p>
    <w:p w:rsidR="00A31137" w:rsidRPr="00A31137" w:rsidRDefault="00A31137" w:rsidP="00A31137">
      <w:r w:rsidRPr="00A31137">
        <w:t>4. See Payne v. Tennessee, 498 U.S. 1076 (1991) (STEVENS, J., dissenting).</w:t>
      </w:r>
    </w:p>
    <w:p w:rsidR="00A31137" w:rsidRPr="00A31137" w:rsidRDefault="00A31137" w:rsidP="00A31137">
      <w:r w:rsidRPr="00A31137">
        <w:t>1991, Payne v. Tennessee, 501 U.S. 867</w:t>
      </w:r>
    </w:p>
    <w:p w:rsidR="00A31137" w:rsidRPr="00A31137" w:rsidRDefault="00A31137" w:rsidP="00A31137">
      <w:r w:rsidRPr="00A31137">
        <w:t>5. Rust v. Sullivan, 500 U.S. 173,  223 (1991) (O'CONNOR, J., dissenting).</w:t>
      </w:r>
    </w:p>
    <w:p w:rsidR="00A31137" w:rsidRPr="00A31137" w:rsidRDefault="00A31137" w:rsidP="00A31137">
      <w:r w:rsidRPr="00A31137">
        <w:t>Gentile v. State Bar of Nevada, 1991</w:t>
      </w:r>
    </w:p>
    <w:p w:rsidR="00A31137" w:rsidRPr="00A31137" w:rsidRDefault="00A31137" w:rsidP="00A31137">
      <w:r w:rsidRPr="00A31137">
        <w:t>Title:</w:t>
      </w:r>
      <w:r w:rsidRPr="00A31137">
        <w:tab/>
        <w:t>Gentile v. State Bar of Nevada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27, 1991</w:t>
      </w:r>
    </w:p>
    <w:p w:rsidR="00A31137" w:rsidRPr="00A31137" w:rsidRDefault="00A31137" w:rsidP="00A31137">
      <w:r w:rsidRPr="00A31137">
        <w:t>Source:</w:t>
      </w:r>
      <w:r w:rsidRPr="00A31137">
        <w:tab/>
        <w:t>501 U.S. 1030</w:t>
      </w:r>
    </w:p>
    <w:p w:rsidR="00A31137" w:rsidRPr="00A31137" w:rsidRDefault="00A31137" w:rsidP="00A31137">
      <w:r w:rsidRPr="00A31137">
        <w:t>This case was argued April 15, 1991, and was decided June 27, 1991.</w:t>
      </w:r>
    </w:p>
    <w:p w:rsidR="00A31137" w:rsidRPr="00A31137" w:rsidRDefault="00A31137" w:rsidP="00A31137">
      <w:r w:rsidRPr="00A31137">
        <w:t>CERTIORARI TO THE SUPREME COURT OF NEVADA</w:t>
      </w:r>
    </w:p>
    <w:p w:rsidR="00A31137" w:rsidRPr="00A31137" w:rsidRDefault="00A31137" w:rsidP="00A31137">
      <w:r w:rsidRPr="00A31137">
        <w:t>Syllabus</w:t>
      </w:r>
    </w:p>
    <w:p w:rsidR="00A31137" w:rsidRPr="00A31137" w:rsidRDefault="00A31137" w:rsidP="00A31137">
      <w:r w:rsidRPr="00A31137">
        <w:t>1991, Gentile v. State Bar of Nevada, 501 U.S. 1030</w:t>
      </w:r>
    </w:p>
    <w:p w:rsidR="00A31137" w:rsidRPr="00A31137" w:rsidRDefault="00A31137" w:rsidP="00A31137">
      <w:r w:rsidRPr="00A31137">
        <w:t>Petitioner Gentile, an attorney, held a press conference the day after his client, Sanders, was indicted on criminal charges under Nevada law. Six months later, a jury acquitted Sanders. Subsequently, respondent State Bar of Nevada filed a complaint against Gentile, alleging that statements he made during the press conference violated Nevada Supreme Court Rule 177, which prohibits a lawyer from making extrajudicial statements to the press that he knows or reasonably should know will have a "substantial likelihood of materially prejudicing" an adjudicative proceeding, 177(1), which lists a number of statements that are "ordinarily…likely" to result in material prejudice, 177(2), and which provides that a lawyer "may state without elaboration…the general nature of the…defense" "[n]otwithstanding subsection 1 and 2 (a-f)," 177(3). The Disciplinary Board found that Gentile violated the Rule and recommended that he be privately reprimanded. The State Supreme Court affirmed, rejecting his contention that the Rule violated his right to free speech.</w:t>
      </w:r>
    </w:p>
    <w:p w:rsidR="00A31137" w:rsidRPr="00A31137" w:rsidRDefault="00A31137" w:rsidP="00A31137">
      <w:r w:rsidRPr="00A31137">
        <w:t>1991, Gentile v. State Bar of Nevada, 501 U.S. 1030</w:t>
      </w:r>
    </w:p>
    <w:p w:rsidR="00A31137" w:rsidRPr="00A31137" w:rsidRDefault="00A31137" w:rsidP="00A31137">
      <w:r w:rsidRPr="00A31137">
        <w:t>Held: The judgment is reversed.</w:t>
      </w:r>
    </w:p>
    <w:p w:rsidR="00A31137" w:rsidRPr="00A31137" w:rsidRDefault="00A31137" w:rsidP="00A31137">
      <w:r w:rsidRPr="00A31137">
        <w:t>1991, Gentile v. State Bar of Nevada, 501 U.S. 1030</w:t>
      </w:r>
    </w:p>
    <w:p w:rsidR="00A31137" w:rsidRPr="00A31137" w:rsidRDefault="00A31137" w:rsidP="00A31137">
      <w:r w:rsidRPr="00A31137">
        <w:t>106 Nev. 60, 787 P.2d 386, reversed.</w:t>
      </w:r>
    </w:p>
    <w:p w:rsidR="00A31137" w:rsidRPr="00A31137" w:rsidRDefault="00A31137" w:rsidP="00A31137">
      <w:r w:rsidRPr="00A31137">
        <w:t>1991, Gentile v. State Bar of Nevada, 501 U.S. 1030</w:t>
      </w:r>
    </w:p>
    <w:p w:rsidR="00A31137" w:rsidRPr="00A31137" w:rsidRDefault="00A31137" w:rsidP="00A31137">
      <w:r w:rsidRPr="00A31137">
        <w:t>JUSTICE KENNEDY delivered the opinion of the Court with respect to Parts III and VI, concluding that, as interpreted by the Nevada Supreme Court, Rule 177 is void for vagueness. Its safe harbor provision, Rule 177(3), misled Gentile into thinking that he could give his press conference without fear of discipline. Given the Rule's grammatical structure and the absence of a clarifying interpretation by the state court, the Rule fails to provide fair notice to those to whom it is directed, and is so imprecise that discriminatory enforcement is a real possibility. By necessary operation of the word "notwithstanding," the Rule contemplates that a lawyer describing the "general" nature of the defense without "elaboration" need fear no discipline even if he knows or reasonably should know that his statement will have a substantial likelihood of materially prejudicing an adjudicative proceeding. Both "general" and "elaboration" are classic terms of degree which, in this context, have no settled usage or tradition of interpretation in law, and thus a lawyer has no principle for determining when his remarks pass from the permissible to the forbidden. A review of the press conference—where Gentile made only a brief opening statement and declined to answer reporters' [501 U.S. 1031] questions seeking more detailed comments—supports his claim that he thought his statements were protected. That he was found in violation of the Rules after studying them and making a conscious effort at compliance shows that Rule 177 creates a trap for the wary as well as the unwary. Pp. 1048-1051.</w:t>
      </w:r>
    </w:p>
    <w:p w:rsidR="00A31137" w:rsidRPr="00A31137" w:rsidRDefault="00A31137" w:rsidP="00A31137">
      <w:r w:rsidRPr="00A31137">
        <w:t>1991, Gentile v. State Bar of Nevada, 501 U.S. 1031</w:t>
      </w:r>
    </w:p>
    <w:p w:rsidR="00A31137" w:rsidRPr="00A31137" w:rsidRDefault="00A31137" w:rsidP="00A31137">
      <w:r w:rsidRPr="00A31137">
        <w:t>THE CHIEF JUSTICE delivered the opinion of the Court with respect to Parts I and II, concluding that the "substantial likelihood of material prejudice" test applied by Nevada and most other States satisfies the First Amendment. Pp.  1065-1076.</w:t>
      </w:r>
    </w:p>
    <w:p w:rsidR="00A31137" w:rsidRPr="00A31137" w:rsidRDefault="00A31137" w:rsidP="00A31137">
      <w:r w:rsidRPr="00A31137">
        <w:t>1991, Gentile v. State Bar of Nevada, 501 U.S. 1031</w:t>
      </w:r>
    </w:p>
    <w:p w:rsidR="00A31137" w:rsidRPr="00A31137" w:rsidRDefault="00A31137" w:rsidP="00A31137">
      <w:r w:rsidRPr="00A31137">
        <w:t>(a) The speech of lawyers representing clients in pending cases may be regulated under a less demanding standard than the "clear and present danger" of actual prejudice or imminent threat standard established for regulation of the press during pending proceedings. See, e.g., Nebraska Press Assn. v. Stuart, 427 U.S. 539. A lawyer's right to free speech is extremely circumscribed in the courtroom, see, e.g., Sacher v. United States, 343 U.S. 1, 8, and, in a pending case, is limited outside the courtroom as well, see, e.g., Sheppard v. Maxwell, 384 U.S. 333,  363. Cf. Seattle Times Co. v. Rhinehart, 467 U.S. 20. Moreover, this Court's decisions dealing with a lawyer's First Amendment right to solicit business and advertise have not suggested that lawyers are protected to the same extent as those engaged in other businesses, but have balanced the State's interest in regulating a specialized profession against a lawyer's First Amendment interest in the kind of speech at issue. See, e.g., Bates v. State Bar of Arizona, 433 U.S. 350. Pp.  1065-1075.</w:t>
      </w:r>
    </w:p>
    <w:p w:rsidR="00A31137" w:rsidRPr="00A31137" w:rsidRDefault="00A31137" w:rsidP="00A31137">
      <w:r w:rsidRPr="00A31137">
        <w:t>1991, Gentile v. State Bar of Nevada, 501 U.S. 1031</w:t>
      </w:r>
    </w:p>
    <w:p w:rsidR="00A31137" w:rsidRPr="00A31137" w:rsidRDefault="00A31137" w:rsidP="00A31137">
      <w:r w:rsidRPr="00A31137">
        <w:t>(b) The "substantial likelihood of material prejudice" standard is a constitutionally permissible balance between the First Amendment rights of attorneys in pending cases and the State's interest in fair trials. Lawyers in such cases are key participants in the criminal justice system, and the State may demand some adherence to that system's precepts in regulating their speech and conduct. Their extrajudicial statements pose a threat to a pending proceeding's fairness, since they have special access to information through discovery and client communication, and since their statements are likely to be received as especially authoritative. The standard is designed to protect the integrity and fairness of a State's judicial system and imposes only narrow and necessary limitations on lawyers' speech. Those limitations are aimed at comments that are likely to influence a trial's outcome or prejudice the jury venire, even if an untainted panel is ultimately found. Few interests under the Constitution are more fundamental than the right to a fair trial by impartial jurors, and the State has a substantial interest in preventing officers of the court from imposing costs on the judicial system and litigants arising from measures, such as a change of venue, to ensure [501 U.S. 1032] a fair trial. The restraint on speech is narrowly tailored to achieve these objectives, since it applies only to speech that is substantially likely to have a materially prejudicial effect, is neutral to points of view, and merely postpones the lawyer's comments until after the trial. Pp. 1075-1076.</w:t>
      </w:r>
    </w:p>
    <w:p w:rsidR="00A31137" w:rsidRPr="00A31137" w:rsidRDefault="00A31137" w:rsidP="00A31137">
      <w:r w:rsidRPr="00A31137">
        <w:t>1991, Gentile v. State Bar of Nevada, 501 U.S. 1032</w:t>
      </w:r>
    </w:p>
    <w:p w:rsidR="00A31137" w:rsidRPr="00A31137" w:rsidRDefault="00A31137" w:rsidP="00A31137">
      <w:r w:rsidRPr="00A31137">
        <w:t>KENNEDY, J., announced the judgment of the Court and delivered the opinion of the Court with respect to Parts III and VI, in which MARSHALL, BLACKMUN, STEVENS, and O'CONNOR, JJ., joined, and an opinion with respect to Parts I, II, IV, and V, in which MARSHALL, BLACKMUN, and STEVENS, JJ., joined. REHNQUIST, C.J., delivered the opinion of the Court with respect to Parts I and II, in which WHITE, O'CONNOR, SCALIA, and SOUTER, JJ., joined, and a dissenting opinion with respect to Part III, in which WHITE, SCALIA, and SOUTER, JJ., joined, post, p.  1062. O'CONNOR, J., filed a concurring opinion, post, p.  1081.</w:t>
      </w:r>
    </w:p>
    <w:p w:rsidR="00A31137" w:rsidRPr="00A31137" w:rsidRDefault="00A31137" w:rsidP="00A31137">
      <w:r w:rsidRPr="00A31137">
        <w:t>KENNEDY, J., lead opinion</w:t>
      </w:r>
    </w:p>
    <w:p w:rsidR="00A31137" w:rsidRPr="00A31137" w:rsidRDefault="00A31137" w:rsidP="00A31137">
      <w:r w:rsidRPr="00A31137">
        <w:t>1991, Gentile v. State Bar of Nevada, 501 U.S. 1032</w:t>
      </w:r>
    </w:p>
    <w:p w:rsidR="00A31137" w:rsidRPr="00A31137" w:rsidRDefault="00A31137" w:rsidP="00A31137">
      <w:r w:rsidRPr="00A31137">
        <w:t xml:space="preserve">JUSTICE KENNEDY announced the judgment of the Court and delivered the opinion of the Court with respect to Parts III and VI, and an opinion with respect to Parts I, II, IV, and V in which JUSTICE MARSHALL, JUSTICE BLACKMUN, and JUSTICE STEVENS join. [501 U.S. 1033] </w:t>
      </w:r>
    </w:p>
    <w:p w:rsidR="00A31137" w:rsidRPr="00A31137" w:rsidRDefault="00A31137" w:rsidP="00A31137">
      <w:r w:rsidRPr="00A31137">
        <w:t>1991, Gentile v. State Bar of Nevada, 501 U.S. 1033</w:t>
      </w:r>
    </w:p>
    <w:p w:rsidR="00A31137" w:rsidRPr="00A31137" w:rsidRDefault="00A31137" w:rsidP="00A31137">
      <w:r w:rsidRPr="00A31137">
        <w:t>Hours after his client was indicted on criminal charges, petitioner Gentile, who is a member of the Bar of the State of Nevada, held a press conference. He made a prepared statement, which we set forth in Appendix A to this opinion, and then he responded to questions. We refer to most of those questions and responses in the course of our opinion.</w:t>
      </w:r>
    </w:p>
    <w:p w:rsidR="00A31137" w:rsidRPr="00A31137" w:rsidRDefault="00A31137" w:rsidP="00A31137">
      <w:r w:rsidRPr="00A31137">
        <w:t>1991, Gentile v. State Bar of Nevada, 501 U.S. 1033</w:t>
      </w:r>
    </w:p>
    <w:p w:rsidR="00A31137" w:rsidRPr="00A31137" w:rsidRDefault="00A31137" w:rsidP="00A31137">
      <w:r w:rsidRPr="00A31137">
        <w:t>Some six months later, the criminal case was tried to a jury and the client was acquitted on all counts. The State Bar of Nevada then filed a complaint against petitioner, alleging a violation of Nevada Supreme Court Rule 177, a rule governing pretrial publicity almost identical to ABA Model Rule of Professional Conduct 3.6. We set forth the full text of Rule 177 in Appendix B. Rule 177(1) prohibits an attorney from making</w:t>
      </w:r>
    </w:p>
    <w:p w:rsidR="00A31137" w:rsidRPr="00A31137" w:rsidRDefault="00A31137" w:rsidP="00A31137">
      <w:r w:rsidRPr="00A31137">
        <w:t>1991, Gentile v. State Bar of Nevada, 501 U.S. 1033</w:t>
      </w:r>
    </w:p>
    <w:p w:rsidR="00A31137" w:rsidRPr="00A31137" w:rsidRDefault="00A31137" w:rsidP="00A31137">
      <w:r w:rsidRPr="00A31137">
        <w:t>an extrajudicial statement that a reasonable person would expect to be disseminated by means of public communication if the lawyer knows or reasonably should know that it will have a substantial likelihood of materially prejudicing an adjudicative proceeding.</w:t>
      </w:r>
    </w:p>
    <w:p w:rsidR="00A31137" w:rsidRPr="00A31137" w:rsidRDefault="00A31137" w:rsidP="00A31137">
      <w:r w:rsidRPr="00A31137">
        <w:t>1991, Gentile v. State Bar of Nevada, 501 U.S. 1033</w:t>
      </w:r>
    </w:p>
    <w:p w:rsidR="00A31137" w:rsidRPr="00A31137" w:rsidRDefault="00A31137" w:rsidP="00A31137">
      <w:r w:rsidRPr="00A31137">
        <w:t>Rule 177(2) lists a number of statements that are "ordinarily…likely" to result in material prejudice. Rule 177(3) provides a safe harbor for the attorney, listing a number of statements that can be made without fear of discipline notwithstanding the other parts of the Rule.</w:t>
      </w:r>
    </w:p>
    <w:p w:rsidR="00A31137" w:rsidRPr="00A31137" w:rsidRDefault="00A31137" w:rsidP="00A31137">
      <w:r w:rsidRPr="00A31137">
        <w:t>1991, Gentile v. State Bar of Nevada, 501 U.S. 1033</w:t>
      </w:r>
    </w:p>
    <w:p w:rsidR="00A31137" w:rsidRPr="00A31137" w:rsidRDefault="00A31137" w:rsidP="00A31137">
      <w:r w:rsidRPr="00A31137">
        <w:t>Following a hearing, the Southern Nevada Disciplinary Board of the State Bar found that Gentile had made the statements in question and concluded that he violated Rule 177. The board recommended a private reprimand. Petitioner appealed to the Nevada Supreme Court, waiving the confidentiality of the disciplinary proceeding, and the Nevada court affirmed the decision of the board.</w:t>
      </w:r>
    </w:p>
    <w:p w:rsidR="00A31137" w:rsidRPr="00A31137" w:rsidRDefault="00A31137" w:rsidP="00A31137">
      <w:r w:rsidRPr="00A31137">
        <w:t>1991, Gentile v. State Bar of Nevada, 501 U.S. 1033</w:t>
      </w:r>
    </w:p>
    <w:p w:rsidR="00A31137" w:rsidRPr="00A31137" w:rsidRDefault="00A31137" w:rsidP="00A31137">
      <w:r w:rsidRPr="00A31137">
        <w:t>Nevada's application of Rule 177 in this case violates the First Amendment. Petitioner spoke at a time and in a manner that neither in law nor in fact created any threat of real prejudice to his client's right to a fair trial or to the State's interest in the enforcement of its criminal laws. Furthermore, the Rule's safe harbor provision, Rule 177(3), appears [501 U.S. 1034] to permit the speech in question, and Nevada's decision to discipline petitioner in spite of that provision raises concerns of vagueness and selective enforcement.</w:t>
      </w:r>
    </w:p>
    <w:p w:rsidR="00A31137" w:rsidRPr="00A31137" w:rsidRDefault="00A31137" w:rsidP="00A31137">
      <w:r w:rsidRPr="00A31137">
        <w:t>I</w:t>
      </w:r>
    </w:p>
    <w:p w:rsidR="00A31137" w:rsidRPr="00A31137" w:rsidRDefault="00A31137" w:rsidP="00A31137">
      <w:r w:rsidRPr="00A31137">
        <w:t>1991, Gentile v. State Bar of Nevada, 501 U.S. 1034</w:t>
      </w:r>
    </w:p>
    <w:p w:rsidR="00A31137" w:rsidRPr="00A31137" w:rsidRDefault="00A31137" w:rsidP="00A31137">
      <w:r w:rsidRPr="00A31137">
        <w:t>The matter before us does not call into question the constitutionality of other States' prohibitions upon an attorney's speech that will have a "substantial likelihood of materially prejudicing an adjudicative proceeding," but is limited to Nevada's interpretation of that standard. On the other hand, one central point must dominate the analysis: this case involves classic political speech. The State Bar of Nevada reprimanded petitioner for his assertion, supported by a brief sketch of his client's defense, that the State sought the indictment and conviction of an innocent man as a "scapegoat," and had not "been honest enough to indict the people who did it; the police department, crooked cops." See infra, Appendix A. At issue here is the constitutionality of a ban on political speech critical of the government and its officials.</w:t>
      </w:r>
    </w:p>
    <w:p w:rsidR="00A31137" w:rsidRPr="00A31137" w:rsidRDefault="00A31137" w:rsidP="00A31137">
      <w:r w:rsidRPr="00A31137">
        <w:t>A</w:t>
      </w:r>
    </w:p>
    <w:p w:rsidR="00A31137" w:rsidRPr="00A31137" w:rsidRDefault="00A31137" w:rsidP="00A31137">
      <w:r w:rsidRPr="00A31137">
        <w:t>1991, Gentile v. State Bar of Nevada, 501 U.S. 1034</w:t>
      </w:r>
    </w:p>
    <w:p w:rsidR="00A31137" w:rsidRPr="00A31137" w:rsidRDefault="00A31137" w:rsidP="00A31137">
      <w:r w:rsidRPr="00A31137">
        <w:t>Unlike other First Amendment cases this Term in which speech is not the direct target of the regulation or statute in question, see, e.g., Barnes v. Glen Theatre, Inc., ante, p.  560 (ban on nude barroom dancing); Leathers v. Medlock, 499 U.S. 439 (1991) (sales tax on cable and satellite television), this case involves punishment of pure speech in the political forum. Petitioner engaged not in solicitation of clients or advertising for his practice, as in our precedents from which some of our colleagues would discern a standard of diminished First Amendment protection. His words were directed at public officials and their conduct in office.</w:t>
      </w:r>
    </w:p>
    <w:p w:rsidR="00A31137" w:rsidRPr="00A31137" w:rsidRDefault="00A31137" w:rsidP="00A31137">
      <w:r w:rsidRPr="00A31137">
        <w:t>1991, Gentile v. State Bar of Nevada, 501 U.S. 1034</w:t>
      </w:r>
    </w:p>
    <w:p w:rsidR="00A31137" w:rsidRPr="00A31137" w:rsidRDefault="00A31137" w:rsidP="00A31137">
      <w:r w:rsidRPr="00A31137">
        <w:t>There is no question that speech critical of the exercise of the State's power lies at the very center of the First Amendment. Nevada seeks to punish the dissemination of information [501 U.S. 1035] relating to alleged governmental misconduct, which only last Term we described as "speech which has traditionally been recognized as lying at the core of the First Amendment." Butterworth v. Smith, 494 U.S. 624, 632 (1990).</w:t>
      </w:r>
    </w:p>
    <w:p w:rsidR="00A31137" w:rsidRPr="00A31137" w:rsidRDefault="00A31137" w:rsidP="00A31137">
      <w:r w:rsidRPr="00A31137">
        <w:t>1991, Gentile v. State Bar of Nevada, 501 U.S. 1035</w:t>
      </w:r>
    </w:p>
    <w:p w:rsidR="00A31137" w:rsidRPr="00A31137" w:rsidRDefault="00A31137" w:rsidP="00A31137">
      <w:r w:rsidRPr="00A31137">
        <w:t>The judicial system, and in particular our criminal justice courts, play a vital part in a democratic state, and the public has a legitimate interest in their operations. See, e.g., Landmark Communications, Inc. v. Virginia, 435 U.S. 829, 838-839 (1978).</w:t>
      </w:r>
    </w:p>
    <w:p w:rsidR="00A31137" w:rsidRPr="00A31137" w:rsidRDefault="00A31137" w:rsidP="00A31137">
      <w:r w:rsidRPr="00A31137">
        <w:t>1991, Gentile v. State Bar of Nevada, 501 U.S. 1035</w:t>
      </w:r>
    </w:p>
    <w:p w:rsidR="00A31137" w:rsidRPr="00A31137" w:rsidRDefault="00A31137" w:rsidP="00A31137">
      <w:r w:rsidRPr="00A31137">
        <w:t>[I]t would be difficult to single out any aspect of government of higher concern and importance to the people than the manner in which criminal trials are conducted.</w:t>
      </w:r>
    </w:p>
    <w:p w:rsidR="00A31137" w:rsidRPr="00A31137" w:rsidRDefault="00A31137" w:rsidP="00A31137">
      <w:r w:rsidRPr="00A31137">
        <w:t>1991, Gentile v. State Bar of Nevada, 501 U.S. 1035</w:t>
      </w:r>
    </w:p>
    <w:p w:rsidR="00A31137" w:rsidRPr="00A31137" w:rsidRDefault="00A31137" w:rsidP="00A31137">
      <w:r w:rsidRPr="00A31137">
        <w:t>Richmond Newspapers, Inc. v. Virginia, 448 U.S. 555,  575 (1980). Public vigilance serves us well, for</w:t>
      </w:r>
    </w:p>
    <w:p w:rsidR="00A31137" w:rsidRPr="00A31137" w:rsidRDefault="00A31137" w:rsidP="00A31137">
      <w:r w:rsidRPr="00A31137">
        <w:t>1991, Gentile v. State Bar of Nevada, 501 U.S. 1035</w:t>
      </w:r>
    </w:p>
    <w:p w:rsidR="00A31137" w:rsidRPr="00A31137" w:rsidRDefault="00A31137" w:rsidP="00A31137">
      <w:r w:rsidRPr="00A31137">
        <w:t>[t]he knowledge that every criminal trial is subject to contemporaneous review in the forum of public opinion is an effective restraint on possible abuse of judicial power…. Without publicity, all other checks are insufficient: in comparison of publicity, all other checks are of small account.</w:t>
      </w:r>
    </w:p>
    <w:p w:rsidR="00A31137" w:rsidRPr="00A31137" w:rsidRDefault="00A31137" w:rsidP="00A31137">
      <w:r w:rsidRPr="00A31137">
        <w:t>1991, Gentile v. State Bar of Nevada, 501 U.S. 1035</w:t>
      </w:r>
    </w:p>
    <w:p w:rsidR="00A31137" w:rsidRPr="00A31137" w:rsidRDefault="00A31137" w:rsidP="00A31137">
      <w:r w:rsidRPr="00A31137">
        <w:t>In re Oliver, 333 U.S. 257, 270-271 (1948). As we said in Bridges v. California, 314 U.S. 252 (1941), limits upon public comment about pending cases are</w:t>
      </w:r>
    </w:p>
    <w:p w:rsidR="00A31137" w:rsidRPr="00A31137" w:rsidRDefault="00A31137" w:rsidP="00A31137">
      <w:r w:rsidRPr="00A31137">
        <w:t>1991, Gentile v. State Bar of Nevada, 501 U.S. 1035</w:t>
      </w:r>
    </w:p>
    <w:p w:rsidR="00A31137" w:rsidRPr="00A31137" w:rsidRDefault="00A31137" w:rsidP="00A31137">
      <w:r w:rsidRPr="00A31137">
        <w:t>likely to fall not only at a crucial time, but upon the most important topics of discussion….</w:t>
      </w:r>
    </w:p>
    <w:p w:rsidR="00A31137" w:rsidRPr="00A31137" w:rsidRDefault="00A31137" w:rsidP="00A31137">
      <w:r w:rsidRPr="00A31137">
        <w:t>1991, Gentile v. State Bar of Nevada, 501 U.S. 1035</w:t>
      </w:r>
    </w:p>
    <w:p w:rsidR="00A31137" w:rsidRPr="00A31137" w:rsidRDefault="00A31137" w:rsidP="00A31137">
      <w:r w:rsidRPr="00A31137">
        <w:t>No suggestion can be found in the Constitution that the freedom there guaranteed for speech and the press bears an inverse ratio to the timeliness and importance of the ideas seeking expression.</w:t>
      </w:r>
    </w:p>
    <w:p w:rsidR="00A31137" w:rsidRPr="00A31137" w:rsidRDefault="00A31137" w:rsidP="00A31137">
      <w:r w:rsidRPr="00A31137">
        <w:t>1991, Gentile v. State Bar of Nevada, 501 U.S. 1035</w:t>
      </w:r>
    </w:p>
    <w:p w:rsidR="00A31137" w:rsidRPr="00A31137" w:rsidRDefault="00A31137" w:rsidP="00A31137">
      <w:r w:rsidRPr="00A31137">
        <w:t>Id. at 268-269. In Sheppard v. Maxwell, 384 U.S. 333,  350 (1966), we reminded that</w:t>
      </w:r>
    </w:p>
    <w:p w:rsidR="00A31137" w:rsidRPr="00A31137" w:rsidRDefault="00A31137" w:rsidP="00A31137">
      <w:r w:rsidRPr="00A31137">
        <w:t>1991, Gentile v. State Bar of Nevada, 501 U.S. 1035</w:t>
      </w:r>
    </w:p>
    <w:p w:rsidR="00A31137" w:rsidRPr="00A31137" w:rsidRDefault="00A31137" w:rsidP="00A31137">
      <w:r w:rsidRPr="00A31137">
        <w:t>[t]he press…guards against the miscarriage of justice by subjecting the police, prosecutors, and judicial processes to extensive public scrutiny and criticism.</w:t>
      </w:r>
    </w:p>
    <w:p w:rsidR="00A31137" w:rsidRPr="00A31137" w:rsidRDefault="00A31137" w:rsidP="00A31137">
      <w:r w:rsidRPr="00A31137">
        <w:t>1991, Gentile v. State Bar of Nevada, 501 U.S. 1035</w:t>
      </w:r>
    </w:p>
    <w:p w:rsidR="00A31137" w:rsidRPr="00A31137" w:rsidRDefault="00A31137" w:rsidP="00A31137">
      <w:r w:rsidRPr="00A31137">
        <w:t>Public awareness and criticism have even greater importance where, as here, they concern allegations of police corruption, see Nebraska Press Assn. v. Stuart, 427 U.S. 539,  606 (1976) (Brennan, J., concurring in judgment) ("[C]ommentary [501 U.S. 1036] on the fact that there is strong evidence implicating a government official in criminal activity goes to the very core of matters of public concern"), or where, as is also the present circumstance, the criticism questions the judgment of an elected public prosecutor. Our system grants prosecutors vast discretion at all stages of the criminal process, see Morrison v. Olson, 487 U.S. 654, 727-728 (1988) (SCALIA, J., dissenting). The public has an interest in its responsible exercise.</w:t>
      </w:r>
    </w:p>
    <w:p w:rsidR="00A31137" w:rsidRPr="00A31137" w:rsidRDefault="00A31137" w:rsidP="00A31137">
      <w:r w:rsidRPr="00A31137">
        <w:t>1991, Gentile v. State Bar of Nevada, 501 U.S. 1036</w:t>
      </w:r>
    </w:p>
    <w:p w:rsidR="00A31137" w:rsidRPr="00A31137" w:rsidRDefault="00A31137" w:rsidP="00A31137">
      <w:r w:rsidRPr="00A31137">
        <w:t>We are not called upon to determine the constitutionality of the ABA Model Rule of Professional Conduct 3.6 (1981), but only Rule 177 as it has been interpreted and applied by the State of Nevada. Model Rule 3.6's requirement of substantial likelihood of material prejudice is not necessarily flawed. Interpreted in a proper and narrow manner, for instance, to prevent an attorney of record from releasing information of grave prejudice on the eve of jury selection, the phrase substantial likelihood of material prejudice might punish only speech that creates a danger of imminent and substantial harm. A rule governing speech, even speech entitled to full constitutional protection, need not use the words "clear and present danger" in order to pass constitutional muster.</w:t>
      </w:r>
    </w:p>
    <w:p w:rsidR="00A31137" w:rsidRPr="00A31137" w:rsidRDefault="00A31137" w:rsidP="00A31137">
      <w:r w:rsidRPr="00A31137">
        <w:t>1991, Gentile v. State Bar of Nevada, 501 U.S. 1036</w:t>
      </w:r>
    </w:p>
    <w:p w:rsidR="00A31137" w:rsidRPr="00A31137" w:rsidRDefault="00A31137" w:rsidP="00A31137">
      <w:r w:rsidRPr="00A31137">
        <w:t>Mr. Justice Holmes' test was never intended "to express a technical legal doctrine or to convey a formula for adjudicating cases." Pennekamp v. Florida, 328 U.S. 331,  353 (1946) (Frankfurter, J., concurring). Properly applied, the test requires a court to make its own inquiry into the imminence and magnitude of the danger said to flow from the particular utterance and then to balance the character of the evil, as well as its likelihood, against the need for free and unfettered expression. The possibility that other measures will serve the State's interests should also be weighed.</w:t>
      </w:r>
    </w:p>
    <w:p w:rsidR="00A31137" w:rsidRPr="00A31137" w:rsidRDefault="00A31137" w:rsidP="00A31137">
      <w:r w:rsidRPr="00A31137">
        <w:t>1991, Gentile v. State Bar of Nevada, 501 U.S. 1036</w:t>
      </w:r>
    </w:p>
    <w:p w:rsidR="00A31137" w:rsidRPr="00A31137" w:rsidRDefault="00A31137" w:rsidP="00A31137">
      <w:r w:rsidRPr="00A31137">
        <w:t xml:space="preserve">Landmark Communications, Inc. v. Virginia, supra at 842-843. [501 U.S. 1037] </w:t>
      </w:r>
    </w:p>
    <w:p w:rsidR="00A31137" w:rsidRPr="00A31137" w:rsidRDefault="00A31137" w:rsidP="00A31137">
      <w:r w:rsidRPr="00A31137">
        <w:t>1991, Gentile v. State Bar of Nevada, 501 U.S. 1037</w:t>
      </w:r>
    </w:p>
    <w:p w:rsidR="00A31137" w:rsidRPr="00A31137" w:rsidRDefault="00A31137" w:rsidP="00A31137">
      <w:r w:rsidRPr="00A31137">
        <w:t>The drafters of Model Rule 3.6 apparently thought the substantial likelihood of material prejudice formulation approximated the clear and present danger test. See ABA Annotated Model Rules of Professional Conduct 243 (1984) ("formulation in Model Rule 3.6 incorporates a standard approximating clear and present danger by focusing on the likelihood of injury and its substantiality"; citing Landmark Communications, supra at  844; Wood v. Georgia, 370 U.S. 375 (1962); and Bridges v. California, supra at  273, for guidance in determining whether statement "poses a sufficiently serious and imminent threat to the fair administration of justice"); G. Hazard &amp; W. Hodes, The Law of Lawyering: A Handbook on the Model Rules of Professional Conduct 397 (1985) ("To use traditional terminology, the danger of prejudice to a proceeding must be both clear (material) and present (substantially likely)"); In re Hinds, 90 N.J. 604, 622, 449 A.2d 483, 493 (1982) (substantial likelihood of material prejudice standard is a linguistic equivalent of clear and present danger).</w:t>
      </w:r>
    </w:p>
    <w:p w:rsidR="00A31137" w:rsidRPr="00A31137" w:rsidRDefault="00A31137" w:rsidP="00A31137">
      <w:r w:rsidRPr="00A31137">
        <w:t>1991, Gentile v. State Bar of Nevada, 501 U.S. 1037</w:t>
      </w:r>
    </w:p>
    <w:p w:rsidR="00A31137" w:rsidRPr="00A31137" w:rsidRDefault="00A31137" w:rsidP="00A31137">
      <w:r w:rsidRPr="00A31137">
        <w:t>The difference between the requirement of serious and imminent threat found in the disciplinary rules of some States and the more common formulation of substantial likelihood of material prejudice could prove mere semantics. Each standard requires an assessment of proximity and degree of harm. Each may be capable of valid application. Under those principles, nothing inherent in Nevada's formulation fails First Amendment review; but, as this case demonstrates, Rule 177 has not been interpreted in conformance with those principles by the Nevada Supreme Court.</w:t>
      </w:r>
    </w:p>
    <w:p w:rsidR="00A31137" w:rsidRPr="00A31137" w:rsidRDefault="00A31137" w:rsidP="00A31137">
      <w:r w:rsidRPr="00A31137">
        <w:t>II</w:t>
      </w:r>
    </w:p>
    <w:p w:rsidR="00A31137" w:rsidRPr="00A31137" w:rsidRDefault="00A31137" w:rsidP="00A31137">
      <w:r w:rsidRPr="00A31137">
        <w:t>1991, Gentile v. State Bar of Nevada, 501 U.S. 1037</w:t>
      </w:r>
    </w:p>
    <w:p w:rsidR="00A31137" w:rsidRPr="00A31137" w:rsidRDefault="00A31137" w:rsidP="00A31137">
      <w:r w:rsidRPr="00A31137">
        <w:t>Even if one were to accept respondent's argument that lawyers participating in judicial proceedings may be subjected, consistent with the First Amendment, to speech restrictions that could not be imposed on the press or general public, the judgment should not be upheld. The record does [501 U.S. 1038] not support the conclusion that petitioner knew or reasonably should have known his remarks created a substantial likelihood of material prejudice, if the Rule's terms are given any meaningful content.</w:t>
      </w:r>
    </w:p>
    <w:p w:rsidR="00A31137" w:rsidRPr="00A31137" w:rsidRDefault="00A31137" w:rsidP="00A31137">
      <w:r w:rsidRPr="00A31137">
        <w:t>1991, Gentile v. State Bar of Nevada, 501 U.S. 1038</w:t>
      </w:r>
    </w:p>
    <w:p w:rsidR="00A31137" w:rsidRPr="00A31137" w:rsidRDefault="00A31137" w:rsidP="00A31137">
      <w:r w:rsidRPr="00A31137">
        <w:t>We have held that,</w:t>
      </w:r>
    </w:p>
    <w:p w:rsidR="00A31137" w:rsidRPr="00A31137" w:rsidRDefault="00A31137" w:rsidP="00A31137">
      <w:r w:rsidRPr="00A31137">
        <w:t>1991, Gentile v. State Bar of Nevada, 501 U.S. 1038</w:t>
      </w:r>
    </w:p>
    <w:p w:rsidR="00A31137" w:rsidRPr="00A31137" w:rsidRDefault="00A31137" w:rsidP="00A31137">
      <w:r w:rsidRPr="00A31137">
        <w:t>in cases raising First Amendment issues…, an appellate court has an obligation to "make an independent examination of the whole record" in order to make sure that "the judgment does not constitute a forbidden intrusion on the field of free expression."</w:t>
      </w:r>
    </w:p>
    <w:p w:rsidR="00A31137" w:rsidRPr="00A31137" w:rsidRDefault="00A31137" w:rsidP="00A31137">
      <w:r w:rsidRPr="00A31137">
        <w:t>1991, Gentile v. State Bar of Nevada, 501 U.S. 1038</w:t>
      </w:r>
    </w:p>
    <w:p w:rsidR="00A31137" w:rsidRPr="00A31137" w:rsidRDefault="00A31137" w:rsidP="00A31137">
      <w:r w:rsidRPr="00A31137">
        <w:t>Bose Corp. v. Consumers Union of United States, Inc., 466 U.S. 485, 499 (1984) (quoting New York Times Co. v. Sullivan, 376 U.S. 254, 284-286 (1964)).</w:t>
      </w:r>
    </w:p>
    <w:p w:rsidR="00A31137" w:rsidRPr="00A31137" w:rsidRDefault="00A31137" w:rsidP="00A31137">
      <w:r w:rsidRPr="00A31137">
        <w:t>1991, Gentile v. State Bar of Nevada, 501 U.S. 1038</w:t>
      </w:r>
    </w:p>
    <w:p w:rsidR="00A31137" w:rsidRPr="00A31137" w:rsidRDefault="00A31137" w:rsidP="00A31137">
      <w:r w:rsidRPr="00A31137">
        <w:t>Neither the disciplinary board nor the reviewing court explains any sense in which petitioner's statements had a substantial likelihood of causing material prejudice. The only evidence against Gentile was the videotape of his statement and his own testimony at the disciplinary hearing. The Bar's whole case rests on the fact of the statement, the time it was made, and petitioner's own justifications. Full deference to these factual findings does not justify abdication of our responsibility to determine whether petitioner's statements can be punished consistent with First Amendment standards.</w:t>
      </w:r>
    </w:p>
    <w:p w:rsidR="00A31137" w:rsidRPr="00A31137" w:rsidRDefault="00A31137" w:rsidP="00A31137">
      <w:r w:rsidRPr="00A31137">
        <w:t>1991, Gentile v. State Bar of Nevada, 501 U.S. 1038</w:t>
      </w:r>
    </w:p>
    <w:p w:rsidR="00A31137" w:rsidRPr="00A31137" w:rsidRDefault="00A31137" w:rsidP="00A31137">
      <w:r w:rsidRPr="00A31137">
        <w:t>Rather, this Court is</w:t>
      </w:r>
    </w:p>
    <w:p w:rsidR="00A31137" w:rsidRPr="00A31137" w:rsidRDefault="00A31137" w:rsidP="00A31137">
      <w:r w:rsidRPr="00A31137">
        <w:t>1991, Gentile v. State Bar of Nevada, 501 U.S. 1038</w:t>
      </w:r>
    </w:p>
    <w:p w:rsidR="00A31137" w:rsidRPr="00A31137" w:rsidRDefault="00A31137" w:rsidP="00A31137">
      <w:r w:rsidRPr="00A31137">
        <w:t>compelled to examine for [itself] the statements in issue and the circumstances under which they were made to see whether or not they do carry a threat of clear and present danger to the impartiality and good order of the courts or whether they are of a character which the principles of the First Amendment, as adopted by the Due Process Clause of the Fourteenth Amendment, protect.</w:t>
      </w:r>
    </w:p>
    <w:p w:rsidR="00A31137" w:rsidRPr="00A31137" w:rsidRDefault="00A31137" w:rsidP="00A31137">
      <w:r w:rsidRPr="00A31137">
        <w:t>1991, Gentile v. State Bar of Nevada, 501 U.S. 1038</w:t>
      </w:r>
    </w:p>
    <w:p w:rsidR="00A31137" w:rsidRPr="00A31137" w:rsidRDefault="00A31137" w:rsidP="00A31137">
      <w:r w:rsidRPr="00A31137">
        <w:t>Pennekamp v. Florida, 328 U.S. 331,  335 (1946).</w:t>
      </w:r>
    </w:p>
    <w:p w:rsidR="00A31137" w:rsidRPr="00A31137" w:rsidRDefault="00A31137" w:rsidP="00A31137">
      <w:r w:rsidRPr="00A31137">
        <w:t>1991, Gentile v. State Bar of Nevada, 501 U.S. 1038</w:t>
      </w:r>
    </w:p>
    <w:p w:rsidR="00A31137" w:rsidRPr="00A31137" w:rsidRDefault="00A31137" w:rsidP="00A31137">
      <w:r w:rsidRPr="00A31137">
        <w:t>"Whenever the fundamental rights of free speech…are alleged to have been invaded, it must remain open to a defendant to present the issue whether there actually [501 U.S. 1039] did exist at the time a clear danger; whether the danger, if any, was imminent; and whether the evil apprehended was one so substantial as to justify the stringent restriction interposed by the legislature."</w:t>
      </w:r>
    </w:p>
    <w:p w:rsidR="00A31137" w:rsidRPr="00A31137" w:rsidRDefault="00A31137" w:rsidP="00A31137">
      <w:r w:rsidRPr="00A31137">
        <w:t>1991, Gentile v. State Bar of Nevada, 501 U.S. 1039</w:t>
      </w:r>
    </w:p>
    <w:p w:rsidR="00A31137" w:rsidRPr="00A31137" w:rsidRDefault="00A31137" w:rsidP="00A31137">
      <w:r w:rsidRPr="00A31137">
        <w:t>Landmark Communications, Inc. v. Virginia, 435 U.S. at  844 (quoting Whitney v. California, 274 U.S. 357, 378-379 (1927) (Brandeis, J., concurring)). Whether one applies the standard set out in Landmark Communications or the lower standard our colleagues find permissible, an examination of the record reveals no basis for the Nevada court's conclusion that the speech presented a substantial likelihood of material prejudice.</w:t>
      </w:r>
    </w:p>
    <w:p w:rsidR="00A31137" w:rsidRPr="00A31137" w:rsidRDefault="00A31137" w:rsidP="00A31137">
      <w:r w:rsidRPr="00A31137">
        <w:t>1991, Gentile v. State Bar of Nevada, 501 U.S. 1039</w:t>
      </w:r>
    </w:p>
    <w:p w:rsidR="00A31137" w:rsidRPr="00A31137" w:rsidRDefault="00A31137" w:rsidP="00A31137">
      <w:r w:rsidRPr="00A31137">
        <w:t>Our decision earlier this Term in Mu'Min v. Virginia, 500 U.S. 415 (1991), provides a pointed contrast to respondent's contention in this case. There, the community had been subjected to a barrage of publicity prior to Mu'Min's trial for capital murder. News stories appeared over a course of several months and included, in addition to details of the crime itself, numerous items of prejudicial information inadmissible at trial. Eight of the twelve individuals seated on Mu'Min's jury admitted some exposure to pretrial publicity. We held that the publicity did not rise even to a level requiring questioning of individual jurors about the content of publicity. In light of that holding, the Nevada court's conclusion that petitioner's abbreviated, general comments six months before trial created a "substantial likelihood of materially prejudicing" the proceeding is, to say the least, most unconvincing.</w:t>
      </w:r>
    </w:p>
    <w:p w:rsidR="00A31137" w:rsidRPr="00A31137" w:rsidRDefault="00A31137" w:rsidP="00A31137">
      <w:r w:rsidRPr="00A31137">
        <w:t>A</w:t>
      </w:r>
    </w:p>
    <w:p w:rsidR="00A31137" w:rsidRPr="00A31137" w:rsidRDefault="00A31137" w:rsidP="00A31137">
      <w:r w:rsidRPr="00A31137">
        <w:t>1991, Gentile v. State Bar of Nevada, 501 U.S. 1039</w:t>
      </w:r>
    </w:p>
    <w:p w:rsidR="00A31137" w:rsidRPr="00A31137" w:rsidRDefault="00A31137" w:rsidP="00A31137">
      <w:r w:rsidRPr="00A31137">
        <w:t>Pre-Indictment Publicity. On January 31, 1987, undercover police officers with the Las Vegas Metropolitan Police Department (Metro) reported large amounts of cocaine (four kilograms) and travelers' checks (almost $300,000) missing from a safety deposit vault at Western Vault Corporation. The drugs and money had been used as part of an undercover [501 U.S. 1040] operation conducted by Metro's Intelligence Bureau. Petitioner's client, Grady Sanders, owned Western Vault. John Moran, the Las Vegas sheriff, reported the theft at a press conference on February 2, 1987, naming the police and Western Vault employees as suspects.</w:t>
      </w:r>
    </w:p>
    <w:p w:rsidR="00A31137" w:rsidRPr="00A31137" w:rsidRDefault="00A31137" w:rsidP="00A31137">
      <w:r w:rsidRPr="00A31137">
        <w:t>1991, Gentile v. State Bar of Nevada, 501 U.S. 1040</w:t>
      </w:r>
    </w:p>
    <w:p w:rsidR="00A31137" w:rsidRPr="00A31137" w:rsidRDefault="00A31137" w:rsidP="00A31137">
      <w:r w:rsidRPr="00A31137">
        <w:t>Although two police officers, Detective Steve Scholl and Sergeant Ed Schaub, enjoyed free access to the deposit box throughout the period of the theft, and no log reported comings and goings at the vault, a series of press reports over the following year indicated that investigators did not consider these officers responsible. Instead, investigators focused upon Western Vault and its owner. Newspaper reports quoted the sheriff and other high police officials as saying that they had not lost confidence in the "elite" Intelligence Bureau. From the beginning, Sheriff Moran had "complete faith and trust" in his officers. App. 85.</w:t>
      </w:r>
    </w:p>
    <w:p w:rsidR="00A31137" w:rsidRPr="00A31137" w:rsidRDefault="00A31137" w:rsidP="00A31137">
      <w:r w:rsidRPr="00A31137">
        <w:t>1991, Gentile v. State Bar of Nevada, 501 U.S. 1040</w:t>
      </w:r>
    </w:p>
    <w:p w:rsidR="00A31137" w:rsidRPr="00A31137" w:rsidRDefault="00A31137" w:rsidP="00A31137">
      <w:r w:rsidRPr="00A31137">
        <w:t>The media reported that, following announcement of the cocaine theft, others with deposit boxes at Western Vault had come forward to claim missing items. One man claimed the theft of his life savings of $90,000. Id. at 89. Western Vault suffered heavy losses as customers terminated their box rentals, and the company soon went out of business. The police opened other boxes in search of the missing items, and it was reported they seized $264,900 in United States currency from a box listed as unrented.</w:t>
      </w:r>
    </w:p>
    <w:p w:rsidR="00A31137" w:rsidRPr="00A31137" w:rsidRDefault="00A31137" w:rsidP="00A31137">
      <w:r w:rsidRPr="00A31137">
        <w:t>1991, Gentile v. State Bar of Nevada, 501 U.S. 1040</w:t>
      </w:r>
    </w:p>
    <w:p w:rsidR="00A31137" w:rsidRPr="00A31137" w:rsidRDefault="00A31137" w:rsidP="00A31137">
      <w:r w:rsidRPr="00A31137">
        <w:t>Initial press reports stated that Sanders and Western Vault were being cooperative; but, as time went on, the press noted that the police investigation had failed to identify the culprit, and, through a process of elimination, was beginning to point toward Sanders. Reports quoted the affidavit of a detective that the theft was part of an effort to discredit the undercover operation, and that business records suggested the existence of a business relation between Sanders and the targets of a Metro undercover probe. Id. at 85.</w:t>
      </w:r>
    </w:p>
    <w:p w:rsidR="00A31137" w:rsidRPr="00A31137" w:rsidRDefault="00A31137" w:rsidP="00A31137">
      <w:r w:rsidRPr="00A31137">
        <w:t>1991, Gentile v. State Bar of Nevada, 501 U.S. 1040</w:t>
      </w:r>
    </w:p>
    <w:p w:rsidR="00A31137" w:rsidRPr="00A31137" w:rsidRDefault="00A31137" w:rsidP="00A31137">
      <w:r w:rsidRPr="00A31137">
        <w:t>The deputy police chief announced the two detectives with access to the vault had been "cleared" as possible suspects. [501 U.S. 1041] According to an unnamed "source close to the investigation," the police shifted from the idea that the thief had planned to discredit the undercover operation to the theory that the thief had unwittingly stolen from the police. The stories noted that Sanders "could not be reached for comment." Id. at 93.</w:t>
      </w:r>
    </w:p>
    <w:p w:rsidR="00A31137" w:rsidRPr="00A31137" w:rsidRDefault="00A31137" w:rsidP="00A31137">
      <w:r w:rsidRPr="00A31137">
        <w:t>1991, Gentile v. State Bar of Nevada, 501 U.S. 1041</w:t>
      </w:r>
    </w:p>
    <w:p w:rsidR="00A31137" w:rsidRPr="00A31137" w:rsidRDefault="00A31137" w:rsidP="00A31137">
      <w:r w:rsidRPr="00A31137">
        <w:t>The story took a more sensational turn with reports that the two police suspects had been cleared by police investigators after passing lie detector tests. The tests were administered by one Ray Slaughter. But later, the Federal Bureau of Investigation (FBI) arrested Slaughter for distributing cocaine to an FBI informant, Belinda Antal. It was also reported that the $264,900 seized from the unrented safety deposit box at Western Vault had been stored there in a suitcase owned by one Tammy Sue Markham. Markham was "facing a number of federal drug-related charges" in Tucson, Arizona. Markham reported items missing from three boxes she rented at Western Vault, as did one Beatrice Connick, who, according to press reports, was a Columbian national living in San Diego and "not facing any drug related charges." (As it turned out, petitioner impeached Connick's credibility at trial with the existence of a money laundering conviction.) Connick also was reported to have taken and passed a lie detector test to substantiate her charges. Id. at 94-97. Finally, press reports indicated that Sanders had refused to take a police polygraph examination. Id. at 41. The press suggested that the FBI suspected Metro officers were responsible for the theft, and reported that the theft had severely damaged relations between the FBI and Metro.</w:t>
      </w:r>
    </w:p>
    <w:p w:rsidR="00A31137" w:rsidRPr="00A31137" w:rsidRDefault="00A31137" w:rsidP="00A31137">
      <w:r w:rsidRPr="00A31137">
        <w:t>1991, Gentile v. State Bar of Nevada, 501 U.S. 1041</w:t>
      </w:r>
    </w:p>
    <w:p w:rsidR="00A31137" w:rsidRPr="00A31137" w:rsidRDefault="00A31137" w:rsidP="00A31137">
      <w:r w:rsidRPr="00A31137">
        <w:t>The Press Conference. Petitioner is a Las Vegas criminal defense attorney, an author of articles about criminal law and procedure, and a former associate dean of the National College for Criminal Defense Lawyers and Public Defenders. Id. at 36-38. Through leaks from the police department, he [501 U.S. 1042] had some advance notice of the date an indictment would be returned and the nature of the charges against Sanders. Petitioner had monitored the publicity surrounding the case, and, prior to the indictment, was personally aware of at least 17 articles in the major local newspapers, the Las Vegas Sun and Las Vegas Review-Journal, and numerous local television news stories which reported on the Western Vault theft and ensuing investigation. Id. at 38-39; see Respondent's Exhibit A, before Disciplinary Board. Petitioner determined, for the first time in his career, that he would call a formal press conference. He did not blunder into a press conference, but acted with considerable deliberation.</w:t>
      </w:r>
    </w:p>
    <w:p w:rsidR="00A31137" w:rsidRPr="00A31137" w:rsidRDefault="00A31137" w:rsidP="00A31137">
      <w:r w:rsidRPr="00A31137">
        <w:t>1</w:t>
      </w:r>
    </w:p>
    <w:p w:rsidR="00A31137" w:rsidRPr="00A31137" w:rsidRDefault="00A31137" w:rsidP="00A31137">
      <w:r w:rsidRPr="00A31137">
        <w:t>1991, Gentile v. State Bar of Nevada, 501 U.S. 1042</w:t>
      </w:r>
    </w:p>
    <w:p w:rsidR="00A31137" w:rsidRPr="00A31137" w:rsidRDefault="00A31137" w:rsidP="00A31137">
      <w:r w:rsidRPr="00A31137">
        <w:t xml:space="preserve">Petitioner's Motivation. As petitioner explained to the disciplinary board, his primary motivation was the concern that, unless some of the weaknesses in the State's case were made public, a potential jury venire would be poisoned by repetition in the press of information being released by the police and prosecutors, in particular the repeated press reports about polygraph tests and the fact that the two police officers were no longer suspects. App. 40-42. Respondent distorts Rule 177 when it suggests this explanation admits a purpose to prejudice the venire, and so proves a violation of the Rule. Rule 177 only prohibits the dissemination of information that one knows or reasonably should know has a "substantial likelihood of materially prejudicing an adjudicative proceeding." Petitioner did not indicate he thought he could sway the pool of potential jurors to form an opinion in advance of the trial, nor did he seek to discuss evidence that would be inadmissible at trial. He sought only to counter publicity already deemed prejudicial. The Southern Nevada Disciplinary Board so found. It said petitioner attempted [501 U.S. 1043] </w:t>
      </w:r>
    </w:p>
    <w:p w:rsidR="00A31137" w:rsidRPr="00A31137" w:rsidRDefault="00A31137" w:rsidP="00A31137">
      <w:r w:rsidRPr="00A31137">
        <w:t>1991, Gentile v. State Bar of Nevada, 501 U.S. 1043</w:t>
      </w:r>
    </w:p>
    <w:p w:rsidR="00A31137" w:rsidRPr="00A31137" w:rsidRDefault="00A31137" w:rsidP="00A31137">
      <w:r w:rsidRPr="00A31137">
        <w:t>(i) to counter public opinion which he perceived as adverse to Mr. Sanders, (ii)…to refute certain matters regarding his client which had appeared in the media, (iii) to fight back against the perceived efforts of the prosecution to poison the prospective juror pool, and (iv) to publicly present Sanders' side of the case.</w:t>
      </w:r>
    </w:p>
    <w:p w:rsidR="00A31137" w:rsidRPr="00A31137" w:rsidRDefault="00A31137" w:rsidP="00A31137">
      <w:r w:rsidRPr="00A31137">
        <w:t>1991, Gentile v. State Bar of Nevada, 501 U.S. 1043</w:t>
      </w:r>
    </w:p>
    <w:p w:rsidR="00A31137" w:rsidRPr="00A31137" w:rsidRDefault="00A31137" w:rsidP="00A31137">
      <w:r w:rsidRPr="00A31137">
        <w:t>App. 3-4. Far from an admission that he sought to "materially prejudic[e] an adjudicative proceeding," petitioner sought only to stop a wave of publicity he perceived as prejudicing potential jurors against his client and injuring his client's reputation in the community.</w:t>
      </w:r>
    </w:p>
    <w:p w:rsidR="00A31137" w:rsidRPr="00A31137" w:rsidRDefault="00A31137" w:rsidP="00A31137">
      <w:r w:rsidRPr="00A31137">
        <w:t>1991, Gentile v. State Bar of Nevada, 501 U.S. 1043</w:t>
      </w:r>
    </w:p>
    <w:p w:rsidR="00A31137" w:rsidRPr="00A31137" w:rsidRDefault="00A31137" w:rsidP="00A31137">
      <w:r w:rsidRPr="00A31137">
        <w:t>Petitioner gave a second reason for holding the press conference, which demonstrates the additional value of his speech. Petitioner acted in part because the investigation had taken a serious toll on his client. Sanders was "not a man in good health," having suffered multiple open-heart surgeries prior to these events. Id. at 41. And prior to indictment, the mere suspicion of wrongdoing had caused the closure of Western Vault and the loss of Sanders' ground lease on an Atlantic City, New Jersey, property. Ibid.</w:t>
      </w:r>
    </w:p>
    <w:p w:rsidR="00A31137" w:rsidRPr="00A31137" w:rsidRDefault="00A31137" w:rsidP="00A31137">
      <w:r w:rsidRPr="00A31137">
        <w:t>1991, Gentile v. State Bar of Nevada, 501 U.S. 1043</w:t>
      </w:r>
    </w:p>
    <w:p w:rsidR="00A31137" w:rsidRPr="00A31137" w:rsidRDefault="00A31137" w:rsidP="00A31137">
      <w:r w:rsidRPr="00A31137">
        <w:t xml:space="preserve">An attorney's duties do not begin inside the courtroom door. He or she cannot ignore the practical implications of a legal proceeding for the client. Just as an attorney may recommend a plea bargain or civil settlement to avoid the adverse consequences of a possible loss after trial, so too an attorney may take reasonable steps to defend a client's reputation and reduce the adverse consequences of indictment, especially in the face of a prosecution deemed unjust or commenced with improper motives. A defense attorney may pursue lawful strategies to obtain dismissal of an indictment or reduction of charges, including an attempt to demonstrate in the court of public opinion that the client does not deserve to be tried. [501 U.S. 1044] </w:t>
      </w:r>
    </w:p>
    <w:p w:rsidR="00A31137" w:rsidRPr="00A31137" w:rsidRDefault="00A31137" w:rsidP="00A31137">
      <w:r w:rsidRPr="00A31137">
        <w:t>2</w:t>
      </w:r>
    </w:p>
    <w:p w:rsidR="00A31137" w:rsidRPr="00A31137" w:rsidRDefault="00A31137" w:rsidP="00A31137">
      <w:r w:rsidRPr="00A31137">
        <w:t>1991, Gentile v. State Bar of Nevada, 501 U.S. 1044</w:t>
      </w:r>
    </w:p>
    <w:p w:rsidR="00A31137" w:rsidRPr="00A31137" w:rsidRDefault="00A31137" w:rsidP="00A31137">
      <w:r w:rsidRPr="00A31137">
        <w:t>Petitioner's Investigation of Rule 177. Rule 177 is phrased in terms of what an attorney "knows or reasonably should know." On the evening before the press conference, petitioner and two colleagues spent several hours researching the extent of an attorney's obligations under Rule 177. He decided, as we have held, see Patton v. Yount, 467 U.S. 1025 (1984), that the timing of a statement was crucial in the assessment of possible prejudice and the Rule's application, accord, Stroble v. California, 343 U.S. 181, 191-194 (1952). App. 44.</w:t>
      </w:r>
    </w:p>
    <w:p w:rsidR="00A31137" w:rsidRPr="00A31137" w:rsidRDefault="00A31137" w:rsidP="00A31137">
      <w:r w:rsidRPr="00A31137">
        <w:t>1991, Gentile v. State Bar of Nevada, 501 U.S. 1044</w:t>
      </w:r>
    </w:p>
    <w:p w:rsidR="00A31137" w:rsidRPr="00A31137" w:rsidRDefault="00A31137" w:rsidP="00A31137">
      <w:r w:rsidRPr="00A31137">
        <w:t>Upon return of the indictment, the court set a trial date for August, 1988, some six months in the future. Petitioner knew, at the time of his statement, that a jury would not be empaneled for six months at the earliest, if ever. He recalled reported cases finding no prejudice resulting from juror exposure to "far worse" information two and four months before trial, and concluded that his proposed statement was not substantially likely to result in material prejudice. Ibid.</w:t>
      </w:r>
    </w:p>
    <w:p w:rsidR="00A31137" w:rsidRPr="00A31137" w:rsidRDefault="00A31137" w:rsidP="00A31137">
      <w:r w:rsidRPr="00A31137">
        <w:t>1991, Gentile v. State Bar of Nevada, 501 U.S. 1044</w:t>
      </w:r>
    </w:p>
    <w:p w:rsidR="00A31137" w:rsidRPr="00A31137" w:rsidRDefault="00A31137" w:rsidP="00A31137">
      <w:r w:rsidRPr="00A31137">
        <w:t>A statement which reaches the attention of the venire on the eve of voir dire might require a continuance or cause difficulties in securing an impartial jury, and, at the very least, could complicate the jury selection process. See ABA Annotated Model Rules of Professional Conduct 243 (1984) (timing of statement a significant factor in determining seriousness and imminence of threat). As turned out to be the case here, exposure to the same statement six months prior to trial would not result in prejudice, the content fading from memory long before the trial date.</w:t>
      </w:r>
    </w:p>
    <w:p w:rsidR="00A31137" w:rsidRPr="00A31137" w:rsidRDefault="00A31137" w:rsidP="00A31137">
      <w:r w:rsidRPr="00A31137">
        <w:t>1991, Gentile v. State Bar of Nevada, 501 U.S. 1044</w:t>
      </w:r>
    </w:p>
    <w:p w:rsidR="00A31137" w:rsidRPr="00A31137" w:rsidRDefault="00A31137" w:rsidP="00A31137">
      <w:r w:rsidRPr="00A31137">
        <w:t xml:space="preserve">In 1988, Clark County, Nevada, had population in excess of 600,000 persons. Given the size of the community from which any potential jury venire would be drawn and the length of time before trial, only the most damaging of information could give rise to any likelihood of prejudice. The innocuous content of petitioner's statement reinforces my conclusion. [501 U.S. 1045] </w:t>
      </w:r>
    </w:p>
    <w:p w:rsidR="00A31137" w:rsidRPr="00A31137" w:rsidRDefault="00A31137" w:rsidP="00A31137">
      <w:r w:rsidRPr="00A31137">
        <w:t>3</w:t>
      </w:r>
    </w:p>
    <w:p w:rsidR="00A31137" w:rsidRPr="00A31137" w:rsidRDefault="00A31137" w:rsidP="00A31137">
      <w:r w:rsidRPr="00A31137">
        <w:t>1991, Gentile v. State Bar of Nevada, 501 U.S. 1045</w:t>
      </w:r>
    </w:p>
    <w:p w:rsidR="00A31137" w:rsidRPr="00A31137" w:rsidRDefault="00A31137" w:rsidP="00A31137">
      <w:r w:rsidRPr="00A31137">
        <w:t>The Content of Petitioner's Statement. Petitioner was disciplined for statements to the effect that (1) the evidence demonstrated his client's innocence, (2) the likely thief was a police detective, Steve Scholl, and (3) the other victims were not credible, as most were drug dealers or convicted money launderers, all but one of whom had only accused Sanders in response to police pressure, in the process of "trying to work themselves out of something."   Appendix A, infra, at 1059.   App. 2-3 (Findings and Recommendation of the State Bar of Nevada, Southern Nevada Disciplinary Board). He also strongly implied that Steve Scholl could be observed in a videotape suffering from symptoms of cocaine use. Of course, only a small fraction of petitioner's remarks were disseminated to the public, in two newspaper stories and two television news broadcasts.</w:t>
      </w:r>
    </w:p>
    <w:p w:rsidR="00A31137" w:rsidRPr="00A31137" w:rsidRDefault="00A31137" w:rsidP="00A31137">
      <w:r w:rsidRPr="00A31137">
        <w:t>1991, Gentile v. State Bar of Nevada, 501 U.S. 1045</w:t>
      </w:r>
    </w:p>
    <w:p w:rsidR="00A31137" w:rsidRPr="00A31137" w:rsidRDefault="00A31137" w:rsidP="00A31137">
      <w:r w:rsidRPr="00A31137">
        <w:t>The stories mentioned not only Gentile's press conference but also a prosecution response and police press conference. See App. 127-129, 131-132; Respondent's Exhibit A, before Disciplinary Board. 1 The chief deputy district attorney was [501 U.S. 1046] quoted as saying that this was a legitimate indictment, and that prosecutors cannot bring an indictment to court unless they can prove the charges in it beyond a reasonable doubt. App. 128-129. Deputy Police Chief Sullivan stated for the police department:</w:t>
      </w:r>
    </w:p>
    <w:p w:rsidR="00A31137" w:rsidRPr="00A31137" w:rsidRDefault="00A31137" w:rsidP="00A31137">
      <w:r w:rsidRPr="00A31137">
        <w:t>1991, Gentile v. State Bar of Nevada, 501 U.S. 1046</w:t>
      </w:r>
    </w:p>
    <w:p w:rsidR="00A31137" w:rsidRPr="00A31137" w:rsidRDefault="00A31137" w:rsidP="00A31137">
      <w:r w:rsidRPr="00A31137">
        <w:t>"We in Metro are very satisfied our officers (Scholl and Sgt. Ed Schaub) had nothing to do with this theft or any other. They are both above reproach. Both are veteran police officers who are dedicated to honest law enforcement."</w:t>
      </w:r>
    </w:p>
    <w:p w:rsidR="00A31137" w:rsidRPr="00A31137" w:rsidRDefault="00A31137" w:rsidP="00A31137">
      <w:r w:rsidRPr="00A31137">
        <w:t>1991, Gentile v. State Bar of Nevada, 501 U.S. 1046</w:t>
      </w:r>
    </w:p>
    <w:p w:rsidR="00A31137" w:rsidRPr="00A31137" w:rsidRDefault="00A31137" w:rsidP="00A31137">
      <w:r w:rsidRPr="00A31137">
        <w:t>Id. at 129. In the context of general public awareness, these police and prosecution statements were no more likely to result in prejudice than was petitioner's statement, but given the repetitive publicity from the police investigation, it is difficult to come to any conclusion but that the balance remained in favor of the prosecution.</w:t>
      </w:r>
    </w:p>
    <w:p w:rsidR="00A31137" w:rsidRPr="00A31137" w:rsidRDefault="00A31137" w:rsidP="00A31137">
      <w:r w:rsidRPr="00A31137">
        <w:t>1991, Gentile v. State Bar of Nevada, 501 U.S. 1046</w:t>
      </w:r>
    </w:p>
    <w:p w:rsidR="00A31137" w:rsidRPr="00A31137" w:rsidRDefault="00A31137" w:rsidP="00A31137">
      <w:r w:rsidRPr="00A31137">
        <w:t>Much of the information provided by petitioner had been published in one form or another, obviating any potential for prejudice. See ABA Annotated Model Rules of Professional Conduct 243 (1984) (extent to which information already circulated significant factor in determining likelihood of prejudice). The remainder, and details petitioner refused to provide, were available to any journalist willing to do a little bit of investigative work.</w:t>
      </w:r>
    </w:p>
    <w:p w:rsidR="00A31137" w:rsidRPr="00A31137" w:rsidRDefault="00A31137" w:rsidP="00A31137">
      <w:r w:rsidRPr="00A31137">
        <w:t>1991, Gentile v. State Bar of Nevada, 501 U.S. 1046</w:t>
      </w:r>
    </w:p>
    <w:p w:rsidR="00A31137" w:rsidRPr="00A31137" w:rsidRDefault="00A31137" w:rsidP="00A31137">
      <w:r w:rsidRPr="00A31137">
        <w:t>Petitioner's statement lacks any of the more obvious bases for a finding of prejudice. Unlike the police, he refused to comment on polygraph tests except to confirm earlier reports that Sanders had not submitted to the police polygraph; he mentioned no confessions and no evidence from searches or test results; he refused to elaborate upon his charge that the other so-called victims were not credible, except to explain his general theory that they were pressured to testify in an attempt to avoid drug-related legal trouble, and that some of [501 U.S. 1047] them may have asserted claims in an attempt to collect insurance money.</w:t>
      </w:r>
    </w:p>
    <w:p w:rsidR="00A31137" w:rsidRPr="00A31137" w:rsidRDefault="00A31137" w:rsidP="00A31137">
      <w:r w:rsidRPr="00A31137">
        <w:t>C</w:t>
      </w:r>
    </w:p>
    <w:p w:rsidR="00A31137" w:rsidRPr="00A31137" w:rsidRDefault="00A31137" w:rsidP="00A31137">
      <w:r w:rsidRPr="00A31137">
        <w:t>1991, Gentile v. State Bar of Nevada, 501 U.S. 1047</w:t>
      </w:r>
    </w:p>
    <w:p w:rsidR="00A31137" w:rsidRPr="00A31137" w:rsidRDefault="00A31137" w:rsidP="00A31137">
      <w:r w:rsidRPr="00A31137">
        <w:t>Events Following the Press Conference. Petitioner's judgment that no likelihood of material prejudice would result from his comments was vindicated by events at trial. While it is true that Rule 177's standard for controlling pretrial publicity must be judged at the time a statement is made, ex post evidence can have probative value in some cases. Here, where the Rule purports to demand, and the Constitution requires, consideration of the character of the harm and its heightened likelihood of occurrence, the record is altogether devoid of facts one would expect to follow upon any statement that created a real likelihood of material prejudice to a criminal jury trial.</w:t>
      </w:r>
    </w:p>
    <w:p w:rsidR="00A31137" w:rsidRPr="00A31137" w:rsidRDefault="00A31137" w:rsidP="00A31137">
      <w:r w:rsidRPr="00A31137">
        <w:t>1991, Gentile v. State Bar of Nevada, 501 U.S. 1047</w:t>
      </w:r>
    </w:p>
    <w:p w:rsidR="00A31137" w:rsidRPr="00A31137" w:rsidRDefault="00A31137" w:rsidP="00A31137">
      <w:r w:rsidRPr="00A31137">
        <w:t>The trial took place on schedule in August, 1988, with no request by either party for a venue change or continuance. The jury was empaneled with no apparent difficulty. The trial judge questioned the jury venire about publicity. Although many had vague recollections of reports that cocaine stored at Western Vault had been stolen from a police undercover operation, and, as petitioner had feared, one remembered that the police had been cleared of suspicion, not a single juror indicated any recollection of petitioner or his press conference. App. 48-49; Respondent's Exhibit B, before Disciplinary Board.</w:t>
      </w:r>
    </w:p>
    <w:p w:rsidR="00A31137" w:rsidRPr="00A31137" w:rsidRDefault="00A31137" w:rsidP="00A31137">
      <w:r w:rsidRPr="00A31137">
        <w:t>1991, Gentile v. State Bar of Nevada, 501 U.S. 1047</w:t>
      </w:r>
    </w:p>
    <w:p w:rsidR="00A31137" w:rsidRPr="00A31137" w:rsidRDefault="00A31137" w:rsidP="00A31137">
      <w:r w:rsidRPr="00A31137">
        <w:t xml:space="preserve">At trial, all material information disseminated during petitioner's press conference was admitted in evidence before the jury, including information questioning the motives and credibility of supposed victims who testified against Sanders, and Detective Scholl's ingestion of drugs in the course of undercover operations (in order, he testified, to gain the confidence of suspects). App. 47. The jury acquitted petitioner's client, and, as petitioner explained before the disciplinary board, [501 U.S. 1048] </w:t>
      </w:r>
    </w:p>
    <w:p w:rsidR="00A31137" w:rsidRPr="00A31137" w:rsidRDefault="00A31137" w:rsidP="00A31137">
      <w:r w:rsidRPr="00A31137">
        <w:t>1991, Gentile v. State Bar of Nevada, 501 U.S. 1048</w:t>
      </w:r>
    </w:p>
    <w:p w:rsidR="00A31137" w:rsidRPr="00A31137" w:rsidRDefault="00A31137" w:rsidP="00A31137">
      <w:r w:rsidRPr="00A31137">
        <w:t>when the trial was over with and the man was acquitted, the next week, the foreman of the jury phoned me and said to me that, if they would have had a verdict form before them with respect to the guilt of Steve Scholl. they would have found the man proven guilty beyond a reasonable doubt.</w:t>
      </w:r>
    </w:p>
    <w:p w:rsidR="00A31137" w:rsidRPr="00A31137" w:rsidRDefault="00A31137" w:rsidP="00A31137">
      <w:r w:rsidRPr="00A31137">
        <w:t>1991, Gentile v. State Bar of Nevada, 501 U.S. 1048</w:t>
      </w:r>
    </w:p>
    <w:p w:rsidR="00A31137" w:rsidRPr="00A31137" w:rsidRDefault="00A31137" w:rsidP="00A31137">
      <w:r w:rsidRPr="00A31137">
        <w:t>Id. at 47-48. There is no support for the conclusion that petitioner's statement created a likelihood of material prejudice, or indeed of any harm of sufficient magnitude or imminence to support a punishment for speech.</w:t>
      </w:r>
    </w:p>
    <w:p w:rsidR="00A31137" w:rsidRPr="00A31137" w:rsidRDefault="00A31137" w:rsidP="00A31137">
      <w:r w:rsidRPr="00A31137">
        <w:t>III</w:t>
      </w:r>
    </w:p>
    <w:p w:rsidR="00A31137" w:rsidRPr="00A31137" w:rsidRDefault="00A31137" w:rsidP="00A31137">
      <w:r w:rsidRPr="00A31137">
        <w:t>1991, Gentile v. State Bar of Nevada, 501 U.S. 1048</w:t>
      </w:r>
    </w:p>
    <w:p w:rsidR="00A31137" w:rsidRPr="00A31137" w:rsidRDefault="00A31137" w:rsidP="00A31137">
      <w:r w:rsidRPr="00A31137">
        <w:t>As interpreted by the Nevada Supreme Court, the Rule is void for vagueness, in any event, for its safe harbor provision, Rule 177(3), misled petitioner into thinking that he could give his press conference without fear of discipline. Rule 177(3)(a) provides that a lawyer "may state without elaboration…the general nature of the…defense." Statements under this provision are protected "[n]otwithstanding subsection 1 and 2 (a-f)." By necessary operation of the word "notwithstanding," the Rule contemplates that a lawyer describing the "general nature of the…defense" "without elaboration" need fear no discipline, even if he comments on "[t]he character, credibility, reputation or criminal record of a…witness," and even if he</w:t>
      </w:r>
    </w:p>
    <w:p w:rsidR="00A31137" w:rsidRPr="00A31137" w:rsidRDefault="00A31137" w:rsidP="00A31137">
      <w:r w:rsidRPr="00A31137">
        <w:t>1991, Gentile v. State Bar of Nevada, 501 U.S. 1048</w:t>
      </w:r>
    </w:p>
    <w:p w:rsidR="00A31137" w:rsidRPr="00A31137" w:rsidRDefault="00A31137" w:rsidP="00A31137">
      <w:r w:rsidRPr="00A31137">
        <w:t>knows or reasonably should know that [the statement] will have a substantial likelihood of materially prejudicing an adjudicative proceeding.</w:t>
      </w:r>
    </w:p>
    <w:p w:rsidR="00A31137" w:rsidRPr="00A31137" w:rsidRDefault="00A31137" w:rsidP="00A31137">
      <w:r w:rsidRPr="00A31137">
        <w:t>1991, Gentile v. State Bar of Nevada, 501 U.S. 1048</w:t>
      </w:r>
    </w:p>
    <w:p w:rsidR="00A31137" w:rsidRPr="00A31137" w:rsidRDefault="00A31137" w:rsidP="00A31137">
      <w:r w:rsidRPr="00A31137">
        <w:t>Given this grammatical structure, and absent any clarifying interpretation by the state court, the Rule fails to provide "'fair notice to those to whom [it] is directed.'" Grayned v. City of Rockford, 408 U.S. 104,  112 (1972). A lawyer seeking to avail himself of Rule 177(3)'s protection must guess at its contours. The right to explain the "general" nature of the defense without "elaboration" provides insufficient guidance because "general" and "elaboration" are both classic [501 U.S. 1049] terms of degree. In the context before us, these terms have no settled usage or tradition of interpretation in law. The lawyer has no principle for determining when his remarks pass from the safe harbor of the general to the forbidden sea of the elaborated.</w:t>
      </w:r>
    </w:p>
    <w:p w:rsidR="00A31137" w:rsidRPr="00A31137" w:rsidRDefault="00A31137" w:rsidP="00A31137">
      <w:r w:rsidRPr="00A31137">
        <w:t>1991, Gentile v. State Bar of Nevada, 501 U.S. 1049</w:t>
      </w:r>
    </w:p>
    <w:p w:rsidR="00A31137" w:rsidRPr="00A31137" w:rsidRDefault="00A31137" w:rsidP="00A31137">
      <w:r w:rsidRPr="00A31137">
        <w:t>Petitioner testified he thought his statements were protected by Rule 177(3), App. 59. A review of the press conference supports that claim. He gave only a brief opening statement, see Appendix A, infra, at 1059-1060, and on numerous occasions declined to answer reporters' questions seeking more detailed comments. One illustrative exchange shows petitioner's attempt to obey the rule:</w:t>
      </w:r>
    </w:p>
    <w:p w:rsidR="00A31137" w:rsidRPr="00A31137" w:rsidRDefault="00A31137" w:rsidP="00A31137">
      <w:r w:rsidRPr="00A31137">
        <w:t>1991, Gentile v. State Bar of Nevada, 501 U.S. 1049</w:t>
      </w:r>
    </w:p>
    <w:p w:rsidR="00A31137" w:rsidRPr="00A31137" w:rsidRDefault="00A31137" w:rsidP="00A31137">
      <w:r w:rsidRPr="00A31137">
        <w:t>QUESTION FROM THE FLOOR: Dominick, you mention you question the credibility of some of the witnesses, some of the people named as victims in the government indictment.</w:t>
      </w:r>
    </w:p>
    <w:p w:rsidR="00A31137" w:rsidRPr="00A31137" w:rsidRDefault="00A31137" w:rsidP="00A31137">
      <w:r w:rsidRPr="00A31137">
        <w:t>1991, Gentile v. State Bar of Nevada, 501 U.S. 1049</w:t>
      </w:r>
    </w:p>
    <w:p w:rsidR="00A31137" w:rsidRPr="00A31137" w:rsidRDefault="00A31137" w:rsidP="00A31137">
      <w:r w:rsidRPr="00A31137">
        <w:t>Can we go through it and elaborate on their backgrounds, interests—</w:t>
      </w:r>
    </w:p>
    <w:p w:rsidR="00A31137" w:rsidRPr="00A31137" w:rsidRDefault="00A31137" w:rsidP="00A31137">
      <w:r w:rsidRPr="00A31137">
        <w:t>1991, Gentile v. State Bar of Nevada, 501 U.S. 1049</w:t>
      </w:r>
    </w:p>
    <w:p w:rsidR="00A31137" w:rsidRPr="00A31137" w:rsidRDefault="00A31137" w:rsidP="00A31137">
      <w:r w:rsidRPr="00A31137">
        <w:t>MR. GENTILE: I can't, because ethics prohibit me from doing so.</w:t>
      </w:r>
    </w:p>
    <w:p w:rsidR="00A31137" w:rsidRPr="00A31137" w:rsidRDefault="00A31137" w:rsidP="00A31137">
      <w:r w:rsidRPr="00A31137">
        <w:t>1991, Gentile v. State Bar of Nevada, 501 U.S. 1049</w:t>
      </w:r>
    </w:p>
    <w:p w:rsidR="00A31137" w:rsidRPr="00A31137" w:rsidRDefault="00A31137" w:rsidP="00A31137">
      <w:r w:rsidRPr="00A31137">
        <w:t>Last night, before I decided I was going to make a statement, I took a good close look at the rules of professional responsibility. There are things that I can say and there are things that I can't. Okay?</w:t>
      </w:r>
    </w:p>
    <w:p w:rsidR="00A31137" w:rsidRPr="00A31137" w:rsidRDefault="00A31137" w:rsidP="00A31137">
      <w:r w:rsidRPr="00A31137">
        <w:t>1991, Gentile v. State Bar of Nevada, 501 U.S. 1049</w:t>
      </w:r>
    </w:p>
    <w:p w:rsidR="00A31137" w:rsidRPr="00A31137" w:rsidRDefault="00A31137" w:rsidP="00A31137">
      <w:r w:rsidRPr="00A31137">
        <w:t>I can't name which of the people have the drug backgrounds. I'm sure you guys can find that by doing just a little bit of investigative work.</w:t>
      </w:r>
    </w:p>
    <w:p w:rsidR="00A31137" w:rsidRPr="00A31137" w:rsidRDefault="00A31137" w:rsidP="00A31137">
      <w:r w:rsidRPr="00A31137">
        <w:t>1991, Gentile v. State Bar of Nevada, 501 U.S. 1049</w:t>
      </w:r>
    </w:p>
    <w:p w:rsidR="00A31137" w:rsidRPr="00A31137" w:rsidRDefault="00A31137" w:rsidP="00A31137">
      <w:r w:rsidRPr="00A31137">
        <w:t>App. to Pet. for Cert. 11a (emphasis added). 2 [501 U.S. 1050] Nevertheless, the disciplinary board said only that petitioner's comments "went beyond the scope of the statements permitted by SCR 177(3)," App. 5, and the Nevada Supreme [501 U.S. 1051] Court's rejection of petitioner's defense based on Rule 177(3) was just as terse, App. to Pet. for Cert. 4a. The fact that Gentile was found in violation of the Rules after studying them and making a conscious effort at compliance demonstrates that Rule 177 creates a trap for the wary, as well as the unwary.</w:t>
      </w:r>
    </w:p>
    <w:p w:rsidR="00A31137" w:rsidRPr="00A31137" w:rsidRDefault="00A31137" w:rsidP="00A31137">
      <w:r w:rsidRPr="00A31137">
        <w:t>1991, Gentile v. State Bar of Nevada, 501 U.S. 1051</w:t>
      </w:r>
    </w:p>
    <w:p w:rsidR="00A31137" w:rsidRPr="00A31137" w:rsidRDefault="00A31137" w:rsidP="00A31137">
      <w:r w:rsidRPr="00A31137">
        <w:t>The prohibition against vague regulations of speech is based in part on the need to eliminate the impermissible risk of discriminatory enforcement, Kolender v. Lawson, 461 U.S. 352, 357-358, 361 (1983); Smith v. Goguen, 415 U.S. 566, 572-573 (1974), for history shows that speech is suppressed when either the speaker or the message is critical of those who enforce the law. The question is not whether discriminatory enforcement occurred here, and we assume it did not, but whether the Rule is so imprecise that discriminatory enforcement is a real possibility. The inquiry is of particular relevance when one of the classes most affected by the regulation is the criminal defense bar, which has the professional mission to challenge actions of the State. Petitioner, for instance, succeeded in preventing the conviction of his client, and the speech in issue involved criticism of the government.</w:t>
      </w:r>
    </w:p>
    <w:p w:rsidR="00A31137" w:rsidRPr="00A31137" w:rsidRDefault="00A31137" w:rsidP="00A31137">
      <w:r w:rsidRPr="00A31137">
        <w:t>IV</w:t>
      </w:r>
    </w:p>
    <w:p w:rsidR="00A31137" w:rsidRPr="00A31137" w:rsidRDefault="00A31137" w:rsidP="00A31137">
      <w:r w:rsidRPr="00A31137">
        <w:t>1991, Gentile v. State Bar of Nevada, 501 U.S. 1051</w:t>
      </w:r>
    </w:p>
    <w:p w:rsidR="00A31137" w:rsidRPr="00A31137" w:rsidRDefault="00A31137" w:rsidP="00A31137">
      <w:r w:rsidRPr="00A31137">
        <w:t>The analysis to this point resolves the case, and, in the usual order of things, the discussion should end here. Five Members of the Court, however, endorse an extended discussion which concludes that Nevada may interpret its requirement of substantial likelihood of material prejudice under a standard more deferential than is the usual rule where speech is concerned. It appears necessary, therefore, to set forth my objections to that conclusion and to the reasoning which underlies it.</w:t>
      </w:r>
    </w:p>
    <w:p w:rsidR="00A31137" w:rsidRPr="00A31137" w:rsidRDefault="00A31137" w:rsidP="00A31137">
      <w:r w:rsidRPr="00A31137">
        <w:t>1991, Gentile v. State Bar of Nevada, 501 U.S. 1051</w:t>
      </w:r>
    </w:p>
    <w:p w:rsidR="00A31137" w:rsidRPr="00A31137" w:rsidRDefault="00A31137" w:rsidP="00A31137">
      <w:r w:rsidRPr="00A31137">
        <w:t>Respondent argues that speech by an attorney is subject to greater regulation than speech by others, and restrictions on an attorney's speech should be assessed under a balancing test that weighs the State's interest in the regulation of a [501 U.S. 1052] specialized profession against the lawyer's First Amendment interest in the kind of speech that was at issue. The cases cited by our colleagues to support this balancing, Bates v. State Bar of Arizona, 433 U.S. 350 (1977); Peel v. Attorney Registration and Disciplinary Comm'n of Ill., 496 U.S. 91 (1990); Ohralik v. Ohio State Bar Assn., 436 U.S. 447 (1978); and Seattle Times Co. v. Rhinehart, 467 U.S. 20 (1984), involved either commercial speech by attorneys or restrictions upon release of information that the attorney could gain only by use of the court's discovery process. Neither of those categories, nor the underlying interests which justified their creation, were implicated here. Petitioner was disciplined because he proclaimed to the community what he thought to be a misuse of the prosecutorial and police powers. Wide-open balancing of interests is not appropriate in this context.</w:t>
      </w:r>
    </w:p>
    <w:p w:rsidR="00A31137" w:rsidRPr="00A31137" w:rsidRDefault="00A31137" w:rsidP="00A31137">
      <w:r w:rsidRPr="00A31137">
        <w:t>A</w:t>
      </w:r>
    </w:p>
    <w:p w:rsidR="00A31137" w:rsidRPr="00A31137" w:rsidRDefault="00A31137" w:rsidP="00A31137">
      <w:r w:rsidRPr="00A31137">
        <w:t>1991, Gentile v. State Bar of Nevada, 501 U.S. 1052</w:t>
      </w:r>
    </w:p>
    <w:p w:rsidR="00A31137" w:rsidRPr="00A31137" w:rsidRDefault="00A31137" w:rsidP="00A31137">
      <w:r w:rsidRPr="00A31137">
        <w:t>Respondent would justify a substantial limitation on speech by attorneys because</w:t>
      </w:r>
    </w:p>
    <w:p w:rsidR="00A31137" w:rsidRPr="00A31137" w:rsidRDefault="00A31137" w:rsidP="00A31137">
      <w:r w:rsidRPr="00A31137">
        <w:t>1991, Gentile v. State Bar of Nevada, 501 U.S. 1052</w:t>
      </w:r>
    </w:p>
    <w:p w:rsidR="00A31137" w:rsidRPr="00A31137" w:rsidRDefault="00A31137" w:rsidP="00A31137">
      <w:r w:rsidRPr="00A31137">
        <w:t>lawyers have special access to information, including confidential statements from clients and information obtained through pretrial discovery or plea negotiations,</w:t>
      </w:r>
    </w:p>
    <w:p w:rsidR="00A31137" w:rsidRPr="00A31137" w:rsidRDefault="00A31137" w:rsidP="00A31137">
      <w:r w:rsidRPr="00A31137">
        <w:t>1991, Gentile v. State Bar of Nevada, 501 U.S. 1052</w:t>
      </w:r>
    </w:p>
    <w:p w:rsidR="00A31137" w:rsidRPr="00A31137" w:rsidRDefault="00A31137" w:rsidP="00A31137">
      <w:r w:rsidRPr="00A31137">
        <w:t>and so lawyers' statements "are likely to be received as especially authoritative." Brief for Respondent 22. Rule 177, however, does not reflect concern for the attorney's special access to client confidences, material gained through discovery, or other proprietary or confidential information. We have upheld restrictions upon the release of information gained "only by virtue of the trial court's discovery processes." Seattle Times Co. v. Rhinehart, supra at 32. And Seattle Times would prohibit release of discovery information by the attorney, as well as the client. Similar rules require an attorney to maintain client confidences. See, e.g., ABA Model Rule of Professional Conduct 1.6 (1981).</w:t>
      </w:r>
    </w:p>
    <w:p w:rsidR="00A31137" w:rsidRPr="00A31137" w:rsidRDefault="00A31137" w:rsidP="00A31137">
      <w:r w:rsidRPr="00A31137">
        <w:t>1991, Gentile v. State Bar of Nevada, 501 U.S. 1052</w:t>
      </w:r>
    </w:p>
    <w:p w:rsidR="00A31137" w:rsidRPr="00A31137" w:rsidRDefault="00A31137" w:rsidP="00A31137">
      <w:r w:rsidRPr="00A31137">
        <w:t>This case involves no speech subject to a restriction under the rationale of Seattle Times. Much of the information in [501 U.S. 1053] petitioner's remarks was included by explicit reference or fair inference in earlier press reports. Petitioner could not have learned what he revealed at the press conference through the discovery process or other special access afforded to attorneys, for he spoke to the press on the day of indictment, at the outset of his formal participation in the criminal proceeding. We have before us no complaint from the prosecutors, police, or presiding judge that petitioner misused information to which he had special access. And there is no claim that petitioner revealed client confidences, which may be waived, in any event. Rule 177, on its face and as applied here, is neither limited to nor even directed at preventing release of information received through court proceedings or special access afforded attorneys. Cf. Butterworth v. Smith, 494 U.S. at 632-634. It goes far beyond this.</w:t>
      </w:r>
      <w:r w:rsidRPr="00A31137">
        <w:cr/>
      </w:r>
    </w:p>
    <w:p w:rsidR="00A31137" w:rsidRPr="00A31137" w:rsidRDefault="00A31137" w:rsidP="00A31137">
      <w:r w:rsidRPr="00A31137">
        <w:t>B</w:t>
      </w:r>
    </w:p>
    <w:p w:rsidR="00A31137" w:rsidRPr="00A31137" w:rsidRDefault="00A31137" w:rsidP="00A31137">
      <w:r w:rsidRPr="00A31137">
        <w:t>1991, Gentile v. State Bar of Nevada, 501 U.S. 1053</w:t>
      </w:r>
    </w:p>
    <w:p w:rsidR="00A31137" w:rsidRPr="00A31137" w:rsidRDefault="00A31137" w:rsidP="00A31137">
      <w:r w:rsidRPr="00A31137">
        <w:t>Respondent relies upon obiter dicta from In re Sawyer, 360 U.S. 622 (1959), Sheppard v. Maxwell, 384 U.S. 333 (1966), and Nebraska Press Assn. v. Stuart, 427 U.S. 539 (1976), for the proposition that an attorney's speech about ongoing proceedings must be subject to pervasive regulation in order to ensure the impartial adjudication of criminal proceedings. In re Sawyer involved general comments about Smith Act prosecutions, rather than the particular proceeding in which the attorney was involved, conduct which we held not sanctionable under the applicable ABA Canon of Professional Ethics, quite apart from any resort to First Amendment principles. Nebraska Press Assn. considered a challenge to a court order barring the press from reporting matters most prejudicial to the defendant's Sixth Amendment trial right, not information released by defense counsel. In Sheppard v. Maxwell, we overturned a conviction after a trial that can only be described as a circus, with the courtroom taken over by the press and jurors turned into media stars. The prejudice to Dr. Sheppard's fair trial right can be traced in principal [501 U.S. 1054] part to police and prosecutorial irresponsibility and the trial court's failure to control the proceedings and the courthouse environment. Each case suggests restrictions upon information release, but none confronted their permitted scope.</w:t>
      </w:r>
    </w:p>
    <w:p w:rsidR="00A31137" w:rsidRPr="00A31137" w:rsidRDefault="00A31137" w:rsidP="00A31137">
      <w:r w:rsidRPr="00A31137">
        <w:t>1991, Gentile v. State Bar of Nevada, 501 U.S. 1054</w:t>
      </w:r>
    </w:p>
    <w:p w:rsidR="00A31137" w:rsidRPr="00A31137" w:rsidRDefault="00A31137" w:rsidP="00A31137">
      <w:r w:rsidRPr="00A31137">
        <w:t>At the very least, our cases recognize that disciplinary rules governing the legal profession cannot punish activity protected by the First Amendment, and that First Amendment protection survives even when the attorney violates a disciplinary rule he swore to obey when admitted to the practice of law. See, e.g., In re Primus, 436 U.S. 412 (1978); Bates v. State Bar of Arizona, supra. We have not in recent years accepted our colleagues' apparent theory that the practice of law brings with it comprehensive restrictions, or that we will defer to professional bodies when those restrictions impinge upon First Amendment freedoms. And none of the justifications put forward by respondent suffice to sanction abandonment of our normal First Amendment principles in the case of speech by an attorney regarding pending cases.</w:t>
      </w:r>
    </w:p>
    <w:p w:rsidR="00A31137" w:rsidRPr="00A31137" w:rsidRDefault="00A31137" w:rsidP="00A31137">
      <w:r w:rsidRPr="00A31137">
        <w:t>V</w:t>
      </w:r>
    </w:p>
    <w:p w:rsidR="00A31137" w:rsidRPr="00A31137" w:rsidRDefault="00A31137" w:rsidP="00A31137">
      <w:r w:rsidRPr="00A31137">
        <w:t>1991, Gentile v. State Bar of Nevada, 501 U.S. 1054</w:t>
      </w:r>
    </w:p>
    <w:p w:rsidR="00A31137" w:rsidRPr="00A31137" w:rsidRDefault="00A31137" w:rsidP="00A31137">
      <w:r w:rsidRPr="00A31137">
        <w:t>Even if respondent is correct, and, as in Seattle Times, we must balance</w:t>
      </w:r>
    </w:p>
    <w:p w:rsidR="00A31137" w:rsidRPr="00A31137" w:rsidRDefault="00A31137" w:rsidP="00A31137">
      <w:r w:rsidRPr="00A31137">
        <w:t>1991, Gentile v. State Bar of Nevada, 501 U.S. 1054</w:t>
      </w:r>
    </w:p>
    <w:p w:rsidR="00A31137" w:rsidRPr="00A31137" w:rsidRDefault="00A31137" w:rsidP="00A31137">
      <w:r w:rsidRPr="00A31137">
        <w:t>whether the "practice in question [furthers] an important or substantial governmental interest unrelated to the suppression of expression" and whether "the limitation of First Amendment freedoms [is] no greater than is necessary or essential to the protection of the particular governmental interest involved,"</w:t>
      </w:r>
    </w:p>
    <w:p w:rsidR="00A31137" w:rsidRPr="00A31137" w:rsidRDefault="00A31137" w:rsidP="00A31137">
      <w:r w:rsidRPr="00A31137">
        <w:t>1991, Gentile v. State Bar of Nevada, 501 U.S. 1054</w:t>
      </w:r>
    </w:p>
    <w:p w:rsidR="00A31137" w:rsidRPr="00A31137" w:rsidRDefault="00A31137" w:rsidP="00A31137">
      <w:r w:rsidRPr="00A31137">
        <w:t>Seattle Times, supra at 32 (quoting Procunier v. Martinez, 416 U.S. 396, 413 (1974)), the Rule, as interpreted by Nevada, fails the searching inquiry required by those precedents.</w:t>
      </w:r>
    </w:p>
    <w:p w:rsidR="00A31137" w:rsidRPr="00A31137" w:rsidRDefault="00A31137" w:rsidP="00A31137">
      <w:r w:rsidRPr="00A31137">
        <w:t>A</w:t>
      </w:r>
    </w:p>
    <w:p w:rsidR="00A31137" w:rsidRPr="00A31137" w:rsidRDefault="00A31137" w:rsidP="00A31137">
      <w:r w:rsidRPr="00A31137">
        <w:t>1991, Gentile v. State Bar of Nevada, 501 U.S. 1054</w:t>
      </w:r>
    </w:p>
    <w:p w:rsidR="00A31137" w:rsidRPr="00A31137" w:rsidRDefault="00A31137" w:rsidP="00A31137">
      <w:r w:rsidRPr="00A31137">
        <w:t>Only the occasional case presents a danger of prejudice from pretrial publicity. Empirical research suggests that, in the few instances when jurors have been exposed to extensive and prejudicial publicity, they are able to disregard it [501 U.S. 1055] and base their verdict upon the evidence presented in court. See generally Simon, Does the Court's Decision in Nebraska Press Association Fit the Research Evidence on the Impact on Jurors of News Coverage?, 29 Stan.L.Rev. 515 (1977); Drechsel, An Alternative View of Media-Judiciary Relations: What the Non-Legal Evidence Suggests About the Fair Trial-Free Press Issue, 18 Hofstra L.Rev. 1 (1989). Voir dire can play an important role in reminding jurors to set aside out-of-court information and to decide the case upon the evidence presented at trial. All of these factors weigh in favor of affording an attorney's speech about ongoing proceedings our traditional First Amendment protections. Our colleagues' historical survey notwithstanding, respondent has not demonstrated any sufficient state interest in restricting the speech of attorneys to justify a lower standard of First Amendment scrutiny.</w:t>
      </w:r>
    </w:p>
    <w:p w:rsidR="00A31137" w:rsidRPr="00A31137" w:rsidRDefault="00A31137" w:rsidP="00A31137">
      <w:r w:rsidRPr="00A31137">
        <w:t>1991, Gentile v. State Bar of Nevada, 501 U.S. 1055</w:t>
      </w:r>
    </w:p>
    <w:p w:rsidR="00A31137" w:rsidRPr="00A31137" w:rsidRDefault="00A31137" w:rsidP="00A31137">
      <w:r w:rsidRPr="00A31137">
        <w:t>Still less justification exists for a lower standard of scrutiny here, as this speech involved not the prosecutor or police, but a criminal defense attorney. Respondent and its amici present not a single example where a defense attorney has managed by public statements to prejudice the prosecution of the State's case. Even discounting the obvious reason for a lack of appellate decisions on the topic—the difficulty of appealing a verdict of acquittal—the absence of anecdotal or survey evidence in a much-studied area of the law is remarkable.</w:t>
      </w:r>
    </w:p>
    <w:p w:rsidR="00A31137" w:rsidRPr="00A31137" w:rsidRDefault="00A31137" w:rsidP="00A31137">
      <w:r w:rsidRPr="00A31137">
        <w:t>1991, Gentile v. State Bar of Nevada, 501 U.S. 1055</w:t>
      </w:r>
    </w:p>
    <w:p w:rsidR="00A31137" w:rsidRPr="00A31137" w:rsidRDefault="00A31137" w:rsidP="00A31137">
      <w:r w:rsidRPr="00A31137">
        <w:t>The various bar association and advisory commission reports which resulted in promulgation of ABA Model Rule of Professional Conduct 3.6 (1981), and other regulations of attorney speech, and sources they cite, present no convincing case for restrictions upon the speech of defense attorneys. See Swift, Model Rule 3.6: An Unconstitutional Regulation of Defense Attorney Trial Publicity, 64 B.U.L.Rev. 1003, 1031-1049 (1984) (summarizing studies and concluding there is no empirical or anecdotal evidence of a need for restrictions on defense publicity); see also Drechsel, supra at 35 ("[D]ata [501 U.S. 1056] showing the heavy reliance of journalists on law enforcement sources and prosecutors confirms the appropriateness of focusing attention on those sources when attempting to control pretrial publicity"). The police, the prosecution, other government officials, and the community at large hold innumerable avenues for the dissemination of information adverse to a criminal defendant, many of which are not within the scope of Rule 177 or any other regulation. By contrast, a defendant cannot speak without fear of incriminating himself and prejudicing his defense, and most criminal defendants have insufficient means to retain a public relations team apart from defense counsel for the sole purpose of countering prosecution statements. These factors underscore my conclusion that blanket rules restricting speech of defense attorneys should not be accepted without careful First Amendment scrutiny.</w:t>
      </w:r>
    </w:p>
    <w:p w:rsidR="00A31137" w:rsidRPr="00A31137" w:rsidRDefault="00A31137" w:rsidP="00A31137">
      <w:r w:rsidRPr="00A31137">
        <w:t>B</w:t>
      </w:r>
    </w:p>
    <w:p w:rsidR="00A31137" w:rsidRPr="00A31137" w:rsidRDefault="00A31137" w:rsidP="00A31137">
      <w:r w:rsidRPr="00A31137">
        <w:t>1991, Gentile v. State Bar of Nevada, 501 U.S. 1056</w:t>
      </w:r>
    </w:p>
    <w:p w:rsidR="00A31137" w:rsidRPr="00A31137" w:rsidRDefault="00A31137" w:rsidP="00A31137">
      <w:r w:rsidRPr="00A31137">
        <w:t>Respondent uses the "officer of the court" label to imply that attorney contact with the press somehow is inimical to the attorney's proper role. Rule 177 posits no such inconsistency between an attorney's role and discussions with the press. It permits all comment to the press absent "a substantial likelihood of materially prejudicing an adjudicative proceeding." Respondent does not articulate the principle that contact with the press cannot be reconciled with the attorney's role or explain how this might be so.</w:t>
      </w:r>
    </w:p>
    <w:p w:rsidR="00A31137" w:rsidRPr="00A31137" w:rsidRDefault="00A31137" w:rsidP="00A31137">
      <w:r w:rsidRPr="00A31137">
        <w:t>1991, Gentile v. State Bar of Nevada, 501 U.S. 1056</w:t>
      </w:r>
    </w:p>
    <w:p w:rsidR="00A31137" w:rsidRPr="00A31137" w:rsidRDefault="00A31137" w:rsidP="00A31137">
      <w:r w:rsidRPr="00A31137">
        <w:t>Because attorneys participate in the criminal justice system and are trained in its complexities, they hold unique qualifications as a source of information about pending cases.</w:t>
      </w:r>
    </w:p>
    <w:p w:rsidR="00A31137" w:rsidRPr="00A31137" w:rsidRDefault="00A31137" w:rsidP="00A31137">
      <w:r w:rsidRPr="00A31137">
        <w:t>1991, Gentile v. State Bar of Nevada, 501 U.S. 1056</w:t>
      </w:r>
    </w:p>
    <w:p w:rsidR="00A31137" w:rsidRPr="00A31137" w:rsidRDefault="00A31137" w:rsidP="00A31137">
      <w:r w:rsidRPr="00A31137">
        <w:t>Since lawyers are considered credible in regard to pending litigation in which they are engaged and are in one of the most knowledgeable positions, they are a crucial source of information and opinion.</w:t>
      </w:r>
    </w:p>
    <w:p w:rsidR="00A31137" w:rsidRPr="00A31137" w:rsidRDefault="00A31137" w:rsidP="00A31137">
      <w:r w:rsidRPr="00A31137">
        <w:t>1991, Gentile v. State Bar of Nevada, 501 U.S. 1056</w:t>
      </w:r>
    </w:p>
    <w:p w:rsidR="00A31137" w:rsidRPr="00A31137" w:rsidRDefault="00A31137" w:rsidP="00A31137">
      <w:r w:rsidRPr="00A31137">
        <w:t>Chicago Council of Lawyers v. Bauer, 522 F.2d 242, 250 (CA7 1975). To the extent the press and public rely upon attorneys for information because attorneys are well informed, this may prove the value to the [501 U.S. 1057] public of speech by members of the bar. If the dangers of their speech arise from its persuasiveness, from their ability to explain judicial proceedings, or from the likelihood the speech will be believed, these are not the sort of dangers that can validate restrictions. The First Amendment does not permit suppression of speech because of its power to command assent.</w:t>
      </w:r>
    </w:p>
    <w:p w:rsidR="00A31137" w:rsidRPr="00A31137" w:rsidRDefault="00A31137" w:rsidP="00A31137">
      <w:r w:rsidRPr="00A31137">
        <w:t>1991, Gentile v. State Bar of Nevada, 501 U.S. 1057</w:t>
      </w:r>
    </w:p>
    <w:p w:rsidR="00A31137" w:rsidRPr="00A31137" w:rsidRDefault="00A31137" w:rsidP="00A31137">
      <w:r w:rsidRPr="00A31137">
        <w:t>One may concede the proposition that an attorney's speech about pending cases may present dangers that could not arise from statements by a nonparticipant, and that an attorney's duty to cooperate in the judicial process may prevent him or her from taking actions with an intent to frustrate that process. The role of attorneys in the criminal justice system subjects them to fiduciary obligations to the court and the parties. An attorney's position may result in some added ability to obstruct the proceedings through well timed statements to the press, though one can debate the extent of an attorney's ability to do so without violating other established duties. A court can require an attorney's cooperation to an extent not possible of nonparticipants. A proper weighing of dangers might consider the harm that occurs when speech about ongoing proceedings forces the court to take burdensome steps such as sequestration, continuance, or change of venue.</w:t>
      </w:r>
    </w:p>
    <w:p w:rsidR="00A31137" w:rsidRPr="00A31137" w:rsidRDefault="00A31137" w:rsidP="00A31137">
      <w:r w:rsidRPr="00A31137">
        <w:t>1991, Gentile v. State Bar of Nevada, 501 U.S. 1057</w:t>
      </w:r>
    </w:p>
    <w:p w:rsidR="00A31137" w:rsidRPr="00A31137" w:rsidRDefault="00A31137" w:rsidP="00A31137">
      <w:r w:rsidRPr="00A31137">
        <w:t>If, as a regular matter, speech by an attorney about pending cases raised real dangers of this kind, then a substantial governmental interest might support additional regulation of speech. But this case involves the sanction of speech so innocuous, and an application of Rule 177(3)'s safe harbor provision so begrudging, that it is difficult to determine the force these arguments would carry in a different setting. The instant case is a poor vehicle for defining with precision the outer limits under the Constitution of a court's ability to regulate an attorney's statements about ongoing adjudicative proceedings. At the very least, however, we can say that the Rule which punished petitioner's statement represents a limitation of First Amendment freedoms greater than is necessary [501 U.S. 1058] or essential to the protection of the particular governmental interest, and does not protect against a danger of the necessary gravity, imminence, or likelihood.</w:t>
      </w:r>
    </w:p>
    <w:p w:rsidR="00A31137" w:rsidRPr="00A31137" w:rsidRDefault="00A31137" w:rsidP="00A31137">
      <w:r w:rsidRPr="00A31137">
        <w:t>1991, Gentile v. State Bar of Nevada, 501 U.S. 1058</w:t>
      </w:r>
    </w:p>
    <w:p w:rsidR="00A31137" w:rsidRPr="00A31137" w:rsidRDefault="00A31137" w:rsidP="00A31137">
      <w:r w:rsidRPr="00A31137">
        <w:t>The vigorous advocacy we demand of the legal profession is accepted because it takes place under the neutral, dispassionate control of the judicial system. Though cost and delays undermine it in all too many cases, the American judicial trial remains one of the purest, most rational forums for the lawful determination of disputes. A profession which takes just pride in these traditions may consider them disserved if lawyers use their skills and insight to make untested allegations in the press, instead of in the courtroom. But constraints of professional responsibility and societal disapproval will act as sufficient safeguards in most cases. And, in some circumstances, press comment is necessary to protect the rights of the client and prevent abuse of the courts. It cannot be said that petitioner's conduct demonstrated any real or specific threat to the legal process, and his statements have the full protection of the First Amendment. 3</w:t>
      </w:r>
    </w:p>
    <w:p w:rsidR="00A31137" w:rsidRPr="00A31137" w:rsidRDefault="00A31137" w:rsidP="00A31137">
      <w:r w:rsidRPr="00A31137">
        <w:t>VI</w:t>
      </w:r>
    </w:p>
    <w:p w:rsidR="00A31137" w:rsidRPr="00A31137" w:rsidRDefault="00A31137" w:rsidP="00A31137">
      <w:r w:rsidRPr="00A31137">
        <w:t>1991, Gentile v. State Bar of Nevada, 501 U.S. 1058</w:t>
      </w:r>
    </w:p>
    <w:p w:rsidR="00A31137" w:rsidRPr="00A31137" w:rsidRDefault="00A31137" w:rsidP="00A31137">
      <w:r w:rsidRPr="00A31137">
        <w:t>The judgment of the Supreme Court of Nevada is</w:t>
      </w:r>
    </w:p>
    <w:p w:rsidR="00A31137" w:rsidRPr="00A31137" w:rsidRDefault="00A31137" w:rsidP="00A31137">
      <w:r w:rsidRPr="00A31137">
        <w:t>1991, Gentile v. State Bar of Nevada, 501 U.S. 1058</w:t>
      </w:r>
    </w:p>
    <w:p w:rsidR="00A31137" w:rsidRPr="00A31137" w:rsidRDefault="00A31137" w:rsidP="00A31137">
      <w:r w:rsidRPr="00A31137">
        <w:t xml:space="preserve">Reversed. [501 U.S. 1059] </w:t>
      </w:r>
    </w:p>
    <w:p w:rsidR="00A31137" w:rsidRPr="00A31137" w:rsidRDefault="00A31137" w:rsidP="00A31137">
      <w:r w:rsidRPr="00A31137">
        <w:t>APPENDIX TO OPINION OF KENNEDY, J.</w:t>
      </w:r>
    </w:p>
    <w:p w:rsidR="00A31137" w:rsidRPr="00A31137" w:rsidRDefault="00A31137" w:rsidP="00A31137">
      <w:r w:rsidRPr="00A31137">
        <w:t>Appendix A</w:t>
      </w:r>
    </w:p>
    <w:p w:rsidR="00A31137" w:rsidRPr="00A31137" w:rsidRDefault="00A31137" w:rsidP="00A31137">
      <w:r w:rsidRPr="00A31137">
        <w:t>Petitioner's Opening Remarks at the Press Conference of</w:t>
      </w:r>
    </w:p>
    <w:p w:rsidR="00A31137" w:rsidRPr="00A31137" w:rsidRDefault="00A31137" w:rsidP="00A31137">
      <w:r w:rsidRPr="00A31137">
        <w:t>February 5, 1988. App. to Pet. for Cert. 8a-9a.</w:t>
      </w:r>
    </w:p>
    <w:p w:rsidR="00A31137" w:rsidRPr="00A31137" w:rsidRDefault="00A31137" w:rsidP="00A31137">
      <w:r w:rsidRPr="00A31137">
        <w:t>1991, Gentile v. State Bar of Nevada, 501 U.S. 1059</w:t>
      </w:r>
    </w:p>
    <w:p w:rsidR="00A31137" w:rsidRPr="00A31137" w:rsidRDefault="00A31137" w:rsidP="00A31137">
      <w:r w:rsidRPr="00A31137">
        <w:t>MR. GENTILE: I want to start this off by saying in clear terms that I think that this indictment is a significant event in the history of the evolution of the sophistication of the City of Las Vegas, because things of this nature, of exactly this nature have happened in New York with the French connection case and in Miami with cases—at least two cases there—have happened in Chicago as well, but all three of those cities have been honest enough to indict the people who did it; the police department, crooked cops.</w:t>
      </w:r>
    </w:p>
    <w:p w:rsidR="00A31137" w:rsidRPr="00A31137" w:rsidRDefault="00A31137" w:rsidP="00A31137">
      <w:r w:rsidRPr="00A31137">
        <w:t>1991, Gentile v. State Bar of Nevada, 501 U.S. 1059</w:t>
      </w:r>
    </w:p>
    <w:p w:rsidR="00A31137" w:rsidRPr="00A31137" w:rsidRDefault="00A31137" w:rsidP="00A31137">
      <w:r w:rsidRPr="00A31137">
        <w:t>When this case goes to trial, and as it develops, you're going to see that the evidence will prove not only that Grady Sanders is an innocent person and had nothing to do with any of the charges that are being leveled against him, but that the person that was in the most direct position to have stolen the drugs and money, the American Express Travelers' checks, is Detective Steve Scholl.</w:t>
      </w:r>
    </w:p>
    <w:p w:rsidR="00A31137" w:rsidRPr="00A31137" w:rsidRDefault="00A31137" w:rsidP="00A31137">
      <w:r w:rsidRPr="00A31137">
        <w:t>1991, Gentile v. State Bar of Nevada, 501 U.S. 1059</w:t>
      </w:r>
    </w:p>
    <w:p w:rsidR="00A31137" w:rsidRPr="00A31137" w:rsidRDefault="00A31137" w:rsidP="00A31137">
      <w:r w:rsidRPr="00A31137">
        <w:t>There is far more evidence that will establish that Detective Scholl took these drugs and took these American Express Travelers' checks than any other living human being.</w:t>
      </w:r>
    </w:p>
    <w:p w:rsidR="00A31137" w:rsidRPr="00A31137" w:rsidRDefault="00A31137" w:rsidP="00A31137">
      <w:r w:rsidRPr="00A31137">
        <w:t>1991, Gentile v. State Bar of Nevada, 501 U.S. 1059</w:t>
      </w:r>
    </w:p>
    <w:p w:rsidR="00A31137" w:rsidRPr="00A31137" w:rsidRDefault="00A31137" w:rsidP="00A31137">
      <w:r w:rsidRPr="00A31137">
        <w:t>And I have to say that I feel that Grady Sanders is being used as a scapegoat to try to cover up for what has to be obvious to people at the Las Vegas Metropolitan Police Department and at the District Attorney's office.</w:t>
      </w:r>
    </w:p>
    <w:p w:rsidR="00A31137" w:rsidRPr="00A31137" w:rsidRDefault="00A31137" w:rsidP="00A31137">
      <w:r w:rsidRPr="00A31137">
        <w:t>1991, Gentile v. State Bar of Nevada, 501 U.S. 1059</w:t>
      </w:r>
    </w:p>
    <w:p w:rsidR="00A31137" w:rsidRPr="00A31137" w:rsidRDefault="00A31137" w:rsidP="00A31137">
      <w:r w:rsidRPr="00A31137">
        <w:t xml:space="preserve">Now, with respect to these other charges that are contained in this indictment, the so-called other victims, as I sit here today, I can tell you that one, two—four of them are known drug dealers and convicted money launderers and drug dealers, three of whom didn't say a word about anything until after they were approached by Metro, and after they were already in trouble and are trying to work themselves out of something. [501 U.S. 1060] </w:t>
      </w:r>
    </w:p>
    <w:p w:rsidR="00A31137" w:rsidRPr="00A31137" w:rsidRDefault="00A31137" w:rsidP="00A31137">
      <w:r w:rsidRPr="00A31137">
        <w:t>1991, Gentile v. State Bar of Nevada, 501 U.S. 1060</w:t>
      </w:r>
    </w:p>
    <w:p w:rsidR="00A31137" w:rsidRPr="00A31137" w:rsidRDefault="00A31137" w:rsidP="00A31137">
      <w:r w:rsidRPr="00A31137">
        <w:t>Now, up until the moment, of course, that they started going along with what detectives from Metro wanted them to say, these people were being held out as being incredible and liars by the very same people who are going to say now that you can believe them.</w:t>
      </w:r>
    </w:p>
    <w:p w:rsidR="00A31137" w:rsidRPr="00A31137" w:rsidRDefault="00A31137" w:rsidP="00A31137">
      <w:r w:rsidRPr="00A31137">
        <w:t>1991, Gentile v. State Bar of Nevada, 501 U.S. 1060</w:t>
      </w:r>
    </w:p>
    <w:p w:rsidR="00A31137" w:rsidRPr="00A31137" w:rsidRDefault="00A31137" w:rsidP="00A31137">
      <w:r w:rsidRPr="00A31137">
        <w:t>Another problem that you are going to see develop here is the fact that, of these other counts, at least four of them said nothing about any of this, about anything being missing until after the Las Vegas Metropolitan Police Department announced publicly last year their claim that drugs and American Express Travelers' c[h]ecks were missing.</w:t>
      </w:r>
    </w:p>
    <w:p w:rsidR="00A31137" w:rsidRPr="00A31137" w:rsidRDefault="00A31137" w:rsidP="00A31137">
      <w:r w:rsidRPr="00A31137">
        <w:t>1991, Gentile v. State Bar of Nevada, 501 U.S. 1060</w:t>
      </w:r>
    </w:p>
    <w:p w:rsidR="00A31137" w:rsidRPr="00A31137" w:rsidRDefault="00A31137" w:rsidP="00A31137">
      <w:r w:rsidRPr="00A31137">
        <w:t>Many of the contracts that these people had show on the face of the contract that there is $100,000 in insurance for the contents of the box.</w:t>
      </w:r>
    </w:p>
    <w:p w:rsidR="00A31137" w:rsidRPr="00A31137" w:rsidRDefault="00A31137" w:rsidP="00A31137">
      <w:r w:rsidRPr="00A31137">
        <w:t>1991, Gentile v. State Bar of Nevada, 501 U.S. 1060</w:t>
      </w:r>
    </w:p>
    <w:p w:rsidR="00A31137" w:rsidRPr="00A31137" w:rsidRDefault="00A31137" w:rsidP="00A31137">
      <w:r w:rsidRPr="00A31137">
        <w:t>If you look at the indictment very closely, you're going to see that these claims fall under $100,000.</w:t>
      </w:r>
    </w:p>
    <w:p w:rsidR="00A31137" w:rsidRPr="00A31137" w:rsidRDefault="00A31137" w:rsidP="00A31137">
      <w:r w:rsidRPr="00A31137">
        <w:t>1991, Gentile v. State Bar of Nevada, 501 U.S. 1060</w:t>
      </w:r>
    </w:p>
    <w:p w:rsidR="00A31137" w:rsidRPr="00A31137" w:rsidRDefault="00A31137" w:rsidP="00A31137">
      <w:r w:rsidRPr="00A31137">
        <w:t>Finally, there were only two claims on the face of the indictment that came to our attention prior to the events of January 31 of '87, that being the date that Metro said that there was something missing from their box.</w:t>
      </w:r>
    </w:p>
    <w:p w:rsidR="00A31137" w:rsidRPr="00A31137" w:rsidRDefault="00A31137" w:rsidP="00A31137">
      <w:r w:rsidRPr="00A31137">
        <w:t>1991, Gentile v. State Bar of Nevada, 501 U.S. 1060</w:t>
      </w:r>
    </w:p>
    <w:p w:rsidR="00A31137" w:rsidRPr="00A31137" w:rsidRDefault="00A31137" w:rsidP="00A31137">
      <w:r w:rsidRPr="00A31137">
        <w:t>And both of these claims were dealt with by Mr. Sanders, and we're dealing here essentially with people that we're not sure if they ever had anything in the box.</w:t>
      </w:r>
    </w:p>
    <w:p w:rsidR="00A31137" w:rsidRPr="00A31137" w:rsidRDefault="00A31137" w:rsidP="00A31137">
      <w:r w:rsidRPr="00A31137">
        <w:t>1991, Gentile v. State Bar of Nevada, 501 U.S. 1060</w:t>
      </w:r>
    </w:p>
    <w:p w:rsidR="00A31137" w:rsidRPr="00A31137" w:rsidRDefault="00A31137" w:rsidP="00A31137">
      <w:r w:rsidRPr="00A31137">
        <w:t>That's about all that I have to say.</w:t>
      </w:r>
    </w:p>
    <w:p w:rsidR="00A31137" w:rsidRPr="00A31137" w:rsidRDefault="00A31137" w:rsidP="00A31137">
      <w:r w:rsidRPr="00A31137">
        <w:t>1991, Gentile v. State Bar of Nevada, 501 U.S. 1060</w:t>
      </w:r>
    </w:p>
    <w:p w:rsidR="00A31137" w:rsidRPr="00A31137" w:rsidRDefault="00A31137" w:rsidP="00A31137">
      <w:r w:rsidRPr="00A31137">
        <w:t>[Questions from the floor followed.]</w:t>
      </w:r>
    </w:p>
    <w:p w:rsidR="00A31137" w:rsidRPr="00A31137" w:rsidRDefault="00A31137" w:rsidP="00A31137">
      <w:r w:rsidRPr="00A31137">
        <w:t>Appendix B</w:t>
      </w:r>
    </w:p>
    <w:p w:rsidR="00A31137" w:rsidRPr="00A31137" w:rsidRDefault="00A31137" w:rsidP="00A31137">
      <w:r w:rsidRPr="00A31137">
        <w:t>Nevada Supreme Court Rule 177, as in effect</w:t>
      </w:r>
    </w:p>
    <w:p w:rsidR="00A31137" w:rsidRPr="00A31137" w:rsidRDefault="00A31137" w:rsidP="00A31137">
      <w:r w:rsidRPr="00A31137">
        <w:t>prior to January 5, 1991.</w:t>
      </w:r>
    </w:p>
    <w:p w:rsidR="00A31137" w:rsidRPr="00A31137" w:rsidRDefault="00A31137" w:rsidP="00A31137">
      <w:r w:rsidRPr="00A31137">
        <w:t>1991, Gentile v. State Bar of Nevada, 501 U.S. 1060</w:t>
      </w:r>
    </w:p>
    <w:p w:rsidR="00A31137" w:rsidRPr="00A31137" w:rsidRDefault="00A31137" w:rsidP="00A31137">
      <w:r w:rsidRPr="00A31137">
        <w:t>Trial Publicity</w:t>
      </w:r>
    </w:p>
    <w:p w:rsidR="00A31137" w:rsidRPr="00A31137" w:rsidRDefault="00A31137" w:rsidP="00A31137">
      <w:r w:rsidRPr="00A31137">
        <w:t>1991, Gentile v. State Bar of Nevada, 501 U.S. 1060</w:t>
      </w:r>
    </w:p>
    <w:p w:rsidR="00A31137" w:rsidRPr="00A31137" w:rsidRDefault="00A31137" w:rsidP="00A31137">
      <w:r w:rsidRPr="00A31137">
        <w:t xml:space="preserve">1. A lawyer shall not make an extrajudicial statement that a reasonable person would expect to be disseminated by means of public communication if the lawyer knows or reasonably should know that it will have a substantial likelihood of materially prejudicing an adjudicative proceeding. [501 U.S. 1061] </w:t>
      </w:r>
    </w:p>
    <w:p w:rsidR="00A31137" w:rsidRPr="00A31137" w:rsidRDefault="00A31137" w:rsidP="00A31137">
      <w:r w:rsidRPr="00A31137">
        <w:t>1991, Gentile v. State Bar of Nevada, 501 U.S. 1061</w:t>
      </w:r>
    </w:p>
    <w:p w:rsidR="00A31137" w:rsidRPr="00A31137" w:rsidRDefault="00A31137" w:rsidP="00A31137">
      <w:r w:rsidRPr="00A31137">
        <w:t>2. A statement referred to in subsection 1 ordinarily is likely to have such an effect when it refers to a civil matter triable to a jury, a criminal matter, or any other proceeding that could result in incarceration, and the statement relates to:</w:t>
      </w:r>
    </w:p>
    <w:p w:rsidR="00A31137" w:rsidRPr="00A31137" w:rsidRDefault="00A31137" w:rsidP="00A31137">
      <w:r w:rsidRPr="00A31137">
        <w:t>1991, Gentile v. State Bar of Nevada, 501 U.S. 1061</w:t>
      </w:r>
    </w:p>
    <w:p w:rsidR="00A31137" w:rsidRPr="00A31137" w:rsidRDefault="00A31137" w:rsidP="00A31137">
      <w:r w:rsidRPr="00A31137">
        <w:t>(a) the character, credibility, reputation or criminal record of a party, suspect in a criminal investigation or witness, or the identity of a witness, or the expected testimony of a party or witness;</w:t>
      </w:r>
    </w:p>
    <w:p w:rsidR="00A31137" w:rsidRPr="00A31137" w:rsidRDefault="00A31137" w:rsidP="00A31137">
      <w:r w:rsidRPr="00A31137">
        <w:t>1991, Gentile v. State Bar of Nevada, 501 U.S. 1061</w:t>
      </w:r>
    </w:p>
    <w:p w:rsidR="00A31137" w:rsidRPr="00A31137" w:rsidRDefault="00A31137" w:rsidP="00A31137">
      <w:r w:rsidRPr="00A31137">
        <w:t>(b) in a criminal case or proceeding that could result in incarceration, the possibility of a plea of guilty to the offense or the existence or contents of any confession, admission, or statement given by a defendant or suspect or that person's refusal or failure to make a statement;</w:t>
      </w:r>
    </w:p>
    <w:p w:rsidR="00A31137" w:rsidRPr="00A31137" w:rsidRDefault="00A31137" w:rsidP="00A31137">
      <w:r w:rsidRPr="00A31137">
        <w:t>1991, Gentile v. State Bar of Nevada, 501 U.S. 1061</w:t>
      </w:r>
    </w:p>
    <w:p w:rsidR="00A31137" w:rsidRPr="00A31137" w:rsidRDefault="00A31137" w:rsidP="00A31137">
      <w:r w:rsidRPr="00A31137">
        <w:t>(c) the performance or results of any examination or test or the refusal or failure of a person to submit to an examination or test, or the identity or nature of physical evidence expected to be presented;</w:t>
      </w:r>
    </w:p>
    <w:p w:rsidR="00A31137" w:rsidRPr="00A31137" w:rsidRDefault="00A31137" w:rsidP="00A31137">
      <w:r w:rsidRPr="00A31137">
        <w:t>1991, Gentile v. State Bar of Nevada, 501 U.S. 1061</w:t>
      </w:r>
    </w:p>
    <w:p w:rsidR="00A31137" w:rsidRPr="00A31137" w:rsidRDefault="00A31137" w:rsidP="00A31137">
      <w:r w:rsidRPr="00A31137">
        <w:t>(d) any opinion as to the guilt or innocence of a defendant or suspect in a criminal case or proceeding that could result in incarceration;</w:t>
      </w:r>
    </w:p>
    <w:p w:rsidR="00A31137" w:rsidRPr="00A31137" w:rsidRDefault="00A31137" w:rsidP="00A31137">
      <w:r w:rsidRPr="00A31137">
        <w:t>1991, Gentile v. State Bar of Nevada, 501 U.S. 1061</w:t>
      </w:r>
    </w:p>
    <w:p w:rsidR="00A31137" w:rsidRPr="00A31137" w:rsidRDefault="00A31137" w:rsidP="00A31137">
      <w:r w:rsidRPr="00A31137">
        <w:t>(e) information the lawyer knows or reasonably should know is likely to be inadmissible as evidence in a trial and would if disclosed create a substantial risk of prejudicing an impartial trial; or</w:t>
      </w:r>
    </w:p>
    <w:p w:rsidR="00A31137" w:rsidRPr="00A31137" w:rsidRDefault="00A31137" w:rsidP="00A31137">
      <w:r w:rsidRPr="00A31137">
        <w:t>1991, Gentile v. State Bar of Nevada, 501 U.S. 1061</w:t>
      </w:r>
    </w:p>
    <w:p w:rsidR="00A31137" w:rsidRPr="00A31137" w:rsidRDefault="00A31137" w:rsidP="00A31137">
      <w:r w:rsidRPr="00A31137">
        <w:t>(f) the fact that a defendant has been charged with a crime, unless there is included therein a statement explaining that the charge is merely an accusation and that the defendant is presumed innocent until and unless proven guilty.</w:t>
      </w:r>
    </w:p>
    <w:p w:rsidR="00A31137" w:rsidRPr="00A31137" w:rsidRDefault="00A31137" w:rsidP="00A31137">
      <w:r w:rsidRPr="00A31137">
        <w:t>1991, Gentile v. State Bar of Nevada, 501 U.S. 1061</w:t>
      </w:r>
    </w:p>
    <w:p w:rsidR="00A31137" w:rsidRPr="00A31137" w:rsidRDefault="00A31137" w:rsidP="00A31137">
      <w:r w:rsidRPr="00A31137">
        <w:t>3. Notwithstanding subsection 1 and 2(a-f), a lawyer involved in the investigation or litigation of a matter may state without elaboration:</w:t>
      </w:r>
    </w:p>
    <w:p w:rsidR="00A31137" w:rsidRPr="00A31137" w:rsidRDefault="00A31137" w:rsidP="00A31137">
      <w:r w:rsidRPr="00A31137">
        <w:t>1991, Gentile v. State Bar of Nevada, 501 U.S. 1061</w:t>
      </w:r>
    </w:p>
    <w:p w:rsidR="00A31137" w:rsidRPr="00A31137" w:rsidRDefault="00A31137" w:rsidP="00A31137">
      <w:r w:rsidRPr="00A31137">
        <w:t xml:space="preserve">(a) the general nature of the claim or defense; [501 U.S. 1062] </w:t>
      </w:r>
    </w:p>
    <w:p w:rsidR="00A31137" w:rsidRPr="00A31137" w:rsidRDefault="00A31137" w:rsidP="00A31137">
      <w:r w:rsidRPr="00A31137">
        <w:t>1991, Gentile v. State Bar of Nevada, 501 U.S. 1062</w:t>
      </w:r>
    </w:p>
    <w:p w:rsidR="00A31137" w:rsidRPr="00A31137" w:rsidRDefault="00A31137" w:rsidP="00A31137">
      <w:r w:rsidRPr="00A31137">
        <w:t>(b) the information contained in a public record;</w:t>
      </w:r>
    </w:p>
    <w:p w:rsidR="00A31137" w:rsidRPr="00A31137" w:rsidRDefault="00A31137" w:rsidP="00A31137">
      <w:r w:rsidRPr="00A31137">
        <w:t>1991, Gentile v. State Bar of Nevada, 501 U.S. 1062</w:t>
      </w:r>
    </w:p>
    <w:p w:rsidR="00A31137" w:rsidRPr="00A31137" w:rsidRDefault="00A31137" w:rsidP="00A31137">
      <w:r w:rsidRPr="00A31137">
        <w:t>(c) that an investigation of the matter is in progress, including the general scope of the investigation, the offense or claim or defense involved and, except when prohibited by law, the identity of the persons involved;</w:t>
      </w:r>
    </w:p>
    <w:p w:rsidR="00A31137" w:rsidRPr="00A31137" w:rsidRDefault="00A31137" w:rsidP="00A31137">
      <w:r w:rsidRPr="00A31137">
        <w:t>1991, Gentile v. State Bar of Nevada, 501 U.S. 1062</w:t>
      </w:r>
    </w:p>
    <w:p w:rsidR="00A31137" w:rsidRPr="00A31137" w:rsidRDefault="00A31137" w:rsidP="00A31137">
      <w:r w:rsidRPr="00A31137">
        <w:t>(d) the scheduling or result of any step in litigation;</w:t>
      </w:r>
    </w:p>
    <w:p w:rsidR="00A31137" w:rsidRPr="00A31137" w:rsidRDefault="00A31137" w:rsidP="00A31137">
      <w:r w:rsidRPr="00A31137">
        <w:t>1991, Gentile v. State Bar of Nevada, 501 U.S. 1062</w:t>
      </w:r>
    </w:p>
    <w:p w:rsidR="00A31137" w:rsidRPr="00A31137" w:rsidRDefault="00A31137" w:rsidP="00A31137">
      <w:r w:rsidRPr="00A31137">
        <w:t>(e) a request for assistance in obtaining evidence and information necessary thereto;</w:t>
      </w:r>
    </w:p>
    <w:p w:rsidR="00A31137" w:rsidRPr="00A31137" w:rsidRDefault="00A31137" w:rsidP="00A31137">
      <w:r w:rsidRPr="00A31137">
        <w:t>1991, Gentile v. State Bar of Nevada, 501 U.S. 1062</w:t>
      </w:r>
    </w:p>
    <w:p w:rsidR="00A31137" w:rsidRPr="00A31137" w:rsidRDefault="00A31137" w:rsidP="00A31137">
      <w:r w:rsidRPr="00A31137">
        <w:t>(f) a warning of danger concerning the behavior of a person involved, when there is reason to believe that there exists the likelihood of substantial harm to an individual or to the public interest; and</w:t>
      </w:r>
    </w:p>
    <w:p w:rsidR="00A31137" w:rsidRPr="00A31137" w:rsidRDefault="00A31137" w:rsidP="00A31137">
      <w:r w:rsidRPr="00A31137">
        <w:t>1991, Gentile v. State Bar of Nevada, 501 U.S. 1062</w:t>
      </w:r>
    </w:p>
    <w:p w:rsidR="00A31137" w:rsidRPr="00A31137" w:rsidRDefault="00A31137" w:rsidP="00A31137">
      <w:r w:rsidRPr="00A31137">
        <w:t>(g) in a criminal case:</w:t>
      </w:r>
    </w:p>
    <w:p w:rsidR="00A31137" w:rsidRPr="00A31137" w:rsidRDefault="00A31137" w:rsidP="00A31137">
      <w:r w:rsidRPr="00A31137">
        <w:t>1991, Gentile v. State Bar of Nevada, 501 U.S. 1062</w:t>
      </w:r>
    </w:p>
    <w:p w:rsidR="00A31137" w:rsidRPr="00A31137" w:rsidRDefault="00A31137" w:rsidP="00A31137">
      <w:r w:rsidRPr="00A31137">
        <w:tab/>
        <w:t>(i) the identity, residence, occupation and family status of the accused;</w:t>
      </w:r>
    </w:p>
    <w:p w:rsidR="00A31137" w:rsidRPr="00A31137" w:rsidRDefault="00A31137" w:rsidP="00A31137">
      <w:r w:rsidRPr="00A31137">
        <w:t>1991, Gentile v. State Bar of Nevada, 501 U.S. 1062</w:t>
      </w:r>
    </w:p>
    <w:p w:rsidR="00A31137" w:rsidRPr="00A31137" w:rsidRDefault="00A31137" w:rsidP="00A31137">
      <w:r w:rsidRPr="00A31137">
        <w:tab/>
        <w:t>(ii) if the accused has not been apprehended, information necessary to aid in apprehension of that person;</w:t>
      </w:r>
    </w:p>
    <w:p w:rsidR="00A31137" w:rsidRPr="00A31137" w:rsidRDefault="00A31137" w:rsidP="00A31137">
      <w:r w:rsidRPr="00A31137">
        <w:t>1991, Gentile v. State Bar of Nevada, 501 U.S. 1062</w:t>
      </w:r>
    </w:p>
    <w:p w:rsidR="00A31137" w:rsidRPr="00A31137" w:rsidRDefault="00A31137" w:rsidP="00A31137">
      <w:r w:rsidRPr="00A31137">
        <w:tab/>
        <w:t>(iii) the fact, time and place of arrest; and</w:t>
      </w:r>
    </w:p>
    <w:p w:rsidR="00A31137" w:rsidRPr="00A31137" w:rsidRDefault="00A31137" w:rsidP="00A31137">
      <w:r w:rsidRPr="00A31137">
        <w:t>1991, Gentile v. State Bar of Nevada, 501 U.S. 1062</w:t>
      </w:r>
    </w:p>
    <w:p w:rsidR="00A31137" w:rsidRPr="00A31137" w:rsidRDefault="00A31137" w:rsidP="00A31137">
      <w:r w:rsidRPr="00A31137">
        <w:tab/>
        <w:t>(iv) the identity of investigating and arresting officers or agencies and the length of the investigation.</w:t>
      </w:r>
    </w:p>
    <w:p w:rsidR="00A31137" w:rsidRPr="00A31137" w:rsidRDefault="00A31137" w:rsidP="00A31137">
      <w:r w:rsidRPr="00A31137">
        <w:t>REHNQUIST, J., lead opinion</w:t>
      </w:r>
    </w:p>
    <w:p w:rsidR="00A31137" w:rsidRPr="00A31137" w:rsidRDefault="00A31137" w:rsidP="00A31137">
      <w:r w:rsidRPr="00A31137">
        <w:t>1991, Gentile v. State Bar of Nevada, 501 U.S. 1062</w:t>
      </w:r>
    </w:p>
    <w:p w:rsidR="00A31137" w:rsidRPr="00A31137" w:rsidRDefault="00A31137" w:rsidP="00A31137">
      <w:r w:rsidRPr="00A31137">
        <w:t>CHIEF JUSTICE REHNQUIST delivered the opinion of the Court with respect to Parts I and II, and delivered a dissenting opinion with respect to Part III, in which JUSTICE WHITE, JUSTICE SCALIA, and JUSTICE SOUTER join.</w:t>
      </w:r>
    </w:p>
    <w:p w:rsidR="00A31137" w:rsidRPr="00A31137" w:rsidRDefault="00A31137" w:rsidP="00A31137">
      <w:r w:rsidRPr="00A31137">
        <w:t>1991, Gentile v. State Bar of Nevada, 501 U.S. 1062</w:t>
      </w:r>
    </w:p>
    <w:p w:rsidR="00A31137" w:rsidRPr="00A31137" w:rsidRDefault="00A31137" w:rsidP="00A31137">
      <w:r w:rsidRPr="00A31137">
        <w:t>Petitioner was disciplined for making statements to the press about a pending case in which he represented a criminal defendant. The state bar, and the Supreme Court of Nevada on review, found that petitioner knew or should have known that there was a substantial likelihood that his statements would materially prejudice the trial of his client. Nonetheless, petitioner contends that the First Amendment to the United States Constitution requires a stricter standard to be met before such speech by an attorney may be disciplined: [501 U.S. 1063] there must be a finding of "actual prejudice or a substantial and imminent threat to fair trial." Brief for Petitioner 15. We conclude that the "substantial likelihood of material prejudice" standard applied by Nevada and most other States satisfies the First Amendment.</w:t>
      </w:r>
    </w:p>
    <w:p w:rsidR="00A31137" w:rsidRPr="00A31137" w:rsidRDefault="00A31137" w:rsidP="00A31137">
      <w:r w:rsidRPr="00A31137">
        <w:t>I</w:t>
      </w:r>
    </w:p>
    <w:p w:rsidR="00A31137" w:rsidRPr="00A31137" w:rsidRDefault="00A31137" w:rsidP="00A31137">
      <w:r w:rsidRPr="00A31137">
        <w:t>1991, Gentile v. State Bar of Nevada, 501 U.S. 1063</w:t>
      </w:r>
    </w:p>
    <w:p w:rsidR="00A31137" w:rsidRPr="00A31137" w:rsidRDefault="00A31137" w:rsidP="00A31137">
      <w:r w:rsidRPr="00A31137">
        <w:t>Petitioner's client was the subject of a highly publicized case, and, in response to adverse publicity about his client, Gentile held a press conference on the day after Sanders was indicted. At the press conference, petitioner made, among others, the following statements:</w:t>
      </w:r>
    </w:p>
    <w:p w:rsidR="00A31137" w:rsidRPr="00A31137" w:rsidRDefault="00A31137" w:rsidP="00A31137">
      <w:r w:rsidRPr="00A31137">
        <w:t>1991, Gentile v. State Bar of Nevada, 501 U.S. 1063</w:t>
      </w:r>
    </w:p>
    <w:p w:rsidR="00A31137" w:rsidRPr="00A31137" w:rsidRDefault="00A31137" w:rsidP="00A31137">
      <w:r w:rsidRPr="00A31137">
        <w:t>When this case goes to trial, and as it develops, you're going to see that the evidence will prove not only that Grady Sanders is an innocent person and had nothing to do with any of the charges that are being leveled against him, but that the person that was in the most direct position to have stolen the drugs and the money, the American Express Travelers' checks, is Detective Steve Scholl.</w:t>
      </w:r>
    </w:p>
    <w:p w:rsidR="00A31137" w:rsidRPr="00A31137" w:rsidRDefault="00A31137" w:rsidP="00A31137">
      <w:r w:rsidRPr="00A31137">
        <w:t>1991, Gentile v. State Bar of Nevada, 501 U.S. 1063</w:t>
      </w:r>
    </w:p>
    <w:p w:rsidR="00A31137" w:rsidRPr="00A31137" w:rsidRDefault="00A31137" w:rsidP="00A31137">
      <w:r w:rsidRPr="00A31137">
        <w:t>There is far more evidence that will establish that Detective Scholl took these drugs and took these American Express Travelers' checks than any other living human being.</w:t>
      </w:r>
    </w:p>
    <w:p w:rsidR="00A31137" w:rsidRPr="00A31137" w:rsidRDefault="00A31137" w:rsidP="00A31137">
      <w:r w:rsidRPr="00A31137">
        <w:t>*    *    *    *</w:t>
      </w:r>
    </w:p>
    <w:p w:rsidR="00A31137" w:rsidRPr="00A31137" w:rsidRDefault="00A31137" w:rsidP="00A31137">
      <w:r w:rsidRPr="00A31137">
        <w:t>1991, Gentile v. State Bar of Nevada, 501 U.S. 1063</w:t>
      </w:r>
    </w:p>
    <w:p w:rsidR="00A31137" w:rsidRPr="00A31137" w:rsidRDefault="00A31137" w:rsidP="00A31137">
      <w:r w:rsidRPr="00A31137">
        <w:t>…the so-called other victims, as I sit here today, I can tell you that one, two—four of them are known drug dealers and convicted money launderers and drug dealers, three of whom didn't say a word about anything until after they were approached by Metro and after they were already in trouble and are trying to work themselves out of something.</w:t>
      </w:r>
    </w:p>
    <w:p w:rsidR="00A31137" w:rsidRPr="00A31137" w:rsidRDefault="00A31137" w:rsidP="00A31137">
      <w:r w:rsidRPr="00A31137">
        <w:t>1991, Gentile v. State Bar of Nevada, 501 U.S. 1063</w:t>
      </w:r>
    </w:p>
    <w:p w:rsidR="00A31137" w:rsidRPr="00A31137" w:rsidRDefault="00A31137" w:rsidP="00A31137">
      <w:r w:rsidRPr="00A31137">
        <w:t>Now, up until the moment, of course, that they started going along with what detectives from Metro wanted them to say, these people were being held out as being incredible and liars by the very same people who [501 U.S. 1064] are going to say now that you can believe them.</w:t>
      </w:r>
    </w:p>
    <w:p w:rsidR="00A31137" w:rsidRPr="00A31137" w:rsidRDefault="00A31137" w:rsidP="00A31137">
      <w:r w:rsidRPr="00A31137">
        <w:t>1991, Gentile v. State Bar of Nevada, 501 U.S. 1064</w:t>
      </w:r>
    </w:p>
    <w:p w:rsidR="00A31137" w:rsidRPr="00A31137" w:rsidRDefault="00A31137" w:rsidP="00A31137">
      <w:r w:rsidRPr="00A31137">
        <w:t>App. to Pet. for Cert. 8a-9a.</w:t>
      </w:r>
    </w:p>
    <w:p w:rsidR="00A31137" w:rsidRPr="00A31137" w:rsidRDefault="00A31137" w:rsidP="00A31137">
      <w:r w:rsidRPr="00A31137">
        <w:t>1991, Gentile v. State Bar of Nevada, 501 U.S. 1064</w:t>
      </w:r>
    </w:p>
    <w:p w:rsidR="00A31137" w:rsidRPr="00A31137" w:rsidRDefault="00A31137" w:rsidP="00A31137">
      <w:r w:rsidRPr="00A31137">
        <w:t>The following statements were in response to questions from members of the press:</w:t>
      </w:r>
    </w:p>
    <w:p w:rsidR="00A31137" w:rsidRPr="00A31137" w:rsidRDefault="00A31137" w:rsidP="00A31137">
      <w:r w:rsidRPr="00A31137">
        <w:t>1991, Gentile v. State Bar of Nevada, 501 U.S. 1064</w:t>
      </w:r>
    </w:p>
    <w:p w:rsidR="00A31137" w:rsidRPr="00A31137" w:rsidRDefault="00A31137" w:rsidP="00A31137">
      <w:r w:rsidRPr="00A31137">
        <w:t>…because of the stigma that attaches to merely being accused—okay—I know I represent an innocent man…. The last time I had a conference with you was with a client, and I let him talk to you and I told you that that case would be dismissed, and it was. Okay?</w:t>
      </w:r>
    </w:p>
    <w:p w:rsidR="00A31137" w:rsidRPr="00A31137" w:rsidRDefault="00A31137" w:rsidP="00A31137">
      <w:r w:rsidRPr="00A31137">
        <w:t>1991, Gentile v. State Bar of Nevada, 501 U.S. 1064</w:t>
      </w:r>
    </w:p>
    <w:p w:rsidR="00A31137" w:rsidRPr="00A31137" w:rsidRDefault="00A31137" w:rsidP="00A31137">
      <w:r w:rsidRPr="00A31137">
        <w:t>I don't take cheap shots like this. I represent an innocent guy. All right?</w:t>
      </w:r>
    </w:p>
    <w:p w:rsidR="00A31137" w:rsidRPr="00A31137" w:rsidRDefault="00A31137" w:rsidP="00A31137">
      <w:r w:rsidRPr="00A31137">
        <w:t>*    *    *    *</w:t>
      </w:r>
    </w:p>
    <w:p w:rsidR="00A31137" w:rsidRPr="00A31137" w:rsidRDefault="00A31137" w:rsidP="00A31137">
      <w:r w:rsidRPr="00A31137">
        <w:t>1991, Gentile v. State Bar of Nevada, 501 U.S. 1064</w:t>
      </w:r>
    </w:p>
    <w:p w:rsidR="00A31137" w:rsidRPr="00A31137" w:rsidRDefault="00A31137" w:rsidP="00A31137">
      <w:r w:rsidRPr="00A31137">
        <w:t>[The police] were playing very fast and loose…. We've got some video tapes that, if you take a look at them, I'll tell you what, [Detective Scholl] either had a hell of a cold or he should have seen a better doctor.</w:t>
      </w:r>
    </w:p>
    <w:p w:rsidR="00A31137" w:rsidRPr="00A31137" w:rsidRDefault="00A31137" w:rsidP="00A31137">
      <w:r w:rsidRPr="00A31137">
        <w:t>1991, Gentile v. State Bar of Nevada, 501 U.S. 1064</w:t>
      </w:r>
    </w:p>
    <w:p w:rsidR="00A31137" w:rsidRPr="00A31137" w:rsidRDefault="00A31137" w:rsidP="00A31137">
      <w:r w:rsidRPr="00A31137">
        <w:t>Id. at 12a, 14a.</w:t>
      </w:r>
    </w:p>
    <w:p w:rsidR="00A31137" w:rsidRPr="00A31137" w:rsidRDefault="00A31137" w:rsidP="00A31137">
      <w:r w:rsidRPr="00A31137">
        <w:t>1991, Gentile v. State Bar of Nevada, 501 U.S. 1064</w:t>
      </w:r>
    </w:p>
    <w:p w:rsidR="00A31137" w:rsidRPr="00A31137" w:rsidRDefault="00A31137" w:rsidP="00A31137">
      <w:r w:rsidRPr="00A31137">
        <w:t>Articles appeared in the local newspapers describing the press conference and petitioner's statements. The trial took place approximately six months later, and, although the trial court succeeded in empaneling a jury that had not been affected by the media coverage and Sanders was acquitted on all charges, the state bar disciplined petitioner for his statements.</w:t>
      </w:r>
    </w:p>
    <w:p w:rsidR="00A31137" w:rsidRPr="00A31137" w:rsidRDefault="00A31137" w:rsidP="00A31137">
      <w:r w:rsidRPr="00A31137">
        <w:t>1991, Gentile v. State Bar of Nevada, 501 U.S. 1064</w:t>
      </w:r>
    </w:p>
    <w:p w:rsidR="00A31137" w:rsidRPr="00A31137" w:rsidRDefault="00A31137" w:rsidP="00A31137">
      <w:r w:rsidRPr="00A31137">
        <w:t>The Southern Nevada Disciplinary Board found that petitioner knew the detective he accused of perpetrating the crime and abusing drugs would be a witness for the prosecution. It also found that petitioner believed others whom he characterized as money launderers and drug dealers would be called as prosecution witnesses. Petitioner's admitted purpose for calling the press conference was to counter public opinion which he perceived as adverse to his client, to fight back against the perceived efforts of the prosecution to poison the prospective juror pool, and to publicly present his client's side of the case. The board found that, in light of the [501 U.S. 1065] statements, their timing, and petitioner's purpose, petitioner knew or should have known that there was a substantial likelihood that the statements would materially prejudice the Sanders trial.</w:t>
      </w:r>
    </w:p>
    <w:p w:rsidR="00A31137" w:rsidRPr="00A31137" w:rsidRDefault="00A31137" w:rsidP="00A31137">
      <w:r w:rsidRPr="00A31137">
        <w:t>1991, Gentile v. State Bar of Nevada, 501 U.S. 1065</w:t>
      </w:r>
    </w:p>
    <w:p w:rsidR="00A31137" w:rsidRPr="00A31137" w:rsidRDefault="00A31137" w:rsidP="00A31137">
      <w:r w:rsidRPr="00A31137">
        <w:t>The Nevada Supreme Court affirmed the board's decision, finding by clear and convincing evidence that petitioner</w:t>
      </w:r>
    </w:p>
    <w:p w:rsidR="00A31137" w:rsidRPr="00A31137" w:rsidRDefault="00A31137" w:rsidP="00A31137">
      <w:r w:rsidRPr="00A31137">
        <w:t>1991, Gentile v. State Bar of Nevada, 501 U.S. 1065</w:t>
      </w:r>
    </w:p>
    <w:p w:rsidR="00A31137" w:rsidRPr="00A31137" w:rsidRDefault="00A31137" w:rsidP="00A31137">
      <w:r w:rsidRPr="00A31137">
        <w:t>knew or reasonably should have known that his comments had a substantial likelihood of materially prejudicing the adjudication of his client's case.</w:t>
      </w:r>
    </w:p>
    <w:p w:rsidR="00A31137" w:rsidRPr="00A31137" w:rsidRDefault="00A31137" w:rsidP="00A31137">
      <w:r w:rsidRPr="00A31137">
        <w:t>1991, Gentile v. State Bar of Nevada, 501 U.S. 1065</w:t>
      </w:r>
    </w:p>
    <w:p w:rsidR="00A31137" w:rsidRPr="00A31137" w:rsidRDefault="00A31137" w:rsidP="00A31137">
      <w:r w:rsidRPr="00A31137">
        <w:t>106 Nev. 60, 62, 787 P.2d 386, 387 (1990). The court noted that the case was "highly publicized"; that the press conference, held the day after the indictment and the same day as the arraignment, was "timed to have maximum impact"; and that petitioner's comments "related to the character, credibility, reputation or criminal record of the police detective and other potential witnesses." Ibid. The court concluded that the "absence of actual prejudice does not establish that there was no substantial likelihood of material prejudice." Ibid.</w:t>
      </w:r>
    </w:p>
    <w:p w:rsidR="00A31137" w:rsidRPr="00A31137" w:rsidRDefault="00A31137" w:rsidP="00A31137">
      <w:r w:rsidRPr="00A31137">
        <w:t>II</w:t>
      </w:r>
    </w:p>
    <w:p w:rsidR="00A31137" w:rsidRPr="00A31137" w:rsidRDefault="00A31137" w:rsidP="00A31137">
      <w:r w:rsidRPr="00A31137">
        <w:t>1991, Gentile v. State Bar of Nevada, 501 U.S. 1065</w:t>
      </w:r>
    </w:p>
    <w:p w:rsidR="00A31137" w:rsidRPr="00A31137" w:rsidRDefault="00A31137" w:rsidP="00A31137">
      <w:r w:rsidRPr="00A31137">
        <w:t>Gentile asserts that the same stringent standard applied in Nebraska Press Assn. v. Stuart, 427 U.S. 539 (1976), to restraints on press publication during the pendency of a criminal trial should be applied to speech by a lawyer whose client is a defendant in a criminal proceeding. In that case, we held that, in order to suppress press commentary on evidentiary matters, the state would have to show that</w:t>
      </w:r>
    </w:p>
    <w:p w:rsidR="00A31137" w:rsidRPr="00A31137" w:rsidRDefault="00A31137" w:rsidP="00A31137">
      <w:r w:rsidRPr="00A31137">
        <w:t>1991, Gentile v. State Bar of Nevada, 501 U.S. 1065</w:t>
      </w:r>
    </w:p>
    <w:p w:rsidR="00A31137" w:rsidRPr="00A31137" w:rsidRDefault="00A31137" w:rsidP="00A31137">
      <w:r w:rsidRPr="00A31137">
        <w:t>further publicity, unchecked, would so distort the views of potential jurors that 12 could not be found who would, under proper instructions, fulfill their sworn duty to render a just verdict exclusively on the evidence presented in open court.</w:t>
      </w:r>
    </w:p>
    <w:p w:rsidR="00A31137" w:rsidRPr="00A31137" w:rsidRDefault="00A31137" w:rsidP="00A31137">
      <w:r w:rsidRPr="00A31137">
        <w:t>1991, Gentile v. State Bar of Nevada, 501 U.S. 1065</w:t>
      </w:r>
    </w:p>
    <w:p w:rsidR="00A31137" w:rsidRPr="00A31137" w:rsidRDefault="00A31137" w:rsidP="00A31137">
      <w:r w:rsidRPr="00A31137">
        <w:t xml:space="preserve">Id. at  569. Respondent, on the other hand, relies on statements in cases such as Sheppard v. Maxwell, 384 U.S. 333 (1966), which sharply distinguished between restraints on the press and restraints on lawyers whose clients are parties to the proceeding: [501 U.S. 1066] </w:t>
      </w:r>
    </w:p>
    <w:p w:rsidR="00A31137" w:rsidRPr="00A31137" w:rsidRDefault="00A31137" w:rsidP="00A31137">
      <w:r w:rsidRPr="00A31137">
        <w:t>1991, Gentile v. State Bar of Nevada, 501 U.S. 1066</w:t>
      </w:r>
    </w:p>
    <w:p w:rsidR="00A31137" w:rsidRPr="00A31137" w:rsidRDefault="00A31137" w:rsidP="00A31137">
      <w:r w:rsidRPr="00A31137">
        <w:t>Collaboration between counsel and the press as to information affecting the fairness of a criminal trial is not only subject to regulation, but is highly censurable and worthy of disciplinary measures.</w:t>
      </w:r>
    </w:p>
    <w:p w:rsidR="00A31137" w:rsidRPr="00A31137" w:rsidRDefault="00A31137" w:rsidP="00A31137">
      <w:r w:rsidRPr="00A31137">
        <w:t>1991, Gentile v. State Bar of Nevada, 501 U.S. 1066</w:t>
      </w:r>
    </w:p>
    <w:p w:rsidR="00A31137" w:rsidRPr="00A31137" w:rsidRDefault="00A31137" w:rsidP="00A31137">
      <w:r w:rsidRPr="00A31137">
        <w:t>Id. at  363. To evaluate these opposing contentions, some reference must be made to the history of the regulation of the practice of law by the courts.</w:t>
      </w:r>
    </w:p>
    <w:p w:rsidR="00A31137" w:rsidRPr="00A31137" w:rsidRDefault="00A31137" w:rsidP="00A31137">
      <w:r w:rsidRPr="00A31137">
        <w:t>1991, Gentile v. State Bar of Nevada, 501 U.S. 1066</w:t>
      </w:r>
    </w:p>
    <w:p w:rsidR="00A31137" w:rsidRPr="00A31137" w:rsidRDefault="00A31137" w:rsidP="00A31137">
      <w:r w:rsidRPr="00A31137">
        <w:t>In the United States, the courts have historically regulated admission to the practice of law before them and exercised the authority to discipline and ultimately to disbar lawyers whose conduct departed from prescribed standards. "Membership in the bar is a privilege burdened with conditions," to use the oft-repeated statement of Cardozo, J., in In re Rouss, 221 N.Y. 81, 84, 116 N.E. 782, 783 (1917), quoted in Theard v. United States, 354 U.S. 278, 281 (1957).</w:t>
      </w:r>
    </w:p>
    <w:p w:rsidR="00A31137" w:rsidRPr="00A31137" w:rsidRDefault="00A31137" w:rsidP="00A31137">
      <w:r w:rsidRPr="00A31137">
        <w:t>1991, Gentile v. State Bar of Nevada, 501 U.S. 1066</w:t>
      </w:r>
    </w:p>
    <w:p w:rsidR="00A31137" w:rsidRPr="00A31137" w:rsidRDefault="00A31137" w:rsidP="00A31137">
      <w:r w:rsidRPr="00A31137">
        <w:t>More than a century ago, the first official code of legal ethics promulgated in this country, the Alabama Code of 1887, warned attorneys to "Avoid Newspaper Discussion of Legal Matters," and stated that</w:t>
      </w:r>
    </w:p>
    <w:p w:rsidR="00A31137" w:rsidRPr="00A31137" w:rsidRDefault="00A31137" w:rsidP="00A31137">
      <w:r w:rsidRPr="00A31137">
        <w:t>1991, Gentile v. State Bar of Nevada, 501 U.S. 1066</w:t>
      </w:r>
    </w:p>
    <w:p w:rsidR="00A31137" w:rsidRPr="00A31137" w:rsidRDefault="00A31137" w:rsidP="00A31137">
      <w:r w:rsidRPr="00A31137">
        <w:t>[n]ewspaper publications by an attorney as to the merits of pending or anticipated litigation…tend to prevent a fair trial in the courts, and otherwise prejudice the due administration of justice.</w:t>
      </w:r>
    </w:p>
    <w:p w:rsidR="00A31137" w:rsidRPr="00A31137" w:rsidRDefault="00A31137" w:rsidP="00A31137">
      <w:r w:rsidRPr="00A31137">
        <w:t>1991, Gentile v. State Bar of Nevada, 501 U.S. 1066</w:t>
      </w:r>
    </w:p>
    <w:p w:rsidR="00A31137" w:rsidRPr="00A31137" w:rsidRDefault="00A31137" w:rsidP="00A31137">
      <w:r w:rsidRPr="00A31137">
        <w:t>H. Drinker, Legal Ethics 23, 356 (1953). In 1908, the American Bar Association promulgated its own code, entitled "Canons of Professional Ethics." Many States thereafter adopted the ABA Canons for their own jurisdictions. Canon 20 stated:</w:t>
      </w:r>
    </w:p>
    <w:p w:rsidR="00A31137" w:rsidRPr="00A31137" w:rsidRDefault="00A31137" w:rsidP="00A31137">
      <w:r w:rsidRPr="00A31137">
        <w:t>1991, Gentile v. State Bar of Nevada, 501 U.S. 1066</w:t>
      </w:r>
    </w:p>
    <w:p w:rsidR="00A31137" w:rsidRPr="00A31137" w:rsidRDefault="00A31137" w:rsidP="00A31137">
      <w:r w:rsidRPr="00A31137">
        <w:t xml:space="preserve">Newspaper publications by a lawyer as to pending or anticipated litigation may interfere with a fair trial in the Courts and otherwise prejudice the due administration of justice. Generally they are to be condemned. If the extreme circumstances of a particular case justify a statement to the public, it is unprofessional to make it anonymously. An ex parte reference to the facts should not go beyond quotation from the records and papers on file in the court; but even in extreme cases it is better to avoid any ex parte statement. [501 U.S. 1067] </w:t>
      </w:r>
    </w:p>
    <w:p w:rsidR="00A31137" w:rsidRPr="00A31137" w:rsidRDefault="00A31137" w:rsidP="00A31137">
      <w:r w:rsidRPr="00A31137">
        <w:t>1991, Gentile v. State Bar of Nevada, 501 U.S. 1067</w:t>
      </w:r>
    </w:p>
    <w:p w:rsidR="00A31137" w:rsidRPr="00A31137" w:rsidRDefault="00A31137" w:rsidP="00A31137">
      <w:r w:rsidRPr="00A31137">
        <w:t>In the last quarter century, the legal profession has reviewed its ethical limitations on extrajudicial statements by lawyers in the context of this Court's cases interpreting the First Amendment. ABA Model Rule of Professional Responsibility 3.6 resulted from the recommendations of the Advisory Committee on Fair Trial and Free Press (Advisory Committee), created in 1964 upon the recommendation of the Warren Commission. The Warren Commission's report on the assassination of President Kennedy included the recommendation that</w:t>
      </w:r>
    </w:p>
    <w:p w:rsidR="00A31137" w:rsidRPr="00A31137" w:rsidRDefault="00A31137" w:rsidP="00A31137">
      <w:r w:rsidRPr="00A31137">
        <w:t>1991, Gentile v. State Bar of Nevada, 501 U.S. 1067</w:t>
      </w:r>
    </w:p>
    <w:p w:rsidR="00A31137" w:rsidRPr="00A31137" w:rsidRDefault="00A31137" w:rsidP="00A31137">
      <w:r w:rsidRPr="00A31137">
        <w:t>representatives of the bar, law enforcement associations, and the news media work together to establish ethical standards concerning the collection and presentation of information to the public so that there will be no interference with pending criminal investigations, court proceedings, or the right of individuals to a fair trial.</w:t>
      </w:r>
    </w:p>
    <w:p w:rsidR="00A31137" w:rsidRPr="00A31137" w:rsidRDefault="00A31137" w:rsidP="00A31137">
      <w:r w:rsidRPr="00A31137">
        <w:t>1991, Gentile v. State Bar of Nevada, 501 U.S. 1067</w:t>
      </w:r>
    </w:p>
    <w:p w:rsidR="00A31137" w:rsidRPr="00A31137" w:rsidRDefault="00A31137" w:rsidP="00A31137">
      <w:r w:rsidRPr="00A31137">
        <w:t>Report of the President's Commission on the Assassination of President Kennedy (1964), quoted in Ainsworth, "Fair Trial-Free Press," 45 F.R.D. 417 (1968). The Advisory Committee developed the ABA Standards Relating to Fair Trial and Free Press, comprehensive guidelines relating to disclosure of information concerning criminal proceedings, which were relied upon by the ABA in 1968 in formulating Rule 3.6. The need for, and appropriateness of, such a rule had been identified by this Court two years earlier in Sheppard v. Maxwell, supra at 362-363. In 1966, the Judicial Conference of the United States authorized a "Special Subcommittee to Implement Sheppard v. Maxwell" to proceed with a study of the necessity of promulgating guidelines or taking other corrective action to shield federal juries from prejudicial publicity. See Report of the Committee on the Operation of the Jury System on the "Free Press-Fair Trial" Issue, 45 F.R.D. 391, 404-407 (1968). Courts, responding to the recommendations in this report, proceeded to enact local rules incorporating these standards, and thus the "reasonable likelihood of prejudicing a fair trial" test was used by a majority of courts, [501 U.S. 1068] state and federal, in the years following Sheppard. Ten years later, the ABA amended its guidelines, and the "reasonable likelihood" test was changed to a "clear and present danger" test. ABA Standards for Criminal Justice 8-1.1 (as amended 1978) (2d ed.1980, Supp. 1986).</w:t>
      </w:r>
    </w:p>
    <w:p w:rsidR="00A31137" w:rsidRPr="00A31137" w:rsidRDefault="00A31137" w:rsidP="00A31137">
      <w:r w:rsidRPr="00A31137">
        <w:t>1991, Gentile v. State Bar of Nevada, 501 U.S. 1068</w:t>
      </w:r>
    </w:p>
    <w:p w:rsidR="00A31137" w:rsidRPr="00A31137" w:rsidRDefault="00A31137" w:rsidP="00A31137">
      <w:r w:rsidRPr="00A31137">
        <w:t xml:space="preserve">When the Model Rules of Professional Conduct were drafted in the early 1980's, the drafters did not go as far as the revised fair trial-free press standards in giving precedence to the lawyer's right to make extrajudicial statements when fair trial rights are implicated, and instead adopted the "substantial likelihood of material prejudice" test. Currently, 31 States in addition to Nevada have adopted—either verbatim or with insignificant variations—Rule 3.6 of the ABA's Model Rules. 1 Eleven States have adopted Disciplinary Rule 7-107 of the ABA's Code of Professional Responsibility, which is less protective of lawyer speech than Model Rule 3.6, in that it applies a "reasonable likelihood of prejudice" standard. 2 Only one State, Virginia, has explicitly adopted a clear and present danger standard, while four States and the District of Columbia have adopted standards that arguably approximate "clear and present danger." 3 [501 U.S. 1069] </w:t>
      </w:r>
    </w:p>
    <w:p w:rsidR="00A31137" w:rsidRPr="00A31137" w:rsidRDefault="00A31137" w:rsidP="00A31137">
      <w:r w:rsidRPr="00A31137">
        <w:t>1991, Gentile v. State Bar of Nevada, 501 U.S. 1069</w:t>
      </w:r>
    </w:p>
    <w:p w:rsidR="00A31137" w:rsidRPr="00A31137" w:rsidRDefault="00A31137" w:rsidP="00A31137">
      <w:r w:rsidRPr="00A31137">
        <w:t>Petitioner maintains, however, that the First Amendment to the United States Constitution requires a State, such as Nevada in this case, to demonstrate a "clear and present danger" of "actual prejudice or an imminent threat" before any discipline may be imposed on a lawyer who initiates a press conference such as occurred here. 4 He relies on decisions such as Nebraska Press Assn. v. Stuart, 427 U.S. 539 (1976), Bridges v. California, 314 U.S. 252 (1941), Pennekamp v. Florida, 328 U.S. 331 (1946), and Craig v. Harney, 331 U.S. 367 (1947), to support his position. In those cases we held that trial courts might not constitutionally punish, through use of the contempt power, newspapers and others for publishing editorials, cartoons, and other items critical of judges in particular cases. We held that such punishments could be imposed only if there were a clear and present danger of "some serious substantive evil which they are designed to avert." Bridges v. California, supra, at  270. Petitioner also relies on Wood v. Georgia, 370 U.S. [501 U.S. 1070] 375 (1962), which held that a court might not punish a sheriff for publicly criticizing a judge's charges to a grand jury.</w:t>
      </w:r>
    </w:p>
    <w:p w:rsidR="00A31137" w:rsidRPr="00A31137" w:rsidRDefault="00A31137" w:rsidP="00A31137">
      <w:r w:rsidRPr="00A31137">
        <w:t>1991, Gentile v. State Bar of Nevada, 501 U.S. 1070</w:t>
      </w:r>
    </w:p>
    <w:p w:rsidR="00A31137" w:rsidRPr="00A31137" w:rsidRDefault="00A31137" w:rsidP="00A31137">
      <w:r w:rsidRPr="00A31137">
        <w:t>Respondent State Bar of Nevada points out, on the other hand, that none of these cases involved lawyers who represented parties to a pending proceeding in court. It points to the statement of Holmes, J., in Patterson v. Colorado ex rel. Attorney General of Colorado, 205 U.S. 454, 463 (1907), that,</w:t>
      </w:r>
    </w:p>
    <w:p w:rsidR="00A31137" w:rsidRPr="00A31137" w:rsidRDefault="00A31137" w:rsidP="00A31137">
      <w:r w:rsidRPr="00A31137">
        <w:t>1991, Gentile v. State Bar of Nevada, 501 U.S. 1070</w:t>
      </w:r>
    </w:p>
    <w:p w:rsidR="00A31137" w:rsidRPr="00A31137" w:rsidRDefault="00A31137" w:rsidP="00A31137">
      <w:r w:rsidRPr="00A31137">
        <w:t>[w]hen a case is finished, courts are subject to the same criticism as other people, but the propriety and necessity of preventing interference with the course of justice by premature statement, argument or intimidation hardly can be denied.</w:t>
      </w:r>
    </w:p>
    <w:p w:rsidR="00A31137" w:rsidRPr="00A31137" w:rsidRDefault="00A31137" w:rsidP="00A31137">
      <w:r w:rsidRPr="00A31137">
        <w:t>1991, Gentile v. State Bar of Nevada, 501 U.S. 1070</w:t>
      </w:r>
    </w:p>
    <w:p w:rsidR="00A31137" w:rsidRPr="00A31137" w:rsidRDefault="00A31137" w:rsidP="00A31137">
      <w:r w:rsidRPr="00A31137">
        <w:t>Respondent also points to a similar statement in Bridges, supra at  271:</w:t>
      </w:r>
    </w:p>
    <w:p w:rsidR="00A31137" w:rsidRPr="00A31137" w:rsidRDefault="00A31137" w:rsidP="00A31137">
      <w:r w:rsidRPr="00A31137">
        <w:t>1991, Gentile v. State Bar of Nevada, 501 U.S. 1070</w:t>
      </w:r>
    </w:p>
    <w:p w:rsidR="00A31137" w:rsidRPr="00A31137" w:rsidRDefault="00A31137" w:rsidP="00A31137">
      <w:r w:rsidRPr="00A31137">
        <w:t>The very word "trial" connotes decisions on the evidence and arguments properly advanced in open court. Legal trials are not like elections, to be won through the use of the meeting hall, the radio, and the newspaper.</w:t>
      </w:r>
    </w:p>
    <w:p w:rsidR="00A31137" w:rsidRPr="00A31137" w:rsidRDefault="00A31137" w:rsidP="00A31137">
      <w:r w:rsidRPr="00A31137">
        <w:t>1991, Gentile v. State Bar of Nevada, 501 U.S. 1070</w:t>
      </w:r>
    </w:p>
    <w:p w:rsidR="00A31137" w:rsidRPr="00A31137" w:rsidRDefault="00A31137" w:rsidP="00A31137">
      <w:r w:rsidRPr="00A31137">
        <w:t>These opposing positions illustrate one of the many dilemmas which arise in the course of constitutional adjudication. The above quotes from Patterson and Bridges epitomize the theory upon which our criminal justice system is founded: the outcome of a criminal trial is to be decided by impartial jurors, who know as little as possible of the case, based on material admitted into evidence before them in a court proceeding. Extrajudicial comments on, or discussion of, evidence which might never be admitted at trial and ex parte statements by counsel giving their version of the facts obviously threaten to undermine this basic tenet.</w:t>
      </w:r>
    </w:p>
    <w:p w:rsidR="00A31137" w:rsidRPr="00A31137" w:rsidRDefault="00A31137" w:rsidP="00A31137">
      <w:r w:rsidRPr="00A31137">
        <w:t>1991, Gentile v. State Bar of Nevada, 501 U.S. 1070</w:t>
      </w:r>
    </w:p>
    <w:p w:rsidR="00A31137" w:rsidRPr="00A31137" w:rsidRDefault="00A31137" w:rsidP="00A31137">
      <w:r w:rsidRPr="00A31137">
        <w:t>At the same time, however, the criminal justice system exists in a larger context of a government ultimately of the people, who wish to be informed about happenings in the criminal justice system, and, if sufficiently informed about those happenings, might wish to make changes in the system. The way most of them acquire information is from the media. The First Amendment protections of speech and press have been held, in the cases cited above, to require a showing of [501 U.S. 1071] "clear and present danger" that a malfunction in the criminal justice system will be caused before a State may prohibit media speech or publication about a particular pending trial. The question we must answer in this case is whether a lawyer who represents a defendant involved with the criminal justice system may insist on the same standard before he is disciplined for public pronouncements about the case, or whether the State, instead, may penalize that sort of speech upon a lesser showing.</w:t>
      </w:r>
    </w:p>
    <w:p w:rsidR="00A31137" w:rsidRPr="00A31137" w:rsidRDefault="00A31137" w:rsidP="00A31137">
      <w:r w:rsidRPr="00A31137">
        <w:t>1991, Gentile v. State Bar of Nevada, 501 U.S. 1071</w:t>
      </w:r>
    </w:p>
    <w:p w:rsidR="00A31137" w:rsidRPr="00A31137" w:rsidRDefault="00A31137" w:rsidP="00A31137">
      <w:r w:rsidRPr="00A31137">
        <w:t>It is unquestionable that, in the courtroom itself, during a judicial proceeding, whatever right to "free speech" an attorney has is extremely circumscribed. An attorney may not, by speech or other conduct, resist a ruling of the trial court beyond the point necessary to preserve a claim for appeal. Sacher v. United States, 343 U.S. 1, 8 (1952) (criminal trial); Fisher v. Pace, 336 U.S. 155 (1949) (civil trial). Even outside the courtroom, a majority of the Court in two separate opinions in the case of In re Sawyer, 360 U.S. 622 (1959), observed that lawyers in pending cases were subject to ethical restrictions on speech to which an ordinary citizen would not be. There, the Court had before it an order affirming the suspension of an attorney from practice because of her attack on the fairness and impartiality of a judge. The plurality opinion, which found the discipline improper, concluded that the comments had not, in fact, impugned the judge's integrity. Justice Stewart, who provided the fifth vote for reversal of the sanction, said in his separate opinion that he could not join any possible</w:t>
      </w:r>
    </w:p>
    <w:p w:rsidR="00A31137" w:rsidRPr="00A31137" w:rsidRDefault="00A31137" w:rsidP="00A31137">
      <w:r w:rsidRPr="00A31137">
        <w:t>1991, Gentile v. State Bar of Nevada, 501 U.S. 1071</w:t>
      </w:r>
    </w:p>
    <w:p w:rsidR="00A31137" w:rsidRPr="00A31137" w:rsidRDefault="00A31137" w:rsidP="00A31137">
      <w:r w:rsidRPr="00A31137">
        <w:t>intimation that a lawyer can invoke the constitutional right of free speech to immunize himself from even-handed discipline for proven unethical conduct.</w:t>
      </w:r>
    </w:p>
    <w:p w:rsidR="00A31137" w:rsidRPr="00A31137" w:rsidRDefault="00A31137" w:rsidP="00A31137">
      <w:r w:rsidRPr="00A31137">
        <w:t>1991, Gentile v. State Bar of Nevada, 501 U.S. 1071</w:t>
      </w:r>
    </w:p>
    <w:p w:rsidR="00A31137" w:rsidRPr="00A31137" w:rsidRDefault="00A31137" w:rsidP="00A31137">
      <w:r w:rsidRPr="00A31137">
        <w:t xml:space="preserve">Id. at  646. He said that "[o]bedience to ethical precepts may require abstention from what in other circumstances might be constitutionally protected speech." Id. at 646-647. The four dissenting Justices who would have sustained the discipline said: [501 U.S. 1072] </w:t>
      </w:r>
    </w:p>
    <w:p w:rsidR="00A31137" w:rsidRPr="00A31137" w:rsidRDefault="00A31137" w:rsidP="00A31137">
      <w:r w:rsidRPr="00A31137">
        <w:t>1991, Gentile v. State Bar of Nevada, 501 U.S. 1072</w:t>
      </w:r>
    </w:p>
    <w:p w:rsidR="00A31137" w:rsidRPr="00A31137" w:rsidRDefault="00A31137" w:rsidP="00A31137">
      <w:r w:rsidRPr="00A31137">
        <w:t>Of course, a lawyer is a person, and he too has a constitutional freedom of utterance, and may exercise it to castigate courts and their administration of justice. But a lawyer actively participating in a trial, particularly an emotionally charged criminal prosecution, is not merely a person, and not even merely a lawyer.</w:t>
      </w:r>
    </w:p>
    <w:p w:rsidR="00A31137" w:rsidRPr="00A31137" w:rsidRDefault="00A31137" w:rsidP="00A31137">
      <w:r w:rsidRPr="00A31137">
        <w:t>*    *    *    *</w:t>
      </w:r>
    </w:p>
    <w:p w:rsidR="00A31137" w:rsidRPr="00A31137" w:rsidRDefault="00A31137" w:rsidP="00A31137">
      <w:r w:rsidRPr="00A31137">
        <w:t>1991, Gentile v. State Bar of Nevada, 501 U.S. 1072</w:t>
      </w:r>
    </w:p>
    <w:p w:rsidR="00A31137" w:rsidRPr="00A31137" w:rsidRDefault="00A31137" w:rsidP="00A31137">
      <w:r w:rsidRPr="00A31137">
        <w:t>He is an intimate and trusted and essential part of the machinery of justice, an "officer of the court" in the most compelling sense.</w:t>
      </w:r>
    </w:p>
    <w:p w:rsidR="00A31137" w:rsidRPr="00A31137" w:rsidRDefault="00A31137" w:rsidP="00A31137">
      <w:r w:rsidRPr="00A31137">
        <w:t>1991, Gentile v. State Bar of Nevada, 501 U.S. 1072</w:t>
      </w:r>
    </w:p>
    <w:p w:rsidR="00A31137" w:rsidRPr="00A31137" w:rsidRDefault="00A31137" w:rsidP="00A31137">
      <w:r w:rsidRPr="00A31137">
        <w:t>Id. at 666, 668 (Frankfurter, J., dissenting, joined by Clark, Harlan, and Whittaker, JJ.).</w:t>
      </w:r>
    </w:p>
    <w:p w:rsidR="00A31137" w:rsidRPr="00A31137" w:rsidRDefault="00A31137" w:rsidP="00A31137">
      <w:r w:rsidRPr="00A31137">
        <w:t>1991, Gentile v. State Bar of Nevada, 501 U.S. 1072</w:t>
      </w:r>
    </w:p>
    <w:p w:rsidR="00A31137" w:rsidRPr="00A31137" w:rsidRDefault="00A31137" w:rsidP="00A31137">
      <w:r w:rsidRPr="00A31137">
        <w:t>Likewise, in Sheppard v. Maxwell, where the defendant's conviction was overturned because extensive prejudicial pretrial publicity had denied the defendant a fair trial, we held that a new trial was a remedy for such publicity, but</w:t>
      </w:r>
    </w:p>
    <w:p w:rsidR="00A31137" w:rsidRPr="00A31137" w:rsidRDefault="00A31137" w:rsidP="00A31137">
      <w:r w:rsidRPr="00A31137">
        <w:t>1991, Gentile v. State Bar of Nevada, 501 U.S. 1072</w:t>
      </w:r>
    </w:p>
    <w:p w:rsidR="00A31137" w:rsidRPr="00A31137" w:rsidRDefault="00A31137" w:rsidP="00A31137">
      <w:r w:rsidRPr="00A31137">
        <w:t>we must remember that reversals are but palliatives; the cure lies in those remedial measures that will prevent the prejudice at its inception. The courts must take such steps by rule and regulation that will protect their processes from prejudicial outside interferences. Neither prosecutors, counsel for defense, the accused, witnesses, court staff nor enforcement officers coming under the jurisdiction of the court should be permitted to frustrate its function. Collaboration between counsel and the press as to information affecting the fairness of a criminal trial is not only subject to regulation, but is highly censurable and worthy of disciplinary measures.</w:t>
      </w:r>
    </w:p>
    <w:p w:rsidR="00A31137" w:rsidRPr="00A31137" w:rsidRDefault="00A31137" w:rsidP="00A31137">
      <w:r w:rsidRPr="00A31137">
        <w:t>1991, Gentile v. State Bar of Nevada, 501 U.S. 1072</w:t>
      </w:r>
    </w:p>
    <w:p w:rsidR="00A31137" w:rsidRPr="00A31137" w:rsidRDefault="00A31137" w:rsidP="00A31137">
      <w:r w:rsidRPr="00A31137">
        <w:t>384 U.S. at  363 (emphasis added). We expressly contemplated that the speech of those participating before the courts could be limited. 5 This distinction [501 U.S. 1073] between participants in the litigation and strangers to it is brought into sharp relief by our holding in Seattle Times Co. v. Rhinehart, 467 U.S. 20 (1984). There, we unanimously held that a newspaper, which was itself a defendant in a libel action, could be restrained from publishing material about the plaintiffs and their supporters to which it had gained access through court-ordered discovery. In that case, we said that,</w:t>
      </w:r>
    </w:p>
    <w:p w:rsidR="00A31137" w:rsidRPr="00A31137" w:rsidRDefault="00A31137" w:rsidP="00A31137">
      <w:r w:rsidRPr="00A31137">
        <w:t>1991, Gentile v. State Bar of Nevada, 501 U.S. 1073</w:t>
      </w:r>
    </w:p>
    <w:p w:rsidR="00A31137" w:rsidRPr="00A31137" w:rsidRDefault="00A31137" w:rsidP="00A31137">
      <w:r w:rsidRPr="00A31137">
        <w:t>[a]lthough litigants do not "surrender their First Amendment rights at the courthouse door," those rights may be subordinated to other interests that arise in this setting,</w:t>
      </w:r>
    </w:p>
    <w:p w:rsidR="00A31137" w:rsidRPr="00A31137" w:rsidRDefault="00A31137" w:rsidP="00A31137">
      <w:r w:rsidRPr="00A31137">
        <w:t>1991, Gentile v. State Bar of Nevada, 501 U.S. 1073</w:t>
      </w:r>
    </w:p>
    <w:p w:rsidR="00A31137" w:rsidRPr="00A31137" w:rsidRDefault="00A31137" w:rsidP="00A31137">
      <w:r w:rsidRPr="00A31137">
        <w:t>id. at 32-33, n. 18 (citation omitted), and noted that,</w:t>
      </w:r>
    </w:p>
    <w:p w:rsidR="00A31137" w:rsidRPr="00A31137" w:rsidRDefault="00A31137" w:rsidP="00A31137">
      <w:r w:rsidRPr="00A31137">
        <w:t>1991, Gentile v. State Bar of Nevada, 501 U.S. 1073</w:t>
      </w:r>
    </w:p>
    <w:p w:rsidR="00A31137" w:rsidRPr="00A31137" w:rsidRDefault="00A31137" w:rsidP="00A31137">
      <w:r w:rsidRPr="00A31137">
        <w:t>on several occasions, [we have] approved restriction on the communications of trial participants where necessary to ensure a fair trial for a criminal defendant.</w:t>
      </w:r>
    </w:p>
    <w:p w:rsidR="00A31137" w:rsidRPr="00A31137" w:rsidRDefault="00A31137" w:rsidP="00A31137">
      <w:r w:rsidRPr="00A31137">
        <w:t>1991, Gentile v. State Bar of Nevada, 501 U.S. 1073</w:t>
      </w:r>
    </w:p>
    <w:p w:rsidR="00A31137" w:rsidRPr="00A31137" w:rsidRDefault="00A31137" w:rsidP="00A31137">
      <w:r w:rsidRPr="00A31137">
        <w:t>Ibid.</w:t>
      </w:r>
    </w:p>
    <w:p w:rsidR="00A31137" w:rsidRPr="00A31137" w:rsidRDefault="00A31137" w:rsidP="00A31137">
      <w:r w:rsidRPr="00A31137">
        <w:t>1991, Gentile v. State Bar of Nevada, 501 U.S. 1073</w:t>
      </w:r>
    </w:p>
    <w:p w:rsidR="00A31137" w:rsidRPr="00A31137" w:rsidRDefault="00A31137" w:rsidP="00A31137">
      <w:r w:rsidRPr="00A31137">
        <w:t>Even in an area far from the courtroom and the pendency of a case, our decisions dealing with a lawyer's right under the First Amendment to solicit business and advertise, contrary to promulgated rules of ethics, have not suggested that lawyers are protected by the First Amendment to the same extent as those engaged in other businesses. See, e.g., Bates v. State Bar of Arizona, 433 U.S. 350 (1977); Peel v. Attorney Registration and Disciplinary Comm'n of Ill., 496 U.S. 91 (1990); Ohralik v. Ohio State Bar Assn., 436 U.S. 447 (1978). In each of these cases, we engaged in a balancing process, weighing the State's interest in the regulation of a specialized profession against a lawyer's First Amendment interest in the kind of speech that was at issue. These cases [501 U.S. 1074] recognize the long-established principle stated in In re Cohen, 7 N.Y.2d 488, 495, 166 N.E.2d 672, 675 (1960):</w:t>
      </w:r>
    </w:p>
    <w:p w:rsidR="00A31137" w:rsidRPr="00A31137" w:rsidRDefault="00A31137" w:rsidP="00A31137">
      <w:r w:rsidRPr="00A31137">
        <w:t>1991, Gentile v. State Bar of Nevada, 501 U.S. 1074</w:t>
      </w:r>
    </w:p>
    <w:p w:rsidR="00A31137" w:rsidRPr="00A31137" w:rsidRDefault="00A31137" w:rsidP="00A31137">
      <w:r w:rsidRPr="00A31137">
        <w:t>Appellant as a citizen could not be denied any of the common rights of citizens. But he stood before the inquiry and before the Appellate Division in another quite different capacity, also. As a lawyer, he was "an officer of the court, and, like the court itself, an instrument…of justice…. "</w:t>
      </w:r>
    </w:p>
    <w:p w:rsidR="00A31137" w:rsidRPr="00A31137" w:rsidRDefault="00A31137" w:rsidP="00A31137">
      <w:r w:rsidRPr="00A31137">
        <w:t>1991, Gentile v. State Bar of Nevada, 501 U.S. 1074</w:t>
      </w:r>
    </w:p>
    <w:p w:rsidR="00A31137" w:rsidRPr="00A31137" w:rsidRDefault="00A31137" w:rsidP="00A31137">
      <w:r w:rsidRPr="00A31137">
        <w:t>(quoted in Cohen v. Hurley, 366 U.S. 117, 126 (1961)).</w:t>
      </w:r>
    </w:p>
    <w:p w:rsidR="00A31137" w:rsidRPr="00A31137" w:rsidRDefault="00A31137" w:rsidP="00A31137">
      <w:r w:rsidRPr="00A31137">
        <w:t>1991, Gentile v. State Bar of Nevada, 501 U.S. 1074</w:t>
      </w:r>
    </w:p>
    <w:p w:rsidR="00A31137" w:rsidRPr="00A31137" w:rsidRDefault="00A31137" w:rsidP="00A31137">
      <w:r w:rsidRPr="00A31137">
        <w:t>We think that the quoted statements from our opinions in In re Sawyer, 360 U.S. 622 (1959), and Sheppard v. Maxwell, supra, rather plainly indicate that the speech of lawyers representing clients in pending cases may be regulated under a less demanding standard than that established for regulation of the press in Nebraska Press Assn. v. Stuart, 427 U.S. 539 (1976), and the cases which preceded it. Lawyers representing clients in pending cases are key participants in the criminal justice system, and the State may demand some adherence to the precepts of that system in regulating their speech, as well as their conduct. As noted by Justice Brennan in his concurring opinion in Nebraska Press, which was joined by Justices Stewart and MARSHALL,</w:t>
      </w:r>
    </w:p>
    <w:p w:rsidR="00A31137" w:rsidRPr="00A31137" w:rsidRDefault="00A31137" w:rsidP="00A31137">
      <w:r w:rsidRPr="00A31137">
        <w:t>1991, Gentile v. State Bar of Nevada, 501 U.S. 1074</w:t>
      </w:r>
    </w:p>
    <w:p w:rsidR="00A31137" w:rsidRPr="00A31137" w:rsidRDefault="00A31137" w:rsidP="00A31137">
      <w:r w:rsidRPr="00A31137">
        <w:t>[a]s officers of the court, court personnel and attorneys have a fiduciary responsibility not to engage in public debate that will redound to the detriment of the accused or that will obstruct the fair administration of justice.</w:t>
      </w:r>
    </w:p>
    <w:p w:rsidR="00A31137" w:rsidRPr="00A31137" w:rsidRDefault="00A31137" w:rsidP="00A31137">
      <w:r w:rsidRPr="00A31137">
        <w:t>1991, Gentile v. State Bar of Nevada, 501 U.S. 1074</w:t>
      </w:r>
    </w:p>
    <w:p w:rsidR="00A31137" w:rsidRPr="00A31137" w:rsidRDefault="00A31137" w:rsidP="00A31137">
      <w:r w:rsidRPr="00A31137">
        <w:t>Id. at  601, n. 27. Because lawyers have special access to information through discovery and client communications, their extrajudicial statements pose a threat to the fairness of a pending proceeding since lawyers' statements are likely to be received as especially authoritative. See, e.g., In re Hinds, 90 N.J. 604, 627, 449 A.2d 483, 496 (1982) (statements by attorneys of record relating to the case "are likely to be considered knowledgeable, reliable and true" because of attorneys' unique access to information); In re Rachmiel, 90 N.J. 646, 656, 449 A.2d 505, 511 (1982) (attorneys' role as advocates [501 U.S. 1075] gives them "extraordinary power to undermine or destroy the efficacy of the criminal justice system"). We agree with the majority of the States that the "substantial likelihood of material prejudice" standard constitutes a constitutionally permissible balance between the First Amendment rights of attorneys in pending cases and the State's interest in fair trials.</w:t>
      </w:r>
    </w:p>
    <w:p w:rsidR="00A31137" w:rsidRPr="00A31137" w:rsidRDefault="00A31137" w:rsidP="00A31137">
      <w:r w:rsidRPr="00A31137">
        <w:t>1991, Gentile v. State Bar of Nevada, 501 U.S. 1075</w:t>
      </w:r>
    </w:p>
    <w:p w:rsidR="00A31137" w:rsidRPr="00A31137" w:rsidRDefault="00A31137" w:rsidP="00A31137">
      <w:r w:rsidRPr="00A31137">
        <w:t xml:space="preserve">When a state regulation implicates First Amendment rights, the Court must balance those interests against the State's legitimate interest in regulating the activity in question. See, e.g., Seattle Times, supra at 32. The "substantial likelihood" test embodied in Rule 177 is constitutional under this analysis, for it is designed to protect the integrity and fairness of a State's judicial system, and it imposes only narrow and necessary limitations on lawyers' speech. The limitations are aimed at two principal evils: (1) comments that are likely to influence the actual outcome of the trial, and (2) comments that are likely to prejudice the jury venire, even if an untainted panel can ultimately be found. Few, if any, interests under the Constitution are more fundamental than the right to a fair trial by "impartial" jurors, and an outcome affected by extrajudicial statements would violate that fundamental right. See, e.g., Sheppard, 384 U.S. at 350-351; Turner v. Louisiana, 379 U.S. 466, 473 (1965) (evidence in criminal trial must come solely from witness stand in public courtroom with full evidentiary protections). Even if a fair trial can ultimately be ensured through voir dire, change of venue, or some other device, these measures entail serious costs to the system. Extensive voir dire may not be able to filter out all of the effects of pretrial publicity, and with increasingly widespread media coverage of criminal trials, a change of venue may not suffice to undo the effects of statements such as those made by petitioner. The State has a substantial interest in preventing officers of the court, such as lawyers, from imposing such costs on the judicial system and on the litigants. [501 U.S. 1076] </w:t>
      </w:r>
    </w:p>
    <w:p w:rsidR="00A31137" w:rsidRPr="00A31137" w:rsidRDefault="00A31137" w:rsidP="00A31137">
      <w:r w:rsidRPr="00A31137">
        <w:t>1991, Gentile v. State Bar of Nevada, 501 U.S. 1076</w:t>
      </w:r>
    </w:p>
    <w:p w:rsidR="00A31137" w:rsidRPr="00A31137" w:rsidRDefault="00A31137" w:rsidP="00A31137">
      <w:r w:rsidRPr="00A31137">
        <w:t>The restraint on speech is narrowly tailored to achieve those objectives. The regulation of attorneys' speech is limited—it applies only to speech that is substantially likely to have a materially prejudicial effect; it is neutral as to points of view, applying equally to all attorneys participating in a pending case; and it merely postpones the attorneys' comments until after the trial. While supported by the substantial state interest in preventing prejudice to an adjudicative proceeding by those who have a duty to protect its integrity, the Rule is limited on its face to preventing only speech having a substantial likelihood of materially prejudicing that proceeding.</w:t>
      </w:r>
    </w:p>
    <w:p w:rsidR="00A31137" w:rsidRPr="00A31137" w:rsidRDefault="00A31137" w:rsidP="00A31137">
      <w:r w:rsidRPr="00A31137">
        <w:t>III</w:t>
      </w:r>
    </w:p>
    <w:p w:rsidR="00A31137" w:rsidRPr="00A31137" w:rsidRDefault="00A31137" w:rsidP="00A31137">
      <w:r w:rsidRPr="00A31137">
        <w:t>1991, Gentile v. State Bar of Nevada, 501 U.S. 1076</w:t>
      </w:r>
    </w:p>
    <w:p w:rsidR="00A31137" w:rsidRPr="00A31137" w:rsidRDefault="00A31137" w:rsidP="00A31137">
      <w:r w:rsidRPr="00A31137">
        <w:t>To assist a lawyer in deciding whether an extrajudicial statement is problematic, Rule 177 sets out statements that are likely to cause material prejudice. Contrary to petitioner's contention, these are not improper evidentiary presumptions. Model Rule 3.6, from which Rule 177 was derived, was specifically designed to avoid the categorical prohibitions of attorney speech contained in ABA Model Code of Professional Responsibility Disciplinary Rule 7-107 (1981). See ABA Commission on Evaluation of Professional Standards, Model Rules of Professional Conduct, Notes and Comments 143-144 (Proposed Final Draft, May 30, 1981) (Proposed Final Draft). The statements listed as likely to cause material prejudice closely track a similar list outlined by this Court in Sheppard:</w:t>
      </w:r>
    </w:p>
    <w:p w:rsidR="00A31137" w:rsidRPr="00A31137" w:rsidRDefault="00A31137" w:rsidP="00A31137">
      <w:r w:rsidRPr="00A31137">
        <w:t>1991, Gentile v. State Bar of Nevada, 501 U.S. 1076</w:t>
      </w:r>
    </w:p>
    <w:p w:rsidR="00A31137" w:rsidRPr="00A31137" w:rsidRDefault="00A31137" w:rsidP="00A31137">
      <w:r w:rsidRPr="00A31137">
        <w:t>The fact that many of the prejudicial news items can be traced to the prosecution, as well as the defense, aggravates the judge's failure to take any action…. Effective control of these sources—concededly within the court's power—might well have prevented the divulgence of inaccurate information, rumors, and accusations that made up much of the inflammatory publicity….</w:t>
      </w:r>
    </w:p>
    <w:p w:rsidR="00A31137" w:rsidRPr="00A31137" w:rsidRDefault="00A31137" w:rsidP="00A31137">
      <w:r w:rsidRPr="00A31137">
        <w:t>1991, Gentile v. State Bar of Nevada, 501 U.S. 1076</w:t>
      </w:r>
    </w:p>
    <w:p w:rsidR="00A31137" w:rsidRPr="00A31137" w:rsidRDefault="00A31137" w:rsidP="00A31137">
      <w:r w:rsidRPr="00A31137">
        <w:t>More specifically, the trial court might well have proscribed extrajudicial statements by any lawyer, party, [501 U.S. 1077] witness, or court official which divulged prejudicial matters, such as the refusal of Sheppard to submit to interrogation or take any lie detector tests; any statement made by Sheppard to officials; the identity of prospective witnesses or their probable testimony; any belief in guilt or innocence; or like statements concerning the merits of the case. See State v. Van Duyne, 43 N.J. 369, 389, 204 A.2d 841, 852 (1964), in which the court interpreted Canon 20 of the American Bar Association's Canons of Professional Ethics to prohibit such statements.</w:t>
      </w:r>
    </w:p>
    <w:p w:rsidR="00A31137" w:rsidRPr="00A31137" w:rsidRDefault="00A31137" w:rsidP="00A31137">
      <w:r w:rsidRPr="00A31137">
        <w:t>1991, Gentile v. State Bar of Nevada, 501 U.S. 1077</w:t>
      </w:r>
    </w:p>
    <w:p w:rsidR="00A31137" w:rsidRPr="00A31137" w:rsidRDefault="00A31137" w:rsidP="00A31137">
      <w:r w:rsidRPr="00A31137">
        <w:t>384 U.S. at  361.</w:t>
      </w:r>
    </w:p>
    <w:p w:rsidR="00A31137" w:rsidRPr="00A31137" w:rsidRDefault="00A31137" w:rsidP="00A31137">
      <w:r w:rsidRPr="00A31137">
        <w:t>1991, Gentile v. State Bar of Nevada, 501 U.S. 1077</w:t>
      </w:r>
    </w:p>
    <w:p w:rsidR="00A31137" w:rsidRPr="00A31137" w:rsidRDefault="00A31137" w:rsidP="00A31137">
      <w:r w:rsidRPr="00A31137">
        <w:t>Gentile claims that Rule 177 is overbroad, and thus unconstitutional on its face, because it applies to more speech than is necessary to serve the State's goals. The "overbreadth" doctrine applies if an enactment "prohibits constitutionally protected conduct." Grayned v. City of Rockford, 408 U.S. 104,  114 (1972). To be unconstitutional, overbreadth must be "substantial." Board of Trustees of State University of N.Y. v. Fox, 492 U.S. 469, 485 (1989). Rule 177 is no broader than necessary to protect the State's interests. It applies only to lawyers involved in the pending case at issue, and even those lawyers involved in pending cases can make extrajudicial statements as long as such statements do not present a substantial risk of material prejudice to an adjudicative proceeding. The fact that Rule 177 applies to bench trials does not make it overbroad, for a substantial likelihood of prejudice is still required before the Rule is violated. That test will rarely be met where the judge is the trier of fact, since trial judges often have access to inadmissible and highly prejudicial information and are presumed to be able to discount or disregard it. For these reasons, Rule 177 is constitutional on its face.</w:t>
      </w:r>
    </w:p>
    <w:p w:rsidR="00A31137" w:rsidRPr="00A31137" w:rsidRDefault="00A31137" w:rsidP="00A31137">
      <w:r w:rsidRPr="00A31137">
        <w:t>1991, Gentile v. State Bar of Nevada, 501 U.S. 1077</w:t>
      </w:r>
    </w:p>
    <w:p w:rsidR="00A31137" w:rsidRPr="00A31137" w:rsidRDefault="00A31137" w:rsidP="00A31137">
      <w:r w:rsidRPr="00A31137">
        <w:t>Gentile also argues that Rule 177 is void for vagueness because it did not provide adequate notice that his comments were subject to discipline. The void-for-vagueness doctrine is concerned with a defendant's right to fair notice and adequate [501 U.S. 1078] warning that his conduct runs afoul of the law. See, e.g., Smith v. Goguen, 415 U.S. 566, 572-573 (1974); Colten v. Kentucky, 407 U.S. 104, 110 (1972). Rule 177 was drafted with the intent to provide "an illustrative compilation that gives fair notice of conduct ordinarily posing unacceptable dangers to the fair administration of justice." Proposed Final Draft 143. The Rule provides sufficient notice of the nature of the prohibited conduct. Under the circumstances of his case, petitioner cannot complain about lack of notice, as he has admitted that his primary objective in holding the press conference was the violation of Rule 177's core prohibition—to prejudice the upcoming trial by influencing potential jurors. Petitioner was clearly given notice that such conduct was forbidden, and the list of conduct likely to cause prejudice, while only advisory, certainly gave notice that the statements made would violate the Rule if they had the intended effect.</w:t>
      </w:r>
    </w:p>
    <w:p w:rsidR="00A31137" w:rsidRPr="00A31137" w:rsidRDefault="00A31137" w:rsidP="00A31137">
      <w:r w:rsidRPr="00A31137">
        <w:t>1991, Gentile v. State Bar of Nevada, 501 U.S. 1078</w:t>
      </w:r>
    </w:p>
    <w:p w:rsidR="00A31137" w:rsidRPr="00A31137" w:rsidRDefault="00A31137" w:rsidP="00A31137">
      <w:r w:rsidRPr="00A31137">
        <w:t>The majority agrees with petitioner that he was the victim of unconstitutional vagueness in the regulations because of the relationship between § 3 and §§ 1 and 2 of Rule 177 (see ante at 1033-1034). Section 3 allows an attorney to state "the general nature of the claim or defense" notwithstanding the prohibition contained in § 1 and the examples contained in § 2. It is, of course, true, as the majority points out, that the word "general" and the word "elaboration" are both terms of degree. But combined as they are in the first sentence of § 3, they convey the very definite proposition that the authorized statements must not contain the sort of detailed allegations that petitioner made at his press conference. No sensible person could think that the following were "general" statements of a claim or defense made "without elaboration:"</w:t>
      </w:r>
    </w:p>
    <w:p w:rsidR="00A31137" w:rsidRPr="00A31137" w:rsidRDefault="00A31137" w:rsidP="00A31137">
      <w:r w:rsidRPr="00A31137">
        <w:t>1991, Gentile v. State Bar of Nevada, 501 U.S. 1078</w:t>
      </w:r>
    </w:p>
    <w:p w:rsidR="00A31137" w:rsidRPr="00A31137" w:rsidRDefault="00A31137" w:rsidP="00A31137">
      <w:r w:rsidRPr="00A31137">
        <w:t>the person that was in the most direct position to have stolen the rugs and the money…is Detective Steve Scholl;</w:t>
      </w:r>
    </w:p>
    <w:p w:rsidR="00A31137" w:rsidRPr="00A31137" w:rsidRDefault="00A31137" w:rsidP="00A31137">
      <w:r w:rsidRPr="00A31137">
        <w:t>1991, Gentile v. State Bar of Nevada, 501 U.S. 1078</w:t>
      </w:r>
    </w:p>
    <w:p w:rsidR="00A31137" w:rsidRPr="00A31137" w:rsidRDefault="00A31137" w:rsidP="00A31137">
      <w:r w:rsidRPr="00A31137">
        <w:t>there is far more evidence that will establish that Detective Scholl took these drugs and took these American Express Travelers' checks than any other living human being;</w:t>
      </w:r>
    </w:p>
    <w:p w:rsidR="00A31137" w:rsidRPr="00A31137" w:rsidRDefault="00A31137" w:rsidP="00A31137">
      <w:r w:rsidRPr="00A31137">
        <w:t>1991, Gentile v. State Bar of Nevada, 501 U.S. 1078</w:t>
      </w:r>
    </w:p>
    <w:p w:rsidR="00A31137" w:rsidRPr="00A31137" w:rsidRDefault="00A31137" w:rsidP="00A31137">
      <w:r w:rsidRPr="00A31137">
        <w:t>[Detective [501 U.S. 1079] Scholl] either had a hell of a cold, or he should have seen a better doctor;</w:t>
      </w:r>
    </w:p>
    <w:p w:rsidR="00A31137" w:rsidRPr="00A31137" w:rsidRDefault="00A31137" w:rsidP="00A31137">
      <w:r w:rsidRPr="00A31137">
        <w:t>1991, Gentile v. State Bar of Nevada, 501 U.S. 1079</w:t>
      </w:r>
    </w:p>
    <w:p w:rsidR="00A31137" w:rsidRPr="00A31137" w:rsidRDefault="00A31137" w:rsidP="00A31137">
      <w:r w:rsidRPr="00A31137">
        <w:t xml:space="preserve"> and</w:t>
      </w:r>
    </w:p>
    <w:p w:rsidR="00A31137" w:rsidRPr="00A31137" w:rsidRDefault="00A31137" w:rsidP="00A31137">
      <w:r w:rsidRPr="00A31137">
        <w:t>1991, Gentile v. State Bar of Nevada, 501 U.S. 1079</w:t>
      </w:r>
    </w:p>
    <w:p w:rsidR="00A31137" w:rsidRPr="00A31137" w:rsidRDefault="00A31137" w:rsidP="00A31137">
      <w:r w:rsidRPr="00A31137">
        <w:t>the so-called other victims…one, two—four of them are known drug dealers and convicted money launderers.</w:t>
      </w:r>
    </w:p>
    <w:p w:rsidR="00A31137" w:rsidRPr="00A31137" w:rsidRDefault="00A31137" w:rsidP="00A31137">
      <w:r w:rsidRPr="00A31137">
        <w:t>1991, Gentile v. State Bar of Nevada, 501 U.S. 1079</w:t>
      </w:r>
    </w:p>
    <w:p w:rsidR="00A31137" w:rsidRPr="00A31137" w:rsidRDefault="00A31137" w:rsidP="00A31137">
      <w:r w:rsidRPr="00A31137">
        <w:t>Section 3, as an exception to the provisions of §§ 1 and 2, must be read in the light of the prohibitions and examples contained in the first two sections. It was obviously not intended to negate the prohibitions or the examples wholesale, but simply intended to provide a "safe harbor" where there might be doubt as to whether one of the examples covered proposed conduct. These provisions were not vague as to the conduct for which petitioner was disciplined;</w:t>
      </w:r>
    </w:p>
    <w:p w:rsidR="00A31137" w:rsidRPr="00A31137" w:rsidRDefault="00A31137" w:rsidP="00A31137">
      <w:r w:rsidRPr="00A31137">
        <w:t>1991, Gentile v. State Bar of Nevada, 501 U.S. 1079</w:t>
      </w:r>
    </w:p>
    <w:p w:rsidR="00A31137" w:rsidRPr="00A31137" w:rsidRDefault="00A31137" w:rsidP="00A31137">
      <w:r w:rsidRPr="00A31137">
        <w:t>[i]n determining the sufficiency of the notice, a statute must, of necessity, be examined in the light of the conduct with which a defendant is charged.</w:t>
      </w:r>
    </w:p>
    <w:p w:rsidR="00A31137" w:rsidRPr="00A31137" w:rsidRDefault="00A31137" w:rsidP="00A31137">
      <w:r w:rsidRPr="00A31137">
        <w:t>1991, Gentile v. State Bar of Nevada, 501 U.S. 1079</w:t>
      </w:r>
    </w:p>
    <w:p w:rsidR="00A31137" w:rsidRPr="00A31137" w:rsidRDefault="00A31137" w:rsidP="00A31137">
      <w:r w:rsidRPr="00A31137">
        <w:t>United States v. National Dairy Products Corp., 372 U.S. 29, 33 (1963).</w:t>
      </w:r>
    </w:p>
    <w:p w:rsidR="00A31137" w:rsidRPr="00A31137" w:rsidRDefault="00A31137" w:rsidP="00A31137">
      <w:r w:rsidRPr="00A31137">
        <w:t>1991, Gentile v. State Bar of Nevada, 501 U.S. 1079</w:t>
      </w:r>
    </w:p>
    <w:p w:rsidR="00A31137" w:rsidRPr="00A31137" w:rsidRDefault="00A31137" w:rsidP="00A31137">
      <w:r w:rsidRPr="00A31137">
        <w:t>Petitioner's strongest arguments are that the statement was made well in advance of trial, and that the statements did not, in fact, taint the jury panel. But the Supreme Court of Nevada pointed out that petitioner's statements were not only highly inflammatory—they portrayed prospective government witnesses as drug users and dealers, and as money launderers—but the statements were timed to have maximum impact, when public interest in the case was at its height immediately after Sanders was indicted. Reviewing independently the entire record, see Pennekamp v. Florida, 328 U.S. at  335, we are convinced that petitioner's statements were "substantially likely to cause material prejudice" to the proceedings. While there is evidence pro and con on that point, we find it persuasive that, by his own admission, petitioner called the press conference for the express purpose of influencing the venire. It is difficult to believe that he went to such trouble, and took such a risk, if there was no substantial likelihood that he would succeed.</w:t>
      </w:r>
    </w:p>
    <w:p w:rsidR="00A31137" w:rsidRPr="00A31137" w:rsidRDefault="00A31137" w:rsidP="00A31137">
      <w:r w:rsidRPr="00A31137">
        <w:t>1991, Gentile v. State Bar of Nevada, 501 U.S. 1079</w:t>
      </w:r>
    </w:p>
    <w:p w:rsidR="00A31137" w:rsidRPr="00A31137" w:rsidRDefault="00A31137" w:rsidP="00A31137">
      <w:r w:rsidRPr="00A31137">
        <w:t xml:space="preserve">While, in a case such as this, we must review the record for ourselves, when the highest court of a State has reached a determination, "we give most respectful attention to its reasoning [501 U.S. 1080] and conclusion." Ibid. The State Bar of Nevada, which made its own factual findings, and the Supreme Court of Nevada, which upheld those findings, were in a far better position than we are to appreciate the likely effect of petitioner's statements on potential members of a jury panel in a highly publicized case such as this. The board and the Nevada Supreme Court did not apply the list of statements likely to cause material prejudice as presumptions, but specifically found that petitioner had intended to prejudice the trial, 6 and that, based upon the nature of the statements and their timing, they were, in fact, substantially likely to cause material prejudice. We cannot, upon our review of the record, conclude that they were mistaken. See United States v. United States Gypsum Co., 333 U.S. 364, 394-396 (1948). [501 U.S. 1081] </w:t>
      </w:r>
    </w:p>
    <w:p w:rsidR="00A31137" w:rsidRPr="00A31137" w:rsidRDefault="00A31137" w:rsidP="00A31137">
      <w:r w:rsidRPr="00A31137">
        <w:t>1991, Gentile v. State Bar of Nevada, 501 U.S. 1081</w:t>
      </w:r>
    </w:p>
    <w:p w:rsidR="00A31137" w:rsidRPr="00A31137" w:rsidRDefault="00A31137" w:rsidP="00A31137">
      <w:r w:rsidRPr="00A31137">
        <w:t>Several amici argue that the First Amendment requires the State to show actual prejudice to a judicial proceeding before an attorney may be disciplined for extrajudicial statements, and, since the board and the Nevada Supreme Court found no actual prejudice, petitioner should not have been disciplined. But this is simply another way of stating that the stringent standard of Nebraska Press should be applied to the speech of a lawyer in a pending case, and, for the reasons heretofore given, we decline to adopt it. An added objection to the stricter standard when applied to lawyer participants is that, if it were adopted, even comments more flagrant than those made by petitioner could not serve as the basis for disciplinary action if, for wholly independent reasons, they had no effect on the proceedings. An attorney who made prejudicial comments would be insulated from discipline if the government, for reasons unrelated to the comments, decided to dismiss the charges, or if a plea bargain were reached. An equally culpable attorney whose client's case went to trial would be subject to discipline. The United States Constitution does not mandate such a fortuitous difference.</w:t>
      </w:r>
    </w:p>
    <w:p w:rsidR="00A31137" w:rsidRPr="00A31137" w:rsidRDefault="00A31137" w:rsidP="00A31137">
      <w:r w:rsidRPr="00A31137">
        <w:t>1991, Gentile v. State Bar of Nevada, 501 U.S. 1081</w:t>
      </w:r>
    </w:p>
    <w:p w:rsidR="00A31137" w:rsidRPr="00A31137" w:rsidRDefault="00A31137" w:rsidP="00A31137">
      <w:r w:rsidRPr="00A31137">
        <w:t>When petitioner was admitted to practice law before the Nevada courts, the oath which he took recited that "I will support, abide by and follow the Rules of Professional Conduct as are now or may hereafter be adopted by the Supreme Court…. " Rule 73, Nevada Supreme Court Rules (1991). The First Amendment does not excuse him from that obligation, nor should it forbid the discipline imposed upon him by the Supreme Court of Nevada.</w:t>
      </w:r>
    </w:p>
    <w:p w:rsidR="00A31137" w:rsidRPr="00A31137" w:rsidRDefault="00A31137" w:rsidP="00A31137">
      <w:r w:rsidRPr="00A31137">
        <w:t>1991, Gentile v. State Bar of Nevada, 501 U.S. 1081</w:t>
      </w:r>
    </w:p>
    <w:p w:rsidR="00A31137" w:rsidRPr="00A31137" w:rsidRDefault="00A31137" w:rsidP="00A31137">
      <w:r w:rsidRPr="00A31137">
        <w:t>I would affirm the decision of the Supreme Court of Nevada.</w:t>
      </w:r>
    </w:p>
    <w:p w:rsidR="00A31137" w:rsidRPr="00A31137" w:rsidRDefault="00A31137" w:rsidP="00A31137">
      <w:r w:rsidRPr="00A31137">
        <w:t>O'CONNOR, J., concurring</w:t>
      </w:r>
    </w:p>
    <w:p w:rsidR="00A31137" w:rsidRPr="00A31137" w:rsidRDefault="00A31137" w:rsidP="00A31137">
      <w:r w:rsidRPr="00A31137">
        <w:t>1991, Gentile v. State Bar of Nevada, 501 U.S. 1081</w:t>
      </w:r>
    </w:p>
    <w:p w:rsidR="00A31137" w:rsidRPr="00A31137" w:rsidRDefault="00A31137" w:rsidP="00A31137">
      <w:r w:rsidRPr="00A31137">
        <w:t>JUSTICE O'CONNOR, concurring.</w:t>
      </w:r>
    </w:p>
    <w:p w:rsidR="00A31137" w:rsidRPr="00A31137" w:rsidRDefault="00A31137" w:rsidP="00A31137">
      <w:r w:rsidRPr="00A31137">
        <w:t>1991, Gentile v. State Bar of Nevada, 501 U.S. 1081</w:t>
      </w:r>
    </w:p>
    <w:p w:rsidR="00A31137" w:rsidRPr="00A31137" w:rsidRDefault="00A31137" w:rsidP="00A31137">
      <w:r w:rsidRPr="00A31137">
        <w:t>I agree with much of THE CHIEF JUSTICE's opinion. In particular, I agree that a State may regulate speech by lawyers representing clients in pending cases more readily than it may regulate the press. Lawyers are officers of the court, [501 U.S. 1082] and, as such, may legitimately be subject to ethical precepts that keep them from engaging in what otherwise might be constitutionally protected speech. See In re Sawyer, 360 U.S. 622, 646-647 (1959) (Stewart, J., concurring in result). This does not mean, of course, that lawyers forfeit their First Amendment rights, only that a less demanding standard applies. I agree with THE CHIEF JUSTICE that the "substantial likelihood of material prejudice" standard articulated in Rule 177 passes constitutional muster. Accordingly, I join Parts I and II of THE CHIEF JUSTICE's opinion.</w:t>
      </w:r>
    </w:p>
    <w:p w:rsidR="00A31137" w:rsidRPr="00A31137" w:rsidRDefault="00A31137" w:rsidP="00A31137">
      <w:r w:rsidRPr="00A31137">
        <w:t>1991, Gentile v. State Bar of Nevada, 501 U.S. 1082</w:t>
      </w:r>
    </w:p>
    <w:p w:rsidR="00A31137" w:rsidRPr="00A31137" w:rsidRDefault="00A31137" w:rsidP="00A31137">
      <w:r w:rsidRPr="00A31137">
        <w:t>For the reasons set out in Part III of JUSTICE KENNEDY's opinion, however, I believe that Nevada's Rule is void for vagueness. Section (3) of Rule 177 is a "safe harbor" provision. It states that, "notwithstanding" the prohibitory language located elsewhere in the Rule, "a lawyer involved in the investigation or litigation may state without elaboration…[t]he general nature of the claim or defense." Gentile made a conscious effort to stay within the boundaries of this "safe harbor." In his brief press conference, Gentile gave only a rough sketch of the defense that he intended to present at trial—i.e., that Detective Scholl, not Grady Sanders, stole the cocaine and traveler's checks. When asked to provide more details, he declined, stating explicitly that the ethical rules compelled him to do so. Ante at  1049. Nevertheless, the disciplinary board sanctioned Gentile because, in its view, his remarks went beyond the scope of what was permitted by the Rule. Both Gentile and the disciplinary board have valid arguments on their side, but this serves to support the view that the Rule provides insufficient guidance. As JUSTICE KENNEDY correctly points out, a vague law offends the Constitution because it fails to give fair notice to those it is intended to deter, and creates the possibility of discriminatory enforcement. See Pacific Mut. Life Ins. Co. v. Haslip, 499 U.S. 1, 42 (1991) (O'CONNOR, J., dissenting). I join Parts III and VI of JUSTICE KENNEDY's opinion reversing the judgment of the Nevada Supreme Court on that basis.</w:t>
      </w:r>
    </w:p>
    <w:p w:rsidR="00A31137" w:rsidRPr="00A31137" w:rsidRDefault="00A31137" w:rsidP="00A31137">
      <w:r w:rsidRPr="00A31137">
        <w:t>Footnotes</w:t>
      </w:r>
    </w:p>
    <w:p w:rsidR="00A31137" w:rsidRPr="00A31137" w:rsidRDefault="00A31137" w:rsidP="00A31137">
      <w:r w:rsidRPr="00A31137">
        <w:t>KENNEDY, J., lead opinion (Footnotes)</w:t>
      </w:r>
    </w:p>
    <w:p w:rsidR="00A31137" w:rsidRPr="00A31137" w:rsidRDefault="00A31137" w:rsidP="00A31137">
      <w:r w:rsidRPr="00A31137">
        <w:t>1991, Gentile v. State Bar of Nevada, 501 U.S. 1082</w:t>
      </w:r>
    </w:p>
    <w:p w:rsidR="00A31137" w:rsidRPr="00A31137" w:rsidRDefault="00A31137" w:rsidP="00A31137">
      <w:r w:rsidRPr="00A31137">
        <w:t>1. The sole summary of television reports of the press conference contained in the record is as follows:</w:t>
      </w:r>
    </w:p>
    <w:p w:rsidR="00A31137" w:rsidRPr="00A31137" w:rsidRDefault="00A31137" w:rsidP="00A31137">
      <w:r w:rsidRPr="00A31137">
        <w:t>1991, Gentile v. State Bar of Nevada, 501 U.S. 1082</w:t>
      </w:r>
    </w:p>
    <w:p w:rsidR="00A31137" w:rsidRPr="00A31137" w:rsidRDefault="00A31137" w:rsidP="00A31137">
      <w:r w:rsidRPr="00A31137">
        <w:t>2-5-88: GENTILE NEWS CONFERENCE STORY. GENTILE COMPARES THE W. VAULT BURGLARY TO THE FRENCH CONNECTION CASE IN WHICH THE BAD GUYS WERE COPS. GENTILE SAYS THE EVIDENCE IS CIRCUMSTANTIAL AND THAT THE COPS SEEM THE MORE LIKELY CULPRITS, THAT DET. SCHOLL HAS SHOWN SIGNS OF DRUG USE, THAT THE OTHER CUSTOMERS WERE PRESSURED INTO COMPLAINING BY METRO, THAT THOSE CUSTOMERS ARE KNOWN DRUG DEALERS, AND THAT OTHER AGENCIES HAVE OPERATED OUT OF W. VAULT WITHOUT HAVING SIMILAR PROBLEMS.</w:t>
      </w:r>
    </w:p>
    <w:p w:rsidR="00A31137" w:rsidRPr="00A31137" w:rsidRDefault="00A31137" w:rsidP="00A31137">
      <w:r w:rsidRPr="00A31137">
        <w:t>1991, Gentile v. State Bar of Nevada, 501 U.S. 1082</w:t>
      </w:r>
    </w:p>
    <w:p w:rsidR="00A31137" w:rsidRPr="00A31137" w:rsidRDefault="00A31137" w:rsidP="00A31137">
      <w:r w:rsidRPr="00A31137">
        <w:t>2-588: METRO NEWS CONFERENCE IN WHICH CHIEF SULLIVAN EXPLAINS THAT THE OFFICERS INVOLVED HAVE BEEN CLEARED BY POLYGRAPH TESTS. STORY MENTIONS THAT THE POLYGRAPHER WAS RAY SLAUGHTER, UNUSUAL BECAUSE SLAUGHTER IS A PRIVATE EXAMINER, NOT A METRO EXAMINER. REPORTER DETAILS SLAUGHTER'S BACKGROUND, INCLUDING HIS TEST OF JOHN MORAN REGARDING SPILOTRO CONTRIBUTIONS. ALSO MENTIONS SLAUGHTER's DRUG BUST, SPECULATES ABOUT WHETHER IT WAS A SETUP BY THE FBI. QUOTES GENTILE AS SAYING THE TWO CASES ARE DEFINITELY RELATED.</w:t>
      </w:r>
    </w:p>
    <w:p w:rsidR="00A31137" w:rsidRPr="00A31137" w:rsidRDefault="00A31137" w:rsidP="00A31137">
      <w:r w:rsidRPr="00A31137">
        <w:t>1991, Gentile v. State Bar of Nevada, 501 U.S. 1082</w:t>
      </w:r>
    </w:p>
    <w:p w:rsidR="00A31137" w:rsidRPr="00A31137" w:rsidRDefault="00A31137" w:rsidP="00A31137">
      <w:r w:rsidRPr="00A31137">
        <w:t>APP. 131-132 (emphasis added).</w:t>
      </w:r>
    </w:p>
    <w:p w:rsidR="00A31137" w:rsidRPr="00A31137" w:rsidRDefault="00A31137" w:rsidP="00A31137">
      <w:r w:rsidRPr="00A31137">
        <w:t>1991, Gentile v. State Bar of Nevada, 501 U.S. 1082</w:t>
      </w:r>
    </w:p>
    <w:p w:rsidR="00A31137" w:rsidRPr="00A31137" w:rsidRDefault="00A31137" w:rsidP="00A31137">
      <w:r w:rsidRPr="00A31137">
        <w:t>2. Other occasions are as follows:</w:t>
      </w:r>
    </w:p>
    <w:p w:rsidR="00A31137" w:rsidRPr="00A31137" w:rsidRDefault="00A31137" w:rsidP="00A31137">
      <w:r w:rsidRPr="00A31137">
        <w:t>1991, Gentile v. State Bar of Nevada, 501 U.S. 1082</w:t>
      </w:r>
    </w:p>
    <w:p w:rsidR="00A31137" w:rsidRPr="00A31137" w:rsidRDefault="00A31137" w:rsidP="00A31137">
      <w:r w:rsidRPr="00A31137">
        <w:t>QUESTION FROM THE FLOOR: Do you believe any other police officers other than Scholl were involved in the disappearance of the dope and—</w:t>
      </w:r>
    </w:p>
    <w:p w:rsidR="00A31137" w:rsidRPr="00A31137" w:rsidRDefault="00A31137" w:rsidP="00A31137">
      <w:r w:rsidRPr="00A31137">
        <w:t>1991, Gentile v. State Bar of Nevada, 501 U.S. 1082</w:t>
      </w:r>
    </w:p>
    <w:p w:rsidR="00A31137" w:rsidRPr="00A31137" w:rsidRDefault="00A31137" w:rsidP="00A31137">
      <w:r w:rsidRPr="00A31137">
        <w:t>MR. GENTILE: Let me ay this: what I believe and what the proof is are two different things. Okay? I'm reluctant to discuss what I believe because I don't want to slander somebody, but I can tell you that the proof shows that Scholl is the guy that is most likely to have taken the cocaine and the American Express traveler's checks.</w:t>
      </w:r>
    </w:p>
    <w:p w:rsidR="00A31137" w:rsidRPr="00A31137" w:rsidRDefault="00A31137" w:rsidP="00A31137">
      <w:r w:rsidRPr="00A31137">
        <w:t>1991, Gentile v. State Bar of Nevada, 501 U.S. 1082</w:t>
      </w:r>
    </w:p>
    <w:p w:rsidR="00A31137" w:rsidRPr="00A31137" w:rsidRDefault="00A31137" w:rsidP="00A31137">
      <w:r w:rsidRPr="00A31137">
        <w:t>QUESTION FROM THE FLOOR: What is that? What is that proof?</w:t>
      </w:r>
    </w:p>
    <w:p w:rsidR="00A31137" w:rsidRPr="00A31137" w:rsidRDefault="00A31137" w:rsidP="00A31137">
      <w:r w:rsidRPr="00A31137">
        <w:t>1991, Gentile v. State Bar of Nevada, 501 U.S. 1082</w:t>
      </w:r>
    </w:p>
    <w:p w:rsidR="00A31137" w:rsidRPr="00A31137" w:rsidRDefault="00A31137" w:rsidP="00A31137">
      <w:r w:rsidRPr="00A31137">
        <w:t>MR. GENTILE: It'll come out; it'll come out.</w:t>
      </w:r>
    </w:p>
    <w:p w:rsidR="00A31137" w:rsidRPr="00A31137" w:rsidRDefault="00A31137" w:rsidP="00A31137">
      <w:r w:rsidRPr="00A31137">
        <w:t>1991, Gentile v. State Bar of Nevada, 501 U.S. 1082</w:t>
      </w:r>
    </w:p>
    <w:p w:rsidR="00A31137" w:rsidRPr="00A31137" w:rsidRDefault="00A31137" w:rsidP="00A31137">
      <w:r w:rsidRPr="00A31137">
        <w:t>App. to Pet. for Cert. 9a.</w:t>
      </w:r>
    </w:p>
    <w:p w:rsidR="00A31137" w:rsidRPr="00A31137" w:rsidRDefault="00A31137" w:rsidP="00A31137">
      <w:r w:rsidRPr="00A31137">
        <w:t>1991, Gentile v. State Bar of Nevada, 501 U.S. 1082</w:t>
      </w:r>
    </w:p>
    <w:p w:rsidR="00A31137" w:rsidRPr="00A31137" w:rsidRDefault="00A31137" w:rsidP="00A31137">
      <w:r w:rsidRPr="00A31137">
        <w:t>QUESTION FROM THE FLOOR: I have seen reports that the FBI seems to think sort of along the lines that you do.</w:t>
      </w:r>
    </w:p>
    <w:p w:rsidR="00A31137" w:rsidRPr="00A31137" w:rsidRDefault="00A31137" w:rsidP="00A31137">
      <w:r w:rsidRPr="00A31137">
        <w:t>1991, Gentile v. State Bar of Nevada, 501 U.S. 1082</w:t>
      </w:r>
    </w:p>
    <w:p w:rsidR="00A31137" w:rsidRPr="00A31137" w:rsidRDefault="00A31137" w:rsidP="00A31137">
      <w:r w:rsidRPr="00A31137">
        <w:t>MR. GENTILE: Well, I couldn't agree with them more.</w:t>
      </w:r>
    </w:p>
    <w:p w:rsidR="00A31137" w:rsidRPr="00A31137" w:rsidRDefault="00A31137" w:rsidP="00A31137">
      <w:r w:rsidRPr="00A31137">
        <w:t>1991, Gentile v. State Bar of Nevada, 501 U.S. 1082</w:t>
      </w:r>
    </w:p>
    <w:p w:rsidR="00A31137" w:rsidRPr="00A31137" w:rsidRDefault="00A31137" w:rsidP="00A31137">
      <w:r w:rsidRPr="00A31137">
        <w:t>QUESTION FROM THE FLOOR: Do you know anything about it?</w:t>
      </w:r>
    </w:p>
    <w:p w:rsidR="00A31137" w:rsidRPr="00A31137" w:rsidRDefault="00A31137" w:rsidP="00A31137">
      <w:r w:rsidRPr="00A31137">
        <w:t>1991, Gentile v. State Bar of Nevada, 501 U.S. 1082</w:t>
      </w:r>
    </w:p>
    <w:p w:rsidR="00A31137" w:rsidRPr="00A31137" w:rsidRDefault="00A31137" w:rsidP="00A31137">
      <w:r w:rsidRPr="00A31137">
        <w:t>MR. GENTILE: Yes, I do; but again, Dan, I'm not in a position to be able to discuss that now.</w:t>
      </w:r>
    </w:p>
    <w:p w:rsidR="00A31137" w:rsidRPr="00A31137" w:rsidRDefault="00A31137" w:rsidP="00A31137">
      <w:r w:rsidRPr="00A31137">
        <w:t>1991, Gentile v. State Bar of Nevada, 501 U.S. 1082</w:t>
      </w:r>
    </w:p>
    <w:p w:rsidR="00A31137" w:rsidRPr="00A31137" w:rsidRDefault="00A31137" w:rsidP="00A31137">
      <w:r w:rsidRPr="00A31137">
        <w:t>All I can tell you is that you're in for a very interesting six months to a year as this case develops.</w:t>
      </w:r>
    </w:p>
    <w:p w:rsidR="00A31137" w:rsidRPr="00A31137" w:rsidRDefault="00A31137" w:rsidP="00A31137">
      <w:r w:rsidRPr="00A31137">
        <w:t>1991, Gentile v. State Bar of Nevada, 501 U.S. 1082</w:t>
      </w:r>
    </w:p>
    <w:p w:rsidR="00A31137" w:rsidRPr="00A31137" w:rsidRDefault="00A31137" w:rsidP="00A31137">
      <w:r w:rsidRPr="00A31137">
        <w:t>Id. at 10a.</w:t>
      </w:r>
    </w:p>
    <w:p w:rsidR="00A31137" w:rsidRPr="00A31137" w:rsidRDefault="00A31137" w:rsidP="00A31137">
      <w:r w:rsidRPr="00A31137">
        <w:t>1991, Gentile v. State Bar of Nevada, 501 U.S. 1082</w:t>
      </w:r>
    </w:p>
    <w:p w:rsidR="00A31137" w:rsidRPr="00A31137" w:rsidRDefault="00A31137" w:rsidP="00A31137">
      <w:r w:rsidRPr="00A31137">
        <w:t>QUESTION FROM THE FLOOR: Did the cops pass the polygraph?</w:t>
      </w:r>
    </w:p>
    <w:p w:rsidR="00A31137" w:rsidRPr="00A31137" w:rsidRDefault="00A31137" w:rsidP="00A31137">
      <w:r w:rsidRPr="00A31137">
        <w:t>1991, Gentile v. State Bar of Nevada, 501 U.S. 1082</w:t>
      </w:r>
    </w:p>
    <w:p w:rsidR="00A31137" w:rsidRPr="00A31137" w:rsidRDefault="00A31137" w:rsidP="00A31137">
      <w:r w:rsidRPr="00A31137">
        <w:t>MR. GENTILE: Well, I would like to give you a comment on that, except that Ray Slaughter's trial is coming up, and I don't want to get in the way of anybody being able to defend themselves.</w:t>
      </w:r>
    </w:p>
    <w:p w:rsidR="00A31137" w:rsidRPr="00A31137" w:rsidRDefault="00A31137" w:rsidP="00A31137">
      <w:r w:rsidRPr="00A31137">
        <w:t>1991, Gentile v. State Bar of Nevada, 501 U.S. 1082</w:t>
      </w:r>
    </w:p>
    <w:p w:rsidR="00A31137" w:rsidRPr="00A31137" w:rsidRDefault="00A31137" w:rsidP="00A31137">
      <w:r w:rsidRPr="00A31137">
        <w:t>QUESTION FROM THE FLOOR: Do you think the Slaughter case—that there's a connection?</w:t>
      </w:r>
    </w:p>
    <w:p w:rsidR="00A31137" w:rsidRPr="00A31137" w:rsidRDefault="00A31137" w:rsidP="00A31137">
      <w:r w:rsidRPr="00A31137">
        <w:t>1991, Gentile v. State Bar of Nevada, 501 U.S. 1082</w:t>
      </w:r>
    </w:p>
    <w:p w:rsidR="00A31137" w:rsidRPr="00A31137" w:rsidRDefault="00A31137" w:rsidP="00A31137">
      <w:r w:rsidRPr="00A31137">
        <w:t>MR. GENTILE: Absolutely. I don't think there is any question about it, and—</w:t>
      </w:r>
    </w:p>
    <w:p w:rsidR="00A31137" w:rsidRPr="00A31137" w:rsidRDefault="00A31137" w:rsidP="00A31137">
      <w:r w:rsidRPr="00A31137">
        <w:t>1991, Gentile v. State Bar of Nevada, 501 U.S. 1082</w:t>
      </w:r>
    </w:p>
    <w:p w:rsidR="00A31137" w:rsidRPr="00A31137" w:rsidRDefault="00A31137" w:rsidP="00A31137">
      <w:r w:rsidRPr="00A31137">
        <w:t>QUESTION FROM THE FLOOR: What is that?</w:t>
      </w:r>
    </w:p>
    <w:p w:rsidR="00A31137" w:rsidRPr="00A31137" w:rsidRDefault="00A31137" w:rsidP="00A31137">
      <w:r w:rsidRPr="00A31137">
        <w:t>1991, Gentile v. State Bar of Nevada, 501 U.S. 1082</w:t>
      </w:r>
    </w:p>
    <w:p w:rsidR="00A31137" w:rsidRPr="00A31137" w:rsidRDefault="00A31137" w:rsidP="00A31137">
      <w:r w:rsidRPr="00A31137">
        <w:t>MR. GENTILE: Well, it's intertwined to a great deal, I think.</w:t>
      </w:r>
    </w:p>
    <w:p w:rsidR="00A31137" w:rsidRPr="00A31137" w:rsidRDefault="00A31137" w:rsidP="00A31137">
      <w:r w:rsidRPr="00A31137">
        <w:t>1991, Gentile v. State Bar of Nevada, 501 U.S. 1082</w:t>
      </w:r>
    </w:p>
    <w:p w:rsidR="00A31137" w:rsidRPr="00A31137" w:rsidRDefault="00A31137" w:rsidP="00A31137">
      <w:r w:rsidRPr="00A31137">
        <w:t>I know that what I think the connection is, again, is something I believe to be true. I can't point to it being true and until I can—I'm not going to say anything.</w:t>
      </w:r>
    </w:p>
    <w:p w:rsidR="00A31137" w:rsidRPr="00A31137" w:rsidRDefault="00A31137" w:rsidP="00A31137">
      <w:r w:rsidRPr="00A31137">
        <w:t>1991, Gentile v. State Bar of Nevada, 501 U.S. 1082</w:t>
      </w:r>
    </w:p>
    <w:p w:rsidR="00A31137" w:rsidRPr="00A31137" w:rsidRDefault="00A31137" w:rsidP="00A31137">
      <w:r w:rsidRPr="00A31137">
        <w:t>QUESTION FROM THE FLOOR: Do you think the police involved in this passed legitimate—legitimately passed lie detector tests?</w:t>
      </w:r>
    </w:p>
    <w:p w:rsidR="00A31137" w:rsidRPr="00A31137" w:rsidRDefault="00A31137" w:rsidP="00A31137">
      <w:r w:rsidRPr="00A31137">
        <w:t>1991, Gentile v. State Bar of Nevada, 501 U.S. 1082</w:t>
      </w:r>
    </w:p>
    <w:p w:rsidR="00A31137" w:rsidRPr="00A31137" w:rsidRDefault="00A31137" w:rsidP="00A31137">
      <w:r w:rsidRPr="00A31137">
        <w:t>MR. GENTILE: I don't want to comment on that for two reasons:</w:t>
      </w:r>
    </w:p>
    <w:p w:rsidR="00A31137" w:rsidRPr="00A31137" w:rsidRDefault="00A31137" w:rsidP="00A31137">
      <w:r w:rsidRPr="00A31137">
        <w:t>1991, Gentile v. State Bar of Nevada, 501 U.S. 1082</w:t>
      </w:r>
    </w:p>
    <w:p w:rsidR="00A31137" w:rsidRPr="00A31137" w:rsidRDefault="00A31137" w:rsidP="00A31137">
      <w:r w:rsidRPr="00A31137">
        <w:t>Number one, again, Ray Slaughter is coming up for trial, and it wouldn't be right to call him a liar if I didn't think that it were true.</w:t>
      </w:r>
    </w:p>
    <w:p w:rsidR="00A31137" w:rsidRPr="00A31137" w:rsidRDefault="00A31137" w:rsidP="00A31137">
      <w:r w:rsidRPr="00A31137">
        <w:t>1991, Gentile v. State Bar of Nevada, 501 U.S. 1082</w:t>
      </w:r>
    </w:p>
    <w:p w:rsidR="00A31137" w:rsidRPr="00A31137" w:rsidRDefault="00A31137" w:rsidP="00A31137">
      <w:r w:rsidRPr="00A31137">
        <w:t>But, secondly, I don't have much faith in polygraph tests.</w:t>
      </w:r>
    </w:p>
    <w:p w:rsidR="00A31137" w:rsidRPr="00A31137" w:rsidRDefault="00A31137" w:rsidP="00A31137">
      <w:r w:rsidRPr="00A31137">
        <w:t>1991, Gentile v. State Bar of Nevada, 501 U.S. 1082</w:t>
      </w:r>
    </w:p>
    <w:p w:rsidR="00A31137" w:rsidRPr="00A31137" w:rsidRDefault="00A31137" w:rsidP="00A31137">
      <w:r w:rsidRPr="00A31137">
        <w:t>QUESTION FROM THE FLOOR: Did [Sanders] ever take one?</w:t>
      </w:r>
    </w:p>
    <w:p w:rsidR="00A31137" w:rsidRPr="00A31137" w:rsidRDefault="00A31137" w:rsidP="00A31137">
      <w:r w:rsidRPr="00A31137">
        <w:t>1991, Gentile v. State Bar of Nevada, 501 U.S. 1082</w:t>
      </w:r>
    </w:p>
    <w:p w:rsidR="00A31137" w:rsidRPr="00A31137" w:rsidRDefault="00A31137" w:rsidP="00A31137">
      <w:r w:rsidRPr="00A31137">
        <w:t>MR. GENTILE: The police polygraph?</w:t>
      </w:r>
    </w:p>
    <w:p w:rsidR="00A31137" w:rsidRPr="00A31137" w:rsidRDefault="00A31137" w:rsidP="00A31137">
      <w:r w:rsidRPr="00A31137">
        <w:t>1991, Gentile v. State Bar of Nevada, 501 U.S. 1082</w:t>
      </w:r>
    </w:p>
    <w:p w:rsidR="00A31137" w:rsidRPr="00A31137" w:rsidRDefault="00A31137" w:rsidP="00A31137">
      <w:r w:rsidRPr="00A31137">
        <w:t>QUESTION FROM THE FLOOR: Yes.</w:t>
      </w:r>
    </w:p>
    <w:p w:rsidR="00A31137" w:rsidRPr="00A31137" w:rsidRDefault="00A31137" w:rsidP="00A31137">
      <w:r w:rsidRPr="00A31137">
        <w:t>1991, Gentile v. State Bar of Nevada, 501 U.S. 1082</w:t>
      </w:r>
    </w:p>
    <w:p w:rsidR="00A31137" w:rsidRPr="00A31137" w:rsidRDefault="00A31137" w:rsidP="00A31137">
      <w:r w:rsidRPr="00A31137">
        <w:t>MR. GENTILE: No, he didn't take a police polygraph.</w:t>
      </w:r>
    </w:p>
    <w:p w:rsidR="00A31137" w:rsidRPr="00A31137" w:rsidRDefault="00A31137" w:rsidP="00A31137">
      <w:r w:rsidRPr="00A31137">
        <w:t>1991, Gentile v. State Bar of Nevada, 501 U.S. 1082</w:t>
      </w:r>
    </w:p>
    <w:p w:rsidR="00A31137" w:rsidRPr="00A31137" w:rsidRDefault="00A31137" w:rsidP="00A31137">
      <w:r w:rsidRPr="00A31137">
        <w:t>QUESTION FROM THE FLOOR: Did he take one with you?</w:t>
      </w:r>
    </w:p>
    <w:p w:rsidR="00A31137" w:rsidRPr="00A31137" w:rsidRDefault="00A31137" w:rsidP="00A31137">
      <w:r w:rsidRPr="00A31137">
        <w:t>1991, Gentile v. State Bar of Nevada, 501 U.S. 1082</w:t>
      </w:r>
    </w:p>
    <w:p w:rsidR="00A31137" w:rsidRPr="00A31137" w:rsidRDefault="00A31137" w:rsidP="00A31137">
      <w:r w:rsidRPr="00A31137">
        <w:t>MR. GENTILE: I'm not going to disclose that now.</w:t>
      </w:r>
    </w:p>
    <w:p w:rsidR="00A31137" w:rsidRPr="00A31137" w:rsidRDefault="00A31137" w:rsidP="00A31137">
      <w:r w:rsidRPr="00A31137">
        <w:t>1991, Gentile v. State Bar of Nevada, 501 U.S. 1082</w:t>
      </w:r>
    </w:p>
    <w:p w:rsidR="00A31137" w:rsidRPr="00A31137" w:rsidRDefault="00A31137" w:rsidP="00A31137">
      <w:r w:rsidRPr="00A31137">
        <w:t>Id. at 12a-13a.</w:t>
      </w:r>
    </w:p>
    <w:p w:rsidR="00A31137" w:rsidRPr="00A31137" w:rsidRDefault="00A31137" w:rsidP="00A31137">
      <w:r w:rsidRPr="00A31137">
        <w:t>1991, Gentile v. State Bar of Nevada, 501 U.S. 1082</w:t>
      </w:r>
    </w:p>
    <w:p w:rsidR="00A31137" w:rsidRPr="00A31137" w:rsidRDefault="00A31137" w:rsidP="00A31137">
      <w:r w:rsidRPr="00A31137">
        <w:t>3. Petitioner argues that Rule 177(2) is a categorical speech prohibition which fails First Amendment analysis because of overbreadth. Petitioner interprets this subsection as providing that particular statements are "presumptively prohibited regardless of the circumstances surrounding the speech." Brief for Petitioner 48. Respondent does not read Rule 177(2)'s list of statements "ordinarily likely" to create material prejudice as establishing an evidentiary presumption, but rather as intended to "assist a lawyer" in compliance. Brief for Respondent 28, n. 27. The opinions of the Disciplinary Board and the Nevada Supreme Court do not address this point, though petitioner's reading is plausible, and at least one treatise supports petitioner's reading. See G. Hazard &amp; W. Hodes, The Law of Lawyering: A Handbook on the Model Rules of Professional Conduct 398-399 (1985) (analogous subsection (b) of ABA Model Rule 3.6 creates a presumption of prejudice). Given the lack of any discussion in the lower court opinion, and the other difficulties we find, we do not address these arguments.</w:t>
      </w:r>
    </w:p>
    <w:p w:rsidR="00A31137" w:rsidRPr="00A31137" w:rsidRDefault="00A31137" w:rsidP="00A31137">
      <w:r w:rsidRPr="00A31137">
        <w:t>REHNQUIST, J., lead opinion (Footnotes)</w:t>
      </w:r>
    </w:p>
    <w:p w:rsidR="00A31137" w:rsidRPr="00A31137" w:rsidRDefault="00A31137" w:rsidP="00A31137">
      <w:r w:rsidRPr="00A31137">
        <w:t>1991, Gentile v. State Bar of Nevada, 501 U.S. 1082</w:t>
      </w:r>
    </w:p>
    <w:p w:rsidR="00A31137" w:rsidRPr="00A31137" w:rsidRDefault="00A31137" w:rsidP="00A31137">
      <w:r w:rsidRPr="00A31137">
        <w:t>1. Arizona, Arkansas, Connecticut, Idaho, Indiana, Kansas, Kentucky, Maryland, Mississippi, Missouri, New Mexico, Pennsylvania, Rhode Island, South Carolina, West Virginia, and Wyoming have adopted Model Rule 3.6 verbatim. Delaware, Florida, Louisiana, Montana, New Hampshire, New Jersey, New York, Oklahoma, South Dakota, Texas, and Wisconsin have adopted Model Rule 3.6 with minor modifications that are irrelevant to the issues presented in this case. Michigan and Washington have adopted only subsection (a) of Model Rule 3.6, and Minnesota has adopted only subsection (a), and limits its application to "pending criminal jury trial[s]." Utah adopted a version of Model Rule 3.6 employing a "substantial likelihood of materially influencing" test.</w:t>
      </w:r>
    </w:p>
    <w:p w:rsidR="00A31137" w:rsidRPr="00A31137" w:rsidRDefault="00A31137" w:rsidP="00A31137">
      <w:r w:rsidRPr="00A31137">
        <w:t>1991, Gentile v. State Bar of Nevada, 501 U.S. 1082</w:t>
      </w:r>
    </w:p>
    <w:p w:rsidR="00A31137" w:rsidRPr="00A31137" w:rsidRDefault="00A31137" w:rsidP="00A31137">
      <w:r w:rsidRPr="00A31137">
        <w:t>2. Alaska, Colorado, Georgia, Hawaii, Iowa, Massachusetts, Nebraska, Ohio, Tennessee, and Vermont have adopted Disciplinary Rule 7-107 verbatim. North Carolina also uses the "reasonable likelihood of…prejudic[e]" test. Rule of Professional Conduct 7.7 (1991).</w:t>
      </w:r>
    </w:p>
    <w:p w:rsidR="00A31137" w:rsidRPr="00A31137" w:rsidRDefault="00A31137" w:rsidP="00A31137">
      <w:r w:rsidRPr="00A31137">
        <w:t>1991, Gentile v. State Bar of Nevada, 501 U.S. 1082</w:t>
      </w:r>
    </w:p>
    <w:p w:rsidR="00A31137" w:rsidRPr="00A31137" w:rsidRDefault="00A31137" w:rsidP="00A31137">
      <w:r w:rsidRPr="00A31137">
        <w:t>3. Illinois Rule of Professional Conduct 3.6 (1990) ("serious and imminent threat to the fairness of an adjudicative proceeding"); Maine Bar Rule of Professional Responsibility 3.7(j) (1990) ("substantial danger of interference with the administration of justice"); North Dakota Rule of Professional Conduct 3.6 (1990) ("serious and imminent threat of materially prejudicing an adjudicative proceeding"); Oregon DR 7-107 (1991) ("serious and imminent threat to the factfinding process in an adjudicative proceeding and acts with indifference to that effect"); and the District of Columbia DR 7-101 (Supp. 1991) ("serious and imminent threat to the impartiality of the judge or jury").</w:t>
      </w:r>
    </w:p>
    <w:p w:rsidR="00A31137" w:rsidRPr="00A31137" w:rsidRDefault="00A31137" w:rsidP="00A31137">
      <w:r w:rsidRPr="00A31137">
        <w:t>1991, Gentile v. State Bar of Nevada, 501 U.S. 1082</w:t>
      </w:r>
    </w:p>
    <w:p w:rsidR="00A31137" w:rsidRPr="00A31137" w:rsidRDefault="00A31137" w:rsidP="00A31137">
      <w:r w:rsidRPr="00A31137">
        <w:t>4. We disagree with JUSTICE KENNEDY's statement that this case "does not call into question the constitutionality of other States' prohibitions upon an attorney's speech that will have a "substantial likelihood of materially prejudicing an adjudicative proceeding," but is limited to Nevada's interpretation of that standard." Ante at  1034. Petitioner challenged Rule 177 as being unconstitutional on its face in addition to as applied, contending that the "substantial likelihood of material prejudice" test was unconstitutional, and that lawyer speech should be punished only if it violates the standard for clear and present danger set forth in Nebraska Press Assn. v. Stuart, 427 U.S. 539 (1976). See Brief for Petitioner 27-31. The validity of the rules in the many states applying the "substantial likelihood of material prejudice" test has, therefore, been called into question in this case.</w:t>
      </w:r>
    </w:p>
    <w:p w:rsidR="00A31137" w:rsidRPr="00A31137" w:rsidRDefault="00A31137" w:rsidP="00A31137">
      <w:r w:rsidRPr="00A31137">
        <w:t>1991, Gentile v. State Bar of Nevada, 501 U.S. 1082</w:t>
      </w:r>
    </w:p>
    <w:p w:rsidR="00A31137" w:rsidRPr="00A31137" w:rsidRDefault="00A31137" w:rsidP="00A31137">
      <w:r w:rsidRPr="00A31137">
        <w:t>5. The Nevada Supreme Court has consistently read all parts of Rule 177 as applying only to lawyers in pending cases, and not to other lawyers or nonlawyers. We express no opinion on the constitutionality of a rule regulating the statements of a lawyer who is not participating in the pending case about which the statements are made. We note that, of all the cases petitioner cites as supporting the use of the clear and present danger standard, the only one that even arguably involved a non-third-party was Wood v. Georgia, 370 U.S. 375 (1962), where a county sheriff was held in contempt for publicly criticizing instructions given by a judge to a grand jury. Although the sheriff was technically an "officer of the court" by virtue of his position, the Court determined that his statements were made in his capacity as a private citizen, with no connection to his official duties. Id. at 393. The same cannot be said about petitioner, whose statements were made in the course of, and in furtherance of, his role as defense counsel.</w:t>
      </w:r>
    </w:p>
    <w:p w:rsidR="00A31137" w:rsidRPr="00A31137" w:rsidRDefault="00A31137" w:rsidP="00A31137">
      <w:r w:rsidRPr="00A31137">
        <w:t>1991, Gentile v. State Bar of Nevada, 501 U.S. 1082</w:t>
      </w:r>
    </w:p>
    <w:p w:rsidR="00A31137" w:rsidRPr="00A31137" w:rsidRDefault="00A31137" w:rsidP="00A31137">
      <w:r w:rsidRPr="00A31137">
        <w:t>6. JUSTICE KENNEDY appears to contend that there can be no material prejudice when the lawyer's publicity is in response to publicity favorable to the other side. Ante at 1041-1043. JUSTICE KENNEDY would find that publicity designed to counter prejudicial publicity cannot be itself prejudicial, despite its likelihood of influencing potential jurors, unless it actually would go so far as to cause jurors to be affirmatively biased in favor of the lawyer's client. In the first place, such a test would be difficult, if not impossible, to apply. But more fundamentally, it misconceives the constitutional test for an impartial juror—whether the "'juror can lay aside his impression or opinion and render a verdict on the evidence presented in court.'" Murphy v. Florida, 421 U.S. 794, 800 (1975) (quoting Irvin v. Dowd, 366 U.S. 717, 723 (1961)). A juror who may have been initially swayed from open-mindedness by publicity favorable to the prosecution is not rendered fit for service by being bombarded by publicity favorable to the defendant. The basic premise of our legal system is that lawsuits should be tried in court, not in the media. See, e.g., Bridges v. California, 314 U.S. 252,  271 (1941); Patterson v. Colorado ex rel. Attorney General of Colorado, 205 U.S. 454, 462 (1970). A defendant may be protected from publicity by, or in favor of, the police, and prosecution through voir dire, change of venue, jury instructions, and, in extreme cases, reversal on due process grounds. The remedy for prosecutorial abuses that violate the rule lies not in self-help in the form of similarly prejudicial comments by defense counsel, but in disciplining the prosecutor.</w:t>
      </w:r>
    </w:p>
    <w:p w:rsidR="00A31137" w:rsidRPr="00A31137" w:rsidRDefault="00A31137" w:rsidP="00A31137">
      <w:r w:rsidRPr="00A31137">
        <w:t>President Bush's State of the Union Address, 1992</w:t>
      </w:r>
    </w:p>
    <w:p w:rsidR="00A31137" w:rsidRPr="00A31137" w:rsidRDefault="00A31137" w:rsidP="00A31137">
      <w:r w:rsidRPr="00A31137">
        <w:t>Title:</w:t>
      </w:r>
      <w:r w:rsidRPr="00A31137">
        <w:tab/>
        <w:t>President Bush's State of the Union Address</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January 28, 1992</w:t>
      </w:r>
    </w:p>
    <w:p w:rsidR="00A31137" w:rsidRPr="00A31137" w:rsidRDefault="00A31137" w:rsidP="00A31137">
      <w:r w:rsidRPr="00A31137">
        <w:t>Source:</w:t>
      </w:r>
      <w:r w:rsidRPr="00A31137">
        <w:tab/>
        <w:t>Public Papers of the Presidents, Bush, 1992, pp.156-163</w:t>
      </w:r>
    </w:p>
    <w:p w:rsidR="00A31137" w:rsidRPr="00A31137" w:rsidRDefault="00A31137" w:rsidP="00A31137">
      <w:r w:rsidRPr="00A31137">
        <w:t>Public Papers of Bush, 1992, p.156</w:t>
      </w:r>
    </w:p>
    <w:p w:rsidR="00A31137" w:rsidRPr="00A31137" w:rsidRDefault="00A31137" w:rsidP="00A31137">
      <w:r w:rsidRPr="00A31137">
        <w:t>Mr. Speaker and Mr. President, distinguished Members of Congress, honored guests, and fellow citizens:</w:t>
      </w:r>
    </w:p>
    <w:p w:rsidR="00A31137" w:rsidRPr="00A31137" w:rsidRDefault="00A31137" w:rsidP="00A31137">
      <w:r w:rsidRPr="00A31137">
        <w:t>Public Papers of Bush, 1992, p.156</w:t>
      </w:r>
    </w:p>
    <w:p w:rsidR="00A31137" w:rsidRPr="00A31137" w:rsidRDefault="00A31137" w:rsidP="00A31137">
      <w:r w:rsidRPr="00A31137">
        <w:t>Thank you very much for that warm reception. You know, with the big buildup this address has had, I wanted to make sure it would be a big hit, but I couldn't convince Barbara to deliver it for me. [Laughter]</w:t>
      </w:r>
    </w:p>
    <w:p w:rsidR="00A31137" w:rsidRPr="00A31137" w:rsidRDefault="00A31137" w:rsidP="00A31137">
      <w:r w:rsidRPr="00A31137">
        <w:t>Public Papers of Bush, 1992, p.156</w:t>
      </w:r>
    </w:p>
    <w:p w:rsidR="00A31137" w:rsidRPr="00A31137" w:rsidRDefault="00A31137" w:rsidP="00A31137">
      <w:r w:rsidRPr="00A31137">
        <w:t>I see the Speaker and the Vice President are laughing. They saw what I did in Japan, and they're just happy they're sitting behind me. [Laughter]</w:t>
      </w:r>
    </w:p>
    <w:p w:rsidR="00A31137" w:rsidRPr="00A31137" w:rsidRDefault="00A31137" w:rsidP="00A31137">
      <w:r w:rsidRPr="00A31137">
        <w:t>Public Papers of Bush, 1992, p.156</w:t>
      </w:r>
    </w:p>
    <w:p w:rsidR="00A31137" w:rsidRPr="00A31137" w:rsidRDefault="00A31137" w:rsidP="00A31137">
      <w:r w:rsidRPr="00A31137">
        <w:t>I mean to speak tonight of big things, of big changes and the promises they hold, and of some big problems and how, together, we can solve them and move our country forward as the undisputed leader of the age.</w:t>
      </w:r>
    </w:p>
    <w:p w:rsidR="00A31137" w:rsidRPr="00A31137" w:rsidRDefault="00A31137" w:rsidP="00A31137">
      <w:r w:rsidRPr="00A31137">
        <w:t>Public Papers of Bush, 1992, p.156–p.157</w:t>
      </w:r>
    </w:p>
    <w:p w:rsidR="00A31137" w:rsidRPr="00A31137" w:rsidRDefault="00A31137" w:rsidP="00A31137">
      <w:r w:rsidRPr="00A31137">
        <w:t>We gather tonight at a dramatic and deeply promising time in our history and in the history of man on Earth. For in the past 12 months, the world has known changes of almost Biblical proportions. And even now, months after the failed coup that doomed a failed system, I'm not sure we've absorbed [p.157] the full impact, the full import of what happened. But communism died this year.</w:t>
      </w:r>
    </w:p>
    <w:p w:rsidR="00A31137" w:rsidRPr="00A31137" w:rsidRDefault="00A31137" w:rsidP="00A31137">
      <w:r w:rsidRPr="00A31137">
        <w:t>Public Papers of Bush, 1992, p.157</w:t>
      </w:r>
    </w:p>
    <w:p w:rsidR="00A31137" w:rsidRPr="00A31137" w:rsidRDefault="00A31137" w:rsidP="00A31137">
      <w:r w:rsidRPr="00A31137">
        <w:t>Even as President, with the most fascinating possible vantage point, there were times when I was so busy managing progress and helping to lead change that I didn't always show the joy that was in my heart. But the biggest thing that has happened in the world in my life, in our lives, is this: By the grace of God, America won the cold war.</w:t>
      </w:r>
    </w:p>
    <w:p w:rsidR="00A31137" w:rsidRPr="00A31137" w:rsidRDefault="00A31137" w:rsidP="00A31137">
      <w:r w:rsidRPr="00A31137">
        <w:t>Public Papers of Bush, 1992, p.157</w:t>
      </w:r>
    </w:p>
    <w:p w:rsidR="00A31137" w:rsidRPr="00A31137" w:rsidRDefault="00A31137" w:rsidP="00A31137">
      <w:r w:rsidRPr="00A31137">
        <w:t>I mean to speak this evening of the changes that can take place in our country, now that we can stop making the sacrifices we had to make when we had an avowed enemy that was a superpower. Now we can look homeward even more and move to set right what needs to be set right.</w:t>
      </w:r>
    </w:p>
    <w:p w:rsidR="00A31137" w:rsidRPr="00A31137" w:rsidRDefault="00A31137" w:rsidP="00A31137">
      <w:r w:rsidRPr="00A31137">
        <w:t>Public Papers of Bush, 1992, p.157</w:t>
      </w:r>
    </w:p>
    <w:p w:rsidR="00A31137" w:rsidRPr="00A31137" w:rsidRDefault="00A31137" w:rsidP="00A31137">
      <w:r w:rsidRPr="00A31137">
        <w:t>I will speak of those things. But let me tell you something I've been thinking these past few months. It's a kind of roll call of honor. For the cold war didn't end; it was won. And I think of those who won it, in places like Korea and Vietnam. And some of them didn't come back. Back then they were heroes, but this year they were victors.</w:t>
      </w:r>
    </w:p>
    <w:p w:rsidR="00A31137" w:rsidRPr="00A31137" w:rsidRDefault="00A31137" w:rsidP="00A31137">
      <w:r w:rsidRPr="00A31137">
        <w:t>Public Papers of Bush, 1992, p.157</w:t>
      </w:r>
    </w:p>
    <w:p w:rsidR="00A31137" w:rsidRPr="00A31137" w:rsidRDefault="00A31137" w:rsidP="00A31137">
      <w:r w:rsidRPr="00A31137">
        <w:t>The long roll call, all the G.I. Joes and Janes, all the ones who fought faithfully for freedom, who hit the ground and sucked the dust and knew their share of horror. This may seem frivolous, and I don't mean it so, but it's moving to me how the world saw them. The world saw not only their special valor but their special style: their rambunctious, optimistic bravery, their door-die unity unhampered by class or race or region. What a group we've put forth, for generations now, from the ones who wrote "Kilroy was here" on the walls of the German stalags to those who left signs in the Iraqi desert that said, "I saw Elvis." What a group of kids we've sent out into the world.</w:t>
      </w:r>
    </w:p>
    <w:p w:rsidR="00A31137" w:rsidRPr="00A31137" w:rsidRDefault="00A31137" w:rsidP="00A31137">
      <w:r w:rsidRPr="00A31137">
        <w:t>Public Papers of Bush, 1992, p.157</w:t>
      </w:r>
    </w:p>
    <w:p w:rsidR="00A31137" w:rsidRPr="00A31137" w:rsidRDefault="00A31137" w:rsidP="00A31137">
      <w:r w:rsidRPr="00A31137">
        <w:t>And there's another to be singled out, though it may seem inelegant, and I mean a mass of people called the American taxpayer. No one ever thinks to thank the people who pay a country's bill or an alliance's bill. But for half a century now, the American people have shouldered the burden and paid taxes that were higher than they would have been to support a defense that was bigger than it would have been if imperial communism had never existed. But it did; doesn't anymore. And here's a fact I wouldn't mind the world acknowledging: The American taxpayer bore the brunt of the burden and deserves a hunk of the glory.</w:t>
      </w:r>
    </w:p>
    <w:p w:rsidR="00A31137" w:rsidRPr="00A31137" w:rsidRDefault="00A31137" w:rsidP="00A31137">
      <w:r w:rsidRPr="00A31137">
        <w:t>Public Papers of Bush, 1992, p.157</w:t>
      </w:r>
    </w:p>
    <w:p w:rsidR="00A31137" w:rsidRPr="00A31137" w:rsidRDefault="00A31137" w:rsidP="00A31137">
      <w:r w:rsidRPr="00A31137">
        <w:t>So now, for the first time in 35 years, our strategic bombers stand down. No longer are they on 'round-the-clock alert. Tomorrow our children will go to school and study history and how plants grow. And they won't have, as my children did, air raid drills in which they crawl under their desks and cover their heads in case of nuclear war. My grandchildren don't have to do that and won't have the bad dreams children had once, in decades past. There are still threats. But the long, drawn-out dread is over.</w:t>
      </w:r>
    </w:p>
    <w:p w:rsidR="00A31137" w:rsidRPr="00A31137" w:rsidRDefault="00A31137" w:rsidP="00A31137">
      <w:r w:rsidRPr="00A31137">
        <w:t>Public Papers of Bush, 1992, p.157</w:t>
      </w:r>
    </w:p>
    <w:p w:rsidR="00A31137" w:rsidRPr="00A31137" w:rsidRDefault="00A31137" w:rsidP="00A31137">
      <w:r w:rsidRPr="00A31137">
        <w:t>A year ago tonight, I spoke to you at a moment of high peril. American forces had just unleashed Operation Desert Storm. And after 40 days in the desert skies and 4 days on the ground, the men and women of America's Armed Forces and our allies accomplished the goals that I declared and that you endorsed: We liberated Kuwait. Soon after, the Arab world and Israel sat down to talk seriously and comprehensively about peace, an historic first. And soon after that, at Christmas, the last American hostages came home. Our policies were vindicated.</w:t>
      </w:r>
    </w:p>
    <w:p w:rsidR="00A31137" w:rsidRPr="00A31137" w:rsidRDefault="00A31137" w:rsidP="00A31137">
      <w:r w:rsidRPr="00A31137">
        <w:t>Public Papers of Bush, 1992, p.157</w:t>
      </w:r>
    </w:p>
    <w:p w:rsidR="00A31137" w:rsidRPr="00A31137" w:rsidRDefault="00A31137" w:rsidP="00A31137">
      <w:r w:rsidRPr="00A31137">
        <w:t>Much good can come from the prudent use of power. And much good can come of this: A world once divided into two armed camps now recognizes one sole and preeminent power, the United States of America. And they regard this with no dread. For the world trusts us with power, and the world is right. They trust us to be fair and restrained. They trust us to be on the side of decency. They trust us to do what's right.</w:t>
      </w:r>
    </w:p>
    <w:p w:rsidR="00A31137" w:rsidRPr="00A31137" w:rsidRDefault="00A31137" w:rsidP="00A31137">
      <w:r w:rsidRPr="00A31137">
        <w:t>Public Papers of Bush, 1992, p.157–p.158</w:t>
      </w:r>
    </w:p>
    <w:p w:rsidR="00A31137" w:rsidRPr="00A31137" w:rsidRDefault="00A31137" w:rsidP="00A31137">
      <w:r w:rsidRPr="00A31137">
        <w:t>I use those words advisedly. A few days after the war began, I received a telegram from Joanne Speicher, the wife of the first pilot killed in the Gulf, Lieutenant Commander Scott Speicher. Even in her grief, she wanted me to know that some day when her children were old enough, she would tell them "that their father went away to war because it was the right thing to do." And she said it all: It was the right [p.158] thing to do.</w:t>
      </w:r>
    </w:p>
    <w:p w:rsidR="00A31137" w:rsidRPr="00A31137" w:rsidRDefault="00A31137" w:rsidP="00A31137">
      <w:r w:rsidRPr="00A31137">
        <w:t>Public Papers of Bush, 1992, p.158</w:t>
      </w:r>
    </w:p>
    <w:p w:rsidR="00A31137" w:rsidRPr="00A31137" w:rsidRDefault="00A31137" w:rsidP="00A31137">
      <w:r w:rsidRPr="00A31137">
        <w:t>And we did it together. There were honest differences right here in this Chamber. But when the war began, you put partisanship aside, and we supported our troops. This is still a time for pride, but this is no time to boast. For problems face us, and we must stand together once again and solve them and not let our country down.</w:t>
      </w:r>
    </w:p>
    <w:p w:rsidR="00A31137" w:rsidRPr="00A31137" w:rsidRDefault="00A31137" w:rsidP="00A31137">
      <w:r w:rsidRPr="00A31137">
        <w:t>Public Papers of Bush, 1992, p.158</w:t>
      </w:r>
    </w:p>
    <w:p w:rsidR="00A31137" w:rsidRPr="00A31137" w:rsidRDefault="00A31137" w:rsidP="00A31137">
      <w:r w:rsidRPr="00A31137">
        <w:t>Two years ago, I began planning cuts in military spending that reflected the changes of the new era. But now, this year, with imperial communism gone, that process can be accelerated. Tonight I can tell you of dramatic changes in our .strategic nuclear force. These are actions we are taking on our own because they are the right thing to do. After completing 20 planes for which we have begun procurement, we will shut down further production of the B-2 bombers. We will cancel the small ICBM program. We will cease production of new warheads for our sea-based ballistic missiles. We will stop all new production of the Peacekeeper missile. And we will not purchase any more advanced cruise missiles.</w:t>
      </w:r>
    </w:p>
    <w:p w:rsidR="00A31137" w:rsidRPr="00A31137" w:rsidRDefault="00A31137" w:rsidP="00A31137">
      <w:r w:rsidRPr="00A31137">
        <w:t>Public Papers of Bush, 1992, p.158</w:t>
      </w:r>
    </w:p>
    <w:p w:rsidR="00A31137" w:rsidRPr="00A31137" w:rsidRDefault="00A31137" w:rsidP="00A31137">
      <w:r w:rsidRPr="00A31137">
        <w:t>This weekend I will meet at Camp David with Boris Yeltsin of the Russian Federation. I've informed President Yeltsin that if the Commonwealth, the former Soviet Union, will eliminate all land-based multiple-warhead ballistic missiles, I will do the following: We will eliminate all Peacekeeper missiles. We will reduce the number of warheads on Minuteman missiles to one and reduce the number of warheads on our seabased missiles by about one-third. And we will convert a substantial portion of our strategic bombers to primarily conventional use. President Yeltsin's early response has been very positive, and I expect our talks at Camp David to be fruitful.</w:t>
      </w:r>
    </w:p>
    <w:p w:rsidR="00A31137" w:rsidRPr="00A31137" w:rsidRDefault="00A31137" w:rsidP="00A31137">
      <w:r w:rsidRPr="00A31137">
        <w:t>Public Papers of Bush, 1992, p.158</w:t>
      </w:r>
    </w:p>
    <w:p w:rsidR="00A31137" w:rsidRPr="00A31137" w:rsidRDefault="00A31137" w:rsidP="00A31137">
      <w:r w:rsidRPr="00A31137">
        <w:t>I want you to know that for half a century, American Presidents have longed to make such decisions and say such words. But even in the midst of celebration, we must keep caution as a friend. For the world is still a dangerous place. Only the dead have seen the end of conflict. And though yesterday's challenges are behind us, tomorrow's are being born.</w:t>
      </w:r>
    </w:p>
    <w:p w:rsidR="00A31137" w:rsidRPr="00A31137" w:rsidRDefault="00A31137" w:rsidP="00A31137">
      <w:r w:rsidRPr="00A31137">
        <w:t>Public Papers of Bush, 1992, p.158</w:t>
      </w:r>
    </w:p>
    <w:p w:rsidR="00A31137" w:rsidRPr="00A31137" w:rsidRDefault="00A31137" w:rsidP="00A31137">
      <w:r w:rsidRPr="00A31137">
        <w:t>The Secretary of Defense recommended these cuts after consultation with the Joint Chiefs of Staff. And I make them with confidence. But do not misunderstand me. The reductions I have approved will save us an additional $50 billion over the next 5 years. By 1997, we will have cut defense by 30 percent since I took office. These cuts are deep, and you must know my resolve: This deep, and no deeper. To do less would be insensible to progress, but to do more would be ignorant of history. We must not go back to the days of "the hollow army." We cannot repeat the mistakes made twice in this century when armistice was followed by recklessness and defense was purged as if the world were permanently safe.</w:t>
      </w:r>
    </w:p>
    <w:p w:rsidR="00A31137" w:rsidRPr="00A31137" w:rsidRDefault="00A31137" w:rsidP="00A31137">
      <w:r w:rsidRPr="00A31137">
        <w:t>Public Papers of Bush, 1992, p.158</w:t>
      </w:r>
    </w:p>
    <w:p w:rsidR="00A31137" w:rsidRPr="00A31137" w:rsidRDefault="00A31137" w:rsidP="00A31137">
      <w:r w:rsidRPr="00A31137">
        <w:t>I remind you this evening that I have asked for your support in funding a program to protect our country from limited nuclear missile attack. We must have this protection because too many people in too many countries have access to nuclear arms. And I urge you again to pass the Strategic Defense Initiative, SDI.</w:t>
      </w:r>
    </w:p>
    <w:p w:rsidR="00A31137" w:rsidRPr="00A31137" w:rsidRDefault="00A31137" w:rsidP="00A31137">
      <w:r w:rsidRPr="00A31137">
        <w:t>Public Papers of Bush, 1992, p.158</w:t>
      </w:r>
    </w:p>
    <w:p w:rsidR="00A31137" w:rsidRPr="00A31137" w:rsidRDefault="00A31137" w:rsidP="00A31137">
      <w:r w:rsidRPr="00A31137">
        <w:t>There are those who say that now we can turn away from the world, that we have no special role, no special place. But we are the United States of America, the leader of the West that has become the leader of the world. And as long as I am President, I will continue to lead in support of freedom everywhere, not out of arrogance, not out of altruism, but for the safety and security of our children. This is a fact: Strength in the pursuit of peace is no vice; isolationism in the pursuit of security is no virtue.</w:t>
      </w:r>
    </w:p>
    <w:p w:rsidR="00A31137" w:rsidRPr="00A31137" w:rsidRDefault="00A31137" w:rsidP="00A31137">
      <w:r w:rsidRPr="00A31137">
        <w:t>Public Papers of Bush, 1992, p.158</w:t>
      </w:r>
    </w:p>
    <w:p w:rsidR="00A31137" w:rsidRPr="00A31137" w:rsidRDefault="00A31137" w:rsidP="00A31137">
      <w:r w:rsidRPr="00A31137">
        <w:t>And now to our troubles at home. They're not all economic; the primary problem is our economy. There are some good signs. Inflation, that thief, is down. And interest rates are down. But unemployment is too high, some industries are in trouble, and growth is not what it should be. Let me tell you right from the start and right from the heart, I know we're in hard times. But I know something else: This will not stand.</w:t>
      </w:r>
    </w:p>
    <w:p w:rsidR="00A31137" w:rsidRPr="00A31137" w:rsidRDefault="00A31137" w:rsidP="00A31137">
      <w:r w:rsidRPr="00A31137">
        <w:t>Public Papers of Bush, 1992, p.158–p.159</w:t>
      </w:r>
    </w:p>
    <w:p w:rsidR="00A31137" w:rsidRPr="00A31137" w:rsidRDefault="00A31137" w:rsidP="00A31137">
      <w:r w:rsidRPr="00A31137">
        <w:t>In this Chamber, in this Chamber we can bring the same courage and sense of common purpose to the economy that we brought to Desert Storm. And we can defeat hard times together. I believe you'll help. One reason is that you're patriots, and you want the best for your country. And I believe that in your hearts you want to put partisanship aside and get the job done because [p.159] it's the right thing to do.</w:t>
      </w:r>
    </w:p>
    <w:p w:rsidR="00A31137" w:rsidRPr="00A31137" w:rsidRDefault="00A31137" w:rsidP="00A31137">
      <w:r w:rsidRPr="00A31137">
        <w:t>Public Papers of Bush, 1992, p.159</w:t>
      </w:r>
    </w:p>
    <w:p w:rsidR="00A31137" w:rsidRPr="00A31137" w:rsidRDefault="00A31137" w:rsidP="00A31137">
      <w:r w:rsidRPr="00A31137">
        <w:t>The power of America rests in a stirring but simple idea, that people will do great things if only you set them free. Well, we're going to set the economy free. For if this age of miracles and wonders has taught us anything, it's that if we can change the world we can change America. We must encourage investment. We must make it easier for people to invest money and create new products, new industries, and new jobs. We must clear away the obstacles to growth: high taxes, high regulation, Red tape, and yes, wasteful Government spending.</w:t>
      </w:r>
    </w:p>
    <w:p w:rsidR="00A31137" w:rsidRPr="00A31137" w:rsidRDefault="00A31137" w:rsidP="00A31137">
      <w:r w:rsidRPr="00A31137">
        <w:t>Public Papers of Bush, 1992, p.159</w:t>
      </w:r>
    </w:p>
    <w:p w:rsidR="00A31137" w:rsidRPr="00A31137" w:rsidRDefault="00A31137" w:rsidP="00A31137">
      <w:r w:rsidRPr="00A31137">
        <w:t>None of this will happen with a snap of the fingers, but it will happen. And the test of a plan isn't whether it's called new or dazzling. The American people aren't impressed by gimmicks; they're smarter on this score than all of us in this room. The only test of a plan is: Is it sound, and will it work?</w:t>
      </w:r>
    </w:p>
    <w:p w:rsidR="00A31137" w:rsidRPr="00A31137" w:rsidRDefault="00A31137" w:rsidP="00A31137">
      <w:r w:rsidRPr="00A31137">
        <w:t>Public Papers of Bush, 1992, p.159</w:t>
      </w:r>
    </w:p>
    <w:p w:rsidR="00A31137" w:rsidRPr="00A31137" w:rsidRDefault="00A31137" w:rsidP="00A31137">
      <w:r w:rsidRPr="00A31137">
        <w:t>We must have a short-term plan to address our immediate needs and heat up the economy. And then we need a longer term plan to keep combustion going and to guarantee our place in the world economy. There are certain things that a President can do without Congress, and I'm going to do them.</w:t>
      </w:r>
    </w:p>
    <w:p w:rsidR="00A31137" w:rsidRPr="00A31137" w:rsidRDefault="00A31137" w:rsidP="00A31137">
      <w:r w:rsidRPr="00A31137">
        <w:t>Public Papers of Bush, 1992, p.159</w:t>
      </w:r>
    </w:p>
    <w:p w:rsidR="00A31137" w:rsidRPr="00A31137" w:rsidRDefault="00A31137" w:rsidP="00A31137">
      <w:r w:rsidRPr="00A31137">
        <w:t>I have, this evening, asked major Cabinet departments and Federal agencies to institute a 90-day moratorium on any new Federal regulations that could hinder growth. In those 90 days, major departments and agencies will carry out a top-to-bottom review of all regulations, old and new, to stop the ones that will hurt growth and speed up those that will help growth.</w:t>
      </w:r>
    </w:p>
    <w:p w:rsidR="00A31137" w:rsidRPr="00A31137" w:rsidRDefault="00A31137" w:rsidP="00A31137">
      <w:r w:rsidRPr="00A31137">
        <w:t>Public Papers of Bush, 1992, p.159</w:t>
      </w:r>
    </w:p>
    <w:p w:rsidR="00A31137" w:rsidRPr="00A31137" w:rsidRDefault="00A31137" w:rsidP="00A31137">
      <w:r w:rsidRPr="00A31137">
        <w:t>Further, for the untold number of hardworking, responsible American workers and business men and women who've been forced to go without needed bank loans, the banking credit crunch must end. I won't neglect my responsibility for sound regulations that serve the public good, but regulatory overkill must be stopped. And I've instructed our Government regulators to stop it.</w:t>
      </w:r>
    </w:p>
    <w:p w:rsidR="00A31137" w:rsidRPr="00A31137" w:rsidRDefault="00A31137" w:rsidP="00A31137">
      <w:r w:rsidRPr="00A31137">
        <w:t>Public Papers of Bush, 1992, p.159</w:t>
      </w:r>
    </w:p>
    <w:p w:rsidR="00A31137" w:rsidRPr="00A31137" w:rsidRDefault="00A31137" w:rsidP="00A31137">
      <w:r w:rsidRPr="00A31137">
        <w:t>I have directed Cabinet departments and Federal agencies to speed up progrowth expenditures as quickly as possible. This should put an extra $10 billion into the economy in the next 6 months. And our new transportation bill provides more than $150 billion for construction and maintenance projects that are vital to our growth and well-being. And that means jobs building roads, jobs building bridges, and jobs building railways.</w:t>
      </w:r>
    </w:p>
    <w:p w:rsidR="00A31137" w:rsidRPr="00A31137" w:rsidRDefault="00A31137" w:rsidP="00A31137">
      <w:r w:rsidRPr="00A31137">
        <w:t>Public Papers of Bush, 1992, p.159</w:t>
      </w:r>
    </w:p>
    <w:p w:rsidR="00A31137" w:rsidRPr="00A31137" w:rsidRDefault="00A31137" w:rsidP="00A31137">
      <w:r w:rsidRPr="00A31137">
        <w:t>And I have, this evening, directed the Secretary of the Treasury to change the Federal tax withholding tables. With this change, millions of Americans from whom the Government withholds more than necessary can now choose to have the Government withhold less from their paychecks. Something tells me a number of taxpayers may take us up on this one. This initiative could return about $25 billion back into our economy over the next 12 months, money people can use to help pay for clothing, college, or to get a new car. Finally, working with the Federal Reserve, we will continue to support monetary policy that keeps both interest rates and inflation down.</w:t>
      </w:r>
    </w:p>
    <w:p w:rsidR="00A31137" w:rsidRPr="00A31137" w:rsidRDefault="00A31137" w:rsidP="00A31137">
      <w:r w:rsidRPr="00A31137">
        <w:t>Public Papers of Bush, 1992, p.159</w:t>
      </w:r>
    </w:p>
    <w:p w:rsidR="00A31137" w:rsidRPr="00A31137" w:rsidRDefault="00A31137" w:rsidP="00A31137">
      <w:r w:rsidRPr="00A31137">
        <w:t>Now, these are the things I can do. And now, Members of Congress, let me tell you what you can do for your country. You must pass the other elements of my plan to meet our economic needs. Everyone knows that investment spurs recovery. I am proposing this evening a change in the alternative minimum tax and the creation of a new 15-percent investment tax allowance. This will encourage businesses to accelerate investment and bring people back to work.</w:t>
      </w:r>
    </w:p>
    <w:p w:rsidR="00A31137" w:rsidRPr="00A31137" w:rsidRDefault="00A31137" w:rsidP="00A31137">
      <w:r w:rsidRPr="00A31137">
        <w:t>Public Papers of Bush, 1992, p.159</w:t>
      </w:r>
    </w:p>
    <w:p w:rsidR="00A31137" w:rsidRPr="00A31137" w:rsidRDefault="00A31137" w:rsidP="00A31137">
      <w:r w:rsidRPr="00A31137">
        <w:t>Real estate has led our economy out of almost all the tough times we've ever had. Once building starts, carpenters and plumbers work; people buy homes and take out mortgages. My plan would modify the passive loss rule for active real estate developers. And it would make it easier for pension plans to purchase real estate. For those Americans who dream of buying a first home but who can't quite afford it, my plan would allow first-time homebuyers to withdraw savings from IRA's without penalty and provide a $5,000 tax credit for the first purchase of that home.</w:t>
      </w:r>
    </w:p>
    <w:p w:rsidR="00A31137" w:rsidRPr="00A31137" w:rsidRDefault="00A31137" w:rsidP="00A31137">
      <w:r w:rsidRPr="00A31137">
        <w:t>Public Papers of Bush, 1992, p.159–p.160</w:t>
      </w:r>
    </w:p>
    <w:p w:rsidR="00A31137" w:rsidRPr="00A31137" w:rsidRDefault="00A31137" w:rsidP="00A31137">
      <w:r w:rsidRPr="00A31137">
        <w:t>And finally, my immediate plan calls on Congress to give crucial help to people who own a home, to everyone who has a business or a farm or a single investment. This time, at this hour, I cannot take no for an [p.160] answer. You must cut the capital gains tax on the people of our country. Never has an issue been more demagogued by its opponents. But the demagogs are wrong. They are wrong, and they know it. Sixty percent of the people who benefit from lower capital gains have incomes under $50,000. A cut in the capital gains tax increases jobs and helps just about everyone in our country. And so, I'm asking you to cut the capital gains tax to a maximum of 15.4 percent.</w:t>
      </w:r>
    </w:p>
    <w:p w:rsidR="00A31137" w:rsidRPr="00A31137" w:rsidRDefault="00A31137" w:rsidP="00A31137">
      <w:r w:rsidRPr="00A31137">
        <w:t>Public Papers of Bush, 1992, p.160</w:t>
      </w:r>
    </w:p>
    <w:p w:rsidR="00A31137" w:rsidRPr="00A31137" w:rsidRDefault="00A31137" w:rsidP="00A31137">
      <w:r w:rsidRPr="00A31137">
        <w:t>I'll tell you, those of you who say, "Oh, no, someone who's comfortable may benefit from that," you kind of remind me of the old definition of the Puritan who couldn't sleep at night, worrying that somehow, someone somewhere was out having a good time. [Laughter] The opponents of this measure and those who have authored various so-called soak-the-rich bills that are floating around this Chamber should be reminded of something: When they aim at the big guy, they usually hit the little guy. And maybe it's time that stopped.</w:t>
      </w:r>
    </w:p>
    <w:p w:rsidR="00A31137" w:rsidRPr="00A31137" w:rsidRDefault="00A31137" w:rsidP="00A31137">
      <w:r w:rsidRPr="00A31137">
        <w:t>Public Papers of Bush, 1992, p.160</w:t>
      </w:r>
    </w:p>
    <w:p w:rsidR="00A31137" w:rsidRPr="00A31137" w:rsidRDefault="00A31137" w:rsidP="00A31137">
      <w:r w:rsidRPr="00A31137">
        <w:t>This, then, is my short-term plan. Your part, Members of Congress, requires enactment of these commonsense proposals that will have a strong effect on the economy without breaking the budget agreement and without raising tax rates.</w:t>
      </w:r>
    </w:p>
    <w:p w:rsidR="00A31137" w:rsidRPr="00A31137" w:rsidRDefault="00A31137" w:rsidP="00A31137">
      <w:r w:rsidRPr="00A31137">
        <w:t>Public Papers of Bush, 1992, p.160</w:t>
      </w:r>
    </w:p>
    <w:p w:rsidR="00A31137" w:rsidRPr="00A31137" w:rsidRDefault="00A31137" w:rsidP="00A31137">
      <w:r w:rsidRPr="00A31137">
        <w:t>While my plan is being passed and kicking in, we've got to care for those in trouble today. I have provided for up to $4.4 billion in my budget to extend Federal unemployment benefits. And I ask for congressional action right away. And I thank the committee. [Applause] Well, at last.</w:t>
      </w:r>
    </w:p>
    <w:p w:rsidR="00A31137" w:rsidRPr="00A31137" w:rsidRDefault="00A31137" w:rsidP="00A31137">
      <w:r w:rsidRPr="00A31137">
        <w:t>Public Papers of Bush, 1992, p.160</w:t>
      </w:r>
    </w:p>
    <w:p w:rsidR="00A31137" w:rsidRPr="00A31137" w:rsidRDefault="00A31137" w:rsidP="00A31137">
      <w:r w:rsidRPr="00A31137">
        <w:t>Let's be frank. Let's be frank. Let me level with you. I know and you know that my plan is unveiled in a political season. [Laughter] I know and you know that everything I propose will be viewed by some in merely partisan terms. But I ask you to know what is in my heart. And my aim is to increase our Nation's good. I'm doing what I think is right, and I am proposing what I know will help.</w:t>
      </w:r>
    </w:p>
    <w:p w:rsidR="00A31137" w:rsidRPr="00A31137" w:rsidRDefault="00A31137" w:rsidP="00A31137">
      <w:r w:rsidRPr="00A31137">
        <w:t>Public Papers of Bush, 1992, p.160</w:t>
      </w:r>
    </w:p>
    <w:p w:rsidR="00A31137" w:rsidRPr="00A31137" w:rsidRDefault="00A31137" w:rsidP="00A31137">
      <w:r w:rsidRPr="00A31137">
        <w:t>I pride myself that I'm a prudent man, and I believe that patience is a virtue. But I understand that politics is, for some, a game and that sometimes the game is to stop all progress and then decry the lack of improvement. [Laughter] But let me tell you: Far more important than my political future and far more important than yours is the well-being of our country. Members of this Chamber are practical people, and I know you won't resent some practical advice. When people put their party's fortunes, whatever the party, whatever side of this aisle, before the public good, they court defeat not only for their country but for themselves. And they will certainly deserve it.</w:t>
      </w:r>
    </w:p>
    <w:p w:rsidR="00A31137" w:rsidRPr="00A31137" w:rsidRDefault="00A31137" w:rsidP="00A31137">
      <w:r w:rsidRPr="00A31137">
        <w:t>Public Papers of Bush, 1992, p.160</w:t>
      </w:r>
    </w:p>
    <w:p w:rsidR="00A31137" w:rsidRPr="00A31137" w:rsidRDefault="00A31137" w:rsidP="00A31137">
      <w:r w:rsidRPr="00A31137">
        <w:t>I submit my plan tomorrow, and I'm asking you to pass it by March 20th. And I ask the American people to let you know they want this action by March 20th. From the day after that, if it must be, the battle is joined. And you know, when principle is at stake I relish a good, fair fight.</w:t>
      </w:r>
    </w:p>
    <w:p w:rsidR="00A31137" w:rsidRPr="00A31137" w:rsidRDefault="00A31137" w:rsidP="00A31137">
      <w:r w:rsidRPr="00A31137">
        <w:t>Public Papers of Bush, 1992, p.160</w:t>
      </w:r>
    </w:p>
    <w:p w:rsidR="00A31137" w:rsidRPr="00A31137" w:rsidRDefault="00A31137" w:rsidP="00A31137">
      <w:r w:rsidRPr="00A31137">
        <w:t>I said my plan has two parts, and it does. And it's the second part that is the heart of the matter. For it's not enough to get an immediate burst. We need long-term improvement in our economic position. We all know that the key to our economic future is to ensure that America continues as an economic leader of the world. We have that in our power. Here, then, is my long-term plan to guarantee our future.</w:t>
      </w:r>
    </w:p>
    <w:p w:rsidR="00A31137" w:rsidRPr="00A31137" w:rsidRDefault="00A31137" w:rsidP="00A31137">
      <w:r w:rsidRPr="00A31137">
        <w:t>Public Papers of Bush, 1992, p.160</w:t>
      </w:r>
    </w:p>
    <w:p w:rsidR="00A31137" w:rsidRPr="00A31137" w:rsidRDefault="00A31137" w:rsidP="00A31137">
      <w:r w:rsidRPr="00A31137">
        <w:t>First, trade: We will work to break down the walls that stop world trade. We will work to open markets everywhere. And in our major trade negotiations, I will continue pushing to eliminate tariffs and subsidies that damage America's farmers and workers. And we'll get more good American jobs within our own hemisphere through the North American free trade agreement and through the Enterprise for the Americas Initiative.</w:t>
      </w:r>
    </w:p>
    <w:p w:rsidR="00A31137" w:rsidRPr="00A31137" w:rsidRDefault="00A31137" w:rsidP="00A31137">
      <w:r w:rsidRPr="00A31137">
        <w:t>Public Papers of Bush, 1992, p.160–p.161</w:t>
      </w:r>
    </w:p>
    <w:p w:rsidR="00A31137" w:rsidRPr="00A31137" w:rsidRDefault="00A31137" w:rsidP="00A31137">
      <w:r w:rsidRPr="00A31137">
        <w:t>But changes are here, and more are coming. The workplace of the future will demand more highly skilled workers than ever, more people who are computer-literate, highly educated. We must be the world's leader in education. And we must revolutionize America's schools. My America 2000 strategy will help us reach that goal. My plan will give parents more choice, give teachers more flexibility, and help communities create new American schools. Thirty States across the Nation have established America 2000 programs. Hundreds of cities and towns have joined in. Now Congress must join this great movement [p.161] : Pass my proposals for new American schools.</w:t>
      </w:r>
    </w:p>
    <w:p w:rsidR="00A31137" w:rsidRPr="00A31137" w:rsidRDefault="00A31137" w:rsidP="00A31137">
      <w:r w:rsidRPr="00A31137">
        <w:t>Public Papers of Bush, 1992, p.161</w:t>
      </w:r>
    </w:p>
    <w:p w:rsidR="00A31137" w:rsidRPr="00A31137" w:rsidRDefault="00A31137" w:rsidP="00A31137">
      <w:r w:rsidRPr="00A31137">
        <w:t>That was my second long-term proposal, and here's my third: We must make commonsense investments that will help us compete, long-term, in the marketplace. We must encourage research and development. My plan is to make the R&amp;D tax credit permanent and to provide record levels of support, over $76 billion this year alone, for people who will explore the promise of emerging technologies.</w:t>
      </w:r>
    </w:p>
    <w:p w:rsidR="00A31137" w:rsidRPr="00A31137" w:rsidRDefault="00A31137" w:rsidP="00A31137">
      <w:r w:rsidRPr="00A31137">
        <w:t>Public Papers of Bush, 1992, p.161</w:t>
      </w:r>
    </w:p>
    <w:p w:rsidR="00A31137" w:rsidRPr="00A31137" w:rsidRDefault="00A31137" w:rsidP="00A31137">
      <w:r w:rsidRPr="00A31137">
        <w:t>Fourth, we must do something about crime and drugs. It is time for a major, renewed investment in fighting violent street crime. It saps our strength and hurts our faith in our society and in our future together. Surely a tired woman on her way to work at 6 in the morning on a subway deserves the right to get there safely. And surely it's true that everyone who changes his or her life because of crime, from those afraid to go out at night to those afraid to walk in the parks they pay for, surely these people have been denied a basic civil right. It is time to restore it. Congress, pass my comprehensive crime bill. It is tough on criminals and supportive of police, and it has been languishing in these hallowed halls for years now. Pass it. Help your country.</w:t>
      </w:r>
      <w:r w:rsidRPr="00A31137">
        <w:cr/>
      </w:r>
    </w:p>
    <w:p w:rsidR="00A31137" w:rsidRPr="00A31137" w:rsidRDefault="00A31137" w:rsidP="00A31137">
      <w:r w:rsidRPr="00A31137">
        <w:t>Public Papers of Bush, 1992, p.161</w:t>
      </w:r>
    </w:p>
    <w:p w:rsidR="00A31137" w:rsidRPr="00A31137" w:rsidRDefault="00A31137" w:rsidP="00A31137">
      <w:r w:rsidRPr="00A31137">
        <w:t>Fifth, I ask you tonight to fund our HOPE housing proposal and to pass my enterprise zone legislation which will get businesses into the inner city. We must empower the poor with the pride that comes from owning a home, getting a job, becoming a part of things. My plan would encourage real estate construction by extending tax incentives for mortgage revenue bonds and low-income housing. And I ask tonight for record expenditures for the program that helps children born into want move into excellence, Head Start.</w:t>
      </w:r>
    </w:p>
    <w:p w:rsidR="00A31137" w:rsidRPr="00A31137" w:rsidRDefault="00A31137" w:rsidP="00A31137">
      <w:r w:rsidRPr="00A31137">
        <w:t>Public Papers of Bush, 1992, p.161</w:t>
      </w:r>
    </w:p>
    <w:p w:rsidR="00A31137" w:rsidRPr="00A31137" w:rsidRDefault="00A31137" w:rsidP="00A31137">
      <w:r w:rsidRPr="00A31137">
        <w:t>Step six, we must reform our health care system. For this, too, bears on whether or not we can compete in the world. American health costs have been exploding. This year America will spend over $800 billion on health, and that is expected to grow to 1.6 trillion by the end of the decade. We simply cannot afford this. The cost of health care shows up not only in your family budget but in the price of everything we buy and everything we sell. When health coverage for a fellow on an assembly line costs thousands of dollars, the cost goes into the products he makes, and you pay the bill.</w:t>
      </w:r>
    </w:p>
    <w:p w:rsidR="00A31137" w:rsidRPr="00A31137" w:rsidRDefault="00A31137" w:rsidP="00A31137">
      <w:r w:rsidRPr="00A31137">
        <w:t>Public Papers of Bush, 1992, p.161</w:t>
      </w:r>
    </w:p>
    <w:p w:rsidR="00A31137" w:rsidRPr="00A31137" w:rsidRDefault="00A31137" w:rsidP="00A31137">
      <w:r w:rsidRPr="00A31137">
        <w:t>We must make a choice. Now, some pretend we can have it both ways. They call it "play or pay," but that expensive approach is unstable. It will mean higher taxes, fewer jobs, and eventually a system under complete Government control.</w:t>
      </w:r>
    </w:p>
    <w:p w:rsidR="00A31137" w:rsidRPr="00A31137" w:rsidRDefault="00A31137" w:rsidP="00A31137">
      <w:r w:rsidRPr="00A31137">
        <w:t>Public Papers of Bush, 1992, p.161</w:t>
      </w:r>
    </w:p>
    <w:p w:rsidR="00A31137" w:rsidRPr="00A31137" w:rsidRDefault="00A31137" w:rsidP="00A31137">
      <w:r w:rsidRPr="00A31137">
        <w:t>Really, there are only two options. And we can move toward a nationalized system, a system which will restrict patient choice in picking a doctor and force the Government to ration services arbitrarily. And what we'll get is patients in long lines, indifferent service, and a huge new tax burden. Or we can reform our own private health care system, which still gives us, for all its flaws, the best quality health care in the world.</w:t>
      </w:r>
    </w:p>
    <w:p w:rsidR="00A31137" w:rsidRPr="00A31137" w:rsidRDefault="00A31137" w:rsidP="00A31137">
      <w:r w:rsidRPr="00A31137">
        <w:t>Public Papers of Bush, 1992, p.161</w:t>
      </w:r>
    </w:p>
    <w:p w:rsidR="00A31137" w:rsidRPr="00A31137" w:rsidRDefault="00A31137" w:rsidP="00A31137">
      <w:r w:rsidRPr="00A31137">
        <w:t>Well, let's build on our strengths. My plan provides insurance security for all Americans while preserving and increasing the idea of choice. We make basic health insurance affordable for all low-income people not now covered, and we do it by providing a health insurance tax credit of up to $3,750 for each low-income family. And the middle class gets help, too. And by reforming the health insurance market, my plan assures that Americans will have access to basic health insurance even if they change jobs or develop serious health problems. We must bring costs under control, preserve quality, preserve choice, and reduce the people's nagging daily worry about health insurance. My plan, the details of which I'll announce very shortly, does just that.</w:t>
      </w:r>
    </w:p>
    <w:p w:rsidR="00A31137" w:rsidRPr="00A31137" w:rsidRDefault="00A31137" w:rsidP="00A31137">
      <w:r w:rsidRPr="00A31137">
        <w:t>Public Papers of Bush, 1992, p.161</w:t>
      </w:r>
    </w:p>
    <w:p w:rsidR="00A31137" w:rsidRPr="00A31137" w:rsidRDefault="00A31137" w:rsidP="00A31137">
      <w:r w:rsidRPr="00A31137">
        <w:t>Seventh, we must get the Federal deficit under control. We now have, in law, enforceable spending caps and a requirement that we pay for the programs we create. There are those in Congress who would ease that discipline now. But I cannot let them do it, and I won't.</w:t>
      </w:r>
    </w:p>
    <w:p w:rsidR="00A31137" w:rsidRPr="00A31137" w:rsidRDefault="00A31137" w:rsidP="00A31137">
      <w:r w:rsidRPr="00A31137">
        <w:t>Public Papers of Bush, 1992, p.161–p.162</w:t>
      </w:r>
    </w:p>
    <w:p w:rsidR="00A31137" w:rsidRPr="00A31137" w:rsidRDefault="00A31137" w:rsidP="00A31137">
      <w:r w:rsidRPr="00A31137">
        <w:t>My plan would freeze all domestic discretionary budget authority, which means no more next year than this year. I will not tamper with Social Security, but I would put real caps on the growth of uncontrolled spending. And I would also freeze Federal domestic Government employment. And with the help of Congress, my plan will get [p.162] rid of 246 programs that don't deserve Federal funding. Some of them have noble titles, but none of them is indispensable. We can get rid of each and every one of them.</w:t>
      </w:r>
    </w:p>
    <w:p w:rsidR="00A31137" w:rsidRPr="00A31137" w:rsidRDefault="00A31137" w:rsidP="00A31137">
      <w:r w:rsidRPr="00A31137">
        <w:t>Public Papers of Bush, 1992, p.162</w:t>
      </w:r>
    </w:p>
    <w:p w:rsidR="00A31137" w:rsidRPr="00A31137" w:rsidRDefault="00A31137" w:rsidP="00A31137">
      <w:r w:rsidRPr="00A31137">
        <w:t>You know, it's time we rediscovered a home truth the American people have never forgotten: This Government is too big and spends too much. And I call upon Congress to adopt a measure that will help put an end to the annual ritual of filling the budget with pork barrel appropriations. Every year, the press has a field day making fun of outrageous examples: a Lawrence Welk museum, research grants for Belgian endive. We all know how these things get into the budget, and maybe you need someone to help you say no. I know how to say it, and I know what I need to make it stick. Give me the same thing 43 Governors have, the line-item veto, and let me help you control spending.</w:t>
      </w:r>
    </w:p>
    <w:p w:rsidR="00A31137" w:rsidRPr="00A31137" w:rsidRDefault="00A31137" w:rsidP="00A31137">
      <w:r w:rsidRPr="00A31137">
        <w:t>Public Papers of Bush, 1992, p.162</w:t>
      </w:r>
    </w:p>
    <w:p w:rsidR="00A31137" w:rsidRPr="00A31137" w:rsidRDefault="00A31137" w:rsidP="00A31137">
      <w:r w:rsidRPr="00A31137">
        <w:t>We must put an end to unfinanced Federal Government mandates. These are the requirements Congress puts on our cities, counties, and States without supplying the money. If Congress passes a mandate, it should be forced to pay for it and balance the cost with savings elsewhere. After all, a mandate just increases someone else's burden, and that means higher taxes at the State and local level.</w:t>
      </w:r>
    </w:p>
    <w:p w:rsidR="00A31137" w:rsidRPr="00A31137" w:rsidRDefault="00A31137" w:rsidP="00A31137">
      <w:r w:rsidRPr="00A31137">
        <w:t>Public Papers of Bush, 1992, p.162</w:t>
      </w:r>
    </w:p>
    <w:p w:rsidR="00A31137" w:rsidRPr="00A31137" w:rsidRDefault="00A31137" w:rsidP="00A31137">
      <w:r w:rsidRPr="00A31137">
        <w:t>Step eight, Congress should enact the bold reform proposals that are still awaiting congressional action: bank reform, civil justice reform, tort reform, and my national energy strategy.</w:t>
      </w:r>
    </w:p>
    <w:p w:rsidR="00A31137" w:rsidRPr="00A31137" w:rsidRDefault="00A31137" w:rsidP="00A31137">
      <w:r w:rsidRPr="00A31137">
        <w:t>Public Papers of Bush, 1992, p.162</w:t>
      </w:r>
    </w:p>
    <w:p w:rsidR="00A31137" w:rsidRPr="00A31137" w:rsidRDefault="00A31137" w:rsidP="00A31137">
      <w:r w:rsidRPr="00A31137">
        <w:t>And finally, we must strengthen the family because it is the family that has the greatest bearing on our future. When Barbara holds an AIDS baby in her arms and reads to children, she's saying to every person in this country: Family matters.</w:t>
      </w:r>
    </w:p>
    <w:p w:rsidR="00A31137" w:rsidRPr="00A31137" w:rsidRDefault="00A31137" w:rsidP="00A31137">
      <w:r w:rsidRPr="00A31137">
        <w:t>Public Papers of Bush, 1992, p.162</w:t>
      </w:r>
    </w:p>
    <w:p w:rsidR="00A31137" w:rsidRPr="00A31137" w:rsidRDefault="00A31137" w:rsidP="00A31137">
      <w:r w:rsidRPr="00A31137">
        <w:t>And I am announcing tonight a new Commission on America's Urban Families. I've asked Missouri's Governor John Ashcroft to be Chairman, former Dallas Mayor Annette Strauss to be Cochair. You know, I had mayors, the leading mayors from the League of Cities, in the other day at the White House, and they told me something striking. They said that every one of them, Republican or Democrat, agreed on one thing, that the major cause of the problems of the cities is the dissolution of the family. They asked for this Commission, and they were right to ask because it's time to determine what we can do to keep families together, strong and sound.</w:t>
      </w:r>
    </w:p>
    <w:p w:rsidR="00A31137" w:rsidRPr="00A31137" w:rsidRDefault="00A31137" w:rsidP="00A31137">
      <w:r w:rsidRPr="00A31137">
        <w:t>Public Papers of Bush, 1992, p.162</w:t>
      </w:r>
    </w:p>
    <w:p w:rsidR="00A31137" w:rsidRPr="00A31137" w:rsidRDefault="00A31137" w:rsidP="00A31137">
      <w:r w:rsidRPr="00A31137">
        <w:t>There's one thing we can do right away: Ease the burden of rearing a child. I ask you tonight to raise the personal exemption by $500 per child for every family. For a family with four kids, that's an increase of $2,000. This is a good start in the right direction, and it's what we can afford.</w:t>
      </w:r>
    </w:p>
    <w:p w:rsidR="00A31137" w:rsidRPr="00A31137" w:rsidRDefault="00A31137" w:rsidP="00A31137">
      <w:r w:rsidRPr="00A31137">
        <w:t>Public Papers of Bush, 1992, p.162</w:t>
      </w:r>
    </w:p>
    <w:p w:rsidR="00A31137" w:rsidRPr="00A31137" w:rsidRDefault="00A31137" w:rsidP="00A31137">
      <w:r w:rsidRPr="00A31137">
        <w:t>It's time to allow families to deduct the interest they pay on student loans. I am asking you to do just that. And I'm asking you to allow people to use money from their IRA's to pay medical and education expenses, all without penalties.</w:t>
      </w:r>
    </w:p>
    <w:p w:rsidR="00A31137" w:rsidRPr="00A31137" w:rsidRDefault="00A31137" w:rsidP="00A31137">
      <w:r w:rsidRPr="00A31137">
        <w:t>Public Papers of Bush, 1992, p.162</w:t>
      </w:r>
    </w:p>
    <w:p w:rsidR="00A31137" w:rsidRPr="00A31137" w:rsidRDefault="00A31137" w:rsidP="00A31137">
      <w:r w:rsidRPr="00A31137">
        <w:t>And I'm asking for more. Ask American parents what they dislike about how things are going in our country, and chances are good that pretty soon they'll get to welfare. Americans are the most generous people on Earth. But we have to go back to the insight of Franklin Roosevelt who, when he spoke of what became the welfare program, warned that it must not become "a narcotic" and a "subtle destroyer" of the spirit. Welfare was never meant to be a lifestyle. It was never meant to be a habit. It was never supposed to be passed from generation to generation like a legacy. It's time to replace the assumptions of the welfare state and help reform the welfare system.</w:t>
      </w:r>
    </w:p>
    <w:p w:rsidR="00A31137" w:rsidRPr="00A31137" w:rsidRDefault="00A31137" w:rsidP="00A31137">
      <w:r w:rsidRPr="00A31137">
        <w:t>Public Papers of Bush, 1992, p.162</w:t>
      </w:r>
    </w:p>
    <w:p w:rsidR="00A31137" w:rsidRPr="00A31137" w:rsidRDefault="00A31137" w:rsidP="00A31137">
      <w:r w:rsidRPr="00A31137">
        <w:t>States throughout the country are beginning to operate with new assumptions that when able-bodied people receive Government assistance, they have responsibilities to the taxpayer: A responsibility to seek work, education, or job training; a responsibility to get their lives in order; a responsibility to hold their families together and refrain from having children out of wedlock; and a responsibility to obey the law. We are going to help this movement. Often, State reform requires waiving certain Federal regulations. I will act to make that process easier and quicker for every State that asks for our help.</w:t>
      </w:r>
    </w:p>
    <w:p w:rsidR="00A31137" w:rsidRPr="00A31137" w:rsidRDefault="00A31137" w:rsidP="00A31137">
      <w:r w:rsidRPr="00A31137">
        <w:t>Public Papers of Bush, 1992, p.162–p.163</w:t>
      </w:r>
    </w:p>
    <w:p w:rsidR="00A31137" w:rsidRPr="00A31137" w:rsidRDefault="00A31137" w:rsidP="00A31137">
      <w:r w:rsidRPr="00A31137">
        <w:t>I want to add, as we make these changes, we work together to improve this system, that our intention is not scapegoating or finger-pointing. If you read the papers and [p.163] watch TV, you know there's been a rise these days in a certain kind of ugliness: racist comments, anti-Semitism, an increased sense of division. Really, this is not us. This is not who we are. And this is not acceptable.</w:t>
      </w:r>
    </w:p>
    <w:p w:rsidR="00A31137" w:rsidRPr="00A31137" w:rsidRDefault="00A31137" w:rsidP="00A31137">
      <w:r w:rsidRPr="00A31137">
        <w:t>Public Papers of Bush, 1992, p.163</w:t>
      </w:r>
    </w:p>
    <w:p w:rsidR="00A31137" w:rsidRPr="00A31137" w:rsidRDefault="00A31137" w:rsidP="00A31137">
      <w:r w:rsidRPr="00A31137">
        <w:t>And so, you have my plan for America. And I'm asking for big things, but I believe in my heart you'll do what's right.</w:t>
      </w:r>
    </w:p>
    <w:p w:rsidR="00A31137" w:rsidRPr="00A31137" w:rsidRDefault="00A31137" w:rsidP="00A31137">
      <w:r w:rsidRPr="00A31137">
        <w:t>Public Papers of Bush, 1992, p.163</w:t>
      </w:r>
    </w:p>
    <w:p w:rsidR="00A31137" w:rsidRPr="00A31137" w:rsidRDefault="00A31137" w:rsidP="00A31137">
      <w:r w:rsidRPr="00A31137">
        <w:t>You know, it's kind of an American tradition to show a certain skepticism toward our democratic institutions. I myself have sometimes thought the aging process could be delayed if it had to make its way through Congress. [Laughter] You will deliberate, and you will discuss, and that is fine. But, my friends, the people cannot wait. They need help now.</w:t>
      </w:r>
    </w:p>
    <w:p w:rsidR="00A31137" w:rsidRPr="00A31137" w:rsidRDefault="00A31137" w:rsidP="00A31137">
      <w:r w:rsidRPr="00A31137">
        <w:t>Public Papers of Bush, 1992, p.163</w:t>
      </w:r>
    </w:p>
    <w:p w:rsidR="00A31137" w:rsidRPr="00A31137" w:rsidRDefault="00A31137" w:rsidP="00A31137">
      <w:r w:rsidRPr="00A31137">
        <w:t>There's a mood among us. People are worried. There's been talk of decline. Someone even said our workers are lazy and uninspired. And I thought: Really? You go tell Neil Armstrong standing on the moon. Tell the men and women who put him there. Tell the American farmer who feeds his country and the world. Tell the men and women of Desert Storm.</w:t>
      </w:r>
    </w:p>
    <w:p w:rsidR="00A31137" w:rsidRPr="00A31137" w:rsidRDefault="00A31137" w:rsidP="00A31137">
      <w:r w:rsidRPr="00A31137">
        <w:t>Public Papers of Bush, 1992, p.163</w:t>
      </w:r>
    </w:p>
    <w:p w:rsidR="00A31137" w:rsidRPr="00A31137" w:rsidRDefault="00A31137" w:rsidP="00A31137">
      <w:r w:rsidRPr="00A31137">
        <w:t>Moods come and go, but greatness endures. Ours does. And maybe for a moment it's good to remember what, in the dailiness of our lives, we forget: We are still and ever the freest nation on Earth, the kindest nation on Earth, the strongest nation on Earth. And we have always risen to the occasion. And we are going to lift this Nation out of hard times inch by inch and day by day, and those who would stop us had better step aside. Because I look at hard times, and I make this vow: This will not stand.</w:t>
      </w:r>
    </w:p>
    <w:p w:rsidR="00A31137" w:rsidRPr="00A31137" w:rsidRDefault="00A31137" w:rsidP="00A31137">
      <w:r w:rsidRPr="00A31137">
        <w:t>Public Papers of Bush, 1992, p.163</w:t>
      </w:r>
    </w:p>
    <w:p w:rsidR="00A31137" w:rsidRPr="00A31137" w:rsidRDefault="00A31137" w:rsidP="00A31137">
      <w:r w:rsidRPr="00A31137">
        <w:t>And so, we move on together, a rising nation, the once and future miracle that is still, this night, the hope of the world. Thank you. God bless you, and God bless our beloved country. Thank you very, very much.</w:t>
      </w:r>
    </w:p>
    <w:p w:rsidR="00A31137" w:rsidRPr="00A31137" w:rsidRDefault="00A31137" w:rsidP="00A31137">
      <w:r w:rsidRPr="00A31137">
        <w:t>Public Papers of Bush, 1992, p.163</w:t>
      </w:r>
    </w:p>
    <w:p w:rsidR="00A31137" w:rsidRPr="00A31137" w:rsidRDefault="00A31137" w:rsidP="00A31137">
      <w:r w:rsidRPr="00A31137">
        <w:t>NOTE: The President spoke at 9:07 p.m. in the House Chamber of the Capitol. The address was broadcast live on nationwide radio and television. The Executive order of March 12 establishing the National Commission on America's Urban Families is listed in Appendix E at the end of this volume.</w:t>
      </w:r>
    </w:p>
    <w:p w:rsidR="00A31137" w:rsidRPr="00A31137" w:rsidRDefault="00A31137" w:rsidP="00A31137">
      <w:r w:rsidRPr="00A31137">
        <w:t>President Bush's News Conference With President Boris Yeltsin of Russia, February 1992</w:t>
      </w:r>
    </w:p>
    <w:p w:rsidR="00A31137" w:rsidRPr="00A31137" w:rsidRDefault="00A31137" w:rsidP="00A31137">
      <w:r w:rsidRPr="00A31137">
        <w:t>Title:</w:t>
      </w:r>
      <w:r w:rsidRPr="00A31137">
        <w:tab/>
        <w:t>President Bush's The President's News Conference With President Boris Yeltsin of Russia</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February 1, 1992</w:t>
      </w:r>
    </w:p>
    <w:p w:rsidR="00A31137" w:rsidRPr="00A31137" w:rsidRDefault="00A31137" w:rsidP="00A31137">
      <w:r w:rsidRPr="00A31137">
        <w:t>Source:</w:t>
      </w:r>
      <w:r w:rsidRPr="00A31137">
        <w:tab/>
        <w:t>Public Papers of the Presidents, Bush, 1992, pp.177-181</w:t>
      </w:r>
    </w:p>
    <w:p w:rsidR="00A31137" w:rsidRPr="00A31137" w:rsidRDefault="00A31137" w:rsidP="00A31137">
      <w:r w:rsidRPr="00A31137">
        <w:t>Public Papers of Bush, 1992, p.177</w:t>
      </w:r>
    </w:p>
    <w:p w:rsidR="00A31137" w:rsidRPr="00A31137" w:rsidRDefault="00A31137" w:rsidP="00A31137">
      <w:r w:rsidRPr="00A31137">
        <w:t>President Bush. Today, for the first time, an American President and the democratically elected President of an independent Russia have met, and we did so not as adversaries but as friends. This historic meeting is yet another confirmation of the end of the cold war and the dawn of a new era. Russia and the United States are charting a new relationship. And it's based on trust; it's based on a commitment to economic and political freedom; it's based on a strong hope for true partnership. So, we agreed here that we're going to pull closer together economically and politically.</w:t>
      </w:r>
    </w:p>
    <w:p w:rsidR="00A31137" w:rsidRPr="00A31137" w:rsidRDefault="00A31137" w:rsidP="00A31137">
      <w:r w:rsidRPr="00A31137">
        <w:t>Public Papers of Bush, 1992, p.177–p.178</w:t>
      </w:r>
    </w:p>
    <w:p w:rsidR="00A31137" w:rsidRPr="00A31137" w:rsidRDefault="00A31137" w:rsidP="00A31137">
      <w:r w:rsidRPr="00A31137">
        <w:t>I invited President Yeltsin to come to the States for a state visit; he accepted. He, in [p.178] turn, asked me to come to the Soviet Union, and I accepted. That will be later in the year. And he will be coming in the first half of the year, the date to be determined later on.</w:t>
      </w:r>
    </w:p>
    <w:p w:rsidR="00A31137" w:rsidRPr="00A31137" w:rsidRDefault="00A31137" w:rsidP="00A31137">
      <w:r w:rsidRPr="00A31137">
        <w:t>Public Papers of Bush, 1992, p.178</w:t>
      </w:r>
    </w:p>
    <w:p w:rsidR="00A31137" w:rsidRPr="00A31137" w:rsidRDefault="00A31137" w:rsidP="00A31137">
      <w:r w:rsidRPr="00A31137">
        <w:t>We agreed to cooperate in the safe handling of nuclear weapons, arms reductions, and a wide array of other subjects. So, from my standpoint and the standpoint of the United States, our first team here, we felt it was a very good visit. The only problem was, it was very short. But we'll have a chance to follow up at the state visit.</w:t>
      </w:r>
    </w:p>
    <w:p w:rsidR="00A31137" w:rsidRPr="00A31137" w:rsidRDefault="00A31137" w:rsidP="00A31137">
      <w:r w:rsidRPr="00A31137">
        <w:t>Public Papers of Bush, 1992, p.178</w:t>
      </w:r>
    </w:p>
    <w:p w:rsidR="00A31137" w:rsidRPr="00A31137" w:rsidRDefault="00A31137" w:rsidP="00A31137">
      <w:r w:rsidRPr="00A31137">
        <w:t>And Mr. President, the floor is yours. And welcome once again, even though you're heading off now down to the Hill to meet some of the Members of Congress.</w:t>
      </w:r>
    </w:p>
    <w:p w:rsidR="00A31137" w:rsidRPr="00A31137" w:rsidRDefault="00A31137" w:rsidP="00A31137">
      <w:r w:rsidRPr="00A31137">
        <w:t>Public Papers of Bush, 1992, p.178</w:t>
      </w:r>
    </w:p>
    <w:p w:rsidR="00A31137" w:rsidRPr="00A31137" w:rsidRDefault="00A31137" w:rsidP="00A31137">
      <w:r w:rsidRPr="00A31137">
        <w:t>President Yeltsin. Mr. President Bush, ladies and gentlemen, I am very grateful to my friend George for the words which he has just spoken, in terms of our meeting and aimed at Russia and towards me. I feel that the meeting was exceptionally positive, necessary, and historic.</w:t>
      </w:r>
    </w:p>
    <w:p w:rsidR="00A31137" w:rsidRPr="00A31137" w:rsidRDefault="00A31137" w:rsidP="00A31137">
      <w:r w:rsidRPr="00A31137">
        <w:t>Public Papers of Bush, 1992, p.178</w:t>
      </w:r>
    </w:p>
    <w:p w:rsidR="00A31137" w:rsidRPr="00A31137" w:rsidRDefault="00A31137" w:rsidP="00A31137">
      <w:r w:rsidRPr="00A31137">
        <w:t>We discussed a whole range of issues, as a matter of fact, those kinds of issues that have never been exposed and opened many, many years and many, many decades: issues of economic reform in Russia, as well as cooperation and assistance so that this reform not die on the vine, and issues having to do with the Commonwealth of Independent Nations, economic issues having to do with the military condition now, the condition of the military.</w:t>
      </w:r>
    </w:p>
    <w:p w:rsidR="00A31137" w:rsidRPr="00A31137" w:rsidRDefault="00A31137" w:rsidP="00A31137">
      <w:r w:rsidRPr="00A31137">
        <w:t>Public Papers of Bush, 1992, p.178</w:t>
      </w:r>
    </w:p>
    <w:p w:rsidR="00A31137" w:rsidRPr="00A31137" w:rsidRDefault="00A31137" w:rsidP="00A31137">
      <w:r w:rsidRPr="00A31137">
        <w:t>And on the initiative of President Bush and Russia also, we talked about reduction of strategic and tactical arsenals down to the minimal of, say, two and a half thousand warheads for either side. And in this issue we will now begin very specific and concrete negotiations, the issue of arms sales, of nonproliferation of nuclear weapons, issues of the so-called brain drain, and a whole series of others. Now maybe some very specific and personal issues, but I think having to do with a relationship which really has a great importance. I'm very satisfied that today one might say that there has been written and drawn a new line, and crossed out all of the things that have been associated with the cold war.</w:t>
      </w:r>
    </w:p>
    <w:p w:rsidR="00A31137" w:rsidRPr="00A31137" w:rsidRDefault="00A31137" w:rsidP="00A31137">
      <w:r w:rsidRPr="00A31137">
        <w:t>Public Papers of Bush, 1992, p.178</w:t>
      </w:r>
    </w:p>
    <w:p w:rsidR="00A31137" w:rsidRPr="00A31137" w:rsidRDefault="00A31137" w:rsidP="00A31137">
      <w:r w:rsidRPr="00A31137">
        <w:t>Today we are going to sign a statement or declaration on a new nature or character of the relationship between the United States of America and Russia. From now on we do not consider ourselves to be potential enemies as it had been previously in our military doctrine. This is the historic value of this meeting.</w:t>
      </w:r>
    </w:p>
    <w:p w:rsidR="00A31137" w:rsidRPr="00A31137" w:rsidRDefault="00A31137" w:rsidP="00A31137">
      <w:r w:rsidRPr="00A31137">
        <w:t>Public Papers of Bush, 1992, p.178</w:t>
      </w:r>
    </w:p>
    <w:p w:rsidR="00A31137" w:rsidRPr="00A31137" w:rsidRDefault="00A31137" w:rsidP="00A31137">
      <w:r w:rsidRPr="00A31137">
        <w:t>And another very important factor in our relationship, right away today it's already been pointed out, that in the future there will be full frankness, full openness, full honesty in our relationship both of us value very, very much.</w:t>
      </w:r>
    </w:p>
    <w:p w:rsidR="00A31137" w:rsidRPr="00A31137" w:rsidRDefault="00A31137" w:rsidP="00A31137">
      <w:r w:rsidRPr="00A31137">
        <w:t>Public Papers of Bush, 1992, p.178</w:t>
      </w:r>
    </w:p>
    <w:p w:rsidR="00A31137" w:rsidRPr="00A31137" w:rsidRDefault="00A31137" w:rsidP="00A31137">
      <w:r w:rsidRPr="00A31137">
        <w:t>Thank you so much.</w:t>
      </w:r>
    </w:p>
    <w:p w:rsidR="00A31137" w:rsidRPr="00A31137" w:rsidRDefault="00A31137" w:rsidP="00A31137">
      <w:r w:rsidRPr="00A31137">
        <w:t>Public Papers of Bush, 1992, p.178</w:t>
      </w:r>
    </w:p>
    <w:p w:rsidR="00A31137" w:rsidRPr="00A31137" w:rsidRDefault="00A31137" w:rsidP="00A31137">
      <w:r w:rsidRPr="00A31137">
        <w:t>President Bush. Now I'll be glad to take a few questions before the President has to leave.</w:t>
      </w:r>
    </w:p>
    <w:p w:rsidR="00A31137" w:rsidRPr="00A31137" w:rsidRDefault="00A31137" w:rsidP="00A31137">
      <w:r w:rsidRPr="00A31137">
        <w:t>Nuclear Weapons</w:t>
      </w:r>
    </w:p>
    <w:p w:rsidR="00A31137" w:rsidRPr="00A31137" w:rsidRDefault="00A31137" w:rsidP="00A31137">
      <w:r w:rsidRPr="00A31137">
        <w:t>Public Papers of Bush, 1992, p.178</w:t>
      </w:r>
    </w:p>
    <w:p w:rsidR="00A31137" w:rsidRPr="00A31137" w:rsidRDefault="00A31137" w:rsidP="00A31137">
      <w:r w:rsidRPr="00A31137">
        <w:t>Q. Mr. Bush, Mr. Yeltsin seems to have gone a long way towards meeting you halfway on land-based MIRV's. Are you prepared to deal your half of the deck on seabased missiles?</w:t>
      </w:r>
    </w:p>
    <w:p w:rsidR="00A31137" w:rsidRPr="00A31137" w:rsidRDefault="00A31137" w:rsidP="00A31137">
      <w:r w:rsidRPr="00A31137">
        <w:t>Public Papers of Bush, 1992, p.178</w:t>
      </w:r>
    </w:p>
    <w:p w:rsidR="00A31137" w:rsidRPr="00A31137" w:rsidRDefault="00A31137" w:rsidP="00A31137">
      <w:r w:rsidRPr="00A31137">
        <w:t>President Bush. He has gone a long way. We agreed that all these subjects would be discussed in more detail when Secretary Baker goes back to Moscow. I think he'll be there within the next 2 weeks. We didn't go into any agreements on categories or numbers, but we decided that we would let the experts talk about this in much more detail. But we saluted his very broad proposals.</w:t>
      </w:r>
    </w:p>
    <w:p w:rsidR="00A31137" w:rsidRPr="00A31137" w:rsidRDefault="00A31137" w:rsidP="00A31137">
      <w:r w:rsidRPr="00A31137">
        <w:t>Public Papers of Bush, 1992, p.178</w:t>
      </w:r>
    </w:p>
    <w:p w:rsidR="00A31137" w:rsidRPr="00A31137" w:rsidRDefault="00A31137" w:rsidP="00A31137">
      <w:r w:rsidRPr="00A31137">
        <w:t>Q. We see in the declaration that Russia and the United States do not regard each other as potential adversaries. Does it mean you followed Mr. Yeltsin's, President Yeltsin's example so that retargeting of American nuclear weapons are not targeted on Russian targets anymore?</w:t>
      </w:r>
    </w:p>
    <w:p w:rsidR="00A31137" w:rsidRPr="00A31137" w:rsidRDefault="00A31137" w:rsidP="00A31137">
      <w:r w:rsidRPr="00A31137">
        <w:t>Public Papers of Bush, 1992, p.178</w:t>
      </w:r>
    </w:p>
    <w:p w:rsidR="00A31137" w:rsidRPr="00A31137" w:rsidRDefault="00A31137" w:rsidP="00A31137">
      <w:r w:rsidRPr="00A31137">
        <w:t>President Bush. We agreed that all these matters will be discussed in Moscow. But certainly I agree with his objectives, and that is to turn former enemies not only into friends but allies. And it's that that we're starting down that road, and I'm quite optimistic about it. We both realize that there is some negotiation that has to take place in terms of the specifics.</w:t>
      </w:r>
    </w:p>
    <w:p w:rsidR="00A31137" w:rsidRPr="00A31137" w:rsidRDefault="00A31137" w:rsidP="00A31137">
      <w:r w:rsidRPr="00A31137">
        <w:t>Public Papers of Bush, 1992, p.178</w:t>
      </w:r>
    </w:p>
    <w:p w:rsidR="00A31137" w:rsidRPr="00A31137" w:rsidRDefault="00A31137" w:rsidP="00A31137">
      <w:r w:rsidRPr="00A31137">
        <w:t>Q. President Yeltsin, if both sides are now friends, then why not call for a total elimination of nuclear weapons?</w:t>
      </w:r>
    </w:p>
    <w:p w:rsidR="00A31137" w:rsidRPr="00A31137" w:rsidRDefault="00A31137" w:rsidP="00A31137">
      <w:r w:rsidRPr="00A31137">
        <w:t>Public Papers of Bush, 1992, p.178–p.179</w:t>
      </w:r>
    </w:p>
    <w:p w:rsidR="00A31137" w:rsidRPr="00A31137" w:rsidRDefault="00A31137" w:rsidP="00A31137">
      <w:r w:rsidRPr="00A31137">
        <w:t>President Yeltsin. The thing is that there are still adventurers, terrorists, and irresponsible [p.179] politicians in some countries of the world against whom we have to have a certain arsenal of nuclear weapons for restraining them.</w:t>
      </w:r>
    </w:p>
    <w:p w:rsidR="00A31137" w:rsidRPr="00A31137" w:rsidRDefault="00A31137" w:rsidP="00A31137">
      <w:r w:rsidRPr="00A31137">
        <w:t>Public Papers of Bush, 1992, p.179</w:t>
      </w:r>
    </w:p>
    <w:p w:rsidR="00A31137" w:rsidRPr="00A31137" w:rsidRDefault="00A31137" w:rsidP="00A31137">
      <w:r w:rsidRPr="00A31137">
        <w:t>Q. Have you discussed with the President some sort of overall initiative which would defend?</w:t>
      </w:r>
    </w:p>
    <w:p w:rsidR="00A31137" w:rsidRPr="00A31137" w:rsidRDefault="00A31137" w:rsidP="00A31137">
      <w:r w:rsidRPr="00A31137">
        <w:t>Public Papers of Bush, 1992, p.179</w:t>
      </w:r>
    </w:p>
    <w:p w:rsidR="00A31137" w:rsidRPr="00A31137" w:rsidRDefault="00A31137" w:rsidP="00A31137">
      <w:r w:rsidRPr="00A31137">
        <w:t>President Yeltsin. Yes, we did discuss this issue of a global shield, if you would. We consider that it's a very interesting topic, and George Bush confirmed that, yes, this is an exceptionally necessary topic. It would be interesting to utilize these systems on a mutual basis maybe even with the participation of some other nuclear-club countries, nuclear countries. But this requires a very careful, very detailed study at the level of specialists.</w:t>
      </w:r>
    </w:p>
    <w:p w:rsidR="00A31137" w:rsidRPr="00A31137" w:rsidRDefault="00A31137" w:rsidP="00A31137">
      <w:r w:rsidRPr="00A31137">
        <w:t>Public Papers of Bush, 1992, p.179</w:t>
      </w:r>
    </w:p>
    <w:p w:rsidR="00A31137" w:rsidRPr="00A31137" w:rsidRDefault="00A31137" w:rsidP="00A31137">
      <w:r w:rsidRPr="00A31137">
        <w:t>Q. President Bush, your thoughts on President Yeltsin's proposal for a global shield. Is this something that—we're working together on this—is that something that you would philosophically be inclined towards?</w:t>
      </w:r>
    </w:p>
    <w:p w:rsidR="00A31137" w:rsidRPr="00A31137" w:rsidRDefault="00A31137" w:rsidP="00A31137">
      <w:r w:rsidRPr="00A31137">
        <w:t>Public Papers of Bush, 1992, p.179</w:t>
      </w:r>
    </w:p>
    <w:p w:rsidR="00A31137" w:rsidRPr="00A31137" w:rsidRDefault="00A31137" w:rsidP="00A31137">
      <w:r w:rsidRPr="00A31137">
        <w:t>President Bush. It's something that we talked about at lunch with Secretary Cheney. As I said, we reached no decision on these matters. The Soviet Union has a lot of expertise in space, for example. Perhaps one area of real cooperation can be in future space adventure; another could be in this area of defense. But we reached no conclusion except to say that we felt it was worth discussing it in much more detail.</w:t>
      </w:r>
    </w:p>
    <w:p w:rsidR="00A31137" w:rsidRPr="00A31137" w:rsidRDefault="00A31137" w:rsidP="00A31137">
      <w:r w:rsidRPr="00A31137">
        <w:t>Russian Reforms</w:t>
      </w:r>
    </w:p>
    <w:p w:rsidR="00A31137" w:rsidRPr="00A31137" w:rsidRDefault="00A31137" w:rsidP="00A31137">
      <w:r w:rsidRPr="00A31137">
        <w:t>Public Papers of Bush, 1992, p.179</w:t>
      </w:r>
    </w:p>
    <w:p w:rsidR="00A31137" w:rsidRPr="00A31137" w:rsidRDefault="00A31137" w:rsidP="00A31137">
      <w:r w:rsidRPr="00A31137">
        <w:t>Q. Mr. President, I'm going to ask you a question. This morning you said that the United States are willing to participate in the process that is going on in Russia. What parts of economic assistance were discussed today, I mean assistance for economic reform, rather?</w:t>
      </w:r>
    </w:p>
    <w:p w:rsidR="00A31137" w:rsidRPr="00A31137" w:rsidRDefault="00A31137" w:rsidP="00A31137">
      <w:r w:rsidRPr="00A31137">
        <w:t>Public Papers of Bush, 1992, p.179</w:t>
      </w:r>
    </w:p>
    <w:p w:rsidR="00A31137" w:rsidRPr="00A31137" w:rsidRDefault="00A31137" w:rsidP="00A31137">
      <w:r w:rsidRPr="00A31137">
        <w:t>President Bush. Well, largely, today President Yeltsin had a chance to expand on the reforms he has undertaken. His finance expert, Mr. Gaydar, is meeting right now with our Secretary of the Treasury, and we agreed that they would talk about the details of the reform. So, I would leave any substance to hear from those two.</w:t>
      </w:r>
    </w:p>
    <w:p w:rsidR="00A31137" w:rsidRPr="00A31137" w:rsidRDefault="00A31137" w:rsidP="00A31137">
      <w:r w:rsidRPr="00A31137">
        <w:t>Public Papers of Bush, 1992, p.179</w:t>
      </w:r>
    </w:p>
    <w:p w:rsidR="00A31137" w:rsidRPr="00A31137" w:rsidRDefault="00A31137" w:rsidP="00A31137">
      <w:r w:rsidRPr="00A31137">
        <w:t>But there are many areas where we already are beginning to work with the Soviet Union, not only in these private delegations. We feel it would be very important that they be full members in these international financial organizations. I pledged the United States' full efforts in support for early entry into the IMF and into the World Bank. We expanded a little bit on the programs we already have working. In terms of additional support for the Soviet Union, financial and food, Jim Baker had an opportunity to discuss to some degree the follow on from the conference that we had, the cooperation conference that was held in Washington last week.</w:t>
      </w:r>
    </w:p>
    <w:p w:rsidR="00A31137" w:rsidRPr="00A31137" w:rsidRDefault="00A31137" w:rsidP="00A31137">
      <w:r w:rsidRPr="00A31137">
        <w:t>Public Papers of Bush, 1992, p.179</w:t>
      </w:r>
    </w:p>
    <w:p w:rsidR="00A31137" w:rsidRPr="00A31137" w:rsidRDefault="00A31137" w:rsidP="00A31137">
      <w:r w:rsidRPr="00A31137">
        <w:t>We didn't get into too many specifics on that, but I was very interested in hearing from him about the reforms in place. And I did, in a general sense, say that the United States would like to assist in any way possible.</w:t>
      </w:r>
    </w:p>
    <w:p w:rsidR="00A31137" w:rsidRPr="00A31137" w:rsidRDefault="00A31137" w:rsidP="00A31137">
      <w:r w:rsidRPr="00A31137">
        <w:t>Public Papers of Bush, 1992, p.179</w:t>
      </w:r>
    </w:p>
    <w:p w:rsidR="00A31137" w:rsidRPr="00A31137" w:rsidRDefault="00A31137" w:rsidP="00A31137">
      <w:r w:rsidRPr="00A31137">
        <w:t>Q. President Yeltsin, in your opinion, do you consider that you are getting sufficient assistance from the United States, economic assistance? You heard a lot about it today.</w:t>
      </w:r>
    </w:p>
    <w:p w:rsidR="00A31137" w:rsidRPr="00A31137" w:rsidRDefault="00A31137" w:rsidP="00A31137">
      <w:r w:rsidRPr="00A31137">
        <w:t>Public Papers of Bush, 1992, p.179</w:t>
      </w:r>
    </w:p>
    <w:p w:rsidR="00A31137" w:rsidRPr="00A31137" w:rsidRDefault="00A31137" w:rsidP="00A31137">
      <w:r w:rsidRPr="00A31137">
        <w:t>President Yeltsin. Well, I would somewhat differently approach this question. After all, what's important here is not just aid. We were looking at the question of support for the reform, cooperation in a lot of different areas, a lot of directions, accomplishing a whole series of programs in order to be supportive of reform.</w:t>
      </w:r>
    </w:p>
    <w:p w:rsidR="00A31137" w:rsidRPr="00A31137" w:rsidRDefault="00A31137" w:rsidP="00A31137">
      <w:r w:rsidRPr="00A31137">
        <w:t>Public Papers of Bush, 1992, p.179</w:t>
      </w:r>
    </w:p>
    <w:p w:rsidR="00A31137" w:rsidRPr="00A31137" w:rsidRDefault="00A31137" w:rsidP="00A31137">
      <w:r w:rsidRPr="00A31137">
        <w:t>I didn't come here just to stretch out my hand and ask for help, no. We're calling for cooperation, cooperation for the whole world. Because if the reform in Russia goes under, that means there will be a cold war. The cold war is going to turn into a hot war. This is again going to be an arms race. Again, this will be the same regime that we have just recently rid ourselves. We cannot allow this to happen because in this reform the whole world community has to participate, not just the United States, and not just some sort of financial help but political support, cooperation, and the accomplishment of overall programs by everybody in order to help.</w:t>
      </w:r>
    </w:p>
    <w:p w:rsidR="00A31137" w:rsidRPr="00A31137" w:rsidRDefault="00A31137" w:rsidP="00A31137">
      <w:r w:rsidRPr="00A31137">
        <w:t>Public Papers of Bush, 1992, p.179</w:t>
      </w:r>
    </w:p>
    <w:p w:rsidR="00A31137" w:rsidRPr="00A31137" w:rsidRDefault="00A31137" w:rsidP="00A31137">
      <w:r w:rsidRPr="00A31137">
        <w:t>Also, humanitarian aid, we have agreed on this. From February 10th there will be a massive assistance on the part of the United States and others, and I'm very appreciative to George Bush for this.</w:t>
      </w:r>
    </w:p>
    <w:p w:rsidR="00A31137" w:rsidRPr="00A31137" w:rsidRDefault="00A31137" w:rsidP="00A31137">
      <w:r w:rsidRPr="00A31137">
        <w:t>Nuclear Technology</w:t>
      </w:r>
    </w:p>
    <w:p w:rsidR="00A31137" w:rsidRPr="00A31137" w:rsidRDefault="00A31137" w:rsidP="00A31137">
      <w:r w:rsidRPr="00A31137">
        <w:t>Public Papers of Bush, 1992, p.180</w:t>
      </w:r>
    </w:p>
    <w:p w:rsidR="00A31137" w:rsidRPr="00A31137" w:rsidRDefault="00A31137" w:rsidP="00A31137">
      <w:r w:rsidRPr="00A31137">
        <w:t>Q. You said that during the negotiations you were talking about nonproliferation of nuclear technology outside of the former Soviet Union. Is there a possibility of leaking of this technology?</w:t>
      </w:r>
    </w:p>
    <w:p w:rsidR="00A31137" w:rsidRPr="00A31137" w:rsidRDefault="00A31137" w:rsidP="00A31137">
      <w:r w:rsidRPr="00A31137">
        <w:t>Public Papers of Bush, 1992, p.180</w:t>
      </w:r>
    </w:p>
    <w:p w:rsidR="00A31137" w:rsidRPr="00A31137" w:rsidRDefault="00A31137" w:rsidP="00A31137">
      <w:r w:rsidRPr="00A31137">
        <w:t>President Yeltsin. Yes. First is the moving of tactical weapons out of Kazakhstan, Ukraine, and Byelorussia onto the territory of Russia. All of the tactical weapons have been taken out of Kazakhstan, from Byelorussia. We are now finishing up that process. And in the Ukraine we will be done on July 1.</w:t>
      </w:r>
    </w:p>
    <w:p w:rsidR="00A31137" w:rsidRPr="00A31137" w:rsidRDefault="00A31137" w:rsidP="00A31137">
      <w:r w:rsidRPr="00A31137">
        <w:t>Public Papers of Bush, 1992, p.180</w:t>
      </w:r>
    </w:p>
    <w:p w:rsidR="00A31137" w:rsidRPr="00A31137" w:rsidRDefault="00A31137" w:rsidP="00A31137">
      <w:r w:rsidRPr="00A31137">
        <w:t>Now, as far as strategic weapons, this is a more difficult question. But there will be a transport, first of all, to Russia of those MIRV's warheads onto the territory of Russia so that they can be eliminated or so they can be turned to fuel for power plants, atomic power plants, and peaceful purposes. That's the one direction.</w:t>
      </w:r>
    </w:p>
    <w:p w:rsidR="00A31137" w:rsidRPr="00A31137" w:rsidRDefault="00A31137" w:rsidP="00A31137">
      <w:r w:rsidRPr="00A31137">
        <w:t>Public Papers of Bush, 1992, p.180</w:t>
      </w:r>
    </w:p>
    <w:p w:rsidR="00A31137" w:rsidRPr="00A31137" w:rsidRDefault="00A31137" w:rsidP="00A31137">
      <w:r w:rsidRPr="00A31137">
        <w:t>Secondly, how to take that 2,000 nuclear specialists who were working many decades, what to do with them and how to give them jobs. I looked at this issue in Moscow and took the decision to help them in a social sense, in a big way, to give them material support and radically change up to 5,000 rubles per month to give them a pay raise so that they would not flee to the West. Secondly, today we agreed on a whole series of joint programs where the scientists will be brought in and so that they can participate and work. And there was a proposal by President Bush to create a center, a research center where they could work together fruitfully, and that will attract them.</w:t>
      </w:r>
    </w:p>
    <w:p w:rsidR="00A31137" w:rsidRPr="00A31137" w:rsidRDefault="00A31137" w:rsidP="00A31137">
      <w:r w:rsidRPr="00A31137">
        <w:t>Negotiation Timetable</w:t>
      </w:r>
    </w:p>
    <w:p w:rsidR="00A31137" w:rsidRPr="00A31137" w:rsidRDefault="00A31137" w:rsidP="00A31137">
      <w:r w:rsidRPr="00A31137">
        <w:t>Public Papers of Bush, 1992, p.180</w:t>
      </w:r>
    </w:p>
    <w:p w:rsidR="00A31137" w:rsidRPr="00A31137" w:rsidRDefault="00A31137" w:rsidP="00A31137">
      <w:r w:rsidRPr="00A31137">
        <w:t>Q. I just wondered, did you all agree on any sort of timetable for your arms negotiations, for example, to be coinciding with President Yeltsin's visit in the springtime and your visit, I guess, to Moscow later in the year?</w:t>
      </w:r>
    </w:p>
    <w:p w:rsidR="00A31137" w:rsidRPr="00A31137" w:rsidRDefault="00A31137" w:rsidP="00A31137">
      <w:r w:rsidRPr="00A31137">
        <w:t>Public Papers of Bush, 1992, p.180</w:t>
      </w:r>
    </w:p>
    <w:p w:rsidR="00A31137" w:rsidRPr="00A31137" w:rsidRDefault="00A31137" w:rsidP="00A31137">
      <w:r w:rsidRPr="00A31137">
        <w:t>President Bush. We agreed that the very next step will be a much more detailed discussion of this matter when Secretary Baker goes, in but 2 weeks, back to Russia.</w:t>
      </w:r>
    </w:p>
    <w:p w:rsidR="00A31137" w:rsidRPr="00A31137" w:rsidRDefault="00A31137" w:rsidP="00A31137">
      <w:r w:rsidRPr="00A31137">
        <w:t>Public Papers of Bush, 1992, p.180</w:t>
      </w:r>
    </w:p>
    <w:p w:rsidR="00A31137" w:rsidRPr="00A31137" w:rsidRDefault="00A31137" w:rsidP="00A31137">
      <w:r w:rsidRPr="00A31137">
        <w:t>Do you want to add to that, Mr. President, Boris? Q. Do you have a goal for finishing these negotiations?</w:t>
      </w:r>
    </w:p>
    <w:p w:rsidR="00A31137" w:rsidRPr="00A31137" w:rsidRDefault="00A31137" w:rsidP="00A31137">
      <w:r w:rsidRPr="00A31137">
        <w:t>Public Papers of Bush, 1992, p.180</w:t>
      </w:r>
    </w:p>
    <w:p w:rsidR="00A31137" w:rsidRPr="00A31137" w:rsidRDefault="00A31137" w:rsidP="00A31137">
      <w:r w:rsidRPr="00A31137">
        <w:t>President Yeltsin. Yes, namely, in 2 weeks this schedule will be prepared by Mr. Baker together with our representatives. They'll put it together.</w:t>
      </w:r>
    </w:p>
    <w:p w:rsidR="00A31137" w:rsidRPr="00A31137" w:rsidRDefault="00A31137" w:rsidP="00A31137">
      <w:r w:rsidRPr="00A31137">
        <w:t>Public Papers of Bush, 1992, p.180</w:t>
      </w:r>
    </w:p>
    <w:p w:rsidR="00A31137" w:rsidRPr="00A31137" w:rsidRDefault="00A31137" w:rsidP="00A31137">
      <w:r w:rsidRPr="00A31137">
        <w:t>Q. The whole thing will be done in 2 weeks?</w:t>
      </w:r>
    </w:p>
    <w:p w:rsidR="00A31137" w:rsidRPr="00A31137" w:rsidRDefault="00A31137" w:rsidP="00A31137">
      <w:r w:rsidRPr="00A31137">
        <w:t>Public Papers of Bush, 1992, p.180</w:t>
      </w:r>
    </w:p>
    <w:p w:rsidR="00A31137" w:rsidRPr="00A31137" w:rsidRDefault="00A31137" w:rsidP="00A31137">
      <w:r w:rsidRPr="00A31137">
        <w:t>President Bush. No, no, just the beginning of the negotiations—</w:t>
      </w:r>
    </w:p>
    <w:p w:rsidR="00A31137" w:rsidRPr="00A31137" w:rsidRDefault="00A31137" w:rsidP="00A31137">
      <w:r w:rsidRPr="00A31137">
        <w:t>Public Papers of Bush, 1992, p.180</w:t>
      </w:r>
    </w:p>
    <w:p w:rsidR="00A31137" w:rsidRPr="00A31137" w:rsidRDefault="00A31137" w:rsidP="00A31137">
      <w:r w:rsidRPr="00A31137">
        <w:t>President Yeltsin. No, no, no. The schedule will be put together, the schedule.</w:t>
      </w:r>
    </w:p>
    <w:p w:rsidR="00A31137" w:rsidRPr="00A31137" w:rsidRDefault="00A31137" w:rsidP="00A31137">
      <w:r w:rsidRPr="00A31137">
        <w:t>Russian Reforms</w:t>
      </w:r>
    </w:p>
    <w:p w:rsidR="00A31137" w:rsidRPr="00A31137" w:rsidRDefault="00A31137" w:rsidP="00A31137">
      <w:r w:rsidRPr="00A31137">
        <w:t>Public Papers of Bush, 1992, p.180</w:t>
      </w:r>
    </w:p>
    <w:p w:rsidR="00A31137" w:rsidRPr="00A31137" w:rsidRDefault="00A31137" w:rsidP="00A31137">
      <w:r w:rsidRPr="00A31137">
        <w:t>Q. Mr. President, are you convinced that President Yeltsin is committed to democratic and economic reform? And do you believe he will succeed?</w:t>
      </w:r>
    </w:p>
    <w:p w:rsidR="00A31137" w:rsidRPr="00A31137" w:rsidRDefault="00A31137" w:rsidP="00A31137">
      <w:r w:rsidRPr="00A31137">
        <w:t>Public Papers of Bush, 1992, p.180</w:t>
      </w:r>
    </w:p>
    <w:p w:rsidR="00A31137" w:rsidRPr="00A31137" w:rsidRDefault="00A31137" w:rsidP="00A31137">
      <w:r w:rsidRPr="00A31137">
        <w:t>President Bush. I am convinced that he is totally committed to democratic reform. And I'm convinced that the problems he faces are enormous, but I am also convinced that he will succeed if he gets the proper support from around the world for these worthy objectives. And we are pledging him support from the United States, but I think he himself recognizes the problems they face are enormous.</w:t>
      </w:r>
    </w:p>
    <w:p w:rsidR="00A31137" w:rsidRPr="00A31137" w:rsidRDefault="00A31137" w:rsidP="00A31137">
      <w:r w:rsidRPr="00A31137">
        <w:t>Public Papers of Bush, 1992, p.180</w:t>
      </w:r>
    </w:p>
    <w:p w:rsidR="00A31137" w:rsidRPr="00A31137" w:rsidRDefault="00A31137" w:rsidP="00A31137">
      <w:r w:rsidRPr="00A31137">
        <w:t>He put into effect economic reforms. Before he did it, he told me. But much more important, he told the people of Russia he was going to do it. He told them it would not be easy. He told them what he was going to have to do in terms of raising prices, which is not a popular thing to do. And he's done that.</w:t>
      </w:r>
    </w:p>
    <w:p w:rsidR="00A31137" w:rsidRPr="00A31137" w:rsidRDefault="00A31137" w:rsidP="00A31137">
      <w:r w:rsidRPr="00A31137">
        <w:t>Public Papers of Bush, 1992, p.180</w:t>
      </w:r>
    </w:p>
    <w:p w:rsidR="00A31137" w:rsidRPr="00A31137" w:rsidRDefault="00A31137" w:rsidP="00A31137">
      <w:r w:rsidRPr="00A31137">
        <w:t>And I think it's very hard to predict how this will go. I would leave that for him to comment on. But I will say this, that the experts that give me advice feel that because of the way in which he handled it and the commitment that is so obvious to democratic reform, that it is going, in spite of hardship, better than they would have predicted.</w:t>
      </w:r>
    </w:p>
    <w:p w:rsidR="00A31137" w:rsidRPr="00A31137" w:rsidRDefault="00A31137" w:rsidP="00A31137">
      <w:r w:rsidRPr="00A31137">
        <w:t>Public Papers of Bush, 1992, p.180–p.181</w:t>
      </w:r>
    </w:p>
    <w:p w:rsidR="00A31137" w:rsidRPr="00A31137" w:rsidRDefault="00A31137" w:rsidP="00A31137">
      <w:r w:rsidRPr="00A31137">
        <w:t>So, there is no question that this President, President Yeltsin, is committed to democratic reform. He laid his life on the line on top of a tank to make that message loud and clear, and the whole world rejoiced in it when they saw his courage. He's applying that same courage, and I'm not saying that just because he's standing here, he's applying that same courage now to this [p.181] concept of economic reform. One certainly cannot doubt his full commitment to this subject.</w:t>
      </w:r>
    </w:p>
    <w:p w:rsidR="00A31137" w:rsidRPr="00A31137" w:rsidRDefault="00A31137" w:rsidP="00A31137">
      <w:r w:rsidRPr="00A31137">
        <w:t>Commonwealth of Independent States</w:t>
      </w:r>
    </w:p>
    <w:p w:rsidR="00A31137" w:rsidRPr="00A31137" w:rsidRDefault="00A31137" w:rsidP="00A31137">
      <w:r w:rsidRPr="00A31137">
        <w:t>Public Papers of Bush, 1992, p.181</w:t>
      </w:r>
    </w:p>
    <w:p w:rsidR="00A31137" w:rsidRPr="00A31137" w:rsidRDefault="00A31137" w:rsidP="00A31137">
      <w:r w:rsidRPr="00A31137">
        <w:t>Q. Would either of you care to tell us about the personal relationship you've developed?</w:t>
      </w:r>
    </w:p>
    <w:p w:rsidR="00A31137" w:rsidRPr="00A31137" w:rsidRDefault="00A31137" w:rsidP="00A31137">
      <w:r w:rsidRPr="00A31137">
        <w:t>Public Papers of Bush, 1992, p.181</w:t>
      </w:r>
    </w:p>
    <w:p w:rsidR="00A31137" w:rsidRPr="00A31137" w:rsidRDefault="00A31137" w:rsidP="00A31137">
      <w:r w:rsidRPr="00A31137">
        <w:t>Q. Is the federation, Commonwealth working the way you wanted it to work? And how long is it going to exist?</w:t>
      </w:r>
    </w:p>
    <w:p w:rsidR="00A31137" w:rsidRPr="00A31137" w:rsidRDefault="00A31137" w:rsidP="00A31137">
      <w:r w:rsidRPr="00A31137">
        <w:t>Public Papers of Bush, 1992, p.181</w:t>
      </w:r>
    </w:p>
    <w:p w:rsidR="00A31137" w:rsidRPr="00A31137" w:rsidRDefault="00A31137" w:rsidP="00A31137">
      <w:r w:rsidRPr="00A31137">
        <w:t>President Yeltsin. [Inaudible]</w:t>
      </w:r>
    </w:p>
    <w:p w:rsidR="00A31137" w:rsidRPr="00A31137" w:rsidRDefault="00A31137" w:rsidP="00A31137">
      <w:r w:rsidRPr="00A31137">
        <w:t>Public Papers of Bush, 1992, p.181</w:t>
      </w:r>
    </w:p>
    <w:p w:rsidR="00A31137" w:rsidRPr="00A31137" w:rsidRDefault="00A31137" w:rsidP="00A31137">
      <w:r w:rsidRPr="00A31137">
        <w:t>Q. No, the Commonwealth. How is it working, and how long do you think it's going to exist?</w:t>
      </w:r>
    </w:p>
    <w:p w:rsidR="00A31137" w:rsidRPr="00A31137" w:rsidRDefault="00A31137" w:rsidP="00A31137">
      <w:r w:rsidRPr="00A31137">
        <w:t>Public Papers of Bush, 1992, p.181</w:t>
      </w:r>
    </w:p>
    <w:p w:rsidR="00A31137" w:rsidRPr="00A31137" w:rsidRDefault="00A31137" w:rsidP="00A31137">
      <w:r w:rsidRPr="00A31137">
        <w:t>President Yeltsin. Today I explained to Mr. Bush about our relationship with the other States within our Commonwealth. Yes, we have difficulties, especially in terms of the armed forces issues. We're going to be discussing that on 14 February in Minsk, where all the heads of the independent States will gather.</w:t>
      </w:r>
    </w:p>
    <w:p w:rsidR="00A31137" w:rsidRPr="00A31137" w:rsidRDefault="00A31137" w:rsidP="00A31137">
      <w:r w:rsidRPr="00A31137">
        <w:t>Public Papers of Bush, 1992, p.181</w:t>
      </w:r>
    </w:p>
    <w:p w:rsidR="00A31137" w:rsidRPr="00A31137" w:rsidRDefault="00A31137" w:rsidP="00A31137">
      <w:r w:rsidRPr="00A31137">
        <w:t>There are difficulties. Nonetheless, after all, for every time we meet, and we meet once every month, there is each time a step forward. You can't forget that the Commonwealth is only 2 months old. This is still a baby in diapers. You've got to take care of it; you've got to handle it carefully so you don't drop it. That's why we're trying together, all of us, to sit and have a dialog. We have good relations with all the heads of states of all these countries; we do. I believe that this Commonwealth will be stronger and stronger.</w:t>
      </w:r>
    </w:p>
    <w:p w:rsidR="00A31137" w:rsidRPr="00A31137" w:rsidRDefault="00A31137" w:rsidP="00A31137">
      <w:r w:rsidRPr="00A31137">
        <w:t>Public Papers of Bush, 1992, p.181</w:t>
      </w:r>
    </w:p>
    <w:p w:rsidR="00A31137" w:rsidRPr="00A31137" w:rsidRDefault="00A31137" w:rsidP="00A31137">
      <w:r w:rsidRPr="00A31137">
        <w:t>President Bush. Marlin tells me we've got time but for one more question because President Yeltsin has an appointment with the leaders from Congress at the Russian Embassy, and so we really do have to go.</w:t>
      </w:r>
    </w:p>
    <w:p w:rsidR="00A31137" w:rsidRPr="00A31137" w:rsidRDefault="00A31137" w:rsidP="00A31137">
      <w:r w:rsidRPr="00A31137">
        <w:t>Relationship With President Yeltsin</w:t>
      </w:r>
    </w:p>
    <w:p w:rsidR="00A31137" w:rsidRPr="00A31137" w:rsidRDefault="00A31137" w:rsidP="00A31137">
      <w:r w:rsidRPr="00A31137">
        <w:t>Public Papers of Bush, 1992, p.181</w:t>
      </w:r>
    </w:p>
    <w:p w:rsidR="00A31137" w:rsidRPr="00A31137" w:rsidRDefault="00A31137" w:rsidP="00A31137">
      <w:r w:rsidRPr="00A31137">
        <w:t>Q. I'm just wondering if you gentlemen would care to share the personal relationship that you've developed. You've worked closely, certainly, with Mr. Gorbachev.</w:t>
      </w:r>
    </w:p>
    <w:p w:rsidR="00A31137" w:rsidRPr="00A31137" w:rsidRDefault="00A31137" w:rsidP="00A31137">
      <w:r w:rsidRPr="00A31137">
        <w:t>Public Papers of Bush, 1992, p.181</w:t>
      </w:r>
    </w:p>
    <w:p w:rsidR="00A31137" w:rsidRPr="00A31137" w:rsidRDefault="00A31137" w:rsidP="00A31137">
      <w:r w:rsidRPr="00A31137">
        <w:t>President Bush. Well, it's well-known that I had a very close relationship with Mr. Gorbachev. It was built on respect. It became friendship. And I can only speak for myself, one half of the equation, but the visits that I have had with President Yeltsin before this have always been very pleasant. I think that we have a good understanding. I have a very warm feeling in my heart about what he has done and is, trying to do. And I consider him my friend.</w:t>
      </w:r>
    </w:p>
    <w:p w:rsidR="00A31137" w:rsidRPr="00A31137" w:rsidRDefault="00A31137" w:rsidP="00A31137">
      <w:r w:rsidRPr="00A31137">
        <w:t>Public Papers of Bush, 1992, p.181</w:t>
      </w:r>
    </w:p>
    <w:p w:rsidR="00A31137" w:rsidRPr="00A31137" w:rsidRDefault="00A31137" w:rsidP="00A31137">
      <w:r w:rsidRPr="00A31137">
        <w:t>President Yeltsin. I consider that I was very lucky in life, both as a political person and just as a man, to have met George Bush. We have contacted each other, have been in contact, oh, now about 2 years at least. And even in the days when I was in the opposition, we used to meet. And then, even then, I already felt his wide-ranging talent, his mind, and his qualities as a person. I'm just tremendously impressed by his wisdom. I think he has incredible qualities not only as a political person but also as a person, as a really great political figure of the United States.</w:t>
      </w:r>
    </w:p>
    <w:p w:rsidR="00A31137" w:rsidRPr="00A31137" w:rsidRDefault="00A31137" w:rsidP="00A31137">
      <w:r w:rsidRPr="00A31137">
        <w:t>Public Papers of Bush, 1992, p.181</w:t>
      </w:r>
    </w:p>
    <w:p w:rsidR="00A31137" w:rsidRPr="00A31137" w:rsidRDefault="00A31137" w:rsidP="00A31137">
      <w:r w:rsidRPr="00A31137">
        <w:t>Today our relations have now been formed up as friends, and we talk quite frequently to each other. We call each other on the telephone. We say "Boris"; we say "George." And already this says a lot.</w:t>
      </w:r>
    </w:p>
    <w:p w:rsidR="00A31137" w:rsidRPr="00A31137" w:rsidRDefault="00A31137" w:rsidP="00A31137">
      <w:r w:rsidRPr="00A31137">
        <w:t>Public Papers of Bush, 1992, p.181</w:t>
      </w:r>
    </w:p>
    <w:p w:rsidR="00A31137" w:rsidRPr="00A31137" w:rsidRDefault="00A31137" w:rsidP="00A31137">
      <w:r w:rsidRPr="00A31137">
        <w:t>President Bush. That's the last question. I'm awful sorry; Marlin is really looking nervous. [Laughter] Thank you very much.</w:t>
      </w:r>
    </w:p>
    <w:p w:rsidR="00A31137" w:rsidRPr="00A31137" w:rsidRDefault="00A31137" w:rsidP="00A31137">
      <w:r w:rsidRPr="00A31137">
        <w:t>Public Papers of Bush, 1992, p.181</w:t>
      </w:r>
    </w:p>
    <w:p w:rsidR="00A31137" w:rsidRPr="00A31137" w:rsidRDefault="00A31137" w:rsidP="00A31137">
      <w:r w:rsidRPr="00A31137">
        <w:t>NOTE: The President's 120th news conference began at 1:37 p.m. at Camp David, MD. President Yeltsin spoke in Russian, and his remarks were translated by an interpreter.</w:t>
      </w:r>
    </w:p>
    <w:p w:rsidR="00A31137" w:rsidRPr="00A31137" w:rsidRDefault="00A31137" w:rsidP="00A31137">
      <w:r w:rsidRPr="00A31137">
        <w:t>President Bush's Text of Remarks at the Opening Session of the Drug Summit in San Antonio, 1992</w:t>
      </w:r>
    </w:p>
    <w:p w:rsidR="00A31137" w:rsidRPr="00A31137" w:rsidRDefault="00A31137" w:rsidP="00A31137">
      <w:r w:rsidRPr="00A31137">
        <w:t>Title:</w:t>
      </w:r>
      <w:r w:rsidRPr="00A31137">
        <w:tab/>
        <w:t>President Bush's Text of Remarks at the Opening Session of the Drug Summit in San Antonio</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February 27, 1992</w:t>
      </w:r>
    </w:p>
    <w:p w:rsidR="00A31137" w:rsidRPr="00A31137" w:rsidRDefault="00A31137" w:rsidP="00A31137">
      <w:r w:rsidRPr="00A31137">
        <w:t>Source:</w:t>
      </w:r>
      <w:r w:rsidRPr="00A31137">
        <w:tab/>
        <w:t>Public Papers of the Presidents, Bush, 1992, pp.322-323</w:t>
      </w:r>
    </w:p>
    <w:p w:rsidR="00A31137" w:rsidRPr="00A31137" w:rsidRDefault="00A31137" w:rsidP="00A31137">
      <w:r w:rsidRPr="00A31137">
        <w:t>Public Papers of Bush, 1992, p.322</w:t>
      </w:r>
    </w:p>
    <w:p w:rsidR="00A31137" w:rsidRPr="00A31137" w:rsidRDefault="00A31137" w:rsidP="00A31137">
      <w:r w:rsidRPr="00A31137">
        <w:t>It is a great honor and pleasure to call to order an historic meeting, in a historic city, in a historic State, my home State of Texas. We are all here to make this San Antonio drug summit as successful as the first summit called by President Barco 2 years ago in beautiful, heroic Cartagena. It is fitting to begin this meeting with a warm tribute to the great, visionary man who first brought us together on this issue, Virgilio Barco.</w:t>
      </w:r>
    </w:p>
    <w:p w:rsidR="00A31137" w:rsidRPr="00A31137" w:rsidRDefault="00A31137" w:rsidP="00A31137">
      <w:r w:rsidRPr="00A31137">
        <w:t>Public Papers of Bush, 1992, p.322</w:t>
      </w:r>
    </w:p>
    <w:p w:rsidR="00A31137" w:rsidRPr="00A31137" w:rsidRDefault="00A31137" w:rsidP="00A31137">
      <w:r w:rsidRPr="00A31137">
        <w:t>In Cartagena, as President Paz Zamora, who is also here today, will recall, we faced a daunting, unprecedented, some thought hopeless challenge: How to unite against the scourge of drugs, violence, and corruption that was undermining our democratic societies, our institutions, our economies, and our environment.</w:t>
      </w:r>
    </w:p>
    <w:p w:rsidR="00A31137" w:rsidRPr="00A31137" w:rsidRDefault="00A31137" w:rsidP="00A31137">
      <w:r w:rsidRPr="00A31137">
        <w:t>Public Papers of Bush, 1992, p.322</w:t>
      </w:r>
    </w:p>
    <w:p w:rsidR="00A31137" w:rsidRPr="00A31137" w:rsidRDefault="00A31137" w:rsidP="00A31137">
      <w:r w:rsidRPr="00A31137">
        <w:t>That meeting gave birth to a new alliance to strengthen our democracies by attacking the drug trafficking and consumption with greater resolve than ever before. Cartagena was when we stopped the finger-pointing and committed ourselves to cooperation, when we recognized that drugs are an international plague caused by both consumer and supplier.</w:t>
      </w:r>
    </w:p>
    <w:p w:rsidR="00A31137" w:rsidRPr="00A31137" w:rsidRDefault="00A31137" w:rsidP="00A31137">
      <w:r w:rsidRPr="00A31137">
        <w:t>Public Papers of Bush, 1992, p.322–p.323</w:t>
      </w:r>
    </w:p>
    <w:p w:rsidR="00A31137" w:rsidRPr="00A31137" w:rsidRDefault="00A31137" w:rsidP="00A31137">
      <w:r w:rsidRPr="00A31137">
        <w:t>Two years later the situation has markedly improved. We are facing the challenge. We are united. We are resolute. We are prevailing. We are now seven, not four. We welcome to this group Mexico, Venezuela, and Ecuador, all of whom have shown firm leadership and courage in this struggle. Others in the Americas and Europe are with us, seeing the threat more clearly. Progress is being made. We have courageously faced those who would subvert our societies, break our laws, and kill thousands of innocents. Top traffickers are dead or jailed. Record levels of cocaine and other drugs have been seized. Cultivation has leveled off. Interdiction is up worldwide. We have cracked down on drug users. Consumption is declining as our people increasingly [p.323] reject drugs, especially our youth. Our judicial institutions are stronger, better able to meet the challenge. Our efforts against money laundering, chemical diversion, and illegal arms exports are improving.</w:t>
      </w:r>
    </w:p>
    <w:p w:rsidR="00A31137" w:rsidRPr="00A31137" w:rsidRDefault="00A31137" w:rsidP="00A31137">
      <w:r w:rsidRPr="00A31137">
        <w:t>Public Papers of Bush, 1992, p.323</w:t>
      </w:r>
    </w:p>
    <w:p w:rsidR="00A31137" w:rsidRPr="00A31137" w:rsidRDefault="00A31137" w:rsidP="00A31137">
      <w:r w:rsidRPr="00A31137">
        <w:t>But we are here today because the job is not yet done. We have not yet won this fight. It is time to assess our accomplishments and our plans, to learn from the past and look to the future. Let me mention what seems to me to be some priority areas.</w:t>
      </w:r>
    </w:p>
    <w:p w:rsidR="00A31137" w:rsidRPr="00A31137" w:rsidRDefault="00A31137" w:rsidP="00A31137">
      <w:r w:rsidRPr="00A31137">
        <w:t>Public Papers of Bush, 1992, p.323</w:t>
      </w:r>
    </w:p>
    <w:p w:rsidR="00A31137" w:rsidRPr="00A31137" w:rsidRDefault="00A31137" w:rsidP="00A31137">
      <w:r w:rsidRPr="00A31137">
        <w:t>First and foremost, we must reduce demand. All else will fail if we do not do that. I know that task falls heaviest on the United States, and we have made a good beginning. Since I came to office, there has been a 35-percent decrease in current cocaine users, and 27 percent fewer young people are using drugs.</w:t>
      </w:r>
    </w:p>
    <w:p w:rsidR="00A31137" w:rsidRPr="00A31137" w:rsidRDefault="00A31137" w:rsidP="00A31137">
      <w:r w:rsidRPr="00A31137">
        <w:t>Public Papers of Bush, 1992, p.323</w:t>
      </w:r>
    </w:p>
    <w:p w:rsidR="00A31137" w:rsidRPr="00A31137" w:rsidRDefault="00A31137" w:rsidP="00A31137">
      <w:r w:rsidRPr="00A31137">
        <w:t>Second, we must continue the economic reform, economic assistance, debt, trade, and investment measures which are so important to our antinarcotics programs. The United States wants alternative development to succeed. I am sure Peruvian and Bolivian peasants will stop growing illegal coca if there is an alternative besides starvation. The stick of law enforcement must have a carrot, an offer of viable economic alternatives for poor peasants.</w:t>
      </w:r>
    </w:p>
    <w:p w:rsidR="00A31137" w:rsidRPr="00A31137" w:rsidRDefault="00A31137" w:rsidP="00A31137">
      <w:r w:rsidRPr="00A31137">
        <w:t>Public Papers of Bush, 1992, p.323</w:t>
      </w:r>
    </w:p>
    <w:p w:rsidR="00A31137" w:rsidRPr="00A31137" w:rsidRDefault="00A31137" w:rsidP="00A31137">
      <w:r w:rsidRPr="00A31137">
        <w:t>Third, we must continue and enhance our effectiveness in eradication, interdiction, and law enforcement that have been so critical to our success thus far. Just as demand reduction will lower supply, so also supply reduction will lessen demand. We have laid this out in the "Strategy for Action" that is part of our declaration. We must make it happen.</w:t>
      </w:r>
    </w:p>
    <w:p w:rsidR="00A31137" w:rsidRPr="00A31137" w:rsidRDefault="00A31137" w:rsidP="00A31137">
      <w:r w:rsidRPr="00A31137">
        <w:t>Public Papers of Bush, 1992, p.323</w:t>
      </w:r>
    </w:p>
    <w:p w:rsidR="00A31137" w:rsidRPr="00A31137" w:rsidRDefault="00A31137" w:rsidP="00A31137">
      <w:r w:rsidRPr="00A31137">
        <w:t>Fourth, we must look carefully and imaginatively at what might be called nonviolent law enforcement measures. We must strengthen and harmonize our laws on money laundering, arms, exports, chemical controls, asset seizure, and in other areas. It is here that the long arm of the law can fracture the power of the traffickers. The antiracketeering laws in the United States have proven to be one of the strongest measures we have developed in recent years.</w:t>
      </w:r>
    </w:p>
    <w:p w:rsidR="00A31137" w:rsidRPr="00A31137" w:rsidRDefault="00A31137" w:rsidP="00A31137">
      <w:r w:rsidRPr="00A31137">
        <w:t>Public Papers of Bush, 1992, p.323</w:t>
      </w:r>
    </w:p>
    <w:p w:rsidR="00A31137" w:rsidRPr="00A31137" w:rsidRDefault="00A31137" w:rsidP="00A31137">
      <w:r w:rsidRPr="00A31137">
        <w:t>Fifth, our judicial systems need our attention. Many of us have underway legal reforms so that we can handle criminal cases faster, more securely, and more effectively. These are important and should proceed. We must also cooperate by sharing information about traffickers and their crimes so they can be brought to justice.</w:t>
      </w:r>
    </w:p>
    <w:p w:rsidR="00A31137" w:rsidRPr="00A31137" w:rsidRDefault="00A31137" w:rsidP="00A31137">
      <w:r w:rsidRPr="00A31137">
        <w:t>Public Papers of Bush, 1992, p.323</w:t>
      </w:r>
    </w:p>
    <w:p w:rsidR="00A31137" w:rsidRPr="00A31137" w:rsidRDefault="00A31137" w:rsidP="00A31137">
      <w:r w:rsidRPr="00A31137">
        <w:t>Sixth, our cooperation has developed in the past 2 years, and I welcome that. We need to keep in close touch so that we can coordinate strategy and understand each others' perspectives and needs. That makes the high-level follow-on meeting very important. It will be the first review of how our "Strategies for Action" are progressing. We also must enlist the cooperation of the Europeans and Asians. To do that we should send a delegation to those countries to talk to their leaders.</w:t>
      </w:r>
    </w:p>
    <w:p w:rsidR="00A31137" w:rsidRPr="00A31137" w:rsidRDefault="00A31137" w:rsidP="00A31137">
      <w:r w:rsidRPr="00A31137">
        <w:t>Public Papers of Bush, 1992, p.323</w:t>
      </w:r>
    </w:p>
    <w:p w:rsidR="00A31137" w:rsidRPr="00A31137" w:rsidRDefault="00A31137" w:rsidP="00A31137">
      <w:r w:rsidRPr="00A31137">
        <w:t>Seventh, heroin production is a worrisome problem which Mexico and Colombia are moving against with some success. This is a sign the traffickers believe the cocaine trade is declining. We cannot ignore this new threat, or we risk a surprise in the future.</w:t>
      </w:r>
      <w:r w:rsidRPr="00A31137">
        <w:cr/>
      </w:r>
    </w:p>
    <w:p w:rsidR="00A31137" w:rsidRPr="00A31137" w:rsidRDefault="00A31137" w:rsidP="00A31137">
      <w:r w:rsidRPr="00A31137">
        <w:t>Public Papers of Bush, 1992, p.323</w:t>
      </w:r>
    </w:p>
    <w:p w:rsidR="00A31137" w:rsidRPr="00A31137" w:rsidRDefault="00A31137" w:rsidP="00A31137">
      <w:r w:rsidRPr="00A31137">
        <w:t>Eighth, we must do a better job educating our press and our publics about our progress. In the United States, for example, we are seeing a downturn in demand that was purchased at great cost in money and effort. Another example is the story of the drop in cultivation in the Chapare in Bolivia.</w:t>
      </w:r>
    </w:p>
    <w:p w:rsidR="00A31137" w:rsidRPr="00A31137" w:rsidRDefault="00A31137" w:rsidP="00A31137">
      <w:r w:rsidRPr="00A31137">
        <w:t>Public Papers of Bush, 1992, p.323</w:t>
      </w:r>
    </w:p>
    <w:p w:rsidR="00A31137" w:rsidRPr="00A31137" w:rsidRDefault="00A31137" w:rsidP="00A31137">
      <w:r w:rsidRPr="00A31137">
        <w:t>Ninth, as we take up the struggle within our own countries with renewed vigor, we must bear in mind that our efforts transcend borders. We must respect sovereignty, or our cooperation will not be sustained. But as sovereign states, we can agree to cooperate against the traffickers who trample on the sovereignty. If we do not work together, the traffickers will destroy us separately.</w:t>
      </w:r>
    </w:p>
    <w:p w:rsidR="00A31137" w:rsidRPr="00A31137" w:rsidRDefault="00A31137" w:rsidP="00A31137">
      <w:r w:rsidRPr="00A31137">
        <w:t>Public Papers of Bush, 1992, p.323</w:t>
      </w:r>
    </w:p>
    <w:p w:rsidR="00A31137" w:rsidRPr="00A31137" w:rsidRDefault="00A31137" w:rsidP="00A31137">
      <w:r w:rsidRPr="00A31137">
        <w:t>Finally, one more note of great importance. Everything we do must conform to our democratic principles. None of us wants a drug-free dictatorship. We must protect the human and civil rights of our citizens. We are all committed to defending democracy and its principles as we defeat the scourge of drugs.</w:t>
      </w:r>
    </w:p>
    <w:p w:rsidR="00A31137" w:rsidRPr="00A31137" w:rsidRDefault="00A31137" w:rsidP="00A31137">
      <w:r w:rsidRPr="00A31137">
        <w:t>Public Papers of Bush, 1992, p.323</w:t>
      </w:r>
    </w:p>
    <w:p w:rsidR="00A31137" w:rsidRPr="00A31137" w:rsidRDefault="00A31137" w:rsidP="00A31137">
      <w:r w:rsidRPr="00A31137">
        <w:t>NOTE: This text was issued by the Office of the Press Secretary. Virgilio Barco was former President of Colombia.</w:t>
      </w:r>
    </w:p>
    <w:p w:rsidR="00A31137" w:rsidRPr="00A31137" w:rsidRDefault="00A31137" w:rsidP="00A31137">
      <w:r w:rsidRPr="00A31137">
        <w:t>President Bush's Radio Address to the Nation on Welfare Reform, 1992</w:t>
      </w:r>
    </w:p>
    <w:p w:rsidR="00A31137" w:rsidRPr="00A31137" w:rsidRDefault="00A31137" w:rsidP="00A31137">
      <w:r w:rsidRPr="00A31137">
        <w:t>Title:</w:t>
      </w:r>
      <w:r w:rsidRPr="00A31137">
        <w:tab/>
        <w:t>President Bush's Radio Address to the Nation on Welfare Reform</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April 11, 1992</w:t>
      </w:r>
    </w:p>
    <w:p w:rsidR="00A31137" w:rsidRPr="00A31137" w:rsidRDefault="00A31137" w:rsidP="00A31137">
      <w:r w:rsidRPr="00A31137">
        <w:t>Source:</w:t>
      </w:r>
      <w:r w:rsidRPr="00A31137">
        <w:tab/>
        <w:t>Public Papers of the Presidents, Bush, 1992, pp.592-593</w:t>
      </w:r>
    </w:p>
    <w:p w:rsidR="00A31137" w:rsidRPr="00A31137" w:rsidRDefault="00A31137" w:rsidP="00A31137">
      <w:r w:rsidRPr="00A31137">
        <w:t>Public Papers of Bush, 1992, p.592</w:t>
      </w:r>
    </w:p>
    <w:p w:rsidR="00A31137" w:rsidRPr="00A31137" w:rsidRDefault="00A31137" w:rsidP="00A31137">
      <w:r w:rsidRPr="00A31137">
        <w:t>The American people have always been a people constantly searching for improvement, impatient for change when things need changing. Last week I spoke about the need for a change here in Washington, for Government reform, especially congressional reform. Today I want to focus on reforming our welfare system, especially on our Government's role in that reform process.</w:t>
      </w:r>
    </w:p>
    <w:p w:rsidR="00A31137" w:rsidRPr="00A31137" w:rsidRDefault="00A31137" w:rsidP="00A31137">
      <w:r w:rsidRPr="00A31137">
        <w:t>Public Papers of Bush, 1992, p.592</w:t>
      </w:r>
    </w:p>
    <w:p w:rsidR="00A31137" w:rsidRPr="00A31137" w:rsidRDefault="00A31137" w:rsidP="00A31137">
      <w:r w:rsidRPr="00A31137">
        <w:t>After years of trying to help those who are in need, we have found that too often our assistance does not help people out of poverty; it traps them there. It's not that people stopped caring; it's that the system stopped working. We want a welfare system that breaks the cycle of dependency before dignity is destroyed and before poverty becomes a family legacy. But today we must face this fact: Our system has failed.</w:t>
      </w:r>
    </w:p>
    <w:p w:rsidR="00A31137" w:rsidRPr="00A31137" w:rsidRDefault="00A31137" w:rsidP="00A31137">
      <w:r w:rsidRPr="00A31137">
        <w:t>Public Papers of Bush, 1992, p.592</w:t>
      </w:r>
    </w:p>
    <w:p w:rsidR="00A31137" w:rsidRPr="00A31137" w:rsidRDefault="00A31137" w:rsidP="00A31137">
      <w:r w:rsidRPr="00A31137">
        <w:t>I have repeatedly called for the forging of Federal-State partnerships that would make welfare reform a powerful, effective reality. Yesterday, at my direction, the Federal Government waived outdated rules to allow Wisconsin to try a new kind of welfare reform. The Wisconsin plan replaces some of the old assumptions of the welfare state and recognizes the importance of personal responsibility, self-respect, independence, and self-sufficiency.</w:t>
      </w:r>
    </w:p>
    <w:p w:rsidR="00A31137" w:rsidRPr="00A31137" w:rsidRDefault="00A31137" w:rsidP="00A31137">
      <w:r w:rsidRPr="00A31137">
        <w:t>Public Papers of Bush, 1992, p.592</w:t>
      </w:r>
    </w:p>
    <w:p w:rsidR="00A31137" w:rsidRPr="00A31137" w:rsidRDefault="00A31137" w:rsidP="00A31137">
      <w:r w:rsidRPr="00A31137">
        <w:t>In my State of the Union Address, I made a commitment to make it quicker and easier for States with welfare reform ideas to get the Federal waivers they need. By approving Wisconsin's waivers 24 days after we received their request, that commitment now has the force of action. I want to commend Wisconsin Governor Tommy Thompson, and I want to challenge other States to propose their own reforms.</w:t>
      </w:r>
    </w:p>
    <w:p w:rsidR="00A31137" w:rsidRPr="00A31137" w:rsidRDefault="00A31137" w:rsidP="00A31137">
      <w:r w:rsidRPr="00A31137">
        <w:t>Public Papers of Bush, 1992, p.592</w:t>
      </w:r>
    </w:p>
    <w:p w:rsidR="00A31137" w:rsidRPr="00A31137" w:rsidRDefault="00A31137" w:rsidP="00A31137">
      <w:r w:rsidRPr="00A31137">
        <w:t>We must balance America's generous heart with our responsibility to the taxpayers who underwrite governmental assistance. Our assistance should in no way encourage dependency or undermine our Nation's economic competitiveness. We pay twice for those who make welfare a way of life: once for the initial benefits, but even more because the Nation loses their contribution to the Nation's economic well-being.</w:t>
      </w:r>
    </w:p>
    <w:p w:rsidR="00A31137" w:rsidRPr="00A31137" w:rsidRDefault="00A31137" w:rsidP="00A31137">
      <w:r w:rsidRPr="00A31137">
        <w:t>Public Papers of Bush, 1992, p.592</w:t>
      </w:r>
    </w:p>
    <w:p w:rsidR="00A31137" w:rsidRPr="00A31137" w:rsidRDefault="00A31137" w:rsidP="00A31137">
      <w:r w:rsidRPr="00A31137">
        <w:t>Those who receive Government assistance have certain responsibilities: the responsibility to seek work or get education and training that will help them get a job, and the responsibility to get their lives in order. That means establishing lifestyles that will enable them to fulfill their potential, not destroy it.</w:t>
      </w:r>
    </w:p>
    <w:p w:rsidR="00A31137" w:rsidRPr="00A31137" w:rsidRDefault="00A31137" w:rsidP="00A31137">
      <w:r w:rsidRPr="00A31137">
        <w:t>Public Papers of Bush, 1992, p.592–p.593</w:t>
      </w:r>
    </w:p>
    <w:p w:rsidR="00A31137" w:rsidRPr="00A31137" w:rsidRDefault="00A31137" w:rsidP="00A31137">
      <w:r w:rsidRPr="00A31137">
        <w:t>We have responsibilities, too. We must structure our welfare programs so that they [p.593] reverse policies which lock in a lifestyle of dependency and subtly destroy self-esteem. We must encourage family formation and family stability. Too often our welfare programs have encouraged exactly the opposite.</w:t>
      </w:r>
    </w:p>
    <w:p w:rsidR="00A31137" w:rsidRPr="00A31137" w:rsidRDefault="00A31137" w:rsidP="00A31137">
      <w:r w:rsidRPr="00A31137">
        <w:t>Public Papers of Bush, 1992, p.593</w:t>
      </w:r>
    </w:p>
    <w:p w:rsidR="00A31137" w:rsidRPr="00A31137" w:rsidRDefault="00A31137" w:rsidP="00A31137">
      <w:r w:rsidRPr="00A31137">
        <w:t>We must incorporate incentives for recipients to stay in school. For instance, in Wisconsin, teen parents are required by the Learnfare program to stay in school to obtain full benefits. They recognize that in many respects opportunity is equated with education. And I'll have more to say about the urgent need for educational reform next week as we mark the first anniversary of the crusade that I call America 2000. My approach to welfare reform should not only open the doors of opportunity for our citizens who are on public assistance but also prepare them to walk proudly and competently through those doors. Our goal is to build a system of welfare that will encourage self-respect, build strength of character, and develop to the fullest each individual's potential for a productive, meaningful life.</w:t>
      </w:r>
    </w:p>
    <w:p w:rsidR="00A31137" w:rsidRPr="00A31137" w:rsidRDefault="00A31137" w:rsidP="00A31137">
      <w:r w:rsidRPr="00A31137">
        <w:t>Public Papers of Bush, 1992, p.593</w:t>
      </w:r>
    </w:p>
    <w:p w:rsidR="00A31137" w:rsidRPr="00A31137" w:rsidRDefault="00A31137" w:rsidP="00A31137">
      <w:r w:rsidRPr="00A31137">
        <w:t>Thank you for listening. And may God bless the United States of America.</w:t>
      </w:r>
    </w:p>
    <w:p w:rsidR="00A31137" w:rsidRPr="00A31137" w:rsidRDefault="00A31137" w:rsidP="00A31137">
      <w:r w:rsidRPr="00A31137">
        <w:t>Public Papers of Bush, 1992, p.593</w:t>
      </w:r>
    </w:p>
    <w:p w:rsidR="00A31137" w:rsidRPr="00A31137" w:rsidRDefault="00A31137" w:rsidP="00A31137">
      <w:r w:rsidRPr="00A31137">
        <w:t>NOTE: This address was recorded at 8:15 a.m. on April 10 in the Oval Office at the White House for broadcast after 9 a.m. on April 11.</w:t>
      </w:r>
    </w:p>
    <w:p w:rsidR="00A31137" w:rsidRPr="00A31137" w:rsidRDefault="00A31137" w:rsidP="00A31137">
      <w:r w:rsidRPr="00A31137">
        <w:t>President Bush's Address to the Nation on the Balanced Budget Amendment, 1992</w:t>
      </w:r>
    </w:p>
    <w:p w:rsidR="00A31137" w:rsidRPr="00A31137" w:rsidRDefault="00A31137" w:rsidP="00A31137">
      <w:r w:rsidRPr="00A31137">
        <w:t>Title:</w:t>
      </w:r>
      <w:r w:rsidRPr="00A31137">
        <w:tab/>
        <w:t>President Bush's Address to the Nation on the Balanced Budget Amendment</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10, 1992</w:t>
      </w:r>
    </w:p>
    <w:p w:rsidR="00A31137" w:rsidRPr="00A31137" w:rsidRDefault="00A31137" w:rsidP="00A31137">
      <w:r w:rsidRPr="00A31137">
        <w:t>Source:</w:t>
      </w:r>
      <w:r w:rsidRPr="00A31137">
        <w:tab/>
        <w:t>Public Papers of the Presidents, Bush, 1992, pp.917-918</w:t>
      </w:r>
    </w:p>
    <w:p w:rsidR="00A31137" w:rsidRPr="00A31137" w:rsidRDefault="00A31137" w:rsidP="00A31137">
      <w:r w:rsidRPr="00A31137">
        <w:t>Public Papers of Bush, 1992, p.917</w:t>
      </w:r>
    </w:p>
    <w:p w:rsidR="00A31137" w:rsidRPr="00A31137" w:rsidRDefault="00A31137" w:rsidP="00A31137">
      <w:r w:rsidRPr="00A31137">
        <w:t>Tomorrow the House of Representatives faces a critical vote on the balanced budget amendment, and right now is the time for some straight talk about our national deficit. With our Federal debt averaging $65,000 for the typical American family of four, I understand why the American people are fed up and why you are looking for change. I share your frustration, and I am determined to see things changed.</w:t>
      </w:r>
    </w:p>
    <w:p w:rsidR="00A31137" w:rsidRPr="00A31137" w:rsidRDefault="00A31137" w:rsidP="00A31137">
      <w:r w:rsidRPr="00A31137">
        <w:t>Public Papers of Bush, 1992, p.917</w:t>
      </w:r>
    </w:p>
    <w:p w:rsidR="00A31137" w:rsidRPr="00A31137" w:rsidRDefault="00A31137" w:rsidP="00A31137">
      <w:r w:rsidRPr="00A31137">
        <w:t>I am convinced that a balanced budget amendment is the only way to force the Federal Government, both the Congress and the executive branch, to live within its means. In fact, the very first address to Congress I made as President included a call for a balanced budget.</w:t>
      </w:r>
    </w:p>
    <w:p w:rsidR="00A31137" w:rsidRPr="00A31137" w:rsidRDefault="00A31137" w:rsidP="00A31137">
      <w:r w:rsidRPr="00A31137">
        <w:t>Public Papers of Bush, 1992, p.917</w:t>
      </w:r>
    </w:p>
    <w:p w:rsidR="00A31137" w:rsidRPr="00A31137" w:rsidRDefault="00A31137" w:rsidP="00A31137">
      <w:r w:rsidRPr="00A31137">
        <w:t>I confidently presented a balanced budget constitutional amendment to the Congress. I asked our Nation's elected leaders to put America's best interests first and to join me in reaching a goal whose benefits will be measured in jobs and opportunity for ourselves and for our children.</w:t>
      </w:r>
    </w:p>
    <w:p w:rsidR="00A31137" w:rsidRPr="00A31137" w:rsidRDefault="00A31137" w:rsidP="00A31137">
      <w:r w:rsidRPr="00A31137">
        <w:t>Public Papers of Bush, 1992, p.917</w:t>
      </w:r>
    </w:p>
    <w:p w:rsidR="00A31137" w:rsidRPr="00A31137" w:rsidRDefault="00A31137" w:rsidP="00A31137">
      <w:r w:rsidRPr="00A31137">
        <w:t>Eighty percent of the American people agree: Government spending must be restrained and the budget balanced. Government is too big, and it spends too much. We are treating our national debt like the old fellow who borrowed money to pay off his loans. Inevitably, someone at some time must foot the bill. It is simply wrong to walk away from this mountain of debt and leave it to our kids.</w:t>
      </w:r>
    </w:p>
    <w:p w:rsidR="00A31137" w:rsidRPr="00A31137" w:rsidRDefault="00A31137" w:rsidP="00A31137">
      <w:r w:rsidRPr="00A31137">
        <w:t>Public Papers of Bush, 1992, p.917–p.918</w:t>
      </w:r>
    </w:p>
    <w:p w:rsidR="00A31137" w:rsidRPr="00A31137" w:rsidRDefault="00A31137" w:rsidP="00A31137">
      <w:r w:rsidRPr="00A31137">
        <w:t>Forty-four of our States have some kind of a constitutional requirement for a balanced budget. It's time for the Federal Government to follow their lead. We must balance the Federal budget without shifting the funding burden along to the States. We must pay our own way. Our future is at stake. Now is the time to pass a constitutional [p.918] amendment mandating a balanced budget.</w:t>
      </w:r>
    </w:p>
    <w:p w:rsidR="00A31137" w:rsidRPr="00A31137" w:rsidRDefault="00A31137" w:rsidP="00A31137">
      <w:r w:rsidRPr="00A31137">
        <w:t>Public Papers of Bush, 1992, p.918</w:t>
      </w:r>
    </w:p>
    <w:p w:rsidR="00A31137" w:rsidRPr="00A31137" w:rsidRDefault="00A31137" w:rsidP="00A31137">
      <w:r w:rsidRPr="00A31137">
        <w:t>Let me caution Americans not to be taken in by bold blustering. We can't wheel and deal the deficit away. There's no easy answer that we can jot out on a blank sheet of paper to wipe out a deficit of that magnitude. A balanced budget amendment is real action, and it will work. We should not be willing to risk our grandchildren's future on sound bites that merely sound real. The deficit is what's real. Congressional inaction is what's real. A constitutional amendment mandating a balanced budget is what's needed.</w:t>
      </w:r>
    </w:p>
    <w:p w:rsidR="00A31137" w:rsidRPr="00A31137" w:rsidRDefault="00A31137" w:rsidP="00A31137">
      <w:r w:rsidRPr="00A31137">
        <w:t>Public Papers of Bush, 1992, p.918</w:t>
      </w:r>
    </w:p>
    <w:p w:rsidR="00A31137" w:rsidRPr="00A31137" w:rsidRDefault="00A31137" w:rsidP="00A31137">
      <w:r w:rsidRPr="00A31137">
        <w:t>For that reason, I need your help to encourage your Congressman to do the right thing: Pass this balanced budget amendment. There is no single action that we can take that will be any more important than doing this for our Nation's future.</w:t>
      </w:r>
    </w:p>
    <w:p w:rsidR="00A31137" w:rsidRPr="00A31137" w:rsidRDefault="00A31137" w:rsidP="00A31137">
      <w:r w:rsidRPr="00A31137">
        <w:t>Public Papers of Bush, 1992, p.918</w:t>
      </w:r>
    </w:p>
    <w:p w:rsidR="00A31137" w:rsidRPr="00A31137" w:rsidRDefault="00A31137" w:rsidP="00A31137">
      <w:r w:rsidRPr="00A31137">
        <w:t>Thank you, and may God bless you, and may God bless the United States of America.</w:t>
      </w:r>
    </w:p>
    <w:p w:rsidR="00A31137" w:rsidRPr="00A31137" w:rsidRDefault="00A31137" w:rsidP="00A31137">
      <w:r w:rsidRPr="00A31137">
        <w:t>Public Papers of Bush, 1992, p.918</w:t>
      </w:r>
    </w:p>
    <w:p w:rsidR="00A31137" w:rsidRPr="00A31137" w:rsidRDefault="00A31137" w:rsidP="00A31137">
      <w:r w:rsidRPr="00A31137">
        <w:t>NOTE: This address was recorded at 2:35 p.m. in Room 459 of the Old Executive Office Building for broadcast after 4 p.m.</w:t>
      </w:r>
    </w:p>
    <w:p w:rsidR="00A31137" w:rsidRPr="00A31137" w:rsidRDefault="00A31137" w:rsidP="00A31137">
      <w:r w:rsidRPr="00A31137">
        <w:t>President Bush's News Conference With President Boris Yeltsin of Russia, June 1992</w:t>
      </w:r>
    </w:p>
    <w:p w:rsidR="00A31137" w:rsidRPr="00A31137" w:rsidRDefault="00A31137" w:rsidP="00A31137">
      <w:r w:rsidRPr="00A31137">
        <w:t>Title:</w:t>
      </w:r>
      <w:r w:rsidRPr="00A31137">
        <w:tab/>
        <w:t>President Bush's News Conference With President Boris Yeltsin of Russia</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17, 1992</w:t>
      </w:r>
    </w:p>
    <w:p w:rsidR="00A31137" w:rsidRPr="00A31137" w:rsidRDefault="00A31137" w:rsidP="00A31137">
      <w:r w:rsidRPr="00A31137">
        <w:t>Source:</w:t>
      </w:r>
      <w:r w:rsidRPr="00A31137">
        <w:tab/>
        <w:t>Public Papers of the Presidents, Bush, 1992, pp.953-961</w:t>
      </w:r>
    </w:p>
    <w:p w:rsidR="00A31137" w:rsidRPr="00A31137" w:rsidRDefault="00A31137" w:rsidP="00A31137">
      <w:r w:rsidRPr="00A31137">
        <w:t>Public Papers of Bush, 1992, p.953</w:t>
      </w:r>
    </w:p>
    <w:p w:rsidR="00A31137" w:rsidRPr="00A31137" w:rsidRDefault="00A31137" w:rsidP="00A31137">
      <w:r w:rsidRPr="00A31137">
        <w:t>President Bush. Well, Mr. President and distinguished members of the Russian delegation and distinguished guests, all. This has been an historic summit meeting. It brings us to the threshold of a new world, a world of hope and opportunity. The collapse of the U.S.S.R. and the emergence of a democratic Russia provides us with the greatest opportunity in our lifetime to win the permanent democratic peace that has eluded us through two world wars and the long cold war that followed.</w:t>
      </w:r>
    </w:p>
    <w:p w:rsidR="00A31137" w:rsidRPr="00A31137" w:rsidRDefault="00A31137" w:rsidP="00A31137">
      <w:r w:rsidRPr="00A31137">
        <w:t>Public Papers of Bush, 1992, p.953</w:t>
      </w:r>
    </w:p>
    <w:p w:rsidR="00A31137" w:rsidRPr="00A31137" w:rsidRDefault="00A31137" w:rsidP="00A31137">
      <w:r w:rsidRPr="00A31137">
        <w:t>President Yeltsin, as a result of this first-ever U.S.-Russia summit we've indeed formed a truly new relationship, one of peace, friendship, trust, and growing partnership. I am confident that this new relationship and our historic agreements at this summit will lead to a safer, more stable, and peaceful world into the next century.</w:t>
      </w:r>
    </w:p>
    <w:p w:rsidR="00A31137" w:rsidRPr="00A31137" w:rsidRDefault="00A31137" w:rsidP="00A31137">
      <w:r w:rsidRPr="00A31137">
        <w:t>Public Papers of Bush, 1992, p.953</w:t>
      </w:r>
    </w:p>
    <w:p w:rsidR="00A31137" w:rsidRPr="00A31137" w:rsidRDefault="00A31137" w:rsidP="00A31137">
      <w:r w:rsidRPr="00A31137">
        <w:t>Let me just say to the American people: Our support for Russia is unshakable because it is in our interest. Success for Russian democracy will enhance the security of every American. Think for just a minute about what that means, not for Presidents, nor for heads of state or historians, but for parents and their children. It means a future free from fear. And that is why I call upon the Congress to act quickly on the "FREEDOM Support Act," so that the American support reaches Russia when it is needed most, right now.</w:t>
      </w:r>
    </w:p>
    <w:p w:rsidR="00A31137" w:rsidRPr="00A31137" w:rsidRDefault="00A31137" w:rsidP="00A31137">
      <w:r w:rsidRPr="00A31137">
        <w:t>Public Papers of Bush, 1992, p.953</w:t>
      </w:r>
    </w:p>
    <w:p w:rsidR="00A31137" w:rsidRPr="00A31137" w:rsidRDefault="00A31137" w:rsidP="00A31137">
      <w:r w:rsidRPr="00A31137">
        <w:t>During the past 2 days the United States and Russia have defined a new military and security relationship. It is a new era. President Yeltsin and I have just signed a statement that will lead to the greatest arms reductions of the nuclear age, reductions far deeper than we could have hoped for even 6 months ago.</w:t>
      </w:r>
    </w:p>
    <w:p w:rsidR="00A31137" w:rsidRPr="00A31137" w:rsidRDefault="00A31137" w:rsidP="00A31137">
      <w:r w:rsidRPr="00A31137">
        <w:t>Public Papers of Bush, 1992, p.953</w:t>
      </w:r>
    </w:p>
    <w:p w:rsidR="00A31137" w:rsidRPr="00A31137" w:rsidRDefault="00A31137" w:rsidP="00A31137">
      <w:r w:rsidRPr="00A31137">
        <w:t>At this summit we've also opened a new chapter in our economic relationship. The economic agreements that we have signed today will pave the way for trade and investment in Russia, as will most-favored-nation status which takes effect today. We hope very much that Russia and the International Monetary Fund can reach a standby agreement soon in order to unlock the G-7's economic support package.</w:t>
      </w:r>
    </w:p>
    <w:p w:rsidR="00A31137" w:rsidRPr="00A31137" w:rsidRDefault="00A31137" w:rsidP="00A31137">
      <w:r w:rsidRPr="00A31137">
        <w:t>Public Papers of Bush, 1992, p.953</w:t>
      </w:r>
    </w:p>
    <w:p w:rsidR="00A31137" w:rsidRPr="00A31137" w:rsidRDefault="00A31137" w:rsidP="00A31137">
      <w:r w:rsidRPr="00A31137">
        <w:t>And finally, President Yeltsin and I signed the Washington Charter, which states formally our mutual commitment to a peaceful future together as democratic partners. This document, along with the many agreements we signed from open lands to Peace Corps, will help to put behind us for good the sad and too often tragic legacy of the cold war.</w:t>
      </w:r>
    </w:p>
    <w:p w:rsidR="00A31137" w:rsidRPr="00A31137" w:rsidRDefault="00A31137" w:rsidP="00A31137">
      <w:r w:rsidRPr="00A31137">
        <w:t>Public Papers of Bush, 1992, p.954</w:t>
      </w:r>
    </w:p>
    <w:p w:rsidR="00A31137" w:rsidRPr="00A31137" w:rsidRDefault="00A31137" w:rsidP="00A31137">
      <w:r w:rsidRPr="00A31137">
        <w:t>President Yeltsin's commitment to me to uncover all facts pertaining to American POW's and MIA's is yet another symbol of our changed relationship. His commitment to also investigate the KAL 007 tragedy in which 61 Americans lost their lives nearly 9 years ago speaks to our mutual willingness to face some of the unpleasant truths of the past together.</w:t>
      </w:r>
    </w:p>
    <w:p w:rsidR="00A31137" w:rsidRPr="00A31137" w:rsidRDefault="00A31137" w:rsidP="00A31137">
      <w:r w:rsidRPr="00A31137">
        <w:t>Public Papers of Bush, 1992, p.954</w:t>
      </w:r>
    </w:p>
    <w:p w:rsidR="00A31137" w:rsidRPr="00A31137" w:rsidRDefault="00A31137" w:rsidP="00A31137">
      <w:r w:rsidRPr="00A31137">
        <w:t>During these 2 days we embarked on a new partnership. It is now within our power to alter forever our relationship so that it becomes the greatest force for peace, a democratic peace, that the world has ever known.</w:t>
      </w:r>
    </w:p>
    <w:p w:rsidR="00A31137" w:rsidRPr="00A31137" w:rsidRDefault="00A31137" w:rsidP="00A31137">
      <w:r w:rsidRPr="00A31137">
        <w:t>Public Papers of Bush, 1992, p.954</w:t>
      </w:r>
    </w:p>
    <w:p w:rsidR="00A31137" w:rsidRPr="00A31137" w:rsidRDefault="00A31137" w:rsidP="00A31137">
      <w:r w:rsidRPr="00A31137">
        <w:t>Let that be our vision for the future. And today, Mr. President, I pledge to you to make my commitment to make that vision I've outlined a reality.</w:t>
      </w:r>
    </w:p>
    <w:p w:rsidR="00A31137" w:rsidRPr="00A31137" w:rsidRDefault="00A31137" w:rsidP="00A31137">
      <w:r w:rsidRPr="00A31137">
        <w:t>Public Papers of Bush, 1992, p.954</w:t>
      </w:r>
    </w:p>
    <w:p w:rsidR="00A31137" w:rsidRPr="00A31137" w:rsidRDefault="00A31137" w:rsidP="00A31137">
      <w:r w:rsidRPr="00A31137">
        <w:t>Once again, thank you, sir.</w:t>
      </w:r>
    </w:p>
    <w:p w:rsidR="00A31137" w:rsidRPr="00A31137" w:rsidRDefault="00A31137" w:rsidP="00A31137">
      <w:r w:rsidRPr="00A31137">
        <w:t>Public Papers of Bush, 1992, p.954</w:t>
      </w:r>
    </w:p>
    <w:p w:rsidR="00A31137" w:rsidRPr="00A31137" w:rsidRDefault="00A31137" w:rsidP="00A31137">
      <w:r w:rsidRPr="00A31137">
        <w:t>President Yeltsin. Honorable Mr. President, ladies and gentlemen. The time has come when we can now take stock of the short but fruitful period in our relationship when new principles of the cooperation between the United States and Russia have been made.</w:t>
      </w:r>
      <w:r w:rsidRPr="00A31137">
        <w:cr/>
      </w:r>
    </w:p>
    <w:p w:rsidR="00A31137" w:rsidRPr="00A31137" w:rsidRDefault="00A31137" w:rsidP="00A31137">
      <w:r w:rsidRPr="00A31137">
        <w:t>Public Papers of Bush, 1992, p.954</w:t>
      </w:r>
    </w:p>
    <w:p w:rsidR="00A31137" w:rsidRPr="00A31137" w:rsidRDefault="00A31137" w:rsidP="00A31137">
      <w:r w:rsidRPr="00A31137">
        <w:t>I value this as a very important period. We now have a basis for interaction. We now have something that we can fill with substantive content. I doubt if today's documents could have been signed if we had not been looking for points of contact and mutual interest that we have been looking for, for years.</w:t>
      </w:r>
    </w:p>
    <w:p w:rsidR="00A31137" w:rsidRPr="00A31137" w:rsidRDefault="00A31137" w:rsidP="00A31137">
      <w:r w:rsidRPr="00A31137">
        <w:t>Public Papers of Bush, 1992, p.954</w:t>
      </w:r>
    </w:p>
    <w:p w:rsidR="00A31137" w:rsidRPr="00A31137" w:rsidRDefault="00A31137" w:rsidP="00A31137">
      <w:r w:rsidRPr="00A31137">
        <w:t>But it was very important, also, to cast away negative traditions, the profound disgust to each other which was masked by charming manners and politeness. We have now begun in a very good tempo, and the documents that we have signed today are not designed to define what has already been established in context but to find new ways to go forward. And the treaties and agreements that we have signed today do not just pertain to the two countries of ours. They are a sketch for a future world. They are characteristic of the kind of features that we want to see in this world. This world is becoming more attractive, more humane, kinder than we see today.</w:t>
      </w:r>
    </w:p>
    <w:p w:rsidR="00A31137" w:rsidRPr="00A31137" w:rsidRDefault="00A31137" w:rsidP="00A31137">
      <w:r w:rsidRPr="00A31137">
        <w:t>Public Papers of Bush, 1992, p.954</w:t>
      </w:r>
    </w:p>
    <w:p w:rsidR="00A31137" w:rsidRPr="00A31137" w:rsidRDefault="00A31137" w:rsidP="00A31137">
      <w:r w:rsidRPr="00A31137">
        <w:t>We are not trying to think of some global problems of restructuring the world. We do not want to force or coerce all the nations to join in this. We are looking for solving mutual problems based on mutual trust, including the personal trust between the two Presidents of Russia and the United States. We feel that it is on this basis primarily that we can get the best results.</w:t>
      </w:r>
    </w:p>
    <w:p w:rsidR="00A31137" w:rsidRPr="00A31137" w:rsidRDefault="00A31137" w:rsidP="00A31137">
      <w:r w:rsidRPr="00A31137">
        <w:t>Public Papers of Bush, 1992, p.954</w:t>
      </w:r>
    </w:p>
    <w:p w:rsidR="00A31137" w:rsidRPr="00A31137" w:rsidRDefault="00A31137" w:rsidP="00A31137">
      <w:r w:rsidRPr="00A31137">
        <w:t>Among the Russian-American relations, there are two things that are most important to my mind: strategic arms limitations and economic cooperation. The state of strategic arms has now been decided. Once the cold war was over, they turned out to be obsolete and unnecessary to mankind. And it is now simply a matter of calculating the best way and the best time schedule for destroying them and getting rid of them. Another important point is to defend the world from an accidental use of such arms in the world, and we have laid the basis for that, also.</w:t>
      </w:r>
    </w:p>
    <w:p w:rsidR="00A31137" w:rsidRPr="00A31137" w:rsidRDefault="00A31137" w:rsidP="00A31137">
      <w:r w:rsidRPr="00A31137">
        <w:t>Public Papers of Bush, 1992, p.954</w:t>
      </w:r>
    </w:p>
    <w:p w:rsidR="00A31137" w:rsidRPr="00A31137" w:rsidRDefault="00A31137" w:rsidP="00A31137">
      <w:r w:rsidRPr="00A31137">
        <w:t>Another very important area in our relationship is designing a good basis for fruitful economic cooperation and establishing all kinds of contacts in this economic sphere. We have concluded very important agreements that have removed obstacles in this way and to make it more attractive for businessmen to join in this effort, and this is very important for our country at this time. After 70 years of travesty as far as personal property was concerned, now private property is becoming ever more important and will become even more so in times to come.</w:t>
      </w:r>
    </w:p>
    <w:p w:rsidR="00A31137" w:rsidRPr="00A31137" w:rsidRDefault="00A31137" w:rsidP="00A31137">
      <w:r w:rsidRPr="00A31137">
        <w:t>Public Papers of Bush, 1992, p.954</w:t>
      </w:r>
    </w:p>
    <w:p w:rsidR="00A31137" w:rsidRPr="00A31137" w:rsidRDefault="00A31137" w:rsidP="00A31137">
      <w:r w:rsidRPr="00A31137">
        <w:t>In conclusion, I would like to draw your attention to the following. Less than anything else do we need to delude ourselves by what we have accomplished. We would like to strive to the maximum that we would like to see happen. And if we look at our dialog in this light, then there is only one conclusion. We have to intensely work and forge ahead, both in the United States and in Russia. For those who come after us, we have to leave a good heritage, and this is important for the peoples of both of our countries. I thank you, Mr. President, for creating wonderful conditions for our work, and I congratulate you for the wonderful result of this work.</w:t>
      </w:r>
    </w:p>
    <w:p w:rsidR="00A31137" w:rsidRPr="00A31137" w:rsidRDefault="00A31137" w:rsidP="00A31137">
      <w:r w:rsidRPr="00A31137">
        <w:t>Public Papers of Bush, 1992, p.954</w:t>
      </w:r>
    </w:p>
    <w:p w:rsidR="00A31137" w:rsidRPr="00A31137" w:rsidRDefault="00A31137" w:rsidP="00A31137">
      <w:r w:rsidRPr="00A31137">
        <w:t>President Bush. We'll take a few questions. Helen [Helen Thomas, United Press International].</w:t>
      </w:r>
    </w:p>
    <w:p w:rsidR="00A31137" w:rsidRPr="00A31137" w:rsidRDefault="00A31137" w:rsidP="00A31137">
      <w:r w:rsidRPr="00A31137">
        <w:t>POW-MIA's</w:t>
      </w:r>
    </w:p>
    <w:p w:rsidR="00A31137" w:rsidRPr="00A31137" w:rsidRDefault="00A31137" w:rsidP="00A31137">
      <w:r w:rsidRPr="00A31137">
        <w:t>Public Papers of Bush, 1992, p.955</w:t>
      </w:r>
    </w:p>
    <w:p w:rsidR="00A31137" w:rsidRPr="00A31137" w:rsidRDefault="00A31137" w:rsidP="00A31137">
      <w:r w:rsidRPr="00A31137">
        <w:t>Q. President Yeltsin, in terms of the POW's and the MIA's, do you think that Mikhail Gorbachev or any of his predecessors, even going back to Stalin, Khrushchev, Brezhnev, knew about the possibility that Americans were being held? And why are you going to see Governor Clinton? Are you trying to touch all bases before November?</w:t>
      </w:r>
    </w:p>
    <w:p w:rsidR="00A31137" w:rsidRPr="00A31137" w:rsidRDefault="00A31137" w:rsidP="00A31137">
      <w:r w:rsidRPr="00A31137">
        <w:t>Public Papers of Bush, 1992, p.955</w:t>
      </w:r>
    </w:p>
    <w:p w:rsidR="00A31137" w:rsidRPr="00A31137" w:rsidRDefault="00A31137" w:rsidP="00A31137">
      <w:r w:rsidRPr="00A31137">
        <w:t>President Yeltsin. Well, that's just the point; they did know. That's the very point, that they kept it a secret. The point is that that era, when we kept the truth from each other, has come to an end, and we will now tell the truth to each other, person to person, and will never do a double-play.</w:t>
      </w:r>
    </w:p>
    <w:p w:rsidR="00A31137" w:rsidRPr="00A31137" w:rsidRDefault="00A31137" w:rsidP="00A31137">
      <w:r w:rsidRPr="00A31137">
        <w:t>Meeting With Governor Clinton</w:t>
      </w:r>
    </w:p>
    <w:p w:rsidR="00A31137" w:rsidRPr="00A31137" w:rsidRDefault="00A31137" w:rsidP="00A31137">
      <w:r w:rsidRPr="00A31137">
        <w:t>Public Papers of Bush, 1992, p.955</w:t>
      </w:r>
    </w:p>
    <w:p w:rsidR="00A31137" w:rsidRPr="00A31137" w:rsidRDefault="00A31137" w:rsidP="00A31137">
      <w:r w:rsidRPr="00A31137">
        <w:t>Q. How about the Governor Clinton-Clinton?</w:t>
      </w:r>
    </w:p>
    <w:p w:rsidR="00A31137" w:rsidRPr="00A31137" w:rsidRDefault="00A31137" w:rsidP="00A31137">
      <w:r w:rsidRPr="00A31137">
        <w:t>Public Papers of Bush, 1992, p.955</w:t>
      </w:r>
    </w:p>
    <w:p w:rsidR="00A31137" w:rsidRPr="00A31137" w:rsidRDefault="00A31137" w:rsidP="00A31137">
      <w:r w:rsidRPr="00A31137">
        <w:t>President Yeltsin. Tomorrow morning I'm going to see Governor Clinton, and we will meet. And as for the future, Russia will respect the wishes of the American people.</w:t>
      </w:r>
    </w:p>
    <w:p w:rsidR="00A31137" w:rsidRPr="00A31137" w:rsidRDefault="00A31137" w:rsidP="00A31137">
      <w:r w:rsidRPr="00A31137">
        <w:t>Korean Airliner Attack and POW-MIA's</w:t>
      </w:r>
    </w:p>
    <w:p w:rsidR="00A31137" w:rsidRPr="00A31137" w:rsidRDefault="00A31137" w:rsidP="00A31137">
      <w:r w:rsidRPr="00A31137">
        <w:t>Public Papers of Bush, 1992, p.955</w:t>
      </w:r>
    </w:p>
    <w:p w:rsidR="00A31137" w:rsidRPr="00A31137" w:rsidRDefault="00A31137" w:rsidP="00A31137">
      <w:r w:rsidRPr="00A31137">
        <w:t>Q. My name is Sonya, and I'm from the newspaper Izvestia. And Mr. Yeltsin, you have said that you would like to make public the facts connected with the Korean airliner. Our newspaper has already been doing this investigation for a number of years, and we have already found out a lot of things. Now we would like to know just exactly who was responsible for what happened, and what do you think we can expect?</w:t>
      </w:r>
    </w:p>
    <w:p w:rsidR="00A31137" w:rsidRPr="00A31137" w:rsidRDefault="00A31137" w:rsidP="00A31137">
      <w:r w:rsidRPr="00A31137">
        <w:t>Public Papers of Bush, 1992, p.955</w:t>
      </w:r>
    </w:p>
    <w:p w:rsidR="00A31137" w:rsidRPr="00A31137" w:rsidRDefault="00A31137" w:rsidP="00A31137">
      <w:r w:rsidRPr="00A31137">
        <w:t>Q. Mr. President, you referred—your presentation of your remarks to the KAL 007 shoot down, and you referred to the place by President Yeltsin that some facts would be revealed. And I wondered to which extent you think the American administration would be helpful in that regard as well. Is there anything you could say to us about the tragedy?</w:t>
      </w:r>
    </w:p>
    <w:p w:rsidR="00A31137" w:rsidRPr="00A31137" w:rsidRDefault="00A31137" w:rsidP="00A31137">
      <w:r w:rsidRPr="00A31137">
        <w:t>Public Papers of Bush, 1992, p.955</w:t>
      </w:r>
    </w:p>
    <w:p w:rsidR="00A31137" w:rsidRPr="00A31137" w:rsidRDefault="00A31137" w:rsidP="00A31137">
      <w:r w:rsidRPr="00A31137">
        <w:t>President Yeltsin. I will answer. You know that on the 20th of August at about 1800 hours of last year when it was clear that the coup leaders had lost, we seized the archives of the KGB and the former Central Committee of the Communist Party. We placed armed guards around the buildings. But several hours before that, one ear from each place had time to remove some of the archives from those two buildings and destroy them. We do not know what was in those archives.</w:t>
      </w:r>
    </w:p>
    <w:p w:rsidR="00A31137" w:rsidRPr="00A31137" w:rsidRDefault="00A31137" w:rsidP="00A31137">
      <w:r w:rsidRPr="00A31137">
        <w:t>Public Papers of Bush, 1992, p.955</w:t>
      </w:r>
    </w:p>
    <w:p w:rsidR="00A31137" w:rsidRPr="00A31137" w:rsidRDefault="00A31137" w:rsidP="00A31137">
      <w:r w:rsidRPr="00A31137">
        <w:t>Now we are trying to check all of those archives, do a comprehensive check of all of them, and we stumbled upon one document which we feel might be the beginning of a chain that might help us to unravel the entire tragedy with the Korean Boeing. It was a memorandum from KGB to the Central Committee of the Communist Party where it says that such a tragedy had taken place, and so on and so forth and that there are documents which would clarify the entire picture. The next line then says these documents are so well concealed that it is doubtful that our children will be able to find them, those who come after us will be able to find them. So this is our task. So then we began to check all the archives of the KGB, and this is our challenge; we're trying to find those documents that were referred to. I still cherish the hope that we'll be able to find those documents, and if we do so we will immediately make them public. I will be the first to call President Bush personally and tell him about it. And I will call you, too. [Laughter]</w:t>
      </w:r>
    </w:p>
    <w:p w:rsidR="00A31137" w:rsidRPr="00A31137" w:rsidRDefault="00A31137" w:rsidP="00A31137">
      <w:r w:rsidRPr="00A31137">
        <w:t>Public Papers of Bush, 1992, p.955</w:t>
      </w:r>
    </w:p>
    <w:p w:rsidR="00A31137" w:rsidRPr="00A31137" w:rsidRDefault="00A31137" w:rsidP="00A31137">
      <w:r w:rsidRPr="00A31137">
        <w:t>President Bush. The gentleman asked me to follow on, and I would simply say, one, we have great respect for this approach. It will be most reassuring to the American people, not only as it relates to the airline, but also to the question that President Yeltsin handled so well before the Congress, the question of the POW's and MIA's. So I can't add anything to that except to say that we will pledge to him our full cooperation in terms of any inquiry or what we might have that they don't know at this time. It is essential for the families that we get to the bottom of this, and it's essential to strengthening further this very strong relationship. So that's all I could add.</w:t>
      </w:r>
    </w:p>
    <w:p w:rsidR="00A31137" w:rsidRPr="00A31137" w:rsidRDefault="00A31137" w:rsidP="00A31137">
      <w:r w:rsidRPr="00A31137">
        <w:t>Public Papers of Bush, 1992, p.955</w:t>
      </w:r>
    </w:p>
    <w:p w:rsidR="00A31137" w:rsidRPr="00A31137" w:rsidRDefault="00A31137" w:rsidP="00A31137">
      <w:r w:rsidRPr="00A31137">
        <w:t>Yes, Terry [Terence Hunt, Associated Press].</w:t>
      </w:r>
    </w:p>
    <w:p w:rsidR="00A31137" w:rsidRPr="00A31137" w:rsidRDefault="00A31137" w:rsidP="00A31137">
      <w:r w:rsidRPr="00A31137">
        <w:t>Arms Agreements</w:t>
      </w:r>
    </w:p>
    <w:p w:rsidR="00A31137" w:rsidRPr="00A31137" w:rsidRDefault="00A31137" w:rsidP="00A31137">
      <w:r w:rsidRPr="00A31137">
        <w:t>Public Papers of Bush, 1992, p.955–p.956</w:t>
      </w:r>
    </w:p>
    <w:p w:rsidR="00A31137" w:rsidRPr="00A31137" w:rsidRDefault="00A31137" w:rsidP="00A31137">
      <w:r w:rsidRPr="00A31137">
        <w:t>Q. Mr. President, a two-part question: President Yeltsin today pledged to deactivate the heavy SS-18 missiles that he said are targeted on the United States. Is there a [p.956] reciprocal move that the United States will make? And the second question is, you mentioned that these arms reductions are going to be the deepest of the nuclear age. Does this mean that the peace dividend will be even bigger than what was expected, and that will be more money for American cities and domestic problems?</w:t>
      </w:r>
    </w:p>
    <w:p w:rsidR="00A31137" w:rsidRPr="00A31137" w:rsidRDefault="00A31137" w:rsidP="00A31137">
      <w:r w:rsidRPr="00A31137">
        <w:t>Public Papers of Bush, 1992, p.956</w:t>
      </w:r>
    </w:p>
    <w:p w:rsidR="00A31137" w:rsidRPr="00A31137" w:rsidRDefault="00A31137" w:rsidP="00A31137">
      <w:r w:rsidRPr="00A31137">
        <w:t>President Bush. Well, let me say that we will live up to the agreement we entered into. I'm not prepared to say what we will do in regards to the question of defusing or targeting, but we will live up to the letter of the agreement that we have discussed. What was the second part?</w:t>
      </w:r>
    </w:p>
    <w:p w:rsidR="00A31137" w:rsidRPr="00A31137" w:rsidRDefault="00A31137" w:rsidP="00A31137">
      <w:r w:rsidRPr="00A31137">
        <w:t>Federal Budget</w:t>
      </w:r>
    </w:p>
    <w:p w:rsidR="00A31137" w:rsidRPr="00A31137" w:rsidRDefault="00A31137" w:rsidP="00A31137">
      <w:r w:rsidRPr="00A31137">
        <w:t>Public Papers of Bush, 1992, p.956</w:t>
      </w:r>
    </w:p>
    <w:p w:rsidR="00A31137" w:rsidRPr="00A31137" w:rsidRDefault="00A31137" w:rsidP="00A31137">
      <w:r w:rsidRPr="00A31137">
        <w:t>Q. It was peace dividend. Will the peace dividend be bigger?</w:t>
      </w:r>
    </w:p>
    <w:p w:rsidR="00A31137" w:rsidRPr="00A31137" w:rsidRDefault="00A31137" w:rsidP="00A31137">
      <w:r w:rsidRPr="00A31137">
        <w:t>Public Papers of Bush, 1992, p.956</w:t>
      </w:r>
    </w:p>
    <w:p w:rsidR="00A31137" w:rsidRPr="00A31137" w:rsidRDefault="00A31137" w:rsidP="00A31137">
      <w:r w:rsidRPr="00A31137">
        <w:t>President Bush. Well, a dividend is declared when you make a profit, and our Government is operating at an enormous, enormous deficit. And therefore, those who say take the money from this agreement and spend it on some Federal project have to understand that the American people want to get something done about this deficit and want to get something done so that we can get this economy growing. So I would not pledge that any savings that might accrue to us because of this far-reaching agreement would go to some Federal spending project.</w:t>
      </w:r>
    </w:p>
    <w:p w:rsidR="00A31137" w:rsidRPr="00A31137" w:rsidRDefault="00A31137" w:rsidP="00A31137">
      <w:r w:rsidRPr="00A31137">
        <w:t>Public Papers of Bush, 1992, p.956</w:t>
      </w:r>
    </w:p>
    <w:p w:rsidR="00A31137" w:rsidRPr="00A31137" w:rsidRDefault="00A31137" w:rsidP="00A31137">
      <w:r w:rsidRPr="00A31137">
        <w:t>On the other hand, I'm determined to help the cities. We've got some good proposals up there and for the Congress, and I believe they're working on them, and I hope that they'll pass them.</w:t>
      </w:r>
    </w:p>
    <w:p w:rsidR="00A31137" w:rsidRPr="00A31137" w:rsidRDefault="00A31137" w:rsidP="00A31137">
      <w:r w:rsidRPr="00A31137">
        <w:t>Public Papers of Bush, 1992, p.956</w:t>
      </w:r>
    </w:p>
    <w:p w:rsidR="00A31137" w:rsidRPr="00A31137" w:rsidRDefault="00A31137" w:rsidP="00A31137">
      <w:r w:rsidRPr="00A31137">
        <w:t>We're alternating between the visiting journalists and those familiar faces here at home.</w:t>
      </w:r>
    </w:p>
    <w:p w:rsidR="00A31137" w:rsidRPr="00A31137" w:rsidRDefault="00A31137" w:rsidP="00A31137">
      <w:r w:rsidRPr="00A31137">
        <w:t>Russia-U. S. Agreements</w:t>
      </w:r>
    </w:p>
    <w:p w:rsidR="00A31137" w:rsidRPr="00A31137" w:rsidRDefault="00A31137" w:rsidP="00A31137">
      <w:r w:rsidRPr="00A31137">
        <w:t>Public Papers of Bush, 1992, p.956</w:t>
      </w:r>
    </w:p>
    <w:p w:rsidR="00A31137" w:rsidRPr="00A31137" w:rsidRDefault="00A31137" w:rsidP="00A31137">
      <w:r w:rsidRPr="00A31137">
        <w:t>Q. Thank you, Mr. President. Mr. Yeltsin, the reaction to your statement in Congress was overwhelming. What do you think the reaction of the Russian Parliament would be to the documents and the agreements that have been signed here today?</w:t>
      </w:r>
    </w:p>
    <w:p w:rsidR="00A31137" w:rsidRPr="00A31137" w:rsidRDefault="00A31137" w:rsidP="00A31137">
      <w:r w:rsidRPr="00A31137">
        <w:t>Public Papers of Bush, 1992, p.956</w:t>
      </w:r>
    </w:p>
    <w:p w:rsidR="00A31137" w:rsidRPr="00A31137" w:rsidRDefault="00A31137" w:rsidP="00A31137">
      <w:r w:rsidRPr="00A31137">
        <w:t>President Yeltsin. Yes, I believe that the Russian Parliament reflects, or should reflect, the opinion of the Russian people. The documents, the charters, the treaties that have been signed are promising. It is a promising step for improving the life of Russia, for progress in realizing reforms. Not to support them would be a crime towards one's own people. And I am certain that the Supreme Soviet will support what we signed.</w:t>
      </w:r>
    </w:p>
    <w:p w:rsidR="00A31137" w:rsidRPr="00A31137" w:rsidRDefault="00A31137" w:rsidP="00A31137">
      <w:r w:rsidRPr="00A31137">
        <w:t>POW-MIA's</w:t>
      </w:r>
    </w:p>
    <w:p w:rsidR="00A31137" w:rsidRPr="00A31137" w:rsidRDefault="00A31137" w:rsidP="00A31137">
      <w:r w:rsidRPr="00A31137">
        <w:t>Public Papers of Bush, 1992, p.956</w:t>
      </w:r>
    </w:p>
    <w:p w:rsidR="00A31137" w:rsidRPr="00A31137" w:rsidRDefault="00A31137" w:rsidP="00A31137">
      <w:r w:rsidRPr="00A31137">
        <w:t>Q. President Yeltsin, there is still some confusion here in Washington over raising the issue of POW's and MIA's. Is there actual information that you have unearthed in these archives? It's a very sensitive issue in the United States, and people are asking whether there's actual evidence that there is some kind of chain or trail, as you termed it with the Korean incident, that gets people's hopes up that some of this information will come home.</w:t>
      </w:r>
    </w:p>
    <w:p w:rsidR="00A31137" w:rsidRPr="00A31137" w:rsidRDefault="00A31137" w:rsidP="00A31137">
      <w:r w:rsidRPr="00A31137">
        <w:t>Public Papers of Bush, 1992, p.956</w:t>
      </w:r>
    </w:p>
    <w:p w:rsidR="00A31137" w:rsidRPr="00A31137" w:rsidRDefault="00A31137" w:rsidP="00A31137">
      <w:r w:rsidRPr="00A31137">
        <w:t>President Yeltsin. I'm sorry, I'm not sure I understood the question. Are you talking about the Korean airliner or the POW's?</w:t>
      </w:r>
    </w:p>
    <w:p w:rsidR="00A31137" w:rsidRPr="00A31137" w:rsidRDefault="00A31137" w:rsidP="00A31137">
      <w:r w:rsidRPr="00A31137">
        <w:t>Public Papers of Bush, 1992, p.956</w:t>
      </w:r>
    </w:p>
    <w:p w:rsidR="00A31137" w:rsidRPr="00A31137" w:rsidRDefault="00A31137" w:rsidP="00A31137">
      <w:r w:rsidRPr="00A31137">
        <w:t>What we have on the POW's, I have written everything to and given it to the Senate, what we know today. But we have made a step forward even yesterday. President Bush has made the decision to create his own part of a commission, and it will be a joint commission then, and it will have cochairmen. On our part it will be General Volkogonov. He is the historian, and he is a very honest man. He has conducted this work for many years. From the American side the cochairman will be the former Ambassador to the Soviet Union, Mr. Toon. I think that when they join their efforts I think they will be able to move forward a lot faster in order to really clarify the entire picture.</w:t>
      </w:r>
    </w:p>
    <w:p w:rsidR="00A31137" w:rsidRPr="00A31137" w:rsidRDefault="00A31137" w:rsidP="00A31137">
      <w:r w:rsidRPr="00A31137">
        <w:t>Global Defense System</w:t>
      </w:r>
    </w:p>
    <w:p w:rsidR="00A31137" w:rsidRPr="00A31137" w:rsidRDefault="00A31137" w:rsidP="00A31137">
      <w:r w:rsidRPr="00A31137">
        <w:t>Public Papers of Bush, 1992, p.956</w:t>
      </w:r>
    </w:p>
    <w:p w:rsidR="00A31137" w:rsidRPr="00A31137" w:rsidRDefault="00A31137" w:rsidP="00A31137">
      <w:r w:rsidRPr="00A31137">
        <w:t>Q. I am from the newspaper the Red Star. As we understood, you want to create a global defense system. What are the prospects or how do you intend to move forward with this system?</w:t>
      </w:r>
    </w:p>
    <w:p w:rsidR="00A31137" w:rsidRPr="00A31137" w:rsidRDefault="00A31137" w:rsidP="00A31137">
      <w:r w:rsidRPr="00A31137">
        <w:t>Public Papers of Bush, 1992, p.956–p.957</w:t>
      </w:r>
    </w:p>
    <w:p w:rsidR="00A31137" w:rsidRPr="00A31137" w:rsidRDefault="00A31137" w:rsidP="00A31137">
      <w:r w:rsidRPr="00A31137">
        <w:t>President Bush. Well, we've signed a broad, I would say, beginning agreement on that. I think President Yeltsin has touched on that in his public speeches, but I'd be glad to implement it. We want to guard against nuclear proliferation, reckless use of weapons of mass destruction. For a long [p.957] time we've been doing research in this area, and it seems to us that this is a good area for cooperation with Russia. And so we've just begun on this from this agreement that we've entered into here today.</w:t>
      </w:r>
    </w:p>
    <w:p w:rsidR="00A31137" w:rsidRPr="00A31137" w:rsidRDefault="00A31137" w:rsidP="00A31137">
      <w:r w:rsidRPr="00A31137">
        <w:t>Public Papers of Bush, 1992, p.957</w:t>
      </w:r>
    </w:p>
    <w:p w:rsidR="00A31137" w:rsidRPr="00A31137" w:rsidRDefault="00A31137" w:rsidP="00A31137">
      <w:r w:rsidRPr="00A31137">
        <w:t>But it will develop, and there's good science, good technology on both sides. And we're determined to work together on this global defense area.</w:t>
      </w:r>
    </w:p>
    <w:p w:rsidR="00A31137" w:rsidRPr="00A31137" w:rsidRDefault="00A31137" w:rsidP="00A31137">
      <w:r w:rsidRPr="00A31137">
        <w:t>Public Papers of Bush, 1992, p.957</w:t>
      </w:r>
    </w:p>
    <w:p w:rsidR="00A31137" w:rsidRPr="00A31137" w:rsidRDefault="00A31137" w:rsidP="00A31137">
      <w:r w:rsidRPr="00A31137">
        <w:t>Yes, John [John Cochran, NBC News].</w:t>
      </w:r>
    </w:p>
    <w:p w:rsidR="00A31137" w:rsidRPr="00A31137" w:rsidRDefault="00A31137" w:rsidP="00A31137">
      <w:r w:rsidRPr="00A31137">
        <w:t>POW-MIA's and Assistance for Russia</w:t>
      </w:r>
    </w:p>
    <w:p w:rsidR="00A31137" w:rsidRPr="00A31137" w:rsidRDefault="00A31137" w:rsidP="00A31137">
      <w:r w:rsidRPr="00A31137">
        <w:t>Public Papers of Bush, 1992, p.957</w:t>
      </w:r>
    </w:p>
    <w:p w:rsidR="00A31137" w:rsidRPr="00A31137" w:rsidRDefault="00A31137" w:rsidP="00A31137">
      <w:r w:rsidRPr="00A31137">
        <w:t>Q. Sir, a question to both of you regarding this question of American prisoners. We don't understand, sir, why former Soviet leaders would have wanted to keep these American prisoners quiet. In the case of Francis Gary Powers, Khrushchev used that as political propaganda to undermine President Eisenhower. Why would these prisoners have been kept alive and in camps without any publicity? Was it just meanness, cruelty? They just wanted to crush them, find out what they could? Do your archives reveal anything about that?</w:t>
      </w:r>
    </w:p>
    <w:p w:rsidR="00A31137" w:rsidRPr="00A31137" w:rsidRDefault="00A31137" w:rsidP="00A31137">
      <w:r w:rsidRPr="00A31137">
        <w:t>Public Papers of Bush, 1992, p.957</w:t>
      </w:r>
    </w:p>
    <w:p w:rsidR="00A31137" w:rsidRPr="00A31137" w:rsidRDefault="00A31137" w:rsidP="00A31137">
      <w:r w:rsidRPr="00A31137">
        <w:t>My question to you, sir, would be: Do you think that what Mr. Yeltsin had to say about the POW-MIA issue defused that issue completely today? What are your people telling you about the prospect of Russian aid now in Congress?</w:t>
      </w:r>
    </w:p>
    <w:p w:rsidR="00A31137" w:rsidRPr="00A31137" w:rsidRDefault="00A31137" w:rsidP="00A31137">
      <w:r w:rsidRPr="00A31137">
        <w:t>Public Papers of Bush, 1992, p.957</w:t>
      </w:r>
    </w:p>
    <w:p w:rsidR="00A31137" w:rsidRPr="00A31137" w:rsidRDefault="00A31137" w:rsidP="00A31137">
      <w:r w:rsidRPr="00A31137">
        <w:t>President Yeltsin. You have had a chance to ask this question of the former President of the former Soviet Union, why he kept this a secret. I'm not responsible for him. [Laughter]</w:t>
      </w:r>
    </w:p>
    <w:p w:rsidR="00A31137" w:rsidRPr="00A31137" w:rsidRDefault="00A31137" w:rsidP="00A31137">
      <w:r w:rsidRPr="00A31137">
        <w:t>Public Papers of Bush, 1992, p.957</w:t>
      </w:r>
    </w:p>
    <w:p w:rsidR="00A31137" w:rsidRPr="00A31137" w:rsidRDefault="00A31137" w:rsidP="00A31137">
      <w:r w:rsidRPr="00A31137">
        <w:t>President Bush. Good answer.</w:t>
      </w:r>
    </w:p>
    <w:p w:rsidR="00A31137" w:rsidRPr="00A31137" w:rsidRDefault="00A31137" w:rsidP="00A31137">
      <w:r w:rsidRPr="00A31137">
        <w:t>Public Papers of Bush, 1992, p.957</w:t>
      </w:r>
    </w:p>
    <w:p w:rsidR="00A31137" w:rsidRPr="00A31137" w:rsidRDefault="00A31137" w:rsidP="00A31137">
      <w:r w:rsidRPr="00A31137">
        <w:t>I think the way President Yeltsin handled that question was extraordinarily sensitive in the Congress today, was extraordinarily sensitive to American public opinion and to the anguish and grief of the families.</w:t>
      </w:r>
    </w:p>
    <w:p w:rsidR="00A31137" w:rsidRPr="00A31137" w:rsidRDefault="00A31137" w:rsidP="00A31137">
      <w:r w:rsidRPr="00A31137">
        <w:t>Public Papers of Bush, 1992, p.957</w:t>
      </w:r>
    </w:p>
    <w:p w:rsidR="00A31137" w:rsidRPr="00A31137" w:rsidRDefault="00A31137" w:rsidP="00A31137">
      <w:r w:rsidRPr="00A31137">
        <w:t>I would refer you to the various chairmen that are here with us today, representatives of both parties. But in my view he defused, by being so forthright and so forthcoming, the criticism that you say did exist. I think I know of one very honorable Senator who has probably as much at stake in this broad subject as any, Senator McCain, who was a prisoner himself in Vietnam for a long, long time. He was satisfied and pleased with the statement by President Yeltsin. So it is my hope that that matter has been disposed of. We will go forward working cooperatively with Russia. I hope it's been disposed of.</w:t>
      </w:r>
    </w:p>
    <w:p w:rsidR="00A31137" w:rsidRPr="00A31137" w:rsidRDefault="00A31137" w:rsidP="00A31137">
      <w:r w:rsidRPr="00A31137">
        <w:t>Public Papers of Bush, 1992, p.957</w:t>
      </w:r>
    </w:p>
    <w:p w:rsidR="00A31137" w:rsidRPr="00A31137" w:rsidRDefault="00A31137" w:rsidP="00A31137">
      <w:r w:rsidRPr="00A31137">
        <w:t>I believe that the speech that he gave today, not just in this category but in all categories, helped assure the passage of the "FREEDOM Support Act." It is essential that we move forward and pass that. I know there's a lot of questions that will be asked up there, but it is in our interest. I know it's in the interest of both Russia and the United States, and we must not miss this opportunity. I'll say once again, we've spent literally trillions of dollars, trillions of dollars for defense. Here's an opportunity to take out an insurance policy for peace and democracy and to back a courageous leader and a courageous people. So I think it will pass. And I think his speech today, that I watched keenly, will help assure that passage. He was very well-received in the Congress, and maybe after this is over you can discuss this with some of the leaders of the Congress who are here.</w:t>
      </w:r>
    </w:p>
    <w:p w:rsidR="00A31137" w:rsidRPr="00A31137" w:rsidRDefault="00A31137" w:rsidP="00A31137">
      <w:r w:rsidRPr="00A31137">
        <w:t>Russia-U.S. Agreements</w:t>
      </w:r>
    </w:p>
    <w:p w:rsidR="00A31137" w:rsidRPr="00A31137" w:rsidRDefault="00A31137" w:rsidP="00A31137">
      <w:r w:rsidRPr="00A31137">
        <w:t>Public Papers of Bush, 1992, p.957</w:t>
      </w:r>
    </w:p>
    <w:p w:rsidR="00A31137" w:rsidRPr="00A31137" w:rsidRDefault="00A31137" w:rsidP="00A31137">
      <w:r w:rsidRPr="00A31137">
        <w:t>Q. You were talking about the situation in which many Russians find themselves. What do you think the significance of this visit will be for the common people of Russia? What can you say about that?</w:t>
      </w:r>
    </w:p>
    <w:p w:rsidR="00A31137" w:rsidRPr="00A31137" w:rsidRDefault="00A31137" w:rsidP="00A31137">
      <w:r w:rsidRPr="00A31137">
        <w:t>Public Papers of Bush, 1992, p.957</w:t>
      </w:r>
    </w:p>
    <w:p w:rsidR="00A31137" w:rsidRPr="00A31137" w:rsidRDefault="00A31137" w:rsidP="00A31137">
      <w:r w:rsidRPr="00A31137">
        <w:t>President Yeltsin. I think that the negotiations themselves and the documents, and I might say that we will have signed about 39 documents, all in all. We have signed seven with President Bush and then the premiers, the deputy premiers, the deputy secretaries, the secretaries of state or foreign ministers are signing them, but each of these documents is profitable for Russians, for the Russian people.</w:t>
      </w:r>
    </w:p>
    <w:p w:rsidR="00A31137" w:rsidRPr="00A31137" w:rsidRDefault="00A31137" w:rsidP="00A31137">
      <w:r w:rsidRPr="00A31137">
        <w:t>Public Papers of Bush, 1992, p.957–p.958</w:t>
      </w:r>
    </w:p>
    <w:p w:rsidR="00A31137" w:rsidRPr="00A31137" w:rsidRDefault="00A31137" w:rsidP="00A31137">
      <w:r w:rsidRPr="00A31137">
        <w:t>Nowhere have we compromised our economic interests, our freedom, or the interests of the Russian people. We always kept in mind the interests of the people of Russia. I'm very grateful, by the way, to President Bush that he always took a position that if we do not take measures now to support Russia that this will not be a collapse of Russia only; it will also mean the collapse for the United States also, because it will mean new trillions of dollars for the arms race. And this is what we have to understand. This is inadmissible and impermissible. [p.958] So each document is of direct import and direct benefit to Russian citizens.</w:t>
      </w:r>
    </w:p>
    <w:p w:rsidR="00A31137" w:rsidRPr="00A31137" w:rsidRDefault="00A31137" w:rsidP="00A31137">
      <w:r w:rsidRPr="00A31137">
        <w:t>Assistance for Russia</w:t>
      </w:r>
    </w:p>
    <w:p w:rsidR="00A31137" w:rsidRPr="00A31137" w:rsidRDefault="00A31137" w:rsidP="00A31137">
      <w:r w:rsidRPr="00A31137">
        <w:t>Public Papers of Bush, 1992, p.958</w:t>
      </w:r>
    </w:p>
    <w:p w:rsidR="00A31137" w:rsidRPr="00A31137" w:rsidRDefault="00A31137" w:rsidP="00A31137">
      <w:r w:rsidRPr="00A31137">
        <w:t>Q. Mr. President, how serious do you think is the need for economic aid to Russia, and how soon do you think the United States will be able to make a contribution?</w:t>
      </w:r>
    </w:p>
    <w:p w:rsidR="00A31137" w:rsidRPr="00A31137" w:rsidRDefault="00A31137" w:rsidP="00A31137">
      <w:r w:rsidRPr="00A31137">
        <w:t>Public Papers of Bush, 1992, p.958</w:t>
      </w:r>
    </w:p>
    <w:p w:rsidR="00A31137" w:rsidRPr="00A31137" w:rsidRDefault="00A31137" w:rsidP="00A31137">
      <w:r w:rsidRPr="00A31137">
        <w:t>President Bush. I would simply say we think it's serious. We think that the changes that Russia has embarked on are absolutely essential. I know there are still some problems that remain with the IMF, but we had very frank discussions about that. We are prepared to help move this package forward as swiftly as possible. I think the President put it best when he talked about the urgency of this so I will let him add onto it. But we are viewing this as priority. We are viewing this as of prior consideration. We have many domestic issues here, and we're going to keep pushing forward on them, economic growth, help for the cities. We can do all of those and pass this "FREEDOM Support Act."</w:t>
      </w:r>
    </w:p>
    <w:p w:rsidR="00A31137" w:rsidRPr="00A31137" w:rsidRDefault="00A31137" w:rsidP="00A31137">
      <w:r w:rsidRPr="00A31137">
        <w:t>Public Papers of Bush, 1992, p.958</w:t>
      </w:r>
    </w:p>
    <w:p w:rsidR="00A31137" w:rsidRPr="00A31137" w:rsidRDefault="00A31137" w:rsidP="00A31137">
      <w:r w:rsidRPr="00A31137">
        <w:t>So we're going to keep pushing forward on the domestic front, but this is priority internationally. We are going to be prepared to be weighing in and talking in great depth about this when I go to the G-7 summit in Munich.</w:t>
      </w:r>
    </w:p>
    <w:p w:rsidR="00A31137" w:rsidRPr="00A31137" w:rsidRDefault="00A31137" w:rsidP="00A31137">
      <w:r w:rsidRPr="00A31137">
        <w:t>Public Papers of Bush, 1992, p.958</w:t>
      </w:r>
    </w:p>
    <w:p w:rsidR="00A31137" w:rsidRPr="00A31137" w:rsidRDefault="00A31137" w:rsidP="00A31137">
      <w:r w:rsidRPr="00A31137">
        <w:t>Q. This goes with it, Mr. President. What are the alternatives if Congress doesn't pass the aid to Russia?</w:t>
      </w:r>
    </w:p>
    <w:p w:rsidR="00A31137" w:rsidRPr="00A31137" w:rsidRDefault="00A31137" w:rsidP="00A31137">
      <w:r w:rsidRPr="00A31137">
        <w:t>Public Papers of Bush, 1992, p.958</w:t>
      </w:r>
    </w:p>
    <w:p w:rsidR="00A31137" w:rsidRPr="00A31137" w:rsidRDefault="00A31137" w:rsidP="00A31137">
      <w:r w:rsidRPr="00A31137">
        <w:t>President Bush. Well, I think they're going to pass it, and it's too hypothetical.</w:t>
      </w:r>
    </w:p>
    <w:p w:rsidR="00A31137" w:rsidRPr="00A31137" w:rsidRDefault="00A31137" w:rsidP="00A31137">
      <w:r w:rsidRPr="00A31137">
        <w:t>Public Papers of Bush, 1992, p.958</w:t>
      </w:r>
    </w:p>
    <w:p w:rsidR="00A31137" w:rsidRPr="00A31137" w:rsidRDefault="00A31137" w:rsidP="00A31137">
      <w:r w:rsidRPr="00A31137">
        <w:t>Do you want to comment on the urgency? No? Okay.</w:t>
      </w:r>
    </w:p>
    <w:p w:rsidR="00A31137" w:rsidRPr="00A31137" w:rsidRDefault="00A31137" w:rsidP="00A31137">
      <w:r w:rsidRPr="00A31137">
        <w:t>Public Papers of Bush, 1992, p.958</w:t>
      </w:r>
    </w:p>
    <w:p w:rsidR="00A31137" w:rsidRPr="00A31137" w:rsidRDefault="00A31137" w:rsidP="00A31137">
      <w:r w:rsidRPr="00A31137">
        <w:t>President Yeltsin. I think that, of course, these $24 billion are important, the $24 billion that would have come to us as credits from the IMF. It is an important thing for any civilized country, especially for Russia at this time, during this very difficult period of reforms. But these $24 billion will not save Russia; they will not even significantly help us. Perhaps they will help us to stabilize the ruble, they will help us to make the ruble convertible in July, once this question is decided.</w:t>
      </w:r>
    </w:p>
    <w:p w:rsidR="00A31137" w:rsidRPr="00A31137" w:rsidRDefault="00A31137" w:rsidP="00A31137">
      <w:r w:rsidRPr="00A31137">
        <w:t>Public Papers of Bush, 1992, p.958</w:t>
      </w:r>
    </w:p>
    <w:p w:rsidR="00A31137" w:rsidRPr="00A31137" w:rsidRDefault="00A31137" w:rsidP="00A31137">
      <w:r w:rsidRPr="00A31137">
        <w:t>But the most important thing is that once the IMF decides this issue, this will open the door for a powerful stream, influx of private capital. Those will not be credits. Those will be direct investments from private companies. We have talked to business people in the United States together with President Bush and the business people here understand that very well. And the same situation exists in other countries, and that will be a matter of hundreds of billions of dollars. And that will be very important aid. It will be direct aid. It will be civilized aid. It will support our private sector, which is what we want.</w:t>
      </w:r>
    </w:p>
    <w:p w:rsidR="00A31137" w:rsidRPr="00A31137" w:rsidRDefault="00A31137" w:rsidP="00A31137">
      <w:r w:rsidRPr="00A31137">
        <w:t>Russia-U.S. Relations</w:t>
      </w:r>
    </w:p>
    <w:p w:rsidR="00A31137" w:rsidRPr="00A31137" w:rsidRDefault="00A31137" w:rsidP="00A31137">
      <w:r w:rsidRPr="00A31137">
        <w:t>Public Papers of Bush, 1992, p.958</w:t>
      </w:r>
    </w:p>
    <w:p w:rsidR="00A31137" w:rsidRPr="00A31137" w:rsidRDefault="00A31137" w:rsidP="00A31137">
      <w:r w:rsidRPr="00A31137">
        <w:t>Q. Russian Television, First Channel. This is a question to both Presidents. You have really had good results from this meeting. What is it that you have failed to accomplish or have not had time to accomplish? What do you think is your next point on the agenda? Should be for the next summit, perhaps?</w:t>
      </w:r>
    </w:p>
    <w:p w:rsidR="00A31137" w:rsidRPr="00A31137" w:rsidRDefault="00A31137" w:rsidP="00A31137">
      <w:r w:rsidRPr="00A31137">
        <w:t>Public Papers of Bush, 1992, p.958</w:t>
      </w:r>
    </w:p>
    <w:p w:rsidR="00A31137" w:rsidRPr="00A31137" w:rsidRDefault="00A31137" w:rsidP="00A31137">
      <w:r w:rsidRPr="00A31137">
        <w:t>President Yeltsin. You know, in addition to those issues which are reflected in the documents that have been signed, we discussed dozens and dozens of other issues which are not reflected in the documents, dozens of them. For example, there was a wonderful pleasure trip on a boat on the river which lasted an hour and 15 minutes. And even during that trip we worked, and we discussed a lot of issues that we will continue to talk about and will raise again at the next meeting. And I hope very much that the President of the United States will accept my invitation and will come and visit on an official visit to Moscow at the end of this year. And I am convinced that a very serious package of documents will be prepared by the time he comes for this visit.</w:t>
      </w:r>
    </w:p>
    <w:p w:rsidR="00A31137" w:rsidRPr="00A31137" w:rsidRDefault="00A31137" w:rsidP="00A31137">
      <w:r w:rsidRPr="00A31137">
        <w:t>Public Papers of Bush, 1992, p.958</w:t>
      </w:r>
    </w:p>
    <w:p w:rsidR="00A31137" w:rsidRPr="00A31137" w:rsidRDefault="00A31137" w:rsidP="00A31137">
      <w:r w:rsidRPr="00A31137">
        <w:t>President Bush. A summit of this nature is broken down into two general categories: one, agreements, where you sit down and you hammer out agreements. Many of them are precooked. The Arms Control Agreement was enhanced and was finalized because President Yeltsin came here with some new ideas and he and his Foreign Minister and Jim Baker and others here worked very hard on getting it finalized. So that's part of it; it's the agreements.</w:t>
      </w:r>
    </w:p>
    <w:p w:rsidR="00A31137" w:rsidRPr="00A31137" w:rsidRDefault="00A31137" w:rsidP="00A31137">
      <w:r w:rsidRPr="00A31137">
        <w:t>Public Papers of Bush, 1992, p.959</w:t>
      </w:r>
    </w:p>
    <w:p w:rsidR="00A31137" w:rsidRPr="00A31137" w:rsidRDefault="00A31137" w:rsidP="00A31137">
      <w:r w:rsidRPr="00A31137">
        <w:t>But I find that a lot of the benefit of a meeting of this nature is the kind of discussion that we had, not just on that boat where we talked for an hour about worldwide problems but the discussions that we had upstairs when I had some private time with the President, private time in the Oval Office with him, the Secretary, and Brent Scowcroft.</w:t>
      </w:r>
    </w:p>
    <w:p w:rsidR="00A31137" w:rsidRPr="00A31137" w:rsidRDefault="00A31137" w:rsidP="00A31137">
      <w:r w:rsidRPr="00A31137">
        <w:t>Public Papers of Bush, 1992, p.959</w:t>
      </w:r>
    </w:p>
    <w:p w:rsidR="00A31137" w:rsidRPr="00A31137" w:rsidRDefault="00A31137" w:rsidP="00A31137">
      <w:r w:rsidRPr="00A31137">
        <w:t>It is very important that Russia and the United States not pass in the dark; that we understand. He understands how we look at the Balkans, for example, and I understand how he does, or the Middle East or South America or Japan. It is very important that two very important countries like this discuss in detail without trying to hammer out agreements the world situation, and that's exactly what we did. I have a far better understanding of the problem he faces at home and perhaps he has a better understanding of the problems that we face here in this country.</w:t>
      </w:r>
    </w:p>
    <w:p w:rsidR="00A31137" w:rsidRPr="00A31137" w:rsidRDefault="00A31137" w:rsidP="00A31137">
      <w:r w:rsidRPr="00A31137">
        <w:t>POW-MIA's</w:t>
      </w:r>
    </w:p>
    <w:p w:rsidR="00A31137" w:rsidRPr="00A31137" w:rsidRDefault="00A31137" w:rsidP="00A31137">
      <w:r w:rsidRPr="00A31137">
        <w:t>Public Papers of Bush, 1992, p.959</w:t>
      </w:r>
    </w:p>
    <w:p w:rsidR="00A31137" w:rsidRPr="00A31137" w:rsidRDefault="00A31137" w:rsidP="00A31137">
      <w:r w:rsidRPr="00A31137">
        <w:t>Q. Question for both Presidents, President Yeltsin first. I'd like to follow up on a question my colleague asked a few moments ago because of the sensitivity of the POW issues.</w:t>
      </w:r>
    </w:p>
    <w:p w:rsidR="00A31137" w:rsidRPr="00A31137" w:rsidRDefault="00A31137" w:rsidP="00A31137">
      <w:r w:rsidRPr="00A31137">
        <w:t>Public Papers of Bush, 1992, p.959</w:t>
      </w:r>
    </w:p>
    <w:p w:rsidR="00A31137" w:rsidRPr="00A31137" w:rsidRDefault="00A31137" w:rsidP="00A31137">
      <w:r w:rsidRPr="00A31137">
        <w:t>A few minutes ago you described to one of the Russian journalists a document that you'd found relating to the Korean airline shoot down. Can you describe to us any documents or details that you have found about the prisoner of war issue so that Americans might understand why you believe that prisoners might have been taken to Russia and why you believe there might be still some alive?</w:t>
      </w:r>
    </w:p>
    <w:p w:rsidR="00A31137" w:rsidRPr="00A31137" w:rsidRDefault="00A31137" w:rsidP="00A31137">
      <w:r w:rsidRPr="00A31137">
        <w:t>Public Papers of Bush, 1992, p.959</w:t>
      </w:r>
    </w:p>
    <w:p w:rsidR="00A31137" w:rsidRPr="00A31137" w:rsidRDefault="00A31137" w:rsidP="00A31137">
      <w:r w:rsidRPr="00A31137">
        <w:t>And President Bush, can you tell us if there are any documents you have found relating to this in the time since you have learned of this situation?</w:t>
      </w:r>
    </w:p>
    <w:p w:rsidR="00A31137" w:rsidRPr="00A31137" w:rsidRDefault="00A31137" w:rsidP="00A31137">
      <w:r w:rsidRPr="00A31137">
        <w:t>Public Papers of Bush, 1992, p.959</w:t>
      </w:r>
    </w:p>
    <w:p w:rsidR="00A31137" w:rsidRPr="00A31137" w:rsidRDefault="00A31137" w:rsidP="00A31137">
      <w:r w:rsidRPr="00A31137">
        <w:t>President Bush. I'll answer it—no—and then let him take the first part. There are none that have been brought to my attention.</w:t>
      </w:r>
    </w:p>
    <w:p w:rsidR="00A31137" w:rsidRPr="00A31137" w:rsidRDefault="00A31137" w:rsidP="00A31137">
      <w:r w:rsidRPr="00A31137">
        <w:t>Public Papers of Bush, 1992, p.959</w:t>
      </w:r>
    </w:p>
    <w:p w:rsidR="00A31137" w:rsidRPr="00A31137" w:rsidRDefault="00A31137" w:rsidP="00A31137">
      <w:r w:rsidRPr="00A31137">
        <w:t>President Yeltsin. What we know today and what I have informed the Senate about, we are prepared to submit all the documents on that score. As to what we find later, as we find it we will submit those documents. I assure you that there will be no secrets; as we find them we will let them be known. It will be a joint commission, and they will be working together in the archives.</w:t>
      </w:r>
    </w:p>
    <w:p w:rsidR="00A31137" w:rsidRPr="00A31137" w:rsidRDefault="00A31137" w:rsidP="00A31137">
      <w:r w:rsidRPr="00A31137">
        <w:t>Public Papers of Bush, 1992, p.959</w:t>
      </w:r>
    </w:p>
    <w:p w:rsidR="00A31137" w:rsidRPr="00A31137" w:rsidRDefault="00A31137" w:rsidP="00A31137">
      <w:r w:rsidRPr="00A31137">
        <w:t>Q. Can you tell us, sir, what you have found already?</w:t>
      </w:r>
    </w:p>
    <w:p w:rsidR="00A31137" w:rsidRPr="00A31137" w:rsidRDefault="00A31137" w:rsidP="00A31137">
      <w:r w:rsidRPr="00A31137">
        <w:t>Public Papers of Bush, 1992, p.959</w:t>
      </w:r>
    </w:p>
    <w:p w:rsidR="00A31137" w:rsidRPr="00A31137" w:rsidRDefault="00A31137" w:rsidP="00A31137">
      <w:r w:rsidRPr="00A31137">
        <w:t>President Yeltsin. The most important thing is that we know the numerical picture. We know how many people there were on the territory, how many were left, what camps the POW's were held in, the citizens of the United States; which war they were from, whether it was World War Il or the Korean war or any other incident. So that part of the picture is clear. We know who died, where they are buried. We know that, also.</w:t>
      </w:r>
    </w:p>
    <w:p w:rsidR="00A31137" w:rsidRPr="00A31137" w:rsidRDefault="00A31137" w:rsidP="00A31137">
      <w:r w:rsidRPr="00A31137">
        <w:t>Public Papers of Bush, 1992, p.959</w:t>
      </w:r>
    </w:p>
    <w:p w:rsidR="00A31137" w:rsidRPr="00A31137" w:rsidRDefault="00A31137" w:rsidP="00A31137">
      <w:r w:rsidRPr="00A31137">
        <w:t>What we still don't know, we don't know a certain number of people who really we can't find where they belong, and we don't know where they are, and we have simply no information about them. This is why we say that maybe some of them are still alive and are still in Russia. This is why we say we would like to find further documents on those people.</w:t>
      </w:r>
    </w:p>
    <w:p w:rsidR="00A31137" w:rsidRPr="00A31137" w:rsidRDefault="00A31137" w:rsidP="00A31137">
      <w:r w:rsidRPr="00A31137">
        <w:t>Public Papers of Bush, 1992, p.959</w:t>
      </w:r>
    </w:p>
    <w:p w:rsidR="00A31137" w:rsidRPr="00A31137" w:rsidRDefault="00A31137" w:rsidP="00A31137">
      <w:r w:rsidRPr="00A31137">
        <w:t>President Bush. May I say we are going to take two more questions, one from each side. But let me add something to this. This is not a one-sided question. We aren't holding anybody. I know of nobody ever having held people. But there's a lot of heartbreak in Russia. There's a lot of families that wonder what happened to their loved ones in Afghanistan. While we were having these frank talks, I told President Yeltsin we would do absolutely everything we can. We lack a lot of purchase in some of these areas, but we will do absolutely everything we can to cooperate with him to see that those young men, these Russians who are held, allegedly held in Afghanistan are returned.</w:t>
      </w:r>
    </w:p>
    <w:p w:rsidR="00A31137" w:rsidRPr="00A31137" w:rsidRDefault="00A31137" w:rsidP="00A31137">
      <w:r w:rsidRPr="00A31137">
        <w:t>Public Papers of Bush, 1992, p.959</w:t>
      </w:r>
    </w:p>
    <w:p w:rsidR="00A31137" w:rsidRPr="00A31137" w:rsidRDefault="00A31137" w:rsidP="00A31137">
      <w:r w:rsidRPr="00A31137">
        <w:t>So the heartbreak is on both sides. The agony is on both sides, different circumstances. But I just wanted you to know that we have pledged, and I want the people in Russia to know, that we have pledged to work cooperatively with President Yeltsin to try to get some information that might alleviate the suffering of families in Russia.</w:t>
      </w:r>
    </w:p>
    <w:p w:rsidR="00A31137" w:rsidRPr="00A31137" w:rsidRDefault="00A31137" w:rsidP="00A31137">
      <w:r w:rsidRPr="00A31137">
        <w:t>Assistance for Russia</w:t>
      </w:r>
    </w:p>
    <w:p w:rsidR="00A31137" w:rsidRPr="00A31137" w:rsidRDefault="00A31137" w:rsidP="00A31137">
      <w:r w:rsidRPr="00A31137">
        <w:t>Public Papers of Bush, 1992, p.960</w:t>
      </w:r>
    </w:p>
    <w:p w:rsidR="00A31137" w:rsidRPr="00A31137" w:rsidRDefault="00A31137" w:rsidP="00A31137">
      <w:r w:rsidRPr="00A31137">
        <w:t>Q. I have a question for President Bush. Could you perhaps answer this somewhat delicate question? You talked about the preparedness of America to provide aid, but that there are difficulties. Could you tell us something about the possibilities that have arisen for helping Russia as a result of signing the kind of documents that you have signed? What is possible, and what makes it psychologically difficult? What should be changed in Russia to make it easier? What would be conducive to our being able to help?</w:t>
      </w:r>
    </w:p>
    <w:p w:rsidR="00A31137" w:rsidRPr="00A31137" w:rsidRDefault="00A31137" w:rsidP="00A31137">
      <w:r w:rsidRPr="00A31137">
        <w:t>Public Papers of Bush, 1992, p.960</w:t>
      </w:r>
    </w:p>
    <w:p w:rsidR="00A31137" w:rsidRPr="00A31137" w:rsidRDefault="00A31137" w:rsidP="00A31137">
      <w:r w:rsidRPr="00A31137">
        <w:t>President Bush. Change in Russia to make it easier would be going forward as briskly as possible with the reforms. That opens up not only cooperative support from the United States, but from the G-7 and other countries who want to help.</w:t>
      </w:r>
    </w:p>
    <w:p w:rsidR="00A31137" w:rsidRPr="00A31137" w:rsidRDefault="00A31137" w:rsidP="00A31137">
      <w:r w:rsidRPr="00A31137">
        <w:t>Public Papers of Bush, 1992, p.960</w:t>
      </w:r>
    </w:p>
    <w:p w:rsidR="00A31137" w:rsidRPr="00A31137" w:rsidRDefault="00A31137" w:rsidP="00A31137">
      <w:r w:rsidRPr="00A31137">
        <w:t>I think—just help me once again with the first part of that. I lost my train of thought.</w:t>
      </w:r>
    </w:p>
    <w:p w:rsidR="00A31137" w:rsidRPr="00A31137" w:rsidRDefault="00A31137" w:rsidP="00A31137">
      <w:r w:rsidRPr="00A31137">
        <w:t>Public Papers of Bush, 1992, p.960</w:t>
      </w:r>
    </w:p>
    <w:p w:rsidR="00A31137" w:rsidRPr="00A31137" w:rsidRDefault="00A31137" w:rsidP="00A31137">
      <w:r w:rsidRPr="00A31137">
        <w:t>Q. In order to formulate your answer—</w:t>
      </w:r>
    </w:p>
    <w:p w:rsidR="00A31137" w:rsidRPr="00A31137" w:rsidRDefault="00A31137" w:rsidP="00A31137">
      <w:r w:rsidRPr="00A31137">
        <w:t>Public Papers of Bush, 1992, p.960</w:t>
      </w:r>
    </w:p>
    <w:p w:rsidR="00A31137" w:rsidRPr="00A31137" w:rsidRDefault="00A31137" w:rsidP="00A31137">
      <w:r w:rsidRPr="00A31137">
        <w:t>President Bush. Okay, no, but what we can do—the first part of your question comes back to me—what we can do the most is to pass the "FREEDOM Support Act." Now, you say, what are the problems with that. Some of the big package relates to the reforms and the need to get it through the IMF. Very candidly, so the people of Russia will understand that, there is some sentiment here that we should concentrate all our efforts in terms of spending domestically.</w:t>
      </w:r>
    </w:p>
    <w:p w:rsidR="00A31137" w:rsidRPr="00A31137" w:rsidRDefault="00A31137" w:rsidP="00A31137">
      <w:r w:rsidRPr="00A31137">
        <w:t>Public Papers of Bush, 1992, p.960</w:t>
      </w:r>
    </w:p>
    <w:p w:rsidR="00A31137" w:rsidRPr="00A31137" w:rsidRDefault="00A31137" w:rsidP="00A31137">
      <w:r w:rsidRPr="00A31137">
        <w:t>It is my view—I don't think that's the will of the Congress, however. I believe the Congress will support the "FREEDOM Support Act." We are in an election year here. The people of Russia have to understand it's a little strange out there, and things work differently in an election year. But the case for this "FREEDOM Support Act" is so overriding that I am confident that we can lay the politics aside and get this passed. I don't know if the interpreter got this, but I think that President Yeltsin's speech today, and I notice the Senators all had to go vote, but I think that they would tell you that that speech today was so well-received that that will enhance passage of the "FREEDOM Support Act."</w:t>
      </w:r>
    </w:p>
    <w:p w:rsidR="00A31137" w:rsidRPr="00A31137" w:rsidRDefault="00A31137" w:rsidP="00A31137">
      <w:r w:rsidRPr="00A31137">
        <w:t>Public Papers of Bush, 1992, p.960</w:t>
      </w:r>
    </w:p>
    <w:p w:rsidR="00A31137" w:rsidRPr="00A31137" w:rsidRDefault="00A31137" w:rsidP="00A31137">
      <w:r w:rsidRPr="00A31137">
        <w:t>That is the answer to your question. What can the United States do? It can pass this. It can work with the international financial institutions to be sure to see if we can help eliminate some of the problems and work cooperatively with the G-7, who I'm convinced will want to help Russia. It's that kind of an approach.</w:t>
      </w:r>
    </w:p>
    <w:p w:rsidR="00A31137" w:rsidRPr="00A31137" w:rsidRDefault="00A31137" w:rsidP="00A31137">
      <w:r w:rsidRPr="00A31137">
        <w:t>Public Papers of Bush, 1992, p.960</w:t>
      </w:r>
    </w:p>
    <w:p w:rsidR="00A31137" w:rsidRPr="00A31137" w:rsidRDefault="00A31137" w:rsidP="00A31137">
      <w:r w:rsidRPr="00A31137">
        <w:t>We've got one more to go.</w:t>
      </w:r>
    </w:p>
    <w:p w:rsidR="00A31137" w:rsidRPr="00A31137" w:rsidRDefault="00A31137" w:rsidP="00A31137">
      <w:r w:rsidRPr="00A31137">
        <w:t>Public Papers of Bush, 1992, p.960</w:t>
      </w:r>
    </w:p>
    <w:p w:rsidR="00A31137" w:rsidRPr="00A31137" w:rsidRDefault="00A31137" w:rsidP="00A31137">
      <w:r w:rsidRPr="00A31137">
        <w:t>Q. I ask about what should be changed in Russia in order to make aid easier?</w:t>
      </w:r>
    </w:p>
    <w:p w:rsidR="00A31137" w:rsidRPr="00A31137" w:rsidRDefault="00A31137" w:rsidP="00A31137">
      <w:r w:rsidRPr="00A31137">
        <w:t>Public Papers of Bush, 1992, p.960</w:t>
      </w:r>
    </w:p>
    <w:p w:rsidR="00A31137" w:rsidRPr="00A31137" w:rsidRDefault="00A31137" w:rsidP="00A31137">
      <w:r w:rsidRPr="00A31137">
        <w:t>President Bush. Well, I just think accommodation as much as possible—and you've got Mr. Gaydar trying to very much do that, along with this President—to accommodate the requirements of the international financial institutions. We've made a commitment, here. We've made a commitment, and we're going to go forward with it.</w:t>
      </w:r>
    </w:p>
    <w:p w:rsidR="00A31137" w:rsidRPr="00A31137" w:rsidRDefault="00A31137" w:rsidP="00A31137">
      <w:r w:rsidRPr="00A31137">
        <w:t>Public Papers of Bush, 1992, p.960</w:t>
      </w:r>
    </w:p>
    <w:p w:rsidR="00A31137" w:rsidRPr="00A31137" w:rsidRDefault="00A31137" w:rsidP="00A31137">
      <w:r w:rsidRPr="00A31137">
        <w:t>The whole package needs to be passed by having these changes that the President's already started, go forward. There are certain requirements, there are some—I leave that to the financial experts that are here from Russia, but I can't say anything about the details except to say that what Russia can do is to try to iron out the requirements that lie ahead. I know that President Yeltsin's determined to do that, and I'm confident, with an able man like the Vice Premier here, if it can be done, he'll help get it done. So that's the only answer.</w:t>
      </w:r>
    </w:p>
    <w:p w:rsidR="00A31137" w:rsidRPr="00A31137" w:rsidRDefault="00A31137" w:rsidP="00A31137">
      <w:r w:rsidRPr="00A31137">
        <w:t>Public Papers of Bush, 1992, p.960</w:t>
      </w:r>
    </w:p>
    <w:p w:rsidR="00A31137" w:rsidRPr="00A31137" w:rsidRDefault="00A31137" w:rsidP="00A31137">
      <w:r w:rsidRPr="00A31137">
        <w:t>President Yeltsin. Just a moment, I also would like to give my evaluation, since I am a participant in these events. And on my part it is 9—in other words, 9 out of 10 is the probability of help of what we have decided upon. That's how I would evaluate it.</w:t>
      </w:r>
    </w:p>
    <w:p w:rsidR="00A31137" w:rsidRPr="00A31137" w:rsidRDefault="00A31137" w:rsidP="00A31137">
      <w:r w:rsidRPr="00A31137">
        <w:t>Public Papers of Bush, 1992, p.960</w:t>
      </w:r>
    </w:p>
    <w:p w:rsidR="00A31137" w:rsidRPr="00A31137" w:rsidRDefault="00A31137" w:rsidP="00A31137">
      <w:r w:rsidRPr="00A31137">
        <w:t>President Bush. I think so, too. Last question. Last question.</w:t>
      </w:r>
    </w:p>
    <w:p w:rsidR="00A31137" w:rsidRPr="00A31137" w:rsidRDefault="00A31137" w:rsidP="00A31137">
      <w:r w:rsidRPr="00A31137">
        <w:t>Arms Agreements</w:t>
      </w:r>
    </w:p>
    <w:p w:rsidR="00A31137" w:rsidRPr="00A31137" w:rsidRDefault="00A31137" w:rsidP="00A31137">
      <w:r w:rsidRPr="00A31137">
        <w:t>Public Papers of Bush, 1992, p.960</w:t>
      </w:r>
    </w:p>
    <w:p w:rsidR="00A31137" w:rsidRPr="00A31137" w:rsidRDefault="00A31137" w:rsidP="00A31137">
      <w:r w:rsidRPr="00A31137">
        <w:t>Q. A question for both Presidents. President Yeltsin said that we don't want to force any other nations to join you. But now that you are so far down the road of disarmament, should some of the allies of the United States cut deeply their own nuclear weapons?</w:t>
      </w:r>
    </w:p>
    <w:p w:rsidR="00A31137" w:rsidRPr="00A31137" w:rsidRDefault="00A31137" w:rsidP="00A31137">
      <w:r w:rsidRPr="00A31137">
        <w:t>Public Papers of Bush, 1992, p.960–p.961</w:t>
      </w:r>
    </w:p>
    <w:p w:rsidR="00A31137" w:rsidRPr="00A31137" w:rsidRDefault="00A31137" w:rsidP="00A31137">
      <w:r w:rsidRPr="00A31137">
        <w:t>President Yeltsin. The thing is that when I was on an official visit in France or a working visit in the United Kingdom and [p.961] when we discussed this issue in detail with the leaders of those countries, I personally came to the conclusion that, actually, we didn't really need to talk about these issues; it wasn't really necessary because the quantities are totally incommensurate.</w:t>
      </w:r>
    </w:p>
    <w:p w:rsidR="00A31137" w:rsidRPr="00A31137" w:rsidRDefault="00A31137" w:rsidP="00A31137">
      <w:r w:rsidRPr="00A31137">
        <w:t>Public Papers of Bush, 1992, p.961</w:t>
      </w:r>
    </w:p>
    <w:p w:rsidR="00A31137" w:rsidRPr="00A31137" w:rsidRDefault="00A31137" w:rsidP="00A31137">
      <w:r w:rsidRPr="00A31137">
        <w:t>Can you imagine 21,000 warheads, strategic warheads, that our two countries have in their possession and then take 100 that some other country has, is it really worth talking about? Is it worth arguing about? Especially once we began discussing it, they themselves come to the conclusion that the atmosphere in the world, once it changes, it will itself lead them to lower the level of the strategic armaments. Their own peoples will demand it. In France they have 5 submarines and we have hundreds; so how can we compare them?</w:t>
      </w:r>
    </w:p>
    <w:p w:rsidR="00A31137" w:rsidRPr="00A31137" w:rsidRDefault="00A31137" w:rsidP="00A31137">
      <w:r w:rsidRPr="00A31137">
        <w:t>Public Papers of Bush, 1992, p.961</w:t>
      </w:r>
    </w:p>
    <w:p w:rsidR="00A31137" w:rsidRPr="00A31137" w:rsidRDefault="00A31137" w:rsidP="00A31137">
      <w:r w:rsidRPr="00A31137">
        <w:t>President Bush. Let me just reiterate the policy of the United States. We do not negotiate somebody else's armaments; we talk about the United States. So I'm not going to go into that at all. Our policy is well-known, and I think that the President put this in very proper perspective here. We're dealing with something enormous in working down our own arsenals. We've got our plate pretty full there. But it is not for the President of the United States to start talking about the French or British deterrent, and that's not my role.</w:t>
      </w:r>
    </w:p>
    <w:p w:rsidR="00A31137" w:rsidRPr="00A31137" w:rsidRDefault="00A31137" w:rsidP="00A31137">
      <w:r w:rsidRPr="00A31137">
        <w:t>Public Papers of Bush, 1992, p.961</w:t>
      </w:r>
    </w:p>
    <w:p w:rsidR="00A31137" w:rsidRPr="00A31137" w:rsidRDefault="00A31137" w:rsidP="00A31137">
      <w:r w:rsidRPr="00A31137">
        <w:t>Thank you all very much. We're out of here.</w:t>
      </w:r>
    </w:p>
    <w:p w:rsidR="00A31137" w:rsidRPr="00A31137" w:rsidRDefault="00A31137" w:rsidP="00A31137">
      <w:r w:rsidRPr="00A31137">
        <w:t>Public Papers of Bush, 1992, p.961</w:t>
      </w:r>
    </w:p>
    <w:p w:rsidR="00A31137" w:rsidRPr="00A31137" w:rsidRDefault="00A31137" w:rsidP="00A31137">
      <w:r w:rsidRPr="00A31137">
        <w:t>NOTE: The President's 132d news conference began at 4:47 p.m. in the East Room at the White House. During the news conference, the following persons were referred to: Gert. Dmitri Volkogonov, senior adviser to President Yeltsin, and Yegor Gaydar, First Deputy Prime Minister of Russia. President Yeltsin spoke in Russian, and his remarks were translated by an interpreter. The news conference followed a ceremony in which President Bush and President Yeltsin signed the Washington Charter for American-Russian Partnership and Friendship; Joint United States-Russian Statement on a Global Protection System; the Bilateral Investment Treaty; the Treaty for the Avoidance of Double Taxation; Joint Understanding on reductions in strategic offensive arms; Space Cooperation Agreement; and the Agreement on the Destruction and Safeguarding of Weapons and the Prevention of Weapons Proliferation.</w:t>
      </w:r>
    </w:p>
    <w:p w:rsidR="00A31137" w:rsidRPr="00A31137" w:rsidRDefault="00A31137" w:rsidP="00A31137">
      <w:r w:rsidRPr="00A31137">
        <w:t>Lee v. Weisman, 1992</w:t>
      </w:r>
    </w:p>
    <w:p w:rsidR="00A31137" w:rsidRPr="00A31137" w:rsidRDefault="00A31137" w:rsidP="00A31137">
      <w:r w:rsidRPr="00A31137">
        <w:t>Title:</w:t>
      </w:r>
      <w:r w:rsidRPr="00A31137">
        <w:tab/>
        <w:t>Lee v. Weisman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24, 1992</w:t>
      </w:r>
    </w:p>
    <w:p w:rsidR="00A31137" w:rsidRPr="00A31137" w:rsidRDefault="00A31137" w:rsidP="00A31137">
      <w:r w:rsidRPr="00A31137">
        <w:t>Source:</w:t>
      </w:r>
      <w:r w:rsidRPr="00A31137">
        <w:tab/>
        <w:t>505 U.S. 577</w:t>
      </w:r>
    </w:p>
    <w:p w:rsidR="00A31137" w:rsidRPr="00A31137" w:rsidRDefault="00A31137" w:rsidP="00A31137">
      <w:r w:rsidRPr="00A31137">
        <w:t>This case was argued November 6, 1991, and was decided June 24, 1992.</w:t>
      </w:r>
    </w:p>
    <w:p w:rsidR="00A31137" w:rsidRPr="00A31137" w:rsidRDefault="00A31137" w:rsidP="00A31137">
      <w:r w:rsidRPr="00A31137">
        <w:t>CERTIORARI TO THE UNITED STATES COURT OF APPEALS</w:t>
      </w:r>
    </w:p>
    <w:p w:rsidR="00A31137" w:rsidRPr="00A31137" w:rsidRDefault="00A31137" w:rsidP="00A31137">
      <w:r w:rsidRPr="00A31137">
        <w:t>FOR THE FIRST CIRCUIT</w:t>
      </w:r>
    </w:p>
    <w:p w:rsidR="00A31137" w:rsidRPr="00A31137" w:rsidRDefault="00A31137" w:rsidP="00A31137">
      <w:r w:rsidRPr="00A31137">
        <w:t>Syllabus</w:t>
      </w:r>
    </w:p>
    <w:p w:rsidR="00A31137" w:rsidRPr="00A31137" w:rsidRDefault="00A31137" w:rsidP="00A31137">
      <w:r w:rsidRPr="00A31137">
        <w:t>1992, Lee v. Weisman, 505 U.S. 577</w:t>
      </w:r>
    </w:p>
    <w:p w:rsidR="00A31137" w:rsidRPr="00A31137" w:rsidRDefault="00A31137" w:rsidP="00A31137">
      <w:r w:rsidRPr="00A31137">
        <w:t>Principals of public middle and high schools in Providence, Rhode Island, are permitted to invite members of the clergy to give invocations and benedictions at their schools' graduation ceremonies. Petitioner Lee, a middle school principal, invited a rabbi to offer such prayers at the graduation ceremony for Deborah Weisman's class, gave the Rabbi a pamphlet containing guidelines for the composition of public prayers at civic ceremonies, and advised him that the prayers should be nonsectarian. Shortly before the ceremony, the District Court denied the motion of respondent Weisman, Deborah's father, for a temporary restraining order to prohibit school officials from including the prayers in the ceremony. Deborah and her family attended the ceremony, and the prayers were recited. Subsequently, Weisman sought a permanent injunction barring Lee and other petitioners, various Providence public school officials, from inviting clergy to deliver invocations and benedictions at future graduations. It appears likely that such prayers will be conducted at Deborah's high school graduation. The District Court enjoined petitioners from continuing the practice at issue on the ground that it violated the Establishment Clause of the First Amendment. The Court of Appeals affirmed.</w:t>
      </w:r>
    </w:p>
    <w:p w:rsidR="00A31137" w:rsidRPr="00A31137" w:rsidRDefault="00A31137" w:rsidP="00A31137">
      <w:r w:rsidRPr="00A31137">
        <w:t>1992, Lee v. Weisman, 505 U.S. 577</w:t>
      </w:r>
    </w:p>
    <w:p w:rsidR="00A31137" w:rsidRPr="00A31137" w:rsidRDefault="00A31137" w:rsidP="00A31137">
      <w:r w:rsidRPr="00A31137">
        <w:t>Held: Including clergy who offer prayers as part of an official public school graduation ceremony is forbidden by the Establishment Clause. Pp.  586-599.</w:t>
      </w:r>
    </w:p>
    <w:p w:rsidR="00A31137" w:rsidRPr="00A31137" w:rsidRDefault="00A31137" w:rsidP="00A31137">
      <w:r w:rsidRPr="00A31137">
        <w:t>1992, Lee v. Weisman, 505 U.S. 577</w:t>
      </w:r>
    </w:p>
    <w:p w:rsidR="00A31137" w:rsidRPr="00A31137" w:rsidRDefault="00A31137" w:rsidP="00A31137">
      <w:r w:rsidRPr="00A31137">
        <w:t>(a) This Court need not revisit the questions of the definition and scope of the principles governing the extent of permitted accommodation by the State for its citizens' religious beliefs and practices, for the controlling precedents as they relate to prayer and religious exercise in primary and secondary public schools compel the holding here. Thus, the Court will not reconsider its decision in Lemon v. Kurtzman, 403 U.S. 602. The principle that government may accommodate the free exercise of religion does not supersede the fundamental limitations imposed by the Establishment Clause, which guarantees, at a minimum, that a government may not coerce anyone to support or participate in religion or its exercise, or otherwise act in a way which "establishes a [505 U.S. 578] [state] religion or religious faith, or tends to do so." Lynch v. Donnelly, 465 U.S. 668,  678. Pp.  586-587.</w:t>
      </w:r>
    </w:p>
    <w:p w:rsidR="00A31137" w:rsidRPr="00A31137" w:rsidRDefault="00A31137" w:rsidP="00A31137">
      <w:r w:rsidRPr="00A31137">
        <w:t>1992, Lee v. Weisman, 505 U.S. 578</w:t>
      </w:r>
    </w:p>
    <w:p w:rsidR="00A31137" w:rsidRPr="00A31137" w:rsidRDefault="00A31137" w:rsidP="00A31137">
      <w:r w:rsidRPr="00A31137">
        <w:t>(b) State officials here direct the performance of a formal religious exercise at secondary schools' promotional and graduation ceremonies. Lee's decision that prayers should be given and his selection of the religious participant are choices attributable to the State. Moreover, through the pamphlet and his advice that the prayers be nonsectarian, he directed and controlled the prayers' content. That the directions may have been given in a good faith attempt to make the prayers acceptable to most persons does not resolve the dilemma caused by the school's involvement, since the government may not establish an official or civic religion as a means of avoiding the establishment of a religion with more specific creeds. Pp.  587-590.</w:t>
      </w:r>
    </w:p>
    <w:p w:rsidR="00A31137" w:rsidRPr="00A31137" w:rsidRDefault="00A31137" w:rsidP="00A31137">
      <w:r w:rsidRPr="00A31137">
        <w:t>1992, Lee v. Weisman, 505 U.S. 578</w:t>
      </w:r>
    </w:p>
    <w:p w:rsidR="00A31137" w:rsidRPr="00A31137" w:rsidRDefault="00A31137" w:rsidP="00A31137">
      <w:r w:rsidRPr="00A31137">
        <w:t>(c) The Establishment Clause was inspired by the lesson that in the hands of government what might begin as a tolerant expression of religious views may end in a policy to indoctrinate and coerce. Prayer exercises in elementary and secondary schools carry a particular risk of indirect coercion. Engel v. Vitale, 370 U.S. 421; Abington School District v. Schempp, 374 U.S. 203. The school district's supervision and control of a high school graduation ceremony places subtle and indirect public and peer pressure on attending students to stand as a group or maintain respectful silence during the invocation and benediction. A reasonable dissenter of high school age could believe that standing or remaining silent signified her own participation in, or approval of, the group exercise, rather than her respect for it. And the State may not place the student dissenter in the dilemma of participating or protesting. Since adolescents are often susceptible to peer pressure, especially in matters of social convention, the State may no more use social pressure to enforce orthodoxy than it may use direct means. The embarrassment and intrusion of the religious exercise cannot be refuted by arguing that the prayers are of a de minimis character, since that is an affront to the Rabbi and those for whom the prayers have meaning, and since any intrusion was both real and a violation of the objectors' rights. Pp.  590-594.</w:t>
      </w:r>
    </w:p>
    <w:p w:rsidR="00A31137" w:rsidRPr="00A31137" w:rsidRDefault="00A31137" w:rsidP="00A31137">
      <w:r w:rsidRPr="00A31137">
        <w:t>1992, Lee v. Weisman, 505 U.S. 578</w:t>
      </w:r>
    </w:p>
    <w:p w:rsidR="00A31137" w:rsidRPr="00A31137" w:rsidRDefault="00A31137" w:rsidP="00A31137">
      <w:r w:rsidRPr="00A31137">
        <w:t>(d) Petitioners' argument that the option of not attending the ceremony excuses any inducement or coercion in the ceremony itself is rejected. In this society, high school graduation is one of life's most significant occasions, and a student is not free to absent herself from the exercise in any real sense of the term "voluntary." Also not dispositive is the contention that prayers are an essential part of these ceremonies because, for many persons, the occasion would lack meaning without the recognition that human achievements cannot be understood apart from their spiritual essence. This position fails to acknowledge that what [505 U.S. 579] for many was a spiritual imperative was for the Weismans religious conformance compelled by the State. It also gives insufficient recognition to the real conflict of conscience faced by a student who would have to choose whether to miss graduation or conform to the state-sponsored practice in an environment where the risk of compulsion is especially high. Pp. 594-596.</w:t>
      </w:r>
    </w:p>
    <w:p w:rsidR="00A31137" w:rsidRPr="00A31137" w:rsidRDefault="00A31137" w:rsidP="00A31137">
      <w:r w:rsidRPr="00A31137">
        <w:t>1992, Lee v. Weisman, 505 U.S. 579</w:t>
      </w:r>
    </w:p>
    <w:p w:rsidR="00A31137" w:rsidRPr="00A31137" w:rsidRDefault="00A31137" w:rsidP="00A31137">
      <w:r w:rsidRPr="00A31137">
        <w:t>(e) Inherent differences between the public school system and a session of a state legislature distinguish this case from Marsh v. Chambers, 463 U.S. 783, which condoned a prayer exercise. The atmosphere at a state legislature's opening, where adults are free to enter and leave with little comment and for any number of reasons, cannot compare with the constraining potential of the one school event most important for the student to attend. Pp.  596-598.</w:t>
      </w:r>
    </w:p>
    <w:p w:rsidR="00A31137" w:rsidRPr="00A31137" w:rsidRDefault="00A31137" w:rsidP="00A31137">
      <w:r w:rsidRPr="00A31137">
        <w:t>1992, Lee v. Weisman, 505 U.S. 579</w:t>
      </w:r>
    </w:p>
    <w:p w:rsidR="00A31137" w:rsidRPr="00A31137" w:rsidRDefault="00A31137" w:rsidP="00A31137">
      <w:r w:rsidRPr="00A31137">
        <w:t>908 F.2d 1090 (CA1 1990), affirmed.</w:t>
      </w:r>
    </w:p>
    <w:p w:rsidR="00A31137" w:rsidRPr="00A31137" w:rsidRDefault="00A31137" w:rsidP="00A31137">
      <w:r w:rsidRPr="00A31137">
        <w:t>1992, Lee v. Weisman, 505 U.S. 579</w:t>
      </w:r>
    </w:p>
    <w:p w:rsidR="00A31137" w:rsidRPr="00A31137" w:rsidRDefault="00A31137" w:rsidP="00A31137">
      <w:r w:rsidRPr="00A31137">
        <w:t xml:space="preserve">KENNEDY, J., delivered the opinion of the Court, in which BLACKMUN, STEVENS, O'CONNOR, and SOUTER, JJ., joined. BLACKMUN, J., post, p.  599, and SOUTER, J., post, p.  609, filed concurring opinions, in which STEVENS and O'CONNOR, JJ., joined. SCALIA, J., filed a dissenting opinion, in which REHNQUIST, C.J., and WHITE and THOMAS, JJ., joined, post, p.  631. [505 U.S. 580] </w:t>
      </w:r>
    </w:p>
    <w:p w:rsidR="00A31137" w:rsidRPr="00A31137" w:rsidRDefault="00A31137" w:rsidP="00A31137">
      <w:r w:rsidRPr="00A31137">
        <w:t>KENNEDY, J., lead opinion</w:t>
      </w:r>
    </w:p>
    <w:p w:rsidR="00A31137" w:rsidRPr="00A31137" w:rsidRDefault="00A31137" w:rsidP="00A31137">
      <w:r w:rsidRPr="00A31137">
        <w:t>1992, Lee v. Weisman, 505 U.S. 580</w:t>
      </w:r>
    </w:p>
    <w:p w:rsidR="00A31137" w:rsidRPr="00A31137" w:rsidRDefault="00A31137" w:rsidP="00A31137">
      <w:r w:rsidRPr="00A31137">
        <w:t>JUSTICE KENNEDY delivered the opinion of the Court.</w:t>
      </w:r>
    </w:p>
    <w:p w:rsidR="00A31137" w:rsidRPr="00A31137" w:rsidRDefault="00A31137" w:rsidP="00A31137">
      <w:r w:rsidRPr="00A31137">
        <w:t>1992, Lee v. Weisman, 505 U.S. 580</w:t>
      </w:r>
    </w:p>
    <w:p w:rsidR="00A31137" w:rsidRPr="00A31137" w:rsidRDefault="00A31137" w:rsidP="00A31137">
      <w:r w:rsidRPr="00A31137">
        <w:t xml:space="preserve">School principals in the public school system of the city of Providence, Rhode Island, are permitted to invite members of the clergy to offer invocation and benediction prayers as part of the formal graduation ceremonies for middle schools and for high schools. The question before us is whether including clerical members who offer prayers as part of the official school graduation ceremony is consistent with the Religion Clauses of the First Amendment, provisions the Fourteenth Amendment makes applicable with full force to the States and their school districts. [505 U.S. 581] </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1992, Lee v. Weisman, 505 U.S. 581</w:t>
      </w:r>
    </w:p>
    <w:p w:rsidR="00A31137" w:rsidRPr="00A31137" w:rsidRDefault="00A31137" w:rsidP="00A31137">
      <w:r w:rsidRPr="00A31137">
        <w:t>Deborah Weisman graduated from Nathan Bishop Middle School, a public school in Providence, at a formal ceremony in June, 1989. She was about 14 years old. For many years, it has been the policy of the Providence School Committee and the Superintendent of Schools to permit principals to invite members of the clergy to give invocations and benedictions at middle school and high school graduations. Many, but not all, of the principals elected to include prayers as part of the graduation ceremonies. Acting for himself and his daughter, Deborah's father, Daniel Weisman, objected to any prayers at Deborah's middle school graduation, but to no avail. The school principal, petitioner Robert E. Lee, invited a rabbi to deliver prayers at the graduation exercises for Deborah's class. Rabbi Leslie Gutterman, of the Temple Beth El in Providence, accepted.</w:t>
      </w:r>
    </w:p>
    <w:p w:rsidR="00A31137" w:rsidRPr="00A31137" w:rsidRDefault="00A31137" w:rsidP="00A31137">
      <w:r w:rsidRPr="00A31137">
        <w:t>1992, Lee v. Weisman, 505 U.S. 581</w:t>
      </w:r>
    </w:p>
    <w:p w:rsidR="00A31137" w:rsidRPr="00A31137" w:rsidRDefault="00A31137" w:rsidP="00A31137">
      <w:r w:rsidRPr="00A31137">
        <w:t>It has been the custom of Providence school officials to provide invited clergy with a pamphlet entitled "Guidelines for Civic Occasions," prepared by the National Conference of Christians and Jews. The Guidelines recommend that public prayers at nonsectarian civic ceremonies be composed with "inclusiveness and sensitivity," though they acknowledge that "[p]rayer of any kind may be inappropriate on some civic occasions." App. 20-21. The principal gave Rabbi Gutterman the pamphlet before the graduation, and advised him the invocation and benediction should be nonsectarian. Agreed Statement of Facts ¶ 7, id. at 13.</w:t>
      </w:r>
    </w:p>
    <w:p w:rsidR="00A31137" w:rsidRPr="00A31137" w:rsidRDefault="00A31137" w:rsidP="00A31137">
      <w:r w:rsidRPr="00A31137">
        <w:t>1992, Lee v. Weisman, 505 U.S. 581</w:t>
      </w:r>
    </w:p>
    <w:p w:rsidR="00A31137" w:rsidRPr="00A31137" w:rsidRDefault="00A31137" w:rsidP="00A31137">
      <w:r w:rsidRPr="00A31137">
        <w:t>Rabbi Gutterman's prayers were as follows:</w:t>
      </w:r>
    </w:p>
    <w:p w:rsidR="00A31137" w:rsidRPr="00A31137" w:rsidRDefault="00A31137" w:rsidP="00A31137">
      <w:r w:rsidRPr="00A31137">
        <w:t>INVOCATION</w:t>
      </w:r>
    </w:p>
    <w:p w:rsidR="00A31137" w:rsidRPr="00A31137" w:rsidRDefault="00A31137" w:rsidP="00A31137">
      <w:r w:rsidRPr="00A31137">
        <w:t>1992, Lee v. Weisman, 505 U.S. 581</w:t>
      </w:r>
    </w:p>
    <w:p w:rsidR="00A31137" w:rsidRPr="00A31137" w:rsidRDefault="00A31137" w:rsidP="00A31137">
      <w:r w:rsidRPr="00A31137">
        <w:t>God of the Free, Hope of the Brave:</w:t>
      </w:r>
    </w:p>
    <w:p w:rsidR="00A31137" w:rsidRPr="00A31137" w:rsidRDefault="00A31137" w:rsidP="00A31137">
      <w:r w:rsidRPr="00A31137">
        <w:t>1992, Lee v. Weisman, 505 U.S. 581</w:t>
      </w:r>
    </w:p>
    <w:p w:rsidR="00A31137" w:rsidRPr="00A31137" w:rsidRDefault="00A31137" w:rsidP="00A31137">
      <w:r w:rsidRPr="00A31137">
        <w:t>For the legacy of America where diversity is celebrated and the rights of minorities are protected, we [505 U.S. 582] thank You. May these young men and women grow up to enrich it.</w:t>
      </w:r>
    </w:p>
    <w:p w:rsidR="00A31137" w:rsidRPr="00A31137" w:rsidRDefault="00A31137" w:rsidP="00A31137">
      <w:r w:rsidRPr="00A31137">
        <w:t>1992, Lee v. Weisman, 505 U.S. 582</w:t>
      </w:r>
    </w:p>
    <w:p w:rsidR="00A31137" w:rsidRPr="00A31137" w:rsidRDefault="00A31137" w:rsidP="00A31137">
      <w:r w:rsidRPr="00A31137">
        <w:t>For the liberty of America, we thank You. May these new graduates grow up to guard it.</w:t>
      </w:r>
    </w:p>
    <w:p w:rsidR="00A31137" w:rsidRPr="00A31137" w:rsidRDefault="00A31137" w:rsidP="00A31137">
      <w:r w:rsidRPr="00A31137">
        <w:t>1992, Lee v. Weisman, 505 U.S. 582</w:t>
      </w:r>
    </w:p>
    <w:p w:rsidR="00A31137" w:rsidRPr="00A31137" w:rsidRDefault="00A31137" w:rsidP="00A31137">
      <w:r w:rsidRPr="00A31137">
        <w:t>For the political process of America in which all its citizens may participate, for its court system where all may seek justice, we thank You. May those we honor this morning always turn to it in trust.</w:t>
      </w:r>
    </w:p>
    <w:p w:rsidR="00A31137" w:rsidRPr="00A31137" w:rsidRDefault="00A31137" w:rsidP="00A31137">
      <w:r w:rsidRPr="00A31137">
        <w:t>1992, Lee v. Weisman, 505 U.S. 582</w:t>
      </w:r>
    </w:p>
    <w:p w:rsidR="00A31137" w:rsidRPr="00A31137" w:rsidRDefault="00A31137" w:rsidP="00A31137">
      <w:r w:rsidRPr="00A31137">
        <w:t>For the destiny of America, we thank You. May the graduates of Nathan Bishop Middle School so live that they might help to share it.</w:t>
      </w:r>
    </w:p>
    <w:p w:rsidR="00A31137" w:rsidRPr="00A31137" w:rsidRDefault="00A31137" w:rsidP="00A31137">
      <w:r w:rsidRPr="00A31137">
        <w:t>1992, Lee v. Weisman, 505 U.S. 582</w:t>
      </w:r>
    </w:p>
    <w:p w:rsidR="00A31137" w:rsidRPr="00A31137" w:rsidRDefault="00A31137" w:rsidP="00A31137">
      <w:r w:rsidRPr="00A31137">
        <w:t>May our aspirations for our country and for these young people, who are our hope for the future, be richly fulfilled.</w:t>
      </w:r>
    </w:p>
    <w:p w:rsidR="00A31137" w:rsidRPr="00A31137" w:rsidRDefault="00A31137" w:rsidP="00A31137">
      <w:r w:rsidRPr="00A31137">
        <w:t>AMEN</w:t>
      </w:r>
    </w:p>
    <w:p w:rsidR="00A31137" w:rsidRPr="00A31137" w:rsidRDefault="00A31137" w:rsidP="00A31137">
      <w:r w:rsidRPr="00A31137">
        <w:t>BENEDICTION</w:t>
      </w:r>
    </w:p>
    <w:p w:rsidR="00A31137" w:rsidRPr="00A31137" w:rsidRDefault="00A31137" w:rsidP="00A31137">
      <w:r w:rsidRPr="00A31137">
        <w:t>1992, Lee v. Weisman, 505 U.S. 582</w:t>
      </w:r>
    </w:p>
    <w:p w:rsidR="00A31137" w:rsidRPr="00A31137" w:rsidRDefault="00A31137" w:rsidP="00A31137">
      <w:r w:rsidRPr="00A31137">
        <w:t>O God, we are grateful to You for having endowed us with the capacity for learning which we have celebrated on this joyous commencement.</w:t>
      </w:r>
    </w:p>
    <w:p w:rsidR="00A31137" w:rsidRPr="00A31137" w:rsidRDefault="00A31137" w:rsidP="00A31137">
      <w:r w:rsidRPr="00A31137">
        <w:t>1992, Lee v. Weisman, 505 U.S. 582</w:t>
      </w:r>
    </w:p>
    <w:p w:rsidR="00A31137" w:rsidRPr="00A31137" w:rsidRDefault="00A31137" w:rsidP="00A31137">
      <w:r w:rsidRPr="00A31137">
        <w:t>Happy families give thanks for seeing their children achieve an important milestone. Send Your blessings upon the teachers and administrators who helped prepare them.</w:t>
      </w:r>
    </w:p>
    <w:p w:rsidR="00A31137" w:rsidRPr="00A31137" w:rsidRDefault="00A31137" w:rsidP="00A31137">
      <w:r w:rsidRPr="00A31137">
        <w:t>1992, Lee v. Weisman, 505 U.S. 582</w:t>
      </w:r>
    </w:p>
    <w:p w:rsidR="00A31137" w:rsidRPr="00A31137" w:rsidRDefault="00A31137" w:rsidP="00A31137">
      <w:r w:rsidRPr="00A31137">
        <w:t>The graduates now need strength and guidance for the future; help them to understand that we are not complete with academic knowledge alone. We must each strive to fulfill what You require of us all: to do justly, to love mercy, to walk humbly.</w:t>
      </w:r>
    </w:p>
    <w:p w:rsidR="00A31137" w:rsidRPr="00A31137" w:rsidRDefault="00A31137" w:rsidP="00A31137">
      <w:r w:rsidRPr="00A31137">
        <w:t>1992, Lee v. Weisman, 505 U.S. 582</w:t>
      </w:r>
    </w:p>
    <w:p w:rsidR="00A31137" w:rsidRPr="00A31137" w:rsidRDefault="00A31137" w:rsidP="00A31137">
      <w:r w:rsidRPr="00A31137">
        <w:t>We give thanks to You, Lord, for keeping us alive, sustaining us, and allowing us to reach this special, happy occasion.</w:t>
      </w:r>
    </w:p>
    <w:p w:rsidR="00A31137" w:rsidRPr="00A31137" w:rsidRDefault="00A31137" w:rsidP="00A31137">
      <w:r w:rsidRPr="00A31137">
        <w:t>AMEN</w:t>
      </w:r>
    </w:p>
    <w:p w:rsidR="00A31137" w:rsidRPr="00A31137" w:rsidRDefault="00A31137" w:rsidP="00A31137">
      <w:r w:rsidRPr="00A31137">
        <w:t>1992, Lee v. Weisman, 505 U.S. 582</w:t>
      </w:r>
    </w:p>
    <w:p w:rsidR="00A31137" w:rsidRPr="00A31137" w:rsidRDefault="00A31137" w:rsidP="00A31137">
      <w:r w:rsidRPr="00A31137">
        <w:t xml:space="preserve">id. at 22-23. [505 U.S. 583] </w:t>
      </w:r>
    </w:p>
    <w:p w:rsidR="00A31137" w:rsidRPr="00A31137" w:rsidRDefault="00A31137" w:rsidP="00A31137">
      <w:r w:rsidRPr="00A31137">
        <w:t>1992, Lee v. Weisman, 505 U.S. 583</w:t>
      </w:r>
    </w:p>
    <w:p w:rsidR="00A31137" w:rsidRPr="00A31137" w:rsidRDefault="00A31137" w:rsidP="00A31137">
      <w:r w:rsidRPr="00A31137">
        <w:t>The record in this case is sparse in many respects, and we are unfamiliar with any fixed custom or practice at middle school graduations, referred to by the school district as "promotional exercises." We are not so constrained with reference to high schools, however. High school graduations are such an integral part of American cultural life that we can with confidence describe their customary features, confirmed by aspects of the record and by the parties' representations at oral argument. In the Providence school system, most high school graduation ceremonies are conducted away from the school, while most middle school ceremonies are held on school premises. Classical High School, which Deborah now attends, has conducted its graduation ceremonies on school premises. Agreed Statement of Facts ¶ 37, id. at 17. The parties stipulate that attendance at graduation ceremonies is voluntary. Agreed Statement of Facts ¶ 41, id. at 18. The graduating students enter as a group in a processional, subject to the direction of teachers and school officials, and sit together, apart from their families. We assume the clergy's participation in any high school graduation exercise would be about what it was at Deborah's middle school ceremony. There the students stood for the Pledge of Allegiance and remained standing during the Rabbi's prayers. Tr. of Oral Arg. 38. Even on the assumption that there was a respectful moment of silence both before and after the prayers, the Rabbi's two presentations must not have extended much beyond a minute each, if that. We do not know whether he remained on stage during the whole ceremony, or whether the students received individual diplomas on stage, or if he helped to congratulate them.</w:t>
      </w:r>
    </w:p>
    <w:p w:rsidR="00A31137" w:rsidRPr="00A31137" w:rsidRDefault="00A31137" w:rsidP="00A31137">
      <w:r w:rsidRPr="00A31137">
        <w:t>1992, Lee v. Weisman, 505 U.S. 583</w:t>
      </w:r>
    </w:p>
    <w:p w:rsidR="00A31137" w:rsidRPr="00A31137" w:rsidRDefault="00A31137" w:rsidP="00A31137">
      <w:r w:rsidRPr="00A31137">
        <w:t>The school board (and the United States, which supports it as amicus curie) argued that these short prayers and others like them at graduation exercises are of profound meaning to many students and parents throughout this country who consider that due respect and acknowledgement for divine guidance and for the deepest spiritual aspirations of [505 U.S. 584] our people ought to be expressed at an event as important in life as a graduation. We assume this to be so in addressing the difficult case now before us, for the significance of the prayers lies also at the heart of Daniel and Deborah Weisman's case.</w:t>
      </w:r>
    </w:p>
    <w:p w:rsidR="00A31137" w:rsidRPr="00A31137" w:rsidRDefault="00A31137" w:rsidP="00A31137">
      <w:r w:rsidRPr="00A31137">
        <w:t>B</w:t>
      </w:r>
    </w:p>
    <w:p w:rsidR="00A31137" w:rsidRPr="00A31137" w:rsidRDefault="00A31137" w:rsidP="00A31137">
      <w:r w:rsidRPr="00A31137">
        <w:t>1992, Lee v. Weisman, 505 U.S. 584</w:t>
      </w:r>
    </w:p>
    <w:p w:rsidR="00A31137" w:rsidRPr="00A31137" w:rsidRDefault="00A31137" w:rsidP="00A31137">
      <w:r w:rsidRPr="00A31137">
        <w:t>Deborah's graduation was held on the premises of Nathan Bishop Middle School on June 29, 1989. Four days before the ceremony, Daniel Weisman, in his individual capacity as a Providence taxpayer and as next friend of Deborah, sought a temporary restraining order in the United States District Court for the District of Rhode Island to prohibit school officials from including an invocation or benediction in the graduation ceremony. The court denied the motion for lack of adequate time to consider it. Deborah and her family attended the graduation, where the prayers were recited. In July, 1989, Daniel Weisman filed an amended complaint seeking a permanent injunction barring petitioners, various officials of the Providence public schools, from inviting the clergy to deliver invocations and benedictions at future graduations. We find it unnecessary to address Daniel Weisman's taxpayer standing, for a live and justiciable controversy is before us. Deborah Weisman is enrolled as a student at Classical High School in Providence and from the record it appears likely, if not certain, that an invocation and benediction will be conducted at her high school graduation. Agreed Statement of Facts ¶ 38, id. at 17.</w:t>
      </w:r>
    </w:p>
    <w:p w:rsidR="00A31137" w:rsidRPr="00A31137" w:rsidRDefault="00A31137" w:rsidP="00A31137">
      <w:r w:rsidRPr="00A31137">
        <w:t>1992, Lee v. Weisman, 505 U.S. 584</w:t>
      </w:r>
    </w:p>
    <w:p w:rsidR="00A31137" w:rsidRPr="00A31137" w:rsidRDefault="00A31137" w:rsidP="00A31137">
      <w:r w:rsidRPr="00A31137">
        <w:t>The case was submitted on stipulated facts. The District Court held that petitioners' practice of including invocations and benedictions in public school graduations violated the Establishment Clause of the First Amendment, and it enjoined petitioners from continuing the practice. 728 F.Supp. 68 (RI 1990). The court applied the three-part Establishment Clause test set forth in Lemon v. Kurtzman, 403 U.S. 602 (1971). Under that test as described in our past cases, to satisfy the Establishment Clause, a governmental [505 U.S. 585] practice must (1) reflect a clearly secular purpose; (2) have a primary effect that neither advances nor inhibits religion; and (3) avoid excessive government entanglement with religion. Committee for Public Education &amp; Religious Liberty v. Nyquist, 413 U.S. 756,  773 (1973). The District Court held that petitioners' actions violated the second part of the test, and so did not address either the first or the third. The court decided, based on its reading of our precedents, that the effects test of Lemon is violated whenever government action "creates an identification of the state with a religion, or with religion in general," 728 F.Supp. at 71, or when "the effect of the governmental action is to endorse one religion over another, or to endorse religion in general." Id. at 72. The court determined that the practice of including invocations and benedictions, even so-called nonsectarian ones, in public school graduations creates an identification of governmental power with religious practice, endorses religion, and violates the Establishment Clause. In so holding, the court expressed the determination not to follow Stein v. Plainwell Community Schools, 822 F.2d 1406 (1987), in which the Court of Appeals for the Sixth Circuit, relying on our decision in Marsh v. Chambers, 463 U.S. 783 (1983), held that benedictions and invocations at public school graduations are not always unconstitutional. In Marsh, we upheld the constitutionality of the Nebraska State Legislature's practice of opening each of its sessions with a prayer offered by a chaplain paid out of public funds. The District Court in this case disagreed with the Sixth Circuit's reasoning because it believed that Marsh was a narrow decision, "limited to the unique situation of legislative prayer," and did not have any relevance to school prayer cases. 728 F.Supp. at 74.</w:t>
      </w:r>
    </w:p>
    <w:p w:rsidR="00A31137" w:rsidRPr="00A31137" w:rsidRDefault="00A31137" w:rsidP="00A31137">
      <w:r w:rsidRPr="00A31137">
        <w:t>1992, Lee v. Weisman, 505 U.S. 585</w:t>
      </w:r>
    </w:p>
    <w:p w:rsidR="00A31137" w:rsidRPr="00A31137" w:rsidRDefault="00A31137" w:rsidP="00A31137">
      <w:r w:rsidRPr="00A31137">
        <w:t>On appeal, the United States Court of Appeals for the First Circuit affirmed. The majority opinion by Judge Torruella adopted the opinion of the District Court. 908 F.2d 1090 (1990). Judge Bownes joined the majority, but wrote a separate concurring opinion in which he decided that the [505 U.S. 586] practices challenged here violated all three parts of the Lemon test. Judge Bownes went on to agree with the District Court that Marsh had no application to school prayer cases, and that the Stein decision was flawed. He concluded by suggesting that, under Establishment Clause rules, no prayer, even one excluding any mention of the Deity, could be offered at a public school graduation ceremony. 908 F.2d at 1090-1097. Judge Campbell dissented, on the basis of Marsh and Stein. He reasoned that, if the prayers delivered were nonsectarian, and if school officials ensured that persons representing a variety of beliefs and ethical systems were invited to present invocations and benedictions, there was no violation of the Establishment Clause. 908 F.2d at 1099. We granted certiorari, 499 U.S. 918 (1991), and now affirm.</w:t>
      </w:r>
    </w:p>
    <w:p w:rsidR="00A31137" w:rsidRPr="00A31137" w:rsidRDefault="00A31137" w:rsidP="00A31137">
      <w:r w:rsidRPr="00A31137">
        <w:t>II</w:t>
      </w:r>
    </w:p>
    <w:p w:rsidR="00A31137" w:rsidRPr="00A31137" w:rsidRDefault="00A31137" w:rsidP="00A31137">
      <w:r w:rsidRPr="00A31137">
        <w:t>1992, Lee v. Weisman, 505 U.S. 586</w:t>
      </w:r>
    </w:p>
    <w:p w:rsidR="00A31137" w:rsidRPr="00A31137" w:rsidRDefault="00A31137" w:rsidP="00A31137">
      <w:r w:rsidRPr="00A31137">
        <w:t>These dominant facts mark and control the confines of our decision: State officials direct the performance of a formal religious exercise at promotional and graduation ceremonies for secondary schools. Even for those students who object to the religious exercise, their attendance and participation in the state-sponsored religious activity are, in a fair and real sense, obligatory, though the school district does not require attendance as a condition for receipt of the diploma.</w:t>
      </w:r>
    </w:p>
    <w:p w:rsidR="00A31137" w:rsidRPr="00A31137" w:rsidRDefault="00A31137" w:rsidP="00A31137">
      <w:r w:rsidRPr="00A31137">
        <w:t>1992, Lee v. Weisman, 505 U.S. 586</w:t>
      </w:r>
    </w:p>
    <w:p w:rsidR="00A31137" w:rsidRPr="00A31137" w:rsidRDefault="00A31137" w:rsidP="00A31137">
      <w:r w:rsidRPr="00A31137">
        <w:t>This case does not require us to revisit the difficult questions dividing us in recent cases, questions of the definition and full scope of the principles governing the extent of permitted accommodation by the State for the religious beliefs and practices of many of its citizens. See Allegheny County v. Greater Pittsburgh ACLU, 492 U.S. 573 (1989); Wallace v. Jaffree, 472 U.S. 38 (1985); Lynch v. Donnelly, 465 U.S. 668 (1984). For without reference to those principles in other contexts, the controlling precedents as they relate to prayer and religious exercise in primary and secondary public schools compel the holding here that the policy of the city of Providence is an [505 U.S. 587] unconstitutional one. We can decide the case without reconsidering the general constitutional framework by which public schools' efforts to accommodate religion are measured. Thus, we do not accept the invitation of petitioners and amicus the United States to reconsider our decision in Lemon v. Kurtzman, supra. The government involvement with religious activity in this case is pervasive, to the point of creating a state-sponsored and state-directed religious exercise in a public school. Conducting this formal religious observance conflicts with settled rules pertaining to prayer exercises for students, and that suffices to determine the question before us.</w:t>
      </w:r>
    </w:p>
    <w:p w:rsidR="00A31137" w:rsidRPr="00A31137" w:rsidRDefault="00A31137" w:rsidP="00A31137">
      <w:r w:rsidRPr="00A31137">
        <w:t>1992, Lee v. Weisman, 505 U.S. 587</w:t>
      </w:r>
    </w:p>
    <w:p w:rsidR="00A31137" w:rsidRPr="00A31137" w:rsidRDefault="00A31137" w:rsidP="00A31137">
      <w:r w:rsidRPr="00A31137">
        <w:t>The principle that government may accommodate the free exercise of religion does not supersede the fundamental limitations imposed by the Establishment Clause. It is beyond dispute that, at a minimum, the Constitution guarantees that government may not coerce anyone to support or participate in religion or its exercise, or otherwise act in a way which "establishes a [state] religion or religious faith, or tends to do so." Lynch, supra, at  678; see also Allegheny County, supra, 492 U.S. at  591, quoting Everson v. Board of Education of Ewing, 330 U.S. 1, 15-16 (1947). The State's involvement in the school prayers challenged today violates these central principles.</w:t>
      </w:r>
    </w:p>
    <w:p w:rsidR="00A31137" w:rsidRPr="00A31137" w:rsidRDefault="00A31137" w:rsidP="00A31137">
      <w:r w:rsidRPr="00A31137">
        <w:t>1992, Lee v. Weisman, 505 U.S. 587</w:t>
      </w:r>
    </w:p>
    <w:p w:rsidR="00A31137" w:rsidRPr="00A31137" w:rsidRDefault="00A31137" w:rsidP="00A31137">
      <w:r w:rsidRPr="00A31137">
        <w:t>That involvement is as troubling as it is undenied. A school official, the principal, decided that an invocation and a benediction should be given; this is a choice attributable to the State, and, from a constitutional perspective, it is as if a state statute decreed that the prayers must occur. The principal chose the religious participant, here a rabbi, and that choice is also attributable to the State. The reason for the choice of a rabbi is not disclosed by the record, but the potential for divisiveness over the choice of a particular member of the clergy to conduct the ceremony is apparent.</w:t>
      </w:r>
    </w:p>
    <w:p w:rsidR="00A31137" w:rsidRPr="00A31137" w:rsidRDefault="00A31137" w:rsidP="00A31137">
      <w:r w:rsidRPr="00A31137">
        <w:t>1992, Lee v. Weisman, 505 U.S. 587</w:t>
      </w:r>
    </w:p>
    <w:p w:rsidR="00A31137" w:rsidRPr="00A31137" w:rsidRDefault="00A31137" w:rsidP="00A31137">
      <w:r w:rsidRPr="00A31137">
        <w:t>Divisiveness, of course, can attend any state decision respecting religions, and neither its existence nor its potential [505 U.S. 588] necessarily invalidates the State's attempts to accommodate religion in all cases. The potential for divisiveness is of particular relevance here, though, because it centers around an overt religious exercise in a secondary school environment where, as we discuss below, see infra at 593-594, subtle coercive pressures exist, and where the student had no real alternative which would have allowed her to avoid the fact or appearance of participation.</w:t>
      </w:r>
    </w:p>
    <w:p w:rsidR="00A31137" w:rsidRPr="00A31137" w:rsidRDefault="00A31137" w:rsidP="00A31137">
      <w:r w:rsidRPr="00A31137">
        <w:t>1992, Lee v. Weisman, 505 U.S. 588</w:t>
      </w:r>
    </w:p>
    <w:p w:rsidR="00A31137" w:rsidRPr="00A31137" w:rsidRDefault="00A31137" w:rsidP="00A31137">
      <w:r w:rsidRPr="00A31137">
        <w:t>The State's role did not end with the decision to include a prayer and with the choice of clergyman. Principal Lee provided Rabbi Gutterman with a copy of the "Guidelines for Civic Occasions" and advised him that his prayers should be nonsectarian. Through these means, the principal directed and controlled the content of the prayer. Even if the only sanction for ignoring the instructions were that the rabbi would not be invited back, we think no religious representative who valued his or her continued reputation and effectiveness in the community would incur the State's displeasure in this regard. It is a cornerstone principle of our Establishment Clause jurisprudence that</w:t>
      </w:r>
    </w:p>
    <w:p w:rsidR="00A31137" w:rsidRPr="00A31137" w:rsidRDefault="00A31137" w:rsidP="00A31137">
      <w:r w:rsidRPr="00A31137">
        <w:t>1992, Lee v. Weisman, 505 U.S. 588</w:t>
      </w:r>
    </w:p>
    <w:p w:rsidR="00A31137" w:rsidRPr="00A31137" w:rsidRDefault="00A31137" w:rsidP="00A31137">
      <w:r w:rsidRPr="00A31137">
        <w:t>it is no part of the business of government to compose official prayers for any group of the American people to recite as a part of a religious program carried on by government,</w:t>
      </w:r>
    </w:p>
    <w:p w:rsidR="00A31137" w:rsidRPr="00A31137" w:rsidRDefault="00A31137" w:rsidP="00A31137">
      <w:r w:rsidRPr="00A31137">
        <w:t>1992, Lee v. Weisman, 505 U.S. 588</w:t>
      </w:r>
    </w:p>
    <w:p w:rsidR="00A31137" w:rsidRPr="00A31137" w:rsidRDefault="00A31137" w:rsidP="00A31137">
      <w:r w:rsidRPr="00A31137">
        <w:t>Engel v. Vitale, 370 U.S. 421,  425 (1962), and that is what the school officials attempted to do.</w:t>
      </w:r>
    </w:p>
    <w:p w:rsidR="00A31137" w:rsidRPr="00A31137" w:rsidRDefault="00A31137" w:rsidP="00A31137">
      <w:r w:rsidRPr="00A31137">
        <w:t>1992, Lee v. Weisman, 505 U.S. 588</w:t>
      </w:r>
    </w:p>
    <w:p w:rsidR="00A31137" w:rsidRPr="00A31137" w:rsidRDefault="00A31137" w:rsidP="00A31137">
      <w:r w:rsidRPr="00A31137">
        <w:t>Petitioners argue, and we find nothing in the case to refute it, that the directions for the content of the prayers were a good-faith attempt by the school to ensure that the sectarianism which is so often the flashpoint for religious animosity be removed from the graduation ceremony. The concern is understandable, as a prayer which uses ideas or images identified with a particular religion may foster a different sort of sectarian rivalry than an invocation or benediction in terms more neutral. The school's explanation, however, does not resolve the dilemma caused by its participation. The question is not the good faith of the school in attempting to make [505 U.S. 589] the prayer acceptable to most persons, but the legitimacy of its undertaking that enterprise at all when the object is to produce a prayer to be used in a formal religious exercise which students, for all practical purposes are obliged to attend.</w:t>
      </w:r>
    </w:p>
    <w:p w:rsidR="00A31137" w:rsidRPr="00A31137" w:rsidRDefault="00A31137" w:rsidP="00A31137">
      <w:r w:rsidRPr="00A31137">
        <w:t>1992, Lee v. Weisman, 505 U.S. 589</w:t>
      </w:r>
    </w:p>
    <w:p w:rsidR="00A31137" w:rsidRPr="00A31137" w:rsidRDefault="00A31137" w:rsidP="00A31137">
      <w:r w:rsidRPr="00A31137">
        <w:t>We are asked to recognize the existence of a practice of nonsectarian prayer, prayer within the embrace of what is known as the Judeo-Christian tradition, prayer which is more acceptable than one which, for example, makes explicit references to the God of Israel, or to Jesus Christ, or to a patron saint. There may be some support, as an empirical observation, to the statement of the Court of Appeals for the Sixth Circuit, picked up by Judge Campbell's dissent in the Court of Appeals in this case, that there has emerged in this country a civic religion, one which is tolerated when sectarian exercises are not. Stein, 822 F.2d at 1409; 908 F.2d 1090, 1098-1099 (CA1 1990) (Campbell, J., dissenting) (case below); see also Note, Civil Religion and the Establishment Clause, 95 Yale L.J. 1237 (1986). If common ground can be defined which permits once conflicting faiths to express the shared conviction that there is an ethic and a morality which transcend human invention, the sense of community and purpose sought by all decent societies might be advanced. But though the First Amendment does not allow the government to stifle prayers which aspire to these ends, neither does it permit the government to undertake that task for itself.</w:t>
      </w:r>
    </w:p>
    <w:p w:rsidR="00A31137" w:rsidRPr="00A31137" w:rsidRDefault="00A31137" w:rsidP="00A31137">
      <w:r w:rsidRPr="00A31137">
        <w:t>1992, Lee v. Weisman, 505 U.S. 589</w:t>
      </w:r>
    </w:p>
    <w:p w:rsidR="00A31137" w:rsidRPr="00A31137" w:rsidRDefault="00A31137" w:rsidP="00A31137">
      <w:r w:rsidRPr="00A31137">
        <w:t>The First Amendment's Religion Clauses mean that religious beliefs and religious expression are too precious to be either proscribed or prescribed by the State. The design of the Constitution is that preservation and transmission of religious beliefs and worship is a responsibility and a choice committed to the private sphere, which itself is promised freedom to pursue that mission. It must not be forgotten, then, that, while concern must be given to define the protection granted to an objector or a dissenting nonbeliever, these same Clauses exist to protect religion from government interference. [505 U.S. 590] James Madison, the principal author of the Bill of Rights, did not rest his opposition to a religious establishment on the sole ground of its effect on the minority. A principal ground for his view was:</w:t>
      </w:r>
    </w:p>
    <w:p w:rsidR="00A31137" w:rsidRPr="00A31137" w:rsidRDefault="00A31137" w:rsidP="00A31137">
      <w:r w:rsidRPr="00A31137">
        <w:t>1992, Lee v. Weisman, 505 U.S. 590</w:t>
      </w:r>
    </w:p>
    <w:p w:rsidR="00A31137" w:rsidRPr="00A31137" w:rsidRDefault="00A31137" w:rsidP="00A31137">
      <w:r w:rsidRPr="00A31137">
        <w:t>[E]xperience witnesseth that ecclesiastical establishments, instead of maintaining the purity and efficacy of Religion, have had a contrary operation.</w:t>
      </w:r>
    </w:p>
    <w:p w:rsidR="00A31137" w:rsidRPr="00A31137" w:rsidRDefault="00A31137" w:rsidP="00A31137">
      <w:r w:rsidRPr="00A31137">
        <w:t>1992, Lee v. Weisman, 505 U.S. 590</w:t>
      </w:r>
    </w:p>
    <w:p w:rsidR="00A31137" w:rsidRPr="00A31137" w:rsidRDefault="00A31137" w:rsidP="00A31137">
      <w:r w:rsidRPr="00A31137">
        <w:t>Memorial and Remonstrance Against Religious Assessments (1785), in 8 Papers of James Madison 301 (W. Rachal, R. Rutland, B. Ripel, &amp; F. Teute eds.1973).</w:t>
      </w:r>
    </w:p>
    <w:p w:rsidR="00A31137" w:rsidRPr="00A31137" w:rsidRDefault="00A31137" w:rsidP="00A31137">
      <w:r w:rsidRPr="00A31137">
        <w:t>1992, Lee v. Weisman, 505 U.S. 590</w:t>
      </w:r>
    </w:p>
    <w:p w:rsidR="00A31137" w:rsidRPr="00A31137" w:rsidRDefault="00A31137" w:rsidP="00A31137">
      <w:r w:rsidRPr="00A31137">
        <w:t>These concerns have particular application in the case of school officials, whose effort to monitor prayer will be perceived by the students as inducing a participation they might otherwise reject. Though the efforts of the school officials in this case to find common ground appear to have been a good faith attempt to recognize the common aspects of religions, and not the divisive ones, our precedents do not permit school officials to assist in composing prayers as an incident to a formal exercise for their students. Engel v. Vitale, supra, 370 U.S. at  425. And these same precedents caution us to measure the idea of a civic religion against the central meaning of the Religion Clauses of the First Amendment, which is that all creeds must be tolerated, and none favored. The suggestion that government may establish an official or civic religion as a means of avoiding the establishment of a religion with more specific creeds strikes us as a contradiction that cannot be accepted.</w:t>
      </w:r>
    </w:p>
    <w:p w:rsidR="00A31137" w:rsidRPr="00A31137" w:rsidRDefault="00A31137" w:rsidP="00A31137">
      <w:r w:rsidRPr="00A31137">
        <w:t>1992, Lee v. Weisman, 505 U.S. 590</w:t>
      </w:r>
    </w:p>
    <w:p w:rsidR="00A31137" w:rsidRPr="00A31137" w:rsidRDefault="00A31137" w:rsidP="00A31137">
      <w:r w:rsidRPr="00A31137">
        <w:t>The degree of school involvement here made it clear that the graduation prayers bore the imprint of the State, and thus put school-age children who objected in an untenable position. We turn our attention now to consider the position of the students, both those who desired the prayer and she who did not.</w:t>
      </w:r>
    </w:p>
    <w:p w:rsidR="00A31137" w:rsidRPr="00A31137" w:rsidRDefault="00A31137" w:rsidP="00A31137">
      <w:r w:rsidRPr="00A31137">
        <w:t>1992, Lee v. Weisman, 505 U.S. 590</w:t>
      </w:r>
    </w:p>
    <w:p w:rsidR="00A31137" w:rsidRPr="00A31137" w:rsidRDefault="00A31137" w:rsidP="00A31137">
      <w:r w:rsidRPr="00A31137">
        <w:t>To endure the speech of false ideas or offensive content and then to counter it is part of learning how to live in a pluralistic society, a society which insists upon open discourse towards the end of a tolerant citizenry. And tolerance [505 U.S. 591] presupposes some mutuality of obligation. It is argued that our constitutional vision of a free society requires confidence in our own ability to accept or reject ideas of which we do not approve, and that prayer at a high school graduation does nothing more than offer a choice. By the time they are seniors, high school students no doubt have been required to attend classes and assemblies and to complete assignments exposing them to ideas they find distasteful or immoral or absurd, or all of these. Against this background, students may consider it an odd measure of justice to be subjected during the course of their educations to ideas deemed offensive and irreligious, but to be denied a brief, formal prayer ceremony that the school offers in return. This argument cannot prevail, however. It overlooks a fundamental dynamic of the Constitution.</w:t>
      </w:r>
    </w:p>
    <w:p w:rsidR="00A31137" w:rsidRPr="00A31137" w:rsidRDefault="00A31137" w:rsidP="00A31137">
      <w:r w:rsidRPr="00A31137">
        <w:t>1992, Lee v. Weisman, 505 U.S. 591</w:t>
      </w:r>
    </w:p>
    <w:p w:rsidR="00A31137" w:rsidRPr="00A31137" w:rsidRDefault="00A31137" w:rsidP="00A31137">
      <w:r w:rsidRPr="00A31137">
        <w:t>The First Amendment protects speech and religion by quite different mechanisms. Speech is protected by insuring its full expression even when the government participates, for the very object of some of our most important speech is to persuade the government to adopt an idea as its own. Meese v. Keene, 481 U.S. 465, 480-481 (1987); see also Keller v. State Bar of California, 496 U.S. 1, 10-11 (1990); Abood v. Detroit Board of Education, 431 U.S. 209 (1977). The method for protecting freedom of worship and freedom of conscience in religious matters is quite the reverse. In religious debate or expression, the government is not a prime participant, for the Framers deemed religious establishment antithetical to the freedom of all. The Free Exercise Clause embraces a freedom of conscience and worship that has close parallels in the speech provisions of the First Amendment, but the Establishment Clause is a specific prohibition on forms of state intervention in religious affairs, with no precise counterpart in the speech provisions. Buckley v. Valeo, 424 U.S. 1, 92-93, and n. 127 (1976) (per curiam). The explanation lies in the lesson of history that was and is the inspiration for the Establishment Clause, the lesson that, in [505 U.S. 592] the hands of government, what might begin as a tolerant expression of religious views may end in a policy to indoctrinate and coerce. A state-created orthodoxy puts at grave risk that freedom of belief and conscience which are the sole assurance that religious faith is real, not imposed.</w:t>
      </w:r>
    </w:p>
    <w:p w:rsidR="00A31137" w:rsidRPr="00A31137" w:rsidRDefault="00A31137" w:rsidP="00A31137">
      <w:r w:rsidRPr="00A31137">
        <w:t>1992, Lee v. Weisman, 505 U.S. 592</w:t>
      </w:r>
    </w:p>
    <w:p w:rsidR="00A31137" w:rsidRPr="00A31137" w:rsidRDefault="00A31137" w:rsidP="00A31137">
      <w:r w:rsidRPr="00A31137">
        <w:t>The lessons of the First Amendment are as urgent in the modern world as in the 18th Century, when it was written. One timeless lesson is that, if citizens are subjected to state-sponsored religious exercises, the State disavows its own duty to guard and respect that sphere of inviolable conscience and belief which is the mark of a free people. To compromise that principle today would be to deny our own tradition and forfeit our standing to urge others to secure the protections of that tradition for themselves.</w:t>
      </w:r>
    </w:p>
    <w:p w:rsidR="00A31137" w:rsidRPr="00A31137" w:rsidRDefault="00A31137" w:rsidP="00A31137">
      <w:r w:rsidRPr="00A31137">
        <w:t>1992, Lee v. Weisman, 505 U.S. 592</w:t>
      </w:r>
    </w:p>
    <w:p w:rsidR="00A31137" w:rsidRPr="00A31137" w:rsidRDefault="00A31137" w:rsidP="00A31137">
      <w:r w:rsidRPr="00A31137">
        <w:t xml:space="preserve">As we have observed before, there are heightened concerns with protecting freedom of conscience from subtle coercive pressure in the elementary and secondary public schools. See, e.g., Abington School District v. Schempp, 374 U.S. 203,  307 (1963) (Goldberg, J., concurring); Edward v. Aguillard, 482 U.S. 578,  584 (1987); Westside Community Bd. of Ed v. Mergens, 496 U.S. 226, 261-262 (1990) (KENNEDY, J., concurring). Our decisions in Engel v. Vitale, 370 U.S. 421 (1962), and Abington School District, supra, recognize, among other things, that prayer exercises in public schools carry a particular risk of indirect coercion. The concern may not be limited to the context of schools, but it is most pronounced there. See Allegheny County v. Greater Pittsburgh ACLU, 492 U.S. at  661 (KENNEDY, J., concurring in judgment in part and dissenting in part). What to most believers may seem nothing more than a reasonable request that the nonbeliever respect their religious practices, in a school context may appear to the nonbeliever or dissenter to be an attempt to employ the machinery of the State to enforce a religious orthodoxy. [505 U.S. 593] </w:t>
      </w:r>
    </w:p>
    <w:p w:rsidR="00A31137" w:rsidRPr="00A31137" w:rsidRDefault="00A31137" w:rsidP="00A31137">
      <w:r w:rsidRPr="00A31137">
        <w:t>1992, Lee v. Weisman, 505 U.S. 593</w:t>
      </w:r>
    </w:p>
    <w:p w:rsidR="00A31137" w:rsidRPr="00A31137" w:rsidRDefault="00A31137" w:rsidP="00A31137">
      <w:r w:rsidRPr="00A31137">
        <w:t>We need not look beyond the circumstances of this case to see the phenomenon at work. The undeniable fact is that the school district's supervision and control of a high school graduation ceremony places public pressure, as well as peer pressure, on attending students to stand as a group or, at least, maintain respectful silence during the Invocation and Benediction. This pressure, though subtle and indirect, can be as real as any overt compulsion. Of course, in our culture, standing or remaining silent can signify adherence to a view or simple respect for the views of others. And no doubt some persons who have no desire to join a prayer have little objection to standing as a sign of respect for those who do. But for the dissenter of high school age, who has a reasonable perception that she is being forced by the State to pray in a manner her conscience will not allow, the injury is no less real. There can be no doubt that for many, if not most, of the students at the graduation, the act of standing or remaining silent was an expression of participation in the Rabbi's prayer. That was the very point of the religious exercise. It is of little comfort to a dissenter, then, to be told that, for her, the act of standing or remaining in silence signifies mere respect, rather than participation. What matters is that, given our social conventions, a reasonable dissenter in this milieu could believe that the group exercise signified her own participation or approval of it.</w:t>
      </w:r>
    </w:p>
    <w:p w:rsidR="00A31137" w:rsidRPr="00A31137" w:rsidRDefault="00A31137" w:rsidP="00A31137">
      <w:r w:rsidRPr="00A31137">
        <w:t>1992, Lee v. Weisman, 505 U.S. 593</w:t>
      </w:r>
    </w:p>
    <w:p w:rsidR="00A31137" w:rsidRPr="00A31137" w:rsidRDefault="00A31137" w:rsidP="00A31137">
      <w:r w:rsidRPr="00A31137">
        <w:t>Finding no violation under these circumstances would place objectors in the dilemma of participating, with all that implies, or protesting. We do not address whether that choice is acceptable if the affected citizens are mature adults, but we think the State may not, consistent with the Establishment Clause, place primary and secondary school children in this position. Research in psychology supports the common assumption that adolescents are often susceptible to pressure from their peers towards conformity, and that the influence is strongest in matters of social convention. Brittain, Adolescent Choices and Parent-Peer Cross-Pressures, [505 U.S. 594] 28 Am.Sociological Rev. 385 (June 1963); Clasen &amp; Brown, The Multidimensionality of Peer Pressure in Adolescence, 14 J. of Youth and Adolescence 451 (Dec.1985); Brown, Clasen, &amp; Eicher, Perceptions of Peer Pressure, Peer Conformity Dispositions, and Self-Reported Behavior Among Adolescents, 22 Developmental Psychology 521 (July 1986). To recognize that the choice imposed by the State constitutes an unacceptable constraint only acknowledges that the government may no more use social pressure to enforce orthodoxy than it may use more direct means.</w:t>
      </w:r>
    </w:p>
    <w:p w:rsidR="00A31137" w:rsidRPr="00A31137" w:rsidRDefault="00A31137" w:rsidP="00A31137">
      <w:r w:rsidRPr="00A31137">
        <w:t>1992, Lee v. Weisman, 505 U.S. 594</w:t>
      </w:r>
    </w:p>
    <w:p w:rsidR="00A31137" w:rsidRPr="00A31137" w:rsidRDefault="00A31137" w:rsidP="00A31137">
      <w:r w:rsidRPr="00A31137">
        <w:t>The injury caused by the government's action, and the reason why Daniel and Deborah Weisman object to it, is that the State, in a school setting, in effect required participation in a religious exercise. It is, we concede, a brief exercise during which the individual can concentrate on joining its message, meditate on her own religion, or let her mind wander. But the embarrassment and the intrusion of the religious exercise cannot be refuted by arguing that these prayers, and similar ones to be said in the future, are of a de minimis character. To do so would be an affront to the Rabbi who offered them and to all those for whom the prayers were an essential and profound recognition of divine authority. And for the same reason, we think that the intrusion is greater than the two minutes or so of time consumed for prayers like these. Assuming, as we must, that the prayers were offensive to the student and the parent who now object, the intrusion was both real and, in the context of a secondary school, a violation of the objectors' rights. That the intrusion was in the course of promulgating religion that sought to be civic or nonsectarian, rather than pertaining to one sect, does not lessen the offense or isolation to the objectors. At best it narrows their number, at worst, increases their sense of isolation and affront.  See supra at  593.</w:t>
      </w:r>
    </w:p>
    <w:p w:rsidR="00A31137" w:rsidRPr="00A31137" w:rsidRDefault="00A31137" w:rsidP="00A31137">
      <w:r w:rsidRPr="00A31137">
        <w:t>1992, Lee v. Weisman, 505 U.S. 594</w:t>
      </w:r>
    </w:p>
    <w:p w:rsidR="00A31137" w:rsidRPr="00A31137" w:rsidRDefault="00A31137" w:rsidP="00A31137">
      <w:r w:rsidRPr="00A31137">
        <w:t>There was a stipulation in the District Court that attendance at graduation and promotional ceremonies is voluntary. Statement of Agreed Facts ¶ 41, App. 18. Petitioners and [505 U.S. 595] the United States, as amicus, made this a center point of the case, arguing that the option of not attending the graduation excuses any inducement or coercion in the ceremony itself. The argument lacks all persuasion. Law reaches past formalism. And to say a teenage student has a real choice not to attend her high school graduation is formalistic in the extreme. True, Deborah could elect not to attend commencement without renouncing her diploma; but we shall not allow the case to turn on this point. Everyone knows that, in our society and in our culture, high school graduation is one of life's most significant occasions. A school rule which excuses attendance is beside the point. Attendance may not be required by official decree, yet it is apparent that a student is not free to absent herself from the graduation exercise in any real sense of the term "voluntary," for absence would require forfeiture of those intangible benefits which have motivated the student through youth and all her high school years. Graduation is a time for family and those closest to the student to celebrate success and express mutual wishes of gratitude and respect, all to the end of impressing upon the young person the role that it is his or her right and duty to assume in the community and all of its diverse parts.</w:t>
      </w:r>
    </w:p>
    <w:p w:rsidR="00A31137" w:rsidRPr="00A31137" w:rsidRDefault="00A31137" w:rsidP="00A31137">
      <w:r w:rsidRPr="00A31137">
        <w:t>1992, Lee v. Weisman, 505 U.S. 595</w:t>
      </w:r>
    </w:p>
    <w:p w:rsidR="00A31137" w:rsidRPr="00A31137" w:rsidRDefault="00A31137" w:rsidP="00A31137">
      <w:r w:rsidRPr="00A31137">
        <w:t>The importance of the event is the point the school district and the United States rely upon to argue that a formal prayer ought to be permitted, but it becomes one of the principal reasons why their argument must fail. Their contention, one of considerable force were it not for the constitutional constraints applied to state action, is that the prayers are an essential part of these ceremonies because, for many persons, an occasion of this significance lacks meaning if there is no recognition, however brief, that human achievements cannot be understood apart from their spiritual essence. We think the Government's position that this interest suffices to force students to choose between compliance or forfeiture demonstrates fundamental inconsistency in its argumentation. It fails to acknowledge that what for many of [505 U.S. 596] Deborah's classmates and their parents was a spiritual imperative was, for Daniel and Deborah Weisman, religious conformance compelled by the State. While in some societies the wishes of the majority might prevail, the Establishment Clause of the First Amendment is addressed to this contingency, and rejects the balance urged upon us. The Constitution forbids the State to exact religious conformity from a student as the price of attending her own high school graduation. This is the calculus the Constitution commands.</w:t>
      </w:r>
    </w:p>
    <w:p w:rsidR="00A31137" w:rsidRPr="00A31137" w:rsidRDefault="00A31137" w:rsidP="00A31137">
      <w:r w:rsidRPr="00A31137">
        <w:t>1992, Lee v. Weisman, 505 U.S. 596</w:t>
      </w:r>
    </w:p>
    <w:p w:rsidR="00A31137" w:rsidRPr="00A31137" w:rsidRDefault="00A31137" w:rsidP="00A31137">
      <w:r w:rsidRPr="00A31137">
        <w:t>The Government's argument gives insufficient recognition to the real conflict of conscience faced by the young student. The essence of the Government's position is that, with regard to a civic, social occasion of this importance, it is the objector, not the majority, who must take unilateral and private action to avoid compromising religious scruples, here by electing to miss the graduation exercise. This turns conventional First Amendment analysis on its head. It is a tenet of the First Amendment that the State cannot require one of its citizens to forfeit his or her rights and benefits as the price of resisting conformance to state-sponsored religious practice. To say that a student must remain apart from the ceremony at the opening invocation and closing benediction is to risk compelling conformity in an environment analogous to the classroom setting, where we have said the risk of compulsion is especially high. See supra at 593-594. Just as, in Engel v. Vitale, 370 U.S. at  430, and Abington School District v. Schempp, 374 U.S. at 224-225, we found that provisions within the challenged legislation permitting a student to be voluntarily excused from attendance or participation in the daily prayers did not shield those practices from invalidation, the fact that attendance at the graduation ceremonies is voluntary in a legal sense does not save the religious exercise.</w:t>
      </w:r>
    </w:p>
    <w:p w:rsidR="00A31137" w:rsidRPr="00A31137" w:rsidRDefault="00A31137" w:rsidP="00A31137">
      <w:r w:rsidRPr="00A31137">
        <w:t>1992, Lee v. Weisman, 505 U.S. 596</w:t>
      </w:r>
    </w:p>
    <w:p w:rsidR="00A31137" w:rsidRPr="00A31137" w:rsidRDefault="00A31137" w:rsidP="00A31137">
      <w:r w:rsidRPr="00A31137">
        <w:t>Inherent differences between the public school system and a session of a State Legislature distinguish this case from Marsh v. Chambers, 463 U.S. 783 (1983). The considerations [505 U.S. 597] we have raised in objection to the invocation and benediction are, in many respects, similar to the arguments we considered in Marsh. But there are also obvious differences. The atmosphere at the opening of a session of a state legislature, where adults are free to enter and leave with little comment and for any number of reasons, cannot compare with the constraining potential of the one school event most important for the student to attend. The influence and force of a formal exercise in a school graduation are far greater than the prayer exercise we condoned in Marsh. The Marsh majority in fact gave specific recognition to this distinction, and placed particular reliance on it in upholding the prayers at issue there. 463 U.S. at  792. Today's case is different. At a high school graduation, teachers and principals must and do retain a high degree of control over the precise contents of the program, the speeches, the timing, the movements, the dress, and the decorum of the students. Bethel School Dist. No. 403 v. Fraser, 478 U.S. 675 (1986). In this atmosphere, the state-imposed character of an invocation and benediction by clergy selected by the school combine to make the prayer a state-sanctioned religious exercise in which the student was left with no alternative but to submit. This is different from Marsh, and suffices to make the religious exercise a First Amendment violation. Our Establishment Clause jurisprudence remains a delicate and fact-sensitive one, and we cannot accept the parallel relied upon by petitioners and the United States between the facts of Marsh and the case now before us. Our decisions in Engel v. Vitale, supra, and Abington School District v. Schempp, supra, require us to distinguish the public school context.</w:t>
      </w:r>
    </w:p>
    <w:p w:rsidR="00A31137" w:rsidRPr="00A31137" w:rsidRDefault="00A31137" w:rsidP="00A31137">
      <w:r w:rsidRPr="00A31137">
        <w:t>1992, Lee v. Weisman, 505 U.S. 597</w:t>
      </w:r>
    </w:p>
    <w:p w:rsidR="00A31137" w:rsidRPr="00A31137" w:rsidRDefault="00A31137" w:rsidP="00A31137">
      <w:r w:rsidRPr="00A31137">
        <w:t>We do not hold that every state action implicating religion is invalid if one or a few citizens find it offensive. People may take offense at all manner of religious as well as nonreligious messages, but offense alone does not in every case show a violation. We know too that sometimes to endure [505 U.S. 598] social isolation or even anger may be the price of conscience or nonconformity. But, by any reading of our cases, the conformity required of the student in this case was too high an exaction to withstand the test of the Establishment Clause. The prayer exercises in this case are especially improper because the State has in every practical sense compelled attendance and participation in an explicit religious exercise at an event of singular importance to every student, one the objecting student had no real alternative to avoid.</w:t>
      </w:r>
    </w:p>
    <w:p w:rsidR="00A31137" w:rsidRPr="00A31137" w:rsidRDefault="00A31137" w:rsidP="00A31137">
      <w:r w:rsidRPr="00A31137">
        <w:t>1992, Lee v. Weisman, 505 U.S. 598</w:t>
      </w:r>
    </w:p>
    <w:p w:rsidR="00A31137" w:rsidRPr="00A31137" w:rsidRDefault="00A31137" w:rsidP="00A31137">
      <w:r w:rsidRPr="00A31137">
        <w:t>Our jurisprudence in this area is of necessity one of line-drawing, of determining at what point a dissenter's rights of religious freedom are infringed by the State.</w:t>
      </w:r>
    </w:p>
    <w:p w:rsidR="00A31137" w:rsidRPr="00A31137" w:rsidRDefault="00A31137" w:rsidP="00A31137">
      <w:r w:rsidRPr="00A31137">
        <w:t>1992, Lee v. Weisman, 505 U.S. 598</w:t>
      </w:r>
    </w:p>
    <w:p w:rsidR="00A31137" w:rsidRPr="00A31137" w:rsidRDefault="00A31137" w:rsidP="00A31137">
      <w:r w:rsidRPr="00A31137">
        <w:t>The First Amendment does not prohibit practices which, by any realistic measure, create none of the dangers which it is designed to prevent, and which do not so directly or substantially involve the state in religious exercises or in the favoring of religion as to have meaningful and practical impact. It is, of course, true that great consequences can grow from small beginnings, but the measure of constitutional adjudication is the ability and willingness to distinguish between real threat and mere shadow.</w:t>
      </w:r>
      <w:r w:rsidRPr="00A31137">
        <w:cr/>
      </w:r>
    </w:p>
    <w:p w:rsidR="00A31137" w:rsidRPr="00A31137" w:rsidRDefault="00A31137" w:rsidP="00A31137">
      <w:r w:rsidRPr="00A31137">
        <w:t>1992, Lee v. Weisman, 505 U.S. 598</w:t>
      </w:r>
    </w:p>
    <w:p w:rsidR="00A31137" w:rsidRPr="00A31137" w:rsidRDefault="00A31137" w:rsidP="00A31137">
      <w:r w:rsidRPr="00A31137">
        <w:t>Abington School District v. Schempp, supra, 374 U.S. at  308 (Goldberg, J., concurring).</w:t>
      </w:r>
    </w:p>
    <w:p w:rsidR="00A31137" w:rsidRPr="00A31137" w:rsidRDefault="00A31137" w:rsidP="00A31137">
      <w:r w:rsidRPr="00A31137">
        <w:t>1992, Lee v. Weisman, 505 U.S. 598</w:t>
      </w:r>
    </w:p>
    <w:p w:rsidR="00A31137" w:rsidRPr="00A31137" w:rsidRDefault="00A31137" w:rsidP="00A31137">
      <w:r w:rsidRPr="00A31137">
        <w:t>Our society would be less than true to its heritage if it lacked abiding concern for the values of its young people, and we acknowledge the profound belief of adherents to many faiths that there must be a place in the student's life for precepts of a morality higher even than the law we today enforce. We express no hostility to those aspirations, nor would our oath permit us to do so. A relentless and all-pervasive attempt to exclude religion from every aspect of public life could itself become inconsistent with the Constitution. See Abington School District, supra, at  306 (Goldberg, J., concurring). We recognize that, at graduation time and throughout the course of the educational process, there will [505 U.S. 599] be instances when religious values, religious practices, and religious persons will have some interaction with the public schools and their students. See Westside Community Bd. of Ed v. Mergens, 496 U.S. 226 (1990). But these matters, often questions of accommodation of religion, are not before us. The sole question presented is whether a religious exercise may be conducted at a graduation ceremony in circumstances where, as we have found, young graduates who object are induced to conform. No holding by this Court suggests that a school can persuade or compel a student to participate in a religious exercise. That is being done here, and it is forbidden by the Establishment Clause of the First Amendment.</w:t>
      </w:r>
    </w:p>
    <w:p w:rsidR="00A31137" w:rsidRPr="00A31137" w:rsidRDefault="00A31137" w:rsidP="00A31137">
      <w:r w:rsidRPr="00A31137">
        <w:t>1992, Lee v. Weisman, 505 U.S. 599</w:t>
      </w:r>
    </w:p>
    <w:p w:rsidR="00A31137" w:rsidRPr="00A31137" w:rsidRDefault="00A31137" w:rsidP="00A31137">
      <w:r w:rsidRPr="00A31137">
        <w:t>For the reasons we have stated, the judgment of the Court of Appeals is</w:t>
      </w:r>
    </w:p>
    <w:p w:rsidR="00A31137" w:rsidRPr="00A31137" w:rsidRDefault="00A31137" w:rsidP="00A31137">
      <w:r w:rsidRPr="00A31137">
        <w:t>1992, Lee v. Weisman, 505 U.S. 599</w:t>
      </w:r>
    </w:p>
    <w:p w:rsidR="00A31137" w:rsidRPr="00A31137" w:rsidRDefault="00A31137" w:rsidP="00A31137">
      <w:r w:rsidRPr="00A31137">
        <w:t>Affirmed.</w:t>
      </w:r>
    </w:p>
    <w:p w:rsidR="00A31137" w:rsidRPr="00A31137" w:rsidRDefault="00A31137" w:rsidP="00A31137">
      <w:r w:rsidRPr="00A31137">
        <w:t>BLACKMUN, J., concurring</w:t>
      </w:r>
    </w:p>
    <w:p w:rsidR="00A31137" w:rsidRPr="00A31137" w:rsidRDefault="00A31137" w:rsidP="00A31137">
      <w:r w:rsidRPr="00A31137">
        <w:t>1992, Lee v. Weisman, 505 U.S. 599</w:t>
      </w:r>
    </w:p>
    <w:p w:rsidR="00A31137" w:rsidRPr="00A31137" w:rsidRDefault="00A31137" w:rsidP="00A31137">
      <w:r w:rsidRPr="00A31137">
        <w:t>JUSTICE BLACKMUN, with whom JUSTICE STEVENS and JUSTICE O'CONNOR join, concurring.</w:t>
      </w:r>
    </w:p>
    <w:p w:rsidR="00A31137" w:rsidRPr="00A31137" w:rsidRDefault="00A31137" w:rsidP="00A31137">
      <w:r w:rsidRPr="00A31137">
        <w:t>1992, Lee v. Weisman, 505 U.S. 599</w:t>
      </w:r>
    </w:p>
    <w:p w:rsidR="00A31137" w:rsidRPr="00A31137" w:rsidRDefault="00A31137" w:rsidP="00A31137">
      <w:r w:rsidRPr="00A31137">
        <w:t>Nearly half a century of review and refinement of Establishment Clause jurisprudence has distilled one clear understanding: Government may neither promote nor affiliate itself with any religious doctrine or organization, nor may it obtrude itself in the internal affairs of any religious institution. The application of these principles to the present case mandates the decision reached today by the Court.</w:t>
      </w:r>
    </w:p>
    <w:p w:rsidR="00A31137" w:rsidRPr="00A31137" w:rsidRDefault="00A31137" w:rsidP="00A31137">
      <w:r w:rsidRPr="00A31137">
        <w:t>I</w:t>
      </w:r>
    </w:p>
    <w:p w:rsidR="00A31137" w:rsidRPr="00A31137" w:rsidRDefault="00A31137" w:rsidP="00A31137">
      <w:r w:rsidRPr="00A31137">
        <w:t>1992, Lee v. Weisman, 505 U.S. 599</w:t>
      </w:r>
    </w:p>
    <w:p w:rsidR="00A31137" w:rsidRPr="00A31137" w:rsidRDefault="00A31137" w:rsidP="00A31137">
      <w:r w:rsidRPr="00A31137">
        <w:t>This Court first reviewed a challenge to state law under the Establishment Clause in Everson v. Board of Education, 330 U.S. 1 (1947). 1 Relying on the history of the [505 U.S. 600] Clause and the Court's prior analysis, Justice Black outlined the considerations that have become the touchstone of Establishment Clause jurisprudence: neither a State nor the Federal Government can pass laws which aid one religion, aid all religions, or prefer one religion over another. Neither a State nor the Federal Government, openly or secretly, can participate in the affairs of any religious organization and vice versa. 2</w:t>
      </w:r>
    </w:p>
    <w:p w:rsidR="00A31137" w:rsidRPr="00A31137" w:rsidRDefault="00A31137" w:rsidP="00A31137">
      <w:r w:rsidRPr="00A31137">
        <w:t>1992, Lee v. Weisman, 505 U.S. 600</w:t>
      </w:r>
    </w:p>
    <w:p w:rsidR="00A31137" w:rsidRPr="00A31137" w:rsidRDefault="00A31137" w:rsidP="00A31137">
      <w:r w:rsidRPr="00A31137">
        <w:t>In the words of Jefferson, the clause [505 U.S. 601] against establishment of religion by law was intended to erect "a wall of separation between church and State."</w:t>
      </w:r>
    </w:p>
    <w:p w:rsidR="00A31137" w:rsidRPr="00A31137" w:rsidRDefault="00A31137" w:rsidP="00A31137">
      <w:r w:rsidRPr="00A31137">
        <w:t>1992, Lee v. Weisman, 505 U.S. 601</w:t>
      </w:r>
    </w:p>
    <w:p w:rsidR="00A31137" w:rsidRPr="00A31137" w:rsidRDefault="00A31137" w:rsidP="00A31137">
      <w:r w:rsidRPr="00A31137">
        <w:t>Everson, 330 U.S. at  16, quoting Reynolds v. United States, 98 U.S. 145,  164 (1879). The dissenters agreed:</w:t>
      </w:r>
    </w:p>
    <w:p w:rsidR="00A31137" w:rsidRPr="00A31137" w:rsidRDefault="00A31137" w:rsidP="00A31137">
      <w:r w:rsidRPr="00A31137">
        <w:t>1992, Lee v. Weisman, 505 U.S. 601</w:t>
      </w:r>
    </w:p>
    <w:p w:rsidR="00A31137" w:rsidRPr="00A31137" w:rsidRDefault="00A31137" w:rsidP="00A31137">
      <w:r w:rsidRPr="00A31137">
        <w:t>The Amendment's purpose…was to create a complete and permanent separation of the spheres of religious activity and civil authority by comprehensively forbidding every form of public aid or support for religion.</w:t>
      </w:r>
    </w:p>
    <w:p w:rsidR="00A31137" w:rsidRPr="00A31137" w:rsidRDefault="00A31137" w:rsidP="00A31137">
      <w:r w:rsidRPr="00A31137">
        <w:t>1992, Lee v. Weisman, 505 U.S. 601</w:t>
      </w:r>
    </w:p>
    <w:p w:rsidR="00A31137" w:rsidRPr="00A31137" w:rsidRDefault="00A31137" w:rsidP="00A31137">
      <w:r w:rsidRPr="00A31137">
        <w:t>330 U.S. at 31-32 (Rutledge, J., dissenting, joined by Frankfurter, Jackson, and Burton, JJ.).</w:t>
      </w:r>
    </w:p>
    <w:p w:rsidR="00A31137" w:rsidRPr="00A31137" w:rsidRDefault="00A31137" w:rsidP="00A31137">
      <w:r w:rsidRPr="00A31137">
        <w:t>1992, Lee v. Weisman, 505 U.S. 601</w:t>
      </w:r>
    </w:p>
    <w:p w:rsidR="00A31137" w:rsidRPr="00A31137" w:rsidRDefault="00A31137" w:rsidP="00A31137">
      <w:r w:rsidRPr="00A31137">
        <w:t>In Engel v. Vitale, 370 U.S. 421 (1962), the Court considered for the first time the constitutionality of prayer in a public school. Students said aloud a short prayer selected by the State Board of Regents:</w:t>
      </w:r>
    </w:p>
    <w:p w:rsidR="00A31137" w:rsidRPr="00A31137" w:rsidRDefault="00A31137" w:rsidP="00A31137">
      <w:r w:rsidRPr="00A31137">
        <w:t>1992, Lee v. Weisman, 505 U.S. 601</w:t>
      </w:r>
    </w:p>
    <w:p w:rsidR="00A31137" w:rsidRPr="00A31137" w:rsidRDefault="00A31137" w:rsidP="00A31137">
      <w:r w:rsidRPr="00A31137">
        <w:t>Almighty God, we acknowledge our dependence upon Thee, and we beg Thy blessings upon us, our parents, our teachers and our Country.</w:t>
      </w:r>
    </w:p>
    <w:p w:rsidR="00A31137" w:rsidRPr="00A31137" w:rsidRDefault="00A31137" w:rsidP="00A31137">
      <w:r w:rsidRPr="00A31137">
        <w:t>1992, Lee v. Weisman, 505 U.S. 601</w:t>
      </w:r>
    </w:p>
    <w:p w:rsidR="00A31137" w:rsidRPr="00A31137" w:rsidRDefault="00A31137" w:rsidP="00A31137">
      <w:r w:rsidRPr="00A31137">
        <w:t>Id. at  422. Justice Black, writing for the Court, again made clear that the First Amendment forbids the use of the power or prestige of the government to control, support, or influence the religious beliefs and practices of the American people. Although the prayer was "denominationally neutral," and "its observance on the part of the students [was] voluntary," id. at  430, the Court found that it violated this essential precept of the Establishment Clause.</w:t>
      </w:r>
    </w:p>
    <w:p w:rsidR="00A31137" w:rsidRPr="00A31137" w:rsidRDefault="00A31137" w:rsidP="00A31137">
      <w:r w:rsidRPr="00A31137">
        <w:t>1992, Lee v. Weisman, 505 U.S. 601</w:t>
      </w:r>
    </w:p>
    <w:p w:rsidR="00A31137" w:rsidRPr="00A31137" w:rsidRDefault="00A31137" w:rsidP="00A31137">
      <w:r w:rsidRPr="00A31137">
        <w:t xml:space="preserve">A year later, the Court again invalidated government-sponsored prayer in public schools in Abington School District v. Schempp, 374 U.S. 203 (1963). In Schempp, the school day for Baltimore, Maryland, and Abington Township, Pennsylvania, students began with a reading from the Bible, or a recitation of the Lord's Prayer, or both. After a thorough review of the Court's prior Establishment Clause cases, the Court concluded: [505 U.S. 602] </w:t>
      </w:r>
    </w:p>
    <w:p w:rsidR="00A31137" w:rsidRPr="00A31137" w:rsidRDefault="00A31137" w:rsidP="00A31137">
      <w:r w:rsidRPr="00A31137">
        <w:t>1992, Lee v. Weisman, 505 U.S. 602</w:t>
      </w:r>
    </w:p>
    <w:p w:rsidR="00A31137" w:rsidRPr="00A31137" w:rsidRDefault="00A31137" w:rsidP="00A31137">
      <w:r w:rsidRPr="00A31137">
        <w:t>[T]he Establishment Clause has been directly considered by this Court eight times in the past score of years and, with only one Justice dissenting on the point, it has consistently held that the clause withdrew all legislative power respecting religious belief or the expression thereof. The test may be stated as follows: what are the purpose and the primary effect of the enactment? If either is the advancement or inhibition of religion, then the enactment exceeds the scope of legislative power as circumscribed by the Constitution.</w:t>
      </w:r>
    </w:p>
    <w:p w:rsidR="00A31137" w:rsidRPr="00A31137" w:rsidRDefault="00A31137" w:rsidP="00A31137">
      <w:r w:rsidRPr="00A31137">
        <w:t>1992, Lee v. Weisman, 505 U.S. 602</w:t>
      </w:r>
    </w:p>
    <w:p w:rsidR="00A31137" w:rsidRPr="00A31137" w:rsidRDefault="00A31137" w:rsidP="00A31137">
      <w:r w:rsidRPr="00A31137">
        <w:t>Id. at  222. Because the schools' opening exercises were government-sponsored religious ceremonies, the Court found that the primary effect was the advancement of religion and held, therefore, that the activity violated the Establishment Clause. Id. at 223-224.</w:t>
      </w:r>
    </w:p>
    <w:p w:rsidR="00A31137" w:rsidRPr="00A31137" w:rsidRDefault="00A31137" w:rsidP="00A31137">
      <w:r w:rsidRPr="00A31137">
        <w:t>1992, Lee v. Weisman, 505 U.S. 602</w:t>
      </w:r>
    </w:p>
    <w:p w:rsidR="00A31137" w:rsidRPr="00A31137" w:rsidRDefault="00A31137" w:rsidP="00A31137">
      <w:r w:rsidRPr="00A31137">
        <w:t>Five years later, the next time the Court considered whether religious activity in public schools violated the Establishment Clause, it reiterated the principle that government "may not aid, foster, or promote one religion or religious theory against another, or even against the militant opposite." Epperson v. Arkansas, 393 U.S. 97,  104 (1968).</w:t>
      </w:r>
    </w:p>
    <w:p w:rsidR="00A31137" w:rsidRPr="00A31137" w:rsidRDefault="00A31137" w:rsidP="00A31137">
      <w:r w:rsidRPr="00A31137">
        <w:t>1992, Lee v. Weisman, 505 U.S. 602</w:t>
      </w:r>
    </w:p>
    <w:p w:rsidR="00A31137" w:rsidRPr="00A31137" w:rsidRDefault="00A31137" w:rsidP="00A31137">
      <w:r w:rsidRPr="00A31137">
        <w:t>"If [the purpose or primary effect] is the advancement or inhibition of religion, then the enactment exceeds the scope of legislative power as circumscribed by the Constitution."</w:t>
      </w:r>
    </w:p>
    <w:p w:rsidR="00A31137" w:rsidRPr="00A31137" w:rsidRDefault="00A31137" w:rsidP="00A31137">
      <w:r w:rsidRPr="00A31137">
        <w:t>1992, Lee v. Weisman, 505 U.S. 602</w:t>
      </w:r>
    </w:p>
    <w:p w:rsidR="00A31137" w:rsidRPr="00A31137" w:rsidRDefault="00A31137" w:rsidP="00A31137">
      <w:r w:rsidRPr="00A31137">
        <w:t>Id. at  107 (quoting Schempp, 374 U.S. at  222). Finding that the Arkansas law aided religion by preventing the teaching of evolution, the Court invalidated it.</w:t>
      </w:r>
    </w:p>
    <w:p w:rsidR="00A31137" w:rsidRPr="00A31137" w:rsidRDefault="00A31137" w:rsidP="00A31137">
      <w:r w:rsidRPr="00A31137">
        <w:t>1992, Lee v. Weisman, 505 U.S. 602</w:t>
      </w:r>
    </w:p>
    <w:p w:rsidR="00A31137" w:rsidRPr="00A31137" w:rsidRDefault="00A31137" w:rsidP="00A31137">
      <w:r w:rsidRPr="00A31137">
        <w:t>In 1971, Chief Justice Burger reviewed the Court's past decisions and found: "Three…tests may be gleaned from our cases." Lemon v. Kurtzman, 403 U.S. 602,  612. In order for a statute to survive an Establishment Clause challenge,</w:t>
      </w:r>
    </w:p>
    <w:p w:rsidR="00A31137" w:rsidRPr="00A31137" w:rsidRDefault="00A31137" w:rsidP="00A31137">
      <w:r w:rsidRPr="00A31137">
        <w:t>1992, Lee v. Weisman, 505 U.S. 602</w:t>
      </w:r>
    </w:p>
    <w:p w:rsidR="00A31137" w:rsidRPr="00A31137" w:rsidRDefault="00A31137" w:rsidP="00A31137">
      <w:r w:rsidRPr="00A31137">
        <w:t>[f]irst, the statute must have a secular legislative purpose; second, its principal or primary effect must be one that neither advances nor inhibits religion; finally the statute must not foster an excessive government entanglement with [505 U.S. 603] religion.</w:t>
      </w:r>
    </w:p>
    <w:p w:rsidR="00A31137" w:rsidRPr="00A31137" w:rsidRDefault="00A31137" w:rsidP="00A31137">
      <w:r w:rsidRPr="00A31137">
        <w:t>1992, Lee v. Weisman, 505 U.S. 603</w:t>
      </w:r>
    </w:p>
    <w:p w:rsidR="00A31137" w:rsidRPr="00A31137" w:rsidRDefault="00A31137" w:rsidP="00A31137">
      <w:r w:rsidRPr="00A31137">
        <w:t>Id. at 612-613 (internal quotation marks and citations omitted). 3 After Lemon, the Court continued to rely on these basic principles in resolving Establishment Clause disputes. 4</w:t>
      </w:r>
    </w:p>
    <w:p w:rsidR="00A31137" w:rsidRPr="00A31137" w:rsidRDefault="00A31137" w:rsidP="00A31137">
      <w:r w:rsidRPr="00A31137">
        <w:t>1992, Lee v. Weisman, 505 U.S. 603</w:t>
      </w:r>
    </w:p>
    <w:p w:rsidR="00A31137" w:rsidRPr="00A31137" w:rsidRDefault="00A31137" w:rsidP="00A31137">
      <w:r w:rsidRPr="00A31137">
        <w:t>Application of these principles to the facts of this case is straightforward. There can be "no doubt" that the "invocation of God's blessings" delivered at Nathan Bishop Middle School "is a religious activity." Engel, 370 U.S. at  424. In the words of Engel, the Rabbi's prayer</w:t>
      </w:r>
    </w:p>
    <w:p w:rsidR="00A31137" w:rsidRPr="00A31137" w:rsidRDefault="00A31137" w:rsidP="00A31137">
      <w:r w:rsidRPr="00A31137">
        <w:t>1992, Lee v. Weisman, 505 U.S. 603</w:t>
      </w:r>
    </w:p>
    <w:p w:rsidR="00A31137" w:rsidRPr="00A31137" w:rsidRDefault="00A31137" w:rsidP="00A31137">
      <w:r w:rsidRPr="00A31137">
        <w:t>is a solemn avowal of divine faith and supplication for the blessings of the Almighty. The nature of such a prayer has always been religious.</w:t>
      </w:r>
    </w:p>
    <w:p w:rsidR="00A31137" w:rsidRPr="00A31137" w:rsidRDefault="00A31137" w:rsidP="00A31137">
      <w:r w:rsidRPr="00A31137">
        <w:t>1992, Lee v. Weisman, 505 U.S. 603</w:t>
      </w:r>
    </w:p>
    <w:p w:rsidR="00A31137" w:rsidRPr="00A31137" w:rsidRDefault="00A31137" w:rsidP="00A31137">
      <w:r w:rsidRPr="00A31137">
        <w:t>Ibid. The question then is whether the government has "plac[ed] its official stamp of approval" on the prayer. Id. at  429. As the Court ably demonstrates, when the government "compose[s] official prayers," id. at  425, selects the member of the clergy to deliver the prayer, has the prayer delivered at a public school event that is planned, supervised and given by school officials, and pressures [505 U.S. 604] students to attend and participate in the prayer, there can be no doubt that the government is advancing and promoting religion. 5 As our prior decisions teach us, it is this that the Constitution prohibits.</w:t>
      </w:r>
    </w:p>
    <w:p w:rsidR="00A31137" w:rsidRPr="00A31137" w:rsidRDefault="00A31137" w:rsidP="00A31137">
      <w:r w:rsidRPr="00A31137">
        <w:t>II</w:t>
      </w:r>
    </w:p>
    <w:p w:rsidR="00A31137" w:rsidRPr="00A31137" w:rsidRDefault="00A31137" w:rsidP="00A31137">
      <w:r w:rsidRPr="00A31137">
        <w:t>1992, Lee v. Weisman, 505 U.S. 604</w:t>
      </w:r>
    </w:p>
    <w:p w:rsidR="00A31137" w:rsidRPr="00A31137" w:rsidRDefault="00A31137" w:rsidP="00A31137">
      <w:r w:rsidRPr="00A31137">
        <w:t>I join the Court's opinion today because I find nothing in it inconsistent with the essential precepts of the Establishment Clause developed in our precedents. The Court holds that the graduation prayer is unconstitutional because the State "in effect required participation in a religious exercise." Ante at  594. Although our precedents make clear that proof of government coercion is not necessary to prove an Establishment Clause violation, it is sufficient. Government pressure to participate in a religious activity is an obvious indication that the government is endorsing or promoting religion.</w:t>
      </w:r>
    </w:p>
    <w:p w:rsidR="00A31137" w:rsidRPr="00A31137" w:rsidRDefault="00A31137" w:rsidP="00A31137">
      <w:r w:rsidRPr="00A31137">
        <w:t>1992, Lee v. Weisman, 505 U.S. 604</w:t>
      </w:r>
    </w:p>
    <w:p w:rsidR="00A31137" w:rsidRPr="00A31137" w:rsidRDefault="00A31137" w:rsidP="00A31137">
      <w:r w:rsidRPr="00A31137">
        <w:t>But it is not enough that the government restrain from compelling religious practices: it must not engage in them either. See Schempp, 374 U.S. at  305 (Goldberg, J., concurring). The Court repeatedly has recognized that a violation of the Establishment Clause is not predicated on coercion. See, e.g., id. at  223; id. at  229 (Douglas, J., concurring); Wallace v. Jaffree, 472 U.S. 38,  72 (1985) (O'CONNOR, J., concurring in judgment) ("The decisions [in Engel and Schempp] acknowledged the coercion implicit under the statutory schemes, but they expressly turned only on the fact that the government was sponsoring a manifestly religious exercise" (citation omitted)); Comm. for Public Ed. v. Nyquist, 413 U.S. 756,  786 (1973) ("[P]roof of coercion…[is] not a necessary element of any claim under the Establishment Clause"). The Establishment Clause proscribes public schools from "conveying or attempting to convey a [505 U.S. 605] message that religion or a particular religious belief is favored or preferred," County of Allegheny v. ACLU, 492 U.S. 573,  593 (1989) (internal quotations omitted) (emphasis in original), even if the schools do not actually "impos[e] pressure upon a student to participate in a religious activity." 6 Westside Community Bd. of Ed. v. Mergens, 496 U.S. 226,  261, (1990) (KENNEDY, J., concurring).</w:t>
      </w:r>
    </w:p>
    <w:p w:rsidR="00A31137" w:rsidRPr="00A31137" w:rsidRDefault="00A31137" w:rsidP="00A31137">
      <w:r w:rsidRPr="00A31137">
        <w:t>1992, Lee v. Weisman, 505 U.S. 605</w:t>
      </w:r>
    </w:p>
    <w:p w:rsidR="00A31137" w:rsidRPr="00A31137" w:rsidRDefault="00A31137" w:rsidP="00A31137">
      <w:r w:rsidRPr="00A31137">
        <w:t>The scope of the Establishment Clause's prohibitions developed in our case law derives from the Clause's purposes. The First Amendment encompasses two distinct guarantees—the government shall make no law respecting an establishment of religion or prohibiting the free exercise thereof—both with the common purpose of securing religious liberty. 7 Through vigorous enforcement of both clauses, we</w:t>
      </w:r>
    </w:p>
    <w:p w:rsidR="00A31137" w:rsidRPr="00A31137" w:rsidRDefault="00A31137" w:rsidP="00A31137">
      <w:r w:rsidRPr="00A31137">
        <w:t>1992, Lee v. Weisman, 505 U.S. 605</w:t>
      </w:r>
    </w:p>
    <w:p w:rsidR="00A31137" w:rsidRPr="00A31137" w:rsidRDefault="00A31137" w:rsidP="00A31137">
      <w:r w:rsidRPr="00A31137">
        <w:t>promote and assure the fullest possible scope of religious liberty and tolerance for all and…nurture the conditions which secure the best hope of attainment of that end.</w:t>
      </w:r>
    </w:p>
    <w:p w:rsidR="00A31137" w:rsidRPr="00A31137" w:rsidRDefault="00A31137" w:rsidP="00A31137">
      <w:r w:rsidRPr="00A31137">
        <w:t>1992, Lee v. Weisman, 505 U.S. 605</w:t>
      </w:r>
    </w:p>
    <w:p w:rsidR="00A31137" w:rsidRPr="00A31137" w:rsidRDefault="00A31137" w:rsidP="00A31137">
      <w:r w:rsidRPr="00A31137">
        <w:t>Schempp, 374 U.S. at  305 (Goldberg, J., concurring).</w:t>
      </w:r>
    </w:p>
    <w:p w:rsidR="00A31137" w:rsidRPr="00A31137" w:rsidRDefault="00A31137" w:rsidP="00A31137">
      <w:r w:rsidRPr="00A31137">
        <w:t>1992, Lee v. Weisman, 505 U.S. 605</w:t>
      </w:r>
    </w:p>
    <w:p w:rsidR="00A31137" w:rsidRPr="00A31137" w:rsidRDefault="00A31137" w:rsidP="00A31137">
      <w:r w:rsidRPr="00A31137">
        <w:t>There is no doubt that attempts to aid religion through government coercion jeopardize freedom of conscience. Even subtle pressure diminishes the right of each individual to choose voluntarily what to believe. Representative Carroll explained during congressional debate over the Establishment [505 U.S. 606] Clause:</w:t>
      </w:r>
    </w:p>
    <w:p w:rsidR="00A31137" w:rsidRPr="00A31137" w:rsidRDefault="00A31137" w:rsidP="00A31137">
      <w:r w:rsidRPr="00A31137">
        <w:t>1992, Lee v. Weisman, 505 U.S. 606</w:t>
      </w:r>
    </w:p>
    <w:p w:rsidR="00A31137" w:rsidRPr="00A31137" w:rsidRDefault="00A31137" w:rsidP="00A31137">
      <w:r w:rsidRPr="00A31137">
        <w:t>[T]he rights of conscience are, in their nature, of peculiar delicacy, and will little bear the gentlest touch of governmental hand.</w:t>
      </w:r>
    </w:p>
    <w:p w:rsidR="00A31137" w:rsidRPr="00A31137" w:rsidRDefault="00A31137" w:rsidP="00A31137">
      <w:r w:rsidRPr="00A31137">
        <w:t>1992, Lee v. Weisman, 505 U.S. 606</w:t>
      </w:r>
    </w:p>
    <w:p w:rsidR="00A31137" w:rsidRPr="00A31137" w:rsidRDefault="00A31137" w:rsidP="00A31137">
      <w:r w:rsidRPr="00A31137">
        <w:t>I Annals of Cong. 757 (August 15, 1789).</w:t>
      </w:r>
    </w:p>
    <w:p w:rsidR="00A31137" w:rsidRPr="00A31137" w:rsidRDefault="00A31137" w:rsidP="00A31137">
      <w:r w:rsidRPr="00A31137">
        <w:t>1992, Lee v. Weisman, 505 U.S. 606</w:t>
      </w:r>
    </w:p>
    <w:p w:rsidR="00A31137" w:rsidRPr="00A31137" w:rsidRDefault="00A31137" w:rsidP="00A31137">
      <w:r w:rsidRPr="00A31137">
        <w:t>Our decisions have gone beyond prohibiting coercion, however, because the Court has recognized that "the fullest possible scope of religious liberty," Schempp, 374 U.S. at  305 (Goldberg, J., concurring), entails more than freedom from coercion. The Establishment Clause protects religious liberty on a grand scale; it is a social compact that guarantees for generations a democracy and a strong religious community—both essential to safeguarding religious liberty.</w:t>
      </w:r>
    </w:p>
    <w:p w:rsidR="00A31137" w:rsidRPr="00A31137" w:rsidRDefault="00A31137" w:rsidP="00A31137">
      <w:r w:rsidRPr="00A31137">
        <w:t>1992, Lee v. Weisman, 505 U.S. 606</w:t>
      </w:r>
    </w:p>
    <w:p w:rsidR="00A31137" w:rsidRPr="00A31137" w:rsidRDefault="00A31137" w:rsidP="00A31137">
      <w:r w:rsidRPr="00A31137">
        <w:t>Our fathers seem to have been perfectly sincere in their belief that the members of the Church would be more patriotic, and the citizens of the State more religious, by keeping their respective functions entirely separate.</w:t>
      </w:r>
    </w:p>
    <w:p w:rsidR="00A31137" w:rsidRPr="00A31137" w:rsidRDefault="00A31137" w:rsidP="00A31137">
      <w:r w:rsidRPr="00A31137">
        <w:t>1992, Lee v. Weisman, 505 U.S. 606</w:t>
      </w:r>
    </w:p>
    <w:p w:rsidR="00A31137" w:rsidRPr="00A31137" w:rsidRDefault="00A31137" w:rsidP="00A31137">
      <w:r w:rsidRPr="00A31137">
        <w:t>Religious Liberty, in Essays and Speeches of Jeremiah S. Black 53 (C. Black ed. 1885) (Chief Justice of the Commonwealth of Pennsylvania). 8</w:t>
      </w:r>
    </w:p>
    <w:p w:rsidR="00A31137" w:rsidRPr="00A31137" w:rsidRDefault="00A31137" w:rsidP="00A31137">
      <w:r w:rsidRPr="00A31137">
        <w:t>1992, Lee v. Weisman, 505 U.S. 606</w:t>
      </w:r>
    </w:p>
    <w:p w:rsidR="00A31137" w:rsidRPr="00A31137" w:rsidRDefault="00A31137" w:rsidP="00A31137">
      <w:r w:rsidRPr="00A31137">
        <w:t>The mixing of government and religion can be a threat to free government, even if no one is forced to participate. When the government puts its imprimatur on a particular religion, it conveys a message of exclusion to all those who do not adhere to the favored beliefs. 9 A government cannot [505 U.S. 607] be premised on the belief that all persons are created equal when it asserts that God prefers some. Only "[a]nguish, hardship and bitter strife" result "when zealous religious groups struggl[e] with one another to obtain the Government's stamp of approval." Engel, 370 U.S. at 429; see also Lemon, 403 U.S. at 622-623; Aguilar v. Felton, 473 U.S. 402,  416 (1985) (Powell, J., concurring). 10 Such a struggle can "strain a political system to the breaking point." Walz v. Tax Commission, 397 U.S. 664,  694 (1970) (opinion of Harlan, J.).</w:t>
      </w:r>
    </w:p>
    <w:p w:rsidR="00A31137" w:rsidRPr="00A31137" w:rsidRDefault="00A31137" w:rsidP="00A31137">
      <w:r w:rsidRPr="00A31137">
        <w:t>1992, Lee v. Weisman, 505 U.S. 607</w:t>
      </w:r>
    </w:p>
    <w:p w:rsidR="00A31137" w:rsidRPr="00A31137" w:rsidRDefault="00A31137" w:rsidP="00A31137">
      <w:r w:rsidRPr="00A31137">
        <w:t xml:space="preserve">When the government arrogates to itself a role in religious affairs, it abandons its obligation as guarantor of democracy. Democracy requires the nourishment of dialogue and dissent, while religious faith puts its trust in an ultimate divine authority above all human deliberation. When the government appropriates religious truth, it "transforms rational debate into theological decree." Nuechterlein, Note, The Free Exercise Boundaries of Permissible Accommodation Under the Establishment Clause, 99 Yale L.J. 1127, 1131 (1990). Those who disagree no longer are questioning the policy judgment of the elected but the rules of a higher authority who is beyond reproach. [505 U.S. 608] </w:t>
      </w:r>
    </w:p>
    <w:p w:rsidR="00A31137" w:rsidRPr="00A31137" w:rsidRDefault="00A31137" w:rsidP="00A31137">
      <w:r w:rsidRPr="00A31137">
        <w:t>1992, Lee v. Weisman, 505 U.S. 608</w:t>
      </w:r>
    </w:p>
    <w:p w:rsidR="00A31137" w:rsidRPr="00A31137" w:rsidRDefault="00A31137" w:rsidP="00A31137">
      <w:r w:rsidRPr="00A31137">
        <w:t>Madison warned that government officials who would use religious authority to pursue secular ends</w:t>
      </w:r>
    </w:p>
    <w:p w:rsidR="00A31137" w:rsidRPr="00A31137" w:rsidRDefault="00A31137" w:rsidP="00A31137">
      <w:r w:rsidRPr="00A31137">
        <w:t>1992, Lee v. Weisman, 505 U.S. 608</w:t>
      </w:r>
    </w:p>
    <w:p w:rsidR="00A31137" w:rsidRPr="00A31137" w:rsidRDefault="00A31137" w:rsidP="00A31137">
      <w:r w:rsidRPr="00A31137">
        <w:t>exceed the commission from which they derive their authority, and are Tyrants. The People who submit to it are governed by laws made neither by themselves nor by an authority derived from them, and are slaves.</w:t>
      </w:r>
    </w:p>
    <w:p w:rsidR="00A31137" w:rsidRPr="00A31137" w:rsidRDefault="00A31137" w:rsidP="00A31137">
      <w:r w:rsidRPr="00A31137">
        <w:t>1992, Lee v. Weisman, 505 U.S. 608</w:t>
      </w:r>
    </w:p>
    <w:p w:rsidR="00A31137" w:rsidRPr="00A31137" w:rsidRDefault="00A31137" w:rsidP="00A31137">
      <w:r w:rsidRPr="00A31137">
        <w:t>Memorial and Remonstrance against Religious Assessments (1785) in The Complete Madison 300 (S. Padover, ed.1953). Democratic government will not last long when proclamation replaces persuasion as the medium of political exchange.</w:t>
      </w:r>
    </w:p>
    <w:p w:rsidR="00A31137" w:rsidRPr="00A31137" w:rsidRDefault="00A31137" w:rsidP="00A31137">
      <w:r w:rsidRPr="00A31137">
        <w:t>1992, Lee v. Weisman, 505 U.S. 608</w:t>
      </w:r>
    </w:p>
    <w:p w:rsidR="00A31137" w:rsidRPr="00A31137" w:rsidRDefault="00A31137" w:rsidP="00A31137">
      <w:r w:rsidRPr="00A31137">
        <w:t>Likewise, we have recognized that "[r]eligion flourishes in greater purity, without than with the aid of Gov[ernment]." 11 Id. at 309. To "make room for as wide a variety of beliefs and creeds as the spiritual needs of man deem necessary," Zorach v. Clauson, 343 U.S. 306,  313 (1952), the government must not align itself with any one of them. When the government favors a particular religion or sect, the disadvantage to all others is obvious, but even the favored religion may fear being "taint[ed]…with a corrosive secularism." Grand Rapids School Dist. v. Ball, 473 U.S. 373,  385 (1985). The favored religion may be compromised as political figures reshape the religion's beliefs for their own purposes; it may be reformed as government largesse brings government regulation. 12 Keeping religion in the hands of private groups minimizes state intrusion on religious choice, and best enables each religion to "flourish according to the [505 U.S. 609] zeal of its adherents and the appeal of its dogma." Zorach, 343 U.S. at  313.</w:t>
      </w:r>
    </w:p>
    <w:p w:rsidR="00A31137" w:rsidRPr="00A31137" w:rsidRDefault="00A31137" w:rsidP="00A31137">
      <w:r w:rsidRPr="00A31137">
        <w:t>1992, Lee v. Weisman, 505 U.S. 609</w:t>
      </w:r>
    </w:p>
    <w:p w:rsidR="00A31137" w:rsidRPr="00A31137" w:rsidRDefault="00A31137" w:rsidP="00A31137">
      <w:r w:rsidRPr="00A31137">
        <w:t>It is these understandings and fears that underlie our Establishment Clause jurisprudence. We have believed that religious freedom cannot exist in the absence of a free democratic government, and that such a government cannot endure when there is fusion between religion and the political regime. We have believed that religious freedom cannot thrive in the absence of a vibrant religious community, and that such a community cannot prosper when it is bound to the secular. And we have believed that these were the animating principles behind the adoption of the Establishment Clause. To that end, our cases have prohibited government endorsement of religion, its sponsorship, and active involvement in religion, whether or not citizens were coerced to conform.</w:t>
      </w:r>
    </w:p>
    <w:p w:rsidR="00A31137" w:rsidRPr="00A31137" w:rsidRDefault="00A31137" w:rsidP="00A31137">
      <w:r w:rsidRPr="00A31137">
        <w:t>1992, Lee v. Weisman, 505 U.S. 609</w:t>
      </w:r>
    </w:p>
    <w:p w:rsidR="00A31137" w:rsidRPr="00A31137" w:rsidRDefault="00A31137" w:rsidP="00A31137">
      <w:r w:rsidRPr="00A31137">
        <w:t>I remain convinced that our jurisprudence is not misguided, and that it requires the decision reached by the Court today. Accordingly, I join the Court in affirming the judgment of the Court of Appeals.</w:t>
      </w:r>
    </w:p>
    <w:p w:rsidR="00A31137" w:rsidRPr="00A31137" w:rsidRDefault="00A31137" w:rsidP="00A31137">
      <w:r w:rsidRPr="00A31137">
        <w:t>SOUTER, J., concurring</w:t>
      </w:r>
    </w:p>
    <w:p w:rsidR="00A31137" w:rsidRPr="00A31137" w:rsidRDefault="00A31137" w:rsidP="00A31137">
      <w:r w:rsidRPr="00A31137">
        <w:t>1992, Lee v. Weisman, 505 U.S. 609</w:t>
      </w:r>
    </w:p>
    <w:p w:rsidR="00A31137" w:rsidRPr="00A31137" w:rsidRDefault="00A31137" w:rsidP="00A31137">
      <w:r w:rsidRPr="00A31137">
        <w:t>JUSTICE SOUTER, with whom JUSTICE STEVENS and JUSTICE O'CONNOR join, concurring.</w:t>
      </w:r>
    </w:p>
    <w:p w:rsidR="00A31137" w:rsidRPr="00A31137" w:rsidRDefault="00A31137" w:rsidP="00A31137">
      <w:r w:rsidRPr="00A31137">
        <w:t>1992, Lee v. Weisman, 505 U.S. 609</w:t>
      </w:r>
    </w:p>
    <w:p w:rsidR="00A31137" w:rsidRPr="00A31137" w:rsidRDefault="00A31137" w:rsidP="00A31137">
      <w:r w:rsidRPr="00A31137">
        <w:t>I join the whole of the Court's opinion, and fully agree that prayers at public school graduation ceremonies indirectly coerce religious observance. I write separately nonetheless on two issues of Establishment Clause analysis that underlie my independent resolution of this case: whether the Clause applies to governmental practices that do not favor one religion or denomination over others, and whether state coercion of religious conformity, over and above state endorsement of religious exercise or belief, is a necessary element of an Establishment Clause violation.</w:t>
      </w:r>
    </w:p>
    <w:p w:rsidR="00A31137" w:rsidRPr="00A31137" w:rsidRDefault="00A31137" w:rsidP="00A31137">
      <w:r w:rsidRPr="00A31137">
        <w:t>I</w:t>
      </w:r>
    </w:p>
    <w:p w:rsidR="00A31137" w:rsidRPr="00A31137" w:rsidRDefault="00A31137" w:rsidP="00A31137">
      <w:r w:rsidRPr="00A31137">
        <w:t>1992, Lee v. Weisman, 505 U.S. 609</w:t>
      </w:r>
    </w:p>
    <w:p w:rsidR="00A31137" w:rsidRPr="00A31137" w:rsidRDefault="00A31137" w:rsidP="00A31137">
      <w:r w:rsidRPr="00A31137">
        <w:t>Forty-five years ago, this Court announced a basic principle of constitutional law from which it has not strayed: the [505 U.S. 610] Establishment Clause forbids not only state practices that "aid one religion…or prefer one religion over another," but also those that "aid all religions." Everson v. Board of Education of Ewing, 330 U.S. 1,  15 (1947). Today we reaffirm that principle, holding that the Establishment Clause forbids state-sponsored prayers in public school settings no matter how nondenominational the prayers may be. In barring the State from sponsoring generically Theistic prayers where it could not sponsor sectarian ones, we hold true to a line of precedent from which there is no adequate historical case to depart.</w:t>
      </w:r>
    </w:p>
    <w:p w:rsidR="00A31137" w:rsidRPr="00A31137" w:rsidRDefault="00A31137" w:rsidP="00A31137">
      <w:r w:rsidRPr="00A31137">
        <w:t>A</w:t>
      </w:r>
    </w:p>
    <w:p w:rsidR="00A31137" w:rsidRPr="00A31137" w:rsidRDefault="00A31137" w:rsidP="00A31137">
      <w:r w:rsidRPr="00A31137">
        <w:t>1992, Lee v. Weisman, 505 U.S. 610</w:t>
      </w:r>
    </w:p>
    <w:p w:rsidR="00A31137" w:rsidRPr="00A31137" w:rsidRDefault="00A31137" w:rsidP="00A31137">
      <w:r w:rsidRPr="00A31137">
        <w:t>Since Everson, we have consistently held the Clause applicable no less to governmental acts favoring religion generally than to acts favoring one religion over others. 1 Thus, in Engel v. Vitale, 370 U.S. 421 (1962), we held that the public schools may not subject their students to readings of any prayer, however "denominationally neutral." Id. at  430. More recently, in Wallace v. Jaffree, 472 U.S. 38 (1985), we held that an Alabama moment-of-silence statute passed for the sole purpose of "returning voluntary prayer to public schools," id. at  57, violated the Establishment Clause even though it did not encourage students to pray to any particular deity. We said that</w:t>
      </w:r>
    </w:p>
    <w:p w:rsidR="00A31137" w:rsidRPr="00A31137" w:rsidRDefault="00A31137" w:rsidP="00A31137">
      <w:r w:rsidRPr="00A31137">
        <w:t>1992, Lee v. Weisman, 505 U.S. 610</w:t>
      </w:r>
    </w:p>
    <w:p w:rsidR="00A31137" w:rsidRPr="00A31137" w:rsidRDefault="00A31137" w:rsidP="00A31137">
      <w:r w:rsidRPr="00A31137">
        <w:t>when the underlying principle has been examined in the crucible of litigation, the Court has unambiguously concluded that the individual freedom of conscience protected by the First Amendment embraces the right to select any religious faith or none at all.</w:t>
      </w:r>
    </w:p>
    <w:p w:rsidR="00A31137" w:rsidRPr="00A31137" w:rsidRDefault="00A31137" w:rsidP="00A31137">
      <w:r w:rsidRPr="00A31137">
        <w:t>1992, Lee v. Weisman, 505 U.S. 610</w:t>
      </w:r>
    </w:p>
    <w:p w:rsidR="00A31137" w:rsidRPr="00A31137" w:rsidRDefault="00A31137" w:rsidP="00A31137">
      <w:r w:rsidRPr="00A31137">
        <w:t>Id. at 52-53. This conclusion, we held,</w:t>
      </w:r>
    </w:p>
    <w:p w:rsidR="00A31137" w:rsidRPr="00A31137" w:rsidRDefault="00A31137" w:rsidP="00A31137">
      <w:r w:rsidRPr="00A31137">
        <w:t>1992, Lee v. Weisman, 505 U.S. 610</w:t>
      </w:r>
    </w:p>
    <w:p w:rsidR="00A31137" w:rsidRPr="00A31137" w:rsidRDefault="00A31137" w:rsidP="00A31137">
      <w:r w:rsidRPr="00A31137">
        <w:t>derives support not only from the interest in respecting the individual's freedom of conscience, but also from the conviction that religious beliefs worthy of respect are the product of free and voluntary choice by the faithful, [505 U.S. 611] and from recognition of the fact that the political interest in forestalling intolerance extends beyond intolerance among Christian sects—or even intolerance among "religions"—to encompass intolerance of the disbeliever and the uncertain.</w:t>
      </w:r>
    </w:p>
    <w:p w:rsidR="00A31137" w:rsidRPr="00A31137" w:rsidRDefault="00A31137" w:rsidP="00A31137">
      <w:r w:rsidRPr="00A31137">
        <w:t>1992, Lee v. Weisman, 505 U.S. 611</w:t>
      </w:r>
    </w:p>
    <w:p w:rsidR="00A31137" w:rsidRPr="00A31137" w:rsidRDefault="00A31137" w:rsidP="00A31137">
      <w:r w:rsidRPr="00A31137">
        <w:t>Id. at 53-54 (footnotes omitted).</w:t>
      </w:r>
    </w:p>
    <w:p w:rsidR="00A31137" w:rsidRPr="00A31137" w:rsidRDefault="00A31137" w:rsidP="00A31137">
      <w:r w:rsidRPr="00A31137">
        <w:t>1992, Lee v. Weisman, 505 U.S. 611</w:t>
      </w:r>
    </w:p>
    <w:p w:rsidR="00A31137" w:rsidRPr="00A31137" w:rsidRDefault="00A31137" w:rsidP="00A31137">
      <w:r w:rsidRPr="00A31137">
        <w:t>Likewise, in Texas Monthly, Inc. v. Bullock, 489 U.S. 1 (1989), we struck down a state tax exemption benefiting only religious periodicals; even though the statute in question worked no discrimination among sects, a majority of the Court found that its preference for religious publications over all other kinds "effectively endorses religious belief." Id. at  17 (plurality opinion); see id. at  28 (BLACKMUN, J., concurring in judgment) ("A statutory preference for the dissemination of religious ideas offends our most basic understanding of what the Establishment Clause is all about, and hence is constitutionally intolerable"). And in Torcaso v. Watkins, 367 U.S. 488 (1961), we struck down a provision of the Maryland Constitution requiring public officials to declare a "'belief in the existence of God,'" id. at  489, reasoning that, under the Religion Clauses of the First Amendment,</w:t>
      </w:r>
    </w:p>
    <w:p w:rsidR="00A31137" w:rsidRPr="00A31137" w:rsidRDefault="00A31137" w:rsidP="00A31137">
      <w:r w:rsidRPr="00A31137">
        <w:t>1992, Lee v. Weisman, 505 U.S. 611</w:t>
      </w:r>
    </w:p>
    <w:p w:rsidR="00A31137" w:rsidRPr="00A31137" w:rsidRDefault="00A31137" w:rsidP="00A31137">
      <w:r w:rsidRPr="00A31137">
        <w:t>neither a State nor the Federal Government…can constitutionally pass laws or impose requirements which aid all religions as against non-believers…,</w:t>
      </w:r>
    </w:p>
    <w:p w:rsidR="00A31137" w:rsidRPr="00A31137" w:rsidRDefault="00A31137" w:rsidP="00A31137">
      <w:r w:rsidRPr="00A31137">
        <w:t>1992, Lee v. Weisman, 505 U.S. 611</w:t>
      </w:r>
    </w:p>
    <w:p w:rsidR="00A31137" w:rsidRPr="00A31137" w:rsidRDefault="00A31137" w:rsidP="00A31137">
      <w:r w:rsidRPr="00A31137">
        <w:t>id. at  495. See also Epperson v. Arkansas, 393 U.S. 97,  104 (1968) ("The First Amendment mandates governmental neutrality between religion and religion, and between religion and nonreligion"); School Dist. of Abington v. Schempp, 374 U.S. 203,  216 (1963) ("this Court has rejected unequivocally the contention that the Establishment Clause forbids only governmental preference of one religion over another"); id. at 319-320 (Stewart, J., dissenting) (the Clause applies "to each of us, be he Jew or Agnostic, Christian or Atheist, Buddhist or Freethinker").</w:t>
      </w:r>
    </w:p>
    <w:p w:rsidR="00A31137" w:rsidRPr="00A31137" w:rsidRDefault="00A31137" w:rsidP="00A31137">
      <w:r w:rsidRPr="00A31137">
        <w:t>1992, Lee v. Weisman, 505 U.S. 611</w:t>
      </w:r>
    </w:p>
    <w:p w:rsidR="00A31137" w:rsidRPr="00A31137" w:rsidRDefault="00A31137" w:rsidP="00A31137">
      <w:r w:rsidRPr="00A31137">
        <w:t>Such is the settled law. Here, as elsewhere, we should stick to it absent some compelling reason to discard it. See [505 U.S. 612] Arizona v. Rumsey, 467 U.S. 203, 212 (1984); Payne v. Tennessee, 501 U.S. 808,  842 (1991) (SOUTER, J., concurring).</w:t>
      </w:r>
    </w:p>
    <w:p w:rsidR="00A31137" w:rsidRPr="00A31137" w:rsidRDefault="00A31137" w:rsidP="00A31137">
      <w:r w:rsidRPr="00A31137">
        <w:t>B</w:t>
      </w:r>
    </w:p>
    <w:p w:rsidR="00A31137" w:rsidRPr="00A31137" w:rsidRDefault="00A31137" w:rsidP="00A31137">
      <w:r w:rsidRPr="00A31137">
        <w:t>1992, Lee v. Weisman, 505 U.S. 612</w:t>
      </w:r>
    </w:p>
    <w:p w:rsidR="00A31137" w:rsidRPr="00A31137" w:rsidRDefault="00A31137" w:rsidP="00A31137">
      <w:r w:rsidRPr="00A31137">
        <w:t>Some have challenged this precedent by reading the Establishment Clause to permit "nonpreferential" state promotion of religion. The challengers argue that, as originally understood by the Framers,</w:t>
      </w:r>
    </w:p>
    <w:p w:rsidR="00A31137" w:rsidRPr="00A31137" w:rsidRDefault="00A31137" w:rsidP="00A31137">
      <w:r w:rsidRPr="00A31137">
        <w:t>1992, Lee v. Weisman, 505 U.S. 612</w:t>
      </w:r>
    </w:p>
    <w:p w:rsidR="00A31137" w:rsidRPr="00A31137" w:rsidRDefault="00A31137" w:rsidP="00A31137">
      <w:r w:rsidRPr="00A31137">
        <w:t>[t]he Establishment Clause did not require government neutrality between religion and irreligion, nor did it prohibit the Federal Government from providing nondiscriminatory aid to religion.</w:t>
      </w:r>
    </w:p>
    <w:p w:rsidR="00A31137" w:rsidRPr="00A31137" w:rsidRDefault="00A31137" w:rsidP="00A31137">
      <w:r w:rsidRPr="00A31137">
        <w:t>1992, Lee v. Weisman, 505 U.S. 612</w:t>
      </w:r>
    </w:p>
    <w:p w:rsidR="00A31137" w:rsidRPr="00A31137" w:rsidRDefault="00A31137" w:rsidP="00A31137">
      <w:r w:rsidRPr="00A31137">
        <w:t>Wallace, supra, at  106 (REHNQUIST, J., dissenting); see also R. Cord, Separation of Church and State: Historical Fact and Current Fiction (1988). While a case has been made for this position, it is not so convincing as to warrant reconsideration of our settled law; indeed, I find in the history of the Clause's textual development a more powerful argument supporting the Court's jurisprudence following Everson.</w:t>
      </w:r>
    </w:p>
    <w:p w:rsidR="00A31137" w:rsidRPr="00A31137" w:rsidRDefault="00A31137" w:rsidP="00A31137">
      <w:r w:rsidRPr="00A31137">
        <w:t>1992, Lee v. Weisman, 505 U.S. 612</w:t>
      </w:r>
    </w:p>
    <w:p w:rsidR="00A31137" w:rsidRPr="00A31137" w:rsidRDefault="00A31137" w:rsidP="00A31137">
      <w:r w:rsidRPr="00A31137">
        <w:t>When James Madison arrived at the First Congress with a series of proposals to amend the National Constitution, one of the provisions read that</w:t>
      </w:r>
    </w:p>
    <w:p w:rsidR="00A31137" w:rsidRPr="00A31137" w:rsidRDefault="00A31137" w:rsidP="00A31137">
      <w:r w:rsidRPr="00A31137">
        <w:t>1992, Lee v. Weisman, 505 U.S. 612</w:t>
      </w:r>
    </w:p>
    <w:p w:rsidR="00A31137" w:rsidRPr="00A31137" w:rsidRDefault="00A31137" w:rsidP="00A31137">
      <w:r w:rsidRPr="00A31137">
        <w:t>[t]he civil rights of none shall be abridged on account of religious belief or worship, nor shall any national religion be established, nor shall the full and equal rights of conscience be in any manner, or on any pretext, infringed.</w:t>
      </w:r>
    </w:p>
    <w:p w:rsidR="00A31137" w:rsidRPr="00A31137" w:rsidRDefault="00A31137" w:rsidP="00A31137">
      <w:r w:rsidRPr="00A31137">
        <w:t>1992, Lee v. Weisman, 505 U.S. 612</w:t>
      </w:r>
    </w:p>
    <w:p w:rsidR="00A31137" w:rsidRPr="00A31137" w:rsidRDefault="00A31137" w:rsidP="00A31137">
      <w:r w:rsidRPr="00A31137">
        <w:t>1 Annals of Cong. 434 (1789). Madison's language did not last long. It was sent to a Select Committee of the House, which, without explanation, changed it to read that "no religion shall be established by law, nor shall the equal rights of conscience be infringed." Id. at 729. Thence the proposal went to the Committee of the Whole, which was, in turn, dissatisfied with the Select Committee's language and adopted an alternative proposed by Samuel Livermore of New Hampshire: "Congress shall make no laws touching religion, or infringing the rights of conscience." See id. at 731. Livermore's proposal would have forbidden laws having anything to do with religion, and was thus not [505 U.S. 613] only far broader than Madison's version, but broader even than the scope of the Establishment Clause as we now understand it. See, e.g., Corporation of Presiding Bishop of Church of Jesus Christ of Latter-Day Saints v. Amos, 483 U.S. 327 (1987) (upholding legislative exemption of religious groups from certain obligations under civil rights laws).</w:t>
      </w:r>
    </w:p>
    <w:p w:rsidR="00A31137" w:rsidRPr="00A31137" w:rsidRDefault="00A31137" w:rsidP="00A31137">
      <w:r w:rsidRPr="00A31137">
        <w:t>1992, Lee v. Weisman, 505 U.S. 613</w:t>
      </w:r>
    </w:p>
    <w:p w:rsidR="00A31137" w:rsidRPr="00A31137" w:rsidRDefault="00A31137" w:rsidP="00A31137">
      <w:r w:rsidRPr="00A31137">
        <w:t>The House rewrote the amendment once more before sending it to the Senate, this time adopting, without recorded debate, language derived from a proposal by Fisher Ames of Massachusetts:</w:t>
      </w:r>
    </w:p>
    <w:p w:rsidR="00A31137" w:rsidRPr="00A31137" w:rsidRDefault="00A31137" w:rsidP="00A31137">
      <w:r w:rsidRPr="00A31137">
        <w:t>1992, Lee v. Weisman, 505 U.S. 613</w:t>
      </w:r>
    </w:p>
    <w:p w:rsidR="00A31137" w:rsidRPr="00A31137" w:rsidRDefault="00A31137" w:rsidP="00A31137">
      <w:r w:rsidRPr="00A31137">
        <w:t>Congress shall make no law establishing Religion, or prohibiting the free exercise thereof, nor shall the rights of conscience be infringed.</w:t>
      </w:r>
    </w:p>
    <w:p w:rsidR="00A31137" w:rsidRPr="00A31137" w:rsidRDefault="00A31137" w:rsidP="00A31137">
      <w:r w:rsidRPr="00A31137">
        <w:t>1992, Lee v. Weisman, 505 U.S. 613</w:t>
      </w:r>
    </w:p>
    <w:p w:rsidR="00A31137" w:rsidRPr="00A31137" w:rsidRDefault="00A31137" w:rsidP="00A31137">
      <w:r w:rsidRPr="00A31137">
        <w:t>1 Documentary History of the First Federal Congress of the United States of America 136 (Senate Journal) (L. de Pauw ed.1972); see 1 Annals of Cong. 765 (1789). Perhaps, on further reflection, the Representatives had thought Livermore's proposal too expansive, or perhaps, as one historian has suggested, they had simply worried that his language would not "satisfy the demands of those who wanted something said specifically against establishments of religion." L. Levy, The Establishment Clause 81 (1986) (hereinafter Levy). We do not know; what we do know is that the House rejected the Select Committee's version, which arguably ensured only that "no religion" enjoyed an official preference over others, and deliberately chose instead a prohibition extending to laws establishing "religion" in general.</w:t>
      </w:r>
    </w:p>
    <w:p w:rsidR="00A31137" w:rsidRPr="00A31137" w:rsidRDefault="00A31137" w:rsidP="00A31137">
      <w:r w:rsidRPr="00A31137">
        <w:t>1992, Lee v. Weisman, 505 U.S. 613</w:t>
      </w:r>
    </w:p>
    <w:p w:rsidR="00A31137" w:rsidRPr="00A31137" w:rsidRDefault="00A31137" w:rsidP="00A31137">
      <w:r w:rsidRPr="00A31137">
        <w:t>The sequence of the Senate's treatment of this House proposal, and the House's response to the Senate, confirm that the Framers meant the Establishment Clause's prohibition to encompass nonpreferential aid to religion. In September, 1789, the Senate considered a number of provisions that would have permitted such aid, and ultimately it adopted one of them. First, it briefly entertained this language:</w:t>
      </w:r>
    </w:p>
    <w:p w:rsidR="00A31137" w:rsidRPr="00A31137" w:rsidRDefault="00A31137" w:rsidP="00A31137">
      <w:r w:rsidRPr="00A31137">
        <w:t>1992, Lee v. Weisman, 505 U.S. 613</w:t>
      </w:r>
    </w:p>
    <w:p w:rsidR="00A31137" w:rsidRPr="00A31137" w:rsidRDefault="00A31137" w:rsidP="00A31137">
      <w:r w:rsidRPr="00A31137">
        <w:t>Congress shall make no law establishing One Religious Sect or Society in preference to others, nor shall the rights of conscience be infringed.</w:t>
      </w:r>
    </w:p>
    <w:p w:rsidR="00A31137" w:rsidRPr="00A31137" w:rsidRDefault="00A31137" w:rsidP="00A31137">
      <w:r w:rsidRPr="00A31137">
        <w:t>1992, Lee v. Weisman, 505 U.S. 613</w:t>
      </w:r>
    </w:p>
    <w:p w:rsidR="00A31137" w:rsidRPr="00A31137" w:rsidRDefault="00A31137" w:rsidP="00A31137">
      <w:r w:rsidRPr="00A31137">
        <w:t>See 1 Documentary History at 151 [505 U.S. 614] (Senate Journal). After rejecting two minor amendments to that proposal, see ibid., the Senate dropped it altogether and chose a provision identical to the House's proposal, but without the clause protecting the "rights of conscience," ibid. With no record of the Senate debates, we cannot know what prompted these changes, but the record does tell us that, six days later, the Senate went half circle and adopted its narrowest language yet: "Congress shall make no law establishing articles of faith or a mode of worship, or prohibiting the free exercise of religion." Id. at 166. The Senate sent this proposal to the House, along with its versions of the other constitutional amendments proposed.</w:t>
      </w:r>
    </w:p>
    <w:p w:rsidR="00A31137" w:rsidRPr="00A31137" w:rsidRDefault="00A31137" w:rsidP="00A31137">
      <w:r w:rsidRPr="00A31137">
        <w:t>1992, Lee v. Weisman, 505 U.S. 614</w:t>
      </w:r>
    </w:p>
    <w:p w:rsidR="00A31137" w:rsidRPr="00A31137" w:rsidRDefault="00A31137" w:rsidP="00A31137">
      <w:r w:rsidRPr="00A31137">
        <w:t>Though it accepted much of the Senate's work on the Bill of Rights, the House rejected the Senate's version of the Establishment Clause, and called for a joint conference committee, to which the Senate agreed. The House conferees ultimately won out, persuading the Senate to accept this as the final text of the Religion Clauses: "Congress shall make no law respecting an establishment of religion, or prohibiting the free exercise thereof." What is remarkable is that, unlike the earliest House drafts or the final Senate proposal, the prevailing language is not limited to laws respecting an establishment of "a religion," "a national religion," "one religious sect," or specific "articles of faith." 2 The Framers repeatedly [505 U.S. 615] considered and deliberately rejected such narrow language, and instead extended their prohibition to state support for "religion" in general.</w:t>
      </w:r>
    </w:p>
    <w:p w:rsidR="00A31137" w:rsidRPr="00A31137" w:rsidRDefault="00A31137" w:rsidP="00A31137">
      <w:r w:rsidRPr="00A31137">
        <w:t>1992, Lee v. Weisman, 505 U.S. 615</w:t>
      </w:r>
    </w:p>
    <w:p w:rsidR="00A31137" w:rsidRPr="00A31137" w:rsidRDefault="00A31137" w:rsidP="00A31137">
      <w:r w:rsidRPr="00A31137">
        <w:t>Implicit in their choice is the distinction between preferential and nonpreferential establishments, which the weight of evidence suggests the Framers appreciated. See, e.g., Laycock, "Nonpreferential" Aid 902-906; Levy 91-119. But cf. T. Curry, The First Freedoms 208-222 (1986). Of particular note, the Framers were vividly familiar with efforts in the colonies and, later, the States to impose general, nondenominational assessments and other incidents of ostensibly ecumenical establishments. See generally Levy 1-62. The Virginia Statute for Religious Freedom, written by Jefferson and sponsored by Madison, captured the separationist response to such measures. Condemning all establishments, however nonpreferentialist, the Statute broadly guaranteed that "no man shall be compelled to frequent or support any religious worship, place, or ministry whatsoever," including his own. Act for Establishing Religious Freedom (1785), in 5 The Founders' Constitution 84, 85 (P. Kurland &amp; R. Lerner eds.1987). Forcing a citizen to support even his own church would, among other things, deny</w:t>
      </w:r>
    </w:p>
    <w:p w:rsidR="00A31137" w:rsidRPr="00A31137" w:rsidRDefault="00A31137" w:rsidP="00A31137">
      <w:r w:rsidRPr="00A31137">
        <w:t>1992, Lee v. Weisman, 505 U.S. 615</w:t>
      </w:r>
    </w:p>
    <w:p w:rsidR="00A31137" w:rsidRPr="00A31137" w:rsidRDefault="00A31137" w:rsidP="00A31137">
      <w:r w:rsidRPr="00A31137">
        <w:t>the ministry those temporary rewards which, proceeding from an approbation of their personal conduct, are an additional incitement to earnest and unremitting labours for the instruction of mankind.</w:t>
      </w:r>
    </w:p>
    <w:p w:rsidR="00A31137" w:rsidRPr="00A31137" w:rsidRDefault="00A31137" w:rsidP="00A31137">
      <w:r w:rsidRPr="00A31137">
        <w:t>1992, Lee v. Weisman, 505 U.S. 615</w:t>
      </w:r>
    </w:p>
    <w:p w:rsidR="00A31137" w:rsidRPr="00A31137" w:rsidRDefault="00A31137" w:rsidP="00A31137">
      <w:r w:rsidRPr="00A31137">
        <w:t>Id. at 84. In general, Madison later added, "religion &amp; Govt. will both exist in greater purity, the less they are mixed together." Letter from J. Madison to E. Livingston, 10 July 1822, in 5 The Founders' Constitution, at 105, 106.</w:t>
      </w:r>
    </w:p>
    <w:p w:rsidR="00A31137" w:rsidRPr="00A31137" w:rsidRDefault="00A31137" w:rsidP="00A31137">
      <w:r w:rsidRPr="00A31137">
        <w:t>1992, Lee v. Weisman, 505 U.S. 615</w:t>
      </w:r>
    </w:p>
    <w:p w:rsidR="00A31137" w:rsidRPr="00A31137" w:rsidRDefault="00A31137" w:rsidP="00A31137">
      <w:r w:rsidRPr="00A31137">
        <w:t>What we thus know of the Framers' experience underscores the observation of one prominent commentator that confining the Establishment Clause to a prohibition on preferential aid</w:t>
      </w:r>
    </w:p>
    <w:p w:rsidR="00A31137" w:rsidRPr="00A31137" w:rsidRDefault="00A31137" w:rsidP="00A31137">
      <w:r w:rsidRPr="00A31137">
        <w:t>1992, Lee v. Weisman, 505 U.S. 615</w:t>
      </w:r>
    </w:p>
    <w:p w:rsidR="00A31137" w:rsidRPr="00A31137" w:rsidRDefault="00A31137" w:rsidP="00A31137">
      <w:r w:rsidRPr="00A31137">
        <w:t>requires a premise that the Framers were extraordinarily bad drafters—that they believed one thing, but adopted language that said something substantially different, and that they did so after repeatedly attending to the [505 U.S. 616] choice of language.</w:t>
      </w:r>
      <w:r w:rsidRPr="00A31137">
        <w:cr/>
      </w:r>
    </w:p>
    <w:p w:rsidR="00A31137" w:rsidRPr="00A31137" w:rsidRDefault="00A31137" w:rsidP="00A31137">
      <w:r w:rsidRPr="00A31137">
        <w:t>1992, Lee v. Weisman, 505 U.S. 616</w:t>
      </w:r>
    </w:p>
    <w:p w:rsidR="00A31137" w:rsidRPr="00A31137" w:rsidRDefault="00A31137" w:rsidP="00A31137">
      <w:r w:rsidRPr="00A31137">
        <w:t>Laycock, "Nonpreferential" Aid 882-883; see also Allegheny County v. American Civil Liberties Union, Greater Pittsburgh Chapter, 492 U.S. 573, 647-648 (1989) (opinion of STEVENS, J.). We must presume, since there is no conclusive evidence to the contrary, that the Framers embraced the significance of their textual judgment. 3 Thus, on balance, history neither contradicts nor warrants reconsideration of the settled principle that the Establishment Clause forbids support for religion in general no less than support for one religion or some.</w:t>
      </w:r>
    </w:p>
    <w:p w:rsidR="00A31137" w:rsidRPr="00A31137" w:rsidRDefault="00A31137" w:rsidP="00A31137">
      <w:r w:rsidRPr="00A31137">
        <w:t>C</w:t>
      </w:r>
    </w:p>
    <w:p w:rsidR="00A31137" w:rsidRPr="00A31137" w:rsidRDefault="00A31137" w:rsidP="00A31137">
      <w:r w:rsidRPr="00A31137">
        <w:t>1992, Lee v. Weisman, 505 U.S. 616</w:t>
      </w:r>
    </w:p>
    <w:p w:rsidR="00A31137" w:rsidRPr="00A31137" w:rsidRDefault="00A31137" w:rsidP="00A31137">
      <w:r w:rsidRPr="00A31137">
        <w:t>While these considerations are, for me, sufficient to reject the nonpreferentialist position, one further concern animates my judgment. In many contexts, including this one, nonpreferentialism requires some distinction between "sectarian" religious practices and those that would be, by some measure, ecumenical enough to pass Establishment Clause muster. Simply by requiring the enquiry, nonpreferentialists invite the courts to engage in comparative theology. I can hardly imagine a subject less amenable to the competence [505 U.S. 617] of the federal judiciary, or more deliberately to be avoided where possible.</w:t>
      </w:r>
    </w:p>
    <w:p w:rsidR="00A31137" w:rsidRPr="00A31137" w:rsidRDefault="00A31137" w:rsidP="00A31137">
      <w:r w:rsidRPr="00A31137">
        <w:t>1992, Lee v. Weisman, 505 U.S. 617</w:t>
      </w:r>
    </w:p>
    <w:p w:rsidR="00A31137" w:rsidRPr="00A31137" w:rsidRDefault="00A31137" w:rsidP="00A31137">
      <w:r w:rsidRPr="00A31137">
        <w:t>This case is nicely in point. Since the nonpreferentiality of a prayer must be judged by its text, JUSTICE BLACKMUN pertinently observes, ante at  604, n. 5, that Rabbi Gutterman drew his exhortation "[t]o do justly, to love mercy, to walk humbly" straight from the King James version of Micah, ch. 6, v. 8. At some undefinable point, the similarities between a state-sponsored prayer and the sacred text of a specific religion would so closely identify the former with the latter that even a nonpreferentialist would have to concede a breach of the Establishment Clause. And even if Micah's thought is sufficiently generic for most believers, it still embodies a straightforwardly Theistic premise, and so does the Rabbi's prayer. Many Americans who consider themselves religious are not Theistic; some, like several of the Framers, are Deists who would question Rabbi Gutterman's plea for divine advancement of the country's political and moral good. Thus, a nonpreferentialist who would condemn subjecting public school graduates to, say, the Anglican liturgy would still need to explain why the government's preference for Theistic over non-Theistic religion is constitutional.</w:t>
      </w:r>
    </w:p>
    <w:p w:rsidR="00A31137" w:rsidRPr="00A31137" w:rsidRDefault="00A31137" w:rsidP="00A31137">
      <w:r w:rsidRPr="00A31137">
        <w:t>1992, Lee v. Weisman, 505 U.S. 617</w:t>
      </w:r>
    </w:p>
    <w:p w:rsidR="00A31137" w:rsidRPr="00A31137" w:rsidRDefault="00A31137" w:rsidP="00A31137">
      <w:r w:rsidRPr="00A31137">
        <w:t>Nor does it solve the problem to say that the State should promote a "diversity" of religious views; that position would necessarily compel the government and, inevitably, the courts to make wholly inappropriate judgments about the number of religions the State should sponsor and the relative frequency with which it should sponsor each. In fact, the prospect would be even worse than that. As Madison observed in criticizing religious presidential proclamations, the practice of sponsoring religious messages tends, over time, "to narrow the recommendation to the standard of the predominant sect." Madison's "Detached Memoranda," 3 Wm. &amp; Mary Q. 534, 561 (E. Fleet ed.1946) (hereinafter Madison's "Detached Memoranda"). We have not changed much since the days of Madison, and the judiciary should not [505 U.S. 618] willingly enter the political arena to battle the centripetal force leading from religious pluralism to official preference for the faith with the most votes.</w:t>
      </w:r>
    </w:p>
    <w:p w:rsidR="00A31137" w:rsidRPr="00A31137" w:rsidRDefault="00A31137" w:rsidP="00A31137">
      <w:r w:rsidRPr="00A31137">
        <w:t>II</w:t>
      </w:r>
    </w:p>
    <w:p w:rsidR="00A31137" w:rsidRPr="00A31137" w:rsidRDefault="00A31137" w:rsidP="00A31137">
      <w:r w:rsidRPr="00A31137">
        <w:t>1992, Lee v. Weisman, 505 U.S. 618</w:t>
      </w:r>
    </w:p>
    <w:p w:rsidR="00A31137" w:rsidRPr="00A31137" w:rsidRDefault="00A31137" w:rsidP="00A31137">
      <w:r w:rsidRPr="00A31137">
        <w:t>Petitioners rest most of their argument on a theory that, whether or not the Establishment Clause permits extensive nonsectarian support for religion, it does not forbid the state to sponsor affirmations of religious belief that coerce neither support for religion nor participation in religious observance. I appreciate the force of some of the arguments supporting a "coercion" analysis of the Clause. See generally Allegheny County, supra, 492 U.S. at 655-679 (opinion of KENNEDY, J.); McConnell, Coercion: The Lost Element of Establishment, 27 Wm. &amp; Mary L.Rev. 933 (1986). But we could not adopt that reading without abandoning our settled law, a course that, in my view, the text of the Clause would not readily permit. Nor does the extratextual evidence of original meaning stand so unequivocally at odds with the textual premise inherent in existing precedent that we should fundamentally reconsider our course.</w:t>
      </w:r>
    </w:p>
    <w:p w:rsidR="00A31137" w:rsidRPr="00A31137" w:rsidRDefault="00A31137" w:rsidP="00A31137">
      <w:r w:rsidRPr="00A31137">
        <w:t>A</w:t>
      </w:r>
    </w:p>
    <w:p w:rsidR="00A31137" w:rsidRPr="00A31137" w:rsidRDefault="00A31137" w:rsidP="00A31137">
      <w:r w:rsidRPr="00A31137">
        <w:t>1992, Lee v. Weisman, 505 U.S. 618</w:t>
      </w:r>
    </w:p>
    <w:p w:rsidR="00A31137" w:rsidRPr="00A31137" w:rsidRDefault="00A31137" w:rsidP="00A31137">
      <w:r w:rsidRPr="00A31137">
        <w:t>Over the years, this Court has declared the invalidity of many noncoercive state laws and practices conveying a message of religious endorsement. For example, in Allegheny County, supra, we forbade the prominent display of a nativity scene on public property; without contesting the dissent's observation that the creche coerced no one into accepting or supporting whatever message it proclaimed, five Members of the Court found its display unconstitutional as a state endorsement of Christianity. Id. at 589-594, 598-602. Likewise, in Wallace v. Jaffree, 472 U.S. 38 (1985), we struck down a state law requiring a moment of silence in public classrooms not because the statute coerced students to participate in prayer (for it did not), but because the manner of [505 U.S. 619] its enactment "convey[ed] a message of state approval of prayer activities in the public schools." Id. at 61; see also id. at 67-84 (O'CONNOR, J., concurring in judgment). Cf. Engel v. Vitale, 370 U.S. at  431 ("When the power, prestige and financial support of government is placed behind a particular religious belief, the indirect coercive pressure upon religious minorities to conform to the prevailing officially approved religion is plain. But the purposes underlying the Establishment Clause go much further than that").</w:t>
      </w:r>
    </w:p>
    <w:p w:rsidR="00A31137" w:rsidRPr="00A31137" w:rsidRDefault="00A31137" w:rsidP="00A31137">
      <w:r w:rsidRPr="00A31137">
        <w:t>1992, Lee v. Weisman, 505 U.S. 619</w:t>
      </w:r>
    </w:p>
    <w:p w:rsidR="00A31137" w:rsidRPr="00A31137" w:rsidRDefault="00A31137" w:rsidP="00A31137">
      <w:r w:rsidRPr="00A31137">
        <w:t>In Epperson v. Arkansas, 393 U.S. 97 (1968), we invalidated a state law that barred the teaching of Darwin's theory of evolution because, even though the statute obviously did not coerce anyone to support religion or participate in any religious practice, it was enacted for a singularly religious purpose. See also Edwards v. Aguillard, 482 U.S. 578,  593 (1987) (statute requiring instruction in "creation science" "endorses religion in violation of the First Amendment"). And in School Dist. of Grand Rapids v. Ball, 473 U.S. 373 (1985), we invalidated a program whereby the State sent public school teachers to parochial schools to instruct students on ostensibly nonreligious matters; while the scheme clearly did not coerce anyone to receive or subsidize religious instruction, we held it invalid because, among other things,</w:t>
      </w:r>
    </w:p>
    <w:p w:rsidR="00A31137" w:rsidRPr="00A31137" w:rsidRDefault="00A31137" w:rsidP="00A31137">
      <w:r w:rsidRPr="00A31137">
        <w:t>1992, Lee v. Weisman, 505 U.S. 619</w:t>
      </w:r>
    </w:p>
    <w:p w:rsidR="00A31137" w:rsidRPr="00A31137" w:rsidRDefault="00A31137" w:rsidP="00A31137">
      <w:r w:rsidRPr="00A31137">
        <w:t>[t]he symbolic union of church and state inherent in the [program] threatens to convey a message of state support for religion to students and to the general public.</w:t>
      </w:r>
    </w:p>
    <w:p w:rsidR="00A31137" w:rsidRPr="00A31137" w:rsidRDefault="00A31137" w:rsidP="00A31137">
      <w:r w:rsidRPr="00A31137">
        <w:t>1992, Lee v. Weisman, 505 U.S. 619</w:t>
      </w:r>
    </w:p>
    <w:p w:rsidR="00A31137" w:rsidRPr="00A31137" w:rsidRDefault="00A31137" w:rsidP="00A31137">
      <w:r w:rsidRPr="00A31137">
        <w:t>Id. at  397; see also Texas Monthly, Inc. v. Bullock, 489 U.S. at  17 (plurality opinion) (tax exemption benefiting only religious publications "effectively endorses religious belief"); id. at  28 (BLACKMUN, J., concurring in judgment) (exemption unconstitutional because State "engaged in preferential support for the communication of religious messages").</w:t>
      </w:r>
    </w:p>
    <w:p w:rsidR="00A31137" w:rsidRPr="00A31137" w:rsidRDefault="00A31137" w:rsidP="00A31137">
      <w:r w:rsidRPr="00A31137">
        <w:t>1992, Lee v. Weisman, 505 U.S. 619</w:t>
      </w:r>
    </w:p>
    <w:p w:rsidR="00A31137" w:rsidRPr="00A31137" w:rsidRDefault="00A31137" w:rsidP="00A31137">
      <w:r w:rsidRPr="00A31137">
        <w:t xml:space="preserve">Our precedents may not always have drawn perfectly straight lines. They simply cannot, however, support the position that a showing of coercion is necessary to a successful Establishment Clause claim. [505 U.S. 620] </w:t>
      </w:r>
    </w:p>
    <w:p w:rsidR="00A31137" w:rsidRPr="00A31137" w:rsidRDefault="00A31137" w:rsidP="00A31137">
      <w:r w:rsidRPr="00A31137">
        <w:t>B</w:t>
      </w:r>
    </w:p>
    <w:p w:rsidR="00A31137" w:rsidRPr="00A31137" w:rsidRDefault="00A31137" w:rsidP="00A31137">
      <w:r w:rsidRPr="00A31137">
        <w:t>1992, Lee v. Weisman, 505 U.S. 620</w:t>
      </w:r>
    </w:p>
    <w:p w:rsidR="00A31137" w:rsidRPr="00A31137" w:rsidRDefault="00A31137" w:rsidP="00A31137">
      <w:r w:rsidRPr="00A31137">
        <w:t>Like the provisions about "due" process and "unreasonable" searches and seizures, the constitutional language forbidding laws "respecting an establishment of religion" is not pellucid. But virtually everyone acknowledges that the Clause bans more than formal establishments of religion in the traditional sense, that is, massive state support for religion through, among other means, comprehensive schemes of taxation. See generally Levy 1-62 (discussing such establishments in the colonies and early States). This much follows from the Framers' explicit rejection of simpler provisions prohibiting either the establishment of a religion or laws "establishing religion" in favor of the broader ban on laws "respecting an establishment of religion." See supra at 612-614.</w:t>
      </w:r>
    </w:p>
    <w:p w:rsidR="00A31137" w:rsidRPr="00A31137" w:rsidRDefault="00A31137" w:rsidP="00A31137">
      <w:r w:rsidRPr="00A31137">
        <w:t>1992, Lee v. Weisman, 505 U.S. 620</w:t>
      </w:r>
    </w:p>
    <w:p w:rsidR="00A31137" w:rsidRPr="00A31137" w:rsidRDefault="00A31137" w:rsidP="00A31137">
      <w:r w:rsidRPr="00A31137">
        <w:t xml:space="preserve">While some argue that the Framers added the word "respecting" simply to foreclose federal interference with State establishments of religion, see, e.g., Amar, The Bill of Rights as a Constitution, 100 Yale L.J. 1131, 1157 (1991), the language sweeps more broadly than that. In Madison's words, the Clause in its final form forbids "everything like" a national religious establishment, see Madison's "Detached Memoranda" 558, and, after incorporation, it forbids "everything like" a State religious establishment. 4 Cf. Allegheny County, 492 U.S. at  649 (opinion of STEVENS, J.). The sweep is broad enough that Madison himself characterized congressional provisions for legislative and military chaplains as unconstitutional "establishments." Madison's "Detached Memoranda" 558-559; see infra, at 624-625, and n. 6. [505 U.S. 621] </w:t>
      </w:r>
    </w:p>
    <w:p w:rsidR="00A31137" w:rsidRPr="00A31137" w:rsidRDefault="00A31137" w:rsidP="00A31137">
      <w:r w:rsidRPr="00A31137">
        <w:t>1992, Lee v. Weisman, 505 U.S. 621</w:t>
      </w:r>
    </w:p>
    <w:p w:rsidR="00A31137" w:rsidRPr="00A31137" w:rsidRDefault="00A31137" w:rsidP="00A31137">
      <w:r w:rsidRPr="00A31137">
        <w:t>While petitioners insist that the prohibition extends only to the "coercive" features and incident of establishment, they cannot easily square that claim with the constitutional text. The First Amendment forbids not just laws "respecting an establishment of religion," but also those "prohibiting the free exercise thereof." Yet laws that coerce nonadherents to "support or participate in any religion or its exercise," Allegheny County, supra, at 659-660 (opinion of KENNEDY, J.), would, virtually by definition, violate their right to religious free exercise. See Employment Div., Dept. of Human Resources of Ore. v. Smith, 494 U.S. 872,  877 (1990) (under Free Exercise Clause, "government may not compel affirmation of religious belief"), citing Torcaso v. Watkins, 367 U.S. 488 (1961); see also J. Madison, Memorial and Remonstrance Against Religious Assessments (1785) (compelling support for religious establishments violates "free exercise of Religion"), quoted in 5 The Founders' Constitution, at 82, 84. Thus, a literal application of the coercion test would render the Establishment Clause a virtual nullity, as petitioners' counsel essentially conceded at oral argument. Tr. of Oral Arg. 18.</w:t>
      </w:r>
    </w:p>
    <w:p w:rsidR="00A31137" w:rsidRPr="00A31137" w:rsidRDefault="00A31137" w:rsidP="00A31137">
      <w:r w:rsidRPr="00A31137">
        <w:t>1992, Lee v. Weisman, 505 U.S. 621</w:t>
      </w:r>
    </w:p>
    <w:p w:rsidR="00A31137" w:rsidRPr="00A31137" w:rsidRDefault="00A31137" w:rsidP="00A31137">
      <w:r w:rsidRPr="00A31137">
        <w:t>Our cases presuppose as much; as we said in School Dist. of Abington, supra,</w:t>
      </w:r>
    </w:p>
    <w:p w:rsidR="00A31137" w:rsidRPr="00A31137" w:rsidRDefault="00A31137" w:rsidP="00A31137">
      <w:r w:rsidRPr="00A31137">
        <w:t>1992, Lee v. Weisman, 505 U.S. 621</w:t>
      </w:r>
    </w:p>
    <w:p w:rsidR="00A31137" w:rsidRPr="00A31137" w:rsidRDefault="00A31137" w:rsidP="00A31137">
      <w:r w:rsidRPr="00A31137">
        <w:t>[t]he distinction between the two clauses is apparent—a violation of the Free Exercise Clause is predicated on coercion while the Establishment Clause violation need not be so attended.</w:t>
      </w:r>
    </w:p>
    <w:p w:rsidR="00A31137" w:rsidRPr="00A31137" w:rsidRDefault="00A31137" w:rsidP="00A31137">
      <w:r w:rsidRPr="00A31137">
        <w:t>1992, Lee v. Weisman, 505 U.S. 621</w:t>
      </w:r>
    </w:p>
    <w:p w:rsidR="00A31137" w:rsidRPr="00A31137" w:rsidRDefault="00A31137" w:rsidP="00A31137">
      <w:r w:rsidRPr="00A31137">
        <w:t xml:space="preserve">374 U.S. at  223; see also Laycock, "Nonpreferential" Aid 922 ("If coercion is…an element of the establishment clause, establishment adds nothing to free exercise"). While one may argue that the Framers meant the Establishment Clause simply to ornament the First Amendment, cf. T. Curry, The First Freedoms 216-217 (1986), that must be a reading of last resort. Without compelling evidence to the contrary, we should presume that the Framers meant the Clause to stand for something more than petitioners attribute to it. [505 U.S. 622] </w:t>
      </w:r>
    </w:p>
    <w:p w:rsidR="00A31137" w:rsidRPr="00A31137" w:rsidRDefault="00A31137" w:rsidP="00A31137">
      <w:r w:rsidRPr="00A31137">
        <w:t>C</w:t>
      </w:r>
    </w:p>
    <w:p w:rsidR="00A31137" w:rsidRPr="00A31137" w:rsidRDefault="00A31137" w:rsidP="00A31137">
      <w:r w:rsidRPr="00A31137">
        <w:t>1992, Lee v. Weisman, 505 U.S. 622</w:t>
      </w:r>
    </w:p>
    <w:p w:rsidR="00A31137" w:rsidRPr="00A31137" w:rsidRDefault="00A31137" w:rsidP="00A31137">
      <w:r w:rsidRPr="00A31137">
        <w:t>Petitioners argue from the political setting in which the Establishment Clause was framed, and from the Framers' own political practices following ratification, that government may constitutionally endorse religion so long as it does not coerce religious conformity. The setting and the practices warrant canvassing, but while they yield some evidence for petitioners' argument, they do not reveal the degree of consensus in early constitutional thought that would raise a threat to stare decisis by challenging the presumption that the Establishment Clause adds something to the Free Exercise Clause that follows it.</w:t>
      </w:r>
    </w:p>
    <w:p w:rsidR="00A31137" w:rsidRPr="00A31137" w:rsidRDefault="00A31137" w:rsidP="00A31137">
      <w:r w:rsidRPr="00A31137">
        <w:t>1992, Lee v. Weisman, 505 U.S. 622</w:t>
      </w:r>
    </w:p>
    <w:p w:rsidR="00A31137" w:rsidRPr="00A31137" w:rsidRDefault="00A31137" w:rsidP="00A31137">
      <w:r w:rsidRPr="00A31137">
        <w:t>The Framers adopted the Religion Clauses in response to a long tradition of coercive state support for religion, particularly in the form of tax assessments, but their special antipathy to religious coercion did not exhaust their hostility to the features and incidents of establishment. Indeed, Jefferson and Madison opposed any political appropriation of religion, see infra at 623-626, and, even when challenging the hated assessments, they did not always temper their rhetoric with distinctions between coercive and noncoercive state action. When, for example, Madison criticized Virginia's general assessment bill, he invoked principles antithetical to all state efforts to promote religion. An assessment, he wrote, is improper not simply because it forces people to donate "three pence" to religion, but, more broadly, because</w:t>
      </w:r>
    </w:p>
    <w:p w:rsidR="00A31137" w:rsidRPr="00A31137" w:rsidRDefault="00A31137" w:rsidP="00A31137">
      <w:r w:rsidRPr="00A31137">
        <w:t>1992, Lee v. Weisman, 505 U.S. 622</w:t>
      </w:r>
    </w:p>
    <w:p w:rsidR="00A31137" w:rsidRPr="00A31137" w:rsidRDefault="00A31137" w:rsidP="00A31137">
      <w:r w:rsidRPr="00A31137">
        <w:t>it is itself a signal of persecution. It degrades from the equal rank of Citizens all those whose opinions in Religion do not bend to those of the Legislative authority.</w:t>
      </w:r>
    </w:p>
    <w:p w:rsidR="00A31137" w:rsidRPr="00A31137" w:rsidRDefault="00A31137" w:rsidP="00A31137">
      <w:r w:rsidRPr="00A31137">
        <w:t>1992, Lee v. Weisman, 505 U.S. 622</w:t>
      </w:r>
    </w:p>
    <w:p w:rsidR="00A31137" w:rsidRPr="00A31137" w:rsidRDefault="00A31137" w:rsidP="00A31137">
      <w:r w:rsidRPr="00A31137">
        <w:t>J. Madison, Memorial and Remonstrance Against Religious Assessments (1785), in 5 The Founders' Constitution, at 83. Madison saw that, even without the tax collector's participation, an official endorsement of religion can impair religious liberty.</w:t>
      </w:r>
    </w:p>
    <w:p w:rsidR="00A31137" w:rsidRPr="00A31137" w:rsidRDefault="00A31137" w:rsidP="00A31137">
      <w:r w:rsidRPr="00A31137">
        <w:t>1992, Lee v. Weisman, 505 U.S. 622</w:t>
      </w:r>
    </w:p>
    <w:p w:rsidR="00A31137" w:rsidRPr="00A31137" w:rsidRDefault="00A31137" w:rsidP="00A31137">
      <w:r w:rsidRPr="00A31137">
        <w:t>Petitioners contend that, because the early Presidents included religious messages in their inaugural and Thanksgiving Day addresses, the Framers could not have meant the [505 U.S. 623] Establishment Clause to forbid noncoercive state endorsement of religion. The argument ignores the fact, however, that Americans today find such proclamations less controversial than did the founding generation, whose published thoughts on the matter belie petitioners' claim. President Jefferson, for example, steadfastly refused to issue Thanksgiving proclamations of any kind, in part because he thought they violated the Religion Clauses. Letter from Thomas Jefferson to Rev. S. Miller (Jan. 23, 1808), in 5 The Founders' Constitution, at 98. In explaining his views to the Reverend Samuel Miller, Jefferson effectively anticipated, and rejected, petitioners' position:</w:t>
      </w:r>
    </w:p>
    <w:p w:rsidR="00A31137" w:rsidRPr="00A31137" w:rsidRDefault="00A31137" w:rsidP="00A31137">
      <w:r w:rsidRPr="00A31137">
        <w:t>1992, Lee v. Weisman, 505 U.S. 623</w:t>
      </w:r>
    </w:p>
    <w:p w:rsidR="00A31137" w:rsidRPr="00A31137" w:rsidRDefault="00A31137" w:rsidP="00A31137">
      <w:r w:rsidRPr="00A31137">
        <w:t>[I]t is only proposed that I should recommend, not prescribe, a day of fasting &amp; prayer. That is, that I should indirectly assume to the U.S. an authority over religious exercises which the Constitution has directly precluded from them. It must be meant too that this recommendation is to carry some authority, and to be sanctioned by some penalty on those who disregard it; not indeed of fine and imprisonment, but of some degree of proscription, perhaps in public opinion.</w:t>
      </w:r>
    </w:p>
    <w:p w:rsidR="00A31137" w:rsidRPr="00A31137" w:rsidRDefault="00A31137" w:rsidP="00A31137">
      <w:r w:rsidRPr="00A31137">
        <w:t>1992, Lee v. Weisman, 505 U.S. 623</w:t>
      </w:r>
    </w:p>
    <w:p w:rsidR="00A31137" w:rsidRPr="00A31137" w:rsidRDefault="00A31137" w:rsidP="00A31137">
      <w:r w:rsidRPr="00A31137">
        <w:t>Id. at 98-99 (emphasis in original). By condemning such noncoercive state practices that, in "recommending" the majority faith, demean religious dissenters "in public opinion," Jefferson necessarily condemned what, in modern terms, we call official endorsement of religion. He accordingly construed the Establishment Clause to forbid not simply state coercion, but also state endorsement, of religious belief and observance. 5 And if he opposed [505 U.S. 624] impersonal presidential addresses for inflicting "proscription in public opinion," all the more would he have condemned less diffuse expressions of official endorsement.</w:t>
      </w:r>
    </w:p>
    <w:p w:rsidR="00A31137" w:rsidRPr="00A31137" w:rsidRDefault="00A31137" w:rsidP="00A31137">
      <w:r w:rsidRPr="00A31137">
        <w:t>1992, Lee v. Weisman, 505 U.S. 624</w:t>
      </w:r>
    </w:p>
    <w:p w:rsidR="00A31137" w:rsidRPr="00A31137" w:rsidRDefault="00A31137" w:rsidP="00A31137">
      <w:r w:rsidRPr="00A31137">
        <w:t>During his first three years in office, James Madison also refused to call for days of thanksgiving and prayer, though later, amid the political turmoil of the War of 1812, he did so on four separate occasions. See Madison's "Detached Memoranda," 562, and n. 54. Upon retirement, in an essay condemning as an unconstitutional "establishment" the use of public money to support congressional and military chaplains, id. at 558-560, 6 he concluded that</w:t>
      </w:r>
    </w:p>
    <w:p w:rsidR="00A31137" w:rsidRPr="00A31137" w:rsidRDefault="00A31137" w:rsidP="00A31137">
      <w:r w:rsidRPr="00A31137">
        <w:t>1992, Lee v. Weisman, 505 U.S. 624</w:t>
      </w:r>
    </w:p>
    <w:p w:rsidR="00A31137" w:rsidRPr="00A31137" w:rsidRDefault="00A31137" w:rsidP="00A31137">
      <w:r w:rsidRPr="00A31137">
        <w:t>[r]eligious proclamations [505 U.S. 625] by the Executive recommending thanksgivings &amp; fasts are shoots from the same root with the legislative acts reviewed. Altho' recommendations only, they imply a religious agency, making no part of the trust delegated to political rulers.</w:t>
      </w:r>
    </w:p>
    <w:p w:rsidR="00A31137" w:rsidRPr="00A31137" w:rsidRDefault="00A31137" w:rsidP="00A31137">
      <w:r w:rsidRPr="00A31137">
        <w:t>1992, Lee v. Weisman, 505 U.S. 625</w:t>
      </w:r>
    </w:p>
    <w:p w:rsidR="00A31137" w:rsidRPr="00A31137" w:rsidRDefault="00A31137" w:rsidP="00A31137">
      <w:r w:rsidRPr="00A31137">
        <w:t>Id. at 560. Explaining that</w:t>
      </w:r>
    </w:p>
    <w:p w:rsidR="00A31137" w:rsidRPr="00A31137" w:rsidRDefault="00A31137" w:rsidP="00A31137">
      <w:r w:rsidRPr="00A31137">
        <w:t>1992, Lee v. Weisman, 505 U.S. 625</w:t>
      </w:r>
    </w:p>
    <w:p w:rsidR="00A31137" w:rsidRPr="00A31137" w:rsidRDefault="00A31137" w:rsidP="00A31137">
      <w:r w:rsidRPr="00A31137">
        <w:t>[t]he members of a Govt…can in no sense be regarded as possessing an advisory trust from their Constituents in their religious capacities,</w:t>
      </w:r>
    </w:p>
    <w:p w:rsidR="00A31137" w:rsidRPr="00A31137" w:rsidRDefault="00A31137" w:rsidP="00A31137">
      <w:r w:rsidRPr="00A31137">
        <w:t>1992, Lee v. Weisman, 505 U.S. 625</w:t>
      </w:r>
    </w:p>
    <w:p w:rsidR="00A31137" w:rsidRPr="00A31137" w:rsidRDefault="00A31137" w:rsidP="00A31137">
      <w:r w:rsidRPr="00A31137">
        <w:t>ibid., he further observed that the state necessarily freights all of its religious messages with political ones:</w:t>
      </w:r>
    </w:p>
    <w:p w:rsidR="00A31137" w:rsidRPr="00A31137" w:rsidRDefault="00A31137" w:rsidP="00A31137">
      <w:r w:rsidRPr="00A31137">
        <w:t>1992, Lee v. Weisman, 505 U.S. 625</w:t>
      </w:r>
    </w:p>
    <w:p w:rsidR="00A31137" w:rsidRPr="00A31137" w:rsidRDefault="00A31137" w:rsidP="00A31137">
      <w:r w:rsidRPr="00A31137">
        <w:t>the idea of policy [is] associated with religion, whatever be the mode or the occasion, when a function of the latter is assumed by those in power.</w:t>
      </w:r>
    </w:p>
    <w:p w:rsidR="00A31137" w:rsidRPr="00A31137" w:rsidRDefault="00A31137" w:rsidP="00A31137">
      <w:r w:rsidRPr="00A31137">
        <w:t>1992, Lee v. Weisman, 505 U.S. 625</w:t>
      </w:r>
    </w:p>
    <w:p w:rsidR="00A31137" w:rsidRPr="00A31137" w:rsidRDefault="00A31137" w:rsidP="00A31137">
      <w:r w:rsidRPr="00A31137">
        <w:t>Id. at 562 (footnote omitted).</w:t>
      </w:r>
    </w:p>
    <w:p w:rsidR="00A31137" w:rsidRPr="00A31137" w:rsidRDefault="00A31137" w:rsidP="00A31137">
      <w:r w:rsidRPr="00A31137">
        <w:t>1992, Lee v. Weisman, 505 U.S. 625</w:t>
      </w:r>
    </w:p>
    <w:p w:rsidR="00A31137" w:rsidRPr="00A31137" w:rsidRDefault="00A31137" w:rsidP="00A31137">
      <w:r w:rsidRPr="00A31137">
        <w:t>Madison's failure to keep pace with his principles in the face of congressional pressure cannot erase the principles. He admitted to backsliding, and explained that he had made the content of his wartime proclamations inconsequential enough to mitigate much of their impropriety. See ibid; see also Letter from J. Madison to E. Livingston (July 10, 1822), in 5 The Founders' Constitution, at 105. While his writings suggest mild variations in his interpretation of the Establishment Clause, Madison was no different in that respect from the rest of his political generation. That he expressed so much doubt about the constitutionality of religious proclamations, however, suggests a brand of separationism stronger even than that embodied in our traditional jurisprudence. So too does his characterization of public subsidies for legislative and military chaplains as unconstitutional "establishments," see supra at  624 and this page, and n. 6, for the federal courts, however expansive their general view of the Establishment Clause, have upheld both practices. See Marsh v. Chambers, 463 U.S. 783 (1983) (legislative chaplains); [505 U.S. 626] Katcoff v. Marsh, 755 F.2d 223 (CA2 1985) (military chaplains).</w:t>
      </w:r>
    </w:p>
    <w:p w:rsidR="00A31137" w:rsidRPr="00A31137" w:rsidRDefault="00A31137" w:rsidP="00A31137">
      <w:r w:rsidRPr="00A31137">
        <w:t>1992, Lee v. Weisman, 505 U.S. 626</w:t>
      </w:r>
    </w:p>
    <w:p w:rsidR="00A31137" w:rsidRPr="00A31137" w:rsidRDefault="00A31137" w:rsidP="00A31137">
      <w:r w:rsidRPr="00A31137">
        <w:t>To be sure, the leaders of the young Republic engaged in some of the practices that separationists like Jefferson and Madison criticized. The First Congress did hire institutional chaplains, see Marsh v. Chambers, supra, at  788, and Presidents Washington and Adams unapologetically marked days of "public thanksgiving and prayer," see R. Cord, Separation of Church and State 53 (1988). Yet in the face of the separationist dissent, those practices prove, at best, that the Framers simply did not share a common understanding of the Establishment Clause, and, at worst, that they, like other politicians, could raise constitutional ideals one day and turn their backs on them the next.</w:t>
      </w:r>
    </w:p>
    <w:p w:rsidR="00A31137" w:rsidRPr="00A31137" w:rsidRDefault="00A31137" w:rsidP="00A31137">
      <w:r w:rsidRPr="00A31137">
        <w:t>1992, Lee v. Weisman, 505 U.S. 626</w:t>
      </w:r>
    </w:p>
    <w:p w:rsidR="00A31137" w:rsidRPr="00A31137" w:rsidRDefault="00A31137" w:rsidP="00A31137">
      <w:r w:rsidRPr="00A31137">
        <w:t>Indeed, by 1787, the provisions of the state bills of rights had become what Madison called mere "paper parchments"—expressions of the most laudable sentiments, observed as much in the breach as in practice.</w:t>
      </w:r>
    </w:p>
    <w:p w:rsidR="00A31137" w:rsidRPr="00A31137" w:rsidRDefault="00A31137" w:rsidP="00A31137">
      <w:r w:rsidRPr="00A31137">
        <w:t>1992, Lee v. Weisman, 505 U.S. 626</w:t>
      </w:r>
    </w:p>
    <w:p w:rsidR="00A31137" w:rsidRPr="00A31137" w:rsidRDefault="00A31137" w:rsidP="00A31137">
      <w:r w:rsidRPr="00A31137">
        <w:t>Kurland, The Origins of the Religion Clauses of the Constitution, 27 Wm. &amp; Mary L.Rev. 839, 852 (1986) (footnote omitted). Sometimes the National Constitution fared no better. Ten years after proposing the First Amendment, Congress passed the Alien and Sedition Acts, measures patently unconstitutional by modern standards. If the early Congress's political actions were determinative, and not merely relevant, evidence of constitutional meaning, we would have to gut our current First Amendment doctrine to make room for political censor</w:t>
      </w:r>
    </w:p>
    <w:p w:rsidR="00A31137" w:rsidRPr="00A31137" w:rsidRDefault="00A31137" w:rsidP="00A31137">
      <w:r w:rsidRPr="00A31137">
        <w:t>1992, Lee v. Weisman, 505 U.S. 626</w:t>
      </w:r>
    </w:p>
    <w:p w:rsidR="00A31137" w:rsidRPr="00A31137" w:rsidRDefault="00A31137" w:rsidP="00A31137">
      <w:r w:rsidRPr="00A31137">
        <w:t xml:space="preserve">While we may be unable to know for certain what the Framers meant by the Clause, we do know that, around the time of its ratification, a respectable body of opinion supported a considerably broader reading than petitioners urge upon us. This consistency with the textual considerations is enough to preclude fundamentally reexamining our settled law, and I am accordingly left with the task of considering whether the state practice at issue here violates our traditional understanding of the Clause's proscriptions. [505 U.S. 627] </w:t>
      </w:r>
    </w:p>
    <w:p w:rsidR="00A31137" w:rsidRPr="00A31137" w:rsidRDefault="00A31137" w:rsidP="00A31137">
      <w:r w:rsidRPr="00A31137">
        <w:t>III</w:t>
      </w:r>
    </w:p>
    <w:p w:rsidR="00A31137" w:rsidRPr="00A31137" w:rsidRDefault="00A31137" w:rsidP="00A31137">
      <w:r w:rsidRPr="00A31137">
        <w:t>1992, Lee v. Weisman, 505 U.S. 627</w:t>
      </w:r>
    </w:p>
    <w:p w:rsidR="00A31137" w:rsidRPr="00A31137" w:rsidRDefault="00A31137" w:rsidP="00A31137">
      <w:r w:rsidRPr="00A31137">
        <w:t>While the Establishment Clause's concept of neutrality is not self-revealing, our recent cases have invested it with specific content: the state may not favor or endorse either religion generally over nonreligion or one religion over others. See, e.g., Allegheny County, 492 U.S. at 589-594; Texas Monthly, 489 U.S. at  17 (plurality opinion); id. at  28 (BLACKMUN, J., concurring in judgment); Edwards v. Aguillard, 482 U.S. at  593; School Dist. of Grand Rapids, 473 U.S. at 389-392; Wallace v. Jaffree, 472 U.S. at  61; see also Laycock, Formal, Substantive, and Disaggregated Neutrality Toward Religion, 39 De Paul L.Rev. 993 (1990); cf. Lemon v. Kurtzman, 403 U.S. 602, 612-613 (1971). This principle against favoritism and endorsement has become the foundation of Establishment Clause jurisprudence, ensuring that religious belief is irrelevant to every citizen's standing in the political community, see Allegheny County, supra, 492 U.S. at  594; J. Madison, Memorial and Remonstrance Against Religious Assessments (1785), in 5 The Founders' Constitution, at 82-83, and protecting religion from the demeaning effects of any governmental embrace, see id. at 83. Now, as in the early Republic, "religion &amp; Govt. will both exist in greater purity, the less they are mixed together." Letter from J. Madison to E. Livingston (10 July 1822), in 5 The Founders' Constitution, at 106. Our aspiration to religious liberty, embodied in the First Amendment, permits no other standard.</w:t>
      </w:r>
    </w:p>
    <w:p w:rsidR="00A31137" w:rsidRPr="00A31137" w:rsidRDefault="00A31137" w:rsidP="00A31137">
      <w:r w:rsidRPr="00A31137">
        <w:t>A</w:t>
      </w:r>
    </w:p>
    <w:p w:rsidR="00A31137" w:rsidRPr="00A31137" w:rsidRDefault="00A31137" w:rsidP="00A31137">
      <w:r w:rsidRPr="00A31137">
        <w:t>1992, Lee v. Weisman, 505 U.S. 627</w:t>
      </w:r>
    </w:p>
    <w:p w:rsidR="00A31137" w:rsidRPr="00A31137" w:rsidRDefault="00A31137" w:rsidP="00A31137">
      <w:r w:rsidRPr="00A31137">
        <w:t>That government must remain neutral in matters of religion does not foreclose it from ever taking religion into account. The State may "accommodate" the free exercise of religion by relieving people from generally applicable rules that interfere with their religious callings. See, e.g., Corporation of Presiding Bishop of Church of Jesus Christ of Latter-Day Saints v. Amos, 483 U.S. 327 (1987); see also Sherbert v. Verner, 374 U.S. 398 (1963). Contrary to the [505 U.S. 628] views of some, 7 such accommodation does not necessarily signify an official endorsement of religious observance over disbelief.</w:t>
      </w:r>
    </w:p>
    <w:p w:rsidR="00A31137" w:rsidRPr="00A31137" w:rsidRDefault="00A31137" w:rsidP="00A31137">
      <w:r w:rsidRPr="00A31137">
        <w:t>1992, Lee v. Weisman, 505 U.S. 628</w:t>
      </w:r>
    </w:p>
    <w:p w:rsidR="00A31137" w:rsidRPr="00A31137" w:rsidRDefault="00A31137" w:rsidP="00A31137">
      <w:r w:rsidRPr="00A31137">
        <w:t>In everyday life, we routinely accommodate religious beliefs that we do not share. A Christian inviting an Orthodox Jew to lunch might take pains to choose a kosher restaurant; an atheist in a hurry might yield the right of way to an Amish man steering a horse-drawn carriage. In so acting, we express respect for, but not endorsement of, the fundamental values of others. We act without expressing a position on the theological merit of those values or of religious belief in general, and no one perceives us to have taken such a position.</w:t>
      </w:r>
    </w:p>
    <w:p w:rsidR="00A31137" w:rsidRPr="00A31137" w:rsidRDefault="00A31137" w:rsidP="00A31137">
      <w:r w:rsidRPr="00A31137">
        <w:t>1992, Lee v. Weisman, 505 U.S. 628</w:t>
      </w:r>
    </w:p>
    <w:p w:rsidR="00A31137" w:rsidRPr="00A31137" w:rsidRDefault="00A31137" w:rsidP="00A31137">
      <w:r w:rsidRPr="00A31137">
        <w:t>The government may act likewise. Most religions encourage devotional practices that are at once crucial to the lives of believers and idiosyncratic in the eyes of nonadherents. By definition, secular rules of general application are drawn from the nonadherent's vantage and, consequently, fail to take such practices into account. Yet when enforcement of such rules cuts across religious sensibilities, as it often does, it puts those affected to the choice of taking sides between God and government. In such circumstances, accommodating religion reveals nothing beyond a recognition that general rules can unnecessarily offend the religious conscience when they offend the conscience of secular society not at all. Cf. Welsh v. United States, 398 U.S. 333,  340 (1970) (plurality opinion). Thus, in freeing the Native American Church from federal laws forbidding peyote use, see Drug Enforcement Administration Miscellaneous Exemptions, 21 CFR [505 U.S. 629] § 1307.31 (1991), the government conveys no endorsement of peyote rituals, the Church, or religion as such; it simply respects the centrality of peyote to the lives of certain Americans. See Note, The Free Exercise Boundaries of Permissible Accommodation Under the Establishment Clause, 99 Yale L.J. 1127, 1135-1136 (1990).</w:t>
      </w:r>
    </w:p>
    <w:p w:rsidR="00A31137" w:rsidRPr="00A31137" w:rsidRDefault="00A31137" w:rsidP="00A31137">
      <w:r w:rsidRPr="00A31137">
        <w:t>B</w:t>
      </w:r>
    </w:p>
    <w:p w:rsidR="00A31137" w:rsidRPr="00A31137" w:rsidRDefault="00A31137" w:rsidP="00A31137">
      <w:r w:rsidRPr="00A31137">
        <w:t>1992, Lee v. Weisman, 505 U.S. 629</w:t>
      </w:r>
    </w:p>
    <w:p w:rsidR="00A31137" w:rsidRPr="00A31137" w:rsidRDefault="00A31137" w:rsidP="00A31137">
      <w:r w:rsidRPr="00A31137">
        <w:t>Whatever else may define the scope of accommodation permissible under the Establishment Clause, one requirement is clear: accommodation must lift a discernible burden on the free exercise of religion. See Allegheny County, supra, 492 U.S. at  601, n. 51; id. at 631-632 (opinion of O'CONNOR, J.); Corporation of Presiding Bishop, supra, 483 U.S. at  348 (O'CONNOR, J., concurring in judgment); see also Texas Monthly, supra, 489 U.S. at  18, 18-19, n. 8 (plurality opinion); Wallace v. Jaffree, 472 U.S. at 57-58, n. 45. But see Allegheny County, supra, 492 U.S. at  663, n. 2 (opinion of KENNEDY, J.). Concern for the position of religious individuals in the modern regulatory state cannot justify official solicitude for a religious practice unburdened by general rules; such gratuitous largesse would effectively favor religion over disbelief. By these lights one easily sees that, in sponsoring the graduation prayers at issue here, the State has crossed the line from permissible accommodation to unconstitutional establishment.</w:t>
      </w:r>
    </w:p>
    <w:p w:rsidR="00A31137" w:rsidRPr="00A31137" w:rsidRDefault="00A31137" w:rsidP="00A31137">
      <w:r w:rsidRPr="00A31137">
        <w:t>1992, Lee v. Weisman, 505 U.S. 629</w:t>
      </w:r>
    </w:p>
    <w:p w:rsidR="00A31137" w:rsidRPr="00A31137" w:rsidRDefault="00A31137" w:rsidP="00A31137">
      <w:r w:rsidRPr="00A31137">
        <w:t>Religious students cannot complain that omitting prayers from their graduation ceremony would, in any realistic sense, "burden" their spiritual callings. To be sure, many of them invest this rite of passage with spiritual significance, but they may express their religious feelings about it before and after the ceremony. They may even organize a privately sponsored baccalaureate if they desire the company of likeminded students. Because they accordingly have no need for the machinery of the State to affirm their beliefs, the [505 U.S. 630] government's sponsorship of prayer at the graduation ceremony is most reasonably understood as an official endorsement of religion and, in this instance, of Theistic religion. One may fairly say, as one commentator has suggested, that the government brought prayer into the ceremony</w:t>
      </w:r>
    </w:p>
    <w:p w:rsidR="00A31137" w:rsidRPr="00A31137" w:rsidRDefault="00A31137" w:rsidP="00A31137">
      <w:r w:rsidRPr="00A31137">
        <w:t>1992, Lee v. Weisman, 505 U.S. 630</w:t>
      </w:r>
    </w:p>
    <w:p w:rsidR="00A31137" w:rsidRPr="00A31137" w:rsidRDefault="00A31137" w:rsidP="00A31137">
      <w:r w:rsidRPr="00A31137">
        <w:t>precisely because some people want a symbolic affirmation that government approves and endorses their religion, and because many of the people who want this affirmation place little or no value on the costs to religious minorities.</w:t>
      </w:r>
    </w:p>
    <w:p w:rsidR="00A31137" w:rsidRPr="00A31137" w:rsidRDefault="00A31137" w:rsidP="00A31137">
      <w:r w:rsidRPr="00A31137">
        <w:t>1992, Lee v. Weisman, 505 U.S. 630</w:t>
      </w:r>
    </w:p>
    <w:p w:rsidR="00A31137" w:rsidRPr="00A31137" w:rsidRDefault="00A31137" w:rsidP="00A31137">
      <w:r w:rsidRPr="00A31137">
        <w:t>Laycock, Summary and Synthesis: The Crisis in Religious Liberty, 60 Geo. Wash.L.Rev. 841, 844 (1992). 8</w:t>
      </w:r>
    </w:p>
    <w:p w:rsidR="00A31137" w:rsidRPr="00A31137" w:rsidRDefault="00A31137" w:rsidP="00A31137">
      <w:r w:rsidRPr="00A31137">
        <w:t>1992, Lee v. Weisman, 505 U.S. 630</w:t>
      </w:r>
    </w:p>
    <w:p w:rsidR="00A31137" w:rsidRPr="00A31137" w:rsidRDefault="00A31137" w:rsidP="00A31137">
      <w:r w:rsidRPr="00A31137">
        <w:t>Petitioners would deflect this conclusion by arguing that graduation prayers are no different from presidential religious proclamations and similar official "acknowledgments" of religion in public life. But religious invocations in Thanksgiving Day addresses and the like, rarely noticed, ignored without effort, conveyed over an impersonal medium, and directed at no one in particular, inhabit a pallid zone worlds apart from official prayers delivered to a captive audience of public school students and their families. Madison himself respected the difference between the trivial and the serious in constitutional practice. Realizing that his contemporaries [505 U.S. 631] were unlikely to take the Establishment Clause seriously enough to forgo a legislative chaplainship, he suggested that,</w:t>
      </w:r>
    </w:p>
    <w:p w:rsidR="00A31137" w:rsidRPr="00A31137" w:rsidRDefault="00A31137" w:rsidP="00A31137">
      <w:r w:rsidRPr="00A31137">
        <w:t>1992, Lee v. Weisman, 505 U.S. 631</w:t>
      </w:r>
    </w:p>
    <w:p w:rsidR="00A31137" w:rsidRPr="00A31137" w:rsidRDefault="00A31137" w:rsidP="00A31137">
      <w:r w:rsidRPr="00A31137">
        <w:t xml:space="preserve">[r]ather than let this step beyond the landmarks of power have the effect of a legitimate precedent, it will be better to apply to it the legal aphorism de minimis non curat lex…. </w:t>
      </w:r>
    </w:p>
    <w:p w:rsidR="00A31137" w:rsidRPr="00A31137" w:rsidRDefault="00A31137" w:rsidP="00A31137">
      <w:r w:rsidRPr="00A31137">
        <w:t>1992, Lee v. Weisman, 505 U.S. 631</w:t>
      </w:r>
    </w:p>
    <w:p w:rsidR="00A31137" w:rsidRPr="00A31137" w:rsidRDefault="00A31137" w:rsidP="00A31137">
      <w:r w:rsidRPr="00A31137">
        <w:t>Madison's "Detached Memoranda" 559; see also Letter from J. Madison to E. Livingston, 10 July 1822, in 5 The Founders' Constitution, at 105. But that logic permits no winking at the practice in question here. When public school officials, armed with the State's authority, convey an endorsement of religion to their students, they strike near the core of the Establishment Clause. However "ceremonial" their messages may be, they are flatly unconstitutional.</w:t>
      </w:r>
    </w:p>
    <w:p w:rsidR="00A31137" w:rsidRPr="00A31137" w:rsidRDefault="00A31137" w:rsidP="00A31137">
      <w:r w:rsidRPr="00A31137">
        <w:t>SCALIA, J., dissenting</w:t>
      </w:r>
    </w:p>
    <w:p w:rsidR="00A31137" w:rsidRPr="00A31137" w:rsidRDefault="00A31137" w:rsidP="00A31137">
      <w:r w:rsidRPr="00A31137">
        <w:t>1992, Lee v. Weisman, 505 U.S. 631</w:t>
      </w:r>
    </w:p>
    <w:p w:rsidR="00A31137" w:rsidRPr="00A31137" w:rsidRDefault="00A31137" w:rsidP="00A31137">
      <w:r w:rsidRPr="00A31137">
        <w:t>JUSTICE SCALIA, with whom THE CHIEF JUSTICE, JUSTICE WHITE, and JUSTICE THOMAS join, dissenting.</w:t>
      </w:r>
    </w:p>
    <w:p w:rsidR="00A31137" w:rsidRPr="00A31137" w:rsidRDefault="00A31137" w:rsidP="00A31137">
      <w:r w:rsidRPr="00A31137">
        <w:t>1992, Lee v. Weisman, 505 U.S. 631</w:t>
      </w:r>
    </w:p>
    <w:p w:rsidR="00A31137" w:rsidRPr="00A31137" w:rsidRDefault="00A31137" w:rsidP="00A31137">
      <w:r w:rsidRPr="00A31137">
        <w:t>Three Terms ago, I joined an opinion recognizing that the Establishment Clause must be construed in light of the</w:t>
      </w:r>
    </w:p>
    <w:p w:rsidR="00A31137" w:rsidRPr="00A31137" w:rsidRDefault="00A31137" w:rsidP="00A31137">
      <w:r w:rsidRPr="00A31137">
        <w:t>1992, Lee v. Weisman, 505 U.S. 631</w:t>
      </w:r>
    </w:p>
    <w:p w:rsidR="00A31137" w:rsidRPr="00A31137" w:rsidRDefault="00A31137" w:rsidP="00A31137">
      <w:r w:rsidRPr="00A31137">
        <w:t>[g]overnment policies of accommodation, acknowledgment, and support for religion [that] are an accepted part of our political and cultural heritage.</w:t>
      </w:r>
    </w:p>
    <w:p w:rsidR="00A31137" w:rsidRPr="00A31137" w:rsidRDefault="00A31137" w:rsidP="00A31137">
      <w:r w:rsidRPr="00A31137">
        <w:t>1992, Lee v. Weisman, 505 U.S. 631</w:t>
      </w:r>
    </w:p>
    <w:p w:rsidR="00A31137" w:rsidRPr="00A31137" w:rsidRDefault="00A31137" w:rsidP="00A31137">
      <w:r w:rsidRPr="00A31137">
        <w:t>That opinion affirmed that "the meaning of the Clause is to be determined by reference to historical practices and understandings." It said that</w:t>
      </w:r>
    </w:p>
    <w:p w:rsidR="00A31137" w:rsidRPr="00A31137" w:rsidRDefault="00A31137" w:rsidP="00A31137">
      <w:r w:rsidRPr="00A31137">
        <w:t>1992, Lee v. Weisman, 505 U.S. 631</w:t>
      </w:r>
    </w:p>
    <w:p w:rsidR="00A31137" w:rsidRPr="00A31137" w:rsidRDefault="00A31137" w:rsidP="00A31137">
      <w:r w:rsidRPr="00A31137">
        <w:t>[a] test for implementing the protections of the Establishment Clause that, if applied with consistency, would invalidate longstanding traditions cannot be a proper reading of the Clause.</w:t>
      </w:r>
    </w:p>
    <w:p w:rsidR="00A31137" w:rsidRPr="00A31137" w:rsidRDefault="00A31137" w:rsidP="00A31137">
      <w:r w:rsidRPr="00A31137">
        <w:t>1992, Lee v. Weisman, 505 U.S. 631</w:t>
      </w:r>
    </w:p>
    <w:p w:rsidR="00A31137" w:rsidRPr="00A31137" w:rsidRDefault="00A31137" w:rsidP="00A31137">
      <w:r w:rsidRPr="00A31137">
        <w:t>Allegheny County v. Greater Pittsburgh ACLU, 492 U.S. 573,  657,  670 (1989) (KENNEDY, J., concurring in judgment in part and dissenting in part).</w:t>
      </w:r>
    </w:p>
    <w:p w:rsidR="00A31137" w:rsidRPr="00A31137" w:rsidRDefault="00A31137" w:rsidP="00A31137">
      <w:r w:rsidRPr="00A31137">
        <w:t>1992, Lee v. Weisman, 505 U.S. 631</w:t>
      </w:r>
    </w:p>
    <w:p w:rsidR="00A31137" w:rsidRPr="00A31137" w:rsidRDefault="00A31137" w:rsidP="00A31137">
      <w:r w:rsidRPr="00A31137">
        <w:t>These views, of course, prevent me from joining today's opinion, which is conspicuously bereft of any reference to history. In holding that the Establishment Clause prohibits invocations and benedictions at public school graduation ceremonies, the Court—with nary a mention that it is doing [505 U.S. 632] so—lays waste a tradition that is as old as public school graduation ceremonies themselves, and that is a component of an even more longstanding American tradition of nonsectarian prayer to God at public celebrations generally. As its instrument of destruction, the bulldozer of its social engineering, the Court invents a boundless, and boundlessly manipulable, test of psychological coercion, which promises to do for the Establishment Clause what the Durham rule did for the insanity defense. See Durham v. United States, 94 U.S.App.D.C. 228, 214 F.2d 862 (1954). Today's opinion shows more forcefully than volumes of argumentation why our Nation's protection, that fortress which is our Constitution, cannot possibly rest upon the changeable philosophical predilections of the Justices of this Court, but must have deep foundations in the historic practices of our people.</w:t>
      </w:r>
    </w:p>
    <w:p w:rsidR="00A31137" w:rsidRPr="00A31137" w:rsidRDefault="00A31137" w:rsidP="00A31137">
      <w:r w:rsidRPr="00A31137">
        <w:t>I</w:t>
      </w:r>
    </w:p>
    <w:p w:rsidR="00A31137" w:rsidRPr="00A31137" w:rsidRDefault="00A31137" w:rsidP="00A31137">
      <w:r w:rsidRPr="00A31137">
        <w:t>1992, Lee v. Weisman, 505 U.S. 632</w:t>
      </w:r>
    </w:p>
    <w:p w:rsidR="00A31137" w:rsidRPr="00A31137" w:rsidRDefault="00A31137" w:rsidP="00A31137">
      <w:r w:rsidRPr="00A31137">
        <w:t>Justice Holmes' aphorism that "a page of history is worth a volume of logic," New York Trust Co. v. Eisner, 256 U.S. 345, 349 (1921), applies with particular force to our Establishment Clause jurisprudence. As we have recognized, our interpretation of the Establishment Clause should "compor[t] with what history reveals was the contemporaneous understanding of its guarantees." Lynch v. Donnelly, 465 U.S. 668,  673 (1984).</w:t>
      </w:r>
    </w:p>
    <w:p w:rsidR="00A31137" w:rsidRPr="00A31137" w:rsidRDefault="00A31137" w:rsidP="00A31137">
      <w:r w:rsidRPr="00A31137">
        <w:t>1992, Lee v. Weisman, 505 U.S. 632</w:t>
      </w:r>
    </w:p>
    <w:p w:rsidR="00A31137" w:rsidRPr="00A31137" w:rsidRDefault="00A31137" w:rsidP="00A31137">
      <w:r w:rsidRPr="00A31137">
        <w:t>[T]he line we must draw between the permissible and the impermissible is one which accords with history and faithfully reflects the understanding of the Founding Fathers.</w:t>
      </w:r>
    </w:p>
    <w:p w:rsidR="00A31137" w:rsidRPr="00A31137" w:rsidRDefault="00A31137" w:rsidP="00A31137">
      <w:r w:rsidRPr="00A31137">
        <w:t>1992, Lee v. Weisman, 505 U.S. 632</w:t>
      </w:r>
    </w:p>
    <w:p w:rsidR="00A31137" w:rsidRPr="00A31137" w:rsidRDefault="00A31137" w:rsidP="00A31137">
      <w:r w:rsidRPr="00A31137">
        <w:t>Abington School District v. Schempp, 374 U.S. 203,  294 (1963) (Brennan, J., concurring).</w:t>
      </w:r>
    </w:p>
    <w:p w:rsidR="00A31137" w:rsidRPr="00A31137" w:rsidRDefault="00A31137" w:rsidP="00A31137">
      <w:r w:rsidRPr="00A31137">
        <w:t>1992, Lee v. Weisman, 505 U.S. 632</w:t>
      </w:r>
    </w:p>
    <w:p w:rsidR="00A31137" w:rsidRPr="00A31137" w:rsidRDefault="00A31137" w:rsidP="00A31137">
      <w:r w:rsidRPr="00A31137">
        <w:t>[H]istorical evidence sheds light not only on what the draftsmen intended the Establishment Clause to mean, but also on how they thought that Clause applied</w:t>
      </w:r>
    </w:p>
    <w:p w:rsidR="00A31137" w:rsidRPr="00A31137" w:rsidRDefault="00A31137" w:rsidP="00A31137">
      <w:r w:rsidRPr="00A31137">
        <w:t>1992, Lee v. Weisman, 505 U.S. 632</w:t>
      </w:r>
    </w:p>
    <w:p w:rsidR="00A31137" w:rsidRPr="00A31137" w:rsidRDefault="00A31137" w:rsidP="00A31137">
      <w:r w:rsidRPr="00A31137">
        <w:t>to contemporaneous practices. Marsh v. Chambers, 463 U.S. 783,  790 (1983). Thus,</w:t>
      </w:r>
    </w:p>
    <w:p w:rsidR="00A31137" w:rsidRPr="00A31137" w:rsidRDefault="00A31137" w:rsidP="00A31137">
      <w:r w:rsidRPr="00A31137">
        <w:t>1992, Lee v. Weisman, 505 U.S. 632</w:t>
      </w:r>
    </w:p>
    <w:p w:rsidR="00A31137" w:rsidRPr="00A31137" w:rsidRDefault="00A31137" w:rsidP="00A31137">
      <w:r w:rsidRPr="00A31137">
        <w:t>[t]he existence from the beginning of the Nation's life of a practice, [while] not conclusive of its constitutionality…, is a fact of considerable import in the interpretation</w:t>
      </w:r>
    </w:p>
    <w:p w:rsidR="00A31137" w:rsidRPr="00A31137" w:rsidRDefault="00A31137" w:rsidP="00A31137">
      <w:r w:rsidRPr="00A31137">
        <w:t>1992, Lee v. Weisman, 505 U.S. 632</w:t>
      </w:r>
    </w:p>
    <w:p w:rsidR="00A31137" w:rsidRPr="00A31137" w:rsidRDefault="00A31137" w:rsidP="00A31137">
      <w:r w:rsidRPr="00A31137">
        <w:t>of the [505 U.S. 633] Establishment Clause. Walz v. Tax Comm'n of New York City, 397 U.S. 664,  681 (1970) (Brennan, J., concurring).</w:t>
      </w:r>
    </w:p>
    <w:p w:rsidR="00A31137" w:rsidRPr="00A31137" w:rsidRDefault="00A31137" w:rsidP="00A31137">
      <w:r w:rsidRPr="00A31137">
        <w:t>1992, Lee v. Weisman, 505 U.S. 633</w:t>
      </w:r>
    </w:p>
    <w:p w:rsidR="00A31137" w:rsidRPr="00A31137" w:rsidRDefault="00A31137" w:rsidP="00A31137">
      <w:r w:rsidRPr="00A31137">
        <w:t>The history and tradition of our Nation are replete with public ceremonies featuring prayers of thanksgiving and petition. Illustrations of this point have been amply provided in our prior opinions, see, e.g., Lynch, supra, 465 U.S. at 674-678; Marsh, supra, 463 U.S. at 786-788; see also Wallace v. Jaffree, 472 U.S. 38, 100-103 (1985) (REHNQUIST, J., dissenting); Engel v. Vitale, 370 U.S. 421, 446-450, and n. 3 (1962) (Stewart, J., dissenting), but since the Court is so oblivious to our history as to suggest that the Constitution restricts "preservation and transmission of religious beliefs…to the private sphere," ante at  589, it appears necessary to provide another brief account.</w:t>
      </w:r>
    </w:p>
    <w:p w:rsidR="00A31137" w:rsidRPr="00A31137" w:rsidRDefault="00A31137" w:rsidP="00A31137">
      <w:r w:rsidRPr="00A31137">
        <w:t>1992, Lee v. Weisman, 505 U.S. 633</w:t>
      </w:r>
    </w:p>
    <w:p w:rsidR="00A31137" w:rsidRPr="00A31137" w:rsidRDefault="00A31137" w:rsidP="00A31137">
      <w:r w:rsidRPr="00A31137">
        <w:t>From our Nation's origin, prayer has been a prominent part of governmental ceremonies and proclamations. The Declaration of Independence, the document marking our birth as a separate people, "appeal[ed] to the Supreme Judge of the world for the rectitude of our intentions" and avowed "a firm reliance on the protection of divine Providence." In his first inaugural address, after swearing his oath of office on a Bible, George Washington deliberately made a prayer a part of his first official act as President:</w:t>
      </w:r>
    </w:p>
    <w:p w:rsidR="00A31137" w:rsidRPr="00A31137" w:rsidRDefault="00A31137" w:rsidP="00A31137">
      <w:r w:rsidRPr="00A31137">
        <w:t>1992, Lee v. Weisman, 505 U.S. 633</w:t>
      </w:r>
    </w:p>
    <w:p w:rsidR="00A31137" w:rsidRPr="00A31137" w:rsidRDefault="00A31137" w:rsidP="00A31137">
      <w:r w:rsidRPr="00A31137">
        <w:t>it would be peculiarly improper to omit in this first official act my fervent supplications to that Almighty Being who rules over the universe, who presides in the councils of nations, and whose providential aids can supply every human defect, that His benediction may consecrate to the liberties and happiness of the people of the United States a Government instituted by themselves for these essential purposes.</w:t>
      </w:r>
    </w:p>
    <w:p w:rsidR="00A31137" w:rsidRPr="00A31137" w:rsidRDefault="00A31137" w:rsidP="00A31137">
      <w:r w:rsidRPr="00A31137">
        <w:t>1992, Lee v. Weisman, 505 U.S. 633</w:t>
      </w:r>
    </w:p>
    <w:p w:rsidR="00A31137" w:rsidRPr="00A31137" w:rsidRDefault="00A31137" w:rsidP="00A31137">
      <w:r w:rsidRPr="00A31137">
        <w:t>Inaugural Addresses of the Presidents of the United States 2 (1989). Such supplications have been a characteristic feature of inaugural addresses ever since. Thomas Jefferson, for example, [505 U.S. 634] prayed in his first inaugural address:</w:t>
      </w:r>
    </w:p>
    <w:p w:rsidR="00A31137" w:rsidRPr="00A31137" w:rsidRDefault="00A31137" w:rsidP="00A31137">
      <w:r w:rsidRPr="00A31137">
        <w:t>1992, Lee v. Weisman, 505 U.S. 634</w:t>
      </w:r>
    </w:p>
    <w:p w:rsidR="00A31137" w:rsidRPr="00A31137" w:rsidRDefault="00A31137" w:rsidP="00A31137">
      <w:r w:rsidRPr="00A31137">
        <w:t>may that Infinite Power which rules the destinies of the universe lead our councils to what is best, and give them a favorable issue for your peace and prosperity.</w:t>
      </w:r>
    </w:p>
    <w:p w:rsidR="00A31137" w:rsidRPr="00A31137" w:rsidRDefault="00A31137" w:rsidP="00A31137">
      <w:r w:rsidRPr="00A31137">
        <w:t>1992, Lee v. Weisman, 505 U.S. 634</w:t>
      </w:r>
    </w:p>
    <w:p w:rsidR="00A31137" w:rsidRPr="00A31137" w:rsidRDefault="00A31137" w:rsidP="00A31137">
      <w:r w:rsidRPr="00A31137">
        <w:t>Id. at 17. In his second inaugural address, Jefferson acknowledged his need for divine guidance and invited his audience to join his prayer:</w:t>
      </w:r>
    </w:p>
    <w:p w:rsidR="00A31137" w:rsidRPr="00A31137" w:rsidRDefault="00A31137" w:rsidP="00A31137">
      <w:r w:rsidRPr="00A31137">
        <w:t>1992, Lee v. Weisman, 505 U.S. 634</w:t>
      </w:r>
    </w:p>
    <w:p w:rsidR="00A31137" w:rsidRPr="00A31137" w:rsidRDefault="00A31137" w:rsidP="00A31137">
      <w:r w:rsidRPr="00A31137">
        <w:t>I shall need, too, the favor of that Being in whose hands we are, who led our fathers, as Israel of old, from their native land and planted them in a country flowing with all the necessaries and comforts of life; who has covered our infancy with His providence and our riper years with His wisdom and power, and to whose goodness I ask you to join in supplications with me that He will so enlighten the minds of your servants, guide their councils, and prosper their measures that whatsoever they do shall result in your good, and shall secure to you the peace, friendship, and approbation of all nations.</w:t>
      </w:r>
    </w:p>
    <w:p w:rsidR="00A31137" w:rsidRPr="00A31137" w:rsidRDefault="00A31137" w:rsidP="00A31137">
      <w:r w:rsidRPr="00A31137">
        <w:t>1992, Lee v. Weisman, 505 U.S. 634</w:t>
      </w:r>
    </w:p>
    <w:p w:rsidR="00A31137" w:rsidRPr="00A31137" w:rsidRDefault="00A31137" w:rsidP="00A31137">
      <w:r w:rsidRPr="00A31137">
        <w:t>Id. at 22-23. Similarly, James Madison, in his first inaugural address, placed his confidence</w:t>
      </w:r>
    </w:p>
    <w:p w:rsidR="00A31137" w:rsidRPr="00A31137" w:rsidRDefault="00A31137" w:rsidP="00A31137">
      <w:r w:rsidRPr="00A31137">
        <w:t>1992, Lee v. Weisman, 505 U.S. 634</w:t>
      </w:r>
    </w:p>
    <w:p w:rsidR="00A31137" w:rsidRPr="00A31137" w:rsidRDefault="00A31137" w:rsidP="00A31137">
      <w:r w:rsidRPr="00A31137">
        <w:t>in the guardianship and guidance of that Almighty Being whose power regulates the destiny of nations, whose blessings have been so conspicuously dispensed to this rising Republic, and to whom we are bound to address our devout gratitude for the past, as well as our fervent supplications and best hopes for the future.</w:t>
      </w:r>
    </w:p>
    <w:p w:rsidR="00A31137" w:rsidRPr="00A31137" w:rsidRDefault="00A31137" w:rsidP="00A31137">
      <w:r w:rsidRPr="00A31137">
        <w:t>1992, Lee v. Weisman, 505 U.S. 634</w:t>
      </w:r>
    </w:p>
    <w:p w:rsidR="00A31137" w:rsidRPr="00A31137" w:rsidRDefault="00A31137" w:rsidP="00A31137">
      <w:r w:rsidRPr="00A31137">
        <w:t>Id. at 28. Most recently, President Bush, continuing the tradition established by President Washington, asked those attending his inauguration to bow their heads, and made a prayer his first official act as President. Id. at 346.</w:t>
      </w:r>
    </w:p>
    <w:p w:rsidR="00A31137" w:rsidRPr="00A31137" w:rsidRDefault="00A31137" w:rsidP="00A31137">
      <w:r w:rsidRPr="00A31137">
        <w:t>1992, Lee v. Weisman, 505 U.S. 634</w:t>
      </w:r>
    </w:p>
    <w:p w:rsidR="00A31137" w:rsidRPr="00A31137" w:rsidRDefault="00A31137" w:rsidP="00A31137">
      <w:r w:rsidRPr="00A31137">
        <w:t xml:space="preserve">Our national celebration of Thanksgiving likewise dates back to President Washington. As we recounted in Lynch, [505 U.S. 635] </w:t>
      </w:r>
    </w:p>
    <w:p w:rsidR="00A31137" w:rsidRPr="00A31137" w:rsidRDefault="00A31137" w:rsidP="00A31137">
      <w:r w:rsidRPr="00A31137">
        <w:t>1992, Lee v. Weisman, 505 U.S. 635</w:t>
      </w:r>
    </w:p>
    <w:p w:rsidR="00A31137" w:rsidRPr="00A31137" w:rsidRDefault="00A31137" w:rsidP="00A31137">
      <w:r w:rsidRPr="00A31137">
        <w:t>The day after the First Amendment was proposed, Congress urged President Washington to proclaim</w:t>
      </w:r>
    </w:p>
    <w:p w:rsidR="00A31137" w:rsidRPr="00A31137" w:rsidRDefault="00A31137" w:rsidP="00A31137">
      <w:r w:rsidRPr="00A31137">
        <w:t>1992, Lee v. Weisman, 505 U.S. 635</w:t>
      </w:r>
    </w:p>
    <w:p w:rsidR="00A31137" w:rsidRPr="00A31137" w:rsidRDefault="00A31137" w:rsidP="00A31137">
      <w:r w:rsidRPr="00A31137">
        <w:t>a day of public thanksgiving and prayer, to be observed by acknowledging with grateful hearts the many and signal favours of Almighty God.</w:t>
      </w:r>
    </w:p>
    <w:p w:rsidR="00A31137" w:rsidRPr="00A31137" w:rsidRDefault="00A31137" w:rsidP="00A31137">
      <w:r w:rsidRPr="00A31137">
        <w:t>1992, Lee v. Weisman, 505 U.S. 635</w:t>
      </w:r>
    </w:p>
    <w:p w:rsidR="00A31137" w:rsidRPr="00A31137" w:rsidRDefault="00A31137" w:rsidP="00A31137">
      <w:r w:rsidRPr="00A31137">
        <w:t>President Washington proclaimed November 26, 1789, a day of thanksgiving to</w:t>
      </w:r>
    </w:p>
    <w:p w:rsidR="00A31137" w:rsidRPr="00A31137" w:rsidRDefault="00A31137" w:rsidP="00A31137">
      <w:r w:rsidRPr="00A31137">
        <w:t>1992, Lee v. Weisman, 505 U.S. 635</w:t>
      </w:r>
    </w:p>
    <w:p w:rsidR="00A31137" w:rsidRPr="00A31137" w:rsidRDefault="00A31137" w:rsidP="00A31137">
      <w:r w:rsidRPr="00A31137">
        <w:t>offe[r] our prayers and supplications to the Great Lord and Ruler of Nations, and beseech him to pardon our national and other transgressions….</w:t>
      </w:r>
    </w:p>
    <w:p w:rsidR="00A31137" w:rsidRPr="00A31137" w:rsidRDefault="00A31137" w:rsidP="00A31137">
      <w:r w:rsidRPr="00A31137">
        <w:t>1992, Lee v. Weisman, 505 U.S. 635</w:t>
      </w:r>
    </w:p>
    <w:p w:rsidR="00A31137" w:rsidRPr="00A31137" w:rsidRDefault="00A31137" w:rsidP="00A31137">
      <w:r w:rsidRPr="00A31137">
        <w:t>465 U.S. at  675, n. 2 (citations omitted). This tradition of Thanksgiving Proclamations—with their religious theme of prayerful gratitude to God—has been adhered to by almost every President. Id. at  675, and nn. 2 and 3; Wallace v. Jaffree, supra, 472 U.S. at 100-103 (REHNQUIST, J., dissenting).</w:t>
      </w:r>
    </w:p>
    <w:p w:rsidR="00A31137" w:rsidRPr="00A31137" w:rsidRDefault="00A31137" w:rsidP="00A31137">
      <w:r w:rsidRPr="00A31137">
        <w:t>1992, Lee v. Weisman, 505 U.S. 635</w:t>
      </w:r>
    </w:p>
    <w:p w:rsidR="00A31137" w:rsidRPr="00A31137" w:rsidRDefault="00A31137" w:rsidP="00A31137">
      <w:r w:rsidRPr="00A31137">
        <w:t>The other two branches of the Federal Government also have a long-established practice of prayer at public events. As we detailed in Marsh, Congressional sessions have opened with a chaplain's prayer ever since the First Congress. 463 U.S. at 787-788. And this Court's own sessions have opened with the invocation "God save the United States and this Honorable Court" since the days of Chief Justice Marshall. 1 C. Warren, The Supreme Court in United States History 469 (1922).</w:t>
      </w:r>
    </w:p>
    <w:p w:rsidR="00A31137" w:rsidRPr="00A31137" w:rsidRDefault="00A31137" w:rsidP="00A31137">
      <w:r w:rsidRPr="00A31137">
        <w:t>1992, Lee v. Weisman, 505 U.S. 635</w:t>
      </w:r>
    </w:p>
    <w:p w:rsidR="00A31137" w:rsidRPr="00A31137" w:rsidRDefault="00A31137" w:rsidP="00A31137">
      <w:r w:rsidRPr="00A31137">
        <w:t>In addition to this general tradition of prayer at public ceremonies, there exists a more specific tradition of invocations and benedictions at public school graduation exercises. By one account, the first public high school graduation ceremony took place in Connecticut in July. 1868—the very month, as it happens, that the Fourteenth Amendment (the vehicle by which the Establishment Clause has been applied against the States) was ratified—when</w:t>
      </w:r>
    </w:p>
    <w:p w:rsidR="00A31137" w:rsidRPr="00A31137" w:rsidRDefault="00A31137" w:rsidP="00A31137">
      <w:r w:rsidRPr="00A31137">
        <w:t>1992, Lee v. Weisman, 505 U.S. 635</w:t>
      </w:r>
    </w:p>
    <w:p w:rsidR="00A31137" w:rsidRPr="00A31137" w:rsidRDefault="00A31137" w:rsidP="00A31137">
      <w:r w:rsidRPr="00A31137">
        <w:t>15 seniors from the Norwich Free Academy marched in their best Sunday suits and dresses into a church hall and waited through majestic music and long prayers.</w:t>
      </w:r>
    </w:p>
    <w:p w:rsidR="00A31137" w:rsidRPr="00A31137" w:rsidRDefault="00A31137" w:rsidP="00A31137">
      <w:r w:rsidRPr="00A31137">
        <w:t>1992, Lee v. Weisman, 505 U.S. 635</w:t>
      </w:r>
    </w:p>
    <w:p w:rsidR="00A31137" w:rsidRPr="00A31137" w:rsidRDefault="00A31137" w:rsidP="00A31137">
      <w:r w:rsidRPr="00A31137">
        <w:t>Brodinsky, Commencement Rites Obsolete? Not At All, A 10-Week Study Shows, 10 Updating [505 U.S. 636] School Board Policies, No. 4, p. 3 (Apr.1979). As the Court obliquely acknowledges in describing the "customary features" of high school graduations, ante at 583, and as respondents do not contest, the invocation and benediction have long been recognized to be "as traditional as any other parts of the [school] graduation program and are widely established." H. McKown, Commencement Activities 56 (1931); see also Brodinsky, supra, at 5.</w:t>
      </w:r>
    </w:p>
    <w:p w:rsidR="00A31137" w:rsidRPr="00A31137" w:rsidRDefault="00A31137" w:rsidP="00A31137">
      <w:r w:rsidRPr="00A31137">
        <w:t>II</w:t>
      </w:r>
    </w:p>
    <w:p w:rsidR="00A31137" w:rsidRPr="00A31137" w:rsidRDefault="00A31137" w:rsidP="00A31137">
      <w:r w:rsidRPr="00A31137">
        <w:t>1992, Lee v. Weisman, 505 U.S. 636</w:t>
      </w:r>
    </w:p>
    <w:p w:rsidR="00A31137" w:rsidRPr="00A31137" w:rsidRDefault="00A31137" w:rsidP="00A31137">
      <w:r w:rsidRPr="00A31137">
        <w:t>The Court presumably would separate graduation invocations and benedictions from other instances of public "preservation and transmission of religious beliefs" on the ground that they involve "psychological coercion." I find it a sufficient embarrassment that our Establishment Clause jurisprudence regarding holiday displays, see Allegheny County v. Greater Pittsburgh ACLU, 492 U.S. 573 (1989), has come to "requir[e] scrutiny more commonly associated with interior decorators than with the judiciary." American Jewish Congress v. Chicago, 827 F.2d 120, 129 (Easterbrook, J., dissenting). But interior decorating is a rock-hard science compared to psychology practiced by amateurs. A few citations of "[r]esearch in psychology" that have no particular bearing upon the precise issue here, ante at  593, cannot disguise the fact that the Court has gone beyond the realm where judges know what they are doing. The Court's argument that state officials have "coerced" students to take part in the invocation and benediction at graduation ceremonies is, not to put too fine a point on it, incoherent.</w:t>
      </w:r>
    </w:p>
    <w:p w:rsidR="00A31137" w:rsidRPr="00A31137" w:rsidRDefault="00A31137" w:rsidP="00A31137">
      <w:r w:rsidRPr="00A31137">
        <w:t>1992, Lee v. Weisman, 505 U.S. 636</w:t>
      </w:r>
    </w:p>
    <w:p w:rsidR="00A31137" w:rsidRPr="00A31137" w:rsidRDefault="00A31137" w:rsidP="00A31137">
      <w:r w:rsidRPr="00A31137">
        <w:t xml:space="preserve">The Court identifies two "dominant facts" that it says dictate its ruling that invocations and benedictions at public school graduation ceremonies violate the Establishment Clause. Ante at  586. Neither of them is, in any relevant sense, true. [505 U.S. 637] </w:t>
      </w:r>
    </w:p>
    <w:p w:rsidR="00A31137" w:rsidRPr="00A31137" w:rsidRDefault="00A31137" w:rsidP="00A31137">
      <w:r w:rsidRPr="00A31137">
        <w:t>A</w:t>
      </w:r>
    </w:p>
    <w:p w:rsidR="00A31137" w:rsidRPr="00A31137" w:rsidRDefault="00A31137" w:rsidP="00A31137">
      <w:r w:rsidRPr="00A31137">
        <w:t>1992, Lee v. Weisman, 505 U.S. 637</w:t>
      </w:r>
    </w:p>
    <w:p w:rsidR="00A31137" w:rsidRPr="00A31137" w:rsidRDefault="00A31137" w:rsidP="00A31137">
      <w:r w:rsidRPr="00A31137">
        <w:t>The Court declares that students' "attendance and participation in the [invocation and benediction] are, in a fair and real sense, obligatory." Ibid. But what exactly is this "fair and real sense"? According to the Court, students at graduation who want "to avoid the fact or appearance of participation," ante at  588, in the invocation and benediction are psychologically obligated by "public pressure, as well as peer pressure,…to stand as a group or, at least, maintain respectful silence" during those prayers. Ante at  593. This assertion—the very linchpin of the Court's opinion—is almost as intriguing for what it does not say as for what it says. It does not say, for example, that students are psychologically coerced to bow their heads, place their hands in a Durer-like prayer position, pay attention to the prayers, utter "Amen," or in fact pray. (Perhaps further intensive psychological research remains to be done on these matters.) It claims only that students are psychologically coerced "to stand…or, at least, maintain respectful silence." Ibid. (emphasis added). Both halves of this disjunctive (both of which must amount to the fact or appearance of participation in prayer if the Court's analysis is to survive on its own terms) merit particular attention.</w:t>
      </w:r>
    </w:p>
    <w:p w:rsidR="00A31137" w:rsidRPr="00A31137" w:rsidRDefault="00A31137" w:rsidP="00A31137">
      <w:r w:rsidRPr="00A31137">
        <w:t>1992, Lee v. Weisman, 505 U.S. 637</w:t>
      </w:r>
    </w:p>
    <w:p w:rsidR="00A31137" w:rsidRPr="00A31137" w:rsidRDefault="00A31137" w:rsidP="00A31137">
      <w:r w:rsidRPr="00A31137">
        <w:t>To begin with the latter: the Court's notion that a student who simply sits in "respectful silence" during the invocation and benediction (when all others are standing) has somehow joined—or would somehow be perceived as having joined—in the prayers is nothing short of ludicrous. We indeed live in a vulgar age. But surely "our social conventions," ibid., have not coarsened to the point that anyone who does not stand on his chair and shout obscenities can reasonably be deemed to have assented to everything said in his presence. Since the Court does not dispute that students exposed to prayer at graduation ceremonies retain (despite "subtle coercive pressures," ante at  588) the free will to sit, cf. ante at  593, there is absolutely no basis for the Court's [505 U.S. 638] decision. It is fanciful enough to say that "a reasonable dissenter," standing head erect in a class of bowed heads, "could believe that the group exercise signified her own participation or approval of it," ibid. It is beyond the absurd to say that she could entertain such a belief while pointedly declining to rise.</w:t>
      </w:r>
    </w:p>
    <w:p w:rsidR="00A31137" w:rsidRPr="00A31137" w:rsidRDefault="00A31137" w:rsidP="00A31137">
      <w:r w:rsidRPr="00A31137">
        <w:t>1992, Lee v. Weisman, 505 U.S. 638</w:t>
      </w:r>
    </w:p>
    <w:p w:rsidR="00A31137" w:rsidRPr="00A31137" w:rsidRDefault="00A31137" w:rsidP="00A31137">
      <w:r w:rsidRPr="00A31137">
        <w:t>But let us assume the very worst, that the nonparticipating graduate is "subtly coerced"…to stand! Even that half of the disjunctive does not remotely establish a "participation" (or an "appearance of participation") in a religious exercise. The Court acknowledges that, "in our culture, standing…can signify adherence to a view or simple respect for the views of others." Ibid. (Much more often the latter than the former, I think, except perhaps in the proverbial town meeting, where one votes by standing.) But if it is a permissible inference that one who is standing is doing so simply out of respect for the prayers of others that are in progress, then how can it possibly be said that a "reasonable dissenter…could believe that the group exercise signified her own participation or approval"? Quite obviously, it cannot. I may add, moreover, that maintaining respect for the religious observances of others is a fundamental civic virtue that government (including the public schools) can and should cultivate—so that, even if it were the case that the displaying of such respect might be mistaken for taking part in the prayer, I would deny that the dissenter's interest in avoiding even the false appearance of participation constitutionally trumps the government's interest in fostering respect for religion generally.</w:t>
      </w:r>
    </w:p>
    <w:p w:rsidR="00A31137" w:rsidRPr="00A31137" w:rsidRDefault="00A31137" w:rsidP="00A31137">
      <w:r w:rsidRPr="00A31137">
        <w:t>1992, Lee v. Weisman, 505 U.S. 638</w:t>
      </w:r>
    </w:p>
    <w:p w:rsidR="00A31137" w:rsidRPr="00A31137" w:rsidRDefault="00A31137" w:rsidP="00A31137">
      <w:r w:rsidRPr="00A31137">
        <w:t>The opinion manifests that the Court itself has not given careful consideration to its test of psychological coercion. For if it had, how could it observe, with no hint of concern or disapproval, that students stood for the Pledge of Allegiance, which immediately preceded Rabbi Gutterman's invocation? Ante at  583. The government can, of course, no more coerce political orthodoxy than religious orthodoxy. West [505 U.S. 639] Virginia Board of Education v. Barnette, 319 U.S. 624, 642 (1943). Moreover, since the Pledge of Allegiance has been revised since Barnette to include the phrase "under God," recital of the Pledge would appear to raise the same Establishment Clause issue as the invocation and benediction. If students were psychologically coerced to remain standing during the invocation, they must also have been psychologically coerced, moments before, to stand for (and thereby, in the Court's view, take part in or appear to take part in) the Pledge. Must the Pledge therefore be barred from the public schools (both from graduation ceremonies and from the classroom)? In Barnette, we held that a public school student could not be compelled to recite the Pledge; we did not even hint that she could not be compelled to observe respectful silence—indeed, even to stand in respectful silence—when those who wished to recite it did so. Logically, that ought to be the next project for the Court's bulldozer.</w:t>
      </w:r>
    </w:p>
    <w:p w:rsidR="00A31137" w:rsidRPr="00A31137" w:rsidRDefault="00A31137" w:rsidP="00A31137">
      <w:r w:rsidRPr="00A31137">
        <w:t>1992, Lee v. Weisman, 505 U.S. 639</w:t>
      </w:r>
    </w:p>
    <w:p w:rsidR="00A31137" w:rsidRPr="00A31137" w:rsidRDefault="00A31137" w:rsidP="00A31137">
      <w:r w:rsidRPr="00A31137">
        <w:t>I also find it odd that the Court concludes that high school graduates may not be subjected to this supposed psychological coercion, yet refrains from addressing whether "mature adults" may. Ante at  593. I had thought that the reason graduation from high school is regarded as so significant an event is that it is generally associated with transition from adolescence to young adulthood. Many graduating seniors, of course, are old enough to vote. Why, then, does the Court treat them as though they were first-graders? Will we soon have a jurisprudence that distinguishes between mature and immature adults?</w:t>
      </w:r>
    </w:p>
    <w:p w:rsidR="00A31137" w:rsidRPr="00A31137" w:rsidRDefault="00A31137" w:rsidP="00A31137">
      <w:r w:rsidRPr="00A31137">
        <w:t>B</w:t>
      </w:r>
    </w:p>
    <w:p w:rsidR="00A31137" w:rsidRPr="00A31137" w:rsidRDefault="00A31137" w:rsidP="00A31137">
      <w:r w:rsidRPr="00A31137">
        <w:t>1992, Lee v. Weisman, 505 U.S. 639</w:t>
      </w:r>
    </w:p>
    <w:p w:rsidR="00A31137" w:rsidRPr="00A31137" w:rsidRDefault="00A31137" w:rsidP="00A31137">
      <w:r w:rsidRPr="00A31137">
        <w:t>The other "dominant fac[t]" identified by the Court is that "[s]tate officials direct the performance of a formal religious exercise" at school graduation ceremonies. Ante at  586. "Direct[ing] the performance of a formal religious exercise" has a sound of liturgy to it, summoning up images of the principal directing acolytes where to carry the cross, or showing the rabbi where to unroll the Torah. A Court professing to be [505 U.S. 640] engaged in a "delicate and fact-sensitive" line-drawing, ante at 597, would better describe what it means as "prescribing the content of an invocation and benediction." But even that would be false. All the record shows is that principals of the Providence public schools, acting within their delegated authority, have invited clergy to deliver invocations and benedictions at graduations; and that Principal Lee invited Rabbi Gutterman, provided him a two-page flyer, prepared by the National Conference of Christians and Jews, giving general advice on inclusive prayer for civic occasions, and advised him that his prayers at graduation should be nonsectarian. How these facts can fairly be transformed into the charges that Principal Lee "directed and controlled the content of [Rabbi Gutterman's] prayer," ante at  588, that school officials "monitor prayer," ante at  590, and attempted to "'compose official prayers,'" ante at  588, and that the "government involvement with religious activity in this case is pervasive," ante at  587, is difficult to fathom. The Court identifies nothing in the record remotely suggesting that school officials have ever drafted, edited, screened or censored graduation prayers, or that Rabbi Gutterman was a mouthpiece of the school officials.</w:t>
      </w:r>
    </w:p>
    <w:p w:rsidR="00A31137" w:rsidRPr="00A31137" w:rsidRDefault="00A31137" w:rsidP="00A31137">
      <w:r w:rsidRPr="00A31137">
        <w:t>1992, Lee v. Weisman, 505 U.S. 640</w:t>
      </w:r>
    </w:p>
    <w:p w:rsidR="00A31137" w:rsidRPr="00A31137" w:rsidRDefault="00A31137" w:rsidP="00A31137">
      <w:r w:rsidRPr="00A31137">
        <w:t>These distortions of the record are, of course, not harmless error: without them, the Court's solemn assertion that the school officials could reasonably be perceived to be "enforc[ing] a religious orthodoxy," ante at  592, would ring as hollow, as it ought.</w:t>
      </w:r>
    </w:p>
    <w:p w:rsidR="00A31137" w:rsidRPr="00A31137" w:rsidRDefault="00A31137" w:rsidP="00A31137">
      <w:r w:rsidRPr="00A31137">
        <w:t>III</w:t>
      </w:r>
    </w:p>
    <w:p w:rsidR="00A31137" w:rsidRPr="00A31137" w:rsidRDefault="00A31137" w:rsidP="00A31137">
      <w:r w:rsidRPr="00A31137">
        <w:t>1992, Lee v. Weisman, 505 U.S. 640</w:t>
      </w:r>
    </w:p>
    <w:p w:rsidR="00A31137" w:rsidRPr="00A31137" w:rsidRDefault="00A31137" w:rsidP="00A31137">
      <w:r w:rsidRPr="00A31137">
        <w:t>The deeper flaw in the Court's opinion does not lie in its wrong answer to the question whether there was state-induced "peer-pressure" coercion; it lies, rather, in the Court's making violation of the Establishment Clause hinge on such a precious question. The coercion that was a hallmark of historical establishments of religion was coercion of religious orthodoxy and of financial support by force of law and threat of penalty. Typically, attendance at the state [505 U.S. 641] church was required; only clergy of the official church could lawfully perform sacraments; and dissenters, if tolerated, faced an array of civil disabilities. L. Levy, The Establishment Clause 4 (1986). Thus, for example, in the colony of Virginia, where the Church of England had been established, ministers were required by law to conform to the doctrine and rites of the Church of England; and all persons were required to attend church and observe the Sabbath, were tithed for the public support of Anglican ministers, and were taxed for the costs of building and repairing churches. Id. at 3-4.</w:t>
      </w:r>
    </w:p>
    <w:p w:rsidR="00A31137" w:rsidRPr="00A31137" w:rsidRDefault="00A31137" w:rsidP="00A31137">
      <w:r w:rsidRPr="00A31137">
        <w:t>1992, Lee v. Weisman, 505 U.S. 641</w:t>
      </w:r>
    </w:p>
    <w:p w:rsidR="00A31137" w:rsidRPr="00A31137" w:rsidRDefault="00A31137" w:rsidP="00A31137">
      <w:r w:rsidRPr="00A31137">
        <w:t>The Establishment Clause was adopted to prohibit such an establishment of religion at the federal level (and to protect state establishments of religion from federal interference). I will further acknowledge for the sake of argument that, as some scholars have argued, by 1790, the term "establishment" had acquired an additional meaning—"financial support of religion generally, by public taxation"—that reflected the development of "general or multiple" establishments, not limited to a single church. Id. at 8-9. But that would still be an establishment coerced by force of law. And I will further concede that our constitutional tradition, from the Declaration of Independence and the first inaugural address of Washington, quoted earlier, down to the present day, has, with a few aberrations, see Holy Trinity Church v. United States, 143 U.S. 457 (1892), ruled out of order government-sponsored endorsement of religion—even when no legal coercion is present, and indeed even when no ersatz, "peer-pressure" psycho-coercion is present—where the endorsement is sectarian, in the sense of specifying details upon which men and women who believe in a benevolent, omnipotent Creator and Ruler of the world, are known to differ (for example, the divinity of Christ). But there is simply no support for the proposition that the officially sponsored nondenominational invocation and benediction read by Rabbi Gutterman—with no one legally coerced to recite [505 U.S. 642] them—violated the Constitution of the United States. To the contrary, they are so characteristically American they could have come from the pen of George Washington or Abraham Lincoln himself.</w:t>
      </w:r>
    </w:p>
    <w:p w:rsidR="00A31137" w:rsidRPr="00A31137" w:rsidRDefault="00A31137" w:rsidP="00A31137">
      <w:r w:rsidRPr="00A31137">
        <w:t>1992, Lee v. Weisman, 505 U.S. 642</w:t>
      </w:r>
    </w:p>
    <w:p w:rsidR="00A31137" w:rsidRPr="00A31137" w:rsidRDefault="00A31137" w:rsidP="00A31137">
      <w:r w:rsidRPr="00A31137">
        <w:t>Thus, while I have no quarrel with the Court's general proposition that the Establishment Clause "guarantees that government may not coerce anyone to support or participate in religion or its exercise," ante at  587, I see no warrant for expanding the concept of coercion beyond acts backed by threat of penalty—a brand of coercion that, happily, is readily discernible to those of us who have made a career of reading the disciples of Blackstone, rather than of Freud. The Framers were indeed opposed to coercion of religious worship by the National Government; but, as their own sponsorship of nonsectarian prayer in public events demonstrates, they understood that "[s]peech is not coercive; the listener may do as he likes." American Jewish Congress v. Chicago, 827 F.2d at 132 (Easterbrook, J., dissenting).</w:t>
      </w:r>
    </w:p>
    <w:p w:rsidR="00A31137" w:rsidRPr="00A31137" w:rsidRDefault="00A31137" w:rsidP="00A31137">
      <w:r w:rsidRPr="00A31137">
        <w:t>1992, Lee v. Weisman, 505 U.S. 642</w:t>
      </w:r>
    </w:p>
    <w:p w:rsidR="00A31137" w:rsidRPr="00A31137" w:rsidRDefault="00A31137" w:rsidP="00A31137">
      <w:r w:rsidRPr="00A31137">
        <w:t>This historical discussion places in revealing perspective the Court's extravagant claim that the State has, "for all practical purposes," ante at  589, and "in every practical sense," ante at  598, compelled students to participate in prayers at graduation. Beyond the fact, stipulated to by the parties, that attendance at graduation is voluntary, there is nothing in the record to indicate that failure of attending students to take part in the invocation or benediction was subject to any penalty or discipline. Contrast this with, for example, the facts of Barnette: schoolchildren were required by law to recite the Pledge of Allegiance; failure to do so resulted in expulsion, threatened the expelled child with the prospect of being sent to a reformatory for criminally inclined juveniles, and subjected his parents to prosecution (and incarceration) for causing delinquency. 319 U.S. at 629-630. To characterize the "subtle coercive pressures," ante at  588, allegedly present here as the "practical" equivalent [505 U.S. 643] of the legal sanctions in Barnette is…well, let me just say it is not a "delicate and fact-sensitive" analysis.</w:t>
      </w:r>
    </w:p>
    <w:p w:rsidR="00A31137" w:rsidRPr="00A31137" w:rsidRDefault="00A31137" w:rsidP="00A31137">
      <w:r w:rsidRPr="00A31137">
        <w:t>1992, Lee v. Weisman, 505 U.S. 643</w:t>
      </w:r>
    </w:p>
    <w:p w:rsidR="00A31137" w:rsidRPr="00A31137" w:rsidRDefault="00A31137" w:rsidP="00A31137">
      <w:r w:rsidRPr="00A31137">
        <w:t>The Court relies on our "school prayer" cases, Engel v. Vitale, 370 U.S. 421 (1962), and Abington School District v. Schempp, 374 U.S. 203 (1963). Ante at  592. But whatever the merit of those cases, they do not support, much less compel, the Court's psychojourney. In the first place, Engel and Schempp do not constitute an exception to the rule, distilled from historical practice, that public ceremonies may include prayer, see supra at 633-636; rather, they simply do not fall within the scope of the rule (for the obvious reason that school instruction is not a public ceremony). Second, we have made clear our understanding that school prayer occurs within a framework in which legal coercion to attend school (i.e., coercion under threat of penalty) provides the ultimate backdrop. In Schempp, for example, we emphasized that the prayers were "prescribed as part of the curricular activities of students who are required by law to attend school." 374 U.S. at  223 (emphasis added). Engel's suggestion that the school prayer program at issue there—which permitted students "to remain silent or be excused from the room," 370 U.S. at  430—involved "indirect coercive pressure," id. at  431, should be understood against this backdrop of legal coercion. The question whether the opt-out procedure in Engel sufficed to dispel the coercion resulting from the mandatory attendance requirement is quite different from the question whether forbidden coercion exists in an environment utterly devoid of legal compulsion. And finally, our school prayer cases turn in part on the fact that the classroom is inherently an instructional setting, and daily prayer there—where parents are not present to counter "the students' emulation of teachers as role models and the children's susceptibility to peer pressure," Edwards v. Aguillard, 482 U.S. 578,  584 (1987)—might be thought to raise special concerns regarding state interference with the liberty of parents to direct the religious upbringing of their children:</w:t>
      </w:r>
    </w:p>
    <w:p w:rsidR="00A31137" w:rsidRPr="00A31137" w:rsidRDefault="00A31137" w:rsidP="00A31137">
      <w:r w:rsidRPr="00A31137">
        <w:t>1992, Lee v. Weisman, 505 U.S. 643</w:t>
      </w:r>
    </w:p>
    <w:p w:rsidR="00A31137" w:rsidRPr="00A31137" w:rsidRDefault="00A31137" w:rsidP="00A31137">
      <w:r w:rsidRPr="00A31137">
        <w:t>Families entrust public [505 U.S. 644] schools with the education of their children, but condition their trust on the understanding that the classroom will not purposely be used to advance religious views that may conflict with the private beliefs of the student and his or her family.</w:t>
      </w:r>
    </w:p>
    <w:p w:rsidR="00A31137" w:rsidRPr="00A31137" w:rsidRDefault="00A31137" w:rsidP="00A31137">
      <w:r w:rsidRPr="00A31137">
        <w:t>1992, Lee v. Weisman, 505 U.S. 644</w:t>
      </w:r>
    </w:p>
    <w:p w:rsidR="00A31137" w:rsidRPr="00A31137" w:rsidRDefault="00A31137" w:rsidP="00A31137">
      <w:r w:rsidRPr="00A31137">
        <w:t>Ibid; see Pierce v. Society of Sisters, 268 U.S. 510, 534-535 (1925). Voluntary prayer at graduation—a one-time ceremony at which parents, friends and relatives are present—can hardly be thought to raise the same concerns.</w:t>
      </w:r>
    </w:p>
    <w:p w:rsidR="00A31137" w:rsidRPr="00A31137" w:rsidRDefault="00A31137" w:rsidP="00A31137">
      <w:r w:rsidRPr="00A31137">
        <w:t>IV</w:t>
      </w:r>
    </w:p>
    <w:p w:rsidR="00A31137" w:rsidRPr="00A31137" w:rsidRDefault="00A31137" w:rsidP="00A31137">
      <w:r w:rsidRPr="00A31137">
        <w:t>1992, Lee v. Weisman, 505 U.S. 644</w:t>
      </w:r>
    </w:p>
    <w:p w:rsidR="00A31137" w:rsidRPr="00A31137" w:rsidRDefault="00A31137" w:rsidP="00A31137">
      <w:r w:rsidRPr="00A31137">
        <w:t>Our religion-clause jurisprudence has become bedeviled (so to speak) by reliance on formulaic abstractions that are not derived from, but positively conflict with, our long-accepted constitutional traditions. Foremost among these has been the so-called Lemon test, see Lemon v. Kurtzman, 403 U.S. 602, 612-613 (1971), which has received well-earned criticism from many members of this Court. See, e.g., Allegheny County, 492 U.S. at 655-656 (opinion of KENNEDY, J.); Edwards v. Aguillard, supra, 482 U.S. at 636-640 (1987) (SCALIA, J., dissenting); Wallace v. Jaffree, 472 U.S. at 108-112 (REHNQUIST J., dissenting); Aguilar v. Felton, 473 U.S. 402, 426-430 (1985) (O'CONNOR, J., dissenting); Roemer v. Maryland Bd. of Public Works, 426 U.S. 736, 768-769 (1976) (WHITE, J., concurring in judgment). The Court today demonstrates the irrelevance of Lemon by essentially ignoring it, see ante at  587, and the interment of that case may be the one happy byproduct of the Court's otherwise lamentable decision. Unfortunately, however, the Court has replaced Lemon with its psycho-coercion test, which suffers the double disability of having no roots whatever in our people's historic practice and being as infinitely expandable as the reasons for psychotherapy itself.</w:t>
      </w:r>
    </w:p>
    <w:p w:rsidR="00A31137" w:rsidRPr="00A31137" w:rsidRDefault="00A31137" w:rsidP="00A31137">
      <w:r w:rsidRPr="00A31137">
        <w:t>1992, Lee v. Weisman, 505 U.S. 644</w:t>
      </w:r>
    </w:p>
    <w:p w:rsidR="00A31137" w:rsidRPr="00A31137" w:rsidRDefault="00A31137" w:rsidP="00A31137">
      <w:r w:rsidRPr="00A31137">
        <w:t>Another happy aspect of the case is that it is only a jurisprudential disaster, and not a practical one. Given the odd basis for the Court's decision, invocations and benedictions will be able to be given at public school graduations next [505 U.S. 645] June, as they have for the past century and a half, so long as school authorities make clear that anyone who abstains from screaming in protest does not necessarily participate in the prayers. All that is seemingly needed is an announcement, or perhaps a written insertion at the beginning of the graduation Program, to the effect that, while all are asked to rise for the invocation and benediction, none is compelled to join in them, nor will be assumed, by rising, to have done so. That obvious fact recited, the graduates and their parents may proceed to thank God, as Americans have always done, for the blessings He has generously bestowed on them and on their country.</w:t>
      </w:r>
    </w:p>
    <w:p w:rsidR="00A31137" w:rsidRPr="00A31137" w:rsidRDefault="00A31137" w:rsidP="00A31137">
      <w:r w:rsidRPr="00A31137">
        <w:t>*    *    *    *</w:t>
      </w:r>
    </w:p>
    <w:p w:rsidR="00A31137" w:rsidRPr="00A31137" w:rsidRDefault="00A31137" w:rsidP="00A31137">
      <w:r w:rsidRPr="00A31137">
        <w:t>1992, Lee v. Weisman, 505 U.S. 645</w:t>
      </w:r>
    </w:p>
    <w:p w:rsidR="00A31137" w:rsidRPr="00A31137" w:rsidRDefault="00A31137" w:rsidP="00A31137">
      <w:r w:rsidRPr="00A31137">
        <w:t>The reader has been told much in this case about the personal interest of Mr. Weisman and his daughter, and very little about the personal interests on the other side. They are not inconsequential. Church and state would not be such a difficult subject if religion were, as the Court apparently thinks it to be, some purely personal avocation that can be indulged entirely in secret, like pornography, in the privacy of one's room. For most believers, it is not that, and has never been. Religious men and women of almost all denominations have felt it necessary to acknowledge and beseech the blessing of God as a people, and not just as individuals, because they believe in the "protection of divine Providence," as the Declaration of Independence put it, not just for individuals but for societies; because they believe God to be, as Washington's first Thanksgiving Proclamation put it, the "Great Lord and Ruler of Nations." One can believe in the effectiveness of such public worship, or one can deprecate and deride it. But the longstanding American tradition of prayer at official ceremonies displays with unmistakable clarity that the Establishment Clause does not forbid the government to accommodate it.</w:t>
      </w:r>
    </w:p>
    <w:p w:rsidR="00A31137" w:rsidRPr="00A31137" w:rsidRDefault="00A31137" w:rsidP="00A31137">
      <w:r w:rsidRPr="00A31137">
        <w:t>1992, Lee v. Weisman, 505 U.S. 645</w:t>
      </w:r>
    </w:p>
    <w:p w:rsidR="00A31137" w:rsidRPr="00A31137" w:rsidRDefault="00A31137" w:rsidP="00A31137">
      <w:r w:rsidRPr="00A31137">
        <w:t>The narrow context of the present case involves a community's celebration of one of the milestones in its young citizens' [505 U.S. 646] lives, and it is a bold step for this Court to seek to banish from that occasion, and from thousands of similar celebrations throughout this land, the expression of gratitude to God that a majority of the community wishes to make. The issue before us today is not the abstract philosophical question whether the alternative of frustrating this desire of a religious majority is to be preferred over the alternative of imposing "psychological coercion," or a feeling of exclusion, upon nonbelievers. Rather, the question is whether a mandatory choice in favor of the former has been imposed by the United States Constitution. As the age-old practices of our people show, the answer to that question is not at all in doubt.</w:t>
      </w:r>
    </w:p>
    <w:p w:rsidR="00A31137" w:rsidRPr="00A31137" w:rsidRDefault="00A31137" w:rsidP="00A31137">
      <w:r w:rsidRPr="00A31137">
        <w:t>1992, Lee v. Weisman, 505 U.S. 646</w:t>
      </w:r>
    </w:p>
    <w:p w:rsidR="00A31137" w:rsidRPr="00A31137" w:rsidRDefault="00A31137" w:rsidP="00A31137">
      <w:r w:rsidRPr="00A31137">
        <w:t>I must add one final observation: the founders of our Republic knew the fearsome potential of sectarian religious belief to generate civil dissension and civil strife. And they also knew that nothing, absolutely nothing, is so inclined to foster among religious believers of various faiths a toleration—no, an affection—for one another than voluntarily joining in prayer together, to the God whom they all worship and seek. Needless to say, no one should be compelled to do that, but it is a shame to deprive our public culture of the opportunity, and indeed the encouragement, for people to do it voluntarily. The Baptist or Catholic who heard and joined in the simple and inspiring prayers of Rabbi Gutterman on this official and patriotic occasion was inoculated from religious bigotry and prejudice in a manner that can not be replicated. To deprive our society of that important unifying mechanism in order to spare the nonbeliever what seems to me the minimal inconvenience of standing, or even sitting in respectful nonparticipation, is as senseless in policy as it is unsupported in law.</w:t>
      </w:r>
    </w:p>
    <w:p w:rsidR="00A31137" w:rsidRPr="00A31137" w:rsidRDefault="00A31137" w:rsidP="00A31137">
      <w:r w:rsidRPr="00A31137">
        <w:t>1992, Lee v. Weisman, 505 U.S. 646</w:t>
      </w:r>
    </w:p>
    <w:p w:rsidR="00A31137" w:rsidRPr="00A31137" w:rsidRDefault="00A31137" w:rsidP="00A31137">
      <w:r w:rsidRPr="00A31137">
        <w:t>For the foregoing reasons, I dissent.</w:t>
      </w:r>
    </w:p>
    <w:p w:rsidR="00A31137" w:rsidRPr="00A31137" w:rsidRDefault="00A31137" w:rsidP="00A31137">
      <w:r w:rsidRPr="00A31137">
        <w:t>Footnotes</w:t>
      </w:r>
    </w:p>
    <w:p w:rsidR="00A31137" w:rsidRPr="00A31137" w:rsidRDefault="00A31137" w:rsidP="00A31137">
      <w:r w:rsidRPr="00A31137">
        <w:t>BLACKMUN, J., concurring (Footnotes)</w:t>
      </w:r>
    </w:p>
    <w:p w:rsidR="00A31137" w:rsidRPr="00A31137" w:rsidRDefault="00A31137" w:rsidP="00A31137">
      <w:r w:rsidRPr="00A31137">
        <w:t>1992, Lee v. Weisman, 505 U.S. 646</w:t>
      </w:r>
    </w:p>
    <w:p w:rsidR="00A31137" w:rsidRPr="00A31137" w:rsidRDefault="00A31137" w:rsidP="00A31137">
      <w:r w:rsidRPr="00A31137">
        <w:t>1. A few earlier cases involving federal laws touched on interpretation of the Establishment Clause. In Reynolds v. United States, 98 U.S. 145 (1879), and Davis v. Beason, 133 U.S. 333 (1890), the Court considered the Clause in the context of federal laws prohibiting bigamy. The Court in Reynolds accepted Thomas Jefferson's letter to the Danbury Baptist Association "almost as an authoritative declaration of the scope and effect" of the First Amendment. 98 U.S. at  164. In that letter, Jefferson penned his famous lines that the Establishment Clause built "a wall of separation between church and State." Ibid. Davis considered that</w:t>
      </w:r>
    </w:p>
    <w:p w:rsidR="00A31137" w:rsidRPr="00A31137" w:rsidRDefault="00A31137" w:rsidP="00A31137">
      <w:r w:rsidRPr="00A31137">
        <w:t>1992, Lee v. Weisman, 505 U.S. 646</w:t>
      </w:r>
    </w:p>
    <w:p w:rsidR="00A31137" w:rsidRPr="00A31137" w:rsidRDefault="00A31137" w:rsidP="00A31137">
      <w:r w:rsidRPr="00A31137">
        <w:t>[t]he first amendment to the Constitution…was intended…to prohibit legislation for the support of any religious tenets, or the modes of worship of any sect.</w:t>
      </w:r>
    </w:p>
    <w:p w:rsidR="00A31137" w:rsidRPr="00A31137" w:rsidRDefault="00A31137" w:rsidP="00A31137">
      <w:r w:rsidRPr="00A31137">
        <w:t>1992, Lee v. Weisman, 505 U.S. 646</w:t>
      </w:r>
    </w:p>
    <w:p w:rsidR="00A31137" w:rsidRPr="00A31137" w:rsidRDefault="00A31137" w:rsidP="00A31137">
      <w:r w:rsidRPr="00A31137">
        <w:t>133 U.S. at 342. In another case, Bradfield v. Roberts, 175 U.S. 291 (1899), the Court held that it did not violate the Establishment Clause for Congress to construct a hospital building for caring for poor patients, although the hospital was managed by sisters of the Roman Catholic Church. The Court reasoned:</w:t>
      </w:r>
    </w:p>
    <w:p w:rsidR="00A31137" w:rsidRPr="00A31137" w:rsidRDefault="00A31137" w:rsidP="00A31137">
      <w:r w:rsidRPr="00A31137">
        <w:t>1992, Lee v. Weisman, 505 U.S. 646</w:t>
      </w:r>
    </w:p>
    <w:p w:rsidR="00A31137" w:rsidRPr="00A31137" w:rsidRDefault="00A31137" w:rsidP="00A31137">
      <w:r w:rsidRPr="00A31137">
        <w:t>That the influence of any particular church may be powerful over the members of a nonsectarian and secular corporation, incorporated for a certain defined purpose and with clearly stated powers, is surely not sufficient to convert such a corporation into a religious or sectarian body.</w:t>
      </w:r>
    </w:p>
    <w:p w:rsidR="00A31137" w:rsidRPr="00A31137" w:rsidRDefault="00A31137" w:rsidP="00A31137">
      <w:r w:rsidRPr="00A31137">
        <w:t>1992, Lee v. Weisman, 505 U.S. 646</w:t>
      </w:r>
    </w:p>
    <w:p w:rsidR="00A31137" w:rsidRPr="00A31137" w:rsidRDefault="00A31137" w:rsidP="00A31137">
      <w:r w:rsidRPr="00A31137">
        <w:t>Id. at 298. Finally, in 1908, the Court held that "the spirit of the Constitution" did not prohibit the Indians from using their money, held by the United States Government, for religious education. See Quick Bear v. Leupp, 210 U.S. 50, 81.</w:t>
      </w:r>
    </w:p>
    <w:p w:rsidR="00A31137" w:rsidRPr="00A31137" w:rsidRDefault="00A31137" w:rsidP="00A31137">
      <w:r w:rsidRPr="00A31137">
        <w:t>1992, Lee v. Weisman, 505 U.S. 646</w:t>
      </w:r>
    </w:p>
    <w:p w:rsidR="00A31137" w:rsidRPr="00A31137" w:rsidRDefault="00A31137" w:rsidP="00A31137">
      <w:r w:rsidRPr="00A31137">
        <w:t>2. The Court articulated six examples of paradigmatic practices that the Establishment Clause prohibits:</w:t>
      </w:r>
    </w:p>
    <w:p w:rsidR="00A31137" w:rsidRPr="00A31137" w:rsidRDefault="00A31137" w:rsidP="00A31137">
      <w:r w:rsidRPr="00A31137">
        <w:t>1992, Lee v. Weisman, 505 U.S. 646</w:t>
      </w:r>
    </w:p>
    <w:p w:rsidR="00A31137" w:rsidRPr="00A31137" w:rsidRDefault="00A31137" w:rsidP="00A31137">
      <w:r w:rsidRPr="00A31137">
        <w:t>The "establishment of religion" clause of the First Amendment means at least this: neither a state nor the Federal Government can set up a church. Neither can pass laws which aid one religion, aid all religions, or prefer one religion over another. Neither can force or influence a person to go to or to remain away from church against his will, or force him to profess a belief or disbelief in any religion. No person can be punished for entertaining or professing religious beliefs or disbeliefs, for church attendance or non-attendance. No tax in any amount, large or small, can be levied to support any religious activities or institutions, whatever they may be called, or whatever form they may adopt to teach or practice religion. Neither a state nor the Federal Government can, openly or secretly, participate in the affairs of any religious organizations or groups and vice versa.</w:t>
      </w:r>
    </w:p>
    <w:p w:rsidR="00A31137" w:rsidRPr="00A31137" w:rsidRDefault="00A31137" w:rsidP="00A31137">
      <w:r w:rsidRPr="00A31137">
        <w:t>1992, Lee v. Weisman, 505 U.S. 646</w:t>
      </w:r>
    </w:p>
    <w:p w:rsidR="00A31137" w:rsidRPr="00A31137" w:rsidRDefault="00A31137" w:rsidP="00A31137">
      <w:r w:rsidRPr="00A31137">
        <w:t>Everson v. Bd. of Ed., 330 U.S. 1,  15 (1947).</w:t>
      </w:r>
    </w:p>
    <w:p w:rsidR="00A31137" w:rsidRPr="00A31137" w:rsidRDefault="00A31137" w:rsidP="00A31137">
      <w:r w:rsidRPr="00A31137">
        <w:t>1992, Lee v. Weisman, 505 U.S. 646</w:t>
      </w:r>
    </w:p>
    <w:p w:rsidR="00A31137" w:rsidRPr="00A31137" w:rsidRDefault="00A31137" w:rsidP="00A31137">
      <w:r w:rsidRPr="00A31137">
        <w:t>3. The final prong, excessive entanglement, was a focus of Walz v. Tax Comm'n, 397 U.S. 664,  674 (1970), but harkens back to the final example in Everson:</w:t>
      </w:r>
    </w:p>
    <w:p w:rsidR="00A31137" w:rsidRPr="00A31137" w:rsidRDefault="00A31137" w:rsidP="00A31137">
      <w:r w:rsidRPr="00A31137">
        <w:t>1992, Lee v. Weisman, 505 U.S. 646</w:t>
      </w:r>
    </w:p>
    <w:p w:rsidR="00A31137" w:rsidRPr="00A31137" w:rsidRDefault="00A31137" w:rsidP="00A31137">
      <w:r w:rsidRPr="00A31137">
        <w:t>Neither a state nor the Federal Government can, openly or secretly, participate in the affairs of any religion organizations or groups and vice versa.</w:t>
      </w:r>
    </w:p>
    <w:p w:rsidR="00A31137" w:rsidRPr="00A31137" w:rsidRDefault="00A31137" w:rsidP="00A31137">
      <w:r w:rsidRPr="00A31137">
        <w:t>1992, Lee v. Weisman, 505 U.S. 646</w:t>
      </w:r>
    </w:p>
    <w:p w:rsidR="00A31137" w:rsidRPr="00A31137" w:rsidRDefault="00A31137" w:rsidP="00A31137">
      <w:r w:rsidRPr="00A31137">
        <w:t>Everson, 330 U.S. at  16. The discussion in Everson reflected the Madisonian concern that secular and religious authorities must not interfere with each other's respective spheres of choice and influence. See generally, The Complete Madison 298-312 (S. Padover ed.1953).</w:t>
      </w:r>
    </w:p>
    <w:p w:rsidR="00A31137" w:rsidRPr="00A31137" w:rsidRDefault="00A31137" w:rsidP="00A31137">
      <w:r w:rsidRPr="00A31137">
        <w:t>1992, Lee v. Weisman, 505 U.S. 646</w:t>
      </w:r>
    </w:p>
    <w:p w:rsidR="00A31137" w:rsidRPr="00A31137" w:rsidRDefault="00A31137" w:rsidP="00A31137">
      <w:r w:rsidRPr="00A31137">
        <w:t>4. Since 1971, the Court has decided 31 Establishment Clause cases. In only one instance, the decision of Marsh v. Chambers, 463 U.S. 783 (1983), has the Court not rested its decision on the basic principles described in Lemon. For example, in the most recent Establishment Clause case, Westside Community Bd. of Ed. v. Mergens, 496 U.S. 226 (1990), the Court applied the three-part Lemon analysis to the Equal Access Act, which made it unlawful for public secondary schools to deny equal access to any student wishing to hold religious meetings. Id. at 248-253 (plurality opinion); id. at  262 (Marshall, J., concurring). In no case involving religious activities in public schools has the Court failed to apply vigorously the Lemon factors.</w:t>
      </w:r>
    </w:p>
    <w:p w:rsidR="00A31137" w:rsidRPr="00A31137" w:rsidRDefault="00A31137" w:rsidP="00A31137">
      <w:r w:rsidRPr="00A31137">
        <w:t>1992, Lee v. Weisman, 505 U.S. 646</w:t>
      </w:r>
    </w:p>
    <w:p w:rsidR="00A31137" w:rsidRPr="00A31137" w:rsidRDefault="00A31137" w:rsidP="00A31137">
      <w:r w:rsidRPr="00A31137">
        <w:t>5. In this case, the religious message it promotes is specifically Judeo-Christian. The phrase in the benediction: "We must each strive to fulfill what you require of us all, to do justly, to love mercy, to walk humbly" obviously was taken from the Book of the Prophet Micah, ch. 6, v. 8.</w:t>
      </w:r>
    </w:p>
    <w:p w:rsidR="00A31137" w:rsidRPr="00A31137" w:rsidRDefault="00A31137" w:rsidP="00A31137">
      <w:r w:rsidRPr="00A31137">
        <w:t>1992, Lee v. Weisman, 505 U.S. 646</w:t>
      </w:r>
    </w:p>
    <w:p w:rsidR="00A31137" w:rsidRPr="00A31137" w:rsidRDefault="00A31137" w:rsidP="00A31137">
      <w:r w:rsidRPr="00A31137">
        <w:t>6. As a practical matter, of course, anytime the government endorses a religious belief, there will almost always be some pressure to conform.</w:t>
      </w:r>
    </w:p>
    <w:p w:rsidR="00A31137" w:rsidRPr="00A31137" w:rsidRDefault="00A31137" w:rsidP="00A31137">
      <w:r w:rsidRPr="00A31137">
        <w:t>1992, Lee v. Weisman, 505 U.S. 646</w:t>
      </w:r>
    </w:p>
    <w:p w:rsidR="00A31137" w:rsidRPr="00A31137" w:rsidRDefault="00A31137" w:rsidP="00A31137">
      <w:r w:rsidRPr="00A31137">
        <w:t>When the power, prestige and financial support of government is placed behind a particular religious belief, the indirect coercive pressure upon religious minorities to conform to the prevailing officially approved religion is plain.</w:t>
      </w:r>
    </w:p>
    <w:p w:rsidR="00A31137" w:rsidRPr="00A31137" w:rsidRDefault="00A31137" w:rsidP="00A31137">
      <w:r w:rsidRPr="00A31137">
        <w:t>1992, Lee v. Weisman, 505 U.S. 646</w:t>
      </w:r>
    </w:p>
    <w:p w:rsidR="00A31137" w:rsidRPr="00A31137" w:rsidRDefault="00A31137" w:rsidP="00A31137">
      <w:r w:rsidRPr="00A31137">
        <w:t>Engel v. Vitale, 370 U.S. 421,  431 (1962).</w:t>
      </w:r>
    </w:p>
    <w:p w:rsidR="00A31137" w:rsidRPr="00A31137" w:rsidRDefault="00A31137" w:rsidP="00A31137">
      <w:r w:rsidRPr="00A31137">
        <w:t>1992, Lee v. Weisman, 505 U.S. 646</w:t>
      </w:r>
    </w:p>
    <w:p w:rsidR="00A31137" w:rsidRPr="00A31137" w:rsidRDefault="00A31137" w:rsidP="00A31137">
      <w:r w:rsidRPr="00A31137">
        <w:t>7. See, e.g, Everson, 330 U.S. at  40 (Rutledge, J., dissenting) ("'Establishment' and 'free exercise' were correlative and coextensive ideas, representing only different facets of the single great and fundamental freedom"); Abington School Dist. v. Schempp, 374 U.S. 203,  227 (1963) (Douglas, J., concurring); id. at  305 (Goldberg, J., concurring); Wallace v. Jaffree, 472 U.S. 38,  50 (1985).</w:t>
      </w:r>
    </w:p>
    <w:p w:rsidR="00A31137" w:rsidRPr="00A31137" w:rsidRDefault="00A31137" w:rsidP="00A31137">
      <w:r w:rsidRPr="00A31137">
        <w:t>1992, Lee v. Weisman, 505 U.S. 646</w:t>
      </w:r>
    </w:p>
    <w:p w:rsidR="00A31137" w:rsidRPr="00A31137" w:rsidRDefault="00A31137" w:rsidP="00A31137">
      <w:r w:rsidRPr="00A31137">
        <w:t>8. See also Engel, 370 U.S. at  431 (The Clause's "first and most immediate purpose rested on the belief that a union of government and religion tends to destroy government and to degrade religion"); McCollum v. Board of Education, 333 U.S. 203,  212 (1948) ("[T]he First Amendment rests upon the premise that both religion and government can best work to achieve their lofty aims if each is left free from the other within its respective sphere").</w:t>
      </w:r>
    </w:p>
    <w:p w:rsidR="00A31137" w:rsidRPr="00A31137" w:rsidRDefault="00A31137" w:rsidP="00A31137">
      <w:r w:rsidRPr="00A31137">
        <w:t>1992, Lee v. Weisman, 505 U.S. 646</w:t>
      </w:r>
    </w:p>
    <w:p w:rsidR="00A31137" w:rsidRPr="00A31137" w:rsidRDefault="00A31137" w:rsidP="00A31137">
      <w:r w:rsidRPr="00A31137">
        <w:t>9.</w:t>
      </w:r>
    </w:p>
    <w:p w:rsidR="00A31137" w:rsidRPr="00A31137" w:rsidRDefault="00A31137" w:rsidP="00A31137">
      <w:r w:rsidRPr="00A31137">
        <w:t>1992, Lee v. Weisman, 505 U.S. 646</w:t>
      </w:r>
    </w:p>
    <w:p w:rsidR="00A31137" w:rsidRPr="00A31137" w:rsidRDefault="00A31137" w:rsidP="00A31137">
      <w:r w:rsidRPr="00A31137">
        <w:t>[T]he Establishment Clause is infringed when the government makes adherence to religion relevant to a person's standing in the political community. Direct government action endorsing religion or a particular religious practice is invalid under this approach, because it sends a message to nonadherents that they are outsiders, not full members of the political community, and an accompanying message to adherents that they are insiders, favored members of the political community.</w:t>
      </w:r>
    </w:p>
    <w:p w:rsidR="00A31137" w:rsidRPr="00A31137" w:rsidRDefault="00A31137" w:rsidP="00A31137">
      <w:r w:rsidRPr="00A31137">
        <w:t>1992, Lee v. Weisman, 505 U.S. 646</w:t>
      </w:r>
    </w:p>
    <w:p w:rsidR="00A31137" w:rsidRPr="00A31137" w:rsidRDefault="00A31137" w:rsidP="00A31137">
      <w:r w:rsidRPr="00A31137">
        <w:t>Wallace v. Jaffree, 472 U.S. at  69 (O'CONNOR, J., concurring) (internal quotations omitted).</w:t>
      </w:r>
    </w:p>
    <w:p w:rsidR="00A31137" w:rsidRPr="00A31137" w:rsidRDefault="00A31137" w:rsidP="00A31137">
      <w:r w:rsidRPr="00A31137">
        <w:t>1992, Lee v. Weisman, 505 U.S. 646</w:t>
      </w:r>
    </w:p>
    <w:p w:rsidR="00A31137" w:rsidRPr="00A31137" w:rsidRDefault="00A31137" w:rsidP="00A31137">
      <w:r w:rsidRPr="00A31137">
        <w:t>10. Sigmund Freud expressed it this way: "a religion, even if it calls itself the religion of love, must be hard and unloving to those who do not belong to it." S. Freud, Group Psychology and the Analysis of the Ego 51 (1922). James Madison stated the theory even more strongly in his "Memorial and Remonstrance" against a bill providing tax funds to religious teachers:</w:t>
      </w:r>
    </w:p>
    <w:p w:rsidR="00A31137" w:rsidRPr="00A31137" w:rsidRDefault="00A31137" w:rsidP="00A31137">
      <w:r w:rsidRPr="00A31137">
        <w:t>1992, Lee v. Weisman, 505 U.S. 646</w:t>
      </w:r>
    </w:p>
    <w:p w:rsidR="00A31137" w:rsidRPr="00A31137" w:rsidRDefault="00A31137" w:rsidP="00A31137">
      <w:r w:rsidRPr="00A31137">
        <w:t>It degrades from the equal rank of Citizens all those whose opinions in Religion do not bend to those of the Legislative authority. Distant as it may be, in its present form, from the Inquisition, it differs from it only in degree. The one is the first step, the other the last, in the career of intolerance.</w:t>
      </w:r>
    </w:p>
    <w:p w:rsidR="00A31137" w:rsidRPr="00A31137" w:rsidRDefault="00A31137" w:rsidP="00A31137">
      <w:r w:rsidRPr="00A31137">
        <w:t>1992, Lee v. Weisman, 505 U.S. 646</w:t>
      </w:r>
    </w:p>
    <w:p w:rsidR="00A31137" w:rsidRPr="00A31137" w:rsidRDefault="00A31137" w:rsidP="00A31137">
      <w:r w:rsidRPr="00A31137">
        <w:t>The Complete Madison, at 303. Religion has not lost its power to engender divisiveness.</w:t>
      </w:r>
    </w:p>
    <w:p w:rsidR="00A31137" w:rsidRPr="00A31137" w:rsidRDefault="00A31137" w:rsidP="00A31137">
      <w:r w:rsidRPr="00A31137">
        <w:t>1992, Lee v. Weisman, 505 U.S. 646</w:t>
      </w:r>
    </w:p>
    <w:p w:rsidR="00A31137" w:rsidRPr="00A31137" w:rsidRDefault="00A31137" w:rsidP="00A31137">
      <w:r w:rsidRPr="00A31137">
        <w:t>Of all the issues the ACLU takes on—reproductive rights, discrimination, jail and prison conditions, abuse of kids in the public schools, police brutality, to name a few—by far the most volatile issue is that of school prayer. Aside from our efforts to abolish the death penalty, it is the only issue that elicits death threats.</w:t>
      </w:r>
    </w:p>
    <w:p w:rsidR="00A31137" w:rsidRPr="00A31137" w:rsidRDefault="00A31137" w:rsidP="00A31137">
      <w:r w:rsidRPr="00A31137">
        <w:t>1992, Lee v. Weisman, 505 U.S. 646</w:t>
      </w:r>
    </w:p>
    <w:p w:rsidR="00A31137" w:rsidRPr="00A31137" w:rsidRDefault="00A31137" w:rsidP="00A31137">
      <w:r w:rsidRPr="00A31137">
        <w:t>Parish, Graduation Prayer Violates the Bill of Rights, 4 Utah Bar J. 19 (June/July 1991).</w:t>
      </w:r>
    </w:p>
    <w:p w:rsidR="00A31137" w:rsidRPr="00A31137" w:rsidRDefault="00A31137" w:rsidP="00A31137">
      <w:r w:rsidRPr="00A31137">
        <w:t>1992, Lee v. Weisman, 505 U.S. 646</w:t>
      </w:r>
    </w:p>
    <w:p w:rsidR="00A31137" w:rsidRPr="00A31137" w:rsidRDefault="00A31137" w:rsidP="00A31137">
      <w:r w:rsidRPr="00A31137">
        <w:t>11. The view that the Establishment Clause was primarily a vehicle for protecting churches was expounded initially by Roger Williams. "[W]ordly corruptions…might consume the churches if sturdy fences against the wilderness were not maintained." M. Howe, The Garden and the Wilderness 6 (1965).</w:t>
      </w:r>
    </w:p>
    <w:p w:rsidR="00A31137" w:rsidRPr="00A31137" w:rsidRDefault="00A31137" w:rsidP="00A31137">
      <w:r w:rsidRPr="00A31137">
        <w:t>1992, Lee v. Weisman, 505 U.S. 646</w:t>
      </w:r>
    </w:p>
    <w:p w:rsidR="00A31137" w:rsidRPr="00A31137" w:rsidRDefault="00A31137" w:rsidP="00A31137">
      <w:r w:rsidRPr="00A31137">
        <w:t>12.</w:t>
      </w:r>
    </w:p>
    <w:p w:rsidR="00A31137" w:rsidRPr="00A31137" w:rsidRDefault="00A31137" w:rsidP="00A31137">
      <w:r w:rsidRPr="00A31137">
        <w:t>1992, Lee v. Weisman, 505 U.S. 646</w:t>
      </w:r>
    </w:p>
    <w:p w:rsidR="00A31137" w:rsidRPr="00A31137" w:rsidRDefault="00A31137" w:rsidP="00A31137">
      <w:r w:rsidRPr="00A31137">
        <w:t>[B]ut when a religion contracts an alliance of this nature, I do not hesitate to affirm that it commits the same error as a man who should sacrifice his future to his present welfare; and in obtaining a power to which it has no claim, it risks that authority which is rightfully its own.</w:t>
      </w:r>
    </w:p>
    <w:p w:rsidR="00A31137" w:rsidRPr="00A31137" w:rsidRDefault="00A31137" w:rsidP="00A31137">
      <w:r w:rsidRPr="00A31137">
        <w:t>1992, Lee v. Weisman, 505 U.S. 646</w:t>
      </w:r>
    </w:p>
    <w:p w:rsidR="00A31137" w:rsidRPr="00A31137" w:rsidRDefault="00A31137" w:rsidP="00A31137">
      <w:r w:rsidRPr="00A31137">
        <w:t>A. de Tocqueville, Democracy in America 315 (H. Reeve transl.1900).</w:t>
      </w:r>
    </w:p>
    <w:p w:rsidR="00A31137" w:rsidRPr="00A31137" w:rsidRDefault="00A31137" w:rsidP="00A31137">
      <w:r w:rsidRPr="00A31137">
        <w:t>SOUTER, J., concurring (Footnotes)</w:t>
      </w:r>
    </w:p>
    <w:p w:rsidR="00A31137" w:rsidRPr="00A31137" w:rsidRDefault="00A31137" w:rsidP="00A31137">
      <w:r w:rsidRPr="00A31137">
        <w:t>1992, Lee v. Weisman, 505 U.S. 646</w:t>
      </w:r>
    </w:p>
    <w:p w:rsidR="00A31137" w:rsidRPr="00A31137" w:rsidRDefault="00A31137" w:rsidP="00A31137">
      <w:r w:rsidRPr="00A31137">
        <w:t>1. Cf. Larson v. Valente, 456 U.S. 228 (1982) (subjecting discrimination against certain religious organizations to test of strict scrutiny).</w:t>
      </w:r>
    </w:p>
    <w:p w:rsidR="00A31137" w:rsidRPr="00A31137" w:rsidRDefault="00A31137" w:rsidP="00A31137">
      <w:r w:rsidRPr="00A31137">
        <w:t>1992, Lee v. Weisman, 505 U.S. 646</w:t>
      </w:r>
    </w:p>
    <w:p w:rsidR="00A31137" w:rsidRPr="00A31137" w:rsidRDefault="00A31137" w:rsidP="00A31137">
      <w:r w:rsidRPr="00A31137">
        <w:t>2. Some commentators have suggested that, by targeting laws respecting "an" establishment of religion, the Framers adopted the very nonpreferentialist position whose much clearer articulation they repeatedly rejected. See, e.g., R. Cord, Separation of Church and State: Historical Fact and Current Fiction 11-12 (1988). Yet the indefinite article before the word "establishment" is better seen as evidence that the Clause forbids any kind of establishment, including a nonpreferential one. If the Framers had wished, for some reason, to use the indefinite term to achieve a narrow meaning for the Clause, they could far more aptly have placed it before the word "religion." See Laycock, "Non preferential" Aid to Religion: A False Claim About Original Intent, 27 Wm. &amp; Mary L.Rev. 875, 884-885 (1986) (hereinafter Laycock, "Nonpreferential" Aid).</w:t>
      </w:r>
    </w:p>
    <w:p w:rsidR="00A31137" w:rsidRPr="00A31137" w:rsidRDefault="00A31137" w:rsidP="00A31137">
      <w:r w:rsidRPr="00A31137">
        <w:t>1992, Lee v. Weisman, 505 U.S. 646</w:t>
      </w:r>
    </w:p>
    <w:p w:rsidR="00A31137" w:rsidRPr="00A31137" w:rsidRDefault="00A31137" w:rsidP="00A31137">
      <w:r w:rsidRPr="00A31137">
        <w:t>3. In his dissent in Wallace v. Jaffree, 472 U.S. 38 (1985), THE CHIEF JUSTICE rested his nonpreferentialist interpretation partly on the post-ratification actions of the early national government. Aside from the willingness of some (but not all) early Presidents to issue ceremonial religious proclamations, which were, at worst, trivial breaches of the Establishment Clause, see infra at 630-631, he cited such seemingly preferential aid as a treaty provision, signed by Jefferson, authorizing federal subsidization of a Roman Catholic priest and church for the Kaskaskia Indians. 472 U.S. at  103. But this proves too much, for if the Establishment Clause permits a special appropriation of tax money for the religious activities of a particular sect, it forbids virtually nothing. See Laycock, "Nonpreferential" Aid 915. Although evidence of historical practice can indeed furnish valuable aid in the interpretation of contemporary language, acts like the one in question prove only that public officials, no matter when they serve, can turn a blind eye to constitutional principle. See infra at  626.</w:t>
      </w:r>
    </w:p>
    <w:p w:rsidR="00A31137" w:rsidRPr="00A31137" w:rsidRDefault="00A31137" w:rsidP="00A31137">
      <w:r w:rsidRPr="00A31137">
        <w:t>1992, Lee v. Weisman, 505 U.S. 646</w:t>
      </w:r>
    </w:p>
    <w:p w:rsidR="00A31137" w:rsidRPr="00A31137" w:rsidRDefault="00A31137" w:rsidP="00A31137">
      <w:r w:rsidRPr="00A31137">
        <w:t>4. In Everson v. Board of Education of Ewing, 330 U.S. 1 (1947), we unanimously incorporated the Establishment Clause into the Due Process Clause of the Fourteenth Amendment and, by so doing, extended its reach to the actions of States. Id. at 14-15; see also Cantwell v. Connecticut, 310 U.S. 296,  303 (1940) (dictum). Since then, not one Member of this Court has proposed disincorporating the Clause.</w:t>
      </w:r>
    </w:p>
    <w:p w:rsidR="00A31137" w:rsidRPr="00A31137" w:rsidRDefault="00A31137" w:rsidP="00A31137">
      <w:r w:rsidRPr="00A31137">
        <w:t>1992, Lee v. Weisman, 505 U.S. 646</w:t>
      </w:r>
    </w:p>
    <w:p w:rsidR="00A31137" w:rsidRPr="00A31137" w:rsidRDefault="00A31137" w:rsidP="00A31137">
      <w:r w:rsidRPr="00A31137">
        <w:t>5. Petitioners claim that the quoted passage shows that Jefferson regarded Thanksgiving proclamations as "coercive:"</w:t>
      </w:r>
    </w:p>
    <w:p w:rsidR="00A31137" w:rsidRPr="00A31137" w:rsidRDefault="00A31137" w:rsidP="00A31137">
      <w:r w:rsidRPr="00A31137">
        <w:t>1992, Lee v. Weisman, 505 U.S. 646</w:t>
      </w:r>
    </w:p>
    <w:p w:rsidR="00A31137" w:rsidRPr="00A31137" w:rsidRDefault="00A31137" w:rsidP="00A31137">
      <w:r w:rsidRPr="00A31137">
        <w:t>Thus, while one may disagree with Jefferson's view that a recommendatory Thanksgiving proclamation would nonetheless be coercive…, one cannot disagree that Jefferson believed coercion to be a necessary element of a First Amendment violation.</w:t>
      </w:r>
    </w:p>
    <w:p w:rsidR="00A31137" w:rsidRPr="00A31137" w:rsidRDefault="00A31137" w:rsidP="00A31137">
      <w:r w:rsidRPr="00A31137">
        <w:t>1992, Lee v. Weisman, 505 U.S. 646</w:t>
      </w:r>
    </w:p>
    <w:p w:rsidR="00A31137" w:rsidRPr="00A31137" w:rsidRDefault="00A31137" w:rsidP="00A31137">
      <w:r w:rsidRPr="00A31137">
        <w:t>Brief for Petitioners 34. But this is wordplay. The "proscription" to which Jefferson referred was, of course, by the public, and not the government, whose only action was a noncoercive recommendation. And one can call any act of endorsement a form of coercion, but only if one is willing to dilute the meaning of "coercion" until there is no meaning left. Jefferson's position straightforwardly contradicts the claim that a showing of "coercion," under any normal definition, is prerequisite to a successful Establishment Clause claim. At the same time, Jefferson's practice, like Madison's, see infra this page and  625, sometimes diverged from principle, for he did include religious references in his inaugural speeches. See Inaugural Addresses of the Presidents of the United States 17, 22-23 (1989); see also supra, note  3. Homer nodded.</w:t>
      </w:r>
    </w:p>
    <w:p w:rsidR="00A31137" w:rsidRPr="00A31137" w:rsidRDefault="00A31137" w:rsidP="00A31137">
      <w:r w:rsidRPr="00A31137">
        <w:t>1992, Lee v. Weisman, 505 U.S. 646</w:t>
      </w:r>
    </w:p>
    <w:p w:rsidR="00A31137" w:rsidRPr="00A31137" w:rsidRDefault="00A31137" w:rsidP="00A31137">
      <w:r w:rsidRPr="00A31137">
        <w:t>Petitioners also seek comfort in a different passage of the same letter. Jefferson argued that presidential religious proclamations violate not just the Establishment Clause, but also the Tenth Amendment, for "what might be a right in a state government was a violation of that right when assumed by another." Letter from Thomas Jefferson to Rev. S. Miller (Jan. 23, 1808), in 5 The Founders' Constitution 99 (P. Kurland &amp; R. Lerner eds. 1987). Jefferson did not, however, restrict himself to the Tenth Amendment in condemning such proclamations by a national officer. I do not, in any event, understand petitioners to be arguing that the Establishment Clause is exclusively a structural provision mediating the respective powers of the State and National Governments. Such a position would entail the argument, which petitioners do not make, and which we would almost certainly reject, that incorporation of the Establishment Clause under the Fourteenth Amendment was erroneous.</w:t>
      </w:r>
    </w:p>
    <w:p w:rsidR="00A31137" w:rsidRPr="00A31137" w:rsidRDefault="00A31137" w:rsidP="00A31137">
      <w:r w:rsidRPr="00A31137">
        <w:t>1992, Lee v. Weisman, 505 U.S. 646</w:t>
      </w:r>
    </w:p>
    <w:p w:rsidR="00A31137" w:rsidRPr="00A31137" w:rsidRDefault="00A31137" w:rsidP="00A31137">
      <w:r w:rsidRPr="00A31137">
        <w:t>6. Madison found this practice "a palpable violation of…Constitutional principles." Madison's "Detached Memoranda" 558. Although he sat on the committee recommending the congressional chaplainship, see R. Cord, Separation of Church and State: Historical Fact and Current Fiction 23 (1988), he later insisted that</w:t>
      </w:r>
    </w:p>
    <w:p w:rsidR="00A31137" w:rsidRPr="00A31137" w:rsidRDefault="00A31137" w:rsidP="00A31137">
      <w:r w:rsidRPr="00A31137">
        <w:t>1992, Lee v. Weisman, 505 U.S. 646</w:t>
      </w:r>
    </w:p>
    <w:p w:rsidR="00A31137" w:rsidRPr="00A31137" w:rsidRDefault="00A31137" w:rsidP="00A31137">
      <w:r w:rsidRPr="00A31137">
        <w:t>it was not with my approbation that the deviation from [the immunity of Religion from civil jurisdiction] took place in Congs., when they appointed Chaplains, to be paid from the Natl. Treasury.</w:t>
      </w:r>
    </w:p>
    <w:p w:rsidR="00A31137" w:rsidRPr="00A31137" w:rsidRDefault="00A31137" w:rsidP="00A31137">
      <w:r w:rsidRPr="00A31137">
        <w:t>1992, Lee v. Weisman, 505 U.S. 646</w:t>
      </w:r>
    </w:p>
    <w:p w:rsidR="00A31137" w:rsidRPr="00A31137" w:rsidRDefault="00A31137" w:rsidP="00A31137">
      <w:r w:rsidRPr="00A31137">
        <w:t>Letter from J. Madison to E. Livingston (July 10, 1822), in 5 The Founders' Constitution, at 105.</w:t>
      </w:r>
    </w:p>
    <w:p w:rsidR="00A31137" w:rsidRPr="00A31137" w:rsidRDefault="00A31137" w:rsidP="00A31137">
      <w:r w:rsidRPr="00A31137">
        <w:t>1992, Lee v. Weisman, 505 U.S. 646</w:t>
      </w:r>
    </w:p>
    <w:p w:rsidR="00A31137" w:rsidRPr="00A31137" w:rsidRDefault="00A31137" w:rsidP="00A31137">
      <w:r w:rsidRPr="00A31137">
        <w:t>7. See, e.g., Thomas v. Review Bd. of Indiana Employment Security Div., 450 U.S. 707,  726 (1981) (REHNQUIST, J., dissenting); Choper, The Religion Clauses of the First Amendment: Reconciling the Conflict, 41 U.Pitt.L.Rev. 673, 685-686 (1980); see also Walz v. Tax Comm'n of New York City, 397 U.S. 664, 668-669 (1970); Sherbert v. Verner, 374 U.S. 398,  414,  416 (1963) (Stewart, J., concurring in result); cf. Wallace v. Jaffree, 472 U.S. at  83 (O'CONNOR, J., concurring in judgment).</w:t>
      </w:r>
    </w:p>
    <w:p w:rsidR="00A31137" w:rsidRPr="00A31137" w:rsidRDefault="00A31137" w:rsidP="00A31137">
      <w:r w:rsidRPr="00A31137">
        <w:t>1992, Lee v. Weisman, 505 U.S. 646</w:t>
      </w:r>
    </w:p>
    <w:p w:rsidR="00A31137" w:rsidRPr="00A31137" w:rsidRDefault="00A31137" w:rsidP="00A31137">
      <w:r w:rsidRPr="00A31137">
        <w:t>8. If the State had chosen its graduation day speakers according to wholly secular criteria, and if one of those speakers (not a state actor) had individually chosen to deliver a religious message, it would have been harder to attribute an endorsement of religion to the State. Cf. Witters v. Washington Dept. of Services for Blind, 474 U.S. 481 (1986). But that is not our case. Nor is this a case where the State has, without singling out religious groups or individuals, extended benefits to them as members of a broad class of beneficiaries defined by clearly secular criteria. See Widmar v. Vincent, 454 U.S. 263, 274-275 (1981); Walz, supra, 397 U.S. at  696 (opinion of Harlan, J.) ("In any particular case, the critical question is whether the circumference of legislation encircles a class so broad that it can be fairly concluded that religious institutions could be thought to fall within the natural perimeter"). Finally, this is not a case like Marsh v. Chambers, 463 U.S. 783 (1983), in which government officials invoke spiritual inspiration entirely for their own benefit, without directing any religious message at the citizens they lead.</w:t>
      </w:r>
    </w:p>
    <w:p w:rsidR="00A31137" w:rsidRPr="00A31137" w:rsidRDefault="00A31137" w:rsidP="00A31137">
      <w:r w:rsidRPr="00A31137">
        <w:t>President Bush's Statement on the Supreme Court Decision on the Lee v. Weisman Case, 1992</w:t>
      </w:r>
    </w:p>
    <w:p w:rsidR="00A31137" w:rsidRPr="00A31137" w:rsidRDefault="00A31137" w:rsidP="00A31137">
      <w:r w:rsidRPr="00A31137">
        <w:t>Title:</w:t>
      </w:r>
      <w:r w:rsidRPr="00A31137">
        <w:tab/>
        <w:t>President Bush's Statement on the Supreme Court Decision on the Lee v. Weisman Case</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June 24, 1992</w:t>
      </w:r>
    </w:p>
    <w:p w:rsidR="00A31137" w:rsidRPr="00A31137" w:rsidRDefault="00A31137" w:rsidP="00A31137">
      <w:r w:rsidRPr="00A31137">
        <w:t>Source:</w:t>
      </w:r>
      <w:r w:rsidRPr="00A31137">
        <w:tab/>
        <w:t>Public Papers of the Presidents, Bush, 1992, p.1009</w:t>
      </w:r>
    </w:p>
    <w:p w:rsidR="00A31137" w:rsidRPr="00A31137" w:rsidRDefault="00A31137" w:rsidP="00A31137">
      <w:r w:rsidRPr="00A31137">
        <w:t>Public Papers of Bush, 1992, p.1009</w:t>
      </w:r>
    </w:p>
    <w:p w:rsidR="00A31137" w:rsidRPr="00A31137" w:rsidRDefault="00A31137" w:rsidP="00A31137">
      <w:r w:rsidRPr="00A31137">
        <w:t>I am very disappointed by the Supreme Court's decision in Lee v. Weisman. The Court said that a simple nondenominational prayer thanking God for the liberty of America at a public school graduation ceremony violates the first amendment. America is a land of religious pluralism, and this is one of our Nation's greatest strengths. While we must remain neutral toward particular religions and protect freedom of conscience, we should not remain neutral toward religion itself. In this case, I believe that the Court has unnecessarily cast away the venerable and proper American tradition of nonsectarian prayer at public celebrations. I continue to believe that this type of prayer should be allowed in public schools.</w:t>
      </w:r>
    </w:p>
    <w:p w:rsidR="00A31137" w:rsidRPr="00A31137" w:rsidRDefault="00A31137" w:rsidP="00A31137">
      <w:r w:rsidRPr="00A31137">
        <w:t>Democratic Platform of 1992</w:t>
      </w:r>
    </w:p>
    <w:p w:rsidR="00A31137" w:rsidRPr="00A31137" w:rsidRDefault="00A31137" w:rsidP="00A31137">
      <w:r w:rsidRPr="00A31137">
        <w:t>Title:</w:t>
      </w:r>
      <w:r w:rsidRPr="00A31137">
        <w:tab/>
        <w:t>Democratic Platform of 1992</w:t>
      </w:r>
    </w:p>
    <w:p w:rsidR="00A31137" w:rsidRPr="00A31137" w:rsidRDefault="00A31137" w:rsidP="00A31137">
      <w:r w:rsidRPr="00A31137">
        <w:t>Author:</w:t>
      </w:r>
      <w:r w:rsidRPr="00A31137">
        <w:tab/>
        <w:t>Democratic Party</w:t>
      </w:r>
    </w:p>
    <w:p w:rsidR="00A31137" w:rsidRPr="00A31137" w:rsidRDefault="00A31137" w:rsidP="00A31137">
      <w:r w:rsidRPr="00A31137">
        <w:t>Date:</w:t>
      </w:r>
      <w:r w:rsidRPr="00A31137">
        <w:tab/>
        <w:t>1992</w:t>
      </w:r>
    </w:p>
    <w:p w:rsidR="00A31137" w:rsidRPr="00A31137" w:rsidRDefault="00A31137" w:rsidP="00A31137">
      <w:r w:rsidRPr="00A31137">
        <w:t>Source:</w:t>
      </w:r>
      <w:r w:rsidRPr="00A31137">
        <w:tab/>
        <w:t>1992 Democratic Party Platform Booklet</w:t>
      </w:r>
    </w:p>
    <w:p w:rsidR="00A31137" w:rsidRPr="00A31137" w:rsidRDefault="00A31137" w:rsidP="00A31137">
      <w:r w:rsidRPr="00A31137">
        <w:t>A New Covenant with the American People</w:t>
      </w:r>
    </w:p>
    <w:p w:rsidR="00A31137" w:rsidRPr="00A31137" w:rsidRDefault="00A31137" w:rsidP="00A31137">
      <w:r w:rsidRPr="00A31137">
        <w:t>Preamble</w:t>
      </w:r>
    </w:p>
    <w:p w:rsidR="00A31137" w:rsidRPr="00A31137" w:rsidRDefault="00A31137" w:rsidP="00A31137">
      <w:r w:rsidRPr="00A31137">
        <w:t>1992 Democratic Party Platform</w:t>
      </w:r>
    </w:p>
    <w:p w:rsidR="00A31137" w:rsidRPr="00A31137" w:rsidRDefault="00A31137" w:rsidP="00A31137">
      <w:r w:rsidRPr="00A31137">
        <w:t>Two hundred summers ago, this Democratic Party was founded by the man whose burning pen fired the spirit of the American Revolution—who once argued we should overthrow our own government every 20 years to renew our freedom and keep pace with a changing world. In 1992, the party Thomas Jefferson founded invokes his spirit of revolution anew.</w:t>
      </w:r>
    </w:p>
    <w:p w:rsidR="00A31137" w:rsidRPr="00A31137" w:rsidRDefault="00A31137" w:rsidP="00A31137">
      <w:r w:rsidRPr="00A31137">
        <w:t>1992 Democratic Party Platform</w:t>
      </w:r>
    </w:p>
    <w:p w:rsidR="00A31137" w:rsidRPr="00A31137" w:rsidRDefault="00A31137" w:rsidP="00A31137">
      <w:r w:rsidRPr="00A31137">
        <w:t>Our land reverberates with a battle cry of frustration that emanates from America's very soul—from the families in our bedrock neighborhoods, from the unsung, workaday heroes of the world's greatest democracy and economy. America is on the wrong track. The American people are hurting. The American Dream of expanding opportunity has faded. Middle class families are working hard, playing by the rules, but still falling behind. Poverty has exploded. Our people are torn by divisions.</w:t>
      </w:r>
    </w:p>
    <w:p w:rsidR="00A31137" w:rsidRPr="00A31137" w:rsidRDefault="00A31137" w:rsidP="00A31137">
      <w:r w:rsidRPr="00A31137">
        <w:t>1992 Democratic Party Platform</w:t>
      </w:r>
    </w:p>
    <w:p w:rsidR="00A31137" w:rsidRPr="00A31137" w:rsidRDefault="00A31137" w:rsidP="00A31137">
      <w:r w:rsidRPr="00A31137">
        <w:t>The last 12 years have been a nightmare of Republican irresponsibility and neglect. America's leadership is indifferent at home and uncertain in the world. Republican mismanagement has disarmed government as an instrument to make our economy work and support the people's most basic values, needs and hopes. The Republicans brought America a false and fragile prosperity based on borrowing, not income, and so will leave behind a mountain of public debt and a backbreaking annual burden in interest. It is wrong to borrow to spend on ourselves, leaving our children to pay our debts.</w:t>
      </w:r>
    </w:p>
    <w:p w:rsidR="00A31137" w:rsidRPr="00A31137" w:rsidRDefault="00A31137" w:rsidP="00A31137">
      <w:r w:rsidRPr="00A31137">
        <w:t>1992 Democratic Party Platform</w:t>
      </w:r>
    </w:p>
    <w:p w:rsidR="00A31137" w:rsidRPr="00A31137" w:rsidRDefault="00A31137" w:rsidP="00A31137">
      <w:r w:rsidRPr="00A31137">
        <w:t>We hear the anguish and the anger of the American people. We know it is directed not just at the Republican administrations that have had power, but at government itself.</w:t>
      </w:r>
    </w:p>
    <w:p w:rsidR="00A31137" w:rsidRPr="00A31137" w:rsidRDefault="00A31137" w:rsidP="00A31137">
      <w:r w:rsidRPr="00A31137">
        <w:t>1992 Democratic Party Platform</w:t>
      </w:r>
    </w:p>
    <w:p w:rsidR="00A31137" w:rsidRPr="00A31137" w:rsidRDefault="00A31137" w:rsidP="00A31137">
      <w:r w:rsidRPr="00A31137">
        <w:t>Their anger is justified. We can no longer afford business as usual—neither the policies of the last 12 years of tax breaks for the rich, mismanagement, lack of leadership and cuts in services for the middle class and the poor, nor the adoption of new programs and new spending without new thinking. It is time to listen to the grass roots of America, time to renew the spirit of citizen activism that has always been the touchstone of a free and democratic society.</w:t>
      </w:r>
    </w:p>
    <w:p w:rsidR="00A31137" w:rsidRPr="00A31137" w:rsidRDefault="00A31137" w:rsidP="00A31137">
      <w:r w:rsidRPr="00A31137">
        <w:t>1992 Democratic Party Platform</w:t>
      </w:r>
    </w:p>
    <w:p w:rsidR="00A31137" w:rsidRPr="00A31137" w:rsidRDefault="00A31137" w:rsidP="00A31137">
      <w:r w:rsidRPr="00A31137">
        <w:t>Therefore we call for a revolution in government—to take power away from entrenched bureaucracies and narrow interests in Washington and put it back in the hands of ordinary people. We vow to make government more decentralized, more flexible, and more accountable—to reform public institutions and replace public officials who aren't leading with ones who will.</w:t>
      </w:r>
    </w:p>
    <w:p w:rsidR="00A31137" w:rsidRPr="00A31137" w:rsidRDefault="00A31137" w:rsidP="00A31137">
      <w:r w:rsidRPr="00A31137">
        <w:t>1992 Democratic Party Platform</w:t>
      </w:r>
    </w:p>
    <w:p w:rsidR="00A31137" w:rsidRPr="00A31137" w:rsidRDefault="00A31137" w:rsidP="00A31137">
      <w:r w:rsidRPr="00A31137">
        <w:t>The Revolution of 1992 is about restoring America's economic greatness. We need to rebuild America by abandoning the something-for-nothing ethic of the last decade and putting people first for a change. Only a thriving economy, a strong manufacturing base, and growth in creative new enterprise can generate the resources to meet the nation's pressing human and social needs. An expanding, entrepreneurial economy of high-skill, high-wage jobs is the most important family policy, urban policy, labor policy, minority policy and foreign policy America can have.</w:t>
      </w:r>
    </w:p>
    <w:p w:rsidR="00A31137" w:rsidRPr="00A31137" w:rsidRDefault="00A31137" w:rsidP="00A31137">
      <w:r w:rsidRPr="00A31137">
        <w:t>1992 Democratic Party Platform</w:t>
      </w:r>
    </w:p>
    <w:p w:rsidR="00A31137" w:rsidRPr="00A31137" w:rsidRDefault="00A31137" w:rsidP="00A31137">
      <w:r w:rsidRPr="00A31137">
        <w:t>The Revolution of 1992 is about putting government back on the side of working men and women—to help those who work hard, pay their bills, play by the rules, don't lobby for tax breaks, do their best to give their kids a good education and to keep them away from drugs, who want a safe neighborhood for their families, the security of decent, productive jobs for themselves, and a dignified life for their parents.</w:t>
      </w:r>
    </w:p>
    <w:p w:rsidR="00A31137" w:rsidRPr="00A31137" w:rsidRDefault="00A31137" w:rsidP="00A31137">
      <w:r w:rsidRPr="00A31137">
        <w:t>1992 Democratic Party Platform</w:t>
      </w:r>
    </w:p>
    <w:p w:rsidR="00A31137" w:rsidRPr="00A31137" w:rsidRDefault="00A31137" w:rsidP="00A31137">
      <w:r w:rsidRPr="00A31137">
        <w:t>The Revolution of 1992 is about a radical change in the way government operates—not the Republican proposition that government has no role, nor the old notion that there's a program for every problem, but a shift to a more efficient, flexible and results-oriented government that improves services, expands choices, and empowers citizens and communities to change our country from the bottom up. We believe in an activist government, but it must work in a different, more responsive way.</w:t>
      </w:r>
    </w:p>
    <w:p w:rsidR="00A31137" w:rsidRPr="00A31137" w:rsidRDefault="00A31137" w:rsidP="00A31137">
      <w:r w:rsidRPr="00A31137">
        <w:t>1992 Democratic Party Platform</w:t>
      </w:r>
    </w:p>
    <w:p w:rsidR="00A31137" w:rsidRPr="00A31137" w:rsidRDefault="00A31137" w:rsidP="00A31137">
      <w:r w:rsidRPr="00A31137">
        <w:t>The Revolution of 1992 is about facing up to tough choices. There is no relief for America's frustration in the politics of diversion and evasion, of false choices or of no choices at all. Instead of everyone in Washington blaming one another for inaction, we will act decisively—and ask to be held accountable if we don't.</w:t>
      </w:r>
    </w:p>
    <w:p w:rsidR="00A31137" w:rsidRPr="00A31137" w:rsidRDefault="00A31137" w:rsidP="00A31137">
      <w:r w:rsidRPr="00A31137">
        <w:t>1992 Democratic Party Platform</w:t>
      </w:r>
    </w:p>
    <w:p w:rsidR="00A31137" w:rsidRPr="00A31137" w:rsidRDefault="00A31137" w:rsidP="00A31137">
      <w:r w:rsidRPr="00A31137">
        <w:t>Above all the Revolution of 1992 is about restoring the basic American values that built this country and will always make it great: personal responsibility, individual liberty, tolerance, faith, family and hard work. We offer the American people not only new ideas, a new course, and a new President, but a return to the enduring principles that set our nation apart: the promise of opportunity, the strength of community, the dignity of work, and a decent life for senior citizens.</w:t>
      </w:r>
    </w:p>
    <w:p w:rsidR="00A31137" w:rsidRPr="00A31137" w:rsidRDefault="00A31137" w:rsidP="00A31137">
      <w:r w:rsidRPr="00A31137">
        <w:t>1992 Democratic Party Platform</w:t>
      </w:r>
    </w:p>
    <w:p w:rsidR="00A31137" w:rsidRPr="00A31137" w:rsidRDefault="00A31137" w:rsidP="00A31137">
      <w:r w:rsidRPr="00A31137">
        <w:t>To make this revolution, we seek a New Covenant to repair the damaged bond between the American people and their government, that will expand opportunity, insist upon greater individual responsibility in return, restore community, and ensure national security in a profoundly new era.</w:t>
      </w:r>
    </w:p>
    <w:p w:rsidR="00A31137" w:rsidRPr="00A31137" w:rsidRDefault="00A31137" w:rsidP="00A31137">
      <w:r w:rsidRPr="00A31137">
        <w:t>1992 Democratic Party Platform</w:t>
      </w:r>
    </w:p>
    <w:p w:rsidR="00A31137" w:rsidRPr="00A31137" w:rsidRDefault="00A31137" w:rsidP="00A31137">
      <w:r w:rsidRPr="00A31137">
        <w:t>We welcome the close scrutiny of the American people, including Americans who may have thought the Democratic Party had forgotten its way, as well as all who know us as the champions of those who have been denied a chance. With this platform we take our case for change to the American people.</w:t>
      </w:r>
    </w:p>
    <w:p w:rsidR="00A31137" w:rsidRPr="00A31137" w:rsidRDefault="00A31137" w:rsidP="00A31137">
      <w:r w:rsidRPr="00A31137">
        <w:t>I. Opportunity</w:t>
      </w:r>
    </w:p>
    <w:p w:rsidR="00A31137" w:rsidRPr="00A31137" w:rsidRDefault="00A31137" w:rsidP="00A31137">
      <w:r w:rsidRPr="00A31137">
        <w:t>1992 Democratic Party Platform</w:t>
      </w:r>
    </w:p>
    <w:p w:rsidR="00A31137" w:rsidRPr="00A31137" w:rsidRDefault="00A31137" w:rsidP="00A31137">
      <w:r w:rsidRPr="00A31137">
        <w:t>Our Party's first priority is opportunity—broad-based, non-inflationary economic growth and the opportunity that flows from it. Democrats in 1992 hold nothing more important for America than an economy that offers growth and jobs for all.</w:t>
      </w:r>
    </w:p>
    <w:p w:rsidR="00A31137" w:rsidRPr="00A31137" w:rsidRDefault="00A31137" w:rsidP="00A31137">
      <w:r w:rsidRPr="00A31137">
        <w:t>1992 Democratic Party Platform</w:t>
      </w:r>
    </w:p>
    <w:p w:rsidR="00A31137" w:rsidRPr="00A31137" w:rsidRDefault="00A31137" w:rsidP="00A31137">
      <w:r w:rsidRPr="00A31137">
        <w:t>President Bush, with no interest in domestic policy, has given America the slowest economic growth, the slowest income growth, and the slowest jobs growth since the Great Depression. And the American people know the long Bush recession reflects not just a business cycle, but a long-term slide, so that even in a fragile recovery we're sinking. The ballooning Bush deficits hijacked capital from productive investments. Savings and loan sharks enriched themselves at their country's expense. The stock market tripled, but average incomes stalled, and poverty claimed more of our children.</w:t>
      </w:r>
    </w:p>
    <w:p w:rsidR="00A31137" w:rsidRPr="00A31137" w:rsidRDefault="00A31137" w:rsidP="00A31137">
      <w:r w:rsidRPr="00A31137">
        <w:t>1992 Democratic Party Platform</w:t>
      </w:r>
    </w:p>
    <w:p w:rsidR="00A31137" w:rsidRPr="00A31137" w:rsidRDefault="00A31137" w:rsidP="00A31137">
      <w:r w:rsidRPr="00A31137">
        <w:t>We reject both the do-nothing government of the last twelve years and the big government theory that says we can hamstring business and tax and spend our way to prosperity. Instead we offer a third way. Just as we have always viewed working men and women as the bedrock of our economy, we honor business as a noble endeavor, and vow to create a far better climate for firms and independent contractors of all sizes that empower their workers, revolutionize their workplaces, respect the environment, and serve their communities well.</w:t>
      </w:r>
    </w:p>
    <w:p w:rsidR="00A31137" w:rsidRPr="00A31137" w:rsidRDefault="00A31137" w:rsidP="00A31137">
      <w:r w:rsidRPr="00A31137">
        <w:t>1992 Democratic Party Platform</w:t>
      </w:r>
    </w:p>
    <w:p w:rsidR="00A31137" w:rsidRPr="00A31137" w:rsidRDefault="00A31137" w:rsidP="00A31137">
      <w:r w:rsidRPr="00A31137">
        <w:t>We believe in free enterprise and the power of market forces. But economic growth will not come without a national economic strategy to invest in people. For twelve years our country has had no economic vision, leadership or strategy. It is time to put our people and our country first.</w:t>
      </w:r>
    </w:p>
    <w:p w:rsidR="00A31137" w:rsidRPr="00A31137" w:rsidRDefault="00A31137" w:rsidP="00A31137">
      <w:r w:rsidRPr="00A31137">
        <w:t>Investing In America</w:t>
      </w:r>
    </w:p>
    <w:p w:rsidR="00A31137" w:rsidRPr="00A31137" w:rsidRDefault="00A31137" w:rsidP="00A31137">
      <w:r w:rsidRPr="00A31137">
        <w:t>1992 Democratic Party Platform</w:t>
      </w:r>
    </w:p>
    <w:p w:rsidR="00A31137" w:rsidRPr="00A31137" w:rsidRDefault="00A31137" w:rsidP="00A31137">
      <w:r w:rsidRPr="00A31137">
        <w:t>The only way to lay the foundation for renewed American prosperity is to spur both public and private investment. We must strive to close both the budget deficit and the investment gap. Our major competitors invest far more than we do in roads, bridges, and the information networks and technologies of the future. We will rebuild America by investing more in transportation, environmental technologies, defense conversion, and a national information network.</w:t>
      </w:r>
    </w:p>
    <w:p w:rsidR="00A31137" w:rsidRPr="00A31137" w:rsidRDefault="00A31137" w:rsidP="00A31137">
      <w:r w:rsidRPr="00A31137">
        <w:t>1992 Democratic Party Platform</w:t>
      </w:r>
    </w:p>
    <w:p w:rsidR="00A31137" w:rsidRPr="00A31137" w:rsidRDefault="00A31137" w:rsidP="00A31137">
      <w:r w:rsidRPr="00A31137">
        <w:t>To begin making our economy grow, the President and Congress should agree that savings from defense must be reinvested productively at home, including research, education and training, and other productive investments. This will sharply increase the meager nine percent of the national budget now devoted to the future. We will create a "future budget" for investments that make us richer, to be kept separate from those parts of the budget that pay for the past and present. For the private sector, instead of a sweeping capital gains windfall to the wealthy and those who speculate, we will create an investment tax credit and a capital gains reduction for patient investors in emerging technologies and new businesses.</w:t>
      </w:r>
    </w:p>
    <w:p w:rsidR="00A31137" w:rsidRPr="00A31137" w:rsidRDefault="00A31137" w:rsidP="00A31137">
      <w:r w:rsidRPr="00A31137">
        <w:t>Support for Innovation</w:t>
      </w:r>
    </w:p>
    <w:p w:rsidR="00A31137" w:rsidRPr="00A31137" w:rsidRDefault="00A31137" w:rsidP="00A31137">
      <w:r w:rsidRPr="00A31137">
        <w:t>1992 Democratic Party Platform</w:t>
      </w:r>
    </w:p>
    <w:p w:rsidR="00A31137" w:rsidRPr="00A31137" w:rsidRDefault="00A31137" w:rsidP="00A31137">
      <w:r w:rsidRPr="00A31137">
        <w:t>We will take back the advantage now ceded to Japan and Germany, which invest in new technologies at higher rates than the U.S. and have the growth to show for it. We will make the R&amp;D tax credit permanent, double basic research in the key technologies for our future, and create a civilian research agency to fast-forward their development.</w:t>
      </w:r>
    </w:p>
    <w:p w:rsidR="00A31137" w:rsidRPr="00A31137" w:rsidRDefault="00A31137" w:rsidP="00A31137">
      <w:r w:rsidRPr="00A31137">
        <w:t>The Deficit</w:t>
      </w:r>
    </w:p>
    <w:p w:rsidR="00A31137" w:rsidRPr="00A31137" w:rsidRDefault="00A31137" w:rsidP="00A31137">
      <w:r w:rsidRPr="00A31137">
        <w:t>1992 Democratic Party Platform</w:t>
      </w:r>
    </w:p>
    <w:p w:rsidR="00A31137" w:rsidRPr="00A31137" w:rsidRDefault="00A31137" w:rsidP="00A31137">
      <w:r w:rsidRPr="00A31137">
        <w:t>Addressing the deficit requires fair and shared sacrifice of all Americans for the common good. In 12 Republican years a national debt that took 200 years to accumulate has been quadrupled. Rising interest on that debt now swallows one tax dollar in seven. In place of the Republican supply-side disaster, the Democratic investment, economic conversion and growth strategy will generate more revenues from a growing economy. We must also tackle spending, by putting everything on the table; eliminate nonproductive programs; achieve defense savings; reform entitlement programs to control soaring health care costs; cut federal administrative costs by 3 percent annually for four years; limit increases in the "present budget" to the rate of growth in the average American's paycheck; apply a strict "pay as you go" rule to new non-investment spending; and make the rich pay their fair share in taxes. These choices will be made while protecting senior citizens and without further victimizing the poor. This deficit reduction effort will encourage private savings, eliminate the budget deficit over time, and permit fiscal policies that can restore America's economic health.</w:t>
      </w:r>
    </w:p>
    <w:p w:rsidR="00A31137" w:rsidRPr="00A31137" w:rsidRDefault="00A31137" w:rsidP="00A31137">
      <w:r w:rsidRPr="00A31137">
        <w:t>Defense Conversion</w:t>
      </w:r>
    </w:p>
    <w:p w:rsidR="00A31137" w:rsidRPr="00A31137" w:rsidRDefault="00A31137" w:rsidP="00A31137">
      <w:r w:rsidRPr="00A31137">
        <w:t>1992 Democratic Party Platform</w:t>
      </w:r>
    </w:p>
    <w:p w:rsidR="00A31137" w:rsidRPr="00A31137" w:rsidRDefault="00A31137" w:rsidP="00A31137">
      <w:r w:rsidRPr="00A31137">
        <w:t>Our economy needs both the people and the funds released from defense at the Cold War's end. We will help the stalwarts of that struggle—the men and women who served in our armed forces and who work in our defense industries—make the most of a new era. We will provide early notice of program changes to give communities, businesses and workers enough time to plan. We will honor and support our veterans. Departing military personnel, defense workers, and defense support personnel will have access to job retraining, continuing education, placement and relocation assistance, early retirement benefits for military personnel, and incentives to enter teaching, law enforcement and other vital civilian fields. Redirected national laboratories and a new civilian research agency will put defense scientists, engineers and technicians to work in critical civilian technologies. Small business defense firms will have technical assistance and transition grants and loans to help convert to civilian markets, and de</w:t>
      </w:r>
    </w:p>
    <w:p w:rsidR="00A31137" w:rsidRPr="00A31137" w:rsidRDefault="00A31137" w:rsidP="00A31137">
      <w:r w:rsidRPr="00A31137">
        <w:t>The Cities</w:t>
      </w:r>
    </w:p>
    <w:p w:rsidR="00A31137" w:rsidRPr="00A31137" w:rsidRDefault="00A31137" w:rsidP="00A31137">
      <w:r w:rsidRPr="00A31137">
        <w:t>1992 Democratic Party Platform</w:t>
      </w:r>
    </w:p>
    <w:p w:rsidR="00A31137" w:rsidRPr="00A31137" w:rsidRDefault="00A31137" w:rsidP="00A31137">
      <w:r w:rsidRPr="00A31137">
        <w:t>Only a robust economy will revitalize our cities. It is in all Americans' interest that the cities once again be places where hard-working families can put down roots and find good jobs, quality health care, affordable housing, and decent schools. Democrats will create a new partnership to rebuild America's cities after 12 years of Republican neglect. This partnership with the mayors will include consideration of the seven economic growth initiatives set forth by our nation's mayors. We will create jobs by investing significant resources to put people back to work, beginning with a summer jobs initiative and training programs for inner-city youth. We support a stronger community development program and targeted fiscal assistance to cities that need it most. A national public works investment and infrastructure program will provide jobs and strengthen our cities, suburbs, rural communities and country. We will encourage the flow of investment to inner city development and housing through targeted enterprise; a national network of Community Development Banks to invest in urban and rural small businesses; and microenterprise lending for poor people seeking self-employment as an alternative to welfare.</w:t>
      </w:r>
    </w:p>
    <w:p w:rsidR="00A31137" w:rsidRPr="00A31137" w:rsidRDefault="00A31137" w:rsidP="00A31137">
      <w:r w:rsidRPr="00A31137">
        <w:t>Agriculture and the Rural Community</w:t>
      </w:r>
    </w:p>
    <w:p w:rsidR="00A31137" w:rsidRPr="00A31137" w:rsidRDefault="00A31137" w:rsidP="00A31137">
      <w:r w:rsidRPr="00A31137">
        <w:t>1992 Democratic Party Platform</w:t>
      </w:r>
    </w:p>
    <w:p w:rsidR="00A31137" w:rsidRPr="00A31137" w:rsidRDefault="00A31137" w:rsidP="00A31137">
      <w:r w:rsidRPr="00A31137">
        <w:t>All Americans, producers and consumers alike, benefit when our food and fiber are produced by hundreds of thousands of family farmers receiving fair prices for their products. The abundance of our nation's food and fiber system should not be taken for granted. The revolution that lifted America to the forefront of world agriculture was achieved through a unique partnership of public and private interests. The inattention and hostility that has characterized Republican food, agricultural and rural development policies of the past twelve years have caused a crisis in rural America. The cost of Republican farm policy has been staggering and its total failure is demonstrated by the record number of rural bankruptcies.</w:t>
      </w:r>
    </w:p>
    <w:p w:rsidR="00A31137" w:rsidRPr="00A31137" w:rsidRDefault="00A31137" w:rsidP="00A31137">
      <w:r w:rsidRPr="00A31137">
        <w:t>1992 Democratic Party Platform</w:t>
      </w:r>
    </w:p>
    <w:p w:rsidR="00A31137" w:rsidRPr="00A31137" w:rsidRDefault="00A31137" w:rsidP="00A31137">
      <w:r w:rsidRPr="00A31137">
        <w:t>A sufficient and sustainable agricultural economy can be achieved through fiscally responsible programs. It is time to reestablish the private/public partnership to ensure that family farmers get a fair return for their labor and investment, so that consumers receive safe and nutritious foods, and that needed investments are made in basic research, education, rural business development, market development and infrastructure to sustain rural communities.</w:t>
      </w:r>
    </w:p>
    <w:p w:rsidR="00A31137" w:rsidRPr="00A31137" w:rsidRDefault="00A31137" w:rsidP="00A31137">
      <w:r w:rsidRPr="00A31137">
        <w:t>Workers' Rights</w:t>
      </w:r>
    </w:p>
    <w:p w:rsidR="00A31137" w:rsidRPr="00A31137" w:rsidRDefault="00A31137" w:rsidP="00A31137">
      <w:r w:rsidRPr="00A31137">
        <w:t>1992 Democratic Party Platform</w:t>
      </w:r>
    </w:p>
    <w:p w:rsidR="00A31137" w:rsidRPr="00A31137" w:rsidRDefault="00A31137" w:rsidP="00A31137">
      <w:r w:rsidRPr="00A31137">
        <w:t>Our workplaces must be revolutionized to make them more flexible and productive. We will reform the job safety laws to empower workers with greater rights and to hold employers accountable for dangers on the job. We will act against sexual harassment in the workplace. We will honor the work ethic—by expanding the earned income tax credit so no one with children at home who works full-time is still in poverty; by fighting on the side of family farmers to ensure they get a fair price for their hard work; by working to sustain rural communities; by making work more valuable than welfare; and by supporting the right of workers to organize and bargain collectively without fear of intimidation or permanent replacement during labor disputes.</w:t>
      </w:r>
    </w:p>
    <w:p w:rsidR="00A31137" w:rsidRPr="00A31137" w:rsidRDefault="00A31137" w:rsidP="00A31137">
      <w:r w:rsidRPr="00A31137">
        <w:t>Lifelong Learning</w:t>
      </w:r>
    </w:p>
    <w:p w:rsidR="00A31137" w:rsidRPr="00A31137" w:rsidRDefault="00A31137" w:rsidP="00A31137">
      <w:r w:rsidRPr="00A31137">
        <w:t>1992 Democratic Party Platform</w:t>
      </w:r>
    </w:p>
    <w:p w:rsidR="00A31137" w:rsidRPr="00A31137" w:rsidRDefault="00A31137" w:rsidP="00A31137">
      <w:r w:rsidRPr="00A31137">
        <w:t>A competitive American economy requires the global market's best educated, best trained, most flexible work force. It's not enough to spend more on our schools; we must insist on results. We oppose the Bush Administration's efforts to bankrupt the public school system—the bedrock of democracy—through private school vouchers. To help children reach school ready to learn, we will expand child health and nutrition programs and extend Head Start to all eligible children, and guarantee all children access to quality, affordable child care. We deplore the savage inequalities among public schools across the land, and believe every child deserves an equal chance to a world class education. Reallocating resources toward this goal must be a priority. We support education reforms such as site-based decision-making and public school choice, with strong protections against discrimination. We support the goal of a 90 percent graduation rate, and programs to end dropouts. We will invest in educational technology, and establish world-class standards in math, science and other core subjects and support effective tests of progress to meet them. In areas where there are no</w:t>
      </w:r>
    </w:p>
    <w:p w:rsidR="00A31137" w:rsidRPr="00A31137" w:rsidRDefault="00A31137" w:rsidP="00A31137">
      <w:r w:rsidRPr="00A31137">
        <w:t>A Domestic GI Bill</w:t>
      </w:r>
    </w:p>
    <w:p w:rsidR="00A31137" w:rsidRPr="00A31137" w:rsidRDefault="00A31137" w:rsidP="00A31137">
      <w:r w:rsidRPr="00A31137">
        <w:t>1992 Democratic Party Platform</w:t>
      </w:r>
    </w:p>
    <w:p w:rsidR="00A31137" w:rsidRPr="00A31137" w:rsidRDefault="00A31137" w:rsidP="00A31137">
      <w:r w:rsidRPr="00A31137">
        <w:t>Over the past twelve years skyrocketing costs and declining middle class incomes have placed higher education out of reach for millions of Americans. It is time to revolutionize the way student loan programs are run. We will make college affordable to all students who are qualified to attend, regardless of family income. A Domestic G.I. Bill will enable all Americans to borrow money for college, so long as they are willing to pay it back as a percentage of their income over time or through national service addressing unmet community needs.</w:t>
      </w:r>
    </w:p>
    <w:p w:rsidR="00A31137" w:rsidRPr="00A31137" w:rsidRDefault="00A31137" w:rsidP="00A31137">
      <w:r w:rsidRPr="00A31137">
        <w:t>Affordable Health Care</w:t>
      </w:r>
    </w:p>
    <w:p w:rsidR="00A31137" w:rsidRPr="00A31137" w:rsidRDefault="00A31137" w:rsidP="00A31137">
      <w:r w:rsidRPr="00A31137">
        <w:t>1992 Democratic Party Platform</w:t>
      </w:r>
    </w:p>
    <w:p w:rsidR="00A31137" w:rsidRPr="00A31137" w:rsidRDefault="00A31137" w:rsidP="00A31137">
      <w:r w:rsidRPr="00A31137">
        <w:t>All Americans should have universal access to quality, affordable health care—not as a privilege, but as a right. That requires tough controls on health costs, which are rising at two to three times the rate of inflation, terrorizing American families and businesses and depriving millions of the care they need. We will enact a uniquely American reform of the health care system to control costs and make health care affordable; ensure quality and choice of health care providers; cover all Americans regardless of preexisting conditions; squeeze out waste, bureaucracy and abuse; improve primary and preventive care including child immunization and prevention of diseases like Tuberculosis now becoming rampant in our cities; provide expanded education on the relationship between diet and health; expand access to mental health treatment services; provide a safety net through support of public hospitals; provide for the full range of reproductive choice—education, counseling, access to contraceptives, and the right to a safe, legal abortion; expand medical research; and provide more long term care, including home health care. We will make ending the epidemic in breast cancer a major priority, and expand research on breast, cervical and ovarian cancer, infertility, reproductive health services and other special health needs of women. We must be united in declaring war on AIDS and HIV disease, implement the recommendations of the National Commission on AIDS and fully fund the Ryan White Care Act; provide targeted and honest prevention campaigns; combat HIV-related discrimination; make drug treatment available for all addicts who seek it; guarantee access to quality care; expand clinical trials for treatments and vaccines; and speed up the FDA drug approval process.</w:t>
      </w:r>
    </w:p>
    <w:p w:rsidR="00A31137" w:rsidRPr="00A31137" w:rsidRDefault="00A31137" w:rsidP="00A31137">
      <w:r w:rsidRPr="00A31137">
        <w:t>Fairness</w:t>
      </w:r>
    </w:p>
    <w:p w:rsidR="00A31137" w:rsidRPr="00A31137" w:rsidRDefault="00A31137" w:rsidP="00A31137">
      <w:r w:rsidRPr="00A31137">
        <w:t>1992 Democratic Party Platform</w:t>
      </w:r>
    </w:p>
    <w:p w:rsidR="00A31137" w:rsidRPr="00A31137" w:rsidRDefault="00A31137" w:rsidP="00A31137">
      <w:r w:rsidRPr="00A31137">
        <w:t>Growth and equity work in tandem. People should share in society's common costs according to their ability to pay. In the last decade, mounting payroll and other taxes have fallen disproportionately on the middle class. We will relieve the tax burden on middle class Americans by forcing the rich to pay their fair share. We will provide long-overdue tax relief to families with children. To broaden opportunity, we will support fair lending practices.</w:t>
      </w:r>
    </w:p>
    <w:p w:rsidR="00A31137" w:rsidRPr="00A31137" w:rsidRDefault="00A31137" w:rsidP="00A31137">
      <w:r w:rsidRPr="00A31137">
        <w:t>Energy Efficiency and Sustainable Development</w:t>
      </w:r>
    </w:p>
    <w:p w:rsidR="00A31137" w:rsidRPr="00A31137" w:rsidRDefault="00A31137" w:rsidP="00A31137">
      <w:r w:rsidRPr="00A31137">
        <w:t>1992 Democratic Party Platform</w:t>
      </w:r>
    </w:p>
    <w:p w:rsidR="00A31137" w:rsidRPr="00A31137" w:rsidRDefault="00A31137" w:rsidP="00A31137">
      <w:r w:rsidRPr="00A31137">
        <w:t>We reject the Republican myth that energy efficiency and environmental protection are enemies of economic growth. We will make our economy more efficient, by using less energy, reducing our dependence on foreign oil, and producing less solid and toxic waste. We will adopt a coordinated transportation policy, with a strong commitment to mass transit; encourage efficient alternative-fueled vehicles; increase our reliance on clean natural gas; promote clean coal technology; invest in R strengthen efforts to prevent air and water pollution; support incentives for domestic oil and gas operations; and push for revenue-neutral incentives that reward conservation, prevent pollution and encourage recycling.</w:t>
      </w:r>
    </w:p>
    <w:p w:rsidR="00A31137" w:rsidRPr="00A31137" w:rsidRDefault="00A31137" w:rsidP="00A31137">
      <w:r w:rsidRPr="00A31137">
        <w:t>Civil and Equal Rights</w:t>
      </w:r>
    </w:p>
    <w:p w:rsidR="00A31137" w:rsidRPr="00A31137" w:rsidRDefault="00A31137" w:rsidP="00A31137">
      <w:r w:rsidRPr="00A31137">
        <w:t>1992 Democratic Party Platform</w:t>
      </w:r>
    </w:p>
    <w:p w:rsidR="00A31137" w:rsidRPr="00A31137" w:rsidRDefault="00A31137" w:rsidP="00A31137">
      <w:r w:rsidRPr="00A31137">
        <w:t>We don't have an American to waste. Democrats will continue to lead the fight to ensure that no Americans suffer discrimination or deprivation of rights on the basis of race, gender, language, national origin, religion, age, disability, sexual orientation, or other characteristics irrelevant to ability. We support the ratification of the Equal Rights Amendment; affirmative action; stronger protection of voting rights for racial and ethnic minorities, including language access to voting; and continued resistance to discriminatory English-only pressure groups. We will reverse the Bush Administration's assault on civil rights enforcement, and instead work to rebuild and vigorously use machinery for civil rights enforcement; support comparable remedies for women; aggressively prosecute hate crimes; strengthen legal services for the poor; deal with other nations in such a way that Americans of any origin do not become scapegoats or victims of foreign policy disputes; provide civil rights protection for gay men and lesbians and an end to Defense Department discrimination; respect Native American culture and our treaty commitments; require the United States Government to recognize its trustee obligations to the inhabitants of Hawaii generally, and to Native Hawaiians in particular; and fully enforce the Americans with Disability Act to enable people with disabilities to achieve independence and function at their highest possible level.</w:t>
      </w:r>
    </w:p>
    <w:p w:rsidR="00A31137" w:rsidRPr="00A31137" w:rsidRDefault="00A31137" w:rsidP="00A31137">
      <w:r w:rsidRPr="00A31137">
        <w:t>Commonwealths and Territories</w:t>
      </w:r>
    </w:p>
    <w:p w:rsidR="00A31137" w:rsidRPr="00A31137" w:rsidRDefault="00A31137" w:rsidP="00A31137">
      <w:r w:rsidRPr="00A31137">
        <w:t>1992 Democratic Party Platform</w:t>
      </w:r>
    </w:p>
    <w:p w:rsidR="00A31137" w:rsidRPr="00A31137" w:rsidRDefault="00A31137" w:rsidP="00A31137">
      <w:r w:rsidRPr="00A31137">
        <w:t>We recognize the existing status of the Commonwealth of Puerto Rico and the strong economic relationship between the people of Puerto Rico and the United States. We pledge to support the right of the people of the Commonwealth of Puerto Rico to choose freely, and in concert with the U.S. Congress, their relationship with the United States, either as an enhanced commonwealth, a state or an independent nation. We support fair participation for Puerto Rico in federal programs. We pledge to the people of American Samoa, Guam, the Northern Mariana Islands, and the Virgin Islands just and fair treatment under federal policies, assisting their economic and social development. We respect their right and that of the people of Palau to decide freely their future relationship with the United States and to be consulted on issues and policies that directly affect them.</w:t>
      </w:r>
    </w:p>
    <w:p w:rsidR="00A31137" w:rsidRPr="00A31137" w:rsidRDefault="00A31137" w:rsidP="00A31137">
      <w:r w:rsidRPr="00A31137">
        <w:t>II. Responsibility</w:t>
      </w:r>
    </w:p>
    <w:p w:rsidR="00A31137" w:rsidRPr="00A31137" w:rsidRDefault="00A31137" w:rsidP="00A31137">
      <w:r w:rsidRPr="00A31137">
        <w:t>1992 Democratic Party Platform</w:t>
      </w:r>
    </w:p>
    <w:p w:rsidR="00A31137" w:rsidRPr="00A31137" w:rsidRDefault="00A31137" w:rsidP="00A31137">
      <w:r w:rsidRPr="00A31137">
        <w:t>Sixty years ago, Franklin Roosevelt gave hope to a nation mired in the Great Depression. While government should promise every American the opportunity to get ahead, it was the people's responsibility, he said, to make the most of that opportunity: "Faith in America demands that we recognize the new terms of the old social contract. In the strength of great hope we must all shoulder our common load."</w:t>
      </w:r>
    </w:p>
    <w:p w:rsidR="00A31137" w:rsidRPr="00A31137" w:rsidRDefault="00A31137" w:rsidP="00A31137">
      <w:r w:rsidRPr="00A31137">
        <w:t>1992 Democratic Party Platform</w:t>
      </w:r>
    </w:p>
    <w:p w:rsidR="00A31137" w:rsidRPr="00A31137" w:rsidRDefault="00A31137" w:rsidP="00A31137">
      <w:r w:rsidRPr="00A31137">
        <w:t>For twelve years, the Republicans have expected too little of our public institutions and placed too little faith in our people. we offer a new social contract based neither on callous, do-nothing Republican neglect, nor on an outdated faith in programs as the solution to every problem. We favor a third way beyond the old approaches—to put government back on the side of citizens who play by the rules. We believe that by what it says and how it conducts its business, government must once again make responsibility an instrument of national purpose. Our future as a nation depends upon the daily assumption of personal responsibility by millions of Americans from all walks of life—for the religious faiths they follow, the ethics they practice, the values they instill, and the pride they take in their work.</w:t>
      </w:r>
    </w:p>
    <w:p w:rsidR="00A31137" w:rsidRPr="00A31137" w:rsidRDefault="00A31137" w:rsidP="00A31137">
      <w:r w:rsidRPr="00A31137">
        <w:t>Strengthening The Family</w:t>
      </w:r>
    </w:p>
    <w:p w:rsidR="00A31137" w:rsidRPr="00A31137" w:rsidRDefault="00A31137" w:rsidP="00A31137">
      <w:r w:rsidRPr="00A31137">
        <w:t>1992 Democratic Party Platform</w:t>
      </w:r>
    </w:p>
    <w:p w:rsidR="00A31137" w:rsidRPr="00A31137" w:rsidRDefault="00A31137" w:rsidP="00A31137">
      <w:r w:rsidRPr="00A31137">
        <w:t>Governments don't raise children, people do. People who bring children into this world have a responsibility to care for them and give them values, motivation and discipline. Children should not have children. We need a national crackdown on deadbeat parents, an effective system of child support enforcement nationwide, and a systematic effort to establish paternity for every child. We must also make it easier for parents to build strong families through pay equity. Family and medical leave will ensure that workers don't have to choose between family and work. We support a family preservation program to reduce child and spousal abuse by providing preventive services and foster care to families in crisis. We favor ensuring quality and affordable child care opportunities for working parents, and a fair and healthy start for every child, including essential pre-natal and well baby care. We support the needs of our senior citizens for productive and healthy lives, including hunger prevention, income</w:t>
      </w:r>
    </w:p>
    <w:p w:rsidR="00A31137" w:rsidRPr="00A31137" w:rsidRDefault="00A31137" w:rsidP="00A31137">
      <w:r w:rsidRPr="00A31137">
        <w:t>Welfare Reform</w:t>
      </w:r>
    </w:p>
    <w:p w:rsidR="00A31137" w:rsidRPr="00A31137" w:rsidRDefault="00A31137" w:rsidP="00A31137">
      <w:r w:rsidRPr="00A31137">
        <w:t>1992 Democratic Party Platform</w:t>
      </w:r>
    </w:p>
    <w:p w:rsidR="00A31137" w:rsidRPr="00A31137" w:rsidRDefault="00A31137" w:rsidP="00A31137">
      <w:r w:rsidRPr="00A31137">
        <w:t>Welfare should be a second chance, not a way of life. We want to break the cycle of welfare by adhering to two simple principles: no one who is able to work can stay on welfare forever, and no one who works should live in poverty. We will continue to help those who cannot help themselves. We will offer people on welfare a new social contract. We'll invest in education and job training, and provide the child care and health care they need to go to work and achieve long-term self-sufficiency. We will give them the help they need to make the transition from welfare to work, and require people who can work to go to work within two years in available jobs either in the private sector or in community service to meet unmet needs. This will restore the covenant that welfare was meant to be: a promise of temporary help for people who have fallen on hard times.</w:t>
      </w:r>
    </w:p>
    <w:p w:rsidR="00A31137" w:rsidRPr="00A31137" w:rsidRDefault="00A31137" w:rsidP="00A31137">
      <w:r w:rsidRPr="00A31137">
        <w:t>Choice</w:t>
      </w:r>
    </w:p>
    <w:p w:rsidR="00A31137" w:rsidRPr="00A31137" w:rsidRDefault="00A31137" w:rsidP="00A31137">
      <w:r w:rsidRPr="00A31137">
        <w:t>1992 Democratic Party Platform</w:t>
      </w:r>
    </w:p>
    <w:p w:rsidR="00A31137" w:rsidRPr="00A31137" w:rsidRDefault="00A31137" w:rsidP="00A31137">
      <w:r w:rsidRPr="00A31137">
        <w:t>Democrats stand behind the right of every woman to choose, consistent with Roe v. Wade, regardless of ability to pay, and support a national law to protect that right.</w:t>
      </w:r>
    </w:p>
    <w:p w:rsidR="00A31137" w:rsidRPr="00A31137" w:rsidRDefault="00A31137" w:rsidP="00A31137">
      <w:r w:rsidRPr="00A31137">
        <w:t>1992 Democratic Party Platform</w:t>
      </w:r>
    </w:p>
    <w:p w:rsidR="00A31137" w:rsidRPr="00A31137" w:rsidRDefault="00A31137" w:rsidP="00A31137">
      <w:r w:rsidRPr="00A31137">
        <w:t>It is a fundamental constitutional liberty that individual Americans—not government—can best take responsibility for making the most difficult and intensely personal decisions regarding reproduction. The goal of our nation must be to make abortion less necessary, not more difficult or more dangerous. We pledge to support contraceptive research, family planning, comprehensive family life education, and policies that support healthy childbearing and enable parents to care most effectively for their children.</w:t>
      </w:r>
      <w:r w:rsidRPr="00A31137">
        <w:cr/>
      </w:r>
    </w:p>
    <w:p w:rsidR="00A31137" w:rsidRPr="00A31137" w:rsidRDefault="00A31137" w:rsidP="00A31137">
      <w:r w:rsidRPr="00A31137">
        <w:t>Making Schools Work</w:t>
      </w:r>
    </w:p>
    <w:p w:rsidR="00A31137" w:rsidRPr="00A31137" w:rsidRDefault="00A31137" w:rsidP="00A31137">
      <w:r w:rsidRPr="00A31137">
        <w:t>1992 Democratic Party Platform</w:t>
      </w:r>
    </w:p>
    <w:p w:rsidR="00A31137" w:rsidRPr="00A31137" w:rsidRDefault="00A31137" w:rsidP="00A31137">
      <w:r w:rsidRPr="00A31137">
        <w:t>Education is a cooperative enterprise that can only succeed if everyone accepts and exercises personal responsibility. Students must stay in school and do their best; parents must get involved in their children's education; teachers must attain, maintain, and demonstrate classroom competency; school administrators must enforce discipline and high standards of educational attainment; governments must end the inequalities that create educational ghettos among school districts and provide equal educational opportunity for all; and ensure that teachers' pay measures up to their decisive role in children's lives; and the American people should recognize education as the core of our economy, democracy and society. Labor-Management Responsibilities.</w:t>
      </w:r>
    </w:p>
    <w:p w:rsidR="00A31137" w:rsidRPr="00A31137" w:rsidRDefault="00A31137" w:rsidP="00A31137">
      <w:r w:rsidRPr="00A31137">
        <w:t>1992 Democratic Party Platform</w:t>
      </w:r>
    </w:p>
    <w:p w:rsidR="00A31137" w:rsidRPr="00A31137" w:rsidRDefault="00A31137" w:rsidP="00A31137">
      <w:r w:rsidRPr="00A31137">
        <w:t>The private sector is the engine of our economy and the main source of national wealth. But it is not enough for those in the private sector just to make as much money as they can. The most irresponsible people in all of the 1980s were those at the top of the ladder: the inside traders, quick buck artists, and S&amp;L kingpins who looked out for themselves and not for the country. America's corporate leaders have a responsibility to invest in their country. CEOs, who pay themselves 100 times what they pay the average worker, shouldn't get big raises unrelated to performance. If a company wants to overpay its executives and underinvest in the future or transfer jobs overseas, it shouldn't get special treatment and tax breaks from the Treasury. Managers must work with employees to make the workplace safer, more satisfying and more efficient.</w:t>
      </w:r>
    </w:p>
    <w:p w:rsidR="00A31137" w:rsidRPr="00A31137" w:rsidRDefault="00A31137" w:rsidP="00A31137">
      <w:r w:rsidRPr="00A31137">
        <w:t>1992 Democratic Party Platform</w:t>
      </w:r>
    </w:p>
    <w:p w:rsidR="00A31137" w:rsidRPr="00A31137" w:rsidRDefault="00A31137" w:rsidP="00A31137">
      <w:r w:rsidRPr="00A31137">
        <w:t>Workers must also accept added responsibilities in the new economy. In return for an increased voice and a greater stake in the success of their enterprises, workers should be prepared to join in cooperative efforts to increase productivity, flexibility and quality. Government's neutrality between labor and management cannot mean neutrality about the collective bargaining process, which has been purposely crippled by Republican administrations. Our economic growth depends on processes, including collective bargaining, that permit labor and management to work together on their common interests, even as they work out their conflicts.</w:t>
      </w:r>
    </w:p>
    <w:p w:rsidR="00A31137" w:rsidRPr="00A31137" w:rsidRDefault="00A31137" w:rsidP="00A31137">
      <w:r w:rsidRPr="00A31137">
        <w:t>Responsibility for the Environment</w:t>
      </w:r>
    </w:p>
    <w:p w:rsidR="00A31137" w:rsidRPr="00A31137" w:rsidRDefault="00A31137" w:rsidP="00A31137">
      <w:r w:rsidRPr="00A31137">
        <w:t>1992 Democratic Party Platform</w:t>
      </w:r>
    </w:p>
    <w:p w:rsidR="00A31137" w:rsidRPr="00A31137" w:rsidRDefault="00A31137" w:rsidP="00A31137">
      <w:r w:rsidRPr="00A31137">
        <w:t>For ourselves and future generations, we must protect our environment. We will protect our old growth forests, preserve critical habitats, provide a genuine "no net loss" policy on wetlands, reduce our dependence on toxic chemicals, conserve the critical resources of soil, water and air, oppose new offshore oil drilling and mineral exploration and production in our nation's many environmentally critical areas, and address ocean pollution by reducing oil and toxic waste spills at sea. We believe America's youth can serve its country well through a civilian conservation corps. To protect the public health, we will clean up the environmental horrors at federal facilities, insist that private polluters clean up their toxic and hazardous wastes, and vigorously prosecute environmental criminals. We will oppose Republican efforts to gut the Clean Air Act in the guise of competitiveness.</w:t>
      </w:r>
    </w:p>
    <w:p w:rsidR="00A31137" w:rsidRPr="00A31137" w:rsidRDefault="00A31137" w:rsidP="00A31137">
      <w:r w:rsidRPr="00A31137">
        <w:t>1992 Democratic Party Platform</w:t>
      </w:r>
    </w:p>
    <w:p w:rsidR="00A31137" w:rsidRPr="00A31137" w:rsidRDefault="00A31137" w:rsidP="00A31137">
      <w:r w:rsidRPr="00A31137">
        <w:t>We will reduce the volume of solid waste and encourage the use of recycled materials while discouraging excess packaging. To avoid the mistakes of the past, we will actively support energy-efficiency, recycling, and pollution prevention strategies.</w:t>
      </w:r>
    </w:p>
    <w:p w:rsidR="00A31137" w:rsidRPr="00A31137" w:rsidRDefault="00A31137" w:rsidP="00A31137">
      <w:r w:rsidRPr="00A31137">
        <w:t>Responsible Government</w:t>
      </w:r>
    </w:p>
    <w:p w:rsidR="00A31137" w:rsidRPr="00A31137" w:rsidRDefault="00A31137" w:rsidP="00A31137">
      <w:r w:rsidRPr="00A31137">
        <w:t>1992 Democratic Party Platform</w:t>
      </w:r>
    </w:p>
    <w:p w:rsidR="00A31137" w:rsidRPr="00A31137" w:rsidRDefault="00A31137" w:rsidP="00A31137">
      <w:r w:rsidRPr="00A31137">
        <w:t>Democrats in 1992 intend to lead a revolution in government, challenging it to act responsibly and be accountable, starting with the hardest and most urgent problems of the deficit and economic growth. Rather than throw money at obsolete programs, we will eliminate unnecessary layers of management, cut administrative costs, give people more choices in the service they get, and empower them to make those choices. To foster greater responsibility in government at every level, we support giving greater flexibility to our cities, counties and states in achieving Federal mandates and carrying out existing programs.</w:t>
      </w:r>
    </w:p>
    <w:p w:rsidR="00A31137" w:rsidRPr="00A31137" w:rsidRDefault="00A31137" w:rsidP="00A31137">
      <w:r w:rsidRPr="00A31137">
        <w:t>Responsible Officials</w:t>
      </w:r>
    </w:p>
    <w:p w:rsidR="00A31137" w:rsidRPr="00A31137" w:rsidRDefault="00A31137" w:rsidP="00A31137">
      <w:r w:rsidRPr="00A31137">
        <w:t>1992 Democratic Party Platform</w:t>
      </w:r>
    </w:p>
    <w:p w:rsidR="00A31137" w:rsidRPr="00A31137" w:rsidRDefault="00A31137" w:rsidP="00A31137">
      <w:r w:rsidRPr="00A31137">
        <w:t>All branches of government must live by the laws the rest of us obey, determine their pay in an open manner that builds public trust, and eliminate special privileges. People in public office need to be accessible to the people they represent. It's time to reform the campaign finance system, to get big money out of our politics and let the people back in. We must limit overall campaign spending and limit the disproportionate and excessive role of PACs. We need new voter registration laws that expand the electorate, such as universal same-day registration, along with full political rights and protections for public employees and new regulations to ensure that the airwaves truly help citizens make informed choices among candidates and policies. And we need fair political representation for all sectors of our country—including the District of Columbia, which deserves and must get statehood status.</w:t>
      </w:r>
    </w:p>
    <w:p w:rsidR="00A31137" w:rsidRPr="00A31137" w:rsidRDefault="00A31137" w:rsidP="00A31137">
      <w:r w:rsidRPr="00A31137">
        <w:t>III. Restoring Community</w:t>
      </w:r>
    </w:p>
    <w:p w:rsidR="00A31137" w:rsidRPr="00A31137" w:rsidRDefault="00A31137" w:rsidP="00A31137">
      <w:r w:rsidRPr="00A31137">
        <w:t>1992 Democratic Party Platform</w:t>
      </w:r>
    </w:p>
    <w:p w:rsidR="00A31137" w:rsidRPr="00A31137" w:rsidRDefault="00A31137" w:rsidP="00A31137">
      <w:r w:rsidRPr="00A31137">
        <w:t>The success of democracy in America depends substantially on the strength of our community institutions: families and neighborhoods, public schools, religious institutions, charitable organizations, civic groups and other voluntary organizations. In these social networks, the values and character of our citizens are formed, as we learn the habits and skills of self-government, and acquire an understanding of our common rights and responsibilities as citizens.</w:t>
      </w:r>
    </w:p>
    <w:p w:rsidR="00A31137" w:rsidRPr="00A31137" w:rsidRDefault="00A31137" w:rsidP="00A31137">
      <w:r w:rsidRPr="00A31137">
        <w:t>1992 Democratic Party Platform</w:t>
      </w:r>
    </w:p>
    <w:p w:rsidR="00A31137" w:rsidRPr="00A31137" w:rsidRDefault="00A31137" w:rsidP="00A31137">
      <w:r w:rsidRPr="00A31137">
        <w:t>Twelve years of Republican rule have undermined the spirit of mutual dependence and obligation that binds us together. Republican leaders have urged Americans to turn inward, to pursue private interests without regard to public responsibilities. By playing racial, ethnic and gender-based politics they have divided us against each other, created an atmosphere of blame, denial and fear, and undone the hard-fought battles for equality and fairness.</w:t>
      </w:r>
    </w:p>
    <w:p w:rsidR="00A31137" w:rsidRPr="00A31137" w:rsidRDefault="00A31137" w:rsidP="00A31137">
      <w:r w:rsidRPr="00A31137">
        <w:t>1992 Democratic Party Platform</w:t>
      </w:r>
    </w:p>
    <w:p w:rsidR="00A31137" w:rsidRPr="00A31137" w:rsidRDefault="00A31137" w:rsidP="00A31137">
      <w:r w:rsidRPr="00A31137">
        <w:t>Our communities form a vital "third sector" that lies between government and the marketplace. The wisdom, energy and resources required to solve our problems are not concentrated in Washington, but can be found throughout our communities, including America's non-profit sector, which has grown rapidly over the last decade. Government's best role is to enable people and communities to solve their own problems.</w:t>
      </w:r>
    </w:p>
    <w:p w:rsidR="00A31137" w:rsidRPr="00A31137" w:rsidRDefault="00A31137" w:rsidP="00A31137">
      <w:r w:rsidRPr="00A31137">
        <w:t>1992 Democratic Party Platform</w:t>
      </w:r>
    </w:p>
    <w:p w:rsidR="00A31137" w:rsidRPr="00A31137" w:rsidRDefault="00A31137" w:rsidP="00A31137">
      <w:r w:rsidRPr="00A31137">
        <w:t>America's special genius has been to forge a community of shared values from people of remarkable and diverse backgrounds. As the party of inclusion, we take special pride in our country's emergence as the world's largest and most successful multiethnic, multiracial republic. We condemn antisemitism, racism, homophobia, bigotry and negative stereotyping of all kinds. We must help all Americans understand the diversity of our cultural heritage. But it is also essential that we preserve and pass on to our children the common elements that hold this mosaic together as we work to make our country a land of freedom and opportunity for all.</w:t>
      </w:r>
    </w:p>
    <w:p w:rsidR="00A31137" w:rsidRPr="00A31137" w:rsidRDefault="00A31137" w:rsidP="00A31137">
      <w:r w:rsidRPr="00A31137">
        <w:t>1992 Democratic Party Platform</w:t>
      </w:r>
    </w:p>
    <w:p w:rsidR="00A31137" w:rsidRPr="00A31137" w:rsidRDefault="00A31137" w:rsidP="00A31137">
      <w:r w:rsidRPr="00A31137">
        <w:t>Both Republican neglect and traditional spending programs have proven unequal to these challenges. Democrats will pursue a new course that stresses work, family and individual responsibility, and that empowers Americans to liberate themselves from poverty and dependence. We pledge to bolster the institutions of civil society and place a new emphasis on civic enterprises that seek solutions to our nation's problems. Through common, cooperative efforts we can rebuild our communities and transform our nation.</w:t>
      </w:r>
      <w:r w:rsidRPr="00A31137">
        <w:cr/>
      </w:r>
    </w:p>
    <w:p w:rsidR="00A31137" w:rsidRPr="00A31137" w:rsidRDefault="00A31137" w:rsidP="00A31137">
      <w:r w:rsidRPr="00A31137">
        <w:t>Combatting Crime and Drugs</w:t>
      </w:r>
    </w:p>
    <w:p w:rsidR="00A31137" w:rsidRPr="00A31137" w:rsidRDefault="00A31137" w:rsidP="00A31137">
      <w:r w:rsidRPr="00A31137">
        <w:t>1992 Democratic Party Platform</w:t>
      </w:r>
    </w:p>
    <w:p w:rsidR="00A31137" w:rsidRPr="00A31137" w:rsidRDefault="00A31137" w:rsidP="00A31137">
      <w:r w:rsidRPr="00A31137">
        <w:t>Crime is a relentless danger to our communities. Over the last decade, crime has swept through our country at an alarming rate. During the 1980s, more than 200,000 Americans were murdered, four times the number who died in Vietnam. Violent crimes rose by more than 16 percent since 1988 and nearly doubled since 1975. In our country today, a murder is committed every 25 minutes, a rape every six minutes, a burglary every 10 seconds. The pervasive fear of crime disfigures our public life and diminishes our freedom.</w:t>
      </w:r>
    </w:p>
    <w:p w:rsidR="00A31137" w:rsidRPr="00A31137" w:rsidRDefault="00A31137" w:rsidP="00A31137">
      <w:r w:rsidRPr="00A31137">
        <w:t>1992 Democratic Party Platform</w:t>
      </w:r>
    </w:p>
    <w:p w:rsidR="00A31137" w:rsidRPr="00A31137" w:rsidRDefault="00A31137" w:rsidP="00A31137">
      <w:r w:rsidRPr="00A31137">
        <w:t>None suffer more than the poor: an explosive mixture of blighted prospects, drugs and exotic weaponry has turned many of our inner city communities into combat zones. As a result, crime is not only a symptom but also a major cause of the worsening poverty and demoralization that afflicts inner city communities.</w:t>
      </w:r>
    </w:p>
    <w:p w:rsidR="00A31137" w:rsidRPr="00A31137" w:rsidRDefault="00A31137" w:rsidP="00A31137">
      <w:r w:rsidRPr="00A31137">
        <w:t>1992 Democratic Party Platform</w:t>
      </w:r>
    </w:p>
    <w:p w:rsidR="00A31137" w:rsidRPr="00A31137" w:rsidRDefault="00A31137" w:rsidP="00A31137">
      <w:r w:rsidRPr="00A31137">
        <w:t>To empower America's communities, Democrats pledge to restore government as the upholder of basic law and order for crime-ravaged communities. The simplest and most direct way to restore order in our cities is to put more police on the streets.</w:t>
      </w:r>
    </w:p>
    <w:p w:rsidR="00A31137" w:rsidRPr="00A31137" w:rsidRDefault="00A31137" w:rsidP="00A31137">
      <w:r w:rsidRPr="00A31137">
        <w:t>1992 Democratic Party Platform</w:t>
      </w:r>
    </w:p>
    <w:p w:rsidR="00A31137" w:rsidRPr="00A31137" w:rsidRDefault="00A31137" w:rsidP="00A31137">
      <w:r w:rsidRPr="00A31137">
        <w:t>America's police are locked in an unequal struggle with crime: since 1951 the ratio of police officers to reported crimes has reversed, from three-to-one to one-to-three. We will create a Police Corps, in which participants would receive college aid in return for several years of service after graduation in a state or local police department. As we shift people and resources from defense to the civilian economy, we will create new jobs in law enforcement for those leaving the military.</w:t>
      </w:r>
    </w:p>
    <w:p w:rsidR="00A31137" w:rsidRPr="00A31137" w:rsidRDefault="00A31137" w:rsidP="00A31137">
      <w:r w:rsidRPr="00A31137">
        <w:t>1992 Democratic Party Platform</w:t>
      </w:r>
    </w:p>
    <w:p w:rsidR="00A31137" w:rsidRPr="00A31137" w:rsidRDefault="00A31137" w:rsidP="00A31137">
      <w:r w:rsidRPr="00A31137">
        <w:t>We will expand drug counselling and treatment for those who need it, intensify efforts to educate our children at the earliest ages to the dangers of drug and alcohol abuse, and curb demand from the street corner to the penthouse suite, so that the U.S., with five percent of the world's population, no longer consumes 50 percent of the world's illegal drugs.</w:t>
      </w:r>
    </w:p>
    <w:p w:rsidR="00A31137" w:rsidRPr="00A31137" w:rsidRDefault="00A31137" w:rsidP="00A31137">
      <w:r w:rsidRPr="00A31137">
        <w:t>Community Policing.</w:t>
      </w:r>
    </w:p>
    <w:p w:rsidR="00A31137" w:rsidRPr="00A31137" w:rsidRDefault="00A31137" w:rsidP="00A31137">
      <w:r w:rsidRPr="00A31137">
        <w:t>1992 Democratic Party Platform</w:t>
      </w:r>
    </w:p>
    <w:p w:rsidR="00A31137" w:rsidRPr="00A31137" w:rsidRDefault="00A31137" w:rsidP="00A31137">
      <w:r w:rsidRPr="00A31137">
        <w:t>Neighborhoods and police should be partners in the war on crime. Democrats support more community policing, which uses foot patrols and storefront offices to make police officers visible fixtures in urban neighborhoods. We will combat street violence and emphasize building trust and solving the problems that breed crime.</w:t>
      </w:r>
    </w:p>
    <w:p w:rsidR="00A31137" w:rsidRPr="00A31137" w:rsidRDefault="00A31137" w:rsidP="00A31137">
      <w:r w:rsidRPr="00A31137">
        <w:t>Firearms.</w:t>
      </w:r>
    </w:p>
    <w:p w:rsidR="00A31137" w:rsidRPr="00A31137" w:rsidRDefault="00A31137" w:rsidP="00A31137">
      <w:r w:rsidRPr="00A31137">
        <w:t>1992 Democratic Party Platform</w:t>
      </w:r>
    </w:p>
    <w:p w:rsidR="00A31137" w:rsidRPr="00A31137" w:rsidRDefault="00A31137" w:rsidP="00A31137">
      <w:r w:rsidRPr="00A31137">
        <w:t>It is time to shut down the weapons bazaars in our cities. We support a reasonable waiting period to permit background checks for purchases of handguns, as well as assault weapons controls to ban the possession, sale, importation and manufacture of the most deadly assault weapons. We do not support efforts to restrict weapons used for legitimate hunting and sporting purposes. We will work for swift and certain punishment of all people who violate the country's gun laws and for stronger sentences for criminals who use guns. We will also seek to shut down the black market for guns and impose severe penalties on people who sell guns to children.</w:t>
      </w:r>
    </w:p>
    <w:p w:rsidR="00A31137" w:rsidRPr="00A31137" w:rsidRDefault="00A31137" w:rsidP="00A31137">
      <w:r w:rsidRPr="00A31137">
        <w:t>Pursuing All Crime Aggressively.</w:t>
      </w:r>
    </w:p>
    <w:p w:rsidR="00A31137" w:rsidRPr="00A31137" w:rsidRDefault="00A31137" w:rsidP="00A31137">
      <w:r w:rsidRPr="00A31137">
        <w:t>1992 Democratic Party Platform</w:t>
      </w:r>
    </w:p>
    <w:p w:rsidR="00A31137" w:rsidRPr="00A31137" w:rsidRDefault="00A31137" w:rsidP="00A31137">
      <w:r w:rsidRPr="00A31137">
        <w:t>In contrast to the Republican policy of leniency toward white collar crime—which breeds cynicism in poor communities about the impartiality of our justice system—Democrats will redouble efforts to ferret out and punish those who betray the public trust, rig financial markets, misuse their depositors' money or swindle their customers.</w:t>
      </w:r>
    </w:p>
    <w:p w:rsidR="00A31137" w:rsidRPr="00A31137" w:rsidRDefault="00A31137" w:rsidP="00A31137">
      <w:r w:rsidRPr="00A31137">
        <w:t>Further Initiatives.</w:t>
      </w:r>
    </w:p>
    <w:p w:rsidR="00A31137" w:rsidRPr="00A31137" w:rsidRDefault="00A31137" w:rsidP="00A31137">
      <w:r w:rsidRPr="00A31137">
        <w:t>1992 Democratic Party Platform</w:t>
      </w:r>
    </w:p>
    <w:p w:rsidR="00A31137" w:rsidRPr="00A31137" w:rsidRDefault="00A31137" w:rsidP="00A31137">
      <w:r w:rsidRPr="00A31137">
        <w:t>Democrats also favor innovative sentencing and punishment options, including community service and boot camps for first time offenders; tougher penalties for rapists; victim-impact statements and restitution to ensure that crime victims will not be lost in the complexities of the criminal justice system; and initiatives to make our schools safe, including alternative schools for disruptive children.</w:t>
      </w:r>
    </w:p>
    <w:p w:rsidR="00A31137" w:rsidRPr="00A31137" w:rsidRDefault="00A31137" w:rsidP="00A31137">
      <w:r w:rsidRPr="00A31137">
        <w:t>Empowering The Poor and Expanding The Middle Class</w:t>
      </w:r>
    </w:p>
    <w:p w:rsidR="00A31137" w:rsidRPr="00A31137" w:rsidRDefault="00A31137" w:rsidP="00A31137">
      <w:r w:rsidRPr="00A31137">
        <w:t>1992 Democratic Party Platform</w:t>
      </w:r>
    </w:p>
    <w:p w:rsidR="00A31137" w:rsidRPr="00A31137" w:rsidRDefault="00A31137" w:rsidP="00A31137">
      <w:r w:rsidRPr="00A31137">
        <w:t>We must further the new direction set in the Family Support Act of 1988, away from subsistence and dependence and toward work, family and personal initiative and responsibility. We advocate slower phasing out of Medicaid and other benefits to encourage work; special savings accounts to help low-income families build assets; fair lending; an indexed minimum wage; an expanded Job Corps; and an end to welfare rules that encourage family breakup and penalize individual initiative, such as the $1,000 limit on personal savings.</w:t>
      </w:r>
    </w:p>
    <w:p w:rsidR="00A31137" w:rsidRPr="00A31137" w:rsidRDefault="00A31137" w:rsidP="00A31137">
      <w:r w:rsidRPr="00A31137">
        <w:t>Immigration.</w:t>
      </w:r>
    </w:p>
    <w:p w:rsidR="00A31137" w:rsidRPr="00A31137" w:rsidRDefault="00A31137" w:rsidP="00A31137">
      <w:r w:rsidRPr="00A31137">
        <w:t>1992 Democratic Party Platform</w:t>
      </w:r>
    </w:p>
    <w:p w:rsidR="00A31137" w:rsidRPr="00A31137" w:rsidRDefault="00A31137" w:rsidP="00A31137">
      <w:r w:rsidRPr="00A31137">
        <w:t>Our nation of immigrants has been invigorated repeatedly as new people, ideas and ways of life have become part of the American tapestry. Democrats support immigration policies that promote fairness, non-discrimination and family reunification, and that reflect our constitutional freedoms of speech, association and travel.</w:t>
      </w:r>
    </w:p>
    <w:p w:rsidR="00A31137" w:rsidRPr="00A31137" w:rsidRDefault="00A31137" w:rsidP="00A31137">
      <w:r w:rsidRPr="00A31137">
        <w:t>Housing.</w:t>
      </w:r>
    </w:p>
    <w:p w:rsidR="00A31137" w:rsidRPr="00A31137" w:rsidRDefault="00A31137" w:rsidP="00A31137">
      <w:r w:rsidRPr="00A31137">
        <w:t>1992 Democratic Party Platform</w:t>
      </w:r>
    </w:p>
    <w:p w:rsidR="00A31137" w:rsidRPr="00A31137" w:rsidRDefault="00A31137" w:rsidP="00A31137">
      <w:r w:rsidRPr="00A31137">
        <w:t>Safe, secure housing is essential to the institutions of community and family. We support home ownership for working families and will honor that commitment through policies that encourage affordable mortgage credit. We must also confront homelessness by renovating, preserving and expanding the stock of affordable low-income housing. We support tenant management and ownership, so public housing residents can manage their own affairs and acquire property worth protecting.</w:t>
      </w:r>
    </w:p>
    <w:p w:rsidR="00A31137" w:rsidRPr="00A31137" w:rsidRDefault="00A31137" w:rsidP="00A31137">
      <w:r w:rsidRPr="00A31137">
        <w:t>National Service.</w:t>
      </w:r>
    </w:p>
    <w:p w:rsidR="00A31137" w:rsidRPr="00A31137" w:rsidRDefault="00A31137" w:rsidP="00A31137">
      <w:r w:rsidRPr="00A31137">
        <w:t>1992 Democratic Party Platform</w:t>
      </w:r>
    </w:p>
    <w:p w:rsidR="00A31137" w:rsidRPr="00A31137" w:rsidRDefault="00A31137" w:rsidP="00A31137">
      <w:r w:rsidRPr="00A31137">
        <w:t>We will create new opportunities for citizens to serve each other, their communities and their country. By mobilizing hundreds of thousands of volunteers, national service will enhance the role of ordinary citizens in solving unresolved community problems.</w:t>
      </w:r>
    </w:p>
    <w:p w:rsidR="00A31137" w:rsidRPr="00A31137" w:rsidRDefault="00A31137" w:rsidP="00A31137">
      <w:r w:rsidRPr="00A31137">
        <w:t>The Arts</w:t>
      </w:r>
    </w:p>
    <w:p w:rsidR="00A31137" w:rsidRPr="00A31137" w:rsidRDefault="00A31137" w:rsidP="00A31137">
      <w:r w:rsidRPr="00A31137">
        <w:t>1992 Democratic Party Platform</w:t>
      </w:r>
    </w:p>
    <w:p w:rsidR="00A31137" w:rsidRPr="00A31137" w:rsidRDefault="00A31137" w:rsidP="00A31137">
      <w:r w:rsidRPr="00A31137">
        <w:t>We believe in public support for the Arts, including a National Endowment for the Arts that is free from political manipulation and firmly rooted in the First Amendment's freedom of expression guarantee.</w:t>
      </w:r>
    </w:p>
    <w:p w:rsidR="00A31137" w:rsidRPr="00A31137" w:rsidRDefault="00A31137" w:rsidP="00A31137">
      <w:r w:rsidRPr="00A31137">
        <w:t>IV. Preserving Our National Security</w:t>
      </w:r>
    </w:p>
    <w:p w:rsidR="00A31137" w:rsidRPr="00A31137" w:rsidRDefault="00A31137" w:rsidP="00A31137">
      <w:r w:rsidRPr="00A31137">
        <w:t>1992 Democratic Party Platform</w:t>
      </w:r>
    </w:p>
    <w:p w:rsidR="00A31137" w:rsidRPr="00A31137" w:rsidRDefault="00A31137" w:rsidP="00A31137">
      <w:r w:rsidRPr="00A31137">
        <w:t>During the past four years, we have seen the corrosive effect of foreign policies that are rooted in the past, divorced from our values, fearful of change and unable to meet its challenges. Under President Bush, crises have been managed, rather than prevented; dictators like Saddam Hussein have been wooed, rather than deterred; aggression by the Serbian regime against its neighbors in what was Yugoslavia has been met by American timidity rather than toughness; human rights abusers have been rewarded, not challenged; the environment has been neglected, not protected; and America's competitive edge in the global economy has been dulled, not honed. It is time for new American leadership that can meet the challenges of a changing world.</w:t>
      </w:r>
    </w:p>
    <w:p w:rsidR="00A31137" w:rsidRPr="00A31137" w:rsidRDefault="00A31137" w:rsidP="00A31137">
      <w:r w:rsidRPr="00A31137">
        <w:t>1992 Democratic Party Platform</w:t>
      </w:r>
    </w:p>
    <w:p w:rsidR="00A31137" w:rsidRPr="00A31137" w:rsidRDefault="00A31137" w:rsidP="00A31137">
      <w:r w:rsidRPr="00A31137">
        <w:t>At the end of World War II, American strength had defeated tyranny and American ingenuity had overcome the Depression. Under President Truman, the United States led the world into a new era, redefining global security with bold approaches to tough challenges: containing communism with the NATO alliance and in Korea; building the peace through organizations such as the United Nations; and advancing global economic security through new multilateral institutions.</w:t>
      </w:r>
    </w:p>
    <w:p w:rsidR="00A31137" w:rsidRPr="00A31137" w:rsidRDefault="00A31137" w:rsidP="00A31137">
      <w:r w:rsidRPr="00A31137">
        <w:t>1992 Democratic Party Platform</w:t>
      </w:r>
    </w:p>
    <w:p w:rsidR="00A31137" w:rsidRPr="00A31137" w:rsidRDefault="00A31137" w:rsidP="00A31137">
      <w:r w:rsidRPr="00A31137">
        <w:t>Nearly a half century later, we stand at another pivotal point in history. The collapse of communism does not mean the end of danger or threats to our interests. But it does pose an unprecedented opportunity to make our future more secure and prosperous. Once again, we must define a compelling vision for global leadership at the dawn of a new era.</w:t>
      </w:r>
    </w:p>
    <w:p w:rsidR="00A31137" w:rsidRPr="00A31137" w:rsidRDefault="00A31137" w:rsidP="00A31137">
      <w:r w:rsidRPr="00A31137">
        <w:t>Restructuring Our Military Forces</w:t>
      </w:r>
    </w:p>
    <w:p w:rsidR="00A31137" w:rsidRPr="00A31137" w:rsidRDefault="00A31137" w:rsidP="00A31137">
      <w:r w:rsidRPr="00A31137">
        <w:t>1992 Democratic Party Platform</w:t>
      </w:r>
    </w:p>
    <w:p w:rsidR="00A31137" w:rsidRPr="00A31137" w:rsidRDefault="00A31137" w:rsidP="00A31137">
      <w:r w:rsidRPr="00A31137">
        <w:t>We have not seen the end of violence, aggression and the conflicts that can threaten American interests and our hopes for a more peaceful world. What the United States needs is not the Bush Administration's Cold War thinking on a smaller scale, but a comprehensive restructuring of the American military enterprise to meet the threats that remain.</w:t>
      </w:r>
    </w:p>
    <w:p w:rsidR="00A31137" w:rsidRPr="00A31137" w:rsidRDefault="00A31137" w:rsidP="00A31137">
      <w:r w:rsidRPr="00A31137">
        <w:t>Military Strength.</w:t>
      </w:r>
    </w:p>
    <w:p w:rsidR="00A31137" w:rsidRPr="00A31137" w:rsidRDefault="00A31137" w:rsidP="00A31137">
      <w:r w:rsidRPr="00A31137">
        <w:t>1992 Democratic Party Platform</w:t>
      </w:r>
    </w:p>
    <w:p w:rsidR="00A31137" w:rsidRPr="00A31137" w:rsidRDefault="00A31137" w:rsidP="00A31137">
      <w:r w:rsidRPr="00A31137">
        <w:t>America is the world's strongest military power and we must remain so. A post-Cold War restructuring of American forces will produce substantial savings beyond those promised by the Bush Administration, but that restructuring must be achieved without undermining our ability to meet future threats to our security. A military structure for the 1990's and beyond must be built on four pillars: First, a survivable nuclear force to deter any conceivable threat, as we reduce our nuclear arsenals through arms control negotiations and other reciprocal action. Second, conventional forces shifted toward projecting power wherever our vital national interests are threatened. This means reducing the size of our forces in Europe, while meeting our obligations to NATO, and strengthening our rapid deployment capabilities to deal with new threats to our security posed by renegade dictators, terrorists, international drug traffickers, and the local armed conflicts that can threaten the peace of entire regions. Th</w:t>
      </w:r>
    </w:p>
    <w:p w:rsidR="00A31137" w:rsidRPr="00A31137" w:rsidRDefault="00A31137" w:rsidP="00A31137">
      <w:r w:rsidRPr="00A31137">
        <w:t>Use Of Force.</w:t>
      </w:r>
    </w:p>
    <w:p w:rsidR="00A31137" w:rsidRPr="00A31137" w:rsidRDefault="00A31137" w:rsidP="00A31137">
      <w:r w:rsidRPr="00A31137">
        <w:t>1992 Democratic Party Platform</w:t>
      </w:r>
    </w:p>
    <w:p w:rsidR="00A31137" w:rsidRPr="00A31137" w:rsidRDefault="00A31137" w:rsidP="00A31137">
      <w:r w:rsidRPr="00A31137">
        <w:t>The United States must be prepared to use military force decisively when necessary to defend our vital interests. The burdens of collective security in a new era must be shared fairly, and we should encourage multilateral peacekeeping through the United Nations and other international efforts.</w:t>
      </w:r>
    </w:p>
    <w:p w:rsidR="00A31137" w:rsidRPr="00A31137" w:rsidRDefault="00A31137" w:rsidP="00A31137">
      <w:r w:rsidRPr="00A31137">
        <w:t>Preventing And Containing Conflict.</w:t>
      </w:r>
    </w:p>
    <w:p w:rsidR="00A31137" w:rsidRPr="00A31137" w:rsidRDefault="00A31137" w:rsidP="00A31137">
      <w:r w:rsidRPr="00A31137">
        <w:t>1992 Democratic Party Platform</w:t>
      </w:r>
    </w:p>
    <w:p w:rsidR="00A31137" w:rsidRPr="00A31137" w:rsidRDefault="00A31137" w:rsidP="00A31137">
      <w:r w:rsidRPr="00A31137">
        <w:t>American policy must be focused on averting military threats as well as meeting them. To halt the spread of nuclear and other weapons of mass destruction, we must lead a renewed international effort to get tough with companies that peddle nuclear and chemical warfare technologies, strengthen the International Atomic Energy Agency, and enforce strong sanctions against governments that violate international restraints. A Comprehensive Test Ban would strengthen our ability to stop the spread of nuclear weapons to other countries, which may be our greatest future security threat. We must press for strong international limits on the dangerous and wasteful flow of conventional arms to troubled regions. A U.S. troop presence should be maintained in South Korea as long as North Korea presents a threat to South Korea.</w:t>
      </w:r>
    </w:p>
    <w:p w:rsidR="00A31137" w:rsidRPr="00A31137" w:rsidRDefault="00A31137" w:rsidP="00A31137">
      <w:r w:rsidRPr="00A31137">
        <w:t>Restoring America's Economic Leadership</w:t>
      </w:r>
    </w:p>
    <w:p w:rsidR="00A31137" w:rsidRPr="00A31137" w:rsidRDefault="00A31137" w:rsidP="00A31137">
      <w:r w:rsidRPr="00A31137">
        <w:t>1992 Democratic Party Platform</w:t>
      </w:r>
    </w:p>
    <w:p w:rsidR="00A31137" w:rsidRPr="00A31137" w:rsidRDefault="00A31137" w:rsidP="00A31137">
      <w:r w:rsidRPr="00A31137">
        <w:t>The United States cannot be strong abroad if it is weak at home. Restoring America's global economic leadership must become a central element of our national security policies. The strength of nations, once defined in military terms, now is measured also by the skills of their workers, the imagination of their managers and the power of their technologies.</w:t>
      </w:r>
    </w:p>
    <w:p w:rsidR="00A31137" w:rsidRPr="00A31137" w:rsidRDefault="00A31137" w:rsidP="00A31137">
      <w:r w:rsidRPr="00A31137">
        <w:t>1992 Democratic Party Platform</w:t>
      </w:r>
    </w:p>
    <w:p w:rsidR="00A31137" w:rsidRPr="00A31137" w:rsidRDefault="00A31137" w:rsidP="00A31137">
      <w:r w:rsidRPr="00A31137">
        <w:t xml:space="preserve"> Either we develop and pursue a national plan for restoring our economy through a partnership of government, labor and business, or we slip behind the nations that are competing with us and growing. At stake are American jobs, our standard of living and the quality of life for ourselves and our children.</w:t>
      </w:r>
    </w:p>
    <w:p w:rsidR="00A31137" w:rsidRPr="00A31137" w:rsidRDefault="00A31137" w:rsidP="00A31137">
      <w:r w:rsidRPr="00A31137">
        <w:t>1992 Democratic Party Platform</w:t>
      </w:r>
    </w:p>
    <w:p w:rsidR="00A31137" w:rsidRPr="00A31137" w:rsidRDefault="00A31137" w:rsidP="00A31137">
      <w:r w:rsidRPr="00A31137">
        <w:t>Economic strength—indeed our national security—is grounded on a healthy domestic economy. But we cannot be strong at home unless we are part of a vibrant and expanding global economy that recognizes human rights and seeks to improve the living standards of all the world's people. This is vital to achieving good quality, high paying jobs for Americans.</w:t>
      </w:r>
    </w:p>
    <w:p w:rsidR="00A31137" w:rsidRPr="00A31137" w:rsidRDefault="00A31137" w:rsidP="00A31137">
      <w:r w:rsidRPr="00A31137">
        <w:t>Trade.</w:t>
      </w:r>
    </w:p>
    <w:p w:rsidR="00A31137" w:rsidRPr="00A31137" w:rsidRDefault="00A31137" w:rsidP="00A31137">
      <w:r w:rsidRPr="00A31137">
        <w:t>1992 Democratic Party Platform</w:t>
      </w:r>
    </w:p>
    <w:p w:rsidR="00A31137" w:rsidRPr="00A31137" w:rsidRDefault="00A31137" w:rsidP="00A31137">
      <w:r w:rsidRPr="00A31137">
        <w:t>Our government must work to expand trade, while insisting that the conduct of world trade is fair. It must fight to uphold American interests—promoting exports, expanding trade in agricultural and other products, opening markets in major product and service sectors with our principal competitors, and achieving reciprocal access. This should include renewed authority to use America's trading leverage against the most serious problems. The U.S. government also must firmly enforce U.S. laws against unfair trade.</w:t>
      </w:r>
    </w:p>
    <w:p w:rsidR="00A31137" w:rsidRPr="00A31137" w:rsidRDefault="00A31137" w:rsidP="00A31137">
      <w:r w:rsidRPr="00A31137">
        <w:t>Trade Agreements.</w:t>
      </w:r>
    </w:p>
    <w:p w:rsidR="00A31137" w:rsidRPr="00A31137" w:rsidRDefault="00A31137" w:rsidP="00A31137">
      <w:r w:rsidRPr="00A31137">
        <w:t>1992 Democratic Party Platform</w:t>
      </w:r>
    </w:p>
    <w:p w:rsidR="00A31137" w:rsidRPr="00A31137" w:rsidRDefault="00A31137" w:rsidP="00A31137">
      <w:r w:rsidRPr="00A31137">
        <w:t>Multilateral trade agreements can advance our economic interests by expanding the global economy. Whether negotiating the North American Free Trade Area (NAFTA) or completing the GATT negotiations, our government must assure that our legitimate concerns about environmental, health and safety, and labor standards are included. Those American workers whose jobs are affected must have the benefit of effective adjustment assistance.</w:t>
      </w:r>
    </w:p>
    <w:p w:rsidR="00A31137" w:rsidRPr="00A31137" w:rsidRDefault="00A31137" w:rsidP="00A31137">
      <w:r w:rsidRPr="00A31137">
        <w:t>Promoting Democracy</w:t>
      </w:r>
    </w:p>
    <w:p w:rsidR="00A31137" w:rsidRPr="00A31137" w:rsidRDefault="00A31137" w:rsidP="00A31137">
      <w:r w:rsidRPr="00A31137">
        <w:t>1992 Democratic Party Platform</w:t>
      </w:r>
    </w:p>
    <w:p w:rsidR="00A31137" w:rsidRPr="00A31137" w:rsidRDefault="00A31137" w:rsidP="00A31137">
      <w:r w:rsidRPr="00A31137">
        <w:t>Brave men and women—like the hero who stood in front of a tank in Beijing and the leader who stood on a tank in Moscow—are putting their lives on the line for democracy around the world. But as the tide of democracy rose in the former Soviet Union and in China, in the Baltics and South Africa, only reluctantly did this Administration abandon the status quo and embrace the fight for freedom.</w:t>
      </w:r>
    </w:p>
    <w:p w:rsidR="00A31137" w:rsidRPr="00A31137" w:rsidRDefault="00A31137" w:rsidP="00A31137">
      <w:r w:rsidRPr="00A31137">
        <w:t>1992 Democratic Party Platform</w:t>
      </w:r>
    </w:p>
    <w:p w:rsidR="00A31137" w:rsidRPr="00A31137" w:rsidRDefault="00A31137" w:rsidP="00A31137">
      <w:r w:rsidRPr="00A31137">
        <w:t>Support for democracy serves our ideals and our interests. A more democratic world is a world that is more peaceful and more stable. An American foreign policy of engagement for democracy must effectively address:</w:t>
      </w:r>
    </w:p>
    <w:p w:rsidR="00A31137" w:rsidRPr="00A31137" w:rsidRDefault="00A31137" w:rsidP="00A31137">
      <w:r w:rsidRPr="00A31137">
        <w:t>Emerging Democracies.</w:t>
      </w:r>
    </w:p>
    <w:p w:rsidR="00A31137" w:rsidRPr="00A31137" w:rsidRDefault="00A31137" w:rsidP="00A31137">
      <w:r w:rsidRPr="00A31137">
        <w:t>1992 Democratic Party Platform</w:t>
      </w:r>
    </w:p>
    <w:p w:rsidR="00A31137" w:rsidRPr="00A31137" w:rsidRDefault="00A31137" w:rsidP="00A31137">
      <w:r w:rsidRPr="00A31137">
        <w:t>Helping to lead an international effort to assist the emerging—and still fragile—democracies in Eastern Europe and the former Soviet Union build democratic institutions in free market settings, demilitarize their societies and integrate their economies into the world trading system. Unlike the Bush Administration, which waited too long to recognize the new democratic governments in the Baltic countries and the nations of the former Soviet Union, we must act decisively with our European allies to support freedom, diminish ethnic tensions, and oppose aggression in the former communist countries, such as Bosnia-Herzegovina, which are struggling to make the transition from communism to democracy. As change sweeps through the Balkans, the United States must be sensitive to the concerns of Greece regarding the use of the name Macedonia. And in the post-Cold War era, our foreign assistance programs in Africa, the Caribbean, Latin America and elsewhere should be targeted at helping democracies ra</w:t>
      </w:r>
    </w:p>
    <w:p w:rsidR="00A31137" w:rsidRPr="00A31137" w:rsidRDefault="00A31137" w:rsidP="00A31137">
      <w:r w:rsidRPr="00A31137">
        <w:t>Democracy Corps.</w:t>
      </w:r>
    </w:p>
    <w:p w:rsidR="00A31137" w:rsidRPr="00A31137" w:rsidRDefault="00A31137" w:rsidP="00A31137">
      <w:r w:rsidRPr="00A31137">
        <w:t>1992 Democratic Party Platform</w:t>
      </w:r>
    </w:p>
    <w:p w:rsidR="00A31137" w:rsidRPr="00A31137" w:rsidRDefault="00A31137" w:rsidP="00A31137">
      <w:r w:rsidRPr="00A31137">
        <w:t>Promoting democratic institutions by creating a Democracy Corps to send American volunteers to countries that seek legal, financial and political expertise to build democratic institutions, and support groups like the National Endowment for Democracy, the Asia Foundation, and others.</w:t>
      </w:r>
    </w:p>
    <w:p w:rsidR="00A31137" w:rsidRPr="00A31137" w:rsidRDefault="00A31137" w:rsidP="00A31137">
      <w:r w:rsidRPr="00A31137">
        <w:t>China Trade Terms.</w:t>
      </w:r>
    </w:p>
    <w:p w:rsidR="00A31137" w:rsidRPr="00A31137" w:rsidRDefault="00A31137" w:rsidP="00A31137">
      <w:r w:rsidRPr="00A31137">
        <w:t>1992 Democratic Party Platform</w:t>
      </w:r>
    </w:p>
    <w:p w:rsidR="00A31137" w:rsidRPr="00A31137" w:rsidRDefault="00A31137" w:rsidP="00A31137">
      <w:r w:rsidRPr="00A31137">
        <w:t>Conditioning of favorable trade terms for China on respect for human rights in China and Tibet, greater market access for U.S. goods, and responsible conduct on weapons proliferation.</w:t>
      </w:r>
    </w:p>
    <w:p w:rsidR="00A31137" w:rsidRPr="00A31137" w:rsidRDefault="00A31137" w:rsidP="00A31137">
      <w:r w:rsidRPr="00A31137">
        <w:t>South Africa.</w:t>
      </w:r>
    </w:p>
    <w:p w:rsidR="00A31137" w:rsidRPr="00A31137" w:rsidRDefault="00A31137" w:rsidP="00A31137">
      <w:r w:rsidRPr="00A31137">
        <w:t>1992 Democratic Party Platform</w:t>
      </w:r>
    </w:p>
    <w:p w:rsidR="00A31137" w:rsidRPr="00A31137" w:rsidRDefault="00A31137" w:rsidP="00A31137">
      <w:r w:rsidRPr="00A31137">
        <w:t>Maintenance of state and local sanctions against South Africa in support of an investment code of conduct, existing limits on deductibility of taxes paid to South Africa, and diplomatic pressure until there is an irreversible, full and fair accommodation with the black majority to create a democratic government with full rights for all its citizens. We deplore the continuing violence, especially in Boipatong Township, and are concerned about the collapse of the negotiations. The U.S. Government should consider reimposing Federal sanctions. The Democratic Party supports the creation of a South African/American Enterprise Fund that will provide a new interim government with public and private funds to assist in the development of democracy in South Africa.</w:t>
      </w:r>
    </w:p>
    <w:p w:rsidR="00A31137" w:rsidRPr="00A31137" w:rsidRDefault="00A31137" w:rsidP="00A31137">
      <w:r w:rsidRPr="00A31137">
        <w:t>Middle East Peace</w:t>
      </w:r>
    </w:p>
    <w:p w:rsidR="00A31137" w:rsidRPr="00A31137" w:rsidRDefault="00A31137" w:rsidP="00A31137">
      <w:r w:rsidRPr="00A31137">
        <w:t>1992 Democratic Party Platform</w:t>
      </w:r>
    </w:p>
    <w:p w:rsidR="00A31137" w:rsidRPr="00A31137" w:rsidRDefault="00A31137" w:rsidP="00A31137">
      <w:r w:rsidRPr="00A31137">
        <w:t>Support for the peace process now underway in the Middle East, rooted in the tradition of the Camp David accords. Direct negotiations between Israel, her Arab neighbors and Palestinians, with no imposed solutions, are the only way to achieve enduring security for Israel and full peace for all parties in the region. The end of the Cold War does not alter America's deep interest in our long-standing special relationship with Israel, based on shared values, a mutual commitment to democracy, and a strategic alliance that benefits both nations. The United States must act effectively as an honest broker in the peace process. It must not, as has been the case with this Administration, encourage one side to believe that it will deliver unilateral concessions from the other. Jerusalem is the capital of the state of Israel and should remain an undivided city accessible to people of all faiths.</w:t>
      </w:r>
    </w:p>
    <w:p w:rsidR="00A31137" w:rsidRPr="00A31137" w:rsidRDefault="00A31137" w:rsidP="00A31137">
      <w:r w:rsidRPr="00A31137">
        <w:t>Human Rights</w:t>
      </w:r>
    </w:p>
    <w:p w:rsidR="00A31137" w:rsidRPr="00A31137" w:rsidRDefault="00A31137" w:rsidP="00A31137">
      <w:r w:rsidRPr="00A31137">
        <w:t>1992 Democratic Party Platform</w:t>
      </w:r>
    </w:p>
    <w:p w:rsidR="00A31137" w:rsidRPr="00A31137" w:rsidRDefault="00A31137" w:rsidP="00A31137">
      <w:r w:rsidRPr="00A31137">
        <w:t>Standing everywhere for the rights of individuals and respect for ethnic minorities against the repressive acts of governments—against torture, political imprisonment, and all attacks on civilized standards of human freedom. This is a proud tradition of the Democratic Party, which has stood for freedom in South Africa and continues to resist oppression in Cuba. Our nation should once again promote the principle of sanctuary for politically oppressed people everywhere, be they Haitian refugees, Soviet Jews seeking U.S. help in their successful absorption into Israeli society, or Vietnamese fleeing communism. Forcible return of anyone fleeing political repression is a betrayal of American values.</w:t>
      </w:r>
    </w:p>
    <w:p w:rsidR="00A31137" w:rsidRPr="00A31137" w:rsidRDefault="00A31137" w:rsidP="00A31137">
      <w:r w:rsidRPr="00A31137">
        <w:t>Human Needs</w:t>
      </w:r>
    </w:p>
    <w:p w:rsidR="00A31137" w:rsidRPr="00A31137" w:rsidRDefault="00A31137" w:rsidP="00A31137">
      <w:r w:rsidRPr="00A31137">
        <w:t>1992 Democratic Party Platform</w:t>
      </w:r>
    </w:p>
    <w:p w:rsidR="00A31137" w:rsidRPr="00A31137" w:rsidRDefault="00A31137" w:rsidP="00A31137">
      <w:r w:rsidRPr="00A31137">
        <w:t>Support for the struggle against poverty and disease in the developing world, including the heartbreaking famine in Africa. We must not replace the East-West conflict with one between North and South, a growing divide between the industrialized and developing world. Our development programs must be reexamined and restructured to assure that their benefits truly help those most in need to help themselves. At stake are the lives of millions of human beings who live in hunger, uprooted from their homes, too often without hope. The United States should work to establish a specific plan and timetable for the elimination of world hunger.</w:t>
      </w:r>
    </w:p>
    <w:p w:rsidR="00A31137" w:rsidRPr="00A31137" w:rsidRDefault="00A31137" w:rsidP="00A31137">
      <w:r w:rsidRPr="00A31137">
        <w:t>Cyprus</w:t>
      </w:r>
    </w:p>
    <w:p w:rsidR="00A31137" w:rsidRPr="00A31137" w:rsidRDefault="00A31137" w:rsidP="00A31137">
      <w:r w:rsidRPr="00A31137">
        <w:t>1992 Democratic Party Platform</w:t>
      </w:r>
    </w:p>
    <w:p w:rsidR="00A31137" w:rsidRPr="00A31137" w:rsidRDefault="00A31137" w:rsidP="00A31137">
      <w:r w:rsidRPr="00A31137">
        <w:t>A renewed commitment to achieve a Cyprus settlement pursuant to the United Nations resolutions. This goal must now be restored to the diplomatic agenda of the United States.</w:t>
      </w:r>
    </w:p>
    <w:p w:rsidR="00A31137" w:rsidRPr="00A31137" w:rsidRDefault="00A31137" w:rsidP="00A31137">
      <w:r w:rsidRPr="00A31137">
        <w:t>Northern Ireland</w:t>
      </w:r>
    </w:p>
    <w:p w:rsidR="00A31137" w:rsidRPr="00A31137" w:rsidRDefault="00A31137" w:rsidP="00A31137">
      <w:r w:rsidRPr="00A31137">
        <w:t>1992 Democratic Party Platform</w:t>
      </w:r>
    </w:p>
    <w:p w:rsidR="00A31137" w:rsidRPr="00A31137" w:rsidRDefault="00A31137" w:rsidP="00A31137">
      <w:r w:rsidRPr="00A31137">
        <w:t>In light of America's historic ties to the people of Great Britain and Ireland, and consistent with our country's commitment to peace, democracy and human rights around the world, a more active United States role in promoting peace and political dialogue to bring an end to the violence and achieve a negotiated solution in Northern Ireland.</w:t>
      </w:r>
    </w:p>
    <w:p w:rsidR="00A31137" w:rsidRPr="00A31137" w:rsidRDefault="00A31137" w:rsidP="00A31137">
      <w:r w:rsidRPr="00A31137">
        <w:t>Preserving The Global Environment</w:t>
      </w:r>
    </w:p>
    <w:p w:rsidR="00A31137" w:rsidRPr="00A31137" w:rsidRDefault="00A31137" w:rsidP="00A31137">
      <w:r w:rsidRPr="00A31137">
        <w:t>1992 Democratic Party Platform</w:t>
      </w:r>
    </w:p>
    <w:p w:rsidR="00A31137" w:rsidRPr="00A31137" w:rsidRDefault="00A31137" w:rsidP="00A31137">
      <w:r w:rsidRPr="00A31137">
        <w:t>As the threat of nuclear holocaust recedes, the future of the earth is challenged by gathering environmental crises. As governments around the world have sought the path to concerted action, the Bush Administration—despite its alleged foreign policy expertise—has been more of an obstacle to progress than a leader for change, practicing isolationism on an issue that affects us all. Democrats know we must act now to save the health of the earth, and the health of our children, for generations to come.</w:t>
      </w:r>
    </w:p>
    <w:p w:rsidR="00A31137" w:rsidRPr="00A31137" w:rsidRDefault="00A31137" w:rsidP="00A31137">
      <w:r w:rsidRPr="00A31137">
        <w:t>Addressing Global Warming.</w:t>
      </w:r>
    </w:p>
    <w:p w:rsidR="00A31137" w:rsidRPr="00A31137" w:rsidRDefault="00A31137" w:rsidP="00A31137">
      <w:r w:rsidRPr="00A31137">
        <w:t>1992 Democratic Party Platform</w:t>
      </w:r>
    </w:p>
    <w:p w:rsidR="00A31137" w:rsidRPr="00A31137" w:rsidRDefault="00A31137" w:rsidP="00A31137">
      <w:r w:rsidRPr="00A31137">
        <w:t>The United States must become a leader, not an impediment, in the fight against global warming. We should join our European allies in agreeing to limit carbon dioxide emissions to 1990 levels by the year 2000.</w:t>
      </w:r>
    </w:p>
    <w:p w:rsidR="00A31137" w:rsidRPr="00A31137" w:rsidRDefault="00A31137" w:rsidP="00A31137">
      <w:r w:rsidRPr="00A31137">
        <w:t>Ozone Depletion.</w:t>
      </w:r>
    </w:p>
    <w:p w:rsidR="00A31137" w:rsidRPr="00A31137" w:rsidRDefault="00A31137" w:rsidP="00A31137">
      <w:r w:rsidRPr="00A31137">
        <w:t>1992 Democratic Party Platform</w:t>
      </w:r>
    </w:p>
    <w:p w:rsidR="00A31137" w:rsidRPr="00A31137" w:rsidRDefault="00A31137" w:rsidP="00A31137">
      <w:r w:rsidRPr="00A31137">
        <w:t>The United States must be a world leader in finding replacements for CFCs and other ozone depleting substances.</w:t>
      </w:r>
    </w:p>
    <w:p w:rsidR="00A31137" w:rsidRPr="00A31137" w:rsidRDefault="00A31137" w:rsidP="00A31137">
      <w:r w:rsidRPr="00A31137">
        <w:t>Biodiversity.</w:t>
      </w:r>
    </w:p>
    <w:p w:rsidR="00A31137" w:rsidRPr="00A31137" w:rsidRDefault="00A31137" w:rsidP="00A31137">
      <w:r w:rsidRPr="00A31137">
        <w:t>1992 Democratic Party Platform</w:t>
      </w:r>
    </w:p>
    <w:p w:rsidR="00A31137" w:rsidRPr="00A31137" w:rsidRDefault="00A31137" w:rsidP="00A31137">
      <w:r w:rsidRPr="00A31137">
        <w:t>We must work actively to protect the planet's biodiversity and preserve its forests. At the Rio Earth Summit, the Bush Administration's failure to negotiate a biodiversity treaty it could sign was an abdication of international leadership.</w:t>
      </w:r>
    </w:p>
    <w:p w:rsidR="00A31137" w:rsidRPr="00A31137" w:rsidRDefault="00A31137" w:rsidP="00A31137">
      <w:r w:rsidRPr="00A31137">
        <w:t>Developing Nations</w:t>
      </w:r>
    </w:p>
    <w:p w:rsidR="00A31137" w:rsidRPr="00A31137" w:rsidRDefault="00A31137" w:rsidP="00A31137">
      <w:r w:rsidRPr="00A31137">
        <w:t>1992 Democratic Party Platform</w:t>
      </w:r>
    </w:p>
    <w:p w:rsidR="00A31137" w:rsidRPr="00A31137" w:rsidRDefault="00A31137" w:rsidP="00A31137">
      <w:r w:rsidRPr="00A31137">
        <w:t>We must fashion imaginative ways of engaging governments and business in the effort to encourage developing nations to preserve their environmental heritage.</w:t>
      </w:r>
    </w:p>
    <w:p w:rsidR="00A31137" w:rsidRPr="00A31137" w:rsidRDefault="00A31137" w:rsidP="00A31137">
      <w:r w:rsidRPr="00A31137">
        <w:t>Population Growth</w:t>
      </w:r>
    </w:p>
    <w:p w:rsidR="00A31137" w:rsidRPr="00A31137" w:rsidRDefault="00A31137" w:rsidP="00A31137">
      <w:r w:rsidRPr="00A31137">
        <w:t>1992 Democratic Party Platform</w:t>
      </w:r>
    </w:p>
    <w:p w:rsidR="00A31137" w:rsidRPr="00A31137" w:rsidRDefault="00A31137" w:rsidP="00A31137">
      <w:r w:rsidRPr="00A31137">
        <w:t>Explosive population growth must be controlled by working closely with other industrialized and developing nations and private organizations to fund greater family planning efforts.</w:t>
      </w:r>
    </w:p>
    <w:p w:rsidR="00A31137" w:rsidRPr="00A31137" w:rsidRDefault="00A31137" w:rsidP="00A31137">
      <w:r w:rsidRPr="00A31137">
        <w:t>1992 Democratic Party Platform</w:t>
      </w:r>
    </w:p>
    <w:p w:rsidR="00A31137" w:rsidRPr="00A31137" w:rsidRDefault="00A31137" w:rsidP="00A31137">
      <w:r w:rsidRPr="00A31137">
        <w:t>As a nation and as a people, we have entered into a new era. The Republican President and his advisors are rooted in Cold War precepts and cannot think or act anew. Through almost a half century of sacrifice, constancy and strength, the American people advanced democracy's triumph in the Cold War. Only new leadership that restores our nation's greatness at home can successfully draw upon these same strengths of the American people to lead the world into a new era of peace and freedom.</w:t>
      </w:r>
    </w:p>
    <w:p w:rsidR="00A31137" w:rsidRPr="00A31137" w:rsidRDefault="00A31137" w:rsidP="00A31137">
      <w:r w:rsidRPr="00A31137">
        <w:t>1992 Democratic Party Platform</w:t>
      </w:r>
    </w:p>
    <w:p w:rsidR="00A31137" w:rsidRPr="00A31137" w:rsidRDefault="00A31137" w:rsidP="00A31137">
      <w:r w:rsidRPr="00A31137">
        <w:t>In recent years we have seen brave people abroad face down tanks, defy coups, and risk exodus by boat on the high seas for a chance at freedom and the kind of opportunities we call the American Dream. It is time for Americans to fight against the decline of those same opportunities here at home.</w:t>
      </w:r>
    </w:p>
    <w:p w:rsidR="00A31137" w:rsidRPr="00A31137" w:rsidRDefault="00A31137" w:rsidP="00A31137">
      <w:r w:rsidRPr="00A31137">
        <w:t>1992 Democratic Party Platform</w:t>
      </w:r>
    </w:p>
    <w:p w:rsidR="00A31137" w:rsidRPr="00A31137" w:rsidRDefault="00A31137" w:rsidP="00A31137">
      <w:r w:rsidRPr="00A31137">
        <w:t>Americans know that, in the end, we will all rise or fall together. To make our society one again, Democrats will restore America's founding values of family, community and common purpose.</w:t>
      </w:r>
    </w:p>
    <w:p w:rsidR="00A31137" w:rsidRPr="00A31137" w:rsidRDefault="00A31137" w:rsidP="00A31137">
      <w:r w:rsidRPr="00A31137">
        <w:t>1992 Democratic Party Platform</w:t>
      </w:r>
    </w:p>
    <w:p w:rsidR="00A31137" w:rsidRPr="00A31137" w:rsidRDefault="00A31137" w:rsidP="00A31137">
      <w:r w:rsidRPr="00A31137">
        <w:t>We believe in the American people. We will challenge all Americans to give something back to their country. And they will be enriched in return, for when individuals assume responsibility, they acquire dignity. When people go to work, they rediscover a pride that was lost. When absent parents pay child support, they restore a connection they and their children need. When students work harder, they discover they can learn as well as any on earth. When corporate managers put their workers and long-term success ahead of short-term gain, their companies do well and so do they. When the leaders we elect assume responsibility for America's problems, we will do what is right to move America forward together.</w:t>
      </w:r>
    </w:p>
    <w:p w:rsidR="00A31137" w:rsidRPr="00A31137" w:rsidRDefault="00A31137" w:rsidP="00A31137">
      <w:r w:rsidRPr="00A31137">
        <w:t>Republican Platform of 1992</w:t>
      </w:r>
    </w:p>
    <w:p w:rsidR="00A31137" w:rsidRPr="00A31137" w:rsidRDefault="00A31137" w:rsidP="00A31137">
      <w:r w:rsidRPr="00A31137">
        <w:t>Title:</w:t>
      </w:r>
      <w:r w:rsidRPr="00A31137">
        <w:tab/>
        <w:t>Republican Platform of 1992</w:t>
      </w:r>
    </w:p>
    <w:p w:rsidR="00A31137" w:rsidRPr="00A31137" w:rsidRDefault="00A31137" w:rsidP="00A31137">
      <w:r w:rsidRPr="00A31137">
        <w:t>Author:</w:t>
      </w:r>
      <w:r w:rsidRPr="00A31137">
        <w:tab/>
        <w:t>Republican Party</w:t>
      </w:r>
    </w:p>
    <w:p w:rsidR="00A31137" w:rsidRPr="00A31137" w:rsidRDefault="00A31137" w:rsidP="00A31137">
      <w:r w:rsidRPr="00A31137">
        <w:t>Date:</w:t>
      </w:r>
      <w:r w:rsidRPr="00A31137">
        <w:tab/>
        <w:t>1992</w:t>
      </w:r>
    </w:p>
    <w:p w:rsidR="00A31137" w:rsidRPr="00A31137" w:rsidRDefault="00A31137" w:rsidP="00A31137">
      <w:r w:rsidRPr="00A31137">
        <w:t>Source:</w:t>
      </w:r>
      <w:r w:rsidRPr="00A31137">
        <w:tab/>
        <w:t>1992 Republican Party Platform Booklet</w:t>
      </w:r>
    </w:p>
    <w:p w:rsidR="00A31137" w:rsidRPr="00A31137" w:rsidRDefault="00A31137" w:rsidP="00A31137">
      <w:r w:rsidRPr="00A31137">
        <w:t>The Vision Shared: The Republican Platform,</w:t>
      </w:r>
    </w:p>
    <w:p w:rsidR="00A31137" w:rsidRPr="00A31137" w:rsidRDefault="00A31137" w:rsidP="00A31137">
      <w:r w:rsidRPr="00A31137">
        <w:t>Uniting Our Family, Our Country, Our World</w:t>
      </w:r>
    </w:p>
    <w:p w:rsidR="00A31137" w:rsidRPr="00A31137" w:rsidRDefault="00A31137" w:rsidP="00A31137">
      <w:r w:rsidRPr="00A31137">
        <w:t>Adopted August 17, 1992</w:t>
      </w:r>
    </w:p>
    <w:p w:rsidR="00A31137" w:rsidRPr="00A31137" w:rsidRDefault="00A31137" w:rsidP="00A31137">
      <w:r w:rsidRPr="00A31137">
        <w:t>Preamble</w:t>
      </w:r>
    </w:p>
    <w:p w:rsidR="00A31137" w:rsidRPr="00A31137" w:rsidRDefault="00A31137" w:rsidP="00A31137">
      <w:r w:rsidRPr="00A31137">
        <w:t>1992 Republican Platform, p.1</w:t>
      </w:r>
    </w:p>
    <w:p w:rsidR="00A31137" w:rsidRPr="00A31137" w:rsidRDefault="00A31137" w:rsidP="00A31137">
      <w:r w:rsidRPr="00A31137">
        <w:t>Abraham Lincoln, our first Republican President, expressed the philosophy that inspires Republicans to this day: "The legitimate object of Government is to do for a community of people whatever they need to have done, but cannot do at all, or cannot so well do, for themselves in their separate and individual capacities. But in all that people can individually do as well for themselves, Government ought not to interfere."</w:t>
      </w:r>
    </w:p>
    <w:p w:rsidR="00A31137" w:rsidRPr="00A31137" w:rsidRDefault="00A31137" w:rsidP="00A31137">
      <w:r w:rsidRPr="00A31137">
        <w:t>1992 Republican Platform, p.1</w:t>
      </w:r>
    </w:p>
    <w:p w:rsidR="00A31137" w:rsidRPr="00A31137" w:rsidRDefault="00A31137" w:rsidP="00A31137">
      <w:r w:rsidRPr="00A31137">
        <w:t>We believe that most problems of human making are within the capacity of human ingenuity to solve.</w:t>
      </w:r>
    </w:p>
    <w:p w:rsidR="00A31137" w:rsidRPr="00A31137" w:rsidRDefault="00A31137" w:rsidP="00A31137">
      <w:r w:rsidRPr="00A31137">
        <w:t>1992 Republican Platform, p.1</w:t>
      </w:r>
    </w:p>
    <w:p w:rsidR="00A31137" w:rsidRPr="00A31137" w:rsidRDefault="00A31137" w:rsidP="00A31137">
      <w:r w:rsidRPr="00A31137">
        <w:t>For good reason, millions of new Americans have flocked to our shores: America has always been an opportunity society. Republicans have always believed that economic prosperity comes from individual enterprise, not government programs. We have defended our core principles for 138 years; but never has this country, and the world, been so receptive to our message.</w:t>
      </w:r>
    </w:p>
    <w:p w:rsidR="00A31137" w:rsidRPr="00A31137" w:rsidRDefault="00A31137" w:rsidP="00A31137">
      <w:r w:rsidRPr="00A31137">
        <w:t>1992 Republican Platform, p.1</w:t>
      </w:r>
    </w:p>
    <w:p w:rsidR="00A31137" w:rsidRPr="00A31137" w:rsidRDefault="00A31137" w:rsidP="00A31137">
      <w:r w:rsidRPr="00A31137">
        <w:t>The Fall of the Berlin Wall symbolizes an epochal change in the way people live. More important, it liberates the way people think. We see with new clarity that centralized government bureaucracies created in this century are not the wave of the future. Never again will people trust planners and paper shufflers more than they trust themselves. We all watched as the statue of Soviet hangman Feliks Dzherzhinsky was toppled in front of Moscow' s KGB headquarters by the very people his evil empire sought to enslave. Its sightless eyes symbolized the moral blindness of totalitarians around the world. They could never see the indomitable spirit of people determined to be free from government control—free to build a better future with their own heads, hands, and hearts.</w:t>
      </w:r>
    </w:p>
    <w:p w:rsidR="00A31137" w:rsidRPr="00A31137" w:rsidRDefault="00A31137" w:rsidP="00A31137">
      <w:r w:rsidRPr="00A31137">
        <w:t>1992 Republican Platform, p.1</w:t>
      </w:r>
    </w:p>
    <w:p w:rsidR="00A31137" w:rsidRPr="00A31137" w:rsidRDefault="00A31137" w:rsidP="00A31137">
      <w:r w:rsidRPr="00A31137">
        <w:t>We Republicans saw clearly the dangers of collectivism: not only the military threat, but the deeper threat to the souls of people bound in dependence. Here at home, we warned against Big Government, because we knew concentrated decisionmaking, no matter how well-intentioned, was a danger to liberty and prosperity. Republicans stood at the rampart of freedom, defending the individual against the domineering state. While we did not always prevail, we always stood our ground, faithful to our principles and confident of history's ultimate verdict.</w:t>
      </w:r>
    </w:p>
    <w:p w:rsidR="00A31137" w:rsidRPr="00A31137" w:rsidRDefault="00A31137" w:rsidP="00A31137">
      <w:r w:rsidRPr="00A31137">
        <w:t>1992 Republican Platform, p.1</w:t>
      </w:r>
    </w:p>
    <w:p w:rsidR="00A31137" w:rsidRPr="00A31137" w:rsidRDefault="00A31137" w:rsidP="00A31137">
      <w:r w:rsidRPr="00A31137">
        <w:t>Our opponents declared that the dogmas of the Left were the final and victorious faith. From kremlins and ivory towers, their planners proclaimed the bureaucratic millennium. But in a tragic century of illusion, Five Year Plans and Great Leaps Forward failed to summon a Brave New World. One hundred and fifty years of slogans and manifestos came crashing down in an ironic cascade of unintended consequences. All that is left are the ruins of a failed scoundrel ideology.</w:t>
      </w:r>
    </w:p>
    <w:p w:rsidR="00A31137" w:rsidRPr="00A31137" w:rsidRDefault="00A31137" w:rsidP="00A31137">
      <w:r w:rsidRPr="00A31137">
        <w:t>1992 Republican Platform, p.1</w:t>
      </w:r>
    </w:p>
    <w:p w:rsidR="00A31137" w:rsidRPr="00A31137" w:rsidRDefault="00A31137" w:rsidP="00A31137">
      <w:r w:rsidRPr="00A31137">
        <w:t>As May Day lapses back into just another spring festival, the Fourth of July emerges as the common holiday of free men and women. Yet, in 1992, when the self-governing individual has overcome the paternalistic state, liberals here at home simply do not get it. Indeed, their party seeks to turn the clock back. But their ideas are old and tired. Like planets still orbiting a dying star, the believers in state power turn their faces to a distant and diminishing light.</w:t>
      </w:r>
    </w:p>
    <w:p w:rsidR="00A31137" w:rsidRPr="00A31137" w:rsidRDefault="00A31137" w:rsidP="00A31137">
      <w:r w:rsidRPr="00A31137">
        <w:t>1992 Republican Platform, p.1</w:t>
      </w:r>
    </w:p>
    <w:p w:rsidR="00A31137" w:rsidRPr="00A31137" w:rsidRDefault="00A31137" w:rsidP="00A31137">
      <w:r w:rsidRPr="00A31137">
        <w:t>The Democrats would revise history to rationalize a return to bigger government, higher taxes, and moral relativism. The Democrat Party has forgotten its origins as a party of work, thrift, and self-reliance. But they have not forgotten their art for dissembling and distortion. The Democrats are trapped in their compact with the ideology of trickle-down government, but they are clever enough to know that the voters would shun them if their true markings were revealed.</w:t>
      </w:r>
    </w:p>
    <w:p w:rsidR="00A31137" w:rsidRPr="00A31137" w:rsidRDefault="00A31137" w:rsidP="00A31137">
      <w:r w:rsidRPr="00A31137">
        <w:t>1992 Republican Platform, p.1</w:t>
      </w:r>
    </w:p>
    <w:p w:rsidR="00A31137" w:rsidRPr="00A31137" w:rsidRDefault="00A31137" w:rsidP="00A31137">
      <w:r w:rsidRPr="00A31137">
        <w:t>America had its rendezvous with destiny in 1980. Faced with crisis at home and abroad, Americans turned to Republican leadership in the White House. Presidents Reagan [p.2] and Bush turned our Nation away from the path of over-taxation, hyper-regulation, and mega-government. Instead, we moved in a new direction. We cut taxes, reduced red tape, put people above bureaucracy. And so we vanquished the idea of the almighty state as the supervisor of our daily lives. In choosing hope over fear, Americans raised a beacon, reminding the world that we are a shining city on a hill, the last best hope for man on earth.</w:t>
      </w:r>
    </w:p>
    <w:p w:rsidR="00A31137" w:rsidRPr="00A31137" w:rsidRDefault="00A31137" w:rsidP="00A31137">
      <w:r w:rsidRPr="00A31137">
        <w:t>1992 Republican Platform, p.2</w:t>
      </w:r>
    </w:p>
    <w:p w:rsidR="00A31137" w:rsidRPr="00A31137" w:rsidRDefault="00A31137" w:rsidP="00A31137">
      <w:r w:rsidRPr="00A31137">
        <w:t>Contrary to statist Democrat propaganda, the American people know that the 1980s were a rising tide, a magnificent decade for freedom and entrepreneurial creativity. We are confident that, knowing this, they will never consciously retreat to the bad old days of tax and spend. Our Platform will clarify the choice before our fellow citizens.</w:t>
      </w:r>
    </w:p>
    <w:p w:rsidR="00A31137" w:rsidRPr="00A31137" w:rsidRDefault="00A31137" w:rsidP="00A31137">
      <w:r w:rsidRPr="00A31137">
        <w:t>1992 Republican Platform, p.2</w:t>
      </w:r>
    </w:p>
    <w:p w:rsidR="00A31137" w:rsidRPr="00A31137" w:rsidRDefault="00A31137" w:rsidP="00A31137">
      <w:r w:rsidRPr="00A31137">
        <w:t>We have learned that ideas do indeed have consequences. Thus, our words are important not for their prose but for what they reveal about the thinking of our President and our Party.</w:t>
      </w:r>
    </w:p>
    <w:p w:rsidR="00A31137" w:rsidRPr="00A31137" w:rsidRDefault="00A31137" w:rsidP="00A31137">
      <w:r w:rsidRPr="00A31137">
        <w:t>1992 Republican Platform, p.2</w:t>
      </w:r>
    </w:p>
    <w:p w:rsidR="00A31137" w:rsidRPr="00A31137" w:rsidRDefault="00A31137" w:rsidP="00A31137">
      <w:r w:rsidRPr="00A31137">
        <w:t>Two years ago, President Bush described the key elements of what be called "our new paradigm," a fresh approach that aims to put new ideas to work in the service of enduring principles—principles we upheld throughout the long twilight struggle, principles George Bush has acted decisively to advance. Thus we honor the Founders and their vision.</w:t>
      </w:r>
    </w:p>
    <w:p w:rsidR="00A31137" w:rsidRPr="00A31137" w:rsidRDefault="00A31137" w:rsidP="00A31137">
      <w:r w:rsidRPr="00A31137">
        <w:t>1992 Republican Platform, p.2</w:t>
      </w:r>
    </w:p>
    <w:p w:rsidR="00A31137" w:rsidRPr="00A31137" w:rsidRDefault="00A31137" w:rsidP="00A31137">
      <w:r w:rsidRPr="00A31137">
        <w:t>Unlike our opponents, we are inspired by a commitment to profound change. Our mission combines timeless beliefs with a positive vision of a vigorous America: prosperous and tolerant, just and compassionate. We believe that individual freedom, hard work, and personal responsibility—basic to free society—are also basic to effective government. We believe in the fundamental goodness of the American people. We believe in traditional family values and in the Judeo-Christian heritage that informs our culture. We believe in the Constitution and its guarantee of color-blind equal opportunity. We believe in free markets. We believe in constructive change, in both true conservatism and true reform. We believe government has a legitimate role to play in our national life, but government must never dominate that life.</w:t>
      </w:r>
    </w:p>
    <w:p w:rsidR="00A31137" w:rsidRPr="00A31137" w:rsidRDefault="00A31137" w:rsidP="00A31137">
      <w:r w:rsidRPr="00A31137">
        <w:t>1992 Republican Platform, p.2</w:t>
      </w:r>
    </w:p>
    <w:p w:rsidR="00A31137" w:rsidRPr="00A31137" w:rsidRDefault="00A31137" w:rsidP="00A31137">
      <w:r w:rsidRPr="00A31137">
        <w:t>While our goals are constant, we are willing to innovate, experiment, and learn. We have learned that bigger is not better, that quantity and quality are different things, that more money does not guarantee better outcomes. We have learned the importance of individual choice—in education, health care, child care—and that bureaucracy is the enemy of initiative and self-reliance. We believe in empowerment, including home ownership for as many as possible. We believe in decentralized authority, and a bottom-line, principled commitment to what works for people.</w:t>
      </w:r>
    </w:p>
    <w:p w:rsidR="00A31137" w:rsidRPr="00A31137" w:rsidRDefault="00A31137" w:rsidP="00A31137">
      <w:r w:rsidRPr="00A31137">
        <w:t>1992 Republican Platform, p.2</w:t>
      </w:r>
    </w:p>
    <w:p w:rsidR="00A31137" w:rsidRPr="00A31137" w:rsidRDefault="00A31137" w:rsidP="00A31137">
      <w:r w:rsidRPr="00A31137">
        <w:t>We believe in the American people: free men and women with faith in God, working for themselves and their families, believing in the value of every human being from the very young to the very old.</w:t>
      </w:r>
    </w:p>
    <w:p w:rsidR="00A31137" w:rsidRPr="00A31137" w:rsidRDefault="00A31137" w:rsidP="00A31137">
      <w:r w:rsidRPr="00A31137">
        <w:t>1992 Republican Platform, p.2</w:t>
      </w:r>
    </w:p>
    <w:p w:rsidR="00A31137" w:rsidRPr="00A31137" w:rsidRDefault="00A31137" w:rsidP="00A31137">
      <w:r w:rsidRPr="00A31137">
        <w:t>We believe the Founders intended Congress to be responsive, flexible, and foresighted. After decades of Democrat misrule, the Congress is none of these things. Dominated by reactionaries, obsessed with the failed policies and stuctures of the past, the Democrat majority displays a "do-nothing" doggedness: they intend to learn nothing and forget nothing. Seeking to build a better America, we seek to elect a better Congress.</w:t>
      </w:r>
    </w:p>
    <w:p w:rsidR="00A31137" w:rsidRPr="00A31137" w:rsidRDefault="00A31137" w:rsidP="00A31137">
      <w:r w:rsidRPr="00A31137">
        <w:t>1992 Republican Platform, p.2</w:t>
      </w:r>
    </w:p>
    <w:p w:rsidR="00A31137" w:rsidRPr="00A31137" w:rsidRDefault="00A31137" w:rsidP="00A31137">
      <w:r w:rsidRPr="00A31137">
        <w:t>Finally, we believe in a President who represents the national interest, not just the aggregation of well-connected special interests; a President who brings unity to the American purpose.</w:t>
      </w:r>
    </w:p>
    <w:p w:rsidR="00A31137" w:rsidRPr="00A31137" w:rsidRDefault="00A31137" w:rsidP="00A31137">
      <w:r w:rsidRPr="00A31137">
        <w:t>1992 Republican Platform, p.2</w:t>
      </w:r>
    </w:p>
    <w:p w:rsidR="00A31137" w:rsidRPr="00A31137" w:rsidRDefault="00A31137" w:rsidP="00A31137">
      <w:r w:rsidRPr="00A31137">
        <w:t>America faces many challenges. Republicans, under the strong leadership of President Bush, are responding with this bold Platform of new ideas that infuses our commitment to individual freedom and market forces with an equal commitment to a decent, just way of life for every American.</w:t>
      </w:r>
    </w:p>
    <w:p w:rsidR="00A31137" w:rsidRPr="00A31137" w:rsidRDefault="00A31137" w:rsidP="00A31137">
      <w:r w:rsidRPr="00A31137">
        <w:t>1992 Republican Platform, p.2</w:t>
      </w:r>
    </w:p>
    <w:p w:rsidR="00A31137" w:rsidRPr="00A31137" w:rsidRDefault="00A31137" w:rsidP="00A31137">
      <w:r w:rsidRPr="00A31137">
        <w:t xml:space="preserve">With a firm faith that the American people will always choose hope over fear, we Republicans dedicate ourselves to this forward-looking agenda for America in the 1990s, transcending old, static ideas with a shared vision of hope, optimism, and opportunity. [p.5] </w:t>
      </w:r>
    </w:p>
    <w:p w:rsidR="00A31137" w:rsidRPr="00A31137" w:rsidRDefault="00A31137" w:rsidP="00A31137">
      <w:r w:rsidRPr="00A31137">
        <w:t>Uniting Our Family</w:t>
      </w:r>
    </w:p>
    <w:p w:rsidR="00A31137" w:rsidRPr="00A31137" w:rsidRDefault="00A31137" w:rsidP="00A31137">
      <w:r w:rsidRPr="00A31137">
        <w:t>1992 Republican Platform, p.5</w:t>
      </w:r>
    </w:p>
    <w:p w:rsidR="00A31137" w:rsidRPr="00A31137" w:rsidRDefault="00A31137" w:rsidP="00A31137">
      <w:r w:rsidRPr="00A31137">
        <w:t>As the family goes, so goes the Nation. Strong families and strong communities make a strong America. An old adage says, "America is great because she is good; if America ceases to be good, she will cease to be great."</w:t>
      </w:r>
    </w:p>
    <w:p w:rsidR="00A31137" w:rsidRPr="00A31137" w:rsidRDefault="00A31137" w:rsidP="00A31137">
      <w:r w:rsidRPr="00A31137">
        <w:t>1992 Republican Platform, p.5</w:t>
      </w:r>
    </w:p>
    <w:p w:rsidR="00A31137" w:rsidRPr="00A31137" w:rsidRDefault="00A31137" w:rsidP="00A31137">
      <w:r w:rsidRPr="00A31137">
        <w:t>Our greatness starts at home—literally. So Republicans believe government should strengthen families, not replace them. Today, more than ever, the traditional family is under assault. We believe our laws should reflect what makes our Nation prosperous and wholesome: faith in God, hard work, service to others, and limited government.</w:t>
      </w:r>
    </w:p>
    <w:p w:rsidR="00A31137" w:rsidRPr="00A31137" w:rsidRDefault="00A31137" w:rsidP="00A31137">
      <w:r w:rsidRPr="00A31137">
        <w:t>1992 Republican Platform, p.5</w:t>
      </w:r>
    </w:p>
    <w:p w:rsidR="00A31137" w:rsidRPr="00A31137" w:rsidRDefault="00A31137" w:rsidP="00A31137">
      <w:r w:rsidRPr="00A31137">
        <w:t>Parents bring reality to these principles when they pass them on to their children. As the Book of Proverbs proclaims, "Train up a child in the way he should go: and when he is old, he will not depart from it."</w:t>
      </w:r>
    </w:p>
    <w:p w:rsidR="00A31137" w:rsidRPr="00A31137" w:rsidRDefault="00A31137" w:rsidP="00A31137">
      <w:r w:rsidRPr="00A31137">
        <w:t>1992 Republican Platform, p.5</w:t>
      </w:r>
    </w:p>
    <w:p w:rsidR="00A31137" w:rsidRPr="00A31137" w:rsidRDefault="00A31137" w:rsidP="00A31137">
      <w:r w:rsidRPr="00A31137">
        <w:t>Imagine the America we could create if all parents taught their children the importance of honesty, work, responsibility, and respect for others. We would have less violence in our homes and streets; less illegal drug use; fewer teen pregnancies forcing girls and boys to be adults before they have graduated from high school. Instead, we would have an America of families, friends, and communities that care about one another.</w:t>
      </w:r>
    </w:p>
    <w:p w:rsidR="00A31137" w:rsidRPr="00A31137" w:rsidRDefault="00A31137" w:rsidP="00A31137">
      <w:r w:rsidRPr="00A31137">
        <w:t>1992 Republican Platform, p.5</w:t>
      </w:r>
    </w:p>
    <w:p w:rsidR="00A31137" w:rsidRPr="00A31137" w:rsidRDefault="00A31137" w:rsidP="00A31137">
      <w:r w:rsidRPr="00A31137">
        <w:t>That kind of future is not a matter of chance; it is a question of personal responsibility. Barbara Bush captured the importance of that stewardship when she said, "At the end of your life you will never regret not having passed one more test, not winning one more verdict, or not closing one more deal. You will regret time not spent with a husband, a child, a friend, or a parent."</w:t>
      </w:r>
    </w:p>
    <w:p w:rsidR="00A31137" w:rsidRPr="00A31137" w:rsidRDefault="00A31137" w:rsidP="00A31137">
      <w:r w:rsidRPr="00A31137">
        <w:t>1992 Republican Platform, p.5</w:t>
      </w:r>
    </w:p>
    <w:p w:rsidR="00A31137" w:rsidRPr="00A31137" w:rsidRDefault="00A31137" w:rsidP="00A31137">
      <w:r w:rsidRPr="00A31137">
        <w:t>The Republican Party has espoused these principles since its founding. Families built on solid, spiritual foundations are central to our Party's inspiration. At this time of great national and global transition, we renew our commitment to these fundamental principles, which will guide our family, our country, our world into the next century.</w:t>
      </w:r>
    </w:p>
    <w:p w:rsidR="00A31137" w:rsidRPr="00A31137" w:rsidRDefault="00A31137" w:rsidP="00A31137">
      <w:r w:rsidRPr="00A31137">
        <w:t>Family: The Home of Freedom</w:t>
      </w:r>
    </w:p>
    <w:p w:rsidR="00A31137" w:rsidRPr="00A31137" w:rsidRDefault="00A31137" w:rsidP="00A31137">
      <w:r w:rsidRPr="00A31137">
        <w:t>1992 Republican Platform, p.5</w:t>
      </w:r>
    </w:p>
    <w:p w:rsidR="00A31137" w:rsidRPr="00A31137" w:rsidRDefault="00A31137" w:rsidP="00A31137">
      <w:r w:rsidRPr="00A31137">
        <w:t>The Rights of the Family. Our national renewal starts with the family. It is where each new generation gains its moral anchor. It is the school of citizenship, the engine of economic progress, a permanent haven when everything is changing.</w:t>
      </w:r>
    </w:p>
    <w:p w:rsidR="00A31137" w:rsidRPr="00A31137" w:rsidRDefault="00A31137" w:rsidP="00A31137">
      <w:r w:rsidRPr="00A31137">
        <w:t>1992 Republican Platform, p.5</w:t>
      </w:r>
    </w:p>
    <w:p w:rsidR="00A31137" w:rsidRPr="00A31137" w:rsidRDefault="00A31137" w:rsidP="00A31137">
      <w:r w:rsidRPr="00A31137">
        <w:t>Change can be good, when it liberates the energy and commitment of family members to build better futures. We welcome change that corrects the mistakes of the past, particularly those at war against the family. For more than [p.6] three decades, the liberal philosophy has assaulted the family on every side.</w:t>
      </w:r>
    </w:p>
    <w:p w:rsidR="00A31137" w:rsidRPr="00A31137" w:rsidRDefault="00A31137" w:rsidP="00A31137">
      <w:r w:rsidRPr="00A31137">
        <w:t>1992 Republican Platform, p.6</w:t>
      </w:r>
    </w:p>
    <w:p w:rsidR="00A31137" w:rsidRPr="00A31137" w:rsidRDefault="00A31137" w:rsidP="00A31137">
      <w:r w:rsidRPr="00A31137">
        <w:t>Today, its more vocal advocates believe children should be able to sue their parents over decisions about schooling, cosmetic surgery, employment, and other family matters. They deny parental authority and responsibility, fracturing the family into isolated individuals, each of them dependent upon—and helpless before—government. This is the ultimate agenda of contemporary socialism under all its masks: to liberate youth from traditional family values by replacing family functions with bureaucratic social services. That is why today's liberal Democrats are hostile toward any institution government cannot control, like private childcare or religious schools.</w:t>
      </w:r>
    </w:p>
    <w:p w:rsidR="00A31137" w:rsidRPr="00A31137" w:rsidRDefault="00A31137" w:rsidP="00A31137">
      <w:r w:rsidRPr="00A31137">
        <w:t>1992 Republican Platform, p.6</w:t>
      </w:r>
    </w:p>
    <w:p w:rsidR="00A31137" w:rsidRPr="00A31137" w:rsidRDefault="00A31137" w:rsidP="00A31137">
      <w:r w:rsidRPr="00A31137">
        <w:t>The Republican Party responds, as it has since 1980, with an unabashed commitment to the family's economic liberty and moral rights. Republicans trust parents and believe they, not courts and lawyers, know what is best for their children. That is why we will work to ensure that the Congress and the States shall enact no law abridging the rights of the family formed by blood, marriage, adoption, or legal custody-rights which are anterior and superior to those of government. Republicans oppose and resist the efforts of the Democrat Party to redefine the traditional American family.</w:t>
      </w:r>
    </w:p>
    <w:p w:rsidR="00A31137" w:rsidRPr="00A31137" w:rsidRDefault="00A31137" w:rsidP="00A31137">
      <w:r w:rsidRPr="00A31137">
        <w:t>1992 Republican Platform, p.6</w:t>
      </w:r>
    </w:p>
    <w:p w:rsidR="00A31137" w:rsidRPr="00A31137" w:rsidRDefault="00A31137" w:rsidP="00A31137">
      <w:r w:rsidRPr="00A31137">
        <w:t>The Right to a Family. Every child deserves a family in a home filled with love and free from abuse. Today, many children do not enjoy that right. We are determined to change that. While government cannot legislate love and compassion, we can provide the leadership to encourage the development of healthy, nurturing families. We applaud the fine example of family values and family virtue as lived by the President and the First Lady.</w:t>
      </w:r>
    </w:p>
    <w:p w:rsidR="00A31137" w:rsidRPr="00A31137" w:rsidRDefault="00A31137" w:rsidP="00A31137">
      <w:r w:rsidRPr="00A31137">
        <w:t>1992 Republican Platform, p.6</w:t>
      </w:r>
    </w:p>
    <w:p w:rsidR="00A31137" w:rsidRPr="00A31137" w:rsidRDefault="00A31137" w:rsidP="00A31137">
      <w:r w:rsidRPr="00A31137">
        <w:t>We will promote whole, caring families by eliminating biases that have crept into our legal and tax codes. We will advance adoption through significant tax credits, insurance reforms, and legal reforms. We encourage adoption for those unprepared or unwilling to bear the emotional, financial, or physical demands of raising a child and will work to revive maternity homes to ensure care for both mothers and babies.</w:t>
      </w:r>
    </w:p>
    <w:p w:rsidR="00A31137" w:rsidRPr="00A31137" w:rsidRDefault="00A31137" w:rsidP="00A31137">
      <w:r w:rsidRPr="00A31137">
        <w:t>1992 Republican Platform, p.6</w:t>
      </w:r>
    </w:p>
    <w:p w:rsidR="00A31137" w:rsidRPr="00A31137" w:rsidRDefault="00A31137" w:rsidP="00A31137">
      <w:r w:rsidRPr="00A31137">
        <w:t>We applaud the commitment of foster care parents who provide family environments for foster care children. We abhor the disgraceful bureaucratic mismanagement of foster care. Big city mayors have spent billions on social service bureaucrats who have lost track of many children. Many have no health records, no real residence, not even the simplest personal possessions. Shuttled from house to house, they lack discipline and identity and are ripe for lives of crime. We are determined to reform this system to help these children.</w:t>
      </w:r>
    </w:p>
    <w:p w:rsidR="00A31137" w:rsidRPr="00A31137" w:rsidRDefault="00A31137" w:rsidP="00A31137">
      <w:r w:rsidRPr="00A31137">
        <w:t>1992 Republican Platform, p.7</w:t>
      </w:r>
    </w:p>
    <w:p w:rsidR="00A31137" w:rsidRPr="00A31137" w:rsidRDefault="00A31137" w:rsidP="00A31137">
      <w:r w:rsidRPr="00A31137">
        <w:t>Broken homes can have a devastating emotional and economic impact [p.7] upon children and are the breeding ground for gang members. We urge State legislatures to explore ways to promote marital stability. Because the intergenerational family is a vital element of social cohesion, we urge greater respect for the rights and the roles of grandparents.</w:t>
      </w:r>
    </w:p>
    <w:p w:rsidR="00A31137" w:rsidRPr="00A31137" w:rsidRDefault="00A31137" w:rsidP="00A31137">
      <w:r w:rsidRPr="00A31137">
        <w:t>1992 Republican Platform, p.7</w:t>
      </w:r>
    </w:p>
    <w:p w:rsidR="00A31137" w:rsidRPr="00A31137" w:rsidRDefault="00A31137" w:rsidP="00A31137">
      <w:r w:rsidRPr="00A31137">
        <w:t>Republicans recognize the importance of having fathers and mothers in the home. The two-parent family still provides the best environment of stability, discipline, responsibility, and character. Documentation shows that where the father has deserted his family, children are more likely to commit a crime, to drop out of school, to become violent, to become teen parents, to take illegal drugs, to become enmired in poverty, or to have emotional or behavioral problems. We support the courageous efforts of single-parent families to have a stable home.</w:t>
      </w:r>
    </w:p>
    <w:p w:rsidR="00A31137" w:rsidRPr="00A31137" w:rsidRDefault="00A31137" w:rsidP="00A31137">
      <w:r w:rsidRPr="00A31137">
        <w:t>1992 Republican Platform, p.7</w:t>
      </w:r>
    </w:p>
    <w:p w:rsidR="00A31137" w:rsidRPr="00A31137" w:rsidRDefault="00A31137" w:rsidP="00A31137">
      <w:r w:rsidRPr="00A31137">
        <w:t>Caring for Children. George Bush secured the American family's most important victory of the last four years: his child care bill. He won landmark legislation—a voucher system for low-income households, allowing parents to choose what's best for their children, including care given by neighbors or churches. The Democrat Party opposed that legislation and instead sought government control of childcare and fewer choices for parents.</w:t>
      </w:r>
    </w:p>
    <w:p w:rsidR="00A31137" w:rsidRPr="00A31137" w:rsidRDefault="00A31137" w:rsidP="00A31137">
      <w:r w:rsidRPr="00A31137">
        <w:t>1992 Republican Platform, p.7</w:t>
      </w:r>
    </w:p>
    <w:p w:rsidR="00A31137" w:rsidRPr="00A31137" w:rsidRDefault="00A31137" w:rsidP="00A31137">
      <w:r w:rsidRPr="00A31137">
        <w:t>The President also advanced equity for families that forego a second income to care for their children at home through his Young Child Tax Credit. Congressional Democrats are already trying to repeal it.</w:t>
      </w:r>
    </w:p>
    <w:p w:rsidR="00A31137" w:rsidRPr="00A31137" w:rsidRDefault="00A31137" w:rsidP="00A31137">
      <w:r w:rsidRPr="00A31137">
        <w:t>1992 Republican Platform, p.7</w:t>
      </w:r>
    </w:p>
    <w:p w:rsidR="00A31137" w:rsidRPr="00A31137" w:rsidRDefault="00A31137" w:rsidP="00A31137">
      <w:r w:rsidRPr="00A31137">
        <w:t>The demands of employment and commuting often make it hard for parents to spend time with their children. Republicans advocate maximum flexibility in working and child care arrangements so that families can make the most of their schedules. We support pro-family policies: job sharing, telecommuting, compressed work weeks, parental leave negotiated between employer and employees, and flextime. We reject the Democrats' one-size-fits-all approach that puts mandates on employers and takes choices away from employees.</w:t>
      </w:r>
    </w:p>
    <w:p w:rsidR="00A31137" w:rsidRPr="00A31137" w:rsidRDefault="00A31137" w:rsidP="00A31137">
      <w:r w:rsidRPr="00A31137">
        <w:t>1992 Republican Platform, p.7</w:t>
      </w:r>
    </w:p>
    <w:p w:rsidR="00A31137" w:rsidRPr="00A31137" w:rsidRDefault="00A31137" w:rsidP="00A31137">
      <w:r w:rsidRPr="00A31137">
        <w:t>Most parents prefer in-home care of their children but often encounter government obstacles. Republicans will promote in-home care by allowing payment annually, instead of quarterly, of income taxes by employees and withholding taxes by employers. Our proposals for tort reform, now blocked by the Democrat Congress, will prevent excessive litigation that hampers the growth of child care opportunities. By taking care of our children, we are taking care of our future.</w:t>
      </w:r>
    </w:p>
    <w:p w:rsidR="00A31137" w:rsidRPr="00A31137" w:rsidRDefault="00A31137" w:rsidP="00A31137">
      <w:r w:rsidRPr="00A31137">
        <w:t>1992 Republican Platform, p.7</w:t>
      </w:r>
    </w:p>
    <w:p w:rsidR="00A31137" w:rsidRPr="00A31137" w:rsidRDefault="00A31137" w:rsidP="00A31137">
      <w:r w:rsidRPr="00A31137">
        <w:t>Family Security. Over the last several decades, liberal Democrats have increasingly shifted economic burdens onto the American family. Indeed, the liberal [p.8] Democrat tax-and-spend policies have forced millions of women into the workplace just to make ends meet. Because of their policies in Congress, fathers and mothers have a tougher time bringing home what they work so hard for.</w:t>
      </w:r>
    </w:p>
    <w:p w:rsidR="00A31137" w:rsidRPr="00A31137" w:rsidRDefault="00A31137" w:rsidP="00A31137">
      <w:r w:rsidRPr="00A31137">
        <w:t>1992 Republican Platform, p.8</w:t>
      </w:r>
    </w:p>
    <w:p w:rsidR="00A31137" w:rsidRPr="00A31137" w:rsidRDefault="00A31137" w:rsidP="00A31137">
      <w:r w:rsidRPr="00A31137">
        <w:t>Between 1948 and 1990, under the Democrat-controlled Congress for most of those years, federal taxes on the average family of four rose from two percent to 24 percent of income. When State and local levies are included, the tax burden exceeds one-third of family income. The increase in the effective federal tax rate since 1950 has now swallowed up an ever-increasing share of a family's earnings. Instead of working to improve their family's standard of living, they must work to feed government's gluttonous appetite.</w:t>
      </w:r>
    </w:p>
    <w:p w:rsidR="00A31137" w:rsidRPr="00A31137" w:rsidRDefault="00A31137" w:rsidP="00A31137">
      <w:r w:rsidRPr="00A31137">
        <w:t>1992 Republican Platform, p.8</w:t>
      </w:r>
    </w:p>
    <w:p w:rsidR="00A31137" w:rsidRPr="00A31137" w:rsidRDefault="00A31137" w:rsidP="00A31137">
      <w:r w:rsidRPr="00A31137">
        <w:t>This is a scandal. In the 1980s, two Republican Presidents kept Democrats from making matters worse. Presidents Reagan and Bush led the way to increase the personal exemption for dependents. We pledge to go farther to restore the value, as a percentage of average household income, it had 50 years ago. The value of the dependent deduction has eroded to a fraction of its original worth to families. Republicans call for a complete restoration, in real dollars, to its original value. Rather than fatten government bureaucracies with new programs to "help" families, we want to expand the Young Child Tax Credit to $500 per child and make it available to all families with children under the age of ten.</w:t>
      </w:r>
    </w:p>
    <w:p w:rsidR="00A31137" w:rsidRPr="00A31137" w:rsidRDefault="00A31137" w:rsidP="00A31137">
      <w:r w:rsidRPr="00A31137">
        <w:t>1992 Republican Platform, p.8</w:t>
      </w:r>
    </w:p>
    <w:p w:rsidR="00A31137" w:rsidRPr="00A31137" w:rsidRDefault="00A31137" w:rsidP="00A31137">
      <w:r w:rsidRPr="00A31137">
        <w:t>When the Democrats establish tax policy that makes marriage more expensive than living together, they discourage traditional commitment and stable home life. We will remove the marriage penalty in the tax code, so a married couple will receive as large a standard deduction as their unmarried counterparts. Together, these changes will empower parents to care for their families in a way public services never can.</w:t>
      </w:r>
    </w:p>
    <w:p w:rsidR="00A31137" w:rsidRPr="00A31137" w:rsidRDefault="00A31137" w:rsidP="00A31137">
      <w:r w:rsidRPr="00A31137">
        <w:t>1992 Republican Platform, p.8</w:t>
      </w:r>
    </w:p>
    <w:p w:rsidR="00A31137" w:rsidRPr="00A31137" w:rsidRDefault="00A31137" w:rsidP="00A31137">
      <w:r w:rsidRPr="00A31137">
        <w:t>Achieving Educational Excellence. In the earliest American communities, pioneers would establish a church, then a school. Parents wanted their children to have the best possible education, to learn what they needed to know to make a better life. Virtually every newly arrived immigrant family thought of education as the American way from the back to the front of the line. Americans have come to believe that only a country that successfully educates its sons and daughters can count on a strong, competitive economy, a vibrant culture, and a solid civic life.</w:t>
      </w:r>
    </w:p>
    <w:p w:rsidR="00A31137" w:rsidRPr="00A31137" w:rsidRDefault="00A31137" w:rsidP="00A31137">
      <w:r w:rsidRPr="00A31137">
        <w:t>1992 Republican Platform, p.8</w:t>
      </w:r>
    </w:p>
    <w:p w:rsidR="00A31137" w:rsidRPr="00A31137" w:rsidRDefault="00A31137" w:rsidP="00A31137">
      <w:r w:rsidRPr="00A31137">
        <w:t>As a result of this popular demand for education, Americans have created the most extensive and widely accessible educational system in the world. The people have insisted that primary responsibility for education properly remain with families, communities, and States, although, from early times, the national government has played a role in encouraging innovation and access. In the 18th century, the Northwest Ordinance assured that school bells would ring amid frontier forests. In the 19th century, President Lincoln signed the Morrill Act [p.9] establishing 50 land-grant colleges. In the 20th century, President Eisenhower signed the National Defense Education Act, providing millions with a chance at higher education; and President Nixon signed legislation that today provides federal grants and loans to half our full-time college students. In the 21st century, the promotion of educational excellence will be more crucial than ever before in our Nation's history.</w:t>
      </w:r>
    </w:p>
    <w:p w:rsidR="00A31137" w:rsidRPr="00A31137" w:rsidRDefault="00A31137" w:rsidP="00A31137">
      <w:r w:rsidRPr="00A31137">
        <w:t>1992 Republican Platform, p.9</w:t>
      </w:r>
    </w:p>
    <w:p w:rsidR="00A31137" w:rsidRPr="00A31137" w:rsidRDefault="00A31137" w:rsidP="00A31137">
      <w:r w:rsidRPr="00A31137">
        <w:t>Recognizing what every parent knows, that our current educational system is not educating our children, President Bush is leading an education revolution. We applaud the President's bold vision to change radically our education system. Our parents want it, our communities want it, our States want it, and our children want it—but the Democrat leadership in the House and the Senate continue to thwart the will of the American people for radical change in the way we educate our children.</w:t>
      </w:r>
    </w:p>
    <w:p w:rsidR="00A31137" w:rsidRPr="00A31137" w:rsidRDefault="00A31137" w:rsidP="00A31137">
      <w:r w:rsidRPr="00A31137">
        <w:t>1992 Republican Platform, p.9</w:t>
      </w:r>
    </w:p>
    <w:p w:rsidR="00A31137" w:rsidRPr="00A31137" w:rsidRDefault="00A31137" w:rsidP="00A31137">
      <w:r w:rsidRPr="00A31137">
        <w:t>The Republican strategy is based on sound principle. Parents have the right to choose the best school for their children. Schools should teach right from wrong. Schools should reinforce parental authority, not replace it. We should increase flexibility from federal regulation. We should explore a new generation of break-the-mold New American Schools. Standards and assessments should be raised, not reduced to a lowest common denominator. Communities should be empowered to find what works. The pursuit of excellence in education is a fundamental goal. Good teachers should be rewarded for teaching well. Alternative certification can bring desperately-needed new people into the teaching profession. America needs public, private, and parochial schools.</w:t>
      </w:r>
    </w:p>
    <w:p w:rsidR="00A31137" w:rsidRPr="00A31137" w:rsidRDefault="00A31137" w:rsidP="00A31137">
      <w:r w:rsidRPr="00A31137">
        <w:t>1992 Republican Platform, p.9</w:t>
      </w:r>
    </w:p>
    <w:p w:rsidR="00A31137" w:rsidRPr="00A31137" w:rsidRDefault="00A31137" w:rsidP="00A31137">
      <w:r w:rsidRPr="00A31137">
        <w:t>Education is a joint responsibility of the individual, the family, and the community. Parents are the first and most important teachers of their children. They should have the right not only to participate in their child's education, but to choose for their children among the broadest array of educational choices, without regard to their income. We also support the right of parents to provide quality education through home-based schools.</w:t>
      </w:r>
    </w:p>
    <w:p w:rsidR="00A31137" w:rsidRPr="00A31137" w:rsidRDefault="00A31137" w:rsidP="00A31137">
      <w:r w:rsidRPr="00A31137">
        <w:t>1992 Republican Platform, p.9</w:t>
      </w:r>
    </w:p>
    <w:p w:rsidR="00A31137" w:rsidRPr="00A31137" w:rsidRDefault="00A31137" w:rsidP="00A31137">
      <w:r w:rsidRPr="00A31137">
        <w:t>The Bush Administration has sent to Congress several legislative proposals embodying these principles. The proposals, in spite of the fact that 1500 communities across the Nation have developed local committees to support them through the AMERICA 2000 strategy, languish in the Democrat Congress. And they are opposed by special interest unions which have a power-grip on the failed policies of the past.</w:t>
      </w:r>
    </w:p>
    <w:p w:rsidR="00A31137" w:rsidRPr="00A31137" w:rsidRDefault="00A31137" w:rsidP="00A31137">
      <w:r w:rsidRPr="00A31137">
        <w:t>1992 Republican Platform, p.9</w:t>
      </w:r>
    </w:p>
    <w:p w:rsidR="00A31137" w:rsidRPr="00A31137" w:rsidRDefault="00A31137" w:rsidP="00A31137">
      <w:r w:rsidRPr="00A31137">
        <w:t>Improving America by Improving our Schools. For America to maintain her preeminence into the next century, our educational system must be revolutionized. Too many schools still teach in an outdated manner. Too many government and union rules have burdened our schools. And too much influence by lobbyists [p.10] has blocked true reform. Even the most inspiring teachers are working within a system that stymies their creativity and fails to challenge their students.</w:t>
      </w:r>
    </w:p>
    <w:p w:rsidR="00A31137" w:rsidRPr="00A31137" w:rsidRDefault="00A31137" w:rsidP="00A31137">
      <w:r w:rsidRPr="00A31137">
        <w:t>1992 Republican Platform, p.10</w:t>
      </w:r>
    </w:p>
    <w:p w:rsidR="00A31137" w:rsidRPr="00A31137" w:rsidRDefault="00A31137" w:rsidP="00A31137">
      <w:r w:rsidRPr="00A31137">
        <w:t>Creating the Best Schools in the World. We applaud President Bush's consistent and determined leadership in setting a new direction for American education. Our overriding purpose is clear: to create the best schools in the world for our children by the turn of the century.</w:t>
      </w:r>
    </w:p>
    <w:p w:rsidR="00A31137" w:rsidRPr="00A31137" w:rsidRDefault="00A31137" w:rsidP="00A31137">
      <w:r w:rsidRPr="00A31137">
        <w:t>1992 Republican Platform, p.10</w:t>
      </w:r>
    </w:p>
    <w:p w:rsidR="00A31137" w:rsidRPr="00A31137" w:rsidRDefault="00A31137" w:rsidP="00A31137">
      <w:r w:rsidRPr="00A31137">
        <w:t>To do so, the President has established a bold strategy, AMERICA 2000, which challenges communities in every State to take charge to achieve our ambitious national education goals. The success of AMERICA 2000 will depend upon the local community, where implementation and ultimate responsibility rest.</w:t>
      </w:r>
    </w:p>
    <w:p w:rsidR="00A31137" w:rsidRPr="00A31137" w:rsidRDefault="00A31137" w:rsidP="00A31137">
      <w:r w:rsidRPr="00A31137">
        <w:t>1992 Republican Platform, p.10</w:t>
      </w:r>
    </w:p>
    <w:p w:rsidR="00A31137" w:rsidRPr="00A31137" w:rsidRDefault="00A31137" w:rsidP="00A31137">
      <w:r w:rsidRPr="00A31137">
        <w:t>We have seen real progress. Perhaps most important, though, is that President Bush has fostered a national debate on education that has challenged every American to get involved. He has called forth American traits of ingenuity and ambition to create better lives for our children. As a result, a new generation of break-the-mold New American Schools is taking shape. New and tougher standards and assessments are being established for what our children should know. The number of strings attached to federal school aid is being reduced.</w:t>
      </w:r>
    </w:p>
    <w:p w:rsidR="00A31137" w:rsidRPr="00A31137" w:rsidRDefault="00A31137" w:rsidP="00A31137">
      <w:r w:rsidRPr="00A31137">
        <w:t>1992 Republican Platform, p.10</w:t>
      </w:r>
    </w:p>
    <w:p w:rsidR="00A31137" w:rsidRPr="00A31137" w:rsidRDefault="00A31137" w:rsidP="00A31137">
      <w:r w:rsidRPr="00A31137">
        <w:t>The President has shown unprecedented leadership for the most important education goal of all: helping middle and low income families enjoy the same choice of schools—public, private, or religious—that families with more resources already have. The President's proposed "GI Bill for Children" will provide $1,000 scholarships to middle and low income families, enabling their children to attend the school of their choice. This innovative plan will not only drive schools to excel as they compete, but will also give every parent consumer power to obtain an excellent education for his or her child.</w:t>
      </w:r>
    </w:p>
    <w:p w:rsidR="00A31137" w:rsidRPr="00A31137" w:rsidRDefault="00A31137" w:rsidP="00A31137">
      <w:r w:rsidRPr="00A31137">
        <w:t>1992 Republican Platform, p.10</w:t>
      </w:r>
    </w:p>
    <w:p w:rsidR="00A31137" w:rsidRPr="00A31137" w:rsidRDefault="00A31137" w:rsidP="00A31137">
      <w:r w:rsidRPr="00A31137">
        <w:t>Republican leadership has nearly doubled funds for Head Start, making it possible, for the first time, for all eligible four-year-olds to participate, should their parents choose to enroll them. The Bush Administration has put a college education within reach of millions more students, young and old. The President has proposed allowing families to deduct the interest they pay on student loans, and penalty-free withdrawal of IRA funds for educational expenses.</w:t>
      </w:r>
    </w:p>
    <w:p w:rsidR="00A31137" w:rsidRPr="00A31137" w:rsidRDefault="00A31137" w:rsidP="00A31137">
      <w:r w:rsidRPr="00A31137">
        <w:t>1992 Republican Platform, p.10</w:t>
      </w:r>
    </w:p>
    <w:p w:rsidR="00A31137" w:rsidRPr="00A31137" w:rsidRDefault="00A31137" w:rsidP="00A31137">
      <w:r w:rsidRPr="00A31137">
        <w:t>Ensuring High Standards in Knowledge and Skills. For America to compete in a world where 85 percent of all jobs will require high skills, we believe that students not planning to attend college need better opportunities. America's college graduates set the world pace for knowledge and skills. But we also have a strong commitment to the "forgotten half" of the students in our schools, students who will graduate from high school ill-prepared for work. We must [p.11] must build a well-educated, high-skills workforce to ensure a new century of prosperity for America.</w:t>
      </w:r>
    </w:p>
    <w:p w:rsidR="00A31137" w:rsidRPr="00A31137" w:rsidRDefault="00A31137" w:rsidP="00A31137">
      <w:r w:rsidRPr="00A31137">
        <w:t>1992 Republican Platform, p.11</w:t>
      </w:r>
    </w:p>
    <w:p w:rsidR="00A31137" w:rsidRPr="00A31137" w:rsidRDefault="00A31137" w:rsidP="00A31137">
      <w:r w:rsidRPr="00A31137">
        <w:t>The President has developed a sweeping youth apprenticeship strategy to meet this goal. His plan will ensure that students meet the high standards demanded of all high school students, while training them with a skill as well. We strongly support youth apprenticeships that include a year of college, to encourage a lifetime of learning and opportunity for students.</w:t>
      </w:r>
    </w:p>
    <w:p w:rsidR="00A31137" w:rsidRPr="00A31137" w:rsidRDefault="00A31137" w:rsidP="00A31137">
      <w:r w:rsidRPr="00A31137">
        <w:t>1992 Republican Platform, p.11</w:t>
      </w:r>
    </w:p>
    <w:p w:rsidR="00A31137" w:rsidRPr="00A31137" w:rsidRDefault="00A31137" w:rsidP="00A31137">
      <w:r w:rsidRPr="00A31137">
        <w:t>Our Educational Beliefs. We are confident that the United States can, by the end of this decade, reach the six national education goals that President Bush and the Nation's Governors have established: that all children should arrive at school ready to learn; that high school graduation rates should be at least 90 per cent; that all children should learn challenging subject matter and become responsible citizens; that American children should be first in the world in math and science; that there must be a literate and skilled workforce; and that schools must be disciplined and free of drugs and violence.</w:t>
      </w:r>
    </w:p>
    <w:p w:rsidR="00A31137" w:rsidRPr="00A31137" w:rsidRDefault="00A31137" w:rsidP="00A31137">
      <w:r w:rsidRPr="00A31137">
        <w:t>1992 Republican Platform, p.11</w:t>
      </w:r>
    </w:p>
    <w:p w:rsidR="00A31137" w:rsidRPr="00A31137" w:rsidRDefault="00A31137" w:rsidP="00A31137">
      <w:r w:rsidRPr="00A31137">
        <w:t>We have an uncompromising commitment to improve public education—which means assuring that our schools produce well-educated, responsible citizens—not the maintenance of a government monopoly over the means of educating. American families must be given choice in education. We value the important role played by our private, independent, and parochial schools, colleges, and universities. We believe that their quality is best encouraged by minimizing government regulation.</w:t>
      </w:r>
    </w:p>
    <w:p w:rsidR="00A31137" w:rsidRPr="00A31137" w:rsidRDefault="00A31137" w:rsidP="00A31137">
      <w:r w:rsidRPr="00A31137">
        <w:t>1992 Republican Platform, p.11</w:t>
      </w:r>
    </w:p>
    <w:p w:rsidR="00A31137" w:rsidRPr="00A31137" w:rsidRDefault="00A31137" w:rsidP="00A31137">
      <w:r w:rsidRPr="00A31137">
        <w:t>We believe distance learning is a valuable tool in the fight to bring equal educational opportunity to every student regardless of wealth or geographic location. Distance learning provides students access to the vast educational resources of our Nation.</w:t>
      </w:r>
    </w:p>
    <w:p w:rsidR="00A31137" w:rsidRPr="00A31137" w:rsidRDefault="00A31137" w:rsidP="00A31137">
      <w:r w:rsidRPr="00A31137">
        <w:t>1992 Republican Platform, p.11</w:t>
      </w:r>
    </w:p>
    <w:p w:rsidR="00A31137" w:rsidRPr="00A31137" w:rsidRDefault="00A31137" w:rsidP="00A31137">
      <w:r w:rsidRPr="00A31137">
        <w:t>We encourage the use of modern technology to meet the goal of educational excellence. We support policies that provide access for all instructional and educational programmers to permit them to provide the greatest choice of programming and material to schools and teachers. We also support policies which will encourage the use of all advanced technologies for the delivery of educational and instructional programming in order to give schools and teachers the greatest flexibility in providing creative and innovative instruction. We encourage local school boards to ensure review of these materials by parents and educators.</w:t>
      </w:r>
    </w:p>
    <w:p w:rsidR="00A31137" w:rsidRPr="00A31137" w:rsidRDefault="00A31137" w:rsidP="00A31137">
      <w:r w:rsidRPr="00A31137">
        <w:t>1992 Republican Platform, p.11</w:t>
      </w:r>
    </w:p>
    <w:p w:rsidR="00A31137" w:rsidRPr="00A31137" w:rsidRDefault="00A31137" w:rsidP="00A31137">
      <w:r w:rsidRPr="00A31137">
        <w:t>We support efforts to open the teaching profession by reforming the certification system now barring many talented men and women from the classroom.</w:t>
      </w:r>
    </w:p>
    <w:p w:rsidR="00A31137" w:rsidRPr="00A31137" w:rsidRDefault="00A31137" w:rsidP="00A31137">
      <w:r w:rsidRPr="00A31137">
        <w:t>1992 Republican Platform, p.12</w:t>
      </w:r>
    </w:p>
    <w:p w:rsidR="00A31137" w:rsidRPr="00A31137" w:rsidRDefault="00A31137" w:rsidP="00A31137">
      <w:r w:rsidRPr="00A31137">
        <w:t>[p.12] Schools should be—as they have been traditionally—academic institutions. Families and communities err when by neglect or design they transfer to the school responsibilities that belong in the home and in the community. Schools were created to help and strengthen families, not to undermine or substitute for them.</w:t>
      </w:r>
    </w:p>
    <w:p w:rsidR="00A31137" w:rsidRPr="00A31137" w:rsidRDefault="00A31137" w:rsidP="00A31137">
      <w:r w:rsidRPr="00A31137">
        <w:t>1992 Republican Platform, p.12</w:t>
      </w:r>
    </w:p>
    <w:p w:rsidR="00A31137" w:rsidRPr="00A31137" w:rsidRDefault="00A31137" w:rsidP="00A31137">
      <w:r w:rsidRPr="00A31137">
        <w:t>Accordingly, we oppose programs in public schools that provide birth control or abortion services or referrals. Instead, we encourage abstinence education programs with proven track records in protecting youth from disease, pregnancy, and drug use.</w:t>
      </w:r>
    </w:p>
    <w:p w:rsidR="00A31137" w:rsidRPr="00A31137" w:rsidRDefault="00A31137" w:rsidP="00A31137">
      <w:r w:rsidRPr="00A31137">
        <w:t>1992 Republican Platform, p.12</w:t>
      </w:r>
    </w:p>
    <w:p w:rsidR="00A31137" w:rsidRPr="00A31137" w:rsidRDefault="00A31137" w:rsidP="00A31137">
      <w:r w:rsidRPr="00A31137">
        <w:t>The critical public mission in education is to set tough, clear standards of achievement and ensure that those who educate our children are accountable for meeting them. This is not just a matter of plans or dollars. Competency testing and merit pay for teachers are essential elements of such accountability.</w:t>
      </w:r>
    </w:p>
    <w:p w:rsidR="00A31137" w:rsidRPr="00A31137" w:rsidRDefault="00A31137" w:rsidP="00A31137">
      <w:r w:rsidRPr="00A31137">
        <w:t>1992 Republican Platform, p.12</w:t>
      </w:r>
    </w:p>
    <w:p w:rsidR="00A31137" w:rsidRPr="00A31137" w:rsidRDefault="00A31137" w:rsidP="00A31137">
      <w:r w:rsidRPr="00A31137">
        <w:t>We are proud of our many dedicated, professional teachers and educators who have committed their lives to educating America's children. We also believe that powerful unions and liberal special interest groups should not be the driving force in education reform.</w:t>
      </w:r>
    </w:p>
    <w:p w:rsidR="00A31137" w:rsidRPr="00A31137" w:rsidRDefault="00A31137" w:rsidP="00A31137">
      <w:r w:rsidRPr="00A31137">
        <w:t>1992 Republican Platform, p.12</w:t>
      </w:r>
    </w:p>
    <w:p w:rsidR="00A31137" w:rsidRPr="00A31137" w:rsidRDefault="00A31137" w:rsidP="00A31137">
      <w:r w:rsidRPr="00A31137">
        <w:t>Just as spiritual principles—our moral compass—help guide public policy, learning must have a moral basis. America must remain neutral toward particular religions, but we must not remain neutral toward religion itself or the values religion supports. Mindful of our country's Judeo-Christian heritage and rich religious pluralism, we support the right of students to engage in voluntary prayer in schools and the right of the community to do so at commencements or other occasions. We will strongly enforce the law guaranteeing equal access to school facilities. We also advocate recitation of the Pledge of Allegiance in schools as a reminder of the principles that sustain us as one Nation under God.</w:t>
      </w:r>
    </w:p>
    <w:p w:rsidR="00A31137" w:rsidRPr="00A31137" w:rsidRDefault="00A31137" w:rsidP="00A31137">
      <w:r w:rsidRPr="00A31137">
        <w:t>1992 Republican Platform, p.12</w:t>
      </w:r>
    </w:p>
    <w:p w:rsidR="00A31137" w:rsidRPr="00A31137" w:rsidRDefault="00A31137" w:rsidP="00A31137">
      <w:r w:rsidRPr="00A31137">
        <w:t>Our ambitious vision for America works, however, only in a society of well-educated citizens. The Democrat Party, beholden to the special interests who resist change, can never accomplish the improvements in education which our schools and our children so desperately need. Indeed, they have no plan. The Republican Party has started an education revolution. We have presented a detailed plan which is even now becoming reality. The future of our Nation demands no less. The President is leading the country on an education crusade, a crusade the American people have joined.</w:t>
      </w:r>
    </w:p>
    <w:p w:rsidR="00A31137" w:rsidRPr="00A31137" w:rsidRDefault="00A31137" w:rsidP="00A31137">
      <w:r w:rsidRPr="00A31137">
        <w:t>1992 Republican Platform, p.12</w:t>
      </w:r>
    </w:p>
    <w:p w:rsidR="00A31137" w:rsidRPr="00A31137" w:rsidRDefault="00A31137" w:rsidP="00A31137">
      <w:r w:rsidRPr="00A31137">
        <w:t>For Healthier Families:Promote Health, Prevent Disease, Reform Health Care. Americans receive the finest medical care in the world. We have the best health care providers, the best hospitals, and the best medical technology. People come here from Canada, from Europe, from every part of the globe, to seek [p.13] procedures and treatments that are either unavailable or strictly rationed in their home countries.</w:t>
      </w:r>
    </w:p>
    <w:p w:rsidR="00A31137" w:rsidRPr="00A31137" w:rsidRDefault="00A31137" w:rsidP="00A31137">
      <w:r w:rsidRPr="00A31137">
        <w:t>1992 Republican Platform, p.13</w:t>
      </w:r>
    </w:p>
    <w:p w:rsidR="00A31137" w:rsidRPr="00A31137" w:rsidRDefault="00A31137" w:rsidP="00A31137">
      <w:r w:rsidRPr="00A31137">
        <w:t>But we must do better. Costs are soaring. Many Americans, responsible for children and aging parents, worry about the quality and price of care. The 1992 election presents all of us with a clear choice. Democrats want a costly, coercive system, imported from abroad, with a budget set by Congress and policies set by bureaucrats. That is a prescription for misery. It would imperil jobs, require billions in new taxes, lower the quality of health care overall, drive health care providers out of the profession, and result in rationing.</w:t>
      </w:r>
    </w:p>
    <w:p w:rsidR="00A31137" w:rsidRPr="00A31137" w:rsidRDefault="00A31137" w:rsidP="00A31137">
      <w:r w:rsidRPr="00A31137">
        <w:t>1992 Republican Platform, p.13</w:t>
      </w:r>
    </w:p>
    <w:p w:rsidR="00A31137" w:rsidRPr="00A31137" w:rsidRDefault="00A31137" w:rsidP="00A31137">
      <w:r w:rsidRPr="00A31137">
        <w:t>The congressional Democrats' health care reform proposal would exclude themselves from coverage under their own program. They refuse to live with the scheme they are trying to force on the rest of the country.</w:t>
      </w:r>
    </w:p>
    <w:p w:rsidR="00A31137" w:rsidRPr="00A31137" w:rsidRDefault="00A31137" w:rsidP="00A31137">
      <w:r w:rsidRPr="00A31137">
        <w:t>1992 Republican Platform, p.13</w:t>
      </w:r>
    </w:p>
    <w:p w:rsidR="00A31137" w:rsidRPr="00A31137" w:rsidRDefault="00A31137" w:rsidP="00A31137">
      <w:r w:rsidRPr="00A31137">
        <w:t>Republicans believe government control of health care is irresponsible and ineffective. We believe health care choices should remain in the hands of the people, not government bureaucrats. This issue truly represents a fundamental difference between the two parties.</w:t>
      </w:r>
    </w:p>
    <w:p w:rsidR="00A31137" w:rsidRPr="00A31137" w:rsidRDefault="00A31137" w:rsidP="00A31137">
      <w:r w:rsidRPr="00A31137">
        <w:t>1992 Republican Platform, p.13</w:t>
      </w:r>
    </w:p>
    <w:p w:rsidR="00A31137" w:rsidRPr="00A31137" w:rsidRDefault="00A31137" w:rsidP="00A31137">
      <w:r w:rsidRPr="00A31137">
        <w:t>We endorse President Bush's comprehensive health care plan, which solves the two major problems of the current system—access and affordability—while preserving the high quality care Americans now enjoy. The President' s plan will make health care more affordable through tax credits and deductions that will offset insurance costs for 95 million Americans; and make health care more accessible, especially for small businesses, by reducing insurance costs and eliminating workers' worries of losing insurance if they change jobs. This plan will expand access to health care by:</w:t>
      </w:r>
    </w:p>
    <w:p w:rsidR="00A31137" w:rsidRPr="00A31137" w:rsidRDefault="00A31137" w:rsidP="00A31137">
      <w:r w:rsidRPr="00A31137">
        <w:t>•</w:t>
      </w:r>
      <w:r w:rsidRPr="00A31137">
        <w:tab/>
        <w:t>Creating new tax credits and deductions to help low-and middle-income Americans. These tax credits would be available in the form of vouchers for low-income people who work.</w:t>
      </w:r>
    </w:p>
    <w:p w:rsidR="00A31137" w:rsidRPr="00A31137" w:rsidRDefault="00A31137" w:rsidP="00A31137">
      <w:r w:rsidRPr="00A31137">
        <w:t>•</w:t>
      </w:r>
      <w:r w:rsidRPr="00A31137">
        <w:tab/>
        <w:t>Providing insurance security for working Americans by requiring insurers to cover preexisting conditions.</w:t>
      </w:r>
    </w:p>
    <w:p w:rsidR="00A31137" w:rsidRPr="00A31137" w:rsidRDefault="00A31137" w:rsidP="00A31137">
      <w:r w:rsidRPr="00A31137">
        <w:t>•</w:t>
      </w:r>
      <w:r w:rsidRPr="00A31137">
        <w:tab/>
        <w:t>Making health insurance premiums fully deductible for the self-employed.</w:t>
      </w:r>
    </w:p>
    <w:p w:rsidR="00A31137" w:rsidRPr="00A31137" w:rsidRDefault="00A31137" w:rsidP="00A31137">
      <w:r w:rsidRPr="00A31137">
        <w:t>•</w:t>
      </w:r>
      <w:r w:rsidRPr="00A31137">
        <w:tab/>
        <w:t>Making it easier for small firms to purchase coverage for their employees. The proposal would allow small businesses to form health insurance purchasing pools that would make insurance more affordable. It also would guarantee the availability and renewability of insurance for small firms, set premium standards, preempt State mandated-benefit laws, establish minimum coverage plans, and require States to establish risk pools to spread risks broadly across health insurers.</w:t>
      </w:r>
    </w:p>
    <w:p w:rsidR="00A31137" w:rsidRPr="00A31137" w:rsidRDefault="00A31137" w:rsidP="00A31137">
      <w:r w:rsidRPr="00A31137">
        <w:t>•</w:t>
      </w:r>
      <w:r w:rsidRPr="00A31137">
        <w:tab/>
        <w:t>Addressing the medical malpractice problem by a cap on noneconomic damage recoveries in malpractice claims and an alternative dispute resolution before going to court.</w:t>
      </w:r>
    </w:p>
    <w:p w:rsidR="00A31137" w:rsidRPr="00A31137" w:rsidRDefault="00A31137" w:rsidP="00A31137">
      <w:r w:rsidRPr="00A31137">
        <w:t>1992 Republican Platform, p.14</w:t>
      </w:r>
    </w:p>
    <w:p w:rsidR="00A31137" w:rsidRPr="00A31137" w:rsidRDefault="00A31137" w:rsidP="00A31137">
      <w:r w:rsidRPr="00A31137">
        <w:t>In short, the President aims to make coverage available to all, guaranteed, renewable, with no preconditions. Under his plan, no one will have to go broke to get well.</w:t>
      </w:r>
    </w:p>
    <w:p w:rsidR="00A31137" w:rsidRPr="00A31137" w:rsidRDefault="00A31137" w:rsidP="00A31137">
      <w:r w:rsidRPr="00A31137">
        <w:t>1992 Republican Platform, p.14</w:t>
      </w:r>
    </w:p>
    <w:p w:rsidR="00A31137" w:rsidRPr="00A31137" w:rsidRDefault="00A31137" w:rsidP="00A31137">
      <w:r w:rsidRPr="00A31137">
        <w:t>The Democrats' plan stands in stark philosophical contrast. Instead of preserving individual options, it would rely on government bureaucrats. Instead of preserving quality care, it would lead to rationing and waiting lines. And instead of enhancing the health care security of American workers, it would require a massive increase in payroll taxes that would destroy hundreds of thousands of jobs.</w:t>
      </w:r>
    </w:p>
    <w:p w:rsidR="00A31137" w:rsidRPr="00A31137" w:rsidRDefault="00A31137" w:rsidP="00A31137">
      <w:r w:rsidRPr="00A31137">
        <w:t>1992 Republican Platform, p.14</w:t>
      </w:r>
    </w:p>
    <w:p w:rsidR="00A31137" w:rsidRPr="00A31137" w:rsidRDefault="00A31137" w:rsidP="00A31137">
      <w:r w:rsidRPr="00A31137">
        <w:t>The Democrats' so called "play or pay" proposal would require employers either to provide health insurance for their workers or pay a new tax that would fund in part a new government-run health program. According to a study prepared by the Urban Institute, this mandate would require new federal taxes—or new federal borrowing—of $36 billion in the first year alone. Nearly 52 million Americans who now have private health insurance would be dumped by their employers onto the government-run plan. Additional costs to employers—particularly small employers—would total an estimated $30 billion in the first year. The Republican staff of Congress' Joint Economic Committee estimates that 712,000 people would lose their jobs because of the "play or pay" mandate.</w:t>
      </w:r>
    </w:p>
    <w:p w:rsidR="00A31137" w:rsidRPr="00A31137" w:rsidRDefault="00A31137" w:rsidP="00A31137">
      <w:r w:rsidRPr="00A31137">
        <w:t>1992 Republican Platform, p.14</w:t>
      </w:r>
    </w:p>
    <w:p w:rsidR="00A31137" w:rsidRPr="00A31137" w:rsidRDefault="00A31137" w:rsidP="00A31137">
      <w:r w:rsidRPr="00A31137">
        <w:t>Republicans are also determined to resolve the crisis in medical liability, allowing physicians and certified midwives to deliver babies and practice in underserved areas. Meaningful medical tort reform would assure that doctors would not have to practice medicine under a cloud of potential litigation. We will reduce administrative expenses and paperwork by adopting a uniform claim and data system. We pledge our support for rehabilitation and long-term care coverage. We will curb costs through better prenatal and other preventive care. We encourage the application of the Good Samaritan law to protect health care providers who wish to volunteer their time to provide patient care to the community. We encourage coordinated care in public programs and private insurance. We further support regulatory reforms to speed the development of new drugs and medical technology.</w:t>
      </w:r>
    </w:p>
    <w:p w:rsidR="00A31137" w:rsidRPr="00A31137" w:rsidRDefault="00A31137" w:rsidP="00A31137">
      <w:r w:rsidRPr="00A31137">
        <w:t>1992 Republican Platform, p.14</w:t>
      </w:r>
    </w:p>
    <w:p w:rsidR="00A31137" w:rsidRPr="00A31137" w:rsidRDefault="00A31137" w:rsidP="00A31137">
      <w:r w:rsidRPr="00A31137">
        <w:t>The health care safety net must be secure for those who need preventive, acute, and long-term care. Special consideration should be given to abolishing or [p.15] reforming programs which prohibit or discourage individuals from seeking to work their way out of poverty and dependency. We will reduce paperwork burdens and redirect those resources to actual services. We will enhance access to medical care through community health centers, which provide primary care in medically underserved areas. We will modify outdated antitrust rules that prohibit hospitals from merging their resources to provide improved, cost-effective health care.</w:t>
      </w:r>
    </w:p>
    <w:p w:rsidR="00A31137" w:rsidRPr="00A31137" w:rsidRDefault="00A31137" w:rsidP="00A31137">
      <w:r w:rsidRPr="00A31137">
        <w:t>1992 Republican Platform, p.15</w:t>
      </w:r>
    </w:p>
    <w:p w:rsidR="00A31137" w:rsidRPr="00A31137" w:rsidRDefault="00A31137" w:rsidP="00A31137">
      <w:r w:rsidRPr="00A31137">
        <w:t>We encourage the use of telecommunications technology to link hospitals in larger communities with heath care facilities in smaller communities. Advanced communications networks will facilitate the sharing of resources, will improve access to affordable health care through the transmission of medical imaging and diagnostics, and will ensure that Americans living in rural areas have the same access to doctors and the latest medical procedures as Americans living in urban areas.</w:t>
      </w:r>
    </w:p>
    <w:p w:rsidR="00A31137" w:rsidRPr="00A31137" w:rsidRDefault="00A31137" w:rsidP="00A31137">
      <w:r w:rsidRPr="00A31137">
        <w:t>1992 Republican Platform, p.15</w:t>
      </w:r>
    </w:p>
    <w:p w:rsidR="00A31137" w:rsidRPr="00A31137" w:rsidRDefault="00A31137" w:rsidP="00A31137">
      <w:r w:rsidRPr="00A31137">
        <w:t>Republicans focus on health, not just health care. We want not only to treat disease and disability, but to reduce and prevent them. Through funding for NIH, we invest in research to cure a range of diseases, from cancer to heart disease, from multiple sclerosis to lupus. We support efforts which foster early cancer detection. Even more important, we rely on individuals to lower the incidence of preventable illness and injury. A large part of our health care costs, public and private, is caused by behavior. Good judgment can save billions of dollars—and perhaps millions of lives.</w:t>
      </w:r>
    </w:p>
    <w:p w:rsidR="00A31137" w:rsidRPr="00A31137" w:rsidRDefault="00A31137" w:rsidP="00A31137">
      <w:r w:rsidRPr="00A31137">
        <w:t>1992 Republican Platform, p.15</w:t>
      </w:r>
    </w:p>
    <w:p w:rsidR="00A31137" w:rsidRPr="00A31137" w:rsidRDefault="00A31137" w:rsidP="00A31137">
      <w:r w:rsidRPr="00A31137">
        <w:t>AIDS. The HIV/AIDS epidemic has exploded over the past decade into a crisis of tragic proportions. In our country, AIDS has already claimed more than 150,000 lives, and as many as one million more Americans may have been infected with the virus.</w:t>
      </w:r>
    </w:p>
    <w:p w:rsidR="00A31137" w:rsidRPr="00A31137" w:rsidRDefault="00A31137" w:rsidP="00A31137">
      <w:r w:rsidRPr="00A31137">
        <w:t>1992 Republican Platform, p.15</w:t>
      </w:r>
    </w:p>
    <w:p w:rsidR="00A31137" w:rsidRPr="00A31137" w:rsidRDefault="00A31137" w:rsidP="00A31137">
      <w:r w:rsidRPr="00A31137">
        <w:t>Epidemics have, throughout history, challenged governments, which have too often been powerless to combat them. Science—and human wisdom—have advanced, however, and we have met this crisis not only with a massive commitment of resources but also with a personal determination on the part of the President. That commitment and leadership will continue.</w:t>
      </w:r>
    </w:p>
    <w:p w:rsidR="00A31137" w:rsidRPr="00A31137" w:rsidRDefault="00A31137" w:rsidP="00A31137">
      <w:r w:rsidRPr="00A31137">
        <w:t>1992 Republican Platform, p.15</w:t>
      </w:r>
    </w:p>
    <w:p w:rsidR="00A31137" w:rsidRPr="00A31137" w:rsidRDefault="00A31137" w:rsidP="00A31137">
      <w:r w:rsidRPr="00A31137">
        <w:t>AIDS should he treated like any other communicable or sexually transmitted disease, while at the same time preserving patient confidentiality. We are committed to ensure that our Nation's response to AIDS is shaped by compassion, not fear or ignorance, and will oppose, as a matter of decency and honor, any discrimination against Americans who are its victims.</w:t>
      </w:r>
    </w:p>
    <w:p w:rsidR="00A31137" w:rsidRPr="00A31137" w:rsidRDefault="00A31137" w:rsidP="00A31137">
      <w:r w:rsidRPr="00A31137">
        <w:t>1992 Republican Platform, p.15</w:t>
      </w:r>
    </w:p>
    <w:p w:rsidR="00A31137" w:rsidRPr="00A31137" w:rsidRDefault="00A31137" w:rsidP="00A31137">
      <w:r w:rsidRPr="00A31137">
        <w:t>We encourage State legislatures to enact legislation which makes it a criminal act for anyone knowingly to transmit the AIDS virus.</w:t>
      </w:r>
    </w:p>
    <w:p w:rsidR="00A31137" w:rsidRPr="00A31137" w:rsidRDefault="00A31137" w:rsidP="00A31137">
      <w:r w:rsidRPr="00A31137">
        <w:t>1992 Republican Platform, p.16</w:t>
      </w:r>
    </w:p>
    <w:p w:rsidR="00A31137" w:rsidRPr="00A31137" w:rsidRDefault="00A31137" w:rsidP="00A31137">
      <w:r w:rsidRPr="00A31137">
        <w:t>[p.16] We will seek to ensure that medical personnel, and the people who trust in their care, will be protected against infection.</w:t>
      </w:r>
    </w:p>
    <w:p w:rsidR="00A31137" w:rsidRPr="00A31137" w:rsidRDefault="00A31137" w:rsidP="00A31137">
      <w:r w:rsidRPr="00A31137">
        <w:t>1992 Republican Platform, p.16</w:t>
      </w:r>
    </w:p>
    <w:p w:rsidR="00A31137" w:rsidRPr="00A31137" w:rsidRDefault="00A31137" w:rsidP="00A31137">
      <w:r w:rsidRPr="00A31137">
        <w:t>This disease also challenges America scientifically. We must succeed in slowing the epidemic's spread. The Administration has thus placed great emphasis on a variety of prevention efforts to do so. We must recognize, also, that prevention is linked ultimately to personal responsibility and moral behavior. We reject the notion that the distribution of clean needles and condoms are the solution to stopping the spread of AIDS. Education designed to curb the spread of this disease should stress marital fidelity, abstinence, and a drug-free lifestyle. There must be a means for successfully treating the virus, and this has led to a threefold increase in research and steps to speed the approval process for new drugs that could make a crucial difference to those infected. Above all, a cure must be found. We have committed enormous resources—$4.2 billion over the past four years for research alone, more than for any disease except cancer. In keeping with the American spirit, our fellow citizens with HIV/AIDS deserve our compassion and our care, and they deserve our united commitment to a cure.</w:t>
      </w:r>
    </w:p>
    <w:p w:rsidR="00A31137" w:rsidRPr="00A31137" w:rsidRDefault="00A31137" w:rsidP="00A31137">
      <w:r w:rsidRPr="00A31137">
        <w:t>1992 Republican Platform, p.16</w:t>
      </w:r>
    </w:p>
    <w:p w:rsidR="00A31137" w:rsidRPr="00A31137" w:rsidRDefault="00A31137" w:rsidP="00A31137">
      <w:r w:rsidRPr="00A31137">
        <w:t>Healthy Families. Responsible families are the key to wellness. They are the best guard against infant mortality and child abuse. We support programs to help mothers and their babies get a good start in life; and we call for strong action, at all levels of government, to enforce parental responsibility with regard to alcohol, drugs, and neglect.</w:t>
      </w:r>
    </w:p>
    <w:p w:rsidR="00A31137" w:rsidRPr="00A31137" w:rsidRDefault="00A31137" w:rsidP="00A31137">
      <w:r w:rsidRPr="00A31137">
        <w:t>1992 Republican Platform, p.16</w:t>
      </w:r>
    </w:p>
    <w:p w:rsidR="00A31137" w:rsidRPr="00A31137" w:rsidRDefault="00A31137" w:rsidP="00A31137">
      <w:r w:rsidRPr="00A31137">
        <w:t>We applaud the President's initiatives to require the involvement of more women in clinical trials and to create within NIH a center to combat breast and cervical cancer. We also call for expanded research on various diseases, common to both men and women, but whose effects on women have yet to be determined. We call for fetal protection in the workplace and in scientific research.</w:t>
      </w:r>
    </w:p>
    <w:p w:rsidR="00A31137" w:rsidRPr="00A31137" w:rsidRDefault="00A31137" w:rsidP="00A31137">
      <w:r w:rsidRPr="00A31137">
        <w:t>1992 Republican Platform, p.16</w:t>
      </w:r>
    </w:p>
    <w:p w:rsidR="00A31137" w:rsidRPr="00A31137" w:rsidRDefault="00A31137" w:rsidP="00A31137">
      <w:r w:rsidRPr="00A31137">
        <w:t>The Homeless. The Bush Administration has worked vigorously to address this tragedy, believing that involuntary homelessness in America is unacceptable. Accordingly, the Administration has proposed $4 billion in homeless assistance, an amount cut back by the Democrat-controlled Congress. We have also implemented a SHELTER PLUS CARE program designed to assist homeless persons who are mentally ill, chemically dependent, or stricken with AIDS. Republicans remain determined to help the homeless as a matter of ethical commitment as well as sound public policy.</w:t>
      </w:r>
    </w:p>
    <w:p w:rsidR="00A31137" w:rsidRPr="00A31137" w:rsidRDefault="00A31137" w:rsidP="00A31137">
      <w:r w:rsidRPr="00A31137">
        <w:t>1992 Republican Platform, p.16</w:t>
      </w:r>
    </w:p>
    <w:p w:rsidR="00A31137" w:rsidRPr="00A31137" w:rsidRDefault="00A31137" w:rsidP="00A31137">
      <w:r w:rsidRPr="00A31137">
        <w:t>Older Americans. The interests of older Americans are addressed throughout this Platform, for the elderly play an honored role in all walks of American life. From reducing inflation to fighting crime, from quality health care to a cleaner environment, the Republican agenda for all has particular relevance to those who have worked the longest and grown the wisest.</w:t>
      </w:r>
    </w:p>
    <w:p w:rsidR="00A31137" w:rsidRPr="00A31137" w:rsidRDefault="00A31137" w:rsidP="00A31137">
      <w:r w:rsidRPr="00A31137">
        <w:t>1992 Republican Platform, p.17</w:t>
      </w:r>
    </w:p>
    <w:p w:rsidR="00A31137" w:rsidRPr="00A31137" w:rsidRDefault="00A31137" w:rsidP="00A31137">
      <w:r w:rsidRPr="00A31137">
        <w:t>[p.17] We reaffirm our commitment to a strong Social Security system. To stop penalizing grandparents and other seniors who care for children, we pledge to continue the Republican crusade to end the earnings limitation for Social Security recipients. More than ever, our Nation needs older Americans in its schools and workplaces. There should be no barriers to their full participation in our country' s future. We pledge support for greater availability of long-term care and for research to combat Alzheimer's disease. Republicans also took the lead in expanding home health care in government programs, and we want to build on that accomplishment.</w:t>
      </w:r>
    </w:p>
    <w:p w:rsidR="00A31137" w:rsidRPr="00A31137" w:rsidRDefault="00A31137" w:rsidP="00A31137">
      <w:r w:rsidRPr="00A31137">
        <w:t>1992 Republican Platform, p.17</w:t>
      </w:r>
    </w:p>
    <w:p w:rsidR="00A31137" w:rsidRPr="00A31137" w:rsidRDefault="00A31137" w:rsidP="00A31137">
      <w:r w:rsidRPr="00A31137">
        <w:t>Promoting Cultural Values. The culture of our Nation has traditionally supported those pillars on which civilized society is built: personal responsibility, morality, and the family. Today, however, these pillars are under assault. Elements within the media, the entertainment industry, academia, and the Democrat Party are waging a guerrilla war against American values. They deny personal responsibility, disparage traditional morality, denigrate religion, and promote hostility toward the family's way of life. Children, the members of our society most vulnerable to cultural influences, are barraged with violence and promiscuity, encouraging reckless and irresponsible behavior. This undermines the authority of parents, the ones most responsible for passing on to their offspring a sense of right and wrong. The lesson our Party draws is important—that all of us, individuals and corporations alike, have a responsibility to reflect the values we expect our fellow citizens to exhibit. And if children grow to adulthood reflecting not the values of their parents but the amorality with which they are bombarded, those who send such messages cannot duck culpability.</w:t>
      </w:r>
    </w:p>
    <w:p w:rsidR="00A31137" w:rsidRPr="00A31137" w:rsidRDefault="00A31137" w:rsidP="00A31137">
      <w:r w:rsidRPr="00A31137">
        <w:t>1992 Republican Platform, p.17</w:t>
      </w:r>
    </w:p>
    <w:p w:rsidR="00A31137" w:rsidRPr="00A31137" w:rsidRDefault="00A31137" w:rsidP="00A31137">
      <w:r w:rsidRPr="00A31137">
        <w:t>One example is the advocacy of violence against law enforcement officers, promoted by a corporation more interested in profits than the possible consequences of such a message. We believe, in the spirit of Theodore Roosevelt, that corporations, like individuals, have responsibilities to society, and that conscience alone should prevent such outrages.</w:t>
      </w:r>
    </w:p>
    <w:p w:rsidR="00A31137" w:rsidRPr="00A31137" w:rsidRDefault="00A31137" w:rsidP="00A31137">
      <w:r w:rsidRPr="00A31137">
        <w:t>1992 Republican Platform, p.17</w:t>
      </w:r>
    </w:p>
    <w:p w:rsidR="00A31137" w:rsidRPr="00A31137" w:rsidRDefault="00A31137" w:rsidP="00A31137">
      <w:r w:rsidRPr="00A31137">
        <w:t>We also stand united with those private organizations, such as the Boy Scouts of America, who are defending decency in fulfillment of their own moral responsibilities. We reject the irresponsible position of those corporations that have cut off contributions to such organizations because of their courageous stand for family values. Moreover, we oppose efforts by the Democrat Party to include sexual preference as a protected minority receiving preferential status under civil rights statutes at the federal, State, and local level.</w:t>
      </w:r>
    </w:p>
    <w:p w:rsidR="00A31137" w:rsidRPr="00A31137" w:rsidRDefault="00A31137" w:rsidP="00A31137">
      <w:r w:rsidRPr="00A31137">
        <w:t>1992 Republican Platform, p.17</w:t>
      </w:r>
    </w:p>
    <w:p w:rsidR="00A31137" w:rsidRPr="00A31137" w:rsidRDefault="00A31137" w:rsidP="00A31137">
      <w:r w:rsidRPr="00A31137">
        <w:t>We oppose any legislation or law which legally recognizes same-sex marriages and allows such couples to adopt children or provide foster care.</w:t>
      </w:r>
    </w:p>
    <w:p w:rsidR="00A31137" w:rsidRPr="00A31137" w:rsidRDefault="00A31137" w:rsidP="00A31137">
      <w:r w:rsidRPr="00A31137">
        <w:t>1992 Republican Platform, p.18</w:t>
      </w:r>
    </w:p>
    <w:p w:rsidR="00A31137" w:rsidRPr="00A31137" w:rsidRDefault="00A31137" w:rsidP="00A31137">
      <w:r w:rsidRPr="00A31137">
        <w:t>We must recognize that the time has come for a national crusade against [p.18] pornography. Some would have us believe that obscenity and pornography have no social impact. But if hard-core pornography does not cheapen the human spirit, then neither does Shakespeare elevate it. We call on federal agencies to halt the sale, under government auspices, of pornographic materials. We endorse Republican legislation, the Pornography Victims Compensation Act, allowing victims of pornography to seek damages from those who make or sell it, especially since the Commission on Pornography, in 1986, found a direct link between pornography and violent crimes committed against women and children. Further, we propose a computerized federal registry to track persons convicted of molesting children. We also believe that the various State legislatures should create a civil cause of action against makers and distributors of pornography when their material incites a violent crime.</w:t>
      </w:r>
    </w:p>
    <w:p w:rsidR="00A31137" w:rsidRPr="00A31137" w:rsidRDefault="00A31137" w:rsidP="00A31137">
      <w:r w:rsidRPr="00A31137">
        <w:t>1992 Republican Platform, p.18</w:t>
      </w:r>
    </w:p>
    <w:p w:rsidR="00A31137" w:rsidRPr="00A31137" w:rsidRDefault="00A31137" w:rsidP="00A31137">
      <w:r w:rsidRPr="00A31137">
        <w:t>Government has a responsibility, as well, to ensure that it promotes the common moral values that bind us together as a Nation. We therefore condemn the use of public funds to subsidize obscenity and blasphemy masquerading as art. The fine arts, including those with public support, can certainly enrich our society. However, no artist has an inherent right to claim taxpayer support for his or her private vision of art if that vision mocks the moral and spiritual basis on which our society is founded. We believe a free market in art—with neither suppression nor favoritism by government—is the best way to foster the cultural revival our country needs.</w:t>
      </w:r>
    </w:p>
    <w:p w:rsidR="00A31137" w:rsidRPr="00A31137" w:rsidRDefault="00A31137" w:rsidP="00A31137">
      <w:r w:rsidRPr="00A31137">
        <w:t>Individual Rights, Good Homes and Safe Streets</w:t>
      </w:r>
    </w:p>
    <w:p w:rsidR="00A31137" w:rsidRPr="00A31137" w:rsidRDefault="00A31137" w:rsidP="00A31137">
      <w:r w:rsidRPr="00A31137">
        <w:t>1992 Republican Platform, p.18</w:t>
      </w:r>
    </w:p>
    <w:p w:rsidR="00A31137" w:rsidRPr="00A31137" w:rsidRDefault="00A31137" w:rsidP="00A31137">
      <w:r w:rsidRPr="00A31137">
        <w:t>At a time when the rest of the world has rejected socialism, there are communities here at home where free markets have not been permitted to flourish. Decades of liberalism have left us with two economies. The pro-growth economy rewards effort, promotes thrift, and supports strong families. The other economy stifles initiative and is anti-work and anti-family. In one economy, people are free to be owners and entrepreneurs. In the other economy, people are at the mercy of government. We are determined to elevate the poor into the pro-growth economy.</w:t>
      </w:r>
    </w:p>
    <w:p w:rsidR="00A31137" w:rsidRPr="00A31137" w:rsidRDefault="00A31137" w:rsidP="00A31137">
      <w:r w:rsidRPr="00A31137">
        <w:t>1992 Republican Platform, p.18</w:t>
      </w:r>
    </w:p>
    <w:p w:rsidR="00A31137" w:rsidRPr="00A31137" w:rsidRDefault="00A31137" w:rsidP="00A31137">
      <w:r w:rsidRPr="00A31137">
        <w:t>Republicans will lead a new national consensus around economic opportunity, greater access to property, home ownership and housing, jobs and entrepreneurship. We must bring the great promise of America to every city, every small town, and to all our people.</w:t>
      </w:r>
    </w:p>
    <w:p w:rsidR="00A31137" w:rsidRPr="00A31137" w:rsidRDefault="00A31137" w:rsidP="00A31137">
      <w:r w:rsidRPr="00A31137">
        <w:t>1992 Republican Platform, p.18</w:t>
      </w:r>
    </w:p>
    <w:p w:rsidR="00A31137" w:rsidRPr="00A31137" w:rsidRDefault="00A31137" w:rsidP="00A31137">
      <w:r w:rsidRPr="00A31137">
        <w:t>Our agenda for equality of opportunity runs throughout this Platform and applies to all Americans. There is no such thing as segregated success. We reject the Democrats' politics of division, envy and conflict. They believe that America is split into classes and can be healed only through the redistribution of wealth. We believe in the economics of multiplication: free markets expand opportunity [p.19] and wealth for all.</w:t>
      </w:r>
    </w:p>
    <w:p w:rsidR="00A31137" w:rsidRPr="00A31137" w:rsidRDefault="00A31137" w:rsidP="00A31137">
      <w:r w:rsidRPr="00A31137">
        <w:t>1992 Republican Platform, p.19</w:t>
      </w:r>
    </w:p>
    <w:p w:rsidR="00A31137" w:rsidRPr="00A31137" w:rsidRDefault="00A31137" w:rsidP="00A31137">
      <w:r w:rsidRPr="00A31137">
        <w:t>That is true liberation. It frees poor people not only from want but also from government control. That is why liberal Democrats have fought us every step of the way, refusing congressional action on Enterprise Zones until Los Angeles burned—and then mocking the expectations of the poor by gutting that critical proposal. They can kill bills, but they cannot kill hope. We are determined to pass that legislation for the sake of all who are awaiting their chance for the American Dream.</w:t>
      </w:r>
    </w:p>
    <w:p w:rsidR="00A31137" w:rsidRPr="00A31137" w:rsidRDefault="00A31137" w:rsidP="00A31137">
      <w:r w:rsidRPr="00A31137">
        <w:t>1992 Republican Platform, p.19</w:t>
      </w:r>
    </w:p>
    <w:p w:rsidR="00A31137" w:rsidRPr="00A31137" w:rsidRDefault="00A31137" w:rsidP="00A31137">
      <w:r w:rsidRPr="00A31137">
        <w:t>We will eliminate laws that keep Americans out of jobs, like the outdated ban on home work. The antiquated Davis-Bacon Act inflates taxpayer costs and keeps willing workers from getting jobs in federally-assisted projects. It must go. Unlike the Democrats, we believe the private sector, not the federal government, should set prevailing wage rates.</w:t>
      </w:r>
    </w:p>
    <w:p w:rsidR="00A31137" w:rsidRPr="00A31137" w:rsidRDefault="00A31137" w:rsidP="00A31137">
      <w:r w:rsidRPr="00A31137">
        <w:t>1992 Republican Platform, p.19</w:t>
      </w:r>
    </w:p>
    <w:p w:rsidR="00A31137" w:rsidRPr="00A31137" w:rsidRDefault="00A31137" w:rsidP="00A31137">
      <w:r w:rsidRPr="00A31137">
        <w:t>As explained elsewhere in this Platform, low-income families must gain control of their future through choice in their children' s education.</w:t>
      </w:r>
    </w:p>
    <w:p w:rsidR="00A31137" w:rsidRPr="00A31137" w:rsidRDefault="00A31137" w:rsidP="00A31137">
      <w:r w:rsidRPr="00A31137">
        <w:t>1992 Republican Platform, p.19</w:t>
      </w:r>
    </w:p>
    <w:p w:rsidR="00A31137" w:rsidRPr="00A31137" w:rsidRDefault="00A31137" w:rsidP="00A31137">
      <w:r w:rsidRPr="00A31137">
        <w:t>Rebuilding the Dream. Our Party has always championed the American dream of home ownership. Abraham Lincoln wanted all families to have access to property, because it would give them a tangible stake in their family's future. As families built homes and improved the land, they built a brighter future for themselves and a legacy for their children. Lincoln's Homestead Act of 1862 did all this without enlarging government. It empowered families.</w:t>
      </w:r>
    </w:p>
    <w:p w:rsidR="00A31137" w:rsidRPr="00A31137" w:rsidRDefault="00A31137" w:rsidP="00A31137">
      <w:r w:rsidRPr="00A31137">
        <w:t>1992 Republican Platform, p.19</w:t>
      </w:r>
    </w:p>
    <w:p w:rsidR="00A31137" w:rsidRPr="00A31137" w:rsidRDefault="00A31137" w:rsidP="00A31137">
      <w:r w:rsidRPr="00A31137">
        <w:t>In the tradition of Lincoln, President Bush has replicated the American dream of home-ownership. For first-time home buyers, he has proposed a $5,000 tax credit. For lower-income families, he has worked to restore opportunity through HOPE, his initiative to help tenants now dependent on federal aid to buy their own homes; Mortgage Revenue Bonds, to assist more than 1.9 million families to buy a first home; Low Income Housing Tax Credits, already producing more than 420,000 decent apartments at affordable prices; and HOME, a partnership among all levels of government to help low-income families secure better housing.</w:t>
      </w:r>
    </w:p>
    <w:p w:rsidR="00A31137" w:rsidRPr="00A31137" w:rsidRDefault="00A31137" w:rsidP="00A31137">
      <w:r w:rsidRPr="00A31137">
        <w:t>1992 Republican Platform, p.19</w:t>
      </w:r>
    </w:p>
    <w:p w:rsidR="00A31137" w:rsidRPr="00A31137" w:rsidRDefault="00A31137" w:rsidP="00A31137">
      <w:r w:rsidRPr="00A31137">
        <w:t>For everyone, but especially for the poor, the best housing policy is non-inflationary economic growth with low interest rates, the heart of our opportunity agenda.</w:t>
      </w:r>
    </w:p>
    <w:p w:rsidR="00A31137" w:rsidRPr="00A31137" w:rsidRDefault="00A31137" w:rsidP="00A31137">
      <w:r w:rsidRPr="00A31137">
        <w:t>1992 Republican Platform, p.19</w:t>
      </w:r>
    </w:p>
    <w:p w:rsidR="00A31137" w:rsidRPr="00A31137" w:rsidRDefault="00A31137" w:rsidP="00A31137">
      <w:r w:rsidRPr="00A31137">
        <w:t>Ending Dependency. Welfare is the enemy of opportunity and stable family life. Two decades ago, decisions about public assistance were taken away from States and communities and given to Washington officials. Since then, almost everything has gone wrong. Since 1965, we have spent $3.5 trillion on welfare.</w:t>
      </w:r>
    </w:p>
    <w:p w:rsidR="00A31137" w:rsidRPr="00A31137" w:rsidRDefault="00A31137" w:rsidP="00A31137">
      <w:r w:rsidRPr="00A31137">
        <w:t>1992 Republican Platform, p.20</w:t>
      </w:r>
    </w:p>
    <w:p w:rsidR="00A31137" w:rsidRPr="00A31137" w:rsidRDefault="00A31137" w:rsidP="00A31137">
      <w:r w:rsidRPr="00A31137">
        <w:t>[p.20] It bought a horrendous expansion of dependence, especially among mothers and children.</w:t>
      </w:r>
    </w:p>
    <w:p w:rsidR="00A31137" w:rsidRPr="00A31137" w:rsidRDefault="00A31137" w:rsidP="00A31137">
      <w:r w:rsidRPr="00A31137">
        <w:t>1992 Republican Platform, p.20</w:t>
      </w:r>
    </w:p>
    <w:p w:rsidR="00A31137" w:rsidRPr="00A31137" w:rsidRDefault="00A31137" w:rsidP="00A31137">
      <w:r w:rsidRPr="00A31137">
        <w:t>Today's welfare system is anti-work and anti-marriage. It taxes families to subsidize illegitimacy. It rewards unethical behavior and penalizes initiative. It cannot be merely tinkered with by Congress; it must be recreated by States and localities. Republican Governors and legislators in several States have already launched dramatic reforms, especially with workfare and leanfare. Welfare can no longer be a check in the mail with no responsibility.</w:t>
      </w:r>
    </w:p>
    <w:p w:rsidR="00A31137" w:rsidRPr="00A31137" w:rsidRDefault="00A31137" w:rsidP="00A31137">
      <w:r w:rsidRPr="00A31137">
        <w:t>1992 Republican Platform, p.20</w:t>
      </w:r>
    </w:p>
    <w:p w:rsidR="00A31137" w:rsidRPr="00A31137" w:rsidRDefault="00A31137" w:rsidP="00A31137">
      <w:r w:rsidRPr="00A31137">
        <w:t>We believe fathers and mothers must be held responsible for their children. We support stronger enforcement of child support laws. We call for strong enforcement and tough penalties against welfare fraud and insist that work must be a mandatory part of public assistance for all who are able to work. Because divorce, desertion, and illegitimacy account for almost all the increase in child poverty over the last 20 years, we put the highest priority upon enforcement of family rights and responsibilities.</w:t>
      </w:r>
    </w:p>
    <w:p w:rsidR="00A31137" w:rsidRPr="00A31137" w:rsidRDefault="00A31137" w:rsidP="00A31137">
      <w:r w:rsidRPr="00A31137">
        <w:t>1992 Republican Platform, p.20</w:t>
      </w:r>
    </w:p>
    <w:p w:rsidR="00A31137" w:rsidRPr="00A31137" w:rsidRDefault="00A31137" w:rsidP="00A31137">
      <w:r w:rsidRPr="00A31137">
        <w:t>Among these responsibilities is the obligation to get an education—a key to avoiding dependency. Families on welfare with school-age children must be required to send them to school or provide adequate home education in keeping with various State laws in order to continue receiving public assistance. Young adult heads of welfare households should be required to complete appropriate education or training programs.</w:t>
      </w:r>
    </w:p>
    <w:p w:rsidR="00A31137" w:rsidRPr="00A31137" w:rsidRDefault="00A31137" w:rsidP="00A31137">
      <w:r w:rsidRPr="00A31137">
        <w:t>1992 Republican Platform, p.20</w:t>
      </w:r>
    </w:p>
    <w:p w:rsidR="00A31137" w:rsidRPr="00A31137" w:rsidRDefault="00A31137" w:rsidP="00A31137">
      <w:r w:rsidRPr="00A31137">
        <w:t>Safe Homes and Streets. One of the first duties of government is to protect the public security—to maintain law and order so that citizens are free to pursue the fruits of life and liberty. The Democrats have forsaken this solemn pledge. Instead of protecting society from hardened criminals, they blame society and refuse to hold accountable for their actions individuals who have chosen to engage in violent and criminal conduct. This has led to the state of affairs in which we find ourselves today.</w:t>
      </w:r>
    </w:p>
    <w:p w:rsidR="00A31137" w:rsidRPr="00A31137" w:rsidRDefault="00A31137" w:rsidP="00A31137">
      <w:r w:rsidRPr="00A31137">
        <w:t>1992 Republican Platform, p.20</w:t>
      </w:r>
    </w:p>
    <w:p w:rsidR="00A31137" w:rsidRPr="00A31137" w:rsidRDefault="00A31137" w:rsidP="00A31137">
      <w:r w:rsidRPr="00A31137">
        <w:t>Violent crime is the gravest domestic threat to our way of life. It has turned our communities into battlegrounds, playgrounds into grave yards. It threatens everyone, but especially the very young, the elderly, the weak. It destroys business and suffocates economic opportunity in struggling communities. It is a travesty that some American children have to sleep in bathtubs for protection from stray bullets. The poverty of values that justifies drive-by shootings and random violence holds us hostage and insecure, even in our own homes. We must work to develop community-help projects designed to instill a sense of responsibility and pride.</w:t>
      </w:r>
    </w:p>
    <w:p w:rsidR="00A31137" w:rsidRPr="00A31137" w:rsidRDefault="00A31137" w:rsidP="00A31137">
      <w:r w:rsidRPr="00A31137">
        <w:t>1992 Republican Platform, p.20</w:t>
      </w:r>
    </w:p>
    <w:p w:rsidR="00A31137" w:rsidRPr="00A31137" w:rsidRDefault="00A31137" w:rsidP="00A31137">
      <w:r w:rsidRPr="00A31137">
        <w:t>This is the legacy of a liberalism that elevates criminals' rights above [p.21] victims' rights, that justifies soft-on-crime judges' approving early-release prison programs, and that leaves law enforcement officers powerless to deter crime with the threat of certain punishment.</w:t>
      </w:r>
    </w:p>
    <w:p w:rsidR="00A31137" w:rsidRPr="00A31137" w:rsidRDefault="00A31137" w:rsidP="00A31137">
      <w:r w:rsidRPr="00A31137">
        <w:t>1992 Republican Platform, p.21</w:t>
      </w:r>
    </w:p>
    <w:p w:rsidR="00A31137" w:rsidRPr="00A31137" w:rsidRDefault="00A31137" w:rsidP="00A31137">
      <w:r w:rsidRPr="00A31137">
        <w:t>For twelve years, two Republican Presidents have fought to reverse this trend, along with Republican officials in the States. They have named tough law-and-order judges, pushed for minimum mandatory sentences, expanded federal assistance to States and localities, sought to help States redress court orders on prison overcrowding, and devoted record resources that are turning the tide against drugs. They have repeatedly proposed legislation, consistently rejected by congressional Democrats, to restore the severest penalties for the most heinous crimes, to ensure swift and certain punishment, and to end the legal loopholes that let criminals go free.</w:t>
      </w:r>
    </w:p>
    <w:p w:rsidR="00A31137" w:rsidRPr="00A31137" w:rsidRDefault="00A31137" w:rsidP="00A31137">
      <w:r w:rsidRPr="00A31137">
        <w:t>1992 Republican Platform, p.21</w:t>
      </w:r>
    </w:p>
    <w:p w:rsidR="00A31137" w:rsidRPr="00A31137" w:rsidRDefault="00A31137" w:rsidP="00A31137">
      <w:r w:rsidRPr="00A31137">
        <w:t>Congressional Democrats reject Republican reform of the exclusionary rule that prohibits use of relevant evidence obtained in good faith and allows criminals, even murderers, to go free on a technicality. They reject our reform of habeas corpus law to prevent the appellate process from becoming a lawyers' game to thwart justice through endless appeals and procedural delays. They refuse to enact effective procedures to reinstate the death penalty for the most heinous crimes. They reject tougher, mandatory sentences for career criminals. Instead, Congressional Democrats actually voted to create more loopholes for vicious thugs and fewer protections for victims of crime and have opposed mandatory restitution for victims. Their crime legislation, which we emphatically reject, cripples law enforcement by overturning over twenty United States Supreme Court cases that have helped to reduce crime and keep violent criminal offenders off the streets.</w:t>
      </w:r>
    </w:p>
    <w:p w:rsidR="00A31137" w:rsidRPr="00A31137" w:rsidRDefault="00A31137" w:rsidP="00A31137">
      <w:r w:rsidRPr="00A31137">
        <w:t>1992 Republican Platform, p.21</w:t>
      </w:r>
    </w:p>
    <w:p w:rsidR="00A31137" w:rsidRPr="00A31137" w:rsidRDefault="00A31137" w:rsidP="00A31137">
      <w:r w:rsidRPr="00A31137">
        <w:t>For too long our criminal justice system has carefully protected the rights of criminals and neglected the suffering of the innocent victims of crime and their families. We support the rights of crime victims to be present, heard, and informed throughout the criminal justice process and to be provided with restitution and services to aid their recovery.</w:t>
      </w:r>
    </w:p>
    <w:p w:rsidR="00A31137" w:rsidRPr="00A31137" w:rsidRDefault="00A31137" w:rsidP="00A31137">
      <w:r w:rsidRPr="00A31137">
        <w:t>1992 Republican Platform, p.21</w:t>
      </w:r>
    </w:p>
    <w:p w:rsidR="00A31137" w:rsidRPr="00A31137" w:rsidRDefault="00A31137" w:rsidP="00A31137">
      <w:r w:rsidRPr="00A31137">
        <w:t>We believe in giving police the resources to do their job. Law enforcement must remain primarily a State and local responsibility. With 95 percent of all violent crimes within the jurisdiction of the States, we have led efforts to increase the number of police protecting our citizens. We also support incentives to encourage personnel leaving the Armed Forces to continue to defend their country—against the enemy within—by entering the law enforcement profession.</w:t>
      </w:r>
    </w:p>
    <w:p w:rsidR="00A31137" w:rsidRPr="00A31137" w:rsidRDefault="00A31137" w:rsidP="00A31137">
      <w:r w:rsidRPr="00A31137">
        <w:t>1992 Republican Platform, p.21</w:t>
      </w:r>
    </w:p>
    <w:p w:rsidR="00A31137" w:rsidRPr="00A31137" w:rsidRDefault="00A31137" w:rsidP="00A31137">
      <w:r w:rsidRPr="00A31137">
        <w:t>Narcotics traffic drives street crime. President Bush has, for the first time, used the resources of our Armed Forces against the international drug trade. By our insistence, multilateral control of precursor chemicals and money [p.22] laundering is now an international priority. We decry efforts by congressional Democrats to slash international anti-narcotics funding and inhibit the most vital control efforts in Peru. We support efforts to work with South and Central American leaders to eradicate crops used to produce illegal narcotics.</w:t>
      </w:r>
    </w:p>
    <w:p w:rsidR="00A31137" w:rsidRPr="00A31137" w:rsidRDefault="00A31137" w:rsidP="00A31137">
      <w:r w:rsidRPr="00A31137">
        <w:t>1992 Republican Platform, p.22</w:t>
      </w:r>
    </w:p>
    <w:p w:rsidR="00A31137" w:rsidRPr="00A31137" w:rsidRDefault="00A31137" w:rsidP="00A31137">
      <w:r w:rsidRPr="00A31137">
        <w:t>The Republican Party is committed to a drug-free America. During the last twelve years, we have radically reversed the Democrats' attitude of tolerance toward narcotics, vastly increased federal operations against drugs, cleaned up the military, and launched mandatory testing for employees in various fields, including White House personnel. As a result, overall drug abuse is falling. We urge that States and communities emphasize anti-drug education by police officers and others in schools to educate young children to the dangers of the chug culture. Dope is no longer trendy.</w:t>
      </w:r>
    </w:p>
    <w:p w:rsidR="00A31137" w:rsidRPr="00A31137" w:rsidRDefault="00A31137" w:rsidP="00A31137">
      <w:r w:rsidRPr="00A31137">
        <w:t>1992 Republican Platform, p.22</w:t>
      </w:r>
    </w:p>
    <w:p w:rsidR="00A31137" w:rsidRPr="00A31137" w:rsidRDefault="00A31137" w:rsidP="00A31137">
      <w:r w:rsidRPr="00A31137">
        <w:t>We oppose legalizing or decriminalizing drugs. That is a morally abhorrent idea, the last vestige of an ill-conceived philosophy that counseled the legitimacy of permissiveness. Today, a similarly dysfunctional morality explains away drug-dealing as an escape, and drive-by shootings as an act of political violence. There is no excuse for the wanton destruction of human life. We therefore support the stiffest penalties, including the death penalty, for major chug traffickers.</w:t>
      </w:r>
    </w:p>
    <w:p w:rsidR="00A31137" w:rsidRPr="00A31137" w:rsidRDefault="00A31137" w:rsidP="00A31137">
      <w:r w:rsidRPr="00A31137">
        <w:t>1992 Republican Platform, p.22</w:t>
      </w:r>
    </w:p>
    <w:p w:rsidR="00A31137" w:rsidRPr="00A31137" w:rsidRDefault="00A31137" w:rsidP="00A31137">
      <w:r w:rsidRPr="00A31137">
        <w:t>Drug users must face punishment, including fines and imprisonment, for contributing to the demand that makes the drug trade profitable. Among possible sanctions should be the loss of government assistance and suspension of drivers' licenses. Residents of public housing should be able to protect their families against drugs by screening out abusers and dealers. We support grassroots action to drive dealers and crack-houses out of operation.</w:t>
      </w:r>
    </w:p>
    <w:p w:rsidR="00A31137" w:rsidRPr="00A31137" w:rsidRDefault="00A31137" w:rsidP="00A31137">
      <w:r w:rsidRPr="00A31137">
        <w:t>1992 Republican Platform, p.22</w:t>
      </w:r>
    </w:p>
    <w:p w:rsidR="00A31137" w:rsidRPr="00A31137" w:rsidRDefault="00A31137" w:rsidP="00A31137">
      <w:r w:rsidRPr="00A31137">
        <w:t>Safe streets also mean highways that are free of drunken drivers and drivers under the influence of illegal drugs. Republicans support the toughest possible State laws to deal with drunken drivers and users of illegal drugs, who deserve no sympathy from our courts or State legislatures. We also oppose the illicit abuse of legal chugs.</w:t>
      </w:r>
    </w:p>
    <w:p w:rsidR="00A31137" w:rsidRPr="00A31137" w:rsidRDefault="00A31137" w:rsidP="00A31137">
      <w:r w:rsidRPr="00A31137">
        <w:t>1992 Republican Platform, p.22</w:t>
      </w:r>
    </w:p>
    <w:p w:rsidR="00A31137" w:rsidRPr="00A31137" w:rsidRDefault="00A31137" w:rsidP="00A31137">
      <w:r w:rsidRPr="00A31137">
        <w:t>White-collar crime threatens homes and families in a different way. It steals secretly, forcing up prices, rigging contracts, swindling consumers, and harming the overwhelming majority of business people, who play fair and obey the law. We support imprisonment for those who steal from the American people. We pledge an all out fight against it, especially within the political machines that control many of our major cities. We will continue to bring to justice corrupt politicians and those who collude with them to plunder savings and loans.</w:t>
      </w:r>
    </w:p>
    <w:p w:rsidR="00A31137" w:rsidRPr="00A31137" w:rsidRDefault="00A31137" w:rsidP="00A31137">
      <w:r w:rsidRPr="00A31137">
        <w:t>1992 Republican Platform, p.23</w:t>
      </w:r>
    </w:p>
    <w:p w:rsidR="00A31137" w:rsidRPr="00A31137" w:rsidRDefault="00A31137" w:rsidP="00A31137">
      <w:r w:rsidRPr="00A31137">
        <w:t>[p.23] New Members of the American Family. Our Nation of immigrants continues to welcome those seeking a better life. This reflects our past, when some newcomers fled intolerance; some sought prosperity; some came as slaves. All suffered and sacrificed but hoped their children would have a better life. All searched for a shared vision—and found one in America. Today we are stronger for our diversity.</w:t>
      </w:r>
    </w:p>
    <w:p w:rsidR="00A31137" w:rsidRPr="00A31137" w:rsidRDefault="00A31137" w:rsidP="00A31137">
      <w:r w:rsidRPr="00A31137">
        <w:t>1992 Republican Platform, p.23</w:t>
      </w:r>
    </w:p>
    <w:p w:rsidR="00A31137" w:rsidRPr="00A31137" w:rsidRDefault="00A31137" w:rsidP="00A31137">
      <w:r w:rsidRPr="00A31137">
        <w:t>Illegal entry into the United States, on the other hand, threatens the social compact on which immigration is based. That is, the Nation accepts immigrants and is enriched by their determination and values. Illegal immigration, on the other hand, undermines the integrity of border communities and already crowded urban neighborhoods. We will build on the already announced strengthening of the Border Patrol to better coordinate interdiction of illegal entrants through greater cross-border cooperation. Specifically, we will increase the size of the Border Patrol in order to meet the increasing need to stop illegal immigration and we will equip the Border Patrol with the tools, technologies, and structures necessary to secure the border.</w:t>
      </w:r>
    </w:p>
    <w:p w:rsidR="00A31137" w:rsidRPr="00A31137" w:rsidRDefault="00A31137" w:rsidP="00A31137">
      <w:r w:rsidRPr="00A31137">
        <w:t>1992 Republican Platform, p.23</w:t>
      </w:r>
    </w:p>
    <w:p w:rsidR="00A31137" w:rsidRPr="00A31137" w:rsidRDefault="00A31137" w:rsidP="00A31137">
      <w:r w:rsidRPr="00A31137">
        <w:t>We will seek stiff penalties for those who smuggle illegal aliens into the country, and for those who produce or sell fraudulent documents. We also will reduce incentives to enter the United States by promoting initiatives like the North American Free Trade Agreement. In creating new economic opportunity in Mexico, a NAFTA removes the incentive to cross the border illegally in search of work.</w:t>
      </w:r>
    </w:p>
    <w:p w:rsidR="00A31137" w:rsidRPr="00A31137" w:rsidRDefault="00A31137" w:rsidP="00A31137">
      <w:r w:rsidRPr="00A31137">
        <w:t>1992 Republican Platform, p.23</w:t>
      </w:r>
    </w:p>
    <w:p w:rsidR="00A31137" w:rsidRPr="00A31137" w:rsidRDefault="00A31137" w:rsidP="00A31137">
      <w:r w:rsidRPr="00A31137">
        <w:t>Individual Rights. The protection of individual rights is the foundation for opportunity and security.</w:t>
      </w:r>
    </w:p>
    <w:p w:rsidR="00A31137" w:rsidRPr="00A31137" w:rsidRDefault="00A31137" w:rsidP="00A31137">
      <w:r w:rsidRPr="00A31137">
        <w:t>1992 Republican Platform, p.23</w:t>
      </w:r>
    </w:p>
    <w:p w:rsidR="00A31137" w:rsidRPr="00A31137" w:rsidRDefault="00A31137" w:rsidP="00A31137">
      <w:r w:rsidRPr="00A31137">
        <w:t>The Republican Party is unique in this regard. Since its inception, it has respected every person, even when that proposition was not universally popular. Today, as in the day of Lincoln, we insist that no American' s rights are negotiable.</w:t>
      </w:r>
    </w:p>
    <w:p w:rsidR="00A31137" w:rsidRPr="00A31137" w:rsidRDefault="00A31137" w:rsidP="00A31137">
      <w:r w:rsidRPr="00A31137">
        <w:t>1992 Republican Platform, p.23</w:t>
      </w:r>
    </w:p>
    <w:p w:rsidR="00A31137" w:rsidRPr="00A31137" w:rsidRDefault="00A31137" w:rsidP="00A31137">
      <w:r w:rsidRPr="00A31137">
        <w:t>That is why we declare that bigotry and prejudice have no place in American life. We denounce all who practice or promote racism, anti-Semitism, or religious intolerance. We believe churches and religious schools should not be taxed; we defend the right of religious leaders to speak out on public issues; and we condemn the cowardly desecration of places of worship that has shocked our country in recent years.</w:t>
      </w:r>
    </w:p>
    <w:p w:rsidR="00A31137" w:rsidRPr="00A31137" w:rsidRDefault="00A31137" w:rsidP="00A31137">
      <w:r w:rsidRPr="00A31137">
        <w:t>1992 Republican Platform, p.23</w:t>
      </w:r>
    </w:p>
    <w:p w:rsidR="00A31137" w:rsidRPr="00A31137" w:rsidRDefault="00A31137" w:rsidP="00A31137">
      <w:r w:rsidRPr="00A31137">
        <w:t>Asserting equal rights for all, we support the Bush Administration's vigorous enforcement of statutes to prevent illegal discrimination on account of sex, race, creed, or national origin. Promoting opportunity, we reject efforts to replace equal rights with quotas or other preferential treatment. That is why President Bush fought so long against the Democrat Congress to win a civil [p.24] rights bill worthy of that name.</w:t>
      </w:r>
    </w:p>
    <w:p w:rsidR="00A31137" w:rsidRPr="00A31137" w:rsidRDefault="00A31137" w:rsidP="00A31137">
      <w:r w:rsidRPr="00A31137">
        <w:t>1992 Republican Platform, p.24</w:t>
      </w:r>
    </w:p>
    <w:p w:rsidR="00A31137" w:rsidRPr="00A31137" w:rsidRDefault="00A31137" w:rsidP="00A31137">
      <w:r w:rsidRPr="00A31137">
        <w:t>We renew the historic Republican commitment to the rights of women, from the early days of the suffragist movement to the present. Because legal rights mean little without opportunity, we assert economic growth as the key to the continued progress of women in all fields of American life.</w:t>
      </w:r>
    </w:p>
    <w:p w:rsidR="00A31137" w:rsidRPr="00A31137" w:rsidRDefault="00A31137" w:rsidP="00A31137">
      <w:r w:rsidRPr="00A31137">
        <w:t>1992 Republican Platform, p.24</w:t>
      </w:r>
    </w:p>
    <w:p w:rsidR="00A31137" w:rsidRPr="00A31137" w:rsidRDefault="00A31137" w:rsidP="00A31137">
      <w:r w:rsidRPr="00A31137">
        <w:t>We believe the unborn child has a fundamental individual right to life which cannot be infringed. We therefore reaffirm our support for a human life amendment to the Constitution, and we endorse legislation to make clear that the Fourteenth Amendment's protections apply to unborn children. We oppose using public revenues for abortion and will not fund organizations which advocate it. We commend those who provide alternatives to abortion by meeting the needs of mothers and offering adoption services. We reaffirm our support for appointment of judges who respect traditional family values and the sanctity of innocent human life.</w:t>
      </w:r>
    </w:p>
    <w:p w:rsidR="00A31137" w:rsidRPr="00A31137" w:rsidRDefault="00A31137" w:rsidP="00A31137">
      <w:r w:rsidRPr="00A31137">
        <w:t>1992 Republican Platform, p.24</w:t>
      </w:r>
    </w:p>
    <w:p w:rsidR="00A31137" w:rsidRPr="00A31137" w:rsidRDefault="00A31137" w:rsidP="00A31137">
      <w:r w:rsidRPr="00A31137">
        <w:t>President Bush signed into law the greatest advance ever for disabled persons: The Americans with Disabilities Act, a milestone in removing barriers to full participation in our country's life. We will fully implement it, with sensitivity to the needs of small businesses, just as we have earlier legal protections for the disabled in federal programs. We oppose the nonconsensual withholding of health care or treatment from any person because of handicap, age, or infirmity, just as we oppose euthanasia and assisted suicide.</w:t>
      </w:r>
    </w:p>
    <w:p w:rsidR="00A31137" w:rsidRPr="00A31137" w:rsidRDefault="00A31137" w:rsidP="00A31137">
      <w:r w:rsidRPr="00A31137">
        <w:t>1992 Republican Platform, p.24</w:t>
      </w:r>
    </w:p>
    <w:p w:rsidR="00A31137" w:rsidRPr="00A31137" w:rsidRDefault="00A31137" w:rsidP="00A31137">
      <w:r w:rsidRPr="00A31137">
        <w:t>We support full access to the polls, and the entire political process, by disabled voters. We will ensure that students with disabilities benefit from AMERICA 2000's new emphasis on testing for excellence and accountability for results.</w:t>
      </w:r>
    </w:p>
    <w:p w:rsidR="00A31137" w:rsidRPr="00A31137" w:rsidRDefault="00A31137" w:rsidP="00A31137">
      <w:r w:rsidRPr="00A31137">
        <w:t>1992 Republican Platform, p.24</w:t>
      </w:r>
    </w:p>
    <w:p w:rsidR="00A31137" w:rsidRPr="00A31137" w:rsidRDefault="00A31137" w:rsidP="00A31137">
      <w:r w:rsidRPr="00A31137">
        <w:t>Promoting the rights of the disabled requires, before all else, an expanding economy, both to advance assistive technology and to create opportunities for personal advancement. That is another reason why Republicans are committed to growth.</w:t>
      </w:r>
    </w:p>
    <w:p w:rsidR="00A31137" w:rsidRPr="00A31137" w:rsidRDefault="00A31137" w:rsidP="00A31137">
      <w:r w:rsidRPr="00A31137">
        <w:t>1992 Republican Platform, p.24</w:t>
      </w:r>
    </w:p>
    <w:p w:rsidR="00A31137" w:rsidRPr="00A31137" w:rsidRDefault="00A31137" w:rsidP="00A31137">
      <w:r w:rsidRPr="00A31137">
        <w:t>We reaffirm our commitment to the Fifth Amendment to the Constitution: "No person shall be…deprived of life, liberty, or property, without due process of law; nor shall private property be taken for public use, without just compensation." We support strong enforcement of this Takings clause to keep citizens secure in the use and development of their property. We also seek to reduce the amount of land owned or controlled by the government, especially in the western States. We insist upon prompt payment for private lands certified as critical for preserving essential parks and preserves.</w:t>
      </w:r>
    </w:p>
    <w:p w:rsidR="00A31137" w:rsidRPr="00A31137" w:rsidRDefault="00A31137" w:rsidP="00A31137">
      <w:r w:rsidRPr="00A31137">
        <w:t>1992 Republican Platform, p.25</w:t>
      </w:r>
    </w:p>
    <w:p w:rsidR="00A31137" w:rsidRPr="00A31137" w:rsidRDefault="00A31137" w:rsidP="00A31137">
      <w:r w:rsidRPr="00A31137">
        <w:t>Republicans defend the constitutional right to keep and bear arms. We [p.25] call for stiff mandatory sentences for those who use firearms in a crime. We note that those who seek to disarm citizens in their homes are the same liberals who tried to disarm our Nation during the Cold War and are today seeking to cut our national defense below safe levels. We applaud congressional Republicans for overturning the District of Columbia's law blaming firearm manufacturers for street crime.</w:t>
      </w:r>
    </w:p>
    <w:p w:rsidR="00A31137" w:rsidRPr="00A31137" w:rsidRDefault="00A31137" w:rsidP="00A31137">
      <w:r w:rsidRPr="00A31137">
        <w:t>1992 Republican Platform, p.25</w:t>
      </w:r>
    </w:p>
    <w:p w:rsidR="00A31137" w:rsidRPr="00A31137" w:rsidRDefault="00A31137" w:rsidP="00A31137">
      <w:r w:rsidRPr="00A31137">
        <w:t>We affirm the right of individuals to form, join, or assist labor organizations to bargain collectively, consistent with State laws. We support the right of States to enact Right-to-Work laws.</w:t>
      </w:r>
    </w:p>
    <w:p w:rsidR="00A31137" w:rsidRPr="00A31137" w:rsidRDefault="00A31137" w:rsidP="00A31137">
      <w:r w:rsidRPr="00A31137">
        <w:t>1992 Republican Platform, p.25</w:t>
      </w:r>
    </w:p>
    <w:p w:rsidR="00A31137" w:rsidRPr="00A31137" w:rsidRDefault="00A31137" w:rsidP="00A31137">
      <w:r w:rsidRPr="00A31137">
        <w:t>A Republican Congress will amend the Hobbs Act, so that union officials will not be exempt from the law' s prohibition against extortion and violence. We call for greater legal protection from violence for workers who stay on the job during strikes.</w:t>
      </w:r>
    </w:p>
    <w:p w:rsidR="00A31137" w:rsidRPr="00A31137" w:rsidRDefault="00A31137" w:rsidP="00A31137">
      <w:r w:rsidRPr="00A31137">
        <w:t>1992 Republican Platform, p.25</w:t>
      </w:r>
    </w:p>
    <w:p w:rsidR="00A31137" w:rsidRPr="00A31137" w:rsidRDefault="00A31137" w:rsidP="00A31137">
      <w:r w:rsidRPr="00A31137">
        <w:t xml:space="preserve">We support self-determination for Indian Tribes in managing their own affairs and resources. Recognizing the government-to-government trust responsibility, we aim to end dependency fostered by federal controls. Reservations and tribal lands held in trust should be free to become enterprise zones so their people can fully share in the Nation's prosperity. We will work with tribal governments to improve education, health, economic opportunity, and environmental conditions. We endorse efforts to preserve the culture and languages of Native Americans and Hawaiians and to ensure their equitable participation in federal programs. [p.29] </w:t>
      </w:r>
    </w:p>
    <w:p w:rsidR="00A31137" w:rsidRPr="00A31137" w:rsidRDefault="00A31137" w:rsidP="00A31137">
      <w:r w:rsidRPr="00A31137">
        <w:t>Uniting Our Country</w:t>
      </w:r>
    </w:p>
    <w:p w:rsidR="00A31137" w:rsidRPr="00A31137" w:rsidRDefault="00A31137" w:rsidP="00A31137">
      <w:r w:rsidRPr="00A31137">
        <w:t>1992 Republican Platform, p.29</w:t>
      </w:r>
    </w:p>
    <w:p w:rsidR="00A31137" w:rsidRPr="00A31137" w:rsidRDefault="00A31137" w:rsidP="00A31137">
      <w:r w:rsidRPr="00A31137">
        <w:t>Over the last four years, the United States has achieved our overriding objective since the end of World War II. Communism and other forms of planned economies lie in the ash heap of history, defeated not only by our military strength but by the force of our ideas-democracy and free enterprise.</w:t>
      </w:r>
    </w:p>
    <w:p w:rsidR="00A31137" w:rsidRPr="00A31137" w:rsidRDefault="00A31137" w:rsidP="00A31137">
      <w:r w:rsidRPr="00A31137">
        <w:t>1992 Republican Platform, p.29</w:t>
      </w:r>
    </w:p>
    <w:p w:rsidR="00A31137" w:rsidRPr="00A31137" w:rsidRDefault="00A31137" w:rsidP="00A31137">
      <w:r w:rsidRPr="00A31137">
        <w:t>Now a huge international market is evolving. Combined with America's low inflation and low interest rate environment, it presents us with unprecedented economic opportunity. We commit to the proposition that the American economy will remain first in the world. This is our goal. Achieving it will ensure that our people will enjoy the jobs, benefits, and economic growth to sustain the American dream for themselves and their posterity.</w:t>
      </w:r>
    </w:p>
    <w:p w:rsidR="00A31137" w:rsidRPr="00A31137" w:rsidRDefault="00A31137" w:rsidP="00A31137">
      <w:r w:rsidRPr="00A31137">
        <w:t>1992 Republican Platform, p.29</w:t>
      </w:r>
    </w:p>
    <w:p w:rsidR="00A31137" w:rsidRPr="00A31137" w:rsidRDefault="00A31137" w:rsidP="00A31137">
      <w:r w:rsidRPr="00A31137">
        <w:t>Republicans believe that the greatest engine for social change and economic progress is the entrepreneurial economy. We believe that America has broken down the lines of class to a greater degree than any society on earth, not because of government but because of an economic system that allows men and women to create wealth for themselves and their communities. We believe that positive change can occur and benefit all Americans if we continue to remove governmental barriers to entrepreneurship and, thus, economic growth.</w:t>
      </w:r>
    </w:p>
    <w:p w:rsidR="00A31137" w:rsidRPr="00A31137" w:rsidRDefault="00A31137" w:rsidP="00A31137">
      <w:r w:rsidRPr="00A31137">
        <w:t>1992 Republican Platform, p.29</w:t>
      </w:r>
    </w:p>
    <w:p w:rsidR="00A31137" w:rsidRPr="00A31137" w:rsidRDefault="00A31137" w:rsidP="00A31137">
      <w:r w:rsidRPr="00A31137">
        <w:t>Our cause embraces traditional ideals and modern realities. It both reforms and innovates. We aim to shape history through faith in one another. Because we look forward, we emphasize saving, investment, and job creation. We encourage innovation and the entrepreneurial spirit that are, together, part of our national character. We both conserve and develop our natural resources. Because we have learned from the past, we are determined to change what desperately needs changing in government.</w:t>
      </w:r>
    </w:p>
    <w:p w:rsidR="00A31137" w:rsidRPr="00A31137" w:rsidRDefault="00A31137" w:rsidP="00A31137">
      <w:r w:rsidRPr="00A31137">
        <w:t>1992 Republican Platform, p.29</w:t>
      </w:r>
    </w:p>
    <w:p w:rsidR="00A31137" w:rsidRPr="00A31137" w:rsidRDefault="00A31137" w:rsidP="00A31137">
      <w:r w:rsidRPr="00A31137">
        <w:t>Government does not have all the answers, but we know where to find them: in the spirit of our people. We know the weapons for this battle: economic and political liberty in the pursuit of happiness. We understand that material gain improves life only if it lifts us all to pursue higher ends: self-respect, work and study, a decent life and future for our children, and a useful old age.</w:t>
      </w:r>
    </w:p>
    <w:p w:rsidR="00A31137" w:rsidRPr="00A31137" w:rsidRDefault="00A31137" w:rsidP="00A31137">
      <w:r w:rsidRPr="00A31137">
        <w:t>1992 Republican Platform, p.29</w:t>
      </w:r>
    </w:p>
    <w:p w:rsidR="00A31137" w:rsidRPr="00A31137" w:rsidRDefault="00A31137" w:rsidP="00A31137">
      <w:r w:rsidRPr="00A31137">
        <w:t>So we rededicate ourselves to the truths the Nation keeps coming back to—the simple, spiritual truths about our family, our country, our world—for upon them we will build our more perfect union.</w:t>
      </w:r>
    </w:p>
    <w:p w:rsidR="00A31137" w:rsidRPr="00A31137" w:rsidRDefault="00A31137" w:rsidP="00A31137">
      <w:r w:rsidRPr="00A31137">
        <w:t>Security and Opportunity in a Changing Economy</w:t>
      </w:r>
    </w:p>
    <w:p w:rsidR="00A31137" w:rsidRPr="00A31137" w:rsidRDefault="00A31137" w:rsidP="00A31137">
      <w:r w:rsidRPr="00A31137">
        <w:t>1992 Republican Platform, p.29</w:t>
      </w:r>
    </w:p>
    <w:p w:rsidR="00A31137" w:rsidRPr="00A31137" w:rsidRDefault="00A31137" w:rsidP="00A31137">
      <w:r w:rsidRPr="00A31137">
        <w:t>Our economy is people, not statistics. The American people, not government, rescued the United States from an economic collapse triggered by [p.30] Democrats in the 1970s. Crippled by taxes, robbed by inflation, threatened by controls, stunned by interest rates, the people ended America's decline and restored hope across our country and around our world.</w:t>
      </w:r>
    </w:p>
    <w:p w:rsidR="00A31137" w:rsidRPr="00A31137" w:rsidRDefault="00A31137" w:rsidP="00A31137">
      <w:r w:rsidRPr="00A31137">
        <w:t>1992 Republican Platform, p.30</w:t>
      </w:r>
    </w:p>
    <w:p w:rsidR="00A31137" w:rsidRPr="00A31137" w:rsidRDefault="00A31137" w:rsidP="00A31137">
      <w:r w:rsidRPr="00A31137">
        <w:t>We launched an era of growth and prosperity such as the world had never seen: 20 million new jobs in the longest peacetime economic expansion in the history of the Republic. We curbed the size and power of the federal establishment. We lowered tax rates. We restored a sound dollar. We unleashed the might of free people to produce, compete, and triumph in free markets. We gave them the tools; they completed the job.</w:t>
      </w:r>
    </w:p>
    <w:p w:rsidR="00A31137" w:rsidRPr="00A31137" w:rsidRDefault="00A31137" w:rsidP="00A31137">
      <w:r w:rsidRPr="00A31137">
        <w:t>1992 Republican Platform, p.30</w:t>
      </w:r>
    </w:p>
    <w:p w:rsidR="00A31137" w:rsidRPr="00A31137" w:rsidRDefault="00A31137" w:rsidP="00A31137">
      <w:r w:rsidRPr="00A31137">
        <w:t>During the 1980s and into the present decade, the U.S. economy once again became the engine of global growth. Inflation has fallen to its lowest level in 30 years. Interest rates dropped 15 percentage points. Productivity has sharply risen. Exports are booming. Despite a global downturn in late 1990, real economic growth resumed last year and has continued for five consecutive quarters. With low interest rates and low inflation, the American economy is poised for stronger growth through the rest of the 1990s. Keeping inflation and interest rates low and stable through a sound monetary policy is essential for economic growth.</w:t>
      </w:r>
    </w:p>
    <w:p w:rsidR="00A31137" w:rsidRPr="00A31137" w:rsidRDefault="00A31137" w:rsidP="00A31137">
      <w:r w:rsidRPr="00A31137">
        <w:t>1992 Republican Platform, p.30</w:t>
      </w:r>
    </w:p>
    <w:p w:rsidR="00A31137" w:rsidRPr="00A31137" w:rsidRDefault="00A31137" w:rsidP="00A31137">
      <w:r w:rsidRPr="00A31137">
        <w:t>These gains were made in spite of the leaders of the Democrat Party. They continue to delay and defeat the President's agenda for growth, jobs, and prosperity. Spending faster than ever, they blocked Republican reforms that would have saved billions of wasted taxpayer dollars. They refused to give the President a line-item veto to curb their self-serving pork-barrel projects.</w:t>
      </w:r>
    </w:p>
    <w:p w:rsidR="00A31137" w:rsidRPr="00A31137" w:rsidRDefault="00A31137" w:rsidP="00A31137">
      <w:r w:rsidRPr="00A31137">
        <w:t>1992 Republican Platform, p.30</w:t>
      </w:r>
    </w:p>
    <w:p w:rsidR="00A31137" w:rsidRPr="00A31137" w:rsidRDefault="00A31137" w:rsidP="00A31137">
      <w:r w:rsidRPr="00A31137">
        <w:t>The congressional Democrat Leadership killed the Taxpayer Protection Amendment for a balanced budget in the Democrat-controlled House of Representatives. It was supported by 98 percent of the Republican Members; 57 percent of the Democrat Members voted no. Then they rigged parliamentary procedures to forbid a vote on that Amendment in the Democrat-controlled Senate. Every Republican Senator voted twice to end the filibuster, while more than 70 percent of the Democrats voted, twice, to keep the filibuster going. Their nominee this year for the Vice Presidency supported the filibuster and spurned the Balanced Budget Amendment.</w:t>
      </w:r>
    </w:p>
    <w:p w:rsidR="00A31137" w:rsidRPr="00A31137" w:rsidRDefault="00A31137" w:rsidP="00A31137">
      <w:r w:rsidRPr="00A31137">
        <w:t>1992 Republican Platform, p.30</w:t>
      </w:r>
    </w:p>
    <w:p w:rsidR="00A31137" w:rsidRPr="00A31137" w:rsidRDefault="00A31137" w:rsidP="00A31137">
      <w:r w:rsidRPr="00A31137">
        <w:t>They played citizens against one another, wallowing in the politics of hate and envy to smear the wonder of social mobility. They lied about America's achievement in the 1980s, rewriting history to erase the true accomplishments of the American people.</w:t>
      </w:r>
    </w:p>
    <w:p w:rsidR="00A31137" w:rsidRPr="00A31137" w:rsidRDefault="00A31137" w:rsidP="00A31137">
      <w:r w:rsidRPr="00A31137">
        <w:t>1992 Republican Platform, p.30</w:t>
      </w:r>
    </w:p>
    <w:p w:rsidR="00A31137" w:rsidRPr="00A31137" w:rsidRDefault="00A31137" w:rsidP="00A31137">
      <w:r w:rsidRPr="00A31137">
        <w:t>Keeping what you earn. The test of economic policy is whether it promotes economic growth and expands job opportunities. Lower taxes and an expanding [p.31] economy depend on long term, consistent restraint in the growth of federal spending.</w:t>
      </w:r>
    </w:p>
    <w:p w:rsidR="00A31137" w:rsidRPr="00A31137" w:rsidRDefault="00A31137" w:rsidP="00A31137">
      <w:r w:rsidRPr="00A31137">
        <w:t>1992 Republican Platform, p.31</w:t>
      </w:r>
    </w:p>
    <w:p w:rsidR="00A31137" w:rsidRPr="00A31137" w:rsidRDefault="00A31137" w:rsidP="00A31137">
      <w:r w:rsidRPr="00A31137">
        <w:t>In 1990, as the deficit was threatening to balloon and further harm the economy, the President pushed for cuts in government spending overall and for caps on mandatory spending. The Democrat Congress insisted, however, on a tax hike as their price for controlling spending. In short, the Democrats held the U.S. economy—and U.S. jobs—hostage in order to raise taxes, much as they had done to President Reagan.</w:t>
      </w:r>
    </w:p>
    <w:p w:rsidR="00A31137" w:rsidRPr="00A31137" w:rsidRDefault="00A31137" w:rsidP="00A31137">
      <w:r w:rsidRPr="00A31137">
        <w:t>1992 Republican Platform, p.31</w:t>
      </w:r>
    </w:p>
    <w:p w:rsidR="00A31137" w:rsidRPr="00A31137" w:rsidRDefault="00A31137" w:rsidP="00A31137">
      <w:r w:rsidRPr="00A31137">
        <w:t>Just as they did with President Reagan, the Democrat-controlled Congress promised President Bush they would abide by binding controls on federal spending; and just as with President Reagan, they broke their word. Republicans will not again agree to such a program.</w:t>
      </w:r>
    </w:p>
    <w:p w:rsidR="00A31137" w:rsidRPr="00A31137" w:rsidRDefault="00A31137" w:rsidP="00A31137">
      <w:r w:rsidRPr="00A31137">
        <w:t>1992 Republican Platform, p.31</w:t>
      </w:r>
    </w:p>
    <w:p w:rsidR="00A31137" w:rsidRPr="00A31137" w:rsidRDefault="00A31137" w:rsidP="00A31137">
      <w:r w:rsidRPr="00A31137">
        <w:t>This year, to create jobs and promote growth, President Bush submitted a program of tax cuts and incentives designed to get the economy moving again—a program very similar to one he had sent to Congress in early 1990. The Democrats' response was predictable—instead of cutting taxes, they passed a $100 billion tax increase that would have smothered growth and jobs. The President, true to our Republican philosophy, vetoed this tax hike, and sustained his veto with the support of Republicans in Congress.</w:t>
      </w:r>
    </w:p>
    <w:p w:rsidR="00A31137" w:rsidRPr="00A31137" w:rsidRDefault="00A31137" w:rsidP="00A31137">
      <w:r w:rsidRPr="00A31137">
        <w:t>1992 Republican Platform, p.31</w:t>
      </w:r>
    </w:p>
    <w:p w:rsidR="00A31137" w:rsidRPr="00A31137" w:rsidRDefault="00A31137" w:rsidP="00A31137">
      <w:r w:rsidRPr="00A31137">
        <w:t>Now a new Democrat nominee comes forward with his plan for the economy. With a clean piece of paper, and every opportunity to end his party's romance with taxes, he has instead proposed the largest tax increase in American history. His tax increases, his proposed mandated benefits on small firms, and his further reductions in defense would cost the jobs of 2.6 million Americans. With his present spending increases, his plan would greatly increase the federal budget and the deficit.</w:t>
      </w:r>
    </w:p>
    <w:p w:rsidR="00A31137" w:rsidRPr="00A31137" w:rsidRDefault="00A31137" w:rsidP="00A31137">
      <w:r w:rsidRPr="00A31137">
        <w:t>1992 Republican Platform, p.31</w:t>
      </w:r>
    </w:p>
    <w:p w:rsidR="00A31137" w:rsidRPr="00A31137" w:rsidRDefault="00A31137" w:rsidP="00A31137">
      <w:r w:rsidRPr="00A31137">
        <w:t>The simple truth for the American people is this: The only safeguard between themselves and Democrat tax increases is the use of the veto by George Bush and enough Republican votes in Congress to sustain it.</w:t>
      </w:r>
    </w:p>
    <w:p w:rsidR="00A31137" w:rsidRPr="00A31137" w:rsidRDefault="00A31137" w:rsidP="00A31137">
      <w:r w:rsidRPr="00A31137">
        <w:t>1992 Republican Platform, p.31</w:t>
      </w:r>
    </w:p>
    <w:p w:rsidR="00A31137" w:rsidRPr="00A31137" w:rsidRDefault="00A31137" w:rsidP="00A31137">
      <w:r w:rsidRPr="00A31137">
        <w:t>The truth is that the Democrat philosophy of bigger government and rigorous redistribution of income requires them to push for ever increasing spending and ever higher taxes.</w:t>
      </w:r>
    </w:p>
    <w:p w:rsidR="00A31137" w:rsidRPr="00A31137" w:rsidRDefault="00A31137" w:rsidP="00A31137">
      <w:r w:rsidRPr="00A31137">
        <w:t>1992 Republican Platform, p.31</w:t>
      </w:r>
    </w:p>
    <w:p w:rsidR="00A31137" w:rsidRPr="00A31137" w:rsidRDefault="00A31137" w:rsidP="00A31137">
      <w:r w:rsidRPr="00A31137">
        <w:t>The choice is clear—between George Bush, who vetoes tax increases, and his opponent, who proposes a $150 billion tax increase.</w:t>
      </w:r>
    </w:p>
    <w:p w:rsidR="00A31137" w:rsidRPr="00A31137" w:rsidRDefault="00A31137" w:rsidP="00A31137">
      <w:r w:rsidRPr="00A31137">
        <w:t>1992 Republican Platform, p.31</w:t>
      </w:r>
    </w:p>
    <w:p w:rsidR="00A31137" w:rsidRPr="00A31137" w:rsidRDefault="00A31137" w:rsidP="00A31137">
      <w:r w:rsidRPr="00A31137">
        <w:t>Our Republican position is equally clear: we will oppose any attempt to increase taxes. Furthermore, Republicans believe that the taxes insisted on by the [p.32] Democrats in the 1990 budget agreement were recessionary. The Democrat Congress held President Bush and indeed all Americans hostage, refusing to take even modest steps to control spending, unless taxes were increased. The American economy suffered as a result. We believe the tax increases of 1990 should ultimately be repealed.</w:t>
      </w:r>
    </w:p>
    <w:p w:rsidR="00A31137" w:rsidRPr="00A31137" w:rsidRDefault="00A31137" w:rsidP="00A31137">
      <w:r w:rsidRPr="00A31137">
        <w:t>1992 Republican Platform, p.32</w:t>
      </w:r>
    </w:p>
    <w:p w:rsidR="00A31137" w:rsidRPr="00A31137" w:rsidRDefault="00A31137" w:rsidP="00A31137">
      <w:r w:rsidRPr="00A31137">
        <w:t>Just as history shows that tax increases destroy jobs and economic growth, it also shows that the proper path to create jobs and growth is tax rate reduction.</w:t>
      </w:r>
    </w:p>
    <w:p w:rsidR="00A31137" w:rsidRPr="00A31137" w:rsidRDefault="00A31137" w:rsidP="00A31137">
      <w:r w:rsidRPr="00A31137">
        <w:t>1992 Republican Platform, p.32</w:t>
      </w:r>
    </w:p>
    <w:p w:rsidR="00A31137" w:rsidRPr="00A31137" w:rsidRDefault="00A31137" w:rsidP="00A31137">
      <w:r w:rsidRPr="00A31137">
        <w:t>We commend those congressional and senatorial candidates who pledge to oppose tax rate increases.</w:t>
      </w:r>
    </w:p>
    <w:p w:rsidR="00A31137" w:rsidRPr="00A31137" w:rsidRDefault="00A31137" w:rsidP="00A31137">
      <w:r w:rsidRPr="00A31137">
        <w:t>1992 Republican Platform, p.32</w:t>
      </w:r>
    </w:p>
    <w:p w:rsidR="00A31137" w:rsidRPr="00A31137" w:rsidRDefault="00A31137" w:rsidP="00A31137">
      <w:r w:rsidRPr="00A31137">
        <w:t>As the deficit comes under control, we aspire to further tax rate cuts, strengthening incentives to work, save, invest, and innovate. We also support President Bush's efforts to reduce federal spending and to cap the growth of non-Social Security entitlements.</w:t>
      </w:r>
    </w:p>
    <w:p w:rsidR="00A31137" w:rsidRPr="00A31137" w:rsidRDefault="00A31137" w:rsidP="00A31137">
      <w:r w:rsidRPr="00A31137">
        <w:t>1992 Republican Platform, p.32</w:t>
      </w:r>
    </w:p>
    <w:p w:rsidR="00A31137" w:rsidRPr="00A31137" w:rsidRDefault="00A31137" w:rsidP="00A31137">
      <w:r w:rsidRPr="00A31137">
        <w:t>Republicans want individuals and families to control their own economic destiny. Only long-term expansion of our economy and jobs can make the American dream a reality for generations to come. That is why we demand that the Congress do what President Bush called for last January: open a new era of growth and opportunity by enacting his comprehensive plan for economic recovery, including a reduction in the capital gains tax; an investment tax allowance; a $5,000 tax credit for first-time home buyers; a needed modification of the "passive loss rule"; a $500 increase in the personal income tax exemption; making permanent the research and development tax credit; and the passage of federal enterprise zone legislation.</w:t>
      </w:r>
    </w:p>
    <w:p w:rsidR="00A31137" w:rsidRPr="00A31137" w:rsidRDefault="00A31137" w:rsidP="00A31137">
      <w:r w:rsidRPr="00A31137">
        <w:t>1992 Republican Platform, p.32</w:t>
      </w:r>
    </w:p>
    <w:p w:rsidR="00A31137" w:rsidRPr="00A31137" w:rsidRDefault="00A31137" w:rsidP="00A31137">
      <w:r w:rsidRPr="00A31137">
        <w:t>We support restoring the deductibility of IRAs for all Americans, including full-time homemakers, and encourage savings for education and home ownership through Family Savings Accounts. The President's Family Savings Accounts will be an impetus to the economy. Let families use their IRAs for first time home purchases, for college education, and for medical emergencies.</w:t>
      </w:r>
    </w:p>
    <w:p w:rsidR="00A31137" w:rsidRPr="00A31137" w:rsidRDefault="00A31137" w:rsidP="00A31137">
      <w:r w:rsidRPr="00A31137">
        <w:t>1992 Republican Platform, p.32</w:t>
      </w:r>
    </w:p>
    <w:p w:rsidR="00A31137" w:rsidRPr="00A31137" w:rsidRDefault="00A31137" w:rsidP="00A31137">
      <w:r w:rsidRPr="00A31137">
        <w:t>We will cut the capital gains tax rate to 15 percent—zero in enterprise zones—and index it so government cannot profit from inflation by taxing phantom capital gains, literally stealing from savings and pensions.</w:t>
      </w:r>
    </w:p>
    <w:p w:rsidR="00A31137" w:rsidRPr="00A31137" w:rsidRDefault="00A31137" w:rsidP="00A31137">
      <w:r w:rsidRPr="00A31137">
        <w:t>1992 Republican Platform, p.32</w:t>
      </w:r>
    </w:p>
    <w:p w:rsidR="00A31137" w:rsidRPr="00A31137" w:rsidRDefault="00A31137" w:rsidP="00A31137">
      <w:r w:rsidRPr="00A31137">
        <w:t>We reject the notion advanced by Democrats that this enhances the wealthy. To the contrary, it would encourage investment, create new jobs, make capital available for business expansion, and contribute to economic expansion.</w:t>
      </w:r>
    </w:p>
    <w:p w:rsidR="00A31137" w:rsidRPr="00A31137" w:rsidRDefault="00A31137" w:rsidP="00A31137">
      <w:r w:rsidRPr="00A31137">
        <w:t>1992 Republican Platform, p.33</w:t>
      </w:r>
    </w:p>
    <w:p w:rsidR="00A31137" w:rsidRPr="00A31137" w:rsidRDefault="00A31137" w:rsidP="00A31137">
      <w:r w:rsidRPr="00A31137">
        <w:t>Reducing the tax on investment will be the biggest possible boost for the [p.33] new technologies, businesses, and jobs we need for the next century. If government taxes capital gains at such a high rate that there is no incentive to take risks, to build businesses, to invest, to create jobs, or to better oneself, then jobs and small businesses vanish and everyone's opportunities are diminished.</w:t>
      </w:r>
    </w:p>
    <w:p w:rsidR="00A31137" w:rsidRPr="00A31137" w:rsidRDefault="00A31137" w:rsidP="00A31137">
      <w:r w:rsidRPr="00A31137">
        <w:t>1992 Republican Platform, p.33</w:t>
      </w:r>
    </w:p>
    <w:p w:rsidR="00A31137" w:rsidRPr="00A31137" w:rsidRDefault="00A31137" w:rsidP="00A31137">
      <w:r w:rsidRPr="00A31137">
        <w:t>Cutting the rate, on the other hand, will help supply seed capital where it is needed most—in our poorest communities. Refusing to cut it will handcuff America in international competition and will shackle aspiring entrepreneurs in inner cities and poor rural areas. To encourage investment in new technologies, we will make permanent the research and development tax credit. For the same reason, we want to expand deductibility for investments in new plant and equipment.</w:t>
      </w:r>
    </w:p>
    <w:p w:rsidR="00A31137" w:rsidRPr="00A31137" w:rsidRDefault="00A31137" w:rsidP="00A31137">
      <w:r w:rsidRPr="00A31137">
        <w:t>1992 Republican Platform, p.33</w:t>
      </w:r>
    </w:p>
    <w:p w:rsidR="00A31137" w:rsidRPr="00A31137" w:rsidRDefault="00A31137" w:rsidP="00A31137">
      <w:r w:rsidRPr="00A31137">
        <w:t>We support further tax simplification. The tax code should create jobs for Americans, not profits for tax lawyers, lobbyists, and tax-shelters. Small businesses should spend more time hiring and producing, not filling out IRS forms.</w:t>
      </w:r>
    </w:p>
    <w:p w:rsidR="00A31137" w:rsidRPr="00A31137" w:rsidRDefault="00A31137" w:rsidP="00A31137">
      <w:r w:rsidRPr="00A31137">
        <w:t>1992 Republican Platform, p.33</w:t>
      </w:r>
    </w:p>
    <w:p w:rsidR="00A31137" w:rsidRPr="00A31137" w:rsidRDefault="00A31137" w:rsidP="00A31137">
      <w:r w:rsidRPr="00A31137">
        <w:t>We oppose taxing religious and ethnic fraternal benefit societies because of their vital role in fostering charity and patriotism.</w:t>
      </w:r>
    </w:p>
    <w:p w:rsidR="00A31137" w:rsidRPr="00A31137" w:rsidRDefault="00A31137" w:rsidP="00A31137">
      <w:r w:rsidRPr="00A31137">
        <w:t>1992 Republican Platform, p.33</w:t>
      </w:r>
    </w:p>
    <w:p w:rsidR="00A31137" w:rsidRPr="00A31137" w:rsidRDefault="00A31137" w:rsidP="00A31137">
      <w:r w:rsidRPr="00A31137">
        <w:t>We also oppose tax withholding on savings and dividends.</w:t>
      </w:r>
    </w:p>
    <w:p w:rsidR="00A31137" w:rsidRPr="00A31137" w:rsidRDefault="00A31137" w:rsidP="00A31137">
      <w:r w:rsidRPr="00A31137">
        <w:t>1992 Republican Platform, p.33</w:t>
      </w:r>
    </w:p>
    <w:p w:rsidR="00A31137" w:rsidRPr="00A31137" w:rsidRDefault="00A31137" w:rsidP="00A31137">
      <w:r w:rsidRPr="00A31137">
        <w:t>We applaud the efforts by President Bush to help workers who change jobs by enhancing the portability of pensions.</w:t>
      </w:r>
    </w:p>
    <w:p w:rsidR="00A31137" w:rsidRPr="00A31137" w:rsidRDefault="00A31137" w:rsidP="00A31137">
      <w:r w:rsidRPr="00A31137">
        <w:t>1992 Republican Platform, p.33</w:t>
      </w:r>
    </w:p>
    <w:p w:rsidR="00A31137" w:rsidRPr="00A31137" w:rsidRDefault="00A31137" w:rsidP="00A31137">
      <w:r w:rsidRPr="00A31137">
        <w:t>Leading Democrat Members of Congress have called for a national sales tax, or European style Value Added Tax (VAT), which would take billions of dollars out of the hands of American consumers. Such a tax has been imposed on many nations in Europe and has resulted in higher prices, fewer jobs, and higher levels of government spending. Republicans oppose the idea of putting a VAT on the backs of the American people.</w:t>
      </w:r>
    </w:p>
    <w:p w:rsidR="00A31137" w:rsidRPr="00A31137" w:rsidRDefault="00A31137" w:rsidP="00A31137">
      <w:r w:rsidRPr="00A31137">
        <w:t>1992 Republican Platform, p.33</w:t>
      </w:r>
    </w:p>
    <w:p w:rsidR="00A31137" w:rsidRPr="00A31137" w:rsidRDefault="00A31137" w:rsidP="00A31137">
      <w:r w:rsidRPr="00A31137">
        <w:t>Republicans believe in expanding the economy. Jobs and growth are our answer to the future.</w:t>
      </w:r>
    </w:p>
    <w:p w:rsidR="00A31137" w:rsidRPr="00A31137" w:rsidRDefault="00A31137" w:rsidP="00A31137">
      <w:r w:rsidRPr="00A31137">
        <w:t>1992 Republican Platform, p.33</w:t>
      </w:r>
    </w:p>
    <w:p w:rsidR="00A31137" w:rsidRPr="00A31137" w:rsidRDefault="00A31137" w:rsidP="00A31137">
      <w:r w:rsidRPr="00A31137">
        <w:t>The Future is the Family. The most dramatic change in the tax code in our lifetime is one that has never been explicitly enacted by Congress or reported as a specific news event. It is the gradual, year by year erosion of the personal exemption, until it was indexed by a Republican Administration in 1986.</w:t>
      </w:r>
    </w:p>
    <w:p w:rsidR="00A31137" w:rsidRPr="00A31137" w:rsidRDefault="00A31137" w:rsidP="00A31137">
      <w:r w:rsidRPr="00A31137">
        <w:t>1992 Republican Platform, p.33</w:t>
      </w:r>
    </w:p>
    <w:p w:rsidR="00A31137" w:rsidRPr="00A31137" w:rsidRDefault="00A31137" w:rsidP="00A31137">
      <w:r w:rsidRPr="00A31137">
        <w:t>Republicans also led the way in the 1980s by increasing the personal exemption from $1500 to $2000. This platform calls for another immediate increase of $500, but in the long run we are committed to fully restoring the inflation-adjusted value of the personal exemption. This will require reductions [p.34] in federal spending, which is why the best hope for tax fairness for America's families lies in a Republican Congress.</w:t>
      </w:r>
    </w:p>
    <w:p w:rsidR="00A31137" w:rsidRPr="00A31137" w:rsidRDefault="00A31137" w:rsidP="00A31137">
      <w:r w:rsidRPr="00A31137">
        <w:t>1992 Republican Platform, p.34</w:t>
      </w:r>
    </w:p>
    <w:p w:rsidR="00A31137" w:rsidRPr="00A31137" w:rsidRDefault="00A31137" w:rsidP="00A31137">
      <w:r w:rsidRPr="00A31137">
        <w:t>Liberation Through Deregulation. Government regulation is a hidden tax on American families, costing each household more than $5,000 every year. It stifles job creation and hobbles our national competitiveness. The "Iron Triangle" of special interests, federal bureaucrats, and Democrat congressional staff is robbing consumers and producers alike.</w:t>
      </w:r>
    </w:p>
    <w:p w:rsidR="00A31137" w:rsidRPr="00A31137" w:rsidRDefault="00A31137" w:rsidP="00A31137">
      <w:r w:rsidRPr="00A31137">
        <w:t>1992 Republican Platform, p.34</w:t>
      </w:r>
    </w:p>
    <w:p w:rsidR="00A31137" w:rsidRPr="00A31137" w:rsidRDefault="00A31137" w:rsidP="00A31137">
      <w:r w:rsidRPr="00A31137">
        <w:t>We support President Bush's freeze on new regulations. We applaud his Competitiveness Council, under Vice President Quayle, for fighting the regulatory mania, saving the public $20 billion with its initial 90-day moratorium on new regulations and billions more under the current 120-day freeze. We call for a permanent moratorium until our regulatory reforms are fully in place. They include market-based regulation, cost-benefit analysis of all new rule-making, and a Regulatory Budget that will make Congress admit—and correct—the harm it does by legislation that destroys jobs and competitiveness.</w:t>
      </w:r>
    </w:p>
    <w:p w:rsidR="00A31137" w:rsidRPr="00A31137" w:rsidRDefault="00A31137" w:rsidP="00A31137">
      <w:r w:rsidRPr="00A31137">
        <w:t>1992 Republican Platform, p.34</w:t>
      </w:r>
    </w:p>
    <w:p w:rsidR="00A31137" w:rsidRPr="00A31137" w:rsidRDefault="00A31137" w:rsidP="00A31137">
      <w:r w:rsidRPr="00A31137">
        <w:t>We recognize that property rights are being endangered by government over-regulation. We reaffirm the Constitutional right to private ownership of property; this right is paramount in our free society. Every rule that reduces the value of private property is what our Constitution calls a "taking." This under-the-table taxation is unfair, immoral, and economically destructive. We support legislation to require full compensation of property owners who are victims of regulatory takings.</w:t>
      </w:r>
    </w:p>
    <w:p w:rsidR="00A31137" w:rsidRPr="00A31137" w:rsidRDefault="00A31137" w:rsidP="00A31137">
      <w:r w:rsidRPr="00A31137">
        <w:t>1992 Republican Platform, p.34</w:t>
      </w:r>
    </w:p>
    <w:p w:rsidR="00A31137" w:rsidRPr="00A31137" w:rsidRDefault="00A31137" w:rsidP="00A31137">
      <w:r w:rsidRPr="00A31137">
        <w:t>Home ownership. The best housing policy is a non-inflationary, growing economy that has produced low mortgage rates and has made housing more affordable.</w:t>
      </w:r>
    </w:p>
    <w:p w:rsidR="00A31137" w:rsidRPr="00A31137" w:rsidRDefault="00A31137" w:rsidP="00A31137">
      <w:r w:rsidRPr="00A31137">
        <w:t>1992 Republican Platform, p.34</w:t>
      </w:r>
    </w:p>
    <w:p w:rsidR="00A31137" w:rsidRPr="00A31137" w:rsidRDefault="00A31137" w:rsidP="00A31137">
      <w:r w:rsidRPr="00A31137">
        <w:t>We demand Congress enact President's Bush's housing program introduced as part of his pro-growth package in January.</w:t>
      </w:r>
    </w:p>
    <w:p w:rsidR="00A31137" w:rsidRPr="00A31137" w:rsidRDefault="00A31137" w:rsidP="00A31137">
      <w:r w:rsidRPr="00A31137">
        <w:t>1992 Republican Platform, p.34</w:t>
      </w:r>
    </w:p>
    <w:p w:rsidR="00A31137" w:rsidRPr="00A31137" w:rsidRDefault="00A31137" w:rsidP="00A31137">
      <w:r w:rsidRPr="00A31137">
        <w:t>Provide a $5,000 tax credit for first-time home buyers and allow them penalty-free IRA withdrawals.</w:t>
      </w:r>
    </w:p>
    <w:p w:rsidR="00A31137" w:rsidRPr="00A31137" w:rsidRDefault="00A31137" w:rsidP="00A31137">
      <w:r w:rsidRPr="00A31137">
        <w:t>1992 Republican Platform, p.34</w:t>
      </w:r>
    </w:p>
    <w:p w:rsidR="00A31137" w:rsidRPr="00A31137" w:rsidRDefault="00A31137" w:rsidP="00A31137">
      <w:r w:rsidRPr="00A31137">
        <w:t>Set a modified "passive loss rule" for active real estate investors.</w:t>
      </w:r>
    </w:p>
    <w:p w:rsidR="00A31137" w:rsidRPr="00A31137" w:rsidRDefault="00A31137" w:rsidP="00A31137">
      <w:r w:rsidRPr="00A31137">
        <w:t>1992 Republican Platform, p.34</w:t>
      </w:r>
    </w:p>
    <w:p w:rsidR="00A31137" w:rsidRPr="00A31137" w:rsidRDefault="00A31137" w:rsidP="00A31137">
      <w:r w:rsidRPr="00A31137">
        <w:t>Extend tax preferences for mortgage revenue bonds and low-income housing.</w:t>
      </w:r>
    </w:p>
    <w:p w:rsidR="00A31137" w:rsidRPr="00A31137" w:rsidRDefault="00A31137" w:rsidP="00A31137">
      <w:r w:rsidRPr="00A31137">
        <w:t>1992 Republican Platform, p.34</w:t>
      </w:r>
    </w:p>
    <w:p w:rsidR="00A31137" w:rsidRPr="00A31137" w:rsidRDefault="00A31137" w:rsidP="00A31137">
      <w:r w:rsidRPr="00A31137">
        <w:t>And allow deductions for losses on personal residences.</w:t>
      </w:r>
    </w:p>
    <w:p w:rsidR="00A31137" w:rsidRPr="00A31137" w:rsidRDefault="00A31137" w:rsidP="00A31137">
      <w:r w:rsidRPr="00A31137">
        <w:t>1992 Republican Platform, p.35</w:t>
      </w:r>
    </w:p>
    <w:p w:rsidR="00A31137" w:rsidRPr="00A31137" w:rsidRDefault="00A31137" w:rsidP="00A31137">
      <w:r w:rsidRPr="00A31137">
        <w:t>The average American' s home is his or her primary asset. That asset [p.35] should be completely shielded from federal taxation, allowing the homeowner to maintain it or access it as he or she sees fit. We call for the complete elimination of the capital gains tax on the sale of a principal residence.</w:t>
      </w:r>
    </w:p>
    <w:p w:rsidR="00A31137" w:rsidRPr="00A31137" w:rsidRDefault="00A31137" w:rsidP="00A31137">
      <w:r w:rsidRPr="00A31137">
        <w:t>1992 Republican Platform, p.35</w:t>
      </w:r>
    </w:p>
    <w:p w:rsidR="00A31137" w:rsidRPr="00A31137" w:rsidRDefault="00A31137" w:rsidP="00A31137">
      <w:r w:rsidRPr="00A31137">
        <w:t>Owning a home is not just an investment. It is a commitment to the community, a guard against crime, a statement about family life. It is a crucial component of upward mobility. To advance these goals, Republicans are determined to preserve deductibility of mortgage interest.</w:t>
      </w:r>
    </w:p>
    <w:p w:rsidR="00A31137" w:rsidRPr="00A31137" w:rsidRDefault="00A31137" w:rsidP="00A31137">
      <w:r w:rsidRPr="00A31137">
        <w:t>1992 Republican Platform, p.35</w:t>
      </w:r>
    </w:p>
    <w:p w:rsidR="00A31137" w:rsidRPr="00A31137" w:rsidRDefault="00A31137" w:rsidP="00A31137">
      <w:r w:rsidRPr="00A31137">
        <w:t>Bureaucratic government imposes too many regulatory barriers to affordable housing. These barriers must come down.</w:t>
      </w:r>
    </w:p>
    <w:p w:rsidR="00A31137" w:rsidRPr="00A31137" w:rsidRDefault="00A31137" w:rsidP="00A31137">
      <w:r w:rsidRPr="00A31137">
        <w:t>1992 Republican Platform, p.35</w:t>
      </w:r>
    </w:p>
    <w:p w:rsidR="00A31137" w:rsidRPr="00A31137" w:rsidRDefault="00A31137" w:rsidP="00A31137">
      <w:r w:rsidRPr="00A31137">
        <w:t>We applaud efforts in the States to lower property taxes, which strike hardest at the poor, elderly, families with children, and family farmers. We advocate repeal of rent control laws, which help the affluent and hurt low-income families by causing housing shortages.</w:t>
      </w:r>
    </w:p>
    <w:p w:rsidR="00A31137" w:rsidRPr="00A31137" w:rsidRDefault="00A31137" w:rsidP="00A31137">
      <w:r w:rsidRPr="00A31137">
        <w:t>1992 Republican Platform, p.35</w:t>
      </w:r>
    </w:p>
    <w:p w:rsidR="00A31137" w:rsidRPr="00A31137" w:rsidRDefault="00A31137" w:rsidP="00A31137">
      <w:r w:rsidRPr="00A31137">
        <w:t>We support the FHA mortgage insurance program, the Government National Mortgage Association, the VA guarantee program, and other programs that enhance housing choices for all. We urge federal departments and agencies to work with the private sector to bring foreclosed housing stock back into service as soon as possible.</w:t>
      </w:r>
    </w:p>
    <w:p w:rsidR="00A31137" w:rsidRPr="00A31137" w:rsidRDefault="00A31137" w:rsidP="00A31137">
      <w:r w:rsidRPr="00A31137">
        <w:t>1992 Republican Platform, p.35</w:t>
      </w:r>
    </w:p>
    <w:p w:rsidR="00A31137" w:rsidRPr="00A31137" w:rsidRDefault="00A31137" w:rsidP="00A31137">
      <w:r w:rsidRPr="00A31137">
        <w:t>We reaffirm our commitment to open housing, without quotas or controls, as part of the opportunity we seek for all.</w:t>
      </w:r>
    </w:p>
    <w:p w:rsidR="00A31137" w:rsidRPr="00A31137" w:rsidRDefault="00A31137" w:rsidP="00A31137">
      <w:r w:rsidRPr="00A31137">
        <w:t>1992 Republican Platform, p.35</w:t>
      </w:r>
    </w:p>
    <w:p w:rsidR="00A31137" w:rsidRPr="00A31137" w:rsidRDefault="00A31137" w:rsidP="00A31137">
      <w:r w:rsidRPr="00A31137">
        <w:t>For low-income families, the Republican Party stands for a revolution in housing by converting public housing into homes owned by low-income Americans. President Bush is eager to work closely with the States to fight and win a new conservative war on poverty. The truest measure of our success will not be how many families we add to housing assistance rolls but, rather, how many families move into the ranks of homeownership. But every part of that opportunity agenda has been thwarted by landlord Democrats in Congress. We ask the electorate: End the strangulation of divided government. Give Republicans the chance to move housing policy off the Democrat Party plantation into the main-stream of American life. Resident management and ownership of public housing reflect this American mission, not only to assure political freedom but to allow all our fellow citizens to build a better life for themselves and their children.</w:t>
      </w:r>
    </w:p>
    <w:p w:rsidR="00A31137" w:rsidRPr="00A31137" w:rsidRDefault="00A31137" w:rsidP="00A31137">
      <w:r w:rsidRPr="00A31137">
        <w:t>1992 Republican Platform, p.35</w:t>
      </w:r>
    </w:p>
    <w:p w:rsidR="00A31137" w:rsidRPr="00A31137" w:rsidRDefault="00A31137" w:rsidP="00A31137">
      <w:r w:rsidRPr="00A31137">
        <w:t>Congressional Democrats have consistently blocked efforts to repeal the earnings test which prevents people over age 65 from keeping their jobs and remaining productive members of the workforce. The Social Security earnings test discriminates against senior citizens. These senior citizens have to pay the highest marginal tax rate of any Americans. We support repeal of the Social [p.36] Security earnings test.</w:t>
      </w:r>
    </w:p>
    <w:p w:rsidR="00A31137" w:rsidRPr="00A31137" w:rsidRDefault="00A31137" w:rsidP="00A31137">
      <w:r w:rsidRPr="00A31137">
        <w:t>1992 Republican Platform, p.36</w:t>
      </w:r>
    </w:p>
    <w:p w:rsidR="00A31137" w:rsidRPr="00A31137" w:rsidRDefault="00A31137" w:rsidP="00A31137">
      <w:r w:rsidRPr="00A31137">
        <w:t>Controlling Government Spending. For 12 years, Republicans in the White House and Congress have battled a Democrat system corrupt and contemptuous of the American taxpayer. Our Republican Presidents have vetoed one reckless bill after another. But liberal Democrats still control a rigged machine that keeps on spending the public' s money.</w:t>
      </w:r>
    </w:p>
    <w:p w:rsidR="00A31137" w:rsidRPr="00A31137" w:rsidRDefault="00A31137" w:rsidP="00A31137">
      <w:r w:rsidRPr="00A31137">
        <w:t>1992 Republican Platform, p.36</w:t>
      </w:r>
    </w:p>
    <w:p w:rsidR="00A31137" w:rsidRPr="00A31137" w:rsidRDefault="00A31137" w:rsidP="00A31137">
      <w:r w:rsidRPr="00A31137">
        <w:t>The only solution is for the voters to end divided government so that a Republican Congress can enact the Balanced Budget Amendment, requiring a super-majority for any future tax increases. And since the Democrat-controlled Congress has consistently voted clown a line-item veto amendment for the President to control specific wasteful pork barrel spending, a Republican Congress will adopt a line-item veto for the Presidency, restore Presidential power to rescind spending and to lower specific appropriations.</w:t>
      </w:r>
    </w:p>
    <w:p w:rsidR="00A31137" w:rsidRPr="00A31137" w:rsidRDefault="00A31137" w:rsidP="00A31137">
      <w:r w:rsidRPr="00A31137">
        <w:t>1992 Republican Platform, p.36</w:t>
      </w:r>
    </w:p>
    <w:p w:rsidR="00A31137" w:rsidRPr="00A31137" w:rsidRDefault="00A31137" w:rsidP="00A31137">
      <w:r w:rsidRPr="00A31137">
        <w:t>Deficits lave grown as Democrat Congresses have converted government assistance programs into entitlements and allowed spending to become uncontrolled. A Republican Congress, working with a Republican President, will consider non-Social Security mandatory spending portions of the federal budget when looking for savings.</w:t>
      </w:r>
    </w:p>
    <w:p w:rsidR="00A31137" w:rsidRPr="00A31137" w:rsidRDefault="00A31137" w:rsidP="00A31137">
      <w:r w:rsidRPr="00A31137">
        <w:t>1992 Republican Platform, p.36</w:t>
      </w:r>
    </w:p>
    <w:p w:rsidR="00A31137" w:rsidRPr="00A31137" w:rsidRDefault="00A31137" w:rsidP="00A31137">
      <w:r w:rsidRPr="00A31137">
        <w:t>When legislators and bureaucrats waste tax money, they deserve to lose their jobs. When they save money, they deserve praise. When federal programs have outlived their usefulness, they deserve a decent burial. When federal judges dare to seize the power of the purse, by ordering the imposition of taxes, they should be removed from office by the procedures provided by the Constitution.</w:t>
      </w:r>
    </w:p>
    <w:p w:rsidR="00A31137" w:rsidRPr="00A31137" w:rsidRDefault="00A31137" w:rsidP="00A31137">
      <w:r w:rsidRPr="00A31137">
        <w:t>1992 Republican Platform, p.36</w:t>
      </w:r>
    </w:p>
    <w:p w:rsidR="00A31137" w:rsidRPr="00A31137" w:rsidRDefault="00A31137" w:rsidP="00A31137">
      <w:r w:rsidRPr="00A31137">
        <w:t>The latest Democrat scam is to raise taxes for "investment"—a code word for more government spending. A Republican Congress will foster investment where it does the most good, by individuals within the private sector.</w:t>
      </w:r>
    </w:p>
    <w:p w:rsidR="00A31137" w:rsidRPr="00A31137" w:rsidRDefault="00A31137" w:rsidP="00A31137">
      <w:r w:rsidRPr="00A31137">
        <w:t>1992 Republican Platform, p.36</w:t>
      </w:r>
    </w:p>
    <w:p w:rsidR="00A31137" w:rsidRPr="00A31137" w:rsidRDefault="00A31137" w:rsidP="00A31137">
      <w:r w:rsidRPr="00A31137">
        <w:t>Job Creation and Small Business Opportunities. The engines of growth in a free economy are small businesses and jobs. Almost 99 percent of all businesses in America are considered small. Small business is the backbone of the American economy. For the past 12 years it has led the way in economic growth.</w:t>
      </w:r>
    </w:p>
    <w:p w:rsidR="00A31137" w:rsidRPr="00A31137" w:rsidRDefault="00A31137" w:rsidP="00A31137">
      <w:r w:rsidRPr="00A31137">
        <w:t>1992 Republican Platform, p.36</w:t>
      </w:r>
    </w:p>
    <w:p w:rsidR="00A31137" w:rsidRPr="00A31137" w:rsidRDefault="00A31137" w:rsidP="00A31137">
      <w:r w:rsidRPr="00A31137">
        <w:t>Small business generates 67 percent of all new jobs. Employment in industries dominated by small business increased more than twice as fast as in industries dominated by large businesses. Small business plays a critical role in America's economic health. What happens on Main Street drives what happens on Wall Street.</w:t>
      </w:r>
    </w:p>
    <w:p w:rsidR="00A31137" w:rsidRPr="00A31137" w:rsidRDefault="00A31137" w:rsidP="00A31137">
      <w:r w:rsidRPr="00A31137">
        <w:t>1992 Republican Platform, p.37</w:t>
      </w:r>
    </w:p>
    <w:p w:rsidR="00A31137" w:rsidRPr="00A31137" w:rsidRDefault="00A31137" w:rsidP="00A31137">
      <w:r w:rsidRPr="00A31137">
        <w:t>To create jobs and keep small business growing, the Republican Party [p.37] supports increased access to capital for business expansion, exporting, long term investment, opportunity capital for the disadvantaged, and capital to bring new products and new technology to the market.</w:t>
      </w:r>
    </w:p>
    <w:p w:rsidR="00A31137" w:rsidRPr="00A31137" w:rsidRDefault="00A31137" w:rsidP="00A31137">
      <w:r w:rsidRPr="00A31137">
        <w:t>1992 Republican Platform, p.37</w:t>
      </w:r>
    </w:p>
    <w:p w:rsidR="00A31137" w:rsidRPr="00A31137" w:rsidRDefault="00A31137" w:rsidP="00A31137">
      <w:r w:rsidRPr="00A31137">
        <w:t>The Republican Party enthusiastically encourages the passage of federal enterprise zones. Enterprise zones have been effective programs for promoting growth in urban and rural America. Republicans believe that the concept of enterprise zones is based on unyielding faith in the entrepreneurial spirit of all Americans. Enterprise zones foster individual initiative and government deregulation. The States have come a long way in developing successful enterprise zone programs. State programs could only benefit from federal efforts. Congress should follow the lead of President Bush and HUD Secretary Jack Kemp in passing the federal enterprise zone program that will empower communities by reducing government regulation and taxation.</w:t>
      </w:r>
    </w:p>
    <w:p w:rsidR="00A31137" w:rsidRPr="00A31137" w:rsidRDefault="00A31137" w:rsidP="00A31137">
      <w:r w:rsidRPr="00A31137">
        <w:t>1992 Republican Platform, p.37</w:t>
      </w:r>
    </w:p>
    <w:p w:rsidR="00A31137" w:rsidRPr="00A31137" w:rsidRDefault="00A31137" w:rsidP="00A31137">
      <w:r w:rsidRPr="00A31137">
        <w:t>The implementation of enterprise zones as an incentive for job creation and business development is also essential to further job and business opportunities. These efforts are bolstered by continued support of job training and minority business development programs, which have been created and implemented by the President's Administration within the last three years. This is of special import to women, who own 32 percent of the Nation's businesses, most of them small ones.</w:t>
      </w:r>
    </w:p>
    <w:p w:rsidR="00A31137" w:rsidRPr="00A31137" w:rsidRDefault="00A31137" w:rsidP="00A31137">
      <w:r w:rsidRPr="00A31137">
        <w:t>1992 Republican Platform, p.37</w:t>
      </w:r>
    </w:p>
    <w:p w:rsidR="00A31137" w:rsidRPr="00A31137" w:rsidRDefault="00A31137" w:rsidP="00A31137">
      <w:r w:rsidRPr="00A31137">
        <w:t>Because the regulation of securities markets bars most small businesses from easy access to capital, we also support the Small Business Administration's Section 7(a) loan guarantee program and similar efforts that essentially compensate for the burdens government itself imposes upon entrepreneurs.</w:t>
      </w:r>
    </w:p>
    <w:p w:rsidR="00A31137" w:rsidRPr="00A31137" w:rsidRDefault="00A31137" w:rsidP="00A31137">
      <w:r w:rsidRPr="00A31137">
        <w:t>1992 Republican Platform, p.37</w:t>
      </w:r>
    </w:p>
    <w:p w:rsidR="00A31137" w:rsidRPr="00A31137" w:rsidRDefault="00A31137" w:rsidP="00A31137">
      <w:r w:rsidRPr="00A31137">
        <w:t>Leading the Information Age. The Nation's telecommunications infrastructure will be essential to growth and competitiveness in the information age. The most far-reaching transformation of daily life since the harnessing of electricity will mean unprecedented opportunity for rural areas, reduced commuting, health care in the home, and empowerment for the disabled.</w:t>
      </w:r>
    </w:p>
    <w:p w:rsidR="00A31137" w:rsidRPr="00A31137" w:rsidRDefault="00A31137" w:rsidP="00A31137">
      <w:r w:rsidRPr="00A31137">
        <w:t>1992 Republican Platform, p.37</w:t>
      </w:r>
    </w:p>
    <w:p w:rsidR="00A31137" w:rsidRPr="00A31137" w:rsidRDefault="00A31137" w:rsidP="00A31137">
      <w:r w:rsidRPr="00A31137">
        <w:t>Today, however, government policy at both the federal and State levels is standing in the way of this telecommunications progress. Existing judicial, legislative, and regulatory market allocation schemes constitute a counterproductive industrial policy by prohibiting the full participation by all providers in all segments of the telecommunications marketplace. We need to liberate this future-oriented technology and, in turn, empower the American people by giving consumers a truly competitive choice and lower prices.</w:t>
      </w:r>
    </w:p>
    <w:p w:rsidR="00A31137" w:rsidRPr="00A31137" w:rsidRDefault="00A31137" w:rsidP="00A31137">
      <w:r w:rsidRPr="00A31137">
        <w:t>1992 Republican Platform, p.37</w:t>
      </w:r>
    </w:p>
    <w:p w:rsidR="00A31137" w:rsidRPr="00A31137" w:rsidRDefault="00A31137" w:rsidP="00A31137">
      <w:r w:rsidRPr="00A31137">
        <w:t>As a result, we Republicans believe that full and open competition in the telecommunications marketplace is the most effective means for the U. S. to [p.38] achieve our goal of having the most technologically advanced telecommunications infrastructure in the world.</w:t>
      </w:r>
    </w:p>
    <w:p w:rsidR="00A31137" w:rsidRPr="00A31137" w:rsidRDefault="00A31137" w:rsidP="00A31137">
      <w:r w:rsidRPr="00A31137">
        <w:t>1992 Republican Platform, p.38</w:t>
      </w:r>
    </w:p>
    <w:p w:rsidR="00A31137" w:rsidRPr="00A31137" w:rsidRDefault="00A31137" w:rsidP="00A31137">
      <w:r w:rsidRPr="00A31137">
        <w:t>Jobs Through Science and Technology. We believe technology holds the key to America' s future—and the future is bright. America is not in decline. America is still the land of opportunity. The new horizon is science and technology. New discoveries, new challenges, and new opportunities await us. Science and technology offer us change—exciting, dramatic, and positive change in the well-being of every American.</w:t>
      </w:r>
    </w:p>
    <w:p w:rsidR="00A31137" w:rsidRPr="00A31137" w:rsidRDefault="00A31137" w:rsidP="00A31137">
      <w:r w:rsidRPr="00A31137">
        <w:t>1992 Republican Platform, p.38</w:t>
      </w:r>
    </w:p>
    <w:p w:rsidR="00A31137" w:rsidRPr="00A31137" w:rsidRDefault="00A31137" w:rsidP="00A31137">
      <w:r w:rsidRPr="00A31137">
        <w:t>Scientific research and development in genetics, biotechnology, and electronics will provide better, more affordable health care for all Americans. Distance learning, through technology, will help bring exciting, quality, affordable education to all students, even in rural areas and inner cities. Technology will help us conquer disease, protect the environment, and provide a more abundant, healthier food supply. And technology will lead to better jobs and a better quality of life for all of us—and for our children and our children's children.</w:t>
      </w:r>
    </w:p>
    <w:p w:rsidR="00A31137" w:rsidRPr="00A31137" w:rsidRDefault="00A31137" w:rsidP="00A31137">
      <w:r w:rsidRPr="00A31137">
        <w:t>1992 Republican Platform, p.38</w:t>
      </w:r>
    </w:p>
    <w:p w:rsidR="00A31137" w:rsidRPr="00A31137" w:rsidRDefault="00A31137" w:rsidP="00A31137">
      <w:r w:rsidRPr="00A31137">
        <w:t>Scientific and technological developments in telecommunications, high performance computers, high speed data networks, digitization, advanced software, biotechnology, high energy physics, advanced materials, superconductors, manufacturing processes, energy, transportation, agriculture, oceanography, atmospheric studies, geological research, space, and the environment are some of the keys to increases in productivity. And increases in productivity will create economic growth and a higher standard of living for all of us. Technology is also critical to our national defense.</w:t>
      </w:r>
    </w:p>
    <w:p w:rsidR="00A31137" w:rsidRPr="00A31137" w:rsidRDefault="00A31137" w:rsidP="00A31137">
      <w:r w:rsidRPr="00A31137">
        <w:t>1992 Republican Platform, p.38</w:t>
      </w:r>
    </w:p>
    <w:p w:rsidR="00A31137" w:rsidRPr="00A31137" w:rsidRDefault="00A31137" w:rsidP="00A31137">
      <w:r w:rsidRPr="00A31137">
        <w:t>We believe America must make technological development one of its highest priorities. We therefore support efforts to promote science and technology—providing funding for basic research, supporting investment in emerging technologies, improving education in science and engineering, enhancing tax credits for research and development, eliminating unnecessary regulation to create competitive markets, and protecting intellectual property. We further support efforts to increase the pace of technology transfer from the government to the private sector, where the fruits of this research can be used in the free market to create new processes, products, and most important, jobs.</w:t>
      </w:r>
    </w:p>
    <w:p w:rsidR="00A31137" w:rsidRPr="00A31137" w:rsidRDefault="00A31137" w:rsidP="00A31137">
      <w:r w:rsidRPr="00A31137">
        <w:t>1992 Republican Platform, p.38</w:t>
      </w:r>
    </w:p>
    <w:p w:rsidR="00A31137" w:rsidRPr="00A31137" w:rsidRDefault="00A31137" w:rsidP="00A31137">
      <w:r w:rsidRPr="00A31137">
        <w:t>We believe these policies will make us internationally competitive and will lead to a bright and prosperous future for our Nation.</w:t>
      </w:r>
    </w:p>
    <w:p w:rsidR="00A31137" w:rsidRPr="00A31137" w:rsidRDefault="00A31137" w:rsidP="00A31137">
      <w:r w:rsidRPr="00A31137">
        <w:t>1992 Republican Platform, p.38</w:t>
      </w:r>
    </w:p>
    <w:p w:rsidR="00A31137" w:rsidRPr="00A31137" w:rsidRDefault="00A31137" w:rsidP="00A31137">
      <w:r w:rsidRPr="00A31137">
        <w:t>President Bush has provided leadership in this arena by developing budgets allocating major new resources to scientific endeavors. The National Science Foundation, the National Institutes of Health, the National Aeronautics [p.39] and Space Administration (NASA), and the research and development program in the Departments of Energy and Commerce have all become budget priorities under the President's leadership. The sad fact is, however, that the Democrat Congress has cut steadily and sharply in science areas in order to expand spending on social programs. This is short-sighted; the truth is that American innovation in science and engineering will expand our economy and jobs to greater social advantage to all Americans. A Republican Congress working with President Bush would reflect our interest in advancing scientific inquiry and assuring the resulting economic benefits for all Americans.</w:t>
      </w:r>
    </w:p>
    <w:p w:rsidR="00A31137" w:rsidRPr="00A31137" w:rsidRDefault="00A31137" w:rsidP="00A31137">
      <w:r w:rsidRPr="00A31137">
        <w:t>1992 Republican Platform, p.39</w:t>
      </w:r>
    </w:p>
    <w:p w:rsidR="00A31137" w:rsidRPr="00A31137" w:rsidRDefault="00A31137" w:rsidP="00A31137">
      <w:r w:rsidRPr="00A31137">
        <w:t>Space. We are a pioneer people. Today's telecommunications revolution began with the first satellites of the Eisenhower years. So too, what we now do—or fail to do—in space will determine the future for generations to come.</w:t>
      </w:r>
    </w:p>
    <w:p w:rsidR="00A31137" w:rsidRPr="00A31137" w:rsidRDefault="00A31137" w:rsidP="00A31137">
      <w:r w:rsidRPr="00A31137">
        <w:t>1992 Republican Platform, p.39</w:t>
      </w:r>
    </w:p>
    <w:p w:rsidR="00A31137" w:rsidRPr="00A31137" w:rsidRDefault="00A31137" w:rsidP="00A31137">
      <w:r w:rsidRPr="00A31137">
        <w:t>That is why President Bush established the National Space Council under Vice President Quayle. Together, they rescued a floundering program, revamped NASA, opened up competition, and engaged the best minds of academia and research in a twofold mission for mankind. Mission to Planet Earth will define and perhaps mitigate effects on our fragile environment. Mission from Planet Earth will open space for science and industry. Especially in this Columbian year, we hail the President's decision "to return to the moon, this time to stay, and then a journey to tomorrow, a mission to Mars."</w:t>
      </w:r>
    </w:p>
    <w:p w:rsidR="00A31137" w:rsidRPr="00A31137" w:rsidRDefault="00A31137" w:rsidP="00A31137">
      <w:r w:rsidRPr="00A31137">
        <w:t>1992 Republican Platform, p.39</w:t>
      </w:r>
    </w:p>
    <w:p w:rsidR="00A31137" w:rsidRPr="00A31137" w:rsidRDefault="00A31137" w:rsidP="00A31137">
      <w:r w:rsidRPr="00A31137">
        <w:t>Investments in space, though aimed at the future, pay dividends right now—in research and medicine, in international competitiveness and domestic opportunity. This must not be diverted to political pork barrels. The journey to the stars used to be a bipartisan adventure, but many Democrat officeholders have jumped ship.</w:t>
      </w:r>
    </w:p>
    <w:p w:rsidR="00A31137" w:rsidRPr="00A31137" w:rsidRDefault="00A31137" w:rsidP="00A31137">
      <w:r w:rsidRPr="00A31137">
        <w:t>1992 Republican Platform, p.39</w:t>
      </w:r>
    </w:p>
    <w:p w:rsidR="00A31137" w:rsidRPr="00A31137" w:rsidRDefault="00A31137" w:rsidP="00A31137">
      <w:r w:rsidRPr="00A31137">
        <w:t>Republicans, by contrast, are determined to complete Space Station Freedom within this decade. Our agenda is to lower the cost of access to space, and to broaden that access to the private sector, with a family of new launchers; to build and fly sensors for the global environment; and to advance cutting-edge capabilities like the National Aerospace Plane and single-stage-to-orbit rockets, so technological breakthroughs can be quickly exploited. We will promote space-based industry and ensure that space remains a frontier for private enterprise, not a restricted preserve for government. We will continue international cooperation in space ventures and welcome Russia's cosmonauts and citizens of other nations to fly for freedom.</w:t>
      </w:r>
    </w:p>
    <w:p w:rsidR="00A31137" w:rsidRPr="00A31137" w:rsidRDefault="00A31137" w:rsidP="00A31137">
      <w:r w:rsidRPr="00A31137">
        <w:t>1992 Republican Platform, p.39</w:t>
      </w:r>
    </w:p>
    <w:p w:rsidR="00A31137" w:rsidRPr="00A31137" w:rsidRDefault="00A31137" w:rsidP="00A31137">
      <w:r w:rsidRPr="00A31137">
        <w:t>Banking and Job Creation. Job creation and economic growth are dependent on a healthy and competitive financial services system that can respond to the needs of the market. The Democrat Congress stalled Republican legislation to prevent the savings and loan crisis. Then, last year, the Congress refused to pass [p.40] the Republican Administration's comprehensive financial sector reform bill to strengthen our banking industry and let it compete, both domestically and internationally, consistent with the principles of safety and soundness.</w:t>
      </w:r>
    </w:p>
    <w:p w:rsidR="00A31137" w:rsidRPr="00A31137" w:rsidRDefault="00A31137" w:rsidP="00A31137">
      <w:r w:rsidRPr="00A31137">
        <w:t>1992 Republican Platform, p.40</w:t>
      </w:r>
    </w:p>
    <w:p w:rsidR="00A31137" w:rsidRPr="00A31137" w:rsidRDefault="00A31137" w:rsidP="00A31137">
      <w:r w:rsidRPr="00A31137">
        <w:t>We applaud the President' s efforts to alleviate the continuing problems caused by a lack of funds available to creditworthy borrowers in small businesses and the housing industry. We endorse his efforts to restrain overzealous regulators, reduce regulatory compliance costs, strengthen financial institutions through diversification, and reduce unnecessary barriers to lending.</w:t>
      </w:r>
    </w:p>
    <w:p w:rsidR="00A31137" w:rsidRPr="00A31137" w:rsidRDefault="00A31137" w:rsidP="00A31137">
      <w:r w:rsidRPr="00A31137">
        <w:t>1992 Republican Platform, p.40</w:t>
      </w:r>
    </w:p>
    <w:p w:rsidR="00A31137" w:rsidRPr="00A31137" w:rsidRDefault="00A31137" w:rsidP="00A31137">
      <w:r w:rsidRPr="00A31137">
        <w:t>Trade: A New World of Growth. Four years ago, the American people faced an historic decision: compete or retreat. They chose, with President Bush, to compete in the international arena. Rather than retreat with the Democrats to the limits of yesteryear, they decided to attack the international marketplace with characteristic American vigor. Just as George Bush is a proven world leader on the military front, equally he is an economic world leader.</w:t>
      </w:r>
    </w:p>
    <w:p w:rsidR="00A31137" w:rsidRPr="00A31137" w:rsidRDefault="00A31137" w:rsidP="00A31137">
      <w:r w:rsidRPr="00A31137">
        <w:t>1992 Republican Platform, p.40</w:t>
      </w:r>
    </w:p>
    <w:p w:rsidR="00A31137" w:rsidRPr="00A31137" w:rsidRDefault="00A31137" w:rsidP="00A31137">
      <w:r w:rsidRPr="00A31137">
        <w:t>The results are spectacular. We have cut the trade deficit in half in just four years. The United States is again the world's top exporter. Exports drive our economy. Every $1 billion in exports creates 20,000 new jobs for Americans. Exports have created nearly two million new jobs at home since 1988.</w:t>
      </w:r>
    </w:p>
    <w:p w:rsidR="00A31137" w:rsidRPr="00A31137" w:rsidRDefault="00A31137" w:rsidP="00A31137">
      <w:r w:rsidRPr="00A31137">
        <w:t>1992 Republican Platform, p.40</w:t>
      </w:r>
    </w:p>
    <w:p w:rsidR="00A31137" w:rsidRPr="00A31137" w:rsidRDefault="00A31137" w:rsidP="00A31137">
      <w:r w:rsidRPr="00A31137">
        <w:t>We are tough free traders, battling to sweep away barriers to our exports. We are waging the Uruguay Round of the General Agreement on Tariffs and Trade (GATT) negotiations to win worldwide reductions in tariffs, elimination of subsidies, and protection of American intellectual property rights. We are fighting to reduce farm subsidies in the European Community and to break up their government-industry collusion in production of civil aircraft. We firmly endorse President Bush's policy to support the Republic of China on Taiwan in international trade and her accession to GATT. Major market access gains have been made with Japan, with American manufacturing exports tripling since 1985. Throughout the world, we enforced greater compliance with U.S. trade rights. And we are making every effort to bring home a Uruguay Round agreement that is not only good for America, but great for tomorrow's entrepreneurs everywhere.</w:t>
      </w:r>
    </w:p>
    <w:p w:rsidR="00A31137" w:rsidRPr="00A31137" w:rsidRDefault="00A31137" w:rsidP="00A31137">
      <w:r w:rsidRPr="00A31137">
        <w:t>1992 Republican Platform, p.40</w:t>
      </w:r>
    </w:p>
    <w:p w:rsidR="00A31137" w:rsidRPr="00A31137" w:rsidRDefault="00A31137" w:rsidP="00A31137">
      <w:r w:rsidRPr="00A31137">
        <w:t>The free trade agenda for the next four years starts with the signing of a North American Free Trade Agreement (NAFTA) with Mexico, completing the establishment of a free trade area which already includes Canada. NAFTA will create the largest market in the world, greater than the European Community, with 360 million consumers and a total output of six trillion dollars. It means a net gain of hundreds of thousands of American jobs.</w:t>
      </w:r>
    </w:p>
    <w:p w:rsidR="00A31137" w:rsidRPr="00A31137" w:rsidRDefault="00A31137" w:rsidP="00A31137">
      <w:r w:rsidRPr="00A31137">
        <w:t>1992 Republican Platform, p.41</w:t>
      </w:r>
    </w:p>
    <w:p w:rsidR="00A31137" w:rsidRPr="00A31137" w:rsidRDefault="00A31137" w:rsidP="00A31137">
      <w:r w:rsidRPr="00A31137">
        <w:t>We acknowledge the possible effects on regional markets, specifically [p.41] agriculture. We encourage our negotiators to be sensitive to those market concerns.</w:t>
      </w:r>
    </w:p>
    <w:p w:rsidR="00A31137" w:rsidRPr="00A31137" w:rsidRDefault="00A31137" w:rsidP="00A31137">
      <w:r w:rsidRPr="00A31137">
        <w:t>1992 Republican Platform, p.41</w:t>
      </w:r>
    </w:p>
    <w:p w:rsidR="00A31137" w:rsidRPr="00A31137" w:rsidRDefault="00A31137" w:rsidP="00A31137">
      <w:r w:rsidRPr="00A31137">
        <w:t>We will continue to fill the Pacific Rim with American exports, negotiating trade agreements with other Asian economies, and will complete our efforts—such as the Structural Impediments Initiative with Japan—to reduce barriers to American goods and services. And we will continue to negotiate the Enterprise for the Americas Initiative with Latin America as a first step in creating a hemispheric free trade zone.</w:t>
      </w:r>
    </w:p>
    <w:p w:rsidR="00A31137" w:rsidRPr="00A31137" w:rsidRDefault="00A31137" w:rsidP="00A31137">
      <w:r w:rsidRPr="00A31137">
        <w:t>1992 Republican Platform, p.41</w:t>
      </w:r>
    </w:p>
    <w:p w:rsidR="00A31137" w:rsidRPr="00A31137" w:rsidRDefault="00A31137" w:rsidP="00A31137">
      <w:r w:rsidRPr="00A31137">
        <w:t>Congress should report to the American people the cost to workers, consumers, and businesses of every Democrat trade restriction, trade tax, or trade quota bill it considers. We will not tolerate their obstructing the greatest expansion of international trade in history. Republicans welcome this opportunity; for we know America's workers, thinkers, and builders will make the most of it.</w:t>
      </w:r>
    </w:p>
    <w:p w:rsidR="00A31137" w:rsidRPr="00A31137" w:rsidRDefault="00A31137" w:rsidP="00A31137">
      <w:r w:rsidRPr="00A31137">
        <w:t>1992 Republican Platform, p.41</w:t>
      </w:r>
    </w:p>
    <w:p w:rsidR="00A31137" w:rsidRPr="00A31137" w:rsidRDefault="00A31137" w:rsidP="00A31137">
      <w:r w:rsidRPr="00A31137">
        <w:t>International Economic Policy. Twelve years ago, we unleashed a tidal wave of freedom around the world—not just political, but economic liberty as well. What works in America—personal responsibility, limited government, competition—works throughout the world.</w:t>
      </w:r>
    </w:p>
    <w:p w:rsidR="00A31137" w:rsidRPr="00A31137" w:rsidRDefault="00A31137" w:rsidP="00A31137">
      <w:r w:rsidRPr="00A31137">
        <w:t>1992 Republican Platform, p.41</w:t>
      </w:r>
    </w:p>
    <w:p w:rsidR="00A31137" w:rsidRPr="00A31137" w:rsidRDefault="00A31137" w:rsidP="00A31137">
      <w:r w:rsidRPr="00A31137">
        <w:t>Because the world economy is interdependent, the United States has been affected by downturns elsewhere, particularly since 1990 with the crash of the Japanese stock market and Germany's economic difficulties. Now, as progress resumes, the Republican plan for global growth is vital for all nations, developed or otherwise. The continuing prosperity of our neighborhoods will depend in part upon the masterful diplomacy we have come to expect from President Bush.</w:t>
      </w:r>
    </w:p>
    <w:p w:rsidR="00A31137" w:rsidRPr="00A31137" w:rsidRDefault="00A31137" w:rsidP="00A31137">
      <w:r w:rsidRPr="00A31137">
        <w:t>1992 Republican Platform, p.41</w:t>
      </w:r>
    </w:p>
    <w:p w:rsidR="00A31137" w:rsidRPr="00A31137" w:rsidRDefault="00A31137" w:rsidP="00A31137">
      <w:r w:rsidRPr="00A31137">
        <w:t>Economic freedom is an essential link to our foreign policy. It means expanded trade, but it also means dynamic growth based on shared values—a coming together of nations in the commonwealth of peaceful progress. To that end, U.S. aid, whether bilateral or through international organizations, should promote market reforms, limit regulation, and encourage free trade.</w:t>
      </w:r>
    </w:p>
    <w:p w:rsidR="00A31137" w:rsidRPr="00A31137" w:rsidRDefault="00A31137" w:rsidP="00A31137">
      <w:r w:rsidRPr="00A31137">
        <w:t>1992 Republican Platform, p.41</w:t>
      </w:r>
    </w:p>
    <w:p w:rsidR="00A31137" w:rsidRPr="00A31137" w:rsidRDefault="00A31137" w:rsidP="00A31137">
      <w:r w:rsidRPr="00A31137">
        <w:t>Chief among these market reforms should be the privatization of state-owned industries such as telecommunications, power, mining, and refining. Privatization should afford American companies the opportunity to purchase some of these assets, bring competition to these countries, and substantially reduce our trade deficit. The United States government should take all possible steps to assist American companies wishing to invest in privatized industries by adopting policies, rules, and regulations that will equitably facilitate these ventures, especially for small businesses.</w:t>
      </w:r>
    </w:p>
    <w:p w:rsidR="00A31137" w:rsidRPr="00A31137" w:rsidRDefault="00A31137" w:rsidP="00A31137">
      <w:r w:rsidRPr="00A31137">
        <w:t>1992 Republican Platform, p.41</w:t>
      </w:r>
    </w:p>
    <w:p w:rsidR="00A31137" w:rsidRPr="00A31137" w:rsidRDefault="00A31137" w:rsidP="00A31137">
      <w:r w:rsidRPr="00A31137">
        <w:t>We will work with developing nations to make their economies attractive to private investment and will support innovations to guarantee repayment of [p.42] their loans, including debt for equity swaps. Our experience can help them develop environmentally rational strategies for growth.</w:t>
      </w:r>
    </w:p>
    <w:p w:rsidR="00A31137" w:rsidRPr="00A31137" w:rsidRDefault="00A31137" w:rsidP="00A31137">
      <w:r w:rsidRPr="00A31137">
        <w:t>1992 Republican Platform, p.42</w:t>
      </w:r>
    </w:p>
    <w:p w:rsidR="00A31137" w:rsidRPr="00A31137" w:rsidRDefault="00A31137" w:rsidP="00A31137">
      <w:r w:rsidRPr="00A31137">
        <w:t>Because we uphold the family as the building block of economic progress, we protect its rights in international programs and will continue to withhold funds from organizations involved in abortion.</w:t>
      </w:r>
    </w:p>
    <w:p w:rsidR="00A31137" w:rsidRPr="00A31137" w:rsidRDefault="00A31137" w:rsidP="00A31137">
      <w:r w:rsidRPr="00A31137">
        <w:t>1992 Republican Platform, p.42</w:t>
      </w:r>
    </w:p>
    <w:p w:rsidR="00A31137" w:rsidRPr="00A31137" w:rsidRDefault="00A31137" w:rsidP="00A31137">
      <w:r w:rsidRPr="00A31137">
        <w:t>Most important, we encourage developing nations to adopt both democracy and free markets. The two are inextricably tied and afford all people the greatest opportunities.</w:t>
      </w:r>
    </w:p>
    <w:p w:rsidR="00A31137" w:rsidRPr="00A31137" w:rsidRDefault="00A31137" w:rsidP="00A31137">
      <w:r w:rsidRPr="00A31137">
        <w:t>Reforming Government and the Legal System</w:t>
      </w:r>
    </w:p>
    <w:p w:rsidR="00A31137" w:rsidRPr="00A31137" w:rsidRDefault="00A31137" w:rsidP="00A31137">
      <w:r w:rsidRPr="00A31137">
        <w:t>1992 Republican Platform, p.42</w:t>
      </w:r>
    </w:p>
    <w:p w:rsidR="00A31137" w:rsidRPr="00A31137" w:rsidRDefault="00A31137" w:rsidP="00A31137">
      <w:r w:rsidRPr="00A31137">
        <w:t>Two centuries ago, the American people created a miracle—a system of government, rounded on limited authority and the rule of law, a system that made government the servant of the people. Today it is in shambles. Citizens feel overwhelmed by vast bureaucracies. Congress insulates incumbents from public judgment. Huge problems get worse while committee chairmen play partisan games. The current legal system tends to breed delay, cost, confusion, and jargon—everything but justice. Many of our once-great cities are controlled by one-party machines that promote and encourage corruption and incompetence.</w:t>
      </w:r>
    </w:p>
    <w:p w:rsidR="00A31137" w:rsidRPr="00A31137" w:rsidRDefault="00A31137" w:rsidP="00A31137">
      <w:r w:rsidRPr="00A31137">
        <w:t>1992 Republican Platform, p.42</w:t>
      </w:r>
    </w:p>
    <w:p w:rsidR="00A31137" w:rsidRPr="00A31137" w:rsidRDefault="00A31137" w:rsidP="00A31137">
      <w:r w:rsidRPr="00A31137">
        <w:t>The Republic has not failed; the Democrat Party bosses failed the Republic.</w:t>
      </w:r>
    </w:p>
    <w:p w:rsidR="00A31137" w:rsidRPr="00A31137" w:rsidRDefault="00A31137" w:rsidP="00A31137">
      <w:r w:rsidRPr="00A31137">
        <w:t>1992 Republican Platform, p.42</w:t>
      </w:r>
    </w:p>
    <w:p w:rsidR="00A31137" w:rsidRPr="00A31137" w:rsidRDefault="00A31137" w:rsidP="00A31137">
      <w:r w:rsidRPr="00A31137">
        <w:t>The Republican Party, now as at its rounding, challenges a debased status quo. In Congress, the States, our cities, our courtrooms, we fight for the basics of self-government.</w:t>
      </w:r>
    </w:p>
    <w:p w:rsidR="00A31137" w:rsidRPr="00A31137" w:rsidRDefault="00A31137" w:rsidP="00A31137">
      <w:r w:rsidRPr="00A31137">
        <w:t>1992 Republican Platform, p.42</w:t>
      </w:r>
    </w:p>
    <w:p w:rsidR="00A31137" w:rsidRPr="00A31137" w:rsidRDefault="00A31137" w:rsidP="00A31137">
      <w:r w:rsidRPr="00A31137">
        <w:t>We rely on what works, judging programs by how well they do instead of how much they spend. The Democrats believe in more government. Republicans believe in leaner, more effective government.</w:t>
      </w:r>
    </w:p>
    <w:p w:rsidR="00A31137" w:rsidRPr="00A31137" w:rsidRDefault="00A31137" w:rsidP="00A31137">
      <w:r w:rsidRPr="00A31137">
        <w:t>1992 Republican Platform, p.42</w:t>
      </w:r>
    </w:p>
    <w:p w:rsidR="00A31137" w:rsidRPr="00A31137" w:rsidRDefault="00A31137" w:rsidP="00A31137">
      <w:r w:rsidRPr="00A31137">
        <w:t>We decentralize authority, returning decisions to States, localities, and private institutions. The Democrat bosses want to concentrate power on Capitol Hill. Republicans place it in town halls and the American home.</w:t>
      </w:r>
    </w:p>
    <w:p w:rsidR="00A31137" w:rsidRPr="00A31137" w:rsidRDefault="00A31137" w:rsidP="00A31137">
      <w:r w:rsidRPr="00A31137">
        <w:t>1992 Republican Platform, p.42</w:t>
      </w:r>
    </w:p>
    <w:p w:rsidR="00A31137" w:rsidRPr="00A31137" w:rsidRDefault="00A31137" w:rsidP="00A31137">
      <w:r w:rsidRPr="00A31137">
        <w:t>Republicans favor the free-enterprise system. We choose market forces—consumer rights—over red tape. The Democrats argue that government must constantly override the market. Republicans regard the worst market failure as the failure to have a market.</w:t>
      </w:r>
    </w:p>
    <w:p w:rsidR="00A31137" w:rsidRPr="00A31137" w:rsidRDefault="00A31137" w:rsidP="00A31137">
      <w:r w:rsidRPr="00A31137">
        <w:t>1992 Republican Platform, p.42</w:t>
      </w:r>
    </w:p>
    <w:p w:rsidR="00A31137" w:rsidRPr="00A31137" w:rsidRDefault="00A31137" w:rsidP="00A31137">
      <w:r w:rsidRPr="00A31137">
        <w:t>We replace dependency with empowerment. The Democrats see an America filled with wards of the State. Republicans see an America peopled by [p.43] citizens and consumers eager for the chance to chart their own course.</w:t>
      </w:r>
    </w:p>
    <w:p w:rsidR="00A31137" w:rsidRPr="00A31137" w:rsidRDefault="00A31137" w:rsidP="00A31137">
      <w:r w:rsidRPr="00A31137">
        <w:t>1992 Republican Platform, p.43</w:t>
      </w:r>
    </w:p>
    <w:p w:rsidR="00A31137" w:rsidRPr="00A31137" w:rsidRDefault="00A31137" w:rsidP="00A31137">
      <w:r w:rsidRPr="00A31137">
        <w:t>We make electoral systems understandable and accountable to the voter. The Democrats fear proposals that would limit the tenure and hidden power of incumbent politicians. Republicans want the ballot box to prevail over the cloakroom.</w:t>
      </w:r>
    </w:p>
    <w:p w:rsidR="00A31137" w:rsidRPr="00A31137" w:rsidRDefault="00A31137" w:rsidP="00A31137">
      <w:r w:rsidRPr="00A31137">
        <w:t>1992 Republican Platform, p.43</w:t>
      </w:r>
    </w:p>
    <w:p w:rsidR="00A31137" w:rsidRPr="00A31137" w:rsidRDefault="00A31137" w:rsidP="00A31137">
      <w:r w:rsidRPr="00A31137">
        <w:t>Cleaning Up the Imperial Congress. The Democrats have controlled the House of Representatives for 38 years—five years longer than Castro has held Cuba. They have held the Senate for 32 of those 38. Their entrenched power has produced a Congress arrogant, out of touch, hopelessly entangled in a web of PACs, perks, privileges, partisanship, paralysis, and pork. No wonder they hid their congressional leaders during the Democrat convention of 1992. They didn't want Americans to remember who has been running the Congress.</w:t>
      </w:r>
    </w:p>
    <w:p w:rsidR="00A31137" w:rsidRPr="00A31137" w:rsidRDefault="00A31137" w:rsidP="00A31137">
      <w:r w:rsidRPr="00A31137">
        <w:t>1992 Republican Platform, p.43</w:t>
      </w:r>
    </w:p>
    <w:p w:rsidR="00A31137" w:rsidRPr="00A31137" w:rsidRDefault="00A31137" w:rsidP="00A31137">
      <w:r w:rsidRPr="00A31137">
        <w:t>The Democrats have transformed what the Framers of the Constitution intended as the people's House into a pathological institution. They have grossly increased their staffing, their payrolls, their allied bureaucracies in little-known congressional agencies. Congress has ballooned to 284 congressional committees and subcommittees, almost 40,000 legislative branch employees and staff, and $2.5 billion in taxpayer financing, amounting to approximately $5 million per lawmaker per year. Incumbents have abused free mailing privileges for personal political gain. Twenty-two Democrats, with a total of 585 years in power, rule over a committee system that blocks every attempt at reform.</w:t>
      </w:r>
    </w:p>
    <w:p w:rsidR="00A31137" w:rsidRPr="00A31137" w:rsidRDefault="00A31137" w:rsidP="00A31137">
      <w:r w:rsidRPr="00A31137">
        <w:t>1992 Republican Platform, p.43</w:t>
      </w:r>
    </w:p>
    <w:p w:rsidR="00A31137" w:rsidRPr="00A31137" w:rsidRDefault="00A31137" w:rsidP="00A31137">
      <w:r w:rsidRPr="00A31137">
        <w:t>The Democrats have trampled the traditions of the House, rigging rules, forbidding votes on crucial amendments, denying fair apportionment of committee seats and resources. They have stacked campaign laws to benefit themselves. The Democrat Leadership of the House has been tainted with scandal and has resisted efforts to investigate scandals once disclosed. Some in their Leadership have resigned in well-earned disgrace.</w:t>
      </w:r>
    </w:p>
    <w:p w:rsidR="00A31137" w:rsidRPr="00A31137" w:rsidRDefault="00A31137" w:rsidP="00A31137">
      <w:r w:rsidRPr="00A31137">
        <w:t>1992 Republican Platform, p.43</w:t>
      </w:r>
    </w:p>
    <w:p w:rsidR="00A31137" w:rsidRPr="00A31137" w:rsidRDefault="00A31137" w:rsidP="00A31137">
      <w:r w:rsidRPr="00A31137">
        <w:t>The Democrat Leadership of the Congress has turned the healthy competition of constitutional separation of powers into mean-spirited politics of innuendo and inquisition. Committee hearings are no longer for fact-finding; they are political sideshows. "Advise and consent" has been replaced by "slash and burn."</w:t>
      </w:r>
    </w:p>
    <w:p w:rsidR="00A31137" w:rsidRPr="00A31137" w:rsidRDefault="00A31137" w:rsidP="00A31137">
      <w:r w:rsidRPr="00A31137">
        <w:t>1992 Republican Platform, p.43</w:t>
      </w:r>
    </w:p>
    <w:p w:rsidR="00A31137" w:rsidRPr="00A31137" w:rsidRDefault="00A31137" w:rsidP="00A31137">
      <w:r w:rsidRPr="00A31137">
        <w:t>Republicans want to change all that. We reaffirm our support for a constitutional amendment to limit the number of terms House Members and Senators may serve. We want a citizens' Congress, free of bloated pensions and perpetual perks.</w:t>
      </w:r>
    </w:p>
    <w:p w:rsidR="00A31137" w:rsidRPr="00A31137" w:rsidRDefault="00A31137" w:rsidP="00A31137">
      <w:r w:rsidRPr="00A31137">
        <w:t>1992 Republican Platform, p.43</w:t>
      </w:r>
    </w:p>
    <w:p w:rsidR="00A31137" w:rsidRPr="00A31137" w:rsidRDefault="00A31137" w:rsidP="00A31137">
      <w:r w:rsidRPr="00A31137">
        <w:t>Congress must stop exempting itself from laws such as the minimum wage and the civil rights statutes, as well as laws which apply to the Executive [p.44] Branch. The Independent Counsel Act is a case in point. It has permitted rogue prosecutors to spend tremendous amounts to hound some of the Nation's finest public servants. If that Act is reauthorized, it must be extended to Congress as well. Safety and health regulations, civil rights and minimum wage laws are further examples of areas where Congress has set itself apart from the people. This practice must end.</w:t>
      </w:r>
    </w:p>
    <w:p w:rsidR="00A31137" w:rsidRPr="00A31137" w:rsidRDefault="00A31137" w:rsidP="00A31137">
      <w:r w:rsidRPr="00A31137">
        <w:t>1992 Republican Platform, p.44</w:t>
      </w:r>
    </w:p>
    <w:p w:rsidR="00A31137" w:rsidRPr="00A31137" w:rsidRDefault="00A31137" w:rsidP="00A31137">
      <w:r w:rsidRPr="00A31137">
        <w:t>Congress must slash its own bureaucracy. Its employees operate in a maze of overlapping jurisdictions. A Republican Congress will cut expenses by 25 percent, reduce the number of committees and subcommittees, and assign staff in accurate proportion to party strength.</w:t>
      </w:r>
    </w:p>
    <w:p w:rsidR="00A31137" w:rsidRPr="00A31137" w:rsidRDefault="00A31137" w:rsidP="00A31137">
      <w:r w:rsidRPr="00A31137">
        <w:t>1992 Republican Platform, p.44</w:t>
      </w:r>
    </w:p>
    <w:p w:rsidR="00A31137" w:rsidRPr="00A31137" w:rsidRDefault="00A31137" w:rsidP="00A31137">
      <w:r w:rsidRPr="00A31137">
        <w:t>We will restore integrity to the House of Representatives, reforming its rules, allowing open debate and amendment. The committee system, both in Congress and in Democrat-controlled State legislatures, has been abused by chairpersons who have arbitrarily killed legislation which would have passed. Committees are a place for open and free discussion, not a closet for Democrats to stash Republican legislation. Democracy itself is endangered by these abuses, and Republicans condemn these practices. Both houses of Congress must guarantee protection to whistle blowers to encourage employees to report illegality, corruption, sexual harassment, and discrimination.</w:t>
      </w:r>
    </w:p>
    <w:p w:rsidR="00A31137" w:rsidRPr="00A31137" w:rsidRDefault="00A31137" w:rsidP="00A31137">
      <w:r w:rsidRPr="00A31137">
        <w:t>1992 Republican Platform, p.44</w:t>
      </w:r>
    </w:p>
    <w:p w:rsidR="00A31137" w:rsidRPr="00A31137" w:rsidRDefault="00A31137" w:rsidP="00A31137">
      <w:r w:rsidRPr="00A31137">
        <w:t>The Democrat rulers of Congress have blocked or stalled Presidential initiatives in many areas, including education, housing, crime control, economic recovery, job creation, and budget reform. They care more about scoring petty partisan points for themselves and their Party than about achieving real progress for the Nation. To accomplish change, we need a change in Congress.</w:t>
      </w:r>
    </w:p>
    <w:p w:rsidR="00A31137" w:rsidRPr="00A31137" w:rsidRDefault="00A31137" w:rsidP="00A31137">
      <w:r w:rsidRPr="00A31137">
        <w:t>1992 Republican Platform, p.44</w:t>
      </w:r>
    </w:p>
    <w:p w:rsidR="00A31137" w:rsidRPr="00A31137" w:rsidRDefault="00A31137" w:rsidP="00A31137">
      <w:r w:rsidRPr="00A31137">
        <w:t>Reforming the Congressional Budget Process. At the heart of the Democrats' corruption of Congress is a fraudulent budget process. They do not want the public to understand how they spend the public' s money. At a time when the Nation's future depends on reduction of deficits, the lords of the Capitol still play the old shell game.</w:t>
      </w:r>
    </w:p>
    <w:p w:rsidR="00A31137" w:rsidRPr="00A31137" w:rsidRDefault="00A31137" w:rsidP="00A31137">
      <w:r w:rsidRPr="00A31137">
        <w:t>1992 Republican Platform, p.44</w:t>
      </w:r>
    </w:p>
    <w:p w:rsidR="00A31137" w:rsidRPr="00A31137" w:rsidRDefault="00A31137" w:rsidP="00A31137">
      <w:r w:rsidRPr="00A31137">
        <w:t>Republicans vigorously support a balanced budget, a Balanced Budget Constitutional Amendment, and a line-item veto for the President.</w:t>
      </w:r>
    </w:p>
    <w:p w:rsidR="00A31137" w:rsidRPr="00A31137" w:rsidRDefault="00A31137" w:rsidP="00A31137">
      <w:r w:rsidRPr="00A31137">
        <w:t>1992 Republican Platform, p.44</w:t>
      </w:r>
    </w:p>
    <w:p w:rsidR="00A31137" w:rsidRPr="00A31137" w:rsidRDefault="00A31137" w:rsidP="00A31137">
      <w:r w:rsidRPr="00A31137">
        <w:t>Republicans believe this balancing of the budget should be achieved, not by increasing taxes to match spending, but by cutting spending to current levels of revenue. We prefer a Balanced Budget Amendment which contains a super-majority requirement to raise taxes.</w:t>
      </w:r>
    </w:p>
    <w:p w:rsidR="00A31137" w:rsidRPr="00A31137" w:rsidRDefault="00A31137" w:rsidP="00A31137">
      <w:r w:rsidRPr="00A31137">
        <w:t>1992 Republican Platform, p.44</w:t>
      </w:r>
    </w:p>
    <w:p w:rsidR="00A31137" w:rsidRPr="00A31137" w:rsidRDefault="00A31137" w:rsidP="00A31137">
      <w:r w:rsidRPr="00A31137">
        <w:t>We also propose procedural reforms. We support legislation that would require Congress to pass a legally binding budget before it can consider spending [p.45] bills. The budget' s spending ceilings shall not be exceeded without a super-majority vote of both chambers. If Congress fails to pass any appropriation bill, funding for its programs will automatically be frozen at the previous year's level. The key to prosperity for the rest of this century and for the next generation of Americans is a budget strategy that restores sanity to the budget process and checks the growth of government.</w:t>
      </w:r>
    </w:p>
    <w:p w:rsidR="00A31137" w:rsidRPr="00A31137" w:rsidRDefault="00A31137" w:rsidP="00A31137">
      <w:r w:rsidRPr="00A31137">
        <w:t>1992 Republican Platform, p.45</w:t>
      </w:r>
    </w:p>
    <w:p w:rsidR="00A31137" w:rsidRPr="00A31137" w:rsidRDefault="00A31137" w:rsidP="00A31137">
      <w:r w:rsidRPr="00A31137">
        <w:t>Congress should be forced to confront basic arithmetic through Truth in Counting. The Democrats measure all changes in funding against a "current services baseline," with built-in increases for inflation and other factors. If they want a $1 million program to grow to $2 million, they then count an increase to $1.5 million as a half-million dollar cut. This is the accounting system of Wonderland, where words mean exactly what the Democrat Speaker says they mean. The double-talk must end with zero-based budgeting. We also support "sunset laws" that require government agencies to be reviewed periodically and reauthorized only if they can be rejustified.</w:t>
      </w:r>
    </w:p>
    <w:p w:rsidR="00A31137" w:rsidRPr="00A31137" w:rsidRDefault="00A31137" w:rsidP="00A31137">
      <w:r w:rsidRPr="00A31137">
        <w:t>1992 Republican Platform, p.45</w:t>
      </w:r>
    </w:p>
    <w:p w:rsidR="00A31137" w:rsidRPr="00A31137" w:rsidRDefault="00A31137" w:rsidP="00A31137">
      <w:r w:rsidRPr="00A31137">
        <w:t>Cleaning Up Politics: The Gerrymander. After more than a half-century of distortion by power-hungry Democrats, the political system is increasingly rigged.</w:t>
      </w:r>
    </w:p>
    <w:p w:rsidR="00A31137" w:rsidRPr="00A31137" w:rsidRDefault="00A31137" w:rsidP="00A31137">
      <w:r w:rsidRPr="00A31137">
        <w:t>1992 Republican Platform, p.45</w:t>
      </w:r>
    </w:p>
    <w:p w:rsidR="00A31137" w:rsidRPr="00A31137" w:rsidRDefault="00A31137" w:rsidP="00A31137">
      <w:r w:rsidRPr="00A31137">
        <w:t>Throughout the 1980s, voters were cheated out of dozens of seats in the House of Representatives and in State legislatures because districts were oddly shaped to guarantee election of Democrats. It was swindle by law. We support State-level appointment of non-partisan redistricting commissions to apply clear standards for compactness of districts, competitiveness between the parties, and protection of community interests.</w:t>
      </w:r>
    </w:p>
    <w:p w:rsidR="00A31137" w:rsidRPr="00A31137" w:rsidRDefault="00A31137" w:rsidP="00A31137">
      <w:r w:rsidRPr="00A31137">
        <w:t>1992 Republican Platform, p.45</w:t>
      </w:r>
    </w:p>
    <w:p w:rsidR="00A31137" w:rsidRPr="00A31137" w:rsidRDefault="00A31137" w:rsidP="00A31137">
      <w:r w:rsidRPr="00A31137">
        <w:t>Cleaning Up Politics: Campaign Reform. We crusade for clean elections. We support State efforts to increase voter participation but condemn Democrat attempts to perpetrate vote fraud through schemes that override the States' safeguards of orderly voter registration. And it is critical that the States retain the authority to tailor voter registration procedures to unique local circumstances.</w:t>
      </w:r>
    </w:p>
    <w:p w:rsidR="00A31137" w:rsidRPr="00A31137" w:rsidRDefault="00A31137" w:rsidP="00A31137">
      <w:r w:rsidRPr="00A31137">
        <w:t>1992 Republican Platform, p.45</w:t>
      </w:r>
    </w:p>
    <w:p w:rsidR="00A31137" w:rsidRPr="00A31137" w:rsidRDefault="00A31137" w:rsidP="00A31137">
      <w:r w:rsidRPr="00A31137">
        <w:t>Most of all, we condemn the Democrats' shameless plots to make taxpayers foot the bills for their campaigns. Their campaign finance bill would have given $1 billion, over six years, in subsidies to candidates. President Bush vetoed that bill. Campaign financing does need reform. It does not need a hand in the public's pocketbook.</w:t>
      </w:r>
    </w:p>
    <w:p w:rsidR="00A31137" w:rsidRPr="00A31137" w:rsidRDefault="00A31137" w:rsidP="00A31137">
      <w:r w:rsidRPr="00A31137">
        <w:t>1992 Republican Platform, p.45</w:t>
      </w:r>
    </w:p>
    <w:p w:rsidR="00A31137" w:rsidRPr="00A31137" w:rsidRDefault="00A31137" w:rsidP="00A31137">
      <w:r w:rsidRPr="00A31137">
        <w:t>We will require congressional candidates to raise most of their funds from individuals within their home constituencies. This will limit outside special-interest money and result in less expensive campaigns, with less padding for incumbents. To the same end, we will strengthen the role of political parties to [p.46] remove pressure on candidates to spend so much time soliciting funds. We will eliminate political action committees supported by corporations, unions, or trade associations, and restrict the practice of bundling.</w:t>
      </w:r>
    </w:p>
    <w:p w:rsidR="00A31137" w:rsidRPr="00A31137" w:rsidRDefault="00A31137" w:rsidP="00A31137">
      <w:r w:rsidRPr="00A31137">
        <w:t>1992 Republican Platform, p.46</w:t>
      </w:r>
    </w:p>
    <w:p w:rsidR="00A31137" w:rsidRPr="00A31137" w:rsidRDefault="00A31137" w:rsidP="00A31137">
      <w:r w:rsidRPr="00A31137">
        <w:t>To restore competition in elections by attacking the unfair advantages of incumbency, we will stop incumbents from warding off challengers merely by amassing huge war chests. Congressional candidates will be forbidden from carrying campaign funds from one election to the next. We will oppose arbitrary spending limits—cynical devices which hobble challengers to keep politicians in office.</w:t>
      </w:r>
    </w:p>
    <w:p w:rsidR="00A31137" w:rsidRPr="00A31137" w:rsidRDefault="00A31137" w:rsidP="00A31137">
      <w:r w:rsidRPr="00A31137">
        <w:t>1992 Republican Platform, p.46</w:t>
      </w:r>
    </w:p>
    <w:p w:rsidR="00A31137" w:rsidRPr="00A31137" w:rsidRDefault="00A31137" w:rsidP="00A31137">
      <w:r w:rsidRPr="00A31137">
        <w:t>We will fully implement the Supreme Court's decision in the Beck case, ensuring that workers have the right to stop the use of their union dues for political or other non-collective bargaining purposes.</w:t>
      </w:r>
    </w:p>
    <w:p w:rsidR="00A31137" w:rsidRPr="00A31137" w:rsidRDefault="00A31137" w:rsidP="00A31137">
      <w:r w:rsidRPr="00A31137">
        <w:t>1992 Republican Platform, p.46</w:t>
      </w:r>
    </w:p>
    <w:p w:rsidR="00A31137" w:rsidRPr="00A31137" w:rsidRDefault="00A31137" w:rsidP="00A31137">
      <w:r w:rsidRPr="00A31137">
        <w:t>Managing Government in the Public Interest. The focus of government must shift from quantity to quality, from spending to service. Americans should expect measurable, published standards for services provided by government at all levels. Performance standards and rules, commonplace in the private sector, must be applied to government activities as well. Because federal government employees should not be a privileged caste, we will remove the bar to garnishing their wages to ensure payment of their debts.</w:t>
      </w:r>
    </w:p>
    <w:p w:rsidR="00A31137" w:rsidRPr="00A31137" w:rsidRDefault="00A31137" w:rsidP="00A31137">
      <w:r w:rsidRPr="00A31137">
        <w:t>1992 Republican Platform, p.46</w:t>
      </w:r>
    </w:p>
    <w:p w:rsidR="00A31137" w:rsidRPr="00A31137" w:rsidRDefault="00A31137" w:rsidP="00A31137">
      <w:r w:rsidRPr="00A31137">
        <w:t>The Quality Revolution in American business has quietly but profoundly transformed American culture over the past decade. Millions of American workers have benefited from the more cooperative spirit the Quality Revolution has brought to tens of thousands of workplaces; and every American has benefited from the lower costs, higher quality service, and greater level of competitiveness it has produced. Republicans are proud to have played a leading role in this transformation, especially through the annual Malcolm Baldrige National Quality Award, which recognizes companies that best represent the principles of Quality.</w:t>
      </w:r>
    </w:p>
    <w:p w:rsidR="00A31137" w:rsidRPr="00A31137" w:rsidRDefault="00A31137" w:rsidP="00A31137">
      <w:r w:rsidRPr="00A31137">
        <w:t>1992 Republican Platform, p.46</w:t>
      </w:r>
    </w:p>
    <w:p w:rsidR="00A31137" w:rsidRPr="00A31137" w:rsidRDefault="00A31137" w:rsidP="00A31137">
      <w:r w:rsidRPr="00A31137">
        <w:t>The Quality Revolution in the private sector, with its concepts of Continuous Improvement, Profound Knowledge, and "Doing the Right Thing Right the First Time," stands in stark contrast to the outmoded practices, insensitivity and outright waste, abuse, and corruption endemic in the bureaucratic welfare state. The Republican Party is firmly committed to bringing the Quality Revolution into government at every level by creating a "Quality Workers for a Quality America" coalition whose aim will be to transform the bureaucratic welfare state into a government that is customer-friendly, cost-effective, and improving constantly.</w:t>
      </w:r>
    </w:p>
    <w:p w:rsidR="00A31137" w:rsidRPr="00A31137" w:rsidRDefault="00A31137" w:rsidP="00A31137">
      <w:r w:rsidRPr="00A31137">
        <w:t>1992 Republican Platform, p.46</w:t>
      </w:r>
    </w:p>
    <w:p w:rsidR="00A31137" w:rsidRPr="00A31137" w:rsidRDefault="00A31137" w:rsidP="00A31137">
      <w:r w:rsidRPr="00A31137">
        <w:t>Privatization is an important alternative to higher taxes and reduced services. If private enterprise can perform better and more cheaply than [p.47] government, let it do so. This is especially true of properties now decaying under government control, such as public housing, where residents should have the option to manage their own projects. These citizens should have the chance to become stockholders and managers of government enterprises and to run them more efficiently as private enterprises. We applaud President Bush' s initiative to allow States and localities to privatize facilities built with federal aid.</w:t>
      </w:r>
    </w:p>
    <w:p w:rsidR="00A31137" w:rsidRPr="00A31137" w:rsidRDefault="00A31137" w:rsidP="00A31137">
      <w:r w:rsidRPr="00A31137">
        <w:t>1992 Republican Platform, p.47</w:t>
      </w:r>
    </w:p>
    <w:p w:rsidR="00A31137" w:rsidRPr="00A31137" w:rsidRDefault="00A31137" w:rsidP="00A31137">
      <w:r w:rsidRPr="00A31137">
        <w:t>Where it advances both efficiency and safety, we will advocate privatization of airport operation and management.</w:t>
      </w:r>
    </w:p>
    <w:p w:rsidR="00A31137" w:rsidRPr="00A31137" w:rsidRDefault="00A31137" w:rsidP="00A31137">
      <w:r w:rsidRPr="00A31137">
        <w:t>1992 Republican Platform, p.47</w:t>
      </w:r>
    </w:p>
    <w:p w:rsidR="00A31137" w:rsidRPr="00A31137" w:rsidRDefault="00A31137" w:rsidP="00A31137">
      <w:r w:rsidRPr="00A31137">
        <w:t>We deplore the blatant political bias of the government-sponsored radio and television networks. It is especially outrageous that taxpayers are now forced to underwrite this biased broadcasting through the Corporation for Public Broadcasting (CPB). We call for sweeping reform of CPB, including greater accountability through application of the Freedom of Information Act, a one-year funding cycle, and enforcement of rigorous fairness standards for all CPB-supported programming. We look forward to the day when public broadcasting is self-sufficient.</w:t>
      </w:r>
    </w:p>
    <w:p w:rsidR="00A31137" w:rsidRPr="00A31137" w:rsidRDefault="00A31137" w:rsidP="00A31137">
      <w:r w:rsidRPr="00A31137">
        <w:t>1992 Republican Platform, p.47</w:t>
      </w:r>
    </w:p>
    <w:p w:rsidR="00A31137" w:rsidRPr="00A31137" w:rsidRDefault="00A31137" w:rsidP="00A31137">
      <w:r w:rsidRPr="00A31137">
        <w:t>Always trusting the initiative of the American people over the ways of government, we will not initiate production of goods or delivery of services by the federal government if they can be procured from the private sector.</w:t>
      </w:r>
    </w:p>
    <w:p w:rsidR="00A31137" w:rsidRPr="00A31137" w:rsidRDefault="00A31137" w:rsidP="00A31137">
      <w:r w:rsidRPr="00A31137">
        <w:t>1992 Republican Platform, p.47</w:t>
      </w:r>
    </w:p>
    <w:p w:rsidR="00A31137" w:rsidRPr="00A31137" w:rsidRDefault="00A31137" w:rsidP="00A31137">
      <w:r w:rsidRPr="00A31137">
        <w:t>We will not initiate any federal activity that can be conducted better on the State or local level. In doing so, we reassert the crucial importance of the Tenth Amendment. We oppose costly federal mandates that stifle innovation and force tax hikes upon States and localities. We require that Congress calculate the cost of mandated initiatives upon communities affected and provide adequate financial support for mandates invoked. We will continue the process of returning power to local voters by replacing federal programs with block grants.</w:t>
      </w:r>
    </w:p>
    <w:p w:rsidR="00A31137" w:rsidRPr="00A31137" w:rsidRDefault="00A31137" w:rsidP="00A31137">
      <w:r w:rsidRPr="00A31137">
        <w:t>1992 Republican Platform, p.47</w:t>
      </w:r>
    </w:p>
    <w:p w:rsidR="00A31137" w:rsidRPr="00A31137" w:rsidRDefault="00A31137" w:rsidP="00A31137">
      <w:r w:rsidRPr="00A31137">
        <w:t>Reforming the Legal System. The United States, with five percent of the world's population, has two-thirds of the world's lawyers. Litigation has become an industry, an end in itself. The number of civil cases in federal district courts has more than tripled in the past thirty years. It now takes more than a year to resolve the average lawsuit. Delays of three to five years are commonplace.</w:t>
      </w:r>
    </w:p>
    <w:p w:rsidR="00A31137" w:rsidRPr="00A31137" w:rsidRDefault="00A31137" w:rsidP="00A31137">
      <w:r w:rsidRPr="00A31137">
        <w:t>1992 Republican Platform, p.47</w:t>
      </w:r>
    </w:p>
    <w:p w:rsidR="00A31137" w:rsidRPr="00A31137" w:rsidRDefault="00A31137" w:rsidP="00A31137">
      <w:r w:rsidRPr="00A31137">
        <w:t>The current legal system forces consumers to pay higher prices for everything from basic goods to medical treatment. Direct litigation and inflated insurance premiums sock American consumers for an estimated $80 billion a year. All told, our legal system costs, directly and indirectly, $300 billion a year. What it costs us in the world marketplace, by hindering our competitiveness, is beyond calculation.</w:t>
      </w:r>
    </w:p>
    <w:p w:rsidR="00A31137" w:rsidRPr="00A31137" w:rsidRDefault="00A31137" w:rsidP="00A31137">
      <w:r w:rsidRPr="00A31137">
        <w:t>1992 Republican Platform, p.48</w:t>
      </w:r>
    </w:p>
    <w:p w:rsidR="00A31137" w:rsidRPr="00A31137" w:rsidRDefault="00A31137" w:rsidP="00A31137">
      <w:r w:rsidRPr="00A31137">
        <w:t>[p.48] We therefore endorse the President's proposals for legal reform as developed by Vice President Quayle, and we salute his principled challenge to the American Bar Association to clean up its own house. We support the Fairness Rule, to allow the winning party to a lawsuit to recover the costs of litigation from the losing party. This will discourage needless suits, freeing legal resources for people with genuine cases.</w:t>
      </w:r>
    </w:p>
    <w:p w:rsidR="00A31137" w:rsidRPr="00A31137" w:rsidRDefault="00A31137" w:rsidP="00A31137">
      <w:r w:rsidRPr="00A31137">
        <w:t>1992 Republican Platform, p.48</w:t>
      </w:r>
    </w:p>
    <w:p w:rsidR="00A31137" w:rsidRPr="00A31137" w:rsidRDefault="00A31137" w:rsidP="00A31137">
      <w:r w:rsidRPr="00A31137">
        <w:t>We believe complainants should have a choice of ways to settle problems through alternative dispute programs that will permit parties to pursue less costly and less complicated ways to resolve conflicts. We also call for greater use of judicial sanctions to stop frivolous lawsuits. We call for changes to the federal Racketeer Influenced and Corrupt Organizations (RICO) law to limit its use in civil litigation by requiring proof of all elements by clear and convincing proof.</w:t>
      </w:r>
    </w:p>
    <w:p w:rsidR="00A31137" w:rsidRPr="00A31137" w:rsidRDefault="00A31137" w:rsidP="00A31137">
      <w:r w:rsidRPr="00A31137">
        <w:t>1992 Republican Platform, p.48</w:t>
      </w:r>
    </w:p>
    <w:p w:rsidR="00A31137" w:rsidRPr="00A31137" w:rsidRDefault="00A31137" w:rsidP="00A31137">
      <w:r w:rsidRPr="00A31137">
        <w:t>We seek to restore fairness and predictability to punitive damages by placing appropriate limits on them, dividing trials into two phases to determine liability separately from damages, and requiring clear proof of wrongdoing. This will go a long way to reduce insurance premiums for professional and product liability and for all malpractice, including medical, thereby lowering costs for consumers throughout the economy, while preserving the ability of injured persons to obtain damages. It will also foster the creation of new products for the American marketplace, perhaps cures for the diseases we most fear.</w:t>
      </w:r>
    </w:p>
    <w:p w:rsidR="00A31137" w:rsidRPr="00A31137" w:rsidRDefault="00A31137" w:rsidP="00A31137">
      <w:r w:rsidRPr="00A31137">
        <w:t>1992 Republican Platform, p.48</w:t>
      </w:r>
    </w:p>
    <w:p w:rsidR="00A31137" w:rsidRPr="00A31137" w:rsidRDefault="00A31137" w:rsidP="00A31137">
      <w:r w:rsidRPr="00A31137">
        <w:t>The Republican Party commends President Bush and Vice President Quayle for their continued leadership in helping volunteers overcome their concern that their good acts and voluntary donations of time on behalf of civic groups, community organizations, and churches will result in civil liability and lawsuits. We encourage the State legislatures to pass the Administration's model bill, "The Volunteerism Act."</w:t>
      </w:r>
    </w:p>
    <w:p w:rsidR="00A31137" w:rsidRPr="00A31137" w:rsidRDefault="00A31137" w:rsidP="00A31137">
      <w:r w:rsidRPr="00A31137">
        <w:t>1992 Republican Platform, p.48</w:t>
      </w:r>
    </w:p>
    <w:p w:rsidR="00A31137" w:rsidRPr="00A31137" w:rsidRDefault="00A31137" w:rsidP="00A31137">
      <w:r w:rsidRPr="00A31137">
        <w:t>We will throw out "junk science" by requiring courts to verify the legitimacy of persons called as expert witnesses. To restore integrity to courtroom testimony, we will ban the practice of paying fees to experts only if a successful verdict is obtained. We will maintain diversity jurisdiction for citizens of different States to ensure access to the federal courts when appropriate.</w:t>
      </w:r>
    </w:p>
    <w:p w:rsidR="00A31137" w:rsidRPr="00A31137" w:rsidRDefault="00A31137" w:rsidP="00A31137">
      <w:r w:rsidRPr="00A31137">
        <w:t>1992 Republican Platform, p.48</w:t>
      </w:r>
    </w:p>
    <w:p w:rsidR="00A31137" w:rsidRPr="00A31137" w:rsidRDefault="00A31137" w:rsidP="00A31137">
      <w:r w:rsidRPr="00A31137">
        <w:t>Because four-fifths of the time and cost of a lawsuit involves discovery—pre-trial investigation of the facts—we will require automatic disclosure, by both sides, of basic information. We will ban abuses of the discovery process used to intimidate opponents and drive up their costs.</w:t>
      </w:r>
    </w:p>
    <w:p w:rsidR="00A31137" w:rsidRPr="00A31137" w:rsidRDefault="00A31137" w:rsidP="00A31137">
      <w:r w:rsidRPr="00A31137">
        <w:t>1992 Republican Platform, p.48</w:t>
      </w:r>
    </w:p>
    <w:p w:rsidR="00A31137" w:rsidRPr="00A31137" w:rsidRDefault="00A31137" w:rsidP="00A31137">
      <w:r w:rsidRPr="00A31137">
        <w:t>We will fight rising health care costs—and equally important, help dedicated doctors to keep practicing in critical areas like obstetrics—by providing incentives for States to reform their liability laws. This will reduce the [p.49] practice of "defensive medicine," requiring patients to be tested for every conceivable ailment at their own enormous expense to guard against the mere possibility of a lawsuit.</w:t>
      </w:r>
    </w:p>
    <w:p w:rsidR="00A31137" w:rsidRPr="00A31137" w:rsidRDefault="00A31137" w:rsidP="00A31137">
      <w:r w:rsidRPr="00A31137">
        <w:t>1992 Republican Platform, p.49</w:t>
      </w:r>
    </w:p>
    <w:p w:rsidR="00A31137" w:rsidRPr="00A31137" w:rsidRDefault="00A31137" w:rsidP="00A31137">
      <w:r w:rsidRPr="00A31137">
        <w:t>Recognizing that legal reform can solve only parts of the larger problem, we support a federal product liability law. The cost of product liability protection is a great expense to the American consumer and seriously impedes our international competitiveness. For example, a consumer pays an additional 17 percent to cover the liability insurance of an ordinary stepladder. If thirteen European nations can enact uniform product liability laws to give them a competitive edge against the United States, we can do it here too—once we break the Democrat hold on the Congress so Republicans can put the interests of workers and consumers ahead of trial lawyers.</w:t>
      </w:r>
    </w:p>
    <w:p w:rsidR="00A31137" w:rsidRPr="00A31137" w:rsidRDefault="00A31137" w:rsidP="00A31137">
      <w:r w:rsidRPr="00A31137">
        <w:t>1992 Republican Platform, p.49</w:t>
      </w:r>
    </w:p>
    <w:p w:rsidR="00A31137" w:rsidRPr="00A31137" w:rsidRDefault="00A31137" w:rsidP="00A31137">
      <w:r w:rsidRPr="00A31137">
        <w:t>Some of the problems in our legal system are rooted in a declining sense of, and respect for, individual responsibility. We reaffirm that all Americans are first and finally responsible for their own behavior.</w:t>
      </w:r>
    </w:p>
    <w:p w:rsidR="00A31137" w:rsidRPr="00A31137" w:rsidRDefault="00A31137" w:rsidP="00A31137">
      <w:r w:rsidRPr="00A31137">
        <w:t>1992 Republican Platform, p.49</w:t>
      </w:r>
    </w:p>
    <w:p w:rsidR="00A31137" w:rsidRPr="00A31137" w:rsidRDefault="00A31137" w:rsidP="00A31137">
      <w:r w:rsidRPr="00A31137">
        <w:t>The Nation's Capital. We call for closer and responsible Congressional scrutiny of the city, federal oversight of its law enforcement and courts, and tighter fiscal restraints over its expenditures. We oppose statehood as inconsistent with the original intent of the Framers of the Constitution and with the need for a federal city belonging to all the people as our Nation's Capital.</w:t>
      </w:r>
    </w:p>
    <w:p w:rsidR="00A31137" w:rsidRPr="00A31137" w:rsidRDefault="00A31137" w:rsidP="00A31137">
      <w:r w:rsidRPr="00A31137">
        <w:t>1992 Republican Platform, p.49</w:t>
      </w:r>
    </w:p>
    <w:p w:rsidR="00A31137" w:rsidRPr="00A31137" w:rsidRDefault="00A31137" w:rsidP="00A31137">
      <w:r w:rsidRPr="00A31137">
        <w:t>A New Era for the Territories. We welcome greater participation in all aspects of the political process by Americans residing in Guam, the Virgin Islands, American Samoa, the Northern Marianas, and Puerto Rico. Because territorial America is far-flung and divergent, we know that any single approach to the future will not necessarily meet the needs of all. Republicans therefore emphasize respect for the wishes of those who reside in the territories regarding their relationship to the rest of the Union.</w:t>
      </w:r>
    </w:p>
    <w:p w:rsidR="00A31137" w:rsidRPr="00A31137" w:rsidRDefault="00A31137" w:rsidP="00A31137">
      <w:r w:rsidRPr="00A31137">
        <w:t>1992 Republican Platform, p.49</w:t>
      </w:r>
    </w:p>
    <w:p w:rsidR="00A31137" w:rsidRPr="00A31137" w:rsidRDefault="00A31137" w:rsidP="00A31137">
      <w:r w:rsidRPr="00A31137">
        <w:t>We affirm the right of American citizens in the United States territories to seek the full extension of the Constitution with the accompanying rights and responsibilities, and we support all necessary legislation to permit them to do so.</w:t>
      </w:r>
    </w:p>
    <w:p w:rsidR="00A31137" w:rsidRPr="00A31137" w:rsidRDefault="00A31137" w:rsidP="00A31137">
      <w:r w:rsidRPr="00A31137">
        <w:t>1992 Republican Platform, p.49</w:t>
      </w:r>
    </w:p>
    <w:p w:rsidR="00A31137" w:rsidRPr="00A31137" w:rsidRDefault="00A31137" w:rsidP="00A31137">
      <w:r w:rsidRPr="00A31137">
        <w:t>The Republican Party supports the right of the United States citizens of Puerto Rico to be admitted to the Union as a fully sovereign State after they freely so determine.</w:t>
      </w:r>
    </w:p>
    <w:p w:rsidR="00A31137" w:rsidRPr="00A31137" w:rsidRDefault="00A31137" w:rsidP="00A31137">
      <w:r w:rsidRPr="00A31137">
        <w:t>1992 Republican Platform, p.49</w:t>
      </w:r>
    </w:p>
    <w:p w:rsidR="00A31137" w:rsidRPr="00A31137" w:rsidRDefault="00A31137" w:rsidP="00A31137">
      <w:r w:rsidRPr="00A31137">
        <w:t xml:space="preserve">We recognize that the people of Guam have voted for a closer relationship with the United States of America, and we reaffirm our support of their right to mutually improve their political relationship through commonwealth. [p.50] </w:t>
      </w:r>
    </w:p>
    <w:p w:rsidR="00A31137" w:rsidRPr="00A31137" w:rsidRDefault="00A31137" w:rsidP="00A31137">
      <w:r w:rsidRPr="00A31137">
        <w:t>1992 Republican Platform, p.50</w:t>
      </w:r>
    </w:p>
    <w:p w:rsidR="00A31137" w:rsidRPr="00A31137" w:rsidRDefault="00A31137" w:rsidP="00A31137">
      <w:r w:rsidRPr="00A31137">
        <w:t>We support American Samoa's efforts to advance toward economic self-reliance through a multi-year plan, while ensuring the protection afforded to the people of American Samoa by the original treaty of cession.</w:t>
      </w:r>
    </w:p>
    <w:p w:rsidR="00A31137" w:rsidRPr="00A31137" w:rsidRDefault="00A31137" w:rsidP="00A31137">
      <w:r w:rsidRPr="00A31137">
        <w:t>1992 Republican Platform, p.50</w:t>
      </w:r>
    </w:p>
    <w:p w:rsidR="00A31137" w:rsidRPr="00A31137" w:rsidRDefault="00A31137" w:rsidP="00A31137">
      <w:r w:rsidRPr="00A31137">
        <w:t>We support the full extension of rights and responsibilities under the U.S. Constitution to American citizens of the Virgin Islands.</w:t>
      </w:r>
    </w:p>
    <w:p w:rsidR="00A31137" w:rsidRPr="00A31137" w:rsidRDefault="00A31137" w:rsidP="00A31137">
      <w:r w:rsidRPr="00A31137">
        <w:t>1992 Republican Platform, p.50</w:t>
      </w:r>
    </w:p>
    <w:p w:rsidR="00A31137" w:rsidRPr="00A31137" w:rsidRDefault="00A31137" w:rsidP="00A31137">
      <w:r w:rsidRPr="00A31137">
        <w:t>We commend President Bush for the successful development of self-government in Micronesia and the Marshall Islands and for efforts to conclude the United Nations' last trusteeship in Palau consistent with the people's right of self-determination.</w:t>
      </w:r>
    </w:p>
    <w:p w:rsidR="00A31137" w:rsidRPr="00A31137" w:rsidRDefault="00A31137" w:rsidP="00A31137">
      <w:r w:rsidRPr="00A31137">
        <w:t>Our Land, Food, and Resources</w:t>
      </w:r>
    </w:p>
    <w:p w:rsidR="00A31137" w:rsidRPr="00A31137" w:rsidRDefault="00A31137" w:rsidP="00A31137">
      <w:r w:rsidRPr="00A31137">
        <w:t>1992 Republican Platform, p.50</w:t>
      </w:r>
    </w:p>
    <w:p w:rsidR="00A31137" w:rsidRPr="00A31137" w:rsidRDefault="00A31137" w:rsidP="00A31137">
      <w:r w:rsidRPr="00A31137">
        <w:t>We hold the resources of our country in stewardship. Our heritage from the past must be our legacy to generations to come. Our people have always known that, as they cherished their land and turned earth and rock into food, fiber, and power. In the process, they built the world's most formidable economy, sustained by its raw materials, driven by its energy resources. They brought comfort to the home, transformed the Nation, and fed the world.</w:t>
      </w:r>
    </w:p>
    <w:p w:rsidR="00A31137" w:rsidRPr="00A31137" w:rsidRDefault="00A31137" w:rsidP="00A31137">
      <w:r w:rsidRPr="00A31137">
        <w:t>1992 Republican Platform, p.50</w:t>
      </w:r>
    </w:p>
    <w:p w:rsidR="00A31137" w:rsidRPr="00A31137" w:rsidRDefault="00A31137" w:rsidP="00A31137">
      <w:r w:rsidRPr="00A31137">
        <w:t>Agriculture and energy remain building blocks of modern life. Their vitality is crucial to the Nation's growth. Indeed, to its survival. While supporting conservation, we reject the notion that there are limits to growth. Human ingenuity is the ultimate resource, and it knows no limits. The true measure of America's economic success is not whether austerity can be shared by many, but whether prosperity can be achieved for all.</w:t>
      </w:r>
    </w:p>
    <w:p w:rsidR="00A31137" w:rsidRPr="00A31137" w:rsidRDefault="00A31137" w:rsidP="00A31137">
      <w:r w:rsidRPr="00A31137">
        <w:t>1992 Republican Platform, p.50</w:t>
      </w:r>
    </w:p>
    <w:p w:rsidR="00A31137" w:rsidRPr="00A31137" w:rsidRDefault="00A31137" w:rsidP="00A31137">
      <w:r w:rsidRPr="00A31137">
        <w:t>We advocate privatizing those government agencies and assets that would be more productive and better maintained in private ownership. We support efforts to decentralize government monopolies that poorly serve the public and waste taxpayers' dollars.</w:t>
      </w:r>
    </w:p>
    <w:p w:rsidR="00A31137" w:rsidRPr="00A31137" w:rsidRDefault="00A31137" w:rsidP="00A31137">
      <w:r w:rsidRPr="00A31137">
        <w:t>1992 Republican Platform, p.50</w:t>
      </w:r>
    </w:p>
    <w:p w:rsidR="00A31137" w:rsidRPr="00A31137" w:rsidRDefault="00A31137" w:rsidP="00A31137">
      <w:r w:rsidRPr="00A31137">
        <w:t>Agriculture. The Republican Party is the home of the farmer, rancher, and forester. We have long championed their right to pursue growth, efficiency, and competitiveness through market incentives, diversification, and personal ingenuity. And for good reason. Their industry provides consumers with the highest quality food and fiber for the smallest percentage of disposable income of any nation in the history of the world.</w:t>
      </w:r>
    </w:p>
    <w:p w:rsidR="00A31137" w:rsidRPr="00A31137" w:rsidRDefault="00A31137" w:rsidP="00A31137">
      <w:r w:rsidRPr="00A31137">
        <w:t>1992 Republican Platform, p.50</w:t>
      </w:r>
    </w:p>
    <w:p w:rsidR="00A31137" w:rsidRPr="00A31137" w:rsidRDefault="00A31137" w:rsidP="00A31137">
      <w:r w:rsidRPr="00A31137">
        <w:t>They have been pioneer environmentalists. They have turned over to their children and grandchildren land that has been nurtured to expand its productivity while conserving this vital resource. Even more important, they have cultivated in their homes strong family life and moral virtues. We endorse American Samoa's time-honored land tenure system which fosters self-reliance [p.51] and strong extended family values. When we lose farmers, we lose much more than agriculture. We are committed to bringing our farm families the full benefit of a growing and diversified rural economy.</w:t>
      </w:r>
    </w:p>
    <w:p w:rsidR="00A31137" w:rsidRPr="00A31137" w:rsidRDefault="00A31137" w:rsidP="00A31137">
      <w:r w:rsidRPr="00A31137">
        <w:t>1992 Republican Platform, p.51</w:t>
      </w:r>
    </w:p>
    <w:p w:rsidR="00A31137" w:rsidRPr="00A31137" w:rsidRDefault="00A31137" w:rsidP="00A31137">
      <w:r w:rsidRPr="00A31137">
        <w:t>Our rural families also deserve to be brought into the mainstream of health care, with tax policies that provide all who are self-employed full deductibility of their health insurance premiums.</w:t>
      </w:r>
    </w:p>
    <w:p w:rsidR="00A31137" w:rsidRPr="00A31137" w:rsidRDefault="00A31137" w:rsidP="00A31137">
      <w:r w:rsidRPr="00A31137">
        <w:t>1992 Republican Platform, p.51</w:t>
      </w:r>
    </w:p>
    <w:p w:rsidR="00A31137" w:rsidRPr="00A31137" w:rsidRDefault="00A31137" w:rsidP="00A31137">
      <w:r w:rsidRPr="00A31137">
        <w:t>We stand with farmers against attempts by liberal Democrats to repeal the laws of economics by dictating price levels and restricting production. We stand with them against agricultural embargoes. We reject the notion that elected officials and bureaucrats make better farm managers than farmers themselves.</w:t>
      </w:r>
    </w:p>
    <w:p w:rsidR="00A31137" w:rsidRPr="00A31137" w:rsidRDefault="00A31137" w:rsidP="00A31137">
      <w:r w:rsidRPr="00A31137">
        <w:t>1992 Republican Platform, p.51</w:t>
      </w:r>
    </w:p>
    <w:p w:rsidR="00A31137" w:rsidRPr="00A31137" w:rsidRDefault="00A31137" w:rsidP="00A31137">
      <w:r w:rsidRPr="00A31137">
        <w:t>We remain strong in our support of livestock agriculture. We believe in the humane treatment of animals, but we oppose attempts by animal rights extremists to impose excessive restrictions on animal husbandry practices.</w:t>
      </w:r>
    </w:p>
    <w:p w:rsidR="00A31137" w:rsidRPr="00A31137" w:rsidRDefault="00A31137" w:rsidP="00A31137">
      <w:r w:rsidRPr="00A31137">
        <w:t>1992 Republican Platform, p.51</w:t>
      </w:r>
    </w:p>
    <w:p w:rsidR="00A31137" w:rsidRPr="00A31137" w:rsidRDefault="00A31137" w:rsidP="00A31137">
      <w:r w:rsidRPr="00A31137">
        <w:t>Our Omnibus Farm Bills of 1985 and 1990 gave farmers greater flexibility in decisions concerning management of their farms and marketing of their commodities. We have reduced government control and ownership of commodity inventories. Export sales and profitability have improved significantly. Agricultural debt has fallen by 30 percent. Under this President and sound Republican policies, net farm income has reached record levels.</w:t>
      </w:r>
    </w:p>
    <w:p w:rsidR="00A31137" w:rsidRPr="00A31137" w:rsidRDefault="00A31137" w:rsidP="00A31137">
      <w:r w:rsidRPr="00A31137">
        <w:t>1992 Republican Platform, p.51</w:t>
      </w:r>
    </w:p>
    <w:p w:rsidR="00A31137" w:rsidRPr="00A31137" w:rsidRDefault="00A31137" w:rsidP="00A31137">
      <w:r w:rsidRPr="00A31137">
        <w:t>At the same time, we cut by two-thirds the cost of government commodity programs. Only one-half of one percent of the federal budget is now spent on those programs. By reducing dependency on government, we have created a healthier agricultural sector. We will build upon our 1985 and 1990 legislation and repeal obsolete or unworkable statutes while continuing to provide a viable base of support for U.S. farmers.</w:t>
      </w:r>
    </w:p>
    <w:p w:rsidR="00A31137" w:rsidRPr="00A31137" w:rsidRDefault="00A31137" w:rsidP="00A31137">
      <w:r w:rsidRPr="00A31137">
        <w:t>1992 Republican Platform, p.51</w:t>
      </w:r>
    </w:p>
    <w:p w:rsidR="00A31137" w:rsidRPr="00A31137" w:rsidRDefault="00A31137" w:rsidP="00A31137">
      <w:r w:rsidRPr="00A31137">
        <w:t>Agricultural prosperity is essential to the Nation's global competitiveness. We will continue to expand the growth of American agriculture through exports, development of new products, and new markets. Commodity exports this year will hit $40 billion, a 50 percent increase over the levels of five years ago. There has never been an annual deficit in our balance of agricultural trade, and the positive balance this year will be $18 billion.</w:t>
      </w:r>
    </w:p>
    <w:p w:rsidR="00A31137" w:rsidRPr="00A31137" w:rsidRDefault="00A31137" w:rsidP="00A31137">
      <w:r w:rsidRPr="00A31137">
        <w:t>1992 Republican Platform, p.51</w:t>
      </w:r>
    </w:p>
    <w:p w:rsidR="00A31137" w:rsidRPr="00A31137" w:rsidRDefault="00A31137" w:rsidP="00A31137">
      <w:r w:rsidRPr="00A31137">
        <w:t>We pledge to fight unfair competition and to bring down the walls of protectionism around the world that unfairly inhibit competitiveness of U.S. farm exports. We pledge continued pressure to open world markets through the Uruguay Round, the North American Free Trade Agreement, and bilateral negotiations. We affirm that there will be no GATT agreement unless it improves opportunities for U.S. farmers to compete in world markets. We repeat our [p.52] demand for cutbacks in export subsidies by the European Community and elsewhere, and we will fight the use of arbitrary health and sanitation standards to sabotage U.S. exports.</w:t>
      </w:r>
    </w:p>
    <w:p w:rsidR="00A31137" w:rsidRPr="00A31137" w:rsidRDefault="00A31137" w:rsidP="00A31137">
      <w:r w:rsidRPr="00A31137">
        <w:t>1992 Republican Platform, p.52</w:t>
      </w:r>
    </w:p>
    <w:p w:rsidR="00A31137" w:rsidRPr="00A31137" w:rsidRDefault="00A31137" w:rsidP="00A31137">
      <w:r w:rsidRPr="00A31137">
        <w:t>New markets for agricultural products will also be created as producers translate technological breakthroughs into new uses, such as soy oil diesel and biodegradable plastics. We support the widest possible use of ethanol in the U.S. motor fuel market, including in oxygenated fuels programs and as ethanol blends in reformulated gasolines. In addition, the Republican Party supports increased research and development to reduce ethanol production costs and expand its use in motor fuel markets. Such use will greatly help American farmers, improve the rural economy, and reduce our dependence on imported oil.</w:t>
      </w:r>
    </w:p>
    <w:p w:rsidR="00A31137" w:rsidRPr="00A31137" w:rsidRDefault="00A31137" w:rsidP="00A31137">
      <w:r w:rsidRPr="00A31137">
        <w:t>1992 Republican Platform, p.52</w:t>
      </w:r>
    </w:p>
    <w:p w:rsidR="00A31137" w:rsidRPr="00A31137" w:rsidRDefault="00A31137" w:rsidP="00A31137">
      <w:r w:rsidRPr="00A31137">
        <w:t>Building our farm economy requires meeting our farmers' financing needs. Critical to these needs are competitive, reasonable interest rates for U.S. producers. Under George Bush, interest rates have been dramatically reduced, thereby contributing substantially to improving the net income of American farm and ranch families. We will continue working to ensure that farmers have access to credit, with particular consideration to the needs of young and beginning farmers.</w:t>
      </w:r>
    </w:p>
    <w:p w:rsidR="00A31137" w:rsidRPr="00A31137" w:rsidRDefault="00A31137" w:rsidP="00A31137">
      <w:r w:rsidRPr="00A31137">
        <w:t>1992 Republican Platform, p.52</w:t>
      </w:r>
    </w:p>
    <w:p w:rsidR="00A31137" w:rsidRPr="00A31137" w:rsidRDefault="00A31137" w:rsidP="00A31137">
      <w:r w:rsidRPr="00A31137">
        <w:t>We recognize the importance of efficient, equitable transportation systems to the economic viability of agricultural experts; and we will work to achieve greater efficiencies within the U.S. maritime industry and to decrease the cost to agriculture of shipping services.</w:t>
      </w:r>
    </w:p>
    <w:p w:rsidR="00A31137" w:rsidRPr="00A31137" w:rsidRDefault="00A31137" w:rsidP="00A31137">
      <w:r w:rsidRPr="00A31137">
        <w:t>1992 Republican Platform, p.52</w:t>
      </w:r>
    </w:p>
    <w:p w:rsidR="00A31137" w:rsidRPr="00A31137" w:rsidRDefault="00A31137" w:rsidP="00A31137">
      <w:r w:rsidRPr="00A31137">
        <w:t>We support farm conservation efforts, both those pioneered in our 1985 Farm Bill and entirely voluntary undertakings, which result in three times as much erosion control as those mandated by law. We support the Conservation Reserve, with more than 35 million acres now enrolled. It shows what farmers can do through incentives rather than government controls.</w:t>
      </w:r>
    </w:p>
    <w:p w:rsidR="00A31137" w:rsidRPr="00A31137" w:rsidRDefault="00A31137" w:rsidP="00A31137">
      <w:r w:rsidRPr="00A31137">
        <w:t>1992 Republican Platform, p.52</w:t>
      </w:r>
    </w:p>
    <w:p w:rsidR="00A31137" w:rsidRPr="00A31137" w:rsidRDefault="00A31137" w:rsidP="00A31137">
      <w:r w:rsidRPr="00A31137">
        <w:t>We value our Nation's real wetlands habitat and the diversity of our native animal and plant life. We oppose, however, bureaucratic harassment of farm, ranch, and timber families under statutes regarding endangered species and wetlands. When actions are required to protect an endangered species, we recognize that jobs can be lost, communities displaced, and economic progress for all denied. Accordingly, prior to the implementation of a recovery plan for a species declared to be endangered, we will require the Congress to affirm the priority of the species on the endangered list and the specific measures to be taken in any recovery plan. These acts should not rest with the rubber stamp of a bureaucrat.</w:t>
      </w:r>
    </w:p>
    <w:p w:rsidR="00A31137" w:rsidRPr="00A31137" w:rsidRDefault="00A31137" w:rsidP="00A31137">
      <w:r w:rsidRPr="00A31137">
        <w:t>1992 Republican Platform, p.52</w:t>
      </w:r>
    </w:p>
    <w:p w:rsidR="00A31137" w:rsidRPr="00A31137" w:rsidRDefault="00A31137" w:rsidP="00A31137">
      <w:r w:rsidRPr="00A31137">
        <w:t>With regard to wetlands, following our principle that environmental protection be reasonable, land that is not truly wet should not be classified as a [p.53] wetland. Protection of environmentally sensitive wetlands must not come at the price of disparaging landowners' property rights. Thus, we endorse, as President Bush has done, legislation to discourage government activities that ignore property rights. We also find intolerable the use of taxpayer funds, through the Legal Services Corporation, to attack the agricultural community.</w:t>
      </w:r>
    </w:p>
    <w:p w:rsidR="00A31137" w:rsidRPr="00A31137" w:rsidRDefault="00A31137" w:rsidP="00A31137">
      <w:r w:rsidRPr="00A31137">
        <w:t>1992 Republican Platform, p.53</w:t>
      </w:r>
    </w:p>
    <w:p w:rsidR="00A31137" w:rsidRPr="00A31137" w:rsidRDefault="00A31137" w:rsidP="00A31137">
      <w:r w:rsidRPr="00A31137">
        <w:t>Power for Progress. Energy sustains life as we know it: our standard of living, the prospect for economic growth, the way our children will live in the century ahead. Republican energy policy, now as in the past, reflects the commonsense aspirations of the American people.</w:t>
      </w:r>
    </w:p>
    <w:p w:rsidR="00A31137" w:rsidRPr="00A31137" w:rsidRDefault="00A31137" w:rsidP="00A31137">
      <w:r w:rsidRPr="00A31137">
        <w:t>1992 Republican Platform, p.53</w:t>
      </w:r>
    </w:p>
    <w:p w:rsidR="00A31137" w:rsidRPr="00A31137" w:rsidRDefault="00A31137" w:rsidP="00A31137">
      <w:r w:rsidRPr="00A31137">
        <w:t>Our goals address our fundamental needs: an energy supply, available to all, that remains reasonably priced, secure, and clean, produced by strong energy industries on which the country can rely, operating in an environmentally responsible manner and producing from domestically available energy resources to the maximum extent practicable.</w:t>
      </w:r>
    </w:p>
    <w:p w:rsidR="00A31137" w:rsidRPr="00A31137" w:rsidRDefault="00A31137" w:rsidP="00A31137">
      <w:r w:rsidRPr="00A31137">
        <w:t>1992 Republican Platform, p.53</w:t>
      </w:r>
    </w:p>
    <w:p w:rsidR="00A31137" w:rsidRPr="00A31137" w:rsidRDefault="00A31137" w:rsidP="00A31137">
      <w:r w:rsidRPr="00A31137">
        <w:t>Anyone older than a teenager can remember the energy upheavals of the bad old days, when political games threw the Nation into a tailspin. Stranded in gasoline lines, shocked by home heating bills, shutting down factory operations, America's motorists, homeowners, and workers rightly blamed official Washington for wrecking something which had always worked so efficiently that it was taken for granted.</w:t>
      </w:r>
    </w:p>
    <w:p w:rsidR="00A31137" w:rsidRPr="00A31137" w:rsidRDefault="00A31137" w:rsidP="00A31137">
      <w:r w:rsidRPr="00A31137">
        <w:t>1992 Republican Platform, p.53</w:t>
      </w:r>
    </w:p>
    <w:p w:rsidR="00A31137" w:rsidRPr="00A31137" w:rsidRDefault="00A31137" w:rsidP="00A31137">
      <w:r w:rsidRPr="00A31137">
        <w:t>Today, after 12 years of Republican reform, we can again have confidence in our energy policies. The average household spends 11 percent less on energy, as adjusted for inflation, than it did in 1980, because of both conservation and lower costs.</w:t>
      </w:r>
    </w:p>
    <w:p w:rsidR="00A31137" w:rsidRPr="00A31137" w:rsidRDefault="00A31137" w:rsidP="00A31137">
      <w:r w:rsidRPr="00A31137">
        <w:t>1992 Republican Platform, p.53</w:t>
      </w:r>
    </w:p>
    <w:p w:rsidR="00A31137" w:rsidRPr="00A31137" w:rsidRDefault="00A31137" w:rsidP="00A31137">
      <w:r w:rsidRPr="00A31137">
        <w:t>We broke the shackles of bureaucratic regulation by ending petroleum price and allocation controls, deregulating natural gas wellhead prices, and repealing restrictions on the use of clean-burning natural gas by industry and utilities. We repealed the Windfall Profit Tax on crude oil that penalized investment in domestic oil production. We promoted free competition in an open marketplace and ended the public subsidy to the "synthetic fuels" program. And we broke the back of OPEC, the international energy cartel.</w:t>
      </w:r>
    </w:p>
    <w:p w:rsidR="00A31137" w:rsidRPr="00A31137" w:rsidRDefault="00A31137" w:rsidP="00A31137">
      <w:r w:rsidRPr="00A31137">
        <w:t>1992 Republican Platform, p.53</w:t>
      </w:r>
    </w:p>
    <w:p w:rsidR="00A31137" w:rsidRPr="00A31137" w:rsidRDefault="00A31137" w:rsidP="00A31137">
      <w:r w:rsidRPr="00A31137">
        <w:t>And, equally important, we undertook a reevaluation of estimates of our domestic energy resource base, which the Carter Administration had determined to be inadequate. The Republican Administration correctly found that we can indeed continue to supply a significant amount of our domestically available energy resources, including natural gas and coal, for all energy consumption needs well into the next century.</w:t>
      </w:r>
    </w:p>
    <w:p w:rsidR="00A31137" w:rsidRPr="00A31137" w:rsidRDefault="00A31137" w:rsidP="00A31137">
      <w:r w:rsidRPr="00A31137">
        <w:t>1992 Republican Platform, p.54</w:t>
      </w:r>
    </w:p>
    <w:p w:rsidR="00A31137" w:rsidRPr="00A31137" w:rsidRDefault="00A31137" w:rsidP="00A31137">
      <w:r w:rsidRPr="00A31137">
        <w:t>When Iraq's dictator moved to seize the world's energy lifeline by [p.54] controlling the Persian Gulf, George Bush did more than liberate Kuwait. He prevented energy crisis and economic shutdown in America. Now his National Energy Strategy leads toward continued growth in the century ahead. It provides the Nation with a comprehensive and balanced strategy for America's energy future. Specifically, it promotes adequate energy supplies and reduces consumer costs by relying on market forces, diversifying domestic energy sources, and improving the efficiency and flexibility of energy consumption. We seek to foster greater competition and increased output, in the interest of producers and consumers alike.</w:t>
      </w:r>
    </w:p>
    <w:p w:rsidR="00A31137" w:rsidRPr="00A31137" w:rsidRDefault="00A31137" w:rsidP="00A31137">
      <w:r w:rsidRPr="00A31137">
        <w:t>1992 Republican Platform, p.54</w:t>
      </w:r>
    </w:p>
    <w:p w:rsidR="00A31137" w:rsidRPr="00A31137" w:rsidRDefault="00A31137" w:rsidP="00A31137">
      <w:r w:rsidRPr="00A31137">
        <w:t>The domestic oil and gas industry saves us from total dependence on unreliable foreign imports. But over the past decade, it has lost more than 300,000 jobs. Drilling rigs are still. Crippled by environmental rules and taxes, independent producers have been devastated and major companies are moving operations overseas. We will reverse that situation by allowing access, under environmental safeguards, to the Coastal Plain of the Arctic National Wildlife Refuge, possibly one of the largest petroleum reserves in our country, and to selected areas of the Outer Continental Shelf (OCS). We support incentives to encourage domestic investment for onshore and OCS oil and gas exploration and development, including relief from the alternative minimum tax, credits for enhanced oil recovery and geological exploration under known geological oil fields and producing geological structures, and modified percentage depletion rules to benefit marginal production. We will ensure that royalty payments on federal lands remain consistent with changing economic conditions.</w:t>
      </w:r>
    </w:p>
    <w:p w:rsidR="00A31137" w:rsidRPr="00A31137" w:rsidRDefault="00A31137" w:rsidP="00A31137">
      <w:r w:rsidRPr="00A31137">
        <w:t>1992 Republican Platform, p.54</w:t>
      </w:r>
    </w:p>
    <w:p w:rsidR="00A31137" w:rsidRPr="00A31137" w:rsidRDefault="00A31137" w:rsidP="00A31137">
      <w:r w:rsidRPr="00A31137">
        <w:t>Most important, unlike Democrat no-growth fanatics, we know what is most at stake in the energy debate: the family's standard of living, including job opportunities, household income, and the environment in which we live.</w:t>
      </w:r>
    </w:p>
    <w:p w:rsidR="00A31137" w:rsidRPr="00A31137" w:rsidRDefault="00A31137" w:rsidP="00A31137">
      <w:r w:rsidRPr="00A31137">
        <w:t>1992 Republican Platform, p.54</w:t>
      </w:r>
    </w:p>
    <w:p w:rsidR="00A31137" w:rsidRPr="00A31137" w:rsidRDefault="00A31137" w:rsidP="00A31137">
      <w:r w:rsidRPr="00A31137">
        <w:t>That is why we have been supporting complete decontrol of wellhead prices for clean natural gas, which have already declined ten percent in the last four years while consumption increased by the same amount. We support replacing government controls with the power of the market to determine transactions between buyers and sellers of natural gas. We encourage the use of natural gas for both vehicles and electricity generation, and the expansion of research, development, and demonstration for end-use natural gas technologies. We will foster more public-private partnerships to advance use of natural gas.</w:t>
      </w:r>
    </w:p>
    <w:p w:rsidR="00A31137" w:rsidRPr="00A31137" w:rsidRDefault="00A31137" w:rsidP="00A31137">
      <w:r w:rsidRPr="00A31137">
        <w:t>1992 Republican Platform, p.54</w:t>
      </w:r>
    </w:p>
    <w:p w:rsidR="00A31137" w:rsidRPr="00A31137" w:rsidRDefault="00A31137" w:rsidP="00A31137">
      <w:r w:rsidRPr="00A31137">
        <w:t>The Republican Party has a deep and abiding commitment to America's mining industry. We support the original intent of the Mining Law of 1872: to provide the security necessary for miners to risk capital investment on federal lands, thus preserving jobs and bolstering the domestic economy.</w:t>
      </w:r>
    </w:p>
    <w:p w:rsidR="00A31137" w:rsidRPr="00A31137" w:rsidRDefault="00A31137" w:rsidP="00A31137">
      <w:r w:rsidRPr="00A31137">
        <w:t>1992 Republican Platform, p.54</w:t>
      </w:r>
    </w:p>
    <w:p w:rsidR="00A31137" w:rsidRPr="00A31137" w:rsidRDefault="00A31137" w:rsidP="00A31137">
      <w:r w:rsidRPr="00A31137">
        <w:t>We support clean-coal technologies to allow greater use of America's most abundant fossil fuel within standards required by the Clean Air Act. We [p.55] encourage the export of U.S. coal. We support acceleration of the international transfer of coal-related technologies to boost exports for U.S. coal, in order to capitalize on America's leadership in these technologies.</w:t>
      </w:r>
    </w:p>
    <w:p w:rsidR="00A31137" w:rsidRPr="00A31137" w:rsidRDefault="00A31137" w:rsidP="00A31137">
      <w:r w:rsidRPr="00A31137">
        <w:t>1992 Republican Platform, p.55</w:t>
      </w:r>
    </w:p>
    <w:p w:rsidR="00A31137" w:rsidRPr="00A31137" w:rsidRDefault="00A31137" w:rsidP="00A31137">
      <w:r w:rsidRPr="00A31137">
        <w:t>We oppose any attempt to impose a carbon tax as proposed by liberal Democrats.</w:t>
      </w:r>
    </w:p>
    <w:p w:rsidR="00A31137" w:rsidRPr="00A31137" w:rsidRDefault="00A31137" w:rsidP="00A31137">
      <w:r w:rsidRPr="00A31137">
        <w:t>1992 Republican Platform, p.55</w:t>
      </w:r>
    </w:p>
    <w:p w:rsidR="00A31137" w:rsidRPr="00A31137" w:rsidRDefault="00A31137" w:rsidP="00A31137">
      <w:r w:rsidRPr="00A31137">
        <w:t>We endorse major national projects, like the Super Conducting Super Collider, which offer the promise of developing more efficient ways to store, transport, and use energy.</w:t>
      </w:r>
    </w:p>
    <w:p w:rsidR="00A31137" w:rsidRPr="00A31137" w:rsidRDefault="00A31137" w:rsidP="00A31137">
      <w:r w:rsidRPr="00A31137">
        <w:t>1992 Republican Platform, p.55</w:t>
      </w:r>
    </w:p>
    <w:p w:rsidR="00A31137" w:rsidRPr="00A31137" w:rsidRDefault="00A31137" w:rsidP="00A31137">
      <w:r w:rsidRPr="00A31137">
        <w:t>We will hasten development of the next generation of nuclear power plants—one of the cleanest, safest energy sources of all. Republicans back reform of the nuclear licensing process. We will site and license a permanent waste depository and a monitored retrievable storage facility. We reject the scare tactics used against nuclear power by those who want to shut down this essential contributor to the American future.</w:t>
      </w:r>
    </w:p>
    <w:p w:rsidR="00A31137" w:rsidRPr="00A31137" w:rsidRDefault="00A31137" w:rsidP="00A31137">
      <w:r w:rsidRPr="00A31137">
        <w:t>1992 Republican Platform, p.55</w:t>
      </w:r>
    </w:p>
    <w:p w:rsidR="00A31137" w:rsidRPr="00A31137" w:rsidRDefault="00A31137" w:rsidP="00A31137">
      <w:r w:rsidRPr="00A31137">
        <w:t>We endorse development of renewable energy sources and research on fuel cells, conservation, hydro, solar, hydrogen, and wind power as components of our overall plan for energy security and environmental quality.</w:t>
      </w:r>
    </w:p>
    <w:p w:rsidR="00A31137" w:rsidRPr="00A31137" w:rsidRDefault="00A31137" w:rsidP="00A31137">
      <w:r w:rsidRPr="00A31137">
        <w:t>1992 Republican Platform, p.55</w:t>
      </w:r>
    </w:p>
    <w:p w:rsidR="00A31137" w:rsidRPr="00A31137" w:rsidRDefault="00A31137" w:rsidP="00A31137">
      <w:r w:rsidRPr="00A31137">
        <w:t>Public Lands. The millions of acres that constitute this Nation's public lands must continue to provide for a number of uses. We are committed to the multiple use of our public lands. We believe that recreation, forestry, ranching, mining, oil and gas exploration, and production on our public lands can be conducted in a way compatible with their conservation. The United States has some of the richest mineral resources in the world. Our public lands should not be arbitrarily locked up and put off limits to responsible uses.</w:t>
      </w:r>
    </w:p>
    <w:p w:rsidR="00A31137" w:rsidRPr="00A31137" w:rsidRDefault="00A31137" w:rsidP="00A31137">
      <w:r w:rsidRPr="00A31137">
        <w:t>1992 Republican Platform, p.55</w:t>
      </w:r>
    </w:p>
    <w:p w:rsidR="00A31137" w:rsidRPr="00A31137" w:rsidRDefault="00A31137" w:rsidP="00A31137">
      <w:r w:rsidRPr="00A31137">
        <w:t>Approximately 50 percent of the lands in the West are owned by the federal government. These lands are a deeply intermingled patchwork quilt of public and private ownership. In order to provide an economic base for the people of the West, a public-private cooperative partnership on these lands for multiple use in an environmentally sound manner is imperative.</w:t>
      </w:r>
    </w:p>
    <w:p w:rsidR="00A31137" w:rsidRPr="00A31137" w:rsidRDefault="00A31137" w:rsidP="00A31137">
      <w:r w:rsidRPr="00A31137">
        <w:t>1992 Republican Platform, p.55</w:t>
      </w:r>
    </w:p>
    <w:p w:rsidR="00A31137" w:rsidRPr="00A31137" w:rsidRDefault="00A31137" w:rsidP="00A31137">
      <w:r w:rsidRPr="00A31137">
        <w:t>Transportation. From its founding, the Republican Party has considered the Nation's transportation system crucial to economic opportunity for all. That is why our 1860 Platform endorsed the Transcontinental Railroad. It is why President Eisenhower signed the Interstate and Defense Highway Act, bringing America closer together and launching a lengthy economic expansion.</w:t>
      </w:r>
    </w:p>
    <w:p w:rsidR="00A31137" w:rsidRPr="00A31137" w:rsidRDefault="00A31137" w:rsidP="00A31137">
      <w:r w:rsidRPr="00A31137">
        <w:t>1992 Republican Platform, p.55</w:t>
      </w:r>
    </w:p>
    <w:p w:rsidR="00A31137" w:rsidRPr="00A31137" w:rsidRDefault="00A31137" w:rsidP="00A31137">
      <w:r w:rsidRPr="00A31137">
        <w:t>Today, America's transportation system is safer, more efficient, more reliable than that of any other country. It employs one of every ten workers and accounts for $800 billion in spending. It enables us to compete in the world [p.56] market and gives us more choices in our dally lives.</w:t>
      </w:r>
    </w:p>
    <w:p w:rsidR="00A31137" w:rsidRPr="00A31137" w:rsidRDefault="00A31137" w:rsidP="00A31137">
      <w:r w:rsidRPr="00A31137">
        <w:t>1992 Republican Platform, p.56</w:t>
      </w:r>
    </w:p>
    <w:p w:rsidR="00A31137" w:rsidRPr="00A31137" w:rsidRDefault="00A31137" w:rsidP="00A31137">
      <w:r w:rsidRPr="00A31137">
        <w:t>Under President Bush, that system has been strengthened by revolutionary legislation to pave the way into the century ahead. Providing $151 billion for highways and transit systems, it is the most extensive transportation improvement project in our Nation's history—and a tremendous jobs program as well.</w:t>
      </w:r>
    </w:p>
    <w:p w:rsidR="00A31137" w:rsidRPr="00A31137" w:rsidRDefault="00A31137" w:rsidP="00A31137">
      <w:r w:rsidRPr="00A31137">
        <w:t>1992 Republican Platform, p.56</w:t>
      </w:r>
    </w:p>
    <w:p w:rsidR="00A31137" w:rsidRPr="00A31137" w:rsidRDefault="00A31137" w:rsidP="00A31137">
      <w:r w:rsidRPr="00A31137">
        <w:t>Highway death rates have dropped to an all-time low, largely due to better road design and stronger safety programs. This progress would be wiped out by the Democrats' draconian plan for higher Corporate Average Fuel Economy (CAFE) standards. Their national nominees want to require a 45 miles-per-gallon standard. That means unsafe vehicles, reduced consumer choice, higher car costs, and a loss of 300,000 jobs in the auto industry here at home.</w:t>
      </w:r>
    </w:p>
    <w:p w:rsidR="00A31137" w:rsidRPr="00A31137" w:rsidRDefault="00A31137" w:rsidP="00A31137">
      <w:r w:rsidRPr="00A31137">
        <w:t>1992 Republican Platform, p.56</w:t>
      </w:r>
    </w:p>
    <w:p w:rsidR="00A31137" w:rsidRPr="00A31137" w:rsidRDefault="00A31137" w:rsidP="00A31137">
      <w:r w:rsidRPr="00A31137">
        <w:t>To reduce the congestion that still chokes urban areas, we established a National Highway System of 155,000 miles, giving States and localities greater voice in decisions about projects. It will improve connections between ports and highways, airports and railways; spur development of new airports and reduce their environmental impact; promote private investment in transportation; and foster high-tech solutions to congestion.</w:t>
      </w:r>
    </w:p>
    <w:p w:rsidR="00A31137" w:rsidRPr="00A31137" w:rsidRDefault="00A31137" w:rsidP="00A31137">
      <w:r w:rsidRPr="00A31137">
        <w:t>1992 Republican Platform, p.56</w:t>
      </w:r>
    </w:p>
    <w:p w:rsidR="00A31137" w:rsidRPr="00A31137" w:rsidRDefault="00A31137" w:rsidP="00A31137">
      <w:r w:rsidRPr="00A31137">
        <w:t>To keep America on the move, we assert the same principle that guides us in all other sectors of the economy: consumers benefit through competition within the private sector. That is why we will complete the job of trucking deregulation. We will also abolish the Interstate Commerce Commission, finally freeing shippers and consumers from horse-and-buggy regulation. We applaud the President' s executive order that will assist communities to privatize government-controlled ventures, such as airports and toll roads.</w:t>
      </w:r>
    </w:p>
    <w:p w:rsidR="00A31137" w:rsidRPr="00A31137" w:rsidRDefault="00A31137" w:rsidP="00A31137">
      <w:r w:rsidRPr="00A31137">
        <w:t>1992 Republican Platform, p.56</w:t>
      </w:r>
    </w:p>
    <w:p w:rsidR="00A31137" w:rsidRPr="00A31137" w:rsidRDefault="00A31137" w:rsidP="00A31137">
      <w:r w:rsidRPr="00A31137">
        <w:t>Our tough trade campaign, along with regulatory reforms, will assure U.S. air carriers fair access to international routes and allow the U.S. merchant marine to sail over foreign protectionism. The President has proposed and will aggressively pursue a comprehensive revision of existing maritime policy.</w:t>
      </w:r>
    </w:p>
    <w:p w:rsidR="00A31137" w:rsidRPr="00A31137" w:rsidRDefault="00A31137" w:rsidP="00A31137">
      <w:r w:rsidRPr="00A31137">
        <w:t>1992 Republican Platform, p.56</w:t>
      </w:r>
    </w:p>
    <w:p w:rsidR="00A31137" w:rsidRPr="00A31137" w:rsidRDefault="00A31137" w:rsidP="00A31137">
      <w:r w:rsidRPr="00A31137">
        <w:t>Regulatory reform of airlines now allows more people to fly more safely, at better prices. Tough laws for drug and alcohol testing are making all modes of transportation safer than ever. Disabled persons will have greater access to the entire transportation network under the Americans with Disabilities Act.</w:t>
      </w:r>
    </w:p>
    <w:p w:rsidR="00A31137" w:rsidRPr="00A31137" w:rsidRDefault="00A31137" w:rsidP="00A31137">
      <w:r w:rsidRPr="00A31137">
        <w:t>1992 Republican Platform, p.56</w:t>
      </w:r>
    </w:p>
    <w:p w:rsidR="00A31137" w:rsidRPr="00A31137" w:rsidRDefault="00A31137" w:rsidP="00A31137">
      <w:r w:rsidRPr="00A31137">
        <w:t>Wherever possible, the market should allocate investment in transportation, steering the development of passenger rail, mass transit, and highways to best suit consumers. States and localities should have discretion in using Highway Trust Fund revenues to construct new roads, expand existing ones, or invest in mass transit facilities, as they see fit. We advocate development of high-speed fall systems, through private investment, to serve inter-city travel. We also [p.57] advocate development of short-haul aircraft with vertical take-off and landing capability, to bring commerce and jobs to communities large and small.</w:t>
      </w:r>
    </w:p>
    <w:p w:rsidR="00A31137" w:rsidRPr="00A31137" w:rsidRDefault="00A31137" w:rsidP="00A31137">
      <w:r w:rsidRPr="00A31137">
        <w:t>1992 Republican Platform, p.57</w:t>
      </w:r>
    </w:p>
    <w:p w:rsidR="00A31137" w:rsidRPr="00A31137" w:rsidRDefault="00A31137" w:rsidP="00A31137">
      <w:r w:rsidRPr="00A31137">
        <w:t>We will continue aggressively to support development of intelligent highway systems, an efficient battery for electric cars, perfected natural gas vehicles, greater private investment in space travel, and removal of regulatory impediments to intermodal transport.</w:t>
      </w:r>
    </w:p>
    <w:p w:rsidR="00A31137" w:rsidRPr="00A31137" w:rsidRDefault="00A31137" w:rsidP="00A31137">
      <w:r w:rsidRPr="00A31137">
        <w:t>1992 Republican Platform, p.57</w:t>
      </w:r>
    </w:p>
    <w:p w:rsidR="00A31137" w:rsidRPr="00A31137" w:rsidRDefault="00A31137" w:rsidP="00A31137">
      <w:r w:rsidRPr="00A31137">
        <w:t>Because Republicans advocate personal responsibility, we salute groups, organizations, and individuals that take direct action to improve safe driving and street safety.</w:t>
      </w:r>
    </w:p>
    <w:p w:rsidR="00A31137" w:rsidRPr="00A31137" w:rsidRDefault="00A31137" w:rsidP="00A31137">
      <w:r w:rsidRPr="00A31137">
        <w:t>1992 Republican Platform, p.57</w:t>
      </w:r>
    </w:p>
    <w:p w:rsidR="00A31137" w:rsidRPr="00A31137" w:rsidRDefault="00A31137" w:rsidP="00A31137">
      <w:r w:rsidRPr="00A31137">
        <w:t>Environment. Cleaning up America is a labor of love for family, neighborhood, and Nation. In the Republican tradition of conserving the past to enrich the future, we have made the United States the world's leader in environmental progress.</w:t>
      </w:r>
    </w:p>
    <w:p w:rsidR="00A31137" w:rsidRPr="00A31137" w:rsidRDefault="00A31137" w:rsidP="00A31137">
      <w:r w:rsidRPr="00A31137">
        <w:t>1992 Republican Platform, p.57</w:t>
      </w:r>
    </w:p>
    <w:p w:rsidR="00A31137" w:rsidRPr="00A31137" w:rsidRDefault="00A31137" w:rsidP="00A31137">
      <w:r w:rsidRPr="00A31137">
        <w:t>We spend more than any other country on environmental protection. Over the last 20 years, our country has spent $1 trillion to clean its air, water, and land. We increased GNP by 70 percent while cutting lead in the air by 97 percent. Our rivers run cleaner than ever in memory. We've preserved parks, wilderness, and wildlife. The price of progress is now about $115 billion a year, almost two percent of GNP; and that will grow to three percent by 2000.</w:t>
      </w:r>
    </w:p>
    <w:p w:rsidR="00A31137" w:rsidRPr="00A31137" w:rsidRDefault="00A31137" w:rsidP="00A31137">
      <w:r w:rsidRPr="00A31137">
        <w:t>1992 Republican Platform, p.57</w:t>
      </w:r>
    </w:p>
    <w:p w:rsidR="00A31137" w:rsidRPr="00A31137" w:rsidRDefault="00A31137" w:rsidP="00A31137">
      <w:r w:rsidRPr="00A31137">
        <w:t>Clearly we have led the world in investment in environmental protection. We have taught the world three vital lessons. First, environmental progress is integrally related to economic advancement. Second, economic growth generates the capital to pay for environmental gains. Third, private ownership and economic freedom are the best security against environmental degradation. The ghastly truth about state socialism is now exposed in what used to be the Soviet Union: dead rivers and seas, poisoned land, dying people.</w:t>
      </w:r>
    </w:p>
    <w:p w:rsidR="00A31137" w:rsidRPr="00A31137" w:rsidRDefault="00A31137" w:rsidP="00A31137">
      <w:r w:rsidRPr="00A31137">
        <w:t>1992 Republican Platform, p.57</w:t>
      </w:r>
    </w:p>
    <w:p w:rsidR="00A31137" w:rsidRPr="00A31137" w:rsidRDefault="00A31137" w:rsidP="00A31137">
      <w:r w:rsidRPr="00A31137">
        <w:t>Liberal Democrats think people are the problem. We know people are the solution. Respecting the people's rights and views, we applied market-based solutions to environmental problems. President Bush's landmark Clean Air Act Amendments of 1990, the toughest environmental law ever enacted, uses an innovative system of emission credits to achieve its dramatic reductions. This will save $1 billion over the Democrats' command-and-control approach. Other provisions of that law will cut acid rain emissions in half, reduce toxic pollutants by 90 percent, reduce smog, and speed the use of cleaner fuels.</w:t>
      </w:r>
    </w:p>
    <w:p w:rsidR="00A31137" w:rsidRPr="00A31137" w:rsidRDefault="00A31137" w:rsidP="00A31137">
      <w:r w:rsidRPr="00A31137">
        <w:t>1992 Republican Platform, p.57</w:t>
      </w:r>
    </w:p>
    <w:p w:rsidR="00A31137" w:rsidRPr="00A31137" w:rsidRDefault="00A31137" w:rsidP="00A31137">
      <w:r w:rsidRPr="00A31137">
        <w:t>The President' s leadership has doubled spending for real wetlands and targeted one million acres for a wetlands reserve through his Farm Bill of 1990. We have collected more civil penalties from polluters in two years than in the previous twenty, begun the phase-out of substances that harm the ozone layer, [p.58] and launched a long-term campaign to expand and improve national parks, forests, and recreation areas, adding 1.5 million acres. President Bush has dramatically increased spending for cleaning up past environmental damage caused by federal facilities.</w:t>
      </w:r>
    </w:p>
    <w:p w:rsidR="00A31137" w:rsidRPr="00A31137" w:rsidRDefault="00A31137" w:rsidP="00A31137">
      <w:r w:rsidRPr="00A31137">
        <w:t>1992 Republican Platform, p.58</w:t>
      </w:r>
    </w:p>
    <w:p w:rsidR="00A31137" w:rsidRPr="00A31137" w:rsidRDefault="00A31137" w:rsidP="00A31137">
      <w:r w:rsidRPr="00A31137">
        <w:t>Our reforestation drive will plant one billion trees a year across America. Our moratorium on offshore drilling in sensitive offshore areas has bought time for technology to master environmental challenges. Our farm policies have begun a new era in sound agricultural environmentalism.</w:t>
      </w:r>
    </w:p>
    <w:p w:rsidR="00A31137" w:rsidRPr="00A31137" w:rsidRDefault="00A31137" w:rsidP="00A31137">
      <w:r w:rsidRPr="00A31137">
        <w:t>1992 Republican Platform, p.58</w:t>
      </w:r>
    </w:p>
    <w:p w:rsidR="00A31137" w:rsidRPr="00A31137" w:rsidRDefault="00A31137" w:rsidP="00A31137">
      <w:r w:rsidRPr="00A31137">
        <w:t>Because the environment knows no boundaries, President Bush has accelerated U.S. research on global climate change, spending $2.7 billion in the last three years and requesting $1.4 billion for 1993, more than the rest of the world put together. Under his leadership, we have assisted nations from the Third World to Eastern Europe in correcting the environmental damage inflicted by socialism. We proposed a worldwide forestry convention and gave almost half a billion dollars to forest conservation. We won debt-for-nature swaps and environmental trust funds in Latin America and the Caribbean. We secured prohibitions against unilateral export or dumping of hazardous waste. We led the international ban on trade in ivory, persuaded Japan to end driftnet fishing, streamlined response to oil spills, and increased environmental protection for Antarctica.</w:t>
      </w:r>
    </w:p>
    <w:p w:rsidR="00A31137" w:rsidRPr="00A31137" w:rsidRDefault="00A31137" w:rsidP="00A31137">
      <w:r w:rsidRPr="00A31137">
        <w:t>1992 Republican Platform, p.58</w:t>
      </w:r>
    </w:p>
    <w:p w:rsidR="00A31137" w:rsidRPr="00A31137" w:rsidRDefault="00A31137" w:rsidP="00A31137">
      <w:r w:rsidRPr="00A31137">
        <w:t>Adverse changes in climate must be the common concern of mankind. At the same time, we applaud our President for personally confronting the international bureaucrats at the Rio Conference. He refused to accept their anti-American demands for income redistribution and won instead a global climate treaty that relies on real action plans rather than arbitrary targets hostile to U.S. growth and workers.</w:t>
      </w:r>
    </w:p>
    <w:p w:rsidR="00A31137" w:rsidRPr="00A31137" w:rsidRDefault="00A31137" w:rsidP="00A31137">
      <w:r w:rsidRPr="00A31137">
        <w:t>1992 Republican Platform, p.58</w:t>
      </w:r>
    </w:p>
    <w:p w:rsidR="00A31137" w:rsidRPr="00A31137" w:rsidRDefault="00A31137" w:rsidP="00A31137">
      <w:r w:rsidRPr="00A31137">
        <w:t>Following his example, a Republican Senate will not ratify any treaty that moves environmental decisions beyond our democratic process or transfers beyond our shores authority over U.S. property. The Democrats' national candidates, on the other hand, insist the U.S. must do what our foreign competitors refuse to do: abolish 300,000 to 1,000,000 jobs to get a modest reduction in "greenhouse gases."</w:t>
      </w:r>
    </w:p>
    <w:p w:rsidR="00A31137" w:rsidRPr="00A31137" w:rsidRDefault="00A31137" w:rsidP="00A31137">
      <w:r w:rsidRPr="00A31137">
        <w:t>1992 Republican Platform, p.58</w:t>
      </w:r>
    </w:p>
    <w:p w:rsidR="00A31137" w:rsidRPr="00A31137" w:rsidRDefault="00A31137" w:rsidP="00A31137">
      <w:r w:rsidRPr="00A31137">
        <w:t>Environmental progress must continue in tandem with economic growth. Crippling an industry is no solution at all. Bankrupt facilities only worsen environmental situations. Unemployment is a form of pollution too, poisoning families and contaminating whole communities.</w:t>
      </w:r>
    </w:p>
    <w:p w:rsidR="00A31137" w:rsidRPr="00A31137" w:rsidRDefault="00A31137" w:rsidP="00A31137">
      <w:r w:rsidRPr="00A31137">
        <w:t>1992 Republican Platform, p.58</w:t>
      </w:r>
    </w:p>
    <w:p w:rsidR="00A31137" w:rsidRPr="00A31137" w:rsidRDefault="00A31137" w:rsidP="00A31137">
      <w:r w:rsidRPr="00A31137">
        <w:t>Some in our own country still refuse to face those facts. They try to hijack environmentalism, making it anti-growth and anti-jobs. Although the average family of four now pays $1,000 a year for environmental controls, liberal Democrats want to tighten the squeeze. They use junk science to foster hysteria [p.59] instead of reason, demanding rigid controls, more taxes, and less resource production.</w:t>
      </w:r>
    </w:p>
    <w:p w:rsidR="00A31137" w:rsidRPr="00A31137" w:rsidRDefault="00A31137" w:rsidP="00A31137">
      <w:r w:rsidRPr="00A31137">
        <w:t>1992 Republican Platform, p.59</w:t>
      </w:r>
    </w:p>
    <w:p w:rsidR="00A31137" w:rsidRPr="00A31137" w:rsidRDefault="00A31137" w:rsidP="00A31137">
      <w:r w:rsidRPr="00A31137">
        <w:t>However, with billions of dollars at stake in national production and jobs, not to mention our quality of life, our decisions to spend on environmental protection must not be determined by the politics of the moment. We will use scientifically respectable risk-benefit assessments to settle environmental controversies. It is time to replace knee-jerk reactions with the kind of scientific analysis that helps businesses, individuals, and communities contribute to economic and environmental progress through flexible application of laws. We must base our environmental policies on real risks to human health, determined by sound, peer-reviewed science, including procedures for what is an acceptable risk.</w:t>
      </w:r>
    </w:p>
    <w:p w:rsidR="00A31137" w:rsidRPr="00A31137" w:rsidRDefault="00A31137" w:rsidP="00A31137">
      <w:r w:rsidRPr="00A31137">
        <w:t>1992 Republican Platform, p.59</w:t>
      </w:r>
    </w:p>
    <w:p w:rsidR="00A31137" w:rsidRPr="00A31137" w:rsidRDefault="00A31137" w:rsidP="00A31137">
      <w:r w:rsidRPr="00A31137">
        <w:t>We will require federal agencies to promptly compensate, from their own budgets, for any taking of private property, including the denial of use.</w:t>
      </w:r>
    </w:p>
    <w:p w:rsidR="00A31137" w:rsidRPr="00A31137" w:rsidRDefault="00A31137" w:rsidP="00A31137">
      <w:r w:rsidRPr="00A31137">
        <w:t>1992 Republican Platform, p.59</w:t>
      </w:r>
    </w:p>
    <w:p w:rsidR="00A31137" w:rsidRPr="00A31137" w:rsidRDefault="00A31137" w:rsidP="00A31137">
      <w:r w:rsidRPr="00A31137">
        <w:t>We will legislatively overhaul the Superfund program to speed the clean up of hazardous waste and more efficiently use Superfund dollars. We will develop greenways of parks and open space in urban areas to further improve the quality of life in our cities. We will work with U.S. industry and labor to identify promising markets abroad where America's environmental know-how can carry our success story to the rest of planet earth.</w:t>
      </w:r>
    </w:p>
    <w:p w:rsidR="00A31137" w:rsidRPr="00A31137" w:rsidRDefault="00A31137" w:rsidP="00A31137">
      <w:r w:rsidRPr="00A31137">
        <w:t>1992 Republican Platform, p.59</w:t>
      </w:r>
    </w:p>
    <w:p w:rsidR="00A31137" w:rsidRPr="00A31137" w:rsidRDefault="00A31137" w:rsidP="00A31137">
      <w:r w:rsidRPr="00A31137">
        <w:t>Private Property Rights. We reaffirm our commitment to the Fifth Amendment to the Constitution: "No person shall be…deprived of life, liberty, or property, without due process of law; nor shall private property be taken for public use, without just compensation." We support strong enforcement of this Takings clause to keep citizens secure in the use and development of their property.</w:t>
      </w:r>
    </w:p>
    <w:p w:rsidR="00A31137" w:rsidRPr="00A31137" w:rsidRDefault="00A31137" w:rsidP="00A31137">
      <w:r w:rsidRPr="00A31137">
        <w:t>1992 Republican Platform, p.59</w:t>
      </w:r>
    </w:p>
    <w:p w:rsidR="00A31137" w:rsidRPr="00A31137" w:rsidRDefault="00A31137" w:rsidP="00A31137">
      <w:r w:rsidRPr="00A31137">
        <w:t>The right to own, use, and dispose of property inheres in mankind by nature and is a fundamental political tenet of all free nations. We applaud the wisdom of the First Congress for incorporating this guarantee of individual liberty in the Bill of Rights. We remind all government officials that property rights are not granted by government; rather, government is directed by the governed to protect the rights of private property owners.</w:t>
      </w:r>
    </w:p>
    <w:p w:rsidR="00A31137" w:rsidRPr="00A31137" w:rsidRDefault="00A31137" w:rsidP="00A31137">
      <w:r w:rsidRPr="00A31137">
        <w:t>1992 Republican Platform, p.59</w:t>
      </w:r>
    </w:p>
    <w:p w:rsidR="00A31137" w:rsidRPr="00A31137" w:rsidRDefault="00A31137" w:rsidP="00A31137">
      <w:r w:rsidRPr="00A31137">
        <w:t>The vigilant protection of private property rights safeguards for citizens everything of value, including their right of contract to produce and sell the fruits of their labor. The historic collapse of Communism and other command and control economies is absolute evidence of the failure of economic systems that lack a recognition of the natural rights of property owners.</w:t>
      </w:r>
    </w:p>
    <w:p w:rsidR="00A31137" w:rsidRPr="00A31137" w:rsidRDefault="00A31137" w:rsidP="00A31137">
      <w:r w:rsidRPr="00A31137">
        <w:t>1992 Republican Platform, p.59</w:t>
      </w:r>
    </w:p>
    <w:p w:rsidR="00A31137" w:rsidRPr="00A31137" w:rsidRDefault="00A31137" w:rsidP="00A31137">
      <w:r w:rsidRPr="00A31137">
        <w:t xml:space="preserve">We also seek to reduce the amount of land owned or controlled by the government, especially in the western states. We insist upon prompt payment for private lands certified as critical for preserving essential parks and preserves. [p.63] </w:t>
      </w:r>
    </w:p>
    <w:p w:rsidR="00A31137" w:rsidRPr="00A31137" w:rsidRDefault="00A31137" w:rsidP="00A31137">
      <w:r w:rsidRPr="00A31137">
        <w:t>Uniting Our World</w:t>
      </w:r>
    </w:p>
    <w:p w:rsidR="00A31137" w:rsidRPr="00A31137" w:rsidRDefault="00A31137" w:rsidP="00A31137">
      <w:r w:rsidRPr="00A31137">
        <w:t>1992 Republican Platform, p.63</w:t>
      </w:r>
    </w:p>
    <w:p w:rsidR="00A31137" w:rsidRPr="00A31137" w:rsidRDefault="00A31137" w:rsidP="00A31137">
      <w:r w:rsidRPr="00A31137">
        <w:t>The world is now our neighborhood. Its triumphs and tragedies affect our communities, our jobs, and the security of our families. That is why Republicans want America to shape the international future: Because we put America first.</w:t>
      </w:r>
    </w:p>
    <w:p w:rsidR="00A31137" w:rsidRPr="00A31137" w:rsidRDefault="00A31137" w:rsidP="00A31137">
      <w:r w:rsidRPr="00A31137">
        <w:t>1992 Republican Platform, p.63</w:t>
      </w:r>
    </w:p>
    <w:p w:rsidR="00A31137" w:rsidRPr="00A31137" w:rsidRDefault="00A31137" w:rsidP="00A31137">
      <w:r w:rsidRPr="00A31137">
        <w:t>Not everyone does. Just twelve years ago, the forces of freedom were in tattered retreat. A failed foreign policy by a Democrat White House and Democrat-controlled Congress had left our allies uncertain, our friends betrayed, our foes emboldened. It was a frightening era, in some ways the worst of times. We all remember the flickering television images of blindfolded Americans being degraded by thugs. When voters make their choice in this year's elections, they should ask themselves: Are we safer and stronger today, in 1992, than we were in 1980, when Jimmy Carter was the Democrat President?</w:t>
      </w:r>
    </w:p>
    <w:p w:rsidR="00A31137" w:rsidRPr="00A31137" w:rsidRDefault="00A31137" w:rsidP="00A31137">
      <w:r w:rsidRPr="00A31137">
        <w:t>1992 Republican Platform, p.63</w:t>
      </w:r>
    </w:p>
    <w:p w:rsidR="00A31137" w:rsidRPr="00A31137" w:rsidRDefault="00A31137" w:rsidP="00A31137">
      <w:r w:rsidRPr="00A31137">
        <w:t>Republicans are proud to answer those questions. The Nation's international position has not just improved since the Democrats left office. It has been transformed. Never in this century has the United States enjoyed such security from foreign enemies. With President Bush leading the free world, the Soviet empire has collapsed, as Ronald Reagan predicted, into the dustbin of history. Eastern Europe is liberated. Germany is peacefully united. The former Soviet armies are returning home. Nuclear arsenals are being cut to fractions of their former size.</w:t>
      </w:r>
    </w:p>
    <w:p w:rsidR="00A31137" w:rsidRPr="00A31137" w:rsidRDefault="00A31137" w:rsidP="00A31137">
      <w:r w:rsidRPr="00A31137">
        <w:t>1992 Republican Platform, p.63</w:t>
      </w:r>
    </w:p>
    <w:p w:rsidR="00A31137" w:rsidRPr="00A31137" w:rsidRDefault="00A31137" w:rsidP="00A31137">
      <w:r w:rsidRPr="00A31137">
        <w:t>A democratically elected Russian president sits in the Kremlin. Ukraine, Armenia, and the Baltic states take their rightful place among the family of nations. Israel and all of its Arab neighbors talk face to face for the first time. Nicaragua and Panama celebrate democracy.</w:t>
      </w:r>
    </w:p>
    <w:p w:rsidR="00A31137" w:rsidRPr="00A31137" w:rsidRDefault="00A31137" w:rsidP="00A31137">
      <w:r w:rsidRPr="00A31137">
        <w:t>1992 Republican Platform, p.63</w:t>
      </w:r>
    </w:p>
    <w:p w:rsidR="00A31137" w:rsidRPr="00A31137" w:rsidRDefault="00A31137" w:rsidP="00A31137">
      <w:r w:rsidRPr="00A31137">
        <w:t>It might very well not have turned out this way. Only the naive believe that history is an inevitable tide or a series of accidents. Our crusade of a half-century, to champion freedom and civilization against the dark night of totalitarianism, is now victorious. An American President led the free world to this great triumph. George Bush was that man.</w:t>
      </w:r>
    </w:p>
    <w:p w:rsidR="00A31137" w:rsidRPr="00A31137" w:rsidRDefault="00A31137" w:rsidP="00A31137">
      <w:r w:rsidRPr="00A31137">
        <w:t>1992 Republican Platform, p.63</w:t>
      </w:r>
    </w:p>
    <w:p w:rsidR="00A31137" w:rsidRPr="00A31137" w:rsidRDefault="00A31137" w:rsidP="00A31137">
      <w:r w:rsidRPr="00A31137">
        <w:t>Freedom's victory begins a new chapter in the epic of America, full of both promise and peril. This different and unpredictable world demands visionary, experienced leadership, tested and strengthened, careful and cool. At stake is nothing less than our security, our prosperity, and our children's future. Americans can trust President Bush with that awesome responsibility. [p.64]</w:t>
      </w:r>
    </w:p>
    <w:p w:rsidR="00A31137" w:rsidRPr="00A31137" w:rsidRDefault="00A31137" w:rsidP="00A31137">
      <w:r w:rsidRPr="00A31137">
        <w:t>The Triumph of Freedom</w:t>
      </w:r>
    </w:p>
    <w:p w:rsidR="00A31137" w:rsidRPr="00A31137" w:rsidRDefault="00A31137" w:rsidP="00A31137">
      <w:r w:rsidRPr="00A31137">
        <w:t>1992 Republican Platform, p.64</w:t>
      </w:r>
    </w:p>
    <w:p w:rsidR="00A31137" w:rsidRPr="00A31137" w:rsidRDefault="00A31137" w:rsidP="00A31137">
      <w:r w:rsidRPr="00A31137">
        <w:t>No other President in the long history of our country has achieved so many of the enduring objectives of American foreign policy in so short a time as has George Bush. He made it look easy, even destined. It was neither.</w:t>
      </w:r>
    </w:p>
    <w:p w:rsidR="00A31137" w:rsidRPr="00A31137" w:rsidRDefault="00A31137" w:rsidP="00A31137">
      <w:r w:rsidRPr="00A31137">
        <w:t>1992 Republican Platform, p.64</w:t>
      </w:r>
    </w:p>
    <w:p w:rsidR="00A31137" w:rsidRPr="00A31137" w:rsidRDefault="00A31137" w:rsidP="00A31137">
      <w:r w:rsidRPr="00A31137">
        <w:t>Building on the legacy of Ronald Reagan, George Bush saw the chance to sweep away decadent Communism. He was the first Western leader to declare his determination to fashion "a Europe whole and free." He took the free world beyond containment, led the way in aiding democracy in Eastern Europe, and punched holes through the rusting Iron Curtain. We all remember the joy we felt when we saw the people of Berlin dancing on top of the crumbling Wall that had symbolized four decades of Communist oppression.</w:t>
      </w:r>
    </w:p>
    <w:p w:rsidR="00A31137" w:rsidRPr="00A31137" w:rsidRDefault="00A31137" w:rsidP="00A31137">
      <w:r w:rsidRPr="00A31137">
        <w:t>1992 Republican Platform, p.64</w:t>
      </w:r>
    </w:p>
    <w:p w:rsidR="00A31137" w:rsidRPr="00A31137" w:rsidRDefault="00A31137" w:rsidP="00A31137">
      <w:r w:rsidRPr="00A31137">
        <w:t>He championed Germany's right to become again one nation and orchestrated the diplomacy to make it happen, on Western terms, in one astounding year. Foreseeing revolutionary change in the Soviet Union itself, he carefully pushed its rulers to open the way to the democratic future. When crisis came, in August 1991, George Bush, in the words of Boris Yeltsin, "was the first to understand the true meaning of the victory of the Russian people" and gave his decisive backing to the cause of democracy.</w:t>
      </w:r>
    </w:p>
    <w:p w:rsidR="00A31137" w:rsidRPr="00A31137" w:rsidRDefault="00A31137" w:rsidP="00A31137">
      <w:r w:rsidRPr="00A31137">
        <w:t>1992 Republican Platform, p.64</w:t>
      </w:r>
    </w:p>
    <w:p w:rsidR="00A31137" w:rsidRPr="00A31137" w:rsidRDefault="00A31137" w:rsidP="00A31137">
      <w:r w:rsidRPr="00A31137">
        <w:t>The world had never before faced the disintegration of a nuclear superpower. Today, thanks in large part to President Bush's initiatives, nuclear weapons are found in only four countries of the former Soviet Union—not fourteen. Because of his efforts all but Russia are giving up any claim to these weapons, and Russia has agreed to destroy the most dangerous missiles ever built. The balance of terror is fading away. The ideals of liberty, both political and economic, are the dominant moral and intellectual force around the globe.</w:t>
      </w:r>
    </w:p>
    <w:p w:rsidR="00A31137" w:rsidRPr="00A31137" w:rsidRDefault="00A31137" w:rsidP="00A31137">
      <w:r w:rsidRPr="00A31137">
        <w:t>1992 Republican Platform, p.64</w:t>
      </w:r>
    </w:p>
    <w:p w:rsidR="00A31137" w:rsidRPr="00A31137" w:rsidRDefault="00A31137" w:rsidP="00A31137">
      <w:r w:rsidRPr="00A31137">
        <w:t>George Bush made it happen.</w:t>
      </w:r>
    </w:p>
    <w:p w:rsidR="00A31137" w:rsidRPr="00A31137" w:rsidRDefault="00A31137" w:rsidP="00A31137">
      <w:r w:rsidRPr="00A31137">
        <w:t>1992 Republican Platform, p.64</w:t>
      </w:r>
    </w:p>
    <w:p w:rsidR="00A31137" w:rsidRPr="00A31137" w:rsidRDefault="00A31137" w:rsidP="00A31137">
      <w:r w:rsidRPr="00A31137">
        <w:t>Yet now that we have won the Cold War, we must also win the peace. We must not repeat the mistake of the past by throwing away victory through complacency. A new world beckons, unlike any we have ever known, filled with uncertainties. Old passions have reemerged. New democracies struggle to decide their destiny. Nations are torn asunder. Migrants and refugees strain the social fabric of continents. Tyrants work to build nuclear, chemical, and even biological weapons to threaten us and our neighbors. Drug trafficking and terrorism, often linked, menace Americans at home and abroad.</w:t>
      </w:r>
    </w:p>
    <w:p w:rsidR="00A31137" w:rsidRPr="00A31137" w:rsidRDefault="00A31137" w:rsidP="00A31137">
      <w:r w:rsidRPr="00A31137">
        <w:t>1992 Republican Platform, p.64</w:t>
      </w:r>
    </w:p>
    <w:p w:rsidR="00A31137" w:rsidRPr="00A31137" w:rsidRDefault="00A31137" w:rsidP="00A31137">
      <w:r w:rsidRPr="00A31137">
        <w:t>Great transitions in world affairs are rarely tidy. They challenge statesmanship, require steadiness and wisdom. History teaches that when the United States shrinks from the world, we hasten the emergence of new dangers. [p.65] Republicans remember the lesson taught by our Founders: that eternal vigilance is the price of liberty.</w:t>
      </w:r>
    </w:p>
    <w:p w:rsidR="00A31137" w:rsidRPr="00A31137" w:rsidRDefault="00A31137" w:rsidP="00A31137">
      <w:r w:rsidRPr="00A31137">
        <w:t>1992 Republican Platform, p.65</w:t>
      </w:r>
    </w:p>
    <w:p w:rsidR="00A31137" w:rsidRPr="00A31137" w:rsidRDefault="00A31137" w:rsidP="00A31137">
      <w:r w:rsidRPr="00A31137">
        <w:t>Meeting the Challenge. The Gulf War showed the world how much is at stake when voters choose their President. George Bush had known war first hand. So he tried the way of peace—months of negotiations and economic sanctions—then did what a President must do. He led from powerful convictions based on American values. The United States, in a preeminent position of world leadership, forged a new strategy of collective engagement which invigorated the United Nations.</w:t>
      </w:r>
    </w:p>
    <w:p w:rsidR="00A31137" w:rsidRPr="00A31137" w:rsidRDefault="00A31137" w:rsidP="00A31137">
      <w:r w:rsidRPr="00A31137">
        <w:t>1992 Republican Platform, p.65</w:t>
      </w:r>
    </w:p>
    <w:p w:rsidR="00A31137" w:rsidRPr="00A31137" w:rsidRDefault="00A31137" w:rsidP="00A31137">
      <w:r w:rsidRPr="00A31137">
        <w:t>This was not the same United States held hostage in 1980, when the Democrats controlled both the White House and the Congress. No helpless giant here. The President charted a path that wrecked Saddam Hussein's dreams of conquest and nuclear aggression while keeping America from the quagmire of indefinite military occupation of Iraq.</w:t>
      </w:r>
    </w:p>
    <w:p w:rsidR="00A31137" w:rsidRPr="00A31137" w:rsidRDefault="00A31137" w:rsidP="00A31137">
      <w:r w:rsidRPr="00A31137">
        <w:t>1992 Republican Platform, p.65</w:t>
      </w:r>
    </w:p>
    <w:p w:rsidR="00A31137" w:rsidRPr="00A31137" w:rsidRDefault="00A31137" w:rsidP="00A31137">
      <w:r w:rsidRPr="00A31137">
        <w:t>President Bush, trusting the military commanders he had chosen, was Commander-in-Chief of one of the finest achievements in the distinguished history of our armed forces. Americans will never forget that, of the 323 Congressional Democrats, only 96 voted to support Operation Desert Storm and 227 voted to oppose it. If the Democrats had prevailed, Saddam Hussein would still be in Kuwait, armed with nuclear weapons. Everyone discovered what difference a vote for President can make.</w:t>
      </w:r>
    </w:p>
    <w:p w:rsidR="00A31137" w:rsidRPr="00A31137" w:rsidRDefault="00A31137" w:rsidP="00A31137">
      <w:r w:rsidRPr="00A31137">
        <w:t>1992 Republican Platform, p.65</w:t>
      </w:r>
    </w:p>
    <w:p w:rsidR="00A31137" w:rsidRPr="00A31137" w:rsidRDefault="00A31137" w:rsidP="00A31137">
      <w:r w:rsidRPr="00A31137">
        <w:t>Leadership through Partnership. A new era demands a new agenda. Our post-Cold War strategy both reflects our country's ideals and guards its interests.</w:t>
      </w:r>
    </w:p>
    <w:p w:rsidR="00A31137" w:rsidRPr="00A31137" w:rsidRDefault="00A31137" w:rsidP="00A31137">
      <w:r w:rsidRPr="00A31137">
        <w:t>1992 Republican Platform, p.65</w:t>
      </w:r>
    </w:p>
    <w:p w:rsidR="00A31137" w:rsidRPr="00A31137" w:rsidRDefault="00A31137" w:rsidP="00A31137">
      <w:r w:rsidRPr="00A31137">
        <w:t>Building a commonwealth of freedom differs greatly from the old concept of containment. It rests on a stable balance of power but goes beyond it to emphasize, above all, the supremacy of an idea: a common conception of how to make freedom work for all the nations moving with us into a radically changing future.</w:t>
      </w:r>
    </w:p>
    <w:p w:rsidR="00A31137" w:rsidRPr="00A31137" w:rsidRDefault="00A31137" w:rsidP="00A31137">
      <w:r w:rsidRPr="00A31137">
        <w:t>1992 Republican Platform, p.65</w:t>
      </w:r>
    </w:p>
    <w:p w:rsidR="00A31137" w:rsidRPr="00A31137" w:rsidRDefault="00A31137" w:rsidP="00A31137">
      <w:r w:rsidRPr="00A31137">
        <w:t>Republicans understand that objective cannot be pursued by the United States alone. We therefore have harnessed the free world's strength to American leadership. But such a strategy requires a President whose lead others will trust and follow. By forging consensus whenever possible, we multiply the impact of our Nation' s power and principles. But if necessary we will act alone to protect American interests. Consistent with our policy and traditions, we oppose any actions that would undermine America' s sovereignty, either in political or economic matters. Leadership through partnership allows us to project American ideals and protect American interests abroad, at less cost to our taxpayers.</w:t>
      </w:r>
    </w:p>
    <w:p w:rsidR="00A31137" w:rsidRPr="00A31137" w:rsidRDefault="00A31137" w:rsidP="00A31137">
      <w:r w:rsidRPr="00A31137">
        <w:t>1992 Republican Platform, p.66</w:t>
      </w:r>
    </w:p>
    <w:p w:rsidR="00A31137" w:rsidRPr="00A31137" w:rsidRDefault="00A31137" w:rsidP="00A31137">
      <w:r w:rsidRPr="00A31137">
        <w:t>[p.66] That is how we will secure the victory of democracy as the best guarantee of a world without war. It is how we will open the world for American business to ensure prosperity in an open international economy. And it is how we will banish the nuclear nightmare, limit the danger from weapons of mass destruction, and safely manage a critical transition in our Nation's defenses.</w:t>
      </w:r>
    </w:p>
    <w:p w:rsidR="00A31137" w:rsidRPr="00A31137" w:rsidRDefault="00A31137" w:rsidP="00A31137">
      <w:r w:rsidRPr="00A31137">
        <w:t>1992 Republican Platform, p.66</w:t>
      </w:r>
    </w:p>
    <w:p w:rsidR="00A31137" w:rsidRPr="00A31137" w:rsidRDefault="00A31137" w:rsidP="00A31137">
      <w:r w:rsidRPr="00A31137">
        <w:t>Securing the Victory of Democracy. The spread of democracy and economic liberty is the best guarantee of peace. It can mean speaking out or applying economic pressure to encourage peaceful change; aiding democratic forces; or being ready, as a last resort, to take military action where vital American interests are at stake, as when President Bush restored the rule of law to Panama. Republican Presidents have used all these tools in a comprehensive, consistent campaign to promote democracy worldwide.</w:t>
      </w:r>
    </w:p>
    <w:p w:rsidR="00A31137" w:rsidRPr="00A31137" w:rsidRDefault="00A31137" w:rsidP="00A31137">
      <w:r w:rsidRPr="00A31137">
        <w:t>1992 Republican Platform, p.66</w:t>
      </w:r>
    </w:p>
    <w:p w:rsidR="00A31137" w:rsidRPr="00A31137" w:rsidRDefault="00A31137" w:rsidP="00A31137">
      <w:r w:rsidRPr="00A31137">
        <w:t>New tests lie ahead. On past occasions, the tide of liberty has ebbed as dictators recaptured much of what they had lost. We want freedom's wave to roll on to reach countries like China, Cuba, North Korea, Vietnam, and others. We want to keep drawing attention to serious human rights violations around the world, spurring other governments to make and fulfill the promise of liberty to their people. We want to prevent any new ideology of authoritarianism from drawing any of the world's people to a grim and vengeful vision of our future.</w:t>
      </w:r>
    </w:p>
    <w:p w:rsidR="00A31137" w:rsidRPr="00A31137" w:rsidRDefault="00A31137" w:rsidP="00A31137">
      <w:r w:rsidRPr="00A31137">
        <w:t>1992 Republican Platform, p.66</w:t>
      </w:r>
    </w:p>
    <w:p w:rsidR="00A31137" w:rsidRPr="00A31137" w:rsidRDefault="00A31137" w:rsidP="00A31137">
      <w:r w:rsidRPr="00A31137">
        <w:t>This is the challenge we face in the next four years. It is why President Bush led the way in promoting assistance to the fledgling democracies of Eastern Europe. It is why he has persuaded the Congress to invest in the democratic future of nations reborn from Communism. To the peoples of those nations, and to the Russian people in particular, we declare: If you stay on the path to freedom, we stand ready to help.</w:t>
      </w:r>
    </w:p>
    <w:p w:rsidR="00A31137" w:rsidRPr="00A31137" w:rsidRDefault="00A31137" w:rsidP="00A31137">
      <w:r w:rsidRPr="00A31137">
        <w:t>1992 Republican Platform, p.66</w:t>
      </w:r>
    </w:p>
    <w:p w:rsidR="00A31137" w:rsidRPr="00A31137" w:rsidRDefault="00A31137" w:rsidP="00A31137">
      <w:r w:rsidRPr="00A31137">
        <w:t>We rejoice especially with the people of Latvia, Lithuania, and Estonia, whose nationhood we have always upheld in law and in our hearts.</w:t>
      </w:r>
    </w:p>
    <w:p w:rsidR="00A31137" w:rsidRPr="00A31137" w:rsidRDefault="00A31137" w:rsidP="00A31137">
      <w:r w:rsidRPr="00A31137">
        <w:t>1992 Republican Platform, p.66</w:t>
      </w:r>
    </w:p>
    <w:p w:rsidR="00A31137" w:rsidRPr="00A31137" w:rsidRDefault="00A31137" w:rsidP="00A31137">
      <w:r w:rsidRPr="00A31137">
        <w:t>In Western Europe, we reaffirm the NATO alliance. While we reduce our troop commitments on the continent—a thousand soldiers are coming home every week—we must keep a powerful force deployed there. The United States must remain a European power in the broadest sense, able to influence the policies and events that affect the livelihood and security of future generations of Americans.</w:t>
      </w:r>
    </w:p>
    <w:p w:rsidR="00A31137" w:rsidRPr="00A31137" w:rsidRDefault="00A31137" w:rsidP="00A31137">
      <w:r w:rsidRPr="00A31137">
        <w:t>1992 Republican Platform, p.66</w:t>
      </w:r>
    </w:p>
    <w:p w:rsidR="00A31137" w:rsidRPr="00A31137" w:rsidRDefault="00A31137" w:rsidP="00A31137">
      <w:r w:rsidRPr="00A31137">
        <w:t>The violence in what used to be Yugoslavia is an affront to humanity. We condemn those responsible for the carnage there and call for an immediate international investigation of atrocities. We support the United Nations peace-keeping effort and urge an immediate cease-fire by all parties. The United States should continue to demand respect for international law and fundamental human [p.67] rights in this agonizing conflict.</w:t>
      </w:r>
    </w:p>
    <w:p w:rsidR="00A31137" w:rsidRPr="00A31137" w:rsidRDefault="00A31137" w:rsidP="00A31137">
      <w:r w:rsidRPr="00A31137">
        <w:t>1992 Republican Platform, p.67</w:t>
      </w:r>
    </w:p>
    <w:p w:rsidR="00A31137" w:rsidRPr="00A31137" w:rsidRDefault="00A31137" w:rsidP="00A31137">
      <w:r w:rsidRPr="00A31137">
        <w:t>We encourage a peaceful settlement for Cyprus and respect by all parties for the wishes of the Cypriot people.</w:t>
      </w:r>
    </w:p>
    <w:p w:rsidR="00A31137" w:rsidRPr="00A31137" w:rsidRDefault="00A31137" w:rsidP="00A31137">
      <w:r w:rsidRPr="00A31137">
        <w:t>1992 Republican Platform, p.67</w:t>
      </w:r>
    </w:p>
    <w:p w:rsidR="00A31137" w:rsidRPr="00A31137" w:rsidRDefault="00A31137" w:rsidP="00A31137">
      <w:r w:rsidRPr="00A31137">
        <w:t>We urge peace and justice for Northern Ireland. We welcome the newly begun process of constitutional dialogue that holds so much promise. We encourage investment and reconstruction to create opportunity for all.</w:t>
      </w:r>
    </w:p>
    <w:p w:rsidR="00A31137" w:rsidRPr="00A31137" w:rsidRDefault="00A31137" w:rsidP="00A31137">
      <w:r w:rsidRPr="00A31137">
        <w:t>1992 Republican Platform, p.67</w:t>
      </w:r>
    </w:p>
    <w:p w:rsidR="00A31137" w:rsidRPr="00A31137" w:rsidRDefault="00A31137" w:rsidP="00A31137">
      <w:r w:rsidRPr="00A31137">
        <w:t>In the Middle East, prospects for peace have been transformed by the determined statesmanship of George Bush. Without the leadership of president Bush, Iraq would today threaten world peace, the peace and security of the Middle East, and the very survival of Israel with a huge conventional army and nuclear weapons. Direct peace talks, on terms Israel rightly had sought for more than four decades, would not be a reality. Soviet Jewish emigration likely would have been interrupted. The rescue of Ethiopian Jewry might not have happened. And the equation of Zionism to racism still would be a grotesque stain on the United Nations.</w:t>
      </w:r>
    </w:p>
    <w:p w:rsidR="00A31137" w:rsidRPr="00A31137" w:rsidRDefault="00A31137" w:rsidP="00A31137">
      <w:r w:rsidRPr="00A31137">
        <w:t>1992 Republican Platform, p.67</w:t>
      </w:r>
    </w:p>
    <w:p w:rsidR="00A31137" w:rsidRPr="00A31137" w:rsidRDefault="00A31137" w:rsidP="00A31137">
      <w:r w:rsidRPr="00A31137">
        <w:t>Although much has changed for the better, the Middle East remains an area of high tensions—many unrelated to the Arab-Israeli conflict—where regional conflicts can escalate to threaten the vital interests of the United States. As Saddam Hussein's aggression against Kuwait demonstrated, heavily armed radical regimes are capable of independent aggressive action. In this environment, Israel's demonstrated strategic importance to the United States, as our most reliable and capable ally in this part of the world, is more important than ever. This strategic relationship, with its unique moral dimension, explains the understandable support Israel receives from millions of Americans who participate in our political process. The strong ties between the U.S. and Israel were demonstrated during the Gulf War when Israel chose not to retaliate against repeated missile attacks, even though they caused severe damage and loss of life. We will continue to broaden and deepen the strategic relationship with our ally Israel—the only true democracy in the Middle East—by taking additional concrete steps to further institutionalize the partnership. This will include maintaining adequate levels of security and economic assistance; continuing our meetings on military, political and economic cooperation and coordination; prepositioning military equipment; developing joint contingency plans; and increasing joint naval and air exercises.</w:t>
      </w:r>
    </w:p>
    <w:p w:rsidR="00A31137" w:rsidRPr="00A31137" w:rsidRDefault="00A31137" w:rsidP="00A31137">
      <w:r w:rsidRPr="00A31137">
        <w:t>1992 Republican Platform, p.67</w:t>
      </w:r>
    </w:p>
    <w:p w:rsidR="00A31137" w:rsidRPr="00A31137" w:rsidRDefault="00A31137" w:rsidP="00A31137">
      <w:r w:rsidRPr="00A31137">
        <w:t>Consistent with our strategic relationship, the United States should continue to provide large-scale security assistance to Israel, maintaining Israel's qualitative military advantage over any adversary or coalition of adversaries. We also will continue to negotiate with the major arms supplying nations to reach an agreement on limiting arms sales to the Middle East and preventing the [p.68] proliferation of non-conventional weapons.</w:t>
      </w:r>
    </w:p>
    <w:p w:rsidR="00A31137" w:rsidRPr="00A31137" w:rsidRDefault="00A31137" w:rsidP="00A31137">
      <w:r w:rsidRPr="00A31137">
        <w:t>1992 Republican Platform, p.68</w:t>
      </w:r>
    </w:p>
    <w:p w:rsidR="00A31137" w:rsidRPr="00A31137" w:rsidRDefault="00A31137" w:rsidP="00A31137">
      <w:r w:rsidRPr="00A31137">
        <w:t>We applaud the President's leadership in fostering unprecedented direct talks between Israel and its Arab neighbors. The United States is prepared to use its good offices to mediate disputes at their request. We do not believe the U.S. should attempt to impose a solution on the parties.</w:t>
      </w:r>
    </w:p>
    <w:p w:rsidR="00A31137" w:rsidRPr="00A31137" w:rsidRDefault="00A31137" w:rsidP="00A31137">
      <w:r w:rsidRPr="00A31137">
        <w:t>1992 Republican Platform, p.68</w:t>
      </w:r>
    </w:p>
    <w:p w:rsidR="00A31137" w:rsidRPr="00A31137" w:rsidRDefault="00A31137" w:rsidP="00A31137">
      <w:r w:rsidRPr="00A31137">
        <w:t>The basis for negotiations must be U.N. Security Council Resolutions 242 and 338. Peace must come from direct negotiations. It will be up to the negotiators to determine exactly what is required to satisfy these resolutions, but we firmly believe Israel has a right to exist in secure and recognized borders. As President Bush stated in Madrid, our objective is not simply to end the state of war; rather, it is to establish real peace, one with treaties, security, diplomatic relations, trade, investment, cultural exchange, even tourism. We want the Middle East to become a place where people lead normal lives.</w:t>
      </w:r>
    </w:p>
    <w:p w:rsidR="00A31137" w:rsidRPr="00A31137" w:rsidRDefault="00A31137" w:rsidP="00A31137">
      <w:r w:rsidRPr="00A31137">
        <w:t>1992 Republican Platform, p.68</w:t>
      </w:r>
    </w:p>
    <w:p w:rsidR="00A31137" w:rsidRPr="00A31137" w:rsidRDefault="00A31137" w:rsidP="00A31137">
      <w:r w:rsidRPr="00A31137">
        <w:t>A meaningful peace must assure Israel's security while recognizing the legitimate rights of the Palestinian people. We oppose the creation of an independent Palestinian state. Nor will we support the creation of any political entity that would jeopardize Israel's security. As Israelis and Palestinians negotiate interim self-government, no party will be required to commit itself to any specific final outcome of direct negotiations. Israel should not be forced to negotiate with any party. In this regard, the United States will have no dialogue with the PLO until it satisfies in full the conditions laid out by President Bush in 1990. We believe Jerusalem should remain an undivided city, with free and unimpeded access to all holy places by people of all faiths. No genuine peace would deny Jews the right to live anywhere in the special city of Jerusalem.</w:t>
      </w:r>
    </w:p>
    <w:p w:rsidR="00A31137" w:rsidRPr="00A31137" w:rsidRDefault="00A31137" w:rsidP="00A31137">
      <w:r w:rsidRPr="00A31137">
        <w:t>1992 Republican Platform, p.68</w:t>
      </w:r>
    </w:p>
    <w:p w:rsidR="00A31137" w:rsidRPr="00A31137" w:rsidRDefault="00A31137" w:rsidP="00A31137">
      <w:r w:rsidRPr="00A31137">
        <w:t>Peace in the Middle East entails cooperation between all the parties in the region. To this end, we have worked to bring all of the states of the area together with Israel to hold multilateral negotiations on issues of common concern such as regional development, water, refugees, arms control and the environment. We support these forums as a means of encouraging Arab acceptance of Israel and solving common regional problems.</w:t>
      </w:r>
    </w:p>
    <w:p w:rsidR="00A31137" w:rsidRPr="00A31137" w:rsidRDefault="00A31137" w:rsidP="00A31137">
      <w:r w:rsidRPr="00A31137">
        <w:t>1992 Republican Platform, p.68</w:t>
      </w:r>
    </w:p>
    <w:p w:rsidR="00A31137" w:rsidRPr="00A31137" w:rsidRDefault="00A31137" w:rsidP="00A31137">
      <w:r w:rsidRPr="00A31137">
        <w:t>We continue to back legislation mandating that if the U.N. and its agencies were to deny Israel's right to participate, the United States would withhold financial support and withdraw from those bodies until their action was rectified.</w:t>
      </w:r>
    </w:p>
    <w:p w:rsidR="00A31137" w:rsidRPr="00A31137" w:rsidRDefault="00A31137" w:rsidP="00A31137">
      <w:r w:rsidRPr="00A31137">
        <w:t>1992 Republican Platform, p.68</w:t>
      </w:r>
    </w:p>
    <w:p w:rsidR="00A31137" w:rsidRPr="00A31137" w:rsidRDefault="00A31137" w:rsidP="00A31137">
      <w:r w:rsidRPr="00A31137">
        <w:t>Republicans believe freedom of emigration is a fundamental human right and that Jews from any nation should be free to travel to Israel. Republicans are proud we have maintained our historic and moral commitment to the resettlement in Israel of persecuted Jews. We congratulate President Bush and Secretary [p.69] Baker on the agreement with Israel for a generous package of loan guarantees that will provide new immigrants with needed humanitarian assistance.</w:t>
      </w:r>
    </w:p>
    <w:p w:rsidR="00A31137" w:rsidRPr="00A31137" w:rsidRDefault="00A31137" w:rsidP="00A31137">
      <w:r w:rsidRPr="00A31137">
        <w:t>1992 Republican Platform, p.69</w:t>
      </w:r>
    </w:p>
    <w:p w:rsidR="00A31137" w:rsidRPr="00A31137" w:rsidRDefault="00A31137" w:rsidP="00A31137">
      <w:r w:rsidRPr="00A31137">
        <w:t>We also should maintain our close ties with and generous aid for Egypt, which properly reaps the benefits of its courageous peace with Israel. We continue to support Egypt and other pro-Western states in the region against subversion and aggression and call for an end to the Arab boycott of Israel. We also support establishment of a strong central government in Lebanon, democratically elected and representative of its citizens.</w:t>
      </w:r>
    </w:p>
    <w:p w:rsidR="00A31137" w:rsidRPr="00A31137" w:rsidRDefault="00A31137" w:rsidP="00A31137">
      <w:r w:rsidRPr="00A31137">
        <w:t>1992 Republican Platform, p.69</w:t>
      </w:r>
    </w:p>
    <w:p w:rsidR="00A31137" w:rsidRPr="00A31137" w:rsidRDefault="00A31137" w:rsidP="00A31137">
      <w:r w:rsidRPr="00A31137">
        <w:t>We salute all the countries in the Middle East who contributed to the success of Desert Storm and share our goal of stability in the region. With them, we hope to build upon that triumph a new future for the Middle East, founded on mutual respect and a common longing for peace. To promote this goal, we should settle for nothing less than full, unconditional, immediate, and verified Iraqi compliance with all aspects of the cease-fire laid out in U.N. resolutions.</w:t>
      </w:r>
    </w:p>
    <w:p w:rsidR="00A31137" w:rsidRPr="00A31137" w:rsidRDefault="00A31137" w:rsidP="00A31137">
      <w:r w:rsidRPr="00A31137">
        <w:t>1992 Republican Platform, p.69</w:t>
      </w:r>
    </w:p>
    <w:p w:rsidR="00A31137" w:rsidRPr="00A31137" w:rsidRDefault="00A31137" w:rsidP="00A31137">
      <w:r w:rsidRPr="00A31137">
        <w:t>In the Western Hemisphere, as elsewhere, we must promote democratic values. We will continue to seek cooperation in the common battle against the drug lords. We will also lower barriers to trade and investment, knowing that our exports to Latin America are helping to lead our economic recovery at home. The President's Enterprise for the Americas initiative and the North American Free Trade Agreement mean, for the United States, billions in new trade, hundreds of thousands of new jobs, and a long-term solution to the economic pressures behind illegal immigration.</w:t>
      </w:r>
    </w:p>
    <w:p w:rsidR="00A31137" w:rsidRPr="00A31137" w:rsidRDefault="00A31137" w:rsidP="00A31137">
      <w:r w:rsidRPr="00A31137">
        <w:t>1992 Republican Platform, p.69</w:t>
      </w:r>
    </w:p>
    <w:p w:rsidR="00A31137" w:rsidRPr="00A31137" w:rsidRDefault="00A31137" w:rsidP="00A31137">
      <w:r w:rsidRPr="00A31137">
        <w:t>We welcome positive changes, economic and political, in Mexico, and salute the people of Panama on their recovery of free institutions after Operation Just Cause. We commend President Bush for the decisive military action that led to the end of the corrupt Noriega regime and freedom for democratically-minded Panamanians. We will uphold free and unencumbered U.S. access to the Canal. We hail the patriots of El Salvador and Nicaragua, whose bravery and blood thwarted Communism and Castro despite the inconstancy of Congressional Democrats. Together with other members of the Organization of American States, we will work to restore democracy to Haiti.</w:t>
      </w:r>
    </w:p>
    <w:p w:rsidR="00A31137" w:rsidRPr="00A31137" w:rsidRDefault="00A31137" w:rsidP="00A31137">
      <w:r w:rsidRPr="00A31137">
        <w:t>1992 Republican Platform, p.69</w:t>
      </w:r>
    </w:p>
    <w:p w:rsidR="00A31137" w:rsidRPr="00A31137" w:rsidRDefault="00A31137" w:rsidP="00A31137">
      <w:r w:rsidRPr="00A31137">
        <w:t>The Monroe Doctrine remains a cardinal principle of our foreign policy, and we continue to strive toward the day when the alien ideology of Communism and Fidel Castro's regime will be purged from Cuba, and Americans can welcome the Cuban people back into the family of free nations. Toward that end, we support Radio and TV Martí and the spirit of Cuba Libre.</w:t>
      </w:r>
    </w:p>
    <w:p w:rsidR="00A31137" w:rsidRPr="00A31137" w:rsidRDefault="00A31137" w:rsidP="00A31137">
      <w:r w:rsidRPr="00A31137">
        <w:t>1992 Republican Platform, p.69</w:t>
      </w:r>
    </w:p>
    <w:p w:rsidR="00A31137" w:rsidRPr="00A31137" w:rsidRDefault="00A31137" w:rsidP="00A31137">
      <w:r w:rsidRPr="00A31137">
        <w:t>In Asia, we remain committed to the spread of political and economic liberty. We will work with Japan for common progress and maintain our military [p.70] presence in Japan and in Asia. We also will promote greater Japanese responsibility for self-defense and worldwide prosperity.</w:t>
      </w:r>
    </w:p>
    <w:p w:rsidR="00A31137" w:rsidRPr="00A31137" w:rsidRDefault="00A31137" w:rsidP="00A31137">
      <w:r w:rsidRPr="00A31137">
        <w:t>1992 Republican Platform, p.70</w:t>
      </w:r>
    </w:p>
    <w:p w:rsidR="00A31137" w:rsidRPr="00A31137" w:rsidRDefault="00A31137" w:rsidP="00A31137">
      <w:r w:rsidRPr="00A31137">
        <w:t>We reaffirm our commitment to the security of Taiwan and regard any attempt to alter its status by force as a threat to the entire region. We adhere to the Taiwan Relations Act, the basis for continuing cooperation with those who have stood loyally with us for half a century.</w:t>
      </w:r>
    </w:p>
    <w:p w:rsidR="00A31137" w:rsidRPr="00A31137" w:rsidRDefault="00A31137" w:rsidP="00A31137">
      <w:r w:rsidRPr="00A31137">
        <w:t>1992 Republican Platform, p.70</w:t>
      </w:r>
    </w:p>
    <w:p w:rsidR="00A31137" w:rsidRPr="00A31137" w:rsidRDefault="00A31137" w:rsidP="00A31137">
      <w:r w:rsidRPr="00A31137">
        <w:t>Our policy toward China is based on support for democratic reform. We need to maintain the relationship with China so that we can effectively encourage such reform. We will continue to work toward the day when the Chinese people will finally complete their journey to an open society, free of the deplorable restrictions on personal liberties that still exist.</w:t>
      </w:r>
    </w:p>
    <w:p w:rsidR="00A31137" w:rsidRPr="00A31137" w:rsidRDefault="00A31137" w:rsidP="00A31137">
      <w:r w:rsidRPr="00A31137">
        <w:t>1992 Republican Platform, p.70</w:t>
      </w:r>
    </w:p>
    <w:p w:rsidR="00A31137" w:rsidRPr="00A31137" w:rsidRDefault="00A31137" w:rsidP="00A31137">
      <w:r w:rsidRPr="00A31137">
        <w:t>We will maintain our close relationship with the Republic of Korea, helping to deter aggression from the north. North Korea remains an outlaw state and must not be permitted to acquire nuclear weapons.</w:t>
      </w:r>
    </w:p>
    <w:p w:rsidR="00A31137" w:rsidRPr="00A31137" w:rsidRDefault="00A31137" w:rsidP="00A31137">
      <w:r w:rsidRPr="00A31137">
        <w:t>1992 Republican Platform, p.70</w:t>
      </w:r>
    </w:p>
    <w:p w:rsidR="00A31137" w:rsidRPr="00A31137" w:rsidRDefault="00A31137" w:rsidP="00A31137">
      <w:r w:rsidRPr="00A31137">
        <w:t>With the people of the Philippines, we will maintain our special ties of history and affection.</w:t>
      </w:r>
    </w:p>
    <w:p w:rsidR="00A31137" w:rsidRPr="00A31137" w:rsidRDefault="00A31137" w:rsidP="00A31137">
      <w:r w:rsidRPr="00A31137">
        <w:t>1992 Republican Platform, p.70</w:t>
      </w:r>
    </w:p>
    <w:p w:rsidR="00A31137" w:rsidRPr="00A31137" w:rsidRDefault="00A31137" w:rsidP="00A31137">
      <w:r w:rsidRPr="00A31137">
        <w:t>We support the movement in Cambodia toward peace and democracy.</w:t>
      </w:r>
    </w:p>
    <w:p w:rsidR="00A31137" w:rsidRPr="00A31137" w:rsidRDefault="00A31137" w:rsidP="00A31137">
      <w:r w:rsidRPr="00A31137">
        <w:t>1992 Republican Platform, p.70</w:t>
      </w:r>
    </w:p>
    <w:p w:rsidR="00A31137" w:rsidRPr="00A31137" w:rsidRDefault="00A31137" w:rsidP="00A31137">
      <w:r w:rsidRPr="00A31137">
        <w:t>We demand the fullest possible accounting for America's POWs and MIAs in Southeast Asia. The grief of their families touches all of us. We will seek complete information in all forums and from all sources. Our President has put the government of Vietnam on notice: improved relations depend upon this goal.</w:t>
      </w:r>
    </w:p>
    <w:p w:rsidR="00A31137" w:rsidRPr="00A31137" w:rsidRDefault="00A31137" w:rsidP="00A31137">
      <w:r w:rsidRPr="00A31137">
        <w:t>1992 Republican Platform, p.70</w:t>
      </w:r>
    </w:p>
    <w:p w:rsidR="00A31137" w:rsidRPr="00A31137" w:rsidRDefault="00A31137" w:rsidP="00A31137">
      <w:r w:rsidRPr="00A31137">
        <w:t>In Africa, despite opposition from Congressional Democrats, we armed freedom fighters and helped force the withdrawal of Cuban troops. Now we enter the long season of building, trying to revive faith in democracy on a continent ravaged by Marxist wars, looted by local dictators, and misled by socialist ideology. Political and economic liberty are the keys.</w:t>
      </w:r>
    </w:p>
    <w:p w:rsidR="00A31137" w:rsidRPr="00A31137" w:rsidRDefault="00A31137" w:rsidP="00A31137">
      <w:r w:rsidRPr="00A31137">
        <w:t>1992 Republican Platform, p.70</w:t>
      </w:r>
    </w:p>
    <w:p w:rsidR="00A31137" w:rsidRPr="00A31137" w:rsidRDefault="00A31137" w:rsidP="00A31137">
      <w:r w:rsidRPr="00A31137">
        <w:t>We will support responsible efforts by the international community to help end the anarchy in Somalia and to address the plight of the people of that country suffering from drought and starvation. We condemn those who are using armed force to impede food distribution.</w:t>
      </w:r>
    </w:p>
    <w:p w:rsidR="00A31137" w:rsidRPr="00A31137" w:rsidRDefault="00A31137" w:rsidP="00A31137">
      <w:r w:rsidRPr="00A31137">
        <w:t>1992 Republican Platform, p.70</w:t>
      </w:r>
    </w:p>
    <w:p w:rsidR="00A31137" w:rsidRPr="00A31137" w:rsidRDefault="00A31137" w:rsidP="00A31137">
      <w:r w:rsidRPr="00A31137">
        <w:t>In South Africa, the Republican policy of constructive engagement—opposing apartheid while fostering peaceful change—has been successful. That nation's prospects have been transformed for the better, though many difficulties lie ahead. We condemn all violence against the innocent and applaud those who seek reconciliation to create a new, democratic South Africa. We encourage economic reform as crucial to both security and prosperity in the new South Africa.</w:t>
      </w:r>
    </w:p>
    <w:p w:rsidR="00A31137" w:rsidRPr="00A31137" w:rsidRDefault="00A31137" w:rsidP="00A31137">
      <w:r w:rsidRPr="00A31137">
        <w:t>1992 Republican Platform, p.71</w:t>
      </w:r>
    </w:p>
    <w:p w:rsidR="00A31137" w:rsidRPr="00A31137" w:rsidRDefault="00A31137" w:rsidP="00A31137">
      <w:r w:rsidRPr="00A31137">
        <w:t>We recognize that foreign aid must have a reasonable relationship to our [p.71] national interests. We therefore support an ongoing review of such programs so that they can be both effectual and justified. We promote financial contribution from other democracies of the world to share the cost of the American burden for peacekeeping and foreign aid.</w:t>
      </w:r>
    </w:p>
    <w:p w:rsidR="00A31137" w:rsidRPr="00A31137" w:rsidRDefault="00A31137" w:rsidP="00A31137">
      <w:r w:rsidRPr="00A31137">
        <w:t>1992 Republican Platform, p.71</w:t>
      </w:r>
    </w:p>
    <w:p w:rsidR="00A31137" w:rsidRPr="00A31137" w:rsidRDefault="00A31137" w:rsidP="00A31137">
      <w:r w:rsidRPr="00A31137">
        <w:t>We support efforts by private voluntary agencies to help meet the needs of countries newly liberated from communism, and of the developing world, in such areas as medical, agricultural, educational, and entrepreneurial assistance.</w:t>
      </w:r>
    </w:p>
    <w:p w:rsidR="00A31137" w:rsidRPr="00A31137" w:rsidRDefault="00A31137" w:rsidP="00A31137">
      <w:r w:rsidRPr="00A31137">
        <w:t>1992 Republican Platform, p.71</w:t>
      </w:r>
    </w:p>
    <w:p w:rsidR="00A31137" w:rsidRPr="00A31137" w:rsidRDefault="00A31137" w:rsidP="00A31137">
      <w:r w:rsidRPr="00A31137">
        <w:t>Opening the World to American Business. The triumph of democracy is also a victory for economic freedom. All the world over, people in search of a better life are rejecting politicians' control of their future. This will mean a broader horizon for American opportunity. The whole world has become our marketplace.</w:t>
      </w:r>
    </w:p>
    <w:p w:rsidR="00A31137" w:rsidRPr="00A31137" w:rsidRDefault="00A31137" w:rsidP="00A31137">
      <w:r w:rsidRPr="00A31137">
        <w:t>1992 Republican Platform, p.71</w:t>
      </w:r>
    </w:p>
    <w:p w:rsidR="00A31137" w:rsidRPr="00A31137" w:rsidRDefault="00A31137" w:rsidP="00A31137">
      <w:r w:rsidRPr="00A31137">
        <w:t>The election of 1992 will determine whether our country seizes this tremendous opportunity or retreats from it. Republicans trust individuals and families to make their own economic decisions; Democrat politicians do not. We reject their program of strangled trade, industrial policy, high taxes, and regulation. We reject punitive taxes on foreign businesses in this country that only invite retaliatory taxes against U.S. businesses abroad. Trade war is the road to international depression—and for keeping American workers dependent on government handouts. We do not want to replace the arms race with a subsidies race.</w:t>
      </w:r>
    </w:p>
    <w:p w:rsidR="00A31137" w:rsidRPr="00A31137" w:rsidRDefault="00A31137" w:rsidP="00A31137">
      <w:r w:rsidRPr="00A31137">
        <w:t>1992 Republican Platform, p.71</w:t>
      </w:r>
    </w:p>
    <w:p w:rsidR="00A31137" w:rsidRPr="00A31137" w:rsidRDefault="00A31137" w:rsidP="00A31137">
      <w:r w:rsidRPr="00A31137">
        <w:t>Putting Americans first means keeping the national interest ahead of the special interests. It means opening the world to American goods within a system of free and expanding trade. Just as Ronald Reagan declared in Berlin, "Tear down this wall," so George Bush is dismantling the walls of protectionism in order to continue expanding our exports.</w:t>
      </w:r>
    </w:p>
    <w:p w:rsidR="00A31137" w:rsidRPr="00A31137" w:rsidRDefault="00A31137" w:rsidP="00A31137">
      <w:r w:rsidRPr="00A31137">
        <w:t>1992 Republican Platform, p.71</w:t>
      </w:r>
    </w:p>
    <w:p w:rsidR="00A31137" w:rsidRPr="00A31137" w:rsidRDefault="00A31137" w:rsidP="00A31137">
      <w:r w:rsidRPr="00A31137">
        <w:t>Our strong commitment to free trade also encompasses vigorous enforcement of U.S. trade laws. We expect a fair and level playing field in our trade with other nations and will work to ensure that foreign markets are just as open to our goods as U.S. markets are to theirs. In all negotiations concerning trade, we will put the interests of America first.</w:t>
      </w:r>
    </w:p>
    <w:p w:rsidR="00A31137" w:rsidRPr="00A31137" w:rsidRDefault="00A31137" w:rsidP="00A31137">
      <w:r w:rsidRPr="00A31137">
        <w:t>1992 Republican Platform, p.71</w:t>
      </w:r>
    </w:p>
    <w:p w:rsidR="00A31137" w:rsidRPr="00A31137" w:rsidRDefault="00A31137" w:rsidP="00A31137">
      <w:r w:rsidRPr="00A31137">
        <w:t>Throughout the world, as here at home, the Republican Party stands for growth. America's families have nothing to fear—and everything to gain—from the new era of free enterprise and prosperity that will emerge as free people compete, excel, and progress.</w:t>
      </w:r>
    </w:p>
    <w:p w:rsidR="00A31137" w:rsidRPr="00A31137" w:rsidRDefault="00A31137" w:rsidP="00A31137">
      <w:r w:rsidRPr="00A31137">
        <w:t>1992 Republican Platform, p.71</w:t>
      </w:r>
    </w:p>
    <w:p w:rsidR="00A31137" w:rsidRPr="00A31137" w:rsidRDefault="00A31137" w:rsidP="00A31137">
      <w:r w:rsidRPr="00A31137">
        <w:t>Banishing the Nuclear Nightmare. The world has moved from the brink of disaster to the threshold of historic opportunity. For almost half a century, we lived under the shadow of nuclear destruction. Today, that specter is fading. We will not stop here. We will banish the threat of nuclear annihilation from the face of the earth—not by savaging our military, as some Democrats might insist, but by building on the historic diplomatic achievements of Presidents Bush and Reagan.</w:t>
      </w:r>
    </w:p>
    <w:p w:rsidR="00A31137" w:rsidRPr="00A31137" w:rsidRDefault="00A31137" w:rsidP="00A31137">
      <w:r w:rsidRPr="00A31137">
        <w:t>1992 Republican Platform, p.72</w:t>
      </w:r>
    </w:p>
    <w:p w:rsidR="00A31137" w:rsidRPr="00A31137" w:rsidRDefault="00A31137" w:rsidP="00A31137">
      <w:r w:rsidRPr="00A31137">
        <w:t>[p.72] This means assuring stable command and control of the former Soviet arsenal, complete acceptance and verified implementation of all treaty obligations by the successor states to the USSR, and achieving the additional 50 percent reduction in strategic forces now agreed upon. We must assist in dismantling weapons, transforming the massive Soviet war machine into an engine of peace and civilian revival. We will cooperate with our former adversaries both to curtail proliferation and to move beyond the ABM Treaty toward effective ballistic missile defenses.</w:t>
      </w:r>
    </w:p>
    <w:p w:rsidR="00A31137" w:rsidRPr="00A31137" w:rsidRDefault="00A31137" w:rsidP="00A31137">
      <w:r w:rsidRPr="00A31137">
        <w:t>1992 Republican Platform, p.72</w:t>
      </w:r>
    </w:p>
    <w:p w:rsidR="00A31137" w:rsidRPr="00A31137" w:rsidRDefault="00A31137" w:rsidP="00A31137">
      <w:r w:rsidRPr="00A31137">
        <w:t>We will not permit the Soviet nuclear nightmare to be replaced by another one. Outlaw nations—North Korea, Iran, Iraq, Libya and others—lust for weapons of mass destruction. This is the nightmare of proliferation: nuclear, chemical, and biological weapons that, together with ballistic missiles, can deliver death across whole continents, including our own.</w:t>
      </w:r>
    </w:p>
    <w:p w:rsidR="00A31137" w:rsidRPr="00A31137" w:rsidRDefault="00A31137" w:rsidP="00A31137">
      <w:r w:rsidRPr="00A31137">
        <w:t>1992 Republican Platform, p.72</w:t>
      </w:r>
    </w:p>
    <w:p w:rsidR="00A31137" w:rsidRPr="00A31137" w:rsidRDefault="00A31137" w:rsidP="00A31137">
      <w:r w:rsidRPr="00A31137">
        <w:t>We will renew and strengthen the Nuclear Nonproliferation Treaty. We will design security policies to counter proliferation dangers. We will reinforce multilateral accords like the Missile Technology Control Regime. And most important, we will develop and deploy global defenses against ballistic missiles. Despite the opposition of the Democrat Party and congressional Democrats, we will deploy an effective strategic defense system for the American people.</w:t>
      </w:r>
    </w:p>
    <w:p w:rsidR="00A31137" w:rsidRPr="00A31137" w:rsidRDefault="00A31137" w:rsidP="00A31137">
      <w:r w:rsidRPr="00A31137">
        <w:t>America's Security</w:t>
      </w:r>
    </w:p>
    <w:p w:rsidR="00A31137" w:rsidRPr="00A31137" w:rsidRDefault="00A31137" w:rsidP="00A31137">
      <w:r w:rsidRPr="00A31137">
        <w:t>1992 Republican Platform, p.72</w:t>
      </w:r>
    </w:p>
    <w:p w:rsidR="00A31137" w:rsidRPr="00A31137" w:rsidRDefault="00A31137" w:rsidP="00A31137">
      <w:r w:rsidRPr="00A31137">
        <w:t>Because America won the Cold War, our homes and neighborhoods are more secure than they have been for half a century. Our children are safer. The greatest peace dividend is peace itself. For it, we thank God.</w:t>
      </w:r>
    </w:p>
    <w:p w:rsidR="00A31137" w:rsidRPr="00A31137" w:rsidRDefault="00A31137" w:rsidP="00A31137">
      <w:r w:rsidRPr="00A31137">
        <w:t>1992 Republican Platform, p.72</w:t>
      </w:r>
    </w:p>
    <w:p w:rsidR="00A31137" w:rsidRPr="00A31137" w:rsidRDefault="00A31137" w:rsidP="00A31137">
      <w:r w:rsidRPr="00A31137">
        <w:t>Victory was never inevitable. It was won in blood and treasure, over five decades, by the American people—from the military on the front lines to the taxpayers sustaining the forces of freedom. It was also secured, and the course of mankind profoundly changed for the better, because two successive Republican Presidents, Ronald Reagan and George Bush, were dedicated to peace through strength.</w:t>
      </w:r>
    </w:p>
    <w:p w:rsidR="00A31137" w:rsidRPr="00A31137" w:rsidRDefault="00A31137" w:rsidP="00A31137">
      <w:r w:rsidRPr="00A31137">
        <w:t>1992 Republican Platform, p.72</w:t>
      </w:r>
    </w:p>
    <w:p w:rsidR="00A31137" w:rsidRPr="00A31137" w:rsidRDefault="00A31137" w:rsidP="00A31137">
      <w:r w:rsidRPr="00A31137">
        <w:t>"Peace through strength" was more than a slogan. It was the calculated Republican plan for, first, the survival and, then, the triumph, of America. But freedom did not come cheaply, and the new world we celebrate today required great sacrifice.</w:t>
      </w:r>
    </w:p>
    <w:p w:rsidR="00A31137" w:rsidRPr="00A31137" w:rsidRDefault="00A31137" w:rsidP="00A31137">
      <w:r w:rsidRPr="00A31137">
        <w:t>1992 Republican Platform, p.72</w:t>
      </w:r>
    </w:p>
    <w:p w:rsidR="00A31137" w:rsidRPr="00A31137" w:rsidRDefault="00A31137" w:rsidP="00A31137">
      <w:r w:rsidRPr="00A31137">
        <w:t>In 1981 we inherited from Jimmy Carter and anti-defense Democrats a crippled military: demoralized, underfunded, ill-equipped. Republicans told the truth to the American people; they heeded our call to arms. We restored our Armed Forces to their proper place in both the budget and the pride of the Nation. Our men and women in uniform today are the equals of the finest soldiers, sailors, and airmen who ever wore the uniform of our country.</w:t>
      </w:r>
    </w:p>
    <w:p w:rsidR="00A31137" w:rsidRPr="00A31137" w:rsidRDefault="00A31137" w:rsidP="00A31137">
      <w:r w:rsidRPr="00A31137">
        <w:t>1992 Republican Platform, p.73</w:t>
      </w:r>
    </w:p>
    <w:p w:rsidR="00A31137" w:rsidRPr="00A31137" w:rsidRDefault="00A31137" w:rsidP="00A31137">
      <w:r w:rsidRPr="00A31137">
        <w:t>[p.73] Like earlier generations in 1918 and 1945, they won a great victory. Now, as in the aftermath of those earlier conflicts, comes the difficult task of reducing both the size and cost of defense without letting down America's guard. In the past, terrible mistakes were made, and we paid dearly for them when war came to Korea. We will not allow that to happen again.</w:t>
      </w:r>
    </w:p>
    <w:p w:rsidR="00A31137" w:rsidRPr="00A31137" w:rsidRDefault="00A31137" w:rsidP="00A31137">
      <w:r w:rsidRPr="00A31137">
        <w:t>1992 Republican Platform, p.73</w:t>
      </w:r>
    </w:p>
    <w:p w:rsidR="00A31137" w:rsidRPr="00A31137" w:rsidRDefault="00A31137" w:rsidP="00A31137">
      <w:r w:rsidRPr="00A31137">
        <w:t>America Challenged. The greatest danger to America's security is here at home, among those who would leave the Nation unprepared for the new realities of the post-Cold War world. The ruthless demagogues in rogue regimes are real; and so are the nuclear, chemical, and biological weapons they seek. The danger of nuclear proliferation is real, especially with the dispersal of nuclear know-how after the collapse of the U.S.S.R. That is why the Republican Party, whose leaders like Dan Quayle insisted upon fielding a new Patriot missile in the 1980s, now calls for a new generation of defense against the Scuds of tomorrow.</w:t>
      </w:r>
    </w:p>
    <w:p w:rsidR="00A31137" w:rsidRPr="00A31137" w:rsidRDefault="00A31137" w:rsidP="00A31137">
      <w:r w:rsidRPr="00A31137">
        <w:t>1992 Republican Platform, p.73</w:t>
      </w:r>
    </w:p>
    <w:p w:rsidR="00A31137" w:rsidRPr="00A31137" w:rsidRDefault="00A31137" w:rsidP="00A31137">
      <w:r w:rsidRPr="00A31137">
        <w:t>Rather than admit their mistakes of the past, the same liberal Democrats who sought to disarm America against the Soviet threat now compound their errors with a new campaign—half audacity, half mendacity—to leave the Nation unprotected in a still dangerous word.</w:t>
      </w:r>
    </w:p>
    <w:p w:rsidR="00A31137" w:rsidRPr="00A31137" w:rsidRDefault="00A31137" w:rsidP="00A31137">
      <w:r w:rsidRPr="00A31137">
        <w:t>1992 Republican Platform, p.73</w:t>
      </w:r>
    </w:p>
    <w:p w:rsidR="00A31137" w:rsidRPr="00A31137" w:rsidRDefault="00A31137" w:rsidP="00A31137">
      <w:r w:rsidRPr="00A31137">
        <w:t>Republicans call for a controlled defense drawdown, not a freefall. That is why President Bush proposes to carefully reduce defense spending over the next four years by an additional $34 billion, including $18 billion in outlays, with a 25 percent reduction in personnel. He has already eliminated over 100 weapon systems. Around the world, American forces are coming home from the frontiers of the Cold War. More than 550 overseas bases are being closed or realigned. Yet U.S. forces retain the ability to meet the challenge of another Desert Storm with equal success.</w:t>
      </w:r>
    </w:p>
    <w:p w:rsidR="00A31137" w:rsidRPr="00A31137" w:rsidRDefault="00A31137" w:rsidP="00A31137">
      <w:r w:rsidRPr="00A31137">
        <w:t>1992 Republican Platform, p.73</w:t>
      </w:r>
    </w:p>
    <w:p w:rsidR="00A31137" w:rsidRPr="00A31137" w:rsidRDefault="00A31137" w:rsidP="00A31137">
      <w:r w:rsidRPr="00A31137">
        <w:t>U.S. defense spending already has been reduced significantly. Five years ago, it was more than a quarter of the federal budget. By 1997 it will be less than a sixth. Spending on defense and intelligence, as a proportion of Gross Domestic Product, will be the lowest it has been since before World War II.</w:t>
      </w:r>
    </w:p>
    <w:p w:rsidR="00A31137" w:rsidRPr="00A31137" w:rsidRDefault="00A31137" w:rsidP="00A31137">
      <w:r w:rsidRPr="00A31137">
        <w:t>1992 Republican Platform, p.73</w:t>
      </w:r>
    </w:p>
    <w:p w:rsidR="00A31137" w:rsidRPr="00A31137" w:rsidRDefault="00A31137" w:rsidP="00A31137">
      <w:r w:rsidRPr="00A31137">
        <w:t>Yet any defense budget, however lean, is still too much for the Democrats. They want to start by cutting defense outlays over the next four years by nearly $60 billion beyond the President's cuts, throwing as many as one million additional Americans out of work. And this may be just the beginning, as the Democrats use the defense budget as a bottomless piggybank to try to beat swords into pork barrels. This is folly. It would take us back to the "hollow military" of the Carter era. Once American defenses are allowed to decay, they cannot be rebuilt overnight. Effective arsenals, like effective leaders, require years of patient development. And our greatest asset of all, the people on whom our security depends, deserve a constant long-term investment in their quality, morale, and safety. Republicans pledge to provide it.</w:t>
      </w:r>
    </w:p>
    <w:p w:rsidR="00A31137" w:rsidRPr="00A31137" w:rsidRDefault="00A31137" w:rsidP="00A31137">
      <w:r w:rsidRPr="00A31137">
        <w:t>1992 Republican Platform, p.74</w:t>
      </w:r>
    </w:p>
    <w:p w:rsidR="00A31137" w:rsidRPr="00A31137" w:rsidRDefault="00A31137" w:rsidP="00A31137">
      <w:r w:rsidRPr="00A31137">
        <w:t>[p.74] America Secure. Because the U.S. will rely on a smaller force of offensive nuclear weapons to deter aggression in the post-Cold War era, we will maintain the triad of land, sea, and air-based strategic forces. We will continue to test the safety, reliability, and effectiveness of our nuclear weapons.</w:t>
      </w:r>
    </w:p>
    <w:p w:rsidR="00A31137" w:rsidRPr="00A31137" w:rsidRDefault="00A31137" w:rsidP="00A31137">
      <w:r w:rsidRPr="00A31137">
        <w:t>1992 Republican Platform, p.74</w:t>
      </w:r>
    </w:p>
    <w:p w:rsidR="00A31137" w:rsidRPr="00A31137" w:rsidRDefault="00A31137" w:rsidP="00A31137">
      <w:r w:rsidRPr="00A31137">
        <w:t>With a smaller military, modernization of conventional forces is more important than ever. Desert Storm showed the importance of "force multipliers" like smart munitions, stealth technology, and night-fighting capabilities. We will upgrade existing weapons and selectively procure those that hold the promise of dramatic forward leaps in capability. Under no circumstances will we yield our technological superiority.</w:t>
      </w:r>
    </w:p>
    <w:p w:rsidR="00A31137" w:rsidRPr="00A31137" w:rsidRDefault="00A31137" w:rsidP="00A31137">
      <w:r w:rsidRPr="00A31137">
        <w:t>1992 Republican Platform, p.74</w:t>
      </w:r>
    </w:p>
    <w:p w:rsidR="00A31137" w:rsidRPr="00A31137" w:rsidRDefault="00A31137" w:rsidP="00A31137">
      <w:r w:rsidRPr="00A31137">
        <w:t>We must remain ready to defend American citizens and interests wherever they may be threatened. Essential to that readiness is maintenance of a strong, global navy and modernization of vital airlift and sealift capacity. We remain committed to combating terrorism in all its forms wherever it threatens U.S. citizens or interests.</w:t>
      </w:r>
    </w:p>
    <w:p w:rsidR="00A31137" w:rsidRPr="00A31137" w:rsidRDefault="00A31137" w:rsidP="00A31137">
      <w:r w:rsidRPr="00A31137">
        <w:t>1992 Republican Platform, p.74</w:t>
      </w:r>
    </w:p>
    <w:p w:rsidR="00A31137" w:rsidRPr="00A31137" w:rsidRDefault="00A31137" w:rsidP="00A31137">
      <w:r w:rsidRPr="00A31137">
        <w:t>Republicans will preserve the Nation's access to space for defense, as well as for other purposes, and ensure that space technology does not fall into dangerous hands.</w:t>
      </w:r>
    </w:p>
    <w:p w:rsidR="00A31137" w:rsidRPr="00A31137" w:rsidRDefault="00A31137" w:rsidP="00A31137">
      <w:r w:rsidRPr="00A31137">
        <w:t>1992 Republican Platform, p.74</w:t>
      </w:r>
    </w:p>
    <w:p w:rsidR="00A31137" w:rsidRPr="00A31137" w:rsidRDefault="00A31137" w:rsidP="00A31137">
      <w:r w:rsidRPr="00A31137">
        <w:t>Transformed by the collapse of Communism, our Strategic Defense Initiative is now designed to provide the U. S. and our allies with global defenses against limited ballistic missile attacks. SDI is the greatest investment in peace we could ever make. This system will be our shield against technoterrorism. Russia has agreed to be our partner in it, sharing early warning information and jointly moving forward to stop those who would rain death upon the innocent.</w:t>
      </w:r>
    </w:p>
    <w:p w:rsidR="00A31137" w:rsidRPr="00A31137" w:rsidRDefault="00A31137" w:rsidP="00A31137">
      <w:r w:rsidRPr="00A31137">
        <w:t>1992 Republican Platform, p.74</w:t>
      </w:r>
    </w:p>
    <w:p w:rsidR="00A31137" w:rsidRPr="00A31137" w:rsidRDefault="00A31137" w:rsidP="00A31137">
      <w:r w:rsidRPr="00A31137">
        <w:t>We will use missile defenses to assure threatened nations that they do not need to acquire ballistic missiles of their own. We will move beyond the ABM Treaty to deploy effective defenses with the goal of someday eliminating, not merely reducing, the threat of nuclear holocaust.</w:t>
      </w:r>
    </w:p>
    <w:p w:rsidR="00A31137" w:rsidRPr="00A31137" w:rsidRDefault="00A31137" w:rsidP="00A31137">
      <w:r w:rsidRPr="00A31137">
        <w:t>1992 Republican Platform, p.74</w:t>
      </w:r>
    </w:p>
    <w:p w:rsidR="00A31137" w:rsidRPr="00A31137" w:rsidRDefault="00A31137" w:rsidP="00A31137">
      <w:r w:rsidRPr="00A31137">
        <w:t>We support efforts to reduce armaments, both conventional and otherwise, but the most effective arms control of all over the long run is democracy. Free nations do not attack one another. That is why the promotion of democracy on every continent is an essential part of the Republican defense agenda.</w:t>
      </w:r>
    </w:p>
    <w:p w:rsidR="00A31137" w:rsidRPr="00A31137" w:rsidRDefault="00A31137" w:rsidP="00A31137">
      <w:r w:rsidRPr="00A31137">
        <w:t>1992 Republican Platform, p.74</w:t>
      </w:r>
    </w:p>
    <w:p w:rsidR="00A31137" w:rsidRPr="00A31137" w:rsidRDefault="00A31137" w:rsidP="00A31137">
      <w:r w:rsidRPr="00A31137">
        <w:t>Managing the Peace. A new era in defense requires new approaches to management, to get more out of every dollar in a shrinking budget. That calls for dramatically different ways of doing business. For example, President Bush's reforms in defense management and acquisition already mean massive savings—$70 billion through 1997—without sacrificing combat capability.</w:t>
      </w:r>
    </w:p>
    <w:p w:rsidR="00A31137" w:rsidRPr="00A31137" w:rsidRDefault="00A31137" w:rsidP="00A31137">
      <w:r w:rsidRPr="00A31137">
        <w:t>1992 Republican Platform, p.75</w:t>
      </w:r>
    </w:p>
    <w:p w:rsidR="00A31137" w:rsidRPr="00A31137" w:rsidRDefault="00A31137" w:rsidP="00A31137">
      <w:r w:rsidRPr="00A31137">
        <w:t>Our Armed Forces will still depend on our superb industrial base for [p.75] everything from belt buckles to submarines. We cannot lose that engineering and manufacturing capability. This is especially true of the high technology, demonstrated in Desert Storm, that made our enemies realize they had been left behind in the race for the future. We therefore pledge to maintain America's technological lead, preserve its defense industrial base, and maintain robust levels of investment in research and development.</w:t>
      </w:r>
    </w:p>
    <w:p w:rsidR="00A31137" w:rsidRPr="00A31137" w:rsidRDefault="00A31137" w:rsidP="00A31137">
      <w:r w:rsidRPr="00A31137">
        <w:t>1992 Republican Platform, p.75</w:t>
      </w:r>
    </w:p>
    <w:p w:rsidR="00A31137" w:rsidRPr="00A31137" w:rsidRDefault="00A31137" w:rsidP="00A31137">
      <w:r w:rsidRPr="00A31137">
        <w:t>We will attack the problem of waste in the military, especially at its root in the pork barrel politics of Capitol Hill. A Republican Congress will end the costly micromanagement of defense programs and reduce the number and scope of oversight committees. We will urge the Department of Defense to encourage a broader constituency for saving and to continue genuine procurement reforms based on performance rather than unreasonable regulations imposed by the Democrat Congress. We will continue the successful effort to eliminate redundancy and streamline all facets of defense management.</w:t>
      </w:r>
    </w:p>
    <w:p w:rsidR="00A31137" w:rsidRPr="00A31137" w:rsidRDefault="00A31137" w:rsidP="00A31137">
      <w:r w:rsidRPr="00A31137">
        <w:t>1992 Republican Platform, p.75</w:t>
      </w:r>
    </w:p>
    <w:p w:rsidR="00A31137" w:rsidRPr="00A31137" w:rsidRDefault="00A31137" w:rsidP="00A31137">
      <w:r w:rsidRPr="00A31137">
        <w:t>We applaud the President's efforts to assist all individuals and communities adversely affected by the ongoing defense builddown, with more than 30 defense adjustment programs already in place and over $7 billion committed to the effort in just the next two years.</w:t>
      </w:r>
    </w:p>
    <w:p w:rsidR="00A31137" w:rsidRPr="00A31137" w:rsidRDefault="00A31137" w:rsidP="00A31137">
      <w:r w:rsidRPr="00A31137">
        <w:t>1992 Republican Platform, p.75</w:t>
      </w:r>
    </w:p>
    <w:p w:rsidR="00A31137" w:rsidRPr="00A31137" w:rsidRDefault="00A31137" w:rsidP="00A31137">
      <w:r w:rsidRPr="00A31137">
        <w:t>The Men and Women of Defense. Republicans created the all-volunteer Army and we hail its success. We pledge to keep faith with the men and women volunteers and with their families, for they are the backbone of the Nation's defense. We oppose Democrat efforts to bring back the draft, whether directly or through the subterfuge of compulsory domestic service.</w:t>
      </w:r>
    </w:p>
    <w:p w:rsidR="00A31137" w:rsidRPr="00A31137" w:rsidRDefault="00A31137" w:rsidP="00A31137">
      <w:r w:rsidRPr="00A31137">
        <w:t>1992 Republican Platform, p.75</w:t>
      </w:r>
    </w:p>
    <w:p w:rsidR="00A31137" w:rsidRPr="00A31137" w:rsidRDefault="00A31137" w:rsidP="00A31137">
      <w:r w:rsidRPr="00A31137">
        <w:t>The Armed Forces are a color-blind meritocracy, a model for the rest of our society. Its enlistees should receive preference in federal education and retraining programs. We applaud the advancement of women in the military and single out for special recognition the outstanding contribution of women in Operations Desert Shield/Desert Storm. However, we oppose liberal Democrat attempts to place women in combat positions just to make an ideological point. Unlike the Democrat Party and its candidate, we support the continued exclusion of homosexuals from the military as a matter of good order and discipline.</w:t>
      </w:r>
    </w:p>
    <w:p w:rsidR="00A31137" w:rsidRPr="00A31137" w:rsidRDefault="00A31137" w:rsidP="00A31137">
      <w:r w:rsidRPr="00A31137">
        <w:t>1992 Republican Platform, p.75</w:t>
      </w:r>
    </w:p>
    <w:p w:rsidR="00A31137" w:rsidRPr="00A31137" w:rsidRDefault="00A31137" w:rsidP="00A31137">
      <w:r w:rsidRPr="00A31137">
        <w:t>The Department of Defense will not be an exception to our assertion of family values. Republicans will not tolerate sexual harassment or misconduct toward any individual in the ranks. We demand both its prevention and its punishment. To drive home that point, we urge a halt to the sale, in military facilities, of sexually explicit materials. We call for greater consideration of the needs of families when parents are called to duty.</w:t>
      </w:r>
    </w:p>
    <w:p w:rsidR="00A31137" w:rsidRPr="00A31137" w:rsidRDefault="00A31137" w:rsidP="00A31137">
      <w:r w:rsidRPr="00A31137">
        <w:t>1992 Republican Platform, p.75</w:t>
      </w:r>
    </w:p>
    <w:p w:rsidR="00A31137" w:rsidRPr="00A31137" w:rsidRDefault="00A31137" w:rsidP="00A31137">
      <w:r w:rsidRPr="00A31137">
        <w:t>We must ensure that all of the various benefits, including medical, that were promised to the men and women who chose to make the military and the defense of their Nation a career are fulfilled even upon retirement.</w:t>
      </w:r>
    </w:p>
    <w:p w:rsidR="00A31137" w:rsidRPr="00A31137" w:rsidRDefault="00A31137" w:rsidP="00A31137">
      <w:r w:rsidRPr="00A31137">
        <w:t>1992 Republican Platform, p.76</w:t>
      </w:r>
    </w:p>
    <w:p w:rsidR="00A31137" w:rsidRPr="00A31137" w:rsidRDefault="00A31137" w:rsidP="00A31137">
      <w:r w:rsidRPr="00A31137">
        <w:t>[p.76] In the Republican tradition of support for America's veterans, we proposed and created a Department of Veterans Affairs so their concerns would be represented at the Cabinet table. We affirm our support for veterans preference in federal employment and for sufficient funding to maintain the integrity of the veterans hospital and medical care system. We strongly endorse programs to meet the needs of unemployed veterans.</w:t>
      </w:r>
    </w:p>
    <w:p w:rsidR="00A31137" w:rsidRPr="00A31137" w:rsidRDefault="00A31137" w:rsidP="00A31137">
      <w:r w:rsidRPr="00A31137">
        <w:t>1992 Republican Platform, p.76</w:t>
      </w:r>
    </w:p>
    <w:p w:rsidR="00A31137" w:rsidRPr="00A31137" w:rsidRDefault="00A31137" w:rsidP="00A31137">
      <w:r w:rsidRPr="00A31137">
        <w:t>Intelligence. Desert Storm reminded us that our intelligence community is a national asset of critical importance to our security.</w:t>
      </w:r>
    </w:p>
    <w:p w:rsidR="00A31137" w:rsidRPr="00A31137" w:rsidRDefault="00A31137" w:rsidP="00A31137">
      <w:r w:rsidRPr="00A31137">
        <w:t>1992 Republican Platform, p.76</w:t>
      </w:r>
    </w:p>
    <w:p w:rsidR="00A31137" w:rsidRPr="00A31137" w:rsidRDefault="00A31137" w:rsidP="00A31137">
      <w:r w:rsidRPr="00A31137">
        <w:t>Assuring the availability of timely and reliable information on regional threats and unrest, drug trafficking, terrorism, technology transfer, proliferation, and a host of other issues—this is one of our highest national priorities in the post-Cold War world. U.S. policymakers also must have the best possible understanding of international trade, investment, industrial, financial, and other developments that affect our economic security.</w:t>
      </w:r>
    </w:p>
    <w:p w:rsidR="00A31137" w:rsidRPr="00A31137" w:rsidRDefault="00A31137" w:rsidP="00A31137">
      <w:r w:rsidRPr="00A31137">
        <w:t>1992 Republican Platform, p.76</w:t>
      </w:r>
    </w:p>
    <w:p w:rsidR="00A31137" w:rsidRPr="00A31137" w:rsidRDefault="00A31137" w:rsidP="00A31137">
      <w:r w:rsidRPr="00A31137">
        <w:t>We must and will maintain the full range of our traditional intelligence capabilities, including covert action, to ensure our security in a dangerous and unpredictable world. We reject the Democrat candidate's proposal to cripple U.S. intelligence and decry the deep spending cuts to the intelligence budget sponsored by Democrats in Congress.</w:t>
      </w:r>
    </w:p>
    <w:p w:rsidR="00A31137" w:rsidRPr="00A31137" w:rsidRDefault="00A31137" w:rsidP="00A31137">
      <w:r w:rsidRPr="00A31137">
        <w:t>1992 Republican Platform, p.76</w:t>
      </w:r>
    </w:p>
    <w:p w:rsidR="00A31137" w:rsidRPr="00A31137" w:rsidRDefault="00A31137" w:rsidP="00A31137">
      <w:r w:rsidRPr="00A31137">
        <w:t>Proven Leadership. George Bush has been the most important architect of Western aspirations and designs for the challenging world we are now entering. His record is dear. President Bush has shown he understands how to lead in this new era, where the preeminent position of the United States offers new opportunities to build an international consensus on key issues. President Bush, with experienced Republican leadership, has proven he knows how to place our Nation at the center of effective coalitions where our power is multiplied.</w:t>
      </w:r>
    </w:p>
    <w:p w:rsidR="00A31137" w:rsidRPr="00A31137" w:rsidRDefault="00A31137" w:rsidP="00A31137">
      <w:r w:rsidRPr="00A31137">
        <w:t>1992 Republican Platform, p.76</w:t>
      </w:r>
    </w:p>
    <w:p w:rsidR="00A31137" w:rsidRPr="00A31137" w:rsidRDefault="00A31137" w:rsidP="00A31137">
      <w:r w:rsidRPr="00A31137">
        <w:t>The test of international leadership is on the field, not in a playbook. The Oval Office is no place for on-the-job training—not in carrying out the Presidential duty to protect and defend our Nation, not in managing the arsenal of the supreme nuclear power. There are those who talk and those who perform. George Bush has clearly performed for America, making the right calls in a series of tough decisions that helped transform the world.</w:t>
      </w:r>
    </w:p>
    <w:p w:rsidR="00A31137" w:rsidRPr="00A31137" w:rsidRDefault="00A31137" w:rsidP="00A31137">
      <w:r w:rsidRPr="00A31137">
        <w:t>1992 Republican Platform, p.76</w:t>
      </w:r>
    </w:p>
    <w:p w:rsidR="00A31137" w:rsidRPr="00A31137" w:rsidRDefault="00A31137" w:rsidP="00A31137">
      <w:r w:rsidRPr="00A31137">
        <w:t>Now that we have won the Cold War, we must secure the peace that follows. History has shown that the years following conflict are often critical—where the choices made can either lay the foundation for lasting peace or sow the seeds of future war. In this period of high hopes and great challenges ahead, the Nation needs the tested and experienced leadership of President Bush and the Republican Party.</w:t>
      </w:r>
    </w:p>
    <w:p w:rsidR="00A31137" w:rsidRPr="00A31137" w:rsidRDefault="00A31137" w:rsidP="00A31137">
      <w:r w:rsidRPr="00A31137">
        <w:t>1992 Republican Platform, p.76</w:t>
      </w:r>
    </w:p>
    <w:p w:rsidR="00A31137" w:rsidRPr="00A31137" w:rsidRDefault="00A31137" w:rsidP="00A31137">
      <w:r w:rsidRPr="00A31137">
        <w:t>Richard N. Bond</w:t>
      </w:r>
    </w:p>
    <w:p w:rsidR="00A31137" w:rsidRPr="00A31137" w:rsidRDefault="00A31137" w:rsidP="00A31137">
      <w:r w:rsidRPr="00A31137">
        <w:t>Chairman, Republican National Committee</w:t>
      </w:r>
    </w:p>
    <w:p w:rsidR="00A31137" w:rsidRPr="00A31137" w:rsidRDefault="00A31137" w:rsidP="00A31137">
      <w:r w:rsidRPr="00A31137">
        <w:t>310 First Street, S.E. • Washington, D.C. 20003</w:t>
      </w:r>
    </w:p>
    <w:p w:rsidR="00A31137" w:rsidRPr="00A31137" w:rsidRDefault="00A31137" w:rsidP="00A31137">
      <w:r w:rsidRPr="00A31137">
        <w:t>President Bush's Remarks in Houston on the Results of the Presidential Election, 1992</w:t>
      </w:r>
    </w:p>
    <w:p w:rsidR="00A31137" w:rsidRPr="00A31137" w:rsidRDefault="00A31137" w:rsidP="00A31137">
      <w:r w:rsidRPr="00A31137">
        <w:t>Title:</w:t>
      </w:r>
      <w:r w:rsidRPr="00A31137">
        <w:tab/>
        <w:t>President Bush's Remarks in Houston on the Results of the Presidential Election</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November 3, 1992</w:t>
      </w:r>
    </w:p>
    <w:p w:rsidR="00A31137" w:rsidRPr="00A31137" w:rsidRDefault="00A31137" w:rsidP="00A31137">
      <w:r w:rsidRPr="00A31137">
        <w:t>Source:</w:t>
      </w:r>
      <w:r w:rsidRPr="00A31137">
        <w:tab/>
        <w:t>Public Papers of the Presidents, Bush, 1992, pp.2152-2153</w:t>
      </w:r>
    </w:p>
    <w:p w:rsidR="00A31137" w:rsidRPr="00A31137" w:rsidRDefault="00A31137" w:rsidP="00A31137">
      <w:r w:rsidRPr="00A31137">
        <w:t>Public Papers of Bush, 1992, p.2152</w:t>
      </w:r>
    </w:p>
    <w:p w:rsidR="00A31137" w:rsidRPr="00A31137" w:rsidRDefault="00A31137" w:rsidP="00A31137">
      <w:r w:rsidRPr="00A31137">
        <w:t>The President. Thank you. Thank you very, very much. Hey, listen, we've got to get going. Thank you. Thank you very much. Hey, listen, you guys.</w:t>
      </w:r>
    </w:p>
    <w:p w:rsidR="00A31137" w:rsidRPr="00A31137" w:rsidRDefault="00A31137" w:rsidP="00A31137">
      <w:r w:rsidRPr="00A31137">
        <w:t>Public Papers of Bush, 1992, p.2152</w:t>
      </w:r>
    </w:p>
    <w:p w:rsidR="00A31137" w:rsidRPr="00A31137" w:rsidRDefault="00A31137" w:rsidP="00A31137">
      <w:r w:rsidRPr="00A31137">
        <w:t>Audience members. Thank you, George! Thank you, George! Thank you, George!</w:t>
      </w:r>
    </w:p>
    <w:p w:rsidR="00A31137" w:rsidRPr="00A31137" w:rsidRDefault="00A31137" w:rsidP="00A31137">
      <w:r w:rsidRPr="00A31137">
        <w:t>Public Papers of Bush, 1992, p.2152</w:t>
      </w:r>
    </w:p>
    <w:p w:rsidR="00A31137" w:rsidRPr="00A31137" w:rsidRDefault="00A31137" w:rsidP="00A31137">
      <w:r w:rsidRPr="00A31137">
        <w:t>The President. Hey, thank you very much. Look, thank you so much. Well, here's the way I see it. Here's the way we see it and the country should see it, that the people have spoken. And we respect the majesty of the democratic system.</w:t>
      </w:r>
    </w:p>
    <w:p w:rsidR="00A31137" w:rsidRPr="00A31137" w:rsidRDefault="00A31137" w:rsidP="00A31137">
      <w:r w:rsidRPr="00A31137">
        <w:t>Public Papers of Bush, 1992, p.2152</w:t>
      </w:r>
    </w:p>
    <w:p w:rsidR="00A31137" w:rsidRPr="00A31137" w:rsidRDefault="00A31137" w:rsidP="00A31137">
      <w:r w:rsidRPr="00A31137">
        <w:t>I just called Governor Clinton over in Little Rock and offered my congratulations. He did run a strong campaign. I wish him well in the White House. And I want the country to know that our entire administration will work closely with his team to ensure the smooth transition of power. There is important work to be done, and America must always come first. So we will get behind this new President and wish him well.</w:t>
      </w:r>
    </w:p>
    <w:p w:rsidR="00A31137" w:rsidRPr="00A31137" w:rsidRDefault="00A31137" w:rsidP="00A31137">
      <w:r w:rsidRPr="00A31137">
        <w:t>Public Papers of Bush, 1992, p.2152–p.2153</w:t>
      </w:r>
    </w:p>
    <w:p w:rsidR="00A31137" w:rsidRPr="00A31137" w:rsidRDefault="00A31137" w:rsidP="00A31137">
      <w:r w:rsidRPr="00A31137">
        <w:t>To all who voted for us, voted for me here, especially here, but all across the country, thank you for your support. We have fought the good fight, and we've kept the faith. And I believe I have upheld the [p.2153] honor of the Presidency of the United States. Now I ask that we stand behind our new President. Regardless of our differences, all Americans share the same purpose: to make this, the world's greatest nation, more safe and more secure and to guarantee every American a shot at the American dream.</w:t>
      </w:r>
    </w:p>
    <w:p w:rsidR="00A31137" w:rsidRPr="00A31137" w:rsidRDefault="00A31137" w:rsidP="00A31137">
      <w:r w:rsidRPr="00A31137">
        <w:t>Public Papers of Bush, 1992, p.2153</w:t>
      </w:r>
    </w:p>
    <w:p w:rsidR="00A31137" w:rsidRPr="00A31137" w:rsidRDefault="00A31137" w:rsidP="00A31137">
      <w:r w:rsidRPr="00A31137">
        <w:t>I would like to thank so many of you who have worked beside me to improve America and to literally change the world. Let me thank our great Vice President, Dan Quayle. You know, in the face of a tremendous pounding, he stood for what he believes in. He will always have my profound gratitude and certainly my respect.</w:t>
      </w:r>
    </w:p>
    <w:p w:rsidR="00A31137" w:rsidRPr="00A31137" w:rsidRDefault="00A31137" w:rsidP="00A31137">
      <w:r w:rsidRPr="00A31137">
        <w:t>Public Papers of Bush, 1992, p.2153</w:t>
      </w:r>
    </w:p>
    <w:p w:rsidR="00A31137" w:rsidRPr="00A31137" w:rsidRDefault="00A31137" w:rsidP="00A31137">
      <w:r w:rsidRPr="00A31137">
        <w:t>I would like to salute so many that did special work: Rich Bond up at the RNC; Bob Teeter, who ran the campaign; Bob Mosbacher; our entire campaign team. They've run a valiant effort in a very, very difficult year. I also want to salute the members of the Cabinet, all of whom who have served this Nation with honor, with integrity, and with great distinction. And I would like to single out two leaders who represent the ideal in public service. Together they've helped lead the world through a period of unprecedented transition. I'm talking, of course, about my National Security Adviser, Brent Scowcroft, and my good friend and fellow Texan, our Secretary of State, Jim Baker.</w:t>
      </w:r>
    </w:p>
    <w:p w:rsidR="00A31137" w:rsidRPr="00A31137" w:rsidRDefault="00A31137" w:rsidP="00A31137">
      <w:r w:rsidRPr="00A31137">
        <w:t>Public Papers of Bush, 1992, p.2153</w:t>
      </w:r>
    </w:p>
    <w:p w:rsidR="00A31137" w:rsidRPr="00A31137" w:rsidRDefault="00A31137" w:rsidP="00A31137">
      <w:r w:rsidRPr="00A31137">
        <w:t>Finally, of course, I want to thank my entire family, with a special emphasis on a woman named Barbara. She's inspired this entire Nation, and I think the country will always be grateful.</w:t>
      </w:r>
    </w:p>
    <w:p w:rsidR="00A31137" w:rsidRPr="00A31137" w:rsidRDefault="00A31137" w:rsidP="00A31137">
      <w:r w:rsidRPr="00A31137">
        <w:t>Public Papers of Bush, 1992, p.2153</w:t>
      </w:r>
    </w:p>
    <w:p w:rsidR="00A31137" w:rsidRPr="00A31137" w:rsidRDefault="00A31137" w:rsidP="00A31137">
      <w:r w:rsidRPr="00A31137">
        <w:t>But tonight is really not a night for speeches. But I want to share a special message with the young people of America. You see, I remain absolutely convinced that we are a rising nation. We have been in an extraordinarily difficult period. But do not be deterred, kept away from public service by the smoke and fire of a campaign year or the ugliness of politics. As for me, I'm going to serve and try to find ways to help people. But I plan to get very active in the grandchild business and in finding ways to help others. But I urge you, the young people of this country, to participate in the political process. It needs your idealism. It needs your drive. It needs your conviction.</w:t>
      </w:r>
    </w:p>
    <w:p w:rsidR="00A31137" w:rsidRPr="00A31137" w:rsidRDefault="00A31137" w:rsidP="00A31137">
      <w:r w:rsidRPr="00A31137">
        <w:t>Public Papers of Bush, 1992, p.2153</w:t>
      </w:r>
    </w:p>
    <w:p w:rsidR="00A31137" w:rsidRPr="00A31137" w:rsidRDefault="00A31137" w:rsidP="00A31137">
      <w:r w:rsidRPr="00A31137">
        <w:t>And again, my thanks, my congratulations to Governor Clinton', to his running mate, Senator Gore. And a special thanks to each and every one of you, many of you who have been at my side in every single political battle.</w:t>
      </w:r>
    </w:p>
    <w:p w:rsidR="00A31137" w:rsidRPr="00A31137" w:rsidRDefault="00A31137" w:rsidP="00A31137">
      <w:r w:rsidRPr="00A31137">
        <w:t>Public Papers of Bush, 1992, p.2153</w:t>
      </w:r>
    </w:p>
    <w:p w:rsidR="00A31137" w:rsidRPr="00A31137" w:rsidRDefault="00A31137" w:rsidP="00A31137">
      <w:r w:rsidRPr="00A31137">
        <w:t>May God bless the United States of America. Thank you very, very much. Thank you so much. Thank you.</w:t>
      </w:r>
    </w:p>
    <w:p w:rsidR="00A31137" w:rsidRPr="00A31137" w:rsidRDefault="00A31137" w:rsidP="00A31137">
      <w:r w:rsidRPr="00A31137">
        <w:t>Public Papers of Bush, 1992, p.2153</w:t>
      </w:r>
    </w:p>
    <w:p w:rsidR="00A31137" w:rsidRPr="00A31137" w:rsidRDefault="00A31137" w:rsidP="00A31137">
      <w:r w:rsidRPr="00A31137">
        <w:t>NOTE: The President spoke at 10:20 p.m. at the Westin Galleria Hotel. In his remarks, he referred to Rich Bond, chairman, Republican National Committee; Robert Teeter, campaign chairman, Bush-Quayle '92; and Robert Mosbacher, general chairman, Bush-Quayle '92. These remarks were released by the Office of the Press Secretary on November 4.</w:t>
      </w:r>
    </w:p>
    <w:p w:rsidR="00A31137" w:rsidRPr="00A31137" w:rsidRDefault="00A31137" w:rsidP="00A31137">
      <w:r w:rsidRPr="00A31137">
        <w:t>Simon &amp; Schuster v. Crime Victims Bd., 1992</w:t>
      </w:r>
    </w:p>
    <w:p w:rsidR="00A31137" w:rsidRPr="00A31137" w:rsidRDefault="00A31137" w:rsidP="00A31137">
      <w:r w:rsidRPr="00A31137">
        <w:t>Title:</w:t>
      </w:r>
      <w:r w:rsidRPr="00A31137">
        <w:tab/>
        <w:t>Simon &amp; Schuster, Inc. v. Members of New York State Crime Victims Board</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December 10, 1991</w:t>
      </w:r>
    </w:p>
    <w:p w:rsidR="00A31137" w:rsidRPr="00A31137" w:rsidRDefault="00A31137" w:rsidP="00A31137">
      <w:r w:rsidRPr="00A31137">
        <w:t>Source:</w:t>
      </w:r>
      <w:r w:rsidRPr="00A31137">
        <w:tab/>
        <w:t>502 U.S. 105</w:t>
      </w:r>
    </w:p>
    <w:p w:rsidR="00A31137" w:rsidRPr="00A31137" w:rsidRDefault="00A31137" w:rsidP="00A31137">
      <w:r w:rsidRPr="00A31137">
        <w:t>This case was argued October 15, 1991, and was decided December 10, 1991.</w:t>
      </w:r>
    </w:p>
    <w:p w:rsidR="00A31137" w:rsidRPr="00A31137" w:rsidRDefault="00A31137" w:rsidP="00A31137">
      <w:r w:rsidRPr="00A31137">
        <w:t>CERTIORARI TO THE UNITED STATES COURT OF APPEALS</w:t>
      </w:r>
    </w:p>
    <w:p w:rsidR="00A31137" w:rsidRPr="00A31137" w:rsidRDefault="00A31137" w:rsidP="00A31137">
      <w:r w:rsidRPr="00A31137">
        <w:t>FOR THE SECOND CIRCUIT</w:t>
      </w:r>
    </w:p>
    <w:p w:rsidR="00A31137" w:rsidRPr="00A31137" w:rsidRDefault="00A31137" w:rsidP="00A31137">
      <w:r w:rsidRPr="00A31137">
        <w:t>Syllabus</w:t>
      </w:r>
    </w:p>
    <w:p w:rsidR="00A31137" w:rsidRPr="00A31137" w:rsidRDefault="00A31137" w:rsidP="00A31137">
      <w:r w:rsidRPr="00A31137">
        <w:t>1991, Simon &amp; Schuster v. Crime Victims Bd., 502 U.S. 105</w:t>
      </w:r>
    </w:p>
    <w:p w:rsidR="00A31137" w:rsidRPr="00A31137" w:rsidRDefault="00A31137" w:rsidP="00A31137">
      <w:r w:rsidRPr="00A31137">
        <w:t>Among other things, New York's "Son of Sam" law provides that an "entity" contracting with a person "accused or convicted of a crime" for the production of a book or other work describing the crime must pay to respondent Crime Victims Board any moneys owed to that person under the contract; requires the Board to deposit such funds in an escrow account for payment to any victim who, within five years, obtains a civil judgment against the accused or convicted person and to the criminal's other creditors; and defines "person convicted of a crime" to include</w:t>
      </w:r>
    </w:p>
    <w:p w:rsidR="00A31137" w:rsidRPr="00A31137" w:rsidRDefault="00A31137" w:rsidP="00A31137">
      <w:r w:rsidRPr="00A31137">
        <w:t>1991, Simon &amp; Schuster v. Crime Victims Bd., 502 U.S. 105</w:t>
      </w:r>
    </w:p>
    <w:p w:rsidR="00A31137" w:rsidRPr="00A31137" w:rsidRDefault="00A31137" w:rsidP="00A31137">
      <w:r w:rsidRPr="00A31137">
        <w:t>any person who has voluntarily and intelligently admitted the commission of a crime for which such person is not prosecuted.</w:t>
      </w:r>
    </w:p>
    <w:p w:rsidR="00A31137" w:rsidRPr="00A31137" w:rsidRDefault="00A31137" w:rsidP="00A31137">
      <w:r w:rsidRPr="00A31137">
        <w:t>1991, Simon &amp; Schuster v. Crime Victims Bd., 502 U.S. 105</w:t>
      </w:r>
    </w:p>
    <w:p w:rsidR="00A31137" w:rsidRPr="00A31137" w:rsidRDefault="00A31137" w:rsidP="00A31137">
      <w:r w:rsidRPr="00A31137">
        <w:t>After it discovered that petitioner publisher had signed an agreement with an author who had contracted with admitted organized crime figure Henry Hill for the production of a book about Hill's life, the Board, inter alia, determined that petitioner had violated the Son of Sam law and ordered it to turn over all money payable to Hill. Petitioner then brought suit under 42 U.S.C. § 1983, seeking a declaration that the law violates the First Amendment, and an injunction barring the law's enforcement. The District Court found the law to be consistent with the Amendment, and the Court of Appeals affirmed.</w:t>
      </w:r>
    </w:p>
    <w:p w:rsidR="00A31137" w:rsidRPr="00A31137" w:rsidRDefault="00A31137" w:rsidP="00A31137">
      <w:r w:rsidRPr="00A31137">
        <w:t>1991, Simon &amp; Schuster v. Crime Victims Bd., 502 U.S. 105</w:t>
      </w:r>
    </w:p>
    <w:p w:rsidR="00A31137" w:rsidRPr="00A31137" w:rsidRDefault="00A31137" w:rsidP="00A31137">
      <w:r w:rsidRPr="00A31137">
        <w:t>Held: The Son of Sam law is inconsistent with the First Amendment. Pp.  115-123.</w:t>
      </w:r>
    </w:p>
    <w:p w:rsidR="00A31137" w:rsidRPr="00A31137" w:rsidRDefault="00A31137" w:rsidP="00A31137">
      <w:r w:rsidRPr="00A31137">
        <w:t>1991, Simon &amp; Schuster v. Crime Victims Bd., 502 U.S. 105</w:t>
      </w:r>
    </w:p>
    <w:p w:rsidR="00A31137" w:rsidRPr="00A31137" w:rsidRDefault="00A31137" w:rsidP="00A31137">
      <w:r w:rsidRPr="00A31137">
        <w:t>(a) Whether the First Amendment "speaker" is considered to be Hill, whose income the New York law places in escrow because of the story he has told, or petitioner, which can publish books about crime with the assistance of only those criminals willing to forgo remuneration for at least five years, the law singles out speech on a particular subject for a financial burden that it places on no other speech and no other income and, thus, is presumptively inconsistent with the Amendment. Leathers v. Medlock, 499 U.S. 439, 447; Arkansas Writers' Project, Inc. v. Ragland, 481 U.S. 221, 230. The fact that the law escrows speech-derived income, rather than taxing a percentage of it outright as did the law invalidated in Arkansas Writers' Project, cannot serve as the basis for disparate treatment under the Amendment, since both forms of financial burden operate as disincentives to speak. Moreover, the [502 U.S. 106] Board's assertion that discriminatory financial treatment is suspect only when the legislature intends to suppress certain ideas is incorrect, since this Court has long recognized that even regulations aimed at proper governmental concerns can restrict unduly the exercise of rights under the Amendment. Furthermore, the Board's claim that the law is permissible under the Amendment because it focuses generally on an "entity," rather than specifically on the media, falters, first, on semantic grounds, since any entity that enters into a contract with a convicted person to transmit that person's speech becomes, by definition, a medium of communication, and, second, on constitutional grounds, since the governmental power to impose content-based financial disincentives on speech does not vary with the identity of the speaker. Accordingly, in order to justify the differential treatment imposed by the law, the State must show that its regulation is necessary to serve a compelling state interest, and is narrowly drawn to achieve that end. Id. at 231. Pp.  115-118.</w:t>
      </w:r>
    </w:p>
    <w:p w:rsidR="00A31137" w:rsidRPr="00A31137" w:rsidRDefault="00A31137" w:rsidP="00A31137">
      <w:r w:rsidRPr="00A31137">
        <w:t>1991, Simon &amp; Schuster v. Crime Victims Bd., 502 U.S. 106</w:t>
      </w:r>
    </w:p>
    <w:p w:rsidR="00A31137" w:rsidRPr="00A31137" w:rsidRDefault="00A31137" w:rsidP="00A31137">
      <w:r w:rsidRPr="00A31137">
        <w:t>(b) The State has a compelling interest in compensating victims from the fruits of crime. Cf. Caplin &amp; Drysdale, Chartered v. United States, 491 U.S. 617, 629. However, contrary to the Board's assertion, the State has little if any interest in limiting such compensation to the proceeds of the wrongdoer's speech about the crime. The Board cannot explain why the State should have any greater interest in compensating victims from the proceeds of criminals' "storytelling" than from any of their other assets, nor offer any justification for a distinction between this expressive activity and any other activity in connection with its interest in transferring the fruits of crime from criminals to their victims. Cf., e.g., Arkansas Writers' Project, supra, 481 U.S. at 231. Like the governmental entities in the latter and similar cases, the Board has taken the effect of the statute and posited that effect as the State's interest. Pp.  118-121.</w:t>
      </w:r>
    </w:p>
    <w:p w:rsidR="00A31137" w:rsidRPr="00A31137" w:rsidRDefault="00A31137" w:rsidP="00A31137">
      <w:r w:rsidRPr="00A31137">
        <w:t>1991, Simon &amp; Schuster v. Crime Victims Bd., 502 U.S. 106</w:t>
      </w:r>
    </w:p>
    <w:p w:rsidR="00A31137" w:rsidRPr="00A31137" w:rsidRDefault="00A31137" w:rsidP="00A31137">
      <w:r w:rsidRPr="00A31137">
        <w:t>(c) The New York law is not narrowly tailored to achieve the State's objective of compensating victims from the profits of crime. The law is significantly overinclusive, since it applies to works on any subject provided that they express the author's thoughts or recollections about his crime, however tangentially or incidentally, and since its broad definition of "person convicted of a crime" enables the Board to escrow the income of an author who admits in his work to having committed a crime, whether or not he was ever actually accused or convicted. These two provisions combine to encompass a wide range of existing and potential works that do not enable a criminal to profit from his crime while a victim remains uncompensated. Pp.  121-123.</w:t>
      </w:r>
    </w:p>
    <w:p w:rsidR="00A31137" w:rsidRPr="00A31137" w:rsidRDefault="00A31137" w:rsidP="00A31137">
      <w:r w:rsidRPr="00A31137">
        <w:t>1991, Simon &amp; Schuster v. Crime Victims Bd., 502 U.S. 106</w:t>
      </w:r>
    </w:p>
    <w:p w:rsidR="00A31137" w:rsidRPr="00A31137" w:rsidRDefault="00A31137" w:rsidP="00A31137">
      <w:r w:rsidRPr="00A31137">
        <w:t xml:space="preserve">916 F.2d 777 (CA2 1990), reversed. [502 U.S. 107] </w:t>
      </w:r>
    </w:p>
    <w:p w:rsidR="00A31137" w:rsidRPr="00A31137" w:rsidRDefault="00A31137" w:rsidP="00A31137">
      <w:r w:rsidRPr="00A31137">
        <w:t>1991, Simon &amp; Schuster v. Crime Victims Bd., 502 U.S. 107</w:t>
      </w:r>
    </w:p>
    <w:p w:rsidR="00A31137" w:rsidRPr="00A31137" w:rsidRDefault="00A31137" w:rsidP="00A31137">
      <w:r w:rsidRPr="00A31137">
        <w:t xml:space="preserve">O'CONNOR, J., delivered the opinion of the Court, in which REHNQUIST, C.J., and WHITE, STEVENS, SCALIA, and SOUTER, JJ., joined. BLACKMUN, J., post, p.  123, and KENNEDY, J., post, p.  124, filed opinions concurring in the judgment. THOMAS, J., took no part in the consideration or decision of the case. [502 U.S. 108] </w:t>
      </w:r>
    </w:p>
    <w:p w:rsidR="00A31137" w:rsidRPr="00A31137" w:rsidRDefault="00A31137" w:rsidP="00A31137">
      <w:r w:rsidRPr="00A31137">
        <w:t>O'CONNOR, J., lead opinion</w:t>
      </w:r>
    </w:p>
    <w:p w:rsidR="00A31137" w:rsidRPr="00A31137" w:rsidRDefault="00A31137" w:rsidP="00A31137">
      <w:r w:rsidRPr="00A31137">
        <w:t>1991, Simon &amp; Schuster v. Crime Victims Bd., 502 U.S. 108</w:t>
      </w:r>
    </w:p>
    <w:p w:rsidR="00A31137" w:rsidRPr="00A31137" w:rsidRDefault="00A31137" w:rsidP="00A31137">
      <w:r w:rsidRPr="00A31137">
        <w:t>JUSTICE O'CONNOR delivered the opinion of the Court.</w:t>
      </w:r>
    </w:p>
    <w:p w:rsidR="00A31137" w:rsidRPr="00A31137" w:rsidRDefault="00A31137" w:rsidP="00A31137">
      <w:r w:rsidRPr="00A31137">
        <w:t>1991, Simon &amp; Schuster v. Crime Victims Bd., 502 U.S. 108</w:t>
      </w:r>
    </w:p>
    <w:p w:rsidR="00A31137" w:rsidRPr="00A31137" w:rsidRDefault="00A31137" w:rsidP="00A31137">
      <w:r w:rsidRPr="00A31137">
        <w:t>New York's "Son of Sam" law requires that an accused or convicted criminal's income from works describing his crime be deposited in an escrow account. These funds are then made available to the victims of the crime and the criminal's other creditors. We consider whether this statute is consistent with the First Amendment.</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1991, Simon &amp; Schuster v. Crime Victims Bd., 502 U.S. 108</w:t>
      </w:r>
    </w:p>
    <w:p w:rsidR="00A31137" w:rsidRPr="00A31137" w:rsidRDefault="00A31137" w:rsidP="00A31137">
      <w:r w:rsidRPr="00A31137">
        <w:t>In the summer of 1977, New York was terrorized by a serial killer popularly known as the Son of Sam. The hunt for the Son of Sam received considerable publicity, and by the time David Berkowitz was identified as the killer and apprehended, the rights to his story were worth a substantial amount. Berkowitz's chance to profit from his notoriety while his victims and their families remained uncompensated did not escape the notice of New York's Legislature. The State quickly enacted the statute at issue, N.Y.Exec.Law § 632-a (McKinney 1982 and Supp.1991).</w:t>
      </w:r>
    </w:p>
    <w:p w:rsidR="00A31137" w:rsidRPr="00A31137" w:rsidRDefault="00A31137" w:rsidP="00A31137">
      <w:r w:rsidRPr="00A31137">
        <w:t>1991, Simon &amp; Schuster v. Crime Victims Bd., 502 U.S. 108</w:t>
      </w:r>
    </w:p>
    <w:p w:rsidR="00A31137" w:rsidRPr="00A31137" w:rsidRDefault="00A31137" w:rsidP="00A31137">
      <w:r w:rsidRPr="00A31137">
        <w:t>The statute was intended to</w:t>
      </w:r>
    </w:p>
    <w:p w:rsidR="00A31137" w:rsidRPr="00A31137" w:rsidRDefault="00A31137" w:rsidP="00A31137">
      <w:r w:rsidRPr="00A31137">
        <w:t>1991, Simon &amp; Schuster v. Crime Victims Bd., 502 U.S. 108</w:t>
      </w:r>
    </w:p>
    <w:p w:rsidR="00A31137" w:rsidRPr="00A31137" w:rsidRDefault="00A31137" w:rsidP="00A31137">
      <w:r w:rsidRPr="00A31137">
        <w:t>ensure that monies received by the criminal under such circumstances shall first be made available to recompense the victims of that crime for their loss and suffering.</w:t>
      </w:r>
    </w:p>
    <w:p w:rsidR="00A31137" w:rsidRPr="00A31137" w:rsidRDefault="00A31137" w:rsidP="00A31137">
      <w:r w:rsidRPr="00A31137">
        <w:t>1991, Simon &amp; Schuster v. Crime Victims Bd., 502 U.S. 108</w:t>
      </w:r>
    </w:p>
    <w:p w:rsidR="00A31137" w:rsidRPr="00A31137" w:rsidRDefault="00A31137" w:rsidP="00A31137">
      <w:r w:rsidRPr="00A31137">
        <w:t>Assembly Bill Memorandum Re: A 9019, July 22, 1977, reprinted in Legislative Bill Jacket, 1977 N.Y.Laws, ch. 823. As the author of the statute explained,</w:t>
      </w:r>
    </w:p>
    <w:p w:rsidR="00A31137" w:rsidRPr="00A31137" w:rsidRDefault="00A31137" w:rsidP="00A31137">
      <w:r w:rsidRPr="00A31137">
        <w:t>1991, Simon &amp; Schuster v. Crime Victims Bd., 502 U.S. 108</w:t>
      </w:r>
    </w:p>
    <w:p w:rsidR="00A31137" w:rsidRPr="00A31137" w:rsidRDefault="00A31137" w:rsidP="00A31137">
      <w:r w:rsidRPr="00A31137">
        <w:t xml:space="preserve">[i]t is abhorrent to one's sense of justice and decency that an individual…can expect to receive large sums of money for his story once he is captured—while five people are dead, [and] other people were injured as a result of his conduct. [502 U.S. 109] </w:t>
      </w:r>
    </w:p>
    <w:p w:rsidR="00A31137" w:rsidRPr="00A31137" w:rsidRDefault="00A31137" w:rsidP="00A31137">
      <w:r w:rsidRPr="00A31137">
        <w:t>1991, Simon &amp; Schuster v. Crime Victims Bd., 502 U.S. 109</w:t>
      </w:r>
    </w:p>
    <w:p w:rsidR="00A31137" w:rsidRPr="00A31137" w:rsidRDefault="00A31137" w:rsidP="00A31137">
      <w:r w:rsidRPr="00A31137">
        <w:t>Memorandum of Senator Emanuel R. Gold, reprinted in New York State Legislative Annual, 1977, p. 267.</w:t>
      </w:r>
    </w:p>
    <w:p w:rsidR="00A31137" w:rsidRPr="00A31137" w:rsidRDefault="00A31137" w:rsidP="00A31137">
      <w:r w:rsidRPr="00A31137">
        <w:t>1991, Simon &amp; Schuster v. Crime Victims Bd., 502 U.S. 109</w:t>
      </w:r>
    </w:p>
    <w:p w:rsidR="00A31137" w:rsidRPr="00A31137" w:rsidRDefault="00A31137" w:rsidP="00A31137">
      <w:r w:rsidRPr="00A31137">
        <w:t>The Son of Sam law, as later amended, requires any entity contracting with an accused or convicted person for a depiction of the crime to submit a copy of the contract to respondent Crime Victims Board, and to turn over any income under that contract to the Board. This requirement applies to all such contracts in any medium of communication:</w:t>
      </w:r>
    </w:p>
    <w:p w:rsidR="00A31137" w:rsidRPr="00A31137" w:rsidRDefault="00A31137" w:rsidP="00A31137">
      <w:r w:rsidRPr="00A31137">
        <w:t>1991, Simon &amp; Schuster v. Crime Victims Bd., 502 U.S. 109</w:t>
      </w:r>
    </w:p>
    <w:p w:rsidR="00A31137" w:rsidRPr="00A31137" w:rsidRDefault="00A31137" w:rsidP="00A31137">
      <w:r w:rsidRPr="00A31137">
        <w:t>Every person, firm, corporation, partnership, association or other legal entity contracting with any person or the representative or assignee of any person, accused or convicted of a crime in this state, with respect to the reenactment of such crime, by way of a movie, book, magazine article, tape recording, phonograph record, radio or television presentation, live entertainment of any kind, or from the expression of such accused or convicted person's thoughts, feelings, opinions or emotions regarding such crime, shall submit a copy of such contract to the board and pay over to the board any moneys which would otherwise, by terms of such contract, be owing to the person so accused or convicted or his representatives.</w:t>
      </w:r>
    </w:p>
    <w:p w:rsidR="00A31137" w:rsidRPr="00A31137" w:rsidRDefault="00A31137" w:rsidP="00A31137">
      <w:r w:rsidRPr="00A31137">
        <w:t>1991, Simon &amp; Schuster v. Crime Victims Bd., 502 U.S. 109</w:t>
      </w:r>
    </w:p>
    <w:p w:rsidR="00A31137" w:rsidRPr="00A31137" w:rsidRDefault="00A31137" w:rsidP="00A31137">
      <w:r w:rsidRPr="00A31137">
        <w:t>N.Y.Exec.Law § 632-a(1) (McKinney 1982). The Board is then required to deposit the payment in an escrow account</w:t>
      </w:r>
    </w:p>
    <w:p w:rsidR="00A31137" w:rsidRPr="00A31137" w:rsidRDefault="00A31137" w:rsidP="00A31137">
      <w:r w:rsidRPr="00A31137">
        <w:t>1991, Simon &amp; Schuster v. Crime Victims Bd., 502 U.S. 109</w:t>
      </w:r>
    </w:p>
    <w:p w:rsidR="00A31137" w:rsidRPr="00A31137" w:rsidRDefault="00A31137" w:rsidP="00A31137">
      <w:r w:rsidRPr="00A31137">
        <w:t>for the benefit of and payable to any victim…provided that such victim, within five years of the date of the establishment of such escrow account, brings a civil action in a court of competent jurisdiction and recovers a money judgment for damages against such [accused or convicted] person or his representatives.</w:t>
      </w:r>
    </w:p>
    <w:p w:rsidR="00A31137" w:rsidRPr="00A31137" w:rsidRDefault="00A31137" w:rsidP="00A31137">
      <w:r w:rsidRPr="00A31137">
        <w:t>1991, Simon &amp; Schuster v. Crime Victims Bd., 502 U.S. 109</w:t>
      </w:r>
    </w:p>
    <w:p w:rsidR="00A31137" w:rsidRPr="00A31137" w:rsidRDefault="00A31137" w:rsidP="00A31137">
      <w:r w:rsidRPr="00A31137">
        <w:t>Ibid. After five years, if no actions are pending, "the board shall immediately pay over any moneys in the escrow account to such person or his legal representatives." § 632-a(4). This 5-year period in which to bring a civil action against the convicted [502 U.S. 110] person begins to run when the escrow account is established, and supersedes any limitations period that expires earlier. § 632-a(7).</w:t>
      </w:r>
    </w:p>
    <w:p w:rsidR="00A31137" w:rsidRPr="00A31137" w:rsidRDefault="00A31137" w:rsidP="00A31137">
      <w:r w:rsidRPr="00A31137">
        <w:t>1991, Simon &amp; Schuster v. Crime Victims Bd., 502 U.S. 110</w:t>
      </w:r>
    </w:p>
    <w:p w:rsidR="00A31137" w:rsidRPr="00A31137" w:rsidRDefault="00A31137" w:rsidP="00A31137">
      <w:r w:rsidRPr="00A31137">
        <w:t>Subsection (8) grants priority to two classes of claims against the escrow account. First, upon a court order, the Board must release assets "for the exclusive purpose of retaining legal representation." § 632-a(8). In addition, the Board has the discretion, after giving notice to the victims of the crime, to</w:t>
      </w:r>
    </w:p>
    <w:p w:rsidR="00A31137" w:rsidRPr="00A31137" w:rsidRDefault="00A31137" w:rsidP="00A31137">
      <w:r w:rsidRPr="00A31137">
        <w:t>1991, Simon &amp; Schuster v. Crime Victims Bd., 502 U.S. 110</w:t>
      </w:r>
    </w:p>
    <w:p w:rsidR="00A31137" w:rsidRPr="00A31137" w:rsidRDefault="00A31137" w:rsidP="00A31137">
      <w:r w:rsidRPr="00A31137">
        <w:t>make payments from the escrow account to a representative of any person accused or convicted of a crime for the necessary expenses of the production of the moneys paid into the escrow account.</w:t>
      </w:r>
    </w:p>
    <w:p w:rsidR="00A31137" w:rsidRPr="00A31137" w:rsidRDefault="00A31137" w:rsidP="00A31137">
      <w:r w:rsidRPr="00A31137">
        <w:t>1991, Simon &amp; Schuster v. Crime Victims Bd., 502 U.S. 110</w:t>
      </w:r>
    </w:p>
    <w:p w:rsidR="00A31137" w:rsidRPr="00A31137" w:rsidRDefault="00A31137" w:rsidP="00A31137">
      <w:r w:rsidRPr="00A31137">
        <w:t>Ibid. This provision permits payments to literary agents and other such representatives. Payments under subsection (8) may not exceed one-fifth of the amount collected in the account. Ibid.</w:t>
      </w:r>
    </w:p>
    <w:p w:rsidR="00A31137" w:rsidRPr="00A31137" w:rsidRDefault="00A31137" w:rsidP="00A31137">
      <w:r w:rsidRPr="00A31137">
        <w:t>1991, Simon &amp; Schuster v. Crime Victims Bd., 502 U.S. 110</w:t>
      </w:r>
    </w:p>
    <w:p w:rsidR="00A31137" w:rsidRPr="00A31137" w:rsidRDefault="00A31137" w:rsidP="00A31137">
      <w:r w:rsidRPr="00A31137">
        <w:t>Claims against the account are given the following priorities: (a) payments ordered by the Board under subsection (8); (b) subrogation claims of the State for payments made to victims of the crime; (c) civil judgments obtained by victims of the crime; and (d) claims of other creditors of the accused or convicted person, including state and local tax authorities. § 632-a(11) (McKinney Supp.1991).</w:t>
      </w:r>
    </w:p>
    <w:p w:rsidR="00A31137" w:rsidRPr="00A31137" w:rsidRDefault="00A31137" w:rsidP="00A31137">
      <w:r w:rsidRPr="00A31137">
        <w:t>1991, Simon &amp; Schuster v. Crime Victims Bd., 502 U.S. 110</w:t>
      </w:r>
    </w:p>
    <w:p w:rsidR="00A31137" w:rsidRPr="00A31137" w:rsidRDefault="00A31137" w:rsidP="00A31137">
      <w:r w:rsidRPr="00A31137">
        <w:t>Subsection (10) broadly defines "person convicted of a crime" to include</w:t>
      </w:r>
    </w:p>
    <w:p w:rsidR="00A31137" w:rsidRPr="00A31137" w:rsidRDefault="00A31137" w:rsidP="00A31137">
      <w:r w:rsidRPr="00A31137">
        <w:t>1991, Simon &amp; Schuster v. Crime Victims Bd., 502 U.S. 110</w:t>
      </w:r>
    </w:p>
    <w:p w:rsidR="00A31137" w:rsidRPr="00A31137" w:rsidRDefault="00A31137" w:rsidP="00A31137">
      <w:r w:rsidRPr="00A31137">
        <w:t>any person convicted of a crime in this state either by entry of a plea of guilty or by conviction after trial and any person who has voluntarily and intelligently admitted the commission of a crime for which such person is not prosecuted.</w:t>
      </w:r>
    </w:p>
    <w:p w:rsidR="00A31137" w:rsidRPr="00A31137" w:rsidRDefault="00A31137" w:rsidP="00A31137">
      <w:r w:rsidRPr="00A31137">
        <w:t>1991, Simon &amp; Schuster v. Crime Victims Bd., 502 U.S. 110</w:t>
      </w:r>
    </w:p>
    <w:p w:rsidR="00A31137" w:rsidRPr="00A31137" w:rsidRDefault="00A31137" w:rsidP="00A31137">
      <w:r w:rsidRPr="00A31137">
        <w:t>§ 632-a(10)(b) (emphasis added). Thus, a person who has never been accused or convicted of a crime in the ordinary sense, but who admits in a book or other work to having committed a crime, is within the statute's coverage.</w:t>
      </w:r>
    </w:p>
    <w:p w:rsidR="00A31137" w:rsidRPr="00A31137" w:rsidRDefault="00A31137" w:rsidP="00A31137">
      <w:r w:rsidRPr="00A31137">
        <w:t>1991, Simon &amp; Schuster v. Crime Victims Bd., 502 U.S. 110</w:t>
      </w:r>
    </w:p>
    <w:p w:rsidR="00A31137" w:rsidRPr="00A31137" w:rsidRDefault="00A31137" w:rsidP="00A31137">
      <w:r w:rsidRPr="00A31137">
        <w:t xml:space="preserve">As recently construed by the New York Court of Appeals, however, the statute does not apply to victimless crimes. Children of Bedford, Inc. v. Petromelis, 77 N.Y.2d 713, 726, 570 N.Y.S.2d 453, 460, 573 N.E.2d 541, 548 (1991). [502 U.S. 111] </w:t>
      </w:r>
    </w:p>
    <w:p w:rsidR="00A31137" w:rsidRPr="00A31137" w:rsidRDefault="00A31137" w:rsidP="00A31137">
      <w:r w:rsidRPr="00A31137">
        <w:t>1991, Simon &amp; Schuster v. Crime Victims Bd., 502 U.S. 111</w:t>
      </w:r>
    </w:p>
    <w:p w:rsidR="00A31137" w:rsidRPr="00A31137" w:rsidRDefault="00A31137" w:rsidP="00A31137">
      <w:r w:rsidRPr="00A31137">
        <w:t>The Son of Sam law supplements preexisting statutory schemes authorizing the Board to compensate crime victims for their losses, see N.Y.Exec.Law § 631 (McKinney 1982 and Supp.1991), permitting courts to order the proceeds of crime forfeited to the State, see N.Y.Civ.Prac.Law §§ 1310-1352 (McKinney Supp.1991), providing for orders of restitution at sentencing, N.Y.Penal Law § 60.27 (McKinney 1987); and affording prejudgment attachment procedures to ensure that wrongdoers do not dissipate their assets, N.Y.Civ.Prac.Law §§ 6201-6226 (McKinney 1980 and Supp.1991). The escrow arrangement established by the Son of Sam law enhances these provisions only insofar as the accused or convicted person earns income within the scope of § 632-a(1).</w:t>
      </w:r>
    </w:p>
    <w:p w:rsidR="00A31137" w:rsidRPr="00A31137" w:rsidRDefault="00A31137" w:rsidP="00A31137">
      <w:r w:rsidRPr="00A31137">
        <w:t>1991, Simon &amp; Schuster v. Crime Victims Bd., 502 U.S. 111</w:t>
      </w:r>
    </w:p>
    <w:p w:rsidR="00A31137" w:rsidRPr="00A31137" w:rsidRDefault="00A31137" w:rsidP="00A31137">
      <w:r w:rsidRPr="00A31137">
        <w:t>Since its enactment in 1977, the Son of Sam law has been invoked only a handful of times. As might be expected, the individuals whose profits the Board has sought to escrow have all become well known for having committed highly publicized crimes. These include Jean Harris, the convicted killer of "Scarsdale Diet" Doctor Herman Tarnower; Mark David Chapman, the man convicted of assassinating John Lennon; and R. Foster Winans, the former Wall Street Journal columnist convicted of insider trading. Ironically, the statute was never applied to the Son of Sam himself; David Berkowitz was found incompetent to stand trial, and the statute at that time applied only to criminals who had actually been convicted. N.Y.Times, Feb. 20, 1991, p. B8, col. 4. According to the Board, Berkowitz voluntarily paid his share of the royalties from the book Son of Sam, published in 1981, to his victims or their estates. Brief for Respondents 8, n. 13.</w:t>
      </w:r>
    </w:p>
    <w:p w:rsidR="00A31137" w:rsidRPr="00A31137" w:rsidRDefault="00A31137" w:rsidP="00A31137">
      <w:r w:rsidRPr="00A31137">
        <w:t>1991, Simon &amp; Schuster v. Crime Victims Bd., 502 U.S. 111</w:t>
      </w:r>
    </w:p>
    <w:p w:rsidR="00A31137" w:rsidRPr="00A31137" w:rsidRDefault="00A31137" w:rsidP="00A31137">
      <w:r w:rsidRPr="00A31137">
        <w:t xml:space="preserve">This case began in 1986, when the Board first became aware of the contract between petitioner Simon &amp; Schuster and admitted organized crime figure Henry Hill. [502 U.S. 112] </w:t>
      </w:r>
    </w:p>
    <w:p w:rsidR="00A31137" w:rsidRPr="00A31137" w:rsidRDefault="00A31137" w:rsidP="00A31137">
      <w:r w:rsidRPr="00A31137">
        <w:t>B</w:t>
      </w:r>
    </w:p>
    <w:p w:rsidR="00A31137" w:rsidRPr="00A31137" w:rsidRDefault="00A31137" w:rsidP="00A31137">
      <w:r w:rsidRPr="00A31137">
        <w:t>1991, Simon &amp; Schuster v. Crime Victims Bd., 502 U.S. 112</w:t>
      </w:r>
    </w:p>
    <w:p w:rsidR="00A31137" w:rsidRPr="00A31137" w:rsidRDefault="00A31137" w:rsidP="00A31137">
      <w:r w:rsidRPr="00A31137">
        <w:t>Looking back from the safety of the Federal Witness Protection Program, Henry Hill recalled:</w:t>
      </w:r>
    </w:p>
    <w:p w:rsidR="00A31137" w:rsidRPr="00A31137" w:rsidRDefault="00A31137" w:rsidP="00A31137">
      <w:r w:rsidRPr="00A31137">
        <w:t>1991, Simon &amp; Schuster v. Crime Victims Bd., 502 U.S. 112</w:t>
      </w:r>
    </w:p>
    <w:p w:rsidR="00A31137" w:rsidRPr="00A31137" w:rsidRDefault="00A31137" w:rsidP="00A31137">
      <w:r w:rsidRPr="00A31137">
        <w:t>At the age of twelve, my ambition was to be a gangster. To be a wiseguy. To me, being a wiseguy was better than being president of the United States.</w:t>
      </w:r>
    </w:p>
    <w:p w:rsidR="00A31137" w:rsidRPr="00A31137" w:rsidRDefault="00A31137" w:rsidP="00A31137">
      <w:r w:rsidRPr="00A31137">
        <w:t>1991, Simon &amp; Schuster v. Crime Victims Bd., 502 U.S. 112</w:t>
      </w:r>
    </w:p>
    <w:p w:rsidR="00A31137" w:rsidRPr="00A31137" w:rsidRDefault="00A31137" w:rsidP="00A31137">
      <w:r w:rsidRPr="00A31137">
        <w:t>N. Pileggi, Wiseguy: Life in a Mafia Family 19 (1985) (hereinafter Wiseguy). Whatever one might think of Hill, at the very least it can be said that he realized his dreams. After a career spanning 26 years, Hill admitted engineering some of the most daring crimes of his day, including the 1978-1979 Boston College basketball point-shaving scandal, and the theft of $6 million from Lufthansa Airlines in 1978, the largest successful cash robbery in American history. Wiseguy 9. Most of Hill's crimes were more banausic: he committed extortion, he imported and distributed narcotics, and he organized numerous robberies.</w:t>
      </w:r>
    </w:p>
    <w:p w:rsidR="00A31137" w:rsidRPr="00A31137" w:rsidRDefault="00A31137" w:rsidP="00A31137">
      <w:r w:rsidRPr="00A31137">
        <w:t>1991, Simon &amp; Schuster v. Crime Victims Bd., 502 U.S. 112</w:t>
      </w:r>
    </w:p>
    <w:p w:rsidR="00A31137" w:rsidRPr="00A31137" w:rsidRDefault="00A31137" w:rsidP="00A31137">
      <w:r w:rsidRPr="00A31137">
        <w:t>Hill was arrested in 1980. In exchange for immunity from prosecution, he testified against many of his former colleagues. Since his arrest, he has lived under an assumed name in an unknown part of the country.</w:t>
      </w:r>
    </w:p>
    <w:p w:rsidR="00A31137" w:rsidRPr="00A31137" w:rsidRDefault="00A31137" w:rsidP="00A31137">
      <w:r w:rsidRPr="00A31137">
        <w:t>1991, Simon &amp; Schuster v. Crime Victims Bd., 502 U.S. 112</w:t>
      </w:r>
    </w:p>
    <w:p w:rsidR="00A31137" w:rsidRPr="00A31137" w:rsidRDefault="00A31137" w:rsidP="00A31137">
      <w:r w:rsidRPr="00A31137">
        <w:t>In August, 1981, Hill entered into a contract with author Nicholas Pileggi for the production of a book about Hill's life. The following month, Hill and Pileggi signed a publishing agreement with Simon &amp; Schuster. Under the agreement, Simon &amp; Schuster agreed to make payments to both Hill and Pileggi. Over the next few years, according to Pileggi, he and Hill</w:t>
      </w:r>
    </w:p>
    <w:p w:rsidR="00A31137" w:rsidRPr="00A31137" w:rsidRDefault="00A31137" w:rsidP="00A31137">
      <w:r w:rsidRPr="00A31137">
        <w:t>1991, Simon &amp; Schuster v. Crime Victims Bd., 502 U.S. 112</w:t>
      </w:r>
    </w:p>
    <w:p w:rsidR="00A31137" w:rsidRPr="00A31137" w:rsidRDefault="00A31137" w:rsidP="00A31137">
      <w:r w:rsidRPr="00A31137">
        <w:t>talked at length virtually every single day, with not more than an occasional Sunday or holiday skipped. We spent more than three hundred hours together; my notes of conversations with Henry occupy more than six linear file feet.</w:t>
      </w:r>
    </w:p>
    <w:p w:rsidR="00A31137" w:rsidRPr="00A31137" w:rsidRDefault="00A31137" w:rsidP="00A31137">
      <w:r w:rsidRPr="00A31137">
        <w:t>1991, Simon &amp; Schuster v. Crime Victims Bd., 502 U.S. 112</w:t>
      </w:r>
    </w:p>
    <w:p w:rsidR="00A31137" w:rsidRPr="00A31137" w:rsidRDefault="00A31137" w:rsidP="00A31137">
      <w:r w:rsidRPr="00A31137">
        <w:t>App. 27. Because producing the book required such a substantial investment of time and effort, Hill sought compensation. Ibid.</w:t>
      </w:r>
    </w:p>
    <w:p w:rsidR="00A31137" w:rsidRPr="00A31137" w:rsidRDefault="00A31137" w:rsidP="00A31137">
      <w:r w:rsidRPr="00A31137">
        <w:t>1991, Simon &amp; Schuster v. Crime Victims Bd., 502 U.S. 112</w:t>
      </w:r>
    </w:p>
    <w:p w:rsidR="00A31137" w:rsidRPr="00A31137" w:rsidRDefault="00A31137" w:rsidP="00A31137">
      <w:r w:rsidRPr="00A31137">
        <w:t>The result of Hill and Pileggi's collaboration was Wiseguy, which was published in January, 1986. The book depicts, in colorful detail, the day-to-day existence of organized crime, [502 U.S. 113] primarily in Hill's first-person narrative. Throughout Wiseguy, Hill frankly admits to having participated in an astonishing variety of crimes. He discusses, among other things, his conviction of extortion and the prison sentence he served. In one portion of the book, Hill recounts how members of the Mafia received preferential treatment in prison:</w:t>
      </w:r>
    </w:p>
    <w:p w:rsidR="00A31137" w:rsidRPr="00A31137" w:rsidRDefault="00A31137" w:rsidP="00A31137">
      <w:r w:rsidRPr="00A31137">
        <w:t>1991, Simon &amp; Schuster v. Crime Victims Bd., 502 U.S. 113</w:t>
      </w:r>
    </w:p>
    <w:p w:rsidR="00A31137" w:rsidRPr="00A31137" w:rsidRDefault="00A31137" w:rsidP="00A31137">
      <w:r w:rsidRPr="00A31137">
        <w:t>The dorm was a separate three-story building outside the wall, which looked more like a Holiday Inn than a prison. There were four guys to a room, and we had comfortable beds and private baths. There were two dozen rooms on each floor, and each of them had mob guys living in them. It was like a wiseguy convention—the whole Gotti crew, Jimmy Doyle and his guys, "Ernie Boy" Abbamonte and "Joe Crow" Delvecchio, Vinnie Aloi, Frank Cotroni.</w:t>
      </w:r>
    </w:p>
    <w:p w:rsidR="00A31137" w:rsidRPr="00A31137" w:rsidRDefault="00A31137" w:rsidP="00A31137">
      <w:r w:rsidRPr="00A31137">
        <w:t>1991, Simon &amp; Schuster v. Crime Victims Bd., 502 U.S. 113</w:t>
      </w:r>
    </w:p>
    <w:p w:rsidR="00A31137" w:rsidRPr="00A31137" w:rsidRDefault="00A31137" w:rsidP="00A31137">
      <w:r w:rsidRPr="00A31137">
        <w:t>It was wild. There was wine and booze, and it was kept in bath-oil or aftershave jars. The hacks in the honor dorm were almost all on the take, and even though it was against the rules, we used to cook in our rooms. Looking back, I don't think Paulie went to the general mess five times in the two and a half years he was there. We had a stove and pots and pans and silverware stacked in the bathroom. We had glasses and an ice-water cooler where we kept the fresh meats and cheeses. When there was an inspection, we stored the stuff in the false ceiling, and once in a while, if it was confiscated, we'd just go to the kitchen and get new stuff.</w:t>
      </w:r>
    </w:p>
    <w:p w:rsidR="00A31137" w:rsidRPr="00A31137" w:rsidRDefault="00A31137" w:rsidP="00A31137">
      <w:r w:rsidRPr="00A31137">
        <w:t>1991, Simon &amp; Schuster v. Crime Victims Bd., 502 U.S. 113</w:t>
      </w:r>
    </w:p>
    <w:p w:rsidR="00A31137" w:rsidRPr="00A31137" w:rsidRDefault="00A31137" w:rsidP="00A31137">
      <w:r w:rsidRPr="00A31137">
        <w:t>We had the best food smuggled into our dorm from the kitchen. Steaks, veal cutlets, shrimp, red snapper. Whatever the hacks could buy, we ate. It cost me two, three hundred a week. Guys like Paulie spent five hundred to a thousand bucks a week. Scotch cost thirty dollars a pint. The hacks used to bring it inside the walls in their lunch pails. We never ran out of booze, because we had six hacks bringing it in six days a week. Depending on what you wanted and how much you were [502 U.S. 114] willing to spend, life could be almost bearable.</w:t>
      </w:r>
    </w:p>
    <w:p w:rsidR="00A31137" w:rsidRPr="00A31137" w:rsidRDefault="00A31137" w:rsidP="00A31137">
      <w:r w:rsidRPr="00A31137">
        <w:t>1991, Simon &amp; Schuster v. Crime Victims Bd., 502 U.S. 114</w:t>
      </w:r>
    </w:p>
    <w:p w:rsidR="00A31137" w:rsidRPr="00A31137" w:rsidRDefault="00A31137" w:rsidP="00A31137">
      <w:r w:rsidRPr="00A31137">
        <w:t>Wiseguy 150-151.</w:t>
      </w:r>
    </w:p>
    <w:p w:rsidR="00A31137" w:rsidRPr="00A31137" w:rsidRDefault="00A31137" w:rsidP="00A31137">
      <w:r w:rsidRPr="00A31137">
        <w:t>1991, Simon &amp; Schuster v. Crime Victims Bd., 502 U.S. 114</w:t>
      </w:r>
    </w:p>
    <w:p w:rsidR="00A31137" w:rsidRPr="00A31137" w:rsidRDefault="00A31137" w:rsidP="00A31137">
      <w:r w:rsidRPr="00A31137">
        <w:t>Wiseguy was reviewed favorably: The Washington Post called it an "'amply detailed and entirely fascinating book that amounts to a piece of revisionist history,'" while New York Daily News columnist Jimmy Breslin named it "'the best book on crime in America ever written.'" App. 5. The book was also a commercial success: within 19 months of its publication, more than a million copies were in print. A few years later, the book was converted into a film called Goodfellas, which won a host of awards as the best film of 1990.</w:t>
      </w:r>
    </w:p>
    <w:p w:rsidR="00A31137" w:rsidRPr="00A31137" w:rsidRDefault="00A31137" w:rsidP="00A31137">
      <w:r w:rsidRPr="00A31137">
        <w:t>1991, Simon &amp; Schuster v. Crime Victims Bd., 502 U.S. 114</w:t>
      </w:r>
    </w:p>
    <w:p w:rsidR="00A31137" w:rsidRPr="00A31137" w:rsidRDefault="00A31137" w:rsidP="00A31137">
      <w:r w:rsidRPr="00A31137">
        <w:t>From Henry Hill's perspective, however, the publicity generated by the book's success proved less desirable. The Crime Victims Board learned of Wiseguy in January, 1986, soon after it was published.</w:t>
      </w:r>
    </w:p>
    <w:p w:rsidR="00A31137" w:rsidRPr="00A31137" w:rsidRDefault="00A31137" w:rsidP="00A31137">
      <w:r w:rsidRPr="00A31137">
        <w:t>C</w:t>
      </w:r>
    </w:p>
    <w:p w:rsidR="00A31137" w:rsidRPr="00A31137" w:rsidRDefault="00A31137" w:rsidP="00A31137">
      <w:r w:rsidRPr="00A31137">
        <w:t>1991, Simon &amp; Schuster v. Crime Victims Bd., 502 U.S. 114</w:t>
      </w:r>
    </w:p>
    <w:p w:rsidR="00A31137" w:rsidRPr="00A31137" w:rsidRDefault="00A31137" w:rsidP="00A31137">
      <w:r w:rsidRPr="00A31137">
        <w:t>On January 31, the Board notified Simon &amp; Schuster:</w:t>
      </w:r>
    </w:p>
    <w:p w:rsidR="00A31137" w:rsidRPr="00A31137" w:rsidRDefault="00A31137" w:rsidP="00A31137">
      <w:r w:rsidRPr="00A31137">
        <w:t>1991, Simon &amp; Schuster v. Crime Victims Bd., 502 U.S. 114</w:t>
      </w:r>
    </w:p>
    <w:p w:rsidR="00A31137" w:rsidRPr="00A31137" w:rsidRDefault="00A31137" w:rsidP="00A31137">
      <w:r w:rsidRPr="00A31137">
        <w:t>It has come to our attention that you may have contracted with a person accused or convicted of a crime for the payment of monies to such person.</w:t>
      </w:r>
    </w:p>
    <w:p w:rsidR="00A31137" w:rsidRPr="00A31137" w:rsidRDefault="00A31137" w:rsidP="00A31137">
      <w:r w:rsidRPr="00A31137">
        <w:t>1991, Simon &amp; Schuster v. Crime Victims Bd., 502 U.S. 114</w:t>
      </w:r>
    </w:p>
    <w:p w:rsidR="00A31137" w:rsidRPr="00A31137" w:rsidRDefault="00A31137" w:rsidP="00A31137">
      <w:r w:rsidRPr="00A31137">
        <w:t>App. 86. The Board ordered Simon &amp; Schuster to furnish copies of any contracts it had entered into with Hill, to provide the dollar amounts and dates of all payments it had made to Hill, and to suspend all payments to Hill in the future. Simon &amp; Schuster complied with this order. By that time, Simon &amp; Schuster had paid Hill's literary agent $96,250 in advances and royalties on Hill's behalf, and was holding $27,958 for eventual payment to Hill.</w:t>
      </w:r>
    </w:p>
    <w:p w:rsidR="00A31137" w:rsidRPr="00A31137" w:rsidRDefault="00A31137" w:rsidP="00A31137">
      <w:r w:rsidRPr="00A31137">
        <w:t>1991, Simon &amp; Schuster v. Crime Victims Bd., 502 U.S. 114</w:t>
      </w:r>
    </w:p>
    <w:p w:rsidR="00A31137" w:rsidRPr="00A31137" w:rsidRDefault="00A31137" w:rsidP="00A31137">
      <w:r w:rsidRPr="00A31137">
        <w:t>The Board reviewed the book and the contract, and on May 21, 1987, issued a Proposed Determination and Order. The Board determined that Wiseguy was covered by § 632-a of the Executive Law, that Simon &amp; Schuster had violated the law by failing to turn over its contract with Hill to the Board and by making payments to Hill, and that all money owed to [502 U.S. 115] Hill under the contract had to be turned over to the Board to be held in escrow for the victims of Hill's crimes. The Board ordered Hill to turn over the payments he had already received, and ordered Simon &amp; Schuster to turn over all money payable to Hill at the time or in the future.</w:t>
      </w:r>
    </w:p>
    <w:p w:rsidR="00A31137" w:rsidRPr="00A31137" w:rsidRDefault="00A31137" w:rsidP="00A31137">
      <w:r w:rsidRPr="00A31137">
        <w:t>1991, Simon &amp; Schuster v. Crime Victims Bd., 502 U.S. 115</w:t>
      </w:r>
    </w:p>
    <w:p w:rsidR="00A31137" w:rsidRPr="00A31137" w:rsidRDefault="00A31137" w:rsidP="00A31137">
      <w:r w:rsidRPr="00A31137">
        <w:t>Simon &amp; Schuster brought suit in August, 1987, under 42 U.S.C. § 1983, seeking a declaration that the Son of Sam law violates the First Amendment and an injunction barring the statute's enforcement. After the parties filed cross-motions for summary judgment, the District Court found the statute consistent with the First Amendment. 724 F.Supp. 170 (SDNY 1989). A divided Court of Appeals affirmed; Simon &amp; Schuster, Inc. v. Fischetti, 916 F.2d 777 (CA2 1990).</w:t>
      </w:r>
    </w:p>
    <w:p w:rsidR="00A31137" w:rsidRPr="00A31137" w:rsidRDefault="00A31137" w:rsidP="00A31137">
      <w:r w:rsidRPr="00A31137">
        <w:t>1991, Simon &amp; Schuster v. Crime Victims Bd., 502 U.S. 115</w:t>
      </w:r>
    </w:p>
    <w:p w:rsidR="00A31137" w:rsidRPr="00A31137" w:rsidRDefault="00A31137" w:rsidP="00A31137">
      <w:r w:rsidRPr="00A31137">
        <w:t>Because the Federal Government and most of the States have enacted statutes with similar objectives, see 18 U.S.C. § 3681; Note, Simon Schuster, Inc. v. Fischetti: Can New York's Son of Sam Law Survive First Amendment Challenge?, 66 Notre Dame L.Rev. 1075, 1075, n. 6 (1991) (listing state statutes), the issue is significant and likely to recur. We accordingly granted certiorari, 498 U.S. 1081 (1991), and we now reverse.</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1991, Simon &amp; Schuster v. Crime Victims Bd., 502 U.S. 115</w:t>
      </w:r>
    </w:p>
    <w:p w:rsidR="00A31137" w:rsidRPr="00A31137" w:rsidRDefault="00A31137" w:rsidP="00A31137">
      <w:r w:rsidRPr="00A31137">
        <w:t>A statute is presumptively inconsistent with the First Amendment if it imposes a financial burden on speakers because of the content of their speech. Leathers v. Medlock, 499 U.S. 439, 447 (1991). As we emphasized in invalidating a content-based magazine tax,</w:t>
      </w:r>
    </w:p>
    <w:p w:rsidR="00A31137" w:rsidRPr="00A31137" w:rsidRDefault="00A31137" w:rsidP="00A31137">
      <w:r w:rsidRPr="00A31137">
        <w:t>1991, Simon &amp; Schuster v. Crime Victims Bd., 502 U.S. 115</w:t>
      </w:r>
    </w:p>
    <w:p w:rsidR="00A31137" w:rsidRPr="00A31137" w:rsidRDefault="00A31137" w:rsidP="00A31137">
      <w:r w:rsidRPr="00A31137">
        <w:t>official scrutiny of the content of publications as the basis for imposing a tax is entirely incompatible with the First Amendment's guarantee of freedom of the press.</w:t>
      </w:r>
    </w:p>
    <w:p w:rsidR="00A31137" w:rsidRPr="00A31137" w:rsidRDefault="00A31137" w:rsidP="00A31137">
      <w:r w:rsidRPr="00A31137">
        <w:t>1991, Simon &amp; Schuster v. Crime Victims Bd., 502 U.S. 115</w:t>
      </w:r>
    </w:p>
    <w:p w:rsidR="00A31137" w:rsidRPr="00A31137" w:rsidRDefault="00A31137" w:rsidP="00A31137">
      <w:r w:rsidRPr="00A31137">
        <w:t>Arkansas Writers' Project, Inc. v. Ragland, 481 U.S. 221, 230 (1987).</w:t>
      </w:r>
    </w:p>
    <w:p w:rsidR="00A31137" w:rsidRPr="00A31137" w:rsidRDefault="00A31137" w:rsidP="00A31137">
      <w:r w:rsidRPr="00A31137">
        <w:t>1991, Simon &amp; Schuster v. Crime Victims Bd., 502 U.S. 115</w:t>
      </w:r>
    </w:p>
    <w:p w:rsidR="00A31137" w:rsidRPr="00A31137" w:rsidRDefault="00A31137" w:rsidP="00A31137">
      <w:r w:rsidRPr="00A31137">
        <w:t>This is a notion so engrained in our First Amendment jurisprudence that last Term we found it so "obvious" as to [502 U.S. 116] not require explanation. Leathers, supra, 499 U.S. at 447. It is but one manifestation of a far broader principle:</w:t>
      </w:r>
    </w:p>
    <w:p w:rsidR="00A31137" w:rsidRPr="00A31137" w:rsidRDefault="00A31137" w:rsidP="00A31137">
      <w:r w:rsidRPr="00A31137">
        <w:t>1991, Simon &amp; Schuster v. Crime Victims Bd., 502 U.S. 116</w:t>
      </w:r>
    </w:p>
    <w:p w:rsidR="00A31137" w:rsidRPr="00A31137" w:rsidRDefault="00A31137" w:rsidP="00A31137">
      <w:r w:rsidRPr="00A31137">
        <w:t>Regulations which permit the Government to discriminate on the basis of the content of the message cannot be tolerated under the First Amendment.</w:t>
      </w:r>
    </w:p>
    <w:p w:rsidR="00A31137" w:rsidRPr="00A31137" w:rsidRDefault="00A31137" w:rsidP="00A31137">
      <w:r w:rsidRPr="00A31137">
        <w:t>1991, Simon &amp; Schuster v. Crime Victims Bd., 502 U.S. 116</w:t>
      </w:r>
    </w:p>
    <w:p w:rsidR="00A31137" w:rsidRPr="00A31137" w:rsidRDefault="00A31137" w:rsidP="00A31137">
      <w:r w:rsidRPr="00A31137">
        <w:t>Regan v. Time, Inc., 468 U.S. 641, 648-649 (1984). See also Police Dept. of Chicago v. Mosley, 408 U.S. 92, 95 (1972). In the context of financial regulation, it bears repeating, as we did in Leathers, that the Government's ability to impose content-based burdens on speech raises the specter that the Government may effectively drive certain ideas or viewpoints from the marketplace. 499 U.S. at 448-449. The First Amendment presumptively places this sort of discrimination beyond the power of the Government. As we reiterated in Leathers,</w:t>
      </w:r>
    </w:p>
    <w:p w:rsidR="00A31137" w:rsidRPr="00A31137" w:rsidRDefault="00A31137" w:rsidP="00A31137">
      <w:r w:rsidRPr="00A31137">
        <w:t>1991, Simon &amp; Schuster v. Crime Victims Bd., 502 U.S. 116</w:t>
      </w:r>
    </w:p>
    <w:p w:rsidR="00A31137" w:rsidRPr="00A31137" w:rsidRDefault="00A31137" w:rsidP="00A31137">
      <w:r w:rsidRPr="00A31137">
        <w:t>"The constitutional right of free expression is…intended to remove governmental restraints from the arena of public discussion, putting the decision as to what views shall be voiced largely into the hands of each of us…in the belief that no other approach would comport with the premise of individual dignity and choice upon which our political system rests."</w:t>
      </w:r>
    </w:p>
    <w:p w:rsidR="00A31137" w:rsidRPr="00A31137" w:rsidRDefault="00A31137" w:rsidP="00A31137">
      <w:r w:rsidRPr="00A31137">
        <w:t>1991, Simon &amp; Schuster v. Crime Victims Bd., 502 U.S. 116</w:t>
      </w:r>
    </w:p>
    <w:p w:rsidR="00A31137" w:rsidRPr="00A31137" w:rsidRDefault="00A31137" w:rsidP="00A31137">
      <w:r w:rsidRPr="00A31137">
        <w:t>Id. at 448-449 (quoting Cohen v. California, 403 U.S. 15,  24 (1971)).</w:t>
      </w:r>
    </w:p>
    <w:p w:rsidR="00A31137" w:rsidRPr="00A31137" w:rsidRDefault="00A31137" w:rsidP="00A31137">
      <w:r w:rsidRPr="00A31137">
        <w:t>1991, Simon &amp; Schuster v. Crime Victims Bd., 502 U.S. 116</w:t>
      </w:r>
    </w:p>
    <w:p w:rsidR="00A31137" w:rsidRPr="00A31137" w:rsidRDefault="00A31137" w:rsidP="00A31137">
      <w:r w:rsidRPr="00A31137">
        <w:t>The Son of Sam law is such a content-based statute. It singles out income derived from expressive activity for a burden the State places on no other income, and it is directed only at works with a specified content. Whether the First Amendment "speaker" is considered to be Henry Hill, whose income the statute places in escrow because of the story he has told, or Simon &amp; Schuster, which can publish books about crime with the assistance of only those criminals willing to forgo remuneration for at least five years, the statute plainly imposes a financial disincentive only on speech of a particular content.</w:t>
      </w:r>
    </w:p>
    <w:p w:rsidR="00A31137" w:rsidRPr="00A31137" w:rsidRDefault="00A31137" w:rsidP="00A31137">
      <w:r w:rsidRPr="00A31137">
        <w:t>1991, Simon &amp; Schuster v. Crime Victims Bd., 502 U.S. 116</w:t>
      </w:r>
    </w:p>
    <w:p w:rsidR="00A31137" w:rsidRPr="00A31137" w:rsidRDefault="00A31137" w:rsidP="00A31137">
      <w:r w:rsidRPr="00A31137">
        <w:t>The Board tries unsuccessfully to distinguish the Son of Sam law from the discriminatory tax at issue in Arkansas Writers' Project. While the Son of Sam law escrows all of the speaker's speech-derived income for at least five years, [502 U.S. 117] rather than taxing a percentage of it outright, this difference can hardly serve as the basis for disparate treatment under the First Amendment. Both forms of financial burden operate as disincentives to speak; indeed, in many cases, it will be impossible to discern in advance which type of regulation will be more costly to the speaker.</w:t>
      </w:r>
    </w:p>
    <w:p w:rsidR="00A31137" w:rsidRPr="00A31137" w:rsidRDefault="00A31137" w:rsidP="00A31137">
      <w:r w:rsidRPr="00A31137">
        <w:t>1991, Simon &amp; Schuster v. Crime Victims Bd., 502 U.S. 117</w:t>
      </w:r>
    </w:p>
    <w:p w:rsidR="00A31137" w:rsidRPr="00A31137" w:rsidRDefault="00A31137" w:rsidP="00A31137">
      <w:r w:rsidRPr="00A31137">
        <w:t>The Board next argues that discriminatory financial treatment is suspect under the First Amendment only when the legislature intends to suppress certain ideas. This assertion is incorrect; our cases have consistently held that "[i]llicit legislative intent is not the sine qua non of a violation of the First Amendment." Minneapolis Star &amp; Tribune Co. v. Minnesota Comm'r of Revenue, 460 U.S. 575,  592 (1983). Simon &amp; Schuster need adduce "no evidence of an improper censorial motive." Arkansas Writers' Project, supra, 481 U.S. at 228. As we concluded in Minneapolis Star,</w:t>
      </w:r>
    </w:p>
    <w:p w:rsidR="00A31137" w:rsidRPr="00A31137" w:rsidRDefault="00A31137" w:rsidP="00A31137">
      <w:r w:rsidRPr="00A31137">
        <w:t>1991, Simon &amp; Schuster v. Crime Victims Bd., 502 U.S. 117</w:t>
      </w:r>
    </w:p>
    <w:p w:rsidR="00A31137" w:rsidRPr="00A31137" w:rsidRDefault="00A31137" w:rsidP="00A31137">
      <w:r w:rsidRPr="00A31137">
        <w:t>[w]e have long recognized that even regulation aimed at proper governmental concerns can restrict unduly the exercise of rights protected by the First Amendment.</w:t>
      </w:r>
    </w:p>
    <w:p w:rsidR="00A31137" w:rsidRPr="00A31137" w:rsidRDefault="00A31137" w:rsidP="00A31137">
      <w:r w:rsidRPr="00A31137">
        <w:t>1991, Simon &amp; Schuster v. Crime Victims Bd., 502 U.S. 117</w:t>
      </w:r>
    </w:p>
    <w:p w:rsidR="00A31137" w:rsidRPr="00A31137" w:rsidRDefault="00A31137" w:rsidP="00A31137">
      <w:r w:rsidRPr="00A31137">
        <w:t>460 U.S. at  592.</w:t>
      </w:r>
    </w:p>
    <w:p w:rsidR="00A31137" w:rsidRPr="00A31137" w:rsidRDefault="00A31137" w:rsidP="00A31137">
      <w:r w:rsidRPr="00A31137">
        <w:t>1991, Simon &amp; Schuster v. Crime Victims Bd., 502 U.S. 117</w:t>
      </w:r>
    </w:p>
    <w:p w:rsidR="00A31137" w:rsidRPr="00A31137" w:rsidRDefault="00A31137" w:rsidP="00A31137">
      <w:r w:rsidRPr="00A31137">
        <w:t xml:space="preserve">Finally, the Board claims that, even if the First Amendment prohibits content-based financial regulation specifically of the media, the Son of Sam law is different, because it imposes a general burden on any "entity" contracting with a convicted person to transmit that person's speech. Cf. Cohen v. Cowles Media Co., 501 U.S. 663, 670 (1991) ("[E]nforcement of…general laws against the press is not subject to stricter scrutiny than would be applied to enforcement against other persons or organizations"). This argument falters on both semantic and constitutional grounds. Any "entity" that enters into such a contract becomes by definition a medium of communication, if it wasn't one already. In any event, the characterization of an entity as a member of the "media" is irrelevant for these purposes. The Government's power to impose content-based financial disincentives on speech surely does not vary with the identity of the speaker. [502 U.S. 118] </w:t>
      </w:r>
    </w:p>
    <w:p w:rsidR="00A31137" w:rsidRPr="00A31137" w:rsidRDefault="00A31137" w:rsidP="00A31137">
      <w:r w:rsidRPr="00A31137">
        <w:t>1991, Simon &amp; Schuster v. Crime Victims Bd., 502 U.S. 118</w:t>
      </w:r>
    </w:p>
    <w:p w:rsidR="00A31137" w:rsidRPr="00A31137" w:rsidRDefault="00A31137" w:rsidP="00A31137">
      <w:r w:rsidRPr="00A31137">
        <w:t>The Son of Sam law establishes a financial disincentive to create or publish works with a particular content. In order to justify such differential treatment,</w:t>
      </w:r>
    </w:p>
    <w:p w:rsidR="00A31137" w:rsidRPr="00A31137" w:rsidRDefault="00A31137" w:rsidP="00A31137">
      <w:r w:rsidRPr="00A31137">
        <w:t>1991, Simon &amp; Schuster v. Crime Victims Bd., 502 U.S. 118</w:t>
      </w:r>
    </w:p>
    <w:p w:rsidR="00A31137" w:rsidRPr="00A31137" w:rsidRDefault="00A31137" w:rsidP="00A31137">
      <w:r w:rsidRPr="00A31137">
        <w:t>the State must show that its regulation is necessary to serve a compelling state interest, and is narrowly drawn to achieve that end.</w:t>
      </w:r>
    </w:p>
    <w:p w:rsidR="00A31137" w:rsidRPr="00A31137" w:rsidRDefault="00A31137" w:rsidP="00A31137">
      <w:r w:rsidRPr="00A31137">
        <w:t>1991, Simon &amp; Schuster v. Crime Victims Bd., 502 U.S. 118</w:t>
      </w:r>
    </w:p>
    <w:p w:rsidR="00A31137" w:rsidRPr="00A31137" w:rsidRDefault="00A31137" w:rsidP="00A31137">
      <w:r w:rsidRPr="00A31137">
        <w:t>Arkansas Writers' Project, 481 U.S. at 231.</w:t>
      </w:r>
    </w:p>
    <w:p w:rsidR="00A31137" w:rsidRPr="00A31137" w:rsidRDefault="00A31137" w:rsidP="00A31137">
      <w:r w:rsidRPr="00A31137">
        <w:t>B</w:t>
      </w:r>
    </w:p>
    <w:p w:rsidR="00A31137" w:rsidRPr="00A31137" w:rsidRDefault="00A31137" w:rsidP="00A31137">
      <w:r w:rsidRPr="00A31137">
        <w:t>1991, Simon &amp; Schuster v. Crime Victims Bd., 502 U.S. 118</w:t>
      </w:r>
    </w:p>
    <w:p w:rsidR="00A31137" w:rsidRPr="00A31137" w:rsidRDefault="00A31137" w:rsidP="00A31137">
      <w:r w:rsidRPr="00A31137">
        <w:t>The Board disclaims, as it must, any state interest in suppressing descriptions of crime out of solicitude for the sensibilities of readers. See Brief for Respondents 38, n. 38. As we have often had occasion to repeat,</w:t>
      </w:r>
    </w:p>
    <w:p w:rsidR="00A31137" w:rsidRPr="00A31137" w:rsidRDefault="00A31137" w:rsidP="00A31137">
      <w:r w:rsidRPr="00A31137">
        <w:t>1991, Simon &amp; Schuster v. Crime Victims Bd., 502 U.S. 118</w:t>
      </w:r>
    </w:p>
    <w:p w:rsidR="00A31137" w:rsidRPr="00A31137" w:rsidRDefault="00A31137" w:rsidP="00A31137">
      <w:r w:rsidRPr="00A31137">
        <w:t>"[T]he fact that society may find speech offensive is not a sufficient reason for suppressing it. Indeed, if it is the speaker's opinion that gives offense, that consequence is a reason for according it constitutional protection."</w:t>
      </w:r>
    </w:p>
    <w:p w:rsidR="00A31137" w:rsidRPr="00A31137" w:rsidRDefault="00A31137" w:rsidP="00A31137">
      <w:r w:rsidRPr="00A31137">
        <w:t>1991, Simon &amp; Schuster v. Crime Victims Bd., 502 U.S. 118</w:t>
      </w:r>
    </w:p>
    <w:p w:rsidR="00A31137" w:rsidRPr="00A31137" w:rsidRDefault="00A31137" w:rsidP="00A31137">
      <w:r w:rsidRPr="00A31137">
        <w:t>Hustler Magazine, Inc. v. Falwell, 485 U.S. 46,  55 (1988) (quoting FCC v. Pacifica Foundation, 438 U.S. 726,  745 (1978)).</w:t>
      </w:r>
    </w:p>
    <w:p w:rsidR="00A31137" w:rsidRPr="00A31137" w:rsidRDefault="00A31137" w:rsidP="00A31137">
      <w:r w:rsidRPr="00A31137">
        <w:t>1991, Simon &amp; Schuster v. Crime Victims Bd., 502 U.S. 118</w:t>
      </w:r>
    </w:p>
    <w:p w:rsidR="00A31137" w:rsidRPr="00A31137" w:rsidRDefault="00A31137" w:rsidP="00A31137">
      <w:r w:rsidRPr="00A31137">
        <w:t>"If there is a bedrock principle underlying the First Amendment, it is that the Government may not prohibit the expression of an idea simply because society finds the idea itself offensive or disagreeable."</w:t>
      </w:r>
    </w:p>
    <w:p w:rsidR="00A31137" w:rsidRPr="00A31137" w:rsidRDefault="00A31137" w:rsidP="00A31137">
      <w:r w:rsidRPr="00A31137">
        <w:t>1991, Simon &amp; Schuster v. Crime Victims Bd., 502 U.S. 118</w:t>
      </w:r>
    </w:p>
    <w:p w:rsidR="00A31137" w:rsidRPr="00A31137" w:rsidRDefault="00A31137" w:rsidP="00A31137">
      <w:r w:rsidRPr="00A31137">
        <w:t>United States v. Eichman, 496 U.S. 310,  319 (1990) (quoting Texas v. Johnson, 491 U.S. 397,  414 (1989)). The Board thus does not assert any interest in limiting whatever anguish Henry Hill's victims may suffer from reliving their victimization.</w:t>
      </w:r>
    </w:p>
    <w:p w:rsidR="00A31137" w:rsidRPr="00A31137" w:rsidRDefault="00A31137" w:rsidP="00A31137">
      <w:r w:rsidRPr="00A31137">
        <w:t>1991, Simon &amp; Schuster v. Crime Victims Bd., 502 U.S. 118</w:t>
      </w:r>
    </w:p>
    <w:p w:rsidR="00A31137" w:rsidRPr="00A31137" w:rsidRDefault="00A31137" w:rsidP="00A31137">
      <w:r w:rsidRPr="00A31137">
        <w:t>There can be little doubt, on the other hand, that the State has a compelling interest in ensuring that victims of crime are compensated by those who harm them. Every State has a body of tort law serving exactly this interest. The State's interest in preventing wrongdoers from dissipating their assets before victims can recover explains the existence of the State's statutory provisions for prejudgment remedies and orders of restitution. See N.Y.Civ.Prac. Law §§ 6201-6226 (McKinney 1980 and Supp.1991); N.Y.Penal Law [502 U.S. 119] § 60.27 (McKinney 1987). We have recognized the importance of this interest before, in the Sixth Amendment context. See Caplin &amp; Drysdale, Chartered v. United States, 491 U.S. 617, 629 (1989).</w:t>
      </w:r>
    </w:p>
    <w:p w:rsidR="00A31137" w:rsidRPr="00A31137" w:rsidRDefault="00A31137" w:rsidP="00A31137">
      <w:r w:rsidRPr="00A31137">
        <w:t>1991, Simon &amp; Schuster v. Crime Victims Bd., 502 U.S. 119</w:t>
      </w:r>
    </w:p>
    <w:p w:rsidR="00A31137" w:rsidRPr="00A31137" w:rsidRDefault="00A31137" w:rsidP="00A31137">
      <w:r w:rsidRPr="00A31137">
        <w:t>The State likewise has an undisputed compelling interest in ensuring that criminals do not profit from their crimes. Like most if not all States, New York has long recognized the "fundamental equitable principle," Children of Bedford v. Petromelis, 77 N.Y.2d at 727, 570 N.Y.S.2d at 460, 573 N.E.2d at 548, that</w:t>
      </w:r>
    </w:p>
    <w:p w:rsidR="00A31137" w:rsidRPr="00A31137" w:rsidRDefault="00A31137" w:rsidP="00A31137">
      <w:r w:rsidRPr="00A31137">
        <w:t>1991, Simon &amp; Schuster v. Crime Victims Bd., 502 U.S. 119</w:t>
      </w:r>
    </w:p>
    <w:p w:rsidR="00A31137" w:rsidRPr="00A31137" w:rsidRDefault="00A31137" w:rsidP="00A31137">
      <w:r w:rsidRPr="00A31137">
        <w:t>[n]o one shall be permitted to profit by his own fraud, or to take advantage of his own wrong, or to found any claim upon his own iniquity, or to acquire property by his own crime.</w:t>
      </w:r>
    </w:p>
    <w:p w:rsidR="00A31137" w:rsidRPr="00A31137" w:rsidRDefault="00A31137" w:rsidP="00A31137">
      <w:r w:rsidRPr="00A31137">
        <w:t>1991, Simon &amp; Schuster v. Crime Victims Bd., 502 U.S. 119</w:t>
      </w:r>
    </w:p>
    <w:p w:rsidR="00A31137" w:rsidRPr="00A31137" w:rsidRDefault="00A31137" w:rsidP="00A31137">
      <w:r w:rsidRPr="00A31137">
        <w:t>Riggs v. Palmer, 115 N.Y. 506, 511-512, 22 N.E. 188, 190 (1889). The force of this interest is evidenced by the State's statutory provisions for the forfeiture of the proceeds and instrumentalities of crime. See N.Y.Civ.Prac.Law §§ 1310-1352 (McKinney Supp.1991).</w:t>
      </w:r>
    </w:p>
    <w:p w:rsidR="00A31137" w:rsidRPr="00A31137" w:rsidRDefault="00A31137" w:rsidP="00A31137">
      <w:r w:rsidRPr="00A31137">
        <w:t>1991, Simon &amp; Schuster v. Crime Victims Bd., 502 U.S. 119</w:t>
      </w:r>
    </w:p>
    <w:p w:rsidR="00A31137" w:rsidRPr="00A31137" w:rsidRDefault="00A31137" w:rsidP="00A31137">
      <w:r w:rsidRPr="00A31137">
        <w:t>The parties debate whether book royalties can properly be termed the profits of crime, but that is a question we need not address here. For the purposes of this case, we can assume without deciding that the income escrowed by the Son of Sam law represents the fruits of crime. We need only conclude that the State has a compelling interest in depriving criminals of the profits of their crimes, and in using these funds to compensate victims.</w:t>
      </w:r>
    </w:p>
    <w:p w:rsidR="00A31137" w:rsidRPr="00A31137" w:rsidRDefault="00A31137" w:rsidP="00A31137">
      <w:r w:rsidRPr="00A31137">
        <w:t>1991, Simon &amp; Schuster v. Crime Victims Bd., 502 U.S. 119</w:t>
      </w:r>
    </w:p>
    <w:p w:rsidR="00A31137" w:rsidRPr="00A31137" w:rsidRDefault="00A31137" w:rsidP="00A31137">
      <w:r w:rsidRPr="00A31137">
        <w:t>The Board attempts to define the State's interest more narrowly, as</w:t>
      </w:r>
    </w:p>
    <w:p w:rsidR="00A31137" w:rsidRPr="00A31137" w:rsidRDefault="00A31137" w:rsidP="00A31137">
      <w:r w:rsidRPr="00A31137">
        <w:t>1991, Simon &amp; Schuster v. Crime Victims Bd., 502 U.S. 119</w:t>
      </w:r>
    </w:p>
    <w:p w:rsidR="00A31137" w:rsidRPr="00A31137" w:rsidRDefault="00A31137" w:rsidP="00A31137">
      <w:r w:rsidRPr="00A31137">
        <w:t>ensuring that criminals do not profit from story telling about their crimes before their victims have a meaningful opportunity to be compensated for their injuries.</w:t>
      </w:r>
    </w:p>
    <w:p w:rsidR="00A31137" w:rsidRPr="00A31137" w:rsidRDefault="00A31137" w:rsidP="00A31137">
      <w:r w:rsidRPr="00A31137">
        <w:t>1991, Simon &amp; Schuster v. Crime Victims Bd., 502 U.S. 119</w:t>
      </w:r>
    </w:p>
    <w:p w:rsidR="00A31137" w:rsidRPr="00A31137" w:rsidRDefault="00A31137" w:rsidP="00A31137">
      <w:r w:rsidRPr="00A31137">
        <w:t>Brief for Respondents 46. Here the Board is on far shakier ground. The Board cannot explain why the State should have any greater interest in compensating victims from the proceeds of such "storytelling" than from any of the criminal's other assets. Nor can the Board offer any justification for a distinction between this expressive activity and [502 U.S. 120] any other activity in connection with its interest in transferring the fruits of crime from criminals to their victims. Thus, even if the State can be said to have an interest in classifying a criminal's assets in this manner, that interest is hardly compelling.</w:t>
      </w:r>
    </w:p>
    <w:p w:rsidR="00A31137" w:rsidRPr="00A31137" w:rsidRDefault="00A31137" w:rsidP="00A31137">
      <w:r w:rsidRPr="00A31137">
        <w:t>1991, Simon &amp; Schuster v. Crime Victims Bd., 502 U.S. 120</w:t>
      </w:r>
    </w:p>
    <w:p w:rsidR="00A31137" w:rsidRPr="00A31137" w:rsidRDefault="00A31137" w:rsidP="00A31137">
      <w:r w:rsidRPr="00A31137">
        <w:t>We have rejected similar assertions of a compelling interest in the past. In Arkansas Writers' Project and Minneapolis Star, we observed that, while the State certainly has an important interest in raising revenue through taxation, that interest hardly justified selective taxation of the press, as it was completely unrelated to a press/non-press distinction. Arkansas Writers' Project, supra, 481 U.S. at 231; Minneapolis Star, 460 U.S. at  586. Likewise, in Carey v. Brown, 447 U.S. 455, 467-469 (1980), we recognized the State's interest in preserving privacy by prohibiting residential picketing, but refused to permit the State to ban only nonlabor picketing. This was because "nothing in the content-based labor-nonlabor distinction has any bearing whatsoever on privacy." Id. at 465. Much the same is true here. The distinction drawn by the Son of Sam law has nothing to do with the State's interest in transferring the proceeds of crime from criminals to their victims.</w:t>
      </w:r>
    </w:p>
    <w:p w:rsidR="00A31137" w:rsidRPr="00A31137" w:rsidRDefault="00A31137" w:rsidP="00A31137">
      <w:r w:rsidRPr="00A31137">
        <w:t>1991, Simon &amp; Schuster v. Crime Victims Bd., 502 U.S. 120</w:t>
      </w:r>
    </w:p>
    <w:p w:rsidR="00A31137" w:rsidRPr="00A31137" w:rsidRDefault="00A31137" w:rsidP="00A31137">
      <w:r w:rsidRPr="00A31137">
        <w:t>Like the government entities in the above cases, the Board has taken the effect of the statute and posited that effect as the State's interest. If accepted, this sort of circular defense can sidestep judicial review of almost any statute, because it makes all statutes look narrowly tailored. As Judge Newman pointed out in his dissent from the opinion of the Court of Appeals, such an argument</w:t>
      </w:r>
    </w:p>
    <w:p w:rsidR="00A31137" w:rsidRPr="00A31137" w:rsidRDefault="00A31137" w:rsidP="00A31137">
      <w:r w:rsidRPr="00A31137">
        <w:t>1991, Simon &amp; Schuster v. Crime Victims Bd., 502 U.S. 120</w:t>
      </w:r>
    </w:p>
    <w:p w:rsidR="00A31137" w:rsidRPr="00A31137" w:rsidRDefault="00A31137" w:rsidP="00A31137">
      <w:r w:rsidRPr="00A31137">
        <w:t>eliminates the entire inquiry concerning the validity of content-based discriminations. Every content-based discrimination could be upheld by simply observing that the state is anxious to regulate the designated category of speech.</w:t>
      </w:r>
    </w:p>
    <w:p w:rsidR="00A31137" w:rsidRPr="00A31137" w:rsidRDefault="00A31137" w:rsidP="00A31137">
      <w:r w:rsidRPr="00A31137">
        <w:t>1991, Simon &amp; Schuster v. Crime Victims Bd., 502 U.S. 120</w:t>
      </w:r>
    </w:p>
    <w:p w:rsidR="00A31137" w:rsidRPr="00A31137" w:rsidRDefault="00A31137" w:rsidP="00A31137">
      <w:r w:rsidRPr="00A31137">
        <w:t>916 F.2d at 785 (Newman, J., dissenting).</w:t>
      </w:r>
    </w:p>
    <w:p w:rsidR="00A31137" w:rsidRPr="00A31137" w:rsidRDefault="00A31137" w:rsidP="00A31137">
      <w:r w:rsidRPr="00A31137">
        <w:t>1991, Simon &amp; Schuster v. Crime Victims Bd., 502 U.S. 120</w:t>
      </w:r>
    </w:p>
    <w:p w:rsidR="00A31137" w:rsidRPr="00A31137" w:rsidRDefault="00A31137" w:rsidP="00A31137">
      <w:r w:rsidRPr="00A31137">
        <w:t>In short, the State has a compelling interest in compensating victims from the fruits of the crime, but little if any interest in limiting such compensation to the proceeds of the [502 U.S. 121] wrongdoer's speech about the crime. We must therefore determine whether the Son of Sam law is narrowly tailored to advance the former, not the latter, objective.</w:t>
      </w:r>
    </w:p>
    <w:p w:rsidR="00A31137" w:rsidRPr="00A31137" w:rsidRDefault="00A31137" w:rsidP="00A31137">
      <w:r w:rsidRPr="00A31137">
        <w:t>C</w:t>
      </w:r>
    </w:p>
    <w:p w:rsidR="00A31137" w:rsidRPr="00A31137" w:rsidRDefault="00A31137" w:rsidP="00A31137">
      <w:r w:rsidRPr="00A31137">
        <w:t>1991, Simon &amp; Schuster v. Crime Victims Bd., 502 U.S. 121</w:t>
      </w:r>
    </w:p>
    <w:p w:rsidR="00A31137" w:rsidRPr="00A31137" w:rsidRDefault="00A31137" w:rsidP="00A31137">
      <w:r w:rsidRPr="00A31137">
        <w:t>As a means of ensuring that victims are compensated from the proceeds of crime, the Son of Sam law is significantly overinclusive. As counsel for the Board conceded at oral argument, the statute applies to works on any subject, provided that they express the author's thoughts or recollections about his crime, however tangentially or incidentally. See Tr. of Oral Arg. 30, 38; see also App. 109. In addition, the statute's broad definition of "person convicted of a crime" enables the Board to escrow the income of any author who admits in his work to having committed a crime, whether or not the author was ever actually accused or convicted. § 632-a(10)(b).</w:t>
      </w:r>
    </w:p>
    <w:p w:rsidR="00A31137" w:rsidRPr="00A31137" w:rsidRDefault="00A31137" w:rsidP="00A31137">
      <w:r w:rsidRPr="00A31137">
        <w:t>1991, Simon &amp; Schuster v. Crime Victims Bd., 502 U.S. 121</w:t>
      </w:r>
    </w:p>
    <w:p w:rsidR="00A31137" w:rsidRPr="00A31137" w:rsidRDefault="00A31137" w:rsidP="00A31137">
      <w:r w:rsidRPr="00A31137">
        <w:t xml:space="preserve">These two provisions combine to encompass a potentially very large number of works. Had the Son of Sam law been in effect at the time and place of publication, it would have escrowed payment for such works as The Autobiography of Malcolm X, which describes crimes committed by the civil rights leader before he became a public figure; Civil Disobedience, in which Thoreau acknowledges his refusal to pay taxes and recalls his experience in jail; and even the Confessions of Saint Augustine, in which the author laments "my past foulness and the carnal corruptions of my soul," one instance of which involved the theft of pears from a neighboring vineyard. See A. Haley &amp; Malcolm X, The Autobiography of Malcolm X 108-12 (1964); H. Thoreau, Civil Disobedience 18-22 (1849, reprinted 1969); The Confessions of Saint Augustine 31, 36-37 (Franklin Library ed.1980). Amicus Association of American Publishers, Inc., has submitted a sobering bibliography listing hundreds of works by American prisoners and ex-prisoners, many of which contain descriptions of the crimes for which the authors were incarcerated, [502 U.S. 122] including works by such authors as Emma Goldman and Martin Luther King, Jr. A list of prominent figures whose autobiographies would be subject to the statute if written is not difficult to construct: the list could include Sir Walter Raleigh, who was convicted of treason after a dubiously conducted 1603 trial; Jesse Jackson, who was arrested in 1963 for trespass and resisting arrest after attempting to be served at a lunch counter in North Carolina; and Bertrand Russell, who was jailed for seven days at the age of 89 for participating in a sit-down protest against nuclear weapons. The argument that a statute like the Son of Sam law would prevent publication of all of these works is hyperbole—some would have been written without compensation—but the Son of Sam law clearly reaches a wide range of literature that does not enable a criminal to profit from his crime while a victim remains uncompensated.* [502 U.S. 123] </w:t>
      </w:r>
    </w:p>
    <w:p w:rsidR="00A31137" w:rsidRPr="00A31137" w:rsidRDefault="00A31137" w:rsidP="00A31137">
      <w:r w:rsidRPr="00A31137">
        <w:t>1991, Simon &amp; Schuster v. Crime Victims Bd., 502 U.S. 123</w:t>
      </w:r>
    </w:p>
    <w:p w:rsidR="00A31137" w:rsidRPr="00A31137" w:rsidRDefault="00A31137" w:rsidP="00A31137">
      <w:r w:rsidRPr="00A31137">
        <w:t>Should a prominent figure write his autobiography at the end of his career, and include in an early chapter a brief recollection of having stolen (in New York) a nearly worthless item as a youthful prank, the Board would control his entire income from the book for five years, and would make that income available to all of the author's creditors, despite the fact that the statute of limitations for this minor incident had long since run. That the Son of Sam law can produce such an outcome indicates that the statute is, to say the least, not narrowly tailored to achieve the state's objective of compensating crime victims from the profits of crime.</w:t>
      </w:r>
    </w:p>
    <w:p w:rsidR="00A31137" w:rsidRPr="00A31137" w:rsidRDefault="00A31137" w:rsidP="00A31137">
      <w:r w:rsidRPr="00A31137">
        <w:t>III</w:t>
      </w:r>
    </w:p>
    <w:p w:rsidR="00A31137" w:rsidRPr="00A31137" w:rsidRDefault="00A31137" w:rsidP="00A31137">
      <w:r w:rsidRPr="00A31137">
        <w:t>1991, Simon &amp; Schuster v. Crime Victims Bd., 502 U.S. 123</w:t>
      </w:r>
    </w:p>
    <w:p w:rsidR="00A31137" w:rsidRPr="00A31137" w:rsidRDefault="00A31137" w:rsidP="00A31137">
      <w:r w:rsidRPr="00A31137">
        <w:t>The Federal Government and many of the States have enacted statutes designed to serve purposes similar to that served by the Son of Sam law. Some of these statutes may be quite different from New York's, and we have no occasion to determine the constitutionality of these other laws. We conclude simply that, in the Son of Sam law, New York has singled out speech on a particular subject for a financial burden that it places on no other speech and no other income. The State's interest in compensating victims from the fruits of crime is a compelling one, but the Son of Sam law is not narrowly tailored to advance that objective. As a result, the statute is inconsistent with the First Amendment.</w:t>
      </w:r>
    </w:p>
    <w:p w:rsidR="00A31137" w:rsidRPr="00A31137" w:rsidRDefault="00A31137" w:rsidP="00A31137">
      <w:r w:rsidRPr="00A31137">
        <w:t>1991, Simon &amp; Schuster v. Crime Victims Bd., 502 U.S. 123</w:t>
      </w:r>
    </w:p>
    <w:p w:rsidR="00A31137" w:rsidRPr="00A31137" w:rsidRDefault="00A31137" w:rsidP="00A31137">
      <w:r w:rsidRPr="00A31137">
        <w:t>The judgment of the Court of Appeals is accordingly</w:t>
      </w:r>
    </w:p>
    <w:p w:rsidR="00A31137" w:rsidRPr="00A31137" w:rsidRDefault="00A31137" w:rsidP="00A31137">
      <w:r w:rsidRPr="00A31137">
        <w:t>1991, Simon &amp; Schuster v. Crime Victims Bd., 502 U.S. 123</w:t>
      </w:r>
    </w:p>
    <w:p w:rsidR="00A31137" w:rsidRPr="00A31137" w:rsidRDefault="00A31137" w:rsidP="00A31137">
      <w:r w:rsidRPr="00A31137">
        <w:t>Reversed.</w:t>
      </w:r>
    </w:p>
    <w:p w:rsidR="00A31137" w:rsidRPr="00A31137" w:rsidRDefault="00A31137" w:rsidP="00A31137">
      <w:r w:rsidRPr="00A31137">
        <w:t>1991, Simon &amp; Schuster v. Crime Victims Bd., 502 U.S. 123</w:t>
      </w:r>
    </w:p>
    <w:p w:rsidR="00A31137" w:rsidRPr="00A31137" w:rsidRDefault="00A31137" w:rsidP="00A31137">
      <w:r w:rsidRPr="00A31137">
        <w:t>JUSTICE THOMAS took no part in the consideration or decision of this case.</w:t>
      </w:r>
    </w:p>
    <w:p w:rsidR="00A31137" w:rsidRPr="00A31137" w:rsidRDefault="00A31137" w:rsidP="00A31137">
      <w:r w:rsidRPr="00A31137">
        <w:t>BLACKMUN, J., concurring</w:t>
      </w:r>
    </w:p>
    <w:p w:rsidR="00A31137" w:rsidRPr="00A31137" w:rsidRDefault="00A31137" w:rsidP="00A31137">
      <w:r w:rsidRPr="00A31137">
        <w:t>1991, Simon &amp; Schuster v. Crime Victims Bd., 502 U.S. 123</w:t>
      </w:r>
    </w:p>
    <w:p w:rsidR="00A31137" w:rsidRPr="00A31137" w:rsidRDefault="00A31137" w:rsidP="00A31137">
      <w:r w:rsidRPr="00A31137">
        <w:t>JUSTICE BLACKMUN, concurring in the judgment.</w:t>
      </w:r>
    </w:p>
    <w:p w:rsidR="00A31137" w:rsidRPr="00A31137" w:rsidRDefault="00A31137" w:rsidP="00A31137">
      <w:r w:rsidRPr="00A31137">
        <w:t>1991, Simon &amp; Schuster v. Crime Victims Bd., 502 U.S. 123</w:t>
      </w:r>
    </w:p>
    <w:p w:rsidR="00A31137" w:rsidRPr="00A31137" w:rsidRDefault="00A31137" w:rsidP="00A31137">
      <w:r w:rsidRPr="00A31137">
        <w:t>I am in general agreement with what the Court says in its opinion. I think, however, that the New York statute is under-inclusive well as overinclusive, and that we should [502 U.S. 124] say so. Most other States have similar legislation, and deserve from this Court all the guidance it can render in this very sensitive area.</w:t>
      </w:r>
    </w:p>
    <w:p w:rsidR="00A31137" w:rsidRPr="00A31137" w:rsidRDefault="00A31137" w:rsidP="00A31137">
      <w:r w:rsidRPr="00A31137">
        <w:t>KENNEDY, J., concurring</w:t>
      </w:r>
    </w:p>
    <w:p w:rsidR="00A31137" w:rsidRPr="00A31137" w:rsidRDefault="00A31137" w:rsidP="00A31137">
      <w:r w:rsidRPr="00A31137">
        <w:t>1991, Simon &amp; Schuster v. Crime Victims Bd., 502 U.S. 124</w:t>
      </w:r>
    </w:p>
    <w:p w:rsidR="00A31137" w:rsidRPr="00A31137" w:rsidRDefault="00A31137" w:rsidP="00A31137">
      <w:r w:rsidRPr="00A31137">
        <w:t>JUSTICE KENNEDY, concurring in the judgment.</w:t>
      </w:r>
    </w:p>
    <w:p w:rsidR="00A31137" w:rsidRPr="00A31137" w:rsidRDefault="00A31137" w:rsidP="00A31137">
      <w:r w:rsidRPr="00A31137">
        <w:t>1991, Simon &amp; Schuster v. Crime Victims Bd., 502 U.S. 124</w:t>
      </w:r>
    </w:p>
    <w:p w:rsidR="00A31137" w:rsidRPr="00A31137" w:rsidRDefault="00A31137" w:rsidP="00A31137">
      <w:r w:rsidRPr="00A31137">
        <w:t>The New York statute we now consider imposes severe restrictions on authors and publishers, using as its sole criterion the content of what is written. The regulated content has the full protection of the First Amendment, and this, I submit, is itself a full and sufficient reason for holding the statute unconstitutional. In my view, it is both unnecessary and incorrect to ask whether the State can show that the statute "'is necessary to serve a compelling state interest, and is narrowly drawn to achieve that end.'" Ante at  118 (quoting Arkansas Writers' Project, Inc. v. Ragland, 481 U.S. 221, 231 (1987)). That test or formulation derives from our equal protection jurisprudence, see, e.g., Wygant v. Jackson Board of Education, 476 U.S. 267, 273-274 (1986) (opinion of POWELL, J.); Hirabayashi v. United States, 320 U.S. 81,  100 (1943), and has no real or legitimate place when the Court considers the straightforward question whether the State may enact a burdensome restriction of speech based on content only, apart from any considerations of time, place, and manner or the use of public forums.</w:t>
      </w:r>
    </w:p>
    <w:p w:rsidR="00A31137" w:rsidRPr="00A31137" w:rsidRDefault="00A31137" w:rsidP="00A31137">
      <w:r w:rsidRPr="00A31137">
        <w:t>1991, Simon &amp; Schuster v. Crime Victims Bd., 502 U.S. 124</w:t>
      </w:r>
    </w:p>
    <w:p w:rsidR="00A31137" w:rsidRPr="00A31137" w:rsidRDefault="00A31137" w:rsidP="00A31137">
      <w:r w:rsidRPr="00A31137">
        <w:t>Here, a law is directed to speech alone where the speech in question is not obscene, not defamatory, not words tantamount to an act otherwise criminal, not an impairment of some other constitutional right, not an incitement to lawless action, and not calculated or likely to bring about imminent harm the State has the substantive power to prevent. No further inquiry is necessary to reject the State's argument that the statute should be upheld.</w:t>
      </w:r>
    </w:p>
    <w:p w:rsidR="00A31137" w:rsidRPr="00A31137" w:rsidRDefault="00A31137" w:rsidP="00A31137">
      <w:r w:rsidRPr="00A31137">
        <w:t>1991, Simon &amp; Schuster v. Crime Victims Bd., 502 U.S. 124</w:t>
      </w:r>
    </w:p>
    <w:p w:rsidR="00A31137" w:rsidRPr="00A31137" w:rsidRDefault="00A31137" w:rsidP="00A31137">
      <w:r w:rsidRPr="00A31137">
        <w:t>Borrowing the compelling interest and narrow tailoring analysis is ill-advised when all that is at issue is a content-based restriction, for resort to the test might be read as a [502 U.S. 125] concession that States may censor speech whenever they believe there is a compelling justification for doing so. Our precedents and traditions allow no such inference.</w:t>
      </w:r>
    </w:p>
    <w:p w:rsidR="00A31137" w:rsidRPr="00A31137" w:rsidRDefault="00A31137" w:rsidP="00A31137">
      <w:r w:rsidRPr="00A31137">
        <w:t>1991, Simon &amp; Schuster v. Crime Victims Bd., 502 U.S. 125</w:t>
      </w:r>
    </w:p>
    <w:p w:rsidR="00A31137" w:rsidRPr="00A31137" w:rsidRDefault="00A31137" w:rsidP="00A31137">
      <w:r w:rsidRPr="00A31137">
        <w:t>This said, it must be acknowledged that the compelling interest inquiry has found its way into our First Amendment jurisprudence of late, even where the sole question is, or ought to be, whether the restriction is in fact content-based. Although the notion that protected speech may be restricted on the basis of content if the restriction survives what has sometimes been termed "'the most exacting scrutiny,'" Texas v. Johnson, 491 U.S. 397,  412 (1989), may seem familiar, the Court appears to have adopted this formulation in First Amendment cases by accident, rather than as the result of a considered judgment. In Johnson, for example, we cited Boos v. Barry, 485 U.S. 312, 320 (1988), as support for the approach. Boos v. Barry, in turn, cited Perry Education Assn v. Perry Local Educators' Assn., 460 U.S. 37,  45 (1983), for the proposition that, to justify a content-based restriction on political speech in a public forum, the State must show that "the 'regulation is necessary to serve a compelling state interest and that it is narrowly drawn to achieve that end.'" Boos v. Barry, supra, 485 U.S. at 320. Turning to the appropriate page in Perry, we discover that the statement was supported with a citation of Carey v. Brown, 447 U.S. 455, 461 (1980). Looking at last to Carey, it turns out the Court was making a statement about equal protection:</w:t>
      </w:r>
    </w:p>
    <w:p w:rsidR="00A31137" w:rsidRPr="00A31137" w:rsidRDefault="00A31137" w:rsidP="00A31137">
      <w:r w:rsidRPr="00A31137">
        <w:t>1991, Simon &amp; Schuster v. Crime Victims Bd., 502 U.S. 125</w:t>
      </w:r>
    </w:p>
    <w:p w:rsidR="00A31137" w:rsidRPr="00A31137" w:rsidRDefault="00A31137" w:rsidP="00A31137">
      <w:r w:rsidRPr="00A31137">
        <w:t>When government regulation discriminates among speech-related activities in a public forum, the Equal Protection Clause mandates that the legislation be finely tailored to serve substantial state interests, and the justifications offered for any distinctions it draws must be carefully scrutinized.</w:t>
      </w:r>
    </w:p>
    <w:p w:rsidR="00A31137" w:rsidRPr="00A31137" w:rsidRDefault="00A31137" w:rsidP="00A31137">
      <w:r w:rsidRPr="00A31137">
        <w:t>1991, Simon &amp; Schuster v. Crime Victims Bd., 502 U.S. 125</w:t>
      </w:r>
    </w:p>
    <w:p w:rsidR="00A31137" w:rsidRPr="00A31137" w:rsidRDefault="00A31137" w:rsidP="00A31137">
      <w:r w:rsidRPr="00A31137">
        <w:t xml:space="preserve">Id. at 461-462. Thus was a principle of equal protection transformed into one about the government's power to regulate the content of speech in a public forum, and from this to a more general First Amendment statement about the government's power to regulate the content of speech. [502 U.S. 126] </w:t>
      </w:r>
    </w:p>
    <w:p w:rsidR="00A31137" w:rsidRPr="00A31137" w:rsidRDefault="00A31137" w:rsidP="00A31137">
      <w:r w:rsidRPr="00A31137">
        <w:t>1991, Simon &amp; Schuster v. Crime Victims Bd., 502 U.S. 126</w:t>
      </w:r>
    </w:p>
    <w:p w:rsidR="00A31137" w:rsidRPr="00A31137" w:rsidRDefault="00A31137" w:rsidP="00A31137">
      <w:r w:rsidRPr="00A31137">
        <w:t>The employment of the compelling interest test in the present context is in no way justified by my colleagues' citation of Arkansas Writers' Project v. Ragland. Ante at  118. True, both Ragland and the case on which it relied, Minneapolis Star &amp; Tribune Co. v. Minnesota Comm'r of Revenue, 460 U.S. 575 (1983), recite either the compelling interest test or a close variant, see Ragland, supra, 481 U.S. at 231; Minneapolis Star, supra, 460 U.S. at  585, but neither is a case in which the State regulates speech for its content.</w:t>
      </w:r>
    </w:p>
    <w:p w:rsidR="00A31137" w:rsidRPr="00A31137" w:rsidRDefault="00A31137" w:rsidP="00A31137">
      <w:r w:rsidRPr="00A31137">
        <w:t>1991, Simon &amp; Schuster v. Crime Victims Bd., 502 U.S. 126</w:t>
      </w:r>
    </w:p>
    <w:p w:rsidR="00A31137" w:rsidRPr="00A31137" w:rsidRDefault="00A31137" w:rsidP="00A31137">
      <w:r w:rsidRPr="00A31137">
        <w:t>There are, of course, other cases, some even predating the slow metamorphosis of Carey v. Brown's equal protection analysis into First Amendment law, which apply the compelling interest test, but these authorities also address issues other than content censorship. See Buckley v. Valeo, 424 U.S. 1,  25 (1976) (upholding content-neutral limitations on financial contributions to campaigns for federal office and striking down content-neutral limitations on financial expenditures for such campaigns); Cousins v. Wigoda, 419 U.S. 477, 489 (1975) (content-neutral restriction on freedom of association); NAACP v. Button, 371 U.S. 415,  438 (1963) (content-neutral prohibition on solicitation by lawyers); Shelton v. Tucker, 364 U.S. 479,  488 (1960) (content-neutral statute compelling teachers in state-supported schools or colleges to disclose all organizations to which they belonged or contributed).</w:t>
      </w:r>
    </w:p>
    <w:p w:rsidR="00A31137" w:rsidRPr="00A31137" w:rsidRDefault="00A31137" w:rsidP="00A31137">
      <w:r w:rsidRPr="00A31137">
        <w:t>1991, Simon &amp; Schuster v. Crime Victims Bd., 502 U.S. 126</w:t>
      </w:r>
    </w:p>
    <w:p w:rsidR="00A31137" w:rsidRPr="00A31137" w:rsidRDefault="00A31137" w:rsidP="00A31137">
      <w:r w:rsidRPr="00A31137">
        <w:t>The inapplicability of the compelling interest test to content-based restrictions on speech is demonstrated by our repeated statement that,</w:t>
      </w:r>
    </w:p>
    <w:p w:rsidR="00A31137" w:rsidRPr="00A31137" w:rsidRDefault="00A31137" w:rsidP="00A31137">
      <w:r w:rsidRPr="00A31137">
        <w:t>1991, Simon &amp; Schuster v. Crime Victims Bd., 502 U.S. 126</w:t>
      </w:r>
    </w:p>
    <w:p w:rsidR="00A31137" w:rsidRPr="00A31137" w:rsidRDefault="00A31137" w:rsidP="00A31137">
      <w:r w:rsidRPr="00A31137">
        <w:t>above all else, the First Amendment means that government has no power to restrict expression because of its message, its ideas, its subject matter, or its content.</w:t>
      </w:r>
    </w:p>
    <w:p w:rsidR="00A31137" w:rsidRPr="00A31137" w:rsidRDefault="00A31137" w:rsidP="00A31137">
      <w:r w:rsidRPr="00A31137">
        <w:t>1991, Simon &amp; Schuster v. Crime Victims Bd., 502 U.S. 126</w:t>
      </w:r>
    </w:p>
    <w:p w:rsidR="00A31137" w:rsidRPr="00A31137" w:rsidRDefault="00A31137" w:rsidP="00A31137">
      <w:r w:rsidRPr="00A31137">
        <w:t>Police Dept. of Chicago v. Mosley, 408 U.S. 92, 95 (1972). See also Arkansas Writers' Project, 481 U.S. at 229-230 (citing Mosley); Regan v. Time, Inc., 468 U.S. 641, 648-649 (1984) ("Regulations which permit the Government to discriminate on the basis of the content of the message cannot be tolerated under the First Amendment"). These [502 U.S. 127] general statements about the government's lack of power to engage in content-discrimination reflect a surer basis for protecting speech than does the test used by the Court today.</w:t>
      </w:r>
    </w:p>
    <w:p w:rsidR="00A31137" w:rsidRPr="00A31137" w:rsidRDefault="00A31137" w:rsidP="00A31137">
      <w:r w:rsidRPr="00A31137">
        <w:t>1991, Simon &amp; Schuster v. Crime Victims Bd., 502 U.S. 127</w:t>
      </w:r>
    </w:p>
    <w:p w:rsidR="00A31137" w:rsidRPr="00A31137" w:rsidRDefault="00A31137" w:rsidP="00A31137">
      <w:r w:rsidRPr="00A31137">
        <w:t>There are a few legal categories in which content-based regulation has been permitted or at least contemplated. These include obscenity, see, e.g., Miller v. California, 413 U.S. 15 (1973), defamation, see, e.g., Dun &amp; Bradstreet, Inc. v. Greenmoss Builders, Inc., 472 U.S. 749 (1985), incitement, see, e.g., Brandenburg v. Ohio, 395 U.S. 444 (1969), or situations presenting some grave and imminent danger the government has the power to prevent, see, e.g., Near v. Minnesota, 283 U.S. 697,  716 (1931). These are, however, historic and traditional categories long familiar to the bar, although, with respect to the last category, it is most difficult for the government to prevail. See New York Times Co. v. United States, 403 U.S. 713 (1971). While it cannot be said with certainty that the foregoing types of expression are or will remain the only ones that are without First Amendment protection, as evidenced by the proscription of some visual depictions of sexual conduct by children, see New York v. Ferber, 458 U.S. 747 (1982), the use of these traditional legal categories is preferable to the sort of ad hoc balancing that the Court henceforth must perform in every case if the analysis here used becomes our standard test.</w:t>
      </w:r>
    </w:p>
    <w:p w:rsidR="00A31137" w:rsidRPr="00A31137" w:rsidRDefault="00A31137" w:rsidP="00A31137">
      <w:r w:rsidRPr="00A31137">
        <w:t>1991, Simon &amp; Schuster v. Crime Victims Bd., 502 U.S. 127</w:t>
      </w:r>
    </w:p>
    <w:p w:rsidR="00A31137" w:rsidRPr="00A31137" w:rsidRDefault="00A31137" w:rsidP="00A31137">
      <w:r w:rsidRPr="00A31137">
        <w:t>As a practical matter, perhaps we will interpret the compelling interest test in cases involving content regulation so that the results become parallel to the historic categories I have discussed, although an enterprise such as today's tends not to remain pro forma, but to take on a life of its own. When we leave open the possibility that various sorts of content regulations are appropriate, we discount the value of our precedents and invite experiments that, in fact, present clear violations of the First Amendment, as is true in the case before us.</w:t>
      </w:r>
    </w:p>
    <w:p w:rsidR="00A31137" w:rsidRPr="00A31137" w:rsidRDefault="00A31137" w:rsidP="00A31137">
      <w:r w:rsidRPr="00A31137">
        <w:t>1991, Simon &amp; Schuster v. Crime Victims Bd., 502 U.S. 127</w:t>
      </w:r>
    </w:p>
    <w:p w:rsidR="00A31137" w:rsidRPr="00A31137" w:rsidRDefault="00A31137" w:rsidP="00A31137">
      <w:r w:rsidRPr="00A31137">
        <w:t>To forgo the compelling interest test in cases involving direct content-based burdens on speech would not, of course, [502 U.S. 128] eliminate the need for difficult judgments respecting First Amendment issues. Among the questions we cannot avoid the necessity of deciding are: whether the restricted expression falls within one of the unprotected categories discussed above, supra at 127; whether some other constitutional right is impaired, see Nebraska Press Assn. v. Stuart, 427 U.S. 539 (1976); whether, in the case of a regulation of activity which combines expressive with nonexpressive elements, the regulation aims at the activity or the expression, compare United States v. O'Brien, 391 U.S. 367 (1968), with Texas v. Johnson, 491 U.S. at 406-410; whether the regulation restricts speech itself or only the time, place, or manner of speech, see Ward v. Rock Against Racism, 491 U.S. 781 (1989); and whether the regulation is, in fact, content-based or content-neutral. See Boos v. Barry, 485 U.S. at 319-321. However difficult the lines may be to draw in some cases, here the answer to each of these questions is clear.</w:t>
      </w:r>
    </w:p>
    <w:p w:rsidR="00A31137" w:rsidRPr="00A31137" w:rsidRDefault="00A31137" w:rsidP="00A31137">
      <w:r w:rsidRPr="00A31137">
        <w:t>1991, Simon &amp; Schuster v. Crime Victims Bd., 502 U.S. 128</w:t>
      </w:r>
    </w:p>
    <w:p w:rsidR="00A31137" w:rsidRPr="00A31137" w:rsidRDefault="00A31137" w:rsidP="00A31137">
      <w:r w:rsidRPr="00A31137">
        <w:t>The case before us presents the opportunity to adhere to a surer test for content-based cases and to avoid using an unnecessary formulation, one with the capacity to weaken central protections of the First Amendment. I would recognize this opportunity to confirm our past holdings and to rule that the New York statute amounts to raw censorship based on content, censorship forbidden by the text of the First Amendment and well-settled principles protecting speech and the press. That ought to end the matter.</w:t>
      </w:r>
    </w:p>
    <w:p w:rsidR="00A31137" w:rsidRPr="00A31137" w:rsidRDefault="00A31137" w:rsidP="00A31137">
      <w:r w:rsidRPr="00A31137">
        <w:t>1991, Simon &amp; Schuster v. Crime Victims Bd., 502 U.S. 128</w:t>
      </w:r>
    </w:p>
    <w:p w:rsidR="00A31137" w:rsidRPr="00A31137" w:rsidRDefault="00A31137" w:rsidP="00A31137">
      <w:r w:rsidRPr="00A31137">
        <w:t>With these observations, I concur in the judgment of the Court holding the statute invalid.</w:t>
      </w:r>
    </w:p>
    <w:p w:rsidR="00A31137" w:rsidRPr="00A31137" w:rsidRDefault="00A31137" w:rsidP="00A31137">
      <w:r w:rsidRPr="00A31137">
        <w:t>Footnotes</w:t>
      </w:r>
    </w:p>
    <w:p w:rsidR="00A31137" w:rsidRPr="00A31137" w:rsidRDefault="00A31137" w:rsidP="00A31137">
      <w:r w:rsidRPr="00A31137">
        <w:t>O'CONNOR, J., lead opinion (Footnotes)</w:t>
      </w:r>
    </w:p>
    <w:p w:rsidR="00A31137" w:rsidRPr="00A31137" w:rsidRDefault="00A31137" w:rsidP="00A31137">
      <w:r w:rsidRPr="00A31137">
        <w:t>1991, Simon &amp; Schuster v. Crime Victims Bd., 502 U.S. 128</w:t>
      </w:r>
    </w:p>
    <w:p w:rsidR="00A31137" w:rsidRPr="00A31137" w:rsidRDefault="00A31137" w:rsidP="00A31137">
      <w:r w:rsidRPr="00A31137">
        <w:t>* Because the Son of Sam law is so overinclusive, we need not address the Board's contention that the statute is content-neutral under our decisions in Ward v. Rock Against Racism, 491 U.S. 781 (1989), and Renton v. Playtime Theatres, Inc., 475 U.S. 41 (1986). In these cases, we determined that statutes were content-neutral where they were intended to serve purposes unrelated to the content of the regulated speech, despite their incidental effects on some speakers but not others. Even under Ward and Renton, however, regulations must be "narrowly tailored" to advance the interest asserted by the State. Ward, supra, 491 U.S. at  798; Renton, supra, 475 U.S. at 52. A regulation is not "narrowly tailored"—even under the more lenient tailoring standards applied in Ward and Renton—where, as here, "a substantial portion of the burden on speech does not serve to advance [the State's content-neutral] goals." Ward, supra, 491 U.S. at  799. Thus, whether the Son of Sam is analyzed as content-neutral under Ward or content-based under Leathers, it is too overinclusive to satisfy the requirements of the First Amendment. And, in light of our conclusion in this case, we need not decide whether, as JUSTICE BLACKMUN suggests, the Son of Sam law is under-inclusive s well as overinclusive. Nor does this case present a need to address JUSTICE KENNEDY's discussion of what is a longstanding debate, see G. Gunther, Constitutional Law 1069-1070 (12th ed. 1991), on an issue which the parties before us have neither briefed nor argued.</w:t>
      </w:r>
    </w:p>
    <w:p w:rsidR="00A31137" w:rsidRPr="00A31137" w:rsidRDefault="00A31137" w:rsidP="00A31137">
      <w:r w:rsidRPr="00A31137">
        <w:t>Wyoming v. Oklahoma, 1992</w:t>
      </w:r>
    </w:p>
    <w:p w:rsidR="00A31137" w:rsidRPr="00A31137" w:rsidRDefault="00A31137" w:rsidP="00A31137">
      <w:r w:rsidRPr="00A31137">
        <w:t>Title:</w:t>
      </w:r>
      <w:r w:rsidRPr="00A31137">
        <w:tab/>
        <w:t>Wyoming v. Oklahoma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January 22, 1992</w:t>
      </w:r>
    </w:p>
    <w:p w:rsidR="00A31137" w:rsidRPr="00A31137" w:rsidRDefault="00A31137" w:rsidP="00A31137">
      <w:r w:rsidRPr="00A31137">
        <w:t>Source:</w:t>
      </w:r>
      <w:r w:rsidRPr="00A31137">
        <w:tab/>
        <w:t>502 U.S. 437</w:t>
      </w:r>
    </w:p>
    <w:p w:rsidR="00A31137" w:rsidRPr="00A31137" w:rsidRDefault="00A31137" w:rsidP="00A31137">
      <w:r w:rsidRPr="00A31137">
        <w:t>This case was argued November 4, 1991, and was decided January 22, 1992.</w:t>
      </w:r>
    </w:p>
    <w:p w:rsidR="00A31137" w:rsidRPr="00A31137" w:rsidRDefault="00A31137" w:rsidP="00A31137">
      <w:r w:rsidRPr="00A31137">
        <w:t>ON EXCEPTIONS TO REPORT OF SPECIAL MASTER</w:t>
      </w:r>
    </w:p>
    <w:p w:rsidR="00A31137" w:rsidRPr="00A31137" w:rsidRDefault="00A31137" w:rsidP="00A31137">
      <w:r w:rsidRPr="00A31137">
        <w:t>Syllabus</w:t>
      </w:r>
    </w:p>
    <w:p w:rsidR="00A31137" w:rsidRPr="00A31137" w:rsidRDefault="00A31137" w:rsidP="00A31137">
      <w:r w:rsidRPr="00A31137">
        <w:t>1992, Wyoming v. Oklahoma, 502 U.S. 437</w:t>
      </w:r>
    </w:p>
    <w:p w:rsidR="00A31137" w:rsidRPr="00A31137" w:rsidRDefault="00A31137" w:rsidP="00A31137">
      <w:r w:rsidRPr="00A31137">
        <w:t>Wyoming, a major coal-producing State, does not sell coal, but does impose a severance tax on those who extract it. From 1981 to 1986, Wyoming provided virtually 100% of the coal purchased by four Oklahoma electric utilities, including the Grand River Dam Authority (GRDA), a state agency. However, after the Oklahoma Legislature passed an Act requiring coal-fired electric utilities to burn a mixture containing at least 10 Oklahoma-mined coal, the utilities reduced their purchases of Wyoming coal in favor of Oklahoma coal, and Wyoming's severance tax revenues declined. Wyoming sought leave to file a complaint under this Court's original jurisdiction, seeking a declaration that the Act violates the Commerce Clause and an injunction permanently enjoining the Act's enforcement. The motion was granted over Oklahoma's objections that Wyoming lacked standing to bring the action, and should otherwise not be permitted to invoke original jurisdiction. Oklahoma's subsequently filed motion to dismiss, which raised the same issues, also was denied. After a Special Master was appointed, the States filed cross-motions for summary judgment, with Oklahoma once again asserting the standing and appropriateness issues. The Special Master filed a Report recommending that this Court hold that Wyoming has standing to sue, that this case is appropriate to original jurisdiction, and that the Act violates the Commerce Clause. It also recommended that the Court either dismiss the suit as it relates to the GRDA without prejudice to Wyoming to assert its claim in an appropriate forum, or, alternatively, find the Act severable to the extent that it may constitutionally be applied to the GRDA. Both States have filed exceptions.</w:t>
      </w:r>
    </w:p>
    <w:p w:rsidR="00A31137" w:rsidRPr="00A31137" w:rsidRDefault="00A31137" w:rsidP="00A31137">
      <w:r w:rsidRPr="00A31137">
        <w:t>1992, Wyoming v. Oklahoma, 502 U.S. 437</w:t>
      </w:r>
    </w:p>
    <w:p w:rsidR="00A31137" w:rsidRPr="00A31137" w:rsidRDefault="00A31137" w:rsidP="00A31137">
      <w:r w:rsidRPr="00A31137">
        <w:t>Held:</w:t>
      </w:r>
    </w:p>
    <w:p w:rsidR="00A31137" w:rsidRPr="00A31137" w:rsidRDefault="00A31137" w:rsidP="00A31137">
      <w:r w:rsidRPr="00A31137">
        <w:t>1992, Wyoming v. Oklahoma, 502 U.S. 437</w:t>
      </w:r>
    </w:p>
    <w:p w:rsidR="00A31137" w:rsidRPr="00A31137" w:rsidRDefault="00A31137" w:rsidP="00A31137">
      <w:r w:rsidRPr="00A31137">
        <w:t>1. Wyoming has standing. The prior rulings on standing in this case</w:t>
      </w:r>
    </w:p>
    <w:p w:rsidR="00A31137" w:rsidRPr="00A31137" w:rsidRDefault="00A31137" w:rsidP="00A31137">
      <w:r w:rsidRPr="00A31137">
        <w:t>1992, Wyoming v. Oklahoma, 502 U.S. 437</w:t>
      </w:r>
    </w:p>
    <w:p w:rsidR="00A31137" w:rsidRPr="00A31137" w:rsidRDefault="00A31137" w:rsidP="00A31137">
      <w:r w:rsidRPr="00A31137">
        <w:t>should be subject to the general principles of finality and repose, absent changed circumstances or unforeseen issues not previously litigated.</w:t>
      </w:r>
    </w:p>
    <w:p w:rsidR="00A31137" w:rsidRPr="00A31137" w:rsidRDefault="00A31137" w:rsidP="00A31137">
      <w:r w:rsidRPr="00A31137">
        <w:t>1992, Wyoming v. Oklahoma, 502 U.S. 437</w:t>
      </w:r>
    </w:p>
    <w:p w:rsidR="00A31137" w:rsidRPr="00A31137" w:rsidRDefault="00A31137" w:rsidP="00A31137">
      <w:r w:rsidRPr="00A31137">
        <w:t>Arizona v. California, 460 U.S. 605, 619. Oklahoma has never suggested any change of circumstances, but has recited the same facts, cited the same cases, and constructed the same arguments in each of its briefs. Moreover, Wyoming's submission satisfies the test for standing, since the State's loss of severance tax revenues fairly can be traced to the Act. See Maryland v. Louisiana, 451 U.S. 725, 736. Cases where standing has been denied to States claiming general declines in tax revenues [502 U.S. 438] due to federal agency actions, see, e.g., Pennsylvania v. Kleppe, 533 F.2d 668, do not involve a direct injury in the form of a loss of specific tax revenues, and thus are not analogous to this case. And the type of direct injury suffered by Wyoming is cognizable in a Commerce Clause action, since Wyoming's severance tax revenues are directly linked to its coal's extraction and sale, and have been demonstrably affected by the Act. See Hunt v. Washington Apple Advertising Comm'n, 432 U.S. 333,  345. Oklahoma v. A. T. &amp; S.F.R. Co., 220 U.S. 277, 287-289; Louisiana v. Texas, 176 U.S. 1, 16-22 distinguished. Pp.  446-450.</w:t>
      </w:r>
    </w:p>
    <w:p w:rsidR="00A31137" w:rsidRPr="00A31137" w:rsidRDefault="00A31137" w:rsidP="00A31137">
      <w:r w:rsidRPr="00A31137">
        <w:t>1992, Wyoming v. Oklahoma, 502 U.S. 438</w:t>
      </w:r>
    </w:p>
    <w:p w:rsidR="00A31137" w:rsidRPr="00A31137" w:rsidRDefault="00A31137" w:rsidP="00A31137">
      <w:r w:rsidRPr="00A31137">
        <w:t>2. This is an appropriate case for the exercise of this Court's original jurisdiction. Wyoming's Commerce Clause challenge "implicates serious and important concerns of federalism" in accord with the purpose and reach of original jurisdiction. Maryland v. Louisiana, supra, at 744. In addition, there is no other forum in which Wyoming's interests will find appropriate hearing and full relief. There is no pending action to which adjudication could be deferred on this issue, since the mining companies themselves have not brought suit. Even if such an action were proceeding, Wyoming's interests would not be directly represented. See Maryland v. Louisiana, supra, at 743. Oklahoma's suggestion that Wyoming's interest is de minimis because the loss in severance tax revenues attributable to the Act is less than 1 of total taxes collected is rejected. Wyoming coal is a natural resource of great value primarily carried into other States for use, and Wyoming derives significant revenue from this interstate movement. The Act's practical effect must be evaluated not only by considering the consequences of the Act itself, but also by considering what effect would arise if many States or every State adopted similar legislation. Healy v. Beer Inst., Inc., 491 U.S. 324, 336. Pp.  450-454.</w:t>
      </w:r>
    </w:p>
    <w:p w:rsidR="00A31137" w:rsidRPr="00A31137" w:rsidRDefault="00A31137" w:rsidP="00A31137">
      <w:r w:rsidRPr="00A31137">
        <w:t>1992, Wyoming v. Oklahoma, 502 U.S. 438</w:t>
      </w:r>
    </w:p>
    <w:p w:rsidR="00A31137" w:rsidRPr="00A31137" w:rsidRDefault="00A31137" w:rsidP="00A31137">
      <w:r w:rsidRPr="00A31137">
        <w:t>3. The Act is invalid under the Commerce Clause because it discriminates against interstate commerce and Oklahoma has advanced no purposes to justify such discrimination. The Act purports to exclude coal mined from other States based solely on its origin and, thus, discriminates both on its face and in practical effect. The small volume of commerce affected by the Act measures only the extent of the discrimination, but is not relevant in determining whether there has been discrimination. Additionally, Oklahoma has not justified the discrimination in terms of the Act's local benefits and the unavailability of nondiscriminatory alternatives adequate to preserve those interests. Its argument that sustaining the Oklahoma coal-mining industry lessens the State's reliance on a single source of coal delivered over a single rail line is foreclosed by the reasoning in Baldwin v. G.A.F. Seelig, Inc., 294 U.S. 511, and H.P. Hood &amp; Sons, Inc. v. Du Mond, 336 U.S. 525. [502 U.S. 439] Also rejected is its contention that restricting the purchase of Wyoming's cleaner coal now conserves that coal for future use, since Wyoming will have coal for several hundred years at current extraction rates, and since the argument, raised for the first time in Oklahoma's brief on the merits, is not supported by the record. Nor does the Federal Power Act's saving clause—which reserves to the States the regulation of local retail electric rates—exempt the Act from scrutiny under the Commerce Clause. There is nothing in the Federal Act or legislative history evincing a congressional intent to approve the violation of the Clause that Oklahoma seeks to justify, and this Court's decisions have uniformly subjected Commerce Clause cases implicating the Federal Power Act to scrutiny on the merits. See, e.g., New England Power Co. v. New Hampshire, 455 U.S. 331. Pp.  454-459.</w:t>
      </w:r>
    </w:p>
    <w:p w:rsidR="00A31137" w:rsidRPr="00A31137" w:rsidRDefault="00A31137" w:rsidP="00A31137">
      <w:r w:rsidRPr="00A31137">
        <w:t>1992, Wyoming v. Oklahoma, 502 U.S. 439</w:t>
      </w:r>
    </w:p>
    <w:p w:rsidR="00A31137" w:rsidRPr="00A31137" w:rsidRDefault="00A31137" w:rsidP="00A31137">
      <w:r w:rsidRPr="00A31137">
        <w:t>4. No portion of the Act is severable as to any entity touched by its mandate. This Court is the proper forum to decide issues necessary to afford Wyoming complete relief, cf. Dorchy v. Kansas, 264 U.S. 286, 291, and therefore the Special Master erred in recommending that the action against the GRDA be dismissed on the ground that the determination of severability is one of state law. The Special Master also erred in finding, in the alternative, the Act severable as to the GRDA. There are no parts or separate provisions in the invalid section of the Act, which applies to "all entities" providing electric power. Thus, nothing remains to be saved once that provision is stricken, and the Act must stand or fall as a whole. Nor does the evidence support Oklahoma's argument that its legislature intended the term "all entities" to include only "the GRDA" or "state-owned" utilities. Pp.  459-461.</w:t>
      </w:r>
    </w:p>
    <w:p w:rsidR="00A31137" w:rsidRPr="00A31137" w:rsidRDefault="00A31137" w:rsidP="00A31137">
      <w:r w:rsidRPr="00A31137">
        <w:t>1992, Wyoming v. Oklahoma, 502 U.S. 439</w:t>
      </w:r>
    </w:p>
    <w:p w:rsidR="00A31137" w:rsidRPr="00A31137" w:rsidRDefault="00A31137" w:rsidP="00A31137">
      <w:r w:rsidRPr="00A31137">
        <w:t>5. Jurisdiction over this case is retained in the event that further proceedings are required to implement the judgment. P.  461.</w:t>
      </w:r>
    </w:p>
    <w:p w:rsidR="00A31137" w:rsidRPr="00A31137" w:rsidRDefault="00A31137" w:rsidP="00A31137">
      <w:r w:rsidRPr="00A31137">
        <w:t>1992, Wyoming v. Oklahoma, 502 U.S. 439</w:t>
      </w:r>
    </w:p>
    <w:p w:rsidR="00A31137" w:rsidRPr="00A31137" w:rsidRDefault="00A31137" w:rsidP="00A31137">
      <w:r w:rsidRPr="00A31137">
        <w:t>Recommendations of Special Master adopted in part; exceptions of Wyoming sustained and exceptions of Oklahoma rejected; motion of Wyoming for summary judgment granted and motion of Oklahoma for summary judgment denied.</w:t>
      </w:r>
    </w:p>
    <w:p w:rsidR="00A31137" w:rsidRPr="00A31137" w:rsidRDefault="00A31137" w:rsidP="00A31137">
      <w:r w:rsidRPr="00A31137">
        <w:t>1992, Wyoming v. Oklahoma, 502 U.S. 439</w:t>
      </w:r>
    </w:p>
    <w:p w:rsidR="00A31137" w:rsidRPr="00A31137" w:rsidRDefault="00A31137" w:rsidP="00A31137">
      <w:r w:rsidRPr="00A31137">
        <w:t xml:space="preserve">WHITE, J., delivered the opinion of the Court, in which BLACKMUN, STEVENS, O'CONNOR, KENNEDY, and SOUTER, JJ., joined. SCALIA, J., filed a dissenting opinion, in which REHNQUIST, C.J., and THOMAS, J., joined, post, p.  461. THOMAS, J., filed a dissenting opinion, in which REHNQUIST, C.J., and SCALIA, J., joined, post, p.  473. [502 U.S. 440] </w:t>
      </w:r>
    </w:p>
    <w:p w:rsidR="00A31137" w:rsidRPr="00A31137" w:rsidRDefault="00A31137" w:rsidP="00A31137">
      <w:r w:rsidRPr="00A31137">
        <w:t>WHITE, J., lead opinion</w:t>
      </w:r>
    </w:p>
    <w:p w:rsidR="00A31137" w:rsidRPr="00A31137" w:rsidRDefault="00A31137" w:rsidP="00A31137">
      <w:r w:rsidRPr="00A31137">
        <w:t>1992, Wyoming v. Oklahoma, 502 U.S. 440</w:t>
      </w:r>
    </w:p>
    <w:p w:rsidR="00A31137" w:rsidRPr="00A31137" w:rsidRDefault="00A31137" w:rsidP="00A31137">
      <w:r w:rsidRPr="00A31137">
        <w:t>JUSTICE WHITE delivered the opinion of the Court.</w:t>
      </w:r>
    </w:p>
    <w:p w:rsidR="00A31137" w:rsidRPr="00A31137" w:rsidRDefault="00A31137" w:rsidP="00A31137">
      <w:r w:rsidRPr="00A31137">
        <w:t>1992, Wyoming v. Oklahoma, 502 U.S. 440</w:t>
      </w:r>
    </w:p>
    <w:p w:rsidR="00A31137" w:rsidRPr="00A31137" w:rsidRDefault="00A31137" w:rsidP="00A31137">
      <w:r w:rsidRPr="00A31137">
        <w:t>On April 14, 1988, Wyoming submitted a motion for leave to file a complaint under this Court's original jurisdiction provided by Art. III, § 2, of the Constitution. The complaint challenged Okla.Stat., Tit. 45, §§ 939 and 939. 1 (Supp.1988) (the Act), which requires Oklahoma coal-fired electric generating plants producing power for sale in Oklahoma to burn a mixture of coal containing at least 10% Oklahoma-mined coal. Wyoming sought a declaration that the Act violates the Commerce Clause, U.S.Const., Art. I, § 8, cl. 3, and an injunction [502 U.S. 441] permanently enjoining enforcement of the Act. On June 30, 1988, we granted Wyoming leave to file its bill of complaint over Oklahoma's objections that Wyoming lacked standing to bring this action and, in any event, should not be permitted to invoke this Court's original jurisdiction. 487 U.S. 1231. Oklahoma next filed a motion to dismiss on August 29, 1988, raising these same arguments. We denied the motion to dismiss on October 31, 1988, and ordered Oklahoma to answer Wyoming's complaint within 30 days. 488 U.S. 921. We thereafter appointed the Special Master, 489 U.S. 1063 (1989), who ordered the parties to complete discovery and to file a stipulation of uncontested facts, any affidavits believed to be necessary, and a short statement of any disputed issues of material fact that may require a hearing. The parties complied, and each moved for summary judgment. Wyoming argued that the Act is a per se violation of the Commerce Clause. Oklahoma reasserted its arguments on standing and the appropriateness of this Court's exercise of original jurisdiction, submitting as well that the Act was constitutional.</w:t>
      </w:r>
    </w:p>
    <w:p w:rsidR="00A31137" w:rsidRPr="00A31137" w:rsidRDefault="00A31137" w:rsidP="00A31137">
      <w:r w:rsidRPr="00A31137">
        <w:t>1992, Wyoming v. Oklahoma, 502 U.S. 441</w:t>
      </w:r>
    </w:p>
    <w:p w:rsidR="00A31137" w:rsidRPr="00A31137" w:rsidRDefault="00A31137" w:rsidP="00A31137">
      <w:r w:rsidRPr="00A31137">
        <w:t>The Report of the Special Master was received and ordered filed on October 1, 1990. 498 U.S. 803. Based on the record before him, the Special Master recommended findings of fact, to which the parties do not object, and conclusions of law generally supporting Wyoming's motion for summary judgment and rejecting Oklahoma's motion for summary judgment. More specifically, the Report recommends that we hold, first, that Wyoming has standing to sue and that this case is appropriate to our original jurisdiction, and second, that the Act discriminates against interstate commerce on its face and in practical effect, that this discrimination is not justified by any purpose advanced by Oklahoma, and that the Act therefore violates the Commerce Clause. The Report also recommends that the Court either dismiss the action as it relates to an Oklahoma-owned utility without prejudice to Wyoming to assert its claim in an appropriate forum [502 U.S. 442] or, alternatively, find the Act severable to the extent it may constitutionally be applied to that utility.</w:t>
      </w:r>
    </w:p>
    <w:p w:rsidR="00A31137" w:rsidRPr="00A31137" w:rsidRDefault="00A31137" w:rsidP="00A31137">
      <w:r w:rsidRPr="00A31137">
        <w:t>1992, Wyoming v. Oklahoma, 502 U.S. 442</w:t>
      </w:r>
    </w:p>
    <w:p w:rsidR="00A31137" w:rsidRPr="00A31137" w:rsidRDefault="00A31137" w:rsidP="00A31137">
      <w:r w:rsidRPr="00A31137">
        <w:t>Subsequently, the parties requested the Court to enter a stipulated decree adopting the Special Master's Report and containing conclusions of law. 2 If the decree was to rule on the constitutionality of the Act, however, we preferred to have that issue briefed and argued, and the case was set down for oral argument. 501 U.S. 1215 (1991). We now adopt the Special Master's recommended findings of fact, and, with one exception, his recommended conclusions of law.</w:t>
      </w:r>
    </w:p>
    <w:p w:rsidR="00A31137" w:rsidRPr="00A31137" w:rsidRDefault="00A31137" w:rsidP="00A31137">
      <w:r w:rsidRPr="00A31137">
        <w:t>I</w:t>
      </w:r>
    </w:p>
    <w:p w:rsidR="00A31137" w:rsidRPr="00A31137" w:rsidRDefault="00A31137" w:rsidP="00A31137">
      <w:r w:rsidRPr="00A31137">
        <w:t>1992, Wyoming v. Oklahoma, 502 U.S. 442</w:t>
      </w:r>
    </w:p>
    <w:p w:rsidR="00A31137" w:rsidRPr="00A31137" w:rsidRDefault="00A31137" w:rsidP="00A31137">
      <w:r w:rsidRPr="00A31137">
        <w:t>The salient facts, gathered from those recommended by the Special Master and from other materials in the record, are as follows.</w:t>
      </w:r>
    </w:p>
    <w:p w:rsidR="00A31137" w:rsidRPr="00A31137" w:rsidRDefault="00A31137" w:rsidP="00A31137">
      <w:r w:rsidRPr="00A31137">
        <w:t>1992, Wyoming v. Oklahoma, 502 U.S. 442</w:t>
      </w:r>
    </w:p>
    <w:p w:rsidR="00A31137" w:rsidRPr="00A31137" w:rsidRDefault="00A31137" w:rsidP="00A31137">
      <w:r w:rsidRPr="00A31137">
        <w:t>Wyoming is a major coal-producing State, and in 1988 shipped coal to 19 other States. 3 While the State of Wyoming does not itself sell coal, it does impose a severance tax upon the privilege of severing or extracting coal from land within its boundaries. Wyo.Stat. §§ 39301 to 39308 (1990 and Supp.1991). The tax is assessed against the person or company extracting the coal and is payable when the coal is extracted. The valuation of the coal for severance tax purposes is based on its fair market value. Wyoming has collected severance taxes on coal extracted by eight [502 U.S. 443] mining companies that sell coal to four Oklahoma electric utilities.</w:t>
      </w:r>
    </w:p>
    <w:p w:rsidR="00A31137" w:rsidRPr="00A31137" w:rsidRDefault="00A31137" w:rsidP="00A31137">
      <w:r w:rsidRPr="00A31137">
        <w:t>1992, Wyoming v. Oklahoma, 502 U.S. 443</w:t>
      </w:r>
    </w:p>
    <w:p w:rsidR="00A31137" w:rsidRPr="00A31137" w:rsidRDefault="00A31137" w:rsidP="00A31137">
      <w:r w:rsidRPr="00A31137">
        <w:t>The Fortieth Oklahoma Legislature, at its session in June, 1985, adopted a concurrent resolution</w:t>
      </w:r>
    </w:p>
    <w:p w:rsidR="00A31137" w:rsidRPr="00A31137" w:rsidRDefault="00A31137" w:rsidP="00A31137">
      <w:r w:rsidRPr="00A31137">
        <w:t>1992, Wyoming v. Oklahoma, 502 U.S. 443</w:t>
      </w:r>
    </w:p>
    <w:p w:rsidR="00A31137" w:rsidRPr="00A31137" w:rsidRDefault="00A31137" w:rsidP="00A31137">
      <w:r w:rsidRPr="00A31137">
        <w:t>requesting Oklahoma utility companies using coal-fired generating plants to consider plans to blend ten percent Oklahoma coal with their present use of Wyoming coal; effecting a result of keeping a portion of ratepayer dollars in Oklahoma and promoting economic development.</w:t>
      </w:r>
    </w:p>
    <w:p w:rsidR="00A31137" w:rsidRPr="00A31137" w:rsidRDefault="00A31137" w:rsidP="00A31137">
      <w:r w:rsidRPr="00A31137">
        <w:t>1992, Wyoming v. Oklahoma, 502 U.S. 443</w:t>
      </w:r>
    </w:p>
    <w:p w:rsidR="00A31137" w:rsidRPr="00A31137" w:rsidRDefault="00A31137" w:rsidP="00A31137">
      <w:r w:rsidRPr="00A31137">
        <w:t>Okla.S.Res. 21, 40th Leg., 1985 Okla.Sess.Laws 1694 (hereinafter Res. 21). The recitals and resolutions in relevant part stated:</w:t>
      </w:r>
    </w:p>
    <w:p w:rsidR="00A31137" w:rsidRPr="00A31137" w:rsidRDefault="00A31137" w:rsidP="00A31137">
      <w:r w:rsidRPr="00A31137">
        <w:t>1992, Wyoming v. Oklahoma, 502 U.S. 443</w:t>
      </w:r>
    </w:p>
    <w:p w:rsidR="00A31137" w:rsidRPr="00A31137" w:rsidRDefault="00A31137" w:rsidP="00A31137">
      <w:r w:rsidRPr="00A31137">
        <w:t>WHEREAS, the use of Oklahoma coal would save significant freight charges on out-of-state coal from the State of Wyoming; and</w:t>
      </w:r>
    </w:p>
    <w:p w:rsidR="00A31137" w:rsidRPr="00A31137" w:rsidRDefault="00A31137" w:rsidP="00A31137">
      <w:r w:rsidRPr="00A31137">
        <w:t>1992, Wyoming v. Oklahoma, 502 U.S. 443</w:t>
      </w:r>
    </w:p>
    <w:p w:rsidR="00A31137" w:rsidRPr="00A31137" w:rsidRDefault="00A31137" w:rsidP="00A31137">
      <w:r w:rsidRPr="00A31137">
        <w:t>WHEREAS, the savings on such freight charges could offset any possible costs associated with plant adjustments; and</w:t>
      </w:r>
    </w:p>
    <w:p w:rsidR="00A31137" w:rsidRPr="00A31137" w:rsidRDefault="00A31137" w:rsidP="00A31137">
      <w:r w:rsidRPr="00A31137">
        <w:t>1992, Wyoming v. Oklahoma, 502 U.S. 443</w:t>
      </w:r>
    </w:p>
    <w:p w:rsidR="00A31137" w:rsidRPr="00A31137" w:rsidRDefault="00A31137" w:rsidP="00A31137">
      <w:r w:rsidRPr="00A31137">
        <w:t>WHEREAS, the coal-fired electric plants being used by Oklahoma utilities are exclusively using Wyoming coal; and</w:t>
      </w:r>
    </w:p>
    <w:p w:rsidR="00A31137" w:rsidRPr="00A31137" w:rsidRDefault="00A31137" w:rsidP="00A31137">
      <w:r w:rsidRPr="00A31137">
        <w:t>1992, Wyoming v. Oklahoma, 502 U.S. 443</w:t>
      </w:r>
    </w:p>
    <w:p w:rsidR="00A31137" w:rsidRPr="00A31137" w:rsidRDefault="00A31137" w:rsidP="00A31137">
      <w:r w:rsidRPr="00A31137">
        <w:t>WHEREAS, the Oklahoma ratepayers are paying $300 million annually for Wyoming coal; and</w:t>
      </w:r>
    </w:p>
    <w:p w:rsidR="00A31137" w:rsidRPr="00A31137" w:rsidRDefault="00A31137" w:rsidP="00A31137">
      <w:r w:rsidRPr="00A31137">
        <w:t>1992, Wyoming v. Oklahoma, 502 U.S. 443</w:t>
      </w:r>
    </w:p>
    <w:p w:rsidR="00A31137" w:rsidRPr="00A31137" w:rsidRDefault="00A31137" w:rsidP="00A31137">
      <w:r w:rsidRPr="00A31137">
        <w:t>WHEREAS, a 1982 Ozark Council Report states that $9 million of the ratepayers dollars was paid as severance tax to the State of Wyoming….</w:t>
      </w:r>
    </w:p>
    <w:p w:rsidR="00A31137" w:rsidRPr="00A31137" w:rsidRDefault="00A31137" w:rsidP="00A31137">
      <w:r w:rsidRPr="00A31137">
        <w:t>1992, Wyoming v. Oklahoma, 502 U.S. 443</w:t>
      </w:r>
    </w:p>
    <w:p w:rsidR="00A31137" w:rsidRPr="00A31137" w:rsidRDefault="00A31137" w:rsidP="00A31137">
      <w:r w:rsidRPr="00A31137">
        <w:t>NOW, THEREFORE, BE IT RESOLVED…:</w:t>
      </w:r>
    </w:p>
    <w:p w:rsidR="00A31137" w:rsidRPr="00A31137" w:rsidRDefault="00A31137" w:rsidP="00A31137">
      <w:r w:rsidRPr="00A31137">
        <w:t>1992, Wyoming v. Oklahoma, 502 U.S. 443</w:t>
      </w:r>
    </w:p>
    <w:p w:rsidR="00A31137" w:rsidRPr="00A31137" w:rsidRDefault="00A31137" w:rsidP="00A31137">
      <w:r w:rsidRPr="00A31137">
        <w:t>THAT Oklahoma utilities using coal-fired generating plants seriously consider using a blend of at least ten percent Oklahoma coal with Wyoming coal and continue to meet air quality standards.</w:t>
      </w:r>
    </w:p>
    <w:p w:rsidR="00A31137" w:rsidRPr="00A31137" w:rsidRDefault="00A31137" w:rsidP="00A31137">
      <w:r w:rsidRPr="00A31137">
        <w:t>1992, Wyoming v. Oklahoma, 502 U.S. 443</w:t>
      </w:r>
    </w:p>
    <w:p w:rsidR="00A31137" w:rsidRPr="00A31137" w:rsidRDefault="00A31137" w:rsidP="00A31137">
      <w:r w:rsidRPr="00A31137">
        <w:t xml:space="preserve">THAT the result of such a blend would assure at least a portion of the ratepayer dollars remaining in Oklahoma and enhancing the economy of the State of Oklahoma. [502 U.S. 444] </w:t>
      </w:r>
    </w:p>
    <w:p w:rsidR="00A31137" w:rsidRPr="00A31137" w:rsidRDefault="00A31137" w:rsidP="00A31137">
      <w:r w:rsidRPr="00A31137">
        <w:t>1992, Wyoming v. Oklahoma, 502 U.S. 444</w:t>
      </w:r>
    </w:p>
    <w:p w:rsidR="00A31137" w:rsidRPr="00A31137" w:rsidRDefault="00A31137" w:rsidP="00A31137">
      <w:r w:rsidRPr="00A31137">
        <w:t>The four Oklahoma electric utilities subject to the requirements of the Act are Oklahoma Gas and Electric Company, Public Service Company of Oklahoma, and Western Farmers Electric Cooperative, all privately owned, and the Grand River Dam Authority (GRDA), an agency of the State of Oklahoma. None of these four heeded this precatory resolution. At its second session, the Fortieth Legislature adopted the Act challenged in this case, thus mandating the 10% minimum purchases that the previous resolution had requested. Fifteen months after the effective date of the Act, facing substantially less than full compliance by any of the utilities, 4 the next Oklahoma Legislature adopted a concurrent resolution directing the GRDA, Oklahoma's state-owned public utility, to comply with the Act. Okla.S.Res. 82, 41st Leg., 1988 Okla.Sess.Laws 1915. 5</w:t>
      </w:r>
    </w:p>
    <w:p w:rsidR="00A31137" w:rsidRPr="00A31137" w:rsidRDefault="00A31137" w:rsidP="00A31137">
      <w:r w:rsidRPr="00A31137">
        <w:t>1992, Wyoming v. Oklahoma, 502 U.S. 444</w:t>
      </w:r>
    </w:p>
    <w:p w:rsidR="00A31137" w:rsidRPr="00A31137" w:rsidRDefault="00A31137" w:rsidP="00A31137">
      <w:r w:rsidRPr="00A31137">
        <w:t>Charts set out in the Special Master's Report show the percentages of each utility's purchases of Oklahoma-mined coal and Wyoming-mined coal on an annual basis from 1981 [502 U.S. 445] through the first four months of 1989. See Report of Special Master 7-8. Those charts reveal that, during the years 1981 through 1984, the four Oklahoma utilities purchased virtually 100 of their coal requirements from Wyoming sources. These purchases decreased slightly, if at all, in 1985 and 1986 following the adoption of the original concurrent resolution. After January 1, 1987, the effective date of the Act, these utilities reduced their purchases of Wyoming coal in favor of coal mined in Oklahoma.</w:t>
      </w:r>
    </w:p>
    <w:p w:rsidR="00A31137" w:rsidRPr="00A31137" w:rsidRDefault="00A31137" w:rsidP="00A31137">
      <w:r w:rsidRPr="00A31137">
        <w:t>1992, Wyoming v. Oklahoma, 502 U.S. 445</w:t>
      </w:r>
    </w:p>
    <w:p w:rsidR="00A31137" w:rsidRPr="00A31137" w:rsidRDefault="00A31137" w:rsidP="00A31137">
      <w:r w:rsidRPr="00A31137">
        <w:t>Unrebutted evidence demonstrates that, since the effective date of the Act, Wyoming lost severance taxes in the amounts of $535,886 in 1987, $542,352 in 1988, and $87,130 in the first four months of 1989. 6 These estimates are based on an equivalence of BTU (British Thermal Unit) ratings, thus accounting for the hotter-burning propensities of Oklahoma coal. 7 Other unrebutted submissions confirm that Wyoming has a significant excess mining capacity, such that [502 U.S. 446] the loss of any market cannot be made up by sales elsewhere, where Wyoming's supply has already risen to meet demand. 8</w:t>
      </w:r>
    </w:p>
    <w:p w:rsidR="00A31137" w:rsidRPr="00A31137" w:rsidRDefault="00A31137" w:rsidP="00A31137">
      <w:r w:rsidRPr="00A31137">
        <w:t>II</w:t>
      </w:r>
    </w:p>
    <w:p w:rsidR="00A31137" w:rsidRPr="00A31137" w:rsidRDefault="00A31137" w:rsidP="00A31137">
      <w:r w:rsidRPr="00A31137">
        <w:t>1992, Wyoming v. Oklahoma, 502 U.S. 446</w:t>
      </w:r>
    </w:p>
    <w:p w:rsidR="00A31137" w:rsidRPr="00A31137" w:rsidRDefault="00A31137" w:rsidP="00A31137">
      <w:r w:rsidRPr="00A31137">
        <w:t>In its motion for summary judgment before the Special Master, Oklahoma again challenged Wyoming's standing, and now excepts to the Special Master's recommendation that we reject Oklahoma's submission in this respect. Having granted Wyoming leave to file its complaint over Oklahoma's objection to standing, and having denied Oklahoma's motion to dismiss for want of standing, and the parties having submitted the case on cross-motions for summary judgment, we are not at all inclined to dismiss the action at this juncture. Although we have been reluctant to import wholesale law-of-the-case principles into original actions, Arizona v. California, 460 U.S. 605, 618-619 (1983), prior rulings in such cases</w:t>
      </w:r>
    </w:p>
    <w:p w:rsidR="00A31137" w:rsidRPr="00A31137" w:rsidRDefault="00A31137" w:rsidP="00A31137">
      <w:r w:rsidRPr="00A31137">
        <w:t>1992, Wyoming v. Oklahoma, 502 U.S. 446</w:t>
      </w:r>
    </w:p>
    <w:p w:rsidR="00A31137" w:rsidRPr="00A31137" w:rsidRDefault="00A31137" w:rsidP="00A31137">
      <w:r w:rsidRPr="00A31137">
        <w:t>should be subject to the general principles of finality and repose, absent changed circumstances or unforeseen issues not previously litigated.</w:t>
      </w:r>
    </w:p>
    <w:p w:rsidR="00A31137" w:rsidRPr="00A31137" w:rsidRDefault="00A31137" w:rsidP="00A31137">
      <w:r w:rsidRPr="00A31137">
        <w:t>1992, Wyoming v. Oklahoma, 502 U.S. 446</w:t>
      </w:r>
    </w:p>
    <w:p w:rsidR="00A31137" w:rsidRPr="00A31137" w:rsidRDefault="00A31137" w:rsidP="00A31137">
      <w:r w:rsidRPr="00A31137">
        <w:t xml:space="preserve">Id. at 619. Here, Oklahoma in no way suggests any change of circumstance, whether of fact or law. In each brief submitted on the issue, Oklahoma has recited the same facts, cited the same cases, and constructed the same arguments. Of course, we surely have the power to accede to Oklahoma's request at this late date, and if convinced, which we are not, that we were clearly wrong in accepting jurisdiction of this case, we would not hesitate to depart from our prior rulings. [502 U.S. 447] </w:t>
      </w:r>
    </w:p>
    <w:p w:rsidR="00A31137" w:rsidRPr="00A31137" w:rsidRDefault="00A31137" w:rsidP="00A31137">
      <w:r w:rsidRPr="00A31137">
        <w:t>1992, Wyoming v. Oklahoma, 502 U.S. 447</w:t>
      </w:r>
    </w:p>
    <w:p w:rsidR="00A31137" w:rsidRPr="00A31137" w:rsidRDefault="00A31137" w:rsidP="00A31137">
      <w:r w:rsidRPr="00A31137">
        <w:t>Article III, § 2, cl. 2, of the United States Constitution provides this Court with original jurisdiction in all cases "in which a State shall be a Party." Congress has seen fit to designate that this Court "shall have original and exclusive jurisdiction of all controversies between two or more States." 28 U.S.C. § 1251(a).</w:t>
      </w:r>
    </w:p>
    <w:p w:rsidR="00A31137" w:rsidRPr="00A31137" w:rsidRDefault="00A31137" w:rsidP="00A31137">
      <w:r w:rsidRPr="00A31137">
        <w:t>1992, Wyoming v. Oklahoma, 502 U.S. 447</w:t>
      </w:r>
    </w:p>
    <w:p w:rsidR="00A31137" w:rsidRPr="00A31137" w:rsidRDefault="00A31137" w:rsidP="00A31137">
      <w:r w:rsidRPr="00A31137">
        <w:t>In order to constitute a proper "controversy" under our original jurisdiction,</w:t>
      </w:r>
    </w:p>
    <w:p w:rsidR="00A31137" w:rsidRPr="00A31137" w:rsidRDefault="00A31137" w:rsidP="00A31137">
      <w:r w:rsidRPr="00A31137">
        <w:t>1992, Wyoming v. Oklahoma, 502 U.S. 447</w:t>
      </w:r>
    </w:p>
    <w:p w:rsidR="00A31137" w:rsidRPr="00A31137" w:rsidRDefault="00A31137" w:rsidP="00A31137">
      <w:r w:rsidRPr="00A31137">
        <w:t>it must appear that the complaining State has suffered a wrong through the action of the other State, furnishing ground for judicial redress, or is asserting a right against the other State which is susceptible of judicial enforcement according to the accepted principles of the common law or equity systems of jurisprudence.</w:t>
      </w:r>
    </w:p>
    <w:p w:rsidR="00A31137" w:rsidRPr="00A31137" w:rsidRDefault="00A31137" w:rsidP="00A31137">
      <w:r w:rsidRPr="00A31137">
        <w:t>1992, Wyoming v. Oklahoma, 502 U.S. 447</w:t>
      </w:r>
    </w:p>
    <w:p w:rsidR="00A31137" w:rsidRPr="00A31137" w:rsidRDefault="00A31137" w:rsidP="00A31137">
      <w:r w:rsidRPr="00A31137">
        <w:t>Maryland v. Louisiana, 451 U.S. 725, 735-736 (1981) (quoting Massachusetts v. Missouri, 308 U.S. 1, 15 (1939)); see also New York v. Illinois, 274 U.S. 488, 490 (1927).</w:t>
      </w:r>
    </w:p>
    <w:p w:rsidR="00A31137" w:rsidRPr="00A31137" w:rsidRDefault="00A31137" w:rsidP="00A31137">
      <w:r w:rsidRPr="00A31137">
        <w:t>1992, Wyoming v. Oklahoma, 502 U.S. 447</w:t>
      </w:r>
    </w:p>
    <w:p w:rsidR="00A31137" w:rsidRPr="00A31137" w:rsidRDefault="00A31137" w:rsidP="00A31137">
      <w:r w:rsidRPr="00A31137">
        <w:t>We are quite sure that Wyoming's submission satisfies this test. We agree with the Master's conclusion, arrived at after consideration of all the facts submitted to him, that Wyoming clearly had standing to bring this action. The Master observed:</w:t>
      </w:r>
    </w:p>
    <w:p w:rsidR="00A31137" w:rsidRPr="00A31137" w:rsidRDefault="00A31137" w:rsidP="00A31137">
      <w:r w:rsidRPr="00A31137">
        <w:t>1992, Wyoming v. Oklahoma, 502 U.S. 447</w:t>
      </w:r>
    </w:p>
    <w:p w:rsidR="00A31137" w:rsidRPr="00A31137" w:rsidRDefault="00A31137" w:rsidP="00A31137">
      <w:r w:rsidRPr="00A31137">
        <w:t>The effect of the Oklahoma statute has been to deprive Wyoming of severance tax revenues. It is undisputed that, since January 1, 1987, the effective date of the Act, purchases by Oklahoma electric utilities of Wyoming-mined coal, as a percentage of their total coal purchases, have declined…. The decline came when, in response to the adoption of the Act, those utilities began purchasing Oklahoma-mined coal. The coal that, in the absence of the Act, would have been sold to Oklahoma utilities by a Wyoming producer would have been subject to the tax when extracted. Wyoming's loss of severance tax revenues "fairly can be traced" to the Act. See Maryland v. Louisiana, 451 U.S. 725, 736 (1981) (quoting Simon v. Eastern Kentucky Welfare Rights [502 U.S. 448] Organization, 426 U.S. 26, 41-42 (1976)).</w:t>
      </w:r>
    </w:p>
    <w:p w:rsidR="00A31137" w:rsidRPr="00A31137" w:rsidRDefault="00A31137" w:rsidP="00A31137">
      <w:r w:rsidRPr="00A31137">
        <w:t>1992, Wyoming v. Oklahoma, 502 U.S. 448</w:t>
      </w:r>
    </w:p>
    <w:p w:rsidR="00A31137" w:rsidRPr="00A31137" w:rsidRDefault="00A31137" w:rsidP="00A31137">
      <w:r w:rsidRPr="00A31137">
        <w:t>Report of Special Master 11. 9</w:t>
      </w:r>
    </w:p>
    <w:p w:rsidR="00A31137" w:rsidRPr="00A31137" w:rsidRDefault="00A31137" w:rsidP="00A31137">
      <w:r w:rsidRPr="00A31137">
        <w:t>1992, Wyoming v. Oklahoma, 502 U.S. 448</w:t>
      </w:r>
    </w:p>
    <w:p w:rsidR="00A31137" w:rsidRPr="00A31137" w:rsidRDefault="00A31137" w:rsidP="00A31137">
      <w:r w:rsidRPr="00A31137">
        <w:t>The Master recognized that Courts of Appeals have denied standing to States where the claim was that actions taken by United States Government agencies had injured the State's economy, and thereby caused a decline in general tax revenues. See, e.g., Pennsylvania v. Kleppe, 174 U.S. App.D.C. 441, 533 F.2d 668, cert. denied, 429 U.S. 977 (1976); State of Iowa ex rel. Miller v. Block, 771 F.2d 347 (CA8 1985), cert. denied, 478 U.S. 1012 (1986). He concluded, however, that none of these cases was analogous to this one, because none of them involved a direct injury in the form of a loss of specific tax revenues—an undisputed fact here. See n. 6, supra.. In our view, the Master's conclusion about Wyoming's standing is sound.</w:t>
      </w:r>
    </w:p>
    <w:p w:rsidR="00A31137" w:rsidRPr="00A31137" w:rsidRDefault="00A31137" w:rsidP="00A31137">
      <w:r w:rsidRPr="00A31137">
        <w:t>1992, Wyoming v. Oklahoma, 502 U.S. 448</w:t>
      </w:r>
    </w:p>
    <w:p w:rsidR="00A31137" w:rsidRPr="00A31137" w:rsidRDefault="00A31137" w:rsidP="00A31137">
      <w:r w:rsidRPr="00A31137">
        <w:t>Oklahoma argues that Wyoming is not itself engaged in the commerce affected, is not affected as a consumer, and thus has not suffered the type of direct injury cognizable in a Commerce Clause action. The authorities relied on by Oklahoma for this argument, Oklahoma v. A. T. &amp; S.F.R. Co., 220 U.S. 277, 287-289 (1911), and Louisiana v. Texas, 176 U.S. 1, 16-22 (1900), are not helpful, however, for they involved claims of parens patriae standing, rather than [502 U.S. 449] allegations of direct injury to the State itself. Moreover, we have rejected a similar argument in Hunt v. Washington Apple Advertising Comm'n, 432 U.S. 333 (1977). In Hunt, the Washington Apple Advertising Commission brought suit to declare as violative of the Commerce Clause a North Carolina statute requiring that all apples sold or shipped into North Carolina in closed containers be identified by no grade other than the applicable federal grade or a designation that the apples were not graded. The Commission was a statutory agency designed for the promotion and protection of the Washington State apple industry and composed of 13 state growers and dealers chosen from electoral districts by their fellow growers and dealers, all of whom by mandatory assessments financed the Commission's operations. The North Carolina officials named in the suit vigorously contested the Commission's standing, either in its own right or on behalf of the apple industry it represented, arguing that it lacked a "personal stake" in the litigation because, as a state agency, it was "not itself engaged in the production and sale of Washington apples or their shipment into North Carolina." Id. at  341. After addressing the Commission's analogues to associational standing, we turned to the Commission's allegations of direct injury:</w:t>
      </w:r>
    </w:p>
    <w:p w:rsidR="00A31137" w:rsidRPr="00A31137" w:rsidRDefault="00A31137" w:rsidP="00A31137">
      <w:r w:rsidRPr="00A31137">
        <w:t>1992, Wyoming v. Oklahoma, 502 U.S. 449</w:t>
      </w:r>
    </w:p>
    <w:p w:rsidR="00A31137" w:rsidRPr="00A31137" w:rsidRDefault="00A31137" w:rsidP="00A31137">
      <w:r w:rsidRPr="00A31137">
        <w:t>Finally, we note that the interests of the Commission itself may be adversely affected by the outcome of this litigation. The annual assessments paid to the Commission are tied to the volume of apples grown and packaged as "Washington Apples." In the event the North Carolina statute results in a contraction of the market for Washington apples or prevents any market expansion that might otherwise occur, it could reduce the amount of the assessments due the Commission and used to support its activities. This financial nexus between the interests of the Commission and its constituents coalesces with the other factors noted above to</w:t>
      </w:r>
    </w:p>
    <w:p w:rsidR="00A31137" w:rsidRPr="00A31137" w:rsidRDefault="00A31137" w:rsidP="00A31137">
      <w:r w:rsidRPr="00A31137">
        <w:t>1992, Wyoming v. Oklahoma, 502 U.S. 449</w:t>
      </w:r>
    </w:p>
    <w:p w:rsidR="00A31137" w:rsidRPr="00A31137" w:rsidRDefault="00A31137" w:rsidP="00A31137">
      <w:r w:rsidRPr="00A31137">
        <w:t>assure that concrete adverseness which sharpens the [502 U.S. 450] presentation of issues upon which the court so largely depends for illumination of difficult constitutional questions.</w:t>
      </w:r>
    </w:p>
    <w:p w:rsidR="00A31137" w:rsidRPr="00A31137" w:rsidRDefault="00A31137" w:rsidP="00A31137">
      <w:r w:rsidRPr="00A31137">
        <w:t>1992, Wyoming v. Oklahoma, 502 U.S. 450</w:t>
      </w:r>
    </w:p>
    <w:p w:rsidR="00A31137" w:rsidRPr="00A31137" w:rsidRDefault="00A31137" w:rsidP="00A31137">
      <w:r w:rsidRPr="00A31137">
        <w:t>Baker v. Carr, [369 U.S. 186,  204]; see also NAACP v. Alabama ex rel. Patterson, 357 U.S. 449, 459-460 (1958).</w:t>
      </w:r>
    </w:p>
    <w:p w:rsidR="00A31137" w:rsidRPr="00A31137" w:rsidRDefault="00A31137" w:rsidP="00A31137">
      <w:r w:rsidRPr="00A31137">
        <w:t>1992, Wyoming v. Oklahoma, 502 U.S. 450</w:t>
      </w:r>
    </w:p>
    <w:p w:rsidR="00A31137" w:rsidRPr="00A31137" w:rsidRDefault="00A31137" w:rsidP="00A31137">
      <w:r w:rsidRPr="00A31137">
        <w:t>Id. at  345. That the Commission was allowed to proceed in Hunt necessarily supports Wyoming's standing against Oklahoma, where its severance tax revenues are directly linked to the extraction and sale of coal and have been demonstrably affected by the Act.</w:t>
      </w:r>
    </w:p>
    <w:p w:rsidR="00A31137" w:rsidRPr="00A31137" w:rsidRDefault="00A31137" w:rsidP="00A31137">
      <w:r w:rsidRPr="00A31137">
        <w:t>1992, Wyoming v. Oklahoma, 502 U.S. 450</w:t>
      </w:r>
    </w:p>
    <w:p w:rsidR="00A31137" w:rsidRPr="00A31137" w:rsidRDefault="00A31137" w:rsidP="00A31137">
      <w:r w:rsidRPr="00A31137">
        <w:t>Over Oklahoma's objection, which is repeated here, the Special Master also concluded that this case was an appropriate one for the exercise of our original jurisdiction. We agree, and we obviously shared this thought when granting Wyoming leave to file its complaint in the first instance. We have generally observed that the Court's original jurisdiction should be exercised "sparingly," Maryland v. Louisiana, 451 U.S. at 739; United States v. Nevada, 412 U.S. 534, 538 (1973), and this Court applies discretion when accepting original cases, even as to actions between States where our jurisdiction is exclusive. As stated not long ago:</w:t>
      </w:r>
    </w:p>
    <w:p w:rsidR="00A31137" w:rsidRPr="00A31137" w:rsidRDefault="00A31137" w:rsidP="00A31137">
      <w:r w:rsidRPr="00A31137">
        <w:t>1992, Wyoming v. Oklahoma, 502 U.S. 450</w:t>
      </w:r>
    </w:p>
    <w:p w:rsidR="00A31137" w:rsidRPr="00A31137" w:rsidRDefault="00A31137" w:rsidP="00A31137">
      <w:r w:rsidRPr="00A31137">
        <w:t>In recent years, we have consistently interpreted 28 U.S.C. § 1251(a) as providing us with substantial discretion to make case-by-case judgments as to the practical necessity of an original forum in this Court for particular disputes within our constitutional original jurisdiction. See Maryland v. Louisiana, 451 U.S. 725, 743 (1981); Ohio v. Wyandotte Chemicals Corp., 401 U.S. 493, 499 (1971). We exercise that discretion with an eye to promoting the most effective functioning of this Court within the overall federal system.</w:t>
      </w:r>
    </w:p>
    <w:p w:rsidR="00A31137" w:rsidRPr="00A31137" w:rsidRDefault="00A31137" w:rsidP="00A31137">
      <w:r w:rsidRPr="00A31137">
        <w:t>1992, Wyoming v. Oklahoma, 502 U.S. 450</w:t>
      </w:r>
    </w:p>
    <w:p w:rsidR="00A31137" w:rsidRPr="00A31137" w:rsidRDefault="00A31137" w:rsidP="00A31137">
      <w:r w:rsidRPr="00A31137">
        <w:t>Texas v. New Mexico, 462 U.S. 554, 570 (1983).</w:t>
      </w:r>
    </w:p>
    <w:p w:rsidR="00A31137" w:rsidRPr="00A31137" w:rsidRDefault="00A31137" w:rsidP="00A31137">
      <w:r w:rsidRPr="00A31137">
        <w:t>1992, Wyoming v. Oklahoma, 502 U.S. 450</w:t>
      </w:r>
    </w:p>
    <w:p w:rsidR="00A31137" w:rsidRPr="00A31137" w:rsidRDefault="00A31137" w:rsidP="00A31137">
      <w:r w:rsidRPr="00A31137">
        <w:t xml:space="preserve">Specifically, we have imposed prudential and equitable limitations upon the exercise of our original jurisdiction, and of these limitations we have said: [502 U.S. 451] </w:t>
      </w:r>
    </w:p>
    <w:p w:rsidR="00A31137" w:rsidRPr="00A31137" w:rsidRDefault="00A31137" w:rsidP="00A31137">
      <w:r w:rsidRPr="00A31137">
        <w:t>1992, Wyoming v. Oklahoma, 502 U.S. 451</w:t>
      </w:r>
    </w:p>
    <w:p w:rsidR="00A31137" w:rsidRPr="00A31137" w:rsidRDefault="00A31137" w:rsidP="00A31137">
      <w:r w:rsidRPr="00A31137">
        <w:t>We construe 28 U.S.C. § 1251(a)(1), as we do Art. III, § 2, cl. 2, to honor our original jurisdiction but to make it obligatory only in appropriate cases. And the question of what is appropriate concerns, of course, the seriousness and dignity of the claim; yet, beyond that, it necessarily involves the availability of another forum where there is jurisdiction over the named parties, where the issues tendered may be litigated, and where appropriate relief may be had.</w:t>
      </w:r>
    </w:p>
    <w:p w:rsidR="00A31137" w:rsidRPr="00A31137" w:rsidRDefault="00A31137" w:rsidP="00A31137">
      <w:r w:rsidRPr="00A31137">
        <w:t>1992, Wyoming v. Oklahoma, 502 U.S. 451</w:t>
      </w:r>
    </w:p>
    <w:p w:rsidR="00A31137" w:rsidRPr="00A31137" w:rsidRDefault="00A31137" w:rsidP="00A31137">
      <w:r w:rsidRPr="00A31137">
        <w:t>Illinois v. City of Milwaukee, 406 U.S. 91, 93 (1972); California v. Texas, 457 U.S. 164, 168 (1982). It is beyond peradventure that Wyoming has raised a claim of sufficient "seriousness and dignity." Oklahoma, acting in its sovereign capacity, passed the Act, which directly affects Wyoming's ability to collect severance tax revenues, an action undertaken in its sovereign capacity. As such, Wyoming's challenge under the Commerce Clause precisely</w:t>
      </w:r>
    </w:p>
    <w:p w:rsidR="00A31137" w:rsidRPr="00A31137" w:rsidRDefault="00A31137" w:rsidP="00A31137">
      <w:r w:rsidRPr="00A31137">
        <w:t>1992, Wyoming v. Oklahoma, 502 U.S. 451</w:t>
      </w:r>
    </w:p>
    <w:p w:rsidR="00A31137" w:rsidRPr="00A31137" w:rsidRDefault="00A31137" w:rsidP="00A31137">
      <w:r w:rsidRPr="00A31137">
        <w:t>implicates serious and important concerns of federalism fully in accord with the purposes and reach of our original jurisdiction.</w:t>
      </w:r>
    </w:p>
    <w:p w:rsidR="00A31137" w:rsidRPr="00A31137" w:rsidRDefault="00A31137" w:rsidP="00A31137">
      <w:r w:rsidRPr="00A31137">
        <w:t>1992, Wyoming v. Oklahoma, 502 U.S. 451</w:t>
      </w:r>
    </w:p>
    <w:p w:rsidR="00A31137" w:rsidRPr="00A31137" w:rsidRDefault="00A31137" w:rsidP="00A31137">
      <w:r w:rsidRPr="00A31137">
        <w:t>Maryland v. Louisiana, 451 U.S. at 744. Indeed, we found it not to be a "waste" of this Court's time in Maryland v. Louisiana to consider the validity of one State's "first-use tax" which served, in effect, as a severance tax on gas extracted from areas belonging to the people at large, to the detriment of other States on to whose consumers the tax passed. Ibid. Wyoming's claim here is no less substantial, and touches on its direct injury, rather than on any interest as parens patriae.</w:t>
      </w:r>
    </w:p>
    <w:p w:rsidR="00A31137" w:rsidRPr="00A31137" w:rsidRDefault="00A31137" w:rsidP="00A31137">
      <w:r w:rsidRPr="00A31137">
        <w:t>1992, Wyoming v. Oklahoma, 502 U.S. 451</w:t>
      </w:r>
    </w:p>
    <w:p w:rsidR="00A31137" w:rsidRPr="00A31137" w:rsidRDefault="00A31137" w:rsidP="00A31137">
      <w:r w:rsidRPr="00A31137">
        <w:t>Oklahoma makes much of the fact that the mining companies affected in Wyoming could bring suit raising the Commerce Clause challenge, as private parties aggrieved by state action often do. But cf. Hunt v. Washington State Apple Advertising Comm'n, 432 U.S. 333 (1977). For reasons unknown, however, they have chosen neither to intervene in this action nor to file their own, whether in state or [502 U.S. 452] federal court. 10 As such, no pending action exists to which we could defer adjudication on this issue. See, e.g., Illinois v. City of Milwaukee, supra, 406 U.S. at 98, 108; Washington v. General Motors Corp., 406 U.S. 109, 114 (1972). Even if such action were proceeding, however, Wyoming's interests would not be directly represented. See Maryland v. Louisiana, supra, 451 U.S. at 743; cf. Arizona v. New Mexico, 426 U.S. 794 (1976). Indeed, Wyoming brings suit as a sovereign seeking declaration from this Court that Oklahoma's Act is unconstitutional. The Constitution provides us original jurisdiction, and Congress has made this provision exclusive as between these parties, two States. It was proper to entertain this case without assurances, notably absent here, that a State's interests under the Constitution will find a forum for appropriate hearing and full relief.</w:t>
      </w:r>
    </w:p>
    <w:p w:rsidR="00A31137" w:rsidRPr="00A31137" w:rsidRDefault="00A31137" w:rsidP="00A31137">
      <w:r w:rsidRPr="00A31137">
        <w:t>1992, Wyoming v. Oklahoma, 502 U.S. 452</w:t>
      </w:r>
    </w:p>
    <w:p w:rsidR="00A31137" w:rsidRPr="00A31137" w:rsidRDefault="00A31137" w:rsidP="00A31137">
      <w:r w:rsidRPr="00A31137">
        <w:t>Oklahoma points to the general requirement, reflected in the controlling principles explained above, that,</w:t>
      </w:r>
    </w:p>
    <w:p w:rsidR="00A31137" w:rsidRPr="00A31137" w:rsidRDefault="00A31137" w:rsidP="00A31137">
      <w:r w:rsidRPr="00A31137">
        <w:t>1992, Wyoming v. Oklahoma, 502 U.S. 452</w:t>
      </w:r>
    </w:p>
    <w:p w:rsidR="00A31137" w:rsidRPr="00A31137" w:rsidRDefault="00A31137" w:rsidP="00A31137">
      <w:r w:rsidRPr="00A31137">
        <w:t>[b]efore this court can be moved to exercise its extraordinary power under the Constitution to control the conduct of one State at the suit of another, the threatened invasion of rights must be of serious magnitude and it must be established by clear and convincing evidence.</w:t>
      </w:r>
    </w:p>
    <w:p w:rsidR="00A31137" w:rsidRPr="00A31137" w:rsidRDefault="00A31137" w:rsidP="00A31137">
      <w:r w:rsidRPr="00A31137">
        <w:t>1992, Wyoming v. Oklahoma, 502 U.S. 452</w:t>
      </w:r>
    </w:p>
    <w:p w:rsidR="00A31137" w:rsidRPr="00A31137" w:rsidRDefault="00A31137" w:rsidP="00A31137">
      <w:r w:rsidRPr="00A31137">
        <w:t>New York v. New Jersey, 256 U.S. 296, 309 (1921); see also Connecticut v. Massachusetts, 282 U.S. 660, 669 (1931); Missouri v. Illinois, 200 U.S. 496, 521 (1906). On this basis, Oklahoma suggests that Wyoming's interest is de minimis solely for the reason that loss in severance tax revenues attributable to the Act has generally been less than 1% of total taxes collected. See Affidavit of Richard J. Marble (attached as Exh. B of Appendix to Motion of Wyoming [502 U.S. 453] for Summary Judgment). We decline any invitation to key the exercise of this Court's original jurisdiction on the amount in controversy. 11 Oklahoma's argument is, in fact, no different than the situation we faced in Pennsylvania v. West Virginia, 262 U.S. 553 (1923). When Pennsylvania challenged a West Virginia statute designed to keep natural gas within its borders, there was no question but that the issue presented rose to a level suitable to our original jurisdiction:</w:t>
      </w:r>
    </w:p>
    <w:p w:rsidR="00A31137" w:rsidRPr="00A31137" w:rsidRDefault="00A31137" w:rsidP="00A31137">
      <w:r w:rsidRPr="00A31137">
        <w:t>1992, Wyoming v. Oklahoma, 502 U.S. 453</w:t>
      </w:r>
    </w:p>
    <w:p w:rsidR="00A31137" w:rsidRPr="00A31137" w:rsidRDefault="00A31137" w:rsidP="00A31137">
      <w:r w:rsidRPr="00A31137">
        <w:t>The question is an important one; for what one State may do, others may, and there are ten States from which natural gas is exported for consumption in other States. Besides, what may be done with one natural product may be done with others, and there are several States in which the earth yields products of great value which are carried into other States and there used.</w:t>
      </w:r>
    </w:p>
    <w:p w:rsidR="00A31137" w:rsidRPr="00A31137" w:rsidRDefault="00A31137" w:rsidP="00A31137">
      <w:r w:rsidRPr="00A31137">
        <w:t>1992, Wyoming v. Oklahoma, 502 U.S. 453</w:t>
      </w:r>
    </w:p>
    <w:p w:rsidR="00A31137" w:rsidRPr="00A31137" w:rsidRDefault="00A31137" w:rsidP="00A31137">
      <w:r w:rsidRPr="00A31137">
        <w:t>Id. at  596. And so it is here. Wyoming coal is a natural resource of great value primarily carried into other States for use, and Wyoming derives significant revenue from this interstate movement.</w:t>
      </w:r>
    </w:p>
    <w:p w:rsidR="00A31137" w:rsidRPr="00A31137" w:rsidRDefault="00A31137" w:rsidP="00A31137">
      <w:r w:rsidRPr="00A31137">
        <w:t>1992, Wyoming v. Oklahoma, 502 U.S. 453</w:t>
      </w:r>
    </w:p>
    <w:p w:rsidR="00A31137" w:rsidRPr="00A31137" w:rsidRDefault="00A31137" w:rsidP="00A31137">
      <w:r w:rsidRPr="00A31137">
        <w:t>[T]he practical effect of [Oklahoma's] statute must be evaluated not only by considering the consequences of the statute itself, but also by considering how the challenged statute may interact with the legitimate regulatory regimes of the other States and what effect would arise if not [502 U.S. 454] one, but many or every, State adopted similar legislation.</w:t>
      </w:r>
    </w:p>
    <w:p w:rsidR="00A31137" w:rsidRPr="00A31137" w:rsidRDefault="00A31137" w:rsidP="00A31137">
      <w:r w:rsidRPr="00A31137">
        <w:t>1992, Wyoming v. Oklahoma, 502 U.S. 454</w:t>
      </w:r>
    </w:p>
    <w:p w:rsidR="00A31137" w:rsidRPr="00A31137" w:rsidRDefault="00A31137" w:rsidP="00A31137">
      <w:r w:rsidRPr="00A31137">
        <w:t>Healy v. Beer Inst., Inc., 491 U.S. 324, 336 (1989). Because of the nature of Wyoming's claim, and the absence of any other pending litigation involving the same parties or issues, we find the present case appropriate for the exercise of this Court's original jurisdiction. Accordingly, we accept the recommendation of the Special Master that Wyoming should be permitted to bring this action, and we reject Oklahoma's exceptions to the Special Master's Report.</w:t>
      </w:r>
    </w:p>
    <w:p w:rsidR="00A31137" w:rsidRPr="00A31137" w:rsidRDefault="00A31137" w:rsidP="00A31137">
      <w:r w:rsidRPr="00A31137">
        <w:t>III</w:t>
      </w:r>
    </w:p>
    <w:p w:rsidR="00A31137" w:rsidRPr="00A31137" w:rsidRDefault="00A31137" w:rsidP="00A31137">
      <w:r w:rsidRPr="00A31137">
        <w:t>1992, Wyoming v. Oklahoma, 502 U.S. 454</w:t>
      </w:r>
    </w:p>
    <w:p w:rsidR="00A31137" w:rsidRPr="00A31137" w:rsidRDefault="00A31137" w:rsidP="00A31137">
      <w:r w:rsidRPr="00A31137">
        <w:t>We also agree with the Special Master's ultimate conclusion that the Act is invalid under the Commerce Clause.</w:t>
      </w:r>
    </w:p>
    <w:p w:rsidR="00A31137" w:rsidRPr="00A31137" w:rsidRDefault="00A31137" w:rsidP="00A31137">
      <w:r w:rsidRPr="00A31137">
        <w:t>1992, Wyoming v. Oklahoma, 502 U.S. 454</w:t>
      </w:r>
    </w:p>
    <w:p w:rsidR="00A31137" w:rsidRPr="00A31137" w:rsidRDefault="00A31137" w:rsidP="00A31137">
      <w:r w:rsidRPr="00A31137">
        <w:t>The Commerce Clause of the United States Constitution provides that "[t]he Congress shall have Power…[t]o regulate Commerce…among the several States…. " Art. I, § 8, cl. 3. It is long established that, while a literal reading evinces a grant of power to Congress, the Commerce Clause also directly limits the power of the States to discriminate against interstate commerce. See New Energy Co. of Indiana v. Limbach, 486 U.S. 269, 273 (1988) (citing Hughes v. Oklahoma, 441 U.S. 322, 326 (1979); H.P. Hood &amp; Sons, Inc. v. DuMond, 336 U.S. 525, 534-535 (1949); Welton v. Missouri, 91 U.S. 275 (1876)).</w:t>
      </w:r>
    </w:p>
    <w:p w:rsidR="00A31137" w:rsidRPr="00A31137" w:rsidRDefault="00A31137" w:rsidP="00A31137">
      <w:r w:rsidRPr="00A31137">
        <w:t>1992, Wyoming v. Oklahoma, 502 U.S. 454</w:t>
      </w:r>
    </w:p>
    <w:p w:rsidR="00A31137" w:rsidRPr="00A31137" w:rsidRDefault="00A31137" w:rsidP="00A31137">
      <w:r w:rsidRPr="00A31137">
        <w:t>This "negative" aspect of the Commerce Clause prohibits economic protectionism—that is, regulatory measures designed to benefit in-state economic interests by burdening out-of-state competitors.</w:t>
      </w:r>
    </w:p>
    <w:p w:rsidR="00A31137" w:rsidRPr="00A31137" w:rsidRDefault="00A31137" w:rsidP="00A31137">
      <w:r w:rsidRPr="00A31137">
        <w:t>1992, Wyoming v. Oklahoma, 502 U.S. 454</w:t>
      </w:r>
    </w:p>
    <w:p w:rsidR="00A31137" w:rsidRPr="00A31137" w:rsidRDefault="00A31137" w:rsidP="00A31137">
      <w:r w:rsidRPr="00A31137">
        <w:t>New Energy Co., supra, 486 U.S. at 273-274; see also Bacchus Imports, Ltd. v. Dias, 468 U.S. 263, 270-273 (1984); H.P. Hood &amp; Sons, supra, 336 U.S. at 532-533. When a state statute clearly discriminates against interstate commerce, it will be struck down, see, e.g., New Energy Co., supra, unless the discrimination is demonstrably justified by a valid factor unrelated to economic protectionism, see, e.g., Maine v. Taylor, 477 U.S. 131 (1986). Indeed, when the state statute amounts to simple economic protectionism, a "virtually per se rule of invalidity" [502 U.S. 455] has applied. Philadelphia v. New Jersey, 437 U.S. 617,  624 (1978). 12</w:t>
      </w:r>
    </w:p>
    <w:p w:rsidR="00A31137" w:rsidRPr="00A31137" w:rsidRDefault="00A31137" w:rsidP="00A31137">
      <w:r w:rsidRPr="00A31137">
        <w:t>1992, Wyoming v. Oklahoma, 502 U.S. 455</w:t>
      </w:r>
    </w:p>
    <w:p w:rsidR="00A31137" w:rsidRPr="00A31137" w:rsidRDefault="00A31137" w:rsidP="00A31137">
      <w:r w:rsidRPr="00A31137">
        <w:t>The Special Master correctly found that the Act, on its face and in practical effect, discriminates against interstate commerce. See Bacchus Imports, Ltd. v. Dias, supra, 468 U.S. at 270. Section 939 of the Act expressly reserves a segment of the Oklahoma coal market for Oklahoma-mined coal, to the exclusion of coal mined in other States. Such a preference for coal from domestic sources cannot be characterized as anything other than protectionist and discriminatory, for the Act purports to exclude coal mined in other States based solely on its origin. See New Energy Co., supra, 486 U.S. at 274; Philadelphia v. New Jersey, supra, 437 U.S. at 626-627. The stipulated facts confirm that, from 1981 to 1986, Wyoming provided virtually 100% of the coal purchased by Oklahoma utilities. In 1987 and 1988, following the effective date of the Act, the utilities purchased Oklahoma coal in amounts ranging from 3.4 to 7.4% of their annual needs, with a necessarily corresponding reduction in purchases of Wyoming coal.</w:t>
      </w:r>
    </w:p>
    <w:p w:rsidR="00A31137" w:rsidRPr="00A31137" w:rsidRDefault="00A31137" w:rsidP="00A31137">
      <w:r w:rsidRPr="00A31137">
        <w:t>1992, Wyoming v. Oklahoma, 502 U.S. 455</w:t>
      </w:r>
    </w:p>
    <w:p w:rsidR="00A31137" w:rsidRPr="00A31137" w:rsidRDefault="00A31137" w:rsidP="00A31137">
      <w:r w:rsidRPr="00A31137">
        <w:t>As in its jurisdictional arguments, Oklahoma attempts to discount this evidence by emphasizing that the Act sets aside only a "small portion" of the Oklahoma coal market, without placing an "overall burden" on out-of-state coal producers doing business in Oklahoma. The volume of commerce affected measures only the extent of the discrimination; it is of no relevance to the determination whether a State has discriminated against interstate commerce. Bacchus Imports, [502 U.S. 456] Ltd. v. Dias, supra, 468 U.S. at 268-269; Maryland v. Louisiana, 451 U.S. at 760; Lewis v. BT Investment Managers, Inc., 447 U.S. 27, 39-42 (1980). As we have only recently reaffirmed:</w:t>
      </w:r>
    </w:p>
    <w:p w:rsidR="00A31137" w:rsidRPr="00A31137" w:rsidRDefault="00A31137" w:rsidP="00A31137">
      <w:r w:rsidRPr="00A31137">
        <w:t>1992, Wyoming v. Oklahoma, 502 U.S. 456</w:t>
      </w:r>
    </w:p>
    <w:p w:rsidR="00A31137" w:rsidRPr="00A31137" w:rsidRDefault="00A31137" w:rsidP="00A31137">
      <w:r w:rsidRPr="00A31137">
        <w:t>Our cases…indicate that where discrimination is patent, as it is here, neither a widespread advantage to in-state interests nor a widespread disadvantage to out-of-state competitors need be shown…. Varying the strength of the bar against economic protectionism according to the size and number of instate and out-of-state firms affected would serve no purpose except the creation of new uncertainties in an already complex field.</w:t>
      </w:r>
    </w:p>
    <w:p w:rsidR="00A31137" w:rsidRPr="00A31137" w:rsidRDefault="00A31137" w:rsidP="00A31137">
      <w:r w:rsidRPr="00A31137">
        <w:t>1992, Wyoming v. Oklahoma, 502 U.S. 456</w:t>
      </w:r>
    </w:p>
    <w:p w:rsidR="00A31137" w:rsidRPr="00A31137" w:rsidRDefault="00A31137" w:rsidP="00A31137">
      <w:r w:rsidRPr="00A31137">
        <w:t>New Energy Co., supra, 486 U.S. at 276-277.</w:t>
      </w:r>
    </w:p>
    <w:p w:rsidR="00A31137" w:rsidRPr="00A31137" w:rsidRDefault="00A31137" w:rsidP="00A31137">
      <w:r w:rsidRPr="00A31137">
        <w:t>1992, Wyoming v. Oklahoma, 502 U.S. 456</w:t>
      </w:r>
    </w:p>
    <w:p w:rsidR="00A31137" w:rsidRPr="00A31137" w:rsidRDefault="00A31137" w:rsidP="00A31137">
      <w:r w:rsidRPr="00A31137">
        <w:t>Because the Act discriminates both on its face and in practical effect, the burden falls on Oklahoma</w:t>
      </w:r>
    </w:p>
    <w:p w:rsidR="00A31137" w:rsidRPr="00A31137" w:rsidRDefault="00A31137" w:rsidP="00A31137">
      <w:r w:rsidRPr="00A31137">
        <w:t>1992, Wyoming v. Oklahoma, 502 U.S. 456</w:t>
      </w:r>
    </w:p>
    <w:p w:rsidR="00A31137" w:rsidRPr="00A31137" w:rsidRDefault="00A31137" w:rsidP="00A31137">
      <w:r w:rsidRPr="00A31137">
        <w:t>"to justify it both in terms of the local benefits flowing from the statute and the unavailability of nondiscriminatory alternatives adequate to preserve the local interests at stake."</w:t>
      </w:r>
    </w:p>
    <w:p w:rsidR="00A31137" w:rsidRPr="00A31137" w:rsidRDefault="00A31137" w:rsidP="00A31137">
      <w:r w:rsidRPr="00A31137">
        <w:t>1992, Wyoming v. Oklahoma, 502 U.S. 456</w:t>
      </w:r>
    </w:p>
    <w:p w:rsidR="00A31137" w:rsidRPr="00A31137" w:rsidRDefault="00A31137" w:rsidP="00A31137">
      <w:r w:rsidRPr="00A31137">
        <w:t>Hughes v. Oklahoma, supra, 441 U.S. at 336 (quoting Hunt v. Washington Apple Advertising Comm'n, 432 U.S. at  353).</w:t>
      </w:r>
    </w:p>
    <w:p w:rsidR="00A31137" w:rsidRPr="00A31137" w:rsidRDefault="00A31137" w:rsidP="00A31137">
      <w:r w:rsidRPr="00A31137">
        <w:t>1992, Wyoming v. Oklahoma, 502 U.S. 456</w:t>
      </w:r>
    </w:p>
    <w:p w:rsidR="00A31137" w:rsidRPr="00A31137" w:rsidRDefault="00A31137" w:rsidP="00A31137">
      <w:r w:rsidRPr="00A31137">
        <w:t>At a minimum, such facial discrimination invokes the strictest scrutiny of any purported legitimate local purpose and of the absence of nondiscriminatory alternatives.</w:t>
      </w:r>
    </w:p>
    <w:p w:rsidR="00A31137" w:rsidRPr="00A31137" w:rsidRDefault="00A31137" w:rsidP="00A31137">
      <w:r w:rsidRPr="00A31137">
        <w:t>1992, Wyoming v. Oklahoma, 502 U.S. 456</w:t>
      </w:r>
    </w:p>
    <w:p w:rsidR="00A31137" w:rsidRPr="00A31137" w:rsidRDefault="00A31137" w:rsidP="00A31137">
      <w:r w:rsidRPr="00A31137">
        <w:t>Hughes v. Oklahoma, supra, 441 U.S. at 337. We agree with the Special Master's recommended conclusions that Oklahoma has not met its burden in this respect. In this Court, Oklahoma argues quite briefly that the Act's discrimination against out-of-state coal is justified because sustaining the Oklahoma coal-mining industry lessens the State's reliance on a single source of coal delivered over a single rail line. This justification, as the Special Master noted, is foreclosed by the Court's reasoning in Baldwin v. G.A.F. Seelig, Inc., 294 U.S.  511 (1935), and H.P. Hood &amp; Sons, Inc. v. Du Mond, 336 U.S. 525 (1949), cases that the State's brief ignores. We have often examined a "presumably legitimate goal," only to find that the State attempted [502 U.S. 457] to achieve it by "the illegitimate means of isolating the State from the national economy." Philadelphia v. New Jersey, 437 U.S. at 627.</w:t>
      </w:r>
    </w:p>
    <w:p w:rsidR="00A31137" w:rsidRPr="00A31137" w:rsidRDefault="00A31137" w:rsidP="00A31137">
      <w:r w:rsidRPr="00A31137">
        <w:t>1992, Wyoming v. Oklahoma, 502 U.S. 457</w:t>
      </w:r>
    </w:p>
    <w:p w:rsidR="00A31137" w:rsidRPr="00A31137" w:rsidRDefault="00A31137" w:rsidP="00A31137">
      <w:r w:rsidRPr="00A31137">
        <w:t>The State embellishes this argument somewhat when suggesting that, by requiring the utilities to supply 10% of their needs for fuel from Oklahoma coal, which because of its higher sulfur content cannot be the primary source of supply, the State thereby conserves Wyoming's cleaner coal for future use. We have no reason to doubt Wyoming's unrebutted factual response to this argument: reserves of low sulfur, clean-burning, sub-bituminous coal from the Powder River Basin are estimated to be in excess of 110 billion tons, thus providing Wyoming coal for several hundred years at current rates of extraction. Reply Brief for Wyoming 9, n. 4 (citing Geological Survey of Wyoming, Guidebook of the Coal Geology of the Powder River Basin, Public Information Circular No. 14, p. 126 (1980)). In any event, this contention, which is raised for the first time in Oklahoma's brief on the merits, finds no support in the records made in this case. See Hughes v. Oklahoma, 441 U.S. at 337-338, and n. 20; cf. Maine v. Taylor, 477 U.S. at 148-149.</w:t>
      </w:r>
    </w:p>
    <w:p w:rsidR="00A31137" w:rsidRPr="00A31137" w:rsidRDefault="00A31137" w:rsidP="00A31137">
      <w:r w:rsidRPr="00A31137">
        <w:t>1992, Wyoming v. Oklahoma, 502 U.S. 457</w:t>
      </w:r>
    </w:p>
    <w:p w:rsidR="00A31137" w:rsidRPr="00A31137" w:rsidRDefault="00A31137" w:rsidP="00A31137">
      <w:r w:rsidRPr="00A31137">
        <w:t>Oklahoma argues more seriously that the "saving clause" of the Federal Power Act, 16 U.S.C. § 824(b)(1), 13 which reserves to the States the regulation of local retail electric rates, makes permissible the Act's discriminatory impact on the movement of Wyoming coal in interstate commerce. Oklahoma argues that it</w:t>
      </w:r>
    </w:p>
    <w:p w:rsidR="00A31137" w:rsidRPr="00A31137" w:rsidRDefault="00A31137" w:rsidP="00A31137">
      <w:r w:rsidRPr="00A31137">
        <w:t>1992, Wyoming v. Oklahoma, 502 U.S. 457</w:t>
      </w:r>
    </w:p>
    <w:p w:rsidR="00A31137" w:rsidRPr="00A31137" w:rsidRDefault="00A31137" w:rsidP="00A31137">
      <w:r w:rsidRPr="00A31137">
        <w:t>has determined that effective and helpful ways of ensuring lower local utility rates include 1) reducing over-dependence on a single source of supply, a single [502 U.S. 458] fuel transporter, and 2) conserving needed low-sulfur coal for the future.</w:t>
      </w:r>
    </w:p>
    <w:p w:rsidR="00A31137" w:rsidRPr="00A31137" w:rsidRDefault="00A31137" w:rsidP="00A31137">
      <w:r w:rsidRPr="00A31137">
        <w:t>1992, Wyoming v. Oklahoma, 502 U.S. 458</w:t>
      </w:r>
    </w:p>
    <w:p w:rsidR="00A31137" w:rsidRPr="00A31137" w:rsidRDefault="00A31137" w:rsidP="00A31137">
      <w:r w:rsidRPr="00A31137">
        <w:t>Brief for Oklahoma 65. Even if the Act is accepted as part of the State's rate-regulating authority, we cannot accept the submission that it is exempt from scrutiny under the Commerce Clause. Congress must manifest its unambiguous intent before a federal statute will be read to permit or to approve such a violation of the Commerce Clause as Oklahoma here seeks to justify. Maine v. Taylor, 477 U.S. at  139; South-Central Timber Development, Inc. v. Wunnicke, 467 U.S. 82,  91 (1984). We have already examined § 824(b)(1) in New England Power Co. v. New Hampshire, 455 U.S. 331 (1982), and found nothing in the statute or legislative history "evinc[ing] a congressional intent 'to alter the limits of state power otherwise imposed by the Commerce Clause.'" Id. at 341 (quoting United States v. Public Utilities Comm'n of California, 345 U.S. 295, 304 (1953)). There is no hint in that opinion, as suggested by Oklahoma, that a partial—instead of total—ban would have been permissible, or that in-state purchasing quotas imposed on utilities in an effort to regulate utility rates are within the "lawful authority" of the States under by § 824(b)(1). Instead, our decision turned on the recognition that</w:t>
      </w:r>
    </w:p>
    <w:p w:rsidR="00A31137" w:rsidRPr="00A31137" w:rsidRDefault="00A31137" w:rsidP="00A31137">
      <w:r w:rsidRPr="00A31137">
        <w:t>1992, Wyoming v. Oklahoma, 502 U.S. 458</w:t>
      </w:r>
    </w:p>
    <w:p w:rsidR="00A31137" w:rsidRPr="00A31137" w:rsidRDefault="00A31137" w:rsidP="00A31137">
      <w:r w:rsidRPr="00A31137">
        <w:t>Congress did no more than leave standing whatever valid state laws then existed relating to the exportation of hydroelectric energy; by its plain terms, [§ 824(b)] simply saves from preemption under Part II of the Federal Power Act such state authority as was otherwise "lawful."</w:t>
      </w:r>
    </w:p>
    <w:p w:rsidR="00A31137" w:rsidRPr="00A31137" w:rsidRDefault="00A31137" w:rsidP="00A31137">
      <w:r w:rsidRPr="00A31137">
        <w:t>1992, Wyoming v. Oklahoma, 502 U.S. 458</w:t>
      </w:r>
    </w:p>
    <w:p w:rsidR="00A31137" w:rsidRPr="00A31137" w:rsidRDefault="00A31137" w:rsidP="00A31137">
      <w:r w:rsidRPr="00A31137">
        <w:t>New England Power Co., supra, 455 U.S. at 341. Our decisions have uniformly subjected Commerce Clause cases implicating the Federal Power Act to scrutiny on the merits. See, e.g., New England Power Co., supra; Arkansas Electric Cooperative Corp. v. Arkansas Public Service Comm'n, 461 U.S. 375, 393 (1983).</w:t>
      </w:r>
    </w:p>
    <w:p w:rsidR="00A31137" w:rsidRPr="00A31137" w:rsidRDefault="00A31137" w:rsidP="00A31137">
      <w:r w:rsidRPr="00A31137">
        <w:t>1992, Wyoming v. Oklahoma, 502 U.S. 458</w:t>
      </w:r>
    </w:p>
    <w:p w:rsidR="00A31137" w:rsidRPr="00A31137" w:rsidRDefault="00A31137" w:rsidP="00A31137">
      <w:r w:rsidRPr="00A31137">
        <w:t>We need say no more to conclude that Oklahoma has not met its burden of demonstrating a clear and unambiguous intent on behalf of Congress to permit the discrimination against interstate commerce occurring here. In light of the [502 U.S. 459] foregoing, we adopt the Special Master's conclusion that the Act manifests fatal defects under the Commerce Clause.</w:t>
      </w:r>
    </w:p>
    <w:p w:rsidR="00A31137" w:rsidRPr="00A31137" w:rsidRDefault="00A31137" w:rsidP="00A31137">
      <w:r w:rsidRPr="00A31137">
        <w:t>IV</w:t>
      </w:r>
    </w:p>
    <w:p w:rsidR="00A31137" w:rsidRPr="00A31137" w:rsidRDefault="00A31137" w:rsidP="00A31137">
      <w:r w:rsidRPr="00A31137">
        <w:t>1992, Wyoming v. Oklahoma, 502 U.S. 459</w:t>
      </w:r>
    </w:p>
    <w:p w:rsidR="00A31137" w:rsidRPr="00A31137" w:rsidRDefault="00A31137" w:rsidP="00A31137">
      <w:r w:rsidRPr="00A31137">
        <w:t>Finally, we address a question of severability raised in the exceptions filed by Wyoming to the Special Master's Report.</w:t>
      </w:r>
    </w:p>
    <w:p w:rsidR="00A31137" w:rsidRPr="00A31137" w:rsidRDefault="00A31137" w:rsidP="00A31137">
      <w:r w:rsidRPr="00A31137">
        <w:t>1992, Wyoming v. Oklahoma, 502 U.S. 459</w:t>
      </w:r>
    </w:p>
    <w:p w:rsidR="00A31137" w:rsidRPr="00A31137" w:rsidRDefault="00A31137" w:rsidP="00A31137">
      <w:r w:rsidRPr="00A31137">
        <w:t>The GRDA is an agency of the State of Oklahoma, and, as such, Oklahoma acts as a market participant in directing its purchases of coal. We have recognized that the Commerce Clause does not restrict the State's action as a free market participant. Reeves, Inc. v. Stake, 447 U.S. 429, 436-437 (1980); Hughes v. Alexandria Scrap Corp., 426 U.S. 794, 806-810 (1976). The Special Master recommends that the market-participant exception is available to Oklahoma, but only if the application of the Act to the GRDA may be considered separately, or severed, from its application to the three private utilities. As the determination of severability will, in this situation, be one of state law, Hooper v. Bernalillo County Assessor, 472 U.S. 612, 624 (1985), the Special Master recommends that we enter judgment with respect to the three private utilities but dismiss Wyoming's complaint as it relates to the GRDA without prejudice to the right of Wyoming to reassert the claim in an "appropriate forum." Report of Special Master 32. We sustain Wyoming's exception to these recommendations of the Special Master. This action is one between two States presented under our original jurisdiction; this Court is the appropriate forum to decide issues necessary to afford the complaining State complete relief. Cf. Dorch v. Kansas, 264 U.S. 286, 291 (1924). We deem it proper and advisable to address the issue of severability ourselves.</w:t>
      </w:r>
    </w:p>
    <w:p w:rsidR="00A31137" w:rsidRPr="00A31137" w:rsidRDefault="00A31137" w:rsidP="00A31137">
      <w:r w:rsidRPr="00A31137">
        <w:t>1992, Wyoming v. Oklahoma, 502 U.S. 459</w:t>
      </w:r>
    </w:p>
    <w:p w:rsidR="00A31137" w:rsidRPr="00A31137" w:rsidRDefault="00A31137" w:rsidP="00A31137">
      <w:r w:rsidRPr="00A31137">
        <w:t>In the alternative, the Special Master looked to Oklahoma law and found the Act severable as to the GRDA, a conclusion with which we disagree. It is true that Oklahoma courts have held that valid portions of a statute are severable</w:t>
      </w:r>
    </w:p>
    <w:p w:rsidR="00A31137" w:rsidRPr="00A31137" w:rsidRDefault="00A31137" w:rsidP="00A31137">
      <w:r w:rsidRPr="00A31137">
        <w:t>1992, Wyoming v. Oklahoma, 502 U.S. 459</w:t>
      </w:r>
    </w:p>
    <w:p w:rsidR="00A31137" w:rsidRPr="00A31137" w:rsidRDefault="00A31137" w:rsidP="00A31137">
      <w:r w:rsidRPr="00A31137">
        <w:t>"unless it is evident that the Legislature would not [502 U.S. 460] have enacted the valid provisions with the invalid provisions removed, if with the invalid provisions removed the rest of the act is fully operative as a law."</w:t>
      </w:r>
    </w:p>
    <w:p w:rsidR="00A31137" w:rsidRPr="00A31137" w:rsidRDefault="00A31137" w:rsidP="00A31137">
      <w:r w:rsidRPr="00A31137">
        <w:t>1992, Wyoming v. Oklahoma, 502 U.S. 460</w:t>
      </w:r>
    </w:p>
    <w:p w:rsidR="00A31137" w:rsidRPr="00A31137" w:rsidRDefault="00A31137" w:rsidP="00A31137">
      <w:r w:rsidRPr="00A31137">
        <w:t>Englebrecht v. Day, 201 Okla. 585, 591, 208 P.2d 538, 544 (1949) (citing Sterling Refining Co. v. Walker, 165 Okla. 45, 25 P.2d 312 (1933)). It is also true that, under Oklahoma law, a severability clause in a statute creates a presumption that the Legislature would have adopted the statute with the unconstitutional portions omitted. Ibid.; see Champlin Refining Co. v. Corporation Commission of Oklahoma, 286 U.S. 210, 234-235 (1932) (inquiring into severability under Oklahoma law). The Act in this case contains a severability provision:</w:t>
      </w:r>
    </w:p>
    <w:p w:rsidR="00A31137" w:rsidRPr="00A31137" w:rsidRDefault="00A31137" w:rsidP="00A31137">
      <w:r w:rsidRPr="00A31137">
        <w:t>1992, Wyoming v. Oklahoma, 502 U.S. 460</w:t>
      </w:r>
    </w:p>
    <w:p w:rsidR="00A31137" w:rsidRPr="00A31137" w:rsidRDefault="00A31137" w:rsidP="00A31137">
      <w:r w:rsidRPr="00A31137">
        <w:t>The provisions of this act are severable and if any part or provision shall be held void, the decision of the court so holding shall not affect or impair any of the remaining parts or provisions of this act.</w:t>
      </w:r>
    </w:p>
    <w:p w:rsidR="00A31137" w:rsidRPr="00A31137" w:rsidRDefault="00A31137" w:rsidP="00A31137">
      <w:r w:rsidRPr="00A31137">
        <w:t>1992, Wyoming v. Oklahoma, 502 U.S. 460</w:t>
      </w:r>
    </w:p>
    <w:p w:rsidR="00A31137" w:rsidRPr="00A31137" w:rsidRDefault="00A31137" w:rsidP="00A31137">
      <w:r w:rsidRPr="00A31137">
        <w:t>Act of Mar. 26, 1986, Ch. 43, § 3, 1986 Okla.Sess.Laws 74. But there are no parts or separate provisions in the invalid § 939 of the Act. It applies to "[a]ll entities providing electric power for sale to the consumer in Oklahoma," and commands them to purchase 10% Oklahoma-mined coal. Okla.Stat., Tit. 45, § 939 (Supp.1988). Nothing remains to be saved once that provision is stricken. Accordingly, the Act must stand or fall as a whole.</w:t>
      </w:r>
    </w:p>
    <w:p w:rsidR="00A31137" w:rsidRPr="00A31137" w:rsidRDefault="00A31137" w:rsidP="00A31137">
      <w:r w:rsidRPr="00A31137">
        <w:t>1992, Wyoming v. Oklahoma, 502 U.S. 460</w:t>
      </w:r>
    </w:p>
    <w:p w:rsidR="00A31137" w:rsidRPr="00A31137" w:rsidRDefault="00A31137" w:rsidP="00A31137">
      <w:r w:rsidRPr="00A31137">
        <w:t>We decline Oklahoma's suggestion that the term "all entities" be read to uphold the Act only as to the GRDA, for it is clearly not this Court's province to rewrite a state statute. If "all entities" is to mean "the GRDA" or "state-owned utilities," the Oklahoma Legislature must be the one to decide. Indeed, this argument perceives the nature of the severability clause to be much different than that written by the Oklahoma Legislature. Severability clauses may easily be written to provide that, if application of a statute to some classes is found unconstitutional, severance of those classes permits [502 U.S. 461] application to the acceptable classes. 14 Moreover, the statute could itself have been written to address explicitly the GRDA. 15 The legislature here chose neither course.</w:t>
      </w:r>
    </w:p>
    <w:p w:rsidR="00A31137" w:rsidRPr="00A31137" w:rsidRDefault="00A31137" w:rsidP="00A31137">
      <w:r w:rsidRPr="00A31137">
        <w:t>1992, Wyoming v. Oklahoma, 502 U.S. 461</w:t>
      </w:r>
    </w:p>
    <w:p w:rsidR="00A31137" w:rsidRPr="00A31137" w:rsidRDefault="00A31137" w:rsidP="00A31137">
      <w:r w:rsidRPr="00A31137">
        <w:t>The State provides no additional insight into the intent of its legislature on this question. The Act would become a fundamentally different piece of legislation were it construed to apply only to the GRDA. We leave to the Oklahoma Legislature to decide whether it wishes to burden this state-owned utility when private utilities will otherwise be free of the Act's restrictions.</w:t>
      </w:r>
    </w:p>
    <w:p w:rsidR="00A31137" w:rsidRPr="00A31137" w:rsidRDefault="00A31137" w:rsidP="00A31137">
      <w:r w:rsidRPr="00A31137">
        <w:t>V</w:t>
      </w:r>
    </w:p>
    <w:p w:rsidR="00A31137" w:rsidRPr="00A31137" w:rsidRDefault="00A31137" w:rsidP="00A31137">
      <w:r w:rsidRPr="00A31137">
        <w:t>1992, Wyoming v. Oklahoma, 502 U.S. 461</w:t>
      </w:r>
    </w:p>
    <w:p w:rsidR="00A31137" w:rsidRPr="00A31137" w:rsidRDefault="00A31137" w:rsidP="00A31137">
      <w:r w:rsidRPr="00A31137">
        <w:t>We deny Oklahoma's motion for summary judgment and grant that of Wyoming. In sum, we hold that the Act is unconstitutional under the Commerce Clause. No portion is severable as to any entity touched by its mandate. A judgment and decree to that effect and enjoining enforcement of the Act will be entered. Jurisdiction over the case is retained in the event that further proceedings are required to implement the judgment.</w:t>
      </w:r>
    </w:p>
    <w:p w:rsidR="00A31137" w:rsidRPr="00A31137" w:rsidRDefault="00A31137" w:rsidP="00A31137">
      <w:r w:rsidRPr="00A31137">
        <w:t>1992, Wyoming v. Oklahoma, 502 U.S. 461</w:t>
      </w:r>
    </w:p>
    <w:p w:rsidR="00A31137" w:rsidRPr="00A31137" w:rsidRDefault="00A31137" w:rsidP="00A31137">
      <w:r w:rsidRPr="00A31137">
        <w:t>So ordered.</w:t>
      </w:r>
    </w:p>
    <w:p w:rsidR="00A31137" w:rsidRPr="00A31137" w:rsidRDefault="00A31137" w:rsidP="00A31137">
      <w:r w:rsidRPr="00A31137">
        <w:t>SCALIA, J., dissenting</w:t>
      </w:r>
    </w:p>
    <w:p w:rsidR="00A31137" w:rsidRPr="00A31137" w:rsidRDefault="00A31137" w:rsidP="00A31137">
      <w:r w:rsidRPr="00A31137">
        <w:t>1992, Wyoming v. Oklahoma, 502 U.S. 461</w:t>
      </w:r>
    </w:p>
    <w:p w:rsidR="00A31137" w:rsidRPr="00A31137" w:rsidRDefault="00A31137" w:rsidP="00A31137">
      <w:r w:rsidRPr="00A31137">
        <w:t>JUSTICE SCALIA, with whom THE CHIEF JUSTICE and JUSTICE THOMAS join, dissenting.</w:t>
      </w:r>
    </w:p>
    <w:p w:rsidR="00A31137" w:rsidRPr="00A31137" w:rsidRDefault="00A31137" w:rsidP="00A31137">
      <w:r w:rsidRPr="00A31137">
        <w:t>1992, Wyoming v. Oklahoma, 502 U.S. 461</w:t>
      </w:r>
    </w:p>
    <w:p w:rsidR="00A31137" w:rsidRPr="00A31137" w:rsidRDefault="00A31137" w:rsidP="00A31137">
      <w:r w:rsidRPr="00A31137">
        <w:t>In the almost century and a half since we first entered the business of entertaining "negative Commerce Clause" actions, see Cooley v. Board of Wardens of Port of Philadelphia, 53 U.S. (12 How.) 299 (1852), I think it safe to say that the federal courts have [502 U.S. 462] never been plagued by a shortage of these suits brought by private parties, and that the nontextual elements of the Commerce Clause have not gone unenforced for lack of willing litigants. Today, however, when the coal companies with sales allegedly affected by the Oklahoma law have, for whatever reason, chosen not to litigate, the Court sees fit, for the first time, to recognize a State's standing to bring a negative Commerce Clause action on the basis of its consequential loss of tax revenue. That is a major step, and I think it is wrong. Even if it were correct, however, summary judgment that Wyoming suffered consequential loss of tax revenue in the present case would be unjustified. I would deny Wyoming's motion for summary judgment, and grant Oklahoma's.</w:t>
      </w:r>
    </w:p>
    <w:p w:rsidR="00A31137" w:rsidRPr="00A31137" w:rsidRDefault="00A31137" w:rsidP="00A31137">
      <w:r w:rsidRPr="00A31137">
        <w:t>I</w:t>
      </w:r>
    </w:p>
    <w:p w:rsidR="00A31137" w:rsidRPr="00A31137" w:rsidRDefault="00A31137" w:rsidP="00A31137">
      <w:r w:rsidRPr="00A31137">
        <w:t>1992, Wyoming v. Oklahoma, 502 U.S. 462</w:t>
      </w:r>
    </w:p>
    <w:p w:rsidR="00A31137" w:rsidRPr="00A31137" w:rsidRDefault="00A31137" w:rsidP="00A31137">
      <w:r w:rsidRPr="00A31137">
        <w:t>At the outset, let me address briefly the Court's suggestion that our previous rejections of Oklahoma's standing objections—when we granted Wyoming leave to file its complaint and when we denied Oklahoma's motion to dismiss for want of standing—somehow impede us from considering that objection today. Ante at  446. To begin with, the "law-of-the-case principles" which the Court suggests should be persuasive albeit not necessarily binding in original actions, ibid., have never to my knowledge been applied to jurisdictional issues raised (or re-raised) before final judgment. To the contrary, it is a court's obligation to dismiss a case whenever it becomes convinced that it has no proper jurisdiction, no matter how late that wisdom may arrive. See Fed.Rule Civ.Proc. 12(h)(3) ("Whenever it appears…that the court lacks jurisdiction of the subject matter, the court shall dismiss the action") (emphasis added). See also Jenkins v. McKeithen, 395 U.S. 411, 421 (1969). Of course this does not mean that a court need let itself be troubled by the same jurisdictional objection raised over and over again, when it has thoroughly considered that issue once and remains convinced that it resolved the issue correctly. But that is quite [502 U.S. 463] different from "law of the case," which would give effect even to an erroneous decision, simply because it has already been made.</w:t>
      </w:r>
    </w:p>
    <w:p w:rsidR="00A31137" w:rsidRPr="00A31137" w:rsidRDefault="00A31137" w:rsidP="00A31137">
      <w:r w:rsidRPr="00A31137">
        <w:t>1992, Wyoming v. Oklahoma, 502 U.S. 463</w:t>
      </w:r>
    </w:p>
    <w:p w:rsidR="00A31137" w:rsidRPr="00A31137" w:rsidRDefault="00A31137" w:rsidP="00A31137">
      <w:r w:rsidRPr="00A31137">
        <w:t>And in the present case, we have not considered the standing issue thoroughly once before. We disposed of Oklahoma's preliminary standing objections summarily, without oral argument and without opinion. I considered us to be deciding at that time, not, once for all, that standing existed, but simply that the absence of standing was not so clear that our normal practice of permitting the suit to be filed and of referring all questions (including the standing question) to a special master should be short-circuited. The parties apparently understood our action that way, since the standing issue was raised (without "law-of-the-case" objection from Wyoming) before the Special Master. And the Master certainly did not think that we had conclusively decided the point, since he received argument on it, and discussed it as the very first of the "three legal issues that require a recommendation to the Court." Report of the Special Master at 10. If the Special Master was not precluded by our prior action, it is hard to understand why we ourselves would be.</w:t>
      </w:r>
    </w:p>
    <w:p w:rsidR="00A31137" w:rsidRPr="00A31137" w:rsidRDefault="00A31137" w:rsidP="00A31137">
      <w:r w:rsidRPr="00A31137">
        <w:t>1992, Wyoming v. Oklahoma, 502 U.S. 463</w:t>
      </w:r>
    </w:p>
    <w:p w:rsidR="00A31137" w:rsidRPr="00A31137" w:rsidRDefault="00A31137" w:rsidP="00A31137">
      <w:r w:rsidRPr="00A31137">
        <w:t>There is no unfairness to Wyoming in this. To be sure, we might have given the standing question full-dress consideration to begin with, and, if we concluded in Oklahoma's favor, could have spared the parties lengthy proceedings before the Special Master. But the same could be said of the substantive issue of whether the Act violated the Commerce Clause. Our choice not to proceed in that fashion was both in accord with ordinary practice and, in my view, sound. Almost all other litigants must go through at least two other courts before their case receives our attention. It has become our practice in original jurisdiction cases to require preliminary proceedings before a special master, to evaluate the facts and sharpen the issues. Wyoming has no cause for complaint that we did that here, and we should not distort [502 U.S. 464] our jurisdictional holding on the basis of some misguided feeling of estoppel.</w:t>
      </w:r>
    </w:p>
    <w:p w:rsidR="00A31137" w:rsidRPr="00A31137" w:rsidRDefault="00A31137" w:rsidP="00A31137">
      <w:r w:rsidRPr="00A31137">
        <w:t>1992, Wyoming v. Oklahoma, 502 U.S. 464</w:t>
      </w:r>
    </w:p>
    <w:p w:rsidR="00A31137" w:rsidRPr="00A31137" w:rsidRDefault="00A31137" w:rsidP="00A31137">
      <w:r w:rsidRPr="00A31137">
        <w:t xml:space="preserve">Finally, even if the Court were correct that some "change of circumstance," ante at  446, ought to be presented before the jurisdictional objection that we denied so cursorily at the preliminary stage can be reraised, such a change, in fact, exists. The litigation has reached a new stage, having proceeded from a motion for judgment on the pleadings (which we denied) to cross-motions for summary judgment (which the Special Master recommended resolving in favor of Wyoming). When a district court denies the former, it need feel no compunction of consistency to deny the latter; and the same is true for us. The standing issue is obviously subject to different evaluation, depending upon the stage the litigation has reached. A plaintiff may survive a motion to dismiss for lack of injury-in-fact by merely alleging that a string of occurrences commencing with the challenged act has caused him injury; at that stage, we presume that "general allegations embrace those specific facts that are necessary to support the claim," Lujan v. National Wildlife Federation, 497 U.S. 871, 889 (1990). See also Whitmore v. Arkansas, 495 U.S. 149, 158-159 (1990). A plaintiff cannot, however, on the basis of the same generalizations, obtain or avoid summary judgment, where a moving party must "show that there is no genuine issue as to any material fact," Fed.Rule Civ.Proc. 56(c), and where a nonmoving party cannot rest on "mere allegations" to counter a properly supported motion, but must set forth "specific facts" through affidavits or other evidence, Fed.Rule Civ.Proc. 56(e). See Lujan, supra, at 884-885. See also Gladstone, Realtors v. Village of Bellwood, 441 U.S. 91, 115 and n. 31 (1979). It is the adequacy of these presentations that Oklahoma now asks us to evaluate—and we have not evaluated them before. [502 U.S. 465] </w:t>
      </w:r>
    </w:p>
    <w:p w:rsidR="00A31137" w:rsidRPr="00A31137" w:rsidRDefault="00A31137" w:rsidP="00A31137">
      <w:r w:rsidRPr="00A31137">
        <w:t>II</w:t>
      </w:r>
    </w:p>
    <w:p w:rsidR="00A31137" w:rsidRPr="00A31137" w:rsidRDefault="00A31137" w:rsidP="00A31137">
      <w:r w:rsidRPr="00A31137">
        <w:t>1992, Wyoming v. Oklahoma, 502 U.S. 465</w:t>
      </w:r>
    </w:p>
    <w:p w:rsidR="00A31137" w:rsidRPr="00A31137" w:rsidRDefault="00A31137" w:rsidP="00A31137">
      <w:r w:rsidRPr="00A31137">
        <w:t>It is axiomatic that "a litigant first must clearly demonstrate that he has suffered an 'injury in fact'" in order to assert Article III standing to sue. Whitmore, supra, 495 U.S. at 155. In assessing a claim to injury, "[w]e presume that federal courts lack jurisdiction unless the contrary appears affirmatively from the record," Renne v. Geary, 501 U.S. 312, 316 (1991) (quotation omitted). See also Bender v. Williamsport Area School Dist., 475 U.S. 534, 546 (1986); it is accordingly "the burden of the party who seeks the exercise of jurisdiction in his favor…clearly to allege facts demonstrating" that he has been injured. FW/PBS, Inc. v. Dallas, 493 U.S. 215, 231 (1990). This burden is "substantially more difficult" to bear when the asserted injury is "highly indirect and results from the independent action of some third party not before the court"—for the simple reason that there are more variables involved. Allen v. Wright, 468 U.S. 737, 757-759 (1984). See also Simon v. Eastern Kentucky Welfare Rights Organization, 426 U.S. 26, 42, 44-45 (1976); Warth v. Seldin, 422 U.S. 490, 504-505 (1976). It is incumbent upon the plaintiff to eliminate those variables through "specific, concrete facts," showing that the third party actually acted as he maintains and that the injury actually occurred. Warth, supra, at 508.</w:t>
      </w:r>
    </w:p>
    <w:p w:rsidR="00A31137" w:rsidRPr="00A31137" w:rsidRDefault="00A31137" w:rsidP="00A31137">
      <w:r w:rsidRPr="00A31137">
        <w:t>1992, Wyoming v. Oklahoma, 502 U.S. 465</w:t>
      </w:r>
    </w:p>
    <w:p w:rsidR="00A31137" w:rsidRPr="00A31137" w:rsidRDefault="00A31137" w:rsidP="00A31137">
      <w:r w:rsidRPr="00A31137">
        <w:t>As I have mentioned, the plaintiff's success in meeting this burden is to be assessed under the rules governing the stage the litigation has reached. See Lujan, 497 U.S. at 884-885. See also Gladstone, supra, 441 U.S. at 115 and n. 31; Simon, supra, 426 U.S. at 45 n. 25; Warth, supra, 422 U.S. at 527 and n. 6 (Brennan, J., dissenting). Wyoming's motion for summary judgment thus cannot be granted unless Wyoming has demonstrated "that there is no genuine issue" as to its injury, Fed.Rule Civ.Proc. 56(c), see Adickes v. S.H. Kress &amp; Co., 398 U.S. 144, 157 (1970)—which means that, "[i]f reasonable minds could differ as to the import of the evidence," the motion must be [502 U.S. 466] denied, Anderson v. Liberty Lobby, Inc., 477 U.S. 242, 250-251 (1986). To be entitled to prevail at this stage, therefore, Wyoming must have submitted "specific, concrete facts," Warth, supra, 422 U.S. at 508, which, when "viewed in the light most favorable" to Oklahoma, "foreclose" all reasonable inferences that Wyoming was not injured by the Act, Adickes, supra, 398 U.S. at 157. Wyoming has not in my view remotely carried that burden, and the Special Master's recommendation to grant its motion for summary judgment must be rejected.</w:t>
      </w:r>
    </w:p>
    <w:p w:rsidR="00A31137" w:rsidRPr="00A31137" w:rsidRDefault="00A31137" w:rsidP="00A31137">
      <w:r w:rsidRPr="00A31137">
        <w:t>1992, Wyoming v. Oklahoma, 502 U.S. 466</w:t>
      </w:r>
    </w:p>
    <w:p w:rsidR="00A31137" w:rsidRPr="00A31137" w:rsidRDefault="00A31137" w:rsidP="00A31137">
      <w:r w:rsidRPr="00A31137">
        <w:t>The Special Master apparently thought Wyoming's injury unquestionable, because it is undisputed that, since the Act's effective date, Oklahoma utilities have bought less Wyoming coal as a percentage of their coal purchases. Report of the Special Master at 11. I am willing to assume for the sake of argument that that undisputed fact compels the inference that less Wyoming coal was sold in Oklahoma as a result of the Act. To establish injury, however, Wyoming had to show not merely that the statute caused Oklahoma sales to be lost, but that it prevented Wyoming "severances" of coal from occurring. Wyoming does not tax sales of coal to Oklahoma utilities; it taxes severances.   The loss of a particular Oklahoma sale would not hurt Wyoming's treasury at all unless (1) the coal that was the subject of that sale was not severed to be sold elsewhere, or (2) if it was severed to be sold elsewhere, that latter sale (and severance) would have occurred even if the Oklahoma sale had been made.</w:t>
      </w:r>
    </w:p>
    <w:p w:rsidR="00A31137" w:rsidRPr="00A31137" w:rsidRDefault="00A31137" w:rsidP="00A31137">
      <w:r w:rsidRPr="00A31137">
        <w:t>1992, Wyoming v. Oklahoma, 502 U.S. 466</w:t>
      </w:r>
    </w:p>
    <w:p w:rsidR="00A31137" w:rsidRPr="00A31137" w:rsidRDefault="00A31137" w:rsidP="00A31137">
      <w:r w:rsidRPr="00A31137">
        <w:t>The Court o'erleaps this inconvenient obstacle by asserting that "a loss of specific tax revenues [is] an undisputed fact here." Ante at  448. I cannot imagine where this helpful concession comes from. The Special Master listed the undisputed facts, and it is not among them. See Report of Special Master at 2-10, 11.</w:t>
      </w:r>
    </w:p>
    <w:p w:rsidR="00A31137" w:rsidRPr="00A31137" w:rsidRDefault="00A31137" w:rsidP="00A31137">
      <w:r w:rsidRPr="00A31137">
        <w:t>1992, Wyoming v. Oklahoma, 502 U.S. 466</w:t>
      </w:r>
    </w:p>
    <w:p w:rsidR="00A31137" w:rsidRPr="00A31137" w:rsidRDefault="00A31137" w:rsidP="00A31137">
      <w:r w:rsidRPr="00A31137">
        <w:t>The Court also appears to believe that the second of the above described means of connecting sales loss with tax loss is established by the fact that "Wyoming has a significant [502 U.S. 467] excess mining capacity"; this fact, according to the Court, necessarily means that "the loss of any market cannot be made up by sales elsewhere." Ante at 445,  446. That is not so. Excess capacity can mean the existence of facilities capable of producing additional quantities of goods that can be sold for a profit at current market prices—in which case the loss of one sale cannot really be "replaced" by the gain of another. But excess capacity need not mean that. It can also mean the existence of facilities that lie fallow because, although they can produce additional quantities of goods, they cannot do so at a cost that will yield a profit at current market prices. Innumerable capped or unexploited oil wells in this country exemplify that phenomenon. If that is the sort of excess capacity the Wyoming coal industry has, it nonetheless has a limited capability of sales at current market prices—in which case, so long as that capability has been fully achieved, no tax revenue has been lost.</w:t>
      </w:r>
    </w:p>
    <w:p w:rsidR="00A31137" w:rsidRPr="00A31137" w:rsidRDefault="00A31137" w:rsidP="00A31137">
      <w:r w:rsidRPr="00A31137">
        <w:t>1992, Wyoming v. Oklahoma, 502 U.S. 467</w:t>
      </w:r>
    </w:p>
    <w:p w:rsidR="00A31137" w:rsidRPr="00A31137" w:rsidRDefault="00A31137" w:rsidP="00A31137">
      <w:r w:rsidRPr="00A31137">
        <w:t>The excess capacity attested to by Wyoming's experts may well have been of this latter sort, since it was said to have been created in response to 1970s "forecasts of high demand growth." Affidavit of Seth Schwartz 2. Higher demand generally means higher prices, and the coal companies might well have brought new, higher-cost production facilities on line (for example, deep-pit mines) that are at current prices not competitive. Even if the entire "excess capacity" is competitive, since much of it came (according to Wyoming's expert) from the opening of "new mines," ibid. another possibility is that the Wyoming industry responded to less-than-anticipated demand in an efficient manner—buy closing down some of the mines entirely, rather than leaving them all in operation at a fraction of capacity. Under these conditions, it might well not pay a particular company to make a particular additional sale, if that additional sale would require the [502 U.S. 468] reopening of an additional mine, with the incremental cost that entails.*</w:t>
      </w:r>
    </w:p>
    <w:p w:rsidR="00A31137" w:rsidRPr="00A31137" w:rsidRDefault="00A31137" w:rsidP="00A31137">
      <w:r w:rsidRPr="00A31137">
        <w:t>1992, Wyoming v. Oklahoma, 502 U.S. 468</w:t>
      </w:r>
    </w:p>
    <w:p w:rsidR="00A31137" w:rsidRPr="00A31137" w:rsidRDefault="00A31137" w:rsidP="00A31137">
      <w:r w:rsidRPr="00A31137">
        <w:t>The speculations Wyoming invites us to engage in are certainly plausible (though one must be given pause by the fact that the Wyoming coal companies themselves—who, if Wyoming is right, have lost not just the tax on the severances but the entire profits—have not chosen to litigate). Were this a trial on the record, I might well conclude that it is more likely than not that Wyoming was injured. But "at the summary judgment stage, [our] function is not to weigh the evidence." Anderson, 477 U.S. at 249. It has at least not been conclusively established that Wyoming coal producers would have sold coal in addition to that diverted from the (presumably) lost Oklahoma sales. A genuine issue of material fact thus exists, and the Special Master's recommendation that we grant Wyoming's motion for summary judgment must be rejected.</w:t>
      </w:r>
    </w:p>
    <w:p w:rsidR="00A31137" w:rsidRPr="00A31137" w:rsidRDefault="00A31137" w:rsidP="00A31137">
      <w:r w:rsidRPr="00A31137">
        <w:t>III</w:t>
      </w:r>
    </w:p>
    <w:p w:rsidR="00A31137" w:rsidRPr="00A31137" w:rsidRDefault="00A31137" w:rsidP="00A31137">
      <w:r w:rsidRPr="00A31137">
        <w:t>1992, Wyoming v. Oklahoma, 502 U.S. 468</w:t>
      </w:r>
    </w:p>
    <w:p w:rsidR="00A31137" w:rsidRPr="00A31137" w:rsidRDefault="00A31137" w:rsidP="00A31137">
      <w:r w:rsidRPr="00A31137">
        <w:t>Even if Wyoming had fully established, in the manner Rule 56 provides, the "injury in fact" required by Article III, I would still conclude that it does not have standing to bring this suit, and would grant Oklahoma's cross-motion for summary judgment.</w:t>
      </w:r>
    </w:p>
    <w:p w:rsidR="00A31137" w:rsidRPr="00A31137" w:rsidRDefault="00A31137" w:rsidP="00A31137">
      <w:r w:rsidRPr="00A31137">
        <w:t>1992, Wyoming v. Oklahoma, 502 U.S. 468</w:t>
      </w:r>
    </w:p>
    <w:p w:rsidR="00A31137" w:rsidRPr="00A31137" w:rsidRDefault="00A31137" w:rsidP="00A31137">
      <w:r w:rsidRPr="00A31137">
        <w:t>Beyond the constitutional requirements, the federal judiciary has also adhered to a set of prudential principles that bear on the question of standing.</w:t>
      </w:r>
    </w:p>
    <w:p w:rsidR="00A31137" w:rsidRPr="00A31137" w:rsidRDefault="00A31137" w:rsidP="00A31137">
      <w:r w:rsidRPr="00A31137">
        <w:t>1992, Wyoming v. Oklahoma, 502 U.S. 468</w:t>
      </w:r>
    </w:p>
    <w:p w:rsidR="00A31137" w:rsidRPr="00A31137" w:rsidRDefault="00A31137" w:rsidP="00A31137">
      <w:r w:rsidRPr="00A31137">
        <w:t>Valley Forge Christian College v. Americans United for Separation of Church and State, Inc., 454 U.S. 464, 474 (1982). [502 U.S. 469] One of these is the requirement that the plaintiff</w:t>
      </w:r>
    </w:p>
    <w:p w:rsidR="00A31137" w:rsidRPr="00A31137" w:rsidRDefault="00A31137" w:rsidP="00A31137">
      <w:r w:rsidRPr="00A31137">
        <w:t>1992, Wyoming v. Oklahoma, 502 U.S. 469</w:t>
      </w:r>
    </w:p>
    <w:p w:rsidR="00A31137" w:rsidRPr="00A31137" w:rsidRDefault="00A31137" w:rsidP="00A31137">
      <w:r w:rsidRPr="00A31137">
        <w:t>establish that the injury he complains of (his aggrievement, or the adverse effect upon him) falls within the "zone of interests" sought to be protected by the statut[e] [or constitutional guarantee] whose violation forms the legal basis for his complaint.</w:t>
      </w:r>
    </w:p>
    <w:p w:rsidR="00A31137" w:rsidRPr="00A31137" w:rsidRDefault="00A31137" w:rsidP="00A31137">
      <w:r w:rsidRPr="00A31137">
        <w:t>1992, Wyoming v. Oklahoma, 502 U.S. 469</w:t>
      </w:r>
    </w:p>
    <w:p w:rsidR="00A31137" w:rsidRPr="00A31137" w:rsidRDefault="00A31137" w:rsidP="00A31137">
      <w:r w:rsidRPr="00A31137">
        <w:t>Air Courier Conference of America v. American Postal Workers Union, 498 U.S. 517, 523-524 (1991) (quotation omitted). The "zone-of-interests" formulation first appeared in cases brought under § 10 of the Administrative Procedure Act, 5 U.S.C. § 702, see Association of Data Processing Service Organizations, Inc. v. Camp, 397 U.S. 150, 153 (1970), but we have subsequently made clear that the same test similarly governs claims under the Constitution in general, see, e.g., Valley Forge, supra, 454 U.S. at 475, and under the negative Commerce Clause in particular, see Boston Stock Exchange v. State Tax Comm'n, 429 U.S. 318, 320-321, n. 3 (1977). Indeed, we have indicated that it is more strictly applied when a plaintiff is proceeding under a "constitutional…provision" instead of the "generous review provisions of the APA." Clarke v. Securities Industry Assn., 479 U.S. 388, 400, n. 16 (1987).</w:t>
      </w:r>
    </w:p>
    <w:p w:rsidR="00A31137" w:rsidRPr="00A31137" w:rsidRDefault="00A31137" w:rsidP="00A31137">
      <w:r w:rsidRPr="00A31137">
        <w:t>1992, Wyoming v. Oklahoma, 502 U.S. 469</w:t>
      </w:r>
    </w:p>
    <w:p w:rsidR="00A31137" w:rsidRPr="00A31137" w:rsidRDefault="00A31137" w:rsidP="00A31137">
      <w:r w:rsidRPr="00A31137">
        <w:t>The zone-of-interests test</w:t>
      </w:r>
    </w:p>
    <w:p w:rsidR="00A31137" w:rsidRPr="00A31137" w:rsidRDefault="00A31137" w:rsidP="00A31137">
      <w:r w:rsidRPr="00A31137">
        <w:t>1992, Wyoming v. Oklahoma, 502 U.S. 469</w:t>
      </w:r>
    </w:p>
    <w:p w:rsidR="00A31137" w:rsidRPr="00A31137" w:rsidRDefault="00A31137" w:rsidP="00A31137">
      <w:r w:rsidRPr="00A31137">
        <w:t>denies a right of review if the plaintiff's interests are…marginally related to or inconsistent with the purposes implicit in the [constitutional provision].</w:t>
      </w:r>
    </w:p>
    <w:p w:rsidR="00A31137" w:rsidRPr="00A31137" w:rsidRDefault="00A31137" w:rsidP="00A31137">
      <w:r w:rsidRPr="00A31137">
        <w:t>1992, Wyoming v. Oklahoma, 502 U.S. 469</w:t>
      </w:r>
    </w:p>
    <w:p w:rsidR="00A31137" w:rsidRPr="00A31137" w:rsidRDefault="00A31137" w:rsidP="00A31137">
      <w:r w:rsidRPr="00A31137">
        <w:t>Id. at 394, 399. The usual starting point for zone-of-interests analysis is the text of the provision at issue, see Air Courier Conference, 498 U.S. at 524-525; since, however, the negative Commerce Clause is an inference, rather than a text, the starting point here must be the history and purposes of the inference, see id. at 526-527.</w:t>
      </w:r>
    </w:p>
    <w:p w:rsidR="00A31137" w:rsidRPr="00A31137" w:rsidRDefault="00A31137" w:rsidP="00A31137">
      <w:r w:rsidRPr="00A31137">
        <w:t>1992, Wyoming v. Oklahoma, 502 U.S. 469</w:t>
      </w:r>
    </w:p>
    <w:p w:rsidR="00A31137" w:rsidRPr="00A31137" w:rsidRDefault="00A31137" w:rsidP="00A31137">
      <w:r w:rsidRPr="00A31137">
        <w:t>Our negative-Commerce-Clause jurisprudence grew out of the notion that the Constitution implicitly established a national free market, under which, in Justice Jackson's words,</w:t>
      </w:r>
    </w:p>
    <w:p w:rsidR="00A31137" w:rsidRPr="00A31137" w:rsidRDefault="00A31137" w:rsidP="00A31137">
      <w:r w:rsidRPr="00A31137">
        <w:t>1992, Wyoming v. Oklahoma, 502 U.S. 469</w:t>
      </w:r>
    </w:p>
    <w:p w:rsidR="00A31137" w:rsidRPr="00A31137" w:rsidRDefault="00A31137" w:rsidP="00A31137">
      <w:r w:rsidRPr="00A31137">
        <w:t>every farmer and every craftsman shall be encouraged to produce by the certainty that he will have free access to every market in the Nation…[and] every consumer may [502 U.S. 470] look to the free competition from every producing area of the Nation to protect him from exploitation.</w:t>
      </w:r>
    </w:p>
    <w:p w:rsidR="00A31137" w:rsidRPr="00A31137" w:rsidRDefault="00A31137" w:rsidP="00A31137">
      <w:r w:rsidRPr="00A31137">
        <w:t>1992, Wyoming v. Oklahoma, 502 U.S. 470</w:t>
      </w:r>
    </w:p>
    <w:p w:rsidR="00A31137" w:rsidRPr="00A31137" w:rsidRDefault="00A31137" w:rsidP="00A31137">
      <w:r w:rsidRPr="00A31137">
        <w:t xml:space="preserve"> H.P. Hood &amp; Sons, Inc. v. DuMond, 336 U.S. 525,  539 (1949). Virtually every one of our cases in this area thus begins its analysis with some form of the incantation that</w:t>
      </w:r>
    </w:p>
    <w:p w:rsidR="00A31137" w:rsidRPr="00A31137" w:rsidRDefault="00A31137" w:rsidP="00A31137">
      <w:r w:rsidRPr="00A31137">
        <w:t>1992, Wyoming v. Oklahoma, 502 U.S. 470</w:t>
      </w:r>
    </w:p>
    <w:p w:rsidR="00A31137" w:rsidRPr="00A31137" w:rsidRDefault="00A31137" w:rsidP="00A31137">
      <w:r w:rsidRPr="00A31137">
        <w:t>the very purpose of the Commerce Clause was to create an area of free trade among the several States…[and the Clause] by its own force created an area of trade free from interference by the States.</w:t>
      </w:r>
    </w:p>
    <w:p w:rsidR="00A31137" w:rsidRPr="00A31137" w:rsidRDefault="00A31137" w:rsidP="00A31137">
      <w:r w:rsidRPr="00A31137">
        <w:t>1992, Wyoming v. Oklahoma, 502 U.S. 470</w:t>
      </w:r>
    </w:p>
    <w:p w:rsidR="00A31137" w:rsidRPr="00A31137" w:rsidRDefault="00A31137" w:rsidP="00A31137">
      <w:r w:rsidRPr="00A31137">
        <w:t>Westinghouse Electric Corp. v. Tully, 466 U.S. 388, 402-403 (1984); see also Boston Stock Exchange, 429 U.S. at 328; American Trucking Assns., Inc. v. Scheiner, 483 U.S. 266, 280 (1987). Just last Term, we said that the negative commerce clause "confer[s] a 'right' to engage in interstate trade free from restrictive state regulation," for it "was intended to benefit those who…are engaged in interstate commerce." Dennis v. Higgins, 498 U.S. 439, 448, 449 (1991).</w:t>
      </w:r>
    </w:p>
    <w:p w:rsidR="00A31137" w:rsidRPr="00A31137" w:rsidRDefault="00A31137" w:rsidP="00A31137">
      <w:r w:rsidRPr="00A31137">
        <w:t>1992, Wyoming v. Oklahoma, 502 U.S. 470</w:t>
      </w:r>
    </w:p>
    <w:p w:rsidR="00A31137" w:rsidRPr="00A31137" w:rsidRDefault="00A31137" w:rsidP="00A31137">
      <w:r w:rsidRPr="00A31137">
        <w:t>The coal companies, of course, would pass the zone-of-interests test. So would Wyoming if it bought or sold coal, or otherwise directly participated in the coal market. It would then be "asserting [its] right to engage in interstate commerce free of discriminat[ion]," Boston Stock Exchange, supra, 429 U.S. at 320-21, n. 3 (emphasis added). But Wyoming's right to collect taxes presents an entirely different category of interest, only marginally related to the national market/free trade foundation of our jurisprudence in this area; indeed, it is in a sense positively antagonistic to that objective, since all state taxes, even perfectly constitutional ones, burden interstate commerce by reducing profit. Thus, when state taxes have been at issue in our prior negative-Commerce-Clause cases, they have been the object of the plaintiff's challenge, rather than the basis for his standing, and we have looked upon the State's interest in tax collection as a value to be weighed against the purposes of our Commerce Clause jurisprudence. Thus, Wyoming's interest in this case falls far shorter of meeting the zone-of-interests [502 U.S. 471] test than did that of the plaintiff postal union in Air Courier Conference, supra, at 528: whereas the latter's interest in securing employment for postal workers, although distinct from the statute's goal of providing postal services to the citizenry, at least coincided with that goal a good amount of the time, here the asserted interest (tax collection) and the constitutional goal invoked to vindicate it (free trade) are antithetical.</w:t>
      </w:r>
    </w:p>
    <w:p w:rsidR="00A31137" w:rsidRPr="00A31137" w:rsidRDefault="00A31137" w:rsidP="00A31137">
      <w:r w:rsidRPr="00A31137">
        <w:t>1992, Wyoming v. Oklahoma, 502 U.S. 471</w:t>
      </w:r>
    </w:p>
    <w:p w:rsidR="00A31137" w:rsidRPr="00A31137" w:rsidRDefault="00A31137" w:rsidP="00A31137">
      <w:r w:rsidRPr="00A31137">
        <w:t>In seeming response to a zone-of-interests argument, the Court quotes, ante at  449, our statement in Hunt v. Washington Apple Advertising Comm'n, 432 U.S. 333,  345 (1977), that "the interests of the [Washington State Apple Advertising] Commission itself may be" at issue in the litigation, because,</w:t>
      </w:r>
    </w:p>
    <w:p w:rsidR="00A31137" w:rsidRPr="00A31137" w:rsidRDefault="00A31137" w:rsidP="00A31137">
      <w:r w:rsidRPr="00A31137">
        <w:t>1992, Wyoming v. Oklahoma, 502 U.S. 471</w:t>
      </w:r>
    </w:p>
    <w:p w:rsidR="00A31137" w:rsidRPr="00A31137" w:rsidRDefault="00A31137" w:rsidP="00A31137">
      <w:r w:rsidRPr="00A31137">
        <w:t>[i]n the event the North Carolina statute results in a contraction of the market for Washington apples or prevents any market expansion that might otherwise occur, it could reduce the amount of the assessments due the Commission.</w:t>
      </w:r>
    </w:p>
    <w:p w:rsidR="00A31137" w:rsidRPr="00A31137" w:rsidRDefault="00A31137" w:rsidP="00A31137">
      <w:r w:rsidRPr="00A31137">
        <w:t>1992, Wyoming v. Oklahoma, 502 U.S. 471</w:t>
      </w:r>
    </w:p>
    <w:p w:rsidR="00A31137" w:rsidRPr="00A31137" w:rsidRDefault="00A31137" w:rsidP="00A31137">
      <w:r w:rsidRPr="00A31137">
        <w:t>The Court fails to note that this statement was preceded by the square holding that the State Apple Advertising Commission had standing to sue as an association on behalf of its members, the apple growers and dealers (who were in the same position as the coal companies here):</w:t>
      </w:r>
    </w:p>
    <w:p w:rsidR="00A31137" w:rsidRPr="00A31137" w:rsidRDefault="00A31137" w:rsidP="00A31137">
      <w:r w:rsidRPr="00A31137">
        <w:t>1992, Wyoming v. Oklahoma, 502 U.S. 471</w:t>
      </w:r>
    </w:p>
    <w:p w:rsidR="00A31137" w:rsidRPr="00A31137" w:rsidRDefault="00A31137" w:rsidP="00A31137">
      <w:r w:rsidRPr="00A31137">
        <w:t>If the Commission were a voluntary membership organization—a typical trade association—its standing to bring this action as a representative of its constituents would be clear….</w:t>
      </w:r>
    </w:p>
    <w:p w:rsidR="00A31137" w:rsidRPr="00A31137" w:rsidRDefault="00A31137" w:rsidP="00A31137">
      <w:r w:rsidRPr="00A31137">
        <w:t>1992, Wyoming v. Oklahoma, 502 U.S. 471</w:t>
      </w:r>
    </w:p>
    <w:p w:rsidR="00A31137" w:rsidRPr="00A31137" w:rsidRDefault="00A31137" w:rsidP="00A31137">
      <w:r w:rsidRPr="00A31137">
        <w:t>The only question presented, therefore, is whether, on this record, the Commission's status as a state agency, rather than a traditional voluntary membership organization, precludes it from asserting the claims of the Washington apple growers and dealers who form its constituency. We think not.</w:t>
      </w:r>
    </w:p>
    <w:p w:rsidR="00A31137" w:rsidRPr="00A31137" w:rsidRDefault="00A31137" w:rsidP="00A31137">
      <w:r w:rsidRPr="00A31137">
        <w:t>1992, Wyoming v. Oklahoma, 502 U.S. 471</w:t>
      </w:r>
    </w:p>
    <w:p w:rsidR="00A31137" w:rsidRPr="00A31137" w:rsidRDefault="00A31137" w:rsidP="00A31137">
      <w:r w:rsidRPr="00A31137">
        <w:t>Id. at 342-344. Only after finding associational standing did we speculate, in the passage the Court quotes, that the Commission itself [502 U.S. 472] "may be" adversely affected because its revenue collections "could [be] reduce[d]." Id. at 345. I hardly think that musings of this sort are grounds for disregarding the obvious application of the zone-of-interests test to the present case—particularly as the Court in Hunt did not purport to be applying that test. The dicta in Hunt, moreover, were applying a since-repudiated understanding of the purpose of the standing requirement. Compare the last sentence of the passage quoted by the Court (taking the purpose to be "to 'assure that concrete adverseness which sharpens the presentation of issues…,'" ibid. quoting Baker v. Carr, 369 U.S. 186,  204 (1962)), with Allen, 468 U.S. at 750-752 (asserting that standing performs a separation of powers function, restricting the courts to their traditional role).</w:t>
      </w:r>
    </w:p>
    <w:p w:rsidR="00A31137" w:rsidRPr="00A31137" w:rsidRDefault="00A31137" w:rsidP="00A31137">
      <w:r w:rsidRPr="00A31137">
        <w:t>1992, Wyoming v. Oklahoma, 502 U.S. 472</w:t>
      </w:r>
    </w:p>
    <w:p w:rsidR="00A31137" w:rsidRPr="00A31137" w:rsidRDefault="00A31137" w:rsidP="00A31137">
      <w:r w:rsidRPr="00A31137">
        <w:t xml:space="preserve">Of course, if the state interest in collecting severance taxes does fall within the zone of interests of the Commerce Clause, so must every other state taxing interest. The zone-of-interest test, as opposed to the injury-in-fact requirement, turns on the type of interest asserted, and not on its speculativeness or its degree of attenuation from its alleged source. The injury-in-fact requirement, of course, will still remain, but if and when de facto causality can be established, every diminution of state revenue attributable to the allegedly unconstitutional commercial regulation of a sister State will now be the basis for a lawsuit. Suits based on loss of sales tax revenue ought to become a regular phenomenon, since it is no more difficult to show that an automatic sales tax was lost on a particular sale than it is to show that the severance tax was lost here. Further expansions of standing (or irrational distinctions) lurk just around the corner: if a State has a litigable interest in the taxes that would have been paid upon an unconstitutionally obstructed sale, there is no reasonable basis for saying that a company salesman does not have a litigable interest in the commissions that would have been paid, or a union in the wages that would have been earned. [502 U.S. 473] </w:t>
      </w:r>
    </w:p>
    <w:p w:rsidR="00A31137" w:rsidRPr="00A31137" w:rsidRDefault="00A31137" w:rsidP="00A31137">
      <w:r w:rsidRPr="00A31137">
        <w:t>1992, Wyoming v. Oklahoma, 502 U.S. 473</w:t>
      </w:r>
    </w:p>
    <w:p w:rsidR="00A31137" w:rsidRPr="00A31137" w:rsidRDefault="00A31137" w:rsidP="00A31137">
      <w:r w:rsidRPr="00A31137">
        <w:t>In abandoning the zone-of-interests test, the Court abandons our chosen means of giving expression, in the field of constitutional litigation, to the principle that "the judicial remedy cannot encompass every conceivable harm that can be traced to alleged wrongdoing." Associated General Contractors of California, Inc. v. Carpenters, 459 U.S. 519, 536 (1983). The "zone of interests" test performs the same role as many other judge-made rules circumscribing the availability of damages in tort and contract litigation—doctrines such as foreseeability and proximate cause, see, e.g., Palsgraf v. Long Island R. Co., 248 N.Y. 339, 162 N.E. 99 (1928); directness of injury, see, e.g., Associated General Contractors, supra, 459 U.S. at 540-541; the limitation on suits by third-party beneficiaries of contracts, see, e.g., Restatement (Second) of Contracts § 302(1) (1981); and the contemporaneous ownership rule governing shareholders' derivative actions, see, e.g., Fed.Rule Civ.Proc. 23.1. When courts abolish such limitations and require, as our opinion does today, nothing more than a showing of de facto causality, exposure to liability becomes immeasurable and the scope of litigation endless. If today's decision is adhered to, we can expect a sharp increase in state-against-state Commerce Clause suits; and if its rejection of the zone-of-interests test is applied logically, we can expect a sharp increase in all constitutional litigation.</w:t>
      </w:r>
    </w:p>
    <w:p w:rsidR="00A31137" w:rsidRPr="00A31137" w:rsidRDefault="00A31137" w:rsidP="00A31137">
      <w:r w:rsidRPr="00A31137">
        <w:t>*    *    *    *</w:t>
      </w:r>
    </w:p>
    <w:p w:rsidR="00A31137" w:rsidRPr="00A31137" w:rsidRDefault="00A31137" w:rsidP="00A31137">
      <w:r w:rsidRPr="00A31137">
        <w:t>1992, Wyoming v. Oklahoma, 502 U.S. 473</w:t>
      </w:r>
    </w:p>
    <w:p w:rsidR="00A31137" w:rsidRPr="00A31137" w:rsidRDefault="00A31137" w:rsidP="00A31137">
      <w:r w:rsidRPr="00A31137">
        <w:t>Of the three points I have discussed in the three portions of this opinion, I must believe that the first is the crucial one: the Court's reluctance, in an original action, to reconsider our initial denial of a motion to dismiss for lack of standing. I shall consider that to be an essential part of the holding of the case. I respectfully dissent.</w:t>
      </w:r>
    </w:p>
    <w:p w:rsidR="00A31137" w:rsidRPr="00A31137" w:rsidRDefault="00A31137" w:rsidP="00A31137">
      <w:r w:rsidRPr="00A31137">
        <w:t>THOMAS, J., dissenting</w:t>
      </w:r>
    </w:p>
    <w:p w:rsidR="00A31137" w:rsidRPr="00A31137" w:rsidRDefault="00A31137" w:rsidP="00A31137">
      <w:r w:rsidRPr="00A31137">
        <w:t>1992, Wyoming v. Oklahoma, 502 U.S. 473</w:t>
      </w:r>
    </w:p>
    <w:p w:rsidR="00A31137" w:rsidRPr="00A31137" w:rsidRDefault="00A31137" w:rsidP="00A31137">
      <w:r w:rsidRPr="00A31137">
        <w:t>JUSTICE THOMAS, with whom THE CHIEF JUSTICE and JUSTICE SCALIA join, dissenting.</w:t>
      </w:r>
    </w:p>
    <w:p w:rsidR="00A31137" w:rsidRPr="00A31137" w:rsidRDefault="00A31137" w:rsidP="00A31137">
      <w:r w:rsidRPr="00A31137">
        <w:t>1992, Wyoming v. Oklahoma, 502 U.S. 473</w:t>
      </w:r>
    </w:p>
    <w:p w:rsidR="00A31137" w:rsidRPr="00A31137" w:rsidRDefault="00A31137" w:rsidP="00A31137">
      <w:r w:rsidRPr="00A31137">
        <w:t>Even if I believed that Wyoming had standing to challenge the Oklahoma statute (which, for the reasons given by JUSTICE [502 U.S. 474] SCALIA, I do not), I would decline to exercise the Court's original jurisdiction here.</w:t>
      </w:r>
    </w:p>
    <w:p w:rsidR="00A31137" w:rsidRPr="00A31137" w:rsidRDefault="00A31137" w:rsidP="00A31137">
      <w:r w:rsidRPr="00A31137">
        <w:t>1992, Wyoming v. Oklahoma, 502 U.S. 474</w:t>
      </w:r>
    </w:p>
    <w:p w:rsidR="00A31137" w:rsidRPr="00A31137" w:rsidRDefault="00A31137" w:rsidP="00A31137">
      <w:r w:rsidRPr="00A31137">
        <w:t>The Constitution provides that "[i]n all Cases…in which a State shall be a Party, the supreme Court shall have original Jurisdiction." U.S.Const., Art. III, § 2, cl. 2. Congress, in turn, has provided that "[t]he Supreme Court shall have original and exclusive jurisdiction of all controversies between two or more States." 28 U.S.C. § 1251(a). Given these provisions, one might expect—assuming the existence of a "case" or "controversy"—that we would be required to exercise our original jurisdiction here, for a court having jurisdiction generally must exercise it. "We have no more right to decline the exercise of jurisdiction which is given, than to usurp that which is not given." Cohens v. Virginia, 19 U.S. 264,  404 (Marshall, C.J.). As the Court observes, however, ante at 450-451, we have exercised discretion in declining to hear cases that fall within the literal terms of our original jurisdiction. See, e.g., United States v. Nevada, 412 U.S. 534, 538 (1973) (per curiam) (controversy between the United States and individual States); Ohio v. Wyandotte Chemicals Corp., 401 U.S. 493, 497-99 (1971) (action by a State against the citizens of other States). We exercise this discretion even with respect to controversies between two or more States, which fall within our original and exclusive jurisdiction.* See, e.g., Texas v. New Mexico, [502 U.S. 475] 462 U.S. 554, 570 (1983); California v. Texas, 457 U.S. 164, 168 (1982) (per curiam); Maryland v. Louisiana, 451 U.S. 725, 739 (1981); Arizona v. New Mexico, 425 U.S. 794, 796-798 (1976) (per curiam). I believe that the Court's decision to accept jurisdiction over this case is a misguided exercise of that discretion.</w:t>
      </w:r>
    </w:p>
    <w:p w:rsidR="00A31137" w:rsidRPr="00A31137" w:rsidRDefault="00A31137" w:rsidP="00A31137">
      <w:r w:rsidRPr="00A31137">
        <w:t>1992, Wyoming v. Oklahoma, 502 U.S. 475</w:t>
      </w:r>
    </w:p>
    <w:p w:rsidR="00A31137" w:rsidRPr="00A31137" w:rsidRDefault="00A31137" w:rsidP="00A31137">
      <w:r w:rsidRPr="00A31137">
        <w:t>"It has long been this Court's philosophy that 'our original jurisdiction should be invoked sparingly.'" Illinois v. City of Milwaukee, 406 U.S. 91, 93 (1972) (quoting Utah v. United States, 394 U.S. 89, 95 (1969)). The sound reasons for this approach have been set forth on many occasions, see, e.g., Ohio v. Wyandotte Chemicals Corp., supra, 401 U.S. at 498; Maryland v. Louisiana, supra, 451 U.S. at 761-763 (1981) (REHNQUIST, J., dissenting), and I need not repeat them here. As Chief Justice Fuller aptly observed almost a century ago, our original jurisdiction</w:t>
      </w:r>
    </w:p>
    <w:p w:rsidR="00A31137" w:rsidRPr="00A31137" w:rsidRDefault="00A31137" w:rsidP="00A31137">
      <w:r w:rsidRPr="00A31137">
        <w:t>1992, Wyoming v. Oklahoma, 502 U.S. 475</w:t>
      </w:r>
    </w:p>
    <w:p w:rsidR="00A31137" w:rsidRPr="00A31137" w:rsidRDefault="00A31137" w:rsidP="00A31137">
      <w:r w:rsidRPr="00A31137">
        <w:t>is of so delicate and grave a character that it was not contemplated that it would be exercised save when the necessity was absolute.</w:t>
      </w:r>
    </w:p>
    <w:p w:rsidR="00A31137" w:rsidRPr="00A31137" w:rsidRDefault="00A31137" w:rsidP="00A31137">
      <w:r w:rsidRPr="00A31137">
        <w:t>1992, Wyoming v. Oklahoma, 502 U.S. 475</w:t>
      </w:r>
    </w:p>
    <w:p w:rsidR="00A31137" w:rsidRPr="00A31137" w:rsidRDefault="00A31137" w:rsidP="00A31137">
      <w:r w:rsidRPr="00A31137">
        <w:t>Louisiana v. Texas, 176 U.S. 1, 15 (1900). In determining which cases merit the exercise of original jurisdiction, the Court typically has focused on two considerations: the nature of the claims involved and the availability of alternate forums where they can be addressed. See, e.g., Illinois v. City of Milwaukee, supra, 406 U.S. at 93; Massachusetts v. Missouri, 308 U.S. 1, 18-19 (1939).</w:t>
      </w:r>
    </w:p>
    <w:p w:rsidR="00A31137" w:rsidRPr="00A31137" w:rsidRDefault="00A31137" w:rsidP="00A31137">
      <w:r w:rsidRPr="00A31137">
        <w:t>1992, Wyoming v. Oklahoma, 502 U.S. 475</w:t>
      </w:r>
    </w:p>
    <w:p w:rsidR="00A31137" w:rsidRPr="00A31137" w:rsidRDefault="00A31137" w:rsidP="00A31137">
      <w:r w:rsidRPr="00A31137">
        <w:t>In my view, both factors cut strongly against exercising original jurisdiction here. Wyoming claims to be injured as follows: the Oklahoma statute decreases coal sales by Wyoming mining companies to Oklahoma buyers, which supposedly decreases the amount of coal those companies extract in [502 U.S. 476] Wyoming, which in turn supposedly decreases the tax revenues Wyoming collects from the companies when they extract the coal. Plainly, the primary dispute here is not between the States of Wyoming and Oklahoma, but between the private Wyoming mining companies and the State of Oklahoma, whose statute reduced the companies' sales to Oklahoma utilities. It is true, as the Court notes, ante at 451, that Oklahoma passed the statute in its sovereign capacity and that Wyoming collects taxes in its sovereign capacity. That States act qua States is certainly very relevant in assessing the "seriousness and dignity" of a claim. See Maryland v. Louisiana, supra, 451 U.S. at 764-766 (REHNQUIST, J., dissenting). But it is also critical to examine the extent to which the sovereigns actually have clashed. Cf. Arizona v. New Mexico, supra, 425 U.S. at 797-798 ("In denying the State of Arizona leave to file, we are not unmindful that the legal incidence of [the challenged action by New Mexico] is upon the utilities"). In my view, an entirely derivative injury of the type alleged by Wyoming here—even if it met minimal standing requirements—would not justify the exercise of discretionary original jurisdiction. Additionally, of course, Wyoming has advanced no reason why the affected mining companies (hardly bashful litigants) did not or could not themselves challenge the Oklahoma statute in another, more convenient, forum. The lower federal courts and the state courts are readily available as appropriate forums "in which the issues tendered here may be litigated." Id. at 797 (emphasis in original).</w:t>
      </w:r>
    </w:p>
    <w:p w:rsidR="00A31137" w:rsidRPr="00A31137" w:rsidRDefault="00A31137" w:rsidP="00A31137">
      <w:r w:rsidRPr="00A31137">
        <w:t>1992, Wyoming v. Oklahoma, 502 U.S. 476</w:t>
      </w:r>
    </w:p>
    <w:p w:rsidR="00A31137" w:rsidRPr="00A31137" w:rsidRDefault="00A31137" w:rsidP="00A31137">
      <w:r w:rsidRPr="00A31137">
        <w:t>The implications of the Court's novel theory that tax collection injury alone justifies exercise of original jurisdiction are, in my view, both sweeping and troubling. An economic burden imposed by one State on another State's taxpayers will frequently affect the other State's fisc. (That will virtually always be the case, for example, with respect to income taxes; if State A takes actions that reduce the income of the taxpayers of State B, State B will collect less [502 U.S. 477] income-tax revenue.) Under today's opinion, a State that can show any loss in tax revenue—even a de minimis loss, see ante at 452-453, and n. 11, that can be traced (albeit loosely) to the action of another State can apparently proceed directly to this Court to challenge that action. Perhaps the Court is not concerned about that possibility, because of its "discretion" in managing its original docket. But, having extended the original jurisdiction to one State's claim based on its tax-collector status, the Court cannot, in the exercise of discretion, refuse to entertain future disputes based on the same theory. That would be the exercise not of discretion, but of caprice.</w:t>
      </w:r>
    </w:p>
    <w:p w:rsidR="00A31137" w:rsidRPr="00A31137" w:rsidRDefault="00A31137" w:rsidP="00A31137">
      <w:r w:rsidRPr="00A31137">
        <w:t>1992, Wyoming v. Oklahoma, 502 U.S. 477</w:t>
      </w:r>
    </w:p>
    <w:p w:rsidR="00A31137" w:rsidRPr="00A31137" w:rsidRDefault="00A31137" w:rsidP="00A31137">
      <w:r w:rsidRPr="00A31137">
        <w:t>I respectfully dissent.</w:t>
      </w:r>
    </w:p>
    <w:p w:rsidR="00A31137" w:rsidRPr="00A31137" w:rsidRDefault="00A31137" w:rsidP="00A31137">
      <w:r w:rsidRPr="00A31137">
        <w:t>Footnotes</w:t>
      </w:r>
    </w:p>
    <w:p w:rsidR="00A31137" w:rsidRPr="00A31137" w:rsidRDefault="00A31137" w:rsidP="00A31137">
      <w:r w:rsidRPr="00A31137">
        <w:t>WHITE, J., lead opinion (Footnotes)</w:t>
      </w:r>
    </w:p>
    <w:p w:rsidR="00A31137" w:rsidRPr="00A31137" w:rsidRDefault="00A31137" w:rsidP="00A31137">
      <w:r w:rsidRPr="00A31137">
        <w:t>1992, Wyoming v. Oklahoma, 502 U.S. 477</w:t>
      </w:r>
    </w:p>
    <w:p w:rsidR="00A31137" w:rsidRPr="00A31137" w:rsidRDefault="00A31137" w:rsidP="00A31137">
      <w:r w:rsidRPr="00A31137">
        <w:t>1. Act of Mar. 26, 1986, Ch. 43, §§ 1, 2, 1986 Okla.Sess.Laws 73. In full, § 939 provides:</w:t>
      </w:r>
    </w:p>
    <w:p w:rsidR="00A31137" w:rsidRPr="00A31137" w:rsidRDefault="00A31137" w:rsidP="00A31137">
      <w:r w:rsidRPr="00A31137">
        <w:t>1992, Wyoming v. Oklahoma, 502 U.S. 477</w:t>
      </w:r>
    </w:p>
    <w:p w:rsidR="00A31137" w:rsidRPr="00A31137" w:rsidRDefault="00A31137" w:rsidP="00A31137">
      <w:r w:rsidRPr="00A31137">
        <w:t>Coal-fired electric generating plants—Burning Oklahoma coal</w:t>
      </w:r>
    </w:p>
    <w:p w:rsidR="00A31137" w:rsidRPr="00A31137" w:rsidRDefault="00A31137" w:rsidP="00A31137">
      <w:r w:rsidRPr="00A31137">
        <w:t>1992, Wyoming v. Oklahoma, 502 U.S. 477</w:t>
      </w:r>
    </w:p>
    <w:p w:rsidR="00A31137" w:rsidRPr="00A31137" w:rsidRDefault="00A31137" w:rsidP="00A31137">
      <w:r w:rsidRPr="00A31137">
        <w:t>All entities providing electric power for sale to the consumer in Oklahoma and generating said power from coal-fired plants located in Oklahoma shall burn a mixture of coal that contains a minimum of ten percent (10%) Oklahoma mined coal, as calculated on a BTU (British Thermal Unit) basis.</w:t>
      </w:r>
    </w:p>
    <w:p w:rsidR="00A31137" w:rsidRPr="00A31137" w:rsidRDefault="00A31137" w:rsidP="00A31137">
      <w:r w:rsidRPr="00A31137">
        <w:t>1992, Wyoming v. Oklahoma, 502 U.S. 477</w:t>
      </w:r>
    </w:p>
    <w:p w:rsidR="00A31137" w:rsidRPr="00A31137" w:rsidRDefault="00A31137" w:rsidP="00A31137">
      <w:r w:rsidRPr="00A31137">
        <w:t>Okla.Stat., Tit. 45, § 939 (Supp.1988).</w:t>
      </w:r>
    </w:p>
    <w:p w:rsidR="00A31137" w:rsidRPr="00A31137" w:rsidRDefault="00A31137" w:rsidP="00A31137">
      <w:r w:rsidRPr="00A31137">
        <w:t>1992, Wyoming v. Oklahoma, 502 U.S. 477</w:t>
      </w:r>
    </w:p>
    <w:p w:rsidR="00A31137" w:rsidRPr="00A31137" w:rsidRDefault="00A31137" w:rsidP="00A31137">
      <w:r w:rsidRPr="00A31137">
        <w:t>Section 939.1 further provides:</w:t>
      </w:r>
    </w:p>
    <w:p w:rsidR="00A31137" w:rsidRPr="00A31137" w:rsidRDefault="00A31137" w:rsidP="00A31137">
      <w:r w:rsidRPr="00A31137">
        <w:t>1992, Wyoming v. Oklahoma, 502 U.S. 477</w:t>
      </w:r>
    </w:p>
    <w:p w:rsidR="00A31137" w:rsidRPr="00A31137" w:rsidRDefault="00A31137" w:rsidP="00A31137">
      <w:r w:rsidRPr="00A31137">
        <w:t>Cost increases to consumers and impairment of certain contracts prohibited.</w:t>
      </w:r>
    </w:p>
    <w:p w:rsidR="00A31137" w:rsidRPr="00A31137" w:rsidRDefault="00A31137" w:rsidP="00A31137">
      <w:r w:rsidRPr="00A31137">
        <w:t>1992, Wyoming v. Oklahoma, 502 U.S. 477</w:t>
      </w:r>
    </w:p>
    <w:p w:rsidR="00A31137" w:rsidRPr="00A31137" w:rsidRDefault="00A31137" w:rsidP="00A31137">
      <w:r w:rsidRPr="00A31137">
        <w:t>The cost to the entity shall not increase cost to the consumer or exceed the energy cost of existing long-term contracts for out-of-state coal preference including preference given Oklahoma vendors as provided in Section 85.32 of Title 74 of the Oklahoma statutes.</w:t>
      </w:r>
    </w:p>
    <w:p w:rsidR="00A31137" w:rsidRPr="00A31137" w:rsidRDefault="00A31137" w:rsidP="00A31137">
      <w:r w:rsidRPr="00A31137">
        <w:t>1992, Wyoming v. Oklahoma, 502 U.S. 477</w:t>
      </w:r>
    </w:p>
    <w:p w:rsidR="00A31137" w:rsidRPr="00A31137" w:rsidRDefault="00A31137" w:rsidP="00A31137">
      <w:r w:rsidRPr="00A31137">
        <w:t>The referenced statute, Okla.Stat., Tit. 74, § 85.32 (1981), provides</w:t>
      </w:r>
    </w:p>
    <w:p w:rsidR="00A31137" w:rsidRPr="00A31137" w:rsidRDefault="00A31137" w:rsidP="00A31137">
      <w:r w:rsidRPr="00A31137">
        <w:t>1992, Wyoming v. Oklahoma, 502 U.S. 477</w:t>
      </w:r>
    </w:p>
    <w:p w:rsidR="00A31137" w:rsidRPr="00A31137" w:rsidRDefault="00A31137" w:rsidP="00A31137">
      <w:r w:rsidRPr="00A31137">
        <w:t>that such preference shall not be for articles of inferior quality to those offered from outside the state, but a differential of not to exceed five percent (5%) may be allowed in the cost of Oklahoma materials, supplies and provisions of equal quality.</w:t>
      </w:r>
    </w:p>
    <w:p w:rsidR="00A31137" w:rsidRPr="00A31137" w:rsidRDefault="00A31137" w:rsidP="00A31137">
      <w:r w:rsidRPr="00A31137">
        <w:t>1992, Wyoming v. Oklahoma, 502 U.S. 477</w:t>
      </w:r>
    </w:p>
    <w:p w:rsidR="00A31137" w:rsidRPr="00A31137" w:rsidRDefault="00A31137" w:rsidP="00A31137">
      <w:r w:rsidRPr="00A31137">
        <w:t>2. In the proposed decree, the parties agreed to the Special Master's findings of fact and his conclusions that the Act, as applied to the privately-owned utilities, violated the Commerce Clause, but that, as applied to the Oklahoma-owned utility, the Act was constitutional. Oklahoma agreed that application of the Act to the private utilities would be enjoined, and Wyoming agreed that the Act would not be enjoined as to the state-owned utility.</w:t>
      </w:r>
    </w:p>
    <w:p w:rsidR="00A31137" w:rsidRPr="00A31137" w:rsidRDefault="00A31137" w:rsidP="00A31137">
      <w:r w:rsidRPr="00A31137">
        <w:t>1992, Wyoming v. Oklahoma, 502 U.S. 477</w:t>
      </w:r>
    </w:p>
    <w:p w:rsidR="00A31137" w:rsidRPr="00A31137" w:rsidRDefault="00A31137" w:rsidP="00A31137">
      <w:r w:rsidRPr="00A31137">
        <w:t>3. In 1988, just over 163.8 million tons of Wyoming coal was mined. Only 14.6% of Wyoming's coal production was sold in-state. Oklahoma purchased 8% of the coal mined, making it the third largest out-of-state consumer, behind Texas at 19.7% and Kansas at 8.3%.</w:t>
      </w:r>
    </w:p>
    <w:p w:rsidR="00A31137" w:rsidRPr="00A31137" w:rsidRDefault="00A31137" w:rsidP="00A31137">
      <w:r w:rsidRPr="00A31137">
        <w:t>1992, Wyoming v. Oklahoma, 502 U.S. 477</w:t>
      </w:r>
    </w:p>
    <w:p w:rsidR="00A31137" w:rsidRPr="00A31137" w:rsidRDefault="00A31137" w:rsidP="00A31137">
      <w:r w:rsidRPr="00A31137">
        <w:t>4. To date, no investigations or prosecutions have taken place. However, violations of the Act can be prosecuted as a misdemeanor, and the utilities can be enjoined from further violations upon recommendation of Oklahoma's State Mining Commission. See Oklahoma's Response to Wyoming's Interrogatory No. 6.</w:t>
      </w:r>
    </w:p>
    <w:p w:rsidR="00A31137" w:rsidRPr="00A31137" w:rsidRDefault="00A31137" w:rsidP="00A31137">
      <w:r w:rsidRPr="00A31137">
        <w:t>1992, Wyoming v. Oklahoma, 502 U.S. 477</w:t>
      </w:r>
    </w:p>
    <w:p w:rsidR="00A31137" w:rsidRPr="00A31137" w:rsidRDefault="00A31137" w:rsidP="00A31137">
      <w:r w:rsidRPr="00A31137">
        <w:t>5. The recitals and resolutions included the following:</w:t>
      </w:r>
    </w:p>
    <w:p w:rsidR="00A31137" w:rsidRPr="00A31137" w:rsidRDefault="00A31137" w:rsidP="00A31137">
      <w:r w:rsidRPr="00A31137">
        <w:t>1992, Wyoming v. Oklahoma, 502 U.S. 477</w:t>
      </w:r>
    </w:p>
    <w:p w:rsidR="00A31137" w:rsidRPr="00A31137" w:rsidRDefault="00A31137" w:rsidP="00A31137">
      <w:r w:rsidRPr="00A31137">
        <w:t>WHEREAS, the passage of this law in 1986 has provided over 700 new jobs in Oklahoma's coal mining industry and related employment sectors; and</w:t>
      </w:r>
    </w:p>
    <w:p w:rsidR="00A31137" w:rsidRPr="00A31137" w:rsidRDefault="00A31137" w:rsidP="00A31137">
      <w:r w:rsidRPr="00A31137">
        <w:t>1992, Wyoming v. Oklahoma, 502 U.S. 477</w:t>
      </w:r>
    </w:p>
    <w:p w:rsidR="00A31137" w:rsidRPr="00A31137" w:rsidRDefault="00A31137" w:rsidP="00A31137">
      <w:r w:rsidRPr="00A31137">
        <w:t>WHEREAS, another benefit of this law is an additional $31 million of taxable income has been generated through the purchases of Oklahoma mined coal; and</w:t>
      </w:r>
    </w:p>
    <w:p w:rsidR="00A31137" w:rsidRPr="00A31137" w:rsidRDefault="00A31137" w:rsidP="00A31137">
      <w:r w:rsidRPr="00A31137">
        <w:t>1992, Wyoming v. Oklahoma, 502 U.S. 477</w:t>
      </w:r>
    </w:p>
    <w:p w:rsidR="00A31137" w:rsidRPr="00A31137" w:rsidRDefault="00A31137" w:rsidP="00A31137">
      <w:r w:rsidRPr="00A31137">
        <w:t>WHEREAS, the Grand River Dam Authority has failed to comply with said law and has refused to recognize the intent of the Oklahoma State Legislature to utilize Oklahoma mined coal.</w:t>
      </w:r>
    </w:p>
    <w:p w:rsidR="00A31137" w:rsidRPr="00A31137" w:rsidRDefault="00A31137" w:rsidP="00A31137">
      <w:r w:rsidRPr="00A31137">
        <w:t>1992, Wyoming v. Oklahoma, 502 U.S. 477</w:t>
      </w:r>
    </w:p>
    <w:p w:rsidR="00A31137" w:rsidRPr="00A31137" w:rsidRDefault="00A31137" w:rsidP="00A31137">
      <w:r w:rsidRPr="00A31137">
        <w:t>NOW, THEREFORE, BE IT RESOLVED…:</w:t>
      </w:r>
    </w:p>
    <w:p w:rsidR="00A31137" w:rsidRPr="00A31137" w:rsidRDefault="00A31137" w:rsidP="00A31137">
      <w:r w:rsidRPr="00A31137">
        <w:t>1992, Wyoming v. Oklahoma, 502 U.S. 477</w:t>
      </w:r>
    </w:p>
    <w:p w:rsidR="00A31137" w:rsidRPr="00A31137" w:rsidRDefault="00A31137" w:rsidP="00A31137">
      <w:r w:rsidRPr="00A31137">
        <w:t>THAT the Oklahoma State Legislature hereby directs the Grand River Dam Authority to immediately begin purchasing Oklahoma mined coal and to comply with the law as stated in [the Act].</w:t>
      </w:r>
    </w:p>
    <w:p w:rsidR="00A31137" w:rsidRPr="00A31137" w:rsidRDefault="00A31137" w:rsidP="00A31137">
      <w:r w:rsidRPr="00A31137">
        <w:t>1992, Wyoming v. Oklahoma, 502 U.S. 477</w:t>
      </w:r>
    </w:p>
    <w:p w:rsidR="00A31137" w:rsidRPr="00A31137" w:rsidRDefault="00A31137" w:rsidP="00A31137">
      <w:r w:rsidRPr="00A31137">
        <w:t>6. See Affidavit of Richard J. Marble, Director, Minerals Tax Division, Wyoming Department of Revenue and Taxation 3 (attached as Exh. B of Appendix to Motion of Wyoming for Summary Judgment). Oklahoma does not contradict these estimates. Instead, its expert, an economist familiar with energy and coal-related issues, emphasizes only that Wyoming experienced a more severe loss in severance tax revenues due to its reduction of the severance tax rate and a decline in coal market prices. Affidavit of David M. Weinstein 2-3 (attached as Exh. G of Appendix to Motion of Oklahoma for Summary Judgment). At best, Oklahoma's counter-affidavit suggests that the estimate of lost severance tax revenues is a bit too high, pointing to the slight percentages of Oklahoma coal purchased prior to the Act as indicative that Wyoming did not provide 100% of the coal purchased. Id. at 3.</w:t>
      </w:r>
    </w:p>
    <w:p w:rsidR="00A31137" w:rsidRPr="00A31137" w:rsidRDefault="00A31137" w:rsidP="00A31137">
      <w:r w:rsidRPr="00A31137">
        <w:t>1992, Wyoming v. Oklahoma, 502 U.S. 477</w:t>
      </w:r>
    </w:p>
    <w:p w:rsidR="00A31137" w:rsidRPr="00A31137" w:rsidRDefault="00A31137" w:rsidP="00A31137">
      <w:r w:rsidRPr="00A31137">
        <w:t>7. A coal's BTU rating reflects the heat-generating efficiency of the coal when burned. Coal extracted from Wyoming's Powder River Basin—the source of coal shipped to Oklahoma since 1980—has a lower average BTU rating than the Oklahoma coal delivered to the utilities. Accordingly, it takes less Oklahoma coal by weight to generate the same amount of energy as the Wyoming coal. Because sulfur content factors into Oklahoma's later argument, we note here as well that Wyoming coal has a lower average sulfur content than Oklahoma coal, thus less sulfur escapes and pollutes the air when Wyoming coal is burned.</w:t>
      </w:r>
    </w:p>
    <w:p w:rsidR="00A31137" w:rsidRPr="00A31137" w:rsidRDefault="00A31137" w:rsidP="00A31137">
      <w:r w:rsidRPr="00A31137">
        <w:t>1992, Wyoming v. Oklahoma, 502 U.S. 477</w:t>
      </w:r>
    </w:p>
    <w:p w:rsidR="00A31137" w:rsidRPr="00A31137" w:rsidRDefault="00A31137" w:rsidP="00A31137">
      <w:r w:rsidRPr="00A31137">
        <w:t>8. One affidavit, from a principal of a consulting firm conducting economic analysis of the coal industry, reflects that, in 1987, the Wyoming Powder River Basin had an annual production capacity of 186.4 million tons, versus actual 1987 production of 127.1 million tons. Affidavit of Seth Schwartz (App. to Wyoming's Response to Motion to Dismiss A-2). Moreover, the Director of the Wyoming Department of Environmental Quality, who oversees programs for permitting coal mines, informs us that, as of 1987, permitted capacity in the Powder River Basin was 318 million tons, whereas total production from all coal mines was 146.5 million tons.</w:t>
      </w:r>
    </w:p>
    <w:p w:rsidR="00A31137" w:rsidRPr="00A31137" w:rsidRDefault="00A31137" w:rsidP="00A31137">
      <w:r w:rsidRPr="00A31137">
        <w:t>1992, Wyoming v. Oklahoma, 502 U.S. 477</w:t>
      </w:r>
    </w:p>
    <w:p w:rsidR="00A31137" w:rsidRPr="00A31137" w:rsidRDefault="00A31137" w:rsidP="00A31137">
      <w:r w:rsidRPr="00A31137">
        <w:t>Affidavit of Randolph Wood (App. to Wyoming's Response to Motion to Dismiss A-5).</w:t>
      </w:r>
    </w:p>
    <w:p w:rsidR="00A31137" w:rsidRPr="00A31137" w:rsidRDefault="00A31137" w:rsidP="00A31137">
      <w:r w:rsidRPr="00A31137">
        <w:t>1992, Wyoming v. Oklahoma, 502 U.S. 477</w:t>
      </w:r>
    </w:p>
    <w:p w:rsidR="00A31137" w:rsidRPr="00A31137" w:rsidRDefault="00A31137" w:rsidP="00A31137">
      <w:r w:rsidRPr="00A31137">
        <w:t>9. We note as well that the recitals in Oklahoma's initial concurrent resolution reflect that coal-fired electric plants within Oklahoma were exclusively using Wyoming coal, with the attendant recognition that "$9 million of the ratepayers dollars was paid as severance tax to the State of Wyoming." Res. 21. The Wyoming coal that would have been sold—but no longer will be sold due to the Act—to Oklahoma utilities by a Wyoming producer is subject to the tax when extracted. Wyoming, which stands to regain these lost revenues should its suit to overturn the Act succeed, is thus "directly affected in a 'substantial and real' way, so as to justify [its] exercise of this Court's original jurisdiction." Maryland v. Louisiana, 451 U.S. 725, 737 (1981); see also Texas v. Florida, 306 U.S. 398, 407-408 (1939); Simon v. Eastern Kentucky Welfare Rights Organization, 426 U.S. 26, 39 (1976) (plaintiff seeking to invoke Article III judicial power must "stand to profit in some personal interest").</w:t>
      </w:r>
    </w:p>
    <w:p w:rsidR="00A31137" w:rsidRPr="00A31137" w:rsidRDefault="00A31137" w:rsidP="00A31137">
      <w:r w:rsidRPr="00A31137">
        <w:t>1992, Wyoming v. Oklahoma, 502 U.S. 477</w:t>
      </w:r>
    </w:p>
    <w:p w:rsidR="00A31137" w:rsidRPr="00A31137" w:rsidRDefault="00A31137" w:rsidP="00A31137">
      <w:r w:rsidRPr="00A31137">
        <w:t>10. A challenge in the Oklahoma courts brought by a group of Oklahoma consumers was dismissed for lack of standing, upon a finding that they could not suffer injury due to the Act's prohibition on cost increase to consumers. See Northeast Oklahoma Electric Cooperative, Inc. v. Grand River Dam Authority, Case No. C-88-127 (Dist.Ct.Craig Cy., Okla., Sept. 2, 1988) (Journal Entry of Judgment attached as Appendix to Reply Brief for Oklahoma on Motion for Summary Judgment).</w:t>
      </w:r>
    </w:p>
    <w:p w:rsidR="00A31137" w:rsidRPr="00A31137" w:rsidRDefault="00A31137" w:rsidP="00A31137">
      <w:r w:rsidRPr="00A31137">
        <w:t>1992, Wyoming v. Oklahoma, 502 U.S. 477</w:t>
      </w:r>
    </w:p>
    <w:p w:rsidR="00A31137" w:rsidRPr="00A31137" w:rsidRDefault="00A31137" w:rsidP="00A31137">
      <w:r w:rsidRPr="00A31137">
        <w:t>11. We would not, in any event, readily find the amount here to be de minimis. True, the taxes lost have amounted to less than 1% of revenues received by Wyoming, but even this fractional percentage exceeds $500,000 per year. Wyoming approaches this case viewing such a drain on its tax base year after year, and it aptly paraphrases a famous statement of Senator Everett Dirkson: "a half million dollars here and a half million dollars there, and pretty soon real money is involved." Reply Brief for Wyoming 5, n. 3. See Respectfully Quoted: A Dictionary of Quotations Requested from the Congressional Research Service 155 (S. Platt ed.1989) ("A billion here, a billion there, and pretty soon you're talking about real money").</w:t>
      </w:r>
    </w:p>
    <w:p w:rsidR="00A31137" w:rsidRPr="00A31137" w:rsidRDefault="00A31137" w:rsidP="00A31137">
      <w:r w:rsidRPr="00A31137">
        <w:t>1992, Wyoming v. Oklahoma, 502 U.S. 477</w:t>
      </w:r>
    </w:p>
    <w:p w:rsidR="00A31137" w:rsidRPr="00A31137" w:rsidRDefault="00A31137" w:rsidP="00A31137">
      <w:r w:rsidRPr="00A31137">
        <w:t>12. There are circumstances in which a less strict scrutiny is appropriate under our Commerce Clause decisions.</w:t>
      </w:r>
    </w:p>
    <w:p w:rsidR="00A31137" w:rsidRPr="00A31137" w:rsidRDefault="00A31137" w:rsidP="00A31137">
      <w:r w:rsidRPr="00A31137">
        <w:t>1992, Wyoming v. Oklahoma, 502 U.S. 477</w:t>
      </w:r>
    </w:p>
    <w:p w:rsidR="00A31137" w:rsidRPr="00A31137" w:rsidRDefault="00A31137" w:rsidP="00A31137">
      <w:r w:rsidRPr="00A31137">
        <w:t>When…a statute has only indirect effects on interstate commerce and regulates evenhandedly, we have examined whether the State's interest is legitimate and whether the burden on interstate commerce clearly exceeds the local benefits.</w:t>
      </w:r>
    </w:p>
    <w:p w:rsidR="00A31137" w:rsidRPr="00A31137" w:rsidRDefault="00A31137" w:rsidP="00A31137">
      <w:r w:rsidRPr="00A31137">
        <w:t>1992, Wyoming v. Oklahoma, 502 U.S. 477</w:t>
      </w:r>
    </w:p>
    <w:p w:rsidR="00A31137" w:rsidRPr="00A31137" w:rsidRDefault="00A31137" w:rsidP="00A31137">
      <w:r w:rsidRPr="00A31137">
        <w:t>Brown-Forman Distillers Corp. v. New York State Liquor Auth., 476 U.S. 573, 579 (1986); see also Pike v. Bruce Church, Inc., 397 U.S. 137, 142 (1970). While we have recognized that there is no "clear line" separating close cases on which scrutiny should apply, Brown-Forman Distillers, supra, 476 U.S. at 579, this is not a close case.</w:t>
      </w:r>
    </w:p>
    <w:p w:rsidR="00A31137" w:rsidRPr="00A31137" w:rsidRDefault="00A31137" w:rsidP="00A31137">
      <w:r w:rsidRPr="00A31137">
        <w:t>1992, Wyoming v. Oklahoma, 502 U.S. 477</w:t>
      </w:r>
    </w:p>
    <w:p w:rsidR="00A31137" w:rsidRPr="00A31137" w:rsidRDefault="00A31137" w:rsidP="00A31137">
      <w:r w:rsidRPr="00A31137">
        <w:t>13.</w:t>
      </w:r>
    </w:p>
    <w:p w:rsidR="00A31137" w:rsidRPr="00A31137" w:rsidRDefault="00A31137" w:rsidP="00A31137">
      <w:r w:rsidRPr="00A31137">
        <w:t>1992, Wyoming v. Oklahoma, 502 U.S. 477</w:t>
      </w:r>
    </w:p>
    <w:p w:rsidR="00A31137" w:rsidRPr="00A31137" w:rsidRDefault="00A31137" w:rsidP="00A31137">
      <w:r w:rsidRPr="00A31137">
        <w:t>The provisions of this subchapter shall apply to the transmission of electric energy in interstate commerce and to the sale of electric energy at wholesale in interstate commerce, but except as provided in paragraph (2) shall not apply to any other sale of electric energy or deprive a State or State commission of its lawful authority now exercised over the exportation of hydroelectric energy which is transmitted across a State line.</w:t>
      </w:r>
    </w:p>
    <w:p w:rsidR="00A31137" w:rsidRPr="00A31137" w:rsidRDefault="00A31137" w:rsidP="00A31137">
      <w:r w:rsidRPr="00A31137">
        <w:t>1992, Wyoming v. Oklahoma, 502 U.S. 477</w:t>
      </w:r>
    </w:p>
    <w:p w:rsidR="00A31137" w:rsidRPr="00A31137" w:rsidRDefault="00A31137" w:rsidP="00A31137">
      <w:r w:rsidRPr="00A31137">
        <w:t>16 U.S.C. § 824(b)(1).</w:t>
      </w:r>
    </w:p>
    <w:p w:rsidR="00A31137" w:rsidRPr="00A31137" w:rsidRDefault="00A31137" w:rsidP="00A31137">
      <w:r w:rsidRPr="00A31137">
        <w:t>1992, Wyoming v. Oklahoma, 502 U.S. 477</w:t>
      </w:r>
    </w:p>
    <w:p w:rsidR="00A31137" w:rsidRPr="00A31137" w:rsidRDefault="00A31137" w:rsidP="00A31137">
      <w:r w:rsidRPr="00A31137">
        <w:t>14. See, e.g., INS v. Chadha, 462 U.S. 919,  932 (1983), where the severability clause provided:</w:t>
      </w:r>
    </w:p>
    <w:p w:rsidR="00A31137" w:rsidRPr="00A31137" w:rsidRDefault="00A31137" w:rsidP="00A31137">
      <w:r w:rsidRPr="00A31137">
        <w:t>1992, Wyoming v. Oklahoma, 502 U.S. 477</w:t>
      </w:r>
    </w:p>
    <w:p w:rsidR="00A31137" w:rsidRPr="00A31137" w:rsidRDefault="00A31137" w:rsidP="00A31137">
      <w:r w:rsidRPr="00A31137">
        <w:t>If any particular provision of this Act, or the application thereof to any person or circumstance, is held invalid, the remainder of the act and the application of such provision to other persons or circumstances shall not be affected thereby.</w:t>
      </w:r>
    </w:p>
    <w:p w:rsidR="00A31137" w:rsidRPr="00A31137" w:rsidRDefault="00A31137" w:rsidP="00A31137">
      <w:r w:rsidRPr="00A31137">
        <w:t>1992, Wyoming v. Oklahoma, 502 U.S. 477</w:t>
      </w:r>
    </w:p>
    <w:p w:rsidR="00A31137" w:rsidRPr="00A31137" w:rsidRDefault="00A31137" w:rsidP="00A31137">
      <w:r w:rsidRPr="00A31137">
        <w:t>(Emphasis deleted.)</w:t>
      </w:r>
    </w:p>
    <w:p w:rsidR="00A31137" w:rsidRPr="00A31137" w:rsidRDefault="00A31137" w:rsidP="00A31137">
      <w:r w:rsidRPr="00A31137">
        <w:t>1992, Wyoming v. Oklahoma, 502 U.S. 477</w:t>
      </w:r>
    </w:p>
    <w:p w:rsidR="00A31137" w:rsidRPr="00A31137" w:rsidRDefault="00A31137" w:rsidP="00A31137">
      <w:r w:rsidRPr="00A31137">
        <w:t>15. See, e.g., Mo.Ann.Stat § 34.080 (Vernon 1969), which expressly requires all State agencies to purchase Missouri coal if it is available at a competitive price.</w:t>
      </w:r>
    </w:p>
    <w:p w:rsidR="00A31137" w:rsidRPr="00A31137" w:rsidRDefault="00A31137" w:rsidP="00A31137">
      <w:r w:rsidRPr="00A31137">
        <w:t>SCALIA, J., dissenting (Footnotes)</w:t>
      </w:r>
    </w:p>
    <w:p w:rsidR="00A31137" w:rsidRPr="00A31137" w:rsidRDefault="00A31137" w:rsidP="00A31137">
      <w:r w:rsidRPr="00A31137">
        <w:t>1992, Wyoming v. Oklahoma, 502 U.S. 477</w:t>
      </w:r>
    </w:p>
    <w:p w:rsidR="00A31137" w:rsidRPr="00A31137" w:rsidRDefault="00A31137" w:rsidP="00A31137">
      <w:r w:rsidRPr="00A31137">
        <w:t>* Wyoming's expert, a coal market analyst from Virginia, averred by affidavit that "[i]n [his] opinion" the lost sales could not be made up. Affidavit of Seth Schwartz 3. That is not enough to establish the point. Schwartz did not, as Rule 56(e) requires, set forth the "facts" upon which he based his opinion. Just as the requirements for summary judgment are not met when a court makes unsubstantiated inferences about a third party's behavior, see, e.g., Lujan v. National Wildlife Federation, 497 U.S. 871, 884-885 (1990), they are not met when the plaintiff hires an outside expert to do the same.</w:t>
      </w:r>
    </w:p>
    <w:p w:rsidR="00A31137" w:rsidRPr="00A31137" w:rsidRDefault="00A31137" w:rsidP="00A31137">
      <w:r w:rsidRPr="00A31137">
        <w:t>THOMAS, J., dissenting (Footnotes)</w:t>
      </w:r>
    </w:p>
    <w:p w:rsidR="00A31137" w:rsidRPr="00A31137" w:rsidRDefault="00A31137" w:rsidP="00A31137">
      <w:r w:rsidRPr="00A31137">
        <w:t>1992, Wyoming v. Oklahoma, 502 U.S. 477</w:t>
      </w:r>
    </w:p>
    <w:p w:rsidR="00A31137" w:rsidRPr="00A31137" w:rsidRDefault="00A31137" w:rsidP="00A31137">
      <w:r w:rsidRPr="00A31137">
        <w:t>* JUSTICE STEVENS has stated that the Court's explanations for declining to exercise its nonexclusive original jurisdiction are "inapplicable" where, as here, its original jurisdiction is exclusive under 28 U.S.C. § 1251(a). California v. West Virginia, 454 U.S. 1027, 1027-1028 (1981) (opinion dissenting from denial of motion to file bill of complaint). Similarly, commentators have suggested that the Court's statement that</w:t>
      </w:r>
    </w:p>
    <w:p w:rsidR="00A31137" w:rsidRPr="00A31137" w:rsidRDefault="00A31137" w:rsidP="00A31137">
      <w:r w:rsidRPr="00A31137">
        <w:t>1992, Wyoming v. Oklahoma, 502 U.S. 477</w:t>
      </w:r>
    </w:p>
    <w:p w:rsidR="00A31137" w:rsidRPr="00A31137" w:rsidRDefault="00A31137" w:rsidP="00A31137">
      <w:r w:rsidRPr="00A31137">
        <w:t>"the congressional grant of exclusive jurisdiction under § 1251(a)…requir[es] resort to our obligatory jurisdiction only in appropriate cases"</w:t>
      </w:r>
    </w:p>
    <w:p w:rsidR="00A31137" w:rsidRPr="00A31137" w:rsidRDefault="00A31137" w:rsidP="00A31137">
      <w:r w:rsidRPr="00A31137">
        <w:t>1992, Wyoming v. Oklahoma, 502 U.S. 477</w:t>
      </w:r>
    </w:p>
    <w:p w:rsidR="00A31137" w:rsidRPr="00A31137" w:rsidRDefault="00A31137" w:rsidP="00A31137">
      <w:r w:rsidRPr="00A31137">
        <w:t>is "an oxymoron." P. Bator, D. Meltzer, P. Mistakin &amp; D. Shapiro, Hart and Wechsler's The Federal Courts and the Federal System 344 (3d ed.1988) (quoting Maryland v. Louisiana, 451 U.S. at 739 (internal quotation omitted)). See also Shapiro, Jurisdiction and Discretion, 60 N.Y.U.L.Rev. 543, 561 (1985) (calling "unanswerable" criticism of the Court's discretionary approach to cases within its exclusive original jurisdiction).</w:t>
      </w:r>
    </w:p>
    <w:p w:rsidR="00A31137" w:rsidRPr="00A31137" w:rsidRDefault="00A31137" w:rsidP="00A31137">
      <w:r w:rsidRPr="00A31137">
        <w:t>1992, Wyoming v. Oklahoma, 502 U.S. 477</w:t>
      </w:r>
    </w:p>
    <w:p w:rsidR="00A31137" w:rsidRPr="00A31137" w:rsidRDefault="00A31137" w:rsidP="00A31137">
      <w:r w:rsidRPr="00A31137">
        <w:t>As noted in text, the Court has held otherwise, and those precedents have not been challenged here. The exercise of discretion is probably inevitable as long as the Court's approach to standing is as relaxed as it is today.</w:t>
      </w:r>
    </w:p>
    <w:p w:rsidR="00A31137" w:rsidRPr="00A31137" w:rsidRDefault="00A31137" w:rsidP="00A31137">
      <w:r w:rsidRPr="00A31137">
        <w:t>General Motors Corp. v. Romein, 1992</w:t>
      </w:r>
    </w:p>
    <w:p w:rsidR="00A31137" w:rsidRPr="00A31137" w:rsidRDefault="00A31137" w:rsidP="00A31137">
      <w:r w:rsidRPr="00A31137">
        <w:t>Title:</w:t>
      </w:r>
      <w:r w:rsidRPr="00A31137">
        <w:tab/>
        <w:t>General Motors Corp. v. Romein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March 9, 1992</w:t>
      </w:r>
    </w:p>
    <w:p w:rsidR="00A31137" w:rsidRPr="00A31137" w:rsidRDefault="00A31137" w:rsidP="00A31137">
      <w:r w:rsidRPr="00A31137">
        <w:t>Source:</w:t>
      </w:r>
      <w:r w:rsidRPr="00A31137">
        <w:tab/>
        <w:t>503 U.S. 181</w:t>
      </w:r>
    </w:p>
    <w:p w:rsidR="00A31137" w:rsidRPr="00A31137" w:rsidRDefault="00A31137" w:rsidP="00A31137">
      <w:r w:rsidRPr="00A31137">
        <w:t>This case was argued December 10, 1991, and was decided March 9, 1992.</w:t>
      </w:r>
    </w:p>
    <w:p w:rsidR="00A31137" w:rsidRPr="00A31137" w:rsidRDefault="00A31137" w:rsidP="00A31137">
      <w:r w:rsidRPr="00A31137">
        <w:t>CERTIORARI TO THE SUPREME COURT OF MICHIGAN</w:t>
      </w:r>
    </w:p>
    <w:p w:rsidR="00A31137" w:rsidRPr="00A31137" w:rsidRDefault="00A31137" w:rsidP="00A31137">
      <w:r w:rsidRPr="00A31137">
        <w:t>Syllabus</w:t>
      </w:r>
    </w:p>
    <w:p w:rsidR="00A31137" w:rsidRPr="00A31137" w:rsidRDefault="00A31137" w:rsidP="00A31137">
      <w:r w:rsidRPr="00A31137">
        <w:t>1992, General Motors Corp. v. Romein, 503 U.S. 181</w:t>
      </w:r>
    </w:p>
    <w:p w:rsidR="00A31137" w:rsidRPr="00A31137" w:rsidRDefault="00A31137" w:rsidP="00A31137">
      <w:r w:rsidRPr="00A31137">
        <w:t>In 1980, the Michigan Legislature raised maximum weekly workers' compensation benefits and provided an annual supplemental adjustment to workers injured before 1980. The following year, it enacted a statute allowing employers to decrease workers' compensation benefits to those disabled employees eligible to receive wage-loss compensation from other employer-funded sources. Some employers, including petitioners, General Motors Corporation and Ford Motor Company, took the position that the 1981 law's "benefit coordination" provision allowed them to reduce workers' compensation benefits to workers injured before the statute's effective date, who were receiving benefits from other sources. The State Supreme Court ultimately accepted this interpretation. Chambers v. General Motors Corp., 422 Mich. 636, 375 N.W.2d 715. In 1987, the legislature repudiated Chambers and required employers who had coordinated benefits for previously disabled workers under the 1981 law to refund the benefits withheld. The State Supreme Court upheld the 1987 law, rejecting petitioners' arguments that the reimbursement provision was unfairly retroactive and violated the Contract Clause and the Due Process Clause of the Federal Constitution.</w:t>
      </w:r>
    </w:p>
    <w:p w:rsidR="00A31137" w:rsidRPr="00A31137" w:rsidRDefault="00A31137" w:rsidP="00A31137">
      <w:r w:rsidRPr="00A31137">
        <w:t>1992, General Motors Corp. v. Romein, 503 U.S. 181</w:t>
      </w:r>
    </w:p>
    <w:p w:rsidR="00A31137" w:rsidRPr="00A31137" w:rsidRDefault="00A31137" w:rsidP="00A31137">
      <w:r w:rsidRPr="00A31137">
        <w:t>Held:</w:t>
      </w:r>
    </w:p>
    <w:p w:rsidR="00A31137" w:rsidRPr="00A31137" w:rsidRDefault="00A31137" w:rsidP="00A31137">
      <w:r w:rsidRPr="00A31137">
        <w:t>1992, General Motors Corp. v. Romein, 503 U.S. 181</w:t>
      </w:r>
    </w:p>
    <w:p w:rsidR="00A31137" w:rsidRPr="00A31137" w:rsidRDefault="00A31137" w:rsidP="00A31137">
      <w:r w:rsidRPr="00A31137">
        <w:t>1. The 1987 statute did not substantially impair the obligations of petitioners' contracts with their employees in violation of the Contract Clause, because there was no contractual agreement regarding the specific terms allegedly at issue. The contracts were entered into after collective bargaining between the parties before the 1981 law was enacted, and make no express mention of workers' compensation benefits. Nor was the workers' compensation law an implied contract term whereby employers promised to pay the amount required by law for each payment period, an obligation that was completed by making payments for any disability period. There was no occasion for the parties to consider, in bargaining taking place before the 1981 law's effective date, the question whether an unanticipated reduction in benefits could later be restored after the "benefit period" had closed. Petitioners err in arguing that such a term is "incorporated" by law into the employment contracts, regardless of the parties' assent. Michigan law does not explicitly imply a contractual term allowing an employer to depend on the closure of past disability compensation periods; and such a right [503 U.S. 182] does not appear to be so central to the bargained-for exchange between the parties, or to the enforceability of the contract as a whole, that it must be deemed to be a contract term. State regulations are usually implied terms regardless of assent only when those laws affect the validity, construction, and enforcement of contracts. See United States Trust Co. of New York v. New Jersey, 431 U.S. 1,  19, n. 17. While changes in the laws that make a contract legally enforceable may trigger Contract Clause scrutiny if they impair the obligation of preexisting contracts, even if they do not alter the contracts' bargained-for terms, the 1987 statute did not change the legal enforceability of the contracts here. The parties still have the same ability to enforce the bargained-for terms that they did before the 1987 statute's enactment. Petitioners' suggestion that every workplace regulation should be read into private employment contracts would expand the definition of contract so far that the Contract Clause would lose its purpose of enabling individuals to order their personal and business affairs according to their particular needs and interests; would cause the Clause to protect against all changes in legislation, regardless of those changes' effect on bargained-for agreements; would severely limit the ability of state legislatures to amend their regulatory legislation; and could render the Clause entirely dependent on state law. Pp.  186-191.</w:t>
      </w:r>
    </w:p>
    <w:p w:rsidR="00A31137" w:rsidRPr="00A31137" w:rsidRDefault="00A31137" w:rsidP="00A31137">
      <w:r w:rsidRPr="00A31137">
        <w:t>1992, General Motors Corp. v. Romein, 503 U.S. 182</w:t>
      </w:r>
    </w:p>
    <w:p w:rsidR="00A31137" w:rsidRPr="00A31137" w:rsidRDefault="00A31137" w:rsidP="00A31137">
      <w:r w:rsidRPr="00A31137">
        <w:t>2. The 1987 statute did not violate the Due Process Clause. Its retroactive provision was a rational means of furthering the legitimate legislative purpose of correcting the results of the Chambers opinion. Cf. Pension Benefit Guaranty Corp. v. R.A. Gray Co., 467 U.S. 717, 730. It preserved the legislative compromise that had been struck by the 1980-1981 laws—giving workers injured before 1982 their full benefits without coordination, but not the greater increases made to subsequently injured workers—and equalized the payments made by employers who had relied on Chambers with those who had not, cf. United States v. Sperry Corp., 493 U.S. 52, 64-65. Pp.  191-192.</w:t>
      </w:r>
    </w:p>
    <w:p w:rsidR="00A31137" w:rsidRPr="00A31137" w:rsidRDefault="00A31137" w:rsidP="00A31137">
      <w:r w:rsidRPr="00A31137">
        <w:t>1992, General Motors Corp. v. Romein, 503 U.S. 182</w:t>
      </w:r>
    </w:p>
    <w:p w:rsidR="00A31137" w:rsidRPr="00A31137" w:rsidRDefault="00A31137" w:rsidP="00A31137">
      <w:r w:rsidRPr="00A31137">
        <w:t>436 Mich. 515, 462 N.W.2d 555, (1990), affirmed.</w:t>
      </w:r>
    </w:p>
    <w:p w:rsidR="00A31137" w:rsidRPr="00A31137" w:rsidRDefault="00A31137" w:rsidP="00A31137">
      <w:r w:rsidRPr="00A31137">
        <w:t>1992, General Motors Corp. v. Romein, 503 U.S. 182</w:t>
      </w:r>
    </w:p>
    <w:p w:rsidR="00A31137" w:rsidRPr="00A31137" w:rsidRDefault="00A31137" w:rsidP="00A31137">
      <w:r w:rsidRPr="00A31137">
        <w:t xml:space="preserve">O'CONNOR, J., delivered the opinion for a unanimous Court. [503 U.S. 183] </w:t>
      </w:r>
    </w:p>
    <w:p w:rsidR="00A31137" w:rsidRPr="00A31137" w:rsidRDefault="00A31137" w:rsidP="00A31137">
      <w:r w:rsidRPr="00A31137">
        <w:t>O'CONNOR, J., lead opinion</w:t>
      </w:r>
    </w:p>
    <w:p w:rsidR="00A31137" w:rsidRPr="00A31137" w:rsidRDefault="00A31137" w:rsidP="00A31137">
      <w:r w:rsidRPr="00A31137">
        <w:t>1992, General Motors Corp. v. Romein, 503 U.S. 183</w:t>
      </w:r>
    </w:p>
    <w:p w:rsidR="00A31137" w:rsidRPr="00A31137" w:rsidRDefault="00A31137" w:rsidP="00A31137">
      <w:r w:rsidRPr="00A31137">
        <w:t>JUSTICE O'CONNOR delivered the opinion of the Court.</w:t>
      </w:r>
    </w:p>
    <w:p w:rsidR="00A31137" w:rsidRPr="00A31137" w:rsidRDefault="00A31137" w:rsidP="00A31137">
      <w:r w:rsidRPr="00A31137">
        <w:t>1992, General Motors Corp. v. Romein, 503 U.S. 183</w:t>
      </w:r>
    </w:p>
    <w:p w:rsidR="00A31137" w:rsidRPr="00A31137" w:rsidRDefault="00A31137" w:rsidP="00A31137">
      <w:r w:rsidRPr="00A31137">
        <w:t>In 1987, the Michigan Legislature enacted a statute that had the effect of requiring petitioners General Motors Corporation (GM) and Ford Motor Company (Ford) to repay workers' compensation benefits GM and Ford had withheld in reliance on a 1981 workers' compensation statute. Petitioners challenge the provision of the statute mandating these retroactive payments on the ground that it violates the Contract Clause and the Due Process Clause of the Federal Constitution.</w:t>
      </w:r>
    </w:p>
    <w:p w:rsidR="00A31137" w:rsidRPr="00A31137" w:rsidRDefault="00A31137" w:rsidP="00A31137">
      <w:r w:rsidRPr="00A31137">
        <w:t>I</w:t>
      </w:r>
    </w:p>
    <w:p w:rsidR="00A31137" w:rsidRPr="00A31137" w:rsidRDefault="00A31137" w:rsidP="00A31137">
      <w:r w:rsidRPr="00A31137">
        <w:t>1992, General Motors Corp. v. Romein, 503 U.S. 183</w:t>
      </w:r>
    </w:p>
    <w:p w:rsidR="00A31137" w:rsidRPr="00A31137" w:rsidRDefault="00A31137" w:rsidP="00A31137">
      <w:r w:rsidRPr="00A31137">
        <w:t>Since at least 1974, workers' compensation law in Michigan has been the subject of legislative study and bitter debate. Vander Laan &amp; Studley, Workers' Compensation Reform: A Case Study of the Legislative Process in Michigan, 14 U.Mich.J.L.Ref. 451, 452-454 (1981). "Literally dozens of conflicting legislative proposals" were offered each year, and all were fought to a standstill by competing interest groups. Id. at 453. The legislative logjam was finally broken in 1980, when the Governor and four legislative leaders began a series of negotiations leading to an agreement on reforms. [503 U.S. 184] "Neither side was able to obtain everything it wanted—possibly a good indication of the degree of balance this compromise represents." Id. at 458.</w:t>
      </w:r>
    </w:p>
    <w:p w:rsidR="00A31137" w:rsidRPr="00A31137" w:rsidRDefault="00A31137" w:rsidP="00A31137">
      <w:r w:rsidRPr="00A31137">
        <w:t>1992, General Motors Corp. v. Romein, 503 U.S. 184</w:t>
      </w:r>
    </w:p>
    <w:p w:rsidR="00A31137" w:rsidRPr="00A31137" w:rsidRDefault="00A31137" w:rsidP="00A31137">
      <w:r w:rsidRPr="00A31137">
        <w:t>Among other things, the 1980 legislation raised maximum weekly benefits to 90% of the state average weekly wage, and provided workers injured before 1980 an annual supplemental adjustment of their benefits of up to five percent. Mich.Comp.Laws Ann. §§ 418.355(2), 418.352(1) (1982). In 1981, the legislature enacted a statute allowing employers to decrease workers' compensation benefits to those disabled employees eligible to receive wage-loss compensation from other employer-funded sources. Mich.Comp.Laws Ann. § 418.354 (1982). This provision, allowing what is called "benefit coordination," is at the heart of the controversy in this case.</w:t>
      </w:r>
    </w:p>
    <w:p w:rsidR="00A31137" w:rsidRPr="00A31137" w:rsidRDefault="00A31137" w:rsidP="00A31137">
      <w:r w:rsidRPr="00A31137">
        <w:t>1992, General Motors Corp. v. Romein, 503 U.S. 184</w:t>
      </w:r>
    </w:p>
    <w:p w:rsidR="00A31137" w:rsidRPr="00A31137" w:rsidRDefault="00A31137" w:rsidP="00A31137">
      <w:r w:rsidRPr="00A31137">
        <w:t>The benefit coordination provision did not specify whether it was to be applied to workers injured before its effective date, March 31, 1982. Petitioners took the position that the 1981 law allowed them to reduce workers' compensation benefits to workers injured before March 31, 1982, who were receiving benefits from other sources. For example, GM cut respondent Romein's weekly payment by $132.00 per week, and Ford cut respondent Gonzalez's payment by $176.00 per week. The lower state courts disagreed with petitioners' interpretation, holding that coordination was allowed only for employees injured after 1982. See, e.g., Franks v. White Pine Copper Div., Copper Range Co., 122 Mich. App. 177, 185, 332 N.W.2d 447, 449 (1982). Both Houses of the Michigan Legislature passed a concurrent resolution declaring that the coordination provisions were</w:t>
      </w:r>
    </w:p>
    <w:p w:rsidR="00A31137" w:rsidRPr="00A31137" w:rsidRDefault="00A31137" w:rsidP="00A31137">
      <w:r w:rsidRPr="00A31137">
        <w:t>1992, General Motors Corp. v. Romein, 503 U.S. 184</w:t>
      </w:r>
    </w:p>
    <w:p w:rsidR="00A31137" w:rsidRPr="00A31137" w:rsidRDefault="00A31137" w:rsidP="00A31137">
      <w:r w:rsidRPr="00A31137">
        <w:t>not designed to disrupt benefits which were already being received by an employee prior to the effective date of this act or benefits resulting from injuries incurred prior to the act's effective date.</w:t>
      </w:r>
    </w:p>
    <w:p w:rsidR="00A31137" w:rsidRPr="00A31137" w:rsidRDefault="00A31137" w:rsidP="00A31137">
      <w:r w:rsidRPr="00A31137">
        <w:t>1992, General Motors Corp. v. Romein, 503 U.S. 184</w:t>
      </w:r>
    </w:p>
    <w:p w:rsidR="00A31137" w:rsidRPr="00A31137" w:rsidRDefault="00A31137" w:rsidP="00A31137">
      <w:r w:rsidRPr="00A31137">
        <w:t>See Senate Concurrent Res. 575, adopted by the Senate on April 1, 1982, and by the House on May 18, 1982.1982 Senate J. 626, 706—707, 1982 House J. 1262. The same year, a bill was introduced in the Michigan Senate to amend the statute in this respect, [503 U.S. 185] but it was not passed. Senate Bill 834, introduced on May 26, 1982.</w:t>
      </w:r>
    </w:p>
    <w:p w:rsidR="00A31137" w:rsidRPr="00A31137" w:rsidRDefault="00A31137" w:rsidP="00A31137">
      <w:r w:rsidRPr="00A31137">
        <w:t>1992, General Motors Corp. v. Romein, 503 U.S. 185</w:t>
      </w:r>
    </w:p>
    <w:p w:rsidR="00A31137" w:rsidRPr="00A31137" w:rsidRDefault="00A31137" w:rsidP="00A31137">
      <w:r w:rsidRPr="00A31137">
        <w:t>Meanwhile, petitioners continued to attempt to persuade the Michigan courts that the 1981 statute should be applied to workers injured before its effective date. In 1985, petitioners' interpretation was accepted by the Michigan Supreme Court. Chambers v. General Motors Corp., decided together with Franks v. White Pine Copper Div., Copper Range Co., 422 Mich. 636, 375 N.W.2d 715. The court held that the benefit coordination provision applied to all payment periods after its effective date, regardless of the date the employee had been injured. The court also held that application of the coordination provisions to employees injured before 1982 did not violate the Contract Clause or the Due Process Clause.</w:t>
      </w:r>
    </w:p>
    <w:p w:rsidR="00A31137" w:rsidRPr="00A31137" w:rsidRDefault="00A31137" w:rsidP="00A31137">
      <w:r w:rsidRPr="00A31137">
        <w:t>1992, General Motors Corp. v. Romein, 503 U.S. 185</w:t>
      </w:r>
    </w:p>
    <w:p w:rsidR="00A31137" w:rsidRPr="00A31137" w:rsidRDefault="00A31137" w:rsidP="00A31137">
      <w:r w:rsidRPr="00A31137">
        <w:t>After the decision in Chambers, employers who had not coordinated benefits for employees injured before 1982 began to demand reimbursement from these employees. See Jones, Firms Cut Checks for Disabled Workers, Detroit Free Press, Nov. 29, 1985, p. 3A. The Michigan Legislature responded almost immediately by introducing legislation to overturn the court's decision. On October 16, 1985, before the Michigan Supreme Court had ruled on the motion for rehearing in Chambers, House Bill 5084 was introduced. As amended and passed by the House on January 29, 1986, the Bill repudiated the Chambers decision, declared that employers who had not coordinated benefits before the Chambers decision could not seek reimbursement from affected employees, and required employers who had coordinated benefits before Chambers to reimburse their employees. Meanwhile, the Senate passed its own version of the bill, Senate Bill 67, also disapproving the Chambers decision and providing that employers could not require employees to reimburse them for benefits not coordinated after 1982. The Senate bill was amended by a Conference Committee to provide for reimbursement of benefits withheld as a result of coordination, [503 U.S. 186] putting employers who had coordinated benefits for previously disabled workers in the same position as those who had not. House Legislative Analysis of Senate Bill 67, p. 2 (May 7, 1987). The amended Senate bill passed into law on May 14, 1987. 1987 Mich.Pub.Acts No. 28.</w:t>
      </w:r>
    </w:p>
    <w:p w:rsidR="00A31137" w:rsidRPr="00A31137" w:rsidRDefault="00A31137" w:rsidP="00A31137">
      <w:r w:rsidRPr="00A31137">
        <w:t>1992, General Motors Corp. v. Romein, 503 U.S. 186</w:t>
      </w:r>
    </w:p>
    <w:p w:rsidR="00A31137" w:rsidRPr="00A31137" w:rsidRDefault="00A31137" w:rsidP="00A31137">
      <w:r w:rsidRPr="00A31137">
        <w:t>As a result of the 1987 statute, petitioners were ordered to refund nearly $25 million to disabled employees. They protested that the provision requiring reimbursement of benefits withheld was unfairly retroactive and violated the Contract Clause and Due Process Clause. The Michigan Supreme Court upheld the statute against these challenges on the ground that the employers had no vested rights in coordination for Contract Clause purposes, and that the retroactive provisions furthered a rational legislative purpose. 436 Mich. 515, 462 N.W.2d 555 (1990). We granted certiorari, 500 U.S. 915 (1991), and now affirm.</w:t>
      </w:r>
    </w:p>
    <w:p w:rsidR="00A31137" w:rsidRPr="00A31137" w:rsidRDefault="00A31137" w:rsidP="00A31137">
      <w:r w:rsidRPr="00A31137">
        <w:t>II</w:t>
      </w:r>
    </w:p>
    <w:p w:rsidR="00A31137" w:rsidRPr="00A31137" w:rsidRDefault="00A31137" w:rsidP="00A31137">
      <w:r w:rsidRPr="00A31137">
        <w:t>1992, General Motors Corp. v. Romein, 503 U.S. 186</w:t>
      </w:r>
    </w:p>
    <w:p w:rsidR="00A31137" w:rsidRPr="00A31137" w:rsidRDefault="00A31137" w:rsidP="00A31137">
      <w:r w:rsidRPr="00A31137">
        <w:t>Article I, § 10 of the Constitution provides: "No State shall…pass any…Law impairing the Obligation of Contracts." Petitioners claim that the 1987 statute requiring reimbursement of benefits withheld in reliance on the 1981 coordination provisions substantially impaired the obligation of its contracts with its employees.</w:t>
      </w:r>
    </w:p>
    <w:p w:rsidR="00A31137" w:rsidRPr="00A31137" w:rsidRDefault="00A31137" w:rsidP="00A31137">
      <w:r w:rsidRPr="00A31137">
        <w:t>1992, General Motors Corp. v. Romein, 503 U.S. 186</w:t>
      </w:r>
    </w:p>
    <w:p w:rsidR="00A31137" w:rsidRPr="00A31137" w:rsidRDefault="00A31137" w:rsidP="00A31137">
      <w:r w:rsidRPr="00A31137">
        <w:t>Generally, we first ask whether the change in state law has "operated as a substantial impairment of a contractual relationship." Allied Structural Steel Co. v. Spannaus, 438 U.S. 234,  244 (1978); Energy Reserves Group, Inc., v. Kansas Power &amp; Light Co., 459 U.S. 400,  411 (1983). This inquiry has three components: whether there is a contractual relationship, whether a change in law impairs that contractual relationship, and whether the impairment is substantial. Normally, the first two are unproblematic, and we need address only the third. In this case, however, we need not reach the questions of impairment, as we hold that there was no [503 U.S. 187] contractual agreement regarding the specific workers' compensation terms allegedly at issue.</w:t>
      </w:r>
    </w:p>
    <w:p w:rsidR="00A31137" w:rsidRPr="00A31137" w:rsidRDefault="00A31137" w:rsidP="00A31137">
      <w:r w:rsidRPr="00A31137">
        <w:t>1992, General Motors Corp. v. Romein, 503 U.S. 187</w:t>
      </w:r>
    </w:p>
    <w:p w:rsidR="00A31137" w:rsidRPr="00A31137" w:rsidRDefault="00A31137" w:rsidP="00A31137">
      <w:r w:rsidRPr="00A31137">
        <w:t>The contracts allegedly impaired by the 1987 statute are employment contracts entered into after collective bargaining between petitioners and respondents. It is undisputed that the contracts themselves were formed before the 1981 law was enacted requiring benefit coordination. It is also undisputed that the contracts make no express mention of workers' compensation benefits. Petitioners argue that the workers' compensation law is an implied term of the contracts, because the parties bargained for other compensation with workers' compensation benefits in mind. This implied term that was allegedly impaired by the 1987 statute is defined as: a promise to pay the amount of workers' compensation required by law for each payment period. Once performance of this obligation is completed by making payments for any disability period, petitioners claim that they have a settled expectation that cannot be undone by later state legislation. Because the 1987 statute "reopens" these closed transactions, petitioners contend its retroactive provisions violate the Contract Clause.</w:t>
      </w:r>
    </w:p>
    <w:p w:rsidR="00A31137" w:rsidRPr="00A31137" w:rsidRDefault="00A31137" w:rsidP="00A31137">
      <w:r w:rsidRPr="00A31137">
        <w:t>1992, General Motors Corp. v. Romein, 503 U.S. 187</w:t>
      </w:r>
    </w:p>
    <w:p w:rsidR="00A31137" w:rsidRPr="00A31137" w:rsidRDefault="00A31137" w:rsidP="00A31137">
      <w:r w:rsidRPr="00A31137">
        <w:t xml:space="preserve">The Michigan Supreme Court held that the term suggested by petitioners was not an implied term of the employment contracts between petitioners and respondents. We "accord respectful consideration and great weight to the views of the State's highest court," though ultimately we are "bound to decide for ourselves whether a contract was made." Indiana ex rel. Anderson v. Brand, 303 U.S. 95, 100 (1938). The question whether a contract was made is a federal question for purposes of Contract Clause analysis, see Irving Trust Co. v. Day, 314 U.S. 556, 561 (1942), and "whether it turns on issues of general or purely local law, we can not surrender the duty to exercise our own judgment." Appleby v. City of New York, 271 U.S. 364, 380 (1926). In this case, however, we see no reason to disagree with the Michigan Supreme Court's conclusion. [503 U.S. 188] </w:t>
      </w:r>
    </w:p>
    <w:p w:rsidR="00A31137" w:rsidRPr="00A31137" w:rsidRDefault="00A31137" w:rsidP="00A31137">
      <w:r w:rsidRPr="00A31137">
        <w:t>1992, General Motors Corp. v. Romein, 503 U.S. 188</w:t>
      </w:r>
    </w:p>
    <w:p w:rsidR="00A31137" w:rsidRPr="00A31137" w:rsidRDefault="00A31137" w:rsidP="00A31137">
      <w:r w:rsidRPr="00A31137">
        <w:t>While it is true that the terms to which the contracting parties give assent may be express or implied in their dealings, cf. Garrison v. City of New York, 21 Wall.196, 203 (1875), the contracting parties here in no way manifested assent to limiting disability payments in accordance with the 1981 law allowing coordination of benefits. The employment contracts at issue were formed before the 1981 law allowing coordination of benefits came into effect. Thus, there was no occasion for the parties to consider in bargaining the question raised here: whether an unanticipated reduction in benefits could later be restored after the "benefit period" had closed.</w:t>
      </w:r>
    </w:p>
    <w:p w:rsidR="00A31137" w:rsidRPr="00A31137" w:rsidRDefault="00A31137" w:rsidP="00A31137">
      <w:r w:rsidRPr="00A31137">
        <w:t>1992, General Motors Corp. v. Romein, 503 U.S. 188</w:t>
      </w:r>
    </w:p>
    <w:p w:rsidR="00A31137" w:rsidRPr="00A31137" w:rsidRDefault="00A31137" w:rsidP="00A31137">
      <w:r w:rsidRPr="00A31137">
        <w:t>Petitioners argue that their right to rely on past payment periods as "closed" is a contractual term "incorporated" by law into the employment contracts, regardless of the assent, express or implied, of the parties. While petitioners cite passages from our prior decisions that "'the laws which subsist at the time and place of the making of a contract…enter into and form a part of it,'" Home Building &amp; Loan Ass'n v. Blaisdell, 290 U.S. 398, 429-430 (1934) (quoting Von Hoffman v. City of Quincy, 4 Wall. 535, 550 (1867)), that principle has no application here, since petitioners have not shown that the alleged right to rely on past payment periods as closed was part of Michigan law at the time of the original contract. Though Michigan courts, in awarding interest on unpaid workers' compensation awards, had held that such awards were more analogous to contractual damages than tort damages, see, e.g., Wilson v. Doehler-Jarvis Division of National Lead Co., 358 Mich. 510, 517-519, 100 N.W.2d 226, 229-230 (1960); Brown v. Eller Outdoor Advertising Co., 139 Mich. App. 7, 14, 360 N.W.2d 322, 326 (1984), Michigan law does not explicitly imply a contractual term allowing an employer to depend on the closure of past disability compensation periods. Moreover, such right does not appear to be so central to the bargained-for exchange between the parties, [503 U.S. 189] or to the enforceability of the contract as a whole, that it must be deemed to be a term of the contract.</w:t>
      </w:r>
    </w:p>
    <w:p w:rsidR="00A31137" w:rsidRPr="00A31137" w:rsidRDefault="00A31137" w:rsidP="00A31137">
      <w:r w:rsidRPr="00A31137">
        <w:t>1992, General Motors Corp. v. Romein, 503 U.S. 189</w:t>
      </w:r>
    </w:p>
    <w:p w:rsidR="00A31137" w:rsidRPr="00A31137" w:rsidRDefault="00A31137" w:rsidP="00A31137">
      <w:r w:rsidRPr="00A31137">
        <w:t>Contrary to petitioners' suggestion, we have not held that all state regulations are implied terms of every contract entered into while they are effective, especially when the regulations themselves cannot be fairly interpreted to require such incorporation. For the most part, state laws are implied into private contracts regardless of the assent of the parties only when those laws affect the validity, construction, and enforcement of contracts. See United States Trust Co. of New York v. New Jersey, 431 U.S. 1,  19, n. 17 (1977).</w:t>
      </w:r>
    </w:p>
    <w:p w:rsidR="00A31137" w:rsidRPr="00A31137" w:rsidRDefault="00A31137" w:rsidP="00A31137">
      <w:r w:rsidRPr="00A31137">
        <w:t>1992, General Motors Corp. v. Romein, 503 U.S. 189</w:t>
      </w:r>
    </w:p>
    <w:p w:rsidR="00A31137" w:rsidRPr="00A31137" w:rsidRDefault="00A31137" w:rsidP="00A31137">
      <w:r w:rsidRPr="00A31137">
        <w:t>While it is somewhat misleading to characterize laws affecting the enforceability of contracts as "incorporated terms" of a contract, see 3 A. Corbin, Corbin on Contracts § 551, pp.199-200 (1960), these laws are subject to Contract Clause analysis because, without them, contracts are reduced to simple, unenforceable promises.</w:t>
      </w:r>
    </w:p>
    <w:p w:rsidR="00A31137" w:rsidRPr="00A31137" w:rsidRDefault="00A31137" w:rsidP="00A31137">
      <w:r w:rsidRPr="00A31137">
        <w:t>1992, General Motors Corp. v. Romein, 503 U.S. 189</w:t>
      </w:r>
    </w:p>
    <w:p w:rsidR="00A31137" w:rsidRPr="00A31137" w:rsidRDefault="00A31137" w:rsidP="00A31137">
      <w:r w:rsidRPr="00A31137">
        <w:t>The obligation of a contract consists in its binding force on the party who makes it. This depends on the laws in existence when it is made; these are necessarily referred to in all contracts, and forming a part of them as the measure of the obligation to perform them by the one party, and the right acquired by the other…. If any subsequent law affect to diminish the duty, or to impair the right, it necessarily bears on the obligation of the contract.</w:t>
      </w:r>
    </w:p>
    <w:p w:rsidR="00A31137" w:rsidRPr="00A31137" w:rsidRDefault="00A31137" w:rsidP="00A31137">
      <w:r w:rsidRPr="00A31137">
        <w:t>1992, General Motors Corp. v. Romein, 503 U.S. 189</w:t>
      </w:r>
    </w:p>
    <w:p w:rsidR="00A31137" w:rsidRPr="00A31137" w:rsidRDefault="00A31137" w:rsidP="00A31137">
      <w:r w:rsidRPr="00A31137">
        <w:t>McCracken v. Hayward, 2 How. 608, 612 (1844). See also Von Hoffman v. City of Quincy, supra. A change in the remedies available under a contract, for example, may convert an agreement enforceable at law into a mere promise, thereby impairing the contract's obligatory force. See Sturges v. Crowninshield, 4 Wheat. 122, 197-198 (1819); Edwards v. Kearzey, 96 U.S. 595, 601 (1878). For this reason, changes in the laws that make a contract legally enforceable may trigger Contract Clause scrutiny if they impair the obligation of preexisting contracts, even if they do not alter any of the contracts' bargained-for terms. See, e.g., Von Hoffman v. City of Quincy, supra (repeal of tax designed to [503 U.S. 190] repay bond issue); Bronson v. Kinzie, 1 How. 311, 316 (1843) (law limiting foreclosure rights); McCracken, supra, 2 How. at 611-614 (same).</w:t>
      </w:r>
    </w:p>
    <w:p w:rsidR="00A31137" w:rsidRPr="00A31137" w:rsidRDefault="00A31137" w:rsidP="00A31137">
      <w:r w:rsidRPr="00A31137">
        <w:t>1992, General Motors Corp. v. Romein, 503 U.S. 190</w:t>
      </w:r>
    </w:p>
    <w:p w:rsidR="00A31137" w:rsidRPr="00A31137" w:rsidRDefault="00A31137" w:rsidP="00A31137">
      <w:r w:rsidRPr="00A31137">
        <w:t>The 1987 statute did not change the legal enforceability of the employment contracts here. The parties still have the same ability to enforce the bargained-for terms of the employment contracts that they did before the 1987 statute was enacted. Moreover, petitioners' suggestion that we should read every workplace regulation into the private contractual arrangements of employers and employees would expand the definition of contract so far that the constitutional provision would lose its anchoring purpose, i.e., "enabl[ing] individuals to order their personal and business affairs according to their particular needs and interests." Allied Structural Steel, 438 U.S. at  245. Instead, the Clause would protect against all changes in legislation, regardless of the effect of those changes on bargained-for agreements. The employment contract, in petitioners' view, could incorporate workplace safety regulations, employment tax obligations, and laws prohibiting workplace discrimination, even if these laws are not intended to affect private contracts and are not subject to bargaining between the employer and employees. Moreover, petitioners' construction would severely limit the ability of state legislatures to amend their regulatory legislation. Amendments could not take effect until all existing contracts expired, and parties could evade regulation by entering into long-term contracts. The ultimate irony of petitioners' proposed principle is that, taken to an extreme, it would render the Contract Clause itself entirely dependent on state law. As Justice Story pointed out:</w:t>
      </w:r>
    </w:p>
    <w:p w:rsidR="00A31137" w:rsidRPr="00A31137" w:rsidRDefault="00A31137" w:rsidP="00A31137">
      <w:r w:rsidRPr="00A31137">
        <w:t>1992, General Motors Corp. v. Romein, 503 U.S. 190</w:t>
      </w:r>
    </w:p>
    <w:p w:rsidR="00A31137" w:rsidRPr="00A31137" w:rsidRDefault="00A31137" w:rsidP="00A31137">
      <w:r w:rsidRPr="00A31137">
        <w:t>It has been contended, by some learned minds, that the municipal law of the place where a contract is made forms a part of it, and travels with it, wherever the parties to it may be found. If this were admitted to be true, the consequence would be that all the existing laws of a State, being incorporated into the contract, would constitute [503 U.S. 191] a part of its stipulations…. If, therefore, the legislature should provide, by a law, that all contracts thereafter made should be subject to the entire control of the legislature as to their obligation, validity, and execution, whatever might be their terms, they would be completely within the legislative power, and might be impaired or extinguished by future laws; thus having a complete ex post facto operation.</w:t>
      </w:r>
    </w:p>
    <w:p w:rsidR="00A31137" w:rsidRPr="00A31137" w:rsidRDefault="00A31137" w:rsidP="00A31137">
      <w:r w:rsidRPr="00A31137">
        <w:t>1992, General Motors Corp. v. Romein, 503 U.S. 191</w:t>
      </w:r>
    </w:p>
    <w:p w:rsidR="00A31137" w:rsidRPr="00A31137" w:rsidRDefault="00A31137" w:rsidP="00A31137">
      <w:r w:rsidRPr="00A31137">
        <w:t>2 J. Story, Commentaries on the Constitution of the United States, § 1383, pp. 252-253 (5th ed. 1891).</w:t>
      </w:r>
    </w:p>
    <w:p w:rsidR="00A31137" w:rsidRPr="00A31137" w:rsidRDefault="00A31137" w:rsidP="00A31137">
      <w:r w:rsidRPr="00A31137">
        <w:t>III</w:t>
      </w:r>
    </w:p>
    <w:p w:rsidR="00A31137" w:rsidRPr="00A31137" w:rsidRDefault="00A31137" w:rsidP="00A31137">
      <w:r w:rsidRPr="00A31137">
        <w:t>1992, General Motors Corp. v. Romein, 503 U.S. 191</w:t>
      </w:r>
    </w:p>
    <w:p w:rsidR="00A31137" w:rsidRPr="00A31137" w:rsidRDefault="00A31137" w:rsidP="00A31137">
      <w:r w:rsidRPr="00A31137">
        <w:t>Petitioners also contend that the 1987 statute violated Due Process because its retroactive provisions unreasonably interfered with closed transactions. Retroactive legislation presents problems of unfairness that are more serious than those posed by prospective legislation, because it can deprive citizens of legitimate expectations and upset settled transactions. For this reason, "[t]he retroactive aspects of [economic] legislation, as well as the prospective aspects, must meet the test of due process:" a legitimate legislative purpose furthered by rational means. Pension Benefit Guaranty Corp. v. R.A. Gray &amp; Co., 467 U.S. 717, 730 (1984).</w:t>
      </w:r>
    </w:p>
    <w:p w:rsidR="00A31137" w:rsidRPr="00A31137" w:rsidRDefault="00A31137" w:rsidP="00A31137">
      <w:r w:rsidRPr="00A31137">
        <w:t>1992, General Motors Corp. v. Romein, 503 U.S. 191</w:t>
      </w:r>
    </w:p>
    <w:p w:rsidR="00A31137" w:rsidRPr="00A31137" w:rsidRDefault="00A31137" w:rsidP="00A31137">
      <w:r w:rsidRPr="00A31137">
        <w:t>The statute in this case meets that standard. The purpose of the 1987 statute was to correct the unexpected results of the Michigan Supreme Court's Chambers opinion. The retroactive repayment provision of the 1987 statute was a rational means of meeting this legitimate objective: it preserved the delicate legislative compromise that had been struck by the 1980-1981 laws—giving workers injured before 1982 their full benefits without coordination, but not the greater increases given to subsequently injured workers. Also, it equalized the payments made by employers who had gambled on the Chambers decision with those made by employers who had not. Cf. United States v. Sperry Corp., [503 U.S. 192] 493 U.S. 52, 64-65 (1989) (legitimate to legislate retrospectively in order to ensure that similarly situated persons bear similar financial burdens of program).</w:t>
      </w:r>
    </w:p>
    <w:p w:rsidR="00A31137" w:rsidRPr="00A31137" w:rsidRDefault="00A31137" w:rsidP="00A31137">
      <w:r w:rsidRPr="00A31137">
        <w:t>1992, General Motors Corp. v. Romein, 503 U.S. 192</w:t>
      </w:r>
    </w:p>
    <w:p w:rsidR="00A31137" w:rsidRPr="00A31137" w:rsidRDefault="00A31137" w:rsidP="00A31137">
      <w:r w:rsidRPr="00A31137">
        <w:t>In sum, petitioners knew they were taking a risk in reducing benefits to their workers, but they took their chances with their interpretation of the 1981 law. Having now lost the battle in the Michigan Legislature, petitioners wished to continue the war in court. Losing a political skirmish, however, in itself creates no ground for constitutional relief.</w:t>
      </w:r>
    </w:p>
    <w:p w:rsidR="00A31137" w:rsidRPr="00A31137" w:rsidRDefault="00A31137" w:rsidP="00A31137">
      <w:r w:rsidRPr="00A31137">
        <w:t>1992, General Motors Corp. v. Romein, 503 U.S. 192</w:t>
      </w:r>
    </w:p>
    <w:p w:rsidR="00A31137" w:rsidRPr="00A31137" w:rsidRDefault="00A31137" w:rsidP="00A31137">
      <w:r w:rsidRPr="00A31137">
        <w:t>Affirmed.</w:t>
      </w:r>
    </w:p>
    <w:p w:rsidR="00A31137" w:rsidRPr="00A31137" w:rsidRDefault="00A31137" w:rsidP="00A31137">
      <w:r w:rsidRPr="00A31137">
        <w:t>Fort Gratiot Landfill v. Michigan DNR, 1992</w:t>
      </w:r>
    </w:p>
    <w:p w:rsidR="00A31137" w:rsidRPr="00A31137" w:rsidRDefault="00A31137" w:rsidP="00A31137">
      <w:r w:rsidRPr="00A31137">
        <w:t>Title:</w:t>
      </w:r>
      <w:r w:rsidRPr="00A31137">
        <w:tab/>
        <w:t>Fort Gratiot Sanitary Landfill, Inc. v. Michigan Department of Natural Resources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 1992</w:t>
      </w:r>
    </w:p>
    <w:p w:rsidR="00A31137" w:rsidRPr="00A31137" w:rsidRDefault="00A31137" w:rsidP="00A31137">
      <w:r w:rsidRPr="00A31137">
        <w:t>Source:</w:t>
      </w:r>
      <w:r w:rsidRPr="00A31137">
        <w:tab/>
        <w:t>504 U.S. 353</w:t>
      </w:r>
    </w:p>
    <w:p w:rsidR="00A31137" w:rsidRPr="00A31137" w:rsidRDefault="00A31137" w:rsidP="00A31137">
      <w:r w:rsidRPr="00A31137">
        <w:t>This case was argued March 30, 1992, and was decided June 1, 1992.</w:t>
      </w:r>
    </w:p>
    <w:p w:rsidR="00A31137" w:rsidRPr="00A31137" w:rsidRDefault="00A31137" w:rsidP="00A31137">
      <w:r w:rsidRPr="00A31137">
        <w:t>CERTIORARI TO THE UNITED STATES COURT OF APPEALS</w:t>
      </w:r>
    </w:p>
    <w:p w:rsidR="00A31137" w:rsidRPr="00A31137" w:rsidRDefault="00A31137" w:rsidP="00A31137">
      <w:r w:rsidRPr="00A31137">
        <w:t>FOR THE SIXTH CIRCUIT</w:t>
      </w:r>
    </w:p>
    <w:p w:rsidR="00A31137" w:rsidRPr="00A31137" w:rsidRDefault="00A31137" w:rsidP="00A31137">
      <w:r w:rsidRPr="00A31137">
        <w:t>Syllabus</w:t>
      </w:r>
    </w:p>
    <w:p w:rsidR="00A31137" w:rsidRPr="00A31137" w:rsidRDefault="00A31137" w:rsidP="00A31137">
      <w:r w:rsidRPr="00A31137">
        <w:t>1992, Fort Gratiot Landfill v. Mich. DNR, 504 U.S. 353</w:t>
      </w:r>
    </w:p>
    <w:p w:rsidR="00A31137" w:rsidRPr="00A31137" w:rsidRDefault="00A31137" w:rsidP="00A31137">
      <w:r w:rsidRPr="00A31137">
        <w:t>The Waste Import Restrictions of Michigan's Solid Waste Management Act (SWMA) provide that solid waste generated in another county, state, or country cannot be accepted for disposal unless explicitly authorized in the receiving county's plan. After St. Clair County, whose plan does not include such authorization, denied petitioner company's 1989 application for authority to accept out-of-state waste at its landfill, petitioner filed this action seeking a judgment declaring the Waste Import Restrictions invalid under the Commerce Clause and enjoining their enforcement. The District Court dismissed the complaint, and the Court of Appeals affirmed. The latter court found no facial discrimination against interstate commerce, because the statute does not treat out-of-county waste from Michigan any differently than waste from other States. The court also ruled that there was no actual discrimination, because petitioner had not alleged that all Michigan counties ban out-of-state waste.</w:t>
      </w:r>
    </w:p>
    <w:p w:rsidR="00A31137" w:rsidRPr="00A31137" w:rsidRDefault="00A31137" w:rsidP="00A31137">
      <w:r w:rsidRPr="00A31137">
        <w:t>1992, Fort Gratiot Landfill v. Mich. DNR, 504 U.S. 353</w:t>
      </w:r>
    </w:p>
    <w:p w:rsidR="00A31137" w:rsidRPr="00A31137" w:rsidRDefault="00A31137" w:rsidP="00A31137">
      <w:r w:rsidRPr="00A31137">
        <w:t>Held: The Waste Import Restrictions unambiguously discriminate against interstate commerce, and are appropriately characterized as protectionist measures that cannot withstand Commerce Clause scrutiny. Pp.  358-368.</w:t>
      </w:r>
    </w:p>
    <w:p w:rsidR="00A31137" w:rsidRPr="00A31137" w:rsidRDefault="00A31137" w:rsidP="00A31137">
      <w:r w:rsidRPr="00A31137">
        <w:t>1992, Fort Gratiot Landfill v. Mich. DNR, 504 U.S. 353</w:t>
      </w:r>
    </w:p>
    <w:p w:rsidR="00A31137" w:rsidRPr="00A31137" w:rsidRDefault="00A31137" w:rsidP="00A31137">
      <w:r w:rsidRPr="00A31137">
        <w:t>(a) Philadelphia v. New Jersey, 437 U.S. 617, 626-627, provides the proper analytical framework, and controls here. Under the reasoning of that case, Michigan's Waste Import Restrictions clearly discriminate against interstate commerce, since they authorize each county to isolate itself from the national economy and, indeed, afford local waste producers complete protection from competition from out-of-state producers seeking to use local disposal areas unless a county acts affirmatively to authorize such use. Pp.  358-361.</w:t>
      </w:r>
    </w:p>
    <w:p w:rsidR="00A31137" w:rsidRPr="00A31137" w:rsidRDefault="00A31137" w:rsidP="00A31137">
      <w:r w:rsidRPr="00A31137">
        <w:t>1992, Fort Gratiot Landfill v. Mich. DNR, 504 U.S. 353</w:t>
      </w:r>
    </w:p>
    <w:p w:rsidR="00A31137" w:rsidRPr="00A31137" w:rsidRDefault="00A31137" w:rsidP="00A31137">
      <w:r w:rsidRPr="00A31137">
        <w:t>(b) This case cannot be distinguished from Philadelphia v. New Jersey on the ground, asserted by respondents, that the Waste Import Restrictions treat waste from other Michigan counties no differently than waste from other States, and thus do not discriminate against interstate commerce on their face or in effect. This Court's cases teach that a State (or one of its political subdivisions) may not avoid the Commerce [504 U.S. 354] Clause's strictures by curtailing the movement of articles of commerce through subdivisions of the State, rather than through the State itself. See, e.g., Brimmer v. Rebman, 138 U.S. 78, 82-83. Nor does the fact that the Michigan statute allows individual counties to accept solid waste from out of state qualify its discriminatory character. Pp. 361-363.</w:t>
      </w:r>
    </w:p>
    <w:p w:rsidR="00A31137" w:rsidRPr="00A31137" w:rsidRDefault="00A31137" w:rsidP="00A31137">
      <w:r w:rsidRPr="00A31137">
        <w:t>1992, Fort Gratiot Landfill v. Mich. DNR, 504 U.S. 354</w:t>
      </w:r>
    </w:p>
    <w:p w:rsidR="00A31137" w:rsidRPr="00A31137" w:rsidRDefault="00A31137" w:rsidP="00A31137">
      <w:r w:rsidRPr="00A31137">
        <w:t>(c) Also rejected is respondents' argument that this case is different from Philadelphia v. New Jersey because the SWMA constitutes a comprehensive health and safety regulation, rather than "economic protectionism" of the State's limited landfill capacity. Even assuming that other provisions of the SWMA could fairly be so characterized, the same assumption cannot be made with respect to the Waste Import Restrictions themselves. Because those provisions unambiguously discriminate against interstate commerce, the State bears the burden of proving that they further health and safety concerns that cannot be adequately served by nondiscriminatory alternatives. Respondents have not met this burden, since they have provided no valid health and safety reason for limiting the amount of waste that a landfill operator may accept from outside the State, but not the amount the operator may accept from inside the State. Pp.  363-368.</w:t>
      </w:r>
    </w:p>
    <w:p w:rsidR="00A31137" w:rsidRPr="00A31137" w:rsidRDefault="00A31137" w:rsidP="00A31137">
      <w:r w:rsidRPr="00A31137">
        <w:t>1992, Fort Gratiot Landfill v. Mich. DNR, 504 U.S. 354</w:t>
      </w:r>
    </w:p>
    <w:p w:rsidR="00A31137" w:rsidRPr="00A31137" w:rsidRDefault="00A31137" w:rsidP="00A31137">
      <w:r w:rsidRPr="00A31137">
        <w:t>931 F.2d 413, reversed.</w:t>
      </w:r>
    </w:p>
    <w:p w:rsidR="00A31137" w:rsidRPr="00A31137" w:rsidRDefault="00A31137" w:rsidP="00A31137">
      <w:r w:rsidRPr="00A31137">
        <w:t>1992, Fort Gratiot Landfill v. Mich. DNR, 504 U.S. 354</w:t>
      </w:r>
    </w:p>
    <w:p w:rsidR="00A31137" w:rsidRPr="00A31137" w:rsidRDefault="00A31137" w:rsidP="00A31137">
      <w:r w:rsidRPr="00A31137">
        <w:t xml:space="preserve">STEVENS, J., delivered the opinion of the Court, in which WHITE, O'CONNOR, SCALIA, KENNEDY, SOUTER, and THOMAS, JJ., joined. REHNQUIST, C.J., filed a dissenting opinion, in which BLACKMUN, J., joined. [504 U.S. 355] </w:t>
      </w:r>
    </w:p>
    <w:p w:rsidR="00A31137" w:rsidRPr="00A31137" w:rsidRDefault="00A31137" w:rsidP="00A31137">
      <w:r w:rsidRPr="00A31137">
        <w:t>STEVENS, J., lead opinion</w:t>
      </w:r>
    </w:p>
    <w:p w:rsidR="00A31137" w:rsidRPr="00A31137" w:rsidRDefault="00A31137" w:rsidP="00A31137">
      <w:r w:rsidRPr="00A31137">
        <w:t>1992, Fort Gratiot Landfill v. Mich. DNR, 504 U.S. 355</w:t>
      </w:r>
    </w:p>
    <w:p w:rsidR="00A31137" w:rsidRPr="00A31137" w:rsidRDefault="00A31137" w:rsidP="00A31137">
      <w:r w:rsidRPr="00A31137">
        <w:t>JUSTICE STEVENS delivered the opinion of the Court.</w:t>
      </w:r>
    </w:p>
    <w:p w:rsidR="00A31137" w:rsidRPr="00A31137" w:rsidRDefault="00A31137" w:rsidP="00A31137">
      <w:r w:rsidRPr="00A31137">
        <w:t>1992, Fort Gratiot Landfill v. Mich. DNR, 504 U.S. 355</w:t>
      </w:r>
    </w:p>
    <w:p w:rsidR="00A31137" w:rsidRPr="00A31137" w:rsidRDefault="00A31137" w:rsidP="00A31137">
      <w:r w:rsidRPr="00A31137">
        <w:t>In Philadelphia v. New Jersey, 437 U.S. 617,  618 (1978), we held that a New Jersey law prohibiting the importation of most "'solid or liquid waste which originated or was collected outside the territorial limits of the State'" violated the Commerce Clause of the United States Constitution. In this case, petitioner challenges a Michigan law that prohibits private landfill operators from accepting solid waste that originates outside the county in which their facilities are located. Adhering to our holding in the New Jersey case, we conclude that this Michigan statute is also unconstitutional.</w:t>
      </w:r>
    </w:p>
    <w:p w:rsidR="00A31137" w:rsidRPr="00A31137" w:rsidRDefault="00A31137" w:rsidP="00A31137">
      <w:r w:rsidRPr="00A31137">
        <w:t>I</w:t>
      </w:r>
    </w:p>
    <w:p w:rsidR="00A31137" w:rsidRPr="00A31137" w:rsidRDefault="00A31137" w:rsidP="00A31137">
      <w:r w:rsidRPr="00A31137">
        <w:t>1992, Fort Gratiot Landfill v. Mich. DNR, 504 U.S. 355</w:t>
      </w:r>
    </w:p>
    <w:p w:rsidR="00A31137" w:rsidRPr="00A31137" w:rsidRDefault="00A31137" w:rsidP="00A31137">
      <w:r w:rsidRPr="00A31137">
        <w:t>In 1978, Michigan enacted its Solid Waste Management Act 1 (SWMA). That Act required every Michigan county to estimate the amount of solid waste that would be generated in the county in the next 20 years, and to adopt a plan providing for its disposal at facilities that comply with state health standards. Mich.Comp.Laws Ann. § 299.425 (Supp.1991). [504 U.S. 356] After holding public hearings and obtaining the necessary approval of municipalities in the county, as well as the approval of the Director of the Michigan Department of Natural Resources, the County Board of Commissioners adopted a solid waste management plan for St. Clair County. In 1987, the Michigan Department of Natural Resources issued a permit to petitioner to operate a sanitary landfill as a solid waste 2 disposal area in St. Clair County. See Bill Kettlewell Excavating, Inc. v. Michigan Dept. of Natural Resources, 931 F.2d 413, 414 (CA6 1991).</w:t>
      </w:r>
    </w:p>
    <w:p w:rsidR="00A31137" w:rsidRPr="00A31137" w:rsidRDefault="00A31137" w:rsidP="00A31137">
      <w:r w:rsidRPr="00A31137">
        <w:t>1992, Fort Gratiot Landfill v. Mich. DNR, 504 U.S. 356</w:t>
      </w:r>
    </w:p>
    <w:p w:rsidR="00A31137" w:rsidRPr="00A31137" w:rsidRDefault="00A31137" w:rsidP="00A31137">
      <w:r w:rsidRPr="00A31137">
        <w:t>On December 28, 1988, the Michigan Legislature amended the SWMA by adopting two provisions concerning the "acceptance of waste or ash generated outside the county of disposal area," see 1988 Mich. Pub.Acts, No. 475, § 1, codified as amended, Mich.Comp.Laws Ann. §§ 299.413a, 299.430(2) [504 U.S. 357] (Supp.1991). Those amendments (Waste Import Restrictions), which became effective immediately, provide:</w:t>
      </w:r>
    </w:p>
    <w:p w:rsidR="00A31137" w:rsidRPr="00A31137" w:rsidRDefault="00A31137" w:rsidP="00A31137">
      <w:r w:rsidRPr="00A31137">
        <w:t>1992, Fort Gratiot Landfill v. Mich. DNR, 504 U.S. 357</w:t>
      </w:r>
    </w:p>
    <w:p w:rsidR="00A31137" w:rsidRPr="00A31137" w:rsidRDefault="00A31137" w:rsidP="00A31137">
      <w:r w:rsidRPr="00A31137">
        <w:t>A person shall not accept for disposal solid waste…that is not generated in the county in which the disposal area is located unless the acceptance of solid waste…that is not generated in the county is explicitly authorized in the approved county solid waste management plan.</w:t>
      </w:r>
    </w:p>
    <w:p w:rsidR="00A31137" w:rsidRPr="00A31137" w:rsidRDefault="00A31137" w:rsidP="00A31137">
      <w:r w:rsidRPr="00A31137">
        <w:t>1992, Fort Gratiot Landfill v. Mich. DNR, 504 U.S. 357</w:t>
      </w:r>
    </w:p>
    <w:p w:rsidR="00A31137" w:rsidRPr="00A31137" w:rsidRDefault="00A31137" w:rsidP="00A31137">
      <w:r w:rsidRPr="00A31137">
        <w:t>§ 299.413a.</w:t>
      </w:r>
    </w:p>
    <w:p w:rsidR="00A31137" w:rsidRPr="00A31137" w:rsidRDefault="00A31137" w:rsidP="00A31137">
      <w:r w:rsidRPr="00A31137">
        <w:t>1992, Fort Gratiot Landfill v. Mich. DNR, 504 U.S. 357</w:t>
      </w:r>
    </w:p>
    <w:p w:rsidR="00A31137" w:rsidRPr="00A31137" w:rsidRDefault="00A31137" w:rsidP="00A31137">
      <w:r w:rsidRPr="00A31137">
        <w:t>In order for a disposal area to serve the disposal needs of another county, state, or country, the service…must be explicitly authorized in the approved solid waste management plan of the receiving county.</w:t>
      </w:r>
    </w:p>
    <w:p w:rsidR="00A31137" w:rsidRPr="00A31137" w:rsidRDefault="00A31137" w:rsidP="00A31137">
      <w:r w:rsidRPr="00A31137">
        <w:t>1992, Fort Gratiot Landfill v. Mich. DNR, 504 U.S. 357</w:t>
      </w:r>
    </w:p>
    <w:p w:rsidR="00A31137" w:rsidRPr="00A31137" w:rsidRDefault="00A31137" w:rsidP="00A31137">
      <w:r w:rsidRPr="00A31137">
        <w:t>§ 299.430(2).</w:t>
      </w:r>
    </w:p>
    <w:p w:rsidR="00A31137" w:rsidRPr="00A31137" w:rsidRDefault="00A31137" w:rsidP="00A31137">
      <w:r w:rsidRPr="00A31137">
        <w:t>1992, Fort Gratiot Landfill v. Mich. DNR, 504 U.S. 357</w:t>
      </w:r>
    </w:p>
    <w:p w:rsidR="00A31137" w:rsidRPr="00A31137" w:rsidRDefault="00A31137" w:rsidP="00A31137">
      <w:r w:rsidRPr="00A31137">
        <w:t>In February, 1989, petitioner submitted an application to the St. Clair County Solid Waste Planning Committee for authority to accept up to 1,750 tons per day of out-of-state waste at its landfill. See Bill Kettlewell Excavating, Inc. v. Michigan Dept. of Natural Resources, 732 F.Supp. 761, 762 (ED Mich.1990). In that application, petitioner promised to reserve sufficient capacity to dispose of all solid waste generated in the county in the next 20 years. The planning committee denied the application. Ibid. In view of the fact that the county's management plan does not authorize the acceptance of any out-of-county waste, the Waste Import Restrictions in the 1988 statute effectively prevent petitioner from receiving any solid waste that does not originate in St. Clair County.</w:t>
      </w:r>
    </w:p>
    <w:p w:rsidR="00A31137" w:rsidRPr="00A31137" w:rsidRDefault="00A31137" w:rsidP="00A31137">
      <w:r w:rsidRPr="00A31137">
        <w:t>1992, Fort Gratiot Landfill v. Mich. DNR, 504 U.S. 357</w:t>
      </w:r>
    </w:p>
    <w:p w:rsidR="00A31137" w:rsidRPr="00A31137" w:rsidRDefault="00A31137" w:rsidP="00A31137">
      <w:r w:rsidRPr="00A31137">
        <w:t>Petitioner therefore commenced this action seeking a judgment declaring the Waste Import Restrictions unconstitutional and enjoining their enforcement. Petitioner contended that requiring a private landfill operator to limit its business to the acceptance of local waste constituted impermissible discrimination against interstate commerce. The District Court denied petitioner's motion for summary judgment, however, 732 F.Supp. at 766, and subsequently dismissed the complaint, App. 4. The court first concluded that the statute [504 U.S. 358] does not discriminate against interstate commerce "on its face" because the import restrictions apply "equally to Michigan counties outside of the county adopting the plan as well as to out-of-state entities." 732 F.Supp. at 764. It also concluded that there was no discrimination "in practical effect," because each county was given discretion to accept out-of-state waste. Ibid. Moreover, the incidental effect on interstate commerce was "not clearly excessive in relation to the [public health and environmental] benefits derived by Michigan from the statute." Id. at 765.</w:t>
      </w:r>
    </w:p>
    <w:p w:rsidR="00A31137" w:rsidRPr="00A31137" w:rsidRDefault="00A31137" w:rsidP="00A31137">
      <w:r w:rsidRPr="00A31137">
        <w:t>1992, Fort Gratiot Landfill v. Mich. DNR, 504 U.S. 358</w:t>
      </w:r>
    </w:p>
    <w:p w:rsidR="00A31137" w:rsidRPr="00A31137" w:rsidRDefault="00A31137" w:rsidP="00A31137">
      <w:r w:rsidRPr="00A31137">
        <w:t>The Court of Appeals for the Sixth Circuit agreed with the District Court's analysis. Although it recognized that the statute "places in-county and out-of-county waste in separate categories," the Court of Appeals found no discrimination against interstate commerce, because the statute "does not treat out-of-county waste from Michigan any differently than waste from other states." 931 F.2d at 417. It also agreed that there was no actual discrimination, because petitioner had not alleged that all counties in Michigan ban out-of-state waste. Id. at 418. Accordingly, it affirmed the judgment of the District Court. Ibid. We granted certiorari, 502 U.S. 1024 (1992), because of concern that the decision below was inconsistent with Philadelphia v. New Jersey, and now reverse.</w:t>
      </w:r>
    </w:p>
    <w:p w:rsidR="00A31137" w:rsidRPr="00A31137" w:rsidRDefault="00A31137" w:rsidP="00A31137">
      <w:r w:rsidRPr="00A31137">
        <w:t>II</w:t>
      </w:r>
    </w:p>
    <w:p w:rsidR="00A31137" w:rsidRPr="00A31137" w:rsidRDefault="00A31137" w:rsidP="00A31137">
      <w:r w:rsidRPr="00A31137">
        <w:t>1992, Fort Gratiot Landfill v. Mich. DNR, 504 U.S. 358</w:t>
      </w:r>
    </w:p>
    <w:p w:rsidR="00A31137" w:rsidRPr="00A31137" w:rsidRDefault="00A31137" w:rsidP="00A31137">
      <w:r w:rsidRPr="00A31137">
        <w:t>Before discussing the rather narrow issue that is contested, it is appropriate to identify certain matters that are not in dispute. Michigan's comprehensive program of regulating the collection, transportation, and disposal of solid waste, as it was enacted in 1978 and administered prior to the 1988 Waste Import Restrictions, is not challenged. No issue relating to hazardous waste is presented, and there is no claim that petitioner's operation violated any health, safety, or sanitation requirement. Nor does the case raise any question concerning policies that municipalities or other governmental agencies may pursue in the management of [504 U.S. 359] publicly owned facilities. The case involves only the validity of the Waste Import Restrictions as they apply to privately owned and operated landfills.</w:t>
      </w:r>
    </w:p>
    <w:p w:rsidR="00A31137" w:rsidRPr="00A31137" w:rsidRDefault="00A31137" w:rsidP="00A31137">
      <w:r w:rsidRPr="00A31137">
        <w:t>1992, Fort Gratiot Landfill v. Mich. DNR, 504 U.S. 359</w:t>
      </w:r>
    </w:p>
    <w:p w:rsidR="00A31137" w:rsidRPr="00A31137" w:rsidRDefault="00A31137" w:rsidP="00A31137">
      <w:r w:rsidRPr="00A31137">
        <w:t>On the other hand, Philadelphia v. New Jersey provides the framework for our analysis of this case. Solid waste, even if it has no value, is an article of commerce. 3 437 U.S. at 622-623. Whether the business arrangements between out-of-state generators of waste and the Michigan operator of a waste disposal site are viewed as "sales" of garbage or "purchases" of transportation and disposal services, the commercial transactions unquestionably have an interstate character. The Commerce Clause thus imposes some constraints on Michigan's ability to regulate these transactions.</w:t>
      </w:r>
    </w:p>
    <w:p w:rsidR="00A31137" w:rsidRPr="00A31137" w:rsidRDefault="00A31137" w:rsidP="00A31137">
      <w:r w:rsidRPr="00A31137">
        <w:t>1992, Fort Gratiot Landfill v. Mich. DNR, 504 U.S. 359</w:t>
      </w:r>
    </w:p>
    <w:p w:rsidR="00A31137" w:rsidRPr="00A31137" w:rsidRDefault="00A31137" w:rsidP="00A31137">
      <w:r w:rsidRPr="00A31137">
        <w:t xml:space="preserve">As we have long recognized, the "negative" or "dormant" aspect of the Commerce Clause prohibits States from "advanc[ing] their own commercial interests by curtailing the movement of articles of commerce, either into or out of the state." H.P. Hood &amp; Sons, Inc. v. Du Mond, 336 U.S. 525,  535 (1949). A state statute that clearly discriminates against interstate commerce is therefore unconstitutional "unless the discrimination is demonstrably justified by a valid factor unrelated to economic protectionism." New Energy Co. of Indiana v. Limbach, 486 U.S. 269, 274 (1988). [504 U.S. 360] </w:t>
      </w:r>
    </w:p>
    <w:p w:rsidR="00A31137" w:rsidRPr="00A31137" w:rsidRDefault="00A31137" w:rsidP="00A31137">
      <w:r w:rsidRPr="00A31137">
        <w:t>1992, Fort Gratiot Landfill v. Mich. DNR, 504 U.S. 360</w:t>
      </w:r>
    </w:p>
    <w:p w:rsidR="00A31137" w:rsidRPr="00A31137" w:rsidRDefault="00A31137" w:rsidP="00A31137">
      <w:r w:rsidRPr="00A31137">
        <w:t>New Jersey's prohibition on the importation of solid waste failed this test:</w:t>
      </w:r>
    </w:p>
    <w:p w:rsidR="00A31137" w:rsidRPr="00A31137" w:rsidRDefault="00A31137" w:rsidP="00A31137">
      <w:r w:rsidRPr="00A31137">
        <w:t>1992, Fort Gratiot Landfill v. Mich. DNR, 504 U.S. 360</w:t>
      </w:r>
    </w:p>
    <w:p w:rsidR="00A31137" w:rsidRPr="00A31137" w:rsidRDefault="00A31137" w:rsidP="00A31137">
      <w:r w:rsidRPr="00A31137">
        <w:t>[T]he evil of protectionism can reside in legislative means, as well as legislative ends. Thus, it does not matter whether the ultimate aim of ch. 363 is to reduce the waste disposal costs of New Jersey residents or to save remaining open lands from pollution, for we assume New Jersey has every right to protect its residents' pocketbooks, as well as their environment. And it may be assumed as well that New Jersey may pursue those ends by slowing the flow of all waste into the State's remaining landfills, even though interstate commerce may incidentally be affected. But whatever New Jersey's ultimate purpose, it may not be accompanied by discriminating against articles of commerce coming from outside the State unless there is some reason, apart from their origin, to treat them differently. Both on its face and in its plain effect, ch. 363 violates this principle of nondiscrimination.</w:t>
      </w:r>
    </w:p>
    <w:p w:rsidR="00A31137" w:rsidRPr="00A31137" w:rsidRDefault="00A31137" w:rsidP="00A31137">
      <w:r w:rsidRPr="00A31137">
        <w:t>1992, Fort Gratiot Landfill v. Mich. DNR, 504 U.S. 360</w:t>
      </w:r>
    </w:p>
    <w:p w:rsidR="00A31137" w:rsidRPr="00A31137" w:rsidRDefault="00A31137" w:rsidP="00A31137">
      <w:r w:rsidRPr="00A31137">
        <w:t>The Court has consistently found parochial legislation of this kind to be constitutionally invalid, whether the ultimate aim of the legislation was to assure a steady supply of milk by erecting barriers to allegedly ruinous outside competition, Baldwin v. G.A.F. Seelig, Inc., 294 U.S. [511], at 522-524; or to create jobs by keeping industry within the State, Foster-Fountain Packing Co. v. Haydel, 278 U.S. 1, 10; Johnson v. Haydel, 278 U.S. 16; Toomer v. Witsell, 334 U.S. [385], at 403-404; or to preserve the State's financial resources from depletion by fencing out indigent immigrants, Edwards v. California, 314 U.S. 160, 173-174. In each of these cases, a presumably legitimate goal was sought to be achieved by the illegitimate means of isolating the State from the national economy.</w:t>
      </w:r>
    </w:p>
    <w:p w:rsidR="00A31137" w:rsidRPr="00A31137" w:rsidRDefault="00A31137" w:rsidP="00A31137">
      <w:r w:rsidRPr="00A31137">
        <w:t>1992, Fort Gratiot Landfill v. Mich. DNR, 504 U.S. 360</w:t>
      </w:r>
    </w:p>
    <w:p w:rsidR="00A31137" w:rsidRPr="00A31137" w:rsidRDefault="00A31137" w:rsidP="00A31137">
      <w:r w:rsidRPr="00A31137">
        <w:t xml:space="preserve">Philadelphia v. New Jersey, 437 U.S. at 626-627. [504 U.S. 361] </w:t>
      </w:r>
    </w:p>
    <w:p w:rsidR="00A31137" w:rsidRPr="00A31137" w:rsidRDefault="00A31137" w:rsidP="00A31137">
      <w:r w:rsidRPr="00A31137">
        <w:t>1992, Fort Gratiot Landfill v. Mich. DNR, 504 U.S. 361</w:t>
      </w:r>
    </w:p>
    <w:p w:rsidR="00A31137" w:rsidRPr="00A31137" w:rsidRDefault="00A31137" w:rsidP="00A31137">
      <w:r w:rsidRPr="00A31137">
        <w:t>The Waste Import Restrictions enacted by Michigan authorize each of its 83 counties to isolate itself from the national economy. Indeed, unless a county acts affirmatively to permit other waste to enter its jurisdiction, the statute affords local waste producers complete protection from competition from out-of-state waste producers who seek to use local waste disposal areas. In view of the fact that Michigan has not identified any reason, apart from its origin, why solid waste coming from outside the county should be treated differently from solid waste within the county, the foregoing reasoning would appear to control the disposition of this case.</w:t>
      </w:r>
    </w:p>
    <w:p w:rsidR="00A31137" w:rsidRPr="00A31137" w:rsidRDefault="00A31137" w:rsidP="00A31137">
      <w:r w:rsidRPr="00A31137">
        <w:t>III</w:t>
      </w:r>
    </w:p>
    <w:p w:rsidR="00A31137" w:rsidRPr="00A31137" w:rsidRDefault="00A31137" w:rsidP="00A31137">
      <w:r w:rsidRPr="00A31137">
        <w:t>1992, Fort Gratiot Landfill v. Mich. DNR, 504 U.S. 361</w:t>
      </w:r>
    </w:p>
    <w:p w:rsidR="00A31137" w:rsidRPr="00A31137" w:rsidRDefault="00A31137" w:rsidP="00A31137">
      <w:r w:rsidRPr="00A31137">
        <w:t>Respondents Michigan and St. Clair County argue, however, that the Waste Import Restrictions—unlike the New Jersey prohibition on the importation of solid waste—do not discriminate against interstate commerce on their face or in effect, because they treat waste from other Michigan counties no differently than waste from other States. Instead, respondents maintain, the statute regulates evenhandedly to effectuate local interests, and should be upheld because the burden on interstate commerce is not clearly excessive in relation to the local benefits. Cf. Pike v. Bruce Church, Inc., 397 U.S. 137, 142 (1970). We disagree, for our prior cases teach that a State (or one of its political subdivisions) may not avoid the strictures of the Commerce Clause by curtailing the movement of articles of commerce through subdivisions of the State, rather than through the State itself.</w:t>
      </w:r>
    </w:p>
    <w:p w:rsidR="00A31137" w:rsidRPr="00A31137" w:rsidRDefault="00A31137" w:rsidP="00A31137">
      <w:r w:rsidRPr="00A31137">
        <w:t>1992, Fort Gratiot Landfill v. Mich. DNR, 504 U.S. 361</w:t>
      </w:r>
    </w:p>
    <w:p w:rsidR="00A31137" w:rsidRPr="00A31137" w:rsidRDefault="00A31137" w:rsidP="00A31137">
      <w:r w:rsidRPr="00A31137">
        <w:t xml:space="preserve">In Brimmer v. Rebman, 138 U.S. 78 (1891), we reviewed the constitutionality of a Virginia statute that imposed special inspection fees on meat from animals that had been slaughtered more than 100 miles from the place of sale. We concluded that the statute violated the Commerce Clause even though it burdened Virginia producers as well as the Illinois litigant before the Court. We explained: [504 U.S. 362] </w:t>
      </w:r>
    </w:p>
    <w:p w:rsidR="00A31137" w:rsidRPr="00A31137" w:rsidRDefault="00A31137" w:rsidP="00A31137">
      <w:r w:rsidRPr="00A31137">
        <w:t>1992, Fort Gratiot Landfill v. Mich. DNR, 504 U.S. 362</w:t>
      </w:r>
    </w:p>
    <w:p w:rsidR="00A31137" w:rsidRPr="00A31137" w:rsidRDefault="00A31137" w:rsidP="00A31137">
      <w:r w:rsidRPr="00A31137">
        <w:t>[T]his statute [cannot] be brought into harmony with the Constitution by the circumstance that it purports to apply alike to the citizens of all the States, including Virginia, for</w:t>
      </w:r>
    </w:p>
    <w:p w:rsidR="00A31137" w:rsidRPr="00A31137" w:rsidRDefault="00A31137" w:rsidP="00A31137">
      <w:r w:rsidRPr="00A31137">
        <w:t>1992, Fort Gratiot Landfill v. Mich. DNR, 504 U.S. 362</w:t>
      </w:r>
    </w:p>
    <w:p w:rsidR="00A31137" w:rsidRPr="00A31137" w:rsidRDefault="00A31137" w:rsidP="00A31137">
      <w:r w:rsidRPr="00A31137">
        <w:t>a burden imposed by a State upon interstate commerce is not to be sustained simply because the statute imposing it applies alike to the people of all the States, including the people of the State enacting such statute.</w:t>
      </w:r>
    </w:p>
    <w:p w:rsidR="00A31137" w:rsidRPr="00A31137" w:rsidRDefault="00A31137" w:rsidP="00A31137">
      <w:r w:rsidRPr="00A31137">
        <w:t>1992, Fort Gratiot Landfill v. Mich. DNR, 504 U.S. 362</w:t>
      </w:r>
    </w:p>
    <w:p w:rsidR="00A31137" w:rsidRPr="00A31137" w:rsidRDefault="00A31137" w:rsidP="00A31137">
      <w:r w:rsidRPr="00A31137">
        <w:t>Minnesota v. Barber, [136 U.S. 313 (1890)]; Robbins v. Shelby Taxing District, 120 U.S. 489, 497. If the object of Virginia had been to obstruct the bringing into that State, for use as human food, of all beef, veal and mutton, however wholesome, from animals slaughtered in distant States, that object will be accomplished if the statute before us be enforced.</w:t>
      </w:r>
    </w:p>
    <w:p w:rsidR="00A31137" w:rsidRPr="00A31137" w:rsidRDefault="00A31137" w:rsidP="00A31137">
      <w:r w:rsidRPr="00A31137">
        <w:t>1992, Fort Gratiot Landfill v. Mich. DNR, 504 U.S. 362</w:t>
      </w:r>
    </w:p>
    <w:p w:rsidR="00A31137" w:rsidRPr="00A31137" w:rsidRDefault="00A31137" w:rsidP="00A31137">
      <w:r w:rsidRPr="00A31137">
        <w:t>Id. at 82-83.</w:t>
      </w:r>
    </w:p>
    <w:p w:rsidR="00A31137" w:rsidRPr="00A31137" w:rsidRDefault="00A31137" w:rsidP="00A31137">
      <w:r w:rsidRPr="00A31137">
        <w:t>1992, Fort Gratiot Landfill v. Mich. DNR, 504 U.S. 362</w:t>
      </w:r>
    </w:p>
    <w:p w:rsidR="00A31137" w:rsidRPr="00A31137" w:rsidRDefault="00A31137" w:rsidP="00A31137">
      <w:r w:rsidRPr="00A31137">
        <w:t>In Dean Milk Co. v. Madison, 340 U.S. 349 (1951), another Illinois litigant challenged a city ordinance that made it unlawful to sell any milk as pasteurized unless it had been processed at a plant "within a radius of five miles from the central square of Madison," id. at  350. We held the ordinance invalid, explaining:</w:t>
      </w:r>
    </w:p>
    <w:p w:rsidR="00A31137" w:rsidRPr="00A31137" w:rsidRDefault="00A31137" w:rsidP="00A31137">
      <w:r w:rsidRPr="00A31137">
        <w:t>1992, Fort Gratiot Landfill v. Mich. DNR, 504 U.S. 362</w:t>
      </w:r>
    </w:p>
    <w:p w:rsidR="00A31137" w:rsidRPr="00A31137" w:rsidRDefault="00A31137" w:rsidP="00A31137">
      <w:r w:rsidRPr="00A31137">
        <w:t>[T]his regulation, like the provision invalidated in Baldwin v. Seelig, Inc., [294 U.S. 511], in practical effect excludes from distribution in Madison wholesome milk produced and pasteurized in Illinois. "The importer…may keep his milk or drink it, but sell it he may not." Id. at  521. In thus erecting an economic barrier protecting a major local industry against competition from without the State, Madison plainly discriminates against interstate commerce.</w:t>
      </w:r>
    </w:p>
    <w:p w:rsidR="00A31137" w:rsidRPr="00A31137" w:rsidRDefault="00A31137" w:rsidP="00A31137">
      <w:r w:rsidRPr="00A31137">
        <w:t>1992, Fort Gratiot Landfill v. Mich. DNR, 504 U.S. 362</w:t>
      </w:r>
    </w:p>
    <w:p w:rsidR="00A31137" w:rsidRPr="00A31137" w:rsidRDefault="00A31137" w:rsidP="00A31137">
      <w:r w:rsidRPr="00A31137">
        <w:t>Id. at  354. The fact that the ordinance also discriminated against all Wisconsin producers whose facilities were more than five miles from the center of the city did not mitigate its burden on interstate commerce. As we noted, it was</w:t>
      </w:r>
    </w:p>
    <w:p w:rsidR="00A31137" w:rsidRPr="00A31137" w:rsidRDefault="00A31137" w:rsidP="00A31137">
      <w:r w:rsidRPr="00A31137">
        <w:t>1992, Fort Gratiot Landfill v. Mich. DNR, 504 U.S. 362</w:t>
      </w:r>
    </w:p>
    <w:p w:rsidR="00A31137" w:rsidRPr="00A31137" w:rsidRDefault="00A31137" w:rsidP="00A31137">
      <w:r w:rsidRPr="00A31137">
        <w:t>immaterial that Wisconsin milk from outside the Madison area is subjected [504 U.S. 363] to the same proscription as that moving in interstate commerce.</w:t>
      </w:r>
    </w:p>
    <w:p w:rsidR="00A31137" w:rsidRPr="00A31137" w:rsidRDefault="00A31137" w:rsidP="00A31137">
      <w:r w:rsidRPr="00A31137">
        <w:t>1992, Fort Gratiot Landfill v. Mich. DNR, 504 U.S. 363</w:t>
      </w:r>
    </w:p>
    <w:p w:rsidR="00A31137" w:rsidRPr="00A31137" w:rsidRDefault="00A31137" w:rsidP="00A31137">
      <w:r w:rsidRPr="00A31137">
        <w:t>Id. at  354, n. 4.</w:t>
      </w:r>
    </w:p>
    <w:p w:rsidR="00A31137" w:rsidRPr="00A31137" w:rsidRDefault="00A31137" w:rsidP="00A31137">
      <w:r w:rsidRPr="00A31137">
        <w:t>1992, Fort Gratiot Landfill v. Mich. DNR, 504 U.S. 363</w:t>
      </w:r>
    </w:p>
    <w:p w:rsidR="00A31137" w:rsidRPr="00A31137" w:rsidRDefault="00A31137" w:rsidP="00A31137">
      <w:r w:rsidRPr="00A31137">
        <w:t>Nor does the fact that the Michigan statute allows individual counties to accept solid waste from out of state qualify its discriminatory character. In the New Jersey case, the statute authorized a state agency to promulgate regulations permitting certain categories of waste to enter the State. See 437 U.S. at 618-619. The limited exception covered by those regulations—like the fact that several Michigan counties accept out-of-state waste—merely reduced the scope of the discrimination; for all categories of waste not excepted by the regulations, the discriminatory ban remained in place. Similarly, in this case, St. Clair County's total ban on out-of-state waste is unaffected by the fact that some other counties have adopted a different policy. 4</w:t>
      </w:r>
    </w:p>
    <w:p w:rsidR="00A31137" w:rsidRPr="00A31137" w:rsidRDefault="00A31137" w:rsidP="00A31137">
      <w:r w:rsidRPr="00A31137">
        <w:t>1992, Fort Gratiot Landfill v. Mich. DNR, 504 U.S. 363</w:t>
      </w:r>
    </w:p>
    <w:p w:rsidR="00A31137" w:rsidRPr="00A31137" w:rsidRDefault="00A31137" w:rsidP="00A31137">
      <w:r w:rsidRPr="00A31137">
        <w:t>In short, neither the fact that the Michigan statute purports to regulate intercounty commerce in waste nor the fact that some Michigan counties accept out-of-state waste provides an adequate basis for distinguishing this case from Phladelphia v. New Jersey.</w:t>
      </w:r>
    </w:p>
    <w:p w:rsidR="00A31137" w:rsidRPr="00A31137" w:rsidRDefault="00A31137" w:rsidP="00A31137">
      <w:r w:rsidRPr="00A31137">
        <w:t>IV</w:t>
      </w:r>
    </w:p>
    <w:p w:rsidR="00A31137" w:rsidRPr="00A31137" w:rsidRDefault="00A31137" w:rsidP="00A31137">
      <w:r w:rsidRPr="00A31137">
        <w:t>1992, Fort Gratiot Landfill v. Mich. DNR, 504 U.S. 363</w:t>
      </w:r>
    </w:p>
    <w:p w:rsidR="00A31137" w:rsidRPr="00A31137" w:rsidRDefault="00A31137" w:rsidP="00A31137">
      <w:r w:rsidRPr="00A31137">
        <w:t>Michigan and St. Clair County also argue that this case is different from Philadelphia v. New Jersey because the SWMA constitutes a comprehensive health and safety regulation, rather than "economic protectionism" of the State's limited landfill capacity. Relying on an excerpt from our opinion in Sporhase v. Nebraska ex rel. Douglas, 458 U.S. [504 U.S. 364] 941 (1982), they contend that the differential treatment of out-of-state waste is reasonable because they have taken measures to conserve their landfill capacity and the SWMA is necessary to protect the health of their citizens. That reliance is misplaced. In the Sporhase case, we considered the constitutionality of a Nebraska statute that prohibited the withdrawal of ground water for use in an adjoining State without a permit that could only issue if four conditions were satisfied. 5 We held that the fourth condition—a requirement that the adjoining State grant reciprocal rights to withdraw its water and allow its use in Nebraska—violated the Commerce Clause. Id. at 957-958.</w:t>
      </w:r>
    </w:p>
    <w:p w:rsidR="00A31137" w:rsidRPr="00A31137" w:rsidRDefault="00A31137" w:rsidP="00A31137">
      <w:r w:rsidRPr="00A31137">
        <w:t>1992, Fort Gratiot Landfill v. Mich. DNR, 504 U.S. 364</w:t>
      </w:r>
    </w:p>
    <w:p w:rsidR="00A31137" w:rsidRPr="00A31137" w:rsidRDefault="00A31137" w:rsidP="00A31137">
      <w:r w:rsidRPr="00A31137">
        <w:t>As a preface to that holding, we identified several reasons that, in combination, justified the conclusion that the other conditions were facially valid. Id. at  957. First, we questioned whether the statute actually discriminated against interstate commerce. Although the restrictive conditions in the statute nominally applied only to interstate transfers of ground water, they might have been "no more strict in application than [other state law] limitations upon intrastate transfers." Id. at  956.</w:t>
      </w:r>
    </w:p>
    <w:p w:rsidR="00A31137" w:rsidRPr="00A31137" w:rsidRDefault="00A31137" w:rsidP="00A31137">
      <w:r w:rsidRPr="00A31137">
        <w:t>1992, Fort Gratiot Landfill v. Mich. DNR, 504 U.S. 364</w:t>
      </w:r>
    </w:p>
    <w:p w:rsidR="00A31137" w:rsidRPr="00A31137" w:rsidRDefault="00A31137" w:rsidP="00A31137">
      <w:r w:rsidRPr="00A31137">
        <w:t>Obviously, a State that imposes severe withdrawal and use restrictions on its own citizens is not discriminating against interstate commerce when it [504 U.S. 365] seeks to prevent the uncontrolled transfer of water out of the State.</w:t>
      </w:r>
    </w:p>
    <w:p w:rsidR="00A31137" w:rsidRPr="00A31137" w:rsidRDefault="00A31137" w:rsidP="00A31137">
      <w:r w:rsidRPr="00A31137">
        <w:t>1992, Fort Gratiot Landfill v. Mich. DNR, 504 U.S. 365</w:t>
      </w:r>
    </w:p>
    <w:p w:rsidR="00A31137" w:rsidRPr="00A31137" w:rsidRDefault="00A31137" w:rsidP="00A31137">
      <w:r w:rsidRPr="00A31137">
        <w:t>Id. at 955-956.</w:t>
      </w:r>
    </w:p>
    <w:p w:rsidR="00A31137" w:rsidRPr="00A31137" w:rsidRDefault="00A31137" w:rsidP="00A31137">
      <w:r w:rsidRPr="00A31137">
        <w:t>1992, Fort Gratiot Landfill v. Mich. DNR, 504 U.S. 365</w:t>
      </w:r>
    </w:p>
    <w:p w:rsidR="00A31137" w:rsidRPr="00A31137" w:rsidRDefault="00A31137" w:rsidP="00A31137">
      <w:r w:rsidRPr="00A31137">
        <w:t>We further explained that a confluence of factors could justify a State's efforts to conserve and preserve ground water for its own citizens in times of severe shortage. 6 Only the first of those reasons—our reference to the well recognized [504 U.S. 366] difference between economic protectionism, on the one hand, and health and safety regulation, on the other—is even arguably relevant to this case. 7 We may assume that all of the provisions of Michigan's SWMA prior to the 1988 amendments adding the Waste Import Restrictions could fairly be characterized as health and safety regulations with no protectionist purpose, but we cannot make that same assumption with respect to the Waste Import Restrictions themselves. Because those provisions unambiguously discriminate against interstate commerce, the State bears the burden of proving that they further health and safety concerns that cannot be adequately served by nondiscriminatory alternatives. Michigan and St. Clair County have not met this burden. 8</w:t>
      </w:r>
    </w:p>
    <w:p w:rsidR="00A31137" w:rsidRPr="00A31137" w:rsidRDefault="00A31137" w:rsidP="00A31137">
      <w:r w:rsidRPr="00A31137">
        <w:t>1992, Fort Gratiot Landfill v. Mich. DNR, 504 U.S. 366</w:t>
      </w:r>
    </w:p>
    <w:p w:rsidR="00A31137" w:rsidRPr="00A31137" w:rsidRDefault="00A31137" w:rsidP="00A31137">
      <w:r w:rsidRPr="00A31137">
        <w:t>Michigan and St. Clair County assert that the Waste Import Restrictions are necessary because they enable individual counties to make adequate plans for the safe disposal of future waste. 9 Although accurate forecasts about the volume [504 U.S. 367] and composition of future waste flows may be an indispensable part of a comprehensive waste disposal plan, Michigan could attain that objective without discriminating between in- and out-of-state waste. Michigan could, for example, limit the amount of waste that landfill operators may accept each year. See Philadelphia v. New Jersey, 437 U.S. at 626. There is, however, no valid health and safety reason for limiting the amount of waste that a landfill operator may accept from outside the State, but not the amount that the operator may accept from inside the State.</w:t>
      </w:r>
    </w:p>
    <w:p w:rsidR="00A31137" w:rsidRPr="00A31137" w:rsidRDefault="00A31137" w:rsidP="00A31137">
      <w:r w:rsidRPr="00A31137">
        <w:t>1992, Fort Gratiot Landfill v. Mich. DNR, 504 U.S. 367</w:t>
      </w:r>
    </w:p>
    <w:p w:rsidR="00A31137" w:rsidRPr="00A31137" w:rsidRDefault="00A31137" w:rsidP="00A31137">
      <w:r w:rsidRPr="00A31137">
        <w:t>Of course, our conclusion would be different if the imported waste raised health or other concerns not presented by Michigan waste. In Maine v. Taylor, 477 U.S. 131 (1986), for example, we upheld the State's prohibition against the importation of live baitfish because parasites and other characteristics of nonnative species posed a serious threat to native fish that could not be avoided by available inspection techniques. We concluded:</w:t>
      </w:r>
    </w:p>
    <w:p w:rsidR="00A31137" w:rsidRPr="00A31137" w:rsidRDefault="00A31137" w:rsidP="00A31137">
      <w:r w:rsidRPr="00A31137">
        <w:t>1992, Fort Gratiot Landfill v. Mich. DNR, 504 U.S. 367</w:t>
      </w:r>
    </w:p>
    <w:p w:rsidR="00A31137" w:rsidRPr="00A31137" w:rsidRDefault="00A31137" w:rsidP="00A31137">
      <w:r w:rsidRPr="00A31137">
        <w:t>The evidence in this case amply supports the District Court's findings that Maine's ban on the importation of live baitfish serves legitimate local purposes that could not adequately be served by available nondiscriminatory alternatives. This is not a case of arbitrary discrimination against interstate commerce; the record suggests that Maine has legitimate reasons, "apart from their origin, to treat [out-of-state baitfish] differently," Philadelphia v. New Jersey, 437 U.S. at  627.</w:t>
      </w:r>
    </w:p>
    <w:p w:rsidR="00A31137" w:rsidRPr="00A31137" w:rsidRDefault="00A31137" w:rsidP="00A31137">
      <w:r w:rsidRPr="00A31137">
        <w:t>1992, Fort Gratiot Landfill v. Mich. DNR, 504 U.S. 367</w:t>
      </w:r>
    </w:p>
    <w:p w:rsidR="00A31137" w:rsidRPr="00A31137" w:rsidRDefault="00A31137" w:rsidP="00A31137">
      <w:r w:rsidRPr="00A31137">
        <w:t>477 U.S. at 151-152. In this case, in contrast, the lower courts did not find—and respondents have not provided—any legitimate reason for allowing petitioner to accept waste from inside the county but not waste from outside the county.</w:t>
      </w:r>
    </w:p>
    <w:p w:rsidR="00A31137" w:rsidRPr="00A31137" w:rsidRDefault="00A31137" w:rsidP="00A31137">
      <w:r w:rsidRPr="00A31137">
        <w:t>1992, Fort Gratiot Landfill v. Mich. DNR, 504 U.S. 367</w:t>
      </w:r>
    </w:p>
    <w:p w:rsidR="00A31137" w:rsidRPr="00A31137" w:rsidRDefault="00A31137" w:rsidP="00A31137">
      <w:r w:rsidRPr="00A31137">
        <w:t>For the foregoing reasons, the Waste Import Restrictions unambiguously discriminate against interstate commerce, and are appropriately characterized as protectionist measures that cannot withstand scrutiny under the Commerce [504 U.S. 368] Clause . The judgment of the Court of Appeals is therefore reversed.</w:t>
      </w:r>
    </w:p>
    <w:p w:rsidR="00A31137" w:rsidRPr="00A31137" w:rsidRDefault="00A31137" w:rsidP="00A31137">
      <w:r w:rsidRPr="00A31137">
        <w:t>1992, Fort Gratiot Landfill v. Mich. DNR, 504 U.S. 368</w:t>
      </w:r>
    </w:p>
    <w:p w:rsidR="00A31137" w:rsidRPr="00A31137" w:rsidRDefault="00A31137" w:rsidP="00A31137">
      <w:r w:rsidRPr="00A31137">
        <w:t>It is so ordered.</w:t>
      </w:r>
    </w:p>
    <w:p w:rsidR="00A31137" w:rsidRPr="00A31137" w:rsidRDefault="00A31137" w:rsidP="00A31137">
      <w:r w:rsidRPr="00A31137">
        <w:t>REHNQUIST, J., dissenting</w:t>
      </w:r>
    </w:p>
    <w:p w:rsidR="00A31137" w:rsidRPr="00A31137" w:rsidRDefault="00A31137" w:rsidP="00A31137">
      <w:r w:rsidRPr="00A31137">
        <w:t>1992, Fort Gratiot Landfill v. Mich. DNR, 504 U.S. 368</w:t>
      </w:r>
    </w:p>
    <w:p w:rsidR="00A31137" w:rsidRPr="00A31137" w:rsidRDefault="00A31137" w:rsidP="00A31137">
      <w:r w:rsidRPr="00A31137">
        <w:t>CHIEF JUSTICE REHNQUIST, with whom JUSTICE BLACKMUN joins, dissenting.</w:t>
      </w:r>
    </w:p>
    <w:p w:rsidR="00A31137" w:rsidRPr="00A31137" w:rsidRDefault="00A31137" w:rsidP="00A31137">
      <w:r w:rsidRPr="00A31137">
        <w:t>1992, Fort Gratiot Landfill v. Mich. DNR, 504 U.S. 368</w:t>
      </w:r>
    </w:p>
    <w:p w:rsidR="00A31137" w:rsidRPr="00A31137" w:rsidRDefault="00A31137" w:rsidP="00A31137">
      <w:r w:rsidRPr="00A31137">
        <w:t>When confronted with a dormant Commerce Clause challenge,</w:t>
      </w:r>
    </w:p>
    <w:p w:rsidR="00A31137" w:rsidRPr="00A31137" w:rsidRDefault="00A31137" w:rsidP="00A31137">
      <w:r w:rsidRPr="00A31137">
        <w:t>1992, Fort Gratiot Landfill v. Mich. DNR, 504 U.S. 368</w:t>
      </w:r>
    </w:p>
    <w:p w:rsidR="00A31137" w:rsidRPr="00A31137" w:rsidRDefault="00A31137" w:rsidP="00A31137">
      <w:r w:rsidRPr="00A31137">
        <w:t>[t]he crucial inquiry…must be directed to determining whether [the challenged statute] is basically a protectionist measure, or whether it can fairly be viewed as a law directed to legitimate local concerns, with effects upon interstate commerce that are only incidental.</w:t>
      </w:r>
    </w:p>
    <w:p w:rsidR="00A31137" w:rsidRPr="00A31137" w:rsidRDefault="00A31137" w:rsidP="00A31137">
      <w:r w:rsidRPr="00A31137">
        <w:t>1992, Fort Gratiot Landfill v. Mich. DNR, 504 U.S. 368</w:t>
      </w:r>
    </w:p>
    <w:p w:rsidR="00A31137" w:rsidRPr="00A31137" w:rsidRDefault="00A31137" w:rsidP="00A31137">
      <w:r w:rsidRPr="00A31137">
        <w:t>Philadelphia v. New Jersey, 437 U.S. 617,  624 (1978). Because I think the Michigan statute is at least arguably directed to legitimate local concerns, rather than improper economic protectionism, I would remand this case for further proceedings.</w:t>
      </w:r>
    </w:p>
    <w:p w:rsidR="00A31137" w:rsidRPr="00A31137" w:rsidRDefault="00A31137" w:rsidP="00A31137">
      <w:r w:rsidRPr="00A31137">
        <w:t>1992, Fort Gratiot Landfill v. Mich. DNR, 504 U.S. 368</w:t>
      </w:r>
    </w:p>
    <w:p w:rsidR="00A31137" w:rsidRPr="00A31137" w:rsidRDefault="00A31137" w:rsidP="00A31137">
      <w:r w:rsidRPr="00A31137">
        <w:t>The substantial environmental, aesthetic, health, and safety problems flowing from this country's waste piles were already apparent at the time we decided Philadelphia. Those problems have only risen in the intervening years. 21 Envt.Rep. 369-370 (1990). In part, this is due to increased waste volumes, volumes that are expected to continue rising for the foreseeable future. See United States Environmental Protection Agency, Characterization of Municipal Solid Waste in the United States: 1990 Update 10 (municipal solid wastes have increased from 128.1 million tons in 1975 to 179.6 million tons in 1988, expected to rise to 216 million tons by the year 2000); id. at ES-3 (1988 waste was the equivalent of 4.0 pounds per person per day, expected to rise to 4.4 pounds per person by the year 2000). In part, it is due to exhaustion of existing capacity. Id. at 55 (landfill disposals increased from 99.7 million tons in 1975 to 130.5 million in 1988); 56 Fed.Reg. 50980 (1991) (45 of solid waste landfills expected to reach [504 U.S. 369] capacity by 1991). It is no secret why capacity is not expanding sufficiently to meet demand—the substantial risks attendant to waste sites make them extraordinarily unattractive neighbors. Swin Resource Systems, Inc. v. Lycoming Cty., 883 F.2d 245, 253 (CA3 1989), cert. denied, 493 U.S. 1077 (1990). The result, of course, is that, while many are willing to generate waste—indeed, it is a practical impossibility to solve the waste problem by banning waste production—few are willing to help dispose of it. Those locales that do provide disposal capacity to serve foreign waste effectively are affording reduced environmental and safety risks to the States that will not take charge of their own waste.*</w:t>
      </w:r>
    </w:p>
    <w:p w:rsidR="00A31137" w:rsidRPr="00A31137" w:rsidRDefault="00A31137" w:rsidP="00A31137">
      <w:r w:rsidRPr="00A31137">
        <w:t>1992, Fort Gratiot Landfill v. Mich. DNR, 504 U.S. 369</w:t>
      </w:r>
    </w:p>
    <w:p w:rsidR="00A31137" w:rsidRPr="00A31137" w:rsidRDefault="00A31137" w:rsidP="00A31137">
      <w:r w:rsidRPr="00A31137">
        <w:t>The State of Michigan has stepped into this quagmire in order to address waste problems generated by its own populace. It has done so by adopting a comprehensive approach to the disposal of solid wastes generated within its borders. The legislation challenged today is simply one part of a broad package that includes a number of features: a state-mandated state-wide effort to control and plan for waste disposal, Mich.Comp.Laws §§ 299.427 and 299.430 (1984 and Supp.1991), requirements that local units of government participate in the planning process, ibid. and § 299.426 (Supp.1991), restrictions to assure safe transport, § 299.431 (1984), a ban on the operation of a waste disposal facilities unless various design and technical requirements are satisfied and appropriate permits obtained, ibid. and § 299.432a (Supp.1991), and commitments to promote source separation, composting, and recycling, § 299.430a (Supp.1991). The Michigan legislation is [504 U.S. 370] thus quite unlike the simple outright ban that we confronted in Philadelphia.</w:t>
      </w:r>
    </w:p>
    <w:p w:rsidR="00A31137" w:rsidRPr="00A31137" w:rsidRDefault="00A31137" w:rsidP="00A31137">
      <w:r w:rsidRPr="00A31137">
        <w:t>1992, Fort Gratiot Landfill v. Mich. DNR, 504 U.S. 370</w:t>
      </w:r>
    </w:p>
    <w:p w:rsidR="00A31137" w:rsidRPr="00A31137" w:rsidRDefault="00A31137" w:rsidP="00A31137">
      <w:r w:rsidRPr="00A31137">
        <w:t>In adopting this legislation, the Michigan Legislature also appears to have concluded that, like the State, counties should reap as they have sown—hardly a novel proposition. It has required counties within the State to be responsible for the waste created within the county. It has accomplished this by prohibiting waste facilities from accepting waste generated from outside the county, unless special permits are obtained. In the process, of course, this facially neutral restriction (i.e., it applies equally to both interstate and intrastate waste) also works to ban disposal from out-of-state sources unless appropriate permits are procured. But I cannot agree that such a requirement, when imposed as one part of a comprehensive approach to regulating in this difficult field, is the stuff of which economic protectionism is made.</w:t>
      </w:r>
    </w:p>
    <w:p w:rsidR="00A31137" w:rsidRPr="00A31137" w:rsidRDefault="00A31137" w:rsidP="00A31137">
      <w:r w:rsidRPr="00A31137">
        <w:t>1992, Fort Gratiot Landfill v. Mich. DNR, 504 U.S. 370</w:t>
      </w:r>
    </w:p>
    <w:p w:rsidR="00A31137" w:rsidRPr="00A31137" w:rsidRDefault="00A31137" w:rsidP="00A31137">
      <w:r w:rsidRPr="00A31137">
        <w:t>If anything, the challenged regulation seems likely to work to Michigan's economic disadvantage. This is because, by limiting potential disposal volumes for any particular site, various fixed costs will have to be recovered across smaller volumes, increasing disposal costs per unit for Michigan consumers. 56 Fed.Reg. 50987 (1991). The regulation also will require some Michigan counties—those that until now have been exporting their waste to other locations in the State—to confront environmental and other risks that they previously have avoided. Commerce Clause concerns are at their nadir when a state act works in this fashion—raising prices for all the State's consumers, and working to the substantial disadvantage of other segments of the State's population—because, in these circumstances, "'a State's own political processes will serve as a check against unduly burdensome regulations.'" Kassel v. Consolidated Freightways Corp. of Delaware, 450 U.S. 662,  675 (1981) (quoting Raymond Motor Transportation, Inc. v. Rice, 434 U.S. 429, 444, n. 18 (1978)). In sum, the law simply incorporates the common [504 U.S. 371] sense notion that those responsible for a problem should be responsible for its solution to the degree they are responsible for the problem, but not further. At a minimum, I think the facts just outlined suggest the State must be allowed to present evidence on the economic, environmental and other effects of its legislation.</w:t>
      </w:r>
    </w:p>
    <w:p w:rsidR="00A31137" w:rsidRPr="00A31137" w:rsidRDefault="00A31137" w:rsidP="00A31137">
      <w:r w:rsidRPr="00A31137">
        <w:t>1992, Fort Gratiot Landfill v. Mich. DNR, 504 U.S. 371</w:t>
      </w:r>
    </w:p>
    <w:p w:rsidR="00A31137" w:rsidRPr="00A31137" w:rsidRDefault="00A31137" w:rsidP="00A31137">
      <w:r w:rsidRPr="00A31137">
        <w:t xml:space="preserve">The Court suggests that our decisions in Brimmer v. Rebman, 138 U.S. 78 (1891), and Dean Milk Co. v. Madison, 340 U.S. 349 (1951), foreclose the possibility that a statute attacked on Commerce Clause grounds may be defended by pointing to the statute's effects on intrastate commerce. But our decisions in those cases did not rest on such a broad proposition. Instead, as the passages quoted by the Court make clear, in both Brimmer and Dean Milk, the Court simply rejected the notion that there could be a noneconomic protectionist reason for the bans at issue, because the objects being banned presented no health or environmental risk. See Brimmer, 138 U.S. at 83 ("[i]f the object of Virginia had been to obstruct the bringing into that State, for uses as human food, of all beef, veal and mutton, however wholesome" (emphasis added)); see also ibid. (comparing the statute to one which bans meat from other States "in whatever form, and although entirely sound and fit for human food") (emphasis added); Dean Milk, 340 U.S. at  354 (the statute "excludes from distribution in Madison wholesome milk" (emphasis added)). It seems unlikely that the waste here is "wholesome" or "entirely sound and fit." It appears, instead, to be potentially dangerous—at least the State has so concluded. Nor does the legislation appear to protect "a major local industry against competition from without the State." Ibid. Neither Dean Milk nor Brimmer prohibits a State from adopting health and safety regulations that are directed to legitimate local concerns. See Maine v. Taylor, 477 U.S. 131 (1986). I would remand this case to give the State an opportunity to show that this is such a regulation. [504 U.S. 372] </w:t>
      </w:r>
    </w:p>
    <w:p w:rsidR="00A31137" w:rsidRPr="00A31137" w:rsidRDefault="00A31137" w:rsidP="00A31137">
      <w:r w:rsidRPr="00A31137">
        <w:t>1992, Fort Gratiot Landfill v. Mich. DNR, 504 U.S. 372</w:t>
      </w:r>
    </w:p>
    <w:p w:rsidR="00A31137" w:rsidRPr="00A31137" w:rsidRDefault="00A31137" w:rsidP="00A31137">
      <w:r w:rsidRPr="00A31137">
        <w:t>We confirmed in Sporhase v. Nebraska, 458 U.S. 941 (1982), that a State's effort to adopt a comprehensive regime to address a major environmental threat or threat to natural resources need not run afoul of the Commerce Clause. In that case, we noted that</w:t>
      </w:r>
    </w:p>
    <w:p w:rsidR="00A31137" w:rsidRPr="00A31137" w:rsidRDefault="00A31137" w:rsidP="00A31137">
      <w:r w:rsidRPr="00A31137">
        <w:t>1992, Fort Gratiot Landfill v. Mich. DNR, 504 U.S. 372</w:t>
      </w:r>
    </w:p>
    <w:p w:rsidR="00A31137" w:rsidRPr="00A31137" w:rsidRDefault="00A31137" w:rsidP="00A31137">
      <w:r w:rsidRPr="00A31137">
        <w:t>[o]bviously, a State that imposes severe withdrawal and use restrictions on its own citizens is not discriminating against interstate commerce when it seeks to prevent the uncontrolled transfer of water out of the State.</w:t>
      </w:r>
    </w:p>
    <w:p w:rsidR="00A31137" w:rsidRPr="00A31137" w:rsidRDefault="00A31137" w:rsidP="00A31137">
      <w:r w:rsidRPr="00A31137">
        <w:t>1992, Fort Gratiot Landfill v. Mich. DNR, 504 U.S. 372</w:t>
      </w:r>
    </w:p>
    <w:p w:rsidR="00A31137" w:rsidRPr="00A31137" w:rsidRDefault="00A31137" w:rsidP="00A31137">
      <w:r w:rsidRPr="00A31137">
        <w:t>Id. at 955-956. Substitute "attractive and safe environment" for "water" and one has the present case. Michigan has limited the ability of its own population to despoil the environment and to create health and safety risks by excessive and uncontrolled waste disposal. It does not thereby violate the Commerce Clause when it seeks to prevent this resource from being exported—the effect if Michigan is forced to accept foreign waste in its disposal facilities. Rather, the "resource has some indicia of a good publicly produced and owned in which a State may favor its own citizens in times of shortage." Id. at  957. Of course the State may choose not to do this, and in fact, in this case, Michigan does permit counties to decide on an individualized basis whether to accept out-of-county waste. But such a result is not constitutionally mandated.</w:t>
      </w:r>
    </w:p>
    <w:p w:rsidR="00A31137" w:rsidRPr="00A31137" w:rsidRDefault="00A31137" w:rsidP="00A31137">
      <w:r w:rsidRPr="00A31137">
        <w:t>1992, Fort Gratiot Landfill v. Mich. DNR, 504 U.S. 372</w:t>
      </w:r>
    </w:p>
    <w:p w:rsidR="00A31137" w:rsidRPr="00A31137" w:rsidRDefault="00A31137" w:rsidP="00A31137">
      <w:r w:rsidRPr="00A31137">
        <w:t>The modern landfill is a technically complex engineering exercise that comes replete with liners, leachate collection systems and highly regulated operating conditions. As a result, siting a modern landfill can now proceed largely independent of the landfill location's particular geological characteristics. See 56 Fed.Reg. 51009 (1991) (EPA-approved "composite liner system is designed to be protective in all locations, including poor locations"); id. at 51004-51005 (outlining additional technical requirements for only those landfill sites (1) near airports, (2) on floodplains, (3) on wetlands, (4) on fault areas, (5) on seismic impact zones, or (6) on unstable areas). Given this, the laws of economics suggest that landfills will sprout in places [504 U.S. 373] where land is cheapest and population densities least. See Alm, "Not in My Backyard:" Facing the Siting Question, 10 EPA J. 9 (1984) (noting the need for each county to accept a share of the overall waste stream equivalent to what it generates, so that "less populated counties are protected against becoming the dumping ground of the entire region"). I see no reason in the Commerce Clause, however, that requires cheap-land States to become the waste repositories for their brethren, thereby suffering the many risks that such sites present.</w:t>
      </w:r>
    </w:p>
    <w:p w:rsidR="00A31137" w:rsidRPr="00A31137" w:rsidRDefault="00A31137" w:rsidP="00A31137">
      <w:r w:rsidRPr="00A31137">
        <w:t>1992, Fort Gratiot Landfill v. Mich. DNR, 504 U.S. 373</w:t>
      </w:r>
    </w:p>
    <w:p w:rsidR="00A31137" w:rsidRPr="00A31137" w:rsidRDefault="00A31137" w:rsidP="00A31137">
      <w:r w:rsidRPr="00A31137">
        <w:t>The Court today penalizes the State of Michigan for what, to all appearances, are its good faith efforts, in turn encouraging each State to ignore the waste problem in the hope that another will pick up the slack. The Court's approach fails to recognize that the latter option is one that is quite real and quite attractive for many States—and becomes even more so when the intermediate option of solving its own problems, but only its own problems, is eliminated.</w:t>
      </w:r>
    </w:p>
    <w:p w:rsidR="00A31137" w:rsidRPr="00A31137" w:rsidRDefault="00A31137" w:rsidP="00A31137">
      <w:r w:rsidRPr="00A31137">
        <w:t>1992, Fort Gratiot Landfill v. Mich. DNR, 504 U.S. 373</w:t>
      </w:r>
    </w:p>
    <w:p w:rsidR="00A31137" w:rsidRPr="00A31137" w:rsidRDefault="00A31137" w:rsidP="00A31137">
      <w:r w:rsidRPr="00A31137">
        <w:t>For the foregoing reasons, I respectfully dissent.</w:t>
      </w:r>
    </w:p>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1992, Fort Gratiot Landfill v. Mich. DNR, 504 U.S. 373</w:t>
      </w:r>
    </w:p>
    <w:p w:rsidR="00A31137" w:rsidRPr="00A31137" w:rsidRDefault="00A31137" w:rsidP="00A31137">
      <w:r w:rsidRPr="00A31137">
        <w:t>1.1978 Mich.Pub.Acts, No. 641, codified as amended, Mich.Comp.Laws Ann. §§ 299.401-299.437 (1984 ed. and Supp.1991).</w:t>
      </w:r>
    </w:p>
    <w:p w:rsidR="00A31137" w:rsidRPr="00A31137" w:rsidRDefault="00A31137" w:rsidP="00A31137">
      <w:r w:rsidRPr="00A31137">
        <w:t>1992, Fort Gratiot Landfill v. Mich. DNR, 504 U.S. 373</w:t>
      </w:r>
    </w:p>
    <w:p w:rsidR="00A31137" w:rsidRPr="00A31137" w:rsidRDefault="00A31137" w:rsidP="00A31137">
      <w:r w:rsidRPr="00A31137">
        <w:t>2. The Michigan statute defines solid waste as follows:</w:t>
      </w:r>
    </w:p>
    <w:p w:rsidR="00A31137" w:rsidRPr="00A31137" w:rsidRDefault="00A31137" w:rsidP="00A31137">
      <w:r w:rsidRPr="00A31137">
        <w:t>1992, Fort Gratiot Landfill v. Mich. DNR, 504 U.S. 373</w:t>
      </w:r>
    </w:p>
    <w:p w:rsidR="00A31137" w:rsidRPr="00A31137" w:rsidRDefault="00A31137" w:rsidP="00A31137">
      <w:r w:rsidRPr="00A31137">
        <w:t>Sec. 7.(1) "Solid waste" means garbage, rubbish, ashes, incinerator ash, incinerator residue, street cleanings, municipal and industrial sludges, solid commercial and solid industrial waste, and animal waste other than organic waste generated in the production of livestock and poultry. Solid waste does not include the following:</w:t>
      </w:r>
    </w:p>
    <w:p w:rsidR="00A31137" w:rsidRPr="00A31137" w:rsidRDefault="00A31137" w:rsidP="00A31137">
      <w:r w:rsidRPr="00A31137">
        <w:t>1992, Fort Gratiot Landfill v. Mich. DNR, 504 U.S. 373</w:t>
      </w:r>
    </w:p>
    <w:p w:rsidR="00A31137" w:rsidRPr="00A31137" w:rsidRDefault="00A31137" w:rsidP="00A31137">
      <w:r w:rsidRPr="00A31137">
        <w:t>(a) Human body waste.</w:t>
      </w:r>
    </w:p>
    <w:p w:rsidR="00A31137" w:rsidRPr="00A31137" w:rsidRDefault="00A31137" w:rsidP="00A31137">
      <w:r w:rsidRPr="00A31137">
        <w:t>1992, Fort Gratiot Landfill v. Mich. DNR, 504 U.S. 373</w:t>
      </w:r>
    </w:p>
    <w:p w:rsidR="00A31137" w:rsidRPr="00A31137" w:rsidRDefault="00A31137" w:rsidP="00A31137">
      <w:r w:rsidRPr="00A31137">
        <w:t>(b) Organic waste generated in the production of livestock and poultry.</w:t>
      </w:r>
    </w:p>
    <w:p w:rsidR="00A31137" w:rsidRPr="00A31137" w:rsidRDefault="00A31137" w:rsidP="00A31137">
      <w:r w:rsidRPr="00A31137">
        <w:t>1992, Fort Gratiot Landfill v. Mich. DNR, 504 U.S. 373</w:t>
      </w:r>
    </w:p>
    <w:p w:rsidR="00A31137" w:rsidRPr="00A31137" w:rsidRDefault="00A31137" w:rsidP="00A31137">
      <w:r w:rsidRPr="00A31137">
        <w:t>(c) Liquid waste.</w:t>
      </w:r>
    </w:p>
    <w:p w:rsidR="00A31137" w:rsidRPr="00A31137" w:rsidRDefault="00A31137" w:rsidP="00A31137">
      <w:r w:rsidRPr="00A31137">
        <w:t>1992, Fort Gratiot Landfill v. Mich. DNR, 504 U.S. 373</w:t>
      </w:r>
    </w:p>
    <w:p w:rsidR="00A31137" w:rsidRPr="00A31137" w:rsidRDefault="00A31137" w:rsidP="00A31137">
      <w:r w:rsidRPr="00A31137">
        <w:t>(d) Ferrous or nonferrous scrap directed to a scrap metal processor or to a reuser of ferrous or nonferrous products.</w:t>
      </w:r>
    </w:p>
    <w:p w:rsidR="00A31137" w:rsidRPr="00A31137" w:rsidRDefault="00A31137" w:rsidP="00A31137">
      <w:r w:rsidRPr="00A31137">
        <w:t>1992, Fort Gratiot Landfill v. Mich. DNR, 504 U.S. 373</w:t>
      </w:r>
    </w:p>
    <w:p w:rsidR="00A31137" w:rsidRPr="00A31137" w:rsidRDefault="00A31137" w:rsidP="00A31137">
      <w:r w:rsidRPr="00A31137">
        <w:t>(e) Slag or slag products directed to a slag processor or to a reuser of slag or slag products.</w:t>
      </w:r>
    </w:p>
    <w:p w:rsidR="00A31137" w:rsidRPr="00A31137" w:rsidRDefault="00A31137" w:rsidP="00A31137">
      <w:r w:rsidRPr="00A31137">
        <w:t>1992, Fort Gratiot Landfill v. Mich. DNR, 504 U.S. 373</w:t>
      </w:r>
    </w:p>
    <w:p w:rsidR="00A31137" w:rsidRPr="00A31137" w:rsidRDefault="00A31137" w:rsidP="00A31137">
      <w:r w:rsidRPr="00A31137">
        <w:t>(f) Sludges and ashes managed as recycled or nondetrimental materials appropriate for agricultural or silvicultural use pursuant to a plan approved by the director.</w:t>
      </w:r>
    </w:p>
    <w:p w:rsidR="00A31137" w:rsidRPr="00A31137" w:rsidRDefault="00A31137" w:rsidP="00A31137">
      <w:r w:rsidRPr="00A31137">
        <w:t>1992, Fort Gratiot Landfill v. Mich. DNR, 504 U.S. 373</w:t>
      </w:r>
    </w:p>
    <w:p w:rsidR="00A31137" w:rsidRPr="00A31137" w:rsidRDefault="00A31137" w:rsidP="00A31137">
      <w:r w:rsidRPr="00A31137">
        <w:t>(g) Materials approved for emergency disposal by the director.</w:t>
      </w:r>
    </w:p>
    <w:p w:rsidR="00A31137" w:rsidRPr="00A31137" w:rsidRDefault="00A31137" w:rsidP="00A31137">
      <w:r w:rsidRPr="00A31137">
        <w:t>1992, Fort Gratiot Landfill v. Mich. DNR, 504 U.S. 373</w:t>
      </w:r>
    </w:p>
    <w:p w:rsidR="00A31137" w:rsidRPr="00A31137" w:rsidRDefault="00A31137" w:rsidP="00A31137">
      <w:r w:rsidRPr="00A31137">
        <w:t>(h) Source separated materials.</w:t>
      </w:r>
    </w:p>
    <w:p w:rsidR="00A31137" w:rsidRPr="00A31137" w:rsidRDefault="00A31137" w:rsidP="00A31137">
      <w:r w:rsidRPr="00A31137">
        <w:t>1992, Fort Gratiot Landfill v. Mich. DNR, 504 U.S. 373</w:t>
      </w:r>
    </w:p>
    <w:p w:rsidR="00A31137" w:rsidRPr="00A31137" w:rsidRDefault="00A31137" w:rsidP="00A31137">
      <w:r w:rsidRPr="00A31137">
        <w:t>(i) Site separated materials.</w:t>
      </w:r>
    </w:p>
    <w:p w:rsidR="00A31137" w:rsidRPr="00A31137" w:rsidRDefault="00A31137" w:rsidP="00A31137">
      <w:r w:rsidRPr="00A31137">
        <w:t>1992, Fort Gratiot Landfill v. Mich. DNR, 504 U.S. 373</w:t>
      </w:r>
    </w:p>
    <w:p w:rsidR="00A31137" w:rsidRPr="00A31137" w:rsidRDefault="00A31137" w:rsidP="00A31137">
      <w:r w:rsidRPr="00A31137">
        <w:t>(j) Fly ash or any other ash produced from the combustion of coal, when used in the following instances…</w:t>
      </w:r>
    </w:p>
    <w:p w:rsidR="00A31137" w:rsidRPr="00A31137" w:rsidRDefault="00A31137" w:rsidP="00A31137">
      <w:r w:rsidRPr="00A31137">
        <w:t>1992, Fort Gratiot Landfill v. Mich. DNR, 504 U.S. 373</w:t>
      </w:r>
    </w:p>
    <w:p w:rsidR="00A31137" w:rsidRPr="00A31137" w:rsidRDefault="00A31137" w:rsidP="00A31137">
      <w:r w:rsidRPr="00A31137">
        <w:t>(k) Other wastes regulated by statute.</w:t>
      </w:r>
    </w:p>
    <w:p w:rsidR="00A31137" w:rsidRPr="00A31137" w:rsidRDefault="00A31137" w:rsidP="00A31137">
      <w:r w:rsidRPr="00A31137">
        <w:t>1992, Fort Gratiot Landfill v. Mich. DNR, 504 U.S. 373</w:t>
      </w:r>
    </w:p>
    <w:p w:rsidR="00A31137" w:rsidRPr="00A31137" w:rsidRDefault="00A31137" w:rsidP="00A31137">
      <w:r w:rsidRPr="00A31137">
        <w:t>Mich.Comp.Laws Ann. § 299.407(7) (Supp.1991).</w:t>
      </w:r>
    </w:p>
    <w:p w:rsidR="00A31137" w:rsidRPr="00A31137" w:rsidRDefault="00A31137" w:rsidP="00A31137">
      <w:r w:rsidRPr="00A31137">
        <w:t>1992, Fort Gratiot Landfill v. Mich. DNR, 504 U.S. 373</w:t>
      </w:r>
    </w:p>
    <w:p w:rsidR="00A31137" w:rsidRPr="00A31137" w:rsidRDefault="00A31137" w:rsidP="00A31137">
      <w:r w:rsidRPr="00A31137">
        <w:t>3. As we explained in Philadelphia v. New Jersey:</w:t>
      </w:r>
    </w:p>
    <w:p w:rsidR="00A31137" w:rsidRPr="00A31137" w:rsidRDefault="00A31137" w:rsidP="00A31137">
      <w:r w:rsidRPr="00A31137">
        <w:t>1992, Fort Gratiot Landfill v. Mich. DNR, 504 U.S. 373</w:t>
      </w:r>
    </w:p>
    <w:p w:rsidR="00A31137" w:rsidRPr="00A31137" w:rsidRDefault="00A31137" w:rsidP="00A31137">
      <w:r w:rsidRPr="00A31137">
        <w:t>All objects of interstate trade merit Commerce Clause protection; none is excluded by definition at the outset. In Bowman [v. Chicago &amp; Northwestern R. Co., 125 U.S. 465 (1888)] and similar cases, the Court held simply that, because the articles' worth in interstate commerce was far outweighed by the dangers inhering in their very movement, States could prohibit their transportation across state lines. Hence, we reject the state court's suggestion that the banning of "valueless" out-of-state wastes by ch. 363 implicates no constitutional protection. Just as Congress has power to regulate the interstate movement of these wastes, States are not free from constitutional scrutiny when they restrict that movement. Cf. Hughes v. Alexandria Scrap Corp., 426 U.S. 794, 802-814; Meat Drivers v. United States, 371 U.S. 94.</w:t>
      </w:r>
    </w:p>
    <w:p w:rsidR="00A31137" w:rsidRPr="00A31137" w:rsidRDefault="00A31137" w:rsidP="00A31137">
      <w:r w:rsidRPr="00A31137">
        <w:t>1992, Fort Gratiot Landfill v. Mich. DNR, 504 U.S. 373</w:t>
      </w:r>
    </w:p>
    <w:p w:rsidR="00A31137" w:rsidRPr="00A31137" w:rsidRDefault="00A31137" w:rsidP="00A31137">
      <w:r w:rsidRPr="00A31137">
        <w:t>437 U.S. 617, 622-623 (1978).</w:t>
      </w:r>
    </w:p>
    <w:p w:rsidR="00A31137" w:rsidRPr="00A31137" w:rsidRDefault="00A31137" w:rsidP="00A31137">
      <w:r w:rsidRPr="00A31137">
        <w:t>1992, Fort Gratiot Landfill v. Mich. DNR, 504 U.S. 373</w:t>
      </w:r>
    </w:p>
    <w:p w:rsidR="00A31137" w:rsidRPr="00A31137" w:rsidRDefault="00A31137" w:rsidP="00A31137">
      <w:r w:rsidRPr="00A31137">
        <w:t>4. Cf. Wyoming v. Oklahoma, 502 U.S. 437,  455 (1992) (Oklahoma statute that "expressly reserves a segment of the Oklahoma coal market for Oklahoma-mined coal, to the exclusion of…other States," violates the Commerce Clause even though it "sets aside only a 'small portion' of the Oklahoma coal market…. The volume of commerce affected measures only the extent of the discrimination; it is of no relevance to the determination whether a State has discriminated against interstate commerce") (emphasis in original).</w:t>
      </w:r>
    </w:p>
    <w:p w:rsidR="00A31137" w:rsidRPr="00A31137" w:rsidRDefault="00A31137" w:rsidP="00A31137">
      <w:r w:rsidRPr="00A31137">
        <w:t>1992, Fort Gratiot Landfill v. Mich. DNR, 504 U.S. 373</w:t>
      </w:r>
    </w:p>
    <w:p w:rsidR="00A31137" w:rsidRPr="00A31137" w:rsidRDefault="00A31137" w:rsidP="00A31137">
      <w:r w:rsidRPr="00A31137">
        <w:t>5. The statute at issue in Sporhase v. Nebraska provided:</w:t>
      </w:r>
    </w:p>
    <w:p w:rsidR="00A31137" w:rsidRPr="00A31137" w:rsidRDefault="00A31137" w:rsidP="00A31137">
      <w:r w:rsidRPr="00A31137">
        <w:t>1992, Fort Gratiot Landfill v. Mich. DNR, 504 U.S. 373</w:t>
      </w:r>
    </w:p>
    <w:p w:rsidR="00A31137" w:rsidRPr="00A31137" w:rsidRDefault="00A31137" w:rsidP="00A31137">
      <w:r w:rsidRPr="00A31137">
        <w:t>"Any person, firm, city, village, municipal corporation or any other entity intending to withdraw ground water from any well or pit located in the State of Nebraska and transport it for use in an adjoining state shall apply to the Department of Water Resources for a permit to do so. If the Director of Water Resources finds that the withdrawal of the ground water requested is reasonable, is not contrary to the conservation and use of ground water, and is not otherwise detrimental to the public welfare, he shall grant the permit if the state in which the water is to be used grants reciprocal rights to withdraw and transport ground water from that state for use in the State of Nebraska."</w:t>
      </w:r>
    </w:p>
    <w:p w:rsidR="00A31137" w:rsidRPr="00A31137" w:rsidRDefault="00A31137" w:rsidP="00A31137">
      <w:r w:rsidRPr="00A31137">
        <w:t>1992, Fort Gratiot Landfill v. Mich. DNR, 504 U.S. 373</w:t>
      </w:r>
    </w:p>
    <w:p w:rsidR="00A31137" w:rsidRPr="00A31137" w:rsidRDefault="00A31137" w:rsidP="00A31137">
      <w:r w:rsidRPr="00A31137">
        <w:t>458 U.S. 941,  944 (1982) (quoting Neb.Rev.Stat. § 46-613.01 (1978)).</w:t>
      </w:r>
    </w:p>
    <w:p w:rsidR="00A31137" w:rsidRPr="00A31137" w:rsidRDefault="00A31137" w:rsidP="00A31137">
      <w:r w:rsidRPr="00A31137">
        <w:t>1992, Fort Gratiot Landfill v. Mich. DNR, 504 U.S. 373</w:t>
      </w:r>
    </w:p>
    <w:p w:rsidR="00A31137" w:rsidRPr="00A31137" w:rsidRDefault="00A31137" w:rsidP="00A31137">
      <w:r w:rsidRPr="00A31137">
        <w:t>6.</w:t>
      </w:r>
    </w:p>
    <w:p w:rsidR="00A31137" w:rsidRPr="00A31137" w:rsidRDefault="00A31137" w:rsidP="00A31137">
      <w:r w:rsidRPr="00A31137">
        <w:t>1992, Fort Gratiot Landfill v. Mich. DNR, 504 U.S. 373</w:t>
      </w:r>
    </w:p>
    <w:p w:rsidR="00A31137" w:rsidRPr="00A31137" w:rsidRDefault="00A31137" w:rsidP="00A31137">
      <w:r w:rsidRPr="00A31137">
        <w:t>Moreover, in the absence of a contrary view expressed by Congress, we are reluctant to condemn as unreasonable measures taken by a State to conserve and preserve for its own citizens this vital resource in times of severe shortage. Our reluctance stems from the "confluence of [several] realities." Hicklin v. Orbeck, 437 U.S. 518, 534 (1978). First, a State's power to regulate the use of water in times and places of shortage for the purpose of protecting the health of its citizens—and not simply the health of its economy—is at the core of its police power. For Commerce Clause purposes, we have long recognized a difference between economic protectionism, on the one hand, and health and safety regulation, on the other. See H.P. Hood &amp; Sons v. Du Mond, 336 U.S. 525,  533 (1949). Second, the legal expectation that, under certain circumstances, each State may restrict water within its borders has been fostered over the years not only by our equitable apportionment decrees, see, e.g., Wyoming v. Colorado, 353 U.S. 953 (1957), but also by the negotiation and enforcement of interstate compacts. Our law therefore has recognized the relevance of state boundaries in the allocation of scarce water resources. Third, although appellee's claim to public ownership of Nebraska ground water cannot justify a total denial of federal regulatory power, it may support a limited preference for its own citizens in the utilization of the resource. See Hicklin v. Orbeck, supra, at 533-534. In this regard, it is relevant that appellee's claim is logically more substantial than claims to public ownership of other natural resources. See supra, 458 U.S. at 950-951. Finally, given appellee's conservation efforts, the continuing availability of ground water in Nebraska is not simply happenstance; the natural resource has some indicia of a good publicly produced and owned in which a State may favor its own citizens in times of shortage. See Reeves, Inc. v. Stake, 447 U.S. 429 (1980); cf. Philadelphia v. New Jersey, 437 U.S. at 627-628, and n. 6; Baldwin v. Montana Fish and Game Comm'n., 436 U.S. 371 (1978). A facial examination of the first three conditions set forth in § 46-613.01 does not, therefore, indicate that they impermissibly burden interstate commerce. Appellants, indeed, seem to concede their reasonableness.</w:t>
      </w:r>
    </w:p>
    <w:p w:rsidR="00A31137" w:rsidRPr="00A31137" w:rsidRDefault="00A31137" w:rsidP="00A31137">
      <w:r w:rsidRPr="00A31137">
        <w:t>1992, Fort Gratiot Landfill v. Mich. DNR, 504 U.S. 373</w:t>
      </w:r>
    </w:p>
    <w:p w:rsidR="00A31137" w:rsidRPr="00A31137" w:rsidRDefault="00A31137" w:rsidP="00A31137">
      <w:r w:rsidRPr="00A31137">
        <w:t>Sporhase v. Nebraska, 458 U.S. at 956-957.</w:t>
      </w:r>
    </w:p>
    <w:p w:rsidR="00A31137" w:rsidRPr="00A31137" w:rsidRDefault="00A31137" w:rsidP="00A31137">
      <w:r w:rsidRPr="00A31137">
        <w:t>1992, Fort Gratiot Landfill v. Mich. DNR, 504 U.S. 373</w:t>
      </w:r>
    </w:p>
    <w:p w:rsidR="00A31137" w:rsidRPr="00A31137" w:rsidRDefault="00A31137" w:rsidP="00A31137">
      <w:r w:rsidRPr="00A31137">
        <w:t>7. The other reasons were related to the special role that States have traditionally played in the ownership and control of ground water and to the fact that Nebraska's conservation efforts had given the water some indicia of a good that is publicly produced and owned. See id. at  956. There are, however, no analogous traditional legal expectations regarding state regulation of private landfills, which are neither publicly produced nor publicly owned.</w:t>
      </w:r>
    </w:p>
    <w:p w:rsidR="00A31137" w:rsidRPr="00A31137" w:rsidRDefault="00A31137" w:rsidP="00A31137">
      <w:r w:rsidRPr="00A31137">
        <w:t>1992, Fort Gratiot Landfill v. Mich. DNR, 504 U.S. 373</w:t>
      </w:r>
    </w:p>
    <w:p w:rsidR="00A31137" w:rsidRPr="00A31137" w:rsidRDefault="00A31137" w:rsidP="00A31137">
      <w:r w:rsidRPr="00A31137">
        <w:t>8. The dissent states that we should remand for further proceedings in which Michigan and St. Clair County might be able to prove that the Waste Import Restrictions constitute legitimate health and safety regulations, rather than economic protectionism of the State's limited landfill capacity. See post at  368,  371. We disagree, for respondents have neither asked for such a remand nor suggested that, if given the opportunity, they could prove that the restrictions further health and safety concerns that cannot adequately be served by nondiscriminatory alternatives.</w:t>
      </w:r>
    </w:p>
    <w:p w:rsidR="00A31137" w:rsidRPr="00A31137" w:rsidRDefault="00A31137" w:rsidP="00A31137">
      <w:r w:rsidRPr="00A31137">
        <w:t>1992, Fort Gratiot Landfill v. Mich. DNR, 504 U.S. 373</w:t>
      </w:r>
    </w:p>
    <w:p w:rsidR="00A31137" w:rsidRPr="00A31137" w:rsidRDefault="00A31137" w:rsidP="00A31137">
      <w:r w:rsidRPr="00A31137">
        <w:t>9. "An unregulated free market flow of waste into Michigan," the State asserts,</w:t>
      </w:r>
    </w:p>
    <w:p w:rsidR="00A31137" w:rsidRPr="00A31137" w:rsidRDefault="00A31137" w:rsidP="00A31137">
      <w:r w:rsidRPr="00A31137">
        <w:t>1992, Fort Gratiot Landfill v. Mich. DNR, 504 U.S. 373</w:t>
      </w:r>
    </w:p>
    <w:p w:rsidR="00A31137" w:rsidRPr="00A31137" w:rsidRDefault="00A31137" w:rsidP="00A31137">
      <w:r w:rsidRPr="00A31137">
        <w:t>would be disruptive of efforts to plan for the proper disposal of future waste due to incoming waste from sources not accounted for during the planning process.</w:t>
      </w:r>
    </w:p>
    <w:p w:rsidR="00A31137" w:rsidRPr="00A31137" w:rsidRDefault="00A31137" w:rsidP="00A31137">
      <w:r w:rsidRPr="00A31137">
        <w:t>1992, Fort Gratiot Landfill v. Mich. DNR, 504 U.S. 373</w:t>
      </w:r>
    </w:p>
    <w:p w:rsidR="00A31137" w:rsidRPr="00A31137" w:rsidRDefault="00A31137" w:rsidP="00A31137">
      <w:r w:rsidRPr="00A31137">
        <w:t>Brief for Respondent Michigan Dept. of Natural Resources 49; see also Brief for Respondent St. Clair County 13.</w:t>
      </w:r>
    </w:p>
    <w:p w:rsidR="00A31137" w:rsidRPr="00A31137" w:rsidRDefault="00A31137" w:rsidP="00A31137">
      <w:r w:rsidRPr="00A31137">
        <w:t>REHNQUIST, J., dissenting (Footnotes)</w:t>
      </w:r>
    </w:p>
    <w:p w:rsidR="00A31137" w:rsidRPr="00A31137" w:rsidRDefault="00A31137" w:rsidP="00A31137">
      <w:r w:rsidRPr="00A31137">
        <w:t>1992, Fort Gratiot Landfill v. Mich. DNR, 504 U.S. 373</w:t>
      </w:r>
    </w:p>
    <w:p w:rsidR="00A31137" w:rsidRPr="00A31137" w:rsidRDefault="00A31137" w:rsidP="00A31137">
      <w:r w:rsidRPr="00A31137">
        <w:t>* I am baffled by the Court's suggestion that this case might be characterized as one in which garbage is being bought and sold. See ante at  359. There is no suggestion that petitioner is making payment in order to have garbage delivered to it. Petitioner is, instead, being paid to accept the garbage of which others wish to be rid. There can be little doubt that in accepting this garbage, petitioner is also imposing environmental and other risks attendant to the waste's delivery and storage.</w:t>
      </w:r>
    </w:p>
    <w:p w:rsidR="00A31137" w:rsidRPr="00A31137" w:rsidRDefault="00A31137" w:rsidP="00A31137">
      <w:r w:rsidRPr="00A31137">
        <w:t>Gade v. National Solid Wastes Mgmt. Assn., 1992</w:t>
      </w:r>
    </w:p>
    <w:p w:rsidR="00A31137" w:rsidRPr="00A31137" w:rsidRDefault="00A31137" w:rsidP="00A31137">
      <w:r w:rsidRPr="00A31137">
        <w:t>Title:</w:t>
      </w:r>
      <w:r w:rsidRPr="00A31137">
        <w:tab/>
        <w:t>Gade v. National Solid Wastes Management Association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18, 1992</w:t>
      </w:r>
    </w:p>
    <w:p w:rsidR="00A31137" w:rsidRPr="00A31137" w:rsidRDefault="00A31137" w:rsidP="00A31137">
      <w:r w:rsidRPr="00A31137">
        <w:t>Source:</w:t>
      </w:r>
      <w:r w:rsidRPr="00A31137">
        <w:tab/>
        <w:t>505 U.S. 88</w:t>
      </w:r>
    </w:p>
    <w:p w:rsidR="00A31137" w:rsidRPr="00A31137" w:rsidRDefault="00A31137" w:rsidP="00A31137">
      <w:r w:rsidRPr="00A31137">
        <w:t>This case was argued March 23, 1992, and was decided June 18, 1992.</w:t>
      </w:r>
    </w:p>
    <w:p w:rsidR="00A31137" w:rsidRPr="00A31137" w:rsidRDefault="00A31137" w:rsidP="00A31137">
      <w:r w:rsidRPr="00A31137">
        <w:t>CERTIORARI TO THE UNITED STATES COURT OF APPEALS</w:t>
      </w:r>
    </w:p>
    <w:p w:rsidR="00A31137" w:rsidRPr="00A31137" w:rsidRDefault="00A31137" w:rsidP="00A31137">
      <w:r w:rsidRPr="00A31137">
        <w:t>FOR THE SEVENTH CIRCUIT</w:t>
      </w:r>
    </w:p>
    <w:p w:rsidR="00A31137" w:rsidRPr="00A31137" w:rsidRDefault="00A31137" w:rsidP="00A31137">
      <w:r w:rsidRPr="00A31137">
        <w:t>Syllabus</w:t>
      </w:r>
    </w:p>
    <w:p w:rsidR="00A31137" w:rsidRPr="00A31137" w:rsidRDefault="00A31137" w:rsidP="00A31137">
      <w:r w:rsidRPr="00A31137">
        <w:t>1992, Gade v. Nat'l Solid Wastes Mgmt. Assn., 505 U.S. 88</w:t>
      </w:r>
    </w:p>
    <w:p w:rsidR="00A31137" w:rsidRPr="00A31137" w:rsidRDefault="00A31137" w:rsidP="00A31137">
      <w:r w:rsidRPr="00A31137">
        <w:t>Pursuant to authority contained in the Occupational Safety and Health Act of 1970 (OSH Act or Act), the Occupational Safety and Health Administration (OSHA) promulgated regulations implementing a requirement of the Superfund Amendments and Reauthorization Act of 1986 (SARA) that standards be set for the initial and routine training of workers who handle hazardous wastes. Subsequently, Illinois enacted two acts requiring the licensing of workers at certain hazardous waste facilities. Each state act has the dual purpose of protecting workers and the general public and requires workers to meet specified training and examination requirements. Claiming, among other things, that the acts were preempted by the OSH Act and OSHA regulations, respondent, an association of businesses involved in, inter alia, hazardous waste management, sought injunctive relief against petitioner Gade's predecessor as director of the state environmental protection agency to prevent enforcement of the state acts. The District Court held that the state acts were not preempted, because they protected public safety in addition to promoting job safety, but it invalidated some provisions of the acts. The Court of Appeals affirmed in part and reversed in part, holding that the OSH Act preempts all state law that "constitutes, in a direct, clear and substantial way, regulation of worker health and safety," unless the Secretary of Labor has explicitly approved the law pursuant to § 18 of the OSH Act. In remanding, the court did not consider which, if any, of the provisions would be preempted.</w:t>
      </w:r>
    </w:p>
    <w:p w:rsidR="00A31137" w:rsidRPr="00A31137" w:rsidRDefault="00A31137" w:rsidP="00A31137">
      <w:r w:rsidRPr="00A31137">
        <w:t>1992, Gade v. Nat'l Solid Wastes Mgmt. Assn., 505 U.S. 88</w:t>
      </w:r>
    </w:p>
    <w:p w:rsidR="00A31137" w:rsidRPr="00A31137" w:rsidRDefault="00A31137" w:rsidP="00A31137">
      <w:r w:rsidRPr="00A31137">
        <w:t>Held: The judgment is affirmed.</w:t>
      </w:r>
    </w:p>
    <w:p w:rsidR="00A31137" w:rsidRPr="00A31137" w:rsidRDefault="00A31137" w:rsidP="00A31137">
      <w:r w:rsidRPr="00A31137">
        <w:t>1992, Gade v. Nat'l Solid Wastes Mgmt. Assn., 505 U.S. 88</w:t>
      </w:r>
    </w:p>
    <w:p w:rsidR="00A31137" w:rsidRPr="00A31137" w:rsidRDefault="00A31137" w:rsidP="00A31137">
      <w:r w:rsidRPr="00A31137">
        <w:t>918 F.2d 671, (CA7 1990), affirmed.</w:t>
      </w:r>
    </w:p>
    <w:p w:rsidR="00A31137" w:rsidRPr="00A31137" w:rsidRDefault="00A31137" w:rsidP="00A31137">
      <w:r w:rsidRPr="00A31137">
        <w:t>1992, Gade v. Nat'l Solid Wastes Mgmt. Assn., 505 U.S. 88</w:t>
      </w:r>
    </w:p>
    <w:p w:rsidR="00A31137" w:rsidRPr="00A31137" w:rsidRDefault="00A31137" w:rsidP="00A31137">
      <w:r w:rsidRPr="00A31137">
        <w:t>JUSTICE O'CONNOR delivered the opinion of the Court with respect to Parts I, III, and IV, concluding that:</w:t>
      </w:r>
    </w:p>
    <w:p w:rsidR="00A31137" w:rsidRPr="00A31137" w:rsidRDefault="00A31137" w:rsidP="00A31137">
      <w:r w:rsidRPr="00A31137">
        <w:t>1992, Gade v. Nat'l Solid Wastes Mgmt. Assn., 505 U.S. 88</w:t>
      </w:r>
    </w:p>
    <w:p w:rsidR="00A31137" w:rsidRPr="00A31137" w:rsidRDefault="00A31137" w:rsidP="00A31137">
      <w:r w:rsidRPr="00A31137">
        <w:t>1. A state law requirement that directly, substantially, and specifically regulates occupational safety and health is an occupational safety and health standard within the meaning of the OSH Act regardless of whether it has another, nonoccupational purpose. In assessing a state law's impact on the federal scheme, this Court has refused to rely solely [505 U.S. 89] on the legislature's professed purpose, and has looked as well to the law's effects. See, e.g., Perez v. Campbell, 402 U.S. 637, 651-652. State laws of general applicability, such as traffic and fire safety laws, would generally not be preempted, because they regulate workers simply as members of the general public. Pp.  104-108.</w:t>
      </w:r>
    </w:p>
    <w:p w:rsidR="00A31137" w:rsidRPr="00A31137" w:rsidRDefault="00A31137" w:rsidP="00A31137">
      <w:r w:rsidRPr="00A31137">
        <w:t>1992, Gade v. Nat'l Solid Wastes Mgmt. Assn., 505 U.S. 89</w:t>
      </w:r>
    </w:p>
    <w:p w:rsidR="00A31137" w:rsidRPr="00A31137" w:rsidRDefault="00A31137" w:rsidP="00A31137">
      <w:r w:rsidRPr="00A31137">
        <w:t>2. The state licensing acts are preempted by the OSH Act to the extent that they establish occupational safety and health standards for training those who work with hazardous wastes. The Act's saving provisions are not implicated, and Illinois does not have an approved plan. Illinois' interest in establishing standards for licensing various occupations, cf., e.g., Goldfarb v. Virginia State Bar, 421 U.S. 773,  792, cannot save from OSH Act preemption those provisions that directly and substantially affect workplace safety, since any state law, however clearly within a State's acknowledged power, must yield if it interferes with or is contrary to federal law, Felder v. Casey, 487 U.S. 131, 138. Nor can the acts be saved from preemption by Gade's argument that they regulate a "precondition" to employment, rather than occupational safety and health, since SARA makes clear that the training of employees engaged in hazardous waste operations is an occupational safety and health issue, and that certification requirements before an employee may engage in such work are occupational safety and health standards. This Court does not specifically consider which of the licensing acts' provisions will be preempted under the foregoing analysis. P. 108-109.</w:t>
      </w:r>
    </w:p>
    <w:p w:rsidR="00A31137" w:rsidRPr="00A31137" w:rsidRDefault="00A31137" w:rsidP="00A31137">
      <w:r w:rsidRPr="00A31137">
        <w:t>1992, Gade v. Nat'l Solid Wastes Mgmt. Assn., 505 U.S. 89</w:t>
      </w:r>
    </w:p>
    <w:p w:rsidR="00A31137" w:rsidRPr="00A31137" w:rsidRDefault="00A31137" w:rsidP="00A31137">
      <w:r w:rsidRPr="00A31137">
        <w:t>JUSTICE O'CONNOR, joined by THE CHIEF JUSTICE, JUSTICE WHITE, and JUSTICE SCALIA, concluded in Part II that the OSH Act impliedly preempts any state regulation of an occupational safety or health issue with respect to which a federal standard has been established, unless a state plan has been submitted and approved pursuant to § 18(b) of the Act. The Act as a whole demonstrates that Congress intended to promote occupational safety and health while avoiding subjecting workers and employers to duplicative regulation. Thus, it established a system of uniform federal standards, but gave States the option of preempting the federal regulations entirely pursuant to an approved state plan that displaces the federal standards. This intent is indicated principally in § 18(b)'s statement that a State "shall" submit a plan if it wishes to "assume responsibility" for developing and enforcing health and safety standards. Gade's interpretation of § 18(b)—that the Secretary's approval is required only if a State wishes to replace, not merely supplement, the federal regulations—would be inconsistent with the federal scheme, and is untenable in light of the surrounding provisions. The language and purposes of §§ 18(a), (c), (f) and (h) all confirm the view that the States cannot assume an enforcement role without the Secretary's approval, unless no federal standard is in effect. Also unacceptable [505 U.S. 90] is Gade's argument that the OSH Act does not preempt nonconflicting state laws, because those laws, like the Act, are designed to promote worker safety. Even where such laws share a common goal, a state law will be preempted if it interferes with the methods by which a federal statute was intended to reach that goal. International Paper Co. v. Ouellette, 479 U.S. 481, 494. Here, the Act does not foreclose a State from enacting its own laws, but it does restrict the ways in which it can do so. Pp.  96-104.</w:t>
      </w:r>
    </w:p>
    <w:p w:rsidR="00A31137" w:rsidRPr="00A31137" w:rsidRDefault="00A31137" w:rsidP="00A31137">
      <w:r w:rsidRPr="00A31137">
        <w:t>1992, Gade v. Nat'l Solid Wastes Mgmt. Assn., 505 U.S. 90</w:t>
      </w:r>
    </w:p>
    <w:p w:rsidR="00A31137" w:rsidRPr="00A31137" w:rsidRDefault="00A31137" w:rsidP="00A31137">
      <w:r w:rsidRPr="00A31137">
        <w:t>JUSTICE KENNEDY, agreeing that the state laws are preempted, concluded that the result is mandated by the express terms of § 18(b) of the OSH Act, and that the scope of preemption is also defined by the statutory text. Such a finding is not contrary to the longstanding rule that this Court will not infer preemption of the States' historic police powers absent a clear statement of intent by Congress. Unartful though § 18(b)'s language may be, its structure and language, in conjunction with subsections (a), (c), and (f), leave little doubt that in the OSH Act Congress intended to preempt supplementary state regulation of an occupational safety and health issue with respect to which a federal standard exists. Pp.  111-113.</w:t>
      </w:r>
    </w:p>
    <w:p w:rsidR="00A31137" w:rsidRPr="00A31137" w:rsidRDefault="00A31137" w:rsidP="00A31137">
      <w:r w:rsidRPr="00A31137">
        <w:t>1992, Gade v. Nat'l Solid Wastes Mgmt. Assn., 505 U.S. 90</w:t>
      </w:r>
    </w:p>
    <w:p w:rsidR="00A31137" w:rsidRPr="00A31137" w:rsidRDefault="00A31137" w:rsidP="00A31137">
      <w:r w:rsidRPr="00A31137">
        <w:t xml:space="preserve">O'CONNOR, J., announced the judgment of the Court and delivered the opinion of the Court with respect to Parts I, III, and IV, in which REHNQUIST, C.J., and WHITE, SCALIA, and KENNEDY, JJ., joined, and an opinion with respect to Part II, in which REHNQUIST, C.J., and WHITE and SCALIA, JJ., joined. KENNEDY, J., filed an opinion concurring in part and concurring in the judgment, post, p.  109. SOUTER, J., filed a dissenting opinion, in which BLACKMUN, STEVENS, and THOMAS, JJ., joined, post, p.  114. [505 U.S. 91] </w:t>
      </w:r>
    </w:p>
    <w:p w:rsidR="00A31137" w:rsidRPr="00A31137" w:rsidRDefault="00A31137" w:rsidP="00A31137">
      <w:r w:rsidRPr="00A31137">
        <w:t>O'CONNOR, J., lead opinion</w:t>
      </w:r>
    </w:p>
    <w:p w:rsidR="00A31137" w:rsidRPr="00A31137" w:rsidRDefault="00A31137" w:rsidP="00A31137">
      <w:r w:rsidRPr="00A31137">
        <w:t>1992, Gade v. Nat'l Solid Wastes Mgmt. Assn., 505 U.S. 91</w:t>
      </w:r>
    </w:p>
    <w:p w:rsidR="00A31137" w:rsidRPr="00A31137" w:rsidRDefault="00A31137" w:rsidP="00A31137">
      <w:r w:rsidRPr="00A31137">
        <w:t>JUSTICE O'CONNOR announced the judgment of the Court and delivered an opinion, Parts I, III, and IV of which represent the views of the Court, and Part II of which is joined by THE CHIEF JUSTICE, JUSTICE WHITE, and JUSTICE SCALIA.</w:t>
      </w:r>
    </w:p>
    <w:p w:rsidR="00A31137" w:rsidRPr="00A31137" w:rsidRDefault="00A31137" w:rsidP="00A31137">
      <w:r w:rsidRPr="00A31137">
        <w:t>1992, Gade v. Nat'l Solid Wastes Mgmt. Assn., 505 U.S. 91</w:t>
      </w:r>
    </w:p>
    <w:p w:rsidR="00A31137" w:rsidRPr="00A31137" w:rsidRDefault="00A31137" w:rsidP="00A31137">
      <w:r w:rsidRPr="00A31137">
        <w:t xml:space="preserve">In 1988, the Illinois General Assembly enacted the Hazardous Waste Crane and Hoisting Equipment Operators Licensing Act, Ill.Rev.Stat., ch. 111, ¶¶ 7701-7717 (1989), and the Hazardous Waste Laborers Licensing Act, Ill.Rev.Stat., ch. 111, ¶¶ 7801-7815 (1989) (together, licensing acts). The stated purpose of the acts is both "to promote job safety" and "to protect life, limb and property." 7702, 7802. In this case, we consider whether these "dual impact" statutes, which protect both workers and the general public, are preempted by the federal Occupational Safety and Health Act of 1970, 84 Stat. 1590, 29 U.S.C. § 651 et seq. (OSH Act), and the standards promulgated thereunder by the Occupational Safety and Health Administration (OSHA). [505 U.S. 92] </w:t>
      </w:r>
    </w:p>
    <w:p w:rsidR="00A31137" w:rsidRPr="00A31137" w:rsidRDefault="00A31137" w:rsidP="00A31137">
      <w:r w:rsidRPr="00A31137">
        <w:t>I</w:t>
      </w:r>
    </w:p>
    <w:p w:rsidR="00A31137" w:rsidRPr="00A31137" w:rsidRDefault="00A31137" w:rsidP="00A31137">
      <w:r w:rsidRPr="00A31137">
        <w:t>1992, Gade v. Nat'l Solid Wastes Mgmt. Assn., 505 U.S. 92</w:t>
      </w:r>
    </w:p>
    <w:p w:rsidR="00A31137" w:rsidRPr="00A31137" w:rsidRDefault="00A31137" w:rsidP="00A31137">
      <w:r w:rsidRPr="00A31137">
        <w:t>The OSH Act authorizes the Secretary of Labor to promulgate federal occupational safety and health standards. 29 U.S.C. § 655. In the Superfund Amendments and Reauthorization Act of 1986 (SARA), Congress directed the Secretary of Labor to "promulgate standards for the health and safety protection of employees engaged in hazardous waste operations" pursuant to her authority under the OSH Act. SARA, Pub.L. 99-499, Title I, § 126, 100 Stat. 1690-1692, codified at note following 29 U.S.C. § 655. In relevant part, SARA requires the Secretary to establish standards for the initial and routine training of workers who handle hazardous wastes.</w:t>
      </w:r>
    </w:p>
    <w:p w:rsidR="00A31137" w:rsidRPr="00A31137" w:rsidRDefault="00A31137" w:rsidP="00A31137">
      <w:r w:rsidRPr="00A31137">
        <w:t>1992, Gade v. Nat'l Solid Wastes Mgmt. Assn., 505 U.S. 92</w:t>
      </w:r>
    </w:p>
    <w:p w:rsidR="00A31137" w:rsidRPr="00A31137" w:rsidRDefault="00A31137" w:rsidP="00A31137">
      <w:r w:rsidRPr="00A31137">
        <w:t>In response to this congressional directive, OSHA, to which the Secretary has delegated certain of her statutory responsibilities, see Martin v. OSHRC, 499 U.S. 144, 147, n. 1 (1991), promulgated regulations on "Hazardous Waste Operations and Emergency Response," including detailed regulations on worker training requirements. 51 Fed.Reg. 45654, 45665-45666 (1986) (interim regulations); 54 Fed.Reg. 9294, 9320-9321 (1989) (final regulations), codified at 29 CFR § 1910.120 (1991). The OSHA regulations require, among other things, that workers engaged in an activity that may expose them to hazardous wastes receive a minimum of 40 hours of instruction off the site, and a minimum of three days actual field experience under the supervision of a trained supervisor. 29 CFR § 1910.120(e)(3)(i). Workers who are on the site only occasionally or who are working in areas that have been determined to be under the permissible exposure limits must complete at least 24 hours of off-site instruction and one day of actual field experience. §§ 1910.120(e)(3)(ii) and (iii). On-site managers and supervisors directly responsible for hazardous waste operations must receive the same initial training as general employees, plus at least eight additional hours of specialized training on various health and safety [505 U.S. 93] programs. § 1910.120(e)(4). Employees and supervisors are required to receive eight hours of refresher training annually. § 1910.120(e)(8). Those who have satisfied the training and field experience requirement receive a written certification; uncertified workers are prohibited from engaging in hazardous waste operations. § 1910.120(e)(6).</w:t>
      </w:r>
    </w:p>
    <w:p w:rsidR="00A31137" w:rsidRPr="00A31137" w:rsidRDefault="00A31137" w:rsidP="00A31137">
      <w:r w:rsidRPr="00A31137">
        <w:t>1992, Gade v. Nat'l Solid Wastes Mgmt. Assn., 505 U.S. 93</w:t>
      </w:r>
    </w:p>
    <w:p w:rsidR="00A31137" w:rsidRPr="00A31137" w:rsidRDefault="00A31137" w:rsidP="00A31137">
      <w:r w:rsidRPr="00A31137">
        <w:t>In 1988, while OSHA's interim hazardous waste regulations were in effect, the State of Illinois enacted the licensing acts at issue here. The laws are designated as acts "in relation to environmental protection," and their stated aim is to protect both employees and the general public by licensing hazardous waste equipment operators and laborers working at certain facilities. Both acts require a license applicant to provide a certified record of at least 40 hours of training under an approved program conducted within Illinois, to pass a written examination, and to complete an annual refresher course of at least eight hours of instruction. Ill.Rev.Stat., ch. 111, ¶¶ 7705(c) and (e), 7706(c) and (d), 7707(b), 7805(c) and (e), 7806(b). In addition, applicants for a hazardous waste crane operator's license must submit "a certified record showing operation of equipment used in hazardous waste handling for a minimum of 4,000 hours." ¶ 7705(d). Employees who work without the proper license, and employers who knowingly permit an unlicensed employee to work, are subject to escalating fines for each offense. ¶¶ 7715, 7716, 7814.</w:t>
      </w:r>
    </w:p>
    <w:p w:rsidR="00A31137" w:rsidRPr="00A31137" w:rsidRDefault="00A31137" w:rsidP="00A31137">
      <w:r w:rsidRPr="00A31137">
        <w:t>1992, Gade v. Nat'l Solid Wastes Mgmt. Assn., 505 U.S. 93</w:t>
      </w:r>
    </w:p>
    <w:p w:rsidR="00A31137" w:rsidRPr="00A31137" w:rsidRDefault="00A31137" w:rsidP="00A31137">
      <w:r w:rsidRPr="00A31137">
        <w:t>The respondent in this case, National Solid Waste Management Association (the Association), is a national trade association of businesses that remove, transport, dispose, and handle waste material, including hazardous waste. The Association's members are subject to the OSH Act and OSHA regulations, and are therefore required to train, qualify, and certify their hazardous waste remediation workers. 29 CFR § 1910.120 (1991). For hazardous waste operations conducted in Illinois, certain of the workers employed by the Association's members are also required to obtain licenses [505 U.S. 94] pursuant to the Illinois licensing acts. Thus, for example, some of the Association's members must ensure that their employees receive not only the three days of field experience required for certification under the OSHA regulations, but also the 500 days of experience (4,000 hours) required for licensing under the state statutes.</w:t>
      </w:r>
    </w:p>
    <w:p w:rsidR="00A31137" w:rsidRPr="00A31137" w:rsidRDefault="00A31137" w:rsidP="00A31137">
      <w:r w:rsidRPr="00A31137">
        <w:t>1992, Gade v. Nat'l Solid Wastes Mgmt. Assn., 505 U.S. 94</w:t>
      </w:r>
    </w:p>
    <w:p w:rsidR="00A31137" w:rsidRPr="00A31137" w:rsidRDefault="00A31137" w:rsidP="00A31137">
      <w:r w:rsidRPr="00A31137">
        <w:t>Shortly before the state licensing acts were due to go into effect, the Association brought a declaratory judgment action in United States District Court against Bernard Killian, the former Director of the Illinois Environmental Protection Agency (IEPA); petitioner Mary Gade is Killian's successor in office, and has been substituted as a party pursuant to this Court's Rule 35.3. The Association sought to enjoin IEPA from enforcing the Illinois licensing acts, claiming that the acts were preempted by the OSH Act and OSHA regulations and that they violated the Commerce Clause of the United States Constitution. The District Court held that state laws that attempt to regulate workplace safety and health are not preempted by the OSH Act when the laws have a "legitimate and substantial purpose apart from promoting job safety." App. to Pet. for Cert. 54. Applying this standard, the District Court held that the Illinois licensing acts were not preempted, because each protected public safety in addition to promoting job safety. Id. at 56-57. The court indicated that it would uphold a state regulation implementing the 4000-hour experience requirement, as long as it did not conflict with federal regulations, because it was reasonable to conclude that workers who satisfy the requirement</w:t>
      </w:r>
    </w:p>
    <w:p w:rsidR="00A31137" w:rsidRPr="00A31137" w:rsidRDefault="00A31137" w:rsidP="00A31137">
      <w:r w:rsidRPr="00A31137">
        <w:t>1992, Gade v. Nat'l Solid Wastes Mgmt. Assn., 505 U.S. 94</w:t>
      </w:r>
    </w:p>
    <w:p w:rsidR="00A31137" w:rsidRPr="00A31137" w:rsidRDefault="00A31137" w:rsidP="00A31137">
      <w:r w:rsidRPr="00A31137">
        <w:t>will be better skilled than those who do not; and better skilled means fewer accidents, which equals less risk to public safety and the environment.</w:t>
      </w:r>
    </w:p>
    <w:p w:rsidR="00A31137" w:rsidRPr="00A31137" w:rsidRDefault="00A31137" w:rsidP="00A31137">
      <w:r w:rsidRPr="00A31137">
        <w:t>1992, Gade v. Nat'l Solid Wastes Mgmt. Assn., 505 U.S. 94</w:t>
      </w:r>
    </w:p>
    <w:p w:rsidR="00A31137" w:rsidRPr="00A31137" w:rsidRDefault="00A31137" w:rsidP="00A31137">
      <w:r w:rsidRPr="00A31137">
        <w:t>Id. at 59. At the same time, the District Court invalidated the requirement that applicants for a hazardous waste license be trained "within Illinois" on the ground that the provision did not contribute to Illinois' stated purpose of protecting public safety. Id. at 57-58. The court declined to consider the [505 U.S. 95] Association's Commerce Clause challenge for lack of ripeness. Id. at 61-62.</w:t>
      </w:r>
    </w:p>
    <w:p w:rsidR="00A31137" w:rsidRPr="00A31137" w:rsidRDefault="00A31137" w:rsidP="00A31137">
      <w:r w:rsidRPr="00A31137">
        <w:t>1992, Gade v. Nat'l Solid Wastes Mgmt. Assn., 505 U.S. 95</w:t>
      </w:r>
    </w:p>
    <w:p w:rsidR="00A31137" w:rsidRPr="00A31137" w:rsidRDefault="00A31137" w:rsidP="00A31137">
      <w:r w:rsidRPr="00A31137">
        <w:t>On appeal, the United States Court of Appeals for the Seventh Circuit affirmed in part and reversed in part. National Solid Wastes Management Assn. v. Killian, 918 F.2d 671 (1990). The Court of Appeals held that the OSH Act preempts all state law that "constitutes, in a direct, clear and substantial way, regulation of worker health and safety," unless the Secretary has explicitly approved the state law. Id. at 679. Because many of the regulations mandated by the Illinois licensing acts had not yet reached their final form, the Court of Appeals remanded the case to the District Court without considering which, if any, of the Illinois provisions would be preempted. Id. at 684. The court made clear, however, its view that Illinois "cannot regulate worker health and safety under the guise of environmental regulation," and it rejected the District Court's conclusion that the State's 4000-hour experience requirement could survive preemption simply because the rule might also enhance public health and safety. Ibid. Writing separately, Judge Easterbrook expressed doubt that the OSH Act preempts nonconflicting state laws. Id. at 685-688. He concluded, however, that, if the OSH Act does preempt state law, the majority had employed an appropriate test for determining whether the Illinois acts were superseded. Id. at 688.</w:t>
      </w:r>
    </w:p>
    <w:p w:rsidR="00A31137" w:rsidRPr="00A31137" w:rsidRDefault="00A31137" w:rsidP="00A31137">
      <w:r w:rsidRPr="00A31137">
        <w:t>1992, Gade v. Nat'l Solid Wastes Mgmt. Assn., 505 U.S. 95</w:t>
      </w:r>
    </w:p>
    <w:p w:rsidR="00A31137" w:rsidRPr="00A31137" w:rsidRDefault="00A31137" w:rsidP="00A31137">
      <w:r w:rsidRPr="00A31137">
        <w:t>We granted certiorari, 502 U.S. 1012 (1991), to resolve a conflict between the decision below and decisions in which other Courts of Appeals have found the OSH Act to have a much narrower preemptive effect on "dual impact" state regulations. See Associated Industries of Massachusetts v. Snow, 898 F.2d 274, 279 (CA1 1990); Environmental Encapsulating Corp. v. New York City, 855 F.2d 48, 57 (CA2 1988); Manufacturers Assn. of Tri-County v. Knepper, 801 F.2d 130, 138 (CA3 1986), cert. denied, 484 U.S. 815 (1987); New [505 U.S. 96] Jersey State Chamber of Commerce v. Hughey, 774 F.2d 587, 593 (CA3 1985).</w:t>
      </w:r>
    </w:p>
    <w:p w:rsidR="00A31137" w:rsidRPr="00A31137" w:rsidRDefault="00A31137" w:rsidP="00A31137">
      <w:r w:rsidRPr="00A31137">
        <w:t>II</w:t>
      </w:r>
    </w:p>
    <w:p w:rsidR="00A31137" w:rsidRPr="00A31137" w:rsidRDefault="00A31137" w:rsidP="00A31137">
      <w:r w:rsidRPr="00A31137">
        <w:t>1992, Gade v. Nat'l Solid Wastes Mgmt. Assn., 505 U.S. 96</w:t>
      </w:r>
    </w:p>
    <w:p w:rsidR="00A31137" w:rsidRPr="00A31137" w:rsidRDefault="00A31137" w:rsidP="00A31137">
      <w:r w:rsidRPr="00A31137">
        <w:t>Before addressing the scope of the OSH Act's preemption of dual impact state regulations, we consider petitioner's threshold argument, drawn from Judge Easterbrook's separate opinion below, that the Act does not preempt nonconflicting state regulations at all.</w:t>
      </w:r>
    </w:p>
    <w:p w:rsidR="00A31137" w:rsidRPr="00A31137" w:rsidRDefault="00A31137" w:rsidP="00A31137">
      <w:r w:rsidRPr="00A31137">
        <w:t>1992, Gade v. Nat'l Solid Wastes Mgmt. Assn., 505 U.S. 96</w:t>
      </w:r>
    </w:p>
    <w:p w:rsidR="00A31137" w:rsidRPr="00A31137" w:rsidRDefault="00A31137" w:rsidP="00A31137">
      <w:r w:rsidRPr="00A31137">
        <w:t>[T]he question whether a certain state action is preempted by federal law is one of congressional intent. "'The purpose of Congress is the ultimate touchstone.'"</w:t>
      </w:r>
    </w:p>
    <w:p w:rsidR="00A31137" w:rsidRPr="00A31137" w:rsidRDefault="00A31137" w:rsidP="00A31137">
      <w:r w:rsidRPr="00A31137">
        <w:t>1992, Gade v. Nat'l Solid Wastes Mgmt. Assn., 505 U.S. 96</w:t>
      </w:r>
    </w:p>
    <w:p w:rsidR="00A31137" w:rsidRPr="00A31137" w:rsidRDefault="00A31137" w:rsidP="00A31137">
      <w:r w:rsidRPr="00A31137">
        <w:t>Allis-Chalmers Corp. v. Lueck, 471 U.S. 202, 208 (1985) (quoting Malone v. White Motor Corp., 435 U.S. 497, 504 (978)). "To discern Congress' intent, we examine the explicit statutory language and the structure and purpose of the statute." Ingersoll-Rand Co. v. McClendon, 498 U.S. 133 (1990); see also FMC Corp. v. Holliday, 498 U.S. 52, 56-57 (1990).</w:t>
      </w:r>
    </w:p>
    <w:p w:rsidR="00A31137" w:rsidRPr="00A31137" w:rsidRDefault="00A31137" w:rsidP="00A31137">
      <w:r w:rsidRPr="00A31137">
        <w:t>1992, Gade v. Nat'l Solid Wastes Mgmt. Assn., 505 U.S. 96</w:t>
      </w:r>
    </w:p>
    <w:p w:rsidR="00A31137" w:rsidRPr="00A31137" w:rsidRDefault="00A31137" w:rsidP="00A31137">
      <w:r w:rsidRPr="00A31137">
        <w:t>In the OSH Act, Congress endeavored "to assure so far as possible every working man and woman in the Nation safe and healthful working conditions." 29 U.S.C. § 651(b). To that end, Congress authorized the Secretary of Labor to set mandatory occupational safety and health standards applicable to all businesses affecting interstate commerce, 29 U.S.C. § 651(b)(3), and thereby brought the Federal Government into a field that traditionally had been occupied by the States. Federal regulation of the workplace was not intended to be all-encompassing, however. First, Congress expressly saved two areas from federal preemption. Section 4(b)(4) of the OSH Act states that the Act does not</w:t>
      </w:r>
    </w:p>
    <w:p w:rsidR="00A31137" w:rsidRPr="00A31137" w:rsidRDefault="00A31137" w:rsidP="00A31137">
      <w:r w:rsidRPr="00A31137">
        <w:t>1992, Gade v. Nat'l Solid Wastes Mgmt. Assn., 505 U.S. 96</w:t>
      </w:r>
    </w:p>
    <w:p w:rsidR="00A31137" w:rsidRPr="00A31137" w:rsidRDefault="00A31137" w:rsidP="00A31137">
      <w:r w:rsidRPr="00A31137">
        <w:t>supersede or in any manner affect any workmen's compensation law or…enlarge or diminish or affect in any other manner the common law or statutory rights, duties, or liabilities of employers and employees under any law with respect to injuries, diseases, or death of employees arising out of, or in the course of, employment.</w:t>
      </w:r>
    </w:p>
    <w:p w:rsidR="00A31137" w:rsidRPr="00A31137" w:rsidRDefault="00A31137" w:rsidP="00A31137">
      <w:r w:rsidRPr="00A31137">
        <w:t>1992, Gade v. Nat'l Solid Wastes Mgmt. Assn., 505 U.S. 96</w:t>
      </w:r>
    </w:p>
    <w:p w:rsidR="00A31137" w:rsidRPr="00A31137" w:rsidRDefault="00A31137" w:rsidP="00A31137">
      <w:r w:rsidRPr="00A31137">
        <w:t>29 U.S.C. § 653(b)(4). Section 18(a) provides that the Act does not</w:t>
      </w:r>
    </w:p>
    <w:p w:rsidR="00A31137" w:rsidRPr="00A31137" w:rsidRDefault="00A31137" w:rsidP="00A31137">
      <w:r w:rsidRPr="00A31137">
        <w:t>1992, Gade v. Nat'l Solid Wastes Mgmt. Assn., 505 U.S. 96</w:t>
      </w:r>
    </w:p>
    <w:p w:rsidR="00A31137" w:rsidRPr="00A31137" w:rsidRDefault="00A31137" w:rsidP="00A31137">
      <w:r w:rsidRPr="00A31137">
        <w:t>prevent any State [505 U.S. 97] agency or court from asserting jurisdiction under State law over any occupational safety or health issue with respect to which no [federal] standard is in effect.</w:t>
      </w:r>
    </w:p>
    <w:p w:rsidR="00A31137" w:rsidRPr="00A31137" w:rsidRDefault="00A31137" w:rsidP="00A31137">
      <w:r w:rsidRPr="00A31137">
        <w:t>1992, Gade v. Nat'l Solid Wastes Mgmt. Assn., 505 U.S. 97</w:t>
      </w:r>
    </w:p>
    <w:p w:rsidR="00A31137" w:rsidRPr="00A31137" w:rsidRDefault="00A31137" w:rsidP="00A31137">
      <w:r w:rsidRPr="00A31137">
        <w:t>29 U.S.C. § 667(a).</w:t>
      </w:r>
    </w:p>
    <w:p w:rsidR="00A31137" w:rsidRPr="00A31137" w:rsidRDefault="00A31137" w:rsidP="00A31137">
      <w:r w:rsidRPr="00A31137">
        <w:t>1992, Gade v. Nat'l Solid Wastes Mgmt. Assn., 505 U.S. 97</w:t>
      </w:r>
    </w:p>
    <w:p w:rsidR="00A31137" w:rsidRPr="00A31137" w:rsidRDefault="00A31137" w:rsidP="00A31137">
      <w:r w:rsidRPr="00A31137">
        <w:t>Congress not only reserved certain areas to state regulation, but it also, in § 18(b) of the Act, gave the States the option of preempting federal regulation entirely. That section provides:</w:t>
      </w:r>
    </w:p>
    <w:p w:rsidR="00A31137" w:rsidRPr="00A31137" w:rsidRDefault="00A31137" w:rsidP="00A31137">
      <w:r w:rsidRPr="00A31137">
        <w:t>1992, Gade v. Nat'l Solid Wastes Mgmt. Assn., 505 U.S. 97</w:t>
      </w:r>
    </w:p>
    <w:p w:rsidR="00A31137" w:rsidRPr="00A31137" w:rsidRDefault="00A31137" w:rsidP="00A31137">
      <w:r w:rsidRPr="00A31137">
        <w:t>Submission of State plan for development and enforcement of State standards to preempt applicable Federal standards.</w:t>
      </w:r>
    </w:p>
    <w:p w:rsidR="00A31137" w:rsidRPr="00A31137" w:rsidRDefault="00A31137" w:rsidP="00A31137">
      <w:r w:rsidRPr="00A31137">
        <w:t>1992, Gade v. Nat'l Solid Wastes Mgmt. Assn., 505 U.S. 97</w:t>
      </w:r>
    </w:p>
    <w:p w:rsidR="00A31137" w:rsidRPr="00A31137" w:rsidRDefault="00A31137" w:rsidP="00A31137">
      <w:r w:rsidRPr="00A31137">
        <w:t>Any State which, at any time, desires to assume responsibility for development and enforcement therein of occupational safety and health standards relating to any occupational safety or health issue with respect to which a Federal standard has been promulgated [by the Secretary under the OSH Act] shall submit a State plan for the development of such standards and their enforcement.</w:t>
      </w:r>
    </w:p>
    <w:p w:rsidR="00A31137" w:rsidRPr="00A31137" w:rsidRDefault="00A31137" w:rsidP="00A31137">
      <w:r w:rsidRPr="00A31137">
        <w:t>1992, Gade v. Nat'l Solid Wastes Mgmt. Assn., 505 U.S. 97</w:t>
      </w:r>
    </w:p>
    <w:p w:rsidR="00A31137" w:rsidRPr="00A31137" w:rsidRDefault="00A31137" w:rsidP="00A31137">
      <w:r w:rsidRPr="00A31137">
        <w:t>29 U.S.C. § 667(b). About half the States have received the Secretary's approval for their own state plans as described in this provision. 29 CFR pts.1952, 1956 (1991). Illinois is not among them.</w:t>
      </w:r>
    </w:p>
    <w:p w:rsidR="00A31137" w:rsidRPr="00A31137" w:rsidRDefault="00A31137" w:rsidP="00A31137">
      <w:r w:rsidRPr="00A31137">
        <w:t>1992, Gade v. Nat'l Solid Wastes Mgmt. Assn., 505 U.S. 97</w:t>
      </w:r>
    </w:p>
    <w:p w:rsidR="00A31137" w:rsidRPr="00A31137" w:rsidRDefault="00A31137" w:rsidP="00A31137">
      <w:r w:rsidRPr="00A31137">
        <w:t xml:space="preserve">In the decision below, the Court of Appeals held that § 18(b) "unquestionably" preempts any state law or regulation that establishes an occupational health and safety standard on an issue for which OSHA has already promulgated a standard, unless the State has obtained the Secretary's approval for its own plan. 918 F.2d at 677. Every other federal and state court confronted with an OSH Act preemption challenge has reached the same conclusion, 1 and so do we. [505 U.S. 98] </w:t>
      </w:r>
    </w:p>
    <w:p w:rsidR="00A31137" w:rsidRPr="00A31137" w:rsidRDefault="00A31137" w:rsidP="00A31137">
      <w:r w:rsidRPr="00A31137">
        <w:t>1992, Gade v. Nat'l Solid Wastes Mgmt. Assn., 505 U.S. 98</w:t>
      </w:r>
    </w:p>
    <w:p w:rsidR="00A31137" w:rsidRPr="00A31137" w:rsidRDefault="00A31137" w:rsidP="00A31137">
      <w:r w:rsidRPr="00A31137">
        <w:t>Preemption may be either expressed or implied, and</w:t>
      </w:r>
    </w:p>
    <w:p w:rsidR="00A31137" w:rsidRPr="00A31137" w:rsidRDefault="00A31137" w:rsidP="00A31137">
      <w:r w:rsidRPr="00A31137">
        <w:t>1992, Gade v. Nat'l Solid Wastes Mgmt. Assn., 505 U.S. 98</w:t>
      </w:r>
    </w:p>
    <w:p w:rsidR="00A31137" w:rsidRPr="00A31137" w:rsidRDefault="00A31137" w:rsidP="00A31137">
      <w:r w:rsidRPr="00A31137">
        <w:t>is compelled whether Congress' command is explicitly stated in the statute's language or implicitly contained in its structure and purpose.</w:t>
      </w:r>
    </w:p>
    <w:p w:rsidR="00A31137" w:rsidRPr="00A31137" w:rsidRDefault="00A31137" w:rsidP="00A31137">
      <w:r w:rsidRPr="00A31137">
        <w:t>1992, Gade v. Nat'l Solid Wastes Mgmt. Assn., 505 U.S. 98</w:t>
      </w:r>
    </w:p>
    <w:p w:rsidR="00A31137" w:rsidRPr="00A31137" w:rsidRDefault="00A31137" w:rsidP="00A31137">
      <w:r w:rsidRPr="00A31137">
        <w:t>Jones v. Rath Packing Co., 430 U.S. 519, 525 (1977); Shaw v. Delta Air Lines, Inc., 463 U.S. 85, 95 (1983); Fidelity Federal Savings &amp; Loan Assn. v. De la Cuesta, 458 U.S. 141, 152-153 (1982). Absent explicit preemptive language, we have recognized at least two types of implied preemption: field preemption, where the scheme of federal regulation is "'so pervasive as to make reasonable the inference that Congress left no room for the States to supplement it,'" id. at 153 (quoting Rice v. Santa Fe Elevator Corp., 331 U.S. 218,  230 (1947)), and conflict preemption, where "compliance with both federal and state regulations is a physical impossibility," Florida Lime &amp; Avocado Growers, Inc. v. Paul, 373 U.S. 132, 142-143 (1963), or where state law "stands as an obstacle to the accomplishment and execution of the full purposes and objectives of Congress." Hines v. Davidowitz, 312 U.S. 52,  67 (1941); Felder v. Casey, 487 U.S. 131, 138 (1988); Perez v. Campbell, 402 U.S. 637, 649 (1971).</w:t>
      </w:r>
    </w:p>
    <w:p w:rsidR="00A31137" w:rsidRPr="00A31137" w:rsidRDefault="00A31137" w:rsidP="00A31137">
      <w:r w:rsidRPr="00A31137">
        <w:t>1992, Gade v. Nat'l Solid Wastes Mgmt. Assn., 505 U.S. 98</w:t>
      </w:r>
    </w:p>
    <w:p w:rsidR="00A31137" w:rsidRPr="00A31137" w:rsidRDefault="00A31137" w:rsidP="00A31137">
      <w:r w:rsidRPr="00A31137">
        <w:t>Our ultimate task in any preemption case is to determine whether state regulation is consistent with the structure and purpose of the statute as a whole. Looking to "the provisions of the whole law, and to its object and policy," Pilot Life Ins. Co. v. Dedeaux, 481 U.S. 41, 51 (1987) (internal quotation marks and citations omitted), we hold that nonapproved state regulation of occupational safety and health issues [505 U.S. 99] for which a federal standard is in effect is impliedly preempted as in conflict with the full purposes and objectives of the OSH Act. Hines v. Davidowitz, supra. The design of the statute persuades us that Congress intended to subject employers and employees to only one set of regulations, be it federal or state, and that the only way a State may regulate an OSHA regulated occupational safety and health issue is pursuant to an approved state plan that displaces the federal standards.</w:t>
      </w:r>
    </w:p>
    <w:p w:rsidR="00A31137" w:rsidRPr="00A31137" w:rsidRDefault="00A31137" w:rsidP="00A31137">
      <w:r w:rsidRPr="00A31137">
        <w:t>1992, Gade v. Nat'l Solid Wastes Mgmt. Assn., 505 U.S. 99</w:t>
      </w:r>
    </w:p>
    <w:p w:rsidR="00A31137" w:rsidRPr="00A31137" w:rsidRDefault="00A31137" w:rsidP="00A31137">
      <w:r w:rsidRPr="00A31137">
        <w:t>The principal indication that Congress intended to preempt state law is § 18(b)'s statement that a State "shall" submit a plan if it wishes to "assume responsibility" for</w:t>
      </w:r>
    </w:p>
    <w:p w:rsidR="00A31137" w:rsidRPr="00A31137" w:rsidRDefault="00A31137" w:rsidP="00A31137">
      <w:r w:rsidRPr="00A31137">
        <w:t>1992, Gade v. Nat'l Solid Wastes Mgmt. Assn., 505 U.S. 99</w:t>
      </w:r>
    </w:p>
    <w:p w:rsidR="00A31137" w:rsidRPr="00A31137" w:rsidRDefault="00A31137" w:rsidP="00A31137">
      <w:r w:rsidRPr="00A31137">
        <w:t>development and enforcement…of occupational safety and health standards relating to any occupational safety or health issue with respect to which a Federal standard has been promulgated.</w:t>
      </w:r>
    </w:p>
    <w:p w:rsidR="00A31137" w:rsidRPr="00A31137" w:rsidRDefault="00A31137" w:rsidP="00A31137">
      <w:r w:rsidRPr="00A31137">
        <w:t>1992, Gade v. Nat'l Solid Wastes Mgmt. Assn., 505 U.S. 99</w:t>
      </w:r>
    </w:p>
    <w:p w:rsidR="00A31137" w:rsidRPr="00A31137" w:rsidRDefault="00A31137" w:rsidP="00A31137">
      <w:r w:rsidRPr="00A31137">
        <w:t>The unavoidable implication of this provision is that a State may not enforce its own occupational safety and health standards without obtaining the Secretary's approval, and petitioner concedes that § 18(b) would require an approved plan if Illinois wanted to "assume responsibility" for the regulation of occupational safety and health within the State. Petitioner contends, however, that an approved plan is necessary only if the State wishes completely to replace the federal regulations, not merely to supplement them. She argues that the correct interpretation of § 18(b) is that posited by Judge Easterbrook below: i.e., a State may either "oust" the federal standard by submitting a state plan to the Secretary for approval or "add to" the federal standard without seeking the Secretary's approval. 918 F.2d at 685 (Easterbrook, J., dubitante).</w:t>
      </w:r>
    </w:p>
    <w:p w:rsidR="00A31137" w:rsidRPr="00A31137" w:rsidRDefault="00A31137" w:rsidP="00A31137">
      <w:r w:rsidRPr="00A31137">
        <w:t>1992, Gade v. Nat'l Solid Wastes Mgmt. Assn., 505 U.S. 99</w:t>
      </w:r>
    </w:p>
    <w:p w:rsidR="00A31137" w:rsidRPr="00A31137" w:rsidRDefault="00A31137" w:rsidP="00A31137">
      <w:r w:rsidRPr="00A31137">
        <w:t>Petitioner's interpretation of § 18(b) might be plausible were we to interpret that provision in isolation, but it simply is not tenable in light of the OSH Act's surrounding provisions. "[W]e must not be guided by a single sentence or member of a sentence, but look to the provisions of the whole law." Dedeaux, supra, at 51 (internal quotation marks and [505 U.S. 100] citations omitted). The OSH Act as a whole evidences Congress' intent to avoid subjecting workers and employers to duplicative regulation; a State may develop an occupational safety and health program tailored to its own needs, but only if it is willing completely to displace the applicable federal regulations.</w:t>
      </w:r>
    </w:p>
    <w:p w:rsidR="00A31137" w:rsidRPr="00A31137" w:rsidRDefault="00A31137" w:rsidP="00A31137">
      <w:r w:rsidRPr="00A31137">
        <w:t>1992, Gade v. Nat'l Solid Wastes Mgmt. Assn., 505 U.S. 100</w:t>
      </w:r>
    </w:p>
    <w:p w:rsidR="00A31137" w:rsidRPr="00A31137" w:rsidRDefault="00A31137" w:rsidP="00A31137">
      <w:r w:rsidRPr="00A31137">
        <w:t>Cutting against petitioner's interpretation of § 18(b) is the language of § 18(a), which saves from preemption any state law regulating an occupational safety and health issue with respect to which no federal standard is in effect. 29 U.S.C. § 667(a). Although this is a saving clause, not a preemption clause, the natural implication of this provision is that state laws regulating the same issue as federal laws are not saved, even if they merely supplement the federal standard. Moreover, if petitioner's reading of § 18(b) were correct, and if a State were free to enact nonconflicting safety and health regulations, then § 18(a) would be superfluous: there is no possibility of conflict where there is no federal regulation. Because "[i]t is our duty 'to give effect, if possible, to every clause and word of a statute,'" United States v. Menasche, 348 U.S. 528, 538-539 (1955) (quoting Montclair v. Ramsdell, 107 U.S. 147, 152 (1883)), we conclude that § 18(a)'s preservation of state authority in the absence of a federal standard presupposes a background preemption of all state occupational safety and health standards whenever a federal standard governing the same issue is in effect.</w:t>
      </w:r>
    </w:p>
    <w:p w:rsidR="00A31137" w:rsidRPr="00A31137" w:rsidRDefault="00A31137" w:rsidP="00A31137">
      <w:r w:rsidRPr="00A31137">
        <w:t>1992, Gade v. Nat'l Solid Wastes Mgmt. Assn., 505 U.S. 100</w:t>
      </w:r>
    </w:p>
    <w:p w:rsidR="00A31137" w:rsidRPr="00A31137" w:rsidRDefault="00A31137" w:rsidP="00A31137">
      <w:r w:rsidRPr="00A31137">
        <w:t>Our understanding of the implications of § 18(b) is likewise bolstered by § 18(c) of the Act, 29 U.S.C. § 667(c), which sets forth the conditions that must be satisfied before the Secretary can approve a plan submitted by a State under subsection (b). State standards that affect interstate commerce will be approved only if they "are required by compelling local conditions" and "do not unduly burden interstate commerce." § 667(c)(2). If a State could supplement federal regulations without undergoing the § 18(b) approval process, then the protections that § 18(c) offers to interstate commerce [505 U.S. 101] would easily be undercut. It would make little sense to impose such a condition on state programs intended to supplant federal regulation, and not those that merely supplement it: the burden on interstate commerce remains the same.</w:t>
      </w:r>
    </w:p>
    <w:p w:rsidR="00A31137" w:rsidRPr="00A31137" w:rsidRDefault="00A31137" w:rsidP="00A31137">
      <w:r w:rsidRPr="00A31137">
        <w:t>1992, Gade v. Nat'l Solid Wastes Mgmt. Assn., 505 U.S. 101</w:t>
      </w:r>
    </w:p>
    <w:p w:rsidR="00A31137" w:rsidRPr="00A31137" w:rsidRDefault="00A31137" w:rsidP="00A31137">
      <w:r w:rsidRPr="00A31137">
        <w:t>Section 18(f) also confirms our view that States are not permitted to assume an enforcement role without the Secretary's approval, unless no federal standard is in effect. That provision gives the Secretary the authority to withdraw her approval of a state plan. 29 U.S.C. § 667(f). Once approval is withdrawn, the plan "cease[s] to be in effect," and the State is permitted to assert jurisdiction under its occupational health and safety law only for those cases "commenced before the withdrawal of the plan." Ibid. Under petitioner's reading of § 18(b), § 18(f) should permit the continued exercise of state jurisdiction over purely "supplemental" and nonconflicting standards. Instead, § 18(f) assumes that the State loses the power to enforce all of its occupational safety and health standards once approval is withdrawn.</w:t>
      </w:r>
    </w:p>
    <w:p w:rsidR="00A31137" w:rsidRPr="00A31137" w:rsidRDefault="00A31137" w:rsidP="00A31137">
      <w:r w:rsidRPr="00A31137">
        <w:t>1992, Gade v. Nat'l Solid Wastes Mgmt. Assn., 505 U.S. 101</w:t>
      </w:r>
    </w:p>
    <w:p w:rsidR="00A31137" w:rsidRPr="00A31137" w:rsidRDefault="00A31137" w:rsidP="00A31137">
      <w:r w:rsidRPr="00A31137">
        <w:t>The same assumption of exclusive federal jurisdiction in the absence of an approved state plan is apparent in the transitional provisions contained in § 18(h) of the Act. 29 U.S.C. § 667(h). Section 18(h) authorized the Secretary of Labor, during the first two years after passage of the Act, to enter into an agreement with a State by which the State would be permitted to continue to enforce its own occupational health and safety standards for two years or until final action was taken by the Secretary pursuant to § 18(b), whichever was earlier. Significantly, § 18(h) does not say that such an agreement is only necessary when the State wishes fully to supplant federal standards. Indeed, the original Senate version of the provision would have allowed a State to enter into such an agreement only when it wished to enforce standards "not in conflict with Federal occupational health and safety standards," a category which included</w:t>
      </w:r>
    </w:p>
    <w:p w:rsidR="00A31137" w:rsidRPr="00A31137" w:rsidRDefault="00A31137" w:rsidP="00A31137">
      <w:r w:rsidRPr="00A31137">
        <w:t>1992, Gade v. Nat'l Solid Wastes Mgmt. Assn., 505 U.S. 101</w:t>
      </w:r>
    </w:p>
    <w:p w:rsidR="00A31137" w:rsidRPr="00A31137" w:rsidRDefault="00A31137" w:rsidP="00A31137">
      <w:r w:rsidRPr="00A31137">
        <w:t>any State occupational health and safety standard which provides [505 U.S. 102] for more stringent health and safety regulations than do the Federal standards.</w:t>
      </w:r>
    </w:p>
    <w:p w:rsidR="00A31137" w:rsidRPr="00A31137" w:rsidRDefault="00A31137" w:rsidP="00A31137">
      <w:r w:rsidRPr="00A31137">
        <w:t>1992, Gade v. Nat'l Solid Wastes Mgmt. Assn., 505 U.S. 102</w:t>
      </w:r>
    </w:p>
    <w:p w:rsidR="00A31137" w:rsidRPr="00A31137" w:rsidRDefault="00A31137" w:rsidP="00A31137">
      <w:r w:rsidRPr="00A31137">
        <w:t>S. 2193, § 17(h), reprinted in 116 Cong.Rec. 37637 (1970). Although that provision was eliminated from the final draft of the bill, thereby allowing agreements for the temporary enforcement of less stringent state standards, it is indicative of the congressional understanding that a State was required to enter into a transitional agreement even when its standards were stricter than federal standards. The Secretary's contemporaneous interpretation of § 18(h) also expresses that understanding. See 29 CFR § 1901.2 (1972) ("Section 18(h) permits the Secretary to provide an alternative to the exclusive Federal jurisdiction [over] occupational safety and health issue[s]. This alternative is temporary and may be considered a step toward the more permanent alternative to exclusive Federal jurisdiction provided by sections 18(b) and (c) following submission and approval of a plan submitted by a State for the development and enforcement of occupational safety and health standards") (emphases added).</w:t>
      </w:r>
    </w:p>
    <w:p w:rsidR="00A31137" w:rsidRPr="00A31137" w:rsidRDefault="00A31137" w:rsidP="00A31137">
      <w:r w:rsidRPr="00A31137">
        <w:t>1992, Gade v. Nat'l Solid Wastes Mgmt. Assn., 505 U.S. 102</w:t>
      </w:r>
    </w:p>
    <w:p w:rsidR="00A31137" w:rsidRPr="00A31137" w:rsidRDefault="00A31137" w:rsidP="00A31137">
      <w:r w:rsidRPr="00A31137">
        <w:t>Looking at the provisions of § 18 as a whole, we conclude that the OSH Act precludes any state regulation of an occupational safety or health issue with respect to which a federal standard has been established, unless a state plan has been submitted and approved pursuant to § 18(b). Our review of the Act persuades us that Congress sought to promote occupational safety and health while at the same time avoiding duplicative, and possibly counterproductive, regulation. It thus established a system of uniform federal occupational health and safety standards, but gave States the option of preempting federal regulations by developing their own occupational safety and health programs. In addition, Congress offered the States substantial federal grant monies to assist them in developing their own programs. See OSH Act § 23, 29 U.S.C. §§ 672(a), (b), and (f) (for three years following enactment, the Secretary may award up to 90% of the costs to a State of developing a state occupational safety [505 U.S. 103] and health plan); 29 U.S.C. § 672(g) (States that develop approved plans may receive funding for up to 50% of the costs of operating their occupational health and safety programs). To allow a State selectively to "supplement" certain federal regulations with ostensibly nonconflicting standards would be inconsistent with this federal scheme of establishing uniform federal standards, on the one hand, and encouraging States to assume full responsibility for development and enforcement of their own OSH programs, on the other.</w:t>
      </w:r>
    </w:p>
    <w:p w:rsidR="00A31137" w:rsidRPr="00A31137" w:rsidRDefault="00A31137" w:rsidP="00A31137">
      <w:r w:rsidRPr="00A31137">
        <w:t>1992, Gade v. Nat'l Solid Wastes Mgmt. Assn., 505 U.S. 103</w:t>
      </w:r>
    </w:p>
    <w:p w:rsidR="00A31137" w:rsidRPr="00A31137" w:rsidRDefault="00A31137" w:rsidP="00A31137">
      <w:r w:rsidRPr="00A31137">
        <w:t>We cannot accept petitioner's argument that the OSH Act does not preempt nonconflicting state laws because those laws, like the Act, are designed to promote worker safety. In determining whether state law "stands as an obstacle" to the full implementation of a federal law, Hines v. Davidowitz, 312 U.S. at  67, "it is not enough to say that the ultimate goal of both federal and state law" is the same. International Paper Co. v. Ouellette, 479 U.S. 481, 494 (1987). "A state law also is preempted if it interferes with the methods by which the federal statute was designed to reach th[at] goal." Ibid.; see also Michigan Canners &amp; Freezers Assn., Inc. v. Agricultural Marketing and Bargaining Bd., 467 U.S. 461, 477 (1984) (state statute establishing association to represent agricultural producers preempted even though it and the federal Agricultural Fair Practices Act "share the goal of augmenting the producer's bargaining power"); Wisconsin Dept. of Industry v. Gould Inc., 475 U.S. 282, 286-287 (1986) (state statute preventing three-time violators of the National Labor Relations Act from doing business with the State is preempted even though state law was designed to reinforce requirements of federal Act). The OSH Act does not foreclose a State from enacting its own laws to advance the goal of worker safety, but it does restrict the ways in which it can do so. If a State wishes to regulate an issue of worker safety for which a federal standard is in effect, its [505 U.S. 104] only option is to obtain the prior approval of the Secretary of Labor, as described in § 18 of the Act. 2</w:t>
      </w:r>
    </w:p>
    <w:p w:rsidR="00A31137" w:rsidRPr="00A31137" w:rsidRDefault="00A31137" w:rsidP="00A31137">
      <w:r w:rsidRPr="00A31137">
        <w:t>III</w:t>
      </w:r>
    </w:p>
    <w:p w:rsidR="00A31137" w:rsidRPr="00A31137" w:rsidRDefault="00A31137" w:rsidP="00A31137">
      <w:r w:rsidRPr="00A31137">
        <w:t>1992, Gade v. Nat'l Solid Wastes Mgmt. Assn., 505 U.S. 104</w:t>
      </w:r>
    </w:p>
    <w:p w:rsidR="00A31137" w:rsidRPr="00A31137" w:rsidRDefault="00A31137" w:rsidP="00A31137">
      <w:r w:rsidRPr="00A31137">
        <w:t>Petitioner next argues that, even if Congress intended to preempt all nonapproved state occupational safety and health regulations whenever a federal standard is in effect, the OSH Act's preemptive effect should not be extended to state laws that address public safety as well as occupational safety concerns. As we explained in Part II, we understand [505 U.S. 105] § 18(b) to mean that the OSH Act preempts all state</w:t>
      </w:r>
    </w:p>
    <w:p w:rsidR="00A31137" w:rsidRPr="00A31137" w:rsidRDefault="00A31137" w:rsidP="00A31137">
      <w:r w:rsidRPr="00A31137">
        <w:t>1992, Gade v. Nat'l Solid Wastes Mgmt. Assn., 505 U.S. 105</w:t>
      </w:r>
    </w:p>
    <w:p w:rsidR="00A31137" w:rsidRPr="00A31137" w:rsidRDefault="00A31137" w:rsidP="00A31137">
      <w:r w:rsidRPr="00A31137">
        <w:t>occupational safety and health standards relating to any occupational safety or health issue with respect to which a Federal standard has been promulgated.</w:t>
      </w:r>
    </w:p>
    <w:p w:rsidR="00A31137" w:rsidRPr="00A31137" w:rsidRDefault="00A31137" w:rsidP="00A31137">
      <w:r w:rsidRPr="00A31137">
        <w:t>1992, Gade v. Nat'l Solid Wastes Mgmt. Assn., 505 U.S. 105</w:t>
      </w:r>
    </w:p>
    <w:p w:rsidR="00A31137" w:rsidRPr="00A31137" w:rsidRDefault="00A31137" w:rsidP="00A31137">
      <w:r w:rsidRPr="00A31137">
        <w:t>29 U.S.C. § 667(b). We now consider whether a dual impact law can be an "occupational safety and health standard" subject to preemption under the Act.</w:t>
      </w:r>
    </w:p>
    <w:p w:rsidR="00A31137" w:rsidRPr="00A31137" w:rsidRDefault="00A31137" w:rsidP="00A31137">
      <w:r w:rsidRPr="00A31137">
        <w:t>1992, Gade v. Nat'l Solid Wastes Mgmt. Assn., 505 U.S. 105</w:t>
      </w:r>
    </w:p>
    <w:p w:rsidR="00A31137" w:rsidRPr="00A31137" w:rsidRDefault="00A31137" w:rsidP="00A31137">
      <w:r w:rsidRPr="00A31137">
        <w:t>The OSH Act defines an "occupational safety and health standard" as</w:t>
      </w:r>
    </w:p>
    <w:p w:rsidR="00A31137" w:rsidRPr="00A31137" w:rsidRDefault="00A31137" w:rsidP="00A31137">
      <w:r w:rsidRPr="00A31137">
        <w:t>1992, Gade v. Nat'l Solid Wastes Mgmt. Assn., 505 U.S. 105</w:t>
      </w:r>
    </w:p>
    <w:p w:rsidR="00A31137" w:rsidRPr="00A31137" w:rsidRDefault="00A31137" w:rsidP="00A31137">
      <w:r w:rsidRPr="00A31137">
        <w:t>a standard which requires conditions, or the adoption or use of one or more practices, means, methods, operations, or processes, reasonably necessary or appropriate to provide safe or healthful employment and places of employment.</w:t>
      </w:r>
    </w:p>
    <w:p w:rsidR="00A31137" w:rsidRPr="00A31137" w:rsidRDefault="00A31137" w:rsidP="00A31137">
      <w:r w:rsidRPr="00A31137">
        <w:t>1992, Gade v. Nat'l Solid Wastes Mgmt. Assn., 505 U.S. 105</w:t>
      </w:r>
    </w:p>
    <w:p w:rsidR="00A31137" w:rsidRPr="00A31137" w:rsidRDefault="00A31137" w:rsidP="00A31137">
      <w:r w:rsidRPr="00A31137">
        <w:t>29 U.S.C. § 652(8). Any state law requirement designed to promote health and safety in the workplace falls neatly within the Act's definition of an "occupational safety and health standard." Clearly, under this definition, a state law that expressly declares a legislative purpose of regulating occupational health and safety would, in the absence of an approved state plan, be preempted by an OSHA standard regulating the same subject matter. But petitioner asserts that, if the state legislature articulates a purpose other than (or in addition to) workplace health and safety, then the OSH Act loses its preemptive force. We disagree.</w:t>
      </w:r>
    </w:p>
    <w:p w:rsidR="00A31137" w:rsidRPr="00A31137" w:rsidRDefault="00A31137" w:rsidP="00A31137">
      <w:r w:rsidRPr="00A31137">
        <w:t>1992, Gade v. Nat'l Solid Wastes Mgmt. Assn., 505 U.S. 105</w:t>
      </w:r>
    </w:p>
    <w:p w:rsidR="00A31137" w:rsidRPr="00A31137" w:rsidRDefault="00A31137" w:rsidP="00A31137">
      <w:r w:rsidRPr="00A31137">
        <w:t>Although</w:t>
      </w:r>
    </w:p>
    <w:p w:rsidR="00A31137" w:rsidRPr="00A31137" w:rsidRDefault="00A31137" w:rsidP="00A31137">
      <w:r w:rsidRPr="00A31137">
        <w:t>1992, Gade v. Nat'l Solid Wastes Mgmt. Assn., 505 U.S. 105</w:t>
      </w:r>
    </w:p>
    <w:p w:rsidR="00A31137" w:rsidRPr="00A31137" w:rsidRDefault="00A31137" w:rsidP="00A31137">
      <w:r w:rsidRPr="00A31137">
        <w:t>part of the preempted field is defined by reference to the purpose of the state law in question,…another part of the field is defined by the state law's actual effect.</w:t>
      </w:r>
    </w:p>
    <w:p w:rsidR="00A31137" w:rsidRPr="00A31137" w:rsidRDefault="00A31137" w:rsidP="00A31137">
      <w:r w:rsidRPr="00A31137">
        <w:t>1992, Gade v. Nat'l Solid Wastes Mgmt. Assn., 505 U.S. 105</w:t>
      </w:r>
    </w:p>
    <w:p w:rsidR="00A31137" w:rsidRPr="00A31137" w:rsidRDefault="00A31137" w:rsidP="00A31137">
      <w:r w:rsidRPr="00A31137">
        <w:t>English v. General Electric Co., 496 U.S. 72, 84 (1990) (citing Pacific Gas &amp; Electric Co. v. State Energy Resources Conservation and Development Comm'n, 461 U.S. 190, 212-213 (1983)). In assessing the impact of a state law on the federal scheme, we have refused to rely solely on the legislature's professed purpose and have looked as well to the effects of the law. As we explained over two decades ago:</w:t>
      </w:r>
    </w:p>
    <w:p w:rsidR="00A31137" w:rsidRPr="00A31137" w:rsidRDefault="00A31137" w:rsidP="00A31137">
      <w:r w:rsidRPr="00A31137">
        <w:t>1992, Gade v. Nat'l Solid Wastes Mgmt. Assn., 505 U.S. 105</w:t>
      </w:r>
    </w:p>
    <w:p w:rsidR="00A31137" w:rsidRPr="00A31137" w:rsidRDefault="00A31137" w:rsidP="00A31137">
      <w:r w:rsidRPr="00A31137">
        <w:t>We can no longer adhere to the aberrational doctrine…that state law may frustrate the operation of federal [505 U.S. 106] law as long as the state legislature in passing its law had some purpose in mind other than one of frustration. Apart from the fact that it is at odds with the approach taken in nearly all our Supremacy Clause cases, such a doctrine would enable state legislatures to nullify nearly all unwanted federal legislation by simply publishing a legislative committee report articulating some state interest or policy—other than frustration of the federal objective—that would be tangentially furthered by the proposed state law…. [A]ny state legislation which frustrates the full effectiveness of federal law is rendered invalid by the Supremacy Clause.</w:t>
      </w:r>
    </w:p>
    <w:p w:rsidR="00A31137" w:rsidRPr="00A31137" w:rsidRDefault="00A31137" w:rsidP="00A31137">
      <w:r w:rsidRPr="00A31137">
        <w:t>1992, Gade v. Nat'l Solid Wastes Mgmt. Assn., 505 U.S. 106</w:t>
      </w:r>
    </w:p>
    <w:p w:rsidR="00A31137" w:rsidRPr="00A31137" w:rsidRDefault="00A31137" w:rsidP="00A31137">
      <w:r w:rsidRPr="00A31137">
        <w:t>Perez v. Campbell, 402 U.S. at 651-652. See also Florida Lime &amp; Avocado Growers, Inc. v. Paul, 373 U.S. at 141-142 (focus on "whether the purposes of the two laws are parallel or divergent" tends to "obscure more than aid" in determining whether state law is preempted by federal law) (emphasis deleted); Hughes v. Oklahoma, 441 U.S. 322, 336 (1979) ("[W]hen considering the purpose of a challenged statute, this Court is not bound by '[t]he name, description or characterization given it by the legislature or the courts of the State,' but will determine for itself the practical impact of the law") (quoting Lacoste v. Louisiana Dept. of Conservation, 263 U.S. 545, 550 (1924)); Napier v. Atlantic Coast Line R. Co., 272 U.S. 605, 612 (1926) (preemption analysis turns not on whether federal and state laws "are aimed at distinct and different evils," but whether they "operate upon the same object").</w:t>
      </w:r>
    </w:p>
    <w:p w:rsidR="00A31137" w:rsidRPr="00A31137" w:rsidRDefault="00A31137" w:rsidP="00A31137">
      <w:r w:rsidRPr="00A31137">
        <w:t>1992, Gade v. Nat'l Solid Wastes Mgmt. Assn., 505 U.S. 106</w:t>
      </w:r>
    </w:p>
    <w:p w:rsidR="00A31137" w:rsidRPr="00A31137" w:rsidRDefault="00A31137" w:rsidP="00A31137">
      <w:r w:rsidRPr="00A31137">
        <w:t>Our precedents leave no doubt that a dual impact state regulation cannot avoid OSH Act preemption simply because the regulation serves several objectives, rather than one. As the Court of Appeals observed,</w:t>
      </w:r>
    </w:p>
    <w:p w:rsidR="00A31137" w:rsidRPr="00A31137" w:rsidRDefault="00A31137" w:rsidP="00A31137">
      <w:r w:rsidRPr="00A31137">
        <w:t>1992, Gade v. Nat'l Solid Wastes Mgmt. Assn., 505 U.S. 106</w:t>
      </w:r>
    </w:p>
    <w:p w:rsidR="00A31137" w:rsidRPr="00A31137" w:rsidRDefault="00A31137" w:rsidP="00A31137">
      <w:r w:rsidRPr="00A31137">
        <w:t>[i]t would defeat the purpose of section 18 if a state could enact measures stricter than OSHA's and largely accomplished through regulation of worker health and safety simply by asserting a non-occupational purpose for the legislation.</w:t>
      </w:r>
    </w:p>
    <w:p w:rsidR="00A31137" w:rsidRPr="00A31137" w:rsidRDefault="00A31137" w:rsidP="00A31137">
      <w:r w:rsidRPr="00A31137">
        <w:t>1992, Gade v. Nat'l Solid Wastes Mgmt. Assn., 505 U.S. 106</w:t>
      </w:r>
    </w:p>
    <w:p w:rsidR="00A31137" w:rsidRPr="00A31137" w:rsidRDefault="00A31137" w:rsidP="00A31137">
      <w:r w:rsidRPr="00A31137">
        <w:t>918 F.2d at 679. [505 U.S. 107] Whatever the purpose or purposes of the state law, preemption analysis cannot ignore the effect of the challenged state action on the preempted field. The key question is thus at what point the state regulation sufficiently interferes with federal regulation that it should be deemed preempted under the Act.</w:t>
      </w:r>
    </w:p>
    <w:p w:rsidR="00A31137" w:rsidRPr="00A31137" w:rsidRDefault="00A31137" w:rsidP="00A31137">
      <w:r w:rsidRPr="00A31137">
        <w:t>1992, Gade v. Nat'l Solid Wastes Mgmt. Assn., 505 U.S. 107</w:t>
      </w:r>
    </w:p>
    <w:p w:rsidR="00A31137" w:rsidRPr="00A31137" w:rsidRDefault="00A31137" w:rsidP="00A31137">
      <w:r w:rsidRPr="00A31137">
        <w:t>In English v. General Electric Co., supra, we held that a state tort claim brought by an employee of a nuclear fuels production facility against her employer was not preempted by a federal whistleblower provision because the state law did not have a "direct and substantial effect" on the federal scheme. Id., 496 U.S. at 85. In the decision below, the Court of Appeals relied on English to hold that, in the absence of the approval of the Secretary, the OSH Act preempts all state law that "constitutes, in a direct, clear and substantial way, regulation of worker health and safety." 918 F.2d at 679. We agree that this is the appropriate standard for determining OSH Act preemption. On the other hand, state laws of general applicability (such as laws regarding traffic safety or fire safety) that do not conflict with OSHA standards and that regulate the conduct of workers and nonworkers alike would generally not be preempted. Although some laws of general applicability may have a "direct and substantial" effect on worker safety, they cannot fairly be characterized as "occupational" standards, because they regulate workers simply as members of the general public. In this case, we agree with the court below that a law directed at workplace safety is not saved from preemption simply because the State can demonstrate some additional effect outside of the workplace.</w:t>
      </w:r>
    </w:p>
    <w:p w:rsidR="00A31137" w:rsidRPr="00A31137" w:rsidRDefault="00A31137" w:rsidP="00A31137">
      <w:r w:rsidRPr="00A31137">
        <w:t>1992, Gade v. Nat'l Solid Wastes Mgmt. Assn., 505 U.S. 107</w:t>
      </w:r>
    </w:p>
    <w:p w:rsidR="00A31137" w:rsidRPr="00A31137" w:rsidRDefault="00A31137" w:rsidP="00A31137">
      <w:r w:rsidRPr="00A31137">
        <w:t>In sum, a state law requirement that directly, substantially, and specifically regulates occupational safety and health is an occupational safety and health standard within the meaning of the Act. That such a law may also have a nonoccupational impact does not render it any less of an occupational standard for purposes of preemption analysis. [505 U.S. 108] If the State wishes to enact a dual impact law that regulates an occupational safety or health issue for which a federal standard is in effect, § 18 of the Act requires that the State submit a plan for the approval of the Secretary.</w:t>
      </w:r>
    </w:p>
    <w:p w:rsidR="00A31137" w:rsidRPr="00A31137" w:rsidRDefault="00A31137" w:rsidP="00A31137">
      <w:r w:rsidRPr="00A31137">
        <w:t>IV</w:t>
      </w:r>
    </w:p>
    <w:p w:rsidR="00A31137" w:rsidRPr="00A31137" w:rsidRDefault="00A31137" w:rsidP="00A31137">
      <w:r w:rsidRPr="00A31137">
        <w:t>1992, Gade v. Nat'l Solid Wastes Mgmt. Assn., 505 U.S. 108</w:t>
      </w:r>
    </w:p>
    <w:p w:rsidR="00A31137" w:rsidRPr="00A31137" w:rsidRDefault="00A31137" w:rsidP="00A31137">
      <w:r w:rsidRPr="00A31137">
        <w:t>We recognize that</w:t>
      </w:r>
    </w:p>
    <w:p w:rsidR="00A31137" w:rsidRPr="00A31137" w:rsidRDefault="00A31137" w:rsidP="00A31137">
      <w:r w:rsidRPr="00A31137">
        <w:t>1992, Gade v. Nat'l Solid Wastes Mgmt. Assn., 505 U.S. 108</w:t>
      </w:r>
    </w:p>
    <w:p w:rsidR="00A31137" w:rsidRPr="00A31137" w:rsidRDefault="00A31137" w:rsidP="00A31137">
      <w:r w:rsidRPr="00A31137">
        <w:t>the States have a compelling interest in the practice of professions within their boundaries, and that, as part of their power to protect the public health, safety, and other valid interests, they have broad power to establish standards for licensing practitioners and regulating the practice of professions.</w:t>
      </w:r>
    </w:p>
    <w:p w:rsidR="00A31137" w:rsidRPr="00A31137" w:rsidRDefault="00A31137" w:rsidP="00A31137">
      <w:r w:rsidRPr="00A31137">
        <w:t>1992, Gade v. Nat'l Solid Wastes Mgmt. Assn., 505 U.S. 108</w:t>
      </w:r>
    </w:p>
    <w:p w:rsidR="00A31137" w:rsidRPr="00A31137" w:rsidRDefault="00A31137" w:rsidP="00A31137">
      <w:r w:rsidRPr="00A31137">
        <w:t>Goldfarb v. Virginia State Bar, 421 U.S. 773,  792 (1975); see also Ferguson v. Skrupa, 372 U.S. 726,  731 (1963); Dent v. West Virginia, 129 U.S. 114,  122 (1889). But under the Supremacy Clause, from which our preemption doctrine is derived,</w:t>
      </w:r>
    </w:p>
    <w:p w:rsidR="00A31137" w:rsidRPr="00A31137" w:rsidRDefault="00A31137" w:rsidP="00A31137">
      <w:r w:rsidRPr="00A31137">
        <w:t>1992, Gade v. Nat'l Solid Wastes Mgmt. Assn., 505 U.S. 108</w:t>
      </w:r>
    </w:p>
    <w:p w:rsidR="00A31137" w:rsidRPr="00A31137" w:rsidRDefault="00A31137" w:rsidP="00A31137">
      <w:r w:rsidRPr="00A31137">
        <w:t>any state law, however clearly within a State's acknowledged power, which interferes with or is contrary to federal law, must yield.</w:t>
      </w:r>
    </w:p>
    <w:p w:rsidR="00A31137" w:rsidRPr="00A31137" w:rsidRDefault="00A31137" w:rsidP="00A31137">
      <w:r w:rsidRPr="00A31137">
        <w:t>1992, Gade v. Nat'l Solid Wastes Mgmt. Assn., 505 U.S. 108</w:t>
      </w:r>
    </w:p>
    <w:p w:rsidR="00A31137" w:rsidRPr="00A31137" w:rsidRDefault="00A31137" w:rsidP="00A31137">
      <w:r w:rsidRPr="00A31137">
        <w:t>Felder v. Casey, 487 U.S. at 138 (quoting Free v. Bland, 369 U.S. 663, 666 (1962)); see also De Canas v. Bica, 424 U.S. 351, 357 (1976) ("even state regulation designed to protect vital state interests must give way to paramount federal legislation"). We therefore reject petitioner's argument that the State's interest in licensing various occupations can save from OSH Act preemption those provisions that directly and substantially affect workplace safety.</w:t>
      </w:r>
    </w:p>
    <w:p w:rsidR="00A31137" w:rsidRPr="00A31137" w:rsidRDefault="00A31137" w:rsidP="00A31137">
      <w:r w:rsidRPr="00A31137">
        <w:t>1992, Gade v. Nat'l Solid Wastes Mgmt. Assn., 505 U.S. 108</w:t>
      </w:r>
    </w:p>
    <w:p w:rsidR="00A31137" w:rsidRPr="00A31137" w:rsidRDefault="00A31137" w:rsidP="00A31137">
      <w:r w:rsidRPr="00A31137">
        <w:t>We also reject petitioner's argument that the Illinois acts do not regulate occupational safety and health at all, but are instead a "precondition" to employment. By that reasoning, the OSHA regulations themselves would not be considered occupational standards. SARA, however, makes clear that the training of employees engaged in hazardous waste operations is an occupational safety and health issue, see supra at  92, and that certification requirements before an employee may engage in such work are occupational safety and health standards, see ibid. Because neither [505 U.S. 109] of the OSH Act's saving provisions are implicated, and because Illinois does not have an approved state plan under § 18(b), the state licensing acts are preempted by the OSH Act to the extent they establish occupational safety and health standards for training those who work with hazardous wastes. Like the Court of Appeals, we do not specifically consider which of the licensing acts' provisions will stand or fall under the preemption analysis set forth above.</w:t>
      </w:r>
    </w:p>
    <w:p w:rsidR="00A31137" w:rsidRPr="00A31137" w:rsidRDefault="00A31137" w:rsidP="00A31137">
      <w:r w:rsidRPr="00A31137">
        <w:t>1992, Gade v. Nat'l Solid Wastes Mgmt. Assn., 505 U.S. 109</w:t>
      </w:r>
    </w:p>
    <w:p w:rsidR="00A31137" w:rsidRPr="00A31137" w:rsidRDefault="00A31137" w:rsidP="00A31137">
      <w:r w:rsidRPr="00A31137">
        <w:t>The judgment of the Court of Appeals is hereby</w:t>
      </w:r>
    </w:p>
    <w:p w:rsidR="00A31137" w:rsidRPr="00A31137" w:rsidRDefault="00A31137" w:rsidP="00A31137">
      <w:r w:rsidRPr="00A31137">
        <w:t>1992, Gade v. Nat'l Solid Wastes Mgmt. Assn., 505 U.S. 109</w:t>
      </w:r>
    </w:p>
    <w:p w:rsidR="00A31137" w:rsidRPr="00A31137" w:rsidRDefault="00A31137" w:rsidP="00A31137">
      <w:r w:rsidRPr="00A31137">
        <w:t>Affirmed.</w:t>
      </w:r>
    </w:p>
    <w:p w:rsidR="00A31137" w:rsidRPr="00A31137" w:rsidRDefault="00A31137" w:rsidP="00A31137">
      <w:r w:rsidRPr="00A31137">
        <w:t>KENNEDY, J., concurring</w:t>
      </w:r>
    </w:p>
    <w:p w:rsidR="00A31137" w:rsidRPr="00A31137" w:rsidRDefault="00A31137" w:rsidP="00A31137">
      <w:r w:rsidRPr="00A31137">
        <w:t>1992, Gade v. Nat'l Solid Wastes Mgmt. Assn., 505 U.S. 109</w:t>
      </w:r>
    </w:p>
    <w:p w:rsidR="00A31137" w:rsidRPr="00A31137" w:rsidRDefault="00A31137" w:rsidP="00A31137">
      <w:r w:rsidRPr="00A31137">
        <w:t>JUSTICE KENNEDY, concurring in part and concurring in the judgment.</w:t>
      </w:r>
    </w:p>
    <w:p w:rsidR="00A31137" w:rsidRPr="00A31137" w:rsidRDefault="00A31137" w:rsidP="00A31137">
      <w:r w:rsidRPr="00A31137">
        <w:t>1992, Gade v. Nat'l Solid Wastes Mgmt. Assn., 505 U.S. 109</w:t>
      </w:r>
    </w:p>
    <w:p w:rsidR="00A31137" w:rsidRPr="00A31137" w:rsidRDefault="00A31137" w:rsidP="00A31137">
      <w:r w:rsidRPr="00A31137">
        <w:t>Though I concur in the Court's judgment and with the ultimate conclusion that the state law is preempted, I would find express preemption from the terms of the federal statute. I cannot agree that we should denominate this case as one of implied preemption. The contrary view of the plurality is based on an undue expansion of our implied preemption jurisprudence which, in my view, is neither wise nor necessary.</w:t>
      </w:r>
    </w:p>
    <w:p w:rsidR="00A31137" w:rsidRPr="00A31137" w:rsidRDefault="00A31137" w:rsidP="00A31137">
      <w:r w:rsidRPr="00A31137">
        <w:t>1992, Gade v. Nat'l Solid Wastes Mgmt. Assn., 505 U.S. 109</w:t>
      </w:r>
    </w:p>
    <w:p w:rsidR="00A31137" w:rsidRPr="00A31137" w:rsidRDefault="00A31137" w:rsidP="00A31137">
      <w:r w:rsidRPr="00A31137">
        <w:t>As both the majority and dissent acknowledge, we have identified three circumstances in which a federal statute preempts state law: first, Congress can adopt express language defining the existence and scope of preemption. Second, state law is preempted where Congress creates a scheme of federal regulation so pervasive as to leave no room for supplementary state regulation. And third, "state law is preempted to the extent that it actually conflicts with federal law." English v. General Electric Co., 496 U.S. 72, 78-79 (1990); ante at  98; post at  115. This third form of preemption, so-called actual conflict preemption, occurs either</w:t>
      </w:r>
    </w:p>
    <w:p w:rsidR="00A31137" w:rsidRPr="00A31137" w:rsidRDefault="00A31137" w:rsidP="00A31137">
      <w:r w:rsidRPr="00A31137">
        <w:t>1992, Gade v. Nat'l Solid Wastes Mgmt. Assn., 505 U.S. 109</w:t>
      </w:r>
    </w:p>
    <w:p w:rsidR="00A31137" w:rsidRPr="00A31137" w:rsidRDefault="00A31137" w:rsidP="00A31137">
      <w:r w:rsidRPr="00A31137">
        <w:t>where it is impossible for a private party to comply with both state and federal requirements…or where state law "stands as an obstacle to the accomplishment and execution of the full purposes and objectives of Congress."</w:t>
      </w:r>
    </w:p>
    <w:p w:rsidR="00A31137" w:rsidRPr="00A31137" w:rsidRDefault="00A31137" w:rsidP="00A31137">
      <w:r w:rsidRPr="00A31137">
        <w:t>1992, Gade v. Nat'l Solid Wastes Mgmt. Assn., 505 U.S. 109</w:t>
      </w:r>
    </w:p>
    <w:p w:rsidR="00A31137" w:rsidRPr="00A31137" w:rsidRDefault="00A31137" w:rsidP="00A31137">
      <w:r w:rsidRPr="00A31137">
        <w:t>English, [505 U.S. 110] supra, at 79 (quoting Hines v. Davidowitz, 312 U.S. 52,  67 (1941)). The plurality would hold today that state occupational safety and health standards regulating an issue on which a federal standard exists conflict with Congress' purpose to "subject employers and employees to only one set of regulations." Ante at  99. This is not an application of our preemption standards; it is but a conclusory statement of preemption, as it assumes that Congress intended exclusive federal jurisdiction. I do not see how such a mode of analysis advances our consideration of the case.</w:t>
      </w:r>
    </w:p>
    <w:p w:rsidR="00A31137" w:rsidRPr="00A31137" w:rsidRDefault="00A31137" w:rsidP="00A31137">
      <w:r w:rsidRPr="00A31137">
        <w:t>1992, Gade v. Nat'l Solid Wastes Mgmt. Assn., 505 U.S. 110</w:t>
      </w:r>
    </w:p>
    <w:p w:rsidR="00A31137" w:rsidRPr="00A31137" w:rsidRDefault="00A31137" w:rsidP="00A31137">
      <w:r w:rsidRPr="00A31137">
        <w:t>Our decisions establish that a high threshold must be met if a state law is to be preempted for conflicting with the purposes of a federal Act. Any conflict must be</w:t>
      </w:r>
    </w:p>
    <w:p w:rsidR="00A31137" w:rsidRPr="00A31137" w:rsidRDefault="00A31137" w:rsidP="00A31137">
      <w:r w:rsidRPr="00A31137">
        <w:t>1992, Gade v. Nat'l Solid Wastes Mgmt. Assn., 505 U.S. 110</w:t>
      </w:r>
    </w:p>
    <w:p w:rsidR="00A31137" w:rsidRPr="00A31137" w:rsidRDefault="00A31137" w:rsidP="00A31137">
      <w:r w:rsidRPr="00A31137">
        <w:t>irreconcilable…. The existence of a hypothetical or potential conflict is insufficient to warrant the preemption of the state statute.</w:t>
      </w:r>
    </w:p>
    <w:p w:rsidR="00A31137" w:rsidRPr="00A31137" w:rsidRDefault="00A31137" w:rsidP="00A31137">
      <w:r w:rsidRPr="00A31137">
        <w:t>1992, Gade v. Nat'l Solid Wastes Mgmt. Assn., 505 U.S. 110</w:t>
      </w:r>
    </w:p>
    <w:p w:rsidR="00A31137" w:rsidRPr="00A31137" w:rsidRDefault="00A31137" w:rsidP="00A31137">
      <w:r w:rsidRPr="00A31137">
        <w:t>Rice v. Norman Williams Co., 458 U.S. 654, 659 (1982); see also English, supra, 496 U.S. at 90 ("The 'teaching of this Court's decisions…enjoin[s] seeking out conflicts between state and federal regulation where none clearly exists.'" (quoting Huron Portland Cement Co. v. Detroit, 362 U.S. 440, 446 (1960))); Pacific Gas &amp; Elec. Co. v. State Energy Resources Conservation and Development Comm'n, 461 U.S. 190, 222-223 (1983). In my view, this type of preemption should be limited to state laws which impose prohibitions or obligations which are in direct contradiction to Congress' primary objectives, as conveyed with clarity in the federal legislation.</w:t>
      </w:r>
    </w:p>
    <w:p w:rsidR="00A31137" w:rsidRPr="00A31137" w:rsidRDefault="00A31137" w:rsidP="00A31137">
      <w:r w:rsidRPr="00A31137">
        <w:t>1992, Gade v. Nat'l Solid Wastes Mgmt. Assn., 505 U.S. 110</w:t>
      </w:r>
    </w:p>
    <w:p w:rsidR="00A31137" w:rsidRPr="00A31137" w:rsidRDefault="00A31137" w:rsidP="00A31137">
      <w:r w:rsidRPr="00A31137">
        <w:t>I do not believe that supplementary state regulation of an occupational safety and health issue can be said to create the sort of actual conflict required by our decisions. The purpose of state supplementary regulation, like the federal standards promulgated by the Occupational Safety and Health Administration (OSHA), is to protect worker safety and health. Any potential tension between a scheme of federal regulation of the workplace and a concurrent, supplementary state scheme would not, in my view, rise to the level [505 U.S. 111] of "actual conflict" described in our preemption cases. Absent the express provisions of § 18 of the Occupational Safety and Health Act of 1970 (OSH), 29 U.S.C. § 667, I would not say that state supplementary regulation conflicts with the purposes of the OSH Act, or that it "interferes with the methods by which the federal statute was designed to reach [its] goal." Ante at  103 (quoting International Paper Co. v. Ouellette, 479 U.S. 481, 494 (1987)).</w:t>
      </w:r>
    </w:p>
    <w:p w:rsidR="00A31137" w:rsidRPr="00A31137" w:rsidRDefault="00A31137" w:rsidP="00A31137">
      <w:r w:rsidRPr="00A31137">
        <w:t>1992, Gade v. Nat'l Solid Wastes Mgmt. Assn., 505 U.S. 111</w:t>
      </w:r>
    </w:p>
    <w:p w:rsidR="00A31137" w:rsidRPr="00A31137" w:rsidRDefault="00A31137" w:rsidP="00A31137">
      <w:r w:rsidRPr="00A31137">
        <w:t>The plurality's broad view of actual conflict preemption is contrary to two basic principles of our preemption jurisprudence. First, we begin</w:t>
      </w:r>
    </w:p>
    <w:p w:rsidR="00A31137" w:rsidRPr="00A31137" w:rsidRDefault="00A31137" w:rsidP="00A31137">
      <w:r w:rsidRPr="00A31137">
        <w:t>1992, Gade v. Nat'l Solid Wastes Mgmt. Assn., 505 U.S. 111</w:t>
      </w:r>
    </w:p>
    <w:p w:rsidR="00A31137" w:rsidRPr="00A31137" w:rsidRDefault="00A31137" w:rsidP="00A31137">
      <w:r w:rsidRPr="00A31137">
        <w:t>with the assumption that the historic police powers of the States [are] not to be superseded…unless that was the clear and manifest purpose of Congress,</w:t>
      </w:r>
    </w:p>
    <w:p w:rsidR="00A31137" w:rsidRPr="00A31137" w:rsidRDefault="00A31137" w:rsidP="00A31137">
      <w:r w:rsidRPr="00A31137">
        <w:t>1992, Gade v. Nat'l Solid Wastes Mgmt. Assn., 505 U.S. 111</w:t>
      </w:r>
    </w:p>
    <w:p w:rsidR="00A31137" w:rsidRPr="00A31137" w:rsidRDefault="00A31137" w:rsidP="00A31137">
      <w:r w:rsidRPr="00A31137">
        <w:t>Rice v. Santa Fe Elevator Corp., 331 U.S. 218,  230 (1947); see also ante at  96. Second, "'the purpose of Congress is the ultimate touchstone'" in all preemption cases. Malone v. White Motor Corp., 435 U.S. 497, 504 (1978) (quoting Retail Clerks v. Schermerhorn, 375 U.S. 96, 103 (1963)). A freewheeling judicial inquiry into whether a state statute is in tension with federal objectives would undercut the principle that it is Congress, rather than the courts, that preempts state law.</w:t>
      </w:r>
    </w:p>
    <w:p w:rsidR="00A31137" w:rsidRPr="00A31137" w:rsidRDefault="00A31137" w:rsidP="00A31137">
      <w:r w:rsidRPr="00A31137">
        <w:t>1992, Gade v. Nat'l Solid Wastes Mgmt. Assn., 505 U.S. 111</w:t>
      </w:r>
    </w:p>
    <w:p w:rsidR="00A31137" w:rsidRPr="00A31137" w:rsidRDefault="00A31137" w:rsidP="00A31137">
      <w:r w:rsidRPr="00A31137">
        <w:t>Nonetheless, I agree with the Court that</w:t>
      </w:r>
    </w:p>
    <w:p w:rsidR="00A31137" w:rsidRPr="00A31137" w:rsidRDefault="00A31137" w:rsidP="00A31137">
      <w:r w:rsidRPr="00A31137">
        <w:t>1992, Gade v. Nat'l Solid Wastes Mgmt. Assn., 505 U.S. 111</w:t>
      </w:r>
    </w:p>
    <w:p w:rsidR="00A31137" w:rsidRPr="00A31137" w:rsidRDefault="00A31137" w:rsidP="00A31137">
      <w:r w:rsidRPr="00A31137">
        <w:t>the OSH Act preempts all state "occupational safety and health standards relating to any occupational safety or health issue with respect to which a Federal standard has been promulgated."</w:t>
      </w:r>
    </w:p>
    <w:p w:rsidR="00A31137" w:rsidRPr="00A31137" w:rsidRDefault="00A31137" w:rsidP="00A31137">
      <w:r w:rsidRPr="00A31137">
        <w:t>1992, Gade v. Nat'l Solid Wastes Mgmt. Assn., 505 U.S. 111</w:t>
      </w:r>
    </w:p>
    <w:p w:rsidR="00A31137" w:rsidRPr="00A31137" w:rsidRDefault="00A31137" w:rsidP="00A31137">
      <w:r w:rsidRPr="00A31137">
        <w:t>Ante at  105 (quoting 29 U.S.C. § 667(b)). I believe, however, that this result is mandated by the express terms of § 18(b) of the OSH Act. It follows from this that the preemptive scope of the Act is also limited to the language of the statute. When the existence of preemption is evident from the statutory text, our inquiry must begin and end with the statutory framework itself.</w:t>
      </w:r>
    </w:p>
    <w:p w:rsidR="00A31137" w:rsidRPr="00A31137" w:rsidRDefault="00A31137" w:rsidP="00A31137">
      <w:r w:rsidRPr="00A31137">
        <w:t>1992, Gade v. Nat'l Solid Wastes Mgmt. Assn., 505 U.S. 111</w:t>
      </w:r>
    </w:p>
    <w:p w:rsidR="00A31137" w:rsidRPr="00A31137" w:rsidRDefault="00A31137" w:rsidP="00A31137">
      <w:r w:rsidRPr="00A31137">
        <w:t>A finding of express preemption in this case is not contrary to our longstanding rule that we will not infer preemption of the States' historic police powers absent a clear [505 U.S. 112] statement of intent by Congress. Rice v. Santa Fe Elevator Corp., supra, 331 U.S. at  230; Jones v. Rath Packing Co., 430 U.S. 519, 525 (1977); English, 496 U.S. at 79. Though most statutes creating express preemption contain an explicit statement to that effect, a statement admittedly lacking in § 18(b), we have never required any particular magic words in our express preemption cases. Our task in all preemption cases is to enforce the "clear and manifest purpose of Congress." Rice v. Santa Fe Elevator Corp., supra, 331 U.S. at  230. We have held, in express preemption cases, that Congress' intent must be divined from the language, structure, and purposes of the statute as a whole. Ingersoll-Rand Co. v. McClendon, 498 U.S. 133, 138 (1990); Pilot Life Ins. Co. v. Dedeaux, 481 U.S. 41, 51 (1987). The language of the OSH statute sets forth a scheme in light of which the provisions of § 18 must be interpreted, and from which the express preemption that displaces state law follows.</w:t>
      </w:r>
    </w:p>
    <w:p w:rsidR="00A31137" w:rsidRPr="00A31137" w:rsidRDefault="00A31137" w:rsidP="00A31137">
      <w:r w:rsidRPr="00A31137">
        <w:t>1992, Gade v. Nat'l Solid Wastes Mgmt. Assn., 505 U.S. 112</w:t>
      </w:r>
    </w:p>
    <w:p w:rsidR="00A31137" w:rsidRPr="00A31137" w:rsidRDefault="00A31137" w:rsidP="00A31137">
      <w:r w:rsidRPr="00A31137">
        <w:t>As the plurality's analysis amply demonstrates, ante at 98-103, Congress has addressed the issue of preemption in the OSH Act. The dissent's position that the Act does not preempt supplementary state regulation becomes most implausible when the language of § 18(b) is considered in conjunction with the other provisions of § 18. Section 18(b) provides as follows:</w:t>
      </w:r>
    </w:p>
    <w:p w:rsidR="00A31137" w:rsidRPr="00A31137" w:rsidRDefault="00A31137" w:rsidP="00A31137">
      <w:r w:rsidRPr="00A31137">
        <w:t>1992, Gade v. Nat'l Solid Wastes Mgmt. Assn., 505 U.S. 112</w:t>
      </w:r>
    </w:p>
    <w:p w:rsidR="00A31137" w:rsidRPr="00A31137" w:rsidRDefault="00A31137" w:rsidP="00A31137">
      <w:r w:rsidRPr="00A31137">
        <w:t>Any State which…desires to assume responsibility for development and enforcement therein of occupational safety and health standards relating to any occupational safety or health issue with respect to which a Federal standard has been promulgated…shall submit a State plan….</w:t>
      </w:r>
    </w:p>
    <w:p w:rsidR="00A31137" w:rsidRPr="00A31137" w:rsidRDefault="00A31137" w:rsidP="00A31137">
      <w:r w:rsidRPr="00A31137">
        <w:t>1992, Gade v. Nat'l Solid Wastes Mgmt. Assn., 505 U.S. 112</w:t>
      </w:r>
    </w:p>
    <w:p w:rsidR="00A31137" w:rsidRPr="00A31137" w:rsidRDefault="00A31137" w:rsidP="00A31137">
      <w:r w:rsidRPr="00A31137">
        <w:t>29 U.S.C. § 667(b) (emphasis added). The statute is clear: When a State desires to assume responsibility for an occupational safety and health issue already addressed by the Federal Government, it must submit a state plan. The most reasonable inference from this language is that, when a State does not submit and secure approval [505 U.S. 113] of a state plan, it may not enforce occupational safety and health standards in that area. Any doubt that this is what Congress intended disappears when subsection (b) is considered in conjunction with subsections (a), (c), and (f). Ante at 100-101. I will not reiterate the plurality's persuasive discussion on this point. Unartful though the language of § 18(b) may be, the structure and language of § 18 leave little doubt that, in the OSH statute, Congress intended to preempt supplementary state regulation of an occupational safety and health issue with respect to which a federal standard exists.</w:t>
      </w:r>
    </w:p>
    <w:p w:rsidR="00A31137" w:rsidRPr="00A31137" w:rsidRDefault="00A31137" w:rsidP="00A31137">
      <w:r w:rsidRPr="00A31137">
        <w:t>1992, Gade v. Nat'l Solid Wastes Mgmt. Assn., 505 U.S. 113</w:t>
      </w:r>
    </w:p>
    <w:p w:rsidR="00A31137" w:rsidRPr="00A31137" w:rsidRDefault="00A31137" w:rsidP="00A31137">
      <w:r w:rsidRPr="00A31137">
        <w:t>In this regard, I disagree with the dissent, see post,  114 and find unconvincing its conclusion that Congress intended to allow concurrent state and federal jurisdiction over occupational safety and health issues. The dissent would give the States, rather than the Federal Government, the power to decide whether, as to any particular occupational safety and health issue, there will exist a single or dual regulatory scheme. Under this theory, the State may choose exclusive federal jurisdiction by not regulating; or exclusive state jurisdiction by submitting a state plan; or dual regulation by adopting supplementary rules, as Illinois did here. That position undermines the authority of OSHA in many respects. For example, § 18(c)(2) of the OSH Act allows OSHA to disapprove state plans which "unduly burden interstate commerce." The dissent would eviscerate this important administrative mechanism by allowing the States to sidestep OSHA's authority through the mechanism of supplementary regulation. See ante at 118-121. Furthermore, concurrent state and federal jurisdiction might interfere with the enforcement of the federal regulations without creating a situation where compliance with both schemes is a physical impossibility, which the dissent would require for preemption. Post at  121; see also Brief for Respondent 32-33. I would not attribute to Congress the intent to create such a hodge-podge scheme of authority. My views in [505 U.S. 114] this regard are confirmed by the fact that OSHA has, as a consistent matter, since the enactment of the OSH Act, viewed § 18 as providing it with exclusive jurisdiction in areas where it issues a standard. 29 CFR § 1901.2 (1991); 36 Fed.Reg. 7006 (1971); Brief for United States as Amicus Curiae 12-21. Therefore, while the dissent may be correct that, as a theoretical matter, the separate provisions of § 18 may be reconciled with allowing concurrent jurisdiction, it is neither a natural nor a sound reading of the statutory scheme.</w:t>
      </w:r>
    </w:p>
    <w:p w:rsidR="00A31137" w:rsidRPr="00A31137" w:rsidRDefault="00A31137" w:rsidP="00A31137">
      <w:r w:rsidRPr="00A31137">
        <w:t>1992, Gade v. Nat'l Solid Wastes Mgmt. Assn., 505 U.S. 114</w:t>
      </w:r>
    </w:p>
    <w:p w:rsidR="00A31137" w:rsidRPr="00A31137" w:rsidRDefault="00A31137" w:rsidP="00A31137">
      <w:r w:rsidRPr="00A31137">
        <w:t>The necessary implication of finding express preemption in this case is that the preemptive scope of the OSH Act is defined by the language of § 18(b). Because this provision requires federal approval of state occupational safety and health standards alone, only state laws fitting within that description are preempted. For that reason, I agree with the Court that state laws of general applicability are not preempted. Ante at  107. I also agree that</w:t>
      </w:r>
    </w:p>
    <w:p w:rsidR="00A31137" w:rsidRPr="00A31137" w:rsidRDefault="00A31137" w:rsidP="00A31137">
      <w:r w:rsidRPr="00A31137">
        <w:t>1992, Gade v. Nat'l Solid Wastes Mgmt. Assn., 505 U.S. 114</w:t>
      </w:r>
    </w:p>
    <w:p w:rsidR="00A31137" w:rsidRPr="00A31137" w:rsidRDefault="00A31137" w:rsidP="00A31137">
      <w:r w:rsidRPr="00A31137">
        <w:t>a state law requirement that directly, substantially, and specifically regulates occupational safety and health is an occupational safety and health standard within the meaning of the Act,</w:t>
      </w:r>
    </w:p>
    <w:p w:rsidR="00A31137" w:rsidRPr="00A31137" w:rsidRDefault="00A31137" w:rsidP="00A31137">
      <w:r w:rsidRPr="00A31137">
        <w:t>1992, Gade v. Nat'l Solid Wastes Mgmt. Assn., 505 U.S. 114</w:t>
      </w:r>
    </w:p>
    <w:p w:rsidR="00A31137" w:rsidRPr="00A31137" w:rsidRDefault="00A31137" w:rsidP="00A31137">
      <w:r w:rsidRPr="00A31137">
        <w:t>ibid., and therefore falls within the scope of preemption. So-called "dual impact" state regulations which meet this standard are preempted by the OSH Act, regardless of any additional purpose the law may serve, or effect the law may have, outside the workplace. As a final matter, I agree that the Illinois Acts are not saved because they operate through a licensing mechanism, rather than through direct regulation of the workplace. I therefore join all but Part II of the Court's opinion, and concur in the judgment of the Court.</w:t>
      </w:r>
    </w:p>
    <w:p w:rsidR="00A31137" w:rsidRPr="00A31137" w:rsidRDefault="00A31137" w:rsidP="00A31137">
      <w:r w:rsidRPr="00A31137">
        <w:t>SOUTER, J., dissenting</w:t>
      </w:r>
    </w:p>
    <w:p w:rsidR="00A31137" w:rsidRPr="00A31137" w:rsidRDefault="00A31137" w:rsidP="00A31137">
      <w:r w:rsidRPr="00A31137">
        <w:t>1992, Gade v. Nat'l Solid Wastes Mgmt. Assn., 505 U.S. 114</w:t>
      </w:r>
    </w:p>
    <w:p w:rsidR="00A31137" w:rsidRPr="00A31137" w:rsidRDefault="00A31137" w:rsidP="00A31137">
      <w:r w:rsidRPr="00A31137">
        <w:t>JUSTICE SOUTER, with whom JUSTICE BLACKMUN, JUSTICE STEVENS, and JUSTICE THOMAS join, dissenting.</w:t>
      </w:r>
    </w:p>
    <w:p w:rsidR="00A31137" w:rsidRPr="00A31137" w:rsidRDefault="00A31137" w:rsidP="00A31137">
      <w:r w:rsidRPr="00A31137">
        <w:t>1992, Gade v. Nat'l Solid Wastes Mgmt. Assn., 505 U.S. 114</w:t>
      </w:r>
    </w:p>
    <w:p w:rsidR="00A31137" w:rsidRPr="00A31137" w:rsidRDefault="00A31137" w:rsidP="00A31137">
      <w:r w:rsidRPr="00A31137">
        <w:t>The Court holds today that § 18 of the Occupational Safety and Health Act of 1970 (Act), 29 U.S.C. § 667, preempts state regulation of any occupational safety or health issue as [505 U.S. 115] to which there is a federal standard, whether or not the state regulation conflicts with the federal standard in the sense that enforcement of one would preclude application of the other. With respect, I dissent. In light of our rule that federal preemption of state law is only to be found in a clear congressional purpose to supplant exercises of the States' traditional police powers, the text of the Act fails to support the Court's conclusion.</w:t>
      </w:r>
    </w:p>
    <w:p w:rsidR="00A31137" w:rsidRPr="00A31137" w:rsidRDefault="00A31137" w:rsidP="00A31137">
      <w:r w:rsidRPr="00A31137">
        <w:t>I</w:t>
      </w:r>
    </w:p>
    <w:p w:rsidR="00A31137" w:rsidRPr="00A31137" w:rsidRDefault="00A31137" w:rsidP="00A31137">
      <w:r w:rsidRPr="00A31137">
        <w:t>1992, Gade v. Nat'l Solid Wastes Mgmt. Assn., 505 U.S. 115</w:t>
      </w:r>
    </w:p>
    <w:p w:rsidR="00A31137" w:rsidRPr="00A31137" w:rsidRDefault="00A31137" w:rsidP="00A31137">
      <w:r w:rsidRPr="00A31137">
        <w:t>Our cases recognize federal preemption of state law in three variants: express preemption, field preemption, and conflict preemption. Express preemption requires "explicit preemptive language." See Pacific Gas &amp; Electric Co. v. State Energy Resources Conservation and Development Comm'n, 461 U.S. 190, 203 (1983), citing Jones v. Rath Packing Co., 430 U.S. 519, 525 (1977). Field preemption is wrought by a manifestation of congressional intent to occupy an entire field such that, even without a federal rule on some particular matter within the field, state regulation on that matter is preempted, leaving it untouched by either state or federal law. 461 U.S. at 204. Finally, there is conflict preemption in either of two senses. The first is found when compliance with both state and federal law is impossible, ibid., the second when a state law "stands as an obstacle to the accomplishment and execution of the full purposes and objectives of Congress." Hines v. Davidowitz, 312 U.S. 52,  67 (1941).</w:t>
      </w:r>
    </w:p>
    <w:p w:rsidR="00A31137" w:rsidRPr="00A31137" w:rsidRDefault="00A31137" w:rsidP="00A31137">
      <w:r w:rsidRPr="00A31137">
        <w:t>1992, Gade v. Nat'l Solid Wastes Mgmt. Assn., 505 U.S. 115</w:t>
      </w:r>
    </w:p>
    <w:p w:rsidR="00A31137" w:rsidRPr="00A31137" w:rsidRDefault="00A31137" w:rsidP="00A31137">
      <w:r w:rsidRPr="00A31137">
        <w:t>The plurality today finds preemption of this last sort, discerning a conflict between any state legislation on a given issue as to which a federal standard is in effect, and a congressional purpose "to subject employers and employees to only one set of regulations." Ante at  99. Thus, under the plurality's reading, any regulation on an issue as to which a federal standard has been promulgated has been preempted. As one commentator has observed, this kind of purpose-conflict preemption, which occurs when state law is held to [505 U.S. 116] "undermin[e] a congressional decision in favor of national uniformity of standards," presents "a situation similar in practical effect to that of federal occupation of a field." L. Tribe, American Constitutional Law 486 (2d ed.1988). Still, whether the preemption at issue is described as occupation of each narrow field in which a federal standard has been promulgated, as preemption of those regulations that conflict with the federal objective of single regulation, or, as JUSTICE KENNEDY describes it, as express preemption, see ante at  111 (opinion concurring in part and concurring in judgment), the key is congressional intent, and I find the language of the statute insufficient to demonstrate an intent to preempt state law in this way.</w:t>
      </w:r>
    </w:p>
    <w:p w:rsidR="00A31137" w:rsidRPr="00A31137" w:rsidRDefault="00A31137" w:rsidP="00A31137">
      <w:r w:rsidRPr="00A31137">
        <w:t>II</w:t>
      </w:r>
    </w:p>
    <w:p w:rsidR="00A31137" w:rsidRPr="00A31137" w:rsidRDefault="00A31137" w:rsidP="00A31137">
      <w:r w:rsidRPr="00A31137">
        <w:t>1992, Gade v. Nat'l Solid Wastes Mgmt. Assn., 505 U.S. 116</w:t>
      </w:r>
    </w:p>
    <w:p w:rsidR="00A31137" w:rsidRPr="00A31137" w:rsidRDefault="00A31137" w:rsidP="00A31137">
      <w:r w:rsidRPr="00A31137">
        <w:t>Analysis begins with the presumption that "Congress did not intend to displace state law." Maryland v. Louisiana, 451 U.S. 725, 746 (1981).</w:t>
      </w:r>
    </w:p>
    <w:p w:rsidR="00A31137" w:rsidRPr="00A31137" w:rsidRDefault="00A31137" w:rsidP="00A31137">
      <w:r w:rsidRPr="00A31137">
        <w:t>1992, Gade v. Nat'l Solid Wastes Mgmt. Assn., 505 U.S. 116</w:t>
      </w:r>
    </w:p>
    <w:p w:rsidR="00A31137" w:rsidRPr="00A31137" w:rsidRDefault="00A31137" w:rsidP="00A31137">
      <w:r w:rsidRPr="00A31137">
        <w:t>Where, as here, the field which Congress is said to have preempted has been traditionally occupied by the States, see, e.g., U.S.Const., Art. I, § 10; Patapsco Guano Co. v. North Carolina, 171 U.S. 345, 358 (1898),</w:t>
      </w:r>
    </w:p>
    <w:p w:rsidR="00A31137" w:rsidRPr="00A31137" w:rsidRDefault="00A31137" w:rsidP="00A31137">
      <w:r w:rsidRPr="00A31137">
        <w:t>1992, Gade v. Nat'l Solid Wastes Mgmt. Assn., 505 U.S. 116</w:t>
      </w:r>
    </w:p>
    <w:p w:rsidR="00A31137" w:rsidRPr="00A31137" w:rsidRDefault="00A31137" w:rsidP="00A31137">
      <w:r w:rsidRPr="00A31137">
        <w:t>we start with the assumption that the historic police powers of the States were not to be superseded by the Federal Act unless that was the clear and manifest purpose of Congress.</w:t>
      </w:r>
    </w:p>
    <w:p w:rsidR="00A31137" w:rsidRPr="00A31137" w:rsidRDefault="00A31137" w:rsidP="00A31137">
      <w:r w:rsidRPr="00A31137">
        <w:t>1992, Gade v. Nat'l Solid Wastes Mgmt. Assn., 505 U.S. 116</w:t>
      </w:r>
    </w:p>
    <w:p w:rsidR="00A31137" w:rsidRPr="00A31137" w:rsidRDefault="00A31137" w:rsidP="00A31137">
      <w:r w:rsidRPr="00A31137">
        <w:t>Rice v. Santa Fe Elevator Corp., 331 U.S. 218,  230 (1947). This assumption provides assurance that the "federal-state balance," United States v. Bass, 404 U.S. 336, 349 (1971), will not be disturbed unintentionally by Congress, or unnecessarily by the courts. But when Congress has "unmistakably…ordained," Florida Lime &amp; Avocado Growers, Inc. v. Paul, 373 U.S. 132, 142 (1963), that its enactments alone are to regulate a part of commerce, state laws regulating that aspect of commerce must fall.</w:t>
      </w:r>
    </w:p>
    <w:p w:rsidR="00A31137" w:rsidRPr="00A31137" w:rsidRDefault="00A31137" w:rsidP="00A31137">
      <w:r w:rsidRPr="00A31137">
        <w:t>1992, Gade v. Nat'l Solid Wastes Mgmt. Assn., 505 U.S. 116</w:t>
      </w:r>
    </w:p>
    <w:p w:rsidR="00A31137" w:rsidRPr="00A31137" w:rsidRDefault="00A31137" w:rsidP="00A31137">
      <w:r w:rsidRPr="00A31137">
        <w:t>Jones, supra, 430 U.S. at 525. Subject to this principle, the enquiry into the possibly preemptive effect of federal legislation is an exercise of statutory construction. If the statute's terms can be read sensibly [505 U.S. 117] not to have a preemptive effect, the presumption controls and no preemption may be inferred.</w:t>
      </w:r>
    </w:p>
    <w:p w:rsidR="00A31137" w:rsidRPr="00A31137" w:rsidRDefault="00A31137" w:rsidP="00A31137">
      <w:r w:rsidRPr="00A31137">
        <w:t>III</w:t>
      </w:r>
    </w:p>
    <w:p w:rsidR="00A31137" w:rsidRPr="00A31137" w:rsidRDefault="00A31137" w:rsidP="00A31137">
      <w:r w:rsidRPr="00A31137">
        <w:t>1992, Gade v. Nat'l Solid Wastes Mgmt. Assn., 505 U.S. 117</w:t>
      </w:r>
    </w:p>
    <w:p w:rsidR="00A31137" w:rsidRPr="00A31137" w:rsidRDefault="00A31137" w:rsidP="00A31137">
      <w:r w:rsidRPr="00A31137">
        <w:t>At first blush, respondent's strongest argument might seem to rest on § 18(a) of the Act, 29 U.S.C. § 667(a), the full text of which is this:</w:t>
      </w:r>
    </w:p>
    <w:p w:rsidR="00A31137" w:rsidRPr="00A31137" w:rsidRDefault="00A31137" w:rsidP="00A31137">
      <w:r w:rsidRPr="00A31137">
        <w:t>1992, Gade v. Nat'l Solid Wastes Mgmt. Assn., 505 U.S. 117</w:t>
      </w:r>
    </w:p>
    <w:p w:rsidR="00A31137" w:rsidRPr="00A31137" w:rsidRDefault="00A31137" w:rsidP="00A31137">
      <w:r w:rsidRPr="00A31137">
        <w:t>(a) Assertion of State standards in absence of applicable Federal standards</w:t>
      </w:r>
    </w:p>
    <w:p w:rsidR="00A31137" w:rsidRPr="00A31137" w:rsidRDefault="00A31137" w:rsidP="00A31137">
      <w:r w:rsidRPr="00A31137">
        <w:t>1992, Gade v. Nat'l Solid Wastes Mgmt. Assn., 505 U.S. 117</w:t>
      </w:r>
    </w:p>
    <w:p w:rsidR="00A31137" w:rsidRPr="00A31137" w:rsidRDefault="00A31137" w:rsidP="00A31137">
      <w:r w:rsidRPr="00A31137">
        <w:t>Nothing in this chapter shall prevent any State agency or court from asserting jurisdiction under State law over any occupational safety or health issue with respect to which no standard is in effect under section 655 of this title.</w:t>
      </w:r>
    </w:p>
    <w:p w:rsidR="00A31137" w:rsidRPr="00A31137" w:rsidRDefault="00A31137" w:rsidP="00A31137">
      <w:r w:rsidRPr="00A31137">
        <w:t>1992, Gade v. Nat'l Solid Wastes Mgmt. Assn., 505 U.S. 117</w:t>
      </w:r>
    </w:p>
    <w:p w:rsidR="00A31137" w:rsidRPr="00A31137" w:rsidRDefault="00A31137" w:rsidP="00A31137">
      <w:r w:rsidRPr="00A31137">
        <w:t>That is to say, where there is no federal standard in effect, there is no preemption. The plurality reasons that there must be preemption, however, when there is a federal standard in effect, else § 18(a) would be rendered superfluous, because "there is no possibility of conflict where there is no federal regulation." Ante at  100.</w:t>
      </w:r>
    </w:p>
    <w:p w:rsidR="00A31137" w:rsidRPr="00A31137" w:rsidRDefault="00A31137" w:rsidP="00A31137">
      <w:r w:rsidRPr="00A31137">
        <w:t>1992, Gade v. Nat'l Solid Wastes Mgmt. Assn., 505 U.S. 117</w:t>
      </w:r>
    </w:p>
    <w:p w:rsidR="00A31137" w:rsidRPr="00A31137" w:rsidRDefault="00A31137" w:rsidP="00A31137">
      <w:r w:rsidRPr="00A31137">
        <w:t>The plurality errs doubly. First, its premise is incorrect. In the sense in which the plurality uses the term, there is the possibility of "conflict" even absent federal regulation, since the mere enactment of a federal law like the Act may amount to an occupation of an entire field, preventing state regulation. Second, the necessary implication of § 18(a) is not that every federal regulation preempts all state law on the issue in question, but only that some federal regulations may preempt some state law. The plurality ignores the possibility that the provision simply rules out field preemption, and is otherwise entirely compatible with the possibility that preemption will occur only when actual conflict between a federal regulation and a state rule renders compliance with both impossible. Indeed, if Congress had meant to say that any state rule should be preempted if it deals [505 U.S. 118] with an issue as to which there is a federal regulation in effect, the text of subsection (a) would have been a very inept way of trying to make the point. It was not, however, an inept way to make the different point that Congress intended no field preemption of the sphere of health and safety subject to regulation, but not necessarily regulated, under the Act. Unlike the case where field preemption occurs, the provision tells us, absence of a federal standard leaves a State free to do as it will on the issue. Beyond this, subsection (a) does not necessarily mean anything, and the provision is perfectly consistent with the conclusion that, as long as compliance with both a federal standard and a state regulation is not physically impossible, see Florida Lime &amp; Avocado Growers v. Paul, 373 U.S. 132, 142-143 (1963), each standard shall be enforceable. If, indeed, the presumption against preemption means anything, § 18(a) must be read in just this way.</w:t>
      </w:r>
    </w:p>
    <w:p w:rsidR="00A31137" w:rsidRPr="00A31137" w:rsidRDefault="00A31137" w:rsidP="00A31137">
      <w:r w:rsidRPr="00A31137">
        <w:t>1992, Gade v. Nat'l Solid Wastes Mgmt. Assn., 505 U.S. 118</w:t>
      </w:r>
    </w:p>
    <w:p w:rsidR="00A31137" w:rsidRPr="00A31137" w:rsidRDefault="00A31137" w:rsidP="00A31137">
      <w:r w:rsidRPr="00A31137">
        <w:t>Respondent also relies on § 18(b), 29 U.S.C. § 667(b):</w:t>
      </w:r>
    </w:p>
    <w:p w:rsidR="00A31137" w:rsidRPr="00A31137" w:rsidRDefault="00A31137" w:rsidP="00A31137">
      <w:r w:rsidRPr="00A31137">
        <w:t>1992, Gade v. Nat'l Solid Wastes Mgmt. Assn., 505 U.S. 118</w:t>
      </w:r>
    </w:p>
    <w:p w:rsidR="00A31137" w:rsidRPr="00A31137" w:rsidRDefault="00A31137" w:rsidP="00A31137">
      <w:r w:rsidRPr="00A31137">
        <w:t>(b) Submission of State plan for development and enforcement of State standards to preempt applicable Federal standards</w:t>
      </w:r>
    </w:p>
    <w:p w:rsidR="00A31137" w:rsidRPr="00A31137" w:rsidRDefault="00A31137" w:rsidP="00A31137">
      <w:r w:rsidRPr="00A31137">
        <w:t>1992, Gade v. Nat'l Solid Wastes Mgmt. Assn., 505 U.S. 118</w:t>
      </w:r>
    </w:p>
    <w:p w:rsidR="00A31137" w:rsidRPr="00A31137" w:rsidRDefault="00A31137" w:rsidP="00A31137">
      <w:r w:rsidRPr="00A31137">
        <w:t>Any State which, at any time, desires to assume responsibility for development and enforcement therein of occupational safety and health standards relating to any occupational safety or health issue with respect to which a Federal standard has been promulgated under section 655 of this title shall submit a State plan for the development of such standards and their enforcement.</w:t>
      </w:r>
    </w:p>
    <w:p w:rsidR="00A31137" w:rsidRPr="00A31137" w:rsidRDefault="00A31137" w:rsidP="00A31137">
      <w:r w:rsidRPr="00A31137">
        <w:t>1992, Gade v. Nat'l Solid Wastes Mgmt. Assn., 505 U.S. 118</w:t>
      </w:r>
    </w:p>
    <w:p w:rsidR="00A31137" w:rsidRPr="00A31137" w:rsidRDefault="00A31137" w:rsidP="00A31137">
      <w:r w:rsidRPr="00A31137">
        <w:t>Respondent argues that the necessary implication of this provision is clear: the only way that a state rule on a particular occupational safety and health issue may be enforced once a federal standard on the issue is also in place is by incorporating the state rule in a plan approved by the Secretary.</w:t>
      </w:r>
    </w:p>
    <w:p w:rsidR="00A31137" w:rsidRPr="00A31137" w:rsidRDefault="00A31137" w:rsidP="00A31137">
      <w:r w:rsidRPr="00A31137">
        <w:t>1992, Gade v. Nat'l Solid Wastes Mgmt. Assn., 505 U.S. 118</w:t>
      </w:r>
    </w:p>
    <w:p w:rsidR="00A31137" w:rsidRPr="00A31137" w:rsidRDefault="00A31137" w:rsidP="00A31137">
      <w:r w:rsidRPr="00A31137">
        <w:t>As both the plurality and JUSTICE KENNEDY acknowledge, however, that is not the necessary implication of § 18(b). [505 U.S. 119] See ante at 99 (plurality opinion); ante at 112-113 (opinion concurring in part and concurring in judgment). The subsection simply does not say that, unless a plan is approved, state law on an issue is preempted by the promulgation of a federal standard. In fact, it tugs the other way, and, in actually providing a mechanism for a State to "assume responsibility" for an issue with respect to which a federal standard has been promulgated (that is, to preempt federal law), § 18(b) is far from preemptive of anything adopted by the States. Its heading, enacted as part of the statute and properly considered under our canons of construction for whatever light it may shed, see, e.g., Strathearn S.S. Co. v. Dillon, 252 U.S. 348, 354 (1920); FTC v. Mandel Brothers, 359 U.S. 385 (1959), speaks expressly of the "development and enforcement of State standards to preempt applicable Federal standards." The provision does not in any way provide that, absent such state preemption of federal rules, the State may not even supplement the federal standards with consistent regulations of its own. Once again, nothing in the provision's language speaks one way or the other to the question whether promulgation of a federal standard preempts state regulation, or whether, in the absence of a plan, consistent federal and state regulations may coexist. The provision thus makes perfect sense on the assumption that a dual regulatory scheme is permissible, but subject to state preemption if the State wishes to shoulder enough of the federal mandate to gain approval of a plan.</w:t>
      </w:r>
    </w:p>
    <w:p w:rsidR="00A31137" w:rsidRPr="00A31137" w:rsidRDefault="00A31137" w:rsidP="00A31137">
      <w:r w:rsidRPr="00A31137">
        <w:t>1992, Gade v. Nat'l Solid Wastes Mgmt. Assn., 505 U.S. 119</w:t>
      </w:r>
    </w:p>
    <w:p w:rsidR="00A31137" w:rsidRPr="00A31137" w:rsidRDefault="00A31137" w:rsidP="00A31137">
      <w:r w:rsidRPr="00A31137">
        <w:t>Nor does the provision setting out conditions for the Secretary's approval of a plan indicate that a state regulation on an issue federally addressed is never enforceable unless incorporated in a plan so approved. Subsection (c)(2) requires the Secretary to approve a plan when, in her judgment, among other things, it will not "unduly burden interstate commerce." 29 U.S.C. § 667(c)(2). Respondent argues, and the plurality concludes, that, if state regulations were not preempted, this provision would somehow suggest [505 U.S. 120] that States acting independently could enforce regulations that did burden interstate commerce unduly. Brief for Respondent 17; see ante at 100-101. But this simply does not follow. The subsection puts a limit on the Secretary's authority to approve a plan that burdens interstate commerce, thus capping the discretion that might otherwise have been read into the congressional delegation of authority to the Secretary to approve state plans. From this restriction applying only to the Secretary's federal authority it is clearly a non sequitur to conclude that preemption must have been intended to avoid the equally objectionable undue burden that independent state regulation might otherwise impose. Quite the contrary; the dormant Commerce Clause can take care of that, without any need to assume preemption.</w:t>
      </w:r>
    </w:p>
    <w:p w:rsidR="00A31137" w:rsidRPr="00A31137" w:rsidRDefault="00A31137" w:rsidP="00A31137">
      <w:r w:rsidRPr="00A31137">
        <w:t>1992, Gade v. Nat'l Solid Wastes Mgmt. Assn., 505 U.S. 120</w:t>
      </w:r>
    </w:p>
    <w:p w:rsidR="00A31137" w:rsidRPr="00A31137" w:rsidRDefault="00A31137" w:rsidP="00A31137">
      <w:r w:rsidRPr="00A31137">
        <w:t>The final provision that arguably suggests preemption merely by promulgation of a federal standard is § 18(h), 29 U.S.C. § 667(h):</w:t>
      </w:r>
    </w:p>
    <w:p w:rsidR="00A31137" w:rsidRPr="00A31137" w:rsidRDefault="00A31137" w:rsidP="00A31137">
      <w:r w:rsidRPr="00A31137">
        <w:t>1992, Gade v. Nat'l Solid Wastes Mgmt. Assn., 505 U.S. 120</w:t>
      </w:r>
    </w:p>
    <w:p w:rsidR="00A31137" w:rsidRPr="00A31137" w:rsidRDefault="00A31137" w:rsidP="00A31137">
      <w:r w:rsidRPr="00A31137">
        <w:t>(h) Temporary enforcement of State standards</w:t>
      </w:r>
    </w:p>
    <w:p w:rsidR="00A31137" w:rsidRPr="00A31137" w:rsidRDefault="00A31137" w:rsidP="00A31137">
      <w:r w:rsidRPr="00A31137">
        <w:t>1992, Gade v. Nat'l Solid Wastes Mgmt. Assn., 505 U.S. 120</w:t>
      </w:r>
    </w:p>
    <w:p w:rsidR="00A31137" w:rsidRPr="00A31137" w:rsidRDefault="00A31137" w:rsidP="00A31137">
      <w:r w:rsidRPr="00A31137">
        <w:t>The Secretary may enter into an agreement with a State under which the State will be permitted to continue to enforce one or more occupational health and safety standards in effect in such State until final action is taken by the Secretary with respect to a plan submitted by a State under subsection (b) of this section, or two years from December 29, 1970, whichever is earlier.</w:t>
      </w:r>
    </w:p>
    <w:p w:rsidR="00A31137" w:rsidRPr="00A31137" w:rsidRDefault="00A31137" w:rsidP="00A31137">
      <w:r w:rsidRPr="00A31137">
        <w:t>1992, Gade v. Nat'l Solid Wastes Mgmt. Assn., 505 U.S. 120</w:t>
      </w:r>
    </w:p>
    <w:p w:rsidR="00A31137" w:rsidRPr="00A31137" w:rsidRDefault="00A31137" w:rsidP="00A31137">
      <w:r w:rsidRPr="00A31137">
        <w:t>This provision, of course, expired in 1972, but its language may suggest something about the way Congress understood the rest of § 18. Since, all are agreed, a State would not have had reason to file a plan unless a federal standard was in place, § 18(h) necessarily refers to a situation in which there is a federal standard. Respondent argues that the provision for agreements authorizing continued enforcement of a state standard following adoption of a federal standard on the issue it addresses implies that, absent such agreement, [505 U.S. 121] a State would have been barred from enforcing any standard of its own.</w:t>
      </w:r>
    </w:p>
    <w:p w:rsidR="00A31137" w:rsidRPr="00A31137" w:rsidRDefault="00A31137" w:rsidP="00A31137">
      <w:r w:rsidRPr="00A31137">
        <w:t>1992, Gade v. Nat'l Solid Wastes Mgmt. Assn., 505 U.S. 121</w:t>
      </w:r>
    </w:p>
    <w:p w:rsidR="00A31137" w:rsidRPr="00A31137" w:rsidRDefault="00A31137" w:rsidP="00A31137">
      <w:r w:rsidRPr="00A31137">
        <w:t>Once again, however, that is not the necessary implication of the text. A purely permissive provision for enforcement of state regulations does not imply that all state regulations are otherwise unenforceable. All it necessarily means is that the Secretary could agree to permit the State, for a limited time, to enforce whatever State regulations would otherwise have been preempted, as would have been true when they actually so conflicted with the federal standard that an employer could not comply with them and still comply with federal law as well. Thus, in the case of a State wishing to submit a plan, the provision, as I read it, would have allowed for the possibility of just one transition, from the pre-Act state law to the post-Act state plan. Read as the Court reads it, however, employers and employees in such a State would have been subjected first to state law on a given issue; then, after promulgation of a federal standard, to that standard; and then, after approval of the plan, to a new state regime. One enforced readjustment would have been better than two, and the statute is better read accordingly.*</w:t>
      </w:r>
    </w:p>
    <w:p w:rsidR="00A31137" w:rsidRPr="00A31137" w:rsidRDefault="00A31137" w:rsidP="00A31137">
      <w:r w:rsidRPr="00A31137">
        <w:t>IV</w:t>
      </w:r>
    </w:p>
    <w:p w:rsidR="00A31137" w:rsidRPr="00A31137" w:rsidRDefault="00A31137" w:rsidP="00A31137">
      <w:r w:rsidRPr="00A31137">
        <w:t>1992, Gade v. Nat'l Solid Wastes Mgmt. Assn., 505 U.S. 121</w:t>
      </w:r>
    </w:p>
    <w:p w:rsidR="00A31137" w:rsidRPr="00A31137" w:rsidRDefault="00A31137" w:rsidP="00A31137">
      <w:r w:rsidRPr="00A31137">
        <w:t>In sum, our rule is that the traditional police powers of the State survive unless Congress has made a purpose to [505 U.S. 122] preempt them clear. See Rice, 331 U.S. at 230. The Act does not, in so many words, preempt all state regulation of issues on which federal standards have been promulgated, and respondent's contention at oral argument that reading subsections (a), (b), and (h) could leave no other "logical" conclusion but one of preemption is wrong. Each provision can be read consistently with the others without any implication of preemptive intent. See National Solid Wastes Management Assn. v. Killian, 918 F.2d 671, 685-688 (CA7 1990) (Easterbrook, J., dubitante). They are, in fact, just as consistent with a purpose and objective to permit overlapping state and federal regulation as with one to guarantee that employers and employees would be subjected to only one regulatory regime. Restriction to one such regime by precluding supplemental state regulation might or might not be desirable. But, in the absence of any clear expression of congressional intent to preempt, I can only conclude that, as long as compliance with federally promulgated standards does not render obedience to Illinois' regulations impossible, the enforcement of the state law is not prohibited by the Supremacy Clause. I respectfully dissent.</w:t>
      </w:r>
    </w:p>
    <w:p w:rsidR="00A31137" w:rsidRPr="00A31137" w:rsidRDefault="00A31137" w:rsidP="00A31137">
      <w:r w:rsidRPr="00A31137">
        <w:t>Footnotes</w:t>
      </w:r>
    </w:p>
    <w:p w:rsidR="00A31137" w:rsidRPr="00A31137" w:rsidRDefault="00A31137" w:rsidP="00A31137">
      <w:r w:rsidRPr="00A31137">
        <w:t>O'CONNOR, J., lead opinion (Footnotes)</w:t>
      </w:r>
    </w:p>
    <w:p w:rsidR="00A31137" w:rsidRPr="00A31137" w:rsidRDefault="00A31137" w:rsidP="00A31137">
      <w:r w:rsidRPr="00A31137">
        <w:t>1992, Gade v. Nat'l Solid Wastes Mgmt. Assn., 505 U.S. 122</w:t>
      </w:r>
    </w:p>
    <w:p w:rsidR="00A31137" w:rsidRPr="00A31137" w:rsidRDefault="00A31137" w:rsidP="00A31137">
      <w:r w:rsidRPr="00A31137">
        <w:t>1. E.g., Associated Industries of Massachusetts v. Snow, 898 F.2d 274, 278 (CA1 1990); Environmental Encapsulating Corp. v. New York City, 855 F.2d 48, 55 (CA2 1988); United Steelworkers of America v. Auchter, 763 F.2d 728, 736 (CA3 1985); Farmworker Justice Fund, Inc. v. Brock, 258 U.S.App.D.C. 271, 283-284, 811 F.2d 613, 625-626, vacated on other grounds, 260 U.S.App.D.C. 167, 817 F.2d 890 (1987) (en banc); Ohio Mfrs. Assn. v. City of Akron, 801 F.2d 824, 828 (CA6 1986), appeal dism'd and cert. denied, 484 U.S. 801 (1987); Five Migrant Farmworkers v. Hoffman, 136 N.J.Super. 242, 247-248, 345 A.2d 378, 381 (1975); Columbus Coated Fabrics v. Industrial Comm'n of Ohio, 1 OSHC 1361, 1362 (SD Ohio 1973); cf. Florida Citrus Packers v. California, 545 F.Supp. 216, 219-220 (ND Cal.1982) (State may enforce modification to an approved plan pending approval by Secretary). See also S. Bokat &amp; H. Thompson, Occupational Safety and Health Law 686, n. 28 (1988) ("Section 18(b) of the Act permits states to adopt more effective standards only through the vehicle of an approved state plan").</w:t>
      </w:r>
    </w:p>
    <w:p w:rsidR="00A31137" w:rsidRPr="00A31137" w:rsidRDefault="00A31137" w:rsidP="00A31137">
      <w:r w:rsidRPr="00A31137">
        <w:t>1992, Gade v. Nat'l Solid Wastes Mgmt. Assn., 505 U.S. 122</w:t>
      </w:r>
    </w:p>
    <w:p w:rsidR="00A31137" w:rsidRPr="00A31137" w:rsidRDefault="00A31137" w:rsidP="00A31137">
      <w:r w:rsidRPr="00A31137">
        <w:t>2. JUSTICE KENNEDY, while agreeing on the preemptive scope of the OSH Act, finds that its preemption is express, rather than implied. Post at  112 (KENNEDY, J., concurring in part and concurring in the judgment). The Court's previous observation that our preemption categories are not "rigidly distinct," English v. General Electric Co., 496 U.S. 72, 79 n. 5 (1990), is proved true by this case. We, too, are persuaded that the text of the Act provides the strongest indication that Congress intended the promulgation of a federal safety and health standard to preempt all nonapproved state regulation of the same issue, but we cannot say that it rises to the level of express preemption. In the end, even JUSTICE KENNEDY finds express preemption by relying on the negative "inference" of § 18(b), which governs when state law will preempt federal law. Post at  112. We cannot agree that the negative implications of the text, although ultimately dispositive to our own analysis, expressly address the issue of federal preemption of state law. We therefore prefer to place this case in the category of implied preemption. Supra at 98-99. Although we have chosen to use the term "conflict" preemption, we could as easily have stated that the promulgation of a federal safety and health standard "preempts the field" for any nonapproved state law regulating the same safety and health issue. See English, supra, at 79-80 n. 5 ("[F]ield preemption may be understood as a species of conflict preemption: a state law that falls within a preempted field conflicts with Congress' intent (either express or plainly implied) to exclude state regulation"); post at  116 (SOUTER, J., dissenting). Frequently, the preemptive "label" we choose will carry with it substantive implications for the scope of preemption. In this case, however, it does not. Our disagreement with JUSTICE KENNEDY as to whether the OSH Act's preemptive effect is labeled "express" or "implied" is less important than our agreement that the implications of the text of the statute evince a congressional intent to preempt nonapproved state regulations when a federal standard is in effect.</w:t>
      </w:r>
    </w:p>
    <w:p w:rsidR="00A31137" w:rsidRPr="00A31137" w:rsidRDefault="00A31137" w:rsidP="00A31137">
      <w:r w:rsidRPr="00A31137">
        <w:t>SOUTER, J., dissenting (Footnotes)</w:t>
      </w:r>
    </w:p>
    <w:p w:rsidR="00A31137" w:rsidRPr="00A31137" w:rsidRDefault="00A31137" w:rsidP="00A31137">
      <w:r w:rsidRPr="00A31137">
        <w:t>1992, Gade v. Nat'l Solid Wastes Mgmt. Assn., 505 U.S. 122</w:t>
      </w:r>
    </w:p>
    <w:p w:rsidR="00A31137" w:rsidRPr="00A31137" w:rsidRDefault="00A31137" w:rsidP="00A31137">
      <w:r w:rsidRPr="00A31137">
        <w:t>* The plurality also relies on § 18(f), 29 U.S.C. § 667(f), which deals with withdrawal of approval of a state plan. See ante at  101. The section provides that</w:t>
      </w:r>
    </w:p>
    <w:p w:rsidR="00A31137" w:rsidRPr="00A31137" w:rsidRDefault="00A31137" w:rsidP="00A31137">
      <w:r w:rsidRPr="00A31137">
        <w:t>1992, Gade v. Nat'l Solid Wastes Mgmt. Assn., 505 U.S. 122</w:t>
      </w:r>
    </w:p>
    <w:p w:rsidR="00A31137" w:rsidRPr="00A31137" w:rsidRDefault="00A31137" w:rsidP="00A31137">
      <w:r w:rsidRPr="00A31137">
        <w:t>the State may retain jurisdiction in any case commenced before the withdrawal of the plan in order to enforce standards under the plan whenever the issues involved do not relate to the reasons for the withdrawal of the plan.</w:t>
      </w:r>
    </w:p>
    <w:p w:rsidR="00A31137" w:rsidRPr="00A31137" w:rsidRDefault="00A31137" w:rsidP="00A31137">
      <w:r w:rsidRPr="00A31137">
        <w:t>1992, Gade v. Nat'l Solid Wastes Mgmt. Assn., 505 U.S. 122</w:t>
      </w:r>
    </w:p>
    <w:p w:rsidR="00A31137" w:rsidRPr="00A31137" w:rsidRDefault="00A31137" w:rsidP="00A31137">
      <w:r w:rsidRPr="00A31137">
        <w:t>The plurality is mistaken in concluding that § 18(f)</w:t>
      </w:r>
    </w:p>
    <w:p w:rsidR="00A31137" w:rsidRPr="00A31137" w:rsidRDefault="00A31137" w:rsidP="00A31137">
      <w:r w:rsidRPr="00A31137">
        <w:t>1992, Gade v. Nat'l Solid Wastes Mgmt. Assn., 505 U.S. 122</w:t>
      </w:r>
    </w:p>
    <w:p w:rsidR="00A31137" w:rsidRPr="00A31137" w:rsidRDefault="00A31137" w:rsidP="00A31137">
      <w:r w:rsidRPr="00A31137">
        <w:t>assumes that the State loses the power to enforce all of its occupational safety and health standards once approval is withdrawn.</w:t>
      </w:r>
    </w:p>
    <w:p w:rsidR="00A31137" w:rsidRPr="00A31137" w:rsidRDefault="00A31137" w:rsidP="00A31137">
      <w:r w:rsidRPr="00A31137">
        <w:t>1992, Gade v. Nat'l Solid Wastes Mgmt. Assn., 505 U.S. 122</w:t>
      </w:r>
    </w:p>
    <w:p w:rsidR="00A31137" w:rsidRPr="00A31137" w:rsidRDefault="00A31137" w:rsidP="00A31137">
      <w:r w:rsidRPr="00A31137">
        <w:t>Ibid. At most, it assumes that the State loses its capacity to enforce the plan (except for pending cases). It says nothing about state law that may remain on the books exclusive of the plan's authority, or about new law enacted after withdrawal of the Secretary's approval.</w:t>
      </w:r>
    </w:p>
    <w:p w:rsidR="00A31137" w:rsidRPr="00A31137" w:rsidRDefault="00A31137" w:rsidP="00A31137">
      <w:r w:rsidRPr="00A31137">
        <w:t>New York v. United States, 1992</w:t>
      </w:r>
    </w:p>
    <w:p w:rsidR="00A31137" w:rsidRPr="00A31137" w:rsidRDefault="00A31137" w:rsidP="00A31137">
      <w:r w:rsidRPr="00A31137">
        <w:t>Title:</w:t>
      </w:r>
      <w:r w:rsidRPr="00A31137">
        <w:tab/>
        <w:t>New York v. United States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1992</w:t>
      </w:r>
    </w:p>
    <w:p w:rsidR="00A31137" w:rsidRPr="00A31137" w:rsidRDefault="00A31137" w:rsidP="00A31137">
      <w:r w:rsidRPr="00A31137">
        <w:t>Source:</w:t>
      </w:r>
      <w:r w:rsidRPr="00A31137">
        <w:tab/>
        <w:t>505 U.S. 144</w:t>
      </w:r>
    </w:p>
    <w:p w:rsidR="00A31137" w:rsidRPr="00A31137" w:rsidRDefault="00A31137" w:rsidP="00A31137">
      <w:r w:rsidRPr="00A31137">
        <w:t>This case was argued March 30, 1992, and was decided June 1992.</w:t>
      </w:r>
    </w:p>
    <w:p w:rsidR="00A31137" w:rsidRPr="00A31137" w:rsidRDefault="00A31137" w:rsidP="00A31137">
      <w:r w:rsidRPr="00A31137">
        <w:t>CERTIORARI TO THE UNITED STATES COURT OF APPEALS</w:t>
      </w:r>
    </w:p>
    <w:p w:rsidR="00A31137" w:rsidRPr="00A31137" w:rsidRDefault="00A31137" w:rsidP="00A31137">
      <w:r w:rsidRPr="00A31137">
        <w:t>FOR THE SECOND CIRCUIT</w:t>
      </w:r>
    </w:p>
    <w:p w:rsidR="00A31137" w:rsidRPr="00A31137" w:rsidRDefault="00A31137" w:rsidP="00A31137">
      <w:r w:rsidRPr="00A31137">
        <w:t>Syllabus</w:t>
      </w:r>
    </w:p>
    <w:p w:rsidR="00A31137" w:rsidRPr="00A31137" w:rsidRDefault="00A31137" w:rsidP="00A31137">
      <w:r w:rsidRPr="00A31137">
        <w:t>1992, New York v. United States, 505 U.S. 144</w:t>
      </w:r>
    </w:p>
    <w:p w:rsidR="00A31137" w:rsidRPr="00A31137" w:rsidRDefault="00A31137" w:rsidP="00A31137">
      <w:r w:rsidRPr="00A31137">
        <w:t xml:space="preserve">Faced with a looming shortage of disposal sites for low level radioactive waste in 31 States, Congress enacted the Low-Level Radioactive Waste Policy Amendments Act of 1985, which, among other things, imposes upon States, either alone or in "regional compacts" with other States, the obligation to provide for the disposal of waste generated within their borders, and contains three provisions setting forth "incentives" to States to comply with that obligation. The first set of incentives—the monetary incentives—works in three steps: (1) States with disposal sites are authorized to impose a surcharge on radioactive waste received from other States; (2) the Secretary of Energy collects a portion of this surcharge and places it in an escrow account; and (3) States achieving a series of milestones in developing sites receive portions of this fund. The second set of incentives—the access incentives—authorizes sited States and regional compacts gradually to increase the cost of access to their sites, and then to deny access altogether, to waste generated in States that do not meet federal deadlines. The so-called third "incentive"—the take title provision—specifies that a State or regional compact that fails to provide for the disposal of all internally generated waste by a particular date must, upon the request of the waste's generator or owner, take title to and possession of the waste and become liable for all damages suffered by the generator or owner as a result of the State's failure to promptly take possession. Petitioners, New York State and two of its counties, filed this suit against the United States, seeking a declaratory judgment that, inter alia, the three incentives provisions are inconsistent with the Tenth Amendment—which declares that "powers not delegated to the United States by the Constitution, nor prohibited by it to the States, are reserved to the States"—and with the Guarantee Clause of Article IV, § 4—which directs the United States to "guarantee to every State…a Republican Form of Government." The District Court dismissed the complaint, and the Court of Appeals affirmed. [505 U.S. 145] </w:t>
      </w:r>
    </w:p>
    <w:p w:rsidR="00A31137" w:rsidRPr="00A31137" w:rsidRDefault="00A31137" w:rsidP="00A31137">
      <w:r w:rsidRPr="00A31137">
        <w:t>1992, New York v. United States, 505 U.S. 145</w:t>
      </w:r>
    </w:p>
    <w:p w:rsidR="00A31137" w:rsidRPr="00A31137" w:rsidRDefault="00A31137" w:rsidP="00A31137">
      <w:r w:rsidRPr="00A31137">
        <w:t>Held:</w:t>
      </w:r>
    </w:p>
    <w:p w:rsidR="00A31137" w:rsidRPr="00A31137" w:rsidRDefault="00A31137" w:rsidP="00A31137">
      <w:r w:rsidRPr="00A31137">
        <w:t>1992, New York v. United States, 505 U.S. 145</w:t>
      </w:r>
    </w:p>
    <w:p w:rsidR="00A31137" w:rsidRPr="00A31137" w:rsidRDefault="00A31137" w:rsidP="00A31137">
      <w:r w:rsidRPr="00A31137">
        <w:t>1. The Act's monetary incentives and access incentives provisions are consistent with the Constitution's allocation of power between the Federal and State Governments, but the take title provision is not. Pp.  155-183.</w:t>
      </w:r>
    </w:p>
    <w:p w:rsidR="00A31137" w:rsidRPr="00A31137" w:rsidRDefault="00A31137" w:rsidP="00A31137">
      <w:r w:rsidRPr="00A31137">
        <w:t>1992, New York v. United States, 505 U.S. 145</w:t>
      </w:r>
    </w:p>
    <w:p w:rsidR="00A31137" w:rsidRPr="00A31137" w:rsidRDefault="00A31137" w:rsidP="00A31137">
      <w:r w:rsidRPr="00A31137">
        <w:t>(a) In ascertaining whether any of the challenged provisions oversteps the boundary between federal and state power, the Court must determine whether it is authorized by the affirmative grants to Congress contained in Article I's Commerce and Spending Clauses or whether it invades the province of state sovereignty reserved by the Tenth Amendment. Pp.  155-159.</w:t>
      </w:r>
    </w:p>
    <w:p w:rsidR="00A31137" w:rsidRPr="00A31137" w:rsidRDefault="00A31137" w:rsidP="00A31137">
      <w:r w:rsidRPr="00A31137">
        <w:t>1992, New York v. United States, 505 U.S. 145</w:t>
      </w:r>
    </w:p>
    <w:p w:rsidR="00A31137" w:rsidRPr="00A31137" w:rsidRDefault="00A31137" w:rsidP="00A31137">
      <w:r w:rsidRPr="00A31137">
        <w:t>(b) Although regulation of the interstate market in the disposal of low level radioactive waste is well within Congress' Commerce Clause authority, cf. Philadelphia v. New Jersey, 437 U.S. 617, 621-623, and Congress could, if it wished, preempt entirely state regulation in this area, a review of this Court's decisions, see, e.g., Hodel v. Virginia Surface Mining &amp; Reclamation Assn., Inc., 452 U.S. 264, 288, and the history of the Constitutional Convention, demonstrates that Congress may not commandeer the States' legislative processes by directly compelling them to enact and enforce a federal regulatory program, but must exercise legislative authority directly upon individuals. Pp.  159-166.</w:t>
      </w:r>
    </w:p>
    <w:p w:rsidR="00A31137" w:rsidRPr="00A31137" w:rsidRDefault="00A31137" w:rsidP="00A31137">
      <w:r w:rsidRPr="00A31137">
        <w:t>1992, New York v. United States, 505 U.S. 145</w:t>
      </w:r>
    </w:p>
    <w:p w:rsidR="00A31137" w:rsidRPr="00A31137" w:rsidRDefault="00A31137" w:rsidP="00A31137">
      <w:r w:rsidRPr="00A31137">
        <w:t>(c) Nevertheless, there are a variety of methods, short of outright coercion, by which Congress may urge a State to adopt a legislative program consistent with federal interests. As relevant here, Congress may, under its spending power, attach conditions on the receipt of federal funds, so long as such conditions meet four requirements. See, e.g., South Dakota v. Dole, 483 U.S. 203, 206-208, and n. 3. Moreover, where Congress has the authority to regulate private activity under the Commerce Clause, it may, as part of a program of "cooperative federalism," offer States the choice of regulating that activity according to federal standards or having state law preempted by federal regulation. See, e.g., Hodel, supra, 452 U.S. at 288, 289. Pp.  166-169.</w:t>
      </w:r>
    </w:p>
    <w:p w:rsidR="00A31137" w:rsidRPr="00A31137" w:rsidRDefault="00A31137" w:rsidP="00A31137">
      <w:r w:rsidRPr="00A31137">
        <w:t>1992, New York v. United States, 505 U.S. 145</w:t>
      </w:r>
    </w:p>
    <w:p w:rsidR="00A31137" w:rsidRPr="00A31137" w:rsidRDefault="00A31137" w:rsidP="00A31137">
      <w:r w:rsidRPr="00A31137">
        <w:t>(d) This Court declines petitioners' invitation to construe the Act's provision obligating the States to dispose of their radioactive wastes as a separate mandate to regulate according to Congress' instructions. That would upset the usual constitutional balance of federal and state powers, whereas the constitutional problem is avoided by construing the Act as a whole to comprise three sets of incentives to the States. Pp.  169-170.</w:t>
      </w:r>
    </w:p>
    <w:p w:rsidR="00A31137" w:rsidRPr="00A31137" w:rsidRDefault="00A31137" w:rsidP="00A31137">
      <w:r w:rsidRPr="00A31137">
        <w:t>1992, New York v. United States, 505 U.S. 145</w:t>
      </w:r>
    </w:p>
    <w:p w:rsidR="00A31137" w:rsidRPr="00A31137" w:rsidRDefault="00A31137" w:rsidP="00A31137">
      <w:r w:rsidRPr="00A31137">
        <w:t>(e) The Act's monetary incentives are well within Congress' Commerce and Spending Clause authority, and thus are not inconsistent with the Tenth Amendment. The authorization to sited States to impose surcharges is an unexceptionable exercise of Congress' power to enable [505 U.S. 146] the States to burden interstate commerce. The Secretary's collection of a percentage of the surcharge is no more than a federal tax on interstate commerce, which petitioners do not claim to be an invalid exercise of either Congress' commerce or taxing power. Finally, in conditioning the States' receipt of federal funds upon their achieving specified milestones, Congress has not exceeded its Spending Clause authority in any of the four respects identified by this Court in Dole, supra, 483 U.S. at 207-208. Petitioners' objection to the form of the expenditures as nonfederal is unavailing, since the Spending Clause has never been construed to deprive Congress of the power to collect money in a segregated trust fund and spend it for a particular purpose, and since the States' ability largely to control whether they will pay into the escrow account or receive a share was expressly provided by Congress as a method of encouraging them to regulate according to the federal plan. Pp.  171-173.</w:t>
      </w:r>
    </w:p>
    <w:p w:rsidR="00A31137" w:rsidRPr="00A31137" w:rsidRDefault="00A31137" w:rsidP="00A31137">
      <w:r w:rsidRPr="00A31137">
        <w:t>1992, New York v. United States, 505 U.S. 146</w:t>
      </w:r>
    </w:p>
    <w:p w:rsidR="00A31137" w:rsidRPr="00A31137" w:rsidRDefault="00A31137" w:rsidP="00A31137">
      <w:r w:rsidRPr="00A31137">
        <w:t>(f) The Act's access incentives constitute a conditional exercise of Congress' commerce power along the lines of that approved in Hodel, supra, 452 U.S. at 288, and thus do not intrude on the States' Tenth Amendment sovereignty. These incentives present nonsited States with the choice either of regulating waste disposal according to federal standards or having their waste-producing residents denied access to disposal sites. They are not compelled to regulate, expend any funds, or participate in any federal program, and they may continue to regulate waste in their own way if they do not accede to federal direction. Pp.  173-174.</w:t>
      </w:r>
    </w:p>
    <w:p w:rsidR="00A31137" w:rsidRPr="00A31137" w:rsidRDefault="00A31137" w:rsidP="00A31137">
      <w:r w:rsidRPr="00A31137">
        <w:t>1992, New York v. United States, 505 U.S. 146</w:t>
      </w:r>
    </w:p>
    <w:p w:rsidR="00A31137" w:rsidRPr="00A31137" w:rsidRDefault="00A31137" w:rsidP="00A31137">
      <w:r w:rsidRPr="00A31137">
        <w:t>(g) Because the Act's take title provision offers the States a "choice" between the two unconstitutionally coercive alternatives—either accepting ownership of waste or regulating according to Congress' instructions—the provision lies outside Congress' enumerated powers, and is inconsistent with the Tenth Amendment. On the one hand, either forcing the transfer of waste from generators to the States or requiring the States to become liable for the generators' damages would "commandeer" States into the service of federal regulatory purposes. On the other hand, requiring the States to regulate pursuant to Congress' direction would present a simple unconstitutional command to implement legislation enacted by Congress. Thus, the States' "choice" is no choice at all. Pp.  174-177.</w:t>
      </w:r>
    </w:p>
    <w:p w:rsidR="00A31137" w:rsidRPr="00A31137" w:rsidRDefault="00A31137" w:rsidP="00A31137">
      <w:r w:rsidRPr="00A31137">
        <w:t>1992, New York v. United States, 505 U.S. 146</w:t>
      </w:r>
    </w:p>
    <w:p w:rsidR="00A31137" w:rsidRPr="00A31137" w:rsidRDefault="00A31137" w:rsidP="00A31137">
      <w:r w:rsidRPr="00A31137">
        <w:t>(h) The United States' alternative arguments purporting to find limited circumstances in which congressional compulsion of state regulation is constitutionally permissible—that such compulsion is justified where the federal interest is sufficiently important; that the Constitution does, in some circumstances, permit federal directives to state governments; and that the Constitution endows Congress with the power [505 U.S. 147] to arbitrate disputes between States in interstate commerce—are rejected. Pp. 177-180.</w:t>
      </w:r>
    </w:p>
    <w:p w:rsidR="00A31137" w:rsidRPr="00A31137" w:rsidRDefault="00A31137" w:rsidP="00A31137">
      <w:r w:rsidRPr="00A31137">
        <w:t>1992, New York v. United States, 505 U.S. 147</w:t>
      </w:r>
    </w:p>
    <w:p w:rsidR="00A31137" w:rsidRPr="00A31137" w:rsidRDefault="00A31137" w:rsidP="00A31137">
      <w:r w:rsidRPr="00A31137">
        <w:t>(i) Also rejected is the sited state respondents' argument that the Act cannot be ruled an unconstitutional infringement of New York sovereignty because officials of that State lent their support, and consented, to the Act's passage. A departure from the Constitution's plan for the intergovernmental allocation of authority cannot be ratified by the "consent" of state officials, since the Constitution protects state sovereignty for the benefit of individuals, not States or their governments, and since the officials' interests may not coincide with the Constitution's allocation. Nor does New York's prior support estop it from asserting the Act's unconstitutionality. Pp.  180-183.</w:t>
      </w:r>
    </w:p>
    <w:p w:rsidR="00A31137" w:rsidRPr="00A31137" w:rsidRDefault="00A31137" w:rsidP="00A31137">
      <w:r w:rsidRPr="00A31137">
        <w:t>1992, New York v. United States, 505 U.S. 147</w:t>
      </w:r>
    </w:p>
    <w:p w:rsidR="00A31137" w:rsidRPr="00A31137" w:rsidRDefault="00A31137" w:rsidP="00A31137">
      <w:r w:rsidRPr="00A31137">
        <w:t>(j) Even assuming that the Guarantee Clause provides a basis upon which a State or its subdivisions may sue to enjoin the enforcement of a federal statute, petitioners have not made out a claim that the Act's money incentives and access incentives provisions are inconsistent with that Clause. Neither the threat of loss of federal funds nor the possibility that the State's waste producers may find themselves excluded from other States' disposal sites can reasonably be said to deny New York a republican form of government. Pp.  183-186.</w:t>
      </w:r>
    </w:p>
    <w:p w:rsidR="00A31137" w:rsidRPr="00A31137" w:rsidRDefault="00A31137" w:rsidP="00A31137">
      <w:r w:rsidRPr="00A31137">
        <w:t>1992, New York v. United States, 505 U.S. 147</w:t>
      </w:r>
    </w:p>
    <w:p w:rsidR="00A31137" w:rsidRPr="00A31137" w:rsidRDefault="00A31137" w:rsidP="00A31137">
      <w:r w:rsidRPr="00A31137">
        <w:t>2. The take title provision is severable from the rest of the Act, since severance will not prevent the operation of the rest of the Act or defeat its purpose of encouraging the States to attain local or regional self-sufficiency in low level radioactive waste disposal; since the Act still includes two incentives to encourage States along this road; since a State whose waste generators are unable to gain access to out-of-state disposal sites may encounter considerable internal pressure to provide for disposal, even without the prospect of taking title; and since any burden caused by New York's failure to secure a site will not be borne by other States' residents because the sited regional compacts need not accept New York's waste after the final transition period. Pp.  186-187.</w:t>
      </w:r>
    </w:p>
    <w:p w:rsidR="00A31137" w:rsidRPr="00A31137" w:rsidRDefault="00A31137" w:rsidP="00A31137">
      <w:r w:rsidRPr="00A31137">
        <w:t>1992, New York v. United States, 505 U.S. 147</w:t>
      </w:r>
    </w:p>
    <w:p w:rsidR="00A31137" w:rsidRPr="00A31137" w:rsidRDefault="00A31137" w:rsidP="00A31137">
      <w:r w:rsidRPr="00A31137">
        <w:t>942 F.2d 114 (CA5 1991), affirmed in part and reversed in part.</w:t>
      </w:r>
    </w:p>
    <w:p w:rsidR="00A31137" w:rsidRPr="00A31137" w:rsidRDefault="00A31137" w:rsidP="00A31137">
      <w:r w:rsidRPr="00A31137">
        <w:t>1992, New York v. United States, 505 U.S. 147</w:t>
      </w:r>
    </w:p>
    <w:p w:rsidR="00A31137" w:rsidRPr="00A31137" w:rsidRDefault="00A31137" w:rsidP="00A31137">
      <w:r w:rsidRPr="00A31137">
        <w:t xml:space="preserve">O'CONNOR, J., delivered the opinion of the Court, in which REHNQUIST, C.J., and SCALIA, KENNEDY, SOUTER, and THOMAS, JJ., joined, and in Parts III-A and III-B of which WHITE, BLACKMUN, and STEVENS, JJ., joined. WHITE, J., filed an opinion concurring in part and dissenting in part, in which BLACKMUN and STEVENS, JJ., joined, post, p.  188. STEVENS, J., filed an opinion concurring in part and dissenting in part, post, p.  210. [505 U.S. 149] </w:t>
      </w:r>
    </w:p>
    <w:p w:rsidR="00A31137" w:rsidRPr="00A31137" w:rsidRDefault="00A31137" w:rsidP="00A31137">
      <w:r w:rsidRPr="00A31137">
        <w:t>O'CONNOR, J., lead opinion</w:t>
      </w:r>
    </w:p>
    <w:p w:rsidR="00A31137" w:rsidRPr="00A31137" w:rsidRDefault="00A31137" w:rsidP="00A31137">
      <w:r w:rsidRPr="00A31137">
        <w:t>1992, New York v. United States, 505 U.S. 149</w:t>
      </w:r>
    </w:p>
    <w:p w:rsidR="00A31137" w:rsidRPr="00A31137" w:rsidRDefault="00A31137" w:rsidP="00A31137">
      <w:r w:rsidRPr="00A31137">
        <w:t>JUSTICE O'CONNOR delivered the opinion of the Court.</w:t>
      </w:r>
    </w:p>
    <w:p w:rsidR="00A31137" w:rsidRPr="00A31137" w:rsidRDefault="00A31137" w:rsidP="00A31137">
      <w:r w:rsidRPr="00A31137">
        <w:t>1992, New York v. United States, 505 U.S. 149</w:t>
      </w:r>
    </w:p>
    <w:p w:rsidR="00A31137" w:rsidRPr="00A31137" w:rsidRDefault="00A31137" w:rsidP="00A31137">
      <w:r w:rsidRPr="00A31137">
        <w:t>This case implicates one of our Nation's newest problems of public policy, and perhaps our oldest question of constitutional law. The public policy issue involves the disposal of radioactive waste: in this case, we address the constitutionality of three provisions of the Low-Level Radioactive Waste Policy Amendments Act of 1985, Pub.L. 99-240, 99 Stat. 1842, 42 U.S.C. § 2021b et seq. The constitutional question is as old as the Constitution: it consists of discerning the proper division of authority between the Federal Government and the States. We conclude that, while Congress has substantial power under the Constitution to encourage the States to provide for the disposal of the radioactive waste generated within their borders, the Constitution does not confer upon Congress the ability simply to compel the States to do so. We therefore find that only two of the Act's three provisions at issue are consistent with the Constitution's allocation of power to the Federal Government.</w:t>
      </w:r>
    </w:p>
    <w:p w:rsidR="00A31137" w:rsidRPr="00A31137" w:rsidRDefault="00A31137" w:rsidP="00A31137">
      <w:r w:rsidRPr="00A31137">
        <w:t>I</w:t>
      </w:r>
    </w:p>
    <w:p w:rsidR="00A31137" w:rsidRPr="00A31137" w:rsidRDefault="00A31137" w:rsidP="00A31137">
      <w:r w:rsidRPr="00A31137">
        <w:t>1992, New York v. United States, 505 U.S. 149</w:t>
      </w:r>
    </w:p>
    <w:p w:rsidR="00A31137" w:rsidRPr="00A31137" w:rsidRDefault="00A31137" w:rsidP="00A31137">
      <w:r w:rsidRPr="00A31137">
        <w:t>We live in a world full of low level radioactive waste. Radioactive material is present in luminous watch dials, smoke alarms, measurement devices, medical fluids, research materials, and the protective gear and construction materials used by workers at nuclear power plants. Low level radioactive waste is generated by the Government, by hospitals, by research institutions, and by various industries. The waste must be isolated from humans for long periods of time, [505 U.S. 150] often for hundreds of years. Millions of cubic feet of low level radioactive waste must be disposed of each year. See App. 110a-111a; Berkovitz, Waste Wars: Did Congress "Nuke" State Sovereignty in the Low-Level Radioactive Waste Policy Amendments Act of 1985?, 11 Harv.Envtl.L.Rev. 437, 439-440 (1987).</w:t>
      </w:r>
    </w:p>
    <w:p w:rsidR="00A31137" w:rsidRPr="00A31137" w:rsidRDefault="00A31137" w:rsidP="00A31137">
      <w:r w:rsidRPr="00A31137">
        <w:t>1992, New York v. United States, 505 U.S. 150</w:t>
      </w:r>
    </w:p>
    <w:p w:rsidR="00A31137" w:rsidRPr="00A31137" w:rsidRDefault="00A31137" w:rsidP="00A31137">
      <w:r w:rsidRPr="00A31137">
        <w:t>Our Nation's first site for the land disposal of commercial low level radioactive waste opened in 1962 in Beatty, Nevada. Five more sites opened in the following decade: Maxey Flats, Kentucky (1963), West Valley, New York (1963), Hanford, Washington (1965), Sheffield, Illinois (1967), and Barnwell, South Carolina (1971). Between 1975 and 1978, the Illinois site closed because it was full, and water management problems caused the closure of the sites in Kentucky and New York. As a result, since 1979, only three disposal sites—those in Nevada, Washington, and South Carolina—have been in operation. Waste generated in the rest of the country must be shipped to one of these three sites for disposal. See Low-Level Radioactive Waste Regulation 39-40 (M. Burns ed.1988).</w:t>
      </w:r>
    </w:p>
    <w:p w:rsidR="00A31137" w:rsidRPr="00A31137" w:rsidRDefault="00A31137" w:rsidP="00A31137">
      <w:r w:rsidRPr="00A31137">
        <w:t>1992, New York v. United States, 505 U.S. 150</w:t>
      </w:r>
    </w:p>
    <w:p w:rsidR="00A31137" w:rsidRPr="00A31137" w:rsidRDefault="00A31137" w:rsidP="00A31137">
      <w:r w:rsidRPr="00A31137">
        <w:t>In 1979, both the Washington and Nevada sites were forced to shut down temporarily, leaving South Carolina to shoulder the responsibility of storing low level radioactive waste produced in every part of the country. The Governor of South Carolina, understandably perturbed, ordered a 50% reduction in the quantity of waste accepted at the Barnwell site. The Governors of Washington and Nevada announced plans to shut their sites permanently. App. 142a, 152a.</w:t>
      </w:r>
    </w:p>
    <w:p w:rsidR="00A31137" w:rsidRPr="00A31137" w:rsidRDefault="00A31137" w:rsidP="00A31137">
      <w:r w:rsidRPr="00A31137">
        <w:t>1992, New York v. United States, 505 U.S. 150</w:t>
      </w:r>
    </w:p>
    <w:p w:rsidR="00A31137" w:rsidRPr="00A31137" w:rsidRDefault="00A31137" w:rsidP="00A31137">
      <w:r w:rsidRPr="00A31137">
        <w:t>Faced with the possibility that the Nation would be left with no disposal sites for low level radioactive waste, Congress responded by enacting the Low-Level Radioactive Waste Policy Act, Pub.L. 96-573, 94 Stat. 3347. Relying largely on a report submitted by the National Governors' Association, see App. 105a-141a, Congress declared a federal policy of holding each State "responsible for providing for the availability of capacity either within or outside the State [505 U.S. 151] for the disposal of low-level radioactive waste generated within its borders," and found that such waste could be disposed of "most safely and efficiently…on a regional basis." § 4(a)(1), 94 Stat. 3348. The 1980 Act authorized States to enter into regional compacts that, once ratified by Congress, would have the authority, beginning in 1986, to restrict the use of their disposal facilities to waste generated within member States. § 4(a)(2)(B), 94 Stat. 3348. The 1980 Act included no penalties for States that failed to participate in this plan.</w:t>
      </w:r>
    </w:p>
    <w:p w:rsidR="00A31137" w:rsidRPr="00A31137" w:rsidRDefault="00A31137" w:rsidP="00A31137">
      <w:r w:rsidRPr="00A31137">
        <w:t>1992, New York v. United States, 505 U.S. 151</w:t>
      </w:r>
    </w:p>
    <w:p w:rsidR="00A31137" w:rsidRPr="00A31137" w:rsidRDefault="00A31137" w:rsidP="00A31137">
      <w:r w:rsidRPr="00A31137">
        <w:t>By 1985, only three approved regional compacts had operational disposal facilities; not surprisingly, these were the compacts formed around South Carolina, Nevada, and Washington, the three sited States. The following year, the 1980 Act would have given these three compacts the ability to exclude waste from nonmembers, and the remaining 31 States would have had no assured outlet for their low level radioactive waste. With this prospect looming, Congress once again took up the issue of waste disposal. The result was the legislation challenged here, the Low-Level Radioactive Waste Policy Amendments Act of 1985.</w:t>
      </w:r>
    </w:p>
    <w:p w:rsidR="00A31137" w:rsidRPr="00A31137" w:rsidRDefault="00A31137" w:rsidP="00A31137">
      <w:r w:rsidRPr="00A31137">
        <w:t>1992, New York v. United States, 505 U.S. 151</w:t>
      </w:r>
    </w:p>
    <w:p w:rsidR="00A31137" w:rsidRPr="00A31137" w:rsidRDefault="00A31137" w:rsidP="00A31137">
      <w:r w:rsidRPr="00A31137">
        <w:t>The 1985 Act was again based largely on a proposal submitted by the National Governors' Association. In broad outline, the Act embodies a compromise among the sited and unsited States. The sited States agreed to extend for seven years the period in which they would accept low level radioactive waste from other States. In exchange, the unsited States agreed to end their reliance on the sited States by 1992.</w:t>
      </w:r>
    </w:p>
    <w:p w:rsidR="00A31137" w:rsidRPr="00A31137" w:rsidRDefault="00A31137" w:rsidP="00A31137">
      <w:r w:rsidRPr="00A31137">
        <w:t>1992, New York v. United States, 505 U.S. 151</w:t>
      </w:r>
    </w:p>
    <w:p w:rsidR="00A31137" w:rsidRPr="00A31137" w:rsidRDefault="00A31137" w:rsidP="00A31137">
      <w:r w:rsidRPr="00A31137">
        <w:t>The mechanics of this compromise are intricate. The Act directs:</w:t>
      </w:r>
    </w:p>
    <w:p w:rsidR="00A31137" w:rsidRPr="00A31137" w:rsidRDefault="00A31137" w:rsidP="00A31137">
      <w:r w:rsidRPr="00A31137">
        <w:t>1992, New York v. United States, 505 U.S. 151</w:t>
      </w:r>
    </w:p>
    <w:p w:rsidR="00A31137" w:rsidRPr="00A31137" w:rsidRDefault="00A31137" w:rsidP="00A31137">
      <w:r w:rsidRPr="00A31137">
        <w:t>Each State shall be responsible for providing, either by itself or in cooperation with other States, for the disposal of…low-level radioactive waste generated within the State,</w:t>
      </w:r>
    </w:p>
    <w:p w:rsidR="00A31137" w:rsidRPr="00A31137" w:rsidRDefault="00A31137" w:rsidP="00A31137">
      <w:r w:rsidRPr="00A31137">
        <w:t>1992, New York v. United States, 505 U.S. 151</w:t>
      </w:r>
    </w:p>
    <w:p w:rsidR="00A31137" w:rsidRPr="00A31137" w:rsidRDefault="00A31137" w:rsidP="00A31137">
      <w:r w:rsidRPr="00A31137">
        <w:t xml:space="preserve">42 U.S.C. § 2021c(a)(1)(A), with the exception of certain waste generated by the Federal Government, §§ 2021c(a)(1)(B), 2021c(b). The Act authorizes States to [505 U.S. 152] </w:t>
      </w:r>
    </w:p>
    <w:p w:rsidR="00A31137" w:rsidRPr="00A31137" w:rsidRDefault="00A31137" w:rsidP="00A31137">
      <w:r w:rsidRPr="00A31137">
        <w:t>1992, New York v. United States, 505 U.S. 152</w:t>
      </w:r>
    </w:p>
    <w:p w:rsidR="00A31137" w:rsidRPr="00A31137" w:rsidRDefault="00A31137" w:rsidP="00A31137">
      <w:r w:rsidRPr="00A31137">
        <w:t>enter into such [interstate] compacts as may be necessary to provide for the establishment and operation of regional disposal facilities for low-level radioactive waste.</w:t>
      </w:r>
    </w:p>
    <w:p w:rsidR="00A31137" w:rsidRPr="00A31137" w:rsidRDefault="00A31137" w:rsidP="00A31137">
      <w:r w:rsidRPr="00A31137">
        <w:t>1992, New York v. United States, 505 U.S. 152</w:t>
      </w:r>
    </w:p>
    <w:p w:rsidR="00A31137" w:rsidRPr="00A31137" w:rsidRDefault="00A31137" w:rsidP="00A31137">
      <w:r w:rsidRPr="00A31137">
        <w:t>§ 2021d(a)(2). For an additional seven years beyond the period contemplated by the 1980 Act, from the beginning of 1986 through the end of 1992, the three existing disposal sites "shall make disposal capacity available for low-level radioactive waste generated by any source," with certain exceptions not relevant here. § 2021e(a)(2). But the three States in which the disposal sites are located are permitted to exact a graduated surcharge for waste arriving from outside the regional compact—in 1986-1987, $10 per cubic foot; in 1988-1989, $20 per cubic foot; and in 1990-1992, $40 per cubic foot. § 2021e(d)(1). After the seven-year transition period expires, approved regional compacts may exclude radioactive waste generated outside the region. § 2021d(c).</w:t>
      </w:r>
    </w:p>
    <w:p w:rsidR="00A31137" w:rsidRPr="00A31137" w:rsidRDefault="00A31137" w:rsidP="00A31137">
      <w:r w:rsidRPr="00A31137">
        <w:t>1992, New York v. United States, 505 U.S. 152</w:t>
      </w:r>
    </w:p>
    <w:p w:rsidR="00A31137" w:rsidRPr="00A31137" w:rsidRDefault="00A31137" w:rsidP="00A31137">
      <w:r w:rsidRPr="00A31137">
        <w:t>The Act provides three types of incentives to encourage the States to comply with their statutory obligation to provide for the disposal of waste generated within their borders.</w:t>
      </w:r>
    </w:p>
    <w:p w:rsidR="00A31137" w:rsidRPr="00A31137" w:rsidRDefault="00A31137" w:rsidP="00A31137">
      <w:r w:rsidRPr="00A31137">
        <w:t>1992, New York v. United States, 505 U.S. 152</w:t>
      </w:r>
    </w:p>
    <w:p w:rsidR="00A31137" w:rsidRPr="00A31137" w:rsidRDefault="00A31137" w:rsidP="00A31137">
      <w:r w:rsidRPr="00A31137">
        <w:t>1. Monetary incentives. One quarter of the surcharges collected by the sited States must be transferred to an escrow account held by the Secretary of Energy. § 2021e(d)(2)(A). The Secretary then makes payments from this account to each State that has complied with a series of deadlines. By July 1, 1986, each State was to have ratified legislation either joining a regional compact or indicating an intent to develop a disposal facility within the State. §§ 2021e(e)(1)(A), 2021e(d)(2)(B)(i). By January 1, 1988, each unsited compact was to have identified the State in which its facility would be located, and each compact or stand-alone State was to have developed a siting plan and taken other identified steps. §§ 2021e(e)(1)(B), 2021e(d)(2)(B)(ii). By January 1, 1990, each State or compact was to have filed a complete application for a license to operate a disposal facility, or the Governor of any State that had not filed an application was to have certified that the State would be capable of disposing [505 U.S. 153] of all waste generated in the State after 1992. §§ 2021e(e)(1)(C), 2021e(d)(2)(B)(iii). The rest of the account is to be paid out to those States or compacts able to dispose of all low level radioactive waste generated within their borders by January 1, 1993. § 2021e(d)(2)(B)(iv). Each State that has not met the 1993 deadline must either take title to the waste generated within its borders or forfeit to the waste generators the incentive payments it has received. § 2021e(d)(2)(C).</w:t>
      </w:r>
    </w:p>
    <w:p w:rsidR="00A31137" w:rsidRPr="00A31137" w:rsidRDefault="00A31137" w:rsidP="00A31137">
      <w:r w:rsidRPr="00A31137">
        <w:t>1992, New York v. United States, 505 U.S. 153</w:t>
      </w:r>
    </w:p>
    <w:p w:rsidR="00A31137" w:rsidRPr="00A31137" w:rsidRDefault="00A31137" w:rsidP="00A31137">
      <w:r w:rsidRPr="00A31137">
        <w:t>2. Access incentives. The second type of incentive involves the denial of access to disposal sites. States that fail to meet the July, 1986, deadline may be charged twice the ordinary surcharge for the remainder of 1986, and may be denied access to disposal facilities thereafter. § 2021e(e)(2)(A). States that fail to meet the 1988 deadline may be charged double surcharges for the first half of 1988 and quadruple surcharges for the second half of 1988, and may be denied access thereafter. § 2021e(e)(2)(B). States that fail to meet the 1990 deadline may be denied access. § 2021e(e)(2)(C). Finally, States that have not filed complete applications by January 1, 1992, for a license to operate a disposal facility, or States belonging to compacts that have not filed such applications, may be charged triple surcharges. §§ 2021e(e)(1)(D), 2021e(e)(2)(D).</w:t>
      </w:r>
    </w:p>
    <w:p w:rsidR="00A31137" w:rsidRPr="00A31137" w:rsidRDefault="00A31137" w:rsidP="00A31137">
      <w:r w:rsidRPr="00A31137">
        <w:t>1992, New York v. United States, 505 U.S. 153</w:t>
      </w:r>
    </w:p>
    <w:p w:rsidR="00A31137" w:rsidRPr="00A31137" w:rsidRDefault="00A31137" w:rsidP="00A31137">
      <w:r w:rsidRPr="00A31137">
        <w:t>3. The take title provision. The third type of incentive is the most severe. The Act provides:</w:t>
      </w:r>
    </w:p>
    <w:p w:rsidR="00A31137" w:rsidRPr="00A31137" w:rsidRDefault="00A31137" w:rsidP="00A31137">
      <w:r w:rsidRPr="00A31137">
        <w:t>1992, New York v. United States, 505 U.S. 153</w:t>
      </w:r>
    </w:p>
    <w:p w:rsidR="00A31137" w:rsidRPr="00A31137" w:rsidRDefault="00A31137" w:rsidP="00A31137">
      <w:r w:rsidRPr="00A31137">
        <w:t>If a State (or, where applicable, a compact region) in which low-level radioactive waste is generated is unable to provide for the disposal of all such waste generated within such State or compact region by January 1, 1996, each State in which such waste is generated, upon the request of the generator or owner of the waste, shall take title to the waste, be obligated to take possession [505 U.S. 154] of the waste, and shall be liable for all damages directly or indirectly incurred by such generator or owner as a consequence of the failure of the State to take possession of the waste as soon after January 1, 1996, as the generator or owner notifies the State that the waste is available for shipment.</w:t>
      </w:r>
    </w:p>
    <w:p w:rsidR="00A31137" w:rsidRPr="00A31137" w:rsidRDefault="00A31137" w:rsidP="00A31137">
      <w:r w:rsidRPr="00A31137">
        <w:t>1992, New York v. United States, 505 U.S. 154</w:t>
      </w:r>
    </w:p>
    <w:p w:rsidR="00A31137" w:rsidRPr="00A31137" w:rsidRDefault="00A31137" w:rsidP="00A31137">
      <w:r w:rsidRPr="00A31137">
        <w:t>§ 2021e(d)(2)(C). These three incentives are the focus of petitioners' constitutional challenge.</w:t>
      </w:r>
    </w:p>
    <w:p w:rsidR="00A31137" w:rsidRPr="00A31137" w:rsidRDefault="00A31137" w:rsidP="00A31137">
      <w:r w:rsidRPr="00A31137">
        <w:t>1992, New York v. United States, 505 U.S. 154</w:t>
      </w:r>
    </w:p>
    <w:p w:rsidR="00A31137" w:rsidRPr="00A31137" w:rsidRDefault="00A31137" w:rsidP="00A31137">
      <w:r w:rsidRPr="00A31137">
        <w:t>In the seven years since the Act took effect, Congress has approved nine regional compacts, encompassing 42 of the States. All six unsited compacts and four of the unaffiliated States have met the first three statutory milestones. Brief for United States 10, n.19; id. at 13, n. 25.</w:t>
      </w:r>
    </w:p>
    <w:p w:rsidR="00A31137" w:rsidRPr="00A31137" w:rsidRDefault="00A31137" w:rsidP="00A31137">
      <w:r w:rsidRPr="00A31137">
        <w:t>1992, New York v. United States, 505 U.S. 154</w:t>
      </w:r>
    </w:p>
    <w:p w:rsidR="00A31137" w:rsidRPr="00A31137" w:rsidRDefault="00A31137" w:rsidP="00A31137">
      <w:r w:rsidRPr="00A31137">
        <w:t>New York, a State whose residents generate a relatively large share of the Nation's low level radioactive waste, did not join a regional compact. Instead, the State complied with the Act's requirements by enacting legislation providing for the siting and financing of a disposal facility in New York. The State has identified five potential sites, three in Allegany County and two in Cortland County. Residents of the two counties oppose the State's choice of location. App. 29a-30a, 66a-68a.</w:t>
      </w:r>
    </w:p>
    <w:p w:rsidR="00A31137" w:rsidRPr="00A31137" w:rsidRDefault="00A31137" w:rsidP="00A31137">
      <w:r w:rsidRPr="00A31137">
        <w:t>1992, New York v. United States, 505 U.S. 154</w:t>
      </w:r>
    </w:p>
    <w:p w:rsidR="00A31137" w:rsidRPr="00A31137" w:rsidRDefault="00A31137" w:rsidP="00A31137">
      <w:r w:rsidRPr="00A31137">
        <w:t xml:space="preserve">Petitioners—the State of New York and the two counties—filed this suit against the United States in 1990. They sought a declaratory judgment that the Act is inconsistent with the Tenth and Eleventh Amendments to the Constitution, with the Due Process Clause of the Fifth Amendment, and with the Guarantee Clause of Article IV of the Constitution. The States of Washington, Nevada, and South Carolina intervened as defendants. The District Court dismissed the complaint. 757 F.Supp. 10 (NDNY 1990). The Court of Appeals affirmed. 942 F.2d 114 (CA2 1991). Petitioners have abandoned their Due Process and Eleventh Amendment claims on their way up the appellate ladder; as the case stands before us, petitioners claim only that the Act is inconsistent with the Tenth Amendment and the Guarantee Clause. [505 U.S. 155] </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1992, New York v. United States, 505 U.S. 155</w:t>
      </w:r>
    </w:p>
    <w:p w:rsidR="00A31137" w:rsidRPr="00A31137" w:rsidRDefault="00A31137" w:rsidP="00A31137">
      <w:r w:rsidRPr="00A31137">
        <w:t>In 1788, in the course of explaining to the citizens of New York why the recently drafted Constitution provided for federal courts, Alexander Hamilton observed:</w:t>
      </w:r>
    </w:p>
    <w:p w:rsidR="00A31137" w:rsidRPr="00A31137" w:rsidRDefault="00A31137" w:rsidP="00A31137">
      <w:r w:rsidRPr="00A31137">
        <w:t>1992, New York v. United States, 505 U.S. 155</w:t>
      </w:r>
    </w:p>
    <w:p w:rsidR="00A31137" w:rsidRPr="00A31137" w:rsidRDefault="00A31137" w:rsidP="00A31137">
      <w:r w:rsidRPr="00A31137">
        <w:t>The erection of a new government, whatever care or wisdom may distinguish the work, cannot fail to originate questions of intricacy and nicety; and these may, in a particular manner, be expected to flow from the the establishment of a constitution founded upon the total or partial incorporation of a number of distinct sovereignties.</w:t>
      </w:r>
    </w:p>
    <w:p w:rsidR="00A31137" w:rsidRPr="00A31137" w:rsidRDefault="00A31137" w:rsidP="00A31137">
      <w:r w:rsidRPr="00A31137">
        <w:t>1992, New York v. United States, 505 U.S. 155</w:t>
      </w:r>
    </w:p>
    <w:p w:rsidR="00A31137" w:rsidRPr="00A31137" w:rsidRDefault="00A31137" w:rsidP="00A31137">
      <w:r w:rsidRPr="00A31137">
        <w:t>The Federalist No. 82, p. 491 (C. Rossiter ed.1961). Hamilton's prediction has proved quite accurate. While no one disputes the proposition that "[t]he Constitution created a Federal Government of limited powers," Gregory v. Ashcroft, 501 U.S. (1991); and while the Tenth Amendment makes explicit that</w:t>
      </w:r>
    </w:p>
    <w:p w:rsidR="00A31137" w:rsidRPr="00A31137" w:rsidRDefault="00A31137" w:rsidP="00A31137">
      <w:r w:rsidRPr="00A31137">
        <w:t>1992, New York v. United States, 505 U.S. 155</w:t>
      </w:r>
    </w:p>
    <w:p w:rsidR="00A31137" w:rsidRPr="00A31137" w:rsidRDefault="00A31137" w:rsidP="00A31137">
      <w:r w:rsidRPr="00A31137">
        <w:t>[t]he powers not delegated to the United States by the Constitution, nor prohibited by it to the States, are reserved to the States respectively, or to the people,</w:t>
      </w:r>
    </w:p>
    <w:p w:rsidR="00A31137" w:rsidRPr="00A31137" w:rsidRDefault="00A31137" w:rsidP="00A31137">
      <w:r w:rsidRPr="00A31137">
        <w:t>1992, New York v. United States, 505 U.S. 155</w:t>
      </w:r>
    </w:p>
    <w:p w:rsidR="00A31137" w:rsidRPr="00A31137" w:rsidRDefault="00A31137" w:rsidP="00A31137">
      <w:r w:rsidRPr="00A31137">
        <w:t>the task of ascertaining the constitutional line between federal and state power has given rise to many of the Court's most difficult and celebrated cases. At least as far back as Martin v. Hunter's Lessee, 1 Wheat. 304,  324 (1816), the Court has resolved questions "of great importance and delicacy" in determining whether particular sovereign powers have been granted by the Constitution to the Federal Government or have been retained by the States.</w:t>
      </w:r>
    </w:p>
    <w:p w:rsidR="00A31137" w:rsidRPr="00A31137" w:rsidRDefault="00A31137" w:rsidP="00A31137">
      <w:r w:rsidRPr="00A31137">
        <w:t>1992, New York v. United States, 505 U.S. 155</w:t>
      </w:r>
    </w:p>
    <w:p w:rsidR="00A31137" w:rsidRPr="00A31137" w:rsidRDefault="00A31137" w:rsidP="00A31137">
      <w:r w:rsidRPr="00A31137">
        <w:t>These questions can be viewed in either of two ways. In some cases, the Court has inquired whether an Act of Congress is authorized by one of the powers delegated to Congress in Article I of the Constitution. See, e.g., Perez v. United States, 402 U.S. 146 (1971); McCulloch v. Maryland, 4 Wheat. 316 (1819). In other cases, the Court has sought to determine whether an Act of Congress invades the province of state sovereignty reserved by the Tenth Amendment. See, e.g., Garcia v. San Antonio Metropolitan Transit [505 U.S. 156] Authority, 469 U.S. 528 (1985); Lane County v. Oregon, 7 Wall. 71 (1869). In a case like this one, involving the division of authority between federal and state governments, the two inquiries are mirror images of each other. If a power is delegated to Congress in the Constitution, the Tenth Amendment expressly disclaims any reservation of that power to the States; if a power is an attribute of state sovereignty reserved by the Tenth Amendment, it is necessarily a power the Constitution has not conferred on Congress. See United States v. Oregon, 366 U.S. 643, 649 (1961); Case v. Bowles, 327 U.S. 92, 102 (1946); Oklahoma ex rel. Phillips v. Guy F. Atkinson Co., 313 U.S. 508, 534 (1941).</w:t>
      </w:r>
    </w:p>
    <w:p w:rsidR="00A31137" w:rsidRPr="00A31137" w:rsidRDefault="00A31137" w:rsidP="00A31137">
      <w:r w:rsidRPr="00A31137">
        <w:t>1992, New York v. United States, 505 U.S. 156</w:t>
      </w:r>
    </w:p>
    <w:p w:rsidR="00A31137" w:rsidRPr="00A31137" w:rsidRDefault="00A31137" w:rsidP="00A31137">
      <w:r w:rsidRPr="00A31137">
        <w:t>It is in this sense that the Tenth Amendment "states but a truism that all is retained which has not been surrendered." United State v. Darby, 312 U.S. 100,  124 (1941). As Justice Story put it,</w:t>
      </w:r>
    </w:p>
    <w:p w:rsidR="00A31137" w:rsidRPr="00A31137" w:rsidRDefault="00A31137" w:rsidP="00A31137">
      <w:r w:rsidRPr="00A31137">
        <w:t>1992, New York v. United States, 505 U.S. 156</w:t>
      </w:r>
    </w:p>
    <w:p w:rsidR="00A31137" w:rsidRPr="00A31137" w:rsidRDefault="00A31137" w:rsidP="00A31137">
      <w:r w:rsidRPr="00A31137">
        <w:t>[t]his amendment is a mere affirmation of what, upon any just reasoning, is a necessary rule of interpreting the constitution. Being an instrument of limited and enumerated powers, it follows irresistibly that what is not conferred is withheld, and belongs to the state authorities.</w:t>
      </w:r>
    </w:p>
    <w:p w:rsidR="00A31137" w:rsidRPr="00A31137" w:rsidRDefault="00A31137" w:rsidP="00A31137">
      <w:r w:rsidRPr="00A31137">
        <w:t>1992, New York v. United States, 505 U.S. 156</w:t>
      </w:r>
    </w:p>
    <w:p w:rsidR="00A31137" w:rsidRPr="00A31137" w:rsidRDefault="00A31137" w:rsidP="00A31137">
      <w:r w:rsidRPr="00A31137">
        <w:t>3 J. Story, Commentaries on the Constitution of the United States 752 (1833). This has been the Court's consistent understanding:</w:t>
      </w:r>
    </w:p>
    <w:p w:rsidR="00A31137" w:rsidRPr="00A31137" w:rsidRDefault="00A31137" w:rsidP="00A31137">
      <w:r w:rsidRPr="00A31137">
        <w:t>1992, New York v. United States, 505 U.S. 156</w:t>
      </w:r>
    </w:p>
    <w:p w:rsidR="00A31137" w:rsidRPr="00A31137" w:rsidRDefault="00A31137" w:rsidP="00A31137">
      <w:r w:rsidRPr="00A31137">
        <w:t>The States unquestionably do retai[n] a significant measure of sovereign authority…to the extent that the Constitution has not divested them of their original powers and transferred those powers to the Federal Government.</w:t>
      </w:r>
    </w:p>
    <w:p w:rsidR="00A31137" w:rsidRPr="00A31137" w:rsidRDefault="00A31137" w:rsidP="00A31137">
      <w:r w:rsidRPr="00A31137">
        <w:t>1992, New York v. United States, 505 U.S. 156</w:t>
      </w:r>
    </w:p>
    <w:p w:rsidR="00A31137" w:rsidRPr="00A31137" w:rsidRDefault="00A31137" w:rsidP="00A31137">
      <w:r w:rsidRPr="00A31137">
        <w:t>Garcia v. San Antonio Metropolitan Transit Authority, supra, 469 U.S. at  5497 (internal quotation marks omitted).</w:t>
      </w:r>
    </w:p>
    <w:p w:rsidR="00A31137" w:rsidRPr="00A31137" w:rsidRDefault="00A31137" w:rsidP="00A31137">
      <w:r w:rsidRPr="00A31137">
        <w:t>1992, New York v. United States, 505 U.S. 156</w:t>
      </w:r>
    </w:p>
    <w:p w:rsidR="00A31137" w:rsidRPr="00A31137" w:rsidRDefault="00A31137" w:rsidP="00A31137">
      <w:r w:rsidRPr="00A31137">
        <w:t>Congress exercises its conferred powers subject to the limitations contained in the Constitution. Thus, for example, under the Commerce Clause, Congress may regulate publishers engaged in interstate commerce, but Congress is constrained in the exercise of that power by the First Amendment. The Tenth Amendment likewise restrains the power of Congress, but this limit is not derived from the text of the Tenth Amendment itself, which, as we have discussed, [505 U.S. 157] is essentially a tautology. Instead, the Tenth Amendment confirms that the power of the Federal Government is subject to limits that may, in a given instance, reserve power to the States. The Tenth Amendment thus directs us to determine, as in this case, whether an incident of state sovereignty is protected by a limitation on an Article I power.</w:t>
      </w:r>
    </w:p>
    <w:p w:rsidR="00A31137" w:rsidRPr="00A31137" w:rsidRDefault="00A31137" w:rsidP="00A31137">
      <w:r w:rsidRPr="00A31137">
        <w:t>1992, New York v. United States, 505 U.S. 157</w:t>
      </w:r>
    </w:p>
    <w:p w:rsidR="00A31137" w:rsidRPr="00A31137" w:rsidRDefault="00A31137" w:rsidP="00A31137">
      <w:r w:rsidRPr="00A31137">
        <w:t>The benefits of this federal structure have been extensively catalogued elsewhere, see, e.g., Gregory v. Ashcroft, supra, 501 U.S. at 457-460; Merritt, The Guarantee Clause and State Autonomy: Federalism for a Third Century, 88 Colum.L.Rev. 1, 3-10 (1988); McConnell, Federalism: Evaluating the Founders' Design, 54 U.Chi.L.Rev. 1484, 1491-1511 (1987), but they need not concern us here. Our task would be the same even if one could prove that federalism secured no advantages to anyone. It consists not of devising our preferred system of government, but of understanding and applying the framework set forth in the Constitution. "The question is not what power the Federal Government ought to have, but what powers in fact have been given by the people." United States v. Butler, 297 U.S. 1,  63 (1936).</w:t>
      </w:r>
    </w:p>
    <w:p w:rsidR="00A31137" w:rsidRPr="00A31137" w:rsidRDefault="00A31137" w:rsidP="00A31137">
      <w:r w:rsidRPr="00A31137">
        <w:t>1992, New York v. United States, 505 U.S. 157</w:t>
      </w:r>
    </w:p>
    <w:p w:rsidR="00A31137" w:rsidRPr="00A31137" w:rsidRDefault="00A31137" w:rsidP="00A31137">
      <w:r w:rsidRPr="00A31137">
        <w:t>This framework has been sufficiently flexible over the past two centuries to allow for enormous changes in the nature of government. The Federal Government undertakes activities today that would have been unimaginable to the Framers in two senses; first, because the Framers would not have conceived that any government would conduct such activities; and second, because the Framers would not have believed that the Federal Government, rather than the States, would assume such responsibilities. Yet the powers conferred upon the Federal Government by the Constitution were phrased in language broad enough to allow for the expansion of the Federal Government's role. Among the provisions of the Constitution that have been particularly important in this regard, three concern us here.</w:t>
      </w:r>
    </w:p>
    <w:p w:rsidR="00A31137" w:rsidRPr="00A31137" w:rsidRDefault="00A31137" w:rsidP="00A31137">
      <w:r w:rsidRPr="00A31137">
        <w:t>1992, New York v. United States, 505 U.S. 157</w:t>
      </w:r>
    </w:p>
    <w:p w:rsidR="00A31137" w:rsidRPr="00A31137" w:rsidRDefault="00A31137" w:rsidP="00A31137">
      <w:r w:rsidRPr="00A31137">
        <w:t>First, the Constitution allocates to Congress the power "[t]o regulate Commerce…among the several States." [505 U.S. 158] Art. I, § 8, cl. 3. Interstate commerce was an established feature of life in the late 18th century. See, e.g., The Federalist No. 42, p. 267 (C. Rossiter ed.1961) ("The defect of power in the existing Confederacy to regulate the commerce between its several members [has] been clearly pointed out by experience"). The volume of interstate commerce and the range of commonly accepted objects of government regulation have, however, expanded considerably in the last 200 years, and the regulatory authority of Congress has expanded along with them. As interstate commerce has become ubiquitous, activities once considered purely local have come to have effects on the national economy, and have accordingly come within the scope of Congress' commerce power. See, e.g., Katzenbach v. McClung, 379 U.S. 294 (1964); Wickard v. Filburn, 317 U.S. 111 (1942).</w:t>
      </w:r>
    </w:p>
    <w:p w:rsidR="00A31137" w:rsidRPr="00A31137" w:rsidRDefault="00A31137" w:rsidP="00A31137">
      <w:r w:rsidRPr="00A31137">
        <w:t>1992, New York v. United States, 505 U.S. 158</w:t>
      </w:r>
    </w:p>
    <w:p w:rsidR="00A31137" w:rsidRPr="00A31137" w:rsidRDefault="00A31137" w:rsidP="00A31137">
      <w:r w:rsidRPr="00A31137">
        <w:t>Second, the Constitution authorizes Congress "to pay the Debts and provide for the…general Welfare of the United States." Art. I, § 8, cl. 1. As conventional notions of the proper objects of government spending have changed over the years, so has the ability of Congress to "fix the terms on which it shall disburse federal money to the States." Pennhurst State School and Hospital v. Halderman, 451 U.S. 1, 17 (1981). Compare, e.g., United States v. Butler, supra, 297 U.S. at 72-75 (spending power does not authorize Congress to subsidize farmers), with South Dakota v. Dole, 483 U.S. 203 (1987) (spending power permits Congress to condition highway funds on States' adoption of minimum drinking age). While the spending power is "subject to several general restrictions articulated in our cases," id. at  207, these restrictions have not been so severe as to prevent the regulatory authority of Congress from generally keeping up with the growth of the federal budget.</w:t>
      </w:r>
    </w:p>
    <w:p w:rsidR="00A31137" w:rsidRPr="00A31137" w:rsidRDefault="00A31137" w:rsidP="00A31137">
      <w:r w:rsidRPr="00A31137">
        <w:t>1992, New York v. United States, 505 U.S. 158</w:t>
      </w:r>
    </w:p>
    <w:p w:rsidR="00A31137" w:rsidRPr="00A31137" w:rsidRDefault="00A31137" w:rsidP="00A31137">
      <w:r w:rsidRPr="00A31137">
        <w:t>The Court's broad construction of Congress' power under the Commerce and Spending Clauses has of course been guided, as it has with respect to Congress' power generally, by the Constitution's Necessary and Proper Clause, which [505 U.S. 159] authorizes Congress "[t]o make all Laws which shall be necessary and proper for carrying into Execution the foregoing Powers." U.S.Const., Art. I., § 8, cl. 18. See, e.g., Legal Tender Case (Juilliard v. Greenman), 110 U.S. 421, 449-450 (1884); McCulloch v. Maryland, 4 Wheat. at 411-421.</w:t>
      </w:r>
    </w:p>
    <w:p w:rsidR="00A31137" w:rsidRPr="00A31137" w:rsidRDefault="00A31137" w:rsidP="00A31137">
      <w:r w:rsidRPr="00A31137">
        <w:t>1992, New York v. United States, 505 U.S. 159</w:t>
      </w:r>
    </w:p>
    <w:p w:rsidR="00A31137" w:rsidRPr="00A31137" w:rsidRDefault="00A31137" w:rsidP="00A31137">
      <w:r w:rsidRPr="00A31137">
        <w:t>Finally, the Constitution provides that</w:t>
      </w:r>
    </w:p>
    <w:p w:rsidR="00A31137" w:rsidRPr="00A31137" w:rsidRDefault="00A31137" w:rsidP="00A31137">
      <w:r w:rsidRPr="00A31137">
        <w:t>1992, New York v. United States, 505 U.S. 159</w:t>
      </w:r>
    </w:p>
    <w:p w:rsidR="00A31137" w:rsidRPr="00A31137" w:rsidRDefault="00A31137" w:rsidP="00A31137">
      <w:r w:rsidRPr="00A31137">
        <w:t>the Laws of the United States…shall be the supreme Law of the Land…any Thing in the Constitution or Laws of any State to the Contrary notwithstanding.</w:t>
      </w:r>
    </w:p>
    <w:p w:rsidR="00A31137" w:rsidRPr="00A31137" w:rsidRDefault="00A31137" w:rsidP="00A31137">
      <w:r w:rsidRPr="00A31137">
        <w:t>1992, New York v. United States, 505 U.S. 159</w:t>
      </w:r>
    </w:p>
    <w:p w:rsidR="00A31137" w:rsidRPr="00A31137" w:rsidRDefault="00A31137" w:rsidP="00A31137">
      <w:r w:rsidRPr="00A31137">
        <w:t>U.S.Const., Art. VI, cl. 2. As the Federal Government's willingness to exercise power within the confines of the Constitution has grown, the authority of the States has correspondingly diminished to the extent that federal and state policies have conflicted. See, e.g., Shaw v. Delta Air Lines Inc., 463 U.S. 85 (1983). We have observed that the Supremacy Clause gives the Federal Government "a decided advantage in th[e] delicate balance" the Constitution strikes between State and Federal power. Gregory v. Ashcroft, 501 U.S. at 460.</w:t>
      </w:r>
    </w:p>
    <w:p w:rsidR="00A31137" w:rsidRPr="00A31137" w:rsidRDefault="00A31137" w:rsidP="00A31137">
      <w:r w:rsidRPr="00A31137">
        <w:t>1992, New York v. United States, 505 U.S. 159</w:t>
      </w:r>
    </w:p>
    <w:p w:rsidR="00A31137" w:rsidRPr="00A31137" w:rsidRDefault="00A31137" w:rsidP="00A31137">
      <w:r w:rsidRPr="00A31137">
        <w:t>The actual scope of the Federal Government's authority with respect to the States has changed over the years, therefore, but the constitutional structure underlying and limiting that authority has not. In the end, just as a cup may be half empty or half full, it makes no difference whether one views the question at issue in this case as one of ascertaining the limits of the power delegated to the Federal Government under the affirmative provisions of the Constitution or one of discerning the core of sovereignty retained by the States under the Tenth Amendment. Either way, we must determine whether any of the three challenged provisions of the Low-Level Radioactive Waste Policy Amendments Act of 1985 oversteps the boundary between federal and state authority.</w:t>
      </w:r>
    </w:p>
    <w:p w:rsidR="00A31137" w:rsidRPr="00A31137" w:rsidRDefault="00A31137" w:rsidP="00A31137">
      <w:r w:rsidRPr="00A31137">
        <w:t>B</w:t>
      </w:r>
    </w:p>
    <w:p w:rsidR="00A31137" w:rsidRPr="00A31137" w:rsidRDefault="00A31137" w:rsidP="00A31137">
      <w:r w:rsidRPr="00A31137">
        <w:t>1992, New York v. United States, 505 U.S. 159</w:t>
      </w:r>
    </w:p>
    <w:p w:rsidR="00A31137" w:rsidRPr="00A31137" w:rsidRDefault="00A31137" w:rsidP="00A31137">
      <w:r w:rsidRPr="00A31137">
        <w:t>Petitioners do not contend that Congress lacks the power to regulate the disposal of low level radioactive waste. Space in radioactive waste disposal sites is frequently sold [505 U.S. 160] by residents of one State to residents of another. Regulation of the resulting interstate market in waste disposal is therefore well within Congress' authority under the Commerce Clause. Cf. Philadelphia v. New Jersey, 437 U.S. 617, 621-623 (1978); Fort Gratiot Sanitary Landfill, Inc. v. Michigan Dept. of Natural Resources, 504 U.S. 353,  359 (1992). Petitioners likewise do not dispute that, under the Supremacy Clause, Congress could, if it wished, preempt state radioactive waste regulation. Petitioners contend only that the Tenth Amendment limits the power of Congress to regulate in the way it has chosen. Rather than addressing the problem of waste disposal by directly regulating the generators and disposers of waste, petitioners argue, Congress has impermissibly directed the States to regulate in this field.</w:t>
      </w:r>
    </w:p>
    <w:p w:rsidR="00A31137" w:rsidRPr="00A31137" w:rsidRDefault="00A31137" w:rsidP="00A31137">
      <w:r w:rsidRPr="00A31137">
        <w:t>1992, New York v. United States, 505 U.S. 160</w:t>
      </w:r>
    </w:p>
    <w:p w:rsidR="00A31137" w:rsidRPr="00A31137" w:rsidRDefault="00A31137" w:rsidP="00A31137">
      <w:r w:rsidRPr="00A31137">
        <w:t xml:space="preserve">Most of our recent cases interpreting the Tenth Amendment have concerned the authority of Congress to subject state governments to generally applicable laws. The Court's jurisprudence in this area has traveled an unsteady path. See Maryland v. Wirtz, 392 U.S. 183 (1968) (state schools and hospitals are subject to Fair Labor Standards Act); National League of Cities v. Usery, 426 U.S. 833 (1976) (overruling Wirtz) (state employers are not subject to Fair Labor Standards Act); Garcia v. San Antonio Metropolitan Transit Authority, 469 U.S. 528 (1985) (overruling National League of Cities) (state employers are once again subject to Fair Labor Standards Act). See also New York v. United States, 326 U.S. 572 (1946); Fry v. United States, 421 U.S. 542 (1975); Transportation Union v. Long Island R. Co., 455 U.S. 678 (1982); EEOC v. Wyoming, 460 U.S. 226 (1983); South Carolina v. Baker, 485 U.S. 505 (1988); Gregory v. Ashcroft, supra. This case presents no occasion to apply or revisit the holdings of any of these cases, as this is not a case in which Congress has subjected a State to the same legislation applicable to private parties. Cf. FERC v. Mississippi, 456 U.S. 742, 758-759 (1982). [505 U.S. 161] </w:t>
      </w:r>
    </w:p>
    <w:p w:rsidR="00A31137" w:rsidRPr="00A31137" w:rsidRDefault="00A31137" w:rsidP="00A31137">
      <w:r w:rsidRPr="00A31137">
        <w:t>1992, New York v. United States, 505 U.S. 161</w:t>
      </w:r>
    </w:p>
    <w:p w:rsidR="00A31137" w:rsidRPr="00A31137" w:rsidRDefault="00A31137" w:rsidP="00A31137">
      <w:r w:rsidRPr="00A31137">
        <w:t>This case instead concerns the circumstances under which Congress may use the States as implements of regulation; that is, whether Congress may direct or otherwise motivate the States to regulate in a particular field or a particular way. Our cases have established a few principles that guide our resolution of the issue.</w:t>
      </w:r>
    </w:p>
    <w:p w:rsidR="00A31137" w:rsidRPr="00A31137" w:rsidRDefault="00A31137" w:rsidP="00A31137">
      <w:r w:rsidRPr="00A31137">
        <w:t>1</w:t>
      </w:r>
    </w:p>
    <w:p w:rsidR="00A31137" w:rsidRPr="00A31137" w:rsidRDefault="00A31137" w:rsidP="00A31137">
      <w:r w:rsidRPr="00A31137">
        <w:t>1992, New York v. United States, 505 U.S. 161</w:t>
      </w:r>
    </w:p>
    <w:p w:rsidR="00A31137" w:rsidRPr="00A31137" w:rsidRDefault="00A31137" w:rsidP="00A31137">
      <w:r w:rsidRPr="00A31137">
        <w:t>As an initial matter, Congress may not simply</w:t>
      </w:r>
    </w:p>
    <w:p w:rsidR="00A31137" w:rsidRPr="00A31137" w:rsidRDefault="00A31137" w:rsidP="00A31137">
      <w:r w:rsidRPr="00A31137">
        <w:t>1992, New York v. United States, 505 U.S. 161</w:t>
      </w:r>
    </w:p>
    <w:p w:rsidR="00A31137" w:rsidRPr="00A31137" w:rsidRDefault="00A31137" w:rsidP="00A31137">
      <w:r w:rsidRPr="00A31137">
        <w:t>commandee[r] the legislative processes of the States by directly compelling them to enact and enforce a federal regulatory program.</w:t>
      </w:r>
    </w:p>
    <w:p w:rsidR="00A31137" w:rsidRPr="00A31137" w:rsidRDefault="00A31137" w:rsidP="00A31137">
      <w:r w:rsidRPr="00A31137">
        <w:t>1992, New York v. United States, 505 U.S. 161</w:t>
      </w:r>
    </w:p>
    <w:p w:rsidR="00A31137" w:rsidRPr="00A31137" w:rsidRDefault="00A31137" w:rsidP="00A31137">
      <w:r w:rsidRPr="00A31137">
        <w:t>Hodel v. Virginia Surface Mining &amp; Reclamation Assn., Inc., 452 U.S. 264, 288 (1981). In Hodel, the Court upheld the Surface Mining Control and Reclamation Act of 1977 precisely because it did not "commandeer" the States into regulating mining. The Court found that</w:t>
      </w:r>
    </w:p>
    <w:p w:rsidR="00A31137" w:rsidRPr="00A31137" w:rsidRDefault="00A31137" w:rsidP="00A31137">
      <w:r w:rsidRPr="00A31137">
        <w:t>1992, New York v. United States, 505 U.S. 161</w:t>
      </w:r>
    </w:p>
    <w:p w:rsidR="00A31137" w:rsidRPr="00A31137" w:rsidRDefault="00A31137" w:rsidP="00A31137">
      <w:r w:rsidRPr="00A31137">
        <w:t>the States are not compelled to enforce the steep-slope standards, to expend any state funds, or to participate in the federal regulatory program in any manner whatsoever. If a State does not wish to submit a proposed permanent program that complies with the Act and implementing regulations, the full regulatory burden will be borne by the Federal Government.</w:t>
      </w:r>
    </w:p>
    <w:p w:rsidR="00A31137" w:rsidRPr="00A31137" w:rsidRDefault="00A31137" w:rsidP="00A31137">
      <w:r w:rsidRPr="00A31137">
        <w:t>1992, New York v. United States, 505 U.S. 161</w:t>
      </w:r>
    </w:p>
    <w:p w:rsidR="00A31137" w:rsidRPr="00A31137" w:rsidRDefault="00A31137" w:rsidP="00A31137">
      <w:r w:rsidRPr="00A31137">
        <w:t>Ibid.</w:t>
      </w:r>
    </w:p>
    <w:p w:rsidR="00A31137" w:rsidRPr="00A31137" w:rsidRDefault="00A31137" w:rsidP="00A31137">
      <w:r w:rsidRPr="00A31137">
        <w:t>1992, New York v. United States, 505 U.S. 161</w:t>
      </w:r>
    </w:p>
    <w:p w:rsidR="00A31137" w:rsidRPr="00A31137" w:rsidRDefault="00A31137" w:rsidP="00A31137">
      <w:r w:rsidRPr="00A31137">
        <w:t>The Court reached the same conclusion the following year in FERC v. Mississippi, supra. At issue in FERC was the Public Utility Regulatory Policies Act of 1978, a federal statute encouraging the States in various ways to develop programs to combat the Nation's energy crisis. We observed that "this Court never has sanctioned explicitly a federal command to the States to promulgate and enforce laws and regulations." Id. 456 U.S. at 761-762. As in Hodel, the Court upheld the statute at issue because it did not view the statute as such a command. The Court emphasized:</w:t>
      </w:r>
    </w:p>
    <w:p w:rsidR="00A31137" w:rsidRPr="00A31137" w:rsidRDefault="00A31137" w:rsidP="00A31137">
      <w:r w:rsidRPr="00A31137">
        <w:t>1992, New York v. United States, 505 U.S. 161</w:t>
      </w:r>
    </w:p>
    <w:p w:rsidR="00A31137" w:rsidRPr="00A31137" w:rsidRDefault="00A31137" w:rsidP="00A31137">
      <w:r w:rsidRPr="00A31137">
        <w:t>Titles I and III of [the Public Utility Regulatory Policies Act of 1978 (PURPA)] require only consideration of federal standards. And if a State has no utilities commission, or simply stops regulating in the field, it need not even entertain the federal [505 U.S. 162] proposals.</w:t>
      </w:r>
    </w:p>
    <w:p w:rsidR="00A31137" w:rsidRPr="00A31137" w:rsidRDefault="00A31137" w:rsidP="00A31137">
      <w:r w:rsidRPr="00A31137">
        <w:t>1992, New York v. United States, 505 U.S. 162</w:t>
      </w:r>
    </w:p>
    <w:p w:rsidR="00A31137" w:rsidRPr="00A31137" w:rsidRDefault="00A31137" w:rsidP="00A31137">
      <w:r w:rsidRPr="00A31137">
        <w:t>456 U.S. at  764 (emphasis in original). Because "[t]here [wa]s nothing in PURPA 'directly compelling' the States to enact a legislative program," the statute was not inconsistent with the Constitution's division of authority between the Federal Government and the States. Id., 456 U.S. at  765 (quoting Hodel v. Virginia Surface Mining &amp; Reclamation Assn., Inc., supra, 452 U.S. at 288). See also South Carolina v. Baker, supra, 485 U.S. at  513 (noting "the possibility that the Tenth Amendment might set some limits on Congress' power to compel States to regulate on behalf of federal interests"); Garcia v. San Antonio Metropolitan Transit Authority, supra, 469 U.S. at  556 (same).</w:t>
      </w:r>
    </w:p>
    <w:p w:rsidR="00A31137" w:rsidRPr="00A31137" w:rsidRDefault="00A31137" w:rsidP="00A31137">
      <w:r w:rsidRPr="00A31137">
        <w:t>1992, New York v. United States, 505 U.S. 162</w:t>
      </w:r>
    </w:p>
    <w:p w:rsidR="00A31137" w:rsidRPr="00A31137" w:rsidRDefault="00A31137" w:rsidP="00A31137">
      <w:r w:rsidRPr="00A31137">
        <w:t>These statements in FERC and Hodel were not innovations. While Congress has substantial powers to govern the Nation directly, including in areas of intimate concern to the States, the Constitution has never been understood to confer upon Congress the ability to require the States to govern according to Congress' instructions. See Coyle v. Oklahoma, 221 U.S. 559,  565 (1911). The Court has been explicit about this distinction.</w:t>
      </w:r>
    </w:p>
    <w:p w:rsidR="00A31137" w:rsidRPr="00A31137" w:rsidRDefault="00A31137" w:rsidP="00A31137">
      <w:r w:rsidRPr="00A31137">
        <w:t>1992, New York v. United States, 505 U.S. 162</w:t>
      </w:r>
    </w:p>
    <w:p w:rsidR="00A31137" w:rsidRPr="00A31137" w:rsidRDefault="00A31137" w:rsidP="00A31137">
      <w:r w:rsidRPr="00A31137">
        <w:t>Both the States and the United States existed before the Constitution. The people, through that instrument, established a more perfect union by substituting a national government, acting, with ample power, directly upon the citizens, instead of the Confederate government, which acted with powers, greatly restricted, only upon the States.</w:t>
      </w:r>
    </w:p>
    <w:p w:rsidR="00A31137" w:rsidRPr="00A31137" w:rsidRDefault="00A31137" w:rsidP="00A31137">
      <w:r w:rsidRPr="00A31137">
        <w:t>1992, New York v. United States, 505 U.S. 162</w:t>
      </w:r>
    </w:p>
    <w:p w:rsidR="00A31137" w:rsidRPr="00A31137" w:rsidRDefault="00A31137" w:rsidP="00A31137">
      <w:r w:rsidRPr="00A31137">
        <w:t>Lane County v. Oregon, 7 Wall. at 76 (emphasis added). The Court has made the same point with more rhetorical flourish, although perhaps with less precision, on a number of occasions. In Chief Justice Chase's much-quoted words,</w:t>
      </w:r>
    </w:p>
    <w:p w:rsidR="00A31137" w:rsidRPr="00A31137" w:rsidRDefault="00A31137" w:rsidP="00A31137">
      <w:r w:rsidRPr="00A31137">
        <w:t>1992, New York v. United States, 505 U.S. 162</w:t>
      </w:r>
    </w:p>
    <w:p w:rsidR="00A31137" w:rsidRPr="00A31137" w:rsidRDefault="00A31137" w:rsidP="00A31137">
      <w:r w:rsidRPr="00A31137">
        <w:t>the preservation of the States, and the maintenance of their governments, are as much within the design and care of the Constitution as the preservation of the Union and the maintenance of the National government. The Constitution, in all its provisions, looks to an indestructible Union, composed of indestructible States.</w:t>
      </w:r>
    </w:p>
    <w:p w:rsidR="00A31137" w:rsidRPr="00A31137" w:rsidRDefault="00A31137" w:rsidP="00A31137">
      <w:r w:rsidRPr="00A31137">
        <w:t>1992, New York v. United States, 505 U.S. 162</w:t>
      </w:r>
    </w:p>
    <w:p w:rsidR="00A31137" w:rsidRPr="00A31137" w:rsidRDefault="00A31137" w:rsidP="00A31137">
      <w:r w:rsidRPr="00A31137">
        <w:t>Texas v. White, 7 Wall. 700,  725 (1869). See also 269 U.S. 514Metcalf &amp; Eddy [505 U.S. 163] v. Mitchell, 269 U.S. 514, 523 (1926) ("neither government may destroy the other nor curtail in any substantial manner the exercise of its powers"); Tafflin v. Levitt, 493 U.S. 455, 458 (1990) ("under our federal system, the States possess sovereignty concurrent with that of the Federal Government"); Gregory v. Ashcroft, 501 U.S. at 461 ("the States retain substantial sovereign powers under our constitutional scheme, powers with which Congress does not readily interfere").</w:t>
      </w:r>
    </w:p>
    <w:p w:rsidR="00A31137" w:rsidRPr="00A31137" w:rsidRDefault="00A31137" w:rsidP="00A31137">
      <w:r w:rsidRPr="00A31137">
        <w:t>1992, New York v. United States, 505 U.S. 163</w:t>
      </w:r>
    </w:p>
    <w:p w:rsidR="00A31137" w:rsidRPr="00A31137" w:rsidRDefault="00A31137" w:rsidP="00A31137">
      <w:r w:rsidRPr="00A31137">
        <w:t>Indeed, the question whether the Constitution should permit Congress to employ state governments as regulatory agencies was a topic of lively debate among the Framers. Under the Articles of Confederation, Congress lacked the authority in most respects to govern the people directly. In practice, Congress</w:t>
      </w:r>
    </w:p>
    <w:p w:rsidR="00A31137" w:rsidRPr="00A31137" w:rsidRDefault="00A31137" w:rsidP="00A31137">
      <w:r w:rsidRPr="00A31137">
        <w:t>1992, New York v. United States, 505 U.S. 163</w:t>
      </w:r>
    </w:p>
    <w:p w:rsidR="00A31137" w:rsidRPr="00A31137" w:rsidRDefault="00A31137" w:rsidP="00A31137">
      <w:r w:rsidRPr="00A31137">
        <w:t>could not directly tax or legislate upon individuals; it had no explicit "legislative" or "governmental" power to make binding "law" enforceable as such.</w:t>
      </w:r>
    </w:p>
    <w:p w:rsidR="00A31137" w:rsidRPr="00A31137" w:rsidRDefault="00A31137" w:rsidP="00A31137">
      <w:r w:rsidRPr="00A31137">
        <w:t>1992, New York v. United States, 505 U.S. 163</w:t>
      </w:r>
    </w:p>
    <w:p w:rsidR="00A31137" w:rsidRPr="00A31137" w:rsidRDefault="00A31137" w:rsidP="00A31137">
      <w:r w:rsidRPr="00A31137">
        <w:t>Amar, Of Sovereignty and Federalism, 96 Yale L.J. 1425, 1447 (1987).</w:t>
      </w:r>
    </w:p>
    <w:p w:rsidR="00A31137" w:rsidRPr="00A31137" w:rsidRDefault="00A31137" w:rsidP="00A31137">
      <w:r w:rsidRPr="00A31137">
        <w:t>1992, New York v. United States, 505 U.S. 163</w:t>
      </w:r>
    </w:p>
    <w:p w:rsidR="00A31137" w:rsidRPr="00A31137" w:rsidRDefault="00A31137" w:rsidP="00A31137">
      <w:r w:rsidRPr="00A31137">
        <w:t>The inadequacy of this governmental structure was responsible in part for the Constitutional Convention. Alexander Hamilton observed:</w:t>
      </w:r>
    </w:p>
    <w:p w:rsidR="00A31137" w:rsidRPr="00A31137" w:rsidRDefault="00A31137" w:rsidP="00A31137">
      <w:r w:rsidRPr="00A31137">
        <w:t>1992, New York v. United States, 505 U.S. 163</w:t>
      </w:r>
    </w:p>
    <w:p w:rsidR="00A31137" w:rsidRPr="00A31137" w:rsidRDefault="00A31137" w:rsidP="00A31137">
      <w:r w:rsidRPr="00A31137">
        <w:t>The great and radical vice in the construction of the existing Confederation is in the principle of LEGISLATION for STATES or GOVERNMENTS, in their CORPORATE or COLLECTIVE CAPACITIES, and as contra-distinguished from the INDIVIDUALS of whom they consist.</w:t>
      </w:r>
    </w:p>
    <w:p w:rsidR="00A31137" w:rsidRPr="00A31137" w:rsidRDefault="00A31137" w:rsidP="00A31137">
      <w:r w:rsidRPr="00A31137">
        <w:t>1992, New York v. United States, 505 U.S. 163</w:t>
      </w:r>
    </w:p>
    <w:p w:rsidR="00A31137" w:rsidRPr="00A31137" w:rsidRDefault="00A31137" w:rsidP="00A31137">
      <w:r w:rsidRPr="00A31137">
        <w:t>The Federalist No. 16, p. 108 (C. Rossiter ed.1961). As Hamilton saw it,</w:t>
      </w:r>
    </w:p>
    <w:p w:rsidR="00A31137" w:rsidRPr="00A31137" w:rsidRDefault="00A31137" w:rsidP="00A31137">
      <w:r w:rsidRPr="00A31137">
        <w:t>1992, New York v. United States, 505 U.S. 163</w:t>
      </w:r>
    </w:p>
    <w:p w:rsidR="00A31137" w:rsidRPr="00A31137" w:rsidRDefault="00A31137" w:rsidP="00A31137">
      <w:r w:rsidRPr="00A31137">
        <w:t>we must resolve to incorporate into our plan those ingredients which may be considered as forming the characteristic difference between a league and a government; we must extend the authority of the Union to the persons of the citizens—the only proper objects of government.</w:t>
      </w:r>
    </w:p>
    <w:p w:rsidR="00A31137" w:rsidRPr="00A31137" w:rsidRDefault="00A31137" w:rsidP="00A31137">
      <w:r w:rsidRPr="00A31137">
        <w:t>1992, New York v. United States, 505 U.S. 163</w:t>
      </w:r>
    </w:p>
    <w:p w:rsidR="00A31137" w:rsidRPr="00A31137" w:rsidRDefault="00A31137" w:rsidP="00A31137">
      <w:r w:rsidRPr="00A31137">
        <w:t>Id. at 109. The new National Government</w:t>
      </w:r>
    </w:p>
    <w:p w:rsidR="00A31137" w:rsidRPr="00A31137" w:rsidRDefault="00A31137" w:rsidP="00A31137">
      <w:r w:rsidRPr="00A31137">
        <w:t>1992, New York v. United States, 505 U.S. 163</w:t>
      </w:r>
    </w:p>
    <w:p w:rsidR="00A31137" w:rsidRPr="00A31137" w:rsidRDefault="00A31137" w:rsidP="00A31137">
      <w:r w:rsidRPr="00A31137">
        <w:t>must carry its agency to the persons of the citizens. It must stand in need of no intermediate legislations…. The government of the Union, like that of each State, must be able to address itself immediately to the hopes and fears of individuals.</w:t>
      </w:r>
    </w:p>
    <w:p w:rsidR="00A31137" w:rsidRPr="00A31137" w:rsidRDefault="00A31137" w:rsidP="00A31137">
      <w:r w:rsidRPr="00A31137">
        <w:t>1992, New York v. United States, 505 U.S. 163</w:t>
      </w:r>
    </w:p>
    <w:p w:rsidR="00A31137" w:rsidRPr="00A31137" w:rsidRDefault="00A31137" w:rsidP="00A31137">
      <w:r w:rsidRPr="00A31137">
        <w:t xml:space="preserve">Id. No. 16, p. 116. [505 U.S. 164] </w:t>
      </w:r>
    </w:p>
    <w:p w:rsidR="00A31137" w:rsidRPr="00A31137" w:rsidRDefault="00A31137" w:rsidP="00A31137">
      <w:r w:rsidRPr="00A31137">
        <w:t>1992, New York v. United States, 505 U.S. 164</w:t>
      </w:r>
    </w:p>
    <w:p w:rsidR="00A31137" w:rsidRPr="00A31137" w:rsidRDefault="00A31137" w:rsidP="00A31137">
      <w:r w:rsidRPr="00A31137">
        <w:t>The Convention generated a great number of proposals for the structure of the new Government, but two quickly took center stage. Under the Virginia Plan, as first introduced by Edmund Randolph, Congress would exercise legislative authority directly upon individuals, without employing the States as intermediaries. 1 Records of the Federal Convention of 1787, p. 21 (M. Farrand ed.1911). Under the New Jersey Plan, as first introduced by William Paterson, Congress would continue to require the approval of the States before legislating, as it has under the Articles of Confederation. 1 id. 243-244. These two plans underwent various revisions as the Convention progressed, but they remained the two primary options discussed by the delegates. One frequently expressed objection to the New Jersey Plan was that it might require the Federal Government to coerce the States into implementing legislation. As Randolph explained the distinction,</w:t>
      </w:r>
    </w:p>
    <w:p w:rsidR="00A31137" w:rsidRPr="00A31137" w:rsidRDefault="00A31137" w:rsidP="00A31137">
      <w:r w:rsidRPr="00A31137">
        <w:t>1992, New York v. United States, 505 U.S. 164</w:t>
      </w:r>
    </w:p>
    <w:p w:rsidR="00A31137" w:rsidRPr="00A31137" w:rsidRDefault="00A31137" w:rsidP="00A31137">
      <w:r w:rsidRPr="00A31137">
        <w:t>[t]he true question is whether we shall adhere to the federal plan [i.e., the New Jersey Plan], or introduce the national plan. The insufficiency of the former has been fully displayed…. There are but two modes by which the end of a Gen[eral] Gov[ernment] can be attained: the 1st is by coercion as proposed by Mr. P[aterson's] plan[, the 2nd] by real legislation as prop[osed] by the other plan. Coercion [is] impracticable, expensive, cruel to individuals.…We must resort therefore to a national Legislation over individuals.</w:t>
      </w:r>
    </w:p>
    <w:p w:rsidR="00A31137" w:rsidRPr="00A31137" w:rsidRDefault="00A31137" w:rsidP="00A31137">
      <w:r w:rsidRPr="00A31137">
        <w:t>1992, New York v. United States, 505 U.S. 164</w:t>
      </w:r>
    </w:p>
    <w:p w:rsidR="00A31137" w:rsidRPr="00A31137" w:rsidRDefault="00A31137" w:rsidP="00A31137">
      <w:r w:rsidRPr="00A31137">
        <w:t>1 id. at 255-256 (emphasis in original). Madison echoed this view: "The practicability of making laws, with coercive sanctions, for the States as political bodies, had been exploded on all hands." 2 id. at 9.</w:t>
      </w:r>
    </w:p>
    <w:p w:rsidR="00A31137" w:rsidRPr="00A31137" w:rsidRDefault="00A31137" w:rsidP="00A31137">
      <w:r w:rsidRPr="00A31137">
        <w:t>1992, New York v. United States, 505 U.S. 164</w:t>
      </w:r>
    </w:p>
    <w:p w:rsidR="00A31137" w:rsidRPr="00A31137" w:rsidRDefault="00A31137" w:rsidP="00A31137">
      <w:r w:rsidRPr="00A31137">
        <w:t>Under one preliminary draft of what would become the New Jersey Plan, state governments would occupy a position relative to Congress similar to that contemplated by the Act at issue in this case:</w:t>
      </w:r>
    </w:p>
    <w:p w:rsidR="00A31137" w:rsidRPr="00A31137" w:rsidRDefault="00A31137" w:rsidP="00A31137">
      <w:r w:rsidRPr="00A31137">
        <w:t>1992, New York v. United States, 505 U.S. 164</w:t>
      </w:r>
    </w:p>
    <w:p w:rsidR="00A31137" w:rsidRPr="00A31137" w:rsidRDefault="00A31137" w:rsidP="00A31137">
      <w:r w:rsidRPr="00A31137">
        <w:t>[T]he laws of the United States ought, as far as may be consistent with the common interests of the Union, to be carried into execution by the judiciary and executive officers of the respective states, wherein the execution [505 U.S. 165] thereof is required.</w:t>
      </w:r>
    </w:p>
    <w:p w:rsidR="00A31137" w:rsidRPr="00A31137" w:rsidRDefault="00A31137" w:rsidP="00A31137">
      <w:r w:rsidRPr="00A31137">
        <w:t>1992, New York v. United States, 505 U.S. 165</w:t>
      </w:r>
    </w:p>
    <w:p w:rsidR="00A31137" w:rsidRPr="00A31137" w:rsidRDefault="00A31137" w:rsidP="00A31137">
      <w:r w:rsidRPr="00A31137">
        <w:t>3 id. at 616. This idea apparently never even progressed so far as to be debated by the delegates, as contemporary accounts of the Convention do not mention any such discussion. The delegates' many descriptions of the Virginia and New Jersey Plans speak only in general terms about whether Congress was to derive its authority from the people or from the States, and whether it was to issue directives to individuals or to States. See 1 id. at 260-280.</w:t>
      </w:r>
    </w:p>
    <w:p w:rsidR="00A31137" w:rsidRPr="00A31137" w:rsidRDefault="00A31137" w:rsidP="00A31137">
      <w:r w:rsidRPr="00A31137">
        <w:t>1992, New York v. United States, 505 U.S. 165</w:t>
      </w:r>
    </w:p>
    <w:p w:rsidR="00A31137" w:rsidRPr="00A31137" w:rsidRDefault="00A31137" w:rsidP="00A31137">
      <w:r w:rsidRPr="00A31137">
        <w:t>In the end, the Convention opted for a Constitution in which Congress would exercise its legislative authority directly over individuals, rather than over States; for a variety of reasons, it rejected the New Jersey Plan in favor of the Virginia Plan. 1 id. at 313. This choice was made clear to the subsequent state ratifying conventions. Oliver Ellsworth, a member of the Connecticut delegation in Philadelphia, explained the distinction to his State's convention:</w:t>
      </w:r>
    </w:p>
    <w:p w:rsidR="00A31137" w:rsidRPr="00A31137" w:rsidRDefault="00A31137" w:rsidP="00A31137">
      <w:r w:rsidRPr="00A31137">
        <w:t>1992, New York v. United States, 505 U.S. 165</w:t>
      </w:r>
    </w:p>
    <w:p w:rsidR="00A31137" w:rsidRPr="00A31137" w:rsidRDefault="00A31137" w:rsidP="00A31137">
      <w:r w:rsidRPr="00A31137">
        <w:t>This Constitution does not attempt to coerce sovereign bodies, states, in their political capacity…. But this legal coercion singles out the…individual.</w:t>
      </w:r>
    </w:p>
    <w:p w:rsidR="00A31137" w:rsidRPr="00A31137" w:rsidRDefault="00A31137" w:rsidP="00A31137">
      <w:r w:rsidRPr="00A31137">
        <w:t>1992, New York v. United States, 505 U.S. 165</w:t>
      </w:r>
    </w:p>
    <w:p w:rsidR="00A31137" w:rsidRPr="00A31137" w:rsidRDefault="00A31137" w:rsidP="00A31137">
      <w:r w:rsidRPr="00A31137">
        <w:t>2 J. Elliot, Debates on the Federal Constitution 197 (2d ed. 1863). Charles Pinckney, another delegate at the Constitutional Convention, emphasized to the South Carolina House of Representatives that, in Philadelphia,</w:t>
      </w:r>
    </w:p>
    <w:p w:rsidR="00A31137" w:rsidRPr="00A31137" w:rsidRDefault="00A31137" w:rsidP="00A31137">
      <w:r w:rsidRPr="00A31137">
        <w:t>1992, New York v. United States, 505 U.S. 165</w:t>
      </w:r>
    </w:p>
    <w:p w:rsidR="00A31137" w:rsidRPr="00A31137" w:rsidRDefault="00A31137" w:rsidP="00A31137">
      <w:r w:rsidRPr="00A31137">
        <w:t>the necessity of having a government which should at once operate upon the people, and not upon the states, was conceived to be indispensable by every delegation present.</w:t>
      </w:r>
    </w:p>
    <w:p w:rsidR="00A31137" w:rsidRPr="00A31137" w:rsidRDefault="00A31137" w:rsidP="00A31137">
      <w:r w:rsidRPr="00A31137">
        <w:t>1992, New York v. United States, 505 U.S. 165</w:t>
      </w:r>
    </w:p>
    <w:p w:rsidR="00A31137" w:rsidRPr="00A31137" w:rsidRDefault="00A31137" w:rsidP="00A31137">
      <w:r w:rsidRPr="00A31137">
        <w:t>4 id. at 256. Rufus King, one of Massachusetts' delegates, returned home to support ratification by recalling the Commonwealth's unhappy experience under the Articles of Confederation and arguing: "Laws, to be effective, therefore, must not be laid on states, but upon individuals." 2 id. at 56. At New York's convention, Hamilton (another delegate in Philadelphia) exclaimed:</w:t>
      </w:r>
    </w:p>
    <w:p w:rsidR="00A31137" w:rsidRPr="00A31137" w:rsidRDefault="00A31137" w:rsidP="00A31137">
      <w:r w:rsidRPr="00A31137">
        <w:t>1992, New York v. United States, 505 U.S. 165</w:t>
      </w:r>
    </w:p>
    <w:p w:rsidR="00A31137" w:rsidRPr="00A31137" w:rsidRDefault="00A31137" w:rsidP="00A31137">
      <w:r w:rsidRPr="00A31137">
        <w:t>But can we believe that one state will ever suffer itself to be used as an instrument of coercion? The thing is a dream; it is impossible. Then we are brought to this dilemma—either a federal [505 U.S. 166] standing army is to enforce the requisitions, or the federal treasury is left without supplies, and the government without support. What, sir, is the cure for this great evil? Nothing but to enable the national laws to operate on individuals, in the same manner as those of the states do.</w:t>
      </w:r>
    </w:p>
    <w:p w:rsidR="00A31137" w:rsidRPr="00A31137" w:rsidRDefault="00A31137" w:rsidP="00A31137">
      <w:r w:rsidRPr="00A31137">
        <w:t>1992, New York v. United States, 505 U.S. 166</w:t>
      </w:r>
    </w:p>
    <w:p w:rsidR="00A31137" w:rsidRPr="00A31137" w:rsidRDefault="00A31137" w:rsidP="00A31137">
      <w:r w:rsidRPr="00A31137">
        <w:t>2 id. at 233. At North Carolina's convention, Samuel Spencer recognized that</w:t>
      </w:r>
    </w:p>
    <w:p w:rsidR="00A31137" w:rsidRPr="00A31137" w:rsidRDefault="00A31137" w:rsidP="00A31137">
      <w:r w:rsidRPr="00A31137">
        <w:t>1992, New York v. United States, 505 U.S. 166</w:t>
      </w:r>
    </w:p>
    <w:p w:rsidR="00A31137" w:rsidRPr="00A31137" w:rsidRDefault="00A31137" w:rsidP="00A31137">
      <w:r w:rsidRPr="00A31137">
        <w:t>all the laws of the Confederation were binding on the states in their political capacities,…but now the thing is entirely different. The laws of Congress will be binding on individuals.</w:t>
      </w:r>
    </w:p>
    <w:p w:rsidR="00A31137" w:rsidRPr="00A31137" w:rsidRDefault="00A31137" w:rsidP="00A31137">
      <w:r w:rsidRPr="00A31137">
        <w:t>1992, New York v. United States, 505 U.S. 166</w:t>
      </w:r>
    </w:p>
    <w:p w:rsidR="00A31137" w:rsidRPr="00A31137" w:rsidRDefault="00A31137" w:rsidP="00A31137">
      <w:r w:rsidRPr="00A31137">
        <w:t>4 id. at 153.</w:t>
      </w:r>
    </w:p>
    <w:p w:rsidR="00A31137" w:rsidRPr="00A31137" w:rsidRDefault="00A31137" w:rsidP="00A31137">
      <w:r w:rsidRPr="00A31137">
        <w:t>1992, New York v. United States, 505 U.S. 166</w:t>
      </w:r>
    </w:p>
    <w:p w:rsidR="00A31137" w:rsidRPr="00A31137" w:rsidRDefault="00A31137" w:rsidP="00A31137">
      <w:r w:rsidRPr="00A31137">
        <w:t>In providing for a stronger central government, therefore, the Framers explicitly chose a Constitution that confers upon Congress the power to regulate individuals, not States. As we have seen, the Court has consistently respected this choice. We have always understood that, even where Congress has the authority under the Constitution to pass laws requiring or prohibiting certain acts, it lacks the power directly to compel the States to require or prohibit those acts. E.g., FERC v. Mississippi, 456 U.S. at 762-766; Hodel v. Virginia Surface Mining &amp; Reclamation Assn., Inc., 452 U.S. at 288-289; Lane County v. Oregon, 7 Wall. at 76. The allocation of power contained in the Commerce Clause, for example, authorizes Congress to regulate interstate commerce directly; it does not authorize Congress to regulate state governments' regulation of interstate commerce.</w:t>
      </w:r>
    </w:p>
    <w:p w:rsidR="00A31137" w:rsidRPr="00A31137" w:rsidRDefault="00A31137" w:rsidP="00A31137">
      <w:r w:rsidRPr="00A31137">
        <w:t>2</w:t>
      </w:r>
    </w:p>
    <w:p w:rsidR="00A31137" w:rsidRPr="00A31137" w:rsidRDefault="00A31137" w:rsidP="00A31137">
      <w:r w:rsidRPr="00A31137">
        <w:t>1992, New York v. United States, 505 U.S. 166</w:t>
      </w:r>
    </w:p>
    <w:p w:rsidR="00A31137" w:rsidRPr="00A31137" w:rsidRDefault="00A31137" w:rsidP="00A31137">
      <w:r w:rsidRPr="00A31137">
        <w:t xml:space="preserve">This is not to say that Congress lacks the ability to encourage a State to regulate in a particular way, or that Congress may not hold out incentives to the States as a method of influencing a State's policy choices. Our cases have identified a variety of methods, short of outright coercion, by which Congress may urge a State to adopt a legislative program consistent with federal interests. Two of these methods are of particular relevance here. [505 U.S. 167] </w:t>
      </w:r>
    </w:p>
    <w:p w:rsidR="00A31137" w:rsidRPr="00A31137" w:rsidRDefault="00A31137" w:rsidP="00A31137">
      <w:r w:rsidRPr="00A31137">
        <w:t>1992, New York v. United States, 505 U.S. 167</w:t>
      </w:r>
    </w:p>
    <w:p w:rsidR="00A31137" w:rsidRPr="00A31137" w:rsidRDefault="00A31137" w:rsidP="00A31137">
      <w:r w:rsidRPr="00A31137">
        <w:t>First, under Congress' spending power, "Congress may attach conditions on the receipt of federal funds." South Dakota v. Dole, 483 U.S. at  206. Such conditions must (among other requirements) bear some relationship to the purpose of the federal spending, id. at 207-208, and n. 3; otherwise, of course, the spending power could render academic the Constitution's other grants and limits of federal authority. Where the recipient of federal funds is a State, as is not unusual today, the conditions attached to the funds by Congress may influence a State's legislative choices. See Kaden, Politics, Money, and State Sovereignty: The Judicial Role, 79 Colum.L.Rev. 847, 874-881 (1979). Dole was one such case: the Court found no constitutional flaw in a federal statute directing the Secretary of Transportation to withhold federal highway funds from States failing to adopt Congress' choice of a minimum drinking age. Similar examples abound. See, e.g., Fullilove v. Klutznick, 448 U.S. 448, 478-480 (1980); Massachusetts v. United States, 435 U.S. 444, 461-462 (1978); Lau v. Nichols, 414 U.S. 563, 568-569 (1974); Oklahoma v. Civil Service Comm'n, 330 U.S. 127, 142-144 (1947).</w:t>
      </w:r>
    </w:p>
    <w:p w:rsidR="00A31137" w:rsidRPr="00A31137" w:rsidRDefault="00A31137" w:rsidP="00A31137">
      <w:r w:rsidRPr="00A31137">
        <w:t>1992, New York v. United States, 505 U.S. 167</w:t>
      </w:r>
    </w:p>
    <w:p w:rsidR="00A31137" w:rsidRPr="00A31137" w:rsidRDefault="00A31137" w:rsidP="00A31137">
      <w:r w:rsidRPr="00A31137">
        <w:t>Second, where Congress has the authority to regulate private activity under the Commerce Clause, we have recognized Congress' power to offer States the choice of regulating that activity according to federal standards or having state law preempted by federal regulation. Hodel v. Virginia Surface Mining &amp; Reclamation Assn., Inc., supra, 452 U.S. at 288. See also FERC v. Mississippi, supra, 456 U.S. at 764-765. This arrangement, which has been termed "a program of cooperative federalism," Hodel, supra, 452 U.S. at 289, is replicated in numerous federal statutory schemes. These include the Clean Water Act, 86 Stat. 816, as amended, 33 U.S.C. § 1251 et seq., see Arkansas v. Oklahoma, 503 U.S. 91, 101 (1992) (Clean Water Act "anticipates a partnership between the States and the Federal Government, animated by a shared objective"); the Occupational Safety and Health Act of 1970, [505 U.S. 168] 84 Stat. 1590, 29 U.S.C. § 651 et seq., see Gade v. National Solid Wastes Management Assn., ante at 97 the Resource Conservation and Recovery Act of 1976, 90 Stat. 2796, as amended, 42 U.S.C. § 6901 et seq., see Department of Energy v. Ohio, 503 U.S. 607, 611-612 (1992); and the Alaska National Interest Lands Conservation Act, 94 Stat. 2374, 16 U.S.C. § 3101 et seq., see Kenaitze Indian Tribe v. Alaska, 860 F.2d 312, 314 (CA9 1988), cert. denied, 491 U.S. 905 (1989).</w:t>
      </w:r>
    </w:p>
    <w:p w:rsidR="00A31137" w:rsidRPr="00A31137" w:rsidRDefault="00A31137" w:rsidP="00A31137">
      <w:r w:rsidRPr="00A31137">
        <w:t>1992, New York v. United States, 505 U.S. 168</w:t>
      </w:r>
    </w:p>
    <w:p w:rsidR="00A31137" w:rsidRPr="00A31137" w:rsidRDefault="00A31137" w:rsidP="00A31137">
      <w:r w:rsidRPr="00A31137">
        <w:t>By either of these two methods, as by any other permissible method of encouraging a State to conform to federal policy choices, the residents of the State retain the ultimate decision as to whether or not the State will comply. If a State's citizens view federal policy as sufficiently contrary to local interests, they may elect to decline a federal grant. If state residents would prefer their government to devote its attention and resources to problems other than those deemed important by Congress, they may choose to have the Federal Government, rather than the State, bear the expense of a federally mandated regulatory program, and they may continue to supplement that program to the extent state law is not preempted. Where Congress encourages state regulation, rather than compelling it, state governments remain responsive to the local electorate's preferences; state officials remain accountable to the people.</w:t>
      </w:r>
    </w:p>
    <w:p w:rsidR="00A31137" w:rsidRPr="00A31137" w:rsidRDefault="00A31137" w:rsidP="00A31137">
      <w:r w:rsidRPr="00A31137">
        <w:t>1992, New York v. United States, 505 U.S. 168</w:t>
      </w:r>
    </w:p>
    <w:p w:rsidR="00A31137" w:rsidRPr="00A31137" w:rsidRDefault="00A31137" w:rsidP="00A31137">
      <w:r w:rsidRPr="00A31137">
        <w:t>By contrast, where the Federal Government compels States to regulate, the accountability of both state and federal officials is diminished. If the citizens of New York, for example, do not consider that making provision for the disposal of radioactive waste is in their best interest, they may elect state officials who share their view. That view can always be preempted under the Supremacy Clause if it is contrary to the national view, but, in such a case, it is the Federal Government that makes the decision in full view of the public, and it will be federal officials that suffer the consequences if the decision turns out to be detrimental or unpopular. [505 U.S. 169] But where the Federal Government directs the States to regulate, it may be state officials who will bear the brunt of public disapproval, while the federal officials who devised the regulatory program may remain insulated from the electoral ramifications of their decision. Accountability is thus diminished when, due to federal coercion, elected state officials cannot regulate in accordance with the views of the local electorate in matters not preempted by federal regulation. See Merritt, 88 Colum.L.Rev. at 61-62; La Pierre, Political Accountability in the National Political Process—The Alternative to Judicial Review of Federalism Issues, 80 Nw.U.L.Rev. 577, 639-665 (1985).</w:t>
      </w:r>
    </w:p>
    <w:p w:rsidR="00A31137" w:rsidRPr="00A31137" w:rsidRDefault="00A31137" w:rsidP="00A31137">
      <w:r w:rsidRPr="00A31137">
        <w:t>1992, New York v. United States, 505 U.S. 169</w:t>
      </w:r>
    </w:p>
    <w:p w:rsidR="00A31137" w:rsidRPr="00A31137" w:rsidRDefault="00A31137" w:rsidP="00A31137">
      <w:r w:rsidRPr="00A31137">
        <w:t>With these principles in mind, we turn to the three challenged provisions of the Low-Level Radioactive Waste Policy Amendments Act of 1985.</w:t>
      </w:r>
    </w:p>
    <w:p w:rsidR="00A31137" w:rsidRPr="00A31137" w:rsidRDefault="00A31137" w:rsidP="00A31137">
      <w:r w:rsidRPr="00A31137">
        <w:t>III</w:t>
      </w:r>
    </w:p>
    <w:p w:rsidR="00A31137" w:rsidRPr="00A31137" w:rsidRDefault="00A31137" w:rsidP="00A31137">
      <w:r w:rsidRPr="00A31137">
        <w:t>1992, New York v. United States, 505 U.S. 169</w:t>
      </w:r>
    </w:p>
    <w:p w:rsidR="00A31137" w:rsidRPr="00A31137" w:rsidRDefault="00A31137" w:rsidP="00A31137">
      <w:r w:rsidRPr="00A31137">
        <w:t>The parties in this case advance two quite different views of the Act. As petitioners see it, the Act imposes a requirement directly upon the States that they regulate in the field of radioactive waste disposal in order to meet Congress' mandate that "[e]ach State shall be responsible for providing…for the disposal of…low-level radioactive waste." 42 U.S.C. § 2021c(a)(1)(A). Petitioners understand this provision as a direct command from Congress, enforceable independent of the three sets of incentives provided by the Act. Respondents, on the other hand, read this provision together with the incentives, and see the Act as affording the States three sets of choices. According to respondents, the Act permits a State to choose first between regulating pursuant to federal standards and losing the right to a share of the Secretary of Energy's escrow account; to choose second between regulating pursuant to federal standards and progressively losing access to disposal sites in other States; and to choose third between regulating pursuant to federal standards and taking title to the waste generated within the State. [505 U.S. 170] Respondents thus interpret § 2021c(a)(1)(A), despite the statute's use of the word "shall," to provide no more than an option which a State may elect or eschew.</w:t>
      </w:r>
    </w:p>
    <w:p w:rsidR="00A31137" w:rsidRPr="00A31137" w:rsidRDefault="00A31137" w:rsidP="00A31137">
      <w:r w:rsidRPr="00A31137">
        <w:t>1992, New York v. United States, 505 U.S. 170</w:t>
      </w:r>
    </w:p>
    <w:p w:rsidR="00A31137" w:rsidRPr="00A31137" w:rsidRDefault="00A31137" w:rsidP="00A31137">
      <w:r w:rsidRPr="00A31137">
        <w:t>The Act could plausibly be understood either as a mandate to regulate or as a series of incentives. Under petitioners' view, however, § 2021c(a)(1)(A) of the Act would clearly</w:t>
      </w:r>
    </w:p>
    <w:p w:rsidR="00A31137" w:rsidRPr="00A31137" w:rsidRDefault="00A31137" w:rsidP="00A31137">
      <w:r w:rsidRPr="00A31137">
        <w:t>1992, New York v. United States, 505 U.S. 170</w:t>
      </w:r>
    </w:p>
    <w:p w:rsidR="00A31137" w:rsidRPr="00A31137" w:rsidRDefault="00A31137" w:rsidP="00A31137">
      <w:r w:rsidRPr="00A31137">
        <w:t>commandee[r] the legislative processes of the States by directly compelling them to enact and enforce a federal regulatory program.</w:t>
      </w:r>
    </w:p>
    <w:p w:rsidR="00A31137" w:rsidRPr="00A31137" w:rsidRDefault="00A31137" w:rsidP="00A31137">
      <w:r w:rsidRPr="00A31137">
        <w:t>1992, New York v. United States, 505 U.S. 170</w:t>
      </w:r>
    </w:p>
    <w:p w:rsidR="00A31137" w:rsidRPr="00A31137" w:rsidRDefault="00A31137" w:rsidP="00A31137">
      <w:r w:rsidRPr="00A31137">
        <w:t>Hodel v. Virginia Surface Mining &amp; Reclamation Assn., Inc., 452 U.S. at 288. We must reject this interpretation of the provision for two reasons. First, such an outcome would, to say the least, "upset the usual constitutional balance of federal and state powers." Gregory v. Ashcroft, 501 U.S. at 460. "[I]t is incumbent upon the federal courts to be certain of Congress' intent before finding that federal law overrides this balance," ibid. (internal quotation marks omitted), but the Act's amenability to an equally plausible alternative construction prevents us from possessing such certainty. Second,</w:t>
      </w:r>
    </w:p>
    <w:p w:rsidR="00A31137" w:rsidRPr="00A31137" w:rsidRDefault="00A31137" w:rsidP="00A31137">
      <w:r w:rsidRPr="00A31137">
        <w:t>1992, New York v. United States, 505 U.S. 170</w:t>
      </w:r>
    </w:p>
    <w:p w:rsidR="00A31137" w:rsidRPr="00A31137" w:rsidRDefault="00A31137" w:rsidP="00A31137">
      <w:r w:rsidRPr="00A31137">
        <w:t>where an otherwise acceptable construction of a statute would raise serious constitutional problems, the Court will construe the statute to avoid such problems unless such construction is plainly contrary to the intent of Congress.</w:t>
      </w:r>
    </w:p>
    <w:p w:rsidR="00A31137" w:rsidRPr="00A31137" w:rsidRDefault="00A31137" w:rsidP="00A31137">
      <w:r w:rsidRPr="00A31137">
        <w:t>1992, New York v. United States, 505 U.S. 170</w:t>
      </w:r>
    </w:p>
    <w:p w:rsidR="00A31137" w:rsidRPr="00A31137" w:rsidRDefault="00A31137" w:rsidP="00A31137">
      <w:r w:rsidRPr="00A31137">
        <w:t>Edward J. DeBartolo Corp. v. Florida Gulf Coast Building &amp; Construction Trades Council, 485 U.S. 568, 575 (1988). This rule of statutory construction pushes us away from petitioners' understanding of § 2021c(a)(1)(A) of the Act, under which it compels the States to regulate according to Congress' instructions.</w:t>
      </w:r>
    </w:p>
    <w:p w:rsidR="00A31137" w:rsidRPr="00A31137" w:rsidRDefault="00A31137" w:rsidP="00A31137">
      <w:r w:rsidRPr="00A31137">
        <w:t>1992, New York v. United States, 505 U.S. 170</w:t>
      </w:r>
    </w:p>
    <w:p w:rsidR="00A31137" w:rsidRPr="00A31137" w:rsidRDefault="00A31137" w:rsidP="00A31137">
      <w:r w:rsidRPr="00A31137">
        <w:t xml:space="preserve">We therefore decline petitioners' invitation to construe § 2021c(a)(1)(A), alone and in isolation, as a command to the States independent of the remainder of the Act. Construed as a whole, the Act comprises three sets of "incentives" for the States to provide for the disposal of low level radioactive waste generated within their borders. We consider each in turn. [505 U.S. 171] </w:t>
      </w:r>
    </w:p>
    <w:p w:rsidR="00A31137" w:rsidRPr="00A31137" w:rsidRDefault="00A31137" w:rsidP="00A31137">
      <w:r w:rsidRPr="00A31137">
        <w:t>A</w:t>
      </w:r>
    </w:p>
    <w:p w:rsidR="00A31137" w:rsidRPr="00A31137" w:rsidRDefault="00A31137" w:rsidP="00A31137">
      <w:r w:rsidRPr="00A31137">
        <w:t>1992, New York v. United States, 505 U.S. 171</w:t>
      </w:r>
    </w:p>
    <w:p w:rsidR="00A31137" w:rsidRPr="00A31137" w:rsidRDefault="00A31137" w:rsidP="00A31137">
      <w:r w:rsidRPr="00A31137">
        <w:t>The first set of incentives works in three steps. First, Congress has authorized States with disposal sites to impose a surcharge on radioactive waste received from other States. Second, the Secretary of Energy collects a portion of this surcharge and places the money in an escrow account. Third, States achieving a series of milestones receive portions of this fund.</w:t>
      </w:r>
    </w:p>
    <w:p w:rsidR="00A31137" w:rsidRPr="00A31137" w:rsidRDefault="00A31137" w:rsidP="00A31137">
      <w:r w:rsidRPr="00A31137">
        <w:t>1992, New York v. United States, 505 U.S. 171</w:t>
      </w:r>
    </w:p>
    <w:p w:rsidR="00A31137" w:rsidRPr="00A31137" w:rsidRDefault="00A31137" w:rsidP="00A31137">
      <w:r w:rsidRPr="00A31137">
        <w:t>The first of these steps is an unexceptionable exercise of Congress' power to authorize the States to burden interstate commerce. While the Commerce Clause has long been understood to limit the States' ability to discriminate against interstate commerce, see, e.g., Wyoming v. Oklahoma, 502 U.S. 437, 454-455 (1992); Cooley v. Board of Wardens of Port of Philadelphia, 12 How. 299 (1851), that limit may be lifted, as it has been here, by an expression of the "unambiguous intent" of Congress. Wyoming, supra, at  458. Prudential Ins. Co. v. Benjamin, 328 U.S. 408, 427-431 (1946). Whether or not the States would be permitted to burden the interstate transport of low level radioactive waste in the absence of Congress' approval, the States can clearly do so with Congress' approval, which is what the Act gives them.</w:t>
      </w:r>
    </w:p>
    <w:p w:rsidR="00A31137" w:rsidRPr="00A31137" w:rsidRDefault="00A31137" w:rsidP="00A31137">
      <w:r w:rsidRPr="00A31137">
        <w:t>1992, New York v. United States, 505 U.S. 171</w:t>
      </w:r>
    </w:p>
    <w:p w:rsidR="00A31137" w:rsidRPr="00A31137" w:rsidRDefault="00A31137" w:rsidP="00A31137">
      <w:r w:rsidRPr="00A31137">
        <w:t>The second step, the Secretary's collection of a percentage of the surcharge, is no more than a federal tax on interstate commerce, which petitioners do not claim to be an invalid exercise of either Congress' commerce or taxing power. Cf. United States v. Sanchez, 340 U.S. 42, 44-45 (1950); Steward Machine Co. v. Davis, 301 U.S. 548, 581-583 (1937).</w:t>
      </w:r>
    </w:p>
    <w:p w:rsidR="00A31137" w:rsidRPr="00A31137" w:rsidRDefault="00A31137" w:rsidP="00A31137">
      <w:r w:rsidRPr="00A31137">
        <w:t>1992, New York v. United States, 505 U.S. 171</w:t>
      </w:r>
    </w:p>
    <w:p w:rsidR="00A31137" w:rsidRPr="00A31137" w:rsidRDefault="00A31137" w:rsidP="00A31137">
      <w:r w:rsidRPr="00A31137">
        <w:t>The third step is a conditional exercise of Congress' authority under the Spending Clause: Congress has placed conditions—the achievement of the milestones—on the receipt of federal funds. Petitioners do not contend that Congress has exceeded its authority in any of the four respects our cases have identified. See generally South Dakota v. Dole, 483 U.S. at 207-208. The expenditure is for the general [505 U.S. 172] welfare, Helvering v. Davis, 301 U.S. 619, 640-641 (1937); the States are required to use the money they receive for the purpose of assuring the safe disposal of radioactive waste. 42 U.S.C. § 2021e(d)(2)(E). The conditions imposed are unambiguous, Pennhurst State School and Hospital v. Halderman, 451 U.S. at 17; the Act informs the States exactly what they must do and by when they must do it in order to obtain a share of the escrow account. The conditions imposed are reasonably related to the purpose of the expenditure, Massachusetts v. United States, 435 U.S. at 461; both the conditions and the payments embody Congress' efforts to address the pressing problem of radioactive waste disposal. Finally, petitioners do not claim that the conditions imposed by the Act violate any independent constitutional prohibition. Lawrence County v. Lead-Deadwood School Dist., 469 U.S. 256, 269-270 (1985).</w:t>
      </w:r>
    </w:p>
    <w:p w:rsidR="00A31137" w:rsidRPr="00A31137" w:rsidRDefault="00A31137" w:rsidP="00A31137">
      <w:r w:rsidRPr="00A31137">
        <w:t>1992, New York v. United States, 505 U.S. 172</w:t>
      </w:r>
    </w:p>
    <w:p w:rsidR="00A31137" w:rsidRPr="00A31137" w:rsidRDefault="00A31137" w:rsidP="00A31137">
      <w:r w:rsidRPr="00A31137">
        <w:t>Petitioners contend nevertheless that the form of these expenditures removes them from the scope of Congress' spending power. Petitioners emphasize the Act's instruction to the Secretary of Energy to "deposit all funds received in a special escrow account. The funds so deposited shall not be the property of the United States." 42 U.S.C. § 2021e(d)(2)(A). Petitioners argue that, because the money collected and redisbursed to the States is kept in an account separate from the general treasury, because the Secretary holds the funds only as a trustee, and because the States themselves are largely able to control whether they will pay into the escrow account or receive a share, the Act "in no manner calls for the spending of federal funds." Reply Brief for Petitioner State of New York 6.</w:t>
      </w:r>
    </w:p>
    <w:p w:rsidR="00A31137" w:rsidRPr="00A31137" w:rsidRDefault="00A31137" w:rsidP="00A31137">
      <w:r w:rsidRPr="00A31137">
        <w:t>1992, New York v. United States, 505 U.S. 172</w:t>
      </w:r>
    </w:p>
    <w:p w:rsidR="00A31137" w:rsidRPr="00A31137" w:rsidRDefault="00A31137" w:rsidP="00A31137">
      <w:r w:rsidRPr="00A31137">
        <w:t>The Constitution's grant to Congress of the authority to "pay the Debts and provide for the…general Welfare" has never, however, been thought to mandate a particular form of accounting. A great deal of federal spending comes from segregated trust funds collected and spent for a particular purpose. See, e.g., 23 U.S.C. § 118 (Highway Trust Fund); [505 U.S. 173] 42 U.S.C. § 401(a) (Federal Old-Age and Survivors Insurance Trust Fund); 42 U.S.C. § 401(b) (Federal Disability Insurance Trust Fund); 42 U.S.C. § 1395t (Federal Supplementary Medical Insurance Trust Fund). The Spending Clause has never been construed to deprive Congress of the power to structure federal spending in this manner. Petitioners' argument regarding the States' ability to determine the escrow account's income and disbursements ignores the fact that Congress specifically provided the States with this ability as a method of encouraging the States to regulate according to the federal plan. That the States are able to choose whether they will receive federal funds does not make the resulting expenditures any less federal; indeed, the location of such choice in the States is an inherent element in any conditional exercise of Congress' spending power.</w:t>
      </w:r>
    </w:p>
    <w:p w:rsidR="00A31137" w:rsidRPr="00A31137" w:rsidRDefault="00A31137" w:rsidP="00A31137">
      <w:r w:rsidRPr="00A31137">
        <w:t>1992, New York v. United States, 505 U.S. 173</w:t>
      </w:r>
    </w:p>
    <w:p w:rsidR="00A31137" w:rsidRPr="00A31137" w:rsidRDefault="00A31137" w:rsidP="00A31137">
      <w:r w:rsidRPr="00A31137">
        <w:t>The Act's first set of incentives, in which Congress has conditioned grants to the States upon the States' attainment of a series of milestones, is thus well within the authority of Congress under the Commerce and Spending Clauses. Because the first set of incentives is supported by affirmative constitutional grants of power to Congress, it is not inconsistent with the Tenth Amendment.</w:t>
      </w:r>
    </w:p>
    <w:p w:rsidR="00A31137" w:rsidRPr="00A31137" w:rsidRDefault="00A31137" w:rsidP="00A31137">
      <w:r w:rsidRPr="00A31137">
        <w:t>B</w:t>
      </w:r>
    </w:p>
    <w:p w:rsidR="00A31137" w:rsidRPr="00A31137" w:rsidRDefault="00A31137" w:rsidP="00A31137">
      <w:r w:rsidRPr="00A31137">
        <w:t>1992, New York v. United States, 505 U.S. 173</w:t>
      </w:r>
    </w:p>
    <w:p w:rsidR="00A31137" w:rsidRPr="00A31137" w:rsidRDefault="00A31137" w:rsidP="00A31137">
      <w:r w:rsidRPr="00A31137">
        <w:t>In the second set of incentives, Congress has authorized States and regional compacts with disposal sites gradually to increase the cost of access to the sites, and then to deny access altogether, to radioactive waste generated in States that do not meet federal deadlines. As a simple regulation, this provision would be within the power of Congress to authorize the States to discriminate against interstate commerce. See Northeast Bancorp, Inc. v. Board of Governors, Fed. Reserve System, 472 U.S. 159, 174-175 (1985). Where federal regulation of private activity is within the scope of the Commerce Clause, we have recognized the ability of Congress to offer states the choice of regulating that activity according to federal [505 U.S. 174] standards or having state law preempted by federal regulation. See Hodel v. Virginia Surface Mining &amp; Reclamation Association, 452 U.S. at 288; FERC v. Mississippi, 456 U.S. at 764-765.</w:t>
      </w:r>
    </w:p>
    <w:p w:rsidR="00A31137" w:rsidRPr="00A31137" w:rsidRDefault="00A31137" w:rsidP="00A31137">
      <w:r w:rsidRPr="00A31137">
        <w:t>1992, New York v. United States, 505 U.S. 174</w:t>
      </w:r>
    </w:p>
    <w:p w:rsidR="00A31137" w:rsidRPr="00A31137" w:rsidRDefault="00A31137" w:rsidP="00A31137">
      <w:r w:rsidRPr="00A31137">
        <w:t>This is the choice presented to nonsited States by the Act's second set of incentives: States may either regulate the disposal of radioactive waste according to federal standards by attaining local or regional self-sufficiency, or their residents who produce radioactive waste will be subject to federal regulation authorizing sited States and regions to deny access to their disposal sites. The affected States are not compelled by Congress to regulate, because any burden caused by a State's refusal to regulate will fall on those who generate waste and find no outlet for its disposal, rather than on the State as a sovereign. A State whose citizens do not wish it to attain the Act's milestones may devote its attention and its resources to issues its citizens deem more worthy; the choice remains at all times with the residents of the State, not with Congress. The State need not expend any funds, or participate in any federal program, if local residents do not view such expenditures or participation as worthwhile. Cf. Hodel, supra, 452 U.S. at 288. Nor must the State abandon the field if it does not accede to federal direction; the State may continue to regulate the generation and disposal of radioactive waste in any manner its citizens see fit.</w:t>
      </w:r>
    </w:p>
    <w:p w:rsidR="00A31137" w:rsidRPr="00A31137" w:rsidRDefault="00A31137" w:rsidP="00A31137">
      <w:r w:rsidRPr="00A31137">
        <w:t>1992, New York v. United States, 505 U.S. 174</w:t>
      </w:r>
    </w:p>
    <w:p w:rsidR="00A31137" w:rsidRPr="00A31137" w:rsidRDefault="00A31137" w:rsidP="00A31137">
      <w:r w:rsidRPr="00A31137">
        <w:t>The Act's second set of incentives thus represents a conditional exercise of Congress' commerce power, along the lines of those we have held to be within Congress' authority. As a result, the second set of incentives does not intrude on the sovereignty reserved to the States by the Tenth Amendment.</w:t>
      </w:r>
    </w:p>
    <w:p w:rsidR="00A31137" w:rsidRPr="00A31137" w:rsidRDefault="00A31137" w:rsidP="00A31137">
      <w:r w:rsidRPr="00A31137">
        <w:t>C</w:t>
      </w:r>
    </w:p>
    <w:p w:rsidR="00A31137" w:rsidRPr="00A31137" w:rsidRDefault="00A31137" w:rsidP="00A31137">
      <w:r w:rsidRPr="00A31137">
        <w:t>1992, New York v. United States, 505 U.S. 174</w:t>
      </w:r>
    </w:p>
    <w:p w:rsidR="00A31137" w:rsidRPr="00A31137" w:rsidRDefault="00A31137" w:rsidP="00A31137">
      <w:r w:rsidRPr="00A31137">
        <w:t>The take title provision is of a different character. This third so-called "incentive" offers States, as an alternative to regulating pursuant to Congress' direction, the option of taking title to and possession of the low level radioactive waste [505 U.S. 175] generated within their borders and becoming liable for all damages waste generators suffer as a result of the States' failure to do so promptly. In this provision, Congress has crossed the line distinguishing encouragement from coercion.</w:t>
      </w:r>
    </w:p>
    <w:p w:rsidR="00A31137" w:rsidRPr="00A31137" w:rsidRDefault="00A31137" w:rsidP="00A31137">
      <w:r w:rsidRPr="00A31137">
        <w:t>1992, New York v. United States, 505 U.S. 175</w:t>
      </w:r>
    </w:p>
    <w:p w:rsidR="00A31137" w:rsidRPr="00A31137" w:rsidRDefault="00A31137" w:rsidP="00A31137">
      <w:r w:rsidRPr="00A31137">
        <w:t>We must initially reject respondents' suggestion that, because the take title provision will not take effect until January 1, 1996, petitioners' challenge thereto is unripe. It takes many years to develop a new disposal site. All parties agree that New York must take action now in order to avoid the take title provision's consequences, and no party suggests that the State's waste generators will have ceased producing waste by 1996. The issue is thus ripe for review. Cf. Pacific Gas &amp; Elec. C.'o. v. State Energy Resource. Conservation and Development Comm'n, 461 U.S. 190, 201 (1983); Regional Rail Reorganization Act Cases, 419 U.S. 102, 144-145 (1974).</w:t>
      </w:r>
    </w:p>
    <w:p w:rsidR="00A31137" w:rsidRPr="00A31137" w:rsidRDefault="00A31137" w:rsidP="00A31137">
      <w:r w:rsidRPr="00A31137">
        <w:t>1992, New York v. United States, 505 U.S. 175</w:t>
      </w:r>
    </w:p>
    <w:p w:rsidR="00A31137" w:rsidRPr="00A31137" w:rsidRDefault="00A31137" w:rsidP="00A31137">
      <w:r w:rsidRPr="00A31137">
        <w:t>The take title provision offers state governments a "choice" of either accepting ownership of waste or regulating according to the instructions of Congress. Respondents do not claim that the Constitution would authorize Congress to impose either option as a freestanding requirement. On one hand, the Constitution would not permit Congress simply to transfer radioactive waste from generators to state governments. Such a forced transfer, standing alone, would in principle be no different than a congressionally compelled subsidy from state governments to radioactive waste producers. The same is true of the provision requiring the States to become liable for the generators' damages. Standing alone, this provision would be indistinguishable from an Act of Congress directing the States to assume the liabilities of certain state residents. Either type of federal action would "commandeer" state governments into the service of federal regulatory purposes, and would, for this reason, be inconsistent with the Constitution's division of authority between federal and state governments. On the other hand, the second alternative held out to state governments—regulating [505 U.S. 176] pursuant to Congress' direction—would, standing alone, present a simple command to state governments to implement legislation enacted by Congress. As we have seen, the Constitution does not empower Congress to subject state governments to this type of instruction.</w:t>
      </w:r>
    </w:p>
    <w:p w:rsidR="00A31137" w:rsidRPr="00A31137" w:rsidRDefault="00A31137" w:rsidP="00A31137">
      <w:r w:rsidRPr="00A31137">
        <w:t>1992, New York v. United States, 505 U.S. 176</w:t>
      </w:r>
    </w:p>
    <w:p w:rsidR="00A31137" w:rsidRPr="00A31137" w:rsidRDefault="00A31137" w:rsidP="00A31137">
      <w:r w:rsidRPr="00A31137">
        <w:t>Because an instruction to state governments to take title to waste, standing alone, would be beyond the authority of Congress, and because a direct order to regulate, standing alone, would also be beyond the authority of Congress, it follows that Congress lacks the power to offer the States a choice between the two. Unlike the first two sets of incentives, the take title incentive does not represent the conditional exercise of any congressional power enumerated in the Constitution. In this provision, Congress has not held out the threat of exercising its spending power or its commerce power; it has instead held out the threat, should the States not regulate according to one federal instruction, of simply forcing the States to submit to another federal instruction. A choice between two unconstitutionally coercive regulatory techniques is no choice at all. Either way,</w:t>
      </w:r>
    </w:p>
    <w:p w:rsidR="00A31137" w:rsidRPr="00A31137" w:rsidRDefault="00A31137" w:rsidP="00A31137">
      <w:r w:rsidRPr="00A31137">
        <w:t>1992, New York v. United States, 505 U.S. 176</w:t>
      </w:r>
    </w:p>
    <w:p w:rsidR="00A31137" w:rsidRPr="00A31137" w:rsidRDefault="00A31137" w:rsidP="00A31137">
      <w:r w:rsidRPr="00A31137">
        <w:t>the Act commandeers the legislative processes of the States by directly compelling them to enact and enforce a federal regulatory program,</w:t>
      </w:r>
    </w:p>
    <w:p w:rsidR="00A31137" w:rsidRPr="00A31137" w:rsidRDefault="00A31137" w:rsidP="00A31137">
      <w:r w:rsidRPr="00A31137">
        <w:t>1992, New York v. United States, 505 U.S. 176</w:t>
      </w:r>
    </w:p>
    <w:p w:rsidR="00A31137" w:rsidRPr="00A31137" w:rsidRDefault="00A31137" w:rsidP="00A31137">
      <w:r w:rsidRPr="00A31137">
        <w:t>Hodel v. Virginia Surface Mining &amp; Reclamation Assn., Inc., supra, 452 U.S. at 288, an outcome that has never been understood to lie within the authority conferred upon Congress by the Constitution.</w:t>
      </w:r>
    </w:p>
    <w:p w:rsidR="00A31137" w:rsidRPr="00A31137" w:rsidRDefault="00A31137" w:rsidP="00A31137">
      <w:r w:rsidRPr="00A31137">
        <w:t>1992, New York v. United States, 505 U.S. 176</w:t>
      </w:r>
    </w:p>
    <w:p w:rsidR="00A31137" w:rsidRPr="00A31137" w:rsidRDefault="00A31137" w:rsidP="00A31137">
      <w:r w:rsidRPr="00A31137">
        <w:t>Respondents emphasize the latitude given to the States to implement Congress' plan. The Act enables the States to regulate pursuant to Congress' instructions in any number of different ways. States may avoid taking title by contracting with sited regional compacts, by building a disposal site alone or as part of a compact, or by permitting private parties to build a disposal site. States that host sites may employ a wide range of designs and disposal methods, subject only to broad federal regulatory limits. This line of reasoning, however, only underscores the critical alternative a [505 U.S. 177] State lacks: a State may not decline to administer the federal program. No matter which path the State chooses, it must follow the direction of Congress.</w:t>
      </w:r>
    </w:p>
    <w:p w:rsidR="00A31137" w:rsidRPr="00A31137" w:rsidRDefault="00A31137" w:rsidP="00A31137">
      <w:r w:rsidRPr="00A31137">
        <w:t>1992, New York v. United States, 505 U.S. 177</w:t>
      </w:r>
    </w:p>
    <w:p w:rsidR="00A31137" w:rsidRPr="00A31137" w:rsidRDefault="00A31137" w:rsidP="00A31137">
      <w:r w:rsidRPr="00A31137">
        <w:t>The take title provision appears to be unique. No other federal statute has been cited which offers a state government no option other than that of implementing legislation enacted by Congress. Whether one views the take title provision as lying outside Congress' enumerated powers or as infringing upon the core of state sovereignty reserved by the Tenth Amendment, the provision is inconsistent with the federal structure of our Government established by the Constitution.</w:t>
      </w:r>
    </w:p>
    <w:p w:rsidR="00A31137" w:rsidRPr="00A31137" w:rsidRDefault="00A31137" w:rsidP="00A31137">
      <w:r w:rsidRPr="00A31137">
        <w:t>IV</w:t>
      </w:r>
    </w:p>
    <w:p w:rsidR="00A31137" w:rsidRPr="00A31137" w:rsidRDefault="00A31137" w:rsidP="00A31137">
      <w:r w:rsidRPr="00A31137">
        <w:t>1992, New York v. United States, 505 U.S. 177</w:t>
      </w:r>
    </w:p>
    <w:p w:rsidR="00A31137" w:rsidRPr="00A31137" w:rsidRDefault="00A31137" w:rsidP="00A31137">
      <w:r w:rsidRPr="00A31137">
        <w:t>Respondents raise a number of objections to this understanding of the limits of Congress' power.</w:t>
      </w:r>
    </w:p>
    <w:p w:rsidR="00A31137" w:rsidRPr="00A31137" w:rsidRDefault="00A31137" w:rsidP="00A31137">
      <w:r w:rsidRPr="00A31137">
        <w:t>A</w:t>
      </w:r>
    </w:p>
    <w:p w:rsidR="00A31137" w:rsidRPr="00A31137" w:rsidRDefault="00A31137" w:rsidP="00A31137">
      <w:r w:rsidRPr="00A31137">
        <w:t>1992, New York v. United States, 505 U.S. 177</w:t>
      </w:r>
    </w:p>
    <w:p w:rsidR="00A31137" w:rsidRPr="00A31137" w:rsidRDefault="00A31137" w:rsidP="00A31137">
      <w:r w:rsidRPr="00A31137">
        <w:t>The United States proposes three alternative views of the constitutional line separating state and federal authority.   While each view concedes that Congress generally may not compel state governments to regulate pursuant to federal direction, each purports to find a limited domain in which such coercion is permitted by the Constitution.</w:t>
      </w:r>
    </w:p>
    <w:p w:rsidR="00A31137" w:rsidRPr="00A31137" w:rsidRDefault="00A31137" w:rsidP="00A31137">
      <w:r w:rsidRPr="00A31137">
        <w:t>1992, New York v. United States, 505 U.S. 177</w:t>
      </w:r>
    </w:p>
    <w:p w:rsidR="00A31137" w:rsidRPr="00A31137" w:rsidRDefault="00A31137" w:rsidP="00A31137">
      <w:r w:rsidRPr="00A31137">
        <w:t>First, the United States argues that the Constitution's prohibition of congressional directives to state governments can be overcome where the federal interest is sufficiently important to justify state submission. This argument contains a kernel of truth: in determining whether the Tenth Amendment limits the ability of Congress to subject state governments to generally applicable laws, the Court has, in some cases, stated that it will evaluate the strength of federal interests in light of the degree to which such laws would prevent the State from functioning as a sovereign; that is, the extent to which such generally applicable laws would impede a state government's responsibility to represent and be accountable to the citizens of the State. See, e.g., EEOC v. [505 U.S. 178] Wyoming, 460 U.S. at 242, n. 17; Transportation Union v. Long Island R. Co., 455 U.S. at  684, n. 9; National League of Cities v. Usery, 426 U.S. at  853. The Court has more recently departed from this approach. See, e.g., South Carolina v. Baker, 485 U.S. at 512-513; Garcia v. San Antonio Metropolitan Transit Authority, 469 U.S. at 556-557. But whether or not a particularly strong federal interest enables Congress to bring state governments within the orbit of generally applicable federal regulation, no Member of the Court has ever suggested that such a federal interest would enable Congress to command a state government to enact state regulation. No matter how powerful the federal interest involved, the Constitution simply does not give Congress the authority to require the States to regulate. The Constitution instead gives Congress the authority to regulate matters directly, and to preempt contrary state regulation. Where a federal interest is sufficiently strong to cause Congress to legislate, it must do so directly; it may not conscript state governments as its agents.</w:t>
      </w:r>
    </w:p>
    <w:p w:rsidR="00A31137" w:rsidRPr="00A31137" w:rsidRDefault="00A31137" w:rsidP="00A31137">
      <w:r w:rsidRPr="00A31137">
        <w:t>1992, New York v. United States, 505 U.S. 178</w:t>
      </w:r>
    </w:p>
    <w:p w:rsidR="00A31137" w:rsidRPr="00A31137" w:rsidRDefault="00A31137" w:rsidP="00A31137">
      <w:r w:rsidRPr="00A31137">
        <w:t>Second, the United States argues that the Constitution does, in some circumstances, permit federal directives to state governments. Various cases are cited for this proposition, but none support it. Some of these cases discuss the well established power of Congress to pass laws enforceable in state courts. See Testa v. Katt, 330 U.S. 386 (1947); Palmore v. United States, 411 U.S. 389,  402 (1973); see also Mondou v. New York, N.H. &amp; H.R. Co., 223 U.S. 1, 57 (1912); Claflin v. Houseman, 93 U.S. 130, 136-137 (1876). These cases involve no more than an application of the Supremacy Clause's provision that federal law "shall be the supreme Law of the Land," enforceable in every State. More to the point, all involve congressional regulation of individuals, not congressional requirements that States regulate. Federal statutes enforceable in state courts do, in a sense, direct state judges to enforce them, but this sort of federal "direction" of state judges is mandated by the text of the Supremacy [505 U.S. 179] Clause. No comparable constitutional provision authorizes Congress to command state legislatures to legislate.</w:t>
      </w:r>
    </w:p>
    <w:p w:rsidR="00A31137" w:rsidRPr="00A31137" w:rsidRDefault="00A31137" w:rsidP="00A31137">
      <w:r w:rsidRPr="00A31137">
        <w:t>1992, New York v. United States, 505 U.S. 179</w:t>
      </w:r>
    </w:p>
    <w:p w:rsidR="00A31137" w:rsidRPr="00A31137" w:rsidRDefault="00A31137" w:rsidP="00A31137">
      <w:r w:rsidRPr="00A31137">
        <w:t>Additional cases cited by the United States discuss the power of federal courts to order state officials to comply with federal law. See Puerto Rico v. Branstad, 483 U.S. 219, 228 (1987); Washington v. Washington State Commercial Passenger Fishing Vessel Assn., 443 U.S. 658, 695 (1979); Illinois v. City of Milwaukee, 406 U.S. 91, 106-108 (1972); see also Cooper v. Aaron, 358 U.S. 1, 18-19 (1958); Brown v. Board of Ed., 349 U.S. 294,  300 (1955); Ex parte Young, 209 U.S. 123, 155-156 (1908). Again, however, the text of the Constitution plainly confers this authority on the federal courts, the "judicial Power" of which</w:t>
      </w:r>
    </w:p>
    <w:p w:rsidR="00A31137" w:rsidRPr="00A31137" w:rsidRDefault="00A31137" w:rsidP="00A31137">
      <w:r w:rsidRPr="00A31137">
        <w:t>1992, New York v. United States, 505 U.S. 179</w:t>
      </w:r>
    </w:p>
    <w:p w:rsidR="00A31137" w:rsidRPr="00A31137" w:rsidRDefault="00A31137" w:rsidP="00A31137">
      <w:r w:rsidRPr="00A31137">
        <w:t>shall extend to all Cases, in Law and Equity, arising under this Constitution, [and] the Laws of the United States…; [and] to Controversies between two or more States; [and] between a State and Citizens of another State.</w:t>
      </w:r>
    </w:p>
    <w:p w:rsidR="00A31137" w:rsidRPr="00A31137" w:rsidRDefault="00A31137" w:rsidP="00A31137">
      <w:r w:rsidRPr="00A31137">
        <w:t>1992, New York v. United States, 505 U.S. 179</w:t>
      </w:r>
    </w:p>
    <w:p w:rsidR="00A31137" w:rsidRPr="00A31137" w:rsidRDefault="00A31137" w:rsidP="00A31137">
      <w:r w:rsidRPr="00A31137">
        <w:t>U.S.Const., Art. III, § 2. The Constitution contains no analogous grant of authority to Congress. Moreover, the Supremacy Clause makes federal law paramount over the contrary positions of state officials; the power of federal courts to enforce federal law thus presupposes some authority to order state officials to comply. See Puerto Rico v. Branstad, supra, 483 U.S. at 227-228 (overruling Kentucky v. Dennison, 24 How. 66 (1861)).</w:t>
      </w:r>
    </w:p>
    <w:p w:rsidR="00A31137" w:rsidRPr="00A31137" w:rsidRDefault="00A31137" w:rsidP="00A31137">
      <w:r w:rsidRPr="00A31137">
        <w:t>1992, New York v. United States, 505 U.S. 179</w:t>
      </w:r>
    </w:p>
    <w:p w:rsidR="00A31137" w:rsidRPr="00A31137" w:rsidRDefault="00A31137" w:rsidP="00A31137">
      <w:r w:rsidRPr="00A31137">
        <w:t>In sum, the cases relied upon by the United States hold only that federal law is enforceable in state courts, and that federal courts may, in proper circumstances, order state officials to comply with federal law, propositions that by no means imply any authority on the part of Congress to mandate state regulation.</w:t>
      </w:r>
    </w:p>
    <w:p w:rsidR="00A31137" w:rsidRPr="00A31137" w:rsidRDefault="00A31137" w:rsidP="00A31137">
      <w:r w:rsidRPr="00A31137">
        <w:t>1992, New York v. United States, 505 U.S. 179</w:t>
      </w:r>
    </w:p>
    <w:p w:rsidR="00A31137" w:rsidRPr="00A31137" w:rsidRDefault="00A31137" w:rsidP="00A31137">
      <w:r w:rsidRPr="00A31137">
        <w:t>Third, the United States, supported by the three sited regional compacts as amici, argues that the Constitution envisions a role for Congress as an arbiter of interstate disputes. The United States observes that federal courts, and this Court in particular, have frequently resolved conflicts among States. See, e.g., Arkansas v. Oklahoma, 503 U.S. 91 [505 U.S. 180] (1992); Wyoming v. Oklahoma, 502 U.S. 437 (1992). Many of these disputes have involved the allocation of shared resources among the States, a category perhaps broad enough to encompass the allocation of scarce disposal space for radioactive waste. See, e.g., Colorado v. New Mexico, 459 U.S. 176 (1982); Arizona v. California, 373 U.S. 546 (1963). The United States suggests that, if the Court may resolve such interstate disputes, Congress can surely do the same under the Commerce Clause. The regional compacts support this argument with a series of quotations from The Federalist and other contemporaneous documents, which the compacts contend demonstrate that the Framers established a strong national legislature for the purpose of resolving trade disputes among the States. Brief for Rocky Mountain Low-Level Radioactive Waste Compact et al. as Amici Curiae 17, and n. 16.</w:t>
      </w:r>
    </w:p>
    <w:p w:rsidR="00A31137" w:rsidRPr="00A31137" w:rsidRDefault="00A31137" w:rsidP="00A31137">
      <w:r w:rsidRPr="00A31137">
        <w:t>1992, New York v. United States, 505 U.S. 180</w:t>
      </w:r>
    </w:p>
    <w:p w:rsidR="00A31137" w:rsidRPr="00A31137" w:rsidRDefault="00A31137" w:rsidP="00A31137">
      <w:r w:rsidRPr="00A31137">
        <w:t>While the Framers no doubt endowed Congress with the power to regulate interstate commerce in order to avoid further instances of the interstate trade disputes that were common under the Articles of Confederation, the Framers did not intend that Congress should exercise that power through the mechanism of mandating state regulation. The Constitution established Congress as "a superintending authority over the reciprocal trade" among the States, The Federalist No. 42, p. 268 (C. Rossiter ed.1961), by empowering Congress to regulate that trade directly, not by authorizing Congress to issue trade-related orders to state governments. As Madison and Hamilton explained,</w:t>
      </w:r>
    </w:p>
    <w:p w:rsidR="00A31137" w:rsidRPr="00A31137" w:rsidRDefault="00A31137" w:rsidP="00A31137">
      <w:r w:rsidRPr="00A31137">
        <w:t>1992, New York v. United States, 505 U.S. 180</w:t>
      </w:r>
    </w:p>
    <w:p w:rsidR="00A31137" w:rsidRPr="00A31137" w:rsidRDefault="00A31137" w:rsidP="00A31137">
      <w:r w:rsidRPr="00A31137">
        <w:t>a sovereignty over sovereigns, a government over governments, a legislation for communities, as contradistinguished from individuals, as it is a solecism in theory, so in practice it is subversive of the order and ends of civil polity.</w:t>
      </w:r>
    </w:p>
    <w:p w:rsidR="00A31137" w:rsidRPr="00A31137" w:rsidRDefault="00A31137" w:rsidP="00A31137">
      <w:r w:rsidRPr="00A31137">
        <w:t>1992, New York v. United States, 505 U.S. 180</w:t>
      </w:r>
    </w:p>
    <w:p w:rsidR="00A31137" w:rsidRPr="00A31137" w:rsidRDefault="00A31137" w:rsidP="00A31137">
      <w:r w:rsidRPr="00A31137">
        <w:t>Id., No. 20, p. 138.</w:t>
      </w:r>
    </w:p>
    <w:p w:rsidR="00A31137" w:rsidRPr="00A31137" w:rsidRDefault="00A31137" w:rsidP="00A31137">
      <w:r w:rsidRPr="00A31137">
        <w:t>B</w:t>
      </w:r>
    </w:p>
    <w:p w:rsidR="00A31137" w:rsidRPr="00A31137" w:rsidRDefault="00A31137" w:rsidP="00A31137">
      <w:r w:rsidRPr="00A31137">
        <w:t>1992, New York v. United States, 505 U.S. 180</w:t>
      </w:r>
    </w:p>
    <w:p w:rsidR="00A31137" w:rsidRPr="00A31137" w:rsidRDefault="00A31137" w:rsidP="00A31137">
      <w:r w:rsidRPr="00A31137">
        <w:t>The sited State respondents focus their attention on the process by which the Act was formulated. They correctly [505 U.S. 181] observe that public officials representing the State of New York lent their support to the Act's enactment. A Deputy Commissioner of the State's Energy Office testified in favor of the Act. See Low-Level Waste Legislation: Hearings on H.R. 862, H.R. 1046, H.R. 1083, and H.R. 1267 before the Subcommittee on Energy and the Environment of the House Comm. on Interior and Insular Affairs, 99th Cong., 1st Sess. 9798, 190-199 (1985) (testimony of Charles Guinn). Senator Moynihan of New York spoke in support of the Act on the floor of the Senate. 131 Cong.Rec. 38423 (1985). Respondents note that the Act embodies a bargain among the sited and unsited States, a compromise to which New York was a willing participant, and from which New York has reaped much benefit. Respondents then pose what appears at first to be a troubling question: how can a federal statute be found an unconstitutional infringement of State sovereignty when state officials consented to the statute's enactment?</w:t>
      </w:r>
    </w:p>
    <w:p w:rsidR="00A31137" w:rsidRPr="00A31137" w:rsidRDefault="00A31137" w:rsidP="00A31137">
      <w:r w:rsidRPr="00A31137">
        <w:t>1992, New York v. United States, 505 U.S. 181</w:t>
      </w:r>
    </w:p>
    <w:p w:rsidR="00A31137" w:rsidRPr="00A31137" w:rsidRDefault="00A31137" w:rsidP="00A31137">
      <w:r w:rsidRPr="00A31137">
        <w:t>The answer follows from an understanding of the fundamental purpose served by our Government's federal structure. The Constitution does not protect the sovereignty of States for the benefit of the States or state governments as abstract political entities, or even for the benefit of the public officials governing the States. To the contrary, the Constitution divides authority between federal and state governments for the protection of individuals. State sovereignty is not just an end in itself: "Rather, federalism secures to citizens the liberties that derive from the diffusion of sovereign power." Coleman v. Thompson, 501 U.S. 722, 759 (1991) (BLACKMUN, J., dissenting).</w:t>
      </w:r>
    </w:p>
    <w:p w:rsidR="00A31137" w:rsidRPr="00A31137" w:rsidRDefault="00A31137" w:rsidP="00A31137">
      <w:r w:rsidRPr="00A31137">
        <w:t>1992, New York v. United States, 505 U.S. 181</w:t>
      </w:r>
    </w:p>
    <w:p w:rsidR="00A31137" w:rsidRPr="00A31137" w:rsidRDefault="00A31137" w:rsidP="00A31137">
      <w:r w:rsidRPr="00A31137">
        <w:t>Just as the separation and independence of the coordinate Branches of the Federal Government serves to prevent the accumulation of excessive power in any one Branch, a healthy balance of power between the States and the Federal Government will reduce the risk of tyranny and abuse from either front.</w:t>
      </w:r>
    </w:p>
    <w:p w:rsidR="00A31137" w:rsidRPr="00A31137" w:rsidRDefault="00A31137" w:rsidP="00A31137">
      <w:r w:rsidRPr="00A31137">
        <w:t>1992, New York v. United States, 505 U.S. 181</w:t>
      </w:r>
    </w:p>
    <w:p w:rsidR="00A31137" w:rsidRPr="00A31137" w:rsidRDefault="00A31137" w:rsidP="00A31137">
      <w:r w:rsidRPr="00A31137">
        <w:t>Gregory v. Ashcroft, [505 U.S. 182] 501 U.S. at 458 (1991). See The Federalist No. 51, p. 323.</w:t>
      </w:r>
    </w:p>
    <w:p w:rsidR="00A31137" w:rsidRPr="00A31137" w:rsidRDefault="00A31137" w:rsidP="00A31137">
      <w:r w:rsidRPr="00A31137">
        <w:t>1992, New York v. United States, 505 U.S. 182</w:t>
      </w:r>
    </w:p>
    <w:p w:rsidR="00A31137" w:rsidRPr="00A31137" w:rsidRDefault="00A31137" w:rsidP="00A31137">
      <w:r w:rsidRPr="00A31137">
        <w:t>Where Congress exceeds its authority relative to the States, therefore, the departure from the constitutional plan cannot be ratified by the "consent" of state officials. An analogy to the separation of powers among the Branches of the Federal Government clarifies this point. The Constitution's division of power among the three Branches is violated where one Branch invades the territory of another, whether or not the encroached-upon Branch approves the encroachment. In Buckley v. Valeo, 424 U.S. 1, 118-137 (1976), for instance, the Court held that the Congress had infringed the President's appointment power, despite the fact that the President himself had manifested his consent to the statute that caused the infringement by signing it into law. See National League of Cities v. Usery, 426 U.S. at  842, n. 12. In INS v. Chadha, 462 U.S. 919, 944-959 (1983), we held that the legislative veto violated the constitutional requirement that legislation be presented to the President, despite Presidents' approval of hundreds of statutes containing a legislative veto provision. See id. at 944-945. The constitutional authority of Congress cannot be expanded by the "consent" of the governmental unit whose domain is thereby narrowed, whether that unit is the Executive Branch or the States.</w:t>
      </w:r>
    </w:p>
    <w:p w:rsidR="00A31137" w:rsidRPr="00A31137" w:rsidRDefault="00A31137" w:rsidP="00A31137">
      <w:r w:rsidRPr="00A31137">
        <w:t>1992, New York v. United States, 505 U.S. 182</w:t>
      </w:r>
    </w:p>
    <w:p w:rsidR="00A31137" w:rsidRPr="00A31137" w:rsidRDefault="00A31137" w:rsidP="00A31137">
      <w:r w:rsidRPr="00A31137">
        <w:t>State officials thus cannot consent to the enlargement of the powers of Congress beyond those enumerated in the Constitution. Indeed, the facts of this case raise the possibility that powerful incentives might lead both federal and state officials to view departures from the federal structure to be in their personal interests. Most citizens recognize the need for radioactive waste disposal sites, but few want sites near their homes. As a result, while it would be well within the authority of either federal or state officials to choose where the disposal sites will be, it is likely to be in the political interest of each individual official to avoid being held accountable to the voters for the choice of location. If [505 U.S. 183] a federal official is faced with the alternatives of choosing a location or directing the States to do it, the official may well prefer the latter, as a means of shifting responsibility for the eventual decision. If a state official is faced with the same set of alternatives—choosing a location or having Congress direct the choice of a location—the state official may also prefer the latter, as it may permit the avoidance of personal responsibility. The interests of public officials thus may not coincide with the Constitution's intergovernmental allocation of authority. Where state officials purport to submit to the direction of Congress in this manner, federalism is hardly being advanced.</w:t>
      </w:r>
    </w:p>
    <w:p w:rsidR="00A31137" w:rsidRPr="00A31137" w:rsidRDefault="00A31137" w:rsidP="00A31137">
      <w:r w:rsidRPr="00A31137">
        <w:t>1992, New York v. United States, 505 U.S. 183</w:t>
      </w:r>
    </w:p>
    <w:p w:rsidR="00A31137" w:rsidRPr="00A31137" w:rsidRDefault="00A31137" w:rsidP="00A31137">
      <w:r w:rsidRPr="00A31137">
        <w:t>Nor does the State's prior support for the Act estop it from asserting the Act's unconstitutionality. While New York has received the benefit of the Act in the form of a few more years of access to disposal sites in other States, New York has never joined a regional radioactive waste compact. Any estoppel implications that might flow from membership in a compact, see West Virginia ex rel. Dyer v. Sims, 341 U.S. 22, 35-36 (1951) (Jackson, J., concurring), thus do not concern us here. The fact that the Act, like much federal legislation, embodies a compromise among the States does not elevate the Act (or the antecedent discussions among representatives of the States) to the status of an interstate agreement requiring Congress' approval under the Compact Clause. Cf. Holmes v. Jennison, 14 Pet. 540, 572 (1840) (plurality opinion). That a party collaborated with others in seeking legislation has never been understood to estop the party from challenging that legislation in subsequent litigation.</w:t>
      </w:r>
    </w:p>
    <w:p w:rsidR="00A31137" w:rsidRPr="00A31137" w:rsidRDefault="00A31137" w:rsidP="00A31137">
      <w:r w:rsidRPr="00A31137">
        <w:t>V</w:t>
      </w:r>
    </w:p>
    <w:p w:rsidR="00A31137" w:rsidRPr="00A31137" w:rsidRDefault="00A31137" w:rsidP="00A31137">
      <w:r w:rsidRPr="00A31137">
        <w:t>1992, New York v. United States, 505 U.S. 183</w:t>
      </w:r>
    </w:p>
    <w:p w:rsidR="00A31137" w:rsidRPr="00A31137" w:rsidRDefault="00A31137" w:rsidP="00A31137">
      <w:r w:rsidRPr="00A31137">
        <w:t>Petitioners also contend that the Act is inconsistent with the Constitution's Guarantee Clause, which directs the United States to "guarantee to every State in this Union a Republican Form of Government." U.S.Const., Art. IV, § 4. Because we have found the take title provision of the Act [505 U.S. 184] irreconcilable with the powers delegated to Congress by the Constitution, and hence with the Tenth Amendment's reservation to the States of those powers not delegated to the Federal Government, we need only address the applicability of the Guarantee Clause to the Act's other two challenged provisions.</w:t>
      </w:r>
    </w:p>
    <w:p w:rsidR="00A31137" w:rsidRPr="00A31137" w:rsidRDefault="00A31137" w:rsidP="00A31137">
      <w:r w:rsidRPr="00A31137">
        <w:t>1992, New York v. United States, 505 U.S. 184</w:t>
      </w:r>
    </w:p>
    <w:p w:rsidR="00A31137" w:rsidRPr="00A31137" w:rsidRDefault="00A31137" w:rsidP="00A31137">
      <w:r w:rsidRPr="00A31137">
        <w:t>We approach the issue with some trepidation, because the Guarantee Clause has been an infrequent basis for litigation throughout our history. In most of the cases in which the Court has been asked to apply the Clause, the Court has found the claims presented to be nonjusticiable under the "political question" doctrine. See, e.g., City of Rome v. United States, 446 U.S. 156,  182, n. 17 (1980) (challenge to the preclearance requirements of the Voting Rights Act); Baker v. Carr, 369 U.S. 186, 218-229 (1962) (challenge to apportionment of state legislative districts); Pacific States Tel. &amp; Tel. Co. v. Oregon, 223 U.S. 118, 140-151 (1912) (challenge to initiative and referendum provisions of state constitution).</w:t>
      </w:r>
    </w:p>
    <w:p w:rsidR="00A31137" w:rsidRPr="00A31137" w:rsidRDefault="00A31137" w:rsidP="00A31137">
      <w:r w:rsidRPr="00A31137">
        <w:t>1992, New York v. United States, 505 U.S. 184</w:t>
      </w:r>
    </w:p>
    <w:p w:rsidR="00A31137" w:rsidRPr="00A31137" w:rsidRDefault="00A31137" w:rsidP="00A31137">
      <w:r w:rsidRPr="00A31137">
        <w:t>The view that the Guarantee Clause implicates only nonjusticiable political questions has its origin in Luther v. Borden, 7 How. 1 (1849), in which the Court was asked to decide, in the wake of Dorr's Rebellion, which of two rival governments was the legitimate government of Rhode Island. The Court held that "it rests with Congress," not the judiciary, "to decide what government is the established one in a State." Id. at  42. Over the following century, this limited holding metamorphosed into the sweeping assertion that "[v]iolation of the great guaranty of a republican form of government in States cannot be challenged in the courts." Colegrove v. Green, 328 U.S. 549,  556 (1946) (plurality opinion).</w:t>
      </w:r>
    </w:p>
    <w:p w:rsidR="00A31137" w:rsidRPr="00A31137" w:rsidRDefault="00A31137" w:rsidP="00A31137">
      <w:r w:rsidRPr="00A31137">
        <w:t>1992, New York v. United States, 505 U.S. 184</w:t>
      </w:r>
    </w:p>
    <w:p w:rsidR="00A31137" w:rsidRPr="00A31137" w:rsidRDefault="00A31137" w:rsidP="00A31137">
      <w:r w:rsidRPr="00A31137">
        <w:t>This view has not always been accepted. In a group of cases decided before the holding of Luther was elevated into a general rule of nonjusticiability, the Court addressed the merits of claims founded on the Guarantee Clause without any suggestion that the claims were not justiciable. See Attorney [505 U.S. 185] General of Michigan ex rel. Kies v. Lowrey, 199 U.S. 233, 239 (1905); Forsyth v. Hammond, 166 U.S. 506, 519 (1897); In re Duncan, 139 U.S. 449, 461-462 (1891); Minor v. Happersett, 21 Wall. 162, 175-176 (1875). See also Plessy v. Ferguson, 163 U.S. 537, 563-564 (1896) (Harlan, J., dissenting) (racial segregation "inconsistent with the guarantee given by the Constitution to each State of a republican form of government").</w:t>
      </w:r>
    </w:p>
    <w:p w:rsidR="00A31137" w:rsidRPr="00A31137" w:rsidRDefault="00A31137" w:rsidP="00A31137">
      <w:r w:rsidRPr="00A31137">
        <w:t>1992, New York v. United States, 505 U.S. 185</w:t>
      </w:r>
    </w:p>
    <w:p w:rsidR="00A31137" w:rsidRPr="00A31137" w:rsidRDefault="00A31137" w:rsidP="00A31137">
      <w:r w:rsidRPr="00A31137">
        <w:t>More recently, the Court has suggested that perhaps not all claims under the Guarantee Clause present nonjusticiable political questions. See Reynolds v. Sims, 377 U.S. 533,  582 (1964) ("some questions raised under the Guarantee Clause are nonjusticiable"). Contemporary commentators have likewise suggested that courts should address the merits of such claims, at least in some circumstances. See, e.g., L. Tribe, American Constitutional Law 398 (2d ed.1988); J. Ely, Democracy and Distrust: A Theory of Judicial Review 118, n., 122-123 (1980); W. Wiecek, The Guarantee Clause of the U.S. Constitution 287-289, 300 (1972); Merritt, 88 Colum.L.Rev. at 70-78; Bonfield, The Guarantee Clause of Article IV, Section 4: A Study in Constitutional Desuetude, 46 Minn.L.Rev. 513, 560-565 (1962).</w:t>
      </w:r>
    </w:p>
    <w:p w:rsidR="00A31137" w:rsidRPr="00A31137" w:rsidRDefault="00A31137" w:rsidP="00A31137">
      <w:r w:rsidRPr="00A31137">
        <w:t>1992, New York v. United States, 505 U.S. 185</w:t>
      </w:r>
    </w:p>
    <w:p w:rsidR="00A31137" w:rsidRPr="00A31137" w:rsidRDefault="00A31137" w:rsidP="00A31137">
      <w:r w:rsidRPr="00A31137">
        <w:t>We need not resolve this difficult question today. Even if we assume that petitioners' claim is justiciable, neither the monetary incentives provided by the Act nor the possibility that a State's waste producers may find themselves excluded from the disposal sites of another State can reasonably be said to deny any State a republican form of government. As we have seen, these two incentives represent permissible conditional exercises of Congress' authority under the Spending and Commerce Clauses respectively, in forms that have now grown commonplace. Under each, Congress offers the States a legitimate choice, rather than issuing an unavoidable command. The States thereby retain the ability to set their legislative agendas; state government officials remain accountable to the local electorate. The twin threats [505 U.S. 186] imposed by the first two challenged provisions of the Act—that New York may miss out on a share of federal spending or that those generating radioactive waste within New York may lose out-of-state disposal outlets—do not pose any realistic risk of altering the form or the method of functioning of New York's government. Thus, even indulging the assumption that the Guarantee Clause provides a basis upon which a State or its subdivisions may sue to enjoin the enforcement of a federal statute, petitioners have not made out such a claim in this case.</w:t>
      </w:r>
    </w:p>
    <w:p w:rsidR="00A31137" w:rsidRPr="00A31137" w:rsidRDefault="00A31137" w:rsidP="00A31137">
      <w:r w:rsidRPr="00A31137">
        <w:t>VI</w:t>
      </w:r>
    </w:p>
    <w:p w:rsidR="00A31137" w:rsidRPr="00A31137" w:rsidRDefault="00A31137" w:rsidP="00A31137">
      <w:r w:rsidRPr="00A31137">
        <w:t>1992, New York v. United States, 505 U.S. 186</w:t>
      </w:r>
    </w:p>
    <w:p w:rsidR="00A31137" w:rsidRPr="00A31137" w:rsidRDefault="00A31137" w:rsidP="00A31137">
      <w:r w:rsidRPr="00A31137">
        <w:t>Having determined that the take title provision exceeds the powers of Congress, we must consider whether it is severable from the rest of the Act.</w:t>
      </w:r>
    </w:p>
    <w:p w:rsidR="00A31137" w:rsidRPr="00A31137" w:rsidRDefault="00A31137" w:rsidP="00A31137">
      <w:r w:rsidRPr="00A31137">
        <w:t>1992, New York v. United States, 505 U.S. 186</w:t>
      </w:r>
    </w:p>
    <w:p w:rsidR="00A31137" w:rsidRPr="00A31137" w:rsidRDefault="00A31137" w:rsidP="00A31137">
      <w:r w:rsidRPr="00A31137">
        <w:t>The standard for determining the severability of an unconstitutional provision is well established: unless it is evident that the Legislature would not have enacted those provisions which are within its power, independently of that which is not, the invalid part may be dropped if what is left is fully operative as a law.</w:t>
      </w:r>
    </w:p>
    <w:p w:rsidR="00A31137" w:rsidRPr="00A31137" w:rsidRDefault="00A31137" w:rsidP="00A31137">
      <w:r w:rsidRPr="00A31137">
        <w:t>1992, New York v. United States, 505 U.S. 186</w:t>
      </w:r>
    </w:p>
    <w:p w:rsidR="00A31137" w:rsidRPr="00A31137" w:rsidRDefault="00A31137" w:rsidP="00A31137">
      <w:r w:rsidRPr="00A31137">
        <w:t>Alaska Airlines, Inc. v. Brock, 480 U.S. 678, 684 (1987) (internal quotation marks omitted). While the Act itself contains no statement of whether its provisions are severable,</w:t>
      </w:r>
    </w:p>
    <w:p w:rsidR="00A31137" w:rsidRPr="00A31137" w:rsidRDefault="00A31137" w:rsidP="00A31137">
      <w:r w:rsidRPr="00A31137">
        <w:t>1992, New York v. United States, 505 U.S. 186</w:t>
      </w:r>
    </w:p>
    <w:p w:rsidR="00A31137" w:rsidRPr="00A31137" w:rsidRDefault="00A31137" w:rsidP="00A31137">
      <w:r w:rsidRPr="00A31137">
        <w:t>[i]n the absence of a severability clause,…Congress' silence is just that—silence—and does not raise a presumption against severability.</w:t>
      </w:r>
    </w:p>
    <w:p w:rsidR="00A31137" w:rsidRPr="00A31137" w:rsidRDefault="00A31137" w:rsidP="00A31137">
      <w:r w:rsidRPr="00A31137">
        <w:t>1992, New York v. United States, 505 U.S. 186</w:t>
      </w:r>
    </w:p>
    <w:p w:rsidR="00A31137" w:rsidRPr="00A31137" w:rsidRDefault="00A31137" w:rsidP="00A31137">
      <w:r w:rsidRPr="00A31137">
        <w:t>Id. at 686. Common sense suggests that where Congress has enacted a statutory scheme for an obvious purpose, and where Congress has included a series of provisions operating as incentives to achieve that purpose, the invalidation of one of the incentives should not ordinarily cause Congress' overall intent to be frustrated. As the Court has observed,</w:t>
      </w:r>
    </w:p>
    <w:p w:rsidR="00A31137" w:rsidRPr="00A31137" w:rsidRDefault="00A31137" w:rsidP="00A31137">
      <w:r w:rsidRPr="00A31137">
        <w:t>1992, New York v. United States, 505 U.S. 186</w:t>
      </w:r>
    </w:p>
    <w:p w:rsidR="00A31137" w:rsidRPr="00A31137" w:rsidRDefault="00A31137" w:rsidP="00A31137">
      <w:r w:rsidRPr="00A31137">
        <w:t>it is not to be presumed that the legislature was legislating for the mere sake of imposing penalties, but the penalties…were simply in aid of the main purpose of the statute. They may fail, and still the great body of the statute have operative force, and the force contemplated by the legislature in its [505 U.S. 187] enactment.</w:t>
      </w:r>
    </w:p>
    <w:p w:rsidR="00A31137" w:rsidRPr="00A31137" w:rsidRDefault="00A31137" w:rsidP="00A31137">
      <w:r w:rsidRPr="00A31137">
        <w:t>1992, New York v. United States, 505 U.S. 187</w:t>
      </w:r>
    </w:p>
    <w:p w:rsidR="00A31137" w:rsidRPr="00A31137" w:rsidRDefault="00A31137" w:rsidP="00A31137">
      <w:r w:rsidRPr="00A31137">
        <w:t>Reagan v. Farmers' Loan &amp; Trust Co., 154 U.S. 362, 396 (1894). See also United States v. Jackson, 390 U.S. 570, 585-586 (1968).</w:t>
      </w:r>
    </w:p>
    <w:p w:rsidR="00A31137" w:rsidRPr="00A31137" w:rsidRDefault="00A31137" w:rsidP="00A31137">
      <w:r w:rsidRPr="00A31137">
        <w:t>1992, New York v. United States, 505 U.S. 187</w:t>
      </w:r>
    </w:p>
    <w:p w:rsidR="00A31137" w:rsidRPr="00A31137" w:rsidRDefault="00A31137" w:rsidP="00A31137">
      <w:r w:rsidRPr="00A31137">
        <w:t>It is apparent in light of these principles that the take title provision may be severed without doing violence to the rest of the Act. The Act is still operative, and it still serves Congress' objective of encouraging the States to attain local or regional self-sufficiency in the disposal of low level radioactive waste. It still includes two incentives that coax the States along this road. A State whose radioactive waste generators are unable to gain access to disposal sites in other States may encounter considerable internal pressure to provide for the disposal of waste, even without the prospect of taking title. The sited regional compacts need not accept New York's waste after the seven-year transition period expires, so any burden caused by New York's failure to secure a disposal site will not be borne by the residents of other States. The purpose of the Act is not defeated by the invalidation of the take title provision, so we may leave the remainder of the Act in force.</w:t>
      </w:r>
    </w:p>
    <w:p w:rsidR="00A31137" w:rsidRPr="00A31137" w:rsidRDefault="00A31137" w:rsidP="00A31137">
      <w:r w:rsidRPr="00A31137">
        <w:t>VII</w:t>
      </w:r>
    </w:p>
    <w:p w:rsidR="00A31137" w:rsidRPr="00A31137" w:rsidRDefault="00A31137" w:rsidP="00A31137">
      <w:r w:rsidRPr="00A31137">
        <w:t>1992, New York v. United States, 505 U.S. 187</w:t>
      </w:r>
    </w:p>
    <w:p w:rsidR="00A31137" w:rsidRPr="00A31137" w:rsidRDefault="00A31137" w:rsidP="00A31137">
      <w:r w:rsidRPr="00A31137">
        <w:t>Some truths are so basic that, like the air around us, they are easily overlooked. Much of the Constitution is concerned with setting forth the form of our government, and the courts have traditionally invalidated measures deviating from that form. The result may appear "formalistic" in a given case to partisans of the measure at issue, because such measures are typically the product of the era's perceived necessity. But the Constitution protects us from our own best intentions: it divides power among sovereigns and among branches of government precisely so that we may resist the temptation to concentrate power in one location as an expedient solution to the crisis of the day. The shortage of disposal sites for radioactive waste is a pressing national problem, but a judiciary that licensed extraconstitutional [505 U.S. 188] government with each issue of comparable gravity would, in the long run, be far worse.</w:t>
      </w:r>
    </w:p>
    <w:p w:rsidR="00A31137" w:rsidRPr="00A31137" w:rsidRDefault="00A31137" w:rsidP="00A31137">
      <w:r w:rsidRPr="00A31137">
        <w:t>1992, New York v. United States, 505 U.S. 188</w:t>
      </w:r>
    </w:p>
    <w:p w:rsidR="00A31137" w:rsidRPr="00A31137" w:rsidRDefault="00A31137" w:rsidP="00A31137">
      <w:r w:rsidRPr="00A31137">
        <w:t>States are not mere political subdivisions of the United States. State governments are neither regional offices nor administrative agencies of the Federal Government. The positions occupied by state officials appear nowhere on the Federal Government's most detailed organizational chart. The Constitution instead "leaves to the several States a residuary and inviolable sovereignty," The Federalist No. 39, p. 246 (C. Rossiter ed.1961), reserved explicitly to the States by the Tenth Amendment.</w:t>
      </w:r>
    </w:p>
    <w:p w:rsidR="00A31137" w:rsidRPr="00A31137" w:rsidRDefault="00A31137" w:rsidP="00A31137">
      <w:r w:rsidRPr="00A31137">
        <w:t>1992, New York v. United States, 505 U.S. 188</w:t>
      </w:r>
    </w:p>
    <w:p w:rsidR="00A31137" w:rsidRPr="00A31137" w:rsidRDefault="00A31137" w:rsidP="00A31137">
      <w:r w:rsidRPr="00A31137">
        <w:t>Whatever the outer limits of that sovereignty may be, one thing is clear: the Federal Government may not compel the States to enact or administer a federal regulatory program. The Constitution permits both the Federal Government and the States to enact legislation regarding the disposal of low level radioactive waste. The Constitution enables the Federal Government to preempt state regulation contrary to federal interests, and it permits the Federal Government to hold out incentives to the States as a means of encouraging them to adopt suggested regulatory schemes. It does not, however, authorize Congress simply to direct the States to provide for the disposal of the radioactive waste generated within their borders. While there may be many constitutional methods of achieving regional self-sufficiency in radioactive waste disposal, the method Congress has chosen is not one of them. The judgment of the Court of Appeals is accordingly</w:t>
      </w:r>
    </w:p>
    <w:p w:rsidR="00A31137" w:rsidRPr="00A31137" w:rsidRDefault="00A31137" w:rsidP="00A31137">
      <w:r w:rsidRPr="00A31137">
        <w:t>1992, New York v. United States, 505 U.S. 188</w:t>
      </w:r>
    </w:p>
    <w:p w:rsidR="00A31137" w:rsidRPr="00A31137" w:rsidRDefault="00A31137" w:rsidP="00A31137">
      <w:r w:rsidRPr="00A31137">
        <w:t>Affirmed in part and reversed in part.</w:t>
      </w:r>
    </w:p>
    <w:p w:rsidR="00A31137" w:rsidRPr="00A31137" w:rsidRDefault="00A31137" w:rsidP="00A31137">
      <w:r w:rsidRPr="00A31137">
        <w:t>WHITE, J., concurring and dissenting</w:t>
      </w:r>
    </w:p>
    <w:p w:rsidR="00A31137" w:rsidRPr="00A31137" w:rsidRDefault="00A31137" w:rsidP="00A31137">
      <w:r w:rsidRPr="00A31137">
        <w:t>1992, New York v. United States, 505 U.S. 188</w:t>
      </w:r>
    </w:p>
    <w:p w:rsidR="00A31137" w:rsidRPr="00A31137" w:rsidRDefault="00A31137" w:rsidP="00A31137">
      <w:r w:rsidRPr="00A31137">
        <w:t>JUSTICE WHITE, with whom JUSTICE BLACKMUN and JUSTICE STEVENS join, concurring in part and dissenting in part.</w:t>
      </w:r>
    </w:p>
    <w:p w:rsidR="00A31137" w:rsidRPr="00A31137" w:rsidRDefault="00A31137" w:rsidP="00A31137">
      <w:r w:rsidRPr="00A31137">
        <w:t>1992, New York v. United States, 505 U.S. 188</w:t>
      </w:r>
    </w:p>
    <w:p w:rsidR="00A31137" w:rsidRPr="00A31137" w:rsidRDefault="00A31137" w:rsidP="00A31137">
      <w:r w:rsidRPr="00A31137">
        <w:t>The Court today affirms the constitutionality of two facets of the Low-Level Radioactive Waste Policy Amendments Act of 1986 (1986 Act), Pub.L. 99-240, 99 Stat. 1842, 42 U.S.C. § 2021b et seq. These provisions include the monetary incentives [505 U.S. 189] from surcharges collected by States with low-level radioactive waste storage sites and rebated by the Secretary of Energy to States in compliance with the Act's deadlines for achieving regional or in-state disposal, see §§ 2021e(d)(2)(A) and 2021e(d)(2)(B)(iv), and the "access incentives," which deny access to disposal sites for States that fail to meet certain deadlines for low-level radioactive waste disposal management. § 2021e(e)(2). The Court strikes down and severs a third component of the 1986 Act, the "take title" provision, which requires a noncomplying State to take title to or to assume liability for its low-level radioactive waste if it fails to provide for the disposal of such waste by January 1, 1996. § 2021e(d)(2)(C). The Court deems this last provision unconstitutional under principles of federalism. Because I believe the Court has mischaracterized the essential inquiry, misanalyzed the inquiry it has chosen to undertake, and undervalued the effect the seriousness of this public policy problem should have on the constitutionality of the take title provision, I can only join Parts III-A and III-B, and I respectfully dissent from the rest of its opinion and the judgment reversing in part the judgment of the Court of Appeals.</w:t>
      </w:r>
    </w:p>
    <w:p w:rsidR="00A31137" w:rsidRPr="00A31137" w:rsidRDefault="00A31137" w:rsidP="00A31137">
      <w:r w:rsidRPr="00A31137">
        <w:t>I</w:t>
      </w:r>
    </w:p>
    <w:p w:rsidR="00A31137" w:rsidRPr="00A31137" w:rsidRDefault="00A31137" w:rsidP="00A31137">
      <w:r w:rsidRPr="00A31137">
        <w:t>1992, New York v. United States, 505 U.S. 189</w:t>
      </w:r>
    </w:p>
    <w:p w:rsidR="00A31137" w:rsidRPr="00A31137" w:rsidRDefault="00A31137" w:rsidP="00A31137">
      <w:r w:rsidRPr="00A31137">
        <w:t>My disagreement with the Court's analysis begins at the basic descriptive level of how the legislation at issue in this case came to be enacted. The Court goes some way toward setting out the bare facts, but its omissions cast the statutory context of the take title provision in the wrong light. To read the Court's version of events, see ante at 150-151, one would think that Congress was the sole proponent of a solution to the Nation's low-level radioactive waste problem. Not so. The Low-Level Radioactive Waste Policy Act of 1980 (1980 Act), Pub.L. 96-673, 94 Stat. 3347, and its amendatory Act of 1986, resulted from the efforts of state leaders to achieve a state-based set of remedies to the waste problem. They sought not federal preemption or intervention, but [505 U.S. 190] rather congressional sanction of interstate compromises they had reached.</w:t>
      </w:r>
    </w:p>
    <w:p w:rsidR="00A31137" w:rsidRPr="00A31137" w:rsidRDefault="00A31137" w:rsidP="00A31137">
      <w:r w:rsidRPr="00A31137">
        <w:t>1992, New York v. United States, 505 U.S. 190</w:t>
      </w:r>
    </w:p>
    <w:p w:rsidR="00A31137" w:rsidRPr="00A31137" w:rsidRDefault="00A31137" w:rsidP="00A31137">
      <w:r w:rsidRPr="00A31137">
        <w:t>The two signal events in 1979 that precipitated movement toward legislation were the temporary closing of the Nevada disposal site in July, 1979, after several serious transportation-related incidents, and the temporary shutting of the Washington disposal site because of similar transportation and packaging problems in October, 1979. At that time, the facility in Barnwell, South Carolina, received approximately three-quarters of the Nation's low-level radioactive waste, and the Governor ordered a 50 percent reduction in the amount his State's plant would accept for disposal. National Governors' Association Task Force on Low-Level Radioactive Waste Disposal, Low-Level Waste: A Program for Action 3 (Nov.1980) (hereinafter A Program for Action). The Governor of Washington threatened to shut down the Hanford, Washington, facility entirely by 1982 unless "some meaningful progress occurs toward" development of regional solutions to the waste disposal problem. Id. at 4, n. Only three sites existed in the country for the disposal of low-level radioactive waste, and the "sited" States confronted the undesirable alternatives either of continuing to be the dumping grounds for the entire Nation's low-level waste or of eliminating or reducing in a constitutional manner the amount of waste accepted for disposal.</w:t>
      </w:r>
    </w:p>
    <w:p w:rsidR="00A31137" w:rsidRPr="00A31137" w:rsidRDefault="00A31137" w:rsidP="00A31137">
      <w:r w:rsidRPr="00A31137">
        <w:t>1992, New York v. United States, 505 U.S. 190</w:t>
      </w:r>
    </w:p>
    <w:p w:rsidR="00A31137" w:rsidRPr="00A31137" w:rsidRDefault="00A31137" w:rsidP="00A31137">
      <w:r w:rsidRPr="00A31137">
        <w:t xml:space="preserve">The imminence of a crisis in low-level radioactive waste management cannot be overstated. In December, 1979, the National Governors' Association convened an eight-member task force to coordinate policy proposals on behalf of the States. See Status of Interstate Compacts for the Disposal of Low-Level Radioactive Waste: Hearing before the Senate Committee on the Judiciary, 98th Cong., 1st Sess., 8 (1983). In May, 1980, the State Planning Council on Radioactive Waste Management submitted the following unanimous recommendation to President Carter: [505 U.S. 191] </w:t>
      </w:r>
    </w:p>
    <w:p w:rsidR="00A31137" w:rsidRPr="00A31137" w:rsidRDefault="00A31137" w:rsidP="00A31137">
      <w:r w:rsidRPr="00A31137">
        <w:t>1992, New York v. United States, 505 U.S. 191</w:t>
      </w:r>
    </w:p>
    <w:p w:rsidR="00A31137" w:rsidRPr="00A31137" w:rsidRDefault="00A31137" w:rsidP="00A31137">
      <w:r w:rsidRPr="00A31137">
        <w:t>The national policy of the United States on low-level radioactive waste shall be that every State is responsible for the disposal of the low-level radioactive waste generated by nondefense related activities within its boundaries, and that States are authorized to enter into interstate compacts, as necessary, for the purpose of carrying out this responsibility.</w:t>
      </w:r>
    </w:p>
    <w:p w:rsidR="00A31137" w:rsidRPr="00A31137" w:rsidRDefault="00A31137" w:rsidP="00A31137">
      <w:r w:rsidRPr="00A31137">
        <w:t>1992, New York v. United States, 505 U.S. 191</w:t>
      </w:r>
    </w:p>
    <w:p w:rsidR="00A31137" w:rsidRPr="00A31137" w:rsidRDefault="00A31137" w:rsidP="00A31137">
      <w:r w:rsidRPr="00A31137">
        <w:t>126 Cong.Rec. 20135 (1980). This recommendation was adopted by the National Governors' Association a few months later. See A Program for Action 6-7; H.R.Rep. No. 99-314, pt. 2, p. 18 (1985). The Governors recognized that the Federal Government could assert its preeminence in achieving a solution to this problem, but requested instead that Congress oversee state-developed regional solutions. Accordingly, the Governors' Task Force urged that</w:t>
      </w:r>
    </w:p>
    <w:p w:rsidR="00A31137" w:rsidRPr="00A31137" w:rsidRDefault="00A31137" w:rsidP="00A31137">
      <w:r w:rsidRPr="00A31137">
        <w:t>1992, New York v. United States, 505 U.S. 191</w:t>
      </w:r>
    </w:p>
    <w:p w:rsidR="00A31137" w:rsidRPr="00A31137" w:rsidRDefault="00A31137" w:rsidP="00A31137">
      <w:r w:rsidRPr="00A31137">
        <w:t>each state should accept primary responsibility for the safe disposal of low-level radioactive waste generated within its borders,</w:t>
      </w:r>
    </w:p>
    <w:p w:rsidR="00A31137" w:rsidRPr="00A31137" w:rsidRDefault="00A31137" w:rsidP="00A31137">
      <w:r w:rsidRPr="00A31137">
        <w:t>1992, New York v. United States, 505 U.S. 191</w:t>
      </w:r>
    </w:p>
    <w:p w:rsidR="00A31137" w:rsidRPr="00A31137" w:rsidRDefault="00A31137" w:rsidP="00A31137">
      <w:r w:rsidRPr="00A31137">
        <w:t>and that "the states should pursue a regional approach to the low-level waste disposal problem." A Program for Action 6.</w:t>
      </w:r>
    </w:p>
    <w:p w:rsidR="00A31137" w:rsidRPr="00A31137" w:rsidRDefault="00A31137" w:rsidP="00A31137">
      <w:r w:rsidRPr="00A31137">
        <w:t>1992, New York v. United States, 505 U.S. 191</w:t>
      </w:r>
    </w:p>
    <w:p w:rsidR="00A31137" w:rsidRPr="00A31137" w:rsidRDefault="00A31137" w:rsidP="00A31137">
      <w:r w:rsidRPr="00A31137">
        <w:t>The Governors went further, however, in recommending that "Congress should authorize the states to enter into interstate compacts to establish regional disposal sites" and that "[s]uch authorization should include the power to exclude waste generated outside the region from the regional disposal site." Id. at 7. The Governors had an obvious incentive in urging Congress not to add more coercive measures to the legislation should the States fail to comply, but they nevertheless anticipated that Congress might eventually have to take stronger steps to ensure compliance with long-range planning deadlines for low-level radioactive waste management. Accordingly, the Governors' Task Force</w:t>
      </w:r>
    </w:p>
    <w:p w:rsidR="00A31137" w:rsidRPr="00A31137" w:rsidRDefault="00A31137" w:rsidP="00A31137">
      <w:r w:rsidRPr="00A31137">
        <w:t>1992, New York v. United States, 505 U.S. 191</w:t>
      </w:r>
    </w:p>
    <w:p w:rsidR="00A31137" w:rsidRPr="00A31137" w:rsidRDefault="00A31137" w:rsidP="00A31137">
      <w:r w:rsidRPr="00A31137">
        <w:t>recommend[ed] that Congress defer consideration of sanctions to compel the establishment of new disposal sites until at least two years after the enactment of compact [505 U.S. 192] consent legislation. States are already confronting the diminishing capacity of present sites and an unequivocal political warning from those states' Governors. If, at the end of the two-year period, states have not responded effectively, or if problems still exist, stronger federal action may be necessary. But until that time, Congress should confine its role to removing obstacles and allow the states a reasonable chance to solve the problem themselves.</w:t>
      </w:r>
    </w:p>
    <w:p w:rsidR="00A31137" w:rsidRPr="00A31137" w:rsidRDefault="00A31137" w:rsidP="00A31137">
      <w:r w:rsidRPr="00A31137">
        <w:t>1992, New York v. United States, 505 U.S. 192</w:t>
      </w:r>
    </w:p>
    <w:p w:rsidR="00A31137" w:rsidRPr="00A31137" w:rsidRDefault="00A31137" w:rsidP="00A31137">
      <w:r w:rsidRPr="00A31137">
        <w:t>Id. at 8-9. Such concerns would have been mooted had Congress enacted a "federal" solution, which the Senate considered in July, 1980. See S. 2189, 96th Cong., 2d Sess. (1980); S.Rep. No. 96-548 (1980) (detailing legislation calling for federal study, oversight, and management of radioactive waste). This "federal" solution, however, was opposed by one of the sited State's Senators, who introduced an amendment to adopt and implement the recommendations of the State Planning Council on Radioactive Waste Management. See 126 Cong.Rec. 20136 (1980) (statement of Sen. Thurmond). The "state-based" solution carried the day, and, as enacted, the 1980 Act announced the</w:t>
      </w:r>
    </w:p>
    <w:p w:rsidR="00A31137" w:rsidRPr="00A31137" w:rsidRDefault="00A31137" w:rsidP="00A31137">
      <w:r w:rsidRPr="00A31137">
        <w:t>1992, New York v. United States, 505 U.S. 192</w:t>
      </w:r>
    </w:p>
    <w:p w:rsidR="00A31137" w:rsidRPr="00A31137" w:rsidRDefault="00A31137" w:rsidP="00A31137">
      <w:r w:rsidRPr="00A31137">
        <w:t>policy of the Federal Government that…each State is responsible for providing for the availability of capacity either within or outside the State for the disposal of low-level radioactive waste generated within its borders.</w:t>
      </w:r>
    </w:p>
    <w:p w:rsidR="00A31137" w:rsidRPr="00A31137" w:rsidRDefault="00A31137" w:rsidP="00A31137">
      <w:r w:rsidRPr="00A31137">
        <w:t>1992, New York v. United States, 505 U.S. 192</w:t>
      </w:r>
    </w:p>
    <w:p w:rsidR="00A31137" w:rsidRPr="00A31137" w:rsidRDefault="00A31137" w:rsidP="00A31137">
      <w:r w:rsidRPr="00A31137">
        <w:t>Pub.L. 96-573, § 4(a)(1), 94 Stat. 3348. This Act further authorized States to</w:t>
      </w:r>
    </w:p>
    <w:p w:rsidR="00A31137" w:rsidRPr="00A31137" w:rsidRDefault="00A31137" w:rsidP="00A31137">
      <w:r w:rsidRPr="00A31137">
        <w:t>1992, New York v. United States, 505 U.S. 192</w:t>
      </w:r>
    </w:p>
    <w:p w:rsidR="00A31137" w:rsidRPr="00A31137" w:rsidRDefault="00A31137" w:rsidP="00A31137">
      <w:r w:rsidRPr="00A31137">
        <w:t>enter into such compacts as may be necessary to provide for the establishment and operation of regional disposal facilities for low-level radioactive waste,</w:t>
      </w:r>
    </w:p>
    <w:p w:rsidR="00A31137" w:rsidRPr="00A31137" w:rsidRDefault="00A31137" w:rsidP="00A31137">
      <w:r w:rsidRPr="00A31137">
        <w:t>1992, New York v. United States, 505 U.S. 192</w:t>
      </w:r>
    </w:p>
    <w:p w:rsidR="00A31137" w:rsidRPr="00A31137" w:rsidRDefault="00A31137" w:rsidP="00A31137">
      <w:r w:rsidRPr="00A31137">
        <w:t>§ 4(a)(2)(A), compacts to which Congress would have to give its consent. § 4(a)(2)(B). The 1980 Act also provided that, beginning on January 1, 1986, an approved compact could reserve access to its disposal facilities for those States which had joined that particular regional compact. Ibid.</w:t>
      </w:r>
    </w:p>
    <w:p w:rsidR="00A31137" w:rsidRPr="00A31137" w:rsidRDefault="00A31137" w:rsidP="00A31137">
      <w:r w:rsidRPr="00A31137">
        <w:t>1992, New York v. United States, 505 U.S. 192</w:t>
      </w:r>
    </w:p>
    <w:p w:rsidR="00A31137" w:rsidRPr="00A31137" w:rsidRDefault="00A31137" w:rsidP="00A31137">
      <w:r w:rsidRPr="00A31137">
        <w:t>As well described by one of the amici, the attempts by States to enter into compacts and to gain congressional approval [505 U.S. 193] sparked a new round of political squabbling between elected officials from unsited States, who generally opposed ratification of the compacts that were being formed, and their counterparts from the sited States, who insisted that the promises made in the 1980 Act be honored. See Brief for American Federation of Labor and Congress of Industrial Organizations as Amicus Curiae 12-14. In its effort to keep the States at the forefront of the policy amendment process, the National Governors' Association organized more than a dozen meetings to achieve a state consensus. See H. Brown, The Low-Level Waste Handbook: A User's Guide to the Low-Level Radioactive Waste Policy Amendments Act of 1985, p. iv (Nov.1986) (describing "the states' desire to influence any revisions of the 1980 Act").</w:t>
      </w:r>
    </w:p>
    <w:p w:rsidR="00A31137" w:rsidRPr="00A31137" w:rsidRDefault="00A31137" w:rsidP="00A31137">
      <w:r w:rsidRPr="00A31137">
        <w:t>1992, New York v. United States, 505 U.S. 193</w:t>
      </w:r>
    </w:p>
    <w:p w:rsidR="00A31137" w:rsidRPr="00A31137" w:rsidRDefault="00A31137" w:rsidP="00A31137">
      <w:r w:rsidRPr="00A31137">
        <w:t>These discussions were not merely academic. The sited States grew increasingly and justifiably frustrated by the seeming inaction of unsited States in meeting the projected actions called for in the 1980 Act. Thus, as the end of 1985 approached, the sited States viewed the January 1, 1986 deadline established in the 1980 Act as a "drop-dead" date, on which the regional compacts could begin excluding the entry of out-of-region waste. See 131 Cong.Rec. 35203 (1985). Since, by this time, the three disposal facilities operating in 1980 were still the only such plants accepting low-level radioactive waste, the unsited States perceived a very serious danger if the three existing facilities actually carried out their threat to restrict access to the waste generated solely within their respective compact regions.</w:t>
      </w:r>
    </w:p>
    <w:p w:rsidR="00A31137" w:rsidRPr="00A31137" w:rsidRDefault="00A31137" w:rsidP="00A31137">
      <w:r w:rsidRPr="00A31137">
        <w:t>1992, New York v. United States, 505 U.S. 193</w:t>
      </w:r>
    </w:p>
    <w:p w:rsidR="00A31137" w:rsidRPr="00A31137" w:rsidRDefault="00A31137" w:rsidP="00A31137">
      <w:r w:rsidRPr="00A31137">
        <w:t>A movement thus arose to achieve a compromise between the sited and the unsited States, in which the sited States agreed to continue accepting waste in exchange for the imposition of stronger measures to guarantee compliance with the unsited States' assurances that they would develop alternate disposal facilities. As Representative Derrick explained, the compromise 1985 legislation</w:t>
      </w:r>
    </w:p>
    <w:p w:rsidR="00A31137" w:rsidRPr="00A31137" w:rsidRDefault="00A31137" w:rsidP="00A31137">
      <w:r w:rsidRPr="00A31137">
        <w:t>1992, New York v. United States, 505 U.S. 193</w:t>
      </w:r>
    </w:p>
    <w:p w:rsidR="00A31137" w:rsidRPr="00A31137" w:rsidRDefault="00A31137" w:rsidP="00A31137">
      <w:r w:rsidRPr="00A31137">
        <w:t>gives nonsited [505 U.S. 194] States more time to develop disposal sites, but also establishes a very firm timetable and sanctions for failure to live up [to] the agreement.</w:t>
      </w:r>
    </w:p>
    <w:p w:rsidR="00A31137" w:rsidRPr="00A31137" w:rsidRDefault="00A31137" w:rsidP="00A31137">
      <w:r w:rsidRPr="00A31137">
        <w:t>1992, New York v. United States, 505 U.S. 194</w:t>
      </w:r>
    </w:p>
    <w:p w:rsidR="00A31137" w:rsidRPr="00A31137" w:rsidRDefault="00A31137" w:rsidP="00A31137">
      <w:r w:rsidRPr="00A31137">
        <w:t>Id. at 35207. Representative Markey added that</w:t>
      </w:r>
    </w:p>
    <w:p w:rsidR="00A31137" w:rsidRPr="00A31137" w:rsidRDefault="00A31137" w:rsidP="00A31137">
      <w:r w:rsidRPr="00A31137">
        <w:t>1992, New York v. United States, 505 U.S. 194</w:t>
      </w:r>
    </w:p>
    <w:p w:rsidR="00A31137" w:rsidRPr="00A31137" w:rsidRDefault="00A31137" w:rsidP="00A31137">
      <w:r w:rsidRPr="00A31137">
        <w:t>[t]his compromise became the basis for our amendments to the Low-Level Radioactive Waste Policy Act of 1980. In the process of drafting such amendments, various concessions have been made by all sides in an effort to arrive at a bill which all parties could accept.</w:t>
      </w:r>
    </w:p>
    <w:p w:rsidR="00A31137" w:rsidRPr="00A31137" w:rsidRDefault="00A31137" w:rsidP="00A31137">
      <w:r w:rsidRPr="00A31137">
        <w:t>1992, New York v. United States, 505 U.S. 194</w:t>
      </w:r>
    </w:p>
    <w:p w:rsidR="00A31137" w:rsidRPr="00A31137" w:rsidRDefault="00A31137" w:rsidP="00A31137">
      <w:r w:rsidRPr="00A31137">
        <w:t>Id. at 35205. The bill that in large measure became the 1985 Act "represent[ed] the diligent negotiating undertaken by" the National Governors' Association and "embodied" the "fundamentals of their settlement." Id. at 35204 (statement of Rep. Udall). In sum, the 1985 Act was very much the product of cooperative federalism, in which the States bargained among themselves to achieve compromises for Congress to sanction.</w:t>
      </w:r>
    </w:p>
    <w:p w:rsidR="00A31137" w:rsidRPr="00A31137" w:rsidRDefault="00A31137" w:rsidP="00A31137">
      <w:r w:rsidRPr="00A31137">
        <w:t>1992, New York v. United States, 505 U.S. 194</w:t>
      </w:r>
    </w:p>
    <w:p w:rsidR="00A31137" w:rsidRPr="00A31137" w:rsidRDefault="00A31137" w:rsidP="00A31137">
      <w:r w:rsidRPr="00A31137">
        <w:t>There is no need to resummarize the essentials of the 1985 legislation, which the Court does ante at 151-154. It does, however, seem critical to emphasize what is accurately described in one amicus brief as the assumption by Congress of "the role of arbiter of disputes among the several States." Brief for Rocky Mountain Low-Level Radioactive Waste Compact et al. as Amici Curiae 9. Unlike legislation that directs action from the Federal Government to the States, the 1980 and 1985 Acts reflected hard-fought agreements among States as refereed by Congress. The distinction is key, and the Court's failure properly to characterize this legislation ultimately affects its analysis of the take title provision's constitutionality.</w:t>
      </w:r>
    </w:p>
    <w:p w:rsidR="00A31137" w:rsidRPr="00A31137" w:rsidRDefault="00A31137" w:rsidP="00A31137">
      <w:r w:rsidRPr="00A31137">
        <w:t>II</w:t>
      </w:r>
    </w:p>
    <w:p w:rsidR="00A31137" w:rsidRPr="00A31137" w:rsidRDefault="00A31137" w:rsidP="00A31137">
      <w:r w:rsidRPr="00A31137">
        <w:t>1992, New York v. United States, 505 U.S. 194</w:t>
      </w:r>
    </w:p>
    <w:p w:rsidR="00A31137" w:rsidRPr="00A31137" w:rsidRDefault="00A31137" w:rsidP="00A31137">
      <w:r w:rsidRPr="00A31137">
        <w:t>To justify its holding that the take title provision contravenes the Constitution, the Court posits that, "[i]n this provision, Congress has crossed the line distinguishing encouragement from coercion." Ante at  175. Without attempting to understand properly the take title provision's place in the [505 U.S. 195] interstate bargaining process, the Court isolates the measure analytically and proceeds to dissect it in a syllogistic fashion. The Court candidly begins with an argument respondents do not make:</w:t>
      </w:r>
    </w:p>
    <w:p w:rsidR="00A31137" w:rsidRPr="00A31137" w:rsidRDefault="00A31137" w:rsidP="00A31137">
      <w:r w:rsidRPr="00A31137">
        <w:t>1992, New York v. United States, 505 U.S. 195</w:t>
      </w:r>
    </w:p>
    <w:p w:rsidR="00A31137" w:rsidRPr="00A31137" w:rsidRDefault="00A31137" w:rsidP="00A31137">
      <w:r w:rsidRPr="00A31137">
        <w:t>that the Constitution would not permit Congress simply to transfer radioactive waste from generators to state governments.</w:t>
      </w:r>
    </w:p>
    <w:p w:rsidR="00A31137" w:rsidRPr="00A31137" w:rsidRDefault="00A31137" w:rsidP="00A31137">
      <w:r w:rsidRPr="00A31137">
        <w:t>1992, New York v. United States, 505 U.S. 195</w:t>
      </w:r>
    </w:p>
    <w:p w:rsidR="00A31137" w:rsidRPr="00A31137" w:rsidRDefault="00A31137" w:rsidP="00A31137">
      <w:r w:rsidRPr="00A31137">
        <w:t>Ibid. "Such a forced transfer," it continues,</w:t>
      </w:r>
    </w:p>
    <w:p w:rsidR="00A31137" w:rsidRPr="00A31137" w:rsidRDefault="00A31137" w:rsidP="00A31137">
      <w:r w:rsidRPr="00A31137">
        <w:t>1992, New York v. United States, 505 U.S. 195</w:t>
      </w:r>
    </w:p>
    <w:p w:rsidR="00A31137" w:rsidRPr="00A31137" w:rsidRDefault="00A31137" w:rsidP="00A31137">
      <w:r w:rsidRPr="00A31137">
        <w:t>standing alone, would in principle be no different than a congressionally compelled subsidy from state governments to radioactive waste producers.</w:t>
      </w:r>
    </w:p>
    <w:p w:rsidR="00A31137" w:rsidRPr="00A31137" w:rsidRDefault="00A31137" w:rsidP="00A31137">
      <w:r w:rsidRPr="00A31137">
        <w:t>1992, New York v. United States, 505 U.S. 195</w:t>
      </w:r>
    </w:p>
    <w:p w:rsidR="00A31137" w:rsidRPr="00A31137" w:rsidRDefault="00A31137" w:rsidP="00A31137">
      <w:r w:rsidRPr="00A31137">
        <w:t>Ibid. Since this is not an argument respondents make, one naturally wonders why the Court builds its analysis that the take title provision is unconstitutional around this opening premise. But having carefully built its straw man, the Court proceeds impressively to knock him down. "As we have seen," the Court teaches, "the Constitution does not empower Congress to subject state governments to this type of instruction." Ante at  176.</w:t>
      </w:r>
    </w:p>
    <w:p w:rsidR="00A31137" w:rsidRPr="00A31137" w:rsidRDefault="00A31137" w:rsidP="00A31137">
      <w:r w:rsidRPr="00A31137">
        <w:t>1992, New York v. United States, 505 U.S. 195</w:t>
      </w:r>
    </w:p>
    <w:p w:rsidR="00A31137" w:rsidRPr="00A31137" w:rsidRDefault="00A31137" w:rsidP="00A31137">
      <w:r w:rsidRPr="00A31137">
        <w:t>Curiously absent from the Court's analysis is any effort to place the take title provision within the overall context of the legislation. As the discussion in Part I of this opinion suggests, the 1980 and 1985 statutes were enacted against a backdrop of national concern over the availability of additional low-level radioactive waste disposal facilities. Congress could have preempted the field by directly regulating the disposal of this waste pursuant to its powers under the Commerce and Spending Clauses, but instead, it unanimously assented to the States' request for congressional ratification of agreements to which they had acceded. See 131 Cong.Rec. 35252 (1985); id. at 38425. As the floor statements of Members of Congress reveal, see supra at 193-194, the States wished to take the lead in achieving a solution to this problem and agreed among themselves to the various incentives and penalties implemented by Congress to ensure [505 U.S. 196] adherence to the various deadlines and goals. 1 The chief executives of the States proposed this approach, and I am unmoved by the Court's vehemence in taking away Congress' authority to sanction a recalcitrant unsited State now that New York has reaped the benefits of the sited States' concessions.</w:t>
      </w:r>
    </w:p>
    <w:p w:rsidR="00A31137" w:rsidRPr="00A31137" w:rsidRDefault="00A31137" w:rsidP="00A31137">
      <w:r w:rsidRPr="00A31137">
        <w:t>A</w:t>
      </w:r>
    </w:p>
    <w:p w:rsidR="00A31137" w:rsidRPr="00A31137" w:rsidRDefault="00A31137" w:rsidP="00A31137">
      <w:r w:rsidRPr="00A31137">
        <w:t>1992, New York v. United States, 505 U.S. 196</w:t>
      </w:r>
    </w:p>
    <w:p w:rsidR="00A31137" w:rsidRPr="00A31137" w:rsidRDefault="00A31137" w:rsidP="00A31137">
      <w:r w:rsidRPr="00A31137">
        <w:t>In my view, New York's actions subsequent to enactment of the 1980 and 1986 Acts fairly indicate its approval of the interstate agreement process embodied in those laws within the meaning of Art. I, § 10, cl. 3, of the Constitution, which provides that "[n]o State shall, without the Consent of Congress,…enter into any Agreement or Compact with another State." First, the States—including New York—worked through their Governors to petition Congress for the 1980 and 1985 Acts. As I have attempted to demonstrate, these statutes are best understood as the products of collective state action, rather than as impositions placed on States by the Federal Government. Second, New York acted in compliance with the requisites of both statutes in key respects, thus signifying its assent to the agreement achieved among the States as codified in these laws. After enactment of the 1980 Act and pursuant to its provision in § 4(a)(2), 94 Stat. 3348, New York entered into compact negotiations with several other northeastern States before withdrawing from them to "go it alone." Indeed, in 1985, as the January 1, 1986 deadline crisis approached and Congress considered the 1985 legislation that is the subject of this lawsuit, the Deputy Commissioner for Policy and Planning of the New [505 U.S. 197] York State Energy Office testified before Congress that</w:t>
      </w:r>
    </w:p>
    <w:p w:rsidR="00A31137" w:rsidRPr="00A31137" w:rsidRDefault="00A31137" w:rsidP="00A31137">
      <w:r w:rsidRPr="00A31137">
        <w:t>1992, New York v. United States, 505 U.S. 197</w:t>
      </w:r>
    </w:p>
    <w:p w:rsidR="00A31137" w:rsidRPr="00A31137" w:rsidRDefault="00A31137" w:rsidP="00A31137">
      <w:r w:rsidRPr="00A31137">
        <w:t>New York State supports the efforts of Mr. Udall and the members of this Subcommittee to resolve the current impasse over Congressional consent to the proposed LLRW compacts and provide interim access for states and regions without sites. New York State has been participating with the National Governors' Association and the other large states and compact commissions in an effort to further refine the recommended approach in HR 1083 and reach a consensus between all groups.</w:t>
      </w:r>
    </w:p>
    <w:p w:rsidR="00A31137" w:rsidRPr="00A31137" w:rsidRDefault="00A31137" w:rsidP="00A31137">
      <w:r w:rsidRPr="00A31137">
        <w:t>1992, New York v. United States, 505 U.S. 197</w:t>
      </w:r>
    </w:p>
    <w:p w:rsidR="00A31137" w:rsidRPr="00A31137" w:rsidRDefault="00A31137" w:rsidP="00A31137">
      <w:r w:rsidRPr="00A31137">
        <w:t>See Low-Level Waste Legislation: Hearings on H.R. 862, H.R. 1046, H.R. 1083, and H.R. 1267 before the Subcommittee on Energy and the Environment of the House Committee on Interior and Insular Affairs, 99th Cong., 1st Sess., 197 (1985) (testimony of Charles Guinn) (emphasis added).</w:t>
      </w:r>
    </w:p>
    <w:p w:rsidR="00A31137" w:rsidRPr="00A31137" w:rsidRDefault="00A31137" w:rsidP="00A31137">
      <w:r w:rsidRPr="00A31137">
        <w:t>1992, New York v. United States, 505 U.S. 197</w:t>
      </w:r>
    </w:p>
    <w:p w:rsidR="00A31137" w:rsidRPr="00A31137" w:rsidRDefault="00A31137" w:rsidP="00A31137">
      <w:r w:rsidRPr="00A31137">
        <w:t>Based on the assumption that</w:t>
      </w:r>
    </w:p>
    <w:p w:rsidR="00A31137" w:rsidRPr="00A31137" w:rsidRDefault="00A31137" w:rsidP="00A31137">
      <w:r w:rsidRPr="00A31137">
        <w:t>1992, New York v. United States, 505 U.S. 197</w:t>
      </w:r>
    </w:p>
    <w:p w:rsidR="00A31137" w:rsidRPr="00A31137" w:rsidRDefault="00A31137" w:rsidP="00A31137">
      <w:r w:rsidRPr="00A31137">
        <w:t>other states will [not] continue indefinitely to provide access to facilities adequate for the permanent disposal of low-level radioactive waste generated in New York,</w:t>
      </w:r>
    </w:p>
    <w:p w:rsidR="00A31137" w:rsidRPr="00A31137" w:rsidRDefault="00A31137" w:rsidP="00A31137">
      <w:r w:rsidRPr="00A31137">
        <w:t>1992, New York v. United States, 505 U.S. 197</w:t>
      </w:r>
    </w:p>
    <w:p w:rsidR="00A31137" w:rsidRPr="00A31137" w:rsidRDefault="00A31137" w:rsidP="00A31137">
      <w:r w:rsidRPr="00A31137">
        <w:t>1986 N.Y.Laws, ch. 673, § 2, the State legislature enacted a law providing for a waste disposal facility to be sited in the State. Ibid. This measure comported with the 1985 Act's proviso that States which did not join a regional compact by July 1, 1986, would have to establish an in-state waste disposal facility. See 42 U.S.C. § 2021e(e)(1)(A). New York also complied with another provision of the 1985 Act, § 2021e(e)(1)(B), which provided that, by January 1, 1988, each compact or independent State would identify a facility location and develop a siting plan, or contract with a sited compact for access to that region's facility. By 1988, New York had identified five potential sites in Cortland and Allegany Counties, but public opposition there caused the State to reconsider where to locate its waste disposal facility. See Office of Environmental Restoration and Waste Management, U.S. Dept. of Energy, Report to Congress in Response to Public Law 99-240: 1990 Annual Report on Low-Level Radioactive Waste Management Progress 32-35 [505 U.S. 198] (1991) (lodged with the Clerk of this Court). As it was undertaking these initial steps to honor the interstate compromise embodied in the 1985 Act, New York continued to take full advantage of the import concession made by the sited States, by exporting its low-level radioactive waste for the full 7-year extension period provided in the 1985 Act. By gaining these benefits and complying with certain of the 1985 Act's deadlines, therefore, New York fairly evidenced its acceptance of the federal-state arrangement—including the take title provision.</w:t>
      </w:r>
    </w:p>
    <w:p w:rsidR="00A31137" w:rsidRPr="00A31137" w:rsidRDefault="00A31137" w:rsidP="00A31137">
      <w:r w:rsidRPr="00A31137">
        <w:t>1992, New York v. United States, 505 U.S. 198</w:t>
      </w:r>
    </w:p>
    <w:p w:rsidR="00A31137" w:rsidRPr="00A31137" w:rsidRDefault="00A31137" w:rsidP="00A31137">
      <w:r w:rsidRPr="00A31137">
        <w:t>Although, unlike the 42 States that compose the nine existing and approved regional compacts, see Brief for United States 10, n.19, New York has never formalized its assent to the 1980 and 1985 statutes, our cases support the view that New York's actions signify assent to a constitutional interstate "agreement" for purposes of Art. I, § 10, cl. 3. In Holmes v. Jennison, 14 Pet. 540 (1840), Chief Justice Taney stated that</w:t>
      </w:r>
    </w:p>
    <w:p w:rsidR="00A31137" w:rsidRPr="00A31137" w:rsidRDefault="00A31137" w:rsidP="00A31137">
      <w:r w:rsidRPr="00A31137">
        <w:t>1992, New York v. United States, 505 U.S. 198</w:t>
      </w:r>
    </w:p>
    <w:p w:rsidR="00A31137" w:rsidRPr="00A31137" w:rsidRDefault="00A31137" w:rsidP="00A31137">
      <w:r w:rsidRPr="00A31137">
        <w:t>[t]he word "agreement" does not necessarily import any direct and express stipulation; nor is it necessary that it should be in writing. If there is a verbal understanding to which both parties have assented, and upon which both are acting, it is an "agreement." And the use of all of these terms, "treaty," "agreement," "compact," show that it was the intention of the framers of the Constitution to use the broadest and most comprehensive terms;…and we shall fail to execute that evident intention, unless we give to the word "agreement" its most extended signification; and so apply it as to prohibit every agreement, written or verbal, formal or informal, positive or implied, by the mutual understanding of the parties.</w:t>
      </w:r>
    </w:p>
    <w:p w:rsidR="00A31137" w:rsidRPr="00A31137" w:rsidRDefault="00A31137" w:rsidP="00A31137">
      <w:r w:rsidRPr="00A31137">
        <w:t>1992, New York v. United States, 505 U.S. 198</w:t>
      </w:r>
    </w:p>
    <w:p w:rsidR="00A31137" w:rsidRPr="00A31137" w:rsidRDefault="00A31137" w:rsidP="00A31137">
      <w:r w:rsidRPr="00A31137">
        <w:t>Id. at 572. (emphasis added). In my view, New York acted in a manner to signify its assent to the 1985 Act's take title provision as part of the elaborate compromise reached among the States.</w:t>
      </w:r>
    </w:p>
    <w:p w:rsidR="00A31137" w:rsidRPr="00A31137" w:rsidRDefault="00A31137" w:rsidP="00A31137">
      <w:r w:rsidRPr="00A31137">
        <w:t>1992, New York v. United States, 505 U.S. 198</w:t>
      </w:r>
    </w:p>
    <w:p w:rsidR="00A31137" w:rsidRPr="00A31137" w:rsidRDefault="00A31137" w:rsidP="00A31137">
      <w:r w:rsidRPr="00A31137">
        <w:t>The State should be estopped from asserting the unconstitutionality of a provision that seeks merely to ensure that, after deriving substantial advantages from the 1985 Act, [505 U.S. 199] New York in fact must live up to its bargain by establishing an in-state low-level radioactive waste facility or assuming liability for its failure to act. Cf. West Virginia ex rel. Dyer v. Sims, 341 U.S. 22, 35-36 (1951), Jackson, J., concurring:</w:t>
      </w:r>
    </w:p>
    <w:p w:rsidR="00A31137" w:rsidRPr="00A31137" w:rsidRDefault="00A31137" w:rsidP="00A31137">
      <w:r w:rsidRPr="00A31137">
        <w:t>1992, New York v. United States, 505 U.S. 199</w:t>
      </w:r>
    </w:p>
    <w:p w:rsidR="00A31137" w:rsidRPr="00A31137" w:rsidRDefault="00A31137" w:rsidP="00A31137">
      <w:r w:rsidRPr="00A31137">
        <w:t>West Virginia officials induced sister States to contract with her and Congress to consent to the Compact. She now attempts to read herself out of this interstate Compact…. Estoppel is not often to be invoked against a government. But West Virginia assumed a contractual obligation with equals by permission of another government that is sovereign in the field. After Congress and sister States had been induced to alter their positions and bind themselves to terms of a covenant, West Virginia should be estopped from repudiating her act….</w:t>
      </w:r>
    </w:p>
    <w:p w:rsidR="00A31137" w:rsidRPr="00A31137" w:rsidRDefault="00A31137" w:rsidP="00A31137">
      <w:r w:rsidRPr="00A31137">
        <w:t>1992, New York v. United States, 505 U.S. 199</w:t>
      </w:r>
    </w:p>
    <w:p w:rsidR="00A31137" w:rsidRPr="00A31137" w:rsidRDefault="00A31137" w:rsidP="00A31137">
      <w:r w:rsidRPr="00A31137">
        <w:t>(Emphasis added.)</w:t>
      </w:r>
    </w:p>
    <w:p w:rsidR="00A31137" w:rsidRPr="00A31137" w:rsidRDefault="00A31137" w:rsidP="00A31137">
      <w:r w:rsidRPr="00A31137">
        <w:t>B</w:t>
      </w:r>
    </w:p>
    <w:p w:rsidR="00A31137" w:rsidRPr="00A31137" w:rsidRDefault="00A31137" w:rsidP="00A31137">
      <w:r w:rsidRPr="00A31137">
        <w:t>1992, New York v. United States, 505 U.S. 199</w:t>
      </w:r>
    </w:p>
    <w:p w:rsidR="00A31137" w:rsidRPr="00A31137" w:rsidRDefault="00A31137" w:rsidP="00A31137">
      <w:r w:rsidRPr="00A31137">
        <w:t xml:space="preserve">Even were New York not to be estopped from challenging the take title provision's constitutionality, I am convinced that, seen as a term of an agreement entered into between the several States, this measure proves to be less constitutionally odious than the Court opines. First, the practical effect of New York's position is that, because it is unwilling to honor its obligations to provide in-state storage facilities for its low-level radioactive waste, other States with such plants must accept New York's waste, whether they wish to or not. Otherwise, the many economically and socially beneficial producers of such waste in the State would have to cease their operations. The Court's refusal to force New York to accept responsibility for its own problem inevitably means that some other State's sovereignty will be impinged by it being forced, for public health reasons, to accept New York's low-level radioactive waste. I do not understand the principle of federalism to impede the National Government from acting as referee among the States to prohibit one from bullying another. [505 U.S. 200] </w:t>
      </w:r>
    </w:p>
    <w:p w:rsidR="00A31137" w:rsidRPr="00A31137" w:rsidRDefault="00A31137" w:rsidP="00A31137">
      <w:r w:rsidRPr="00A31137">
        <w:t>1992, New York v. United States, 505 U.S. 200</w:t>
      </w:r>
    </w:p>
    <w:p w:rsidR="00A31137" w:rsidRPr="00A31137" w:rsidRDefault="00A31137" w:rsidP="00A31137">
      <w:r w:rsidRPr="00A31137">
        <w:t>Moreover, it is utterly reasonable that, in crafting a delicate compromise between the three overburdened States that provided low-level radioactive waste disposal facilities and the rest of the States, Congress would have to ratify some punitive measure as the ultimate sanction for noncompliance. The take title provision, though surely onerous, does not take effect if the generator of the waste does not request such action, or if the State lives up to its bargain of providing a waste disposal facility either within the State or in another State pursuant to a regional compact arrangement or a separate contract. See 42 U.S.C. § 2021e(d)(2)(C).</w:t>
      </w:r>
    </w:p>
    <w:p w:rsidR="00A31137" w:rsidRPr="00A31137" w:rsidRDefault="00A31137" w:rsidP="00A31137">
      <w:r w:rsidRPr="00A31137">
        <w:t>1992, New York v. United States, 505 U.S. 200</w:t>
      </w:r>
    </w:p>
    <w:p w:rsidR="00A31137" w:rsidRPr="00A31137" w:rsidRDefault="00A31137" w:rsidP="00A31137">
      <w:r w:rsidRPr="00A31137">
        <w:t>Finally, to say, as the Court does, that the incursion on state sovereignty "cannot be ratified by the 'consent' of state officials," ante at  182, is flatly wrong. In a case involving a congressional ratification statute to an interstate compact, the Court upheld a provision that Tennessee and Missouri had waived their immunity from suit. Over their objection, the Court held that</w:t>
      </w:r>
    </w:p>
    <w:p w:rsidR="00A31137" w:rsidRPr="00A31137" w:rsidRDefault="00A31137" w:rsidP="00A31137">
      <w:r w:rsidRPr="00A31137">
        <w:t>1992, New York v. United States, 505 U.S. 200</w:t>
      </w:r>
    </w:p>
    <w:p w:rsidR="00A31137" w:rsidRPr="00A31137" w:rsidRDefault="00A31137" w:rsidP="00A31137">
      <w:r w:rsidRPr="00A31137">
        <w:t>[t]he States who are parties to the compact by accepting it and acting under it assume the conditions that Congress under the Constitution attached.</w:t>
      </w:r>
    </w:p>
    <w:p w:rsidR="00A31137" w:rsidRPr="00A31137" w:rsidRDefault="00A31137" w:rsidP="00A31137">
      <w:r w:rsidRPr="00A31137">
        <w:t>1992, New York v. United States, 505 U.S. 200</w:t>
      </w:r>
    </w:p>
    <w:p w:rsidR="00A31137" w:rsidRPr="00A31137" w:rsidRDefault="00A31137" w:rsidP="00A31137">
      <w:r w:rsidRPr="00A31137">
        <w:t xml:space="preserve">Petty v. Tennessee-Missouri Bridge Comm'n, 359 U.S. 275, 281-282 (1959) (emphasis added). In so holding, the Court determined that a State may be found to have waived a fundamental aspect of its sovereignty—the right to be immune from suit—in the formation of an interstate compact even when, in subsequent litigation, it expressly denied its waiver. I fail to understand the reasoning behind the Court's selective distinctions among the various aspects of sovereignty that may and may not be waived, and do not believe these distinctions will survive close analysis in future cases. Hard public policy choices sometimes require strong measures, and the Court's holding, while not irremediable, essentially misunderstands that the 1985 take title provision was part of a complex interstate agreement about which New York should not now be permitted to complain. [505 U.S. 201] </w:t>
      </w:r>
    </w:p>
    <w:p w:rsidR="00A31137" w:rsidRPr="00A31137" w:rsidRDefault="00A31137" w:rsidP="00A31137">
      <w:r w:rsidRPr="00A31137">
        <w:t>III</w:t>
      </w:r>
    </w:p>
    <w:p w:rsidR="00A31137" w:rsidRPr="00A31137" w:rsidRDefault="00A31137" w:rsidP="00A31137">
      <w:r w:rsidRPr="00A31137">
        <w:t>1992, New York v. United States, 505 U.S. 201</w:t>
      </w:r>
    </w:p>
    <w:p w:rsidR="00A31137" w:rsidRPr="00A31137" w:rsidRDefault="00A31137" w:rsidP="00A31137">
      <w:r w:rsidRPr="00A31137">
        <w:t>The Court announces that it has no occasion to revisit such decisions as Gregory v. Ashcroft, 501 U.S. 505 (1991); South Carolina v. Baker, 485 U.S. 505 (1988); Garcia v. San Antonio Metropolitan Transit Authority, 469 U.S. 528 (1985); EEOC v. Wyoming, 460 U.S. 226 (1983); and National League of Cities v. Usery, 426 U.S. 833 (1976); see ante at  160, because "this is not a case in which Congress has subjected a State to the same legislation applicable to private parties." Ibid. Although this statement sends the welcome signal that the Court does not intend to cut a wide swath through our recent Tenth Amendment precedents, it nevertheless is unpersuasive. I have several difficulties with the Court's analysis in this respect: it builds its rule around an insupportable and illogical distinction in the types of alleged incursions on state sovereignty; it derives its rule from cases that do not support its analysis; it fails to apply the appropriate tests from the cases on which it purports to base its rule; and it omits any discussion of the most recent and pertinent test for determining the take title provision's constitutionality.</w:t>
      </w:r>
    </w:p>
    <w:p w:rsidR="00A31137" w:rsidRPr="00A31137" w:rsidRDefault="00A31137" w:rsidP="00A31137">
      <w:r w:rsidRPr="00A31137">
        <w:t>1992, New York v. United States, 505 U.S. 201</w:t>
      </w:r>
    </w:p>
    <w:p w:rsidR="00A31137" w:rsidRPr="00A31137" w:rsidRDefault="00A31137" w:rsidP="00A31137">
      <w:r w:rsidRPr="00A31137">
        <w:t>The Court's distinction between a federal statute's regulation of States and private parties for general purposes, as opposed to a regulation solely on the activities of States, is unsupported by our recent Tenth Amendment cases. In no case has the Court rested its holding on such a distinction. Moreover, the Court makes no effort to explain why this purported distinction should affect the analysis of Congress' power under general principles of federalism and the Tenth Amendment. The distinction, facilely thrown out, is not based on any defensible theory. Certainly one would be hard-pressed to read the spirited exchanges between the Court and dissenting Justices in National League of Cities, supra, and in Garcia v. San Antonio Metropolitan Transit Authority, supra, as having been based on the distinction now drawn by the Court. An incursion on state sovereignty [505 U.S. 202] hardly seems more constitutionally acceptable if the federal statute that "commands" specific action also applies to private parties. The alleged diminution in state authority over its own affairs is not any less because the federal mandate restricts the activities of private parties.</w:t>
      </w:r>
    </w:p>
    <w:p w:rsidR="00A31137" w:rsidRPr="00A31137" w:rsidRDefault="00A31137" w:rsidP="00A31137">
      <w:r w:rsidRPr="00A31137">
        <w:t>1992, New York v. United States, 505 U.S. 202</w:t>
      </w:r>
    </w:p>
    <w:p w:rsidR="00A31137" w:rsidRPr="00A31137" w:rsidRDefault="00A31137" w:rsidP="00A31137">
      <w:r w:rsidRPr="00A31137">
        <w:t>Even were such a distinction to be logically sound, the Court's "anti-commandeering" principle cannot persuasively be read as springing from the two cases cited for the proposition, Hodel v. Virginia Surface Mining &amp; Reclamation Assn., Inc., 452 U.S. 264, 288 (1981), and FERC v. Mississippi, 456 U.S. 742, 761-762 (1982). The Court purports to draw support for its rule against Congress "commandeer[ing]" state legislative processes from a solitary statement in dictum in Hodel. See ante at  161:</w:t>
      </w:r>
    </w:p>
    <w:p w:rsidR="00A31137" w:rsidRPr="00A31137" w:rsidRDefault="00A31137" w:rsidP="00A31137">
      <w:r w:rsidRPr="00A31137">
        <w:t>1992, New York v. United States, 505 U.S. 202</w:t>
      </w:r>
    </w:p>
    <w:p w:rsidR="00A31137" w:rsidRPr="00A31137" w:rsidRDefault="00A31137" w:rsidP="00A31137">
      <w:r w:rsidRPr="00A31137">
        <w:t>As an initial matter, Congress may not simply "commandee[r] the legislative processes of the States by directly compelling them to enact and enforce a federal regulatory program."</w:t>
      </w:r>
    </w:p>
    <w:p w:rsidR="00A31137" w:rsidRPr="00A31137" w:rsidRDefault="00A31137" w:rsidP="00A31137">
      <w:r w:rsidRPr="00A31137">
        <w:t>1992, New York v. United States, 505 U.S. 202</w:t>
      </w:r>
    </w:p>
    <w:p w:rsidR="00A31137" w:rsidRPr="00A31137" w:rsidRDefault="00A31137" w:rsidP="00A31137">
      <w:r w:rsidRPr="00A31137">
        <w:t>(quoting Hodel, supra, 452 U.S. at 288). That statement was not necessary to the decision in Hodel, which involved the question whether the Tenth Amendment interfered with Congress' authority to preempt a field of activity that could also be subject to state regulation, and not whether a federal statute could dictate certain actions by States; the language about "commandeer[ing]" States was classic dicta. In holding that a federal statute regulating the activities of private coal mine operators was constitutional, the Court observed that</w:t>
      </w:r>
    </w:p>
    <w:p w:rsidR="00A31137" w:rsidRPr="00A31137" w:rsidRDefault="00A31137" w:rsidP="00A31137">
      <w:r w:rsidRPr="00A31137">
        <w:t>1992, New York v. United States, 505 U.S. 202</w:t>
      </w:r>
    </w:p>
    <w:p w:rsidR="00A31137" w:rsidRPr="00A31137" w:rsidRDefault="00A31137" w:rsidP="00A31137">
      <w:r w:rsidRPr="00A31137">
        <w:t>[i]t would…be a radical departure from long-established precedent for this Court to hold that the Tenth Amendment prohibits Congress from displacing state police power laws regulating private activity.</w:t>
      </w:r>
    </w:p>
    <w:p w:rsidR="00A31137" w:rsidRPr="00A31137" w:rsidRDefault="00A31137" w:rsidP="00A31137">
      <w:r w:rsidRPr="00A31137">
        <w:t>1992, New York v. United States, 505 U.S. 202</w:t>
      </w:r>
    </w:p>
    <w:p w:rsidR="00A31137" w:rsidRPr="00A31137" w:rsidRDefault="00A31137" w:rsidP="00A31137">
      <w:r w:rsidRPr="00A31137">
        <w:t>452 U.S. at 292.</w:t>
      </w:r>
    </w:p>
    <w:p w:rsidR="00A31137" w:rsidRPr="00A31137" w:rsidRDefault="00A31137" w:rsidP="00A31137">
      <w:r w:rsidRPr="00A31137">
        <w:t>1992, New York v. United States, 505 U.S. 202</w:t>
      </w:r>
    </w:p>
    <w:p w:rsidR="00A31137" w:rsidRPr="00A31137" w:rsidRDefault="00A31137" w:rsidP="00A31137">
      <w:r w:rsidRPr="00A31137">
        <w:t>The Court also claims support for its rule from our decision in FERC, and quotes a passage from that case in which we stated that</w:t>
      </w:r>
    </w:p>
    <w:p w:rsidR="00A31137" w:rsidRPr="00A31137" w:rsidRDefault="00A31137" w:rsidP="00A31137">
      <w:r w:rsidRPr="00A31137">
        <w:t>1992, New York v. United States, 505 U.S. 202</w:t>
      </w:r>
    </w:p>
    <w:p w:rsidR="00A31137" w:rsidRPr="00A31137" w:rsidRDefault="00A31137" w:rsidP="00A31137">
      <w:r w:rsidRPr="00A31137">
        <w:t>"this Court never has sanctioned explicitly a federal command to the States to promulgate and enforce laws and regulations."</w:t>
      </w:r>
    </w:p>
    <w:p w:rsidR="00A31137" w:rsidRPr="00A31137" w:rsidRDefault="00A31137" w:rsidP="00A31137">
      <w:r w:rsidRPr="00A31137">
        <w:t>1992, New York v. United States, 505 U.S. 202</w:t>
      </w:r>
    </w:p>
    <w:p w:rsidR="00A31137" w:rsidRPr="00A31137" w:rsidRDefault="00A31137" w:rsidP="00A31137">
      <w:r w:rsidRPr="00A31137">
        <w:t>Ante at  161 (quoting 456 U.S. at [505 U.S. 203] 761-762). In so reciting, the Court extracts from the relevant passage in a manner that subtly alters the Court's meaning. In full, the passage reads:</w:t>
      </w:r>
    </w:p>
    <w:p w:rsidR="00A31137" w:rsidRPr="00A31137" w:rsidRDefault="00A31137" w:rsidP="00A31137">
      <w:r w:rsidRPr="00A31137">
        <w:t>1992, New York v. United States, 505 U.S. 203</w:t>
      </w:r>
    </w:p>
    <w:p w:rsidR="00A31137" w:rsidRPr="00A31137" w:rsidRDefault="00A31137" w:rsidP="00A31137">
      <w:r w:rsidRPr="00A31137">
        <w:t>While this Court never has sanctioned explicitly a federal command to the States to promulgate and enforce laws and regulations, cf. EPA v. Brown, 431 U.S. 99 (1977), there are instances where the Court has upheld federal statutory structures that in effect directed state decisionmakers to take or to refrain from taking certain actions.</w:t>
      </w:r>
    </w:p>
    <w:p w:rsidR="00A31137" w:rsidRPr="00A31137" w:rsidRDefault="00A31137" w:rsidP="00A31137">
      <w:r w:rsidRPr="00A31137">
        <w:t>1992, New York v. United States, 505 U.S. 203</w:t>
      </w:r>
    </w:p>
    <w:p w:rsidR="00A31137" w:rsidRPr="00A31137" w:rsidRDefault="00A31137" w:rsidP="00A31137">
      <w:r w:rsidRPr="00A31137">
        <w:t>Ibid. (citing Fry v. United States, 421 U.S. 542 (1975)) (emphasis added). 2 The phrase highlighted by the Court merely means that we have not had the occasion to address whether Congress may "command" the States to enact a certain law, and, as I have argued in Parts I and II of this opinion, this case does not raise that issue. Moreover, it should go without saying that the absence of any on-point precedent from this Court has no bearing on the question whether Congress has properly exercised its constitutional authority under Article I. Silence by this Court on a subject is not authority for anything.</w:t>
      </w:r>
    </w:p>
    <w:p w:rsidR="00A31137" w:rsidRPr="00A31137" w:rsidRDefault="00A31137" w:rsidP="00A31137">
      <w:r w:rsidRPr="00A31137">
        <w:t>1992, New York v. United States, 505 U.S. 203</w:t>
      </w:r>
    </w:p>
    <w:p w:rsidR="00A31137" w:rsidRPr="00A31137" w:rsidRDefault="00A31137" w:rsidP="00A31137">
      <w:r w:rsidRPr="00A31137">
        <w:t>The Court can scarcely rest on a distinction between federal laws of general applicability and those ostensibly directed solely at the activities of States, therefore, when the decisions from which it derives the rule not only made no such distinction, but validated federal statutes that constricted state sovereignty in ways greater than or similar to [505 U.S. 204] the take title provision at issue in this case. As Fry, Hodel, and FERC make clear, our precedents prior to Garcia upheld provisions in federal statutes that directed States to undertake certain actions. "[I]t cannot be constitutionally determinative that the federal regulation is likely to move the States to act in a given way," we stated in FERC,</w:t>
      </w:r>
    </w:p>
    <w:p w:rsidR="00A31137" w:rsidRPr="00A31137" w:rsidRDefault="00A31137" w:rsidP="00A31137">
      <w:r w:rsidRPr="00A31137">
        <w:t>1992, New York v. United States, 505 U.S. 204</w:t>
      </w:r>
    </w:p>
    <w:p w:rsidR="00A31137" w:rsidRPr="00A31137" w:rsidRDefault="00A31137" w:rsidP="00A31137">
      <w:r w:rsidRPr="00A31137">
        <w:t>or even to "coerc[e] the States" into assuming a regulatory role by affecting their "freedom to make decisions in areas of 'integral governmental functions.'"</w:t>
      </w:r>
    </w:p>
    <w:p w:rsidR="00A31137" w:rsidRPr="00A31137" w:rsidRDefault="00A31137" w:rsidP="00A31137">
      <w:r w:rsidRPr="00A31137">
        <w:t>1992, New York v. United States, 505 U.S. 204</w:t>
      </w:r>
    </w:p>
    <w:p w:rsidR="00A31137" w:rsidRPr="00A31137" w:rsidRDefault="00A31137" w:rsidP="00A31137">
      <w:r w:rsidRPr="00A31137">
        <w:t>456 U.S. at  766. I thus am unconvinced that either Hodel or FERC supports the rule announced by the Court.</w:t>
      </w:r>
    </w:p>
    <w:p w:rsidR="00A31137" w:rsidRPr="00A31137" w:rsidRDefault="00A31137" w:rsidP="00A31137">
      <w:r w:rsidRPr="00A31137">
        <w:t>1992, New York v. United States, 505 U.S. 204</w:t>
      </w:r>
    </w:p>
    <w:p w:rsidR="00A31137" w:rsidRPr="00A31137" w:rsidRDefault="00A31137" w:rsidP="00A31137">
      <w:r w:rsidRPr="00A31137">
        <w:t>And if those cases do stand for the proposition that, in certain circumstances, Congress may not dictate that the States take specific actions, it would seem appropriate to apply the test stated in FERC for determining those circumstances. The crucial threshold inquiry in that case was whether the subject matter was preemptible by Congress. See 456 U.S. at  765.</w:t>
      </w:r>
    </w:p>
    <w:p w:rsidR="00A31137" w:rsidRPr="00A31137" w:rsidRDefault="00A31137" w:rsidP="00A31137">
      <w:r w:rsidRPr="00A31137">
        <w:t>1992, New York v. United States, 505 U.S. 204</w:t>
      </w:r>
    </w:p>
    <w:p w:rsidR="00A31137" w:rsidRPr="00A31137" w:rsidRDefault="00A31137" w:rsidP="00A31137">
      <w:r w:rsidRPr="00A31137">
        <w:t>If Congress can require a state administrative body to consider proposed regulations as a condition to its continued involvement in a preemptible field—and we hold today that it can—there is nothing unconstitutional about Congress' requiring certain procedural minima as that body goes about undertaking its tasks.</w:t>
      </w:r>
    </w:p>
    <w:p w:rsidR="00A31137" w:rsidRPr="00A31137" w:rsidRDefault="00A31137" w:rsidP="00A31137">
      <w:r w:rsidRPr="00A31137">
        <w:t>1992, New York v. United States, 505 U.S. 204</w:t>
      </w:r>
    </w:p>
    <w:p w:rsidR="00A31137" w:rsidRPr="00A31137" w:rsidRDefault="00A31137" w:rsidP="00A31137">
      <w:r w:rsidRPr="00A31137">
        <w:t>Id. at  771 (emphasis added). The FERC Court went on to explain that, if Congress is legislating in a preemptible field—as the Court concedes it was doing here, see ante at 173-174—the proper test before our decision in Garcia was to assess whether the alleged intrusions on state sovereignty</w:t>
      </w:r>
    </w:p>
    <w:p w:rsidR="00A31137" w:rsidRPr="00A31137" w:rsidRDefault="00A31137" w:rsidP="00A31137">
      <w:r w:rsidRPr="00A31137">
        <w:t>1992, New York v. United States, 505 U.S. 204</w:t>
      </w:r>
    </w:p>
    <w:p w:rsidR="00A31137" w:rsidRPr="00A31137" w:rsidRDefault="00A31137" w:rsidP="00A31137">
      <w:r w:rsidRPr="00A31137">
        <w:t>do not threaten the States' "separate and independent existence," Lane County v. Oregon, 7 Wall. 71, 76 (1869); Coyle v. Oklahoma, 221 U.S. 559,  580 (1911), and do not impair the ability of the States "to function effectively in a federal system." Fry v. United States, 421 U.S. at 547, n. 7; National League of Cities v. Usery, 426 U.S. at  852</w:t>
      </w:r>
    </w:p>
    <w:p w:rsidR="00A31137" w:rsidRPr="00A31137" w:rsidRDefault="00A31137" w:rsidP="00A31137">
      <w:r w:rsidRPr="00A31137">
        <w:t>1992, New York v. United States, 505 U.S. 204</w:t>
      </w:r>
    </w:p>
    <w:p w:rsidR="00A31137" w:rsidRPr="00A31137" w:rsidRDefault="00A31137" w:rsidP="00A31137">
      <w:r w:rsidRPr="00A31137">
        <w:t>FERC, supra, 456 U.S. at 765-766. On [505 U.S. 205] neither score does the take title provision raise constitutional problems. It certainly does not threaten New York's independent existence, nor impair its ability to function effectively in the system, all the more so since the provision was enacted pursuant to compromises reached among state leaders and then ratified by Congress.</w:t>
      </w:r>
    </w:p>
    <w:p w:rsidR="00A31137" w:rsidRPr="00A31137" w:rsidRDefault="00A31137" w:rsidP="00A31137">
      <w:r w:rsidRPr="00A31137">
        <w:t>1992, New York v. United States, 505 U.S. 205</w:t>
      </w:r>
    </w:p>
    <w:p w:rsidR="00A31137" w:rsidRPr="00A31137" w:rsidRDefault="00A31137" w:rsidP="00A31137">
      <w:r w:rsidRPr="00A31137">
        <w:t>It is clear, therefore, that, even under the precedents selectively chosen by the Court, its analysis of the take title provision's constitutionality in this case falls far short of being persuasive. I would also submit, in this connection, that the Court's attempt to carve out a doctrinal distinction for statutes that purport solely to regulate State activities is especially unpersuasive after Garcia. It is true that, in that case, we considered whether a federal statute of general applicability—the Fair Labor Standards Act—applied to state transportation entities, but our most recent statements have explained the appropriate analysis in a more general manner. Just last Term, for instance, JUSTICE O'CONNOR wrote for the Court that</w:t>
      </w:r>
    </w:p>
    <w:p w:rsidR="00A31137" w:rsidRPr="00A31137" w:rsidRDefault="00A31137" w:rsidP="00A31137">
      <w:r w:rsidRPr="00A31137">
        <w:t>1992, New York v. United States, 505 U.S. 205</w:t>
      </w:r>
    </w:p>
    <w:p w:rsidR="00A31137" w:rsidRPr="00A31137" w:rsidRDefault="00A31137" w:rsidP="00A31137">
      <w:r w:rsidRPr="00A31137">
        <w:t>[w]e are constrained in our ability to consider the limits that the state-federal balance places on Congress' powers under the Commerce Clause. See Garcia v. San Antonio Metropolitan Transit Authority, 469 U.S. 528 (1985) (declining to review limitations placed on Congress' Commerce Clause powers by our federal system).</w:t>
      </w:r>
    </w:p>
    <w:p w:rsidR="00A31137" w:rsidRPr="00A31137" w:rsidRDefault="00A31137" w:rsidP="00A31137">
      <w:r w:rsidRPr="00A31137">
        <w:t>1992, New York v. United States, 505 U.S. 205</w:t>
      </w:r>
    </w:p>
    <w:p w:rsidR="00A31137" w:rsidRPr="00A31137" w:rsidRDefault="00A31137" w:rsidP="00A31137">
      <w:r w:rsidRPr="00A31137">
        <w:t>Gregory v. Ashcroft, 501 U.S. 464 (1991). Indeed, her opinion went on to state that</w:t>
      </w:r>
    </w:p>
    <w:p w:rsidR="00A31137" w:rsidRPr="00A31137" w:rsidRDefault="00A31137" w:rsidP="00A31137">
      <w:r w:rsidRPr="00A31137">
        <w:t>1992, New York v. United States, 505 U.S. 205</w:t>
      </w:r>
    </w:p>
    <w:p w:rsidR="00A31137" w:rsidRPr="00A31137" w:rsidRDefault="00A31137" w:rsidP="00A31137">
      <w:r w:rsidRPr="00A31137">
        <w:t>this Court in Garcia has left primarily to the political process the protection of the States against intrusive exercises of Congress' Commerce Clause powers.</w:t>
      </w:r>
    </w:p>
    <w:p w:rsidR="00A31137" w:rsidRPr="00A31137" w:rsidRDefault="00A31137" w:rsidP="00A31137">
      <w:r w:rsidRPr="00A31137">
        <w:t>1992, New York v. United States, 505 U.S. 205</w:t>
      </w:r>
    </w:p>
    <w:p w:rsidR="00A31137" w:rsidRPr="00A31137" w:rsidRDefault="00A31137" w:rsidP="00A31137">
      <w:r w:rsidRPr="00A31137">
        <w:t>Ibid. (emphasis added).</w:t>
      </w:r>
    </w:p>
    <w:p w:rsidR="00A31137" w:rsidRPr="00A31137" w:rsidRDefault="00A31137" w:rsidP="00A31137">
      <w:r w:rsidRPr="00A31137">
        <w:t>1992, New York v. United States, 505 U.S. 205</w:t>
      </w:r>
    </w:p>
    <w:p w:rsidR="00A31137" w:rsidRPr="00A31137" w:rsidRDefault="00A31137" w:rsidP="00A31137">
      <w:r w:rsidRPr="00A31137">
        <w:t>Rather than seek guidance from FERC and Hodel, therefore, the more appropriate analysis should flow from Garcia, even if this case does not involve a congressional law generally applicable to both States and private parties. In Garcia, we stated the proper inquiry:</w:t>
      </w:r>
    </w:p>
    <w:p w:rsidR="00A31137" w:rsidRPr="00A31137" w:rsidRDefault="00A31137" w:rsidP="00A31137">
      <w:r w:rsidRPr="00A31137">
        <w:t>1992, New York v. United States, 505 U.S. 205</w:t>
      </w:r>
    </w:p>
    <w:p w:rsidR="00A31137" w:rsidRPr="00A31137" w:rsidRDefault="00A31137" w:rsidP="00A31137">
      <w:r w:rsidRPr="00A31137">
        <w:t>[W]e are convinced that [505 U.S. 206] the fundamental limitation that the constitutional scheme imposes on the Commerce Clause to protect the "states as States" is one of process, rather than one of result. Any substantive restraint on the exercise of Commerce Clause powers must find its justification in the procedural nature of this basic limitation, and it must be tailored to compensate for possible failings in the national political process, rather than to dictate a "sacred province of state autonomy."</w:t>
      </w:r>
      <w:r w:rsidRPr="00A31137">
        <w:cr/>
      </w:r>
    </w:p>
    <w:p w:rsidR="00A31137" w:rsidRPr="00A31137" w:rsidRDefault="00A31137" w:rsidP="00A31137">
      <w:r w:rsidRPr="00A31137">
        <w:t>1992, New York v. United States, 505 U.S. 206</w:t>
      </w:r>
    </w:p>
    <w:p w:rsidR="00A31137" w:rsidRPr="00A31137" w:rsidRDefault="00A31137" w:rsidP="00A31137">
      <w:r w:rsidRPr="00A31137">
        <w:t>469 U.S. at  554 (quoting EEOC v. Wyoming, 460 U.S. at  236). Where it addresses this aspect of respondents' argument, see ante at 180-183, the Court tacitly concedes that a failing of the political process cannot be shown in this case, because it refuses to rebut the unassailable arguments that the States were well able to look after themselves in the legislative process that culminated in the 1985 Act's passage. Indeed, New York acknowledges that its "congressional delegation participated in the drafting and enactment of both the 1980 and the 1985 Acts." Pet. for Cert. in No. 91-543, p. 7. The Court rejects this process-based argument by resorting to generalities and platitudes about the purpose of federalism being to protect individual rights.</w:t>
      </w:r>
    </w:p>
    <w:p w:rsidR="00A31137" w:rsidRPr="00A31137" w:rsidRDefault="00A31137" w:rsidP="00A31137">
      <w:r w:rsidRPr="00A31137">
        <w:t>1992, New York v. United States, 505 U.S. 206</w:t>
      </w:r>
    </w:p>
    <w:p w:rsidR="00A31137" w:rsidRPr="00A31137" w:rsidRDefault="00A31137" w:rsidP="00A31137">
      <w:r w:rsidRPr="00A31137">
        <w:t xml:space="preserve">Ultimately, I suppose, the entire structure of our federal constitutional government can be traced to an interest in establishing checks and balances to prevent the exercise of tyranny against individuals. But these fears seem extremely far distant to me in a situation such as this. We face a crisis of national proportions in the disposal of low-level radioactive waste, and Congress has acceded to the wishes of the States by permitting local decisionmaking, rather than imposing a solution from Washington. New York itself participated and supported passage of this legislation at both the gubernatorial and federal representative levels, and then enacted state laws specifically to comply with the deadlines and timetables agreed upon by the States in the 1985 Act. For [505 U.S. 207] me, the Court's civics lecture has a decidedly hollow ring at a time when action, rather than rhetoric, is needed to solve a national problem. 3 [505 U.S. 208] </w:t>
      </w:r>
    </w:p>
    <w:p w:rsidR="00A31137" w:rsidRPr="00A31137" w:rsidRDefault="00A31137" w:rsidP="00A31137">
      <w:r w:rsidRPr="00A31137">
        <w:t>IV</w:t>
      </w:r>
    </w:p>
    <w:p w:rsidR="00A31137" w:rsidRPr="00A31137" w:rsidRDefault="00A31137" w:rsidP="00A31137">
      <w:r w:rsidRPr="00A31137">
        <w:t>1992, New York v. United States, 505 U.S. 208</w:t>
      </w:r>
    </w:p>
    <w:p w:rsidR="00A31137" w:rsidRPr="00A31137" w:rsidRDefault="00A31137" w:rsidP="00A31137">
      <w:r w:rsidRPr="00A31137">
        <w:t>Though I disagree with the Court's conclusion that the take title provision is unconstitutional, I do not read its opinion to preclude Congress from adopting a similar measure through its powers under the Spending or Commerce Clauses. The Court makes clear that its objection is to the alleged "commandeer[ing]" quality of the take title provision. See ante at  175. As its discussion of the surcharge and rebate incentives reveals, see ante at 171-172, the spending power offers a means of enacting a take title provision under the Court's standards. Congress could, in other words, condition the payment of funds on the State's willingness to take title if it has not already provided a waste disposal facility. Under the scheme upheld in this case, for example, monies collected in the surcharge provision might be withheld or disbursed depending on a State's willingness to take title to or otherwise accept responsibility for the low-level radioactive waste generated in state after the statutory deadline for establishing its own waste disposal facility has passed. See ibid.; South Dakota v. Dole, 483 U.S. 203, 208-209 (1987); Massachusetts v. United States, 435 U.S. 444, 461 (1978).</w:t>
      </w:r>
    </w:p>
    <w:p w:rsidR="00A31137" w:rsidRPr="00A31137" w:rsidRDefault="00A31137" w:rsidP="00A31137">
      <w:r w:rsidRPr="00A31137">
        <w:t>1992, New York v. United States, 505 U.S. 208</w:t>
      </w:r>
    </w:p>
    <w:p w:rsidR="00A31137" w:rsidRPr="00A31137" w:rsidRDefault="00A31137" w:rsidP="00A31137">
      <w:r w:rsidRPr="00A31137">
        <w:t>Similarly, should a State fail to establish a waste disposal facility by the appointed deadline (under the statute as presently drafted, January 1, 1996, § 2021e(d)(2)(C)), Congress has the power pursuant to the Commerce Clause to regulate directly the producers of the waste. See ante at  174. Thus, as I read it, Congress could amend the statute to say that, if a State fails to meet the January 1, 1996, deadline for [505 U.S. 209] achieving a means of waste disposal, and has not taken title to the waste, no low-level radioactive waste may be shipped out of the State of New York. See, e.g., Hodel, 452 U.S. at 288. As the legislative history of the 1980 and 1985 Acts indicates, faced with the choice of federal preemptive regulation and self-regulation pursuant to interstate agreement with congressional consent and ratification, the States decisively chose the latter. This background suggests that the threat of federal preemption may suffice to induce States to accept responsibility for failing to meet critical time deadlines for solving their low-level radioactive waste disposal problems, especially if that federal intervention also would strip state and local authorities of any input in locating sites for low-level radioactive waste disposal facilities. And of course, should Congress amend the statute to meet the Court's objection and a State refuse to act, the National Legislature will have ensured at least a federal solution to the waste management problem.</w:t>
      </w:r>
    </w:p>
    <w:p w:rsidR="00A31137" w:rsidRPr="00A31137" w:rsidRDefault="00A31137" w:rsidP="00A31137">
      <w:r w:rsidRPr="00A31137">
        <w:t>1992, New York v. United States, 505 U.S. 209</w:t>
      </w:r>
    </w:p>
    <w:p w:rsidR="00A31137" w:rsidRPr="00A31137" w:rsidRDefault="00A31137" w:rsidP="00A31137">
      <w:r w:rsidRPr="00A31137">
        <w:t xml:space="preserve">Finally, our precedents leave open the possibility that Congress may create federal rights of action in the generators of low-level radioactive waste against persons acting under color of state law for their failure to meet certain functions designated in federal-state programs. Thus, we have upheld § 1983 suits to enforce certain rights created by statutes enacted pursuant to the Spending Clause, see, e.g., Wilder v. Virginia Hospital Assn., 496 U.S. 498 (1990); Wright v. Roanoke Redevelopment and Housing Authority, 479 U.S. 418 (1987), although Congress must be cautious in spelling out the federal right clearly and distinctly, see, e.g., Suter v. Artist M, 503 U.S. 347 (1992) (not permitting a § 1983 suit under a Spending Clause statute when the ostensible federal right created was too vague and amorphous). In addition to compensating injured parties for the State's failure to act, the exposure to liability established by such suits also potentially serves as an inducement to compliance with the program mandate. [505 U.S. 210] </w:t>
      </w:r>
    </w:p>
    <w:p w:rsidR="00A31137" w:rsidRPr="00A31137" w:rsidRDefault="00A31137" w:rsidP="00A31137">
      <w:r w:rsidRPr="00A31137">
        <w:t>V</w:t>
      </w:r>
    </w:p>
    <w:p w:rsidR="00A31137" w:rsidRPr="00A31137" w:rsidRDefault="00A31137" w:rsidP="00A31137">
      <w:r w:rsidRPr="00A31137">
        <w:t>1992, New York v. United States, 505 U.S. 210</w:t>
      </w:r>
    </w:p>
    <w:p w:rsidR="00A31137" w:rsidRPr="00A31137" w:rsidRDefault="00A31137" w:rsidP="00A31137">
      <w:r w:rsidRPr="00A31137">
        <w:t>The ultimate irony of the decision today is that, in its formalistically rigid obeisance to "federalism," the Court gives Congress fewer incentives to defer to the wishes of state officials in achieving local solutions to local problems. This legislation was a classic example of Congress acting as arbiter among the States in their attempts to accept responsibility for managing a problem of grave import. The States urged the National Legislature not to impose from Washington a solution to the country's low-level radioactive waste management problems. Instead, they sought a reasonable level of local and regional autonomy consistent with Art. I, § 10, cl. 3, of the Constitution. By invalidating the measure designed to ensure compliance for recalcitrant States, such as New York, the Court upsets the delicate compromise achieved among the States, and forces Congress to erect several additional formalistic hurdles to clear before achieving exactly the same objective. Because the Court's justifications for undertaking this step are unpersuasive to me, I respectfully dissent.</w:t>
      </w:r>
    </w:p>
    <w:p w:rsidR="00A31137" w:rsidRPr="00A31137" w:rsidRDefault="00A31137" w:rsidP="00A31137">
      <w:r w:rsidRPr="00A31137">
        <w:t>STEVENS, J., concurring and dissenting</w:t>
      </w:r>
    </w:p>
    <w:p w:rsidR="00A31137" w:rsidRPr="00A31137" w:rsidRDefault="00A31137" w:rsidP="00A31137">
      <w:r w:rsidRPr="00A31137">
        <w:t>1992, New York v. United States, 505 U.S. 210</w:t>
      </w:r>
    </w:p>
    <w:p w:rsidR="00A31137" w:rsidRPr="00A31137" w:rsidRDefault="00A31137" w:rsidP="00A31137">
      <w:r w:rsidRPr="00A31137">
        <w:t>JUSTICE STEVENS, concurring in part and dissenting in part.</w:t>
      </w:r>
    </w:p>
    <w:p w:rsidR="00A31137" w:rsidRPr="00A31137" w:rsidRDefault="00A31137" w:rsidP="00A31137">
      <w:r w:rsidRPr="00A31137">
        <w:t>1992, New York v. United States, 505 U.S. 210</w:t>
      </w:r>
    </w:p>
    <w:p w:rsidR="00A31137" w:rsidRPr="00A31137" w:rsidRDefault="00A31137" w:rsidP="00A31137">
      <w:r w:rsidRPr="00A31137">
        <w:t xml:space="preserve">Under the Articles of Confederation, the Federal Government had the power to issue commands to the States. See Arts. VIII, IX. Because that indirect exercise of federal power proved ineffective, the Framers of the Constitution empowered the Federal Government to exercise legislative authority directly over individuals within the States, even though that direct authority constituted a greater intrusion on State sovereignty. Nothing in that history suggests that the Federal Government may not also impose its will upon the several States as it did under the Articles. The Constitution enhanced, rather than diminished, the power of the Federal Government. [505 U.S. 211] </w:t>
      </w:r>
    </w:p>
    <w:p w:rsidR="00A31137" w:rsidRPr="00A31137" w:rsidRDefault="00A31137" w:rsidP="00A31137">
      <w:r w:rsidRPr="00A31137">
        <w:t>1992, New York v. United States, 505 U.S. 211</w:t>
      </w:r>
    </w:p>
    <w:p w:rsidR="00A31137" w:rsidRPr="00A31137" w:rsidRDefault="00A31137" w:rsidP="00A31137">
      <w:r w:rsidRPr="00A31137">
        <w:t>The notion that Congress does not have the power to issue "a simple command to state governments to implement legislation enacted by Congress," ante at  176, is incorrect and unsound. There is no such limitation in the Constitution. The Tenth Amendment 1 surely does not impose any limit on Congress' exercise of the powers delegated to it by Article ^. 2 Nor does the structure of the constitutional order or the values of federalism mandate such a formal rule. To the contrary, the Federal Government directs state governments in many realms. The Government regulates state-operated railroads, state school systems, state prisons, state elections, and a host of other state functions. Similarly, there can be no doubt that, in time of war, Congress could either draft soldiers itself or command the States to supply their quotas of troops. I see no reason why Congress may not also command the States to enforce federal water and air quality standards or federal standards for the disposition of low-level radioactive wastes.</w:t>
      </w:r>
    </w:p>
    <w:p w:rsidR="00A31137" w:rsidRPr="00A31137" w:rsidRDefault="00A31137" w:rsidP="00A31137">
      <w:r w:rsidRPr="00A31137">
        <w:t>1992, New York v. United States, 505 U.S. 211</w:t>
      </w:r>
    </w:p>
    <w:p w:rsidR="00A31137" w:rsidRPr="00A31137" w:rsidRDefault="00A31137" w:rsidP="00A31137">
      <w:r w:rsidRPr="00A31137">
        <w:t>The Constitution gives this Court the power to resolve controversies between the States. Long before Congress [505 U.S. 212] enacted pollution control legislation, this Court crafted a body of "'interstate common law,'" Illinois v. City of Milwaukee, 406 U.S. 91, 106 (1972), to govern disputes between States involving interstate waters. See Arkansas v. Oklahoma, 503 U.S. 91, 98-99 (1992). In such contexts, we have not hesitated to direct States to undertake specific actions. For example, we have</w:t>
      </w:r>
    </w:p>
    <w:p w:rsidR="00A31137" w:rsidRPr="00A31137" w:rsidRDefault="00A31137" w:rsidP="00A31137">
      <w:r w:rsidRPr="00A31137">
        <w:t>1992, New York v. United States, 505 U.S. 212</w:t>
      </w:r>
    </w:p>
    <w:p w:rsidR="00A31137" w:rsidRPr="00A31137" w:rsidRDefault="00A31137" w:rsidP="00A31137">
      <w:r w:rsidRPr="00A31137">
        <w:t>impose[d] on States an affirmative duty to take reasonable steps to conserve and augment the water supply of an interstate stream.</w:t>
      </w:r>
    </w:p>
    <w:p w:rsidR="00A31137" w:rsidRPr="00A31137" w:rsidRDefault="00A31137" w:rsidP="00A31137">
      <w:r w:rsidRPr="00A31137">
        <w:t>1992, New York v. United States, 505 U.S. 212</w:t>
      </w:r>
    </w:p>
    <w:p w:rsidR="00A31137" w:rsidRPr="00A31137" w:rsidRDefault="00A31137" w:rsidP="00A31137">
      <w:r w:rsidRPr="00A31137">
        <w:t>Colorado v. New Mexico, 459 U.S. 176, 185 (1982) (citing Wyoming v. Colorado, 259 U.S. 419 (1922)). Thus, we unquestionably have the power to command an upstate stream that is polluting the waters of a downstream State to adopt appropriate regulations to implement a federal statutory command.</w:t>
      </w:r>
    </w:p>
    <w:p w:rsidR="00A31137" w:rsidRPr="00A31137" w:rsidRDefault="00A31137" w:rsidP="00A31137">
      <w:r w:rsidRPr="00A31137">
        <w:t>1992, New York v. United States, 505 U.S. 212</w:t>
      </w:r>
    </w:p>
    <w:p w:rsidR="00A31137" w:rsidRPr="00A31137" w:rsidRDefault="00A31137" w:rsidP="00A31137">
      <w:r w:rsidRPr="00A31137">
        <w:t>With respect to the problem presented by the case at hand, if litigation should develop between States that have joined a compact, we would surely have the power to grant relief in the form of specific enforcement of the take title provision. 3 Indeed, even if the statute had never been passed, if one State's radioactive waste created a nuisance that harmed its neighbors, it seems clear that we would have had the power to command the offending State to take remedial action. Cf. Illinois v. City of Milwaukee. If this Court has such authority, surely Congress has similar authority.</w:t>
      </w:r>
    </w:p>
    <w:p w:rsidR="00A31137" w:rsidRPr="00A31137" w:rsidRDefault="00A31137" w:rsidP="00A31137">
      <w:r w:rsidRPr="00A31137">
        <w:t>1992, New York v. United States, 505 U.S. 212</w:t>
      </w:r>
    </w:p>
    <w:p w:rsidR="00A31137" w:rsidRPr="00A31137" w:rsidRDefault="00A31137" w:rsidP="00A31137">
      <w:r w:rsidRPr="00A31137">
        <w:t>For these reasons, as well as those set forth by JUSTICE WHITE, I respectfully dissent.</w:t>
      </w:r>
    </w:p>
    <w:p w:rsidR="00A31137" w:rsidRPr="00A31137" w:rsidRDefault="00A31137" w:rsidP="00A31137">
      <w:r w:rsidRPr="00A31137">
        <w:t>Footnotes</w:t>
      </w:r>
    </w:p>
    <w:p w:rsidR="00A31137" w:rsidRPr="00A31137" w:rsidRDefault="00A31137" w:rsidP="00A31137">
      <w:r w:rsidRPr="00A31137">
        <w:t>WHITE, J., concurring and dissenting (Footnotes)</w:t>
      </w:r>
    </w:p>
    <w:p w:rsidR="00A31137" w:rsidRPr="00A31137" w:rsidRDefault="00A31137" w:rsidP="00A31137">
      <w:r w:rsidRPr="00A31137">
        <w:t>1992, New York v. United States, 505 U.S. 212</w:t>
      </w:r>
    </w:p>
    <w:p w:rsidR="00A31137" w:rsidRPr="00A31137" w:rsidRDefault="00A31137" w:rsidP="00A31137">
      <w:r w:rsidRPr="00A31137">
        <w:t>1. As Senator McClure pointed out,</w:t>
      </w:r>
    </w:p>
    <w:p w:rsidR="00A31137" w:rsidRPr="00A31137" w:rsidRDefault="00A31137" w:rsidP="00A31137">
      <w:r w:rsidRPr="00A31137">
        <w:t>1992, New York v. United States, 505 U.S. 212</w:t>
      </w:r>
    </w:p>
    <w:p w:rsidR="00A31137" w:rsidRPr="00A31137" w:rsidRDefault="00A31137" w:rsidP="00A31137">
      <w:r w:rsidRPr="00A31137">
        <w:t>the actions taken in the Committee on Energy and Natural Resources met the objections and the objectives of the States point by point; and I want to underscore what the Senator from Louisiana has indicated—that it is important that we have real milestones. It is important to note that the discussions between staffs and principals have produced a[n] agreement that does have some real teeth in it at some points.</w:t>
      </w:r>
    </w:p>
    <w:p w:rsidR="00A31137" w:rsidRPr="00A31137" w:rsidRDefault="00A31137" w:rsidP="00A31137">
      <w:r w:rsidRPr="00A31137">
        <w:t>1992, New York v. United States, 505 U.S. 212</w:t>
      </w:r>
    </w:p>
    <w:p w:rsidR="00A31137" w:rsidRPr="00A31137" w:rsidRDefault="00A31137" w:rsidP="00A31137">
      <w:r w:rsidRPr="00A31137">
        <w:t>131 Cong.Rec. 38415 (1985).</w:t>
      </w:r>
    </w:p>
    <w:p w:rsidR="00A31137" w:rsidRPr="00A31137" w:rsidRDefault="00A31137" w:rsidP="00A31137">
      <w:r w:rsidRPr="00A31137">
        <w:t>1992, New York v. United States, 505 U.S. 212</w:t>
      </w:r>
    </w:p>
    <w:p w:rsidR="00A31137" w:rsidRPr="00A31137" w:rsidRDefault="00A31137" w:rsidP="00A31137">
      <w:r w:rsidRPr="00A31137">
        <w:t>2. It is true, that under the majority's approach, Fry is distinguishable, because it involved a statute generally applicable to both state governments and private parties. The law at issue in that case was the Economic Stabilization Act of 1970, which imposed wage and salary limitations on private and state workers alike. In Fry, the Court upheld this statute's application to the States over a Tenth Amendment challenge. In my view, Fry perfectly captures the weakness of the majority's distinction, because the law upheld in that case involved a far more pervasive intrusion on state sovereignty—the authority of state governments to pay salaries and wages to its employees below the federal minimum—than the take title provision at issue here.</w:t>
      </w:r>
    </w:p>
    <w:p w:rsidR="00A31137" w:rsidRPr="00A31137" w:rsidRDefault="00A31137" w:rsidP="00A31137">
      <w:r w:rsidRPr="00A31137">
        <w:t>1992, New York v. United States, 505 U.S. 212</w:t>
      </w:r>
    </w:p>
    <w:p w:rsidR="00A31137" w:rsidRPr="00A31137" w:rsidRDefault="00A31137" w:rsidP="00A31137">
      <w:r w:rsidRPr="00A31137">
        <w:t>3. With selective quotations from the era in which the Constitution was adopted, the majority attempts to bolster its holding that the take title provision is tantamount to federal "commandeering" of the States. In view of the many Tenth Amendment cases decided over the past two decades in which resort to the kind of historical analysis generated in the majority opinion was not deemed necessary, I do not read the majority's many invocations of history to be anything other than elaborate windowdressing. Certainly nowhere does the majority announce that its rule is compelled by an understanding of what the Framers may have thought about statutes of the type at issue here. Moreover, I would observe that, while its quotations add a certain flavor to the opinion, the majority's historical analysis has a distinctly wooden quality. One would not know from reading the majority's account, for instance, that the nature of federal-state relations changed fundamentally after the Civil War. That conflict produced in its wake a tremendous expansion in the scope of the Federal Government's lawmaking authority, so much so that the persons who helped to found the Republic would scarcely have recognized the many added roles the National Government assumed for itself. Moreover, the majority fails to mention the New Deal era, in which the Court recognized the enormous growth in Congress' power under the Commerce Clause. See generally F. Frankfurter &amp; J. Landis, The Business of the Supreme Court 56-59 (1927); H. Hyman, A More Perfect Union: The Impact of the Civil War and Reconstruction on the Constitution (1973); Corwin, The Passing of Dual Federalism, 36 Va.L.Rev. 1 (1950); Wiecek, The Reconstruction of Federal Judicial Power, 1863-1875, 13 Am.J.Legal Hist. 333 (1969); Scheiber, State Law and "Industrial Policy" in American Development, 1790-1987, 75 Calif.L.Rev. 415 (1987); Ackerman, Constitutional Politics/Constitutional Law, 99 Yale L.J. 453 (1989). While I believe we should not be blind to history, neither should we read it so selectively as to restrict the proper scope of Congress' powers under Article 1, especially when the history not mentioned by the majority fully supports a more expansive understanding of the legislature's authority than may have existed in the late 18th century.</w:t>
      </w:r>
    </w:p>
    <w:p w:rsidR="00A31137" w:rsidRPr="00A31137" w:rsidRDefault="00A31137" w:rsidP="00A31137">
      <w:r w:rsidRPr="00A31137">
        <w:t>1992, New York v. United States, 505 U.S. 212</w:t>
      </w:r>
    </w:p>
    <w:p w:rsidR="00A31137" w:rsidRPr="00A31137" w:rsidRDefault="00A31137" w:rsidP="00A31137">
      <w:r w:rsidRPr="00A31137">
        <w:t>Given the scanty textual support for the majority's position, it would be far more sensible to defer to a coordinate branch of government in its decision to devise a solution to a national problem of this kind. Certainly in other contexts, principles of federalism have not insulated States from mandates by the National Government. The Court has upheld congressional statutes that impose clear directives on state officials, including those enacted pursuant to the Extradition Clause, see, e.g., Puerto Rico v. Branstad, 483 U.S. 219, 227-228 (1987), the post-Civil War Amendments, see, e.g., South Carolina v. Katzenbach, 383 U.S. 301, 319-320 (1966), as well as congressional statutes that require state courts to hear certain actions, see, e.g., Testa v. Katt, 330 U.S. 386, 392-394, (1947).</w:t>
      </w:r>
    </w:p>
    <w:p w:rsidR="00A31137" w:rsidRPr="00A31137" w:rsidRDefault="00A31137" w:rsidP="00A31137">
      <w:r w:rsidRPr="00A31137">
        <w:t>STEVENS, J., concurring and dissenting (Footnotes)</w:t>
      </w:r>
    </w:p>
    <w:p w:rsidR="00A31137" w:rsidRPr="00A31137" w:rsidRDefault="00A31137" w:rsidP="00A31137">
      <w:r w:rsidRPr="00A31137">
        <w:t>1992, New York v. United States, 505 U.S. 212</w:t>
      </w:r>
    </w:p>
    <w:p w:rsidR="00A31137" w:rsidRPr="00A31137" w:rsidRDefault="00A31137" w:rsidP="00A31137">
      <w:r w:rsidRPr="00A31137">
        <w:t>1. The Tenth Amendment provides:</w:t>
      </w:r>
    </w:p>
    <w:p w:rsidR="00A31137" w:rsidRPr="00A31137" w:rsidRDefault="00A31137" w:rsidP="00A31137">
      <w:r w:rsidRPr="00A31137">
        <w:t>1992, New York v. United States, 505 U.S. 212</w:t>
      </w:r>
    </w:p>
    <w:p w:rsidR="00A31137" w:rsidRPr="00A31137" w:rsidRDefault="00A31137" w:rsidP="00A31137">
      <w:r w:rsidRPr="00A31137">
        <w:t>The powers not delegated to the United States by the Constitution, nor prohibited by it to the States, are reserved to the States respectively, or to the people.</w:t>
      </w:r>
    </w:p>
    <w:p w:rsidR="00A31137" w:rsidRPr="00A31137" w:rsidRDefault="00A31137" w:rsidP="00A31137">
      <w:r w:rsidRPr="00A31137">
        <w:t>1992, New York v. United States, 505 U.S. 212</w:t>
      </w:r>
    </w:p>
    <w:p w:rsidR="00A31137" w:rsidRPr="00A31137" w:rsidRDefault="00A31137" w:rsidP="00A31137">
      <w:r w:rsidRPr="00A31137">
        <w:t>2. In United States v. Darby, 312 U.S. 100 (1941), we explained:</w:t>
      </w:r>
    </w:p>
    <w:p w:rsidR="00A31137" w:rsidRPr="00A31137" w:rsidRDefault="00A31137" w:rsidP="00A31137">
      <w:r w:rsidRPr="00A31137">
        <w:t>1992, New York v. United States, 505 U.S. 212</w:t>
      </w:r>
    </w:p>
    <w:p w:rsidR="00A31137" w:rsidRPr="00A31137" w:rsidRDefault="00A31137" w:rsidP="00A31137">
      <w:r w:rsidRPr="00A31137">
        <w:t>The amendment states but a truism that all is retained which has not been surrendered. There is nothing in the history of its adoption to suggest that it was more than declaratory of the relationship between the national and state governments as it had been established by the Constitution before the amendment, or that its purpose was other than to allay fears that the new national government might seek to exercise powers not granted, and that the states might not be able to exercise fully their reserved powers. See e.g., II Elliot's Debates, 123, 131, III id. 450, 464, 600; IV id. 140, 149; I Annals of Congress, 432, 761, 767-768; Story, Commentaries on the Constitution, §§ 1907-1908.</w:t>
      </w:r>
    </w:p>
    <w:p w:rsidR="00A31137" w:rsidRPr="00A31137" w:rsidRDefault="00A31137" w:rsidP="00A31137">
      <w:r w:rsidRPr="00A31137">
        <w:t>1992, New York v. United States, 505 U.S. 212</w:t>
      </w:r>
    </w:p>
    <w:p w:rsidR="00A31137" w:rsidRPr="00A31137" w:rsidRDefault="00A31137" w:rsidP="00A31137">
      <w:r w:rsidRPr="00A31137">
        <w:t>From the beginning and for many years, the amendment has been construed as not depriving the national government of authority to resort to all means for the exercise of a granted power which are appropriate and plainly adapted to the permitted end.</w:t>
      </w:r>
    </w:p>
    <w:p w:rsidR="00A31137" w:rsidRPr="00A31137" w:rsidRDefault="00A31137" w:rsidP="00A31137">
      <w:r w:rsidRPr="00A31137">
        <w:t>1992, New York v. United States, 505 U.S. 212</w:t>
      </w:r>
    </w:p>
    <w:p w:rsidR="00A31137" w:rsidRPr="00A31137" w:rsidRDefault="00A31137" w:rsidP="00A31137">
      <w:r w:rsidRPr="00A31137">
        <w:t>Id. at  124; see also ante at 155-157.</w:t>
      </w:r>
    </w:p>
    <w:p w:rsidR="00A31137" w:rsidRPr="00A31137" w:rsidRDefault="00A31137" w:rsidP="00A31137">
      <w:r w:rsidRPr="00A31137">
        <w:t>1992, New York v. United States, 505 U.S. 212</w:t>
      </w:r>
    </w:p>
    <w:p w:rsidR="00A31137" w:rsidRPr="00A31137" w:rsidRDefault="00A31137" w:rsidP="00A31137">
      <w:r w:rsidRPr="00A31137">
        <w:t>3. Even if § 2021e(d)(2)(C) is "invalidated" insofar as it applies to the State of New York, it remains enforceable against the 44 States that have joined interstate compacts approved by Congress, because the compacting States have, in their agreements, embraced that provision, and given it independent effect. Congress' consent to the compacts was</w:t>
      </w:r>
    </w:p>
    <w:p w:rsidR="00A31137" w:rsidRPr="00A31137" w:rsidRDefault="00A31137" w:rsidP="00A31137">
      <w:r w:rsidRPr="00A31137">
        <w:t>1992, New York v. United States, 505 U.S. 212</w:t>
      </w:r>
    </w:p>
    <w:p w:rsidR="00A31137" w:rsidRPr="00A31137" w:rsidRDefault="00A31137" w:rsidP="00A31137">
      <w:r w:rsidRPr="00A31137">
        <w:t>granted subject to the provisions of the [Act]…and only for so long as the [entities] established in the compact comply with all the provisions of [the] Act.</w:t>
      </w:r>
    </w:p>
    <w:p w:rsidR="00A31137" w:rsidRPr="00A31137" w:rsidRDefault="00A31137" w:rsidP="00A31137">
      <w:r w:rsidRPr="00A31137">
        <w:t>1992, New York v. United States, 505 U.S. 212</w:t>
      </w:r>
    </w:p>
    <w:p w:rsidR="00A31137" w:rsidRPr="00A31137" w:rsidRDefault="00A31137" w:rsidP="00A31137">
      <w:r w:rsidRPr="00A31137">
        <w:t>Appalachian States Low-Level Radioactive Waste Compact Consent Act, Pub.L. 10319, 102 Stat. 471. Thus, the compacts incorporated the provisions of the Act, including the take title provision. These compacts, the product of voluntary interstate cooperation, unquestionably survive the "invalidation" of § 2021e(d)(2)(C) as it applies to New York. Congress did not "direc[t]" the States to enter into these compacts, and the decision of each compacting State to enter into a compact was not influenced by the existence of the take title provision: whether a State went its own way or joined a compact, it was still subject to the take title provision.</w:t>
      </w:r>
    </w:p>
    <w:p w:rsidR="00A31137" w:rsidRPr="00A31137" w:rsidRDefault="00A31137" w:rsidP="00A31137">
      <w:r w:rsidRPr="00A31137">
        <w:t>R.A.V. v. City of St. Paul, 1992</w:t>
      </w:r>
    </w:p>
    <w:p w:rsidR="00A31137" w:rsidRPr="00A31137" w:rsidRDefault="00A31137" w:rsidP="00A31137">
      <w:r w:rsidRPr="00A31137">
        <w:t>Title:</w:t>
      </w:r>
      <w:r w:rsidRPr="00A31137">
        <w:tab/>
        <w:t>R.A.V. v. City of St. Paul</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22, 1992</w:t>
      </w:r>
    </w:p>
    <w:p w:rsidR="00A31137" w:rsidRPr="00A31137" w:rsidRDefault="00A31137" w:rsidP="00A31137">
      <w:r w:rsidRPr="00A31137">
        <w:t>Source:</w:t>
      </w:r>
      <w:r w:rsidRPr="00A31137">
        <w:tab/>
        <w:t>505 U.S. 377</w:t>
      </w:r>
    </w:p>
    <w:p w:rsidR="00A31137" w:rsidRPr="00A31137" w:rsidRDefault="00A31137" w:rsidP="00A31137">
      <w:r w:rsidRPr="00A31137">
        <w:t>This case was argued December 4, 1991, and was decided June 22, 1992.</w:t>
      </w:r>
    </w:p>
    <w:p w:rsidR="00A31137" w:rsidRPr="00A31137" w:rsidRDefault="00A31137" w:rsidP="00A31137">
      <w:r w:rsidRPr="00A31137">
        <w:t>CERTIORARI TO THE SUPREME COURT OF MINNESOTA</w:t>
      </w:r>
    </w:p>
    <w:p w:rsidR="00A31137" w:rsidRPr="00A31137" w:rsidRDefault="00A31137" w:rsidP="00A31137">
      <w:r w:rsidRPr="00A31137">
        <w:t>Syllabus</w:t>
      </w:r>
    </w:p>
    <w:p w:rsidR="00A31137" w:rsidRPr="00A31137" w:rsidRDefault="00A31137" w:rsidP="00A31137">
      <w:r w:rsidRPr="00A31137">
        <w:t>1992, R.A.V. v. City of St. Paul, 505 U.S. 377</w:t>
      </w:r>
    </w:p>
    <w:p w:rsidR="00A31137" w:rsidRPr="00A31137" w:rsidRDefault="00A31137" w:rsidP="00A31137">
      <w:r w:rsidRPr="00A31137">
        <w:t>After allegedly burning a cross on a black family's lawn, petitioner R.A.V. was charged under, inter alia, the St. Paul, Minnesota, Bias-Motivated Crime Ordinance, which prohibits the display of a symbol which one knows or has reason to know "arouses anger, alarm or resentment in others on the basis of race, color, creed, religion or gender." The trial court dismissed this charge on the ground that the ordinance was substantially overbroad and impermissibly content-based, but the State Supreme Court reversed. It rejected the overbreadth claim because the phrase "arouses anger, alarm or resentment in others" had been construed in earlier state cases to limit the ordinance's reach to "fighting words" within the meaning of this Court's decision in Chaplinsky v. New Hampshire, 315 U.S. 568,  572, a category of expression unprotected by the First Amendment. The court also concluded that the ordinance was not impermissibly content-based, because it was narrowly tailored to serve a compelling governmental interest in protecting the community against bias-motivated threats to public safety and order.</w:t>
      </w:r>
    </w:p>
    <w:p w:rsidR="00A31137" w:rsidRPr="00A31137" w:rsidRDefault="00A31137" w:rsidP="00A31137">
      <w:r w:rsidRPr="00A31137">
        <w:t>1992, R.A.V. v. City of St. Paul, 505 U.S. 377</w:t>
      </w:r>
    </w:p>
    <w:p w:rsidR="00A31137" w:rsidRPr="00A31137" w:rsidRDefault="00A31137" w:rsidP="00A31137">
      <w:r w:rsidRPr="00A31137">
        <w:t>Held: The ordinance is facially invalid under the First Amendment. Pp.  381-396.</w:t>
      </w:r>
    </w:p>
    <w:p w:rsidR="00A31137" w:rsidRPr="00A31137" w:rsidRDefault="00A31137" w:rsidP="00A31137">
      <w:r w:rsidRPr="00A31137">
        <w:t>1992, R.A.V. v. City of St. Paul, 505 U.S. 377</w:t>
      </w:r>
    </w:p>
    <w:p w:rsidR="00A31137" w:rsidRPr="00A31137" w:rsidRDefault="00A31137" w:rsidP="00A31137">
      <w:r w:rsidRPr="00A31137">
        <w:t>(a) This Court is bound by the state court's construction of the ordinance as reaching only expressions constituting "fighting words." However, R.A.V.'s request that the scope of the Chaplinsky formulation be modified, thereby invalidating the ordinance as substantially overbroad, need not be reached, since the ordinance unconstitutionally prohibits speech on the basis of the subjects the speech addresses. P.  381.</w:t>
      </w:r>
    </w:p>
    <w:p w:rsidR="00A31137" w:rsidRPr="00A31137" w:rsidRDefault="00A31137" w:rsidP="00A31137">
      <w:r w:rsidRPr="00A31137">
        <w:t>1992, R.A.V. v. City of St. Paul, 505 U.S. 377</w:t>
      </w:r>
    </w:p>
    <w:p w:rsidR="00A31137" w:rsidRPr="00A31137" w:rsidRDefault="00A31137" w:rsidP="00A31137">
      <w:r w:rsidRPr="00A31137">
        <w:t xml:space="preserve">(b) A few limited categories of speech, such as obscenity, defamation, and fighting words, may be regulated because of their constitutionally proscribable content. However, these categories are not entirely invisible to the Constitution, and government may not regulate them based on hostility, or favoritism, towards a nonproscribable message they contain. Thus, the regulation of "fighting words" may not be based on nonproscribable content. It may, however, be underinclusive, addressing some offensive instances and leaving other equally offensive ones alone, so long as the selective prescription is not based on content, or there is no realistic possibility that regulation of ideas is afoot. Pp.  382-390. [505 U.S. 378] </w:t>
      </w:r>
    </w:p>
    <w:p w:rsidR="00A31137" w:rsidRPr="00A31137" w:rsidRDefault="00A31137" w:rsidP="00A31137">
      <w:r w:rsidRPr="00A31137">
        <w:t>1992, R.A.V. v. City of St. Paul, 505 U.S. 378</w:t>
      </w:r>
    </w:p>
    <w:p w:rsidR="00A31137" w:rsidRPr="00A31137" w:rsidRDefault="00A31137" w:rsidP="00A31137">
      <w:r w:rsidRPr="00A31137">
        <w:t>(c) The ordinance, even as narrowly construed by the State Supreme Court, is facially unconstitutional, because it imposes special prohibitions on those speakers who express views on the disfavored subjects of "race, color, creed, religion or gender." At the same time, it permits displays containing abusive invective if they are not addressed to those topics. Moreover, in its practical operation, the ordinance goes beyond mere content, to actual viewpoint, discrimination. Displays containing "fighting words" that do not invoke the disfavored subjects would seemingly be useable ad libitum by those arguing in favor of racial, color, etc. tolerance and equality, but not by their opponents. St. Paul's desire to communicate to minority groups that it does not condone the "group hatred" of bias-motivated speech does not justify selectively silencing speech on the basis of its content. Pp.  391-393.</w:t>
      </w:r>
    </w:p>
    <w:p w:rsidR="00A31137" w:rsidRPr="00A31137" w:rsidRDefault="00A31137" w:rsidP="00A31137">
      <w:r w:rsidRPr="00A31137">
        <w:t>1992, R.A.V. v. City of St. Paul, 505 U.S. 378</w:t>
      </w:r>
    </w:p>
    <w:p w:rsidR="00A31137" w:rsidRPr="00A31137" w:rsidRDefault="00A31137" w:rsidP="00A31137">
      <w:r w:rsidRPr="00A31137">
        <w:t>(d) The content-based discrimination reflected in the ordinance does not rest upon the very reasons why the particular class of speech at issue is proscribable, it is not aimed only at the "secondary effects" of speech within the meaning of Renton v. Playtime Theatres, Inc., 475 U.S. 41, and it is not for any other reason the sort that does not threaten censorship of ideas. In addition, the ordinance's content discrimination is not justified on the ground that the ordinance is narrowly tailored to serve a compelling state interest in ensuring the basic human rights of groups historically discriminated against, since an ordinance not limited to the favored topics would have precisely the same beneficial effect. Pp.  393-396.</w:t>
      </w:r>
    </w:p>
    <w:p w:rsidR="00A31137" w:rsidRPr="00A31137" w:rsidRDefault="00A31137" w:rsidP="00A31137">
      <w:r w:rsidRPr="00A31137">
        <w:t>1992, R.A.V. v. City of St. Paul, 505 U.S. 378</w:t>
      </w:r>
    </w:p>
    <w:p w:rsidR="00A31137" w:rsidRPr="00A31137" w:rsidRDefault="00A31137" w:rsidP="00A31137">
      <w:r w:rsidRPr="00A31137">
        <w:t>464 N.W.2d 507 (Minn.1991), reversed and remanded.</w:t>
      </w:r>
    </w:p>
    <w:p w:rsidR="00A31137" w:rsidRPr="00A31137" w:rsidRDefault="00A31137" w:rsidP="00A31137">
      <w:r w:rsidRPr="00A31137">
        <w:t>1992, R.A.V. v. City of St. Paul, 505 U.S. 378</w:t>
      </w:r>
    </w:p>
    <w:p w:rsidR="00A31137" w:rsidRPr="00A31137" w:rsidRDefault="00A31137" w:rsidP="00A31137">
      <w:r w:rsidRPr="00A31137">
        <w:t xml:space="preserve">SCALIA, J., delivered the opinion of the Court, in which REHNQUIST, C.J., and KENNEDY, SOUTER, and THOMAS, JJ., joined. WHITE, J., filed an opinion concurring in the judgment, in which BLACKMUN and O'CONNOR, JJ., joined, and in which STEVENS, J., joined except as to Part I-A, post, p.  397. BLACKMUN, J., filed an opinion concurring in the judgment, post, p.  415. STEVENS, J., filed an opinion concurring in the judgment, in Part I of which WHITE and BLACKMUN, JJ., joined, post, p.  416. [505 U.S. 379] </w:t>
      </w:r>
    </w:p>
    <w:p w:rsidR="00A31137" w:rsidRPr="00A31137" w:rsidRDefault="00A31137" w:rsidP="00A31137">
      <w:r w:rsidRPr="00A31137">
        <w:t>SCALIA, J., lead opinion</w:t>
      </w:r>
    </w:p>
    <w:p w:rsidR="00A31137" w:rsidRPr="00A31137" w:rsidRDefault="00A31137" w:rsidP="00A31137">
      <w:r w:rsidRPr="00A31137">
        <w:t>1992, R.A.V. v. City of St. Paul, 505 U.S. 379</w:t>
      </w:r>
    </w:p>
    <w:p w:rsidR="00A31137" w:rsidRPr="00A31137" w:rsidRDefault="00A31137" w:rsidP="00A31137">
      <w:r w:rsidRPr="00A31137">
        <w:t>JUSTICE SCALIA delivered the opinion of the Court.</w:t>
      </w:r>
    </w:p>
    <w:p w:rsidR="00A31137" w:rsidRPr="00A31137" w:rsidRDefault="00A31137" w:rsidP="00A31137">
      <w:r w:rsidRPr="00A31137">
        <w:t>1992, R.A.V. v. City of St. Paul, 505 U.S. 379</w:t>
      </w:r>
    </w:p>
    <w:p w:rsidR="00A31137" w:rsidRPr="00A31137" w:rsidRDefault="00A31137" w:rsidP="00A31137">
      <w:r w:rsidRPr="00A31137">
        <w:t>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 [505 U.S. 380] under any of a number of laws, 1 one of the two provisions under which respondent city of St. Paul chose to charge petitioner (then a juvenile) was the St. Paul Bias-Motivated Crime Ordinance, St. Paul, Minn.Legis.Code § 292.02 (1990), which provides:</w:t>
      </w:r>
    </w:p>
    <w:p w:rsidR="00A31137" w:rsidRPr="00A31137" w:rsidRDefault="00A31137" w:rsidP="00A31137">
      <w:r w:rsidRPr="00A31137">
        <w:t>1992, R.A.V. v. City of St. Paul, 505 U.S. 380</w:t>
      </w:r>
    </w:p>
    <w:p w:rsidR="00A31137" w:rsidRPr="00A31137" w:rsidRDefault="00A31137" w:rsidP="00A31137">
      <w:r w:rsidRPr="00A31137">
        <w:t>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w:t>
      </w:r>
    </w:p>
    <w:p w:rsidR="00A31137" w:rsidRPr="00A31137" w:rsidRDefault="00A31137" w:rsidP="00A31137">
      <w:r w:rsidRPr="00A31137">
        <w:t>1992, R.A.V. v. City of St. Paul, 505 U.S. 380</w:t>
      </w:r>
    </w:p>
    <w:p w:rsidR="00A31137" w:rsidRPr="00A31137" w:rsidRDefault="00A31137" w:rsidP="00A31137">
      <w:r w:rsidRPr="00A31137">
        <w:t>Petitioner moved to dismiss this count on the ground that the St. Paul ordinance was substantially overbroad and impermissibly content-based, and therefore facially invalid under the First Amendment. 2 The trial court granted this motion, but the Minnesota Supreme Court reversed. That court rejected petitioner's overbreadth claim because, as construed in prior Minnesota cases, see, e.g., In re Welfare of S.L.J., 263 N.W.2d 412 (Minn.1978), the modifying phrase "arouses anger, alarm or resentment in others" limited the reach of the ordinance to conduct that amounts to "fighting words," i.e., "conduct that itself inflicts injury or tends to incite immediate violence…," In re Welfare of R.A.V., 464 N.W.2d 507, 510 (Minn.1991) (citing Chaplinsky [505 U.S. 381] v. New Hampshire, 315 U.S. 568,  572 (1942)), and therefore the ordinance reached only expression "that the first amendment does not protect." 464 N.W.2d at 511. The court also concluded that the ordinance was not impermissibly content-based because, in its view,</w:t>
      </w:r>
    </w:p>
    <w:p w:rsidR="00A31137" w:rsidRPr="00A31137" w:rsidRDefault="00A31137" w:rsidP="00A31137">
      <w:r w:rsidRPr="00A31137">
        <w:t>1992, R.A.V. v. City of St. Paul, 505 U.S. 381</w:t>
      </w:r>
    </w:p>
    <w:p w:rsidR="00A31137" w:rsidRPr="00A31137" w:rsidRDefault="00A31137" w:rsidP="00A31137">
      <w:r w:rsidRPr="00A31137">
        <w:t>the ordinance is a narrowly tailored means toward accomplishing the compelling governmental interest in protecting the community against bias-motivated threats to public safety and order.</w:t>
      </w:r>
    </w:p>
    <w:p w:rsidR="00A31137" w:rsidRPr="00A31137" w:rsidRDefault="00A31137" w:rsidP="00A31137">
      <w:r w:rsidRPr="00A31137">
        <w:t>1992, R.A.V. v. City of St. Paul, 505 U.S. 381</w:t>
      </w:r>
    </w:p>
    <w:p w:rsidR="00A31137" w:rsidRPr="00A31137" w:rsidRDefault="00A31137" w:rsidP="00A31137">
      <w:r w:rsidRPr="00A31137">
        <w:t>Ibid. We granted certiorari, 501 U.S. 1204 (1991).</w:t>
      </w:r>
    </w:p>
    <w:p w:rsidR="00A31137" w:rsidRPr="00A31137" w:rsidRDefault="00A31137" w:rsidP="00A31137">
      <w:r w:rsidRPr="00A31137">
        <w:t>I</w:t>
      </w:r>
    </w:p>
    <w:p w:rsidR="00A31137" w:rsidRPr="00A31137" w:rsidRDefault="00A31137" w:rsidP="00A31137">
      <w:r w:rsidRPr="00A31137">
        <w:t>1992, R.A.V. v. City of St. Paul, 505 U.S. 381</w:t>
      </w:r>
    </w:p>
    <w:p w:rsidR="00A31137" w:rsidRPr="00A31137" w:rsidRDefault="00A31137" w:rsidP="00A31137">
      <w:r w:rsidRPr="00A31137">
        <w:t xml:space="preserve">In construing the St. Paul ordinance, we are bound by the construction given to it by the Minnesota court. Posadas de Puerto Rico Associates v. Tourism Co. of Puerto Rico, 478 U.S. 328, 339 (1986); New York v. Ferber, 458 U.S. 747,  769, n. 24 (1982); Terminiello v. Chicago, 337 U.S. 1,  4 (1949). Accordingly, we accept the Minnesota Supreme Court's authoritative statement that the ordinance reaches only those expressions that constitute "fighting words" within the meaning of Chaplinsky. 464 N.W.2d at 510-511. Petitioner and his amici urge us to modify the scope of the Chaplinsky formulation, thereby invalidating the ordinance as "substantially overbroad," Broadrick v. Oklahoma, 413 U.S. 601, 610 (1973). We find it unnecessary to consider this issue. Assuming, arguendo, that all of the expression reached by the ordinance is proscribable under the "fighting words" doctrine, we nonetheless conclude that the ordinance is facially unconstitutional in that it prohibits otherwise permitted speech solely on the basis of the subjects the speech addresses. 3 [505 U.S. 382] </w:t>
      </w:r>
    </w:p>
    <w:p w:rsidR="00A31137" w:rsidRPr="00A31137" w:rsidRDefault="00A31137" w:rsidP="00A31137">
      <w:r w:rsidRPr="00A31137">
        <w:t>1992, R.A.V. v. City of St. Paul, 505 U.S. 382</w:t>
      </w:r>
    </w:p>
    <w:p w:rsidR="00A31137" w:rsidRPr="00A31137" w:rsidRDefault="00A31137" w:rsidP="00A31137">
      <w:r w:rsidRPr="00A31137">
        <w:t>The First Amendment generally prevents government from proscribing speech, see, e.g., Cantwell v. Connecticut, 310 U.S. 296, 309-311 (1940), or even expressive conduct, see, e.g., Texas v. Johnson, 491 U.S. 397,  406 (1989), because of disapproval of the ideas expressed. Content-based regulations are presumptively invalid. Simon &amp; Schuster, Inc. v. Members of N.Y. State Crime Victims Bd., 502 U.S. 105 (1991); id. at  115 (KENNEDY, J., concurring in judgment); Consolidated Edison of N.Y. v. Public Serv. Comm'n of N.Y., 447 U.S. 530, 536 (1980); Police Dept. of Chicago v. Mosley, 408 U.S. 92, 95 (1972). From 1791 to the present, however, our society, like other free but civilized societies, has permitted restrictions upon the content of speech in a [505 U.S. 383] few limited areas, which are</w:t>
      </w:r>
    </w:p>
    <w:p w:rsidR="00A31137" w:rsidRPr="00A31137" w:rsidRDefault="00A31137" w:rsidP="00A31137">
      <w:r w:rsidRPr="00A31137">
        <w:t>1992, R.A.V. v. City of St. Paul, 505 U.S. 383</w:t>
      </w:r>
    </w:p>
    <w:p w:rsidR="00A31137" w:rsidRPr="00A31137" w:rsidRDefault="00A31137" w:rsidP="00A31137">
      <w:r w:rsidRPr="00A31137">
        <w:t>of such slight social value as a step to truth that any benefit that may be derived from them is clearly outweighed by the social interest in order and morality.</w:t>
      </w:r>
    </w:p>
    <w:p w:rsidR="00A31137" w:rsidRPr="00A31137" w:rsidRDefault="00A31137" w:rsidP="00A31137">
      <w:r w:rsidRPr="00A31137">
        <w:t>1992, R.A.V. v. City of St. Paul, 505 U.S. 383</w:t>
      </w:r>
    </w:p>
    <w:p w:rsidR="00A31137" w:rsidRPr="00A31137" w:rsidRDefault="00A31137" w:rsidP="00A31137">
      <w:r w:rsidRPr="00A31137">
        <w:t>Chaplinsky, supra, 315 U.S. at  572. We have recognized that "the freedom of speech" referred to by the First Amendment does not include a freedom to disregard these traditional limitations. See, e.g., Roth v. United States, 354 U.S. 476 (1957) (obscenity); Beauharnais v. Illinois, 343 U.S. 250 (1952) (defamation); Chaplinsky v. New Hampshire, supra, ("fighting words"); see generally Simon &amp; Schuster, supra, 502 U.S. at  124 (KENNEDY, J., concurring in judgment). Our decisions since the 1960's have narrowed the scope of the traditional categorical exceptions for defamation, see New York Times Co. v. Sullivan, 376 U.S. 254 (1964); Gertz v. Robert Welch, Inc., 418 U.S. 323 (1974); see generally Milkovich v. Lorain Journal Co., 497 U.S. 1, 13-17 (1990), and for obscenity, see Miller v. California, 413 U.S. 15 (1973), but a limited categorical approach has remained an important part of our First Amendment jurisprudence.</w:t>
      </w:r>
    </w:p>
    <w:p w:rsidR="00A31137" w:rsidRPr="00A31137" w:rsidRDefault="00A31137" w:rsidP="00A31137">
      <w:r w:rsidRPr="00A31137">
        <w:t>1992, R.A.V. v. City of St. Paul, 505 U.S. 383</w:t>
      </w:r>
    </w:p>
    <w:p w:rsidR="00A31137" w:rsidRPr="00A31137" w:rsidRDefault="00A31137" w:rsidP="00A31137">
      <w:r w:rsidRPr="00A31137">
        <w:t>We have sometimes said that these categories of expression are "not within the area of constitutionally protected speech," Roth, supra, 354 U.S. at  483; Beauharnais, supra, 343 U.S. at  266; Chaplinsky, supra, 315 U.S. at 571-572; or that the "protection of the First Amendment does not extend" to them, Bose Corp. v. Consumers Union of United States, Inc., 466 U.S. 485, 504 (1984); Sable Communications of Cal., Inc. v. FCC, 492 U.S. 115, 124 (1989). Such statements must be taken in context, however, and are no more literally true than is the occasionally repeated shorthand characterizing obscenity "as not being speech at all," Sunstein, Pornography and the First Amendment, 1986 Duke L.J. 589, 615, n. 146. What they mean is that these areas of speech can, consistently with the First Amendment, be regulated because of their constitutionally proscribable content (obscenity, defamation, etc.)—not that they are categories of speech entirely invisible to the Constitution, so that they may be made the vehicles [505 U.S. 384] for content discrimination unrelated to their distinctively proscribable content. Thus, the government may proscribe libel; but it may not make the further content discrimination of proscribing only libel critical of the government. We recently acknowledged this distinction in Ferber, 458 U.S. at  763, where, in upholding New York's child pornography law, we expressly recognized that there was no "question here of censoring a particular literary theme…. " See also id. at  775 (O'CONNOR, J., concurring) ("As drafted, New York's statute does not attempt to suppress the communication of particular ideas").</w:t>
      </w:r>
    </w:p>
    <w:p w:rsidR="00A31137" w:rsidRPr="00A31137" w:rsidRDefault="00A31137" w:rsidP="00A31137">
      <w:r w:rsidRPr="00A31137">
        <w:t>1992, R.A.V. v. City of St. Paul, 505 U.S. 384</w:t>
      </w:r>
    </w:p>
    <w:p w:rsidR="00A31137" w:rsidRPr="00A31137" w:rsidRDefault="00A31137" w:rsidP="00A31137">
      <w:r w:rsidRPr="00A31137">
        <w:t>Our cases surely do not establish the proposition that the First Amendment imposes no obstacle whatsoever to regulation of particular instances of such proscribable expression, so that the government "may regulate [them] freely," post at  400 (WHITE, J., concurring in judgment). That would mean that a city council could enact an ordinance prohibiting only those legally obscene works that contain criticism of the city government or, indeed, that do not include endorsement of the city government. Such a simplistic, all-or-nothing-at-all approach to First Amendment protection is at odds with common sense and with our jurisprudence as well. 4 It is [505 U.S. 385] not true that "fighting words" have at most a "de minimis" expressive content, ibid., or that their content is in all respects "worthless and undeserving of constitutional protection," post at  401; sometimes they are quite expressive indeed. We have not said that they constitute "no part of the expression of ideas," but only that they constitute "no essential part of any exposition of ideas." Chaplinsky, 315 U.S. at  572 (emphasis added).</w:t>
      </w:r>
    </w:p>
    <w:p w:rsidR="00A31137" w:rsidRPr="00A31137" w:rsidRDefault="00A31137" w:rsidP="00A31137">
      <w:r w:rsidRPr="00A31137">
        <w:t>1992, R.A.V. v. City of St. Paul, 505 U.S. 385</w:t>
      </w:r>
    </w:p>
    <w:p w:rsidR="00A31137" w:rsidRPr="00A31137" w:rsidRDefault="00A31137" w:rsidP="00A31137">
      <w:r w:rsidRPr="00A31137">
        <w:t>The proposition that a particular instance of speech can be proscribable on the basis of one feature (e.g., obscenity) but not on the basis of another (e.g., opposition to the city government) is commonplace, and has found application in many contexts. We have long held, for example, that nonverbal expressive activity can be banned because of the action it entails, but not because of the ideas it expresses—so that burning a flag in violation of an ordinance against outdoor fires could be punishable, whereas burning a flag in violation of an ordinance against dishonoring the flag is not. See Johnson, 491 U.S. at 406-407. See also Barnes v. Glen Theatre, Inc., 501 U.S. 560, 569-570 (1991) (plurality); id. at 573-574 (SCALIA, J., concurring in judgment); id. at 581-582 (SOUTER, J., concurring in judgment); United [505 U.S. 386] States v. O'Brien, 391 U.S. 367, 376-377 (1968). Similarly, we have upheld reasonable "time, place, or manner" restrictions, but only if they are "justified without reference to the content of the regulated speech." Ward v. Rock Against Racism, 491 U.S. 781,  791 (1989) (internal quotation marks omitted); see also Clark v. Community for Creative Non-Violence, 468 U.S. 288, 298 (1984) (noting that the O'Brien test differs little from the standard applied to time, place, or manner restrictions). And just as the power to proscribe particular speech on the basis of a non-content element (e.g., noise) does not entail the power to proscribe the same speech on the basis of a content element, so also the power to proscribe it on the basis of one content element (e.g., obscenity) does not entail the power to proscribe it on the basis of other content elements.</w:t>
      </w:r>
    </w:p>
    <w:p w:rsidR="00A31137" w:rsidRPr="00A31137" w:rsidRDefault="00A31137" w:rsidP="00A31137">
      <w:r w:rsidRPr="00A31137">
        <w:t>1992, R.A.V. v. City of St. Paul, 505 U.S. 386</w:t>
      </w:r>
    </w:p>
    <w:p w:rsidR="00A31137" w:rsidRPr="00A31137" w:rsidRDefault="00A31137" w:rsidP="00A31137">
      <w:r w:rsidRPr="00A31137">
        <w:t xml:space="preserve">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as Justice Frankfurter recognized, a "mode of speech," Niemotko v. Maryland, 340 U.S. 268,  282 (1951) (Frankfurter, J., concurring in result); both can be used to convey an idea; but neither has, in and of itself, a claim upon the First Amendment. As with the sound truck, however, so also with fighting words: the government may not regulate use based on hostility—or favoritism—towards the underlying message expressed. Compare Frisby v. Schultz, 487 U.S. 474 (1988) (upholding, against facial challenge, a content-neutral ban on targeted residential picketing) with Carey v. Brown, 447 U.S. 455 (1980) (invalidating a ban on residential picketing that exempted labor picketing). 5 [505 U.S. 387] </w:t>
      </w:r>
    </w:p>
    <w:p w:rsidR="00A31137" w:rsidRPr="00A31137" w:rsidRDefault="00A31137" w:rsidP="00A31137">
      <w:r w:rsidRPr="00A31137">
        <w:t>1992, R.A.V. v. City of St. Paul, 505 U.S. 387</w:t>
      </w:r>
    </w:p>
    <w:p w:rsidR="00A31137" w:rsidRPr="00A31137" w:rsidRDefault="00A31137" w:rsidP="00A31137">
      <w:r w:rsidRPr="00A31137">
        <w:t>The concurrences describe us as setting forth a new First Amendment principle that prohibition of constitutionally proscribable speech cannot be "underinclusiv[e]," post at  402 (WHITE, J., concurring in judgment)—a First Amendment "absolutism" whereby "within a particular 'proscribable' category of expression,…a government must either proscribe all speech or no speech at all," post at  419 (STEVENS, J., concurring in judgment). That easy target is of the concurrences' own invention. In our view, the First Amendment imposes not an "underinclusiveness" limitation, but a "content discrimination" limitation, upon a State's prohibition of proscribable speech. There is no problem whatever, for example, with a State's prohibiting obscenity (and other forms of proscribable expression) only in certain media or markets, for although that prohibition would be "underinclusive," it would not discriminate on the basis of content. See, e.g., Sable Communications, 492 U.S. at 124-126 (upholding 47 U.S.C. § 223(b)(1) (1988), which prohibits obscene telephone communications).</w:t>
      </w:r>
    </w:p>
    <w:p w:rsidR="00A31137" w:rsidRPr="00A31137" w:rsidRDefault="00A31137" w:rsidP="00A31137">
      <w:r w:rsidRPr="00A31137">
        <w:t>1992, R.A.V. v. City of St. Paul, 505 U.S. 387</w:t>
      </w:r>
    </w:p>
    <w:p w:rsidR="00A31137" w:rsidRPr="00A31137" w:rsidRDefault="00A31137" w:rsidP="00A31137">
      <w:r w:rsidRPr="00A31137">
        <w:t>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Simon &amp; Schuster, 502 U.S. at  116; Leathers v. Medlock, 499 U.S. 439, 448 (1991); FCC v. League of Women Voters of California, 468 U.S. 364, 383-384 (1984); Consolidated Edison Co., 447 U.S. at 536; Police Dept. of Chicago v. Mosley, 408 U.S. [505 U.S. 388] at 95-98. But content discrimination among various instances of a class of proscribable speech often does not pose this threat.</w:t>
      </w:r>
    </w:p>
    <w:p w:rsidR="00A31137" w:rsidRPr="00A31137" w:rsidRDefault="00A31137" w:rsidP="00A31137">
      <w:r w:rsidRPr="00A31137">
        <w:t>1992, R.A.V. v. City of St. Paul, 505 U.S. 388</w:t>
      </w:r>
    </w:p>
    <w:p w:rsidR="00A31137" w:rsidRPr="00A31137" w:rsidRDefault="00A31137" w:rsidP="00A31137">
      <w:r w:rsidRPr="00A31137">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 in its prurience—i.e., that which involves the most lascivious displays of sexual activity. But it may not prohibit, for example, only that obscenity which includes offensive political messages. See Kucharek v. Hanaway, 902 F.2d 513, 517 (CA7 1990), cert. denied, 498 U.S. 1041 (1991). And the Federal Government can criminalize only those threats of violence that are directed against the President, see 18 U.S.C. § 871—since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See Watts v. United States, 394 U.S. 705, 707 (1969) (upholding the facial validity of § 871 because of the "overwhelmin[g] interest in protecting the safety of [the] Chief Executive and in allowing him to perform his duties without interference from threats of physical violence"). But the Federal Government may not criminalize only those threats against the President that mention his policy on aid to inner cities. And to take a final example (one mentioned by JUSTICE STEVENS, post at 421-422), a State may choose to regulate price advertising in one industry, but not in others, because the risk of fraud (one of the characteristics of commercial speech that justifies depriving it of full First Amendment protection, see Virginia [505 U.S. 389] Pharmacy Bd. v. Virginia Citizens Consumer Council, Inc., 425 U.S. 748, 771-7726 (1976)) is in its view greater there. Cf. Morales v. Trans World Airlines, Inc., 504 U.S. 374 (1992) (state regulation of airline advertising); Ohralik v. Ohio State Bar Assn., 436 U.S. 447 (1978) (state regulation of lawyer advertising). But a State may not prohibit only that commercial advertising that depicts men in a demeaning fashion, see, e.g., L.A. Times, Aug. 8, 1989, section 4, p. 6, col. 1.</w:t>
      </w:r>
    </w:p>
    <w:p w:rsidR="00A31137" w:rsidRPr="00A31137" w:rsidRDefault="00A31137" w:rsidP="00A31137">
      <w:r w:rsidRPr="00A31137">
        <w:t>1992, R.A.V. v. City of St. Paul, 505 U.S. 389</w:t>
      </w:r>
    </w:p>
    <w:p w:rsidR="00A31137" w:rsidRPr="00A31137" w:rsidRDefault="00A31137" w:rsidP="00A31137">
      <w:r w:rsidRPr="00A31137">
        <w:t>Another valid basis for according differential treatment to even a content-defined subclass of proscribable speech is that the subclass happens to be associated with particular "secondary effects" of the speech, so that the regulation is "justified without reference to the content of the…speech," Renton v. Playtime Theatres, Inc., 475 U.S. 41, 48 (1986) (quoting, with emphasis, Virginia Pharmacy Bd., supra, 425 U.S. at  771); see also Young v. American Mini Theatres, Inc., 427 U.S. 50,  71, n. 34 (1976) (plurality); id. at 80-82 (Powell, J., concurring); Barnes, 501 U.S. at  586 (SOUTER, J., concurring in judgment).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speech can be swept up incidentally within the reach of a statute directed at conduct, rather than speech. See id. at  571 (plurality opinion); id. at  577 (SCALIA, J., concurring in judgment); id. at  582 (SOUTER, J., concurring in judgment); FTC v. Superior Court Trial Lawyers Assn., 493 U.S. 411, 425-432 (1990); O'Brien, 391 U.S. at 376-377. Thus, for example, sexually derogatory "fighting words," among other words, may produce a violation of Title VII's general prohibition against sexual discrimination in employment practices, 42 U.S.C. § 2000e-2; 29 CFR § 1604.11 (1991). See also 18 [505 U.S. 390] U.S.C. § 242; 42 U.S.C. §§ 1981, 1982. Where the government does not target conduct on the basis of its expressive content, acts are not shielded from regulation merely because they express a discriminatory idea or philosophy.</w:t>
      </w:r>
    </w:p>
    <w:p w:rsidR="00A31137" w:rsidRPr="00A31137" w:rsidRDefault="00A31137" w:rsidP="00A31137">
      <w:r w:rsidRPr="00A31137">
        <w:t>1992, R.A.V. v. City of St. Paul, 505 U.S. 390</w:t>
      </w:r>
    </w:p>
    <w:p w:rsidR="00A31137" w:rsidRPr="00A31137" w:rsidRDefault="00A31137" w:rsidP="00A31137">
      <w:r w:rsidRPr="00A31137">
        <w:t xml:space="preserve">These bases for distinction refute the proposition that the selectivity of the restriction is "even arguably 'conditioned upon the sovereign's agreement with what a speaker may intend to say.'" Metromedia, Inc. v. San Diego, 453 U.S. 490,  555 (1981) (STEVENS, J., dissenting in part) (citation omitted). There may be other such bases as well. Indeed, to validate such selectivity (where totally proscribable speech is at issue), it may not even be necessary to identify any particular "neutral" basis, so long as the nature of the content discrimination is such that there is no realistic possibility that official suppression of ideas is afoot. (We cannot think of any First Amendment interest that would stand in the way of a State's prohibiting only those obscene motion pictures with blue-eyed actresses.) Save for that limitation, the regulation of "fighting words," like the regulation of noisy speech, may address some offensive instances and leave other, equally offensive, instances alone. See Posadas de Puerto Rico, 478 U.S. at 342-343. 6 [505 U.S. 391] </w:t>
      </w:r>
    </w:p>
    <w:p w:rsidR="00A31137" w:rsidRPr="00A31137" w:rsidRDefault="00A31137" w:rsidP="00A31137">
      <w:r w:rsidRPr="00A31137">
        <w:t>II</w:t>
      </w:r>
    </w:p>
    <w:p w:rsidR="00A31137" w:rsidRPr="00A31137" w:rsidRDefault="00A31137" w:rsidP="00A31137">
      <w:r w:rsidRPr="00A31137">
        <w:t>1992, R.A.V. v. City of St. Paul, 505 U.S. 391</w:t>
      </w:r>
    </w:p>
    <w:p w:rsidR="00A31137" w:rsidRPr="00A31137" w:rsidRDefault="00A31137" w:rsidP="00A31137">
      <w:r w:rsidRPr="00A31137">
        <w:t>Applying these principles to the St. 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ideas—to express hostility, for example, on the basis of political affiliation, union membership, or homosexuality—are not covered. The First Amendment does not permit St. Paul to impose special prohibitions on those speakers who express views on disfavored subjects. See Simon &amp; Schuster, 502 U.S. at  116; Arkansas Writers' Project, Inc. v. Ragland, 481 U.S. 221, 229-230 (1987).</w:t>
      </w:r>
    </w:p>
    <w:p w:rsidR="00A31137" w:rsidRPr="00A31137" w:rsidRDefault="00A31137" w:rsidP="00A31137">
      <w:r w:rsidRPr="00A31137">
        <w:t>1992, R.A.V. v. City of St. Paul, 505 U.S. 391</w:t>
      </w:r>
    </w:p>
    <w:p w:rsidR="00A31137" w:rsidRPr="00A31137" w:rsidRDefault="00A31137" w:rsidP="00A31137">
      <w:r w:rsidRPr="00A31137">
        <w:t>In its practical operation, moreover, the ordinance goes even beyond mere content discrimination to actual viewpoint discrimination. Displays containing some words—odious racial epithets, for example—would be prohibited to proponents of all views. But "fighting words" that do not themselves invoke race, color, creed, religion, or gender—aspersions upon a person's mother, for example—would seemingly be usable ad libitum in the placards of those arguing in favor of racial, color, etc. tolerance and equality, but could not be used by that speaker's opponents. One could hold up a sign saying, for example, that all "anti-Catholic [505 U.S. 392] bigots" are misbegotten; but not that all "papists" are, for that would insult and provoke violence "on the basis of religion." St. Paul has no such authority to license one side of a debate to fight freestyle, while requiring the other to follow Marquis of Queensbury Rules.</w:t>
      </w:r>
    </w:p>
    <w:p w:rsidR="00A31137" w:rsidRPr="00A31137" w:rsidRDefault="00A31137" w:rsidP="00A31137">
      <w:r w:rsidRPr="00A31137">
        <w:t>1992, R.A.V. v. City of St. Paul, 505 U.S. 392</w:t>
      </w:r>
    </w:p>
    <w:p w:rsidR="00A31137" w:rsidRPr="00A31137" w:rsidRDefault="00A31137" w:rsidP="00A31137">
      <w:r w:rsidRPr="00A31137">
        <w:t>What we have here, it must be emphasized, is not a prohibition of fighting words that are directed at certain persons or groups (which would be facially valid if it met the requirements of the Equal Protection Clause); but rather, a prohibition of fighting words that contain (as the Minnesota Supreme Court repeatedly emphasized) messages of "bias-motivated" hatred and, in particular, as applied to this case, messages "based on virulent notions of racial supremacy." 464 N.W.2d at 508, 511. One must wholeheartedly agree with the Minnesota Supreme Court that "[i]t is the responsibility, even the obligation, of diverse communities to confront such notions in whatever form they appear," ibid., but the manner of that confrontation cannot consist of selective limitations upon speech. St. Paul's brief asserts that a general "fighting words" law would not meet the city's needs, because only a content-specific measure can communicate to minority groups that the "group hatred" aspect of such speech "is not condoned by the majority." Brief for Respondent 25. The point of the First Amendment is that majority preferences must be expressed in some fashion other than silencing speech on the basis of its content.</w:t>
      </w:r>
    </w:p>
    <w:p w:rsidR="00A31137" w:rsidRPr="00A31137" w:rsidRDefault="00A31137" w:rsidP="00A31137">
      <w:r w:rsidRPr="00A31137">
        <w:t>1992, R.A.V. v. City of St. Paul, 505 U.S. 392</w:t>
      </w:r>
    </w:p>
    <w:p w:rsidR="00A31137" w:rsidRPr="00A31137" w:rsidRDefault="00A31137" w:rsidP="00A31137">
      <w:r w:rsidRPr="00A31137">
        <w:t>Despite the fact that the Minnesota Supreme Court and St. Paul acknowledge that the ordinance is directed at expression of group hatred, JUSTICE STEVENS suggests that this "fundamentally misreads" the ordinance. Post at  433. It is directed, he claims, not to speech of a particular content, but to particular "injur[ies]" that are "qualitatively different" from other injuries. Post at  424. This is word-play. What makes the anger, fear, sense of dishonor, etc. produced by violation of this ordinance distinct from the anger, fear, sense of dishonor, etc. produced by other fighting words is [505 U.S. 393] nothing other than the fact that it is caused by a distinctive idea, conveyed by a distinctive message. The First Amendment cannot be evaded that easily. It is obvious that the symbols which will arouse "anger, alarm or resentment in others on the basis of race, color, creed, religion or gender" are those symbols that communicate a message of hostility based on one of these characteristics. St. Paul concedes in its brief that the ordinance applies only to "racial, religious, or gender-specific symbols" such as "a burning cross, Nazi swastika or other instrumentality of like import." Brief for Respondent 8. Indeed, St. Paul argued in the Juvenile Court that</w:t>
      </w:r>
    </w:p>
    <w:p w:rsidR="00A31137" w:rsidRPr="00A31137" w:rsidRDefault="00A31137" w:rsidP="00A31137">
      <w:r w:rsidRPr="00A31137">
        <w:t>1992, R.A.V. v. City of St. Paul, 505 U.S. 393</w:t>
      </w:r>
    </w:p>
    <w:p w:rsidR="00A31137" w:rsidRPr="00A31137" w:rsidRDefault="00A31137" w:rsidP="00A31137">
      <w:r w:rsidRPr="00A31137">
        <w:t>[t]he burning of a cross does express a message, and it is, in fact, the content of that message which the St. Paul Ordinance attempts to legislate.</w:t>
      </w:r>
    </w:p>
    <w:p w:rsidR="00A31137" w:rsidRPr="00A31137" w:rsidRDefault="00A31137" w:rsidP="00A31137">
      <w:r w:rsidRPr="00A31137">
        <w:t>1992, R.A.V. v. City of St. Paul, 505 U.S. 393</w:t>
      </w:r>
    </w:p>
    <w:p w:rsidR="00A31137" w:rsidRPr="00A31137" w:rsidRDefault="00A31137" w:rsidP="00A31137">
      <w:r w:rsidRPr="00A31137">
        <w:t>Memorandum from the Ramsey County Attorney to the Honorable Charles A. Flinn, Jr., dated July 13, 1990, in In re Welfare of R.A.V., No. 89-D-1231 (Ramsey Cty.Juvenile Ct.), p. 1, reprinted in App. to Brief for Petitioner C-1.</w:t>
      </w:r>
    </w:p>
    <w:p w:rsidR="00A31137" w:rsidRPr="00A31137" w:rsidRDefault="00A31137" w:rsidP="00A31137">
      <w:r w:rsidRPr="00A31137">
        <w:t>1992, R.A.V. v. City of St. Paul, 505 U.S. 393</w:t>
      </w:r>
    </w:p>
    <w:p w:rsidR="00A31137" w:rsidRPr="00A31137" w:rsidRDefault="00A31137" w:rsidP="00A31137">
      <w:r w:rsidRPr="00A31137">
        <w:t>The content-based discrimination reflected in the St. Paul ordinance comes within neither any of the specific exceptions to the First Amendment prohibition we discussed earlier, nor within a more general exception for content discrimination that does not threaten censorship of ideas. It assuredly does not fall within the exception for content discrimination based on the very reasons why the particular class of speech at issue (here, fighting words) is proscribable. As explained earlier, see supra at  386, the reason why fighting words are categorically excluded from the protection of the First Amendment is not that their content communicates any particular idea, but that their content embodies a particularly intolerable (and socially unnecessary) mode of expressing whatever idea the speaker wishes to convey. St. Paul has not singled out an especially offensive mode of expression—it has not, for example, selected for prohibition only those fighting words that communicate ideas in a threatening (as opposed to a merely obnoxious) manner. Rather, it has proscribed fighting [505 U.S. 394] words of whatever manner that communicate messages of racial, gender, or religious intolerance. Selectivity of this sort creates the possibility that the city is seeking to handicap the expression of particular ideas. That possibility would alone be enough to render the ordinance presumptively invalid, but St. Paul's comments and concessions in this case elevate the possibility to a certainty.</w:t>
      </w:r>
    </w:p>
    <w:p w:rsidR="00A31137" w:rsidRPr="00A31137" w:rsidRDefault="00A31137" w:rsidP="00A31137">
      <w:r w:rsidRPr="00A31137">
        <w:t>1992, R.A.V. v. City of St. Paul, 505 U.S. 394</w:t>
      </w:r>
    </w:p>
    <w:p w:rsidR="00A31137" w:rsidRPr="00A31137" w:rsidRDefault="00A31137" w:rsidP="00A31137">
      <w:r w:rsidRPr="00A31137">
        <w:t>St. Paul argues that the ordinance comes within another of the specific exceptions we mentioned, the one that allows content discrimination aimed only at the "secondary effects" of the speech, see Renton v. Playtime Theatres, Inc., 475 U.S. 41 (1986). According to St. Paul, the ordinance is intended, "not to impact on [sic] the right of free expression of the accused," but rather to</w:t>
      </w:r>
    </w:p>
    <w:p w:rsidR="00A31137" w:rsidRPr="00A31137" w:rsidRDefault="00A31137" w:rsidP="00A31137">
      <w:r w:rsidRPr="00A31137">
        <w:t>1992, R.A.V. v. City of St. Paul, 505 U.S. 394</w:t>
      </w:r>
    </w:p>
    <w:p w:rsidR="00A31137" w:rsidRPr="00A31137" w:rsidRDefault="00A31137" w:rsidP="00A31137">
      <w:r w:rsidRPr="00A31137">
        <w:t>protect against the victimization of a person or persons who are particularly vulnerable because of their membership in a group that historically has been discriminated against.</w:t>
      </w:r>
    </w:p>
    <w:p w:rsidR="00A31137" w:rsidRPr="00A31137" w:rsidRDefault="00A31137" w:rsidP="00A31137">
      <w:r w:rsidRPr="00A31137">
        <w:t>1992, R.A.V. v. City of St. Paul, 505 U.S. 394</w:t>
      </w:r>
    </w:p>
    <w:p w:rsidR="00A31137" w:rsidRPr="00A31137" w:rsidRDefault="00A31137" w:rsidP="00A31137">
      <w:r w:rsidRPr="00A31137">
        <w:t xml:space="preserve">Brief for Respondent 28. Even assuming that an ordinance that completely proscribes, rather than merely regulates, a specified category of speech can ever be considered to be directed only to the secondary effects of such speech, it is clear that the St. Paul ordinance is not directed to secondary effects within the meaning of Renton. As we said in Boos v. Barry, 485 U.S. 312 (1988), "[l]isteners' reactions to speech are not the type of 'secondary effects' we referred to in Renton." Id. at 321. "The emotive impact of speech on its audience is not a 'secondary effect.'" Ibid. See also id. at 334 (opinion of Brennan, J.). 7 [505 U.S. 395] </w:t>
      </w:r>
    </w:p>
    <w:p w:rsidR="00A31137" w:rsidRPr="00A31137" w:rsidRDefault="00A31137" w:rsidP="00A31137">
      <w:r w:rsidRPr="00A31137">
        <w:t>1992, R.A.V. v. City of St. Paul, 505 U.S. 395</w:t>
      </w:r>
    </w:p>
    <w:p w:rsidR="00A31137" w:rsidRPr="00A31137" w:rsidRDefault="00A31137" w:rsidP="00A31137">
      <w:r w:rsidRPr="00A31137">
        <w:t>It hardly needs discussion that the ordinance does not fall within some more general exception permitting all selectivity that for any reason is beyond the suspicion of official suppression of ideas. The statements of St. Paul in this very case afford ample basis for, if not full confirmation of, that suspicion.</w:t>
      </w:r>
    </w:p>
    <w:p w:rsidR="00A31137" w:rsidRPr="00A31137" w:rsidRDefault="00A31137" w:rsidP="00A31137">
      <w:r w:rsidRPr="00A31137">
        <w:t>1992, R.A.V. v. City of St. Paul, 505 U.S. 395</w:t>
      </w:r>
    </w:p>
    <w:p w:rsidR="00A31137" w:rsidRPr="00A31137" w:rsidRDefault="00A31137" w:rsidP="00A31137">
      <w:r w:rsidRPr="00A31137">
        <w:t>Finally, St. Paul and its amici defend the conclusion of the Minnesota Supreme Court that, even if the ordinance regulates expression based on hostility towards its protected ideological content, this discrimination is nonetheless justified because it is narrowly tailored to serve compelling state interests. Specifically, they assert that the ordinance helps to ensure the basic human rights of members of groups that have historically been subjected to discrimination, including the right of such group members to live in peace where they wish. We do not doubt that these interests are compelling, and that the ordinance can be said to promote them. But the "danger of censorship" presented by a facially content-based statute, Leathers v. Medlock, 499 U.S. at 448 (1991), requires that that weapon be employed only where it is "necessary to serve the asserted [compelling] interest," Burson v. Freeman, 504 U.S. 191, 199 (1992) (plurality) (emphasis added); Perry Education Assn. v. Perry Local Educators' Assn., 460 U.S. 37,  45 (1983). The existence of adequate content-neutral alternatives thus "undercut[s] significantly" any defense of such a statute, Boos v. Barry, supra, 485 U.S. at 329, casting considerable doubt on the government's protestations that "the asserted justification is in fact an accurate description of the purpose and effect of the law," Burson, supra, at 213 (KENNEDY, J., concurring). See Boos, supra, 485 U.S. at 324-329; cf. Minneapolis Star &amp; Tribune Co. v. Minnesota Comm'r of Revenue, 460 U.S. 575, 586-587 (1983). The dispositive question in this case, therefore, is whether content discrimination is reasonably necessary to achieve St. Paul's [505 U.S. 396] compelling interests; it plainly is not. An ordinance not limited to the favored topics, for example, would have precisely the same beneficial effect. In fact, the only interest distinctively served by the content limitation is that of displaying the city council's special hostility towards the particular biases thus singled out. 8 That is precisely what the First Amendment forbids. The politicians of St. Paul are entitled to express that hostility—but not through the means of imposing unique limitations upon speakers who (however benightedly) disagree.</w:t>
      </w:r>
    </w:p>
    <w:p w:rsidR="00A31137" w:rsidRPr="00A31137" w:rsidRDefault="00A31137" w:rsidP="00A31137">
      <w:r w:rsidRPr="00A31137">
        <w:t>*    *    *    *</w:t>
      </w:r>
    </w:p>
    <w:p w:rsidR="00A31137" w:rsidRPr="00A31137" w:rsidRDefault="00A31137" w:rsidP="00A31137">
      <w:r w:rsidRPr="00A31137">
        <w:t>1992, R.A.V. v. City of St. Paul, 505 U.S. 396</w:t>
      </w:r>
    </w:p>
    <w:p w:rsidR="00A31137" w:rsidRPr="00A31137" w:rsidRDefault="00A31137" w:rsidP="00A31137">
      <w:r w:rsidRPr="00A31137">
        <w:t>Let there be no mistake about our belief that burning a cross in someone's front yard is reprehensible. But St. Paul has sufficient means at its disposal to prevent such behavior without adding the First Amendment to the fire.</w:t>
      </w:r>
    </w:p>
    <w:p w:rsidR="00A31137" w:rsidRPr="00A31137" w:rsidRDefault="00A31137" w:rsidP="00A31137">
      <w:r w:rsidRPr="00A31137">
        <w:t>1992, R.A.V. v. City of St. Paul, 505 U.S. 396</w:t>
      </w:r>
    </w:p>
    <w:p w:rsidR="00A31137" w:rsidRPr="00A31137" w:rsidRDefault="00A31137" w:rsidP="00A31137">
      <w:r w:rsidRPr="00A31137">
        <w:t>The judgment of the Minnesota Supreme Court is reversed, and the case is remanded for proceedings not inconsistent with this opinion.</w:t>
      </w:r>
    </w:p>
    <w:p w:rsidR="00A31137" w:rsidRPr="00A31137" w:rsidRDefault="00A31137" w:rsidP="00A31137">
      <w:r w:rsidRPr="00A31137">
        <w:t>1992, R.A.V. v. City of St. Paul, 505 U.S. 396</w:t>
      </w:r>
    </w:p>
    <w:p w:rsidR="00A31137" w:rsidRPr="00A31137" w:rsidRDefault="00A31137" w:rsidP="00A31137">
      <w:r w:rsidRPr="00A31137">
        <w:t xml:space="preserve">It is so ordered. [505 U.S. 397] </w:t>
      </w:r>
    </w:p>
    <w:p w:rsidR="00A31137" w:rsidRPr="00A31137" w:rsidRDefault="00A31137" w:rsidP="00A31137">
      <w:r w:rsidRPr="00A31137">
        <w:t>WHITE, J., concurring</w:t>
      </w:r>
    </w:p>
    <w:p w:rsidR="00A31137" w:rsidRPr="00A31137" w:rsidRDefault="00A31137" w:rsidP="00A31137">
      <w:r w:rsidRPr="00A31137">
        <w:t>1992, R.A.V. v. City of St. Paul, 505 U.S. 397</w:t>
      </w:r>
    </w:p>
    <w:p w:rsidR="00A31137" w:rsidRPr="00A31137" w:rsidRDefault="00A31137" w:rsidP="00A31137">
      <w:r w:rsidRPr="00A31137">
        <w:t>JUSTICE WHITE, with whom JUSTICE BLACKMUN and JUSTICE O'CONNOR join, and with whom JUSTICE STEVENS joins except as to Part I(A), concurring in the judgment.</w:t>
      </w:r>
    </w:p>
    <w:p w:rsidR="00A31137" w:rsidRPr="00A31137" w:rsidRDefault="00A31137" w:rsidP="00A31137">
      <w:r w:rsidRPr="00A31137">
        <w:t>1992, R.A.V. v. City of St. Paul, 505 U.S. 397</w:t>
      </w:r>
    </w:p>
    <w:p w:rsidR="00A31137" w:rsidRPr="00A31137" w:rsidRDefault="00A31137" w:rsidP="00A31137">
      <w:r w:rsidRPr="00A31137">
        <w:t>I agree with the majority that the judgment of the Minnesota Supreme Court should be reversed. However, our agreement ends there.</w:t>
      </w:r>
    </w:p>
    <w:p w:rsidR="00A31137" w:rsidRPr="00A31137" w:rsidRDefault="00A31137" w:rsidP="00A31137">
      <w:r w:rsidRPr="00A31137">
        <w:t>1992, R.A.V. v. City of St. Paul, 505 U.S. 397</w:t>
      </w:r>
    </w:p>
    <w:p w:rsidR="00A31137" w:rsidRPr="00A31137" w:rsidRDefault="00A31137" w:rsidP="00A31137">
      <w:r w:rsidRPr="00A31137">
        <w:t>This case could easily be decided within the contours of established First Amendment law by holding, as petitioner argues, that the St. Paul ordinance is fatally overbroad because it criminalizes not only unprotected expression but expression protected by the First Amendment. See Part II, infra. Instead, "find[ing] it unnecessary" to consider the questions upon which we granted review, 1 ante at  381, the [505 U.S. 398] Court holds the ordinance facially unconstitutional on a ground that was never presented to the Minnesota Supreme Court, a ground that has not been briefed by the parties before this Court, a ground that requires serious departures from the teaching of prior cases and is inconsistent with the plurality opinion in Burson v. Freeman, 504 U.S. 191 (1992), which was joined by two of the five Justices in the majority in the present case.</w:t>
      </w:r>
    </w:p>
    <w:p w:rsidR="00A31137" w:rsidRPr="00A31137" w:rsidRDefault="00A31137" w:rsidP="00A31137">
      <w:r w:rsidRPr="00A31137">
        <w:t>1992, R.A.V. v. City of St. Paul, 505 U.S. 398</w:t>
      </w:r>
    </w:p>
    <w:p w:rsidR="00A31137" w:rsidRPr="00A31137" w:rsidRDefault="00A31137" w:rsidP="00A31137">
      <w:r w:rsidRPr="00A31137">
        <w:t>This Court ordinarily is not so eager to abandon its precedents. Twice within the past month, the Court has declined to overturn longstanding but controversial decisions on questions of constitutional law. See Allied Signal, Inc. v. Director, Division of Taxation, 504 U.S. 768 (1992); Quill Corp. v. North Dakota, 504 U.S. 298 (1992). In each case, we had the benefit of full briefing on the critical issue, so that the parties and amici had the opportunity to apprise us of the impact of a change in the law. And in each case, the Court declined to abandon its precedents, invoking the principle of stare decisis. Allied Signal, Inc., supra, at 783-786; Quill Corp., supra, at 317-318.</w:t>
      </w:r>
    </w:p>
    <w:p w:rsidR="00A31137" w:rsidRPr="00A31137" w:rsidRDefault="00A31137" w:rsidP="00A31137">
      <w:r w:rsidRPr="00A31137">
        <w:t>1992, R.A.V. v. City of St. Paul, 505 U.S. 398</w:t>
      </w:r>
    </w:p>
    <w:p w:rsidR="00A31137" w:rsidRPr="00A31137" w:rsidRDefault="00A31137" w:rsidP="00A31137">
      <w:r w:rsidRPr="00A31137">
        <w:t xml:space="preserve">But in the present case, the majority casts aside long-established First Amendment doctrine without the benefit of briefing and adopts an untried theory. This is hardly a judicious way of proceeding, and the Court's reasoning in reaching its result is transparently wrong. [505 U.S. 399] </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1992, R.A.V. v. City of St. Paul, 505 U.S. 399</w:t>
      </w:r>
    </w:p>
    <w:p w:rsidR="00A31137" w:rsidRPr="00A31137" w:rsidRDefault="00A31137" w:rsidP="00A31137">
      <w:r w:rsidRPr="00A31137">
        <w:t>This Court's decisions have plainly stated that expression falling within certain limited categories so lacks the values the First Amendment was designed to protect that the Constitution affords no protection to that expression. Chaplinsky v. New Hampshire, 315 U.S. 568 (1942), made the point in the clearest possible terms:</w:t>
      </w:r>
    </w:p>
    <w:p w:rsidR="00A31137" w:rsidRPr="00A31137" w:rsidRDefault="00A31137" w:rsidP="00A31137">
      <w:r w:rsidRPr="00A31137">
        <w:t>1992, R.A.V. v. City of St. Paul, 505 U.S. 399</w:t>
      </w:r>
    </w:p>
    <w:p w:rsidR="00A31137" w:rsidRPr="00A31137" w:rsidRDefault="00A31137" w:rsidP="00A31137">
      <w:r w:rsidRPr="00A31137">
        <w:t>There are certain well-defined and narrowly limited classes of speech, the prevention and punishment of which have never been thought to raise any Constitutional problem…. It has been well observed that such utterances are no essential part of any exposition of ideas, and are of such slight social value as a step to truth that any benefit that may be derived from them is clearly outweighed by the social interest in order and morality.</w:t>
      </w:r>
    </w:p>
    <w:p w:rsidR="00A31137" w:rsidRPr="00A31137" w:rsidRDefault="00A31137" w:rsidP="00A31137">
      <w:r w:rsidRPr="00A31137">
        <w:t>1992, R.A.V. v. City of St. Paul, 505 U.S. 399</w:t>
      </w:r>
    </w:p>
    <w:p w:rsidR="00A31137" w:rsidRPr="00A31137" w:rsidRDefault="00A31137" w:rsidP="00A31137">
      <w:r w:rsidRPr="00A31137">
        <w:t>Id. at 571-572. See also Bose Corp. v. Consumers Union of United States, Inc., 466 U.S. 485, 504 (1984) (citing Chaplinsky).</w:t>
      </w:r>
    </w:p>
    <w:p w:rsidR="00A31137" w:rsidRPr="00A31137" w:rsidRDefault="00A31137" w:rsidP="00A31137">
      <w:r w:rsidRPr="00A31137">
        <w:t>1992, R.A.V. v. City of St. Paul, 505 U.S. 399</w:t>
      </w:r>
    </w:p>
    <w:p w:rsidR="00A31137" w:rsidRPr="00A31137" w:rsidRDefault="00A31137" w:rsidP="00A31137">
      <w:r w:rsidRPr="00A31137">
        <w:t>Thus, as the majority concedes, see ante at 383-384, this Court has long held certain discrete categories of expression to be proscribable on the basis of their content. For instance, the Court has held that the individual who falsely shouts "fire" in a crowded theatre may not claim the protection of the First Amendment. Schenck v. United States, 249 U.S. 47,  52 (1919). The Court has concluded that neither child pornography nor obscenity is protected by the First Amendment. New York v. Ferber, 458 U.S. 747,  764 (1982); Miller v. California, 413 U.S. 15,  20 (1973); Roth v. United States, 354 U.S. 476, 484-485 (1957). And the Court has observed that,</w:t>
      </w:r>
    </w:p>
    <w:p w:rsidR="00A31137" w:rsidRPr="00A31137" w:rsidRDefault="00A31137" w:rsidP="00A31137">
      <w:r w:rsidRPr="00A31137">
        <w:t>1992, R.A.V. v. City of St. Paul, 505 U.S. 399</w:t>
      </w:r>
    </w:p>
    <w:p w:rsidR="00A31137" w:rsidRPr="00A31137" w:rsidRDefault="00A31137" w:rsidP="00A31137">
      <w:r w:rsidRPr="00A31137">
        <w:t>[l]eaving aside the special considerations when public officials [and public figures] are the target, a libelous publication is not protected by the Constitution.</w:t>
      </w:r>
    </w:p>
    <w:p w:rsidR="00A31137" w:rsidRPr="00A31137" w:rsidRDefault="00A31137" w:rsidP="00A31137">
      <w:r w:rsidRPr="00A31137">
        <w:t>1992, R.A.V. v. City of St. Paul, 505 U.S. 399</w:t>
      </w:r>
    </w:p>
    <w:p w:rsidR="00A31137" w:rsidRPr="00A31137" w:rsidRDefault="00A31137" w:rsidP="00A31137">
      <w:r w:rsidRPr="00A31137">
        <w:t xml:space="preserve">Ferber, supra, 458 U.S. at  763 (citations omitted). [505 U.S. 400] </w:t>
      </w:r>
    </w:p>
    <w:p w:rsidR="00A31137" w:rsidRPr="00A31137" w:rsidRDefault="00A31137" w:rsidP="00A31137">
      <w:r w:rsidRPr="00A31137">
        <w:t>1992, R.A.V. v. City of St. Paul, 505 U.S. 400</w:t>
      </w:r>
    </w:p>
    <w:p w:rsidR="00A31137" w:rsidRPr="00A31137" w:rsidRDefault="00A31137" w:rsidP="00A31137">
      <w:r w:rsidRPr="00A31137">
        <w:t>All of these categories are content-based. But the Court has held that First Amendment does not apply to them, because their expressive content is worthless or of de minimis value to society. Chaplinsky, supra, 315 U.S. at 571-572. We have not departed from this principle, emphasizing repeatedly that,</w:t>
      </w:r>
    </w:p>
    <w:p w:rsidR="00A31137" w:rsidRPr="00A31137" w:rsidRDefault="00A31137" w:rsidP="00A31137">
      <w:r w:rsidRPr="00A31137">
        <w:t>1992, R.A.V. v. City of St. Paul, 505 U.S. 400</w:t>
      </w:r>
    </w:p>
    <w:p w:rsidR="00A31137" w:rsidRPr="00A31137" w:rsidRDefault="00A31137" w:rsidP="00A31137">
      <w:r w:rsidRPr="00A31137">
        <w:t>within the confines of [these] given classification[s], the evil to be restricted so overwhelmingly outweighs the expressive interests, if any, at stake, that no process of case-by-case adjudication is required. Ferber, supra, 458 U.S. at 763-764; Bigelow v. Virginia, 421 U.S. 809,  819 (1975). This categorical approach has provided a principled and narrowly focused means for distinguishing between expression that the government may regulate freely and that which it may regulate on the basis of content only upon a showing of compelling need. 2</w:t>
      </w:r>
    </w:p>
    <w:p w:rsidR="00A31137" w:rsidRPr="00A31137" w:rsidRDefault="00A31137" w:rsidP="00A31137">
      <w:r w:rsidRPr="00A31137">
        <w:t>1992, R.A.V. v. City of St. Paul, 505 U.S. 400</w:t>
      </w:r>
    </w:p>
    <w:p w:rsidR="00A31137" w:rsidRPr="00A31137" w:rsidRDefault="00A31137" w:rsidP="00A31137">
      <w:r w:rsidRPr="00A31137">
        <w:t>Today, however, the Court announces that earlier Courts did not mean their repeated statements that certain categories of expression are "not within the area of constitutionally protected speech." Roth, supra, 354 U.S. at  483. See ante at  383, citing Beauharnais v. Illinois, 343 U.S. 250,  266 (1952); Chaplinsky, supra, 315 U.S. at 571-572; Bose Corp., supra, 466 U.S. at 504; Sable Communications of Cal., Inc. v. FCC, 492 U.S. 115, 124 (1989). The present Court submits that such clear statements "must be taken in context," and are not "literally true." Ante at  383.</w:t>
      </w:r>
    </w:p>
    <w:p w:rsidR="00A31137" w:rsidRPr="00A31137" w:rsidRDefault="00A31137" w:rsidP="00A31137">
      <w:r w:rsidRPr="00A31137">
        <w:t>1992, R.A.V. v. City of St. Paul, 505 U.S. 400</w:t>
      </w:r>
    </w:p>
    <w:p w:rsidR="00A31137" w:rsidRPr="00A31137" w:rsidRDefault="00A31137" w:rsidP="00A31137">
      <w:r w:rsidRPr="00A31137">
        <w:t>To the contrary, those statements meant precisely what they said: the categorical approach is a firmly entrenched part of our First Amendment jurisprudence. Indeed, the Court in Roth reviewed the guarantees of freedom of expression in effect at the time of the ratification of the Constitution and concluded,</w:t>
      </w:r>
    </w:p>
    <w:p w:rsidR="00A31137" w:rsidRPr="00A31137" w:rsidRDefault="00A31137" w:rsidP="00A31137">
      <w:r w:rsidRPr="00A31137">
        <w:t>1992, R.A.V. v. City of St. Paul, 505 U.S. 400</w:t>
      </w:r>
    </w:p>
    <w:p w:rsidR="00A31137" w:rsidRPr="00A31137" w:rsidRDefault="00A31137" w:rsidP="00A31137">
      <w:r w:rsidRPr="00A31137">
        <w:t>[i]n light of this history, it is apparent that the unconditional phrasing of the First Amendment was [505 U.S. 401] not intended to protect every utterance.</w:t>
      </w:r>
    </w:p>
    <w:p w:rsidR="00A31137" w:rsidRPr="00A31137" w:rsidRDefault="00A31137" w:rsidP="00A31137">
      <w:r w:rsidRPr="00A31137">
        <w:t>1992, R.A.V. v. City of St. Paul, 505 U.S. 401</w:t>
      </w:r>
    </w:p>
    <w:p w:rsidR="00A31137" w:rsidRPr="00A31137" w:rsidRDefault="00A31137" w:rsidP="00A31137">
      <w:r w:rsidRPr="00A31137">
        <w:t>354 U.S. at 482-483.</w:t>
      </w:r>
    </w:p>
    <w:p w:rsidR="00A31137" w:rsidRPr="00A31137" w:rsidRDefault="00A31137" w:rsidP="00A31137">
      <w:r w:rsidRPr="00A31137">
        <w:t>1992, R.A.V. v. City of St. Paul, 505 U.S. 401</w:t>
      </w:r>
    </w:p>
    <w:p w:rsidR="00A31137" w:rsidRPr="00A31137" w:rsidRDefault="00A31137" w:rsidP="00A31137">
      <w:r w:rsidRPr="00A31137">
        <w:t>In its decision today, the Court points to "[n]othing…in this Court's precedents warrant[ing] disregard of this longstanding tradition." Burson, 504 U.S. at 216 (SCALIA, J., concurring in judgment); Allied Signal, Inc., supra, at 783. Nevertheless, the majority holds that the First Amendment protects those narrow categories of expression long held to be undeserving of First Amendment protection—at least to the extent that lawmakers may not regulate some fighting words more strictly than others because of their content. The Court announces that such content-based distinctions violate the First Amendment because "the government may not regulate use based on hostility—or favoritism—towards the underlying message expressed." Ante at  386. Should the government want to criminalize certain fighting words, the Court now requires it to criminalize all fighting words.</w:t>
      </w:r>
    </w:p>
    <w:p w:rsidR="00A31137" w:rsidRPr="00A31137" w:rsidRDefault="00A31137" w:rsidP="00A31137">
      <w:r w:rsidRPr="00A31137">
        <w:t>1992, R.A.V. v. City of St. Paul, 505 U.S. 401</w:t>
      </w:r>
    </w:p>
    <w:p w:rsidR="00A31137" w:rsidRPr="00A31137" w:rsidRDefault="00A31137" w:rsidP="00A31137">
      <w:r w:rsidRPr="00A31137">
        <w:t>To borrow a phrase,</w:t>
      </w:r>
    </w:p>
    <w:p w:rsidR="00A31137" w:rsidRPr="00A31137" w:rsidRDefault="00A31137" w:rsidP="00A31137">
      <w:r w:rsidRPr="00A31137">
        <w:t>1992, R.A.V. v. City of St. Paul, 505 U.S. 401</w:t>
      </w:r>
    </w:p>
    <w:p w:rsidR="00A31137" w:rsidRPr="00A31137" w:rsidRDefault="00A31137" w:rsidP="00A31137">
      <w:r w:rsidRPr="00A31137">
        <w:t>Such a simplistic, all-or-nothing-at-all approach to First Amendment protection is at odds with common sense, and with our jurisprudence as well.</w:t>
      </w:r>
    </w:p>
    <w:p w:rsidR="00A31137" w:rsidRPr="00A31137" w:rsidRDefault="00A31137" w:rsidP="00A31137">
      <w:r w:rsidRPr="00A31137">
        <w:t>1992, R.A.V. v. City of St. Paul, 505 U.S. 401</w:t>
      </w:r>
    </w:p>
    <w:p w:rsidR="00A31137" w:rsidRPr="00A31137" w:rsidRDefault="00A31137" w:rsidP="00A31137">
      <w:r w:rsidRPr="00A31137">
        <w:t>Ante at  384. It is inconsistent to hold that the government may proscribe an entire category of speech because the content of that speech is evil, Ferber, supra, 458 U.S. at 763-764, but that the government may not treat a subset of that category differently without violating the First Amendment; the content of the subset is, by definition, worthless and undeserving of constitutional protection.</w:t>
      </w:r>
    </w:p>
    <w:p w:rsidR="00A31137" w:rsidRPr="00A31137" w:rsidRDefault="00A31137" w:rsidP="00A31137">
      <w:r w:rsidRPr="00A31137">
        <w:t>1992, R.A.V. v. City of St. Paul, 505 U.S. 401</w:t>
      </w:r>
    </w:p>
    <w:p w:rsidR="00A31137" w:rsidRPr="00A31137" w:rsidRDefault="00A31137" w:rsidP="00A31137">
      <w:r w:rsidRPr="00A31137">
        <w:t xml:space="preserve">The majority's observation that fighting words are "quite expressive indeed," ante at  384, is no answer. Fighting words are not a means of exchanging views, rallying supporters, or registering a protest; they are directed against individuals to provoke violence or to inflict injury. Chaplinsky, 315 U.S. at  572. Therefore, a ban on all fighting words or on a subset of the fighting words category would restrict only the social evil of hate speech, without creating the danger of driving viewpoints from the marketplace. See ante at  387. [505 U.S. 402] </w:t>
      </w:r>
    </w:p>
    <w:p w:rsidR="00A31137" w:rsidRPr="00A31137" w:rsidRDefault="00A31137" w:rsidP="00A31137">
      <w:r w:rsidRPr="00A31137">
        <w:t>1992, R.A.V. v. City of St. Paul, 505 U.S. 402</w:t>
      </w:r>
    </w:p>
    <w:p w:rsidR="00A31137" w:rsidRPr="00A31137" w:rsidRDefault="00A31137" w:rsidP="00A31137">
      <w:r w:rsidRPr="00A31137">
        <w:t>Therefore, the Court's insistence on inventing its brand of First Amendment underinclusiveness puzzles me. 3 The overbreadth doctrine has the redeeming virtue of attempting to avoid the chilling of protected expression, Broadrick v. Oklahoma, 413 U.S. 601,  612 (1973); Osborne v. Ohio, 495 U.S. 103, 112, n. 8 (1990); Brockett v. Spokane Arcades, Inc., 472 U.S. 491, 503 (1985); Ferber, supra, 458 U.S. at  772, but the Court's new "underbreadth" creation serves no desirable function. Instead, it permits, indeed invites, the continuation of expressive conduct that, in this case, is evil and worthless in First Amendment terms, see Ferber, supra, at 763-764; Chaplinsky, supra, 315 U.S. at 571-572, until the city of St. Paul cures the underbreadth by adding to its ordinance a catch-all phrase such as "and all other fighting words that may constitutionally be subject to this ordinance."</w:t>
      </w:r>
    </w:p>
    <w:p w:rsidR="00A31137" w:rsidRPr="00A31137" w:rsidRDefault="00A31137" w:rsidP="00A31137">
      <w:r w:rsidRPr="00A31137">
        <w:t>1992, R.A.V. v. City of St. Paul, 505 U.S. 402</w:t>
      </w:r>
    </w:p>
    <w:p w:rsidR="00A31137" w:rsidRPr="00A31137" w:rsidRDefault="00A31137" w:rsidP="00A31137">
      <w:r w:rsidRPr="00A31137">
        <w:t xml:space="preserve">Any contribution of this holding to First Amendment jurisprudence is surely a negative one, since it necessarily signals that expressions of violence, such as the message of intimidation and racial hatred conveyed by burning a cross on someone's lawn, are of sufficient value to outweigh the social interest in order and morality that has traditionally placed such fighting words outside the First Amendment. 4 Indeed, by characterizing fighting words as a form of "debate," ante at  392, the majority legitimates hate speech as a form of public discussion. [505 U.S. 403] </w:t>
      </w:r>
    </w:p>
    <w:p w:rsidR="00A31137" w:rsidRPr="00A31137" w:rsidRDefault="00A31137" w:rsidP="00A31137">
      <w:r w:rsidRPr="00A31137">
        <w:t>1992, R.A.V. v. City of St. Paul, 505 U.S. 403</w:t>
      </w:r>
    </w:p>
    <w:p w:rsidR="00A31137" w:rsidRPr="00A31137" w:rsidRDefault="00A31137" w:rsidP="00A31137">
      <w:r w:rsidRPr="00A31137">
        <w:t>Furthermore, the Court obscures the line between speech that could be regulated freely on the basis of content (i.e., the narrow categories of expression falling outside the First Amendment) and that which could be regulated on the basis of content only upon a showing of a compelling state interest (i.e., all remaining expression). By placing fighting words, which the Court has long held to be valueless, on at least equal constitutional footing with political discourse and other forms of speech that we have deemed to have the greatest social value, the majority devalues the latter category. See Burson v. Freeman, supra, at 196; Eu v. San Francisco County Democratic Central Comm., 489 U.S. 214, 222-223 (1989).</w:t>
      </w:r>
    </w:p>
    <w:p w:rsidR="00A31137" w:rsidRPr="00A31137" w:rsidRDefault="00A31137" w:rsidP="00A31137">
      <w:r w:rsidRPr="00A31137">
        <w:t>B</w:t>
      </w:r>
    </w:p>
    <w:p w:rsidR="00A31137" w:rsidRPr="00A31137" w:rsidRDefault="00A31137" w:rsidP="00A31137">
      <w:r w:rsidRPr="00A31137">
        <w:t>1992, R.A.V. v. City of St. Paul, 505 U.S. 403</w:t>
      </w:r>
    </w:p>
    <w:p w:rsidR="00A31137" w:rsidRPr="00A31137" w:rsidRDefault="00A31137" w:rsidP="00A31137">
      <w:r w:rsidRPr="00A31137">
        <w:t>In a second break with precedent, the Court refuses to sustain the ordinance even though it would survive under the strict scrutiny applicable to other protected expression. Assuming, arguendo, that the St. Paul ordinance is a content-based regulation of protected expression, it nevertheless would pass First Amendment review under settled law upon a showing that the regulation "'is necessary to serve a compelling state interest and is narrowly drawn to achieve that end.'" Simon &amp; Schuster, Inc. v. New York Crime Victims Board, 502 U.S. 105,  118 (1991) (quoting Arkansas Writers' Project, Inc., v. Ragland, 481 U.S. 221, 231 (1987)). St. Paul has urged that its ordinance, in the words of the majority, "helps to ensure the basic human rights of members of groups that have historically been subjected to discrimination…. " Ante at  395. The Court expressly concedes that this interest is compelling, and is promoted by the ordinance. Ibid. Nevertheless, the Court treats strict scrutiny analysis as irrelevant to the constitutionality of the legislation:</w:t>
      </w:r>
    </w:p>
    <w:p w:rsidR="00A31137" w:rsidRPr="00A31137" w:rsidRDefault="00A31137" w:rsidP="00A31137">
      <w:r w:rsidRPr="00A31137">
        <w:t>1992, R.A.V. v. City of St. Paul, 505 U.S. 403</w:t>
      </w:r>
    </w:p>
    <w:p w:rsidR="00A31137" w:rsidRPr="00A31137" w:rsidRDefault="00A31137" w:rsidP="00A31137">
      <w:r w:rsidRPr="00A31137">
        <w:t>The dispositive question…is whether content discrimination is reasonably necessary in order to achieve St. Paul's compelling interests; it plainly is not. An ordinance not [505 U.S. 404] limited to the favored topics would have precisely the same beneficial effect.</w:t>
      </w:r>
    </w:p>
    <w:p w:rsidR="00A31137" w:rsidRPr="00A31137" w:rsidRDefault="00A31137" w:rsidP="00A31137">
      <w:r w:rsidRPr="00A31137">
        <w:t>1992, R.A.V. v. City of St. Paul, 505 U.S. 404</w:t>
      </w:r>
    </w:p>
    <w:p w:rsidR="00A31137" w:rsidRPr="00A31137" w:rsidRDefault="00A31137" w:rsidP="00A31137">
      <w:r w:rsidRPr="00A31137">
        <w:t>Ibid. Under the majority's view, a narrowly drawn, content-based ordinance could never pass constitutional muster if the object of that legislation could be accomplished by banning a wider category of speech. This appears to be a general renunciation of strict scrutiny review, a fundamental tool of First Amendment analysis. 5</w:t>
      </w:r>
    </w:p>
    <w:p w:rsidR="00A31137" w:rsidRPr="00A31137" w:rsidRDefault="00A31137" w:rsidP="00A31137">
      <w:r w:rsidRPr="00A31137">
        <w:t>1992, R.A.V. v. City of St. Paul, 505 U.S. 404</w:t>
      </w:r>
    </w:p>
    <w:p w:rsidR="00A31137" w:rsidRPr="00A31137" w:rsidRDefault="00A31137" w:rsidP="00A31137">
      <w:r w:rsidRPr="00A31137">
        <w:t>This abandonment of the doctrine is inexplicable in light of our decision in Burson v. Freeman, supra, which was handed down just a month ago. 6 In Burson, seven of the eight participating members of the Court agreed that the strict scrutiny standard applied in a case involving a First Amendment challenge to a content-based statute. See id. at 198 (plurality opinion); id. at 217 (STEVENS, J., [505 U.S. 405] dissenting). 7 The statute at issue prohibited the solicitation of votes and the display or distribution of campaign materials within 100 feet of the entrance to a polling place. The plurality concluded that the legislation survived strict scrutiny because the State had asserted a compelling interest in regulating electioneering near polling places, and because the statute at issue was narrowly tailored to accomplish that goal. Id. at 208-210.</w:t>
      </w:r>
    </w:p>
    <w:p w:rsidR="00A31137" w:rsidRPr="00A31137" w:rsidRDefault="00A31137" w:rsidP="00A31137">
      <w:r w:rsidRPr="00A31137">
        <w:t>1992, R.A.V. v. City of St. Paul, 505 U.S. 405</w:t>
      </w:r>
    </w:p>
    <w:p w:rsidR="00A31137" w:rsidRPr="00A31137" w:rsidRDefault="00A31137" w:rsidP="00A31137">
      <w:r w:rsidRPr="00A31137">
        <w:t>Significantly, the statute in Burson did not proscribe all speech near polling places; it restricted only political speech. Id. at 197. The Burson plurality, which included THE CHIEF JUSTICE and JUSTICE KENNEDY, concluded that the distinction between types of speech required application of strict scrutiny, but it squarely rejected the proposition that the legislation failed First Amendment review because it could have been drafted in broader, content-neutral terms:</w:t>
      </w:r>
    </w:p>
    <w:p w:rsidR="00A31137" w:rsidRPr="00A31137" w:rsidRDefault="00A31137" w:rsidP="00A31137">
      <w:r w:rsidRPr="00A31137">
        <w:t>1992, R.A.V. v. City of St. Paul, 505 U.S. 405</w:t>
      </w:r>
    </w:p>
    <w:p w:rsidR="00A31137" w:rsidRPr="00A31137" w:rsidRDefault="00A31137" w:rsidP="00A31137">
      <w:r w:rsidRPr="00A31137">
        <w:t>States adopt laws to address the problems that confront them. The First Amendment does not require States to regulate for problems that do not exist.</w:t>
      </w:r>
    </w:p>
    <w:p w:rsidR="00A31137" w:rsidRPr="00A31137" w:rsidRDefault="00A31137" w:rsidP="00A31137">
      <w:r w:rsidRPr="00A31137">
        <w:t>1992, R.A.V. v. City of St. Paul, 505 U.S. 405</w:t>
      </w:r>
    </w:p>
    <w:p w:rsidR="00A31137" w:rsidRPr="00A31137" w:rsidRDefault="00A31137" w:rsidP="00A31137">
      <w:r w:rsidRPr="00A31137">
        <w:t>Id. at 207 (emphasis added). This reasoning is in direct conflict with the majority's analysis in the present case, which leaves two options to lawmakers attempting to regulate expressions of violence: (1) enact a sweeping prohibition on an entire class of speech (thereby requiring "regulat[ion] for problems that do not exist"); or (2) not legislate at all.</w:t>
      </w:r>
    </w:p>
    <w:p w:rsidR="00A31137" w:rsidRPr="00A31137" w:rsidRDefault="00A31137" w:rsidP="00A31137">
      <w:r w:rsidRPr="00A31137">
        <w:t>1992, R.A.V. v. City of St. Paul, 505 U.S. 405</w:t>
      </w:r>
    </w:p>
    <w:p w:rsidR="00A31137" w:rsidRPr="00A31137" w:rsidRDefault="00A31137" w:rsidP="00A31137">
      <w:r w:rsidRPr="00A31137">
        <w:t>Had the analysis adopted by the majority in the present case been applied in Burson, the challenged election law would have failed constitutional review, for its content-based distinction between political and nonpolitical speech could not have been characterized as "reasonably necessary," ante [505 U.S. 406] at  395, to achieve the State's interest in regulating polling place premises. 8</w:t>
      </w:r>
    </w:p>
    <w:p w:rsidR="00A31137" w:rsidRPr="00A31137" w:rsidRDefault="00A31137" w:rsidP="00A31137">
      <w:r w:rsidRPr="00A31137">
        <w:t>1992, R.A.V. v. City of St. Paul, 505 U.S. 406</w:t>
      </w:r>
    </w:p>
    <w:p w:rsidR="00A31137" w:rsidRPr="00A31137" w:rsidRDefault="00A31137" w:rsidP="00A31137">
      <w:r w:rsidRPr="00A31137">
        <w:t>As with its rejection of the Court's categorical analysis, the majority offers no reasoned basis for discarding our firmly established strict scrutiny analysis at this time. The majority appears to believe that its doctrinal revisionism is necessary to prevent our elected lawmakers from prohibiting libel against members of one political party, but not another, and from enacting similarly preposterous laws. Ante at  384. The majority is misguided.</w:t>
      </w:r>
    </w:p>
    <w:p w:rsidR="00A31137" w:rsidRPr="00A31137" w:rsidRDefault="00A31137" w:rsidP="00A31137">
      <w:r w:rsidRPr="00A31137">
        <w:t>1992, R.A.V. v. City of St. Paul, 505 U.S. 406</w:t>
      </w:r>
    </w:p>
    <w:p w:rsidR="00A31137" w:rsidRPr="00A31137" w:rsidRDefault="00A31137" w:rsidP="00A31137">
      <w:r w:rsidRPr="00A31137">
        <w:t xml:space="preserve">Although the First Amendment does not apply to categories of unprotected speech, such as fighting words, the Equal Protection Clause requires that the regulation of unprotected speech be rationally related to a legitimate government interest. A defamation statute that drew distinctions on the basis of political affiliation or "an ordinance prohibiting only those legally obscene works that contain criticism of the city government," ibid., would unquestionably fail rational basis review. 9 [505 U.S. 407] </w:t>
      </w:r>
    </w:p>
    <w:p w:rsidR="00A31137" w:rsidRPr="00A31137" w:rsidRDefault="00A31137" w:rsidP="00A31137">
      <w:r w:rsidRPr="00A31137">
        <w:t>1992, R.A.V. v. City of St. Paul, 505 U.S. 407</w:t>
      </w:r>
    </w:p>
    <w:p w:rsidR="00A31137" w:rsidRPr="00A31137" w:rsidRDefault="00A31137" w:rsidP="00A31137">
      <w:r w:rsidRPr="00A31137">
        <w:t>Turning to the St. Paul ordinance and assuming arguendo, as the majority does, that the ordinance is not constitutionally overbroad (but see Part II, infra), there is no question that it would pass equal protection review. The ordinance proscribes a subset of "fighting words," those that injure "on the basis of race, color, creed, religion or gender." This selective regulation reflects the City's judgment that harms based on race, color, creed, religion, or gender are more pressing public concerns than the harms caused by other fighting words. In light of our Nation's long and painful experience with discrimination, this determination is plainly reasonable. Indeed, as the majority concedes, the interest is compelling. Ante at  395.</w:t>
      </w:r>
    </w:p>
    <w:p w:rsidR="00A31137" w:rsidRPr="00A31137" w:rsidRDefault="00A31137" w:rsidP="00A31137">
      <w:r w:rsidRPr="00A31137">
        <w:t>C</w:t>
      </w:r>
    </w:p>
    <w:p w:rsidR="00A31137" w:rsidRPr="00A31137" w:rsidRDefault="00A31137" w:rsidP="00A31137">
      <w:r w:rsidRPr="00A31137">
        <w:t>1992, R.A.V. v. City of St. Paul, 505 U.S. 407</w:t>
      </w:r>
    </w:p>
    <w:p w:rsidR="00A31137" w:rsidRPr="00A31137" w:rsidRDefault="00A31137" w:rsidP="00A31137">
      <w:r w:rsidRPr="00A31137">
        <w:t>The Court has patched up its argument with an apparently nonexhaustive list of ad hoc exceptions, in what can be viewed either as an attempt to confine the effects of its decision to the facts of this case, see post at  415 (BLACKMUN, J., concurring in judgment), or as an effort to anticipate some of the questions that will arise from its radical revision of First Amendment law.</w:t>
      </w:r>
    </w:p>
    <w:p w:rsidR="00A31137" w:rsidRPr="00A31137" w:rsidRDefault="00A31137" w:rsidP="00A31137">
      <w:r w:rsidRPr="00A31137">
        <w:t>1992, R.A.V. v. City of St. Paul, 505 U.S. 407</w:t>
      </w:r>
    </w:p>
    <w:p w:rsidR="00A31137" w:rsidRPr="00A31137" w:rsidRDefault="00A31137" w:rsidP="00A31137">
      <w:r w:rsidRPr="00A31137">
        <w:t>For instance, if the majority were to give general application to the rule on which it decides this case, today's decision would call into question the constitutionality of the statute making it illegal to threaten the life of the President. 18 U.S.C. § 871. See Watts v. United States, 394 U.S. 705 (1969) (per curiam). Surely, this statute, by singling out certain threats, incorporates a content-based distinction; it indicates that the Government especially disfavors threats against the President, as opposed to threats against all others. 10 [505 U.S. 408] See ante at 391. But because the Government could prohibit all threats, and not just those directed against the President, under the Court's theory, the compelling reasons justifying the enactment of special legislation to safeguard the President would be irrelevant, and the statute would fail First Amendment review.</w:t>
      </w:r>
    </w:p>
    <w:p w:rsidR="00A31137" w:rsidRPr="00A31137" w:rsidRDefault="00A31137" w:rsidP="00A31137">
      <w:r w:rsidRPr="00A31137">
        <w:t>1992, R.A.V. v. City of St. Paul, 505 U.S. 408</w:t>
      </w:r>
    </w:p>
    <w:p w:rsidR="00A31137" w:rsidRPr="00A31137" w:rsidRDefault="00A31137" w:rsidP="00A31137">
      <w:r w:rsidRPr="00A31137">
        <w:t>To save the statute, the majority has engrafted the following exception onto its newly announced First Amendment rule: content-based distinctions may be drawn within an unprotected category of speech if the basis for the distinctions is "the very reason the entire class of speech at issue is proscribable." Ante at  388. Thus, the argument goes, the statute making it illegal to threaten the life of the President is constitutional,</w:t>
      </w:r>
    </w:p>
    <w:p w:rsidR="00A31137" w:rsidRPr="00A31137" w:rsidRDefault="00A31137" w:rsidP="00A31137">
      <w:r w:rsidRPr="00A31137">
        <w:t>1992, R.A.V. v. City of St. Paul, 505 U.S. 408</w:t>
      </w:r>
    </w:p>
    <w:p w:rsidR="00A31137" w:rsidRPr="00A31137" w:rsidRDefault="00A31137" w:rsidP="00A31137">
      <w:r w:rsidRPr="00A31137">
        <w:t>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w:t>
      </w:r>
    </w:p>
    <w:p w:rsidR="00A31137" w:rsidRPr="00A31137" w:rsidRDefault="00A31137" w:rsidP="00A31137">
      <w:r w:rsidRPr="00A31137">
        <w:t>1992, R.A.V. v. City of St. Paul, 505 U.S. 408</w:t>
      </w:r>
    </w:p>
    <w:p w:rsidR="00A31137" w:rsidRPr="00A31137" w:rsidRDefault="00A31137" w:rsidP="00A31137">
      <w:r w:rsidRPr="00A31137">
        <w:t>Ibid.</w:t>
      </w:r>
    </w:p>
    <w:p w:rsidR="00A31137" w:rsidRPr="00A31137" w:rsidRDefault="00A31137" w:rsidP="00A31137">
      <w:r w:rsidRPr="00A31137">
        <w:t>1992, R.A.V. v. City of St. Paul, 505 U.S. 408</w:t>
      </w:r>
    </w:p>
    <w:p w:rsidR="00A31137" w:rsidRPr="00A31137" w:rsidRDefault="00A31137" w:rsidP="00A31137">
      <w:r w:rsidRPr="00A31137">
        <w:t>The exception swallows the majority's rule. Certainly, it should apply to the St. Paul ordinance, since</w:t>
      </w:r>
    </w:p>
    <w:p w:rsidR="00A31137" w:rsidRPr="00A31137" w:rsidRDefault="00A31137" w:rsidP="00A31137">
      <w:r w:rsidRPr="00A31137">
        <w:t>1992, R.A.V. v. City of St. Paul, 505 U.S. 408</w:t>
      </w:r>
    </w:p>
    <w:p w:rsidR="00A31137" w:rsidRPr="00A31137" w:rsidRDefault="00A31137" w:rsidP="00A31137">
      <w:r w:rsidRPr="00A31137">
        <w:t>the reasons why [fighting words] are outside the First Amendment…have special force when applied to [groups that have historically been subjected to discrimination].</w:t>
      </w:r>
    </w:p>
    <w:p w:rsidR="00A31137" w:rsidRPr="00A31137" w:rsidRDefault="00A31137" w:rsidP="00A31137">
      <w:r w:rsidRPr="00A31137">
        <w:t>1992, R.A.V. v. City of St. Paul, 505 U.S. 408</w:t>
      </w:r>
    </w:p>
    <w:p w:rsidR="00A31137" w:rsidRPr="00A31137" w:rsidRDefault="00A31137" w:rsidP="00A31137">
      <w:r w:rsidRPr="00A31137">
        <w:t>To avoid the result of its own analysis, the Court suggests that fighting words are simply a mode of communication, rather than a content-based category, and that the St. Paul ordinance has not singled out a particularly objectionable mode of communication. Ante at  386,  393. Again, the majority confuses the issue. A prohibition on fighting words is not a time, place, or manner restriction; it is a ban on a class of speech that conveys an overriding message of personal injury and imminent violence, Chaplinsky, supra, 315 U.S. at  572, a message that is at its ugliest when directed against groups [505 U.S. 409] that have long been the targets of discrimination. Accordingly, the ordinance falls within the first exception to the majority's theory.</w:t>
      </w:r>
    </w:p>
    <w:p w:rsidR="00A31137" w:rsidRPr="00A31137" w:rsidRDefault="00A31137" w:rsidP="00A31137">
      <w:r w:rsidRPr="00A31137">
        <w:t>1992, R.A.V. v. City of St. Paul, 505 U.S. 409</w:t>
      </w:r>
    </w:p>
    <w:p w:rsidR="00A31137" w:rsidRPr="00A31137" w:rsidRDefault="00A31137" w:rsidP="00A31137">
      <w:r w:rsidRPr="00A31137">
        <w:t>As its second exception, the Court posits that certain content-based regulations will survive under the new regime if the regulated subclass "happens to be associated with particular 'secondary effects' of the speech…," ante at  389, which the majority treats as encompassing instances in which "words can…violate laws directed not against speech, but against conduct…. " Ibid. 11 Again, there is a simple explanation for the Court's eagerness to craft an exception to its new First Amendment rule: under the general rule the Court applies in this case, Title VII hostile work environment claims would suddenly be unconstitutional.</w:t>
      </w:r>
    </w:p>
    <w:p w:rsidR="00A31137" w:rsidRPr="00A31137" w:rsidRDefault="00A31137" w:rsidP="00A31137">
      <w:r w:rsidRPr="00A31137">
        <w:t>1992, R.A.V. v. City of St. Paul, 505 U.S. 409</w:t>
      </w:r>
    </w:p>
    <w:p w:rsidR="00A31137" w:rsidRPr="00A31137" w:rsidRDefault="00A31137" w:rsidP="00A31137">
      <w:r w:rsidRPr="00A31137">
        <w:t>Title VII makes it unlawful to discriminate "because of [an] individual's race, color, religion, sex, or national origin," 42 U.S.C. § 2000e-2(a)(1), and the regulations covering hostile workplace claims forbid "sexual harassment," which includes "[u]nwelcome sexual advances, requests for sexual favors, and other verbal or physical conduct of a sexual nature" which creates "an intimidating, hostile, or offensive working environment." 29 CFR § 1604.11(a) (1991). The regulation does not prohibit workplace harassment generally; it focuses on what the majority would characterize as the "disfavored topi[c]" of sexual harassment. Ante at  391. In this way, Title VII is similar to the St. Paul ordinance that the majority condemns because it "impose[s] special prohibitions on those speakers who express views on disfavored subjects." Ibid. Under the broad principle the Court uses to decide the present case, [505 U.S. 410] hostile work environment claims based on sexual harassment should fail First Amendment review; because a general ban on harassment in the workplace would cover the problem of sexual harassment, any attempt to proscribe the subcategory of sexually harassing expression would violate the First Amendment.</w:t>
      </w:r>
    </w:p>
    <w:p w:rsidR="00A31137" w:rsidRPr="00A31137" w:rsidRDefault="00A31137" w:rsidP="00A31137">
      <w:r w:rsidRPr="00A31137">
        <w:t>1992, R.A.V. v. City of St. Paul, 505 U.S. 410</w:t>
      </w:r>
    </w:p>
    <w:p w:rsidR="00A31137" w:rsidRPr="00A31137" w:rsidRDefault="00A31137" w:rsidP="00A31137">
      <w:r w:rsidRPr="00A31137">
        <w:t>Hence, the majority's second exception, which the Court indicates would insulate a Title VII hostile work environment claim from an underinclusiveness challenge because</w:t>
      </w:r>
    </w:p>
    <w:p w:rsidR="00A31137" w:rsidRPr="00A31137" w:rsidRDefault="00A31137" w:rsidP="00A31137">
      <w:r w:rsidRPr="00A31137">
        <w:t>1992, R.A.V. v. City of St. Paul, 505 U.S. 410</w:t>
      </w:r>
    </w:p>
    <w:p w:rsidR="00A31137" w:rsidRPr="00A31137" w:rsidRDefault="00A31137" w:rsidP="00A31137">
      <w:r w:rsidRPr="00A31137">
        <w:t>sexually derogatory "fighting words"…may produce a violation of Title VII's general prohibition against sexual discrimination in employment practices.</w:t>
      </w:r>
    </w:p>
    <w:p w:rsidR="00A31137" w:rsidRPr="00A31137" w:rsidRDefault="00A31137" w:rsidP="00A31137">
      <w:r w:rsidRPr="00A31137">
        <w:t>1992, R.A.V. v. City of St. Paul, 505 U.S. 410</w:t>
      </w:r>
    </w:p>
    <w:p w:rsidR="00A31137" w:rsidRPr="00A31137" w:rsidRDefault="00A31137" w:rsidP="00A31137">
      <w:r w:rsidRPr="00A31137">
        <w:t>Ante at  389. But application of this exception to a hostile work environment claim does not hold up under close examination.</w:t>
      </w:r>
    </w:p>
    <w:p w:rsidR="00A31137" w:rsidRPr="00A31137" w:rsidRDefault="00A31137" w:rsidP="00A31137">
      <w:r w:rsidRPr="00A31137">
        <w:t>1992, R.A.V. v. City of St. Paul, 505 U.S. 410</w:t>
      </w:r>
    </w:p>
    <w:p w:rsidR="00A31137" w:rsidRPr="00A31137" w:rsidRDefault="00A31137" w:rsidP="00A31137">
      <w:r w:rsidRPr="00A31137">
        <w:t>First, the hostile work environment regulation is not keyed to the presence or absence of an economic quid pro quo, Meritor Savings Bank v. Vinson, 477 U.S. 57,  65 (1986), but to the impact of the speech on the victimized worker. Consequently, the regulation would no more fall within a secondary effects exception than does the St. Paul ordinance. Ante at  394. Second, the majority's focus on the statute's general prohibition on discrimination glosses over the language of the specific regulation governing hostile working environment, which reaches beyond any "incidental" effect on speech. United States v. O'Brien, 391 U.S. 367,  376 (1968). If the relationship between the broader statute and specific regulation is sufficient to bring the Title VII regulation within O'Brien, then all St. Paul need do to bring its ordinance within this exception is to add some prefatory language concerning discrimination generally.</w:t>
      </w:r>
    </w:p>
    <w:p w:rsidR="00A31137" w:rsidRPr="00A31137" w:rsidRDefault="00A31137" w:rsidP="00A31137">
      <w:r w:rsidRPr="00A31137">
        <w:t>1992, R.A.V. v. City of St. Paul, 505 U.S. 410</w:t>
      </w:r>
    </w:p>
    <w:p w:rsidR="00A31137" w:rsidRPr="00A31137" w:rsidRDefault="00A31137" w:rsidP="00A31137">
      <w:r w:rsidRPr="00A31137">
        <w:t>As the third exception to the Court's theory for deciding this case, the majority concocts a catchall exclusion to protect against unforeseen problems, a concern that is heightened here given the lack of briefing on the majority's decisional theory. This final exception would apply in cases in which "there is no realistic possibility that official suppression of ideas is afoot." Ante at 390. As I have demonstrated, [505 U.S. 411] this case does not concern the official suppression of ideas. See supra at 401. The majority discards this notion out-of-hand. Ante at 395.</w:t>
      </w:r>
    </w:p>
    <w:p w:rsidR="00A31137" w:rsidRPr="00A31137" w:rsidRDefault="00A31137" w:rsidP="00A31137">
      <w:r w:rsidRPr="00A31137">
        <w:t>1992, R.A.V. v. City of St. Paul, 505 U.S. 411</w:t>
      </w:r>
    </w:p>
    <w:p w:rsidR="00A31137" w:rsidRPr="00A31137" w:rsidRDefault="00A31137" w:rsidP="00A31137">
      <w:r w:rsidRPr="00A31137">
        <w:t>As I see it, the Court's theory does not work, and will do nothing more than confuse the law. Its selection of this case to rewrite First Amendment law is particularly inexplicable, because the whole problem could have been avoided by deciding this case under settled First Amendment principles.</w:t>
      </w:r>
    </w:p>
    <w:p w:rsidR="00A31137" w:rsidRPr="00A31137" w:rsidRDefault="00A31137" w:rsidP="00A31137">
      <w:r w:rsidRPr="00A31137">
        <w:t>II</w:t>
      </w:r>
    </w:p>
    <w:p w:rsidR="00A31137" w:rsidRPr="00A31137" w:rsidRDefault="00A31137" w:rsidP="00A31137">
      <w:r w:rsidRPr="00A31137">
        <w:t>1992, R.A.V. v. City of St. Paul, 505 U.S. 411</w:t>
      </w:r>
    </w:p>
    <w:p w:rsidR="00A31137" w:rsidRPr="00A31137" w:rsidRDefault="00A31137" w:rsidP="00A31137">
      <w:r w:rsidRPr="00A31137">
        <w:t>Although I disagree with the Court's analysis, I do agree with its conclusion: the St. Paul ordinance is unconstitutional. However, I would decide the case on overbreadth grounds.</w:t>
      </w:r>
    </w:p>
    <w:p w:rsidR="00A31137" w:rsidRPr="00A31137" w:rsidRDefault="00A31137" w:rsidP="00A31137">
      <w:r w:rsidRPr="00A31137">
        <w:t>1992, R.A.V. v. City of St. Paul, 505 U.S. 411</w:t>
      </w:r>
    </w:p>
    <w:p w:rsidR="00A31137" w:rsidRPr="00A31137" w:rsidRDefault="00A31137" w:rsidP="00A31137">
      <w:r w:rsidRPr="00A31137">
        <w:t>We have emphasized time and again that overbreadth doctrine is an exception to the established principle that</w:t>
      </w:r>
    </w:p>
    <w:p w:rsidR="00A31137" w:rsidRPr="00A31137" w:rsidRDefault="00A31137" w:rsidP="00A31137">
      <w:r w:rsidRPr="00A31137">
        <w:t>1992, R.A.V. v. City of St. Paul, 505 U.S. 411</w:t>
      </w:r>
    </w:p>
    <w:p w:rsidR="00A31137" w:rsidRPr="00A31137" w:rsidRDefault="00A31137" w:rsidP="00A31137">
      <w:r w:rsidRPr="00A31137">
        <w:t>a person to whom a statute may constitutionally be applied will not be heard to challenge that statute on the ground that it may conceivably be applied unconstitutionally to others, in other situations not before the Court.</w:t>
      </w:r>
    </w:p>
    <w:p w:rsidR="00A31137" w:rsidRPr="00A31137" w:rsidRDefault="00A31137" w:rsidP="00A31137">
      <w:r w:rsidRPr="00A31137">
        <w:t>1992, R.A.V. v. City of St. Paul, 505 U.S. 411</w:t>
      </w:r>
    </w:p>
    <w:p w:rsidR="00A31137" w:rsidRPr="00A31137" w:rsidRDefault="00A31137" w:rsidP="00A31137">
      <w:r w:rsidRPr="00A31137">
        <w:t>Broadrick v. Oklahoma, 413 U.S. at  610; Brockett v. Spokane Arcades, Inc., 472 U.S. at 503-504. A defendant being prosecuted for speech or expressive conduct may challenge the law on its face if it reaches protected expression, even when that person's activities are not protected by the First Amendment. This is because</w:t>
      </w:r>
    </w:p>
    <w:p w:rsidR="00A31137" w:rsidRPr="00A31137" w:rsidRDefault="00A31137" w:rsidP="00A31137">
      <w:r w:rsidRPr="00A31137">
        <w:t>1992, R.A.V. v. City of St. Paul, 505 U.S. 411</w:t>
      </w:r>
    </w:p>
    <w:p w:rsidR="00A31137" w:rsidRPr="00A31137" w:rsidRDefault="00A31137" w:rsidP="00A31137">
      <w:r w:rsidRPr="00A31137">
        <w:t>the possible harm to society in permitting some unprotected speech to go unpunished is outweighed by the possibility that protected speech of others may be muted.</w:t>
      </w:r>
    </w:p>
    <w:p w:rsidR="00A31137" w:rsidRPr="00A31137" w:rsidRDefault="00A31137" w:rsidP="00A31137">
      <w:r w:rsidRPr="00A31137">
        <w:t>1992, R.A.V. v. City of St. Paul, 505 U.S. 411</w:t>
      </w:r>
    </w:p>
    <w:p w:rsidR="00A31137" w:rsidRPr="00A31137" w:rsidRDefault="00A31137" w:rsidP="00A31137">
      <w:r w:rsidRPr="00A31137">
        <w:t>Broadrick, supra, 413 U.S. at  612; Osborne v. Ohio, 495 U.S. at 112, n. 8; New York v. Ferber, supra, 458 U.S. at 768-769; Schaumburg v. Citizens for a Better Environment, 444 U.S. 620, 634 (1980); Gooding v. Wilson, 405 U.S. 518,  521 (1972).</w:t>
      </w:r>
    </w:p>
    <w:p w:rsidR="00A31137" w:rsidRPr="00A31137" w:rsidRDefault="00A31137" w:rsidP="00A31137">
      <w:r w:rsidRPr="00A31137">
        <w:t>1992, R.A.V. v. City of St. Paul, 505 U.S. 411</w:t>
      </w:r>
    </w:p>
    <w:p w:rsidR="00A31137" w:rsidRPr="00A31137" w:rsidRDefault="00A31137" w:rsidP="00A31137">
      <w:r w:rsidRPr="00A31137">
        <w:t>However, we have consistently held that, because overbreadth analysis is "strong medicine," it may be invoked to strike an entire statute only when the overbreadth of the statute is not only "real, but substantial as well, judged in relation to the statute's plainly legitimate sweep," Broadrick, [505 U.S. 412] 413 U.S. at 615, and when the statute is not susceptible to limitation or partial invalidation. Id. at  613; Board of Airport Comm'rs of Los Angeles v. Jews for Jesus, Inc., 482 U.S. 569, 574 (1987).</w:t>
      </w:r>
      <w:r w:rsidRPr="00A31137">
        <w:cr/>
      </w:r>
    </w:p>
    <w:p w:rsidR="00A31137" w:rsidRPr="00A31137" w:rsidRDefault="00A31137" w:rsidP="00A31137">
      <w:r w:rsidRPr="00A31137">
        <w:t>1992, R.A.V. v. City of St. Paul, 505 U.S. 412</w:t>
      </w:r>
    </w:p>
    <w:p w:rsidR="00A31137" w:rsidRPr="00A31137" w:rsidRDefault="00A31137" w:rsidP="00A31137">
      <w:r w:rsidRPr="00A31137">
        <w:t>When a federal court is dealing with a federal statute challenged as overbroad, it should…construe the statute to avoid constitutional problems, if the statute is subject to a limiting construction.</w:t>
      </w:r>
    </w:p>
    <w:p w:rsidR="00A31137" w:rsidRPr="00A31137" w:rsidRDefault="00A31137" w:rsidP="00A31137">
      <w:r w:rsidRPr="00A31137">
        <w:t>1992, R.A.V. v. City of St. Paul, 505 U.S. 412</w:t>
      </w:r>
    </w:p>
    <w:p w:rsidR="00A31137" w:rsidRPr="00A31137" w:rsidRDefault="00A31137" w:rsidP="00A31137">
      <w:r w:rsidRPr="00A31137">
        <w:t>Ferber, 458 U.S. at  769, n. 24. Of course, "[a] state court is also free to deal with a state statute in the same way." Ibid. See, e.g., Osborne, 495 U.S. at 113-114.</w:t>
      </w:r>
    </w:p>
    <w:p w:rsidR="00A31137" w:rsidRPr="00A31137" w:rsidRDefault="00A31137" w:rsidP="00A31137">
      <w:r w:rsidRPr="00A31137">
        <w:t>1992, R.A.V. v. City of St. Paul, 505 U.S. 412</w:t>
      </w:r>
    </w:p>
    <w:p w:rsidR="00A31137" w:rsidRPr="00A31137" w:rsidRDefault="00A31137" w:rsidP="00A31137">
      <w:r w:rsidRPr="00A31137">
        <w:t>Petitioner contends that the St. Paul ordinance is not susceptible to a narrowing construction, and that the ordinance therefore should be considered as written, and not as construed by the Minnesota Supreme Court. Petitioner is wrong. Where a state court has interpreted a provision of state law, we cannot ignore that interpretation, even if it is not one that we would have reached if we were construing the statute in the first instance. Ibid; Kolender v. Lawson, 461 U.S. 352, 355 (1983); Hoffman Estates v. Flipside, Hoffman Estates, Inc., 455 U.S. 489, 494, n. 5 (1982). 12</w:t>
      </w:r>
    </w:p>
    <w:p w:rsidR="00A31137" w:rsidRPr="00A31137" w:rsidRDefault="00A31137" w:rsidP="00A31137">
      <w:r w:rsidRPr="00A31137">
        <w:t>1992, R.A.V. v. City of St. Paul, 505 U.S. 412</w:t>
      </w:r>
    </w:p>
    <w:p w:rsidR="00A31137" w:rsidRPr="00A31137" w:rsidRDefault="00A31137" w:rsidP="00A31137">
      <w:r w:rsidRPr="00A31137">
        <w:t>Of course, the mere presence of a state court interpretation does not insulate a statute from overbreadth review. We have stricken legislation when the construction supplied by the state court failed to cure the overbreadth problem. [505 U.S. 413] See, e.g., Lewis v. City of New Orleans, 415 U.S. 130, 132-133 (1974); Gooding, supra, 405 U.S. at 524-525. But in such cases, we have looked to the statute as construed in determining whether it contravened the First Amendment. Here, the Minnesota Supreme Court has provided an authoritative construction of the St. Paul antibias ordinance. Consideration of petitioner's overbreadth claim must be based on that interpretation.</w:t>
      </w:r>
    </w:p>
    <w:p w:rsidR="00A31137" w:rsidRPr="00A31137" w:rsidRDefault="00A31137" w:rsidP="00A31137">
      <w:r w:rsidRPr="00A31137">
        <w:t>1992, R.A.V. v. City of St. Paul, 505 U.S. 413</w:t>
      </w:r>
    </w:p>
    <w:p w:rsidR="00A31137" w:rsidRPr="00A31137" w:rsidRDefault="00A31137" w:rsidP="00A31137">
      <w:r w:rsidRPr="00A31137">
        <w:t>I agree with petitioner that the ordinance is invalid on its face. Although the ordinance, as construed, reaches categories of speech that are constitutionally unprotected, it also criminalizes a substantial amount of expression that—however repugnant—is shielded by the First Amendment.</w:t>
      </w:r>
    </w:p>
    <w:p w:rsidR="00A31137" w:rsidRPr="00A31137" w:rsidRDefault="00A31137" w:rsidP="00A31137">
      <w:r w:rsidRPr="00A31137">
        <w:t>1992, R.A.V. v. City of St. Paul, 505 U.S. 413</w:t>
      </w:r>
    </w:p>
    <w:p w:rsidR="00A31137" w:rsidRPr="00A31137" w:rsidRDefault="00A31137" w:rsidP="00A31137">
      <w:r w:rsidRPr="00A31137">
        <w:t>In attempting to narrow the scope of the St. Paul antibias ordinance, the Minnesota Supreme Court relied upon two of the categories of speech and expressive conduct that fall outside the First Amendment's protective sphere: words that incite "imminent lawless action," Brandenburg v. Ohio, 395 U.S. 444,  449 (1969), and "fighting" words, Chaplinsky v. New Hampshire, 315 U.S. at 571-572. The Minnesota Supreme Court erred in its application of the Chaplinsky fighting words test, and consequently interpreted the St. Paul ordinance in a fashion that rendered the ordinance facially overbroad.</w:t>
      </w:r>
    </w:p>
    <w:p w:rsidR="00A31137" w:rsidRPr="00A31137" w:rsidRDefault="00A31137" w:rsidP="00A31137">
      <w:r w:rsidRPr="00A31137">
        <w:t>1992, R.A.V. v. City of St. Paul, 505 U.S. 413</w:t>
      </w:r>
    </w:p>
    <w:p w:rsidR="00A31137" w:rsidRPr="00A31137" w:rsidRDefault="00A31137" w:rsidP="00A31137">
      <w:r w:rsidRPr="00A31137">
        <w:t>In construing the St. Paul ordinance, the Minnesota Supreme Court drew upon the definition of fighting words that appears in Chaplinsky—words "which, by their very utterance, inflict injury or tend to incite an immediate breach of the peace." Id. at  572. However, the Minnesota court was far from clear in identifying the "injur[ies]" inflicted by the expression that St. Paul sought to regulate. Indeed, the Minnesota court emphasized (tracking the language of the ordinance) that</w:t>
      </w:r>
    </w:p>
    <w:p w:rsidR="00A31137" w:rsidRPr="00A31137" w:rsidRDefault="00A31137" w:rsidP="00A31137">
      <w:r w:rsidRPr="00A31137">
        <w:t>1992, R.A.V. v. City of St. Paul, 505 U.S. 413</w:t>
      </w:r>
    </w:p>
    <w:p w:rsidR="00A31137" w:rsidRPr="00A31137" w:rsidRDefault="00A31137" w:rsidP="00A31137">
      <w:r w:rsidRPr="00A31137">
        <w:t>the ordinance censors only those displays that one knows or should know will create anger, alarm or resentment based on racial, ethnic, gender or religious bias.</w:t>
      </w:r>
    </w:p>
    <w:p w:rsidR="00A31137" w:rsidRPr="00A31137" w:rsidRDefault="00A31137" w:rsidP="00A31137">
      <w:r w:rsidRPr="00A31137">
        <w:t>1992, R.A.V. v. City of St. Paul, 505 U.S. 413</w:t>
      </w:r>
    </w:p>
    <w:p w:rsidR="00A31137" w:rsidRPr="00A31137" w:rsidRDefault="00A31137" w:rsidP="00A31137">
      <w:r w:rsidRPr="00A31137">
        <w:t>In re Welfare of R.A.V., 464 N.W.2d 507, 510 (1991). I [505 U.S. 414] therefore understand the court to have ruled that St. Paul may constitutionally prohibit expression that, "by its very utterance," causes "anger, alarm or resentment."</w:t>
      </w:r>
    </w:p>
    <w:p w:rsidR="00A31137" w:rsidRPr="00A31137" w:rsidRDefault="00A31137" w:rsidP="00A31137">
      <w:r w:rsidRPr="00A31137">
        <w:t>1992, R.A.V. v. City of St. Paul, 505 U.S. 414</w:t>
      </w:r>
    </w:p>
    <w:p w:rsidR="00A31137" w:rsidRPr="00A31137" w:rsidRDefault="00A31137" w:rsidP="00A31137">
      <w:r w:rsidRPr="00A31137">
        <w:t>Our fighting words cases have made clear, however, that such generalized reactions are not sufficient to strip expression of its constitutional protection. The mere fact that expressive activity causes hurt feelings, offense, or resentment does not render the expression unprotected. See United States v. Eichman, 496 U.S. 310,  319 (1990); Texas v. Johnson, 491 U.S. 397,  409,  414 (1989); Hustler Magazine, Inc. v. Falwell, 485 U.S. 46, 55-56 (1988); FCC v. Pacifica Foundation, 438 U.S. 726,  745 (1978); Hess v. Indiana, 414 U.S. 105, 107-108 (1973); Cohen v. California, 403 U.S. 15,  20 (1971); Street v. New York, 394 U.S. 576, 592 (1969); Terminiello v. Chicago, 337 U.S. 1 (1949).</w:t>
      </w:r>
    </w:p>
    <w:p w:rsidR="00A31137" w:rsidRPr="00A31137" w:rsidRDefault="00A31137" w:rsidP="00A31137">
      <w:r w:rsidRPr="00A31137">
        <w:t>1992, R.A.V. v. City of St. Paul, 505 U.S. 414</w:t>
      </w:r>
    </w:p>
    <w:p w:rsidR="00A31137" w:rsidRPr="00A31137" w:rsidRDefault="00A31137" w:rsidP="00A31137">
      <w:r w:rsidRPr="00A31137">
        <w:t>In the First Amendment context,</w:t>
      </w:r>
    </w:p>
    <w:p w:rsidR="00A31137" w:rsidRPr="00A31137" w:rsidRDefault="00A31137" w:rsidP="00A31137">
      <w:r w:rsidRPr="00A31137">
        <w:t>1992, R.A.V. v. City of St. Paul, 505 U.S. 414</w:t>
      </w:r>
    </w:p>
    <w:p w:rsidR="00A31137" w:rsidRPr="00A31137" w:rsidRDefault="00A31137" w:rsidP="00A31137">
      <w:r w:rsidRPr="00A31137">
        <w:t>[c]riminal statutes must be scrutinized with particular care; those that make unlawful a substantial amount of constitutionally protected conduct may be held facially invalid even if they also have legitimate application.</w:t>
      </w:r>
    </w:p>
    <w:p w:rsidR="00A31137" w:rsidRPr="00A31137" w:rsidRDefault="00A31137" w:rsidP="00A31137">
      <w:r w:rsidRPr="00A31137">
        <w:t>1992, R.A.V. v. City of St. Paul, 505 U.S. 414</w:t>
      </w:r>
    </w:p>
    <w:p w:rsidR="00A31137" w:rsidRPr="00A31137" w:rsidRDefault="00A31137" w:rsidP="00A31137">
      <w:r w:rsidRPr="00A31137">
        <w:t xml:space="preserve">Houston v. Hill, 482 U.S. 451, 459 (1987) (citation omitted). The St. Paul antibias ordinance is such a law. Although the ordinance reaches conduct that is unprotected, it also makes criminal expressive conduct that causes only hurt feelings, offense, or resentment, and is protected by the First Amendment. Cf. Lewis, supra, 415 U.S. at 132. 13 The ordinance is therefore fatally overbroad and invalid on its face. [505 U.S. 415] </w:t>
      </w:r>
    </w:p>
    <w:p w:rsidR="00A31137" w:rsidRPr="00A31137" w:rsidRDefault="00A31137" w:rsidP="00A31137">
      <w:r w:rsidRPr="00A31137">
        <w:t>III</w:t>
      </w:r>
    </w:p>
    <w:p w:rsidR="00A31137" w:rsidRPr="00A31137" w:rsidRDefault="00A31137" w:rsidP="00A31137">
      <w:r w:rsidRPr="00A31137">
        <w:t>1992, R.A.V. v. City of St. Paul, 505 U.S. 415</w:t>
      </w:r>
    </w:p>
    <w:p w:rsidR="00A31137" w:rsidRPr="00A31137" w:rsidRDefault="00A31137" w:rsidP="00A31137">
      <w:r w:rsidRPr="00A31137">
        <w:t>Today, the Court has disregarded two established principles of First Amendment law without providing a coherent replacement theory. Its decision is an arid, doctrinaire interpretation, driven by the frequently irresistible impulse of judges to tinker with the First Amendment. The decision is mischievous at best, and will surely confuse the lower courts. I join the judgment, but not the folly of the opinion.</w:t>
      </w:r>
    </w:p>
    <w:p w:rsidR="00A31137" w:rsidRPr="00A31137" w:rsidRDefault="00A31137" w:rsidP="00A31137">
      <w:r w:rsidRPr="00A31137">
        <w:t>BLACKMUN, J., concurring</w:t>
      </w:r>
    </w:p>
    <w:p w:rsidR="00A31137" w:rsidRPr="00A31137" w:rsidRDefault="00A31137" w:rsidP="00A31137">
      <w:r w:rsidRPr="00A31137">
        <w:t>1992, R.A.V. v. City of St. Paul, 505 U.S. 415</w:t>
      </w:r>
    </w:p>
    <w:p w:rsidR="00A31137" w:rsidRPr="00A31137" w:rsidRDefault="00A31137" w:rsidP="00A31137">
      <w:r w:rsidRPr="00A31137">
        <w:t>JUSTICE BLACKMUN, concurring in the judgment.</w:t>
      </w:r>
    </w:p>
    <w:p w:rsidR="00A31137" w:rsidRPr="00A31137" w:rsidRDefault="00A31137" w:rsidP="00A31137">
      <w:r w:rsidRPr="00A31137">
        <w:t>1992, R.A.V. v. City of St. Paul, 505 U.S. 415</w:t>
      </w:r>
    </w:p>
    <w:p w:rsidR="00A31137" w:rsidRPr="00A31137" w:rsidRDefault="00A31137" w:rsidP="00A31137">
      <w:r w:rsidRPr="00A31137">
        <w:t>I regret what the Court has done in this case. The majority opinion signals one of two possibilities: it will serve as precedent for future cases, or it will not. Either result is disheartening.</w:t>
      </w:r>
    </w:p>
    <w:p w:rsidR="00A31137" w:rsidRPr="00A31137" w:rsidRDefault="00A31137" w:rsidP="00A31137">
      <w:r w:rsidRPr="00A31137">
        <w:t>1992, R.A.V. v. City of St. Paul, 505 U.S. 415</w:t>
      </w:r>
    </w:p>
    <w:p w:rsidR="00A31137" w:rsidRPr="00A31137" w:rsidRDefault="00A31137" w:rsidP="00A31137">
      <w:r w:rsidRPr="00A31137">
        <w:t>In the first instance, by deciding that a State cannot regulate speech that causes great harm unless it also regulates speech that does not (setting law and logic on their heads), the Court seems to abandon the categorical approach, and inevitably to relax the level of scrutiny applicable to content-based laws. As JUSTICE WHITE points out, this weakens the traditional protections of speech. If all expressive activity must be accorded the same protection, that protection will be scant. The simple reality is that the Court will never provide child pornography or cigarette advertising the level of protection customarily granted political speech. If we are forbidden from categorizing, as the Court has done here, we shall reduce protection across the board. It is sad that, in its effort to reach a satisfying result in this case, the Court is willing to weaken First Amendment protections.</w:t>
      </w:r>
    </w:p>
    <w:p w:rsidR="00A31137" w:rsidRPr="00A31137" w:rsidRDefault="00A31137" w:rsidP="00A31137">
      <w:r w:rsidRPr="00A31137">
        <w:t>1992, R.A.V. v. City of St. Paul, 505 U.S. 415</w:t>
      </w:r>
    </w:p>
    <w:p w:rsidR="00A31137" w:rsidRPr="00A31137" w:rsidRDefault="00A31137" w:rsidP="00A31137">
      <w:r w:rsidRPr="00A31137">
        <w:t>In the second instance is the possibility that this case will not significantly alter First Amendment jurisprudence, but, instead, will be regarded as an aberration—a case where the Court manipulated doctrine to strike down an ordinance whose premise it opposed, namely, that racial threats and verbal assaults are of greater harm than other fighting words. I fear that the Court has been distracted from its [505 U.S. 416] proper mission by the temptation to decide the issue over "politically correct speech" and "cultural diversity," neither of which is presented here. If this is the meaning of today's opinion, it is perhaps even more regrettable.</w:t>
      </w:r>
    </w:p>
    <w:p w:rsidR="00A31137" w:rsidRPr="00A31137" w:rsidRDefault="00A31137" w:rsidP="00A31137">
      <w:r w:rsidRPr="00A31137">
        <w:t>1992, R.A.V. v. City of St. Paul, 505 U.S. 416</w:t>
      </w:r>
    </w:p>
    <w:p w:rsidR="00A31137" w:rsidRPr="00A31137" w:rsidRDefault="00A31137" w:rsidP="00A31137">
      <w:r w:rsidRPr="00A31137">
        <w:t>I see no First Amendment values that are compromised by a law that prohibits hoodlums from driving minorities out of their homes by burning crosses on their lawns, but I see great harm in preventing the people of Saint Paul from specifically punishing the race-based fighting words that so prejudice their community.</w:t>
      </w:r>
    </w:p>
    <w:p w:rsidR="00A31137" w:rsidRPr="00A31137" w:rsidRDefault="00A31137" w:rsidP="00A31137">
      <w:r w:rsidRPr="00A31137">
        <w:t>1992, R.A.V. v. City of St. Paul, 505 U.S. 416</w:t>
      </w:r>
    </w:p>
    <w:p w:rsidR="00A31137" w:rsidRPr="00A31137" w:rsidRDefault="00A31137" w:rsidP="00A31137">
      <w:r w:rsidRPr="00A31137">
        <w:t>I concur in the judgment, however, because I agree with JUSTICE WHITE that this particular ordinance reaches beyond fighting words to speech protected by the First Amendment.</w:t>
      </w:r>
    </w:p>
    <w:p w:rsidR="00A31137" w:rsidRPr="00A31137" w:rsidRDefault="00A31137" w:rsidP="00A31137">
      <w:r w:rsidRPr="00A31137">
        <w:t>STEVENS, J., concurring</w:t>
      </w:r>
    </w:p>
    <w:p w:rsidR="00A31137" w:rsidRPr="00A31137" w:rsidRDefault="00A31137" w:rsidP="00A31137">
      <w:r w:rsidRPr="00A31137">
        <w:t>1992, R.A.V. v. City of St. Paul, 505 U.S. 416</w:t>
      </w:r>
    </w:p>
    <w:p w:rsidR="00A31137" w:rsidRPr="00A31137" w:rsidRDefault="00A31137" w:rsidP="00A31137">
      <w:r w:rsidRPr="00A31137">
        <w:t>JUSTICE STEVENS, with whom JUSTICE WHITE and JUSTICE BLACKMUN join as to Part I, concurring in the judgment.</w:t>
      </w:r>
    </w:p>
    <w:p w:rsidR="00A31137" w:rsidRPr="00A31137" w:rsidRDefault="00A31137" w:rsidP="00A31137">
      <w:r w:rsidRPr="00A31137">
        <w:t>1992, R.A.V. v. City of St. Paul, 505 U.S. 416</w:t>
      </w:r>
    </w:p>
    <w:p w:rsidR="00A31137" w:rsidRPr="00A31137" w:rsidRDefault="00A31137" w:rsidP="00A31137">
      <w:r w:rsidRPr="00A31137">
        <w:t>Conduct that creates special risks or causes special harms may be prohibited by special rules. Lighting a fire near an ammunition dump or a gasoline storage tank is especially dangerous; such behavior may be punished more severely than burning trash in a vacant lot. Threatening someone because of her race or religious beliefs may cause particularly severe trauma or touch off a riot, and threatening a high public official may cause substantial social disruption; such threats may be punished more severely than threats against someone based on, say, his support of a particular athletic team. There are legitimate, reasonable, and neutral justifications for such special rules.</w:t>
      </w:r>
    </w:p>
    <w:p w:rsidR="00A31137" w:rsidRPr="00A31137" w:rsidRDefault="00A31137" w:rsidP="00A31137">
      <w:r w:rsidRPr="00A31137">
        <w:t>1992, R.A.V. v. City of St. Paul, 505 U.S. 416</w:t>
      </w:r>
    </w:p>
    <w:p w:rsidR="00A31137" w:rsidRPr="00A31137" w:rsidRDefault="00A31137" w:rsidP="00A31137">
      <w:r w:rsidRPr="00A31137">
        <w:t>This case involves the constitutionality of one such ordinance. Because the regulated conduct has some communicative content—a message of racial, religious or gender hostility—the ordinance raises two quite different First Amendment questions. Is the ordinance "overbroad" because [505 U.S. 417] it prohibits too much speech? If not, is it "underbroad" because it does not prohibit enough speech?</w:t>
      </w:r>
    </w:p>
    <w:p w:rsidR="00A31137" w:rsidRPr="00A31137" w:rsidRDefault="00A31137" w:rsidP="00A31137">
      <w:r w:rsidRPr="00A31137">
        <w:t>1992, R.A.V. v. City of St. Paul, 505 U.S. 417</w:t>
      </w:r>
    </w:p>
    <w:p w:rsidR="00A31137" w:rsidRPr="00A31137" w:rsidRDefault="00A31137" w:rsidP="00A31137">
      <w:r w:rsidRPr="00A31137">
        <w:t>In answering these questions, my colleagues today wrestle with two broad principles: first, that certain "categories of expression [including 'fighting words'] are 'not within the area of constitutionally protected speech,'" ante at  400 (WHITE, J., concurring in judgment); and second, that "[c]ontent-based regulations [of expression] are presumptively invalid." Ante at  382 (majority opinion). Although, in past opinions, the Court has repeated both of these maxims, it has—quite rightly—adhered to neither with the absolutism suggested by my colleagues. Thus, while I agree that the St. Paul ordinance is unconstitutionally overbroad for the reasons stated in Part II of JUSTICE WHITE's opinion, I write separately to suggest how the allure of absolute principles has skewed the analysis of both the majority and concurring opinions.</w:t>
      </w:r>
    </w:p>
    <w:p w:rsidR="00A31137" w:rsidRPr="00A31137" w:rsidRDefault="00A31137" w:rsidP="00A31137">
      <w:r w:rsidRPr="00A31137">
        <w:t>I</w:t>
      </w:r>
    </w:p>
    <w:p w:rsidR="00A31137" w:rsidRPr="00A31137" w:rsidRDefault="00A31137" w:rsidP="00A31137">
      <w:r w:rsidRPr="00A31137">
        <w:t>1992, R.A.V. v. City of St. Paul, 505 U.S. 417</w:t>
      </w:r>
    </w:p>
    <w:p w:rsidR="00A31137" w:rsidRPr="00A31137" w:rsidRDefault="00A31137" w:rsidP="00A31137">
      <w:r w:rsidRPr="00A31137">
        <w:t>Fifty years ago, the Court articulated a categorical approach to First Amendment jurisprudence.</w:t>
      </w:r>
    </w:p>
    <w:p w:rsidR="00A31137" w:rsidRPr="00A31137" w:rsidRDefault="00A31137" w:rsidP="00A31137">
      <w:r w:rsidRPr="00A31137">
        <w:t>1992, R.A.V. v. City of St. Paul, 505 U.S. 417</w:t>
      </w:r>
    </w:p>
    <w:p w:rsidR="00A31137" w:rsidRPr="00A31137" w:rsidRDefault="00A31137" w:rsidP="00A31137">
      <w:r w:rsidRPr="00A31137">
        <w:t>There are certain well-defined and narrowly limited classes of speech, the prevention and punishment of which have never been thought to raise any Constitutional problem…. It has been well observed that such utterances are no essential part of any exposition of ideas, and are of such slight social value as a step to truth that any benefit that may be derived from them is clearly outweighed by the social interest in order and morality.</w:t>
      </w:r>
    </w:p>
    <w:p w:rsidR="00A31137" w:rsidRPr="00A31137" w:rsidRDefault="00A31137" w:rsidP="00A31137">
      <w:r w:rsidRPr="00A31137">
        <w:t>1992, R.A.V. v. City of St. Paul, 505 U.S. 417</w:t>
      </w:r>
    </w:p>
    <w:p w:rsidR="00A31137" w:rsidRPr="00A31137" w:rsidRDefault="00A31137" w:rsidP="00A31137">
      <w:r w:rsidRPr="00A31137">
        <w:t xml:space="preserve">Chaplinsky v. New Hampshire, 315 U.S. 568, 571-572 (1942). We have, as JUSTICE WHITE observes, often described such categories of expression as "not within the area of constitutionally protected speech." Roth v. United States, 354 U.S. 476,  483 (1957). [505 U.S. 418] </w:t>
      </w:r>
    </w:p>
    <w:p w:rsidR="00A31137" w:rsidRPr="00A31137" w:rsidRDefault="00A31137" w:rsidP="00A31137">
      <w:r w:rsidRPr="00A31137">
        <w:t>1992, R.A.V. v. City of St. Paul, 505 U.S. 418</w:t>
      </w:r>
    </w:p>
    <w:p w:rsidR="00A31137" w:rsidRPr="00A31137" w:rsidRDefault="00A31137" w:rsidP="00A31137">
      <w:r w:rsidRPr="00A31137">
        <w:t>The Court today revises this categorical approach. It is not, the Court rules, that certain "categories" of expression are "unprotected," but rather that certain "elements" of expression are wholly "proscribable." To the Court, an expressive act, like a chemical compound, consists of more than one element. Although the act may be regulated because it contains a proscribable element, it may not be regulated on the basis of another (nonproscribable) element it also contains. Thus, obscene antigovernment speech may be regulated because it is obscene, but not because it is antigovernment. Ante at  384. It is this revision of the categorical approach that allows the Court to assume that the St. Paul ordinance proscribes only fighting words, while at the same time concluding that the ordinance is invalid because it imposes a content-based regulation on expressive activity.</w:t>
      </w:r>
    </w:p>
    <w:p w:rsidR="00A31137" w:rsidRPr="00A31137" w:rsidRDefault="00A31137" w:rsidP="00A31137">
      <w:r w:rsidRPr="00A31137">
        <w:t>1992, R.A.V. v. City of St. Paul, 505 U.S. 418</w:t>
      </w:r>
    </w:p>
    <w:p w:rsidR="00A31137" w:rsidRPr="00A31137" w:rsidRDefault="00A31137" w:rsidP="00A31137">
      <w:r w:rsidRPr="00A31137">
        <w:t>As an initial matter, the Court's revision of the categorical approach seems to me something of an adventure in a doctrinal wonderland, for the concept of "obscene antigovernment" speech is fantastical. The category of the obscene is very narrow; to be obscene, expression must be found by the trier of fact to</w:t>
      </w:r>
    </w:p>
    <w:p w:rsidR="00A31137" w:rsidRPr="00A31137" w:rsidRDefault="00A31137" w:rsidP="00A31137">
      <w:r w:rsidRPr="00A31137">
        <w:t>1992, R.A.V. v. City of St. Paul, 505 U.S. 418</w:t>
      </w:r>
    </w:p>
    <w:p w:rsidR="00A31137" w:rsidRPr="00A31137" w:rsidRDefault="00A31137" w:rsidP="00A31137">
      <w:r w:rsidRPr="00A31137">
        <w:t>appea[l] to the prurient interest,…depic[t] or describ[e], in a patently offensive way, sexual conduct, [and] taken as a whole, lac[k] serious literary, artistic, political or scientific value.</w:t>
      </w:r>
    </w:p>
    <w:p w:rsidR="00A31137" w:rsidRPr="00A31137" w:rsidRDefault="00A31137" w:rsidP="00A31137">
      <w:r w:rsidRPr="00A31137">
        <w:t>1992, R.A.V. v. City of St. Paul, 505 U.S. 418</w:t>
      </w:r>
    </w:p>
    <w:p w:rsidR="00A31137" w:rsidRPr="00A31137" w:rsidRDefault="00A31137" w:rsidP="00A31137">
      <w:r w:rsidRPr="00A31137">
        <w:t>Miller v. California, 413 U.S. 15,  24 (1973) (emphasis added). "Obscene antigovernment" speech, then, is a contradiction in terms: if expression is antigovernment, it does not "lac[k] serious…political…value," and cannot be obscene.</w:t>
      </w:r>
    </w:p>
    <w:p w:rsidR="00A31137" w:rsidRPr="00A31137" w:rsidRDefault="00A31137" w:rsidP="00A31137">
      <w:r w:rsidRPr="00A31137">
        <w:t>1992, R.A.V. v. City of St. Paul, 505 U.S. 418</w:t>
      </w:r>
    </w:p>
    <w:p w:rsidR="00A31137" w:rsidRPr="00A31137" w:rsidRDefault="00A31137" w:rsidP="00A31137">
      <w:r w:rsidRPr="00A31137">
        <w:t>The Court attempts to bolster its argument by likening its novel analysis to that applied to restrictions on the time, place, or manner of expression or on expressive conduct. It is true that loud speech in favor of the Republican Party can be regulated because it is loud, but not because it is pro-Republican; and it is true that the public burning of the American flag can be regulated because it involves public burning, and not because it involves the flag. But these [505 U.S. 419] analogies are inapposite. In each of these examples, the two elements (e.g., loudness and pro-Republican orientation) can coexist; in the case of "obscene antigovernment" speech, however, the presence of one element ("obscenity"), by definition, means the absence of the other. To my mind, it is unwise and unsound to craft a new doctrine based on such highly speculative hypotheticals.</w:t>
      </w:r>
    </w:p>
    <w:p w:rsidR="00A31137" w:rsidRPr="00A31137" w:rsidRDefault="00A31137" w:rsidP="00A31137">
      <w:r w:rsidRPr="00A31137">
        <w:t>1992, R.A.V. v. City of St. Paul, 505 U.S. 419</w:t>
      </w:r>
    </w:p>
    <w:p w:rsidR="00A31137" w:rsidRPr="00A31137" w:rsidRDefault="00A31137" w:rsidP="00A31137">
      <w:r w:rsidRPr="00A31137">
        <w:t xml:space="preserve">I am, however, even more troubled by the second step of the Court's analysis—namely, its conclusion that the St. Paul ordinance is an unconstitutional content-based regulation of speech. Drawing on broadly worded dicta, the Court establishes a near-absolute ban on content-based regulations of expression, and holds that the First Amendment prohibits the regulation of fighting words by subject matter. Thus, while the Court rejects the "all-or-nothing-at-all" nature of the categorical approach, ante at  384, it promptly embraces an absolutism of its own: within a particular "proscribable" category of expression, the Court holds, a government must either proscribe all speech or no speech at all. 1 This aspect of the Court's ruling fundamentally misunderstands the role and constitutional status of content-based regulations on speech, conflicts with the very nature of First Amendment jurisprudence, and disrupts well-settled principles of First Amendment law. [505 U.S. 420] </w:t>
      </w:r>
    </w:p>
    <w:p w:rsidR="00A31137" w:rsidRPr="00A31137" w:rsidRDefault="00A31137" w:rsidP="00A31137">
      <w:r w:rsidRPr="00A31137">
        <w:t>1992, R.A.V. v. City of St. Paul, 505 U.S. 420</w:t>
      </w:r>
    </w:p>
    <w:p w:rsidR="00A31137" w:rsidRPr="00A31137" w:rsidRDefault="00A31137" w:rsidP="00A31137">
      <w:r w:rsidRPr="00A31137">
        <w:t>Although the Court has, on occasion, declared that content-based regulations of speech are "never permitted," Police Dept. of Chicago v. Mosley, 408 U.S. 92, 99 (1972), such claims are overstated. Indeed, in Mosley itself, the Court indicated that Chicago's selective proscription of nonlabor picketing was not per se unconstitutional, but rather could be upheld if the City demonstrated that nonlabor picketing was "clearly more disruptive than [labor] picketing." Id. at 100. Contrary to the broad dicta in Mosley and elsewhere, our decisions demonstrate that content-based distinctions, far from being presumptively invalid, are an inevitable and indispensable aspect of a coherent understanding of the First Amendment.</w:t>
      </w:r>
    </w:p>
    <w:p w:rsidR="00A31137" w:rsidRPr="00A31137" w:rsidRDefault="00A31137" w:rsidP="00A31137">
      <w:r w:rsidRPr="00A31137">
        <w:t>1992, R.A.V. v. City of St. Paul, 505 U.S. 420</w:t>
      </w:r>
    </w:p>
    <w:p w:rsidR="00A31137" w:rsidRPr="00A31137" w:rsidRDefault="00A31137" w:rsidP="00A31137">
      <w:r w:rsidRPr="00A31137">
        <w:t>This is true at every level of First Amendment law. In broadest terms, our entire First Amendment jurisprudence creates a regime based on the content of speech. The scope of the First Amendment is determined by the content of expressive activity: although the First Amendment broadly protects "speech," it does not protect the right to "fix prices, breach contracts, make false warranties, place bets with bookies, threaten, [or] extort." Schauer, Categories and the First Amendment: A Play in Three Acts, 34 Vand.L.Rev. 265, 270 (1981). Whether an agreement among competitors is a violation of the Sherman Act or protected activity under the Noerr-Pennington doctrine 2 hinges upon the content of the agreement. Similarly,</w:t>
      </w:r>
    </w:p>
    <w:p w:rsidR="00A31137" w:rsidRPr="00A31137" w:rsidRDefault="00A31137" w:rsidP="00A31137">
      <w:r w:rsidRPr="00A31137">
        <w:t>1992, R.A.V. v. City of St. Paul, 505 U.S. 420</w:t>
      </w:r>
    </w:p>
    <w:p w:rsidR="00A31137" w:rsidRPr="00A31137" w:rsidRDefault="00A31137" w:rsidP="00A31137">
      <w:r w:rsidRPr="00A31137">
        <w:t>the line between permissible advocacy and impermissible incitation to crime or violence depends, not merely on the setting in which the speech occurs, but also on exactly what the speaker had to say.</w:t>
      </w:r>
    </w:p>
    <w:p w:rsidR="00A31137" w:rsidRPr="00A31137" w:rsidRDefault="00A31137" w:rsidP="00A31137">
      <w:r w:rsidRPr="00A31137">
        <w:t>1992, R.A.V. v. City of St. Paul, 505 U.S. 420</w:t>
      </w:r>
    </w:p>
    <w:p w:rsidR="00A31137" w:rsidRPr="00A31137" w:rsidRDefault="00A31137" w:rsidP="00A31137">
      <w:r w:rsidRPr="00A31137">
        <w:t xml:space="preserve">Young v. American Mini Theatres, Inc., 427 U.S. 50,  66 (1976) (plurality opinion); see also Musser v. Utah, 333 U.S. 95, 100-103 (1948) (Rutledge, J., dissenting). [505 U.S. 421] </w:t>
      </w:r>
    </w:p>
    <w:p w:rsidR="00A31137" w:rsidRPr="00A31137" w:rsidRDefault="00A31137" w:rsidP="00A31137">
      <w:r w:rsidRPr="00A31137">
        <w:t>1992, R.A.V. v. City of St. Paul, 505 U.S. 421</w:t>
      </w:r>
    </w:p>
    <w:p w:rsidR="00A31137" w:rsidRPr="00A31137" w:rsidRDefault="00A31137" w:rsidP="00A31137">
      <w:r w:rsidRPr="00A31137">
        <w:t>Likewise, whether speech falls within one of the categories of "unprotected" or "proscribable" expression is determined, in part, by its content. Whether a magazine is obscene, a gesture a fighting word, or a photograph child pornography, is determined, in part, by its content. Even within categories of protected expression, the First Amendment status of speech is fixed by its content. New York Times Co. v. Sullivan, 376 U.S. 254 (1964), and Dun &amp; Bradstreet, Inc. v. Greenmoss Builders, Inc., 472 U.S. 749 (1985), establish that the level of protection given to speech depends upon its subject matter: speech about public officials or matters of public concern receives greater protection than speech about other topics. It can, therefore, scarcely be said that the regulation of expressive activity cannot be predicated on its content: much of our First Amendment jurisprudence is premised on the assumption that content makes a difference.</w:t>
      </w:r>
    </w:p>
    <w:p w:rsidR="00A31137" w:rsidRPr="00A31137" w:rsidRDefault="00A31137" w:rsidP="00A31137">
      <w:r w:rsidRPr="00A31137">
        <w:t>1992, R.A.V. v. City of St. Paul, 505 U.S. 421</w:t>
      </w:r>
    </w:p>
    <w:p w:rsidR="00A31137" w:rsidRPr="00A31137" w:rsidRDefault="00A31137" w:rsidP="00A31137">
      <w:r w:rsidRPr="00A31137">
        <w:t>Consistent with this general premise, we have frequently upheld content-based regulations of speech. For example, in Young v. American Mini Theatres, the Court upheld zoning ordinances that regulated movie theaters based on the content of the films shown. In FCC v. Pacifica Foundation, 438 U.S. 726 (1978) (plurality opinion), we upheld a restriction on the broadcast of specific indecent words. In Lehman v. City of Shaker Heights, 418 U.S. 298 (1974) (plurality opinion), we upheld a city law that permitted commercial advertising, but prohibited political advertising, on city buses. In Broadrick v. Oklahoma, 413 U.S. 601 (1973), we upheld a state law that restricted the speech of state employees, but only as concerned partisan political matters. We have long recognized the power of the Federal Trade Commission to regulate misleading advertising and labeling, see, e.g., Jacob Siegel Co. v. FTC, 327 U.S. 608 (1946), and the National Labor Relations Board's power to regulate an employer's election-related speech on the basis of its content. See, e.g., NLRB v. Gissel Packing Co., 395 U.S. 575, 616-618 (1969). [505 U.S. 422] It is also beyond question that the Government may choose to limit advertisements for cigarettes, see 15 U.S.C. §§ 1331-1340, 3 but not for cigars; choose to regulate airline advertising, see Morales v. Trans World Airlines, 504 U.S. 374 (1992), but not bus advertising; or choose to monitor solicitation by lawyers, see Ohralik v. Ohio State Bar Assn., 436 U.S. 447 (1978), but not by doctors.</w:t>
      </w:r>
    </w:p>
    <w:p w:rsidR="00A31137" w:rsidRPr="00A31137" w:rsidRDefault="00A31137" w:rsidP="00A31137">
      <w:r w:rsidRPr="00A31137">
        <w:t>1992, R.A.V. v. City of St. Paul, 505 U.S. 422</w:t>
      </w:r>
    </w:p>
    <w:p w:rsidR="00A31137" w:rsidRPr="00A31137" w:rsidRDefault="00A31137" w:rsidP="00A31137">
      <w:r w:rsidRPr="00A31137">
        <w:t>All of these cases involved the selective regulation of speech based on content—precisely the sort of regulation the Court invalidates today. Such selective regulations are unavoidably content-based, but they are not, in my opinion, "presumptively invalid." As these many decisions and examples demonstrate, the prohibition on content-based regulations is not nearly as total as the Mosley dictum suggests.</w:t>
      </w:r>
    </w:p>
    <w:p w:rsidR="00A31137" w:rsidRPr="00A31137" w:rsidRDefault="00A31137" w:rsidP="00A31137">
      <w:r w:rsidRPr="00A31137">
        <w:t>1992, R.A.V. v. City of St. Paul, 505 U.S. 422</w:t>
      </w:r>
    </w:p>
    <w:p w:rsidR="00A31137" w:rsidRPr="00A31137" w:rsidRDefault="00A31137" w:rsidP="00A31137">
      <w:r w:rsidRPr="00A31137">
        <w:t>Disregarding this vast body of case law, the Court today goes beyond even the overstatement in Mosley, and applies the prohibition on content-based regulation to speech that the Court had until today considered wholly "unprotected" by the First Amendment—namely, fighting words. This new absolutism in the prohibition of content-based regulations severely contorts the fabric of settled First Amendment law.</w:t>
      </w:r>
    </w:p>
    <w:p w:rsidR="00A31137" w:rsidRPr="00A31137" w:rsidRDefault="00A31137" w:rsidP="00A31137">
      <w:r w:rsidRPr="00A31137">
        <w:t>1992, R.A.V. v. City of St. Paul, 505 U.S. 422</w:t>
      </w:r>
    </w:p>
    <w:p w:rsidR="00A31137" w:rsidRPr="00A31137" w:rsidRDefault="00A31137" w:rsidP="00A31137">
      <w:r w:rsidRPr="00A31137">
        <w:t>Our First Amendment decisions have created a rough hierarchy in the constitutional protection of speech. Core political speech occupies the highest, most protected position; commercial speech and nonobscene, sexually explicit speech are regarded as a sort of second-class expression; obscenity and fighting words receive the least protection of all. Assuming that the Court is correct that this last class of speech is not wholly "unprotected," it certainly does not follow that fighting words and obscenity receive the same sort of protection afforded core political speech. Yet, in ruling that proscribable speech cannot be regulated based on subject matter, [505 U.S. 423] the Court does just that. 4 Perversely, this gives fighting words greater protection than is afforded commercial speech. If Congress can prohibit false advertising directed at airline passengers without also prohibiting false advertising directed at bus passengers, and if a city can prohibit political advertisements in its buses, while allowing other advertisements, it is ironic to hold that a city cannot regulate fighting words based on "race, color, creed, religion or gender," while leaving unregulated fighting words based on "union membership or homosexuality." Ante at  391. The Court today turns First Amendment law on its head: Communication that was once entirely unprotected (and that still can be wholly proscribed) is now entitled to greater protection than commercial speech—and possibly greater protection than core political speech. See Burson v. Freeman, 504 U.S. 191, 195, 196 (1992).</w:t>
      </w:r>
    </w:p>
    <w:p w:rsidR="00A31137" w:rsidRPr="00A31137" w:rsidRDefault="00A31137" w:rsidP="00A31137">
      <w:r w:rsidRPr="00A31137">
        <w:t>1992, R.A.V. v. City of St. Paul, 505 U.S. 423</w:t>
      </w:r>
    </w:p>
    <w:p w:rsidR="00A31137" w:rsidRPr="00A31137" w:rsidRDefault="00A31137" w:rsidP="00A31137">
      <w:r w:rsidRPr="00A31137">
        <w:t>Perhaps because the Court recognizes these perversities, it quickly offers some ad hoc limitations on its newly extended prohibition on content-based regulations. First, the Court states that a content-based regulation is valid "[w]hen the content discrimination is based upon the very reason the entire class of speech…is proscribable." In a pivotal passage, the Court writes</w:t>
      </w:r>
    </w:p>
    <w:p w:rsidR="00A31137" w:rsidRPr="00A31137" w:rsidRDefault="00A31137" w:rsidP="00A31137">
      <w:r w:rsidRPr="00A31137">
        <w:t>1992, R.A.V. v. City of St. Paul, 505 U.S. 423</w:t>
      </w:r>
    </w:p>
    <w:p w:rsidR="00A31137" w:rsidRPr="00A31137" w:rsidRDefault="00A31137" w:rsidP="00A31137">
      <w:r w:rsidRPr="00A31137">
        <w:t>the Federal Government can criminalize only those physical threats that are directed against the President, see 18 U.S.C. § 871—since the reasons why [505 U.S. 424] threats of violence are outside the First Amendment (protecting individuals from the fear of violence, from the disruption that fear engenders, and from the possibility that the threatened violence will occur) have special force when applied to the…President.</w:t>
      </w:r>
    </w:p>
    <w:p w:rsidR="00A31137" w:rsidRPr="00A31137" w:rsidRDefault="00A31137" w:rsidP="00A31137">
      <w:r w:rsidRPr="00A31137">
        <w:t>1992, R.A.V. v. City of St. Paul, 505 U.S. 424</w:t>
      </w:r>
    </w:p>
    <w:p w:rsidR="00A31137" w:rsidRPr="00A31137" w:rsidRDefault="00A31137" w:rsidP="00A31137">
      <w:r w:rsidRPr="00A31137">
        <w:t>Ante at  388. As I understand this opaque passage, Congress may choose from the set of unprotected speech (all threats) to proscribe only a subset (threats against the President), because those threats are particularly likely to cause "fear of violence," "disruption," and actual "violence."</w:t>
      </w:r>
    </w:p>
    <w:p w:rsidR="00A31137" w:rsidRPr="00A31137" w:rsidRDefault="00A31137" w:rsidP="00A31137">
      <w:r w:rsidRPr="00A31137">
        <w:t>1992, R.A.V. v. City of St. Paul, 505 U.S. 424</w:t>
      </w:r>
    </w:p>
    <w:p w:rsidR="00A31137" w:rsidRPr="00A31137" w:rsidRDefault="00A31137" w:rsidP="00A31137">
      <w:r w:rsidRPr="00A31137">
        <w:t>Precisely this same reasoning, however, compels the conclusion that St. Paul's ordinance is constitutional. Just as Congress may determine that threats against the President entail more severe consequences than other threats, so St. Paul's City Council may determine that threats based on the target's race, religion, or gender cause more severe harm to both the target and to society than other threats. This latter judgment—that harms caused by racial, religious, and gender-based invective are qualitatively different from that caused by other fighting words—seems to me eminently reasonable and realistic.</w:t>
      </w:r>
    </w:p>
    <w:p w:rsidR="00A31137" w:rsidRPr="00A31137" w:rsidRDefault="00A31137" w:rsidP="00A31137">
      <w:r w:rsidRPr="00A31137">
        <w:t>1992, R.A.V. v. City of St. Paul, 505 U.S. 424</w:t>
      </w:r>
    </w:p>
    <w:p w:rsidR="00A31137" w:rsidRPr="00A31137" w:rsidRDefault="00A31137" w:rsidP="00A31137">
      <w:r w:rsidRPr="00A31137">
        <w:t>Next, the Court recognizes that a State may regulate advertising in one industry, but not another, because "the risk of fraud (one of the characteristics that justifies depriving [commercial speech] of full First Amendment protection…)" in the regulated industry is "greater" than in other industries. Ibid. Again, the same reasoning demonstrates the constitutionality of St. Paul's ordinance. "[O]ne of the characteristics that justifies" the constitutional status of fighting words is that such words, "by their very utterance, inflict injury or tend to incite an immediate breach of the peace." Chaplinsky, 315 U.S. at  572. Certainly a legislature that may determine that the risk of fraud is greater in the legal [505 U.S. 425] trade than in the medical trade may determine that the risk of injury or breach of peace created by race-based threats is greater than that created by other threats.</w:t>
      </w:r>
    </w:p>
    <w:p w:rsidR="00A31137" w:rsidRPr="00A31137" w:rsidRDefault="00A31137" w:rsidP="00A31137">
      <w:r w:rsidRPr="00A31137">
        <w:t>1992, R.A.V. v. City of St. Paul, 505 U.S. 425</w:t>
      </w:r>
    </w:p>
    <w:p w:rsidR="00A31137" w:rsidRPr="00A31137" w:rsidRDefault="00A31137" w:rsidP="00A31137">
      <w:r w:rsidRPr="00A31137">
        <w:t>Similarly, it is impossible to reconcile the Court's analysis of the St. Paul ordinance with its recognition that "a prohibition of fighting words that are directed at certain persons or groups…would be facially valid." Ante at  392 (emphasis deleted). A selective proscription of unprotected expression designed to protect "certain persons or groups" (for example, a law proscribing threats directed at the elderly) would be constitutional if it were based on a legitimate determination that the harm created by the regulated expression differs from that created by the unregulated expression (that is, if the elderly are more severely injured by threats than are the nonelderly). Such selective protection is no different from a law prohibiting minors (and only minors) from obtaining obscene publications. See Ginsberg v. New York, 390 U.S. 629 (1968). St. Paul has determined—reasonably in my judgment—that fighting-word injuries "based on race, color, creed, religion or gender" are qualitatively different and more severe than fighting-word injuries based on other characteristics. Whether the selective proscription of proscribable speech is defined by the protected target ("certain persons or groups") or the basis of the harm (injuries "based on race, color, creed, religion or gender") makes no constitutional difference: what matters is whether the legislature's selection is based on a legitimate, neutral, and reasonable distinction.</w:t>
      </w:r>
    </w:p>
    <w:p w:rsidR="00A31137" w:rsidRPr="00A31137" w:rsidRDefault="00A31137" w:rsidP="00A31137">
      <w:r w:rsidRPr="00A31137">
        <w:t>1992, R.A.V. v. City of St. Paul, 505 U.S. 425</w:t>
      </w:r>
    </w:p>
    <w:p w:rsidR="00A31137" w:rsidRPr="00A31137" w:rsidRDefault="00A31137" w:rsidP="00A31137">
      <w:r w:rsidRPr="00A31137">
        <w:t>In sum, the central premise of the Court's ruling—that "[c]ontent-based regulations are presumptively invalid"—has simplistic appeal, but lacks support in our First Amendment jurisprudence. To make matters worse, the Court today extends this overstated claim to reach categories of hitherto unprotected speech and, in doing so, wreaks havoc in an area of settled law. Finally, although the Court recognizes [505 U.S. 426] exceptions to its new principle, those exceptions undermine its very conclusion that the St. Paul ordinance is unconstitutional. Stated directly, the majority's position cannot withstand scrutiny.</w:t>
      </w:r>
    </w:p>
    <w:p w:rsidR="00A31137" w:rsidRPr="00A31137" w:rsidRDefault="00A31137" w:rsidP="00A31137">
      <w:r w:rsidRPr="00A31137">
        <w:t>II</w:t>
      </w:r>
    </w:p>
    <w:p w:rsidR="00A31137" w:rsidRPr="00A31137" w:rsidRDefault="00A31137" w:rsidP="00A31137">
      <w:r w:rsidRPr="00A31137">
        <w:t>1992, R.A.V. v. City of St. Paul, 505 U.S. 426</w:t>
      </w:r>
    </w:p>
    <w:p w:rsidR="00A31137" w:rsidRPr="00A31137" w:rsidRDefault="00A31137" w:rsidP="00A31137">
      <w:r w:rsidRPr="00A31137">
        <w:t>Although I agree with much of JUSTICE WHITE's analysis, I do not join Part I-A of his opinion because I have reservations about the "categorical approach" to the First Amendment. These concerns, which I have noted on other occasions, see, e.g., New York v. Ferber, 458 U.S. 747,  778 (1982) (STEVENS, J., concurring in judgment), lead me to find JUSTICE WHITE's response to the Court's analysis unsatisfying.</w:t>
      </w:r>
    </w:p>
    <w:p w:rsidR="00A31137" w:rsidRPr="00A31137" w:rsidRDefault="00A31137" w:rsidP="00A31137">
      <w:r w:rsidRPr="00A31137">
        <w:t>1992, R.A.V. v. City of St. Paul, 505 U.S. 426</w:t>
      </w:r>
    </w:p>
    <w:p w:rsidR="00A31137" w:rsidRPr="00A31137" w:rsidRDefault="00A31137" w:rsidP="00A31137">
      <w:r w:rsidRPr="00A31137">
        <w:t>Admittedly, the categorical approach to the First Amendment has some appeal: either expression is protected or it is not—the categories create safe harbors for governments and speakers alike. But this approach sacrifices subtlety for clarity, and is, I am convinced, ultimately unsound. As an initial matter, the concept of "categories" fits poorly with the complex reality of expression. Few dividing lines in First Amendment law are straight and unwavering, and efforts at categorization inevitably give rise only to fuzzy boundaries. Our definitions of "obscenity," see, e.g., Marks v. United States, 430 U.S. 188, 198 (1977) (STEVENS, J., concurring in part and dissenting in part), and "public forum," see, e.g., United States Postal Service v. Council of Greenburgh Civic Assns., 453 U.S. 114, 126-131 (1981); id. at 136-140 (Brennan, J., concurring in judgment); id. at 147-151 (Marshall, J., dissenting); 152-154 (STEVENS, J., dissenting) (all debating the definition of "public forum"), illustrate this all too well. The quest for doctrinal certainty through the definition of categories and subcategories is, in my opinion, destined to fail.</w:t>
      </w:r>
    </w:p>
    <w:p w:rsidR="00A31137" w:rsidRPr="00A31137" w:rsidRDefault="00A31137" w:rsidP="00A31137">
      <w:r w:rsidRPr="00A31137">
        <w:t>1992, R.A.V. v. City of St. Paul, 505 U.S. 426</w:t>
      </w:r>
    </w:p>
    <w:p w:rsidR="00A31137" w:rsidRPr="00A31137" w:rsidRDefault="00A31137" w:rsidP="00A31137">
      <w:r w:rsidRPr="00A31137">
        <w:t>Moreover, the categorical approach does not take seriously the importance of context. The meaning of any expression and the legitimacy of its regulation can only be determined [505 U.S. 427] in context. 5 Whether, for example, a picture or a sentence is obscene cannot be judged in the abstract, but rather only in the context of its setting, its use, and its audience. Similarly, although legislatures may freely regulate most nonobscene child pornography, such pornography that is part of "a serious work of art, a documentary on behavioral problems, or a medical or psychiatric teaching device," may be entitled to constitutional protection; the</w:t>
      </w:r>
    </w:p>
    <w:p w:rsidR="00A31137" w:rsidRPr="00A31137" w:rsidRDefault="00A31137" w:rsidP="00A31137">
      <w:r w:rsidRPr="00A31137">
        <w:t>1992, R.A.V. v. City of St. Paul, 505 U.S. 427</w:t>
      </w:r>
    </w:p>
    <w:p w:rsidR="00A31137" w:rsidRPr="00A31137" w:rsidRDefault="00A31137" w:rsidP="00A31137">
      <w:r w:rsidRPr="00A31137">
        <w:t>question whether a specific act of communication is protected by the First Amendment always requires some consideration of both its content and its context.</w:t>
      </w:r>
    </w:p>
    <w:p w:rsidR="00A31137" w:rsidRPr="00A31137" w:rsidRDefault="00A31137" w:rsidP="00A31137">
      <w:r w:rsidRPr="00A31137">
        <w:t>1992, R.A.V. v. City of St. Paul, 505 U.S. 427</w:t>
      </w:r>
    </w:p>
    <w:p w:rsidR="00A31137" w:rsidRPr="00A31137" w:rsidRDefault="00A31137" w:rsidP="00A31137">
      <w:r w:rsidRPr="00A31137">
        <w:t>Ferber, 458 U.S. at  778 (STEVENS, J., concurring in judgment); see also Smith v. United States, 431 U.S. 291, 311-321 (1977) (STEVENS, J., dissenting). The categorical approach sweeps too broadly when it declares that all such expression is beyond the protection of the First Amendment.</w:t>
      </w:r>
    </w:p>
    <w:p w:rsidR="00A31137" w:rsidRPr="00A31137" w:rsidRDefault="00A31137" w:rsidP="00A31137">
      <w:r w:rsidRPr="00A31137">
        <w:t>1992, R.A.V. v. City of St. Paul, 505 U.S. 427</w:t>
      </w:r>
    </w:p>
    <w:p w:rsidR="00A31137" w:rsidRPr="00A31137" w:rsidRDefault="00A31137" w:rsidP="00A31137">
      <w:r w:rsidRPr="00A31137">
        <w:t>Perhaps sensing the limits of such an all-or-nothing approach, the Court has applied its analysis less categorically than its doctrinal statements suggest. The Court has recognized intermediate categories of speech (for example, for indecent nonobscene speech and commercial speech) and geographic categories of speech (public fora, limited public fora, nonpublic fora) entitled to varying levels of protection. The Court has also stringently delimited the categories of unprotected speech. While we once declared that "[l]ibelous utterances [are] not…within the area of constitutionally protected speech," Beauharnais v. Illinois, 343 U.S. 250,  266 (1952), our rulings in New York Times Co. v. Sullivan, 376 U.S. 254 (1964); Gertz v. Robert Welch, Inc., 418 U.S. 323 (1974), and Dun &amp; Bradstreet, Inc. v. Greenmoss Builders, Inc., 472 U.S. 749 (1985), have substantially qualified this [505 U.S. 428] broad claim. Similarly, we have consistently construed the "fighting words" exception set forth in Chaplinsky narrowly. See, e.g., Houston v. Hill, 482 U.S. 451 (1987); Lewis v. City of New Orleans, 415 U.S. 130 (1974); Cohen v. California, 403 U.S. 15 (1971). In the case of commercial speech, our ruling that "the Constitution imposes no…restraint on government [regulation] as respects purely commercial advertising," Valentine v. Chrestensen, 316 U.S. 52,  54 (1942), was expressly repudiated in Virginia Bd. of Pharmacy v. Virginia Citizens Consumer Council, Inc., 425 U.S. 748 (1976). In short, the history of the categorical approach is largely the history of narrowing the categories of unprotected speech.</w:t>
      </w:r>
    </w:p>
    <w:p w:rsidR="00A31137" w:rsidRPr="00A31137" w:rsidRDefault="00A31137" w:rsidP="00A31137">
      <w:r w:rsidRPr="00A31137">
        <w:t>1992, R.A.V. v. City of St. Paul, 505 U.S. 428</w:t>
      </w:r>
    </w:p>
    <w:p w:rsidR="00A31137" w:rsidRPr="00A31137" w:rsidRDefault="00A31137" w:rsidP="00A31137">
      <w:r w:rsidRPr="00A31137">
        <w:t>This evolution, I believe, indicates that the categorical approach is unworkable, and the quest for absolute categories of "protected" and "unprotected" speech ultimately futile. My analysis of the faults and limits of this approach persuades me that the categorical approach presented in Part I-A of JUSTICE WHITE's opinion is not an adequate response to the novel "underbreadth" analysis the Court sets forth today.</w:t>
      </w:r>
    </w:p>
    <w:p w:rsidR="00A31137" w:rsidRPr="00A31137" w:rsidRDefault="00A31137" w:rsidP="00A31137">
      <w:r w:rsidRPr="00A31137">
        <w:t>III</w:t>
      </w:r>
    </w:p>
    <w:p w:rsidR="00A31137" w:rsidRPr="00A31137" w:rsidRDefault="00A31137" w:rsidP="00A31137">
      <w:r w:rsidRPr="00A31137">
        <w:t>1992, R.A.V. v. City of St. Paul, 505 U.S. 428</w:t>
      </w:r>
    </w:p>
    <w:p w:rsidR="00A31137" w:rsidRPr="00A31137" w:rsidRDefault="00A31137" w:rsidP="00A31137">
      <w:r w:rsidRPr="00A31137">
        <w:t xml:space="preserve">As the foregoing suggests, I disagree with both the Court's and part of JUSTICE WHITE's analysis of the constitutionality of the St. Paul ordinance. Unlike the Court, I do not believe that all content-based regulations are equally infirm and presumptively invalid; unlike JUSTICE WHITE, I do not believe that fighting words are wholly unprotected by the First Amendment. To the contrary, I believe our decisions establish a more complex and subtle analysis, one that considers the content and context of the regulated speech, and the nature and scope of the restriction on speech. Applying this analysis and assuming arguendo (as the Court does) that the St. Paul ordinance is not overbroad, I conclude that such a selective, subject matter regulation on proscribable speech is constitutional. [505 U.S. 429] </w:t>
      </w:r>
    </w:p>
    <w:p w:rsidR="00A31137" w:rsidRPr="00A31137" w:rsidRDefault="00A31137" w:rsidP="00A31137">
      <w:r w:rsidRPr="00A31137">
        <w:t>1992, R.A.V. v. City of St. Paul, 505 U.S. 429</w:t>
      </w:r>
    </w:p>
    <w:p w:rsidR="00A31137" w:rsidRPr="00A31137" w:rsidRDefault="00A31137" w:rsidP="00A31137">
      <w:r w:rsidRPr="00A31137">
        <w:t>Not all content-based regulations are alike; our decisions clearly recognize that some content-based restrictions raise more constitutional questions than others. Although the Court's analysis of content-based regulations cannot be reduced to a simple formula, we have considered a number of factors in determining the validity of such regulations.</w:t>
      </w:r>
    </w:p>
    <w:p w:rsidR="00A31137" w:rsidRPr="00A31137" w:rsidRDefault="00A31137" w:rsidP="00A31137">
      <w:r w:rsidRPr="00A31137">
        <w:t>1992, R.A.V. v. City of St. Paul, 505 U.S. 429</w:t>
      </w:r>
    </w:p>
    <w:p w:rsidR="00A31137" w:rsidRPr="00A31137" w:rsidRDefault="00A31137" w:rsidP="00A31137">
      <w:r w:rsidRPr="00A31137">
        <w:t>First, as suggested above, the scope of protection provided expressive activity depends in part upon its content and character. We have long recognized that, when government regulates political speech or "the expression of editorial opinion on matters of public importance," FCC v. League of Women Voters of California, 468 U.S. 364, 375-376 (1984), "First Amendment protectio[n] is 'at its zenith.'" Meyer v. Grant, 486 U.S. 414, 425 (1988). In comparison, we have recognized that "commercial speech receives a limited form of First Amendment protection," Posadas de Puerto Rico Associates v. Tourism Co. of Puerto Rico, 478 U.S. 328, 340 (1986), and that</w:t>
      </w:r>
    </w:p>
    <w:p w:rsidR="00A31137" w:rsidRPr="00A31137" w:rsidRDefault="00A31137" w:rsidP="00A31137">
      <w:r w:rsidRPr="00A31137">
        <w:t>1992, R.A.V. v. City of St. Paul, 505 U.S. 429</w:t>
      </w:r>
    </w:p>
    <w:p w:rsidR="00A31137" w:rsidRPr="00A31137" w:rsidRDefault="00A31137" w:rsidP="00A31137">
      <w:r w:rsidRPr="00A31137">
        <w:t>society's interest in protecting [sexually explicit films] is of a wholly different, and lesser magnitude than [its] interest in untrammeled political debate.</w:t>
      </w:r>
    </w:p>
    <w:p w:rsidR="00A31137" w:rsidRPr="00A31137" w:rsidRDefault="00A31137" w:rsidP="00A31137">
      <w:r w:rsidRPr="00A31137">
        <w:t>1992, R.A.V. v. City of St. Paul, 505 U.S. 429</w:t>
      </w:r>
    </w:p>
    <w:p w:rsidR="00A31137" w:rsidRPr="00A31137" w:rsidRDefault="00A31137" w:rsidP="00A31137">
      <w:r w:rsidRPr="00A31137">
        <w:t>Young v. American Mini Theatres, 427 U.S. at  70; see also FCC v. Pacifica Foundation, 438 U.S. 726 (1978). The character of expressive activity also weighs in our consideration of its constitutional status. As we have frequently noted, "[t]he government generally has a freer hand in restricting expressive conduct than it has in restricting the written or spoken word." Texas v. Johnson, 491 U.S. 397,  406 (1989); see also United States v. O'Brien, 391 U.S. 367 (1968).</w:t>
      </w:r>
    </w:p>
    <w:p w:rsidR="00A31137" w:rsidRPr="00A31137" w:rsidRDefault="00A31137" w:rsidP="00A31137">
      <w:r w:rsidRPr="00A31137">
        <w:t>1992, R.A.V. v. City of St. Paul, 505 U.S. 429</w:t>
      </w:r>
    </w:p>
    <w:p w:rsidR="00A31137" w:rsidRPr="00A31137" w:rsidRDefault="00A31137" w:rsidP="00A31137">
      <w:r w:rsidRPr="00A31137">
        <w:t>The protection afforded expression turns as well on the context of the regulated speech. We have noted, for example, that</w:t>
      </w:r>
    </w:p>
    <w:p w:rsidR="00A31137" w:rsidRPr="00A31137" w:rsidRDefault="00A31137" w:rsidP="00A31137">
      <w:r w:rsidRPr="00A31137">
        <w:t>1992, R.A.V. v. City of St. Paul, 505 U.S. 429</w:t>
      </w:r>
    </w:p>
    <w:p w:rsidR="00A31137" w:rsidRPr="00A31137" w:rsidRDefault="00A31137" w:rsidP="00A31137">
      <w:r w:rsidRPr="00A31137">
        <w:t>[a]ny assessment of the precise scope of employer expression, of course, must be made in the context of its labor relations setting…[and] must take into account the economic dependence of the employees on their employers.</w:t>
      </w:r>
    </w:p>
    <w:p w:rsidR="00A31137" w:rsidRPr="00A31137" w:rsidRDefault="00A31137" w:rsidP="00A31137">
      <w:r w:rsidRPr="00A31137">
        <w:t>1992, R.A.V. v. City of St. Paul, 505 U.S. 429</w:t>
      </w:r>
    </w:p>
    <w:p w:rsidR="00A31137" w:rsidRPr="00A31137" w:rsidRDefault="00A31137" w:rsidP="00A31137">
      <w:r w:rsidRPr="00A31137">
        <w:t>NLRB v. Gissel Packing Co., 395 U.S. at 617. Similarly, the distinctive character of a university environment, see [505 U.S. 430] Widmar v. Vincent, 454 U.S. 263, 277-280 (1981) (STEVENS, J., concurring in judgment), or a secondary school environment, see Hazelwood School Dist. v. Kuhlmeier, 484 U.S. 260 (1988), influences our First Amendment analysis. The same is true of the presence of a "'captive audience[, one] there as a matter of necessity, not of choice.'" Lehman v. City of Shaker Heights, 418 U.S. at  302 (citation omitted). 6 Perhaps the most familiar embodiment of the relevance of context is our "fora" jurisprudence, differentiating the levels of protection afforded speech in different locations.</w:t>
      </w:r>
    </w:p>
    <w:p w:rsidR="00A31137" w:rsidRPr="00A31137" w:rsidRDefault="00A31137" w:rsidP="00A31137">
      <w:r w:rsidRPr="00A31137">
        <w:t>1992, R.A.V. v. City of St. Paul, 505 U.S. 430</w:t>
      </w:r>
    </w:p>
    <w:p w:rsidR="00A31137" w:rsidRPr="00A31137" w:rsidRDefault="00A31137" w:rsidP="00A31137">
      <w:r w:rsidRPr="00A31137">
        <w:t>The nature of a contested restriction of speech also informs our evaluation of its constitutionality. Thus, for example,</w:t>
      </w:r>
    </w:p>
    <w:p w:rsidR="00A31137" w:rsidRPr="00A31137" w:rsidRDefault="00A31137" w:rsidP="00A31137">
      <w:r w:rsidRPr="00A31137">
        <w:t>1992, R.A.V. v. City of St. Paul, 505 U.S. 430</w:t>
      </w:r>
    </w:p>
    <w:p w:rsidR="00A31137" w:rsidRPr="00A31137" w:rsidRDefault="00A31137" w:rsidP="00A31137">
      <w:r w:rsidRPr="00A31137">
        <w:t>[a]ny system of prior restraints of expression comes to this Court bearing a heavy presumption against its constitutional validity.</w:t>
      </w:r>
    </w:p>
    <w:p w:rsidR="00A31137" w:rsidRPr="00A31137" w:rsidRDefault="00A31137" w:rsidP="00A31137">
      <w:r w:rsidRPr="00A31137">
        <w:t>1992, R.A.V. v. City of St. Paul, 505 U.S. 430</w:t>
      </w:r>
    </w:p>
    <w:p w:rsidR="00A31137" w:rsidRPr="00A31137" w:rsidRDefault="00A31137" w:rsidP="00A31137">
      <w:r w:rsidRPr="00A31137">
        <w:t>Bantam Books, Inc. v. Sullivan, 372 U.S. 58, 70 (1963). More particularly to the matter of content-based regulations, we have implicitly distinguished between restrictions on expression based on subject matter and restrictions based on viewpoint, indicating that the latter are particularly pernicious.</w:t>
      </w:r>
    </w:p>
    <w:p w:rsidR="00A31137" w:rsidRPr="00A31137" w:rsidRDefault="00A31137" w:rsidP="00A31137">
      <w:r w:rsidRPr="00A31137">
        <w:t>1992, R.A.V. v. City of St. Paul, 505 U.S. 430</w:t>
      </w:r>
    </w:p>
    <w:p w:rsidR="00A31137" w:rsidRPr="00A31137" w:rsidRDefault="00A31137" w:rsidP="00A31137">
      <w:r w:rsidRPr="00A31137">
        <w:t>If there is a bedrock principle underlying the First Amendment, it is that the Government may not prohibit the expression of an idea simply because society finds the idea itself offensive or disagreeable.</w:t>
      </w:r>
    </w:p>
    <w:p w:rsidR="00A31137" w:rsidRPr="00A31137" w:rsidRDefault="00A31137" w:rsidP="00A31137">
      <w:r w:rsidRPr="00A31137">
        <w:t>1992, R.A.V. v. City of St. Paul, 505 U.S. 430</w:t>
      </w:r>
    </w:p>
    <w:p w:rsidR="00A31137" w:rsidRPr="00A31137" w:rsidRDefault="00A31137" w:rsidP="00A31137">
      <w:r w:rsidRPr="00A31137">
        <w:t>Texas v. Johnson, 491 U.S. at  414. "Viewpoint discrimination is censorship in its purest form," Perry Education Assn. v. Perry Local Educators' Assn., 460 U.S. 37,  62 (1983) (Brennan, J., dissenting), and requires particular scrutiny, in part because such regulation often indicates a legislative effort to skew public debate on an issue. See, e.g., Schacht v. United States, 398 U.S. 58, 63 (1970).</w:t>
      </w:r>
    </w:p>
    <w:p w:rsidR="00A31137" w:rsidRPr="00A31137" w:rsidRDefault="00A31137" w:rsidP="00A31137">
      <w:r w:rsidRPr="00A31137">
        <w:t>1992, R.A.V. v. City of St. Paul, 505 U.S. 430</w:t>
      </w:r>
    </w:p>
    <w:p w:rsidR="00A31137" w:rsidRPr="00A31137" w:rsidRDefault="00A31137" w:rsidP="00A31137">
      <w:r w:rsidRPr="00A31137">
        <w:t>Especially where…the legislature's suppression of speech suggests an attempt [505 U.S. 431] to give one side of a debatable public question an advantage in expressing its views to the people, the First Amendment is plainly offended.</w:t>
      </w:r>
    </w:p>
    <w:p w:rsidR="00A31137" w:rsidRPr="00A31137" w:rsidRDefault="00A31137" w:rsidP="00A31137">
      <w:r w:rsidRPr="00A31137">
        <w:t>1992, R.A.V. v. City of St. Paul, 505 U.S. 431</w:t>
      </w:r>
    </w:p>
    <w:p w:rsidR="00A31137" w:rsidRPr="00A31137" w:rsidRDefault="00A31137" w:rsidP="00A31137">
      <w:r w:rsidRPr="00A31137">
        <w:t>First National Bank of Boston v. Bellotti, 435 U.S. 765, 785-786 (1978). Thus, although a regulation that, on its face, regulates speech by subject matter may, in some instances, effectively suppress particular viewpoints, see, e.g., Consolidated Edison Co. of N.Y. v. Public Service Comm'n of N.Y., 447 U.S. 530, 546-547 (1980) (STEVENS, J., concurring in judgment), in general, viewpoint-based restrictions on expression require greater scrutiny than subject matter-based restrictions. 7</w:t>
      </w:r>
    </w:p>
    <w:p w:rsidR="00A31137" w:rsidRPr="00A31137" w:rsidRDefault="00A31137" w:rsidP="00A31137">
      <w:r w:rsidRPr="00A31137">
        <w:t>1992, R.A.V. v. City of St. Paul, 505 U.S. 431</w:t>
      </w:r>
    </w:p>
    <w:p w:rsidR="00A31137" w:rsidRPr="00A31137" w:rsidRDefault="00A31137" w:rsidP="00A31137">
      <w:r w:rsidRPr="00A31137">
        <w:t>Finally, in considering the validity of content-based regulations, we have also looked more broadly at the scope of the restrictions. For example, in Young v. American Mini Theatres, 427 U.S. at  71, we found significant the fact that "what [was] ultimately at stake [was] nothing more than a limitation on the place where adult films may be exhibited." Similarly, in FCC v. Pacifica Foundation, the Court emphasized two dimensions of the limited scope of the FCC ruling. First, the ruling concerned only broadcast material which presents particular problems because it "confronts the citizen…in the privacy of the home"; second, the ruling was not a complete ban on the use of selected offensive words, but rather merely a limitation on the times such speech could be broadcast. 438 U.S. at 749-750.</w:t>
      </w:r>
    </w:p>
    <w:p w:rsidR="00A31137" w:rsidRPr="00A31137" w:rsidRDefault="00A31137" w:rsidP="00A31137">
      <w:r w:rsidRPr="00A31137">
        <w:t>1992, R.A.V. v. City of St. Paul, 505 U.S. 431</w:t>
      </w:r>
    </w:p>
    <w:p w:rsidR="00A31137" w:rsidRPr="00A31137" w:rsidRDefault="00A31137" w:rsidP="00A31137">
      <w:r w:rsidRPr="00A31137">
        <w:t xml:space="preserve">All of these factors play some role in our evaluation of content-based regulations on expression. Such a multi-faceted analysis cannot be conflated into two dimensions. Whatever the allure of absolute doctrines, it is just too simple to declare expression "protected" or "unprotected" or to proclaim a regulation "content-based" or "content-neutral." [505 U.S. 432] </w:t>
      </w:r>
    </w:p>
    <w:p w:rsidR="00A31137" w:rsidRPr="00A31137" w:rsidRDefault="00A31137" w:rsidP="00A31137">
      <w:r w:rsidRPr="00A31137">
        <w:t>1992, R.A.V. v. City of St. Paul, 505 U.S. 432</w:t>
      </w:r>
    </w:p>
    <w:p w:rsidR="00A31137" w:rsidRPr="00A31137" w:rsidRDefault="00A31137" w:rsidP="00A31137">
      <w:r w:rsidRPr="00A31137">
        <w:t>In applying this analysis to the St. Paul ordinance, I assume arguendo—as the Court does—that the ordinance regulates only fighting words, and therefore is not overbroad. Looking to the content and character of the regulated activity, two things are clear. First, by hypothesis, the ordinance bars only low-value speech, namely, fighting words. By definition, such expression constitutes</w:t>
      </w:r>
    </w:p>
    <w:p w:rsidR="00A31137" w:rsidRPr="00A31137" w:rsidRDefault="00A31137" w:rsidP="00A31137">
      <w:r w:rsidRPr="00A31137">
        <w:t>1992, R.A.V. v. City of St. Paul, 505 U.S. 432</w:t>
      </w:r>
    </w:p>
    <w:p w:rsidR="00A31137" w:rsidRPr="00A31137" w:rsidRDefault="00A31137" w:rsidP="00A31137">
      <w:r w:rsidRPr="00A31137">
        <w:t>no essential part of any exposition of ideas, and [is] of such slight social value as a step to truth that any benefit that may be derived from [it] is clearly outweighed by the social interest in order and morality.</w:t>
      </w:r>
    </w:p>
    <w:p w:rsidR="00A31137" w:rsidRPr="00A31137" w:rsidRDefault="00A31137" w:rsidP="00A31137">
      <w:r w:rsidRPr="00A31137">
        <w:t>1992, R.A.V. v. City of St. Paul, 505 U.S. 432</w:t>
      </w:r>
    </w:p>
    <w:p w:rsidR="00A31137" w:rsidRPr="00A31137" w:rsidRDefault="00A31137" w:rsidP="00A31137">
      <w:r w:rsidRPr="00A31137">
        <w:t>Chaplinsky, 315 U.S. at  572. Second, the ordinance regulates "expressive conduct, [rather] than…the written or spoken word." Texas v. Johnson, 491 U.S. at  406.</w:t>
      </w:r>
    </w:p>
    <w:p w:rsidR="00A31137" w:rsidRPr="00A31137" w:rsidRDefault="00A31137" w:rsidP="00A31137">
      <w:r w:rsidRPr="00A31137">
        <w:t>1992, R.A.V. v. City of St. Paul, 505 U.S. 432</w:t>
      </w:r>
    </w:p>
    <w:p w:rsidR="00A31137" w:rsidRPr="00A31137" w:rsidRDefault="00A31137" w:rsidP="00A31137">
      <w:r w:rsidRPr="00A31137">
        <w:t xml:space="preserve">Looking to the context of the regulated activity, it is again significant that the statute (by hypothesis) regulates only fighting words. Whether words are fighting words is determined in part by their context. Fighting words are not words that merely cause offense; fighting words must be directed at individuals so as to, "by their very utterance, inflict injury." By hypothesis, then, the St. Paul ordinance restricts speech in confrontational and potentially violent situations. The case at hand is illustrative. The cross-burning in this case—directed as it was to a single African-American family trapped in their home—was nothing more than a crude form of physical intimidation. That this cross-burning sends a message of racial hostility does not automatically endow it with complete constitutional protection. 8 [505 U.S. 433] </w:t>
      </w:r>
    </w:p>
    <w:p w:rsidR="00A31137" w:rsidRPr="00A31137" w:rsidRDefault="00A31137" w:rsidP="00A31137">
      <w:r w:rsidRPr="00A31137">
        <w:t>1992, R.A.V. v. City of St. Paul, 505 U.S. 433</w:t>
      </w:r>
    </w:p>
    <w:p w:rsidR="00A31137" w:rsidRPr="00A31137" w:rsidRDefault="00A31137" w:rsidP="00A31137">
      <w:r w:rsidRPr="00A31137">
        <w:t>Significantly, the St. Paul ordinance regulates speech not on the basis of its subject matter or the viewpoint expressed, but rather on the basis of the harm the speech causes. In this regard, the Court fundamentally misreads the St. Paul ordinance. The Court describes the St. Paul ordinance as regulating expression "addressed to one of [several] specified disfavored topics," ante at  391 (emphasis supplied), as policing "disfavored subjects," ibid. (emphasis supplied), and as "prohibit[ing]…speech solely on the basis of the subjects the speech addresses." Ante at  381 (emphasis supplied). Contrary to the Court's suggestion, the ordinance regulates only a subcategory of expression that causes injuries based on "race, color, creed, religion or [505 U.S. 434] gender," not a subcategory that involves discussions that concern those characteristics. 9 The ordinance, as construed by the Court, criminalizes expression that "one knows…[, by its very utterance, inflicts injury on] others on the basis of race, color, creed, religion or gender." In this regard, the ordinance resembles the child pornography law at issue in Ferber, which, in effect, singled out child pornography because those publications caused far greater harms than pornography involving adults.</w:t>
      </w:r>
    </w:p>
    <w:p w:rsidR="00A31137" w:rsidRPr="00A31137" w:rsidRDefault="00A31137" w:rsidP="00A31137">
      <w:r w:rsidRPr="00A31137">
        <w:t>1992, R.A.V. v. City of St. Paul, 505 U.S. 434</w:t>
      </w:r>
    </w:p>
    <w:p w:rsidR="00A31137" w:rsidRPr="00A31137" w:rsidRDefault="00A31137" w:rsidP="00A31137">
      <w:r w:rsidRPr="00A31137">
        <w:t>Moreover, even if the St. Paul ordinance did regulate fighting words based on its subject matter, such a regulation would, in my opinion, be constitutional. As noted above, subject-matter-based regulations on commercial speech are widespread, and largely unproblematic. As we have long recognized, subject matter regulations generally do not raise the same concerns of government censorship and the distortion of public discourse presented by viewpoint regulations. Thus, in upholding subject matter regulations, we have carefully noted that viewpoint-based discrimination was not implicated. See Young v. American Mini Theatres, 427 U.S. at  67 (emphasizing "the need for absolute neutrality by the government," and observing that the contested statute was not animated by "hostility for the point of view" of the theatres); FCC v. Pacifica Foundation, 438 U.S. at 745-746 (stressing that "government must remain neutral in the marketplace of ideas"); see also FCC v. League of Women's Voters of California, 468 U.S. at 412-417 (STEVENS, J., dissenting); Metromedia, Inc. v. City of San Diego, 453 U.S. 490, 554-555 (1981) (STEVENS, J., dissenting in part). Indeed, some subject matter restrictions are a functional necessity in contemporary governance: "The First Amendment does not require States to regulate for problems that do not exist." Burson v. Freeman, 504 U.S. 207 (1992).</w:t>
      </w:r>
    </w:p>
    <w:p w:rsidR="00A31137" w:rsidRPr="00A31137" w:rsidRDefault="00A31137" w:rsidP="00A31137">
      <w:r w:rsidRPr="00A31137">
        <w:t>1992, R.A.V. v. City of St. Paul, 505 U.S. 434</w:t>
      </w:r>
    </w:p>
    <w:p w:rsidR="00A31137" w:rsidRPr="00A31137" w:rsidRDefault="00A31137" w:rsidP="00A31137">
      <w:r w:rsidRPr="00A31137">
        <w:t xml:space="preserve">Contrary to the suggestion of the majority, the St. Paul ordinance does not regulate expression based on viewpoint. The Court contends that the ordinance requires proponents of racial intolerance to "follow the Marquis of Queensbury Rules" while allowing advocates of racial tolerance to "fight freestyle." The law does no such thing. [505 U.S. 435] </w:t>
      </w:r>
    </w:p>
    <w:p w:rsidR="00A31137" w:rsidRPr="00A31137" w:rsidRDefault="00A31137" w:rsidP="00A31137">
      <w:r w:rsidRPr="00A31137">
        <w:t>1992, R.A.V. v. City of St. Paul, 505 U.S. 435</w:t>
      </w:r>
    </w:p>
    <w:p w:rsidR="00A31137" w:rsidRPr="00A31137" w:rsidRDefault="00A31137" w:rsidP="00A31137">
      <w:r w:rsidRPr="00A31137">
        <w:t>The Court writes:</w:t>
      </w:r>
    </w:p>
    <w:p w:rsidR="00A31137" w:rsidRPr="00A31137" w:rsidRDefault="00A31137" w:rsidP="00A31137">
      <w:r w:rsidRPr="00A31137">
        <w:t>1992, R.A.V. v. City of St. Paul, 505 U.S. 435</w:t>
      </w:r>
    </w:p>
    <w:p w:rsidR="00A31137" w:rsidRPr="00A31137" w:rsidRDefault="00A31137" w:rsidP="00A31137">
      <w:r w:rsidRPr="00A31137">
        <w:t>One could hold up a sign saying, for example, that all "anti-Catholic bigots" are misbegotten; but not that all "papists" are, for that would insult and provoke violence "on the basis of religion."</w:t>
      </w:r>
    </w:p>
    <w:p w:rsidR="00A31137" w:rsidRPr="00A31137" w:rsidRDefault="00A31137" w:rsidP="00A31137">
      <w:r w:rsidRPr="00A31137">
        <w:t>1992, R.A.V. v. City of St. Paul, 505 U.S. 435</w:t>
      </w:r>
    </w:p>
    <w:p w:rsidR="00A31137" w:rsidRPr="00A31137" w:rsidRDefault="00A31137" w:rsidP="00A31137">
      <w:r w:rsidRPr="00A31137">
        <w:t>Ante at 391-392. This may be true, but it hardly proves the Court's point. The Court's reasoning is asymmetrical. The response to a sign saying that "all [religious] bigots are misbegotten" is a sign saying that "all advocates of religious tolerance are misbegotten." Assuming such signs could be fighting words (which seems to me extremely unlikely), neither sign would be banned by the ordinance, for the attacks were not "based on…religion," but rather on one's beliefs about tolerance. Conversely (and again assuming such signs are fighting words), just as the ordinance would prohibit a Muslim from hoisting a sign claiming that all Catholics were misbegotten, so the ordinance would bar a Catholic from hoisting a similar sign attacking Muslims.</w:t>
      </w:r>
    </w:p>
    <w:p w:rsidR="00A31137" w:rsidRPr="00A31137" w:rsidRDefault="00A31137" w:rsidP="00A31137">
      <w:r w:rsidRPr="00A31137">
        <w:t>1992, R.A.V. v. City of St. Paul, 505 U.S. 435</w:t>
      </w:r>
    </w:p>
    <w:p w:rsidR="00A31137" w:rsidRPr="00A31137" w:rsidRDefault="00A31137" w:rsidP="00A31137">
      <w:r w:rsidRPr="00A31137">
        <w:t xml:space="preserve">The St. Paul ordinance is evenhanded. In a battle between advocates of tolerance and advocates of intolerance, the ordinance does not prevent either side from hurling fighting words at the other on the basis of their conflicting ideas, but it does bar both sides from hurling such words on the basis of the target's "race, color, creed, religion or gender." To extend the Court's pugilistic metaphor, the St. Paul ordinance simply bans punches "below the belt"—by either party. It does not, therefore, favor one side of any debate. 10 [505 U.S. 436] </w:t>
      </w:r>
    </w:p>
    <w:p w:rsidR="00A31137" w:rsidRPr="00A31137" w:rsidRDefault="00A31137" w:rsidP="00A31137">
      <w:r w:rsidRPr="00A31137">
        <w:t>1992, R.A.V. v. City of St. Paul, 505 U.S. 436</w:t>
      </w:r>
    </w:p>
    <w:p w:rsidR="00A31137" w:rsidRPr="00A31137" w:rsidRDefault="00A31137" w:rsidP="00A31137">
      <w:r w:rsidRPr="00A31137">
        <w:t>Finally, it is noteworthy that the St. Paul ordinance is, as construed by the Court today, quite narrow. The St. Paul ordinance does not ban all "hate speech," nor does it ban, say, all cross-burnings or all swastika displays. Rather, it only bans a subcategory of the already narrow category of fighting words. Such a limited ordinance leaves open and protected a vast range of expression on the subjects of racial, religious, and gender equality. As construed by the Court today, the ordinance certainly does not "'raise the specter that the Government may effectively drive certain ideas or viewpoints from the marketplace.'" Ante at  387. Petitioner is free to burn a cross to announce a rally or to express his views about racial supremacy, he may do so on private property or public land, at day or at night, so long as the burning is not so threatening and so directed at an individual as to, "by its very [execution,] inflict injury." Such a limited proscription scarcely offends the First Amendment.</w:t>
      </w:r>
    </w:p>
    <w:p w:rsidR="00A31137" w:rsidRPr="00A31137" w:rsidRDefault="00A31137" w:rsidP="00A31137">
      <w:r w:rsidRPr="00A31137">
        <w:t>1992, R.A.V. v. City of St. Paul, 505 U.S. 436</w:t>
      </w:r>
    </w:p>
    <w:p w:rsidR="00A31137" w:rsidRPr="00A31137" w:rsidRDefault="00A31137" w:rsidP="00A31137">
      <w:r w:rsidRPr="00A31137">
        <w:t>In sum, the St. Paul ordinance (as construed by the Court) regulates expressive activity that is wholly proscribable, and does so not on the basis of viewpoint, but rather in recognition of the different harms caused by such activity. Taken together, these several considerations persuade me that the St. Paul ordinance is not an unconstitutional content-based regulation of speech. Thus, were the ordinance not overbroad, I would vote to uphold it.</w:t>
      </w:r>
    </w:p>
    <w:p w:rsidR="00A31137" w:rsidRPr="00A31137" w:rsidRDefault="00A31137" w:rsidP="00A31137">
      <w:r w:rsidRPr="00A31137">
        <w:t>Footnotes</w:t>
      </w:r>
    </w:p>
    <w:p w:rsidR="00A31137" w:rsidRPr="00A31137" w:rsidRDefault="00A31137" w:rsidP="00A31137">
      <w:r w:rsidRPr="00A31137">
        <w:t>SCALIA, J., lead opinion (Footnotes)</w:t>
      </w:r>
    </w:p>
    <w:p w:rsidR="00A31137" w:rsidRPr="00A31137" w:rsidRDefault="00A31137" w:rsidP="00A31137">
      <w:r w:rsidRPr="00A31137">
        <w:t>1992, R.A.V. v. City of St. Paul, 505 U.S. 436</w:t>
      </w:r>
    </w:p>
    <w:p w:rsidR="00A31137" w:rsidRPr="00A31137" w:rsidRDefault="00A31137" w:rsidP="00A31137">
      <w:r w:rsidRPr="00A31137">
        <w:t>1. The conduct might have violated Minnesota statutes carrying significant penalties. See, e.g., Minn.Stat. § 609.713(1) (1987) (providing for up to five years in prison for terroristic threats); § 609.563 (arson) (providing for up to five years and a $10,000 fine, depending on the value of the property intended to be damaged); § 609.595 (Supp.1992) (criminal damage to property) (providing for up to one year and a $3,000 fine, depending upon the extent of the damage to the property).</w:t>
      </w:r>
    </w:p>
    <w:p w:rsidR="00A31137" w:rsidRPr="00A31137" w:rsidRDefault="00A31137" w:rsidP="00A31137">
      <w:r w:rsidRPr="00A31137">
        <w:t>1992, R.A.V. v. City of St. Paul, 505 U.S. 436</w:t>
      </w:r>
    </w:p>
    <w:p w:rsidR="00A31137" w:rsidRPr="00A31137" w:rsidRDefault="00A31137" w:rsidP="00A31137">
      <w:r w:rsidRPr="00A31137">
        <w:t>2. Petitioner has also been charged, in Count I of the delinquency petition, with a violation of Minn.Stat. § 609.2231(4) (Supp.1990) (racially motivated assaults). Petitioner did not challenge this count.</w:t>
      </w:r>
    </w:p>
    <w:p w:rsidR="00A31137" w:rsidRPr="00A31137" w:rsidRDefault="00A31137" w:rsidP="00A31137">
      <w:r w:rsidRPr="00A31137">
        <w:t>1992, R.A.V. v. City of St. Paul, 505 U.S. 436</w:t>
      </w:r>
    </w:p>
    <w:p w:rsidR="00A31137" w:rsidRPr="00A31137" w:rsidRDefault="00A31137" w:rsidP="00A31137">
      <w:r w:rsidRPr="00A31137">
        <w:t>3. Contrary to JUSTICE WHITE's suggestion, post at 397-398, petitioner's claim is "fairly included" within the questions presented in the petition for certiorari, see this Court's Rule 14.1(a). It was clear from the petition and from petitioner's other filings in this Court (and in the courts below) that his assertion that the St. Paul ordinance "violat[es] overbreadth…principles of the First Amendment," Pet. for Cert. i, was not just a technical "overbreadth" claim—i.e., a claim that the ordinance violated the rights of too many third parties—but included the contention that the ordinance was "overbroad" in the sense of restricting more speech than the Constitution permits, even in its application to him, because it is content-based. An important component of petitioner's argument is, and has been all along, that narrowly construing the ordinance to cover only "fighting words" cannot cure this fundamental defect. Id. at 12, 14, 15-16. In his briefs in this Court, petitioner argued that a narrowing construction was ineffective because (1) its boundaries were vague, Brief for Petitioner 26, and because (2) denominating particular expression a "fighting word" because of the impact of its ideological content upon the audience is inconsistent with the First Amendment, Reply Brief for Petitioner 5; id. at 13 ("[The ordinance] is overbroad, viewpoint-discriminatory and vague as 'narrowly construed'") (emphasis added). At oral argument, counsel for Petitioner reiterated this second point:</w:t>
      </w:r>
    </w:p>
    <w:p w:rsidR="00A31137" w:rsidRPr="00A31137" w:rsidRDefault="00A31137" w:rsidP="00A31137">
      <w:r w:rsidRPr="00A31137">
        <w:t>1992, R.A.V. v. City of St. Paul, 505 U.S. 436</w:t>
      </w:r>
    </w:p>
    <w:p w:rsidR="00A31137" w:rsidRPr="00A31137" w:rsidRDefault="00A31137" w:rsidP="00A31137">
      <w:r w:rsidRPr="00A31137">
        <w:t>It is…one of my positions that, in [punishing only some fighting words and not others], even though it is a subcategory, technically, of unprotected conduct, [the ordinance] still is picking out an opinion, a disfavored message, and making that clear through the State.</w:t>
      </w:r>
    </w:p>
    <w:p w:rsidR="00A31137" w:rsidRPr="00A31137" w:rsidRDefault="00A31137" w:rsidP="00A31137">
      <w:r w:rsidRPr="00A31137">
        <w:t>1992, R.A.V. v. City of St. Paul, 505 U.S. 436</w:t>
      </w:r>
    </w:p>
    <w:p w:rsidR="00A31137" w:rsidRPr="00A31137" w:rsidRDefault="00A31137" w:rsidP="00A31137">
      <w:r w:rsidRPr="00A31137">
        <w:t>Tr. of Oral Arg. 8. In resting our judgment upon this contention, we have not departed from our criteria of what is "fairly included" within the petition. See Arkansas Electric Cooperative Corp. v. Arkansas Pub. Serv. Comm'n, 461 U.S. 375, 382, n. 6 (1983); Brown v. Socialist Workers '74 Campaign Comm., 459 U.S. 87,  94, n. 9 (1982); Eddings v. Oklahoma, 455 U.S. 104, 113, n. 9 (1982); see generally R. Stern, E. Gressman, &amp; S. Shapiro, Supreme Court Practice 361 (6th ed. 1986).</w:t>
      </w:r>
    </w:p>
    <w:p w:rsidR="00A31137" w:rsidRPr="00A31137" w:rsidRDefault="00A31137" w:rsidP="00A31137">
      <w:r w:rsidRPr="00A31137">
        <w:t>1992, R.A.V. v. City of St. Paul, 505 U.S. 436</w:t>
      </w:r>
    </w:p>
    <w:p w:rsidR="00A31137" w:rsidRPr="00A31137" w:rsidRDefault="00A31137" w:rsidP="00A31137">
      <w:r w:rsidRPr="00A31137">
        <w:t>4. JUSTICE WHITE concedes that a city council cannot prohibit only those legally obscene works that contain criticism of the city government, post at  406, but asserts that to be the consequence, not of the First Amendment, but of the Equal Protection Clause. Such content-based discrimination would not, he asserts, "be rationally related to a legitimate government interest," ibid. But of course the only reason that government interest is not a "legitimate" one is that it violates the First Amendment. This Court itself has occasionally fused the First Amendment into the Equal Protection Clause in this fashion, but at least with the acknowledgment (which JUSTICE WHITE cannot afford to make) that the First Amendment underlies its analysis. See Police Dept. of Chicago v. Mosley, 408 U.S. 92, 95 (1972) (ordinance prohibiting only nonlabor picketing violated the Equal Protection Clause because there was no "appropriate governmental interest" supporting the distinction, inasmuch as "the First Amendment means that government has no power to restrict expression because of its message, its ideas, its subject matter, or its content"); Carey v. Brown, 447 U.S. 455 (1980). See generally Simon &amp; Schuster, Inc. v. Members of N.Y. State Crime Victims Bd., 502 U.S. 105,  124 (1991) (KENNEDY, J., concurring in judgment).</w:t>
      </w:r>
    </w:p>
    <w:p w:rsidR="00A31137" w:rsidRPr="00A31137" w:rsidRDefault="00A31137" w:rsidP="00A31137">
      <w:r w:rsidRPr="00A31137">
        <w:t>1992, R.A.V. v. City of St. Paul, 505 U.S. 436</w:t>
      </w:r>
    </w:p>
    <w:p w:rsidR="00A31137" w:rsidRPr="00A31137" w:rsidRDefault="00A31137" w:rsidP="00A31137">
      <w:r w:rsidRPr="00A31137">
        <w:t>JUSTICE STEVENS seeks to avoid the point by dismissing the notion of obscene anti-government speech as "fantastical," post at  418, apparently believing that any reference to politics prevents a finding of obscenity. Unfortunately for the purveyors of obscenity, that is obviously false. A shockingly hard core pornographic movie that contains a model sporting a political tattoo can be found, "taken as a whole, [to] lac[k] serious literary, artistic, political, or scientific value," Miller v. California, 413 U.S. 15,  24 (1973) (emphasis added). Anyway, it is easy enough to come up with other illustrations of a content-based restriction upon "unprotected speech" that is obviously invalid: the antigovernment libel illustration mentioned earlier, for one. See supra at  384. And of course the concept of racist fighting words is, unfortunately, anything but a "highly speculative hypothetica[l]," post at  419.</w:t>
      </w:r>
    </w:p>
    <w:p w:rsidR="00A31137" w:rsidRPr="00A31137" w:rsidRDefault="00A31137" w:rsidP="00A31137">
      <w:r w:rsidRPr="00A31137">
        <w:t>1992, R.A.V. v. City of St. Paul, 505 U.S. 436</w:t>
      </w:r>
    </w:p>
    <w:p w:rsidR="00A31137" w:rsidRPr="00A31137" w:rsidRDefault="00A31137" w:rsidP="00A31137">
      <w:r w:rsidRPr="00A31137">
        <w:t>5. Although JUSTICE WHITE asserts that our analysis disregards "established principles of First Amendment law," post at  415, he cites not a single case (and we are aware of none) that even involved, much less considered and resolved, the issue of content discrimination through regulation of "unprotected" speech—though we plainly recognized that as an issue in Ferber. It is, of course, contrary to all traditions of our jurisprudence to consider the law on this point conclusively resolved by broad language in cases where the issue was not presented or even envisioned.</w:t>
      </w:r>
    </w:p>
    <w:p w:rsidR="00A31137" w:rsidRPr="00A31137" w:rsidRDefault="00A31137" w:rsidP="00A31137">
      <w:r w:rsidRPr="00A31137">
        <w:t>1992, R.A.V. v. City of St. Paul, 505 U.S. 436</w:t>
      </w:r>
    </w:p>
    <w:p w:rsidR="00A31137" w:rsidRPr="00A31137" w:rsidRDefault="00A31137" w:rsidP="00A31137">
      <w:r w:rsidRPr="00A31137">
        <w:t>6. JUSTICE STEVENS cites a string of opinions as supporting his assertion that "selective regulation of speech based on content" is not presumptively invalid. Post at 421-422. Analysis reveals, however, that they do not support it. To begin with, three of them did not command a majority of the Court, Young v. American Mini Theatres, Inc., 427 U.S. 50, 63-73 (1976) (plurality); FCC v. Pacifica Foundation, 438 U.S. 726, 744-748 (1978) (plurality); Lehman v. City of Shaker Heights, 418 U.S. 298 (1974) (plurality), and two others did not even discuss the First Amendment, Morales v. Trans World Airlines, Inc., 504 U.S. 374 (1992); Jacob Siegel Co. v. FTC, 327 U.S. 608 (1946). In any event, all that their contents establish is what we readily concede: that presumptive invalidity does not mean invariable invalidity, leaving room for such exceptions as reasonable and viewpoint-neutral content-based discrimination in nonpublic forums, see Lehman, supra, 418 U.S. at 301-304; see also Cornelius v. NAACP Legal Defense &amp; Educational Fund, Inc., 473 U.S. 788,  806 (1985), or with respect to certain speech by government employees, see Broadrick v. Oklahoma, 413 U.S. 601 (1973); see also CSC v. Letter Carriers, 413 U.S. 548, 564-567 (1973).</w:t>
      </w:r>
    </w:p>
    <w:p w:rsidR="00A31137" w:rsidRPr="00A31137" w:rsidRDefault="00A31137" w:rsidP="00A31137">
      <w:r w:rsidRPr="00A31137">
        <w:t>1992, R.A.V. v. City of St. Paul, 505 U.S. 436</w:t>
      </w:r>
    </w:p>
    <w:p w:rsidR="00A31137" w:rsidRPr="00A31137" w:rsidRDefault="00A31137" w:rsidP="00A31137">
      <w:r w:rsidRPr="00A31137">
        <w:t>7. St. Paul has not argued in this case that the ordinance merely regulates that subclass of fighting words which is most likely to provoke a violent response. But even if one assumes (as appears unlikely) that the categories selected may be so described, that would not justify selective regulation under a "secondary effects" theory. The only reason why such expressive conduct would be especially correlated with violence is that it conveys a particularly odious message, because the "chain of causation" thus necessarily "run[s] through the persuasive effect of the expressive component" of the conduct, Barnes v. Glen Theatre, 501 U.S. 560,  586 (1991) (SOUTER, J., concurring in judgment), it is clear that the St. Paul ordinance regulates on the basis of the "primary" effect of the speech—i.e., its persuasive (or repellant) force.</w:t>
      </w:r>
    </w:p>
    <w:p w:rsidR="00A31137" w:rsidRPr="00A31137" w:rsidRDefault="00A31137" w:rsidP="00A31137">
      <w:r w:rsidRPr="00A31137">
        <w:t>1992, R.A.V. v. City of St. Paul, 505 U.S. 436</w:t>
      </w:r>
    </w:p>
    <w:p w:rsidR="00A31137" w:rsidRPr="00A31137" w:rsidRDefault="00A31137" w:rsidP="00A31137">
      <w:r w:rsidRPr="00A31137">
        <w:t>8. A plurality of the Court reached a different conclusion with regard to the Tennessee anti-electioneering statute considered earlier this Term in Burson v. Freeman, 504 U.S. 191 (1992). In light of the "logical connection" between electioneering and the State's compelling interest in preventing voter intimidation and election fraud—an inherent connection borne out by a "long history" and a "widespread and time-tested consensus," id. at 206, 208—the plurality concluded that it was faced with one of those "rare case[s]" in which the use of a facially content-based restriction was justified by interests unrelated to the suppression of ideas, id. at 211; see also id. at 213 (KENNEDY, J., concurring). JUSTICE WHITE and JUSTICE STEVENS are therefore quite mistaken when they seek to convert the Burson plurality's passing comment that "[t]he First Amendment does not require States to regulate for problems that do not exist," id. at 207, into endorsement of the revolutionary proposition that the suppression of particular ideas can be justified when only those ideas have been a source of trouble in the past. Post at  405 (WHITE, J.); post at  434 (STEVENS, J.).</w:t>
      </w:r>
    </w:p>
    <w:p w:rsidR="00A31137" w:rsidRPr="00A31137" w:rsidRDefault="00A31137" w:rsidP="00A31137">
      <w:r w:rsidRPr="00A31137">
        <w:t>WHITE, J., concurring (Footnotes)</w:t>
      </w:r>
    </w:p>
    <w:p w:rsidR="00A31137" w:rsidRPr="00A31137" w:rsidRDefault="00A31137" w:rsidP="00A31137">
      <w:r w:rsidRPr="00A31137">
        <w:t>1992, R.A.V. v. City of St. Paul, 505 U.S. 436</w:t>
      </w:r>
    </w:p>
    <w:p w:rsidR="00A31137" w:rsidRPr="00A31137" w:rsidRDefault="00A31137" w:rsidP="00A31137">
      <w:r w:rsidRPr="00A31137">
        <w:t>1. The Court granted certiorari to review the following questions:</w:t>
      </w:r>
    </w:p>
    <w:p w:rsidR="00A31137" w:rsidRPr="00A31137" w:rsidRDefault="00A31137" w:rsidP="00A31137">
      <w:r w:rsidRPr="00A31137">
        <w:t>1992, R.A.V. v. City of St. Paul, 505 U.S. 436</w:t>
      </w:r>
    </w:p>
    <w:p w:rsidR="00A31137" w:rsidRPr="00A31137" w:rsidRDefault="00A31137" w:rsidP="00A31137">
      <w:r w:rsidRPr="00A31137">
        <w:t>1. May a local government enact a content-based, 'hate-crime' ordinance prohibiting the display of symbols, including a Nazi swastika or a burning cross, on public or private property, which one knows or has reason to know arouses anger, alarm, or resentment in others on the basis of race, color, creed, religion, or gender without violating overbreadth and vagueness principles of the First Amendment to the United States Constitution?</w:t>
      </w:r>
    </w:p>
    <w:p w:rsidR="00A31137" w:rsidRPr="00A31137" w:rsidRDefault="00A31137" w:rsidP="00A31137">
      <w:r w:rsidRPr="00A31137">
        <w:t>1992, R.A.V. v. City of St. Paul, 505 U.S. 436</w:t>
      </w:r>
    </w:p>
    <w:p w:rsidR="00A31137" w:rsidRPr="00A31137" w:rsidRDefault="00A31137" w:rsidP="00A31137">
      <w:r w:rsidRPr="00A31137">
        <w:t>2. Can the constitutionality of such a vague and substantially overbroad content-based restraint of expression be saved by a limiting construction, like that used to save the vague and overbroad content-neutral laws, restricting its application to "fighting words" or "imminent lawless action?"</w:t>
      </w:r>
    </w:p>
    <w:p w:rsidR="00A31137" w:rsidRPr="00A31137" w:rsidRDefault="00A31137" w:rsidP="00A31137">
      <w:r w:rsidRPr="00A31137">
        <w:t>1992, R.A.V. v. City of St. Paul, 505 U.S. 436</w:t>
      </w:r>
    </w:p>
    <w:p w:rsidR="00A31137" w:rsidRPr="00A31137" w:rsidRDefault="00A31137" w:rsidP="00A31137">
      <w:r w:rsidRPr="00A31137">
        <w:t>Pet. for Cert. i.</w:t>
      </w:r>
    </w:p>
    <w:p w:rsidR="00A31137" w:rsidRPr="00A31137" w:rsidRDefault="00A31137" w:rsidP="00A31137">
      <w:r w:rsidRPr="00A31137">
        <w:t>1992, R.A.V. v. City of St. Paul, 505 U.S. 436</w:t>
      </w:r>
    </w:p>
    <w:p w:rsidR="00A31137" w:rsidRPr="00A31137" w:rsidRDefault="00A31137" w:rsidP="00A31137">
      <w:r w:rsidRPr="00A31137">
        <w:t>It has long been the rule of this Court that "[o]nly the questions set forth in the petition, or fairly included therein, will be considered by the Court." This Court's Rule 14.1(a). This Rule has served to focus the issues presented for review. But the majority reads the Rule so expansively that any First Amendment theory would appear to be "fairly included" within the questions quoted above.</w:t>
      </w:r>
    </w:p>
    <w:p w:rsidR="00A31137" w:rsidRPr="00A31137" w:rsidRDefault="00A31137" w:rsidP="00A31137">
      <w:r w:rsidRPr="00A31137">
        <w:t>1992, R.A.V. v. City of St. Paul, 505 U.S. 436</w:t>
      </w:r>
    </w:p>
    <w:p w:rsidR="00A31137" w:rsidRPr="00A31137" w:rsidRDefault="00A31137" w:rsidP="00A31137">
      <w:r w:rsidRPr="00A31137">
        <w:t>Contrary to the impression the majority attempts to create through its selective quotation of petitioner's briefs, see ante at 381-382, n. 3, petitioner did not present to this Court or the Minnesota Supreme Court anything approximating the novel theory the majority adopts today. Most certainly petitioner did not "reiterat[e]" such a claim at argument; he responded to a question from the bench. Tr. of Oral Arg. 8. Previously, this Court has shown the restraint to refrain from deciding cases on the basis of its own theories when they have not been pressed or passed upon by a state court of last resort. See, e.g., Illinois v. Gates, 462 U.S. 213, 217-224 (1983).</w:t>
      </w:r>
    </w:p>
    <w:p w:rsidR="00A31137" w:rsidRPr="00A31137" w:rsidRDefault="00A31137" w:rsidP="00A31137">
      <w:r w:rsidRPr="00A31137">
        <w:t>1992, R.A.V. v. City of St. Paul, 505 U.S. 436</w:t>
      </w:r>
    </w:p>
    <w:p w:rsidR="00A31137" w:rsidRPr="00A31137" w:rsidRDefault="00A31137" w:rsidP="00A31137">
      <w:r w:rsidRPr="00A31137">
        <w:t>Given this threshold issue, it is my view that the Court lacks jurisdiction to decide the case on the majority rationale. Cf. Arkansas Elec. Cooperative Corp. v. Arkansas Public Serv. Comm'n, 461 U.S. 375, 382, n. 6 (1983). Certainly the preliminary jurisdictional and prudential concerns are sufficiently weighty that we would never have granted certiorari, had petitioner sought review of a question based on the majority's decisional theory.</w:t>
      </w:r>
    </w:p>
    <w:p w:rsidR="00A31137" w:rsidRPr="00A31137" w:rsidRDefault="00A31137" w:rsidP="00A31137">
      <w:r w:rsidRPr="00A31137">
        <w:t>1992, R.A.V. v. City of St. Paul, 505 U.S. 436</w:t>
      </w:r>
    </w:p>
    <w:p w:rsidR="00A31137" w:rsidRPr="00A31137" w:rsidRDefault="00A31137" w:rsidP="00A31137">
      <w:r w:rsidRPr="00A31137">
        <w:t>2.</w:t>
      </w:r>
    </w:p>
    <w:p w:rsidR="00A31137" w:rsidRPr="00A31137" w:rsidRDefault="00A31137" w:rsidP="00A31137">
      <w:r w:rsidRPr="00A31137">
        <w:t>1992, R.A.V. v. City of St. Paul, 505 U.S. 436</w:t>
      </w:r>
    </w:p>
    <w:p w:rsidR="00A31137" w:rsidRPr="00A31137" w:rsidRDefault="00A31137" w:rsidP="00A31137">
      <w:r w:rsidRPr="00A31137">
        <w:t>In each of these areas, the limits of the unprotected category, as well as the unprotected character of particular communications, have been determined by the judicial evaluation of special facts that have been deemed to have constitutional significance.</w:t>
      </w:r>
    </w:p>
    <w:p w:rsidR="00A31137" w:rsidRPr="00A31137" w:rsidRDefault="00A31137" w:rsidP="00A31137">
      <w:r w:rsidRPr="00A31137">
        <w:t>1992, R.A.V. v. City of St. Paul, 505 U.S. 436</w:t>
      </w:r>
    </w:p>
    <w:p w:rsidR="00A31137" w:rsidRPr="00A31137" w:rsidRDefault="00A31137" w:rsidP="00A31137">
      <w:r w:rsidRPr="00A31137">
        <w:t>Bose Corp. v. Consumers Union of United States, Inc., 466 U.S. 485, 504-505 (1948).</w:t>
      </w:r>
    </w:p>
    <w:p w:rsidR="00A31137" w:rsidRPr="00A31137" w:rsidRDefault="00A31137" w:rsidP="00A31137">
      <w:r w:rsidRPr="00A31137">
        <w:t>1992, R.A.V. v. City of St. Paul, 505 U.S. 436</w:t>
      </w:r>
    </w:p>
    <w:p w:rsidR="00A31137" w:rsidRPr="00A31137" w:rsidRDefault="00A31137" w:rsidP="00A31137">
      <w:r w:rsidRPr="00A31137">
        <w:t>3. The assortment of exceptions the Court attaches to its rule belies the majority's claim, see ante at  387, that its new theory is truly concerned with content discrimination. See Part I(C), infra (discussing the exceptions).</w:t>
      </w:r>
    </w:p>
    <w:p w:rsidR="00A31137" w:rsidRPr="00A31137" w:rsidRDefault="00A31137" w:rsidP="00A31137">
      <w:r w:rsidRPr="00A31137">
        <w:t>1992, R.A.V. v. City of St. Paul, 505 U.S. 436</w:t>
      </w:r>
    </w:p>
    <w:p w:rsidR="00A31137" w:rsidRPr="00A31137" w:rsidRDefault="00A31137" w:rsidP="00A31137">
      <w:r w:rsidRPr="00A31137">
        <w:t>4. This does not suggest, of course, that cross-burning is always unprotected. Burning a cross at a political rally would almost certainly be protected expression. Cf. Brandenburg v. Ohio, 395 U.S. 444,  445 (1969). But in such a context, the cross-burning could not be characterized as a "direct personal insult or an invitation to exchange fisticuffs," Texas v. Johnson, 491 U.S. 397,  409 (1989), to which the fighting words doctrine, see Part II, infra, applies.</w:t>
      </w:r>
    </w:p>
    <w:p w:rsidR="00A31137" w:rsidRPr="00A31137" w:rsidRDefault="00A31137" w:rsidP="00A31137">
      <w:r w:rsidRPr="00A31137">
        <w:t>1992, R.A.V. v. City of St. Paul, 505 U.S. 436</w:t>
      </w:r>
    </w:p>
    <w:p w:rsidR="00A31137" w:rsidRPr="00A31137" w:rsidRDefault="00A31137" w:rsidP="00A31137">
      <w:r w:rsidRPr="00A31137">
        <w:t>5. The majority relies on Boos v. Barry, 485 U.S. 312 (1988), in arguing that the availability of content-neutral alternatives "'undercut[s] significantly'" a claim that content-based legislation is "'necessary to serve the asserted [compelling] interest.'" Ante at  395 (quoting Boos, supra, at 3329, and Burson v. Freeman, 504 U.S. 191, 199 (plurality)). Boos does not support the majority's analysis. In Boos, Congress already had decided that the challenged legislation was not necessary, and the Court pointedly deferred to this choice. 485 U.S. at 329. St. Paul lawmakers have made no such legislative choice.</w:t>
      </w:r>
    </w:p>
    <w:p w:rsidR="00A31137" w:rsidRPr="00A31137" w:rsidRDefault="00A31137" w:rsidP="00A31137">
      <w:r w:rsidRPr="00A31137">
        <w:t>1992, R.A.V. v. City of St. Paul, 505 U.S. 436</w:t>
      </w:r>
    </w:p>
    <w:p w:rsidR="00A31137" w:rsidRPr="00A31137" w:rsidRDefault="00A31137" w:rsidP="00A31137">
      <w:r w:rsidRPr="00A31137">
        <w:t>Moreover, in Boos, the Court held that the challenged statute was not narrowly tailored, because a less restrictive alternative was available. Ibid. But the Court's analysis today turns Boos inside-out by substituting the majority's policy judgment that a more restrictive alternative could adequately serve the compelling need identified by St. Paul lawmakers. The result would be: (a) a statute that was not tailored to fit the need identified by the government; and (b) a greater restriction on fighting words, even though the Court clearly believes that fighting words have protected expressive content. Ante at 384-385.</w:t>
      </w:r>
    </w:p>
    <w:p w:rsidR="00A31137" w:rsidRPr="00A31137" w:rsidRDefault="00A31137" w:rsidP="00A31137">
      <w:r w:rsidRPr="00A31137">
        <w:t>1992, R.A.V. v. City of St. Paul, 505 U.S. 436</w:t>
      </w:r>
    </w:p>
    <w:p w:rsidR="00A31137" w:rsidRPr="00A31137" w:rsidRDefault="00A31137" w:rsidP="00A31137">
      <w:r w:rsidRPr="00A31137">
        <w:t>6. Earlier this Term, seven of the eight participating members of the Court agreed that strict scrutiny analysis applied in Simon &amp; Schuster, Inc. v. Members of N.Y. State Crime Victims Bd., 502 U.S. 105 (1991), in which we struck down New York's "Son of Sam" law, which required "that an accused or convicted criminal's income from works describing his crime be deposited in an escrow account." Id. at  108.</w:t>
      </w:r>
    </w:p>
    <w:p w:rsidR="00A31137" w:rsidRPr="00A31137" w:rsidRDefault="00A31137" w:rsidP="00A31137">
      <w:r w:rsidRPr="00A31137">
        <w:t>1992, R.A.V. v. City of St. Paul, 505 U.S. 436</w:t>
      </w:r>
    </w:p>
    <w:p w:rsidR="00A31137" w:rsidRPr="00A31137" w:rsidRDefault="00A31137" w:rsidP="00A31137">
      <w:r w:rsidRPr="00A31137">
        <w:t>7. The Burson dissenters did not complain that the plurality erred in applying strict scrutiny; they objected that the plurality was not sufficiently rigorous in its review. 504 U.S. at 225-226 (STEVENS, J., dissenting).</w:t>
      </w:r>
    </w:p>
    <w:p w:rsidR="00A31137" w:rsidRPr="00A31137" w:rsidRDefault="00A31137" w:rsidP="00A31137">
      <w:r w:rsidRPr="00A31137">
        <w:t>1992, R.A.V. v. City of St. Paul, 505 U.S. 436</w:t>
      </w:r>
    </w:p>
    <w:p w:rsidR="00A31137" w:rsidRPr="00A31137" w:rsidRDefault="00A31137" w:rsidP="00A31137">
      <w:r w:rsidRPr="00A31137">
        <w:t>8. JUSTICE SCALIA concurred in the judgment in Burson, reasoning that the statute, "though content-based, is constitutional [as] a reasonable, viewpoint-neutral regulation of a nonpublic forum." Id. at 214. However, nothing in his reasoning in the present case suggests that a content-based ban on fighting words would be constitutional were that ban limited to nonpublic fora. Taken together, the two opinions suggest that, in some settings, political speech, to which "the First Amendment 'has its fullest and most urgent application,'" is entitled to less constitutional protection than fighting words. Eu v. San Francisco County Democratic Central Comm., 489 U.S. 214, 223 (1989) (quoting Monitor Patriot Co. v. Roy, 401 U.S. 265, 272 (1971)).</w:t>
      </w:r>
    </w:p>
    <w:p w:rsidR="00A31137" w:rsidRPr="00A31137" w:rsidRDefault="00A31137" w:rsidP="00A31137">
      <w:r w:rsidRPr="00A31137">
        <w:t>1992, R.A.V. v. City of St. Paul, 505 U.S. 436</w:t>
      </w:r>
    </w:p>
    <w:p w:rsidR="00A31137" w:rsidRPr="00A31137" w:rsidRDefault="00A31137" w:rsidP="00A31137">
      <w:r w:rsidRPr="00A31137">
        <w:t>9. The majority is mistaken in stating that a ban on obscene works critical of government would fail equal protection review only because the ban would violate the First Amendment. Ante at 384-385, n. 2. While decisions such as Police Dept. of Chicago v. Mosley, 408 U.S. 92 (1972), recognize that First Amendment principles may be relevant to an equal protection claim challenging distinctions that impact on protected expression, id. at 95-99, there is no basis for linking First and Fourteenth Amendment analysis in a case involving unprotected expression. Certainly, one need not resort to First Amendment principles to conclude that the sort of improbable legislation the majority hypothesizes is based on senseless distinctions.</w:t>
      </w:r>
    </w:p>
    <w:p w:rsidR="00A31137" w:rsidRPr="00A31137" w:rsidRDefault="00A31137" w:rsidP="00A31137">
      <w:r w:rsidRPr="00A31137">
        <w:t>1992, R.A.V. v. City of St. Paul, 505 U.S. 436</w:t>
      </w:r>
    </w:p>
    <w:p w:rsidR="00A31137" w:rsidRPr="00A31137" w:rsidRDefault="00A31137" w:rsidP="00A31137">
      <w:r w:rsidRPr="00A31137">
        <w:t>10. Indeed, such a law is content-based in and of itself, because it distinguishes between threatening and nonthreatening speech.</w:t>
      </w:r>
    </w:p>
    <w:p w:rsidR="00A31137" w:rsidRPr="00A31137" w:rsidRDefault="00A31137" w:rsidP="00A31137">
      <w:r w:rsidRPr="00A31137">
        <w:t>1992, R.A.V. v. City of St. Paul, 505 U.S. 436</w:t>
      </w:r>
    </w:p>
    <w:p w:rsidR="00A31137" w:rsidRPr="00A31137" w:rsidRDefault="00A31137" w:rsidP="00A31137">
      <w:r w:rsidRPr="00A31137">
        <w:t>11. The consequences of the majority's conflation of the rarely-used secondary effects standard and the O'Brien test for conduct incorporating "speech" and "nonspeech" elements, see generally United States v. O'Brien, 391 U.S. 367, 376-377 (1968), present another question that I fear will haunt us and the lower courts in the aftermath of the majority's opinion.</w:t>
      </w:r>
    </w:p>
    <w:p w:rsidR="00A31137" w:rsidRPr="00A31137" w:rsidRDefault="00A31137" w:rsidP="00A31137">
      <w:r w:rsidRPr="00A31137">
        <w:t>1992, R.A.V. v. City of St. Paul, 505 U.S. 436</w:t>
      </w:r>
    </w:p>
    <w:p w:rsidR="00A31137" w:rsidRPr="00A31137" w:rsidRDefault="00A31137" w:rsidP="00A31137">
      <w:r w:rsidRPr="00A31137">
        <w:t>12. Petitioner can derive no support from our statement in Virginia v. American Bookseller's Assn., 484 U.S. 383, 397 (1988), that</w:t>
      </w:r>
    </w:p>
    <w:p w:rsidR="00A31137" w:rsidRPr="00A31137" w:rsidRDefault="00A31137" w:rsidP="00A31137">
      <w:r w:rsidRPr="00A31137">
        <w:t>1992, R.A.V. v. City of St. Paul, 505 U.S. 436</w:t>
      </w:r>
    </w:p>
    <w:p w:rsidR="00A31137" w:rsidRPr="00A31137" w:rsidRDefault="00A31137" w:rsidP="00A31137">
      <w:r w:rsidRPr="00A31137">
        <w:t>the statute must be "readily susceptible" to the limitation; we will not rewrite a state law to conform it to constitutional requirements.</w:t>
      </w:r>
    </w:p>
    <w:p w:rsidR="00A31137" w:rsidRPr="00A31137" w:rsidRDefault="00A31137" w:rsidP="00A31137">
      <w:r w:rsidRPr="00A31137">
        <w:t>1992, R.A.V. v. City of St. Paul, 505 U.S. 436</w:t>
      </w:r>
    </w:p>
    <w:p w:rsidR="00A31137" w:rsidRPr="00A31137" w:rsidRDefault="00A31137" w:rsidP="00A31137">
      <w:r w:rsidRPr="00A31137">
        <w:t>In American Bookseller's, no state court had construed the language in dispute. In that instance, we certified a question to the state court so that it would have an opportunity to provide a narrowing interpretation. Ibid. In Erznoznik v. City of Jacksonville, 422 U.S. 205,  216 (1975), the other case upon which petitioner principally relies, we observed not only that the ordinance at issue was not "by its plain terms…easily susceptible of a narrowing construction," but that the state courts had made no effort to restrict the scope of the statute when it was challenged on overbreadth grounds.</w:t>
      </w:r>
    </w:p>
    <w:p w:rsidR="00A31137" w:rsidRPr="00A31137" w:rsidRDefault="00A31137" w:rsidP="00A31137">
      <w:r w:rsidRPr="00A31137">
        <w:t>1992, R.A.V. v. City of St. Paul, 505 U.S. 436</w:t>
      </w:r>
    </w:p>
    <w:p w:rsidR="00A31137" w:rsidRPr="00A31137" w:rsidRDefault="00A31137" w:rsidP="00A31137">
      <w:r w:rsidRPr="00A31137">
        <w:t>13. Although the First Amendment protects offensive speech, Johnson v. Texas, 491 U.S. at  414, it does not require us to be subjected to such expression at all times, in all settings. We have held that such expression may be proscribed when it intrudes upon a "captive audience." Frisby v. Schultz, 487 U.S. 474, 484-485 (1988); FCC v. Pacifica Foundation, 438 U.S. 726, 748-749 (1978). And expression may be limited when it merges into conduct. United States v. O'Brien, 391 U.S. 367 (1968); cf. Meritor Savings Bank v. Vinson, 477 U.S. 57,  65 (1986). However, because of the manner in which the Minnesota Supreme Court construed the St. Paul ordinance, those issues are not before us in this case.</w:t>
      </w:r>
    </w:p>
    <w:p w:rsidR="00A31137" w:rsidRPr="00A31137" w:rsidRDefault="00A31137" w:rsidP="00A31137">
      <w:r w:rsidRPr="00A31137">
        <w:t>STEVENS, J., concurring (Footnotes)</w:t>
      </w:r>
    </w:p>
    <w:p w:rsidR="00A31137" w:rsidRPr="00A31137" w:rsidRDefault="00A31137" w:rsidP="00A31137">
      <w:r w:rsidRPr="00A31137">
        <w:t>1992, R.A.V. v. City of St. Paul, 505 U.S. 436</w:t>
      </w:r>
    </w:p>
    <w:p w:rsidR="00A31137" w:rsidRPr="00A31137" w:rsidRDefault="00A31137" w:rsidP="00A31137">
      <w:r w:rsidRPr="00A31137">
        <w:t>1. The Court disputes this characterization because it has crafted two exceptions, one for "certain media or markets" and the other for content discrimination based upon "the very reason that the entire class of speech at issue is proscribable." Ante at  388. These exceptions are, at best ill-defined. The Court does not tell us whether, with respect to the former, fighting words such as cross-burning could be proscribed only in certain neighborhoods where the threat of violence is particularly severe, or whether, with respect to the second category, fighting words that create a particular risk of harm (such as a race riot) would be proscribable. The hypothetical and illusory category of these two exceptions persuades me that either my description of the Court's analysis is accurate, or that the Court does not, in fact mean, much of what it says in its opinion.</w:t>
      </w:r>
    </w:p>
    <w:p w:rsidR="00A31137" w:rsidRPr="00A31137" w:rsidRDefault="00A31137" w:rsidP="00A31137">
      <w:r w:rsidRPr="00A31137">
        <w:t>1992, R.A.V. v. City of St. Paul, 505 U.S. 436</w:t>
      </w:r>
    </w:p>
    <w:p w:rsidR="00A31137" w:rsidRPr="00A31137" w:rsidRDefault="00A31137" w:rsidP="00A31137">
      <w:r w:rsidRPr="00A31137">
        <w:t>2. See Mine Workers v. Pennington, 381 U.S. 657 (1965); Eastern Railroad Presidents Conference v. Noerr Motor Freight, Inc., 365 U.S. 127 (1961).</w:t>
      </w:r>
    </w:p>
    <w:p w:rsidR="00A31137" w:rsidRPr="00A31137" w:rsidRDefault="00A31137" w:rsidP="00A31137">
      <w:r w:rsidRPr="00A31137">
        <w:t>1992, R.A.V. v. City of St. Paul, 505 U.S. 436</w:t>
      </w:r>
    </w:p>
    <w:p w:rsidR="00A31137" w:rsidRPr="00A31137" w:rsidRDefault="00A31137" w:rsidP="00A31137">
      <w:r w:rsidRPr="00A31137">
        <w:t>3. See also Packer Corp v. Utah, 285 U.S. 105 (1932) (Brandeis, J.) (upholding a statute that prohibited the advertisement of cigarettes on billboards and streetcar placards).</w:t>
      </w:r>
    </w:p>
    <w:p w:rsidR="00A31137" w:rsidRPr="00A31137" w:rsidRDefault="00A31137" w:rsidP="00A31137">
      <w:r w:rsidRPr="00A31137">
        <w:t>1992, R.A.V. v. City of St. Paul, 505 U.S. 436</w:t>
      </w:r>
    </w:p>
    <w:p w:rsidR="00A31137" w:rsidRPr="00A31137" w:rsidRDefault="00A31137" w:rsidP="00A31137">
      <w:r w:rsidRPr="00A31137">
        <w:t>4. The Court states that the prohibition on content-based regulations "applies differently in the context of proscribable speech" than in the context of other speech, ante at  387, but its analysis belies that claim. The Court strikes down the St. Paul ordinance because it regulates fighting words based on subject matter, despite the fact that, as demonstrated above, we have long upheld regulations of commercial speech based on subject matter. The Court's self-description is inapt: by prohibiting the regulation of fighting words based on its subject matter, the Court provides the same protection to fighting words as is currently provided to core political speech.</w:t>
      </w:r>
    </w:p>
    <w:p w:rsidR="00A31137" w:rsidRPr="00A31137" w:rsidRDefault="00A31137" w:rsidP="00A31137">
      <w:r w:rsidRPr="00A31137">
        <w:t>1992, R.A.V. v. City of St. Paul, 505 U.S. 436</w:t>
      </w:r>
    </w:p>
    <w:p w:rsidR="00A31137" w:rsidRPr="00A31137" w:rsidRDefault="00A31137" w:rsidP="00A31137">
      <w:r w:rsidRPr="00A31137">
        <w:t>5. "A word," as Justice Holmes has noted,</w:t>
      </w:r>
    </w:p>
    <w:p w:rsidR="00A31137" w:rsidRPr="00A31137" w:rsidRDefault="00A31137" w:rsidP="00A31137">
      <w:r w:rsidRPr="00A31137">
        <w:t>1992, R.A.V. v. City of St. Paul, 505 U.S. 436</w:t>
      </w:r>
    </w:p>
    <w:p w:rsidR="00A31137" w:rsidRPr="00A31137" w:rsidRDefault="00A31137" w:rsidP="00A31137">
      <w:r w:rsidRPr="00A31137">
        <w:t>is not a crystal, transparent and unchanged, it is the skin of a living thought, and may vary greatly in color and content according to the circumstances and the time in which it is used. Towne v. Eisner, 245 U.S. 418, 425 (1918); see also Jacobellis v. Ohio, 378 U.S. 184,  201 (1964) (Warren, C.J., dissenting).</w:t>
      </w:r>
    </w:p>
    <w:p w:rsidR="00A31137" w:rsidRPr="00A31137" w:rsidRDefault="00A31137" w:rsidP="00A31137">
      <w:r w:rsidRPr="00A31137">
        <w:t>1992, R.A.V. v. City of St. Paul, 505 U.S. 436</w:t>
      </w:r>
    </w:p>
    <w:p w:rsidR="00A31137" w:rsidRPr="00A31137" w:rsidRDefault="00A31137" w:rsidP="00A31137">
      <w:r w:rsidRPr="00A31137">
        <w:t>6. Cf. In re Chase, 468 F.2d 128, 139-140 (CA7 1972) (Stevens, J., dissenting) (arguing that defendant who, for reasons of religious belief, refused to rise and stand as the trial judge entered the courtroom was not subject to contempt proceedings, because he was not present in the courtroom "as a matter of choice").</w:t>
      </w:r>
    </w:p>
    <w:p w:rsidR="00A31137" w:rsidRPr="00A31137" w:rsidRDefault="00A31137" w:rsidP="00A31137">
      <w:r w:rsidRPr="00A31137">
        <w:t>1992, R.A.V. v. City of St. Paul, 505 U.S. 436</w:t>
      </w:r>
    </w:p>
    <w:p w:rsidR="00A31137" w:rsidRPr="00A31137" w:rsidRDefault="00A31137" w:rsidP="00A31137">
      <w:r w:rsidRPr="00A31137">
        <w:t>7. Although the Court has sometimes suggested that subject matter based and viewpoint-based regulations are equally problematic, see, e.g., Consolidated Edison Co. of N.Y. v. Public Service Comm'n of N.Y., 447 U.S. at 537, our decisions belie such claims.</w:t>
      </w:r>
      <w:r w:rsidRPr="00A31137">
        <w:cr/>
      </w:r>
    </w:p>
    <w:p w:rsidR="00A31137" w:rsidRPr="00A31137" w:rsidRDefault="00A31137" w:rsidP="00A31137">
      <w:r w:rsidRPr="00A31137">
        <w:t>1992, R.A.V. v. City of St. Paul, 505 U.S. 436</w:t>
      </w:r>
    </w:p>
    <w:p w:rsidR="00A31137" w:rsidRPr="00A31137" w:rsidRDefault="00A31137" w:rsidP="00A31137">
      <w:r w:rsidRPr="00A31137">
        <w:t>8. The Court makes much of St. Paul's description of the ordinance as regulating "a message." Ante at  393. As always, however, St. Paul's argument must be read in context:</w:t>
      </w:r>
    </w:p>
    <w:p w:rsidR="00A31137" w:rsidRPr="00A31137" w:rsidRDefault="00A31137" w:rsidP="00A31137">
      <w:r w:rsidRPr="00A31137">
        <w:t>1992, R.A.V. v. City of St. Paul, 505 U.S. 436</w:t>
      </w:r>
    </w:p>
    <w:p w:rsidR="00A31137" w:rsidRPr="00A31137" w:rsidRDefault="00A31137" w:rsidP="00A31137">
      <w:r w:rsidRPr="00A31137">
        <w:t>Finally, we ask the Court to reflect on the "content" of the "expressive conduct" represented by a "burning cross." It is no less than the first step in an act of racial violence. It was, and unfortunately still is, the equivalent of [the] waving of a knife before the thrust, the pointing of a gun before it is fired, the lighting of the match before the arson, the hanging of the noose before the lynching. It is not a political statement, or even a cowardly statement of hatred. It is the first step in an act of assault. It can be no more protected than holding a gun to a victim['s] head. It is perhaps the ultimate expression of "fighting words."</w:t>
      </w:r>
    </w:p>
    <w:p w:rsidR="00A31137" w:rsidRPr="00A31137" w:rsidRDefault="00A31137" w:rsidP="00A31137">
      <w:r w:rsidRPr="00A31137">
        <w:t>1992, R.A.V. v. City of St. Paul, 505 U.S. 436</w:t>
      </w:r>
    </w:p>
    <w:p w:rsidR="00A31137" w:rsidRPr="00A31137" w:rsidRDefault="00A31137" w:rsidP="00A31137">
      <w:r w:rsidRPr="00A31137">
        <w:t>App. to Brief for Petitioner C-6.</w:t>
      </w:r>
    </w:p>
    <w:p w:rsidR="00A31137" w:rsidRPr="00A31137" w:rsidRDefault="00A31137" w:rsidP="00A31137">
      <w:r w:rsidRPr="00A31137">
        <w:t>1992, R.A.V. v. City of St. Paul, 505 U.S. 436</w:t>
      </w:r>
    </w:p>
    <w:p w:rsidR="00A31137" w:rsidRPr="00A31137" w:rsidRDefault="00A31137" w:rsidP="00A31137">
      <w:r w:rsidRPr="00A31137">
        <w:t>9. The Court contends that this distinction is "wordplay," reasoning that</w:t>
      </w:r>
    </w:p>
    <w:p w:rsidR="00A31137" w:rsidRPr="00A31137" w:rsidRDefault="00A31137" w:rsidP="00A31137">
      <w:r w:rsidRPr="00A31137">
        <w:t>1992, R.A.V. v. City of St. Paul, 505 U.S. 436</w:t>
      </w:r>
    </w:p>
    <w:p w:rsidR="00A31137" w:rsidRPr="00A31137" w:rsidRDefault="00A31137" w:rsidP="00A31137">
      <w:r w:rsidRPr="00A31137">
        <w:t>[w]hat makes [the harms caused by race-based threats] distinct from [the harms] produced by other fighting words is…the fact that [the former are] caused by a distinctive idea.</w:t>
      </w:r>
    </w:p>
    <w:p w:rsidR="00A31137" w:rsidRPr="00A31137" w:rsidRDefault="00A31137" w:rsidP="00A31137">
      <w:r w:rsidRPr="00A31137">
        <w:t>1992, R.A.V. v. City of St. Paul, 505 U.S. 436</w:t>
      </w:r>
    </w:p>
    <w:p w:rsidR="00A31137" w:rsidRPr="00A31137" w:rsidRDefault="00A31137" w:rsidP="00A31137">
      <w:r w:rsidRPr="00A31137">
        <w:t>Ante at 392-393 (emphasis added). In this way, the Court concludes that regulating speech based on the injury it causes is no different from regulating speech based on its subject matter. This analysis fundamentally miscomprehends the role of "race, color, creed, religion [and] gender" in contemporary American society. One need look no further than the recent social unrest in the Nation's cities to see that race-based threats may cause more harm to society and to individuals than other threats. Just as the statute prohibiting threats against the President is justifiable because of the place of the President in our social and political order, so a statute prohibiting race-based threats is justifiable because of the place of race in our social and political order. Although it is regrettable that race occupies such a place and is so incendiary an issue, until the Nation matures beyond that condition, laws such as St. Paul's ordinance will remain reasonable and justifiable.</w:t>
      </w:r>
    </w:p>
    <w:p w:rsidR="00A31137" w:rsidRPr="00A31137" w:rsidRDefault="00A31137" w:rsidP="00A31137">
      <w:r w:rsidRPr="00A31137">
        <w:t>1992, R.A.V. v. City of St. Paul, 505 U.S. 436</w:t>
      </w:r>
    </w:p>
    <w:p w:rsidR="00A31137" w:rsidRPr="00A31137" w:rsidRDefault="00A31137" w:rsidP="00A31137">
      <w:r w:rsidRPr="00A31137">
        <w:t>10. Cf. FCC v. League of Women Voters of California, 468 U.S. 364, 418 (1984) (STEVENS, J., dissenting) ("In this case…the regulation applies…to a defined class of…licensees [who] represent heterogenous points of view. There is simply no sensible basis for considering this regulation a viewpoint restriction—or…to condemn it as 'content-based'—because it applies equally to station owners of all shades of opinion").</w:t>
      </w:r>
    </w:p>
    <w:p w:rsidR="00A31137" w:rsidRPr="00A31137" w:rsidRDefault="00A31137" w:rsidP="00A31137">
      <w:r w:rsidRPr="00A31137">
        <w:t>Planned Parenthood v. Casey, 1992</w:t>
      </w:r>
    </w:p>
    <w:p w:rsidR="00A31137" w:rsidRPr="00A31137" w:rsidRDefault="00A31137" w:rsidP="00A31137">
      <w:r w:rsidRPr="00A31137">
        <w:t>Title:</w:t>
      </w:r>
      <w:r w:rsidRPr="00A31137">
        <w:tab/>
        <w:t>Planned Parenthood of Southeastern Pennsylvania v. Casey</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29, 1992</w:t>
      </w:r>
    </w:p>
    <w:p w:rsidR="00A31137" w:rsidRPr="00A31137" w:rsidRDefault="00A31137" w:rsidP="00A31137">
      <w:r w:rsidRPr="00A31137">
        <w:t>Source:</w:t>
      </w:r>
      <w:r w:rsidRPr="00A31137">
        <w:tab/>
        <w:t>505 U.S. 833</w:t>
      </w:r>
    </w:p>
    <w:p w:rsidR="00A31137" w:rsidRPr="00A31137" w:rsidRDefault="00A31137" w:rsidP="00A31137">
      <w:r w:rsidRPr="00A31137">
        <w:t>This case was argued April 22, 1992, and was decided June 29, 1992.</w:t>
      </w:r>
    </w:p>
    <w:p w:rsidR="00A31137" w:rsidRPr="00A31137" w:rsidRDefault="00A31137" w:rsidP="00A31137">
      <w:r w:rsidRPr="00A31137">
        <w:t>Syllabus</w:t>
      </w:r>
    </w:p>
    <w:p w:rsidR="00A31137" w:rsidRPr="00A31137" w:rsidRDefault="00A31137" w:rsidP="00A31137">
      <w:r w:rsidRPr="00A31137">
        <w:t>1992, Planned Parenthood v. Casey, 505 U.S. 833</w:t>
      </w:r>
    </w:p>
    <w:p w:rsidR="00A31137" w:rsidRPr="00A31137" w:rsidRDefault="00A31137" w:rsidP="00A31137">
      <w:r w:rsidRPr="00A31137">
        <w:t>At issue are five provisions of the Pennsylvania Abortion Control Act of 1982: § 3205, which requires that a woman seeking an abortion give her informed consent prior to the procedure, and specifies that she be provided with certain information at least 24 hours before the abortion is performed; § 3206, which mandates the informed consent of one parent for a minor to obtain an abortion, but provides a judicial bypass procedure; § 3209, which commands that, unless certain exceptions apply, a married woman seeking an abortion must sign a statement indicating that she has notified her husband; § 3203, which defines a "medical emergency" that will excuse compliance with the foregoing requirements; and §§ 3207(b), 3214(a), and 3214(f), which impose certain reporting requirements on facilities providing abortion services. Before any of the provisions took effect, the petitioners, five abortion clinics and a physician representing himself and a class of doctors who provide abortion services, brought this suit seeking a declaratory judgment that each of the provisions was unconstitutional on its face, as well as injunctive relief. The District Court held all the provisions unconstitutional, and permanently enjoined their enforcement. The Court of Appeals affirmed in part and reversed in part, striking down the husband notification provision but upholding the others.</w:t>
      </w:r>
    </w:p>
    <w:p w:rsidR="00A31137" w:rsidRPr="00A31137" w:rsidRDefault="00A31137" w:rsidP="00A31137">
      <w:r w:rsidRPr="00A31137">
        <w:t>1992, Planned Parenthood v. Casey, 505 U.S. 833</w:t>
      </w:r>
    </w:p>
    <w:p w:rsidR="00A31137" w:rsidRPr="00A31137" w:rsidRDefault="00A31137" w:rsidP="00A31137">
      <w:r w:rsidRPr="00A31137">
        <w:t>Held: The judgment in No. 91-902 is affirmed; the judgment in No. 91-744 is affirmed in part and reversed in part, and the case is remanded.</w:t>
      </w:r>
    </w:p>
    <w:p w:rsidR="00A31137" w:rsidRPr="00A31137" w:rsidRDefault="00A31137" w:rsidP="00A31137">
      <w:r w:rsidRPr="00A31137">
        <w:t>1992, Planned Parenthood v. Casey, 505 U.S. 833</w:t>
      </w:r>
    </w:p>
    <w:p w:rsidR="00A31137" w:rsidRPr="00A31137" w:rsidRDefault="00A31137" w:rsidP="00A31137">
      <w:r w:rsidRPr="00A31137">
        <w:t>947 F.2d 682 (CA3 1991): No. 91-902, affirmed; No. 91-744, affirmed in part, reversed in part, and remanded.</w:t>
      </w:r>
    </w:p>
    <w:p w:rsidR="00A31137" w:rsidRPr="00A31137" w:rsidRDefault="00A31137" w:rsidP="00A31137">
      <w:r w:rsidRPr="00A31137">
        <w:t>1992, Planned Parenthood v. Casey, 505 U.S. 833</w:t>
      </w:r>
    </w:p>
    <w:p w:rsidR="00A31137" w:rsidRPr="00A31137" w:rsidRDefault="00A31137" w:rsidP="00A31137">
      <w:r w:rsidRPr="00A31137">
        <w:t>JUSTICE O'CONNOR, JUSTICE KENNEDY, and JUSTICE SOUTER delivered the opinion of the Court with respect to Parts I, II, and III, concluding that:</w:t>
      </w:r>
    </w:p>
    <w:p w:rsidR="00A31137" w:rsidRPr="00A31137" w:rsidRDefault="00A31137" w:rsidP="00A31137">
      <w:r w:rsidRPr="00A31137">
        <w:t>1992, Planned Parenthood v. Casey, 505 U.S. 833</w:t>
      </w:r>
    </w:p>
    <w:p w:rsidR="00A31137" w:rsidRPr="00A31137" w:rsidRDefault="00A31137" w:rsidP="00A31137">
      <w:r w:rsidRPr="00A31137">
        <w:t>1. Consideration of the fundamental constitutional question resolved by Roe v. Wade, 410 U.S. 113, principles of institutional integrity, and the rule of stare decisis require that Roe's essential holding be retained [505 U.S. 834] and reaffirmed as to each of its three parts: (1) a recognition of a woman's right to choose to have an abortion before fetal viability and to obtain it without undue interference from the State, whose pre-viability interests are not strong enough to support an abortion prohibition or the imposition of substantial obstacles to the woman's effective right to elect the procedure; (2) a confirmation of the State's power to restrict abortions after viability, if the law contains exceptions for pregnancies endangering a woman's life or health; and (3) the principle that the State has legitimate interests from the outset of the pregnancy in protecting the health of the woman and the life of the fetus that may become a child. Pp. 844-869.</w:t>
      </w:r>
    </w:p>
    <w:p w:rsidR="00A31137" w:rsidRPr="00A31137" w:rsidRDefault="00A31137" w:rsidP="00A31137">
      <w:r w:rsidRPr="00A31137">
        <w:t>1992, Planned Parenthood v. Casey, 505 U.S. 834</w:t>
      </w:r>
    </w:p>
    <w:p w:rsidR="00A31137" w:rsidRPr="00A31137" w:rsidRDefault="00A31137" w:rsidP="00A31137">
      <w:r w:rsidRPr="00A31137">
        <w:t>(a) A reexamination of the principles that define the woman's rights and the State's authority regarding abortions is required by the doubt this Court's subsequent decisions have cast upon the meaning and reach of Roe's central holding, by the fact that THE CHIEF JUSTICE would overrule Roe, and by the necessity that state and federal courts and legislatures have adequate guidance on the subject. Pp.  844-845.</w:t>
      </w:r>
    </w:p>
    <w:p w:rsidR="00A31137" w:rsidRPr="00A31137" w:rsidRDefault="00A31137" w:rsidP="00A31137">
      <w:r w:rsidRPr="00A31137">
        <w:t>1992, Planned Parenthood v. Casey, 505 U.S. 834</w:t>
      </w:r>
    </w:p>
    <w:p w:rsidR="00A31137" w:rsidRPr="00A31137" w:rsidRDefault="00A31137" w:rsidP="00A31137">
      <w:r w:rsidRPr="00A31137">
        <w:t>(b) Roe determined that a woman's decision to terminate her pregnancy is a "liberty" protected against state interference by the substantive component of the Due Process Clause of the Fourteenth Amendment. Neither the Bill of Rights nor the specific practices of States at the time of the Fourteenth Amendment's adoption marks the outer limits of the substantive sphere of such "liberty." Rather, the adjudication of substantive due process claims may require this Court to exercise its reasoned judgment in determining the boundaries between the individual's liberty and the demands of organized society. The Court's decisions have afforded constitutional protection to personal decisions relating to marriage, see, e.g., Loving v. Virginia, 388 U.S. 1, procreation, Skinner v. Oklahoma, 316 U.S. 535, family relationships, Prince v. Massachusetts, 321 U.S. 158, child rearing and education, Pierce v. Society of Sisters, 268 U.S. 510, and contraception, see, e.g., Griswold v. Connecticut, 381 U.S. 479, and have recognized the right of the individual to be free from unwarranted governmental intrusion into matters so fundamentally affecting a person as the decision whether to bear or beget a child, Eisenstadt v. Baird, 405 U.S. 438,  453. Roe's central holding properly invoked the reasoning and tradition of these precedents. Pp.  846-853.</w:t>
      </w:r>
    </w:p>
    <w:p w:rsidR="00A31137" w:rsidRPr="00A31137" w:rsidRDefault="00A31137" w:rsidP="00A31137">
      <w:r w:rsidRPr="00A31137">
        <w:t>1992, Planned Parenthood v. Casey, 505 U.S. 834</w:t>
      </w:r>
    </w:p>
    <w:p w:rsidR="00A31137" w:rsidRPr="00A31137" w:rsidRDefault="00A31137" w:rsidP="00A31137">
      <w:r w:rsidRPr="00A31137">
        <w:t xml:space="preserve">(c) Application of the doctrine of stare decisis confirms that Roe's essential holding should be reaffirmed. In reexamining that holding, the Court's judgment is informed by a series of prudential and pragmatic considerations designed to test the consistency of overruling the holding with the ideal of the rule of law, and to gauge the respective costs of reaffirming and overruling. Pp.  854-855. [505 U.S. 835] </w:t>
      </w:r>
    </w:p>
    <w:p w:rsidR="00A31137" w:rsidRPr="00A31137" w:rsidRDefault="00A31137" w:rsidP="00A31137">
      <w:r w:rsidRPr="00A31137">
        <w:t>1992, Planned Parenthood v. Casey, 505 U.S. 835</w:t>
      </w:r>
    </w:p>
    <w:p w:rsidR="00A31137" w:rsidRPr="00A31137" w:rsidRDefault="00A31137" w:rsidP="00A31137">
      <w:r w:rsidRPr="00A31137">
        <w:t>(d) Although Roe has engendered opposition, it has in no sense proven unworkable, representing as it does a simple limitation beyond which a state law is unenforceable. P.  855.</w:t>
      </w:r>
    </w:p>
    <w:p w:rsidR="00A31137" w:rsidRPr="00A31137" w:rsidRDefault="00A31137" w:rsidP="00A31137">
      <w:r w:rsidRPr="00A31137">
        <w:t>1992, Planned Parenthood v. Casey, 505 U.S. 835</w:t>
      </w:r>
    </w:p>
    <w:p w:rsidR="00A31137" w:rsidRPr="00A31137" w:rsidRDefault="00A31137" w:rsidP="00A31137">
      <w:r w:rsidRPr="00A31137">
        <w:t>(e) The Roe rule's limitation on state power could not be repudiated without serious inequity to people who, for two decades of economic and social developments, have organized intimate relationships and made choices that define their views of themselves and their places in society, in reliance on the availability of abortion in the event that contraception should fail. The ability of women to participate equally in the economic and social life of the Nation has been facilitated by their ability to control their reproductive lives. The Constitution serves human values, and while the effect of reliance on Roe cannot be exactly measured, neither can the certain costs of overruling Roe for people who have ordered their thinking and living around that case be dismissed. Pp.  855-856.</w:t>
      </w:r>
    </w:p>
    <w:p w:rsidR="00A31137" w:rsidRPr="00A31137" w:rsidRDefault="00A31137" w:rsidP="00A31137">
      <w:r w:rsidRPr="00A31137">
        <w:t>1992, Planned Parenthood v. Casey, 505 U.S. 835</w:t>
      </w:r>
    </w:p>
    <w:p w:rsidR="00A31137" w:rsidRPr="00A31137" w:rsidRDefault="00A31137" w:rsidP="00A31137">
      <w:r w:rsidRPr="00A31137">
        <w:t>(f) No evolution of legal principle has left Roe's central rule a doctrinal anachronism discounted by society. If Roe is placed among the cases exemplified by Griswold, supra, it is clearly in no jeopardy, since subsequent constitutional developments have neither disturbed, nor do they threaten to diminish, the liberty recognized in such cases. Similarly, if Roe is seen as stating a rule of personal autonomy and bodily integrity, akin to cases recognizing limits on governmental power to mandate medical treatment or to bar its rejection, this Court's post-Roe decisions accord with Roe's view that a State's interest in the protection of life falls short of justifying any plenary override of individual liberty claims. See, e.g., Cruzan v. Director, Missouri Dept. of Health, 497 U.S. 261. Finally, if Roe is classified as sui generis, there clearly has been no erosion of its central determination. It was expressly reaffirmed in Akron v. Akron Center for Reproductive Health, 462 U.S. 416 (Akron I), and Thornburgh v. American College of Obstetricians and Gynecologists, 476 U.S. 747; and, in Webster v. Reproductive Health Services, 492 U.S. 490, a majority either voted to reaffirm or declined to address the constitutional validity of Roe's central holding. Pp.  857-859.</w:t>
      </w:r>
    </w:p>
    <w:p w:rsidR="00A31137" w:rsidRPr="00A31137" w:rsidRDefault="00A31137" w:rsidP="00A31137">
      <w:r w:rsidRPr="00A31137">
        <w:t>1992, Planned Parenthood v. Casey, 505 U.S. 835</w:t>
      </w:r>
    </w:p>
    <w:p w:rsidR="00A31137" w:rsidRPr="00A31137" w:rsidRDefault="00A31137" w:rsidP="00A31137">
      <w:r w:rsidRPr="00A31137">
        <w:t>(g) No change in Roe's factual underpinning has left its central holding obsolete, and none supports an argument for its overruling. Although subsequent maternal health care advances allow for later abortions safe to the pregnant woman, and post-Roe neonatal care developments have advanced viability to a point somewhat earlier, these facts go only to the scheme of time limits on the realization of competing interests. Thus, any later divergences from the factual premises of Roe have no bearing on the validity of its central holding, that viability marks the earliest point at which the State's interest in fetal [505 U.S. 836] life is constitutionally adequate to justify a legislative ban on nontherapeutic abortions. The soundness or unsoundness of that constitutional judgment in no sense turns on when viability occurs. Whenever it may occur, its attainment will continue to serve as the critical fact. Pp. 860.</w:t>
      </w:r>
    </w:p>
    <w:p w:rsidR="00A31137" w:rsidRPr="00A31137" w:rsidRDefault="00A31137" w:rsidP="00A31137">
      <w:r w:rsidRPr="00A31137">
        <w:t>1992, Planned Parenthood v. Casey, 505 U.S. 836</w:t>
      </w:r>
    </w:p>
    <w:p w:rsidR="00A31137" w:rsidRPr="00A31137" w:rsidRDefault="00A31137" w:rsidP="00A31137">
      <w:r w:rsidRPr="00A31137">
        <w:t>(h) A comparison between Roe and two decisional lines of comparable significance—the line identified with Lochner v. New York, 198 U.S. 45, and the line that began with Plessy v. Ferguson, 163 U.S. 537—confirms the result reached here. Those lines were overruled—by, respectively, West Coast Hotel Co. v. Parrish, 300 U.S. 379, and Brown v. Board of Education, 347 U.S. 483—on the basis of facts, or an understanding of facts, changed from those which furnished the claimed justifications for the earlier constitutional resolutions. The overruling decisions were comprehensible to the Nation, and defensible, as the Court's responses to changed circumstances. In contrast, because neither the factual underpinnings of Roe's central holding nor this Court's understanding of it has changed (and because no other indication of weakened precedent has been shown), the Court could not pretend to be reexamining Roe with any justification beyond a present doctrinal disposition to come out differently from the Roe Court. That is an inadequate basis for overruling a prior case. Pp.  861-864.</w:t>
      </w:r>
    </w:p>
    <w:p w:rsidR="00A31137" w:rsidRPr="00A31137" w:rsidRDefault="00A31137" w:rsidP="00A31137">
      <w:r w:rsidRPr="00A31137">
        <w:t>1992, Planned Parenthood v. Casey, 505 U.S. 836</w:t>
      </w:r>
    </w:p>
    <w:p w:rsidR="00A31137" w:rsidRPr="00A31137" w:rsidRDefault="00A31137" w:rsidP="00A31137">
      <w:r w:rsidRPr="00A31137">
        <w:t>(i) Overruling Roe's central holding would not only reach an unjustifiable result under stare decisis principles, but would seriously weaken the Court's capacity to exercise the judicial power and to function as the Supreme Court of a Nation dedicated to the rule of law. Where the Court acts to resolve the sort of unique, intensely divisive controversy reflected in Roe, its decision has a dimension not present in normal cases, and is entitled to rare precedential force to counter the inevitable efforts to overturn it and to thwart its implementation. Only the most convincing justification under accepted standards of precedent could suffice to demonstrate that a later decision overruling the first was anything but a surrender to political pressure and an unjustified repudiation of the principle on which the Court staked its authority in the first instance. Moreover, the country's loss of confidence in the Judiciary would be underscored by condemnation for the Court's failure to keep faith with those who support the decision at a cost to themselves. A decision to overrule Roe's essential holding under the existing circumstances would address error, if error there was, at the cost of both profound and unnecessary damage to the Court's legitimacy and to the Nation's commitment to the rule of law. Pp.  864-869.</w:t>
      </w:r>
    </w:p>
    <w:p w:rsidR="00A31137" w:rsidRPr="00A31137" w:rsidRDefault="00A31137" w:rsidP="00A31137">
      <w:r w:rsidRPr="00A31137">
        <w:t>1992, Planned Parenthood v. Casey, 505 U.S. 836</w:t>
      </w:r>
    </w:p>
    <w:p w:rsidR="00A31137" w:rsidRPr="00A31137" w:rsidRDefault="00A31137" w:rsidP="00A31137">
      <w:r w:rsidRPr="00A31137">
        <w:t>JUSTICE O'CONNOR, JUSTICE KENNEDY, and JUSTICE SOUTER concluded in Part IV that an examination of Roe v. Wade, 410 U.S. 113, and [505 U.S. 837] subsequent cases, reveals a number of guiding principles that should control the assessment of the Pennsylvania statute:</w:t>
      </w:r>
    </w:p>
    <w:p w:rsidR="00A31137" w:rsidRPr="00A31137" w:rsidRDefault="00A31137" w:rsidP="00A31137">
      <w:r w:rsidRPr="00A31137">
        <w:t>1992, Planned Parenthood v. Casey, 505 U.S. 837</w:t>
      </w:r>
    </w:p>
    <w:p w:rsidR="00A31137" w:rsidRPr="00A31137" w:rsidRDefault="00A31137" w:rsidP="00A31137">
      <w:r w:rsidRPr="00A31137">
        <w:t>(a) To protect the central right recognized by Roe while at the same time accommodating the State's profound interest in potential life, see, id. at  162, the undue burden standard should be employed. An undue burden exists, and therefore a provision of law is invalid, if its purpose or effect is to place substantial obstacles in the path of a woman seeking an abortion before the fetus attains viability.</w:t>
      </w:r>
    </w:p>
    <w:p w:rsidR="00A31137" w:rsidRPr="00A31137" w:rsidRDefault="00A31137" w:rsidP="00A31137">
      <w:r w:rsidRPr="00A31137">
        <w:t>1992, Planned Parenthood v. Casey, 505 U.S. 837</w:t>
      </w:r>
    </w:p>
    <w:p w:rsidR="00A31137" w:rsidRPr="00A31137" w:rsidRDefault="00A31137" w:rsidP="00A31137">
      <w:r w:rsidRPr="00A31137">
        <w:t>(b) Roe's rigid trimester framework is rejected. To promote the State's interest in potential life throughout pregnancy, the State may take measures to ensure that the woman's choice is informed. Measures designed to advance this interest should not be invalidated if their purpose is to persuade the woman to choose childbirth over abortion. These measures must not be an undue burden on the right.</w:t>
      </w:r>
    </w:p>
    <w:p w:rsidR="00A31137" w:rsidRPr="00A31137" w:rsidRDefault="00A31137" w:rsidP="00A31137">
      <w:r w:rsidRPr="00A31137">
        <w:t>1992, Planned Parenthood v. Casey, 505 U.S. 837</w:t>
      </w:r>
    </w:p>
    <w:p w:rsidR="00A31137" w:rsidRPr="00A31137" w:rsidRDefault="00A31137" w:rsidP="00A31137">
      <w:r w:rsidRPr="00A31137">
        <w:t>(c) As with any medical procedure, the State may enact regulations to further the health or safety of a woman seeking an abortion, but may not impose unnecessary health regulations that present a substantial obstacle to a woman seeking an abortion.</w:t>
      </w:r>
    </w:p>
    <w:p w:rsidR="00A31137" w:rsidRPr="00A31137" w:rsidRDefault="00A31137" w:rsidP="00A31137">
      <w:r w:rsidRPr="00A31137">
        <w:t>1992, Planned Parenthood v. Casey, 505 U.S. 837</w:t>
      </w:r>
    </w:p>
    <w:p w:rsidR="00A31137" w:rsidRPr="00A31137" w:rsidRDefault="00A31137" w:rsidP="00A31137">
      <w:r w:rsidRPr="00A31137">
        <w:t>(d) Adoption of the undue burden standard does not disturb Roe's holding that, regardless of whether exceptions are made for particular circumstances, a State may not prohibit any woman from making the ultimate decision to terminate her pregnancy before viability.</w:t>
      </w:r>
    </w:p>
    <w:p w:rsidR="00A31137" w:rsidRPr="00A31137" w:rsidRDefault="00A31137" w:rsidP="00A31137">
      <w:r w:rsidRPr="00A31137">
        <w:t>1992, Planned Parenthood v. Casey, 505 U.S. 837</w:t>
      </w:r>
    </w:p>
    <w:p w:rsidR="00A31137" w:rsidRPr="00A31137" w:rsidRDefault="00A31137" w:rsidP="00A31137">
      <w:r w:rsidRPr="00A31137">
        <w:t>(e) Roe's holding that,</w:t>
      </w:r>
    </w:p>
    <w:p w:rsidR="00A31137" w:rsidRPr="00A31137" w:rsidRDefault="00A31137" w:rsidP="00A31137">
      <w:r w:rsidRPr="00A31137">
        <w:t>1992, Planned Parenthood v. Casey, 505 U.S. 837</w:t>
      </w:r>
    </w:p>
    <w:p w:rsidR="00A31137" w:rsidRPr="00A31137" w:rsidRDefault="00A31137" w:rsidP="00A31137">
      <w:r w:rsidRPr="00A31137">
        <w:t>subsequent to viability, the State, in promoting its interest in the potentiality of human life, may, if it chooses, regulate, and even proscribe, abortion except where it is necessary, in appropriate medical judgment, for the preservation of the life or health of the mother is also reaffirmed. Id. at 164-165. Pp.  869-879.</w:t>
      </w:r>
    </w:p>
    <w:p w:rsidR="00A31137" w:rsidRPr="00A31137" w:rsidRDefault="00A31137" w:rsidP="00A31137">
      <w:r w:rsidRPr="00A31137">
        <w:t>1992, Planned Parenthood v. Casey, 505 U.S. 837</w:t>
      </w:r>
    </w:p>
    <w:p w:rsidR="00A31137" w:rsidRPr="00A31137" w:rsidRDefault="00A31137" w:rsidP="00A31137">
      <w:r w:rsidRPr="00A31137">
        <w:t>JUSTICE O'CONNOR, JUSTICE KENNEDY, and JUSTICE SOUTER delivered the opinion of the Court with respect to Parts V-A and V-C, concluding that:</w:t>
      </w:r>
    </w:p>
    <w:p w:rsidR="00A31137" w:rsidRPr="00A31137" w:rsidRDefault="00A31137" w:rsidP="00A31137">
      <w:r w:rsidRPr="00A31137">
        <w:t>1992, Planned Parenthood v. Casey, 505 U.S. 837</w:t>
      </w:r>
    </w:p>
    <w:p w:rsidR="00A31137" w:rsidRPr="00A31137" w:rsidRDefault="00A31137" w:rsidP="00A31137">
      <w:r w:rsidRPr="00A31137">
        <w:t>1. As construed by the Court of Appeals, § 3203's medical emergency definition is intended to assure that compliance with the State's abortion regulations would not in any way pose a significant threat to a woman's life or health, and thus does not violate the essential holding of Roe, supra, at  164. Although the definition could be interpreted in an unconstitutional manner, this Court defers to lower federal court interpretations of state law unless they amount to "plain" error. Pp.  879-880.</w:t>
      </w:r>
    </w:p>
    <w:p w:rsidR="00A31137" w:rsidRPr="00A31137" w:rsidRDefault="00A31137" w:rsidP="00A31137">
      <w:r w:rsidRPr="00A31137">
        <w:t>1992, Planned Parenthood v. Casey, 505 U.S. 837</w:t>
      </w:r>
    </w:p>
    <w:p w:rsidR="00A31137" w:rsidRPr="00A31137" w:rsidRDefault="00A31137" w:rsidP="00A31137">
      <w:r w:rsidRPr="00A31137">
        <w:t>2. Section 3209's husband notification provision constitutes an undue burden, and is therefore invalid. A significant number of women will likely be prevented from obtaining an abortion just as surely as if Pennsylvania had outlawed the procedure entirely. The fact that § 3209 may affect fewer than one percent of women seeking abortions does not save it from facial invalidity, since the proper focus of constitutional inquiry [505 U.S. 838] is the group for whom the law is a restriction, not the group for whom it is irrelevant. Furthermore, it cannot be claimed that the father's interest in the fetus' welfare is equal to the mother's protected liberty, since it is an inescapable biological fact that state regulation with respect to the fetus will have a far greater impact on the pregnant woman's bodily integrity than it will on the husband. Section 3209 embodies a view of marriage consonant with the common law status of married women, but repugnant to this Court's present understanding of marriage and of the nature of the rights secured by the Constitution. See Planned Parenthood of Central Mo. v. Danforth, 428 U.S. 52,  69. Pp.  887-898.</w:t>
      </w:r>
    </w:p>
    <w:p w:rsidR="00A31137" w:rsidRPr="00A31137" w:rsidRDefault="00A31137" w:rsidP="00A31137">
      <w:r w:rsidRPr="00A31137">
        <w:t>1992, Planned Parenthood v. Casey, 505 U.S. 838</w:t>
      </w:r>
    </w:p>
    <w:p w:rsidR="00A31137" w:rsidRPr="00A31137" w:rsidRDefault="00A31137" w:rsidP="00A31137">
      <w:r w:rsidRPr="00A31137">
        <w:t>JUSTICE O'CONNOR, JUSTICE KENNEDY, and JUSTICE SOUTER, joined by JUSTICE STEVENS, concluded in Part V-E that all of the statute's recordkeeping and reporting requirements, except that relating to spousal notice, are constitutional. The reporting provision relating to the reasons a married woman has not notified her husband that she intends to have an abortion must be invalidated, because it places an undue burden on a woman's choice. Pp.  900-901.</w:t>
      </w:r>
    </w:p>
    <w:p w:rsidR="00A31137" w:rsidRPr="00A31137" w:rsidRDefault="00A31137" w:rsidP="00A31137">
      <w:r w:rsidRPr="00A31137">
        <w:t>1992, Planned Parenthood v. Casey, 505 U.S. 838</w:t>
      </w:r>
    </w:p>
    <w:p w:rsidR="00A31137" w:rsidRPr="00A31137" w:rsidRDefault="00A31137" w:rsidP="00A31137">
      <w:r w:rsidRPr="00A31137">
        <w:t>JUSTICE O'CONNOR, JUSTICE KENNEDY, and JUSTICE SOUTER concluded in Parts V-B and V-D that:</w:t>
      </w:r>
    </w:p>
    <w:p w:rsidR="00A31137" w:rsidRPr="00A31137" w:rsidRDefault="00A31137" w:rsidP="00A31137">
      <w:r w:rsidRPr="00A31137">
        <w:t>1992, Planned Parenthood v. Casey, 505 U.S. 838</w:t>
      </w:r>
    </w:p>
    <w:p w:rsidR="00A31137" w:rsidRPr="00A31137" w:rsidRDefault="00A31137" w:rsidP="00A31137">
      <w:r w:rsidRPr="00A31137">
        <w:t>1. Section 3205's informed consent provision is not an undue burden on a woman's constitutional right to decide to terminate a pregnancy. To the extent Akron I, 462 U.S. at  444, and Thornburgh, 476 U.S. at  762, find a constitutional violation when the government requires, as it does here, the giving of truthful, nonmisleading information about the nature of the abortion procedure, the attendant health risks and those of childbirth, and the "probable gestational age" of the fetus, those cases are inconsistent with Roe's acknowledgement of an important interest in potential life, and are overruled. Requiring that the woman be informed of the availability of information relating to the consequences to the fetus does not interfere with a constitutional right of privacy between a pregnant woman and her physician, since the doctor-patient relation is derivative of the woman's position, and does not underlie or override the abortion right. Moreover, the physician's First Amendment rights not to speak are implicated only as part of the practice of medicine, which is licensed and regulated by the State. There is no evidence here that requiring a doctor to give the required information would amount to a substantial obstacle to a woman seeking abortion.</w:t>
      </w:r>
    </w:p>
    <w:p w:rsidR="00A31137" w:rsidRPr="00A31137" w:rsidRDefault="00A31137" w:rsidP="00A31137">
      <w:r w:rsidRPr="00A31137">
        <w:t>1992, Planned Parenthood v. Casey, 505 U.S. 838</w:t>
      </w:r>
    </w:p>
    <w:p w:rsidR="00A31137" w:rsidRPr="00A31137" w:rsidRDefault="00A31137" w:rsidP="00A31137">
      <w:r w:rsidRPr="00A31137">
        <w:t>The premise behind Akron I's invalidation of a waiting period between the provision of the information deemed necessary to informed consent and the performance of an abortion, id. 462 U.S. at  450, is also wrong. Although § 3205's 24-hour waiting period may make some abortions more expensive and less convenient, it cannot be said that it is invalid [505 U.S. 839] on the present record and in the context of this facial challenge. Pp. 881-887.</w:t>
      </w:r>
    </w:p>
    <w:p w:rsidR="00A31137" w:rsidRPr="00A31137" w:rsidRDefault="00A31137" w:rsidP="00A31137">
      <w:r w:rsidRPr="00A31137">
        <w:t>1992, Planned Parenthood v. Casey, 505 U.S. 839</w:t>
      </w:r>
    </w:p>
    <w:p w:rsidR="00A31137" w:rsidRPr="00A31137" w:rsidRDefault="00A31137" w:rsidP="00A31137">
      <w:r w:rsidRPr="00A31137">
        <w:t>2. Section 3206's one-parent consent requirement and judicial bypass procedure are constitutional. See, e.g., Ohio v. Akron Center for Reproductive Health, 497 U.S. 502, 510-519. Pp.  899-900.</w:t>
      </w:r>
    </w:p>
    <w:p w:rsidR="00A31137" w:rsidRPr="00A31137" w:rsidRDefault="00A31137" w:rsidP="00A31137">
      <w:r w:rsidRPr="00A31137">
        <w:t>1992, Planned Parenthood v. Casey, 505 U.S. 839</w:t>
      </w:r>
    </w:p>
    <w:p w:rsidR="00A31137" w:rsidRPr="00A31137" w:rsidRDefault="00A31137" w:rsidP="00A31137">
      <w:r w:rsidRPr="00A31137">
        <w:t>JUSTICE BLACKMUN concluded that application of the strict scrutiny standard of review required by this Court's abortion precedents results in the invalidation of all the challenged provisions in the Pennsylvania statute, including the reporting requirements, and therefore concurred in the judgment that the requirement that a pregnant woman report her reasons for failing to provide spousal notice is unconstitutional. Pp.  930, 934-936.</w:t>
      </w:r>
    </w:p>
    <w:p w:rsidR="00A31137" w:rsidRPr="00A31137" w:rsidRDefault="00A31137" w:rsidP="00A31137">
      <w:r w:rsidRPr="00A31137">
        <w:t>1992, Planned Parenthood v. Casey, 505 U.S. 839</w:t>
      </w:r>
    </w:p>
    <w:p w:rsidR="00A31137" w:rsidRPr="00A31137" w:rsidRDefault="00A31137" w:rsidP="00A31137">
      <w:r w:rsidRPr="00A31137">
        <w:t>THE CHIEF JUSTICE, joined by JUSTICE WHITE, JUSTICE SCALIA, and JUSTICE THOMAS, concluded that:</w:t>
      </w:r>
    </w:p>
    <w:p w:rsidR="00A31137" w:rsidRPr="00A31137" w:rsidRDefault="00A31137" w:rsidP="00A31137">
      <w:r w:rsidRPr="00A31137">
        <w:t>1992, Planned Parenthood v. Casey, 505 U.S. 839</w:t>
      </w:r>
    </w:p>
    <w:p w:rsidR="00A31137" w:rsidRPr="00A31137" w:rsidRDefault="00A31137" w:rsidP="00A31137">
      <w:r w:rsidRPr="00A31137">
        <w:t>1. Although Roe v. Wade, 410 U.S. 113, is not directly implicated by the Pennsylvania statute, which simply regulates, and does not prohibit, abortion, a reexamination of the "fundamental right" Roe accorded to a woman's decision to abort a fetus, with the concomitant requirement that any state regulation of abortion survive "strict scrutiny," id. at 154-156, is warranted by the confusing and uncertain state of this Court's post-Roe decisional law. A review of post-Roe cases demonstrates both that they have expanded upon Roe in imposing increasingly greater restrictions on the States, see Thornburgh v. American College of Obstetricians and Gynecologists, 476 U.S. 747,  783 (Burger, C.J., dissenting), and that the Court has become increasingly more divided, none of the last three such decisions having commanded a majority opinion, see Ohio v. Akron Center for Reproductive Health, 497 U.S. 502; Hodgson v. Minnesota, 497 U.S. 417; Webster v. Reproductive Health Services, 492 U.S. 490. This confusion and uncertainty complicated the task of the Court of Appeals, which concluded that the "undue burden" standard adopted by JUSTICE O'CONNOR in Webster and Hodgson governs the present cases. Pp.  944-951.</w:t>
      </w:r>
    </w:p>
    <w:p w:rsidR="00A31137" w:rsidRPr="00A31137" w:rsidRDefault="00A31137" w:rsidP="00A31137">
      <w:r w:rsidRPr="00A31137">
        <w:t>1992, Planned Parenthood v. Casey, 505 U.S. 839</w:t>
      </w:r>
    </w:p>
    <w:p w:rsidR="00A31137" w:rsidRPr="00A31137" w:rsidRDefault="00A31137" w:rsidP="00A31137">
      <w:r w:rsidRPr="00A31137">
        <w:t>2. The Roe Court reached too far when it analogized the right to abort a fetus to the rights involved in Pierce v. Society of Sisters, 268 U.S. 510; Meyer v. Nebraska, 262 U.S. 390; Loving v. Virginia, 388 U.S. 1; and Griswold v. Connecticut, 381 U.S. 479, and thereby deemed the right to abortion to be "fundamental." None of these decisions endorsed an all-encompassing "right of privacy," as Roe, supra, 410 U.S. at 152-153, claimed. Because abortion involves the purposeful termination of potential life, the abortion decision must be recognized as sui generis, different in kind from the rights protected in the earlier cases under the rubric of personal or family privacy and autonomy. And the historical traditions of the American people—as evidenced by the English common [505 U.S. 840] law and by the American abortion statutes in existence both at the time of the Fourteenth Amendment's adoption and Roe's issuance—do not support the view that the right to terminate one's pregnancy is "fundamental." Thus, enactments abridging that right need not be subjected to strict scrutiny. Pp. 951-953.</w:t>
      </w:r>
    </w:p>
    <w:p w:rsidR="00A31137" w:rsidRPr="00A31137" w:rsidRDefault="00A31137" w:rsidP="00A31137">
      <w:r w:rsidRPr="00A31137">
        <w:t>1992, Planned Parenthood v. Casey, 505 U.S. 840</w:t>
      </w:r>
    </w:p>
    <w:p w:rsidR="00A31137" w:rsidRPr="00A31137" w:rsidRDefault="00A31137" w:rsidP="00A31137">
      <w:r w:rsidRPr="00A31137">
        <w:t>3. The undue burden standard adopted by the joint opinion of JUSTICES O'CONNOR, KENNEDY, and SOUTER has no basis in constitutional law, and will not result in the sort of simple limitation, easily applied, which the opinion anticipates. To evaluate abortion regulations under that standard, judges will have to make the subjective, unguided determination whether the regulations place "substantial obstacles" in the path of a woman seeking an abortion, undoubtedly engendering a variety of conflicting views. The standard presents nothing more workable than the trimester framework the joint opinion discards, and will allow the Court, under the guise of the Constitution, to continue to impart its own preferences on the States in the form of a complex abortion code. Pp.  964-966.</w:t>
      </w:r>
    </w:p>
    <w:p w:rsidR="00A31137" w:rsidRPr="00A31137" w:rsidRDefault="00A31137" w:rsidP="00A31137">
      <w:r w:rsidRPr="00A31137">
        <w:t>1992, Planned Parenthood v. Casey, 505 U.S. 840</w:t>
      </w:r>
    </w:p>
    <w:p w:rsidR="00A31137" w:rsidRPr="00A31137" w:rsidRDefault="00A31137" w:rsidP="00A31137">
      <w:r w:rsidRPr="00A31137">
        <w:t>4. The correct analysis is that set forth by the plurality opinion in Webster, supra: a woman's interest in having an abortion is a form of liberty protected by the Due Process Clause, but States may regulate abortion procedures in ways rationally related to a legitimate state interest. P.  966.</w:t>
      </w:r>
    </w:p>
    <w:p w:rsidR="00A31137" w:rsidRPr="00A31137" w:rsidRDefault="00A31137" w:rsidP="00A31137">
      <w:r w:rsidRPr="00A31137">
        <w:t>1992, Planned Parenthood v. Casey, 505 U.S. 840</w:t>
      </w:r>
    </w:p>
    <w:p w:rsidR="00A31137" w:rsidRPr="00A31137" w:rsidRDefault="00A31137" w:rsidP="00A31137">
      <w:r w:rsidRPr="00A31137">
        <w:t>5. Section 3205's requirements are rationally related to the State's legitimate interest in assuring that a woman's consent to an abortion be fully informed. The requirement that a physician disclose certain information about the abortion procedure and its risks and alternatives is not a large burden, and is clearly related to maternal health and the State's interest in informed consent. In addition, a State may rationally decide that physicians are better qualified than counselors to impart this information and answer questions about the abortion alternatives' medical aspects. The requirement that information be provided about the availability of paternal child support and state-funded alternatives is also related to the State's informed consent interest, and furthers the State's interest in preserving unborn life. That such information might create some uncertainty and persuade some women to forgo abortions only demonstrates that it might make a difference, and is therefore relevant to a woman's informed choice. In light of this plurality's rejection of Roe's "fundamental right" approach to this subject, the Court's contrary holding in Thornburgh is not controlling here. For the same reason, this Court's previous holding invalidating a State's 24-hour mandatory waiting period should not be followed. The waiting period helps ensure that a woman's decision to abort is a well-considered one, and rationally furthers the State's legitimate interest in maternal health and [505 U.S. 841] in unborn life. It may delay, but does not prohibit, abortions; and both it and the informed consent provisions do not apply in medical emergencies. Pp. 966-970.</w:t>
      </w:r>
    </w:p>
    <w:p w:rsidR="00A31137" w:rsidRPr="00A31137" w:rsidRDefault="00A31137" w:rsidP="00A31137">
      <w:r w:rsidRPr="00A31137">
        <w:t>1992, Planned Parenthood v. Casey, 505 U.S. 841</w:t>
      </w:r>
    </w:p>
    <w:p w:rsidR="00A31137" w:rsidRPr="00A31137" w:rsidRDefault="00A31137" w:rsidP="00A31137">
      <w:r w:rsidRPr="00A31137">
        <w:t>6. The statute's parental consent provision is entirely consistent with this Court's previous decisions involving such requirements. See, e.g., Planned Parenthood Association of Kansas City, Missouri, Inc. v. Ashcroft, 462 U.S. 476. It is reasonably designed to further the State's important and legitimate interest</w:t>
      </w:r>
    </w:p>
    <w:p w:rsidR="00A31137" w:rsidRPr="00A31137" w:rsidRDefault="00A31137" w:rsidP="00A31137">
      <w:r w:rsidRPr="00A31137">
        <w:t>1992, Planned Parenthood v. Casey, 505 U.S. 841</w:t>
      </w:r>
    </w:p>
    <w:p w:rsidR="00A31137" w:rsidRPr="00A31137" w:rsidRDefault="00A31137" w:rsidP="00A31137">
      <w:r w:rsidRPr="00A31137">
        <w:t>in the welfare of its young citizens, whose immaturity, inexperience, and lack of judgment may sometimes impair their ability to exercise their rights wisely,</w:t>
      </w:r>
    </w:p>
    <w:p w:rsidR="00A31137" w:rsidRPr="00A31137" w:rsidRDefault="00A31137" w:rsidP="00A31137">
      <w:r w:rsidRPr="00A31137">
        <w:t>1992, Planned Parenthood v. Casey, 505 U.S. 841</w:t>
      </w:r>
    </w:p>
    <w:p w:rsidR="00A31137" w:rsidRPr="00A31137" w:rsidRDefault="00A31137" w:rsidP="00A31137">
      <w:r w:rsidRPr="00A31137">
        <w:t>Hodgson, supra, 497 U.S. at  444. Pp.  970-971.</w:t>
      </w:r>
    </w:p>
    <w:p w:rsidR="00A31137" w:rsidRPr="00A31137" w:rsidRDefault="00A31137" w:rsidP="00A31137">
      <w:r w:rsidRPr="00A31137">
        <w:t>1992, Planned Parenthood v. Casey, 505 U.S. 841</w:t>
      </w:r>
    </w:p>
    <w:p w:rsidR="00A31137" w:rsidRPr="00A31137" w:rsidRDefault="00A31137" w:rsidP="00A31137">
      <w:r w:rsidRPr="00A31137">
        <w:t>7. Section 3214(a)'s requirement that abortion facilities file a report on each abortion is constitutional, because it rationally furthers the State's legitimate interests in advancing the state of medical knowledge concerning maternal health and prenatal life, in gathering statistical information with respect to patients, and in ensuring compliance with other provisions of the Act, while keeping the reports completely confidential. Public disclosure of other reports made by facilities receiving public funds—those identifying the facilities and any parent, subsidiary, or affiliated organizations, § 3207(b), and those revealing the total number of abortions performed, broken down by trimester, § 3214(f)—are rationally related to the State's legitimate interest in informing taxpayers as to who is benefiting from public funds and what services the funds are supporting; and records relating to the expenditure of public funds are generally available to the public under Pennsylvania law. Pp.  979-981.</w:t>
      </w:r>
    </w:p>
    <w:p w:rsidR="00A31137" w:rsidRPr="00A31137" w:rsidRDefault="00A31137" w:rsidP="00A31137">
      <w:r w:rsidRPr="00A31137">
        <w:t>1992, Planned Parenthood v. Casey, 505 U.S. 841</w:t>
      </w:r>
    </w:p>
    <w:p w:rsidR="00A31137" w:rsidRPr="00A31137" w:rsidRDefault="00A31137" w:rsidP="00A31137">
      <w:r w:rsidRPr="00A31137">
        <w:t>JUSTICE SCALIA, joined by THE CHIEF JUSTICE, JUSTICE WHITE, and JUSTICE THOMAS, concluded that a woman's decision to abort her unborn child is not a constitutionally protected "liberty," because (1) the Constitution says absolutely nothing about it, and (2) the longstanding traditions of American society have permitted it to be legally proscribed. See, e.g., Ohio v. Akron Center for Reproductive Health, 497 U.S. 502, 520 (SCALIA, J., concurring). The Pennsylvania statute should be upheld in its entirety under the rational basis test. Pp.  979-981.</w:t>
      </w:r>
    </w:p>
    <w:p w:rsidR="00A31137" w:rsidRPr="00A31137" w:rsidRDefault="00A31137" w:rsidP="00A31137">
      <w:r w:rsidRPr="00A31137">
        <w:t>1992, Planned Parenthood v. Casey, 505 U.S. 841</w:t>
      </w:r>
    </w:p>
    <w:p w:rsidR="00A31137" w:rsidRPr="00A31137" w:rsidRDefault="00A31137" w:rsidP="00A31137">
      <w:r w:rsidRPr="00A31137">
        <w:t xml:space="preserve">O'CONNOR, KENNEDY, and SOUTER, JJ., announced the judgment of the Court and delivered the opinion of the Court with respect to Parts I, II, III, V-A, V-C, and VI, in which BLACKMUN and STEVENS, JJ., joined, an opinion with respect to Part V-E, in which STEVENS, J., joined, and an opinion with respect to Parts IV, V-B, and V-D. STEVENS, J., filed an opinion concurring in part and dissenting in part, post, p.  911.   BLACKMUN, J., filed an opinion concurring in part, concurring in the judgment in part, and dissenting in part, post, p.  922. REHNQUIST, C.J., filed an opinion concurring in the judgment in part and dissenting in part, in which [505 U.S. 842] WHITE, SCALIA, and THOMAS, JJ., joined, post, p. 944. SCALIA, J., filed an opinion concurring in the judgment in part and dissenting in part, in which REHNQUIST, C.J., and WHITE and THOMAS, JJ., joined, post, p.  979. [505 U.S. 843] </w:t>
      </w:r>
    </w:p>
    <w:p w:rsidR="00A31137" w:rsidRPr="00A31137" w:rsidRDefault="00A31137" w:rsidP="00A31137">
      <w:r w:rsidRPr="00A31137">
        <w:t>O'CONNOR, KENNEDY, SOUTER, JJ., lead opinion</w:t>
      </w:r>
    </w:p>
    <w:p w:rsidR="00A31137" w:rsidRPr="00A31137" w:rsidRDefault="00A31137" w:rsidP="00A31137">
      <w:r w:rsidRPr="00A31137">
        <w:t>1992, Planned Parenthood v. Casey, 505 U.S. 843</w:t>
      </w:r>
    </w:p>
    <w:p w:rsidR="00A31137" w:rsidRPr="00A31137" w:rsidRDefault="00A31137" w:rsidP="00A31137">
      <w:r w:rsidRPr="00A31137">
        <w:t>JUSTICE O'CONNOR, JUSTICE KENNEDY, and JUSTICE SOUTER announced the judgment of the Court and delivered the opinion of the Court with respect to Parts I, II, III, V-A, [505 U.S. 844] V-C, and VI, an opinion with respect to Part V-E, in which JUSTICE STEVENS joins, and an opinion with respect to Parts IV, V-B, and V-D.</w:t>
      </w:r>
    </w:p>
    <w:p w:rsidR="00A31137" w:rsidRPr="00A31137" w:rsidRDefault="00A31137" w:rsidP="00A31137">
      <w:r w:rsidRPr="00A31137">
        <w:t>I</w:t>
      </w:r>
    </w:p>
    <w:p w:rsidR="00A31137" w:rsidRPr="00A31137" w:rsidRDefault="00A31137" w:rsidP="00A31137">
      <w:r w:rsidRPr="00A31137">
        <w:t>1992, Planned Parenthood v. Casey, 505 U.S. 844</w:t>
      </w:r>
    </w:p>
    <w:p w:rsidR="00A31137" w:rsidRPr="00A31137" w:rsidRDefault="00A31137" w:rsidP="00A31137">
      <w:r w:rsidRPr="00A31137">
        <w:t>Liberty finds no refuge in a jurisprudence of doubt. Yet, 19 years after our holding that the Constitution protects a woman's right to terminate her pregnancy in its early stages, Roe v. Wade, 410 U.S. 113 (1973), that definition of liberty is still questioned. Joining the respondents as amicus curiae, the United States, as it has done in five other cases in the last decade, again asks us to overrule Roe. See Brief for Respondents 104-117; Brief for United States as Amicus Curiae 8.</w:t>
      </w:r>
    </w:p>
    <w:p w:rsidR="00A31137" w:rsidRPr="00A31137" w:rsidRDefault="00A31137" w:rsidP="00A31137">
      <w:r w:rsidRPr="00A31137">
        <w:t>1992, Planned Parenthood v. Casey, 505 U.S. 844</w:t>
      </w:r>
    </w:p>
    <w:p w:rsidR="00A31137" w:rsidRPr="00A31137" w:rsidRDefault="00A31137" w:rsidP="00A31137">
      <w:r w:rsidRPr="00A31137">
        <w:t xml:space="preserve">At issue in these cases are five provisions of the Pennsylvania Abortion Control Act of 1982 as amended in 1988 and 1989. 18 Pa. Cons.Stat. §§ 3203-3220 (1990). Relevant portions of the Act are set forth in the appendix. Infra at  902. The Act requires that a woman seeking an abortion give her informed consent prior to the abortion procedure, and specifies that she be provided with certain information at least 24 hours before the abortion is performed. § 3205. For a minor to obtain an abortion, the Act requires the informed consent of one of her parents, but provides for a judicial bypass option if the minor does not wish to or cannot obtain a parent's consent. § 3206. Another provision of the Act requires that, unless certain exceptions apply, a married woman seeking an abortion must sign a statement indicating that she has notified her husband of her intended abortion. § 3209. The Act exempts compliance with these three requirements in the event of a "medical emergency," which is defined in § 3203 of the Act. See §§ 3203, 3205(a), 3206(a), 3209(c). In addition to the above provisions regulating the performance of abortions, the Act imposes certain reporting requirements on facilities that provide abortion services. §§ 3207(b), 3214(a), 3214(f). [505 U.S. 845] </w:t>
      </w:r>
    </w:p>
    <w:p w:rsidR="00A31137" w:rsidRPr="00A31137" w:rsidRDefault="00A31137" w:rsidP="00A31137">
      <w:r w:rsidRPr="00A31137">
        <w:t>1992, Planned Parenthood v. Casey, 505 U.S. 845</w:t>
      </w:r>
    </w:p>
    <w:p w:rsidR="00A31137" w:rsidRPr="00A31137" w:rsidRDefault="00A31137" w:rsidP="00A31137">
      <w:r w:rsidRPr="00A31137">
        <w:t>Before any of these provisions took effect, the petitioners, who are five abortion clinics and one physician representing himself as well as a class of physicians who provide abortion services, brought this suit seeking declaratory and injunctive relief. Each provision was challenged as unconstitutional on its face. The District Court entered a preliminary injunction against the enforcement of the regulations, and, after a 3-day bench trial, held all the provisions at issue here unconstitutional, entering a permanent injunction against Pennsylvania's enforcement of them. 744 F.Supp. 1323 (ED Pa.1990). The Court of Appeals for the Third Circuit affirmed in part and reversed in part, upholding all of the regulations except for the husband notification requirement. 947 F.2d 682 (1991). We granted certiorari. 502 U.S. 1056 (1992).</w:t>
      </w:r>
    </w:p>
    <w:p w:rsidR="00A31137" w:rsidRPr="00A31137" w:rsidRDefault="00A31137" w:rsidP="00A31137">
      <w:r w:rsidRPr="00A31137">
        <w:t>1992, Planned Parenthood v. Casey, 505 U.S. 845</w:t>
      </w:r>
    </w:p>
    <w:p w:rsidR="00A31137" w:rsidRPr="00A31137" w:rsidRDefault="00A31137" w:rsidP="00A31137">
      <w:r w:rsidRPr="00A31137">
        <w:t>The Court of Appeals found it necessary to follow an elaborate course of reasoning even to identify the first premise to use to determine whether the statute enacted by Pennsylvania meets constitutional standards. See 947 F.2d at 687-698. And at oral argument in this Court, the attorney for the parties challenging the statute took the position that none of the enactments can be upheld without overruling Roe v. Wade. Tr. of Oral Arg. 5-6. We disagree with that analysis; but we acknowledge that our decisions after Roe cast doubt upon the meaning and reach of its holding. Further, the CHIEF JUSTICE admits that he would overrule the central holding of Roe and adopt the rational relationship test as the sole criterion of constitutionality. See post at  944,  966. State and federal courts, as well as legislatures throughout the Union, must have guidance as they seek to address this subject in conformance with the Constitution. Given these premises, we find it imperative to review once more the principles that define the rights of the woman and the legitimate authority of the State respecting the termination of pregnancies by abortion procedures.</w:t>
      </w:r>
    </w:p>
    <w:p w:rsidR="00A31137" w:rsidRPr="00A31137" w:rsidRDefault="00A31137" w:rsidP="00A31137">
      <w:r w:rsidRPr="00A31137">
        <w:t>1992, Planned Parenthood v. Casey, 505 U.S. 845</w:t>
      </w:r>
    </w:p>
    <w:p w:rsidR="00A31137" w:rsidRPr="00A31137" w:rsidRDefault="00A31137" w:rsidP="00A31137">
      <w:r w:rsidRPr="00A31137">
        <w:t>After considering the fundamental constitutional questions resolved by Roe, principles of institutional integrity, [505 U.S. 846] and the rule of stare decisis, we are led to conclude this: the essential holding of Roe v. Wade should be retained and once again reaffirmed.</w:t>
      </w:r>
    </w:p>
    <w:p w:rsidR="00A31137" w:rsidRPr="00A31137" w:rsidRDefault="00A31137" w:rsidP="00A31137">
      <w:r w:rsidRPr="00A31137">
        <w:t>1992, Planned Parenthood v. Casey, 505 U.S. 846</w:t>
      </w:r>
    </w:p>
    <w:p w:rsidR="00A31137" w:rsidRPr="00A31137" w:rsidRDefault="00A31137" w:rsidP="00A31137">
      <w:r w:rsidRPr="00A31137">
        <w:t>It must be stated at the outset and with clarity that Roe's essential holding, the holding we reaffirm, has three parts. First is a recognition of the right of the woman to choose to have an abortion before viability and to obtain it without undue interference from the State. Before viability, the State's interests are not strong enough to support a prohibition of abortion or the imposition of a substantial obstacle to the woman's effective right to elect the procedure. Second is a confirmation of the State's power to restrict abortions after fetal viability if the law contains exceptions for pregnancies which endanger a woman's life or health. And third is the principle that the State has legitimate interests from the outset of the pregnancy in protecting the health of the woman and the life of the fetus that may become a child. These principles do not contradict one another; and we adhere to each.</w:t>
      </w:r>
    </w:p>
    <w:p w:rsidR="00A31137" w:rsidRPr="00A31137" w:rsidRDefault="00A31137" w:rsidP="00A31137">
      <w:r w:rsidRPr="00A31137">
        <w:t>II</w:t>
      </w:r>
    </w:p>
    <w:p w:rsidR="00A31137" w:rsidRPr="00A31137" w:rsidRDefault="00A31137" w:rsidP="00A31137">
      <w:r w:rsidRPr="00A31137">
        <w:t>1992, Planned Parenthood v. Casey, 505 U.S. 846</w:t>
      </w:r>
    </w:p>
    <w:p w:rsidR="00A31137" w:rsidRPr="00A31137" w:rsidRDefault="00A31137" w:rsidP="00A31137">
      <w:r w:rsidRPr="00A31137">
        <w:t>Constitutional protection of the woman's decision to terminate her pregnancy derives from the Due Process Clause of the Fourteenth Amendment. It declares that no State shall "deprive any person of life, liberty, or property, without due process of law." The controlling word in the case before us is "liberty." Although a literal reading of the Clause might suggest that it governs only the procedures by which a State may deprive persons of liberty, for at least 105 years, at least since Mugler v. Kansas, 123 U.S. 623, 660-661 (1887), the Clause has been understood to contain a substantive component as well, one "barring certain government actions regardless of the fairness of the procedures used to implement them." Daniels v. Williams, 474 U.S. 327,  331 (1986). As Justice Brandeis (joined by Justice Holmes) observed,</w:t>
      </w:r>
    </w:p>
    <w:p w:rsidR="00A31137" w:rsidRPr="00A31137" w:rsidRDefault="00A31137" w:rsidP="00A31137">
      <w:r w:rsidRPr="00A31137">
        <w:t>1992, Planned Parenthood v. Casey, 505 U.S. 846</w:t>
      </w:r>
    </w:p>
    <w:p w:rsidR="00A31137" w:rsidRPr="00A31137" w:rsidRDefault="00A31137" w:rsidP="00A31137">
      <w:r w:rsidRPr="00A31137">
        <w:t>[d]espite arguments to the contrary which had seemed to me persuasive, it is settled that the due process clause of the Fourteenth [505 U.S. 847] Amendment applies to matters of substantive law as well as to matters of procedure. Thus all fundamental rights comprised within the term liberty are protected by the Federal Constitution from invasion by the States.</w:t>
      </w:r>
    </w:p>
    <w:p w:rsidR="00A31137" w:rsidRPr="00A31137" w:rsidRDefault="00A31137" w:rsidP="00A31137">
      <w:r w:rsidRPr="00A31137">
        <w:t>1992, Planned Parenthood v. Casey, 505 U.S. 847</w:t>
      </w:r>
    </w:p>
    <w:p w:rsidR="00A31137" w:rsidRPr="00A31137" w:rsidRDefault="00A31137" w:rsidP="00A31137">
      <w:r w:rsidRPr="00A31137">
        <w:t>Whitney v. California, 274 U.S. 357,  373 (1927) (Brandeis, J., concurring).</w:t>
      </w:r>
    </w:p>
    <w:p w:rsidR="00A31137" w:rsidRPr="00A31137" w:rsidRDefault="00A31137" w:rsidP="00A31137">
      <w:r w:rsidRPr="00A31137">
        <w:t>1992, Planned Parenthood v. Casey, 505 U.S. 847</w:t>
      </w:r>
    </w:p>
    <w:p w:rsidR="00A31137" w:rsidRPr="00A31137" w:rsidRDefault="00A31137" w:rsidP="00A31137">
      <w:r w:rsidRPr="00A31137">
        <w:t>[T]he guaranties of due process, though having their roots in Magna Carta's "per legem terrae" and considered as procedural safeguards "against executive usurpation and tyranny," have in this country "become bulwarks also against arbitrary legislation."</w:t>
      </w:r>
    </w:p>
    <w:p w:rsidR="00A31137" w:rsidRPr="00A31137" w:rsidRDefault="00A31137" w:rsidP="00A31137">
      <w:r w:rsidRPr="00A31137">
        <w:t>1992, Planned Parenthood v. Casey, 505 U.S. 847</w:t>
      </w:r>
    </w:p>
    <w:p w:rsidR="00A31137" w:rsidRPr="00A31137" w:rsidRDefault="00A31137" w:rsidP="00A31137">
      <w:r w:rsidRPr="00A31137">
        <w:t>Poe v. Ullman, 367 U.S. 497,  541 (1961) (Harlan, J., dissenting from dismissal on jurisdictional grounds) (quoting Hurtado v. California, 110 U.S. 516,  532 (1884)).</w:t>
      </w:r>
    </w:p>
    <w:p w:rsidR="00A31137" w:rsidRPr="00A31137" w:rsidRDefault="00A31137" w:rsidP="00A31137">
      <w:r w:rsidRPr="00A31137">
        <w:t>1992, Planned Parenthood v. Casey, 505 U.S. 847</w:t>
      </w:r>
    </w:p>
    <w:p w:rsidR="00A31137" w:rsidRPr="00A31137" w:rsidRDefault="00A31137" w:rsidP="00A31137">
      <w:r w:rsidRPr="00A31137">
        <w:t>The most familiar of the substantive liberties protected by the Fourteenth Amendment are those recognized by the Bill of Rights. We have held that the Due Process Clause of the Fourteenth Amendment incorporates most of the Bill of Rights against the States. See, e.g., Duncan v. Louisiana, 391 U.S. 145, 147-148 (1968). It is tempting, as a means of curbing the discretion of federal judges, to suppose that liberty encompasses no more than those rights already guaranteed to the individual against federal interference by the express provisions of the first eight amendments to the Constitution. See Adamson v. California, 332 U.S. 46, 68-92 (1947) (Black, J., dissenting). But of course this Court has never accepted that view.</w:t>
      </w:r>
    </w:p>
    <w:p w:rsidR="00A31137" w:rsidRPr="00A31137" w:rsidRDefault="00A31137" w:rsidP="00A31137">
      <w:r w:rsidRPr="00A31137">
        <w:t>1992, Planned Parenthood v. Casey, 505 U.S. 847</w:t>
      </w:r>
    </w:p>
    <w:p w:rsidR="00A31137" w:rsidRPr="00A31137" w:rsidRDefault="00A31137" w:rsidP="00A31137">
      <w:r w:rsidRPr="00A31137">
        <w:t>It is also tempting, for the same reason, to suppose that the Due Process Clause protects only those practices, defined at the most specific level, that were protected against government interference by other rules of law when the Fourteenth Amendment was ratified. See Michael H. v. Gerald D., 491 U.S. 110, 127-128, n. 6 (1989) (opinion of SCALIA, J.). But such a view would be inconsistent with our law. It is a promise of the Constitution that there is a realm of personal liberty which the government may not enter. We have vindicated this principle before. Marriage is mentioned nowhere in the Bill of Rights, and interracial marriage was illegal [505 U.S. 848] in most States in the 19th century, but the Court was no doubt correct in finding it to be an aspect of liberty protected against state interference by the substantive component of the Due Process Clause in Loving v. Virginia, 388 U.S. 1,  12 (1967) (relying, in an opinion for eight Justices, on the Due Process Clause). Similar examples may be found in Turner v. Safley, 482 U.S. 78, 94-99 (1987); in Carey v. Population Services International, 431 U.S. 678, 684-686 (1977); in Griswold v. Connecticut, 381 U.S. 479, 481-482 (1965), as well as in the separate opinions of a majority of the Members of the Court in that case, id. at 486-488 (Goldberg, J., joined by Warren, C.J., and Brennan, J., concurring) (expressly relying on due process), id. at 500-502 (Harlan, J., concurring in judgment) (same), id. at 502-507, (WHITE, J., concurring in judgment) (same); in Pierce v. Society of Sisters, 268 U.S. 510, 534-535 (1925); and in Meyer v. Nebraska, 262 U.S. 390, 399-403 (1923).</w:t>
      </w:r>
    </w:p>
    <w:p w:rsidR="00A31137" w:rsidRPr="00A31137" w:rsidRDefault="00A31137" w:rsidP="00A31137">
      <w:r w:rsidRPr="00A31137">
        <w:t>1992, Planned Parenthood v. Casey, 505 U.S. 848</w:t>
      </w:r>
    </w:p>
    <w:p w:rsidR="00A31137" w:rsidRPr="00A31137" w:rsidRDefault="00A31137" w:rsidP="00A31137">
      <w:r w:rsidRPr="00A31137">
        <w:t>Neither the Bill of Rights nor the specific practices of States at the time of the adoption of the Fourteenth Amendment marks the outer limits of the substantive sphere of liberty which the Fourteenth Amendment protects. See U.S.Const., Amend. 9. As the second Justice Harlan recognized:</w:t>
      </w:r>
    </w:p>
    <w:p w:rsidR="00A31137" w:rsidRPr="00A31137" w:rsidRDefault="00A31137" w:rsidP="00A31137">
      <w:r w:rsidRPr="00A31137">
        <w:t>1992, Planned Parenthood v. Casey, 505 U.S. 848</w:t>
      </w:r>
    </w:p>
    <w:p w:rsidR="00A31137" w:rsidRPr="00A31137" w:rsidRDefault="00A31137" w:rsidP="00A31137">
      <w:r w:rsidRPr="00A31137">
        <w:t>[T]he full scope of the liberty guaranteed by the Due Process Clause cannot be found in or limited by the precise terms of the specific guarantees elsewhere provided in the Constitution. This "liberty" is not a series of isolated points pricked out in terms of the taking of property; the freedom of speech, press, and religion; the right to keep and bear arms; the freedom from unreasonable searches and seizures; and so on. It is a rational continuum which, broadly speaking, includes a freedom from all substantial arbitrary impositions and purposeless restraints,…and which also recognizes, what a reasonable and sensitive judgment must, that certain interests require particularly careful scrutiny of the state needs asserted to justify their abridgment.</w:t>
      </w:r>
    </w:p>
    <w:p w:rsidR="00A31137" w:rsidRPr="00A31137" w:rsidRDefault="00A31137" w:rsidP="00A31137">
      <w:r w:rsidRPr="00A31137">
        <w:t>1992, Planned Parenthood v. Casey, 505 U.S. 848</w:t>
      </w:r>
    </w:p>
    <w:p w:rsidR="00A31137" w:rsidRPr="00A31137" w:rsidRDefault="00A31137" w:rsidP="00A31137">
      <w:r w:rsidRPr="00A31137">
        <w:t>Poe v. [505 U.S. 849] Ullman, supra, at  543 (Harlan, J., dissenting from dismissal on jurisdictional grounds). Justice Harlan wrote these words in addressing an issue the full Court did not reach in Poe v. Ullman, but the Court adopted his position four Terms later in Griswold v. Connecticut, supra. In Griswold, we held that the Constitution does not permit a State to forbid a married couple to use contraceptives. That same freedom was later guaranteed, under the Equal Protection Clause, for unmarried couples. See Eisenstadt v. Baird, 405 U.S. 438 (1972). Constitutional protection was extended to the sale and distribution of contraceptives in Carey v. Population Services International, supra. It is settled now, as it was when the Court heard arguments in Roe v. Wade, that the Constitution places limits on a State's right to interfere with a person's most basic decisions about family and parenthood, see Carey v. Population Services International, supra; Moore v. East Cleveland, 431 U.S. 494 (1977); Eisenstadt v. Baird, supra; Loving v. Virginia, supra; Griswold v. Connecticut, supra; Skinner v. Oklahoma ex rel. Williamson, 316 U.S. 535 (1942); Pierce v. Society of Sisters, supra; Meyer v. Nebraska, supra, as well as bodily integrity. See, e.g., Washington v. Harper, 494 U.S. 210, 221-222 (1990); Winston v. Lee, 470 U.S. 753 (1985); Rochin v. California, 342 U.S. 165 (1952).</w:t>
      </w:r>
    </w:p>
    <w:p w:rsidR="00A31137" w:rsidRPr="00A31137" w:rsidRDefault="00A31137" w:rsidP="00A31137">
      <w:r w:rsidRPr="00A31137">
        <w:t>1992, Planned Parenthood v. Casey, 505 U.S. 849</w:t>
      </w:r>
    </w:p>
    <w:p w:rsidR="00A31137" w:rsidRPr="00A31137" w:rsidRDefault="00A31137" w:rsidP="00A31137">
      <w:r w:rsidRPr="00A31137">
        <w:t>The inescapable fact is that adjudication of substantive due process claims may call upon the Court in interpreting the Constitution to exercise that same capacity which, by tradition, courts always have exercised: reasoned judgment. Its boundaries are not susceptible of expression as a simple rule. That does not mean we are free to invalidate state policy choices with which we disagree; yet neither does it permit us to shrink from the duties of our office. As Justice Harlan observed:</w:t>
      </w:r>
    </w:p>
    <w:p w:rsidR="00A31137" w:rsidRPr="00A31137" w:rsidRDefault="00A31137" w:rsidP="00A31137">
      <w:r w:rsidRPr="00A31137">
        <w:t>1992, Planned Parenthood v. Casey, 505 U.S. 849</w:t>
      </w:r>
    </w:p>
    <w:p w:rsidR="00A31137" w:rsidRPr="00A31137" w:rsidRDefault="00A31137" w:rsidP="00A31137">
      <w:r w:rsidRPr="00A31137">
        <w:t>Due process has not been reduced to any formula; its content cannot be determined by reference to any code. [505 U.S. 850] The best that can be said is that, through the course of this Court's decisions, it has represented the balance which our Nation, built upon postulates of respect for the liberty of the individual, has struck between that liberty and the demands of organized society. If the supplying of content to this Constitutional concept has, of necessity, been a rational process, it certainly has not been one where judges have felt free to roam where unguided speculation might take them. The balance of which I speak is the balance struck by this country, having regard to what history teaches are the traditions from which it developed as well as the traditions from which it broke. That tradition is a living thing. A decision of this Court which radically departs from it could not long survive, while a decision which builds on what has survived is likely to be sound. No formula could serve as a substitute, in this area, for judgment and restraint.</w:t>
      </w:r>
    </w:p>
    <w:p w:rsidR="00A31137" w:rsidRPr="00A31137" w:rsidRDefault="00A31137" w:rsidP="00A31137">
      <w:r w:rsidRPr="00A31137">
        <w:t>1992, Planned Parenthood v. Casey, 505 U.S. 850</w:t>
      </w:r>
    </w:p>
    <w:p w:rsidR="00A31137" w:rsidRPr="00A31137" w:rsidRDefault="00A31137" w:rsidP="00A31137">
      <w:r w:rsidRPr="00A31137">
        <w:t>Poe v. Ullman, 367 U.S. at  542 (Harlan, J., dissenting from dismissal on jurisdictional grounds). See also Rochin v. California, supra, 342 U.S. at 171-172 (Frankfurter, J., writing for the Court) ("To believe that this judicial exercise of judgment could be avoided by freezing 'due process of law' at some fixed stage of time or thought is to suggest that the most important aspect of constitutional adjudication is a function for inanimate machines, and not for judges").</w:t>
      </w:r>
    </w:p>
    <w:p w:rsidR="00A31137" w:rsidRPr="00A31137" w:rsidRDefault="00A31137" w:rsidP="00A31137">
      <w:r w:rsidRPr="00A31137">
        <w:t>1992, Planned Parenthood v. Casey, 505 U.S. 850</w:t>
      </w:r>
    </w:p>
    <w:p w:rsidR="00A31137" w:rsidRPr="00A31137" w:rsidRDefault="00A31137" w:rsidP="00A31137">
      <w:r w:rsidRPr="00A31137">
        <w:t>Men and women of good conscience can disagree, and we suppose some always shall disagree, about the profound moral and spiritual implications of terminating a pregnancy, even in its earliest stage. Some of us as individuals find abortion offensive to our most basic principles of morality, but that cannot control our decision. Our obligation is to define the liberty of all, not to mandate our own moral code. The underlying constitutional issue is whether the State can resolve these philosophic questions in such a definitive way that a woman lacks all choice in the matter, except perhaps [505 U.S. 851] in those rare circumstances in which the pregnancy is itself a danger to her own life or health, or is the result of rape or incest.</w:t>
      </w:r>
    </w:p>
    <w:p w:rsidR="00A31137" w:rsidRPr="00A31137" w:rsidRDefault="00A31137" w:rsidP="00A31137">
      <w:r w:rsidRPr="00A31137">
        <w:t>1992, Planned Parenthood v. Casey, 505 U.S. 851</w:t>
      </w:r>
    </w:p>
    <w:p w:rsidR="00A31137" w:rsidRPr="00A31137" w:rsidRDefault="00A31137" w:rsidP="00A31137">
      <w:r w:rsidRPr="00A31137">
        <w:t>It is conventional constitutional doctrine that, where reasonable people disagree, the government can adopt one position or the other. See, e.g., Ferguson v. Skrupa, 372 U.S. 726 (1963); Williamson v. Lee Optical of Oklahoma, Inc., 348 U.S. 483 (1955). That theorem, however, assumes a state of affairs in which the choice does not intrude upon a protected liberty. Thus, while some people might disagree about whether or not the flag should be saluted, or disagree about the proposition that it may not be defiled, we have ruled that a State may not compel or enforce one view or the other. See West Virginia State Bd. of Education v. Barnette, 319 U.S. 624 (1943); Texas v. Johnson, 491 U.S. 397 (1989).</w:t>
      </w:r>
    </w:p>
    <w:p w:rsidR="00A31137" w:rsidRPr="00A31137" w:rsidRDefault="00A31137" w:rsidP="00A31137">
      <w:r w:rsidRPr="00A31137">
        <w:t>1992, Planned Parenthood v. Casey, 505 U.S. 851</w:t>
      </w:r>
    </w:p>
    <w:p w:rsidR="00A31137" w:rsidRPr="00A31137" w:rsidRDefault="00A31137" w:rsidP="00A31137">
      <w:r w:rsidRPr="00A31137">
        <w:t>Our law affords constitutional protection to personal decisions relating to marriage, procreation, contraception, family relationships, child rearing, and education. Carey v. Population Services International, 431 U.S. at  685. Our cases recognize</w:t>
      </w:r>
    </w:p>
    <w:p w:rsidR="00A31137" w:rsidRPr="00A31137" w:rsidRDefault="00A31137" w:rsidP="00A31137">
      <w:r w:rsidRPr="00A31137">
        <w:t>1992, Planned Parenthood v. Casey, 505 U.S. 851</w:t>
      </w:r>
    </w:p>
    <w:p w:rsidR="00A31137" w:rsidRPr="00A31137" w:rsidRDefault="00A31137" w:rsidP="00A31137">
      <w:r w:rsidRPr="00A31137">
        <w:t>the right of the individual, married or single, to be free from unwarranted governmental intrusion into matters so fundamentally affecting a person as the decision whether to bear or beget a child.</w:t>
      </w:r>
    </w:p>
    <w:p w:rsidR="00A31137" w:rsidRPr="00A31137" w:rsidRDefault="00A31137" w:rsidP="00A31137">
      <w:r w:rsidRPr="00A31137">
        <w:t>1992, Planned Parenthood v. Casey, 505 U.S. 851</w:t>
      </w:r>
    </w:p>
    <w:p w:rsidR="00A31137" w:rsidRPr="00A31137" w:rsidRDefault="00A31137" w:rsidP="00A31137">
      <w:r w:rsidRPr="00A31137">
        <w:t xml:space="preserve">Eisenstadt v. Baird, supra, 405 U.S. at  453 (emphasis in original). Our precedents "have respected the private realm of family life which the state cannot enter." Prince v. Massachusetts, 321 U.S. 158,  166 (1944). These matters, involving the most intimate and personal choices a person may make in a lifetime, choices central to personal dignity and autonomy, are central to the liberty protected by the Fourteenth Amendment. At the heart of liberty is the right to define one's own concept of existence, of meaning, of the universe, and of the mystery of human life. Beliefs about these matters could not define the attributes of personhood were they formed under compulsion of the State. [505 U.S. 852] </w:t>
      </w:r>
    </w:p>
    <w:p w:rsidR="00A31137" w:rsidRPr="00A31137" w:rsidRDefault="00A31137" w:rsidP="00A31137">
      <w:r w:rsidRPr="00A31137">
        <w:t>1992, Planned Parenthood v. Casey, 505 U.S. 852</w:t>
      </w:r>
    </w:p>
    <w:p w:rsidR="00A31137" w:rsidRPr="00A31137" w:rsidRDefault="00A31137" w:rsidP="00A31137">
      <w:r w:rsidRPr="00A31137">
        <w:t>These considerations begin our analysis of the woman's interest in terminating her pregnancy, but cannot end it, for this reason: though the abortion decision may originate within the zone of conscience and belief, it is more than a philosophic exercise. Abortion is a unique act. It is an act fraught with consequences for others: for the woman who must live with the implications of her decision; for the persons who perform and assist in the procedure; for the spouse, family, and society which must confront the knowledge that these procedures exist, procedures some deem nothing short of an act of violence against innocent human life; and, depending on one's beliefs, for the life or potential life that is aborted. Though abortion is conduct, it does not follow that the State is entitled to proscribe it in all instances. That is because the liberty of the woman is at stake in a sense unique to the human condition, and so, unique to the law. The mother who carries a child to full term is subject to anxieties, to physical constraints, to pain that only she must bear. That these sacrifices have from the beginning of the human race been endured by woman with a pride that ennobles her in the eyes of others and gives to the infant a bond of love cannot alone be grounds for the State to insist she make the sacrifice. Her suffering is too intimate and personal for the State to insist, without more, upon its own vision of the woman's role, however dominant that vision has been in the course of our history and our culture. The destiny of the woman must be shaped to a large extent on her own conception of her spiritual imperatives and her place in society.</w:t>
      </w:r>
    </w:p>
    <w:p w:rsidR="00A31137" w:rsidRPr="00A31137" w:rsidRDefault="00A31137" w:rsidP="00A31137">
      <w:r w:rsidRPr="00A31137">
        <w:t>1992, Planned Parenthood v. Casey, 505 U.S. 852</w:t>
      </w:r>
    </w:p>
    <w:p w:rsidR="00A31137" w:rsidRPr="00A31137" w:rsidRDefault="00A31137" w:rsidP="00A31137">
      <w:r w:rsidRPr="00A31137">
        <w:t>It should be recognized, moreover, that in some critical respects, the abortion decision is of the same character as the decision to use contraception, to which Griswold v. Connecticut, Eisenstadt v. Baird, and Carey v. Population Services International afford constitutional protection. We have no doubt as to the correctness of those decisions. They support [505 U.S. 853] the reasoning in Roe relating to the woman's liberty, because they involve personal decisions concerning not only the meaning of procreation but also human responsibility and respect for it. As with abortion, reasonable people will have differences of opinion about these matters. One view is based on such reverence for the wonder of creation that any pregnancy ought to be welcomed and carried to full term, no matter how difficult it will be to provide for the child and ensure its wellbeing. Another is that the inability to provide for the nurture and care of the infant is a cruelty to the child and an anguish to the parent. These are intimate views with infinite variations, and their deep, personal character underlay our decisions in Griswold, Eisenstadt, and Carey. The same concerns are present when the woman confronts the reality that, perhaps despite her attempts to avoid it, she has become pregnant.</w:t>
      </w:r>
    </w:p>
    <w:p w:rsidR="00A31137" w:rsidRPr="00A31137" w:rsidRDefault="00A31137" w:rsidP="00A31137">
      <w:r w:rsidRPr="00A31137">
        <w:t>1992, Planned Parenthood v. Casey, 505 U.S. 853</w:t>
      </w:r>
    </w:p>
    <w:p w:rsidR="00A31137" w:rsidRPr="00A31137" w:rsidRDefault="00A31137" w:rsidP="00A31137">
      <w:r w:rsidRPr="00A31137">
        <w:t>It was this dimension of personal liberty that Roe sought to protect, and its holding invoked the reasoning and the tradition of the precedents we have discussed, granting protection to substantive liberties of the person. Roe was, of course, an extension of those cases and, as the decision itself indicated, the separate States could act in some degree to further their own legitimate interests in protecting prenatal life. The extent to which the legislatures of the States might act to outweigh the interests of the woman in choosing to terminate her pregnancy was a subject of debate both in Roe itself and in decisions following it.</w:t>
      </w:r>
    </w:p>
    <w:p w:rsidR="00A31137" w:rsidRPr="00A31137" w:rsidRDefault="00A31137" w:rsidP="00A31137">
      <w:r w:rsidRPr="00A31137">
        <w:t>1992, Planned Parenthood v. Casey, 505 U.S. 853</w:t>
      </w:r>
    </w:p>
    <w:p w:rsidR="00A31137" w:rsidRPr="00A31137" w:rsidRDefault="00A31137" w:rsidP="00A31137">
      <w:r w:rsidRPr="00A31137">
        <w:t xml:space="preserve">While we appreciate the weight of the arguments made on behalf of the State in the case before us, arguments which in their ultimate formulation conclude that Roe should be overruled, the reservations any of us may have in reaffirming the central holding of Roe are outweighed by the explication of individual liberty we have given, combined with the force of stare decisis. We turn now to that doctrine. [505 U.S. 854] </w:t>
      </w:r>
    </w:p>
    <w:p w:rsidR="00A31137" w:rsidRPr="00A31137" w:rsidRDefault="00A31137" w:rsidP="00A31137">
      <w:r w:rsidRPr="00A31137">
        <w:t>III</w:t>
      </w:r>
    </w:p>
    <w:p w:rsidR="00A31137" w:rsidRPr="00A31137" w:rsidRDefault="00A31137" w:rsidP="00A31137">
      <w:r w:rsidRPr="00A31137">
        <w:t>A</w:t>
      </w:r>
    </w:p>
    <w:p w:rsidR="00A31137" w:rsidRPr="00A31137" w:rsidRDefault="00A31137" w:rsidP="00A31137">
      <w:r w:rsidRPr="00A31137">
        <w:t>1992, Planned Parenthood v. Casey, 505 U.S. 854</w:t>
      </w:r>
    </w:p>
    <w:p w:rsidR="00A31137" w:rsidRPr="00A31137" w:rsidRDefault="00A31137" w:rsidP="00A31137">
      <w:r w:rsidRPr="00A31137">
        <w:t>The obligation to follow precedent begins with necessity, and a contrary necessity marks its outer limit. With Cardozo, we recognize that no judicial system could do society's work if it eyed each issue afresh in every case that raised it. See B. Cardozo, The Nature of the Judicial Process 149 (1921). Indeed, the very concept of the rule of law underlying our own Constitution requires such continuity over time that a respect for precedent is, by definition, indispensable. See Powell, Stare Decisis and Judicial Restraint, 1991 Journal of Supreme Court History 13, 16. At the other extreme, a different necessity would make itself felt if a prior judicial ruling should come to be seen so clearly as error that its enforcement was, for that very reason, doomed.</w:t>
      </w:r>
    </w:p>
    <w:p w:rsidR="00A31137" w:rsidRPr="00A31137" w:rsidRDefault="00A31137" w:rsidP="00A31137">
      <w:r w:rsidRPr="00A31137">
        <w:t>1992, Planned Parenthood v. Casey, 505 U.S. 854</w:t>
      </w:r>
    </w:p>
    <w:p w:rsidR="00A31137" w:rsidRPr="00A31137" w:rsidRDefault="00A31137" w:rsidP="00A31137">
      <w:r w:rsidRPr="00A31137">
        <w:t>Even when the decision to overrule a prior case is not, as in the rare, latter instance, virtually foreordained, it is common wisdom that the rule of stare decisis is not an "inexorable command," and certainly it is not such in every constitutional case, see Burnet v. Coronado Oil Gas Co., 285 U.S. 393, 405-411 (1932) (Brandeis, J., dissenting). See also Payne v. Tennessee, 501 U.S. 808,  842 (1991) (SOUTER, J., joined by KENNEDY, J., concurring); Arizona v. Rumsey, 467 U.S. 203, 212 (1984). Rather, when this Court reexamines a prior holding, its judgment is customarily informed by a series of prudential and pragmatic considerations designed to test the consistency of overruling a prior decision with the ideal of the rule of law, and to gauge the respective costs of reaffirming and overruling a prior case. Thus, for example, we may ask whether the rule has proved to be intolerable simply in defying practical workability, Swift &amp; Co. v. Wickham, 382 U.S. 111, 116 (1965); whether the rule is subject to a kind of reliance that would lend a special hardship to the consequences of overruling and add inequity to the cost of repudiation, e.g., United States v. Title Ins. &amp; Trust [505 U.S. 855] Co., 265 U.S. 472, 486 (1924); whether related principles of law have so far developed as to have left the old rule no more than a remnant of abandoned doctrine, see Patterson v. McLean Credit Union, 491 U.S. 164, 173-174 (1989); or whether facts have so changed or come to be seen so differently, as to have robbed the old rule of significant application or justification, e.g., Burnet, supra, 285 U.S. at  412 (Brandeis, J., dissenting).</w:t>
      </w:r>
    </w:p>
    <w:p w:rsidR="00A31137" w:rsidRPr="00A31137" w:rsidRDefault="00A31137" w:rsidP="00A31137">
      <w:r w:rsidRPr="00A31137">
        <w:t>1992, Planned Parenthood v. Casey, 505 U.S. 855</w:t>
      </w:r>
    </w:p>
    <w:p w:rsidR="00A31137" w:rsidRPr="00A31137" w:rsidRDefault="00A31137" w:rsidP="00A31137">
      <w:r w:rsidRPr="00A31137">
        <w:t>So in this case, we may inquire whether Roe's central rule has been found unworkable; whether the rule's limitation on state power could be removed without serious inequity to those who have relied upon it or significant damage to the stability of the society governed by the rule in question; whether the law's growth in the intervening years has left Roe's central rule a doctrinal anachronism discounted by society; and whether Roe's premises of fact have so far changed in the ensuing two decades as to render its central holding somehow irrelevant or unjustifiable in dealing with the issue it addressed.</w:t>
      </w:r>
    </w:p>
    <w:p w:rsidR="00A31137" w:rsidRPr="00A31137" w:rsidRDefault="00A31137" w:rsidP="00A31137">
      <w:r w:rsidRPr="00A31137">
        <w:t>1</w:t>
      </w:r>
    </w:p>
    <w:p w:rsidR="00A31137" w:rsidRPr="00A31137" w:rsidRDefault="00A31137" w:rsidP="00A31137">
      <w:r w:rsidRPr="00A31137">
        <w:t>1992, Planned Parenthood v. Casey, 505 U.S. 855</w:t>
      </w:r>
    </w:p>
    <w:p w:rsidR="00A31137" w:rsidRPr="00A31137" w:rsidRDefault="00A31137" w:rsidP="00A31137">
      <w:r w:rsidRPr="00A31137">
        <w:t>Although Roe has engendered opposition, it has in no sense proven "unworkable," see Garcia v. San Antonio Metropolitan Transit Authority, 469 U.S. 528,  546 (1985), representing as it does a simple limitation beyond which a state law is unenforceable. While Roe has, of course, required judicial assessment of state laws affecting the exercise of the choice guaranteed against government infringement, and although the need for such review will remain as a consequence of today's decision, the required determinations fall within judicial competence.</w:t>
      </w:r>
    </w:p>
    <w:p w:rsidR="00A31137" w:rsidRPr="00A31137" w:rsidRDefault="00A31137" w:rsidP="00A31137">
      <w:r w:rsidRPr="00A31137">
        <w:t>2</w:t>
      </w:r>
    </w:p>
    <w:p w:rsidR="00A31137" w:rsidRPr="00A31137" w:rsidRDefault="00A31137" w:rsidP="00A31137">
      <w:r w:rsidRPr="00A31137">
        <w:t>1992, Planned Parenthood v. Casey, 505 U.S. 855</w:t>
      </w:r>
    </w:p>
    <w:p w:rsidR="00A31137" w:rsidRPr="00A31137" w:rsidRDefault="00A31137" w:rsidP="00A31137">
      <w:r w:rsidRPr="00A31137">
        <w:t>The inquiry into reliance counts the cost of a rule's repudiation as it would fall on those who have relied reasonably on the rule's continued application. Since the classic case for weighing reliance heavily in favor of following the earlier rule occurs in the commercial context, see Payne v. Tennessee, [505 U.S. 856] supra, 501 U.S. at  828, where advance planning of great precision is most obviously a necessity, it is no cause for surprise that some would find no reliance worthy of consideration in support of Roe.</w:t>
      </w:r>
    </w:p>
    <w:p w:rsidR="00A31137" w:rsidRPr="00A31137" w:rsidRDefault="00A31137" w:rsidP="00A31137">
      <w:r w:rsidRPr="00A31137">
        <w:t>1992, Planned Parenthood v. Casey, 505 U.S. 856</w:t>
      </w:r>
    </w:p>
    <w:p w:rsidR="00A31137" w:rsidRPr="00A31137" w:rsidRDefault="00A31137" w:rsidP="00A31137">
      <w:r w:rsidRPr="00A31137">
        <w:t>While neither respondents nor their amici in so many words deny that the abortion right invites some reliance prior to its actual exercise, one can readily imagine an argument stressing the dissimilarity of this case to one involving property or contract. Abortion is customarily chosen as an unplanned response to the consequence of unplanned activity or to the failure of conventional birth control, and except on the assumption that no intercourse would have occurred but for Roe's holding, such behavior may appear to justify no reliance claim. Even if reliance could be claimed on that unrealistic assumption, the argument might run, any reliance interest would be de minimis. This argument would be premised on the hypothesis that reproductive planning could take virtually immediate account of any sudden restoration of state authority to ban abortions.</w:t>
      </w:r>
    </w:p>
    <w:p w:rsidR="00A31137" w:rsidRPr="00A31137" w:rsidRDefault="00A31137" w:rsidP="00A31137">
      <w:r w:rsidRPr="00A31137">
        <w:t>1992, Planned Parenthood v. Casey, 505 U.S. 856</w:t>
      </w:r>
    </w:p>
    <w:p w:rsidR="00A31137" w:rsidRPr="00A31137" w:rsidRDefault="00A31137" w:rsidP="00A31137">
      <w:r w:rsidRPr="00A31137">
        <w:t xml:space="preserve">To eliminate the issue of reliance that easily, however, one would need to limit cognizable reliance to specific instances of sexual activity. But to do this would be simply to refuse to face the fact that, for two decades of economic and social developments, people have organized intimate relationships and made choices that define their views of themselves and their places in society, in reliance on the availability of abortion in the event that contraception should fail. The ability of women to participate equally in the economic and social life of the Nation has been facilitated by their ability to control their reproductive lives. See, e.g., R. Petchesky, Abortion and Woman's Choice 109, 133, n. 7 (rev. ed.1990). The Constitution serves human values, and while the effect of reliance on Roe cannot be exactly measured, neither can the certain cost of overruling Roe for people who have ordered their thinking and living around that case be dismissed. [505 U.S. 857] </w:t>
      </w:r>
    </w:p>
    <w:p w:rsidR="00A31137" w:rsidRPr="00A31137" w:rsidRDefault="00A31137" w:rsidP="00A31137">
      <w:r w:rsidRPr="00A31137">
        <w:t>3</w:t>
      </w:r>
    </w:p>
    <w:p w:rsidR="00A31137" w:rsidRPr="00A31137" w:rsidRDefault="00A31137" w:rsidP="00A31137">
      <w:r w:rsidRPr="00A31137">
        <w:t>1992, Planned Parenthood v. Casey, 505 U.S. 857</w:t>
      </w:r>
    </w:p>
    <w:p w:rsidR="00A31137" w:rsidRPr="00A31137" w:rsidRDefault="00A31137" w:rsidP="00A31137">
      <w:r w:rsidRPr="00A31137">
        <w:t>No evolution of legal principle has left Roe's doctrinal footings weaker than they were in 1973. No development of constitutional law since the case was decided has implicitly or explicitly left Roe behind as a mere survivor of obsolete constitutional thinking.</w:t>
      </w:r>
    </w:p>
    <w:p w:rsidR="00A31137" w:rsidRPr="00A31137" w:rsidRDefault="00A31137" w:rsidP="00A31137">
      <w:r w:rsidRPr="00A31137">
        <w:t>1992, Planned Parenthood v. Casey, 505 U.S. 857</w:t>
      </w:r>
    </w:p>
    <w:p w:rsidR="00A31137" w:rsidRPr="00A31137" w:rsidRDefault="00A31137" w:rsidP="00A31137">
      <w:r w:rsidRPr="00A31137">
        <w:t>It will be recognized, of course, that Roe stands at an intersection of two lines of decisions, but in whichever doctrinal category one reads the case, the result for present purposes will be the same. The Roe Court itself placed its holding in the succession of cases most prominently exemplified by Griswold v. Connecticut, 381 U.S. 479 (1965), see Roe, 410 U.S. at 152-153. When it is so seen, Roe is clearly in no jeopardy, since subsequent constitutional developments have neither disturbed, nor do they threaten to diminish, the scope of recognized protection accorded to the liberty relating to intimate relationships, the family, and decisions about whether or not to beget or bear a child. See, e.g., Carey v. Population Services International, 431 U.S. 678 (1977); Moore v. East Cleveland, 431 U.S. 494 (1977).</w:t>
      </w:r>
    </w:p>
    <w:p w:rsidR="00A31137" w:rsidRPr="00A31137" w:rsidRDefault="00A31137" w:rsidP="00A31137">
      <w:r w:rsidRPr="00A31137">
        <w:t>1992, Planned Parenthood v. Casey, 505 U.S. 857</w:t>
      </w:r>
    </w:p>
    <w:p w:rsidR="00A31137" w:rsidRPr="00A31137" w:rsidRDefault="00A31137" w:rsidP="00A31137">
      <w:r w:rsidRPr="00A31137">
        <w:t>Roe, however, may be seen not only as an exemplar of Griswold liberty but as a rule (whether or not mistaken) of personal autonomy and bodily integrity, with doctrinal affinity to cases recognizing limits on governmental power to mandate medical treatment or to bar its rejection. If so, our cases since Roe accord with Roe's view that a State's interest in the protection of life falls short of justifying any plenary override of individual liberty claims. Cruzan v. Director, Missouri Dept. of Health, 497 U.S. 261,  278 (1990); cf., e.g., Riggins v. Nevada, 504 U.S. 127, 135 (1992); Washington v. Harper, 494 U.S. 210 (1990); see also, e.g., Rochin v. California, 342 U.S. 165 (1952); Jacobson v. Massachusetts, 197 U.S. 11, 24-30 (1905).</w:t>
      </w:r>
    </w:p>
    <w:p w:rsidR="00A31137" w:rsidRPr="00A31137" w:rsidRDefault="00A31137" w:rsidP="00A31137">
      <w:r w:rsidRPr="00A31137">
        <w:t>1992, Planned Parenthood v. Casey, 505 U.S. 857</w:t>
      </w:r>
    </w:p>
    <w:p w:rsidR="00A31137" w:rsidRPr="00A31137" w:rsidRDefault="00A31137" w:rsidP="00A31137">
      <w:r w:rsidRPr="00A31137">
        <w:t>Finally, one could classify Roe as sui generis. If the case is so viewed, then there clearly has been no erosion of its central determination. The original holding resting on the [505 U.S. 858] concurrence of seven Members of the Court in 1973 was expressly affirmed by a majority of six in 1983, see Akron v. Akron Center for Reproductive Health, Inc., 462 U.S. 416 (1983) (Akron I), and by a majority of five in 1986, see Thornburgh v. American College of Obstetricians and Gynecologists, 476 U.S. 747 (1986), expressing adherence to the constitutional ruling despite legislative efforts in some States to test its limits. More recently, in Webster v. Reproductive Health Services, 492 U.S. 490 (1989), although two of the present authors questioned the trimester framework in a way consistent with our judgment today, see id. at  518 (REHNQUIST, C.J., joined by WHITE, and KENNEDY, JJ.); id. at  529 (O'CONNOR, J., concurring in part and concurring in judgment), a majority of the Court either decided to reaffirm or declined to address the constitutional validity of the central holding of Roe. See Webster, 492 U.S. at  521 (REHNQUIST, C.J., joined by WHITE and KENNEDY, JJ.); id. at 525-526 (O'CONNOR, J., concurring in part and concurring in judgment); id. at  537,  553 (BLACKMUN, J., joined by Brennan and Marshall, JJ., concurring in part and dissenting in part); id. at 561-563 (STEVENS, J., concurring in part and dissenting in part).</w:t>
      </w:r>
    </w:p>
    <w:p w:rsidR="00A31137" w:rsidRPr="00A31137" w:rsidRDefault="00A31137" w:rsidP="00A31137">
      <w:r w:rsidRPr="00A31137">
        <w:t>1992, Planned Parenthood v. Casey, 505 U.S. 858</w:t>
      </w:r>
    </w:p>
    <w:p w:rsidR="00A31137" w:rsidRPr="00A31137" w:rsidRDefault="00A31137" w:rsidP="00A31137">
      <w:r w:rsidRPr="00A31137">
        <w:t>Nor will courts building upon Roe be likely to hand down erroneous decisions as a consequence. Even on the assumption that the central holding of Roe was in error, that error would go only to the strength of the state interest in fetal protection, not to the recognition afforded by the Constitution to the woman's liberty. The latter aspect of the decision fits comfortably within the framework of the Court's prior decisions including Skinner v. Oklahoma ex rel. Williamson, 316 U.S. 535 (1942), Griswold, supra, Loving v. Virginia, 388 U.S. 1 (1967), and Eisenstadt v. Baird, 405 U.S. 438 (1972), the holdings of which are "not a series of isolated points," but mark a "rational continuum." Poe v. Ullman, 367 U.S. at  543 (Harlan, J., dissenting). As we described in [505 U.S. 859] Carey v. Population Services International, supra, the liberty which encompasses those decisions</w:t>
      </w:r>
    </w:p>
    <w:p w:rsidR="00A31137" w:rsidRPr="00A31137" w:rsidRDefault="00A31137" w:rsidP="00A31137">
      <w:r w:rsidRPr="00A31137">
        <w:t>1992, Planned Parenthood v. Casey, 505 U.S. 859</w:t>
      </w:r>
    </w:p>
    <w:p w:rsidR="00A31137" w:rsidRPr="00A31137" w:rsidRDefault="00A31137" w:rsidP="00A31137">
      <w:r w:rsidRPr="00A31137">
        <w:t>includes "the interest in independence in making certain kinds of important decisions." While the outer limits of this aspect of [protected liberty] have not been marked by the Court, it is clear that among the decisions that an individual may make without unjustified government interference are personal decisions "relating to marriage, procreation, contraception, family relationships, and childrearing and education."</w:t>
      </w:r>
    </w:p>
    <w:p w:rsidR="00A31137" w:rsidRPr="00A31137" w:rsidRDefault="00A31137" w:rsidP="00A31137">
      <w:r w:rsidRPr="00A31137">
        <w:t>1992, Planned Parenthood v. Casey, 505 U.S. 859</w:t>
      </w:r>
    </w:p>
    <w:p w:rsidR="00A31137" w:rsidRPr="00A31137" w:rsidRDefault="00A31137" w:rsidP="00A31137">
      <w:r w:rsidRPr="00A31137">
        <w:t>Id. 431 U.S. at 684-685 (citations omitted).</w:t>
      </w:r>
    </w:p>
    <w:p w:rsidR="00A31137" w:rsidRPr="00A31137" w:rsidRDefault="00A31137" w:rsidP="00A31137">
      <w:r w:rsidRPr="00A31137">
        <w:t>1992, Planned Parenthood v. Casey, 505 U.S. 859</w:t>
      </w:r>
    </w:p>
    <w:p w:rsidR="00A31137" w:rsidRPr="00A31137" w:rsidRDefault="00A31137" w:rsidP="00A31137">
      <w:r w:rsidRPr="00A31137">
        <w:t xml:space="preserve">The soundness of this prong of the Roe analysis is apparent from a consideration of the alternative. If indeed the woman's interest in deciding whether to bear and beget a child had not been recognized as in Roe, the State might as readily restrict a woman's right to choose to carry a pregnancy to term as to terminate it, to further asserted state interests in population control, or eugenics, for example. Yet Roe has been sensibly relied upon to counter any such suggestions. E.g., Arnold v. Board of Education of Escambia County, Ala., 880 F.2d 305, 311 (CA11 1989) (relying upon Roe and concluding that government officials violate the Constitution by coercing a minor to have an abortion); Avery v. County of Burke, 660 F.2d 111, 115 (CA4 1981) (county agency inducing teenage girl to undergo unwanted sterilization on the basis of misrepresentation that she had sickle cell trait); see also In re Quinlan, 70 N.J. 10, 355 A.2d 647, cert. denied sub nom. Garger v. New Jersey, 429 U.S. 922 (1976) (relying on Roe in finding a right to terminate medical treatment). In any event, because Roe's scope is confined by the fact of its concern with postconception potential life, a concern otherwise likely to be implicated only by some forms of contraception protected independently under Griswold and later cases, any error in Roe is unlikely to have serious ramifications in future cases. [505 U.S. 860] </w:t>
      </w:r>
    </w:p>
    <w:p w:rsidR="00A31137" w:rsidRPr="00A31137" w:rsidRDefault="00A31137" w:rsidP="00A31137">
      <w:r w:rsidRPr="00A31137">
        <w:t>4</w:t>
      </w:r>
    </w:p>
    <w:p w:rsidR="00A31137" w:rsidRPr="00A31137" w:rsidRDefault="00A31137" w:rsidP="00A31137">
      <w:r w:rsidRPr="00A31137">
        <w:t>1992, Planned Parenthood v. Casey, 505 U.S. 860</w:t>
      </w:r>
    </w:p>
    <w:p w:rsidR="00A31137" w:rsidRPr="00A31137" w:rsidRDefault="00A31137" w:rsidP="00A31137">
      <w:r w:rsidRPr="00A31137">
        <w:t>We have seen how time has overtaken some of Roe's factual assumptions: advances in maternal health care allow for abortions safe to the mother later in pregnancy than was true in 1973, see Akron I, supra, 462 U.S. at  429, n. 11, and advances in neonatal care have advanced viability to a point somewhat earlier. Compare Roe, 410 U.S. at  160, with Webster, supra, 492 U.S. at 515-516 (opinion of REHNQUIST, C.J.); see Akron I, supra, 462 U.S. at  457, and n. 5 (O'CONNOR, J., dissenting). But these facts go only to the scheme of time limits on the realization of competing interests, and the divergences from the factual premises of 1973 have no bearing on the validity of Roe's central holding, that viability marks the earliest point at which the State's interest in fetal life is constitutionally adequate to justify a legislative ban on nontherapeutic abortions. The soundness or unsoundness of that constitutional judgment in no sense turns on whether viability occurs at approximately 28 weeks, as was usual at the time of Roe, at 23 to 24 weeks, as it sometimes does today, or at some moment even slightly earlier in pregnancy, as it may if fetal respiratory capacity can somehow be enhanced in the future. Whenever it may occur, the attainment of viability may continue to serve as the critical fact, just as it has done since Roe was decided; which is to say that no change in Roe's factual underpinning has left its central holding obsolete, and none supports an argument for overruling it.</w:t>
      </w:r>
    </w:p>
    <w:p w:rsidR="00A31137" w:rsidRPr="00A31137" w:rsidRDefault="00A31137" w:rsidP="00A31137">
      <w:r w:rsidRPr="00A31137">
        <w:t>5</w:t>
      </w:r>
    </w:p>
    <w:p w:rsidR="00A31137" w:rsidRPr="00A31137" w:rsidRDefault="00A31137" w:rsidP="00A31137">
      <w:r w:rsidRPr="00A31137">
        <w:t>1992, Planned Parenthood v. Casey, 505 U.S. 860</w:t>
      </w:r>
    </w:p>
    <w:p w:rsidR="00A31137" w:rsidRPr="00A31137" w:rsidRDefault="00A31137" w:rsidP="00A31137">
      <w:r w:rsidRPr="00A31137">
        <w:t>The sum of the precedential inquiry to this point shows Roe's underpinnings unweakened in any way affecting its central holding. While it has engendered disapproval, it has not been unworkable. An entire generation has come of age free to assume Roe's concept of liberty in defining the capacity of women to act in society, and to make reproductive decisions; no erosion of principle going to liberty or personal autonomy has left Roe's central holding a doctrinal remnant; [505 U.S. 861] Roe portends no developments at odds with other precedent for the analysis of personal liberty; and no changes of fact have rendered viability more or less appropriate as the point at which the balance of interests tips. Within the bounds of normal stare decisis analysis, then, and subject to the considerations on which it customarily turns, the stronger argument is for affirming Roe's central holding, with whatever degree of personal reluctance any of us may have, not for overruling it.</w:t>
      </w:r>
    </w:p>
    <w:p w:rsidR="00A31137" w:rsidRPr="00A31137" w:rsidRDefault="00A31137" w:rsidP="00A31137">
      <w:r w:rsidRPr="00A31137">
        <w:t>B</w:t>
      </w:r>
    </w:p>
    <w:p w:rsidR="00A31137" w:rsidRPr="00A31137" w:rsidRDefault="00A31137" w:rsidP="00A31137">
      <w:r w:rsidRPr="00A31137">
        <w:t>1992, Planned Parenthood v. Casey, 505 U.S. 861</w:t>
      </w:r>
    </w:p>
    <w:p w:rsidR="00A31137" w:rsidRPr="00A31137" w:rsidRDefault="00A31137" w:rsidP="00A31137">
      <w:r w:rsidRPr="00A31137">
        <w:t>In a less significant case, stare decisis analysis could, and would, stop at the point we have reached. But the sustained and widespread debate Roe has provoked calls for some comparison between that case and others of comparable dimension that have responded to national controversies and taken on the impress of the controversies addressed. Only two such decisional lines from the past century present themselves for examination, and in each instance the result reached by the Court accorded with the principles we apply today.</w:t>
      </w:r>
    </w:p>
    <w:p w:rsidR="00A31137" w:rsidRPr="00A31137" w:rsidRDefault="00A31137" w:rsidP="00A31137">
      <w:r w:rsidRPr="00A31137">
        <w:t>1992, Planned Parenthood v. Casey, 505 U.S. 861</w:t>
      </w:r>
    </w:p>
    <w:p w:rsidR="00A31137" w:rsidRPr="00A31137" w:rsidRDefault="00A31137" w:rsidP="00A31137">
      <w:r w:rsidRPr="00A31137">
        <w:t>The first example is that line of cases identified with Lochner v. New York, 198 U.S. 45 (1905), which imposed substantive limitations on legislation limiting economic autonomy in favor of health and welfare regulation, adopting, in Justice Holmes' view, the theory of laissez-faire. Id. at  75 (Holmes, J., dissenting). The Lochner decisions were exemplified by Adkins v. Children's Hospital of D.C., 261 U.S. 525 (1923), in which this Court held it to be an infringement of constitutionally protected liberty of contract to require the employers of adult women to satisfy minimum wage standards. Fourteen years later, West Coast Hotel Co. v. Parrish, 300 U.S. 379 (1937), signalled the demise of Lochner by overruling Adkins. In the meantime, the Depression had come and, with it, the lesson that seemed unmistakable to most people by 1937, that the interpretation of contractual freedom protected in Adkins rested on fundamentally [505 U.S. 862] false factual assumptions about the capacity of a relatively unregulated market to satisfy minimal levels of human welfare. See West Coast Hotel Co., supra, at 399. As Justice Jackson wrote of the constitutional crisis of 1937 shortly before he came on the bench, "The older world of laissez-faire was recognized everywhere outside the Court to be dead." R. Jackson, The Struggle for Judicial Supremacy 85 (1941). The facts upon which the earlier case had premised a constitutional resolution of social controversy had proved to be untrue, and history's demonstration of their untruth not only justified but required the new choice of constitutional principle that West Coast Hotel announced. Of course, it was true that the Court lost something by its misperception, or its lack of prescience, and the Court-packing crisis only magnified the loss; but the clear demonstration that the facts of economic life were different from those previously assumed warranted the repudiation of the old law.</w:t>
      </w:r>
    </w:p>
    <w:p w:rsidR="00A31137" w:rsidRPr="00A31137" w:rsidRDefault="00A31137" w:rsidP="00A31137">
      <w:r w:rsidRPr="00A31137">
        <w:t>1992, Planned Parenthood v. Casey, 505 U.S. 862</w:t>
      </w:r>
    </w:p>
    <w:p w:rsidR="00A31137" w:rsidRPr="00A31137" w:rsidRDefault="00A31137" w:rsidP="00A31137">
      <w:r w:rsidRPr="00A31137">
        <w:t>The second comparison that 20th century history invites is with the cases employing the separate-but-equal rule for applying the Fourteenth Amendment's equal protection guarantee. They began with Plessy v. Ferguson, 163 U.S. 537 (1896), holding that legislatively mandated racial segregation in public transportation works no denial of equal protection, rejecting the argument that racial separation enforced by the legal machinery of American society treats the black race as inferior. The Plessy Court considered</w:t>
      </w:r>
    </w:p>
    <w:p w:rsidR="00A31137" w:rsidRPr="00A31137" w:rsidRDefault="00A31137" w:rsidP="00A31137">
      <w:r w:rsidRPr="00A31137">
        <w:t>1992, Planned Parenthood v. Casey, 505 U.S. 862</w:t>
      </w:r>
    </w:p>
    <w:p w:rsidR="00A31137" w:rsidRPr="00A31137" w:rsidRDefault="00A31137" w:rsidP="00A31137">
      <w:r w:rsidRPr="00A31137">
        <w:t>the underlying fallacy of the plaintiff's argument to consist in the assumption that the enforced separation of the two races stamps the colored race with a badge of inferiority. If this be so, it is not by reason of anything found in the act, but solely because the colored race chooses to put that construction upon it.</w:t>
      </w:r>
    </w:p>
    <w:p w:rsidR="00A31137" w:rsidRPr="00A31137" w:rsidRDefault="00A31137" w:rsidP="00A31137">
      <w:r w:rsidRPr="00A31137">
        <w:t>1992, Planned Parenthood v. Casey, 505 U.S. 862</w:t>
      </w:r>
    </w:p>
    <w:p w:rsidR="00A31137" w:rsidRPr="00A31137" w:rsidRDefault="00A31137" w:rsidP="00A31137">
      <w:r w:rsidRPr="00A31137">
        <w:t>Id. at  551. Whether, as a matter of historical fact, the Justices in the Plessy majority believed this or not, see id. at  557,  562 (Harlan, J., dissenting), this understanding of the implication of segregation was the stated justification for the Court's opinion. But this understanding of [505 U.S. 863] the facts and the rule it was stated to justify were repudiated in Brown v. Board of Education, 347 U.S. 483 (1954). As one commentator observed, the question before the Court in Brown was</w:t>
      </w:r>
    </w:p>
    <w:p w:rsidR="00A31137" w:rsidRPr="00A31137" w:rsidRDefault="00A31137" w:rsidP="00A31137">
      <w:r w:rsidRPr="00A31137">
        <w:t>1992, Planned Parenthood v. Casey, 505 U.S. 863</w:t>
      </w:r>
    </w:p>
    <w:p w:rsidR="00A31137" w:rsidRPr="00A31137" w:rsidRDefault="00A31137" w:rsidP="00A31137">
      <w:r w:rsidRPr="00A31137">
        <w:t>whether discrimination inheres in that segregation which is imposed by law in the twentieth century in certain specific states in the American Union. And that question has meaning, and can find an answer only on the ground of history and of common knowledge about the facts of life in the times and places aforesaid.</w:t>
      </w:r>
    </w:p>
    <w:p w:rsidR="00A31137" w:rsidRPr="00A31137" w:rsidRDefault="00A31137" w:rsidP="00A31137">
      <w:r w:rsidRPr="00A31137">
        <w:t>1992, Planned Parenthood v. Casey, 505 U.S. 863</w:t>
      </w:r>
    </w:p>
    <w:p w:rsidR="00A31137" w:rsidRPr="00A31137" w:rsidRDefault="00A31137" w:rsidP="00A31137">
      <w:r w:rsidRPr="00A31137">
        <w:t>Black, The Lawfulness of the Segregation Decisions, 69 Yale L.J. 421, 427 (1960).</w:t>
      </w:r>
    </w:p>
    <w:p w:rsidR="00A31137" w:rsidRPr="00A31137" w:rsidRDefault="00A31137" w:rsidP="00A31137">
      <w:r w:rsidRPr="00A31137">
        <w:t>1992, Planned Parenthood v. Casey, 505 U.S. 863</w:t>
      </w:r>
    </w:p>
    <w:p w:rsidR="00A31137" w:rsidRPr="00A31137" w:rsidRDefault="00A31137" w:rsidP="00A31137">
      <w:r w:rsidRPr="00A31137">
        <w:t>The Court in Brown addressed these facts of life by observing that whatever may have been the understanding in Plessy's time of the power of segregation to stigmatize those who were segregated with a "badge of inferiority," it was clear by 1954 that legally sanctioned segregation had just such an effect, to the point that racially separate public educational facilities were deemed inherently unequal. 347 U.S. at 494-495. Society's understanding of the facts upon which a constitutional ruling was sought in 1954 was thus fundamentally different from the basis claimed for the decision in 1896. While we think Plessy was wrong the day it was decided, see Plessy, supra, 163 U.S. at 552-564 (Harlan, J., dissenting), we must also recognize that the Plessy Court's explanation for its decision was so clearly at odds with the facts apparent to the Court in 1954 that the decision to reexamine Plessy was, on this ground alone, not only justified but required.</w:t>
      </w:r>
    </w:p>
    <w:p w:rsidR="00A31137" w:rsidRPr="00A31137" w:rsidRDefault="00A31137" w:rsidP="00A31137">
      <w:r w:rsidRPr="00A31137">
        <w:t>1992, Planned Parenthood v. Casey, 505 U.S. 863</w:t>
      </w:r>
    </w:p>
    <w:p w:rsidR="00A31137" w:rsidRPr="00A31137" w:rsidRDefault="00A31137" w:rsidP="00A31137">
      <w:r w:rsidRPr="00A31137">
        <w:t>West Coast Hotel and Brown each rested on facts, or an understanding of facts, changed from those which furnished the claimed justifications for the earlier constitutional resolutions. Each case was comprehensible as the Court's response to facts that the country could understand, or had come to understand already, but which the Court of an earlier day, as its own declarations disclosed, had not been able to perceive. As the decisions were thus comprehensible, [505 U.S. 864] they were also defensible, not merely as the victories of one doctrinal school over another by dint of numbers (victories though they were), but as applications of constitutional principle to facts as they had not been seen by the Court before. In constitutional adjudication, as elsewhere in life, changed circumstances may impose new obligations, and the thoughtful part of the Nation could accept each decision to overrule a prior case as a response to the Court's constitutional duty.</w:t>
      </w:r>
    </w:p>
    <w:p w:rsidR="00A31137" w:rsidRPr="00A31137" w:rsidRDefault="00A31137" w:rsidP="00A31137">
      <w:r w:rsidRPr="00A31137">
        <w:t>1992, Planned Parenthood v. Casey, 505 U.S. 864</w:t>
      </w:r>
    </w:p>
    <w:p w:rsidR="00A31137" w:rsidRPr="00A31137" w:rsidRDefault="00A31137" w:rsidP="00A31137">
      <w:r w:rsidRPr="00A31137">
        <w:t>Because the case before us presents no such occasion, it could be seen as no such response. Because neither the factual underpinnings of Roe's central holding nor our understanding of it has changed (and because no other indication of weakened precedent has been shown), the Court could not pretend to be reexamining the prior law with any justification beyond a present doctrinal disposition to come out differently from the Court of 1973. To overrule prior law for no other reason than that would run counter to the view, repeated in our cases, that a decision to overrule should rest on some special reason over and above the belief that a prior case was wrongly decided. See, e.g., Mitchell v. W.T. Grant, 416 U.S. 600, 636 (1974) (Stewart, J., dissenting) ("A basic change in the law upon a ground no firmer than a change in our membership invites the popular misconception that this institution is little different from the two political branches of the Government. No misconception could do more lasting injury to this Court, and to the system of law which it is our abiding mission to serve"); Mapp v. Ohio, 367 U.S. 643,  677 (1961) (Harlan, J., dissenting).</w:t>
      </w:r>
    </w:p>
    <w:p w:rsidR="00A31137" w:rsidRPr="00A31137" w:rsidRDefault="00A31137" w:rsidP="00A31137">
      <w:r w:rsidRPr="00A31137">
        <w:t>C</w:t>
      </w:r>
    </w:p>
    <w:p w:rsidR="00A31137" w:rsidRPr="00A31137" w:rsidRDefault="00A31137" w:rsidP="00A31137">
      <w:r w:rsidRPr="00A31137">
        <w:t>1992, Planned Parenthood v. Casey, 505 U.S. 864</w:t>
      </w:r>
    </w:p>
    <w:p w:rsidR="00A31137" w:rsidRPr="00A31137" w:rsidRDefault="00A31137" w:rsidP="00A31137">
      <w:r w:rsidRPr="00A31137">
        <w:t>The examination of the conditions justifying the repudiation of Adkins by West Coast Hotel and Plessy by Brown is enough to suggest the terrible price that would have been paid if the Court had not overruled as it did. In the present case, however, as our analysis to this point makes clear, the terrible price would be paid for overruling. Our analysis [505 U.S. 865] would not be complete, however, without explaining why overruling Roe's central holding would not only reach an unjustifiable result under principles of stare decisis, but would seriously weaken the Court's capacity to exercise the judicial power and to function as the Supreme Court of a Nation dedicated to the rule of law. To understand why this would be so, it is necessary to understand the source of this Court's authority, the conditions necessary for its preservation, and its relationship to the country's understanding of itself as a constitutional Republic.</w:t>
      </w:r>
    </w:p>
    <w:p w:rsidR="00A31137" w:rsidRPr="00A31137" w:rsidRDefault="00A31137" w:rsidP="00A31137">
      <w:r w:rsidRPr="00A31137">
        <w:t>1992, Planned Parenthood v. Casey, 505 U.S. 865</w:t>
      </w:r>
    </w:p>
    <w:p w:rsidR="00A31137" w:rsidRPr="00A31137" w:rsidRDefault="00A31137" w:rsidP="00A31137">
      <w:r w:rsidRPr="00A31137">
        <w:t>The root of American governmental power is revealed most clearly in the instance of the power conferred by the Constitution upon the Judiciary of the United States, and specifically upon this Court. As Americans of each succeeding generation are rightly told, the Court cannot buy support for its decisions by spending money, and, except to a minor degree, it cannot independently coerce obedience to its decrees. The Court's power lies, rather, in its legitimacy, a product of substance and perception that shows itself in the people's acceptance of the Judiciary as fit to determine what the Nation's law means, and to declare what it demands.</w:t>
      </w:r>
    </w:p>
    <w:p w:rsidR="00A31137" w:rsidRPr="00A31137" w:rsidRDefault="00A31137" w:rsidP="00A31137">
      <w:r w:rsidRPr="00A31137">
        <w:t>1992, Planned Parenthood v. Casey, 505 U.S. 865</w:t>
      </w:r>
    </w:p>
    <w:p w:rsidR="00A31137" w:rsidRPr="00A31137" w:rsidRDefault="00A31137" w:rsidP="00A31137">
      <w:r w:rsidRPr="00A31137">
        <w:t>The underlying substance of this legitimacy is of course the warrant for the Court's decisions in the Constitution and the lesser sources of legal principle on which the Court draws. That substance is expressed in the Court's opinions, and our contemporary understanding is such that a decision without principled justification would be no judicial act at all. But even when justification is furnished by apposite legal principle, something more is required. Because not every conscientious claim of principled justification will be accepted as such, the justification claimed must be beyond dispute. The Court must take care to speak and act in ways that allow people to accept its decisions on the terms the Court claims for them, as grounded truly in principle, not as compromises with social and political pressures having, as such, no bearing on the principled choices that the Court is [505 U.S. 866] obliged to make. Thus, the Court's legitimacy depends on making legally principled decisions under circumstances in which their principled character is sufficiently plausible to be accepted by the Nation.</w:t>
      </w:r>
    </w:p>
    <w:p w:rsidR="00A31137" w:rsidRPr="00A31137" w:rsidRDefault="00A31137" w:rsidP="00A31137">
      <w:r w:rsidRPr="00A31137">
        <w:t>1992, Planned Parenthood v. Casey, 505 U.S. 866</w:t>
      </w:r>
    </w:p>
    <w:p w:rsidR="00A31137" w:rsidRPr="00A31137" w:rsidRDefault="00A31137" w:rsidP="00A31137">
      <w:r w:rsidRPr="00A31137">
        <w:t>The need for principled action to be perceived as such is implicated to some degree whenever this, or any other appellate court, overrules a prior case. This is not to say, of course, that this Court cannot give a perfectly satisfactory explanation in most cases. People understand that some of the Constitution's language is hard to fathom, and that the Court's Justices are sometimes able to perceive significant facts or to understand principles of law that eluded their predecessors and that justify departures from existing decisions. However upsetting it may be to those most directly affected when one judicially derived rule replaces another, the country can accept some correction of error without necessarily questioning the legitimacy of the Court.</w:t>
      </w:r>
    </w:p>
    <w:p w:rsidR="00A31137" w:rsidRPr="00A31137" w:rsidRDefault="00A31137" w:rsidP="00A31137">
      <w:r w:rsidRPr="00A31137">
        <w:t>1992, Planned Parenthood v. Casey, 505 U.S. 866</w:t>
      </w:r>
    </w:p>
    <w:p w:rsidR="00A31137" w:rsidRPr="00A31137" w:rsidRDefault="00A31137" w:rsidP="00A31137">
      <w:r w:rsidRPr="00A31137">
        <w:t>In two circumstances, however, the Court would almost certainly fail to receive the benefit of the doubt in overruling prior cases. There is, first, a point beyond which frequent overruling would overtax the country's belief in the Court's good faith. Despite the variety of reasons that may inform and justify a decision to overrule, we cannot forget that such a decision is usually perceived (and perceived correctly) as, at the least, a statement that a prior decision was wrong. There is a limit to the amount of error that can plausibly be imputed to prior courts. If that limit should be exceeded, disturbance of prior rulings would be taken as evidence that justifiable reexamination of principle had given way to drives for particular results in the short term. The legitimacy of the Court would fade with the frequency of its vacillation.</w:t>
      </w:r>
    </w:p>
    <w:p w:rsidR="00A31137" w:rsidRPr="00A31137" w:rsidRDefault="00A31137" w:rsidP="00A31137">
      <w:r w:rsidRPr="00A31137">
        <w:t>1992, Planned Parenthood v. Casey, 505 U.S. 866</w:t>
      </w:r>
    </w:p>
    <w:p w:rsidR="00A31137" w:rsidRPr="00A31137" w:rsidRDefault="00A31137" w:rsidP="00A31137">
      <w:r w:rsidRPr="00A31137">
        <w:t>That first circumstance can be described as hypothetical; the second is to the point here and now. Where, in the performance of its judicial duties, the Court decides a case in such a way as to resolve the sort of intensely divisive controversy reflected in Roe and those rare, comparable cases, its [505 U.S. 867] decision has a dimension that the resolution of the normal case does not carry. It is the dimension present whenever the Court's interpretation of the Constitution calls the contending sides of a national controversy to end their national division by accepting a common mandate rooted in the Constitution.</w:t>
      </w:r>
    </w:p>
    <w:p w:rsidR="00A31137" w:rsidRPr="00A31137" w:rsidRDefault="00A31137" w:rsidP="00A31137">
      <w:r w:rsidRPr="00A31137">
        <w:t>1992, Planned Parenthood v. Casey, 505 U.S. 867</w:t>
      </w:r>
    </w:p>
    <w:p w:rsidR="00A31137" w:rsidRPr="00A31137" w:rsidRDefault="00A31137" w:rsidP="00A31137">
      <w:r w:rsidRPr="00A31137">
        <w:t>The Court is not asked to do this very often, having thus addressed the Nation only twice in our lifetime, in the decisions of Brown and Roe. But when the Court does act in this way, its decision requires an equally rare precedential force to counter the inevitable efforts to overturn it and to thwart its implementation. Some of those efforts may be mere unprincipled emotional reactions; others may proceed from principles worthy of profound respect. But whatever the premises of opposition may be, only the most convincing justification under accepted standards of precedent could suffice to demonstrate that a later decision overruling the first was anything but a surrender to political pressure and an unjustified repudiation of the principle on which the Court staked its authority in the first instance. So to overrule under fire in the absence of the most compelling reason to reexamine a watershed decision would subvert the Court's legitimacy beyond any serious question. Cf. Brown v. Board of Education, 349 U.S. 294,  300 (1955) (Brown II) ("[I]t should go without saying that the vitality of th[e] constitutional principles [announced in Brown v. Board of Education, 347 U.S. 483 (1954),] cannot be allowed to yield simply because of disagreement with them").</w:t>
      </w:r>
    </w:p>
    <w:p w:rsidR="00A31137" w:rsidRPr="00A31137" w:rsidRDefault="00A31137" w:rsidP="00A31137">
      <w:r w:rsidRPr="00A31137">
        <w:t>1992, Planned Parenthood v. Casey, 505 U.S. 867</w:t>
      </w:r>
    </w:p>
    <w:p w:rsidR="00A31137" w:rsidRPr="00A31137" w:rsidRDefault="00A31137" w:rsidP="00A31137">
      <w:r w:rsidRPr="00A31137">
        <w:t>The country's loss of confidence in the judiciary would be underscored by an equally certain and equally reasonable condemnation for another failing in overruling unnecessarily and under pressure. Some cost will be paid by anyone who approves or implements a constitutional decision where it is unpopular, or who refuses to work to undermine the decision or to force its reversal. The price may be criticism or ostracism, or it may be violence. An extra price will be paid by those who themselves disapprove of the decision's results [505 U.S. 868] when viewed outside of constitutional terms, but who nevertheless struggle to accept it, because they respect the rule of law. To all those who will be so tested by following, the Court implicitly undertakes to remain steadfast, lest in the end a price be paid for nothing. The promise of constancy, once given, binds its maker for as long as the power to stand by the decision survives and the understanding of the issue has not changed so fundamentally as to render the commitment obsolete. From the obligation of this promise, this Court cannot and should not assume any exemption when duty requires it to decide a case in conformance with the Constitution. A willing breach of it would be nothing less than a breach of faith, and no Court that broke its faith with the people could sensibly expect credit for principle in the decision by which it did that.</w:t>
      </w:r>
    </w:p>
    <w:p w:rsidR="00A31137" w:rsidRPr="00A31137" w:rsidRDefault="00A31137" w:rsidP="00A31137">
      <w:r w:rsidRPr="00A31137">
        <w:t>1992, Planned Parenthood v. Casey, 505 U.S. 868</w:t>
      </w:r>
    </w:p>
    <w:p w:rsidR="00A31137" w:rsidRPr="00A31137" w:rsidRDefault="00A31137" w:rsidP="00A31137">
      <w:r w:rsidRPr="00A31137">
        <w:t>It is true that diminished legitimacy may be restored, but only slowly. Unlike the political branches, a Court thus weakened could not seek to regain its position with a new mandate from the voters, and even if the Court could somehow go to the polls, the loss of its principled character could not be retrieved by the casting of so many votes. Like the character of an individual, the legitimacy of the Court must be earned over time. So, indeed, must be the character of a Nation of people who aspire to live according to the rule of law. Their belief in themselves as such a people is not readily separable from their understanding of the Court invested with the authority to decide their constitutional cases and speak before all others for their constitutional ideals. If the Court's legitimacy should be undermined, then, so would the country be in its very ability to see itself through its constitutional ideals. The Court's concern with legitimacy is not for the sake of the Court, but for the sake of the Nation to which it is responsible.</w:t>
      </w:r>
    </w:p>
    <w:p w:rsidR="00A31137" w:rsidRPr="00A31137" w:rsidRDefault="00A31137" w:rsidP="00A31137">
      <w:r w:rsidRPr="00A31137">
        <w:t>1992, Planned Parenthood v. Casey, 505 U.S. 868</w:t>
      </w:r>
    </w:p>
    <w:p w:rsidR="00A31137" w:rsidRPr="00A31137" w:rsidRDefault="00A31137" w:rsidP="00A31137">
      <w:r w:rsidRPr="00A31137">
        <w:t>The Court's duty in the present case is clear. In 1973, it confronted the already-divisive issue of governmental power [505 U.S. 869] to limit personal choice to undergo abortion, for which it provided a new resolution based on the due process guaranteed by the Fourteenth Amendment. Whether or not a new social consensus is developing on that issue, its divisiveness is no less today than in 1973, and pressure to overrule the decision, like pressure to retain it, has grown only more intense. A decision to overrule Roe's essential holding under the existing circumstances would address error, if error there was, at the cost of both profound and unnecessary damage to the Court's legitimacy, and to the Nation's commitment to the rule of law. It is therefore imperative to adhere to the essence of Roe's original decision, and we do so today.</w:t>
      </w:r>
    </w:p>
    <w:p w:rsidR="00A31137" w:rsidRPr="00A31137" w:rsidRDefault="00A31137" w:rsidP="00A31137">
      <w:r w:rsidRPr="00A31137">
        <w:t>IV</w:t>
      </w:r>
    </w:p>
    <w:p w:rsidR="00A31137" w:rsidRPr="00A31137" w:rsidRDefault="00A31137" w:rsidP="00A31137">
      <w:r w:rsidRPr="00A31137">
        <w:t>1992, Planned Parenthood v. Casey, 505 U.S. 869</w:t>
      </w:r>
    </w:p>
    <w:p w:rsidR="00A31137" w:rsidRPr="00A31137" w:rsidRDefault="00A31137" w:rsidP="00A31137">
      <w:r w:rsidRPr="00A31137">
        <w:t>From what we have said so far, it follows that it is a constitutional liberty of the woman to have some freedom to terminate her pregnancy. We conclude that the basic decision in Roe was based on a constitutional analysis which we cannot now repudiate. The woman's liberty is not so unlimited, however, that, from the outset, the State cannot show its concern for the life of the unborn and, at a later point in fetal development, the State's interest in life has sufficient force so that the right of the woman to terminate the pregnancy can be restricted.</w:t>
      </w:r>
    </w:p>
    <w:p w:rsidR="00A31137" w:rsidRPr="00A31137" w:rsidRDefault="00A31137" w:rsidP="00A31137">
      <w:r w:rsidRPr="00A31137">
        <w:t>1992, Planned Parenthood v. Casey, 505 U.S. 869</w:t>
      </w:r>
    </w:p>
    <w:p w:rsidR="00A31137" w:rsidRPr="00A31137" w:rsidRDefault="00A31137" w:rsidP="00A31137">
      <w:r w:rsidRPr="00A31137">
        <w:t xml:space="preserve">That brings us, of course, to the point where much criticism has been directed at Roe, a criticism that always inheres when the Court draws a specific rule from what in the Constitution is but a general standard. We conclude, however, that the urgent claims of the woman to retain the ultimate control over her destiny and her body, claims implicit in the meaning of liberty, require us to perform that function. Liberty must not be extinguished for want of a line that is clear. And it falls to us to give some real substance to the woman's liberty to determine whether to carry her pregnancy to full term. [505 U.S. 870] </w:t>
      </w:r>
    </w:p>
    <w:p w:rsidR="00A31137" w:rsidRPr="00A31137" w:rsidRDefault="00A31137" w:rsidP="00A31137">
      <w:r w:rsidRPr="00A31137">
        <w:t>1992, Planned Parenthood v. Casey, 505 U.S. 870</w:t>
      </w:r>
    </w:p>
    <w:p w:rsidR="00A31137" w:rsidRPr="00A31137" w:rsidRDefault="00A31137" w:rsidP="00A31137">
      <w:r w:rsidRPr="00A31137">
        <w:t>We conclude the line should be drawn at viability, so that, before that time, the woman has a right to choose to terminate her pregnancy. We adhere to this principle for two reasons. First, as we have said, is the doctrine of stare decisis. Any judicial act of line-drawing may seem somewhat arbitrary, but Roe was a reasoned statement, elaborated with great care. We have twice reaffirmed it in the face of great opposition. See Thornburgh v. American College of Obstetricians &amp; Gynecologists, 476 U.S. at  759; Akron I, 462 U.S. at 419-420. Although we must overrule those parts of Thornburgh and Akron I which, in our view, are inconsistent with Roe's statement that the State has a legitimate interest in promoting the life or potential life of the unborn, see infra at 882-883, the central premise of those cases represents an unbroken commitment by this Court to the essential holding of Roe. It is that premise which we reaffirm today.</w:t>
      </w:r>
    </w:p>
    <w:p w:rsidR="00A31137" w:rsidRPr="00A31137" w:rsidRDefault="00A31137" w:rsidP="00A31137">
      <w:r w:rsidRPr="00A31137">
        <w:t>1992, Planned Parenthood v. Casey, 505 U.S. 870</w:t>
      </w:r>
    </w:p>
    <w:p w:rsidR="00A31137" w:rsidRPr="00A31137" w:rsidRDefault="00A31137" w:rsidP="00A31137">
      <w:r w:rsidRPr="00A31137">
        <w:t xml:space="preserve">The second reason is that the concept of viability, as we noted in Roe, is the time at which there is a realistic possibility of maintaining and nourishing a life outside the womb, so that the independent existence of the second life can, in reason and all fairness, be the object of state protection that now overrides the rights of the woman. See Roe v. Wade, 410 U.S. at  163. Consistent with other constitutional norms, legislatures may draw lines which appear arbitrary without the necessity of offering a justification. But courts may not. We must justify the lines we draw. And there is no line other than viability which is more workable. To be sure, as we have said, there may be some medical developments that affect the precise point of viability, see supra at  860, but this is an imprecision within tolerable limits, given that the medical community and all those who must apply its discoveries will continue to explore the matter. The viability line also has, as a practical matter, an element of fairness. In some broad sense, it might be said that a woman who fails to act before viability has consented to the State's intervention on behalf of the developing child. [505 U.S. 871] </w:t>
      </w:r>
    </w:p>
    <w:p w:rsidR="00A31137" w:rsidRPr="00A31137" w:rsidRDefault="00A31137" w:rsidP="00A31137">
      <w:r w:rsidRPr="00A31137">
        <w:t>1992, Planned Parenthood v. Casey, 505 U.S. 871</w:t>
      </w:r>
    </w:p>
    <w:p w:rsidR="00A31137" w:rsidRPr="00A31137" w:rsidRDefault="00A31137" w:rsidP="00A31137">
      <w:r w:rsidRPr="00A31137">
        <w:t>The woman's right to terminate her pregnancy before viability is the most central principle of Roe v. Wade. It is a rule of law and a component of liberty we cannot renounce.</w:t>
      </w:r>
    </w:p>
    <w:p w:rsidR="00A31137" w:rsidRPr="00A31137" w:rsidRDefault="00A31137" w:rsidP="00A31137">
      <w:r w:rsidRPr="00A31137">
        <w:t>1992, Planned Parenthood v. Casey, 505 U.S. 871</w:t>
      </w:r>
    </w:p>
    <w:p w:rsidR="00A31137" w:rsidRPr="00A31137" w:rsidRDefault="00A31137" w:rsidP="00A31137">
      <w:r w:rsidRPr="00A31137">
        <w:t>On the other side of the equation is the interest of the State in the protection of potential life. The Roe Court recognized the State's "important and legitimate interest in protecting the potentiality of human life." Roe, supra, at  162. The weight to be given this state interest, not the strength of the woman's interest, was the difficult question faced in Roe. We do not need to say whether each of us, had we been Members of the Court when the valuation of the State interest came before it as an original matter, would have concluded, as the Roe Court did, that its weight is insufficient to justify a ban on abortions prior to viability even when it is subject to certain exceptions. The matter is not before us in the first instance, and, coming as it does after nearly 20 years of litigation in Roe's wake we are satisfied that the immediate question is not the soundness of Roe's resolution of the issue, but the precedential force that must be accorded to its holding. And we have concluded that the essential holding of Roe should be reaffirmed.</w:t>
      </w:r>
    </w:p>
    <w:p w:rsidR="00A31137" w:rsidRPr="00A31137" w:rsidRDefault="00A31137" w:rsidP="00A31137">
      <w:r w:rsidRPr="00A31137">
        <w:t>1992, Planned Parenthood v. Casey, 505 U.S. 871</w:t>
      </w:r>
    </w:p>
    <w:p w:rsidR="00A31137" w:rsidRPr="00A31137" w:rsidRDefault="00A31137" w:rsidP="00A31137">
      <w:r w:rsidRPr="00A31137">
        <w:t xml:space="preserve">Yet it must be remembered that Roe v. Wade speaks with clarity in establishing not only the woman's liberty but also the State's "important and legitimate interest in potential life." Roe, supra, at  163. That portion of the decision in Roe has been given too little acknowledgement and implementation by the Court in its subsequent cases. Those cases decided that any regulation touching upon the abortion decision must survive strict scrutiny, to be sustained only if drawn in narrow terms to further a compelling state interest. See, e.g., Akron I, supra, 462 U.S. at  427. Not all of the cases decided under that formulation can be reconciled with the holding in Roe itself that the State has legitimate interests in the health of the woman and in protecting the potential life within her. In resolving this tension, we choose to rely upon Roe, as against the later cases. [505 U.S. 872] </w:t>
      </w:r>
    </w:p>
    <w:p w:rsidR="00A31137" w:rsidRPr="00A31137" w:rsidRDefault="00A31137" w:rsidP="00A31137">
      <w:r w:rsidRPr="00A31137">
        <w:t>1992, Planned Parenthood v. Casey, 505 U.S. 872</w:t>
      </w:r>
    </w:p>
    <w:p w:rsidR="00A31137" w:rsidRPr="00A31137" w:rsidRDefault="00A31137" w:rsidP="00A31137">
      <w:r w:rsidRPr="00A31137">
        <w:t>Roe established a trimester framework to govern abortion regulations. Under this elaborate but rigid construct, almost no regulation at all is permitted during the first trimester of pregnancy; regulations designed to protect the woman's health, but not to further the State's interest in potential life, are permitted during the second trimester; and, during the third trimester, when the fetus is viable, prohibitions are permitted provided the life or health of the mother is not at stake. Roe v. Wade, supra, 410 U.S. at 163-166. Most of our cases since Roe have involved the application of rules derived from the trimester framework. See, e.g., Thornburgh v. American College of Obstetricians and Gynecologists, supra; Akron I, supra.</w:t>
      </w:r>
    </w:p>
    <w:p w:rsidR="00A31137" w:rsidRPr="00A31137" w:rsidRDefault="00A31137" w:rsidP="00A31137">
      <w:r w:rsidRPr="00A31137">
        <w:t>1992, Planned Parenthood v. Casey, 505 U.S. 872</w:t>
      </w:r>
    </w:p>
    <w:p w:rsidR="00A31137" w:rsidRPr="00A31137" w:rsidRDefault="00A31137" w:rsidP="00A31137">
      <w:r w:rsidRPr="00A31137">
        <w:t>The trimester framework no doubt was erected to ensure that the woman's right to choose not become so subordinate to the State's interest in promoting fetal life that her choice exists in theory, but not in fact. We do not agree, however, that the trimester approach is necessary to accomplish this objective. A framework of this rigidity was unnecessary, and, in its later interpretation, sometimes contradicted the State's permissible exercise of its powers.</w:t>
      </w:r>
    </w:p>
    <w:p w:rsidR="00A31137" w:rsidRPr="00A31137" w:rsidRDefault="00A31137" w:rsidP="00A31137">
      <w:r w:rsidRPr="00A31137">
        <w:t>1992, Planned Parenthood v. Casey, 505 U.S. 872</w:t>
      </w:r>
    </w:p>
    <w:p w:rsidR="00A31137" w:rsidRPr="00A31137" w:rsidRDefault="00A31137" w:rsidP="00A31137">
      <w:r w:rsidRPr="00A31137">
        <w:t>Though the woman has a right to choose to terminate or continue her pregnancy before viability, it does not at all follow that the State is prohibited from taking steps to ensure that this choice is thoughtful and informed. Even in the earliest stages of pregnancy, the State may enact rules and regulations designed to encourage her to know that there are philosophic and social arguments of great weight that can be brought to bear in favor of continuing the pregnancy to full term, and that there are procedures and institutions to allow adoption of unwanted children as well as a certain degree of state assistance if the mother chooses to raise the child herself.</w:t>
      </w:r>
    </w:p>
    <w:p w:rsidR="00A31137" w:rsidRPr="00A31137" w:rsidRDefault="00A31137" w:rsidP="00A31137">
      <w:r w:rsidRPr="00A31137">
        <w:t>1992, Planned Parenthood v. Casey, 505 U.S. 872</w:t>
      </w:r>
    </w:p>
    <w:p w:rsidR="00A31137" w:rsidRPr="00A31137" w:rsidRDefault="00A31137" w:rsidP="00A31137">
      <w:r w:rsidRPr="00A31137">
        <w:t>"[T]he Constitution does not forbid a State or city, pursuant to democratic processes, from expressing a preference for normal childbirth."</w:t>
      </w:r>
    </w:p>
    <w:p w:rsidR="00A31137" w:rsidRPr="00A31137" w:rsidRDefault="00A31137" w:rsidP="00A31137">
      <w:r w:rsidRPr="00A31137">
        <w:t>1992, Planned Parenthood v. Casey, 505 U.S. 872</w:t>
      </w:r>
    </w:p>
    <w:p w:rsidR="00A31137" w:rsidRPr="00A31137" w:rsidRDefault="00A31137" w:rsidP="00A31137">
      <w:r w:rsidRPr="00A31137">
        <w:t>Webster v. Reproductive Health Services, 492 U.S. at  511 (opinion of [505 U.S. 873] the Court) (quoting Poelker v. Doe, 432 U.S. 519, 521 (1977)). It follows that States are free to enact laws to provide a reasonable framework for a woman to make a decision that has such profound and lasting meaning. This, too, we find consistent with Roe's central premises, and indeed the inevitable consequence of our holding that the State has an interest in protecting the life of the unborn.</w:t>
      </w:r>
    </w:p>
    <w:p w:rsidR="00A31137" w:rsidRPr="00A31137" w:rsidRDefault="00A31137" w:rsidP="00A31137">
      <w:r w:rsidRPr="00A31137">
        <w:t>1992, Planned Parenthood v. Casey, 505 U.S. 873</w:t>
      </w:r>
    </w:p>
    <w:p w:rsidR="00A31137" w:rsidRPr="00A31137" w:rsidRDefault="00A31137" w:rsidP="00A31137">
      <w:r w:rsidRPr="00A31137">
        <w:t>We reject the trimester framework, which we do not consider to be part of the essential holding of Roe. See Webster v. Reproductive Health Services, supra, 492 U.S. at  518 (opinion of REHNQUIST, C.J.); id. at  529 (O'CONNOR, J., concurring in part and concurring in judgment) (describing the trimester framework as "problematic"). Measures aimed at ensuring that a woman's choice contemplates the consequences for the fetus do not necessarily interfere with the right recognized in Roe, although those measures have been found to be inconsistent with the rigid trimester framework announced in that case. A logical reading of the central holding in Roe itself, and a necessary reconciliation of the liberty of the woman and the interest of the State in promoting prenatal life, require, in our view, that we abandon the trimester framework as a rigid prohibition on all pre-viability regulation aimed at the protection of fetal life. The trimester framework suffers from these basic flaws: in its formulation, it misconceives the nature of the pregnant woman's interest; and in practice, it undervalues the State's interest in potential life, as recognized in Roe.</w:t>
      </w:r>
    </w:p>
    <w:p w:rsidR="00A31137" w:rsidRPr="00A31137" w:rsidRDefault="00A31137" w:rsidP="00A31137">
      <w:r w:rsidRPr="00A31137">
        <w:t>1992, Planned Parenthood v. Casey, 505 U.S. 873</w:t>
      </w:r>
    </w:p>
    <w:p w:rsidR="00A31137" w:rsidRPr="00A31137" w:rsidRDefault="00A31137" w:rsidP="00A31137">
      <w:r w:rsidRPr="00A31137">
        <w:t>As our jurisprudence relating to all liberties save perhaps abortion has recognized, not every law which makes a right more difficult to exercise is, ipso facto, an infringement of that right. An example clarifies the point. We have held that not every ballot access limitation amounts to an infringement of the right to vote. Rather, the States are granted substantial flexibility in establishing the framework within which voters choose the candidates for whom they [505 U.S. 874] wish to vote. Anderson v. Celebrezze, 460 U.S. 780, 788 (1983); Norman v. Reed, 502 U.S. 279 (1992).</w:t>
      </w:r>
    </w:p>
    <w:p w:rsidR="00A31137" w:rsidRPr="00A31137" w:rsidRDefault="00A31137" w:rsidP="00A31137">
      <w:r w:rsidRPr="00A31137">
        <w:t>1992, Planned Parenthood v. Casey, 505 U.S. 874</w:t>
      </w:r>
    </w:p>
    <w:p w:rsidR="00A31137" w:rsidRPr="00A31137" w:rsidRDefault="00A31137" w:rsidP="00A31137">
      <w:r w:rsidRPr="00A31137">
        <w:t>The abortion right is similar. Numerous forms of state regulation might have the incidental effect of increasing the cost or decreasing the availability of medical care, whether for abortion or any other medical procedure. The fact that a law which serves a valid purpose, one not designed to strike at the right itself, has the incidental effect of making it more difficult or more expensive to procure an abortion cannot be enough to invalidate it. Only where state regulation imposes an undue burden on a woman's ability to make this decision does the power of the State reach into the heart of the liberty protected by the Due Process Clause. See Hodgson v. Minnesota, 497 U.S. 417, 458-459 (1990) (O'CONNOR, J., concurring in part and concurring in judgment in part); Ohio v. Akron Center for Reproductive Health, 497 U.S. 502, 519-520 (1990) (Akron II) (opinion of KENNEDY, J.); Webster v. Reproductive Health Services, supra, 492 U.S. at  530 (O'CONNOR, J., concurring in part and concurring in judgment); Thornburgh v. American College of Obstetricians and Gynecologists, 476 U.S. at  828 (O'CONNOR, J., dissenting); Simopoulos v. Virginia, 462 U.S. 506,  520 (1983) (O'CONNOR, J., concurring in part and concurring in judgment); Planned Parenthood Assn. of Kansas City v. Ashcroft, 462 U.S. 476,  505 (1983) (O'CONNOR, J., concurring in judgment in part and dissenting in part); Akron I, 462 U.S. at  464 (O'CONNOR, J., joined by WHITE and REHNQUIST, JJ., dissenting); Bellotti v. Baird, 428 U.S. 132,  147 (1976) (Bellotti I).</w:t>
      </w:r>
    </w:p>
    <w:p w:rsidR="00A31137" w:rsidRPr="00A31137" w:rsidRDefault="00A31137" w:rsidP="00A31137">
      <w:r w:rsidRPr="00A31137">
        <w:t>1992, Planned Parenthood v. Casey, 505 U.S. 874</w:t>
      </w:r>
    </w:p>
    <w:p w:rsidR="00A31137" w:rsidRPr="00A31137" w:rsidRDefault="00A31137" w:rsidP="00A31137">
      <w:r w:rsidRPr="00A31137">
        <w:t>For the most part, the Court's early abortion cases adhered to this view. In Maher v. Roe, 432 U.S. 464, 473-474 (1977), the Court explained:</w:t>
      </w:r>
    </w:p>
    <w:p w:rsidR="00A31137" w:rsidRPr="00A31137" w:rsidRDefault="00A31137" w:rsidP="00A31137">
      <w:r w:rsidRPr="00A31137">
        <w:t>1992, Planned Parenthood v. Casey, 505 U.S. 874</w:t>
      </w:r>
    </w:p>
    <w:p w:rsidR="00A31137" w:rsidRPr="00A31137" w:rsidRDefault="00A31137" w:rsidP="00A31137">
      <w:r w:rsidRPr="00A31137">
        <w:t>Roe did not declare an unqualified "constitutional right to an abortion," as the District Court seemed to think. Rather, the right protects the woman from unduly burdensome interference with her freedom to decide whether to terminate her pregnancy.</w:t>
      </w:r>
    </w:p>
    <w:p w:rsidR="00A31137" w:rsidRPr="00A31137" w:rsidRDefault="00A31137" w:rsidP="00A31137">
      <w:r w:rsidRPr="00A31137">
        <w:t>1992, Planned Parenthood v. Casey, 505 U.S. 874</w:t>
      </w:r>
    </w:p>
    <w:p w:rsidR="00A31137" w:rsidRPr="00A31137" w:rsidRDefault="00A31137" w:rsidP="00A31137">
      <w:r w:rsidRPr="00A31137">
        <w:t>See [505 U.S. 875] also Doe v. Bolton, 410 U.S. 179, 198 (1973) ("[T]he interposition of the hospital abortion committee is unduly restrictive of the patient's rights"); Bellotti I, supra, 428 U.S. at  147 (State may not "impose undue burdens upon a minor capable of giving an informed consent"); Harris v. McRae, 448 U.S. 297,  314 (1980) (citing Maher, supra,). Cf. Carey v. Population Services International, 431 U.S. at  688 ("[T]he same test must be applied to state regulations that burden an individual's right to decide to prevent conception or terminate pregnancy by substantially limiting access to the means of effectuating that decision as is applied to state statutes that prohibit the decision entirely").</w:t>
      </w:r>
    </w:p>
    <w:p w:rsidR="00A31137" w:rsidRPr="00A31137" w:rsidRDefault="00A31137" w:rsidP="00A31137">
      <w:r w:rsidRPr="00A31137">
        <w:t>1992, Planned Parenthood v. Casey, 505 U.S. 875</w:t>
      </w:r>
    </w:p>
    <w:p w:rsidR="00A31137" w:rsidRPr="00A31137" w:rsidRDefault="00A31137" w:rsidP="00A31137">
      <w:r w:rsidRPr="00A31137">
        <w:t>These considerations of the nature of the abortion right illustrate that it is an overstatement to describe it as a right to decide whether to have an abortion "without interference from the State," Planned Parenthood of Central Mo. v. Danforth, 428 U.S. 52,  61 (1976). All abortion regulations interfere to some degree with a woman's ability to decide whether to terminate her pregnancy. It is, as a consequence, not surprising that, despite the protestations contained in the original Roe opinion to the effect that the Court was not recognizing an absolute right, 410 U.S. at 154-155, the Court's experience applying the trimester framework has led to the striking down of some abortion regulations which in no real sense deprived women of the ultimate decision. Those decisions went too far, because the right recognized by Roe is a right</w:t>
      </w:r>
    </w:p>
    <w:p w:rsidR="00A31137" w:rsidRPr="00A31137" w:rsidRDefault="00A31137" w:rsidP="00A31137">
      <w:r w:rsidRPr="00A31137">
        <w:t>1992, Planned Parenthood v. Casey, 505 U.S. 875</w:t>
      </w:r>
    </w:p>
    <w:p w:rsidR="00A31137" w:rsidRPr="00A31137" w:rsidRDefault="00A31137" w:rsidP="00A31137">
      <w:r w:rsidRPr="00A31137">
        <w:t>to be free from unwarranted governmental intrusion into matters so fundamentally affecting a person as the decision whether to bear or beget a child.</w:t>
      </w:r>
    </w:p>
    <w:p w:rsidR="00A31137" w:rsidRPr="00A31137" w:rsidRDefault="00A31137" w:rsidP="00A31137">
      <w:r w:rsidRPr="00A31137">
        <w:t>1992, Planned Parenthood v. Casey, 505 U.S. 875</w:t>
      </w:r>
    </w:p>
    <w:p w:rsidR="00A31137" w:rsidRPr="00A31137" w:rsidRDefault="00A31137" w:rsidP="00A31137">
      <w:r w:rsidRPr="00A31137">
        <w:t>Eisenstadt v. Baird, 405 U.S. at  453. Not all governmental intrusion is, of necessity, unwarranted, and that brings us to the other basic flaw in the trimester framework: even in Roe's terms, in practice, it undervalues the State's interest in the potential life within the woman. Roe v. Wade was express in its recognition of the State's</w:t>
      </w:r>
    </w:p>
    <w:p w:rsidR="00A31137" w:rsidRPr="00A31137" w:rsidRDefault="00A31137" w:rsidP="00A31137">
      <w:r w:rsidRPr="00A31137">
        <w:t>1992, Planned Parenthood v. Casey, 505 U.S. 875</w:t>
      </w:r>
    </w:p>
    <w:p w:rsidR="00A31137" w:rsidRPr="00A31137" w:rsidRDefault="00A31137" w:rsidP="00A31137">
      <w:r w:rsidRPr="00A31137">
        <w:t>important and legitimate interest[s] in preserving and protecting [505 U.S. 876] the health of the pregnant woman [and] in protecting the potentiality of human life.</w:t>
      </w:r>
    </w:p>
    <w:p w:rsidR="00A31137" w:rsidRPr="00A31137" w:rsidRDefault="00A31137" w:rsidP="00A31137">
      <w:r w:rsidRPr="00A31137">
        <w:t>1992, Planned Parenthood v. Casey, 505 U.S. 876</w:t>
      </w:r>
    </w:p>
    <w:p w:rsidR="00A31137" w:rsidRPr="00A31137" w:rsidRDefault="00A31137" w:rsidP="00A31137">
      <w:r w:rsidRPr="00A31137">
        <w:t>410 U.S. at  162. The trimester framework, however, does not fulfill Roe's own promise that the State has an interest in protecting fetal life or potential life. Roe began the contradiction by using the trimester framework to forbid any regulation of abortion designed to advance that interest before viability. Id. at  163. Before viability, Roe and subsequent cases treat all governmental attempts to influence a woman's decision on behalf of the potential life within her as unwarranted. This treatment is, in our judgment, incompatible with the recognition that there is a substantial state interest in potential life throughout pregnancy. Cf. Webster, 492 U.S. at  519 (opinion of REHNQUIST, C.J.); Akron I, supra, 462 U.S. at  461 (O'CONNOR, J., dissenting).</w:t>
      </w:r>
    </w:p>
    <w:p w:rsidR="00A31137" w:rsidRPr="00A31137" w:rsidRDefault="00A31137" w:rsidP="00A31137">
      <w:r w:rsidRPr="00A31137">
        <w:t>1992, Planned Parenthood v. Casey, 505 U.S. 876</w:t>
      </w:r>
    </w:p>
    <w:p w:rsidR="00A31137" w:rsidRPr="00A31137" w:rsidRDefault="00A31137" w:rsidP="00A31137">
      <w:r w:rsidRPr="00A31137">
        <w:t>The very notion that the State has a substantial interest in potential life leads to the conclusion that not all regulations must be deemed unwarranted. Not all burdens on the right to decide whether to terminate a pregnancy will be undue. In our view, the undue burden standard is the appropriate means of reconciling the State's interest with the woman's constitutionally protected liberty.</w:t>
      </w:r>
    </w:p>
    <w:p w:rsidR="00A31137" w:rsidRPr="00A31137" w:rsidRDefault="00A31137" w:rsidP="00A31137">
      <w:r w:rsidRPr="00A31137">
        <w:t>1992, Planned Parenthood v. Casey, 505 U.S. 876</w:t>
      </w:r>
    </w:p>
    <w:p w:rsidR="00A31137" w:rsidRPr="00A31137" w:rsidRDefault="00A31137" w:rsidP="00A31137">
      <w:r w:rsidRPr="00A31137">
        <w:t xml:space="preserve">The concept of an undue burden has been utilized by the Court as well as individual members of the Court, including two of us, in ways that could be considered inconsistent. See, e.g., Hodgson v. Minnesota, supra, at 519 (O'CONNOR, J., concurring in part and concurring in judgment); Akron II, supra, at 519-520 (opinion of KENNEDY, J.); Thornburgh v. American College of Obstetricians and Gynecologists, 476 U.S. at 828-829 (O'CONNOR, J., dissenting); Akron I, supra, 462 U.S. at 461-466 (O'CONNOR, J., dissenting); Harris v. McRae, supra, 448 U.S. at  314; Maher v. Roe, supra, 432 U.S. at  473; Beal v. Doe, 432 U.S. 438, 446 (1977); Bellotti I, supra, 428 U.S. at  147. Because we set forth a standard of general application to which we intend to adhere, it is important to clarify what is meant by an undue burden. [505 U.S. 877] </w:t>
      </w:r>
    </w:p>
    <w:p w:rsidR="00A31137" w:rsidRPr="00A31137" w:rsidRDefault="00A31137" w:rsidP="00A31137">
      <w:r w:rsidRPr="00A31137">
        <w:t>1992, Planned Parenthood v. Casey, 505 U.S. 877</w:t>
      </w:r>
    </w:p>
    <w:p w:rsidR="00A31137" w:rsidRPr="00A31137" w:rsidRDefault="00A31137" w:rsidP="00A31137">
      <w:r w:rsidRPr="00A31137">
        <w:t>A finding of an undue burden is a shorthand for the conclusion that a state regulation has the purpose or effect of placing a substantial obstacle in the path of a woman seeking an abortion of a nonviable fetus. A statute with this purpose is invalid because the means chosen by the State to further the interest in potential life must be calculated to inform the woman's free choice, not hinder it. And a statute which, while furthering the interest in potential life or some other valid state interest, has the effect of placing a substantial obstacle in the path of a woman's choice cannot be considered a permissible means of serving its legitimate ends. To the extent that the opinions of the Court or of individual Justices use the undue burden standard in a manner that is inconsistent with this analysis, we set out what, in our view, should be the controlling standard. Cf. McCleskey v. Zant, 499 U.S. 467,  489 (1991) (attempting to "define the doctrine of abuse of the writ with more precision" after acknowledging tension among earlier cases). In our considered judgment, an undue burden is an unconstitutional burden. See Akron II, supra, 497 U.S. at 519-520 (opinion of KENNEDY, J.). Understood another way, we answer the question, left open in previous opinions discussing the undue burden formulation, whether a law designed to further the State's interest in fetal life which imposes an undue burden on the woman's decision before fetal viability could be constitutional. See, e.g., Akron I, supra, 462 U.S. at 462-463 (O'CONNOR, J., dissenting). The answer is no.</w:t>
      </w:r>
    </w:p>
    <w:p w:rsidR="00A31137" w:rsidRPr="00A31137" w:rsidRDefault="00A31137" w:rsidP="00A31137">
      <w:r w:rsidRPr="00A31137">
        <w:t>1992, Planned Parenthood v. Casey, 505 U.S. 877</w:t>
      </w:r>
    </w:p>
    <w:p w:rsidR="00A31137" w:rsidRPr="00A31137" w:rsidRDefault="00A31137" w:rsidP="00A31137">
      <w:r w:rsidRPr="00A31137">
        <w:t>Some guiding principles should emerge. What is at stake is the woman's right to make the ultimate decision, not a right to be insulated from all others in doing so. Regulations which do no more than create a structural mechanism by which the State, or the parent or guardian of a minor, may express profound respect for the life of the unborn are permitted, if they are not a substantial obstacle to the woman's exercise of the right to choose. See infra, at 899-900 (addressing Pennsylvania's parental consent requirement). [505 U.S. 878] Unless it has that effect on her right of choice, a state measure designed to persuade her to choose childbirth over abortion will be upheld if reasonably related to that goal. Regulations designed to foster the health of a woman seeking an abortion are valid if they do not constitute an undue burden.</w:t>
      </w:r>
    </w:p>
    <w:p w:rsidR="00A31137" w:rsidRPr="00A31137" w:rsidRDefault="00A31137" w:rsidP="00A31137">
      <w:r w:rsidRPr="00A31137">
        <w:t>1992, Planned Parenthood v. Casey, 505 U.S. 878</w:t>
      </w:r>
    </w:p>
    <w:p w:rsidR="00A31137" w:rsidRPr="00A31137" w:rsidRDefault="00A31137" w:rsidP="00A31137">
      <w:r w:rsidRPr="00A31137">
        <w:t>Even when jurists reason from shared premises, some disagreement is inevitable. Compare Hodgson, 497 U.S. at 482- 479 (opinion of KENNEDY, J., concirring in judgment in part and dissenting in part) with id. at 458-460 (O'CONNOR, J., concurring in part and concurring in judgment in part). That is to be expected in the application of any legal standard which must accommodate life's complexity. We do not expect it to be otherwise with respect to the undue burden standard. We give this summary:</w:t>
      </w:r>
    </w:p>
    <w:p w:rsidR="00A31137" w:rsidRPr="00A31137" w:rsidRDefault="00A31137" w:rsidP="00A31137">
      <w:r w:rsidRPr="00A31137">
        <w:t>1992, Planned Parenthood v. Casey, 505 U.S. 878</w:t>
      </w:r>
    </w:p>
    <w:p w:rsidR="00A31137" w:rsidRPr="00A31137" w:rsidRDefault="00A31137" w:rsidP="00A31137">
      <w:r w:rsidRPr="00A31137">
        <w:t>(a) To protect the central right recognized by Roe v. Wade while at the same time accommodating the State's profound interest in potential life, we will employ the undue burden analysis as explained in this opinion. An undue burden exists, and therefore a provision of law is invalid, if its purpose or effect is to place a substantial obstacle in the path of a woman seeking an abortion before the fetus attains viability.</w:t>
      </w:r>
    </w:p>
    <w:p w:rsidR="00A31137" w:rsidRPr="00A31137" w:rsidRDefault="00A31137" w:rsidP="00A31137">
      <w:r w:rsidRPr="00A31137">
        <w:t>1992, Planned Parenthood v. Casey, 505 U.S. 878</w:t>
      </w:r>
    </w:p>
    <w:p w:rsidR="00A31137" w:rsidRPr="00A31137" w:rsidRDefault="00A31137" w:rsidP="00A31137">
      <w:r w:rsidRPr="00A31137">
        <w:t>(b) We reject the rigid trimester framework of Roe v. Wade. To promote the State's profound interest in potential life, throughout pregnancy, the State may take measures to ensure that the woman's choice is informed, and measures designed to advance this interest will not be invalidated as long as their purpose is to persuade the woman to choose childbirth over abortion. These measures must not be an undue burden on the right.</w:t>
      </w:r>
    </w:p>
    <w:p w:rsidR="00A31137" w:rsidRPr="00A31137" w:rsidRDefault="00A31137" w:rsidP="00A31137">
      <w:r w:rsidRPr="00A31137">
        <w:t>1992, Planned Parenthood v. Casey, 505 U.S. 878</w:t>
      </w:r>
    </w:p>
    <w:p w:rsidR="00A31137" w:rsidRPr="00A31137" w:rsidRDefault="00A31137" w:rsidP="00A31137">
      <w:r w:rsidRPr="00A31137">
        <w:t xml:space="preserve">(c) As with any medical procedure, the State may enact regulations to further the health or safety of a woman seeking an abortion. Unnecessary health regulations that have the purpose or effect of presenting a substantial obstacle to a woman seeking an abortion impose an undue burden on the right. [505 U.S. 879] </w:t>
      </w:r>
    </w:p>
    <w:p w:rsidR="00A31137" w:rsidRPr="00A31137" w:rsidRDefault="00A31137" w:rsidP="00A31137">
      <w:r w:rsidRPr="00A31137">
        <w:t>1992, Planned Parenthood v. Casey, 505 U.S. 879</w:t>
      </w:r>
    </w:p>
    <w:p w:rsidR="00A31137" w:rsidRPr="00A31137" w:rsidRDefault="00A31137" w:rsidP="00A31137">
      <w:r w:rsidRPr="00A31137">
        <w:t>(d) Our adoption of the undue burden analysis does not disturb the central holding of Roe v. Wade, and we reaffirm that holding. Regardless of whether exceptions are made for particular circumstances, a State may not prohibit any woman from making the ultimate decision to terminate her pregnancy before viability.</w:t>
      </w:r>
    </w:p>
    <w:p w:rsidR="00A31137" w:rsidRPr="00A31137" w:rsidRDefault="00A31137" w:rsidP="00A31137">
      <w:r w:rsidRPr="00A31137">
        <w:t>1992, Planned Parenthood v. Casey, 505 U.S. 879</w:t>
      </w:r>
    </w:p>
    <w:p w:rsidR="00A31137" w:rsidRPr="00A31137" w:rsidRDefault="00A31137" w:rsidP="00A31137">
      <w:r w:rsidRPr="00A31137">
        <w:t>(e) We also reaffirm Roe's holding that,</w:t>
      </w:r>
    </w:p>
    <w:p w:rsidR="00A31137" w:rsidRPr="00A31137" w:rsidRDefault="00A31137" w:rsidP="00A31137">
      <w:r w:rsidRPr="00A31137">
        <w:t>1992, Planned Parenthood v. Casey, 505 U.S. 879</w:t>
      </w:r>
    </w:p>
    <w:p w:rsidR="00A31137" w:rsidRPr="00A31137" w:rsidRDefault="00A31137" w:rsidP="00A31137">
      <w:r w:rsidRPr="00A31137">
        <w:t>subsequent to viability, the State, in promoting its interest in the potentiality of human life, may, if it chooses, regulate, and even proscribe, abortion except where it is necessary, in appropriate medical judgment, for the preservation of the life or health of the mother.</w:t>
      </w:r>
    </w:p>
    <w:p w:rsidR="00A31137" w:rsidRPr="00A31137" w:rsidRDefault="00A31137" w:rsidP="00A31137">
      <w:r w:rsidRPr="00A31137">
        <w:t>1992, Planned Parenthood v. Casey, 505 U.S. 879</w:t>
      </w:r>
    </w:p>
    <w:p w:rsidR="00A31137" w:rsidRPr="00A31137" w:rsidRDefault="00A31137" w:rsidP="00A31137">
      <w:r w:rsidRPr="00A31137">
        <w:t>Roe v. Wade, 410 U.S. at 164-165.</w:t>
      </w:r>
    </w:p>
    <w:p w:rsidR="00A31137" w:rsidRPr="00A31137" w:rsidRDefault="00A31137" w:rsidP="00A31137">
      <w:r w:rsidRPr="00A31137">
        <w:t>1992, Planned Parenthood v. Casey, 505 U.S. 879</w:t>
      </w:r>
    </w:p>
    <w:p w:rsidR="00A31137" w:rsidRPr="00A31137" w:rsidRDefault="00A31137" w:rsidP="00A31137">
      <w:r w:rsidRPr="00A31137">
        <w:t>These principles control our assessment of the Pennsylvania statute, and we now turn to the issue of the validity of its challenged provisions.</w:t>
      </w:r>
    </w:p>
    <w:p w:rsidR="00A31137" w:rsidRPr="00A31137" w:rsidRDefault="00A31137" w:rsidP="00A31137">
      <w:r w:rsidRPr="00A31137">
        <w:t>V</w:t>
      </w:r>
    </w:p>
    <w:p w:rsidR="00A31137" w:rsidRPr="00A31137" w:rsidRDefault="00A31137" w:rsidP="00A31137">
      <w:r w:rsidRPr="00A31137">
        <w:t>1992, Planned Parenthood v. Casey, 505 U.S. 879</w:t>
      </w:r>
    </w:p>
    <w:p w:rsidR="00A31137" w:rsidRPr="00A31137" w:rsidRDefault="00A31137" w:rsidP="00A31137">
      <w:r w:rsidRPr="00A31137">
        <w:t>The Court of Appeals applied what it believed to be the undue burden standard, and upheld each of the provisions except for the husband notification requirement. We agree generally with this conclusion, but refine the undue burden analysis in accordance with the principles articulated above. We now consider the separate statutory sections at issue.</w:t>
      </w:r>
    </w:p>
    <w:p w:rsidR="00A31137" w:rsidRPr="00A31137" w:rsidRDefault="00A31137" w:rsidP="00A31137">
      <w:r w:rsidRPr="00A31137">
        <w:t>A</w:t>
      </w:r>
    </w:p>
    <w:p w:rsidR="00A31137" w:rsidRPr="00A31137" w:rsidRDefault="00A31137" w:rsidP="00A31137">
      <w:r w:rsidRPr="00A31137">
        <w:t>1992, Planned Parenthood v. Casey, 505 U.S. 879</w:t>
      </w:r>
    </w:p>
    <w:p w:rsidR="00A31137" w:rsidRPr="00A31137" w:rsidRDefault="00A31137" w:rsidP="00A31137">
      <w:r w:rsidRPr="00A31137">
        <w:t>Because it is central to the operation of various other requirements, we begin with the statute's definition of medical emergency. Under the statute, a medical emergency is</w:t>
      </w:r>
    </w:p>
    <w:p w:rsidR="00A31137" w:rsidRPr="00A31137" w:rsidRDefault="00A31137" w:rsidP="00A31137">
      <w:r w:rsidRPr="00A31137">
        <w:t>1992, Planned Parenthood v. Casey, 505 U.S. 879</w:t>
      </w:r>
    </w:p>
    <w:p w:rsidR="00A31137" w:rsidRPr="00A31137" w:rsidRDefault="00A31137" w:rsidP="00A31137">
      <w:r w:rsidRPr="00A31137">
        <w:t>[t]hat condition which, on the basis of the physician's good faith clinical judgment, so complicates the medical condition of a pregnant woman as to necessitate the immediate abortion of her pregnancy to avert her death or for which a delay will create serious risk of substantial and irreversible impairment of a major bodily function.</w:t>
      </w:r>
    </w:p>
    <w:p w:rsidR="00A31137" w:rsidRPr="00A31137" w:rsidRDefault="00A31137" w:rsidP="00A31137">
      <w:r w:rsidRPr="00A31137">
        <w:t>1992, Planned Parenthood v. Casey, 505 U.S. 879</w:t>
      </w:r>
    </w:p>
    <w:p w:rsidR="00A31137" w:rsidRPr="00A31137" w:rsidRDefault="00A31137" w:rsidP="00A31137">
      <w:r w:rsidRPr="00A31137">
        <w:t xml:space="preserve">18 Pa.Cons.Stat. § 3203 (1990). [505 U.S. 880] </w:t>
      </w:r>
    </w:p>
    <w:p w:rsidR="00A31137" w:rsidRPr="00A31137" w:rsidRDefault="00A31137" w:rsidP="00A31137">
      <w:r w:rsidRPr="00A31137">
        <w:t>1992, Planned Parenthood v. Casey, 505 U.S. 880</w:t>
      </w:r>
    </w:p>
    <w:p w:rsidR="00A31137" w:rsidRPr="00A31137" w:rsidRDefault="00A31137" w:rsidP="00A31137">
      <w:r w:rsidRPr="00A31137">
        <w:t>Petitioners argue that the definition is too narrow, contending that it forecloses the possibility of an immediate abortion despite some significant health risks. If the contention were correct, we would be required to invalidate the restrictive operation of the provision, for the essential holding of Roe forbids a State from interfering with a woman's choice to undergo an abortion procedure if continuing her pregnancy would constitute a threat to her health. 410 U.S. at  164. See also Harris v. McRae, 448 U.S. at  316.</w:t>
      </w:r>
    </w:p>
    <w:p w:rsidR="00A31137" w:rsidRPr="00A31137" w:rsidRDefault="00A31137" w:rsidP="00A31137">
      <w:r w:rsidRPr="00A31137">
        <w:t>1992, Planned Parenthood v. Casey, 505 U.S. 880</w:t>
      </w:r>
    </w:p>
    <w:p w:rsidR="00A31137" w:rsidRPr="00A31137" w:rsidRDefault="00A31137" w:rsidP="00A31137">
      <w:r w:rsidRPr="00A31137">
        <w:t>The District Court found that there were three serious conditions which would not be covered by the statute: preeclampsia, inevitable abortion, and premature ruptured membrane. 744 F.Supp. at 1378. Yet, as the Court of Appeals observed, 947 F.2d at 700-701, it is undisputed that, under some circumstances, each of these conditions could lead to an illness with substantial and irreversible consequences. While the definition could be interpreted in an unconstitutional manner, the Court of Appeals construed the phrase "serious risk" to include those circumstances. Id. at 701. It stated:</w:t>
      </w:r>
    </w:p>
    <w:p w:rsidR="00A31137" w:rsidRPr="00A31137" w:rsidRDefault="00A31137" w:rsidP="00A31137">
      <w:r w:rsidRPr="00A31137">
        <w:t>1992, Planned Parenthood v. Casey, 505 U.S. 880</w:t>
      </w:r>
    </w:p>
    <w:p w:rsidR="00A31137" w:rsidRPr="00A31137" w:rsidRDefault="00A31137" w:rsidP="00A31137">
      <w:r w:rsidRPr="00A31137">
        <w:t>we read the medical emergency exception as intended by the Pennsylvania legislature to assure that compliance with its abortion regulations would not in any way pose a significant threat to the life or health of a woman.</w:t>
      </w:r>
    </w:p>
    <w:p w:rsidR="00A31137" w:rsidRPr="00A31137" w:rsidRDefault="00A31137" w:rsidP="00A31137">
      <w:r w:rsidRPr="00A31137">
        <w:t>1992, Planned Parenthood v. Casey, 505 U.S. 880</w:t>
      </w:r>
    </w:p>
    <w:p w:rsidR="00A31137" w:rsidRPr="00A31137" w:rsidRDefault="00A31137" w:rsidP="00A31137">
      <w:r w:rsidRPr="00A31137">
        <w:t>Ibid. As we said in Brockett v. Spokane Arcades, Inc., 472 U.S. 491, 499-500 (1985): "Normally,…we defer to the construction of a state statute given it by the lower federal courts." Indeed, we have said that we will defer to lower court interpretations of state law unless they amount to "plain" error. Palmer v. Hoffman, 318 U.S. 109, 118 (1943). This</w:t>
      </w:r>
    </w:p>
    <w:p w:rsidR="00A31137" w:rsidRPr="00A31137" w:rsidRDefault="00A31137" w:rsidP="00A31137">
      <w:r w:rsidRPr="00A31137">
        <w:t>1992, Planned Parenthood v. Casey, 505 U.S. 880</w:t>
      </w:r>
    </w:p>
    <w:p w:rsidR="00A31137" w:rsidRPr="00A31137" w:rsidRDefault="00A31137" w:rsidP="00A31137">
      <w:r w:rsidRPr="00A31137">
        <w:t>"reflect[s] our belief that district courts and courts of appeals are better schooled in, and more able to interpret, the laws of their respective States."</w:t>
      </w:r>
    </w:p>
    <w:p w:rsidR="00A31137" w:rsidRPr="00A31137" w:rsidRDefault="00A31137" w:rsidP="00A31137">
      <w:r w:rsidRPr="00A31137">
        <w:t>1992, Planned Parenthood v. Casey, 505 U.S. 880</w:t>
      </w:r>
    </w:p>
    <w:p w:rsidR="00A31137" w:rsidRPr="00A31137" w:rsidRDefault="00A31137" w:rsidP="00A31137">
      <w:r w:rsidRPr="00A31137">
        <w:t xml:space="preserve">Frisby v. Schultz, 487 U.S. 474,  482 (1988) (citation omitted). We adhere to that course today, and conclude that, as construed by the Court of Appeals, the medical emergency definition imposes no undue burden on a woman's abortion right. [505 U.S. 881] </w:t>
      </w:r>
      <w:r w:rsidRPr="00A31137">
        <w:cr/>
      </w:r>
    </w:p>
    <w:p w:rsidR="00A31137" w:rsidRPr="00A31137" w:rsidRDefault="00A31137" w:rsidP="00A31137">
      <w:r w:rsidRPr="00A31137">
        <w:t>B</w:t>
      </w:r>
    </w:p>
    <w:p w:rsidR="00A31137" w:rsidRPr="00A31137" w:rsidRDefault="00A31137" w:rsidP="00A31137">
      <w:r w:rsidRPr="00A31137">
        <w:t>1992, Planned Parenthood v. Casey, 505 U.S. 881</w:t>
      </w:r>
    </w:p>
    <w:p w:rsidR="00A31137" w:rsidRPr="00A31137" w:rsidRDefault="00A31137" w:rsidP="00A31137">
      <w:r w:rsidRPr="00A31137">
        <w:t>We next consider the informed consent requirement. 18 Pa. Cons.Stat.Ann. § 3205. Except in a medical emergency, the statute requires that at least 24 hours before performing an abortion a physician inform the woman of the nature of the procedure, the health risks of the abortion and of childbirth, and the "probable gestational age of the unborn child." The physician or a qualified nonphysician must inform the woman of the availability of printed materials published by the State describing the fetus and providing information about medical assistance for childbirth, information about child support from the father, and a list of agencies which provide adoption and other services as alternatives to abortion. An abortion may not be performed unless the woman certifies in writing that she has been informed of the availability of these printed materials and has been provided them if she chooses to view them.</w:t>
      </w:r>
    </w:p>
    <w:p w:rsidR="00A31137" w:rsidRPr="00A31137" w:rsidRDefault="00A31137" w:rsidP="00A31137">
      <w:r w:rsidRPr="00A31137">
        <w:t>1992, Planned Parenthood v. Casey, 505 U.S. 881</w:t>
      </w:r>
    </w:p>
    <w:p w:rsidR="00A31137" w:rsidRPr="00A31137" w:rsidRDefault="00A31137" w:rsidP="00A31137">
      <w:r w:rsidRPr="00A31137">
        <w:t>Our prior decisions establish that, as with any medical procedure, the State may require a woman to give her written informed consent to an abortion. See Planned Parenthood of Central Mo. v. Danforth, 428 U.S. at  67. In this respect, the statute is unexceptional. Petitioners challenge the statute's definition of informed consent because it includes the provision of specific information by the doctor and the mandatory 24-hour waiting period. The conclusions reached by a majority of the Justices in the separate opinions filed today and the undue burden standard adopted in this opinion require us to overrule in part some of the Court's past decisions, decisions driven by the trimester framework's prohibition of all pre-viability regulations designed to further the State's interest in fetal life.</w:t>
      </w:r>
    </w:p>
    <w:p w:rsidR="00A31137" w:rsidRPr="00A31137" w:rsidRDefault="00A31137" w:rsidP="00A31137">
      <w:r w:rsidRPr="00A31137">
        <w:t>1992, Planned Parenthood v. Casey, 505 U.S. 881</w:t>
      </w:r>
    </w:p>
    <w:p w:rsidR="00A31137" w:rsidRPr="00A31137" w:rsidRDefault="00A31137" w:rsidP="00A31137">
      <w:r w:rsidRPr="00A31137">
        <w:t>In Akron I, 462 U.S. 416, we invalidated an ordinance which required that a woman seeking an abortion be provided by her physician with specific information "designed to influence the woman's informed choice between abortion or childbirth." Id. at  444. As we later described [505 U.S. 882] the Akron I holding in Thornburgh v. American College of Obstetricians and Gynecologists, 476 U.S. at  762, there were two purported flaws in the Akron ordinance: the information was designed to dissuade the woman from having an abortion, and the ordinance imposed "a rigid requirement that a specific body of information be given in all cases, irrespective of the particular needs of the patient…. " Ibid.</w:t>
      </w:r>
    </w:p>
    <w:p w:rsidR="00A31137" w:rsidRPr="00A31137" w:rsidRDefault="00A31137" w:rsidP="00A31137">
      <w:r w:rsidRPr="00A31137">
        <w:t>1992, Planned Parenthood v. Casey, 505 U.S. 882</w:t>
      </w:r>
    </w:p>
    <w:p w:rsidR="00A31137" w:rsidRPr="00A31137" w:rsidRDefault="00A31137" w:rsidP="00A31137">
      <w:r w:rsidRPr="00A31137">
        <w:t>To the extent Akron I and Thornburgh find a constitutional violation when the government requires, as it does here, the giving of truthful, nonmisleading information about the nature of the procedure, the attendant health risks and those of childbirth, and the "probable gestational age" of the fetus, those cases go too far, are inconsistent with Roe's acknowledgment of an important interest in potential life, and are overruled. This is clear even on the very terms of Akron I and Thornburgh. Those decisions, along with Danforth, recognize a substantial government interest justifying a requirement that a woman be apprised of the health risks of abortion and childbirth. E.g., Danforth, supra, 428 U.S. at 66-67. It cannot be questioned that psychological wellbeing is a facet of health. Nor can it be doubted that most women considering an abortion would deem the impact on the fetus relevant, if not dispositive, to the decision. In attempting to ensure that a woman apprehend the full consequences of her decision, the State furthers the legitimate purpose of reducing the risk that a woman may elect an abortion, only to discover later, with devastating psychological consequences, that her decision was not fully informed. If the information the State requires to be made available to the woman is truthful and not misleading, the requirement may be permissible.</w:t>
      </w:r>
    </w:p>
    <w:p w:rsidR="00A31137" w:rsidRPr="00A31137" w:rsidRDefault="00A31137" w:rsidP="00A31137">
      <w:r w:rsidRPr="00A31137">
        <w:t>1992, Planned Parenthood v. Casey, 505 U.S. 882</w:t>
      </w:r>
    </w:p>
    <w:p w:rsidR="00A31137" w:rsidRPr="00A31137" w:rsidRDefault="00A31137" w:rsidP="00A31137">
      <w:r w:rsidRPr="00A31137">
        <w:t>We also see no reason why the State may not require doctors to inform a woman seeking an abortion of the availability of materials relating to the consequences to the fetus, even when those consequences have no direct relation to her health. An example illustrates the point. We would think [505 U.S. 883] it constitutional for the State to require that, in order for there to be informed consent to a kidney transplant operation, the recipient must be supplied with information about risks to the donor as well as risks to himself or herself. A requirement that the physician make available information similar to that mandated by the statute here was described in Thornburgh as</w:t>
      </w:r>
    </w:p>
    <w:p w:rsidR="00A31137" w:rsidRPr="00A31137" w:rsidRDefault="00A31137" w:rsidP="00A31137">
      <w:r w:rsidRPr="00A31137">
        <w:t>1992, Planned Parenthood v. Casey, 505 U.S. 883</w:t>
      </w:r>
    </w:p>
    <w:p w:rsidR="00A31137" w:rsidRPr="00A31137" w:rsidRDefault="00A31137" w:rsidP="00A31137">
      <w:r w:rsidRPr="00A31137">
        <w:t>an outright attempt to wedge the Commonwealth's message discouraging abortion into the privacy of the informed consent dialogue between the woman and her physician.</w:t>
      </w:r>
    </w:p>
    <w:p w:rsidR="00A31137" w:rsidRPr="00A31137" w:rsidRDefault="00A31137" w:rsidP="00A31137">
      <w:r w:rsidRPr="00A31137">
        <w:t>1992, Planned Parenthood v. Casey, 505 U.S. 883</w:t>
      </w:r>
    </w:p>
    <w:p w:rsidR="00A31137" w:rsidRPr="00A31137" w:rsidRDefault="00A31137" w:rsidP="00A31137">
      <w:r w:rsidRPr="00A31137">
        <w:t>476 U.S. at  762. We conclude, however, that informed choice need not be defined in such narrow terms that all considerations of the effect on the fetus are made irrelevant. As we have made clear, we depart from the holdings of Akron I and Thornburgh to the extent that we permit a State to further its legitimate goal of protecting the life of the unborn by enacting legislation aimed at ensuring a decision that is mature and informed, even when, in so doing, the State expresses a preference for childbirth over abortion. In short, requiring that the woman be informed of the availability of information relating to fetal development and the assistance available should she decide to carry the pregnancy to full term is a reasonable measure to insure an informed choice, one which might cause the woman to choose childbirth over abortion. This requirement cannot be considered a substantial obstacle to obtaining an abortion, and, it follows, there is no undue burden.</w:t>
      </w:r>
    </w:p>
    <w:p w:rsidR="00A31137" w:rsidRPr="00A31137" w:rsidRDefault="00A31137" w:rsidP="00A31137">
      <w:r w:rsidRPr="00A31137">
        <w:t>1992, Planned Parenthood v. Casey, 505 U.S. 883</w:t>
      </w:r>
    </w:p>
    <w:p w:rsidR="00A31137" w:rsidRPr="00A31137" w:rsidRDefault="00A31137" w:rsidP="00A31137">
      <w:r w:rsidRPr="00A31137">
        <w:t>Our prior cases also suggest that the "straitjacket," Thornburgh, supra, at  762 (quoting Danforth, supra, 428 U.S. at  67, n. 8), of particular information which must be given in each case interferes with a constitutional right of privacy between a pregnant woman and her physician. As a preliminary matter, it is worth noting that the statute now before us does not require a physician to comply with the informed consent provisions</w:t>
      </w:r>
    </w:p>
    <w:p w:rsidR="00A31137" w:rsidRPr="00A31137" w:rsidRDefault="00A31137" w:rsidP="00A31137">
      <w:r w:rsidRPr="00A31137">
        <w:t>1992, Planned Parenthood v. Casey, 505 U.S. 883</w:t>
      </w:r>
    </w:p>
    <w:p w:rsidR="00A31137" w:rsidRPr="00A31137" w:rsidRDefault="00A31137" w:rsidP="00A31137">
      <w:r w:rsidRPr="00A31137">
        <w:t>if he or she can demonstrate by a preponderance of the evidence that he or she reasonably believed that furnishing the information would have resulted in a severely [505 U.S. 884] adverse effect on the physical or mental health of the patient.</w:t>
      </w:r>
    </w:p>
    <w:p w:rsidR="00A31137" w:rsidRPr="00A31137" w:rsidRDefault="00A31137" w:rsidP="00A31137">
      <w:r w:rsidRPr="00A31137">
        <w:t>1992, Planned Parenthood v. Casey, 505 U.S. 884</w:t>
      </w:r>
    </w:p>
    <w:p w:rsidR="00A31137" w:rsidRPr="00A31137" w:rsidRDefault="00A31137" w:rsidP="00A31137">
      <w:r w:rsidRPr="00A31137">
        <w:t>18 Pa. Cons.Stat. § 3205 (1990). In this respect, the statute does not prevent the physician from exercising his or her medical judgment.</w:t>
      </w:r>
    </w:p>
    <w:p w:rsidR="00A31137" w:rsidRPr="00A31137" w:rsidRDefault="00A31137" w:rsidP="00A31137">
      <w:r w:rsidRPr="00A31137">
        <w:t>1992, Planned Parenthood v. Casey, 505 U.S. 884</w:t>
      </w:r>
    </w:p>
    <w:p w:rsidR="00A31137" w:rsidRPr="00A31137" w:rsidRDefault="00A31137" w:rsidP="00A31137">
      <w:r w:rsidRPr="00A31137">
        <w:t>Whatever constitutional status the doctor-patient relation may have as a general matter, in the present context, it is derivative of the woman's position. The doctor-patient relation does not underlie or override the two more general rights under which the abortion right is justified: the right to make family decisions and the right to physical autonomy. On its own, the doctor-patient relation here is entitled to the same solicitude it receives in other contexts. Thus, a requirement that a doctor give a woman certain information as part of obtaining her consent to an abortion is, for constitutional purposes, no different from a requirement that a doctor give certain specific information about any medical procedure.</w:t>
      </w:r>
    </w:p>
    <w:p w:rsidR="00A31137" w:rsidRPr="00A31137" w:rsidRDefault="00A31137" w:rsidP="00A31137">
      <w:r w:rsidRPr="00A31137">
        <w:t>1992, Planned Parenthood v. Casey, 505 U.S. 884</w:t>
      </w:r>
    </w:p>
    <w:p w:rsidR="00A31137" w:rsidRPr="00A31137" w:rsidRDefault="00A31137" w:rsidP="00A31137">
      <w:r w:rsidRPr="00A31137">
        <w:t>All that is left of petitioners' argument is an asserted First Amendment right of a physician not to provide information about the risks of abortion, and childbirth, in a manner mandated by the State. To be sure, the physician's First Amendment rights not to speak are implicated, see Wooley v. Maynard, 430 U.S. 705 (1977), but only as part of the practice of medicine, subject to reasonable licensing and regulation by the State. Cf. Whalen v. Roe, 429 U.S. 589, 603 (1977). We see no constitutional infirmity in the requirement that the physician provide the information mandated by the State here.</w:t>
      </w:r>
    </w:p>
    <w:p w:rsidR="00A31137" w:rsidRPr="00A31137" w:rsidRDefault="00A31137" w:rsidP="00A31137">
      <w:r w:rsidRPr="00A31137">
        <w:t>1992, Planned Parenthood v. Casey, 505 U.S. 884</w:t>
      </w:r>
    </w:p>
    <w:p w:rsidR="00A31137" w:rsidRPr="00A31137" w:rsidRDefault="00A31137" w:rsidP="00A31137">
      <w:r w:rsidRPr="00A31137">
        <w:t>The Pennsylvania statute also requires us to reconsider the holding in Akron I that the State may not require that a physician, as opposed to a qualified assistant, provide information relevant to a woman's informed consent. 462 U.S. at  448. Since there is no evidence on this record that requiring a doctor to give the information as provided by the statute would amount, in practical terms, to a substantial obstacle to a woman seeking an abortion, we conclude that it is not [505 U.S. 885] an undue burden. Our cases reflect the fact that the Constitution gives the States broad latitude to decide that particular functions may be performed only by licensed professionals, even if an objective assessment might suggest that those same tasks could be performed by others. See Williamson v. Lee Optical of Oklahoma, Inc., 348 U.S. 483 (1955). Thus, we uphold the provision as a reasonable means to insure that the woman's consent is informed.</w:t>
      </w:r>
    </w:p>
    <w:p w:rsidR="00A31137" w:rsidRPr="00A31137" w:rsidRDefault="00A31137" w:rsidP="00A31137">
      <w:r w:rsidRPr="00A31137">
        <w:t>1992, Planned Parenthood v. Casey, 505 U.S. 885</w:t>
      </w:r>
    </w:p>
    <w:p w:rsidR="00A31137" w:rsidRPr="00A31137" w:rsidRDefault="00A31137" w:rsidP="00A31137">
      <w:r w:rsidRPr="00A31137">
        <w:t>Our analysis of Pennsylvania's 24-hour waiting period between the provision of the information deemed necessary to informed consent and the performance of an abortion under the undue burden standard requires us to reconsider the premise behind the decision in Akron I invalidating a parallel requirement. In Akron I we said:</w:t>
      </w:r>
    </w:p>
    <w:p w:rsidR="00A31137" w:rsidRPr="00A31137" w:rsidRDefault="00A31137" w:rsidP="00A31137">
      <w:r w:rsidRPr="00A31137">
        <w:t>1992, Planned Parenthood v. Casey, 505 U.S. 885</w:t>
      </w:r>
    </w:p>
    <w:p w:rsidR="00A31137" w:rsidRPr="00A31137" w:rsidRDefault="00A31137" w:rsidP="00A31137">
      <w:r w:rsidRPr="00A31137">
        <w:t>Nor are we convinced that the State's legitimate concern that the woman's decision be informed is reasonably served by requiring a 24-hour delay as a matter of course.</w:t>
      </w:r>
    </w:p>
    <w:p w:rsidR="00A31137" w:rsidRPr="00A31137" w:rsidRDefault="00A31137" w:rsidP="00A31137">
      <w:r w:rsidRPr="00A31137">
        <w:t>1992, Planned Parenthood v. Casey, 505 U.S. 885</w:t>
      </w:r>
    </w:p>
    <w:p w:rsidR="00A31137" w:rsidRPr="00A31137" w:rsidRDefault="00A31137" w:rsidP="00A31137">
      <w:r w:rsidRPr="00A31137">
        <w:t>462 U.S. at  450. We consider that conclusion to be wrong. The idea that important decisions will be more informed and deliberate if they follow some period of reflection does not strike us as unreasonable, particularly where the statute directs that important information become part of the background of the decision. The statute, as construed by the Court of Appeals, permits avoidance of the waiting period in the event of a medical emergency, and the record evidence shows that, in the vast majority of cases, a 24-hour delay does not create any appreciable health risk. In theory, at least, the waiting period is a reasonable measure to implement the State's interest in protecting the life of the unborn, a measure that does not amount to an undue burden.</w:t>
      </w:r>
    </w:p>
    <w:p w:rsidR="00A31137" w:rsidRPr="00A31137" w:rsidRDefault="00A31137" w:rsidP="00A31137">
      <w:r w:rsidRPr="00A31137">
        <w:t>1992, Planned Parenthood v. Casey, 505 U.S. 885</w:t>
      </w:r>
    </w:p>
    <w:p w:rsidR="00A31137" w:rsidRPr="00A31137" w:rsidRDefault="00A31137" w:rsidP="00A31137">
      <w:r w:rsidRPr="00A31137">
        <w:t>Whether the mandatory 24-hour waiting period is nonetheless invalid because, in practice, it is a substantial obstacle to a woman's choice to terminate her pregnancy is a closer question. The findings of fact by the District Court indicate that, because of the distances many women must travel to reach an abortion provider, the practical effect will often be [505 U.S. 886] a delay of much more than a day because the waiting period requires that a woman seeking an abortion make at least two visits to the doctor. The District Court also found that, in many instances, this will increase the exposure of women seeking abortions to "the harassment and hostility of anti-abortion protestors demonstrating outside a clinic." 744 F.Supp. at 1351. As a result, the District Court found that, for those women who have the fewest financial resources, those who must travel long distances, and those who have difficulty explaining their whereabouts to husbands, employers, or others, the 24-hour waiting period will be "particularly burdensome." Id. at 1352.</w:t>
      </w:r>
    </w:p>
    <w:p w:rsidR="00A31137" w:rsidRPr="00A31137" w:rsidRDefault="00A31137" w:rsidP="00A31137">
      <w:r w:rsidRPr="00A31137">
        <w:t>1992, Planned Parenthood v. Casey, 505 U.S. 886</w:t>
      </w:r>
    </w:p>
    <w:p w:rsidR="00A31137" w:rsidRPr="00A31137" w:rsidRDefault="00A31137" w:rsidP="00A31137">
      <w:r w:rsidRPr="00A31137">
        <w:t>These findings are troubling in some respects, but they do not demonstrate that the waiting period constitutes an undue burden. We do not doubt that, as the District Court held, the waiting period has the effect of "increasing the cost and risk of delay of abortions," id. at 1378, but the District Court did not conclude that the increased costs and potential delays amount to substantial obstacles. Rather, applying the trimester framework's strict prohibition of all regulation designed to promote the State's interest in potential life before viability, see id. at 1374, the District Court concluded that the waiting period does not further the state "interest in maternal health" and "infringes the physician's discretion to exercise sound medical judgment." Id. at 1378. Yet, as we have stated, under the undue burden standard, a State is permitted to enact persuasive measures which favor childbirth over abortion, even if those measures do not further a health interest. And while the waiting period does limit a physician's discretion, that is not, standing alone, a reason to invalidate it. In light of the construction given the statute's definition of medical emergency by the Court of Appeals, and the District Court's findings, we cannot say that the waiting period imposes a real health risk.</w:t>
      </w:r>
    </w:p>
    <w:p w:rsidR="00A31137" w:rsidRPr="00A31137" w:rsidRDefault="00A31137" w:rsidP="00A31137">
      <w:r w:rsidRPr="00A31137">
        <w:t>1992, Planned Parenthood v. Casey, 505 U.S. 886</w:t>
      </w:r>
    </w:p>
    <w:p w:rsidR="00A31137" w:rsidRPr="00A31137" w:rsidRDefault="00A31137" w:rsidP="00A31137">
      <w:r w:rsidRPr="00A31137">
        <w:t>We also disagree with the District Court's conclusion that the "particularly burdensome" effects of the waiting period [505 U.S. 887] on some women require its invalidation. A particular burden is not, of necessity, a substantial obstacle. Whether a burden falls on a particular group is a distinct inquiry from whether it is a substantial obstacle even as to the women in that group. And the District Court did not conclude that the waiting period is such an obstacle even for the women who are most burdened by it. Hence, on the record before us, and in the context of this facial challenge, we are not convinced that the 24-hour waiting period constitutes an undue burden.</w:t>
      </w:r>
    </w:p>
    <w:p w:rsidR="00A31137" w:rsidRPr="00A31137" w:rsidRDefault="00A31137" w:rsidP="00A31137">
      <w:r w:rsidRPr="00A31137">
        <w:t>1992, Planned Parenthood v. Casey, 505 U.S. 887</w:t>
      </w:r>
    </w:p>
    <w:p w:rsidR="00A31137" w:rsidRPr="00A31137" w:rsidRDefault="00A31137" w:rsidP="00A31137">
      <w:r w:rsidRPr="00A31137">
        <w:t>We are left with the argument that the various aspects of the informed consent requirement are unconstitutional because they place barriers in the way of abortion on demand. Even the broadest reading of Roe, however, has not suggested that there is a constitutional right to abortion on demand. See, e.g., Doe v. Bolton, 410 U.S. at 189. Rather, the right protected by Roe is a right to decide to terminate a pregnancy free of undue interference by the State. Because the informed consent requirement facilitates the wise exercise of that right, it cannot be classified as an interference with the right Roe protects. The informed consent requirement is not an undue burden on that right.</w:t>
      </w:r>
    </w:p>
    <w:p w:rsidR="00A31137" w:rsidRPr="00A31137" w:rsidRDefault="00A31137" w:rsidP="00A31137">
      <w:r w:rsidRPr="00A31137">
        <w:t>C</w:t>
      </w:r>
    </w:p>
    <w:p w:rsidR="00A31137" w:rsidRPr="00A31137" w:rsidRDefault="00A31137" w:rsidP="00A31137">
      <w:r w:rsidRPr="00A31137">
        <w:t>1992, Planned Parenthood v. Casey, 505 U.S. 887</w:t>
      </w:r>
    </w:p>
    <w:p w:rsidR="00A31137" w:rsidRPr="00A31137" w:rsidRDefault="00A31137" w:rsidP="00A31137">
      <w:r w:rsidRPr="00A31137">
        <w:t>Section 3209 of Pennsylvania's abortion law provides, except in cases of medical emergency, that no physician shall perform an abortion on [505 U.S. 888] a married woman without receiving a signed statement from the woman that she has notified her spouse that she is about to undergo an abortion. The woman has the option of providing an alternative signed statement certifying that her husband is not the man who impregnated her; that her husband could not be located; that the pregnancy is the result of spousal sexual assault which she has reported; or that the woman believes that notifying her husband will cause him or someone else to inflict bodily injury upon her. A physician who performs an abortion on a married woman without receiving the appropriate signed statement will have his or her license revoked, and is liable to the husband for damages.</w:t>
      </w:r>
    </w:p>
    <w:p w:rsidR="00A31137" w:rsidRPr="00A31137" w:rsidRDefault="00A31137" w:rsidP="00A31137">
      <w:r w:rsidRPr="00A31137">
        <w:t>1992, Planned Parenthood v. Casey, 505 U.S. 888</w:t>
      </w:r>
    </w:p>
    <w:p w:rsidR="00A31137" w:rsidRPr="00A31137" w:rsidRDefault="00A31137" w:rsidP="00A31137">
      <w:r w:rsidRPr="00A31137">
        <w:t>The District Court heard the testimony of numerous expert witnesses, and made detailed findings of fact regarding the effect of this statute. These included:</w:t>
      </w:r>
    </w:p>
    <w:p w:rsidR="00A31137" w:rsidRPr="00A31137" w:rsidRDefault="00A31137" w:rsidP="00A31137">
      <w:r w:rsidRPr="00A31137">
        <w:t>1992, Planned Parenthood v. Casey, 505 U.S. 888</w:t>
      </w:r>
    </w:p>
    <w:p w:rsidR="00A31137" w:rsidRPr="00A31137" w:rsidRDefault="00A31137" w:rsidP="00A31137">
      <w:r w:rsidRPr="00A31137">
        <w:t>273. The vast majority of women consult their husbands prior to deciding to terminate their pregnancy….</w:t>
      </w:r>
    </w:p>
    <w:p w:rsidR="00A31137" w:rsidRPr="00A31137" w:rsidRDefault="00A31137" w:rsidP="00A31137">
      <w:r w:rsidRPr="00A31137">
        <w:t>*    *    *    *</w:t>
      </w:r>
    </w:p>
    <w:p w:rsidR="00A31137" w:rsidRPr="00A31137" w:rsidRDefault="00A31137" w:rsidP="00A31137">
      <w:r w:rsidRPr="00A31137">
        <w:t>1992, Planned Parenthood v. Casey, 505 U.S. 888</w:t>
      </w:r>
    </w:p>
    <w:p w:rsidR="00A31137" w:rsidRPr="00A31137" w:rsidRDefault="00A31137" w:rsidP="00A31137">
      <w:r w:rsidRPr="00A31137">
        <w:t>279. The "bodily injury" exception could not be invoked by a married woman whose husband, if notified, would, in her reasonable belief, threaten to (a) publicize her intent to have an abortion to family, friends or acquaintances; (b) retaliate against her in future child custody or divorce proceedings; (c) inflict psychological intimidation or emotional harm upon her, her children or other persons; (d) inflict bodily harm on other persons such as children, family members or other loved ones; or (e) use his control over finances to deprive of necessary monies for herself or her children….</w:t>
      </w:r>
    </w:p>
    <w:p w:rsidR="00A31137" w:rsidRPr="00A31137" w:rsidRDefault="00A31137" w:rsidP="00A31137">
      <w:r w:rsidRPr="00A31137">
        <w:t>*    *    *    *</w:t>
      </w:r>
    </w:p>
    <w:p w:rsidR="00A31137" w:rsidRPr="00A31137" w:rsidRDefault="00A31137" w:rsidP="00A31137">
      <w:r w:rsidRPr="00A31137">
        <w:t>1992, Planned Parenthood v. Casey, 505 U.S. 888</w:t>
      </w:r>
    </w:p>
    <w:p w:rsidR="00A31137" w:rsidRPr="00A31137" w:rsidRDefault="00A31137" w:rsidP="00A31137">
      <w:r w:rsidRPr="00A31137">
        <w:t>281. Studies reveal that family violence occurs in two million families in the United States. This figure, however, is a conservative one that substantially understates (because battering is usually not reported until it reaches life-threatening proportions) the actual number of families affected by domestic violence. In fact, researchers estimate that one of every two women will be battered at some time in their life….</w:t>
      </w:r>
    </w:p>
    <w:p w:rsidR="00A31137" w:rsidRPr="00A31137" w:rsidRDefault="00A31137" w:rsidP="00A31137">
      <w:r w:rsidRPr="00A31137">
        <w:t>1992, Planned Parenthood v. Casey, 505 U.S. 888</w:t>
      </w:r>
    </w:p>
    <w:p w:rsidR="00A31137" w:rsidRPr="00A31137" w:rsidRDefault="00A31137" w:rsidP="00A31137">
      <w:r w:rsidRPr="00A31137">
        <w:t>282. A wife may not elect to notify her husband of her intention to have an abortion for a variety of reasons, including the husband's illness, concern about her own health, the imminent failure of the marriage, or the husband's absolute opposition to the abortion….</w:t>
      </w:r>
    </w:p>
    <w:p w:rsidR="00A31137" w:rsidRPr="00A31137" w:rsidRDefault="00A31137" w:rsidP="00A31137">
      <w:r w:rsidRPr="00A31137">
        <w:t>1992, Planned Parenthood v. Casey, 505 U.S. 888</w:t>
      </w:r>
    </w:p>
    <w:p w:rsidR="00A31137" w:rsidRPr="00A31137" w:rsidRDefault="00A31137" w:rsidP="00A31137">
      <w:r w:rsidRPr="00A31137">
        <w:t>283. The required filing of the spousal consent form would require plaintiff-clinics to change their counseling [505 U.S. 889] procedures and force women to reveal their most intimate decisionmaking on pain of criminal sanctions. The confidentiality of these revelations could not be guaranteed, since the woman's records are not immune from subpoena….</w:t>
      </w:r>
    </w:p>
    <w:p w:rsidR="00A31137" w:rsidRPr="00A31137" w:rsidRDefault="00A31137" w:rsidP="00A31137">
      <w:r w:rsidRPr="00A31137">
        <w:t>1992, Planned Parenthood v. Casey, 505 U.S. 889</w:t>
      </w:r>
    </w:p>
    <w:p w:rsidR="00A31137" w:rsidRPr="00A31137" w:rsidRDefault="00A31137" w:rsidP="00A31137">
      <w:r w:rsidRPr="00A31137">
        <w:t>284. Women of all class levels, educational backgrounds, and racial, ethnic and religious groups are battered….</w:t>
      </w:r>
    </w:p>
    <w:p w:rsidR="00A31137" w:rsidRPr="00A31137" w:rsidRDefault="00A31137" w:rsidP="00A31137">
      <w:r w:rsidRPr="00A31137">
        <w:t>1992, Planned Parenthood v. Casey, 505 U.S. 889</w:t>
      </w:r>
    </w:p>
    <w:p w:rsidR="00A31137" w:rsidRPr="00A31137" w:rsidRDefault="00A31137" w:rsidP="00A31137">
      <w:r w:rsidRPr="00A31137">
        <w:t>285. Wife-battering or abuse can take on many physical and psychological forms. The nature and scope of the battering can cover a broad range of actions, and be gruesome and torturous….</w:t>
      </w:r>
    </w:p>
    <w:p w:rsidR="00A31137" w:rsidRPr="00A31137" w:rsidRDefault="00A31137" w:rsidP="00A31137">
      <w:r w:rsidRPr="00A31137">
        <w:t>1992, Planned Parenthood v. Casey, 505 U.S. 889</w:t>
      </w:r>
    </w:p>
    <w:p w:rsidR="00A31137" w:rsidRPr="00A31137" w:rsidRDefault="00A31137" w:rsidP="00A31137">
      <w:r w:rsidRPr="00A31137">
        <w:t>286. Married women, victims of battering, have been killed in Pennsylvania and throughout the United States….</w:t>
      </w:r>
    </w:p>
    <w:p w:rsidR="00A31137" w:rsidRPr="00A31137" w:rsidRDefault="00A31137" w:rsidP="00A31137">
      <w:r w:rsidRPr="00A31137">
        <w:t>1992, Planned Parenthood v. Casey, 505 U.S. 889</w:t>
      </w:r>
    </w:p>
    <w:p w:rsidR="00A31137" w:rsidRPr="00A31137" w:rsidRDefault="00A31137" w:rsidP="00A31137">
      <w:r w:rsidRPr="00A31137">
        <w:t>287. Battering can often involve a substantial amount of sexual abuse, including marital rape and sexual mutilation….</w:t>
      </w:r>
    </w:p>
    <w:p w:rsidR="00A31137" w:rsidRPr="00A31137" w:rsidRDefault="00A31137" w:rsidP="00A31137">
      <w:r w:rsidRPr="00A31137">
        <w:t>1992, Planned Parenthood v. Casey, 505 U.S. 889</w:t>
      </w:r>
    </w:p>
    <w:p w:rsidR="00A31137" w:rsidRPr="00A31137" w:rsidRDefault="00A31137" w:rsidP="00A31137">
      <w:r w:rsidRPr="00A31137">
        <w:t>288. In a domestic abuse situation, it is common for the battering husband to also abuse the children in an attempt to coerce the wife….</w:t>
      </w:r>
    </w:p>
    <w:p w:rsidR="00A31137" w:rsidRPr="00A31137" w:rsidRDefault="00A31137" w:rsidP="00A31137">
      <w:r w:rsidRPr="00A31137">
        <w:t>1992, Planned Parenthood v. Casey, 505 U.S. 889</w:t>
      </w:r>
    </w:p>
    <w:p w:rsidR="00A31137" w:rsidRPr="00A31137" w:rsidRDefault="00A31137" w:rsidP="00A31137">
      <w:r w:rsidRPr="00A31137">
        <w:t>289. Mere notification of pregnancy is frequently a flashpoint for battering and violence within the family. The number of battering incidents is high during the pregnancy, and often the worst abuse can be associated with pregnancy…. The battering husband may deny parentage and use the pregnancy as an excuse for abuse….</w:t>
      </w:r>
    </w:p>
    <w:p w:rsidR="00A31137" w:rsidRPr="00A31137" w:rsidRDefault="00A31137" w:rsidP="00A31137">
      <w:r w:rsidRPr="00A31137">
        <w:t>1992, Planned Parenthood v. Casey, 505 U.S. 889</w:t>
      </w:r>
    </w:p>
    <w:p w:rsidR="00A31137" w:rsidRPr="00A31137" w:rsidRDefault="00A31137" w:rsidP="00A31137">
      <w:r w:rsidRPr="00A31137">
        <w:t>290. Secrecy typically shrouds abusive families. Family members are instructed not to tell anyone, especially police or doctors, about the abuse and violence. Battering husbands often threaten their wives or her children with further abuse if she tells an outsider of the violence, and tells her that nobody will believe her. A battered woman, therefore, is highly unlikely to disclose [505 U.S. 890] the violence against her for fear of retaliation by the abuser….</w:t>
      </w:r>
    </w:p>
    <w:p w:rsidR="00A31137" w:rsidRPr="00A31137" w:rsidRDefault="00A31137" w:rsidP="00A31137">
      <w:r w:rsidRPr="00A31137">
        <w:t>1992, Planned Parenthood v. Casey, 505 U.S. 890</w:t>
      </w:r>
    </w:p>
    <w:p w:rsidR="00A31137" w:rsidRPr="00A31137" w:rsidRDefault="00A31137" w:rsidP="00A31137">
      <w:r w:rsidRPr="00A31137">
        <w:t>291. Even when confronted directly by medical personnel or other helping professionals, battered women often will not admit to the battering, because they have not admitted to themselves that they are battered….</w:t>
      </w:r>
    </w:p>
    <w:p w:rsidR="00A31137" w:rsidRPr="00A31137" w:rsidRDefault="00A31137" w:rsidP="00A31137">
      <w:r w:rsidRPr="00A31137">
        <w:t>1992, Planned Parenthood v. Casey, 505 U.S. 890</w:t>
      </w:r>
    </w:p>
    <w:p w:rsidR="00A31137" w:rsidRPr="00A31137" w:rsidRDefault="00A31137" w:rsidP="00A31137">
      <w:r w:rsidRPr="00A31137">
        <w:t>294. A woman in a shelter or a safe house unknown to her husband is not "reasonably likely" to have bodily harm inflicted upon her by her batterer; however, her attempt to notify her husband pursuant to section 3209 could accidentally disclose her whereabouts to her husband. Her fear of future ramifications would be realistic under the circumstances.</w:t>
      </w:r>
    </w:p>
    <w:p w:rsidR="00A31137" w:rsidRPr="00A31137" w:rsidRDefault="00A31137" w:rsidP="00A31137">
      <w:r w:rsidRPr="00A31137">
        <w:t>1992, Planned Parenthood v. Casey, 505 U.S. 890</w:t>
      </w:r>
    </w:p>
    <w:p w:rsidR="00A31137" w:rsidRPr="00A31137" w:rsidRDefault="00A31137" w:rsidP="00A31137">
      <w:r w:rsidRPr="00A31137">
        <w:t>295. Marital rape is rarely discussed with others or reported to law enforcement authorities, and of those reported, only few are prosecuted….</w:t>
      </w:r>
    </w:p>
    <w:p w:rsidR="00A31137" w:rsidRPr="00A31137" w:rsidRDefault="00A31137" w:rsidP="00A31137">
      <w:r w:rsidRPr="00A31137">
        <w:t>1992, Planned Parenthood v. Casey, 505 U.S. 890</w:t>
      </w:r>
    </w:p>
    <w:p w:rsidR="00A31137" w:rsidRPr="00A31137" w:rsidRDefault="00A31137" w:rsidP="00A31137">
      <w:r w:rsidRPr="00A31137">
        <w:t>296. It is common for battered women to have sexual intercourse with their husbands to avoid being battered. While this type of coercive sexual activity would be spousal sexual assault as defined by the Act, many women may not consider it to be so, and others would fear disbelief….</w:t>
      </w:r>
    </w:p>
    <w:p w:rsidR="00A31137" w:rsidRPr="00A31137" w:rsidRDefault="00A31137" w:rsidP="00A31137">
      <w:r w:rsidRPr="00A31137">
        <w:t>1992, Planned Parenthood v. Casey, 505 U.S. 890</w:t>
      </w:r>
    </w:p>
    <w:p w:rsidR="00A31137" w:rsidRPr="00A31137" w:rsidRDefault="00A31137" w:rsidP="00A31137">
      <w:r w:rsidRPr="00A31137">
        <w:t>297. The marital rape exception to section 3209 cannot be claimed by women who are victims of coercive sexual behavior other than penetration. The 90-day reporting requirement of the spousal sexual assault statute, 18 Pa.Con.Stat.Ann. § 3218(c), further narrows the class of sexually abused wives who can claim the exception, since many of these women may be psychologically unable to discuss or report the rape for several years after the incident….</w:t>
      </w:r>
    </w:p>
    <w:p w:rsidR="00A31137" w:rsidRPr="00A31137" w:rsidRDefault="00A31137" w:rsidP="00A31137">
      <w:r w:rsidRPr="00A31137">
        <w:t>1992, Planned Parenthood v. Casey, 505 U.S. 890</w:t>
      </w:r>
    </w:p>
    <w:p w:rsidR="00A31137" w:rsidRPr="00A31137" w:rsidRDefault="00A31137" w:rsidP="00A31137">
      <w:r w:rsidRPr="00A31137">
        <w:t>298. Because of the nature of the battering relationship, battered women are unlikely to avail themselves of the exceptions to section 3209 of the Act, regardless of [505 U.S. 891] whether the section applies to them.</w:t>
      </w:r>
    </w:p>
    <w:p w:rsidR="00A31137" w:rsidRPr="00A31137" w:rsidRDefault="00A31137" w:rsidP="00A31137">
      <w:r w:rsidRPr="00A31137">
        <w:t>1992, Planned Parenthood v. Casey, 505 U.S. 891</w:t>
      </w:r>
    </w:p>
    <w:p w:rsidR="00A31137" w:rsidRPr="00A31137" w:rsidRDefault="00A31137" w:rsidP="00A31137">
      <w:r w:rsidRPr="00A31137">
        <w:t>744 F.Supp. at 1360-1362.</w:t>
      </w:r>
    </w:p>
    <w:p w:rsidR="00A31137" w:rsidRPr="00A31137" w:rsidRDefault="00A31137" w:rsidP="00A31137">
      <w:r w:rsidRPr="00A31137">
        <w:t>1992, Planned Parenthood v. Casey, 505 U.S. 891</w:t>
      </w:r>
    </w:p>
    <w:p w:rsidR="00A31137" w:rsidRPr="00A31137" w:rsidRDefault="00A31137" w:rsidP="00A31137">
      <w:r w:rsidRPr="00A31137">
        <w:t>These findings are supported by studies of domestic violence. The American Medical Association (AMA) has published a summary of the recent research in this field, which indicates that, in an average 12-month period in this country, approximately two million women are the victims of severe assaults by their male partners. In a 1985 survey, women reported that nearly one of every eight husbands had assaulted their wives during the past year. The AMA views these figures as "marked underestimates," because the nature of these incidents discourages women from reporting them, and because surveys typically exclude the very poor, those who do not speak English well, and women who are homeless or in institutions or hospitals when the survey is conducted. According to the AMA,</w:t>
      </w:r>
    </w:p>
    <w:p w:rsidR="00A31137" w:rsidRPr="00A31137" w:rsidRDefault="00A31137" w:rsidP="00A31137">
      <w:r w:rsidRPr="00A31137">
        <w:t>1992, Planned Parenthood v. Casey, 505 U.S. 891</w:t>
      </w:r>
    </w:p>
    <w:p w:rsidR="00A31137" w:rsidRPr="00A31137" w:rsidRDefault="00A31137" w:rsidP="00A31137">
      <w:r w:rsidRPr="00A31137">
        <w:t>[r]esearchers on family violence agree that the true incidence of partner violence is probably double the above estimates; or four million severely assaulted women per year. Studies suggest that from one-fifth to one-third of all women will be physically assaulted by a partner or ex-partner during their lifetime.</w:t>
      </w:r>
    </w:p>
    <w:p w:rsidR="00A31137" w:rsidRPr="00A31137" w:rsidRDefault="00A31137" w:rsidP="00A31137">
      <w:r w:rsidRPr="00A31137">
        <w:t>1992, Planned Parenthood v. Casey, 505 U.S. 891</w:t>
      </w:r>
    </w:p>
    <w:p w:rsidR="00A31137" w:rsidRPr="00A31137" w:rsidRDefault="00A31137" w:rsidP="00A31137">
      <w:r w:rsidRPr="00A31137">
        <w:t>AMA Council on Scientific Affairs, Violence Against Women 7 (1991) (emphasis in original). Thus, on an average day in the United States, nearly 11,000 women are severely assaulted by their male partners. Many of these incidents involve sexual assault. Id. at 3-4; Shields &amp; Hanneke, Battered Wives' Reactions to Marital Rape, in The Dark Side of Families: Current Family Violence Research 131, 144 (D. Finkelhor, R. Gelles, G. Hataling, &amp; M. Straus eds.1983). In families where wife-beating takes place, moreover, child abuse is often present as well. Violence Against Women, supra, at 12.</w:t>
      </w:r>
    </w:p>
    <w:p w:rsidR="00A31137" w:rsidRPr="00A31137" w:rsidRDefault="00A31137" w:rsidP="00A31137">
      <w:r w:rsidRPr="00A31137">
        <w:t>1992, Planned Parenthood v. Casey, 505 U.S. 891</w:t>
      </w:r>
    </w:p>
    <w:p w:rsidR="00A31137" w:rsidRPr="00A31137" w:rsidRDefault="00A31137" w:rsidP="00A31137">
      <w:r w:rsidRPr="00A31137">
        <w:t>Other studies fill in the rest of this troubling picture. Physical violence is only the most visible form of abuse. Psychological abuse, particularly forced social and economic isolation of women, is also common. L. Walker, The Battered [505 U.S. 892] Woman Syndrome 27-28 (1984). Many victims of domestic violence remain with their abusers, perhaps because they perceive no superior alternative. Herbert, Silver, &amp; Ellard, Coping with an Abusive Relationship: I. How and Why do Women Stay?, 53 J. Marriage &amp; the Family 311 (1991). Many abused women who find temporary refuge in shelters return to their husbands, in large part because they have no other source of income. Aguirre, Why Do They Return? Abused Wives in Shelters, 30 J.Nat.Assn. of Social Workers 350, 352 (1985). Returning to one's abuser can be dangerous. Recent Federal Bureau of Investigation statistics disclose that 8.8 of all homicide victims in the United States are killed by their spouse. Mercy &amp; Saltzman, Fatal Violence Among Spouses in the United States, 1976-85, 79 Am.J.Public Health 595 (1989). Thirty percent of female homicide victims are killed by their male partners. Domestic Violence: Terrorism in the Home, Hearing before the Subcommittee on Children, Family, Drugs and Alcoholism of the Senate Committee on Labor and Human Resources, 101st Cong., 2d Sess., 3 (1990).</w:t>
      </w:r>
    </w:p>
    <w:p w:rsidR="00A31137" w:rsidRPr="00A31137" w:rsidRDefault="00A31137" w:rsidP="00A31137">
      <w:r w:rsidRPr="00A31137">
        <w:t>1992, Planned Parenthood v. Casey, 505 U.S. 892</w:t>
      </w:r>
    </w:p>
    <w:p w:rsidR="00A31137" w:rsidRPr="00A31137" w:rsidRDefault="00A31137" w:rsidP="00A31137">
      <w:r w:rsidRPr="00A31137">
        <w:t>The limited research that has been conducted with respect to notifying one's husband about an abortion, although involving samples too small to be representative, also supports the District Court's findings of fact. The vast majority of women notify their male partners of their decision to obtain an abortion. In many cases in which married women do not notify their husbands, the pregnancy is the result of an extramarital affair. Where the husband is the father, the primary reason women do not notify their husbands is that the husband and wife are experiencing marital difficulties, often accompanied by incidents of violence. Ryan &amp; Plutzer, When Married Women Have Abortions: Spousal Notification and Marital Interaction, 51 J. Marriage &amp; the Family 41, 44 (1989).</w:t>
      </w:r>
    </w:p>
    <w:p w:rsidR="00A31137" w:rsidRPr="00A31137" w:rsidRDefault="00A31137" w:rsidP="00A31137">
      <w:r w:rsidRPr="00A31137">
        <w:t>1992, Planned Parenthood v. Casey, 505 U.S. 892</w:t>
      </w:r>
    </w:p>
    <w:p w:rsidR="00A31137" w:rsidRPr="00A31137" w:rsidRDefault="00A31137" w:rsidP="00A31137">
      <w:r w:rsidRPr="00A31137">
        <w:t>This information and the District Court's findings reinforce what common sense would suggest. In well functioning [505 U.S. 893] marriages, spouses discuss important intimate decisions such as whether to bear a child. But there are millions of women in this country who are the victims of regular physical and psychological abuse at the hands of their husbands. Should these women become pregnant, they may have very good reasons for not wishing to inform their husbands of their decision to obtain an abortion. Many may have justifiable fears of physical abuse, but may be no less fearful of the consequences of reporting prior abuse to the Commonwealth of Pennsylvania. Many may have a reasonable fear that notifying their husbands will provoke further instances of child abuse; these women are not exempt from § 3209's notification requirement. Many may fear devastating forms of psychological abuse from their husbands, including verbal harassment, threats of future violence, the destruction of possessions, physical confinement to the home, the withdrawal of financial support, or the disclosure of the abortion to family and friends. These methods of psychological abuse may act as even more of a deterrent to notification than the possibility of physical violence, but women who are the victims of the abuse are not exempt from § 3209's notification requirement. And many women who are pregnant as a result of sexual assaults by their husbands will be unable to avail themselves of the exception for spousal sexual assault, § 3209(b)(3), because the exception requires that the woman have notified law enforcement authorities within 90 days of the assault, and her husband will be notified of her report once an investigation begins. § 3128(c). If anything in this field is certain, it is that victims of spousal sexual assault are extremely reluctant to report the abuse to the government; hence, a great many spousal rape victims will not be exempt from the notification requirement imposed by § 3209.</w:t>
      </w:r>
    </w:p>
    <w:p w:rsidR="00A31137" w:rsidRPr="00A31137" w:rsidRDefault="00A31137" w:rsidP="00A31137">
      <w:r w:rsidRPr="00A31137">
        <w:t>1992, Planned Parenthood v. Casey, 505 U.S. 893</w:t>
      </w:r>
    </w:p>
    <w:p w:rsidR="00A31137" w:rsidRPr="00A31137" w:rsidRDefault="00A31137" w:rsidP="00A31137">
      <w:r w:rsidRPr="00A31137">
        <w:t>The spousal notification requirement is thus likely to prevent a significant number of women from obtaining an abortion. It does not merely make abortions a little more difficult or expensive to obtain; for many women, it will impose [505 U.S. 894] a substantial obstacle. We must not blind ourselves to the fact that the significant number of women who fear for their safety and the safety of their children are likely to be deterred from procuring an abortion as surely as if the Commonwealth had outlawed abortion in all cases.</w:t>
      </w:r>
    </w:p>
    <w:p w:rsidR="00A31137" w:rsidRPr="00A31137" w:rsidRDefault="00A31137" w:rsidP="00A31137">
      <w:r w:rsidRPr="00A31137">
        <w:t>1992, Planned Parenthood v. Casey, 505 U.S. 894</w:t>
      </w:r>
    </w:p>
    <w:p w:rsidR="00A31137" w:rsidRPr="00A31137" w:rsidRDefault="00A31137" w:rsidP="00A31137">
      <w:r w:rsidRPr="00A31137">
        <w:t>Respondents attempt to avoid the conclusion that § 3209 is invalid by pointing out that it imposes almost no burden at all for the vast majority of women seeking abortions. They begin by noting that only about 20 percent of the women who obtain abortions are married. They then note that, of these women, about 95 percent notify their husbands of their own volition. Thus, respondents argue, the effects of § 3209 are felt by only one percent of the women who obtain abortions. Respondents argue that, since some of these women will be able to notify their husbands without adverse consequences or will qualify for one of the exceptions, the statute affects fewer than one percent of women seeking abortions. For this reason, it is asserted, the statute cannot be invalid on its face. See Brief for Respondents 83-86. We disagree with respondents' basic method of analysis.</w:t>
      </w:r>
    </w:p>
    <w:p w:rsidR="00A31137" w:rsidRPr="00A31137" w:rsidRDefault="00A31137" w:rsidP="00A31137">
      <w:r w:rsidRPr="00A31137">
        <w:t>1992, Planned Parenthood v. Casey, 505 U.S. 894</w:t>
      </w:r>
    </w:p>
    <w:p w:rsidR="00A31137" w:rsidRPr="00A31137" w:rsidRDefault="00A31137" w:rsidP="00A31137">
      <w:r w:rsidRPr="00A31137">
        <w:t>The analysis does not end with the one percent of women upon whom the statute operates; it begins there. Legislation is measured for consistency with the Constitution by its impact on those whose conduct it affects. For example, we would not say that a law which requires a newspaper to print a candidate's reply to an unfavorable editorial is valid on its face because most newspapers would adopt the policy even absent the law. See Miami Herald Publishing Co. v. Tornillo, 418 U.S. 241 (1974). The proper focus of constitutional inquiry is the group for whom the law is a restriction, not the group for whom the law is irrelevant.</w:t>
      </w:r>
    </w:p>
    <w:p w:rsidR="00A31137" w:rsidRPr="00A31137" w:rsidRDefault="00A31137" w:rsidP="00A31137">
      <w:r w:rsidRPr="00A31137">
        <w:t>1992, Planned Parenthood v. Casey, 505 U.S. 894</w:t>
      </w:r>
    </w:p>
    <w:p w:rsidR="00A31137" w:rsidRPr="00A31137" w:rsidRDefault="00A31137" w:rsidP="00A31137">
      <w:r w:rsidRPr="00A31137">
        <w:t>Respondents' argument itself gives implicit recognition to this principle at one of its critical points. Respondents speak of the one percent of women seeking abortions who are married and would choose not to notify their husbands of their plans. By selecting as the controlling class women [505 U.S. 895] who wish to obtain abortions, rather than all women or all pregnant women, respondents, in effect, concede that § 3209 must be judged by reference to those for whom it is an actual, rather than irrelevant, restriction. Of course, as we have said, § 3209's real target is narrower even than the class of women seeking abortions identified by the State: it is married women seeking abortions who do not wish to notify their husbands of their intentions and who do not qualify for one of the statutory exceptions to the notice requirement. The unfortunate yet persisting conditions we document above will mean that, in a large fraction of the cases in which § 3209 is relevant, it will operate as a substantial obstacle to a woman's choice to undergo an abortion. It is an undue burden, and therefore invalid.</w:t>
      </w:r>
    </w:p>
    <w:p w:rsidR="00A31137" w:rsidRPr="00A31137" w:rsidRDefault="00A31137" w:rsidP="00A31137">
      <w:r w:rsidRPr="00A31137">
        <w:t>1992, Planned Parenthood v. Casey, 505 U.S. 895</w:t>
      </w:r>
    </w:p>
    <w:p w:rsidR="00A31137" w:rsidRPr="00A31137" w:rsidRDefault="00A31137" w:rsidP="00A31137">
      <w:r w:rsidRPr="00A31137">
        <w:t>This conclusion is in no way inconsistent with our decisions upholding parental notification or consent requirements. See, e.g., Akron II, 497 U.S. at 510-519; Bellotti v. Baird, 443 U.S. 622 (1979) (Bellotti II); Planned Parenthood of Central Mo. v. Danforth, 428 U.S. at  74. Those enactments, and our judgment that they are constitutional, are based on the quite reasonable assumption that minors will benefit from consultation with their parents and that children will often not realize that their parents have their best interests at heart. We cannot adopt a parallel assumption about adult women.</w:t>
      </w:r>
    </w:p>
    <w:p w:rsidR="00A31137" w:rsidRPr="00A31137" w:rsidRDefault="00A31137" w:rsidP="00A31137">
      <w:r w:rsidRPr="00A31137">
        <w:t>1992, Planned Parenthood v. Casey, 505 U.S. 895</w:t>
      </w:r>
    </w:p>
    <w:p w:rsidR="00A31137" w:rsidRPr="00A31137" w:rsidRDefault="00A31137" w:rsidP="00A31137">
      <w:r w:rsidRPr="00A31137">
        <w:t>We recognize that a husband has a</w:t>
      </w:r>
    </w:p>
    <w:p w:rsidR="00A31137" w:rsidRPr="00A31137" w:rsidRDefault="00A31137" w:rsidP="00A31137">
      <w:r w:rsidRPr="00A31137">
        <w:t>1992, Planned Parenthood v. Casey, 505 U.S. 895</w:t>
      </w:r>
    </w:p>
    <w:p w:rsidR="00A31137" w:rsidRPr="00A31137" w:rsidRDefault="00A31137" w:rsidP="00A31137">
      <w:r w:rsidRPr="00A31137">
        <w:t>deep and proper concern and interest…in his wife's pregnancy and in the growth and development of the fetus she is carrying.</w:t>
      </w:r>
    </w:p>
    <w:p w:rsidR="00A31137" w:rsidRPr="00A31137" w:rsidRDefault="00A31137" w:rsidP="00A31137">
      <w:r w:rsidRPr="00A31137">
        <w:t>1992, Planned Parenthood v. Casey, 505 U.S. 895</w:t>
      </w:r>
    </w:p>
    <w:p w:rsidR="00A31137" w:rsidRPr="00A31137" w:rsidRDefault="00A31137" w:rsidP="00A31137">
      <w:r w:rsidRPr="00A31137">
        <w:t>Danforth, supra, at  69. With regard to the children he has fathered and raised, the Court has recognized his "cognizable and substantial" interest in their custody. Stanley v. Illinois, 405 U.S. 645, 651-652 (1972); see also Quilloin v. Walcott, 434 U.S. 246 (1978); Caban v. Mohammed, 441 U.S. 380 (1979); Lehr v. Robertson, 463 U.S. 248 (1983). If this case concerned a State's ability to require the mother to notify the father before taking some action with respect to a living [505 U.S. 896] child raised by both, therefore, it would be reasonable to conclude, as a general matter, that the father's interest in the welfare of the child and the mother's interest are equal.</w:t>
      </w:r>
    </w:p>
    <w:p w:rsidR="00A31137" w:rsidRPr="00A31137" w:rsidRDefault="00A31137" w:rsidP="00A31137">
      <w:r w:rsidRPr="00A31137">
        <w:t>1992, Planned Parenthood v. Casey, 505 U.S. 896</w:t>
      </w:r>
    </w:p>
    <w:p w:rsidR="00A31137" w:rsidRPr="00A31137" w:rsidRDefault="00A31137" w:rsidP="00A31137">
      <w:r w:rsidRPr="00A31137">
        <w:t>Before birth, however, the issue takes on a very different cast. It is an inescapable biological fact that state regulation with respect to the child a woman is carrying will have a far greater impact on the mother's liberty than on the father's. The effect of state regulation on a woman's protected liberty is doubly deserving of scrutiny in such a case, as the State has touched not only upon the private sphere of the family, but upon the very bodily integrity of the pregnant woman. Cf. Cruzan v. Director, Missouri Dept. of Health, 497 U.S. at  281. The Court has held that,</w:t>
      </w:r>
    </w:p>
    <w:p w:rsidR="00A31137" w:rsidRPr="00A31137" w:rsidRDefault="00A31137" w:rsidP="00A31137">
      <w:r w:rsidRPr="00A31137">
        <w:t>1992, Planned Parenthood v. Casey, 505 U.S. 896</w:t>
      </w:r>
    </w:p>
    <w:p w:rsidR="00A31137" w:rsidRPr="00A31137" w:rsidRDefault="00A31137" w:rsidP="00A31137">
      <w:r w:rsidRPr="00A31137">
        <w:t>when the wife and the husband disagree on this decision, the view of only one of the two marriage partners can prevail. Inasmuch as it is the woman who physically bears the child and who is the more directly and immediately affected by the pregnancy, as between the two, the balance weighs in her favor.</w:t>
      </w:r>
    </w:p>
    <w:p w:rsidR="00A31137" w:rsidRPr="00A31137" w:rsidRDefault="00A31137" w:rsidP="00A31137">
      <w:r w:rsidRPr="00A31137">
        <w:t>1992, Planned Parenthood v. Casey, 505 U.S. 896</w:t>
      </w:r>
    </w:p>
    <w:p w:rsidR="00A31137" w:rsidRPr="00A31137" w:rsidRDefault="00A31137" w:rsidP="00A31137">
      <w:r w:rsidRPr="00A31137">
        <w:t>Danforth, supra, 428 U.S. at  71. This conclusion rests upon the basic nature of marriage and the nature of our Constitution:</w:t>
      </w:r>
    </w:p>
    <w:p w:rsidR="00A31137" w:rsidRPr="00A31137" w:rsidRDefault="00A31137" w:rsidP="00A31137">
      <w:r w:rsidRPr="00A31137">
        <w:t>1992, Planned Parenthood v. Casey, 505 U.S. 896</w:t>
      </w:r>
    </w:p>
    <w:p w:rsidR="00A31137" w:rsidRPr="00A31137" w:rsidRDefault="00A31137" w:rsidP="00A31137">
      <w:r w:rsidRPr="00A31137">
        <w:t>[T]he marital couple is not an independent entity with a mind and heart of its own, but an association of two individuals, each with a separate intellectual and emotional makeup. If the right of privacy means anything, it is the right of the individual, married or single, to be free from unwarranted governmental intrusion into matters so fundamentally affecting a person as the decision whether to bear or beget a child.</w:t>
      </w:r>
    </w:p>
    <w:p w:rsidR="00A31137" w:rsidRPr="00A31137" w:rsidRDefault="00A31137" w:rsidP="00A31137">
      <w:r w:rsidRPr="00A31137">
        <w:t>1992, Planned Parenthood v. Casey, 505 U.S. 896</w:t>
      </w:r>
    </w:p>
    <w:p w:rsidR="00A31137" w:rsidRPr="00A31137" w:rsidRDefault="00A31137" w:rsidP="00A31137">
      <w:r w:rsidRPr="00A31137">
        <w:t>Eisenstadt v. Baird, 405 U.S. at  453 (emphasis in original). The Constitution protects individuals, men and women alike, from unjustified state interference, even when that interference is enacted into law for the benefit of their spouses.</w:t>
      </w:r>
    </w:p>
    <w:p w:rsidR="00A31137" w:rsidRPr="00A31137" w:rsidRDefault="00A31137" w:rsidP="00A31137">
      <w:r w:rsidRPr="00A31137">
        <w:t>1992, Planned Parenthood v. Casey, 505 U.S. 896</w:t>
      </w:r>
    </w:p>
    <w:p w:rsidR="00A31137" w:rsidRPr="00A31137" w:rsidRDefault="00A31137" w:rsidP="00A31137">
      <w:r w:rsidRPr="00A31137">
        <w:t>There was a time, not so long ago, when a different understanding of the family and of the Constitution prevailed. In Bradwell v. Illinois, 16 Wall. 130 (1873), three Members of this [505 U.S. 897] Court reaffirmed the common law principle that</w:t>
      </w:r>
    </w:p>
    <w:p w:rsidR="00A31137" w:rsidRPr="00A31137" w:rsidRDefault="00A31137" w:rsidP="00A31137">
      <w:r w:rsidRPr="00A31137">
        <w:t>1992, Planned Parenthood v. Casey, 505 U.S. 897</w:t>
      </w:r>
    </w:p>
    <w:p w:rsidR="00A31137" w:rsidRPr="00A31137" w:rsidRDefault="00A31137" w:rsidP="00A31137">
      <w:r w:rsidRPr="00A31137">
        <w:t>a woman had no legal existence separate from her husband, who was regarded as her head and representative in the social state; and, notwithstanding some recent modifications of this civil status, many of the special rules of law flowing from and dependent upon this cardinal principle still exist in full force in most States.</w:t>
      </w:r>
    </w:p>
    <w:p w:rsidR="00A31137" w:rsidRPr="00A31137" w:rsidRDefault="00A31137" w:rsidP="00A31137">
      <w:r w:rsidRPr="00A31137">
        <w:t>1992, Planned Parenthood v. Casey, 505 U.S. 897</w:t>
      </w:r>
    </w:p>
    <w:p w:rsidR="00A31137" w:rsidRPr="00A31137" w:rsidRDefault="00A31137" w:rsidP="00A31137">
      <w:r w:rsidRPr="00A31137">
        <w:t>Id. at 141 (Bradley J., joined by Swayne and Field, JJ., concurring in judgment). Only one generation has passed since this Court observed that "woman is still regarded as the center of home and family life," with attendant "special responsibilities" that precluded full and independent legal status under the Constitution. Hoyt v. Florida, 368 U.S. 57, 62 (1961). These views, of course, are no longer consistent with our understanding of the family, the individual, or the Constitution.</w:t>
      </w:r>
    </w:p>
    <w:p w:rsidR="00A31137" w:rsidRPr="00A31137" w:rsidRDefault="00A31137" w:rsidP="00A31137">
      <w:r w:rsidRPr="00A31137">
        <w:t>1992, Planned Parenthood v. Casey, 505 U.S. 897</w:t>
      </w:r>
    </w:p>
    <w:p w:rsidR="00A31137" w:rsidRPr="00A31137" w:rsidRDefault="00A31137" w:rsidP="00A31137">
      <w:r w:rsidRPr="00A31137">
        <w:t xml:space="preserve">In keeping with our rejection of the common law understanding of a woman's role within the family, the Court held in Danforth that the Constitution does not permit a State to require a married woman to obtain her husband's consent before undergoing an abortion. 428 U.S. at  69. The principles that guided the Court in Danforth should be our guides today. For the great many women who are victims of abuse inflicted by their husbands, or whose children are the victims of such abuse, a spousal notice requirement enables the husband to wield an effective veto over his wife's decision. Whether the prospect of notification itself deters such women from seeking abortions, or whether the husband, through physical force or psychological pressure or economic coercion, prevents his wife from obtaining an abortion until it is too late, the notice requirement will often be tantamount to the veto found unconstitutional in Danforth. The women most affected by this law—those who most reasonably fear the consequences of notifying their husbands that they are pregnant—are in the gravest danger. [505 U.S. 898] </w:t>
      </w:r>
    </w:p>
    <w:p w:rsidR="00A31137" w:rsidRPr="00A31137" w:rsidRDefault="00A31137" w:rsidP="00A31137">
      <w:r w:rsidRPr="00A31137">
        <w:t>1992, Planned Parenthood v. Casey, 505 U.S. 898</w:t>
      </w:r>
    </w:p>
    <w:p w:rsidR="00A31137" w:rsidRPr="00A31137" w:rsidRDefault="00A31137" w:rsidP="00A31137">
      <w:r w:rsidRPr="00A31137">
        <w:t>The husband's interest in the life of the child his wife is carrying does not permit the State to empower him with this troubling degree of authority over his wife. The contrary view leads to consequences reminiscent of the common law. A husband has no enforceable right to require a wife to advise him before she exercises her personal choices. If a husband's interest in the potential life of the child outweighs a wife's liberty, the State could require a married woman to notify her husband before she uses a post-fertilization contraceptive. Perhaps next in line would be a statute requiring pregnant married women to notify their husbands before engaging in conduct causing risks to the fetus. After all, if the husband's interest in the fetus' safety is a sufficient predicate for state regulation, the State could reasonably conclude that pregnant wives should notify their husbands before drinking alcohol or smoking. Perhaps married women should notify their husbands before using contraceptives or before undergoing any type of surgery that may have complications affecting the husband's interest in his wife's reproductive organs. And if a husband's interest justifies notice in any of these cases, one might reasonably argue that it justifies exactly what the Danforth Court held it did not justify—a requirement of the husband's consent as well. A State may not give to a man the kind of dominion over his wife that parents exercise over their children.</w:t>
      </w:r>
    </w:p>
    <w:p w:rsidR="00A31137" w:rsidRPr="00A31137" w:rsidRDefault="00A31137" w:rsidP="00A31137">
      <w:r w:rsidRPr="00A31137">
        <w:t>1992, Planned Parenthood v. Casey, 505 U.S. 898</w:t>
      </w:r>
    </w:p>
    <w:p w:rsidR="00A31137" w:rsidRPr="00A31137" w:rsidRDefault="00A31137" w:rsidP="00A31137">
      <w:r w:rsidRPr="00A31137">
        <w:t xml:space="preserve">Section 3209 embodies a view of marriage consonant with the common law status of married women, but repugnant to our present understanding of marriage and of the nature of the rights secured by the Constitution. Women do not lose their constitutionally protected liberty when they marry. The Constitution protects all individuals, male or female, married or unmarried, from the abuse of governmental power, even where that power is employed for the supposed benefit of a member of the individual's family. These considerations confirm our conclusion that § 3209 is invalid. [505 U.S. 899] </w:t>
      </w:r>
    </w:p>
    <w:p w:rsidR="00A31137" w:rsidRPr="00A31137" w:rsidRDefault="00A31137" w:rsidP="00A31137">
      <w:r w:rsidRPr="00A31137">
        <w:t>D</w:t>
      </w:r>
    </w:p>
    <w:p w:rsidR="00A31137" w:rsidRPr="00A31137" w:rsidRDefault="00A31137" w:rsidP="00A31137">
      <w:r w:rsidRPr="00A31137">
        <w:t>1992, Planned Parenthood v. Casey, 505 U.S. 899</w:t>
      </w:r>
    </w:p>
    <w:p w:rsidR="00A31137" w:rsidRPr="00A31137" w:rsidRDefault="00A31137" w:rsidP="00A31137">
      <w:r w:rsidRPr="00A31137">
        <w:t>We next consider the parental consent provision. Except in a medical emergency, an unemancipated young woman under 18 may not obtain an abortion unless she and one of her parents (or guardian) provides informed consent as defined above. If neither a parent nor a guardian provides consent, a court may authorize the performance of an abortion upon a determination that the young woman is mature and capable of giving informed consent and has, in fact, given her informed consent, or that an abortion would be in her best interests.</w:t>
      </w:r>
    </w:p>
    <w:p w:rsidR="00A31137" w:rsidRPr="00A31137" w:rsidRDefault="00A31137" w:rsidP="00A31137">
      <w:r w:rsidRPr="00A31137">
        <w:t>1992, Planned Parenthood v. Casey, 505 U.S. 899</w:t>
      </w:r>
    </w:p>
    <w:p w:rsidR="00A31137" w:rsidRPr="00A31137" w:rsidRDefault="00A31137" w:rsidP="00A31137">
      <w:r w:rsidRPr="00A31137">
        <w:t>We have been over most of this ground before. Our cases establish, and we reaffirm today, that a State may require a minor seeking an abortion to obtain the consent of a parent or guardian, provided that there is an adequate judicial bypass procedure. See, e.g., Akron II, 497 U.S. at 510-519; Hodgson, 497 U.S. at  461; Akron I, supra, 462 U.S. at  440; Bellotti II, supra, 443 U.S. at 643-644 (plurality opinion). Under these precedents, in our view, the one-parent consent requirement and judicial bypass procedure are constitutional.</w:t>
      </w:r>
    </w:p>
    <w:p w:rsidR="00A31137" w:rsidRPr="00A31137" w:rsidRDefault="00A31137" w:rsidP="00A31137">
      <w:r w:rsidRPr="00A31137">
        <w:t>1992, Planned Parenthood v. Casey, 505 U.S. 899</w:t>
      </w:r>
    </w:p>
    <w:p w:rsidR="00A31137" w:rsidRPr="00A31137" w:rsidRDefault="00A31137" w:rsidP="00A31137">
      <w:r w:rsidRPr="00A31137">
        <w:t>The only argument made by petitioners respecting this provision and to which our prior decisions do not speak is the contention that the parental consent requirement is invalid because it requires informed parental consent. For the most part, petitioners' argument is a reprise of their argument with respect to the informed consent requirement in general, and we reject it for the reasons given above. Indeed, some of the provisions regarding informed consent have particular force with respect to minors: the waiting period, for example, may provide the parent or parents of a pregnant young woman the opportunity to consult with her in private, and to discuss the consequences of her decision in [505 U.S. 900] the context of the values and moral or religious principles of their family. See Hodgson, supra, at 448-449.</w:t>
      </w:r>
    </w:p>
    <w:p w:rsidR="00A31137" w:rsidRPr="00A31137" w:rsidRDefault="00A31137" w:rsidP="00A31137">
      <w:r w:rsidRPr="00A31137">
        <w:t>1992, Planned Parenthood v. Casey, 505 U.S. 900</w:t>
      </w:r>
    </w:p>
    <w:p w:rsidR="00A31137" w:rsidRPr="00A31137" w:rsidRDefault="00A31137" w:rsidP="00A31137">
      <w:r w:rsidRPr="00A31137">
        <w:t>Under the recordkeeping and reporting requirements of the statute, every facility which performs abortions is required to file a report stating its name and address as well as the name and address of any related entity, such as a controlling or subsidiary organization. In the case of state-funded institutions, the information becomes public.</w:t>
      </w:r>
    </w:p>
    <w:p w:rsidR="00A31137" w:rsidRPr="00A31137" w:rsidRDefault="00A31137" w:rsidP="00A31137">
      <w:r w:rsidRPr="00A31137">
        <w:t>1992, Planned Parenthood v. Casey, 505 U.S. 900</w:t>
      </w:r>
    </w:p>
    <w:p w:rsidR="00A31137" w:rsidRPr="00A31137" w:rsidRDefault="00A31137" w:rsidP="00A31137">
      <w:r w:rsidRPr="00A31137">
        <w:t>For each abortion performed, a report must be filed identifying: the physician (and the second physician where required); the facility; the referring physician or agency; the woman's age; the number of prior pregnancies and prior abortions she has had; gestational age; the type of abortion procedure; the date of the abortion; whether there were any preexisting medical conditions which would complicate pregnancy; medical complications with the abortion; where applicable, the basis for the determination that the abortion was medically necessary; the weight of the aborted fetus; and whether the woman was married, and if so, whether notice was provided or the basis for the failure to give notice. Every abortion facility must also file quarterly reports showing the number of abortions performed broken down by trimester. See 18 Pa.Cons.Stat. §§ 3207, 3214 (1990). In all events, the identity of each woman who has had an abortion remains confidential.</w:t>
      </w:r>
    </w:p>
    <w:p w:rsidR="00A31137" w:rsidRPr="00A31137" w:rsidRDefault="00A31137" w:rsidP="00A31137">
      <w:r w:rsidRPr="00A31137">
        <w:t>1992, Planned Parenthood v. Casey, 505 U.S. 900</w:t>
      </w:r>
    </w:p>
    <w:p w:rsidR="00A31137" w:rsidRPr="00A31137" w:rsidRDefault="00A31137" w:rsidP="00A31137">
      <w:r w:rsidRPr="00A31137">
        <w:t>In Danforth, 428 U.S. at  80, we held that recordkeeping and reporting provisions</w:t>
      </w:r>
    </w:p>
    <w:p w:rsidR="00A31137" w:rsidRPr="00A31137" w:rsidRDefault="00A31137" w:rsidP="00A31137">
      <w:r w:rsidRPr="00A31137">
        <w:t>1992, Planned Parenthood v. Casey, 505 U.S. 900</w:t>
      </w:r>
    </w:p>
    <w:p w:rsidR="00A31137" w:rsidRPr="00A31137" w:rsidRDefault="00A31137" w:rsidP="00A31137">
      <w:r w:rsidRPr="00A31137">
        <w:t>that are reasonably directed to the preservation of maternal health and that properly respect a patient's confidentiality and privacy are permissible.</w:t>
      </w:r>
    </w:p>
    <w:p w:rsidR="00A31137" w:rsidRPr="00A31137" w:rsidRDefault="00A31137" w:rsidP="00A31137">
      <w:r w:rsidRPr="00A31137">
        <w:t>1992, Planned Parenthood v. Casey, 505 U.S. 900</w:t>
      </w:r>
    </w:p>
    <w:p w:rsidR="00A31137" w:rsidRPr="00A31137" w:rsidRDefault="00A31137" w:rsidP="00A31137">
      <w:r w:rsidRPr="00A31137">
        <w:t>We think that, under this standard, all the provisions at issue here except that relating to spousal notice are constitutional. Although they do not relate to the State's interest in informing the woman's choice, they do relate to health. The collection of information with respect to actual patients [505 U.S. 901] is a vital element of medical research, and so it cannot be said that the requirements serve no purpose other than to make abortions more difficult. Nor do we find that the requirements impose a substantial obstacle to a woman's choice. At most, they might increase the cost of some abortions by a slight amount. While at some point increased cost could become a substantial obstacle, there is no such showing on the record before us.</w:t>
      </w:r>
    </w:p>
    <w:p w:rsidR="00A31137" w:rsidRPr="00A31137" w:rsidRDefault="00A31137" w:rsidP="00A31137">
      <w:r w:rsidRPr="00A31137">
        <w:t>1992, Planned Parenthood v. Casey, 505 U.S. 901</w:t>
      </w:r>
    </w:p>
    <w:p w:rsidR="00A31137" w:rsidRPr="00A31137" w:rsidRDefault="00A31137" w:rsidP="00A31137">
      <w:r w:rsidRPr="00A31137">
        <w:t>Subsection (12) of the reporting provision requires the reporting of, among other things, a married woman's "reason for failure to provide notice" to her husband. § 3214(a)(12). This provision in effect requires women, as a condition of obtaining an abortion, to provide the Commonwealth with the precise information we have already recognized that many women have pressing reasons not to reveal. Like the spousal notice requirement itself, this provision places an undue burden on a woman's choice, and must be invalidated for that reason.</w:t>
      </w:r>
    </w:p>
    <w:p w:rsidR="00A31137" w:rsidRPr="00A31137" w:rsidRDefault="00A31137" w:rsidP="00A31137">
      <w:r w:rsidRPr="00A31137">
        <w:t>VI</w:t>
      </w:r>
    </w:p>
    <w:p w:rsidR="00A31137" w:rsidRPr="00A31137" w:rsidRDefault="00A31137" w:rsidP="00A31137">
      <w:r w:rsidRPr="00A31137">
        <w:t>1992, Planned Parenthood v. Casey, 505 U.S. 901</w:t>
      </w:r>
    </w:p>
    <w:p w:rsidR="00A31137" w:rsidRPr="00A31137" w:rsidRDefault="00A31137" w:rsidP="00A31137">
      <w:r w:rsidRPr="00A31137">
        <w:t>Our Constitution is a covenant running from the first generation of Americans to us, and then to future generations. It is a coherent succession. Each generation must learn anew that the Constitution's written terms embody ideas and aspirations that must survive more ages than one. We accept our responsibility not to retreat from interpreting the full meaning of the covenant in light of all of our precedents. We invoke it once again to define the freedom guaranteed by the Constitution's own promise, the promise of liberty.</w:t>
      </w:r>
    </w:p>
    <w:p w:rsidR="00A31137" w:rsidRPr="00A31137" w:rsidRDefault="00A31137" w:rsidP="00A31137">
      <w:r w:rsidRPr="00A31137">
        <w:t>*    *    *    *</w:t>
      </w:r>
    </w:p>
    <w:p w:rsidR="00A31137" w:rsidRPr="00A31137" w:rsidRDefault="00A31137" w:rsidP="00A31137">
      <w:r w:rsidRPr="00A31137">
        <w:t>1992, Planned Parenthood v. Casey, 505 U.S. 901</w:t>
      </w:r>
    </w:p>
    <w:p w:rsidR="00A31137" w:rsidRPr="00A31137" w:rsidRDefault="00A31137" w:rsidP="00A31137">
      <w:r w:rsidRPr="00A31137">
        <w:t>The judgment in No. 91-902 is affirmed. The judgment in No. 91-744 is affirmed in part and reversed in part, and the case is remanded for proceedings consistent with this opinion, including consideration of the question of severability.</w:t>
      </w:r>
    </w:p>
    <w:p w:rsidR="00A31137" w:rsidRPr="00A31137" w:rsidRDefault="00A31137" w:rsidP="00A31137">
      <w:r w:rsidRPr="00A31137">
        <w:t>1992, Planned Parenthood v. Casey, 505 U.S. 901</w:t>
      </w:r>
    </w:p>
    <w:p w:rsidR="00A31137" w:rsidRPr="00A31137" w:rsidRDefault="00A31137" w:rsidP="00A31137">
      <w:r w:rsidRPr="00A31137">
        <w:t xml:space="preserve">It is o ordered. [505 U.S. 902] </w:t>
      </w:r>
    </w:p>
    <w:p w:rsidR="00A31137" w:rsidRPr="00A31137" w:rsidRDefault="00A31137" w:rsidP="00A31137">
      <w:r w:rsidRPr="00A31137">
        <w:t>APPENDIX TO OPINION</w:t>
      </w:r>
    </w:p>
    <w:p w:rsidR="00A31137" w:rsidRPr="00A31137" w:rsidRDefault="00A31137" w:rsidP="00A31137">
      <w:r w:rsidRPr="00A31137">
        <w:t>Selected Provisions of the 1988 and 1989 Amendments to the 'Pennsylvania Abortion Control Act of 1982</w:t>
      </w:r>
    </w:p>
    <w:p w:rsidR="00A31137" w:rsidRPr="00A31137" w:rsidRDefault="00A31137" w:rsidP="00A31137">
      <w:r w:rsidRPr="00A31137">
        <w:t>18 PA.CONS.STAT.ANN. (1990)</w:t>
      </w:r>
    </w:p>
    <w:p w:rsidR="00A31137" w:rsidRPr="00A31137" w:rsidRDefault="00A31137" w:rsidP="00A31137">
      <w:r w:rsidRPr="00A31137">
        <w:t>§ 3203. Definitions.</w:t>
      </w:r>
    </w:p>
    <w:p w:rsidR="00A31137" w:rsidRPr="00A31137" w:rsidRDefault="00A31137" w:rsidP="00A31137">
      <w:r w:rsidRPr="00A31137">
        <w:t>*    *    *    *</w:t>
      </w:r>
    </w:p>
    <w:p w:rsidR="00A31137" w:rsidRPr="00A31137" w:rsidRDefault="00A31137" w:rsidP="00A31137">
      <w:r w:rsidRPr="00A31137">
        <w:t>1992, Planned Parenthood v. Casey, 505 U.S. 902</w:t>
      </w:r>
    </w:p>
    <w:p w:rsidR="00A31137" w:rsidRPr="00A31137" w:rsidRDefault="00A31137" w:rsidP="00A31137">
      <w:r w:rsidRPr="00A31137">
        <w:tab/>
        <w:t>"Medical emergency." That condition which, on the basis of the physician's good faith clinical judgment, so complicates the medical condition of a pregnant woman as to necessitate the immediate abortion of her pregnancy to avert her death or for which a delay will create serious risk of substantial and irreversible impairment of major bodily function.</w:t>
      </w:r>
    </w:p>
    <w:p w:rsidR="00A31137" w:rsidRPr="00A31137" w:rsidRDefault="00A31137" w:rsidP="00A31137">
      <w:r w:rsidRPr="00A31137">
        <w:t>1992, Planned Parenthood v. Casey, 505 U.S. 902</w:t>
      </w:r>
    </w:p>
    <w:p w:rsidR="00A31137" w:rsidRPr="00A31137" w:rsidRDefault="00A31137" w:rsidP="00A31137">
      <w:r w:rsidRPr="00A31137">
        <w:t>§ 3205. Informed Consent.</w:t>
      </w:r>
    </w:p>
    <w:p w:rsidR="00A31137" w:rsidRPr="00A31137" w:rsidRDefault="00A31137" w:rsidP="00A31137">
      <w:r w:rsidRPr="00A31137">
        <w:t>1992, Planned Parenthood v. Casey, 505 U.S. 902</w:t>
      </w:r>
    </w:p>
    <w:p w:rsidR="00A31137" w:rsidRPr="00A31137" w:rsidRDefault="00A31137" w:rsidP="00A31137">
      <w:r w:rsidRPr="00A31137">
        <w:t>(a) General Rule.—No abortion shall be performed or induced except with the voluntary and informed consent of the woman upon whom the abortion is to be performed or induced. Except in the case of a medical emergency, consent to an abortion is voluntary and informed if and only if:</w:t>
      </w:r>
    </w:p>
    <w:p w:rsidR="00A31137" w:rsidRPr="00A31137" w:rsidRDefault="00A31137" w:rsidP="00A31137">
      <w:r w:rsidRPr="00A31137">
        <w:t>1992, Planned Parenthood v. Casey, 505 U.S. 902</w:t>
      </w:r>
    </w:p>
    <w:p w:rsidR="00A31137" w:rsidRPr="00A31137" w:rsidRDefault="00A31137" w:rsidP="00A31137">
      <w:r w:rsidRPr="00A31137">
        <w:t>(1) At least 24 hours prior to the abortion, the physician who is to perform the abortion or the referring physician has orally informed the woman of:</w:t>
      </w:r>
    </w:p>
    <w:p w:rsidR="00A31137" w:rsidRPr="00A31137" w:rsidRDefault="00A31137" w:rsidP="00A31137">
      <w:r w:rsidRPr="00A31137">
        <w:t>1992, Planned Parenthood v. Casey, 505 U.S. 902</w:t>
      </w:r>
    </w:p>
    <w:p w:rsidR="00A31137" w:rsidRPr="00A31137" w:rsidRDefault="00A31137" w:rsidP="00A31137">
      <w:r w:rsidRPr="00A31137">
        <w:t>(i) The nature of the proposed procedure or treatment and of those risks and alternatives to the procedure or treatment that a reasonable patient would consider material to the decision of whether or not to undergo the abortion.</w:t>
      </w:r>
    </w:p>
    <w:p w:rsidR="00A31137" w:rsidRPr="00A31137" w:rsidRDefault="00A31137" w:rsidP="00A31137">
      <w:r w:rsidRPr="00A31137">
        <w:t>1992, Planned Parenthood v. Casey, 505 U.S. 902</w:t>
      </w:r>
    </w:p>
    <w:p w:rsidR="00A31137" w:rsidRPr="00A31137" w:rsidRDefault="00A31137" w:rsidP="00A31137">
      <w:r w:rsidRPr="00A31137">
        <w:t>(ii) The probable gestational age of the unborn child at the time the abortion is to be performed.</w:t>
      </w:r>
    </w:p>
    <w:p w:rsidR="00A31137" w:rsidRPr="00A31137" w:rsidRDefault="00A31137" w:rsidP="00A31137">
      <w:r w:rsidRPr="00A31137">
        <w:t>1992, Planned Parenthood v. Casey, 505 U.S. 902</w:t>
      </w:r>
    </w:p>
    <w:p w:rsidR="00A31137" w:rsidRPr="00A31137" w:rsidRDefault="00A31137" w:rsidP="00A31137">
      <w:r w:rsidRPr="00A31137">
        <w:t>(iii) The medical risks associated with carrying her child to term.</w:t>
      </w:r>
    </w:p>
    <w:p w:rsidR="00A31137" w:rsidRPr="00A31137" w:rsidRDefault="00A31137" w:rsidP="00A31137">
      <w:r w:rsidRPr="00A31137">
        <w:t>1992, Planned Parenthood v. Casey, 505 U.S. 902</w:t>
      </w:r>
    </w:p>
    <w:p w:rsidR="00A31137" w:rsidRPr="00A31137" w:rsidRDefault="00A31137" w:rsidP="00A31137">
      <w:r w:rsidRPr="00A31137">
        <w:t>(2) At least 24 hours prior to the abortion, the physician who is to perform the abortion or the referring physician, or a qualified physician assistant, health care practitioner, technician or social worker to whom the responsibility [505 U.S. 903] has been delegated by either physician, has informed the pregnant woman that:</w:t>
      </w:r>
    </w:p>
    <w:p w:rsidR="00A31137" w:rsidRPr="00A31137" w:rsidRDefault="00A31137" w:rsidP="00A31137">
      <w:r w:rsidRPr="00A31137">
        <w:t>1992, Planned Parenthood v. Casey, 505 U.S. 903</w:t>
      </w:r>
    </w:p>
    <w:p w:rsidR="00A31137" w:rsidRPr="00A31137" w:rsidRDefault="00A31137" w:rsidP="00A31137">
      <w:r w:rsidRPr="00A31137">
        <w:t>(i) The department publishes printed materials which describe the unborn child and list agencies which offer alternatives to abortion and that she has a right to review the printed materials and that a copy will be provided to her free of charge if she chooses to review it.</w:t>
      </w:r>
    </w:p>
    <w:p w:rsidR="00A31137" w:rsidRPr="00A31137" w:rsidRDefault="00A31137" w:rsidP="00A31137">
      <w:r w:rsidRPr="00A31137">
        <w:t>1992, Planned Parenthood v. Casey, 505 U.S. 903</w:t>
      </w:r>
    </w:p>
    <w:p w:rsidR="00A31137" w:rsidRPr="00A31137" w:rsidRDefault="00A31137" w:rsidP="00A31137">
      <w:r w:rsidRPr="00A31137">
        <w:t>(ii) Medical assistance benefits may be available for prenatal care, childbirth and neonatal care, and that more detailed information on the availability of such assistance is contained in the printed materials published by the department.</w:t>
      </w:r>
    </w:p>
    <w:p w:rsidR="00A31137" w:rsidRPr="00A31137" w:rsidRDefault="00A31137" w:rsidP="00A31137">
      <w:r w:rsidRPr="00A31137">
        <w:t>1992, Planned Parenthood v. Casey, 505 U.S. 903</w:t>
      </w:r>
    </w:p>
    <w:p w:rsidR="00A31137" w:rsidRPr="00A31137" w:rsidRDefault="00A31137" w:rsidP="00A31137">
      <w:r w:rsidRPr="00A31137">
        <w:t>(iii) The father of the unborn child is liable to assist in the support of her child, even in instances where he has offered to pay for the abortion. In the case of rape, this information may be omitted.</w:t>
      </w:r>
    </w:p>
    <w:p w:rsidR="00A31137" w:rsidRPr="00A31137" w:rsidRDefault="00A31137" w:rsidP="00A31137">
      <w:r w:rsidRPr="00A31137">
        <w:t>1992, Planned Parenthood v. Casey, 505 U.S. 903</w:t>
      </w:r>
    </w:p>
    <w:p w:rsidR="00A31137" w:rsidRPr="00A31137" w:rsidRDefault="00A31137" w:rsidP="00A31137">
      <w:r w:rsidRPr="00A31137">
        <w:t>(3) A copy of the printed materials has been provided to the woman if she chooses to view these materials.</w:t>
      </w:r>
    </w:p>
    <w:p w:rsidR="00A31137" w:rsidRPr="00A31137" w:rsidRDefault="00A31137" w:rsidP="00A31137">
      <w:r w:rsidRPr="00A31137">
        <w:t>1992, Planned Parenthood v. Casey, 505 U.S. 903</w:t>
      </w:r>
    </w:p>
    <w:p w:rsidR="00A31137" w:rsidRPr="00A31137" w:rsidRDefault="00A31137" w:rsidP="00A31137">
      <w:r w:rsidRPr="00A31137">
        <w:t>(4) The pregnant woman certifies in writing, prior to the abortion, that the information required to be provided under paragraphs (1), (2) and (3) has been provided.</w:t>
      </w:r>
    </w:p>
    <w:p w:rsidR="00A31137" w:rsidRPr="00A31137" w:rsidRDefault="00A31137" w:rsidP="00A31137">
      <w:r w:rsidRPr="00A31137">
        <w:t>1992, Planned Parenthood v. Casey, 505 U.S. 903</w:t>
      </w:r>
    </w:p>
    <w:p w:rsidR="00A31137" w:rsidRPr="00A31137" w:rsidRDefault="00A31137" w:rsidP="00A31137">
      <w:r w:rsidRPr="00A31137">
        <w:t>(b) Emergency.—Where a medical emergency compels the performance of an abortion, the physician shall inform the woman, prior to the abortion if possible, of the medical indications supporting his judgment that an abortion is necessary to avert her death or to avert substantial and irreversible impairment of major bodily function.</w:t>
      </w:r>
    </w:p>
    <w:p w:rsidR="00A31137" w:rsidRPr="00A31137" w:rsidRDefault="00A31137" w:rsidP="00A31137">
      <w:r w:rsidRPr="00A31137">
        <w:t>1992, Planned Parenthood v. Casey, 505 U.S. 903</w:t>
      </w:r>
    </w:p>
    <w:p w:rsidR="00A31137" w:rsidRPr="00A31137" w:rsidRDefault="00A31137" w:rsidP="00A31137">
      <w:r w:rsidRPr="00A31137">
        <w:t>(c) Penalty.—Any physician who violates the provisions of this section is guilty of "unprofessional conduct" and his license for the practice of medicine and surgery shall be subject to suspension or revocation in accordance with procedures provided under the act of October 5, 1978 (P.L. 1109, No. 261), known as the Osteopathic Medical Practice Act, the [505 U.S. 904] act of December 20, 1985 (P.L. 457, No. 112), known as the Medical Practice Act of 1985, or their successor acts. Any physician who performs or induces an abortion without first obtaining the certification required by subsection (a)(4) or with knowledge or reason to know that the informed consent of the woman has not been obtained shall for the first offense be guilty of a summary offense and for each subsequent offense be guilty of a misdemeanor of the third degree. No physician shall be guilty of violating this section for failure to furnish the information required by subsection (a) if he or she can demonstrate, by a preponderance of the evidence, that he or she reasonably believed that furnishing the information would have resulted in a severely adverse effect on the physical or mental health of the patient.</w:t>
      </w:r>
    </w:p>
    <w:p w:rsidR="00A31137" w:rsidRPr="00A31137" w:rsidRDefault="00A31137" w:rsidP="00A31137">
      <w:r w:rsidRPr="00A31137">
        <w:t>1992, Planned Parenthood v. Casey, 505 U.S. 904</w:t>
      </w:r>
    </w:p>
    <w:p w:rsidR="00A31137" w:rsidRPr="00A31137" w:rsidRDefault="00A31137" w:rsidP="00A31137">
      <w:r w:rsidRPr="00A31137">
        <w:t>(d) Limitation on Civil Liability.—Any physician who complies with the provisions of this section may not be held civilly liable to his patient for failure to obtain informed consent to the abortion within the meaning of that term as defined by the act of October 15, 1975 (P.L. 390, No. 111), known as the Health Care Services Malpractice Act.</w:t>
      </w:r>
    </w:p>
    <w:p w:rsidR="00A31137" w:rsidRPr="00A31137" w:rsidRDefault="00A31137" w:rsidP="00A31137">
      <w:r w:rsidRPr="00A31137">
        <w:t>1992, Planned Parenthood v. Casey, 505 U.S. 904</w:t>
      </w:r>
    </w:p>
    <w:p w:rsidR="00A31137" w:rsidRPr="00A31137" w:rsidRDefault="00A31137" w:rsidP="00A31137">
      <w:r w:rsidRPr="00A31137">
        <w:t>§ 3206. Parental Consent.</w:t>
      </w:r>
    </w:p>
    <w:p w:rsidR="00A31137" w:rsidRPr="00A31137" w:rsidRDefault="00A31137" w:rsidP="00A31137">
      <w:r w:rsidRPr="00A31137">
        <w:t>1992, Planned Parenthood v. Casey, 505 U.S. 904</w:t>
      </w:r>
    </w:p>
    <w:p w:rsidR="00A31137" w:rsidRPr="00A31137" w:rsidRDefault="00A31137" w:rsidP="00A31137">
      <w:r w:rsidRPr="00A31137">
        <w:t>(a) General rule.—Except in the case of a medical emergency or except as provided in this section, if a pregnant woman is less than 18 years of age and not emancipated, or if she has been adjudged an incompetent under 20 Pa.C.S. § 5511 (relating to petition and hearing; examination by court-appointed physician), a physician shall not perform an abortion upon her unless, in the case of a woman who is less than 18 years of age, he first obtains the informed consent both of the pregnant woman and of one of her parents; or, in the case of a woman who is incompetent, he first obtains the informed consent of her guardian. In deciding whether to grant such consent, a pregnant woman's parent or guardian shall consider only their child's or ward's best interests. In the case of a pregnancy that is the result of incest, where [505 U.S. 905] the father is a party to the incestuous act, the pregnant woman need only obtain the consent of her mother.</w:t>
      </w:r>
    </w:p>
    <w:p w:rsidR="00A31137" w:rsidRPr="00A31137" w:rsidRDefault="00A31137" w:rsidP="00A31137">
      <w:r w:rsidRPr="00A31137">
        <w:t>1992, Planned Parenthood v. Casey, 505 U.S. 905</w:t>
      </w:r>
    </w:p>
    <w:p w:rsidR="00A31137" w:rsidRPr="00A31137" w:rsidRDefault="00A31137" w:rsidP="00A31137">
      <w:r w:rsidRPr="00A31137">
        <w:t>(b) Unavailability of parent or guardian.—If both parents have died or are otherwise unavailable to the physician within a reasonable time and in a reasonable manner, consent of the pregnant woman's guardian or guardians shall be sufficient. If the pregnant woman's parents are divorced, consent of the parent having custody shall be sufficient. If neither any parent nor a legal guardian is available to the physician within a reasonable time and in a reasonable manner, consent of any adult person standing in loco parentis shall be sufficient.</w:t>
      </w:r>
    </w:p>
    <w:p w:rsidR="00A31137" w:rsidRPr="00A31137" w:rsidRDefault="00A31137" w:rsidP="00A31137">
      <w:r w:rsidRPr="00A31137">
        <w:t>1992, Planned Parenthood v. Casey, 505 U.S. 905</w:t>
      </w:r>
    </w:p>
    <w:p w:rsidR="00A31137" w:rsidRPr="00A31137" w:rsidRDefault="00A31137" w:rsidP="00A31137">
      <w:r w:rsidRPr="00A31137">
        <w:t>(c) Petition to the court for consent.—If both of the parents or guardians of the pregnant woman refuse to consent to the performance of an abortion or if she elects not to seek the consent of either of her parents or of her guardian, the court of common pleas of the judicial district in which the applicant resides or in which the abortion is sought shall, upon petition or motion, after an appropriate hearing, authorize a physician to perform the abortion if the court determines that the pregnant woman is mature and capable of giving informed consent to the proposed abortion, and has, in fact, given such consent.</w:t>
      </w:r>
    </w:p>
    <w:p w:rsidR="00A31137" w:rsidRPr="00A31137" w:rsidRDefault="00A31137" w:rsidP="00A31137">
      <w:r w:rsidRPr="00A31137">
        <w:t>1992, Planned Parenthood v. Casey, 505 U.S. 905</w:t>
      </w:r>
    </w:p>
    <w:p w:rsidR="00A31137" w:rsidRPr="00A31137" w:rsidRDefault="00A31137" w:rsidP="00A31137">
      <w:r w:rsidRPr="00A31137">
        <w:t>(d) Court order.—If the court determines that the pregnant woman is not mature and capable of giving informed consent or if the pregnant woman does not claim to be mature and capable of giving informed consent, the court shall determine whether the performance of an abortion upon her would be in her best interests. If the court determines that the performance of an abortion would be in the best interests of the woman, it shall authorize a physician to perform the abortion.</w:t>
      </w:r>
    </w:p>
    <w:p w:rsidR="00A31137" w:rsidRPr="00A31137" w:rsidRDefault="00A31137" w:rsidP="00A31137">
      <w:r w:rsidRPr="00A31137">
        <w:t>1992, Planned Parenthood v. Casey, 505 U.S. 905</w:t>
      </w:r>
    </w:p>
    <w:p w:rsidR="00A31137" w:rsidRPr="00A31137" w:rsidRDefault="00A31137" w:rsidP="00A31137">
      <w:r w:rsidRPr="00A31137">
        <w:t>(e) Representation in proceedings.—The pregnant woman may participate in proceedings in the court on her own behalf and the court may appoint a guardian ad litem to assist her. The court shall, however, advise her that she has [505 U.S. 906] a right to court-appointed counsel, and shall provide her with such counsel unless she wishes to appear with private counsel or has knowingly and intelligently waived representation by counsel.</w:t>
      </w:r>
    </w:p>
    <w:p w:rsidR="00A31137" w:rsidRPr="00A31137" w:rsidRDefault="00A31137" w:rsidP="00A31137">
      <w:r w:rsidRPr="00A31137">
        <w:t>1992, Planned Parenthood v. Casey, 505 U.S. 906</w:t>
      </w:r>
    </w:p>
    <w:p w:rsidR="00A31137" w:rsidRPr="00A31137" w:rsidRDefault="00A31137" w:rsidP="00A31137">
      <w:r w:rsidRPr="00A31137">
        <w:t>§ 3207. Abortion Facilities.</w:t>
      </w:r>
    </w:p>
    <w:p w:rsidR="00A31137" w:rsidRPr="00A31137" w:rsidRDefault="00A31137" w:rsidP="00A31137">
      <w:r w:rsidRPr="00A31137">
        <w:t>1992, Planned Parenthood v. Casey, 505 U.S. 906</w:t>
      </w:r>
    </w:p>
    <w:p w:rsidR="00A31137" w:rsidRPr="00A31137" w:rsidRDefault="00A31137" w:rsidP="00A31137">
      <w:r w:rsidRPr="00A31137">
        <w:t>(b) Reports.—Within 30 days after the effective date of this chapter, every facility at which abortions are performed shall file, and update immediately upon any change, a report with the department, containing the following information:</w:t>
      </w:r>
    </w:p>
    <w:p w:rsidR="00A31137" w:rsidRPr="00A31137" w:rsidRDefault="00A31137" w:rsidP="00A31137">
      <w:r w:rsidRPr="00A31137">
        <w:t>1992, Planned Parenthood v. Casey, 505 U.S. 906</w:t>
      </w:r>
    </w:p>
    <w:p w:rsidR="00A31137" w:rsidRPr="00A31137" w:rsidRDefault="00A31137" w:rsidP="00A31137">
      <w:r w:rsidRPr="00A31137">
        <w:t>(1) Name and address of the facility.</w:t>
      </w:r>
    </w:p>
    <w:p w:rsidR="00A31137" w:rsidRPr="00A31137" w:rsidRDefault="00A31137" w:rsidP="00A31137">
      <w:r w:rsidRPr="00A31137">
        <w:t>1992, Planned Parenthood v. Casey, 505 U.S. 906</w:t>
      </w:r>
    </w:p>
    <w:p w:rsidR="00A31137" w:rsidRPr="00A31137" w:rsidRDefault="00A31137" w:rsidP="00A31137">
      <w:r w:rsidRPr="00A31137">
        <w:t>(2) Name and address of any parent, subsidiary or affiliated organizations, corporations or associations.</w:t>
      </w:r>
    </w:p>
    <w:p w:rsidR="00A31137" w:rsidRPr="00A31137" w:rsidRDefault="00A31137" w:rsidP="00A31137">
      <w:r w:rsidRPr="00A31137">
        <w:t>1992, Planned Parenthood v. Casey, 505 U.S. 906</w:t>
      </w:r>
    </w:p>
    <w:p w:rsidR="00A31137" w:rsidRPr="00A31137" w:rsidRDefault="00A31137" w:rsidP="00A31137">
      <w:r w:rsidRPr="00A31137">
        <w:t>(3) Name and address of any parent, subsidiary or affiliated organizations, corporations or associations having contemporaneous commonality of ownership, beneficial interest, directorship or officership with any other facility.</w:t>
      </w:r>
    </w:p>
    <w:p w:rsidR="00A31137" w:rsidRPr="00A31137" w:rsidRDefault="00A31137" w:rsidP="00A31137">
      <w:r w:rsidRPr="00A31137">
        <w:t>1992, Planned Parenthood v. Casey, 505 U.S. 906</w:t>
      </w:r>
    </w:p>
    <w:p w:rsidR="00A31137" w:rsidRPr="00A31137" w:rsidRDefault="00A31137" w:rsidP="00A31137">
      <w:r w:rsidRPr="00A31137">
        <w:t>The information contained in those reports which are filed pursuant to this subsection by facilities which receive State-appropriated funds during the 12-calendar-month period immediately preceding a request to inspect or copy such reports shall be deemed public information. Reports filed by facilities which do not receive State-appropriated funds shall only be available to law enforcement officials, the State Board of Medicine and the State Board of Osteopathic Medicine for use in the performance of their official duties. Any facility failing to comply with the provisions of this subsection shall be assessed by the department a fine of $500 for each day it is in violation hereof.</w:t>
      </w:r>
    </w:p>
    <w:p w:rsidR="00A31137" w:rsidRPr="00A31137" w:rsidRDefault="00A31137" w:rsidP="00A31137">
      <w:r w:rsidRPr="00A31137">
        <w:t>1992, Planned Parenthood v. Casey, 505 U.S. 906</w:t>
      </w:r>
    </w:p>
    <w:p w:rsidR="00A31137" w:rsidRPr="00A31137" w:rsidRDefault="00A31137" w:rsidP="00A31137">
      <w:r w:rsidRPr="00A31137">
        <w:t>§ 3208. Printed Information.</w:t>
      </w:r>
    </w:p>
    <w:p w:rsidR="00A31137" w:rsidRPr="00A31137" w:rsidRDefault="00A31137" w:rsidP="00A31137">
      <w:r w:rsidRPr="00A31137">
        <w:t>1992, Planned Parenthood v. Casey, 505 U.S. 906</w:t>
      </w:r>
    </w:p>
    <w:p w:rsidR="00A31137" w:rsidRPr="00A31137" w:rsidRDefault="00A31137" w:rsidP="00A31137">
      <w:r w:rsidRPr="00A31137">
        <w:t xml:space="preserve">(a) General Rule.—The department shall cause to be published in English, Spanish and Vietnamese, within 60 days after this chapter becomes law, and shall update on an annual basis, the following easily comprehensible printed materials: [505 U.S. 907] </w:t>
      </w:r>
    </w:p>
    <w:p w:rsidR="00A31137" w:rsidRPr="00A31137" w:rsidRDefault="00A31137" w:rsidP="00A31137">
      <w:r w:rsidRPr="00A31137">
        <w:t>1992, Planned Parenthood v. Casey, 505 U.S. 907</w:t>
      </w:r>
    </w:p>
    <w:p w:rsidR="00A31137" w:rsidRPr="00A31137" w:rsidRDefault="00A31137" w:rsidP="00A31137">
      <w:r w:rsidRPr="00A31137">
        <w:t>(1) Geographically indexed materials designed to inform the woman of public and private agencies and services available to assist a woman through pregnancy, upon childbirth and while the child is dependent, including adoption agencies, which shall include a comprehensive list of the agencies available, a description of the services they offer and a description of the manner, including telephone numbers, in which they might be contacted, or, at the option of the department, printed materials including a toll-free 24-hour-a-day telephone number which may be called to obtain, orally, such a list and description of agencies in the locality of the caller and of the services they offer. The materials shall provide information on the availability of medical assistance benefits for prenatal care, childbirth and neonatal care, and state that it is unlawful for any individual to coerce a woman to undergo abortion, that any physician who performs an abortion upon a woman without obtaining her informed consent or without according her a private medical consultation may be liable to her for damages in a civil action at law, that the father of a child is liable to assist in the support of that child, even in instances where the father has offered to pay for an abortion and that the law permits adoptive parents to pay costs of prenatal care, childbirth and neonatal care.</w:t>
      </w:r>
    </w:p>
    <w:p w:rsidR="00A31137" w:rsidRPr="00A31137" w:rsidRDefault="00A31137" w:rsidP="00A31137">
      <w:r w:rsidRPr="00A31137">
        <w:t>1992, Planned Parenthood v. Casey, 505 U.S. 907</w:t>
      </w:r>
    </w:p>
    <w:p w:rsidR="00A31137" w:rsidRPr="00A31137" w:rsidRDefault="00A31137" w:rsidP="00A31137">
      <w:r w:rsidRPr="00A31137">
        <w:t>(2) Materials designed to inform the woman of the probable anatomical and physiological characteristics of the unborn child at two-week gestational increments from fertilization to full term, including pictures representing the development of unborn children at two-week gestational increments, and any relevant information on the possibility of the unborn child's survival; provided that any such pictures or drawings must contain the dimensions of the fetus and must be realistic and appropriate for the woman's stage of pregnancy. The materials shall be objective, nonjudgmental and designed [505 U.S. 908] to convey only accurate scientific information about the unborn child at the various gestational ages. The material shall also contain objective information describing the methods of abortion procedures commonly employed, the medical risks commonly associated with each such procedure, and the medical risks commonly associated with carrying a child to term.</w:t>
      </w:r>
    </w:p>
    <w:p w:rsidR="00A31137" w:rsidRPr="00A31137" w:rsidRDefault="00A31137" w:rsidP="00A31137">
      <w:r w:rsidRPr="00A31137">
        <w:t>1992, Planned Parenthood v. Casey, 505 U.S. 908</w:t>
      </w:r>
    </w:p>
    <w:p w:rsidR="00A31137" w:rsidRPr="00A31137" w:rsidRDefault="00A31137" w:rsidP="00A31137">
      <w:r w:rsidRPr="00A31137">
        <w:t>(b) Format.—The materials shall be printed in a typeface large enough to be clearly legible.</w:t>
      </w:r>
    </w:p>
    <w:p w:rsidR="00A31137" w:rsidRPr="00A31137" w:rsidRDefault="00A31137" w:rsidP="00A31137">
      <w:r w:rsidRPr="00A31137">
        <w:t>1992, Planned Parenthood v. Casey, 505 U.S. 908</w:t>
      </w:r>
    </w:p>
    <w:p w:rsidR="00A31137" w:rsidRPr="00A31137" w:rsidRDefault="00A31137" w:rsidP="00A31137">
      <w:r w:rsidRPr="00A31137">
        <w:t>(c) Free distribution.—The materials required under this section shall be available at no cost from the department upon request and in appropriate number to any person, facility or hospital.</w:t>
      </w:r>
    </w:p>
    <w:p w:rsidR="00A31137" w:rsidRPr="00A31137" w:rsidRDefault="00A31137" w:rsidP="00A31137">
      <w:r w:rsidRPr="00A31137">
        <w:t>1992, Planned Parenthood v. Casey, 505 U.S. 908</w:t>
      </w:r>
    </w:p>
    <w:p w:rsidR="00A31137" w:rsidRPr="00A31137" w:rsidRDefault="00A31137" w:rsidP="00A31137">
      <w:r w:rsidRPr="00A31137">
        <w:t>§ 3209. Spousal Notice.</w:t>
      </w:r>
    </w:p>
    <w:p w:rsidR="00A31137" w:rsidRPr="00A31137" w:rsidRDefault="00A31137" w:rsidP="00A31137">
      <w:r w:rsidRPr="00A31137">
        <w:t>1992, Planned Parenthood v. Casey, 505 U.S. 908</w:t>
      </w:r>
    </w:p>
    <w:p w:rsidR="00A31137" w:rsidRPr="00A31137" w:rsidRDefault="00A31137" w:rsidP="00A31137">
      <w:r w:rsidRPr="00A31137">
        <w:t>(a) Spousal notice required.—In order to further the Commonwealth's interest in promoting the integrity of the marital relationship and to protect a spouse's interests in having children within marriage and in protecting the prenatal life of that spouse's child, no physician shall perform an abortion on a married woman, except as provided in subsections (b) and (c), unless he or she has received a signed statement, which need not be notarized, from the woman upon whom the abortion is to be performed, that she has notified her spouse that she is about to undergo an abortion. The statement shall bear a notice that any false statement made therein is punishable by law.</w:t>
      </w:r>
    </w:p>
    <w:p w:rsidR="00A31137" w:rsidRPr="00A31137" w:rsidRDefault="00A31137" w:rsidP="00A31137">
      <w:r w:rsidRPr="00A31137">
        <w:t>1992, Planned Parenthood v. Casey, 505 U.S. 908</w:t>
      </w:r>
    </w:p>
    <w:p w:rsidR="00A31137" w:rsidRPr="00A31137" w:rsidRDefault="00A31137" w:rsidP="00A31137">
      <w:r w:rsidRPr="00A31137">
        <w:t>(b) Exceptions.—The statement certifying that the notice required by subsection (a) has been given need not be furnished where the woman provides the physician a signed statement certifying at least one of the following:</w:t>
      </w:r>
    </w:p>
    <w:p w:rsidR="00A31137" w:rsidRPr="00A31137" w:rsidRDefault="00A31137" w:rsidP="00A31137">
      <w:r w:rsidRPr="00A31137">
        <w:t>1992, Planned Parenthood v. Casey, 505 U.S. 908</w:t>
      </w:r>
    </w:p>
    <w:p w:rsidR="00A31137" w:rsidRPr="00A31137" w:rsidRDefault="00A31137" w:rsidP="00A31137">
      <w:r w:rsidRPr="00A31137">
        <w:t>(1) Her spouse is not the father of the child.</w:t>
      </w:r>
    </w:p>
    <w:p w:rsidR="00A31137" w:rsidRPr="00A31137" w:rsidRDefault="00A31137" w:rsidP="00A31137">
      <w:r w:rsidRPr="00A31137">
        <w:t>1992, Planned Parenthood v. Casey, 505 U.S. 908</w:t>
      </w:r>
    </w:p>
    <w:p w:rsidR="00A31137" w:rsidRPr="00A31137" w:rsidRDefault="00A31137" w:rsidP="00A31137">
      <w:r w:rsidRPr="00A31137">
        <w:t xml:space="preserve">(2) Her spouse, after diligent effort, could not be located. [505 U.S. 909] </w:t>
      </w:r>
    </w:p>
    <w:p w:rsidR="00A31137" w:rsidRPr="00A31137" w:rsidRDefault="00A31137" w:rsidP="00A31137">
      <w:r w:rsidRPr="00A31137">
        <w:t>1992, Planned Parenthood v. Casey, 505 U.S. 909</w:t>
      </w:r>
    </w:p>
    <w:p w:rsidR="00A31137" w:rsidRPr="00A31137" w:rsidRDefault="00A31137" w:rsidP="00A31137">
      <w:r w:rsidRPr="00A31137">
        <w:t>(3) The pregnancy is a result of spousal sexual assault as described in section 3128 (relating to spousal sexual assault), which has been reported to a law enforcement agency having the requisite jurisdiction.</w:t>
      </w:r>
    </w:p>
    <w:p w:rsidR="00A31137" w:rsidRPr="00A31137" w:rsidRDefault="00A31137" w:rsidP="00A31137">
      <w:r w:rsidRPr="00A31137">
        <w:t>1992, Planned Parenthood v. Casey, 505 U.S. 909</w:t>
      </w:r>
    </w:p>
    <w:p w:rsidR="00A31137" w:rsidRPr="00A31137" w:rsidRDefault="00A31137" w:rsidP="00A31137">
      <w:r w:rsidRPr="00A31137">
        <w:t>(4) The woman has reason to believe that the furnishing of notice to her spouse is likely to result in the infliction of bodily injury upon her by her spouse or by another individual.</w:t>
      </w:r>
    </w:p>
    <w:p w:rsidR="00A31137" w:rsidRPr="00A31137" w:rsidRDefault="00A31137" w:rsidP="00A31137">
      <w:r w:rsidRPr="00A31137">
        <w:t>1992, Planned Parenthood v. Casey, 505 U.S. 909</w:t>
      </w:r>
    </w:p>
    <w:p w:rsidR="00A31137" w:rsidRPr="00A31137" w:rsidRDefault="00A31137" w:rsidP="00A31137">
      <w:r w:rsidRPr="00A31137">
        <w:t>Such statement need not be notarized, but shall bear a notice that any false statements made therein are punishable by law.</w:t>
      </w:r>
    </w:p>
    <w:p w:rsidR="00A31137" w:rsidRPr="00A31137" w:rsidRDefault="00A31137" w:rsidP="00A31137">
      <w:r w:rsidRPr="00A31137">
        <w:t>1992, Planned Parenthood v. Casey, 505 U.S. 909</w:t>
      </w:r>
    </w:p>
    <w:p w:rsidR="00A31137" w:rsidRPr="00A31137" w:rsidRDefault="00A31137" w:rsidP="00A31137">
      <w:r w:rsidRPr="00A31137">
        <w:t>(c) Medical emergency.—The requirements of subsection (a) shall not apply in case of a medical emergency.</w:t>
      </w:r>
    </w:p>
    <w:p w:rsidR="00A31137" w:rsidRPr="00A31137" w:rsidRDefault="00A31137" w:rsidP="00A31137">
      <w:r w:rsidRPr="00A31137">
        <w:t>1992, Planned Parenthood v. Casey, 505 U.S. 909</w:t>
      </w:r>
    </w:p>
    <w:p w:rsidR="00A31137" w:rsidRPr="00A31137" w:rsidRDefault="00A31137" w:rsidP="00A31137">
      <w:r w:rsidRPr="00A31137">
        <w:t>(d) Forms.—The department shall cause to be published, forms which may be utilized for purposes of providing the signed statements required by subsections (a) and (b). The department shall distribute an adequate supply of such forms to all abortion facilities in this Commonwealth.</w:t>
      </w:r>
    </w:p>
    <w:p w:rsidR="00A31137" w:rsidRPr="00A31137" w:rsidRDefault="00A31137" w:rsidP="00A31137">
      <w:r w:rsidRPr="00A31137">
        <w:t>1992, Planned Parenthood v. Casey, 505 U.S. 909</w:t>
      </w:r>
    </w:p>
    <w:p w:rsidR="00A31137" w:rsidRPr="00A31137" w:rsidRDefault="00A31137" w:rsidP="00A31137">
      <w:r w:rsidRPr="00A31137">
        <w:t>(e) Penalty; civil action.—Any physician who violates the provisions of this section is guilty of "unprofessional conduct," and his or her license for the practice of medicine and surgery shall be subject to suspension or revocation in accordance with procedures provided under the act of October 5, 1978 (P.L. 1109, No. 261), known as the Osteopathic Medical Practice Act, the act of December 20, 1985 (P.L. 457, No. 112), known as the Medical Practice Act of 1985, or their successor acts. In addition, any physician who knowingly violates the provisions of this section shall be civilly liable to the spouse who is the father of the aborted child for any damages caused thereby and for punitive damages in the amount of $5,000, and the court shall award a prevailing plaintiff a reasonable attorney fee as part of costs.</w:t>
      </w:r>
    </w:p>
    <w:p w:rsidR="00A31137" w:rsidRPr="00A31137" w:rsidRDefault="00A31137" w:rsidP="00A31137">
      <w:r w:rsidRPr="00A31137">
        <w:t>1992, Planned Parenthood v. Casey, 505 U.S. 909</w:t>
      </w:r>
    </w:p>
    <w:p w:rsidR="00A31137" w:rsidRPr="00A31137" w:rsidRDefault="00A31137" w:rsidP="00A31137">
      <w:r w:rsidRPr="00A31137">
        <w:t>§ 3214. Reporting.</w:t>
      </w:r>
    </w:p>
    <w:p w:rsidR="00A31137" w:rsidRPr="00A31137" w:rsidRDefault="00A31137" w:rsidP="00A31137">
      <w:r w:rsidRPr="00A31137">
        <w:t>1992, Planned Parenthood v. Casey, 505 U.S. 909</w:t>
      </w:r>
    </w:p>
    <w:p w:rsidR="00A31137" w:rsidRPr="00A31137" w:rsidRDefault="00A31137" w:rsidP="00A31137">
      <w:r w:rsidRPr="00A31137">
        <w:t>(a) General rule.—For the purpose of promotion of maternal health and life by adding to the sum of medical and [505 U.S. 910] public health knowledge through the compilation of relevant data, and to promote the Commonwealth's interest in protection of the unborn child, a report of each abortion performed shall be made to the department on forms prescribed by it. The report forms shall not identify the individual patient by name and shall include the following information:</w:t>
      </w:r>
    </w:p>
    <w:p w:rsidR="00A31137" w:rsidRPr="00A31137" w:rsidRDefault="00A31137" w:rsidP="00A31137">
      <w:r w:rsidRPr="00A31137">
        <w:t>1992, Planned Parenthood v. Casey, 505 U.S. 910</w:t>
      </w:r>
    </w:p>
    <w:p w:rsidR="00A31137" w:rsidRPr="00A31137" w:rsidRDefault="00A31137" w:rsidP="00A31137">
      <w:r w:rsidRPr="00A31137">
        <w:t>(1) Identification of the physician who performed the abortion, the concurring physician as required by section 3211(c)(2) (relating to abortion on unborn child of 24 or more weeks gestational age), the second physician as required by section 3211(c)(5) and the facility where the abortion was performed and of the referring physician, agency or service, if any.</w:t>
      </w:r>
    </w:p>
    <w:p w:rsidR="00A31137" w:rsidRPr="00A31137" w:rsidRDefault="00A31137" w:rsidP="00A31137">
      <w:r w:rsidRPr="00A31137">
        <w:t>1992, Planned Parenthood v. Casey, 505 U.S. 910</w:t>
      </w:r>
    </w:p>
    <w:p w:rsidR="00A31137" w:rsidRPr="00A31137" w:rsidRDefault="00A31137" w:rsidP="00A31137">
      <w:r w:rsidRPr="00A31137">
        <w:t>(2) The county and state in which the woman resides.</w:t>
      </w:r>
    </w:p>
    <w:p w:rsidR="00A31137" w:rsidRPr="00A31137" w:rsidRDefault="00A31137" w:rsidP="00A31137">
      <w:r w:rsidRPr="00A31137">
        <w:t>1992, Planned Parenthood v. Casey, 505 U.S. 910</w:t>
      </w:r>
    </w:p>
    <w:p w:rsidR="00A31137" w:rsidRPr="00A31137" w:rsidRDefault="00A31137" w:rsidP="00A31137">
      <w:r w:rsidRPr="00A31137">
        <w:t>(3) The woman's age.</w:t>
      </w:r>
    </w:p>
    <w:p w:rsidR="00A31137" w:rsidRPr="00A31137" w:rsidRDefault="00A31137" w:rsidP="00A31137">
      <w:r w:rsidRPr="00A31137">
        <w:t>1992, Planned Parenthood v. Casey, 505 U.S. 910</w:t>
      </w:r>
    </w:p>
    <w:p w:rsidR="00A31137" w:rsidRPr="00A31137" w:rsidRDefault="00A31137" w:rsidP="00A31137">
      <w:r w:rsidRPr="00A31137">
        <w:t>(4) The number of prior pregnancies and prior abortions of the woman.</w:t>
      </w:r>
    </w:p>
    <w:p w:rsidR="00A31137" w:rsidRPr="00A31137" w:rsidRDefault="00A31137" w:rsidP="00A31137">
      <w:r w:rsidRPr="00A31137">
        <w:t>1992, Planned Parenthood v. Casey, 505 U.S. 910</w:t>
      </w:r>
    </w:p>
    <w:p w:rsidR="00A31137" w:rsidRPr="00A31137" w:rsidRDefault="00A31137" w:rsidP="00A31137">
      <w:r w:rsidRPr="00A31137">
        <w:t>(5) The gestational age of the unborn child at the time of the abortion.</w:t>
      </w:r>
    </w:p>
    <w:p w:rsidR="00A31137" w:rsidRPr="00A31137" w:rsidRDefault="00A31137" w:rsidP="00A31137">
      <w:r w:rsidRPr="00A31137">
        <w:t>1992, Planned Parenthood v. Casey, 505 U.S. 910</w:t>
      </w:r>
    </w:p>
    <w:p w:rsidR="00A31137" w:rsidRPr="00A31137" w:rsidRDefault="00A31137" w:rsidP="00A31137">
      <w:r w:rsidRPr="00A31137">
        <w:t>(6) The type of procedure performed or prescribed and the date of the abortion.</w:t>
      </w:r>
    </w:p>
    <w:p w:rsidR="00A31137" w:rsidRPr="00A31137" w:rsidRDefault="00A31137" w:rsidP="00A31137">
      <w:r w:rsidRPr="00A31137">
        <w:t>1992, Planned Parenthood v. Casey, 505 U.S. 910</w:t>
      </w:r>
    </w:p>
    <w:p w:rsidR="00A31137" w:rsidRPr="00A31137" w:rsidRDefault="00A31137" w:rsidP="00A31137">
      <w:r w:rsidRPr="00A31137">
        <w:t>(7) Preexisting medical conditions of the woman which would complicate pregnancy, if any, and if known, any medical complication which resulted from the abortion itself.</w:t>
      </w:r>
    </w:p>
    <w:p w:rsidR="00A31137" w:rsidRPr="00A31137" w:rsidRDefault="00A31137" w:rsidP="00A31137">
      <w:r w:rsidRPr="00A31137">
        <w:t>1992, Planned Parenthood v. Casey, 505 U.S. 910</w:t>
      </w:r>
    </w:p>
    <w:p w:rsidR="00A31137" w:rsidRPr="00A31137" w:rsidRDefault="00A31137" w:rsidP="00A31137">
      <w:r w:rsidRPr="00A31137">
        <w:t>(8) The basis for the medical judgment of the physician who performed the abortion that the abortion was necessary to prevent either the death of the pregnant woman or he substantial and irreversible impairment of a major bodily function of the woman, where an abortion has been performed pursuant to section 3211(b)(1).</w:t>
      </w:r>
    </w:p>
    <w:p w:rsidR="00A31137" w:rsidRPr="00A31137" w:rsidRDefault="00A31137" w:rsidP="00A31137">
      <w:r w:rsidRPr="00A31137">
        <w:t>1992, Planned Parenthood v. Casey, 505 U.S. 910</w:t>
      </w:r>
    </w:p>
    <w:p w:rsidR="00A31137" w:rsidRPr="00A31137" w:rsidRDefault="00A31137" w:rsidP="00A31137">
      <w:r w:rsidRPr="00A31137">
        <w:t>(9) The weight of the aborted child for any abortion performed pursuant to section 3211(b)(1).</w:t>
      </w:r>
    </w:p>
    <w:p w:rsidR="00A31137" w:rsidRPr="00A31137" w:rsidRDefault="00A31137" w:rsidP="00A31137">
      <w:r w:rsidRPr="00A31137">
        <w:t>1992, Planned Parenthood v. Casey, 505 U.S. 910</w:t>
      </w:r>
    </w:p>
    <w:p w:rsidR="00A31137" w:rsidRPr="00A31137" w:rsidRDefault="00A31137" w:rsidP="00A31137">
      <w:r w:rsidRPr="00A31137">
        <w:t xml:space="preserve">(10) Basis for any medical judgment that a medical emergency existed which excused the physician from compliance with any provision of this chapter. [505 U.S. 911] </w:t>
      </w:r>
    </w:p>
    <w:p w:rsidR="00A31137" w:rsidRPr="00A31137" w:rsidRDefault="00A31137" w:rsidP="00A31137">
      <w:r w:rsidRPr="00A31137">
        <w:t>1992, Planned Parenthood v. Casey, 505 U.S. 911</w:t>
      </w:r>
    </w:p>
    <w:p w:rsidR="00A31137" w:rsidRPr="00A31137" w:rsidRDefault="00A31137" w:rsidP="00A31137">
      <w:r w:rsidRPr="00A31137">
        <w:t>(11) The information required to be reported under section 3210(a) (relating to determination of gestational age).</w:t>
      </w:r>
    </w:p>
    <w:p w:rsidR="00A31137" w:rsidRPr="00A31137" w:rsidRDefault="00A31137" w:rsidP="00A31137">
      <w:r w:rsidRPr="00A31137">
        <w:t>1992, Planned Parenthood v. Casey, 505 U.S. 911</w:t>
      </w:r>
    </w:p>
    <w:p w:rsidR="00A31137" w:rsidRPr="00A31137" w:rsidRDefault="00A31137" w:rsidP="00A31137">
      <w:r w:rsidRPr="00A31137">
        <w:t>(12) Whether the abortion was performed upon a married woman and, if so, whether notice to her spouse was given. If no notice to her spouse was given, the report shall also indicate the reason for failure to provide notice.</w:t>
      </w:r>
    </w:p>
    <w:p w:rsidR="00A31137" w:rsidRPr="00A31137" w:rsidRDefault="00A31137" w:rsidP="00A31137">
      <w:r w:rsidRPr="00A31137">
        <w:t>1992, Planned Parenthood v. Casey, 505 U.S. 911</w:t>
      </w:r>
    </w:p>
    <w:p w:rsidR="00A31137" w:rsidRPr="00A31137" w:rsidRDefault="00A31137" w:rsidP="00A31137">
      <w:r w:rsidRPr="00A31137">
        <w:t>(f) Report by facility.—Every facility in which an abortion is performed within this Commonwealth during any quarter year shall file with the department a report showing the total number of abortions performed within the hospital or other facility during that quarter year. This report shall also show the total abortions performed in each trimester of pregnancy. Any report shall be available for public inspection and copying only if the facility receives State-appropriated funds within the 12-calendar-month period immediately preceding the filing of the report. These reports shall be submitted on a form prescribed by the department which will enable a facility to indicate whether or not it is receiving State-appropriated funds: If the facility indicates on the form that it is not receiving State-appropriated funds, the department shall regard its report as confidential unless it receives other evidence which causes it to conclude that the facility receives State-appropriated funds.</w:t>
      </w:r>
    </w:p>
    <w:p w:rsidR="00A31137" w:rsidRPr="00A31137" w:rsidRDefault="00A31137" w:rsidP="00A31137">
      <w:r w:rsidRPr="00A31137">
        <w:t>STEVENS, J., concurring and dissenting</w:t>
      </w:r>
    </w:p>
    <w:p w:rsidR="00A31137" w:rsidRPr="00A31137" w:rsidRDefault="00A31137" w:rsidP="00A31137">
      <w:r w:rsidRPr="00A31137">
        <w:t>1992, Planned Parenthood v. Casey, 505 U.S. 911</w:t>
      </w:r>
    </w:p>
    <w:p w:rsidR="00A31137" w:rsidRPr="00A31137" w:rsidRDefault="00A31137" w:rsidP="00A31137">
      <w:r w:rsidRPr="00A31137">
        <w:t>JUSTICE STEVENS, concurring in part and dissenting in part.</w:t>
      </w:r>
    </w:p>
    <w:p w:rsidR="00A31137" w:rsidRPr="00A31137" w:rsidRDefault="00A31137" w:rsidP="00A31137">
      <w:r w:rsidRPr="00A31137">
        <w:t>1992, Planned Parenthood v. Casey, 505 U.S. 911</w:t>
      </w:r>
    </w:p>
    <w:p w:rsidR="00A31137" w:rsidRPr="00A31137" w:rsidRDefault="00A31137" w:rsidP="00A31137">
      <w:r w:rsidRPr="00A31137">
        <w:t xml:space="preserve">The portions of the Court's opinion that I have joined are more important than those with which I disagree. I shall therefore first comment on significant areas of agreement, and then explain the limited character of my disagreement. [505 U.S. 912] </w:t>
      </w:r>
    </w:p>
    <w:p w:rsidR="00A31137" w:rsidRPr="00A31137" w:rsidRDefault="00A31137" w:rsidP="00A31137">
      <w:r w:rsidRPr="00A31137">
        <w:t>I</w:t>
      </w:r>
    </w:p>
    <w:p w:rsidR="00A31137" w:rsidRPr="00A31137" w:rsidRDefault="00A31137" w:rsidP="00A31137">
      <w:r w:rsidRPr="00A31137">
        <w:t>1992, Planned Parenthood v. Casey, 505 U.S. 912</w:t>
      </w:r>
    </w:p>
    <w:p w:rsidR="00A31137" w:rsidRPr="00A31137" w:rsidRDefault="00A31137" w:rsidP="00A31137">
      <w:r w:rsidRPr="00A31137">
        <w:t>The Court is unquestionably correct in concluding that the doctrine of stare decisis has controlling significance in a case of this kind, notwithstanding an individual justice's concerns about the merits. 1 The central holding of Roe v. Wade, 410 U.S. 113 (1973), has been a "part of our law" for almost two decades. Planned Parenthood of Central Mo. v. Danforth, 428 U.S. 52,  101 (1976) (STEVENS, J., concurring in part and dissenting in part). It was a natural sequel to the protection of individual liberty established in Griswold v. Connecticut, 381 U.S. 479 (1965). See also Carey v. Population Services Int'l, 431 U.S. 678,  687,  702 (1977) (WHITE, J., concurring in part and concurring in result). The societal costs of overruling Roe at this late date would be enormous. Roe is an integral part of a correct understanding of both the concept of liberty and the basic equality of men and women.</w:t>
      </w:r>
    </w:p>
    <w:p w:rsidR="00A31137" w:rsidRPr="00A31137" w:rsidRDefault="00A31137" w:rsidP="00A31137">
      <w:r w:rsidRPr="00A31137">
        <w:t>1992, Planned Parenthood v. Casey, 505 U.S. 912</w:t>
      </w:r>
    </w:p>
    <w:p w:rsidR="00A31137" w:rsidRPr="00A31137" w:rsidRDefault="00A31137" w:rsidP="00A31137">
      <w:r w:rsidRPr="00A31137">
        <w:t>Stare decisis also provides a sufficient basis for my agreement with the joint opinion's reaffirmation of Roe's post-viability analysis. Specifically, I accept the proposition that,</w:t>
      </w:r>
    </w:p>
    <w:p w:rsidR="00A31137" w:rsidRPr="00A31137" w:rsidRDefault="00A31137" w:rsidP="00A31137">
      <w:r w:rsidRPr="00A31137">
        <w:t>1992, Planned Parenthood v. Casey, 505 U.S. 912</w:t>
      </w:r>
    </w:p>
    <w:p w:rsidR="00A31137" w:rsidRPr="00A31137" w:rsidRDefault="00A31137" w:rsidP="00A31137">
      <w:r w:rsidRPr="00A31137">
        <w:t>[i]f the State is interested in protecting fetal life after viability, it may go so far as to proscribe abortion during that period, except when it is necessary to preserve the life or health of the mother.</w:t>
      </w:r>
    </w:p>
    <w:p w:rsidR="00A31137" w:rsidRPr="00A31137" w:rsidRDefault="00A31137" w:rsidP="00A31137">
      <w:r w:rsidRPr="00A31137">
        <w:t>1992, Planned Parenthood v. Casey, 505 U.S. 912</w:t>
      </w:r>
    </w:p>
    <w:p w:rsidR="00A31137" w:rsidRPr="00A31137" w:rsidRDefault="00A31137" w:rsidP="00A31137">
      <w:r w:rsidRPr="00A31137">
        <w:t>410 U.S. at 163-164; see ante at  879.</w:t>
      </w:r>
    </w:p>
    <w:p w:rsidR="00A31137" w:rsidRPr="00A31137" w:rsidRDefault="00A31137" w:rsidP="00A31137">
      <w:r w:rsidRPr="00A31137">
        <w:t>1992, Planned Parenthood v. Casey, 505 U.S. 912</w:t>
      </w:r>
    </w:p>
    <w:p w:rsidR="00A31137" w:rsidRPr="00A31137" w:rsidRDefault="00A31137" w:rsidP="00A31137">
      <w:r w:rsidRPr="00A31137">
        <w:t>I also accept what is implicit in the Court's analysis, namely, a reaffirmation of Roe's explanation of why the State's obligation to protect the life or health of the mother [505 U.S. 913] must take precedence over any duty to the unborn. The Court in Roe carefully considered, and rejected, the State's argument "that the fetus is a 'person' within the language and meaning of the Fourteenth Amendment." 410 U.S. at 156. After analyzing the usage of "person" in the Constitution, the Court concluded that that word "has application only postnatally." Id. at  157. Commenting on the contingent property interests of the unborn that are generally represented by guardians ad litem, the Court noted:</w:t>
      </w:r>
    </w:p>
    <w:p w:rsidR="00A31137" w:rsidRPr="00A31137" w:rsidRDefault="00A31137" w:rsidP="00A31137">
      <w:r w:rsidRPr="00A31137">
        <w:t>1992, Planned Parenthood v. Casey, 505 U.S. 913</w:t>
      </w:r>
    </w:p>
    <w:p w:rsidR="00A31137" w:rsidRPr="00A31137" w:rsidRDefault="00A31137" w:rsidP="00A31137">
      <w:r w:rsidRPr="00A31137">
        <w:t>Perfection of the interests involved, again, has generally been contingent upon live birth. In short, the unborn have never been recognized in the law as persons in the whole sense.</w:t>
      </w:r>
    </w:p>
    <w:p w:rsidR="00A31137" w:rsidRPr="00A31137" w:rsidRDefault="00A31137" w:rsidP="00A31137">
      <w:r w:rsidRPr="00A31137">
        <w:t>1992, Planned Parenthood v. Casey, 505 U.S. 913</w:t>
      </w:r>
    </w:p>
    <w:p w:rsidR="00A31137" w:rsidRPr="00A31137" w:rsidRDefault="00A31137" w:rsidP="00A31137">
      <w:r w:rsidRPr="00A31137">
        <w:t>Id. at  162. Accordingly, an abortion is not "the termination of life entitled to Fourteenth Amendment protection." Id. at  159. From this holding, there was no dissent, see id. at  173; indeed, no member of the Court has ever questioned this fundamental proposition. Thus, as a matter of federal constitutional law, a developing organism that is not yet a "person" does not have what is sometimes described as a "right to life." 2 This has been and, by the Court's holding today, [505 U.S. 914] remains, a fundamental premise of our constitutional law governing reproductive autonomy.</w:t>
      </w:r>
    </w:p>
    <w:p w:rsidR="00A31137" w:rsidRPr="00A31137" w:rsidRDefault="00A31137" w:rsidP="00A31137">
      <w:r w:rsidRPr="00A31137">
        <w:t>II</w:t>
      </w:r>
    </w:p>
    <w:p w:rsidR="00A31137" w:rsidRPr="00A31137" w:rsidRDefault="00A31137" w:rsidP="00A31137">
      <w:r w:rsidRPr="00A31137">
        <w:t>1992, Planned Parenthood v. Casey, 505 U.S. 914</w:t>
      </w:r>
    </w:p>
    <w:p w:rsidR="00A31137" w:rsidRPr="00A31137" w:rsidRDefault="00A31137" w:rsidP="00A31137">
      <w:r w:rsidRPr="00A31137">
        <w:t>My disagreement with the joint opinion begins with its understanding of the trimester framework established in Roe. Contrary to the suggestion of the joint opinion, ante at  876, it is not a "contradiction" to recognize that the State may have a legitimate interest in potential human life and, at the same time, to conclude that that interest does not justify the regulation of abortion before viability (although other interests, such as maternal health, may). The fact that the State's interest is legitimate does not tell us when, if ever, that interest outweighs the pregnant woman's interest in personal liberty. It is appropriate, therefore, to consider more carefully the nature of the interests at stake.</w:t>
      </w:r>
    </w:p>
    <w:p w:rsidR="00A31137" w:rsidRPr="00A31137" w:rsidRDefault="00A31137" w:rsidP="00A31137">
      <w:r w:rsidRPr="00A31137">
        <w:t>1992, Planned Parenthood v. Casey, 505 U.S. 914</w:t>
      </w:r>
    </w:p>
    <w:p w:rsidR="00A31137" w:rsidRPr="00A31137" w:rsidRDefault="00A31137" w:rsidP="00A31137">
      <w:r w:rsidRPr="00A31137">
        <w:t>First, it is clear that, in order to be legitimate, the State's interest must be secular; consistent with the First Amendment, the State may not promote a theological or sectarian interest. See Thornburgh v. American College of Obstetricians and Gynecologists, 476 U.S. 747,  778 (1986) (STEVENS, J., concurring); see generally Webster v. Reproductive Health Services, 492 U.S. 490, 563-572 (1989) (STEVENS, J., concurring in part and dissenting in part). Moreover, as discussed above, the state interest in potential human life is not an interest in loco parentis, for the fetus is not a person.</w:t>
      </w:r>
    </w:p>
    <w:p w:rsidR="00A31137" w:rsidRPr="00A31137" w:rsidRDefault="00A31137" w:rsidP="00A31137">
      <w:r w:rsidRPr="00A31137">
        <w:t>1992, Planned Parenthood v. Casey, 505 U.S. 914</w:t>
      </w:r>
    </w:p>
    <w:p w:rsidR="00A31137" w:rsidRPr="00A31137" w:rsidRDefault="00A31137" w:rsidP="00A31137">
      <w:r w:rsidRPr="00A31137">
        <w:t>Identifying the State's interests—which the States rarely articulate with any precision—makes clear that the interest in protecting potential life is not grounded in the Constitution. It is, instead, an indirect interest supported by both humanitarian and pragmatic concerns. Many of our citizens believe that any abortion reflects an unacceptable disrespect for potential human life, and that the performance of more [505 U.S. 915] than a million abortions each year is intolerable; many find third-trimester abortions performed when the fetus is approaching personhood particularly offensive. The State has a legitimate interest in minimizing such offense. The State may also have a broader interest in expanding the population, 3 believing society would benefit from the services of additional productive citizens—or that the potential human lives might include the occasional Mozart or Curie. These are the kinds of concerns that comprise the State's interest in potential human life.</w:t>
      </w:r>
    </w:p>
    <w:p w:rsidR="00A31137" w:rsidRPr="00A31137" w:rsidRDefault="00A31137" w:rsidP="00A31137">
      <w:r w:rsidRPr="00A31137">
        <w:t>1992, Planned Parenthood v. Casey, 505 U.S. 915</w:t>
      </w:r>
    </w:p>
    <w:p w:rsidR="00A31137" w:rsidRPr="00A31137" w:rsidRDefault="00A31137" w:rsidP="00A31137">
      <w:r w:rsidRPr="00A31137">
        <w:t>In counterpoise is the woman's constitutional interest in liberty. One aspect of this liberty is a right to bodily integrity, a right to control one's person. See e.g., Rochin v. California, 342 U.S. 165 (1952); Skinner v. Oklahoma, 316 U.S. 535 (1942). This right is neutral on the question of abortion: the Constitution would be equally offended by an absolute requirement that all women undergo abortions as by an absolute prohibition on abortions. "Our whole constitutional heritage rebels at the thought of giving government the power to control men's minds." Stanley v. Georgia, 394 U.S. 557,  565 (1969). The same holds true for the power to control women's bodies.</w:t>
      </w:r>
    </w:p>
    <w:p w:rsidR="00A31137" w:rsidRPr="00A31137" w:rsidRDefault="00A31137" w:rsidP="00A31137">
      <w:r w:rsidRPr="00A31137">
        <w:t>1992, Planned Parenthood v. Casey, 505 U.S. 915</w:t>
      </w:r>
    </w:p>
    <w:p w:rsidR="00A31137" w:rsidRPr="00A31137" w:rsidRDefault="00A31137" w:rsidP="00A31137">
      <w:r w:rsidRPr="00A31137">
        <w:t>The woman's constitutional liberty interest also involves her freedom to decide matters of the highest privacy and the most personal nature. Cf. Whalen v. Roe, 429 U.S. 589, [505 U.S. 916] 598-600 (1977). A woman considering abortion faces</w:t>
      </w:r>
    </w:p>
    <w:p w:rsidR="00A31137" w:rsidRPr="00A31137" w:rsidRDefault="00A31137" w:rsidP="00A31137">
      <w:r w:rsidRPr="00A31137">
        <w:t>1992, Planned Parenthood v. Casey, 505 U.S. 916</w:t>
      </w:r>
    </w:p>
    <w:p w:rsidR="00A31137" w:rsidRPr="00A31137" w:rsidRDefault="00A31137" w:rsidP="00A31137">
      <w:r w:rsidRPr="00A31137">
        <w:t>a difficult choice having serious and personal consequences of major importance to her own future—perhaps to the salvation of her own immortal soul.</w:t>
      </w:r>
    </w:p>
    <w:p w:rsidR="00A31137" w:rsidRPr="00A31137" w:rsidRDefault="00A31137" w:rsidP="00A31137">
      <w:r w:rsidRPr="00A31137">
        <w:t>1992, Planned Parenthood v. Casey, 505 U.S. 916</w:t>
      </w:r>
    </w:p>
    <w:p w:rsidR="00A31137" w:rsidRPr="00A31137" w:rsidRDefault="00A31137" w:rsidP="00A31137">
      <w:r w:rsidRPr="00A31137">
        <w:t>Thornburgh, 476 U.S. at  781. The authority to make such traumatic and yet empowering decisions is an element of basic human dignity. As the joint opinion so eloquently demonstrates, a woman's decision to terminate her pregnancy is nothing less than a matter of conscience.</w:t>
      </w:r>
    </w:p>
    <w:p w:rsidR="00A31137" w:rsidRPr="00A31137" w:rsidRDefault="00A31137" w:rsidP="00A31137">
      <w:r w:rsidRPr="00A31137">
        <w:t>1992, Planned Parenthood v. Casey, 505 U.S. 916</w:t>
      </w:r>
    </w:p>
    <w:p w:rsidR="00A31137" w:rsidRPr="00A31137" w:rsidRDefault="00A31137" w:rsidP="00A31137">
      <w:r w:rsidRPr="00A31137">
        <w:t>Weighing the State's interest in potential life and the woman's liberty interest, I agree with the joint opinion that the State may "'expres[s] a preference for normal childbirth,'" that the State may take steps to ensure that a woman's choice "is thoughtful and informed," and that</w:t>
      </w:r>
    </w:p>
    <w:p w:rsidR="00A31137" w:rsidRPr="00A31137" w:rsidRDefault="00A31137" w:rsidP="00A31137">
      <w:r w:rsidRPr="00A31137">
        <w:t>1992, Planned Parenthood v. Casey, 505 U.S. 916</w:t>
      </w:r>
    </w:p>
    <w:p w:rsidR="00A31137" w:rsidRPr="00A31137" w:rsidRDefault="00A31137" w:rsidP="00A31137">
      <w:r w:rsidRPr="00A31137">
        <w:t>States are free to enact laws to provide a reasonable framework for a woman to make a decision that has such profound and lasting meaning.</w:t>
      </w:r>
    </w:p>
    <w:p w:rsidR="00A31137" w:rsidRPr="00A31137" w:rsidRDefault="00A31137" w:rsidP="00A31137">
      <w:r w:rsidRPr="00A31137">
        <w:t>1992, Planned Parenthood v. Casey, 505 U.S. 916</w:t>
      </w:r>
    </w:p>
    <w:p w:rsidR="00A31137" w:rsidRPr="00A31137" w:rsidRDefault="00A31137" w:rsidP="00A31137">
      <w:r w:rsidRPr="00A31137">
        <w:t>Ante at 872-873. Serious questions arise, however, when a State attempts to "persuade the woman to choose childbirth over abortion." Ante at  878. Decisional autonomy must limit the State's power to inject into a woman's most personal deliberations its own views of what is best. The State may promote its preferences by funding childbirth, by creating and maintaining alternatives to abortion, and by espousing the virtues of family; but it must respect the individual's freedom to make such judgments.</w:t>
      </w:r>
    </w:p>
    <w:p w:rsidR="00A31137" w:rsidRPr="00A31137" w:rsidRDefault="00A31137" w:rsidP="00A31137">
      <w:r w:rsidRPr="00A31137">
        <w:t>1992, Planned Parenthood v. Casey, 505 U.S. 916</w:t>
      </w:r>
    </w:p>
    <w:p w:rsidR="00A31137" w:rsidRPr="00A31137" w:rsidRDefault="00A31137" w:rsidP="00A31137">
      <w:r w:rsidRPr="00A31137">
        <w:t>This theme runs throughout our decisions concerning reproductive freedom. In general, Roe's requirement that restrictions on abortions before viability be justified by the State's interest in maternal health has prevented States from interjecting regulations designed to influence a woman's decision. Thus, we have upheld regulations of abortion that are not efforts to sway or direct a woman's choice, but rather are efforts to enhance the deliberative quality of that decision or are neutral regulations on the health aspects of her decision. We have, for example, upheld regulations requiring [505 U.S. 917] written informed consent, see Planned Parenthood of Central Mo. v. Danforth, 428 U.S. 52 (1976); limited recordkeeping and reporting, see ibid.; and pathology reports, see Planned Parenthood Assn. of Kansas City, Mo., Inc. v. Ashcroft, 462 U.S. 476 (1983); as well as various licensing and qualification provisions, see e.g., Roe, 410 U.S. at  150; Simopoulos v. Virginia, 462 U.S. 506 (1983). Conversely, we have consistently rejected state efforts to prejudice a woman's choice, either by limiting the information available to her, see Bigelow v. Virginia, 421 U.S. 809 (1975), or by "requir[ing] the delivery of information designed 'to influence the [505 U.S. 918] woman's informed choice between abortion or childbirth.'" Thornburgh, 476 U.S. at  760; see also Akron v. Akron Center for Reproductive Health, Inc., 462 U.S. 416, 442-449 (1983).</w:t>
      </w:r>
    </w:p>
    <w:p w:rsidR="00A31137" w:rsidRPr="00A31137" w:rsidRDefault="00A31137" w:rsidP="00A31137">
      <w:r w:rsidRPr="00A31137">
        <w:t>1992, Planned Parenthood v. Casey, 505 U.S. 918</w:t>
      </w:r>
    </w:p>
    <w:p w:rsidR="00A31137" w:rsidRPr="00A31137" w:rsidRDefault="00A31137" w:rsidP="00A31137">
      <w:r w:rsidRPr="00A31137">
        <w:t>In my opinion, the principles established in this long line of cases and the wisdom reflected in Justice Powell's opinion for the Court in Akron (and followed by the Court just six years ago in Thornburgh) should govern our decision today. Under these principles, §§ 3205(a)(2)(i)-(iii) of the Pennsylvania statute are unconstitutional. Those sections require a physician or counselor to provide the woman with a range of materials clearly designed to persuade her to choose not to undergo the abortion. While the State is free, pursuant to § 3208 of the Pennsylvania law, to produce and disseminate such material, the State may not inject such information into the woman's deliberations just as she is weighing such an important choice.</w:t>
      </w:r>
    </w:p>
    <w:p w:rsidR="00A31137" w:rsidRPr="00A31137" w:rsidRDefault="00A31137" w:rsidP="00A31137">
      <w:r w:rsidRPr="00A31137">
        <w:t>1992, Planned Parenthood v. Casey, 505 U.S. 918</w:t>
      </w:r>
    </w:p>
    <w:p w:rsidR="00A31137" w:rsidRPr="00A31137" w:rsidRDefault="00A31137" w:rsidP="00A31137">
      <w:r w:rsidRPr="00A31137">
        <w:t>Under this same analysis, §§ 3205(a)(1)(i) and (iii) of the Pennsylvania statute are constitutional. Those sections, which require the physician to inform a woman of the nature and risks of the abortion procedure and the medical risks of carrying to term, are neutral requirements comparable to those imposed in other medical procedures. Those sections indicate no effort by the State to influence the woman's choice in any way. If anything, such requirements enhance, rather than skew, the woman's decisionmaking.</w:t>
      </w:r>
    </w:p>
    <w:p w:rsidR="00A31137" w:rsidRPr="00A31137" w:rsidRDefault="00A31137" w:rsidP="00A31137">
      <w:r w:rsidRPr="00A31137">
        <w:t>III</w:t>
      </w:r>
    </w:p>
    <w:p w:rsidR="00A31137" w:rsidRPr="00A31137" w:rsidRDefault="00A31137" w:rsidP="00A31137">
      <w:r w:rsidRPr="00A31137">
        <w:t>1992, Planned Parenthood v. Casey, 505 U.S. 918</w:t>
      </w:r>
    </w:p>
    <w:p w:rsidR="00A31137" w:rsidRPr="00A31137" w:rsidRDefault="00A31137" w:rsidP="00A31137">
      <w:r w:rsidRPr="00A31137">
        <w:t>The 24-hour waiting period required by §§ 3205(a)(1)-(2) of the Pennsylvania statute raises even more serious concerns. Such a requirement arguably furthers the State's interests in two ways, neither of which is constitutionally permissible.</w:t>
      </w:r>
    </w:p>
    <w:p w:rsidR="00A31137" w:rsidRPr="00A31137" w:rsidRDefault="00A31137" w:rsidP="00A31137">
      <w:r w:rsidRPr="00A31137">
        <w:t>1992, Planned Parenthood v. Casey, 505 U.S. 918</w:t>
      </w:r>
    </w:p>
    <w:p w:rsidR="00A31137" w:rsidRPr="00A31137" w:rsidRDefault="00A31137" w:rsidP="00A31137">
      <w:r w:rsidRPr="00A31137">
        <w:t>First, it may be argued that the 24-hour delay is justified by the mere fact that it is likely to reduce the number of abortions, thus furthering the State's interest in potential life. But such an argument would justify any form of coercion that placed an obstacle in the woman's path. The State cannot further its interests by simply wearing down the ability of the pregnant woman to exercise her constitutional right.</w:t>
      </w:r>
    </w:p>
    <w:p w:rsidR="00A31137" w:rsidRPr="00A31137" w:rsidRDefault="00A31137" w:rsidP="00A31137">
      <w:r w:rsidRPr="00A31137">
        <w:t>1992, Planned Parenthood v. Casey, 505 U.S. 918</w:t>
      </w:r>
    </w:p>
    <w:p w:rsidR="00A31137" w:rsidRPr="00A31137" w:rsidRDefault="00A31137" w:rsidP="00A31137">
      <w:r w:rsidRPr="00A31137">
        <w:t>Second, it can more reasonably be argued that the 24-hour delay furthers the State's interest in ensuring that the woman's decision is informed and thoughtful. But there is no evidence that the mandated delay benefits women, or that it is necessary to enable the physician to convey any relevant information to the patient. The mandatory delay thus appears to rest on outmoded and unacceptable assumptions about the decisionmaking capacity of women. While there are well-established and consistently maintained reasons for the State to view with skepticism the ability of minors to make decisions, see Hodgson v. Minnesota, 497 U.S. 417,  449 (1990), 4 none of those reasons applies to an [505 U.S. 919] adult woman's decisionmaking ability. Just as we have left behind the belief that a woman must consult her husband before undertaking serious matters, see ante at 895-898, so we must reject the notion that a woman is less capable of deciding matters of gravity. Cf. Reed v. Reed, 404 U.S. 71 (1971).</w:t>
      </w:r>
    </w:p>
    <w:p w:rsidR="00A31137" w:rsidRPr="00A31137" w:rsidRDefault="00A31137" w:rsidP="00A31137">
      <w:r w:rsidRPr="00A31137">
        <w:t>1992, Planned Parenthood v. Casey, 505 U.S. 919</w:t>
      </w:r>
    </w:p>
    <w:p w:rsidR="00A31137" w:rsidRPr="00A31137" w:rsidRDefault="00A31137" w:rsidP="00A31137">
      <w:r w:rsidRPr="00A31137">
        <w:t xml:space="preserve">In the alternative, the delay requirement may be premised on the belief that the decision to terminate a pregnancy is presumptively wrong. This premise is illegitimate. Those who disagree vehemently about the legality and morality of abortion agree about one thing: the decision to terminate a pregnancy is profound and difficult. No person undertakes such a decision lightly—and States may not presume that a woman has failed to reflect adequately merely because her conclusion differs from the State's preference. A woman who has, in the privacy of her thoughts and conscience, weighed the options and made her decision cannot be forced to reconsider all, simply because the State believes she has come to the wrong conclusion. 5 [505 U.S. 920] </w:t>
      </w:r>
    </w:p>
    <w:p w:rsidR="00A31137" w:rsidRPr="00A31137" w:rsidRDefault="00A31137" w:rsidP="00A31137">
      <w:r w:rsidRPr="00A31137">
        <w:t>1992, Planned Parenthood v. Casey, 505 U.S. 920</w:t>
      </w:r>
    </w:p>
    <w:p w:rsidR="00A31137" w:rsidRPr="00A31137" w:rsidRDefault="00A31137" w:rsidP="00A31137">
      <w:r w:rsidRPr="00A31137">
        <w:t>Part of the constitutional liberty to choose is the equal dignity to which each of us is entitled. A woman who decides to terminate her pregnancy is entitled to the same respect as a woman who decides to carry the fetus to term. The mandatory waiting period denies women that equal respect.</w:t>
      </w:r>
    </w:p>
    <w:p w:rsidR="00A31137" w:rsidRPr="00A31137" w:rsidRDefault="00A31137" w:rsidP="00A31137">
      <w:r w:rsidRPr="00A31137">
        <w:t>IV</w:t>
      </w:r>
    </w:p>
    <w:p w:rsidR="00A31137" w:rsidRPr="00A31137" w:rsidRDefault="00A31137" w:rsidP="00A31137">
      <w:r w:rsidRPr="00A31137">
        <w:t>1992, Planned Parenthood v. Casey, 505 U.S. 920</w:t>
      </w:r>
    </w:p>
    <w:p w:rsidR="00A31137" w:rsidRPr="00A31137" w:rsidRDefault="00A31137" w:rsidP="00A31137">
      <w:r w:rsidRPr="00A31137">
        <w:t>In my opinion, a correct application of the "undue burden" standard leads to the same conclusion concerning the constitutionality of these requirements. A state-imposed burden on the exercise of a constitutional right is measured both by its effects and by its character: a burden may be "undue" either because the burden is too severe or because it lacks a legitimate, rational justification. 6</w:t>
      </w:r>
    </w:p>
    <w:p w:rsidR="00A31137" w:rsidRPr="00A31137" w:rsidRDefault="00A31137" w:rsidP="00A31137">
      <w:r w:rsidRPr="00A31137">
        <w:t>1992, Planned Parenthood v. Casey, 505 U.S. 920</w:t>
      </w:r>
    </w:p>
    <w:p w:rsidR="00A31137" w:rsidRPr="00A31137" w:rsidRDefault="00A31137" w:rsidP="00A31137">
      <w:r w:rsidRPr="00A31137">
        <w:t>The 24-hour delay requirement fails both parts of this test. The findings of the District Court establish the severity of [505 U.S. 921] the burden that the 24-hour delay imposes on many pregnant women. Yet even in those cases in which the delay is not especially onerous, it is, in my opinion, "undue," because there is no evidence that such a delay serves a useful and legitimate purpose. As indicated above, there is no legitimate reason to require a woman who has agonized over her decision to leave the clinic or hospital and return again another day. While a general requirement that a physician notify her patients about the risks of a proposed medical procedure is appropriate, a rigid requirement that all patients wait 24 hours or (what is true in practice) much longer to evaluate the significance of information that is either common knowledge or irrelevant is an irrational, and therefore "undue," burden.</w:t>
      </w:r>
    </w:p>
    <w:p w:rsidR="00A31137" w:rsidRPr="00A31137" w:rsidRDefault="00A31137" w:rsidP="00A31137">
      <w:r w:rsidRPr="00A31137">
        <w:t>1992, Planned Parenthood v. Casey, 505 U.S. 921</w:t>
      </w:r>
    </w:p>
    <w:p w:rsidR="00A31137" w:rsidRPr="00A31137" w:rsidRDefault="00A31137" w:rsidP="00A31137">
      <w:r w:rsidRPr="00A31137">
        <w:t>The counseling provisions are similarly infirm. Whenever government commands private citizens to speak or to listen, careful review of the justification for that command is particularly appropriate. In this case, the Pennsylvania statute directs that counselors provide women seeking abortions with information concerning alternatives to abortion, the availability of medical assistance benefits, and the possibility of child support payments. §§ 3205(a)(2)(i)-(iii). The statute requires that this information be given to all women seeking abortions, including those for whom such information is clearly useless, such as those who are married, those who have undergone the procedure in the past and are fully aware of the options, and those who are fully convinced that abortion is their only reasonable option. Moreover, the statute requires physicians to inform all of their patients of "the probable gestational age of the unborn child." § 3205(a)(1)(ii). This information is of little decisional value in most cases, because 90% of all abortions are performed during the first trimester, 7 when fetal age has less relevance than when the fetus nears viability. Nor can the information [505 U.S. 922] required by the statute be justified as relevant to any "philosophic" or "social" argument, ante at  872, either favoring or disfavoring the abortion decision in a particular case. In light of all of these facts, I conclude that the information requirements in § 3205(a)(1)(ii) and §§ 3205(a)(2)(i) (iii) do not serve a useful purpose, and thus constitute an unnecessary—and therefore undue—burden on the woman's constitutional liberty to decide to terminate her pregnancy.</w:t>
      </w:r>
    </w:p>
    <w:p w:rsidR="00A31137" w:rsidRPr="00A31137" w:rsidRDefault="00A31137" w:rsidP="00A31137">
      <w:r w:rsidRPr="00A31137">
        <w:t>1992, Planned Parenthood v. Casey, 505 U.S. 922</w:t>
      </w:r>
    </w:p>
    <w:p w:rsidR="00A31137" w:rsidRPr="00A31137" w:rsidRDefault="00A31137" w:rsidP="00A31137">
      <w:r w:rsidRPr="00A31137">
        <w:t>Accordingly, while I disagree with Parts IV, V-B, and V-D of the joint opinion, 8 I join the remainder of the Court's opinion.</w:t>
      </w:r>
    </w:p>
    <w:p w:rsidR="00A31137" w:rsidRPr="00A31137" w:rsidRDefault="00A31137" w:rsidP="00A31137">
      <w:r w:rsidRPr="00A31137">
        <w:t>BLACKMUN, J., concurring and dissenting</w:t>
      </w:r>
    </w:p>
    <w:p w:rsidR="00A31137" w:rsidRPr="00A31137" w:rsidRDefault="00A31137" w:rsidP="00A31137">
      <w:r w:rsidRPr="00A31137">
        <w:t>1992, Planned Parenthood v. Casey, 505 U.S. 922</w:t>
      </w:r>
    </w:p>
    <w:p w:rsidR="00A31137" w:rsidRPr="00A31137" w:rsidRDefault="00A31137" w:rsidP="00A31137">
      <w:r w:rsidRPr="00A31137">
        <w:t>JUSTICE BLACKMUN, concurring in part, concurring in the judgment in part, and dissenting in part.</w:t>
      </w:r>
    </w:p>
    <w:p w:rsidR="00A31137" w:rsidRPr="00A31137" w:rsidRDefault="00A31137" w:rsidP="00A31137">
      <w:r w:rsidRPr="00A31137">
        <w:t>1992, Planned Parenthood v. Casey, 505 U.S. 922</w:t>
      </w:r>
    </w:p>
    <w:p w:rsidR="00A31137" w:rsidRPr="00A31137" w:rsidRDefault="00A31137" w:rsidP="00A31137">
      <w:r w:rsidRPr="00A31137">
        <w:t>I join parts I, II, III, V-A, V-C, and VI of the joint opinion of JUSTICES O'CONNOR, KENNEDY, and SOUTER, ante.</w:t>
      </w:r>
    </w:p>
    <w:p w:rsidR="00A31137" w:rsidRPr="00A31137" w:rsidRDefault="00A31137" w:rsidP="00A31137">
      <w:r w:rsidRPr="00A31137">
        <w:t>1992, Planned Parenthood v. Casey, 505 U.S. 922</w:t>
      </w:r>
    </w:p>
    <w:p w:rsidR="00A31137" w:rsidRPr="00A31137" w:rsidRDefault="00A31137" w:rsidP="00A31137">
      <w:r w:rsidRPr="00A31137">
        <w:t xml:space="preserve">Three years ago, in Webster v. Reproductive Health Serv., 492 U.S. 490 (1989), four Members of this Court appeared poised to "cas[t] into darkness the hopes and visions of every woman in this country" who had come to believe that the Constitution guaranteed her the right to reproductive choice. Id. at  557 (BLACKMUN, J., dissenting). See id. at  499 (opinion of REHNQUIST, C.J.); id. at  532 (opinion of SCALIA, J.). All that remained between the promise of Roe and the darkness of the plurality was a single, flickering flame. Decisions since Webster gave little reason to hope that this flame would cast much light. See, e.g., Ohio v. Akron Center for Reproductive Health, 497 U.S. 502, 524 (1990) (opinion of BLACKMUN, J.). But now, just when so many expected the darkness to fall, the flame has grown bright. [505 U.S. 923] </w:t>
      </w:r>
    </w:p>
    <w:p w:rsidR="00A31137" w:rsidRPr="00A31137" w:rsidRDefault="00A31137" w:rsidP="00A31137">
      <w:r w:rsidRPr="00A31137">
        <w:t>1992, Planned Parenthood v. Casey, 505 U.S. 923</w:t>
      </w:r>
    </w:p>
    <w:p w:rsidR="00A31137" w:rsidRPr="00A31137" w:rsidRDefault="00A31137" w:rsidP="00A31137">
      <w:r w:rsidRPr="00A31137">
        <w:t>I do not underestimate the significance of today's joint opinion. Yet I remain steadfast in my belief that the right to reproductive choice is entitled to the full protection afforded by this Court before Webster. And I fear for the darkness as four Justices anxiously await the single vote necessary to extinguish the light.</w:t>
      </w:r>
    </w:p>
    <w:p w:rsidR="00A31137" w:rsidRPr="00A31137" w:rsidRDefault="00A31137" w:rsidP="00A31137">
      <w:r w:rsidRPr="00A31137">
        <w:t>I</w:t>
      </w:r>
    </w:p>
    <w:p w:rsidR="00A31137" w:rsidRPr="00A31137" w:rsidRDefault="00A31137" w:rsidP="00A31137">
      <w:r w:rsidRPr="00A31137">
        <w:t>1992, Planned Parenthood v. Casey, 505 U.S. 923</w:t>
      </w:r>
    </w:p>
    <w:p w:rsidR="00A31137" w:rsidRPr="00A31137" w:rsidRDefault="00A31137" w:rsidP="00A31137">
      <w:r w:rsidRPr="00A31137">
        <w:t>Make no mistake, the joint opinion of JUSTICES O'CONNOR, KENNEDY, and SOUTER is an act of personal courage and constitutional principle. In contrast to previous decisions in which JUSTICES O'CONNOR and KENNEDY postponed reconsideration of Roe v. Wade, 410 U.S. 113 (1973), the authors of the joint opinion today join JUSTICE STEVENS and me in concluding that "the essential holding of Roe should be retained and once again reaffirmed." Ante at  846. In brief, five Members of this Court today recognize that "the Constitution protects a woman's right to terminate her pregnancy in its early stages." Id. at  844.</w:t>
      </w:r>
    </w:p>
    <w:p w:rsidR="00A31137" w:rsidRPr="00A31137" w:rsidRDefault="00A31137" w:rsidP="00A31137">
      <w:r w:rsidRPr="00A31137">
        <w:t>1992, Planned Parenthood v. Casey, 505 U.S. 923</w:t>
      </w:r>
    </w:p>
    <w:p w:rsidR="00A31137" w:rsidRPr="00A31137" w:rsidRDefault="00A31137" w:rsidP="00A31137">
      <w:r w:rsidRPr="00A31137">
        <w:t>A fervent view of individual liberty and the force of stare decisis have led the Court to this conclusion. Ante at  853. Today a majority reaffirms that the Due Process Clause of the Fourteenth Amendment establishes "a realm of personal liberty which the government may not enter," ante at  847—a realm whose outer limits cannot be determined by interpretations of the Constitution that focus only on the specific practices of States at the time the Fourteenth Amendment was adopted. See ante at 848-849. Included within this realm of liberty is</w:t>
      </w:r>
    </w:p>
    <w:p w:rsidR="00A31137" w:rsidRPr="00A31137" w:rsidRDefault="00A31137" w:rsidP="00A31137">
      <w:r w:rsidRPr="00A31137">
        <w:t>1992, Planned Parenthood v. Casey, 505 U.S. 923</w:t>
      </w:r>
    </w:p>
    <w:p w:rsidR="00A31137" w:rsidRPr="00A31137" w:rsidRDefault="00A31137" w:rsidP="00A31137">
      <w:r w:rsidRPr="00A31137">
        <w:t>"the right of the individual, married or single, to be free from unwarranted governmental intrusion into matters so fundamentally affecting a person as the decision whether to bear or beget a child."</w:t>
      </w:r>
    </w:p>
    <w:p w:rsidR="00A31137" w:rsidRPr="00A31137" w:rsidRDefault="00A31137" w:rsidP="00A31137">
      <w:r w:rsidRPr="00A31137">
        <w:t>1992, Planned Parenthood v. Casey, 505 U.S. 923</w:t>
      </w:r>
    </w:p>
    <w:p w:rsidR="00A31137" w:rsidRPr="00A31137" w:rsidRDefault="00A31137" w:rsidP="00A31137">
      <w:r w:rsidRPr="00A31137">
        <w:t>Ante at  851, quoting Eisenstadt v. Baird, 405 U.S. 438,  453 (1972) (emphasis in original).</w:t>
      </w:r>
    </w:p>
    <w:p w:rsidR="00A31137" w:rsidRPr="00A31137" w:rsidRDefault="00A31137" w:rsidP="00A31137">
      <w:r w:rsidRPr="00A31137">
        <w:t>1992, Planned Parenthood v. Casey, 505 U.S. 923</w:t>
      </w:r>
    </w:p>
    <w:p w:rsidR="00A31137" w:rsidRPr="00A31137" w:rsidRDefault="00A31137" w:rsidP="00A31137">
      <w:r w:rsidRPr="00A31137">
        <w:t>These matters, involving the most intimate and personal choices a person may make in a lifetime, choices central to personal dignity and autonomy, are central to the [505 U.S. 924] liberty protected by the Fourteenth Amendment.</w:t>
      </w:r>
    </w:p>
    <w:p w:rsidR="00A31137" w:rsidRPr="00A31137" w:rsidRDefault="00A31137" w:rsidP="00A31137">
      <w:r w:rsidRPr="00A31137">
        <w:t>1992, Planned Parenthood v. Casey, 505 U.S. 924</w:t>
      </w:r>
    </w:p>
    <w:p w:rsidR="00A31137" w:rsidRPr="00A31137" w:rsidRDefault="00A31137" w:rsidP="00A31137">
      <w:r w:rsidRPr="00A31137">
        <w:t>Ante at  851 (emphasis added). Finally, the Court today recognizes that, in the case of abortion,</w:t>
      </w:r>
    </w:p>
    <w:p w:rsidR="00A31137" w:rsidRPr="00A31137" w:rsidRDefault="00A31137" w:rsidP="00A31137">
      <w:r w:rsidRPr="00A31137">
        <w:t>1992, Planned Parenthood v. Casey, 505 U.S. 924</w:t>
      </w:r>
    </w:p>
    <w:p w:rsidR="00A31137" w:rsidRPr="00A31137" w:rsidRDefault="00A31137" w:rsidP="00A31137">
      <w:r w:rsidRPr="00A31137">
        <w:t>the liberty of the woman is at stake in a sense unique to the human condition and so unique to the law. The mother who carries a child to full term is subject to anxieties, to physical constraints, to pain that only she must bear.</w:t>
      </w:r>
    </w:p>
    <w:p w:rsidR="00A31137" w:rsidRPr="00A31137" w:rsidRDefault="00A31137" w:rsidP="00A31137">
      <w:r w:rsidRPr="00A31137">
        <w:t>1992, Planned Parenthood v. Casey, 505 U.S. 924</w:t>
      </w:r>
    </w:p>
    <w:p w:rsidR="00A31137" w:rsidRPr="00A31137" w:rsidRDefault="00A31137" w:rsidP="00A31137">
      <w:r w:rsidRPr="00A31137">
        <w:t>Ante at  852.</w:t>
      </w:r>
    </w:p>
    <w:p w:rsidR="00A31137" w:rsidRPr="00A31137" w:rsidRDefault="00A31137" w:rsidP="00A31137">
      <w:r w:rsidRPr="00A31137">
        <w:t>1992, Planned Parenthood v. Casey, 505 U.S. 924</w:t>
      </w:r>
    </w:p>
    <w:p w:rsidR="00A31137" w:rsidRPr="00A31137" w:rsidRDefault="00A31137" w:rsidP="00A31137">
      <w:r w:rsidRPr="00A31137">
        <w:t>The Court's reaffirmation of Roe's central holding is also based on the force of stare decisis.</w:t>
      </w:r>
    </w:p>
    <w:p w:rsidR="00A31137" w:rsidRPr="00A31137" w:rsidRDefault="00A31137" w:rsidP="00A31137">
      <w:r w:rsidRPr="00A31137">
        <w:t>1992, Planned Parenthood v. Casey, 505 U.S. 924</w:t>
      </w:r>
    </w:p>
    <w:p w:rsidR="00A31137" w:rsidRPr="00A31137" w:rsidRDefault="00A31137" w:rsidP="00A31137">
      <w:r w:rsidRPr="00A31137">
        <w:t>[N]o erosion of principle going to liberty or personal autonomy has left Roe's central holding a doctrinal remnant; Roe portends no developments at odds with other precedent for the analysis of personal liberty; and no changes of fact have rendered viability more or less appropriate as the point at which the balance of interests tips.</w:t>
      </w:r>
    </w:p>
    <w:p w:rsidR="00A31137" w:rsidRPr="00A31137" w:rsidRDefault="00A31137" w:rsidP="00A31137">
      <w:r w:rsidRPr="00A31137">
        <w:t>1992, Planned Parenthood v. Casey, 505 U.S. 924</w:t>
      </w:r>
    </w:p>
    <w:p w:rsidR="00A31137" w:rsidRPr="00A31137" w:rsidRDefault="00A31137" w:rsidP="00A31137">
      <w:r w:rsidRPr="00A31137">
        <w:t>Ante at 860-861. Indeed, the Court acknowledges that Roe's limitation on state power could not be removed</w:t>
      </w:r>
    </w:p>
    <w:p w:rsidR="00A31137" w:rsidRPr="00A31137" w:rsidRDefault="00A31137" w:rsidP="00A31137">
      <w:r w:rsidRPr="00A31137">
        <w:t>1992, Planned Parenthood v. Casey, 505 U.S. 924</w:t>
      </w:r>
    </w:p>
    <w:p w:rsidR="00A31137" w:rsidRPr="00A31137" w:rsidRDefault="00A31137" w:rsidP="00A31137">
      <w:r w:rsidRPr="00A31137">
        <w:t>without serious inequity to those who have relied upon it or significant damage to the stability of the society governed by the rule in question.</w:t>
      </w:r>
    </w:p>
    <w:p w:rsidR="00A31137" w:rsidRPr="00A31137" w:rsidRDefault="00A31137" w:rsidP="00A31137">
      <w:r w:rsidRPr="00A31137">
        <w:t>1992, Planned Parenthood v. Casey, 505 U.S. 924</w:t>
      </w:r>
    </w:p>
    <w:p w:rsidR="00A31137" w:rsidRPr="00A31137" w:rsidRDefault="00A31137" w:rsidP="00A31137">
      <w:r w:rsidRPr="00A31137">
        <w:t>Ante at  855. In the 19 years since Roe was decided, that case has shaped more than reproductive planning—</w:t>
      </w:r>
    </w:p>
    <w:p w:rsidR="00A31137" w:rsidRPr="00A31137" w:rsidRDefault="00A31137" w:rsidP="00A31137">
      <w:r w:rsidRPr="00A31137">
        <w:t>1992, Planned Parenthood v. Casey, 505 U.S. 924</w:t>
      </w:r>
    </w:p>
    <w:p w:rsidR="00A31137" w:rsidRPr="00A31137" w:rsidRDefault="00A31137" w:rsidP="00A31137">
      <w:r w:rsidRPr="00A31137">
        <w:t>an entire generation has come of age free to assume Roe's concept of liberty in defining the capacity of women to act in society and to make reproductive decisions.</w:t>
      </w:r>
    </w:p>
    <w:p w:rsidR="00A31137" w:rsidRPr="00A31137" w:rsidRDefault="00A31137" w:rsidP="00A31137">
      <w:r w:rsidRPr="00A31137">
        <w:t>1992, Planned Parenthood v. Casey, 505 U.S. 924</w:t>
      </w:r>
    </w:p>
    <w:p w:rsidR="00A31137" w:rsidRPr="00A31137" w:rsidRDefault="00A31137" w:rsidP="00A31137">
      <w:r w:rsidRPr="00A31137">
        <w:t>Ante at  860. The Court understands that, having "call[ed] the contending sides…to end their national division by accepting a common mandate rooted in the Constitution," ante at  867, a decision to overrule Roe</w:t>
      </w:r>
    </w:p>
    <w:p w:rsidR="00A31137" w:rsidRPr="00A31137" w:rsidRDefault="00A31137" w:rsidP="00A31137">
      <w:r w:rsidRPr="00A31137">
        <w:t>1992, Planned Parenthood v. Casey, 505 U.S. 924</w:t>
      </w:r>
    </w:p>
    <w:p w:rsidR="00A31137" w:rsidRPr="00A31137" w:rsidRDefault="00A31137" w:rsidP="00A31137">
      <w:r w:rsidRPr="00A31137">
        <w:t>would seriously weaken the Court's capacity to exercise the judicial power and to function as the Supreme Court of a Nation dedicated to the rule of law.</w:t>
      </w:r>
    </w:p>
    <w:p w:rsidR="00A31137" w:rsidRPr="00A31137" w:rsidRDefault="00A31137" w:rsidP="00A31137">
      <w:r w:rsidRPr="00A31137">
        <w:t>1992, Planned Parenthood v. Casey, 505 U.S. 924</w:t>
      </w:r>
    </w:p>
    <w:p w:rsidR="00A31137" w:rsidRPr="00A31137" w:rsidRDefault="00A31137" w:rsidP="00A31137">
      <w:r w:rsidRPr="00A31137">
        <w:t>Ante at  865. What has happened today should serve as a model for future Justices and a warning to all who have tried to turn this Court into yet another political branch.</w:t>
      </w:r>
    </w:p>
    <w:p w:rsidR="00A31137" w:rsidRPr="00A31137" w:rsidRDefault="00A31137" w:rsidP="00A31137">
      <w:r w:rsidRPr="00A31137">
        <w:t>1992, Planned Parenthood v. Casey, 505 U.S. 924</w:t>
      </w:r>
    </w:p>
    <w:p w:rsidR="00A31137" w:rsidRPr="00A31137" w:rsidRDefault="00A31137" w:rsidP="00A31137">
      <w:r w:rsidRPr="00A31137">
        <w:t>In striking down the Pennsylvania statute's spousal notification requirement, the Court has established a framework [505 U.S. 925] for evaluating abortion regulations that responds to the social context of women facing issues of reproductive choice. 1 In determining the burden imposed by the challenged regulation, the Court inquires whether the regulation's "purpose or effect is to place a substantial obstacle in the path of a woman seeking an abortion before the fetus attains viability." Ante at  878 (emphasis added). The Court reaffirms:</w:t>
      </w:r>
    </w:p>
    <w:p w:rsidR="00A31137" w:rsidRPr="00A31137" w:rsidRDefault="00A31137" w:rsidP="00A31137">
      <w:r w:rsidRPr="00A31137">
        <w:t>1992, Planned Parenthood v. Casey, 505 U.S. 925</w:t>
      </w:r>
    </w:p>
    <w:p w:rsidR="00A31137" w:rsidRPr="00A31137" w:rsidRDefault="00A31137" w:rsidP="00A31137">
      <w:r w:rsidRPr="00A31137">
        <w:t>The proper focus of constitutional inquiry is the group for whom the law is a restriction, not the group for whom the law is irrelevant.</w:t>
      </w:r>
    </w:p>
    <w:p w:rsidR="00A31137" w:rsidRPr="00A31137" w:rsidRDefault="00A31137" w:rsidP="00A31137">
      <w:r w:rsidRPr="00A31137">
        <w:t>1992, Planned Parenthood v. Casey, 505 U.S. 925</w:t>
      </w:r>
    </w:p>
    <w:p w:rsidR="00A31137" w:rsidRPr="00A31137" w:rsidRDefault="00A31137" w:rsidP="00A31137">
      <w:r w:rsidRPr="00A31137">
        <w:t>Ante at  894. Looking at this group, the Court inquires, based on expert testimony, empirical studies, and common sense, whether,</w:t>
      </w:r>
    </w:p>
    <w:p w:rsidR="00A31137" w:rsidRPr="00A31137" w:rsidRDefault="00A31137" w:rsidP="00A31137">
      <w:r w:rsidRPr="00A31137">
        <w:t>1992, Planned Parenthood v. Casey, 505 U.S. 925</w:t>
      </w:r>
    </w:p>
    <w:p w:rsidR="00A31137" w:rsidRPr="00A31137" w:rsidRDefault="00A31137" w:rsidP="00A31137">
      <w:r w:rsidRPr="00A31137">
        <w:t>in a large fraction of the cases in which [the restriction] is relevant, it will operate as a substantial obstacle to a woman's choice to undergo an abortion.</w:t>
      </w:r>
    </w:p>
    <w:p w:rsidR="00A31137" w:rsidRPr="00A31137" w:rsidRDefault="00A31137" w:rsidP="00A31137">
      <w:r w:rsidRPr="00A31137">
        <w:t>1992, Planned Parenthood v. Casey, 505 U.S. 925</w:t>
      </w:r>
    </w:p>
    <w:p w:rsidR="00A31137" w:rsidRPr="00A31137" w:rsidRDefault="00A31137" w:rsidP="00A31137">
      <w:r w:rsidRPr="00A31137">
        <w:t>Id. at  895.</w:t>
      </w:r>
    </w:p>
    <w:p w:rsidR="00A31137" w:rsidRPr="00A31137" w:rsidRDefault="00A31137" w:rsidP="00A31137">
      <w:r w:rsidRPr="00A31137">
        <w:t>1992, Planned Parenthood v. Casey, 505 U.S. 925</w:t>
      </w:r>
    </w:p>
    <w:p w:rsidR="00A31137" w:rsidRPr="00A31137" w:rsidRDefault="00A31137" w:rsidP="00A31137">
      <w:r w:rsidRPr="00A31137">
        <w:t>A statute with this purpose is invalid because the means chosen by the State to further the interest in potential life must be calculated to inform the woman's free choice, not hinder it.</w:t>
      </w:r>
    </w:p>
    <w:p w:rsidR="00A31137" w:rsidRPr="00A31137" w:rsidRDefault="00A31137" w:rsidP="00A31137">
      <w:r w:rsidRPr="00A31137">
        <w:t>1992, Planned Parenthood v. Casey, 505 U.S. 925</w:t>
      </w:r>
    </w:p>
    <w:p w:rsidR="00A31137" w:rsidRPr="00A31137" w:rsidRDefault="00A31137" w:rsidP="00A31137">
      <w:r w:rsidRPr="00A31137">
        <w:t>Ante at  877. And in applying its test, the Court remains sensitive to the unique role of women in the decisionmaking process. Whatever may have been the practice when the Fourteenth Amendment was adopted, the Court observes,</w:t>
      </w:r>
    </w:p>
    <w:p w:rsidR="00A31137" w:rsidRPr="00A31137" w:rsidRDefault="00A31137" w:rsidP="00A31137">
      <w:r w:rsidRPr="00A31137">
        <w:t>1992, Planned Parenthood v. Casey, 505 U.S. 925</w:t>
      </w:r>
    </w:p>
    <w:p w:rsidR="00A31137" w:rsidRPr="00A31137" w:rsidRDefault="00A31137" w:rsidP="00A31137">
      <w:r w:rsidRPr="00A31137">
        <w:t>[w]omen do not lose their constitutionally protected liberty when they marry. The Constitution protects all individuals, male or female, married or unmarried, from the abuse of governmental power, even where that power is employed for the supposed benefit of a member of the individual's family.</w:t>
      </w:r>
    </w:p>
    <w:p w:rsidR="00A31137" w:rsidRPr="00A31137" w:rsidRDefault="00A31137" w:rsidP="00A31137">
      <w:r w:rsidRPr="00A31137">
        <w:t>1992, Planned Parenthood v. Casey, 505 U.S. 925</w:t>
      </w:r>
    </w:p>
    <w:p w:rsidR="00A31137" w:rsidRPr="00A31137" w:rsidRDefault="00A31137" w:rsidP="00A31137">
      <w:r w:rsidRPr="00A31137">
        <w:t xml:space="preserve">Ante at  898. 2 [505 U.S. 926] </w:t>
      </w:r>
    </w:p>
    <w:p w:rsidR="00A31137" w:rsidRPr="00A31137" w:rsidRDefault="00A31137" w:rsidP="00A31137">
      <w:r w:rsidRPr="00A31137">
        <w:t>1992, Planned Parenthood v. Casey, 505 U.S. 926</w:t>
      </w:r>
    </w:p>
    <w:p w:rsidR="00A31137" w:rsidRPr="00A31137" w:rsidRDefault="00A31137" w:rsidP="00A31137">
      <w:r w:rsidRPr="00A31137">
        <w:t>Lastly, while I believe that the joint opinion errs in failing to invalidate the other regulations, I am pleased that the joint opinion has not ruled out the possibility that these regulations may be shown to impose an unconstitutional burden. The joint opinion makes clear that its specific holdings are based on the insufficiency of the record before it. See, e.g., id. at 885-886. I am confident that, in the future, evidence will be produced to show that,</w:t>
      </w:r>
    </w:p>
    <w:p w:rsidR="00A31137" w:rsidRPr="00A31137" w:rsidRDefault="00A31137" w:rsidP="00A31137">
      <w:r w:rsidRPr="00A31137">
        <w:t>1992, Planned Parenthood v. Casey, 505 U.S. 926</w:t>
      </w:r>
    </w:p>
    <w:p w:rsidR="00A31137" w:rsidRPr="00A31137" w:rsidRDefault="00A31137" w:rsidP="00A31137">
      <w:r w:rsidRPr="00A31137">
        <w:t>in a large fraction of the cases in which [these regulations are] relevant, [they] will operate as a substantial obstacle to a woman's choice to undergo an abortion.</w:t>
      </w:r>
    </w:p>
    <w:p w:rsidR="00A31137" w:rsidRPr="00A31137" w:rsidRDefault="00A31137" w:rsidP="00A31137">
      <w:r w:rsidRPr="00A31137">
        <w:t>1992, Planned Parenthood v. Casey, 505 U.S. 926</w:t>
      </w:r>
    </w:p>
    <w:p w:rsidR="00A31137" w:rsidRPr="00A31137" w:rsidRDefault="00A31137" w:rsidP="00A31137">
      <w:r w:rsidRPr="00A31137">
        <w:t>Ante at  895.</w:t>
      </w:r>
    </w:p>
    <w:p w:rsidR="00A31137" w:rsidRPr="00A31137" w:rsidRDefault="00A31137" w:rsidP="00A31137">
      <w:r w:rsidRPr="00A31137">
        <w:t>II</w:t>
      </w:r>
    </w:p>
    <w:p w:rsidR="00A31137" w:rsidRPr="00A31137" w:rsidRDefault="00A31137" w:rsidP="00A31137">
      <w:r w:rsidRPr="00A31137">
        <w:t>1992, Planned Parenthood v. Casey, 505 U.S. 926</w:t>
      </w:r>
    </w:p>
    <w:p w:rsidR="00A31137" w:rsidRPr="00A31137" w:rsidRDefault="00A31137" w:rsidP="00A31137">
      <w:r w:rsidRPr="00A31137">
        <w:t>Today, no less than yesterday, the Constitution and decisions of this Court require that a State's abortion restrictions be subjected to the strictest of judicial scrutiny. Our precedents and the joint opinion's principles require us to subject all non-de minimis abortion regulations to strict scrutiny. Under this standard, the Pennsylvania statute's provisions requiring content-based counseling, a 24-hour delay, informed parental consent, and reporting of abortion-related information must be invalidated.</w:t>
      </w:r>
    </w:p>
    <w:p w:rsidR="00A31137" w:rsidRPr="00A31137" w:rsidRDefault="00A31137" w:rsidP="00A31137">
      <w:r w:rsidRPr="00A31137">
        <w:t>A</w:t>
      </w:r>
    </w:p>
    <w:p w:rsidR="00A31137" w:rsidRPr="00A31137" w:rsidRDefault="00A31137" w:rsidP="00A31137">
      <w:r w:rsidRPr="00A31137">
        <w:t>1992, Planned Parenthood v. Casey, 505 U.S. 926</w:t>
      </w:r>
    </w:p>
    <w:p w:rsidR="00A31137" w:rsidRPr="00A31137" w:rsidRDefault="00A31137" w:rsidP="00A31137">
      <w:r w:rsidRPr="00A31137">
        <w:t>The Court today reaffirms the long recognized rights of privacy and bodily integrity. As early as 1891, the Court held,</w:t>
      </w:r>
    </w:p>
    <w:p w:rsidR="00A31137" w:rsidRPr="00A31137" w:rsidRDefault="00A31137" w:rsidP="00A31137">
      <w:r w:rsidRPr="00A31137">
        <w:t>1992, Planned Parenthood v. Casey, 505 U.S. 926</w:t>
      </w:r>
    </w:p>
    <w:p w:rsidR="00A31137" w:rsidRPr="00A31137" w:rsidRDefault="00A31137" w:rsidP="00A31137">
      <w:r w:rsidRPr="00A31137">
        <w:t>[n]o right is held more sacred, or is more carefully guarded by the common law, than the right of every individual to the possession and control of his own person, free from all restraint or interference of others….</w:t>
      </w:r>
    </w:p>
    <w:p w:rsidR="00A31137" w:rsidRPr="00A31137" w:rsidRDefault="00A31137" w:rsidP="00A31137">
      <w:r w:rsidRPr="00A31137">
        <w:t>1992, Planned Parenthood v. Casey, 505 U.S. 926</w:t>
      </w:r>
    </w:p>
    <w:p w:rsidR="00A31137" w:rsidRPr="00A31137" w:rsidRDefault="00A31137" w:rsidP="00A31137">
      <w:r w:rsidRPr="00A31137">
        <w:t>Union Pacific R. Co. v. Botsford, 141 U.S. 250, 251 (1891). Throughout this century, this Court also has held that the fundamental right of privacy protects citizens against governmental [505 U.S. 927] intrusion in such intimate family matters as procreation, childrearing, marriage, and contraceptive choice. See ante at 847-849. These cases embody the principle that personal decisions that profoundly affect bodily integrity, identity, and destiny should be largely beyond the reach of government. Eisenstadt, 405 U.S. at  453. In Roe v. Wade, this Court correctly applied these principles to a woman's right to choose abortion.</w:t>
      </w:r>
    </w:p>
    <w:p w:rsidR="00A31137" w:rsidRPr="00A31137" w:rsidRDefault="00A31137" w:rsidP="00A31137">
      <w:r w:rsidRPr="00A31137">
        <w:t>1992, Planned Parenthood v. Casey, 505 U.S. 927</w:t>
      </w:r>
    </w:p>
    <w:p w:rsidR="00A31137" w:rsidRPr="00A31137" w:rsidRDefault="00A31137" w:rsidP="00A31137">
      <w:r w:rsidRPr="00A31137">
        <w:t>State restrictions on abortion violate a woman's right of privacy in two ways. First, compelled continuation of a pregnancy infringes upon a woman's right to bodily integrity by imposing substantial physical intrusions and significant risks of physical harm. During pregnancy, women experience dramatic physical changes and a wide range of health consequences. Labor and delivery pose additional health risks and physical demands. In short, restrictive abortion laws force women to endure physical invasions far more substantial than those this Court has held to violate the constitutional principle of bodily integrity in other contexts. See, e.g., Winston v. Lee, 470 U.S. 753 (1985) (invalidating surgical removal of bullet from murder suspect); Rochin v. California, 342 U.S. 165 (1952) (invalidating stomach-pumping). 3</w:t>
      </w:r>
    </w:p>
    <w:p w:rsidR="00A31137" w:rsidRPr="00A31137" w:rsidRDefault="00A31137" w:rsidP="00A31137">
      <w:r w:rsidRPr="00A31137">
        <w:t>1992, Planned Parenthood v. Casey, 505 U.S. 927</w:t>
      </w:r>
    </w:p>
    <w:p w:rsidR="00A31137" w:rsidRPr="00A31137" w:rsidRDefault="00A31137" w:rsidP="00A31137">
      <w:r w:rsidRPr="00A31137">
        <w:t>Further, when the State restricts a woman's right to terminate her pregnancy, it deprives a woman of the right to make her own decision about reproduction and family planning—critical life choices that this Court long has deemed central to the right to privacy. The decision to terminate or continue a pregnancy has no less an impact on a woman's life than decisions about contraception or marriage. 410 U.S. [505 U.S. 928] at 153. Because motherhood has a dramatic impact on a woman's educational prospects, employment opportunities, and self-determination, restrictive abortion laws deprive her of basic control over her life. For these reasons, "the decision whether or not to beget or bear a child" lies at "the very heart of this cluster of constitutionally protected choices." Carey v. Population Services, Int'l, 431 U.S. 678 (1977).</w:t>
      </w:r>
    </w:p>
    <w:p w:rsidR="00A31137" w:rsidRPr="00A31137" w:rsidRDefault="00A31137" w:rsidP="00A31137">
      <w:r w:rsidRPr="00A31137">
        <w:t>1992, Planned Parenthood v. Casey, 505 U.S. 928</w:t>
      </w:r>
    </w:p>
    <w:p w:rsidR="00A31137" w:rsidRPr="00A31137" w:rsidRDefault="00A31137" w:rsidP="00A31137">
      <w:r w:rsidRPr="00A31137">
        <w:t>A State's restrictions on a woman's right to terminate her pregnancy also implicate constitutional guarantees of gender equality. State restrictions on abortion compel women to continue pregnancies they otherwise might terminate. By restricting the right to terminate pregnancies, the State conscripts women's bodies into its service, forcing women to continue their pregnancies, suffer the pains of childbirth, and in most instances, provide years of maternal care. The State does not compensate women for their services; instead, it assumes that they owe this duty as a matter of course. This assumption—that women can simply be forced to accept the "natural" status and incidents of motherhood—appears to rest upon a conception of women's role that has triggered the protection of the Equal Protection Clause. See, e.g., Mississippi Univ. for Women v. Hogan, 458 U.S. 718, 724-726 (1982); Craig v. Boren, 429 U.S. 190, 198-199 (1976). 4 The joint opinion recognizes that these assumptions about women's place in society "are no longer consistent with our [505 U.S. 929] understanding of the family, the individual, or the Constitution." Ante at 897.</w:t>
      </w:r>
    </w:p>
    <w:p w:rsidR="00A31137" w:rsidRPr="00A31137" w:rsidRDefault="00A31137" w:rsidP="00A31137">
      <w:r w:rsidRPr="00A31137">
        <w:t>B</w:t>
      </w:r>
    </w:p>
    <w:p w:rsidR="00A31137" w:rsidRPr="00A31137" w:rsidRDefault="00A31137" w:rsidP="00A31137">
      <w:r w:rsidRPr="00A31137">
        <w:t>1992, Planned Parenthood v. Casey, 505 U.S. 929</w:t>
      </w:r>
    </w:p>
    <w:p w:rsidR="00A31137" w:rsidRPr="00A31137" w:rsidRDefault="00A31137" w:rsidP="00A31137">
      <w:r w:rsidRPr="00A31137">
        <w:t>The Court has held that limitations on the right of privacy are permissible only if they survive "strict" constitutional scrutiny—that is, only if the governmental entity imposing the restriction can demonstrate that the limitation is both necessary and narrowly tailored to serve a compelling governmental interest. Griswold v. Connecticut, 381 U.S. 479,  485 (1965). We have applied this principle specifically in the context of abortion regulations. Roe v. Wade, 410 U.S. at  155. 5</w:t>
      </w:r>
    </w:p>
    <w:p w:rsidR="00A31137" w:rsidRPr="00A31137" w:rsidRDefault="00A31137" w:rsidP="00A31137">
      <w:r w:rsidRPr="00A31137">
        <w:t>1992, Planned Parenthood v. Casey, 505 U.S. 929</w:t>
      </w:r>
    </w:p>
    <w:p w:rsidR="00A31137" w:rsidRPr="00A31137" w:rsidRDefault="00A31137" w:rsidP="00A31137">
      <w:r w:rsidRPr="00A31137">
        <w:t>Roe implemented these principles through a framework that was designed</w:t>
      </w:r>
    </w:p>
    <w:p w:rsidR="00A31137" w:rsidRPr="00A31137" w:rsidRDefault="00A31137" w:rsidP="00A31137">
      <w:r w:rsidRPr="00A31137">
        <w:t>1992, Planned Parenthood v. Casey, 505 U.S. 929</w:t>
      </w:r>
    </w:p>
    <w:p w:rsidR="00A31137" w:rsidRPr="00A31137" w:rsidRDefault="00A31137" w:rsidP="00A31137">
      <w:r w:rsidRPr="00A31137">
        <w:t>to insure that the woman's right to choose not become so subordinate to the State's interest in promoting fetal life that her choice exists in theory, but not in fact,</w:t>
      </w:r>
    </w:p>
    <w:p w:rsidR="00A31137" w:rsidRPr="00A31137" w:rsidRDefault="00A31137" w:rsidP="00A31137">
      <w:r w:rsidRPr="00A31137">
        <w:t>1992, Planned Parenthood v. Casey, 505 U.S. 929</w:t>
      </w:r>
    </w:p>
    <w:p w:rsidR="00A31137" w:rsidRPr="00A31137" w:rsidRDefault="00A31137" w:rsidP="00A31137">
      <w:r w:rsidRPr="00A31137">
        <w:t>ante at  872. Roe identified two relevant State interests: "an interest in preserving and protecting the health of the pregnant woman" and an interest in "protecting the potentiality of human life." 410 U.S. at  162. With respect to the State's interest in the health of the mother, "the 'compelling' point…is at approximately the end of the first trimester," because it is at that point that the mortality rate in abortion approaches that in childbirth. Roe, 410 U.S. at  163. With respect to the State's interest in potential life, "the 'compelling' point is at viability," because it is at that point that the [505 U.S. 930] fetus "presumably has the capability of meaningful life outside the mother's womb." Ibid. In order to fulfill the requirement of narrow tailoring,</w:t>
      </w:r>
    </w:p>
    <w:p w:rsidR="00A31137" w:rsidRPr="00A31137" w:rsidRDefault="00A31137" w:rsidP="00A31137">
      <w:r w:rsidRPr="00A31137">
        <w:t>1992, Planned Parenthood v. Casey, 505 U.S. 930</w:t>
      </w:r>
    </w:p>
    <w:p w:rsidR="00A31137" w:rsidRPr="00A31137" w:rsidRDefault="00A31137" w:rsidP="00A31137">
      <w:r w:rsidRPr="00A31137">
        <w:t>the State is obligated to make a reasonable effort to limit the effect of its regulations to the period in the trimester during which its health interest will be furthered.</w:t>
      </w:r>
    </w:p>
    <w:p w:rsidR="00A31137" w:rsidRPr="00A31137" w:rsidRDefault="00A31137" w:rsidP="00A31137">
      <w:r w:rsidRPr="00A31137">
        <w:t>1992, Planned Parenthood v. Casey, 505 U.S. 930</w:t>
      </w:r>
    </w:p>
    <w:p w:rsidR="00A31137" w:rsidRPr="00A31137" w:rsidRDefault="00A31137" w:rsidP="00A31137">
      <w:r w:rsidRPr="00A31137">
        <w:t>Akron, 462 U.S. at  434.</w:t>
      </w:r>
    </w:p>
    <w:p w:rsidR="00A31137" w:rsidRPr="00A31137" w:rsidRDefault="00A31137" w:rsidP="00A31137">
      <w:r w:rsidRPr="00A31137">
        <w:t>1992, Planned Parenthood v. Casey, 505 U.S. 930</w:t>
      </w:r>
    </w:p>
    <w:p w:rsidR="00A31137" w:rsidRPr="00A31137" w:rsidRDefault="00A31137" w:rsidP="00A31137">
      <w:r w:rsidRPr="00A31137">
        <w:t>In my view, application of this analytical framework is no less warranted than when it was approved by seven Members of this Court in Roe. Strict scrutiny of state limitations on reproductive choice still offers the most secure protection of the woman's right to make her own reproductive decisions, free from state coercion. No majority of this Court has ever agreed upon an alternative approach. The factual premises of the trimester framework have not been undermined, see Webster, 492 U.S. at  553 (BLACKMUN, J., dissenting), and the Roe framework is far more administrable, and far less manipulable, than the "undue burden" standard adopted by the joint opinion.</w:t>
      </w:r>
    </w:p>
    <w:p w:rsidR="00A31137" w:rsidRPr="00A31137" w:rsidRDefault="00A31137" w:rsidP="00A31137">
      <w:r w:rsidRPr="00A31137">
        <w:t>1992, Planned Parenthood v. Casey, 505 U.S. 930</w:t>
      </w:r>
    </w:p>
    <w:p w:rsidR="00A31137" w:rsidRPr="00A31137" w:rsidRDefault="00A31137" w:rsidP="00A31137">
      <w:r w:rsidRPr="00A31137">
        <w:t>Nonetheless, three criticisms of the trimester framework continue to be uttered. First, the trimester framework is attacked because its key elements do not appear in the text of the Constitution. My response to this attack remains the same as it was in Webster:</w:t>
      </w:r>
    </w:p>
    <w:p w:rsidR="00A31137" w:rsidRPr="00A31137" w:rsidRDefault="00A31137" w:rsidP="00A31137">
      <w:r w:rsidRPr="00A31137">
        <w:t>1992, Planned Parenthood v. Casey, 505 U.S. 930</w:t>
      </w:r>
    </w:p>
    <w:p w:rsidR="00A31137" w:rsidRPr="00A31137" w:rsidRDefault="00A31137" w:rsidP="00A31137">
      <w:r w:rsidRPr="00A31137">
        <w:t>Were this a true concern, we would have to abandon most of our constitutional jurisprudence. [T]he "critical elements" of countless constitutional doctrines nowhere appear in the Constitution's text…. The Constitution makes no mention, for example, of the First Amendment's "actual malice" standard for proving certain libels, see New York Times Co. v. Sullivan, 376 U.S. 254 (1964)…. Similarly, the Constitution makes no mention of the rational basis test, or the specific verbal formulations of intermediate and strict scrutiny by which this Court evaluates claims under the Equal Protection Clause. The reason is simple. Like the Roe framework, these [505 U.S. 931] tests or standards are not, and do not purport to be, rights protected by the Constitution. Rather, they are judge-made methods for evaluating and measuring the strength and scope of constitutional rights or for balancing the constitutional rights of individuals against the competing interests of government.</w:t>
      </w:r>
    </w:p>
    <w:p w:rsidR="00A31137" w:rsidRPr="00A31137" w:rsidRDefault="00A31137" w:rsidP="00A31137">
      <w:r w:rsidRPr="00A31137">
        <w:t>1992, Planned Parenthood v. Casey, 505 U.S. 931</w:t>
      </w:r>
    </w:p>
    <w:p w:rsidR="00A31137" w:rsidRPr="00A31137" w:rsidRDefault="00A31137" w:rsidP="00A31137">
      <w:r w:rsidRPr="00A31137">
        <w:t>492 U.S. at  548.</w:t>
      </w:r>
    </w:p>
    <w:p w:rsidR="00A31137" w:rsidRPr="00A31137" w:rsidRDefault="00A31137" w:rsidP="00A31137">
      <w:r w:rsidRPr="00A31137">
        <w:t>1992, Planned Parenthood v. Casey, 505 U.S. 931</w:t>
      </w:r>
    </w:p>
    <w:p w:rsidR="00A31137" w:rsidRPr="00A31137" w:rsidRDefault="00A31137" w:rsidP="00A31137">
      <w:r w:rsidRPr="00A31137">
        <w:t>The second criticism is that the framework more closely resembles a regulatory code than a body of constitutional doctrine. Again, my answer remains the same as in Webster.</w:t>
      </w:r>
    </w:p>
    <w:p w:rsidR="00A31137" w:rsidRPr="00A31137" w:rsidRDefault="00A31137" w:rsidP="00A31137">
      <w:r w:rsidRPr="00A31137">
        <w:t>1992, Planned Parenthood v. Casey, 505 U.S. 931</w:t>
      </w:r>
    </w:p>
    <w:p w:rsidR="00A31137" w:rsidRPr="00A31137" w:rsidRDefault="00A31137" w:rsidP="00A31137">
      <w:r w:rsidRPr="00A31137">
        <w:t>[I]f this were a true and genuine concern, we would have to abandon vast areas of our constitutional jurisprudence…. Are [the distinctions entailed in the trimester framework] any finer, or more "regulatory," than the distinctions we have often drawn in our First Amendment jurisprudence, where, for example, we have held that a "release time" program permitting public school students to leave school grounds during school hours receive religious instruction does not violate the Establishment Clause, even though a release time program permitting religious instruction on school grounds does violate the Clause? Compare Zorach v. Clauson, 343 U.S. 306 (1952), with Illinois ex rel. McCollum v. Board of Education of School Dist. No. 71, Champaign County, 333 U.S. 203 (1948)…. Similarly, in a Sixth Amendment case, the Court held that, although an overnight ban on attorney-client communication violated the constitutionally guaranteed right to counsel, Geders v. United States, 425 U.S. 80 (1976), that right was not violated when a trial judge separated a defendant from his lawyer during a 15-minute recess after the defendant's direct testimony. Perry v. Leake, 488 U.S. 272 (1989). That numerous constitutional doctrines result in narrow differentiations between similar circumstances does [505 U.S. 932] not mean that this Court has abandoned adjudication in favor of regulation.</w:t>
      </w:r>
    </w:p>
    <w:p w:rsidR="00A31137" w:rsidRPr="00A31137" w:rsidRDefault="00A31137" w:rsidP="00A31137">
      <w:r w:rsidRPr="00A31137">
        <w:t>1992, Planned Parenthood v. Casey, 505 U.S. 932</w:t>
      </w:r>
    </w:p>
    <w:p w:rsidR="00A31137" w:rsidRPr="00A31137" w:rsidRDefault="00A31137" w:rsidP="00A31137">
      <w:r w:rsidRPr="00A31137">
        <w:t>Id. at 549-550.</w:t>
      </w:r>
    </w:p>
    <w:p w:rsidR="00A31137" w:rsidRPr="00A31137" w:rsidRDefault="00A31137" w:rsidP="00A31137">
      <w:r w:rsidRPr="00A31137">
        <w:t>1992, Planned Parenthood v. Casey, 505 U.S. 932</w:t>
      </w:r>
    </w:p>
    <w:p w:rsidR="00A31137" w:rsidRPr="00A31137" w:rsidRDefault="00A31137" w:rsidP="00A31137">
      <w:r w:rsidRPr="00A31137">
        <w:t>The final, and more genuine, criticism of the trimester framework is that it fails to find the State's interest in potential human life compelling throughout pregnancy. No member of this Court—nor for that matter, the Solicitor General, Tr. of Oral Arg. 42—has ever questioned our holding in Roe that an abortion is not "the termination of life entitled to Fourteenth Amendment protection." 410 U.S. at  159. Accordingly, a State's interest in protecting fetal life is not grounded in the Constitution. Nor, consistent with our Establishment Clause, can it be a theological or sectarian interest. See Thornburgh, 476 U.S. at  778 (STEVENS, J., concurring). It is, instead, a legitimate interest grounded in humanitarian or pragmatic concerns. See ante at 914-915 (opinion of STEVENS, J.).</w:t>
      </w:r>
    </w:p>
    <w:p w:rsidR="00A31137" w:rsidRPr="00A31137" w:rsidRDefault="00A31137" w:rsidP="00A31137">
      <w:r w:rsidRPr="00A31137">
        <w:t>1992, Planned Parenthood v. Casey, 505 U.S. 932</w:t>
      </w:r>
    </w:p>
    <w:p w:rsidR="00A31137" w:rsidRPr="00A31137" w:rsidRDefault="00A31137" w:rsidP="00A31137">
      <w:r w:rsidRPr="00A31137">
        <w:t>But while a State has "legitimate interests from the outset of the pregnancy in protecting the health of the woman and the life of the fetus that may become a child," ante at  846, legitimate interests are not enough. To overcome the burden of strict scrutiny, the interests must be compelling. The question then is how best to accommodate the State's interest in potential human life with the constitutional liberties of pregnant women. Again, I stand by the views I expressed in Webster:</w:t>
      </w:r>
    </w:p>
    <w:p w:rsidR="00A31137" w:rsidRPr="00A31137" w:rsidRDefault="00A31137" w:rsidP="00A31137">
      <w:r w:rsidRPr="00A31137">
        <w:t>1992, Planned Parenthood v. Casey, 505 U.S. 932</w:t>
      </w:r>
    </w:p>
    <w:p w:rsidR="00A31137" w:rsidRPr="00A31137" w:rsidRDefault="00A31137" w:rsidP="00A31137">
      <w:r w:rsidRPr="00A31137">
        <w:t>I remain convinced, as six other Members of this Court 16 years ago were convinced, that the Roe framework, and the viability standard in particular, fairly, sensibly, and effectively functions to safeguard the constitutional liberties of pregnant women while recognizing and accommodating the State's interest in potential human life. The viability line reflects the biological facts and truths of fetal development; it marks that threshold moment prior to which a fetus cannot survive separate from the [505 U.S. 933] woman and cannot reasonably and objectively be regarded as a subject of rights or interests distinct from, or paramount to, those of the pregnant woman. At the same time, the viability standard takes account of the undeniable fact that, as the fetus evolves into its postnatal form, and as it loses its dependence on the uterine environment, the State's interest in the fetus' potential human life, and in fostering a regard for human life in general, becomes compelling. As a practical matter, because viability follows "quickening"—the point at which a woman feels movement in her womb—and because viability occurs no earlier than 23 weeks gestational age, it establishes an easily applicable standard for regulating abortion, while providing a pregnant woman ample time to exercise her fundamental right with her responsible physician to terminate her pregnancy.</w:t>
      </w:r>
    </w:p>
    <w:p w:rsidR="00A31137" w:rsidRPr="00A31137" w:rsidRDefault="00A31137" w:rsidP="00A31137">
      <w:r w:rsidRPr="00A31137">
        <w:t>1992, Planned Parenthood v. Casey, 505 U.S. 933</w:t>
      </w:r>
    </w:p>
    <w:p w:rsidR="00A31137" w:rsidRPr="00A31137" w:rsidRDefault="00A31137" w:rsidP="00A31137">
      <w:r w:rsidRPr="00A31137">
        <w:t>492 U.S. at 553-554. 6</w:t>
      </w:r>
    </w:p>
    <w:p w:rsidR="00A31137" w:rsidRPr="00A31137" w:rsidRDefault="00A31137" w:rsidP="00A31137">
      <w:r w:rsidRPr="00A31137">
        <w:t>1992, Planned Parenthood v. Casey, 505 U.S. 933</w:t>
      </w:r>
    </w:p>
    <w:p w:rsidR="00A31137" w:rsidRPr="00A31137" w:rsidRDefault="00A31137" w:rsidP="00A31137">
      <w:r w:rsidRPr="00A31137">
        <w:t>Roe's trimester framework does not ignore the State's interest in prenatal life. Like JUSTICE STEVENS, I agree that the State may take steps to ensure that a woman's choice "is thoughtful and informed," ante at  872, and that</w:t>
      </w:r>
    </w:p>
    <w:p w:rsidR="00A31137" w:rsidRPr="00A31137" w:rsidRDefault="00A31137" w:rsidP="00A31137">
      <w:r w:rsidRPr="00A31137">
        <w:t>1992, Planned Parenthood v. Casey, 505 U.S. 933</w:t>
      </w:r>
    </w:p>
    <w:p w:rsidR="00A31137" w:rsidRPr="00A31137" w:rsidRDefault="00A31137" w:rsidP="00A31137">
      <w:r w:rsidRPr="00A31137">
        <w:t>States are free to enact laws to provide a reasonable framework for a woman to make a decision that has such profound and lasting meaning.</w:t>
      </w:r>
    </w:p>
    <w:p w:rsidR="00A31137" w:rsidRPr="00A31137" w:rsidRDefault="00A31137" w:rsidP="00A31137">
      <w:r w:rsidRPr="00A31137">
        <w:t>1992, Planned Parenthood v. Casey, 505 U.S. 933</w:t>
      </w:r>
    </w:p>
    <w:p w:rsidR="00A31137" w:rsidRPr="00A31137" w:rsidRDefault="00A31137" w:rsidP="00A31137">
      <w:r w:rsidRPr="00A31137">
        <w:t>Ante at  873. But</w:t>
      </w:r>
    </w:p>
    <w:p w:rsidR="00A31137" w:rsidRPr="00A31137" w:rsidRDefault="00A31137" w:rsidP="00A31137">
      <w:r w:rsidRPr="00A31137">
        <w:t>1992, Planned Parenthood v. Casey, 505 U.S. 933</w:t>
      </w:r>
    </w:p>
    <w:p w:rsidR="00A31137" w:rsidRPr="00A31137" w:rsidRDefault="00A31137" w:rsidP="00A31137">
      <w:r w:rsidRPr="00A31137">
        <w:t>[s]erious questions arise when a State attempts to "persuade the woman to choose childbirth over abortion." Ante at  878. Decisional autonomy must limit the State's power to inject into a woman's most personal deliberations its own views of what is best. The State may promote its preferences by funding childbirth, by creating and maintaining alternatives to abortion, and by espousing the virtues of family, but it must respect [505 U.S. 934] the individual's freedom to make such judgments.</w:t>
      </w:r>
    </w:p>
    <w:p w:rsidR="00A31137" w:rsidRPr="00A31137" w:rsidRDefault="00A31137" w:rsidP="00A31137">
      <w:r w:rsidRPr="00A31137">
        <w:t>1992, Planned Parenthood v. Casey, 505 U.S. 934</w:t>
      </w:r>
    </w:p>
    <w:p w:rsidR="00A31137" w:rsidRPr="00A31137" w:rsidRDefault="00A31137" w:rsidP="00A31137">
      <w:r w:rsidRPr="00A31137">
        <w:t>Ante at  916 (opinion of STEVENS, J.). As the joint opinion recognizes,</w:t>
      </w:r>
    </w:p>
    <w:p w:rsidR="00A31137" w:rsidRPr="00A31137" w:rsidRDefault="00A31137" w:rsidP="00A31137">
      <w:r w:rsidRPr="00A31137">
        <w:t>1992, Planned Parenthood v. Casey, 505 U.S. 934</w:t>
      </w:r>
    </w:p>
    <w:p w:rsidR="00A31137" w:rsidRPr="00A31137" w:rsidRDefault="00A31137" w:rsidP="00A31137">
      <w:r w:rsidRPr="00A31137">
        <w:t>the means chosen by the State to further the interest in potential life must be calculated to inform the woman's free choice, not hinder it.</w:t>
      </w:r>
    </w:p>
    <w:p w:rsidR="00A31137" w:rsidRPr="00A31137" w:rsidRDefault="00A31137" w:rsidP="00A31137">
      <w:r w:rsidRPr="00A31137">
        <w:t>1992, Planned Parenthood v. Casey, 505 U.S. 934</w:t>
      </w:r>
    </w:p>
    <w:p w:rsidR="00A31137" w:rsidRPr="00A31137" w:rsidRDefault="00A31137" w:rsidP="00A31137">
      <w:r w:rsidRPr="00A31137">
        <w:t>Ante at  877.</w:t>
      </w:r>
    </w:p>
    <w:p w:rsidR="00A31137" w:rsidRPr="00A31137" w:rsidRDefault="00A31137" w:rsidP="00A31137">
      <w:r w:rsidRPr="00A31137">
        <w:t>1992, Planned Parenthood v. Casey, 505 U.S. 934</w:t>
      </w:r>
    </w:p>
    <w:p w:rsidR="00A31137" w:rsidRPr="00A31137" w:rsidRDefault="00A31137" w:rsidP="00A31137">
      <w:r w:rsidRPr="00A31137">
        <w:t>In sum, Roe's requirement of strict scrutiny as implemented through a trimester framework should not be disturbed. No other approach has gained a majority, and no other is more protective of the woman's fundamental right. Lastly, no other approach properly accommodates the woman's constitutional right with the State's legitimate interests.</w:t>
      </w:r>
    </w:p>
    <w:p w:rsidR="00A31137" w:rsidRPr="00A31137" w:rsidRDefault="00A31137" w:rsidP="00A31137">
      <w:r w:rsidRPr="00A31137">
        <w:t>C</w:t>
      </w:r>
    </w:p>
    <w:p w:rsidR="00A31137" w:rsidRPr="00A31137" w:rsidRDefault="00A31137" w:rsidP="00A31137">
      <w:r w:rsidRPr="00A31137">
        <w:t>1992, Planned Parenthood v. Casey, 505 U.S. 934</w:t>
      </w:r>
    </w:p>
    <w:p w:rsidR="00A31137" w:rsidRPr="00A31137" w:rsidRDefault="00A31137" w:rsidP="00A31137">
      <w:r w:rsidRPr="00A31137">
        <w:t>Application of the strict scrutiny standard results in the invalidation of all the challenged provisions. Indeed, as this Court has invalidated virtually identical provisions in prior cases, stare decisis requires that we again strike them down.</w:t>
      </w:r>
    </w:p>
    <w:p w:rsidR="00A31137" w:rsidRPr="00A31137" w:rsidRDefault="00A31137" w:rsidP="00A31137">
      <w:r w:rsidRPr="00A31137">
        <w:t>1992, Planned Parenthood v. Casey, 505 U.S. 934</w:t>
      </w:r>
    </w:p>
    <w:p w:rsidR="00A31137" w:rsidRPr="00A31137" w:rsidRDefault="00A31137" w:rsidP="00A31137">
      <w:r w:rsidRPr="00A31137">
        <w:t>This Court has upheld informed and written consent requirements only where the State has demonstrated that they genuinely further important health-related state concerns. See Danforth, 428 U.S. at 65-67. A State may not, under the guise of securing informed consent, "require the delivery of information 'designed to influence the woman's informed choice between abortion or childbirth.'" Thornburgh v. American College of Obstetricians &amp; Gynecologists, 476 U.S. 747,  760 (1986), (quoting Akron, 462 U.S. at 443-444). Rigid requirements that a specific body of information be imparted to a woman in all cases, regardless of the needs of the patient, improperly intrude upon the discretion of the pregnant woman's physician. and thereby impose an "'undesired and uncomfortable straitjacket.'" Thornburgh, 476 U.S. at  762 (quoting Danforth, 428 U.S. at  67, n. 8).</w:t>
      </w:r>
    </w:p>
    <w:p w:rsidR="00A31137" w:rsidRPr="00A31137" w:rsidRDefault="00A31137" w:rsidP="00A31137">
      <w:r w:rsidRPr="00A31137">
        <w:t>1992, Planned Parenthood v. Casey, 505 U.S. 934</w:t>
      </w:r>
    </w:p>
    <w:p w:rsidR="00A31137" w:rsidRPr="00A31137" w:rsidRDefault="00A31137" w:rsidP="00A31137">
      <w:r w:rsidRPr="00A31137">
        <w:t>Measured against these principles, some aspects of the Pennsylvania informed consent scheme are unconstitutional. [505 U.S. 935] While it is unobjectionable for the Commonwealth to require that the patient be informed of the nature of the procedure, the health risks of the abortion and of childbirth, and the probable gestational age of the unborn child, compare §§ 3205(a)(1)(i)-(iii) with Akron, 462 U.S. at 446, n. 37, I remain unconvinced that there is a vital state need for insisting that the information be provided by a physician, rather than a counselor. Id. at  448. The District Court found that the physician-only requirement necessarily would increase costs to the plaintiff clinics, costs that undoubtedly would be passed on to patients. And because trained women counselors are often more understanding than physicians, and generally have more time to spend with patients, see App. 366a-387a, the physician-only disclosure requirement is not narrowly tailored to serve the Commonwealth's interest in protecting maternal health.</w:t>
      </w:r>
    </w:p>
    <w:p w:rsidR="00A31137" w:rsidRPr="00A31137" w:rsidRDefault="00A31137" w:rsidP="00A31137">
      <w:r w:rsidRPr="00A31137">
        <w:t>1992, Planned Parenthood v. Casey, 505 U.S. 935</w:t>
      </w:r>
    </w:p>
    <w:p w:rsidR="00A31137" w:rsidRPr="00A31137" w:rsidRDefault="00A31137" w:rsidP="00A31137">
      <w:r w:rsidRPr="00A31137">
        <w:t>Sections 3205(a)(2)(i) (iii) of the Act further requires that the physician or a qualified nonphysician inform the woman that printed materials are available from the Commonwealth that describe the fetus and provide information about medical assistance for childbirth, information about child support from the father, and a list of agencies offering that provide adoption and other services as alternatives to abortion. Thornburgh invalidated biased patient counseling requirements virtually identical to the one at issue here. What we said of those requirements fully applies in this case:</w:t>
      </w:r>
    </w:p>
    <w:p w:rsidR="00A31137" w:rsidRPr="00A31137" w:rsidRDefault="00A31137" w:rsidP="00A31137">
      <w:r w:rsidRPr="00A31137">
        <w:t>1992, Planned Parenthood v. Casey, 505 U.S. 935</w:t>
      </w:r>
    </w:p>
    <w:p w:rsidR="00A31137" w:rsidRPr="00A31137" w:rsidRDefault="00A31137" w:rsidP="00A31137">
      <w:r w:rsidRPr="00A31137">
        <w:t>the listing of agencies in the printed Pennsylvania form presents serious problems; it contains names of agencies that well may be out of step with the needs of the particular woman, and thus places the physician in an awkward position and infringes upon his or her professional responsibilities. Forcing the physician or counselor to present the materials and the list to the woman makes him or her in effect an agent of the State in treating the woman and places his or her imprimatur upon both the materials and the list. All this is, or [505 U.S. 936] comes close to being, state medicine imposed upon the woman, not the professional medical guidance she seeks, and it officially structures—as it obviously was intended to do—the dialogue between the woman and her physician.</w:t>
      </w:r>
    </w:p>
    <w:p w:rsidR="00A31137" w:rsidRPr="00A31137" w:rsidRDefault="00A31137" w:rsidP="00A31137">
      <w:r w:rsidRPr="00A31137">
        <w:t>1992, Planned Parenthood v. Casey, 505 U.S. 936</w:t>
      </w:r>
    </w:p>
    <w:p w:rsidR="00A31137" w:rsidRPr="00A31137" w:rsidRDefault="00A31137" w:rsidP="00A31137">
      <w:r w:rsidRPr="00A31137">
        <w:t>The requirements…that the woman be advised that medical assistance benefits may be available, and that the father is responsible for financial assistance in the support of the child similarly are poorly disguised elements of discouragement for the abortion decision. Much of this…, for many patients, would be irrelevant and inappropriate. For a patient with a life-threatening pregnancy, the "information," in its very rendition, may be cruel as well as destructive of the physician-patient relationship. As any experienced social worker or other counselor knows, theoretical financial responsibility often does not equate with fulfillment…. Under the guise of informed consent, the Act requires the dissemination of information that is not relevant to such consent, and, thus, it advances no legitimate state interest.</w:t>
      </w:r>
    </w:p>
    <w:p w:rsidR="00A31137" w:rsidRPr="00A31137" w:rsidRDefault="00A31137" w:rsidP="00A31137">
      <w:r w:rsidRPr="00A31137">
        <w:t>1992, Planned Parenthood v. Casey, 505 U.S. 936</w:t>
      </w:r>
    </w:p>
    <w:p w:rsidR="00A31137" w:rsidRPr="00A31137" w:rsidRDefault="00A31137" w:rsidP="00A31137">
      <w:r w:rsidRPr="00A31137">
        <w:t>476 U.S. at  763.</w:t>
      </w:r>
    </w:p>
    <w:p w:rsidR="00A31137" w:rsidRPr="00A31137" w:rsidRDefault="00A31137" w:rsidP="00A31137">
      <w:r w:rsidRPr="00A31137">
        <w:t>1992, Planned Parenthood v. Casey, 505 U.S. 936</w:t>
      </w:r>
    </w:p>
    <w:p w:rsidR="00A31137" w:rsidRPr="00A31137" w:rsidRDefault="00A31137" w:rsidP="00A31137">
      <w:r w:rsidRPr="00A31137">
        <w:t>"This type of compelled information is the antithesis of informed consent," id. at  764, and goes far beyond merely describing the general subject matter relevant to the woman's decision.</w:t>
      </w:r>
    </w:p>
    <w:p w:rsidR="00A31137" w:rsidRPr="00A31137" w:rsidRDefault="00A31137" w:rsidP="00A31137">
      <w:r w:rsidRPr="00A31137">
        <w:t>1992, Planned Parenthood v. Casey, 505 U.S. 936</w:t>
      </w:r>
    </w:p>
    <w:p w:rsidR="00A31137" w:rsidRPr="00A31137" w:rsidRDefault="00A31137" w:rsidP="00A31137">
      <w:r w:rsidRPr="00A31137">
        <w:t>That the Commonwealth does not, and surely would not, compel similar disclosure of every possible peril of necessary surgery or of simple vaccination, reveals the antiabortion character of the statute and its real purpose.</w:t>
      </w:r>
    </w:p>
    <w:p w:rsidR="00A31137" w:rsidRPr="00A31137" w:rsidRDefault="00A31137" w:rsidP="00A31137">
      <w:r w:rsidRPr="00A31137">
        <w:t>1992, Planned Parenthood v. Casey, 505 U.S. 936</w:t>
      </w:r>
    </w:p>
    <w:p w:rsidR="00A31137" w:rsidRPr="00A31137" w:rsidRDefault="00A31137" w:rsidP="00A31137">
      <w:r w:rsidRPr="00A31137">
        <w:t xml:space="preserve">Ibid. 7 [505 U.S. 937] </w:t>
      </w:r>
    </w:p>
    <w:p w:rsidR="00A31137" w:rsidRPr="00A31137" w:rsidRDefault="00A31137" w:rsidP="00A31137">
      <w:r w:rsidRPr="00A31137">
        <w:t>1992, Planned Parenthood v. Casey, 505 U.S. 937</w:t>
      </w:r>
    </w:p>
    <w:p w:rsidR="00A31137" w:rsidRPr="00A31137" w:rsidRDefault="00A31137" w:rsidP="00A31137">
      <w:r w:rsidRPr="00A31137">
        <w:t>The 24-hour waiting period following the provision of the foregoing information is also clearly unconstitutional. The District Court found that the mandatory 24-hour delay could lead to delays in excess of 24 hours, thus increasing health risks, and that it would require two visits to the abortion provider, thereby increasing travel time, exposure to further harassment, and financial cost. Finally, the District Court found that the requirement would pose especially significant burdens on women living in rural areas and those women that have difficulty explaining their whereabouts. App. to Pet. for Cert. in No. 91902, pp. 380a-382a (hereinafter App.). In Akron, this Court invalidated a similarly arbitrary or inflexible waiting period because, as here, it furthered no legitimate state interest. 8</w:t>
      </w:r>
    </w:p>
    <w:p w:rsidR="00A31137" w:rsidRPr="00A31137" w:rsidRDefault="00A31137" w:rsidP="00A31137">
      <w:r w:rsidRPr="00A31137">
        <w:t>1992, Planned Parenthood v. Casey, 505 U.S. 937</w:t>
      </w:r>
    </w:p>
    <w:p w:rsidR="00A31137" w:rsidRPr="00A31137" w:rsidRDefault="00A31137" w:rsidP="00A31137">
      <w:r w:rsidRPr="00A31137">
        <w:t>As JUSTICE STEVENS insightfully concludes, the mandatory delay rests either on outmoded or unacceptable assumptions about the decisionmaking capacity of women or the belief that the decision to terminate the pregnancy is [505 U.S. 938] presumptively wrong. Ante at 918-919. The requirement that women consider this obvious and slanted information for an additional 24 hours contained in these provisions will only influence the woman's decision in improper ways. The vast majority of women will know this information—of the few that do not, it is less likely that their minds will be changed by this information than it will be either by the realization that the State opposes their choice or the need once again to endure abuse and harassment on return to the clinic. 9</w:t>
      </w:r>
    </w:p>
    <w:p w:rsidR="00A31137" w:rsidRPr="00A31137" w:rsidRDefault="00A31137" w:rsidP="00A31137">
      <w:r w:rsidRPr="00A31137">
        <w:t>1992, Planned Parenthood v. Casey, 505 U.S. 938</w:t>
      </w:r>
    </w:p>
    <w:p w:rsidR="00A31137" w:rsidRPr="00A31137" w:rsidRDefault="00A31137" w:rsidP="00A31137">
      <w:r w:rsidRPr="00A31137">
        <w:t xml:space="preserve">Except in the case of a medical emergency, § 3206 requires a physician to obtain the informed consent of a parent or guardian before performing an abortion on an unemancipated minor or an incompetent woman. Based on evidence in the record, the District Court concluded that, in order to fulfill the informed consent requirement, generally accepted medical principles would require an in-person visit by the parent to the facility. App. 399a. Although the Court "has recognized that the State has somewhat broader authority to regulate the activities of children than of adults," the State nevertheless must demonstrate that there is a "significant State interest in conditioning an abortion…that is not present in the case of an adult." Danforth, 428 U.S. at 74-75 (emphasis added). The requirement of an in-person visit would carry with it the risk of a delay of several days or possibly weeks, even where the parent is willing to consent. While the State has an interest in encouraging parental involvement in the minor's abortion decision, § 3206 is not narrowly drawn to serve that interest. 10 [505 U.S. 939] </w:t>
      </w:r>
    </w:p>
    <w:p w:rsidR="00A31137" w:rsidRPr="00A31137" w:rsidRDefault="00A31137" w:rsidP="00A31137">
      <w:r w:rsidRPr="00A31137">
        <w:t>1992, Planned Parenthood v. Casey, 505 U.S. 939</w:t>
      </w:r>
    </w:p>
    <w:p w:rsidR="00A31137" w:rsidRPr="00A31137" w:rsidRDefault="00A31137" w:rsidP="00A31137">
      <w:r w:rsidRPr="00A31137">
        <w:t>Finally, the Pennsylvania statute requires every facility performing abortions to report its activities to the Commonwealth. Pennsylvania contends that this requirement is valid under Danforth, in which this Court held that recordkeeping and reporting requirements that are reasonably directed to the preservation of maternal health, and that properly respect a patient's confidentiality, are permissible. 428 U.S. at 79-81. The Commonwealth attempts to justify its required reports on the ground that the public has a right to know how its tax dollars are spent. A regulation designed to inform the public about public expenditures does not further the Commonwealth's interest in protecting maternal health. Accordingly, such a regulation cannot justify a legally significant burden on a woman's right to obtain an abortion.</w:t>
      </w:r>
    </w:p>
    <w:p w:rsidR="00A31137" w:rsidRPr="00A31137" w:rsidRDefault="00A31137" w:rsidP="00A31137">
      <w:r w:rsidRPr="00A31137">
        <w:t>1992, Planned Parenthood v. Casey, 505 U.S. 939</w:t>
      </w:r>
    </w:p>
    <w:p w:rsidR="00A31137" w:rsidRPr="00A31137" w:rsidRDefault="00A31137" w:rsidP="00A31137">
      <w:r w:rsidRPr="00A31137">
        <w:t>The confidential reports concerning the identities and medical judgment of physicians involved in abortions at first glance may seem valid, given the State's interest in maternal health and enforcement of the Act. The District Court found, however, that, notwithstanding the confidentiality protections, many physicians, particularly those who have previously discontinued performing abortions because of harassment, would refuse to refer patients to abortion clinics if their names were to appear on these reports. App. 447a-448a. The Commonwealth has failed to show that the name of the referring physician either adds to the pool of scientific knowledge concerning abortion or is reasonably related to the Commonwealth's interest in maternal health. I therefore agree with the District Court's conclusion that the confidential reporting requirements are unconstitutional [505 U.S. 940] insofar as they require the name of the referring physician and the basis for his or her medical judgment.</w:t>
      </w:r>
    </w:p>
    <w:p w:rsidR="00A31137" w:rsidRPr="00A31137" w:rsidRDefault="00A31137" w:rsidP="00A31137">
      <w:r w:rsidRPr="00A31137">
        <w:t>1992, Planned Parenthood v. Casey, 505 U.S. 940</w:t>
      </w:r>
    </w:p>
    <w:p w:rsidR="00A31137" w:rsidRPr="00A31137" w:rsidRDefault="00A31137" w:rsidP="00A31137">
      <w:r w:rsidRPr="00A31137">
        <w:t>In sum, I would affirm the judgment in No. 91-902 and reverse the judgment in No. 91-744 and remand the cases for further proceedings.</w:t>
      </w:r>
    </w:p>
    <w:p w:rsidR="00A31137" w:rsidRPr="00A31137" w:rsidRDefault="00A31137" w:rsidP="00A31137">
      <w:r w:rsidRPr="00A31137">
        <w:t>III</w:t>
      </w:r>
    </w:p>
    <w:p w:rsidR="00A31137" w:rsidRPr="00A31137" w:rsidRDefault="00A31137" w:rsidP="00A31137">
      <w:r w:rsidRPr="00A31137">
        <w:t>1992, Planned Parenthood v. Casey, 505 U.S. 940</w:t>
      </w:r>
    </w:p>
    <w:p w:rsidR="00A31137" w:rsidRPr="00A31137" w:rsidRDefault="00A31137" w:rsidP="00A31137">
      <w:r w:rsidRPr="00A31137">
        <w:t>At long last, THE CHIEF JUSTICE and those who have joined him admit it. Gone are the contentions that the issue need not be (or has not been) considered. There, on the first page, for all to see, is what was expected:</w:t>
      </w:r>
    </w:p>
    <w:p w:rsidR="00A31137" w:rsidRPr="00A31137" w:rsidRDefault="00A31137" w:rsidP="00A31137">
      <w:r w:rsidRPr="00A31137">
        <w:t>1992, Planned Parenthood v. Casey, 505 U.S. 940</w:t>
      </w:r>
    </w:p>
    <w:p w:rsidR="00A31137" w:rsidRPr="00A31137" w:rsidRDefault="00A31137" w:rsidP="00A31137">
      <w:r w:rsidRPr="00A31137">
        <w:t>We believe that Roe was wrongly decided, and that it can and should be overruled consistently with our traditional approach to stare decisis in constitutional cases.</w:t>
      </w:r>
    </w:p>
    <w:p w:rsidR="00A31137" w:rsidRPr="00A31137" w:rsidRDefault="00A31137" w:rsidP="00A31137">
      <w:r w:rsidRPr="00A31137">
        <w:t>1992, Planned Parenthood v. Casey, 505 U.S. 940</w:t>
      </w:r>
    </w:p>
    <w:p w:rsidR="00A31137" w:rsidRPr="00A31137" w:rsidRDefault="00A31137" w:rsidP="00A31137">
      <w:r w:rsidRPr="00A31137">
        <w:t>Post at  944. If there is much reason to applaud the advances made by the joint opinion today, there is far more to fear from THE CHIEF JUSTICE's opinion.</w:t>
      </w:r>
    </w:p>
    <w:p w:rsidR="00A31137" w:rsidRPr="00A31137" w:rsidRDefault="00A31137" w:rsidP="00A31137">
      <w:r w:rsidRPr="00A31137">
        <w:t>1992, Planned Parenthood v. Casey, 505 U.S. 940</w:t>
      </w:r>
    </w:p>
    <w:p w:rsidR="00A31137" w:rsidRPr="00A31137" w:rsidRDefault="00A31137" w:rsidP="00A31137">
      <w:r w:rsidRPr="00A31137">
        <w:t>THE CHIEF JUSTICE's criticism of Roe follows from his stunted conception of individual liberty. While recognizing that the Due Process Clause protects more than simple physical liberty, he then goes on to construe this Court's personal liberty cases as establishing only a laundry list of particular rights, rather than a principled account of how these particular rights are grounded in a more general right of privacy. Post at  951. This constricted view is reinforced by THE CHIEF JUSTICE's exclusive reliance on tradition as a source of fundamental rights. He argues that the record in favor of a right to abortion is no stronger than the record in Michael H. v. Gerald D., 491 U.S. 110 (1989), where the plurality found no fundamental right to visitation privileges by an adulterous father, or in Bowers v. Hardwick, 478 U.S. 186 (1986), where the Court found no fundamental right to engage in homosexual sodomy, or in a case involving the "firing of a gun…into another person's body." Post at 951-952. In THE CHIEF JUSTICE's world, a woman considering whether to terminate a pregnancy is entitled to no more protection than adulterers, murderers, and so-called "sexual [505 U.S. 941] deviates." 11 Given THE CHIEF JUSTICE's exclusive reliance on tradition, people using contraceptives seem the next likely candidate for his list of outcasts.</w:t>
      </w:r>
    </w:p>
    <w:p w:rsidR="00A31137" w:rsidRPr="00A31137" w:rsidRDefault="00A31137" w:rsidP="00A31137">
      <w:r w:rsidRPr="00A31137">
        <w:t>1992, Planned Parenthood v. Casey, 505 U.S. 941</w:t>
      </w:r>
    </w:p>
    <w:p w:rsidR="00A31137" w:rsidRPr="00A31137" w:rsidRDefault="00A31137" w:rsidP="00A31137">
      <w:r w:rsidRPr="00A31137">
        <w:t>Even more shocking than THE CHIEF JUSTICE's cramped notion of individual liberty is his complete omission of any discussion of the effects that compelled childbirth and motherhood have on women's lives. The only expression of concern with women's health is purely instrumental—for THE CHIEF JUSTICE, only women's psychological health is a concern, and only to the extent that he assumes that every woman who decides to have an abortion does so without serious consideration of the moral implications of their decision. Post at 967-968. In short, THE CHIEF JUSTICE's view of the State's compelling interest in maternal health has less to do with health than it does with compelling women to be maternal.</w:t>
      </w:r>
    </w:p>
    <w:p w:rsidR="00A31137" w:rsidRPr="00A31137" w:rsidRDefault="00A31137" w:rsidP="00A31137">
      <w:r w:rsidRPr="00A31137">
        <w:t>1992, Planned Parenthood v. Casey, 505 U.S. 941</w:t>
      </w:r>
    </w:p>
    <w:p w:rsidR="00A31137" w:rsidRPr="00A31137" w:rsidRDefault="00A31137" w:rsidP="00A31137">
      <w:r w:rsidRPr="00A31137">
        <w:t>Nor does THE CHIEF JUSTICE give any serious consideration to the doctrine of stare decisis. For THE CHIEF JUSTICE, the facts that gave rise to Roe are surprisingly simple:</w:t>
      </w:r>
    </w:p>
    <w:p w:rsidR="00A31137" w:rsidRPr="00A31137" w:rsidRDefault="00A31137" w:rsidP="00A31137">
      <w:r w:rsidRPr="00A31137">
        <w:t>1992, Planned Parenthood v. Casey, 505 U.S. 941</w:t>
      </w:r>
    </w:p>
    <w:p w:rsidR="00A31137" w:rsidRPr="00A31137" w:rsidRDefault="00A31137" w:rsidP="00A31137">
      <w:r w:rsidRPr="00A31137">
        <w:t>women become pregnant, there is a point somewhere, depending on medical technology, where a fetus becomes viable, and women give birth to children.</w:t>
      </w:r>
    </w:p>
    <w:p w:rsidR="00A31137" w:rsidRPr="00A31137" w:rsidRDefault="00A31137" w:rsidP="00A31137">
      <w:r w:rsidRPr="00A31137">
        <w:t>1992, Planned Parenthood v. Casey, 505 U.S. 941</w:t>
      </w:r>
    </w:p>
    <w:p w:rsidR="00A31137" w:rsidRPr="00A31137" w:rsidRDefault="00A31137" w:rsidP="00A31137">
      <w:r w:rsidRPr="00A31137">
        <w:t>Post at  955. This characterization of the issue thus allows THE CHIEF JUSTICE quickly to discard the joint opinion's reliance argument by asserting that "reproductive planning could take…virtually immediate account of a decision overruling Roe." Id. at  956 (internal quotations omitted).</w:t>
      </w:r>
    </w:p>
    <w:p w:rsidR="00A31137" w:rsidRPr="00A31137" w:rsidRDefault="00A31137" w:rsidP="00A31137">
      <w:r w:rsidRPr="00A31137">
        <w:t>1992, Planned Parenthood v. Casey, 505 U.S. 941</w:t>
      </w:r>
    </w:p>
    <w:p w:rsidR="00A31137" w:rsidRPr="00A31137" w:rsidRDefault="00A31137" w:rsidP="00A31137">
      <w:r w:rsidRPr="00A31137">
        <w:t>THE CHIEF JUSTICE's narrow conception of individual liberty and stare decisis leads him to propose the same standard of review proposed by the plurality in Webster.</w:t>
      </w:r>
    </w:p>
    <w:p w:rsidR="00A31137" w:rsidRPr="00A31137" w:rsidRDefault="00A31137" w:rsidP="00A31137">
      <w:r w:rsidRPr="00A31137">
        <w:t>1992, Planned Parenthood v. Casey, 505 U.S. 941</w:t>
      </w:r>
    </w:p>
    <w:p w:rsidR="00A31137" w:rsidRPr="00A31137" w:rsidRDefault="00A31137" w:rsidP="00A31137">
      <w:r w:rsidRPr="00A31137">
        <w:t>States may regulate abortion procedures in ways rationally related to a legitimate state interest. Williamson v. Lee Optical Co., 348 U.S. 483,  491 (1955); cf. Stanley v. Illinois, 405 U.S. 645, 651-653 (1972).</w:t>
      </w:r>
    </w:p>
    <w:p w:rsidR="00A31137" w:rsidRPr="00A31137" w:rsidRDefault="00A31137" w:rsidP="00A31137">
      <w:r w:rsidRPr="00A31137">
        <w:t>1992, Planned Parenthood v. Casey, 505 U.S. 941</w:t>
      </w:r>
    </w:p>
    <w:p w:rsidR="00A31137" w:rsidRPr="00A31137" w:rsidRDefault="00A31137" w:rsidP="00A31137">
      <w:r w:rsidRPr="00A31137">
        <w:t>Post at  966. THE [505 U.S. 942] CHIEF JUSTICE then further weakens the test by providing an insurmountable requirement for facial challenges: petitioners must "'show that no set of circumstances exists under which the [provision] would be valid.'" Post at 973, quoting Ohio v. Akron Center for Reproductive Health, 497 U.S. at 514. In short, in his view, petitioners must prove that the statute cannot constitutionally be applied to anyone. Finally, in applying his standard to the spousal-notification provision, THE CHIEF JUSTICE contends that the record lacks any "hard evidence" to support the joint opinion's contention that a "large fraction" of women who prefer not to notify their husbands involve situations of battered women and unreported spousal assault. Post at  974, n. 2. Yet throughout the explication of his standard, THE CHIEF JUSTICE never explains what hard evidence is, how large a fraction is required, or how a battered women is supposed to pursue an as-applied challenge.</w:t>
      </w:r>
    </w:p>
    <w:p w:rsidR="00A31137" w:rsidRPr="00A31137" w:rsidRDefault="00A31137" w:rsidP="00A31137">
      <w:r w:rsidRPr="00A31137">
        <w:t>1992, Planned Parenthood v. Casey, 505 U.S. 942</w:t>
      </w:r>
    </w:p>
    <w:p w:rsidR="00A31137" w:rsidRPr="00A31137" w:rsidRDefault="00A31137" w:rsidP="00A31137">
      <w:r w:rsidRPr="00A31137">
        <w:t>Under his standard, States can ban abortion if that ban is rationally related to a legitimate state interest—a standard which the United States calls "deferential, but not toothless." Yet when pressed at oral argument to describe the teeth, the best protection that the Solicitor General could offer to women was that a prohibition, enforced by criminal penalties, with no exception for the life of the mother, "could raise very serious questions." Tr. of Oral Arg. 49. Perhaps, the Solicitor General offered, the failure to include an exemption for the life of the mother would be "arbitrary and capricious." Ibid. If, as THE CHIEF JUSTICE contends, the undue burden test is made out of whole cloth, the so-called "arbitrary and capricious" limit is the Solicitor General's "new clothes."</w:t>
      </w:r>
    </w:p>
    <w:p w:rsidR="00A31137" w:rsidRPr="00A31137" w:rsidRDefault="00A31137" w:rsidP="00A31137">
      <w:r w:rsidRPr="00A31137">
        <w:t>1992, Planned Parenthood v. Casey, 505 U.S. 942</w:t>
      </w:r>
    </w:p>
    <w:p w:rsidR="00A31137" w:rsidRPr="00A31137" w:rsidRDefault="00A31137" w:rsidP="00A31137">
      <w:r w:rsidRPr="00A31137">
        <w:t>Even if it is somehow "irrational" for a State to require a woman to risk her life for her child, what protection is offered for women who become pregnant through rape or incest? Is there anything arbitrary or capricious about a [505 U.S. 943] State's prohibiting the sins of the father from being visited upon his offspring? 12</w:t>
      </w:r>
    </w:p>
    <w:p w:rsidR="00A31137" w:rsidRPr="00A31137" w:rsidRDefault="00A31137" w:rsidP="00A31137">
      <w:r w:rsidRPr="00A31137">
        <w:t>1992, Planned Parenthood v. Casey, 505 U.S. 943</w:t>
      </w:r>
    </w:p>
    <w:p w:rsidR="00A31137" w:rsidRPr="00A31137" w:rsidRDefault="00A31137" w:rsidP="00A31137">
      <w:r w:rsidRPr="00A31137">
        <w:t>But, we are reassured, there is always the protection of the democratic process. While there is much to be praised about our democracy, our country, since its founding, has recognized that there are certain fundamental liberties that are not to be left to the whims of an election. A woman's right to reproductive choice is one of those fundamental liberties. Accordingly, that liberty need not seek refuge at the ballot box.</w:t>
      </w:r>
    </w:p>
    <w:p w:rsidR="00A31137" w:rsidRPr="00A31137" w:rsidRDefault="00A31137" w:rsidP="00A31137">
      <w:r w:rsidRPr="00A31137">
        <w:t>IV</w:t>
      </w:r>
    </w:p>
    <w:p w:rsidR="00A31137" w:rsidRPr="00A31137" w:rsidRDefault="00A31137" w:rsidP="00A31137">
      <w:r w:rsidRPr="00A31137">
        <w:t>1992, Planned Parenthood v. Casey, 505 U.S. 943</w:t>
      </w:r>
    </w:p>
    <w:p w:rsidR="00A31137" w:rsidRPr="00A31137" w:rsidRDefault="00A31137" w:rsidP="00A31137">
      <w:r w:rsidRPr="00A31137">
        <w:t>In one sense, the Court's approach is worlds apart from that of THE CHIEF JUSTICE and JUSTICE SCALIA. And yet, in another sense, the distance between the two approaches is short—the distance is but a single vote.</w:t>
      </w:r>
    </w:p>
    <w:p w:rsidR="00A31137" w:rsidRPr="00A31137" w:rsidRDefault="00A31137" w:rsidP="00A31137">
      <w:r w:rsidRPr="00A31137">
        <w:t>1992, Planned Parenthood v. Casey, 505 U.S. 943</w:t>
      </w:r>
    </w:p>
    <w:p w:rsidR="00A31137" w:rsidRPr="00A31137" w:rsidRDefault="00A31137" w:rsidP="00A31137">
      <w:r w:rsidRPr="00A31137">
        <w:t xml:space="preserve">I am 83 years old. I cannot remain on this Court forever, and when I do step down, the confirmation process for my successor well may focus on the issue before us today. That, I regret, may be exactly where the choice between the two worlds will be made. [505 U.S. 944] </w:t>
      </w:r>
    </w:p>
    <w:p w:rsidR="00A31137" w:rsidRPr="00A31137" w:rsidRDefault="00A31137" w:rsidP="00A31137">
      <w:r w:rsidRPr="00A31137">
        <w:t>REHNQUIST, J., concurring and dissenting</w:t>
      </w:r>
    </w:p>
    <w:p w:rsidR="00A31137" w:rsidRPr="00A31137" w:rsidRDefault="00A31137" w:rsidP="00A31137">
      <w:r w:rsidRPr="00A31137">
        <w:t>1992, Planned Parenthood v. Casey, 505 U.S. 944</w:t>
      </w:r>
    </w:p>
    <w:p w:rsidR="00A31137" w:rsidRPr="00A31137" w:rsidRDefault="00A31137" w:rsidP="00A31137">
      <w:r w:rsidRPr="00A31137">
        <w:t>CHIEF JUSTICE REHNQUIST, with whom JUSTICE WHITE, JUSTICE SCALIA, and JUSTICE THOMAS join, concurring in the judgment in part and dissenting in part.</w:t>
      </w:r>
    </w:p>
    <w:p w:rsidR="00A31137" w:rsidRPr="00A31137" w:rsidRDefault="00A31137" w:rsidP="00A31137">
      <w:r w:rsidRPr="00A31137">
        <w:t>1992, Planned Parenthood v. Casey, 505 U.S. 944</w:t>
      </w:r>
    </w:p>
    <w:p w:rsidR="00A31137" w:rsidRPr="00A31137" w:rsidRDefault="00A31137" w:rsidP="00A31137">
      <w:r w:rsidRPr="00A31137">
        <w:t>The joint opinion, following its newly minted variation on stare decisis, retains the outer shell of Roe v. Wade, 410 U.S. 113 (1973), but beats a wholesale retreat from the substance of that case. We believe that Roe was wrongly decided, and that it can and should be overruled consistently with our traditional approach to stare decisis in constitutional cases. We would adopt the approach of the plurality in Webster v. Reproductive Health Services, 492 U.S. 490 (1989), and uphold the challenged provisions of the Pennsylvania statute in their entirety.</w:t>
      </w:r>
    </w:p>
    <w:p w:rsidR="00A31137" w:rsidRPr="00A31137" w:rsidRDefault="00A31137" w:rsidP="00A31137">
      <w:r w:rsidRPr="00A31137">
        <w:t>I</w:t>
      </w:r>
    </w:p>
    <w:p w:rsidR="00A31137" w:rsidRPr="00A31137" w:rsidRDefault="00A31137" w:rsidP="00A31137">
      <w:r w:rsidRPr="00A31137">
        <w:t>1992, Planned Parenthood v. Casey, 505 U.S. 944</w:t>
      </w:r>
    </w:p>
    <w:p w:rsidR="00A31137" w:rsidRPr="00A31137" w:rsidRDefault="00A31137" w:rsidP="00A31137">
      <w:r w:rsidRPr="00A31137">
        <w:t>In ruling on this case below, the Court of Appeals for the Third Circuit first observed that "this appeal does not directly implicate Roe; this case involves the regulation of abortions, rather than their outright prohibition." 947 F.2d 682, 687 (1991). Accordingly, the court directed its attention to the question of the standard of review for abortion regulations. In attempting to settle on the correct standard, however, the court confronted the confused state of this Court's abortion jurisprudence. After considering the several opinions in Webster v. Reproductive Health Services, supra, and Hodgson v. Minnesota, 497 U.S. 417 (1990), the Court of Appeals concluded that JUSTICE O'CONNOR's "undue burden" test was controlling, as that was the narrowest ground on which we had upheld recent abortion regulations. 947 F.2d at 693-697 ("'When a fragmented court decides a case and no single rationale explaining the result enjoys the assent of five Justices, the holding of the Court may be viewed as that position taken by those Members who concurred in the judgments on the narrowest grounds'" (quoting Marks v. United States, 430 U.S. 188, 193 (1977) (internal quotation marks omitted))). Applying this standard, the Court of Appeals upheld all of the challenged regulations except the one [505 U.S. 945] requiring a woman to notify her spouse of an intended abortion.</w:t>
      </w:r>
    </w:p>
    <w:p w:rsidR="00A31137" w:rsidRPr="00A31137" w:rsidRDefault="00A31137" w:rsidP="00A31137">
      <w:r w:rsidRPr="00A31137">
        <w:t>1992, Planned Parenthood v. Casey, 505 U.S. 945</w:t>
      </w:r>
    </w:p>
    <w:p w:rsidR="00A31137" w:rsidRPr="00A31137" w:rsidRDefault="00A31137" w:rsidP="00A31137">
      <w:r w:rsidRPr="00A31137">
        <w:t>In arguing that this Court should invalidate each of the provisions at issue, petitioners insist that we reaffirm our decision in Roe v. Wade, supra, in which we held unconstitutional a Texas statute making it a crime to procure an abortion except to save the life of the mother. 1 We agree with the Court of Appeals that our decision in Roe is not directly implicated by the Pennsylvania statute, which does not prohibit, but simply regulates, abortion. But, as the Court of Appeals found, the state of our post-Roe decisional law dealing with the regulation of abortion is confusing and uncertain, indicating that a reexamination of that line of cases is in order. Unfortunately for those who must apply this Court's decisions, the reexamination undertaken today leaves the Court no less divided than beforehand. Although they reject the trimester framework that formed the underpinning of Roe, JUSTICES O'CONNOR, KENNEDY, and SOUTER adopt a revised undue burden standard to analyze the challenged regulations. We conclude, however, that such an outcome is an unjustified constitutional compromise, one which leaves the Court in a position to closely scrutinize all types of abortion regulations despite the fact that it lacks the power to do so under the Constitution.</w:t>
      </w:r>
    </w:p>
    <w:p w:rsidR="00A31137" w:rsidRPr="00A31137" w:rsidRDefault="00A31137" w:rsidP="00A31137">
      <w:r w:rsidRPr="00A31137">
        <w:t>1992, Planned Parenthood v. Casey, 505 U.S. 945</w:t>
      </w:r>
    </w:p>
    <w:p w:rsidR="00A31137" w:rsidRPr="00A31137" w:rsidRDefault="00A31137" w:rsidP="00A31137">
      <w:r w:rsidRPr="00A31137">
        <w:t>In Roe, the Court opined that the State</w:t>
      </w:r>
    </w:p>
    <w:p w:rsidR="00A31137" w:rsidRPr="00A31137" w:rsidRDefault="00A31137" w:rsidP="00A31137">
      <w:r w:rsidRPr="00A31137">
        <w:t>1992, Planned Parenthood v. Casey, 505 U.S. 945</w:t>
      </w:r>
    </w:p>
    <w:p w:rsidR="00A31137" w:rsidRPr="00A31137" w:rsidRDefault="00A31137" w:rsidP="00A31137">
      <w:r w:rsidRPr="00A31137">
        <w:t>does have an important and legitimate interest in preserving and protecting the health of the pregnant woman,…and that it has still another important and legitimate interest in protecting [505 U.S. 946] the potentiality of human life.</w:t>
      </w:r>
    </w:p>
    <w:p w:rsidR="00A31137" w:rsidRPr="00A31137" w:rsidRDefault="00A31137" w:rsidP="00A31137">
      <w:r w:rsidRPr="00A31137">
        <w:t>1992, Planned Parenthood v. Casey, 505 U.S. 946</w:t>
      </w:r>
    </w:p>
    <w:p w:rsidR="00A31137" w:rsidRPr="00A31137" w:rsidRDefault="00A31137" w:rsidP="00A31137">
      <w:r w:rsidRPr="00A31137">
        <w:t>410 U.S. at  162 (emphasis omitted). In the companion case of Doe v. Bolton, 410 U.S. 179 (1973), the Court referred to its conclusion in Roe "that a pregnant woman does not have an absolute constitutional right to an abortion on her demand." 410 U.S. at 189. But while the language and holdings of these cases appeared to leave States free to regulate abortion procedures in a variety of ways, later decisions based on them have found considerably less latitude for such regulations than might have been expected.</w:t>
      </w:r>
    </w:p>
    <w:p w:rsidR="00A31137" w:rsidRPr="00A31137" w:rsidRDefault="00A31137" w:rsidP="00A31137">
      <w:r w:rsidRPr="00A31137">
        <w:t>1992, Planned Parenthood v. Casey, 505 U.S. 946</w:t>
      </w:r>
    </w:p>
    <w:p w:rsidR="00A31137" w:rsidRPr="00A31137" w:rsidRDefault="00A31137" w:rsidP="00A31137">
      <w:r w:rsidRPr="00A31137">
        <w:t>For example, after Roe, many States have sought to protect their young citizens by requiring that a minor seeking an abortion involve her parents in the decision. Some States have simply required notification of the parents, while others have required a minor to obtain the consent of her parents. In a number of decisions, however, the Court has substantially limited the States in their ability to impose such requirements. With regard to parental notice requirements, we initially held that a State could require a minor to notify her parents before proceeding with an abortion. H. L. v. Matheson, 450 U.S. 398, 407-410 (1981). Recently, however, we indicated that a State's ability to impose a notice requirement actually depends on whether it requires notice of one or both parents. We concluded that, although the Constitution might allow a State to demand that notice be given to one parent prior to an abortion, it may not require that similar notice be given to two parents, unless the State incorporates a judicial bypass procedure in that two-parent requirement. Hodgson v. Minnesota, supra.</w:t>
      </w:r>
    </w:p>
    <w:p w:rsidR="00A31137" w:rsidRPr="00A31137" w:rsidRDefault="00A31137" w:rsidP="00A31137">
      <w:r w:rsidRPr="00A31137">
        <w:t>1992, Planned Parenthood v. Casey, 505 U.S. 946</w:t>
      </w:r>
    </w:p>
    <w:p w:rsidR="00A31137" w:rsidRPr="00A31137" w:rsidRDefault="00A31137" w:rsidP="00A31137">
      <w:r w:rsidRPr="00A31137">
        <w:t>We have treated parental consent provisions even more harshly. Three years after Roe, we invalidated a Missouri regulation requiring that an unmarried woman under the age of 18 obtain the consent of one of her parents before proceeding with an abortion. We held that our abortion jurisprudence prohibited the State from imposing such a "blanket provision…requiring the consent of a parent." Planned Parenthood [505 U.S. 947] of Central Mo. v. Danforth, 428 U.S. 52, 74 (1976). In Bellotti v. Baird, 443 U.S. 622 (1979), the Court struck down a similar Massachusetts parental consent statute. A majority of the Court indicated, however, that a State could constitutionally require parental consent if it alternatively allowed a pregnant minor to obtain an abortion without parental consent by showing either that she was mature enough to make her own decision or that the abortion would be in her best interests. See id. at 643-644 (plurality opinion); id. at 656-657 (WHITE, J., dissenting). In light of Bellotti, we have upheld one parental consent regulation which incorporated a judicial bypass option we viewed as sufficient, see Planned Parenthood Assn. of Kansas City, Mo., Inc. v. Ashcroft, 462 U.S. 476 (1983), but have invalidated another because of our belief that the judicial procedure did not satisfy the dictates of Bellotti. See Akron v. Akron Center for Reproductive Health, Inc., 462 U.S. 416, 439-442 (1983). We have never had occasion, as we have in the parental notice context, to further parse our parental consent Jurisprudence into one-parent and two-parent components.</w:t>
      </w:r>
    </w:p>
    <w:p w:rsidR="00A31137" w:rsidRPr="00A31137" w:rsidRDefault="00A31137" w:rsidP="00A31137">
      <w:r w:rsidRPr="00A31137">
        <w:t>1992, Planned Parenthood v. Casey, 505 U.S. 947</w:t>
      </w:r>
    </w:p>
    <w:p w:rsidR="00A31137" w:rsidRPr="00A31137" w:rsidRDefault="00A31137" w:rsidP="00A31137">
      <w:r w:rsidRPr="00A31137">
        <w:t>In Roe, the Court observed that certain States recognized the right of the father to participate in the abortion decision in certain circumstances. Because neither Roe nor Doe involved the assertion of any paternal right, the Court expressly stated that the case did not disturb the validity of regulations that protected such a right. Roe v. Wade, 410 U.S. at  165, n. 67. But three years later, in Danforth, the Court extended its abortion jurisprudence and held that a State could not require that a woman obtain the consent of her spouse before proceeding with an abortion. Planned Parenthood of Central Mo. v. Danforth, 428 U.S. at 69-71.</w:t>
      </w:r>
    </w:p>
    <w:p w:rsidR="00A31137" w:rsidRPr="00A31137" w:rsidRDefault="00A31137" w:rsidP="00A31137">
      <w:r w:rsidRPr="00A31137">
        <w:t>1992, Planned Parenthood v. Casey, 505 U.S. 947</w:t>
      </w:r>
    </w:p>
    <w:p w:rsidR="00A31137" w:rsidRPr="00A31137" w:rsidRDefault="00A31137" w:rsidP="00A31137">
      <w:r w:rsidRPr="00A31137">
        <w:t>States have also regularly tried to ensure that a woman's decision to have an abortion is an informed and well-considered one. In Danforth, we upheld a requirement that a woman sign a consent form prior to her abortion, and observed that "it is desirable and imperative that [the decision] [505 U.S. 948] be made with full knowledge of its nature and consequences." Id. at 67. Since that case, however, we have twice invalidated state statutes designed to impart such knowledge to a woman seeking an abortion. In Akron, we held unconstitutional a regulation requiring a physician to inform a woman seeking an abortion of the status of her pregnancy, the development of her fetus, the date of possible viability, the complications that could result from an abortion, and the availability of agencies providing assistance and information with respect to adoption and childbirth. Akron v. Akron Center for Reproductive Health, supra, 462 U.S. at 442-445. More recently, in Thornburgh v. American College of Obstetricians and Gynecologists, 476 U.S. 747 (1986), we struck down a more limited Pennsylvania regulation requiring that a woman be informed of the risks associated with the abortion procedure and the assistance available to her if she decided to proceed with her pregnancy, because we saw the compelled information as "the antithesis of informed consent." Id. at  764. Even when a State has sought only to provide information that, in our view, was consistent with the Roe framework, we concluded that the State could not require that a physician furnish the information, but instead had to alternatively allow nonphysician counselors to provide it. Akron v. Akron Center for Reproductive Health, 462 U.S. at 448-449. In Akron as well, we went further and held that a State may not require a physician to wait 24 hours to perform an abortion after receiving the consent of a woman. Although the State sought to ensure that the woman's decision was carefully considered, the Court concluded that the Constitution forbade the State from imposing any sort of delay. Id. at 449-451.</w:t>
      </w:r>
    </w:p>
    <w:p w:rsidR="00A31137" w:rsidRPr="00A31137" w:rsidRDefault="00A31137" w:rsidP="00A31137">
      <w:r w:rsidRPr="00A31137">
        <w:t>1992, Planned Parenthood v. Casey, 505 U.S. 948</w:t>
      </w:r>
    </w:p>
    <w:p w:rsidR="00A31137" w:rsidRPr="00A31137" w:rsidRDefault="00A31137" w:rsidP="00A31137">
      <w:r w:rsidRPr="00A31137">
        <w:t>We have not allowed States much leeway to regulate even the actual abortion procedure. Although a State can require that second-trimester abortions be performed in outpatient clinics, see Simopoulos v. Virginia, 462 U.S. 506 (1983), we concluded in Akron and Ashcroft that a State could not require [505 U.S. 949] that such abortions be performed only in hospitals. See Akron v. Akron Center for Reproductive Health, supra, 462 U.S. at 437-439; Planned Parenthood Assn. of Kansas City, Mo., Inc. v. Ashcroft, supra, 462 U.S. at 481-482. Despite the fact that Roe expressly allowed regulation after the first trimester in furtherance of maternal health, "'present medical knowledge,'" in our view, could not justify such a hospitalization requirement under the trimester framework. Akron v. Akron Center for Reproductive Health, supra, 462 U.S. at  437 (quoting Roe v. Wade, supra, 410 U.S. at  163). And in Danforth, the Court held that Missouri could not outlaw the saline anmiocentesis method of abortion, concluding that the Missouri Legislature had "failed to appreciate and to consider several significant facts" in making its decision. 428 U.S. at  77.</w:t>
      </w:r>
    </w:p>
    <w:p w:rsidR="00A31137" w:rsidRPr="00A31137" w:rsidRDefault="00A31137" w:rsidP="00A31137">
      <w:r w:rsidRPr="00A31137">
        <w:t>1992, Planned Parenthood v. Casey, 505 U.S. 949</w:t>
      </w:r>
    </w:p>
    <w:p w:rsidR="00A31137" w:rsidRPr="00A31137" w:rsidRDefault="00A31137" w:rsidP="00A31137">
      <w:r w:rsidRPr="00A31137">
        <w:t>Although Roe allowed state regulation after the point of viability to protect the potential life of the fetus, the Court subsequently rejected attempts to regulate in this manner. In Colautti v. Franklin, 439 U.S. 379 (1979), the Court struck down a statute that governed the determination of viability. Id. at 390-397. In the process, we made clear that the trimester framework incorporated only one definition of viability—ours—as we forbade States from deciding that a certain objective indicator—"be it weeks of gestation or fetal weight or any other single factor"—should govern the definition of viability. Id. at  389. In that same case, we also invalidated a regulation requiring a physician to use the abortion technique offering the best chance for fetal survival when performing postviability abortions. See id. at 397-401; see also Thornburgh v. American College of Obstetricians and Gynecologists, supra, 476 U.S. at 768-769 (invalidating a similar regulation). In Thornburgh, the Court struck down Pennsylvania's requirement that a second physician be present at postviability abortions to help preserve the health of the unborn child, on the ground that it did not incorporate a sufficient medical emergency exception. Id. at 769-771.   Regulations governing the treatment of aborted fetuses have [505 U.S. 950] met a similar fate. In Akron, we invalidated a provision requiring physicians performing abortions to "insure that the remains of the unborn child are disposed of in a humane and sanitary manner." 462 U.S. at 451 (internal quotation marks omitted).</w:t>
      </w:r>
    </w:p>
    <w:p w:rsidR="00A31137" w:rsidRPr="00A31137" w:rsidRDefault="00A31137" w:rsidP="00A31137">
      <w:r w:rsidRPr="00A31137">
        <w:t>1992, Planned Parenthood v. Casey, 505 U.S. 950</w:t>
      </w:r>
    </w:p>
    <w:p w:rsidR="00A31137" w:rsidRPr="00A31137" w:rsidRDefault="00A31137" w:rsidP="00A31137">
      <w:r w:rsidRPr="00A31137">
        <w:t>Dissents in these cases expressed the view that the Court was expanding upon Roe in imposing ever greater restrictions on the States. See Thornburgh v. American College of Obstetricians and Gynecologists, 476 U.S. at  783 (Burger, C.J., dissenting) ("The extent to which the Court has departed from the limitations expressed in Roe is readily apparent"); id. at  814 (WHITE, J., dissenting) ("[T]he majority indiscriminately strikes down statutory provisions that in no way contravene the right recognized in Roe"). And, when confronted with State regulations of this type in past years, the Court has become increasingly more divided: the three most recent abortion cases have not commanded a Court opinion. See Ohio v. Akron Center for Reproductive Health, 497 U.S. 502 (1990); Hodgson v. Minnesota, 497 U.S. 417 (1990); Webster v. Reproductive Health Services, 492 U.S. 490 (1989).</w:t>
      </w:r>
    </w:p>
    <w:p w:rsidR="00A31137" w:rsidRPr="00A31137" w:rsidRDefault="00A31137" w:rsidP="00A31137">
      <w:r w:rsidRPr="00A31137">
        <w:t>1992, Planned Parenthood v. Casey, 505 U.S. 950</w:t>
      </w:r>
    </w:p>
    <w:p w:rsidR="00A31137" w:rsidRPr="00A31137" w:rsidRDefault="00A31137" w:rsidP="00A31137">
      <w:r w:rsidRPr="00A31137">
        <w:t>The task of the Court of Appeals in the present case was obviously complicated by this confusion and uncertainty. Following Marks v. United States, 430 U.S. 188 (1977), it concluded that, in light of Webster and Hodgson, the strict scrutiny standard enunciated in Roe was no longer applicable, and that the "undue burden" standard adopted by JUSTICE O'CONNOR was the governing principle. This state of confusion and disagreement warrants reexamination of the "fundamental right" accorded to a woman's decision to abort a fetus in Roe, with its concomitant requirement that any state regulation of abortion survive "strict scrutiny." See Payne v. Tennessee, 501 U.S. 808, 827-828 (1991) (observing that reexamination of constitutional decisions is appropriate when those decisions have generated uncertainty and failed to provide clear guidance, because "correction through legislative [505 U.S. 951] action is practically impossible" (internal quotation marks omitted)); Garcia v. San Antonio Metropolitan Transit Authority, 469 U.S. 528, 546-547,  557 (1985).</w:t>
      </w:r>
    </w:p>
    <w:p w:rsidR="00A31137" w:rsidRPr="00A31137" w:rsidRDefault="00A31137" w:rsidP="00A31137">
      <w:r w:rsidRPr="00A31137">
        <w:t>1992, Planned Parenthood v. Casey, 505 U.S. 951</w:t>
      </w:r>
    </w:p>
    <w:p w:rsidR="00A31137" w:rsidRPr="00A31137" w:rsidRDefault="00A31137" w:rsidP="00A31137">
      <w:r w:rsidRPr="00A31137">
        <w:t>We have held that a liberty interest protected under the Due Process Clause of the Fourteenth Amendment will be deemed fundamental if it is "implicit in the concept of ordered liberty." Palko v. Connecticut, 302 U.S. 319,  325 (1937). Three years earlier, in Snyder v. Massachusetts, 291 U.S. 97 (1934), we referred to a "principle of justice so rooted in the traditions and conscience of our people as to be ranked as fundamental." Id. at  105; see also Michael H. v. Gerald D., 491 U.S. 110,  122 (1989) (plurality opinion) (citing the language from Snyder). These expressions are admittedly not precise, but our decisions implementing this notion of "fundamental" rights do not afford any more elaborate basis on which to base such a classification.</w:t>
      </w:r>
    </w:p>
    <w:p w:rsidR="00A31137" w:rsidRPr="00A31137" w:rsidRDefault="00A31137" w:rsidP="00A31137">
      <w:r w:rsidRPr="00A31137">
        <w:t>1992, Planned Parenthood v. Casey, 505 U.S. 951</w:t>
      </w:r>
    </w:p>
    <w:p w:rsidR="00A31137" w:rsidRPr="00A31137" w:rsidRDefault="00A31137" w:rsidP="00A31137">
      <w:r w:rsidRPr="00A31137">
        <w:t>In construing the phrase "liberty" incorporated in the Due Process Clause of the Fourteenth Amendment, we have recognized that its meaning extends beyond freedom from physical restraint. In Pierce v. Society of Sisters, 268 U.S. 510 (1925), we held that it included a parent's right to send a child to private school; in Meyer v. Nebraska, 262 U.S. 390 (1923), we held that it included a right to teach a foreign language in a parochial school. Building on these cases, we have held that the term "liberty" includes a right to marry, Loving v. Virginia, 388 U.S. 1 (1967); a right to procreate, Skinner v. Oklahoma ex rel. Williamson, 316 U.S. 535 (1942); and a right to use contraceptives. Griswold v. Connecticut, 381 U.S. 479 (1965); Eisenstadt v. Baird, 405 U.S. 438 (1972). But a reading of these opinions makes clear that they do not endorse any all-encompassing "right of privacy."</w:t>
      </w:r>
    </w:p>
    <w:p w:rsidR="00A31137" w:rsidRPr="00A31137" w:rsidRDefault="00A31137" w:rsidP="00A31137">
      <w:r w:rsidRPr="00A31137">
        <w:t>1992, Planned Parenthood v. Casey, 505 U.S. 951</w:t>
      </w:r>
    </w:p>
    <w:p w:rsidR="00A31137" w:rsidRPr="00A31137" w:rsidRDefault="00A31137" w:rsidP="00A31137">
      <w:r w:rsidRPr="00A31137">
        <w:t>In Roe v. Wade, the Court recognized a "guarantee of personal privacy" which "is broad enough to encompass a woman's decision whether or not to terminate her pregnancy." 410 U.S. at 152-153. We are now of the view that, in terming this right fundamental, the Court in Roe read the earlier [505 U.S. 952] opinions upon which it based its decision much too broadly. Unlike marriage, procreation and contraception, abortion "involves the purposeful termination of potential life." Harris v. McRae, 448 U.S. 297,  325 (1980). The abortion decision must therefore</w:t>
      </w:r>
    </w:p>
    <w:p w:rsidR="00A31137" w:rsidRPr="00A31137" w:rsidRDefault="00A31137" w:rsidP="00A31137">
      <w:r w:rsidRPr="00A31137">
        <w:t>1992, Planned Parenthood v. Casey, 505 U.S. 952</w:t>
      </w:r>
    </w:p>
    <w:p w:rsidR="00A31137" w:rsidRPr="00A31137" w:rsidRDefault="00A31137" w:rsidP="00A31137">
      <w:r w:rsidRPr="00A31137">
        <w:t>be recognized as sui generis, different in kind from the others that the Court has protected under the rubric of personal or family privacy and autonomy.</w:t>
      </w:r>
    </w:p>
    <w:p w:rsidR="00A31137" w:rsidRPr="00A31137" w:rsidRDefault="00A31137" w:rsidP="00A31137">
      <w:r w:rsidRPr="00A31137">
        <w:t>1992, Planned Parenthood v. Casey, 505 U.S. 952</w:t>
      </w:r>
    </w:p>
    <w:p w:rsidR="00A31137" w:rsidRPr="00A31137" w:rsidRDefault="00A31137" w:rsidP="00A31137">
      <w:r w:rsidRPr="00A31137">
        <w:t>Thornburgh v. American College of Obstetricians and Gynecologists, supra, 476 U.S. at  792 (WHITE, J., dissenting). One cannot ignore the fact that a woman is not isolated in her pregnancy, and that the decision to abort necessarily involves the destruction of a fetus. See Michael H. v. Gerald D., supra, 491 U.S. at  124, n. 4 (To look "at the act which is assertedly the subject of a liberty interest in isolation from its effect upon other people [is] like inquiring whether there is a liberty interest in firing a gun where the case at hand happens to involve its discharge into another person's body").</w:t>
      </w:r>
    </w:p>
    <w:p w:rsidR="00A31137" w:rsidRPr="00A31137" w:rsidRDefault="00A31137" w:rsidP="00A31137">
      <w:r w:rsidRPr="00A31137">
        <w:t>1992, Planned Parenthood v. Casey, 505 U.S. 952</w:t>
      </w:r>
    </w:p>
    <w:p w:rsidR="00A31137" w:rsidRPr="00A31137" w:rsidRDefault="00A31137" w:rsidP="00A31137">
      <w:r w:rsidRPr="00A31137">
        <w:t>Nor do the historical traditions of the American people support the view that the right to terminate one's pregnancy is "fundamental." The common law which we inherited from England made abortion after "quickening" an offense. At the time of the adoption of the Fourteenth Amendment, statutory prohibitions or restrictions on abortion were commonplace; in 1868, at least 28 of the then-37 States and 8 Territories had statutes banning or limiting abortion. J. Mohr, Abortion in America 200 (1978). By the turn of the century, virtually every State had a law prohibiting or restricting abortion on its books. By the middle of the present century, a liberalization trend had set in. But 21 of the restrictive abortion laws in effect in 1868 were still in effect in 1973 when Roe was decided, and an overwhelming majority of the States prohibited abortion unless necessary to preserve the life or health of the mother. Roe v. Wade, 410 U.S. at 139-140; id. at 176-177, n. 2 (REHNQUIST, J., dissenting). On this record, it can scarcely be said that any deeply rooted tradition of relatively unrestricted abortion in our history [505 U.S. 953] supported the classification of the right to abortion as "fundamental" under the Due Process Clause of the Fourteenth Amendment.</w:t>
      </w:r>
    </w:p>
    <w:p w:rsidR="00A31137" w:rsidRPr="00A31137" w:rsidRDefault="00A31137" w:rsidP="00A31137">
      <w:r w:rsidRPr="00A31137">
        <w:t>1992, Planned Parenthood v. Casey, 505 U.S. 953</w:t>
      </w:r>
    </w:p>
    <w:p w:rsidR="00A31137" w:rsidRPr="00A31137" w:rsidRDefault="00A31137" w:rsidP="00A31137">
      <w:r w:rsidRPr="00A31137">
        <w:t>We think, therefore, both in view of this history and of our decided cases dealing with substantive liberty under the Due Process Clause, that the Court was mistaken in Roe when it classified a woman's decision to terminate her pregnancy as a "fundamental right" that could be abridged only in a manner which withstood "strict scrutiny." In so concluding, we repeat the observation made in Bowers v. Hardwick, 478 U.S. 186 (1986):</w:t>
      </w:r>
    </w:p>
    <w:p w:rsidR="00A31137" w:rsidRPr="00A31137" w:rsidRDefault="00A31137" w:rsidP="00A31137">
      <w:r w:rsidRPr="00A31137">
        <w:t>1992, Planned Parenthood v. Casey, 505 U.S. 953</w:t>
      </w:r>
    </w:p>
    <w:p w:rsidR="00A31137" w:rsidRPr="00A31137" w:rsidRDefault="00A31137" w:rsidP="00A31137">
      <w:r w:rsidRPr="00A31137">
        <w:t>Nor are we inclined to take a more expansive view of our authority to discover new fundamental rights imbedded in the Due Process Clause. The Court is most vulnerable and comes nearest to illegitimacy when it deals with judge-made constitutional law having little or no cognizable roots in the language or design of the Constitution.</w:t>
      </w:r>
    </w:p>
    <w:p w:rsidR="00A31137" w:rsidRPr="00A31137" w:rsidRDefault="00A31137" w:rsidP="00A31137">
      <w:r w:rsidRPr="00A31137">
        <w:t>1992, Planned Parenthood v. Casey, 505 U.S. 953</w:t>
      </w:r>
    </w:p>
    <w:p w:rsidR="00A31137" w:rsidRPr="00A31137" w:rsidRDefault="00A31137" w:rsidP="00A31137">
      <w:r w:rsidRPr="00A31137">
        <w:t>Id. at  194.</w:t>
      </w:r>
    </w:p>
    <w:p w:rsidR="00A31137" w:rsidRPr="00A31137" w:rsidRDefault="00A31137" w:rsidP="00A31137">
      <w:r w:rsidRPr="00A31137">
        <w:t>1992, Planned Parenthood v. Casey, 505 U.S. 953</w:t>
      </w:r>
    </w:p>
    <w:p w:rsidR="00A31137" w:rsidRPr="00A31137" w:rsidRDefault="00A31137" w:rsidP="00A31137">
      <w:r w:rsidRPr="00A31137">
        <w:t>We believe that the sort of constitutionally imposed abortion code of the type illustrated by our decisions following Roe is inconsistent "with the notion of a Constitution cast in general terms, as ours is, and usually speaking in general principles, as ours does." Webster v. Reproductive Health Services, 492 U.S. at  518 (plurality opinion). The Court in Roe reached too far when it analogized the right to abort a fetus to the rights involved in Pierce, Meyer, Loving, and Griswold, and thereby deemed the right to abortion fundamental.</w:t>
      </w:r>
    </w:p>
    <w:p w:rsidR="00A31137" w:rsidRPr="00A31137" w:rsidRDefault="00A31137" w:rsidP="00A31137">
      <w:r w:rsidRPr="00A31137">
        <w:t>II</w:t>
      </w:r>
    </w:p>
    <w:p w:rsidR="00A31137" w:rsidRPr="00A31137" w:rsidRDefault="00A31137" w:rsidP="00A31137">
      <w:r w:rsidRPr="00A31137">
        <w:t>1992, Planned Parenthood v. Casey, 505 U.S. 953</w:t>
      </w:r>
    </w:p>
    <w:p w:rsidR="00A31137" w:rsidRPr="00A31137" w:rsidRDefault="00A31137" w:rsidP="00A31137">
      <w:r w:rsidRPr="00A31137">
        <w:t>The joint opinion of JUSTICES O'CONNOR, KENNEDY, and SOUTER cannot bring itself to say that Roe was correct as an original matter, but the authors are of the view that</w:t>
      </w:r>
    </w:p>
    <w:p w:rsidR="00A31137" w:rsidRPr="00A31137" w:rsidRDefault="00A31137" w:rsidP="00A31137">
      <w:r w:rsidRPr="00A31137">
        <w:t>1992, Planned Parenthood v. Casey, 505 U.S. 953</w:t>
      </w:r>
    </w:p>
    <w:p w:rsidR="00A31137" w:rsidRPr="00A31137" w:rsidRDefault="00A31137" w:rsidP="00A31137">
      <w:r w:rsidRPr="00A31137">
        <w:t>the immediate question is not the soundness of Roe's resolution of the issue, but the precedential force that must be accorded to its holding.</w:t>
      </w:r>
    </w:p>
    <w:p w:rsidR="00A31137" w:rsidRPr="00A31137" w:rsidRDefault="00A31137" w:rsidP="00A31137">
      <w:r w:rsidRPr="00A31137">
        <w:t>1992, Planned Parenthood v. Casey, 505 U.S. 953</w:t>
      </w:r>
    </w:p>
    <w:p w:rsidR="00A31137" w:rsidRPr="00A31137" w:rsidRDefault="00A31137" w:rsidP="00A31137">
      <w:r w:rsidRPr="00A31137">
        <w:t>Ante at  871. Instead of claiming that Roe [505 U.S. 954] was correct as a matter of original constitutional interpretation, the opinion therefore contains an elaborate discussion of stare decisis. This discussion of the principle of stare decisis appears to be almost entirely dicta, because the joint opinion does not apply that principle in dealing with Roe. Roe decided that a woman had a fundamental right to an abortion. The joint opinion rejects that view. Roe decided that abortion regulations were to be subjected to "strict scrutiny," and could be justified only in the light of "compelling state interests." The joint opinion rejects that view. Ante at 872-873; see Roe v. Wade, supra, 410 U.S. at 162-164. Roe analyzed abortion regulation under a rigid trimester framework, a framework which has guided this Court's decisionmaking for 19 years. The joint opinion rejects that framework. Ante at  873.</w:t>
      </w:r>
    </w:p>
    <w:p w:rsidR="00A31137" w:rsidRPr="00A31137" w:rsidRDefault="00A31137" w:rsidP="00A31137">
      <w:r w:rsidRPr="00A31137">
        <w:t>1992, Planned Parenthood v. Casey, 505 U.S. 954</w:t>
      </w:r>
    </w:p>
    <w:p w:rsidR="00A31137" w:rsidRPr="00A31137" w:rsidRDefault="00A31137" w:rsidP="00A31137">
      <w:r w:rsidRPr="00A31137">
        <w:t>Stare decisis is defined in Black's Law Dictionary as meaning "to abide by, or adhere to, decided cases." Black's Law Dictionary 1406 (6th ed.1990). Whatever the "central holding" of Roe that is left after the joint opinion finishes dissecting it is surely not the result of that principle. While purporting to adhere to precedent, the joint opinion instead revises it. Roe continues to exist, but only in the way a storefront on a western movie set exists: a mere facade to give the illusion of reality. Decisions following Roe, such as Akron v. Akron Center for Reproductive Health, Inc., 462 U.S. 416 (1983), and Thornburgh v. American College of Obstetricians and Gynecologists, 476 U.S. 747 (1986), are frankly overruled in part under the "undue burden" standard expounded in the joint opinion. Ante at 881-884.</w:t>
      </w:r>
    </w:p>
    <w:p w:rsidR="00A31137" w:rsidRPr="00A31137" w:rsidRDefault="00A31137" w:rsidP="00A31137">
      <w:r w:rsidRPr="00A31137">
        <w:t>1992, Planned Parenthood v. Casey, 505 U.S. 954</w:t>
      </w:r>
    </w:p>
    <w:p w:rsidR="00A31137" w:rsidRPr="00A31137" w:rsidRDefault="00A31137" w:rsidP="00A31137">
      <w:r w:rsidRPr="00A31137">
        <w:t>In our view, authentic principles of stare decisis do not require that any portion of the reasoning in Roe be kept intact. "Stare decisis is not…a universal, inexorable command," especially in cases involving the interpretation of the Federal Constitution. Burnet v. Coronado Oil &amp; Gas Co., 285 U.S. 393,  405 (1932) (Brandeis, J., dissenting). Erroneous decisions in such constitutional cases are uniquely durable, because correction through legislative action, save for [505 U.S. 955] constitutional amendment, is impossible. It is therefore our duty to reconsider constitutional interpretations that "depar[t] from a proper understanding" of the Constitution. Garcia v. San Antonio Metropolitan Transit Authority, 469 U.S. at  557; see United States v. Scott, 437 U.S. 82, 101 (1978) ("'[I]n cases involving the Federal Constitution,…[t]he Court bows to the lessons of experience and the force of better reasoning, recognizing that the process of trial and error, so fruitful in the physical sciences, is appropriate also in the judicial function.'" (quoting Burnet v. Coronado Oil &amp; Gas Co., supra, 285 U.S. at 406-408 (Brandeis, J., dissenting))); Smith v. Allwright, 321 U.S. 649,  665 (1944). Our constitutional watch does not cease merely because we have spoken before on an issue; when it becomes clear that a prior constitutional interpretation is unsound, we are obliged to reexamine the question. See, e.g., West Virginia State Bd. of Education v. Barnette, 319 U.S. 624,  642 (1943); Erie R. Co. v. Tompkins, 304 U.S. 64, 74-78 (1938).</w:t>
      </w:r>
    </w:p>
    <w:p w:rsidR="00A31137" w:rsidRPr="00A31137" w:rsidRDefault="00A31137" w:rsidP="00A31137">
      <w:r w:rsidRPr="00A31137">
        <w:t>1992, Planned Parenthood v. Casey, 505 U.S. 955</w:t>
      </w:r>
    </w:p>
    <w:p w:rsidR="00A31137" w:rsidRPr="00A31137" w:rsidRDefault="00A31137" w:rsidP="00A31137">
      <w:r w:rsidRPr="00A31137">
        <w:t>The joint opinion discusses several stare decisis factors which, it asserts, point toward retaining a portion of Roe. Two of these factors are that the main "factual underpinning" of Roe has remained the same, and that its doctrinal foundation is no weaker now than it was in 1973. Ante at 857-860. Of course, what might be called the basic facts which gave rise to Roe have remained the same—women become pregnant, there is a point somewhere, depending on medical technology, where a fetus becomes viable, and women give birth to children. But this is only to say that the same facts which gave rise to Roe will continue to give rise to similar cases. It is not a reason, in and of itself, why those cases must be decided in the same incorrect manner as was the first case to deal with the question. And surely there is no requirement, in considering whether to depart from stare decisis in a constitutional case, that a decision be more wrong now than it was at the time it was rendered. If that were true, the most outlandish constitutional decision could survive [505 U.S. 956] forever, based simply on the fact that it was no more outlandish later than it was when originally rendered.</w:t>
      </w:r>
    </w:p>
    <w:p w:rsidR="00A31137" w:rsidRPr="00A31137" w:rsidRDefault="00A31137" w:rsidP="00A31137">
      <w:r w:rsidRPr="00A31137">
        <w:t>1992, Planned Parenthood v. Casey, 505 U.S. 956</w:t>
      </w:r>
    </w:p>
    <w:p w:rsidR="00A31137" w:rsidRPr="00A31137" w:rsidRDefault="00A31137" w:rsidP="00A31137">
      <w:r w:rsidRPr="00A31137">
        <w:t>Nor does the joint opinion faithfully follow this alleged requirement. The opinion frankly concludes that Roe and its progeny were wrong in failing to recognize that the State's interests in maternal health and in the protection of unborn human life exist throughout pregnancy. Ante at 871-873. But there is no indication that these components of Roe are any more incorrect at this juncture than they were at its inception.</w:t>
      </w:r>
    </w:p>
    <w:p w:rsidR="00A31137" w:rsidRPr="00A31137" w:rsidRDefault="00A31137" w:rsidP="00A31137">
      <w:r w:rsidRPr="00A31137">
        <w:t>1992, Planned Parenthood v. Casey, 505 U.S. 956</w:t>
      </w:r>
    </w:p>
    <w:p w:rsidR="00A31137" w:rsidRPr="00A31137" w:rsidRDefault="00A31137" w:rsidP="00A31137">
      <w:r w:rsidRPr="00A31137">
        <w:t>The joint opinion also points to the reliance interests involved in this context in its effort to explain why precedent must be followed for precedent's sake. Certainly it is true that, where reliance is truly at issue, as in the case of judicial decisions that have formed the basis for private decisions, "[c]onsiderations in favor of stare decisis are at their acme." Payne v. Tennessee, 501 U.S. at  828. But, as the joint opinion apparently agrees, ante at 855-856, any traditional notion of reliance is not applicable here. The Court today cuts back on the protection afforded by Roe, and no one claims that this action defeats any reliance interest in the disavowed trimester framework. Similarly, reliance interests would not be diminished were the Court to go further and acknowledge the full error of Roe, as "reproductive planning could take virtually immediate account of" this action. Ante at  856.</w:t>
      </w:r>
    </w:p>
    <w:p w:rsidR="00A31137" w:rsidRPr="00A31137" w:rsidRDefault="00A31137" w:rsidP="00A31137">
      <w:r w:rsidRPr="00A31137">
        <w:t>1992, Planned Parenthood v. Casey, 505 U.S. 956</w:t>
      </w:r>
    </w:p>
    <w:p w:rsidR="00A31137" w:rsidRPr="00A31137" w:rsidRDefault="00A31137" w:rsidP="00A31137">
      <w:r w:rsidRPr="00A31137">
        <w:t>The joint opinion thus turns to what can only be described as an unconventional—and unconvincing—notion of reliance, a view based on the surmise that the availability of abortion since Roe has led to "two decades of economic and social developments" that would be undercut if the error of Roe were recognized. Ibid. The joint opinion's assertion of this fact is undeveloped, and totally conclusory. In fact, one cannot be sure to what economic and social developments the opinion is referring. Surely it is dubious to suggest that women have reached their "places in society" in [505 U.S. 957] reliance upon Roe, rather than as a result of their determination to obtain higher education and compete with men in the job market, and of society's increasing recognition of their ability to fill positions that were previously thought to be reserved only for men. Ibid.</w:t>
      </w:r>
    </w:p>
    <w:p w:rsidR="00A31137" w:rsidRPr="00A31137" w:rsidRDefault="00A31137" w:rsidP="00A31137">
      <w:r w:rsidRPr="00A31137">
        <w:t>1992, Planned Parenthood v. Casey, 505 U.S. 957</w:t>
      </w:r>
    </w:p>
    <w:p w:rsidR="00A31137" w:rsidRPr="00A31137" w:rsidRDefault="00A31137" w:rsidP="00A31137">
      <w:r w:rsidRPr="00A31137">
        <w:t>In the end, having failed to put forth any evidence to prove any true reliance, the joint opinion's argument is based solely on generalized assertions about the national psyche, on a belief that the people of this country have grown accustomed to the Roe decision over the last 19 years and have "ordered their thinking and living around" it. Ibid. As an initial matter, one might inquire how the joint opinion can view the "central holding" of Roe as so deeply rooted in our constitutional culture when it so casually uproots and disposes of that same decision's trimester framework. Furthermore, at various points in the past, the same could have been said about this Court's erroneous decisions that the Constitution allowed "separate but equal" treatment of minorities, see Plessy v. Ferguson, 163 U.S. 537 (1896), or that "liberty" under the Due Process Clause protected "freedom of contract." See Adkins v. Children's Hospital of D.C., 261 U.S. 525 (1923); Lochner v. New York, 198 U.S. 45 (1905). The "separate but equal" doctrine lasted 58 years after Plessy, and Lochner's protection of contractual freedom lasted 32 years. However, the simple fact that a generation or more had grown used to these major decisions did not prevent the Court from correcting its errors in those cases, nor should it prevent us from correctly interpreting the Constitution here. See Brown v. Board of Education, 347 U.S. 483 (1954) (rejecting the "separate but equal" doctrine); West Coast Hotel Co. v. Parrish, 300 U.S. 379 (1937) (overruling Adkins v. Children's Hospital, supra, in upholding Washington's minimum wage law).</w:t>
      </w:r>
    </w:p>
    <w:p w:rsidR="00A31137" w:rsidRPr="00A31137" w:rsidRDefault="00A31137" w:rsidP="00A31137">
      <w:r w:rsidRPr="00A31137">
        <w:t>1992, Planned Parenthood v. Casey, 505 U.S. 957</w:t>
      </w:r>
    </w:p>
    <w:p w:rsidR="00A31137" w:rsidRPr="00A31137" w:rsidRDefault="00A31137" w:rsidP="00A31137">
      <w:r w:rsidRPr="00A31137">
        <w:t>Apparently realizing that conventional stare decisis principles do not support its position, the joint opinion advances a belief that retaining a portion of Roe is necessary to protect [505 U.S. 958] the "legitimacy" of this Court. Ante at 861-869. Because the Court must take care to render decisions "grounded truly in principle," and not simply as political and social compromises, ante at 865, the joint opinion properly declares it to be this Court's duty to ignore the public criticism and protest that may arise as a result of a decision. Few would quarrel with this statement, although it may be doubted that Members of this Court, holding their tenure as they do during constitutional "good behavior," are at all likely to be intimidated by such public protests.</w:t>
      </w:r>
    </w:p>
    <w:p w:rsidR="00A31137" w:rsidRPr="00A31137" w:rsidRDefault="00A31137" w:rsidP="00A31137">
      <w:r w:rsidRPr="00A31137">
        <w:t>1992, Planned Parenthood v. Casey, 505 U.S. 958</w:t>
      </w:r>
    </w:p>
    <w:p w:rsidR="00A31137" w:rsidRPr="00A31137" w:rsidRDefault="00A31137" w:rsidP="00A31137">
      <w:r w:rsidRPr="00A31137">
        <w:t>But the joint opinion goes on to state that, when the Court "resolve[s] the sort of intensely divisive controversy reflected in Roe and those rare, comparable cases," its decision is exempt from reconsideration under established principles of stare decisis in constitutional cases. Ante at  866. This is so, the joint opinion contends, because, in those "intensely divisive" cases, the Court has</w:t>
      </w:r>
    </w:p>
    <w:p w:rsidR="00A31137" w:rsidRPr="00A31137" w:rsidRDefault="00A31137" w:rsidP="00A31137">
      <w:r w:rsidRPr="00A31137">
        <w:t>1992, Planned Parenthood v. Casey, 505 U.S. 958</w:t>
      </w:r>
    </w:p>
    <w:p w:rsidR="00A31137" w:rsidRPr="00A31137" w:rsidRDefault="00A31137" w:rsidP="00A31137">
      <w:r w:rsidRPr="00A31137">
        <w:t>call[ed] the contending sides of a national controversy to end their national division by accepting a common mandate rooted in the Constitution,</w:t>
      </w:r>
    </w:p>
    <w:p w:rsidR="00A31137" w:rsidRPr="00A31137" w:rsidRDefault="00A31137" w:rsidP="00A31137">
      <w:r w:rsidRPr="00A31137">
        <w:t>1992, Planned Parenthood v. Casey, 505 U.S. 958</w:t>
      </w:r>
    </w:p>
    <w:p w:rsidR="00A31137" w:rsidRPr="00A31137" w:rsidRDefault="00A31137" w:rsidP="00A31137">
      <w:r w:rsidRPr="00A31137">
        <w:t>and must therefore take special care not to be perceived as "surrender[ing] to political pressure" and continued opposition. Ante at 866-867. This is a truly novel principle, one which is contrary to both the Court's historical practice and to the Court's traditional willingness to tolerate criticism of its opinions. Under this principle, when the Court has ruled on a divisive issue, it is apparently prevented from overruling that decision for the sole reason that it was incorrect, unless opposition to the original decision has died away.</w:t>
      </w:r>
    </w:p>
    <w:p w:rsidR="00A31137" w:rsidRPr="00A31137" w:rsidRDefault="00A31137" w:rsidP="00A31137">
      <w:r w:rsidRPr="00A31137">
        <w:t>1992, Planned Parenthood v. Casey, 505 U.S. 958</w:t>
      </w:r>
    </w:p>
    <w:p w:rsidR="00A31137" w:rsidRPr="00A31137" w:rsidRDefault="00A31137" w:rsidP="00A31137">
      <w:r w:rsidRPr="00A31137">
        <w:t>The first difficulty with this principle lies in its assumption that cases which are "intensely divisive" can be readily distinguished from those that are not. The question of whether a particular issue is "intensely divisive" enough to qualify for special protection is entirely subjective and dependent on the individual assumptions of the members of this Court. In addition, because the Court's duty is to ignore public opinion and criticism on issues that come before it, its members are [505 U.S. 959] in perhaps the worst position to judge whether a decision divides the Nation deeply enough to justify such uncommon protection. Although many of the Court's decisions divide the populace to a large degree, we have not previously on that account shied away from applying normal rules of stare decisis when urged to reconsider earlier decisions. Over the past 21 years, for example, the Court has overruled in whole or in part 34 of its previous constitutional decisions. See Payne v. Tennessee, supra, at 828-830 and n. 1 (listing cases).</w:t>
      </w:r>
    </w:p>
    <w:p w:rsidR="00A31137" w:rsidRPr="00A31137" w:rsidRDefault="00A31137" w:rsidP="00A31137">
      <w:r w:rsidRPr="00A31137">
        <w:t>1992, Planned Parenthood v. Casey, 505 U.S. 959</w:t>
      </w:r>
    </w:p>
    <w:p w:rsidR="00A31137" w:rsidRPr="00A31137" w:rsidRDefault="00A31137" w:rsidP="00A31137">
      <w:r w:rsidRPr="00A31137">
        <w:t>The joint opinion picks out and discusses two prior Court rulings that it believes are of the "intensely divisive" variety, and concludes that they are of comparable dimension to Roe. Ante at 861-864 (discussing Lochner v. New York, supra, and Plessy v. Ferguson, supra). It appears to us very odd indeed that the joint opinion chooses as benchmarks two cases in which the Court chose not to adhere to erroneous constitutional precedent, but instead enhanced its stature by acknowledging and correcting its error, apparently in violation of the joint opinion's "legitimacy" principle. See West Coast Hotel Co. v. Parrish, supra; Brown v. Board of Education, supra. One might also wonder how it is that the joint opinion puts these, and not others, in the "intensely divisive" category, and how it assumes that these are the only two lines of cases of comparable dimension to Roe. There is no reason to think that either Plessy or Lochner produced the sort of public protest when they were decided that Roe did. There were undoubtedly large segments of the bench and bar who agreed with the dissenting views in those cases, but surely that cannot be what the Court means when it uses the term "intensely divisive," or many other cases would have to be added to the list. In terms of public protest, however, Roe, so far as we know, was unique. But just as the Court should not respond to that sort of protest by retreating from the decision simply to allay the concerns of the protesters, it should likewise not respond by determining to adhere to the [505 U.S. 960] decision at all costs, lest it seem to be retreating under fire. Public protests should not alter the normal application of stare decisis, lest perfectly lawful protest activity be penalized by the Court itself.</w:t>
      </w:r>
    </w:p>
    <w:p w:rsidR="00A31137" w:rsidRPr="00A31137" w:rsidRDefault="00A31137" w:rsidP="00A31137">
      <w:r w:rsidRPr="00A31137">
        <w:t>1992, Planned Parenthood v. Casey, 505 U.S. 960</w:t>
      </w:r>
    </w:p>
    <w:p w:rsidR="00A31137" w:rsidRPr="00A31137" w:rsidRDefault="00A31137" w:rsidP="00A31137">
      <w:r w:rsidRPr="00A31137">
        <w:t>Taking the joint opinion on its own terms, we doubt that its distinction between Roe, on the one hand, and Plessy and Lochner, on the other, withstands analysis. The joint opinion acknowledges that the Court improved its stature by overruling Plessy in Brown on a deeply divisive issue. And our decision in West Coast Hotel, which overruled Adkins v. Children's Hospital, supra, and Lochner, was rendered at a time when Congress was considering President Franklin Roosevelt's proposal to "reorganize" this Court and enable him to name six additional Justices in the event that any member of the Court over the age of 70 did not elect to retire. It is difficult to imagine a situation in which the Court would face more intense opposition to a prior ruling than it did at that time, and, under the general principle proclaimed in the joint opinion, the Court seemingly should have responded to this opposition by stubbornly refusing to reexamine the Lochner rationale, lest it lose legitimacy by appearing to "overrule under fire." Ante at  867.</w:t>
      </w:r>
    </w:p>
    <w:p w:rsidR="00A31137" w:rsidRPr="00A31137" w:rsidRDefault="00A31137" w:rsidP="00A31137">
      <w:r w:rsidRPr="00A31137">
        <w:t>1992, Planned Parenthood v. Casey, 505 U.S. 960</w:t>
      </w:r>
    </w:p>
    <w:p w:rsidR="00A31137" w:rsidRPr="00A31137" w:rsidRDefault="00A31137" w:rsidP="00A31137">
      <w:r w:rsidRPr="00A31137">
        <w:t>The joint opinion agrees that the Court's stature would have been seriously damaged if, in Brown and West Coast Hotel, it had dug in its heels and refused to apply normal principles of stare decisis to the earlier decisions. But the opinion contends that the Court was entitled to overrule Plessy and Lochner in those cases, despite the existence of opposition to the original decisions, only because both the Nation and the Court had learned new lessons in the interim. This is at best a feebly supported post hoc rationalization for those decisions.</w:t>
      </w:r>
    </w:p>
    <w:p w:rsidR="00A31137" w:rsidRPr="00A31137" w:rsidRDefault="00A31137" w:rsidP="00A31137">
      <w:r w:rsidRPr="00A31137">
        <w:t>1992, Planned Parenthood v. Casey, 505 U.S. 960</w:t>
      </w:r>
    </w:p>
    <w:p w:rsidR="00A31137" w:rsidRPr="00A31137" w:rsidRDefault="00A31137" w:rsidP="00A31137">
      <w:r w:rsidRPr="00A31137">
        <w:t>For example, the opinion asserts that the Court could justifiably overrule its decision in Lochner only because the Depression had convinced "most people" that constitutional protection of contractual freedom contributed to an economy [505 U.S. 961] that failed to protect the welfare of all. Ante at 861. Surely the joint opinion does not mean to suggest that people saw this Court's failure to uphold minimum wage statutes as the cause of the Great Depression! In any event, the Lochner Court did not base its rule upon the policy judgment that an unregulated market was fundamental to a stable economy; it simply believed, erroneously, that "liberty" under the Due Process Clause protected the "right to make a contract." Lochner v. New York, 198 U.S. at 53. Nor is it the case that the people of this Nation only discovered the dangers of extreme laissez faire economics because of the Depression. State laws regulating maximum hours and minimum wages were in existence well before that time. A Utah statute of that sort enacted in 1896 was involved in our decision in Holden v. Hardy, 169 U.S. 366 (1898), and other states followed suit shortly afterwards. See, e.g., Muller v. Oregon, 208 U.S. 412 (1908); Bunting v. Oregon, 243 U.S. 426 (1917). These statutes were indeed enacted because of a belief on the part of their sponsors that "freedom of contract" did not protect the welfare of workers, demonstrating that that belief manifested itself more than a generation before the Great Depression. Whether "most people" had come to share it in the hard times of the 1930's is, insofar as anything the joint opinion advances, entirely speculative. The crucial failing at that time was not that workers were not paid a fair wage, but that there was no work available at any wage.</w:t>
      </w:r>
    </w:p>
    <w:p w:rsidR="00A31137" w:rsidRPr="00A31137" w:rsidRDefault="00A31137" w:rsidP="00A31137">
      <w:r w:rsidRPr="00A31137">
        <w:t>1992, Planned Parenthood v. Casey, 505 U.S. 961</w:t>
      </w:r>
    </w:p>
    <w:p w:rsidR="00A31137" w:rsidRPr="00A31137" w:rsidRDefault="00A31137" w:rsidP="00A31137">
      <w:r w:rsidRPr="00A31137">
        <w:t>When the Court finally recognized its error in West Coast Hotel, it did not engage in the post hoc rationalization that the joint opinion attributes to it today; it did not state that Lochner had been based on an economic view that had fallen into disfavor, and that it therefore should be overruled. Chief Justice Hughes, in his opinion for the Court, simply recognized what Justice Holmes had previously recognized in his Lochner dissent, that "[t]he Constitution does not speak of freedom of contract." West Coast Hotel Co. v. Parrish, 300 U.S. at  391; Lochner v. New York, supra, 198 U.S. at  75 (Holmes, [505 U.S. 962] J., dissenting) ("[A] Constitution is not intended to embody a particular economic theory, whether of paternalism and the organic relation of the citizen to the State or of laissez faire"). Although the Court did acknowledge in the last paragraph of its opinion the state of affairs during the then-current Depression, the theme of the opinion is that the Court had been mistaken as a matter of constitutional law when it embraced "freedom of contract" 32 years previously.</w:t>
      </w:r>
    </w:p>
    <w:p w:rsidR="00A31137" w:rsidRPr="00A31137" w:rsidRDefault="00A31137" w:rsidP="00A31137">
      <w:r w:rsidRPr="00A31137">
        <w:t>1992, Planned Parenthood v. Casey, 505 U.S. 962</w:t>
      </w:r>
    </w:p>
    <w:p w:rsidR="00A31137" w:rsidRPr="00A31137" w:rsidRDefault="00A31137" w:rsidP="00A31137">
      <w:r w:rsidRPr="00A31137">
        <w:t>The joint opinion also agrees that the Court acted properly in rejecting the doctrine of "separate but equal" in Brown. In fact, the opinion lauds Brown in comparing it to Roe. Ante at  867. This is strange, in that, under the opinion's "legitimacy" principle, the Court would seemingly have been forced to adhere to its erroneous decision in Plessy because of its "intensely divisive" character. To us, adherence to Roe today under the guise of "legitimacy" would seem to resemble more closely adherence to Plessy on the same ground. Fortunately, the Court did not choose that option in Brown, and instead frankly repudiated Plessy. The joint opinion concludes that such repudiation was justified only because of newly discovered evidence that segregation had the effect of treating one race as inferior to another. But it can hardly be argued that this was not urged upon those who decided Plessy, as JUSTICE Harlan observed in his dissent that the law at issue "puts the brand of servitude and degradation upon a large class of our fellow-citizens, our equals before the law." Plessy v. Ferguson, 163 U.S. at  562 (Harlan, J., dissenting). It is clear that the same arguments made before the Court in Brown were made in Plessy as well. The Court in Brown simply recognized, as Justice Harlan had recognized beforehand, that the Fourteenth Amendment does not permit racial segregation. The rule of Brown is not tied to popular opinion about the evils of segregation; it is a judgment that the Equal Protection Clause does not permit racial segregation, no matter whether the public might come to believe that it is beneficial. On that ground it stands, and on that ground [505 U.S. 963] alone the Court was justified in properly concluding that the Plessy Court had erred.</w:t>
      </w:r>
    </w:p>
    <w:p w:rsidR="00A31137" w:rsidRPr="00A31137" w:rsidRDefault="00A31137" w:rsidP="00A31137">
      <w:r w:rsidRPr="00A31137">
        <w:t>1992, Planned Parenthood v. Casey, 505 U.S. 963</w:t>
      </w:r>
    </w:p>
    <w:p w:rsidR="00A31137" w:rsidRPr="00A31137" w:rsidRDefault="00A31137" w:rsidP="00A31137">
      <w:r w:rsidRPr="00A31137">
        <w:t>There is also a suggestion in the joint opinion that the propriety of overruling a "divisive" decision depends in part on whether "most people" would now agree that it should be overruled. Either the demise of opposition or its progression to substantial popular agreement apparently is required to allow the Court to reconsider a divisive decision. How such agreement would be ascertained, short of a public opinion poll, the joint opinion does not say. But surely even the suggestion is totally at war with the idea of "legitimacy" in whose name it is invoked. The Judicial Branch derives its legitimacy not from following public opinion, but from deciding by its best lights whether legislative enactments of the popular branches of Government comport with the Constitution. The doctrine of stare decisis is an adjunct of this duty, and should be no more subject to the vagaries of public opinion than is the basic judicial task.</w:t>
      </w:r>
    </w:p>
    <w:p w:rsidR="00A31137" w:rsidRPr="00A31137" w:rsidRDefault="00A31137" w:rsidP="00A31137">
      <w:r w:rsidRPr="00A31137">
        <w:t>1992, Planned Parenthood v. Casey, 505 U.S. 963</w:t>
      </w:r>
    </w:p>
    <w:p w:rsidR="00A31137" w:rsidRPr="00A31137" w:rsidRDefault="00A31137" w:rsidP="00A31137">
      <w:r w:rsidRPr="00A31137">
        <w:t>There are other reasons why the joint opinion's discussion of legitimacy is unconvincing, as well. In assuming that the Court is perceived as "surrender[ing] to political pressure" when it overrules a controversial decision, ante at  867, the joint opinion forgets that there are two sides to any controversy. The joint opinion asserts that, in order to protect its legitimacy, the Court must refrain from overruling a controversial decision lest it be viewed as favoring those who oppose the decision. But a decision to adhere to prior precedent is subject to the same criticism, for, in such a case, one can easily argue that the Court is responding to those who have demonstrated in favor of the original decision. The decision in Roe has engendered large demonstrations, including repeated marches on this Court and on Congress, both in opposition to and in support of that opinion. A decision either way on Roe can therefore be perceived as favoring one group or the other. But this perceived dilemma arises only if one assumes, as the joint opinion does, that the Court [505 U.S. 964] should make its decisions with a view toward speculative public perceptions. If one assumes instead, as the Court surely did in both Brown and West Coast Hotel, that the Court's legitimacy is enhanced by faithful interpretation of the Constitution irrespective of public opposition, such self-engendered difficulties may be put to one side.</w:t>
      </w:r>
    </w:p>
    <w:p w:rsidR="00A31137" w:rsidRPr="00A31137" w:rsidRDefault="00A31137" w:rsidP="00A31137">
      <w:r w:rsidRPr="00A31137">
        <w:t>1992, Planned Parenthood v. Casey, 505 U.S. 964</w:t>
      </w:r>
    </w:p>
    <w:p w:rsidR="00A31137" w:rsidRPr="00A31137" w:rsidRDefault="00A31137" w:rsidP="00A31137">
      <w:r w:rsidRPr="00A31137">
        <w:t>Roe is not this Court's only decision to generate conflict. Our decisions in some recent capital cases, and in Bowers v. Hardwick, 478 U.S. 186 (186), have also engendered demonstrations in opposition. The joint opinion's message to such protesters appears to be that they must cease their activities in order to serve their cause, because their protests will only cement in place a decision which, by normal standards of stare decisis, should be reconsidered. Nearly a century ago, Justice David J. Brewer of this Court, in an article discussing criticism of its decisions, observed that "many criticisms may be, like their authors, devoid of good taste, but better all sorts of criticism than no criticism at all." Justice Brewer on "The Nation's Anchor," 57 Albany L.J. 166, 169 (1898). This was good advice to the Court then, as it is today. Strong and often misguided criticism of a decision should not render the decision immune from reconsideration, lest a fetish for legitimacy penalize freedom of expression.</w:t>
      </w:r>
    </w:p>
    <w:p w:rsidR="00A31137" w:rsidRPr="00A31137" w:rsidRDefault="00A31137" w:rsidP="00A31137">
      <w:r w:rsidRPr="00A31137">
        <w:t>1992, Planned Parenthood v. Casey, 505 U.S. 964</w:t>
      </w:r>
    </w:p>
    <w:p w:rsidR="00A31137" w:rsidRPr="00A31137" w:rsidRDefault="00A31137" w:rsidP="00A31137">
      <w:r w:rsidRPr="00A31137">
        <w:t>The end result of the joint opinion's paeans of praise for legitimacy is the enunciation of a brand new standard for evaluating state regulation of a woman's right to abortion—the "undue burden" standard. As indicated above, Roe v. Wade adopted a "fundamental right" standard under which state regulations could survive only if they met the requirement of "strict scrutiny." While we disagree with that standard, it at least had a recognized basis in constitutional law at the time Roe was decided. The same cannot be said for the "undue burden" standard, which is created largely out of whole cloth by the authors of the joint opinion. It is a standard which even today does not command the support of a majority of this Court. And it will not, we believe, result [505 U.S. 965] in the sort of "simple limitation," easily applied, which the joint opinion anticipates. Ante at 855. In sum, it is a standard which is not built to last.</w:t>
      </w:r>
    </w:p>
    <w:p w:rsidR="00A31137" w:rsidRPr="00A31137" w:rsidRDefault="00A31137" w:rsidP="00A31137">
      <w:r w:rsidRPr="00A31137">
        <w:t>1992, Planned Parenthood v. Casey, 505 U.S. 965</w:t>
      </w:r>
    </w:p>
    <w:p w:rsidR="00A31137" w:rsidRPr="00A31137" w:rsidRDefault="00A31137" w:rsidP="00A31137">
      <w:r w:rsidRPr="00A31137">
        <w:t>In evaluating abortion regulations under that standard, judges will have to decide whether they place a "substantial obstacle" in the path of a woman seeking an abortion. Ante at  877. In that this standard is based even more on a judge's subjective determinations than was the trimester framework, the standard will do nothing to prevent "judges from roaming at large in the constitutional field," guided only by their personal views. Griswold v. Connecticut, 381 U.S. at  502 (Harlan, J., concurring in judgment). Because the undue burden standard is plucked from nowhere, the question of what is a "substantial obstacle" to abortion will undoubtedly engender a variety of conflicting views. For example, in the very matter before us now, the authors of the joint opinion would uphold Pennsylvania's 24-hour waiting period, concluding that a "particular burden" on some women is not a substantial obstacle. Ante at  887. But the authors would at the same time strike down Pennsylvania's spousal notice provision, after finding that, in a "large fraction" of cases, the provision will be a substantial obstacle. Ante at  895. And, while the authors conclude that the informed consent provisions do not constitute an "undue burden," JUSTICE STEVENS would hold that they do. Ante at 920-922.</w:t>
      </w:r>
    </w:p>
    <w:p w:rsidR="00A31137" w:rsidRPr="00A31137" w:rsidRDefault="00A31137" w:rsidP="00A31137">
      <w:r w:rsidRPr="00A31137">
        <w:t>1992, Planned Parenthood v. Casey, 505 U.S. 965</w:t>
      </w:r>
    </w:p>
    <w:p w:rsidR="00A31137" w:rsidRPr="00A31137" w:rsidRDefault="00A31137" w:rsidP="00A31137">
      <w:r w:rsidRPr="00A31137">
        <w:t>Furthermore, while striking down the spousal notice regulation, the joint opinion would uphold a parental consent restriction that certainly places very substantial obstacles in the path of a minor's abortion choice. The joint opinion is forthright in admitting that it draws this distinction based on a policy judgment that parents will have the best interests of their children at heart, while the same is not necessarily true of husbands as to their wives. Ante at  895. This may or may not be a correct judgment, but it is quintessentially a legislative one. The "undue burden" inquiry does not in any way supply the distinction between parental consent and [505 U.S. 966] spousal consent which the joint opinion adopts. Despite the efforts of the joint opinion, the undue burden standard presents nothing more workable than the trimester framework which it discards today. Under the guise of the Constitution, this Court will still impart its own preferences on the States in the form of a complex abortion code.</w:t>
      </w:r>
    </w:p>
    <w:p w:rsidR="00A31137" w:rsidRPr="00A31137" w:rsidRDefault="00A31137" w:rsidP="00A31137">
      <w:r w:rsidRPr="00A31137">
        <w:t>1992, Planned Parenthood v. Casey, 505 U.S. 966</w:t>
      </w:r>
    </w:p>
    <w:p w:rsidR="00A31137" w:rsidRPr="00A31137" w:rsidRDefault="00A31137" w:rsidP="00A31137">
      <w:r w:rsidRPr="00A31137">
        <w:t>The sum of the joint opinion's labors in the name of stare decisis and "legitimacy" is this: Roe v. Wade stands as a sort of judicial Potemkin Village, which may be pointed out to passers by as a monument to the importance of adhering to precedent. But behind the facade, an entirely new method of analysis, without any roots in constitutional law, is imported to decide the constitutionality of state laws regulating abortion. Neither stare decisis nor "legitimacy" are truly served by such an effort.</w:t>
      </w:r>
    </w:p>
    <w:p w:rsidR="00A31137" w:rsidRPr="00A31137" w:rsidRDefault="00A31137" w:rsidP="00A31137">
      <w:r w:rsidRPr="00A31137">
        <w:t>1992, Planned Parenthood v. Casey, 505 U.S. 966</w:t>
      </w:r>
    </w:p>
    <w:p w:rsidR="00A31137" w:rsidRPr="00A31137" w:rsidRDefault="00A31137" w:rsidP="00A31137">
      <w:r w:rsidRPr="00A31137">
        <w:t>We have stated above our belief that the Constitution does not subject state abortion regulations to heightened scrutiny. Accordingly, we think that the correct analysis is that set forth by the plurality opinion in Webster. A woman's interest in having an abortion is a form of liberty protected by the Due Process Clause, but States may regulate abortion procedures in ways rationally related to a legitimate state interest. Williamson v. Lee Optical of Okla., Inc., 348 U.S. 483,  491 (1955); cf. Stanley v. Illinois, 405 U.S. 645, 651-65 (1972). With this rule in mind, we examine each of the challenged provisions.</w:t>
      </w:r>
    </w:p>
    <w:p w:rsidR="00A31137" w:rsidRPr="00A31137" w:rsidRDefault="00A31137" w:rsidP="00A31137">
      <w:r w:rsidRPr="00A31137">
        <w:t>III</w:t>
      </w:r>
    </w:p>
    <w:p w:rsidR="00A31137" w:rsidRPr="00A31137" w:rsidRDefault="00A31137" w:rsidP="00A31137">
      <w:r w:rsidRPr="00A31137">
        <w:t>A</w:t>
      </w:r>
    </w:p>
    <w:p w:rsidR="00A31137" w:rsidRPr="00A31137" w:rsidRDefault="00A31137" w:rsidP="00A31137">
      <w:r w:rsidRPr="00A31137">
        <w:t>1992, Planned Parenthood v. Casey, 505 U.S. 966</w:t>
      </w:r>
    </w:p>
    <w:p w:rsidR="00A31137" w:rsidRPr="00A31137" w:rsidRDefault="00A31137" w:rsidP="00A31137">
      <w:r w:rsidRPr="00A31137">
        <w:t>Section 3205 of the Act imposes certain requirements related to the informed consent of a woman seeking an abortion. 18 Pa.Cons.Stat. § 3205 (1990). Section 3205(a)(1) requires that the referring or performing physician must inform a woman contemplating an abortion of (i) the nature of the procedure, and the risks and alternatives that a reasonable patient would find material; (ii) the fetus' probable gestational [505 U.S. 967] age; and (iii) the medical risks involved in carrying her pregnancy to term. Section 3205(a)(2) requires a physician or a nonphysician counselor to inform the woman that (i) the state health department publishes free materials describing the fetus at different stages and listing abortion alternatives; (ii) medical assistance benefits may be available for prenatal, childbirth, and neonatal care; and (iii) the child's father is liable for child support. The Act also imposes a 24-hour waiting period between the time that the woman receives the required information and the time that the physician is allowed to perform the abortion. See Appendix, ante at 902-904.</w:t>
      </w:r>
    </w:p>
    <w:p w:rsidR="00A31137" w:rsidRPr="00A31137" w:rsidRDefault="00A31137" w:rsidP="00A31137">
      <w:r w:rsidRPr="00A31137">
        <w:t>1992, Planned Parenthood v. Casey, 505 U.S. 967</w:t>
      </w:r>
    </w:p>
    <w:p w:rsidR="00A31137" w:rsidRPr="00A31137" w:rsidRDefault="00A31137" w:rsidP="00A31137">
      <w:r w:rsidRPr="00A31137">
        <w:t>This Court has held that it is certainly within the province of the States to require a woman's voluntary and informed consent to an abortion. See Thornburgh v. American College of Obstetricians and Gynecologists, 476 U.S. at  760. Here, Pennsylvania seeks to further its legitimate interest in obtaining informed consent by ensuring that each woman</w:t>
      </w:r>
    </w:p>
    <w:p w:rsidR="00A31137" w:rsidRPr="00A31137" w:rsidRDefault="00A31137" w:rsidP="00A31137">
      <w:r w:rsidRPr="00A31137">
        <w:t>1992, Planned Parenthood v. Casey, 505 U.S. 967</w:t>
      </w:r>
    </w:p>
    <w:p w:rsidR="00A31137" w:rsidRPr="00A31137" w:rsidRDefault="00A31137" w:rsidP="00A31137">
      <w:r w:rsidRPr="00A31137">
        <w:t>is aware not only of the reasons for having an abortion, but also of the risks associated with an abortion and the availability of assistance that might make the alternative of normal childbirth more attractive than it might otherwise appear.</w:t>
      </w:r>
    </w:p>
    <w:p w:rsidR="00A31137" w:rsidRPr="00A31137" w:rsidRDefault="00A31137" w:rsidP="00A31137">
      <w:r w:rsidRPr="00A31137">
        <w:t>1992, Planned Parenthood v. Casey, 505 U.S. 967</w:t>
      </w:r>
    </w:p>
    <w:p w:rsidR="00A31137" w:rsidRPr="00A31137" w:rsidRDefault="00A31137" w:rsidP="00A31137">
      <w:r w:rsidRPr="00A31137">
        <w:t>Id. at 798-799 (WHITE, J., dissenting).</w:t>
      </w:r>
    </w:p>
    <w:p w:rsidR="00A31137" w:rsidRPr="00A31137" w:rsidRDefault="00A31137" w:rsidP="00A31137">
      <w:r w:rsidRPr="00A31137">
        <w:t>1992, Planned Parenthood v. Casey, 505 U.S. 967</w:t>
      </w:r>
    </w:p>
    <w:p w:rsidR="00A31137" w:rsidRPr="00A31137" w:rsidRDefault="00A31137" w:rsidP="00A31137">
      <w:r w:rsidRPr="00A31137">
        <w:t>We conclude that this provision of the statute is rationally related to the State's interest in assuring that a woman's consent to an abortion be a fully informed decision.</w:t>
      </w:r>
    </w:p>
    <w:p w:rsidR="00A31137" w:rsidRPr="00A31137" w:rsidRDefault="00A31137" w:rsidP="00A31137">
      <w:r w:rsidRPr="00A31137">
        <w:t>1992, Planned Parenthood v. Casey, 505 U.S. 967</w:t>
      </w:r>
    </w:p>
    <w:p w:rsidR="00A31137" w:rsidRPr="00A31137" w:rsidRDefault="00A31137" w:rsidP="00A31137">
      <w:r w:rsidRPr="00A31137">
        <w:t>Section 3205(a)(1) requires a physician to disclose certain information about the abortion procedure and its risks and alternatives. This requirement is certainly no large burden, as the Court of Appeals found that</w:t>
      </w:r>
    </w:p>
    <w:p w:rsidR="00A31137" w:rsidRPr="00A31137" w:rsidRDefault="00A31137" w:rsidP="00A31137">
      <w:r w:rsidRPr="00A31137">
        <w:t>1992, Planned Parenthood v. Casey, 505 U.S. 967</w:t>
      </w:r>
    </w:p>
    <w:p w:rsidR="00A31137" w:rsidRPr="00A31137" w:rsidRDefault="00A31137" w:rsidP="00A31137">
      <w:r w:rsidRPr="00A31137">
        <w:t>the record shows that the clinics, without exception, insist on providing this information to women before an abortion is performed.</w:t>
      </w:r>
    </w:p>
    <w:p w:rsidR="00A31137" w:rsidRPr="00A31137" w:rsidRDefault="00A31137" w:rsidP="00A31137">
      <w:r w:rsidRPr="00A31137">
        <w:t>1992, Planned Parenthood v. Casey, 505 U.S. 967</w:t>
      </w:r>
    </w:p>
    <w:p w:rsidR="00A31137" w:rsidRPr="00A31137" w:rsidRDefault="00A31137" w:rsidP="00A31137">
      <w:r w:rsidRPr="00A31137">
        <w:t>947 F.2d at 703. We are of the view that this information "clearly is related to maternal health and to the State's legitimate purpose in requiring informed consent." Akron v. [505 U.S. 968] Akron Center for Reproductive Health, 462 U.S. at 446. An accurate description of the gestational age of the fetus and of the risks involved in carrying a child to term helps to further both those interests and the State's legitimate interest in unborn human life. See id. at 445-446, n. 37 (required disclosure of gestational age of the fetus "certainly is not objectionable"). Although petitioners contend that it is unreasonable for the State to require that a physician, as opposed to a nonphysician counselor, disclose this information, we agree with the Court of Appeals that a State</w:t>
      </w:r>
    </w:p>
    <w:p w:rsidR="00A31137" w:rsidRPr="00A31137" w:rsidRDefault="00A31137" w:rsidP="00A31137">
      <w:r w:rsidRPr="00A31137">
        <w:t>1992, Planned Parenthood v. Casey, 505 U.S. 968</w:t>
      </w:r>
    </w:p>
    <w:p w:rsidR="00A31137" w:rsidRPr="00A31137" w:rsidRDefault="00A31137" w:rsidP="00A31137">
      <w:r w:rsidRPr="00A31137">
        <w:t>may rationally decide that physicians are better qualified than counselors to impart this information and answer questions about the medical aspects of the available alternatives.</w:t>
      </w:r>
    </w:p>
    <w:p w:rsidR="00A31137" w:rsidRPr="00A31137" w:rsidRDefault="00A31137" w:rsidP="00A31137">
      <w:r w:rsidRPr="00A31137">
        <w:t>1992, Planned Parenthood v. Casey, 505 U.S. 968</w:t>
      </w:r>
    </w:p>
    <w:p w:rsidR="00A31137" w:rsidRPr="00A31137" w:rsidRDefault="00A31137" w:rsidP="00A31137">
      <w:r w:rsidRPr="00A31137">
        <w:t>947 F.2d at 704.</w:t>
      </w:r>
    </w:p>
    <w:p w:rsidR="00A31137" w:rsidRPr="00A31137" w:rsidRDefault="00A31137" w:rsidP="00A31137">
      <w:r w:rsidRPr="00A31137">
        <w:t>1992, Planned Parenthood v. Casey, 505 U.S. 968</w:t>
      </w:r>
    </w:p>
    <w:p w:rsidR="00A31137" w:rsidRPr="00A31137" w:rsidRDefault="00A31137" w:rsidP="00A31137">
      <w:r w:rsidRPr="00A31137">
        <w:t>Section 3205(a)(2) compels the disclosure, by a physician or a counselor, of information concerning the availability of paternal child support and state-funded alternatives if the woman decides to proceed with her pregnancy. Here again, the Court of Appeals observed that</w:t>
      </w:r>
    </w:p>
    <w:p w:rsidR="00A31137" w:rsidRPr="00A31137" w:rsidRDefault="00A31137" w:rsidP="00A31137">
      <w:r w:rsidRPr="00A31137">
        <w:t>1992, Planned Parenthood v. Casey, 505 U.S. 968</w:t>
      </w:r>
    </w:p>
    <w:p w:rsidR="00A31137" w:rsidRPr="00A31137" w:rsidRDefault="00A31137" w:rsidP="00A31137">
      <w:r w:rsidRPr="00A31137">
        <w:t>the record indicates that most clinics already require that a counselor consult in person with the woman about alternatives to abortion before the abortion is performed.</w:t>
      </w:r>
    </w:p>
    <w:p w:rsidR="00A31137" w:rsidRPr="00A31137" w:rsidRDefault="00A31137" w:rsidP="00A31137">
      <w:r w:rsidRPr="00A31137">
        <w:t>1992, Planned Parenthood v. Casey, 505 U.S. 968</w:t>
      </w:r>
    </w:p>
    <w:p w:rsidR="00A31137" w:rsidRPr="00A31137" w:rsidRDefault="00A31137" w:rsidP="00A31137">
      <w:r w:rsidRPr="00A31137">
        <w:t>Id. at 704-705. And petitioners do not claim that the information required to be disclosed by statute is in any way false or inaccurate; indeed, the Court of Appeals found it to be "relevant, accurate, and noninflammatory." Id. at 705. We conclude that this required presentation of "balanced information" is rationally related to the State's legitimate interest in ensuring that the woman's consent is truly informed, Thornburgh v. American College of Obstetricians and Gynecologists, 476 U.S. at  830 (O'CONNOR, J., dissenting), and in addition furthers the State's interest in preserving unborn life. That the information might create some uncertainty and persuade some women to forgo abortions does not lead to the conclusion that the Constitution forbids the provision of such information. Indeed, it only demonstrates that this information might [505 U.S. 969] very well make a difference, and that it is therefore relevant to a woman's informed choice. Cf. id. at 801 (WHITE, J., dissenting) ("[T]he ostensible objective of Roe v. Wade is not maximizing the number of abortions, but maximizing choice"). We acknowledge that, in Thornburgh, this Court struck down informed consent requirements similar to the ones at issue here. See id. at 760-764. It is clear, however, that while the detailed framework of Roe led to the Court's invalidation of those informational requirements, they</w:t>
      </w:r>
    </w:p>
    <w:p w:rsidR="00A31137" w:rsidRPr="00A31137" w:rsidRDefault="00A31137" w:rsidP="00A31137">
      <w:r w:rsidRPr="00A31137">
        <w:t>1992, Planned Parenthood v. Casey, 505 U.S. 969</w:t>
      </w:r>
    </w:p>
    <w:p w:rsidR="00A31137" w:rsidRPr="00A31137" w:rsidRDefault="00A31137" w:rsidP="00A31137">
      <w:r w:rsidRPr="00A31137">
        <w:t>would have been sustained under any traditional standard of judicial review,…or for any other surgical procedure except abortion.</w:t>
      </w:r>
    </w:p>
    <w:p w:rsidR="00A31137" w:rsidRPr="00A31137" w:rsidRDefault="00A31137" w:rsidP="00A31137">
      <w:r w:rsidRPr="00A31137">
        <w:t>1992, Planned Parenthood v. Casey, 505 U.S. 969</w:t>
      </w:r>
    </w:p>
    <w:p w:rsidR="00A31137" w:rsidRPr="00A31137" w:rsidRDefault="00A31137" w:rsidP="00A31137">
      <w:r w:rsidRPr="00A31137">
        <w:t>Webster v. Reproductive Health Services, 492 U.S. at  517 (plurality opinion) (citing Thornburgh v. American College of Obstetricians and Gynecologists, 476 U.S. at  802 (WHITE, J., dissenting); id. at  783 (Burger, C.J., dissenting)). In light of our rejection of Roe's "fundamental right" approach to this subject, we do not regard Thornburgh as controlling.</w:t>
      </w:r>
    </w:p>
    <w:p w:rsidR="00A31137" w:rsidRPr="00A31137" w:rsidRDefault="00A31137" w:rsidP="00A31137">
      <w:r w:rsidRPr="00A31137">
        <w:t>1992, Planned Parenthood v. Casey, 505 U.S. 969</w:t>
      </w:r>
    </w:p>
    <w:p w:rsidR="00A31137" w:rsidRPr="00A31137" w:rsidRDefault="00A31137" w:rsidP="00A31137">
      <w:r w:rsidRPr="00A31137">
        <w:t>For the same reason, we do not feel bound to follow this Court's previous holding that a State's 24-hour mandatory waiting period is unconstitutional. See Akron v. Akron Center for Reproductive Health, 462 U.S. at 449-451. Petitioners are correct that such a provision will result in delays for some women that might not otherwise exist, therefore placing a burden on their liberty. But the provision in no way prohibits abortions, and the informed consent and waiting period requirements do not apply in the case of a medical emergency. See 18 Pa. Cons.Stat. §§ 3205(a), (b) (1990). We are of the view that, in providing time for reflection and reconsideration, the waiting period helps ensure that a woman's decision to abort is a well-considered one, and reasonably furthers the State's legitimate interest in maternal health and in the unborn life of the fetus. It</w:t>
      </w:r>
    </w:p>
    <w:p w:rsidR="00A31137" w:rsidRPr="00A31137" w:rsidRDefault="00A31137" w:rsidP="00A31137">
      <w:r w:rsidRPr="00A31137">
        <w:t>1992, Planned Parenthood v. Casey, 505 U.S. 969</w:t>
      </w:r>
    </w:p>
    <w:p w:rsidR="00A31137" w:rsidRPr="00A31137" w:rsidRDefault="00A31137" w:rsidP="00A31137">
      <w:r w:rsidRPr="00A31137">
        <w:t>is surely a small cost to impose to ensure that the woman's decision is well-considered in light of its certain and irreparable consequences [505 U.S. 970] on fetal life, and the possible effects on her own.</w:t>
      </w:r>
    </w:p>
    <w:p w:rsidR="00A31137" w:rsidRPr="00A31137" w:rsidRDefault="00A31137" w:rsidP="00A31137">
      <w:r w:rsidRPr="00A31137">
        <w:t>1992, Planned Parenthood v. Casey, 505 U.S. 970</w:t>
      </w:r>
    </w:p>
    <w:p w:rsidR="00A31137" w:rsidRPr="00A31137" w:rsidRDefault="00A31137" w:rsidP="00A31137">
      <w:r w:rsidRPr="00A31137">
        <w:t>Id. at  474 (O'CONNOR, J., dissenting).</w:t>
      </w:r>
    </w:p>
    <w:p w:rsidR="00A31137" w:rsidRPr="00A31137" w:rsidRDefault="00A31137" w:rsidP="00A31137">
      <w:r w:rsidRPr="00A31137">
        <w:t>B</w:t>
      </w:r>
    </w:p>
    <w:p w:rsidR="00A31137" w:rsidRPr="00A31137" w:rsidRDefault="00A31137" w:rsidP="00A31137">
      <w:r w:rsidRPr="00A31137">
        <w:t>1992, Planned Parenthood v. Casey, 505 U.S. 970</w:t>
      </w:r>
    </w:p>
    <w:p w:rsidR="00A31137" w:rsidRPr="00A31137" w:rsidRDefault="00A31137" w:rsidP="00A31137">
      <w:r w:rsidRPr="00A31137">
        <w:t>In addition to providing her own informed consent, before an unemancipated woman under the age of 18 may obtain an abortion, she must either furnish the consent of one of her parents or must opt for the judicial procedure that allows her to bypass the consent requirement. Under the judicial bypass option, a minor can obtain an abortion if a state court finds that she is capable of giving her informed consent, and has indeed given such consent, or determines that an abortion is in her best interests. Records of these court proceedings are kept confidential. The Act directs the state trial court to render a decision within three days of the woman's application, and the entire procedure, including appeal to Pennsylvania Superior Court, is to last no longer than eight business days. The parental consent requirement does not apply in the case of a medical emergency. 18 Pa.Cons.Stat. § 3206 (1990). See Appendix to opinion of O'CONNOR, KENNEDY, and SOUTER, JJ., ante at 904-906.</w:t>
      </w:r>
    </w:p>
    <w:p w:rsidR="00A31137" w:rsidRPr="00A31137" w:rsidRDefault="00A31137" w:rsidP="00A31137">
      <w:r w:rsidRPr="00A31137">
        <w:t>1992, Planned Parenthood v. Casey, 505 U.S. 970</w:t>
      </w:r>
    </w:p>
    <w:p w:rsidR="00A31137" w:rsidRPr="00A31137" w:rsidRDefault="00A31137" w:rsidP="00A31137">
      <w:r w:rsidRPr="00A31137">
        <w:t>This provision is entirely consistent with this Court's previous decisions involving parental consent requirements. See Planned Parenthood Association of Kansas City, Mo., Inc. v. Ashcroft, 462 U.S. 476 (1983) (upholding parental consent requirement with a similar judicial bypass option); Akron v. Akron Center for Reproductive Health, supra, 462 U.S. at 439-440 (approving of parental consent statutes that include a judicial bypass option allowing a pregnant minor to "demonstrate that she is sufficiently mature to make the abortion decision herself or that, despite her immaturity, an abortion would be in her best interests"); Bellotti v. Baird, 443 U.S. 622 (1979).</w:t>
      </w:r>
    </w:p>
    <w:p w:rsidR="00A31137" w:rsidRPr="00A31137" w:rsidRDefault="00A31137" w:rsidP="00A31137">
      <w:r w:rsidRPr="00A31137">
        <w:t>1992, Planned Parenthood v. Casey, 505 U.S. 970</w:t>
      </w:r>
    </w:p>
    <w:p w:rsidR="00A31137" w:rsidRPr="00A31137" w:rsidRDefault="00A31137" w:rsidP="00A31137">
      <w:r w:rsidRPr="00A31137">
        <w:t>We think it beyond dispute that a State</w:t>
      </w:r>
    </w:p>
    <w:p w:rsidR="00A31137" w:rsidRPr="00A31137" w:rsidRDefault="00A31137" w:rsidP="00A31137">
      <w:r w:rsidRPr="00A31137">
        <w:t>1992, Planned Parenthood v. Casey, 505 U.S. 970</w:t>
      </w:r>
    </w:p>
    <w:p w:rsidR="00A31137" w:rsidRPr="00A31137" w:rsidRDefault="00A31137" w:rsidP="00A31137">
      <w:r w:rsidRPr="00A31137">
        <w:t>has a strong and legitimate interest in the welfare of its young citizens, whose immaturity, inexperience, and lack of judgment may sometimes [505 U.S. 971] impair their ability to exercise their rights wisely.</w:t>
      </w:r>
    </w:p>
    <w:p w:rsidR="00A31137" w:rsidRPr="00A31137" w:rsidRDefault="00A31137" w:rsidP="00A31137">
      <w:r w:rsidRPr="00A31137">
        <w:t>1992, Planned Parenthood v. Casey, 505 U.S. 971</w:t>
      </w:r>
    </w:p>
    <w:p w:rsidR="00A31137" w:rsidRPr="00A31137" w:rsidRDefault="00A31137" w:rsidP="00A31137">
      <w:r w:rsidRPr="00A31137">
        <w:t>Hodgson v. Minnesota, 497 U.S. at  444 (opinion of STEVENS, J.). A requirement of parental consent to abortion, like myriad other restrictions placed upon minors in other contexts, is reasonably designed to further this important and legitimate state interest. In our view, it is entirely</w:t>
      </w:r>
    </w:p>
    <w:p w:rsidR="00A31137" w:rsidRPr="00A31137" w:rsidRDefault="00A31137" w:rsidP="00A31137">
      <w:r w:rsidRPr="00A31137">
        <w:t>1992, Planned Parenthood v. Casey, 505 U.S. 971</w:t>
      </w:r>
    </w:p>
    <w:p w:rsidR="00A31137" w:rsidRPr="00A31137" w:rsidRDefault="00A31137" w:rsidP="00A31137">
      <w:r w:rsidRPr="00A31137">
        <w:t>rational and fair for the State to conclude that, in most instances, the family will strive to give a lonely or even terrified minor advice that is both compassionate and mature.</w:t>
      </w:r>
    </w:p>
    <w:p w:rsidR="00A31137" w:rsidRPr="00A31137" w:rsidRDefault="00A31137" w:rsidP="00A31137">
      <w:r w:rsidRPr="00A31137">
        <w:t>1992, Planned Parenthood v. Casey, 505 U.S. 971</w:t>
      </w:r>
    </w:p>
    <w:p w:rsidR="00A31137" w:rsidRPr="00A31137" w:rsidRDefault="00A31137" w:rsidP="00A31137">
      <w:r w:rsidRPr="00A31137">
        <w:t>Ohio v. Akron Center for Reproductive Health, 497 U.S. at 520 (opinion of KENNEDY, J.); see also Planned Parenthood of Central Mo. v. Danforth, 428 U.S. at  91 (Stewart, J., concurring) ("There can be little doubt that the State furthers a constitutionally permissible end by encouraging an unmarried pregnant minor to seek the help and advice of her parents in making the very important decision whether or not to bear a child"). We thus conclude that Pennsylvania's parental consent requirement should be upheld.</w:t>
      </w:r>
    </w:p>
    <w:p w:rsidR="00A31137" w:rsidRPr="00A31137" w:rsidRDefault="00A31137" w:rsidP="00A31137">
      <w:r w:rsidRPr="00A31137">
        <w:t>C</w:t>
      </w:r>
    </w:p>
    <w:p w:rsidR="00A31137" w:rsidRPr="00A31137" w:rsidRDefault="00A31137" w:rsidP="00A31137">
      <w:r w:rsidRPr="00A31137">
        <w:t>1992, Planned Parenthood v. Casey, 505 U.S. 971</w:t>
      </w:r>
    </w:p>
    <w:p w:rsidR="00A31137" w:rsidRPr="00A31137" w:rsidRDefault="00A31137" w:rsidP="00A31137">
      <w:r w:rsidRPr="00A31137">
        <w:t xml:space="preserve">Section 3209 of the Act contains the spousal notification provision. It requires that, before a physician may perform an abortion on a married woman, the woman must sign a statement indicating that she has notified her husband of her planned abortion. A woman is not required to notify her husband if (1) her husband is not the father, (2) her husband, after diligent effort, cannot be located, (3) the pregnancy is the result of a spousal sexual assault that has been reported to the authorities, or (4) the woman has reason to believe that notifying her husband is likely to result in the infliction of bodily injury upon her by him or by another individual. In addition, a woman is exempted from the notification requirement in the case of a medical emergency. 18 Pa.Cons.Stat. § 3209 (1990). See Appendix, ante at 908-909. [505 U.S. 972] </w:t>
      </w:r>
    </w:p>
    <w:p w:rsidR="00A31137" w:rsidRPr="00A31137" w:rsidRDefault="00A31137" w:rsidP="00A31137">
      <w:r w:rsidRPr="00A31137">
        <w:t>1992, Planned Parenthood v. Casey, 505 U.S. 972</w:t>
      </w:r>
    </w:p>
    <w:p w:rsidR="00A31137" w:rsidRPr="00A31137" w:rsidRDefault="00A31137" w:rsidP="00A31137">
      <w:r w:rsidRPr="00A31137">
        <w:t>We first emphasize that Pennsylvania has not imposed a spousal consent requirement of the type the Court struck down in Planned Parenthood of Central Mo. v. Danforth, 428 U.S. at 67-72. Missouri's spousal consent provision was invalidated in that case because of the Court's view that it unconstitutionally granted to the husband "a veto power exercisable for any reason whatsoever or for no reason at all." Id. at  71. But this case involves a much less intrusive requirement of spousal notification, not consent. Such a law requiring only notice to the husband</w:t>
      </w:r>
    </w:p>
    <w:p w:rsidR="00A31137" w:rsidRPr="00A31137" w:rsidRDefault="00A31137" w:rsidP="00A31137">
      <w:r w:rsidRPr="00A31137">
        <w:t>1992, Planned Parenthood v. Casey, 505 U.S. 972</w:t>
      </w:r>
    </w:p>
    <w:p w:rsidR="00A31137" w:rsidRPr="00A31137" w:rsidRDefault="00A31137" w:rsidP="00A31137">
      <w:r w:rsidRPr="00A31137">
        <w:t>does not give any third party the legal right to make the [woman's] decision for her, or to prevent her from obtaining an abortion should she choose to have one performed.</w:t>
      </w:r>
    </w:p>
    <w:p w:rsidR="00A31137" w:rsidRPr="00A31137" w:rsidRDefault="00A31137" w:rsidP="00A31137">
      <w:r w:rsidRPr="00A31137">
        <w:t>1992, Planned Parenthood v. Casey, 505 U.S. 972</w:t>
      </w:r>
    </w:p>
    <w:p w:rsidR="00A31137" w:rsidRPr="00A31137" w:rsidRDefault="00A31137" w:rsidP="00A31137">
      <w:r w:rsidRPr="00A31137">
        <w:t xml:space="preserve">Hodgson v. Minnesota, supra, 497 U.S. at  496 (KENNEDY, J., concurring in judgment in part and dissenting in part); see H.L. v. Matheson, 450 U.S. at  411, n. 17. Danforth thus does not control our analysis. Petitioners contend that it should, however; they argue that the real effect of such a notice requirement is to give the power to husbands to veto a woman's abortion choice. The District Court indeed found that the notification provision created a risk that some woman who would otherwise have an abortion will be prevented from having one. 947 F.2d at 712. For example, petitioners argue, many notified husbands will prevent abortions through physical force, psychological coercion, and other types of threats. But Pennsylvania has incorporated exceptions in the notice provision in an attempt to deal with these problems. For instance, a woman need not notify her husband if the pregnancy is the result of a reported sexual assault, or if she has reason to believe that she would suffer bodily injury as a result of the notification. 18 Pa.Cons.Stat. § 3209(b) (1990). Furthermore, because this is a facial challenge to the Act, it is insufficient for petitioners to show that the notification provision "might operate unconstitutionally under some conceivable set of circumstances." United States v. Salerno, 481 U.S. 739, 745 (1987). Thus, it is not enough for petitioners [505 U.S. 973] to show that, in some "worst-case" circumstances, the notice provision will operate as a grant of veto power to husbands. Ohio v. Akron Center for Reproductive Health, 497 U.S. at 514. Because they are making a facial challenge to the provision, they must "show that no set of circumstances exists under which the [provision] would be valid." Ibid. (internal quotation marks omitted). This they have failed to do. 2 [505 U.S. 974] </w:t>
      </w:r>
    </w:p>
    <w:p w:rsidR="00A31137" w:rsidRPr="00A31137" w:rsidRDefault="00A31137" w:rsidP="00A31137">
      <w:r w:rsidRPr="00A31137">
        <w:t>1992, Planned Parenthood v. Casey, 505 U.S. 974</w:t>
      </w:r>
    </w:p>
    <w:p w:rsidR="00A31137" w:rsidRPr="00A31137" w:rsidRDefault="00A31137" w:rsidP="00A31137">
      <w:r w:rsidRPr="00A31137">
        <w:t>The question before us is therefore whether the spousal notification requirement rationally furthers any legitimate state interests. We conclude that it does. First, a husband's interests in procreation within marriage and in the potential life of his unborn child are certainly substantial ones. See Planned Parenthood of Central Mo. v. Danforth, 428 U.S. at  69 ("We are not unaware of the deep and proper concern and interest that a devoted and protective husband has in his wife's pregnancy and in the growth and development of the fetus she is carrying"); id. at  93 (WHITE, J., concurring in part and dissenting in part); Skinner v. Oklahoma ex rel. Williamson, 316 U.S. at  541. The State itself has legitimate interests both in protecting these interests of the father and in protecting the potential life of the fetus, and the spousal notification requirement is reasonably related to advancing those state interests. By providing that a husband will usually know of his spouse's intent to have an abortion, the provision makes it more likely that the husband will participate in deciding the fate of his unborn child, a possibility that might otherwise have been denied him. This participation might in some cases result in a decision to proceed with the pregnancy. As Judge Alito observed in his dissent below,</w:t>
      </w:r>
    </w:p>
    <w:p w:rsidR="00A31137" w:rsidRPr="00A31137" w:rsidRDefault="00A31137" w:rsidP="00A31137">
      <w:r w:rsidRPr="00A31137">
        <w:t>1992, Planned Parenthood v. Casey, 505 U.S. 974</w:t>
      </w:r>
    </w:p>
    <w:p w:rsidR="00A31137" w:rsidRPr="00A31137" w:rsidRDefault="00A31137" w:rsidP="00A31137">
      <w:r w:rsidRPr="00A31137">
        <w:t>[t]he Pennsylvania legislature could have rationally believed that some married women are initially inclined to obtain an abortion without their husbands' knowledge because of perceived problems—such as economic constraints, future plans, or the husbands' previously expressed [505 U.S. 975] opposition—that may be obviated by discussion prior to the abortion.</w:t>
      </w:r>
    </w:p>
    <w:p w:rsidR="00A31137" w:rsidRPr="00A31137" w:rsidRDefault="00A31137" w:rsidP="00A31137">
      <w:r w:rsidRPr="00A31137">
        <w:t>1992, Planned Parenthood v. Casey, 505 U.S. 975</w:t>
      </w:r>
    </w:p>
    <w:p w:rsidR="00A31137" w:rsidRPr="00A31137" w:rsidRDefault="00A31137" w:rsidP="00A31137">
      <w:r w:rsidRPr="00A31137">
        <w:t>947 F.2d at 726 (Alito, J., concurring in part and dissenting in part).</w:t>
      </w:r>
    </w:p>
    <w:p w:rsidR="00A31137" w:rsidRPr="00A31137" w:rsidRDefault="00A31137" w:rsidP="00A31137">
      <w:r w:rsidRPr="00A31137">
        <w:t>1992, Planned Parenthood v. Casey, 505 U.S. 975</w:t>
      </w:r>
    </w:p>
    <w:p w:rsidR="00A31137" w:rsidRPr="00A31137" w:rsidRDefault="00A31137" w:rsidP="00A31137">
      <w:r w:rsidRPr="00A31137">
        <w:t>The State also has a legitimate interest in promoting "the integrity of the marital relationship." 18 Pa.Cons.Stat. § 3209(a) (1990). This Court has previously recognized "the importance of the marital relationship in our society." Planned Parenthood of Central Mo. v. Danforth, supra, 428 U.S. at  69. In our view, the spousal notice requirement is a rational attempt by the State to improve truthful communication between spouses and encourage collaborative decisionmaking, and thereby fosters marital integrity. See Labine v. Vincent, 401 U.S. 532, 538 (1971) ("[T]he power to make rules to establish, protect, and strengthen family life" is committed to the state legislatures). Petitioners argue that the notification requirement does not further any such interest; they assert that the majority of wives already notify their husbands of their abortion decisions, and the remainder have excellent reasons for keeping their decisions a secret. In the first case, they argue, the law is unnecessary, and in the second case it will only serve to foster marital discord and threats of harm. Thus, petitioners see the law as a totally irrational means of furthering whatever legitimate interest the State might have. But, in our view, it is unrealistic to assume that every husband-wife relationship is either (1) so perfect that this type of truthful and important communication will take place as a matter of course, or (2) so imperfect that, upon notice, the husband will react selfishly, violently, or contrary to the best interests of his wife. See Planned Parenthood of Central Mo. v. Danforth, supra, 428 U.S. at 103-104 (STEVENS, J., concurring in part and dissenting in part) (making a similar point in the context of a parental consent statute). The spousal notice provision will admittedly be unnecessary in some circumstances, and possibly harmful in others, but</w:t>
      </w:r>
    </w:p>
    <w:p w:rsidR="00A31137" w:rsidRPr="00A31137" w:rsidRDefault="00A31137" w:rsidP="00A31137">
      <w:r w:rsidRPr="00A31137">
        <w:t>1992, Planned Parenthood v. Casey, 505 U.S. 975</w:t>
      </w:r>
    </w:p>
    <w:p w:rsidR="00A31137" w:rsidRPr="00A31137" w:rsidRDefault="00A31137" w:rsidP="00A31137">
      <w:r w:rsidRPr="00A31137">
        <w:t>the existence of particular cases in which a feature of a statute performs no function (or is even counterproductive) [505 U.S. 976] ordinarily does not render the statute unconstitutional or even constitutionally suspect.</w:t>
      </w:r>
    </w:p>
    <w:p w:rsidR="00A31137" w:rsidRPr="00A31137" w:rsidRDefault="00A31137" w:rsidP="00A31137">
      <w:r w:rsidRPr="00A31137">
        <w:t>1992, Planned Parenthood v. Casey, 505 U.S. 976</w:t>
      </w:r>
    </w:p>
    <w:p w:rsidR="00A31137" w:rsidRPr="00A31137" w:rsidRDefault="00A31137" w:rsidP="00A31137">
      <w:r w:rsidRPr="00A31137">
        <w:t>Thornburgh v. American College of Obstetricians and Gynecologists, 476 U.S. at  800 (WHITE, J., dissenting). The Pennsylvania Legislature was in a position to weigh the likely benefits of the provision against its likely adverse effects, and presumably concluded, on balance, that the provision would be beneficial. Whether this was a wise decision or not, we cannot say that it was irrational. We therefore conclude that the spousal notice provision comports with the Constitution. See Harris v. McRae, 448 U.S. at 325-326 ("It is not the mission of this Court or any other to decide whether the balance of competing interests…is wise social policy").</w:t>
      </w:r>
    </w:p>
    <w:p w:rsidR="00A31137" w:rsidRPr="00A31137" w:rsidRDefault="00A31137" w:rsidP="00A31137">
      <w:r w:rsidRPr="00A31137">
        <w:t>D</w:t>
      </w:r>
    </w:p>
    <w:p w:rsidR="00A31137" w:rsidRPr="00A31137" w:rsidRDefault="00A31137" w:rsidP="00A31137">
      <w:r w:rsidRPr="00A31137">
        <w:t>1992, Planned Parenthood v. Casey, 505 U.S. 976</w:t>
      </w:r>
    </w:p>
    <w:p w:rsidR="00A31137" w:rsidRPr="00A31137" w:rsidRDefault="00A31137" w:rsidP="00A31137">
      <w:r w:rsidRPr="00A31137">
        <w:t>The Act also imposes various reporting requirements. Section 3214(a) requires that abortion facilities file a report on each abortion performed. The reports do not include the identity of the women on whom abortions are performed, but they do contain a variety of information about the abortions. For example, each report must include the identities of the performing and referring physicians, the gestational age of the fetus at the time of abortion, and the basis for any medical judgment that a medical emergency existed. See 18 Pa. Cons.Stat. § 3214(a)(1), (5), (10) (1990). See Appendix, ante at 909-911. The District Court found that these reports are kept completely confidential. 947 F.2d at 716. We further conclude that these reporting requirements rationally further the State's legitimate interests in advancing the state of medical knowledge concerning maternal health and prenatal life, in gathering statistical information with respect to patients, and in ensuring compliance with other provisions of the Act.</w:t>
      </w:r>
    </w:p>
    <w:p w:rsidR="00A31137" w:rsidRPr="00A31137" w:rsidRDefault="00A31137" w:rsidP="00A31137">
      <w:r w:rsidRPr="00A31137">
        <w:t>1992, Planned Parenthood v. Casey, 505 U.S. 976</w:t>
      </w:r>
    </w:p>
    <w:p w:rsidR="00A31137" w:rsidRPr="00A31137" w:rsidRDefault="00A31137" w:rsidP="00A31137">
      <w:r w:rsidRPr="00A31137">
        <w:t>Section 3207 of the Act requires each abortion facility to file a report with its name and address, as well as the names [505 U.S. 977] and addresses of any parent, subsidiary or affiliated organizations. 18 Pa.Cons.Stat. § 3207(b) (1990). Section 3214(f) further requires each facility to file quarterly reports stating the total number of abortions performed, broken down by trimester. Both of these reports are available to the public only if the facility received state funds within the preceding 12 months. See Appendix to opinion of O'CONNOR, KENNEDY, and SOUTER, JJ., ante at 906,  911. Petitioners do not challenge the requirement that facilities provide this information. They contend, however, that the forced public disclosure of the information given by facilities receiving public funds serves no legitimate state interest. We disagree. Records relating to the expenditure of public funds are generally available to the public under Pennsylvania law. See Pa.Stat.Ann., Tit. 65, §§ 66.1, 66.2 (Purdon 1959 and Supp.1991-1992). As the Court of Appeals observed,</w:t>
      </w:r>
    </w:p>
    <w:p w:rsidR="00A31137" w:rsidRPr="00A31137" w:rsidRDefault="00A31137" w:rsidP="00A31137">
      <w:r w:rsidRPr="00A31137">
        <w:t>1992, Planned Parenthood v. Casey, 505 U.S. 977</w:t>
      </w:r>
    </w:p>
    <w:p w:rsidR="00A31137" w:rsidRPr="00A31137" w:rsidRDefault="00A31137" w:rsidP="00A31137">
      <w:r w:rsidRPr="00A31137">
        <w:t>[w]hen a state provides money to a private commercial enterprise, there is a legitimate public interest in informing taxpayers who the funds are benefiting and what services the funds are supporting.</w:t>
      </w:r>
    </w:p>
    <w:p w:rsidR="00A31137" w:rsidRPr="00A31137" w:rsidRDefault="00A31137" w:rsidP="00A31137">
      <w:r w:rsidRPr="00A31137">
        <w:t>1992, Planned Parenthood v. Casey, 505 U.S. 977</w:t>
      </w:r>
    </w:p>
    <w:p w:rsidR="00A31137" w:rsidRPr="00A31137" w:rsidRDefault="00A31137" w:rsidP="00A31137">
      <w:r w:rsidRPr="00A31137">
        <w:t>947 F.2d at 718. These reporting requirements rationally further this legitimate state interest.</w:t>
      </w:r>
    </w:p>
    <w:p w:rsidR="00A31137" w:rsidRPr="00A31137" w:rsidRDefault="00A31137" w:rsidP="00A31137">
      <w:r w:rsidRPr="00A31137">
        <w:t>E</w:t>
      </w:r>
    </w:p>
    <w:p w:rsidR="00A31137" w:rsidRPr="00A31137" w:rsidRDefault="00A31137" w:rsidP="00A31137">
      <w:r w:rsidRPr="00A31137">
        <w:t>1992, Planned Parenthood v. Casey, 505 U.S. 977</w:t>
      </w:r>
    </w:p>
    <w:p w:rsidR="00A31137" w:rsidRPr="00A31137" w:rsidRDefault="00A31137" w:rsidP="00A31137">
      <w:r w:rsidRPr="00A31137">
        <w:t>Finally, petitioners challenge the medical emergency exception provided for by the Act. The existence of a medical emergency exempts compliance with the Act's informed consent, parental consent, and spousal notice requirements. See 18 Pa. Cons.Stat. §§ 3205(a), 3206(a), 3209(c) (1990). The Act defines a "medical emergency" as</w:t>
      </w:r>
    </w:p>
    <w:p w:rsidR="00A31137" w:rsidRPr="00A31137" w:rsidRDefault="00A31137" w:rsidP="00A31137">
      <w:r w:rsidRPr="00A31137">
        <w:t>1992, Planned Parenthood v. Casey, 505 U.S. 977</w:t>
      </w:r>
    </w:p>
    <w:p w:rsidR="00A31137" w:rsidRPr="00A31137" w:rsidRDefault="00A31137" w:rsidP="00A31137">
      <w:r w:rsidRPr="00A31137">
        <w:t>[t]hat condition which, on the basis of the physician's good faith clinical judgment, so complicates the medical condition of a pregnant woman as to necessitate the immediate abortion of her pregnancy to avert her death or for which a delay will create serious risk of substantial [505 U.S. 978] and irreversible impairment of major bodily function.</w:t>
      </w:r>
    </w:p>
    <w:p w:rsidR="00A31137" w:rsidRPr="00A31137" w:rsidRDefault="00A31137" w:rsidP="00A31137">
      <w:r w:rsidRPr="00A31137">
        <w:t>1992, Planned Parenthood v. Casey, 505 U.S. 978</w:t>
      </w:r>
    </w:p>
    <w:p w:rsidR="00A31137" w:rsidRPr="00A31137" w:rsidRDefault="00A31137" w:rsidP="00A31137">
      <w:r w:rsidRPr="00A31137">
        <w:t>§ 3203.</w:t>
      </w:r>
    </w:p>
    <w:p w:rsidR="00A31137" w:rsidRPr="00A31137" w:rsidRDefault="00A31137" w:rsidP="00A31137">
      <w:r w:rsidRPr="00A31137">
        <w:t>1992, Planned Parenthood v. Casey, 505 U.S. 978</w:t>
      </w:r>
    </w:p>
    <w:p w:rsidR="00A31137" w:rsidRPr="00A31137" w:rsidRDefault="00A31137" w:rsidP="00A31137">
      <w:r w:rsidRPr="00A31137">
        <w:t>Petitioners argued before the District Court that the statutory definition was inadequate because it did not cover three serious conditions that pregnant women can suffer—preeclampsia, inevitable abortion, and prematurely ruptured membrane. The District Court agreed with petitioners that the medical emergency exception was inadequate, but the Court of Appeals reversed this holding. In construing the medical emergency provision, the Court of Appeals first observed that all three conditions do indeed present the risk of serious injury or death when an abortion is not performed, and noted that the medical profession's uniformly prescribed treatment for each of the three conditions is an immediate abortion. See 947 F.2d at 700-701. Finding that "[t]he Pennsylvania legislature did not choose the wording of its medical emergency exception in a vacuum," the court read the exception as intended</w:t>
      </w:r>
    </w:p>
    <w:p w:rsidR="00A31137" w:rsidRPr="00A31137" w:rsidRDefault="00A31137" w:rsidP="00A31137">
      <w:r w:rsidRPr="00A31137">
        <w:t>1992, Planned Parenthood v. Casey, 505 U.S. 978</w:t>
      </w:r>
    </w:p>
    <w:p w:rsidR="00A31137" w:rsidRPr="00A31137" w:rsidRDefault="00A31137" w:rsidP="00A31137">
      <w:r w:rsidRPr="00A31137">
        <w:t>to assure that compliance with its abortion regulations would not in any way pose a significant threat to the life or health of a woman.</w:t>
      </w:r>
    </w:p>
    <w:p w:rsidR="00A31137" w:rsidRPr="00A31137" w:rsidRDefault="00A31137" w:rsidP="00A31137">
      <w:r w:rsidRPr="00A31137">
        <w:t>1992, Planned Parenthood v. Casey, 505 U.S. 978</w:t>
      </w:r>
    </w:p>
    <w:p w:rsidR="00A31137" w:rsidRPr="00A31137" w:rsidRDefault="00A31137" w:rsidP="00A31137">
      <w:r w:rsidRPr="00A31137">
        <w:t>Id. at 701. It thus concluded that the exception encompassed each of the three dangerous conditions pointed to by petitioners.</w:t>
      </w:r>
    </w:p>
    <w:p w:rsidR="00A31137" w:rsidRPr="00A31137" w:rsidRDefault="00A31137" w:rsidP="00A31137">
      <w:r w:rsidRPr="00A31137">
        <w:t>1992, Planned Parenthood v. Casey, 505 U.S. 978</w:t>
      </w:r>
    </w:p>
    <w:p w:rsidR="00A31137" w:rsidRPr="00A31137" w:rsidRDefault="00A31137" w:rsidP="00A31137">
      <w:r w:rsidRPr="00A31137">
        <w:t>We observe that Pennsylvania's present definition of medical emergency is almost an exact copy of that State's definition at the time of this Court's ruling in Thornburgh, one which the Court made reference to with apparent approval. 476 U.S. at  771 ("It is clear that the Pennsylvania Legislature knows how to provide a medical emergency exception when it chooses to do so"). 3 We find that the interpretation [505 U.S. 979] of the Court of Appeals in this case is eminently reasonable, and that the provision thus should be upheld. When a woman is faced with any condition that poses a "significant threat to [her] life or health," she is exempted from the Act's consent and notice requirements, and may proceed immediately with her abortion.</w:t>
      </w:r>
    </w:p>
    <w:p w:rsidR="00A31137" w:rsidRPr="00A31137" w:rsidRDefault="00A31137" w:rsidP="00A31137">
      <w:r w:rsidRPr="00A31137">
        <w:t>IV</w:t>
      </w:r>
    </w:p>
    <w:p w:rsidR="00A31137" w:rsidRPr="00A31137" w:rsidRDefault="00A31137" w:rsidP="00A31137">
      <w:r w:rsidRPr="00A31137">
        <w:t>1992, Planned Parenthood v. Casey, 505 U.S. 979</w:t>
      </w:r>
    </w:p>
    <w:p w:rsidR="00A31137" w:rsidRPr="00A31137" w:rsidRDefault="00A31137" w:rsidP="00A31137">
      <w:r w:rsidRPr="00A31137">
        <w:t>For the reasons stated, we therefore would hold that each of the challenged provisions of the Pennsylvania statute is consistent with the Constitution. It bears emphasis that our conclusion in this regard does not carry with it any necessary approval of these regulations. Our task is, as always, to decide only whether the challenged provisions of a law comport with the United States Constitution. If, as we believe, these do, their wisdom as a matter of public policy is for the people of Pennsylvania to decide.</w:t>
      </w:r>
    </w:p>
    <w:p w:rsidR="00A31137" w:rsidRPr="00A31137" w:rsidRDefault="00A31137" w:rsidP="00A31137">
      <w:r w:rsidRPr="00A31137">
        <w:t>SCALIA, J., concurring and dissenting</w:t>
      </w:r>
    </w:p>
    <w:p w:rsidR="00A31137" w:rsidRPr="00A31137" w:rsidRDefault="00A31137" w:rsidP="00A31137">
      <w:r w:rsidRPr="00A31137">
        <w:t>1992, Planned Parenthood v. Casey, 505 U.S. 979</w:t>
      </w:r>
    </w:p>
    <w:p w:rsidR="00A31137" w:rsidRPr="00A31137" w:rsidRDefault="00A31137" w:rsidP="00A31137">
      <w:r w:rsidRPr="00A31137">
        <w:t>JUSTICE SCALIA, with whom THE CHIEF JUSTICE, JUSTICE WHITE, and JUSTICE THOMAS join, concurring in the judgment in part and dissenting in part.</w:t>
      </w:r>
    </w:p>
    <w:p w:rsidR="00A31137" w:rsidRPr="00A31137" w:rsidRDefault="00A31137" w:rsidP="00A31137">
      <w:r w:rsidRPr="00A31137">
        <w:t>1992, Planned Parenthood v. Casey, 505 U.S. 979</w:t>
      </w:r>
    </w:p>
    <w:p w:rsidR="00A31137" w:rsidRPr="00A31137" w:rsidRDefault="00A31137" w:rsidP="00A31137">
      <w:r w:rsidRPr="00A31137">
        <w:t>My views on this matter are unchanged from those I set forth in my separate opinions in Webster v. Reproductive Health Services, 492 U.S. 490,  532 (1989) (SCALIA, J., concurring in part and concurring in judgment), and Ohio v. Akron Center for Reproductive Health, 497 U.S. 502, 520 (1990) (Akron II) (SCALIA, J., concurring). The States may, if they wish, permit abortion on demand, but the Constitution does not require them to do so. The permissibility of abortion, and the limitations upon it, are to be resolved like most important questions in our democracy: by citizens trying to persuade one another and then voting. As the Court acknowledges, "where reasonable people disagree, the government can adopt one position or the other." Ante at  851. The Court is correct in adding the qualification that this "assumes a state of affairs in which the choice does not intrude upon a protected liberty," ibid., but the crucial part of that qualification [505 U.S. 980] is the penultimate word. A State's choice between two positions on which reasonable people can disagree is constitutional even when (as is often the case) it intrudes upon a "liberty" in the absolute sense. Laws against bigamy, for example—which entire societies of reasonable people disagree with—intrude upon men and women's liberty to marry and live with one another. But bigamy happens not to be a liberty specially "protected" by the Constitution.</w:t>
      </w:r>
    </w:p>
    <w:p w:rsidR="00A31137" w:rsidRPr="00A31137" w:rsidRDefault="00A31137" w:rsidP="00A31137">
      <w:r w:rsidRPr="00A31137">
        <w:t>1992, Planned Parenthood v. Casey, 505 U.S. 980</w:t>
      </w:r>
    </w:p>
    <w:p w:rsidR="00A31137" w:rsidRPr="00A31137" w:rsidRDefault="00A31137" w:rsidP="00A31137">
      <w:r w:rsidRPr="00A31137">
        <w:t xml:space="preserve">That is, quite simply, the issue in this case: not whether the power of a woman to abort her unborn child is a "liberty" in the absolute sense; or even whether it is a liberty of great importance to many women. Of course it is both. The issue is whether it is a liberty protected by the Constitution of the United States. I am sure it is not. I reach that conclusion not because of anything so exalted as my views concerning the "concept of existence, of meaning, of the universe, and of the mystery of human life." Ibid. Rather, I reach it for the same reason I reach the conclusion that bigamy is not constitutionally protected—because of two simple facts: (1) the Constitution says absolutely nothing about it, and (2) the longstanding traditions of American society have permitted it to be legally proscribed. 1 Akron II, supra, at 520 (SCALIA, J., concurring). [505 U.S. 981] </w:t>
      </w:r>
    </w:p>
    <w:p w:rsidR="00A31137" w:rsidRPr="00A31137" w:rsidRDefault="00A31137" w:rsidP="00A31137">
      <w:r w:rsidRPr="00A31137">
        <w:t>1992, Planned Parenthood v. Casey, 505 U.S. 981</w:t>
      </w:r>
    </w:p>
    <w:p w:rsidR="00A31137" w:rsidRPr="00A31137" w:rsidRDefault="00A31137" w:rsidP="00A31137">
      <w:r w:rsidRPr="00A31137">
        <w:t>The Court destroys the proposition, evidently meant to represent my position, that "liberty" includes</w:t>
      </w:r>
    </w:p>
    <w:p w:rsidR="00A31137" w:rsidRPr="00A31137" w:rsidRDefault="00A31137" w:rsidP="00A31137">
      <w:r w:rsidRPr="00A31137">
        <w:t>1992, Planned Parenthood v. Casey, 505 U.S. 981</w:t>
      </w:r>
    </w:p>
    <w:p w:rsidR="00A31137" w:rsidRPr="00A31137" w:rsidRDefault="00A31137" w:rsidP="00A31137">
      <w:r w:rsidRPr="00A31137">
        <w:t>only those practices, defined at the most specific level, that were protected against government interference by other rules of law when the Fourteenth Amendment was ratified,</w:t>
      </w:r>
    </w:p>
    <w:p w:rsidR="00A31137" w:rsidRPr="00A31137" w:rsidRDefault="00A31137" w:rsidP="00A31137">
      <w:r w:rsidRPr="00A31137">
        <w:t>1992, Planned Parenthood v. Casey, 505 U.S. 981</w:t>
      </w:r>
    </w:p>
    <w:p w:rsidR="00A31137" w:rsidRPr="00A31137" w:rsidRDefault="00A31137" w:rsidP="00A31137">
      <w:r w:rsidRPr="00A31137">
        <w:t>ante at  847 (citing Michael H. v. Gerald D., 491 U.S. 110,  127, n. 6 (1989) (opinion of SCALIA, J.)). That is not, however, what Michael H. says; it merely observes that, in defining "liberty," we may not disregard a specific, "relevant tradition protecting, or denying protection to, the asserted right," 491 U.S. at  127, n. 6. But the Court does not wish to be fettered by any such limitations on its preferences. The Court's statement that it is "tempting" to acknowledge the authoritativeness of tradition in order to "cur[b] the discretion of federal judges," ante at  847, is, of course, rhetoric rather than reality; no government official is "tempted" to place restraints upon his own freedom of action, which is why Lord Acton did not say "Power tends to purify." The Court's temptation is in the quite opposite and more natural direction—towards systematically eliminating checks upon its own power; and it succumbs.</w:t>
      </w:r>
    </w:p>
    <w:p w:rsidR="00A31137" w:rsidRPr="00A31137" w:rsidRDefault="00A31137" w:rsidP="00A31137">
      <w:r w:rsidRPr="00A31137">
        <w:t>1992, Planned Parenthood v. Casey, 505 U.S. 981</w:t>
      </w:r>
    </w:p>
    <w:p w:rsidR="00A31137" w:rsidRPr="00A31137" w:rsidRDefault="00A31137" w:rsidP="00A31137">
      <w:r w:rsidRPr="00A31137">
        <w:t>Beyond that brief summary of the essence of my position, I will not swell the United States Reports with repetition of what I have said before; and applying the rational basis test, I would uphold the Pennsylvania statute in its entirety. I must, however, respond to a few of the more outrageous arguments in today's opinion, which it is beyond human nature to leave unanswered. I shall discuss each of them under a quotation from the Court's opinion to which they pertain.</w:t>
      </w:r>
    </w:p>
    <w:p w:rsidR="00A31137" w:rsidRPr="00A31137" w:rsidRDefault="00A31137" w:rsidP="00A31137">
      <w:r w:rsidRPr="00A31137">
        <w:t>1992, Planned Parenthood v. Casey, 505 U.S. 981</w:t>
      </w:r>
    </w:p>
    <w:p w:rsidR="00A31137" w:rsidRPr="00A31137" w:rsidRDefault="00A31137" w:rsidP="00A31137">
      <w:r w:rsidRPr="00A31137">
        <w:t>The inescapable fact is that adjudication of substantive due process claims may call upon the Court, [505 U.S. 982] in interpreting the Constitution, to exercise that same capacity which, by tradition, courts always have exercised: reasoned judgment.</w:t>
      </w:r>
    </w:p>
    <w:p w:rsidR="00A31137" w:rsidRPr="00A31137" w:rsidRDefault="00A31137" w:rsidP="00A31137">
      <w:r w:rsidRPr="00A31137">
        <w:t>1992, Planned Parenthood v. Casey, 505 U.S. 982</w:t>
      </w:r>
    </w:p>
    <w:p w:rsidR="00A31137" w:rsidRPr="00A31137" w:rsidRDefault="00A31137" w:rsidP="00A31137">
      <w:r w:rsidRPr="00A31137">
        <w:t>Ante at  849.</w:t>
      </w:r>
    </w:p>
    <w:p w:rsidR="00A31137" w:rsidRPr="00A31137" w:rsidRDefault="00A31137" w:rsidP="00A31137">
      <w:r w:rsidRPr="00A31137">
        <w:t>1992, Planned Parenthood v. Casey, 505 U.S. 982</w:t>
      </w:r>
    </w:p>
    <w:p w:rsidR="00A31137" w:rsidRPr="00A31137" w:rsidRDefault="00A31137" w:rsidP="00A31137">
      <w:r w:rsidRPr="00A31137">
        <w:t>Assuming that the question before us is to be resolved at such a level of philosophical abstraction, in such isolation from the traditions of American society, as by simply applying "reasoned judgment," I do not see how that could possibly have produced the answer the Court arrived at in Roe v. Wade, 410 U.S. 113 (1973). Today's opinion describes the methodology of Roe, quite accurately, as weighing against the woman's interest the State's "'important and legitimate interest in protecting the potentiality of human life.'" Ante at  871 (quoting Roe, supra, at  162). But "reasoned judgment" does not begin by begging the question, as Roe and subsequent cases unquestionably did by assuming that what the State is protecting is the mere "potentiality of human life." See, e.g., Roe, supra, at  162; Planned Parenthood of Central Mo. v. Danforth, 428 U.S. 52,  61 (1976); Colautti v. Franklin, 439 U.S. 379,  386 (1979); Akron v. Akron Center for Reproductive Health, Inc., 462 U.S. 416,  428 (1983) (Akron I); Planned Parenthood Assn. of Kansas City, Mo., Inc. v. Ashcroft, 462 U.S. 476,  482 (1983). The whole argument of abortion opponents is that what the Court calls the fetus and what others call the unborn child is a human life. Thus, whatever answer Roe came up with after conducting its "balancing" is bound to be wrong, unless it is correct that the human fetus is in some critical sense merely potentially human. There is, of course, no way to determine that as a legal matter; it is, in fact, a value judgment. Some societies have considered newborn children not yet human, or the incompetent elderly no longer so.</w:t>
      </w:r>
    </w:p>
    <w:p w:rsidR="00A31137" w:rsidRPr="00A31137" w:rsidRDefault="00A31137" w:rsidP="00A31137">
      <w:r w:rsidRPr="00A31137">
        <w:t>1992, Planned Parenthood v. Casey, 505 U.S. 982</w:t>
      </w:r>
    </w:p>
    <w:p w:rsidR="00A31137" w:rsidRPr="00A31137" w:rsidRDefault="00A31137" w:rsidP="00A31137">
      <w:r w:rsidRPr="00A31137">
        <w:t>The authors of the joint opinion, of course, do not squarely contend that Roe v. Wade was a correct application of "reasoned judgment"; merely that it must be followed, because of stare decisis. Ante at  853,  861,  871. But in their exhaustive discussion of all the factors that go into the determination [505 U.S. 983] of when stare decisis should be observed and when disregarded, they never mention "how wrong was the decision on its face?" Surely, if "[t]he Court's power lies…in its legitimacy, a product of substance and perception," ante at 865, the "substance" part of the equation demands that plain error be acknowledged and eliminated. Roe was plainly wrong—even on the Court's methodology of "reasoned judgment," and even more so (of course) if the proper criteria of text and tradition are applied.</w:t>
      </w:r>
    </w:p>
    <w:p w:rsidR="00A31137" w:rsidRPr="00A31137" w:rsidRDefault="00A31137" w:rsidP="00A31137">
      <w:r w:rsidRPr="00A31137">
        <w:t>1992, Planned Parenthood v. Casey, 505 U.S. 983</w:t>
      </w:r>
    </w:p>
    <w:p w:rsidR="00A31137" w:rsidRPr="00A31137" w:rsidRDefault="00A31137" w:rsidP="00A31137">
      <w:r w:rsidRPr="00A31137">
        <w:t>The emptiness of the "reasoned judgment" that produced Roe is displayed in plain view by the fact that, after more than 19 years of effort by some of the brightest (and most determined) legal minds in the country, after more than 10 cases upholding abortion rights in this Court, and after dozens upon dozens of amicus briefs submitted in this and other cases, the best the Court can do to explain how it is that the word "liberty" must be thought to include the right to destroy human fetuses is to rattle off a collection of adjectives that simply decorate a value judgment and conceal a political choice. The right to abort, we are told, inheres in "liberty" because it is among "a person's most basic decisions," ante at  849; it involves a "most intimate and personal choic[e]," ante at  851; it is "central to personal dignity and autonomy," ibid.; it "originate[s] within the zone of conscience and belief," ante at  852; it is "too intimate and personal" for state interference, ibid; it reflects "intimate views" of a "deep, personal character," ante at  853; it involves "intimate relationships," and notions of "personal autonomy and bodily integrity," ante at  857; and it concerns a particularly "'important decisio[n],'" ante at  859 (citation omitted). 2 But it is [505 U.S. 984] obvious to anyone applying "reasoned judgment" that the same adjectives can be applied to many forms of conduct that this Court (including one of the Justices in today's majority, see Bowers v. Hardwick, 478 U.S. 186 (1986)) has held are not entitled to constitutional protection—because, like abortion, they are forms of conduct that have long been criminalized in American society. Those adjectives might be applied, for example, to homosexual sodomy, polygamy, adult incest, and suicide, all of which are equally "intimate" and "deep[ly] personal" decisions involving "personal autonomy and bodily integrity," and all of which can constitutionally be proscribed because it is our unquestionable constitutional tradition that they are proscribable. It is not reasoned judgment that supports the Court's decision; only personal predilection. Justice Curtis' warning is as timely today as it was 135 years ago:</w:t>
      </w:r>
    </w:p>
    <w:p w:rsidR="00A31137" w:rsidRPr="00A31137" w:rsidRDefault="00A31137" w:rsidP="00A31137">
      <w:r w:rsidRPr="00A31137">
        <w:t>1992, Planned Parenthood v. Casey, 505 U.S. 984</w:t>
      </w:r>
    </w:p>
    <w:p w:rsidR="00A31137" w:rsidRPr="00A31137" w:rsidRDefault="00A31137" w:rsidP="00A31137">
      <w:r w:rsidRPr="00A31137">
        <w:t>[W]hen a strict interpretation of the Constitution, according to the fixed rules which govern the interpretation of laws, is abandoned, and the theoretical opinions of individuals are allowed to control its meaning, we have no longer a Constitution; we are under the government of individual men, who for the time being have power to declare what the Constitution is, according to their own views of what it ought to mean.</w:t>
      </w:r>
    </w:p>
    <w:p w:rsidR="00A31137" w:rsidRPr="00A31137" w:rsidRDefault="00A31137" w:rsidP="00A31137">
      <w:r w:rsidRPr="00A31137">
        <w:t>1992, Planned Parenthood v. Casey, 505 U.S. 984</w:t>
      </w:r>
    </w:p>
    <w:p w:rsidR="00A31137" w:rsidRPr="00A31137" w:rsidRDefault="00A31137" w:rsidP="00A31137">
      <w:r w:rsidRPr="00A31137">
        <w:t>Dred Scott v. Sandford, 19 How. 393,  621 (1857) (Curtis, J., dissenting).</w:t>
      </w:r>
    </w:p>
    <w:p w:rsidR="00A31137" w:rsidRPr="00A31137" w:rsidRDefault="00A31137" w:rsidP="00A31137">
      <w:r w:rsidRPr="00A31137">
        <w:t>1992, Planned Parenthood v. Casey, 505 U.S. 984</w:t>
      </w:r>
    </w:p>
    <w:p w:rsidR="00A31137" w:rsidRPr="00A31137" w:rsidRDefault="00A31137" w:rsidP="00A31137">
      <w:r w:rsidRPr="00A31137">
        <w:t>Liberty finds no refuge in a jurisprudence of doubt.</w:t>
      </w:r>
    </w:p>
    <w:p w:rsidR="00A31137" w:rsidRPr="00A31137" w:rsidRDefault="00A31137" w:rsidP="00A31137">
      <w:r w:rsidRPr="00A31137">
        <w:t>1992, Planned Parenthood v. Casey, 505 U.S. 984</w:t>
      </w:r>
    </w:p>
    <w:p w:rsidR="00A31137" w:rsidRPr="00A31137" w:rsidRDefault="00A31137" w:rsidP="00A31137">
      <w:r w:rsidRPr="00A31137">
        <w:t>Ante at  844.</w:t>
      </w:r>
    </w:p>
    <w:p w:rsidR="00A31137" w:rsidRPr="00A31137" w:rsidRDefault="00A31137" w:rsidP="00A31137">
      <w:r w:rsidRPr="00A31137">
        <w:t>1992, Planned Parenthood v. Casey, 505 U.S. 984</w:t>
      </w:r>
    </w:p>
    <w:p w:rsidR="00A31137" w:rsidRPr="00A31137" w:rsidRDefault="00A31137" w:rsidP="00A31137">
      <w:r w:rsidRPr="00A31137">
        <w:t>One might have feared to encounter this august and sonorous phrase in an opinion defending the real Roe v. Wade, rather than the revised version fabricated today by the authors [505 U.S. 985] of the joint opinion. The shortcomings of Roe did not include lack of clarity: virtually all regulation of abortion before the third trimester was invalid. But to come across this phrase in the joint opinion—which calls upon federal district judges to apply an "undue burden" standard as doubtful in application as it is unprincipled in origin—is really more than one should have to bear.</w:t>
      </w:r>
    </w:p>
    <w:p w:rsidR="00A31137" w:rsidRPr="00A31137" w:rsidRDefault="00A31137" w:rsidP="00A31137">
      <w:r w:rsidRPr="00A31137">
        <w:t>1992, Planned Parenthood v. Casey, 505 U.S. 985</w:t>
      </w:r>
    </w:p>
    <w:p w:rsidR="00A31137" w:rsidRPr="00A31137" w:rsidRDefault="00A31137" w:rsidP="00A31137">
      <w:r w:rsidRPr="00A31137">
        <w:t>The joint opinion frankly concedes that the amorphous concept of "undue burden" has been inconsistently applied by the Members of this Court in the few brief years since that "test" was first explicitly propounded by JUSTICE O'CONNOR in her dissent in Akron I, supra. See ante at  876. 3 Because the three Justices now wish to "set forth a standard of general application," the joint opinion announces that "it is important to clarify what is meant by an undue burden," ibid. I certainly agree with that, but I do not agree that the joint opinion succeeds in the announced endeavor. To the contrary, its efforts at clarification [505 U.S. 986] make clear only that the standard is inherently manipulable, and will prove hopelessly unworkable in practice.</w:t>
      </w:r>
    </w:p>
    <w:p w:rsidR="00A31137" w:rsidRPr="00A31137" w:rsidRDefault="00A31137" w:rsidP="00A31137">
      <w:r w:rsidRPr="00A31137">
        <w:t>1992, Planned Parenthood v. Casey, 505 U.S. 986</w:t>
      </w:r>
    </w:p>
    <w:p w:rsidR="00A31137" w:rsidRPr="00A31137" w:rsidRDefault="00A31137" w:rsidP="00A31137">
      <w:r w:rsidRPr="00A31137">
        <w:t>The joint opinion explains that a state regulation imposes an "undue burden" if it "has the purpose or effect of placing a substantial obstacle in the path of a woman seeking an abortion of a nonviable fetus." Ante at  877; see also ante at 877-879. An obstacle is "substantial," we are told, if it is "calculated[,] [not] to inform the woman's free choice, [but to] hinder it." Ante at  877. 4 This latter statement cannot [505 U.S. 987] possibly mean what it says. Any regulation of abortion that is intended to advance what the joint opinion concedes is the State's "substantial" interest in protecting unborn life will be "calculated [to] hinder" a decision to have an abortion. It thus seems more accurate to say that the joint opinion would uphold abortion regulations only if they do not unduly hinder the woman's decision. That, of course, brings us right back to square one: defining an "undue burden" as an "undue hindrance" (or a "substantial obstacle") hardly "clarifies" the test. Consciously or not, the joint opinion's verbal shell game will conceal raw judicial policy choices concerning what is "appropriate" abortion legislation.</w:t>
      </w:r>
    </w:p>
    <w:p w:rsidR="00A31137" w:rsidRPr="00A31137" w:rsidRDefault="00A31137" w:rsidP="00A31137">
      <w:r w:rsidRPr="00A31137">
        <w:t>1992, Planned Parenthood v. Casey, 505 U.S. 987</w:t>
      </w:r>
    </w:p>
    <w:p w:rsidR="00A31137" w:rsidRPr="00A31137" w:rsidRDefault="00A31137" w:rsidP="00A31137">
      <w:r w:rsidRPr="00A31137">
        <w:t>The ultimately standardless nature of the "undue burden" inquiry is a reflection of the underlying fact that the concept has no principled or coherent legal basis. As THE CHIEF JUSTICE points out, Roe's strict scrutiny standard "at least had a recognized basis in constitutional law at the time Roe was decided," ante at  964, while</w:t>
      </w:r>
    </w:p>
    <w:p w:rsidR="00A31137" w:rsidRPr="00A31137" w:rsidRDefault="00A31137" w:rsidP="00A31137">
      <w:r w:rsidRPr="00A31137">
        <w:t>1992, Planned Parenthood v. Casey, 505 U.S. 987</w:t>
      </w:r>
    </w:p>
    <w:p w:rsidR="00A31137" w:rsidRPr="00A31137" w:rsidRDefault="00A31137" w:rsidP="00A31137">
      <w:r w:rsidRPr="00A31137">
        <w:t>[t]he same cannot be said for the "undue burden" standard, which is created largely out of whole cloth by the authors of the joint opinion.</w:t>
      </w:r>
    </w:p>
    <w:p w:rsidR="00A31137" w:rsidRPr="00A31137" w:rsidRDefault="00A31137" w:rsidP="00A31137">
      <w:r w:rsidRPr="00A31137">
        <w:t>1992, Planned Parenthood v. Casey, 505 U.S. 987</w:t>
      </w:r>
    </w:p>
    <w:p w:rsidR="00A31137" w:rsidRPr="00A31137" w:rsidRDefault="00A31137" w:rsidP="00A31137">
      <w:r w:rsidRPr="00A31137">
        <w:t>ibid. The joint opinion is flatly wrong in asserting that "our jurisprudence relating to all liberties save perhaps abortion has recognized" the permissibility of laws that do not impose an "undue burden." Ante at  873. It argues that the abortion right is similar to other rights in that a law</w:t>
      </w:r>
    </w:p>
    <w:p w:rsidR="00A31137" w:rsidRPr="00A31137" w:rsidRDefault="00A31137" w:rsidP="00A31137">
      <w:r w:rsidRPr="00A31137">
        <w:t>1992, Planned Parenthood v. Casey, 505 U.S. 987</w:t>
      </w:r>
    </w:p>
    <w:p w:rsidR="00A31137" w:rsidRPr="00A31137" w:rsidRDefault="00A31137" w:rsidP="00A31137">
      <w:r w:rsidRPr="00A31137">
        <w:t>not designed to strike at the right itself, [but which] has the incidental effect of making it more difficult or more expensive to [exercise the right,]</w:t>
      </w:r>
    </w:p>
    <w:p w:rsidR="00A31137" w:rsidRPr="00A31137" w:rsidRDefault="00A31137" w:rsidP="00A31137">
      <w:r w:rsidRPr="00A31137">
        <w:t>1992, Planned Parenthood v. Casey, 505 U.S. 987</w:t>
      </w:r>
    </w:p>
    <w:p w:rsidR="00A31137" w:rsidRPr="00A31137" w:rsidRDefault="00A31137" w:rsidP="00A31137">
      <w:r w:rsidRPr="00A31137">
        <w:t>is not invalid. Ante at  874. I agree, indeed I have [505 U.S. 988] forcefully urged, that a law of general applicability which places only an incidental burden on a fundamental right does not infringe that right, see R.A.V. v. St. Paul, 505 U.S. 377, 389-390 (1992); Employment Division, Dept. of Human Resources of Ore. v. Smith, 494 U.S. 872, 878-882 (1990), but that principle does not establish the quite different (and quite dangerous) proposition that a law which directly regulates a fundamental right will not be found to violate the Constitution unless it imposes an "undue burden." It is that, of course, which is at issue here: Pennsylvania has consciously and directly regulated conduct that our cases have held is constitutionally protected. The appropriate analogy, therefore, is that of a state law requiring purchasers of religious books to endure a 24-hour waiting period, or to pay a nominal additional tax of 1¢. The joint opinion cannot possibly be correct in suggesting that we would uphold such legislation on the ground that it does not impose a "substantial obstacle" to the exercise of First Amendment rights. The "undue burden" standard is not at all the generally applicable principle the joint opinion pretends it to be; rather, it is a unique concept created specially for this case, to preserve some judicial foothold in this ill-gotten territory. In claiming otherwise, the three Justices show their willingness to place all constitutional rights at risk in an effort to preserve what they deem the "central holding in Roe," ante at  873.</w:t>
      </w:r>
    </w:p>
    <w:p w:rsidR="00A31137" w:rsidRPr="00A31137" w:rsidRDefault="00A31137" w:rsidP="00A31137">
      <w:r w:rsidRPr="00A31137">
        <w:t>1992, Planned Parenthood v. Casey, 505 U.S. 988</w:t>
      </w:r>
    </w:p>
    <w:p w:rsidR="00A31137" w:rsidRPr="00A31137" w:rsidRDefault="00A31137" w:rsidP="00A31137">
      <w:r w:rsidRPr="00A31137">
        <w:t>The rootless nature of the "undue burden" standard, a phrase plucked out of context from our earlier abortion decisions, see n. 3, supra, is further reflected in the fact that the joint opinion finds it necessary expressly to repudiate the more narrow formulations used in JUSTICE O'CONNOR's earlier opinions. Ante at 876-877. Those opinions stated that a statute imposes an "undue burden" if it imposes "absolute obstacles or severe limitations on the abortion decision," Akron I, 462 U.S. at  464 (dissenting opinion) (emphasis added); see also Thornburgh v. American College of Obstetricians and Gynecologists, 476 U.S. 747,  828 (1986) (dissenting [505 U.S. 989] opinion). Those strong adjectives are conspicuously missing from the joint opinion, whose authors have, for some unexplained reason, now determined that a burden is "undue" if it merely imposes a "substantial" obstacle to abortion decisions. See, e.g., ante at 895,  901. JUSTICE O'CONNOR has also abandoned (again without explanation) the view she expressed in Planned Parenthood Assn. of Kansas City, Mo., Inc. v. Ashcroft, 462 U.S. 476 (1983) (dissenting opinion), that a medical regulation which imposes an "undue burden" could nevertheless be upheld if it "reasonably relate[s] to the preservation and protection of maternal health," id. at 505 (citation and internal quotation marks omitted). In today's version, even health measures will be upheld only "if they do not constitute an undue burden," ante at  878 (emphasis added). Gone too is JUSTICE O'CONNOR's statement that "the State possesses compelling interests in the protection of potential human life…throughout pregnancy," Akron I, supra, 462 U.S. at  461 (emphasis added); see also Ashcroft, supra, 462 U.S. at  505 (O'CONNOR, J., concurring in judgment in part and dissenting in part); Thornburgh, supra, 476 U.S. at  828 (O'CONNOR, J., dissenting); instead, the State's interest in unborn human life is stealthily downgraded to a merely "substantial" or "profound" interest, ante at  876,  878. (That had to be done, of course, since designating the interest as "compelling" throughout pregnancy would have been, shall we say, a "substantial obstacle" to the joint opinion's determined effort to reaffirm what it views as the "central holding" of Roe. See Akron I, 462 U.S. at  420, n. 1). And "viability" is no longer the "arbitrary" dividing line previously decried by JUSTICE O'CONNOR in Akron I, id. at  461; the Court now announces that "the attainment of viability may continue to serve as the critical fact," ante at  860. 5 It is difficult to [505 U.S. 990] maintain the illusion that we are interpreting a Constitution, rather than inventing one, when we amend its provisions so breezily.</w:t>
      </w:r>
    </w:p>
    <w:p w:rsidR="00A31137" w:rsidRPr="00A31137" w:rsidRDefault="00A31137" w:rsidP="00A31137">
      <w:r w:rsidRPr="00A31137">
        <w:t>1992, Planned Parenthood v. Casey, 505 U.S. 990</w:t>
      </w:r>
    </w:p>
    <w:p w:rsidR="00A31137" w:rsidRPr="00A31137" w:rsidRDefault="00A31137" w:rsidP="00A31137">
      <w:r w:rsidRPr="00A31137">
        <w:t>Because the portion of the joint opinion adopting and describing the undue burden test provides no more useful guidance than the empty phrases discussed above, one must turn to the 23 pages applying that standard to the present facts, for further guidance. In evaluating Pennsylvania's abortion law, the joint opinion relies extensively on the factual findings of the District Court, and repeatedly qualifies its conclusions by noting that they are contingent upon the record developed in this case. Thus, the joint opinion would uphold the 24-hour waiting period contained in the Pennsylvania statute's informed consent provision, 18 Pa.Cons.Stat. § 3205 (1990), because "the record evidence shows that, in the vast majority of cases, a 24-hour delay does not create any appreciable health risk," ante at  885. The three Justices therefore conclude that, "on the record before us,…we are not convinced that the 24-hour waiting period constitutes an undue burden." Ante at  885. The requirement that a doctor provide the information pertinent to informed consent would also be upheld because</w:t>
      </w:r>
    </w:p>
    <w:p w:rsidR="00A31137" w:rsidRPr="00A31137" w:rsidRDefault="00A31137" w:rsidP="00A31137">
      <w:r w:rsidRPr="00A31137">
        <w:t>1992, Planned Parenthood v. Casey, 505 U.S. 990</w:t>
      </w:r>
    </w:p>
    <w:p w:rsidR="00A31137" w:rsidRPr="00A31137" w:rsidRDefault="00A31137" w:rsidP="00A31137">
      <w:r w:rsidRPr="00A31137">
        <w:t>there is no evidence on this record that [this requirement] would amount, in practical terms, to a substantial obstacle to a woman seeking an abortion,</w:t>
      </w:r>
    </w:p>
    <w:p w:rsidR="00A31137" w:rsidRPr="00A31137" w:rsidRDefault="00A31137" w:rsidP="00A31137">
      <w:r w:rsidRPr="00A31137">
        <w:t>1992, Planned Parenthood v. Casey, 505 U.S. 990</w:t>
      </w:r>
    </w:p>
    <w:p w:rsidR="00A31137" w:rsidRPr="00A31137" w:rsidRDefault="00A31137" w:rsidP="00A31137">
      <w:r w:rsidRPr="00A31137">
        <w:t>ante at  884. Similarly, the joint opinion would uphold the reporting requirements of the Act, §§ 3207, 3214, because "there is no…showing on the record before us" that these requirements constitute a "substantial obstacle" [505 U.S. 991] to abortion decisions. Ante at 901. But, at the same time, the opinion pointedly observes that these reporting requirements may increase the costs of abortions, and that "at some point, [that fact] could become a substantial obstacle," ibid. Most significantly, the joint opinion's conclusion that the spousal notice requirement of the Act, see § 3209, imposes an "undue burden" is based in large measure on the District Court's "detailed findings of fact," which the joint opinion sets out at great length. Ante at 888-891.</w:t>
      </w:r>
    </w:p>
    <w:p w:rsidR="00A31137" w:rsidRPr="00A31137" w:rsidRDefault="00A31137" w:rsidP="00A31137">
      <w:r w:rsidRPr="00A31137">
        <w:t>1992, Planned Parenthood v. Casey, 505 U.S. 991</w:t>
      </w:r>
    </w:p>
    <w:p w:rsidR="00A31137" w:rsidRPr="00A31137" w:rsidRDefault="00A31137" w:rsidP="00A31137">
      <w:r w:rsidRPr="00A31137">
        <w:t>I do not, of course, have any objection to the notion that, in applying legal principles, one should rely only upon the facts that are contained in the record or that are properly subject to judicial notice. 6 But what is remarkable about the joint opinion's fact-intensive analysis is that it does not result in any measurable clarification of the "undue burden" standard. Rather, the approach of the joint opinion is, for the most part, simply to highlight certain facts in the record that apparently strike the three Justices as particularly significant in establishing (or refuting) the existence of an undue burden; after describing these facts, the opinion then simply announces that the provision either does or does not impose a "substantial obstacle" or an "undue burden." See, e.g., ante at 880, 884- 885,  887, 893-894,  895,  901. We do not know whether the same conclusions could have been reached on a different record, or in what respects the record would have had to differ before an opposite conclusion would have been [505 U.S. 992] appropriate. The inherently standardless nature of this inquiry invites the district judge to give effect to his personal preferences about abortion. By finding and relying upon the right facts, he can invalidate, it would seem, almost any abortion restriction that strikes him as "undue"—subject, of course, to the possibility of being reversed by a Circuit Court or Supreme Court that is as unconstrained in reviewing his decision as he was in making it.</w:t>
      </w:r>
    </w:p>
    <w:p w:rsidR="00A31137" w:rsidRPr="00A31137" w:rsidRDefault="00A31137" w:rsidP="00A31137">
      <w:r w:rsidRPr="00A31137">
        <w:t>1992, Planned Parenthood v. Casey, 505 U.S. 992</w:t>
      </w:r>
    </w:p>
    <w:p w:rsidR="00A31137" w:rsidRPr="00A31137" w:rsidRDefault="00A31137" w:rsidP="00A31137">
      <w:r w:rsidRPr="00A31137">
        <w:t>To the extent I can discern any meaningful content in the "undue burden" standard as applied in the joint opinion, it appears to be that a State may not regulate abortion in such a way as to reduce significantly its incidence. The joint opinion repeatedly emphasizes that an important factor in the "undue burden" analysis is whether the regulation "prevent[s] a significant number of women from obtaining an abortion," ante at  893; whether a "significant number of women…are likely to be deterred from procuring an abortion," ante at  894; and whether the regulation often "deters" women from seeking abortions, ante at  897. We are not told, however, what forms of "deterrence" are impermissible or what degree of success in deterrence is too much to be tolerated. If, for example, a State required a woman to read a pamphlet describing, with illustrations, the facts of fetal development before she could obtain an abortion, the effect of such legislation might be to "deter" a "significant number of women" from procuring abortions, thereby seemingly allowing a district judge to invalidate it as an undue burden. Thus, despite flowery rhetoric about the State's "substantial" and "profound" interest in "potential human life," and criticism of Roe for undervaluing that interest, the joint opinion permits the State to pursue that interest only so long as it is not too successful. As JUSTICE BLACKMUN recognizes (with evident hope), ante at  926, the "undue burden" standard may ultimately require the invalidation of each provision upheld today if it can be shown, on a better record, that the State is too effectively "express[ing] a preference [505 U.S. 993] for childbirth over abortion," ante at 883. Reason finds no refuge in this jurisprudence of confusion.</w:t>
      </w:r>
    </w:p>
    <w:p w:rsidR="00A31137" w:rsidRPr="00A31137" w:rsidRDefault="00A31137" w:rsidP="00A31137">
      <w:r w:rsidRPr="00A31137">
        <w:t>1992, Planned Parenthood v. Casey, 505 U.S. 993</w:t>
      </w:r>
    </w:p>
    <w:p w:rsidR="00A31137" w:rsidRPr="00A31137" w:rsidRDefault="00A31137" w:rsidP="00A31137">
      <w:r w:rsidRPr="00A31137">
        <w:t>While we appreciate the weight of the arguments…that Roe should be overruled, the reservations any of us may have in reaffirming the central holding of Roe are outweighed by the explication of individual liberty we have given combined with the force of stare decisis.</w:t>
      </w:r>
    </w:p>
    <w:p w:rsidR="00A31137" w:rsidRPr="00A31137" w:rsidRDefault="00A31137" w:rsidP="00A31137">
      <w:r w:rsidRPr="00A31137">
        <w:t>1992, Planned Parenthood v. Casey, 505 U.S. 993</w:t>
      </w:r>
    </w:p>
    <w:p w:rsidR="00A31137" w:rsidRPr="00A31137" w:rsidRDefault="00A31137" w:rsidP="00A31137">
      <w:r w:rsidRPr="00A31137">
        <w:t>Ante at  853.</w:t>
      </w:r>
    </w:p>
    <w:p w:rsidR="00A31137" w:rsidRPr="00A31137" w:rsidRDefault="00A31137" w:rsidP="00A31137">
      <w:r w:rsidRPr="00A31137">
        <w:t>1992, Planned Parenthood v. Casey, 505 U.S. 993</w:t>
      </w:r>
    </w:p>
    <w:p w:rsidR="00A31137" w:rsidRPr="00A31137" w:rsidRDefault="00A31137" w:rsidP="00A31137">
      <w:r w:rsidRPr="00A31137">
        <w:t>The Court's reliance upon stare decisis can best be described as contrived. It insists upon the necessity of adhering not to all of Roe, but only to what it calls the "central holding." It seems to me that stare decisis ought to be applied even to the doctrine of stare decisis, and I confess never to have heard of this new, keep-what-you-want-and-throw-away-the-rest version. I wonder whether, as applied to Marbury v. Madison, 1 Cranch. 137 (1803), for example, the new version of stare decisis would be satisfied if we allowed courts to review the constitutionality of only those statutes that (like the one in Marbury) pertain to the jurisdiction of the courts.</w:t>
      </w:r>
    </w:p>
    <w:p w:rsidR="00A31137" w:rsidRPr="00A31137" w:rsidRDefault="00A31137" w:rsidP="00A31137">
      <w:r w:rsidRPr="00A31137">
        <w:t>1992, Planned Parenthood v. Casey, 505 U.S. 993</w:t>
      </w:r>
    </w:p>
    <w:p w:rsidR="00A31137" w:rsidRPr="00A31137" w:rsidRDefault="00A31137" w:rsidP="00A31137">
      <w:r w:rsidRPr="00A31137">
        <w:t>I am certainly not in a good position to dispute that the Court has saved the "central holding" of Roe, since, to do that effectively, I would have to know what the Court has saved, which in turn would require me to understand (as I do not) what the "undue burden" test means. I must confess, however, that I have always thought, and I think a lot of other people have always thought, that the arbitrary trimester framework, which the Court today discards, was quite as central to Roe as the arbitrary viability test, which the Court today retains. It seems particularly ungrateful to carve the trimester framework out of the core of Roe, since its very rigidity (in sharp contrast to the utter indeterminability of the "undue burden" test) is probably the only reason the Court is able to say, in urging stare decisis, that Roe "has in no sense proven 'unworkable,'" ante at  855. I suppose the [505 U.S. 994] Court is entitled to call a "central holding" whatever it wants to call a "central holding"—which is, come to think of it, perhaps one of the difficulties with this modified version of stare decisis. I thought I might note, however, that the following portions of Roe have not been saved:</w:t>
      </w:r>
    </w:p>
    <w:p w:rsidR="00A31137" w:rsidRPr="00A31137" w:rsidRDefault="00A31137" w:rsidP="00A31137">
      <w:r w:rsidRPr="00A31137">
        <w:t>1992, Planned Parenthood v. Casey, 505 U.S. 994</w:t>
      </w:r>
    </w:p>
    <w:p w:rsidR="00A31137" w:rsidRPr="00A31137" w:rsidRDefault="00A31137" w:rsidP="00A31137">
      <w:r w:rsidRPr="00A31137">
        <w:t>* Under Roe, requiring that a woman seeking an abortion be provided truthful information about abortion before giving informed written consent is unconstitutional if the information is designed to influence her choice, Thornburgh, 476 U.S. at 759-765; Akron I, 462 U.S. at 442-445. Under the joint opinion's "undue burden" regime (as applied today, at least) such a requirement is constitutional. Ante at 881-885.</w:t>
      </w:r>
    </w:p>
    <w:p w:rsidR="00A31137" w:rsidRPr="00A31137" w:rsidRDefault="00A31137" w:rsidP="00A31137">
      <w:r w:rsidRPr="00A31137">
        <w:t>1992, Planned Parenthood v. Casey, 505 U.S. 994</w:t>
      </w:r>
    </w:p>
    <w:p w:rsidR="00A31137" w:rsidRPr="00A31137" w:rsidRDefault="00A31137" w:rsidP="00A31137">
      <w:r w:rsidRPr="00A31137">
        <w:t>* Under Roe, requiring that information be provided by a doctor, rather than by nonphysician counselors, is unconstitutional, Akron I, supra, at 446-449. Under the "undue burden" regime (as applied today, at least) it is not. Ante at 884-885.</w:t>
      </w:r>
    </w:p>
    <w:p w:rsidR="00A31137" w:rsidRPr="00A31137" w:rsidRDefault="00A31137" w:rsidP="00A31137">
      <w:r w:rsidRPr="00A31137">
        <w:t>1992, Planned Parenthood v. Casey, 505 U.S. 994</w:t>
      </w:r>
    </w:p>
    <w:p w:rsidR="00A31137" w:rsidRPr="00A31137" w:rsidRDefault="00A31137" w:rsidP="00A31137">
      <w:r w:rsidRPr="00A31137">
        <w:t>* Under Roe, requiring a 24-hour waiting period between the time the woman gives her informed consent and the time of the abortion is unconstitutional, Akron I, supra, at 449-451. Under the "undue burden" regime (as applied today, at least) it is not. Ante at 885-887.</w:t>
      </w:r>
    </w:p>
    <w:p w:rsidR="00A31137" w:rsidRPr="00A31137" w:rsidRDefault="00A31137" w:rsidP="00A31137">
      <w:r w:rsidRPr="00A31137">
        <w:t>1992, Planned Parenthood v. Casey, 505 U.S. 994</w:t>
      </w:r>
    </w:p>
    <w:p w:rsidR="00A31137" w:rsidRPr="00A31137" w:rsidRDefault="00A31137" w:rsidP="00A31137">
      <w:r w:rsidRPr="00A31137">
        <w:t>* Under Roe, requiring detailed reports that include demographic data about each woman who seeks an abortion and various information about each abortion is unconstitutional, Thornburgh, supra, 476 U.S. at 765-768. Under the "undue burden" regime (as applied today, at least) it generally is not. Ante at 900-901.</w:t>
      </w:r>
    </w:p>
    <w:p w:rsidR="00A31137" w:rsidRPr="00A31137" w:rsidRDefault="00A31137" w:rsidP="00A31137">
      <w:r w:rsidRPr="00A31137">
        <w:t>1992, Planned Parenthood v. Casey, 505 U.S. 994</w:t>
      </w:r>
    </w:p>
    <w:p w:rsidR="00A31137" w:rsidRPr="00A31137" w:rsidRDefault="00A31137" w:rsidP="00A31137">
      <w:r w:rsidRPr="00A31137">
        <w:t>Where, in the performance of its judicial duties, the Court decides a case in such a way as to resolve the sort of intensely divisive controversy reflected in Roe …its decision has a dimension that the resolution of the normal case does not carry. It is the dimension present whenever the Court's interpretation of the Constitution calls the contending sides of a [505 U.S. 995] national controversy to end their national division by accepting a common mandate rooted in the Constitution.</w:t>
      </w:r>
    </w:p>
    <w:p w:rsidR="00A31137" w:rsidRPr="00A31137" w:rsidRDefault="00A31137" w:rsidP="00A31137">
      <w:r w:rsidRPr="00A31137">
        <w:t>1992, Planned Parenthood v. Casey, 505 U.S. 995</w:t>
      </w:r>
    </w:p>
    <w:p w:rsidR="00A31137" w:rsidRPr="00A31137" w:rsidRDefault="00A31137" w:rsidP="00A31137">
      <w:r w:rsidRPr="00A31137">
        <w:t>Ante at 866-867.</w:t>
      </w:r>
    </w:p>
    <w:p w:rsidR="00A31137" w:rsidRPr="00A31137" w:rsidRDefault="00A31137" w:rsidP="00A31137">
      <w:r w:rsidRPr="00A31137">
        <w:t>1992, Planned Parenthood v. Casey, 505 U.S. 995</w:t>
      </w:r>
    </w:p>
    <w:p w:rsidR="00A31137" w:rsidRPr="00A31137" w:rsidRDefault="00A31137" w:rsidP="00A31137">
      <w:r w:rsidRPr="00A31137">
        <w:t>The Court's description of the place of Roe in the social history of the United States is unrecognizable. Not only did Roe not, as the Court suggests, resolve the deeply divisive issue of abortion; it did more than anything else to nourish it, by elevating it to the national level, where it is infinitely more difficult to resolve. National politics were not plagued by abortion protests, national abortion lobbying, or abortion marches on Congress, before Roe v. Wade was decided. Profound disagreement existed among our citizens over the issue—as it does over other issues, such as the death penalty—but that disagreement was being worked out at the state level. As with many other issues, the division of sentiment within each State was not as closely balanced as it was among the population of the Nation as a whole, meaning not only that more people would be satisfied with the results of state-by-state resolution, but also that those results would be more stable. Pre-Roe, moreover, political compromise was possible.</w:t>
      </w:r>
    </w:p>
    <w:p w:rsidR="00A31137" w:rsidRPr="00A31137" w:rsidRDefault="00A31137" w:rsidP="00A31137">
      <w:r w:rsidRPr="00A31137">
        <w:t>1992, Planned Parenthood v. Casey, 505 U.S. 995</w:t>
      </w:r>
    </w:p>
    <w:p w:rsidR="00A31137" w:rsidRPr="00A31137" w:rsidRDefault="00A31137" w:rsidP="00A31137">
      <w:r w:rsidRPr="00A31137">
        <w:t>Roe's mandate for abortion on demand destroyed the compromises of the past, rendered compromise impossible for the future, and required the entire issue to be resolved uniformly, at the national level. At the same time, Roe created a vast new class of abortion consumers and abortion proponents by eliminating the moral opprobrium that had attached to the act. ("If the Constitution guarantees abortion, how can it be bad?"—not an accurate line of thought, but a natural one.) Many favor all of those developments, and it is not for me to say that they are wrong. But to portray Roe as the statesmanlike "settlement" of a divisive issue, a jurisprudential Peace of Westphalia that is worth preserving, is nothing less than Orwellian. Roe fanned into life an issue that has inflamed our national politics in general, and has obscured with its smoke the selection of Justices to this Court, [505 U.S. 996] in particular, ever since. And by keeping us in the abortion-umpiring business, it is the perpetuation of that disruption, rather than of any pax Roeana that the Court's new majority decrees.</w:t>
      </w:r>
    </w:p>
    <w:p w:rsidR="00A31137" w:rsidRPr="00A31137" w:rsidRDefault="00A31137" w:rsidP="00A31137">
      <w:r w:rsidRPr="00A31137">
        <w:t>1992, Planned Parenthood v. Casey, 505 U.S. 996</w:t>
      </w:r>
    </w:p>
    <w:p w:rsidR="00A31137" w:rsidRPr="00A31137" w:rsidRDefault="00A31137" w:rsidP="00A31137">
      <w:r w:rsidRPr="00A31137">
        <w:t xml:space="preserve">[T]o overrule under fire…would subvert the Court's legitimacy…. </w:t>
      </w:r>
    </w:p>
    <w:p w:rsidR="00A31137" w:rsidRPr="00A31137" w:rsidRDefault="00A31137" w:rsidP="00A31137">
      <w:r w:rsidRPr="00A31137">
        <w:t>1992, Planned Parenthood v. Casey, 505 U.S. 996</w:t>
      </w:r>
    </w:p>
    <w:p w:rsidR="00A31137" w:rsidRPr="00A31137" w:rsidRDefault="00A31137" w:rsidP="00A31137">
      <w:r w:rsidRPr="00A31137">
        <w:t xml:space="preserve">To all those who will be…tested by following, the Court implicitly undertakes to remain steadfast…. The promise of constancy, once given, binds its maker for as long as the power to stand by the decision survives and…the commitment [is not] obsolete…. </w:t>
      </w:r>
    </w:p>
    <w:p w:rsidR="00A31137" w:rsidRPr="00A31137" w:rsidRDefault="00A31137" w:rsidP="00A31137">
      <w:r w:rsidRPr="00A31137">
        <w:t>1992, Planned Parenthood v. Casey, 505 U.S. 996</w:t>
      </w:r>
    </w:p>
    <w:p w:rsidR="00A31137" w:rsidRPr="00A31137" w:rsidRDefault="00A31137" w:rsidP="00A31137">
      <w:r w:rsidRPr="00A31137">
        <w:t>[The American people's] belief in themselves as…a people [who aspire to live according to the rule of law] is not readily separable from their understanding of the Court invested with the authority to decide their constitutional cases and speak before all others for their constitutional ideals. If the Court's legitimacy should be undermined, then so would the country be in its very ability to see itself through its constitutional ideals.</w:t>
      </w:r>
    </w:p>
    <w:p w:rsidR="00A31137" w:rsidRPr="00A31137" w:rsidRDefault="00A31137" w:rsidP="00A31137">
      <w:r w:rsidRPr="00A31137">
        <w:t>1992, Planned Parenthood v. Casey, 505 U.S. 996</w:t>
      </w:r>
    </w:p>
    <w:p w:rsidR="00A31137" w:rsidRPr="00A31137" w:rsidRDefault="00A31137" w:rsidP="00A31137">
      <w:r w:rsidRPr="00A31137">
        <w:t>Ante at 867-868.</w:t>
      </w:r>
    </w:p>
    <w:p w:rsidR="00A31137" w:rsidRPr="00A31137" w:rsidRDefault="00A31137" w:rsidP="00A31137">
      <w:r w:rsidRPr="00A31137">
        <w:t>1992, Planned Parenthood v. Casey, 505 U.S. 996</w:t>
      </w:r>
    </w:p>
    <w:p w:rsidR="00A31137" w:rsidRPr="00A31137" w:rsidRDefault="00A31137" w:rsidP="00A31137">
      <w:r w:rsidRPr="00A31137">
        <w:t>The Imperial Judiciary lives. It is instructive to compare this Nietzschean vision of us unelected, life-tenured judges—leading a Volk who will be "tested by following," and whose very "belief in themselves" is mystically bound up in their "understanding" of a Court that "speak[s] before all others for their constitutional ideals"—with the somewhat more modest role envisioned for these lawyers by the Founders.</w:t>
      </w:r>
    </w:p>
    <w:p w:rsidR="00A31137" w:rsidRPr="00A31137" w:rsidRDefault="00A31137" w:rsidP="00A31137">
      <w:r w:rsidRPr="00A31137">
        <w:t>1992, Planned Parenthood v. Casey, 505 U.S. 996</w:t>
      </w:r>
    </w:p>
    <w:p w:rsidR="00A31137" w:rsidRPr="00A31137" w:rsidRDefault="00A31137" w:rsidP="00A31137">
      <w:r w:rsidRPr="00A31137">
        <w:t>The judiciary…has…no direction either of the strength or of the wealth of the society, and can take no active resolution whatever. It may truly be said to have neither FORCE nor WILL, but merely judgment….</w:t>
      </w:r>
    </w:p>
    <w:p w:rsidR="00A31137" w:rsidRPr="00A31137" w:rsidRDefault="00A31137" w:rsidP="00A31137">
      <w:r w:rsidRPr="00A31137">
        <w:t>1992, Planned Parenthood v. Casey, 505 U.S. 996</w:t>
      </w:r>
    </w:p>
    <w:p w:rsidR="00A31137" w:rsidRPr="00A31137" w:rsidRDefault="00A31137" w:rsidP="00A31137">
      <w:r w:rsidRPr="00A31137">
        <w:t>The Federalist No. 78, pp. 393-394 (G. Wills ed.1982). Or, again, to compare this ecstasy of a Supreme Court in which there is, especially on controversial matters, no [505 U.S. 997] shadow of change or hint of alteration ("There is a limit to the amount of error that can plausibly be imputed to prior courts," ante at 866), with the more democratic views of a more humble man:</w:t>
      </w:r>
    </w:p>
    <w:p w:rsidR="00A31137" w:rsidRPr="00A31137" w:rsidRDefault="00A31137" w:rsidP="00A31137">
      <w:r w:rsidRPr="00A31137">
        <w:t>1992, Planned Parenthood v. Casey, 505 U.S. 997</w:t>
      </w:r>
    </w:p>
    <w:p w:rsidR="00A31137" w:rsidRPr="00A31137" w:rsidRDefault="00A31137" w:rsidP="00A31137">
      <w:r w:rsidRPr="00A31137">
        <w:t>[T]he candid citizen must confess that, if the policy of the Government upon vital questions affecting the whole people is to be irrevocably fixed by decisions of the Supreme Court,…the people will have ceased to be their own rulers, having to that extent practically resigned their Government into the hands of that eminent tribunal.</w:t>
      </w:r>
    </w:p>
    <w:p w:rsidR="00A31137" w:rsidRPr="00A31137" w:rsidRDefault="00A31137" w:rsidP="00A31137">
      <w:r w:rsidRPr="00A31137">
        <w:t>1992, Planned Parenthood v. Casey, 505 U.S. 997</w:t>
      </w:r>
    </w:p>
    <w:p w:rsidR="00A31137" w:rsidRPr="00A31137" w:rsidRDefault="00A31137" w:rsidP="00A31137">
      <w:r w:rsidRPr="00A31137">
        <w:t>A. Lincoln, First Inaugural Address (Mar. 4, 1861), reprinted in Inaugural Addresses of the Presidents of the United States, S. Doc. No. 101-10, p. 139 (1989).</w:t>
      </w:r>
    </w:p>
    <w:p w:rsidR="00A31137" w:rsidRPr="00A31137" w:rsidRDefault="00A31137" w:rsidP="00A31137">
      <w:r w:rsidRPr="00A31137">
        <w:t>1992, Planned Parenthood v. Casey, 505 U.S. 997</w:t>
      </w:r>
    </w:p>
    <w:p w:rsidR="00A31137" w:rsidRPr="00A31137" w:rsidRDefault="00A31137" w:rsidP="00A31137">
      <w:r w:rsidRPr="00A31137">
        <w:t>It is particularly difficult, in the circumstances of the present decision, to sit still for the Court's lengthy lecture upon the virtues of "constancy," ante at  868, of "remain[ing] steadfast," ibid., and adhering to "principle," id., passim. Among the five Justices who purportedly adhere to Roe, at most three agree upon the principle that constitutes adherence (the joint opinion's "undue burden" standard)—and that principle is inconsistent with Roe, see 410 U.S. at 154-156. 7 To make matters worse, two of the three, in order thus to remain steadfast, had to abandon previously stated positions. See n.  4 supra; see supra at 988-990. It is beyond me how the Court expects these accommodations to be accepted</w:t>
      </w:r>
    </w:p>
    <w:p w:rsidR="00A31137" w:rsidRPr="00A31137" w:rsidRDefault="00A31137" w:rsidP="00A31137">
      <w:r w:rsidRPr="00A31137">
        <w:t>1992, Planned Parenthood v. Casey, 505 U.S. 997</w:t>
      </w:r>
    </w:p>
    <w:p w:rsidR="00A31137" w:rsidRPr="00A31137" w:rsidRDefault="00A31137" w:rsidP="00A31137">
      <w:r w:rsidRPr="00A31137">
        <w:t>as grounded truly in principle, not as compromises with social and political pressures having, as such, no bearing on the principled choices that the Court is obliged to make.</w:t>
      </w:r>
    </w:p>
    <w:p w:rsidR="00A31137" w:rsidRPr="00A31137" w:rsidRDefault="00A31137" w:rsidP="00A31137">
      <w:r w:rsidRPr="00A31137">
        <w:t>1992, Planned Parenthood v. Casey, 505 U.S. 997</w:t>
      </w:r>
    </w:p>
    <w:p w:rsidR="00A31137" w:rsidRPr="00A31137" w:rsidRDefault="00A31137" w:rsidP="00A31137">
      <w:r w:rsidRPr="00A31137">
        <w:t>Ante at 865-866. The only principle the Court "adheres" [505 U.S. 998] to, it seems to me, is the principle that the Court must be seen as standing by Roe. That is not a principle of law (which is what I thought the Court was talking about), but a principle of Realpolitik—and a wrong one, at that.</w:t>
      </w:r>
    </w:p>
    <w:p w:rsidR="00A31137" w:rsidRPr="00A31137" w:rsidRDefault="00A31137" w:rsidP="00A31137">
      <w:r w:rsidRPr="00A31137">
        <w:t>1992, Planned Parenthood v. Casey, 505 U.S. 998</w:t>
      </w:r>
    </w:p>
    <w:p w:rsidR="00A31137" w:rsidRPr="00A31137" w:rsidRDefault="00A31137" w:rsidP="00A31137">
      <w:r w:rsidRPr="00A31137">
        <w:t>I cannot agree with, indeed I am appalled by, the Court's suggestion that the decision whether to stand by an erroneous constitutional decision must be strongly influenced—against overruling, no less—by the substantial and continuing public opposition the decision has generated. The Court's judgment that any other course would "subvert the Court's legitimacy" must be another consequence of reading the error-filled history book that described the deeply divided country brought together by Roe. In my history book, the Court was covered with dishonor and deprived of legitimacy by Dred Scott v. Sandford, 19 How. 393 (1857), an erroneous (and widely opposed) opinion that it did not abandon, rather than by West Coast Hotel Co. v. Parrish, 300 U.S. 379 (1937), which produced the famous "switch in time" from the Court's erroneous (and widely opposed) constitutional opposition to the social measures of the New Deal. Both Dred Scott and one line of the cases resisting the New Deal rested upon the concept of "substantive due process" that the Court praises and employs today. Indeed, Dred Scott was</w:t>
      </w:r>
    </w:p>
    <w:p w:rsidR="00A31137" w:rsidRPr="00A31137" w:rsidRDefault="00A31137" w:rsidP="00A31137">
      <w:r w:rsidRPr="00A31137">
        <w:t>1992, Planned Parenthood v. Casey, 505 U.S. 998</w:t>
      </w:r>
    </w:p>
    <w:p w:rsidR="00A31137" w:rsidRPr="00A31137" w:rsidRDefault="00A31137" w:rsidP="00A31137">
      <w:r w:rsidRPr="00A31137">
        <w:t>very possibly the first application of substantive due process in the Supreme Court, the original precedent for Lochner v. New York and Roe v. Wade.</w:t>
      </w:r>
    </w:p>
    <w:p w:rsidR="00A31137" w:rsidRPr="00A31137" w:rsidRDefault="00A31137" w:rsidP="00A31137">
      <w:r w:rsidRPr="00A31137">
        <w:t>1992, Planned Parenthood v. Casey, 505 U.S. 998</w:t>
      </w:r>
    </w:p>
    <w:p w:rsidR="00A31137" w:rsidRPr="00A31137" w:rsidRDefault="00A31137" w:rsidP="00A31137">
      <w:r w:rsidRPr="00A31137">
        <w:t>D. Currie, The Constitution in the Supreme Court 271 (1985) (footnotes omitted).</w:t>
      </w:r>
    </w:p>
    <w:p w:rsidR="00A31137" w:rsidRPr="00A31137" w:rsidRDefault="00A31137" w:rsidP="00A31137">
      <w:r w:rsidRPr="00A31137">
        <w:t>1992, Planned Parenthood v. Casey, 505 U.S. 998</w:t>
      </w:r>
    </w:p>
    <w:p w:rsidR="00A31137" w:rsidRPr="00A31137" w:rsidRDefault="00A31137" w:rsidP="00A31137">
      <w:r w:rsidRPr="00A31137">
        <w:t>But whether it would "subvert the Court's legitimacy" or not, the notion that we would decide a case differently from the way we otherwise would have in order to show that we can stand firm against public disapproval is frightening. It is a bad enough idea, even in the head of someone like me, who believes that the text of the Constitution, and our traditions, say what they say and there is no fiddling with them. But when it is in the mind of a Court that believes the Constitution [505 U.S. 999] has an evolving meaning, see ante at 848; that the Ninth Amendment's reference to "othe[r]" rights is not a disclaimer, but a charter for action, ibid.; and that the function of this Court is to "speak before all others for [the people's] constitutional ideals" unrestrained by meaningful text or tradition—then the notion that the Court must adhere to a decision for as long as the decision faces "great opposition" and the Court is "under fire" acquires a character of almost czarist arrogance. We are offended by these marchers who descend upon us, every year on the anniversary of Roe, to protest our saying that the Constitution requires what our society has never thought the Constitution requires. These people who refuse to be "tested by following" must be taught a lesson. We have no Cossacks, but at least we can stubbornly refuse to abandon an erroneous opinion that we might otherwise change—to show how little they intimidate us.</w:t>
      </w:r>
    </w:p>
    <w:p w:rsidR="00A31137" w:rsidRPr="00A31137" w:rsidRDefault="00A31137" w:rsidP="00A31137">
      <w:r w:rsidRPr="00A31137">
        <w:t>1992, Planned Parenthood v. Casey, 505 U.S. 999</w:t>
      </w:r>
    </w:p>
    <w:p w:rsidR="00A31137" w:rsidRPr="00A31137" w:rsidRDefault="00A31137" w:rsidP="00A31137">
      <w:r w:rsidRPr="00A31137">
        <w:t>Of course, as THE CHIEF JUSTICE points out, we have been subjected to what the Court calls "political pressure" by both sides of this issue. Ante at  963. Maybe today's decision not to overrule Roe will be seen as buckling to pressure from that direction. Instead of engaging in the hopeless task of predicting public perception—a job not for lawyers but for political campaign managers—the Justices should do what is legally right by asking two questions: (1) Was Roe correctly decided? (2) Has Roe succeeded in producing a settled body of law? If the answer to both questions is no, Roe should undoubtedly be overruled.</w:t>
      </w:r>
    </w:p>
    <w:p w:rsidR="00A31137" w:rsidRPr="00A31137" w:rsidRDefault="00A31137" w:rsidP="00A31137">
      <w:r w:rsidRPr="00A31137">
        <w:t>1992, Planned Parenthood v. Casey, 505 U.S. 999</w:t>
      </w:r>
    </w:p>
    <w:p w:rsidR="00A31137" w:rsidRPr="00A31137" w:rsidRDefault="00A31137" w:rsidP="00A31137">
      <w:r w:rsidRPr="00A31137">
        <w:t>In truth, I am as distressed as the Court is—and expressed my distress several years ago, see Webster, 492 U.S. at  535—about the "political pressure" directed to the Court: the marches, the mail, the protests aimed at inducing us to change our opinions. How upsetting it is, that so many of our citizens (good people, not lawless ones, on both sides of this abortion issue, and on various sides of other issues as well) think that we Justices should properly take into account [505 U.S. 1000] their views, as though we were engaged not in ascertaining an objective law, but in determining some kind of social consensus. The Court would profit, I think, from giving less attention to the fact of this distressing phenomenon, and more attention to the cause of it. That cause permeates today's opinion: a new mode of constitutional adjudication that relies not upon text and traditional practice to determine the law, but upon what the Court calls "reasoned judgment," ante at 849, which turns out to be nothing but philosophical predilection and moral intuition. All manner of "liberties," the Court tells us, inhere in the Constitution, and are enforceable by this Court—not just those mentioned in the text or established in the traditions of our society. Ante at 847-849. Why even the Ninth Amendment—which says only that "[t]he enumeration in the Constitution of certain rights shall not be construed to deny or disparage others retained by the people"—is, despite our contrary understanding for almost 200 years, a literally boundless source of additional, unnamed, unhinted-at "rights," definable and enforceable by us, through "reasoned judgment." Ante at 848-849.</w:t>
      </w:r>
    </w:p>
    <w:p w:rsidR="00A31137" w:rsidRPr="00A31137" w:rsidRDefault="00A31137" w:rsidP="00A31137">
      <w:r w:rsidRPr="00A31137">
        <w:t>1992, Planned Parenthood v. Casey, 505 U.S. 1000</w:t>
      </w:r>
    </w:p>
    <w:p w:rsidR="00A31137" w:rsidRPr="00A31137" w:rsidRDefault="00A31137" w:rsidP="00A31137">
      <w:r w:rsidRPr="00A31137">
        <w:t>What makes all this relevant to the bothersome application of "political pressure" against the Court are the twin facts that the American people love democracy and the American people are not fools. As long as this Court thought (and the people thought) that we Justices were doing essentially lawyers' work up here—reading text and discerning our society's traditional understanding of that text—the public pretty much left us alone. Texts and traditions are facts to study, not convictions to demonstrate about. But if in reality, our process of constitutional adjudication consists primarily of making value judgments; if we can ignore a long and clear tradition clarifying an ambiguous text, as we did, for example, five days ago in declaring unconstitutional invocations and benedictions at public highschool graduation ceremonies, Lee v. Weisman, 505 U.S. 577 (1992); if, as I say, our pronouncement of constitutional law rests primarily on value [505 U.S. 1001] judgments, then a free and intelligent people's attitude towards us can be expected to be (ought to be) quite different. The people know that their value judgments are quite as good as those taught in any law school—maybe better. If, indeed, the "liberties" protected by the Constitution are, as the Court says, undefined and unbounded, then the people should demonstrate, to protest that we do not implement their values instead of ours. Not only that, but the confirmation hearings for new Justices should deteriorate into question-and-answer sessions in which Senators go through a list of their constituents' most favored and most disfavored alleged constitutional rights, and seek the nominee's commitment to support or oppose them. Value judgments, after all, should be voted on, not dictated; and if our Constitution has somehow accidently committed them to the Supreme Court, at least we can have a sort of plebiscite each time a new nominee to that body is put forward. JUSTICE BLACKMUN not only regards this prospect with equanimity, he solicits it, ante at 943.</w:t>
      </w:r>
    </w:p>
    <w:p w:rsidR="00A31137" w:rsidRPr="00A31137" w:rsidRDefault="00A31137" w:rsidP="00A31137">
      <w:r w:rsidRPr="00A31137">
        <w:t>*    *    *    *</w:t>
      </w:r>
    </w:p>
    <w:p w:rsidR="00A31137" w:rsidRPr="00A31137" w:rsidRDefault="00A31137" w:rsidP="00A31137">
      <w:r w:rsidRPr="00A31137">
        <w:t>1992, Planned Parenthood v. Casey, 505 U.S. 1001</w:t>
      </w:r>
    </w:p>
    <w:p w:rsidR="00A31137" w:rsidRPr="00A31137" w:rsidRDefault="00A31137" w:rsidP="00A31137">
      <w:r w:rsidRPr="00A31137">
        <w:t>There is a poignant aspect to today's opinion. Its length, and what might be called its epic tone, suggest that its authors believe they are bringing to an end a troublesome era in the history of our Nation, and of our Court. "It is the dimension" of authority, they say, to</w:t>
      </w:r>
    </w:p>
    <w:p w:rsidR="00A31137" w:rsidRPr="00A31137" w:rsidRDefault="00A31137" w:rsidP="00A31137">
      <w:r w:rsidRPr="00A31137">
        <w:t>1992, Planned Parenthood v. Casey, 505 U.S. 1001</w:t>
      </w:r>
    </w:p>
    <w:p w:rsidR="00A31137" w:rsidRPr="00A31137" w:rsidRDefault="00A31137" w:rsidP="00A31137">
      <w:r w:rsidRPr="00A31137">
        <w:t>cal[l] the contending sides of national controversy to end their national division by accepting a common mandate rooted in the Constitution.</w:t>
      </w:r>
    </w:p>
    <w:p w:rsidR="00A31137" w:rsidRPr="00A31137" w:rsidRDefault="00A31137" w:rsidP="00A31137">
      <w:r w:rsidRPr="00A31137">
        <w:t>1992, Planned Parenthood v. Casey, 505 U.S. 1001</w:t>
      </w:r>
    </w:p>
    <w:p w:rsidR="00A31137" w:rsidRPr="00A31137" w:rsidRDefault="00A31137" w:rsidP="00A31137">
      <w:r w:rsidRPr="00A31137">
        <w:t>Ante at  867.</w:t>
      </w:r>
    </w:p>
    <w:p w:rsidR="00A31137" w:rsidRPr="00A31137" w:rsidRDefault="00A31137" w:rsidP="00A31137">
      <w:r w:rsidRPr="00A31137">
        <w:t>1992, Planned Parenthood v. Casey, 505 U.S. 1001</w:t>
      </w:r>
    </w:p>
    <w:p w:rsidR="00A31137" w:rsidRPr="00A31137" w:rsidRDefault="00A31137" w:rsidP="00A31137">
      <w:r w:rsidRPr="00A31137">
        <w:t>There comes vividly to mind a portrait by Emanuel Leutze that hangs in the Harvard Law School: Roger Brooke Taney, painted in 1859, the 82nd year of his life, the 24th of his Chief Justiceship, the second after his opinion in Dred Scott. He is in black, sitting in a shadowed red armchair, left hand resting upon a pad of paper in his lap, right hand hanging limply, almost lifelessly, beside the inner arm of the chair. He sits facing the viewer, and staring straight out. There [505 U.S. 1002] seems to be on his face, and in his deep-set eyes, an expression of profound sadness and disillusionment. Perhaps he always looked that way, even when dwelling upon the happiest of thoughts. But those of us who know how the lustre of his great Chief Justiceship came to be eclipsed by Dred Scott cannot help believing that he had that case—its already apparent consequences for the Court, and its soon-to-be-played-out consequences for the Nation—burning on his mind. I expect that, two years earlier, he, too, had thought himself</w:t>
      </w:r>
    </w:p>
    <w:p w:rsidR="00A31137" w:rsidRPr="00A31137" w:rsidRDefault="00A31137" w:rsidP="00A31137">
      <w:r w:rsidRPr="00A31137">
        <w:t>1992, Planned Parenthood v. Casey, 505 U.S. 1002</w:t>
      </w:r>
    </w:p>
    <w:p w:rsidR="00A31137" w:rsidRPr="00A31137" w:rsidRDefault="00A31137" w:rsidP="00A31137">
      <w:r w:rsidRPr="00A31137">
        <w:t>call[ing] the contending sides of national controversy to end their national division by accepting a common mandate rooted in the Constitution.</w:t>
      </w:r>
    </w:p>
    <w:p w:rsidR="00A31137" w:rsidRPr="00A31137" w:rsidRDefault="00A31137" w:rsidP="00A31137">
      <w:r w:rsidRPr="00A31137">
        <w:t>1992, Planned Parenthood v. Casey, 505 U.S. 1002</w:t>
      </w:r>
    </w:p>
    <w:p w:rsidR="00A31137" w:rsidRPr="00A31137" w:rsidRDefault="00A31137" w:rsidP="00A31137">
      <w:r w:rsidRPr="00A31137">
        <w:t>It is no more realistic for us in this case than it was for him in that to think that an issue of the sort they both involved—an issue involving life and death, freedom and subjugation—can be "speedily and finally settled" by the Supreme Court, as President James Buchanan, in his inaugural address, said the issue of slavery in the territories would be. See Inaugural Addresses of the Presidents of the United States, S.Doc. No. 101-10, p. 126 (1989). Quite to the contrary, by foreclosing all democratic outlet for the deep passions this issue arouses, by banishing the issue from the political forum that gives all participants, even the losers, the satisfaction of a fair hearing and an honest fight, by continuing the imposition of a rigid national rule instead of allowing for regional differences, the Court merely prolongs and intensifies the anguish.</w:t>
      </w:r>
    </w:p>
    <w:p w:rsidR="00A31137" w:rsidRPr="00A31137" w:rsidRDefault="00A31137" w:rsidP="00A31137">
      <w:r w:rsidRPr="00A31137">
        <w:t>1992, Planned Parenthood v. Casey, 505 U.S. 1002</w:t>
      </w:r>
    </w:p>
    <w:p w:rsidR="00A31137" w:rsidRPr="00A31137" w:rsidRDefault="00A31137" w:rsidP="00A31137">
      <w:r w:rsidRPr="00A31137">
        <w:t>We should get out of this area, where we have no right to be, and where we do neither ourselves nor the country any good by remaining.</w:t>
      </w:r>
    </w:p>
    <w:p w:rsidR="00A31137" w:rsidRPr="00A31137" w:rsidRDefault="00A31137" w:rsidP="00A31137">
      <w:r w:rsidRPr="00A31137">
        <w:t>Footnotes</w:t>
      </w:r>
    </w:p>
    <w:p w:rsidR="00A31137" w:rsidRPr="00A31137" w:rsidRDefault="00A31137" w:rsidP="00A31137">
      <w:r w:rsidRPr="00A31137">
        <w:t>STEVENS, J., concurring and dissenting (Footnotes)</w:t>
      </w:r>
    </w:p>
    <w:p w:rsidR="00A31137" w:rsidRPr="00A31137" w:rsidRDefault="00A31137" w:rsidP="00A31137">
      <w:r w:rsidRPr="00A31137">
        <w:t>1992, Planned Parenthood v. Casey, 505 U.S. 1002</w:t>
      </w:r>
    </w:p>
    <w:p w:rsidR="00A31137" w:rsidRPr="00A31137" w:rsidRDefault="00A31137" w:rsidP="00A31137">
      <w:r w:rsidRPr="00A31137">
        <w:t>1. It is sometimes useful to view the issue of stare decisis from a historical perspective. In the last nineteen years, fifteen Justices have confronted the basic issue presented in Roe. Of those, eleven have voted as the majority does today: Chief Justice Burger, Justices Douglas, Brennan, Stewart, Marshall, and Powell, and JUSTICES BLACKMUN, O'CONNOR, KENNEDY, SOUTER, and myself. Only four—all of whom happen to be on the Court today—have reached the opposite conclusion.</w:t>
      </w:r>
    </w:p>
    <w:p w:rsidR="00A31137" w:rsidRPr="00A31137" w:rsidRDefault="00A31137" w:rsidP="00A31137">
      <w:r w:rsidRPr="00A31137">
        <w:t>1992, Planned Parenthood v. Casey, 505 U.S. 1002</w:t>
      </w:r>
    </w:p>
    <w:p w:rsidR="00A31137" w:rsidRPr="00A31137" w:rsidRDefault="00A31137" w:rsidP="00A31137">
      <w:r w:rsidRPr="00A31137">
        <w:t>2. Professor Dworkin has made this comment on the issue:</w:t>
      </w:r>
    </w:p>
    <w:p w:rsidR="00A31137" w:rsidRPr="00A31137" w:rsidRDefault="00A31137" w:rsidP="00A31137">
      <w:r w:rsidRPr="00A31137">
        <w:t>1992, Planned Parenthood v. Casey, 505 U.S. 1002</w:t>
      </w:r>
    </w:p>
    <w:p w:rsidR="00A31137" w:rsidRPr="00A31137" w:rsidRDefault="00A31137" w:rsidP="00A31137">
      <w:r w:rsidRPr="00A31137">
        <w:t>The suggestion that states are free to declare a fetus a person…. assumes that a state can curtail some persons' constitutional rights by adding new persons to the constitutional population. The constitutional rights of one citizen are, of course, very much affected by who or what else also has constitutional rights, because the rights of others may compete or conflict with his. So any power to increase the constitutional population by unilateral decision would be, in effect, a power to decrease rights the national Constitution grants to others.</w:t>
      </w:r>
    </w:p>
    <w:p w:rsidR="00A31137" w:rsidRPr="00A31137" w:rsidRDefault="00A31137" w:rsidP="00A31137">
      <w:r w:rsidRPr="00A31137">
        <w:t>1992, Planned Parenthood v. Casey, 505 U.S. 1002</w:t>
      </w:r>
    </w:p>
    <w:p w:rsidR="00A31137" w:rsidRPr="00A31137" w:rsidRDefault="00A31137" w:rsidP="00A31137">
      <w:r w:rsidRPr="00A31137">
        <w:t>If a state could declare trees to be persons with a constitutional right to life, it could prohibit publishing newspapers or books in spite of the First Amendment's guarantee of free speech, which could not be understood as a license to kill…. Once we understand that the suggestion we are considering has that implication, we must reject it. If a fetus is not part of the constitutional population under the national constitutional arrangement, then states have no power to overrule that national arrangement by themselves declaring that fetuses have rights competitive with the constitutional rights of pregnant women.</w:t>
      </w:r>
    </w:p>
    <w:p w:rsidR="00A31137" w:rsidRPr="00A31137" w:rsidRDefault="00A31137" w:rsidP="00A31137">
      <w:r w:rsidRPr="00A31137">
        <w:t>1992, Planned Parenthood v. Casey, 505 U.S. 1002</w:t>
      </w:r>
    </w:p>
    <w:p w:rsidR="00A31137" w:rsidRPr="00A31137" w:rsidRDefault="00A31137" w:rsidP="00A31137">
      <w:r w:rsidRPr="00A31137">
        <w:t>Dworkin, Unenumerated Rights: Whether and How Doe Should be Overruled, 59 U.Chi.L.Rev. 381, 400 401 (1992).</w:t>
      </w:r>
    </w:p>
    <w:p w:rsidR="00A31137" w:rsidRPr="00A31137" w:rsidRDefault="00A31137" w:rsidP="00A31137">
      <w:r w:rsidRPr="00A31137">
        <w:t>1992, Planned Parenthood v. Casey, 505 U.S. 1002</w:t>
      </w:r>
    </w:p>
    <w:p w:rsidR="00A31137" w:rsidRPr="00A31137" w:rsidRDefault="00A31137" w:rsidP="00A31137">
      <w:r w:rsidRPr="00A31137">
        <w:t>3. The state interest in protecting potential life may be compared to the state interest in protecting those who seek to immigrate to this country. A contemporary example is provided by the Haitians who have risked the perils of the sea in a desperate attempt to become "persons" protected by our laws. Humanitarian and practical concerns would support a state policy allowing those persons unrestricted entry; countervailing interests in population control support a policy of limiting the entry of these potential citizens. While the state interest in population control might be sufficient to justify strict enforcement of the immigration laws, that interest would not be sufficient to overcome a woman's liberty interest. Thus, a state interest in population control could not justify a state-imposed limit on family size or, for that matter, state-mandated abortions.</w:t>
      </w:r>
    </w:p>
    <w:p w:rsidR="00A31137" w:rsidRPr="00A31137" w:rsidRDefault="00A31137" w:rsidP="00A31137">
      <w:r w:rsidRPr="00A31137">
        <w:t>1992, Planned Parenthood v. Casey, 505 U.S. 1002</w:t>
      </w:r>
    </w:p>
    <w:p w:rsidR="00A31137" w:rsidRPr="00A31137" w:rsidRDefault="00A31137" w:rsidP="00A31137">
      <w:r w:rsidRPr="00A31137">
        <w:t>4. As we noted in that opinion, the State's "legitimate interest in protecting minor women from their own immaturity" distinguished that case from Akron, which involved</w:t>
      </w:r>
    </w:p>
    <w:p w:rsidR="00A31137" w:rsidRPr="00A31137" w:rsidRDefault="00A31137" w:rsidP="00A31137">
      <w:r w:rsidRPr="00A31137">
        <w:t>1992, Planned Parenthood v. Casey, 505 U.S. 1002</w:t>
      </w:r>
    </w:p>
    <w:p w:rsidR="00A31137" w:rsidRPr="00A31137" w:rsidRDefault="00A31137" w:rsidP="00A31137">
      <w:r w:rsidRPr="00A31137">
        <w:t>a provision that required mature women, capable of consenting to an abortion, [to] wait 24 hours after giving consent before undergoing an abortion.</w:t>
      </w:r>
    </w:p>
    <w:p w:rsidR="00A31137" w:rsidRPr="00A31137" w:rsidRDefault="00A31137" w:rsidP="00A31137">
      <w:r w:rsidRPr="00A31137">
        <w:t>1992, Planned Parenthood v. Casey, 505 U.S. 1002</w:t>
      </w:r>
    </w:p>
    <w:p w:rsidR="00A31137" w:rsidRPr="00A31137" w:rsidRDefault="00A31137" w:rsidP="00A31137">
      <w:r w:rsidRPr="00A31137">
        <w:t>Hodgson, 497 U.S. at  449, n. 35.</w:t>
      </w:r>
    </w:p>
    <w:p w:rsidR="00A31137" w:rsidRPr="00A31137" w:rsidRDefault="00A31137" w:rsidP="00A31137">
      <w:r w:rsidRPr="00A31137">
        <w:t>1992, Planned Parenthood v. Casey, 505 U.S. 1002</w:t>
      </w:r>
    </w:p>
    <w:p w:rsidR="00A31137" w:rsidRPr="00A31137" w:rsidRDefault="00A31137" w:rsidP="00A31137">
      <w:r w:rsidRPr="00A31137">
        <w:t>5. The joint opinion's reliance on the indirect effects of the regulation of constitutionally protected activity, see ante, 873-874, is misplaced; what matters is not only the effect of a regulation, but also the reason for the regulation. As I explained in Hodgson:</w:t>
      </w:r>
    </w:p>
    <w:p w:rsidR="00A31137" w:rsidRPr="00A31137" w:rsidRDefault="00A31137" w:rsidP="00A31137">
      <w:r w:rsidRPr="00A31137">
        <w:t>1992, Planned Parenthood v. Casey, 505 U.S. 1002</w:t>
      </w:r>
    </w:p>
    <w:p w:rsidR="00A31137" w:rsidRPr="00A31137" w:rsidRDefault="00A31137" w:rsidP="00A31137">
      <w:r w:rsidRPr="00A31137">
        <w:t>In cases involving abortion, as in cases involving the right to travel or the right to marry, the identification of the constitutionally protected interest is merely the beginning of the analysis. State regulation of travel and of marriage is obviously permissible even though a State may not categorically exclude nonresidents from its borders, Shapiro v. Thompson, 394 U.S. 618,  631 (1969), or deny prisoners the right to marry, Turner v. Safley, 482 U.S. 78, 94-99 (1987). But the regulation of constitutionally protected decisions, such as where a person shall reside or whom he or she shall marry, must be predicated on legitimate state concerns other than disagreement with the choice the individual has made. Cf. Turner v. Safley, supra; Loving v. Virginia, 388 U.S. 1 (1967). In the abortion area, a State may have no obligation to spend its own money, or use its own facilities, to subsidize nontherapeutic abortions for minors or adults. See, e.g., Maher v. Roe, 432 U.S. 464 (1977); cf. Webster v. Reproductive Health Services, 492 U.S. 490, 508-511 (1989) (plurality opinion); id. at 523-524 (O'CONNOR, J., concurring in part and concurring in judgment). A State's value judgment favoring childbirth over abortion may provide adequate support for decisions involving such allocation of public funds, but not for simply substituting a state decision for an individual decision that a woman has a right to make for herself. Otherwise, the interest in liberty protected by the Due Process Clause would be a nullity. A state policy favoring childbirth over abortion is not in itself a sufficient justification for overriding the woman's decision or for placing "obstacles—absolute or otherwise—in the pregnant woman's path to an abortion."</w:t>
      </w:r>
    </w:p>
    <w:p w:rsidR="00A31137" w:rsidRPr="00A31137" w:rsidRDefault="00A31137" w:rsidP="00A31137">
      <w:r w:rsidRPr="00A31137">
        <w:t>1992, Planned Parenthood v. Casey, 505 U.S. 1002</w:t>
      </w:r>
    </w:p>
    <w:p w:rsidR="00A31137" w:rsidRPr="00A31137" w:rsidRDefault="00A31137" w:rsidP="00A31137">
      <w:r w:rsidRPr="00A31137">
        <w:t>Hodgson, 497 U.S. at  435.</w:t>
      </w:r>
    </w:p>
    <w:p w:rsidR="00A31137" w:rsidRPr="00A31137" w:rsidRDefault="00A31137" w:rsidP="00A31137">
      <w:r w:rsidRPr="00A31137">
        <w:t>1992, Planned Parenthood v. Casey, 505 U.S. 1002</w:t>
      </w:r>
    </w:p>
    <w:p w:rsidR="00A31137" w:rsidRPr="00A31137" w:rsidRDefault="00A31137" w:rsidP="00A31137">
      <w:r w:rsidRPr="00A31137">
        <w:t>6. The meaning of any legal standard can only be understood by reviewing the actual cases in which it is applied. For that reason, I discount both JUSTICE SCALIA's comments on past descriptions of the standard, see post at 988-990 (opinion of SCALIA, J.), and the attempt to give it crystal clarity in the joint opinion. The several opinions supporting the judgment in Griswold v. Connecticut, 381 U.S. 479 (1965), are less illuminating than the central holding of the case, which appears to have passed the test of time. The future may also demonstrate that a standard that analyzes both the severity of a regulatory burden and the legitimacy of its justification will provide a fully adequate framework for the review of abortion legislation even if the contours of the standard are not authoritatively articulated in any single opinion.</w:t>
      </w:r>
    </w:p>
    <w:p w:rsidR="00A31137" w:rsidRPr="00A31137" w:rsidRDefault="00A31137" w:rsidP="00A31137">
      <w:r w:rsidRPr="00A31137">
        <w:t>1992, Planned Parenthood v. Casey, 505 U.S. 1002</w:t>
      </w:r>
    </w:p>
    <w:p w:rsidR="00A31137" w:rsidRPr="00A31137" w:rsidRDefault="00A31137" w:rsidP="00A31137">
      <w:r w:rsidRPr="00A31137">
        <w:t>7. U.S. Dept. of Commerce, Bureau of the Census, Statistical Abstract of the United States 71 (111th ed.1991).</w:t>
      </w:r>
    </w:p>
    <w:p w:rsidR="00A31137" w:rsidRPr="00A31137" w:rsidRDefault="00A31137" w:rsidP="00A31137">
      <w:r w:rsidRPr="00A31137">
        <w:t>1992, Planned Parenthood v. Casey, 505 U.S. 1002</w:t>
      </w:r>
    </w:p>
    <w:p w:rsidR="00A31137" w:rsidRPr="00A31137" w:rsidRDefault="00A31137" w:rsidP="00A31137">
      <w:r w:rsidRPr="00A31137">
        <w:t>8. Although I agree that a parental consent requirement (with the appropriate bypass) is constitutional, I do not join Part V-D of the joint opinion because its approval of Pennsylvania's informed parental consent requirement is based on the reasons given in Part V-B, with which I disagree.</w:t>
      </w:r>
    </w:p>
    <w:p w:rsidR="00A31137" w:rsidRPr="00A31137" w:rsidRDefault="00A31137" w:rsidP="00A31137">
      <w:r w:rsidRPr="00A31137">
        <w:t>BLACKMUN, J., concurring and dissenting (Footnotes)</w:t>
      </w:r>
    </w:p>
    <w:p w:rsidR="00A31137" w:rsidRPr="00A31137" w:rsidRDefault="00A31137" w:rsidP="00A31137">
      <w:r w:rsidRPr="00A31137">
        <w:t>1992, Planned Parenthood v. Casey, 505 U.S. 1002</w:t>
      </w:r>
    </w:p>
    <w:p w:rsidR="00A31137" w:rsidRPr="00A31137" w:rsidRDefault="00A31137" w:rsidP="00A31137">
      <w:r w:rsidRPr="00A31137">
        <w:t>1. As I shall explain, the joint opinion and I disagree on the appropriate standard of review for abortion regulations. I do agree, however that the reasons advanced by the joint opinion suffice to invalidate the spousal notification requirement under a strict scrutiny standard.</w:t>
      </w:r>
    </w:p>
    <w:p w:rsidR="00A31137" w:rsidRPr="00A31137" w:rsidRDefault="00A31137" w:rsidP="00A31137">
      <w:r w:rsidRPr="00A31137">
        <w:t>1992, Planned Parenthood v. Casey, 505 U.S. 1002</w:t>
      </w:r>
    </w:p>
    <w:p w:rsidR="00A31137" w:rsidRPr="00A31137" w:rsidRDefault="00A31137" w:rsidP="00A31137">
      <w:r w:rsidRPr="00A31137">
        <w:t>2. I also join the Court's decision to uphold the medical emergency provision. As the Court notes, its interpretation is consistent with the essential holding of Roe that</w:t>
      </w:r>
    </w:p>
    <w:p w:rsidR="00A31137" w:rsidRPr="00A31137" w:rsidRDefault="00A31137" w:rsidP="00A31137">
      <w:r w:rsidRPr="00A31137">
        <w:t>1992, Planned Parenthood v. Casey, 505 U.S. 1002</w:t>
      </w:r>
    </w:p>
    <w:p w:rsidR="00A31137" w:rsidRPr="00A31137" w:rsidRDefault="00A31137" w:rsidP="00A31137">
      <w:r w:rsidRPr="00A31137">
        <w:t>forbids a State from interfering with a woman's choice to undergo an abortion procedure if continuing her pregnancy would constitute a threat to her health.</w:t>
      </w:r>
    </w:p>
    <w:p w:rsidR="00A31137" w:rsidRPr="00A31137" w:rsidRDefault="00A31137" w:rsidP="00A31137">
      <w:r w:rsidRPr="00A31137">
        <w:t>1992, Planned Parenthood v. Casey, 505 U.S. 1002</w:t>
      </w:r>
    </w:p>
    <w:p w:rsidR="00A31137" w:rsidRPr="00A31137" w:rsidRDefault="00A31137" w:rsidP="00A31137">
      <w:r w:rsidRPr="00A31137">
        <w:t>Ante at  880. As is apparent in my analysis below, however, this exception does not render constitutional the provisions which I conclude do not survive strict scrutiny.</w:t>
      </w:r>
    </w:p>
    <w:p w:rsidR="00A31137" w:rsidRPr="00A31137" w:rsidRDefault="00A31137" w:rsidP="00A31137">
      <w:r w:rsidRPr="00A31137">
        <w:t>1992, Planned Parenthood v. Casey, 505 U.S. 1002</w:t>
      </w:r>
    </w:p>
    <w:p w:rsidR="00A31137" w:rsidRPr="00A31137" w:rsidRDefault="00A31137" w:rsidP="00A31137">
      <w:r w:rsidRPr="00A31137">
        <w:t>3. As the joint opinion acknowledges, ante at  857, this Court has recognized the vital liberty interest of persons in refusing unwanted medical treatment. Cruzan v. Director, Missouri Dept. of Health, 497 U.S. 261 (1990). Just as the Due Process Clause protects the deeply personal decision of the individual to refuse medical treatment, it also must protect the deeply personal decision to obtain medical treatment, including a woman's decision to terminate a pregnancy.</w:t>
      </w:r>
    </w:p>
    <w:p w:rsidR="00A31137" w:rsidRPr="00A31137" w:rsidRDefault="00A31137" w:rsidP="00A31137">
      <w:r w:rsidRPr="00A31137">
        <w:t>1992, Planned Parenthood v. Casey, 505 U.S. 1002</w:t>
      </w:r>
    </w:p>
    <w:p w:rsidR="00A31137" w:rsidRPr="00A31137" w:rsidRDefault="00A31137" w:rsidP="00A31137">
      <w:r w:rsidRPr="00A31137">
        <w:t>4. A growing number of commentators are recognizing this point. See, e.g., L. Tribe, American Constitutional Law, § 15-10, pp. 1353-1359 (2d ed.1988); Siegel, Reasoning from the Body: A Historical Perspective on Abortion Regulation and Questions of Equal Protection, 44 Stan.L.Rev. 261, 350-380 (1992); Sunstein, Neutrality in Constitutional Law (With Special Reference to Pornography, Abortion, and Surrogacy), 92 Colum.L.Rev. 1, 31-44 (1992); MacKinnon, Reflections on Sex Equality Under Law, 100 Yale L.J. 1281, 1308-1324 (1991); cf. Rubenfeld, The Right of Privacy, 102 Harv.L.Rev. 737, 788-791 (1989) (similar analysis under the rubric of privacy).</w:t>
      </w:r>
    </w:p>
    <w:p w:rsidR="00A31137" w:rsidRPr="00A31137" w:rsidRDefault="00A31137" w:rsidP="00A31137">
      <w:r w:rsidRPr="00A31137">
        <w:t>1992, Planned Parenthood v. Casey, 505 U.S. 1002</w:t>
      </w:r>
    </w:p>
    <w:p w:rsidR="00A31137" w:rsidRPr="00A31137" w:rsidRDefault="00A31137" w:rsidP="00A31137">
      <w:r w:rsidRPr="00A31137">
        <w:t>5. To say that restrictions on a right are subject to strict scrutiny is not to say that the right is absolute. Regulations can be upheld if they have no significant impact on the woman's exercise of her right and are justified by important state health objectives. See, e.g., Planned Parenthood of Central Mo. v. Danforth, 428 U.S. 52, 65-67, 79-81 (1976) (upholding requirements of a woman's written consent and recordkeeping). But the Court today reaffirms the essential principle of Roe that a woman has the right "to choose to have an abortion before viability and to obtain it without undue interference from the State." Ante at  846. Under Roe, any more than de minimis interference is undue.</w:t>
      </w:r>
    </w:p>
    <w:p w:rsidR="00A31137" w:rsidRPr="00A31137" w:rsidRDefault="00A31137" w:rsidP="00A31137">
      <w:r w:rsidRPr="00A31137">
        <w:t>1992, Planned Parenthood v. Casey, 505 U.S. 1002</w:t>
      </w:r>
    </w:p>
    <w:p w:rsidR="00A31137" w:rsidRPr="00A31137" w:rsidRDefault="00A31137" w:rsidP="00A31137">
      <w:r w:rsidRPr="00A31137">
        <w:t>6. The joint opinion agrees with Roe's conclusion that viability occurs at 23 or 24 weeks at the earliest. Compare ante at  860 with 410 U.S. at  160.</w:t>
      </w:r>
    </w:p>
    <w:p w:rsidR="00A31137" w:rsidRPr="00A31137" w:rsidRDefault="00A31137" w:rsidP="00A31137">
      <w:r w:rsidRPr="00A31137">
        <w:t>1992, Planned Parenthood v. Casey, 505 U.S. 1002</w:t>
      </w:r>
    </w:p>
    <w:p w:rsidR="00A31137" w:rsidRPr="00A31137" w:rsidRDefault="00A31137" w:rsidP="00A31137">
      <w:r w:rsidRPr="00A31137">
        <w:t>7. While I do not agree with the joint opinion's conclusion that these provisions should be upheld, the joint opinion has remained faithful to principles this Court previously has announced in examining counseling provisions. For example, the joint opinion concludes that the "information the State requires to be made available to the woman" must be "truthful and not misleading." Ante at  882. Because the State's information must be "calculated to inform the woman's free choice, not hinder it," ante at  877, the measures must be designed to ensure that a woman's choice is "mature and informed," id. at  883, not intimidated, imposed, or impelled. To this end, when the State requires the provision of certain information, the State may not alter the manner of presentation in order to inflict "psychological abuse," id. at  893, designed to shock or unnerve a woman seeking to exercise her liberty right. This, for example, would appear to preclude a State from requiring a woman to view graphic literature or films detailing the performance of an abortion operation. Just as a visual preview of an operation to remove an appendix plays no part in a physician's securing informed consent to an appendectomy, a preview of scenes appurtenant to any major medical intrusion into the human body does not constructively inform the decision of a woman of the State's interest in the preservation of the woman's health or demonstrate the State's "profound respect for the potential life she carries within her." Id. at  877.</w:t>
      </w:r>
    </w:p>
    <w:p w:rsidR="00A31137" w:rsidRPr="00A31137" w:rsidRDefault="00A31137" w:rsidP="00A31137">
      <w:r w:rsidRPr="00A31137">
        <w:t>1992, Planned Parenthood v. Casey, 505 U.S. 1002</w:t>
      </w:r>
    </w:p>
    <w:p w:rsidR="00A31137" w:rsidRPr="00A31137" w:rsidRDefault="00A31137" w:rsidP="00A31137">
      <w:r w:rsidRPr="00A31137">
        <w:t>8. The Court's decision in Hodgson v. Minnesota, 497 U.S. 417 (1990), validating a 48-hour waiting period for minors seeking an abortion to permit parental involvement does not alter this conclusion. Here the 24-hour delay is imposed on an adult woman. See id., 497 U.S. at 449-450, n. 35; Ohio v. Akron Ctr. for Reproductive Health, Inc., 497 U.S. 502 (1990). Moreover, the statute in Hodgson did not require any delay once the minor obtained the affirmative consent of either a parent or the court.</w:t>
      </w:r>
    </w:p>
    <w:p w:rsidR="00A31137" w:rsidRPr="00A31137" w:rsidRDefault="00A31137" w:rsidP="00A31137">
      <w:r w:rsidRPr="00A31137">
        <w:t>1992, Planned Parenthood v. Casey, 505 U.S. 1002</w:t>
      </w:r>
    </w:p>
    <w:p w:rsidR="00A31137" w:rsidRPr="00A31137" w:rsidRDefault="00A31137" w:rsidP="00A31137">
      <w:r w:rsidRPr="00A31137">
        <w:t>9. Because this information is so widely known, I am confident that a developed record can be made to show that the 24-hour delay,</w:t>
      </w:r>
    </w:p>
    <w:p w:rsidR="00A31137" w:rsidRPr="00A31137" w:rsidRDefault="00A31137" w:rsidP="00A31137">
      <w:r w:rsidRPr="00A31137">
        <w:t>1992, Planned Parenthood v. Casey, 505 U.S. 1002</w:t>
      </w:r>
    </w:p>
    <w:p w:rsidR="00A31137" w:rsidRPr="00A31137" w:rsidRDefault="00A31137" w:rsidP="00A31137">
      <w:r w:rsidRPr="00A31137">
        <w:t>in a large fraction of the cases in which [the restriction] is relevant,…will operate as a substantial obstacle to a woman's choice to undergo an abortion.</w:t>
      </w:r>
    </w:p>
    <w:p w:rsidR="00A31137" w:rsidRPr="00A31137" w:rsidRDefault="00A31137" w:rsidP="00A31137">
      <w:r w:rsidRPr="00A31137">
        <w:t>1992, Planned Parenthood v. Casey, 505 U.S. 1002</w:t>
      </w:r>
    </w:p>
    <w:p w:rsidR="00A31137" w:rsidRPr="00A31137" w:rsidRDefault="00A31137" w:rsidP="00A31137">
      <w:r w:rsidRPr="00A31137">
        <w:t>Ante at  895.</w:t>
      </w:r>
    </w:p>
    <w:p w:rsidR="00A31137" w:rsidRPr="00A31137" w:rsidRDefault="00A31137" w:rsidP="00A31137">
      <w:r w:rsidRPr="00A31137">
        <w:t>1992, Planned Parenthood v. Casey, 505 U.S. 1002</w:t>
      </w:r>
    </w:p>
    <w:p w:rsidR="00A31137" w:rsidRPr="00A31137" w:rsidRDefault="00A31137" w:rsidP="00A31137">
      <w:r w:rsidRPr="00A31137">
        <w:t>10. The judicial bypass provision does not cure this violation. Hodgson is distinguishable, since this case involves more than parental involvement or approval—rather, the Pennsylvania law requires that the parent receive information designed to discourage abortion in a face-to-face meeting with the physician. The bypass procedure cannot ensure that the parent would obtain the information, since, in many instances, the parent would not even attend the hearing. A State may not place any restriction on a young woman's right to an abortion, however irrational, simply because it has provided a judicial bypass.</w:t>
      </w:r>
    </w:p>
    <w:p w:rsidR="00A31137" w:rsidRPr="00A31137" w:rsidRDefault="00A31137" w:rsidP="00A31137">
      <w:r w:rsidRPr="00A31137">
        <w:t>1992, Planned Parenthood v. Casey, 505 U.S. 1002</w:t>
      </w:r>
    </w:p>
    <w:p w:rsidR="00A31137" w:rsidRPr="00A31137" w:rsidRDefault="00A31137" w:rsidP="00A31137">
      <w:r w:rsidRPr="00A31137">
        <w:t>11. Obviously, I do not share THE CHIEF JUSTICE's views of homosexuality as sexual deviance. See Bowers, 478 U.S. at 202-203 n. 2 (BLACKMUN, J., dissenting).</w:t>
      </w:r>
    </w:p>
    <w:p w:rsidR="00A31137" w:rsidRPr="00A31137" w:rsidRDefault="00A31137" w:rsidP="00A31137">
      <w:r w:rsidRPr="00A31137">
        <w:t>1992, Planned Parenthood v. Casey, 505 U.S. 1002</w:t>
      </w:r>
    </w:p>
    <w:p w:rsidR="00A31137" w:rsidRPr="00A31137" w:rsidRDefault="00A31137" w:rsidP="00A31137">
      <w:r w:rsidRPr="00A31137">
        <w:t>12. JUSTICE SCALIA urges the Court to "get out of this area" and leave questions regarding abortion entirely to the States. Post at  1002. Putting aside the fact that what he advocates is nothing short of an abdication by the Court of its constitutional responsibilities, JUSTICE SCALIA is uncharacteristically naive if he thinks that overruling Roe and holding that restrictions on a woman's right to an abortion are subject only to rational basis review will enable the Court henceforth to avoid reviewing abortion-related issues. State efforts to regulate and prohibit abortion in a post-Roe world undoubtedly would raise a host of distinct and important constitutional questions meriting review by this Court. For example, does the Eighth Amendment impose any limits on the degree or kind of punishment a State can inflict upon physicians who perform, or women who undergo, abortions? What effect would differences among States in their approaches to abortion have on a woman's right to engage in interstate travel? Does the First Amendment permit States that choose not to criminalize abortion to ban all advertising providing information about where and how to obtain abortions?</w:t>
      </w:r>
    </w:p>
    <w:p w:rsidR="00A31137" w:rsidRPr="00A31137" w:rsidRDefault="00A31137" w:rsidP="00A31137">
      <w:r w:rsidRPr="00A31137">
        <w:t>REHNQUIST, J., concurring and dissenting (Footnotes)</w:t>
      </w:r>
    </w:p>
    <w:p w:rsidR="00A31137" w:rsidRPr="00A31137" w:rsidRDefault="00A31137" w:rsidP="00A31137">
      <w:r w:rsidRPr="00A31137">
        <w:t>1992, Planned Parenthood v. Casey, 505 U.S. 1002</w:t>
      </w:r>
    </w:p>
    <w:p w:rsidR="00A31137" w:rsidRPr="00A31137" w:rsidRDefault="00A31137" w:rsidP="00A31137">
      <w:r w:rsidRPr="00A31137">
        <w:t>1. Two years after Roe, the West German constitutional court, by contrast, struck down a law liberalizing access to abortion on the grounds that life developing within the womb is constitutionally protected. Judgment of February 25, 1975, 39 BVerfGE I (translated in Jonas &amp; Gorby, West German Abortion Decision: A Contrast to Roe v. Wade, 9 J. Marshall J.Prac. &amp; Proc. 605 (1976)). In 1988, the Canadian Supreme Court followed reasoning similar to that of Roe in striking down a law which restricted abortion. Morgentaler v. Queen, I S.C.R. 30, 44 D.L.R. 4th 385 (1988).</w:t>
      </w:r>
    </w:p>
    <w:p w:rsidR="00A31137" w:rsidRPr="00A31137" w:rsidRDefault="00A31137" w:rsidP="00A31137">
      <w:r w:rsidRPr="00A31137">
        <w:t>1992, Planned Parenthood v. Casey, 505 U.S. 1002</w:t>
      </w:r>
    </w:p>
    <w:p w:rsidR="00A31137" w:rsidRPr="00A31137" w:rsidRDefault="00A31137" w:rsidP="00A31137">
      <w:r w:rsidRPr="00A31137">
        <w:t>2. The joint opinion of JUSTICES O'CONNOR, KENNEDY, and SOUTER appears to ignore this point in concluding that the spousal notice provision imposes an undue burden on the abortion decision. Ante at 887-898. In most instances, the notification requirement operates without difficulty. As the District Court found, the vast majority of wives seeking abortions notify and consult with their husbands, and thus suffer no burden as a result of the provisions. For example, notification is not required if the husband is not the father, if the pregnancy is the result of a reported spousal sexual assault, or if the woman fears bodily injury as a result of notifying her husband. Thus, in these instances as well, the notification provision imposes no obstacle to the abortion decision.</w:t>
      </w:r>
    </w:p>
    <w:p w:rsidR="00A31137" w:rsidRPr="00A31137" w:rsidRDefault="00A31137" w:rsidP="00A31137">
      <w:r w:rsidRPr="00A31137">
        <w:t>1992, Planned Parenthood v. Casey, 505 U.S. 1002</w:t>
      </w:r>
    </w:p>
    <w:p w:rsidR="00A31137" w:rsidRPr="00A31137" w:rsidRDefault="00A31137" w:rsidP="00A31137">
      <w:r w:rsidRPr="00A31137">
        <w:t>The joint opinion puts to one side these situations where the regulation imposes no obstacle at all, and instead focuses on the group of married women who would not otherwise notify their husbands and who do not qualify for one of the exceptions. Having narrowed the focus, the joint opinion concludes that, in a "large fraction" of those cases, the notification provision operates as a substantial obstacle, ante at  895, and that the provision is therefore invalid. There are certainly instances where a woman would prefer not to notify her husband, and yet does not qualify for an exception. For example, there are the situations of the battered women who fear psychological abuse or injury to their children as a result of notification; because in these situations the women do not fear bodily injury, they do not qualify for an exception. And there are situations where a woman has become pregnant as a result of an unreported spousal sexual assault; when such an assault is unreported, no exception is available. But, as the District Court found, there are also instances where the woman prefers not to notify her husband for a variety of other reasons. See 744 F.Supp. at 1360. For example, a woman might desire to obtain an abortion without her husband's knowledge because of perceived economic constraints or her husband's previously expressed opposition to abortion. The joint opinion concentrates on the situations involving battered women and unreported spousal assault, and assumes, without any support in the record, that these instances constitute a "large fraction" of those cases in which women prefer not to notify their husbands (and do not qualify for an exception). Ante at  895. This assumption is not based on any hard evidence, however. And were it helpful to an attempt to reach a desired result, one could just as easily assume that the battered women situations form 100 percent of the cases where women desire not to notify, or that they constitute only 20 percent of those cases. But reliance on such speculation is the necessary result of adopting the undue burden standard.</w:t>
      </w:r>
    </w:p>
    <w:p w:rsidR="00A31137" w:rsidRPr="00A31137" w:rsidRDefault="00A31137" w:rsidP="00A31137">
      <w:r w:rsidRPr="00A31137">
        <w:t>1992, Planned Parenthood v. Casey, 505 U.S. 1002</w:t>
      </w:r>
    </w:p>
    <w:p w:rsidR="00A31137" w:rsidRPr="00A31137" w:rsidRDefault="00A31137" w:rsidP="00A31137">
      <w:r w:rsidRPr="00A31137">
        <w:t>3. The definition in use at that time provided as follows:</w:t>
      </w:r>
    </w:p>
    <w:p w:rsidR="00A31137" w:rsidRPr="00A31137" w:rsidRDefault="00A31137" w:rsidP="00A31137">
      <w:r w:rsidRPr="00A31137">
        <w:t>1992, Planned Parenthood v. Casey, 505 U.S. 1002</w:t>
      </w:r>
    </w:p>
    <w:p w:rsidR="00A31137" w:rsidRPr="00A31137" w:rsidRDefault="00A31137" w:rsidP="00A31137">
      <w:r w:rsidRPr="00A31137">
        <w:t>"Medical emergency."—That condition which, on the basis of the physician's best clinical judgment, so complicates a pregnancy as to necessitate the immediate abortion of same to avert the death of the mother or for which a 2-hour delay will create grave peril of immediate and irreversible loss of major bodily function.</w:t>
      </w:r>
    </w:p>
    <w:p w:rsidR="00A31137" w:rsidRPr="00A31137" w:rsidRDefault="00A31137" w:rsidP="00A31137">
      <w:r w:rsidRPr="00A31137">
        <w:t>1992, Planned Parenthood v. Casey, 505 U.S. 1002</w:t>
      </w:r>
    </w:p>
    <w:p w:rsidR="00A31137" w:rsidRPr="00A31137" w:rsidRDefault="00A31137" w:rsidP="00A31137">
      <w:r w:rsidRPr="00A31137">
        <w:t>18 Pa.Cons.Stat.Ann. § 3203 (Purdon 1983).</w:t>
      </w:r>
    </w:p>
    <w:p w:rsidR="00A31137" w:rsidRPr="00A31137" w:rsidRDefault="00A31137" w:rsidP="00A31137">
      <w:r w:rsidRPr="00A31137">
        <w:t>SCALIA, J., concurring and dissenting (Footnotes)</w:t>
      </w:r>
    </w:p>
    <w:p w:rsidR="00A31137" w:rsidRPr="00A31137" w:rsidRDefault="00A31137" w:rsidP="00A31137">
      <w:r w:rsidRPr="00A31137">
        <w:t>1992, Planned Parenthood v. Casey, 505 U.S. 1002</w:t>
      </w:r>
    </w:p>
    <w:p w:rsidR="00A31137" w:rsidRPr="00A31137" w:rsidRDefault="00A31137" w:rsidP="00A31137">
      <w:r w:rsidRPr="00A31137">
        <w:t>1. The Court's suggestion, ante at 847-848, that adherence to tradition would require us to uphold laws against interracial marriage is entirely wrong. Any tradition in that case was contradicted by a text—an Equal Protection Clause that explicitly establishes racial equality as a constitutional value. See Loving v. Virginia, 388 U.S. 1,  9 (1967) ("In the case at bar,…we deal with statutes containing racial classifications, and the fact of equal application does not immunize the statute from the very heavy burden of justification which the Fourteenth Amendment has traditionally required of state statutes drawn according to race"); see also id. at  13 (Stewart, J., concurring in judgment). The enterprise launched in Roe, by contrast, sought to establish—in the teeth of a clear, contrary tradition—a value found nowhere in the constitutional text.</w:t>
      </w:r>
    </w:p>
    <w:p w:rsidR="00A31137" w:rsidRPr="00A31137" w:rsidRDefault="00A31137" w:rsidP="00A31137">
      <w:r w:rsidRPr="00A31137">
        <w:t>1992, Planned Parenthood v. Casey, 505 U.S. 1002</w:t>
      </w:r>
    </w:p>
    <w:p w:rsidR="00A31137" w:rsidRPr="00A31137" w:rsidRDefault="00A31137" w:rsidP="00A31137">
      <w:r w:rsidRPr="00A31137">
        <w:t>There is, of course, no comparable tradition barring recognition of a "liberty interest" in carrying one's child to term free from state efforts to kill it. For that reason, it does not follow that the Constitution does not protect childbirth simply because it does not protect abortion. The Court's contention, ante at  859, that the only way to protect childbirth is to protect abortion shows the utter bankruptcy of constitutional analysis deprived of tradition as a validating factor. It drives one to say that the only way to protect the right to eat is to acknowledge the constitutional right to starve oneself to death.</w:t>
      </w:r>
    </w:p>
    <w:p w:rsidR="00A31137" w:rsidRPr="00A31137" w:rsidRDefault="00A31137" w:rsidP="00A31137">
      <w:r w:rsidRPr="00A31137">
        <w:t>1992, Planned Parenthood v. Casey, 505 U.S. 1002</w:t>
      </w:r>
    </w:p>
    <w:p w:rsidR="00A31137" w:rsidRPr="00A31137" w:rsidRDefault="00A31137" w:rsidP="00A31137">
      <w:r w:rsidRPr="00A31137">
        <w:t>2. JUSTICE BLACKMUN's parade of adjectives is similarly empty: abortion is among "the most intimate and personal choices," ante at  923; it is a matter "central to personal dignity and autonomy," ibid.; and it involves "personal decisions that profoundly affect bodily integrity, identity, and destiny," ante at  927. JUSTICE STEVENS is not much less conclusory: the decision to choose abortion is a matter of "the highest privacy and the most personal nature," ante at  915; it involves a "difficult choice having serious and personal consequences of major importance to [a woman's] future," ibid.; the authority to make this "traumatic and yet empowering decisio[n]" is "an element of basic human dignity," ibid.; and it is "nothing less than a matter of conscience," ibid.</w:t>
      </w:r>
    </w:p>
    <w:p w:rsidR="00A31137" w:rsidRPr="00A31137" w:rsidRDefault="00A31137" w:rsidP="00A31137">
      <w:r w:rsidRPr="00A31137">
        <w:t>1992, Planned Parenthood v. Casey, 505 U.S. 1002</w:t>
      </w:r>
    </w:p>
    <w:p w:rsidR="00A31137" w:rsidRPr="00A31137" w:rsidRDefault="00A31137" w:rsidP="00A31137">
      <w:r w:rsidRPr="00A31137">
        <w:t>3. The joint opinion is clearly wrong in asserting, ante at  874, that "the Court's early abortion cases adhered to" he "undue burden" standard. The passing use of that phrase in JUSTICE BLACKMUN's opinion for the Court in Bellotti v. Baird, 428 U.S. 132,  147 (1976) (Bellotti I), was not by way of setting forth the standard of unconstitutionality, as JUSTICE O'CONNOR's later opinions did, but by way of expressing the conclusion of unconstitutionality. Justice Powell for a time appeared to employ a variant of "undue burden" analysis in several nonmajority opinions, see, e.g., Bellotti v. Baird, 443 U.S. 622,  647 (1979) (plurality opinion of Powell, J.) (Bellotti II); Carey v. Population Services International, 431 U.S. 678,  705 (1977) (Powell, J., concurring in part and concurring in judgment), but he too ultimately rejected that standard in his opinion for the Court in Akron v. Akron Center for Reproductive Health, 462 U.S. 416,  420, n. 1 (1983) (Akron I). The joint opinion's reliance on Maher v. Roe, 432 U.S. 464,  473 (1977), and Harris v. McRae, 448 U.S. 297,  314 (1980), is entirely misplaced, since those cases did not involve regulation of abortion, but mere refusal to fund it. In any event, JUSTICE O'CONNOR's earlier formulations have apparently now proved unsatisfactory to the three Justices, who—in the name of stare decisis, no less—today find it necessary to devise an entirely new version of "undue burden" analysis, see ante at 877-879.</w:t>
      </w:r>
    </w:p>
    <w:p w:rsidR="00A31137" w:rsidRPr="00A31137" w:rsidRDefault="00A31137" w:rsidP="00A31137">
      <w:r w:rsidRPr="00A31137">
        <w:t>1992, Planned Parenthood v. Casey, 505 U.S. 1002</w:t>
      </w:r>
    </w:p>
    <w:p w:rsidR="00A31137" w:rsidRPr="00A31137" w:rsidRDefault="00A31137" w:rsidP="00A31137">
      <w:r w:rsidRPr="00A31137">
        <w:t>4. The joint opinion further asserts that a law imposing an undue burden on abortion decisions is not a "permissible" means of serving "legitimate" state interests. Ante at  877. This description of the undue burden standard in terms more commonly associated with the rational basis test will come as a surprise even to those who have followed closely our wanderings in this forsaken wilderness. See, e.g., Akron I, supra, 462 U.S. at  463 (O'CONNOR, J., dissenting) ("The 'undue burden'…represents the required threshold inquiry that must be conducted before this Court can require a State to justify its legislative actions under the exacting 'compelling state interest' standard"); see also Hodgson v. Minnesota, 497 U.S. 417, 458-460 (1990) (O'CONNOR, J., concurring in part and concurring in judgment in part); Thornburgh v. American College of Obstetricians and Gynecologists, 476 U.S. 747,  828 (1986) (O'CONNOR, J., dissenting). This confusing equation of the two standards is apparently designed to explain how one of the Justices who joined the plurality opinion in Webster v. Reproductive Health Services, 492 U.S. 490 (1989), which adopted the rational basis test, could join an opinion expressly adopting the undue burden test. See id. at  520 (rejecting the view that abortion is a "fundamental right," instead inquiring whether a law regulating the woman's "liberty interest" in abortion is "reasonably designed" to further "legitimate" state ends). The same motive also apparently underlies the joint opinion's erroneous citation of the plurality opinion in Ohio v. Akron Center for Reproductive Health, 497 U.S. 502, 506 (1990) (Akron II) (opinion of KENNEDY, J.), as applying the undue burden test. See ante at  876 (using this citation to support the proposition that "two of us"—i.e., two of the authors of the joint opinion—have previously applied this test). In fact, Akron II does not mention the undue burden standard until the conclusion of the opinion, when it states that the statute at issue "does not impose an undue, or otherwise unconstitutional, burden." 497 U.S. at 519 (emphasis added). I fail to see how anyone can think that saying a statute does not impose an unconstitutional burden under any standard, including the undue burden test, amounts to adopting the undue burden test as the exclusive standard. The Court's citation of Hodgson as reflecting JUSTICE KENNEDY's and JUSTICE O'CONNOR's "shared premises," ante at  878, is similarly inexplicable, since the word "undue" was never even used in the former's opinion in that case. I joined JUSTICE KENNEDY's opinions in both Hodgson and Akron II; I should be grateful, I suppose, that the joint opinion does not claim that I, too, have adopted the undue burden test.</w:t>
      </w:r>
    </w:p>
    <w:p w:rsidR="00A31137" w:rsidRPr="00A31137" w:rsidRDefault="00A31137" w:rsidP="00A31137">
      <w:r w:rsidRPr="00A31137">
        <w:t>1992, Planned Parenthood v. Casey, 505 U.S. 1002</w:t>
      </w:r>
    </w:p>
    <w:p w:rsidR="00A31137" w:rsidRPr="00A31137" w:rsidRDefault="00A31137" w:rsidP="00A31137">
      <w:r w:rsidRPr="00A31137">
        <w:t>5. Of course, JUSTICE O'CONNOR was correct in her former view. The arbitrariness of the viability line is confirmed by the Court's inability to offer any justification for it beyond the conclusory assertion that it is only at that point that the unborn child's life "can in reason and all fairness" be thought to override the interests of the mother, ante at  878. Precisely why is it that, at the magical second when machines currently in use (though not necessarily available to the particular woman) are able to keep an unborn child alive apart from its mother, the creature is suddenly able (under our Constitution) to be protected by law, whereas, before that magical second, it was not? That makes no more sense than according infants legal protection only after the point when they can feed themselves.</w:t>
      </w:r>
    </w:p>
    <w:p w:rsidR="00A31137" w:rsidRPr="00A31137" w:rsidRDefault="00A31137" w:rsidP="00A31137">
      <w:r w:rsidRPr="00A31137">
        <w:t>1992, Planned Parenthood v. Casey, 505 U.S. 1002</w:t>
      </w:r>
    </w:p>
    <w:p w:rsidR="00A31137" w:rsidRPr="00A31137" w:rsidRDefault="00A31137" w:rsidP="00A31137">
      <w:r w:rsidRPr="00A31137">
        <w:t>6. The joint opinion is not entirely faithful to this principle, however. In approving the District Court's factual findings with respect to the spousal notice provision, it relies extensively on nonrecord materials, and, in reliance upon them, adds a number of factual conclusions of its own. Ante at 891-893. Because this additional factfinding pertains to matters that surely are "subject to reasonable dispute," Fed.Rule Evid. 201(b), the joint opinion must be operating on the premise that these are "legislative," rather than "adjudicative," facts, see Rule 201(a). But if a court can find an undue burden simply by selectively string-citing the right social science articles, I do not see the point of emphasizing or requiring "detailed factual findings" in the District Court.</w:t>
      </w:r>
    </w:p>
    <w:p w:rsidR="00A31137" w:rsidRPr="00A31137" w:rsidRDefault="00A31137" w:rsidP="00A31137">
      <w:r w:rsidRPr="00A31137">
        <w:t>1992, Planned Parenthood v. Casey, 505 U.S. 1002</w:t>
      </w:r>
    </w:p>
    <w:p w:rsidR="00A31137" w:rsidRPr="00A31137" w:rsidRDefault="00A31137" w:rsidP="00A31137">
      <w:r w:rsidRPr="00A31137">
        <w:t>7. JUSTICE BLACKMUN's effort to preserve as much of Roe as possible leads him to read the joint opinion as more "constan[t]" and "steadfast" than can be believed. He contends that the joint opinion's "undue burden" standard requires the application of strict scrutiny to "all non-de minimis" abortion regulations, ante at  926, but that could only be true if a "substantial obstacle," ante at  877 (joint opinion), were the same thing as a non-de minimis obstacle—which it plainly is not.</w:t>
      </w:r>
    </w:p>
    <w:p w:rsidR="00A31137" w:rsidRPr="00A31137" w:rsidRDefault="00A31137" w:rsidP="00A31137">
      <w:r w:rsidRPr="00A31137">
        <w:t>Lucas v. So. Carolina Coastal Council, 1992</w:t>
      </w:r>
    </w:p>
    <w:p w:rsidR="00A31137" w:rsidRPr="00A31137" w:rsidRDefault="00A31137" w:rsidP="00A31137">
      <w:r w:rsidRPr="00A31137">
        <w:t>Title:</w:t>
      </w:r>
      <w:r w:rsidRPr="00A31137">
        <w:tab/>
        <w:t>Lucas v. South Carolina Coastal Council</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29, 1992</w:t>
      </w:r>
    </w:p>
    <w:p w:rsidR="00A31137" w:rsidRPr="00A31137" w:rsidRDefault="00A31137" w:rsidP="00A31137">
      <w:r w:rsidRPr="00A31137">
        <w:t>Source:</w:t>
      </w:r>
      <w:r w:rsidRPr="00A31137">
        <w:tab/>
        <w:t>505 U.S. 1003</w:t>
      </w:r>
    </w:p>
    <w:p w:rsidR="00A31137" w:rsidRPr="00A31137" w:rsidRDefault="00A31137" w:rsidP="00A31137">
      <w:r w:rsidRPr="00A31137">
        <w:t>This case was argued March 2, 1992, and was decided June 29, 1992.</w:t>
      </w:r>
    </w:p>
    <w:p w:rsidR="00A31137" w:rsidRPr="00A31137" w:rsidRDefault="00A31137" w:rsidP="00A31137">
      <w:r w:rsidRPr="00A31137">
        <w:t>CERTIORARI TO THE SUPREME COURT OF SOUTH CAROLINA</w:t>
      </w:r>
    </w:p>
    <w:p w:rsidR="00A31137" w:rsidRPr="00A31137" w:rsidRDefault="00A31137" w:rsidP="00A31137">
      <w:r w:rsidRPr="00A31137">
        <w:t>Syllabus</w:t>
      </w:r>
    </w:p>
    <w:p w:rsidR="00A31137" w:rsidRPr="00A31137" w:rsidRDefault="00A31137" w:rsidP="00A31137">
      <w:r w:rsidRPr="00A31137">
        <w:t>1992, Lucas v. So. Carolina Coastal Council, 505 U.S. 1003</w:t>
      </w:r>
    </w:p>
    <w:p w:rsidR="00A31137" w:rsidRPr="00A31137" w:rsidRDefault="00A31137" w:rsidP="00A31137">
      <w:r w:rsidRPr="00A31137">
        <w:t>In 1986, petitioner Lucas bought two residential lots on a South Carolina barrier island, intending to build single-family homes such as those on the immediately adjacent parcels. At that time, Lucas' lots were not subject to the State's coastal zone building permit requirements. In 1988, however, the state legislature enacted the Beachfront Management Act, which barred Lucas from erecting any permanent habitable structures on his parcels. He filed suit against respondent state agency, contending that, even though the Act may have been a lawful exercise of the State's police power, the ban on construction deprived him of all "economically viable use" of his property, and therefore effected a "taking" under the Fifth and Fourteenth Amendments that required the payment of just compensation. See, e.g., Agins v. Tiburon, 447 U.S. 255,  261. The state trial court agreed, finding that the ban rendered Lucas' parcels "valueless," and entered an award exceeding $1.2 million. In reversing, the State Supreme Court held itself bound, in light of Lucas' failure to attack the Act's validity, to accept the legislature's "uncontested…findings" that new construction in the coastal zone threatened a valuable public resource. The court ruled that, under the Mugler v. Kansas, 123 U.S. 623, line of cases, when a regulation is designed to prevent "harmful or noxious uses" of property akin to public nuisances, no compensation is owing under the Takings Clause regardless of the regulation's effect on the property's value.</w:t>
      </w:r>
    </w:p>
    <w:p w:rsidR="00A31137" w:rsidRPr="00A31137" w:rsidRDefault="00A31137" w:rsidP="00A31137">
      <w:r w:rsidRPr="00A31137">
        <w:t>1992, Lucas v. So. Carolina Coastal Council, 505 U.S. 1003</w:t>
      </w:r>
    </w:p>
    <w:p w:rsidR="00A31137" w:rsidRPr="00A31137" w:rsidRDefault="00A31137" w:rsidP="00A31137">
      <w:r w:rsidRPr="00A31137">
        <w:t>Held:</w:t>
      </w:r>
    </w:p>
    <w:p w:rsidR="00A31137" w:rsidRPr="00A31137" w:rsidRDefault="00A31137" w:rsidP="00A31137">
      <w:r w:rsidRPr="00A31137">
        <w:t>1992, Lucas v. So. Carolina Coastal Council, 505 U.S. 1003</w:t>
      </w:r>
    </w:p>
    <w:p w:rsidR="00A31137" w:rsidRPr="00A31137" w:rsidRDefault="00A31137" w:rsidP="00A31137">
      <w:r w:rsidRPr="00A31137">
        <w:t xml:space="preserve">1. Lucas' takings claim is not rendered unripe by the fact that he may yet be able to secure a special permit to build on his property under an amendment to the Act passed after briefing and argument before the State Supreme Court, but prior to issuance of that court's opinion. Because it declined to rest its judgment on ripeness grounds, preferring to dispose of the case on the merits, the latter court's decision precludes, both practically and legally, any takings claim with respect to Lucas' preamendment deprivation. Lucas has properly alleged injury-in-fact with respect to this preamendment deprivation, and it would not accord with sound process in these circumstances to insist that he pursue the late-created procedure before that component of his takings claim can be considered ripe. Pp.  1010-1014. [505 U.S. 1004] </w:t>
      </w:r>
    </w:p>
    <w:p w:rsidR="00A31137" w:rsidRPr="00A31137" w:rsidRDefault="00A31137" w:rsidP="00A31137">
      <w:r w:rsidRPr="00A31137">
        <w:t>1992, Lucas v. So. Carolina Coastal Council, 505 U.S. 1004</w:t>
      </w:r>
    </w:p>
    <w:p w:rsidR="00A31137" w:rsidRPr="00A31137" w:rsidRDefault="00A31137" w:rsidP="00A31137">
      <w:r w:rsidRPr="00A31137">
        <w:t>2. The State Supreme Court erred in applying the "harmful or noxious uses" principle to decide this case. Pp.  1014-1032.</w:t>
      </w:r>
    </w:p>
    <w:p w:rsidR="00A31137" w:rsidRPr="00A31137" w:rsidRDefault="00A31137" w:rsidP="00A31137">
      <w:r w:rsidRPr="00A31137">
        <w:t>1992, Lucas v. So. Carolina Coastal Council, 505 U.S. 1004</w:t>
      </w:r>
    </w:p>
    <w:p w:rsidR="00A31137" w:rsidRPr="00A31137" w:rsidRDefault="00A31137" w:rsidP="00A31137">
      <w:r w:rsidRPr="00A31137">
        <w:t>(a) Regulations that deny the property owner all "economically viable use of his land" constitute one of the discrete categories of regulatory deprivations that require compensation without the usual case-specific inquiry into the public interest advanced in support of the restraint. Although the Court has never set forth the justification for this categorical rule, the practical—and economic—equivalence of physically appropriating and eliminating all beneficial use of land counsels its preservation. Pp.  1014-1019.</w:t>
      </w:r>
    </w:p>
    <w:p w:rsidR="00A31137" w:rsidRPr="00A31137" w:rsidRDefault="00A31137" w:rsidP="00A31137">
      <w:r w:rsidRPr="00A31137">
        <w:t>1992, Lucas v. So. Carolina Coastal Council, 505 U.S. 1004</w:t>
      </w:r>
    </w:p>
    <w:p w:rsidR="00A31137" w:rsidRPr="00A31137" w:rsidRDefault="00A31137" w:rsidP="00A31137">
      <w:r w:rsidRPr="00A31137">
        <w:t>(b) A review of the relevant decisions demonstrates that the "harmful or noxious use" principle was merely this Court's early formulation of the police power justification necessary to sustain (without compensation) any regulatory diminution in value; that the distinction between regulation that "prevents harmful use" and that which "confers benefits" is difficult, if not impossible, to discern on an objective, value-free basis; and that, therefore, noxious-use logic cannot be the basis for departing from this Court's categorical rule that total regulatory takings must be compensated. Pp.  1020-1026.</w:t>
      </w:r>
    </w:p>
    <w:p w:rsidR="00A31137" w:rsidRPr="00A31137" w:rsidRDefault="00A31137" w:rsidP="00A31137">
      <w:r w:rsidRPr="00A31137">
        <w:t>1992, Lucas v. So. Carolina Coastal Council, 505 U.S. 1004</w:t>
      </w:r>
    </w:p>
    <w:p w:rsidR="00A31137" w:rsidRPr="00A31137" w:rsidRDefault="00A31137" w:rsidP="00A31137">
      <w:r w:rsidRPr="00A31137">
        <w:t>(c) Rather, the question must turn, in accord with this Court's "takings" jurisprudence, on citizens' historic understandings regarding the content of, and the State's power over, the "bundle of rights" that they acquire when they take title to property. Because it is not consistent with the historical compact embodied in the Takings Clause that title to real estate is held subject to the State's subsequent decision to eliminate all economically beneficial use, a regulation having that effect cannot be newly decreed, and sustained, without compensation's being paid the owner. However, no compensation is owed—in this setting as with all takings claims—if the State's affirmative decree simply makes explicit what already inheres in the title itself, in the restrictions that background principles of the State's law of property and nuisance already place upon land ownership. Cf. Scranton v. Wheeler, 179 U.S. 141, 163. Pp.  1027-1031.</w:t>
      </w:r>
    </w:p>
    <w:p w:rsidR="00A31137" w:rsidRPr="00A31137" w:rsidRDefault="00A31137" w:rsidP="00A31137">
      <w:r w:rsidRPr="00A31137">
        <w:t>1992, Lucas v. So. Carolina Coastal Council, 505 U.S. 1004</w:t>
      </w:r>
    </w:p>
    <w:p w:rsidR="00A31137" w:rsidRPr="00A31137" w:rsidRDefault="00A31137" w:rsidP="00A31137">
      <w:r w:rsidRPr="00A31137">
        <w:t>(d) Although it seems unlikely that common law principles would have prevented the erection of any habitable or productive improvements on Lucas' land, this state law question must be dealt with on remand. To win its case, respondent cannot simply proffer the legislature's declaration that the uses Lucas desires are inconsistent with the public interest, or the conclusory assertion that they violate a common law maxim such as sic utere tuo ut alienum non laedas, but must identify background principles of nuisance and property law that prohibit the uses Lucas now intends in the property's present circumstances. P.  1031.</w:t>
      </w:r>
    </w:p>
    <w:p w:rsidR="00A31137" w:rsidRPr="00A31137" w:rsidRDefault="00A31137" w:rsidP="00A31137">
      <w:r w:rsidRPr="00A31137">
        <w:t>1992, Lucas v. So. Carolina Coastal Council, 505 U.S. 1004</w:t>
      </w:r>
    </w:p>
    <w:p w:rsidR="00A31137" w:rsidRPr="00A31137" w:rsidRDefault="00A31137" w:rsidP="00A31137">
      <w:r w:rsidRPr="00A31137">
        <w:t xml:space="preserve">304 S.C. 376, 404 S.E.2d 895 (1991), reversed and remanded. [505 U.S. 1005] </w:t>
      </w:r>
    </w:p>
    <w:p w:rsidR="00A31137" w:rsidRPr="00A31137" w:rsidRDefault="00A31137" w:rsidP="00A31137">
      <w:r w:rsidRPr="00A31137">
        <w:t>1992, Lucas v. So. Carolina Coastal Council, 505 U.S. 1005</w:t>
      </w:r>
    </w:p>
    <w:p w:rsidR="00A31137" w:rsidRPr="00A31137" w:rsidRDefault="00A31137" w:rsidP="00A31137">
      <w:r w:rsidRPr="00A31137">
        <w:t xml:space="preserve">SCALIA, J., delivered the opinion of the Court, in which REHNQUIST, C.J., and WHITE, O'CONNOR, and THOMAS, JJ., joined. KENNEDY, J., filed an opinion concurring in the judgment, post, p.  1032. BLACKMUN J., post, p.  1036, and STEVENS, J., post, p.  1061, filed dissenting opinions. SOUTER, J., filed a separate statement, post, p.  1076. [505 U.S. 1006] </w:t>
      </w:r>
    </w:p>
    <w:p w:rsidR="00A31137" w:rsidRPr="00A31137" w:rsidRDefault="00A31137" w:rsidP="00A31137">
      <w:r w:rsidRPr="00A31137">
        <w:t>SCALIA, J., lead opinion</w:t>
      </w:r>
    </w:p>
    <w:p w:rsidR="00A31137" w:rsidRPr="00A31137" w:rsidRDefault="00A31137" w:rsidP="00A31137">
      <w:r w:rsidRPr="00A31137">
        <w:t>1992, Lucas v. So. Carolina Coastal Council, 505 U.S. 1006</w:t>
      </w:r>
    </w:p>
    <w:p w:rsidR="00A31137" w:rsidRPr="00A31137" w:rsidRDefault="00A31137" w:rsidP="00A31137">
      <w:r w:rsidRPr="00A31137">
        <w:t>JUSTICE SCALIA delivered the opinion of the Court.</w:t>
      </w:r>
    </w:p>
    <w:p w:rsidR="00A31137" w:rsidRPr="00A31137" w:rsidRDefault="00A31137" w:rsidP="00A31137">
      <w:r w:rsidRPr="00A31137">
        <w:t>1992, Lucas v. So. Carolina Coastal Council, 505 U.S. 1006</w:t>
      </w:r>
    </w:p>
    <w:p w:rsidR="00A31137" w:rsidRPr="00A31137" w:rsidRDefault="00A31137" w:rsidP="00A31137">
      <w:r w:rsidRPr="00A31137">
        <w:t>In 1986, petitioner David H. Lucas paid $975,000 for two residential lots on the Isle of Palms in Charleston County, [505 U.S. 1007] South Carolina, on which he intended to build single-family homes. In 1988, however, the South Carolina Legislature enacted the Beachfront Management Act, S.C.Code § 48-39250 et seq. (Supp.1990) (Act), which had the direct effect of barring petitioner from erecting any permanent habitable structures on his two parcels. See § 48-39-290(A). A state trial court found that this prohibition rendered Lucas' parcels "valueless." App. to Pet. for Cert. 37. This case requires us to decide whether the Act's dramatic effect on the economic value of Lucas' lots accomplished a taking of private property under the Fifth and Fourteenth Amendments requiring the payment of "just compensation." U.S.Const., Amdt. 5.</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1992, Lucas v. So. Carolina Coastal Council, 505 U.S. 1007</w:t>
      </w:r>
    </w:p>
    <w:p w:rsidR="00A31137" w:rsidRPr="00A31137" w:rsidRDefault="00A31137" w:rsidP="00A31137">
      <w:r w:rsidRPr="00A31137">
        <w:t>South Carolina's expressed interest in intensively managing development activities in the so-called "coastal zone" dates from 1977 when, in the aftermath of Congress's passage of the federal Coastal Zone Management Act of 1972, 86 Stat. 1280, as amended, 16 U.S.C. § 1451 et seq., the legislature enacted a Coastal Zone Management Act of its own. See S.C.Code § 4839-10 et seq. (1987). In its original form, the South Carolina Act required owners of coastal zone land that qualified as a "critical area" (defined in the legislation to include beaches and immediately adjacent sand dunes, [505 U.S. 1008] § 439-10(J)) to obtain a permit from the newly created South Carolina Coastal Council (respondent here) prior to committing the land to a "use other than the use the critical area was devoted to on [September 28, 1977]." § 48-39-130(A).</w:t>
      </w:r>
    </w:p>
    <w:p w:rsidR="00A31137" w:rsidRPr="00A31137" w:rsidRDefault="00A31137" w:rsidP="00A31137">
      <w:r w:rsidRPr="00A31137">
        <w:t>1992, Lucas v. So. Carolina Coastal Council, 505 U.S. 1008</w:t>
      </w:r>
    </w:p>
    <w:p w:rsidR="00A31137" w:rsidRPr="00A31137" w:rsidRDefault="00A31137" w:rsidP="00A31137">
      <w:r w:rsidRPr="00A31137">
        <w:t>In the late 1970's, Lucas and others began extensive residential development of the Isle of Palms, a barrier island situated eastward of the City of Charleston. Toward the close of the development cycle for one residential subdivision known as "Beachwood East," Lucas, in 1986, purchased the two lots at issue in this litigation for his own account. No portion of the lots, which were located approximately 300 feet from the beach, qualified as a "critical area" under the 1977 Act; accordingly, at the time Lucas acquired these parcels, he was not legally obliged to obtain a permit from the Council in advance of any development activity. His intention with respect to the lots was to do what the owners of the immediately adjacent parcels had already done: erect single-family residences. He commissioned architectural drawings for this purpose.</w:t>
      </w:r>
    </w:p>
    <w:p w:rsidR="00A31137" w:rsidRPr="00A31137" w:rsidRDefault="00A31137" w:rsidP="00A31137">
      <w:r w:rsidRPr="00A31137">
        <w:t>1992, Lucas v. So. Carolina Coastal Council, 505 U.S. 1008</w:t>
      </w:r>
    </w:p>
    <w:p w:rsidR="00A31137" w:rsidRPr="00A31137" w:rsidRDefault="00A31137" w:rsidP="00A31137">
      <w:r w:rsidRPr="00A31137">
        <w:t>The Beachfront Management Act brought Lucas' plans to an abrupt end. Under that 1988 legislation, the Council was directed to establish a "baseline" connecting the landward-most "point[s] of erosion…during the past forty years" in the region of the Isle of Palms that includes Lucas' lots. § 48-39-280(A)(2) (Supp.1988). 1 In action not challenged here, the Council fixed this baseline landward of Lucas' parcels. That was significant, for under the Act, [505 U.S. 1009] construction of occupiable improvements 2 was flatly prohibited seaward of a line drawn 20 feet landward of, and parallel to, the baseline, § 48-39290(A) (Supp.1988). The Act provided no exceptions.</w:t>
      </w:r>
    </w:p>
    <w:p w:rsidR="00A31137" w:rsidRPr="00A31137" w:rsidRDefault="00A31137" w:rsidP="00A31137">
      <w:r w:rsidRPr="00A31137">
        <w:t>B</w:t>
      </w:r>
    </w:p>
    <w:p w:rsidR="00A31137" w:rsidRPr="00A31137" w:rsidRDefault="00A31137" w:rsidP="00A31137">
      <w:r w:rsidRPr="00A31137">
        <w:t>1992, Lucas v. So. Carolina Coastal Council, 505 U.S. 1009</w:t>
      </w:r>
    </w:p>
    <w:p w:rsidR="00A31137" w:rsidRPr="00A31137" w:rsidRDefault="00A31137" w:rsidP="00A31137">
      <w:r w:rsidRPr="00A31137">
        <w:t>Lucas promptly filed suit in the South Carolina Court of Common Pleas, contending that the Beachfront Management Act's construction bar effected a taking of his property without just compensation. Lucas did not take issue with the validity of the Act as a lawful exercise of South Carolina's police power, but contended that the Act's complete extinguishment of his property's value entitled him to compensation regardless of whether the legislature had acted in furtherance of legitimate police power objectives. Following a bench trial, the court agreed. Among its factual determinations was the finding that,</w:t>
      </w:r>
    </w:p>
    <w:p w:rsidR="00A31137" w:rsidRPr="00A31137" w:rsidRDefault="00A31137" w:rsidP="00A31137">
      <w:r w:rsidRPr="00A31137">
        <w:t>1992, Lucas v. So. Carolina Coastal Council, 505 U.S. 1009</w:t>
      </w:r>
    </w:p>
    <w:p w:rsidR="00A31137" w:rsidRPr="00A31137" w:rsidRDefault="00A31137" w:rsidP="00A31137">
      <w:r w:rsidRPr="00A31137">
        <w:t>at the time Lucas purchased the two lots, both were zoned for single-family residential construction and…there were no restrictions imposed upon such use of the property by either the State of South Carolina, the County of Charleston, or the Town of the Isle of Palms.</w:t>
      </w:r>
    </w:p>
    <w:p w:rsidR="00A31137" w:rsidRPr="00A31137" w:rsidRDefault="00A31137" w:rsidP="00A31137">
      <w:r w:rsidRPr="00A31137">
        <w:t>1992, Lucas v. So. Carolina Coastal Council, 505 U.S. 1009</w:t>
      </w:r>
    </w:p>
    <w:p w:rsidR="00A31137" w:rsidRPr="00A31137" w:rsidRDefault="00A31137" w:rsidP="00A31137">
      <w:r w:rsidRPr="00A31137">
        <w:t>App. to Pet. for Cert. 36. The trial court further found that the Beachfront Management Act decreed a permanent ban on construction insofar as Lucas' lots were concerned, and that this prohibition</w:t>
      </w:r>
    </w:p>
    <w:p w:rsidR="00A31137" w:rsidRPr="00A31137" w:rsidRDefault="00A31137" w:rsidP="00A31137">
      <w:r w:rsidRPr="00A31137">
        <w:t>1992, Lucas v. So. Carolina Coastal Council, 505 U.S. 1009</w:t>
      </w:r>
    </w:p>
    <w:p w:rsidR="00A31137" w:rsidRPr="00A31137" w:rsidRDefault="00A31137" w:rsidP="00A31137">
      <w:r w:rsidRPr="00A31137">
        <w:t>deprive[d] Lucas of any reasonable economic use of the lots,…eliminated the unrestricted right of use, and render[ed] them valueless.</w:t>
      </w:r>
    </w:p>
    <w:p w:rsidR="00A31137" w:rsidRPr="00A31137" w:rsidRDefault="00A31137" w:rsidP="00A31137">
      <w:r w:rsidRPr="00A31137">
        <w:t>1992, Lucas v. So. Carolina Coastal Council, 505 U.S. 1009</w:t>
      </w:r>
    </w:p>
    <w:p w:rsidR="00A31137" w:rsidRPr="00A31137" w:rsidRDefault="00A31137" w:rsidP="00A31137">
      <w:r w:rsidRPr="00A31137">
        <w:t>Id. at 37. The court thus concluded that Lucas' properties had been "taken" by operation of the Act, and it ordered respondent to pay "just compensation" in the amount of $1,232,387.50. Id. at 40.</w:t>
      </w:r>
    </w:p>
    <w:p w:rsidR="00A31137" w:rsidRPr="00A31137" w:rsidRDefault="00A31137" w:rsidP="00A31137">
      <w:r w:rsidRPr="00A31137">
        <w:t>1992, Lucas v. So. Carolina Coastal Council, 505 U.S. 1009</w:t>
      </w:r>
    </w:p>
    <w:p w:rsidR="00A31137" w:rsidRPr="00A31137" w:rsidRDefault="00A31137" w:rsidP="00A31137">
      <w:r w:rsidRPr="00A31137">
        <w:t>The Supreme Court of South Carolina reversed. It found dispositive what it described as Lucas' concession "that the [505 U.S. 1010] Beachfront Management Act [was] properly and validly designed to preserve…South Carolina's beaches." 304 S.C. 376, 379, 404 S.E.2d 895, 896 (1991). Failing an attack on the validity of the statute as such, the court believed itself bound to accept the "uncontested…findings" of the South Carolina legislature that new construction in the coastal zone—such as petitioner intended—threatened this public resource. Id. at 383, 404 S.E.2d at 898. The Court ruled that, when a regulation respecting the use of property is designed "to prevent serious public harm," id. at 383, 404 S.E.2d at 899 (citing, inter alia, Mugler v. Kansas, 123 U.S. 623 (1887)), no compensation is owing under the Takings Clause regardless of the regulation's effect on the property's value.</w:t>
      </w:r>
    </w:p>
    <w:p w:rsidR="00A31137" w:rsidRPr="00A31137" w:rsidRDefault="00A31137" w:rsidP="00A31137">
      <w:r w:rsidRPr="00A31137">
        <w:t>1992, Lucas v. So. Carolina Coastal Council, 505 U.S. 1010</w:t>
      </w:r>
    </w:p>
    <w:p w:rsidR="00A31137" w:rsidRPr="00A31137" w:rsidRDefault="00A31137" w:rsidP="00A31137">
      <w:r w:rsidRPr="00A31137">
        <w:t>Two justices dissented. They acknowledged that our Mugler line of cases recognizes governmental power to prohibit "noxious" uses of property—i.e., uses of property akin to "public nuisances"—without having to pay compensation. But they would not have characterized the Beachfront Management Act's "primary purpose [as] the prevention of a nuisance." 304 S.C. at 395, 404 S.E.2d at 906 (Harwell, J., dissenting). To the dissenters, the chief purposes of the legislation, among them the promotion of tourism and the creation of a "habitat for indigenous flora and fauna," could not fairly be compared to nuisance abatement. Id. at 396, 404 S.E.2d at 906. As a consequence, they would have affirmed the trial court's conclusion that the Act's obliteration of the value of petitioner's lots accomplished a taking.</w:t>
      </w:r>
    </w:p>
    <w:p w:rsidR="00A31137" w:rsidRPr="00A31137" w:rsidRDefault="00A31137" w:rsidP="00A31137">
      <w:r w:rsidRPr="00A31137">
        <w:t>1992, Lucas v. So. Carolina Coastal Council, 505 U.S. 1010</w:t>
      </w:r>
    </w:p>
    <w:p w:rsidR="00A31137" w:rsidRPr="00A31137" w:rsidRDefault="00A31137" w:rsidP="00A31137">
      <w:r w:rsidRPr="00A31137">
        <w:t>We granted certiorari. 502 U.S. 966 (1991).</w:t>
      </w:r>
    </w:p>
    <w:p w:rsidR="00A31137" w:rsidRPr="00A31137" w:rsidRDefault="00A31137" w:rsidP="00A31137">
      <w:r w:rsidRPr="00A31137">
        <w:t>II</w:t>
      </w:r>
    </w:p>
    <w:p w:rsidR="00A31137" w:rsidRPr="00A31137" w:rsidRDefault="00A31137" w:rsidP="00A31137">
      <w:r w:rsidRPr="00A31137">
        <w:t>1992, Lucas v. So. Carolina Coastal Council, 505 U.S. 1010</w:t>
      </w:r>
    </w:p>
    <w:p w:rsidR="00A31137" w:rsidRPr="00A31137" w:rsidRDefault="00A31137" w:rsidP="00A31137">
      <w:r w:rsidRPr="00A31137">
        <w:t>As a threshold matter, we must briefly address the Council's suggestion that this case is inappropriate for plenary review. After briefing and argument before the South Carolina Supreme Court, but prior to issuance of that court's opinion, the Beachfront Management Act was amended to [505 U.S. 1011] authorize the Council, in certain circumstances, to issue "special permits" for the construction or reconstruction of habitable structures seaward of the baseline. See S.C.Code § 48-39-290(D)(1) (Supp.1991). According to the Council, this amendment renders Lucas' claim of a permanent deprivation unripe, as Lucas may yet be able to secure permission to build on his property. "[The Court's] cases," we are reminded,</w:t>
      </w:r>
    </w:p>
    <w:p w:rsidR="00A31137" w:rsidRPr="00A31137" w:rsidRDefault="00A31137" w:rsidP="00A31137">
      <w:r w:rsidRPr="00A31137">
        <w:t>1992, Lucas v. So. Carolina Coastal Council, 505 U.S. 1011</w:t>
      </w:r>
    </w:p>
    <w:p w:rsidR="00A31137" w:rsidRPr="00A31137" w:rsidRDefault="00A31137" w:rsidP="00A31137">
      <w:r w:rsidRPr="00A31137">
        <w:t>uniformly reflect an insistence on knowing the nature and extent of permitted development before adjudicating the constitutionality of the regulations that purport to limit it.</w:t>
      </w:r>
    </w:p>
    <w:p w:rsidR="00A31137" w:rsidRPr="00A31137" w:rsidRDefault="00A31137" w:rsidP="00A31137">
      <w:r w:rsidRPr="00A31137">
        <w:t>1992, Lucas v. So. Carolina Coastal Council, 505 U.S. 1011</w:t>
      </w:r>
    </w:p>
    <w:p w:rsidR="00A31137" w:rsidRPr="00A31137" w:rsidRDefault="00A31137" w:rsidP="00A31137">
      <w:r w:rsidRPr="00A31137">
        <w:t>MacDonald, Sommer &amp; Frates v. County of Yolo, 477 U.S. 340, 351 (1986). See also Agins v. Tiburon, 447 U.S. 255,  260 (1980). Because petitioner "has not yet obtained a final decision regarding how [he] will be allowed to develop [his] property," Williamson County Regional Planning Comm'n of Johnson City v. Hamilton Bank, 473 U.S. 172, 190 (1985), the Council argues that he is not yet entitled to definitive adjudication of his takings claim in this Court.</w:t>
      </w:r>
    </w:p>
    <w:p w:rsidR="00A31137" w:rsidRPr="00A31137" w:rsidRDefault="00A31137" w:rsidP="00A31137">
      <w:r w:rsidRPr="00A31137">
        <w:t>1992, Lucas v. So. Carolina Coastal Council, 505 U.S. 1011</w:t>
      </w:r>
    </w:p>
    <w:p w:rsidR="00A31137" w:rsidRPr="00A31137" w:rsidRDefault="00A31137" w:rsidP="00A31137">
      <w:r w:rsidRPr="00A31137">
        <w:t>We think these considerations would preclude review had the South Carolina Supreme Court rested its judgment on ripeness grounds, as it was (essentially) invited to do by the Council, see Brief for Respondent 9, n. 3. The South Carolina Supreme Court shrugged off the possibility of further administrative and trial proceedings, however, preferring to dispose of Lucas' takings claim on the merits. Compare, e.g., San Diego Gas &amp; Electric Co. v. City of San Diego, 450 U.S. 621, 631-632 (1981). This unusual disposition does not preclude Lucas from applying for a permit under the 1990 amendment for future construction, and challenging, on takings grounds, any denial. But it does preclude, both practically and legally, any takings claim with respect to Lucas' past deprivation, i.e., for his having been denied construction rights during the period before the 1990 amendment. See generally First English Evangelical Lutheran Church of Glendale v. County of Los Angeles, 482 U.S. 304 (1987) (holding that [505 U.S. 1012] temporary deprivations of use are compensable under the Takings Clause). Without even so much as commenting upon the consequences of the South Carolina Supreme Court's judgment in this respect, the Council insists that permitting Lucas to press his claim of a past deprivation on this appeal would be improper, since "the issues of whether and to what extent [Lucas] has incurred a temporary taking…have simply never been addressed." Brief for Respondent 11. Yet Lucas had no reason to proceed on a "temporary taking" theory at trial, or even to seek remand for that purpose prior to submission of the case to the South Carolina Supreme Court, since, as the Act then read, the taking was unconditional and permanent. Moreover, given the breadth of the South Carolina Supreme Court's holding and judgment, Lucas would plainly be unable (absent our intervention now) to obtain further state court adjudication with respect to the 1988-1990 period.</w:t>
      </w:r>
    </w:p>
    <w:p w:rsidR="00A31137" w:rsidRPr="00A31137" w:rsidRDefault="00A31137" w:rsidP="00A31137">
      <w:r w:rsidRPr="00A31137">
        <w:t>1992, Lucas v. So. Carolina Coastal Council, 505 U.S. 1012</w:t>
      </w:r>
    </w:p>
    <w:p w:rsidR="00A31137" w:rsidRPr="00A31137" w:rsidRDefault="00A31137" w:rsidP="00A31137">
      <w:r w:rsidRPr="00A31137">
        <w:t>In these circumstances, we think it would not accord with sound process to insist that Lucas pursue the late-created "special permit" procedure before his takings claim can be considered ripe. Lucas has properly alleged Article III injury-in-fact in this case, with respect to both the pre-1990 and post-1990 constraints placed on the use of his parcels by the Beachfront Management Act. 3 That there is a discretionary [505 U.S. 1013] "special permit" procedure by which he may regain—for the future, at least—beneficial use of his land goes only to the prudential "ripeness" of Lucas' challenge, and for the reasons discussed, we do not think it prudent to apply that prudential requirement here. See Esposito v. South Carolina Coastal Council, 939 F.2d 165, 168 (CA4 1991), cert. pending, No. 91-941. 4 We leave for decision on remand, of course, the questions left unaddressed by the South [505 U.S. 1014] Carolina Supreme Court as a consequence of its categorical disposition. 5</w:t>
      </w:r>
    </w:p>
    <w:p w:rsidR="00A31137" w:rsidRPr="00A31137" w:rsidRDefault="00A31137" w:rsidP="00A31137">
      <w:r w:rsidRPr="00A31137">
        <w:t>III</w:t>
      </w:r>
    </w:p>
    <w:p w:rsidR="00A31137" w:rsidRPr="00A31137" w:rsidRDefault="00A31137" w:rsidP="00A31137">
      <w:r w:rsidRPr="00A31137">
        <w:t>A</w:t>
      </w:r>
    </w:p>
    <w:p w:rsidR="00A31137" w:rsidRPr="00A31137" w:rsidRDefault="00A31137" w:rsidP="00A31137">
      <w:r w:rsidRPr="00A31137">
        <w:t>1992, Lucas v. So. Carolina Coastal Council, 505 U.S. 1014</w:t>
      </w:r>
    </w:p>
    <w:p w:rsidR="00A31137" w:rsidRPr="00A31137" w:rsidRDefault="00A31137" w:rsidP="00A31137">
      <w:r w:rsidRPr="00A31137">
        <w:t>Prior to Justice Holmes' exposition in Pennsylvania Coal Co. v. Mahon, 260 U.S. 393 (1922), it was generally thought that the Takings Clause reached only a "direct appropriation" of property, Legal Tender Cases, 12 Wall. 457, 551 (1871), or the functional equivalent of a "practical ouster of [the owner's] possession." Transportation Co. v. Chicago, 99 U.S. 635, 642 (1879). See also Gibson v. United States, 166 U.S. 269, 275-276 (1897). Justice Holmes recognized in Mahon, however, that, if the protection against physical appropriations of private property was to be meaningfully enforced, the government's power to redefine the range of interests included in the ownership of property was necessarily constrained by constitutional limits. 260 U.S. at 414-415. If, instead, the uses of private property were subject to unbridled, uncompensated qualification under the police power,</w:t>
      </w:r>
    </w:p>
    <w:p w:rsidR="00A31137" w:rsidRPr="00A31137" w:rsidRDefault="00A31137" w:rsidP="00A31137">
      <w:r w:rsidRPr="00A31137">
        <w:t>1992, Lucas v. So. Carolina Coastal Council, 505 U.S. 1014</w:t>
      </w:r>
    </w:p>
    <w:p w:rsidR="00A31137" w:rsidRPr="00A31137" w:rsidRDefault="00A31137" w:rsidP="00A31137">
      <w:r w:rsidRPr="00A31137">
        <w:t>the natural tendency of human nature [would be] to extend the qualification more and more until at last private property disappear[ed].</w:t>
      </w:r>
    </w:p>
    <w:p w:rsidR="00A31137" w:rsidRPr="00A31137" w:rsidRDefault="00A31137" w:rsidP="00A31137">
      <w:r w:rsidRPr="00A31137">
        <w:t>1992, Lucas v. So. Carolina Coastal Council, 505 U.S. 1014</w:t>
      </w:r>
    </w:p>
    <w:p w:rsidR="00A31137" w:rsidRPr="00A31137" w:rsidRDefault="00A31137" w:rsidP="00A31137">
      <w:r w:rsidRPr="00A31137">
        <w:t xml:space="preserve">Id. at  415. These considerations gave birth in that case to the oft-cited maxim that, "while property may be regulated to a certain extent, if regulation goes too far, it will be recognized as a taking." Ibid. [505 U.S. 1015] </w:t>
      </w:r>
    </w:p>
    <w:p w:rsidR="00A31137" w:rsidRPr="00A31137" w:rsidRDefault="00A31137" w:rsidP="00A31137">
      <w:r w:rsidRPr="00A31137">
        <w:t>1992, Lucas v. So. Carolina Coastal Council, 505 U.S. 1015</w:t>
      </w:r>
    </w:p>
    <w:p w:rsidR="00A31137" w:rsidRPr="00A31137" w:rsidRDefault="00A31137" w:rsidP="00A31137">
      <w:r w:rsidRPr="00A31137">
        <w:t>Nevertheless, our decision in Mahon offered little insight into when, and under what circumstances, a given regulation would be seen as going "too far" for purposes of the Fifth Amendment. In 70-odd years of succeeding "regulatory takings" jurisprudence, we have generally eschewed any "'set formula'" for determining how far is too far, preferring to "engag[e] in…essentially ad hoc, factual inquiries," Penn Central Transportation Co. v. New York City, 438 U.S. 104,  124 (1978) (quoting Goldblatt v. Hempstead, 369 U.S. 590, 594 (1962)). See Epstein, Takings: Descent and Resurrection, 1987 Sup.Ct. Rev. 1, 4. We have, however, described at least two discrete categories of regulatory action as compensable without case-specific inquiry into the public interest advanced in support of the restraint. The first encompasses regulations that compel the property owner to suffer a physical "invasion" of his property. In general (at least with regard to permanent invasions), no matter how minute the intrusion, and no matter how weighty the public purpose behind it, we have required compensation. For example, in Loretto v. Teleprompter Manhattan CATV Corp., 458 U.S. 419 (1982), we determined that New York's law requiring landlords to allow television cable companies to emplace cable facilities in their apartment buildings constituted a taking, id. at 435-440, even though the facilities occupied, at most, only 1 1/2 cubic feet of the landlords' property, see id. at 9458 U.S. 438438, n. 16. See also United States v. Causby, 328 U.S. 256, 265, and n. 10 (1946) (physical invasions of airspace); cf. Kaiser Aetna v. United States, 444 U.S. 164 (1979) (imposition of navigational servitude upon private marina).</w:t>
      </w:r>
    </w:p>
    <w:p w:rsidR="00A31137" w:rsidRPr="00A31137" w:rsidRDefault="00A31137" w:rsidP="00A31137">
      <w:r w:rsidRPr="00A31137">
        <w:t>1992, Lucas v. So. Carolina Coastal Council, 505 U.S. 1015</w:t>
      </w:r>
    </w:p>
    <w:p w:rsidR="00A31137" w:rsidRPr="00A31137" w:rsidRDefault="00A31137" w:rsidP="00A31137">
      <w:r w:rsidRPr="00A31137">
        <w:t xml:space="preserve">The second situation in which we have found categorical treatment appropriate is where regulation denies all economically beneficial or productive use of land. See Agins, 447 U.S. at  260; see also Nollan v. California Coastal Comm'n, 483 U.S. 825,  834 (1987); Keystone Bituminous Coal Assn. v. DeBenedictis, 480 U.S. 470,  495 (1987); Hodel v. Virginia Surface Mining &amp; Reclamation Assn., Inc., 452 [505 U.S. 1016] U.S. 264, 295-296 (1981). 6 As we have said on numerous occasions, the Fifth Amendment is violated when land use regulation "does not substantially advance legitimate state interests or denies an owner economically viable use of his land." Agins, supra, 447 U.S. at  260 (citations omitted) (emphasis added). 7 [505 U.S. 1017] </w:t>
      </w:r>
    </w:p>
    <w:p w:rsidR="00A31137" w:rsidRPr="00A31137" w:rsidRDefault="00A31137" w:rsidP="00A31137">
      <w:r w:rsidRPr="00A31137">
        <w:t>1992, Lucas v. So. Carolina Coastal Council, 505 U.S. 1017</w:t>
      </w:r>
    </w:p>
    <w:p w:rsidR="00A31137" w:rsidRPr="00A31137" w:rsidRDefault="00A31137" w:rsidP="00A31137">
      <w:r w:rsidRPr="00A31137">
        <w:t>We have never set forth the justification for this rule. Perhaps it is simply, as Justice Brennan suggested, that total deprivation of beneficial use is, from the landowner's point of view, the equivalent of a physical appropriation. See San Diego Gas &amp; Electric Co. v. San Diego, 450 U.S. at 652 (Brennan, J., dissenting). "[F]or what is the land but the profit thereof[?]" 1 E. Coke, Institutes ch. 1, § 1 (1st Am. ed. 1812). Surely, at least, in the extraordinary circumstance when no productive or economically beneficial use of land is permitted, it is less realistic to indulge our usual assumption that the legislature is simply "adjusting the benefits and burdens of economic life," Penn Central Transportation Co., 438 [505 U.S. 1018] U.S. at  124, in a manner that secures an "average reciprocity of advantage" to everyone concerned. Pennsylvania Coal Co. v. Mahon, 260 U.S. at  415. And the functional basis for permitting the government, by regulation, to affect property values without compensation—that</w:t>
      </w:r>
    </w:p>
    <w:p w:rsidR="00A31137" w:rsidRPr="00A31137" w:rsidRDefault="00A31137" w:rsidP="00A31137">
      <w:r w:rsidRPr="00A31137">
        <w:t>1992, Lucas v. So. Carolina Coastal Council, 505 U.S. 1018</w:t>
      </w:r>
    </w:p>
    <w:p w:rsidR="00A31137" w:rsidRPr="00A31137" w:rsidRDefault="00A31137" w:rsidP="00A31137">
      <w:r w:rsidRPr="00A31137">
        <w:t>Government hardly could go on if, to some extent, values incident to property could not be diminished without paying for every such change in the general law,</w:t>
      </w:r>
    </w:p>
    <w:p w:rsidR="00A31137" w:rsidRPr="00A31137" w:rsidRDefault="00A31137" w:rsidP="00A31137">
      <w:r w:rsidRPr="00A31137">
        <w:t>1992, Lucas v. So. Carolina Coastal Council, 505 U.S. 1018</w:t>
      </w:r>
    </w:p>
    <w:p w:rsidR="00A31137" w:rsidRPr="00A31137" w:rsidRDefault="00A31137" w:rsidP="00A31137">
      <w:r w:rsidRPr="00A31137">
        <w:t>id. at  413—does not apply to the relatively rare situations where the government has deprived a landowner of all economically beneficial uses.</w:t>
      </w:r>
    </w:p>
    <w:p w:rsidR="00A31137" w:rsidRPr="00A31137" w:rsidRDefault="00A31137" w:rsidP="00A31137">
      <w:r w:rsidRPr="00A31137">
        <w:t>1992, Lucas v. So. Carolina Coastal Council, 505 U.S. 1018</w:t>
      </w:r>
    </w:p>
    <w:p w:rsidR="00A31137" w:rsidRPr="00A31137" w:rsidRDefault="00A31137" w:rsidP="00A31137">
      <w:r w:rsidRPr="00A31137">
        <w:t>On the other side of the balance, affirmatively supporting a compensation requirement, is the fact that regulations that leave the owner of land without economically beneficial or productive options for its use—typically, as here, by requiring land to be left substantially in its natural state—carry with them a heightened risk that private property is being pressed into some form of public service under the guise of mitigating serious public harm. See, e.g., Annicelli v. South Kingstown, 463 A.2d 133, 140-141 (R.I.1983) (prohibition on construction adjacent to beach justified on twin grounds of safety and "conservation of open space"); Morris County Land Improvement Co. v. Parsippany-Troy Hills Township, 40 N.J. 539, 552-553, 193 A.2d 232, 240 (1963) (prohibition on filling marshlands imposed in order to preserve region as water detention basin and create wildlife refuge). As Justice Brennan explained:</w:t>
      </w:r>
    </w:p>
    <w:p w:rsidR="00A31137" w:rsidRPr="00A31137" w:rsidRDefault="00A31137" w:rsidP="00A31137">
      <w:r w:rsidRPr="00A31137">
        <w:t>1992, Lucas v. So. Carolina Coastal Council, 505 U.S. 1018</w:t>
      </w:r>
    </w:p>
    <w:p w:rsidR="00A31137" w:rsidRPr="00A31137" w:rsidRDefault="00A31137" w:rsidP="00A31137">
      <w:r w:rsidRPr="00A31137">
        <w:t>From the government's point of view, the benefits flowing to the public from preservation of open space through regulation may be equally great as from creating a wildlife refuge through formal condemnation or increasing electricity production through a dam project that floods private property.</w:t>
      </w:r>
    </w:p>
    <w:p w:rsidR="00A31137" w:rsidRPr="00A31137" w:rsidRDefault="00A31137" w:rsidP="00A31137">
      <w:r w:rsidRPr="00A31137">
        <w:t>1992, Lucas v. So. Carolina Coastal Council, 505 U.S. 1018</w:t>
      </w:r>
    </w:p>
    <w:p w:rsidR="00A31137" w:rsidRPr="00A31137" w:rsidRDefault="00A31137" w:rsidP="00A31137">
      <w:r w:rsidRPr="00A31137">
        <w:t>San Diego Gas &amp; Elec. Co., supra, 450 U.S. at 652 (Brennan, J., dissenting). The many statutes on the books, both state and federal, that [505 U.S. 1019] provide for the use of eminent domain to impose servitudes on private scenic lands preventing developmental uses, or to acquire such lands altogether, suggest the practical equivalence in this setting of negative regulation and appropriation. See, e.g., 16 U.S.C. § 410ff-1(a) (authorizing acquisition of "lands, waters, or interests [within Channel Islands National Park] (including but not limited to scenic easements)"); § 460aa-2(a) (authorizing acquisition of "any lands, or lesser interests therein, including mineral interests and scenic easements" within Sawtooth National Recreation Area); §§ 39213923 (authorizing acquisition of wetlands); N.C. Gen.Stat. § 113A-38 (1990) (authorizing acquisition of, inter alia, "'scenic easements'" within the North Carolina natural and scenic rivers system); Tenn.Code Ann. §§ 11-1101 1108 (1987) (authorizing acquisition of "protective easements" and other rights in real property adjacent to State's historic, architectural, archaeological, or cultural resources).</w:t>
      </w:r>
    </w:p>
    <w:p w:rsidR="00A31137" w:rsidRPr="00A31137" w:rsidRDefault="00A31137" w:rsidP="00A31137">
      <w:r w:rsidRPr="00A31137">
        <w:t>1992, Lucas v. So. Carolina Coastal Council, 505 U.S. 1019</w:t>
      </w:r>
    </w:p>
    <w:p w:rsidR="00A31137" w:rsidRPr="00A31137" w:rsidRDefault="00A31137" w:rsidP="00A31137">
      <w:r w:rsidRPr="00A31137">
        <w:t xml:space="preserve">We think, in short, that there are good reasons for our frequently expressed belief that, when the owner of real property has been called upon to sacrifice all economically beneficial uses in the name of the common good, that is, to leave his property economically idle, he has suffered a taking. 8 [505 U.S. 1020] </w:t>
      </w:r>
    </w:p>
    <w:p w:rsidR="00A31137" w:rsidRPr="00A31137" w:rsidRDefault="00A31137" w:rsidP="00A31137">
      <w:r w:rsidRPr="00A31137">
        <w:t>B</w:t>
      </w:r>
    </w:p>
    <w:p w:rsidR="00A31137" w:rsidRPr="00A31137" w:rsidRDefault="00A31137" w:rsidP="00A31137">
      <w:r w:rsidRPr="00A31137">
        <w:t>1992, Lucas v. So. Carolina Coastal Council, 505 U.S. 1020</w:t>
      </w:r>
    </w:p>
    <w:p w:rsidR="00A31137" w:rsidRPr="00A31137" w:rsidRDefault="00A31137" w:rsidP="00A31137">
      <w:r w:rsidRPr="00A31137">
        <w:t>The trial court found Lucas' two beachfront lots to have been rendered valueless by respondent's enforcement of the coastal-zone construction ban. 9 Under Lucas' theory of the case, which rested upon our "no economically viable use" statements, that finding entitled him to compensation. Lucas believed it unnecessary to take issue with either the purposes behind the Beachfront Management Act or the means chosen by the South Carolina Legislature to effectuate those purposes. The South Carolina Supreme Court, however, thought otherwise. In its view, the Beachfront Management Act was no ordinary enactment, but involved an exercise of South Carolina's "police powers" to mitigate the harm to the public interest that petitioner's use of his [505 U.S. 1021] land might occasion. 304 S.C. at 384, 404 S.E.2d at 899. By neglecting to dispute the findings enumerated in the Act 10 or otherwise to challenge the legislature's purposes, [505 U.S. 1022] petitioner</w:t>
      </w:r>
    </w:p>
    <w:p w:rsidR="00A31137" w:rsidRPr="00A31137" w:rsidRDefault="00A31137" w:rsidP="00A31137">
      <w:r w:rsidRPr="00A31137">
        <w:t>1992, Lucas v. So. Carolina Coastal Council, 505 U.S. 1022</w:t>
      </w:r>
    </w:p>
    <w:p w:rsidR="00A31137" w:rsidRPr="00A31137" w:rsidRDefault="00A31137" w:rsidP="00A31137">
      <w:r w:rsidRPr="00A31137">
        <w:t>concede[d] that the beach/dune area of South Carolina's shores is an extremely valuable public resource; that the erection of new construction, inter alia, contributes to the erosion and destruction of this public resource; and that discouraging new construction in close proximity to the beach/ dune area is necessary to prevent a great public harm.</w:t>
      </w:r>
    </w:p>
    <w:p w:rsidR="00A31137" w:rsidRPr="00A31137" w:rsidRDefault="00A31137" w:rsidP="00A31137">
      <w:r w:rsidRPr="00A31137">
        <w:t>1992, Lucas v. So. Carolina Coastal Council, 505 U.S. 1022</w:t>
      </w:r>
    </w:p>
    <w:p w:rsidR="00A31137" w:rsidRPr="00A31137" w:rsidRDefault="00A31137" w:rsidP="00A31137">
      <w:r w:rsidRPr="00A31137">
        <w:t>Id. at 382-383, 404 S.E.2d at 898. In the court's view, these concessions brought petitioner's challenge within a long line of this Court's cases sustaining against Due Process and Takings Clause challenges the State's use of its "police powers" to enjoin a property owner from activities akin to public nuisances. See Mugler v. Kansas, 123 U.S. 623 (1887) (law prohibiting manufacture of alcoholic beverages); Hadacheck v. Sebastian, 239 U.S. 394 (1915) (law barring operation of brick mill in residential area); Miller v. Schoene, 276 U.S. 272 (1928) (order to destroy diseased cedar trees to prevent infection of nearby orchards); Goldblatt v. Hempstead, 369 U.S. 590 (1962) (law effectively preventing continued operation of quarry in residential area).</w:t>
      </w:r>
    </w:p>
    <w:p w:rsidR="00A31137" w:rsidRPr="00A31137" w:rsidRDefault="00A31137" w:rsidP="00A31137">
      <w:r w:rsidRPr="00A31137">
        <w:t>1992, Lucas v. So. Carolina Coastal Council, 505 U.S. 1022</w:t>
      </w:r>
    </w:p>
    <w:p w:rsidR="00A31137" w:rsidRPr="00A31137" w:rsidRDefault="00A31137" w:rsidP="00A31137">
      <w:r w:rsidRPr="00A31137">
        <w:t>It is correct that many of our prior opinions have suggested that "harmful or noxious uses" of property may be proscribed by government regulation without the requirement of compensation. For a number of reasons, however, we think the South Carolina Supreme Court was too quick to conclude that that principle decides the present case. The "harmful or noxious uses" principle was the Court's early attempt to describe in theoretical terms why government [505 U.S. 1023] may, consistent with the Takings Clause, affect property values by regulation without incurring an obligation to compensate—a reality we nowadays acknowledge explicitly with respect to the full scope of the State's police power. See, e.g., Penn Central Transportation Co., 438 U.S. at 125 (where State "reasonably conclude[s] that 'the health, safety, morals, or general welfare' would be promoted by prohibiting particular contemplated uses of land," compensation need not accompany prohibition); see also Nollan v. California Coastal Commission, 483 U.S. at 834-835 ("Our cases have not elaborated on the standards for determining what constitutes a 'legitimate state interest[,]' [but] [t]hey have made clear…that a broad range of governmental purposes and regulations satisfy these requirements"). We made this very point in Penn Central Transportation Co., where, in the course of sustaining New York City's landmarks preservation program against a takings challenge, we rejected the petitioner's suggestion that Mugler and the cases following it were premised on, and thus limited by, some objective conception of "noxiousness":</w:t>
      </w:r>
    </w:p>
    <w:p w:rsidR="00A31137" w:rsidRPr="00A31137" w:rsidRDefault="00A31137" w:rsidP="00A31137">
      <w:r w:rsidRPr="00A31137">
        <w:t>1992, Lucas v. So. Carolina Coastal Council, 505 U.S. 1023</w:t>
      </w:r>
    </w:p>
    <w:p w:rsidR="00A31137" w:rsidRPr="00A31137" w:rsidRDefault="00A31137" w:rsidP="00A31137">
      <w:r w:rsidRPr="00A31137">
        <w:t>[T]he uses in issue in Hadacheck, Miller, and Goldblatt were perfectly lawful in themselves. They involved no</w:t>
      </w:r>
    </w:p>
    <w:p w:rsidR="00A31137" w:rsidRPr="00A31137" w:rsidRDefault="00A31137" w:rsidP="00A31137">
      <w:r w:rsidRPr="00A31137">
        <w:t>1992, Lucas v. So. Carolina Coastal Council, 505 U.S. 1023</w:t>
      </w:r>
    </w:p>
    <w:p w:rsidR="00A31137" w:rsidRPr="00A31137" w:rsidRDefault="00A31137" w:rsidP="00A31137">
      <w:r w:rsidRPr="00A31137">
        <w:t>blameworthiness,…moral wrongdoing or conscious act of dangerous risk-taking which induce[d society] to shift the cost to a pa[rt]icular individual.</w:t>
      </w:r>
    </w:p>
    <w:p w:rsidR="00A31137" w:rsidRPr="00A31137" w:rsidRDefault="00A31137" w:rsidP="00A31137">
      <w:r w:rsidRPr="00A31137">
        <w:t>1992, Lucas v. So. Carolina Coastal Council, 505 U.S. 1023</w:t>
      </w:r>
    </w:p>
    <w:p w:rsidR="00A31137" w:rsidRPr="00A31137" w:rsidRDefault="00A31137" w:rsidP="00A31137">
      <w:r w:rsidRPr="00A31137">
        <w:t>Sax, Takings and the Police Power, 74 Yale L.J. 36, 50 (1964). These cases are better understood as resting not on any supposed "noxious" quality of the prohibited uses, but rather on the ground that the restrictions were reasonably related to the implementation of a policy—not unlike historic preservation—expected to produce a widespread public benefit and applicable to all similarly situated property.</w:t>
      </w:r>
    </w:p>
    <w:p w:rsidR="00A31137" w:rsidRPr="00A31137" w:rsidRDefault="00A31137" w:rsidP="00A31137">
      <w:r w:rsidRPr="00A31137">
        <w:t>1992, Lucas v. So. Carolina Coastal Council, 505 U.S. 1023</w:t>
      </w:r>
    </w:p>
    <w:p w:rsidR="00A31137" w:rsidRPr="00A31137" w:rsidRDefault="00A31137" w:rsidP="00A31137">
      <w:r w:rsidRPr="00A31137">
        <w:t>438 U.S. at 133-134, n. 30. "Harmful or noxious use" analysis was, in other words, simply the progenitor of our more contemporary statements that [505 U.S. 1024] "land use regulation does not effect a taking if it 'substantially advance[s] legitimate state interests'…. " Nollan, supra, 483 U.S. at  834, (quoting Agins v. Tiburon, 447 U.S. at  260); see also Penn Central Transportation Co., supra, 438 U.S. at  127; Euclid v. Ambler Realty Co., 272 U.S. 365, 387-388 (1926).</w:t>
      </w:r>
    </w:p>
    <w:p w:rsidR="00A31137" w:rsidRPr="00A31137" w:rsidRDefault="00A31137" w:rsidP="00A31137">
      <w:r w:rsidRPr="00A31137">
        <w:t>1992, Lucas v. So. Carolina Coastal Council, 505 U.S. 1024</w:t>
      </w:r>
    </w:p>
    <w:p w:rsidR="00A31137" w:rsidRPr="00A31137" w:rsidRDefault="00A31137" w:rsidP="00A31137">
      <w:r w:rsidRPr="00A31137">
        <w:t xml:space="preserve">The transition from our early focus on control of "noxious" uses to our contemporary understanding of the broad realm within which government may regulate without compensation was an easy one, since the distinction between "harm-preventing" and "benefit-conferring" regulation is often in the eye of the beholder. It is quite possible, for example, to describe in either fashion the ecological, economic, and aesthetic concerns that inspired the South Carolina legislature in the present case. One could say that imposing a servitude on Lucas' land is necessary in order to prevent his use of it from "harming" South Carolina's ecological resources; or, instead, in order to achieve the "benefits" of an ecological preserve. 11 Compare, e.g., Claridge v. New Hampshire [505 U.S. 1025] Wetlands Board, 125 N.H. 745, 752, 485 A.2d 287, 292 (1984) (owner may, without compensation, be barred from filling wetlands because landfilling would deprive adjacent coastal habitats and marine fisheries of ecological support), with, e.g., Bartlett v. Zoning Comm'n of Old Lyme, 161 Conn.24, 30, 282 A.2d 907, 910 (1971) (owner barred from filling tidal marshland must be compensated, despite municipality's "laudable" goal of "preserv[ing] marshlands from encroachment or destruction"). Whether one or the other of the competing characterizations will come to one's lips in a particular case depends primarily upon one's evaluation of the worth of competing uses of real estate. See Restatement (Second) of Torts § 822, Comment 9, p. 112 (1979) ("[p]ractically all human activities unless carried on in a wilderness interfere to some extent with others or involve some risk of interference"). A given restraint will be seen as mitigating "harm" to the adjacent parcels or securing a "benefit" for them, depending upon he observer's evaluation of the relative importance of the use that the restraint favors. See Sax, Takings and the Police Power, 74 Yale L.J. 36, 49 (1964) ("[T]he problem [in this area] is not one of noxiousness or harm-creating activity at all; rather, it is a problem of inconsistency between perfectly innocent and independently desirable uses."). Whether Lucas' construction of single-family residences on his parcels should be described as bringing "harm" to South Carolina's adjacent ecological resources thus depends principally upon whether the describer believes that the State's use interest in nurturing those resources is so important that any competing adjacent use must yield. 12 [505 U.S. 1026] </w:t>
      </w:r>
    </w:p>
    <w:p w:rsidR="00A31137" w:rsidRPr="00A31137" w:rsidRDefault="00A31137" w:rsidP="00A31137">
      <w:r w:rsidRPr="00A31137">
        <w:t>1992, Lucas v. So. Carolina Coastal Council, 505 U.S. 1026</w:t>
      </w:r>
    </w:p>
    <w:p w:rsidR="00A31137" w:rsidRPr="00A31137" w:rsidRDefault="00A31137" w:rsidP="00A31137">
      <w:r w:rsidRPr="00A31137">
        <w:t xml:space="preserve">When it is understood that "prevention of harmful use" was merely our early formulation of the police power justification necessary to sustain (without compensation) any regulatory diminution in value; and that the distinction between regulation that "prevents harmful use" and that which "confers benefits" is difficult, if not impossible, to discern on an objective, value-free basis; it becomes self-evident that noxious-use logic cannot serve as a touchstone to distinguish regulatory "takings"—which require compensation—from regulatory deprivations that do not require compensation.  A fortiori, the legislature's recitation of a noxious-use justification cannot be the basis for departing from our categorical rule that total regulatory takings must be compensated. If it were, departure would virtually always be allowed. The South Carolina Supreme Court's approach would essentially nullify Mahon's affirmation of limits to the noncompensable exercise of the police power. Our cases provide no support for this: none of them that employed the logic of "harmful use" prevention to sustain a regulation involved an allegation that the regulation wholly eliminated the value of the claimant's land. See Keystone Bituminous Coal Assn., 480 U.S. at 513-514 (REHNQUIST, C.J., dissenting). 13 [505 U.S. 1027] </w:t>
      </w:r>
    </w:p>
    <w:p w:rsidR="00A31137" w:rsidRPr="00A31137" w:rsidRDefault="00A31137" w:rsidP="00A31137">
      <w:r w:rsidRPr="00A31137">
        <w:t>1992, Lucas v. So. Carolina Coastal Council, 505 U.S. 1027</w:t>
      </w:r>
    </w:p>
    <w:p w:rsidR="00A31137" w:rsidRPr="00A31137" w:rsidRDefault="00A31137" w:rsidP="00A31137">
      <w:r w:rsidRPr="00A31137">
        <w:t>Where the State seeks to sustain regulation that deprives land of all economically beneficial use, we think it may resist compensation only if the logically antecedent inquiry into the nature of the owner's estate shows that the proscribed use interests were not part of his title to begin with. 14 This accords, we think, with our "takings" jurisprudence, which has traditionally been guided by the understandings of our citizens regarding the content of, and the State's power over, the "bundle of rights" that they acquire when they obtain title to property. It seems to us that the property owner necessarily expects the uses of his property to be restricted, from time to time, by various measures newly enacted by the State in legitimate exercise of its police powers; "[a]s long recognized, some values are enjoyed under an implied limitation, and must yield to the police power." Pennsylvania Coal Co. v. Mahon, 260 U.S. at  413. And in the case of personal property, by reason of the State's traditionally high degree of control over commercial dealings, he ought to be aware of the possibility that new regulation might even render [505 U.S. 1028] his property economically worthless (at least if the property's only economically productive use is sale or manufacture for sale), see Andrus v. Allard, 444 U.S. 51, 66-67 (1979) (prohibition on sale of eagle feathers). In the case of land, however, we think the notion pressed by the Council that title is somehow held subject to the "implied limitation" that the State may subsequently eliminate all economically valuable use is inconsistent with the historical compact recorded in the Takings Clause that has become part of our constitutional culture. 15</w:t>
      </w:r>
    </w:p>
    <w:p w:rsidR="00A31137" w:rsidRPr="00A31137" w:rsidRDefault="00A31137" w:rsidP="00A31137">
      <w:r w:rsidRPr="00A31137">
        <w:t>1992, Lucas v. So. Carolina Coastal Council, 505 U.S. 1028</w:t>
      </w:r>
    </w:p>
    <w:p w:rsidR="00A31137" w:rsidRPr="00A31137" w:rsidRDefault="00A31137" w:rsidP="00A31137">
      <w:r w:rsidRPr="00A31137">
        <w:t>Where "permanent physical occupation" of land is concerned, we have refused to allow the government to decree it anew (without compensation), no matter how weighty the asserted "public interests" involved, Loretto v. Teleprompter Manhattan CATV Corp., 458 U.S. at  426—though we assuredly would permit the government to assert a permanent easement that was a preexisting limitation upon the landowner's [505 U.S. 1029] title. Compare Scranton v. Wheeler, 179 U.S. 141, 163 (1900) (interests of "riparian owner in the submerged lands…bordering on a public navigable water" held subject to Government's navigational servitude), with Kaiser Aetna v. United States, 444 U.S. at 178-180 (imposition of navigational servitude on marina created and rendered navigable at private expense held to constitute a taking). We believe similar treatment must be accorded confiscatory regulations, i.e., regulations that prohibit all economically beneficial use of land: any limitation so severe cannot be newly legislated or decreed (without compensation), but must inhere in the title itself, in the restrictions that background principles of the State's law of property and nuisance already place upon land ownership. A law or decree with such an effect must, in other words, do no more than duplicate the result that could have been achieved in the courts—by adjacent landowners (or other uniquely affected persons) under the State's law of private nuisance, or by the State under its complementary power to abate nuisances that affect the public generally, or otherwise. 16</w:t>
      </w:r>
    </w:p>
    <w:p w:rsidR="00A31137" w:rsidRPr="00A31137" w:rsidRDefault="00A31137" w:rsidP="00A31137">
      <w:r w:rsidRPr="00A31137">
        <w:t>1992, Lucas v. So. Carolina Coastal Council, 505 U.S. 1029</w:t>
      </w:r>
    </w:p>
    <w:p w:rsidR="00A31137" w:rsidRPr="00A31137" w:rsidRDefault="00A31137" w:rsidP="00A31137">
      <w:r w:rsidRPr="00A31137">
        <w:t>On this analysis, the owner of a lakebed, for example, would not be entitled to compensation when he is denied the requisite permit to engage in a landfilling operation that would have the effect of flooding others' land. Nor the corporate owner of a nuclear generating plant, when it is directed to remove all improvements from its land upon discovery that the plant sits astride an earthquake fault. Such regulatory action may well have the effect of eliminating the land's only economically productive use, but it does not proscribe a productive use that was previously permissible [505 U.S. 1030] under relevant property and nuisance principles. The use of these properties for what are now expressly prohibited purposes was always unlawful, and (subject to other constitutional limitations) it was open to the State at any point to make the implication of those background principles of nuisance and property law explicit. See Michelman, Property, Utility, and Fairness, Comments on the Ethical Foundations of "Just Compensation" Law, 80 Harv.L.Rev. 1165, 1239-1241 (1967). In light of our traditional resort to "existing rules or understandings that stem from an independent source such as state law" to define the range of interests that qualify for protection as "property" under the Fifth (and Fourteenth) amendments, Board of Regents of State Colleges v. Roth, 408 U.S. 564, 577 (1972); see, e.g., Ruckelshaus v. Monsanto Co., 467 U.S. 986, 1011-1012 (1984); Hughes v. Washington, 389 U.S. 290, 295 (1967) (Stewart, J., concurring), this recognition that the Takings Clause does not require compensation when an owner is barred from putting land to a use that is proscribed by those "existing rules or understandings" is surely unexceptional. When, however, a regulation that declares "off limits" all economically productive or beneficial uses of land goes beyond what the relevant background principles would dictate, compensation must be paid to sustain it. 17</w:t>
      </w:r>
    </w:p>
    <w:p w:rsidR="00A31137" w:rsidRPr="00A31137" w:rsidRDefault="00A31137" w:rsidP="00A31137">
      <w:r w:rsidRPr="00A31137">
        <w:t>1992, Lucas v. So. Carolina Coastal Council, 505 U.S. 1030</w:t>
      </w:r>
    </w:p>
    <w:p w:rsidR="00A31137" w:rsidRPr="00A31137" w:rsidRDefault="00A31137" w:rsidP="00A31137">
      <w:r w:rsidRPr="00A31137">
        <w:t>The "total taking" inquiry we require today will ordinarily entail (as the application of state nuisance law ordinarily entails) analysis of, among other things, the degree of harm to public lands and resources, or adjacent private property, [505 U.S. 1031] posed by the claimant's proposed activities, see, e.g., Restatement (Second) of Torts §§ 826, 827, the social value of the claimant's activities and their suitability to the locality in question, see, e.g., id. §§ 828(a) and (b), 831, and the relative ease with which the alleged harm can be avoided through measures taken by the claimant and the government (or adjacent private landowners) alike, see, e.g., id. §§ 827(e), 828(c), 830. The fact that a particular use has long been engaged in by similarly situated owners ordinarily imports a lack of any common law prohibition (though changed circumstances or new knowledge may make what was previously permissible no longer so, see Restatement (Second) of Torts, supra, § 827, comment g). So also does the fact that other landowners, similarly situated, are permitted to continue the use denied to the claimant.</w:t>
      </w:r>
    </w:p>
    <w:p w:rsidR="00A31137" w:rsidRPr="00A31137" w:rsidRDefault="00A31137" w:rsidP="00A31137">
      <w:r w:rsidRPr="00A31137">
        <w:t>1992, Lucas v. So. Carolina Coastal Council, 505 U.S. 1031</w:t>
      </w:r>
    </w:p>
    <w:p w:rsidR="00A31137" w:rsidRPr="00A31137" w:rsidRDefault="00A31137" w:rsidP="00A31137">
      <w:r w:rsidRPr="00A31137">
        <w:t>It seems unlikely that common law principles would have prevented the erection of any habitable or productive improvements on petitioner's land; they rarely support prohibition of the "essential use" of land, Curtin v. Benson, 222 U.S. 78, 86 (1911). The question, however, is one of state law to be dealt with on remand. We emphasize that, to win its case, South Carolina must do more than proffer the legislature's declaration that the uses Lucas desires are inconsistent with the public interest, or the conclusory assertion that they violate a common law maxim such as sic utere tuo ut alienum non laedas. As we have said, a "State, by ipse dixit, may not transform private property into public property without compensation…. " Webb's Fabulous Pharmacies, Inc. v. Beckwith, 449 U.S. 155, 164 (1980). Instead, as it would be required to do if it sought to restrain Lucas in a common law action for public nuisance, South Carolina must identify background principles of nuisance and property law that prohibit the uses he now intends in the circumstances in which the property is presently found. Only on this showing can [505 U.S. 1032] the State fairly claim that, in proscribing all such beneficial uses, the Beachfront Management Act is taking nothing. 18</w:t>
      </w:r>
    </w:p>
    <w:p w:rsidR="00A31137" w:rsidRPr="00A31137" w:rsidRDefault="00A31137" w:rsidP="00A31137">
      <w:r w:rsidRPr="00A31137">
        <w:t>1992, Lucas v. So. Carolina Coastal Council, 505 U.S. 1032</w:t>
      </w:r>
    </w:p>
    <w:p w:rsidR="00A31137" w:rsidRPr="00A31137" w:rsidRDefault="00A31137" w:rsidP="00A31137">
      <w:r w:rsidRPr="00A31137">
        <w:t>The judgment is reversed, and the cause remanded for proceedings not inconsistent with this opinion.</w:t>
      </w:r>
    </w:p>
    <w:p w:rsidR="00A31137" w:rsidRPr="00A31137" w:rsidRDefault="00A31137" w:rsidP="00A31137">
      <w:r w:rsidRPr="00A31137">
        <w:t>1992, Lucas v. So. Carolina Coastal Council, 505 U.S. 1032</w:t>
      </w:r>
    </w:p>
    <w:p w:rsidR="00A31137" w:rsidRPr="00A31137" w:rsidRDefault="00A31137" w:rsidP="00A31137">
      <w:r w:rsidRPr="00A31137">
        <w:t>So ordered.</w:t>
      </w:r>
    </w:p>
    <w:p w:rsidR="00A31137" w:rsidRPr="00A31137" w:rsidRDefault="00A31137" w:rsidP="00A31137">
      <w:r w:rsidRPr="00A31137">
        <w:t>KENNEDY, J., concurring</w:t>
      </w:r>
    </w:p>
    <w:p w:rsidR="00A31137" w:rsidRPr="00A31137" w:rsidRDefault="00A31137" w:rsidP="00A31137">
      <w:r w:rsidRPr="00A31137">
        <w:t>1992, Lucas v. So. Carolina Coastal Council, 505 U.S. 1032</w:t>
      </w:r>
    </w:p>
    <w:p w:rsidR="00A31137" w:rsidRPr="00A31137" w:rsidRDefault="00A31137" w:rsidP="00A31137">
      <w:r w:rsidRPr="00A31137">
        <w:t>JUSTICE KENNEDY, concurring in the judgment.</w:t>
      </w:r>
    </w:p>
    <w:p w:rsidR="00A31137" w:rsidRPr="00A31137" w:rsidRDefault="00A31137" w:rsidP="00A31137">
      <w:r w:rsidRPr="00A31137">
        <w:t>1992, Lucas v. So. Carolina Coastal Council, 505 U.S. 1032</w:t>
      </w:r>
    </w:p>
    <w:p w:rsidR="00A31137" w:rsidRPr="00A31137" w:rsidRDefault="00A31137" w:rsidP="00A31137">
      <w:r w:rsidRPr="00A31137">
        <w:t>The case comes to the Court in an unusual posture, as all my colleagues observe. Ante at 1010-1011; post at  1041 (BLACKMUN, J., dissenting); post at 1061-1062 (STEVENS, J., dissenting); post at 1076-1077 (Statement of SOUTER, J.). After the suit was initiated, but before it reached us, South Carolina amended its Beachfront Management Act to authorize the issuance of special permits at variance with the Act's general limitations. See S.C.Code § 48-39-290(D)(1) (Supp.1991). Petitioner has not applied for a special permit, but may still do so. The availability of this alternative, if it can be invoked, may dispose of petitioner's claim of a permanent taking. As I read the Court's opinion, it does not decide the permanent taking claim, but neither does it foreclose the Supreme Court of South Carolina from considering the claim or requiring petitioner to pursue an administrative alternative not previously available.</w:t>
      </w:r>
    </w:p>
    <w:p w:rsidR="00A31137" w:rsidRPr="00A31137" w:rsidRDefault="00A31137" w:rsidP="00A31137">
      <w:r w:rsidRPr="00A31137">
        <w:t>1992, Lucas v. So. Carolina Coastal Council, 505 U.S. 1032</w:t>
      </w:r>
    </w:p>
    <w:p w:rsidR="00A31137" w:rsidRPr="00A31137" w:rsidRDefault="00A31137" w:rsidP="00A31137">
      <w:r w:rsidRPr="00A31137">
        <w:t>The potential for future relief does not control our disposition, because whatever may occur in the future cannot undo [505 U.S. 1033] what has occurred in the past. The Beachfront Management Act was enacted in 1988. S.C.Code § 48-39-250 et seq. (Supp.1990). It may have deprived petitioner of the use of his land in an interim period. § 48-39290(A). If this deprivation amounts to a taking, its limited duration will not bar constitutional relief. It is well established that temporary takings are as protected by the Constitution as are permanent ones. First English Evangelical Lutheran Church of Glendale v. County of Los Angeles, 482 U.S. 304,  318 (1987).</w:t>
      </w:r>
    </w:p>
    <w:p w:rsidR="00A31137" w:rsidRPr="00A31137" w:rsidRDefault="00A31137" w:rsidP="00A31137">
      <w:r w:rsidRPr="00A31137">
        <w:t>1992, Lucas v. So. Carolina Coastal Council, 505 U.S. 1033</w:t>
      </w:r>
    </w:p>
    <w:p w:rsidR="00A31137" w:rsidRPr="00A31137" w:rsidRDefault="00A31137" w:rsidP="00A31137">
      <w:r w:rsidRPr="00A31137">
        <w:t>The issues presented in the case are ready for our decision. The Supreme Court of South Carolina decided the case on constitutional grounds, and its rulings are now before us. There exists no jurisdictional bar to our disposition, and prudential considerations ought not to militate against it. The State cannot complain of the manner in which the issues arose. Any uncertainty in this regard is attributable to the State, as a consequence of its amendment to the Beachfront Management Act. If the Takings Clause is to protect against temporary deprivations as well as permanent ones, its enforcement must not be frustrated by a shifting background of state law.</w:t>
      </w:r>
    </w:p>
    <w:p w:rsidR="00A31137" w:rsidRPr="00A31137" w:rsidRDefault="00A31137" w:rsidP="00A31137">
      <w:r w:rsidRPr="00A31137">
        <w:t>1992, Lucas v. So. Carolina Coastal Council, 505 U.S. 1033</w:t>
      </w:r>
    </w:p>
    <w:p w:rsidR="00A31137" w:rsidRPr="00A31137" w:rsidRDefault="00A31137" w:rsidP="00A31137">
      <w:r w:rsidRPr="00A31137">
        <w:t>Although we establish a framework for remand, moreover, we do not decide the ultimate question of whether a temporary taking has occurred in this case. The facts necessary to the determination have not been developed in the record. Among the matters to be considered on remand must be whether petitioner had the intent and capacity to develop the property, and failed to do so in the interim period because the State prevented him. Any failure by petitioner to comply with relevant administrative requirements will be part of that analysis.</w:t>
      </w:r>
    </w:p>
    <w:p w:rsidR="00A31137" w:rsidRPr="00A31137" w:rsidRDefault="00A31137" w:rsidP="00A31137">
      <w:r w:rsidRPr="00A31137">
        <w:t>1992, Lucas v. So. Carolina Coastal Council, 505 U.S. 1033</w:t>
      </w:r>
    </w:p>
    <w:p w:rsidR="00A31137" w:rsidRPr="00A31137" w:rsidRDefault="00A31137" w:rsidP="00A31137">
      <w:r w:rsidRPr="00A31137">
        <w:t>The South Carolina Court of Common Pleas found that petitioner's real property has been rendered valueless by the State's regulation. App. to Pet. for Cert. 37. The finding appears to presume that the property has no significant market [505 U.S. 1034] value or resale potential. This is a curious finding, and I share the reservations of some of my colleagues about a finding that a beach front lot loses all value because of a development restriction. Post at 1043-1045 (BLACKMUN, J., dissenting); post at  1065, n. 3 (STEVENS, J., dissenting); post at  1076 (Statement of SOUTER, J.). While the Supreme Court of South Carolina, on remand, need not consider the case subject to this constraint, we must accept the finding as entered below. See Oklahoma City v. Tuttle, 471 U.S. 808, 816 (1985). Accepting the finding as entered, it follows that petitioner is entitled to invoke the line of cases discussing regulations that deprive real property of all economic value. See Agins v. Tiburon, 447 U.S. 255,  260 (1980).</w:t>
      </w:r>
    </w:p>
    <w:p w:rsidR="00A31137" w:rsidRPr="00A31137" w:rsidRDefault="00A31137" w:rsidP="00A31137">
      <w:r w:rsidRPr="00A31137">
        <w:t>1992, Lucas v. So. Carolina Coastal Council, 505 U.S. 1034</w:t>
      </w:r>
    </w:p>
    <w:p w:rsidR="00A31137" w:rsidRPr="00A31137" w:rsidRDefault="00A31137" w:rsidP="00A31137">
      <w:r w:rsidRPr="00A31137">
        <w:t>The finding of no value must be considered under the Takings Clause by reference to the owner's reasonable, investment-backed expectations. Kaiser Aetna v. United States, 444 U.S. 164,  175 (1979); Penn Central Transportation Co. v. New York City, 438 U.S. 104,  124 (1978); see also W.B. Worthen Co. v. Kavanaugh, 295 U.S. 56 (1935). The Takings Clause, while conferring substantial protection on property owners, does not eliminate the police power of the State to enact limitations on the use of their property. Mugler v. Kansas, 123 U.S. 623,  669 (1887). The rights conferred by the Takings Clause and the police power of the State may coexist without conflict. Property is bought and sold, investments are made, subject to the State's power to regulate. Where a taking is alleged from regulations which deprive the property of all value, the test must be whether the deprivation is contrary to reasonable, investment-backed expectations.</w:t>
      </w:r>
    </w:p>
    <w:p w:rsidR="00A31137" w:rsidRPr="00A31137" w:rsidRDefault="00A31137" w:rsidP="00A31137">
      <w:r w:rsidRPr="00A31137">
        <w:t>1992, Lucas v. So. Carolina Coastal Council, 505 U.S. 1034</w:t>
      </w:r>
    </w:p>
    <w:p w:rsidR="00A31137" w:rsidRPr="00A31137" w:rsidRDefault="00A31137" w:rsidP="00A31137">
      <w:r w:rsidRPr="00A31137">
        <w:t>There is an inherent tendency towards circularity in this synthesis, of course; for if the owner's reasonable expectations are shaped by what courts allow as a proper exercise of governmental authority, property tends to become what courts say it is. Some circularity must be tolerated in these matters, however, as it is in other spheres. E.g., Katz v. [505 U.S. 1035] United States, 389 U.S. 347 (1967) (Fourth Amendment protections defined by reasonable expectations of privacy). The definition, moreover, is not circular in its entirety. The expectations protected by the Constitution are based on objective rules and customs that can be understood as reasonable by all parties involved.</w:t>
      </w:r>
    </w:p>
    <w:p w:rsidR="00A31137" w:rsidRPr="00A31137" w:rsidRDefault="00A31137" w:rsidP="00A31137">
      <w:r w:rsidRPr="00A31137">
        <w:t>1992, Lucas v. So. Carolina Coastal Council, 505 U.S. 1035</w:t>
      </w:r>
    </w:p>
    <w:p w:rsidR="00A31137" w:rsidRPr="00A31137" w:rsidRDefault="00A31137" w:rsidP="00A31137">
      <w:r w:rsidRPr="00A31137">
        <w:t>In my view, reasonable expectations must be understood in light of the whole of our legal tradition. The common law of nuisance is too narrow a confine for the exercise of regulatory power in a complex and interdependent society. Goldblatt v. Hempstead, 369 U.S. 590, 593 (1962). The State should not be prevented from enacting new regulatory initiatives in response to changing conditions, and courts must consider all reasonable expectations whatever their source. The Takings Clause does not require a static body of state property law; it protects private expectations to ensure private investment. I agree with the Court that nuisance prevention accords with the most common expectations of property owners who face regulation, but I do not believe this can be the sole source of state authority to impose severe restrictions. Coastal property may present such unique concerns for a fragile land system that the State can go further in regulating its development and use than the common law of nuisance might otherwise permit.</w:t>
      </w:r>
    </w:p>
    <w:p w:rsidR="00A31137" w:rsidRPr="00A31137" w:rsidRDefault="00A31137" w:rsidP="00A31137">
      <w:r w:rsidRPr="00A31137">
        <w:t>1992, Lucas v. So. Carolina Coastal Council, 505 U.S. 1035</w:t>
      </w:r>
    </w:p>
    <w:p w:rsidR="00A31137" w:rsidRPr="00A31137" w:rsidRDefault="00A31137" w:rsidP="00A31137">
      <w:r w:rsidRPr="00A31137">
        <w:t>The Supreme Court of South Carolina erred, in my view, by reciting the general purposes for which the state regulations were enacted without a determination that they were in accord with the owner's reasonable expectations, and therefore sufficient to support a severe restriction on specific parcels of property. See 304 S.C. 376, 383, 404 S.E.2d 895, 899 (1991). The promotion of tourism, for instance, ought not to suffice to deprive specific property of all value without a corresponding duty to compensate. Furthermore, the means as well as the ends of regulation must accord with the owner's reasonable expectations. Here, the State did not act until after the property had been zoned for individual [505 U.S. 1036] lot development and most other parcels had been improved, throwing the whole burden of the regulation on the remaining lots. This too must be measured in the balance. See Pennsylvania Coal Co. v. Mahon, 260 U.S. 393,  416 (1922).</w:t>
      </w:r>
    </w:p>
    <w:p w:rsidR="00A31137" w:rsidRPr="00A31137" w:rsidRDefault="00A31137" w:rsidP="00A31137">
      <w:r w:rsidRPr="00A31137">
        <w:t>1992, Lucas v. So. Carolina Coastal Council, 505 U.S. 1036</w:t>
      </w:r>
    </w:p>
    <w:p w:rsidR="00A31137" w:rsidRPr="00A31137" w:rsidRDefault="00A31137" w:rsidP="00A31137">
      <w:r w:rsidRPr="00A31137">
        <w:t>With these observations, I concur in the judgment of the Court.</w:t>
      </w:r>
    </w:p>
    <w:p w:rsidR="00A31137" w:rsidRPr="00A31137" w:rsidRDefault="00A31137" w:rsidP="00A31137">
      <w:r w:rsidRPr="00A31137">
        <w:t>BLACKMUN, J., dissenting</w:t>
      </w:r>
    </w:p>
    <w:p w:rsidR="00A31137" w:rsidRPr="00A31137" w:rsidRDefault="00A31137" w:rsidP="00A31137">
      <w:r w:rsidRPr="00A31137">
        <w:t>1992, Lucas v. So. Carolina Coastal Council, 505 U.S. 1036</w:t>
      </w:r>
    </w:p>
    <w:p w:rsidR="00A31137" w:rsidRPr="00A31137" w:rsidRDefault="00A31137" w:rsidP="00A31137">
      <w:r w:rsidRPr="00A31137">
        <w:t>JUSTICE BLACKMUN, dissenting.</w:t>
      </w:r>
    </w:p>
    <w:p w:rsidR="00A31137" w:rsidRPr="00A31137" w:rsidRDefault="00A31137" w:rsidP="00A31137">
      <w:r w:rsidRPr="00A31137">
        <w:t>1992, Lucas v. So. Carolina Coastal Council, 505 U.S. 1036</w:t>
      </w:r>
    </w:p>
    <w:p w:rsidR="00A31137" w:rsidRPr="00A31137" w:rsidRDefault="00A31137" w:rsidP="00A31137">
      <w:r w:rsidRPr="00A31137">
        <w:t>Today the Court launches a missile to kill a mouse.</w:t>
      </w:r>
    </w:p>
    <w:p w:rsidR="00A31137" w:rsidRPr="00A31137" w:rsidRDefault="00A31137" w:rsidP="00A31137">
      <w:r w:rsidRPr="00A31137">
        <w:t>1992, Lucas v. So. Carolina Coastal Council, 505 U.S. 1036</w:t>
      </w:r>
    </w:p>
    <w:p w:rsidR="00A31137" w:rsidRPr="00A31137" w:rsidRDefault="00A31137" w:rsidP="00A31137">
      <w:r w:rsidRPr="00A31137">
        <w:t>The State of South Carolina prohibited petitioner Lucas from building a permanent structure on his property from 1988 to 1990. Relying on an unreviewed (and implausible) state trial court finding that this restriction left Lucas' property valueless, this Court granted review to determine whether compensation must be paid in cases where the State prohibits all economic use of real estate. According to the Court, such an occasion never has arisen in any of our prior cases, and the Court imagines that it will arise "relatively rarely" or only in "extraordinary circumstances." Almost certainly, it did not happen in this case.</w:t>
      </w:r>
    </w:p>
    <w:p w:rsidR="00A31137" w:rsidRPr="00A31137" w:rsidRDefault="00A31137" w:rsidP="00A31137">
      <w:r w:rsidRPr="00A31137">
        <w:t>1992, Lucas v. So. Carolina Coastal Council, 505 U.S. 1036</w:t>
      </w:r>
    </w:p>
    <w:p w:rsidR="00A31137" w:rsidRPr="00A31137" w:rsidRDefault="00A31137" w:rsidP="00A31137">
      <w:r w:rsidRPr="00A31137">
        <w:t>Nonetheless, the Court presses on to decide the issue, and as it does, it ignores its jurisdictional limits, remakes its traditional rules of review, and creates simultaneously a new categorical rule and an exception (neither of which is rooted in our prior case law, common law, or common sense). I protest not only the Court's decision, but each step taken to reach it. More fundamentally, I question the Court's wisdom in issuing sweeping new rules to decide such a narrow case. Surely, as JUSTICE KENNEDY demonstrates, the Court could have reached the result it wanted without inflicting this damage upon our Takings Clause jurisprudence.</w:t>
      </w:r>
    </w:p>
    <w:p w:rsidR="00A31137" w:rsidRPr="00A31137" w:rsidRDefault="00A31137" w:rsidP="00A31137">
      <w:r w:rsidRPr="00A31137">
        <w:t>1992, Lucas v. So. Carolina Coastal Council, 505 U.S. 1036</w:t>
      </w:r>
    </w:p>
    <w:p w:rsidR="00A31137" w:rsidRPr="00A31137" w:rsidRDefault="00A31137" w:rsidP="00A31137">
      <w:r w:rsidRPr="00A31137">
        <w:t>My fear is that the Court's new policies will spread beyond the narrow confines of the present case. For that reason, I, like the Court, will give far greater attention to this case than its narrow scope suggests—not because I can intercept [505 U.S. 1037] the Court's missile, or save the targeted mouse, but because I hope perhaps to limit the collateral damage.</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1992, Lucas v. So. Carolina Coastal Council, 505 U.S. 1037</w:t>
      </w:r>
    </w:p>
    <w:p w:rsidR="00A31137" w:rsidRPr="00A31137" w:rsidRDefault="00A31137" w:rsidP="00A31137">
      <w:r w:rsidRPr="00A31137">
        <w:t>In 1972, Congress passed the Coastal Zone Management Act. 16 U.S.C. § 1451 et seq. The Act was designed to provide States with money and incentives to carry out Congress' goal of protecting the public from shoreline erosion and coastal hazards. In the 1980 Amendments to the Act, Congress directed States to enhance their coastal programs by</w:t>
      </w:r>
    </w:p>
    <w:p w:rsidR="00A31137" w:rsidRPr="00A31137" w:rsidRDefault="00A31137" w:rsidP="00A31137">
      <w:r w:rsidRPr="00A31137">
        <w:t>1992, Lucas v. So. Carolina Coastal Council, 505 U.S. 1037</w:t>
      </w:r>
    </w:p>
    <w:p w:rsidR="00A31137" w:rsidRPr="00A31137" w:rsidRDefault="00A31137" w:rsidP="00A31137">
      <w:r w:rsidRPr="00A31137">
        <w:t>[p]reventing or significantly reducing threats to life and the destruction of property by eliminating development and redevelopment in high-hazard areas. 1</w:t>
      </w:r>
    </w:p>
    <w:p w:rsidR="00A31137" w:rsidRPr="00A31137" w:rsidRDefault="00A31137" w:rsidP="00A31137">
      <w:r w:rsidRPr="00A31137">
        <w:t>1992, Lucas v. So. Carolina Coastal Council, 505 U.S. 1037</w:t>
      </w:r>
    </w:p>
    <w:p w:rsidR="00A31137" w:rsidRPr="00A31137" w:rsidRDefault="00A31137" w:rsidP="00A31137">
      <w:r w:rsidRPr="00A31137">
        <w:t>16 U.S.C. § 1456b(a)(2) (1988 ed., Supp. II).</w:t>
      </w:r>
    </w:p>
    <w:p w:rsidR="00A31137" w:rsidRPr="00A31137" w:rsidRDefault="00A31137" w:rsidP="00A31137">
      <w:r w:rsidRPr="00A31137">
        <w:t>1992, Lucas v. So. Carolina Coastal Council, 505 U.S. 1037</w:t>
      </w:r>
    </w:p>
    <w:p w:rsidR="00A31137" w:rsidRPr="00A31137" w:rsidRDefault="00A31137" w:rsidP="00A31137">
      <w:r w:rsidRPr="00A31137">
        <w:t>South Carolina began implementing the congressional directive by enacting the South Carolina Coastal Zone Management Act of 1977. Under the 1977 Act, any construction activity in what was designated the "critical area" required a permit from the Council, and the construction of any habitable structure was prohibited. The 1977 critical area was relatively narrow.</w:t>
      </w:r>
    </w:p>
    <w:p w:rsidR="00A31137" w:rsidRPr="00A31137" w:rsidRDefault="00A31137" w:rsidP="00A31137">
      <w:r w:rsidRPr="00A31137">
        <w:t>1992, Lucas v. So. Carolina Coastal Council, 505 U.S. 1037</w:t>
      </w:r>
    </w:p>
    <w:p w:rsidR="00A31137" w:rsidRPr="00A31137" w:rsidRDefault="00A31137" w:rsidP="00A31137">
      <w:r w:rsidRPr="00A31137">
        <w:t>This effort did not stop the loss of shoreline. In October, 1986, the Council appointed a "Blue Ribbon Committee on Beachfront Management" to investigate beach erosion and [505 U.S. 1038] propose possible solutions. In March, 1987, the Committee found that South Carolina's beaches were "critically eroding," and proposed land use restrictions. Report of the South Carolina Blue Ribbon Committee on Beachfront Management i, 6-10 (March 1987). In response, South Carolina enacted the Beachfront Management Act on July 1, 1988. S.C.Code § 48-39-250 et seq. (Supp.1990). The 1988 Act did not change the uses permitted within the designated critical areas. Rather, it enlarged those areas to encompass the distance from the mean high water mark to a setback line established on the basis of "the best scientific and historical data" available. 2 S.C.Code § 48-39-280 (Supp.1991).</w:t>
      </w:r>
    </w:p>
    <w:p w:rsidR="00A31137" w:rsidRPr="00A31137" w:rsidRDefault="00A31137" w:rsidP="00A31137">
      <w:r w:rsidRPr="00A31137">
        <w:t>B</w:t>
      </w:r>
    </w:p>
    <w:p w:rsidR="00A31137" w:rsidRPr="00A31137" w:rsidRDefault="00A31137" w:rsidP="00A31137">
      <w:r w:rsidRPr="00A31137">
        <w:t>1992, Lucas v. So. Carolina Coastal Council, 505 U.S. 1038</w:t>
      </w:r>
    </w:p>
    <w:p w:rsidR="00A31137" w:rsidRPr="00A31137" w:rsidRDefault="00A31137" w:rsidP="00A31137">
      <w:r w:rsidRPr="00A31137">
        <w:t>Petitioner Lucas is a contractor, manager, and part owner of the Wild Dune development on the Isle of Palms. He has lived there since 1978. In December, 1986, he purchased two of the last four pieces of vacant property in the development. 3 The area is notoriously unstable. In roughly half of the last 40 years, all of part of petitioner's property was part of the beach or flooded twice daily by the ebb and flow of the tide. Tr. 84. Between 1957 and 1963, petitioner's property was under water. Id. at 79, 81-82. Between 1963 and 1973, the shoreline was 100 to 150 feet onto petitioner's property. Ibid. In 1973, the first line of stable vegetation was about half-way through the property. Id. at 80. Between 1981 and 1983, the Isle of Palms issued 12 emergency orders for [505 U.S. 1039] sandbagging to protect property in the Wild Dune development. Id. at 99. Determining that local habitable structures were in imminent danger of collapse, the Council issued permits for two rock revetments to protect condominium developments near petitioner's property from erosion; one of the revetments extends more than half-way onto one of his lots. Id. at 102.</w:t>
      </w:r>
    </w:p>
    <w:p w:rsidR="00A31137" w:rsidRPr="00A31137" w:rsidRDefault="00A31137" w:rsidP="00A31137">
      <w:r w:rsidRPr="00A31137">
        <w:t>C</w:t>
      </w:r>
    </w:p>
    <w:p w:rsidR="00A31137" w:rsidRPr="00A31137" w:rsidRDefault="00A31137" w:rsidP="00A31137">
      <w:r w:rsidRPr="00A31137">
        <w:t>1992, Lucas v. So. Carolina Coastal Council, 505 U.S. 1039</w:t>
      </w:r>
    </w:p>
    <w:p w:rsidR="00A31137" w:rsidRPr="00A31137" w:rsidRDefault="00A31137" w:rsidP="00A31137">
      <w:r w:rsidRPr="00A31137">
        <w:t>The South Carolina Supreme Court found that the Beachfront Management Act did not take petitioner's property without compensation. The decision rested on two premises that, until today, were unassailable—that the State has the power to prevent any use of property it finds to be harmful to its citizens, and that a state statute is entitled to a presumption of constitutionality.</w:t>
      </w:r>
    </w:p>
    <w:p w:rsidR="00A31137" w:rsidRPr="00A31137" w:rsidRDefault="00A31137" w:rsidP="00A31137">
      <w:r w:rsidRPr="00A31137">
        <w:t>1992, Lucas v. So. Carolina Coastal Council, 505 U.S. 1039</w:t>
      </w:r>
    </w:p>
    <w:p w:rsidR="00A31137" w:rsidRPr="00A31137" w:rsidRDefault="00A31137" w:rsidP="00A31137">
      <w:r w:rsidRPr="00A31137">
        <w:t>The Beachfront Management Act includes a finding by the South Carolina General Assembly that the beach/dune system serves the purpose of</w:t>
      </w:r>
    </w:p>
    <w:p w:rsidR="00A31137" w:rsidRPr="00A31137" w:rsidRDefault="00A31137" w:rsidP="00A31137">
      <w:r w:rsidRPr="00A31137">
        <w:t>1992, Lucas v. So. Carolina Coastal Council, 505 U.S. 1039</w:t>
      </w:r>
    </w:p>
    <w:p w:rsidR="00A31137" w:rsidRPr="00A31137" w:rsidRDefault="00A31137" w:rsidP="00A31137">
      <w:r w:rsidRPr="00A31137">
        <w:t>protect[ing] life and property by serving as a storm barrier which dissipates wave energy and contributes to shoreline stability in an economical and effective manner.</w:t>
      </w:r>
    </w:p>
    <w:p w:rsidR="00A31137" w:rsidRPr="00A31137" w:rsidRDefault="00A31137" w:rsidP="00A31137">
      <w:r w:rsidRPr="00A31137">
        <w:t>1992, Lucas v. So. Carolina Coastal Council, 505 U.S. 1039</w:t>
      </w:r>
    </w:p>
    <w:p w:rsidR="00A31137" w:rsidRPr="00A31137" w:rsidRDefault="00A31137" w:rsidP="00A31137">
      <w:r w:rsidRPr="00A31137">
        <w:t>§ 48-39-250(1)(a). The General Assembly also found that</w:t>
      </w:r>
    </w:p>
    <w:p w:rsidR="00A31137" w:rsidRPr="00A31137" w:rsidRDefault="00A31137" w:rsidP="00A31137">
      <w:r w:rsidRPr="00A31137">
        <w:t>1992, Lucas v. So. Carolina Coastal Council, 505 U.S. 1039</w:t>
      </w:r>
    </w:p>
    <w:p w:rsidR="00A31137" w:rsidRPr="00A31137" w:rsidRDefault="00A31137" w:rsidP="00A31137">
      <w:r w:rsidRPr="00A31137">
        <w:t>development unwisely has been sited too close to the [beach/dune] system. This type of development has jeopardized the stability of the beach/dune system, accelerated erosion, and endangered adjacent property.</w:t>
      </w:r>
    </w:p>
    <w:p w:rsidR="00A31137" w:rsidRPr="00A31137" w:rsidRDefault="00A31137" w:rsidP="00A31137">
      <w:r w:rsidRPr="00A31137">
        <w:t>1992, Lucas v. So. Carolina Coastal Council, 505 U.S. 1039</w:t>
      </w:r>
    </w:p>
    <w:p w:rsidR="00A31137" w:rsidRPr="00A31137" w:rsidRDefault="00A31137" w:rsidP="00A31137">
      <w:r w:rsidRPr="00A31137">
        <w:t>§ 48-39-250(4); see also § 4839-250(6) (discussing the need to "afford the beach/dune system space to accrete and erode").</w:t>
      </w:r>
    </w:p>
    <w:p w:rsidR="00A31137" w:rsidRPr="00A31137" w:rsidRDefault="00A31137" w:rsidP="00A31137">
      <w:r w:rsidRPr="00A31137">
        <w:t>1992, Lucas v. So. Carolina Coastal Council, 505 U.S. 1039</w:t>
      </w:r>
    </w:p>
    <w:p w:rsidR="00A31137" w:rsidRPr="00A31137" w:rsidRDefault="00A31137" w:rsidP="00A31137">
      <w:r w:rsidRPr="00A31137">
        <w:t>If the state legislature is correct that the prohibition on building in front of the setback line prevents serious harm, then, under this Court's prior cases, the Act is constitutional.</w:t>
      </w:r>
    </w:p>
    <w:p w:rsidR="00A31137" w:rsidRPr="00A31137" w:rsidRDefault="00A31137" w:rsidP="00A31137">
      <w:r w:rsidRPr="00A31137">
        <w:t>1992, Lucas v. So. Carolina Coastal Council, 505 U.S. 1039</w:t>
      </w:r>
    </w:p>
    <w:p w:rsidR="00A31137" w:rsidRPr="00A31137" w:rsidRDefault="00A31137" w:rsidP="00A31137">
      <w:r w:rsidRPr="00A31137">
        <w:t>Long ago it was recognized that all property in this country is held under the implied obligation that the owner's use of it shall not be injurious to the community, and the Takings Clause did not transform that principle to one that requires compensation whenever the State asserts its power to enforce [505 U.S. 1040] it.</w:t>
      </w:r>
    </w:p>
    <w:p w:rsidR="00A31137" w:rsidRPr="00A31137" w:rsidRDefault="00A31137" w:rsidP="00A31137">
      <w:r w:rsidRPr="00A31137">
        <w:t>1992, Lucas v. So. Carolina Coastal Council, 505 U.S. 1040</w:t>
      </w:r>
    </w:p>
    <w:p w:rsidR="00A31137" w:rsidRPr="00A31137" w:rsidRDefault="00A31137" w:rsidP="00A31137">
      <w:r w:rsidRPr="00A31137">
        <w:t>Keystone Bituminous Coal Assn. v. DeBenedictis, 480 U.S. 470, 491-492 (1987) (internal quotations omitted); see also id. at 488-489, and n. 18. The Court consistently has upheld regulations imposed to arrest a significant threat to the common welfare, whatever their economic effect on the owner. See e.g., Goldblatt v. Hempstead, 369 U.S. 590, 592-593 (1962); Euclid v. Ambler Realty Co., 272 U.S. 365 (1926); Gorieb v. Fox, 274 U.S. 603, 608 (1927); Mugler v. Kansas, 123 U.S. 623 (1887).</w:t>
      </w:r>
    </w:p>
    <w:p w:rsidR="00A31137" w:rsidRPr="00A31137" w:rsidRDefault="00A31137" w:rsidP="00A31137">
      <w:r w:rsidRPr="00A31137">
        <w:t>1992, Lucas v. So. Carolina Coastal Council, 505 U.S. 1040</w:t>
      </w:r>
    </w:p>
    <w:p w:rsidR="00A31137" w:rsidRPr="00A31137" w:rsidRDefault="00A31137" w:rsidP="00A31137">
      <w:r w:rsidRPr="00A31137">
        <w:t>Petitioner never challenged the legislature's findings that a building ban was necessary to protect property and life. Nor did he contend that the threatened harm was not sufficiently serious to make building a house in a particular location a "harmful" use, that the legislature had not made sufficient findings, or that the legislature was motivated by anything other than a desire to minimize damage to coastal areas. Indeed, petitioner objected at trial that evidence as to the purposes of the setback requirement was irrelevant. Tr. 68. The South Carolina Supreme Court accordingly understood petitioner not to contest the State's position that "discouraging new construction in close proximity to the beach/dune area is necessary to prevent a great public harm," 304 S.C. 376, 383, 404 S.E.2d 895, 898 (1991), and "to prevent serious injury to the community." Id. at 387, 404 S.E.2d at 901. The court considered itself "bound by these uncontested legislative findings…[in the absence of] any attack whatsoever on the statutory scheme." Id. at 383, 404 S.E.2d at 898.</w:t>
      </w:r>
    </w:p>
    <w:p w:rsidR="00A31137" w:rsidRPr="00A31137" w:rsidRDefault="00A31137" w:rsidP="00A31137">
      <w:r w:rsidRPr="00A31137">
        <w:t>1992, Lucas v. So. Carolina Coastal Council, 505 U.S. 1040</w:t>
      </w:r>
    </w:p>
    <w:p w:rsidR="00A31137" w:rsidRPr="00A31137" w:rsidRDefault="00A31137" w:rsidP="00A31137">
      <w:r w:rsidRPr="00A31137">
        <w:t>Nothing in the record undermines the General Assembly's assessment that prohibitions on building in front of the setback line are necessary to protect people and property from storms, high tides, and beach erosion. Because that legislative determination cannot be disregarded in the absence of such evidence, see, e.g., Euclid, 272 U.S. at  388; O'Gorman &amp; Young v. Hartford Fire Ins. Co., 282 U.S. 251, 257-258 (1931) (Brandeis, J.), and because its determination [505 U.S. 1041] of harm to life and property from building is sufficient to prohibit that use under this Court's cases, the South Carolina Supreme Court correctly found no taking.</w:t>
      </w:r>
    </w:p>
    <w:p w:rsidR="00A31137" w:rsidRPr="00A31137" w:rsidRDefault="00A31137" w:rsidP="00A31137">
      <w:r w:rsidRPr="00A31137">
        <w:t>II</w:t>
      </w:r>
    </w:p>
    <w:p w:rsidR="00A31137" w:rsidRPr="00A31137" w:rsidRDefault="00A31137" w:rsidP="00A31137">
      <w:r w:rsidRPr="00A31137">
        <w:t>1992, Lucas v. So. Carolina Coastal Council, 505 U.S. 1041</w:t>
      </w:r>
    </w:p>
    <w:p w:rsidR="00A31137" w:rsidRPr="00A31137" w:rsidRDefault="00A31137" w:rsidP="00A31137">
      <w:r w:rsidRPr="00A31137">
        <w:t>My disagreement with the Court begins with its decision to review this case. This Court has held consistently that a land use challenge is not ripe for review until there is a final decision about what uses of the property will be permitted. The ripeness requirement is not simply a gesture of good-will to land use planners. In the absence of</w:t>
      </w:r>
    </w:p>
    <w:p w:rsidR="00A31137" w:rsidRPr="00A31137" w:rsidRDefault="00A31137" w:rsidP="00A31137">
      <w:r w:rsidRPr="00A31137">
        <w:t>1992, Lucas v. So. Carolina Coastal Council, 505 U.S. 1041</w:t>
      </w:r>
    </w:p>
    <w:p w:rsidR="00A31137" w:rsidRPr="00A31137" w:rsidRDefault="00A31137" w:rsidP="00A31137">
      <w:r w:rsidRPr="00A31137">
        <w:t>a final and authoritative determination of the type and intensity of development legally permitted on the subject property,</w:t>
      </w:r>
    </w:p>
    <w:p w:rsidR="00A31137" w:rsidRPr="00A31137" w:rsidRDefault="00A31137" w:rsidP="00A31137">
      <w:r w:rsidRPr="00A31137">
        <w:t>1992, Lucas v. So. Carolina Coastal Council, 505 U.S. 1041</w:t>
      </w:r>
    </w:p>
    <w:p w:rsidR="00A31137" w:rsidRPr="00A31137" w:rsidRDefault="00A31137" w:rsidP="00A31137">
      <w:r w:rsidRPr="00A31137">
        <w:t>MacDonald, Sommer &amp; Frates v. Yolo County, 477 U.S. 340, 348 (1986), and the utilization of state procedures for just compensation, there is no final judgment, and, in the absence of a final judgment, there is no jurisdiction. See San Diego Gas &amp; Electric Co. v. San Diego, 450 U.S. 621, 633 (1981); Agins v. Tiburon, 447 U.S. 255,  260 (1980).</w:t>
      </w:r>
    </w:p>
    <w:p w:rsidR="00A31137" w:rsidRPr="00A31137" w:rsidRDefault="00A31137" w:rsidP="00A31137">
      <w:r w:rsidRPr="00A31137">
        <w:t>1992, Lucas v. So. Carolina Coastal Council, 505 U.S. 1041</w:t>
      </w:r>
    </w:p>
    <w:p w:rsidR="00A31137" w:rsidRPr="00A31137" w:rsidRDefault="00A31137" w:rsidP="00A31137">
      <w:r w:rsidRPr="00A31137">
        <w:t>This rule is "compelled by the very nature of the inquiry required by the Just Compensation Clause," because the factors applied in deciding a takings claim</w:t>
      </w:r>
    </w:p>
    <w:p w:rsidR="00A31137" w:rsidRPr="00A31137" w:rsidRDefault="00A31137" w:rsidP="00A31137">
      <w:r w:rsidRPr="00A31137">
        <w:t>1992, Lucas v. So. Carolina Coastal Council, 505 U.S. 1041</w:t>
      </w:r>
    </w:p>
    <w:p w:rsidR="00A31137" w:rsidRPr="00A31137" w:rsidRDefault="00A31137" w:rsidP="00A31137">
      <w:r w:rsidRPr="00A31137">
        <w:t>simply cannot be evaluated until the administrative agency has arrived at a final, definitive position regarding how it will apply the regulations at issue to the particular land in question.</w:t>
      </w:r>
    </w:p>
    <w:p w:rsidR="00A31137" w:rsidRPr="00A31137" w:rsidRDefault="00A31137" w:rsidP="00A31137">
      <w:r w:rsidRPr="00A31137">
        <w:t>1992, Lucas v. So. Carolina Coastal Council, 505 U.S. 1041</w:t>
      </w:r>
    </w:p>
    <w:p w:rsidR="00A31137" w:rsidRPr="00A31137" w:rsidRDefault="00A31137" w:rsidP="00A31137">
      <w:r w:rsidRPr="00A31137">
        <w:t>Williamson County Regional Planning Comm'n v. Hamilton Bank of Johnson City, 473 U.S. 172, 190, 191 (1985). See also MacDonald, Sommer &amp; Frates, 477 U.S. at 348 ("A court cannot determine whether a regulation has gone 'too far' unless it knows how far the regulation goes") (citation omitted).</w:t>
      </w:r>
    </w:p>
    <w:p w:rsidR="00A31137" w:rsidRPr="00A31137" w:rsidRDefault="00A31137" w:rsidP="00A31137">
      <w:r w:rsidRPr="00A31137">
        <w:t>1992, Lucas v. So. Carolina Coastal Council, 505 U.S. 1041</w:t>
      </w:r>
    </w:p>
    <w:p w:rsidR="00A31137" w:rsidRPr="00A31137" w:rsidRDefault="00A31137" w:rsidP="00A31137">
      <w:r w:rsidRPr="00A31137">
        <w:t>The Court admits that the 1990 amendments to the Beachfront Management Act allowing special permits preclude Lucas from asserting that his property has been permanently taken. See ante at 1011-1012. The Court agrees that such a claim would not be ripe, because there has been no final decision by respondent on what uses will be permitted. [505 U.S. 1042] The Court, however, will not be denied: it determines that petitioner's "temporary takings" claim for the period from July 1, 1988, to June 25, 1990, is ripe. But this claim also is not justiciable. 4</w:t>
      </w:r>
    </w:p>
    <w:p w:rsidR="00A31137" w:rsidRPr="00A31137" w:rsidRDefault="00A31137" w:rsidP="00A31137">
      <w:r w:rsidRPr="00A31137">
        <w:t>1992, Lucas v. So. Carolina Coastal Council, 505 U.S. 1042</w:t>
      </w:r>
    </w:p>
    <w:p w:rsidR="00A31137" w:rsidRPr="00A31137" w:rsidRDefault="00A31137" w:rsidP="00A31137">
      <w:r w:rsidRPr="00A31137">
        <w:t>From the very beginning of this litigation, respondent has argued that the courts:</w:t>
      </w:r>
    </w:p>
    <w:p w:rsidR="00A31137" w:rsidRPr="00A31137" w:rsidRDefault="00A31137" w:rsidP="00A31137">
      <w:r w:rsidRPr="00A31137">
        <w:t>1992, Lucas v. So. Carolina Coastal Council, 505 U.S. 1042</w:t>
      </w:r>
    </w:p>
    <w:p w:rsidR="00A31137" w:rsidRPr="00A31137" w:rsidRDefault="00A31137" w:rsidP="00A31137">
      <w:r w:rsidRPr="00A31137">
        <w:t>"lac[k] jurisdiction in this matter because the Plaintiff has sought no authorization from Council for use of his property, has not challenged the location of the baseline or setback line as alleged in the Complaint, and because no final agency decision has been rendered concerning use of his property or location of said baseline or setback line.</w:t>
      </w:r>
    </w:p>
    <w:p w:rsidR="00A31137" w:rsidRPr="00A31137" w:rsidRDefault="00A31137" w:rsidP="00A31137">
      <w:r w:rsidRPr="00A31137">
        <w:t>1992, Lucas v. So. Carolina Coastal Council, 505 U.S. 1042</w:t>
      </w:r>
    </w:p>
    <w:p w:rsidR="00A31137" w:rsidRPr="00A31137" w:rsidRDefault="00A31137" w:rsidP="00A31137">
      <w:r w:rsidRPr="00A31137">
        <w:t>Tr. 10 (answer, as amended). Although the Council's plea has been ignored by every court, it is undoubtedly correct.</w:t>
      </w:r>
    </w:p>
    <w:p w:rsidR="00A31137" w:rsidRPr="00A31137" w:rsidRDefault="00A31137" w:rsidP="00A31137">
      <w:r w:rsidRPr="00A31137">
        <w:t>1992, Lucas v. So. Carolina Coastal Council, 505 U.S. 1042</w:t>
      </w:r>
    </w:p>
    <w:p w:rsidR="00A31137" w:rsidRPr="00A31137" w:rsidRDefault="00A31137" w:rsidP="00A31137">
      <w:r w:rsidRPr="00A31137">
        <w:t>Under the Beachfront Management Act, petitioner was entitled to challenge the setback line or the baseline or erosion rate applied to his property in formal administrative, followed by judicial, proceedings. S.C.Code § 48-39-280(E) (Supp.1991). Because Lucas failed to pursue this administrative remedy, the Council never finally decided whether Lucas' particular piece of property was correctly categorized as a critical area in which building would not be permitted. This is all the more crucial because Lucas argued strenuously in the trial court that his land was perfectly safe to build on, and that his company had studies to prove it. Tr. 20, 25, 36. If he was correct, the Council's [505 U.S. 1043] final decision would have been to alter the setback line, eliminating the construction ban on Lucas' property.</w:t>
      </w:r>
    </w:p>
    <w:p w:rsidR="00A31137" w:rsidRPr="00A31137" w:rsidRDefault="00A31137" w:rsidP="00A31137">
      <w:r w:rsidRPr="00A31137">
        <w:t>1992, Lucas v. So. Carolina Coastal Council, 505 U.S. 1043</w:t>
      </w:r>
    </w:p>
    <w:p w:rsidR="00A31137" w:rsidRPr="00A31137" w:rsidRDefault="00A31137" w:rsidP="00A31137">
      <w:r w:rsidRPr="00A31137">
        <w:t>That petitioner's property fell within the critical area as initially interpreted by the Council does not excuse petitioner's failure to challenge the Act's application to his property in the administrative process. The claim is not ripe until petitioner seeks a variance from that status.</w:t>
      </w:r>
    </w:p>
    <w:p w:rsidR="00A31137" w:rsidRPr="00A31137" w:rsidRDefault="00A31137" w:rsidP="00A31137">
      <w:r w:rsidRPr="00A31137">
        <w:t>1992, Lucas v. So. Carolina Coastal Council, 505 U.S. 1043</w:t>
      </w:r>
    </w:p>
    <w:p w:rsidR="00A31137" w:rsidRPr="00A31137" w:rsidRDefault="00A31137" w:rsidP="00A31137">
      <w:r w:rsidRPr="00A31137">
        <w:t>[W]e have made it quite clear that the mere assertion of regulatory jurisdiction by a governmental body does not constitute a regulatory taking.</w:t>
      </w:r>
    </w:p>
    <w:p w:rsidR="00A31137" w:rsidRPr="00A31137" w:rsidRDefault="00A31137" w:rsidP="00A31137">
      <w:r w:rsidRPr="00A31137">
        <w:t>1992, Lucas v. So. Carolina Coastal Council, 505 U.S. 1043</w:t>
      </w:r>
    </w:p>
    <w:p w:rsidR="00A31137" w:rsidRPr="00A31137" w:rsidRDefault="00A31137" w:rsidP="00A31137">
      <w:r w:rsidRPr="00A31137">
        <w:t>United States v. Riverside Bayview Homes, Inc., 474 U.S. 121,  126 (1985). See also Williamson County, 473 U.S. at 188 (claim not ripe because respondent did not seek variances that would have allowed it to develop the property, notwithstanding the Commission's finding that the plan did not comply with the zoning ordinance and subdivision regulations). 5</w:t>
      </w:r>
    </w:p>
    <w:p w:rsidR="00A31137" w:rsidRPr="00A31137" w:rsidRDefault="00A31137" w:rsidP="00A31137">
      <w:r w:rsidRPr="00A31137">
        <w:t>1992, Lucas v. So. Carolina Coastal Council, 505 U.S. 1043</w:t>
      </w:r>
    </w:p>
    <w:p w:rsidR="00A31137" w:rsidRPr="00A31137" w:rsidRDefault="00A31137" w:rsidP="00A31137">
      <w:r w:rsidRPr="00A31137">
        <w:t>Even if I agreed with the Court that there were no jurisdictional barriers to deciding this case, I still would not try to decide it. The Court creates its new taking jurisprudence based on the trial court's finding that the property [505 U.S. 1044] had lost all economic value. 6 This finding is almost certainly erroneous. Petitioner still can enjoy other attributes of ownership, such as the right to exclude others, "one of the most essential sticks in the bundle of rights that are commonly characterized as property." Kaiser Aetna v. United States, 444 U.S. 164,  176 (1979). Petitioner can picnic, swim, camp in a tent, or live on the property in a movable trailer. State courts frequently have recognized that land has economic value where the only residual economic uses are recreation or camping. See, e.g., Turnpike Realty Co. v. Dedham, 362 Mass. 221, 284 N.E.2d 891 (1972) cert. denied, 409 U.S. 1108 (1973); Turner v. County of Del Norte, 24 Cal.App.3d 311, 101 Cal.Rptr. 93 (19721; Hall v. Board of Environmental Protection, 528 A.2d 453 (Me.1987). Petitioner also retains the right to alienate the land, which would have value for neighbors and for those prepared to enjoy proximity to the ocean without a house.</w:t>
      </w:r>
    </w:p>
    <w:p w:rsidR="00A31137" w:rsidRPr="00A31137" w:rsidRDefault="00A31137" w:rsidP="00A31137">
      <w:r w:rsidRPr="00A31137">
        <w:t>1992, Lucas v. So. Carolina Coastal Council, 505 U.S. 1044</w:t>
      </w:r>
    </w:p>
    <w:p w:rsidR="00A31137" w:rsidRPr="00A31137" w:rsidRDefault="00A31137" w:rsidP="00A31137">
      <w:r w:rsidRPr="00A31137">
        <w:t>Yet the trial court, apparently believing that "less value" and "valueless" could be used interchangeably, found the property "valueless." The court accepted no evidence from the State on the property's value without a home, and petitioner's appraiser testified that he never had considered what the value would be absent a residence. Tr. 54-55. The appraiser's value was based on the fact that the "highest and best use of these lots…[is] luxury single family detached dwellings." Id. at 48. The trial court appeared to believe that the property could be considered "valueless" if it was not available for its most profitable use. Absent that erroneous assumption, see Goldblatt, 369 U.S. at 592, I find no evidence in the record supporting the trial court's conclusion that the damage to the lots by virtue of the restrictions [505 U.S. 1045] was "total." Record 128 (findings of fact). I agree with the Court, ante at  1020, n. 9, that it has the power to decide a case that turns on an erroneous finding, but I question the wisdom of deciding an issue based on a factual premise that does not exist in this case, and in the judgment of the Court will exist in the future only in "extraordinary circumstance[s]." Ante at  1017.</w:t>
      </w:r>
    </w:p>
    <w:p w:rsidR="00A31137" w:rsidRPr="00A31137" w:rsidRDefault="00A31137" w:rsidP="00A31137">
      <w:r w:rsidRPr="00A31137">
        <w:t>1992, Lucas v. So. Carolina Coastal Council, 505 U.S. 1045</w:t>
      </w:r>
    </w:p>
    <w:p w:rsidR="00A31137" w:rsidRPr="00A31137" w:rsidRDefault="00A31137" w:rsidP="00A31137">
      <w:r w:rsidRPr="00A31137">
        <w:t>Clearly, the Court was eager to decide this case. 7 But eagerness, in the absence of proper jurisdiction, must—and in this case should have been—met with restraint.</w:t>
      </w:r>
    </w:p>
    <w:p w:rsidR="00A31137" w:rsidRPr="00A31137" w:rsidRDefault="00A31137" w:rsidP="00A31137">
      <w:r w:rsidRPr="00A31137">
        <w:t>III</w:t>
      </w:r>
    </w:p>
    <w:p w:rsidR="00A31137" w:rsidRPr="00A31137" w:rsidRDefault="00A31137" w:rsidP="00A31137">
      <w:r w:rsidRPr="00A31137">
        <w:t>1992, Lucas v. So. Carolina Coastal Council, 505 U.S. 1045</w:t>
      </w:r>
    </w:p>
    <w:p w:rsidR="00A31137" w:rsidRPr="00A31137" w:rsidRDefault="00A31137" w:rsidP="00A31137">
      <w:r w:rsidRPr="00A31137">
        <w:t>The Court's willingness to dispense with precedent in its haste to reach a result is not limited to its initial jurisdictional decision. The Court also alters the long-settled rules of review.</w:t>
      </w:r>
    </w:p>
    <w:p w:rsidR="00A31137" w:rsidRPr="00A31137" w:rsidRDefault="00A31137" w:rsidP="00A31137">
      <w:r w:rsidRPr="00A31137">
        <w:t>1992, Lucas v. So. Carolina Coastal Council, 505 U.S. 1045</w:t>
      </w:r>
    </w:p>
    <w:p w:rsidR="00A31137" w:rsidRPr="00A31137" w:rsidRDefault="00A31137" w:rsidP="00A31137">
      <w:r w:rsidRPr="00A31137">
        <w:t>The South Carolina Supreme Court's decision to defer to legislative judgments in the absence of a challenge from petitioner comports with one of this Court's oldest maxims: "the existence of facts supporting the legislative judgment is to be presumed." United States v. Carolene Products Co., 304 U.S. 144,  152 (1938). Indeed, we have said the legislature's judgment is "well-nigh conclusive." Berman v. [505 U.S. 1046] Parker, 348 U.S. 26,  32 (1954). See also Sweet v. Rechel, 159 U.S. 380, 392 (1895); Euclid, 272 U.S. at  388 ("If the validity of the legislative classification for zoning purposes be fairly debatable, the legislative judgment must be allowed to control").</w:t>
      </w:r>
    </w:p>
    <w:p w:rsidR="00A31137" w:rsidRPr="00A31137" w:rsidRDefault="00A31137" w:rsidP="00A31137">
      <w:r w:rsidRPr="00A31137">
        <w:t>1992, Lucas v. So. Carolina Coastal Council, 505 U.S. 1046</w:t>
      </w:r>
    </w:p>
    <w:p w:rsidR="00A31137" w:rsidRPr="00A31137" w:rsidRDefault="00A31137" w:rsidP="00A31137">
      <w:r w:rsidRPr="00A31137">
        <w:t>Accordingly, this Court always has required plaintiffs challenging the constitutionality of an ordinance to provide "some factual foundation of record" that contravenes the legislative findings. O'Gorman &amp; Young, 282 U.S. at 258. In the absence of such proof, "the presumption of constitutionality must prevail." Id. at 257. We only recently have reaffirmed that claimants have the burden of showing a state law constitutes a taking. See Keystone Bituminous Coal, 480 U.S. at  485. See also Goldblatt, 369 U.S. at 594 (citing "the usual presumption of constitutionality" that applies to statutes attacked as takings).</w:t>
      </w:r>
    </w:p>
    <w:p w:rsidR="00A31137" w:rsidRPr="00A31137" w:rsidRDefault="00A31137" w:rsidP="00A31137">
      <w:r w:rsidRPr="00A31137">
        <w:t>1992, Lucas v. So. Carolina Coastal Council, 505 U.S. 1046</w:t>
      </w:r>
    </w:p>
    <w:p w:rsidR="00A31137" w:rsidRPr="00A31137" w:rsidRDefault="00A31137" w:rsidP="00A31137">
      <w:r w:rsidRPr="00A31137">
        <w:t>Rather than invoking these traditional rules, the Court decides the State has the burden to convince the courts that its legislative judgments are correct. Despite Lucas' complete failure to contest the legislature's findings of serious harm to life and property if a permanent structure is built, the Court decides that the legislative findings are not sufficient to justify the use prohibition. Instead, the Court "emphasize[s]" the State must do more than merely proffer its legislative judgments to avoid invalidating its law. Ante at  1031. In this case, apparently, the State now has the burden of showing the regulation is not a taking. The Court offers no justification for its sudden hostility toward state legislators, and I doubt that it could.</w:t>
      </w:r>
    </w:p>
    <w:p w:rsidR="00A31137" w:rsidRPr="00A31137" w:rsidRDefault="00A31137" w:rsidP="00A31137">
      <w:r w:rsidRPr="00A31137">
        <w:t>IV</w:t>
      </w:r>
    </w:p>
    <w:p w:rsidR="00A31137" w:rsidRPr="00A31137" w:rsidRDefault="00A31137" w:rsidP="00A31137">
      <w:r w:rsidRPr="00A31137">
        <w:t>1992, Lucas v. So. Carolina Coastal Council, 505 U.S. 1046</w:t>
      </w:r>
    </w:p>
    <w:p w:rsidR="00A31137" w:rsidRPr="00A31137" w:rsidRDefault="00A31137" w:rsidP="00A31137">
      <w:r w:rsidRPr="00A31137">
        <w:t>The Court does not reject the South Carolina Supreme Court's decision simply on the basis of its disbelief and distrust of the legislature's findings. It also takes the opportunity to create a new scheme for regulations that eliminate all economic value. From now on, there is a categorical rule finding these regulations to be a taking unless the use they [505 U.S. 1047] prohibit is a background common law nuisance or property principle. See ante at 1028-1031.</w:t>
      </w:r>
    </w:p>
    <w:p w:rsidR="00A31137" w:rsidRPr="00A31137" w:rsidRDefault="00A31137" w:rsidP="00A31137">
      <w:r w:rsidRPr="00A31137">
        <w:t>A</w:t>
      </w:r>
    </w:p>
    <w:p w:rsidR="00A31137" w:rsidRPr="00A31137" w:rsidRDefault="00A31137" w:rsidP="00A31137">
      <w:r w:rsidRPr="00A31137">
        <w:t>1992, Lucas v. So. Carolina Coastal Council, 505 U.S. 1047</w:t>
      </w:r>
    </w:p>
    <w:p w:rsidR="00A31137" w:rsidRPr="00A31137" w:rsidRDefault="00A31137" w:rsidP="00A31137">
      <w:r w:rsidRPr="00A31137">
        <w:t>I first question the Court's rationale in creating a category that obviates a "case-specific inquiry into the public interest advanced," ante at  1015, if all economic value has been lost. If one fact about the Court's taking jurisprudence can be stated without contradiction, it is that "the particular circumstances of each case" determine whether a specific restriction will be rendered invalid by the government's failure to pay compensation. United States v. Central Eureka Mining Co., 357 U.S. 155, 168 (1958). This is so because, although we have articulated certain factors to be considered, including the economic impact on the property owner, the ultimate conclusion "necessarily requires a weighing of private and public interests." Agins, 447 U.S. at  261. When the government regulation prevents the owner from any economically valuable use of his property, the private interest is unquestionably substantial, but we have never before held that no public interest can outweigh it. Instead the Court's prior decisions "uniformly reject the proposition that diminution in property value, standing alone, can establish a 'taking.'" Penn Central Transp. Co. v. New York City, 438 U.S. 104,  131 (1978).</w:t>
      </w:r>
    </w:p>
    <w:p w:rsidR="00A31137" w:rsidRPr="00A31137" w:rsidRDefault="00A31137" w:rsidP="00A31137">
      <w:r w:rsidRPr="00A31137">
        <w:t>1992, Lucas v. So. Carolina Coastal Council, 505 U.S. 1047</w:t>
      </w:r>
    </w:p>
    <w:p w:rsidR="00A31137" w:rsidRPr="00A31137" w:rsidRDefault="00A31137" w:rsidP="00A31137">
      <w:r w:rsidRPr="00A31137">
        <w:t>This Court repeatedly has recognized the ability of government, in certain circumstances, to regulate property without compensation, no matter how adverse the financial effect on the owner may be. More than a century ago, the Court explicitly upheld the right of States to prohibit uses of property injurious to public health, safety, or welfare without paying compensation:</w:t>
      </w:r>
    </w:p>
    <w:p w:rsidR="00A31137" w:rsidRPr="00A31137" w:rsidRDefault="00A31137" w:rsidP="00A31137">
      <w:r w:rsidRPr="00A31137">
        <w:t>1992, Lucas v. So. Carolina Coastal Council, 505 U.S. 1047</w:t>
      </w:r>
    </w:p>
    <w:p w:rsidR="00A31137" w:rsidRPr="00A31137" w:rsidRDefault="00A31137" w:rsidP="00A31137">
      <w:r w:rsidRPr="00A31137">
        <w:t>A prohibition simply upon the use of property for purposes that are declared, by valid legislation, to be injurious to the health, morals, or safety of the community, cannot, in any just sense, be deemed a taking or an appropriation of property.</w:t>
      </w:r>
    </w:p>
    <w:p w:rsidR="00A31137" w:rsidRPr="00A31137" w:rsidRDefault="00A31137" w:rsidP="00A31137">
      <w:r w:rsidRPr="00A31137">
        <w:t>1992, Lucas v. So. Carolina Coastal Council, 505 U.S. 1047</w:t>
      </w:r>
    </w:p>
    <w:p w:rsidR="00A31137" w:rsidRPr="00A31137" w:rsidRDefault="00A31137" w:rsidP="00A31137">
      <w:r w:rsidRPr="00A31137">
        <w:t>Mugler v. Kansas, 123 U.S. [505 U.S. 1048] at 668-669 (1887). On this basis, the Court upheld an ordinance effectively prohibiting operation of a previously lawful brewery, although the "establishments will become of no value as property." Id. at  664; see also id. at  668.</w:t>
      </w:r>
    </w:p>
    <w:p w:rsidR="00A31137" w:rsidRPr="00A31137" w:rsidRDefault="00A31137" w:rsidP="00A31137">
      <w:r w:rsidRPr="00A31137">
        <w:t>1992, Lucas v. So. Carolina Coastal Council, 505 U.S. 1048</w:t>
      </w:r>
    </w:p>
    <w:p w:rsidR="00A31137" w:rsidRPr="00A31137" w:rsidRDefault="00A31137" w:rsidP="00A31137">
      <w:r w:rsidRPr="00A31137">
        <w:t>Mugler was only the beginning in a long line of cases. 8 In Powell v. Pennsylvania, 127 U.S. 678 (1888), the Court upheld legislation prohibiting the manufacture of oleomargarine, despite the owner's allegation that,</w:t>
      </w:r>
    </w:p>
    <w:p w:rsidR="00A31137" w:rsidRPr="00A31137" w:rsidRDefault="00A31137" w:rsidP="00A31137">
      <w:r w:rsidRPr="00A31137">
        <w:t>1992, Lucas v. So. Carolina Coastal Council, 505 U.S. 1048</w:t>
      </w:r>
    </w:p>
    <w:p w:rsidR="00A31137" w:rsidRPr="00A31137" w:rsidRDefault="00A31137" w:rsidP="00A31137">
      <w:r w:rsidRPr="00A31137">
        <w:t>if prevented from continuing it, the value of his property employed therein would be entirely lost, and he be deprived of the means of livelihood.</w:t>
      </w:r>
    </w:p>
    <w:p w:rsidR="00A31137" w:rsidRPr="00A31137" w:rsidRDefault="00A31137" w:rsidP="00A31137">
      <w:r w:rsidRPr="00A31137">
        <w:t>1992, Lucas v. So. Carolina Coastal Council, 505 U.S. 1048</w:t>
      </w:r>
    </w:p>
    <w:p w:rsidR="00A31137" w:rsidRPr="00A31137" w:rsidRDefault="00A31137" w:rsidP="00A31137">
      <w:r w:rsidRPr="00A31137">
        <w:t>Id. at 682. In Hadacheck v. Sebastian, 239 U.S. 394 (1915), the Court upheld an ordinance prohibiting a brickyard, although the owner had made excavations on the land that prevented it from being utilized for any purpose but a brickyard. Id. at 405. In Miller v. Schoene, 276 U.S. 272 (1928), the Court held that the Fifth Amendment did not require Virginia to pay compensation to the owner of cedar trees ordered destroyed to prevent a disease from spreading to nearby apple orchards. The</w:t>
      </w:r>
    </w:p>
    <w:p w:rsidR="00A31137" w:rsidRPr="00A31137" w:rsidRDefault="00A31137" w:rsidP="00A31137">
      <w:r w:rsidRPr="00A31137">
        <w:t>1992, Lucas v. So. Carolina Coastal Council, 505 U.S. 1048</w:t>
      </w:r>
    </w:p>
    <w:p w:rsidR="00A31137" w:rsidRPr="00A31137" w:rsidRDefault="00A31137" w:rsidP="00A31137">
      <w:r w:rsidRPr="00A31137">
        <w:t>preferment of [the public interest] over the property interest of the individual, to the extent even of its destruction, is one of the distinguishing characteristics of every exercise of the police power which affects property.</w:t>
      </w:r>
    </w:p>
    <w:p w:rsidR="00A31137" w:rsidRPr="00A31137" w:rsidRDefault="00A31137" w:rsidP="00A31137">
      <w:r w:rsidRPr="00A31137">
        <w:t>1992, Lucas v. So. Carolina Coastal Council, 505 U.S. 1048</w:t>
      </w:r>
    </w:p>
    <w:p w:rsidR="00A31137" w:rsidRPr="00A31137" w:rsidRDefault="00A31137" w:rsidP="00A31137">
      <w:r w:rsidRPr="00A31137">
        <w:t>Id. at 280. Again, in Omnia Commercial Co. v. United States, 261 U.S. 502 (1923), the Court stated that "destruction of, or injury to, property is frequently accomplished without a 'taking' in the constitutional sense." Id. at 508.</w:t>
      </w:r>
    </w:p>
    <w:p w:rsidR="00A31137" w:rsidRPr="00A31137" w:rsidRDefault="00A31137" w:rsidP="00A31137">
      <w:r w:rsidRPr="00A31137">
        <w:t>1992, Lucas v. So. Carolina Coastal Council, 505 U.S. 1048</w:t>
      </w:r>
    </w:p>
    <w:p w:rsidR="00A31137" w:rsidRPr="00A31137" w:rsidRDefault="00A31137" w:rsidP="00A31137">
      <w:r w:rsidRPr="00A31137">
        <w:t>More recently, in Goldblatt, the Court upheld a town regulation that barred continued operation of an existing sand and gravel operation in order to protect public safety. 369 [505 U.S. 1049] U.S. at 596. "Although a comparison of values before and after is relevant," the Court stated, "it is by no means conclusive." 9 Id. at 594. In 1978, the Court declared that,</w:t>
      </w:r>
    </w:p>
    <w:p w:rsidR="00A31137" w:rsidRPr="00A31137" w:rsidRDefault="00A31137" w:rsidP="00A31137">
      <w:r w:rsidRPr="00A31137">
        <w:t>1992, Lucas v. So. Carolina Coastal Council, 505 U.S. 1049</w:t>
      </w:r>
    </w:p>
    <w:p w:rsidR="00A31137" w:rsidRPr="00A31137" w:rsidRDefault="00A31137" w:rsidP="00A31137">
      <w:r w:rsidRPr="00A31137">
        <w:t>in instances in which a state tribunal reasonably concluded that "the health, safety, morals, or general welfare" would be promoted by prohibiting particular contemplated uses of land, this Court has upheld land use regulation that destroyed…recognized real property interests.</w:t>
      </w:r>
    </w:p>
    <w:p w:rsidR="00A31137" w:rsidRPr="00A31137" w:rsidRDefault="00A31137" w:rsidP="00A31137">
      <w:r w:rsidRPr="00A31137">
        <w:t>1992, Lucas v. So. Carolina Coastal Council, 505 U.S. 1049</w:t>
      </w:r>
    </w:p>
    <w:p w:rsidR="00A31137" w:rsidRPr="00A31137" w:rsidRDefault="00A31137" w:rsidP="00A31137">
      <w:r w:rsidRPr="00A31137">
        <w:t xml:space="preserve">Penn Central Transp. Co., 438 U.S. at  125. In First Lutheran Church v. Los Angeles County, 482 U.S. 304 (1987), the owner alleged that a floodplain ordinance had deprived it of "all use" of the property. Id. at  312. The Court remanded the case for consideration whether, even if the ordinance denied the owner all use, it could be justified as a safety measure. 10 Id. at  313. And in Keystone Bituminous Coal, the Court summarized over 100 years of precedent: "the Court has repeatedly upheld regulations that destroy or adversely affect real property interests." 11 480 U.S. at  489, n. 18. [505 U.S. 1050] </w:t>
      </w:r>
    </w:p>
    <w:p w:rsidR="00A31137" w:rsidRPr="00A31137" w:rsidRDefault="00A31137" w:rsidP="00A31137">
      <w:r w:rsidRPr="00A31137">
        <w:t>1992, Lucas v. So. Carolina Coastal Council, 505 U.S. 1050</w:t>
      </w:r>
    </w:p>
    <w:p w:rsidR="00A31137" w:rsidRPr="00A31137" w:rsidRDefault="00A31137" w:rsidP="00A31137">
      <w:r w:rsidRPr="00A31137">
        <w:t>The Court recognizes that</w:t>
      </w:r>
    </w:p>
    <w:p w:rsidR="00A31137" w:rsidRPr="00A31137" w:rsidRDefault="00A31137" w:rsidP="00A31137">
      <w:r w:rsidRPr="00A31137">
        <w:t>1992, Lucas v. So. Carolina Coastal Council, 505 U.S. 1050</w:t>
      </w:r>
    </w:p>
    <w:p w:rsidR="00A31137" w:rsidRPr="00A31137" w:rsidRDefault="00A31137" w:rsidP="00A31137">
      <w:r w:rsidRPr="00A31137">
        <w:t>our prior opinions have suggested that "harmful or noxious uses" of property may be proscribed by government regulation without the requirement of compensation,</w:t>
      </w:r>
    </w:p>
    <w:p w:rsidR="00A31137" w:rsidRPr="00A31137" w:rsidRDefault="00A31137" w:rsidP="00A31137">
      <w:r w:rsidRPr="00A31137">
        <w:t>1992, Lucas v. So. Carolina Coastal Council, 505 U.S. 1050</w:t>
      </w:r>
    </w:p>
    <w:p w:rsidR="00A31137" w:rsidRPr="00A31137" w:rsidRDefault="00A31137" w:rsidP="00A31137">
      <w:r w:rsidRPr="00A31137">
        <w:t>ante at  1022, but seeks to reconcile them with its categorical rule by claiming that the Court never has upheld a regulation when the owner alleged the loss of all economic value. Even if the Court's factual premise were correct, its understanding of the Court's cases is distorted. In none of the cases did the Court suggest that the right of a State to prohibit certain activities without paying compensation turned on the availability of some residual valuable use. 12 Instead, the cases depended on whether the [505 U.S. 1051] government interest was sufficient to prohibit the activity, given the significant private cost. 13</w:t>
      </w:r>
    </w:p>
    <w:p w:rsidR="00A31137" w:rsidRPr="00A31137" w:rsidRDefault="00A31137" w:rsidP="00A31137">
      <w:r w:rsidRPr="00A31137">
        <w:t>1992, Lucas v. So. Carolina Coastal Council, 505 U.S. 1051</w:t>
      </w:r>
    </w:p>
    <w:p w:rsidR="00A31137" w:rsidRPr="00A31137" w:rsidRDefault="00A31137" w:rsidP="00A31137">
      <w:r w:rsidRPr="00A31137">
        <w:t>These cases rest on the principle that the State has full power to prohibit an owner's use of property if it is harmful to the public.</w:t>
      </w:r>
    </w:p>
    <w:p w:rsidR="00A31137" w:rsidRPr="00A31137" w:rsidRDefault="00A31137" w:rsidP="00A31137">
      <w:r w:rsidRPr="00A31137">
        <w:t>1992, Lucas v. So. Carolina Coastal Council, 505 U.S. 1051</w:t>
      </w:r>
    </w:p>
    <w:p w:rsidR="00A31137" w:rsidRPr="00A31137" w:rsidRDefault="00A31137" w:rsidP="00A31137">
      <w:r w:rsidRPr="00A31137">
        <w:t>[S]ince no individual has a right to use his property so as to create a nuisance or otherwise harm others, the State has not "taken" anything when it asserts its power to enjoin the nuisance-like activity.</w:t>
      </w:r>
    </w:p>
    <w:p w:rsidR="00A31137" w:rsidRPr="00A31137" w:rsidRDefault="00A31137" w:rsidP="00A31137">
      <w:r w:rsidRPr="00A31137">
        <w:t>1992, Lucas v. So. Carolina Coastal Council, 505 U.S. 1051</w:t>
      </w:r>
    </w:p>
    <w:p w:rsidR="00A31137" w:rsidRPr="00A31137" w:rsidRDefault="00A31137" w:rsidP="00A31137">
      <w:r w:rsidRPr="00A31137">
        <w:t xml:space="preserve">Keystone Bituminous Coal, 480 U.S. at  491, n. 20. It would make no sense under this theory to suggest that an owner has a constitutionally protected right to harm others, if only he makes the proper showing of economic loss. 14 See Pennsylvania Coal Co. v. Mahon, 260 U.S. 393,  418, 43 S.Ct. 158, 161 (1922) (Brandeis, J., dissenting) ("Restriction upon [harmful] use does not become inappropriate as a means, merely because it deprives the owner of the only use to which the property can then be profitably put"). [505 U.S. 1052] </w:t>
      </w:r>
    </w:p>
    <w:p w:rsidR="00A31137" w:rsidRPr="00A31137" w:rsidRDefault="00A31137" w:rsidP="00A31137">
      <w:r w:rsidRPr="00A31137">
        <w:t>B</w:t>
      </w:r>
    </w:p>
    <w:p w:rsidR="00A31137" w:rsidRPr="00A31137" w:rsidRDefault="00A31137" w:rsidP="00A31137">
      <w:r w:rsidRPr="00A31137">
        <w:t>1992, Lucas v. So. Carolina Coastal Council, 505 U.S. 1052</w:t>
      </w:r>
    </w:p>
    <w:p w:rsidR="00A31137" w:rsidRPr="00A31137" w:rsidRDefault="00A31137" w:rsidP="00A31137">
      <w:r w:rsidRPr="00A31137">
        <w:t>Ultimately even the Court cannot embrace the full implications of its per se rule: it eventually agrees that there cannot be a categorical rule for a taking based on economic value that wholly disregards the public need asserted. Instead, the Court decides that it will permit a State to regulate all economic value only if the State prohibits uses that would not be permitted under "background principles of nuisance and property law." 15 Ante at  1031.</w:t>
      </w:r>
    </w:p>
    <w:p w:rsidR="00A31137" w:rsidRPr="00A31137" w:rsidRDefault="00A31137" w:rsidP="00A31137">
      <w:r w:rsidRPr="00A31137">
        <w:t>1992, Lucas v. So. Carolina Coastal Council, 505 U.S. 1052</w:t>
      </w:r>
    </w:p>
    <w:p w:rsidR="00A31137" w:rsidRPr="00A31137" w:rsidRDefault="00A31137" w:rsidP="00A31137">
      <w:r w:rsidRPr="00A31137">
        <w:t>Until today, the Court explicitly had rejected the contention that the government's power to act without paying compensation turns on whether the prohibited activity is a common law nuisance. 16 The brewery closed in Mugler itself was not a common law nuisance, and the Court specifically stated that it was the role of the legislature to determine [505 U.S. 1053] what measures would be appropriate for the protection of public health and safety. See 123 U.S. at 661. In upholding the state action in Miller, the Court found it unnecessary to</w:t>
      </w:r>
    </w:p>
    <w:p w:rsidR="00A31137" w:rsidRPr="00A31137" w:rsidRDefault="00A31137" w:rsidP="00A31137">
      <w:r w:rsidRPr="00A31137">
        <w:t>1992, Lucas v. So. Carolina Coastal Council, 505 U.S. 1053</w:t>
      </w:r>
    </w:p>
    <w:p w:rsidR="00A31137" w:rsidRPr="00A31137" w:rsidRDefault="00A31137" w:rsidP="00A31137">
      <w:r w:rsidRPr="00A31137">
        <w:t>weigh with nicety the question whether the infected cedars constitute a nuisance according to common law; or whether they may be so declared by statute.</w:t>
      </w:r>
    </w:p>
    <w:p w:rsidR="00A31137" w:rsidRPr="00A31137" w:rsidRDefault="00A31137" w:rsidP="00A31137">
      <w:r w:rsidRPr="00A31137">
        <w:t>1992, Lucas v. So. Carolina Coastal Council, 505 U.S. 1053</w:t>
      </w:r>
    </w:p>
    <w:p w:rsidR="00A31137" w:rsidRPr="00A31137" w:rsidRDefault="00A31137" w:rsidP="00A31137">
      <w:r w:rsidRPr="00A31137">
        <w:t>276 U.S. at 280. See also Goldblatt, 369 U.S. at 593; Hadacheck, 239 U.S. at 411. Instead the Court has relied in the past, as the South Carolina Court has done here, on legislative judgments of what constitutes a harm. 17</w:t>
      </w:r>
    </w:p>
    <w:p w:rsidR="00A31137" w:rsidRPr="00A31137" w:rsidRDefault="00A31137" w:rsidP="00A31137">
      <w:r w:rsidRPr="00A31137">
        <w:t>1992, Lucas v. So. Carolina Coastal Council, 505 U.S. 1053</w:t>
      </w:r>
    </w:p>
    <w:p w:rsidR="00A31137" w:rsidRPr="00A31137" w:rsidRDefault="00A31137" w:rsidP="00A31137">
      <w:r w:rsidRPr="00A31137">
        <w:t xml:space="preserve">The Court rejects the notion that the State always can prohibit uses it deems a harm to the public without granting compensation because "the distinction between 'harm-preventing' and 'benefit-conferring' regulation is often in the eye of the beholder." Ante at  1024. Since the characterization will depend "primarily upon one's evaluation of the worth of competing uses of real estate," ante at  1025, the Court decides a legislative judgment of this kind no longer can provide the desired "objective, value-free basis" for upholding a regulation. Ante at  1026. The Court, however, fails to explain how its proposed common law alternative escapes the same trap. [505 U.S. 1054] </w:t>
      </w:r>
    </w:p>
    <w:p w:rsidR="00A31137" w:rsidRPr="00A31137" w:rsidRDefault="00A31137" w:rsidP="00A31137">
      <w:r w:rsidRPr="00A31137">
        <w:t>1992, Lucas v. So. Carolina Coastal Council, 505 U.S. 1054</w:t>
      </w:r>
    </w:p>
    <w:p w:rsidR="00A31137" w:rsidRPr="00A31137" w:rsidRDefault="00A31137" w:rsidP="00A31137">
      <w:r w:rsidRPr="00A31137">
        <w:t>The threshold inquiry for imposition of the Court's new rule, "deprivation of all economically valuable use," itself cannot be determined objectively. As the Court admits, whether the owner has been deprived of all economic value of his property will depend on how "property" is defined. The "composition of the denominator in our 'deprivation' fraction," ante at  1017, n. 7, is the dispositive inquiry. Yet there is no "objective" way to define what that denominator should be.</w:t>
      </w:r>
    </w:p>
    <w:p w:rsidR="00A31137" w:rsidRPr="00A31137" w:rsidRDefault="00A31137" w:rsidP="00A31137">
      <w:r w:rsidRPr="00A31137">
        <w:t>1992, Lucas v. So. Carolina Coastal Council, 505 U.S. 1054</w:t>
      </w:r>
    </w:p>
    <w:p w:rsidR="00A31137" w:rsidRPr="00A31137" w:rsidRDefault="00A31137" w:rsidP="00A31137">
      <w:r w:rsidRPr="00A31137">
        <w:t>We have long understood that any land use regulation can be characterized as the "total" deprivation of an aptly defined entitlement…. Alternatively, the same regulation can always be characterized as a mere "partial" withdrawal from full, unencumbered ownership of the landholding affected by the regulation….  18</w:t>
      </w:r>
    </w:p>
    <w:p w:rsidR="00A31137" w:rsidRPr="00A31137" w:rsidRDefault="00A31137" w:rsidP="00A31137">
      <w:r w:rsidRPr="00A31137">
        <w:t>1992, Lucas v. So. Carolina Coastal Council, 505 U.S. 1054</w:t>
      </w:r>
    </w:p>
    <w:p w:rsidR="00A31137" w:rsidRPr="00A31137" w:rsidRDefault="00A31137" w:rsidP="00A31137">
      <w:r w:rsidRPr="00A31137">
        <w:t>Michelman, Takings, 1987, 88 Colum.L.Rev. 1600, 1614 (1988).</w:t>
      </w:r>
    </w:p>
    <w:p w:rsidR="00A31137" w:rsidRPr="00A31137" w:rsidRDefault="00A31137" w:rsidP="00A31137">
      <w:r w:rsidRPr="00A31137">
        <w:t>1992, Lucas v. So. Carolina Coastal Council, 505 U.S. 1054</w:t>
      </w:r>
    </w:p>
    <w:p w:rsidR="00A31137" w:rsidRPr="00A31137" w:rsidRDefault="00A31137" w:rsidP="00A31137">
      <w:r w:rsidRPr="00A31137">
        <w:t>The Court's decision in Keystone Bituminous Coal illustrates this principle perfectly. In Keystone, the Court determined that the "support estate" was "merely a part of the entire bundle of rights possessed by the owner." 480 U.S. at  501. Thus, the Court concluded that the support estate's destruction merely eliminated one segment of the total property. Ibid. The dissent, however, characterized the support estate as a distinct property interest that was wholly destroyed. Id. at  519. The Court could agree on no "value-free basis" to resolve this dispute.</w:t>
      </w:r>
    </w:p>
    <w:p w:rsidR="00A31137" w:rsidRPr="00A31137" w:rsidRDefault="00A31137" w:rsidP="00A31137">
      <w:r w:rsidRPr="00A31137">
        <w:t>1992, Lucas v. So. Carolina Coastal Council, 505 U.S. 1054</w:t>
      </w:r>
    </w:p>
    <w:p w:rsidR="00A31137" w:rsidRPr="00A31137" w:rsidRDefault="00A31137" w:rsidP="00A31137">
      <w:r w:rsidRPr="00A31137">
        <w:t>Even more perplexing, however, is the Court's reliance on common law principles of nuisance in its quest for a value-free taking jurisprudence. In determining what is a nuisance at common law, state courts make exactly the decision that the Court finds so troubling when made by the South Carolina General Assembly today: they determine whether the use is harmful. Common law public and private nuisance [505 U.S. 1055] law is simply a determination whether a particular use causes harm. See Prosser, Private Action for Public Nuisance, 52 Va.L.Rev. 997, 997 (1966) ("Nuisance is a French word which means nothing more than harm"). There is nothing magical in the reasoning of judges long dead. They determined a harm in the same way as state judges and legislatures do today. If judges in the 18th and 19th centuries can distinguish a harm from a benefit, why not judges in the 20th century, and if judges can, why not legislators? There simply is no reason to believe that new interpretations of the hoary common law nuisance doctrine will be particularly "objective" or "value-free." 19 Once one abandons the level of generality of sic utere tuo ut alienum non laedas, ante at  1031, one searches in vain, I think, for anything resembling a principle in the common law of nuisance.</w:t>
      </w:r>
    </w:p>
    <w:p w:rsidR="00A31137" w:rsidRPr="00A31137" w:rsidRDefault="00A31137" w:rsidP="00A31137">
      <w:r w:rsidRPr="00A31137">
        <w:t>C</w:t>
      </w:r>
    </w:p>
    <w:p w:rsidR="00A31137" w:rsidRPr="00A31137" w:rsidRDefault="00A31137" w:rsidP="00A31137">
      <w:r w:rsidRPr="00A31137">
        <w:t>1992, Lucas v. So. Carolina Coastal Council, 505 U.S. 1055</w:t>
      </w:r>
    </w:p>
    <w:p w:rsidR="00A31137" w:rsidRPr="00A31137" w:rsidRDefault="00A31137" w:rsidP="00A31137">
      <w:r w:rsidRPr="00A31137">
        <w:t>Finally, the Court justifies its new rule that the legislature may not deprive a property owner of the only economically valuable use of his land, even if the legislature finds it to be a harmful use, because such action is not part of the "long recognized" "understandings of our citizens." Ante at  1027. These "understandings" permit such regulation only if the use is a nuisance under the common law. Any other course is "inconsistent with the historical compact recorded in the Takings Clause." Ante at  1028. It is not clear from the Court's [505 U.S. 1056] opinion where our "historical compact" or "citizens' understanding" comes from, but it does not appear to be history.</w:t>
      </w:r>
    </w:p>
    <w:p w:rsidR="00A31137" w:rsidRPr="00A31137" w:rsidRDefault="00A31137" w:rsidP="00A31137">
      <w:r w:rsidRPr="00A31137">
        <w:t>1992, Lucas v. So. Carolina Coastal Council, 505 U.S. 1056</w:t>
      </w:r>
    </w:p>
    <w:p w:rsidR="00A31137" w:rsidRPr="00A31137" w:rsidRDefault="00A31137" w:rsidP="00A31137">
      <w:r w:rsidRPr="00A31137">
        <w:t>The principle that the State should compensate individuals for property taken for public use was not widely established in America at the time of the Revolution.</w:t>
      </w:r>
    </w:p>
    <w:p w:rsidR="00A31137" w:rsidRPr="00A31137" w:rsidRDefault="00A31137" w:rsidP="00A31137">
      <w:r w:rsidRPr="00A31137">
        <w:t>1992, Lucas v. So. Carolina Coastal Council, 505 U.S. 1056</w:t>
      </w:r>
    </w:p>
    <w:p w:rsidR="00A31137" w:rsidRPr="00A31137" w:rsidRDefault="00A31137" w:rsidP="00A31137">
      <w:r w:rsidRPr="00A31137">
        <w:t>The colonists…inherited…a concept of property which permitted extensive regulation of the use of that property for the public benefit—regulation that could even go so far as to deny all productive use of the property to the owner if, as Coke himself stated, the regulation "extends to the public benefit…for this is for the public, and every one hath benefit by it."</w:t>
      </w:r>
    </w:p>
    <w:p w:rsidR="00A31137" w:rsidRPr="00A31137" w:rsidRDefault="00A31137" w:rsidP="00A31137">
      <w:r w:rsidRPr="00A31137">
        <w:t>1992, Lucas v. So. Carolina Coastal Council, 505 U.S. 1056</w:t>
      </w:r>
    </w:p>
    <w:p w:rsidR="00A31137" w:rsidRPr="00A31137" w:rsidRDefault="00A31137" w:rsidP="00A31137">
      <w:r w:rsidRPr="00A31137">
        <w:t>F. Bosselman, D. Callies &amp; J. Banta, The Taking Issue 80-81 (1973), quoting The Case of the King's Prerogative in Saltpetre, 12 Co.Rep. 12-13 (1606) (hereinafter Bosselman). See also Treanor, The Origins and Original Significance of the Just Compensation Clause of the Fifth Amendment, 94 Yale L.J. 694, 697, n. 9 (1985). 20</w:t>
      </w:r>
    </w:p>
    <w:p w:rsidR="00A31137" w:rsidRPr="00A31137" w:rsidRDefault="00A31137" w:rsidP="00A31137">
      <w:r w:rsidRPr="00A31137">
        <w:t>1992, Lucas v. So. Carolina Coastal Council, 505 U.S. 1056</w:t>
      </w:r>
    </w:p>
    <w:p w:rsidR="00A31137" w:rsidRPr="00A31137" w:rsidRDefault="00A31137" w:rsidP="00A31137">
      <w:r w:rsidRPr="00A31137">
        <w:t>Even into the 19th century, state governments often felt free to take property for roads and other public projects without paying compensation to the owners. 21 See M. Horwitz, The Transformation of American Law, 1780-1860, pp. 63-64 (1977) (hereinafter Horwitz); Treanor, 94 Yale L.J. at 695. As one court declared in 1802, citizens "were bound [505 U.S. 1057] to contribute as much of [land], as by the laws of the country, were deemed necessary for the public convenience." M'Clenachan v. Curwin, 3 Yeates 362, 373 (Pa.1802). There was an obvious movement toward establishing the just compensation principle during the 19th century, but</w:t>
      </w:r>
    </w:p>
    <w:p w:rsidR="00A31137" w:rsidRPr="00A31137" w:rsidRDefault="00A31137" w:rsidP="00A31137">
      <w:r w:rsidRPr="00A31137">
        <w:t>1992, Lucas v. So. Carolina Coastal Council, 505 U.S. 1057</w:t>
      </w:r>
    </w:p>
    <w:p w:rsidR="00A31137" w:rsidRPr="00A31137" w:rsidRDefault="00A31137" w:rsidP="00A31137">
      <w:r w:rsidRPr="00A31137">
        <w:t>there continued to be a strong current in American legal thought that regarded compensation simply as a "bounty given…by the State" out of "kindness," and not out of justice.</w:t>
      </w:r>
    </w:p>
    <w:p w:rsidR="00A31137" w:rsidRPr="00A31137" w:rsidRDefault="00A31137" w:rsidP="00A31137">
      <w:r w:rsidRPr="00A31137">
        <w:t>1992, Lucas v. So. Carolina Coastal Council, 505 U.S. 1057</w:t>
      </w:r>
    </w:p>
    <w:p w:rsidR="00A31137" w:rsidRPr="00A31137" w:rsidRDefault="00A31137" w:rsidP="00A31137">
      <w:r w:rsidRPr="00A31137">
        <w:t>Horwitz 65 (quoting Commonwealth v. Fisher, 1 Pen. &amp; W. 462, 465 (Pa.1830)). See also State v. Dawson, 3 Hill 100, 103 (S.C.1836)). 22</w:t>
      </w:r>
    </w:p>
    <w:p w:rsidR="00A31137" w:rsidRPr="00A31137" w:rsidRDefault="00A31137" w:rsidP="00A31137">
      <w:r w:rsidRPr="00A31137">
        <w:t>1992, Lucas v. So. Carolina Coastal Council, 505 U.S. 1057</w:t>
      </w:r>
    </w:p>
    <w:p w:rsidR="00A31137" w:rsidRPr="00A31137" w:rsidRDefault="00A31137" w:rsidP="00A31137">
      <w:r w:rsidRPr="00A31137">
        <w:t>Although, prior to the adoption of the Bill of Rights, America was replete with land use regulations describing which activities were considered noxious and forbidden, see Bender, The Takings Clause: Principles or Politics?, 34 Buffalo L.Rev. 735, 751 (1985); L. Friedman, A History of American Law 66-68 (1973), the Fifth Amendment's Takings Clause originally did not extend to regulations of property, whatever the effect. 23 See ante at  1014. Most state courts agreed with this narrow interpretation of a taking. "Until the end of the nineteenth century…, jurists held that [505 U.S. 1058] the constitution protected possession only, and not value." Siegel, Understanding the Nineteenth Century Contract Clause: The Role of the Property-Privilege Distinction and "Takings" Clause Jurisprudence, 60 S.Cal.L.Rev. 1, 76 (1986); Bosselman 106. Even indirect and consequential injuries to property resulting from regulations were excluded from the definition of a taking. See Bosselman 106; Callender v. Marsh, 1 Pick. 418, 430 (Mass.1823).</w:t>
      </w:r>
    </w:p>
    <w:p w:rsidR="00A31137" w:rsidRPr="00A31137" w:rsidRDefault="00A31137" w:rsidP="00A31137">
      <w:r w:rsidRPr="00A31137">
        <w:t>1992, Lucas v. So. Carolina Coastal Council, 505 U.S. 1058</w:t>
      </w:r>
    </w:p>
    <w:p w:rsidR="00A31137" w:rsidRPr="00A31137" w:rsidRDefault="00A31137" w:rsidP="00A31137">
      <w:r w:rsidRPr="00A31137">
        <w:t>Even when courts began to consider that regulation in some situations could constitute a taking, they continued to uphold bans on particular uses without paying compensation, notwithstanding the economic impact, under the rationale that no one can obtain a vested right to injure or endanger the public. 24 In the Coates cases, for example, the Supreme Court of New York found no taking in New York's ban on the interment of the dead within the city, although "no other use can be made of these lands." Coates v. City of New York, 7 Cow. 585, 592 (N.Y.1827). See also Brick Presbyterian Church v. City of New York, 5 Cow. 538 (N.Y.1826); Commonwealth v. Alger, 7 Cush. 53, 59, 104 (Mass.1851); St. Louis Gunning Advertisement Co. v. St. Louis, 235 Mo. 99, 145-146, 137 S.W. 929, 942 (1911), appeal dism'd, 231 U.S. 761 (1913). More recent cases reach the same result. See Consolidated Rock Products Co. v. Los Angeles, 57 Cal.2d 515, 20 Cal.Rptr. 638, 370 P.2d 342, appeal dism'd, 371 U.S. 36 (1962); Nassr v. [505 U.S. 1059] Commonwealth, 394 Mass. 767, 477 N.E.2d 987 (1985); Eno v. Burlington, 125 Vt. 8, 209 A.2d 499 (1965); Turner v. County of Del Norte, 24 Cal.App.3d 311, 101 Cal.Rptr. 93 (1972).</w:t>
      </w:r>
    </w:p>
    <w:p w:rsidR="00A31137" w:rsidRPr="00A31137" w:rsidRDefault="00A31137" w:rsidP="00A31137">
      <w:r w:rsidRPr="00A31137">
        <w:t>1992, Lucas v. So. Carolina Coastal Council, 505 U.S. 1059</w:t>
      </w:r>
    </w:p>
    <w:p w:rsidR="00A31137" w:rsidRPr="00A31137" w:rsidRDefault="00A31137" w:rsidP="00A31137">
      <w:r w:rsidRPr="00A31137">
        <w:t>In addition, state courts historically have been less likely to find that a government action constitutes a taking when the affected land is undeveloped. According to the South Carolina court, the power of the legislature to take unimproved land without providing compensation was sanctioned by "ancient rights and principles." Lindsay v. Commissioners, 2 S.C.L. 38, 57 (1796).</w:t>
      </w:r>
    </w:p>
    <w:p w:rsidR="00A31137" w:rsidRPr="00A31137" w:rsidRDefault="00A31137" w:rsidP="00A31137">
      <w:r w:rsidRPr="00A31137">
        <w:t>1992, Lucas v. So. Carolina Coastal Council, 505 U.S. 1059</w:t>
      </w:r>
    </w:p>
    <w:p w:rsidR="00A31137" w:rsidRPr="00A31137" w:rsidRDefault="00A31137" w:rsidP="00A31137">
      <w:r w:rsidRPr="00A31137">
        <w:t>Except for Massachusetts, no colony appears to have paid compensation when it built a state-owned road across unimproved land. Legislatures provided compensation only for enclosed or improved land.</w:t>
      </w:r>
    </w:p>
    <w:p w:rsidR="00A31137" w:rsidRPr="00A31137" w:rsidRDefault="00A31137" w:rsidP="00A31137">
      <w:r w:rsidRPr="00A31137">
        <w:t>1992, Lucas v. So. Carolina Coastal Council, 505 U.S. 1059</w:t>
      </w:r>
    </w:p>
    <w:p w:rsidR="00A31137" w:rsidRPr="00A31137" w:rsidRDefault="00A31137" w:rsidP="00A31137">
      <w:r w:rsidRPr="00A31137">
        <w:t>Treanor, 94 Yale L.J. at 695 (footnotes omitted). This rule was followed by some States into the 1800s. See Horwitz 635.</w:t>
      </w:r>
    </w:p>
    <w:p w:rsidR="00A31137" w:rsidRPr="00A31137" w:rsidRDefault="00A31137" w:rsidP="00A31137">
      <w:r w:rsidRPr="00A31137">
        <w:t>1992, Lucas v. So. Carolina Coastal Council, 505 U.S. 1059</w:t>
      </w:r>
    </w:p>
    <w:p w:rsidR="00A31137" w:rsidRPr="00A31137" w:rsidRDefault="00A31137" w:rsidP="00A31137">
      <w:r w:rsidRPr="00A31137">
        <w:t>With similar result, the common agrarian conception of property limited owners to "natural" uses of their land prior to and during much of the 18th century. See id. at 32. Thus, for example, the owner could build nothing on his land that would alter the natural flow of water. See id. at 44; see also, e.g., Merritt v. Parker, 1 Coxe 460, 463 (N.J.1795). Some more recent state courts still follow this reasoning. See, e.g., Just v. Marinette County, 56 Wis.2d 7, 201 N.W.2d 761, 768 (1972).</w:t>
      </w:r>
    </w:p>
    <w:p w:rsidR="00A31137" w:rsidRPr="00A31137" w:rsidRDefault="00A31137" w:rsidP="00A31137">
      <w:r w:rsidRPr="00A31137">
        <w:t>1992, Lucas v. So. Carolina Coastal Council, 505 U.S. 1059</w:t>
      </w:r>
    </w:p>
    <w:p w:rsidR="00A31137" w:rsidRPr="00A31137" w:rsidRDefault="00A31137" w:rsidP="00A31137">
      <w:r w:rsidRPr="00A31137">
        <w:t>Nor does history indicate any common law limit on the State's power to regulate harmful uses even to the point of destroying all economic value. Nothing in the discussions in Congress concerning the Takings Clause indicates that the Clause was limited by the common law nuisance doctrine. Common law courts themselves rejected such an understanding. They regularly recognized that it is</w:t>
      </w:r>
    </w:p>
    <w:p w:rsidR="00A31137" w:rsidRPr="00A31137" w:rsidRDefault="00A31137" w:rsidP="00A31137">
      <w:r w:rsidRPr="00A31137">
        <w:t>1992, Lucas v. So. Carolina Coastal Council, 505 U.S. 1059</w:t>
      </w:r>
    </w:p>
    <w:p w:rsidR="00A31137" w:rsidRPr="00A31137" w:rsidRDefault="00A31137" w:rsidP="00A31137">
      <w:r w:rsidRPr="00A31137">
        <w:t xml:space="preserve">for the legislature to interpose, and by positive enactment to prohibit a use of property which would be injurious to the public. [505 U.S. 1060] </w:t>
      </w:r>
    </w:p>
    <w:p w:rsidR="00A31137" w:rsidRPr="00A31137" w:rsidRDefault="00A31137" w:rsidP="00A31137">
      <w:r w:rsidRPr="00A31137">
        <w:t>1992, Lucas v. So. Carolina Coastal Council, 505 U.S. 1060</w:t>
      </w:r>
    </w:p>
    <w:p w:rsidR="00A31137" w:rsidRPr="00A31137" w:rsidRDefault="00A31137" w:rsidP="00A31137">
      <w:r w:rsidRPr="00A31137">
        <w:t>Tewksbury, 11 Metc. at 57. 25 Chief JUSTICE Shaw explained, in upholding a regulation prohibiting construction of wharves, the existence of a taking did not depend on "whether a certain erection in tidewater is a nuisance at common law or not." Alger, 7 Cush. at 104; see also State v. Paul, 5 R.I. 185, 193 (1858); Commonwealth v. Parks, 155 Mass. 531, 532, 30 N.E. 174 (1892) (Holmes, J.) ("[T]he legislature may change the common law as to nuisances, and may move the line either way, so as to make things nuisances which were not so, or to make things lawful which were nuisances").</w:t>
      </w:r>
    </w:p>
    <w:p w:rsidR="00A31137" w:rsidRPr="00A31137" w:rsidRDefault="00A31137" w:rsidP="00A31137">
      <w:r w:rsidRPr="00A31137">
        <w:t>1992, Lucas v. So. Carolina Coastal Council, 505 U.S. 1060</w:t>
      </w:r>
    </w:p>
    <w:p w:rsidR="00A31137" w:rsidRPr="00A31137" w:rsidRDefault="00A31137" w:rsidP="00A31137">
      <w:r w:rsidRPr="00A31137">
        <w:t xml:space="preserve">In short, I find no clear and accepted "historical compact" or "understanding of our citizens" justifying the Court's new taking doctrine. Instead, the Court seems to treat history as a grab-bag of principles, to be adopted where they support the Court's theory and ignored where they do not. If the Court decided that the early common law provides the background principles for interpreting the Taking Clause, then regulation, as opposed to physical confiscation, would not be compensable. If the Court decided that the law of a later period provides the background principles, then regulation might be compensable, but the Court would have to confront the fact that legislatures regularly determined which uses were prohibited, independent of the common law, and independent of whether the uses were lawful when the owner purchased. What makes the Court's analysis unworkable is its attempt to package the law of two incompatible eras and peddle it as historical fact. 26 [505 U.S. 1061] </w:t>
      </w:r>
    </w:p>
    <w:p w:rsidR="00A31137" w:rsidRPr="00A31137" w:rsidRDefault="00A31137" w:rsidP="00A31137">
      <w:r w:rsidRPr="00A31137">
        <w:t>V</w:t>
      </w:r>
    </w:p>
    <w:p w:rsidR="00A31137" w:rsidRPr="00A31137" w:rsidRDefault="00A31137" w:rsidP="00A31137">
      <w:r w:rsidRPr="00A31137">
        <w:t>1992, Lucas v. So. Carolina Coastal Council, 505 U.S. 1061</w:t>
      </w:r>
    </w:p>
    <w:p w:rsidR="00A31137" w:rsidRPr="00A31137" w:rsidRDefault="00A31137" w:rsidP="00A31137">
      <w:r w:rsidRPr="00A31137">
        <w:t>The Court makes sweeping and, in my view, misguided and unsupported changes in our taking doctrine. While it limits these changes to the most narrow subset of government regulation—those that eliminate all economic value from land—these changes go far beyond what is necessary to secure petitioner Lucas' private benefit. One hopes they do not go beyond the narrow confines the Court assigns them to today.</w:t>
      </w:r>
    </w:p>
    <w:p w:rsidR="00A31137" w:rsidRPr="00A31137" w:rsidRDefault="00A31137" w:rsidP="00A31137">
      <w:r w:rsidRPr="00A31137">
        <w:t>1992, Lucas v. So. Carolina Coastal Council, 505 U.S. 1061</w:t>
      </w:r>
    </w:p>
    <w:p w:rsidR="00A31137" w:rsidRPr="00A31137" w:rsidRDefault="00A31137" w:rsidP="00A31137">
      <w:r w:rsidRPr="00A31137">
        <w:t>I dissent.</w:t>
      </w:r>
    </w:p>
    <w:p w:rsidR="00A31137" w:rsidRPr="00A31137" w:rsidRDefault="00A31137" w:rsidP="00A31137">
      <w:r w:rsidRPr="00A31137">
        <w:t>STEVENS, J., dissenting</w:t>
      </w:r>
    </w:p>
    <w:p w:rsidR="00A31137" w:rsidRPr="00A31137" w:rsidRDefault="00A31137" w:rsidP="00A31137">
      <w:r w:rsidRPr="00A31137">
        <w:t>1992, Lucas v. So. Carolina Coastal Council, 505 U.S. 1061</w:t>
      </w:r>
    </w:p>
    <w:p w:rsidR="00A31137" w:rsidRPr="00A31137" w:rsidRDefault="00A31137" w:rsidP="00A31137">
      <w:r w:rsidRPr="00A31137">
        <w:t>JUSTICE STEVENS, dissenting.</w:t>
      </w:r>
    </w:p>
    <w:p w:rsidR="00A31137" w:rsidRPr="00A31137" w:rsidRDefault="00A31137" w:rsidP="00A31137">
      <w:r w:rsidRPr="00A31137">
        <w:t>1992, Lucas v. So. Carolina Coastal Council, 505 U.S. 1061</w:t>
      </w:r>
    </w:p>
    <w:p w:rsidR="00A31137" w:rsidRPr="00A31137" w:rsidRDefault="00A31137" w:rsidP="00A31137">
      <w:r w:rsidRPr="00A31137">
        <w:t>Today the Court restricts one judge-made rule and expands another. In my opinion, it errs on both counts. Proper application of the doctrine of judicial restraint would avoid the premature adjudication of an important constitutional question. Proper respect for our precedents would avoid an illogical expansion of the concept of "regulatory takings."</w:t>
      </w:r>
    </w:p>
    <w:p w:rsidR="00A31137" w:rsidRPr="00A31137" w:rsidRDefault="00A31137" w:rsidP="00A31137">
      <w:r w:rsidRPr="00A31137">
        <w:t>I</w:t>
      </w:r>
    </w:p>
    <w:p w:rsidR="00A31137" w:rsidRPr="00A31137" w:rsidRDefault="00A31137" w:rsidP="00A31137">
      <w:r w:rsidRPr="00A31137">
        <w:t>1992, Lucas v. So. Carolina Coastal Council, 505 U.S. 1061</w:t>
      </w:r>
    </w:p>
    <w:p w:rsidR="00A31137" w:rsidRPr="00A31137" w:rsidRDefault="00A31137" w:rsidP="00A31137">
      <w:r w:rsidRPr="00A31137">
        <w:t>As the Court notes, ante at 1010-1011, South Carolina's Beachfront Management Act has been amended to permit some construction of residences seaward of the line that frustrated petitioner's proposed use of his property. Until he exhausts his right to apply for a special permit under that amendment, petitioner is not entitled to an adjudication by this Court of the merits of his permanent takings claim. MacDonald, Sommer &amp; Frates v. County of Yolo, 477 U.S. 340, 351 (1986).</w:t>
      </w:r>
    </w:p>
    <w:p w:rsidR="00A31137" w:rsidRPr="00A31137" w:rsidRDefault="00A31137" w:rsidP="00A31137">
      <w:r w:rsidRPr="00A31137">
        <w:t>1992, Lucas v. So. Carolina Coastal Council, 505 U.S. 1061</w:t>
      </w:r>
    </w:p>
    <w:p w:rsidR="00A31137" w:rsidRPr="00A31137" w:rsidRDefault="00A31137" w:rsidP="00A31137">
      <w:r w:rsidRPr="00A31137">
        <w:t>It is also not clear that he has a viable "temporary takings" claim. If we assume that petitioner is now able to build on the lot, the only injury that he may have suffered is [505 U.S. 1062] the delay caused by the temporary existence of the absolute statutory ban on construction. We cannot be sure, however, that that delay caused petitioner any harm, because the record does not tell us whether his building plans were even temporarily frustrated by the enactment of the statute. 1 Thus, on the present record, it is entirely possible that petitioner has suffered no injury-in-fact even if the state statute was unconstitutional when he filed this lawsuit.</w:t>
      </w:r>
    </w:p>
    <w:p w:rsidR="00A31137" w:rsidRPr="00A31137" w:rsidRDefault="00A31137" w:rsidP="00A31137">
      <w:r w:rsidRPr="00A31137">
        <w:t>1992, Lucas v. So. Carolina Coastal Council, 505 U.S. 1062</w:t>
      </w:r>
    </w:p>
    <w:p w:rsidR="00A31137" w:rsidRPr="00A31137" w:rsidRDefault="00A31137" w:rsidP="00A31137">
      <w:r w:rsidRPr="00A31137">
        <w:t>It is true, as the Court notes, that the argument against deciding the constitutional issue in this case rests on prudential considerations, rather than a want of jurisdiction. I think it equally clear, however, that a Court less eager to decide the merits would follow the wise counsel of Justice Brandeis in his deservedly famous concurring opinion in Ashwander v. Tennessee Valley Authority, 297 U.S. 288,  341 (1936). As he explained, the Court has developed</w:t>
      </w:r>
    </w:p>
    <w:p w:rsidR="00A31137" w:rsidRPr="00A31137" w:rsidRDefault="00A31137" w:rsidP="00A31137">
      <w:r w:rsidRPr="00A31137">
        <w:t>1992, Lucas v. So. Carolina Coastal Council, 505 U.S. 1062</w:t>
      </w:r>
    </w:p>
    <w:p w:rsidR="00A31137" w:rsidRPr="00A31137" w:rsidRDefault="00A31137" w:rsidP="00A31137">
      <w:r w:rsidRPr="00A31137">
        <w:t>for its own governance in the cases confessedly within its jurisdiction, a series of rules under which it has avoided passing upon a large part of all the constitutional questions pressed upon it for decision.</w:t>
      </w:r>
    </w:p>
    <w:p w:rsidR="00A31137" w:rsidRPr="00A31137" w:rsidRDefault="00A31137" w:rsidP="00A31137">
      <w:r w:rsidRPr="00A31137">
        <w:t>1992, Lucas v. So. Carolina Coastal Council, 505 U.S. 1062</w:t>
      </w:r>
    </w:p>
    <w:p w:rsidR="00A31137" w:rsidRPr="00A31137" w:rsidRDefault="00A31137" w:rsidP="00A31137">
      <w:r w:rsidRPr="00A31137">
        <w:t>Id. at  346. The second of those rules applies directly to this case.</w:t>
      </w:r>
    </w:p>
    <w:p w:rsidR="00A31137" w:rsidRPr="00A31137" w:rsidRDefault="00A31137" w:rsidP="00A31137">
      <w:r w:rsidRPr="00A31137">
        <w:t>1992, Lucas v. So. Carolina Coastal Council, 505 U.S. 1062</w:t>
      </w:r>
    </w:p>
    <w:p w:rsidR="00A31137" w:rsidRPr="00A31137" w:rsidRDefault="00A31137" w:rsidP="00A31137">
      <w:r w:rsidRPr="00A31137">
        <w:t>2. The Court will not "anticipate a question of constitutional law in advance of the necessity of deciding it." Liverpool, N.Y. &amp; P.S.S. Co. v. Emigration Commissioners, 113 U.S. 33,  39; [citing five additional cases]. "It is not the habit of the Court to decide questions of a constitutional nature unless absolutely necessary to a decision of the case." Burton v. United States, 196 U.S. 283, 295</w:t>
      </w:r>
    </w:p>
    <w:p w:rsidR="00A31137" w:rsidRPr="00A31137" w:rsidRDefault="00A31137" w:rsidP="00A31137">
      <w:r w:rsidRPr="00A31137">
        <w:t>1992, Lucas v. So. Carolina Coastal Council, 505 U.S. 1062</w:t>
      </w:r>
    </w:p>
    <w:p w:rsidR="00A31137" w:rsidRPr="00A31137" w:rsidRDefault="00A31137" w:rsidP="00A31137">
      <w:r w:rsidRPr="00A31137">
        <w:t>Id. at 346-347.</w:t>
      </w:r>
    </w:p>
    <w:p w:rsidR="00A31137" w:rsidRPr="00A31137" w:rsidRDefault="00A31137" w:rsidP="00A31137">
      <w:r w:rsidRPr="00A31137">
        <w:t>1992, Lucas v. So. Carolina Coastal Council, 505 U.S. 1062</w:t>
      </w:r>
    </w:p>
    <w:p w:rsidR="00A31137" w:rsidRPr="00A31137" w:rsidRDefault="00A31137" w:rsidP="00A31137">
      <w:r w:rsidRPr="00A31137">
        <w:t>Cavalierly dismissing the doctrine of judicial restraint, the Court today tersely announces that "we do not think it prudent to apply that prudential requirement here." Ante at [505 U.S. 1063] 1013. I respectfully disagree, and would save consideration of the merits for another day. Since, however, the Court has reached the merits, I shall do so as well.</w:t>
      </w:r>
    </w:p>
    <w:p w:rsidR="00A31137" w:rsidRPr="00A31137" w:rsidRDefault="00A31137" w:rsidP="00A31137">
      <w:r w:rsidRPr="00A31137">
        <w:t>II</w:t>
      </w:r>
    </w:p>
    <w:p w:rsidR="00A31137" w:rsidRPr="00A31137" w:rsidRDefault="00A31137" w:rsidP="00A31137">
      <w:r w:rsidRPr="00A31137">
        <w:t>1992, Lucas v. So. Carolina Coastal Council, 505 U.S. 1063</w:t>
      </w:r>
    </w:p>
    <w:p w:rsidR="00A31137" w:rsidRPr="00A31137" w:rsidRDefault="00A31137" w:rsidP="00A31137">
      <w:r w:rsidRPr="00A31137">
        <w:t>In its analysis of the merits, the Court starts from the premise that this Court has adopted a "categorical rule that total regulatory takings must be compensated," ante at  1026, and then sets itself to the task of identifying the exceptional cases in which a State may be relieved of this categorical obligation. Ante at 1027-1029. The test the Court announces is that the regulation must do no more than duplicate the result that could have been achieved under a State's nuisance law. Ante at  1029. Under this test, the categorical rule will apply unless the regulation merely makes explicit what was otherwise an implicit limitation on the owner's property rights.</w:t>
      </w:r>
    </w:p>
    <w:p w:rsidR="00A31137" w:rsidRPr="00A31137" w:rsidRDefault="00A31137" w:rsidP="00A31137">
      <w:r w:rsidRPr="00A31137">
        <w:t>1992, Lucas v. So. Carolina Coastal Council, 505 U.S. 1063</w:t>
      </w:r>
    </w:p>
    <w:p w:rsidR="00A31137" w:rsidRPr="00A31137" w:rsidRDefault="00A31137" w:rsidP="00A31137">
      <w:r w:rsidRPr="00A31137">
        <w:t>In my opinion, the Court is doubly in error. The categorical rule the Court establishes is an unsound and unwise addition to the law, and the Court's formulation of the exception to that rule is too rigid and too narrow.</w:t>
      </w:r>
    </w:p>
    <w:p w:rsidR="00A31137" w:rsidRPr="00A31137" w:rsidRDefault="00A31137" w:rsidP="00A31137">
      <w:r w:rsidRPr="00A31137">
        <w:t>1992, Lucas v. So. Carolina Coastal Council, 505 U.S. 1063</w:t>
      </w:r>
    </w:p>
    <w:p w:rsidR="00A31137" w:rsidRPr="00A31137" w:rsidRDefault="00A31137" w:rsidP="00A31137">
      <w:r w:rsidRPr="00A31137">
        <w:t>The Categorical Rule</w:t>
      </w:r>
    </w:p>
    <w:p w:rsidR="00A31137" w:rsidRPr="00A31137" w:rsidRDefault="00A31137" w:rsidP="00A31137">
      <w:r w:rsidRPr="00A31137">
        <w:t>1992, Lucas v. So. Carolina Coastal Council, 505 U.S. 1063</w:t>
      </w:r>
    </w:p>
    <w:p w:rsidR="00A31137" w:rsidRPr="00A31137" w:rsidRDefault="00A31137" w:rsidP="00A31137">
      <w:r w:rsidRPr="00A31137">
        <w:t>As the Court recognizes, ante at  1015, Pennsylvania Coal Co. v. Mahon, 260 U.S. 393 (1922), provides no support for its—or, indeed, any—categorical rule. To the contrary, Justice Holmes recognized that such absolute rules ill-fit the inquiry into "regulatory takings." Thus, in the paragraph that contains his famous observation that a regulation may go "too far" and thereby constitute a taking, the Justice wrote: "As we already have said, this is a question of degree—and therefore cannot be disposed of by general propositions." Id. at  416. What he had "already…said" made perfectly clear that Justice Holmes regarded economic injury to be merely one factor to be weighed:</w:t>
      </w:r>
    </w:p>
    <w:p w:rsidR="00A31137" w:rsidRPr="00A31137" w:rsidRDefault="00A31137" w:rsidP="00A31137">
      <w:r w:rsidRPr="00A31137">
        <w:t>1992, Lucas v. So. Carolina Coastal Council, 505 U.S. 1063</w:t>
      </w:r>
    </w:p>
    <w:p w:rsidR="00A31137" w:rsidRPr="00A31137" w:rsidRDefault="00A31137" w:rsidP="00A31137">
      <w:r w:rsidRPr="00A31137">
        <w:t>One fact for consideration in determining such limits is the extent of the diminution [505 U.S. 1064] [of value.] So the question depends upon the particular facts.</w:t>
      </w:r>
    </w:p>
    <w:p w:rsidR="00A31137" w:rsidRPr="00A31137" w:rsidRDefault="00A31137" w:rsidP="00A31137">
      <w:r w:rsidRPr="00A31137">
        <w:t>1992, Lucas v. So. Carolina Coastal Council, 505 U.S. 1064</w:t>
      </w:r>
    </w:p>
    <w:p w:rsidR="00A31137" w:rsidRPr="00A31137" w:rsidRDefault="00A31137" w:rsidP="00A31137">
      <w:r w:rsidRPr="00A31137">
        <w:t>Id. at  413.</w:t>
      </w:r>
    </w:p>
    <w:p w:rsidR="00A31137" w:rsidRPr="00A31137" w:rsidRDefault="00A31137" w:rsidP="00A31137">
      <w:r w:rsidRPr="00A31137">
        <w:t>1992, Lucas v. So. Carolina Coastal Council, 505 U.S. 1064</w:t>
      </w:r>
    </w:p>
    <w:p w:rsidR="00A31137" w:rsidRPr="00A31137" w:rsidRDefault="00A31137" w:rsidP="00A31137">
      <w:r w:rsidRPr="00A31137">
        <w:t>Nor does the Court's new categorical rule find support in decisions following Mahon. Although, in dicta, we have sometimes recited that a law "effects a taking if [it]…denies an owner economically viable use of his land," Agins v. Tiburon, 447 U.S. 255,  260 (1980), our rulings have rejected such an absolute position. We have frequently—and recently—held that, in some circumstances, a law that renders property valueless may nonetheless not constitute a taking. See, e.g., First English Evangelical Lutheran Church of Glendale v. County of Los Angeles, 482 U.S. 304,  313 (1987); Goldblatt v. Hempstead, 369 U.S. 590, 596 (1962); United States v. Caltex, 344 U.S. 149, 155 (1952); Miller v. Schoene, 276 U.S. 272 (1928); Hadacheck v. Sebastian, 239 U.S. 394, 405 (1915); Mugler v. Kansas, 123 U.S. 623,  657 (1887); cf. Ruckelshaus v. Monsanto Co., 467 U.S. 986, 1011 (1984); Connolly v. Pension Benefit Guaranty Corporation, 475 U.S. 211, 225 (1986). In short, as we stated in Keystone Bituminous Coal Assn. v. DeBenedictis, 480 U.S. 470,  490 (1987), "'Although a comparison of values before and after' a regulatory action 'is relevant,…it is by no means conclusive.'"</w:t>
      </w:r>
    </w:p>
    <w:p w:rsidR="00A31137" w:rsidRPr="00A31137" w:rsidRDefault="00A31137" w:rsidP="00A31137">
      <w:r w:rsidRPr="00A31137">
        <w:t>1992, Lucas v. So. Carolina Coastal Council, 505 U.S. 1064</w:t>
      </w:r>
    </w:p>
    <w:p w:rsidR="00A31137" w:rsidRPr="00A31137" w:rsidRDefault="00A31137" w:rsidP="00A31137">
      <w:r w:rsidRPr="00A31137">
        <w:t>In addition to lacking support in past decisions, the Court's new rule is wholly arbitrary. A landowner whose property is diminished in value 95% recovers nothing, while an owner whose property is diminished 100% recovers the land's full value. The case at hand illustrates this arbitrariness well. The Beachfront Management Act not only prohibited the building of new dwellings in certain areas, it also prohibited the rebuilding of houses that were "destroyed beyond repair by natural causes or by fire." 1988 S.C.Acts 634, § 3; see also Esposito v. South Carolina Coastal Council, 939 F.2d 165, 167 (CA4 1991). 2 Thus, if the homes adjacent to Lucas' [505 U.S. 1065] lot were destroyed by a hurricane one day after the Act took effect, the owners would not be able to rebuild, nor would they be assured recovery. Under the Court's categorical approach, Lucas (who has lost the opportunity to build) recovers, while his neighbors (who have lost both the opportunity to build and their homes) do not recover. The arbitrariness of such a rule is palpable.</w:t>
      </w:r>
    </w:p>
    <w:p w:rsidR="00A31137" w:rsidRPr="00A31137" w:rsidRDefault="00A31137" w:rsidP="00A31137">
      <w:r w:rsidRPr="00A31137">
        <w:t>1992, Lucas v. So. Carolina Coastal Council, 505 U.S. 1065</w:t>
      </w:r>
    </w:p>
    <w:p w:rsidR="00A31137" w:rsidRPr="00A31137" w:rsidRDefault="00A31137" w:rsidP="00A31137">
      <w:r w:rsidRPr="00A31137">
        <w:t>Moreover, because of the elastic nature of property rights, the Court's new rule will also prove unsound in practice. In response to the rule, courts may define "property" broadly, and only rarely find regulations to effect total takings. This is the approach the Court itself adopts in its revisionist reading of venerable precedents. We are told that—notwithstanding the Court's findings to the contrary in each case—the brewery in Mugler, the brickyard in Hadacheck, and the gravel pit in Goldblatt all could be put to "other uses," and that, therefore, those cases did not involve total regulatory takings. 3 Ante at  1026, n. 13.</w:t>
      </w:r>
    </w:p>
    <w:p w:rsidR="00A31137" w:rsidRPr="00A31137" w:rsidRDefault="00A31137" w:rsidP="00A31137">
      <w:r w:rsidRPr="00A31137">
        <w:t>1992, Lucas v. So. Carolina Coastal Council, 505 U.S. 1065</w:t>
      </w:r>
    </w:p>
    <w:p w:rsidR="00A31137" w:rsidRPr="00A31137" w:rsidRDefault="00A31137" w:rsidP="00A31137">
      <w:r w:rsidRPr="00A31137">
        <w:t>On the other hand, developers and investors may market specialized estates to take advantage of the Court's new rule. The smaller the estate, the more likely that a regulatory change will effect a total taking. Thus, an investor may, for example, purchase the right to build a multifamily home on a specific lot, with the result that a zoning regulation that [505 U.S. 1066] allows only single-family homes would render the investor's property interest "valueless." 4 In short, the categorical rule will likely have one of two effects: either courts will alter the definition of the "denominator" in the takings "fraction," rendering the Court's categorical rule meaningless, or investors will manipulate the relevant property interests, giving the Court's rule sweeping effect. To my mind, neither of these results is desirable or appropriate, and both are distortions of our takings jurisprudence.</w:t>
      </w:r>
    </w:p>
    <w:p w:rsidR="00A31137" w:rsidRPr="00A31137" w:rsidRDefault="00A31137" w:rsidP="00A31137">
      <w:r w:rsidRPr="00A31137">
        <w:t>1992, Lucas v. So. Carolina Coastal Council, 505 U.S. 1066</w:t>
      </w:r>
    </w:p>
    <w:p w:rsidR="00A31137" w:rsidRPr="00A31137" w:rsidRDefault="00A31137" w:rsidP="00A31137">
      <w:r w:rsidRPr="00A31137">
        <w:t>Finally, the Court's justification for its new categorical rule is remarkably thin. The Court mentions in passing three arguments in support of its rule; none is convincing. First, the Court suggests that "total deprivation of feasible use is, from the landowner's point of view, the equivalent of a physical appropriation." Ante at  1017. This argument proves too much. From the "landowner's point of view," a regulation that diminishes a lot's value by 50% is as well "the equivalent" of the condemnation of half of the lot. Yet it is well established that a 50% diminution in value does not, by itself, constitute a taking. See Euclid v. Ambler Realty Co., 272 U.S. 365,  384 (1926) (75% diminution in value). Thus, the landowner's perception of the regulation cannot justify the Court's new rule.</w:t>
      </w:r>
    </w:p>
    <w:p w:rsidR="00A31137" w:rsidRPr="00A31137" w:rsidRDefault="00A31137" w:rsidP="00A31137">
      <w:r w:rsidRPr="00A31137">
        <w:t>1992, Lucas v. So. Carolina Coastal Council, 505 U.S. 1066</w:t>
      </w:r>
    </w:p>
    <w:p w:rsidR="00A31137" w:rsidRPr="00A31137" w:rsidRDefault="00A31137" w:rsidP="00A31137">
      <w:r w:rsidRPr="00A31137">
        <w:t>Second, the Court emphasizes that, because total takings are "relatively rare," its new rule will not adversely affect the government's ability to "go on." Ante at  1018. This argument proves too little. Certainly it is true that defining a small class of regulations that are per se takings will not [505 U.S. 1067] greatly hinder important governmental functions—but this is true of any small class of regulations. The Court's suggestion only begs the question of why regulations of this particular class should always be found to effect takings.</w:t>
      </w:r>
    </w:p>
    <w:p w:rsidR="00A31137" w:rsidRPr="00A31137" w:rsidRDefault="00A31137" w:rsidP="00A31137">
      <w:r w:rsidRPr="00A31137">
        <w:t>1992, Lucas v. So. Carolina Coastal Council, 505 U.S. 1067</w:t>
      </w:r>
    </w:p>
    <w:p w:rsidR="00A31137" w:rsidRPr="00A31137" w:rsidRDefault="00A31137" w:rsidP="00A31137">
      <w:r w:rsidRPr="00A31137">
        <w:t>Finally, the Court suggests that</w:t>
      </w:r>
    </w:p>
    <w:p w:rsidR="00A31137" w:rsidRPr="00A31137" w:rsidRDefault="00A31137" w:rsidP="00A31137">
      <w:r w:rsidRPr="00A31137">
        <w:t>1992, Lucas v. So. Carolina Coastal Council, 505 U.S. 1067</w:t>
      </w:r>
    </w:p>
    <w:p w:rsidR="00A31137" w:rsidRPr="00A31137" w:rsidRDefault="00A31137" w:rsidP="00A31137">
      <w:r w:rsidRPr="00A31137">
        <w:t>regulations that leave the owner…without economically beneficial…use…carry with them a heightened risk that private property is being pressed into some form of public service.</w:t>
      </w:r>
    </w:p>
    <w:p w:rsidR="00A31137" w:rsidRPr="00A31137" w:rsidRDefault="00A31137" w:rsidP="00A31137">
      <w:r w:rsidRPr="00A31137">
        <w:t>1992, Lucas v. So. Carolina Coastal Council, 505 U.S. 1067</w:t>
      </w:r>
    </w:p>
    <w:p w:rsidR="00A31137" w:rsidRPr="00A31137" w:rsidRDefault="00A31137" w:rsidP="00A31137">
      <w:r w:rsidRPr="00A31137">
        <w:t>Ibid. As discussed more fully below, see infra, Part III, I agree that the risks of such singling out are of central concern in takings law. However, such risks do not justify a per se rule for total regulatory takings. There is no necessary correlation between "singling out" and total takings: a regulation may single out a property owner without depriving him of all of his property, see e.g., Nollan v. California Coastal Comm'n, 483 U.S. 825,  837 (1987); J.E.D. Associates, Inc. v. Atkinson, 121 N.H. 581, 432 A.2d 12 (1981); and it may deprive him of all of his property without singling him out, see e.g., Mugler v. Kansas, 123 U.S. 623 (1887); Hadacheck v. Sebastian, 239 U.S. 394 (1915). What matters in such cases is not the degree of diminution of value, but rather the specificity of the expropriating act. For this reason, the Court's third justification for its new rule also fails.</w:t>
      </w:r>
    </w:p>
    <w:p w:rsidR="00A31137" w:rsidRPr="00A31137" w:rsidRDefault="00A31137" w:rsidP="00A31137">
      <w:r w:rsidRPr="00A31137">
        <w:t>1992, Lucas v. So. Carolina Coastal Council, 505 U.S. 1067</w:t>
      </w:r>
    </w:p>
    <w:p w:rsidR="00A31137" w:rsidRPr="00A31137" w:rsidRDefault="00A31137" w:rsidP="00A31137">
      <w:r w:rsidRPr="00A31137">
        <w:t>In short, the Court's new rule is unsupported by prior decisions, arbitrary and unsound in practice, and theoretically unjustified. In my opinion, a categorical rule as important as the one established by the Court today should be supported by more history or more reason than has yet been provided.</w:t>
      </w:r>
    </w:p>
    <w:p w:rsidR="00A31137" w:rsidRPr="00A31137" w:rsidRDefault="00A31137" w:rsidP="00A31137">
      <w:r w:rsidRPr="00A31137">
        <w:t>1992, Lucas v. So. Carolina Coastal Council, 505 U.S. 1067</w:t>
      </w:r>
    </w:p>
    <w:p w:rsidR="00A31137" w:rsidRPr="00A31137" w:rsidRDefault="00A31137" w:rsidP="00A31137">
      <w:r w:rsidRPr="00A31137">
        <w:t>The Nuisance Exception</w:t>
      </w:r>
    </w:p>
    <w:p w:rsidR="00A31137" w:rsidRPr="00A31137" w:rsidRDefault="00A31137" w:rsidP="00A31137">
      <w:r w:rsidRPr="00A31137">
        <w:t>1992, Lucas v. So. Carolina Coastal Council, 505 U.S. 1067</w:t>
      </w:r>
    </w:p>
    <w:p w:rsidR="00A31137" w:rsidRPr="00A31137" w:rsidRDefault="00A31137" w:rsidP="00A31137">
      <w:r w:rsidRPr="00A31137">
        <w:t xml:space="preserve">Like many bright-line rules, the categorical rule established in this case is only "categorical" for a page or two in the U.S. Reports. No sooner does the Court state that "total regulatory takings must be compensated," ante at  1026, than it quickly establishes an exception to that rule. [505 U.S. 1068] </w:t>
      </w:r>
    </w:p>
    <w:p w:rsidR="00A31137" w:rsidRPr="00A31137" w:rsidRDefault="00A31137" w:rsidP="00A31137">
      <w:r w:rsidRPr="00A31137">
        <w:t>1992, Lucas v. So. Carolina Coastal Council, 505 U.S. 1068</w:t>
      </w:r>
    </w:p>
    <w:p w:rsidR="00A31137" w:rsidRPr="00A31137" w:rsidRDefault="00A31137" w:rsidP="00A31137">
      <w:r w:rsidRPr="00A31137">
        <w:t>The exception provides that a regulation that renders property valueless is not a taking if it prohibits uses of property that were not "previously permissible under relevant property and nuisance principles." Ante at 1029-1030. The Court thus rejects the basic holding in Mugler v. Kansas, 123 U.S. 623 (1887). There we held that a state-wide statute that prohibited the owner of a brewery from making alcoholic beverages did not effect a taking, even though the use of the property had been perfectly lawful and caused no public harm before the statute was enacted. We squarely rejected the rule the Court adopts today:</w:t>
      </w:r>
    </w:p>
    <w:p w:rsidR="00A31137" w:rsidRPr="00A31137" w:rsidRDefault="00A31137" w:rsidP="00A31137">
      <w:r w:rsidRPr="00A31137">
        <w:t>1992, Lucas v. So. Carolina Coastal Council, 505 U.S. 1068</w:t>
      </w:r>
    </w:p>
    <w:p w:rsidR="00A31137" w:rsidRPr="00A31137" w:rsidRDefault="00A31137" w:rsidP="00A31137">
      <w:r w:rsidRPr="00A31137">
        <w:t>It is true, that, when the defendants…erected their breweries, the laws of the State did not forbid the manufacture of intoxicating liquors. But the State did not thereby give any assurance, or come under an obligation, that its legislation upon that subject would remain unchanged. [T]he supervision of the public health and the public morals is a governmental power, "continuing in its nature," and "to be dealt with as the special exigencies of the moment may require;"…"for this purpose, the largest legislative discretion is allowed, and the discretion cannot be parted with any more than the power itself."</w:t>
      </w:r>
    </w:p>
    <w:p w:rsidR="00A31137" w:rsidRPr="00A31137" w:rsidRDefault="00A31137" w:rsidP="00A31137">
      <w:r w:rsidRPr="00A31137">
        <w:t>1992, Lucas v. So. Carolina Coastal Council, 505 U.S. 1068</w:t>
      </w:r>
    </w:p>
    <w:p w:rsidR="00A31137" w:rsidRPr="00A31137" w:rsidRDefault="00A31137" w:rsidP="00A31137">
      <w:r w:rsidRPr="00A31137">
        <w:t>Id. at  669.</w:t>
      </w:r>
    </w:p>
    <w:p w:rsidR="00A31137" w:rsidRPr="00A31137" w:rsidRDefault="00A31137" w:rsidP="00A31137">
      <w:r w:rsidRPr="00A31137">
        <w:t>1992, Lucas v. So. Carolina Coastal Council, 505 U.S. 1068</w:t>
      </w:r>
    </w:p>
    <w:p w:rsidR="00A31137" w:rsidRPr="00A31137" w:rsidRDefault="00A31137" w:rsidP="00A31137">
      <w:r w:rsidRPr="00A31137">
        <w:t>Under our reasoning in Mugler, a state's decision to prohibit or to regulate certain uses of property is not a compensable taking just because the particular uses were previously lawful. Under the Court's opinion today, however, if a state should decide to prohibit the manufacture of asbestos cigarettes, or concealable firearms, for example, it must be prepared to pay for the adverse economic consequences of its decision. One must wonder if Government will be able to "go on" effectively if it must risk compensation "for every such change in the general law." Mahon, 260 U.S. at  413.</w:t>
      </w:r>
    </w:p>
    <w:p w:rsidR="00A31137" w:rsidRPr="00A31137" w:rsidRDefault="00A31137" w:rsidP="00A31137">
      <w:r w:rsidRPr="00A31137">
        <w:t>1992, Lucas v. So. Carolina Coastal Council, 505 U.S. 1068</w:t>
      </w:r>
    </w:p>
    <w:p w:rsidR="00A31137" w:rsidRPr="00A31137" w:rsidRDefault="00A31137" w:rsidP="00A31137">
      <w:r w:rsidRPr="00A31137">
        <w:t>The Court's holding today effectively freezes the State's common law, denying the legislature much of its traditional [505 U.S. 1069] power to revise the law governing the rights and uses of property. Until today, I had thought that we had long abandoned this approach to constitutional law. More than a century ago, we recognized that</w:t>
      </w:r>
    </w:p>
    <w:p w:rsidR="00A31137" w:rsidRPr="00A31137" w:rsidRDefault="00A31137" w:rsidP="00A31137">
      <w:r w:rsidRPr="00A31137">
        <w:t>1992, Lucas v. So. Carolina Coastal Council, 505 U.S. 1069</w:t>
      </w:r>
    </w:p>
    <w:p w:rsidR="00A31137" w:rsidRPr="00A31137" w:rsidRDefault="00A31137" w:rsidP="00A31137">
      <w:r w:rsidRPr="00A31137">
        <w:t>the great office of statutes is to remedy defects in the common law as they are developed, and to adapt it to the changes of time and circumstances.</w:t>
      </w:r>
    </w:p>
    <w:p w:rsidR="00A31137" w:rsidRPr="00A31137" w:rsidRDefault="00A31137" w:rsidP="00A31137">
      <w:r w:rsidRPr="00A31137">
        <w:t>1992, Lucas v. So. Carolina Coastal Council, 505 U.S. 1069</w:t>
      </w:r>
    </w:p>
    <w:p w:rsidR="00A31137" w:rsidRPr="00A31137" w:rsidRDefault="00A31137" w:rsidP="00A31137">
      <w:r w:rsidRPr="00A31137">
        <w:t>Munn v. Illinois, 94 U.S. 113,  134 (1877). As Justice Marshall observed about a position similar to that adopted by the Court today:</w:t>
      </w:r>
    </w:p>
    <w:p w:rsidR="00A31137" w:rsidRPr="00A31137" w:rsidRDefault="00A31137" w:rsidP="00A31137">
      <w:r w:rsidRPr="00A31137">
        <w:t>1992, Lucas v. So. Carolina Coastal Council, 505 U.S. 1069</w:t>
      </w:r>
    </w:p>
    <w:p w:rsidR="00A31137" w:rsidRPr="00A31137" w:rsidRDefault="00A31137" w:rsidP="00A31137">
      <w:r w:rsidRPr="00A31137">
        <w:t>If accepted, that claim would represent a return to the era of Lochner v. New York, 198 U.S. 45 (1905), when common law rights were also found immune from revision by State or Federal Government. Such an approach would freeze the common law as it has been constructed by the courts, perhaps at its 19th-century state of development. It would allow no room for change in response to changes in circumstance. The Due Process Clause does not require such a result.</w:t>
      </w:r>
    </w:p>
    <w:p w:rsidR="00A31137" w:rsidRPr="00A31137" w:rsidRDefault="00A31137" w:rsidP="00A31137">
      <w:r w:rsidRPr="00A31137">
        <w:t>1992, Lucas v. So. Carolina Coastal Council, 505 U.S. 1069</w:t>
      </w:r>
    </w:p>
    <w:p w:rsidR="00A31137" w:rsidRPr="00A31137" w:rsidRDefault="00A31137" w:rsidP="00A31137">
      <w:r w:rsidRPr="00A31137">
        <w:t>PruneYard Shopping Center v. Robins, 447 U.S. 74,  93 (1980) (concurring opinion).</w:t>
      </w:r>
    </w:p>
    <w:p w:rsidR="00A31137" w:rsidRPr="00A31137" w:rsidRDefault="00A31137" w:rsidP="00A31137">
      <w:r w:rsidRPr="00A31137">
        <w:t>1992, Lucas v. So. Carolina Coastal Council, 505 U.S. 1069</w:t>
      </w:r>
    </w:p>
    <w:p w:rsidR="00A31137" w:rsidRPr="00A31137" w:rsidRDefault="00A31137" w:rsidP="00A31137">
      <w:r w:rsidRPr="00A31137">
        <w:t>Arresting the development of the common law is not only a departure from our prior decisions; it is also profoundly unwise. The human condition is one of constant learning and evolution—both moral and practical. Legislatures implement that new learning; in doing so, they must often revise the definition of property and the rights of property owners. Thus, when the Nation came to understand that slavery was morally wrong and mandated the emancipation of all slaves, it, in effect, redefined "property." On a lesser scale, our ongoing self-education produces similar changes in the rights of property owners:   New appreciation of the significance of endangered species, see, e.g., Andrus v. Allard, 444 U.S. 51 (1979); the importance of wetlands, see, e.g., 16 U.S.C. § 3801 et seq.; and the vulnerability of coastal [505 U.S. 1070] lands, see, e.g., 16 U.S.C. § 1451 et seq., shapes our evolving understandings of property rights.</w:t>
      </w:r>
    </w:p>
    <w:p w:rsidR="00A31137" w:rsidRPr="00A31137" w:rsidRDefault="00A31137" w:rsidP="00A31137">
      <w:r w:rsidRPr="00A31137">
        <w:t>1992, Lucas v. So. Carolina Coastal Council, 505 U.S. 1070</w:t>
      </w:r>
    </w:p>
    <w:p w:rsidR="00A31137" w:rsidRPr="00A31137" w:rsidRDefault="00A31137" w:rsidP="00A31137">
      <w:r w:rsidRPr="00A31137">
        <w:t>Of course, some legislative redefinitions of property will effect a taking, and must be compensated—but it certainly cannot be the case that every movement away from common law does so. There is no reason, and less sense, in such an absolute rule. We live in a world in which changes in the economy and the environment occur with increasing frequency and importance. If it was wise a century ago to allow Government "'the largest legislative discretion'" to deal with "'the special exigencies of the moment,'" Mugler, 123 U.S. at  669, it is imperative to do so today. The rule that should govern a decision in a case of this kind should focus on the future, not the past. 5</w:t>
      </w:r>
    </w:p>
    <w:p w:rsidR="00A31137" w:rsidRPr="00A31137" w:rsidRDefault="00A31137" w:rsidP="00A31137">
      <w:r w:rsidRPr="00A31137">
        <w:t>*    *    *    *</w:t>
      </w:r>
    </w:p>
    <w:p w:rsidR="00A31137" w:rsidRPr="00A31137" w:rsidRDefault="00A31137" w:rsidP="00A31137">
      <w:r w:rsidRPr="00A31137">
        <w:t>1992, Lucas v. So. Carolina Coastal Council, 505 U.S. 1070</w:t>
      </w:r>
    </w:p>
    <w:p w:rsidR="00A31137" w:rsidRPr="00A31137" w:rsidRDefault="00A31137" w:rsidP="00A31137">
      <w:r w:rsidRPr="00A31137">
        <w:t xml:space="preserve">The Court's categorical approach rule will, I fear, greatly hamper the efforts of local officials and planners who must deal with increasingly complex problems in land use and environmental regulation. As this case—in which the claims of an individual property owner exceed $1 million—well demonstrates, these officials face both substantial uncertainty because of the ad hoc nature of takings law and unacceptable penalties if they guess incorrectly about that law. 6 [505 U.S. 1071] </w:t>
      </w:r>
    </w:p>
    <w:p w:rsidR="00A31137" w:rsidRPr="00A31137" w:rsidRDefault="00A31137" w:rsidP="00A31137">
      <w:r w:rsidRPr="00A31137">
        <w:t>1992, Lucas v. So. Carolina Coastal Council, 505 U.S. 1071</w:t>
      </w:r>
    </w:p>
    <w:p w:rsidR="00A31137" w:rsidRPr="00A31137" w:rsidRDefault="00A31137" w:rsidP="00A31137">
      <w:r w:rsidRPr="00A31137">
        <w:t>Viewed more broadly, the Court's new rule and exception conflict with the very character of our takings jurisprudence. We have frequently and consistently recognized that the definition of a taking cannot be reduced to a "set formula," and that determining whether a regulation is a taking is "essentially [an] ad hoc, factual inquir[y]." Penn Central Transportation Co. v. New York City, 438 U.S. 104,  124 (1978) (quoting Goldblatt v. Hempstead, 369 U.S. 590, 594 (1962)). This is unavoidable, for the determination whether a law effects a taking is ultimately a matter of "fairness and justice," Armstrong v. United States, 364 U.S. 40, 49 (1960), and "necessarily requires a weighing of private and public interests." Agins, 447 U.S. at  261. The rigid rules fixed by the Court today clash with this enterprise: "fairness and justice" are often disserved by categorical rules.</w:t>
      </w:r>
    </w:p>
    <w:p w:rsidR="00A31137" w:rsidRPr="00A31137" w:rsidRDefault="00A31137" w:rsidP="00A31137">
      <w:r w:rsidRPr="00A31137">
        <w:t>III</w:t>
      </w:r>
    </w:p>
    <w:p w:rsidR="00A31137" w:rsidRPr="00A31137" w:rsidRDefault="00A31137" w:rsidP="00A31137">
      <w:r w:rsidRPr="00A31137">
        <w:t>1992, Lucas v. So. Carolina Coastal Council, 505 U.S. 1071</w:t>
      </w:r>
    </w:p>
    <w:p w:rsidR="00A31137" w:rsidRPr="00A31137" w:rsidRDefault="00A31137" w:rsidP="00A31137">
      <w:r w:rsidRPr="00A31137">
        <w:t>It is well established that a takings case</w:t>
      </w:r>
    </w:p>
    <w:p w:rsidR="00A31137" w:rsidRPr="00A31137" w:rsidRDefault="00A31137" w:rsidP="00A31137">
      <w:r w:rsidRPr="00A31137">
        <w:t>1992, Lucas v. So. Carolina Coastal Council, 505 U.S. 1071</w:t>
      </w:r>
    </w:p>
    <w:p w:rsidR="00A31137" w:rsidRPr="00A31137" w:rsidRDefault="00A31137" w:rsidP="00A31137">
      <w:r w:rsidRPr="00A31137">
        <w:t>entails inquiry into [several factors:] the character of the governmental action, its economic impact, and its interference with reasonable investment-backed expectations.</w:t>
      </w:r>
    </w:p>
    <w:p w:rsidR="00A31137" w:rsidRPr="00A31137" w:rsidRDefault="00A31137" w:rsidP="00A31137">
      <w:r w:rsidRPr="00A31137">
        <w:t>1992, Lucas v. So. Carolina Coastal Council, 505 U.S. 1071</w:t>
      </w:r>
    </w:p>
    <w:p w:rsidR="00A31137" w:rsidRPr="00A31137" w:rsidRDefault="00A31137" w:rsidP="00A31137">
      <w:r w:rsidRPr="00A31137">
        <w:t>PruneYard, 447 U.S. at  83. The Court's analysis today focuses on the last two of these three factors: the categorical rule addresses a regulation's "economic impact," while the nuisance exception recognizes that ownership brings with it only certain "expectations." Neglected by the Court today is the first, and in some ways, the most important factor in takings analysis: the character of the regulatory action.</w:t>
      </w:r>
    </w:p>
    <w:p w:rsidR="00A31137" w:rsidRPr="00A31137" w:rsidRDefault="00A31137" w:rsidP="00A31137">
      <w:r w:rsidRPr="00A31137">
        <w:t>1992, Lucas v. So. Carolina Coastal Council, 505 U.S. 1071</w:t>
      </w:r>
    </w:p>
    <w:p w:rsidR="00A31137" w:rsidRPr="00A31137" w:rsidRDefault="00A31137" w:rsidP="00A31137">
      <w:r w:rsidRPr="00A31137">
        <w:t>The Just Compensation Clause</w:t>
      </w:r>
    </w:p>
    <w:p w:rsidR="00A31137" w:rsidRPr="00A31137" w:rsidRDefault="00A31137" w:rsidP="00A31137">
      <w:r w:rsidRPr="00A31137">
        <w:t>1992, Lucas v. So. Carolina Coastal Council, 505 U.S. 1071</w:t>
      </w:r>
    </w:p>
    <w:p w:rsidR="00A31137" w:rsidRPr="00A31137" w:rsidRDefault="00A31137" w:rsidP="00A31137">
      <w:r w:rsidRPr="00A31137">
        <w:t>was designed to bar Government from forcing some people alone to bear public burdens which, in all fairness and justice, should be borne by the public as a whole.</w:t>
      </w:r>
    </w:p>
    <w:p w:rsidR="00A31137" w:rsidRPr="00A31137" w:rsidRDefault="00A31137" w:rsidP="00A31137">
      <w:r w:rsidRPr="00A31137">
        <w:t>1992, Lucas v. So. Carolina Coastal Council, 505 U.S. 1071</w:t>
      </w:r>
    </w:p>
    <w:p w:rsidR="00A31137" w:rsidRPr="00A31137" w:rsidRDefault="00A31137" w:rsidP="00A31137">
      <w:r w:rsidRPr="00A31137">
        <w:t>Armstrong, 364 U.S. at 49. Accordingly, one of the central concerns of our takings jurisprudence is "prevent[ing] the public from loading upon one individual more than his just share of the burdens of government." Monongahela Navigation Co. v. United [505 U.S. 1072] States, 148 U.S. 312, 325 (1893). We have, therefore, in our takings law frequently looked to the generality of a regulation of property. 7</w:t>
      </w:r>
    </w:p>
    <w:p w:rsidR="00A31137" w:rsidRPr="00A31137" w:rsidRDefault="00A31137" w:rsidP="00A31137">
      <w:r w:rsidRPr="00A31137">
        <w:t>1992, Lucas v. So. Carolina Coastal Council, 505 U.S. 1072</w:t>
      </w:r>
    </w:p>
    <w:p w:rsidR="00A31137" w:rsidRPr="00A31137" w:rsidRDefault="00A31137" w:rsidP="00A31137">
      <w:r w:rsidRPr="00A31137">
        <w:t>For example, in the case of so-called "developmental exactions," we have paid special attention to the risk that particular landowners might "b[e] singled out to bear the burden" of a broader problem not of his own making. Nollan, 483 U.S. at  835, n. 4; see also Pennell v. San Jose, 485 U.S. 1, 23 (1988). Similarly, in distinguishing between the Kohler Act (at issue in Mahon) and the Subsidence Act (at issue in Keystone), we found significant that the regulatory function of the latter was substantially broader. Unlike the Kohler [505 U.S. 1073] Act, which simply transferred back to the surface owners certain rights that they had earlier sold to the coal companies, the Subsidence Act affected all surface owners—including the coal companies—equally. See Keystone, 480 U.S. at 486. Perhaps the most familiar application of this principle of generality arises in zoning cases. A diminution in value caused by a zoning regulation is far less likely to constitute a taking if it is part of a general and comprehensive land use plan, see Euclid v. Ambler Realty Co., 272 U.S. 365 (1926); conversely, "spot zoning" is far more likely to constitute a taking, see Penn Central, 438 U.S. at  132, and n. 28.</w:t>
      </w:r>
    </w:p>
    <w:p w:rsidR="00A31137" w:rsidRPr="00A31137" w:rsidRDefault="00A31137" w:rsidP="00A31137">
      <w:r w:rsidRPr="00A31137">
        <w:t>1992, Lucas v. So. Carolina Coastal Council, 505 U.S. 1073</w:t>
      </w:r>
    </w:p>
    <w:p w:rsidR="00A31137" w:rsidRPr="00A31137" w:rsidRDefault="00A31137" w:rsidP="00A31137">
      <w:r w:rsidRPr="00A31137">
        <w:t>The presumption that a permanent physical occupation, no matter how slight, effects a taking is wholly consistent with this principle. A physical taking entails a certain amount of "singling out." 8 Consistent with this principle, physical occupations by third parties are more likely to effect takings than other physical occupations. Thus, a regulation requiring the installation of a junction box owned by a third party, Loretto v. Teleprompter Manhattan CATV Corp., 458 U.S. 419 (1982), is more troubling than a regulation requiring the installation of sprinklers or smoke detectors; just as an order granting third parties access to a marina, Kaiser Aetna v. United States, 444 U.S. 164 (1979), is more troubling than an order requiring the placement of safety buoys in the marina.</w:t>
      </w:r>
    </w:p>
    <w:p w:rsidR="00A31137" w:rsidRPr="00A31137" w:rsidRDefault="00A31137" w:rsidP="00A31137">
      <w:r w:rsidRPr="00A31137">
        <w:t>1992, Lucas v. So. Carolina Coastal Council, 505 U.S. 1073</w:t>
      </w:r>
    </w:p>
    <w:p w:rsidR="00A31137" w:rsidRPr="00A31137" w:rsidRDefault="00A31137" w:rsidP="00A31137">
      <w:r w:rsidRPr="00A31137">
        <w:t>In analyzing takings claims, courts have long recognized the difference between a regulation that targets one or two parcels of land and a regulation that enforces a state-wide policy. See, e.g., A.A. Profiles, Inc. v. Ft. Lauderdale, 850 F.2d 1483, 1488 (CA11 1988); Wheeler v. Pleasant Grove, 664 F.2d 99, 100 (CA5 1981); Trustees Under Will of Pomeroy v. Westlake, 357 So.2d 1299, 1304 (La.App.1978); see also Burrows v. Keene, 121 N.H. 590, 432 A.2d 15, 21 (1981); Herman Glick Realty Co. v. St. Louis County, 545 S.W.2d 320, 324-325 (Mo. App.1976); Huttig v. Richmond Heights, [505 U.S. 1074] 372 S.W.2d 833, 842-843 (Mo.1963). As one early court stated with regard to a waterfront regulation,</w:t>
      </w:r>
    </w:p>
    <w:p w:rsidR="00A31137" w:rsidRPr="00A31137" w:rsidRDefault="00A31137" w:rsidP="00A31137">
      <w:r w:rsidRPr="00A31137">
        <w:t>1992, Lucas v. So. Carolina Coastal Council, 505 U.S. 1074</w:t>
      </w:r>
    </w:p>
    <w:p w:rsidR="00A31137" w:rsidRPr="00A31137" w:rsidRDefault="00A31137" w:rsidP="00A31137">
      <w:r w:rsidRPr="00A31137">
        <w:t>If such restraint were in fact imposed upon the estate of one proprietor only, out of several estates on the same line of shore, the objection would be much more formidable.</w:t>
      </w:r>
    </w:p>
    <w:p w:rsidR="00A31137" w:rsidRPr="00A31137" w:rsidRDefault="00A31137" w:rsidP="00A31137">
      <w:r w:rsidRPr="00A31137">
        <w:t>1992, Lucas v. So. Carolina Coastal Council, 505 U.S. 1074</w:t>
      </w:r>
    </w:p>
    <w:p w:rsidR="00A31137" w:rsidRPr="00A31137" w:rsidRDefault="00A31137" w:rsidP="00A31137">
      <w:r w:rsidRPr="00A31137">
        <w:t>Commonwealth v. Alger, 61 Mass. 53, 102 (1851).</w:t>
      </w:r>
    </w:p>
    <w:p w:rsidR="00A31137" w:rsidRPr="00A31137" w:rsidRDefault="00A31137" w:rsidP="00A31137">
      <w:r w:rsidRPr="00A31137">
        <w:t>1992, Lucas v. So. Carolina Coastal Council, 505 U.S. 1074</w:t>
      </w:r>
    </w:p>
    <w:p w:rsidR="00A31137" w:rsidRPr="00A31137" w:rsidRDefault="00A31137" w:rsidP="00A31137">
      <w:r w:rsidRPr="00A31137">
        <w:t>In considering Lucas' claim, the generality of the Beachfront Management Act is significant. The Act does not target particular landowners, but rather regulates the use of the coastline of the entire State. See S.C.Code § 48-39-10 (Supp.1990). Indeed, South Carolina's Act is best understood as part of a national effort to protect the coastline, one initiated by the Federal Coastal Zone Management Act of 1972. Pub.L. 92-583, 86 Stat. 1280, codified as amended at 16 U.S.C. § 1451 et seq. Pursuant to the Federal Act, every coastal State has implemented coastline regulations. 9 Moreover, the Act did not single out owners of undeveloped land. The Act also prohibited owners of developed land from rebuilding if their structures were destroyed, see 1988 S.C.Acts 634 § 3, 10 and what is equally significant, from repairing erosion control devices, such as seawalls, see S.C.Code § 48-39-290(B)(2) (Supp.1990). In addition, in some situations, owners of developed land were required to</w:t>
      </w:r>
    </w:p>
    <w:p w:rsidR="00A31137" w:rsidRPr="00A31137" w:rsidRDefault="00A31137" w:rsidP="00A31137">
      <w:r w:rsidRPr="00A31137">
        <w:t>1992, Lucas v. So. Carolina Coastal Council, 505 U.S. 1074</w:t>
      </w:r>
    </w:p>
    <w:p w:rsidR="00A31137" w:rsidRPr="00A31137" w:rsidRDefault="00A31137" w:rsidP="00A31137">
      <w:r w:rsidRPr="00A31137">
        <w:t>renouris[h] the beach…on a yearly basis with an amount…of sand…not…less than one and one-half times the yearly volume of sand lost due to erosion.</w:t>
      </w:r>
    </w:p>
    <w:p w:rsidR="00A31137" w:rsidRPr="00A31137" w:rsidRDefault="00A31137" w:rsidP="00A31137">
      <w:r w:rsidRPr="00A31137">
        <w:t>1992, Lucas v. So. Carolina Coastal Council, 505 U.S. 1074</w:t>
      </w:r>
    </w:p>
    <w:p w:rsidR="00A31137" w:rsidRPr="00A31137" w:rsidRDefault="00A31137" w:rsidP="00A31137">
      <w:r w:rsidRPr="00A31137">
        <w:t>1988 S.C. Acts 634 § 3, p. 5140. 11 In short, the South Carolina Act imposed substantial burdens on owners of developed and undeveloped [505 U.S. 1075] land alike. 12 This generality indicates that the Act is not an effort to expropriate owners of undeveloped land.</w:t>
      </w:r>
    </w:p>
    <w:p w:rsidR="00A31137" w:rsidRPr="00A31137" w:rsidRDefault="00A31137" w:rsidP="00A31137">
      <w:r w:rsidRPr="00A31137">
        <w:t>1992, Lucas v. So. Carolina Coastal Council, 505 U.S. 1075</w:t>
      </w:r>
    </w:p>
    <w:p w:rsidR="00A31137" w:rsidRPr="00A31137" w:rsidRDefault="00A31137" w:rsidP="00A31137">
      <w:r w:rsidRPr="00A31137">
        <w:t>Admittedly, the economic impact of this regulation is dramatic, and petitioner's investment-backed expectations are substantial. Yet, if anything, the costs to and expectations of the owners of developed land are even greater: I doubt, however, that the cost to owners of developed land of renourishing the beach and allowing their seawalls to deteriorate effects a taking. The costs imposed on the owners of undeveloped land, such as petitioner, differ from these costs only in degree, not in kind.</w:t>
      </w:r>
    </w:p>
    <w:p w:rsidR="00A31137" w:rsidRPr="00A31137" w:rsidRDefault="00A31137" w:rsidP="00A31137">
      <w:r w:rsidRPr="00A31137">
        <w:t>1992, Lucas v. So. Carolina Coastal Council, 505 U.S. 1075</w:t>
      </w:r>
    </w:p>
    <w:p w:rsidR="00A31137" w:rsidRPr="00A31137" w:rsidRDefault="00A31137" w:rsidP="00A31137">
      <w:r w:rsidRPr="00A31137">
        <w:t>The impact of the ban on developmental uses must also be viewed in light of the purposes of the Act. The legislature stated the purposes of the Act as "protect[ing], preserv[ing], restor[ing] and enhanc[ing] the beach/dune system" of the State not only for recreational and ecological purposes, but also to "protec[t] life and property." S.C.Code § 48-39-260(1)(a) (Supp.1990). The State, with much science on its side, believes that the "beach/dune system [acts] as a buffer from high tides, storm surge, [and] hurricanes." Ibid. This is a traditional and important exercise of the State's police power, as demonstrated by Hurricane Hugo, which, in 1989, caused 29 deaths and more than $6 billion in property damage in South Carolina alone. 13</w:t>
      </w:r>
    </w:p>
    <w:p w:rsidR="00A31137" w:rsidRPr="00A31137" w:rsidRDefault="00A31137" w:rsidP="00A31137">
      <w:r w:rsidRPr="00A31137">
        <w:t>1992, Lucas v. So. Carolina Coastal Council, 505 U.S. 1075</w:t>
      </w:r>
    </w:p>
    <w:p w:rsidR="00A31137" w:rsidRPr="00A31137" w:rsidRDefault="00A31137" w:rsidP="00A31137">
      <w:r w:rsidRPr="00A31137">
        <w:t>In view of all of these factors, even assuming that petitioner's property was rendered valueless, the risk inherent in investments of the sort made by petitioner, the generality of the Act, and the compelling purpose motivating the South [505 U.S. 1076] Carolina Legislature persuade me that the Act did not effect a taking of petitioner's property.</w:t>
      </w:r>
    </w:p>
    <w:p w:rsidR="00A31137" w:rsidRPr="00A31137" w:rsidRDefault="00A31137" w:rsidP="00A31137">
      <w:r w:rsidRPr="00A31137">
        <w:t>1992, Lucas v. So. Carolina Coastal Council, 505 U.S. 1076</w:t>
      </w:r>
    </w:p>
    <w:p w:rsidR="00A31137" w:rsidRPr="00A31137" w:rsidRDefault="00A31137" w:rsidP="00A31137">
      <w:r w:rsidRPr="00A31137">
        <w:t>Accordingly, I respectfully dissent.</w:t>
      </w:r>
    </w:p>
    <w:p w:rsidR="00A31137" w:rsidRPr="00A31137" w:rsidRDefault="00A31137" w:rsidP="00A31137">
      <w:r w:rsidRPr="00A31137">
        <w:t>SOUTER, J., statement</w:t>
      </w:r>
    </w:p>
    <w:p w:rsidR="00A31137" w:rsidRPr="00A31137" w:rsidRDefault="00A31137" w:rsidP="00A31137">
      <w:r w:rsidRPr="00A31137">
        <w:t>1992, Lucas v. So. Carolina Coastal Council, 505 U.S. 1076</w:t>
      </w:r>
    </w:p>
    <w:p w:rsidR="00A31137" w:rsidRPr="00A31137" w:rsidRDefault="00A31137" w:rsidP="00A31137">
      <w:r w:rsidRPr="00A31137">
        <w:t>Statement of JUSTICE SOUTER.</w:t>
      </w:r>
    </w:p>
    <w:p w:rsidR="00A31137" w:rsidRPr="00A31137" w:rsidRDefault="00A31137" w:rsidP="00A31137">
      <w:r w:rsidRPr="00A31137">
        <w:t>1992, Lucas v. So. Carolina Coastal Council, 505 U.S. 1076</w:t>
      </w:r>
    </w:p>
    <w:p w:rsidR="00A31137" w:rsidRPr="00A31137" w:rsidRDefault="00A31137" w:rsidP="00A31137">
      <w:r w:rsidRPr="00A31137">
        <w:t>I would dismiss the writ of certiorari in this case as having been granted improvidently. After briefing and argument, it is abundantly clear that an unreviewable assumption on which this case comes to us is both questionable as a conclusion of Fifth Amendment law and sufficient to frustrate the Court's ability to render certain the legal premises on which its holding rests.</w:t>
      </w:r>
    </w:p>
    <w:p w:rsidR="00A31137" w:rsidRPr="00A31137" w:rsidRDefault="00A31137" w:rsidP="00A31137">
      <w:r w:rsidRPr="00A31137">
        <w:t>1992, Lucas v. So. Carolina Coastal Council, 505 U.S. 1076</w:t>
      </w:r>
    </w:p>
    <w:p w:rsidR="00A31137" w:rsidRPr="00A31137" w:rsidRDefault="00A31137" w:rsidP="00A31137">
      <w:r w:rsidRPr="00A31137">
        <w:t>The petition for review was granted on the assumption that the state, by regulation, had deprived the owner of his entire economic interest in the subject property. Such was the state trial court's conclusion, which the state supreme court did not review. It is apparent now that, in light of our prior cases, see, e.g., Keystone Bituminous Coal Assn. v. DeBenedictis, 480 U.S. 470, 493-502 (1987); Andrus v. Allard, 444 U.S. 51, 65-66 (1979); Penn Central Transportation Corp. v. New York City, 438 U.S. 104, 130-131 (1978), the trial court's conclusion is highly questionable. While the respondent now wishes to contest the point, see Brief for Respondent 45-50, the Court is certainly right to refuse to take up the issue, which is not fairly included within the question presented and has received only the most superficial and one-sided treatment before us.</w:t>
      </w:r>
    </w:p>
    <w:p w:rsidR="00A31137" w:rsidRPr="00A31137" w:rsidRDefault="00A31137" w:rsidP="00A31137">
      <w:r w:rsidRPr="00A31137">
        <w:t>1992, Lucas v. So. Carolina Coastal Council, 505 U.S. 1076</w:t>
      </w:r>
    </w:p>
    <w:p w:rsidR="00A31137" w:rsidRPr="00A31137" w:rsidRDefault="00A31137" w:rsidP="00A31137">
      <w:r w:rsidRPr="00A31137">
        <w:t>Because the questionable conclusion of total deprivation cannot be reviewed, the Court is precluded from attempting to clarify the concept of total (and, in the Court's view, categorically compensable) taking on which it rests, a concept which the Court describes, see ante at 1016-1017 n. 6, as so uncertain under existing law as to have fostered inconsistent pronouncements by the Court itself. Because that concept is left uncertain, so is the significance of the exceptions to the compensation requirement that the Court proceeds to recognize. [505 U.S. 1077] This alone is enough to show that there is little utility in attempting to deal with this case on the merits.</w:t>
      </w:r>
    </w:p>
    <w:p w:rsidR="00A31137" w:rsidRPr="00A31137" w:rsidRDefault="00A31137" w:rsidP="00A31137">
      <w:r w:rsidRPr="00A31137">
        <w:t>1992, Lucas v. So. Carolina Coastal Council, 505 U.S. 1077</w:t>
      </w:r>
    </w:p>
    <w:p w:rsidR="00A31137" w:rsidRPr="00A31137" w:rsidRDefault="00A31137" w:rsidP="00A31137">
      <w:r w:rsidRPr="00A31137">
        <w:t>The imprudence of proceeding to the merits in spite of these unpromising circumstances is underscored by the fact that, in doing so, the Court cannot help but assume something about the scope of the uncertain concept of total deprivation, even when it is barred from explicating total deprivation directly. Thus, when the Court concludes that the application of nuisance law provides an exception to the general rule that complete denial of economically beneficial use of property amounts to a compensable taking, the Court will be understood to suggest (if it does not assume) that there are, in fact, circumstances in which state law nuisance abatement may amount to a denial of all beneficial land use as that concept is to be employed in our takings jurisprudence under the Fifth and Fourteenth Amendments. The nature of nuisance law, however, indicates that application of a regulation defensible on grounds of nuisance prevention or abatement will quite probably not amount to a complete deprivation in fact. The nuisance enquiry focuses on conduct, not on the character of the property on which that conduct is performed, see 4 Restatement (Second) of Torts § 821B (1979) (public nuisance); id. § 822 (private nuisance), and the remedies for such conduct usually leave the property owner with other reasonable uses of his property, see W. Keeton, D. Dobbs, R. Keeton, &amp; D. Owen, Prosser and Keeton on Law of Torts § 90 (5th ed.1984) (public nuisances usually remedied by criminal prosecution or abatement), id. § 89 (private nuisances usually remedied by damages, injunction or abatement); see also, e.g., Mugler v. Kansas, 123 U.S. 623, 668-669 (1887) (prohibition on use of property to manufacture intoxicating beverages "does not disturb the owner in the control or use of his property for lawful purposes, nor restrict his right to dispose of it, but is only a declaration by the State that its use…for certain forbidden purposes, is prejudicial to the public interests"); Hadacheck v. Sebastian, [505 U.S. 1078] 239 U.S. 394, 412 (1915) (prohibition on operation of brickyard did not prohibit extraction of clay from which bricks were produced). Indeed, it is difficult to imagine property that can be used only to create a nuisance, such that its sole economic value must presuppose the right to occupy it for such seriously noxious activity.</w:t>
      </w:r>
    </w:p>
    <w:p w:rsidR="00A31137" w:rsidRPr="00A31137" w:rsidRDefault="00A31137" w:rsidP="00A31137">
      <w:r w:rsidRPr="00A31137">
        <w:t>1992, Lucas v. So. Carolina Coastal Council, 505 U.S. 1078</w:t>
      </w:r>
    </w:p>
    <w:p w:rsidR="00A31137" w:rsidRPr="00A31137" w:rsidRDefault="00A31137" w:rsidP="00A31137">
      <w:r w:rsidRPr="00A31137">
        <w:t>The upshot is that the issue of what constitutes a total deprivation is being addressed by indirection, and with uncertain results, in the Court's treatment of defenses to compensation claims. While the issue of what constitutes total deprivation deserves the Court's attention, as does the relationship between nuisance abatement and such total deprivation, the Court should confront these matters directly. Because it can neither do so in this case nor skip over those preliminary issues and deal independently with defenses to the Court's categorical compensation rule, the Court should dismiss the instant writ and await an opportunity to face the total deprivation question squarely. Under these circumstances, I believe it proper for me to vote to dismiss the writ, despite the Court's contrary preference. See, e.g., Welsh v. Wisconsin, 466 U.S. 740, 755 (1984) (Burger, C.J.); United States v. Shannon, 342 U.S. 288, 294 (1952) (Frankfurter, J.).</w:t>
      </w:r>
    </w:p>
    <w:p w:rsidR="00A31137" w:rsidRPr="00A31137" w:rsidRDefault="00A31137" w:rsidP="00A31137">
      <w:r w:rsidRPr="00A31137">
        <w:t>Footnotes</w:t>
      </w:r>
    </w:p>
    <w:p w:rsidR="00A31137" w:rsidRPr="00A31137" w:rsidRDefault="00A31137" w:rsidP="00A31137">
      <w:r w:rsidRPr="00A31137">
        <w:t>SCALIA, J., lead opinion (Footnotes)</w:t>
      </w:r>
    </w:p>
    <w:p w:rsidR="00A31137" w:rsidRPr="00A31137" w:rsidRDefault="00A31137" w:rsidP="00A31137">
      <w:r w:rsidRPr="00A31137">
        <w:t>1992, Lucas v. So. Carolina Coastal Council, 505 U.S. 1078</w:t>
      </w:r>
    </w:p>
    <w:p w:rsidR="00A31137" w:rsidRPr="00A31137" w:rsidRDefault="00A31137" w:rsidP="00A31137">
      <w:r w:rsidRPr="00A31137">
        <w:t>1. This specialized historical method of determining the baseline applied because the Beachwood East subdivision is located adjacent to a so-called "inlet erosion zone" (defined in the Act to mean "a segment of shoreline along or adjacent to tidal inlets which is influenced directly by the inlet and its associated shoals," S.C.Code § 48-39-270(7) (Supp.1988)) that is "not stabilized by jetties, terminal groins, or other structures," § 48-39-280(A)(2). For areas other than these unstabilized inlet erosion zones, the statute directs that the baseline be established "along the crest of the primary oceanfront sand dune." § 48-39-280(A)(1).</w:t>
      </w:r>
    </w:p>
    <w:p w:rsidR="00A31137" w:rsidRPr="00A31137" w:rsidRDefault="00A31137" w:rsidP="00A31137">
      <w:r w:rsidRPr="00A31137">
        <w:t>1992, Lucas v. So. Carolina Coastal Council, 505 U.S. 1078</w:t>
      </w:r>
    </w:p>
    <w:p w:rsidR="00A31137" w:rsidRPr="00A31137" w:rsidRDefault="00A31137" w:rsidP="00A31137">
      <w:r w:rsidRPr="00A31137">
        <w:t>2. The Act did allow the construction of certain nonhabitable improvements, e.g., "wooden walkways no larger in width than six feet," and "small wooden decks no larger than one hundred forty-four square feet." §§ 48-39-290(A)(1) and (2) (Supp.1988).</w:t>
      </w:r>
    </w:p>
    <w:p w:rsidR="00A31137" w:rsidRPr="00A31137" w:rsidRDefault="00A31137" w:rsidP="00A31137">
      <w:r w:rsidRPr="00A31137">
        <w:t>1992, Lucas v. So. Carolina Coastal Council, 505 U.S. 1078</w:t>
      </w:r>
    </w:p>
    <w:p w:rsidR="00A31137" w:rsidRPr="00A31137" w:rsidRDefault="00A31137" w:rsidP="00A31137">
      <w:r w:rsidRPr="00A31137">
        <w:t>3. JUSTICE BLACKMUN insists that this aspect of Lucas' claim is "not justiciable," post at  1042, because Lucas never fulfilled his obligation under Williamson County Regional Planning Comm'n v. Hamilton Bank of Johnson City, 473 U.S. 172 (1985), to "submi[t] a plan for development of [his] property" to the proper state authorities. Id. at 187. See post at  1043. But such a submission would have been pointless, as the Council stipulated below that no building permit would have been issued under the 1988 Act, application or no application. Record 14 (stipulations). Nor does the peculiar posture of this case mean that we are without Article III jurisdiction, as JUSTICE BLACKMUN apparently believes, see post at  1042, and n. 5. Given the South Carolina Supreme Court's dismissive foreclosure of further pleading and adjudication with respect to the pre-1990 component of Lucas' taking claim, it is appropriate for us to address that component as if the case were here on the pleadings alone. Lucas properly alleged injury-in-fact in his complaint, see App. to Pet. for Cert. 154 (complaint); id. at 156 (asking "damages for the temporary taking of his property" from the date of the 1988 Act's passage to "such time as this matter is finally resolved"). No more can reasonably be demanded. Cf. First English Evangelical Lutheran Church of Glendale v. County of Los Angeles, 482 U.S. 304, 312-313 (1987). JUSTICE BLACKMUN finds it "baffling," post at  1043, n. 5, that we grant standing here, whereas "just a few days ago, in Lujan v. Defenders of Wildlife, 504 U.S. 555 (1992)," we denied standing. He sees in that strong evidence to support his repeated imputations that the Court "presses" to take this case, post at  1036, is "eager to decide" it, post at  1045, and is unwilling to "be denied," post at  1042. He has a point: the decisions are indeed very close in time, yet one grants standing and the other denies it. The distinction, however, rests in law, rather than chronology. Lujan, since it involved the establishment of injury-in-fact at the summary judgment stage, required specific facts to be adduced by sworn testimony; had the same challenge to a generalized allegation of injury-in-fact been made at the pleading stage, it would have been unsuccessful.</w:t>
      </w:r>
    </w:p>
    <w:p w:rsidR="00A31137" w:rsidRPr="00A31137" w:rsidRDefault="00A31137" w:rsidP="00A31137">
      <w:r w:rsidRPr="00A31137">
        <w:t>1992, Lucas v. So. Carolina Coastal Council, 505 U.S. 1078</w:t>
      </w:r>
    </w:p>
    <w:p w:rsidR="00A31137" w:rsidRPr="00A31137" w:rsidRDefault="00A31137" w:rsidP="00A31137">
      <w:r w:rsidRPr="00A31137">
        <w:t>4. In that case, the Court of Appeals for the Fourth Circuit reached the merits of a takings challenge to the 1988 Beachfront Management Act identical to the one Lucas brings here, even though the Act was amended, and the special permit procedure established, while the case was under submission. The court observed:</w:t>
      </w:r>
    </w:p>
    <w:p w:rsidR="00A31137" w:rsidRPr="00A31137" w:rsidRDefault="00A31137" w:rsidP="00A31137">
      <w:r w:rsidRPr="00A31137">
        <w:t>1992, Lucas v. So. Carolina Coastal Council, 505 U.S. 1078</w:t>
      </w:r>
    </w:p>
    <w:p w:rsidR="00A31137" w:rsidRPr="00A31137" w:rsidRDefault="00A31137" w:rsidP="00A31137">
      <w:r w:rsidRPr="00A31137">
        <w:t>The enactment of the 1990 Act during the pendency of this appeal, with its provisions for special permits and other changes that may affect the plaintiffs, does not relieve us of the need to address the plaintiffs' claims under the provisions of the 1988 Act. Even if the amended Act cured all of the plaintiffs' concerns, the amendments would not foreclose the possibility that a taking had occurred during the years when the 1988 Act was in effect.</w:t>
      </w:r>
    </w:p>
    <w:p w:rsidR="00A31137" w:rsidRPr="00A31137" w:rsidRDefault="00A31137" w:rsidP="00A31137">
      <w:r w:rsidRPr="00A31137">
        <w:t>1992, Lucas v. So. Carolina Coastal Council, 505 U.S. 1078</w:t>
      </w:r>
    </w:p>
    <w:p w:rsidR="00A31137" w:rsidRPr="00A31137" w:rsidRDefault="00A31137" w:rsidP="00A31137">
      <w:r w:rsidRPr="00A31137">
        <w:t>Esposito v. South Carolina Coastal Council, 939 F.2d 165, 168 (CA4 1991).</w:t>
      </w:r>
    </w:p>
    <w:p w:rsidR="00A31137" w:rsidRPr="00A31137" w:rsidRDefault="00A31137" w:rsidP="00A31137">
      <w:r w:rsidRPr="00A31137">
        <w:t>1992, Lucas v. So. Carolina Coastal Council, 505 U.S. 1078</w:t>
      </w:r>
    </w:p>
    <w:p w:rsidR="00A31137" w:rsidRPr="00A31137" w:rsidRDefault="00A31137" w:rsidP="00A31137">
      <w:r w:rsidRPr="00A31137">
        <w:t>5. JUSTICE BLACKMUN states that our</w:t>
      </w:r>
    </w:p>
    <w:p w:rsidR="00A31137" w:rsidRPr="00A31137" w:rsidRDefault="00A31137" w:rsidP="00A31137">
      <w:r w:rsidRPr="00A31137">
        <w:t>1992, Lucas v. So. Carolina Coastal Council, 505 U.S. 1078</w:t>
      </w:r>
    </w:p>
    <w:p w:rsidR="00A31137" w:rsidRPr="00A31137" w:rsidRDefault="00A31137" w:rsidP="00A31137">
      <w:r w:rsidRPr="00A31137">
        <w:t>intense interest in Lucas' plight…would have been more prudently expressed by vacating the judgment below and remanding for further consideration in light of the 1990 amendments</w:t>
      </w:r>
    </w:p>
    <w:p w:rsidR="00A31137" w:rsidRPr="00A31137" w:rsidRDefault="00A31137" w:rsidP="00A31137">
      <w:r w:rsidRPr="00A31137">
        <w:t>1992, Lucas v. So. Carolina Coastal Council, 505 U.S. 1078</w:t>
      </w:r>
    </w:p>
    <w:p w:rsidR="00A31137" w:rsidRPr="00A31137" w:rsidRDefault="00A31137" w:rsidP="00A31137">
      <w:r w:rsidRPr="00A31137">
        <w:t>to the Beachfront Management Act. Post at  1045, n. 7. That is a strange suggestion, given that the South Carolina Supreme Court rendered its categorical disposition in this case after the Act had been amended, and after it had been invited to consider the effect of those amendments on Lucas' case. We have no reason to believe that the justices of the South Carolina Supreme Court are any more desirous of using a narrower ground now than they were then; and neither "prudence" nor any other principle of judicial restraint requires that we remand to find out whether they have changed their mind.</w:t>
      </w:r>
    </w:p>
    <w:p w:rsidR="00A31137" w:rsidRPr="00A31137" w:rsidRDefault="00A31137" w:rsidP="00A31137">
      <w:r w:rsidRPr="00A31137">
        <w:t>1992, Lucas v. So. Carolina Coastal Council, 505 U.S. 1078</w:t>
      </w:r>
    </w:p>
    <w:p w:rsidR="00A31137" w:rsidRPr="00A31137" w:rsidRDefault="00A31137" w:rsidP="00A31137">
      <w:r w:rsidRPr="00A31137">
        <w:t>6. We will not attempt to respond to all of JUSTICE BLACKMUN's mistaken citation of case precedent. Characteristic of its nature is his assertion that the cases we discuss here stand merely for the proposition</w:t>
      </w:r>
    </w:p>
    <w:p w:rsidR="00A31137" w:rsidRPr="00A31137" w:rsidRDefault="00A31137" w:rsidP="00A31137">
      <w:r w:rsidRPr="00A31137">
        <w:t>1992, Lucas v. So. Carolina Coastal Council, 505 U.S. 1078</w:t>
      </w:r>
    </w:p>
    <w:p w:rsidR="00A31137" w:rsidRPr="00A31137" w:rsidRDefault="00A31137" w:rsidP="00A31137">
      <w:r w:rsidRPr="00A31137">
        <w:t>that proof that a regulation does not deny an owner economic use of his property is sufficient to defeat a facial taking challenge</w:t>
      </w:r>
    </w:p>
    <w:p w:rsidR="00A31137" w:rsidRPr="00A31137" w:rsidRDefault="00A31137" w:rsidP="00A31137">
      <w:r w:rsidRPr="00A31137">
        <w:t>1992, Lucas v. So. Carolina Coastal Council, 505 U.S. 1078</w:t>
      </w:r>
    </w:p>
    <w:p w:rsidR="00A31137" w:rsidRPr="00A31137" w:rsidRDefault="00A31137" w:rsidP="00A31137">
      <w:r w:rsidRPr="00A31137">
        <w:t>and not for the point that "denial of such use is sufficient to establish a taking claim regardless of any other consideration." Post at  1050, n. 11. The cases say, repeatedly and unmistakably that</w:t>
      </w:r>
    </w:p>
    <w:p w:rsidR="00A31137" w:rsidRPr="00A31137" w:rsidRDefault="00A31137" w:rsidP="00A31137">
      <w:r w:rsidRPr="00A31137">
        <w:t>1992, Lucas v. So. Carolina Coastal Council, 505 U.S. 1078</w:t>
      </w:r>
    </w:p>
    <w:p w:rsidR="00A31137" w:rsidRPr="00A31137" w:rsidRDefault="00A31137" w:rsidP="00A31137">
      <w:r w:rsidRPr="00A31137">
        <w:t>"[t]he test to be applied in considering [a] facial [takings] challenge is fairly straightforward. A statute regulating the uses that can be made of property effects a taking if it 'denies an owner economically viable use of his land.'"</w:t>
      </w:r>
    </w:p>
    <w:p w:rsidR="00A31137" w:rsidRPr="00A31137" w:rsidRDefault="00A31137" w:rsidP="00A31137">
      <w:r w:rsidRPr="00A31137">
        <w:t>1992, Lucas v. So. Carolina Coastal Council, 505 U.S. 1078</w:t>
      </w:r>
    </w:p>
    <w:p w:rsidR="00A31137" w:rsidRPr="00A31137" w:rsidRDefault="00A31137" w:rsidP="00A31137">
      <w:r w:rsidRPr="00A31137">
        <w:t>Keystone, 480 U.S. at  495 (quoting Hodel, 452 U.S. at 295-296 (quoting Agins, 447 U.S. at  260)) (emphasis added).</w:t>
      </w:r>
    </w:p>
    <w:p w:rsidR="00A31137" w:rsidRPr="00A31137" w:rsidRDefault="00A31137" w:rsidP="00A31137">
      <w:r w:rsidRPr="00A31137">
        <w:t>1992, Lucas v. So. Carolina Coastal Council, 505 U.S. 1078</w:t>
      </w:r>
    </w:p>
    <w:p w:rsidR="00A31137" w:rsidRPr="00A31137" w:rsidRDefault="00A31137" w:rsidP="00A31137">
      <w:r w:rsidRPr="00A31137">
        <w:t>JUSTICE BLACKMUN describes that rule (which we do not invent, but merely apply, today) as "alter[ing] the long-settled rules of review" by foisting on the State "the burden of showing [its] regulation is not a taking." Post at  1045,  1046. This is, of course, wrong. Lucas had to do more than simply file a lawsuit to establish his constitutional entitlement; he had to show that the Beachfront Management Act denied him economically beneficial use of his land. Our analysis presumes the unconstitutionality of state land use regulation only in the sense that any rule-with-exceptions presumes the invalidity of a law that violates it—for example, the rule generally prohibiting content-based restrictions on speech. See, e.g., Simon &amp; Schuster, Inc. v. New York Crime Victims Board, 502 U.S. 105,  115 (1991) ("A statute is presumptively inconsistent with the First Amendment if it imposes a financial burden on speakers because of the content of their speech"). JUSTICE BLACKMUN's real quarrel is with the substantive standard of liability we apply in this case, a long-established standard we see no need to repudiate.</w:t>
      </w:r>
    </w:p>
    <w:p w:rsidR="00A31137" w:rsidRPr="00A31137" w:rsidRDefault="00A31137" w:rsidP="00A31137">
      <w:r w:rsidRPr="00A31137">
        <w:t>1992, Lucas v. So. Carolina Coastal Council, 505 U.S. 1078</w:t>
      </w:r>
    </w:p>
    <w:p w:rsidR="00A31137" w:rsidRPr="00A31137" w:rsidRDefault="00A31137" w:rsidP="00A31137">
      <w:r w:rsidRPr="00A31137">
        <w:t>7. Regrettably, the rhetorical force of our "deprivation of all economically feasible use" rule is greater than its precision, since the rule does not make clear the "property interest" against which the loss of value is to be measured. When, for example, a regulation requires a developer to leave 90% of a rural tract in its natural state, it is unclear whether we would analyze the situation as one in which the owner has been deprived of all economically beneficial use of the burdened portion of the tract, or as one in which the owner has suffered a mere diminution in value of the tract as a whole. (For an extreme—and, we think, unsupportable—view of the relevant calculus, see Penn Central Transportation Co. v. New York City, 42 N.Y.2d 324, 333-334, 397 N.Y.S.2d 914, 920, 366 N.E.2d 1271, 1276-1277 (1977), aff'd, 438 U.S. 104 (1978), where the state court examined the diminution in a particular parcel's value produced by a municipal ordinance in light of total value of the taking claimant's other holdings in the vicinity.) Unsurprisingly, this uncertainty regarding the composition of the denominator in our "deprivation" fraction has produced inconsistent pronouncements by the Court. Compare Pennsylvania Coal Co. v. Mahon, 260 U.S. 393,  414 (1922) (law restricting subsurface extraction of coal held to effect a taking), with Keystone Bituminous Coal Assn. v. DeBenedictis, 480 U.S. 470, 497-502 (1987) (nearly identical law held not to effect a taking); see also id. at 515-520 (REHNQUIST, C.J., dissenting); Rose, Mahon Reconstructed: Why the Takings Issue is Still a Muddle, 57 S.Cal.L.Rev. 561, 566-569 (1984). The answer to this difficult question may lie in how the owner's reasonable expectations have been shaped by the State's law of property—i.e., whether and to what degree the State's law has accorded legal recognition and protection to the particular interest in land with respect to which the takings claimant alleges a diminution in (or elimination of) value. In any event, we avoid this difficulty in the present case, since the "interest in land" that Lucas has pleaded (a fee simple interest) is an estate with a rich tradition of protection at common law, and since the South Carolina Court of Common Pleas found that the Beachfront Management Act left each of Lucas' beachfront lots without economic value.</w:t>
      </w:r>
    </w:p>
    <w:p w:rsidR="00A31137" w:rsidRPr="00A31137" w:rsidRDefault="00A31137" w:rsidP="00A31137">
      <w:r w:rsidRPr="00A31137">
        <w:t>1992, Lucas v. So. Carolina Coastal Council, 505 U.S. 1078</w:t>
      </w:r>
    </w:p>
    <w:p w:rsidR="00A31137" w:rsidRPr="00A31137" w:rsidRDefault="00A31137" w:rsidP="00A31137">
      <w:r w:rsidRPr="00A31137">
        <w:t>8. JUSTICE STEVENS criticizes the "deprivation of all economically beneficial use" rule as "wholly arbitrary", in that "[the] landowner whose property is diminished in value 95% recovers nothing," while the landowner who suffers a complete elimination of value "recovers the land's full value." Post at  1064. This analysis errs in its assumption that the landowner whose deprivation is one step short of complete is not entitled to compensation. Such an owner might not be able to claim the benefit of our categorical formulation, but, as we have acknowledged time and again,</w:t>
      </w:r>
    </w:p>
    <w:p w:rsidR="00A31137" w:rsidRPr="00A31137" w:rsidRDefault="00A31137" w:rsidP="00A31137">
      <w:r w:rsidRPr="00A31137">
        <w:t>1992, Lucas v. So. Carolina Coastal Council, 505 U.S. 1078</w:t>
      </w:r>
    </w:p>
    <w:p w:rsidR="00A31137" w:rsidRPr="00A31137" w:rsidRDefault="00A31137" w:rsidP="00A31137">
      <w:r w:rsidRPr="00A31137">
        <w:t>[t]he economic impact of the regulation on the claimant and…the extent to which the regulation has interfered with distinct investment-backed expectations</w:t>
      </w:r>
    </w:p>
    <w:p w:rsidR="00A31137" w:rsidRPr="00A31137" w:rsidRDefault="00A31137" w:rsidP="00A31137">
      <w:r w:rsidRPr="00A31137">
        <w:t>1992, Lucas v. So. Carolina Coastal Council, 505 U.S. 1078</w:t>
      </w:r>
    </w:p>
    <w:p w:rsidR="00A31137" w:rsidRPr="00A31137" w:rsidRDefault="00A31137" w:rsidP="00A31137">
      <w:r w:rsidRPr="00A31137">
        <w:t>are keenly relevant to takings analysis generally. Penn Central Transportation Co. v. New York City, 438 U.S. 104,  124 (1978). It is true that, in at least some cases, the landowner with 95% loss will get nothing, while the landowner with total loss will recover in full. But that occasional result is no more strange than the gross disparity between the landowner whose premises are taken for a highway (who recovers in full) and the landowner whose property is reduced to 5% of its former value by the highway (who recovers nothing). Takings law is full of these "all-or-nothing" situations.</w:t>
      </w:r>
    </w:p>
    <w:p w:rsidR="00A31137" w:rsidRPr="00A31137" w:rsidRDefault="00A31137" w:rsidP="00A31137">
      <w:r w:rsidRPr="00A31137">
        <w:t>1992, Lucas v. So. Carolina Coastal Council, 505 U.S. 1078</w:t>
      </w:r>
    </w:p>
    <w:p w:rsidR="00A31137" w:rsidRPr="00A31137" w:rsidRDefault="00A31137" w:rsidP="00A31137">
      <w:r w:rsidRPr="00A31137">
        <w:t>JUSTICE STEVENS similarly misinterprets our focus on "developmental" uses of property (the uses proscribed by the Beachfront Management Act) as betraying an "assumption that the only uses of property cognizable under the Constitution are developmental uses." Post at  1065, n. 3. We make no such assumption. Though our prior takings cases evince an abiding concern for the productive use of, and economic investment in, land, there are plainly a number of noneconomic interests in land whose impairment will invite exceedingly close scrutiny under the Takings Clause. See, e.g., Loretto v. Teleprompter Manhattan CATV Corp., 458 U.S. 419,  436 (1982) (interest in excluding strangers from one's land).</w:t>
      </w:r>
    </w:p>
    <w:p w:rsidR="00A31137" w:rsidRPr="00A31137" w:rsidRDefault="00A31137" w:rsidP="00A31137">
      <w:r w:rsidRPr="00A31137">
        <w:t>1992, Lucas v. So. Carolina Coastal Council, 505 U.S. 1078</w:t>
      </w:r>
    </w:p>
    <w:p w:rsidR="00A31137" w:rsidRPr="00A31137" w:rsidRDefault="00A31137" w:rsidP="00A31137">
      <w:r w:rsidRPr="00A31137">
        <w:t>9. This finding was the premise of the Petition for Certiorari, and, since it was not challenged in the Brief in Opposition, we decline to entertain the argument in respondent's brief on the merits, see Brief for Respondent 45-50, that the finding was erroneous. Instead, we decide the question presented under the same factual assumptions as did the Supreme Court of South Carolina. See Oklahoma City v. Tuttle, 471 U.S. 808, 816 (1985).</w:t>
      </w:r>
    </w:p>
    <w:p w:rsidR="00A31137" w:rsidRPr="00A31137" w:rsidRDefault="00A31137" w:rsidP="00A31137">
      <w:r w:rsidRPr="00A31137">
        <w:t>1992, Lucas v. So. Carolina Coastal Council, 505 U.S. 1078</w:t>
      </w:r>
    </w:p>
    <w:p w:rsidR="00A31137" w:rsidRPr="00A31137" w:rsidRDefault="00A31137" w:rsidP="00A31137">
      <w:r w:rsidRPr="00A31137">
        <w:t>10. The legislature's express findings include the following:</w:t>
      </w:r>
    </w:p>
    <w:p w:rsidR="00A31137" w:rsidRPr="00A31137" w:rsidRDefault="00A31137" w:rsidP="00A31137">
      <w:r w:rsidRPr="00A31137">
        <w:t>1992, Lucas v. So. Carolina Coastal Council, 505 U.S. 1078</w:t>
      </w:r>
    </w:p>
    <w:p w:rsidR="00A31137" w:rsidRPr="00A31137" w:rsidRDefault="00A31137" w:rsidP="00A31137">
      <w:r w:rsidRPr="00A31137">
        <w:t>The General Assembly finds that:</w:t>
      </w:r>
    </w:p>
    <w:p w:rsidR="00A31137" w:rsidRPr="00A31137" w:rsidRDefault="00A31137" w:rsidP="00A31137">
      <w:r w:rsidRPr="00A31137">
        <w:t>1992, Lucas v. So. Carolina Coastal Council, 505 U.S. 1078</w:t>
      </w:r>
    </w:p>
    <w:p w:rsidR="00A31137" w:rsidRPr="00A31137" w:rsidRDefault="00A31137" w:rsidP="00A31137">
      <w:r w:rsidRPr="00A31137">
        <w:t>(1) The beach/dune system along the coast of South Carolina is extremely important lo the people of this State and serves the following functions:</w:t>
      </w:r>
    </w:p>
    <w:p w:rsidR="00A31137" w:rsidRPr="00A31137" w:rsidRDefault="00A31137" w:rsidP="00A31137">
      <w:r w:rsidRPr="00A31137">
        <w:t>1992, Lucas v. So. Carolina Coastal Council, 505 U.S. 1078</w:t>
      </w:r>
    </w:p>
    <w:p w:rsidR="00A31137" w:rsidRPr="00A31137" w:rsidRDefault="00A31137" w:rsidP="00A31137">
      <w:r w:rsidRPr="00A31137">
        <w:t>(a) protects life and property by serving as a storm barrier which dissipates wave energy and contributes to shoreline stability in an economical and effective manner;</w:t>
      </w:r>
    </w:p>
    <w:p w:rsidR="00A31137" w:rsidRPr="00A31137" w:rsidRDefault="00A31137" w:rsidP="00A31137">
      <w:r w:rsidRPr="00A31137">
        <w:t>1992, Lucas v. So. Carolina Coastal Council, 505 U.S. 1078</w:t>
      </w:r>
    </w:p>
    <w:p w:rsidR="00A31137" w:rsidRPr="00A31137" w:rsidRDefault="00A31137" w:rsidP="00A31137">
      <w:r w:rsidRPr="00A31137">
        <w:t>(b) provides the basis for a tourism industry that generates approximately two-thirds of South Carolina's annual tourism industry revenue which constitutes a significant portion of the state's economy. The tourists who come to the South Carolina coast to enjoy the ocean and dry sand beach contribute significantly to state and local tax revenues;</w:t>
      </w:r>
    </w:p>
    <w:p w:rsidR="00A31137" w:rsidRPr="00A31137" w:rsidRDefault="00A31137" w:rsidP="00A31137">
      <w:r w:rsidRPr="00A31137">
        <w:t>1992, Lucas v. So. Carolina Coastal Council, 505 U.S. 1078</w:t>
      </w:r>
    </w:p>
    <w:p w:rsidR="00A31137" w:rsidRPr="00A31137" w:rsidRDefault="00A31137" w:rsidP="00A31137">
      <w:r w:rsidRPr="00A31137">
        <w:t>(c) provides habitat for numerous species of plants and animals, several of which are threatened or endangered. Waters adjacent to the beach/dune system also provide habitat for many other marine species;</w:t>
      </w:r>
    </w:p>
    <w:p w:rsidR="00A31137" w:rsidRPr="00A31137" w:rsidRDefault="00A31137" w:rsidP="00A31137">
      <w:r w:rsidRPr="00A31137">
        <w:t>1992, Lucas v. So. Carolina Coastal Council, 505 U.S. 1078</w:t>
      </w:r>
    </w:p>
    <w:p w:rsidR="00A31137" w:rsidRPr="00A31137" w:rsidRDefault="00A31137" w:rsidP="00A31137">
      <w:r w:rsidRPr="00A31137">
        <w:t>(d) provides a natural health environment for the citizens of South Carolina to spend leisure time which serves their physical and mental wellbeing.</w:t>
      </w:r>
    </w:p>
    <w:p w:rsidR="00A31137" w:rsidRPr="00A31137" w:rsidRDefault="00A31137" w:rsidP="00A31137">
      <w:r w:rsidRPr="00A31137">
        <w:t>1992, Lucas v. So. Carolina Coastal Council, 505 U.S. 1078</w:t>
      </w:r>
    </w:p>
    <w:p w:rsidR="00A31137" w:rsidRPr="00A31137" w:rsidRDefault="00A31137" w:rsidP="00A31137">
      <w:r w:rsidRPr="00A31137">
        <w:t>(2) Beach/dune system vegetation is unique and extremely important to the vitality and preservation of the system.</w:t>
      </w:r>
    </w:p>
    <w:p w:rsidR="00A31137" w:rsidRPr="00A31137" w:rsidRDefault="00A31137" w:rsidP="00A31137">
      <w:r w:rsidRPr="00A31137">
        <w:t>1992, Lucas v. So. Carolina Coastal Council, 505 U.S. 1078</w:t>
      </w:r>
    </w:p>
    <w:p w:rsidR="00A31137" w:rsidRPr="00A31137" w:rsidRDefault="00A31137" w:rsidP="00A31137">
      <w:r w:rsidRPr="00A31137">
        <w:t>(3) Many miles of South Carolina's beaches have been identified as critically eroding.</w:t>
      </w:r>
    </w:p>
    <w:p w:rsidR="00A31137" w:rsidRPr="00A31137" w:rsidRDefault="00A31137" w:rsidP="00A31137">
      <w:r w:rsidRPr="00A31137">
        <w:t>1992, Lucas v. So. Carolina Coastal Council, 505 U.S. 1078</w:t>
      </w:r>
    </w:p>
    <w:p w:rsidR="00A31137" w:rsidRPr="00A31137" w:rsidRDefault="00A31137" w:rsidP="00A31137">
      <w:r w:rsidRPr="00A31137">
        <w:t>(4)…[D]evelopment unwisely has been sited too close to the [beach/dune] system. This type of development has jeopardized the stability of the beach/dune system, accelerated erosion, and endangered adjacent property. It is in both the public and private interests to protect the system from this unwise development.</w:t>
      </w:r>
    </w:p>
    <w:p w:rsidR="00A31137" w:rsidRPr="00A31137" w:rsidRDefault="00A31137" w:rsidP="00A31137">
      <w:r w:rsidRPr="00A31137">
        <w:t>1992, Lucas v. So. Carolina Coastal Council, 505 U.S. 1078</w:t>
      </w:r>
    </w:p>
    <w:p w:rsidR="00A31137" w:rsidRPr="00A31137" w:rsidRDefault="00A31137" w:rsidP="00A31137">
      <w:r w:rsidRPr="00A31137">
        <w:t>(5) The use of armoring in the form of hard erosion control devices such as seawalls, bulkheads, and rip-rap to protect erosion-threatened structures adjacent to the beach has not proven effective. These armoring devices have given a false sense of security to beachfront property owners. In reality, these hard structures, in many instances, have increased the vulnerability of beachfront property to damage from wind and waves while contributing to the deterioration and loss of the dry sand beach which is so important to the tourism industry.</w:t>
      </w:r>
    </w:p>
    <w:p w:rsidR="00A31137" w:rsidRPr="00A31137" w:rsidRDefault="00A31137" w:rsidP="00A31137">
      <w:r w:rsidRPr="00A31137">
        <w:t>1992, Lucas v. So. Carolina Coastal Council, 505 U.S. 1078</w:t>
      </w:r>
    </w:p>
    <w:p w:rsidR="00A31137" w:rsidRPr="00A31137" w:rsidRDefault="00A31137" w:rsidP="00A31137">
      <w:r w:rsidRPr="00A31137">
        <w:t>(6) Erosion is a natural process which becomes a significant problem for man only when structures are erected in close proximity to the beach/dune system. It is in both the public and private interests to afford the beach/dune system space to accrete and erode in its natural cycle. This space can be provided only by discouraging new construction in close proximity to the beach/dune system and encouraging those who have erected structures too close to the system to retreat from it.</w:t>
      </w:r>
    </w:p>
    <w:p w:rsidR="00A31137" w:rsidRPr="00A31137" w:rsidRDefault="00A31137" w:rsidP="00A31137">
      <w:r w:rsidRPr="00A31137">
        <w:t>1992, Lucas v. So. Carolina Coastal Council, 505 U.S. 1078</w:t>
      </w:r>
    </w:p>
    <w:p w:rsidR="00A31137" w:rsidRPr="00A31137" w:rsidRDefault="00A31137" w:rsidP="00A31137">
      <w:r w:rsidRPr="00A31137">
        <w:t>(8) It is in the state's best interest to protect and to promote increased public access to South Carolina's beaches for out-of-state tourists and South Carolina residents alike.</w:t>
      </w:r>
    </w:p>
    <w:p w:rsidR="00A31137" w:rsidRPr="00A31137" w:rsidRDefault="00A31137" w:rsidP="00A31137">
      <w:r w:rsidRPr="00A31137">
        <w:t>1992, Lucas v. So. Carolina Coastal Council, 505 U.S. 1078</w:t>
      </w:r>
    </w:p>
    <w:p w:rsidR="00A31137" w:rsidRPr="00A31137" w:rsidRDefault="00A31137" w:rsidP="00A31137">
      <w:r w:rsidRPr="00A31137">
        <w:t>S.C.Code § 48-39-250 (Supp.1991).</w:t>
      </w:r>
    </w:p>
    <w:p w:rsidR="00A31137" w:rsidRPr="00A31137" w:rsidRDefault="00A31137" w:rsidP="00A31137">
      <w:r w:rsidRPr="00A31137">
        <w:t>1992, Lucas v. So. Carolina Coastal Council, 505 U.S. 1078</w:t>
      </w:r>
    </w:p>
    <w:p w:rsidR="00A31137" w:rsidRPr="00A31137" w:rsidRDefault="00A31137" w:rsidP="00A31137">
      <w:r w:rsidRPr="00A31137">
        <w:t>11. In the present case, in fact, some of the "[South Carolina] legislature's 'findings'" to which the South Carolina Supreme Court purported to defer in characterizing the purpose of the Act as "harm-preventing," 304 S.C. 376, 385, 404 S.E.2d 895, 900 (1991), seem to us phrased in "benefit conferring" language instead. For example, they describe the importance of a construction ban in enhancing "South Carolina's annual tourism industry revenue," S.C.Code § 48-39-250(1)(b) (Supp.1991), in "provid[ing] habitat for numerous species of plants and animals, several of which are threatened or endangered," § 48-39-250(1)(c), and in "provid[ing] a natural healthy environment for the citizens of South Carolina to spend leisure time which serves their physical and mental wellbeing." § 48-39-250(1)(d). It would be pointless to make the outcome of this case hang upon this terminology, since the same interests could readily be described in "harm-preventing" fashion.</w:t>
      </w:r>
    </w:p>
    <w:p w:rsidR="00A31137" w:rsidRPr="00A31137" w:rsidRDefault="00A31137" w:rsidP="00A31137">
      <w:r w:rsidRPr="00A31137">
        <w:t>1992, Lucas v. So. Carolina Coastal Council, 505 U.S. 1078</w:t>
      </w:r>
    </w:p>
    <w:p w:rsidR="00A31137" w:rsidRPr="00A31137" w:rsidRDefault="00A31137" w:rsidP="00A31137">
      <w:r w:rsidRPr="00A31137">
        <w:t>JUSTICE BLACKMUN, however, apparently insists that we must make the outcome hinge (exclusively) upon the South Carolina Legislature's other, "harm-preventing" characterizations, focusing on the declaration that</w:t>
      </w:r>
    </w:p>
    <w:p w:rsidR="00A31137" w:rsidRPr="00A31137" w:rsidRDefault="00A31137" w:rsidP="00A31137">
      <w:r w:rsidRPr="00A31137">
        <w:t>1992, Lucas v. So. Carolina Coastal Council, 505 U.S. 1078</w:t>
      </w:r>
    </w:p>
    <w:p w:rsidR="00A31137" w:rsidRPr="00A31137" w:rsidRDefault="00A31137" w:rsidP="00A31137">
      <w:r w:rsidRPr="00A31137">
        <w:t>prohibitions on building in front of the setback line are necessary to protect people and property from storms, high tides, and beach erosion.</w:t>
      </w:r>
    </w:p>
    <w:p w:rsidR="00A31137" w:rsidRPr="00A31137" w:rsidRDefault="00A31137" w:rsidP="00A31137">
      <w:r w:rsidRPr="00A31137">
        <w:t>1992, Lucas v. So. Carolina Coastal Council, 505 U.S. 1078</w:t>
      </w:r>
    </w:p>
    <w:p w:rsidR="00A31137" w:rsidRPr="00A31137" w:rsidRDefault="00A31137" w:rsidP="00A31137">
      <w:r w:rsidRPr="00A31137">
        <w:t>Post at  1040. He says "[n]othing in the record undermines [this] assessment," ibid., apparently seeing no significance in the fact that the statute permits owners of existing structures to remain (and even to rebuild if their structures are not "destroyed beyond repair," S.C.Code Ann. § 4839-290(B)), and in the fact that the 1990 amendment authorizes the Council to issue permits for new construction in violation of the uniform prohibition, see S.C.Code § 48-39-290(D)(1) (Supp.1991).</w:t>
      </w:r>
    </w:p>
    <w:p w:rsidR="00A31137" w:rsidRPr="00A31137" w:rsidRDefault="00A31137" w:rsidP="00A31137">
      <w:r w:rsidRPr="00A31137">
        <w:t>1992, Lucas v. So. Carolina Coastal Council, 505 U.S. 1078</w:t>
      </w:r>
    </w:p>
    <w:p w:rsidR="00A31137" w:rsidRPr="00A31137" w:rsidRDefault="00A31137" w:rsidP="00A31137">
      <w:r w:rsidRPr="00A31137">
        <w:t>12. In JUSTICE BLACKMUN's view, even with respect to regulations that deprive an owner of all developmental or economically beneficial land uses, the test for required compensation is whether the legislature has recited a harm-pre venting justification for its action. See post at 1047-1051. Since such a justification can be formulated in practically every case, this amounts to a test of whether the legislature has a stupid staff. We think the Takings Clause requires courts to do more than insist upon artful harm-preventing characterizations.</w:t>
      </w:r>
    </w:p>
    <w:p w:rsidR="00A31137" w:rsidRPr="00A31137" w:rsidRDefault="00A31137" w:rsidP="00A31137">
      <w:r w:rsidRPr="00A31137">
        <w:t>1992, Lucas v. So. Carolina Coastal Council, 505 U.S. 1078</w:t>
      </w:r>
    </w:p>
    <w:p w:rsidR="00A31137" w:rsidRPr="00A31137" w:rsidRDefault="00A31137" w:rsidP="00A31137">
      <w:r w:rsidRPr="00A31137">
        <w:t>13. E.g., Mugler v. Kansas, 123 U.S. 623 (1887) (prohibition upon use of a building as a brewery, other uses permitted); Plymouth Coal Co. v. Pennsylvania, 232 U.S. 531 (1914) (requirement that "pillar" of coal be left in ground to safeguard mine workers; mineral rights could otherwise be exploited); Reinman v. Little Rock, 237 U.S. 171 (1915) (declaration that livery stable constituted a public nuisance; other uses of the property permitted); Hadacheck v. Sebastian, 239 U.S. 394 (1915) (prohibition of brick manufacturing in residential area; other uses permitted), Goldblatt v. Hempstead, 369 U.S. 590 (1962) (prohibition on excavation; other uses permitted)</w:t>
      </w:r>
    </w:p>
    <w:p w:rsidR="00A31137" w:rsidRPr="00A31137" w:rsidRDefault="00A31137" w:rsidP="00A31137">
      <w:r w:rsidRPr="00A31137">
        <w:t>1992, Lucas v. So. Carolina Coastal Council, 505 U.S. 1078</w:t>
      </w:r>
    </w:p>
    <w:p w:rsidR="00A31137" w:rsidRPr="00A31137" w:rsidRDefault="00A31137" w:rsidP="00A31137">
      <w:r w:rsidRPr="00A31137">
        <w:t>14. Drawing on our First Amendment jurisprudence, see, e.g., Employment Division, Department of Human Resources of Oregon v. Smith, 494 U.S. 872, 878-879 (1990), JUSTICE STEVENS would "loo[k] to the generality of a regulation of property" to determine whether compensation is owing. Post at  1072. The Beachfront Management Act is general, in his view, because it "regulates the use of the coastline of the entire state." Post at  1074. There may be some validity to the principle JUSTICE STEVENS proposes, but it does not properly apply to the present case. The equivalent of a law of general application that inhibits the practice of religion without being aimed at religion, see Oregon v. Smith, supra, is a law that destroys the value of land without being aimed at land. Perhaps such a law—the generally applicable criminal prohibition on the manufacturing of alcoholic beverages challenged in Mugler comes to mind—cannot constitute a compensable taking. See 123 U.S. at 655-656. But a regulation specifically directed to land use no more acquires immunity by plundering landowners generally than does a law specifically directed at religious practice acquire immunity by prohibiting all religions. JUSTICE STEVENS' approach renders the Takings Clause little more than a particularized restatement of the Equal Protection Clause.</w:t>
      </w:r>
    </w:p>
    <w:p w:rsidR="00A31137" w:rsidRPr="00A31137" w:rsidRDefault="00A31137" w:rsidP="00A31137">
      <w:r w:rsidRPr="00A31137">
        <w:t>1992, Lucas v. So. Carolina Coastal Council, 505 U.S. 1078</w:t>
      </w:r>
    </w:p>
    <w:p w:rsidR="00A31137" w:rsidRPr="00A31137" w:rsidRDefault="00A31137" w:rsidP="00A31137">
      <w:r w:rsidRPr="00A31137">
        <w:t>15. After accusing us of "launch[ing] a missile to kill a mouse," post at  1036, JUSTICE BLACKMUN expends a good deal of throw-weight of his own upon a noncombatant, arguing that our description of the "understanding" of land ownership that informs the Takings Clause is not supported by early American experience. That is largely true, but entirely irrelevant. The practices of the States prior to incorporation of the Takings and Just Compensation Clauses, see Chicago, B. &amp; Q.R. Co. v. Chicago, 166 U.S. 226 (1897)which, as JUSTICE BLACKMUN acknowledges, occasionally included outright physical appropriation of land without compensation, see post at  1056—were out of accord with any plausible interpretation of those provisions. JUSTICE BLACKMUN is correct that early constitutional theorists did not believe the Takings Clause embraced regulations of property at all, see post at 1057-1058, and n. 23, but even he does not suggest (explicitly, at least) that we renounce the Court's contrary conclusion in Mahon. Since the text of the Clause can be read to encompass regulatory as well as physical deprivations (in contrast to the text originally proposed by Madison, see Speech Proposing Bill of Rights (June 8, 1789), in 12 J. Madison, The Papers of James Madison 201 (C. Hobson, R. Rutland, W. Rachal, &amp; J. Sisson ed.1979) ("No person shall be…obliged to relinquish his property, where it may be necessary for public use, without a just compensation"), we decline to do so as well.</w:t>
      </w:r>
    </w:p>
    <w:p w:rsidR="00A31137" w:rsidRPr="00A31137" w:rsidRDefault="00A31137" w:rsidP="00A31137">
      <w:r w:rsidRPr="00A31137">
        <w:t>1992, Lucas v. So. Carolina Coastal Council, 505 U.S. 1078</w:t>
      </w:r>
    </w:p>
    <w:p w:rsidR="00A31137" w:rsidRPr="00A31137" w:rsidRDefault="00A31137" w:rsidP="00A31137">
      <w:r w:rsidRPr="00A31137">
        <w:t>16. The principal "otherwise" that we have in mind is litigation absolving the State (or private parties) of liability for the destruction of "real and personal property, in cases of actual necessity, to prevent the spreading of a fire" or to forestall other grave threats to the lives and property of others. Bowditch v. Boston, 101 U.S. 16, 18-19 (1880); see United States v. Pacific Railroad, 120 U.S. 227, 238-239 (1887).</w:t>
      </w:r>
    </w:p>
    <w:p w:rsidR="00A31137" w:rsidRPr="00A31137" w:rsidRDefault="00A31137" w:rsidP="00A31137">
      <w:r w:rsidRPr="00A31137">
        <w:t>1992, Lucas v. So. Carolina Coastal Council, 505 U.S. 1078</w:t>
      </w:r>
    </w:p>
    <w:p w:rsidR="00A31137" w:rsidRPr="00A31137" w:rsidRDefault="00A31137" w:rsidP="00A31137">
      <w:r w:rsidRPr="00A31137">
        <w:t>17. Of course, the State may elect to rescind its regulation, and thereby avoid having to pay compensation for a permanent deprivation. See First English Evangelical Lutheran Church, 482 U.S. at  321. But</w:t>
      </w:r>
    </w:p>
    <w:p w:rsidR="00A31137" w:rsidRPr="00A31137" w:rsidRDefault="00A31137" w:rsidP="00A31137">
      <w:r w:rsidRPr="00A31137">
        <w:t>1992, Lucas v. So. Carolina Coastal Council, 505 U.S. 1078</w:t>
      </w:r>
    </w:p>
    <w:p w:rsidR="00A31137" w:rsidRPr="00A31137" w:rsidRDefault="00A31137" w:rsidP="00A31137">
      <w:r w:rsidRPr="00A31137">
        <w:t>where the [regulation has] already worked a taking of all use of property, no subsequent action by the government can relieve it of the duty to provide compensation for the period during which the taking was effective.</w:t>
      </w:r>
    </w:p>
    <w:p w:rsidR="00A31137" w:rsidRPr="00A31137" w:rsidRDefault="00A31137" w:rsidP="00A31137">
      <w:r w:rsidRPr="00A31137">
        <w:t>1992, Lucas v. So. Carolina Coastal Council, 505 U.S. 1078</w:t>
      </w:r>
    </w:p>
    <w:p w:rsidR="00A31137" w:rsidRPr="00A31137" w:rsidRDefault="00A31137" w:rsidP="00A31137">
      <w:r w:rsidRPr="00A31137">
        <w:t>Ibid.</w:t>
      </w:r>
    </w:p>
    <w:p w:rsidR="00A31137" w:rsidRPr="00A31137" w:rsidRDefault="00A31137" w:rsidP="00A31137">
      <w:r w:rsidRPr="00A31137">
        <w:t>1992, Lucas v. So. Carolina Coastal Council, 505 U.S. 1078</w:t>
      </w:r>
    </w:p>
    <w:p w:rsidR="00A31137" w:rsidRPr="00A31137" w:rsidRDefault="00A31137" w:rsidP="00A31137">
      <w:r w:rsidRPr="00A31137">
        <w:t>18. JUSTICE BLACKMUN decries our reliance on background nuisance principles, at least in part because he believes those principles to be as manipulable as we find the "harm prevention"/"benefit conferral" dichotomy, see post at 1054-1055. There is no doubt some leeway in a court's interpretation of what existing state law permits—but not remotely as much, we think, as in a legislative crafting of the reasons for its confiscatory regulation. We stress that an affirmative decree eliminating all economically beneficial uses may be defended only if an objectively reasonable application of relevant precedents would exclude those beneficial uses in the circumstances in which the land is presently found.</w:t>
      </w:r>
    </w:p>
    <w:p w:rsidR="00A31137" w:rsidRPr="00A31137" w:rsidRDefault="00A31137" w:rsidP="00A31137">
      <w:r w:rsidRPr="00A31137">
        <w:t>BLACKMUN, J., dissenting (Footnotes)</w:t>
      </w:r>
    </w:p>
    <w:p w:rsidR="00A31137" w:rsidRPr="00A31137" w:rsidRDefault="00A31137" w:rsidP="00A31137">
      <w:r w:rsidRPr="00A31137">
        <w:t>1992, Lucas v. So. Carolina Coastal Council, 505 U.S. 1078</w:t>
      </w:r>
    </w:p>
    <w:p w:rsidR="00A31137" w:rsidRPr="00A31137" w:rsidRDefault="00A31137" w:rsidP="00A31137">
      <w:r w:rsidRPr="00A31137">
        <w:t>1. The country has come to recognize that uncontrolled beachfront development can cause serious damage to life and property. See Brief for Sierra Club, et al. as Amici Curiae 2-5. Hurricane Hugo's September, 1989, attack upon South Carolina's coastline, for example, caused 29 deaths and approximately $6 billion in property damage, much of it the result of uncontrolled beachfront development. See Zalkin, Shifting Sands and Shifting Doctrines: The Supreme Court's Changing Takings Doctrine and South Carolina's Coastal Zone Statute, 79 Cal.L.Rev. 205, 212-213 (1991). The beachfront buildings are not only themselves destroyed in such a storm, "but they are often driven, like battering rams, into adjacent inland homes." Ibid. Moreover, the development often destroys the natural sand dune barriers that provide storm breaks. Ibid.</w:t>
      </w:r>
    </w:p>
    <w:p w:rsidR="00A31137" w:rsidRPr="00A31137" w:rsidRDefault="00A31137" w:rsidP="00A31137">
      <w:r w:rsidRPr="00A31137">
        <w:t>1992, Lucas v. So. Carolina Coastal Council, 505 U.S. 1078</w:t>
      </w:r>
    </w:p>
    <w:p w:rsidR="00A31137" w:rsidRPr="00A31137" w:rsidRDefault="00A31137" w:rsidP="00A31137">
      <w:r w:rsidRPr="00A31137">
        <w:t>2. The setback line was determined by calculating the distance landward from the crest of an ideal oceanfront sand dune which is forty times the annual erosion rate. S.C.Code § 48-39-280 (Supp.1991).</w:t>
      </w:r>
    </w:p>
    <w:p w:rsidR="00A31137" w:rsidRPr="00A31137" w:rsidRDefault="00A31137" w:rsidP="00A31137">
      <w:r w:rsidRPr="00A31137">
        <w:t>1992, Lucas v. So. Carolina Coastal Council, 505 U.S. 1078</w:t>
      </w:r>
    </w:p>
    <w:p w:rsidR="00A31137" w:rsidRPr="00A31137" w:rsidRDefault="00A31137" w:rsidP="00A31137">
      <w:r w:rsidRPr="00A31137">
        <w:t>3. The properties were sold frequently at rapidly escalating prices before Lucas purchased them. Lot 22 was first sold in 1979 for $96,660, sold in 1984 for $187,500, then in 1985 for $260,000, and, finally, to Lucas in 1986 for $475,000. He estimated its worth in 1991 at $650,000. Lot 24 had a similar past. The record does not indicate who purchased the properties prior to Lucas, or why none of the purchasers held on to the lots and built on them. Tr. 44-46.</w:t>
      </w:r>
    </w:p>
    <w:p w:rsidR="00A31137" w:rsidRPr="00A31137" w:rsidRDefault="00A31137" w:rsidP="00A31137">
      <w:r w:rsidRPr="00A31137">
        <w:t>1992, Lucas v. So. Carolina Coastal Council, 505 U.S. 1078</w:t>
      </w:r>
    </w:p>
    <w:p w:rsidR="00A31137" w:rsidRPr="00A31137" w:rsidRDefault="00A31137" w:rsidP="00A31137">
      <w:r w:rsidRPr="00A31137">
        <w:t>4. The Court's reliance, ante at  1013, on Esposito v. South Carolina Coastal Council, 939 F.2d 165, 168 (CA4 1991), cert. pending, No. 91-941, in support of its decision to consider Lucas' temporary taking claim ripe is misplaced. In Esposito the plaintiffs brought a facial challenge to the mere enactment of the Act. Here, of course, Lucas has brought an as-applied challenge. See Brief for Petitioner 16. Facial challenges are ripe when the Act is passed; applied challenges require a final decision on the Act's application to the property in question.</w:t>
      </w:r>
    </w:p>
    <w:p w:rsidR="00A31137" w:rsidRPr="00A31137" w:rsidRDefault="00A31137" w:rsidP="00A31137">
      <w:r w:rsidRPr="00A31137">
        <w:t>1992, Lucas v. So. Carolina Coastal Council, 505 U.S. 1078</w:t>
      </w:r>
    </w:p>
    <w:p w:rsidR="00A31137" w:rsidRPr="00A31137" w:rsidRDefault="00A31137" w:rsidP="00A31137">
      <w:r w:rsidRPr="00A31137">
        <w:t>5. Even more baffling, given its decision, just a few days ago, in Lujan v. Defenders of Wildlife, 504 U.S. 555 (1992), the Court decides petitioner has demonstrated injury in fact. In his complaint, petitioner made no allegations that he had any definite plans for using his property. App. to Pet. for Cert. 153-156. At trial, Lucas testified that he had house plans drawn up, but that he was "in no hurry" to build "because the lot was appreciating in value." Tr. 28-29. The trial court made no findings of fact that Lucas had any plans to use the property from 1988 to 1990.</w:t>
      </w:r>
    </w:p>
    <w:p w:rsidR="00A31137" w:rsidRPr="00A31137" w:rsidRDefault="00A31137" w:rsidP="00A31137">
      <w:r w:rsidRPr="00A31137">
        <w:t>1992, Lucas v. So. Carolina Coastal Council, 505 U.S. 1078</w:t>
      </w:r>
    </w:p>
    <w:p w:rsidR="00A31137" w:rsidRPr="00A31137" w:rsidRDefault="00A31137" w:rsidP="00A31137">
      <w:r w:rsidRPr="00A31137">
        <w:t>"[S]ome day" intentions—without any description of concrete plans, or indeed even any specification of when the some day will be—do not support a finding of the "actual or imminent" injury that our cases require.</w:t>
      </w:r>
    </w:p>
    <w:p w:rsidR="00A31137" w:rsidRPr="00A31137" w:rsidRDefault="00A31137" w:rsidP="00A31137">
      <w:r w:rsidRPr="00A31137">
        <w:t>1992, Lucas v. So. Carolina Coastal Council, 505 U.S. 1078</w:t>
      </w:r>
    </w:p>
    <w:p w:rsidR="00A31137" w:rsidRPr="00A31137" w:rsidRDefault="00A31137" w:rsidP="00A31137">
      <w:r w:rsidRPr="00A31137">
        <w:t>504 U.S. at 564. The Court circumvents Defenders of Wildlife by deciding to resolve this case as if it arrived on the pleadings alone. But it did not. Lucas had a full trial on his claim for "damages for the temporary taking of his property from the date of the 1988 Act's passage to such time as this matter is finally resolved," ante at  1013, n. 3, quoting the Complaint, and failed to demonstrate any immediate concrete plans to build or sell.</w:t>
      </w:r>
    </w:p>
    <w:p w:rsidR="00A31137" w:rsidRPr="00A31137" w:rsidRDefault="00A31137" w:rsidP="00A31137">
      <w:r w:rsidRPr="00A31137">
        <w:t>1992, Lucas v. So. Carolina Coastal Council, 505 U.S. 1078</w:t>
      </w:r>
    </w:p>
    <w:p w:rsidR="00A31137" w:rsidRPr="00A31137" w:rsidRDefault="00A31137" w:rsidP="00A31137">
      <w:r w:rsidRPr="00A31137">
        <w:t>6. Respondent contested the findings of fact of the trial court in the South Carolina Supreme Court, but that court did not resolve the issue. This Court's decision to assume for its purposes that petitioner had been denied all economic use of his land does not, of course, dispose of the issue on remand.</w:t>
      </w:r>
    </w:p>
    <w:p w:rsidR="00A31137" w:rsidRPr="00A31137" w:rsidRDefault="00A31137" w:rsidP="00A31137">
      <w:r w:rsidRPr="00A31137">
        <w:t>1992, Lucas v. So. Carolina Coastal Council, 505 U.S. 1078</w:t>
      </w:r>
    </w:p>
    <w:p w:rsidR="00A31137" w:rsidRPr="00A31137" w:rsidRDefault="00A31137" w:rsidP="00A31137">
      <w:r w:rsidRPr="00A31137">
        <w:t>7. The Court overlooks the lack of a ripe and justiciable claim apparently out of concern that, in the absence of its intervention, Lucas will be unable to obtain further adjudication of his temporary-taking claim. The Court chastises respondent for arguing that Lucas' temporary taking claim is premature because it failed "so much as [to] commen[t]" upon the effect of the South Carolina Supreme Court's decision on petitioner's ability to obtain relief for the 2-year period, and it frets that Lucas would "be unable (absent our intervention now) to obtain further state court adjudication with respect to the 1988-1990 period." Ante at  1012. Whatever the explanation for the Court's intense interest in Lucas' plight when ordinarily we are more cautious in granting discretionary review, the concern would have been more prudently expressed by vacating the judgment below and remanding for further consideration in light of the 1990 amendments. At that point, petitioner could have brought a temporary-taking claim in the state courts.</w:t>
      </w:r>
    </w:p>
    <w:p w:rsidR="00A31137" w:rsidRPr="00A31137" w:rsidRDefault="00A31137" w:rsidP="00A31137">
      <w:r w:rsidRPr="00A31137">
        <w:t>1992, Lucas v. So. Carolina Coastal Council, 505 U.S. 1078</w:t>
      </w:r>
    </w:p>
    <w:p w:rsidR="00A31137" w:rsidRPr="00A31137" w:rsidRDefault="00A31137" w:rsidP="00A31137">
      <w:r w:rsidRPr="00A31137">
        <w:t>8. Prior to Mugler, the Court had held that owners whose real property is wholly destroyed to prevent the spread of a fire are not entitled to compensation. Bowditch v. Boston, 101 U.S. 16, 18-19 (1879). And the Court recognized in The License Cases, 5 How. 504, 589 (1847) (opinion of McLean, J.), that "[t]he acknowledged police power of a State extends often to the destruction of property."</w:t>
      </w:r>
    </w:p>
    <w:p w:rsidR="00A31137" w:rsidRPr="00A31137" w:rsidRDefault="00A31137" w:rsidP="00A31137">
      <w:r w:rsidRPr="00A31137">
        <w:t>1992, Lucas v. So. Carolina Coastal Council, 505 U.S. 1078</w:t>
      </w:r>
    </w:p>
    <w:p w:rsidR="00A31137" w:rsidRPr="00A31137" w:rsidRDefault="00A31137" w:rsidP="00A31137">
      <w:r w:rsidRPr="00A31137">
        <w:t>9. That same year, an appeal came to the Court asking</w:t>
      </w:r>
    </w:p>
    <w:p w:rsidR="00A31137" w:rsidRPr="00A31137" w:rsidRDefault="00A31137" w:rsidP="00A31137">
      <w:r w:rsidRPr="00A31137">
        <w:t>1992, Lucas v. So. Carolina Coastal Council, 505 U.S. 1078</w:t>
      </w:r>
    </w:p>
    <w:p w:rsidR="00A31137" w:rsidRPr="00A31137" w:rsidRDefault="00A31137" w:rsidP="00A31137">
      <w:r w:rsidRPr="00A31137">
        <w:t>[w]hether zoning ordinances which altogether destroy the worth of valuable land by prohibiting the only economic use of which it is capable effect a taking of real property without compensation.</w:t>
      </w:r>
    </w:p>
    <w:p w:rsidR="00A31137" w:rsidRPr="00A31137" w:rsidRDefault="00A31137" w:rsidP="00A31137">
      <w:r w:rsidRPr="00A31137">
        <w:t>1992, Lucas v. So. Carolina Coastal Council, 505 U.S. 1078</w:t>
      </w:r>
    </w:p>
    <w:p w:rsidR="00A31137" w:rsidRPr="00A31137" w:rsidRDefault="00A31137" w:rsidP="00A31137">
      <w:r w:rsidRPr="00A31137">
        <w:t>Juris.Statement, O.T. 1962, No. 307, p. 5. The Court dismissed the appeal for lack of a substantial federal question. Consolidated Rock Products Co., v. Los Angeles, 57 Cal.2d 515, 20 Cal.Rptr. 638, 370 P.2d 342, appeal dism'd, 371 U.S. 36 (1962).</w:t>
      </w:r>
    </w:p>
    <w:p w:rsidR="00A31137" w:rsidRPr="00A31137" w:rsidRDefault="00A31137" w:rsidP="00A31137">
      <w:r w:rsidRPr="00A31137">
        <w:t>1992, Lucas v. So. Carolina Coastal Council, 505 U.S. 1078</w:t>
      </w:r>
    </w:p>
    <w:p w:rsidR="00A31137" w:rsidRPr="00A31137" w:rsidRDefault="00A31137" w:rsidP="00A31137">
      <w:r w:rsidRPr="00A31137">
        <w:t>10. On remand, the California court found no taking, in part because the zoning regulation "involves this highest of public interests—the prevention of death and injury." First Lutheran Church v. Los Angeles, 210 Cal.App.3d 1353, 1370, 258 Cal.Rptr. 893, 904 (1989), cert. denied, 493 U.S. 1056 (1990).</w:t>
      </w:r>
    </w:p>
    <w:p w:rsidR="00A31137" w:rsidRPr="00A31137" w:rsidRDefault="00A31137" w:rsidP="00A31137">
      <w:r w:rsidRPr="00A31137">
        <w:t>1992, Lucas v. So. Carolina Coastal Council, 505 U.S. 1078</w:t>
      </w:r>
    </w:p>
    <w:p w:rsidR="00A31137" w:rsidRPr="00A31137" w:rsidRDefault="00A31137" w:rsidP="00A31137">
      <w:r w:rsidRPr="00A31137">
        <w:t>11. The Court's suggestion that Agins v. Tiburon, 447 U.S. 255 (1980), a unanimous opinion, created a new per se rule, only now discovered, is unpersuasive. In Agins, the Court stated that "no precise rule determines when property has been taken" but instead that "the question necessarily requires a weighing of public and private interest." Id. at 260-262. The other cases cited by the Court, ante at  1015, repeat the Agins sentence, but in no way suggest that the public interest is irrelevant if total value has been taken. The Court has indicated that proof that a regulation does not deny an owner economic use of his property is sufficient to defeat a facial taking challenge. See Hodel v. Virginia Surface Mining Reclamation Assn., Inc., 452 U.S. 264, 295-297 (1981). But the conclusion that a regulation is not, on its face, a taking because it allows the landowner some economic use of property is a far cry from the proposition that denial of such use is sufficient to establish a taking claim regardless of any other consideration. The Court never has accepted the latter proposition.</w:t>
      </w:r>
    </w:p>
    <w:p w:rsidR="00A31137" w:rsidRPr="00A31137" w:rsidRDefault="00A31137" w:rsidP="00A31137">
      <w:r w:rsidRPr="00A31137">
        <w:t>1992, Lucas v. So. Carolina Coastal Council, 505 U.S. 1078</w:t>
      </w:r>
    </w:p>
    <w:p w:rsidR="00A31137" w:rsidRPr="00A31137" w:rsidRDefault="00A31137" w:rsidP="00A31137">
      <w:r w:rsidRPr="00A31137">
        <w:t>The Court relies today on dicta in Agins, Hodel, Nollan v. California Coastal Comm'n, 483 U.S. 825 (1987), and Keystone Bituminous Coal v. DeBenedictis, 480 U.S. 470 (1987), for its new categorical rule. Ante at 1015-1016. I prefer to rely on the directly contrary holdings in cases such as Mugler and Hadacheck, not to mention contrary statements in the very cases on which the Court relies. See Agins, 447 U.S. at 260-262; Keystone Bituminous Coal, 480 U.S. at 489 n. 18, 491-492.</w:t>
      </w:r>
    </w:p>
    <w:p w:rsidR="00A31137" w:rsidRPr="00A31137" w:rsidRDefault="00A31137" w:rsidP="00A31137">
      <w:r w:rsidRPr="00A31137">
        <w:t>1992, Lucas v. So. Carolina Coastal Council, 505 U.S. 1078</w:t>
      </w:r>
    </w:p>
    <w:p w:rsidR="00A31137" w:rsidRPr="00A31137" w:rsidRDefault="00A31137" w:rsidP="00A31137">
      <w:r w:rsidRPr="00A31137">
        <w:t>12. Miller v. Schoene, 276 U.S. 272 (1928), is an example. In the course of demonstrating that apple trees are more valuable than red cedar trees, the Court noted that red cedar has "occasional use and value as lumber." Id. at 279. But the Court did not discuss whether the timber owned by the petitioner in that case was commercially saleable, and nothing in the opinion suggests that the State's right to require uncompensated felling of the trees depended on any such salvage value. To the contrary, it is clear from its unanimous opinion that the Schoene Court would have sustained a law requiring the burning of cedar trees if that had been necessary to protect apple trees in which there was a public interest: the Court spoke of preferment of the public interest over the property interest of the individual, "to the extent even of its destruction." Id. at 280.</w:t>
      </w:r>
    </w:p>
    <w:p w:rsidR="00A31137" w:rsidRPr="00A31137" w:rsidRDefault="00A31137" w:rsidP="00A31137">
      <w:r w:rsidRPr="00A31137">
        <w:t>1992, Lucas v. So. Carolina Coastal Council, 505 U.S. 1078</w:t>
      </w:r>
    </w:p>
    <w:p w:rsidR="00A31137" w:rsidRPr="00A31137" w:rsidRDefault="00A31137" w:rsidP="00A31137">
      <w:r w:rsidRPr="00A31137">
        <w:t>13. The Court seeks to disavow the holdings and reasoning of Mugler and subsequent cases by explaining that they were the Court's early efforts to define the scope of the police power. There is language in the earliest taking cases suggesting that the police power was considered to be the power simply to prevent harms. Subsequently, the Court expanded its understanding of what were government's legitimate interests. But it does not follow that the holding of those early cases—that harmful and noxious uses of property can be forbidden whatever the harm to the property owner and without the payment of compensation—was repudiated. To the contrary, as the Court consciously expanded the scope of the police power beyond preventing harm, it clarified that there was a core of public interests that overrode any private interest. See Keystone Bituminous Coal, 480 U.S. at  491, n. 20.</w:t>
      </w:r>
    </w:p>
    <w:p w:rsidR="00A31137" w:rsidRPr="00A31137" w:rsidRDefault="00A31137" w:rsidP="00A31137">
      <w:r w:rsidRPr="00A31137">
        <w:t>1992, Lucas v. So. Carolina Coastal Council, 505 U.S. 1078</w:t>
      </w:r>
    </w:p>
    <w:p w:rsidR="00A31137" w:rsidRPr="00A31137" w:rsidRDefault="00A31137" w:rsidP="00A31137">
      <w:r w:rsidRPr="00A31137">
        <w:t>14.</w:t>
      </w:r>
    </w:p>
    <w:p w:rsidR="00A31137" w:rsidRPr="00A31137" w:rsidRDefault="00A31137" w:rsidP="00A31137">
      <w:r w:rsidRPr="00A31137">
        <w:t>1992, Lucas v. So. Carolina Coastal Council, 505 U.S. 1078</w:t>
      </w:r>
    </w:p>
    <w:p w:rsidR="00A31137" w:rsidRPr="00A31137" w:rsidRDefault="00A31137" w:rsidP="00A31137">
      <w:r w:rsidRPr="00A31137">
        <w:t>Indeed, it would be extraordinary to construe the Constitution to require a government to compensate private landowners because it denied them "the right" to use property which cannot be used without risking injury and death.</w:t>
      </w:r>
    </w:p>
    <w:p w:rsidR="00A31137" w:rsidRPr="00A31137" w:rsidRDefault="00A31137" w:rsidP="00A31137">
      <w:r w:rsidRPr="00A31137">
        <w:t>1992, Lucas v. So. Carolina Coastal Council, 505 U.S. 1078</w:t>
      </w:r>
    </w:p>
    <w:p w:rsidR="00A31137" w:rsidRPr="00A31137" w:rsidRDefault="00A31137" w:rsidP="00A31137">
      <w:r w:rsidRPr="00A31137">
        <w:t>First Lutheran Church, 210 Cal.App.3d at 1366, 258 Cal.Rptr. at 901-902.</w:t>
      </w:r>
    </w:p>
    <w:p w:rsidR="00A31137" w:rsidRPr="00A31137" w:rsidRDefault="00A31137" w:rsidP="00A31137">
      <w:r w:rsidRPr="00A31137">
        <w:t>1992, Lucas v. So. Carolina Coastal Council, 505 U.S. 1078</w:t>
      </w:r>
    </w:p>
    <w:p w:rsidR="00A31137" w:rsidRPr="00A31137" w:rsidRDefault="00A31137" w:rsidP="00A31137">
      <w:r w:rsidRPr="00A31137">
        <w:t>15. Although it refers to state nuisance and property law, the Court apparently does not mean just any state nuisance and property law. Public nuisance was first a common law creation, see Newark, The Boundaries of Nuisance, 65 L.Q.Rev. 480, 482 (1949) (attributing development of nuisance to 1535), but by the 1800s, in both the United States and England, legislatures had the power to define what is a public nuisance, and particular uses often have been selectively targeted. See Prosser, Private Action for Public Nuisance, 52 Va.L.Rev. 997 999-1000 (1966); J.F. Stephen, A General View of the Criminal Law of England 105-107 (2d ed. 1890). The Court's references to "common law" background principles, however, indicate that legislative determinations do not constitute "state nuisance and property law" for the Court.</w:t>
      </w:r>
    </w:p>
    <w:p w:rsidR="00A31137" w:rsidRPr="00A31137" w:rsidRDefault="00A31137" w:rsidP="00A31137">
      <w:r w:rsidRPr="00A31137">
        <w:t>1992, Lucas v. So. Carolina Coastal Council, 505 U.S. 1078</w:t>
      </w:r>
    </w:p>
    <w:p w:rsidR="00A31137" w:rsidRPr="00A31137" w:rsidRDefault="00A31137" w:rsidP="00A31137">
      <w:r w:rsidRPr="00A31137">
        <w:t>16. Also, until today, the fact that the regulation prohibited uses that were lawful at the time the owner purchased did not determine the constitutional question. The brewery, the brickyard, the cedar trees, and the gravel pit were all perfectly legitimate uses prior to the passage of the regulation. See Mugler v. Kansas, 123 U.S. 623,  654 (1887); Hadacheck v. Los Angeles, 239 U.S. 394 (1915); Miller, 276 U.S. at 272; Goldblatt v. Hempstead, 369 U.S. 590 (1962). This Court explicitly acknowledged in Hadacheck that</w:t>
      </w:r>
    </w:p>
    <w:p w:rsidR="00A31137" w:rsidRPr="00A31137" w:rsidRDefault="00A31137" w:rsidP="00A31137">
      <w:r w:rsidRPr="00A31137">
        <w:t>1992, Lucas v. So. Carolina Coastal Council, 505 U.S. 1078</w:t>
      </w:r>
    </w:p>
    <w:p w:rsidR="00A31137" w:rsidRPr="00A31137" w:rsidRDefault="00A31137" w:rsidP="00A31137">
      <w:r w:rsidRPr="00A31137">
        <w:t>[a] vested interest cannot be asserted against [the police power] because of conditions once obtaining. To so hold would preclude development and fix a city forever in its primitive conditions.</w:t>
      </w:r>
    </w:p>
    <w:p w:rsidR="00A31137" w:rsidRPr="00A31137" w:rsidRDefault="00A31137" w:rsidP="00A31137">
      <w:r w:rsidRPr="00A31137">
        <w:t>1992, Lucas v. So. Carolina Coastal Council, 505 U.S. 1078</w:t>
      </w:r>
    </w:p>
    <w:p w:rsidR="00A31137" w:rsidRPr="00A31137" w:rsidRDefault="00A31137" w:rsidP="00A31137">
      <w:r w:rsidRPr="00A31137">
        <w:t>239 U.S. at 410 (citation omitted).</w:t>
      </w:r>
    </w:p>
    <w:p w:rsidR="00A31137" w:rsidRPr="00A31137" w:rsidRDefault="00A31137" w:rsidP="00A31137">
      <w:r w:rsidRPr="00A31137">
        <w:t>1992, Lucas v. So. Carolina Coastal Council, 505 U.S. 1078</w:t>
      </w:r>
    </w:p>
    <w:p w:rsidR="00A31137" w:rsidRPr="00A31137" w:rsidRDefault="00A31137" w:rsidP="00A31137">
      <w:r w:rsidRPr="00A31137">
        <w:t>17. The Court argues that finding no taking when the legislature prohibits a harmful use, such as the Court did in Mugler and the South Carolina Supreme Court did in the instant case, would nullify Pennsylvania Coal. See ante at 1022-1023. Justice Holmes, the author of Pennsylvania Coal, joined Miller v. Schoene, 276 U.S. 272 (1928), six years later. In Miller, the Court adopted the exact approach of the South Carolina Court: it found the cedar trees harmful, and their destruction not a taking, whether or not they were a nuisance. Justice Holmes apparently believed that such an approach did not repudiate his earlier opinion. Moreover, this Court already has been over this ground five years ago, and at that point rejected the assertion that Pennsylvania Coal was inconsistent with Mugler, Hadacheck, Miller, or the others in the string of "noxious use" cases, recognizing instead that the nature of the State's action is critical in takings analysis. Keystone Bituminous Coal, 480 U.S. at  490.</w:t>
      </w:r>
    </w:p>
    <w:p w:rsidR="00A31137" w:rsidRPr="00A31137" w:rsidRDefault="00A31137" w:rsidP="00A31137">
      <w:r w:rsidRPr="00A31137">
        <w:t>1992, Lucas v. So. Carolina Coastal Council, 505 U.S. 1078</w:t>
      </w:r>
    </w:p>
    <w:p w:rsidR="00A31137" w:rsidRPr="00A31137" w:rsidRDefault="00A31137" w:rsidP="00A31137">
      <w:r w:rsidRPr="00A31137">
        <w:t>18. See also Michelman, Property, Utility, and Fairness, Comments on the Ethical Foundations of "Just Compensation" Law, 80 Harv.L.Rev. 1165, 1192-1193 (1967); Sax, Takings and the Police Power, 74 Yale L.J. 36, 60 (1964).</w:t>
      </w:r>
    </w:p>
    <w:p w:rsidR="00A31137" w:rsidRPr="00A31137" w:rsidRDefault="00A31137" w:rsidP="00A31137">
      <w:r w:rsidRPr="00A31137">
        <w:t>1992, Lucas v. So. Carolina Coastal Council, 505 U.S. 1078</w:t>
      </w:r>
    </w:p>
    <w:p w:rsidR="00A31137" w:rsidRPr="00A31137" w:rsidRDefault="00A31137" w:rsidP="00A31137">
      <w:r w:rsidRPr="00A31137">
        <w:t>19.</w:t>
      </w:r>
    </w:p>
    <w:p w:rsidR="00A31137" w:rsidRPr="00A31137" w:rsidRDefault="00A31137" w:rsidP="00A31137">
      <w:r w:rsidRPr="00A31137">
        <w:t>1992, Lucas v. So. Carolina Coastal Council, 505 U.S. 1078</w:t>
      </w:r>
    </w:p>
    <w:p w:rsidR="00A31137" w:rsidRPr="00A31137" w:rsidRDefault="00A31137" w:rsidP="00A31137">
      <w:r w:rsidRPr="00A31137">
        <w:t>There is perhaps no more impenetrable jungle in the entire law than that which surrounds the word "nuisance." It has meant all things to all people, and has been applied indiscriminately to everything from an alarming advertisement to a cockroach baked in a pie.</w:t>
      </w:r>
    </w:p>
    <w:p w:rsidR="00A31137" w:rsidRPr="00A31137" w:rsidRDefault="00A31137" w:rsidP="00A31137">
      <w:r w:rsidRPr="00A31137">
        <w:t>1992, Lucas v. So. Carolina Coastal Council, 505 U.S. 1078</w:t>
      </w:r>
    </w:p>
    <w:p w:rsidR="00A31137" w:rsidRPr="00A31137" w:rsidRDefault="00A31137" w:rsidP="00A31137">
      <w:r w:rsidRPr="00A31137">
        <w:t>W. Keeton, D. Dobbs, R. Keeton, D. Owen, Prosser and Keeton on The Law of Torts 616 (5th ed.1984) (footnotes omitted). It is an area of law that "straddles the legal universe, virtually defies synthesis, and generates case law to suit every taste." W. Rodgers, Environmental Law § 2.4, at 48 (1986) (footnotes omitted). The Court itself has noted that "nuisance concepts" are "often vague and indeterminate." Milwaukee v. Illinois, 451 U.S. 304, 317 (1981).</w:t>
      </w:r>
    </w:p>
    <w:p w:rsidR="00A31137" w:rsidRPr="00A31137" w:rsidRDefault="00A31137" w:rsidP="00A31137">
      <w:r w:rsidRPr="00A31137">
        <w:t>1992, Lucas v. So. Carolina Coastal Council, 505 U.S. 1078</w:t>
      </w:r>
    </w:p>
    <w:p w:rsidR="00A31137" w:rsidRPr="00A31137" w:rsidRDefault="00A31137" w:rsidP="00A31137">
      <w:r w:rsidRPr="00A31137">
        <w:t>20. See generally Sax, 74 Yale L.J. at 56-59.</w:t>
      </w:r>
    </w:p>
    <w:p w:rsidR="00A31137" w:rsidRPr="00A31137" w:rsidRDefault="00A31137" w:rsidP="00A31137">
      <w:r w:rsidRPr="00A31137">
        <w:t>1992, Lucas v. So. Carolina Coastal Council, 505 U.S. 1078</w:t>
      </w:r>
    </w:p>
    <w:p w:rsidR="00A31137" w:rsidRPr="00A31137" w:rsidRDefault="00A31137" w:rsidP="00A31137">
      <w:r w:rsidRPr="00A31137">
        <w:t>The evidence certainly seems to indicate that the mere fact that government activity destroyed existing economic advantages and power did not disturb [the English theorists who formulated the compensation notion] at all.</w:t>
      </w:r>
    </w:p>
    <w:p w:rsidR="00A31137" w:rsidRPr="00A31137" w:rsidRDefault="00A31137" w:rsidP="00A31137">
      <w:r w:rsidRPr="00A31137">
        <w:t>1992, Lucas v. So. Carolina Coastal Council, 505 U.S. 1078</w:t>
      </w:r>
    </w:p>
    <w:p w:rsidR="00A31137" w:rsidRPr="00A31137" w:rsidRDefault="00A31137" w:rsidP="00A31137">
      <w:r w:rsidRPr="00A31137">
        <w:t>Id. at 56. Professor Sax contends that even Blackstone, "remembered champion of the language of private property," did not believe that the compensation clause was meant to preserve economic value. Id. at 58-59.</w:t>
      </w:r>
    </w:p>
    <w:p w:rsidR="00A31137" w:rsidRPr="00A31137" w:rsidRDefault="00A31137" w:rsidP="00A31137">
      <w:r w:rsidRPr="00A31137">
        <w:t>1992, Lucas v. So. Carolina Coastal Council, 505 U.S. 1078</w:t>
      </w:r>
    </w:p>
    <w:p w:rsidR="00A31137" w:rsidRPr="00A31137" w:rsidRDefault="00A31137" w:rsidP="00A31137">
      <w:r w:rsidRPr="00A31137">
        <w:t>21. In 1796, the Attorney General of South Carolina responded to property holders' demand for compensation when the State took their land to build a road by arguing that</w:t>
      </w:r>
    </w:p>
    <w:p w:rsidR="00A31137" w:rsidRPr="00A31137" w:rsidRDefault="00A31137" w:rsidP="00A31137">
      <w:r w:rsidRPr="00A31137">
        <w:t>1992, Lucas v. So. Carolina Coastal Council, 505 U.S. 1078</w:t>
      </w:r>
    </w:p>
    <w:p w:rsidR="00A31137" w:rsidRPr="00A31137" w:rsidRDefault="00A31137" w:rsidP="00A31137">
      <w:r w:rsidRPr="00A31137">
        <w:t>there is not one instance on record, and certainly none within the memory of the oldest man now living, of any demand being made for compensation for the soil or freehold of the lands.</w:t>
      </w:r>
    </w:p>
    <w:p w:rsidR="00A31137" w:rsidRPr="00A31137" w:rsidRDefault="00A31137" w:rsidP="00A31137">
      <w:r w:rsidRPr="00A31137">
        <w:t>1992, Lucas v. So. Carolina Coastal Council, 505 U.S. 1078</w:t>
      </w:r>
    </w:p>
    <w:p w:rsidR="00A31137" w:rsidRPr="00A31137" w:rsidRDefault="00A31137" w:rsidP="00A31137">
      <w:r w:rsidRPr="00A31137">
        <w:t>Lindsay v. Commissioners, 2 S.C.L. 38, 49 (1796).</w:t>
      </w:r>
    </w:p>
    <w:p w:rsidR="00A31137" w:rsidRPr="00A31137" w:rsidRDefault="00A31137" w:rsidP="00A31137">
      <w:r w:rsidRPr="00A31137">
        <w:t>1992, Lucas v. So. Carolina Coastal Council, 505 U.S. 1078</w:t>
      </w:r>
    </w:p>
    <w:p w:rsidR="00A31137" w:rsidRPr="00A31137" w:rsidRDefault="00A31137" w:rsidP="00A31137">
      <w:r w:rsidRPr="00A31137">
        <w:t>22. Only the constitutions of Vermont and Massachusetts required that compensation be paid when private property was taken for public use; and although eminent domain was mentioned in the Pennsylvania constitution, its sole requirement was that property not be taken without the consent of the legislature. See Grant, The "Higher Law" Background of the Law of Eminent Domain, in 2 Selected Essays on Constitutional Law 912, 915-916 (1938). By 1868, five of the original States still had no just compensation clauses in their constitutions. Ibid.</w:t>
      </w:r>
    </w:p>
    <w:p w:rsidR="00A31137" w:rsidRPr="00A31137" w:rsidRDefault="00A31137" w:rsidP="00A31137">
      <w:r w:rsidRPr="00A31137">
        <w:t>1992, Lucas v. So. Carolina Coastal Council, 505 U.S. 1078</w:t>
      </w:r>
    </w:p>
    <w:p w:rsidR="00A31137" w:rsidRPr="00A31137" w:rsidRDefault="00A31137" w:rsidP="00A31137">
      <w:r w:rsidRPr="00A31137">
        <w:t>23. James Madison, author of the Takings Clause, apparently intended it to apply only to direct, physical takings of property by the Federal Government. See Treanor, The Origins and Original Significance of the Just Compensation Clause of the Fifth Amendment, 94 Yale L.J. 694, 711 (1985). Professor Sax argues that, although "contemporaneous commentary upon the meaning of the compensation clause is in very short supply," 74 Yale L.J. at 58, the "few authorities that are available" indicate that the clause was "designed to prevent arbitrary government action," not to protect economic value. Id. at 58-60.</w:t>
      </w:r>
    </w:p>
    <w:p w:rsidR="00A31137" w:rsidRPr="00A31137" w:rsidRDefault="00A31137" w:rsidP="00A31137">
      <w:r w:rsidRPr="00A31137">
        <w:t>1992, Lucas v. So. Carolina Coastal Council, 505 U.S. 1078</w:t>
      </w:r>
    </w:p>
    <w:p w:rsidR="00A31137" w:rsidRPr="00A31137" w:rsidRDefault="00A31137" w:rsidP="00A31137">
      <w:r w:rsidRPr="00A31137">
        <w:t>24. For this reason, the retroactive application of the regulation to formerly lawful uses was not a controlling distinction in the past. "Nor can it make any difference that the right is purchased previous to the passage of the by-law," for</w:t>
      </w:r>
    </w:p>
    <w:p w:rsidR="00A31137" w:rsidRPr="00A31137" w:rsidRDefault="00A31137" w:rsidP="00A31137">
      <w:r w:rsidRPr="00A31137">
        <w:t>1992, Lucas v. So. Carolina Coastal Council, 505 U.S. 1078</w:t>
      </w:r>
    </w:p>
    <w:p w:rsidR="00A31137" w:rsidRPr="00A31137" w:rsidRDefault="00A31137" w:rsidP="00A31137">
      <w:r w:rsidRPr="00A31137">
        <w:t>[e]very right, from an absolute ownership in property, down to a mere easement, is purchased and holden subject to the restriction that it shall be so exercised as not to injure others. Though, at the time, it be remote and inoffensive, the purchaser is bound to know, at his peril, that it may become otherwise.</w:t>
      </w:r>
    </w:p>
    <w:p w:rsidR="00A31137" w:rsidRPr="00A31137" w:rsidRDefault="00A31137" w:rsidP="00A31137">
      <w:r w:rsidRPr="00A31137">
        <w:t>1992, Lucas v. So. Carolina Coastal Council, 505 U.S. 1078</w:t>
      </w:r>
    </w:p>
    <w:p w:rsidR="00A31137" w:rsidRPr="00A31137" w:rsidRDefault="00A31137" w:rsidP="00A31137">
      <w:r w:rsidRPr="00A31137">
        <w:t>Coates v. City of New York, 7 Cow. 585, 605 (N.Y.1827). See also Brick Presbyterian Church v. City of New York, 5 Cow. 538, 542 (N.Y.1826); Commonwealth v. Tewksbury, 11 Metc. 55 (Mass. 1846); State v. Paul, 5 R.I. 185 (1858).</w:t>
      </w:r>
    </w:p>
    <w:p w:rsidR="00A31137" w:rsidRPr="00A31137" w:rsidRDefault="00A31137" w:rsidP="00A31137">
      <w:r w:rsidRPr="00A31137">
        <w:t>1992, Lucas v. So. Carolina Coastal Council, 505 U.S. 1078</w:t>
      </w:r>
    </w:p>
    <w:p w:rsidR="00A31137" w:rsidRPr="00A31137" w:rsidRDefault="00A31137" w:rsidP="00A31137">
      <w:r w:rsidRPr="00A31137">
        <w:t>25. More recent state court decisions agree. See, e.g., Lane v. Mt. Vernon, 38 N.Y.2d 344, 379 N.Y.S.2d 798, 800, 342 N.E.2d 571, 573 (1976); Commonwealth v. Baker, 160 Pa.Super. 640, 53 A.2d 829, 830 (1947).</w:t>
      </w:r>
    </w:p>
    <w:p w:rsidR="00A31137" w:rsidRPr="00A31137" w:rsidRDefault="00A31137" w:rsidP="00A31137">
      <w:r w:rsidRPr="00A31137">
        <w:t>1992, Lucas v. So. Carolina Coastal Council, 505 U.S. 1078</w:t>
      </w:r>
    </w:p>
    <w:p w:rsidR="00A31137" w:rsidRPr="00A31137" w:rsidRDefault="00A31137" w:rsidP="00A31137">
      <w:r w:rsidRPr="00A31137">
        <w:t>26. The Court asserts that all early American experience, prior to and after passage of the Bill of Rights, and any case law prior to 1897, are "entirely irrelevant" in determining what is "the historical compact recorded in the Takings Clause." Ante at  1028, n. 15. Nor apparently are we to find this compact in the early federal taking cases, which clearly permitted prohibition of harmful uses despite the alleged loss of all value, whether or not the prohibition was a common law nuisance, and whether or not the prohibition occurred subsequent to the purchase. See supra, pp.  1047-1048, 1052-1053, and n. 16. I cannot imagine where the Court finds its "historical compact," if not in history.</w:t>
      </w:r>
    </w:p>
    <w:p w:rsidR="00A31137" w:rsidRPr="00A31137" w:rsidRDefault="00A31137" w:rsidP="00A31137">
      <w:r w:rsidRPr="00A31137">
        <w:t>STEVENS, J., dissenting (Footnotes)</w:t>
      </w:r>
    </w:p>
    <w:p w:rsidR="00A31137" w:rsidRPr="00A31137" w:rsidRDefault="00A31137" w:rsidP="00A31137">
      <w:r w:rsidRPr="00A31137">
        <w:t>1992, Lucas v. So. Carolina Coastal Council, 505 U.S. 1078</w:t>
      </w:r>
    </w:p>
    <w:p w:rsidR="00A31137" w:rsidRPr="00A31137" w:rsidRDefault="00A31137" w:rsidP="00A31137">
      <w:r w:rsidRPr="00A31137">
        <w:t>1. In this regard, it is noteworthy that petitioner acquired the lot about 18 months before the statute was passed; there is no evidence that he ever sought a building permit from the local authorities.</w:t>
      </w:r>
    </w:p>
    <w:p w:rsidR="00A31137" w:rsidRPr="00A31137" w:rsidRDefault="00A31137" w:rsidP="00A31137">
      <w:r w:rsidRPr="00A31137">
        <w:t>1992, Lucas v. So. Carolina Coastal Council, 505 U.S. 1078</w:t>
      </w:r>
    </w:p>
    <w:p w:rsidR="00A31137" w:rsidRPr="00A31137" w:rsidRDefault="00A31137" w:rsidP="00A31137">
      <w:r w:rsidRPr="00A31137">
        <w:t>2. This aspect of the Act was amended in 1990. See S.C.Code § 48-39-290(B) (Supp.1990).</w:t>
      </w:r>
    </w:p>
    <w:p w:rsidR="00A31137" w:rsidRPr="00A31137" w:rsidRDefault="00A31137" w:rsidP="00A31137">
      <w:r w:rsidRPr="00A31137">
        <w:t>1992, Lucas v. So. Carolina Coastal Council, 505 U.S. 1078</w:t>
      </w:r>
    </w:p>
    <w:p w:rsidR="00A31137" w:rsidRPr="00A31137" w:rsidRDefault="00A31137" w:rsidP="00A31137">
      <w:r w:rsidRPr="00A31137">
        <w:t>3. Of course, the same could easily be said in this case: Lucas may put his land to "other uses"—fishing or camping, for example—or may sell his land to his neighbors as a buffer. In either event, his land is far from "valueless."</w:t>
      </w:r>
    </w:p>
    <w:p w:rsidR="00A31137" w:rsidRPr="00A31137" w:rsidRDefault="00A31137" w:rsidP="00A31137">
      <w:r w:rsidRPr="00A31137">
        <w:t>1992, Lucas v. So. Carolina Coastal Council, 505 U.S. 1078</w:t>
      </w:r>
    </w:p>
    <w:p w:rsidR="00A31137" w:rsidRPr="00A31137" w:rsidRDefault="00A31137" w:rsidP="00A31137">
      <w:r w:rsidRPr="00A31137">
        <w:t>This highlights a fundamental weakness in the Court's analysis: its failure to explain why only the impairment of "economically beneficial or productive use," ante at  1015 (emphasis added), of property is relevant in takings analysis. I should think that a regulation arbitrarily prohibiting an owner from continuing to use her property for birdwatching or sunbathing might constitute a taking under some circumstances; and, conversely, that such uses are of value to the owner. Yet the Court offers no basis for its assumption that the only uses of property cognizable under the Constitution are developmental uses.</w:t>
      </w:r>
    </w:p>
    <w:p w:rsidR="00A31137" w:rsidRPr="00A31137" w:rsidRDefault="00A31137" w:rsidP="00A31137">
      <w:r w:rsidRPr="00A31137">
        <w:t>1992, Lucas v. So. Carolina Coastal Council, 505 U.S. 1078</w:t>
      </w:r>
    </w:p>
    <w:p w:rsidR="00A31137" w:rsidRPr="00A31137" w:rsidRDefault="00A31137" w:rsidP="00A31137">
      <w:r w:rsidRPr="00A31137">
        <w:t>4. This unfortunate possibility is created by the Court's subtle revision of the "total regulatory takings" dicta. In past decisions, we have stated that a regulation effects a taking if it "denies an owner economically viable use of his land," Agins v. Tiburon, 447 U.S. 255,  260 (1980) (emphasis added), indicating that this "total takings" test did not apply to other estates. Today, however, the Court suggests that a regulation may effect a total taking of any real property interest. See ante at  1017, n. 7.</w:t>
      </w:r>
    </w:p>
    <w:p w:rsidR="00A31137" w:rsidRPr="00A31137" w:rsidRDefault="00A31137" w:rsidP="00A31137">
      <w:r w:rsidRPr="00A31137">
        <w:t>1992, Lucas v. So. Carolina Coastal Council, 505 U.S. 1078</w:t>
      </w:r>
    </w:p>
    <w:p w:rsidR="00A31137" w:rsidRPr="00A31137" w:rsidRDefault="00A31137" w:rsidP="00A31137">
      <w:r w:rsidRPr="00A31137">
        <w:t>5. Even measured in terms of efficiency, the Court's rule is unsound. The Court today effectively establishes a form of insurance against certain changes in land use regulations. Like other forms of insurance, the Court's rule creates a "moral hazard" and inefficiencies: in the face of uncertainty about changes in the law, developers will overinvest, safe in the knowledge that, if the law changes adversely, they will be entitled to compensation. See generally Farber, Economic Analysis and Just Compensation, 12 Int'l Rev. of Law Econ. 125 (1992).</w:t>
      </w:r>
    </w:p>
    <w:p w:rsidR="00A31137" w:rsidRPr="00A31137" w:rsidRDefault="00A31137" w:rsidP="00A31137">
      <w:r w:rsidRPr="00A31137">
        <w:t>1992, Lucas v. So. Carolina Coastal Council, 505 U.S. 1078</w:t>
      </w:r>
    </w:p>
    <w:p w:rsidR="00A31137" w:rsidRPr="00A31137" w:rsidRDefault="00A31137" w:rsidP="00A31137">
      <w:r w:rsidRPr="00A31137">
        <w:t>6. As the Court correctly notes, in regulatory takings, unlike physical takings, courts have a choice of remedies. See ante at  1030, n. 17. They may "invalidat[e the] excessive regulation" or they may "allo[w] the regulation to stand and orde[r] the government to afford compensation for the permanent taking." First English Evangelical Lutheran Church v. County of Los Angeles, 482 U.S. 304,  335 (1987) (STEVENS, J., dissenting); see also id. at 319-21. In either event, however, the costs to the government are likely to be substantial, and are therefore likely to impede the development of sound land use policy.</w:t>
      </w:r>
    </w:p>
    <w:p w:rsidR="00A31137" w:rsidRPr="00A31137" w:rsidRDefault="00A31137" w:rsidP="00A31137">
      <w:r w:rsidRPr="00A31137">
        <w:t>1992, Lucas v. So. Carolina Coastal Council, 505 U.S. 1078</w:t>
      </w:r>
    </w:p>
    <w:p w:rsidR="00A31137" w:rsidRPr="00A31137" w:rsidRDefault="00A31137" w:rsidP="00A31137">
      <w:r w:rsidRPr="00A31137">
        <w:t>7. This principle of generality is well-rooted in our broader understandings of the Constitution as designed in part to control the "mischiefs of faction." See The Federalist No. 10, p. 43 (G. Wills ed.1982) (J. Madison).</w:t>
      </w:r>
    </w:p>
    <w:p w:rsidR="00A31137" w:rsidRPr="00A31137" w:rsidRDefault="00A31137" w:rsidP="00A31137">
      <w:r w:rsidRPr="00A31137">
        <w:t>1992, Lucas v. So. Carolina Coastal Council, 505 U.S. 1078</w:t>
      </w:r>
    </w:p>
    <w:p w:rsidR="00A31137" w:rsidRPr="00A31137" w:rsidRDefault="00A31137" w:rsidP="00A31137">
      <w:r w:rsidRPr="00A31137">
        <w:t>An analogous concern arises in First Amendment law. There we have recognized that an individual's rights are not violated when his religious practices are prohibited under a neutral law of general applicability. For example, in Employment Division, Department of Human Resources of Oregon v. Smith, 494 U.S. 872, 879-880 (1990), we observed:</w:t>
      </w:r>
    </w:p>
    <w:p w:rsidR="00A31137" w:rsidRPr="00A31137" w:rsidRDefault="00A31137" w:rsidP="00A31137">
      <w:r w:rsidRPr="00A31137">
        <w:t>1992, Lucas v. So. Carolina Coastal Council, 505 U.S. 1078</w:t>
      </w:r>
    </w:p>
    <w:p w:rsidR="00A31137" w:rsidRPr="00A31137" w:rsidRDefault="00A31137" w:rsidP="00A31137">
      <w:r w:rsidRPr="00A31137">
        <w:t>[Our] decisions have consistently held that the right of free exercise does not relieve an individual of the obligation to comply with a</w:t>
      </w:r>
    </w:p>
    <w:p w:rsidR="00A31137" w:rsidRPr="00A31137" w:rsidRDefault="00A31137" w:rsidP="00A31137">
      <w:r w:rsidRPr="00A31137">
        <w:t>1992, Lucas v. So. Carolina Coastal Council, 505 U.S. 1078</w:t>
      </w:r>
    </w:p>
    <w:p w:rsidR="00A31137" w:rsidRPr="00A31137" w:rsidRDefault="00A31137" w:rsidP="00A31137">
      <w:r w:rsidRPr="00A31137">
        <w:t>valid and neutral law of general applicability on the ground that the law proscribes (or prescribes) conduct that his religion prescribes (or proscribes).</w:t>
      </w:r>
    </w:p>
    <w:p w:rsidR="00A31137" w:rsidRPr="00A31137" w:rsidRDefault="00A31137" w:rsidP="00A31137">
      <w:r w:rsidRPr="00A31137">
        <w:t>1992, Lucas v. So. Carolina Coastal Council, 505 U.S. 1078</w:t>
      </w:r>
    </w:p>
    <w:p w:rsidR="00A31137" w:rsidRPr="00A31137" w:rsidRDefault="00A31137" w:rsidP="00A31137">
      <w:r w:rsidRPr="00A31137">
        <w:t>United States v. Lee, 455 U.S. 252, 263, n. 3 (1982) (STEVENS, J., concurring in judgment)…. In Prince v. Massachusetts, 321 U.S. 158 (1944), we held that a mother could be prosecuted under the child labor laws for using her children to dispense literature in the streets, her religious motivation notwithstanding. We found no constitutional infirmity in "excluding [these children] from doing there what no other children may do." Id. at  171. In Braunfeld v. Brown, 366 U.S. 599 (1961) (plurality opinion), we upheld Sunday-closing laws against the claim that they burdened the religious practices of persons whose religions compelled them to refrain from work on other days. In Gillette v. United States, 401 U.S. 437,  461 (1971), we sustained the military Selective Service System against the claim that it violated free exercise by conscripting persons who opposed a particular war on religious grounds.</w:t>
      </w:r>
    </w:p>
    <w:p w:rsidR="00A31137" w:rsidRPr="00A31137" w:rsidRDefault="00A31137" w:rsidP="00A31137">
      <w:r w:rsidRPr="00A31137">
        <w:t>1992, Lucas v. So. Carolina Coastal Council, 505 U.S. 1078</w:t>
      </w:r>
    </w:p>
    <w:p w:rsidR="00A31137" w:rsidRPr="00A31137" w:rsidRDefault="00A31137" w:rsidP="00A31137">
      <w:r w:rsidRPr="00A31137">
        <w:t>If such a neutral law of general applicability may severely burden constitutionally protected interests in liberty, a comparable burden on property owners should not be considered unreasonably onerous.</w:t>
      </w:r>
    </w:p>
    <w:p w:rsidR="00A31137" w:rsidRPr="00A31137" w:rsidRDefault="00A31137" w:rsidP="00A31137">
      <w:r w:rsidRPr="00A31137">
        <w:t>1992, Lucas v. So. Carolina Coastal Council, 505 U.S. 1078</w:t>
      </w:r>
    </w:p>
    <w:p w:rsidR="00A31137" w:rsidRPr="00A31137" w:rsidRDefault="00A31137" w:rsidP="00A31137">
      <w:r w:rsidRPr="00A31137">
        <w:t>8. See Levmore, Takings, Torts, and Special Interests, 77 Va.L.Rev. 1333, 1352-1354 (1991).</w:t>
      </w:r>
    </w:p>
    <w:p w:rsidR="00A31137" w:rsidRPr="00A31137" w:rsidRDefault="00A31137" w:rsidP="00A31137">
      <w:r w:rsidRPr="00A31137">
        <w:t>1992, Lucas v. So. Carolina Coastal Council, 505 U.S. 1078</w:t>
      </w:r>
    </w:p>
    <w:p w:rsidR="00A31137" w:rsidRPr="00A31137" w:rsidRDefault="00A31137" w:rsidP="00A31137">
      <w:r w:rsidRPr="00A31137">
        <w:t>9. See Zalkin, Shifting Sands and Shifting Doctrines: The Supreme Court's Changing Takings Doctrine and South Carolina's Coastal Zone Statute, 79 Cal.L.Rev. 205, 216-217, nn. 46-47 (1991) (collecting statutes).</w:t>
      </w:r>
    </w:p>
    <w:p w:rsidR="00A31137" w:rsidRPr="00A31137" w:rsidRDefault="00A31137" w:rsidP="00A31137">
      <w:r w:rsidRPr="00A31137">
        <w:t>1992, Lucas v. So. Carolina Coastal Council, 505 U.S. 1078</w:t>
      </w:r>
    </w:p>
    <w:p w:rsidR="00A31137" w:rsidRPr="00A31137" w:rsidRDefault="00A31137" w:rsidP="00A31137">
      <w:r w:rsidRPr="00A31137">
        <w:t>10. This provision was amended in 1990. See S.C.Code § 48-39-290(B) (Supp.1990).</w:t>
      </w:r>
    </w:p>
    <w:p w:rsidR="00A31137" w:rsidRPr="00A31137" w:rsidRDefault="00A31137" w:rsidP="00A31137">
      <w:r w:rsidRPr="00A31137">
        <w:t>1992, Lucas v. So. Carolina Coastal Council, 505 U.S. 1078</w:t>
      </w:r>
    </w:p>
    <w:p w:rsidR="00A31137" w:rsidRPr="00A31137" w:rsidRDefault="00A31137" w:rsidP="00A31137">
      <w:r w:rsidRPr="00A31137">
        <w:t>11. This provision was amended in 1990; authority for renourishment was shifted to local governments. See S.C.Code § 48-39-350(A) (Supp.1990).</w:t>
      </w:r>
    </w:p>
    <w:p w:rsidR="00A31137" w:rsidRPr="00A31137" w:rsidRDefault="00A31137" w:rsidP="00A31137">
      <w:r w:rsidRPr="00A31137">
        <w:t>1992, Lucas v. So. Carolina Coastal Council, 505 U.S. 1078</w:t>
      </w:r>
    </w:p>
    <w:p w:rsidR="00A31137" w:rsidRPr="00A31137" w:rsidRDefault="00A31137" w:rsidP="00A31137">
      <w:r w:rsidRPr="00A31137">
        <w:t>12. In this regard, the Act more closely resembles the Subsidence Act in Keystone than the Kohler Act in Pennsylvania Coal Co. v. Mahon, 260 U.S. 393 (1922), and more closely resembles the general zoning scheme in Euclid v. Ambler Realty Co., 272 U.S. 365 (1926) than the specific landmark designation in Penn Central Transportation Co. v. New York City, 438 U.S. 104 (1978).</w:t>
      </w:r>
    </w:p>
    <w:p w:rsidR="00A31137" w:rsidRPr="00A31137" w:rsidRDefault="00A31137" w:rsidP="00A31137">
      <w:r w:rsidRPr="00A31137">
        <w:t>1992, Lucas v. So. Carolina Coastal Council, 505 U.S. 1078</w:t>
      </w:r>
    </w:p>
    <w:p w:rsidR="00A31137" w:rsidRPr="00A31137" w:rsidRDefault="00A31137" w:rsidP="00A31137">
      <w:r w:rsidRPr="00A31137">
        <w:t>13. Zalkin, 79 Cal.L.Rev. at 212-213.</w:t>
      </w:r>
    </w:p>
    <w:p w:rsidR="00A31137" w:rsidRPr="00A31137" w:rsidRDefault="00A31137" w:rsidP="00A31137">
      <w:r w:rsidRPr="00A31137">
        <w:t>President Bush's News Conference With President Boris Yeltsin of Russia in Moscow, 1993</w:t>
      </w:r>
    </w:p>
    <w:p w:rsidR="00A31137" w:rsidRPr="00A31137" w:rsidRDefault="00A31137" w:rsidP="00A31137">
      <w:r w:rsidRPr="00A31137">
        <w:t>Title:</w:t>
      </w:r>
      <w:r w:rsidRPr="00A31137">
        <w:tab/>
        <w:t>President Bush's News Conference With President Boris Yeltsin of Russia in Moscow</w:t>
      </w:r>
    </w:p>
    <w:p w:rsidR="00A31137" w:rsidRPr="00A31137" w:rsidRDefault="00A31137" w:rsidP="00A31137">
      <w:r w:rsidRPr="00A31137">
        <w:t>Author:</w:t>
      </w:r>
      <w:r w:rsidRPr="00A31137">
        <w:tab/>
        <w:t>George Bush</w:t>
      </w:r>
    </w:p>
    <w:p w:rsidR="00A31137" w:rsidRPr="00A31137" w:rsidRDefault="00A31137" w:rsidP="00A31137">
      <w:r w:rsidRPr="00A31137">
        <w:t>Date:</w:t>
      </w:r>
      <w:r w:rsidRPr="00A31137">
        <w:tab/>
        <w:t>January 3, 1993</w:t>
      </w:r>
    </w:p>
    <w:p w:rsidR="00A31137" w:rsidRPr="00A31137" w:rsidRDefault="00A31137" w:rsidP="00A31137">
      <w:r w:rsidRPr="00A31137">
        <w:t>Source:</w:t>
      </w:r>
      <w:r w:rsidRPr="00A31137">
        <w:tab/>
        <w:t>Public Papers of the Presidents, Bush, 1992, pp.2222-2228</w:t>
      </w:r>
    </w:p>
    <w:p w:rsidR="00A31137" w:rsidRPr="00A31137" w:rsidRDefault="00A31137" w:rsidP="00A31137">
      <w:r w:rsidRPr="00A31137">
        <w:t>Public Papers of Bush, 1992, p.2222</w:t>
      </w:r>
    </w:p>
    <w:p w:rsidR="00A31137" w:rsidRPr="00A31137" w:rsidRDefault="00A31137" w:rsidP="00A31137">
      <w:r w:rsidRPr="00A31137">
        <w:t>Mr. Kostikov. Ladies and gentlemen, let us consider that the press conference is open.</w:t>
      </w:r>
    </w:p>
    <w:p w:rsidR="00A31137" w:rsidRPr="00A31137" w:rsidRDefault="00A31137" w:rsidP="00A31137">
      <w:r w:rsidRPr="00A31137">
        <w:t>Public Papers of Bush, 1992, p.2222</w:t>
      </w:r>
    </w:p>
    <w:p w:rsidR="00A31137" w:rsidRPr="00A31137" w:rsidRDefault="00A31137" w:rsidP="00A31137">
      <w:r w:rsidRPr="00A31137">
        <w:t>First, we'll give the floor to the Presidents of Russia and the United States for brief statements, and then we'll hold our press conference. The first floor is to President Yeltsin.</w:t>
      </w:r>
    </w:p>
    <w:p w:rsidR="00A31137" w:rsidRPr="00A31137" w:rsidRDefault="00A31137" w:rsidP="00A31137">
      <w:r w:rsidRPr="00A31137">
        <w:t>START II Treaty</w:t>
      </w:r>
    </w:p>
    <w:p w:rsidR="00A31137" w:rsidRPr="00A31137" w:rsidRDefault="00A31137" w:rsidP="00A31137">
      <w:r w:rsidRPr="00A31137">
        <w:t>Public Papers of Bush, 1992, p.2222</w:t>
      </w:r>
    </w:p>
    <w:p w:rsidR="00A31137" w:rsidRPr="00A31137" w:rsidRDefault="00A31137" w:rsidP="00A31137">
      <w:r w:rsidRPr="00A31137">
        <w:t>President Yeltsin. President George Bush, Mrs. Bush, members of the delegations, representatives of mass media, ladies and gentlemen:</w:t>
      </w:r>
    </w:p>
    <w:p w:rsidR="00A31137" w:rsidRPr="00A31137" w:rsidRDefault="00A31137" w:rsidP="00A31137">
      <w:r w:rsidRPr="00A31137">
        <w:t>Public Papers of Bush, 1992, p.2222</w:t>
      </w:r>
    </w:p>
    <w:p w:rsidR="00A31137" w:rsidRPr="00A31137" w:rsidRDefault="00A31137" w:rsidP="00A31137">
      <w:r w:rsidRPr="00A31137">
        <w:t>It is not every century that history gives us an opportunity to witness and participate in the event that is so significant in scale and consequences. Today, the Presidents of the two great powers, the United States and Russia, have signed the treaty on further radical cuts in strategic offensive arms of Russia and the United States, START II.</w:t>
      </w:r>
    </w:p>
    <w:p w:rsidR="00A31137" w:rsidRPr="00A31137" w:rsidRDefault="00A31137" w:rsidP="00A31137">
      <w:r w:rsidRPr="00A31137">
        <w:t>Public Papers of Bush, 1992, p.2222–p.2223</w:t>
      </w:r>
    </w:p>
    <w:p w:rsidR="00A31137" w:rsidRPr="00A31137" w:rsidRDefault="00A31137" w:rsidP="00A31137">
      <w:r w:rsidRPr="00A31137">
        <w:t>In its scale and importance, the treaty [p.2223] goes further than all other treaties ever signed in the field of disarmament. This treaty is the triumph for politicians and diplomats of Russia and the United States. It is also an achievement for all mankind and benefits all peoples of the Earth. The START II treaty becomes the core of the system of global security guarantees.</w:t>
      </w:r>
    </w:p>
    <w:p w:rsidR="00A31137" w:rsidRPr="00A31137" w:rsidRDefault="00A31137" w:rsidP="00A31137">
      <w:r w:rsidRPr="00A31137">
        <w:t>Public Papers of Bush, 1992, p.2223</w:t>
      </w:r>
    </w:p>
    <w:p w:rsidR="00A31137" w:rsidRPr="00A31137" w:rsidRDefault="00A31137" w:rsidP="00A31137">
      <w:r w:rsidRPr="00A31137">
        <w:t>The scale of this treaty is determined by a number of factors. Its historical factor is that in the course of all its previous history, mankind was arming itself and just dreamed of beating the swords into plowshares. The treaty signed today represents a major step towards fulfilling mankind's centuries-old dream of disarmament.</w:t>
      </w:r>
    </w:p>
    <w:p w:rsidR="00A31137" w:rsidRPr="00A31137" w:rsidRDefault="00A31137" w:rsidP="00A31137">
      <w:r w:rsidRPr="00A31137">
        <w:t>Public Papers of Bush, 1992, p.2223</w:t>
      </w:r>
    </w:p>
    <w:p w:rsidR="00A31137" w:rsidRPr="00A31137" w:rsidRDefault="00A31137" w:rsidP="00A31137">
      <w:r w:rsidRPr="00A31137">
        <w:t>Its political factor is that the treaty we have signed today belongs to a new epoch. This treaty was concluded by two friendly states, by partners who not only trust each other but also assist each other. It testifies to our joint and determined movement towards a new world order.</w:t>
      </w:r>
    </w:p>
    <w:p w:rsidR="00A31137" w:rsidRPr="00A31137" w:rsidRDefault="00A31137" w:rsidP="00A31137">
      <w:r w:rsidRPr="00A31137">
        <w:t>Public Papers of Bush, 1992, p.2223</w:t>
      </w:r>
    </w:p>
    <w:p w:rsidR="00A31137" w:rsidRPr="00A31137" w:rsidRDefault="00A31137" w:rsidP="00A31137">
      <w:r w:rsidRPr="00A31137">
        <w:t>From the very outset the new democratic Russian state has been pursuing a policy of building equal partnership with the United States. Today, we have every right to say that relations between the two major powers have undergone a genuine revolution. Its political factor lies also in the fact that during the last decade of the 20th century and at the turn of the 21st century, the START II treaty will affect policies not only of the United States and Russia but of other countries of the world as well. The START II treaty established parameters of possible political agreements in other spheres of interaction among states.</w:t>
      </w:r>
    </w:p>
    <w:p w:rsidR="00A31137" w:rsidRPr="00A31137" w:rsidRDefault="00A31137" w:rsidP="00A31137">
      <w:r w:rsidRPr="00A31137">
        <w:t>Public Papers of Bush, 1992, p.2223</w:t>
      </w:r>
    </w:p>
    <w:p w:rsidR="00A31137" w:rsidRPr="00A31137" w:rsidRDefault="00A31137" w:rsidP="00A31137">
      <w:r w:rsidRPr="00A31137">
        <w:t>Thus, the military factor is determined by the scale of mutual reductions in nuclear arms. By comparison with the START I Treaty, every state will have to reduce and destroy the number of strategic offensive warheads by approximately a threefold magnitude. The deepest cuts will affect those categories of arms which are of greatest concern to the parties and the world. For the United States these are submarine-launched ballistic missiles and heavy bombers, and for Russia, land-based intercontinental ballistic missiles, ICBM's. This reduces drastically the level of danger, military mistrust, and suspicion.</w:t>
      </w:r>
    </w:p>
    <w:p w:rsidR="00A31137" w:rsidRPr="00A31137" w:rsidRDefault="00A31137" w:rsidP="00A31137">
      <w:r w:rsidRPr="00A31137">
        <w:t>Public Papers of Bush, 1992, p.2223</w:t>
      </w:r>
    </w:p>
    <w:p w:rsidR="00A31137" w:rsidRPr="00A31137" w:rsidRDefault="00A31137" w:rsidP="00A31137">
      <w:r w:rsidRPr="00A31137">
        <w:t>We opened up real prospects for cooperation based on trust between people in military uniform, between people with military discipline and military thinking. Thus, the START II treaty will change and gradually replace the very psychology of confrontation.</w:t>
      </w:r>
      <w:r w:rsidRPr="00A31137">
        <w:cr/>
      </w:r>
    </w:p>
    <w:p w:rsidR="00A31137" w:rsidRPr="00A31137" w:rsidRDefault="00A31137" w:rsidP="00A31137">
      <w:r w:rsidRPr="00A31137">
        <w:t>Public Papers of Bush, 1992, p.2223</w:t>
      </w:r>
    </w:p>
    <w:p w:rsidR="00A31137" w:rsidRPr="00A31137" w:rsidRDefault="00A31137" w:rsidP="00A31137">
      <w:r w:rsidRPr="00A31137">
        <w:t>At the same time, as President and supreme commander in chief, I can say with absolute certainty the signed treaty strengthens the security of Russia rather than weakens it. I think that President Bush can make a similar statement concerning the security of the United States.</w:t>
      </w:r>
    </w:p>
    <w:p w:rsidR="00A31137" w:rsidRPr="00A31137" w:rsidRDefault="00A31137" w:rsidP="00A31137">
      <w:r w:rsidRPr="00A31137">
        <w:t>Public Papers of Bush, 1992, p.2223</w:t>
      </w:r>
    </w:p>
    <w:p w:rsidR="00A31137" w:rsidRPr="00A31137" w:rsidRDefault="00A31137" w:rsidP="00A31137">
      <w:r w:rsidRPr="00A31137">
        <w:t>The implementation of the new treaty will not be economically destructive for Russia. We have made most of our calculations, and they show that the proposed reductions would cost us much less than the mere maintenance of nuclear weapon systems in a safe condition. We save seriously on verification and inspections, two of the most expensive, to put it mildly, items of expenditures. The new character of Russian-U.S. relations makes it possible for us to substantially simplify verification procedures while ensuring their reliability.</w:t>
      </w:r>
    </w:p>
    <w:p w:rsidR="00A31137" w:rsidRPr="00A31137" w:rsidRDefault="00A31137" w:rsidP="00A31137">
      <w:r w:rsidRPr="00A31137">
        <w:t>Public Papers of Bush, 1992, p.2223</w:t>
      </w:r>
    </w:p>
    <w:p w:rsidR="00A31137" w:rsidRPr="00A31137" w:rsidRDefault="00A31137" w:rsidP="00A31137">
      <w:r w:rsidRPr="00A31137">
        <w:t>We expect to cut and to cut considerably the cost of the physical destruction of armaments. We have agreed with the United States to cooperate in developing and applying appropriate technologies. Thus, the expenditures under this then will in fact be shared equally. This will enable us to eliminate our nuclear weapons not with a delay of several years but in parallel with the United States in accordance with the schedule provided for in the treaty. In the context of the present economic crisis, it would be difficult for us to keep the pace without outside assistance. The U.S. Congress has made a decision to support Russia in the destruction of these nuclear warheads.</w:t>
      </w:r>
    </w:p>
    <w:p w:rsidR="00A31137" w:rsidRPr="00A31137" w:rsidRDefault="00A31137" w:rsidP="00A31137">
      <w:r w:rsidRPr="00A31137">
        <w:t>Public Papers of Bush, 1992, p.2223</w:t>
      </w:r>
    </w:p>
    <w:p w:rsidR="00A31137" w:rsidRPr="00A31137" w:rsidRDefault="00A31137" w:rsidP="00A31137">
      <w:r w:rsidRPr="00A31137">
        <w:t>Its moral factor will manifest itself in the fact that the treaty gives all mankind the hope for a nuclear-weapons-free world. The high moral value of the treaty is that we will be able to hand over to our children, the children of the 21st century, a more secure world. I would call this treaty a treaty of hope.</w:t>
      </w:r>
    </w:p>
    <w:p w:rsidR="00A31137" w:rsidRPr="00A31137" w:rsidRDefault="00A31137" w:rsidP="00A31137">
      <w:r w:rsidRPr="00A31137">
        <w:t>Public Papers of Bush, 1992, p.2223–p.2224</w:t>
      </w:r>
    </w:p>
    <w:p w:rsidR="00A31137" w:rsidRPr="00A31137" w:rsidRDefault="00A31137" w:rsidP="00A31137">
      <w:r w:rsidRPr="00A31137">
        <w:t>As to the purely diplomatic aspect of this START II treaty that has just been signed, it will undoubtedly go down into the history [p.2224] of diplomacy as an example of using the potential of the partners who are waiting to overcome the heritage of animosity anti confrontation. As you may recall, it took 15 years to prepare the first START Treaty. The elaboration of START II, which is of considerably great magnitude, took several months. But there was absolutely no rush in the process. Naturally this reflects, above all, the high level of confidence and mutual understanding achieved between the United States and Russia, between the Presidents of the two countries. It gives great impetus to the world diplomacy as well.</w:t>
      </w:r>
    </w:p>
    <w:p w:rsidR="00A31137" w:rsidRPr="00A31137" w:rsidRDefault="00A31137" w:rsidP="00A31137">
      <w:r w:rsidRPr="00A31137">
        <w:t>Public Papers of Bush, 1992, p.2224</w:t>
      </w:r>
    </w:p>
    <w:p w:rsidR="00A31137" w:rsidRPr="00A31137" w:rsidRDefault="00A31137" w:rsidP="00A31137">
      <w:r w:rsidRPr="00A31137">
        <w:t>Today, I would like to express the hope that the diplomatic services of the United States and Russia, diplomats of European countries, will double or even triple their efforts in order to settle conflicts that are of concern to the world.</w:t>
      </w:r>
    </w:p>
    <w:p w:rsidR="00A31137" w:rsidRPr="00A31137" w:rsidRDefault="00A31137" w:rsidP="00A31137">
      <w:r w:rsidRPr="00A31137">
        <w:t>Public Papers of Bush, 1992, p.2224</w:t>
      </w:r>
    </w:p>
    <w:p w:rsidR="00A31137" w:rsidRPr="00A31137" w:rsidRDefault="00A31137" w:rsidP="00A31137">
      <w:r w:rsidRPr="00A31137">
        <w:t>I would like to focus on another important aspect, the personal stand of President George Bush, who is our guest, being on a working visit with us. I would like to pay tribute to my colleague and friend, George. His remarkable personal and political qualities and competence have contributed to a successful transition from the cold war to a new world order. I am grateful to him for all he has done to establish new relations between Russia and the United States, for his solidarity and support during the push for the FREEDOM Support Act, for the START II treaty. Thank you, George.</w:t>
      </w:r>
    </w:p>
    <w:p w:rsidR="00A31137" w:rsidRPr="00A31137" w:rsidRDefault="00A31137" w:rsidP="00A31137">
      <w:r w:rsidRPr="00A31137">
        <w:t>Public Papers of Bush, 1992, p.2224</w:t>
      </w:r>
    </w:p>
    <w:p w:rsidR="00A31137" w:rsidRPr="00A31137" w:rsidRDefault="00A31137" w:rsidP="00A31137">
      <w:r w:rsidRPr="00A31137">
        <w:t>I consider it of fundamental importance that the future President of the United States, Mr. Clinton, fully supported the conclusion of the START II treaty. We can without delay proceed to the direct implementation of this instrument and consider further steps to strengthen global stability, the system of global protection, and international security.</w:t>
      </w:r>
    </w:p>
    <w:p w:rsidR="00A31137" w:rsidRPr="00A31137" w:rsidRDefault="00A31137" w:rsidP="00A31137">
      <w:r w:rsidRPr="00A31137">
        <w:t>Public Papers of Bush, 1992, p.2224</w:t>
      </w:r>
    </w:p>
    <w:p w:rsidR="00A31137" w:rsidRPr="00A31137" w:rsidRDefault="00A31137" w:rsidP="00A31137">
      <w:r w:rsidRPr="00A31137">
        <w:t>President Bush and I have maintained regular contacts with President-elect Clinton. Today's signing ceremony would not have taken place had there been the slightest reason to doubt his solidarity with our endeavors.</w:t>
      </w:r>
    </w:p>
    <w:p w:rsidR="00A31137" w:rsidRPr="00A31137" w:rsidRDefault="00A31137" w:rsidP="00A31137">
      <w:r w:rsidRPr="00A31137">
        <w:t>Public Papers of Bush, 1992, p.2224</w:t>
      </w:r>
    </w:p>
    <w:p w:rsidR="00A31137" w:rsidRPr="00A31137" w:rsidRDefault="00A31137" w:rsidP="00A31137">
      <w:r w:rsidRPr="00A31137">
        <w:t>I would like to personally thank the most active participants in this process and above all the President of the United States, who personally took part in the elaboration and polishing of the text of the treaty. And I would say we spoke often. And it was a rare week that we did not speak on the phone in the last few weeks.</w:t>
      </w:r>
    </w:p>
    <w:p w:rsidR="00A31137" w:rsidRPr="00A31137" w:rsidRDefault="00A31137" w:rsidP="00A31137">
      <w:r w:rsidRPr="00A31137">
        <w:t>Public Papers of Bush, 1992, p.2224</w:t>
      </w:r>
    </w:p>
    <w:p w:rsidR="00A31137" w:rsidRPr="00A31137" w:rsidRDefault="00A31137" w:rsidP="00A31137">
      <w:r w:rsidRPr="00A31137">
        <w:t>I am also grateful personally to Mr. Scowcroft, who took an active participation in the consideration of this subject, and to Jimmy Baker, of course, who treated globally the entire subject of the treaty and was mainly responsible for this breakthrough. And finally, I am grateful to Mr. Eagleburger, who on the finishing line darted with boldness and practically initialed the draft treaty there.</w:t>
      </w:r>
    </w:p>
    <w:p w:rsidR="00A31137" w:rsidRPr="00A31137" w:rsidRDefault="00A31137" w:rsidP="00A31137">
      <w:r w:rsidRPr="00A31137">
        <w:t>Public Papers of Bush, 1992, p.2224</w:t>
      </w:r>
    </w:p>
    <w:p w:rsidR="00A31137" w:rsidRPr="00A31137" w:rsidRDefault="00A31137" w:rsidP="00A31137">
      <w:r w:rsidRPr="00A31137">
        <w:t>I'm thankful also to the experts, to analysts and consultants, and also to the leaders of our delegation, to Mr. Kozyrev and Grachev and the other 48 experts who work very hard for us to come today to the signing of this treaty, the SALT II 1 treaty.</w:t>
      </w:r>
    </w:p>
    <w:p w:rsidR="00A31137" w:rsidRPr="00A31137" w:rsidRDefault="00A31137" w:rsidP="00A31137">
      <w:r w:rsidRPr="00A31137">
        <w:t>1 START II (White House correction).</w:t>
      </w:r>
    </w:p>
    <w:p w:rsidR="00A31137" w:rsidRPr="00A31137" w:rsidRDefault="00A31137" w:rsidP="00A31137">
      <w:r w:rsidRPr="00A31137">
        <w:t>Public Papers of Bush, 1992, p.2224</w:t>
      </w:r>
    </w:p>
    <w:p w:rsidR="00A31137" w:rsidRPr="00A31137" w:rsidRDefault="00A31137" w:rsidP="00A31137">
      <w:r w:rsidRPr="00A31137">
        <w:t>I'm also grateful to all the journalists, press people, who kept their hand constantly on the pulse of this subject and who did not manage to criticize the treaty before it was signed.</w:t>
      </w:r>
    </w:p>
    <w:p w:rsidR="00A31137" w:rsidRPr="00A31137" w:rsidRDefault="00A31137" w:rsidP="00A31137">
      <w:r w:rsidRPr="00A31137">
        <w:t>Public Papers of Bush, 1992, p.2224</w:t>
      </w:r>
    </w:p>
    <w:p w:rsidR="00A31137" w:rsidRPr="00A31137" w:rsidRDefault="00A31137" w:rsidP="00A31137">
      <w:r w:rsidRPr="00A31137">
        <w:t>I do believe that there is no reasonable alternative to the policy of friendly partnership between Russia and the United States. Strategic partnership relations serve the fundamental national interests of the two countries and of the international community as a whole. I am deeply confident that the signing of the START II treaty opens new, promising prospects for the peoples of our countries. I'm certain that this day will be a milestone in this process.</w:t>
      </w:r>
    </w:p>
    <w:p w:rsidR="00A31137" w:rsidRPr="00A31137" w:rsidRDefault="00A31137" w:rsidP="00A31137">
      <w:r w:rsidRPr="00A31137">
        <w:t>Thank you.</w:t>
      </w:r>
    </w:p>
    <w:p w:rsidR="00A31137" w:rsidRPr="00A31137" w:rsidRDefault="00A31137" w:rsidP="00A31137">
      <w:r w:rsidRPr="00A31137">
        <w:t>Public Papers of Bush, 1992, p.2224</w:t>
      </w:r>
    </w:p>
    <w:p w:rsidR="00A31137" w:rsidRPr="00A31137" w:rsidRDefault="00A31137" w:rsidP="00A31137">
      <w:r w:rsidRPr="00A31137">
        <w:t>Mr. Kostikov. I thank you. And now I pass the floor to the President of the United States, George Bush.</w:t>
      </w:r>
    </w:p>
    <w:p w:rsidR="00A31137" w:rsidRPr="00A31137" w:rsidRDefault="00A31137" w:rsidP="00A31137">
      <w:r w:rsidRPr="00A31137">
        <w:t>Public Papers of Bush, 1992, p.2224</w:t>
      </w:r>
    </w:p>
    <w:p w:rsidR="00A31137" w:rsidRPr="00A31137" w:rsidRDefault="00A31137" w:rsidP="00A31137">
      <w:r w:rsidRPr="00A31137">
        <w:t>President Bush. Mr. President and Mr. Vice President, Mr. Prime Minister, Minister of Justice, Minister of Defense, Minister of Foreign Affairs, representatives of the Russian and American delegations, and distinguished guests:</w:t>
      </w:r>
    </w:p>
    <w:p w:rsidR="00A31137" w:rsidRPr="00A31137" w:rsidRDefault="00A31137" w:rsidP="00A31137">
      <w:r w:rsidRPr="00A31137">
        <w:t>Public Papers of Bush, 1992, p.2224–p.2225</w:t>
      </w:r>
    </w:p>
    <w:p w:rsidR="00A31137" w:rsidRPr="00A31137" w:rsidRDefault="00A31137" w:rsidP="00A31137">
      <w:r w:rsidRPr="00A31137">
        <w:t>We meet at the beginning of a new year, at a moment that is also a new era for our two nations and for the world. For half of this century, the Soviet Union and the United States stood locked in a nuclear  [p.2225] standoff. For our two nations and for the world, cold war, hot words, and the constant threat of war seemed imminent, indeed, at times inevitable. The time that we might meet as friends and the time that we might meet ill freedom seemed distant, indeed a dream.</w:t>
      </w:r>
    </w:p>
    <w:p w:rsidR="00A31137" w:rsidRPr="00A31137" w:rsidRDefault="00A31137" w:rsidP="00A31137">
      <w:r w:rsidRPr="00A31137">
        <w:t>Public Papers of Bush, 1992, p.2225</w:t>
      </w:r>
    </w:p>
    <w:p w:rsidR="00A31137" w:rsidRPr="00A31137" w:rsidRDefault="00A31137" w:rsidP="00A31137">
      <w:r w:rsidRPr="00A31137">
        <w:t>Today, the cold war is over, and for the first time in history an American President has set foot in a democratic Russia. And together we're now embarked on what must be the noblest mission of all: to turn an adversarial relationship into one of friendship and partnership.</w:t>
      </w:r>
    </w:p>
    <w:p w:rsidR="00A31137" w:rsidRPr="00A31137" w:rsidRDefault="00A31137" w:rsidP="00A31137">
      <w:r w:rsidRPr="00A31137">
        <w:t>Public Papers of Bush, 1992, p.2225</w:t>
      </w:r>
    </w:p>
    <w:p w:rsidR="00A31137" w:rsidRPr="00A31137" w:rsidRDefault="00A31137" w:rsidP="00A31137">
      <w:r w:rsidRPr="00A31137">
        <w:t>We stand together today in this great city at the threshold of a new world of hope, a widening circle of freedom for us and for our children. This historic opportunity would simply not have been possible without our combined common effort.</w:t>
      </w:r>
    </w:p>
    <w:p w:rsidR="00A31137" w:rsidRPr="00A31137" w:rsidRDefault="00A31137" w:rsidP="00A31137">
      <w:r w:rsidRPr="00A31137">
        <w:t>Public Papers of Bush, 1992, p.2225</w:t>
      </w:r>
    </w:p>
    <w:p w:rsidR="00A31137" w:rsidRPr="00A31137" w:rsidRDefault="00A31137" w:rsidP="00A31137">
      <w:r w:rsidRPr="00A31137">
        <w:t>Mr. President, I salute you for your unwavering commitment to democratic reform and for the history you've written since the heroic day in August '91 when you climbed atop that tank to defend Russia's democratic destiny. And I also want to salute the heroism of the Russian people themselves, for it is they who will determine that Russia's democratic course' is irreversible.</w:t>
      </w:r>
    </w:p>
    <w:p w:rsidR="00A31137" w:rsidRPr="00A31137" w:rsidRDefault="00A31137" w:rsidP="00A31137">
      <w:r w:rsidRPr="00A31137">
        <w:t>Public Papers of Bush, 1992, p.2225</w:t>
      </w:r>
    </w:p>
    <w:p w:rsidR="00A31137" w:rsidRPr="00A31137" w:rsidRDefault="00A31137" w:rsidP="00A31137">
      <w:r w:rsidRPr="00A31137">
        <w:t>Today, as we meet on Russian soil, home to 1,000 years of heritage and history, to a people rich in scientific and creative talent, I want to assure the Russian people on behalf of all Americans, we understand that Russia faces a difficult passage. We are with you in your struggle to strengthen and secure democratic rights, to reform your economy, to bring to every Russian city and village a new sense of hope and the prospect of a future forever free.</w:t>
      </w:r>
    </w:p>
    <w:p w:rsidR="00A31137" w:rsidRPr="00A31137" w:rsidRDefault="00A31137" w:rsidP="00A31137">
      <w:r w:rsidRPr="00A31137">
        <w:t>Public Papers of Bush, 1992, p.2225</w:t>
      </w:r>
    </w:p>
    <w:p w:rsidR="00A31137" w:rsidRPr="00A31137" w:rsidRDefault="00A31137" w:rsidP="00A31137">
      <w:r w:rsidRPr="00A31137">
        <w:t>Let me say clearly, we seek no special advantage from Russia's transformation. Yes, deep arms reductions, broader and deeper economic ties, expanded trade with Russia, all are in the interest of my country. But they're equally in the interest of the Russian people. Our future is one of mutual advantage.</w:t>
      </w:r>
    </w:p>
    <w:p w:rsidR="00A31137" w:rsidRPr="00A31137" w:rsidRDefault="00A31137" w:rsidP="00A31137">
      <w:r w:rsidRPr="00A31137">
        <w:t>Public Papers of Bush, 1992, p.2225</w:t>
      </w:r>
    </w:p>
    <w:p w:rsidR="00A31137" w:rsidRPr="00A31137" w:rsidRDefault="00A31137" w:rsidP="00A31137">
      <w:r w:rsidRPr="00A31137">
        <w:t>We seek a new relationship of trust between our military forces. They once confronted each other across Europe's great divide, and let them now come together in the cause of peace. We seek full cooperation to employ our collective capabilities to help resolve crises around the world. We seek a new cooperation between the U.S. and Russia and among all states to prevent the spread of nuclear weapons and other weapons of mass destruction.</w:t>
      </w:r>
    </w:p>
    <w:p w:rsidR="00A31137" w:rsidRPr="00A31137" w:rsidRDefault="00A31137" w:rsidP="00A31137">
      <w:r w:rsidRPr="00A31137">
        <w:t>Public Papers of Bush, 1992, p.2225</w:t>
      </w:r>
    </w:p>
    <w:p w:rsidR="00A31137" w:rsidRPr="00A31137" w:rsidRDefault="00A31137" w:rsidP="00A31137">
      <w:r w:rsidRPr="00A31137">
        <w:t>The world looks to us to consign the cold war to history, to ratify our new relationship by reducing the weapons that concentrate the most destructive power known to man. The treaty we signed today builds on the strong beginning we made with START I, and, together, these treaties will reduce by more than two-thirds the strategic arsenals in place today. And just as important, START II will bring much better stability to remaining forces.</w:t>
      </w:r>
    </w:p>
    <w:p w:rsidR="00A31137" w:rsidRPr="00A31137" w:rsidRDefault="00A31137" w:rsidP="00A31137">
      <w:r w:rsidRPr="00A31137">
        <w:t>Public Papers of Bush, 1992, p.2225</w:t>
      </w:r>
    </w:p>
    <w:p w:rsidR="00A31137" w:rsidRPr="00A31137" w:rsidRDefault="00A31137" w:rsidP="00A31137">
      <w:r w:rsidRPr="00A31137">
        <w:t>This agreement represents a common effort to overcome the contentious differences and complexities that surround nuclear weapons. In the face of many who doubted Russia and America's intentions and our energy, it vindicates our insistence that arms control must do more than simply freeze the arms race in place.</w:t>
      </w:r>
    </w:p>
    <w:p w:rsidR="00A31137" w:rsidRPr="00A31137" w:rsidRDefault="00A31137" w:rsidP="00A31137">
      <w:r w:rsidRPr="00A31137">
        <w:t>Public Papers of Bush, 1992, p.2225</w:t>
      </w:r>
    </w:p>
    <w:p w:rsidR="00A31137" w:rsidRPr="00A31137" w:rsidRDefault="00A31137" w:rsidP="00A31137">
      <w:r w:rsidRPr="00A31137">
        <w:t>The START Treaty, START I, reduced a quarter century of growth in our nuclear arsenals anti reversed the course that caused many to fear that nuclear conflagration was inevitable. The treaty that we signed today goes much further in a way that few believed possible just one year ago.</w:t>
      </w:r>
    </w:p>
    <w:p w:rsidR="00A31137" w:rsidRPr="00A31137" w:rsidRDefault="00A31137" w:rsidP="00A31137">
      <w:r w:rsidRPr="00A31137">
        <w:t>Public Papers of Bush, 1992, p.2225</w:t>
      </w:r>
    </w:p>
    <w:p w:rsidR="00A31137" w:rsidRPr="00A31137" w:rsidRDefault="00A31137" w:rsidP="00A31137">
      <w:r w:rsidRPr="00A31137">
        <w:t>May I congratulate Messrs. Kozyrev and Grachev and Eagleburger for their outstanding work to bring this treaty to fruition. And I also want to congratulate former Secretary of State Jim Baker for his important work on the treaty during the spring and summer.</w:t>
      </w:r>
    </w:p>
    <w:p w:rsidR="00A31137" w:rsidRPr="00A31137" w:rsidRDefault="00A31137" w:rsidP="00A31137">
      <w:r w:rsidRPr="00A31137">
        <w:t>Public Papers of Bush, 1992, p.2225</w:t>
      </w:r>
    </w:p>
    <w:p w:rsidR="00A31137" w:rsidRPr="00A31137" w:rsidRDefault="00A31137" w:rsidP="00A31137">
      <w:r w:rsidRPr="00A31137">
        <w:t>In closing, let me tell you what this treaty means, not for Presidents or Premiers, not for historians or heads of state but for parents and for their children: It means a future far more free from fear.</w:t>
      </w:r>
    </w:p>
    <w:p w:rsidR="00A31137" w:rsidRPr="00A31137" w:rsidRDefault="00A31137" w:rsidP="00A31137">
      <w:r w:rsidRPr="00A31137">
        <w:t>Public Papers of Bush, 1992, p.2225</w:t>
      </w:r>
    </w:p>
    <w:p w:rsidR="00A31137" w:rsidRPr="00A31137" w:rsidRDefault="00A31137" w:rsidP="00A31137">
      <w:r w:rsidRPr="00A31137">
        <w:t>So, as we sign today this treaty, let us pledge also to move forward together throughout this decade and into the next century toward common aims: for Russia, a democratic peace; for our two nations, a strong partnership between our people and the lasting friendship that springs from a common love of freedom.</w:t>
      </w:r>
    </w:p>
    <w:p w:rsidR="00A31137" w:rsidRPr="00A31137" w:rsidRDefault="00A31137" w:rsidP="00A31137">
      <w:r w:rsidRPr="00A31137">
        <w:t>Public Papers of Bush, 1992, p.2225–p.2226</w:t>
      </w:r>
    </w:p>
    <w:p w:rsidR="00A31137" w:rsidRPr="00A31137" w:rsidRDefault="00A31137" w:rsidP="00A31137">
      <w:r w:rsidRPr="00A31137">
        <w:t>And Mr. President, may I wish you and [p.2226] the Russian people at this critical moment in history a new year rich with hope and peace.</w:t>
      </w:r>
    </w:p>
    <w:p w:rsidR="00A31137" w:rsidRPr="00A31137" w:rsidRDefault="00A31137" w:rsidP="00A31137">
      <w:r w:rsidRPr="00A31137">
        <w:t>Bosnia</w:t>
      </w:r>
    </w:p>
    <w:p w:rsidR="00A31137" w:rsidRPr="00A31137" w:rsidRDefault="00A31137" w:rsidP="00A31137">
      <w:r w:rsidRPr="00A31137">
        <w:t>Public Papers of Bush, 1992, p.2226</w:t>
      </w:r>
    </w:p>
    <w:p w:rsidR="00A31137" w:rsidRPr="00A31137" w:rsidRDefault="00A31137" w:rsidP="00A31137">
      <w:r w:rsidRPr="00A31137">
        <w:t>Q. Mr. President, both of you, each of you spoke about moving on to other areas of concern as a result of having achieved this kind of a treaty. Can you give us in some detail what your discussions were with regard to the situation in Bosnia, what you see achievable there and what differences separate you?</w:t>
      </w:r>
    </w:p>
    <w:p w:rsidR="00A31137" w:rsidRPr="00A31137" w:rsidRDefault="00A31137" w:rsidP="00A31137">
      <w:r w:rsidRPr="00A31137">
        <w:t>Public Papers of Bush, 1992, p.2226</w:t>
      </w:r>
    </w:p>
    <w:p w:rsidR="00A31137" w:rsidRPr="00A31137" w:rsidRDefault="00A31137" w:rsidP="00A31137">
      <w:r w:rsidRPr="00A31137">
        <w:t>President Bush. Well, we discussed that question in some detail. Our prime common objective is to see the suffering stop and see the" fighting stop. I can't go into—I certainly wouldn't want to quantify what differences we may have, but I came away with the feeling that we were very close together, these two countries, in wanting to see peace restored to that area.</w:t>
      </w:r>
    </w:p>
    <w:p w:rsidR="00A31137" w:rsidRPr="00A31137" w:rsidRDefault="00A31137" w:rsidP="00A31137">
      <w:r w:rsidRPr="00A31137">
        <w:t>Public Papers of Bush, 1992, p.2226</w:t>
      </w:r>
    </w:p>
    <w:p w:rsidR="00A31137" w:rsidRPr="00A31137" w:rsidRDefault="00A31137" w:rsidP="00A31137">
      <w:r w:rsidRPr="00A31137">
        <w:t>President Yeltsin. I would like to continue the answer of President Bush, because the question was raised to both Presidents. We discussed a very wide range of issues, ired I would say we have cleaned up all of the problems remaining after the conclusion of this important agreement, and the conclusion of this important period which is crowned with an historic event ired the visit by President Bush to our country.</w:t>
      </w:r>
    </w:p>
    <w:p w:rsidR="00A31137" w:rsidRPr="00A31137" w:rsidRDefault="00A31137" w:rsidP="00A31137">
      <w:r w:rsidRPr="00A31137">
        <w:t>Public Papers of Bush, 1992, p.2226</w:t>
      </w:r>
    </w:p>
    <w:p w:rsidR="00A31137" w:rsidRPr="00A31137" w:rsidRDefault="00A31137" w:rsidP="00A31137">
      <w:r w:rsidRPr="00A31137">
        <w:t>We also considered the course of the reforms in Russia and the problems related to the new government, whether it will continue along the road of reforms. And I assured the President that this is not a new government, and it is the old composition government. And the chairman of the government himself will go on the same road of reforms.</w:t>
      </w:r>
    </w:p>
    <w:p w:rsidR="00A31137" w:rsidRPr="00A31137" w:rsidRDefault="00A31137" w:rsidP="00A31137">
      <w:r w:rsidRPr="00A31137">
        <w:t>Public Papers of Bush, 1992, p.2226</w:t>
      </w:r>
    </w:p>
    <w:p w:rsidR="00A31137" w:rsidRPr="00A31137" w:rsidRDefault="00A31137" w:rsidP="00A31137">
      <w:r w:rsidRPr="00A31137">
        <w:t>We have also considered the problems of bilateral relations and the foreign debt of the former Soviet Union, the grain supplies, international conflicts, including the conflict in the former Yugoslavia, and our positions are close. We previously supported the United States in adopting the U.N. resolution on the subject, and we shall continue this line and try at the same time to continue the line for establishing peace among all parties and to be more active in this area than we have been heretofore.</w:t>
      </w:r>
    </w:p>
    <w:p w:rsidR="00A31137" w:rsidRPr="00A31137" w:rsidRDefault="00A31137" w:rsidP="00A31137">
      <w:r w:rsidRPr="00A31137">
        <w:t>Public Papers of Bush, 1992, p.2226</w:t>
      </w:r>
    </w:p>
    <w:p w:rsidR="00A31137" w:rsidRPr="00A31137" w:rsidRDefault="00A31137" w:rsidP="00A31137">
      <w:r w:rsidRPr="00A31137">
        <w:t>We have also discussed military issues, including the issue of whether the SALT II Treaty is harmful to anyone or at anyone's disadvantage. Then we came to the conclusion that it does not harm either side and does not harm any third party. It is only to the advantage of everyone. Thus, our negotiations were businesslike, respectful, and open, its always.</w:t>
      </w:r>
    </w:p>
    <w:p w:rsidR="00A31137" w:rsidRPr="00A31137" w:rsidRDefault="00A31137" w:rsidP="00A31137">
      <w:r w:rsidRPr="00A31137">
        <w:t>START II Ratification</w:t>
      </w:r>
    </w:p>
    <w:p w:rsidR="00A31137" w:rsidRPr="00A31137" w:rsidRDefault="00A31137" w:rsidP="00A31137">
      <w:r w:rsidRPr="00A31137">
        <w:t>Public Papers of Bush, 1992, p.2226</w:t>
      </w:r>
    </w:p>
    <w:p w:rsidR="00A31137" w:rsidRPr="00A31137" w:rsidRDefault="00A31137" w:rsidP="00A31137">
      <w:r w:rsidRPr="00A31137">
        <w:t>Q. Boris Nikolayevich, you have just signed the START II treaty, and you will have to ratify it into Parliament. If in the past there were difficulties mainly in the U.S. Congress, now you may face certain difficulties on the part of certain delegates or a number of Russian deputies. So, what are in your view the prospects for the ratification of the treaty?</w:t>
      </w:r>
    </w:p>
    <w:p w:rsidR="00A31137" w:rsidRPr="00A31137" w:rsidRDefault="00A31137" w:rsidP="00A31137">
      <w:r w:rsidRPr="00A31137">
        <w:t>Public Papers of Bush, 1992, p.2226</w:t>
      </w:r>
    </w:p>
    <w:p w:rsidR="00A31137" w:rsidRPr="00A31137" w:rsidRDefault="00A31137" w:rsidP="00A31137">
      <w:r w:rsidRPr="00A31137">
        <w:t>President Yeltsin. I am not going to conceal from you that a certain part of the deputies is against the treaty. And they are against anything positive that should take place in Russia. So, complete negation is their position. You could consider what they are, because they support Iraq and its aggression. So you understand who they represent. And finally, I would say that fortunately they do not represent the majority of the Supreme Soviet, as most of the Supreme Soviet deputies believe in reason, and of course, they believe in the significance of this treaty.</w:t>
      </w:r>
    </w:p>
    <w:p w:rsidR="00A31137" w:rsidRPr="00A31137" w:rsidRDefault="00A31137" w:rsidP="00A31137">
      <w:r w:rsidRPr="00A31137">
        <w:t>Public Papers of Bush, 1992, p.2226</w:t>
      </w:r>
    </w:p>
    <w:p w:rsidR="00A31137" w:rsidRPr="00A31137" w:rsidRDefault="00A31137" w:rsidP="00A31137">
      <w:r w:rsidRPr="00A31137">
        <w:t>Many delegates, deputies, were in Geneva themselves. They took part in the negotiations. And the chairman of the Foreign Relations Committee has always been here with us. So if there are any difficulties with the ratification of this START II treaty, still I am certain that the Supreme Soviet will ratify it.</w:t>
      </w:r>
    </w:p>
    <w:p w:rsidR="00A31137" w:rsidRPr="00A31137" w:rsidRDefault="00A31137" w:rsidP="00A31137">
      <w:r w:rsidRPr="00A31137">
        <w:t>President-Elect Clinton</w:t>
      </w:r>
    </w:p>
    <w:p w:rsidR="00A31137" w:rsidRPr="00A31137" w:rsidRDefault="00A31137" w:rsidP="00A31137">
      <w:r w:rsidRPr="00A31137">
        <w:t>Public Papers of Bush, 1992, p.2226</w:t>
      </w:r>
    </w:p>
    <w:p w:rsidR="00A31137" w:rsidRPr="00A31137" w:rsidRDefault="00A31137" w:rsidP="00A31137">
      <w:r w:rsidRPr="00A31137">
        <w:t>Q. Mr. President, how confident are you that the treaty that you're now going to be turning over to a new administration will be—that it will be ratified by the Senate? And Mr. Yeltsin, I'd like to know your thoughts on how awkward is it for you to find yourself suddenly having to deal with a new President in Washington?</w:t>
      </w:r>
    </w:p>
    <w:p w:rsidR="00A31137" w:rsidRPr="00A31137" w:rsidRDefault="00A31137" w:rsidP="00A31137">
      <w:r w:rsidRPr="00A31137">
        <w:t>Public Papers of Bush, 1992, p.2226–p.2227</w:t>
      </w:r>
    </w:p>
    <w:p w:rsidR="00A31137" w:rsidRPr="00A31137" w:rsidRDefault="00A31137" w:rsidP="00A31137">
      <w:r w:rsidRPr="00A31137">
        <w:t>President Bush. Clearly, I'm not in a position to commit President-elect Clinton, but [p.2227] I can confidently predict that this treaty will be quickly ratified by the Congress.</w:t>
      </w:r>
    </w:p>
    <w:p w:rsidR="00A31137" w:rsidRPr="00A31137" w:rsidRDefault="00A31137" w:rsidP="00A31137">
      <w:r w:rsidRPr="00A31137">
        <w:t>Public Papers of Bush, 1992, p.2227</w:t>
      </w:r>
    </w:p>
    <w:p w:rsidR="00A31137" w:rsidRPr="00A31137" w:rsidRDefault="00A31137" w:rsidP="00A31137">
      <w:r w:rsidRPr="00A31137">
        <w:t>Butting in on the second part of your question, I've talked to President-elect Clinton enough to know that he is most interested in keeping this U.S.-Russia relationship on the high plane at which it stands right now. Anti I've told President Yeltsin that I think he will enjoy working with Governor Clinton and that I know that Governor Clinton is committed to the general theory of these arms reductions that START II takes on.</w:t>
      </w:r>
    </w:p>
    <w:p w:rsidR="00A31137" w:rsidRPr="00A31137" w:rsidRDefault="00A31137" w:rsidP="00A31137">
      <w:r w:rsidRPr="00A31137">
        <w:t>Public Papers of Bush, 1992, p.2227</w:t>
      </w:r>
    </w:p>
    <w:p w:rsidR="00A31137" w:rsidRPr="00A31137" w:rsidRDefault="00A31137" w:rsidP="00A31137">
      <w:r w:rsidRPr="00A31137">
        <w:t>President Yeltsin. I met with President-elect Clinton when I was on my official state visit to the United States and when Mr. Clinton at that time was a Presidential candidate. We discussed in our meetings different things. The discussions were normal, interesting, and he voiced his support for Russia, for the democratic reforms in Russia, and for our movement along the democratic road.</w:t>
      </w:r>
    </w:p>
    <w:p w:rsidR="00A31137" w:rsidRPr="00A31137" w:rsidRDefault="00A31137" w:rsidP="00A31137">
      <w:r w:rsidRPr="00A31137">
        <w:t>Public Papers of Bush, 1992, p.2227</w:t>
      </w:r>
    </w:p>
    <w:p w:rsidR="00A31137" w:rsidRPr="00A31137" w:rsidRDefault="00A31137" w:rsidP="00A31137">
      <w:r w:rsidRPr="00A31137">
        <w:t>Two days ago I sent him a letter where l proposed that there should be no lull in our relations with the new administration, because any lull in bilateral relations between the superpowers would give cause for concern.</w:t>
      </w:r>
    </w:p>
    <w:p w:rsidR="00A31137" w:rsidRPr="00A31137" w:rsidRDefault="00A31137" w:rsidP="00A31137">
      <w:r w:rsidRPr="00A31137">
        <w:t>Public Papers of Bush, 1992, p.2227</w:t>
      </w:r>
    </w:p>
    <w:p w:rsidR="00A31137" w:rsidRPr="00A31137" w:rsidRDefault="00A31137" w:rsidP="00A31137">
      <w:r w:rsidRPr="00A31137">
        <w:t>I suggested on the phone to President Bush that after the 20th of January, we-that is, myself and President-elect Clinton-should meet somewhere in a neutral place for a working meeting to consider different international problems and bilateral relations. And I hope that he will take over the baton that was given to him with such grace by President Bush.</w:t>
      </w:r>
    </w:p>
    <w:p w:rsidR="00A31137" w:rsidRPr="00A31137" w:rsidRDefault="00A31137" w:rsidP="00A31137">
      <w:r w:rsidRPr="00A31137">
        <w:t>Russian Nuclear Shield</w:t>
      </w:r>
    </w:p>
    <w:p w:rsidR="00A31137" w:rsidRPr="00A31137" w:rsidRDefault="00A31137" w:rsidP="00A31137">
      <w:r w:rsidRPr="00A31137">
        <w:t>Public Papers of Bush, 1992, p.2227</w:t>
      </w:r>
    </w:p>
    <w:p w:rsidR="00A31137" w:rsidRPr="00A31137" w:rsidRDefault="00A31137" w:rsidP="00A31137">
      <w:r w:rsidRPr="00A31137">
        <w:t>Q. This is the question to, mainly, the Russian President. I ask you, Boris Nikolayevich, to expand a little bit on that part of your statement where you say that the signing of the treaty will not be harmful to the strategic and military balance existing between the United States and Russia, as certain of our conservatives assert, and that the nuclear shield of Russia will not be weakened. This is a question to you not only to the President of the country but also as to the commander in chief.</w:t>
      </w:r>
    </w:p>
    <w:p w:rsidR="00A31137" w:rsidRPr="00A31137" w:rsidRDefault="00A31137" w:rsidP="00A31137">
      <w:r w:rsidRPr="00A31137">
        <w:t>Public Papers of Bush, 1992, p.2227</w:t>
      </w:r>
    </w:p>
    <w:p w:rsidR="00A31137" w:rsidRPr="00A31137" w:rsidRDefault="00A31137" w:rsidP="00A31137">
      <w:r w:rsidRPr="00A31137">
        <w:t>President Yeltsin. Shall I give you the numbers? As of January 1st, we have 9,915 strategic nuclear warheads. According to the new START II treaty, there will he 3,000, 3,500 warheads left, 3,000 to 3,500 warheads. This number is not possessed by any other single state, only by the United States and Russia. I express—not a single other state, including nuclear powers like China, Great Britain, and France. This is a powerful shield which is capable of defending Russia in case of an unexpected aggression from any site.</w:t>
      </w:r>
    </w:p>
    <w:p w:rsidR="00A31137" w:rsidRPr="00A31137" w:rsidRDefault="00A31137" w:rsidP="00A31137">
      <w:r w:rsidRPr="00A31137">
        <w:t>Public Papers of Bush, 1992, p.2227</w:t>
      </w:r>
    </w:p>
    <w:p w:rsidR="00A31137" w:rsidRPr="00A31137" w:rsidRDefault="00A31137" w:rsidP="00A31137">
      <w:r w:rsidRPr="00A31137">
        <w:t>President Bush. May I simply add that we do not view this as a one-sided treaty at all. We view it as balanced, anti I think that history will record it as such.</w:t>
      </w:r>
    </w:p>
    <w:p w:rsidR="00A31137" w:rsidRPr="00A31137" w:rsidRDefault="00A31137" w:rsidP="00A31137">
      <w:r w:rsidRPr="00A31137">
        <w:t>Public Papers of Bush, 1992, p.2227</w:t>
      </w:r>
    </w:p>
    <w:p w:rsidR="00A31137" w:rsidRPr="00A31137" w:rsidRDefault="00A31137" w:rsidP="00A31137">
      <w:r w:rsidRPr="00A31137">
        <w:t>Mr. Fitzwater. Let's have a final question from Ann Compton [ABC News].</w:t>
      </w:r>
    </w:p>
    <w:p w:rsidR="00A31137" w:rsidRPr="00A31137" w:rsidRDefault="00A31137" w:rsidP="00A31137">
      <w:r w:rsidRPr="00A31137">
        <w:t>U.S. Assistance to Russia</w:t>
      </w:r>
    </w:p>
    <w:p w:rsidR="00A31137" w:rsidRPr="00A31137" w:rsidRDefault="00A31137" w:rsidP="00A31137">
      <w:r w:rsidRPr="00A31137">
        <w:t>Public Papers of Bush, 1992, p.2227</w:t>
      </w:r>
    </w:p>
    <w:p w:rsidR="00A31137" w:rsidRPr="00A31137" w:rsidRDefault="00A31137" w:rsidP="00A31137">
      <w:r w:rsidRPr="00A31137">
        <w:t>Q. President Bush, do you think that the START II—START I and II can be ratified and implemented if the United States doesn't come forward with or even increase the amount of aid that some of the other countries need to actually dismantle the weapons they've got?</w:t>
      </w:r>
    </w:p>
    <w:p w:rsidR="00A31137" w:rsidRPr="00A31137" w:rsidRDefault="00A31137" w:rsidP="00A31137">
      <w:r w:rsidRPr="00A31137">
        <w:t>Public Papers of Bush, 1992, p.2227</w:t>
      </w:r>
    </w:p>
    <w:p w:rsidR="00A31137" w:rsidRPr="00A31137" w:rsidRDefault="00A31137" w:rsidP="00A31137">
      <w:r w:rsidRPr="00A31137">
        <w:t>?resident Rush. I think the ratification will stand on its own two feet. The Congress will look at it, and in my view they'll have hearings, and they'll ratify it. And clearly, we all have a stake at helping and being sure that the materials are properly disposed of, and the United States will be ready to assist to the best of our ability. But I don't see a resolution to that second question being required before this treaty is ratified. I'm sorry, what was the second question?</w:t>
      </w:r>
    </w:p>
    <w:p w:rsidR="00A31137" w:rsidRPr="00A31137" w:rsidRDefault="00A31137" w:rsidP="00A31137">
      <w:r w:rsidRPr="00A31137">
        <w:t>Q. Can it be implemented? Doesn't the United States have to come up with more money to actually have the missiles at the silos?</w:t>
      </w:r>
    </w:p>
    <w:p w:rsidR="00A31137" w:rsidRPr="00A31137" w:rsidRDefault="00A31137" w:rsidP="00A31137">
      <w:r w:rsidRPr="00A31137">
        <w:t>Public Papers of Bush, 1992, p.2227–p.2228</w:t>
      </w:r>
    </w:p>
    <w:p w:rsidR="00A31137" w:rsidRPr="00A31137" w:rsidRDefault="00A31137" w:rsidP="00A31137">
      <w:r w:rsidRPr="00A31137">
        <w:t>President Bush. The treaty and the protocols speak for themselves. But clearly, I think the new administration will be as interested as we have been in helping Russia in every way we possibly can. I expect that it'll get to that subject as well as it will to ag credits and a lot of other things. So I think that the treaty will be ratified, and I think it will be implemented. And to the degree the United States can be of assistance when times are tough for Russia, that will demonstrate [p.2228] our interest in this partnership when we help.</w:t>
      </w:r>
    </w:p>
    <w:p w:rsidR="00A31137" w:rsidRPr="00A31137" w:rsidRDefault="00A31137" w:rsidP="00A31137">
      <w:r w:rsidRPr="00A31137">
        <w:t>Public Papers of Bush, 1992, p.2228</w:t>
      </w:r>
    </w:p>
    <w:p w:rsidR="00A31137" w:rsidRPr="00A31137" w:rsidRDefault="00A31137" w:rsidP="00A31137">
      <w:r w:rsidRPr="00A31137">
        <w:t>NOTE: The President's 141st news conference began at 12:15 p.m. in Vladimir's Hall at the Kremlin. President Yeltsin Spoke in Russian and his remarks were translated by an interpreter. Vyacheslav Kostikov, Presidential Press Spokesman for President Yeltsin, served as moderator. During the news conference, the following persons were referred to: Andrey Kozyrev, Russian Minister Foreign Affairs, and Pavel Grachev, Russian Minister of Defense. The question-and-answer portion of this news conference could not be verified because the tape was incomplete.</w:t>
      </w:r>
    </w:p>
    <w:p w:rsidR="00A31137" w:rsidRPr="00A31137" w:rsidRDefault="00A31137" w:rsidP="00A31137">
      <w:r w:rsidRPr="00A31137">
        <w:t>Bill Clinton's First Inaugural Address, 1993</w:t>
      </w:r>
    </w:p>
    <w:p w:rsidR="00A31137" w:rsidRPr="00A31137" w:rsidRDefault="00A31137" w:rsidP="00A31137">
      <w:r w:rsidRPr="00A31137">
        <w:t>Title:</w:t>
      </w:r>
      <w:r w:rsidRPr="00A31137">
        <w:tab/>
        <w:t>President Clinton's Inaugural Address</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January 20, 1993</w:t>
      </w:r>
    </w:p>
    <w:p w:rsidR="00A31137" w:rsidRPr="00A31137" w:rsidRDefault="00A31137" w:rsidP="00A31137">
      <w:r w:rsidRPr="00A31137">
        <w:t>Source:</w:t>
      </w:r>
      <w:r w:rsidRPr="00A31137">
        <w:tab/>
        <w:t>Public Papers of the Presidents, Clinton, 1993, pp.1-3</w:t>
      </w:r>
    </w:p>
    <w:p w:rsidR="00A31137" w:rsidRPr="00A31137" w:rsidRDefault="00A31137" w:rsidP="00A31137">
      <w:r w:rsidRPr="00A31137">
        <w:t>Public Papers of Clinton, 1993, p.1</w:t>
      </w:r>
    </w:p>
    <w:p w:rsidR="00A31137" w:rsidRPr="00A31137" w:rsidRDefault="00A31137" w:rsidP="00A31137">
      <w:r w:rsidRPr="00A31137">
        <w:t>My fellow citizens, today we celebrate the mystery of American renewal. This ceremony is held in the depth of winter, but by the words we speak and the faces we show the world, we force the spring, a spring reborn in the world's oldest democracy that brings forth the vision and courage to reinvent America. When our Founders boldly declared America's independence to the world and our purposes to the Almighty, they knew that America, to endure, would have to change; not change for change's sake but change to preserve America's ideals: life, liberty, the pursuit of happiness. Though we marched to the music of our time, our mission is timeless. Each generation of Americans must define what it means to be an American.</w:t>
      </w:r>
    </w:p>
    <w:p w:rsidR="00A31137" w:rsidRPr="00A31137" w:rsidRDefault="00A31137" w:rsidP="00A31137">
      <w:r w:rsidRPr="00A31137">
        <w:t>Public Papers of Clinton, 1993, p.1</w:t>
      </w:r>
    </w:p>
    <w:p w:rsidR="00A31137" w:rsidRPr="00A31137" w:rsidRDefault="00A31137" w:rsidP="00A31137">
      <w:r w:rsidRPr="00A31137">
        <w:t>On behalf of our Nation, I salute my predecessor, President Bush, for his half-century of service to America. And I thank the millions of men and women whose steadfastness and sacrifice triumphed over depression, fascism, and communism.</w:t>
      </w:r>
    </w:p>
    <w:p w:rsidR="00A31137" w:rsidRPr="00A31137" w:rsidRDefault="00A31137" w:rsidP="00A31137">
      <w:r w:rsidRPr="00A31137">
        <w:t>Public Papers of Clinton, 1993, p.1</w:t>
      </w:r>
    </w:p>
    <w:p w:rsidR="00A31137" w:rsidRPr="00A31137" w:rsidRDefault="00A31137" w:rsidP="00A31137">
      <w:r w:rsidRPr="00A31137">
        <w:t>Today, a generation raised in the shadows of the cold war assumes new responsibilities in a world warmed by the sunshine of freedom but threatened still by ancient hatreds and new plagues. Raised in unrivaled prosperity, we inherit an economy that is still the world's strongest but is weakened by business failures, stagnant wages, increasing inequality, and deep divisions among our own people.</w:t>
      </w:r>
    </w:p>
    <w:p w:rsidR="00A31137" w:rsidRPr="00A31137" w:rsidRDefault="00A31137" w:rsidP="00A31137">
      <w:r w:rsidRPr="00A31137">
        <w:t>Public Papers of Clinton, 1993, p.1</w:t>
      </w:r>
    </w:p>
    <w:p w:rsidR="00A31137" w:rsidRPr="00A31137" w:rsidRDefault="00A31137" w:rsidP="00A31137">
      <w:r w:rsidRPr="00A31137">
        <w:t>When George Washington first took the oath I have just sworn to uphold, news traveled slowly across the land by horseback and across the ocean by boat. Now, the sights and sounds of this ceremony are broadcast instantaneously to billions around the world. Communications and commerce are global. Investment is mobile. Technology is almost magical. And ambition for a better life is now universal.</w:t>
      </w:r>
    </w:p>
    <w:p w:rsidR="00A31137" w:rsidRPr="00A31137" w:rsidRDefault="00A31137" w:rsidP="00A31137">
      <w:r w:rsidRPr="00A31137">
        <w:t>Public Papers of Clinton, 1993, p.1</w:t>
      </w:r>
    </w:p>
    <w:p w:rsidR="00A31137" w:rsidRPr="00A31137" w:rsidRDefault="00A31137" w:rsidP="00A31137">
      <w:r w:rsidRPr="00A31137">
        <w:t>We earn our livelihood in America today in peaceful competition with people all across the Earth. Profound and powerful forces are shaking and remaking our world. And the urgent question of our time is whether we can make change our friend and not our enemy. This new world has already enriched the lives of millions of Americans who are able to compete and win in it. But when most people are working harder for less; when others cannot work at all; when the cost of health care devastates families and threatens to bankrupt our enterprises, great and small; when the fear of crime robs law-abiding citizens of their freedom; and when millions of poor children cannot even imagine the lives we are calling them to lead, we have not made change our friend.</w:t>
      </w:r>
    </w:p>
    <w:p w:rsidR="00A31137" w:rsidRPr="00A31137" w:rsidRDefault="00A31137" w:rsidP="00A31137">
      <w:r w:rsidRPr="00A31137">
        <w:t>Public Papers of Clinton, 1993, p.1</w:t>
      </w:r>
    </w:p>
    <w:p w:rsidR="00A31137" w:rsidRPr="00A31137" w:rsidRDefault="00A31137" w:rsidP="00A31137">
      <w:r w:rsidRPr="00A31137">
        <w:t>We know we have to face hard truths and take strong steps, but we have not done so; instead, we have drifted. And that drifting has eroded our resources, fractured our economy, and shaken our confidence. Though our challenges are fearsome, so are our strengths. Americans have ever been a restless, questing, hopeful people. And we must bring to our task today the vision and will of those who came before us. From our Revolution to the Civil War, to the Great Depression, to the civil rights movement, our people have always mustered the determination to construct from these crises the pillars of our history. Thomas Jefferson believed that to preserve the very foundations of our Nation, we would need dramatic change from time to time. Well, my fellow Americans, this is our time. Let us embrace it.</w:t>
      </w:r>
    </w:p>
    <w:p w:rsidR="00A31137" w:rsidRPr="00A31137" w:rsidRDefault="00A31137" w:rsidP="00A31137">
      <w:r w:rsidRPr="00A31137">
        <w:t>Public Papers of Clinton, 1993, p.1</w:t>
      </w:r>
    </w:p>
    <w:p w:rsidR="00A31137" w:rsidRPr="00A31137" w:rsidRDefault="00A31137" w:rsidP="00A31137">
      <w:r w:rsidRPr="00A31137">
        <w:t>Our democracy must be not only the envy of the world but the engine of our own renewal. There is nothing wrong with America that cannot be cured by what is right with America. And so today we pledge an end to the era of deadlock and drift, and a new season of American renewal has begun.</w:t>
      </w:r>
    </w:p>
    <w:p w:rsidR="00A31137" w:rsidRPr="00A31137" w:rsidRDefault="00A31137" w:rsidP="00A31137">
      <w:r w:rsidRPr="00A31137">
        <w:t>Public Papers of Clinton, 1993, p.1–p.2</w:t>
      </w:r>
    </w:p>
    <w:p w:rsidR="00A31137" w:rsidRPr="00A31137" w:rsidRDefault="00A31137" w:rsidP="00A31137">
      <w:r w:rsidRPr="00A31137">
        <w:t>To renew America, we must be bold. We must do what no generation has had to do before. We must invest more in our own people, in their jobs, and in their future, and at the same time cut our massive debt. And we must do so in a world in which we must compete for every opportunity. It will not be easy. It will require sacrifice, but it can be done and [p.2] done fairly, not choosing sacrifice for its own sake but for our own sake. We must provide for our Nation the way a family provides for its children.</w:t>
      </w:r>
    </w:p>
    <w:p w:rsidR="00A31137" w:rsidRPr="00A31137" w:rsidRDefault="00A31137" w:rsidP="00A31137">
      <w:r w:rsidRPr="00A31137">
        <w:t>Public Papers of Clinton, 1993, p.2</w:t>
      </w:r>
    </w:p>
    <w:p w:rsidR="00A31137" w:rsidRPr="00A31137" w:rsidRDefault="00A31137" w:rsidP="00A31137">
      <w:r w:rsidRPr="00A31137">
        <w:t>Our Founders saw themselves in the light of posterity. We can do no less. Anyone who has ever watched a child's eyes wander into sleep knows what posterity is. Posterity is the world to come: the world for whom we hold our ideals, from whom we have borrowed our planet, and to whom we bear sacred responsibility. We must do what America does best: offer more opportunity to all and demand more responsibility from all. It is time to break the bad habit of expecting something for nothing from our Government or from each other. Let us all take more responsibility not only for ourselves and our families but for our communities and our country.</w:t>
      </w:r>
    </w:p>
    <w:p w:rsidR="00A31137" w:rsidRPr="00A31137" w:rsidRDefault="00A31137" w:rsidP="00A31137">
      <w:r w:rsidRPr="00A31137">
        <w:t>Public Papers of Clinton, 1993, p.2</w:t>
      </w:r>
    </w:p>
    <w:p w:rsidR="00A31137" w:rsidRPr="00A31137" w:rsidRDefault="00A31137" w:rsidP="00A31137">
      <w:r w:rsidRPr="00A31137">
        <w:t>To renew America, we must revitalize our democracy. This beautiful Capital, like every capital since the dawn of civilization, is often a place of intrigue and calculation. Powerful people maneuver for position and worry endlessly about who is in and who is out, who is up and who is down, forgetting those people whose toil and sweat sends us here and pays our way. Americans deserve better. And in this city today there are people who want to do better. And so I say to all of you here: Let us resolve to reform our politics so that power and privilege no longer shout down the voice of the people. Let us put aside personal advantage so that we can feel the pain and see the promise of America. Let us resolve to make our Government a place for what Franklin Roosevelt called bold, persistent experimentation, a Government for our tomorrows, not our yesterdays. Let us give this Capital back to the people to whom it belongs.</w:t>
      </w:r>
    </w:p>
    <w:p w:rsidR="00A31137" w:rsidRPr="00A31137" w:rsidRDefault="00A31137" w:rsidP="00A31137">
      <w:r w:rsidRPr="00A31137">
        <w:t>Public Papers of Clinton, 1993, p.2</w:t>
      </w:r>
    </w:p>
    <w:p w:rsidR="00A31137" w:rsidRPr="00A31137" w:rsidRDefault="00A31137" w:rsidP="00A31137">
      <w:r w:rsidRPr="00A31137">
        <w:t>To renew America, we must meet challenges abroad as well as at home. There is no longer a clear division between what is foreign and what is domestic. The world economy, the world environment, the world AIDS crisis, the world arms race: they affect us all. Today, as an older order passes, the new world is more free but less stable. Communism's collapse has called forth old animosities and new dangers. Clearly, America must continue to lead the world we did so much to make.</w:t>
      </w:r>
    </w:p>
    <w:p w:rsidR="00A31137" w:rsidRPr="00A31137" w:rsidRDefault="00A31137" w:rsidP="00A31137">
      <w:r w:rsidRPr="00A31137">
        <w:t>Public Papers of Clinton, 1993, p.2</w:t>
      </w:r>
    </w:p>
    <w:p w:rsidR="00A31137" w:rsidRPr="00A31137" w:rsidRDefault="00A31137" w:rsidP="00A31137">
      <w:r w:rsidRPr="00A31137">
        <w:t>While America rebuilds at home, we will not shrink from the challenges nor fail to seize the opportunities of this new world. Together with our friends and allies, we will work to shape change, lest it engulf us. When our vital interests are challenged or the will and conscience of the international community is defied, we will act, with peaceful diplomacy whenever possible, with force when necessary. The brave Americans serving our Nation today in the Persian Gulf, in Somalia, and wherever else they stand are testament to our resolve. But our greatest strength is the power of our ideas, which are still new in many lands. Across the world we see them embraced, and we rejoice. Our hopes, our hearts, our hands are with those on every continent who are building democracy and freedom. Their cause is America's cause.</w:t>
      </w:r>
    </w:p>
    <w:p w:rsidR="00A31137" w:rsidRPr="00A31137" w:rsidRDefault="00A31137" w:rsidP="00A31137">
      <w:r w:rsidRPr="00A31137">
        <w:t>Public Papers of Clinton, 1993, p.2</w:t>
      </w:r>
    </w:p>
    <w:p w:rsidR="00A31137" w:rsidRPr="00A31137" w:rsidRDefault="00A31137" w:rsidP="00A31137">
      <w:r w:rsidRPr="00A31137">
        <w:t>The American people have summoned the change we celebrate today. You have raised your voices in an unmistakable chorus. You have cast your votes in historic numbers. And you have changed the face of Congress, the Presidency, and the political process itself. Yes, you, my fellow Americans, have forced the spring. Now we must do the work the season demands. To that work I now turn with all the authority of my office. I ask the Congress to join with me. But no President, no Congress, no Government can undertake this mission alone.</w:t>
      </w:r>
    </w:p>
    <w:p w:rsidR="00A31137" w:rsidRPr="00A31137" w:rsidRDefault="00A31137" w:rsidP="00A31137">
      <w:r w:rsidRPr="00A31137">
        <w:t>Public Papers of Clinton, 1993, p.2</w:t>
      </w:r>
    </w:p>
    <w:p w:rsidR="00A31137" w:rsidRPr="00A31137" w:rsidRDefault="00A31137" w:rsidP="00A31137">
      <w:r w:rsidRPr="00A31137">
        <w:t>My fellow Americans, you, too, must play your part in our renewal. I challenge a new generation of young Americans to a season of service: to act on your idealism by helping troubled children, keeping company with those in need, reconnecting our torn communities. There is so much to be done; enough, indeed, for millions of others who are still young in spirit to give of themselves in service, too. In serving, we recognize a simple but powerful truth: We need each other, and we must care for one another.</w:t>
      </w:r>
    </w:p>
    <w:p w:rsidR="00A31137" w:rsidRPr="00A31137" w:rsidRDefault="00A31137" w:rsidP="00A31137">
      <w:r w:rsidRPr="00A31137">
        <w:t>Public Papers of Clinton, 1993, p.2</w:t>
      </w:r>
    </w:p>
    <w:p w:rsidR="00A31137" w:rsidRPr="00A31137" w:rsidRDefault="00A31137" w:rsidP="00A31137">
      <w:r w:rsidRPr="00A31137">
        <w:t>Today we do more than celebrate America. We rededicate ourselves to the very idea of America, an idea born in revolution and renewed through two centuries of challenge; an idea tempered by the knowledge that, but for fate, we, the fortunate, and the unfortunate might have been each other; an idea ennobled by the faith that our Nation can summon from its myriad diversity the deepest measure of unity; an idea infused with the conviction that America's long, heroic journey must go forever upward.</w:t>
      </w:r>
    </w:p>
    <w:p w:rsidR="00A31137" w:rsidRPr="00A31137" w:rsidRDefault="00A31137" w:rsidP="00A31137">
      <w:r w:rsidRPr="00A31137">
        <w:t>Public Papers of Clinton, 1993, p.2–p.3</w:t>
      </w:r>
    </w:p>
    <w:p w:rsidR="00A31137" w:rsidRPr="00A31137" w:rsidRDefault="00A31137" w:rsidP="00A31137">
      <w:r w:rsidRPr="00A31137">
        <w:t>And so, my fellow Americans, as we stand at the edge of the 21st century, let us begin anew with energy and hope, with faith and discipline. And let us work until our work is done. [p.3] The Scripture says, "And let us not be weary in well doing: for in due season we shall reap, if we faint not." From this joyful mountaintop of celebration we hear a call to service in the valley. We have heard the trumpets. We have changed the guard. And now, each in our own way and with God's help, we must answer the call.</w:t>
      </w:r>
    </w:p>
    <w:p w:rsidR="00A31137" w:rsidRPr="00A31137" w:rsidRDefault="00A31137" w:rsidP="00A31137">
      <w:r w:rsidRPr="00A31137">
        <w:t>Public Papers of Clinton, 1993, p.3</w:t>
      </w:r>
    </w:p>
    <w:p w:rsidR="00A31137" w:rsidRPr="00A31137" w:rsidRDefault="00A31137" w:rsidP="00A31137">
      <w:r w:rsidRPr="00A31137">
        <w:t>Thank you, and God bless you all.</w:t>
      </w:r>
    </w:p>
    <w:p w:rsidR="00A31137" w:rsidRPr="00A31137" w:rsidRDefault="00A31137" w:rsidP="00A31137">
      <w:r w:rsidRPr="00A31137">
        <w:t>Public Papers of Clinton, 1993, p.3</w:t>
      </w:r>
    </w:p>
    <w:p w:rsidR="00A31137" w:rsidRPr="00A31137" w:rsidRDefault="00A31137" w:rsidP="00A31137">
      <w:r w:rsidRPr="00A31137">
        <w:t>NOTE: The President spoke at 12:01 p.m. at the West Front of the Capitol. Prior to the address, Chief Justice William H. Rehnquist administered the oath of office.</w:t>
      </w:r>
    </w:p>
    <w:p w:rsidR="00A31137" w:rsidRPr="00A31137" w:rsidRDefault="00A31137" w:rsidP="00A31137">
      <w:r w:rsidRPr="00A31137">
        <w:t>President Clinton's Remarks on Health Care Reform, 1993</w:t>
      </w:r>
    </w:p>
    <w:p w:rsidR="00A31137" w:rsidRPr="00A31137" w:rsidRDefault="00A31137" w:rsidP="00A31137">
      <w:r w:rsidRPr="00A31137">
        <w:t>Title:</w:t>
      </w:r>
      <w:r w:rsidRPr="00A31137">
        <w:tab/>
        <w:t>President Clinton's Remarks on Health Care Reform</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January 25, 1993</w:t>
      </w:r>
    </w:p>
    <w:p w:rsidR="00A31137" w:rsidRPr="00A31137" w:rsidRDefault="00A31137" w:rsidP="00A31137">
      <w:r w:rsidRPr="00A31137">
        <w:t>Source:</w:t>
      </w:r>
      <w:r w:rsidRPr="00A31137">
        <w:tab/>
        <w:t>Public Papers of the Presidents, Clinton, 1993, pp.13-15</w:t>
      </w:r>
    </w:p>
    <w:p w:rsidR="00A31137" w:rsidRPr="00A31137" w:rsidRDefault="00A31137" w:rsidP="00A31137">
      <w:r w:rsidRPr="00A31137">
        <w:t>Public Papers of Clinton, 1993, p.13</w:t>
      </w:r>
    </w:p>
    <w:p w:rsidR="00A31137" w:rsidRPr="00A31137" w:rsidRDefault="00A31137" w:rsidP="00A31137">
      <w:r w:rsidRPr="00A31137">
        <w:t>I want to say good afternoon to members of the press. We have just finished a very lively discussion about the massive task before us in health care. Vice President Gore and I made a strong commitment to the American people during the last election that we would present to the United States Congress, within 100 days, a plan that would take strong action to control health care costs in America and to begin to provide for the health care needs of all Americans.</w:t>
      </w:r>
    </w:p>
    <w:p w:rsidR="00A31137" w:rsidRPr="00A31137" w:rsidRDefault="00A31137" w:rsidP="00A31137">
      <w:r w:rsidRPr="00A31137">
        <w:t>Public Papers of Clinton, 1993, p.13</w:t>
      </w:r>
    </w:p>
    <w:p w:rsidR="00A31137" w:rsidRPr="00A31137" w:rsidRDefault="00A31137" w:rsidP="00A31137">
      <w:r w:rsidRPr="00A31137">
        <w:t>As I traveled across the country last year, no stories moved me more than the health care stories. As I think all of you know, many of the people in our Faces of Hope luncheon last week during the Inaugural were people who were struggling to overcome incredible adversity occasioned by their health care problems. We've met elderly people choosing every week between medicine and food; we've met people forced to leave their jobs to get on public assistance to deal with children with terrific problems; we've met countless people who can't change their jobs because they or someone in their family have had health care problems.</w:t>
      </w:r>
    </w:p>
    <w:p w:rsidR="00A31137" w:rsidRPr="00A31137" w:rsidRDefault="00A31137" w:rsidP="00A31137">
      <w:r w:rsidRPr="00A31137">
        <w:t>Public Papers of Clinton, 1993, p.13–p.14</w:t>
      </w:r>
    </w:p>
    <w:p w:rsidR="00A31137" w:rsidRPr="00A31137" w:rsidRDefault="00A31137" w:rsidP="00A31137">
      <w:r w:rsidRPr="00A31137">
        <w:t>You will all remember, at the economic conference that we sponsored in Little Rock, perhaps the overwhelming concern of the business people there, of all sizes, was doing something about the cost and the availability of health care. When the Vice President and I met with the big three auto makers and the president of the United Auto Workers, once again they said, if you want to do something to help rebuild the [p.14] auto industry, do something to control health care costs. And as Mr. Panetta just said again in a rather plaintive way before you came in, there is no way we will ever get control of the Federal budget deficit unless we do something about health care.</w:t>
      </w:r>
    </w:p>
    <w:p w:rsidR="00A31137" w:rsidRPr="00A31137" w:rsidRDefault="00A31137" w:rsidP="00A31137">
      <w:r w:rsidRPr="00A31137">
        <w:t>Public Papers of Clinton, 1993, p.14</w:t>
      </w:r>
    </w:p>
    <w:p w:rsidR="00A31137" w:rsidRPr="00A31137" w:rsidRDefault="00A31137" w:rsidP="00A31137">
      <w:r w:rsidRPr="00A31137">
        <w:t>The message is pretty simple. It's time to make sense of America's health care system. It's time to bring costs under control and to make our families and businesses secure. It's time to make good on the American promise that too many people have talked about for too long, while we have continued to spend more than 30 percent more of our income on health care than any other nation in the world, get less for it, and see 100,000 Americans a month losing their health insurance.</w:t>
      </w:r>
    </w:p>
    <w:p w:rsidR="00A31137" w:rsidRPr="00A31137" w:rsidRDefault="00A31137" w:rsidP="00A31137">
      <w:r w:rsidRPr="00A31137">
        <w:t>Public Papers of Clinton, 1993, p.14</w:t>
      </w:r>
    </w:p>
    <w:p w:rsidR="00A31137" w:rsidRPr="00A31137" w:rsidRDefault="00A31137" w:rsidP="00A31137">
      <w:r w:rsidRPr="00A31137">
        <w:t>As a first step in responding to the demands of literally millions of Americans, today I am announcing the formation of the President's Task Force on National Health Reform. Although the issue is complex, the task force's mission is simple: Build on the work of the campaign and the transition, listen to all parties, and prepare health care reform legislation to be submitted to Congress within 100 days of our taking office.</w:t>
      </w:r>
    </w:p>
    <w:p w:rsidR="00A31137" w:rsidRPr="00A31137" w:rsidRDefault="00A31137" w:rsidP="00A31137">
      <w:r w:rsidRPr="00A31137">
        <w:t>Public Papers of Clinton, 1993, p.14</w:t>
      </w:r>
    </w:p>
    <w:p w:rsidR="00A31137" w:rsidRPr="00A31137" w:rsidRDefault="00A31137" w:rsidP="00A31137">
      <w:r w:rsidRPr="00A31137">
        <w:t>This task force will be chaired by the First Lady, Hillary Rodham Clinton, and will include the Secretaries of Health and Human Services, Treasury, Defense, Veterans Affairs, Commerce, Labor, as well as the Director of the Office of Management and Budget and senior White House staff members.</w:t>
      </w:r>
    </w:p>
    <w:p w:rsidR="00A31137" w:rsidRPr="00A31137" w:rsidRDefault="00A31137" w:rsidP="00A31137">
      <w:r w:rsidRPr="00A31137">
        <w:t>Public Papers of Clinton, 1993, p.14</w:t>
      </w:r>
    </w:p>
    <w:p w:rsidR="00A31137" w:rsidRPr="00A31137" w:rsidRDefault="00A31137" w:rsidP="00A31137">
      <w:r w:rsidRPr="00A31137">
        <w:t>I am grateful that Hillary has agreed to chair this task force and not only because it means she'll be sharing some of the heat I expect to generate. As many of you know, while I was Governor of my State, Hillary chaired the Arkansas Education Standards Committee, which created public school accreditation standards that have since become a model for national reform. She served as my designee on the Southern Regional Task Force on Infant Mortality, was also chair of our State's rural health committee in 1979 and 1980, a time in which we initiated a number of health care reforms that benefit the people of my State to the present day. And on the board of the Arkansas Children's Hospital, she helped to establish our State's first neonatal unit.</w:t>
      </w:r>
    </w:p>
    <w:p w:rsidR="00A31137" w:rsidRPr="00A31137" w:rsidRDefault="00A31137" w:rsidP="00A31137">
      <w:r w:rsidRPr="00A31137">
        <w:t>Public Papers of Clinton, 1993, p.14</w:t>
      </w:r>
    </w:p>
    <w:p w:rsidR="00A31137" w:rsidRPr="00A31137" w:rsidRDefault="00A31137" w:rsidP="00A31137">
      <w:r w:rsidRPr="00A31137">
        <w:t>I think that in the coming months the American people will learn, as the people of our State did, that we have a First Lady of many talents, who most of all can bring people together around complex and difficult issues to hammer out consensus and get things done.</w:t>
      </w:r>
    </w:p>
    <w:p w:rsidR="00A31137" w:rsidRPr="00A31137" w:rsidRDefault="00A31137" w:rsidP="00A31137">
      <w:r w:rsidRPr="00A31137">
        <w:t>Public Papers of Clinton, 1993, p.14</w:t>
      </w:r>
    </w:p>
    <w:p w:rsidR="00A31137" w:rsidRPr="00A31137" w:rsidRDefault="00A31137" w:rsidP="00A31137">
      <w:r w:rsidRPr="00A31137">
        <w:t>Here in the White House, Hillary will work with my Domestic Policy Adviser, Carol Rasco; my Senior Policy Adviser, Ira Magaziner; and the head of our health care transition team, Judy Feder. I've asked all of them to be as inclusive as possible. And as a part of that, we are inviting the American public to write us here at the White House with their suggestions. All of them should be sent to the Task Force on National Health Care Reform at the White House in Washington, DC 20500.</w:t>
      </w:r>
    </w:p>
    <w:p w:rsidR="00A31137" w:rsidRPr="00A31137" w:rsidRDefault="00A31137" w:rsidP="00A31137">
      <w:r w:rsidRPr="00A31137">
        <w:t>Public Papers of Clinton, 1993, p.14</w:t>
      </w:r>
    </w:p>
    <w:p w:rsidR="00A31137" w:rsidRPr="00A31137" w:rsidRDefault="00A31137" w:rsidP="00A31137">
      <w:r w:rsidRPr="00A31137">
        <w:t>We will no doubt be criticized by some for undertaking something very, very ambitious. But as I said in my Inaugural Address, we're going to have to make some tough choices in order to control health care costs, to bring them down within inflation, and to provide health care for all. In order to preserve the vitality of the American private sector, in order to keep the American people's budget here at this national level from going totally bankrupt, we are going to have to make some tough choices. Powerful lobbies and special interests may seek to derail our efforts, and we may make some people angry. But we are determined to come up with the best possible solution.</w:t>
      </w:r>
    </w:p>
    <w:p w:rsidR="00A31137" w:rsidRPr="00A31137" w:rsidRDefault="00A31137" w:rsidP="00A31137">
      <w:r w:rsidRPr="00A31137">
        <w:t>Public Papers of Clinton, 1993, p.14</w:t>
      </w:r>
    </w:p>
    <w:p w:rsidR="00A31137" w:rsidRPr="00A31137" w:rsidRDefault="00A31137" w:rsidP="00A31137">
      <w:r w:rsidRPr="00A31137">
        <w:t>And in my lifetime, at least, there has never been so much consensus that something has to be done. We have a plan from the American Nurses Association, from the American Academy of Physicians, from the American Academy of Family Practice, from the health insurance industry itself. We have a plan uniting business and labor. There is an overwhelming knowledge that we have to move and move now. We are going to do our best to reform our system. We are going to do our best to meet the human needs of the people of this country.</w:t>
      </w:r>
    </w:p>
    <w:p w:rsidR="00A31137" w:rsidRPr="00A31137" w:rsidRDefault="00A31137" w:rsidP="00A31137">
      <w:r w:rsidRPr="00A31137">
        <w:t>Public Papers of Clinton, 1993, p.14–p.15</w:t>
      </w:r>
    </w:p>
    <w:p w:rsidR="00A31137" w:rsidRPr="00A31137" w:rsidRDefault="00A31137" w:rsidP="00A31137">
      <w:r w:rsidRPr="00A31137">
        <w:t>There are all kinds of problems that have to be dealt with that we haven't even discussed yet: access to care in inner cities and rural areas, coverage for little children, dealing with the AIDS crisis adequately, still unmet needs in the area of women's health care, the problem of the veterans in this country who don't have access to care, even as their own network goes broke. All these issues will be dealt with in this task force. This is going to be an unprecedented effort. And let me just say, in general, we're going to set up a workroom, kind of like the war room we had in the campaign, over [p.15] in the Executive Office Building. And all of the departments you see here represented and leaders you see represented around this table will be represented in that room. And we are going to work constantly, day and night, until we have a health care plan ready to submit to the Congress that we believe we can pass.</w:t>
      </w:r>
    </w:p>
    <w:p w:rsidR="00A31137" w:rsidRPr="00A31137" w:rsidRDefault="00A31137" w:rsidP="00A31137">
      <w:r w:rsidRPr="00A31137">
        <w:t>Public Papers of Clinton, 1993, p.15</w:t>
      </w:r>
    </w:p>
    <w:p w:rsidR="00A31137" w:rsidRPr="00A31137" w:rsidRDefault="00A31137" w:rsidP="00A31137">
      <w:r w:rsidRPr="00A31137">
        <w:t>Finally, let me say I am committed to doing this in a partnership with the Congress. I will ask the leadership of the Congress to work with me on a bipartisan basis and to do whatever we can to make sure that as we present the plan, we have also maximized its chances of early passage in the Congress.</w:t>
      </w:r>
    </w:p>
    <w:p w:rsidR="00A31137" w:rsidRPr="00A31137" w:rsidRDefault="00A31137" w:rsidP="00A31137">
      <w:r w:rsidRPr="00A31137">
        <w:t>Public Papers of Clinton, 1993, p.15</w:t>
      </w:r>
    </w:p>
    <w:p w:rsidR="00A31137" w:rsidRPr="00A31137" w:rsidRDefault="00A31137" w:rsidP="00A31137">
      <w:r w:rsidRPr="00A31137">
        <w:t>I thank all these people for their willingness to serve and to work together. I hope the American people will see just how passionately I personally am committed to doing something about health care reform. We've talked about it long enough. The time has come to act, and I have chosen the course that I think is most likely to lead to action that will improve the lives of millions of Americans.</w:t>
      </w:r>
    </w:p>
    <w:p w:rsidR="00A31137" w:rsidRPr="00A31137" w:rsidRDefault="00A31137" w:rsidP="00A31137">
      <w:r w:rsidRPr="00A31137">
        <w:t>Public Papers of Clinton, 1993, p.15</w:t>
      </w:r>
    </w:p>
    <w:p w:rsidR="00A31137" w:rsidRPr="00A31137" w:rsidRDefault="00A31137" w:rsidP="00A31137">
      <w:r w:rsidRPr="00A31137">
        <w:t>Q. Mr. President, can you provide universal coverage without driving up the deficit?</w:t>
      </w:r>
    </w:p>
    <w:p w:rsidR="00A31137" w:rsidRPr="00A31137" w:rsidRDefault="00A31137" w:rsidP="00A31137">
      <w:r w:rsidRPr="00A31137">
        <w:t>Public Papers of Clinton, 1993, p.15</w:t>
      </w:r>
    </w:p>
    <w:p w:rsidR="00A31137" w:rsidRPr="00A31137" w:rsidRDefault="00A31137" w:rsidP="00A31137">
      <w:r w:rsidRPr="00A31137">
        <w:t>The President. I think you can do it if you control the cost of health care. You have to really—let me just—I don't want to get into one of these things that provoke a lot of cartoons about my policy work weakness, but we're at 14 percent of our income on health care now. The next most expensive health care system in the world is Canada's. It's at about 9.2 percent of income. That is a huge difference, massive. And yet, every other major country with which we compete provides some basic health care to everybody, something we don't do. So the answer to your question is, in my judgment, if we do this right over the next 8 years, you're going to see huge savings in tax dollars and even bigger savings, more than twice the savings, in private dollars that will free up hundreds of billions of dollars literally between now and the end of the decade to reinvest in economic growth and opportunity.</w:t>
      </w:r>
    </w:p>
    <w:p w:rsidR="00A31137" w:rsidRPr="00A31137" w:rsidRDefault="00A31137" w:rsidP="00A31137">
      <w:r w:rsidRPr="00A31137">
        <w:t>Public Papers of Clinton, 1993, p.15</w:t>
      </w:r>
    </w:p>
    <w:p w:rsidR="00A31137" w:rsidRPr="00A31137" w:rsidRDefault="00A31137" w:rsidP="00A31137">
      <w:r w:rsidRPr="00A31137">
        <w:t>In the short run, our tough call will be, how do you take the savings and phase in universal coverage, or should there be some other way to pay for that? We've got some short-term calls to make. But there's no question that in the medium term, 5 to 8 years, you're looking at massive savings with universal coverage, in both tax dollars and private sector dollars, if we do it right.</w:t>
      </w:r>
    </w:p>
    <w:p w:rsidR="00A31137" w:rsidRPr="00A31137" w:rsidRDefault="00A31137" w:rsidP="00A31137">
      <w:r w:rsidRPr="00A31137">
        <w:t>Public Papers of Clinton, 1993, p.15</w:t>
      </w:r>
    </w:p>
    <w:p w:rsidR="00A31137" w:rsidRPr="00A31137" w:rsidRDefault="00A31137" w:rsidP="00A31137">
      <w:r w:rsidRPr="00A31137">
        <w:t>Q. Mr. President, do you intend to pay the First Lady for her efforts?</w:t>
      </w:r>
    </w:p>
    <w:p w:rsidR="00A31137" w:rsidRPr="00A31137" w:rsidRDefault="00A31137" w:rsidP="00A31137">
      <w:r w:rsidRPr="00A31137">
        <w:t>Public Papers of Clinton, 1993, p.15</w:t>
      </w:r>
    </w:p>
    <w:p w:rsidR="00A31137" w:rsidRPr="00A31137" w:rsidRDefault="00A31137" w:rsidP="00A31137">
      <w:r w:rsidRPr="00A31137">
        <w:t>The President. No. No. I never have paid her for her public service efforts. I don't want to start now.</w:t>
      </w:r>
    </w:p>
    <w:p w:rsidR="00A31137" w:rsidRPr="00A31137" w:rsidRDefault="00A31137" w:rsidP="00A31137">
      <w:r w:rsidRPr="00A31137">
        <w:t>Public Papers of Clinton, 1993, p.15</w:t>
      </w:r>
    </w:p>
    <w:p w:rsidR="00A31137" w:rsidRPr="00A31137" w:rsidRDefault="00A31137" w:rsidP="00A31137">
      <w:r w:rsidRPr="00A31137">
        <w:t>Q. Is 100 days hard and fast, or are you willing to be flexible on that if it's not quite</w:t>
      </w:r>
    </w:p>
    <w:p w:rsidR="00A31137" w:rsidRPr="00A31137" w:rsidRDefault="00A31137" w:rsidP="00A31137">
      <w:r w:rsidRPr="00A31137">
        <w:t>Public Papers of Clinton, 1993, p.15</w:t>
      </w:r>
    </w:p>
    <w:p w:rsidR="00A31137" w:rsidRPr="00A31137" w:rsidRDefault="00A31137" w:rsidP="00A31137">
      <w:r w:rsidRPr="00A31137">
        <w:t>The President. If it were 101 days I wouldn't have a heart attack, but I don't want to—I want it done now. I think we know what the major alternatives are. What we have to do now is something nobody's done, and that is to meld them into the best possible legislation, taking account of some of the problems that exist with every course.</w:t>
      </w:r>
    </w:p>
    <w:p w:rsidR="00A31137" w:rsidRPr="00A31137" w:rsidRDefault="00A31137" w:rsidP="00A31137">
      <w:r w:rsidRPr="00A31137">
        <w:t>Public Papers of Clinton, 1993, p.15</w:t>
      </w:r>
    </w:p>
    <w:p w:rsidR="00A31137" w:rsidRPr="00A31137" w:rsidRDefault="00A31137" w:rsidP="00A31137">
      <w:r w:rsidRPr="00A31137">
        <w:t>And let me make one acknowledgment on the front end about this. Legitimate objections can be raised to any course of action in this area. That is, there is no such thing as a perfect solution. So whatever course we choose to take, somebody can say, "Well, it's not perfect for these reasons." To that, I have two answers, and I'm going to say this until I'm blue in the face for this entire year until we get action. Number one, the worst thing we can do is keep on doing what we're doing now, because more and more people are falling out of the system and the cost is becoming more and more burdensome to those who are still bearing it. So whatever course we take, we will preserve what is best about American health care, some consumer choice and the quality of care. So whatever problems we have, they won't be as bad as the ones we've got now. Number two, this is not going to be the end of the line. Whatever problems are there can be fixed later. But we will never, never get anywhere if we stand paralyzed, because there's no such thing as a perfect alternative.</w:t>
      </w:r>
    </w:p>
    <w:p w:rsidR="00A31137" w:rsidRPr="00A31137" w:rsidRDefault="00A31137" w:rsidP="00A31137">
      <w:r w:rsidRPr="00A31137">
        <w:t>Public Papers of Clinton, 1993, p.15</w:t>
      </w:r>
    </w:p>
    <w:p w:rsidR="00A31137" w:rsidRPr="00A31137" w:rsidRDefault="00A31137" w:rsidP="00A31137">
      <w:r w:rsidRPr="00A31137">
        <w:t>Q. What factors did you consider in giving this high-profile position to Mrs. Clinton?</w:t>
      </w:r>
    </w:p>
    <w:p w:rsidR="00A31137" w:rsidRPr="00A31137" w:rsidRDefault="00A31137" w:rsidP="00A31137">
      <w:r w:rsidRPr="00A31137">
        <w:t>Public Papers of Clinton, 1993, p.15</w:t>
      </w:r>
    </w:p>
    <w:p w:rsidR="00A31137" w:rsidRPr="00A31137" w:rsidRDefault="00A31137" w:rsidP="00A31137">
      <w:r w:rsidRPr="00A31137">
        <w:t>The President. Of all the people I've ever worked with in my life, she's better at organizing and leading people from a complex beginning to a certain end than anybody I've ever worked with in my life. And that's what I want done here.</w:t>
      </w:r>
    </w:p>
    <w:p w:rsidR="00A31137" w:rsidRPr="00A31137" w:rsidRDefault="00A31137" w:rsidP="00A31137">
      <w:r w:rsidRPr="00A31137">
        <w:t>Public Papers of Clinton, 1993, p.15</w:t>
      </w:r>
    </w:p>
    <w:p w:rsidR="00A31137" w:rsidRPr="00A31137" w:rsidRDefault="00A31137" w:rsidP="00A31137">
      <w:r w:rsidRPr="00A31137">
        <w:t>NOTE: The President spoke at 2:02 p.m. in the Roosevelt Room at the White House at a meeting of the Health Care Working Group.</w:t>
      </w:r>
    </w:p>
    <w:p w:rsidR="00A31137" w:rsidRPr="00A31137" w:rsidRDefault="00A31137" w:rsidP="00A31137">
      <w:r w:rsidRPr="00A31137">
        <w:t>President Clinton's Memorandum on Ending Discrimination in the Armed Forces, 1993</w:t>
      </w:r>
    </w:p>
    <w:p w:rsidR="00A31137" w:rsidRPr="00A31137" w:rsidRDefault="00A31137" w:rsidP="00A31137">
      <w:r w:rsidRPr="00A31137">
        <w:t>Title:</w:t>
      </w:r>
      <w:r w:rsidRPr="00A31137">
        <w:tab/>
        <w:t>President Clinton's Memorandum on Ending Discrimination in the Armed Forces</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January 29, 1993</w:t>
      </w:r>
    </w:p>
    <w:p w:rsidR="00A31137" w:rsidRPr="00A31137" w:rsidRDefault="00A31137" w:rsidP="00A31137">
      <w:r w:rsidRPr="00A31137">
        <w:t>Source:</w:t>
      </w:r>
      <w:r w:rsidRPr="00A31137">
        <w:tab/>
        <w:t>Public Papers of the Presidents, Clinton, 1993, p.23</w:t>
      </w:r>
    </w:p>
    <w:p w:rsidR="00A31137" w:rsidRPr="00A31137" w:rsidRDefault="00A31137" w:rsidP="00A31137">
      <w:r w:rsidRPr="00A31137">
        <w:t>Public Papers of Clinton, 1993, p.23</w:t>
      </w:r>
    </w:p>
    <w:p w:rsidR="00A31137" w:rsidRPr="00A31137" w:rsidRDefault="00A31137" w:rsidP="00A31137">
      <w:r w:rsidRPr="00A31137">
        <w:t>Memorandum for the Secretary of Defense</w:t>
      </w:r>
    </w:p>
    <w:p w:rsidR="00A31137" w:rsidRPr="00A31137" w:rsidRDefault="00A31137" w:rsidP="00A31137">
      <w:r w:rsidRPr="00A31137">
        <w:t>Subject: Ending Discrimination on the Basis of Sexual Orientation in the Armed Forces</w:t>
      </w:r>
    </w:p>
    <w:p w:rsidR="00A31137" w:rsidRPr="00A31137" w:rsidRDefault="00A31137" w:rsidP="00A31137">
      <w:r w:rsidRPr="00A31137">
        <w:t>Public Papers of Clinton, 1993, p.23</w:t>
      </w:r>
    </w:p>
    <w:p w:rsidR="00A31137" w:rsidRPr="00A31137" w:rsidRDefault="00A31137" w:rsidP="00A31137">
      <w:r w:rsidRPr="00A31137">
        <w:t>I hereby direct you to submit to me prior to July 15, 1993, a draft of an Executive order ending discrimination on the basis of sexual orientation in determining who may serve in the Armed Forces of the United States. The draft of the Executive order should be accompanied by the results of a study to be conducted over the next six months on how this revision in policy would be carried out in a manner that is practical, realistic, and consistent with the high standards of combat effectiveness and unit cohesion our Armed Forces must maintain.</w:t>
      </w:r>
    </w:p>
    <w:p w:rsidR="00A31137" w:rsidRPr="00A31137" w:rsidRDefault="00A31137" w:rsidP="00A31137">
      <w:r w:rsidRPr="00A31137">
        <w:t>Public Papers of Clinton, 1993, p.23</w:t>
      </w:r>
    </w:p>
    <w:p w:rsidR="00A31137" w:rsidRPr="00A31137" w:rsidRDefault="00A31137" w:rsidP="00A31137">
      <w:r w:rsidRPr="00A31137">
        <w:t>In preparing the draft, I direct you to consult fully with the Joint Chiefs of Staff and the military services, with other Departments affected by the order, with the Congress, and with concerned individuals and organizations outside the executive branch.</w:t>
      </w:r>
      <w:r w:rsidRPr="00A31137">
        <w:cr/>
      </w:r>
    </w:p>
    <w:p w:rsidR="00A31137" w:rsidRPr="00A31137" w:rsidRDefault="00A31137" w:rsidP="00A31137">
      <w:r w:rsidRPr="00A31137">
        <w:t>Public Papers of Clinton, 1993, p.23</w:t>
      </w:r>
    </w:p>
    <w:p w:rsidR="00A31137" w:rsidRPr="00A31137" w:rsidRDefault="00A31137" w:rsidP="00A31137">
      <w:r w:rsidRPr="00A31137">
        <w:t>WILLIAM J. CLINTON</w:t>
      </w:r>
    </w:p>
    <w:p w:rsidR="00A31137" w:rsidRPr="00A31137" w:rsidRDefault="00A31137" w:rsidP="00A31137">
      <w:r w:rsidRPr="00A31137">
        <w:t>President Clinton's Interview With Larry King, June 1993</w:t>
      </w:r>
    </w:p>
    <w:p w:rsidR="00A31137" w:rsidRPr="00A31137" w:rsidRDefault="00A31137" w:rsidP="00A31137">
      <w:r w:rsidRPr="00A31137">
        <w:t>Title:</w:t>
      </w:r>
      <w:r w:rsidRPr="00A31137">
        <w:tab/>
        <w:t>President Clinton's Interview With Larry King, June 1993</w:t>
      </w:r>
    </w:p>
    <w:p w:rsidR="00A31137" w:rsidRPr="00A31137" w:rsidRDefault="00A31137" w:rsidP="00A31137">
      <w:r w:rsidRPr="00A31137">
        <w:t>Author:</w:t>
      </w:r>
      <w:r w:rsidRPr="00A31137">
        <w:tab/>
        <w:t>Bill Clinton and Larry King</w:t>
      </w:r>
    </w:p>
    <w:p w:rsidR="00A31137" w:rsidRPr="00A31137" w:rsidRDefault="00A31137" w:rsidP="00A31137">
      <w:r w:rsidRPr="00A31137">
        <w:t>Date:</w:t>
      </w:r>
      <w:r w:rsidRPr="00A31137">
        <w:tab/>
        <w:t>June 21, 1993</w:t>
      </w:r>
    </w:p>
    <w:p w:rsidR="00A31137" w:rsidRPr="00A31137" w:rsidRDefault="00A31137" w:rsidP="00A31137">
      <w:r w:rsidRPr="00A31137">
        <w:t>Source:</w:t>
      </w:r>
      <w:r w:rsidRPr="00A31137">
        <w:tab/>
        <w:t>Public Papers of the Presidents, Clinton, 1993, pp.905-907</w:t>
      </w:r>
    </w:p>
    <w:p w:rsidR="00A31137" w:rsidRPr="00A31137" w:rsidRDefault="00A31137" w:rsidP="00A31137">
      <w:r w:rsidRPr="00A31137">
        <w:t>Public Papers of Clinton, 1993, p.905</w:t>
      </w:r>
    </w:p>
    <w:p w:rsidR="00A31137" w:rsidRPr="00A31137" w:rsidRDefault="00A31137" w:rsidP="00A31137">
      <w:r w:rsidRPr="00A31137">
        <w:t>Mr. King. Welcome back to another hour of "The Larry King Show." Great pleasure to have with us—the last time we had him on a radio show he was in a car in Detroit during the campaign, getting to the airport. In fact, he gave us a visual description of the highway. Do you remember that?</w:t>
      </w:r>
    </w:p>
    <w:p w:rsidR="00A31137" w:rsidRPr="00A31137" w:rsidRDefault="00A31137" w:rsidP="00A31137">
      <w:r w:rsidRPr="00A31137">
        <w:t>Public Papers of Clinton, 1993, p.905</w:t>
      </w:r>
    </w:p>
    <w:p w:rsidR="00A31137" w:rsidRPr="00A31137" w:rsidRDefault="00A31137" w:rsidP="00A31137">
      <w:r w:rsidRPr="00A31137">
        <w:t>The President. I do remember it.</w:t>
      </w:r>
    </w:p>
    <w:p w:rsidR="00A31137" w:rsidRPr="00A31137" w:rsidRDefault="00A31137" w:rsidP="00A31137">
      <w:r w:rsidRPr="00A31137">
        <w:t>Economic Program</w:t>
      </w:r>
    </w:p>
    <w:p w:rsidR="00A31137" w:rsidRPr="00A31137" w:rsidRDefault="00A31137" w:rsidP="00A31137">
      <w:r w:rsidRPr="00A31137">
        <w:t>Public Papers of Clinton, 1993, p.905</w:t>
      </w:r>
    </w:p>
    <w:p w:rsidR="00A31137" w:rsidRPr="00A31137" w:rsidRDefault="00A31137" w:rsidP="00A31137">
      <w:r w:rsidRPr="00A31137">
        <w:t>Mr. King. President Clinton, a couple of things. First, Senator Phil Gramm last week on my television show said—the Republican from Texas—anytime, anywhere, anyplace he'll come to the White House, he'll meet with you, he'll sit down to work out a deal on the economy from the Republican Party standpoint. He said, you invite him, he's there. What about it?</w:t>
      </w:r>
    </w:p>
    <w:p w:rsidR="00A31137" w:rsidRPr="00A31137" w:rsidRDefault="00A31137" w:rsidP="00A31137">
      <w:r w:rsidRPr="00A31137">
        <w:t>Public Papers of Clinton, 1993, p.905</w:t>
      </w:r>
    </w:p>
    <w:p w:rsidR="00A31137" w:rsidRPr="00A31137" w:rsidRDefault="00A31137" w:rsidP="00A31137">
      <w:r w:rsidRPr="00A31137">
        <w:t>The President. I'm always happy to talk to Senator Gramm, but the issue is, what are they for? I mean, there at least was a Republican budget offered in the House of Representatives, and more Republicans voted against it than Democrats voted against my budget. There was a bipartisan budget offered in the Senate Finance Committee which by common consent probably couldn't get 20 votes on the floor of the Senate. So what I want to know is, what are they for? I have met with the Republican Senators completely. I meet with the leadership of the Republicans along with the Democrats all the time. I am always anxious to discuss this. But we need to know what the specifics are. I mean, I put out a plan that has $250 billion in tax cuts in it that affects agriculture, veterans, defense, foreign aid, the Federal employee pay, Federal employee retirement, cuts huge amounts out of all these things. They've been trying to convince the American people that there are no spending cuts. Senator Gramm tried to do it in his own State of Texas in the recent election season.</w:t>
      </w:r>
    </w:p>
    <w:p w:rsidR="00A31137" w:rsidRPr="00A31137" w:rsidRDefault="00A31137" w:rsidP="00A31137">
      <w:r w:rsidRPr="00A31137">
        <w:t>Public Papers of Clinton, 1993, p.905</w:t>
      </w:r>
    </w:p>
    <w:p w:rsidR="00A31137" w:rsidRPr="00A31137" w:rsidRDefault="00A31137" w:rsidP="00A31137">
      <w:r w:rsidRPr="00A31137">
        <w:t>So, if we're going to have anything to talk about, we've all got to at least say what the facts are. All I'm saying is I'd be happy to have any suggestions he has, but we've got to know where we're going on this.</w:t>
      </w:r>
    </w:p>
    <w:p w:rsidR="00A31137" w:rsidRPr="00A31137" w:rsidRDefault="00A31137" w:rsidP="00A31137">
      <w:r w:rsidRPr="00A31137">
        <w:t>Public Papers of Clinton, 1993, p.905</w:t>
      </w:r>
    </w:p>
    <w:p w:rsidR="00A31137" w:rsidRPr="00A31137" w:rsidRDefault="00A31137" w:rsidP="00A31137">
      <w:r w:rsidRPr="00A31137">
        <w:t>Mr. King. You're saying it would be pointless to sit down unless they come in with a preagenda?</w:t>
      </w:r>
    </w:p>
    <w:p w:rsidR="00A31137" w:rsidRPr="00A31137" w:rsidRDefault="00A31137" w:rsidP="00A31137">
      <w:r w:rsidRPr="00A31137">
        <w:t>Public Papers of Clinton, 1993, p.905</w:t>
      </w:r>
    </w:p>
    <w:p w:rsidR="00A31137" w:rsidRPr="00A31137" w:rsidRDefault="00A31137" w:rsidP="00A31137">
      <w:r w:rsidRPr="00A31137">
        <w:t>The President. The Senate Finance Committee met last week on the economic plan and dealt with a lot of Republican amendments after they went all over the country saying the issue was spending. The Republicans tried to lower taxes in a lot of different ways, mostly on upper income folks. And everything they offered would have increased the deficit because they did not introduce one single spending cut amendment, because those are the tough and controversial things, because they know how much we've already cut spending in this budget.</w:t>
      </w:r>
    </w:p>
    <w:p w:rsidR="00A31137" w:rsidRPr="00A31137" w:rsidRDefault="00A31137" w:rsidP="00A31137">
      <w:r w:rsidRPr="00A31137">
        <w:t>Public Papers of Clinton, 1993, p.905</w:t>
      </w:r>
    </w:p>
    <w:p w:rsidR="00A31137" w:rsidRPr="00A31137" w:rsidRDefault="00A31137" w:rsidP="00A31137">
      <w:r w:rsidRPr="00A31137">
        <w:t>So, all I'm saying is, you know, I'll talk to Phil Gramm; I'll talk to anybody. He may want to talk to me this week because I'm trying to save the space station and the super collider in his State, two things I believe in. After having shaved down the space station by $4 billion and shaved the cost of the super collider some, I believe they're important for America as investments in science and technology. But there are a lot of people who are against these projects who are going to try to take his rhetoric and the rhetoric of the recent Texas election and use it against him because of the things they said. So, Senator Gramm may need me this week because I agree with him on this issue, and I hope we can save them for America's sake. But the political rhetoric of some of the Republicans in pretending that there are no spending cuts has made it tougher.</w:t>
      </w:r>
    </w:p>
    <w:p w:rsidR="00A31137" w:rsidRPr="00A31137" w:rsidRDefault="00A31137" w:rsidP="00A31137">
      <w:r w:rsidRPr="00A31137">
        <w:t>Public Papers of Clinton, 1993, p.905</w:t>
      </w:r>
    </w:p>
    <w:p w:rsidR="00A31137" w:rsidRPr="00A31137" w:rsidRDefault="00A31137" w:rsidP="00A31137">
      <w:r w:rsidRPr="00A31137">
        <w:t>Mr. King. So in other words, what everybody wants is, they don't want to pay new taxes; they don't want to cut any services. We just want a free ride.</w:t>
      </w:r>
    </w:p>
    <w:p w:rsidR="00A31137" w:rsidRPr="00A31137" w:rsidRDefault="00A31137" w:rsidP="00A31137">
      <w:r w:rsidRPr="00A31137">
        <w:t>Public Papers of Clinton, 1993, p.905–p.906</w:t>
      </w:r>
    </w:p>
    <w:p w:rsidR="00A31137" w:rsidRPr="00A31137" w:rsidRDefault="00A31137" w:rsidP="00A31137">
      <w:r w:rsidRPr="00A31137">
        <w:t>The President. Yes, and we want to do it in a way that looks politically palatable. So they [p.906] talk about, well, let's put a cap on all this spending or limits on all that and not come up with the specifics. My budget has 200 specific spending cuts over the previous Bush budget. A hundred of them are more than $100 million a piece. And I really have tried to take this thing on. For years we listened to all this rhetoric about how we could cut taxes and increase spending and somehow everything would be all fight. And we took the debt from $1 trillion to $4 trillion. We had astronomical long-term interest rates. Ever since we've been trying to bring the interest rates down by bringing the deficit down, you see mortgage rates at a 20-year low, housing starts at a 7-year high; construction employment is increased at the highest rate in 9 years. We've got 755,000 new jobs coming into the economy. Most of them are coming in because people are refinancing their debt and freeing up money to invest in the economy. So we're moving this in the fight direction. But of course, it's not popular to do these difficult things.</w:t>
      </w:r>
    </w:p>
    <w:p w:rsidR="00A31137" w:rsidRPr="00A31137" w:rsidRDefault="00A31137" w:rsidP="00A31137">
      <w:r w:rsidRPr="00A31137">
        <w:t>International Economy</w:t>
      </w:r>
    </w:p>
    <w:p w:rsidR="00A31137" w:rsidRPr="00A31137" w:rsidRDefault="00A31137" w:rsidP="00A31137">
      <w:r w:rsidRPr="00A31137">
        <w:t>Public Papers of Clinton, 1993, p.906</w:t>
      </w:r>
    </w:p>
    <w:p w:rsidR="00A31137" w:rsidRPr="00A31137" w:rsidRDefault="00A31137" w:rsidP="00A31137">
      <w:r w:rsidRPr="00A31137">
        <w:t>Mr. King. You're going to have to go to Japan in a couple weeks. That's a major economic conference. Let's assume the Senate passes this; then they go to House committee, and that of course won't be settled by the time you go there. And you go to a country where their leadership is going to change. How much of a ball of wax is that?</w:t>
      </w:r>
    </w:p>
    <w:p w:rsidR="00A31137" w:rsidRPr="00A31137" w:rsidRDefault="00A31137" w:rsidP="00A31137">
      <w:r w:rsidRPr="00A31137">
        <w:t>Public Papers of Clinton, 1993, p.906</w:t>
      </w:r>
    </w:p>
    <w:p w:rsidR="00A31137" w:rsidRPr="00A31137" w:rsidRDefault="00A31137" w:rsidP="00A31137">
      <w:r w:rsidRPr="00A31137">
        <w:t>The President. Well, it's going to be a challenge to get a lot done at this summit. But I'm convinced we can. We have two or three issues that we really need to deal with. We're trying to come to grips with the need for a new trade agreement for the world, which I think is very important, will create more jobs in America. We'd have more jobs today if Europe and Japan weren't in the bad economics conditions they're in. Their growth rates are substantially lower than ours. If they were in better shape, they'd be buying more of our products and we'd have more jobs.</w:t>
      </w:r>
    </w:p>
    <w:p w:rsidR="00A31137" w:rsidRPr="00A31137" w:rsidRDefault="00A31137" w:rsidP="00A31137">
      <w:r w:rsidRPr="00A31137">
        <w:t>Public Papers of Clinton, 1993, p.906</w:t>
      </w:r>
    </w:p>
    <w:p w:rsidR="00A31137" w:rsidRPr="00A31137" w:rsidRDefault="00A31137" w:rsidP="00A31137">
      <w:r w:rsidRPr="00A31137">
        <w:t>The second thing we're going to try to deal with is what we can do, each in our own countries, to promote global economic growth. The Europeans and Japanese have been telling America for years, "Get your deficit down." So we're doing that. Now they've got to lower their interest rates in Europe so they can grow, and they've got to invest some more money in Japan so they can grow and buy more of our products. And if we do it together, we can bring this world out of the recession it's in, and that means more jobs for America.</w:t>
      </w:r>
    </w:p>
    <w:p w:rsidR="00A31137" w:rsidRPr="00A31137" w:rsidRDefault="00A31137" w:rsidP="00A31137">
      <w:r w:rsidRPr="00A31137">
        <w:t>Public Papers of Clinton, 1993, p.906</w:t>
      </w:r>
    </w:p>
    <w:p w:rsidR="00A31137" w:rsidRPr="00A31137" w:rsidRDefault="00A31137" w:rsidP="00A31137">
      <w:r w:rsidRPr="00A31137">
        <w:t>Mr. King. But what part does Japan play if they're lame duck?</w:t>
      </w:r>
    </w:p>
    <w:p w:rsidR="00A31137" w:rsidRPr="00A31137" w:rsidRDefault="00A31137" w:rsidP="00A31137">
      <w:r w:rsidRPr="00A31137">
        <w:t>Public Papers of Clinton, 1993, p.906</w:t>
      </w:r>
    </w:p>
    <w:p w:rsidR="00A31137" w:rsidRPr="00A31137" w:rsidRDefault="00A31137" w:rsidP="00A31137">
      <w:r w:rsidRPr="00A31137">
        <w:t>The President. Well, I think that depends upon what all the political sides in the country will say about the negotiations that we're on. I mean, it's pretty clear to me that no matter who winds up being Prime Minister of Japan and what faction that person comes out of, that they're going to have to continue to open their economy to our products. And they're going to have to continue to stimulate their economy, because they don't have a budget deficit, they've got a surplus.</w:t>
      </w:r>
    </w:p>
    <w:p w:rsidR="00A31137" w:rsidRPr="00A31137" w:rsidRDefault="00A31137" w:rsidP="00A31137">
      <w:r w:rsidRPr="00A31137">
        <w:t>Public Papers of Clinton, 1993, p.906</w:t>
      </w:r>
    </w:p>
    <w:p w:rsidR="00A31137" w:rsidRPr="00A31137" w:rsidRDefault="00A31137" w:rsidP="00A31137">
      <w:r w:rsidRPr="00A31137">
        <w:t>What's happening in Japan now I think has more than anything else to do with the legacy of the various political scandals and the political corruption. I think their economic policy is going to have to take the direction that we support almost no matter who gets elected Prime Minister. They can't withdraw from the world or shut us out now. They've got too much at stake in expanding into China and other countries and doing business in a very complicated world that simply won't allow Japan to be the only rich country in the world with $110 billion a year trade surplus.</w:t>
      </w:r>
    </w:p>
    <w:p w:rsidR="00A31137" w:rsidRPr="00A31137" w:rsidRDefault="00A31137" w:rsidP="00A31137">
      <w:r w:rsidRPr="00A31137">
        <w:t>Public Papers of Clinton, 1993, p.906</w:t>
      </w:r>
    </w:p>
    <w:p w:rsidR="00A31137" w:rsidRPr="00A31137" w:rsidRDefault="00A31137" w:rsidP="00A31137">
      <w:r w:rsidRPr="00A31137">
        <w:t>Mr. King. So you're hopeful, no matter who it is?</w:t>
      </w:r>
    </w:p>
    <w:p w:rsidR="00A31137" w:rsidRPr="00A31137" w:rsidRDefault="00A31137" w:rsidP="00A31137">
      <w:r w:rsidRPr="00A31137">
        <w:t>Public Papers of Clinton, 1993, p.906</w:t>
      </w:r>
    </w:p>
    <w:p w:rsidR="00A31137" w:rsidRPr="00A31137" w:rsidRDefault="00A31137" w:rsidP="00A31137">
      <w:r w:rsidRPr="00A31137">
        <w:t>The President. Yes, I am. It presents a challenge to get done the things I wanted to get done in Japan at the conference. It will be more challenging, but I still think that we may be able to do that simply because of the limits on their economic options.</w:t>
      </w:r>
      <w:r w:rsidRPr="00A31137">
        <w:cr/>
      </w:r>
    </w:p>
    <w:p w:rsidR="00A31137" w:rsidRPr="00A31137" w:rsidRDefault="00A31137" w:rsidP="00A31137">
      <w:r w:rsidRPr="00A31137">
        <w:t>NAFTA</w:t>
      </w:r>
    </w:p>
    <w:p w:rsidR="00A31137" w:rsidRPr="00A31137" w:rsidRDefault="00A31137" w:rsidP="00A31137">
      <w:r w:rsidRPr="00A31137">
        <w:t>Public Papers of Clinton, 1993, p.906</w:t>
      </w:r>
    </w:p>
    <w:p w:rsidR="00A31137" w:rsidRPr="00A31137" w:rsidRDefault="00A31137" w:rsidP="00A31137">
      <w:r w:rsidRPr="00A31137">
        <w:t>Mr. King. During the campaign you told me, in fact, almost the day it happened, when President Bush signed it in San Antonio, you said to me the next day that you supported this fair trade concept with Mexico and Canada on balance. You had some questions. Do you still have some questions?</w:t>
      </w:r>
    </w:p>
    <w:p w:rsidR="00A31137" w:rsidRPr="00A31137" w:rsidRDefault="00A31137" w:rsidP="00A31137">
      <w:r w:rsidRPr="00A31137">
        <w:t>Public Papers of Clinton, 1993, p.906–p.907</w:t>
      </w:r>
    </w:p>
    <w:p w:rsidR="00A31137" w:rsidRPr="00A31137" w:rsidRDefault="00A31137" w:rsidP="00A31137">
      <w:r w:rsidRPr="00A31137">
        <w:t>The President. Yes, but I'm still for it. As a matter of fact, I feel more strongly today, if possible, that it is the right direction for us to take. The trade agreement, I thought, had some weaknesses. It was negotiated with a greater concern for our financial institutions and our intellectual property concerns, that is, patent [p.907] and copyright concerns, than for new jobs and environmental cleanup, things that I thought were real important.</w:t>
      </w:r>
    </w:p>
    <w:p w:rsidR="00A31137" w:rsidRPr="00A31137" w:rsidRDefault="00A31137" w:rsidP="00A31137">
      <w:r w:rsidRPr="00A31137">
        <w:t>Public Papers of Clinton, 1993, p.907</w:t>
      </w:r>
    </w:p>
    <w:p w:rsidR="00A31137" w:rsidRPr="00A31137" w:rsidRDefault="00A31137" w:rsidP="00A31137">
      <w:r w:rsidRPr="00A31137">
        <w:t>So we're trying to fix that. We're trying to make sure that this trade agreement with Mexico and Canada has very strong provisions to guarantee appropriate investments in environmental cleanups, so we don't have more pollution in America or we don't have people going down to Mexico just so they won't have to have any antipollution expenses, and so we have some labor protections.</w:t>
      </w:r>
    </w:p>
    <w:p w:rsidR="00A31137" w:rsidRPr="00A31137" w:rsidRDefault="00A31137" w:rsidP="00A31137">
      <w:r w:rsidRPr="00A31137">
        <w:t>Public Papers of Clinton, 1993, p.907</w:t>
      </w:r>
    </w:p>
    <w:p w:rsidR="00A31137" w:rsidRPr="00A31137" w:rsidRDefault="00A31137" w:rsidP="00A31137">
      <w:r w:rsidRPr="00A31137">
        <w:t>But I think we're getting there. And I believe that the right kind of trade agreement can create jobs in America. I don't agree that it'll cost jobs. If you look just in the last couple of days, there was a notice from General Motors that they're closing an operation in Mexico, bringing it back to the United States, going to create 1,000 jobs in Michigan and higher labor costs because of the productivity and the nearness to the labor parts market, to the auto parts market. And I think you're going to see a lot of that. If anybody wants to shut a plant down and go to Mexico just because they have cheap wages, they can do that today. Nothing is going to change in the NAFTA agreement. But if you have more growth on both sides, then you'll have less illegal immigration from Mexico, more people will be able to get jobs at home and stay with their families, their incomes will rise, and they'll buy more American products. Last month, Mexico replaced Japan as the second biggest purchaser of American manufacturing products. We have a $6 billion trade surplus with them. That means we create jobs out of our trade with them. So I think it's a good deal for America, and I hope we can pass it.</w:t>
      </w:r>
    </w:p>
    <w:p w:rsidR="00A31137" w:rsidRPr="00A31137" w:rsidRDefault="00A31137" w:rsidP="00A31137">
      <w:r w:rsidRPr="00A31137">
        <w:t>Media Coverage</w:t>
      </w:r>
    </w:p>
    <w:p w:rsidR="00A31137" w:rsidRPr="00A31137" w:rsidRDefault="00A31137" w:rsidP="00A31137">
      <w:r w:rsidRPr="00A31137">
        <w:t>Public Papers of Clinton, 1993, p.907</w:t>
      </w:r>
    </w:p>
    <w:p w:rsidR="00A31137" w:rsidRPr="00A31137" w:rsidRDefault="00A31137" w:rsidP="00A31137">
      <w:r w:rsidRPr="00A31137">
        <w:t>Mr. King. One other quick thing. L.A. Times Mirror poll out today says 51 percent of the public thinks the press has been unfair to you, more unfair to you than your predecessors. Any comment?</w:t>
      </w:r>
    </w:p>
    <w:p w:rsidR="00A31137" w:rsidRPr="00A31137" w:rsidRDefault="00A31137" w:rsidP="00A31137">
      <w:r w:rsidRPr="00A31137">
        <w:t>Public Papers of Clinton, 1993, p.907</w:t>
      </w:r>
    </w:p>
    <w:p w:rsidR="00A31137" w:rsidRPr="00A31137" w:rsidRDefault="00A31137" w:rsidP="00A31137">
      <w:r w:rsidRPr="00A31137">
        <w:t>The President. You know, I always trust the people in the end. They pretty well get it right.</w:t>
      </w:r>
    </w:p>
    <w:p w:rsidR="00A31137" w:rsidRPr="00A31137" w:rsidRDefault="00A31137" w:rsidP="00A31137">
      <w:r w:rsidRPr="00A31137">
        <w:t>Public Papers of Clinton, 1993, p.907</w:t>
      </w:r>
    </w:p>
    <w:p w:rsidR="00A31137" w:rsidRPr="00A31137" w:rsidRDefault="00A31137" w:rsidP="00A31137">
      <w:r w:rsidRPr="00A31137">
        <w:t>Mr. King. You think that's right, about right? The President. I think the most important thing now is what I said at my press conference last week. The American people know if there's something going on and some tension that is not—doesn't have much to do with their interests. And I think that's what they have perceived here. And so what I have done, clearly, in the last couple of weeks, is to reach out a hand of understanding to the capital press corps here and to ask them not to stop criticizing me, because that's their job when they think I'm wrong or they think there's a story to be pursued, but to approach this whole work that we have to do together with an atmosphere of respect and greater trust. And I pledge to try to do the same thing.</w:t>
      </w:r>
    </w:p>
    <w:p w:rsidR="00A31137" w:rsidRPr="00A31137" w:rsidRDefault="00A31137" w:rsidP="00A31137">
      <w:r w:rsidRPr="00A31137">
        <w:t>Public Papers of Clinton, 1993, p.907</w:t>
      </w:r>
    </w:p>
    <w:p w:rsidR="00A31137" w:rsidRPr="00A31137" w:rsidRDefault="00A31137" w:rsidP="00A31137">
      <w:r w:rsidRPr="00A31137">
        <w:t>I think the American people want to see the flaws in my proposal, want to see the contradictions if they are there, want to see me subject to honest scrutiny. But they don't like the feeling of feeding frenzy. They don't want that. And so, you know, I've done what I could, and I hope we'll have the kind of response that the American people plainly want.</w:t>
      </w:r>
    </w:p>
    <w:p w:rsidR="00A31137" w:rsidRPr="00A31137" w:rsidRDefault="00A31137" w:rsidP="00A31137">
      <w:r w:rsidRPr="00A31137">
        <w:t>Chelsea Clinton</w:t>
      </w:r>
    </w:p>
    <w:p w:rsidR="00A31137" w:rsidRPr="00A31137" w:rsidRDefault="00A31137" w:rsidP="00A31137">
      <w:r w:rsidRPr="00A31137">
        <w:t>Public Papers of Clinton, 1993, p.907</w:t>
      </w:r>
    </w:p>
    <w:p w:rsidR="00A31137" w:rsidRPr="00A31137" w:rsidRDefault="00A31137" w:rsidP="00A31137">
      <w:r w:rsidRPr="00A31137">
        <w:t>Mr. King. Chelsea going to Japan?</w:t>
      </w:r>
    </w:p>
    <w:p w:rsidR="00A31137" w:rsidRPr="00A31137" w:rsidRDefault="00A31137" w:rsidP="00A31137">
      <w:r w:rsidRPr="00A31137">
        <w:t>Public Papers of Clinton, 1993, p.907</w:t>
      </w:r>
    </w:p>
    <w:p w:rsidR="00A31137" w:rsidRPr="00A31137" w:rsidRDefault="00A31137" w:rsidP="00A31137">
      <w:r w:rsidRPr="00A31137">
        <w:t>The President. Well, I hope so. I think it would be educational for her, although some people have said that, you know, we ought to consider what kind of Asian press coverage she'll get and whether that would prohibit her from learning anything or doing anything there. But there is a lot of precedent for previous Presidents' families going on trade missions. And I'd like to see her do it. I think she'd learn a lot from it if in fact she'll be able to function when she's there. So we're going to try to figure that out in the next few days.</w:t>
      </w:r>
    </w:p>
    <w:p w:rsidR="00A31137" w:rsidRPr="00A31137" w:rsidRDefault="00A31137" w:rsidP="00A31137">
      <w:r w:rsidRPr="00A31137">
        <w:t>Public Papers of Clinton, 1993, p.907</w:t>
      </w:r>
    </w:p>
    <w:p w:rsidR="00A31137" w:rsidRPr="00A31137" w:rsidRDefault="00A31137" w:rsidP="00A31137">
      <w:r w:rsidRPr="00A31137">
        <w:t>Mr. King. Thanks, Mr. President.</w:t>
      </w:r>
    </w:p>
    <w:p w:rsidR="00A31137" w:rsidRPr="00A31137" w:rsidRDefault="00A31137" w:rsidP="00A31137">
      <w:r w:rsidRPr="00A31137">
        <w:t>Public Papers of Clinton, 1993, p.907</w:t>
      </w:r>
    </w:p>
    <w:p w:rsidR="00A31137" w:rsidRPr="00A31137" w:rsidRDefault="00A31137" w:rsidP="00A31137">
      <w:r w:rsidRPr="00A31137">
        <w:t>The President. Thanks, Larry.</w:t>
      </w:r>
    </w:p>
    <w:p w:rsidR="00A31137" w:rsidRPr="00A31137" w:rsidRDefault="00A31137" w:rsidP="00A31137">
      <w:r w:rsidRPr="00A31137">
        <w:t>Public Papers of Clinton, 1993, p.907</w:t>
      </w:r>
    </w:p>
    <w:p w:rsidR="00A31137" w:rsidRPr="00A31137" w:rsidRDefault="00A31137" w:rsidP="00A31137">
      <w:r w:rsidRPr="00A31137">
        <w:t>NOTE: The interview began at 1 p.m. The President spoke from the Roosevelt Room at the White House.</w:t>
      </w:r>
    </w:p>
    <w:p w:rsidR="00A31137" w:rsidRPr="00A31137" w:rsidRDefault="00A31137" w:rsidP="00A31137">
      <w:r w:rsidRPr="00A31137">
        <w:t>President Clinton's Remarks Announcing the New Policy on Homosexuals in the Military, 1993</w:t>
      </w:r>
    </w:p>
    <w:p w:rsidR="00A31137" w:rsidRPr="00A31137" w:rsidRDefault="00A31137" w:rsidP="00A31137">
      <w:r w:rsidRPr="00A31137">
        <w:t>Title:</w:t>
      </w:r>
      <w:r w:rsidRPr="00A31137">
        <w:tab/>
        <w:t>President Clinton's Remarks Announcing the New Policy on Homosexuals in the Military</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July 19, 1993</w:t>
      </w:r>
    </w:p>
    <w:p w:rsidR="00A31137" w:rsidRPr="00A31137" w:rsidRDefault="00A31137" w:rsidP="00A31137">
      <w:r w:rsidRPr="00A31137">
        <w:t>Source:</w:t>
      </w:r>
      <w:r w:rsidRPr="00A31137">
        <w:tab/>
        <w:t>Public Papers of the Presidents, Clinton, 1993, pp.1109-1112</w:t>
      </w:r>
    </w:p>
    <w:p w:rsidR="00A31137" w:rsidRPr="00A31137" w:rsidRDefault="00A31137" w:rsidP="00A31137">
      <w:r w:rsidRPr="00A31137">
        <w:t>Public Papers of Clinton, 1993, p.1109</w:t>
      </w:r>
    </w:p>
    <w:p w:rsidR="00A31137" w:rsidRPr="00A31137" w:rsidRDefault="00A31137" w:rsidP="00A31137">
      <w:r w:rsidRPr="00A31137">
        <w:t>Thank you very much. Secretary Aspin, General Powell, members of the Joint Chiefs, Admiral Kime, to our host, Admiral Smith, ladies and gentlemen, I have come here today to discuss a difficult challenge and one which has received an enormous amount of publicity and public and private debate over the last several months: our Nation's policy toward homosexuals in the military.</w:t>
      </w:r>
    </w:p>
    <w:p w:rsidR="00A31137" w:rsidRPr="00A31137" w:rsidRDefault="00A31137" w:rsidP="00A31137">
      <w:r w:rsidRPr="00A31137">
        <w:t>Public Papers of Clinton, 1993, p.1109</w:t>
      </w:r>
    </w:p>
    <w:p w:rsidR="00A31137" w:rsidRPr="00A31137" w:rsidRDefault="00A31137" w:rsidP="00A31137">
      <w:r w:rsidRPr="00A31137">
        <w:t>I believe the policy I am announcing today represents a real step forward, but I know it will raise concerns in some of your minds. So I wanted you to hear my thinking and my decision directly and in person because I respect you, and because you are among the elite who will lead our Armed Forces into the next century, and because you will have to put this policy into effect and I expect your help in doing it.</w:t>
      </w:r>
    </w:p>
    <w:p w:rsidR="00A31137" w:rsidRPr="00A31137" w:rsidRDefault="00A31137" w:rsidP="00A31137">
      <w:r w:rsidRPr="00A31137">
        <w:t>Public Papers of Clinton, 1993, p.1109</w:t>
      </w:r>
    </w:p>
    <w:p w:rsidR="00A31137" w:rsidRPr="00A31137" w:rsidRDefault="00A31137" w:rsidP="00A31137">
      <w:r w:rsidRPr="00A31137">
        <w:t>The policy I am announcing today is, in my judgment, the right thing to do and the best way to do it. It is right because it provides greater protection to those who happen to be homosexual and want to serve their country honorably in uniform, obeying all the military's rules against sexual misconduct. It is the best way to proceed because it provides a sensible balance between the rights of the individual and the needs of our military to remain the world's number one fighting force. As President of all the American people, I am pledged to protect and to promote individual rights. As Commander in Chief, I am pledged to protect and advance our security. In this policy, I believe we have come close to meeting both objectives.</w:t>
      </w:r>
    </w:p>
    <w:p w:rsidR="00A31137" w:rsidRPr="00A31137" w:rsidRDefault="00A31137" w:rsidP="00A31137">
      <w:r w:rsidRPr="00A31137">
        <w:t>Public Papers of Clinton, 1993, p.1109</w:t>
      </w:r>
    </w:p>
    <w:p w:rsidR="00A31137" w:rsidRPr="00A31137" w:rsidRDefault="00A31137" w:rsidP="00A31137">
      <w:r w:rsidRPr="00A31137">
        <w:t>Let me start with this clear fact: Our military is one of our greatest accomplishments and our most valuable assets. It is the world's most effective and powerful fighting force, bar none. I have seen proof of this fact almost every day since I became President. I saw it last week when I visited Camp Casey, along the DMZ in Korea. I witnessed it at our military academies at Annapolis and West Point when I visited there. And I certainly relied on it 3 weeks ago when I ordered an attack on Iraq after that country's leadership attempted to assassinate President Bush.</w:t>
      </w:r>
    </w:p>
    <w:p w:rsidR="00A31137" w:rsidRPr="00A31137" w:rsidRDefault="00A31137" w:rsidP="00A31137">
      <w:r w:rsidRPr="00A31137">
        <w:t>Public Papers of Clinton, 1993, p.1109</w:t>
      </w:r>
    </w:p>
    <w:p w:rsidR="00A31137" w:rsidRPr="00A31137" w:rsidRDefault="00A31137" w:rsidP="00A31137">
      <w:r w:rsidRPr="00A31137">
        <w:t>We owe a great deal to the men and women who protect us through their service, their sacrifice, and their dedication. And we owe it to our own security to listen hard to them and act carefully as we consider any changes in the military. A force ready to fight must maintain the highest priority under all circumstances.</w:t>
      </w:r>
    </w:p>
    <w:p w:rsidR="00A31137" w:rsidRPr="00A31137" w:rsidRDefault="00A31137" w:rsidP="00A31137">
      <w:r w:rsidRPr="00A31137">
        <w:t>Public Papers of Clinton, 1993, p.1109–p.1110</w:t>
      </w:r>
    </w:p>
    <w:p w:rsidR="00A31137" w:rsidRPr="00A31137" w:rsidRDefault="00A31137" w:rsidP="00A31137">
      <w:r w:rsidRPr="00A31137">
        <w:t>Let me review the events which bring us here today. Before I ran for President, this issue was already upon us. Some of the members of the military returning from the Gulf war announced their homosexuality in order to protest the ban. The military's policy has been questioned in college ROTC programs. Legal challenges have been filed in court, including one that has since succeeded. In 1991, the Secretary of Defense, Dick Cheney, was asked about reports that the Defense Department spent an alleged $500 million to separate and replace about 17,000 homosexuals from the military service during the 1980's, in spite of the findings of a Government report saying there was no reason to believe that they could not serve effectively and with distinction. Shortly thereafter, while giving a speech at the Kennedy School of Government at Harvard, I was asked by one of the students what I thought of this report and what I thought [p.1110] of lifting the ban. This question had never before been presented to me, and I had never had the opportunity to discuss it with anyone. I stated then what I still believe, that I thought there ought to be a presumption that people who wish to do so should be able to serve their country if they are willing to conform to the high standards of the military and that the emphasis should be always on people's conduct, not their status.</w:t>
      </w:r>
    </w:p>
    <w:p w:rsidR="00A31137" w:rsidRPr="00A31137" w:rsidRDefault="00A31137" w:rsidP="00A31137">
      <w:r w:rsidRPr="00A31137">
        <w:t>Public Papers of Clinton, 1993, p.1110</w:t>
      </w:r>
    </w:p>
    <w:p w:rsidR="00A31137" w:rsidRPr="00A31137" w:rsidRDefault="00A31137" w:rsidP="00A31137">
      <w:r w:rsidRPr="00A31137">
        <w:t>For me, and this is very important, this issue has never been one of group rights but rather of individual ones, of the individual opportunity to serve and the individual responsibility to conform to the highest standards of military conduct. For people who are willing to play by the rules, able to serve and make a contribution, I believed then and I believe now we should give them the chance to do so.</w:t>
      </w:r>
    </w:p>
    <w:p w:rsidR="00A31137" w:rsidRPr="00A31137" w:rsidRDefault="00A31137" w:rsidP="00A31137">
      <w:r w:rsidRPr="00A31137">
        <w:t>Public Papers of Clinton, 1993, p.1110</w:t>
      </w:r>
    </w:p>
    <w:p w:rsidR="00A31137" w:rsidRPr="00A31137" w:rsidRDefault="00A31137" w:rsidP="00A31137">
      <w:r w:rsidRPr="00A31137">
        <w:t>The central facts of this issue are not much in dispute. First, notwithstanding the ban, there have been and are homosexuals in the military service who serve with distinction. I have had the privilege of meeting some of these men and women, and I have been deeply impressed by their devotion to duty and to country.</w:t>
      </w:r>
    </w:p>
    <w:p w:rsidR="00A31137" w:rsidRPr="00A31137" w:rsidRDefault="00A31137" w:rsidP="00A31137">
      <w:r w:rsidRPr="00A31137">
        <w:t>Public Papers of Clinton, 1993, p.1110</w:t>
      </w:r>
    </w:p>
    <w:p w:rsidR="00A31137" w:rsidRPr="00A31137" w:rsidRDefault="00A31137" w:rsidP="00A31137">
      <w:r w:rsidRPr="00A31137">
        <w:t>Second, there is no study showing them to be less capable or more prone to misconduct than heterosexual soldiers. Indeed, all the information we have indicates that they are not less capable or more prone to misbehavior.</w:t>
      </w:r>
    </w:p>
    <w:p w:rsidR="00A31137" w:rsidRPr="00A31137" w:rsidRDefault="00A31137" w:rsidP="00A31137">
      <w:r w:rsidRPr="00A31137">
        <w:t>Public Papers of Clinton, 1993, p.1110</w:t>
      </w:r>
    </w:p>
    <w:p w:rsidR="00A31137" w:rsidRPr="00A31137" w:rsidRDefault="00A31137" w:rsidP="00A31137">
      <w:r w:rsidRPr="00A31137">
        <w:t>Third, misconduct is already covered by the laws and rules which also cover activities that are improper by heterosexual members of the military.</w:t>
      </w:r>
    </w:p>
    <w:p w:rsidR="00A31137" w:rsidRPr="00A31137" w:rsidRDefault="00A31137" w:rsidP="00A31137">
      <w:r w:rsidRPr="00A31137">
        <w:t>Public Papers of Clinton, 1993, p.1110</w:t>
      </w:r>
    </w:p>
    <w:p w:rsidR="00A31137" w:rsidRPr="00A31137" w:rsidRDefault="00A31137" w:rsidP="00A31137">
      <w:r w:rsidRPr="00A31137">
        <w:t>Fourth, the ban has been lifted in other nations and in police and fire departments in our country with no discernible negative impact on unit cohesion or capacity to do the job, though there is admittedly no absolute analogy to the situation we face and no study bearing on this specific issue.</w:t>
      </w:r>
    </w:p>
    <w:p w:rsidR="00A31137" w:rsidRPr="00A31137" w:rsidRDefault="00A31137" w:rsidP="00A31137">
      <w:r w:rsidRPr="00A31137">
        <w:t>Public Papers of Clinton, 1993, p.1110</w:t>
      </w:r>
    </w:p>
    <w:p w:rsidR="00A31137" w:rsidRPr="00A31137" w:rsidRDefault="00A31137" w:rsidP="00A31137">
      <w:r w:rsidRPr="00A31137">
        <w:t>Fifth, even if the ban were lifted entirely, the experience of other nations and police and fire departments in the United States indicates that most homosexuals would probably not declare their sexual orientation openly, thereby making an already hard life even more difficult in some circumstances.</w:t>
      </w:r>
    </w:p>
    <w:p w:rsidR="00A31137" w:rsidRPr="00A31137" w:rsidRDefault="00A31137" w:rsidP="00A31137">
      <w:r w:rsidRPr="00A31137">
        <w:t>Public Papers of Clinton, 1993, p.1110</w:t>
      </w:r>
    </w:p>
    <w:p w:rsidR="00A31137" w:rsidRPr="00A31137" w:rsidRDefault="00A31137" w:rsidP="00A31137">
      <w:r w:rsidRPr="00A31137">
        <w:t>But as the sociologist Charles Moskos noted after spending many years studying the American military, the issue may be tougher to resolve here in the United States than in Canada, Australia, and in some other nations because of the presence in our country of both vocal gay rights groups and equally vocal antigay rights groups, including some religious groups who believe that lifting the ban amounts to endorsing a lifestyle they strongly disapprove of.</w:t>
      </w:r>
    </w:p>
    <w:p w:rsidR="00A31137" w:rsidRPr="00A31137" w:rsidRDefault="00A31137" w:rsidP="00A31137">
      <w:r w:rsidRPr="00A31137">
        <w:t>Public Papers of Clinton, 1993, p.1110</w:t>
      </w:r>
    </w:p>
    <w:p w:rsidR="00A31137" w:rsidRPr="00A31137" w:rsidRDefault="00A31137" w:rsidP="00A31137">
      <w:r w:rsidRPr="00A31137">
        <w:t>Clearly the American people are deeply divided on this issue, with most military people opposed to lifting the ban because of the feared impact on unit cohesion, rooted in disapproval of homosexual lifestyles and the fear of invasion of privacy of heterosexual soldiers who must live and work in close quarters with homosexual military people. However, those who have studied this issue extensively have discovered an interesting fact. People in this country who are aware of having known homosexuals are far more likely to support lifting the ban. In other words, they are likely to see this issue in terms of individual conduct and individual capacity instead of the claims of a group with which they do not agree and also to be able to imagine how this ban could be lifted without a destructive impact on group cohesion and morale.</w:t>
      </w:r>
    </w:p>
    <w:p w:rsidR="00A31137" w:rsidRPr="00A31137" w:rsidRDefault="00A31137" w:rsidP="00A31137">
      <w:r w:rsidRPr="00A31137">
        <w:t>Public Papers of Clinton, 1993, p.1110</w:t>
      </w:r>
    </w:p>
    <w:p w:rsidR="00A31137" w:rsidRPr="00A31137" w:rsidRDefault="00A31137" w:rsidP="00A31137">
      <w:r w:rsidRPr="00A31137">
        <w:t>Shortly after I took office and reaffirmed my position, the foes of lifting the ban in the Congress moved to enshrine the ban in law. I asked that congressional action be delayed for 6 months while the Secretary of Defense worked with the Joint Chiefs to come up with a proposal for changing our current policy. I then met with the Joint Chiefs to hear their concerns and asked them to try to work through the issue with Secretary Aspin. I wanted to handle the matter in this way on grounds of both principle and practicality.</w:t>
      </w:r>
    </w:p>
    <w:p w:rsidR="00A31137" w:rsidRPr="00A31137" w:rsidRDefault="00A31137" w:rsidP="00A31137">
      <w:r w:rsidRPr="00A31137">
        <w:t>Public Papers of Clinton, 1993, p.1110</w:t>
      </w:r>
    </w:p>
    <w:p w:rsidR="00A31137" w:rsidRPr="00A31137" w:rsidRDefault="00A31137" w:rsidP="00A31137">
      <w:r w:rsidRPr="00A31137">
        <w:t>As a matter of principle, it is my duty as Commander in Chief to uphold the high standards of combat readiness and unit cohesion of the world's finest fighting force, while doing my duty as President to protect the rights of individual Americans and to put to use the abilities of all the American people. And I was determined to serve this principle as fully as possible through practical action, knowing this fact about our system of government: While the Commander in Chief and the Secretary of Defense can change military personnel policies, Congress can reverse those changes by law in ways that are difficult, if not impossible, to veto.</w:t>
      </w:r>
    </w:p>
    <w:p w:rsidR="00A31137" w:rsidRPr="00A31137" w:rsidRDefault="00A31137" w:rsidP="00A31137">
      <w:r w:rsidRPr="00A31137">
        <w:t>Public Papers of Clinton, 1993, p.1110–p.1111</w:t>
      </w:r>
    </w:p>
    <w:p w:rsidR="00A31137" w:rsidRPr="00A31137" w:rsidRDefault="00A31137" w:rsidP="00A31137">
      <w:r w:rsidRPr="00A31137">
        <w:t>For months now, the Secretary of Defense and the Service Chiefs have worked through this issue in a highly charged, deeply emotional environment, struggling to come to terms with the competing consideration and pressures and, [p.1111] frankly, to work through their own ideas and deep feelings.</w:t>
      </w:r>
    </w:p>
    <w:p w:rsidR="00A31137" w:rsidRPr="00A31137" w:rsidRDefault="00A31137" w:rsidP="00A31137">
      <w:r w:rsidRPr="00A31137">
        <w:t>Public Papers of Clinton, 1993, p.1111</w:t>
      </w:r>
    </w:p>
    <w:p w:rsidR="00A31137" w:rsidRPr="00A31137" w:rsidRDefault="00A31137" w:rsidP="00A31137">
      <w:r w:rsidRPr="00A31137">
        <w:t>During this time many dedicated Americans have come forward to state their own views on this issue. Most, but not all, of the military testimony has been against lifting the ban. But support for changing the policy has come from distinguished combat veterans, including Senators Bob Kerrey, Chuck Robb, and John Kerry in the United States Congress. It has come from Lawrence Korb, who enforced the gay ban during the Reagan administration, and from former Senator Barry Goldwater, a distinguished veteran, former chairman of the Senate Armed Services Committee, founder of the Arizona National Guard, and patron saint of the conservative wing of the Republican Party.</w:t>
      </w:r>
    </w:p>
    <w:p w:rsidR="00A31137" w:rsidRPr="00A31137" w:rsidRDefault="00A31137" w:rsidP="00A31137">
      <w:r w:rsidRPr="00A31137">
        <w:t>Public Papers of Clinton, 1993, p.1111</w:t>
      </w:r>
    </w:p>
    <w:p w:rsidR="00A31137" w:rsidRPr="00A31137" w:rsidRDefault="00A31137" w:rsidP="00A31137">
      <w:r w:rsidRPr="00A31137">
        <w:t>Senator Goldwater's statement, published in the Washington Post recently, made it crystal clear that when this matter is viewed as an issue of individual opportunity and responsibility rather than one of alleged group rights, this is not a call for cultural license but rather a reaffirmation of the American value of extending opportunity to responsible individuals and of limiting the role of Government over citizens' private lives.</w:t>
      </w:r>
    </w:p>
    <w:p w:rsidR="00A31137" w:rsidRPr="00A31137" w:rsidRDefault="00A31137" w:rsidP="00A31137">
      <w:r w:rsidRPr="00A31137">
        <w:t>Public Papers of Clinton, 1993, p.1111</w:t>
      </w:r>
    </w:p>
    <w:p w:rsidR="00A31137" w:rsidRPr="00A31137" w:rsidRDefault="00A31137" w:rsidP="00A31137">
      <w:r w:rsidRPr="00A31137">
        <w:t>On the other hand, those who oppose lifting the ban are clearly focused not on the conduct of individual gay service members but on how nongay service members feel about gays in general and in particular those in the military service.</w:t>
      </w:r>
    </w:p>
    <w:p w:rsidR="00A31137" w:rsidRPr="00A31137" w:rsidRDefault="00A31137" w:rsidP="00A31137">
      <w:r w:rsidRPr="00A31137">
        <w:t>Public Papers of Clinton, 1993, p.1111</w:t>
      </w:r>
    </w:p>
    <w:p w:rsidR="00A31137" w:rsidRPr="00A31137" w:rsidRDefault="00A31137" w:rsidP="00A31137">
      <w:r w:rsidRPr="00A31137">
        <w:t>These past few days I have been in contact with the Secretary of Defense as he has worked through the final stages of this policy with the Joint Chiefs. We now have a policy that is a substantial advance over the one in place when I took office. I have ordered Secretary Aspin to issue a directive consisting of these essential elements: One, service men and women will be judged based on their conduct, not their sexual orientation. Two, therefore the practice, now 6 months old, of not asking about sexual orientation in the enlistment procedure will continue. Three, an open statement by a service member that he or she is a homosexual will create a rebuttable presumption that he or she intends to engage in prohibited conduct, but the service member will be given an opportunity to refute that presumption; in other words, to demonstrate that he or she intends to live by the rules of conduct that apply in the military service. And four, all provisions of the Uniform Code of Military Justice will be enforced in an even-handed manner as regards both heterosexuals and homosexuals. And thanks to the policy provisions agreed to by the Joint Chiefs, there will be a decent regard to the legitimate privacy and associational rights of all service members.</w:t>
      </w:r>
    </w:p>
    <w:p w:rsidR="00A31137" w:rsidRPr="00A31137" w:rsidRDefault="00A31137" w:rsidP="00A31137">
      <w:r w:rsidRPr="00A31137">
        <w:t>Public Papers of Clinton, 1993, p.1111</w:t>
      </w:r>
    </w:p>
    <w:p w:rsidR="00A31137" w:rsidRPr="00A31137" w:rsidRDefault="00A31137" w:rsidP="00A31137">
      <w:r w:rsidRPr="00A31137">
        <w:t>Just as is the case under current policy, unacceptable conduct, either heterosexual or homosexual, will be unacceptable 24 hours a day, 7 days a week from the time a recruit joins the service until the day he or she is discharged. Now, as in the past, every member of our military will be required to comply with the Uniform Code of Military Justice, which is Federal law, and military regulations at all times and in all places.</w:t>
      </w:r>
    </w:p>
    <w:p w:rsidR="00A31137" w:rsidRPr="00A31137" w:rsidRDefault="00A31137" w:rsidP="00A31137">
      <w:r w:rsidRPr="00A31137">
        <w:t>Public Papers of Clinton, 1993, p.1111</w:t>
      </w:r>
    </w:p>
    <w:p w:rsidR="00A31137" w:rsidRPr="00A31137" w:rsidRDefault="00A31137" w:rsidP="00A31137">
      <w:r w:rsidRPr="00A31137">
        <w:t>Let me say a few words now about this policy. It is not a perfect solution. It is not identical with some of my own goals. And it certainly will not please everyone, perhaps not anyone, and clearly not those who hold the most adamant opinions on either side of this issue.</w:t>
      </w:r>
    </w:p>
    <w:p w:rsidR="00A31137" w:rsidRPr="00A31137" w:rsidRDefault="00A31137" w:rsidP="00A31137">
      <w:r w:rsidRPr="00A31137">
        <w:t>Public Papers of Clinton, 1993, p.1111</w:t>
      </w:r>
    </w:p>
    <w:p w:rsidR="00A31137" w:rsidRPr="00A31137" w:rsidRDefault="00A31137" w:rsidP="00A31137">
      <w:r w:rsidRPr="00A31137">
        <w:t>But those who wish to ignore the issue must understand that it is already tearing at the cohesion of the military and it is today being considered by the Federal courts in ways that may not be to the liking of those who oppose any change. And those who want the ban to be lifted completely on both status and conduct must understand that such action would have faced certain and decisive reversal by the Congress and the cause for which many have fought for years would be delayed, probably for years.</w:t>
      </w:r>
    </w:p>
    <w:p w:rsidR="00A31137" w:rsidRPr="00A31137" w:rsidRDefault="00A31137" w:rsidP="00A31137">
      <w:r w:rsidRPr="00A31137">
        <w:t>Public Papers of Clinton, 1993, p.1111</w:t>
      </w:r>
    </w:p>
    <w:p w:rsidR="00A31137" w:rsidRPr="00A31137" w:rsidRDefault="00A31137" w:rsidP="00A31137">
      <w:r w:rsidRPr="00A31137">
        <w:t>Thus, on grounds of both principle and practicality, this is a major step forward. It is, in my judgment, consistent with my responsibilities as President and Commander in Chief to meet the need to change current policy. It is an honorable compromise that advances the cause of people who are called to serve our country by their patriotism, the cause of our national security, and our national interest in resolving an issue that has divided our military and our Nation and diverted our attention from other matters for too long.</w:t>
      </w:r>
    </w:p>
    <w:p w:rsidR="00A31137" w:rsidRPr="00A31137" w:rsidRDefault="00A31137" w:rsidP="00A31137">
      <w:r w:rsidRPr="00A31137">
        <w:t>Public Papers of Clinton, 1993, p.1111–p.1112</w:t>
      </w:r>
    </w:p>
    <w:p w:rsidR="00A31137" w:rsidRPr="00A31137" w:rsidRDefault="00A31137" w:rsidP="00A31137">
      <w:r w:rsidRPr="00A31137">
        <w:t>The time has come for us to move forward. As your Commander in Chief, I charge all of you to carry out this policy with fairness, with balance, and with due regard for the privacy of individuals. We must and will protect unit cohesion and troop morale. We must and will continue to have the best fighting force in the world. But this is an end to witch hunts that [p.1112] spend millions of taxpayer dollars to ferret out individuals who have served their country well. Improper conduct, on or off base, should remain grounds for discharge. But we will proceed with an even hand against everyone, regardless of sexual orientation.</w:t>
      </w:r>
    </w:p>
    <w:p w:rsidR="00A31137" w:rsidRPr="00A31137" w:rsidRDefault="00A31137" w:rsidP="00A31137">
      <w:r w:rsidRPr="00A31137">
        <w:t>Public Papers of Clinton, 1993, p.1112</w:t>
      </w:r>
    </w:p>
    <w:p w:rsidR="00A31137" w:rsidRPr="00A31137" w:rsidRDefault="00A31137" w:rsidP="00A31137">
      <w:r w:rsidRPr="00A31137">
        <w:t>Such controversies as this have divided us before. But our Nation and our military have always risen to the challenge before. That was true of racial integration of the military and changes in the role of women in the military. Each of these was an issue, because it was an issue for society as well as for the military. And in each case our military was a leader in figuring out how to respond most effectively.</w:t>
      </w:r>
    </w:p>
    <w:p w:rsidR="00A31137" w:rsidRPr="00A31137" w:rsidRDefault="00A31137" w:rsidP="00A31137">
      <w:r w:rsidRPr="00A31137">
        <w:t>Public Papers of Clinton, 1993, p.1112</w:t>
      </w:r>
    </w:p>
    <w:p w:rsidR="00A31137" w:rsidRPr="00A31137" w:rsidRDefault="00A31137" w:rsidP="00A31137">
      <w:r w:rsidRPr="00A31137">
        <w:t>In the early 1970's, when President Nixon decided to transform our military into an all volunteer force, many argued that it could not work. They said it would ruin our forces. But the leaders of our military not only made it work, they used the concept of an all-volunteer force to build the very finest fighting force our Nation and the world have ever known.</w:t>
      </w:r>
    </w:p>
    <w:p w:rsidR="00A31137" w:rsidRPr="00A31137" w:rsidRDefault="00A31137" w:rsidP="00A31137">
      <w:r w:rsidRPr="00A31137">
        <w:t>Public Papers of Clinton, 1993, p.1112</w:t>
      </w:r>
    </w:p>
    <w:p w:rsidR="00A31137" w:rsidRPr="00A31137" w:rsidRDefault="00A31137" w:rsidP="00A31137">
      <w:r w:rsidRPr="00A31137">
        <w:t>Ultimately, the success of this policy will depend in large measure on the commitment it receives from the leaders of the military services. I very much respect and commend the Joint Chiefs for the good-faith effort they have made through this whole endeavor. And I thank General Powell, the Joint Chiefs, and the Commandant of the Coast Guard for joining me here today and for their support of this policy.</w:t>
      </w:r>
    </w:p>
    <w:p w:rsidR="00A31137" w:rsidRPr="00A31137" w:rsidRDefault="00A31137" w:rsidP="00A31137">
      <w:r w:rsidRPr="00A31137">
        <w:t>Public Papers of Clinton, 1993, p.1112</w:t>
      </w:r>
    </w:p>
    <w:p w:rsidR="00A31137" w:rsidRPr="00A31137" w:rsidRDefault="00A31137" w:rsidP="00A31137">
      <w:r w:rsidRPr="00A31137">
        <w:t>I would also like to thank those who lobbied aggressively in behalf of changing the policy, including Congressman Barney Frank; Congressman Gerry Studds; and the Campaign for Military Service, who worked with us and who clearly will not agree with every aspect of the policy announced today, but who should take some solace in knowing that their efforts have helped to produce a strong advance for the cause they seek to serve.</w:t>
      </w:r>
    </w:p>
    <w:p w:rsidR="00A31137" w:rsidRPr="00A31137" w:rsidRDefault="00A31137" w:rsidP="00A31137">
      <w:r w:rsidRPr="00A31137">
        <w:t>Public Papers of Clinton, 1993, p.1112</w:t>
      </w:r>
    </w:p>
    <w:p w:rsidR="00A31137" w:rsidRPr="00A31137" w:rsidRDefault="00A31137" w:rsidP="00A31137">
      <w:r w:rsidRPr="00A31137">
        <w:t>I must now look to General Powell, to the Joint Chiefs, to all the other leaders in our military to carry out this policy through effective training and leadership. Every officer will be expected to exert the necessary effort to make this policy work. That has been the key every time the military has successfully addressed a new challenge, and it will be key in this effort, too.</w:t>
      </w:r>
    </w:p>
    <w:p w:rsidR="00A31137" w:rsidRPr="00A31137" w:rsidRDefault="00A31137" w:rsidP="00A31137">
      <w:r w:rsidRPr="00A31137">
        <w:t>Public Papers of Clinton, 1993, p.1112</w:t>
      </w:r>
    </w:p>
    <w:p w:rsidR="00A31137" w:rsidRPr="00A31137" w:rsidRDefault="00A31137" w:rsidP="00A31137">
      <w:r w:rsidRPr="00A31137">
        <w:t>Our military is a conservative institution, and I say that in the very best sense, for its purpose is to conserve the fighting spirit of our troops, to conserve the resources and the capacity of our troops, to conserve the military lessons acquired during our Nation's existence, to conserve our very security, and yes, to conserve the liberties of the American people. Because it is a conservative institution, it is right for the military to be wary of sudden changes. Because it is an institution that embodies the best of America and must reflect the society in which it operates, it is also right for the military to make changes when the time for change is at hand.</w:t>
      </w:r>
    </w:p>
    <w:p w:rsidR="00A31137" w:rsidRPr="00A31137" w:rsidRDefault="00A31137" w:rsidP="00A31137">
      <w:r w:rsidRPr="00A31137">
        <w:t>Public Papers of Clinton, 1993, p.1112</w:t>
      </w:r>
    </w:p>
    <w:p w:rsidR="00A31137" w:rsidRPr="00A31137" w:rsidRDefault="00A31137" w:rsidP="00A31137">
      <w:r w:rsidRPr="00A31137">
        <w:t>I strongly believe that our military, like our society, needs the talents of every person who wants to make a contribution and who is ready to live by the rules. That is the heart of the policy that I have announced today. I hope in your heart you will find the will and the desire to support it and to lead our military in incorporating it into our Nation's great asset and the world's best fighting force.</w:t>
      </w:r>
    </w:p>
    <w:p w:rsidR="00A31137" w:rsidRPr="00A31137" w:rsidRDefault="00A31137" w:rsidP="00A31137">
      <w:r w:rsidRPr="00A31137">
        <w:t>Public Papers of Clinton, 1993, p.1112</w:t>
      </w:r>
    </w:p>
    <w:p w:rsidR="00A31137" w:rsidRPr="00A31137" w:rsidRDefault="00A31137" w:rsidP="00A31137">
      <w:r w:rsidRPr="00A31137">
        <w:t>Thank you very much.</w:t>
      </w:r>
    </w:p>
    <w:p w:rsidR="00A31137" w:rsidRPr="00A31137" w:rsidRDefault="00A31137" w:rsidP="00A31137">
      <w:r w:rsidRPr="00A31137">
        <w:t>Public Papers of Clinton, 1993, p.1112</w:t>
      </w:r>
    </w:p>
    <w:p w:rsidR="00A31137" w:rsidRPr="00A31137" w:rsidRDefault="00A31137" w:rsidP="00A31137">
      <w:r w:rsidRPr="00A31137">
        <w:t xml:space="preserve">NOTE: The President spoke at 2:36 p.m. at the National Defense University at Fort McNair. </w:t>
      </w:r>
    </w:p>
    <w:p w:rsidR="00A31137" w:rsidRPr="00A31137" w:rsidRDefault="00A31137" w:rsidP="00A31137">
      <w:r w:rsidRPr="00A31137">
        <w:t>President Clinton's Interview With Larry King, July 1993</w:t>
      </w:r>
    </w:p>
    <w:p w:rsidR="00A31137" w:rsidRPr="00A31137" w:rsidRDefault="00A31137" w:rsidP="00A31137">
      <w:r w:rsidRPr="00A31137">
        <w:t>Title:</w:t>
      </w:r>
      <w:r w:rsidRPr="00A31137">
        <w:tab/>
        <w:t>President Clinton's Interview With Larry King, July 1993</w:t>
      </w:r>
    </w:p>
    <w:p w:rsidR="00A31137" w:rsidRPr="00A31137" w:rsidRDefault="00A31137" w:rsidP="00A31137">
      <w:r w:rsidRPr="00A31137">
        <w:t>Author:</w:t>
      </w:r>
      <w:r w:rsidRPr="00A31137">
        <w:tab/>
        <w:t>Bill Clinton and Larry King</w:t>
      </w:r>
    </w:p>
    <w:p w:rsidR="00A31137" w:rsidRPr="00A31137" w:rsidRDefault="00A31137" w:rsidP="00A31137">
      <w:r w:rsidRPr="00A31137">
        <w:t>Date:</w:t>
      </w:r>
      <w:r w:rsidRPr="00A31137">
        <w:tab/>
        <w:t>July 20, 1993</w:t>
      </w:r>
    </w:p>
    <w:p w:rsidR="00A31137" w:rsidRPr="00A31137" w:rsidRDefault="00A31137" w:rsidP="00A31137">
      <w:r w:rsidRPr="00A31137">
        <w:t>Source:</w:t>
      </w:r>
      <w:r w:rsidRPr="00A31137">
        <w:tab/>
        <w:t>Public Papers of the Presidents, Clinton, 1993, pp.1137-1148</w:t>
      </w:r>
    </w:p>
    <w:p w:rsidR="00A31137" w:rsidRPr="00A31137" w:rsidRDefault="00A31137" w:rsidP="00A31137">
      <w:r w:rsidRPr="00A31137">
        <w:t>The Presidency</w:t>
      </w:r>
    </w:p>
    <w:p w:rsidR="00A31137" w:rsidRPr="00A31137" w:rsidRDefault="00A31137" w:rsidP="00A31137">
      <w:r w:rsidRPr="00A31137">
        <w:t>Public Papers of Clinton, 1993, p.1137</w:t>
      </w:r>
    </w:p>
    <w:p w:rsidR="00A31137" w:rsidRPr="00A31137" w:rsidRDefault="00A31137" w:rsidP="00A31137">
      <w:r w:rsidRPr="00A31137">
        <w:t>Mr. King. Good evening. Back in Louisville, about 3 days before the election, President Clinton said on this program, "I'll come on every 6 months." This is the 6-month anniversary. The timing is perfect. Tonight is 6 months in office for Clinton-Gore.</w:t>
      </w:r>
    </w:p>
    <w:p w:rsidR="00A31137" w:rsidRPr="00A31137" w:rsidRDefault="00A31137" w:rsidP="00A31137">
      <w:r w:rsidRPr="00A31137">
        <w:t>Public Papers of Clinton, 1993, p.1137</w:t>
      </w:r>
    </w:p>
    <w:p w:rsidR="00A31137" w:rsidRPr="00A31137" w:rsidRDefault="00A31137" w:rsidP="00A31137">
      <w:r w:rsidRPr="00A31137">
        <w:t>Before we get into some what we'll do is cover some current issues, talk about the budget, take calls. OK? But first, there's no way you could plan for this job, so what about it surprises you the most?</w:t>
      </w:r>
    </w:p>
    <w:p w:rsidR="00A31137" w:rsidRPr="00A31137" w:rsidRDefault="00A31137" w:rsidP="00A31137">
      <w:r w:rsidRPr="00A31137">
        <w:t>Public Papers of Clinton, 1993, p.1137</w:t>
      </w:r>
    </w:p>
    <w:p w:rsidR="00A31137" w:rsidRPr="00A31137" w:rsidRDefault="00A31137" w:rsidP="00A31137">
      <w:r w:rsidRPr="00A31137">
        <w:t>The President. It's hard to say. I've learned a lot in the last 6 months, and as much as I have followed this over 20 years, I think there are some things that you could not have anticipated. I think the thing that has surprised me most is how difficult it is, even for the President, if you're going to take on big changes and try to make big things happen, to really keep communicating exactly what you're about to the American people.</w:t>
      </w:r>
    </w:p>
    <w:p w:rsidR="00A31137" w:rsidRPr="00A31137" w:rsidRDefault="00A31137" w:rsidP="00A31137">
      <w:r w:rsidRPr="00A31137">
        <w:t>Public Papers of Clinton, 1993, p.1137</w:t>
      </w:r>
    </w:p>
    <w:p w:rsidR="00A31137" w:rsidRPr="00A31137" w:rsidRDefault="00A31137" w:rsidP="00A31137">
      <w:r w:rsidRPr="00A31137">
        <w:t>Mr. King. And why is that hard?</w:t>
      </w:r>
    </w:p>
    <w:p w:rsidR="00A31137" w:rsidRPr="00A31137" w:rsidRDefault="00A31137" w:rsidP="00A31137">
      <w:r w:rsidRPr="00A31137">
        <w:t>Public Papers of Clinton, 1993, p.1137</w:t>
      </w:r>
    </w:p>
    <w:p w:rsidR="00A31137" w:rsidRPr="00A31137" w:rsidRDefault="00A31137" w:rsidP="00A31137">
      <w:r w:rsidRPr="00A31137">
        <w:t>The President. I think because there's so much else in the atmosphere, first; and secondly, because when you do something like this big economic plan we're pushing, only the controversy is newsworthy at a time when there's so much else to cover. So I'm trying always to remind people, look, we've got as many spending cuts, or more, than tax increases; that the upper income people, people over $200,000, are paying 70 percent of the burden, and that the middle class is paying very little; the working poor are paying nothing. All the details I try to get into.</w:t>
      </w:r>
    </w:p>
    <w:p w:rsidR="00A31137" w:rsidRPr="00A31137" w:rsidRDefault="00A31137" w:rsidP="00A31137">
      <w:r w:rsidRPr="00A31137">
        <w:t>Public Papers of Clinton, 1993, p.1137</w:t>
      </w:r>
    </w:p>
    <w:p w:rsidR="00A31137" w:rsidRPr="00A31137" w:rsidRDefault="00A31137" w:rsidP="00A31137">
      <w:r w:rsidRPr="00A31137">
        <w:t>But it's very difficult. And we found that the American people knew the most on February 17th, the night I announced the plan and went through it point by point, and that since then, the sort of yelling and rhetoric and screaming and back and forth, that I have lost the ability to make sure everybody knows the things I want them to know. And I feel very badly about that.</w:t>
      </w:r>
    </w:p>
    <w:p w:rsidR="00A31137" w:rsidRPr="00A31137" w:rsidRDefault="00A31137" w:rsidP="00A31137">
      <w:r w:rsidRPr="00A31137">
        <w:t>Public Papers of Clinton, 1993, p.1137–p.1138</w:t>
      </w:r>
    </w:p>
    <w:p w:rsidR="00A31137" w:rsidRPr="00A31137" w:rsidRDefault="00A31137" w:rsidP="00A31137">
      <w:r w:rsidRPr="00A31137">
        <w:t>Mr. King. Is that everybody's fault? I mean, [p.1138] is it your fault? Media fault?</w:t>
      </w:r>
    </w:p>
    <w:p w:rsidR="00A31137" w:rsidRPr="00A31137" w:rsidRDefault="00A31137" w:rsidP="00A31137">
      <w:r w:rsidRPr="00A31137">
        <w:t>Public Papers of Clinton, 1993, p.1138</w:t>
      </w:r>
    </w:p>
    <w:p w:rsidR="00A31137" w:rsidRPr="00A31137" w:rsidRDefault="00A31137" w:rsidP="00A31137">
      <w:r w:rsidRPr="00A31137">
        <w:t>The President. I think certainly so. I mean, I'm not trying to shift responsibility away from myself. But you asked me. That's been a real surprise to me because when I was a Governor in a smaller place where lots of people knew me, even if I were doing something that was quite unpopular with the media, say, and they were criticizing me, I could always get my side out there, my points. The essential facts would be out there. And that, to me, has been the most frustrating thing.</w:t>
      </w:r>
    </w:p>
    <w:p w:rsidR="00A31137" w:rsidRPr="00A31137" w:rsidRDefault="00A31137" w:rsidP="00A31137">
      <w:r w:rsidRPr="00A31137">
        <w:t>Public Papers of Clinton, 1993, p.1138</w:t>
      </w:r>
    </w:p>
    <w:p w:rsidR="00A31137" w:rsidRPr="00A31137" w:rsidRDefault="00A31137" w:rsidP="00A31137">
      <w:r w:rsidRPr="00A31137">
        <w:t>And also when you're President, you have to make a lot of tough decisions. You just have to keep lining them up and making them, whether it's base closings or the very difficult problems in the Pacific Northwest with the forests or the whole litany of things that we've done here: the POW/MIA issue and how we're going to deal with Vietnam, the FBI, the gays in the military, you name it. And they keep coming in quick succession. You can't just say, "Okay, stop the world. I'm going to just work on this. I'm not going to make these other decisions." You have to keep going.</w:t>
      </w:r>
    </w:p>
    <w:p w:rsidR="00A31137" w:rsidRPr="00A31137" w:rsidRDefault="00A31137" w:rsidP="00A31137">
      <w:r w:rsidRPr="00A31137">
        <w:t>Public Papers of Clinton, 1993, p.1138</w:t>
      </w:r>
    </w:p>
    <w:p w:rsidR="00A31137" w:rsidRPr="00A31137" w:rsidRDefault="00A31137" w:rsidP="00A31137">
      <w:r w:rsidRPr="00A31137">
        <w:t>Mr. King. We were talking before we went on about Elvis Presley and isolation. And I was saying that I thought he had a more isolated life than you do. But this is an isolated life in here, isn't it?</w:t>
      </w:r>
    </w:p>
    <w:p w:rsidR="00A31137" w:rsidRPr="00A31137" w:rsidRDefault="00A31137" w:rsidP="00A31137">
      <w:r w:rsidRPr="00A31137">
        <w:t>Public Papers of Clinton, 1993, p.1138</w:t>
      </w:r>
    </w:p>
    <w:p w:rsidR="00A31137" w:rsidRPr="00A31137" w:rsidRDefault="00A31137" w:rsidP="00A31137">
      <w:r w:rsidRPr="00A31137">
        <w:t>The President. It can be very isolating.</w:t>
      </w:r>
    </w:p>
    <w:p w:rsidR="00A31137" w:rsidRPr="00A31137" w:rsidRDefault="00A31137" w:rsidP="00A31137">
      <w:r w:rsidRPr="00A31137">
        <w:t>Public Papers of Clinton, 1993, p.1138</w:t>
      </w:r>
    </w:p>
    <w:p w:rsidR="00A31137" w:rsidRPr="00A31137" w:rsidRDefault="00A31137" w:rsidP="00A31137">
      <w:r w:rsidRPr="00A31137">
        <w:t>Mr. King. Do you have to fight it?</w:t>
      </w:r>
    </w:p>
    <w:p w:rsidR="00A31137" w:rsidRPr="00A31137" w:rsidRDefault="00A31137" w:rsidP="00A31137">
      <w:r w:rsidRPr="00A31137">
        <w:t>Public Papers of Clinton, 1993, p.1138</w:t>
      </w:r>
    </w:p>
    <w:p w:rsidR="00A31137" w:rsidRPr="00A31137" w:rsidRDefault="00A31137" w:rsidP="00A31137">
      <w:r w:rsidRPr="00A31137">
        <w:t>The President. I fight it all the time. And it can be isolating for two reasons. One is there is so much to do that you have to be very disciplined about your time. And I think the more I've been in this office, the more conscious I've become of it and, I think, the more disciplined I've become about my time. But discipline means deciding things you won't do, people you won't see, calls you won't make.</w:t>
      </w:r>
    </w:p>
    <w:p w:rsidR="00A31137" w:rsidRPr="00A31137" w:rsidRDefault="00A31137" w:rsidP="00A31137">
      <w:r w:rsidRPr="00A31137">
        <w:t>Public Papers of Clinton, 1993, p.1138</w:t>
      </w:r>
    </w:p>
    <w:p w:rsidR="00A31137" w:rsidRPr="00A31137" w:rsidRDefault="00A31137" w:rsidP="00A31137">
      <w:r w:rsidRPr="00A31137">
        <w:t>The second problem is, frankly, the security problem. The—</w:t>
      </w:r>
    </w:p>
    <w:p w:rsidR="00A31137" w:rsidRPr="00A31137" w:rsidRDefault="00A31137" w:rsidP="00A31137">
      <w:r w:rsidRPr="00A31137">
        <w:t>Public Papers of Clinton, 1993, p.1138</w:t>
      </w:r>
    </w:p>
    <w:p w:rsidR="00A31137" w:rsidRPr="00A31137" w:rsidRDefault="00A31137" w:rsidP="00A31137">
      <w:r w:rsidRPr="00A31137">
        <w:t>Mr. King. How so?</w:t>
      </w:r>
    </w:p>
    <w:p w:rsidR="00A31137" w:rsidRPr="00A31137" w:rsidRDefault="00A31137" w:rsidP="00A31137">
      <w:r w:rsidRPr="00A31137">
        <w:t>Public Papers of Clinton, 1993, p.1138</w:t>
      </w:r>
    </w:p>
    <w:p w:rsidR="00A31137" w:rsidRPr="00A31137" w:rsidRDefault="00A31137" w:rsidP="00A31137">
      <w:r w:rsidRPr="00A31137">
        <w:t>The President. Well, I think the Secret Service do a very, very good job. But if your job is to keep the President from being harmed in a world full of people who may have some reason to do it, may have the means to do it, obviously the best thing would be if you put him in a bulletproof room and walked out, if you see what I mean.</w:t>
      </w:r>
    </w:p>
    <w:p w:rsidR="00A31137" w:rsidRPr="00A31137" w:rsidRDefault="00A31137" w:rsidP="00A31137">
      <w:r w:rsidRPr="00A31137">
        <w:t>Public Papers of Clinton, 1993, p.1138</w:t>
      </w:r>
    </w:p>
    <w:p w:rsidR="00A31137" w:rsidRPr="00A31137" w:rsidRDefault="00A31137" w:rsidP="00A31137">
      <w:r w:rsidRPr="00A31137">
        <w:t>Mr. King. You couldn't stand that.</w:t>
      </w:r>
    </w:p>
    <w:p w:rsidR="00A31137" w:rsidRPr="00A31137" w:rsidRDefault="00A31137" w:rsidP="00A31137">
      <w:r w:rsidRPr="00A31137">
        <w:t>Public Papers of Clinton, 1993, p.1138</w:t>
      </w:r>
    </w:p>
    <w:p w:rsidR="00A31137" w:rsidRPr="00A31137" w:rsidRDefault="00A31137" w:rsidP="00A31137">
      <w:r w:rsidRPr="00A31137">
        <w:t>The President. No, I couldn't stand that. So they do a terrific job. But we've worked out our accommodations so that I can at least run every day. I run different routes, and we do different things. And I try to get out and see the people when I can.</w:t>
      </w:r>
    </w:p>
    <w:p w:rsidR="00A31137" w:rsidRPr="00A31137" w:rsidRDefault="00A31137" w:rsidP="00A31137">
      <w:r w:rsidRPr="00A31137">
        <w:t>Public Papers of Clinton, 1993, p.1138</w:t>
      </w:r>
    </w:p>
    <w:p w:rsidR="00A31137" w:rsidRPr="00A31137" w:rsidRDefault="00A31137" w:rsidP="00A31137">
      <w:r w:rsidRPr="00A31137">
        <w:t>Mr. King. Is it hard to understand their job for you?</w:t>
      </w:r>
    </w:p>
    <w:p w:rsidR="00A31137" w:rsidRPr="00A31137" w:rsidRDefault="00A31137" w:rsidP="00A31137">
      <w:r w:rsidRPr="00A31137">
        <w:t>Public Papers of Clinton, 1993, p.1138</w:t>
      </w:r>
    </w:p>
    <w:p w:rsidR="00A31137" w:rsidRPr="00A31137" w:rsidRDefault="00A31137" w:rsidP="00A31137">
      <w:r w:rsidRPr="00A31137">
        <w:t>The President. It's much easier now. I really respect them; they've got a very tough job. And I make it harder because I'm a real people person, you know. I like to be out there. But I think it's an important job. But if you don't spend some time with just ordinary people who tell you what they think, hey, you almost forget how to hear and how to listen and how to speak and the way that most people live.</w:t>
      </w:r>
    </w:p>
    <w:p w:rsidR="00A31137" w:rsidRPr="00A31137" w:rsidRDefault="00A31137" w:rsidP="00A31137">
      <w:r w:rsidRPr="00A31137">
        <w:t>Public Papers of Clinton, 1993, p.1138</w:t>
      </w:r>
    </w:p>
    <w:p w:rsidR="00A31137" w:rsidRPr="00A31137" w:rsidRDefault="00A31137" w:rsidP="00A31137">
      <w:r w:rsidRPr="00A31137">
        <w:t>Mr. King. By the way, have you seen "In the Line of Fire"?</w:t>
      </w:r>
    </w:p>
    <w:p w:rsidR="00A31137" w:rsidRPr="00A31137" w:rsidRDefault="00A31137" w:rsidP="00A31137">
      <w:r w:rsidRPr="00A31137">
        <w:t>Public Papers of Clinton, 1993, p.1138</w:t>
      </w:r>
    </w:p>
    <w:p w:rsidR="00A31137" w:rsidRPr="00A31137" w:rsidRDefault="00A31137" w:rsidP="00A31137">
      <w:r w:rsidRPr="00A31137">
        <w:t>The President. Yes, I watched it last night.</w:t>
      </w:r>
    </w:p>
    <w:p w:rsidR="00A31137" w:rsidRPr="00A31137" w:rsidRDefault="00A31137" w:rsidP="00A31137">
      <w:r w:rsidRPr="00A31137">
        <w:t>Public Papers of Clinton, 1993, p.1138</w:t>
      </w:r>
    </w:p>
    <w:p w:rsidR="00A31137" w:rsidRPr="00A31137" w:rsidRDefault="00A31137" w:rsidP="00A31137">
      <w:r w:rsidRPr="00A31137">
        <w:t>Mr. King. What did you think?</w:t>
      </w:r>
    </w:p>
    <w:p w:rsidR="00A31137" w:rsidRPr="00A31137" w:rsidRDefault="00A31137" w:rsidP="00A31137">
      <w:r w:rsidRPr="00A31137">
        <w:t>Public Papers of Clinton, 1993, p.1138</w:t>
      </w:r>
    </w:p>
    <w:p w:rsidR="00A31137" w:rsidRPr="00A31137" w:rsidRDefault="00A31137" w:rsidP="00A31137">
      <w:r w:rsidRPr="00A31137">
        <w:t>The President. I thought Eastwood was terrific. I thought he was good in "Unforgiven." I think he's good in this. I think he's making the best movies he's ever made.</w:t>
      </w:r>
    </w:p>
    <w:p w:rsidR="00A31137" w:rsidRPr="00A31137" w:rsidRDefault="00A31137" w:rsidP="00A31137">
      <w:r w:rsidRPr="00A31137">
        <w:t>Public Papers of Clinton, 1993, p.1138</w:t>
      </w:r>
    </w:p>
    <w:p w:rsidR="00A31137" w:rsidRPr="00A31137" w:rsidRDefault="00A31137" w:rsidP="00A31137">
      <w:r w:rsidRPr="00A31137">
        <w:t>Mr. King. Did you like the movie?</w:t>
      </w:r>
    </w:p>
    <w:p w:rsidR="00A31137" w:rsidRPr="00A31137" w:rsidRDefault="00A31137" w:rsidP="00A31137">
      <w:r w:rsidRPr="00A31137">
        <w:t>Public Papers of Clinton, 1993, p.1138</w:t>
      </w:r>
    </w:p>
    <w:p w:rsidR="00A31137" w:rsidRPr="00A31137" w:rsidRDefault="00A31137" w:rsidP="00A31137">
      <w:r w:rsidRPr="00A31137">
        <w:t>The President. I liked the movie very much.</w:t>
      </w:r>
    </w:p>
    <w:p w:rsidR="00A31137" w:rsidRPr="00A31137" w:rsidRDefault="00A31137" w:rsidP="00A31137">
      <w:r w:rsidRPr="00A31137">
        <w:t>Public Papers of Clinton, 1993, p.1138</w:t>
      </w:r>
    </w:p>
    <w:p w:rsidR="00A31137" w:rsidRPr="00A31137" w:rsidRDefault="00A31137" w:rsidP="00A31137">
      <w:r w:rsidRPr="00A31137">
        <w:t>Mr. King. Was it realistic?</w:t>
      </w:r>
    </w:p>
    <w:p w:rsidR="00A31137" w:rsidRPr="00A31137" w:rsidRDefault="00A31137" w:rsidP="00A31137">
      <w:r w:rsidRPr="00A31137">
        <w:t>Public Papers of Clinton, 1993, p.1138</w:t>
      </w:r>
    </w:p>
    <w:p w:rsidR="00A31137" w:rsidRPr="00A31137" w:rsidRDefault="00A31137" w:rsidP="00A31137">
      <w:r w:rsidRPr="00A31137">
        <w:t>The President. I think it was as realistic as it could be and still be a real rip-roaring thriller, you know. [Laughter]</w:t>
      </w:r>
    </w:p>
    <w:p w:rsidR="00A31137" w:rsidRPr="00A31137" w:rsidRDefault="00A31137" w:rsidP="00A31137">
      <w:r w:rsidRPr="00A31137">
        <w:t>Homosexuals in the Military</w:t>
      </w:r>
    </w:p>
    <w:p w:rsidR="00A31137" w:rsidRPr="00A31137" w:rsidRDefault="00A31137" w:rsidP="00A31137">
      <w:r w:rsidRPr="00A31137">
        <w:t>Public Papers of Clinton, 1993, p.1138</w:t>
      </w:r>
    </w:p>
    <w:p w:rsidR="00A31137" w:rsidRPr="00A31137" w:rsidRDefault="00A31137" w:rsidP="00A31137">
      <w:r w:rsidRPr="00A31137">
        <w:t>Mr. King. We helped their business a lot. Let's touch some other bases. Okay. First, today Secretary of Defense Aspin appears with what looked like the entire military in the world before Senator Nunn's committee. And Senator Nunn finishes by saying he still wants to go to Congress, but he's inclined to support it. Is this a plus for you today?</w:t>
      </w:r>
    </w:p>
    <w:p w:rsidR="00A31137" w:rsidRPr="00A31137" w:rsidRDefault="00A31137" w:rsidP="00A31137">
      <w:r w:rsidRPr="00A31137">
        <w:t>Public Papers of Clinton, 1993, p.1138</w:t>
      </w:r>
    </w:p>
    <w:p w:rsidR="00A31137" w:rsidRPr="00A31137" w:rsidRDefault="00A31137" w:rsidP="00A31137">
      <w:r w:rsidRPr="00A31137">
        <w:t>The President. I think it is a plus. The Joint Chiefs came a long way on this policy from where they were back in January when we talked.</w:t>
      </w:r>
    </w:p>
    <w:p w:rsidR="00A31137" w:rsidRPr="00A31137" w:rsidRDefault="00A31137" w:rsidP="00A31137">
      <w:r w:rsidRPr="00A31137">
        <w:t>Public Papers of Clinton, 1993, p.1138</w:t>
      </w:r>
    </w:p>
    <w:p w:rsidR="00A31137" w:rsidRPr="00A31137" w:rsidRDefault="00A31137" w:rsidP="00A31137">
      <w:r w:rsidRPr="00A31137">
        <w:t>Mr. King. When they were almost totally against it, period.</w:t>
      </w:r>
    </w:p>
    <w:p w:rsidR="00A31137" w:rsidRPr="00A31137" w:rsidRDefault="00A31137" w:rsidP="00A31137">
      <w:r w:rsidRPr="00A31137">
        <w:t>Public Papers of Clinton, 1993, p.1138–p.1139</w:t>
      </w:r>
    </w:p>
    <w:p w:rsidR="00A31137" w:rsidRPr="00A31137" w:rsidRDefault="00A31137" w:rsidP="00A31137">
      <w:r w:rsidRPr="00A31137">
        <w:t>The President. Completely against changing it at all; grudgingly said, "Well, we'll stop asking," and none of the things that were in this policy except for that. And I commend them. They really tried hard to come to grips with this. And they know that there are and always have been homosexuals in the service who served with real distinction. They and the Secretary [p.1139] of Defense deserve a lot of credit. But also, frankly, the people who argued for an even broader policy deserve a lot of credit: the Campaign for Military Service, Congressman Studds, Congressman Frank. They worked hard to try to come to grips with this. I don't think anyone was fully satisfied with the result, but I believe it's the best we can do right now.</w:t>
      </w:r>
    </w:p>
    <w:p w:rsidR="00A31137" w:rsidRPr="00A31137" w:rsidRDefault="00A31137" w:rsidP="00A31137">
      <w:r w:rsidRPr="00A31137">
        <w:t>Public Papers of Clinton, 1993, p.1139</w:t>
      </w:r>
    </w:p>
    <w:p w:rsidR="00A31137" w:rsidRPr="00A31137" w:rsidRDefault="00A31137" w:rsidP="00A31137">
      <w:r w:rsidRPr="00A31137">
        <w:t>Mr. King. Were you in a no-win?</w:t>
      </w:r>
    </w:p>
    <w:p w:rsidR="00A31137" w:rsidRPr="00A31137" w:rsidRDefault="00A31137" w:rsidP="00A31137">
      <w:r w:rsidRPr="00A31137">
        <w:t>Public Papers of Clinton, 1993, p.1139</w:t>
      </w:r>
    </w:p>
    <w:p w:rsidR="00A31137" w:rsidRPr="00A31137" w:rsidRDefault="00A31137" w:rsidP="00A31137">
      <w:r w:rsidRPr="00A31137">
        <w:t>The President. Well, I don't know. I don't view it that way. It depends on what the standard is. I was in a no-win if the only way I win is to do exactly what I think is right and—</w:t>
      </w:r>
    </w:p>
    <w:p w:rsidR="00A31137" w:rsidRPr="00A31137" w:rsidRDefault="00A31137" w:rsidP="00A31137">
      <w:r w:rsidRPr="00A31137">
        <w:t>Public Papers of Clinton, 1993, p.1139</w:t>
      </w:r>
    </w:p>
    <w:p w:rsidR="00A31137" w:rsidRPr="00A31137" w:rsidRDefault="00A31137" w:rsidP="00A31137">
      <w:r w:rsidRPr="00A31137">
        <w:t>Mr. King. Which would have been, sign them and let them in, right?</w:t>
      </w:r>
    </w:p>
    <w:p w:rsidR="00A31137" w:rsidRPr="00A31137" w:rsidRDefault="00A31137" w:rsidP="00A31137">
      <w:r w:rsidRPr="00A31137">
        <w:t>Public Papers of Clinton, 1993, p.1139</w:t>
      </w:r>
    </w:p>
    <w:p w:rsidR="00A31137" w:rsidRPr="00A31137" w:rsidRDefault="00A31137" w:rsidP="00A31137">
      <w:r w:rsidRPr="00A31137">
        <w:t>The President. Yes. But I think it's very important when you hear the criticism of it from the left, if you will. What I said was that I thought that status should be the judge—should not be the judge. It ought to be conduct, not your orientation. That's what the policy is now. I further said that I thought a person ought to be able to say, "I'm gay." And as long as they didn't do anything that violated the rules, they should be able to stay.</w:t>
      </w:r>
    </w:p>
    <w:p w:rsidR="00A31137" w:rsidRPr="00A31137" w:rsidRDefault="00A31137" w:rsidP="00A31137">
      <w:r w:rsidRPr="00A31137">
        <w:t>Public Papers of Clinton, 1993, p.1139</w:t>
      </w:r>
    </w:p>
    <w:p w:rsidR="00A31137" w:rsidRPr="00A31137" w:rsidRDefault="00A31137" w:rsidP="00A31137">
      <w:r w:rsidRPr="00A31137">
        <w:t>Mr. King. That's now true.</w:t>
      </w:r>
    </w:p>
    <w:p w:rsidR="00A31137" w:rsidRPr="00A31137" w:rsidRDefault="00A31137" w:rsidP="00A31137">
      <w:r w:rsidRPr="00A31137">
        <w:t>Public Papers of Clinton, 1993, p.1139</w:t>
      </w:r>
    </w:p>
    <w:p w:rsidR="00A31137" w:rsidRPr="00A31137" w:rsidRDefault="00A31137" w:rsidP="00A31137">
      <w:r w:rsidRPr="00A31137">
        <w:t>The President. That's only true in a restricted way. Now if you say it, it creates a presumption that you're going to do something wrong while you're in the military, but you are given the opportunity to present evidence that you won't, to convince, in effect, your commander that you will observe the rules. But I never promised to change the rules of conduct. That's in the Uniform Code of Military Justice. That's the way it is.</w:t>
      </w:r>
    </w:p>
    <w:p w:rsidR="00A31137" w:rsidRPr="00A31137" w:rsidRDefault="00A31137" w:rsidP="00A31137">
      <w:r w:rsidRPr="00A31137">
        <w:t>Public Papers of Clinton, 1993, p.1139</w:t>
      </w:r>
    </w:p>
    <w:p w:rsidR="00A31137" w:rsidRPr="00A31137" w:rsidRDefault="00A31137" w:rsidP="00A31137">
      <w:r w:rsidRPr="00A31137">
        <w:t>Now, to be fair to the Joint Chiefs, they agreed to go further on matters of privacy and association than I ever discussed in the campaign. So this provides dramatically increased protection and a range of privacy for present and future soldiers who happen to be homosexuals but happen to be good military people.</w:t>
      </w:r>
    </w:p>
    <w:p w:rsidR="00A31137" w:rsidRPr="00A31137" w:rsidRDefault="00A31137" w:rsidP="00A31137">
      <w:r w:rsidRPr="00A31137">
        <w:t>Public Papers of Clinton, 1993, p.1139</w:t>
      </w:r>
    </w:p>
    <w:p w:rsidR="00A31137" w:rsidRPr="00A31137" w:rsidRDefault="00A31137" w:rsidP="00A31137">
      <w:r w:rsidRPr="00A31137">
        <w:t>Mr. King. So in other words, you filled your promise.</w:t>
      </w:r>
    </w:p>
    <w:p w:rsidR="00A31137" w:rsidRPr="00A31137" w:rsidRDefault="00A31137" w:rsidP="00A31137">
      <w:r w:rsidRPr="00A31137">
        <w:t>Public Papers of Clinton, 1993, p.1139</w:t>
      </w:r>
    </w:p>
    <w:p w:rsidR="00A31137" w:rsidRPr="00A31137" w:rsidRDefault="00A31137" w:rsidP="00A31137">
      <w:r w:rsidRPr="00A31137">
        <w:t>The President. I did, except for the fact that we were not able to do precisely what I wanted, which was to give people the freedom to acknowledge their sexual orientation as long as they were following the rules of conduct. Today if you do that, it can get you in trouble, but you have the option to convince your commander that you really are following the rules. So I don't think it goes quite as far as I wanted on statements. On the other hand, it goes quite a bit further to protect private conduct on the rules of investigation than I anticipated.</w:t>
      </w:r>
    </w:p>
    <w:p w:rsidR="00A31137" w:rsidRPr="00A31137" w:rsidRDefault="00A31137" w:rsidP="00A31137">
      <w:r w:rsidRPr="00A31137">
        <w:t>Public Papers of Clinton, 1993, p.1139</w:t>
      </w:r>
    </w:p>
    <w:p w:rsidR="00A31137" w:rsidRPr="00A31137" w:rsidRDefault="00A31137" w:rsidP="00A31137">
      <w:r w:rsidRPr="00A31137">
        <w:t>Mr. King. What do you make of Senator Nunn in all of this?</w:t>
      </w:r>
    </w:p>
    <w:p w:rsidR="00A31137" w:rsidRPr="00A31137" w:rsidRDefault="00A31137" w:rsidP="00A31137">
      <w:r w:rsidRPr="00A31137">
        <w:t>Public Papers of Clinton, 1993, p.1139</w:t>
      </w:r>
    </w:p>
    <w:p w:rsidR="00A31137" w:rsidRPr="00A31137" w:rsidRDefault="00A31137" w:rsidP="00A31137">
      <w:r w:rsidRPr="00A31137">
        <w:t>The President. I think first of all, he doesn't agree with my position, but I think he's worked hard, too, to try to come to grips with the reality of this, to open his mind and heart to the arguments on both sides. And I think he feels a special stewardship for the military. He's been chairman of the Armed Services Committee for a long time. He wants to make sure that if this is going to be the policy and he's going to support it, that it is legally defensible. And I think he's doing what he thinks is his job.</w:t>
      </w:r>
    </w:p>
    <w:p w:rsidR="00A31137" w:rsidRPr="00A31137" w:rsidRDefault="00A31137" w:rsidP="00A31137">
      <w:r w:rsidRPr="00A31137">
        <w:t>Public Papers of Clinton, 1993, p.1139</w:t>
      </w:r>
    </w:p>
    <w:p w:rsidR="00A31137" w:rsidRPr="00A31137" w:rsidRDefault="00A31137" w:rsidP="00A31137">
      <w:r w:rsidRPr="00A31137">
        <w:t>Mr. King. Do you think it will pass in the Senate?</w:t>
      </w:r>
    </w:p>
    <w:p w:rsidR="00A31137" w:rsidRPr="00A31137" w:rsidRDefault="00A31137" w:rsidP="00A31137">
      <w:r w:rsidRPr="00A31137">
        <w:t>Public Papers of Clinton, 1993, p.1139</w:t>
      </w:r>
    </w:p>
    <w:p w:rsidR="00A31137" w:rsidRPr="00A31137" w:rsidRDefault="00A31137" w:rsidP="00A31137">
      <w:r w:rsidRPr="00A31137">
        <w:t>The President. I do. I think if I had done what I wanted to do, the Senate and the House would have reversed it.</w:t>
      </w:r>
    </w:p>
    <w:p w:rsidR="00A31137" w:rsidRPr="00A31137" w:rsidRDefault="00A31137" w:rsidP="00A31137">
      <w:r w:rsidRPr="00A31137">
        <w:t>Reaction to Criticism</w:t>
      </w:r>
    </w:p>
    <w:p w:rsidR="00A31137" w:rsidRPr="00A31137" w:rsidRDefault="00A31137" w:rsidP="00A31137">
      <w:r w:rsidRPr="00A31137">
        <w:t>Public Papers of Clinton, 1993, p.1139</w:t>
      </w:r>
    </w:p>
    <w:p w:rsidR="00A31137" w:rsidRPr="00A31137" w:rsidRDefault="00A31137" w:rsidP="00A31137">
      <w:r w:rsidRPr="00A31137">
        <w:t>Mr. King. How do you take—before we take a break, and then we're going to get to the economy—bashing? You know, the heat that a President takes, and you've been taking a lot of it. How do you deal with that?</w:t>
      </w:r>
    </w:p>
    <w:p w:rsidR="00A31137" w:rsidRPr="00A31137" w:rsidRDefault="00A31137" w:rsidP="00A31137">
      <w:r w:rsidRPr="00A31137">
        <w:t>Public Papers of Clinton, 1993, p.1139</w:t>
      </w:r>
    </w:p>
    <w:p w:rsidR="00A31137" w:rsidRPr="00A31137" w:rsidRDefault="00A31137" w:rsidP="00A31137">
      <w:r w:rsidRPr="00A31137">
        <w:t>The President. Well, it's all part of it.</w:t>
      </w:r>
    </w:p>
    <w:p w:rsidR="00A31137" w:rsidRPr="00A31137" w:rsidRDefault="00A31137" w:rsidP="00A31137">
      <w:r w:rsidRPr="00A31137">
        <w:t>Public Papers of Clinton, 1993, p.1139</w:t>
      </w:r>
    </w:p>
    <w:p w:rsidR="00A31137" w:rsidRPr="00A31137" w:rsidRDefault="00A31137" w:rsidP="00A31137">
      <w:r w:rsidRPr="00A31137">
        <w:t>Mr. King. It rolls off you?</w:t>
      </w:r>
    </w:p>
    <w:p w:rsidR="00A31137" w:rsidRPr="00A31137" w:rsidRDefault="00A31137" w:rsidP="00A31137">
      <w:r w:rsidRPr="00A31137">
        <w:t>Public Papers of Clinton, 1993, p.1139</w:t>
      </w:r>
    </w:p>
    <w:p w:rsidR="00A31137" w:rsidRPr="00A31137" w:rsidRDefault="00A31137" w:rsidP="00A31137">
      <w:r w:rsidRPr="00A31137">
        <w:t>The President. Most of it rolls off of me; not all of it. If I think something is particularly unfair—the only thing that really bothers me, if you want to know the truth, is when I think that the bashing is in some area that prevents the American people from focusing on what we're doing about the things they care about that are most important, or if it undermines my ability to get things done.</w:t>
      </w:r>
    </w:p>
    <w:p w:rsidR="00A31137" w:rsidRPr="00A31137" w:rsidRDefault="00A31137" w:rsidP="00A31137">
      <w:r w:rsidRPr="00A31137">
        <w:t>Public Papers of Clinton, 1993, p.1139</w:t>
      </w:r>
    </w:p>
    <w:p w:rsidR="00A31137" w:rsidRPr="00A31137" w:rsidRDefault="00A31137" w:rsidP="00A31137">
      <w:r w:rsidRPr="00A31137">
        <w:t>The criticism is a part of the job, and, frankly-you know Benjamin Franklin said a long time ago, "Our critics can be our friends, for they show us our faults." Sometimes our critics show us our faults, and I try to listen and learn from my critics. But if I think they're diverting the attention of the American people from the real issues or the whole thing is undermining my ability to do what I was elected to do, that bothers me. But just to be criticized, shoot, that's part of it.</w:t>
      </w:r>
    </w:p>
    <w:p w:rsidR="00A31137" w:rsidRPr="00A31137" w:rsidRDefault="00A31137" w:rsidP="00A31137">
      <w:r w:rsidRPr="00A31137">
        <w:t>[At this point, the stations took a commercial break. ]</w:t>
      </w:r>
    </w:p>
    <w:p w:rsidR="00A31137" w:rsidRPr="00A31137" w:rsidRDefault="00A31137" w:rsidP="00A31137">
      <w:r w:rsidRPr="00A31137">
        <w:t>Midwest Disaster Assistance</w:t>
      </w:r>
    </w:p>
    <w:p w:rsidR="00A31137" w:rsidRPr="00A31137" w:rsidRDefault="00A31137" w:rsidP="00A31137">
      <w:r w:rsidRPr="00A31137">
        <w:t>Public Papers of Clinton, 1993, p.1140</w:t>
      </w:r>
    </w:p>
    <w:p w:rsidR="00A31137" w:rsidRPr="00A31137" w:rsidRDefault="00A31137" w:rsidP="00A31137">
      <w:r w:rsidRPr="00A31137">
        <w:t>Mr. King. We're back with President Clinton. A couple of other bases, then the economy. Where do you get your money for the floods? Where does that come from?</w:t>
      </w:r>
    </w:p>
    <w:p w:rsidR="00A31137" w:rsidRPr="00A31137" w:rsidRDefault="00A31137" w:rsidP="00A31137">
      <w:r w:rsidRPr="00A31137">
        <w:t>Public Papers of Clinton, 1993, p.1140</w:t>
      </w:r>
    </w:p>
    <w:p w:rsidR="00A31137" w:rsidRPr="00A31137" w:rsidRDefault="00A31137" w:rsidP="00A31137">
      <w:r w:rsidRPr="00A31137">
        <w:t>The President. It comes from emergency appropriations. That is, we just add it to our spending this year. That's the way we've traditionally handled emergencies in America. And this year, thankfully, our deficit is well down because the interest rates have come down so much that we expect a big drop in the deficit over and above what we thought it would be.</w:t>
      </w:r>
    </w:p>
    <w:p w:rsidR="00A31137" w:rsidRPr="00A31137" w:rsidRDefault="00A31137" w:rsidP="00A31137">
      <w:r w:rsidRPr="00A31137">
        <w:t>Public Papers of Clinton, 1993, p.1140</w:t>
      </w:r>
    </w:p>
    <w:p w:rsidR="00A31137" w:rsidRPr="00A31137" w:rsidRDefault="00A31137" w:rsidP="00A31137">
      <w:r w:rsidRPr="00A31137">
        <w:t>Mr. King. So it's going to be $2.5 billion almost in some States—</w:t>
      </w:r>
    </w:p>
    <w:p w:rsidR="00A31137" w:rsidRPr="00A31137" w:rsidRDefault="00A31137" w:rsidP="00A31137">
      <w:r w:rsidRPr="00A31137">
        <w:t>Public Papers of Clinton, 1993, p.1140</w:t>
      </w:r>
    </w:p>
    <w:p w:rsidR="00A31137" w:rsidRPr="00A31137" w:rsidRDefault="00A31137" w:rsidP="00A31137">
      <w:r w:rsidRPr="00A31137">
        <w:t>The President. Well, we have upped our request to almost $3 billion now, and it may have to be revised upward again. Keep in mind, we can't hold harmless everybody from every loss, but there are programs to help businesses, farms, communities, and individuals who are out of work and who have no means of support.</w:t>
      </w:r>
    </w:p>
    <w:p w:rsidR="00A31137" w:rsidRPr="00A31137" w:rsidRDefault="00A31137" w:rsidP="00A31137">
      <w:r w:rsidRPr="00A31137">
        <w:t>Public Papers of Clinton, 1993, p.1140</w:t>
      </w:r>
    </w:p>
    <w:p w:rsidR="00A31137" w:rsidRPr="00A31137" w:rsidRDefault="00A31137" w:rsidP="00A31137">
      <w:r w:rsidRPr="00A31137">
        <w:t>Mr. King. Can you waive the State matching funds?</w:t>
      </w:r>
    </w:p>
    <w:p w:rsidR="00A31137" w:rsidRPr="00A31137" w:rsidRDefault="00A31137" w:rsidP="00A31137">
      <w:r w:rsidRPr="00A31137">
        <w:t>Public Papers of Clinton, 1993, p.1140</w:t>
      </w:r>
    </w:p>
    <w:p w:rsidR="00A31137" w:rsidRPr="00A31137" w:rsidRDefault="00A31137" w:rsidP="00A31137">
      <w:r w:rsidRPr="00A31137">
        <w:t>The President. I can do it. I can waive it, or we can write it down some.</w:t>
      </w:r>
    </w:p>
    <w:p w:rsidR="00A31137" w:rsidRPr="00A31137" w:rsidRDefault="00A31137" w:rsidP="00A31137">
      <w:r w:rsidRPr="00A31137">
        <w:t>Public Papers of Clinton, 1993, p.1140</w:t>
      </w:r>
    </w:p>
    <w:p w:rsidR="00A31137" w:rsidRPr="00A31137" w:rsidRDefault="00A31137" w:rsidP="00A31137">
      <w:r w:rsidRPr="00A31137">
        <w:t>Mr. King. What are you going to do?</w:t>
      </w:r>
    </w:p>
    <w:p w:rsidR="00A31137" w:rsidRPr="00A31137" w:rsidRDefault="00A31137" w:rsidP="00A31137">
      <w:r w:rsidRPr="00A31137">
        <w:t>Public Papers of Clinton, 1993, p.1140</w:t>
      </w:r>
    </w:p>
    <w:p w:rsidR="00A31137" w:rsidRPr="00A31137" w:rsidRDefault="00A31137" w:rsidP="00A31137">
      <w:r w:rsidRPr="00A31137">
        <w:t>The President. It depends on what the facts of each State are, how much problem they've got, how much of a burden it would be.</w:t>
      </w:r>
    </w:p>
    <w:p w:rsidR="00A31137" w:rsidRPr="00A31137" w:rsidRDefault="00A31137" w:rsidP="00A31137">
      <w:r w:rsidRPr="00A31137">
        <w:t>Public Papers of Clinton, 1993, p.1140</w:t>
      </w:r>
    </w:p>
    <w:p w:rsidR="00A31137" w:rsidRPr="00A31137" w:rsidRDefault="00A31137" w:rsidP="00A31137">
      <w:r w:rsidRPr="00A31137">
        <w:t>Mr. King. It'll be State by State?</w:t>
      </w:r>
    </w:p>
    <w:p w:rsidR="00A31137" w:rsidRPr="00A31137" w:rsidRDefault="00A31137" w:rsidP="00A31137">
      <w:r w:rsidRPr="00A31137">
        <w:t>Public Papers of Clinton, 1993, p.1140</w:t>
      </w:r>
    </w:p>
    <w:p w:rsidR="00A31137" w:rsidRPr="00A31137" w:rsidRDefault="00A31137" w:rsidP="00A31137">
      <w:r w:rsidRPr="00A31137">
        <w:t>The President. Yes, we'll have to look at it on a State-by-State basis, I think. I think that's the only fair way to do it.</w:t>
      </w:r>
    </w:p>
    <w:p w:rsidR="00A31137" w:rsidRPr="00A31137" w:rsidRDefault="00A31137" w:rsidP="00A31137">
      <w:r w:rsidRPr="00A31137">
        <w:t>FBI Director</w:t>
      </w:r>
    </w:p>
    <w:p w:rsidR="00A31137" w:rsidRPr="00A31137" w:rsidRDefault="00A31137" w:rsidP="00A31137">
      <w:r w:rsidRPr="00A31137">
        <w:t>Public Papers of Clinton, 1993, p.1140</w:t>
      </w:r>
    </w:p>
    <w:p w:rsidR="00A31137" w:rsidRPr="00A31137" w:rsidRDefault="00A31137" w:rsidP="00A31137">
      <w:r w:rsidRPr="00A31137">
        <w:t>Mr. King. Was it hard to fire Mr. Sessions? The President. It was not hard, but it was sad for me. I admire the FBI greatly. I had a lot of contact with former FBI officers, had several of them in my administration. My criminal justice adviser was once the number two man in the FBI. My chief of staff for some time was a retired FBI agent. I love the FBI, and I hated to be the first President ever to have to fire a Director. But he said that that's the way he wanted it. He refused to resign, and I felt I had no choice.</w:t>
      </w:r>
    </w:p>
    <w:p w:rsidR="00A31137" w:rsidRPr="00A31137" w:rsidRDefault="00A31137" w:rsidP="00A31137">
      <w:r w:rsidRPr="00A31137">
        <w:t>Public Papers of Clinton, 1993, p.1140</w:t>
      </w:r>
    </w:p>
    <w:p w:rsidR="00A31137" w:rsidRPr="00A31137" w:rsidRDefault="00A31137" w:rsidP="00A31137">
      <w:r w:rsidRPr="00A31137">
        <w:t>I do think that Louis Freeh, the Federal judge whom I appointed today, will be a sterling FBI Director.</w:t>
      </w:r>
    </w:p>
    <w:p w:rsidR="00A31137" w:rsidRPr="00A31137" w:rsidRDefault="00A31137" w:rsidP="00A31137">
      <w:r w:rsidRPr="00A31137">
        <w:t>Public Papers of Clinton, 1993, p.1140</w:t>
      </w:r>
    </w:p>
    <w:p w:rsidR="00A31137" w:rsidRPr="00A31137" w:rsidRDefault="00A31137" w:rsidP="00A31137">
      <w:r w:rsidRPr="00A31137">
        <w:t>Mr. King. The word is, this guy, where's he been? This guy is, like, flawless.</w:t>
      </w:r>
    </w:p>
    <w:p w:rsidR="00A31137" w:rsidRPr="00A31137" w:rsidRDefault="00A31137" w:rsidP="00A31137">
      <w:r w:rsidRPr="00A31137">
        <w:t>Public Papers of Clinton, 1993, p.1140</w:t>
      </w:r>
    </w:p>
    <w:p w:rsidR="00A31137" w:rsidRPr="00A31137" w:rsidRDefault="00A31137" w:rsidP="00A31137">
      <w:r w:rsidRPr="00A31137">
        <w:t>The President. Well, he's an amazing man. I mean, he grew up in a working-class family in Jersey City. He married a wonderful girl from Pittsburgh, whose dad was a steel worker. He worked his way through law school. He's my kind of guy, you know, just from the heartland.</w:t>
      </w:r>
    </w:p>
    <w:p w:rsidR="00A31137" w:rsidRPr="00A31137" w:rsidRDefault="00A31137" w:rsidP="00A31137">
      <w:r w:rsidRPr="00A31137">
        <w:t>Public Papers of Clinton, 1993, p.1140</w:t>
      </w:r>
    </w:p>
    <w:p w:rsidR="00A31137" w:rsidRPr="00A31137" w:rsidRDefault="00A31137" w:rsidP="00A31137">
      <w:r w:rsidRPr="00A31137">
        <w:t>Mr. King. That "flawless" is the quote from the guy who did the investigation.</w:t>
      </w:r>
    </w:p>
    <w:p w:rsidR="00A31137" w:rsidRPr="00A31137" w:rsidRDefault="00A31137" w:rsidP="00A31137">
      <w:r w:rsidRPr="00A31137">
        <w:t>Public Papers of Clinton, 1993, p.1140</w:t>
      </w:r>
    </w:p>
    <w:p w:rsidR="00A31137" w:rsidRPr="00A31137" w:rsidRDefault="00A31137" w:rsidP="00A31137">
      <w:r w:rsidRPr="00A31137">
        <w:t>The President. Absolutely. Well, then he was a great FBI agent, and then he was a prosecutor. He did the Pizza Connection case which was then the biggest heroin ring ever broken in the United States. He investigated a seafront corruption and brought indictments against 125 people. And then that awful mail bombing-two murders in the South, the Federal judge, the civil rights leader—he broke that case when people thought it could never be broken, and then he prosecuted it himself. He has really been an amazing success, and as you know, President Bush made him a Federal judge. And I think it's really a testimony to his character that he was willing to leave a lifetime job to be Director of the FBI, because he knew the Agency needed him.</w:t>
      </w:r>
    </w:p>
    <w:p w:rsidR="00A31137" w:rsidRPr="00A31137" w:rsidRDefault="00A31137" w:rsidP="00A31137">
      <w:r w:rsidRPr="00A31137">
        <w:t>Public Papers of Clinton, 1993, p.1140</w:t>
      </w:r>
    </w:p>
    <w:p w:rsidR="00A31137" w:rsidRPr="00A31137" w:rsidRDefault="00A31137" w:rsidP="00A31137">
      <w:r w:rsidRPr="00A31137">
        <w:t>Mr. King. He's also very big in the area of civil rights, is he not?</w:t>
      </w:r>
    </w:p>
    <w:p w:rsidR="00A31137" w:rsidRPr="00A31137" w:rsidRDefault="00A31137" w:rsidP="00A31137">
      <w:r w:rsidRPr="00A31137">
        <w:t>Public Papers of Clinton, 1993, p.1140</w:t>
      </w:r>
    </w:p>
    <w:p w:rsidR="00A31137" w:rsidRPr="00A31137" w:rsidRDefault="00A31137" w:rsidP="00A31137">
      <w:r w:rsidRPr="00A31137">
        <w:t>The President. That's right. That was a big thing with me. I wanted somebody who was tough on crime, but who knew the FBI had to bring in more women and minorities. They've been behind on that. And they're moving, and I want to give Judge Sessions credit for that. He did a good job on that, trying to open the Bureau, and Judge Freeh said he'd continue it.</w:t>
      </w:r>
    </w:p>
    <w:p w:rsidR="00A31137" w:rsidRPr="00A31137" w:rsidRDefault="00A31137" w:rsidP="00A31137">
      <w:r w:rsidRPr="00A31137">
        <w:t>Supreme Court Nominee</w:t>
      </w:r>
    </w:p>
    <w:p w:rsidR="00A31137" w:rsidRPr="00A31137" w:rsidRDefault="00A31137" w:rsidP="00A31137">
      <w:r w:rsidRPr="00A31137">
        <w:t>Public Papers of Clinton, 1993, p.1140</w:t>
      </w:r>
    </w:p>
    <w:p w:rsidR="00A31137" w:rsidRPr="00A31137" w:rsidRDefault="00A31137" w:rsidP="00A31137">
      <w:r w:rsidRPr="00A31137">
        <w:t>Mr. King. Do you expect Judge Ginsburg to be approved easily?</w:t>
      </w:r>
    </w:p>
    <w:p w:rsidR="00A31137" w:rsidRPr="00A31137" w:rsidRDefault="00A31137" w:rsidP="00A31137">
      <w:r w:rsidRPr="00A31137">
        <w:t>Public Papers of Clinton, 1993, p.1140</w:t>
      </w:r>
    </w:p>
    <w:p w:rsidR="00A31137" w:rsidRPr="00A31137" w:rsidRDefault="00A31137" w:rsidP="00A31137">
      <w:r w:rsidRPr="00A31137">
        <w:t>The President. Yes. I'm very proud of her, and she did real well today, I think. She's an extraordinary woman, as a real pioneer in women's rights, but also, I think, has been a judge in the best sense. She's very hard to categorize as liberal or conservative, but she'll take a tough decision when she thinks it's right.</w:t>
      </w:r>
    </w:p>
    <w:p w:rsidR="00A31137" w:rsidRPr="00A31137" w:rsidRDefault="00A31137" w:rsidP="00A31137">
      <w:r w:rsidRPr="00A31137">
        <w:t>Public Papers of Clinton, 1993, p.1140</w:t>
      </w:r>
    </w:p>
    <w:p w:rsidR="00A31137" w:rsidRPr="00A31137" w:rsidRDefault="00A31137" w:rsidP="00A31137">
      <w:r w:rsidRPr="00A31137">
        <w:t>Mr. King. On your key issue, though, which you said in the campaign, of freedom of choice, you think she'll come through?</w:t>
      </w:r>
    </w:p>
    <w:p w:rsidR="00A31137" w:rsidRPr="00A31137" w:rsidRDefault="00A31137" w:rsidP="00A31137">
      <w:r w:rsidRPr="00A31137">
        <w:t>Public Papers of Clinton, 1993, p.1140</w:t>
      </w:r>
    </w:p>
    <w:p w:rsidR="00A31137" w:rsidRPr="00A31137" w:rsidRDefault="00A31137" w:rsidP="00A31137">
      <w:r w:rsidRPr="00A31137">
        <w:t>The President. Yes. Well, she's got a real record of statement there. I didn't give her any kind of litmus test in the interview; I didn't think it was right.</w:t>
      </w:r>
    </w:p>
    <w:p w:rsidR="00A31137" w:rsidRPr="00A31137" w:rsidRDefault="00A31137" w:rsidP="00A31137">
      <w:r w:rsidRPr="00A31137">
        <w:t>Public Papers of Clinton, 1993, p.1140</w:t>
      </w:r>
    </w:p>
    <w:p w:rsidR="00A31137" w:rsidRPr="00A31137" w:rsidRDefault="00A31137" w:rsidP="00A31137">
      <w:r w:rsidRPr="00A31137">
        <w:t>Mr. King. You didn't?</w:t>
      </w:r>
    </w:p>
    <w:p w:rsidR="00A31137" w:rsidRPr="00A31137" w:rsidRDefault="00A31137" w:rsidP="00A31137">
      <w:r w:rsidRPr="00A31137">
        <w:t>Public Papers of Clinton, 1993, p.1141</w:t>
      </w:r>
    </w:p>
    <w:p w:rsidR="00A31137" w:rsidRPr="00A31137" w:rsidRDefault="00A31137" w:rsidP="00A31137">
      <w:r w:rsidRPr="00A31137">
        <w:t>The President. No. But I was familiar enough with her rulings and her speeches and her statements to know how she felt about that issue.</w:t>
      </w:r>
    </w:p>
    <w:p w:rsidR="00A31137" w:rsidRPr="00A31137" w:rsidRDefault="00A31137" w:rsidP="00A31137">
      <w:r w:rsidRPr="00A31137">
        <w:t>Surgeon General Nominee</w:t>
      </w:r>
    </w:p>
    <w:p w:rsidR="00A31137" w:rsidRPr="00A31137" w:rsidRDefault="00A31137" w:rsidP="00A31137">
      <w:r w:rsidRPr="00A31137">
        <w:t>Public Papers of Clinton, 1993, p.1141</w:t>
      </w:r>
    </w:p>
    <w:p w:rsidR="00A31137" w:rsidRPr="00A31137" w:rsidRDefault="00A31137" w:rsidP="00A31137">
      <w:r w:rsidRPr="00A31137">
        <w:t>Mr. King. And Dr. Elders—standing with her?</w:t>
      </w:r>
    </w:p>
    <w:p w:rsidR="00A31137" w:rsidRPr="00A31137" w:rsidRDefault="00A31137" w:rsidP="00A31137">
      <w:r w:rsidRPr="00A31137">
        <w:t>Public Papers of Clinton, 1993, p.1141</w:t>
      </w:r>
    </w:p>
    <w:p w:rsidR="00A31137" w:rsidRPr="00A31137" w:rsidRDefault="00A31137" w:rsidP="00A31137">
      <w:r w:rsidRPr="00A31137">
        <w:t>The President. Absolutely.</w:t>
      </w:r>
    </w:p>
    <w:p w:rsidR="00A31137" w:rsidRPr="00A31137" w:rsidRDefault="00A31137" w:rsidP="00A31137">
      <w:r w:rsidRPr="00A31137">
        <w:t>Public Papers of Clinton, 1993, p.1141</w:t>
      </w:r>
    </w:p>
    <w:p w:rsidR="00A31137" w:rsidRPr="00A31137" w:rsidRDefault="00A31137" w:rsidP="00A31137">
      <w:r w:rsidRPr="00A31137">
        <w:t>Mr. King. Were you at all dismayed by some of the things she said, "enemy of the fetus" and—</w:t>
      </w:r>
    </w:p>
    <w:p w:rsidR="00A31137" w:rsidRPr="00A31137" w:rsidRDefault="00A31137" w:rsidP="00A31137">
      <w:r w:rsidRPr="00A31137">
        <w:t>Public Papers of Clinton, 1993, p.1141</w:t>
      </w:r>
    </w:p>
    <w:p w:rsidR="00A31137" w:rsidRPr="00A31137" w:rsidRDefault="00A31137" w:rsidP="00A31137">
      <w:r w:rsidRPr="00A31137">
        <w:t>The President. Well, she's a very passionate woman. But I think you have to understand where she came from. I mean, Joycelyn Elders grew up as one of seven children in a cotton field in South Arkansas. She came from nowhere, economically anyway. Her brothers and sisters worked hard to help her get through medical school. She married a man who later became the most successful high school basketball coach in our State, very much a beloved man. And she was a doctor, a professor in the medical school when I finally, after three times, talked her into becoming the health department director.</w:t>
      </w:r>
    </w:p>
    <w:p w:rsidR="00A31137" w:rsidRPr="00A31137" w:rsidRDefault="00A31137" w:rsidP="00A31137">
      <w:r w:rsidRPr="00A31137">
        <w:t>Public Papers of Clinton, 1993, p.1141</w:t>
      </w:r>
    </w:p>
    <w:p w:rsidR="00A31137" w:rsidRPr="00A31137" w:rsidRDefault="00A31137" w:rsidP="00A31137">
      <w:r w:rsidRPr="00A31137">
        <w:t>And she said, "What do you want me to do?" I said, "I want you to fight teen pregnancy, I want you to fight AIDS, I want you to do something about environmental health, and I want us to get infant mortality down." And she found that her passion, in effect, drove her. I mean, she's a very passionate woman. And sometimes she says things in stark and blunt terms that make people draw up. But I think it's fair to say that in our State, which is a pretty old-fashioned, conservative place, she was very popular because people believed she was fighting for children, she was fighting to reduce infant mortality, she was fighting to reduce teen pregnancy. She was not pro-abortion. And, as a matter of fact, in many years I was Governor, the number of abortions performed dropped over the previous years.</w:t>
      </w:r>
    </w:p>
    <w:p w:rsidR="00A31137" w:rsidRPr="00A31137" w:rsidRDefault="00A31137" w:rsidP="00A31137">
      <w:r w:rsidRPr="00A31137">
        <w:t>Public Papers of Clinton, 1993, p.1141</w:t>
      </w:r>
    </w:p>
    <w:p w:rsidR="00A31137" w:rsidRPr="00A31137" w:rsidRDefault="00A31137" w:rsidP="00A31137">
      <w:r w:rsidRPr="00A31137">
        <w:t>Mr. King. So you're not—are you surprised that the far right has kind of taken off on her?</w:t>
      </w:r>
    </w:p>
    <w:p w:rsidR="00A31137" w:rsidRPr="00A31137" w:rsidRDefault="00A31137" w:rsidP="00A31137">
      <w:r w:rsidRPr="00A31137">
        <w:t>The President. No, because she is a lightning rod. They sort of took off on her in Arkansas for a while. But in the end she prevailed because people believed she cared about people. She was trying to save these kids from having babies. She was trying to reduce the infant mortality rate. She was trying to force people to do things—to change their behavior so AIDS wouldn't be communicated.</w:t>
      </w:r>
    </w:p>
    <w:p w:rsidR="00A31137" w:rsidRPr="00A31137" w:rsidRDefault="00A31137" w:rsidP="00A31137">
      <w:r w:rsidRPr="00A31137">
        <w:t>Public Papers of Clinton, 1993, p.1141</w:t>
      </w:r>
    </w:p>
    <w:p w:rsidR="00A31137" w:rsidRPr="00A31137" w:rsidRDefault="00A31137" w:rsidP="00A31137">
      <w:r w:rsidRPr="00A31137">
        <w:t>Mr. King. Will she prevail here, too? Will she be confirmed?</w:t>
      </w:r>
    </w:p>
    <w:p w:rsidR="00A31137" w:rsidRPr="00A31137" w:rsidRDefault="00A31137" w:rsidP="00A31137">
      <w:r w:rsidRPr="00A31137">
        <w:t>Public Papers of Clinton, 1993, p.1141</w:t>
      </w:r>
    </w:p>
    <w:p w:rsidR="00A31137" w:rsidRPr="00A31137" w:rsidRDefault="00A31137" w:rsidP="00A31137">
      <w:r w:rsidRPr="00A31137">
        <w:t>The President. I think she's an extraordinary woman. I'll be very surprised if she's not confirmed.</w:t>
      </w:r>
    </w:p>
    <w:p w:rsidR="00A31137" w:rsidRPr="00A31137" w:rsidRDefault="00A31137" w:rsidP="00A31137">
      <w:r w:rsidRPr="00A31137">
        <w:t>Representative Dan Rostenkowski</w:t>
      </w:r>
    </w:p>
    <w:p w:rsidR="00A31137" w:rsidRPr="00A31137" w:rsidRDefault="00A31137" w:rsidP="00A31137">
      <w:r w:rsidRPr="00A31137">
        <w:t>Public Papers of Clinton, 1993, p.1141</w:t>
      </w:r>
    </w:p>
    <w:p w:rsidR="00A31137" w:rsidRPr="00A31137" w:rsidRDefault="00A31137" w:rsidP="00A31137">
      <w:r w:rsidRPr="00A31137">
        <w:t>Mr. King. Dan Rostenkowski gets into trouble on the eve of maybe the most important time for him in your administration, because he's the spear carrier for the House side for the economic plan. How do you feel about that? What happens if he is indicted? That's a fair question because there's the possibility he could be indicted.</w:t>
      </w:r>
    </w:p>
    <w:p w:rsidR="00A31137" w:rsidRPr="00A31137" w:rsidRDefault="00A31137" w:rsidP="00A31137">
      <w:r w:rsidRPr="00A31137">
        <w:t>Public Papers of Clinton, 1993, p.1141</w:t>
      </w:r>
    </w:p>
    <w:p w:rsidR="00A31137" w:rsidRPr="00A31137" w:rsidRDefault="00A31137" w:rsidP="00A31137">
      <w:r w:rsidRPr="00A31137">
        <w:t>The President. Well, first, about that, of course, I can't comment. I'm not involved, and I shouldn't be, and I can't comment. I can only tell you that I've worked very closely with him and with Senator Moynihan. And he was here today continuing to work. I think, like every other American, he should be given the presumption of innocence.</w:t>
      </w:r>
    </w:p>
    <w:p w:rsidR="00A31137" w:rsidRPr="00A31137" w:rsidRDefault="00A31137" w:rsidP="00A31137">
      <w:r w:rsidRPr="00A31137">
        <w:t>Public Papers of Clinton, 1993, p.1141</w:t>
      </w:r>
    </w:p>
    <w:p w:rsidR="00A31137" w:rsidRPr="00A31137" w:rsidRDefault="00A31137" w:rsidP="00A31137">
      <w:r w:rsidRPr="00A31137">
        <w:t>Mr. King. But what happens if this—</w:t>
      </w:r>
    </w:p>
    <w:p w:rsidR="00A31137" w:rsidRPr="00A31137" w:rsidRDefault="00A31137" w:rsidP="00A31137">
      <w:r w:rsidRPr="00A31137">
        <w:t>Public Papers of Clinton, 1993, p.1141</w:t>
      </w:r>
    </w:p>
    <w:p w:rsidR="00A31137" w:rsidRPr="00A31137" w:rsidRDefault="00A31137" w:rsidP="00A31137">
      <w:r w:rsidRPr="00A31137">
        <w:t>The President. But all I can tell you is his backbone has been a mile wide and awful stiff in this whole thing. He's been a major force in pushing for changes that will finally get this deficit under control and help us to turn our economy around. And I'm going to keep working with him as long as he's here.</w:t>
      </w:r>
    </w:p>
    <w:p w:rsidR="00A31137" w:rsidRPr="00A31137" w:rsidRDefault="00A31137" w:rsidP="00A31137">
      <w:r w:rsidRPr="00A31137">
        <w:t>Public Papers of Clinton, 1993, p.1141</w:t>
      </w:r>
    </w:p>
    <w:p w:rsidR="00A31137" w:rsidRPr="00A31137" w:rsidRDefault="00A31137" w:rsidP="00A31137">
      <w:r w:rsidRPr="00A31137">
        <w:t>Mr. King. Have you asked him about this incident at the post office?</w:t>
      </w:r>
    </w:p>
    <w:p w:rsidR="00A31137" w:rsidRPr="00A31137" w:rsidRDefault="00A31137" w:rsidP="00A31137">
      <w:r w:rsidRPr="00A31137">
        <w:t>Public Papers of Clinton, 1993, p.1141</w:t>
      </w:r>
    </w:p>
    <w:p w:rsidR="00A31137" w:rsidRPr="00A31137" w:rsidRDefault="00A31137" w:rsidP="00A31137">
      <w:r w:rsidRPr="00A31137">
        <w:t>The President. No.</w:t>
      </w:r>
    </w:p>
    <w:p w:rsidR="00A31137" w:rsidRPr="00A31137" w:rsidRDefault="00A31137" w:rsidP="00A31137">
      <w:r w:rsidRPr="00A31137">
        <w:t>Public Papers of Clinton, 1993, p.1141</w:t>
      </w:r>
    </w:p>
    <w:p w:rsidR="00A31137" w:rsidRPr="00A31137" w:rsidRDefault="00A31137" w:rsidP="00A31137">
      <w:r w:rsidRPr="00A31137">
        <w:t>Mr. King. If something were to happen, do you have another point man in mind? I mean, will this hurt the chances of a compromise if Rostenkowski's stature is limited?</w:t>
      </w:r>
    </w:p>
    <w:p w:rsidR="00A31137" w:rsidRPr="00A31137" w:rsidRDefault="00A31137" w:rsidP="00A31137">
      <w:r w:rsidRPr="00A31137">
        <w:t>Public Papers of Clinton, 1993, p.1141</w:t>
      </w:r>
    </w:p>
    <w:p w:rsidR="00A31137" w:rsidRPr="00A31137" w:rsidRDefault="00A31137" w:rsidP="00A31137">
      <w:r w:rsidRPr="00A31137">
        <w:t>The President. Well, I don't even know how to comment on that. All I can tell you is that if he keeps working at it like he has, he's going to make a positive difference.</w:t>
      </w:r>
    </w:p>
    <w:p w:rsidR="00A31137" w:rsidRPr="00A31137" w:rsidRDefault="00A31137" w:rsidP="00A31137">
      <w:r w:rsidRPr="00A31137">
        <w:t>Public Papers of Clinton, 1993, p.1141</w:t>
      </w:r>
    </w:p>
    <w:p w:rsidR="00A31137" w:rsidRPr="00A31137" w:rsidRDefault="00A31137" w:rsidP="00A31137">
      <w:r w:rsidRPr="00A31137">
        <w:t>Mr. King. We'll be right back with President Clinton.</w:t>
      </w:r>
    </w:p>
    <w:p w:rsidR="00A31137" w:rsidRPr="00A31137" w:rsidRDefault="00A31137" w:rsidP="00A31137">
      <w:r w:rsidRPr="00A31137">
        <w:t>[The stations took a commercial break.]</w:t>
      </w:r>
    </w:p>
    <w:p w:rsidR="00A31137" w:rsidRPr="00A31137" w:rsidRDefault="00A31137" w:rsidP="00A31137">
      <w:r w:rsidRPr="00A31137">
        <w:t>Public Papers of Clinton, 1993, p.1141</w:t>
      </w:r>
    </w:p>
    <w:p w:rsidR="00A31137" w:rsidRPr="00A31137" w:rsidRDefault="00A31137" w:rsidP="00A31137">
      <w:r w:rsidRPr="00A31137">
        <w:t>Mr. King. Our guest is President Clinton. We're in the Library. We're ready to go to your phone calls. We ask that you get right to the point so we can reach as many people as possible.</w:t>
      </w:r>
    </w:p>
    <w:p w:rsidR="00A31137" w:rsidRPr="00A31137" w:rsidRDefault="00A31137" w:rsidP="00A31137">
      <w:r w:rsidRPr="00A31137">
        <w:t>Public Papers of Clinton, 1993, p.1141</w:t>
      </w:r>
    </w:p>
    <w:p w:rsidR="00A31137" w:rsidRPr="00A31137" w:rsidRDefault="00A31137" w:rsidP="00A31137">
      <w:r w:rsidRPr="00A31137">
        <w:t>Orlando, Florida, hello.</w:t>
      </w:r>
    </w:p>
    <w:p w:rsidR="00A31137" w:rsidRPr="00A31137" w:rsidRDefault="00A31137" w:rsidP="00A31137">
      <w:r w:rsidRPr="00A31137">
        <w:t>Defense Base Closings</w:t>
      </w:r>
    </w:p>
    <w:p w:rsidR="00A31137" w:rsidRPr="00A31137" w:rsidRDefault="00A31137" w:rsidP="00A31137">
      <w:r w:rsidRPr="00A31137">
        <w:t>Public Papers of Clinton, 1993, p.1142</w:t>
      </w:r>
    </w:p>
    <w:p w:rsidR="00A31137" w:rsidRPr="00A31137" w:rsidRDefault="00A31137" w:rsidP="00A31137">
      <w:r w:rsidRPr="00A31137">
        <w:t>[A participant asked why the Orlando Training Center was selected for closure.]</w:t>
      </w:r>
    </w:p>
    <w:p w:rsidR="00A31137" w:rsidRPr="00A31137" w:rsidRDefault="00A31137" w:rsidP="00A31137">
      <w:r w:rsidRPr="00A31137">
        <w:t>Public Papers of Clinton, 1993, p.1142</w:t>
      </w:r>
    </w:p>
    <w:p w:rsidR="00A31137" w:rsidRPr="00A31137" w:rsidRDefault="00A31137" w:rsidP="00A31137">
      <w:r w:rsidRPr="00A31137">
        <w:t>The President. I understand. Let me say, first of all, I think it is a good training center. For all of our listeners, the Orlando Training Center in Florida was one of the bases recommended by the Joint Chiefs of Staff and by the Secretary of Defense for the base closing, and the Commission voted to do that, to close the Orlando Center.</w:t>
      </w:r>
    </w:p>
    <w:p w:rsidR="00A31137" w:rsidRPr="00A31137" w:rsidRDefault="00A31137" w:rsidP="00A31137">
      <w:r w:rsidRPr="00A31137">
        <w:t>Public Papers of Clinton, 1993, p.1142</w:t>
      </w:r>
    </w:p>
    <w:p w:rsidR="00A31137" w:rsidRPr="00A31137" w:rsidRDefault="00A31137" w:rsidP="00A31137">
      <w:r w:rsidRPr="00A31137">
        <w:t>One of the biggest problems when you close a big military base is that many military bases have people retired around them who used to be in the military who use the medical facilities, and therefore, in the aftermath, that's often one of the toughest issues.</w:t>
      </w:r>
    </w:p>
    <w:p w:rsidR="00A31137" w:rsidRPr="00A31137" w:rsidRDefault="00A31137" w:rsidP="00A31137">
      <w:r w:rsidRPr="00A31137">
        <w:t>Public Papers of Clinton, 1993, p.1142</w:t>
      </w:r>
    </w:p>
    <w:p w:rsidR="00A31137" w:rsidRPr="00A31137" w:rsidRDefault="00A31137" w:rsidP="00A31137">
      <w:r w:rsidRPr="00A31137">
        <w:t>Let me answer those two things separately, if I might. First of all, I can't answer why the Orlando Training Center was picked by the Joint Chiefs. That process began before I became President. They sent the recommendation to the Secretary of Defense, who sent it to the Base Closing Commission. They thought that it should be closed, and they approved it. They sent the whole list to me, and I either had to sign on or off. And I concluded that I had no basis to reject the whole package, so I approved it, and it went to the Congress.</w:t>
      </w:r>
    </w:p>
    <w:p w:rsidR="00A31137" w:rsidRPr="00A31137" w:rsidRDefault="00A31137" w:rsidP="00A31137">
      <w:r w:rsidRPr="00A31137">
        <w:t>Public Papers of Clinton, 1993, p.1142</w:t>
      </w:r>
    </w:p>
    <w:p w:rsidR="00A31137" w:rsidRPr="00A31137" w:rsidRDefault="00A31137" w:rsidP="00A31137">
      <w:r w:rsidRPr="00A31137">
        <w:t>Now, let me make just one important point about that. It's very tough when you close these bases. I know it. But we have taken the military down from about 2.5 million people, going down toward 1.6, then 1.5, then 1.4. You can't reduce the military by 40 percent and only reduce the base structure by nine. Most of the bases that are recommended for closure are in Europe, some in the United States. But we have to reduce the base structure because otherwise we won't have enough money to train the personnel and to keep developing the smart weapons and the important technology that keep our people the best fighting force in the world and keep them safe.</w:t>
      </w:r>
    </w:p>
    <w:p w:rsidR="00A31137" w:rsidRPr="00A31137" w:rsidRDefault="00A31137" w:rsidP="00A31137">
      <w:r w:rsidRPr="00A31137">
        <w:t>Public Papers of Clinton, 1993, p.1142</w:t>
      </w:r>
    </w:p>
    <w:p w:rsidR="00A31137" w:rsidRPr="00A31137" w:rsidRDefault="00A31137" w:rsidP="00A31137">
      <w:r w:rsidRPr="00A31137">
        <w:t>Now secondly, let me just say on the health issue, when the First Lady agreed to take up the health issue and her task force began to work, one of the things I asked her to do is to look into health care for military retirees around military bases and look into those facilities. That is one of the things that that task force has done. They are looking at those facilities, asking: Can they be open, can they be reopened, should they be reopened, should they be military facilities, should they be available for military and civilian personnel, what's going to happen in terms of the availability of health care? So that's something that the commission is looking on, and I expect that I'll get some recommendations on that that we'll know about pretty soon when we announce the health care plan.</w:t>
      </w:r>
    </w:p>
    <w:p w:rsidR="00A31137" w:rsidRPr="00A31137" w:rsidRDefault="00A31137" w:rsidP="00A31137">
      <w:r w:rsidRPr="00A31137">
        <w:t>Public Papers of Clinton, 1993, p.1142</w:t>
      </w:r>
    </w:p>
    <w:p w:rsidR="00A31137" w:rsidRPr="00A31137" w:rsidRDefault="00A31137" w:rsidP="00A31137">
      <w:r w:rsidRPr="00A31137">
        <w:t>Mr. King. To St. Louis, Missouri, with President Clinton. Hello.</w:t>
      </w:r>
    </w:p>
    <w:p w:rsidR="00A31137" w:rsidRPr="00A31137" w:rsidRDefault="00A31137" w:rsidP="00A31137">
      <w:r w:rsidRPr="00A31137">
        <w:t>National Lottery</w:t>
      </w:r>
    </w:p>
    <w:p w:rsidR="00A31137" w:rsidRPr="00A31137" w:rsidRDefault="00A31137" w:rsidP="00A31137">
      <w:r w:rsidRPr="00A31137">
        <w:t>Public Papers of Clinton, 1993, p.1142</w:t>
      </w:r>
    </w:p>
    <w:p w:rsidR="00A31137" w:rsidRPr="00A31137" w:rsidRDefault="00A31137" w:rsidP="00A31137">
      <w:r w:rsidRPr="00A31137">
        <w:t>[A participant asked if the President had considered a national lottery to reduce the deficit.]</w:t>
      </w:r>
    </w:p>
    <w:p w:rsidR="00A31137" w:rsidRPr="00A31137" w:rsidRDefault="00A31137" w:rsidP="00A31137">
      <w:r w:rsidRPr="00A31137">
        <w:t>Public Papers of Clinton, 1993, p.1142</w:t>
      </w:r>
    </w:p>
    <w:p w:rsidR="00A31137" w:rsidRPr="00A31137" w:rsidRDefault="00A31137" w:rsidP="00A31137">
      <w:r w:rsidRPr="00A31137">
        <w:t>Mr. King. It's been proposed for years.</w:t>
      </w:r>
    </w:p>
    <w:p w:rsidR="00A31137" w:rsidRPr="00A31137" w:rsidRDefault="00A31137" w:rsidP="00A31137">
      <w:r w:rsidRPr="00A31137">
        <w:t>Public Papers of Clinton, 1993, p.1142</w:t>
      </w:r>
    </w:p>
    <w:p w:rsidR="00A31137" w:rsidRPr="00A31137" w:rsidRDefault="00A31137" w:rsidP="00A31137">
      <w:r w:rsidRPr="00A31137">
        <w:t>The President. Yes. Let me say, it has been proposed, a national lottery to reduce the deficit. And every time I have seen anybody talk about it, the conclusion has been that we probably shouldn't do it for two reasons. Number one, it would probably not raise an enormous amount of money. And number two, it might dramatically eat into the proceeds that are now going to the States who have lotteries. Most States have lotteries now, and that money generally goes to the education of our children or, in the case of Pennsylvania, the care of elderly citizens. And the Federal Government, I think, would get a lot of opposition from the States if it appeared that we were going to take away their efforts to educate people to pay down the debt.</w:t>
      </w:r>
    </w:p>
    <w:p w:rsidR="00A31137" w:rsidRPr="00A31137" w:rsidRDefault="00A31137" w:rsidP="00A31137">
      <w:r w:rsidRPr="00A31137">
        <w:t>Public Papers of Clinton, 1993, p.1142</w:t>
      </w:r>
    </w:p>
    <w:p w:rsidR="00A31137" w:rsidRPr="00A31137" w:rsidRDefault="00A31137" w:rsidP="00A31137">
      <w:r w:rsidRPr="00A31137">
        <w:t>I have to say, finally, I personally have always had some reservation about the lotteries because, disproportionately, the people who play them tend to be on the lower income scale. But even if you put that to the side, for the other two reasons I think it is probably not a very good idea.</w:t>
      </w:r>
    </w:p>
    <w:p w:rsidR="00A31137" w:rsidRPr="00A31137" w:rsidRDefault="00A31137" w:rsidP="00A31137">
      <w:r w:rsidRPr="00A31137">
        <w:t>Public Papers of Clinton, 1993, p.1142</w:t>
      </w:r>
    </w:p>
    <w:p w:rsidR="00A31137" w:rsidRPr="00A31137" w:rsidRDefault="00A31137" w:rsidP="00A31137">
      <w:r w:rsidRPr="00A31137">
        <w:t>Mr. King. It is voluntary taxation.</w:t>
      </w:r>
    </w:p>
    <w:p w:rsidR="00A31137" w:rsidRPr="00A31137" w:rsidRDefault="00A31137" w:rsidP="00A31137">
      <w:r w:rsidRPr="00A31137">
        <w:t>Public Papers of Clinton, 1993, p.1142</w:t>
      </w:r>
    </w:p>
    <w:p w:rsidR="00A31137" w:rsidRPr="00A31137" w:rsidRDefault="00A31137" w:rsidP="00A31137">
      <w:r w:rsidRPr="00A31137">
        <w:t>The President. It is absolutely voluntary. And that's the best argument for it. The best argument for it is it's absolutely voluntary. And if it raised $1 billion, it's $1 billion we wouldn't have otherwise. So there are some arguments for it. But the two I mention are the reasons I think that it's never been adopted.</w:t>
      </w:r>
    </w:p>
    <w:p w:rsidR="00A31137" w:rsidRPr="00A31137" w:rsidRDefault="00A31137" w:rsidP="00A31137">
      <w:r w:rsidRPr="00A31137">
        <w:t>Economic Program</w:t>
      </w:r>
    </w:p>
    <w:p w:rsidR="00A31137" w:rsidRPr="00A31137" w:rsidRDefault="00A31137" w:rsidP="00A31137">
      <w:r w:rsidRPr="00A31137">
        <w:t>Public Papers of Clinton, 1993, p.1142</w:t>
      </w:r>
    </w:p>
    <w:p w:rsidR="00A31137" w:rsidRPr="00A31137" w:rsidRDefault="00A31137" w:rsidP="00A31137">
      <w:r w:rsidRPr="00A31137">
        <w:t>Mr. King. We have to take a break, but quickly, why did you have to change your mind on the tax rates for middle income?</w:t>
      </w:r>
    </w:p>
    <w:p w:rsidR="00A31137" w:rsidRPr="00A31137" w:rsidRDefault="00A31137" w:rsidP="00A31137">
      <w:r w:rsidRPr="00A31137">
        <w:t>Public Papers of Clinton, 1993, p.1142–p.1143</w:t>
      </w:r>
    </w:p>
    <w:p w:rsidR="00A31137" w:rsidRPr="00A31137" w:rsidRDefault="00A31137" w:rsidP="00A31137">
      <w:r w:rsidRPr="00A31137">
        <w:t>The President. Because after the election was [p.1143] over, the government of the previous administration revised upward the deficit by, oh, about $50 billion a year in each of the next 3 years.</w:t>
      </w:r>
    </w:p>
    <w:p w:rsidR="00A31137" w:rsidRPr="00A31137" w:rsidRDefault="00A31137" w:rsidP="00A31137">
      <w:r w:rsidRPr="00A31137">
        <w:t>Public Papers of Clinton, 1993, p.1143</w:t>
      </w:r>
    </w:p>
    <w:p w:rsidR="00A31137" w:rsidRPr="00A31137" w:rsidRDefault="00A31137" w:rsidP="00A31137">
      <w:r w:rsidRPr="00A31137">
        <w:t>Mr. King. So you had no idea of that when you were running?</w:t>
      </w:r>
    </w:p>
    <w:p w:rsidR="00A31137" w:rsidRPr="00A31137" w:rsidRDefault="00A31137" w:rsidP="00A31137">
      <w:r w:rsidRPr="00A31137">
        <w:t>Public Papers of Clinton, 1993, p.1143</w:t>
      </w:r>
    </w:p>
    <w:p w:rsidR="00A31137" w:rsidRPr="00A31137" w:rsidRDefault="00A31137" w:rsidP="00A31137">
      <w:r w:rsidRPr="00A31137">
        <w:t>The President. No, I didn't know it would be revised upward. So the decision I had to make was, well, are you going to live with a bigger deficit and less deficit reduction, or should you ask the middle class to pay a little?</w:t>
      </w:r>
    </w:p>
    <w:p w:rsidR="00A31137" w:rsidRPr="00A31137" w:rsidRDefault="00A31137" w:rsidP="00A31137">
      <w:r w:rsidRPr="00A31137">
        <w:t>Public Papers of Clinton, 1993, p.1143</w:t>
      </w:r>
    </w:p>
    <w:p w:rsidR="00A31137" w:rsidRPr="00A31137" w:rsidRDefault="00A31137" w:rsidP="00A31137">
      <w:r w:rsidRPr="00A31137">
        <w:t>I also, frankly, did something else I didn't like. I revised upward the tax burden on the wealthiest Americans, and I think there's a limit beyond which you don't want to go on them either.</w:t>
      </w:r>
    </w:p>
    <w:p w:rsidR="00A31137" w:rsidRPr="00A31137" w:rsidRDefault="00A31137" w:rsidP="00A31137">
      <w:r w:rsidRPr="00A31137">
        <w:t>Public Papers of Clinton, 1993, p.1143</w:t>
      </w:r>
    </w:p>
    <w:p w:rsidR="00A31137" w:rsidRPr="00A31137" w:rsidRDefault="00A31137" w:rsidP="00A31137">
      <w:r w:rsidRPr="00A31137">
        <w:t>Mr. King. We're going to break. We'll pick up on that.</w:t>
      </w:r>
    </w:p>
    <w:p w:rsidR="00A31137" w:rsidRPr="00A31137" w:rsidRDefault="00A31137" w:rsidP="00A31137">
      <w:r w:rsidRPr="00A31137">
        <w:t>[The stations took a commercial break.]</w:t>
      </w:r>
    </w:p>
    <w:p w:rsidR="00A31137" w:rsidRPr="00A31137" w:rsidRDefault="00A31137" w:rsidP="00A31137">
      <w:r w:rsidRPr="00A31137">
        <w:t>Public Papers of Clinton, 1993, p.1143</w:t>
      </w:r>
    </w:p>
    <w:p w:rsidR="00A31137" w:rsidRPr="00A31137" w:rsidRDefault="00A31137" w:rsidP="00A31137">
      <w:r w:rsidRPr="00A31137">
        <w:t>Mr. King. We're back in the Library with President Clinton, and before we take our next call we want to pick up where we left off on, because he's taken a lot of shots on this, and it would be interesting to hear it in this setting, the other side.</w:t>
      </w:r>
    </w:p>
    <w:p w:rsidR="00A31137" w:rsidRPr="00A31137" w:rsidRDefault="00A31137" w:rsidP="00A31137">
      <w:r w:rsidRPr="00A31137">
        <w:t>Public Papers of Clinton, 1993, p.1143</w:t>
      </w:r>
    </w:p>
    <w:p w:rsidR="00A31137" w:rsidRPr="00A31137" w:rsidRDefault="00A31137" w:rsidP="00A31137">
      <w:r w:rsidRPr="00A31137">
        <w:t>The President. I just want to say that when I became President and the deficit had been estimated upward since the election quite a bit, over $125, $130 billion, I decided that we were going to have to cut more spending and raise more revenues than I had thought to get the deficit down to a point that it was manageable and to keep long-term interest rates coming down.</w:t>
      </w:r>
    </w:p>
    <w:p w:rsidR="00A31137" w:rsidRPr="00A31137" w:rsidRDefault="00A31137" w:rsidP="00A31137">
      <w:r w:rsidRPr="00A31137">
        <w:t>Public Papers of Clinton, 1993, p.1143</w:t>
      </w:r>
    </w:p>
    <w:p w:rsidR="00A31137" w:rsidRPr="00A31137" w:rsidRDefault="00A31137" w:rsidP="00A31137">
      <w:r w:rsidRPr="00A31137">
        <w:t>I think that it's very important to hammer home that there's a real connection between an effort to reduce the deficit and getting these long-term interest rates down. Before the election, basically you had short-term interest rates brought way down by the Federal Reserve Board but a big gap between them and the long-term rates. And that's what determines mortgage rates, business loans, and a lot of other things. So we decided that it would be worth it to really take a tough stand to raise some more money, most of it from upper-income people but a modest amount from middle-class people, and cut more spending.</w:t>
      </w:r>
    </w:p>
    <w:p w:rsidR="00A31137" w:rsidRPr="00A31137" w:rsidRDefault="00A31137" w:rsidP="00A31137">
      <w:r w:rsidRPr="00A31137">
        <w:t>Public Papers of Clinton, 1993, p.1143</w:t>
      </w:r>
    </w:p>
    <w:p w:rsidR="00A31137" w:rsidRPr="00A31137" w:rsidRDefault="00A31137" w:rsidP="00A31137">
      <w:r w:rsidRPr="00A31137">
        <w:t>And let me show you what the difference is. If you look at this chart here, if I had just stayed with the budget that I found when I took office, that is, the one adopted in the last year of President Bush's term, here's what happens to the deficit.</w:t>
      </w:r>
    </w:p>
    <w:p w:rsidR="00A31137" w:rsidRPr="00A31137" w:rsidRDefault="00A31137" w:rsidP="00A31137">
      <w:r w:rsidRPr="00A31137">
        <w:t>Public Papers of Clinton, 1993, p.1143</w:t>
      </w:r>
    </w:p>
    <w:p w:rsidR="00A31137" w:rsidRPr="00A31137" w:rsidRDefault="00A31137" w:rsidP="00A31137">
      <w:r w:rsidRPr="00A31137">
        <w:t>Mr. King. That's the inherited deficit?</w:t>
      </w:r>
    </w:p>
    <w:p w:rsidR="00A31137" w:rsidRPr="00A31137" w:rsidRDefault="00A31137" w:rsidP="00A31137">
      <w:r w:rsidRPr="00A31137">
        <w:t>Public Papers of Clinton, 1993, p.1143</w:t>
      </w:r>
    </w:p>
    <w:p w:rsidR="00A31137" w:rsidRPr="00A31137" w:rsidRDefault="00A31137" w:rsidP="00A31137">
      <w:r w:rsidRPr="00A31137">
        <w:t>The President. This is the inherited deficit. With our plan, here's what happens to it over 5 years. Now, what you see down here is the real hitch—we can come back to this later-and that is that with all of our cuts and with the revenue increases, health care is still going up at 9 percent a year. Until we bring health care costs in line with inflation, we can't go down to zero. When we do, we can get down to zero and balance this budget. That's why health care reform is so important.</w:t>
      </w:r>
    </w:p>
    <w:p w:rsidR="00A31137" w:rsidRPr="00A31137" w:rsidRDefault="00A31137" w:rsidP="00A31137">
      <w:r w:rsidRPr="00A31137">
        <w:t>Public Papers of Clinton, 1993, p.1143</w:t>
      </w:r>
    </w:p>
    <w:p w:rsidR="00A31137" w:rsidRPr="00A31137" w:rsidRDefault="00A31137" w:rsidP="00A31137">
      <w:r w:rsidRPr="00A31137">
        <w:t>But look at the difference here. Now, let me just show you one other thing. Even though I did decide to ask for a modest tax increase on the middle class, let me just say exactly what this is.</w:t>
      </w:r>
    </w:p>
    <w:p w:rsidR="00A31137" w:rsidRPr="00A31137" w:rsidRDefault="00A31137" w:rsidP="00A31137">
      <w:r w:rsidRPr="00A31137">
        <w:t>Public Papers of Clinton, 1993, p.1143</w:t>
      </w:r>
    </w:p>
    <w:p w:rsidR="00A31137" w:rsidRPr="00A31137" w:rsidRDefault="00A31137" w:rsidP="00A31137">
      <w:r w:rsidRPr="00A31137">
        <w:t>Here is a deficit reduction plan. For every $10, $5 comes in spending cuts, $4 comes from people with incomes above $100,000; that's the top 6 percent. Of this $4, seven-eighths of that comes from people with incomes above $200,000. And then $1, 1 in 10, comes from people with incomes between $30,000 and $100,000. Families with incomes below $30,000 are held harmless.</w:t>
      </w:r>
    </w:p>
    <w:p w:rsidR="00A31137" w:rsidRPr="00A31137" w:rsidRDefault="00A31137" w:rsidP="00A31137">
      <w:r w:rsidRPr="00A31137">
        <w:t>Public Papers of Clinton, 1993, p.1143</w:t>
      </w:r>
    </w:p>
    <w:p w:rsidR="00A31137" w:rsidRPr="00A31137" w:rsidRDefault="00A31137" w:rsidP="00A31137">
      <w:r w:rsidRPr="00A31137">
        <w:t>So I think it is a fair and balanced package. Now, this portion, the portion the middle class pays, if anything near what the Senate bill does passes, will be about $50 a year for a family of four with an income of, let's say, between $40,000 and $50,000 a year, or about a buck a week. And all this money—all this money goes into a trust fund for 5 years to pay down the deficit. It has to be used for that. And if we miss our targets of paying down the deficit, that is, if we miss my line back here any year, I have to come back in and give new cuts, new ways to meet the deficit reduction.</w:t>
      </w:r>
    </w:p>
    <w:p w:rsidR="00A31137" w:rsidRPr="00A31137" w:rsidRDefault="00A31137" w:rsidP="00A31137">
      <w:r w:rsidRPr="00A31137">
        <w:t>Public Papers of Clinton, 1993, p.1143</w:t>
      </w:r>
    </w:p>
    <w:p w:rsidR="00A31137" w:rsidRPr="00A31137" w:rsidRDefault="00A31137" w:rsidP="00A31137">
      <w:r w:rsidRPr="00A31137">
        <w:t>Now, what does this mean for the average American? It means that, as we have made progress on this, we've got the lowest interest rates in 20 years. So millions of people are refinancing their homes, refinancing their business loans. They're going to take out lower college loans, car loans, consumer loans. Millions of Americans will save far more in interest rates than they will pay in this modest tax package, even upper income people.</w:t>
      </w:r>
    </w:p>
    <w:p w:rsidR="00A31137" w:rsidRPr="00A31137" w:rsidRDefault="00A31137" w:rsidP="00A31137">
      <w:r w:rsidRPr="00A31137">
        <w:t>Public Papers of Clinton, 1993, p.1143–p.1144</w:t>
      </w:r>
    </w:p>
    <w:p w:rsidR="00A31137" w:rsidRPr="00A31137" w:rsidRDefault="00A31137" w:rsidP="00A31137">
      <w:r w:rsidRPr="00A31137">
        <w:t>Let me just make a couple more points. Ninety-four percent of the small businesses in this country will pay no income tax increase and will have the opportunity to get a tax cut if they simply invest more money back in their [p.1144] business and create jobs, because we more than double the expensing provision for small business.</w:t>
      </w:r>
    </w:p>
    <w:p w:rsidR="00A31137" w:rsidRPr="00A31137" w:rsidRDefault="00A31137" w:rsidP="00A31137">
      <w:r w:rsidRPr="00A31137">
        <w:t>Public Papers of Clinton, 1993, p.1144</w:t>
      </w:r>
    </w:p>
    <w:p w:rsidR="00A31137" w:rsidRPr="00A31137" w:rsidRDefault="00A31137" w:rsidP="00A31137">
      <w:r w:rsidRPr="00A31137">
        <w:t>One final thing that's important. I just got back from this G-7 meeting, the meeting of the world's great industrial powers. For 10 years, at every meeting the United States didn't have much influence because we were attacked over having such a big deficit and being greedy, taking money from all around the world to pay for it. This year, for the first time in a decade, we were complimented, not criticized, and that's why—the progress of this economic plan is why at this meeting we were able to get an agreement to lower tariffs on our manufactured products. It means hundreds of thousands of jobs for Americans if we can get .all the countries in the world to agree to change the trade agreement, like the big countries have. And we've got a new trade deal with Japan where the Japanese for the first time agreed to dramatically reduce the trade deficit.</w:t>
      </w:r>
    </w:p>
    <w:p w:rsidR="00A31137" w:rsidRPr="00A31137" w:rsidRDefault="00A31137" w:rsidP="00A31137">
      <w:r w:rsidRPr="00A31137">
        <w:t>Economic Summit</w:t>
      </w:r>
    </w:p>
    <w:p w:rsidR="00A31137" w:rsidRPr="00A31137" w:rsidRDefault="00A31137" w:rsidP="00A31137">
      <w:r w:rsidRPr="00A31137">
        <w:t>Public Papers of Clinton, 1993, p.1144</w:t>
      </w:r>
    </w:p>
    <w:p w:rsidR="00A31137" w:rsidRPr="00A31137" w:rsidRDefault="00A31137" w:rsidP="00A31137">
      <w:r w:rsidRPr="00A31137">
        <w:t>Mr. King. By the way, did you expect that going there?</w:t>
      </w:r>
    </w:p>
    <w:p w:rsidR="00A31137" w:rsidRPr="00A31137" w:rsidRDefault="00A31137" w:rsidP="00A31137">
      <w:r w:rsidRPr="00A31137">
        <w:t>Public Papers of Clinton, 1993, p.1144</w:t>
      </w:r>
    </w:p>
    <w:p w:rsidR="00A31137" w:rsidRPr="00A31137" w:rsidRDefault="00A31137" w:rsidP="00A31137">
      <w:r w:rsidRPr="00A31137">
        <w:t>The President. No, but I hoped for it. I had an instinct that both those things could happen. Everybody said nothing is going to happen at this meeting because .all of these countries are in terrible economic shape, .all their leaders are unpopular. Well, they are. We've got a global economic crisis, and when people can't make a living, when they're insecure, they're worried about losing their health care, their benefits, the ability to raise and educate their children, leaders aren't going to be popular.</w:t>
      </w:r>
    </w:p>
    <w:p w:rsidR="00A31137" w:rsidRPr="00A31137" w:rsidRDefault="00A31137" w:rsidP="00A31137">
      <w:r w:rsidRPr="00A31137">
        <w:t>Public Papers of Clinton, 1993, p.1144</w:t>
      </w:r>
    </w:p>
    <w:p w:rsidR="00A31137" w:rsidRPr="00A31137" w:rsidRDefault="00A31137" w:rsidP="00A31137">
      <w:r w:rsidRPr="00A31137">
        <w:t>But what happened was, there was a sense that we owed it to the people we represent to do something, to try to move this economy and create jobs and get some things going. And that spirit sort of overtook the meeting. I called several of them before we met, and I said, "Everybody says we're not going to do anything, but why is that? Why don't we go and do something? We're actors; we want to get something done." And I was very pleased with it.</w:t>
      </w:r>
    </w:p>
    <w:p w:rsidR="00A31137" w:rsidRPr="00A31137" w:rsidRDefault="00A31137" w:rsidP="00A31137">
      <w:r w:rsidRPr="00A31137">
        <w:t>Public Papers of Clinton, 1993, p.1144</w:t>
      </w:r>
    </w:p>
    <w:p w:rsidR="00A31137" w:rsidRPr="00A31137" w:rsidRDefault="00A31137" w:rsidP="00A31137">
      <w:r w:rsidRPr="00A31137">
        <w:t>Mr. King. Los Angeles, as we go back to calls for President Clinton. Hello.</w:t>
      </w:r>
    </w:p>
    <w:p w:rsidR="00A31137" w:rsidRPr="00A31137" w:rsidRDefault="00A31137" w:rsidP="00A31137">
      <w:r w:rsidRPr="00A31137">
        <w:t>Economic Program</w:t>
      </w:r>
    </w:p>
    <w:p w:rsidR="00A31137" w:rsidRPr="00A31137" w:rsidRDefault="00A31137" w:rsidP="00A31137">
      <w:r w:rsidRPr="00A31137">
        <w:t>Public Papers of Clinton, 1993, p.1144</w:t>
      </w:r>
    </w:p>
    <w:p w:rsidR="00A31137" w:rsidRPr="00A31137" w:rsidRDefault="00A31137" w:rsidP="00A31137">
      <w:r w:rsidRPr="00A31137">
        <w:t>[A participant asked about tax increases.]</w:t>
      </w:r>
    </w:p>
    <w:p w:rsidR="00A31137" w:rsidRPr="00A31137" w:rsidRDefault="00A31137" w:rsidP="00A31137">
      <w:r w:rsidRPr="00A31137">
        <w:t>Public Papers of Clinton, 1993, p.1144</w:t>
      </w:r>
    </w:p>
    <w:p w:rsidR="00A31137" w:rsidRPr="00A31137" w:rsidRDefault="00A31137" w:rsidP="00A31137">
      <w:r w:rsidRPr="00A31137">
        <w:t>The President. Well, the deficit has dropped this year about $25 billion or so below where it was estimated to be when I took office because interest rates have dropped. Therefore, what we have to pay on the accumulated debt of the country has gone down. The only reason interest rates have dropped is because we've got a serious attempt to reduce the deficit.</w:t>
      </w:r>
    </w:p>
    <w:p w:rsidR="00A31137" w:rsidRPr="00A31137" w:rsidRDefault="00A31137" w:rsidP="00A31137">
      <w:r w:rsidRPr="00A31137">
        <w:t>Public Papers of Clinton, 1993, p.1144</w:t>
      </w:r>
    </w:p>
    <w:p w:rsidR="00A31137" w:rsidRPr="00A31137" w:rsidRDefault="00A31137" w:rsidP="00A31137">
      <w:r w:rsidRPr="00A31137">
        <w:t>And, again, let me just reiterate what the facts are: Seventy percent of the new taxes will be paid by people who make incomes above $200,000. No income tax increases will be paid by people who have adjusted gross incomes-individuals below $140,000, couples below $180,000. There will be no tax increase at .all for people with incomes below $30,000. And this modest fuel tax will amount to about $50 a year for families with incomes of about $50,000. Now, I think that is a very modest price to pay, especially when we have spending cuts that are equal to—in fact, they'll be slightly greater than, I believe, the tax increase.</w:t>
      </w:r>
    </w:p>
    <w:p w:rsidR="00A31137" w:rsidRPr="00A31137" w:rsidRDefault="00A31137" w:rsidP="00A31137">
      <w:r w:rsidRPr="00A31137">
        <w:t>Public Papers of Clinton, 1993, p.1144</w:t>
      </w:r>
    </w:p>
    <w:p w:rsidR="00A31137" w:rsidRPr="00A31137" w:rsidRDefault="00A31137" w:rsidP="00A31137">
      <w:r w:rsidRPr="00A31137">
        <w:t>Q. What kind of fuel are you going to tax? Which are we going to go with, the House or Senate, do you think?</w:t>
      </w:r>
    </w:p>
    <w:p w:rsidR="00A31137" w:rsidRPr="00A31137" w:rsidRDefault="00A31137" w:rsidP="00A31137">
      <w:r w:rsidRPr="00A31137">
        <w:t>Public Papers of Clinton, 1993, p.1144</w:t>
      </w:r>
    </w:p>
    <w:p w:rsidR="00A31137" w:rsidRPr="00A31137" w:rsidRDefault="00A31137" w:rsidP="00A31137">
      <w:r w:rsidRPr="00A31137">
        <w:t>The President. I think something closer to the Senate version. They haven't been finally settled on but—</w:t>
      </w:r>
    </w:p>
    <w:p w:rsidR="00A31137" w:rsidRPr="00A31137" w:rsidRDefault="00A31137" w:rsidP="00A31137">
      <w:r w:rsidRPr="00A31137">
        <w:t>Public Papers of Clinton, 1993, p.1144</w:t>
      </w:r>
    </w:p>
    <w:p w:rsidR="00A31137" w:rsidRPr="00A31137" w:rsidRDefault="00A31137" w:rsidP="00A31137">
      <w:r w:rsidRPr="00A31137">
        <w:t>Mr. King. Gas tax?</w:t>
      </w:r>
    </w:p>
    <w:p w:rsidR="00A31137" w:rsidRPr="00A31137" w:rsidRDefault="00A31137" w:rsidP="00A31137">
      <w:r w:rsidRPr="00A31137">
        <w:t>Public Papers of Clinton, 1993, p.1144</w:t>
      </w:r>
    </w:p>
    <w:p w:rsidR="00A31137" w:rsidRPr="00A31137" w:rsidRDefault="00A31137" w:rsidP="00A31137">
      <w:r w:rsidRPr="00A31137">
        <w:t>The President. Closer to that. There's less opposition to it.</w:t>
      </w:r>
    </w:p>
    <w:p w:rsidR="00A31137" w:rsidRPr="00A31137" w:rsidRDefault="00A31137" w:rsidP="00A31137">
      <w:r w:rsidRPr="00A31137">
        <w:t>Public Papers of Clinton, 1993, p.1144</w:t>
      </w:r>
    </w:p>
    <w:p w:rsidR="00A31137" w:rsidRPr="00A31137" w:rsidRDefault="00A31137" w:rsidP="00A31137">
      <w:r w:rsidRPr="00A31137">
        <w:t>Mr. King. Copenhagen, Denmark. Hello.</w:t>
      </w:r>
    </w:p>
    <w:p w:rsidR="00A31137" w:rsidRPr="00A31137" w:rsidRDefault="00A31137" w:rsidP="00A31137">
      <w:r w:rsidRPr="00A31137">
        <w:t>Bosnia</w:t>
      </w:r>
    </w:p>
    <w:p w:rsidR="00A31137" w:rsidRPr="00A31137" w:rsidRDefault="00A31137" w:rsidP="00A31137">
      <w:r w:rsidRPr="00A31137">
        <w:t>Public Papers of Clinton, 1993, p.1144</w:t>
      </w:r>
    </w:p>
    <w:p w:rsidR="00A31137" w:rsidRPr="00A31137" w:rsidRDefault="00A31137" w:rsidP="00A31137">
      <w:r w:rsidRPr="00A31137">
        <w:t>[A participant asked about U.S. troop participation in peacekeeping efforts.]</w:t>
      </w:r>
    </w:p>
    <w:p w:rsidR="00A31137" w:rsidRPr="00A31137" w:rsidRDefault="00A31137" w:rsidP="00A31137">
      <w:r w:rsidRPr="00A31137">
        <w:t>Public Papers of Clinton, 1993, p.1144</w:t>
      </w:r>
    </w:p>
    <w:p w:rsidR="00A31137" w:rsidRPr="00A31137" w:rsidRDefault="00A31137" w:rsidP="00A31137">
      <w:r w:rsidRPr="00A31137">
        <w:t>The President. Well, let me remind you, sir, that we have had several thousand troops in Somalia. We have contributed hundreds of millions of dollars in humanitarian aid to the former Yugoslavia. We have done airdrops of supplies. We have .always been committed to use our air power to protect your troops and any other troops. We have not wanted to get the Untied States involved in the conflict there unless there was a settlement. I have .always said that we would send appropriate military personnel to be part of a United Nations enforcement of the settlement.</w:t>
      </w:r>
    </w:p>
    <w:p w:rsidR="00A31137" w:rsidRPr="00A31137" w:rsidRDefault="00A31137" w:rsidP="00A31137">
      <w:r w:rsidRPr="00A31137">
        <w:t>Public Papers of Clinton, 1993, p.1144–p.1145</w:t>
      </w:r>
    </w:p>
    <w:p w:rsidR="00A31137" w:rsidRPr="00A31137" w:rsidRDefault="00A31137" w:rsidP="00A31137">
      <w:r w:rsidRPr="00A31137">
        <w:t>Let me .also say that the closest we ever were to settling that was when the Serbs and the Croats thought that the Europeans were going to go along with my proposal to lift the arms embargo and to make available standby air power to enforce no use of the Serbian artillery [p.1145] against the Muslim, the Bosnian government there while the arms embargo was being lifted. When it became obvious that I could not prevail in the United Nations because of the opposition of some of the European nations, that's when things began to deteriorate again instead of move toward peace.</w:t>
      </w:r>
    </w:p>
    <w:p w:rsidR="00A31137" w:rsidRPr="00A31137" w:rsidRDefault="00A31137" w:rsidP="00A31137">
      <w:r w:rsidRPr="00A31137">
        <w:t>Public Papers of Clinton, 1993, p.1145</w:t>
      </w:r>
    </w:p>
    <w:p w:rsidR="00A31137" w:rsidRPr="00A31137" w:rsidRDefault="00A31137" w:rsidP="00A31137">
      <w:r w:rsidRPr="00A31137">
        <w:t>So I had a policy. I'm disappointed that it was rejected by some of the European countries. I'm grateful that the Germans and some others supported it. But we are prepared to do our part to try to resolve this. We are working weekly on it. I feel terrible about it. But I do not believe the United States needs to send a lot of troops there which might get involved in a civil war on the ground when we had a plan-which would have led, I'm convinced, to a settlement-which was not accepted. If we get a settlement, as we might now under other conditions, we are prepared to do our part through the U.N. to help to enforce it.</w:t>
      </w:r>
    </w:p>
    <w:p w:rsidR="00A31137" w:rsidRPr="00A31137" w:rsidRDefault="00A31137" w:rsidP="00A31137">
      <w:r w:rsidRPr="00A31137">
        <w:t>Public Papers of Clinton, 1993, p.1145</w:t>
      </w:r>
    </w:p>
    <w:p w:rsidR="00A31137" w:rsidRPr="00A31137" w:rsidRDefault="00A31137" w:rsidP="00A31137">
      <w:r w:rsidRPr="00A31137">
        <w:t>Mr. King. We'll be back with President Clinton.</w:t>
      </w:r>
    </w:p>
    <w:p w:rsidR="00A31137" w:rsidRPr="00A31137" w:rsidRDefault="00A31137" w:rsidP="00A31137">
      <w:r w:rsidRPr="00A31137">
        <w:t>[The stations took a commercial break.]</w:t>
      </w:r>
    </w:p>
    <w:p w:rsidR="00A31137" w:rsidRPr="00A31137" w:rsidRDefault="00A31137" w:rsidP="00A31137">
      <w:r w:rsidRPr="00A31137">
        <w:t>Public Papers of Clinton, 1993, p.1145</w:t>
      </w:r>
    </w:p>
    <w:p w:rsidR="00A31137" w:rsidRPr="00A31137" w:rsidRDefault="00A31137" w:rsidP="00A31137">
      <w:r w:rsidRPr="00A31137">
        <w:t>Mr. King. This is funny, folks, what happens behind the scenes, so we'll make it public for you. We had arranged with President Clinton's staff that we would finish at 10 p.m. Eastern time, one hour, and the staff had arranged it with our producers. And then President Clinton just said to me, "Could we go a little longer?" And I said, "Sure, if you want to go a little longer, we can go another half hour." And he said he'd be happy to.</w:t>
      </w:r>
    </w:p>
    <w:p w:rsidR="00A31137" w:rsidRPr="00A31137" w:rsidRDefault="00A31137" w:rsidP="00A31137">
      <w:r w:rsidRPr="00A31137">
        <w:t>Public Papers of Clinton, 1993, p.1145</w:t>
      </w:r>
    </w:p>
    <w:p w:rsidR="00A31137" w:rsidRPr="00A31137" w:rsidRDefault="00A31137" w:rsidP="00A31137">
      <w:r w:rsidRPr="00A31137">
        <w:t>So we didn't do it, and I just want the staff to know that we didn't do it. If you would like to do it, we would be happy to accommodate you.</w:t>
      </w:r>
    </w:p>
    <w:p w:rsidR="00A31137" w:rsidRPr="00A31137" w:rsidRDefault="00A31137" w:rsidP="00A31137">
      <w:r w:rsidRPr="00A31137">
        <w:t>Public Papers of Clinton, 1993, p.1145</w:t>
      </w:r>
    </w:p>
    <w:p w:rsidR="00A31137" w:rsidRPr="00A31137" w:rsidRDefault="00A31137" w:rsidP="00A31137">
      <w:r w:rsidRPr="00A31137">
        <w:t>The President. You offered us the opportunity this afternoon and I think at that time we didn't know whether we could or not. But I'd like to do it.</w:t>
      </w:r>
    </w:p>
    <w:p w:rsidR="00A31137" w:rsidRPr="00A31137" w:rsidRDefault="00A31137" w:rsidP="00A31137">
      <w:r w:rsidRPr="00A31137">
        <w:t>Public Papers of Clinton, 1993, p.1145</w:t>
      </w:r>
    </w:p>
    <w:p w:rsidR="00A31137" w:rsidRPr="00A31137" w:rsidRDefault="00A31137" w:rsidP="00A31137">
      <w:r w:rsidRPr="00A31137">
        <w:t>Mr. King. You're feeling refreshed?</w:t>
      </w:r>
    </w:p>
    <w:p w:rsidR="00A31137" w:rsidRPr="00A31137" w:rsidRDefault="00A31137" w:rsidP="00A31137">
      <w:r w:rsidRPr="00A31137">
        <w:t>Public Papers of Clinton, 1993, p.1145</w:t>
      </w:r>
    </w:p>
    <w:p w:rsidR="00A31137" w:rsidRPr="00A31137" w:rsidRDefault="00A31137" w:rsidP="00A31137">
      <w:r w:rsidRPr="00A31137">
        <w:t>The President. Yes, and I like answering the questions. I think that's important.</w:t>
      </w:r>
    </w:p>
    <w:p w:rsidR="00A31137" w:rsidRPr="00A31137" w:rsidRDefault="00A31137" w:rsidP="00A31137">
      <w:r w:rsidRPr="00A31137">
        <w:t>Public Papers of Clinton, 1993, p.1145</w:t>
      </w:r>
    </w:p>
    <w:p w:rsidR="00A31137" w:rsidRPr="00A31137" w:rsidRDefault="00A31137" w:rsidP="00A31137">
      <w:r w:rsidRPr="00A31137">
        <w:t>Mr. King. By the way, before we take our next call, he did give credit to Mr. Eastwood. We did add on the break that he also wanted to give credit to John Malkovich in "In the Line of Fire."</w:t>
      </w:r>
    </w:p>
    <w:p w:rsidR="00A31137" w:rsidRPr="00A31137" w:rsidRDefault="00A31137" w:rsidP="00A31137">
      <w:r w:rsidRPr="00A31137">
        <w:t>Public Papers of Clinton, 1993, p.1145</w:t>
      </w:r>
    </w:p>
    <w:p w:rsidR="00A31137" w:rsidRPr="00A31137" w:rsidRDefault="00A31137" w:rsidP="00A31137">
      <w:r w:rsidRPr="00A31137">
        <w:t>The President. He's a great villain, isn't he? I mean, he was fabulous.</w:t>
      </w:r>
    </w:p>
    <w:p w:rsidR="00A31137" w:rsidRPr="00A31137" w:rsidRDefault="00A31137" w:rsidP="00A31137">
      <w:r w:rsidRPr="00A31137">
        <w:t>Public Papers of Clinton, 1993, p.1145</w:t>
      </w:r>
    </w:p>
    <w:p w:rsidR="00A31137" w:rsidRPr="00A31137" w:rsidRDefault="00A31137" w:rsidP="00A31137">
      <w:r w:rsidRPr="00A31137">
        <w:t>Mr. King. I haven't seen it yet, but they tell me it's unbelievable.</w:t>
      </w:r>
    </w:p>
    <w:p w:rsidR="00A31137" w:rsidRPr="00A31137" w:rsidRDefault="00A31137" w:rsidP="00A31137">
      <w:r w:rsidRPr="00A31137">
        <w:t>Public Papers of Clinton, 1993, p.1145</w:t>
      </w:r>
    </w:p>
    <w:p w:rsidR="00A31137" w:rsidRPr="00A31137" w:rsidRDefault="00A31137" w:rsidP="00A31137">
      <w:r w:rsidRPr="00A31137">
        <w:t>The President. Unbelievable. Rene Russo was good, too, and I'd only seen her in that Mel Gibson movie.</w:t>
      </w:r>
    </w:p>
    <w:p w:rsidR="00A31137" w:rsidRPr="00A31137" w:rsidRDefault="00A31137" w:rsidP="00A31137">
      <w:r w:rsidRPr="00A31137">
        <w:t>Public Papers of Clinton, 1993, p.1145</w:t>
      </w:r>
    </w:p>
    <w:p w:rsidR="00A31137" w:rsidRPr="00A31137" w:rsidRDefault="00A31137" w:rsidP="00A31137">
      <w:r w:rsidRPr="00A31137">
        <w:t>Mr. King. You are a movie buff, right?</w:t>
      </w:r>
    </w:p>
    <w:p w:rsidR="00A31137" w:rsidRPr="00A31137" w:rsidRDefault="00A31137" w:rsidP="00A31137">
      <w:r w:rsidRPr="00A31137">
        <w:t>Public Papers of Clinton, 1993, p.1145</w:t>
      </w:r>
    </w:p>
    <w:p w:rsidR="00A31137" w:rsidRPr="00A31137" w:rsidRDefault="00A31137" w:rsidP="00A31137">
      <w:r w:rsidRPr="00A31137">
        <w:t>The President. I love the movies. I love the movies.</w:t>
      </w:r>
    </w:p>
    <w:p w:rsidR="00A31137" w:rsidRPr="00A31137" w:rsidRDefault="00A31137" w:rsidP="00A31137">
      <w:r w:rsidRPr="00A31137">
        <w:t>Public Papers of Clinton, 1993, p.1145</w:t>
      </w:r>
    </w:p>
    <w:p w:rsidR="00A31137" w:rsidRPr="00A31137" w:rsidRDefault="00A31137" w:rsidP="00A31137">
      <w:r w:rsidRPr="00A31137">
        <w:t>Mr. King. What's it like when you order them here in the White House?</w:t>
      </w:r>
    </w:p>
    <w:p w:rsidR="00A31137" w:rsidRPr="00A31137" w:rsidRDefault="00A31137" w:rsidP="00A31137">
      <w:r w:rsidRPr="00A31137">
        <w:t>Public Papers of Clinton, 1993, p.1145</w:t>
      </w:r>
    </w:p>
    <w:p w:rsidR="00A31137" w:rsidRPr="00A31137" w:rsidRDefault="00A31137" w:rsidP="00A31137">
      <w:r w:rsidRPr="00A31137">
        <w:t>The President. Well, you know, they send in movies on a regular basis, so I get to see a lot of movies here. Normally, what we do is on Friday night—I normally work pretty late on Friday night, till 7, 7:30 p.m. Last Friday I worked till 8:30 p.m. And then we gather up whoever is still working late in the White House, and Hillary and I and, when Chelsea's here, Chelsea would come down and watch the movie. We like that.</w:t>
      </w:r>
    </w:p>
    <w:p w:rsidR="00A31137" w:rsidRPr="00A31137" w:rsidRDefault="00A31137" w:rsidP="00A31137">
      <w:r w:rsidRPr="00A31137">
        <w:t>Economic Program</w:t>
      </w:r>
    </w:p>
    <w:p w:rsidR="00A31137" w:rsidRPr="00A31137" w:rsidRDefault="00A31137" w:rsidP="00A31137">
      <w:r w:rsidRPr="00A31137">
        <w:t>Public Papers of Clinton, 1993, p.1145</w:t>
      </w:r>
    </w:p>
    <w:p w:rsidR="00A31137" w:rsidRPr="00A31137" w:rsidRDefault="00A31137" w:rsidP="00A31137">
      <w:r w:rsidRPr="00A31137">
        <w:t>Mr. King. We're ready to go back to more phone calls for President Clinton. Again, when you come on the line, please make the question or comment right to the point. And before we take our next call, I also want to give him a chance to expound on the lady who did call. I think he looked a little—when the lady who said—</w:t>
      </w:r>
    </w:p>
    <w:p w:rsidR="00A31137" w:rsidRPr="00A31137" w:rsidRDefault="00A31137" w:rsidP="00A31137">
      <w:r w:rsidRPr="00A31137">
        <w:t>Public Papers of Clinton, 1993, p.1145</w:t>
      </w:r>
    </w:p>
    <w:p w:rsidR="00A31137" w:rsidRPr="00A31137" w:rsidRDefault="00A31137" w:rsidP="00A31137">
      <w:r w:rsidRPr="00A31137">
        <w:t>The President. She said, well, if the deficit is down, why do you need to raise any taxes. Keep in mind, we went from a $1 to a $4 trillion national debt—that's the annual deficits added up—in only 12 years, from 1980 to 1992. And we need to get that deficit down to zero as quickly as we can without collapsing the economy. You can't do it overnight, but we have to do it over a period of years.</w:t>
      </w:r>
    </w:p>
    <w:p w:rsidR="00A31137" w:rsidRPr="00A31137" w:rsidRDefault="00A31137" w:rsidP="00A31137">
      <w:r w:rsidRPr="00A31137">
        <w:t>Public Papers of Clinton, 1993, p.1145</w:t>
      </w:r>
    </w:p>
    <w:p w:rsidR="00A31137" w:rsidRPr="00A31137" w:rsidRDefault="00A31137" w:rsidP="00A31137">
      <w:r w:rsidRPr="00A31137">
        <w:t>And as we do it, that's less money we have to spend on interest on the debt and more money we can invest in creating jobs, business incentives, and education and training and new technologies, and building roads and bridges and airports and things that make a country rich and competitive in this world. So even though we're getting a break on the deficit, we're getting a break on the deficit because the financial markets are responding to our efforts to bring the deficit down. And so we can't back up. We don't want to overdo it because that will slow the economy down, if you take too much money out at one time. But if we do it too little, then the interest rates will go up and we'll be in trouble on that score again.</w:t>
      </w:r>
    </w:p>
    <w:p w:rsidR="00A31137" w:rsidRPr="00A31137" w:rsidRDefault="00A31137" w:rsidP="00A31137">
      <w:r w:rsidRPr="00A31137">
        <w:t>Public Papers of Clinton, 1993, p.1146</w:t>
      </w:r>
    </w:p>
    <w:p w:rsidR="00A31137" w:rsidRPr="00A31137" w:rsidRDefault="00A31137" w:rsidP="00A31137">
      <w:r w:rsidRPr="00A31137">
        <w:t>Mr. King. Montreal, Quebec, Canada. Hello.</w:t>
      </w:r>
    </w:p>
    <w:p w:rsidR="00A31137" w:rsidRPr="00A31137" w:rsidRDefault="00A31137" w:rsidP="00A31137">
      <w:r w:rsidRPr="00A31137">
        <w:t>Homosexuals in the Military</w:t>
      </w:r>
    </w:p>
    <w:p w:rsidR="00A31137" w:rsidRPr="00A31137" w:rsidRDefault="00A31137" w:rsidP="00A31137">
      <w:r w:rsidRPr="00A31137">
        <w:t>[A participant asked why the President did not act on the issue of homosexuals in the military the same way President Truman had concerning desegregation of the military.]</w:t>
      </w:r>
    </w:p>
    <w:p w:rsidR="00A31137" w:rsidRPr="00A31137" w:rsidRDefault="00A31137" w:rsidP="00A31137">
      <w:r w:rsidRPr="00A31137">
        <w:t>Public Papers of Clinton, 1993, p.1146</w:t>
      </w:r>
    </w:p>
    <w:p w:rsidR="00A31137" w:rsidRPr="00A31137" w:rsidRDefault="00A31137" w:rsidP="00A31137">
      <w:r w:rsidRPr="00A31137">
        <w:t>The President. Well, first of all, let's talk about what I did do, and then I'll tell you why the argument you made is not analogous.</w:t>
      </w:r>
    </w:p>
    <w:p w:rsidR="00A31137" w:rsidRPr="00A31137" w:rsidRDefault="00A31137" w:rsidP="00A31137">
      <w:r w:rsidRPr="00A31137">
        <w:t>Public Papers of Clinton, 1993, p.1146</w:t>
      </w:r>
    </w:p>
    <w:p w:rsidR="00A31137" w:rsidRPr="00A31137" w:rsidRDefault="00A31137" w:rsidP="00A31137">
      <w:r w:rsidRPr="00A31137">
        <w:t>What I did do was to give instructions to the Secretary of Defense to promulgate a policy which permits gays to serve for the first time and judges them like other service men and women on their conduct, not their sexual orientation. That is a big change. They're not going to be asked about their sexual orientation. Their privacy, including their rights of association, are going to be protected. That is, if they are seen going into a gay bar, that will not lead to an investigation of their sexual orientation. The laws against sexual misconduct will be enforced clearly and unambiguously in an even-handed way against heterosexuals and homosexuals. And if a gay person says that he or she is homosexual, while that can create a presumption that they are doing something that is prohibited and lead to their separation from service, they will be given an explicit opportunity to argue that they are honoring the code of conduct. Now that is a big change.</w:t>
      </w:r>
    </w:p>
    <w:p w:rsidR="00A31137" w:rsidRPr="00A31137" w:rsidRDefault="00A31137" w:rsidP="00A31137">
      <w:r w:rsidRPr="00A31137">
        <w:t>Public Papers of Clinton, 1993, p.1146</w:t>
      </w:r>
    </w:p>
    <w:p w:rsidR="00A31137" w:rsidRPr="00A31137" w:rsidRDefault="00A31137" w:rsidP="00A31137">
      <w:r w:rsidRPr="00A31137">
        <w:t>Now, how is that different from the situation with President Truman? The real thing you ought to ask is how long did it take before African-Americans, in this case, were treated fully equally in the service? It didn't just happen snap with Truman's order. It didn't happen after Truman's order, and it developed a long time before Truman's order. There was an explicit open involvement of the military culture with blacks in a segregated way for a very long time before this order was issued.</w:t>
      </w:r>
    </w:p>
    <w:p w:rsidR="00A31137" w:rsidRPr="00A31137" w:rsidRDefault="00A31137" w:rsidP="00A31137">
      <w:r w:rsidRPr="00A31137">
        <w:t>Public Papers of Clinton, 1993, p.1146</w:t>
      </w:r>
    </w:p>
    <w:p w:rsidR="00A31137" w:rsidRPr="00A31137" w:rsidRDefault="00A31137" w:rsidP="00A31137">
      <w:r w:rsidRPr="00A31137">
        <w:t>The same thing happened with women. One of the things that's achieved almost no notice is that during my administration the Pentagon has voted to dramatically expand the role of women in the military services, make available far more roles for them than were available before. But it didn't happen overnight. It happened over a period of years as the military culture adapted to it.</w:t>
      </w:r>
    </w:p>
    <w:p w:rsidR="00A31137" w:rsidRPr="00A31137" w:rsidRDefault="00A31137" w:rsidP="00A31137">
      <w:r w:rsidRPr="00A31137">
        <w:t>Public Papers of Clinton, 1993, p.1146</w:t>
      </w:r>
    </w:p>
    <w:p w:rsidR="00A31137" w:rsidRPr="00A31137" w:rsidRDefault="00A31137" w:rsidP="00A31137">
      <w:r w:rsidRPr="00A31137">
        <w:t>Now, if I had done what you suggest, if I had just said that gays could serve and whatever they do in private is their own business which I never committed to do in the campaign-I'll tell you exactly what would have happened. Congress would have overturned it immediately and done it on the defense bill and in ways that would have been difficult, if not impossible, for me to veto.</w:t>
      </w:r>
    </w:p>
    <w:p w:rsidR="00A31137" w:rsidRPr="00A31137" w:rsidRDefault="00A31137" w:rsidP="00A31137">
      <w:r w:rsidRPr="00A31137">
        <w:t>Public Papers of Clinton, 1993, p.1146</w:t>
      </w:r>
    </w:p>
    <w:p w:rsidR="00A31137" w:rsidRPr="00A31137" w:rsidRDefault="00A31137" w:rsidP="00A31137">
      <w:r w:rsidRPr="00A31137">
        <w:t>So the situations simply aren't analogous. Congress has no intention of overturning President Truman's position, and it's something that had built up over a long period of time, not something that just entered the public debate, in effect, about a year ago.</w:t>
      </w:r>
    </w:p>
    <w:p w:rsidR="00A31137" w:rsidRPr="00A31137" w:rsidRDefault="00A31137" w:rsidP="00A31137">
      <w:r w:rsidRPr="00A31137">
        <w:t>Mr. King. St. Thomas, the Virgin Islands. Hello.</w:t>
      </w:r>
    </w:p>
    <w:p w:rsidR="00A31137" w:rsidRPr="00A31137" w:rsidRDefault="00A31137" w:rsidP="00A31137">
      <w:r w:rsidRPr="00A31137">
        <w:t>Puerto Rico and the District of Columbia</w:t>
      </w:r>
    </w:p>
    <w:p w:rsidR="00A31137" w:rsidRPr="00A31137" w:rsidRDefault="00A31137" w:rsidP="00A31137">
      <w:r w:rsidRPr="00A31137">
        <w:t>Public Papers of Clinton, 1993, p.1146</w:t>
      </w:r>
    </w:p>
    <w:p w:rsidR="00A31137" w:rsidRPr="00A31137" w:rsidRDefault="00A31137" w:rsidP="00A31137">
      <w:r w:rsidRPr="00A31137">
        <w:t>[A participant asked about voting rights for residents of Puerto Rico.]</w:t>
      </w:r>
    </w:p>
    <w:p w:rsidR="00A31137" w:rsidRPr="00A31137" w:rsidRDefault="00A31137" w:rsidP="00A31137">
      <w:r w:rsidRPr="00A31137">
        <w:t>Public Papers of Clinton, 1993, p.1146</w:t>
      </w:r>
    </w:p>
    <w:p w:rsidR="00A31137" w:rsidRPr="00A31137" w:rsidRDefault="00A31137" w:rsidP="00A31137">
      <w:r w:rsidRPr="00A31137">
        <w:t>The President. Well, it would take a legal change. I'm embarrassed to tell you I don't know if it would take a change in the Constitution. I'd like to invite you to write me about it, and I'll commit to you I'll look into it. I know that in the case of Puerto Rico, they did have a Presidential primary, which I was very active in. And the people there were very good to me, and I'm grateful for that.</w:t>
      </w:r>
    </w:p>
    <w:p w:rsidR="00A31137" w:rsidRPr="00A31137" w:rsidRDefault="00A31137" w:rsidP="00A31137">
      <w:r w:rsidRPr="00A31137">
        <w:t>Public Papers of Clinton, 1993, p.1146</w:t>
      </w:r>
    </w:p>
    <w:p w:rsidR="00A31137" w:rsidRPr="00A31137" w:rsidRDefault="00A31137" w:rsidP="00A31137">
      <w:r w:rsidRPr="00A31137">
        <w:t>I have strongly supported, in the case of Puerto Rico, self-determination. That is, if they have a referendum there and they vote to continue their commonwealth status or to become independent or to become a State, whatever they decide I will support.</w:t>
      </w:r>
    </w:p>
    <w:p w:rsidR="00A31137" w:rsidRPr="00A31137" w:rsidRDefault="00A31137" w:rsidP="00A31137">
      <w:r w:rsidRPr="00A31137">
        <w:t>Public Papers of Clinton, 1993, p.1146</w:t>
      </w:r>
    </w:p>
    <w:p w:rsidR="00A31137" w:rsidRPr="00A31137" w:rsidRDefault="00A31137" w:rsidP="00A31137">
      <w:r w:rsidRPr="00A31137">
        <w:t>Mr. King. You also support statehood for Washington, DC?</w:t>
      </w:r>
    </w:p>
    <w:p w:rsidR="00A31137" w:rsidRPr="00A31137" w:rsidRDefault="00A31137" w:rsidP="00A31137">
      <w:r w:rsidRPr="00A31137">
        <w:t>Public Papers of Clinton, 1993, p.1146</w:t>
      </w:r>
    </w:p>
    <w:p w:rsidR="00A31137" w:rsidRPr="00A31137" w:rsidRDefault="00A31137" w:rsidP="00A31137">
      <w:r w:rsidRPr="00A31137">
        <w:t>The President. I do. And I didn't, frankly, until about a year and a half ago when a number of people, including Jesse Jackson, who is one of the shadow Senators for DC, pointed out to me that this community, which was once a Federal preserve entirely, now has more people than 5 States, pays more taxes than 10, and sent more soldiers into harm's way in the Persian Gulf than 20. So I think there are ways you can carve out a Federal enclave here that's still separate and apart and let the rest of those folks become a State. There are some complicated issues there. I think there's a lot of—if you had the first city-state, they try to tax people from other states, and we'd have to work though all that. And if—</w:t>
      </w:r>
    </w:p>
    <w:p w:rsidR="00A31137" w:rsidRPr="00A31137" w:rsidRDefault="00A31137" w:rsidP="00A31137">
      <w:r w:rsidRPr="00A31137">
        <w:t>Public Papers of Clinton, 1993, p.1146–p.1147</w:t>
      </w:r>
    </w:p>
    <w:p w:rsidR="00A31137" w:rsidRPr="00A31137" w:rsidRDefault="00A31137" w:rsidP="00A31137">
      <w:r w:rsidRPr="00A31137">
        <w:t>Mr. King. And if Puerto Rico wants statehood, [p.1147] you'd be happy to welcome them as number 51?</w:t>
      </w:r>
    </w:p>
    <w:p w:rsidR="00A31137" w:rsidRPr="00A31137" w:rsidRDefault="00A31137" w:rsidP="00A31137">
      <w:r w:rsidRPr="00A31137">
        <w:t>Public Papers of Clinton, 1993, p.1147</w:t>
      </w:r>
    </w:p>
    <w:p w:rsidR="00A31137" w:rsidRPr="00A31137" w:rsidRDefault="00A31137" w:rsidP="00A31137">
      <w:r w:rsidRPr="00A31137">
        <w:t>The President. If that's what they vote for. I think they, the people of Puerto Rico, should decide.</w:t>
      </w:r>
    </w:p>
    <w:p w:rsidR="00A31137" w:rsidRPr="00A31137" w:rsidRDefault="00A31137" w:rsidP="00A31137">
      <w:r w:rsidRPr="00A31137">
        <w:t>Public Papers of Clinton, 1993, p.1147</w:t>
      </w:r>
    </w:p>
    <w:p w:rsidR="00A31137" w:rsidRPr="00A31137" w:rsidRDefault="00A31137" w:rsidP="00A31137">
      <w:r w:rsidRPr="00A31137">
        <w:t>Mr. King. We'll be back with President Clinton.</w:t>
      </w:r>
    </w:p>
    <w:p w:rsidR="00A31137" w:rsidRPr="00A31137" w:rsidRDefault="00A31137" w:rsidP="00A31137">
      <w:r w:rsidRPr="00A31137">
        <w:t>[The stations took a commercial break.]</w:t>
      </w:r>
    </w:p>
    <w:p w:rsidR="00A31137" w:rsidRPr="00A31137" w:rsidRDefault="00A31137" w:rsidP="00A31137">
      <w:r w:rsidRPr="00A31137">
        <w:t>Public Papers of Clinton, 1993, p.1147</w:t>
      </w:r>
    </w:p>
    <w:p w:rsidR="00A31137" w:rsidRPr="00A31137" w:rsidRDefault="00A31137" w:rsidP="00A31137">
      <w:r w:rsidRPr="00A31137">
        <w:t>Mr. King. We're back on "Larry King Live." Now, you would think these are two pretty powerful-the President of the United States. We're doing all right. The President had another commitment he didn't know about, right? So he'll be with us until the top of the hour. However, every 6 months we have a kind of rotating date, right, as promised during the campaign?</w:t>
      </w:r>
    </w:p>
    <w:p w:rsidR="00A31137" w:rsidRPr="00A31137" w:rsidRDefault="00A31137" w:rsidP="00A31137">
      <w:r w:rsidRPr="00A31137">
        <w:t>Public Papers of Clinton, 1993, p.1147</w:t>
      </w:r>
    </w:p>
    <w:p w:rsidR="00A31137" w:rsidRPr="00A31137" w:rsidRDefault="00A31137" w:rsidP="00A31137">
      <w:r w:rsidRPr="00A31137">
        <w:t>The President. And I owe you a half an hour now.</w:t>
      </w:r>
    </w:p>
    <w:p w:rsidR="00A31137" w:rsidRPr="00A31137" w:rsidRDefault="00A31137" w:rsidP="00A31137">
      <w:r w:rsidRPr="00A31137">
        <w:t>Public Papers of Clinton, 1993, p.1147</w:t>
      </w:r>
    </w:p>
    <w:p w:rsidR="00A31137" w:rsidRPr="00A31137" w:rsidRDefault="00A31137" w:rsidP="00A31137">
      <w:r w:rsidRPr="00A31137">
        <w:t>Mr. King. And he'll owe us a half an hour, so the next appearance will be 90 minutes in 6 months. Or 2 hours, as pointed out by Atlanta-they never stop—2 hours, OK. But we do thank—there was another appointment which he was unaware of and we were unaware of. So we'll get to some calls quickly, and he will be returning every 6 months. He promised it during the campaign; this is the 6-month anniversary.</w:t>
      </w:r>
    </w:p>
    <w:p w:rsidR="00A31137" w:rsidRPr="00A31137" w:rsidRDefault="00A31137" w:rsidP="00A31137">
      <w:r w:rsidRPr="00A31137">
        <w:t>Public Papers of Clinton, 1993, p.1147</w:t>
      </w:r>
    </w:p>
    <w:p w:rsidR="00A31137" w:rsidRPr="00A31137" w:rsidRDefault="00A31137" w:rsidP="00A31137">
      <w:r w:rsidRPr="00A31137">
        <w:t>Arlington, Virginia, with President Clinton. Hello.</w:t>
      </w:r>
    </w:p>
    <w:p w:rsidR="00A31137" w:rsidRPr="00A31137" w:rsidRDefault="00A31137" w:rsidP="00A31137">
      <w:r w:rsidRPr="00A31137">
        <w:t>President's Domestic Priorities</w:t>
      </w:r>
    </w:p>
    <w:p w:rsidR="00A31137" w:rsidRPr="00A31137" w:rsidRDefault="00A31137" w:rsidP="00A31137">
      <w:r w:rsidRPr="00A31137">
        <w:t>Public Papers of Clinton, 1993, p.1147</w:t>
      </w:r>
    </w:p>
    <w:p w:rsidR="00A31137" w:rsidRPr="00A31137" w:rsidRDefault="00A31137" w:rsidP="00A31137">
      <w:r w:rsidRPr="00A31137">
        <w:t>[A participant asked what the President would like his legacy to be.]</w:t>
      </w:r>
    </w:p>
    <w:p w:rsidR="00A31137" w:rsidRPr="00A31137" w:rsidRDefault="00A31137" w:rsidP="00A31137">
      <w:r w:rsidRPr="00A31137">
        <w:t>Public Papers of Clinton, 1993, p.1147</w:t>
      </w:r>
    </w:p>
    <w:p w:rsidR="00A31137" w:rsidRPr="00A31137" w:rsidRDefault="00A31137" w:rsidP="00A31137">
      <w:r w:rsidRPr="00A31137">
        <w:t>Mr. King. Is it too early to have a legacy?</w:t>
      </w:r>
    </w:p>
    <w:p w:rsidR="00A31137" w:rsidRPr="00A31137" w:rsidRDefault="00A31137" w:rsidP="00A31137">
      <w:r w:rsidRPr="00A31137">
        <w:t>Public Papers of Clinton, 1993, p.1147</w:t>
      </w:r>
    </w:p>
    <w:p w:rsidR="00A31137" w:rsidRPr="00A31137" w:rsidRDefault="00A31137" w:rsidP="00A31137">
      <w:r w:rsidRPr="00A31137">
        <w:t>The President. No, I'd be happy to tell you that. Number one, I'd like to get this economy moving again, get the deficit down and start creating jobs and seeing working Americans have their incomes go up.</w:t>
      </w:r>
    </w:p>
    <w:p w:rsidR="00A31137" w:rsidRPr="00A31137" w:rsidRDefault="00A31137" w:rsidP="00A31137">
      <w:r w:rsidRPr="00A31137">
        <w:t>Public Papers of Clinton, 1993, p.1147</w:t>
      </w:r>
    </w:p>
    <w:p w:rsidR="00A31137" w:rsidRPr="00A31137" w:rsidRDefault="00A31137" w:rsidP="00A31137">
      <w:r w:rsidRPr="00A31137">
        <w:t>Number two, I'd like to provide health security for all Americans. I'd like for us to join all the other advanced countries in the world and provide a system of affordable health care to all of our people.</w:t>
      </w:r>
    </w:p>
    <w:p w:rsidR="00A31137" w:rsidRPr="00A31137" w:rsidRDefault="00A31137" w:rsidP="00A31137">
      <w:r w:rsidRPr="00A31137">
        <w:t>Public Papers of Clinton, 1993, p.1147</w:t>
      </w:r>
    </w:p>
    <w:p w:rsidR="00A31137" w:rsidRPr="00A31137" w:rsidRDefault="00A31137" w:rsidP="00A31137">
      <w:r w:rsidRPr="00A31137">
        <w:t>Number three, I want my national service plan to pass. It will open the doors of college education to millions of Americans for lower interest loans and give many, many of them the chance to work those loans off through service at their communities.</w:t>
      </w:r>
    </w:p>
    <w:p w:rsidR="00A31137" w:rsidRPr="00A31137" w:rsidRDefault="00A31137" w:rsidP="00A31137">
      <w:r w:rsidRPr="00A31137">
        <w:t>Public Papers of Clinton, 1993, p.1147</w:t>
      </w:r>
    </w:p>
    <w:p w:rsidR="00A31137" w:rsidRPr="00A31137" w:rsidRDefault="00A31137" w:rsidP="00A31137">
      <w:r w:rsidRPr="00A31137">
        <w:t>Number four, I strongly want to pass a welfare reform bill that will move people from welfare to work and end welfare as we know it.</w:t>
      </w:r>
    </w:p>
    <w:p w:rsidR="00A31137" w:rsidRPr="00A31137" w:rsidRDefault="00A31137" w:rsidP="00A31137">
      <w:r w:rsidRPr="00A31137">
        <w:t>Public Papers of Clinton, 1993, p.1147</w:t>
      </w:r>
    </w:p>
    <w:p w:rsidR="00A31137" w:rsidRPr="00A31137" w:rsidRDefault="00A31137" w:rsidP="00A31137">
      <w:r w:rsidRPr="00A31137">
        <w:t>And five, I want to reform the political system. We have already passed the motor voter bill that makes it easier for people to register and vote. Three other bills that I care very deeply about have passed one House of Congress, but not both: one, a campaign finance reform bill to lower the cost of political campaigns, reduce the influence of PAC's, and open the airwaves to debate; two, a bill that drastically opens up lobbying behavior, restricting some lobbying behavior and requiring them to report what they. spend on members of Congress; and three, the modified line-item veto, which I think will help discipline spending. So those are the things; I would like those things to be my legacy.</w:t>
      </w:r>
    </w:p>
    <w:p w:rsidR="00A31137" w:rsidRPr="00A31137" w:rsidRDefault="00A31137" w:rsidP="00A31137">
      <w:r w:rsidRPr="00A31137">
        <w:t>NAFTA</w:t>
      </w:r>
    </w:p>
    <w:p w:rsidR="00A31137" w:rsidRPr="00A31137" w:rsidRDefault="00A31137" w:rsidP="00A31137">
      <w:r w:rsidRPr="00A31137">
        <w:t>Public Papers of Clinton, 1993, p.1147</w:t>
      </w:r>
    </w:p>
    <w:p w:rsidR="00A31137" w:rsidRPr="00A31137" w:rsidRDefault="00A31137" w:rsidP="00A31137">
      <w:r w:rsidRPr="00A31137">
        <w:t>Mr. King. Want NAFTA to pass, too?</w:t>
      </w:r>
    </w:p>
    <w:p w:rsidR="00A31137" w:rsidRPr="00A31137" w:rsidRDefault="00A31137" w:rsidP="00A31137">
      <w:r w:rsidRPr="00A31137">
        <w:t>Public Papers of Clinton, 1993, p.1147</w:t>
      </w:r>
    </w:p>
    <w:p w:rsidR="00A31137" w:rsidRPr="00A31137" w:rsidRDefault="00A31137" w:rsidP="00A31137">
      <w:r w:rsidRPr="00A31137">
        <w:t>The President. Very much. I strongly support—I think it means more jobs, not less. Let me just make—</w:t>
      </w:r>
    </w:p>
    <w:p w:rsidR="00A31137" w:rsidRPr="00A31137" w:rsidRDefault="00A31137" w:rsidP="00A31137">
      <w:r w:rsidRPr="00A31137">
        <w:t>Public Papers of Clinton, 1993, p.1147</w:t>
      </w:r>
    </w:p>
    <w:p w:rsidR="00A31137" w:rsidRPr="00A31137" w:rsidRDefault="00A31137" w:rsidP="00A31137">
      <w:r w:rsidRPr="00A31137">
        <w:t>Mr. King. You disagree with Mr. Perot?</w:t>
      </w:r>
    </w:p>
    <w:p w:rsidR="00A31137" w:rsidRPr="00A31137" w:rsidRDefault="00A31137" w:rsidP="00A31137">
      <w:r w:rsidRPr="00A31137">
        <w:t>Public Papers of Clinton, 1993, p.1147</w:t>
      </w:r>
    </w:p>
    <w:p w:rsidR="00A31137" w:rsidRPr="00A31137" w:rsidRDefault="00A31137" w:rsidP="00A31137">
      <w:r w:rsidRPr="00A31137">
        <w:t>The President. I do, because keep in mind, anybody who wants to go to Mexico because they have low wages and send the products back here can do that today. Mexican tariffs on American products on average are higher than American tariffs on Mexican. Because of what President Salinas has done in lowering those tariffs in the last few years, we've gone from a $5 billion trade deficit to a $6 billion trade surplus with Mexico. They now have displaced Japan as the second biggest purchaser of American manufactured products. So I think a wealthier Mexico means more products going down there and more jobs for America.</w:t>
      </w:r>
    </w:p>
    <w:p w:rsidR="00A31137" w:rsidRPr="00A31137" w:rsidRDefault="00A31137" w:rsidP="00A31137">
      <w:r w:rsidRPr="00A31137">
        <w:t>Public Papers of Clinton, 1993, p.1147</w:t>
      </w:r>
    </w:p>
    <w:p w:rsidR="00A31137" w:rsidRPr="00A31137" w:rsidRDefault="00A31137" w:rsidP="00A31137">
      <w:r w:rsidRPr="00A31137">
        <w:t>Mr. King. A quick call, last call. Paris, France, hello.</w:t>
      </w:r>
    </w:p>
    <w:p w:rsidR="00A31137" w:rsidRPr="00A31137" w:rsidRDefault="00A31137" w:rsidP="00A31137">
      <w:r w:rsidRPr="00A31137">
        <w:t>Terrorism</w:t>
      </w:r>
    </w:p>
    <w:p w:rsidR="00A31137" w:rsidRPr="00A31137" w:rsidRDefault="00A31137" w:rsidP="00A31137">
      <w:r w:rsidRPr="00A31137">
        <w:t>Public Papers of Clinton, 1993, p.1147</w:t>
      </w:r>
    </w:p>
    <w:p w:rsidR="00A31137" w:rsidRPr="00A31137" w:rsidRDefault="00A31137" w:rsidP="00A31137">
      <w:r w:rsidRPr="00A31137">
        <w:t>[A participant questioned U.S. policy toward Iran.]</w:t>
      </w:r>
    </w:p>
    <w:p w:rsidR="00A31137" w:rsidRPr="00A31137" w:rsidRDefault="00A31137" w:rsidP="00A31137">
      <w:r w:rsidRPr="00A31137">
        <w:t>Public Papers of Clinton, 1993, p.1147</w:t>
      </w:r>
    </w:p>
    <w:p w:rsidR="00A31137" w:rsidRPr="00A31137" w:rsidRDefault="00A31137" w:rsidP="00A31137">
      <w:r w:rsidRPr="00A31137">
        <w:t>The President. The answer is we are doing everything we can to impose restrictions on trade with Iran. We are pressuring our allies and friends all the time not to support any government, including Iran, that supports terrorism and assassination.</w:t>
      </w:r>
    </w:p>
    <w:p w:rsidR="00A31137" w:rsidRPr="00A31137" w:rsidRDefault="00A31137" w:rsidP="00A31137">
      <w:r w:rsidRPr="00A31137">
        <w:t>Public Papers of Clinton, 1993, p.1147–p.1148</w:t>
      </w:r>
    </w:p>
    <w:p w:rsidR="00A31137" w:rsidRPr="00A31137" w:rsidRDefault="00A31137" w:rsidP="00A31137">
      <w:r w:rsidRPr="00A31137">
        <w:t>I'm glad you brought it up. I think it's a very significant problem. I hope you will press this hard in Paris as you are pressing Washington, because that is something that all the West [p.1148] should be sensitive to. We must not allow Iraq, Iran, and other agents of terrorism and assassination to dominate the world politically and to terrorize innocent people. I think you're absolutely right.</w:t>
      </w:r>
    </w:p>
    <w:p w:rsidR="00A31137" w:rsidRPr="00A31137" w:rsidRDefault="00A31137" w:rsidP="00A31137">
      <w:r w:rsidRPr="00A31137">
        <w:t>Public Papers of Clinton, 1993, p.1148</w:t>
      </w:r>
    </w:p>
    <w:p w:rsidR="00A31137" w:rsidRPr="00A31137" w:rsidRDefault="00A31137" w:rsidP="00A31137">
      <w:r w:rsidRPr="00A31137">
        <w:t>Mr. King. Thanks very much, Mr. President.</w:t>
      </w:r>
    </w:p>
    <w:p w:rsidR="00A31137" w:rsidRPr="00A31137" w:rsidRDefault="00A31137" w:rsidP="00A31137">
      <w:r w:rsidRPr="00A31137">
        <w:t>Public Papers of Clinton, 1993, p.1148</w:t>
      </w:r>
    </w:p>
    <w:p w:rsidR="00A31137" w:rsidRPr="00A31137" w:rsidRDefault="00A31137" w:rsidP="00A31137">
      <w:r w:rsidRPr="00A31137">
        <w:t>The President. Thank you.</w:t>
      </w:r>
    </w:p>
    <w:p w:rsidR="00A31137" w:rsidRPr="00A31137" w:rsidRDefault="00A31137" w:rsidP="00A31137">
      <w:r w:rsidRPr="00A31137">
        <w:t>Public Papers of Clinton, 1993, p.1148</w:t>
      </w:r>
    </w:p>
    <w:p w:rsidR="00A31137" w:rsidRPr="00A31137" w:rsidRDefault="00A31137" w:rsidP="00A31137">
      <w:r w:rsidRPr="00A31137">
        <w:t>NOTE: The interview began at 9 p.m. The President spoke from the Library at the White House.</w:t>
      </w:r>
    </w:p>
    <w:p w:rsidR="00A31137" w:rsidRPr="00A31137" w:rsidRDefault="00A31137" w:rsidP="00A31137">
      <w:r w:rsidRPr="00A31137">
        <w:t>President Clinton's Statement on Senate Action Confirming Ruth Bader Ginsburg as a Supreme Court Associate Justice, 1993</w:t>
      </w:r>
    </w:p>
    <w:p w:rsidR="00A31137" w:rsidRPr="00A31137" w:rsidRDefault="00A31137" w:rsidP="00A31137">
      <w:r w:rsidRPr="00A31137">
        <w:t>Title:</w:t>
      </w:r>
      <w:r w:rsidRPr="00A31137">
        <w:tab/>
        <w:t>President Clinton's Statement on Senate Action Confirming Ruth Bader Ginsburg as a Supreme Court Associate Justice</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August 3, 1993</w:t>
      </w:r>
    </w:p>
    <w:p w:rsidR="00A31137" w:rsidRPr="00A31137" w:rsidRDefault="00A31137" w:rsidP="00A31137">
      <w:r w:rsidRPr="00A31137">
        <w:t>Source:</w:t>
      </w:r>
      <w:r w:rsidRPr="00A31137">
        <w:tab/>
        <w:t>Public Papers of the Presidents, Clinton, 1993, p.1314</w:t>
      </w:r>
    </w:p>
    <w:p w:rsidR="00A31137" w:rsidRPr="00A31137" w:rsidRDefault="00A31137" w:rsidP="00A31137">
      <w:r w:rsidRPr="00A31137">
        <w:t>Public Papers of Clinton, 1993, p.1314</w:t>
      </w:r>
    </w:p>
    <w:p w:rsidR="00A31137" w:rsidRPr="00A31137" w:rsidRDefault="00A31137" w:rsidP="00A31137">
      <w:r w:rsidRPr="00A31137">
        <w:t>I am extremely pleased at the swift and determined action by the U.S. Senate in overwhelmingly confirming Ruth Bader Ginsburg to the United States Supreme Court. I want to thank Chairman Biden, Senator Hatch, and their colleagues on the Judiciary Committee and the Senate as a whole for prompt consideration of her nomination.</w:t>
      </w:r>
    </w:p>
    <w:p w:rsidR="00A31137" w:rsidRPr="00A31137" w:rsidRDefault="00A31137" w:rsidP="00A31137">
      <w:r w:rsidRPr="00A31137">
        <w:t>Public Papers of Clinton, 1993, p.1315</w:t>
      </w:r>
    </w:p>
    <w:p w:rsidR="00A31137" w:rsidRPr="00A31137" w:rsidRDefault="00A31137" w:rsidP="00A31137">
      <w:r w:rsidRPr="00A31137">
        <w:t>As President, I am proud of having nominated such an outstanding jurist who demonstrated in the confirmation process tremendous intellect, integrity, comprehension of the law, and compassion for the concerns of all Americans. I am confident that she will be an outstanding addition to the Court and will serve with distinction for many years.</w:t>
      </w:r>
    </w:p>
    <w:p w:rsidR="00A31137" w:rsidRPr="00A31137" w:rsidRDefault="00A31137" w:rsidP="00A31137">
      <w:r w:rsidRPr="00A31137">
        <w:t>President Clinton's Address to a Joint Session of the Congress on Health Care Reform, 1993</w:t>
      </w:r>
    </w:p>
    <w:p w:rsidR="00A31137" w:rsidRPr="00A31137" w:rsidRDefault="00A31137" w:rsidP="00A31137">
      <w:r w:rsidRPr="00A31137">
        <w:t>Title:</w:t>
      </w:r>
      <w:r w:rsidRPr="00A31137">
        <w:tab/>
        <w:t>President Clinton's Address to a Joint Session of the Congress on Health Care Reform</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September 22, 1993</w:t>
      </w:r>
    </w:p>
    <w:p w:rsidR="00A31137" w:rsidRPr="00A31137" w:rsidRDefault="00A31137" w:rsidP="00A31137">
      <w:r w:rsidRPr="00A31137">
        <w:t>Source:</w:t>
      </w:r>
      <w:r w:rsidRPr="00A31137">
        <w:tab/>
        <w:t>Public Papers of the Presidents, Clinton, 1993, pp.1556-1565</w:t>
      </w:r>
    </w:p>
    <w:p w:rsidR="00A31137" w:rsidRPr="00A31137" w:rsidRDefault="00A31137" w:rsidP="00A31137">
      <w:r w:rsidRPr="00A31137">
        <w:t>Public Papers of Clinton, 1993, p.1556</w:t>
      </w:r>
    </w:p>
    <w:p w:rsidR="00A31137" w:rsidRPr="00A31137" w:rsidRDefault="00A31137" w:rsidP="00A31137">
      <w:r w:rsidRPr="00A31137">
        <w:t>Mr. Speaker, Mr. President, Members of Congress, distinguished guests, lily fellow Americans, before I begin my words tonight I would like to ask that we all bow in a moment of silent prayer for the memory of those who were killed and those who have been injured in the tragic train accident in Alabama today. Amen.</w:t>
      </w:r>
    </w:p>
    <w:p w:rsidR="00A31137" w:rsidRPr="00A31137" w:rsidRDefault="00A31137" w:rsidP="00A31137">
      <w:r w:rsidRPr="00A31137">
        <w:t>Public Papers of Clinton, 1993, p.1556</w:t>
      </w:r>
    </w:p>
    <w:p w:rsidR="00A31137" w:rsidRPr="00A31137" w:rsidRDefault="00A31137" w:rsidP="00A31137">
      <w:r w:rsidRPr="00A31137">
        <w:t>My fellow Americans, tonight we come together to write a new chapter in the American story. Our forebears enshrined the American dream: life, liberty, the pursuit of happiness. Every generation of Americans has worked to strengthen that legacy, to make our country a place of freedom and opportunity, a place where people who work hard can rise to their full potential, a place where their children can have a better future.</w:t>
      </w:r>
    </w:p>
    <w:p w:rsidR="00A31137" w:rsidRPr="00A31137" w:rsidRDefault="00A31137" w:rsidP="00A31137">
      <w:r w:rsidRPr="00A31137">
        <w:t>Public Papers of Clinton, 1993, p.1556</w:t>
      </w:r>
    </w:p>
    <w:p w:rsidR="00A31137" w:rsidRPr="00A31137" w:rsidRDefault="00A31137" w:rsidP="00A31137">
      <w:r w:rsidRPr="00A31137">
        <w:t>From the settling of the frontier to the landing on the Moon, ours has been a continuous story of challenges defined, obstacles overcome, new horizons secured. That is what makes America what it is and Americans what we are. Now we are in a time of profound change and opportunity. The end of the cold war, the information age, the global economy have brought us both opportunity and hope and strife and uncertainty. Our purpose in this dynamic age must be to make change our friend and not our enemy.</w:t>
      </w:r>
    </w:p>
    <w:p w:rsidR="00A31137" w:rsidRPr="00A31137" w:rsidRDefault="00A31137" w:rsidP="00A31137">
      <w:r w:rsidRPr="00A31137">
        <w:t>Public Papers of Clinton, 1993, p.1556</w:t>
      </w:r>
    </w:p>
    <w:p w:rsidR="00A31137" w:rsidRPr="00A31137" w:rsidRDefault="00A31137" w:rsidP="00A31137">
      <w:r w:rsidRPr="00A31137">
        <w:t>To achieve that goal, we must face all our challenges with confidence, with faith, and with discipline, whether we're reducing the deficit, creating tomorrow's jobs and training our people to fill them, converting from a high-tech defense to a high-tech domestic economy, expanding trade, reinventing Government, making our streets safer, or rewarding work over idleness. All these challenges require us to change.</w:t>
      </w:r>
    </w:p>
    <w:p w:rsidR="00A31137" w:rsidRPr="00A31137" w:rsidRDefault="00A31137" w:rsidP="00A31137">
      <w:r w:rsidRPr="00A31137">
        <w:t>Public Papers of Clinton, 1993, p.1556</w:t>
      </w:r>
    </w:p>
    <w:p w:rsidR="00A31137" w:rsidRPr="00A31137" w:rsidRDefault="00A31137" w:rsidP="00A31137">
      <w:r w:rsidRPr="00A31137">
        <w:t>If Americans are to have the courage to change in a difficult time, we must first be secure in our most basic needs. Tonight I want to talk to you about the most critical thing we can do to build that security. This health care system of ours is badly broken, and it is time to fix it. Despite the dedication of literally millions of talented health care professionals, our health care is too uncertain and too expensive, too bureaucratic and too wasteful. It has too much fraud and too much greed.</w:t>
      </w:r>
    </w:p>
    <w:p w:rsidR="00A31137" w:rsidRPr="00A31137" w:rsidRDefault="00A31137" w:rsidP="00A31137">
      <w:r w:rsidRPr="00A31137">
        <w:t>Public Papers of Clinton, 1993, p.1557</w:t>
      </w:r>
    </w:p>
    <w:p w:rsidR="00A31137" w:rsidRPr="00A31137" w:rsidRDefault="00A31137" w:rsidP="00A31137">
      <w:r w:rsidRPr="00A31137">
        <w:t>At long last, after decades of false starts, we must make this our most urgent priority, giving every American health security, health care that can never be taken away, heath care that is always there. That is what we must do tonight.</w:t>
      </w:r>
    </w:p>
    <w:p w:rsidR="00A31137" w:rsidRPr="00A31137" w:rsidRDefault="00A31137" w:rsidP="00A31137">
      <w:r w:rsidRPr="00A31137">
        <w:t>Public Papers of Clinton, 1993, p.1557</w:t>
      </w:r>
    </w:p>
    <w:p w:rsidR="00A31137" w:rsidRPr="00A31137" w:rsidRDefault="00A31137" w:rsidP="00A31137">
      <w:r w:rsidRPr="00A31137">
        <w:t>On this journey, as on all others of true consequence, there will be rough spots in the road and honest disagreements about how we should proceed. After all, tills is a complicated issue. But every successful journey is guided by fixed stars. And if we can agree on some basic values and principles, we will reach tills destination, and we will reach it together.</w:t>
      </w:r>
    </w:p>
    <w:p w:rsidR="00A31137" w:rsidRPr="00A31137" w:rsidRDefault="00A31137" w:rsidP="00A31137">
      <w:r w:rsidRPr="00A31137">
        <w:t>Public Papers of Clinton, 1993, p.1557</w:t>
      </w:r>
    </w:p>
    <w:p w:rsidR="00A31137" w:rsidRPr="00A31137" w:rsidRDefault="00A31137" w:rsidP="00A31137">
      <w:r w:rsidRPr="00A31137">
        <w:t>So tonight I want to talk to you about the principles that I believe must embody our efforts to reform America's health care system: security, simplicity, savings, choice, quality, and responsibility.</w:t>
      </w:r>
    </w:p>
    <w:p w:rsidR="00A31137" w:rsidRPr="00A31137" w:rsidRDefault="00A31137" w:rsidP="00A31137">
      <w:r w:rsidRPr="00A31137">
        <w:t>Public Papers of Clinton, 1993, p.1557</w:t>
      </w:r>
    </w:p>
    <w:p w:rsidR="00A31137" w:rsidRPr="00A31137" w:rsidRDefault="00A31137" w:rsidP="00A31137">
      <w:r w:rsidRPr="00A31137">
        <w:t>When I launched our Nation on this journey to reform the health care system I knew we needed a talented navigator, someone with a rigorous mind, a steady compass, a caring heart. Luckily for me and for our Nation, I didn't have to look very far.</w:t>
      </w:r>
    </w:p>
    <w:p w:rsidR="00A31137" w:rsidRPr="00A31137" w:rsidRDefault="00A31137" w:rsidP="00A31137">
      <w:r w:rsidRPr="00A31137">
        <w:t>[At this point, audience members applauded Hillary Clinton, and she acknowledged them.]</w:t>
      </w:r>
    </w:p>
    <w:p w:rsidR="00A31137" w:rsidRPr="00A31137" w:rsidRDefault="00A31137" w:rsidP="00A31137">
      <w:r w:rsidRPr="00A31137">
        <w:t>Public Papers of Clinton, 1993, p.1557</w:t>
      </w:r>
    </w:p>
    <w:p w:rsidR="00A31137" w:rsidRPr="00A31137" w:rsidRDefault="00A31137" w:rsidP="00A31137">
      <w:r w:rsidRPr="00A31137">
        <w:t>Over the last 8 months, Hillary and those working with her have talked to literally thousands of Americans to understand the strengths and the frailties of this system of ours. They met with over 1,100 health care organizations. They talked with doctors and nurses, pharmacists and drug company representatives, hospital administrators, insurance company executives, and small and large businesses. They spoke with self-employed people. They talked with people who had insurance and people who didn't. They talked with union members and older Americans and advocates for our children. The First Lady also consulted, as all of you know, extensively with governmental leaders in both parties in the States of our Nation and especially here on Capitol Hill. Hillary and the task force received and read over 700,000 letters from ordinary citizens. What they wrote and the bravery with which they told their stories is really what calls us all here tonight.</w:t>
      </w:r>
    </w:p>
    <w:p w:rsidR="00A31137" w:rsidRPr="00A31137" w:rsidRDefault="00A31137" w:rsidP="00A31137">
      <w:r w:rsidRPr="00A31137">
        <w:t>Public Papers of Clinton, 1993, p.1557</w:t>
      </w:r>
    </w:p>
    <w:p w:rsidR="00A31137" w:rsidRPr="00A31137" w:rsidRDefault="00A31137" w:rsidP="00A31137">
      <w:r w:rsidRPr="00A31137">
        <w:t>Every one of us knows someone who's worked hard and played by the rules and still been hurt by this system that just doesn't work for too many people. But I'd like to tell you about just one. Kerry Kennedy owns a small furniture store that employs seven people in Titusville, Florida. Like most small business owners, he's poured his heart and soul, his sweat and blood into that business for years. But over the last several years, again like most small business owners, he's seen his health care premiums skyrocket, even in years when no claims were made. And last year, he painfully discovered he could no longer afford to provide coverage for all his workers because his insurance company told him that two of his workers had become high risks because of their advanced age. The problem wits that those two people were his mother and father, the people who founded the business and still work in the store.</w:t>
      </w:r>
    </w:p>
    <w:p w:rsidR="00A31137" w:rsidRPr="00A31137" w:rsidRDefault="00A31137" w:rsidP="00A31137">
      <w:r w:rsidRPr="00A31137">
        <w:t>Public Papers of Clinton, 1993, p.1557</w:t>
      </w:r>
    </w:p>
    <w:p w:rsidR="00A31137" w:rsidRPr="00A31137" w:rsidRDefault="00A31137" w:rsidP="00A31137">
      <w:r w:rsidRPr="00A31137">
        <w:t>This story speaks for millions of others. And from them we have learned a powerful truth. We have to preserve and strengthen what is right with the health care system, but we have got to fix what is wrong with it.</w:t>
      </w:r>
    </w:p>
    <w:p w:rsidR="00A31137" w:rsidRPr="00A31137" w:rsidRDefault="00A31137" w:rsidP="00A31137">
      <w:r w:rsidRPr="00A31137">
        <w:t>Public Papers of Clinton, 1993, p.1557</w:t>
      </w:r>
    </w:p>
    <w:p w:rsidR="00A31137" w:rsidRPr="00A31137" w:rsidRDefault="00A31137" w:rsidP="00A31137">
      <w:r w:rsidRPr="00A31137">
        <w:t>Now, we all know what's right. We're blessed with the best health care professionals on Earth, the finest health care institutions, the best medical research, the most sophisticated technology. My mother is a nurse. I grew up around hospitals. Doctors and nurses were the first professional people I ever knew or learned to look up to. They are what is right with this health care system. But we also know that we can no longer afford to continue to ignore what is wrong.</w:t>
      </w:r>
    </w:p>
    <w:p w:rsidR="00A31137" w:rsidRPr="00A31137" w:rsidRDefault="00A31137" w:rsidP="00A31137">
      <w:r w:rsidRPr="00A31137">
        <w:t>Public Papers of Clinton, 1993, p.1557</w:t>
      </w:r>
    </w:p>
    <w:p w:rsidR="00A31137" w:rsidRPr="00A31137" w:rsidRDefault="00A31137" w:rsidP="00A31137">
      <w:r w:rsidRPr="00A31137">
        <w:t>Millions of Americans are just a pink slip away from losing their health insurance and one serious illness away from losing all their savings. Millions more are locked into the jobs they have now just because they or someone in their family has once been sick and they have what is called the preexisting condition. And on any given day, over 37 million Americans, most of them working people and their little children, have no health insurance at all.</w:t>
      </w:r>
    </w:p>
    <w:p w:rsidR="00A31137" w:rsidRPr="00A31137" w:rsidRDefault="00A31137" w:rsidP="00A31137">
      <w:r w:rsidRPr="00A31137">
        <w:t>Public Papers of Clinton, 1993, p.1557</w:t>
      </w:r>
    </w:p>
    <w:p w:rsidR="00A31137" w:rsidRPr="00A31137" w:rsidRDefault="00A31137" w:rsidP="00A31137">
      <w:r w:rsidRPr="00A31137">
        <w:t>And in spite of all Ibis, our medical bills are growing at over twice the rate of inflation, and the United States spends over a third more of its income on health care than any other nation Oil Earth. And the gap is growing, causing many of our companies in global competition severe disadvantage. There is no excuse for this kind of system. We know other people have done better. We know people in our own country are doing better. We have no excuse. My fellow Americans, we must fix this system, and it has to begin with congressional action.</w:t>
      </w:r>
    </w:p>
    <w:p w:rsidR="00A31137" w:rsidRPr="00A31137" w:rsidRDefault="00A31137" w:rsidP="00A31137">
      <w:r w:rsidRPr="00A31137">
        <w:t>Public Papers of Clinton, 1993, p.1557–p.1558</w:t>
      </w:r>
    </w:p>
    <w:p w:rsidR="00A31137" w:rsidRPr="00A31137" w:rsidRDefault="00A31137" w:rsidP="00A31137">
      <w:r w:rsidRPr="00A31137">
        <w:t>I believe as strongly as I can say that we can reform the costliest and most wasteful system [p.1558] on the face of the Earth without enacting new broad-based taxes. I believe it because of the conversations I have had with thousands of health care professionals around the country, with people who are outside this city but are inside experts on the way this system works and wastes money.</w:t>
      </w:r>
    </w:p>
    <w:p w:rsidR="00A31137" w:rsidRPr="00A31137" w:rsidRDefault="00A31137" w:rsidP="00A31137">
      <w:r w:rsidRPr="00A31137">
        <w:t>Public Papers of Clinton, 1993, p.1558</w:t>
      </w:r>
    </w:p>
    <w:p w:rsidR="00A31137" w:rsidRPr="00A31137" w:rsidRDefault="00A31137" w:rsidP="00A31137">
      <w:r w:rsidRPr="00A31137">
        <w:t>The proposal that I describe tonight borrows many of the principles and ideas that have been embraced in plans introduced by both Republicans and Democrats in this Congress. For the first time in this century, leaders of both political parties have joined together around the principle of providing universal, comprehensive health care. It is a magic moment, and we must seize it.</w:t>
      </w:r>
    </w:p>
    <w:p w:rsidR="00A31137" w:rsidRPr="00A31137" w:rsidRDefault="00A31137" w:rsidP="00A31137">
      <w:r w:rsidRPr="00A31137">
        <w:t>Public Papers of Clinton, 1993, p.1558</w:t>
      </w:r>
    </w:p>
    <w:p w:rsidR="00A31137" w:rsidRPr="00A31137" w:rsidRDefault="00A31137" w:rsidP="00A31137">
      <w:r w:rsidRPr="00A31137">
        <w:t>I want to say to all of you I have been deeply moved by the spirit of this debate, by the openness of all people to new ideas and argument and information. The American people would he proud to know that earlier this week when a health care university was held for Members of Congress just to try to give everybody the same amount of information, over 320 Republicans and Democrats signed up and showed up for 2 days just to learn the basic facts of the complicated problem before us.</w:t>
      </w:r>
    </w:p>
    <w:p w:rsidR="00A31137" w:rsidRPr="00A31137" w:rsidRDefault="00A31137" w:rsidP="00A31137">
      <w:r w:rsidRPr="00A31137">
        <w:t>Public Papers of Clinton, 1993, p.1558</w:t>
      </w:r>
    </w:p>
    <w:p w:rsidR="00A31137" w:rsidRPr="00A31137" w:rsidRDefault="00A31137" w:rsidP="00A31137">
      <w:r w:rsidRPr="00A31137">
        <w:t>Both sides are willing to say, "We have listened to the people. We know the cost of going forward with this system is far greater than the cost of change." Both sides, I think, understand the literal ethical imperative of doing something about the system we have now. Rising above these difficulties and our past differences to solve this problem will go a long way toward defining who we are and who we intend to be as a people in this difficult and challenging era. I believe we all understand that. And so tonight, let me ask all of you, every Member of the House, every Member of the Senate, each Republican and each Democrat, let us keep this spirit and let us keep this commitment until this job is done. We owe it to the American people. [Applause]</w:t>
      </w:r>
    </w:p>
    <w:p w:rsidR="00A31137" w:rsidRPr="00A31137" w:rsidRDefault="00A31137" w:rsidP="00A31137">
      <w:r w:rsidRPr="00A31137">
        <w:t>Public Papers of Clinton, 1993, p.1558</w:t>
      </w:r>
    </w:p>
    <w:p w:rsidR="00A31137" w:rsidRPr="00A31137" w:rsidRDefault="00A31137" w:rsidP="00A31137">
      <w:r w:rsidRPr="00A31137">
        <w:t>Thank you. Thank you very much.</w:t>
      </w:r>
    </w:p>
    <w:p w:rsidR="00A31137" w:rsidRPr="00A31137" w:rsidRDefault="00A31137" w:rsidP="00A31137">
      <w:r w:rsidRPr="00A31137">
        <w:t>Public Papers of Clinton, 1993, p.1558</w:t>
      </w:r>
    </w:p>
    <w:p w:rsidR="00A31137" w:rsidRPr="00A31137" w:rsidRDefault="00A31137" w:rsidP="00A31137">
      <w:r w:rsidRPr="00A31137">
        <w:t>Now, if I might, I would like to review the six principles I mentioned earlier and describe how we think we can best fulfill those principles.</w:t>
      </w:r>
    </w:p>
    <w:p w:rsidR="00A31137" w:rsidRPr="00A31137" w:rsidRDefault="00A31137" w:rsidP="00A31137">
      <w:r w:rsidRPr="00A31137">
        <w:t>Public Papers of Clinton, 1993, p.1558</w:t>
      </w:r>
    </w:p>
    <w:p w:rsidR="00A31137" w:rsidRPr="00A31137" w:rsidRDefault="00A31137" w:rsidP="00A31137">
      <w:r w:rsidRPr="00A31137">
        <w:t>First and most important, security. This principle speaks to the human misery, to the costs, to the anxiety we hear about every day, all of us, when people talk about their problems with the present system. Security means that those who do not now have health care coverage will have it, and for those who have it, it will never be taken away. We must achieve that security as soon as possible.</w:t>
      </w:r>
    </w:p>
    <w:p w:rsidR="00A31137" w:rsidRPr="00A31137" w:rsidRDefault="00A31137" w:rsidP="00A31137">
      <w:r w:rsidRPr="00A31137">
        <w:t>Public Papers of Clinton, 1993, p.1558</w:t>
      </w:r>
    </w:p>
    <w:p w:rsidR="00A31137" w:rsidRPr="00A31137" w:rsidRDefault="00A31137" w:rsidP="00A31137">
      <w:r w:rsidRPr="00A31137">
        <w:t>Under our plan, every American would receive a health care security card that will guarantee a comprehensive package of benefits over the course of an entire lifetime, roughly comparable to the benefit package offered by most Fortune 500 companies. This health care security card will offer this package of benefits in a way that can never be taken away. So let us agree on this: Whatever else we disagree on, before this Congress finishes its work next year, you will pass and I will sign legislation to guarantee this security to every citizen of' this country.</w:t>
      </w:r>
    </w:p>
    <w:p w:rsidR="00A31137" w:rsidRPr="00A31137" w:rsidRDefault="00A31137" w:rsidP="00A31137">
      <w:r w:rsidRPr="00A31137">
        <w:t>Public Papers of Clinton, 1993, p.1558</w:t>
      </w:r>
    </w:p>
    <w:p w:rsidR="00A31137" w:rsidRPr="00A31137" w:rsidRDefault="00A31137" w:rsidP="00A31137">
      <w:r w:rsidRPr="00A31137">
        <w:t>With this card, if you lose your job or you switch jobs, you're covered. If you leave your job to start a small business, you're covered. If you're an early retiree, you're covered. If someone in your family has unfortunately had an illness that qualifies as a preexisting condition, you're still covered. If you get sick or a member of your family gets sick, even if it's a life-threatening illness, you're covered. And if an insurance company tries to drop you for any reason, you will still be covered, because that will be illegal. This card will give comprehensive coverage. It will cover people for hospital care, doctor visits, emergency and lab services, diagnostic services like Pap smears and mammograms and cholesterol tests, substance abuse, and mental health treatment.</w:t>
      </w:r>
    </w:p>
    <w:p w:rsidR="00A31137" w:rsidRPr="00A31137" w:rsidRDefault="00A31137" w:rsidP="00A31137">
      <w:r w:rsidRPr="00A31137">
        <w:t>Public Papers of Clinton, 1993, p.1558</w:t>
      </w:r>
    </w:p>
    <w:p w:rsidR="00A31137" w:rsidRPr="00A31137" w:rsidRDefault="00A31137" w:rsidP="00A31137">
      <w:r w:rsidRPr="00A31137">
        <w:t>And equally important, for both health care and economic reasons, this program for the first time would provide a broad range of preventive services including regular checkups and well baby visits. Now, it's just common sense. We know, any family doctor will tell you, that people will stay healthier and long-term costs of the health system will be lower if we have comprehensive preventive services. You know how all of our mothers told us that an ounce of prevention was worth a pound of cure? Our mothers were right. And it's a lesson, like so many lessons from our mothers, that we have waited too long to live by. It is time to start doing it.</w:t>
      </w:r>
    </w:p>
    <w:p w:rsidR="00A31137" w:rsidRPr="00A31137" w:rsidRDefault="00A31137" w:rsidP="00A31137">
      <w:r w:rsidRPr="00A31137">
        <w:t>Public Papers of Clinton, 1993, p.1558–p.1559</w:t>
      </w:r>
    </w:p>
    <w:p w:rsidR="00A31137" w:rsidRPr="00A31137" w:rsidRDefault="00A31137" w:rsidP="00A31137">
      <w:r w:rsidRPr="00A31137">
        <w:t>Health care security must also apply to older Americans. This is something I imagine all of us in this room feel very deeply about. The first thing I want to say about that is that we must maintain the Medicare program. It works to provide that kind of security. But this time [p.1559] and for the first time, I believe Medicare should provide coverage for the cost of prescription drugs.</w:t>
      </w:r>
    </w:p>
    <w:p w:rsidR="00A31137" w:rsidRPr="00A31137" w:rsidRDefault="00A31137" w:rsidP="00A31137">
      <w:r w:rsidRPr="00A31137">
        <w:t>Public Papers of Clinton, 1993, p.1559</w:t>
      </w:r>
    </w:p>
    <w:p w:rsidR="00A31137" w:rsidRPr="00A31137" w:rsidRDefault="00A31137" w:rsidP="00A31137">
      <w:r w:rsidRPr="00A31137">
        <w:t>Yes, it will cost some more in the beginning. But again, any physician who deals with the elderly will tell you that there are thousands of elderly people in every State who are not poor enough to be on Medicaid but just above that line and on Medicare, who desperately need medicine, who make decisions every week between medicine and food. Any doctor who deals with the elderly will tell you that there are many elderly people who don't get medicine, who get sicker and sicker and eventually go to the doctor and wind up spending more money and draining more money from the health care system than they would if they had regular treatment in the way that only adequate medicine can provide.</w:t>
      </w:r>
    </w:p>
    <w:p w:rsidR="00A31137" w:rsidRPr="00A31137" w:rsidRDefault="00A31137" w:rsidP="00A31137">
      <w:r w:rsidRPr="00A31137">
        <w:t>Public Papers of Clinton, 1993, p.1559</w:t>
      </w:r>
    </w:p>
    <w:p w:rsidR="00A31137" w:rsidRPr="00A31137" w:rsidRDefault="00A31137" w:rsidP="00A31137">
      <w:r w:rsidRPr="00A31137">
        <w:t>I also believe that over time, we should phase in long-term care for the disabled and the elderly on a comprehensive basis. As we proceed with this health care reform, we cannot forget that the most rapidly growing percentage of Americans are those over 80. We cannot break faith with them. We have to do better by them.</w:t>
      </w:r>
    </w:p>
    <w:p w:rsidR="00A31137" w:rsidRPr="00A31137" w:rsidRDefault="00A31137" w:rsidP="00A31137">
      <w:r w:rsidRPr="00A31137">
        <w:t>Public Papers of Clinton, 1993, p.1559</w:t>
      </w:r>
    </w:p>
    <w:p w:rsidR="00A31137" w:rsidRPr="00A31137" w:rsidRDefault="00A31137" w:rsidP="00A31137">
      <w:r w:rsidRPr="00A31137">
        <w:t>The second principle is simplicity. Our heath care system must be simpler for the patients and simpler for those who actually deliver health care: our doctors, our nurses, our other medical professionals. Today we have more than 1,500 insurers, with hundreds and hundreds of different forms. No other nation has a system like this. These forms are time consuming for health care providers. They're expensive for health care consumers. They're exasperating for anyone who's ever tried to sit down around a table and wade through them and figure them out.</w:t>
      </w:r>
    </w:p>
    <w:p w:rsidR="00A31137" w:rsidRPr="00A31137" w:rsidRDefault="00A31137" w:rsidP="00A31137">
      <w:r w:rsidRPr="00A31137">
        <w:t>Public Papers of Clinton, 1993, p.1559</w:t>
      </w:r>
    </w:p>
    <w:p w:rsidR="00A31137" w:rsidRPr="00A31137" w:rsidRDefault="00A31137" w:rsidP="00A31137">
      <w:r w:rsidRPr="00A31137">
        <w:t>The medical care industry is literally drowning in paperwork. In recent years, the number of administrators in our hospitals has grown by 4 times the rate that the number of doctors has grown. A hospital ought to be a house of healing, not a monument to paperwork and bureaucracy.</w:t>
      </w:r>
    </w:p>
    <w:p w:rsidR="00A31137" w:rsidRPr="00A31137" w:rsidRDefault="00A31137" w:rsidP="00A31137">
      <w:r w:rsidRPr="00A31137">
        <w:t>Public Papers of Clinton, 1993, p.1559</w:t>
      </w:r>
    </w:p>
    <w:p w:rsidR="00A31137" w:rsidRPr="00A31137" w:rsidRDefault="00A31137" w:rsidP="00A31137">
      <w:r w:rsidRPr="00A31137">
        <w:t>Just a few days ago, the Vice President and I had the honor of visiting the Children's Hospital here in Washington where they do wonderful, often miraculous things for very sick children. A nurse named Debbie Freiberg told us that she was in the cancer and bone marrow unit. The other day a little boy asked her just to stay at his side during his chemotherapy. And she had to walk away from that child because she had been instructed to go to yet another class to learn how to fill out another form for something that didn't have a lick to do with the health care of the children she was helping. That is wrong, and we can stop it, and we ought to do it.</w:t>
      </w:r>
    </w:p>
    <w:p w:rsidR="00A31137" w:rsidRPr="00A31137" w:rsidRDefault="00A31137" w:rsidP="00A31137">
      <w:r w:rsidRPr="00A31137">
        <w:t>Public Papers of Clinton, 1993, p.1559</w:t>
      </w:r>
    </w:p>
    <w:p w:rsidR="00A31137" w:rsidRPr="00A31137" w:rsidRDefault="00A31137" w:rsidP="00A31137">
      <w:r w:rsidRPr="00A31137">
        <w:t>We met a very compelling doctor named Lillian Beard, a pediatrician, who said that she didn't get into her profession to spend hours and hours—some doctors up to 25 hours a week—just filling out forms. She told us she became a doctor to keep children well and to help save those who got sick. We can relieve people like her of this burden. We learned, the Vice President and I did, that in the Washington Children's Hospital alone, the administrators told us they spend $2 million a year in one hospital filling out forms that have nothing whatever to do with keeping up with the treatment of the patients.</w:t>
      </w:r>
    </w:p>
    <w:p w:rsidR="00A31137" w:rsidRPr="00A31137" w:rsidRDefault="00A31137" w:rsidP="00A31137">
      <w:r w:rsidRPr="00A31137">
        <w:t>Public Papers of Clinton, 1993, p.1559</w:t>
      </w:r>
    </w:p>
    <w:p w:rsidR="00A31137" w:rsidRPr="00A31137" w:rsidRDefault="00A31137" w:rsidP="00A31137">
      <w:r w:rsidRPr="00A31137">
        <w:t>And the doctors there applauded when I was told and I related to them that they spend so much time filling out paperwork, that if they only had to fill out those paperwork requirements necessary to monitor the heath of the children, each doctor on that one hospital staff, 200 of them, could see another 500 children a year. That is 10,000 children a year. I think we can save money in this system if we simplify it. And we can make the doctors and the nurses and the people that are giving their lives to help us all be healthier a whole lot happier, too, on their jobs.</w:t>
      </w:r>
    </w:p>
    <w:p w:rsidR="00A31137" w:rsidRPr="00A31137" w:rsidRDefault="00A31137" w:rsidP="00A31137">
      <w:r w:rsidRPr="00A31137">
        <w:t>Public Papers of Clinton, 1993, p.1559</w:t>
      </w:r>
    </w:p>
    <w:p w:rsidR="00A31137" w:rsidRPr="00A31137" w:rsidRDefault="00A31137" w:rsidP="00A31137">
      <w:r w:rsidRPr="00A31137">
        <w:t>Under our proposal there would be one standard insurance form, not hundreds of them. We will simplify also—and we must—the Government's rules and regulations, because they are a big part of this problem. This is one of those cases where the physician should heal thyself. We have to reinvent the way we relate to the health care system, along with reinventing Government. A doctor should not have to check with a bureaucrat in an office thousands of miles away before ordering a simple blood test. That's not right, and we can change it. And doctors, nurses, and consumers shouldn't have to worry about the fine print. If we have this one simple form, there won't be any fine print. People will know what it means.</w:t>
      </w:r>
    </w:p>
    <w:p w:rsidR="00A31137" w:rsidRPr="00A31137" w:rsidRDefault="00A31137" w:rsidP="00A31137">
      <w:r w:rsidRPr="00A31137">
        <w:t>Public Papers of Clinton, 1993, p.1559–p.1560</w:t>
      </w:r>
    </w:p>
    <w:p w:rsidR="00A31137" w:rsidRPr="00A31137" w:rsidRDefault="00A31137" w:rsidP="00A31137">
      <w:r w:rsidRPr="00A31137">
        <w:t>The third principle is savings. Reform must produce savings in this health care system. It has to. We're spending over 14 percent of our income on health care. Canada's at 10. Nobody else is over 9. We're competing with all these people for the future. And the other major [p.1560] countries, they cover everybody, and they cover them with services as generous as the best company policies here in this country.</w:t>
      </w:r>
    </w:p>
    <w:p w:rsidR="00A31137" w:rsidRPr="00A31137" w:rsidRDefault="00A31137" w:rsidP="00A31137">
      <w:r w:rsidRPr="00A31137">
        <w:t>Public Papers of Clinton, 1993, p.1560</w:t>
      </w:r>
    </w:p>
    <w:p w:rsidR="00A31137" w:rsidRPr="00A31137" w:rsidRDefault="00A31137" w:rsidP="00A31137">
      <w:r w:rsidRPr="00A31137">
        <w:t>Rampant medical inflation is eating away at our wages, our savings, our investment capital, our ability to create new jobs in the private sector, and this public Treasury. You know the budget we just adopted had steep cuts in defense, a 5-year freeze on the discretionary spending, so critical to reeducating America and investing in jobs and helping us to convert from a defense to a domestic economy. But we passed a budget which has Medicaid increases of between 16 and 11 percent a year over the next 5 years and Medicare increases of between 11 and 9 percent in all environment where we assume inflation will be at 4 percent or less. We cannot continue to do this. Our competitiveness, our whole economy, the integrity of the way the Government works, and ultimately, our living standards depend upon our ability to achieve savings without harming the quality of heath care.</w:t>
      </w:r>
    </w:p>
    <w:p w:rsidR="00A31137" w:rsidRPr="00A31137" w:rsidRDefault="00A31137" w:rsidP="00A31137">
      <w:r w:rsidRPr="00A31137">
        <w:t>Public Papers of Clinton, 1993, p.1560</w:t>
      </w:r>
    </w:p>
    <w:p w:rsidR="00A31137" w:rsidRPr="00A31137" w:rsidRDefault="00A31137" w:rsidP="00A31137">
      <w:r w:rsidRPr="00A31137">
        <w:t>Unless we do this, our workers will lose $655 in income each year by the end of the decade. Small businesses will continue to face skyrocketing premiums. And a full third of small businesses now covering their employees say they will be forced to drop their insurance. Large corporations will bear bigger disadvantages in global competition. And health care costs devour more and more and more of our budget. Pretty soon .all of you or the people who succeed you will be showing up here and writing out checks for health care and interest on the debt and worrying about whether we've got enough defense, and that will be it, unless we have the courage to achieve the savings that are plainly there before us. Every State and local government will continue to cut back on everything from education to law enforcement to pay more and more for the same health care.</w:t>
      </w:r>
    </w:p>
    <w:p w:rsidR="00A31137" w:rsidRPr="00A31137" w:rsidRDefault="00A31137" w:rsidP="00A31137">
      <w:r w:rsidRPr="00A31137">
        <w:t>Public Papers of Clinton, 1993, p.1560</w:t>
      </w:r>
    </w:p>
    <w:p w:rsidR="00A31137" w:rsidRPr="00A31137" w:rsidRDefault="00A31137" w:rsidP="00A31137">
      <w:r w:rsidRPr="00A31137">
        <w:t>These rising costs are a special nightmare for our small businesses, the engine of our entrepreneurship and our job creation in America today. Health care premiums for small businesses are 35 percent higher than those of large corporations today. And they will keep rising at double-digit rates unless we act.</w:t>
      </w:r>
    </w:p>
    <w:p w:rsidR="00A31137" w:rsidRPr="00A31137" w:rsidRDefault="00A31137" w:rsidP="00A31137">
      <w:r w:rsidRPr="00A31137">
        <w:t>Public Papers of Clinton, 1993, p.1560</w:t>
      </w:r>
    </w:p>
    <w:p w:rsidR="00A31137" w:rsidRPr="00A31137" w:rsidRDefault="00A31137" w:rsidP="00A31137">
      <w:r w:rsidRPr="00A31137">
        <w:t>So how will we achieve these savings? Rather than looking at price control or looking away as the price spiral continues, rather than using the heavy hand of Government to try to control what's happening or continuing to ignore what's happening, we believe there is a third way to achieve these savings. First, to give groups of consumers and small businesses the same market bargaining power that large corporations and large groups of public employees now have, we want to let market forces enable plans to compete. We want to force these plans to compete on the basis of price and quality, not simply to allow them to continue making money by turning people away who are sick or old or performing mountains of unnecessary procedures. But we also believe we should back this system up with limits on how much plans can raise their premiums year-in and year-out, forcing people, again, to continue to pay more for the same health care, without regard to inflation or the rising population needs.</w:t>
      </w:r>
    </w:p>
    <w:p w:rsidR="00A31137" w:rsidRPr="00A31137" w:rsidRDefault="00A31137" w:rsidP="00A31137">
      <w:r w:rsidRPr="00A31137">
        <w:t>Public Papers of Clinton, 1993, p.1560</w:t>
      </w:r>
    </w:p>
    <w:p w:rsidR="00A31137" w:rsidRPr="00A31137" w:rsidRDefault="00A31137" w:rsidP="00A31137">
      <w:r w:rsidRPr="00A31137">
        <w:t>We want to create what has been missing in this system for too long and what every successful nation who has dealt with this problem has already had to do: to have a combination of private market forces and a sound public policy that will support that competition, but limit the rate at which prices can exceed the rate of inflation and population growth, if the competition doesn't work, especially in the early going.</w:t>
      </w:r>
    </w:p>
    <w:p w:rsidR="00A31137" w:rsidRPr="00A31137" w:rsidRDefault="00A31137" w:rsidP="00A31137">
      <w:r w:rsidRPr="00A31137">
        <w:t>Public Papers of Clinton, 1993, p.1560</w:t>
      </w:r>
    </w:p>
    <w:p w:rsidR="00A31137" w:rsidRPr="00A31137" w:rsidRDefault="00A31137" w:rsidP="00A31137">
      <w:r w:rsidRPr="00A31137">
        <w:t>The second thing I want to say is that unless everybody is covered—and this is a very important thing—unless everybody is covered, we will never be able to fully put the brakes on health care inflation. Why is that? Because when people don't have any health insurance, they still get health care, but they get it when it's too late, when it's too expensive, often from the most expensive place of all, the emergency room. Usually by the time they show up, their illnesses are more severe, and their mortality rates are much higher in our hospitals than those who have insurance. So they cost us more. And what else happens? Since they get the care but they don't pay, who does pay? All the rest of us. We pay in higher hospital bills and higher insurance premiums. This cost shifting is a major problem.</w:t>
      </w:r>
    </w:p>
    <w:p w:rsidR="00A31137" w:rsidRPr="00A31137" w:rsidRDefault="00A31137" w:rsidP="00A31137">
      <w:r w:rsidRPr="00A31137">
        <w:t>Public Papers of Clinton, 1993, p.1560–p.1561</w:t>
      </w:r>
    </w:p>
    <w:p w:rsidR="00A31137" w:rsidRPr="00A31137" w:rsidRDefault="00A31137" w:rsidP="00A31137">
      <w:r w:rsidRPr="00A31137">
        <w:t>The third thing we can do to save money is simply by simplifying the system, what we've already discussed. Freeing the health care providers from these costly and unnecessary paperwork and administrative decisions will save tens of billions of dollars. We spend twice as much as any other major country does on paperwork. We spend at least a dime on the dollar more than any other major country. That is a stunning [p.1561] statistic. It is something that every Republican and every Democrat ought to be able to say, we agree that we're going to squeeze this out.</w:t>
      </w:r>
    </w:p>
    <w:p w:rsidR="00A31137" w:rsidRPr="00A31137" w:rsidRDefault="00A31137" w:rsidP="00A31137">
      <w:r w:rsidRPr="00A31137">
        <w:t>Public Papers of Clinton, 1993, p.1561</w:t>
      </w:r>
    </w:p>
    <w:p w:rsidR="00A31137" w:rsidRPr="00A31137" w:rsidRDefault="00A31137" w:rsidP="00A31137">
      <w:r w:rsidRPr="00A31137">
        <w:t>We cannot tolerate this. This has nothing to do with keeping people well or helping them when they're sick. We should invest the money in something else.</w:t>
      </w:r>
    </w:p>
    <w:p w:rsidR="00A31137" w:rsidRPr="00A31137" w:rsidRDefault="00A31137" w:rsidP="00A31137">
      <w:r w:rsidRPr="00A31137">
        <w:t>Public Papers of Clinton, 1993, p.1561</w:t>
      </w:r>
    </w:p>
    <w:p w:rsidR="00A31137" w:rsidRPr="00A31137" w:rsidRDefault="00A31137" w:rsidP="00A31137">
      <w:r w:rsidRPr="00A31137">
        <w:t>We also have to crack down on fraud and abuse in the system. That drains billions of dollars a year. It is a very large figure, according to every health care expert I've ever spoken with. So I believe we can achieve large savings.</w:t>
      </w:r>
    </w:p>
    <w:p w:rsidR="00A31137" w:rsidRPr="00A31137" w:rsidRDefault="00A31137" w:rsidP="00A31137">
      <w:r w:rsidRPr="00A31137">
        <w:t>Public Papers of Clinton, 1993, p.1561</w:t>
      </w:r>
    </w:p>
    <w:p w:rsidR="00A31137" w:rsidRPr="00A31137" w:rsidRDefault="00A31137" w:rsidP="00A31137">
      <w:r w:rsidRPr="00A31137">
        <w:t>And that large savings can be used to cover the unemployed uninsured and will be used for people who realize those savings in thee private sector to increase their ability to invest and grow, to hire new workers or to give their workers pay raises, many of them for the first time in years.</w:t>
      </w:r>
    </w:p>
    <w:p w:rsidR="00A31137" w:rsidRPr="00A31137" w:rsidRDefault="00A31137" w:rsidP="00A31137">
      <w:r w:rsidRPr="00A31137">
        <w:t>Public Papers of Clinton, 1993, p.1561</w:t>
      </w:r>
    </w:p>
    <w:p w:rsidR="00A31137" w:rsidRPr="00A31137" w:rsidRDefault="00A31137" w:rsidP="00A31137">
      <w:r w:rsidRPr="00A31137">
        <w:t>Now, nobody has to take my word for this. You can ask Dr. Koop. He's up here with us tonight, and I thank him for being here. Since he left his distinguished tenure as our Surgeon General, he has spent an enormous amount of time studying our health care system, how it operates, what's right and wrong with it. He says we could spend $200 billion every year, more than 20 percent of the total budget, without sacrificing the high quality of American medicine.</w:t>
      </w:r>
    </w:p>
    <w:p w:rsidR="00A31137" w:rsidRPr="00A31137" w:rsidRDefault="00A31137" w:rsidP="00A31137">
      <w:r w:rsidRPr="00A31137">
        <w:t>Public Papers of Clinton, 1993, p.1561</w:t>
      </w:r>
    </w:p>
    <w:p w:rsidR="00A31137" w:rsidRPr="00A31137" w:rsidRDefault="00A31137" w:rsidP="00A31137">
      <w:r w:rsidRPr="00A31137">
        <w:t>Ask the public employees in California, who've held their own premiums down by adopting the same strategy that I want every American to be able to adopt, bargaining within the limits of a strict budget. Ask Xerox, which saved an estimated $1,000 per worker on their health insurance premium. Ask the staff of the Mayo Clinic, who we all agree provides some of the finest health care in the world. They are holding their cost increases to less than half the national average. Ask the people of Hawaii, the only State that covers virtually all of their citizens and has still been able to keep costs below the national average.</w:t>
      </w:r>
    </w:p>
    <w:p w:rsidR="00A31137" w:rsidRPr="00A31137" w:rsidRDefault="00A31137" w:rsidP="00A31137">
      <w:r w:rsidRPr="00A31137">
        <w:t>Public Papers of Clinton, 1993, p.1561</w:t>
      </w:r>
    </w:p>
    <w:p w:rsidR="00A31137" w:rsidRPr="00A31137" w:rsidRDefault="00A31137" w:rsidP="00A31137">
      <w:r w:rsidRPr="00A31137">
        <w:t>People may disagree over the best way to fix this system. We may all disagree about how quickly we can do the thing that we have to do. But we cannot disagree that we call find tens of billions of dollars in savings in what is clearly the most costly and the most bureaucratic system in the entire world. And we have to do something about that, and we have to do it now.</w:t>
      </w:r>
    </w:p>
    <w:p w:rsidR="00A31137" w:rsidRPr="00A31137" w:rsidRDefault="00A31137" w:rsidP="00A31137">
      <w:r w:rsidRPr="00A31137">
        <w:t>Public Papers of Clinton, 1993, p.1561</w:t>
      </w:r>
    </w:p>
    <w:p w:rsidR="00A31137" w:rsidRPr="00A31137" w:rsidRDefault="00A31137" w:rsidP="00A31137">
      <w:r w:rsidRPr="00A31137">
        <w:t>The fourth principle is choice. Americans believe they ought to be able to choose their own health care plan and keep their own doctors. And I think all of us agree. Under any plan we pass, they ought to have that right. But today, tinder our broken heath care system, in spite of the rhetoric of choice, the fact is that that power is slipping away for more and more Americans.</w:t>
      </w:r>
    </w:p>
    <w:p w:rsidR="00A31137" w:rsidRPr="00A31137" w:rsidRDefault="00A31137" w:rsidP="00A31137">
      <w:r w:rsidRPr="00A31137">
        <w:t>Public Papers of Clinton, 1993, p.1561</w:t>
      </w:r>
    </w:p>
    <w:p w:rsidR="00A31137" w:rsidRPr="00A31137" w:rsidRDefault="00A31137" w:rsidP="00A31137">
      <w:r w:rsidRPr="00A31137">
        <w:t>Of course, it is usually the employer, not the employee, who makes the initial choice of what health care plan the employee will be in. And if your employer offers only one plan, as nearly three-quarters of small or medium-sized firms do today, you're stuck with that plan and the doctors that it covers.</w:t>
      </w:r>
    </w:p>
    <w:p w:rsidR="00A31137" w:rsidRPr="00A31137" w:rsidRDefault="00A31137" w:rsidP="00A31137">
      <w:r w:rsidRPr="00A31137">
        <w:t>Public Papers of Clinton, 1993, p.1561</w:t>
      </w:r>
    </w:p>
    <w:p w:rsidR="00A31137" w:rsidRPr="00A31137" w:rsidRDefault="00A31137" w:rsidP="00A31137">
      <w:r w:rsidRPr="00A31137">
        <w:t>\\% propose to give every American a choice among high quality plans. You can stay with your current doctor, join a network of doctors and hospitals, or join a health maintenance organization. If you don't like your plan, every year you'll have file chance to choose a new one. The choice will be left to the American citizen, the worker, not the boss and certainly not some Government bureaucrat.</w:t>
      </w:r>
    </w:p>
    <w:p w:rsidR="00A31137" w:rsidRPr="00A31137" w:rsidRDefault="00A31137" w:rsidP="00A31137">
      <w:r w:rsidRPr="00A31137">
        <w:t>Public Papers of Clinton, 1993, p.1561</w:t>
      </w:r>
    </w:p>
    <w:p w:rsidR="00A31137" w:rsidRPr="00A31137" w:rsidRDefault="00A31137" w:rsidP="00A31137">
      <w:r w:rsidRPr="00A31137">
        <w:t>We also believe that doctors should have a choice as to what plans they practice in. Otherwise, citizens may have their own choices limited. We want to end the discrimination that is now growing against doctors and to permit them to practice in several different plans. Choice is important for doctors, and it is absolutely critical for our consumers. We've got to have it in whatever plan we pass.</w:t>
      </w:r>
    </w:p>
    <w:p w:rsidR="00A31137" w:rsidRPr="00A31137" w:rsidRDefault="00A31137" w:rsidP="00A31137">
      <w:r w:rsidRPr="00A31137">
        <w:t>Public Papers of Clinton, 1993, p.1561</w:t>
      </w:r>
    </w:p>
    <w:p w:rsidR="00A31137" w:rsidRPr="00A31137" w:rsidRDefault="00A31137" w:rsidP="00A31137">
      <w:r w:rsidRPr="00A31137">
        <w:t>The fifth principle is quality. If we reformed everything else in health care but failed to preserve and enhance the high quality of our medical care, we will have taken a step backward, not forward. Quality is something that we simply can't leave to chance. When you board an airplane, you feel better knowing that the plane had to meet standards designed to protect your safety. And we can't ask any less of our health care system.</w:t>
      </w:r>
    </w:p>
    <w:p w:rsidR="00A31137" w:rsidRPr="00A31137" w:rsidRDefault="00A31137" w:rsidP="00A31137">
      <w:r w:rsidRPr="00A31137">
        <w:t>Public Papers of Clinton, 1993, p.1561</w:t>
      </w:r>
    </w:p>
    <w:p w:rsidR="00A31137" w:rsidRPr="00A31137" w:rsidRDefault="00A31137" w:rsidP="00A31137">
      <w:r w:rsidRPr="00A31137">
        <w:t>Our proposal will create report cards on health plans, so that consumers can choose the highest quality health care providers and reward them with their business. At the same time, our plan will track quality indicators, so that doctors can make better and smarter choices of the kind of care they provide. We have evidence that more efficient delivery of health care doesn't decrease quality. In fact, it may enhance it.</w:t>
      </w:r>
    </w:p>
    <w:p w:rsidR="00A31137" w:rsidRPr="00A31137" w:rsidRDefault="00A31137" w:rsidP="00A31137">
      <w:r w:rsidRPr="00A31137">
        <w:t>Public Papers of Clinton, 1993, p.1561–p.1562</w:t>
      </w:r>
    </w:p>
    <w:p w:rsidR="00A31137" w:rsidRPr="00A31137" w:rsidRDefault="00A31137" w:rsidP="00A31137">
      <w:r w:rsidRPr="00A31137">
        <w:t>Let me just give you one example of one [p.1562] commonly performed procedure, the coronary bypass operation. Pennsylvania discovered that patients who were charged $21,000 for this surgery received as good or better care as patients who were charged $84,000 for the same procedure in the same State. High prices simply don't always equal good quality. Our plan will guarantee that high quality information is available in even the most remote areas of this country so that we can have high quality service, linking rural doctors, for example, with hospitals with high-tech urban medical centers. And our plan will ensure the quality of continuing progress on a whole range of issues by speeding research on effective prevention and treatment measures for cancer, for AIDS, for Alzheimer's, for heart disease, and for other chronic diseases. We have to safeguard the finest medical research establishment in the entire world. And we will do that with this plan. Indeed, we will even make it better.</w:t>
      </w:r>
    </w:p>
    <w:p w:rsidR="00A31137" w:rsidRPr="00A31137" w:rsidRDefault="00A31137" w:rsidP="00A31137">
      <w:r w:rsidRPr="00A31137">
        <w:t>Public Papers of Clinton, 1993, p.1562</w:t>
      </w:r>
    </w:p>
    <w:p w:rsidR="00A31137" w:rsidRPr="00A31137" w:rsidRDefault="00A31137" w:rsidP="00A31137">
      <w:r w:rsidRPr="00A31137">
        <w:t>The sixth and final principle is responsibility. We need to restore a sense that we're all in this together and that we all have a responsibility to be a part of the solution. Responsibility has to start with those who profit from the current system. Responsibility means insurance companies should no longer be allowed to cast people aside when they get sick. It should apply to laboratories that submit fraudulent bills, to lawyers who abuse malpractice claims, to doctors who order unnecessary procedures. It means drug companies should no longer charge 3 times more per prescription drugs, made in America here in the United States, than they charge for the same drugs overseas.</w:t>
      </w:r>
    </w:p>
    <w:p w:rsidR="00A31137" w:rsidRPr="00A31137" w:rsidRDefault="00A31137" w:rsidP="00A31137">
      <w:r w:rsidRPr="00A31137">
        <w:t>Public Papers of Clinton, 1993, p.1562</w:t>
      </w:r>
    </w:p>
    <w:p w:rsidR="00A31137" w:rsidRPr="00A31137" w:rsidRDefault="00A31137" w:rsidP="00A31137">
      <w:r w:rsidRPr="00A31137">
        <w:t>In short, responsibility should apply to anybody who abuses this system and drives up the cost for honest, hard-working citizens and undermines confidence in the honest, gifted health care providers we have. Responsibility also means changing some behaviors in this country that drive up our costs like crazy. And without changing it we'll never bare the system we ought to have, we will never.</w:t>
      </w:r>
    </w:p>
    <w:p w:rsidR="00A31137" w:rsidRPr="00A31137" w:rsidRDefault="00A31137" w:rsidP="00A31137">
      <w:r w:rsidRPr="00A31137">
        <w:t>Public Papers of Clinton, 1993, p.1562</w:t>
      </w:r>
    </w:p>
    <w:p w:rsidR="00A31137" w:rsidRPr="00A31137" w:rsidRDefault="00A31137" w:rsidP="00A31137">
      <w:r w:rsidRPr="00A31137">
        <w:t>Let me just mention a few and start with the most important: The outrageous costs of violence in this country stein in large measure from the fact that this is the only country in the world where teenagers can rout the streets at random with semiautomatic weapons and be better armed than the police.</w:t>
      </w:r>
    </w:p>
    <w:p w:rsidR="00A31137" w:rsidRPr="00A31137" w:rsidRDefault="00A31137" w:rsidP="00A31137">
      <w:r w:rsidRPr="00A31137">
        <w:t>Public Papers of Clinton, 1993, p.1562</w:t>
      </w:r>
    </w:p>
    <w:p w:rsidR="00A31137" w:rsidRPr="00A31137" w:rsidRDefault="00A31137" w:rsidP="00A31137">
      <w:r w:rsidRPr="00A31137">
        <w:t>But let's not kid ourselves; it's not that simple. We also have higher rates of AIDS, of smoking and excessive drinking, of teen pregnancy, of low birth weight babies. And we have the third worst immunization rate of any nation in the Western Hemisphere. We have to change our ways if we ever really want to be healthy as a people and have an affordable health care system. And no one can deny that.</w:t>
      </w:r>
    </w:p>
    <w:p w:rsidR="00A31137" w:rsidRPr="00A31137" w:rsidRDefault="00A31137" w:rsidP="00A31137">
      <w:r w:rsidRPr="00A31137">
        <w:t>Public Papers of Clinton, 1993, p.1562</w:t>
      </w:r>
    </w:p>
    <w:p w:rsidR="00A31137" w:rsidRPr="00A31137" w:rsidRDefault="00A31137" w:rsidP="00A31137">
      <w:r w:rsidRPr="00A31137">
        <w:t>But let me say this—and I hope every American will listen, because this is not an easy thing to hear—responsibility in our health care system isn't just about them. It's about you. It's about me. It's about each of us. Too many of us have not taken responsibility for our own health care and for our own relations to the health care system. Many of us who have had fully paid health care plans have used the system whether we needed it or not without thinking what the costs were. Many people who use this system don't pay a penny for their care even though they can afford to. I think those who don't have any health insurance should be responsible for paying a portion of their new coverage. There can't be any something for nothing, and we have to demonstrate that to people. This is not a free system. Even small contributions, as small as the $10 copayment when you visit a doctor, illustrates that this is something of value. There is a cost to it. It is not free.</w:t>
      </w:r>
    </w:p>
    <w:p w:rsidR="00A31137" w:rsidRPr="00A31137" w:rsidRDefault="00A31137" w:rsidP="00A31137">
      <w:r w:rsidRPr="00A31137">
        <w:t>Public Papers of Clinton, 1993, p.1562</w:t>
      </w:r>
    </w:p>
    <w:p w:rsidR="00A31137" w:rsidRPr="00A31137" w:rsidRDefault="00A31137" w:rsidP="00A31137">
      <w:r w:rsidRPr="00A31137">
        <w:t>And I want to tell you that I believe that all of us should have insurance. Why should the rest of us pick up the tab when a guy who doesn't think he needs insurance or says he can't afford it gets in an accident, winds up in an emergency room, gets good care, and everybody else pays? Why should the small business people who are struggling to keep afloat and take care of their employees have to pay to maintain this wonderful health care infrastructure for those who refuse to do anything? If we're going to produce a better health care system for every one of us, every one of us is going to have to do our part. There cannot be any such thing as a free ride. We have to pay for it. We have to pay for it.</w:t>
      </w:r>
    </w:p>
    <w:p w:rsidR="00A31137" w:rsidRPr="00A31137" w:rsidRDefault="00A31137" w:rsidP="00A31137">
      <w:r w:rsidRPr="00A31137">
        <w:t>Public Papers of Clinton, 1993, p.1562</w:t>
      </w:r>
    </w:p>
    <w:p w:rsidR="00A31137" w:rsidRPr="00A31137" w:rsidRDefault="00A31137" w:rsidP="00A31137">
      <w:r w:rsidRPr="00A31137">
        <w:t>Tonight I want to say plainly how I think we should do that. Most of the money will come, tinder my way of thinking, as i( does today, from premiums paid by employers and individuals. That's the way it happens today. But under this health care security plan, every employer and every individual will be asked to contribute something to health care.</w:t>
      </w:r>
    </w:p>
    <w:p w:rsidR="00A31137" w:rsidRPr="00A31137" w:rsidRDefault="00A31137" w:rsidP="00A31137">
      <w:r w:rsidRPr="00A31137">
        <w:t>Public Papers of Clinton, 1993, p.1562–p.1563</w:t>
      </w:r>
    </w:p>
    <w:p w:rsidR="00A31137" w:rsidRPr="00A31137" w:rsidRDefault="00A31137" w:rsidP="00A31137">
      <w:r w:rsidRPr="00A31137">
        <w:t>This concept was first conveyed to the Congress about 20 years ago by President Nixon. [p.1563] And today, a lot of people agree with the concept of shared responsibility between employers and employees and that the best thing to do is to ask every employer and every employee to share that. The Chamber of Commerce has said that, and they're not in the business of hurting small business. The American Medical Association has said that.</w:t>
      </w:r>
    </w:p>
    <w:p w:rsidR="00A31137" w:rsidRPr="00A31137" w:rsidRDefault="00A31137" w:rsidP="00A31137">
      <w:r w:rsidRPr="00A31137">
        <w:t>Public Papers of Clinton, 1993, p.1563</w:t>
      </w:r>
    </w:p>
    <w:p w:rsidR="00A31137" w:rsidRPr="00A31137" w:rsidRDefault="00A31137" w:rsidP="00A31137">
      <w:r w:rsidRPr="00A31137">
        <w:t>Some call it an employer mandate, but I think it's the fairest way to achieve responsibility in the heath care system. And it's the easiest for ordinary Americans to understand because it builds on what we already have and what already works for so many Americans. It is the reform that is not only easiest to understand but easiest to implement in a way that is fair to small business, because we can give a discount to help struggling small businesses meet the cost of covering their employees. We should require the east bureaucracy or disruption and create the cooperation we need to make the system cost conscious, even as we expand coverage. And we should do it in a way that does not cripple small businesses and low-wage workers.</w:t>
      </w:r>
    </w:p>
    <w:p w:rsidR="00A31137" w:rsidRPr="00A31137" w:rsidRDefault="00A31137" w:rsidP="00A31137">
      <w:r w:rsidRPr="00A31137">
        <w:t>Public Papers of Clinton, 1993, p.1563</w:t>
      </w:r>
    </w:p>
    <w:p w:rsidR="00A31137" w:rsidRPr="00A31137" w:rsidRDefault="00A31137" w:rsidP="00A31137">
      <w:r w:rsidRPr="00A31137">
        <w:t>Every employer should provide coverage, just as three-quarters do now. Those that pay are picking up the tab for those who don't today. I don't think that's right. To finance the rest of reform, we can achieve new savings, as I have outlined, in both the Federal Government and the private sector through better decision making and increased competition. And we will impose new taxes on tobacco. I don't think that should be the only source of revenues. I believe we should also ask for a modest contribution from big employers who opt out of the system to make up for what those who are in the system pay for medical research, for health education centers, for all the subsidies to small business, for all the things that everyone else is contributing to. But between those two things, we believe we can pay for this package of benefits and universal coverage and a subsidy program that will help small business.</w:t>
      </w:r>
    </w:p>
    <w:p w:rsidR="00A31137" w:rsidRPr="00A31137" w:rsidRDefault="00A31137" w:rsidP="00A31137">
      <w:r w:rsidRPr="00A31137">
        <w:t>Public Papers of Clinton, 1993, p.1563</w:t>
      </w:r>
    </w:p>
    <w:p w:rsidR="00A31137" w:rsidRPr="00A31137" w:rsidRDefault="00A31137" w:rsidP="00A31137">
      <w:r w:rsidRPr="00A31137">
        <w:t>These sources can cover the cost of the proposal that I have described tonight. We subjected the numbers in our proposal to the scrutiny of not only all the major agencies in Government—I know a lot of people don't trust them, but it would be interesting for the American people to know that this was the first time that the financial experts on health care in all of the different Government agencies have ever been required to sit in the room together and agree on numbers. It had never happened before. But obviously, that's not enough. So then we gave these numbers to actuaries from major accounting firms and major Fortune 500 companies who have no stake in this other than to see that our efforts succeed. So I believe our numbers are good and achievable.</w:t>
      </w:r>
    </w:p>
    <w:p w:rsidR="00A31137" w:rsidRPr="00A31137" w:rsidRDefault="00A31137" w:rsidP="00A31137">
      <w:r w:rsidRPr="00A31137">
        <w:t>Public Papers of Clinton, 1993, p.1563</w:t>
      </w:r>
    </w:p>
    <w:p w:rsidR="00A31137" w:rsidRPr="00A31137" w:rsidRDefault="00A31137" w:rsidP="00A31137">
      <w:r w:rsidRPr="00A31137">
        <w:t>Now, what does this mean to an individual American citizen? Some will be asked to pay more. If you're an employer and you aren't insuring your workers at all, you'll have to pay more. But if you're a small business with fewer than 50 employees, you'll get a subsidy. If you're a firm that provides only very limited coverage, you may have to pay more. But some firms will pay the same or less for more coverage.</w:t>
      </w:r>
    </w:p>
    <w:p w:rsidR="00A31137" w:rsidRPr="00A31137" w:rsidRDefault="00A31137" w:rsidP="00A31137">
      <w:r w:rsidRPr="00A31137">
        <w:t>Public Papers of Clinton, 1993, p.1563</w:t>
      </w:r>
    </w:p>
    <w:p w:rsidR="00A31137" w:rsidRPr="00A31137" w:rsidRDefault="00A31137" w:rsidP="00A31137">
      <w:r w:rsidRPr="00A31137">
        <w:t>If you're a young, single person in your twenties and you're already insured, your rates may go up somewhat because you're going to go into a big pool with middle-aged people and older people, and we want to enable people to keep their insurance even when someone in their family gets sick. But I think that's fair because when the young get older they will benefit from it, first, and secondly, even those who pay a little more today will benefit 4, 5, 6, 7 years from now by our bringing health care costs closer to inflation.</w:t>
      </w:r>
    </w:p>
    <w:p w:rsidR="00A31137" w:rsidRPr="00A31137" w:rsidRDefault="00A31137" w:rsidP="00A31137">
      <w:r w:rsidRPr="00A31137">
        <w:t>Public Papers of Clinton, 1993, p.1563</w:t>
      </w:r>
    </w:p>
    <w:p w:rsidR="00A31137" w:rsidRPr="00A31137" w:rsidRDefault="00A31137" w:rsidP="00A31137">
      <w:r w:rsidRPr="00A31137">
        <w:t>Over the long run, we can all win. But some will have to pay more in the short run. Nevertheless, the vast majority of the Americans watching this tonight will pay the same or less for health care coverage that will be the same or better than the coverage they have tonight. That is the central reality.</w:t>
      </w:r>
    </w:p>
    <w:p w:rsidR="00A31137" w:rsidRPr="00A31137" w:rsidRDefault="00A31137" w:rsidP="00A31137">
      <w:r w:rsidRPr="00A31137">
        <w:t>Public Papers of Clinton, 1993, p.1563–p.1564</w:t>
      </w:r>
    </w:p>
    <w:p w:rsidR="00A31137" w:rsidRPr="00A31137" w:rsidRDefault="00A31137" w:rsidP="00A31137">
      <w:r w:rsidRPr="00A31137">
        <w:t>If you currently get your health insurance through your job, under our plan you still will. And for the first time, everybody will get to choose from among at least three plans to belong to. If you're a small business owner who wants to provide health insurance to your family and your employees, but you can't afford it because the system is stacked against you, this plan will give you a discount that will finally make insurance affordable. If you're already providing insurance, your rates may well drop because we'll help you as a small business person join thousands of others to get the same benefits big corporations get at the same price they get those benefits. If you're self-employed, you'll pay less, and you will get to deduct from your taxes 100 percent of your health care premiums. If you're a large employer, your health care costs won't go up as fast, so that you will have more [p.1564] money to put into higher wages and new jobs and to put into the work of being competitive in this tough global economy.</w:t>
      </w:r>
    </w:p>
    <w:p w:rsidR="00A31137" w:rsidRPr="00A31137" w:rsidRDefault="00A31137" w:rsidP="00A31137">
      <w:r w:rsidRPr="00A31137">
        <w:t>Public Papers of Clinton, 1993, p.1564</w:t>
      </w:r>
    </w:p>
    <w:p w:rsidR="00A31137" w:rsidRPr="00A31137" w:rsidRDefault="00A31137" w:rsidP="00A31137">
      <w:r w:rsidRPr="00A31137">
        <w:t>Now, these, my fellow Americans, are the principles on which I think we should base our efforts: security, simplicity, savings, choice, quality, and responsibility. These are the guiding stars that we should follow on our journey toward health care reform.</w:t>
      </w:r>
    </w:p>
    <w:p w:rsidR="00A31137" w:rsidRPr="00A31137" w:rsidRDefault="00A31137" w:rsidP="00A31137">
      <w:r w:rsidRPr="00A31137">
        <w:t>Public Papers of Clinton, 1993, p.1564</w:t>
      </w:r>
    </w:p>
    <w:p w:rsidR="00A31137" w:rsidRPr="00A31137" w:rsidRDefault="00A31137" w:rsidP="00A31137">
      <w:r w:rsidRPr="00A31137">
        <w:t>Over the coming months, you'll be bombarded with information from all kinds of sources. There will be some who will stoutly disagree with what I have proposed and with all other plans in the Congress, for that matter. And some of the arguments will be genuinely sincere and enlightening. Others may simply be scare tactics by those who are motivated by the self-interest they have in the waste the system now generates, because that waste is providing jobs, incomes, and money for some people. I ask you only to think of this when you hear all of these arguments: Ask yourself whether the cost of staying on this same course isn't greater than the cost of change. And ask yourself, when you hear the arguments, whether the arguments are in your interest or someone else's. This is something we have got to try to do together.</w:t>
      </w:r>
    </w:p>
    <w:p w:rsidR="00A31137" w:rsidRPr="00A31137" w:rsidRDefault="00A31137" w:rsidP="00A31137">
      <w:r w:rsidRPr="00A31137">
        <w:t>Public Papers of Clinton, 1993, p.1564</w:t>
      </w:r>
    </w:p>
    <w:p w:rsidR="00A31137" w:rsidRPr="00A31137" w:rsidRDefault="00A31137" w:rsidP="00A31137">
      <w:r w:rsidRPr="00A31137">
        <w:t>I want also to say to the Representatives in Congress, you have a special duty to look beyond these arguments. I ask you instead to look into the eyes of the sick child who needs care, to think of the face of the woman who's been told not only that her condition is malignant but not covered by her insurance, to look at the bottom lines of the businesses driven to bankruptcy by health care costs, to look at the "for sale" signs in front of the homes of families who have lost everything because of their health care costs.</w:t>
      </w:r>
    </w:p>
    <w:p w:rsidR="00A31137" w:rsidRPr="00A31137" w:rsidRDefault="00A31137" w:rsidP="00A31137">
      <w:r w:rsidRPr="00A31137">
        <w:t>Public Papers of Clinton, 1993, p.1564</w:t>
      </w:r>
    </w:p>
    <w:p w:rsidR="00A31137" w:rsidRPr="00A31137" w:rsidRDefault="00A31137" w:rsidP="00A31137">
      <w:r w:rsidRPr="00A31137">
        <w:t>I ask you to remember the kind of people I met over the last year and a half: the elderly couple in New Hampshire that broke down and cried because of their shame at having an empty refrigerator to pay for their drags; a woman who lost a $50,000 job that she used to support her six children because her youngest child was so ill that she couldn't keep health insurance, and the only way to get care for the child was to get public assistance; a young couple that had a sick child and could only get insurance from one of the parents' employers that was a nonprofit corporation with 20 employees, and so they had to face the question of whether to let this poor person with a sick child go or raise the premiums of every employee in the firm by $200; and on and on and on.</w:t>
      </w:r>
    </w:p>
    <w:p w:rsidR="00A31137" w:rsidRPr="00A31137" w:rsidRDefault="00A31137" w:rsidP="00A31137">
      <w:r w:rsidRPr="00A31137">
        <w:t>Public Papers of Clinton, 1993, p.1564</w:t>
      </w:r>
    </w:p>
    <w:p w:rsidR="00A31137" w:rsidRPr="00A31137" w:rsidRDefault="00A31137" w:rsidP="00A31137">
      <w:r w:rsidRPr="00A31137">
        <w:t>I know we have differences of opinion, but we are here tonight in a spirit that is animated by the problems of those people and by the sheer knowledge that if we can look into our heart, we will not be able to say that the greatest nation in the history of the world is powerless to confront this crisis.</w:t>
      </w:r>
    </w:p>
    <w:p w:rsidR="00A31137" w:rsidRPr="00A31137" w:rsidRDefault="00A31137" w:rsidP="00A31137">
      <w:r w:rsidRPr="00A31137">
        <w:t>Public Papers of Clinton, 1993, p.1564</w:t>
      </w:r>
    </w:p>
    <w:p w:rsidR="00A31137" w:rsidRPr="00A31137" w:rsidRDefault="00A31137" w:rsidP="00A31137">
      <w:r w:rsidRPr="00A31137">
        <w:t>Our history and our heritage tell us that we can meet this challenge. Everything about America's past tells us we will do it. So I say to you, let us write that new chapter in the American story. Let us guarantee every American comprehensive health benefits that can never be taken away.</w:t>
      </w:r>
    </w:p>
    <w:p w:rsidR="00A31137" w:rsidRPr="00A31137" w:rsidRDefault="00A31137" w:rsidP="00A31137">
      <w:r w:rsidRPr="00A31137">
        <w:t>Public Papers of Clinton, 1993, p.1564</w:t>
      </w:r>
    </w:p>
    <w:p w:rsidR="00A31137" w:rsidRPr="00A31137" w:rsidRDefault="00A31137" w:rsidP="00A31137">
      <w:r w:rsidRPr="00A31137">
        <w:t>You know, in spite of all the work we've done together and all the progress we've made, there's still a lot of people who say it would be an outright miracle if we passed health care reform. But my fellow Americans, in a time of change you have to have miracles. And miracles do happen. I mean, just a few days ago we saw a simple handshake shatter decades of deadlock in the Middle East. We've seen the walls crumble in Berlin and South Africa. We see the ongoing brave struggle of the people of Russia to seize freedom and democracy.</w:t>
      </w:r>
    </w:p>
    <w:p w:rsidR="00A31137" w:rsidRPr="00A31137" w:rsidRDefault="00A31137" w:rsidP="00A31137">
      <w:r w:rsidRPr="00A31137">
        <w:t>Public Papers of Clinton, 1993, p.1564</w:t>
      </w:r>
    </w:p>
    <w:p w:rsidR="00A31137" w:rsidRPr="00A31137" w:rsidRDefault="00A31137" w:rsidP="00A31137">
      <w:r w:rsidRPr="00A31137">
        <w:t>And now it is our turn to strike a blow for freedom in this country, the freedom of Americans to live without fear that their own Nation's health care system won't be there for them when they need it. It's hard to believe that there was once a time in this century when that kind of fear gripped old age, when retirement was nearly synonymous with poverty and older Americans died in the street. That's unthinkable today, because over a half a century ago Americans had the courage to change, to create a Social Security System that ensures that no Americans will be forgotten in their later years.</w:t>
      </w:r>
    </w:p>
    <w:p w:rsidR="00A31137" w:rsidRPr="00A31137" w:rsidRDefault="00A31137" w:rsidP="00A31137">
      <w:r w:rsidRPr="00A31137">
        <w:t>Public Papers of Clinton, 1993, p.1564</w:t>
      </w:r>
    </w:p>
    <w:p w:rsidR="00A31137" w:rsidRPr="00A31137" w:rsidRDefault="00A31137" w:rsidP="00A31137">
      <w:r w:rsidRPr="00A31137">
        <w:t>Forty years from now, our grandchildren will also find it unthinkable that there was a time in this country when hardworking families lost their homes, their savings, their businesses, lost everything simply because their children got sick or because they had to change jobs. Our grandchildren will find such things unthinkable tomorrow if we have the courage to change today.</w:t>
      </w:r>
    </w:p>
    <w:p w:rsidR="00A31137" w:rsidRPr="00A31137" w:rsidRDefault="00A31137" w:rsidP="00A31137">
      <w:r w:rsidRPr="00A31137">
        <w:t>Public Papers of Clinton, 1993, p.1565</w:t>
      </w:r>
    </w:p>
    <w:p w:rsidR="00A31137" w:rsidRPr="00A31137" w:rsidRDefault="00A31137" w:rsidP="00A31137">
      <w:r w:rsidRPr="00A31137">
        <w:t>This is our chance. This is our journey. And when our work is done, we will know that we have answered the call of history and met the challenge of our time.</w:t>
      </w:r>
    </w:p>
    <w:p w:rsidR="00A31137" w:rsidRPr="00A31137" w:rsidRDefault="00A31137" w:rsidP="00A31137">
      <w:r w:rsidRPr="00A31137">
        <w:t>Public Papers of Clinton, 1993, p.1565</w:t>
      </w:r>
    </w:p>
    <w:p w:rsidR="00A31137" w:rsidRPr="00A31137" w:rsidRDefault="00A31137" w:rsidP="00A31137">
      <w:r w:rsidRPr="00A31137">
        <w:t>Thank  you very much, and God bless America.</w:t>
      </w:r>
    </w:p>
    <w:p w:rsidR="00A31137" w:rsidRPr="00A31137" w:rsidRDefault="00A31137" w:rsidP="00A31137">
      <w:r w:rsidRPr="00A31137">
        <w:t>Public Papers of Clinton, 1993, p.1565</w:t>
      </w:r>
    </w:p>
    <w:p w:rsidR="00A31137" w:rsidRPr="00A31137" w:rsidRDefault="00A31137" w:rsidP="00A31137">
      <w:r w:rsidRPr="00A31137">
        <w:t>NOTE: The President spoke at 9:10 p.m. in the House Chamber at the Capitol.</w:t>
      </w:r>
    </w:p>
    <w:p w:rsidR="00A31137" w:rsidRPr="00A31137" w:rsidRDefault="00A31137" w:rsidP="00A31137">
      <w:r w:rsidRPr="00A31137">
        <w:t>President Clinton's Remarks in the ABC News "Nightline" Town Meeting on Health Care Reform in Tampa, Florida, 1993</w:t>
      </w:r>
    </w:p>
    <w:p w:rsidR="00A31137" w:rsidRPr="00A31137" w:rsidRDefault="00A31137" w:rsidP="00A31137">
      <w:r w:rsidRPr="00A31137">
        <w:t>Title:</w:t>
      </w:r>
      <w:r w:rsidRPr="00A31137">
        <w:tab/>
        <w:t>President Clinton's Remarks in the ABC News "Nightline" Town Meeting on Health Care Reform in Tampa, Florida</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September 23, 1993</w:t>
      </w:r>
    </w:p>
    <w:p w:rsidR="00A31137" w:rsidRPr="00A31137" w:rsidRDefault="00A31137" w:rsidP="00A31137">
      <w:r w:rsidRPr="00A31137">
        <w:t>Source:</w:t>
      </w:r>
      <w:r w:rsidRPr="00A31137">
        <w:tab/>
        <w:t>Public Papers of the Presidents, Clinton, 1993, pp.1568-1586</w:t>
      </w:r>
    </w:p>
    <w:p w:rsidR="00A31137" w:rsidRPr="00A31137" w:rsidRDefault="00A31137" w:rsidP="00A31137">
      <w:r w:rsidRPr="00A31137">
        <w:t>Public Papers of Clinton, 1993, p.1568</w:t>
      </w:r>
    </w:p>
    <w:p w:rsidR="00A31137" w:rsidRPr="00A31137" w:rsidRDefault="00A31137" w:rsidP="00A31137">
      <w:r w:rsidRPr="00A31137">
        <w:t>Ted Koppel.  Welcome.  A standing ovation.  It's got to be downhill from here on in. [Laughter]</w:t>
      </w:r>
    </w:p>
    <w:p w:rsidR="00A31137" w:rsidRPr="00A31137" w:rsidRDefault="00A31137" w:rsidP="00A31137">
      <w:r w:rsidRPr="00A31137">
        <w:t>Public Papers of Clinton, 1993, p.1568</w:t>
      </w:r>
    </w:p>
    <w:p w:rsidR="00A31137" w:rsidRPr="00A31137" w:rsidRDefault="00A31137" w:rsidP="00A31137">
      <w:r w:rsidRPr="00A31137">
        <w:t>The President.  A lot of the work is still to be done.</w:t>
      </w:r>
    </w:p>
    <w:p w:rsidR="00A31137" w:rsidRPr="00A31137" w:rsidRDefault="00A31137" w:rsidP="00A31137">
      <w:r w:rsidRPr="00A31137">
        <w:t>Public Papers of Clinton, 1993, p.1568</w:t>
      </w:r>
    </w:p>
    <w:p w:rsidR="00A31137" w:rsidRPr="00A31137" w:rsidRDefault="00A31137" w:rsidP="00A31137">
      <w:r w:rsidRPr="00A31137">
        <w:t>Mr. Koppel.  Indeed.  I'm going to begin with what may seem like a rather trivial thing, although I'll tell you it wasn't trivial to you yesterday.  There you were.  You were in front of the joint session of Congress.  You had the Joint Chiefs of Staff there.  You had your Cabinet there.  You were talking to tens of millions of people.  And you step up to the podium, and if you'd be good enough to take a look at one of those monitors out there, we're going to run—[applause].</w:t>
      </w:r>
    </w:p>
    <w:p w:rsidR="00A31137" w:rsidRPr="00A31137" w:rsidRDefault="00A31137" w:rsidP="00A31137">
      <w:r w:rsidRPr="00A31137">
        <w:t>[At this point, the audience watched television monitors which showed videotape from the previous evening.]</w:t>
      </w:r>
    </w:p>
    <w:p w:rsidR="00A31137" w:rsidRPr="00A31137" w:rsidRDefault="00A31137" w:rsidP="00A31137">
      <w:r w:rsidRPr="00A31137">
        <w:t>Public Papers of Clinton, 1993, p.1568</w:t>
      </w:r>
    </w:p>
    <w:p w:rsidR="00A31137" w:rsidRPr="00A31137" w:rsidRDefault="00A31137" w:rsidP="00A31137">
      <w:r w:rsidRPr="00A31137">
        <w:t>The President.  You can see the teleprompters there.  You can see them.  I am telling the Vice President, "Al, they've got the wrong speech on the teleprompter."  He said, "That's impossible." I said, "You're not reading it.  Read it."  That's what I said. [Laughter]</w:t>
      </w:r>
    </w:p>
    <w:p w:rsidR="00A31137" w:rsidRPr="00A31137" w:rsidRDefault="00A31137" w:rsidP="00A31137">
      <w:r w:rsidRPr="00A31137">
        <w:t>Public Papers of Clinton, 1993, p.1568</w:t>
      </w:r>
    </w:p>
    <w:p w:rsidR="00A31137" w:rsidRPr="00A31137" w:rsidRDefault="00A31137" w:rsidP="00A31137">
      <w:r w:rsidRPr="00A31137">
        <w:t>So it turned out that the people with our communications department had typed in the speech for the teleprompter on the disk that also had my State of the Union speech in February.  And when the disk was called up, it started at the State of the Union instead of at the health care speech.   And I thought to myself, that was a pretty good speech but not good enough to give twice. [Laughter]  So that's what happened.</w:t>
      </w:r>
    </w:p>
    <w:p w:rsidR="00A31137" w:rsidRPr="00A31137" w:rsidRDefault="00A31137" w:rsidP="00A31137">
      <w:r w:rsidRPr="00A31137">
        <w:t>Public Papers of Clinton, 1993, p.1568</w:t>
      </w:r>
    </w:p>
    <w:p w:rsidR="00A31137" w:rsidRPr="00A31137" w:rsidRDefault="00A31137" w:rsidP="00A31137">
      <w:r w:rsidRPr="00A31137">
        <w:t>Mr. Koppel.  When I was looking at the First Lady there—you must have talked to her later on—it was almost as though she was telepathic.  She looked worried.  She knew there was something wrong.</w:t>
      </w:r>
    </w:p>
    <w:p w:rsidR="00A31137" w:rsidRPr="00A31137" w:rsidRDefault="00A31137" w:rsidP="00A31137">
      <w:r w:rsidRPr="00A31137">
        <w:t>Public Papers of Clinton, 1993, p.1568</w:t>
      </w:r>
    </w:p>
    <w:p w:rsidR="00A31137" w:rsidRPr="00A31137" w:rsidRDefault="00A31137" w:rsidP="00A31137">
      <w:r w:rsidRPr="00A31137">
        <w:t>The President.  She knew there was something wrong.  My daughter, actually, watching at home, told me she also sensed that there was something wrong</w:t>
      </w:r>
    </w:p>
    <w:p w:rsidR="00A31137" w:rsidRPr="00A31137" w:rsidRDefault="00A31137" w:rsidP="00A31137">
      <w:r w:rsidRPr="00A31137">
        <w:t>Public Papers of Clinton, 1993, p.1568–p.1569</w:t>
      </w:r>
    </w:p>
    <w:p w:rsidR="00A31137" w:rsidRPr="00A31137" w:rsidRDefault="00A31137" w:rsidP="00A31137">
      <w:r w:rsidRPr="00A31137">
        <w:t>The President. She knew there was something wrong.  My daughter, actually, watching at home, [p.1569] told me she also sensed that there was something wrong.  And I just decided to go on and give the talk.  I mean, I had, you know, I'd internalized it.  I'd worked hard on writing it with our folks.  The only problem is when you have to go through a lot of points, and you can't just read it.  So I would just look at the first line and try to recall from memory.  I didn't want to miss anything</w:t>
      </w:r>
    </w:p>
    <w:p w:rsidR="00A31137" w:rsidRPr="00A31137" w:rsidRDefault="00A31137" w:rsidP="00A31137">
      <w:r w:rsidRPr="00A31137">
        <w:t>Public Papers of Clinton, 1993, p.1568</w:t>
      </w:r>
    </w:p>
    <w:p w:rsidR="00A31137" w:rsidRPr="00A31137" w:rsidRDefault="00A31137" w:rsidP="00A31137">
      <w:r w:rsidRPr="00A31137">
        <w:t>And the other problem is if the teleprompter goes off, that's one thing;  you just look at the audience just like I'm looking at you.  But imagine if I've got these teleprompters here, and I'm trying to speak to you, and the wrong words are going up on the screen, which is what we started out to do.</w:t>
      </w:r>
    </w:p>
    <w:p w:rsidR="00A31137" w:rsidRPr="00A31137" w:rsidRDefault="00A31137" w:rsidP="00A31137">
      <w:r w:rsidRPr="00A31137">
        <w:t>Public Papers of Clinton, 1993, p.1568</w:t>
      </w:r>
    </w:p>
    <w:p w:rsidR="00A31137" w:rsidRPr="00A31137" w:rsidRDefault="00A31137" w:rsidP="00A31137">
      <w:r w:rsidRPr="00A31137">
        <w:t>So I had to ignore all these words and try to look through the words to the people.  But about 8,  9 minutes into the speech, the fellow figured out what was wrong, pulled up the right speech and then whizzed through it to figure out where I was.  And from then on in it was reasonably normal.</w:t>
      </w:r>
    </w:p>
    <w:p w:rsidR="00A31137" w:rsidRPr="00A31137" w:rsidRDefault="00A31137" w:rsidP="00A31137">
      <w:r w:rsidRPr="00A31137">
        <w:t>Public Papers of Clinton, 1993, p.1568</w:t>
      </w:r>
    </w:p>
    <w:p w:rsidR="00A31137" w:rsidRPr="00A31137" w:rsidRDefault="00A31137" w:rsidP="00A31137">
      <w:r w:rsidRPr="00A31137">
        <w:t>Mr. Koppel. Well, I've got to tell you Mr. President, as a communications specialist—and it may be the last nice thing I say to you or for you this evening—you have my admiration.  I can't tell you how tough that is when you've got the wrong speech going by.  You did an extraordinary job.</w:t>
      </w:r>
    </w:p>
    <w:p w:rsidR="00A31137" w:rsidRPr="00A31137" w:rsidRDefault="00A31137" w:rsidP="00A31137">
      <w:r w:rsidRPr="00A31137">
        <w:t>Public Papers of Clinton, 1993, p.1568</w:t>
      </w:r>
    </w:p>
    <w:p w:rsidR="00A31137" w:rsidRPr="00A31137" w:rsidRDefault="00A31137" w:rsidP="00A31137">
      <w:r w:rsidRPr="00A31137">
        <w:t>Let us take a look at how the speech played.  We've got some phone numbers there.  Before the speech you can see, we took a poll and 43-percent approval of your health care plan, 41-percent disapproval,  Let's take a look at after the speech: up to 56-percent approval; 24-percent disapproval.  You're too good a political pro to put too much faith in that sort of kick that you get right after a speech.  How tough is it going to be to hold onto that?</w:t>
      </w:r>
    </w:p>
    <w:p w:rsidR="00A31137" w:rsidRPr="00A31137" w:rsidRDefault="00A31137" w:rsidP="00A31137">
      <w:r w:rsidRPr="00A31137">
        <w:t>Public Papers of Clinton, 1993, p.1568</w:t>
      </w:r>
    </w:p>
    <w:p w:rsidR="00A31137" w:rsidRPr="00A31137" w:rsidRDefault="00A31137" w:rsidP="00A31137">
      <w:r w:rsidRPr="00A31137">
        <w:t>The President. I think it depends upon how good a line of communication we can maintain eith the American people and how open we can be in working this process through Congress.  There will be a lot of people who will honestly disagree with certain things I have recommended.  There will be a lot of  other people who will not want it to happen because they will make less money out of the system that we propose or because it will require them to change.  And they will be heard.  So the important thing is that everyone understand that this is an extremely complicated thing.  You interviewed me before, and I saw you showed it out here.  I've been working on this issue seriously for 3 1/2 years, and I've been dealing with health care as a Governor and attorney general and a citizen for a long time, but really working on the systematic problems for 3 1/2 years and talking to hundreds of doctors, of other experts all around the country,  It is a complex thing.</w:t>
      </w:r>
    </w:p>
    <w:p w:rsidR="00A31137" w:rsidRPr="00A31137" w:rsidRDefault="00A31137" w:rsidP="00A31137">
      <w:r w:rsidRPr="00A31137">
        <w:t>Public Papers of Clinton, 1993, p.1568</w:t>
      </w:r>
    </w:p>
    <w:p w:rsidR="00A31137" w:rsidRPr="00A31137" w:rsidRDefault="00A31137" w:rsidP="00A31137">
      <w:r w:rsidRPr="00A31137">
        <w:t>But I think if the American people know that Hillary and I and our administration, that we're listening to people and that we're  really shooting them straight, then I think we can maintain support for change.  Because the reason there's so much support for change among Republicans and Democrats and all the people in the health care system is that those who know the most, know that we cannot afford to continue with the system we have.  It's bankrupting the country and not helping people.</w:t>
      </w:r>
    </w:p>
    <w:p w:rsidR="00A31137" w:rsidRPr="00A31137" w:rsidRDefault="00A31137" w:rsidP="00A31137">
      <w:r w:rsidRPr="00A31137">
        <w:t>Public Papers of Clinton, 1993, p.1568</w:t>
      </w:r>
    </w:p>
    <w:p w:rsidR="00A31137" w:rsidRPr="00A31137" w:rsidRDefault="00A31137" w:rsidP="00A31137">
      <w:r w:rsidRPr="00A31137">
        <w:t>Mr. Koppel.  Mr. President, we've got an awful lot of people here who I know want to ask questions.  I just want to show you one more poll result.  Take a look.  "I worry my future health care costs won't be taken care of."  Now, look at how many people agree—.</w:t>
      </w:r>
    </w:p>
    <w:p w:rsidR="00A31137" w:rsidRPr="00A31137" w:rsidRDefault="00A31137" w:rsidP="00A31137">
      <w:r w:rsidRPr="00A31137">
        <w:t>Public Papers of Clinton, 1993, p.1568</w:t>
      </w:r>
    </w:p>
    <w:p w:rsidR="00A31137" w:rsidRPr="00A31137" w:rsidRDefault="00A31137" w:rsidP="00A31137">
      <w:r w:rsidRPr="00A31137">
        <w:t>The President. They should worry.</w:t>
      </w:r>
    </w:p>
    <w:p w:rsidR="00A31137" w:rsidRPr="00A31137" w:rsidRDefault="00A31137" w:rsidP="00A31137">
      <w:r w:rsidRPr="00A31137">
        <w:t>Public Papers of Clinton, 1993, p.1568</w:t>
      </w:r>
    </w:p>
    <w:p w:rsidR="00A31137" w:rsidRPr="00A31137" w:rsidRDefault="00A31137" w:rsidP="00A31137">
      <w:r w:rsidRPr="00A31137">
        <w:t>Mr. Koppel.—with that statement. That's after hearing your speech.</w:t>
      </w:r>
    </w:p>
    <w:p w:rsidR="00A31137" w:rsidRPr="00A31137" w:rsidRDefault="00A31137" w:rsidP="00A31137">
      <w:r w:rsidRPr="00A31137">
        <w:t>Public Papers of Clinton, 1993, p.1568</w:t>
      </w:r>
    </w:p>
    <w:p w:rsidR="00A31137" w:rsidRPr="00A31137" w:rsidRDefault="00A31137" w:rsidP="00A31137">
      <w:r w:rsidRPr="00A31137">
        <w:t>The President.  They should worry about that.</w:t>
      </w:r>
    </w:p>
    <w:p w:rsidR="00A31137" w:rsidRPr="00A31137" w:rsidRDefault="00A31137" w:rsidP="00A31137">
      <w:r w:rsidRPr="00A31137">
        <w:t>Public Papers of Clinton, 1993, p.1568</w:t>
      </w:r>
    </w:p>
    <w:p w:rsidR="00A31137" w:rsidRPr="00A31137" w:rsidRDefault="00A31137" w:rsidP="00A31137">
      <w:r w:rsidRPr="00A31137">
        <w:t>Mr. Koppel.  Why do you think it's still so high? Two-thirds of the American public still worry that their future health care costs won't be taken care of.</w:t>
      </w:r>
    </w:p>
    <w:p w:rsidR="00A31137" w:rsidRPr="00A31137" w:rsidRDefault="00A31137" w:rsidP="00A31137">
      <w:r w:rsidRPr="00A31137">
        <w:t>Public Papers of Clinton, 1993, p.1568</w:t>
      </w:r>
    </w:p>
    <w:p w:rsidR="00A31137" w:rsidRPr="00A31137" w:rsidRDefault="00A31137" w:rsidP="00A31137">
      <w:r w:rsidRPr="00A31137">
        <w:t>The President.  Because health care costs have been going up at twice the rate of inflation, or more.  For people insured in small businesses, more that twice  the rate of inflation.  Because in any given 2-year period, almost one in four Americans don't have any health insurance, because about 100,000 Americans a month lose their health insurance permanently.  So how could people not?  And even if that hasn't happened to you, almost every one of us knows someone that it's happened to .</w:t>
      </w:r>
    </w:p>
    <w:p w:rsidR="00A31137" w:rsidRPr="00A31137" w:rsidRDefault="00A31137" w:rsidP="00A31137">
      <w:r w:rsidRPr="00A31137">
        <w:t>Public Papers of Clinton, 1993, p.1568–p.1569</w:t>
      </w:r>
    </w:p>
    <w:p w:rsidR="00A31137" w:rsidRPr="00A31137" w:rsidRDefault="00A31137" w:rsidP="00A31137">
      <w:r w:rsidRPr="00A31137">
        <w:t>Mr. Koppel. Let me ask you a favor, Mr. President.  I've already talked to the audience out here and  asked them the same favor.  They're going to introduce themselves to you, tell you their names and who they are. We've got so many people who want to talk to you, to the degree that we can, let's zip through as many questions and answers as we can.</w:t>
      </w:r>
    </w:p>
    <w:p w:rsidR="00A31137" w:rsidRPr="00A31137" w:rsidRDefault="00A31137" w:rsidP="00A31137">
      <w:r w:rsidRPr="00A31137">
        <w:t>[A homemaker said that she and her husband [p.1570] had the best insurance coverage available to cover the costs of weekly treatment for her son, who had nearly drowned, and asked if that coverage would be lost under the new health care plan.]</w:t>
      </w:r>
    </w:p>
    <w:p w:rsidR="00A31137" w:rsidRPr="00A31137" w:rsidRDefault="00A31137" w:rsidP="00A31137">
      <w:r w:rsidRPr="00A31137">
        <w:t>Public Papers of Clinton, 1993, p.1570</w:t>
      </w:r>
    </w:p>
    <w:p w:rsidR="00A31137" w:rsidRPr="00A31137" w:rsidRDefault="00A31137" w:rsidP="00A31137">
      <w:r w:rsidRPr="00A31137">
        <w:t>The President. Well, first of all, it won't get any worse. That is, if you're paying for it now and you have coverage that covers that, there's nothing to prevent that from continuing in our system. Anybody, for example, who's got a situation at work where your employer is paying 100 percent of your premiums, that can continue. So you shouldn't worry about that.</w:t>
      </w:r>
    </w:p>
    <w:p w:rsidR="00A31137" w:rsidRPr="00A31137" w:rsidRDefault="00A31137" w:rsidP="00A31137">
      <w:r w:rsidRPr="00A31137">
        <w:t>Public Papers of Clinton, 1993, p.1570</w:t>
      </w:r>
    </w:p>
    <w:p w:rsidR="00A31137" w:rsidRPr="00A31137" w:rsidRDefault="00A31137" w:rsidP="00A31137">
      <w:r w:rsidRPr="00A31137">
        <w:t>But in all probability, because of the changes in our plan, you will have more secure coverage. That is, if this plan passes, you will know that the coverage you have can never be taken away from you and that we will cover primary and preventive services, and those kinds of long-term care services for children are very important.</w:t>
      </w:r>
    </w:p>
    <w:p w:rsidR="00A31137" w:rsidRPr="00A31137" w:rsidRDefault="00A31137" w:rsidP="00A31137">
      <w:r w:rsidRPr="00A31137">
        <w:t>Public Papers of Clinton, 1993, p.1570</w:t>
      </w:r>
    </w:p>
    <w:p w:rsidR="00A31137" w:rsidRPr="00A31137" w:rsidRDefault="00A31137" w:rsidP="00A31137">
      <w:r w:rsidRPr="00A31137">
        <w:t>Also what we want to do—it's very important, especially in the event your husband has to change jobs—we're going to rate all families in America under a broad-based community rating system so that people go into big pools. Insurance companies make money like grocery stores do, a little bit of money on a lot of people, instead of a lot on a few, and we all share the risks in ways that will guarantee that you'll always be able to get insurance at lower rates than would otherwise be the case.</w:t>
      </w:r>
    </w:p>
    <w:p w:rsidR="00A31137" w:rsidRPr="00A31137" w:rsidRDefault="00A31137" w:rsidP="00A31137">
      <w:r w:rsidRPr="00A31137">
        <w:t>Public Papers of Clinton, 1993, p.1570</w:t>
      </w:r>
    </w:p>
    <w:p w:rsidR="00A31137" w:rsidRPr="00A31137" w:rsidRDefault="00A31137" w:rsidP="00A31137">
      <w:r w:rsidRPr="00A31137">
        <w:t>Mr. Koppel. All right, let me move right on. And forgive me, I know that none of you is going to be completely satisfied and would like to ask follow-up questions, but we are going to try and move around.</w:t>
      </w:r>
    </w:p>
    <w:p w:rsidR="00A31137" w:rsidRPr="00A31137" w:rsidRDefault="00A31137" w:rsidP="00A31137">
      <w:r w:rsidRPr="00A31137">
        <w:t>Public Papers of Clinton, 1993, p.1570</w:t>
      </w:r>
    </w:p>
    <w:p w:rsidR="00A31137" w:rsidRPr="00A31137" w:rsidRDefault="00A31137" w:rsidP="00A31137">
      <w:r w:rsidRPr="00A31137">
        <w:t>Go ahead, sir.</w:t>
      </w:r>
    </w:p>
    <w:p w:rsidR="00A31137" w:rsidRPr="00A31137" w:rsidRDefault="00A31137" w:rsidP="00A31137">
      <w:r w:rsidRPr="00A31137">
        <w:t>[A psychiatrist asked about coverage for mental health out-patient services.]</w:t>
      </w:r>
    </w:p>
    <w:p w:rsidR="00A31137" w:rsidRPr="00A31137" w:rsidRDefault="00A31137" w:rsidP="00A31137">
      <w:r w:rsidRPr="00A31137">
        <w:t>Public Papers of Clinton, 1993, p.1570</w:t>
      </w:r>
    </w:p>
    <w:p w:rsidR="00A31137" w:rsidRPr="00A31137" w:rsidRDefault="00A31137" w:rsidP="00A31137">
      <w:r w:rsidRPr="00A31137">
        <w:t>The President. It depends. The reimbursement rate will depend upon what plan the person joins who wants the mental health care. For example, each individual will choose what health plan they belong to. If you choose, for example, a preferred provider organization where a lot of doctors get together and offer to give services, they will prescribe what the reimbursement rate will be and what the cost of the plan will be.</w:t>
      </w:r>
    </w:p>
    <w:p w:rsidR="00A31137" w:rsidRPr="00A31137" w:rsidRDefault="00A31137" w:rsidP="00A31137">
      <w:r w:rsidRPr="00A31137">
        <w:t>Public Papers of Clinton, 1993, p.1570</w:t>
      </w:r>
    </w:p>
    <w:p w:rsidR="00A31137" w:rsidRPr="00A31137" w:rsidRDefault="00A31137" w:rsidP="00A31137">
      <w:r w:rsidRPr="00A31137">
        <w:t>If a person joins a fee-for-service plan, then the reimbursement rate will be published on the front end, and it will be agreed to by the doctors in the beginning. But the Government won't set the rate. So there will be some more flexibility there.</w:t>
      </w:r>
    </w:p>
    <w:p w:rsidR="00A31137" w:rsidRPr="00A31137" w:rsidRDefault="00A31137" w:rsidP="00A31137">
      <w:r w:rsidRPr="00A31137">
        <w:t>Public Papers of Clinton, 1993, p.1570</w:t>
      </w:r>
    </w:p>
    <w:p w:rsidR="00A31137" w:rsidRPr="00A31137" w:rsidRDefault="00A31137" w:rsidP="00A31137">
      <w:r w:rsidRPr="00A31137">
        <w:t>And let me also say, because I don't want to overpromise in this thing, I really believe it's important for us to cover mental health benefits. But we're not going to be able to cover the full range of mental health benefits because we don't know how to cost them out very well, as much as I think we should, until the year 2000. So there won't be unlimited visits, for example, until the year 2000. But we'll start with some hospitalization that's significant and a number of visits per year and then build up to full coverage over the rest of the decade.</w:t>
      </w:r>
    </w:p>
    <w:p w:rsidR="00A31137" w:rsidRPr="00A31137" w:rsidRDefault="00A31137" w:rsidP="00A31137">
      <w:r w:rsidRPr="00A31137">
        <w:t>Public Papers of Clinton, 1993, p.1570</w:t>
      </w:r>
    </w:p>
    <w:p w:rsidR="00A31137" w:rsidRPr="00A31137" w:rsidRDefault="00A31137" w:rsidP="00A31137">
      <w:r w:rsidRPr="00A31137">
        <w:t>Mr. Koppel. Mr. President, we also have our financing plan here. We have to take some commercial breaks. We're going to take the first of them right now. We'll be back with President Clinton and our audience here in Tampa in just a moment.</w:t>
      </w:r>
    </w:p>
    <w:p w:rsidR="00A31137" w:rsidRPr="00A31137" w:rsidRDefault="00A31137" w:rsidP="00A31137">
      <w:r w:rsidRPr="00A31137">
        <w:t>[At this point, the network took a commercial break. ]</w:t>
      </w:r>
    </w:p>
    <w:p w:rsidR="00A31137" w:rsidRPr="00A31137" w:rsidRDefault="00A31137" w:rsidP="00A31137">
      <w:r w:rsidRPr="00A31137">
        <w:t>Public Papers of Clinton, 1993, p.1570</w:t>
      </w:r>
    </w:p>
    <w:p w:rsidR="00A31137" w:rsidRPr="00A31137" w:rsidRDefault="00A31137" w:rsidP="00A31137">
      <w:r w:rsidRPr="00A31137">
        <w:t>Mr. Koppel. If you take a look at the poll-I don't know if you can read—your eyes are probably better than mine. I can't read those results from here. Can we put it up on the big screen? Can we see the poll up there?</w:t>
      </w:r>
    </w:p>
    <w:p w:rsidR="00A31137" w:rsidRPr="00A31137" w:rsidRDefault="00A31137" w:rsidP="00A31137">
      <w:r w:rsidRPr="00A31137">
        <w:t>Public Papers of Clinton, 1993, p.1570</w:t>
      </w:r>
    </w:p>
    <w:p w:rsidR="00A31137" w:rsidRPr="00A31137" w:rsidRDefault="00A31137" w:rsidP="00A31137">
      <w:r w:rsidRPr="00A31137">
        <w:t xml:space="preserve"> The President. Yes, I see it.</w:t>
      </w:r>
    </w:p>
    <w:p w:rsidR="00A31137" w:rsidRPr="00A31137" w:rsidRDefault="00A31137" w:rsidP="00A31137">
      <w:r w:rsidRPr="00A31137">
        <w:t>Public Papers of Clinton, 1993, p.1570</w:t>
      </w:r>
    </w:p>
    <w:p w:rsidR="00A31137" w:rsidRPr="00A31137" w:rsidRDefault="00A31137" w:rsidP="00A31137">
      <w:r w:rsidRPr="00A31137">
        <w:t>Mr. Koppel. Can you read it? Well, will you be good—there we go. They think your plan versus the present system: 64 percent think it's better; 17 percent think it's worse; 3 percent think it's the same. Again, that's pretty good. I mean, you can't expect it to do much better.</w:t>
      </w:r>
    </w:p>
    <w:p w:rsidR="00A31137" w:rsidRPr="00A31137" w:rsidRDefault="00A31137" w:rsidP="00A31137">
      <w:r w:rsidRPr="00A31137">
        <w:t>Public Papers of Clinton, 1993, p.1570</w:t>
      </w:r>
    </w:p>
    <w:p w:rsidR="00A31137" w:rsidRPr="00A31137" w:rsidRDefault="00A31137" w:rsidP="00A31137">
      <w:r w:rsidRPr="00A31137">
        <w:t>The President. Sixty-four percent are right. [Laughter] They're right.</w:t>
      </w:r>
    </w:p>
    <w:p w:rsidR="00A31137" w:rsidRPr="00A31137" w:rsidRDefault="00A31137" w:rsidP="00A31137">
      <w:r w:rsidRPr="00A31137">
        <w:t>Public Papers of Clinton, 1993, p.1570</w:t>
      </w:r>
    </w:p>
    <w:p w:rsidR="00A31137" w:rsidRPr="00A31137" w:rsidRDefault="00A31137" w:rsidP="00A31137">
      <w:r w:rsidRPr="00A31137">
        <w:t>Mr. Koppel. Just to keep things from getting too dull, let's see if we can get a question from one of the 17 percent. Go ahead.</w:t>
      </w:r>
    </w:p>
    <w:p w:rsidR="00A31137" w:rsidRPr="00A31137" w:rsidRDefault="00A31137" w:rsidP="00A31137">
      <w:r w:rsidRPr="00A31137">
        <w:t>[A homemaker said that she provides' carte to her mother and husband, who both have Alzheimer's disease, and asked what the new plan would do for caregivers.]</w:t>
      </w:r>
    </w:p>
    <w:p w:rsidR="00A31137" w:rsidRPr="00A31137" w:rsidRDefault="00A31137" w:rsidP="00A31137">
      <w:r w:rsidRPr="00A31137">
        <w:t>Public Papers of Clinton, 1993, p.1570</w:t>
      </w:r>
    </w:p>
    <w:p w:rsidR="00A31137" w:rsidRPr="00A31137" w:rsidRDefault="00A31137" w:rsidP="00A31137">
      <w:r w:rsidRPr="00A31137">
        <w:t>The President. It will do three things. First of all, for people with Alzheimer's and other problems that require institutional care, we will continue to cover that. And we will cover it at least as well or better as now.</w:t>
      </w:r>
    </w:p>
    <w:p w:rsidR="00A31137" w:rsidRPr="00A31137" w:rsidRDefault="00A31137" w:rsidP="00A31137">
      <w:r w:rsidRPr="00A31137">
        <w:t>Public Papers of Clinton, 1993, p.1570–p.1571</w:t>
      </w:r>
    </w:p>
    <w:p w:rsidR="00A31137" w:rsidRPr="00A31137" w:rsidRDefault="00A31137" w:rsidP="00A31137">
      <w:r w:rsidRPr="00A31137">
        <w:t>But secondly, over a period of years—now, we can't do all this at once, because we have to phase-in the coverage as we realize more [p.1571] savings from the waste in the existing system. But over a period of years, we will also reimburse people for in-home care, because often times it's less expensive to maintain people in homes than in nursing homes. So we will, for the first time, have a system by which people can actually have coverage for in-home care. And that will include respite care, too. If, for example, you are taking care of a parent or a spouse, you're doing an incredible service for a society. You're keeping your family together, and you're saving money for the system, but you're entitled to a little time off. And so under this system, over a period of, years we'd actually set up a reimbursement system so you could be reimbursed or covered to bring in a nurse, for example, if you wanted to take a 4-day weekend or something just to get away from the pressure of your duties.</w:t>
      </w:r>
    </w:p>
    <w:p w:rsidR="00A31137" w:rsidRPr="00A31137" w:rsidRDefault="00A31137" w:rsidP="00A31137">
      <w:r w:rsidRPr="00A31137">
        <w:t>Public Papers of Clinton, 1993, p.1571</w:t>
      </w:r>
    </w:p>
    <w:p w:rsidR="00A31137" w:rsidRPr="00A31137" w:rsidRDefault="00A31137" w:rsidP="00A31137">
      <w:r w:rsidRPr="00A31137">
        <w:t>And over the long run, this will enable more people to keep their families together, lower the cost of care by keeping more people out of institutions and make for, I think, a better quality of life in our country.</w:t>
      </w:r>
    </w:p>
    <w:p w:rsidR="00A31137" w:rsidRPr="00A31137" w:rsidRDefault="00A31137" w:rsidP="00A31137">
      <w:r w:rsidRPr="00A31137">
        <w:t>Public Papers of Clinton, 1993, p.1571</w:t>
      </w:r>
    </w:p>
    <w:p w:rsidR="00A31137" w:rsidRPr="00A31137" w:rsidRDefault="00A31137" w:rsidP="00A31137">
      <w:r w:rsidRPr="00A31137">
        <w:t>Mr. Koppel. To the degree that you can, Mr. President, can you give a sense of what the progression of years is going to be? In other words, you keep saying we're not going to be able to do all of this right away.</w:t>
      </w:r>
    </w:p>
    <w:p w:rsidR="00A31137" w:rsidRPr="00A31137" w:rsidRDefault="00A31137" w:rsidP="00A31137">
      <w:r w:rsidRPr="00A31137">
        <w:t>Public Papers of Clinton, 1993, p.1571</w:t>
      </w:r>
    </w:p>
    <w:p w:rsidR="00A31137" w:rsidRPr="00A31137" w:rsidRDefault="00A31137" w:rsidP="00A31137">
      <w:r w:rsidRPr="00A31137">
        <w:t>The President. Sure. Yes. Let me say, first of all, we assume that it will take a period of several months for the Congress to work through this. But I must tell you, this is the best spirit I have ever seen in the Congress, at least in modem times, among Democrats and Republicans, first to learn everything they can and second, to work together. We're in Florida tonight. We have six members of the Florida delegation up here, three Democrats and three Republicans who came down here with me tonight, and that's sort of the attitude that's going on.</w:t>
      </w:r>
    </w:p>
    <w:p w:rsidR="00A31137" w:rsidRPr="00A31137" w:rsidRDefault="00A31137" w:rsidP="00A31137">
      <w:r w:rsidRPr="00A31137">
        <w:t>Public Papers of Clinton, 1993, p.1571</w:t>
      </w:r>
    </w:p>
    <w:p w:rsidR="00A31137" w:rsidRPr="00A31137" w:rsidRDefault="00A31137" w:rsidP="00A31137">
      <w:r w:rsidRPr="00A31137">
        <w:t>So, let's assume we pass a bill sometime next year. The first and most important thing we have to do is to lock in basic security for everyone; so we want to get that done by 1996. That is, everybody's covered with comprehensive benefits. And then, between 1996 and the year 2000, we want to phase in each year more of these long-term care benefits. So it'll be about a 5-year period after the basic benefits come out.</w:t>
      </w:r>
    </w:p>
    <w:p w:rsidR="00A31137" w:rsidRPr="00A31137" w:rsidRDefault="00A31137" w:rsidP="00A31137">
      <w:r w:rsidRPr="00A31137">
        <w:t>Public Papers of Clinton, 1993, p.1571</w:t>
      </w:r>
    </w:p>
    <w:p w:rsidR="00A31137" w:rsidRPr="00A31137" w:rsidRDefault="00A31137" w:rsidP="00A31137">
      <w:r w:rsidRPr="00A31137">
        <w:t>Mr. Koppel. You have got to be concerned, because I mean, there's a little thing called "reelection" that has to kick in before you can be sure that you're going to be able to continue doing these things into a second term. You must feel tremendous pressure to get a lot of this done by the end of your first term.</w:t>
      </w:r>
    </w:p>
    <w:p w:rsidR="00A31137" w:rsidRPr="00A31137" w:rsidRDefault="00A31137" w:rsidP="00A31137">
      <w:r w:rsidRPr="00A31137">
        <w:t>Public Papers of Clinton, 1993, p.1571</w:t>
      </w:r>
    </w:p>
    <w:p w:rsidR="00A31137" w:rsidRPr="00A31137" w:rsidRDefault="00A31137" w:rsidP="00A31137">
      <w:r w:rsidRPr="00A31137">
        <w:t>The President. What I feel the pressure to do is to at least pass the legislation and get the security in. I want everybody to have their health security card so I know they'll have comprehensive benefits that can't be taken away, that they can't lose. If that happens, I believe that the public feeling for this will sweep across America without regard to party, to region, to age, and that the American people will see this as a decent, humane thing that we have waited too long to do, and that it will then be a tide that no one can turn back, and no one will really want to turn back.</w:t>
      </w:r>
    </w:p>
    <w:p w:rsidR="00A31137" w:rsidRPr="00A31137" w:rsidRDefault="00A31137" w:rsidP="00A31137">
      <w:r w:rsidRPr="00A31137">
        <w:t>Public Papers of Clinton, 1993, p.1571</w:t>
      </w:r>
    </w:p>
    <w:p w:rsidR="00A31137" w:rsidRPr="00A31137" w:rsidRDefault="00A31137" w:rsidP="00A31137">
      <w:r w:rsidRPr="00A31137">
        <w:t>Mr. Koppel. Let me ask you to swivel around. And I know you wanted to acknowledge the Attorney General, who is sitting up there. If we can just do that.</w:t>
      </w:r>
    </w:p>
    <w:p w:rsidR="00A31137" w:rsidRPr="00A31137" w:rsidRDefault="00A31137" w:rsidP="00A31137">
      <w:r w:rsidRPr="00A31137">
        <w:t>Public Papers of Clinton, 1993, p.1571</w:t>
      </w:r>
    </w:p>
    <w:p w:rsidR="00A31137" w:rsidRPr="00A31137" w:rsidRDefault="00A31137" w:rsidP="00A31137">
      <w:r w:rsidRPr="00A31137">
        <w:t>The President. Say hello to Attorney General Reno. [Applause] She wanted to come home with me—you know, Janet Reno is from Florida-for two reasons. First of all, we're going to do an event tomorrow dealing with young people and crime and the costs that that imposes on our health care system, and because she also is deeply concerned about what she can do to help deal with some of the issues here. The Attorney General must enforce the Americans With Disabilities Act, for example. The Attorney General has the power to reach and deal with our young people in ways that can have a direct impact on the quality of their lives and health care in this country. So she came down here, and I'm glad she's here.</w:t>
      </w:r>
    </w:p>
    <w:p w:rsidR="00A31137" w:rsidRPr="00A31137" w:rsidRDefault="00A31137" w:rsidP="00A31137">
      <w:r w:rsidRPr="00A31137">
        <w:t>Public Papers of Clinton, 1993, p.1571</w:t>
      </w:r>
    </w:p>
    <w:p w:rsidR="00A31137" w:rsidRPr="00A31137" w:rsidRDefault="00A31137" w:rsidP="00A31137">
      <w:r w:rsidRPr="00A31137">
        <w:t>Mr. Koppel. Swivel your attention over to the left, the gentleman up there at the microphone. Go ahead, sir.</w:t>
      </w:r>
    </w:p>
    <w:p w:rsidR="00A31137" w:rsidRPr="00A31137" w:rsidRDefault="00A31137" w:rsidP="00A31137">
      <w:r w:rsidRPr="00A31137">
        <w:t>Public Papers of Clinton, 1993, p.1570</w:t>
      </w:r>
    </w:p>
    <w:p w:rsidR="00A31137" w:rsidRPr="00A31137" w:rsidRDefault="00A31137" w:rsidP="00A31137">
      <w:r w:rsidRPr="00A31137">
        <w:t>The President. Yes. sir.</w:t>
      </w:r>
    </w:p>
    <w:p w:rsidR="00A31137" w:rsidRPr="00A31137" w:rsidRDefault="00A31137" w:rsidP="00A31137">
      <w:r w:rsidRPr="00A31137">
        <w:t>Public Papers of Clinton, 1993, p.1571</w:t>
      </w:r>
    </w:p>
    <w:p w:rsidR="00A31137" w:rsidRPr="00A31137" w:rsidRDefault="00A31137" w:rsidP="00A31137">
      <w:r w:rsidRPr="00A31137">
        <w:t>Q. Good evening, Mr. President.</w:t>
      </w:r>
    </w:p>
    <w:p w:rsidR="00A31137" w:rsidRPr="00A31137" w:rsidRDefault="00A31137" w:rsidP="00A31137">
      <w:r w:rsidRPr="00A31137">
        <w:t>Public Papers of Clinton, 1993, p.1570</w:t>
      </w:r>
    </w:p>
    <w:p w:rsidR="00A31137" w:rsidRPr="00A31137" w:rsidRDefault="00A31137" w:rsidP="00A31137">
      <w:r w:rsidRPr="00A31137">
        <w:t>The President. Good evening, sir.</w:t>
      </w:r>
    </w:p>
    <w:p w:rsidR="00A31137" w:rsidRPr="00A31137" w:rsidRDefault="00A31137" w:rsidP="00A31137">
      <w:r w:rsidRPr="00A31137">
        <w:t>[A retired educator with AIDS discussed the difficulty of getting treatment under Medicaid.]</w:t>
      </w:r>
    </w:p>
    <w:p w:rsidR="00A31137" w:rsidRPr="00A31137" w:rsidRDefault="00A31137" w:rsidP="00A31137">
      <w:r w:rsidRPr="00A31137">
        <w:t>Public Papers of Clinton, 1993, p.1570</w:t>
      </w:r>
    </w:p>
    <w:p w:rsidR="00A31137" w:rsidRPr="00A31137" w:rsidRDefault="00A31137" w:rsidP="00A31137">
      <w:r w:rsidRPr="00A31137">
        <w:t>Mr. Koppel. Do me a favor, if</w:t>
      </w:r>
    </w:p>
    <w:p w:rsidR="00A31137" w:rsidRPr="00A31137" w:rsidRDefault="00A31137" w:rsidP="00A31137">
      <w:r w:rsidRPr="00A31137">
        <w:t>Public Papers of Clinton, 1993, p.1571–p.1572</w:t>
      </w:r>
    </w:p>
    <w:p w:rsidR="00A31137" w:rsidRPr="00A31137" w:rsidRDefault="00A31137" w:rsidP="00A31137">
      <w:r w:rsidRPr="00A31137">
        <w:t>The President. I know what you're—can I get to the—I know the question. First of all, there are a lot of doctors who don't treat Medicaid patients because it's an incredible paperwork hassle fooling with the Federal Government, and because often the reimbursement rates are so [p.1572] much below regular insurance reimbursement rates for Medicaid. People with AIDS at some point have to quit working, and often times don't have insurance on the job, so they quit working just so they can get Medicaid.</w:t>
      </w:r>
    </w:p>
    <w:p w:rsidR="00A31137" w:rsidRPr="00A31137" w:rsidRDefault="00A31137" w:rsidP="00A31137">
      <w:r w:rsidRPr="00A31137">
        <w:t>Public Papers of Clinton, 1993, p.1572</w:t>
      </w:r>
    </w:p>
    <w:p w:rsidR="00A31137" w:rsidRPr="00A31137" w:rsidRDefault="00A31137" w:rsidP="00A31137">
      <w:r w:rsidRPr="00A31137">
        <w:t>Two things will happen under this system that will really help you and people like you all over America. There are one million Americans that are HIV or AIDS today:</w:t>
      </w:r>
    </w:p>
    <w:p w:rsidR="00A31137" w:rsidRPr="00A31137" w:rsidRDefault="00A31137" w:rsidP="00A31137">
      <w:r w:rsidRPr="00A31137">
        <w:t>Public Papers of Clinton, 1993, p.1572</w:t>
      </w:r>
    </w:p>
    <w:p w:rsidR="00A31137" w:rsidRPr="00A31137" w:rsidRDefault="00A31137" w:rsidP="00A31137">
      <w:r w:rsidRPr="00A31137">
        <w:t>Number one, because you will be covered with health insurance while you're able to work, including a drug benefit that will make you able to work longer, along with everybody else, you will continue to have health insurance, and it won't break your employer because you'll be part of a big community pool. So your rates will be the same as everybody else. So the first thing is, more people with HIV positive will be able to work longer without bankrupting their employers.</w:t>
      </w:r>
    </w:p>
    <w:p w:rsidR="00A31137" w:rsidRPr="00A31137" w:rsidRDefault="00A31137" w:rsidP="00A31137">
      <w:r w:rsidRPr="00A31137">
        <w:t>Public Papers of Clinton, 1993, p.1572</w:t>
      </w:r>
    </w:p>
    <w:p w:rsidR="00A31137" w:rsidRPr="00A31137" w:rsidRDefault="00A31137" w:rsidP="00A31137">
      <w:r w:rsidRPr="00A31137">
        <w:t>Number two, if you do have to quit work and you go onto what we now—now the Medicaid program, it won't be a separate Medicaid program. Medicaid patients will be in these big health .alliances with self-employed people, small business people, the employees of big corporations, everybody will be in there together. Everybody will pick their plans together. And the plan will treat you just like everybody else, because the reimbursement for you will be just like everybody else, and there will be one form to fill out for you, just like everybody else. So there will no longer be an incentive or the option to turn you down. They won't even know, for all practical purposes, whether you're Medicaid or not, because you'll just be in the plan with everyone else.</w:t>
      </w:r>
    </w:p>
    <w:p w:rsidR="00A31137" w:rsidRPr="00A31137" w:rsidRDefault="00A31137" w:rsidP="00A31137">
      <w:r w:rsidRPr="00A31137">
        <w:t>Public Papers of Clinton, 1993, p.1572</w:t>
      </w:r>
    </w:p>
    <w:p w:rsidR="00A31137" w:rsidRPr="00A31137" w:rsidRDefault="00A31137" w:rsidP="00A31137">
      <w:r w:rsidRPr="00A31137">
        <w:t>That's a huge thing. It's a very important tiling.</w:t>
      </w:r>
    </w:p>
    <w:p w:rsidR="00A31137" w:rsidRPr="00A31137" w:rsidRDefault="00A31137" w:rsidP="00A31137">
      <w:r w:rsidRPr="00A31137">
        <w:t>Public Papers of Clinton, 1993, p.1570</w:t>
      </w:r>
    </w:p>
    <w:p w:rsidR="00A31137" w:rsidRPr="00A31137" w:rsidRDefault="00A31137" w:rsidP="00A31137">
      <w:r w:rsidRPr="00A31137">
        <w:t>Mr. Koppel. I told our audience before we went on the air, let me take this opportunity to tell our audience at home, we have three panels of experts: One in Boston; they're experts on public finance from Harvard's Kennedy School of Government group. In Chicago, they're practicing physicians; they're professors of medicine at the University of Chicago. And I'd like to turn now to a panel in Los Angeles. They're three experts on public health policy at UCLA.</w:t>
      </w:r>
    </w:p>
    <w:p w:rsidR="00A31137" w:rsidRPr="00A31137" w:rsidRDefault="00A31137" w:rsidP="00A31137">
      <w:r w:rsidRPr="00A31137">
        <w:t>Public Papers of Clinton, 1993, p.1572</w:t>
      </w:r>
    </w:p>
    <w:p w:rsidR="00A31137" w:rsidRPr="00A31137" w:rsidRDefault="00A31137" w:rsidP="00A31137">
      <w:r w:rsidRPr="00A31137">
        <w:t>Only one of them, if you would be kind enough, gentlemen, but I know you have some thoughts on what we've discussed thus far. And I need all the help I can get, please.</w:t>
      </w:r>
    </w:p>
    <w:p w:rsidR="00A31137" w:rsidRPr="00A31137" w:rsidRDefault="00A31137" w:rsidP="00A31137">
      <w:r w:rsidRPr="00A31137">
        <w:t>[Dr. Robert Brook praised the new health care plan's universal coverage but asked how the plan would assure quality care.]</w:t>
      </w:r>
    </w:p>
    <w:p w:rsidR="00A31137" w:rsidRPr="00A31137" w:rsidRDefault="00A31137" w:rsidP="00A31137">
      <w:r w:rsidRPr="00A31137">
        <w:t>Public Papers of Clinton, 1993, p.1572</w:t>
      </w:r>
    </w:p>
    <w:p w:rsidR="00A31137" w:rsidRPr="00A31137" w:rsidRDefault="00A31137" w:rsidP="00A31137">
      <w:r w:rsidRPr="00A31137">
        <w:t>The President. We will basically have, I think, two assurances of quality of care. First of all, the plans that will be provided and the prices that will be offered in these plans will be influenced heavily by the physicians and the other caregivers. But there will be a lot of incentive to lower cost, because your administrative cost would be so much lower.</w:t>
      </w:r>
    </w:p>
    <w:p w:rsidR="00A31137" w:rsidRPr="00A31137" w:rsidRDefault="00A31137" w:rsidP="00A31137">
      <w:r w:rsidRPr="00A31137">
        <w:t>Public Papers of Clinton, 1993, p.1572</w:t>
      </w:r>
    </w:p>
    <w:p w:rsidR="00A31137" w:rsidRPr="00A31137" w:rsidRDefault="00A31137" w:rsidP="00A31137">
      <w:r w:rsidRPr="00A31137">
        <w:t>Secondly, the National Government, as happens now with the Government in different ways, will prescribe certain quality standards, and then each State will offer information to people in these plans about not only the price of services but the outcomes.</w:t>
      </w:r>
    </w:p>
    <w:p w:rsidR="00A31137" w:rsidRPr="00A31137" w:rsidRDefault="00A31137" w:rsidP="00A31137">
      <w:r w:rsidRPr="00A31137">
        <w:t>Public Papers of Clinton, 1993, p.1572</w:t>
      </w:r>
    </w:p>
    <w:p w:rsidR="00A31137" w:rsidRPr="00A31137" w:rsidRDefault="00A31137" w:rsidP="00A31137">
      <w:r w:rsidRPr="00A31137">
        <w:t>For example, as you probably know, Pennsylvania now has a program in which they presently publicize the price of certain services and the outcomes. And it enables people to make judgments about both quality and price that they couldn't otherwise make. So we're going to give consumers more information, we're going to give professionals more capacity to figure out how to manage the system while maintaining quality, and we will have ultimately, Government standards as the guarantor of quality practice.</w:t>
      </w:r>
    </w:p>
    <w:p w:rsidR="00A31137" w:rsidRPr="00A31137" w:rsidRDefault="00A31137" w:rsidP="00A31137">
      <w:r w:rsidRPr="00A31137">
        <w:t>Public Papers of Clinton, 1993, p.1572</w:t>
      </w:r>
    </w:p>
    <w:p w:rsidR="00A31137" w:rsidRPr="00A31137" w:rsidRDefault="00A31137" w:rsidP="00A31137">
      <w:r w:rsidRPr="00A31137">
        <w:t>Mr. Koppel. Go ahead, Doctor, if you want to make one more quick comment. Then we've got to go to a break.</w:t>
      </w:r>
    </w:p>
    <w:p w:rsidR="00A31137" w:rsidRPr="00A31137" w:rsidRDefault="00A31137" w:rsidP="00A31137">
      <w:r w:rsidRPr="00A31137">
        <w:t>[Dr. Brook asked about flexibility to allow different family numbers to receive care from different medical sources. ]</w:t>
      </w:r>
    </w:p>
    <w:p w:rsidR="00A31137" w:rsidRPr="00A31137" w:rsidRDefault="00A31137" w:rsidP="00A31137">
      <w:r w:rsidRPr="00A31137">
        <w:t>Public Papers of Clinton, 1993, p.1572</w:t>
      </w:r>
    </w:p>
    <w:p w:rsidR="00A31137" w:rsidRPr="00A31137" w:rsidRDefault="00A31137" w:rsidP="00A31137">
      <w:r w:rsidRPr="00A31137">
        <w:t>The President. That's a good question. Let me try to answer it. First of all, every person will have at least three choices. Most people will have more choices, but every person will have at least three. And so let me try to say what they would be.</w:t>
      </w:r>
    </w:p>
    <w:p w:rsidR="00A31137" w:rsidRPr="00A31137" w:rsidRDefault="00A31137" w:rsidP="00A31137">
      <w:r w:rsidRPr="00A31137">
        <w:t>Public Papers of Clinton, 1993, p.1572</w:t>
      </w:r>
    </w:p>
    <w:p w:rsidR="00A31137" w:rsidRPr="00A31137" w:rsidRDefault="00A31137" w:rsidP="00A31137">
      <w:r w:rsidRPr="00A31137">
        <w:t>You can choose to stay in a traditional fee-for-service medicine. That is, you pick your doctor, and they charge you by the service. That may be more expensive, but it may not be if big networks of doctors get together to offer these services together. In that case, you would have a cardiologist and a pediatrician working together.</w:t>
      </w:r>
    </w:p>
    <w:p w:rsidR="00A31137" w:rsidRPr="00A31137" w:rsidRDefault="00A31137" w:rsidP="00A31137">
      <w:r w:rsidRPr="00A31137">
        <w:t>Public Papers of Clinton, 1993, p.1572–p.1573</w:t>
      </w:r>
    </w:p>
    <w:p w:rsidR="00A31137" w:rsidRPr="00A31137" w:rsidRDefault="00A31137" w:rsidP="00A31137">
      <w:r w:rsidRPr="00A31137">
        <w:t>Secondly, you could go into what's called a "preferred provider organization" which is normally an organization that is organized by health care managers but that have all kinds of specialists [p.1573] in them.</w:t>
      </w:r>
    </w:p>
    <w:p w:rsidR="00A31137" w:rsidRPr="00A31137" w:rsidRDefault="00A31137" w:rsidP="00A31137">
      <w:r w:rsidRPr="00A31137">
        <w:t>Public Papers of Clinton, 1993, p.1573</w:t>
      </w:r>
    </w:p>
    <w:p w:rsidR="00A31137" w:rsidRPr="00A31137" w:rsidRDefault="00A31137" w:rsidP="00A31137">
      <w:r w:rsidRPr="00A31137">
        <w:t>Thirdly, you can go into an HMO which will have a range of specialists, but it'll be a closed panel. That is, the people that work there will be on salary. So you may not have the specialists you want.</w:t>
      </w:r>
    </w:p>
    <w:p w:rsidR="00A31137" w:rsidRPr="00A31137" w:rsidRDefault="00A31137" w:rsidP="00A31137">
      <w:r w:rsidRPr="00A31137">
        <w:t>Public Papers of Clinton, 1993, p.1573</w:t>
      </w:r>
    </w:p>
    <w:p w:rsidR="00A31137" w:rsidRPr="00A31137" w:rsidRDefault="00A31137" w:rsidP="00A31137">
      <w:r w:rsidRPr="00A31137">
        <w:t>In the first two cases, you'll probably be able to do exactly what you want for the price that you pay up front. In the third case, if you're in an HMO, you'll still be able—if you say, "Look, my child is really sick, and I want this child to see a pediatrician who is not in this HMO who is in another State," you'll still be able to go to that other State, but that pediatrician will be reimbursed by your insurance plan only at the rate that the HMO pediatrician will be reimbursed, then you would pay the difference. But that plan will be the cheapest, so you'll come out about the same, no matter what.</w:t>
      </w:r>
    </w:p>
    <w:p w:rsidR="00A31137" w:rsidRPr="00A31137" w:rsidRDefault="00A31137" w:rsidP="00A31137">
      <w:r w:rsidRPr="00A31137">
        <w:t>Public Papers of Clinton, 1993, p.1573</w:t>
      </w:r>
    </w:p>
    <w:p w:rsidR="00A31137" w:rsidRPr="00A31137" w:rsidRDefault="00A31137" w:rsidP="00A31137">
      <w:r w:rsidRPr="00A31137">
        <w:t>Mr. Koppel. We're going to take another short break.</w:t>
      </w:r>
    </w:p>
    <w:p w:rsidR="00A31137" w:rsidRPr="00A31137" w:rsidRDefault="00A31137" w:rsidP="00A31137">
      <w:r w:rsidRPr="00A31137">
        <w:t>Public Papers of Clinton, 1993, p.1573</w:t>
      </w:r>
    </w:p>
    <w:p w:rsidR="00A31137" w:rsidRPr="00A31137" w:rsidRDefault="00A31137" w:rsidP="00A31137">
      <w:r w:rsidRPr="00A31137">
        <w:t>The President. Least expensive. I don't like that word "cheap." [Laughter]</w:t>
      </w:r>
    </w:p>
    <w:p w:rsidR="00A31137" w:rsidRPr="00A31137" w:rsidRDefault="00A31137" w:rsidP="00A31137">
      <w:r w:rsidRPr="00A31137">
        <w:t>[At this point, the network took a commercial break.]</w:t>
      </w:r>
    </w:p>
    <w:p w:rsidR="00A31137" w:rsidRPr="00A31137" w:rsidRDefault="00A31137" w:rsidP="00A31137">
      <w:r w:rsidRPr="00A31137">
        <w:t>Public Papers of Clinton, 1993, p.1573</w:t>
      </w:r>
    </w:p>
    <w:p w:rsidR="00A31137" w:rsidRPr="00A31137" w:rsidRDefault="00A31137" w:rsidP="00A31137">
      <w:r w:rsidRPr="00A31137">
        <w:t>Mr. Koppel. Now, you see the results of that poll. New taxes to pay for the heath plan, you were being a little bit cagey in your speech last night. You were saying no broad-based taxes—</w:t>
      </w:r>
    </w:p>
    <w:p w:rsidR="00A31137" w:rsidRPr="00A31137" w:rsidRDefault="00A31137" w:rsidP="00A31137">
      <w:r w:rsidRPr="00A31137">
        <w:t>Public Papers of Clinton, 1993, p.1573</w:t>
      </w:r>
    </w:p>
    <w:p w:rsidR="00A31137" w:rsidRPr="00A31137" w:rsidRDefault="00A31137" w:rsidP="00A31137">
      <w:r w:rsidRPr="00A31137">
        <w:t>The President. That's right.</w:t>
      </w:r>
    </w:p>
    <w:p w:rsidR="00A31137" w:rsidRPr="00A31137" w:rsidRDefault="00A31137" w:rsidP="00A31137">
      <w:r w:rsidRPr="00A31137">
        <w:t>Public Papers of Clinton, 1993, p.1573</w:t>
      </w:r>
    </w:p>
    <w:p w:rsidR="00A31137" w:rsidRPr="00A31137" w:rsidRDefault="00A31137" w:rsidP="00A31137">
      <w:r w:rsidRPr="00A31137">
        <w:t>Mr. Koppel. You are going to have taxes on cigarettes. You haven't yet decided whether you're going to have taxes on alcohol, liquor.</w:t>
      </w:r>
    </w:p>
    <w:p w:rsidR="00A31137" w:rsidRPr="00A31137" w:rsidRDefault="00A31137" w:rsidP="00A31137">
      <w:r w:rsidRPr="00A31137">
        <w:t>Public Papers of Clinton, 1993, p.1573</w:t>
      </w:r>
    </w:p>
    <w:p w:rsidR="00A31137" w:rsidRPr="00A31137" w:rsidRDefault="00A31137" w:rsidP="00A31137">
      <w:r w:rsidRPr="00A31137">
        <w:t>The President. But let me tell you what-[applause]. I know you all have a lot of questions. Let me just make some general points about this. Our analysis shows—and let me say, we have consulted with health care finance experts in Fortune 500 companies, in big accounting firms. We have talked to everybody we can talk to who have dealt with the health system for years. They believe that if we can get the kind of savings we know are there—keep in mind, in the American health care system, we spend 10 cents on the dollar more on paperwork. That's more than $80 billion a year more than any other country, a dime on the dollar more just on shuffling paper. If we can get the savings that I talked about last night, they believe that 63 percent of Americans that have heath insurance will pay the same or less for the same or better coverage, that the people that have virtually no insurance but just a skeleton policy will pay a little more, and that young single workers, because they'll go into community ratings with people who are older and sicker, will pay about $6 more a month. Now, that's what they think. Why?</w:t>
      </w:r>
    </w:p>
    <w:p w:rsidR="00A31137" w:rsidRPr="00A31137" w:rsidRDefault="00A31137" w:rsidP="00A31137">
      <w:r w:rsidRPr="00A31137">
        <w:t>Public Papers of Clinton, 1993, p.1573</w:t>
      </w:r>
    </w:p>
    <w:p w:rsidR="00A31137" w:rsidRPr="00A31137" w:rsidRDefault="00A31137" w:rsidP="00A31137">
      <w:r w:rsidRPr="00A31137">
        <w:t>With only a modest—I mean, a cigarette tax, not modest but a little under $1—and a fee on the big corporations who opt out of the system and continue to self-employ</w:t>
      </w:r>
    </w:p>
    <w:p w:rsidR="00A31137" w:rsidRPr="00A31137" w:rsidRDefault="00A31137" w:rsidP="00A31137">
      <w:r w:rsidRPr="00A31137">
        <w:t>Public Papers of Clinton, 1993, p.1573</w:t>
      </w:r>
    </w:p>
    <w:p w:rsidR="00A31137" w:rsidRPr="00A31137" w:rsidRDefault="00A31137" w:rsidP="00A31137">
      <w:r w:rsidRPr="00A31137">
        <w:t>Mr. Koppel. You haven't decided on alcohol yet</w:t>
      </w:r>
    </w:p>
    <w:p w:rsidR="00A31137" w:rsidRPr="00A31137" w:rsidRDefault="00A31137" w:rsidP="00A31137">
      <w:r w:rsidRPr="00A31137">
        <w:t>Public Papers of Clinton, 1993, p.1573</w:t>
      </w:r>
    </w:p>
    <w:p w:rsidR="00A31137" w:rsidRPr="00A31137" w:rsidRDefault="00A31137" w:rsidP="00A31137">
      <w:r w:rsidRPr="00A31137">
        <w:t>The President. Self-insure.</w:t>
      </w:r>
    </w:p>
    <w:p w:rsidR="00A31137" w:rsidRPr="00A31137" w:rsidRDefault="00A31137" w:rsidP="00A31137">
      <w:r w:rsidRPr="00A31137">
        <w:t>Public Papers of Clinton, 1993, p.1573</w:t>
      </w:r>
    </w:p>
    <w:p w:rsidR="00A31137" w:rsidRPr="00A31137" w:rsidRDefault="00A31137" w:rsidP="00A31137">
      <w:r w:rsidRPr="00A31137">
        <w:t>Mr. Koppel.  whether to put a tax on it.</w:t>
      </w:r>
    </w:p>
    <w:p w:rsidR="00A31137" w:rsidRPr="00A31137" w:rsidRDefault="00A31137" w:rsidP="00A31137">
      <w:r w:rsidRPr="00A31137">
        <w:t>Public Papers of Clinton, 1993, p.1573</w:t>
      </w:r>
    </w:p>
    <w:p w:rsidR="00A31137" w:rsidRPr="00A31137" w:rsidRDefault="00A31137" w:rsidP="00A31137">
      <w:r w:rsidRPr="00A31137">
        <w:t>The President. No, I don't think it's necessary. Our numbers show that with a cigarette tax and if the big employers who opt out of the system because we let them self-insure, they should be asked to pay a little more, because they should pay for medical education, the health education centers, the preventive care networks, all the things that all the rest of us will pay for in our premiums.</w:t>
      </w:r>
    </w:p>
    <w:p w:rsidR="00A31137" w:rsidRPr="00A31137" w:rsidRDefault="00A31137" w:rsidP="00A31137">
      <w:r w:rsidRPr="00A31137">
        <w:t>Public Papers of Clinton, 1993, p.1573</w:t>
      </w:r>
    </w:p>
    <w:p w:rsidR="00A31137" w:rsidRPr="00A31137" w:rsidRDefault="00A31137" w:rsidP="00A31137">
      <w:r w:rsidRPr="00A31137">
        <w:t>They still, by the way, will be big winners. Their premiums will drop a lot anyway, because big employers are paying way too much now because they're bearing the cost of the uninsured. That is, when people who are uninsured get real sick, they get health care, and then the rest of us pay the bill in higher hospital bills and higher insurance premiums. So we think that the larger employer fee plus the cigarette tax plus the savings, plus—keep in mind—requiring the people who are presently uninsured, but employed, and their employers to pay something, that those things will pay for it. I don't think we should raise a big general tax on people to pay for the uninsured when most people are paying too much for their insurance already. Keep in mind, 63 percent of the people under this plan will pay the same or less for the same or better coverage.</w:t>
      </w:r>
    </w:p>
    <w:p w:rsidR="00A31137" w:rsidRPr="00A31137" w:rsidRDefault="00A31137" w:rsidP="00A31137">
      <w:r w:rsidRPr="00A31137">
        <w:t>Public Papers of Clinton, 1993, p.1573</w:t>
      </w:r>
    </w:p>
    <w:p w:rsidR="00A31137" w:rsidRPr="00A31137" w:rsidRDefault="00A31137" w:rsidP="00A31137">
      <w:r w:rsidRPr="00A31137">
        <w:t>Mr. Koppel. You know that much of the criticism is coming from small businessmen. I know because this gentleman came up and asked a question before the program started. Co ahead, sir, and ask it. If you'd be good enough to identify yourself, too.</w:t>
      </w:r>
    </w:p>
    <w:p w:rsidR="00A31137" w:rsidRPr="00A31137" w:rsidRDefault="00A31137" w:rsidP="00A31137">
      <w:r w:rsidRPr="00A31137">
        <w:t>[A small business owner paying 4 percent of payroll for health insurance asked about coverage for dependents of his 10 employees. ]</w:t>
      </w:r>
    </w:p>
    <w:p w:rsidR="00A31137" w:rsidRPr="00A31137" w:rsidRDefault="00A31137" w:rsidP="00A31137">
      <w:r w:rsidRPr="00A31137">
        <w:t>Public Papers of Clinton, 1993, p.1573–p.1574</w:t>
      </w:r>
    </w:p>
    <w:p w:rsidR="00A31137" w:rsidRPr="00A31137" w:rsidRDefault="00A31137" w:rsidP="00A31137">
      <w:r w:rsidRPr="00A31137">
        <w:t>The President. First of all, let me ask you a question. How many of your employees have [p.1574] a spouse which also works?</w:t>
      </w:r>
    </w:p>
    <w:p w:rsidR="00A31137" w:rsidRPr="00A31137" w:rsidRDefault="00A31137" w:rsidP="00A31137">
      <w:r w:rsidRPr="00A31137">
        <w:t>Public Papers of Clinton, 1993, p.1574</w:t>
      </w:r>
    </w:p>
    <w:p w:rsidR="00A31137" w:rsidRPr="00A31137" w:rsidRDefault="00A31137" w:rsidP="00A31137">
      <w:r w:rsidRPr="00A31137">
        <w:t>Q. Three.</w:t>
      </w:r>
    </w:p>
    <w:p w:rsidR="00A31137" w:rsidRPr="00A31137" w:rsidRDefault="00A31137" w:rsidP="00A31137">
      <w:r w:rsidRPr="00A31137">
        <w:t>Public Papers of Clinton, 1993, p.1574</w:t>
      </w:r>
    </w:p>
    <w:p w:rsidR="00A31137" w:rsidRPr="00A31137" w:rsidRDefault="00A31137" w:rsidP="00A31137">
      <w:r w:rsidRPr="00A31137">
        <w:t>The President. Okay. Then, here's the short answer. The seven, you will have to provide a family plan under mine; the three which have spouses at work, they will be able to decide whether you or the other employer, they'll take the children's coverage, because they'll pay more, too, keep in mind.</w:t>
      </w:r>
    </w:p>
    <w:p w:rsidR="00A31137" w:rsidRPr="00A31137" w:rsidRDefault="00A31137" w:rsidP="00A31137">
      <w:r w:rsidRPr="00A31137">
        <w:t>Public Papers of Clinton, 1993, p.1574</w:t>
      </w:r>
    </w:p>
    <w:p w:rsidR="00A31137" w:rsidRPr="00A31137" w:rsidRDefault="00A31137" w:rsidP="00A31137">
      <w:r w:rsidRPr="00A31137">
        <w:t>Now, because you are a small business person with under 50 employees, you will be eligible for a discount that could take your premiums as low as 3.5 percent of payroll, even for the family coverage. So in all probability, you will be paying about what you're paying now, even though you will be covering seven families at a minimum, in addition to the seven employees. Because, the way we set this up—in other words, we understand, and let me go back a second—we went out and interviewed hundreds of small businesses. And my Small Business Administrator took the lead in this. He's from North Carolina, and he's spent the last 20 years of his life starting small businesses.</w:t>
      </w:r>
    </w:p>
    <w:p w:rsidR="00A31137" w:rsidRPr="00A31137" w:rsidRDefault="00A31137" w:rsidP="00A31137">
      <w:r w:rsidRPr="00A31137">
        <w:t>Public Papers of Clinton, 1993, p.1574</w:t>
      </w:r>
    </w:p>
    <w:p w:rsidR="00A31137" w:rsidRPr="00A31137" w:rsidRDefault="00A31137" w:rsidP="00A31137">
      <w:r w:rsidRPr="00A31137">
        <w:t>So we were in a real dilemma here, because small businesses who cover their employees have premiums going up at roughly twice the rate that other people's premiums are going up. There's a 35 percent difference now between small business premiums and big business premiums. And I don't know what you cover, but basically that's the rule. One-third of the small businesses in America, according to a representative poll recently, said they were going to drop all their coverage if somebody didn't do something to stop the rate of cost increase.</w:t>
      </w:r>
    </w:p>
    <w:p w:rsidR="00A31137" w:rsidRPr="00A31137" w:rsidRDefault="00A31137" w:rsidP="00A31137">
      <w:r w:rsidRPr="00A31137">
        <w:t>Public Papers of Clinton, 1993, p.1574</w:t>
      </w:r>
    </w:p>
    <w:p w:rsidR="00A31137" w:rsidRPr="00A31137" w:rsidRDefault="00A31137" w:rsidP="00A31137">
      <w:r w:rsidRPr="00A31137">
        <w:t>So the only way to stop the rate of cost increase is to get everybody covered, and then put them in these big groups, so you can have the same market forces working for you that big businesses do. But it's not fair for me to put you out of business, because small businesses are also creating most of the new jobs in America. So that's why we've got the discount system. Part of what we're going to do with the money we're going to raise is to fund a discount system for people with fewer than 50 employees, so you won't have to pay the 7.9 percent of payroll, and you may pay as little as 3.5 percent. In all probability, because you only have 10 employees, you'll pay almost exactly what you do now, and you'll get more coverage for it.</w:t>
      </w:r>
    </w:p>
    <w:p w:rsidR="00A31137" w:rsidRPr="00A31137" w:rsidRDefault="00A31137" w:rsidP="00A31137">
      <w:r w:rsidRPr="00A31137">
        <w:t>Public Papers of Clinton, 1993, p.1574</w:t>
      </w:r>
    </w:p>
    <w:p w:rsidR="00A31137" w:rsidRPr="00A31137" w:rsidRDefault="00A31137" w:rsidP="00A31137">
      <w:r w:rsidRPr="00A31137">
        <w:t>Mr. Koppel. Let me just ask you quickly, though. Right now, paying 4 percent on 10 people, you're saying 3.5 percent. He would then have to pay the 3.5 percent on all the dependents, other than the three who are working. The President. No, it's 3.5 percent of the pay-roll of his employees.  So he  would  pay about—</w:t>
      </w:r>
    </w:p>
    <w:p w:rsidR="00A31137" w:rsidRPr="00A31137" w:rsidRDefault="00A31137" w:rsidP="00A31137">
      <w:r w:rsidRPr="00A31137">
        <w:t>Public Papers of Clinton, 1993, p.1574</w:t>
      </w:r>
    </w:p>
    <w:p w:rsidR="00A31137" w:rsidRPr="00A31137" w:rsidRDefault="00A31137" w:rsidP="00A31137">
      <w:r w:rsidRPr="00A31137">
        <w:t>Mr. Koppel. Total?</w:t>
      </w:r>
    </w:p>
    <w:p w:rsidR="00A31137" w:rsidRPr="00A31137" w:rsidRDefault="00A31137" w:rsidP="00A31137">
      <w:r w:rsidRPr="00A31137">
        <w:t>Public Papers of Clinton, 1993, p.1574</w:t>
      </w:r>
    </w:p>
    <w:p w:rsidR="00A31137" w:rsidRPr="00A31137" w:rsidRDefault="00A31137" w:rsidP="00A31137">
      <w:r w:rsidRPr="00A31137">
        <w:t>The President. Correct. He would pay about what he's paying now. Because he's a small business person, there would be a discount for his premiums.</w:t>
      </w:r>
    </w:p>
    <w:p w:rsidR="00A31137" w:rsidRPr="00A31137" w:rsidRDefault="00A31137" w:rsidP="00A31137">
      <w:r w:rsidRPr="00A31137">
        <w:t>Public Papers of Clinton, 1993, p.1574</w:t>
      </w:r>
    </w:p>
    <w:p w:rsidR="00A31137" w:rsidRPr="00A31137" w:rsidRDefault="00A31137" w:rsidP="00A31137">
      <w:r w:rsidRPr="00A31137">
        <w:t>Mr. Koppel. Okay. Does that answer your question? We've got to take another break; we'll be back in a moment.</w:t>
      </w:r>
    </w:p>
    <w:p w:rsidR="00A31137" w:rsidRPr="00A31137" w:rsidRDefault="00A31137" w:rsidP="00A31137">
      <w:r w:rsidRPr="00A31137">
        <w:t>[The network took a commercial break. ]</w:t>
      </w:r>
    </w:p>
    <w:p w:rsidR="00A31137" w:rsidRPr="00A31137" w:rsidRDefault="00A31137" w:rsidP="00A31137">
      <w:r w:rsidRPr="00A31137">
        <w:t>Public Papers of Clinton, 1993, p.1574</w:t>
      </w:r>
    </w:p>
    <w:p w:rsidR="00A31137" w:rsidRPr="00A31137" w:rsidRDefault="00A31137" w:rsidP="00A31137">
      <w:r w:rsidRPr="00A31137">
        <w:t>Mr. Koppel. And let us get right to the questions again. Mr. President, if I could ask you to swivel around. We have a question back there also on money from a larger employer.</w:t>
      </w:r>
    </w:p>
    <w:p w:rsidR="00A31137" w:rsidRPr="00A31137" w:rsidRDefault="00A31137" w:rsidP="00A31137">
      <w:r w:rsidRPr="00A31137">
        <w:t>[An IBM employee asked about the plan's effect on large businesses which self-insure.]</w:t>
      </w:r>
    </w:p>
    <w:p w:rsidR="00A31137" w:rsidRPr="00A31137" w:rsidRDefault="00A31137" w:rsidP="00A31137">
      <w:r w:rsidRPr="00A31137">
        <w:t>Public Papers of Clinton, 1993, p.1574</w:t>
      </w:r>
    </w:p>
    <w:p w:rsidR="00A31137" w:rsidRPr="00A31137" w:rsidRDefault="00A31137" w:rsidP="00A31137">
      <w:r w:rsidRPr="00A31137">
        <w:t>The President. Well, actually, the biggest companies in the country are the ones most likely to benefit from this, because they are actually-even though they're self-insuring. When you self-insure, if you're big, the good news is that you acquire market power, and you can normally keep your rates from going up as fast as they otherwise would. The bad news is, you're still paying part of the costs of uncompensated care. That is, people are shifting the cost to you.</w:t>
      </w:r>
    </w:p>
    <w:p w:rsidR="00A31137" w:rsidRPr="00A31137" w:rsidRDefault="00A31137" w:rsidP="00A31137">
      <w:r w:rsidRPr="00A31137">
        <w:t>Public Papers of Clinton, 1993, p.1574</w:t>
      </w:r>
    </w:p>
    <w:p w:rsidR="00A31137" w:rsidRPr="00A31137" w:rsidRDefault="00A31137" w:rsidP="00A31137">
      <w:r w:rsidRPr="00A31137">
        <w:t>We estimate that for a company like IBM that self-insures, you will save, the company will save on premiums, for whatever you're doing now, you'll save about $10 a month an employee tinder our system, which is a huge amount, simply by stopping the cost shifting to IBM, with no change in the benefits. No, you can keep on doing exactly what you're doing.</w:t>
      </w:r>
    </w:p>
    <w:p w:rsidR="00A31137" w:rsidRPr="00A31137" w:rsidRDefault="00A31137" w:rsidP="00A31137">
      <w:r w:rsidRPr="00A31137">
        <w:t>Public Papers of Clinton, 1993, p.1574</w:t>
      </w:r>
    </w:p>
    <w:p w:rsidR="00A31137" w:rsidRPr="00A31137" w:rsidRDefault="00A31137" w:rsidP="00A31137">
      <w:r w:rsidRPr="00A31137">
        <w:t>Now, let me just give you an example of how it can get even bigger. For companies that have huge cost shifts and big retiree burdens like the big auto companies and the big steel companies, they will save even more.</w:t>
      </w:r>
    </w:p>
    <w:p w:rsidR="00A31137" w:rsidRPr="00A31137" w:rsidRDefault="00A31137" w:rsidP="00A31137">
      <w:r w:rsidRPr="00A31137">
        <w:t>Public Papers of Clinton, 1993, p.1574–p.1575</w:t>
      </w:r>
    </w:p>
    <w:p w:rsidR="00A31137" w:rsidRPr="00A31137" w:rsidRDefault="00A31137" w:rsidP="00A31137">
      <w:r w:rsidRPr="00A31137">
        <w:t>But the people that will be least affected by this are big companies with over 5,000 employees that choose to continue to serf-insure. You will, however, benefit by the increased competition of the system. What I want everybody else to do is to have the benefits that IBM has. You won't lose anything. Xerox has cut their [p.1575] costs by $1,000 an employee a year through better managed care without taking anything away from the employees. And we think we can do that for all Americans.</w:t>
      </w:r>
    </w:p>
    <w:p w:rsidR="00A31137" w:rsidRPr="00A31137" w:rsidRDefault="00A31137" w:rsidP="00A31137">
      <w:r w:rsidRPr="00A31137">
        <w:t>Public Papers of Clinton, 1993, p.1575</w:t>
      </w:r>
    </w:p>
    <w:p w:rsidR="00A31137" w:rsidRPr="00A31137" w:rsidRDefault="00A31137" w:rsidP="00A31137">
      <w:r w:rsidRPr="00A31137">
        <w:t>Mr. Koppel. Mr. President, let me be the doubting Thomas for a moment. Big companies are going to save money. The little businesses are going to save money. The 37 million people who you say are underinsured or uninsured right now—</w:t>
      </w:r>
    </w:p>
    <w:p w:rsidR="00A31137" w:rsidRPr="00A31137" w:rsidRDefault="00A31137" w:rsidP="00A31137">
      <w:r w:rsidRPr="00A31137">
        <w:t>Public Papers of Clinton, 1993, p.1575</w:t>
      </w:r>
    </w:p>
    <w:p w:rsidR="00A31137" w:rsidRPr="00A31137" w:rsidRDefault="00A31137" w:rsidP="00A31137">
      <w:r w:rsidRPr="00A31137">
        <w:t>The President. They'll pay more.</w:t>
      </w:r>
    </w:p>
    <w:p w:rsidR="00A31137" w:rsidRPr="00A31137" w:rsidRDefault="00A31137" w:rsidP="00A31137">
      <w:r w:rsidRPr="00A31137">
        <w:t>Public Papers of Clinton, 1993, p.1575</w:t>
      </w:r>
    </w:p>
    <w:p w:rsidR="00A31137" w:rsidRPr="00A31137" w:rsidRDefault="00A31137" w:rsidP="00A31137">
      <w:r w:rsidRPr="00A31137">
        <w:t>Mr. Koppel. They'll pay more, but they're going to be insured for the first time. Everybody's going to be better off—</w:t>
      </w:r>
    </w:p>
    <w:p w:rsidR="00A31137" w:rsidRPr="00A31137" w:rsidRDefault="00A31137" w:rsidP="00A31137">
      <w:r w:rsidRPr="00A31137">
        <w:t>Public Papers of Clinton, 1993, p.1575</w:t>
      </w:r>
    </w:p>
    <w:p w:rsidR="00A31137" w:rsidRPr="00A31137" w:rsidRDefault="00A31137" w:rsidP="00A31137">
      <w:r w:rsidRPr="00A31137">
        <w:t>The President. No, not everybody.</w:t>
      </w:r>
    </w:p>
    <w:p w:rsidR="00A31137" w:rsidRPr="00A31137" w:rsidRDefault="00A31137" w:rsidP="00A31137">
      <w:r w:rsidRPr="00A31137">
        <w:t>Public Papers of Clinton, 1993, p.1575</w:t>
      </w:r>
    </w:p>
    <w:p w:rsidR="00A31137" w:rsidRPr="00A31137" w:rsidRDefault="00A31137" w:rsidP="00A31137">
      <w:r w:rsidRPr="00A31137">
        <w:t>Mr. Koppel. Who's not going to be better off?.</w:t>
      </w:r>
    </w:p>
    <w:p w:rsidR="00A31137" w:rsidRPr="00A31137" w:rsidRDefault="00A31137" w:rsidP="00A31137">
      <w:r w:rsidRPr="00A31137">
        <w:t>Public Papers of Clinton, 1993, p.1575</w:t>
      </w:r>
    </w:p>
    <w:p w:rsidR="00A31137" w:rsidRPr="00A31137" w:rsidRDefault="00A31137" w:rsidP="00A31137">
      <w:r w:rsidRPr="00A31137">
        <w:t>The President. Well, let me just say this. In the long run everybody will be better off if we bring health care inflation down to the regular rates of inflation.</w:t>
      </w:r>
    </w:p>
    <w:p w:rsidR="00A31137" w:rsidRPr="00A31137" w:rsidRDefault="00A31137" w:rsidP="00A31137">
      <w:r w:rsidRPr="00A31137">
        <w:t>Public Papers of Clinton, 1993, p.1575</w:t>
      </w:r>
    </w:p>
    <w:p w:rsidR="00A31137" w:rsidRPr="00A31137" w:rsidRDefault="00A31137" w:rsidP="00A31137">
      <w:r w:rsidRPr="00A31137">
        <w:t>Mr. Koppel. Who is going to get hurt in the short term?</w:t>
      </w:r>
    </w:p>
    <w:p w:rsidR="00A31137" w:rsidRPr="00A31137" w:rsidRDefault="00A31137" w:rsidP="00A31137">
      <w:r w:rsidRPr="00A31137">
        <w:t>Public Papers of Clinton, 1993, p.1575</w:t>
      </w:r>
    </w:p>
    <w:p w:rsidR="00A31137" w:rsidRPr="00A31137" w:rsidRDefault="00A31137" w:rsidP="00A31137">
      <w:r w:rsidRPr="00A31137">
        <w:t>The President. The following people will get less money, or will pay more: single, healthy workers who are insured in big plans now so they have low costs because they're at least risk, will pay more. They'll pay about 86 a month apiece more to help to cover that gentleman up there with AIDS or older people, just who get older, it costs more. They'll pay more. People who provide only the scantiest catastrophic illness—for example, I met a man, a man came into my office in the White House today with a group of folks, who travels with an entertainment group. He's got a $5,000 deductible with a modest income. He might as well not have any insurance. Now, he'll have to pay a little more, but he'll have something when he pays it.</w:t>
      </w:r>
    </w:p>
    <w:p w:rsidR="00A31137" w:rsidRPr="00A31137" w:rsidRDefault="00A31137" w:rsidP="00A31137">
      <w:r w:rsidRPr="00A31137">
        <w:t>Public Papers of Clinton, 1993, p.1575</w:t>
      </w:r>
    </w:p>
    <w:p w:rsidR="00A31137" w:rsidRPr="00A31137" w:rsidRDefault="00A31137" w:rsidP="00A31137">
      <w:r w:rsidRPr="00A31137">
        <w:t>People that don't pay anything now will have to pay more if they have jobs, and their employer will have to pay something, although we're going to try to keep the small businesses from being hurt too badly. All those people will pay more.</w:t>
      </w:r>
    </w:p>
    <w:p w:rsidR="00A31137" w:rsidRPr="00A31137" w:rsidRDefault="00A31137" w:rsidP="00A31137">
      <w:r w:rsidRPr="00A31137">
        <w:t>Public Papers of Clinton, 1993, p.1575</w:t>
      </w:r>
    </w:p>
    <w:p w:rsidR="00A31137" w:rsidRPr="00A31137" w:rsidRDefault="00A31137" w:rsidP="00A31137">
      <w:r w:rsidRPr="00A31137">
        <w:t>Who will get less under this system? You've got to squeeze—somebody's got to get less. Who will get less? The people who benefit from the paperwork explosion will get less. Hospitals in the future will hire fewer clerical workers, doctors' offices won't have to hire an extra person just to spend all day long calling insurance companies, beating up on them to pay the money that they owe anyway. Insurance companies will not grow as rapidly, and there may be fewer of them unless they can get in here and provide these plans at competitive costs. So that's the major squeeze in the management of the system.</w:t>
      </w:r>
    </w:p>
    <w:p w:rsidR="00A31137" w:rsidRPr="00A31137" w:rsidRDefault="00A31137" w:rsidP="00A31137">
      <w:r w:rsidRPr="00A31137">
        <w:t>Public Papers of Clinton, 1993, p.1575</w:t>
      </w:r>
    </w:p>
    <w:p w:rsidR="00A31137" w:rsidRPr="00A31137" w:rsidRDefault="00A31137" w:rsidP="00A31137">
      <w:r w:rsidRPr="00A31137">
        <w:t>There will also he savings, frankly, in the provision of services. We had, in the Pennsylvania case I just cited, they published a heart procedure where the prices charged in the State of Pennsylvania varied from $21,000 to $84,000 for the same procedure, with no differences in health outcomes. When all of you get into big groups so that you have the power that the IBM employees rio, you will take the $21,000 choice every time as long as there's no difference in the outcome.</w:t>
      </w:r>
    </w:p>
    <w:p w:rsidR="00A31137" w:rsidRPr="00A31137" w:rsidRDefault="00A31137" w:rsidP="00A31137">
      <w:r w:rsidRPr="00A31137">
        <w:t>Public Papers of Clinton, 1993, p.1575</w:t>
      </w:r>
    </w:p>
    <w:p w:rsidR="00A31137" w:rsidRPr="00A31137" w:rsidRDefault="00A31137" w:rsidP="00A31137">
      <w:r w:rsidRPr="00A31137">
        <w:t>And so, everybody there, there will be some losers. But, on balance, most Americans will win, and the security is worth something. And then, over the long rim, we'll all win if we can bring health costs closer to inflation.</w:t>
      </w:r>
    </w:p>
    <w:p w:rsidR="00A31137" w:rsidRPr="00A31137" w:rsidRDefault="00A31137" w:rsidP="00A31137">
      <w:r w:rsidRPr="00A31137">
        <w:t>Public Papers of Clinton, 1993, p.1575</w:t>
      </w:r>
    </w:p>
    <w:p w:rsidR="00A31137" w:rsidRPr="00A31137" w:rsidRDefault="00A31137" w:rsidP="00A31137">
      <w:r w:rsidRPr="00A31137">
        <w:t>Mr. Koppel. Let me direct your attention to the balcony up there. Go ahead, sir.</w:t>
      </w:r>
    </w:p>
    <w:p w:rsidR="00A31137" w:rsidRPr="00A31137" w:rsidRDefault="00A31137" w:rsidP="00A31137">
      <w:r w:rsidRPr="00A31137">
        <w:t>[A participant asked about the effect of a tobacco tax on the tobacco industry.]</w:t>
      </w:r>
    </w:p>
    <w:p w:rsidR="00A31137" w:rsidRPr="00A31137" w:rsidRDefault="00A31137" w:rsidP="00A31137">
      <w:r w:rsidRPr="00A31137">
        <w:t>Public Papers of Clinton, 1993, p.1575</w:t>
      </w:r>
    </w:p>
    <w:p w:rsidR="00A31137" w:rsidRPr="00A31137" w:rsidRDefault="00A31137" w:rsidP="00A31137">
      <w:r w:rsidRPr="00A31137">
        <w:t>The President. Arguably, if we raise the tax, it will reduce consumption. But the answer to your question is, I don't think it's right to have a big, broad tax—I'll say again: tax everybody in America, most of whom are paying too much for what they've got to pay for those who haven't paid anything. I don't think that's right when there are savings. So, we didn't in the beginning know if there would be any tax. But we wound up with a gap in what we think the program will cost in the early years, for about 5 years before it starts to get big savings by the way, and what we had. And we had to figure out bow best to make it up. And I thought that a tobacco tax and a tax on the biggest companies who will get big benefits out of this, a modest one just to make sure they contribute, as I said, to medical education, to medical research, and to preventive services like everybody else will, that those were the two fairest ways to get it.</w:t>
      </w:r>
    </w:p>
    <w:p w:rsidR="00A31137" w:rsidRPr="00A31137" w:rsidRDefault="00A31137" w:rsidP="00A31137">
      <w:r w:rsidRPr="00A31137">
        <w:t>Public Papers of Clinton, 1993, p.1575–p.1576</w:t>
      </w:r>
    </w:p>
    <w:p w:rsidR="00A31137" w:rsidRPr="00A31137" w:rsidRDefault="00A31137" w:rsidP="00A31137">
      <w:r w:rsidRPr="00A31137">
        <w:t>And the truth is that smoking is one thing-unlike drinking, for example, where it's a terrible thing if you do it to excess—we know that there is some risk in any level of it and that it imposes enormous extra costs on the health care system which the rest of us have to pay. So it seemed to me that that was a fair way to get some money.</w:t>
      </w:r>
    </w:p>
    <w:p w:rsidR="00A31137" w:rsidRPr="00A31137" w:rsidRDefault="00A31137" w:rsidP="00A31137">
      <w:r w:rsidRPr="00A31137">
        <w:t>Public Papers of Clinton, 1993, p.1576</w:t>
      </w:r>
    </w:p>
    <w:p w:rsidR="00A31137" w:rsidRPr="00A31137" w:rsidRDefault="00A31137" w:rsidP="00A31137">
      <w:r w:rsidRPr="00A31137">
        <w:t>Mr. Koppel. Mr. President, I want to take advantage of one of our experts again, this time in public finance up at the Kennedy School in Harvard. Mr. Forsythe, would you go ahead, please?</w:t>
      </w:r>
    </w:p>
    <w:p w:rsidR="00A31137" w:rsidRPr="00A31137" w:rsidRDefault="00A31137" w:rsidP="00A31137">
      <w:r w:rsidRPr="00A31137">
        <w:t>[Dell Forsythe expressed concern about job losses' in the health industry. ]</w:t>
      </w:r>
    </w:p>
    <w:p w:rsidR="00A31137" w:rsidRPr="00A31137" w:rsidRDefault="00A31137" w:rsidP="00A31137">
      <w:r w:rsidRPr="00A31137">
        <w:t>Public Papers of Clinton, 1993, p.1576</w:t>
      </w:r>
    </w:p>
    <w:p w:rsidR="00A31137" w:rsidRPr="00A31137" w:rsidRDefault="00A31137" w:rsidP="00A31137">
      <w:r w:rsidRPr="00A31137">
        <w:t>The President. There will also be job gains in the health industry. There will be hundreds of thousands of new jobs in people providing borne health care, in other kinds of preventive and primary care, so that we think even within the health industry, the job gains in direct health care providers will offset the job losses in clerical work.</w:t>
      </w:r>
    </w:p>
    <w:p w:rsidR="00A31137" w:rsidRPr="00A31137" w:rsidRDefault="00A31137" w:rsidP="00A31137">
      <w:r w:rsidRPr="00A31137">
        <w:t>Public Papers of Clinton, 1993, p.1576</w:t>
      </w:r>
    </w:p>
    <w:p w:rsidR="00A31137" w:rsidRPr="00A31137" w:rsidRDefault="00A31137" w:rsidP="00A31137">
      <w:r w:rsidRPr="00A31137">
        <w:t>Secondly, there are bound to be job gains when you lower the payroll costs that a lot of major employers are paying today. You give them more money that they will either use to give their employees pay increases, and I might say millions of people in this country have foregone any pay increases for the last 4 or 5 years, because the pay increases have gone into higher medical costs. So you're either going to have more folks hired or pay increases going back to employees for the first time. So we believe there will be a net economic benefit by shifting the way this money is spent. I don't think that all investments are equal, and I think since you're going to shift the way money is spent, and we're not going to cut, keep in mind, we are not cutting spending on health care. America at the end of 5 years will still be spending 40 percent more than any other country, maybe even a little more. But we're going to spend the money differently in ways that we think will produce more jobs, not fewer jobs.</w:t>
      </w:r>
    </w:p>
    <w:p w:rsidR="00A31137" w:rsidRPr="00A31137" w:rsidRDefault="00A31137" w:rsidP="00A31137">
      <w:r w:rsidRPr="00A31137">
        <w:t>Public Papers of Clinton, 1993, p.1576</w:t>
      </w:r>
    </w:p>
    <w:p w:rsidR="00A31137" w:rsidRPr="00A31137" w:rsidRDefault="00A31137" w:rsidP="00A31137">
      <w:r w:rsidRPr="00A31137">
        <w:t>Mr. Koppel. Let me just see if I can slip one more question in. We've only got about a minute and half left. Where is the lady who was at the microphone? You'll see—right over there. Go ahead.</w:t>
      </w:r>
    </w:p>
    <w:p w:rsidR="00A31137" w:rsidRPr="00A31137" w:rsidRDefault="00A31137" w:rsidP="00A31137">
      <w:r w:rsidRPr="00A31137">
        <w:t>[A participant asked whether a doctor or an insurance company would decide when to discharge a patient from the hospital. ]</w:t>
      </w:r>
    </w:p>
    <w:p w:rsidR="00A31137" w:rsidRPr="00A31137" w:rsidRDefault="00A31137" w:rsidP="00A31137">
      <w:r w:rsidRPr="00A31137">
        <w:t>Public Papers of Clinton, 1993, p.1576</w:t>
      </w:r>
    </w:p>
    <w:p w:rsidR="00A31137" w:rsidRPr="00A31137" w:rsidRDefault="00A31137" w:rsidP="00A31137">
      <w:r w:rsidRPr="00A31137">
        <w:t>Mr. Koppel. We've got 1 minute, Mr. President.</w:t>
      </w:r>
    </w:p>
    <w:p w:rsidR="00A31137" w:rsidRPr="00A31137" w:rsidRDefault="00A31137" w:rsidP="00A31137">
      <w:r w:rsidRPr="00A31137">
        <w:t>Public Papers of Clinton, 1993, p.1576</w:t>
      </w:r>
    </w:p>
    <w:p w:rsidR="00A31137" w:rsidRPr="00A31137" w:rsidRDefault="00A31137" w:rsidP="00A31137">
      <w:r w:rsidRPr="00A31137">
        <w:t>The President. The doctor, the doctor will make the decision. The coverage will be comprehensive, and the doctor will make the decision. Can I say one thing real quick? I want to make a specific point here. A lot of people have coverage that have lifetime limits. That is, they look real generous, but if you run up to a certain dollar amount, it's gone. Another real benefit of this—and the only way you can guarantee real security is to say there are no lifetime limits, you just have the coverage—and again, I know it's connterintuitive—a lot of people just don't believe you can ever save money on anything. But all I can tell you is that every doctor and every health care expert that we have ever consuited who has really studied this believes that there are billions and billions of dollars of savings which can be made that will enhance the quality of care, not undermine it. And that's what I urge you—I don't ask you to just take my word for it, just watch the debate unfold and listen to the people who have spent their lives working at this do it.</w:t>
      </w:r>
    </w:p>
    <w:p w:rsidR="00A31137" w:rsidRPr="00A31137" w:rsidRDefault="00A31137" w:rsidP="00A31137">
      <w:r w:rsidRPr="00A31137">
        <w:t>Public Papers of Clinton, 1993, p.1576</w:t>
      </w:r>
    </w:p>
    <w:p w:rsidR="00A31137" w:rsidRPr="00A31137" w:rsidRDefault="00A31137" w:rsidP="00A31137">
      <w:r w:rsidRPr="00A31137">
        <w:t>Mr. Koppel. Mr. President, on that note, we've got to take one more quick break, and then I'll come back with a program note. This program is going to be going on but in another form. I'll tell you about that in a moment.</w:t>
      </w:r>
    </w:p>
    <w:p w:rsidR="00A31137" w:rsidRPr="00A31137" w:rsidRDefault="00A31137" w:rsidP="00A31137">
      <w:r w:rsidRPr="00A31137">
        <w:t>[The network took a commercial break.]</w:t>
      </w:r>
    </w:p>
    <w:p w:rsidR="00A31137" w:rsidRPr="00A31137" w:rsidRDefault="00A31137" w:rsidP="00A31137">
      <w:r w:rsidRPr="00A31137">
        <w:t>Public Papers of Clinton, 1993, p.1576</w:t>
      </w:r>
    </w:p>
    <w:p w:rsidR="00A31137" w:rsidRPr="00A31137" w:rsidRDefault="00A31137" w:rsidP="00A31137">
      <w:r w:rsidRPr="00A31137">
        <w:t>Mr. Koppel. We're just about out of time now in our prime time segment. But I do want to make a quick program note. First of all, the President has indicated he wants to amend one of the answers that he gave before. We don't have enough time to do that here and now, but we will be back after your local news. Most of the country will be taking it at 11:35 p.m. Eastern Time. And the President has agreed to stay with us on an open-ended basis. Now, that means, I guess, until he gets tired or you get tired or we all get tired.</w:t>
      </w:r>
    </w:p>
    <w:p w:rsidR="00A31137" w:rsidRPr="00A31137" w:rsidRDefault="00A31137" w:rsidP="00A31137">
      <w:r w:rsidRPr="00A31137">
        <w:t>[Following the 11 p.m. news, the town meeting broadcast resumed.]</w:t>
      </w:r>
    </w:p>
    <w:p w:rsidR="00A31137" w:rsidRPr="00A31137" w:rsidRDefault="00A31137" w:rsidP="00A31137">
      <w:r w:rsidRPr="00A31137">
        <w:t>Public Papers of Clinton, 1993, p.1576</w:t>
      </w:r>
    </w:p>
    <w:p w:rsidR="00A31137" w:rsidRPr="00A31137" w:rsidRDefault="00A31137" w:rsidP="00A31137">
      <w:r w:rsidRPr="00A31137">
        <w:t>Mr. Koppel. Good evening, ladies and gentlemen. Those of you who were with us in prime time know what we're up to. Those who are just joining you now in our regular "Nightline" slot, let me point out that this is a special openended edition of "Nightline." Obviously, you recognize the gentleman to my immediate left, the President of the United States, who has been answering questions from a wide variety of the thousand-odd people or so that we have with us here in Tampa, Florida.</w:t>
      </w:r>
    </w:p>
    <w:p w:rsidR="00A31137" w:rsidRPr="00A31137" w:rsidRDefault="00A31137" w:rsidP="00A31137">
      <w:r w:rsidRPr="00A31137">
        <w:t>Public Papers of Clinton, 1993, p.1576–p.1577</w:t>
      </w:r>
    </w:p>
    <w:p w:rsidR="00A31137" w:rsidRPr="00A31137" w:rsidRDefault="00A31137" w:rsidP="00A31137">
      <w:r w:rsidRPr="00A31137">
        <w:t>And, Mr. President, if you don't mind, we'll get right back to the questions. There are a [p.1577] couple of things I know you want to pick up from the last program. We'll do that in a couple of minutes. Go ahead, sir.</w:t>
      </w:r>
    </w:p>
    <w:p w:rsidR="00A31137" w:rsidRPr="00A31137" w:rsidRDefault="00A31137" w:rsidP="00A31137">
      <w:r w:rsidRPr="00A31137">
        <w:t>[A participant asked what to do about the overwhelming medical bills' from his daughter's surgery.]</w:t>
      </w:r>
    </w:p>
    <w:p w:rsidR="00A31137" w:rsidRPr="00A31137" w:rsidRDefault="00A31137" w:rsidP="00A31137">
      <w:r w:rsidRPr="00A31137">
        <w:t>Public Papers of Clinton, 1993, p.1577</w:t>
      </w:r>
    </w:p>
    <w:p w:rsidR="00A31137" w:rsidRPr="00A31137" w:rsidRDefault="00A31137" w:rsidP="00A31137">
      <w:r w:rsidRPr="00A31137">
        <w:t>The President. Well, first of all, I don't think there could be a better case for changing the present system. What I think will happen before we have a change is that if your daughter has to have surgery next year, they'll probably do it, and do a good job, and that stack of bills will get higher and somehow the costs will just be spread among everybody else until we fix this system.</w:t>
      </w:r>
    </w:p>
    <w:p w:rsidR="00A31137" w:rsidRPr="00A31137" w:rsidRDefault="00A31137" w:rsidP="00A31137">
      <w:r w:rsidRPr="00A31137">
        <w:t>Public Papers of Clinton, 1993, p.1577</w:t>
      </w:r>
    </w:p>
    <w:p w:rsidR="00A31137" w:rsidRPr="00A31137" w:rsidRDefault="00A31137" w:rsidP="00A31137">
      <w:r w:rsidRPr="00A31137">
        <w:t>But let me tell you what would happen if the proposal that I have made were law now. First of all, as a self-employed person, you would be able to buy a health insurance policy for your family, even though your daughter has previously been sick, on the same terms as other self-employed people. And instead of that policy being totally out of your reach, you would be able to buy it more or less on the same terms as other small business people, because we would put you and the farmers and the other self-employed people into a big pool like everybody else. So you would be able to take advantage of an economy of scale. So you'd be able to buy a more affordable policy.</w:t>
      </w:r>
    </w:p>
    <w:p w:rsidR="00A31137" w:rsidRPr="00A31137" w:rsidRDefault="00A31137" w:rsidP="00A31137">
      <w:r w:rsidRPr="00A31137">
        <w:t>Public Papers of Clinton, 1993, p.1577</w:t>
      </w:r>
    </w:p>
    <w:p w:rsidR="00A31137" w:rsidRPr="00A31137" w:rsidRDefault="00A31137" w:rsidP="00A31137">
      <w:r w:rsidRPr="00A31137">
        <w:t>Secondly, because you're self-employed, you'd get a 100 percent deduction on your taxes for it. Today, you only get a 25 percent reduction. So it would be lower costs, comprehensive benefits, you couldn't be denied coverage because your daughter had a terrible problem, and you'd have 100 percent deductibility. That's one of the reasons we ask single, young people to pay a little more. But all those single, young people will be in your situation, too, someday, if they're fortunate.</w:t>
      </w:r>
    </w:p>
    <w:p w:rsidR="00A31137" w:rsidRPr="00A31137" w:rsidRDefault="00A31137" w:rsidP="00A31137">
      <w:r w:rsidRPr="00A31137">
        <w:t>Public Papers of Clinton, 1993, p.1577</w:t>
      </w:r>
    </w:p>
    <w:p w:rsidR="00A31137" w:rsidRPr="00A31137" w:rsidRDefault="00A31137" w:rsidP="00A31137">
      <w:r w:rsidRPr="00A31137">
        <w:t>I wish I had an answer for you right now. I don't. The answer right now is for the hospital to just step right up to the plate and the doctor and do what they did last time until we get this thing fixed. Once we get it fixed, then you won't be in this position again.</w:t>
      </w:r>
    </w:p>
    <w:p w:rsidR="00A31137" w:rsidRPr="00A31137" w:rsidRDefault="00A31137" w:rsidP="00A31137">
      <w:r w:rsidRPr="00A31137">
        <w:t>Public Papers of Clinton, 1993, p.1577</w:t>
      </w:r>
    </w:p>
    <w:p w:rsidR="00A31137" w:rsidRPr="00A31137" w:rsidRDefault="00A31137" w:rsidP="00A31137">
      <w:r w:rsidRPr="00A31137">
        <w:t>Q. Her pediatrician, Dr. Augustine Martin, knows that he's not getting paid for this, and he knows it but he's taking care of her, and he's not even worried about that, which is great.</w:t>
      </w:r>
    </w:p>
    <w:p w:rsidR="00A31137" w:rsidRPr="00A31137" w:rsidRDefault="00A31137" w:rsidP="00A31137">
      <w:r w:rsidRPr="00A31137">
        <w:t>Public Papers of Clinton, 1993, p.1577</w:t>
      </w:r>
    </w:p>
    <w:p w:rsidR="00A31137" w:rsidRPr="00A31137" w:rsidRDefault="00A31137" w:rsidP="00A31137">
      <w:r w:rsidRPr="00A31137">
        <w:t>The President. I'm really glad you said that, because we heard a sad story here before about doctors who wouldn't take Medicaid patients, which leaves the patients out in the cold, although Medicaid is a real pain. But for every case like that, there's a case like this. And those doctors need our thanks.</w:t>
      </w:r>
    </w:p>
    <w:p w:rsidR="00A31137" w:rsidRPr="00A31137" w:rsidRDefault="00A31137" w:rsidP="00A31137">
      <w:r w:rsidRPr="00A31137">
        <w:t>Q. Yes.</w:t>
      </w:r>
    </w:p>
    <w:p w:rsidR="00A31137" w:rsidRPr="00A31137" w:rsidRDefault="00A31137" w:rsidP="00A31137">
      <w:r w:rsidRPr="00A31137">
        <w:t>Public Papers of Clinton, 1993, p.1577</w:t>
      </w:r>
    </w:p>
    <w:p w:rsidR="00A31137" w:rsidRPr="00A31137" w:rsidRDefault="00A31137" w:rsidP="00A31137">
      <w:r w:rsidRPr="00A31137">
        <w:t>Mr. Koppel. Mr. President, we've got so many people who want to talk to you here. We want to move over there to the wheelchair section. Go ahead, sir, please.</w:t>
      </w:r>
    </w:p>
    <w:p w:rsidR="00A31137" w:rsidRPr="00A31137" w:rsidRDefault="00A31137" w:rsidP="00A31137">
      <w:r w:rsidRPr="00A31137">
        <w:t>[A participant described the fear disabled people have of losing Medicare and Medicaid benefits' if they are employed.]</w:t>
      </w:r>
    </w:p>
    <w:p w:rsidR="00A31137" w:rsidRPr="00A31137" w:rsidRDefault="00A31137" w:rsidP="00A31137">
      <w:r w:rsidRPr="00A31137">
        <w:t>Public Papers of Clinton, 1993, p.1577</w:t>
      </w:r>
    </w:p>
    <w:p w:rsidR="00A31137" w:rsidRPr="00A31137" w:rsidRDefault="00A31137" w:rsidP="00A31137">
      <w:r w:rsidRPr="00A31137">
        <w:t>The President. First of all, by providing insurante to everyone based on a community-based rating, we would never put an employer in the position of saying, "I'd like to hire you, but you're disabled and something terrible might happen to you. And if I had to take care of it on my insurance, my premiums will go up 40 percent the next year, and I'd have to drop you anyway. So I can't do it," which is basically what happens now. A lot of disabled people are going basically to waste in our country because they could be gainfully employed, they could be making major contributions, and they're not hired because people either can't get insurance for them or because they're afraid it will bankrupt them.</w:t>
      </w:r>
    </w:p>
    <w:p w:rsidR="00A31137" w:rsidRPr="00A31137" w:rsidRDefault="00A31137" w:rsidP="00A31137">
      <w:r w:rsidRPr="00A31137">
        <w:t>Public Papers of Clinton, 1993, p.1577</w:t>
      </w:r>
    </w:p>
    <w:p w:rsidR="00A31137" w:rsidRPr="00A31137" w:rsidRDefault="00A31137" w:rsidP="00A31137">
      <w:r w:rsidRPr="00A31137">
        <w:t>Under our system, you'd be just like any other American citizen. You would pick a plan, you would go into it, and because of the community rating system, you would be insured. And therefore, there would never be a disincentive for an employer to hire you. And you would always have that insurance.</w:t>
      </w:r>
    </w:p>
    <w:p w:rsidR="00A31137" w:rsidRPr="00A31137" w:rsidRDefault="00A31137" w:rsidP="00A31137">
      <w:r w:rsidRPr="00A31137">
        <w:t>Public Papers of Clinton, 1993, p.1577</w:t>
      </w:r>
    </w:p>
    <w:p w:rsidR="00A31137" w:rsidRPr="00A31137" w:rsidRDefault="00A31137" w:rsidP="00A31137">
      <w:r w:rsidRPr="00A31137">
        <w:t>And if you needed supporting services, even at work as we build in these long-term care services, we'll be able to have not only longterm care in the home, but some support services associated with people who work. That will save this country a lot of money over the long run, because you're going to have a lot of folks who don't work now working.</w:t>
      </w:r>
    </w:p>
    <w:p w:rsidR="00A31137" w:rsidRPr="00A31137" w:rsidRDefault="00A31137" w:rsidP="00A31137">
      <w:r w:rsidRPr="00A31137">
        <w:t>Public Papers of Clinton, 1993, p.1577–p.1578</w:t>
      </w:r>
    </w:p>
    <w:p w:rsidR="00A31137" w:rsidRPr="00A31137" w:rsidRDefault="00A31137" w:rsidP="00A31137">
      <w:r w:rsidRPr="00A31137">
        <w:t>But there are a lot of people who are disabled, as you know, who are on Medicaid only because they couldn't get private health insurance as workers. And just like this man who just talked to us over here about his daughter, there are people in this country who have quit their jobs and gone onto welfare and drawn Medicaid only because of the illness of their children. So that's something the disabled population [p.1578] has in common with people like him. That will never happen again. People will be able to keep working. It's very important.</w:t>
      </w:r>
    </w:p>
    <w:p w:rsidR="00A31137" w:rsidRPr="00A31137" w:rsidRDefault="00A31137" w:rsidP="00A31137">
      <w:r w:rsidRPr="00A31137">
        <w:t>Public Papers of Clinton, 1993, p.1578</w:t>
      </w:r>
    </w:p>
    <w:p w:rsidR="00A31137" w:rsidRPr="00A31137" w:rsidRDefault="00A31137" w:rsidP="00A31137">
      <w:r w:rsidRPr="00A31137">
        <w:t>Mr. Koppel. Mr. President, we're going to have to take another quick break. When we come back, though, we've got a public policy expert lip at Harvard who is just seething at some of the numbers. He wants to have at you. And I know you want to correct a couple of things or at least make an amendment to a couple of things that you said in our prime time segment. So we have all of that ahead of us when we come back in just a moment.</w:t>
      </w:r>
    </w:p>
    <w:p w:rsidR="00A31137" w:rsidRPr="00A31137" w:rsidRDefault="00A31137" w:rsidP="00A31137">
      <w:r w:rsidRPr="00A31137">
        <w:t>[The network took a commercial break..]</w:t>
      </w:r>
    </w:p>
    <w:p w:rsidR="00A31137" w:rsidRPr="00A31137" w:rsidRDefault="00A31137" w:rsidP="00A31137">
      <w:r w:rsidRPr="00A31137">
        <w:t>Public Papers of Clinton, 1993, p.1578</w:t>
      </w:r>
    </w:p>
    <w:p w:rsidR="00A31137" w:rsidRPr="00A31137" w:rsidRDefault="00A31137" w:rsidP="00A31137">
      <w:r w:rsidRPr="00A31137">
        <w:t>Mr. Koppel. That's another one of our poll restults, Mr. President: What will happen to your quality of health care? Twenty-seven percent think it's going to get better, 27 percent think it's going to get worse, and 42 percent think it's going to stay the same. You've obviously got some missionary work to do there. Do you want to comment on that poll and then get to the amendments, to what you wanted to correct?</w:t>
      </w:r>
    </w:p>
    <w:p w:rsidR="00A31137" w:rsidRPr="00A31137" w:rsidRDefault="00A31137" w:rsidP="00A31137">
      <w:r w:rsidRPr="00A31137">
        <w:t>Public Papers of Clinton, 1993, p.1578</w:t>
      </w:r>
    </w:p>
    <w:p w:rsidR="00A31137" w:rsidRPr="00A31137" w:rsidRDefault="00A31137" w:rsidP="00A31137">
      <w:r w:rsidRPr="00A31137">
        <w:t>The President. Sure. I don't blame anybody for thinking that, because while Americans know more about their own health care than almost any other subject, most of us have never had a chance to learn anything about how the system as a whole works. So it's against our common experience to believe that you can get more and pay the same or less, or that if you control costs, you won't have to give up something really valuable for it. That's against our common experience. But if you study the system, you'll find that we have, literally—I'll say again—just in paperwork alone, a dime on the dollar more waste in our system than any other system in the world, that we have more variations in prices with no differences in outcomes than any other system in the world, that there are all kinds of waste in this system that can be managed down.</w:t>
      </w:r>
    </w:p>
    <w:p w:rsidR="00A31137" w:rsidRPr="00A31137" w:rsidRDefault="00A31137" w:rsidP="00A31137">
      <w:r w:rsidRPr="00A31137">
        <w:t>Public Papers of Clinton, 1993, p.1578</w:t>
      </w:r>
    </w:p>
    <w:p w:rsidR="00A31137" w:rsidRPr="00A31137" w:rsidRDefault="00A31137" w:rsidP="00A31137">
      <w:r w:rsidRPr="00A31137">
        <w:t>You don't have to take my word for it. I saw what those folks said, but let me just give you one example. The Mayo Clinic, we would all agree that they have pretty good heath care, wouldn't we? I mean, their inflation is 3.9 percent this year; that's less than half the medical rate of inflation in the country. And I could give you lots of other examples of plans with very high consumer satisfaction where people are very happy with what they have and where they have squeezed out massive amounts of waste with no loss of quality. And so, that's what this debate ought to be about. I want that debate.</w:t>
      </w:r>
    </w:p>
    <w:p w:rsidR="00A31137" w:rsidRPr="00A31137" w:rsidRDefault="00A31137" w:rsidP="00A31137">
      <w:r w:rsidRPr="00A31137">
        <w:t>Public Papers of Clinton, 1993, p.1578</w:t>
      </w:r>
    </w:p>
    <w:p w:rsidR="00A31137" w:rsidRPr="00A31137" w:rsidRDefault="00A31137" w:rsidP="00A31137">
      <w:r w:rsidRPr="00A31137">
        <w:t>Remember what I said last night? The first thing is security, simplicity, savings, choice, quality, and responsibility. If we give up quality, the rest of this stuff won't happen, because you can't have security without quality. So we'll debate it, but I'm telling you, the more you study this, the more you become convinced that we can achieve these savings.</w:t>
      </w:r>
    </w:p>
    <w:p w:rsidR="00A31137" w:rsidRPr="00A31137" w:rsidRDefault="00A31137" w:rsidP="00A31137">
      <w:r w:rsidRPr="00A31137">
        <w:t>Public Papers of Clinton, 1993, p.1578</w:t>
      </w:r>
    </w:p>
    <w:p w:rsidR="00A31137" w:rsidRPr="00A31137" w:rsidRDefault="00A31137" w:rsidP="00A31137">
      <w:r w:rsidRPr="00A31137">
        <w:t>Mr. Koppel. President Clinton, we've got a public policy expert, John White, sitting up at the Kennedy School in Harvard. Am I misstating it, Mr. White, when I say that you don't think the figures add rip?</w:t>
      </w:r>
    </w:p>
    <w:p w:rsidR="00A31137" w:rsidRPr="00A31137" w:rsidRDefault="00A31137" w:rsidP="00A31137">
      <w:r w:rsidRPr="00A31137">
        <w:t>[John White asked why the plan did not phase in benefits more slowly.]</w:t>
      </w:r>
    </w:p>
    <w:p w:rsidR="00A31137" w:rsidRPr="00A31137" w:rsidRDefault="00A31137" w:rsidP="00A31137">
      <w:r w:rsidRPr="00A31137">
        <w:t>Public Papers of Clinton, 1993, p.1578</w:t>
      </w:r>
    </w:p>
    <w:p w:rsidR="00A31137" w:rsidRPr="00A31137" w:rsidRDefault="00A31137" w:rsidP="00A31137">
      <w:r w:rsidRPr="00A31137">
        <w:t>The President. Let me answer that. First of all, the benefits that we don't phase in, basically the benefits that we start with in 1996 that are new, are primarily two: First of all, the preventive and primary services, you know, the PAP smears, the mammograms, the well-baby care, all those things, we believe that those achieve net savings fairly quickly, and almost all medical experts do. That is the relevantly low-cost, relatively quick benefits. The other major costs are the drug benefits. We provide prescription drug benefits in all health care plans, and for Medicare clients as well as Medicaid ones because there are so many older people who aren't poor enough to be on Medicaid but have huge drug bills. Now, that will cost more.</w:t>
      </w:r>
    </w:p>
    <w:p w:rsidR="00A31137" w:rsidRPr="00A31137" w:rsidRDefault="00A31137" w:rsidP="00A31137">
      <w:r w:rsidRPr="00A31137">
        <w:t>Public Papers of Clinton, 1993, p.1578</w:t>
      </w:r>
    </w:p>
    <w:p w:rsidR="00A31137" w:rsidRPr="00A31137" w:rsidRDefault="00A31137" w:rsidP="00A31137">
      <w:r w:rsidRPr="00A31137">
        <w:t>We went around, John, to all the people we could tinct who knew something about pharmaceutical costs and tried to pick a high figure. That is, we didn't try to lowball the cost of the drug benefit. And then, we believe that the money we're raising from cigarettes and from the fees on big corporations will cover that, and we believe that we have—all the other benefits will be phased from '96 forward over a 5-6-year period, and we believe during that time period, we'll be able to achieve these savings.</w:t>
      </w:r>
    </w:p>
    <w:p w:rsidR="00A31137" w:rsidRPr="00A31137" w:rsidRDefault="00A31137" w:rsidP="00A31137">
      <w:r w:rsidRPr="00A31137">
        <w:t>Public Papers of Clinton, 1993, p.1578–p.1579</w:t>
      </w:r>
    </w:p>
    <w:p w:rsidR="00A31137" w:rsidRPr="00A31137" w:rsidRDefault="00A31137" w:rsidP="00A31137">
      <w:r w:rsidRPr="00A31137">
        <w:t xml:space="preserve">Now, I believe this is another decision that the Congress will have to make. But I believe that having the universal coverage—that is, getting everybody insured by '96—is critical to the savings because that's what enables people to get basic care early rather than have care when it's too expensive only at the emergency room. [p.1579] </w:t>
      </w:r>
    </w:p>
    <w:p w:rsidR="00A31137" w:rsidRPr="00A31137" w:rsidRDefault="00A31137" w:rsidP="00A31137">
      <w:r w:rsidRPr="00A31137">
        <w:t>[Mr. White suggested that the system should ensure that cost savings were in place before benefits were pitt in place.]</w:t>
      </w:r>
    </w:p>
    <w:p w:rsidR="00A31137" w:rsidRPr="00A31137" w:rsidRDefault="00A31137" w:rsidP="00A31137">
      <w:r w:rsidRPr="00A31137">
        <w:t>Public Papers of Clinton, 1993, p.1579</w:t>
      </w:r>
    </w:p>
    <w:p w:rsidR="00A31137" w:rsidRPr="00A31137" w:rsidRDefault="00A31137" w:rsidP="00A31137">
      <w:r w:rsidRPr="00A31137">
        <w:t>The President. I agree with that, except for the two examples I mentioned. But let me make another comment. One of the things I've asked the Congress to do is to work with me to construct a system that, in effect, has to be monitored closely every year and adjusted if the money doesn't work out right. We cannot afford to aggravate the problems we already have. But if you look, John, at the cost estimates we have, even under our plan, even under our plan we project heath care costs to go from 14 percent to over 17 percent of our income between now and the year 2000. We'll still be spending a lot more than any other country. I think we'll have more savings than we estimated. But I agree, and I want to just say this about the point he made. All of us have to be prepared to face the consequences if the cost savings don't materialize. And I don't want to sign a bill, and I don't have any intention of signing a bill that doesn't at least have the process built in that I recommended. If something happens and they don't materialize, then we're going to either have to slow down the benefits or raise more money. I don't think it will happen, but he's right. And that's why we've got to phase these things in carefully so it doesn't get away from us.</w:t>
      </w:r>
    </w:p>
    <w:p w:rsidR="00A31137" w:rsidRPr="00A31137" w:rsidRDefault="00A31137" w:rsidP="00A31137">
      <w:r w:rsidRPr="00A31137">
        <w:t>[The network took a commercial break.]</w:t>
      </w:r>
    </w:p>
    <w:p w:rsidR="00A31137" w:rsidRPr="00A31137" w:rsidRDefault="00A31137" w:rsidP="00A31137">
      <w:r w:rsidRPr="00A31137">
        <w:t>Public Papers of Clinton, 1993, p.1579</w:t>
      </w:r>
    </w:p>
    <w:p w:rsidR="00A31137" w:rsidRPr="00A31137" w:rsidRDefault="00A31137" w:rsidP="00A31137">
      <w:r w:rsidRPr="00A31137">
        <w:t>Mr. Koppel. Let me just explain two things to you. First of all, those of you who are watching "Nightline," we just kept going after our 10 o'clock show, which ended at 11 Eastern time, and began taping so that we could save time. So technically what you're seeing right now is on tape, but we are still here live talking and it's going to go on in an open-ended fashion now.</w:t>
      </w:r>
    </w:p>
    <w:p w:rsidR="00A31137" w:rsidRPr="00A31137" w:rsidRDefault="00A31137" w:rsidP="00A31137">
      <w:r w:rsidRPr="00A31137">
        <w:t>Public Papers of Clinton, 1993, p.1579</w:t>
      </w:r>
    </w:p>
    <w:p w:rsidR="00A31137" w:rsidRPr="00A31137" w:rsidRDefault="00A31137" w:rsidP="00A31137">
      <w:r w:rsidRPr="00A31137">
        <w:t>At the end of our live segment, the prime time segment, there was a lady up there who asked you a question and you gave her a very quick answer. It was a question having to do with whether doctors or insurance companies were going to decide when you have received adequate care at a hospital.</w:t>
      </w:r>
    </w:p>
    <w:p w:rsidR="00A31137" w:rsidRPr="00A31137" w:rsidRDefault="00A31137" w:rsidP="00A31137">
      <w:r w:rsidRPr="00A31137">
        <w:t>Public Papers of Clinton, 1993, p.1579</w:t>
      </w:r>
    </w:p>
    <w:p w:rsidR="00A31137" w:rsidRPr="00A31137" w:rsidRDefault="00A31137" w:rsidP="00A31137">
      <w:r w:rsidRPr="00A31137">
        <w:t>The President. That's correct.</w:t>
      </w:r>
    </w:p>
    <w:p w:rsidR="00A31137" w:rsidRPr="00A31137" w:rsidRDefault="00A31137" w:rsidP="00A31137">
      <w:r w:rsidRPr="00A31137">
        <w:t>Public Papers of Clinton, 1993, p.1579</w:t>
      </w:r>
    </w:p>
    <w:p w:rsidR="00A31137" w:rsidRPr="00A31137" w:rsidRDefault="00A31137" w:rsidP="00A31137">
      <w:r w:rsidRPr="00A31137">
        <w:t>Q. You said under your plan, the doctor would decide.</w:t>
      </w:r>
    </w:p>
    <w:p w:rsidR="00A31137" w:rsidRPr="00A31137" w:rsidRDefault="00A31137" w:rsidP="00A31137">
      <w:r w:rsidRPr="00A31137">
        <w:t>Public Papers of Clinton, 1993, p.1579</w:t>
      </w:r>
    </w:p>
    <w:p w:rsidR="00A31137" w:rsidRPr="00A31137" w:rsidRDefault="00A31137" w:rsidP="00A31137">
      <w:r w:rsidRPr="00A31137">
        <w:t>The President. That's correct. There are two questions that were asked that I want to clarify. One is the lady said, "Who decides when I leave the hospital, the doctor or the insurance company?" And I said the doctor. That is right with one exception. Keep in mind what I said. Mental health benefits tinder this plan cover limited hospital stays until the year 2000. With that single exception, the doctor decides.</w:t>
      </w:r>
    </w:p>
    <w:p w:rsidR="00A31137" w:rsidRPr="00A31137" w:rsidRDefault="00A31137" w:rsidP="00A31137">
      <w:r w:rsidRPr="00A31137">
        <w:t>Public Papers of Clinton, 1993, p.1579</w:t>
      </w:r>
    </w:p>
    <w:p w:rsidR="00A31137" w:rsidRPr="00A31137" w:rsidRDefault="00A31137" w:rsidP="00A31137">
      <w:r w:rsidRPr="00A31137">
        <w:t>The second point I want to make: You remember the gentleman who stood up over here and said he had 10 employees and he paid 4 percent of payroll, and what was going to happen. And I said he'd pay about the same amount. I want to clarify that in a couple of ways.</w:t>
      </w:r>
    </w:p>
    <w:p w:rsidR="00A31137" w:rsidRPr="00A31137" w:rsidRDefault="00A31137" w:rsidP="00A31137">
      <w:r w:rsidRPr="00A31137">
        <w:t>Public Papers of Clinton, 1993, p.1579</w:t>
      </w:r>
    </w:p>
    <w:p w:rsidR="00A31137" w:rsidRPr="00A31137" w:rsidRDefault="00A31137" w:rsidP="00A31137">
      <w:r w:rsidRPr="00A31137">
        <w:t>Number one, you're eligible for a subsidy if you have fewer than 50 employees. But you don't get the subsidy on employees with incomes of over $24,000. Almost all small businesses have incomes less. So I want to make it clear. So we're actually trying—before the end of the show, we should be able to tell him exactly what his rate will be. But let's say, for example, he had to go up to 5 percent or 6 percent from 4—got more generous benefits-two other things would happen which might make it a good deal for him anyway. Number one, we're going to fold in the health care costs of workers' comp into this system, and the health care costs of workers' comp have been going up even more than regular health care costs for most businesses.</w:t>
      </w:r>
    </w:p>
    <w:p w:rsidR="00A31137" w:rsidRPr="00A31137" w:rsidRDefault="00A31137" w:rsidP="00A31137">
      <w:r w:rsidRPr="00A31137">
        <w:t>Public Papers of Clinton, 1993, p.1579</w:t>
      </w:r>
    </w:p>
    <w:p w:rsidR="00A31137" w:rsidRPr="00A31137" w:rsidRDefault="00A31137" w:rsidP="00A31137">
      <w:r w:rsidRPr="00A31137">
        <w:t>Number two, if you have a claim against you or against your employee as a small business, your rates can go up 20 percent in a year, or 25 percent in a year just if you have a claim. Under our system, the small business would be protected from that. They'd be able to be basically on the same wavelength as some big company and would have a very marginal impact on rates because they'd be in a huge pool instead of just out there.</w:t>
      </w:r>
    </w:p>
    <w:p w:rsidR="00A31137" w:rsidRPr="00A31137" w:rsidRDefault="00A31137" w:rsidP="00A31137">
      <w:r w:rsidRPr="00A31137">
        <w:t>Public Papers of Clinton, 1993, p.1579</w:t>
      </w:r>
    </w:p>
    <w:p w:rsidR="00A31137" w:rsidRPr="00A31137" w:rsidRDefault="00A31137" w:rsidP="00A31137">
      <w:r w:rsidRPr="00A31137">
        <w:t>Mr. Koppel. Let me ask you to swivel around again if you would. We've got a question from a medical student back there. Go ahead, please.</w:t>
      </w:r>
    </w:p>
    <w:p w:rsidR="00A31137" w:rsidRPr="00A31137" w:rsidRDefault="00A31137" w:rsidP="00A31137">
      <w:r w:rsidRPr="00A31137">
        <w:t>[A medical student asked about medical school debt deferral, malpractice reform, mandated specialties, and reallocation of funding, especially for care at the beginning and end of life.]</w:t>
      </w:r>
    </w:p>
    <w:p w:rsidR="00A31137" w:rsidRPr="00A31137" w:rsidRDefault="00A31137" w:rsidP="00A31137">
      <w:r w:rsidRPr="00A31137">
        <w:t>Public Papers of Clinton, 1993, p.1579–p.1580</w:t>
      </w:r>
    </w:p>
    <w:p w:rsidR="00A31137" w:rsidRPr="00A31137" w:rsidRDefault="00A31137" w:rsidP="00A31137">
      <w:r w:rsidRPr="00A31137">
        <w:t>The President. Let the try to remember them all. First of all, on your debt—and medical school is very costly—we propose to do two things. Number one, we have already passed [p.1580] a sweeping reform of the student loan program, which will enable people to borrow money without regard to their incomes at lower interest rates than have been available in the past, and then pay those loans off, not based just on the amount that you had to borrow but as a percentage of your income, which will make it easier for all people to pay their college loans off. I wouldn't call this a catch, but I have to say we're also going to be much tougher on collecting the loans than we have in the past, but they'll be easier to pay back.</w:t>
      </w:r>
    </w:p>
    <w:p w:rsidR="00A31137" w:rsidRPr="00A31137" w:rsidRDefault="00A31137" w:rsidP="00A31137">
      <w:r w:rsidRPr="00A31137">
        <w:t>Public Papers of Clinton, 1993, p.1580</w:t>
      </w:r>
    </w:p>
    <w:p w:rsidR="00A31137" w:rsidRPr="00A31137" w:rsidRDefault="00A31137" w:rsidP="00A31137">
      <w:r w:rsidRPr="00A31137">
        <w:t>Secondly, we're going to expand the health service corps concept that will enable physicians to practice in underserved areas and pay their' medical loans off. And that's been constricted in the last several, years. We want to expand that. That's the first question.</w:t>
      </w:r>
    </w:p>
    <w:p w:rsidR="00A31137" w:rsidRPr="00A31137" w:rsidRDefault="00A31137" w:rsidP="00A31137">
      <w:r w:rsidRPr="00A31137">
        <w:t>Public Papers of Clinton, 1993, p.1580</w:t>
      </w:r>
    </w:p>
    <w:p w:rsidR="00A31137" w:rsidRPr="00A31137" w:rsidRDefault="00A31137" w:rsidP="00A31137">
      <w:r w:rsidRPr="00A31137">
        <w:t>The second question you asked was malpractice, right?</w:t>
      </w:r>
    </w:p>
    <w:p w:rsidR="00A31137" w:rsidRPr="00A31137" w:rsidRDefault="00A31137" w:rsidP="00A31137">
      <w:r w:rsidRPr="00A31137">
        <w:t>Public Papers of Clinton, 1993, p.1580</w:t>
      </w:r>
    </w:p>
    <w:p w:rsidR="00A31137" w:rsidRPr="00A31137" w:rsidRDefault="00A31137" w:rsidP="00A31137">
      <w:r w:rsidRPr="00A31137">
        <w:t>Q. Yes, sir.</w:t>
      </w:r>
    </w:p>
    <w:p w:rsidR="00A31137" w:rsidRPr="00A31137" w:rsidRDefault="00A31137" w:rsidP="00A31137">
      <w:r w:rsidRPr="00A31137">
        <w:t>Public Papers of Clinton, 1993, p.1580</w:t>
      </w:r>
    </w:p>
    <w:p w:rsidR="00A31137" w:rsidRPr="00A31137" w:rsidRDefault="00A31137" w:rsidP="00A31137">
      <w:r w:rsidRPr="00A31137">
        <w:t>The President. We propose to do a couple of things in malpractice to—and let me just say, malpractice not only affects doctors with higher premiums but a lot of people believe it adds to the cost of the system, because doctors practice what is called defensive medicine and order procedures they otherwise wouldn't just to keep from being sued.</w:t>
      </w:r>
    </w:p>
    <w:p w:rsidR="00A31137" w:rsidRPr="00A31137" w:rsidRDefault="00A31137" w:rsidP="00A31137">
      <w:r w:rsidRPr="00A31137">
        <w:t>Public Papers of Clinton, 1993, p.1580</w:t>
      </w:r>
    </w:p>
    <w:p w:rsidR="00A31137" w:rsidRPr="00A31137" w:rsidRDefault="00A31137" w:rsidP="00A31137">
      <w:r w:rsidRPr="00A31137">
        <w:t>We propose to do three things: number one, develop more alternative-dispute-resolution mechanisms to lawsuits; number two, limit the amount of contingency fees lawyers can get in those lawsuits to one-third of the fees, not more, and number three, and I think most important, develop working with the medical specialists as well as GP's, general practitioners, a set of accepted medical practice guidelines that doctors can have that operate—to oversimplify it, almost like the checklist that you see a private pilot cheek off before they—if you've ever ridden in a private plane. So that if you follow the medical practice guidelines for whatever you're doing in your area, that will raise a presumption that you were not negligent. That can do more than anything else. This was pioneered for rural doctors in Maine, this whole theory. We believe it can do more than anything else to reduce the number of malpractice suits.</w:t>
      </w:r>
    </w:p>
    <w:p w:rsidR="00A31137" w:rsidRPr="00A31137" w:rsidRDefault="00A31137" w:rsidP="00A31137">
      <w:r w:rsidRPr="00A31137">
        <w:t>Public Papers of Clinton, 1993, p.1580</w:t>
      </w:r>
    </w:p>
    <w:p w:rsidR="00A31137" w:rsidRPr="00A31137" w:rsidRDefault="00A31137" w:rsidP="00A31137">
      <w:r w:rsidRPr="00A31137">
        <w:t>The third thing you asked was what about the Government trying to force you into certain specialties.</w:t>
      </w:r>
    </w:p>
    <w:p w:rsidR="00A31137" w:rsidRPr="00A31137" w:rsidRDefault="00A31137" w:rsidP="00A31137">
      <w:r w:rsidRPr="00A31137">
        <w:t>Public Papers of Clinton, 1993, p.1580</w:t>
      </w:r>
    </w:p>
    <w:p w:rsidR="00A31137" w:rsidRPr="00A31137" w:rsidRDefault="00A31137" w:rsidP="00A31137">
      <w:r w:rsidRPr="00A31137">
        <w:t>Q. Yes, sir.</w:t>
      </w:r>
    </w:p>
    <w:p w:rsidR="00A31137" w:rsidRPr="00A31137" w:rsidRDefault="00A31137" w:rsidP="00A31137">
      <w:r w:rsidRPr="00A31137">
        <w:t>Public Papers of Clinton, 1993, p.1580</w:t>
      </w:r>
    </w:p>
    <w:p w:rsidR="00A31137" w:rsidRPr="00A31137" w:rsidRDefault="00A31137" w:rsidP="00A31137">
      <w:r w:rsidRPr="00A31137">
        <w:t>The President. The truth is, if you look at how the Government spends its money, it's heavily weighted towards specialties now. What we propose to do is to change the formula by which the Federal Government funds medical schools now to favor more—not to say you can't be a specialist but to slightly tilt more in the favor of general practice, because only 15 percent of the doctors coming out of medical school today are general practitioners. The average nation has—you know, like Germany or Japan or Canada—half the doctors will be general practitioners. We can't do what we need to do in medically underserved areas without more family doctors.</w:t>
      </w:r>
    </w:p>
    <w:p w:rsidR="00A31137" w:rsidRPr="00A31137" w:rsidRDefault="00A31137" w:rsidP="00A31137">
      <w:r w:rsidRPr="00A31137">
        <w:t>Public Papers of Clinton, 1993, p.1580</w:t>
      </w:r>
    </w:p>
    <w:p w:rsidR="00A31137" w:rsidRPr="00A31137" w:rsidRDefault="00A31137" w:rsidP="00A31137">
      <w:r w:rsidRPr="00A31137">
        <w:t>And the fourth question you asked was?</w:t>
      </w:r>
    </w:p>
    <w:p w:rsidR="00A31137" w:rsidRPr="00A31137" w:rsidRDefault="00A31137" w:rsidP="00A31137">
      <w:r w:rsidRPr="00A31137">
        <w:t>Public Papers of Clinton, 1993, p.1580</w:t>
      </w:r>
    </w:p>
    <w:p w:rsidR="00A31137" w:rsidRPr="00A31137" w:rsidRDefault="00A31137" w:rsidP="00A31137">
      <w:r w:rsidRPr="00A31137">
        <w:t>Q. The reallocation of funds.</w:t>
      </w:r>
    </w:p>
    <w:p w:rsidR="00A31137" w:rsidRPr="00A31137" w:rsidRDefault="00A31137" w:rsidP="00A31137">
      <w:r w:rsidRPr="00A31137">
        <w:t>Public Papers of Clinton, 1993, p.1580</w:t>
      </w:r>
    </w:p>
    <w:p w:rsidR="00A31137" w:rsidRPr="00A31137" w:rsidRDefault="00A31137" w:rsidP="00A31137">
      <w:r w:rsidRPr="00A31137">
        <w:t>The President. Yes. Perhaps the most important thing, long-term, in this package is that we pay for things like pregnancy visits, wellbaby care visits. We pay for immunizations for all children. In other words, we try to pay for a lot of preventive and primary services starting very early, and dental care for children although not for adults, as a mandated service.</w:t>
      </w:r>
    </w:p>
    <w:p w:rsidR="00A31137" w:rsidRPr="00A31137" w:rsidRDefault="00A31137" w:rsidP="00A31137">
      <w:r w:rsidRPr="00A31137">
        <w:t>[Following a commercial break, a dentist asked about dental benefits under the new plan.]</w:t>
      </w:r>
    </w:p>
    <w:p w:rsidR="00A31137" w:rsidRPr="00A31137" w:rsidRDefault="00A31137" w:rsidP="00A31137">
      <w:r w:rsidRPr="00A31137">
        <w:t>Public Papers of Clinton, 1993, p.1580</w:t>
      </w:r>
    </w:p>
    <w:p w:rsidR="00A31137" w:rsidRPr="00A31137" w:rsidRDefault="00A31137" w:rsidP="00A31137">
      <w:r w:rsidRPr="00A31137">
        <w:t>The President. Let me just mention the dental issue first. Under our proposal, the comprehensive benefit package would include dental benefits for children up to 18, but not mandates for adults. That doesn't mean any employer plan that now covers dental benefits is perfectly free to keep doing so. And since they'll have all kinds of economic incentives to keep their costs clown, they'll probably keep doing it. But we don't think we can, again, recognizing the costs of this, afford to do more than this at this time. But there's nothing to prohibit that.</w:t>
      </w:r>
    </w:p>
    <w:p w:rsidR="00A31137" w:rsidRPr="00A31137" w:rsidRDefault="00A31137" w:rsidP="00A31137">
      <w:r w:rsidRPr="00A31137">
        <w:t>Public Papers of Clinton, 1993, p.1580</w:t>
      </w:r>
    </w:p>
    <w:p w:rsidR="00A31137" w:rsidRPr="00A31137" w:rsidRDefault="00A31137" w:rsidP="00A31137">
      <w:r w:rsidRPr="00A31137">
        <w:t>Most people, as you know now, who have dental benefits through their employers actually buy the benefits in an override policy, and that will all still be available. The problem with the present insurance system, let me say again is that, first of all, too many people are uninsured, and the complexity of it is so great. But we are the only country in the world that has 1,500 different companies writing thousands of different policies, requiring every hospital and doctor's office to keep up with hundreds of different forms, so that we literally add about a dime to every dollar of health care cost on paperwork that has nothing to do with keeping people well.</w:t>
      </w:r>
    </w:p>
    <w:p w:rsidR="00A31137" w:rsidRPr="00A31137" w:rsidRDefault="00A31137" w:rsidP="00A31137">
      <w:r w:rsidRPr="00A31137">
        <w:t>Public Papers of Clinton, 1993, p.1581</w:t>
      </w:r>
    </w:p>
    <w:p w:rsidR="00A31137" w:rsidRPr="00A31137" w:rsidRDefault="00A31137" w:rsidP="00A31137">
      <w:r w:rsidRPr="00A31137">
        <w:t>So what we're trying to do is get down to one form, and this health security card, so that, number one, your life will be a lot simpler. The time you have to spend on forms, the time you have to hire people to spend on forms will be less; the time you spend practicing dentistry will be greater. And the time all of our medical professionals spend doing what they hired out to do in the first place will be greater. That's what we're trying to do.</w:t>
      </w:r>
    </w:p>
    <w:p w:rsidR="00A31137" w:rsidRPr="00A31137" w:rsidRDefault="00A31137" w:rsidP="00A31137">
      <w:r w:rsidRPr="00A31137">
        <w:t>Public Papers of Clinton, 1993, p.1581</w:t>
      </w:r>
    </w:p>
    <w:p w:rsidR="00A31137" w:rsidRPr="00A31137" w:rsidRDefault="00A31137" w:rsidP="00A31137">
      <w:r w:rsidRPr="00A31137">
        <w:t>Mr. Koppel. How detailed is that form going to be? I mean, that one form is going to have to be a killer form to—[laughter].</w:t>
      </w:r>
    </w:p>
    <w:p w:rsidR="00A31137" w:rsidRPr="00A31137" w:rsidRDefault="00A31137" w:rsidP="00A31137">
      <w:r w:rsidRPr="00A31137">
        <w:t>Public Papers of Clinton, 1993, p.1581</w:t>
      </w:r>
    </w:p>
    <w:p w:rsidR="00A31137" w:rsidRPr="00A31137" w:rsidRDefault="00A31137" w:rsidP="00A31137">
      <w:r w:rsidRPr="00A31137">
        <w:t>The President. Well, not necessarily. The form—actually I should have brought it night—but there will be basically a model form for the doctors and one for the hospitals and one for consumers, because they'll have slightly different information needed, and they'll have some variations because of the differences in plans. Everybody will have some choice in plans, but once you have comprehensive benefits and uniform insurance schemes, you won't have to have a lot of variations.</w:t>
      </w:r>
    </w:p>
    <w:p w:rsidR="00A31137" w:rsidRPr="00A31137" w:rsidRDefault="00A31137" w:rsidP="00A31137">
      <w:r w:rsidRPr="00A31137">
        <w:t>Public Papers of Clinton, 1993, p.1581</w:t>
      </w:r>
    </w:p>
    <w:p w:rsidR="00A31137" w:rsidRPr="00A31137" w:rsidRDefault="00A31137" w:rsidP="00A31137">
      <w:r w:rsidRPr="00A31137">
        <w:t>Let me just say this. I want to hasten to say this does not mean that physicians will stop keeping patient records on patient care. In fact, one of the ways we're going to reduce the amount of problems with malpractice, as I said, is by establishing uniform guidelines and then enabling physicians to demonstrate that they fob low the guidelines and, therefore, to raise the presumption that they were not negligent.</w:t>
      </w:r>
    </w:p>
    <w:p w:rsidR="00A31137" w:rsidRPr="00A31137" w:rsidRDefault="00A31137" w:rsidP="00A31137">
      <w:r w:rsidRPr="00A31137">
        <w:t>Public Papers of Clinton, 1993, p.1581</w:t>
      </w:r>
    </w:p>
    <w:p w:rsidR="00A31137" w:rsidRPr="00A31137" w:rsidRDefault="00A31137" w:rsidP="00A31137">
      <w:r w:rsidRPr="00A31137">
        <w:t>So we're talking about paperwork over and above what is required for the basic practice of medicine. Washington Children's Hospital, where I visited last week with the Vice President, says they spend $2 million a year in that one hospital over and above the recordkeeping necessary for patient care.</w:t>
      </w:r>
    </w:p>
    <w:p w:rsidR="00A31137" w:rsidRPr="00A31137" w:rsidRDefault="00A31137" w:rsidP="00A31137">
      <w:r w:rsidRPr="00A31137">
        <w:t>Public Papers of Clinton, 1993, p.1581</w:t>
      </w:r>
    </w:p>
    <w:p w:rsidR="00A31137" w:rsidRPr="00A31137" w:rsidRDefault="00A31137" w:rsidP="00A31137">
      <w:r w:rsidRPr="00A31137">
        <w:t>Mr. Koppel. You saw that devastating study a few weeks ago that indicated that roughly 60 million Americans are—I guess the only fair word is "semi-literate," all but illiterate. You know, you're doing a terrific job here trying to explain what is obviously a terribly complex plan. How do you reach those people? Because my assumption is that the 37 million people you're talking about who are uninsured, underinsured, probably many of them will fall into that same category, and that is people who have a very hard time understanding any forms, let alone something as complex as a medical form.</w:t>
      </w:r>
    </w:p>
    <w:p w:rsidR="00A31137" w:rsidRPr="00A31137" w:rsidRDefault="00A31137" w:rsidP="00A31137">
      <w:r w:rsidRPr="00A31137">
        <w:t>Public Papers of Clinton, 1993, p.1581</w:t>
      </w:r>
    </w:p>
    <w:p w:rsidR="00A31137" w:rsidRPr="00A31137" w:rsidRDefault="00A31137" w:rsidP="00A31137">
      <w:r w:rsidRPr="00A31137">
        <w:t>The President. First, let me say that if you go hack to that study, it also says that people are more literate now than they ever have been, but there are more challenges for them now than ever before. All of the research indicates that one of the things people know a lot about is the health care benefits they have and the problems with it. As a matter of fact, one of the problems that I'm having convincing you that we can save money in this system is that you know all enormous amount at)out your own health situation or that of your employees, and you know it costs more every year. But you've never had a chance to know about how the system itself operates; so it's hard for you to imagine that we can actually save any money-especially where the Government's involved, right?</w:t>
      </w:r>
    </w:p>
    <w:p w:rsidR="00A31137" w:rsidRPr="00A31137" w:rsidRDefault="00A31137" w:rsidP="00A31137">
      <w:r w:rsidRPr="00A31137">
        <w:t>Public Papers of Clinton, 1993, p.1581</w:t>
      </w:r>
    </w:p>
    <w:p w:rsidR="00A31137" w:rsidRPr="00A31137" w:rsidRDefault="00A31137" w:rsidP="00A31137">
      <w:r w:rsidRPr="00A31137">
        <w:t>But when you come back to the basic thing, I believe if you simplify the system and you tell everybody you get three different plans at least and here's what the plans do, I think people have had enough experience negotiating their way through the mine field of the American health care system that most of them will do quite well.</w:t>
      </w:r>
    </w:p>
    <w:p w:rsidR="00A31137" w:rsidRPr="00A31137" w:rsidRDefault="00A31137" w:rsidP="00A31137">
      <w:r w:rsidRPr="00A31137">
        <w:t>[A participant asked if abortion would be covered under the new plan.]</w:t>
      </w:r>
    </w:p>
    <w:p w:rsidR="00A31137" w:rsidRPr="00A31137" w:rsidRDefault="00A31137" w:rsidP="00A31137">
      <w:r w:rsidRPr="00A31137">
        <w:t>Public Papers of Clinton, 1993, p.1581</w:t>
      </w:r>
    </w:p>
    <w:p w:rsidR="00A31137" w:rsidRPr="00A31137" w:rsidRDefault="00A31137" w:rsidP="00A31137">
      <w:r w:rsidRPr="00A31137">
        <w:t>The President. It will probably become a political football because so many people feel so strongly about it on both counts. But the answer is that we are trying to privatize this system, not make it more Government-dominated. And so the answer to your question is, it will be because it is now by private plans. And what we propose to do is to fold people who get their Government health care into the private plans. That is, keep in mind, if you're on Medicaid today, you show up at the hospital, you've got all your Medicaid forms—that's why the doctors don't like to treat Medicaid patients, a whole different set of forms—and you get a specific fee for a specific service. And today, if you're on Medicaid, abortions are not covered by the Federal Government unless the life of the mother is endangered. But they are covered in some States where the States pay for it.</w:t>
      </w:r>
    </w:p>
    <w:p w:rsidR="00A31137" w:rsidRPr="00A31137" w:rsidRDefault="00A31137" w:rsidP="00A31137">
      <w:r w:rsidRPr="00A31137">
        <w:t>Public Papers of Clinton, 1993, p.1581</w:t>
      </w:r>
    </w:p>
    <w:p w:rsidR="00A31137" w:rsidRPr="00A31137" w:rsidRDefault="00A31137" w:rsidP="00A31137">
      <w:r w:rsidRPr="00A31137">
        <w:t>Under this system, people on Medicaid will join a health alliance just like other people. And then they will get to choose among plans. The plans will offer pregnancy-related services. Most private plans today that offer pregnancy-related services do offer abortions. They don't all.</w:t>
      </w:r>
    </w:p>
    <w:p w:rsidR="00A31137" w:rsidRPr="00A31137" w:rsidRDefault="00A31137" w:rsidP="00A31137">
      <w:r w:rsidRPr="00A31137">
        <w:t>Public Papers of Clinton, 1993, p.1582</w:t>
      </w:r>
    </w:p>
    <w:p w:rsidR="00A31137" w:rsidRPr="00A31137" w:rsidRDefault="00A31137" w:rsidP="00A31137">
      <w:r w:rsidRPr="00A31137">
        <w:t>There is a conscience exemption for religious reasons that covers hospitals and doctors, and that will be covered again today. And people who want to join those plans will do it. By the way, there are no specific surgical procedures guaranteed here, not knee surgery, not abortions, not brain surgery, not heart surgery. They never are. The procedures are not prescribed. The problems are covered. So you have to cover pregnancy-related services.</w:t>
      </w:r>
    </w:p>
    <w:p w:rsidR="00A31137" w:rsidRPr="00A31137" w:rsidRDefault="00A31137" w:rsidP="00A31137">
      <w:r w:rsidRPr="00A31137">
        <w:t>Public Papers of Clinton, 1993, p.1582</w:t>
      </w:r>
    </w:p>
    <w:p w:rsidR="00A31137" w:rsidRPr="00A31137" w:rsidRDefault="00A31137" w:rsidP="00A31137">
      <w:r w:rsidRPr="00A31137">
        <w:t>Let me say, since you're in Planned Parenthood, abortion under our Constitution is legal. But let me say, I also think there are too many every year, and I think this could he—[applause]—I think if you want it to be legal, safe, and rare, we have got to fund more preventive outreach.</w:t>
      </w:r>
    </w:p>
    <w:p w:rsidR="00A31137" w:rsidRPr="00A31137" w:rsidRDefault="00A31137" w:rsidP="00A31137">
      <w:r w:rsidRPr="00A31137">
        <w:t>Public Papers of Clinton, 1993, p.1582</w:t>
      </w:r>
    </w:p>
    <w:p w:rsidR="00A31137" w:rsidRPr="00A31137" w:rsidRDefault="00A31137" w:rsidP="00A31137">
      <w:r w:rsidRPr="00A31137">
        <w:t>I want to make this very clear. This plan, for the first time ever, not only acknowledges the constitutional legality of abortion but funds preventive services in ways that will reduce the number of abortions by reducing the number of unwanted pregnancies. And I want to make that—that's very important. That's part of the preventive strategy of this plan. It will do both.</w:t>
      </w:r>
    </w:p>
    <w:p w:rsidR="00A31137" w:rsidRPr="00A31137" w:rsidRDefault="00A31137" w:rsidP="00A31137">
      <w:r w:rsidRPr="00A31137">
        <w:t>[The network took a commercial break.]</w:t>
      </w:r>
    </w:p>
    <w:p w:rsidR="00A31137" w:rsidRPr="00A31137" w:rsidRDefault="00A31137" w:rsidP="00A31137">
      <w:r w:rsidRPr="00A31137">
        <w:t>Public Papers of Clinton, 1993, p.1582</w:t>
      </w:r>
    </w:p>
    <w:p w:rsidR="00A31137" w:rsidRPr="00A31137" w:rsidRDefault="00A31137" w:rsidP="00A31137">
      <w:r w:rsidRPr="00A31137">
        <w:t>Mr. Koppel. And we are back, once again, from Tampa. The President shaking hands with a few well-wishers here. I figured if we didn't restart the program, we'd never get you back from there, Mr. President.</w:t>
      </w:r>
    </w:p>
    <w:p w:rsidR="00A31137" w:rsidRPr="00A31137" w:rsidRDefault="00A31137" w:rsidP="00A31137">
      <w:r w:rsidRPr="00A31137">
        <w:t>Public Papers of Clinton, 1993, p.1582</w:t>
      </w:r>
    </w:p>
    <w:p w:rsidR="00A31137" w:rsidRPr="00A31137" w:rsidRDefault="00A31137" w:rsidP="00A31137">
      <w:r w:rsidRPr="00A31137">
        <w:t>The President. Tell the girls to come back later. Hey kids, I'll come back there. Later I'll be there. You wait here, and when we next take a break we'll shake hands, okay?</w:t>
      </w:r>
    </w:p>
    <w:p w:rsidR="00A31137" w:rsidRPr="00A31137" w:rsidRDefault="00A31137" w:rsidP="00A31137">
      <w:r w:rsidRPr="00A31137">
        <w:t>Public Papers of Clinton, 1993, p.1582</w:t>
      </w:r>
    </w:p>
    <w:p w:rsidR="00A31137" w:rsidRPr="00A31137" w:rsidRDefault="00A31137" w:rsidP="00A31137">
      <w:r w:rsidRPr="00A31137">
        <w:t>Mr. Koppel. What are we—come on. Shake hands. Get it over with. Come on up. Now, while we're feeling good, you might as well tell the folks what the bead of St. Vincent's Hospital told you when he</w:t>
      </w:r>
    </w:p>
    <w:p w:rsidR="00A31137" w:rsidRPr="00A31137" w:rsidRDefault="00A31137" w:rsidP="00A31137">
      <w:r w:rsidRPr="00A31137">
        <w:t>Public Papers of Clinton, 1993, p.1582</w:t>
      </w:r>
    </w:p>
    <w:p w:rsidR="00A31137" w:rsidRPr="00A31137" w:rsidRDefault="00A31137" w:rsidP="00A31137">
      <w:r w:rsidRPr="00A31137">
        <w:t>The President. St. Joseph's?</w:t>
      </w:r>
    </w:p>
    <w:p w:rsidR="00A31137" w:rsidRPr="00A31137" w:rsidRDefault="00A31137" w:rsidP="00A31137">
      <w:r w:rsidRPr="00A31137">
        <w:t>Public Papers of Clinton, 1993, p.1582</w:t>
      </w:r>
    </w:p>
    <w:p w:rsidR="00A31137" w:rsidRPr="00A31137" w:rsidRDefault="00A31137" w:rsidP="00A31137">
      <w:r w:rsidRPr="00A31137">
        <w:t>Mr. Koppel. St. Joseph's. I beg your pardon. The President. This gentleman is the head of the hospital who took care of the daughter of the independent contractor with the $186,000 worth of bills. He said, "We took care of it before, and we'll take care of it again until we get this"—[applause]. But he also said we need to reform, because he's entitled to be reimbursed for it.</w:t>
      </w:r>
    </w:p>
    <w:p w:rsidR="00A31137" w:rsidRPr="00A31137" w:rsidRDefault="00A31137" w:rsidP="00A31137">
      <w:r w:rsidRPr="00A31137">
        <w:t>Public Papers of Clinton, 1993, p.1582</w:t>
      </w:r>
    </w:p>
    <w:p w:rsidR="00A31137" w:rsidRPr="00A31137" w:rsidRDefault="00A31137" w:rsidP="00A31137">
      <w:r w:rsidRPr="00A31137">
        <w:t>Mr. Koppel. Yes. Now, you don't expect all the questions to be that easy, do you?</w:t>
      </w:r>
    </w:p>
    <w:p w:rsidR="00A31137" w:rsidRPr="00A31137" w:rsidRDefault="00A31137" w:rsidP="00A31137">
      <w:r w:rsidRPr="00A31137">
        <w:t>Public Papers of Clinton, 1993, p.1582</w:t>
      </w:r>
    </w:p>
    <w:p w:rsidR="00A31137" w:rsidRPr="00A31137" w:rsidRDefault="00A31137" w:rsidP="00A31137">
      <w:r w:rsidRPr="00A31137">
        <w:t>The President. No.</w:t>
      </w:r>
    </w:p>
    <w:p w:rsidR="00A31137" w:rsidRPr="00A31137" w:rsidRDefault="00A31137" w:rsidP="00A31137">
      <w:r w:rsidRPr="00A31137">
        <w:t>Public Papers of Clinton, 1993, p.1582</w:t>
      </w:r>
    </w:p>
    <w:p w:rsidR="00A31137" w:rsidRPr="00A31137" w:rsidRDefault="00A31137" w:rsidP="00A31137">
      <w:r w:rsidRPr="00A31137">
        <w:t>Mr. Koppel. Okay.</w:t>
      </w:r>
    </w:p>
    <w:p w:rsidR="00A31137" w:rsidRPr="00A31137" w:rsidRDefault="00A31137" w:rsidP="00A31137">
      <w:r w:rsidRPr="00A31137">
        <w:t>Public Papers of Clinton, 1993, p.1582</w:t>
      </w:r>
    </w:p>
    <w:p w:rsidR="00A31137" w:rsidRPr="00A31137" w:rsidRDefault="00A31137" w:rsidP="00A31137">
      <w:r w:rsidRPr="00A31137">
        <w:t>The President. They've all been hard.</w:t>
      </w:r>
    </w:p>
    <w:p w:rsidR="00A31137" w:rsidRPr="00A31137" w:rsidRDefault="00A31137" w:rsidP="00A31137">
      <w:r w:rsidRPr="00A31137">
        <w:t>[A participant expressed her disapproval of the use of taxes' to fund abortion.]</w:t>
      </w:r>
    </w:p>
    <w:p w:rsidR="00A31137" w:rsidRPr="00A31137" w:rsidRDefault="00A31137" w:rsidP="00A31137">
      <w:r w:rsidRPr="00A31137">
        <w:t>Public Papers of Clinton, 1993, p.1582</w:t>
      </w:r>
    </w:p>
    <w:p w:rsidR="00A31137" w:rsidRPr="00A31137" w:rsidRDefault="00A31137" w:rsidP="00A31137">
      <w:r w:rsidRPr="00A31137">
        <w:t>The President. Well, let me say again—let's talk about what the present law is. The present law is that there is a constitutional right to abortion, but the Supreme Court has never ruled that that meant that poor women had to have equal access to it. In other words, that if the Federal Government or a State government decided not to fund abortion services through the Medicaid program, that that was legal. So the Congress for many years has said we will not specifically fund abortions unless the life of the mother is at risk. Therefore, there's no public funding for poor women to get abortion services unless each State decides to do it. Some States decide to; a majority don't. That's the law today.</w:t>
      </w:r>
    </w:p>
    <w:p w:rsidR="00A31137" w:rsidRPr="00A31137" w:rsidRDefault="00A31137" w:rsidP="00A31137">
      <w:r w:rsidRPr="00A31137">
        <w:t>Public Papers of Clinton, 1993, p.1582</w:t>
      </w:r>
    </w:p>
    <w:p w:rsidR="00A31137" w:rsidRPr="00A31137" w:rsidRDefault="00A31137" w:rsidP="00A31137">
      <w:r w:rsidRPr="00A31137">
        <w:t>I want to make clear to you what we are proposing. What we are proposing incidentally affects this: What we are trying to do is to stop the two-tiered system, to put the Medicaid patients in with the employees of small businesses and hospitals and others to provide for a common private system in which people join plans that provide services, including pregnancy related services. Some of those plans won't cover abortion. Most of them do today. But I would just say to all of you who—if you're in a private health insurance plan today, your money is commingled with everybody else's. And if those services are covered, the money goes out from a central payment place, not necessarily for a specific service. But because people have enrolled in a plan—for example, somebody enrolls in an HMO, they don't pay for a specific thing at all necessarily on a fee-for-service basis. They pay a fee for whatever services are covered. So that is part of the limit. It would be a terrible price to pay just over this issue to keep segregating all the Medicaid patients and deny them the opportunity, and deny us the opportunity, to bare the benefits of everybody being in large group health care without separating this out.</w:t>
      </w:r>
    </w:p>
    <w:p w:rsidR="00A31137" w:rsidRPr="00A31137" w:rsidRDefault="00A31137" w:rsidP="00A31137">
      <w:r w:rsidRPr="00A31137">
        <w:t>Public Papers of Clinton, 1993, p.1582</w:t>
      </w:r>
    </w:p>
    <w:p w:rsidR="00A31137" w:rsidRPr="00A31137" w:rsidRDefault="00A31137" w:rsidP="00A31137">
      <w:r w:rsidRPr="00A31137">
        <w:t>In other words, the whole system will be changed if you put everybody in a private system. There will still be also hospitals and doctors who, for religious or other reasons, for moral reasons, will not participate in this and will not have to in any way, shape, or form.</w:t>
      </w:r>
    </w:p>
    <w:p w:rsidR="00A31137" w:rsidRPr="00A31137" w:rsidRDefault="00A31137" w:rsidP="00A31137">
      <w:r w:rsidRPr="00A31137">
        <w:t>Public Papers of Clinton, 1993, p.1582–p.1583</w:t>
      </w:r>
    </w:p>
    <w:p w:rsidR="00A31137" w:rsidRPr="00A31137" w:rsidRDefault="00A31137" w:rsidP="00A31137">
      <w:r w:rsidRPr="00A31137">
        <w:t>Mr. Koppel. Mr. President, this is a curious criticism to make, but sometimes I think you're [p.1583] so specific in your answers or so detailed in your answers that it's a little hard to know what the answer to the question was.</w:t>
      </w:r>
    </w:p>
    <w:p w:rsidR="00A31137" w:rsidRPr="00A31137" w:rsidRDefault="00A31137" w:rsidP="00A31137">
      <w:r w:rsidRPr="00A31137">
        <w:t>Public Papers of Clinton, 1993, p.1583</w:t>
      </w:r>
    </w:p>
    <w:p w:rsidR="00A31137" w:rsidRPr="00A31137" w:rsidRDefault="00A31137" w:rsidP="00A31137">
      <w:r w:rsidRPr="00A31137">
        <w:t>The President. The answer to the question is, if a person goes into a health care plan that provides pregnancy-related services, the person can ask, "Does this include abortions, or not?"</w:t>
      </w:r>
    </w:p>
    <w:p w:rsidR="00A31137" w:rsidRPr="00A31137" w:rsidRDefault="00A31137" w:rsidP="00A31137">
      <w:r w:rsidRPr="00A31137">
        <w:t>Public Papers of Clinton, 1993, p.1583</w:t>
      </w:r>
    </w:p>
    <w:p w:rsidR="00A31137" w:rsidRPr="00A31137" w:rsidRDefault="00A31137" w:rsidP="00A31137">
      <w:r w:rsidRPr="00A31137">
        <w:t>Mr. Koppel. If it doesn't, then you go to another plan?</w:t>
      </w:r>
    </w:p>
    <w:p w:rsidR="00A31137" w:rsidRPr="00A31137" w:rsidRDefault="00A31137" w:rsidP="00A31137">
      <w:r w:rsidRPr="00A31137">
        <w:t>Public Papers of Clinton, 1993, p.1583</w:t>
      </w:r>
    </w:p>
    <w:p w:rsidR="00A31137" w:rsidRPr="00A31137" w:rsidRDefault="00A31137" w:rsidP="00A31137">
      <w:r w:rsidRPr="00A31137">
        <w:t>The President. If it doesn't, they can go to another plan. If it does and they're offended by it, they can go to another plan.</w:t>
      </w:r>
    </w:p>
    <w:p w:rsidR="00A31137" w:rsidRPr="00A31137" w:rsidRDefault="00A31137" w:rsidP="00A31137">
      <w:r w:rsidRPr="00A31137">
        <w:t>Public Papers of Clinton, 1993, p.1583</w:t>
      </w:r>
    </w:p>
    <w:p w:rsidR="00A31137" w:rsidRPr="00A31137" w:rsidRDefault="00A31137" w:rsidP="00A31137">
      <w:r w:rsidRPr="00A31137">
        <w:t>Mr. Koppel. Are tax monies going to be used to support those abortions? That was—</w:t>
      </w:r>
    </w:p>
    <w:p w:rsidR="00A31137" w:rsidRPr="00A31137" w:rsidRDefault="00A31137" w:rsidP="00A31137">
      <w:r w:rsidRPr="00A31137">
        <w:t>Public Papers of Clinton, 1993, p.1583</w:t>
      </w:r>
    </w:p>
    <w:p w:rsidR="00A31137" w:rsidRPr="00A31137" w:rsidRDefault="00A31137" w:rsidP="00A31137">
      <w:r w:rsidRPr="00A31137">
        <w:t>The President. The answer is, indirectly they will. Today, it's a direct question. You know, the Government writes a check for every Medicaid procedure. Under this system, people on Medicaid would be just like any other person. They'd join a health plan. They'd sign up for certain services. The funds, the public and the private funds, would all be mixed together. They would fund certain things and not fund others.</w:t>
      </w:r>
    </w:p>
    <w:p w:rsidR="00A31137" w:rsidRPr="00A31137" w:rsidRDefault="00A31137" w:rsidP="00A31137">
      <w:r w:rsidRPr="00A31137">
        <w:t>Public Papers of Clinton, 1993, p.1583</w:t>
      </w:r>
    </w:p>
    <w:p w:rsidR="00A31137" w:rsidRPr="00A31137" w:rsidRDefault="00A31137" w:rsidP="00A31137">
      <w:r w:rsidRPr="00A31137">
        <w:t>But if our plan goes through, it will be impossible to separate out the public and the private funds, the Medicaid and the other people.</w:t>
      </w:r>
    </w:p>
    <w:p w:rsidR="00A31137" w:rsidRPr="00A31137" w:rsidRDefault="00A31137" w:rsidP="00A31137">
      <w:r w:rsidRPr="00A31137">
        <w:t>Public Papers of Clinton, 1993, p.1583</w:t>
      </w:r>
    </w:p>
    <w:p w:rsidR="00A31137" w:rsidRPr="00A31137" w:rsidRDefault="00A31137" w:rsidP="00A31137">
      <w:r w:rsidRPr="00A31137">
        <w:t>Mr. Koppel. So, implicitly, the answer is yes. There will be</w:t>
      </w:r>
    </w:p>
    <w:p w:rsidR="00A31137" w:rsidRPr="00A31137" w:rsidRDefault="00A31137" w:rsidP="00A31137">
      <w:r w:rsidRPr="00A31137">
        <w:t>Public Papers of Clinton, 1993, p.1583</w:t>
      </w:r>
    </w:p>
    <w:p w:rsidR="00A31137" w:rsidRPr="00A31137" w:rsidRDefault="00A31137" w:rsidP="00A31137">
      <w:r w:rsidRPr="00A31137">
        <w:t>The President. That's right, they will be able to fund it. That's right. If it comes down on this issue, we keep all these Medicaid people from going into a revolutionary new system, then you're going to throw away a lot of the savings and deprive those people of a whole range of things that don't have anything to do with abortion, including higher quality care at lower cost.</w:t>
      </w:r>
    </w:p>
    <w:p w:rsidR="00A31137" w:rsidRPr="00A31137" w:rsidRDefault="00A31137" w:rsidP="00A31137">
      <w:r w:rsidRPr="00A31137">
        <w:t>Public Papers of Clinton, 1993, p.1583</w:t>
      </w:r>
    </w:p>
    <w:p w:rsidR="00A31137" w:rsidRPr="00A31137" w:rsidRDefault="00A31137" w:rsidP="00A31137">
      <w:r w:rsidRPr="00A31137">
        <w:t>Mr. Koppel. But that's clearly one of the political mine fields.</w:t>
      </w:r>
    </w:p>
    <w:p w:rsidR="00A31137" w:rsidRPr="00A31137" w:rsidRDefault="00A31137" w:rsidP="00A31137">
      <w:r w:rsidRPr="00A31137">
        <w:t>Public Papers of Clinton, 1993, p.1583</w:t>
      </w:r>
    </w:p>
    <w:p w:rsidR="00A31137" w:rsidRPr="00A31137" w:rsidRDefault="00A31137" w:rsidP="00A31137">
      <w:r w:rsidRPr="00A31137">
        <w:t>The President. That will he a big political mine field.</w:t>
      </w:r>
    </w:p>
    <w:p w:rsidR="00A31137" w:rsidRPr="00A31137" w:rsidRDefault="00A31137" w:rsidP="00A31137">
      <w:r w:rsidRPr="00A31137">
        <w:t>[The participant reiterated her opposition to the use of her tax money to fund abortions. ]</w:t>
      </w:r>
    </w:p>
    <w:p w:rsidR="00A31137" w:rsidRPr="00A31137" w:rsidRDefault="00A31137" w:rsidP="00A31137">
      <w:r w:rsidRPr="00A31137">
        <w:t>Public Papers of Clinton, 1993, p.1583</w:t>
      </w:r>
    </w:p>
    <w:p w:rsidR="00A31137" w:rsidRPr="00A31137" w:rsidRDefault="00A31137" w:rsidP="00A31137">
      <w:r w:rsidRPr="00A31137">
        <w:t>The President. Well, let me ask you—we are also personally and morally improving preventive and primary health services, and we'll actually stop some abortions from occurring with the kind of preventive services that we're going to cover for the first time in the history of this country.</w:t>
      </w:r>
    </w:p>
    <w:p w:rsidR="00A31137" w:rsidRPr="00A31137" w:rsidRDefault="00A31137" w:rsidP="00A31137">
      <w:r w:rsidRPr="00A31137">
        <w:t>Public Papers of Clinton, 1993, p.1583</w:t>
      </w:r>
    </w:p>
    <w:p w:rsidR="00A31137" w:rsidRPr="00A31137" w:rsidRDefault="00A31137" w:rsidP="00A31137">
      <w:r w:rsidRPr="00A31137">
        <w:t>This could be a subject for a whole other program. I have a difference of opinion from you about whether all abortions should be illegal. I do agree that there are way too many in the United States. I believe we need an aggressive, an aggressive plan to reduce teen pregnancy, to reduce unwanted pregnancies. One of the reasons I named the Surgeon General I did, my health department director, is because I'm committed to that. I believe we need an aggressive plan to promote adoptions in this country. If every pro-life advocate in America adopted a child, this world would be a better place.</w:t>
      </w:r>
    </w:p>
    <w:p w:rsidR="00A31137" w:rsidRPr="00A31137" w:rsidRDefault="00A31137" w:rsidP="00A31137">
      <w:r w:rsidRPr="00A31137">
        <w:t>Public Papers of Clinton, 1993, p.1583</w:t>
      </w:r>
    </w:p>
    <w:p w:rsidR="00A31137" w:rsidRPr="00A31137" w:rsidRDefault="00A31137" w:rsidP="00A31137">
      <w:r w:rsidRPr="00A31137">
        <w:t>I want this issue to be debated, and I haven't hedged with you. Most people will get this service covered because most private plans do it. And we propose for the first time ever to put Medicaid people in the big private plans to get the economies of scale. Not for the purpose of doing that, but basically to end this twotiered system we've had. So most will be covered. But some won't if they choose to join plans that don't cover them. Most plans do today.</w:t>
      </w:r>
    </w:p>
    <w:p w:rsidR="00A31137" w:rsidRPr="00A31137" w:rsidRDefault="00A31137" w:rsidP="00A31137">
      <w:r w:rsidRPr="00A31137">
        <w:t>Public Papers of Clinton, 1993, p.1583</w:t>
      </w:r>
    </w:p>
    <w:p w:rsidR="00A31137" w:rsidRPr="00A31137" w:rsidRDefault="00A31137" w:rsidP="00A31137">
      <w:r w:rsidRPr="00A31137">
        <w:t>Mr. Koppel. I met the gentleman over there just before we went on the air. I know be wants to talk about the homeless. But we're going to take a quick break. When we come hack—</w:t>
      </w:r>
    </w:p>
    <w:p w:rsidR="00A31137" w:rsidRPr="00A31137" w:rsidRDefault="00A31137" w:rsidP="00A31137">
      <w:r w:rsidRPr="00A31137">
        <w:t>Public Papers of Clinton, 1993, p.1583</w:t>
      </w:r>
    </w:p>
    <w:p w:rsidR="00A31137" w:rsidRPr="00A31137" w:rsidRDefault="00A31137" w:rsidP="00A31137">
      <w:r w:rsidRPr="00A31137">
        <w:t>The President. He's been the most patient person here. We've got to hear from him.</w:t>
      </w:r>
    </w:p>
    <w:p w:rsidR="00A31137" w:rsidRPr="00A31137" w:rsidRDefault="00A31137" w:rsidP="00A31137">
      <w:r w:rsidRPr="00A31137">
        <w:t>Public Papers of Clinton, 1993, p.1583</w:t>
      </w:r>
    </w:p>
    <w:p w:rsidR="00A31137" w:rsidRPr="00A31137" w:rsidRDefault="00A31137" w:rsidP="00A31137">
      <w:r w:rsidRPr="00A31137">
        <w:t>Mr. Koppel. We'll be back in a moment.</w:t>
      </w:r>
    </w:p>
    <w:p w:rsidR="00A31137" w:rsidRPr="00A31137" w:rsidRDefault="00A31137" w:rsidP="00A31137">
      <w:r w:rsidRPr="00A31137">
        <w:t>[The network took a commercial break.]</w:t>
      </w:r>
    </w:p>
    <w:p w:rsidR="00A31137" w:rsidRPr="00A31137" w:rsidRDefault="00A31137" w:rsidP="00A31137">
      <w:r w:rsidRPr="00A31137">
        <w:t>Public Papers of Clinton, 1993, p.1583</w:t>
      </w:r>
    </w:p>
    <w:p w:rsidR="00A31137" w:rsidRPr="00A31137" w:rsidRDefault="00A31137" w:rsidP="00A31137">
      <w:r w:rsidRPr="00A31137">
        <w:t>Mr. Koppel. There's another one of our poll results. Under Clinton's plan, will you pay more? Forty-nine percent think they will pay more; 10 percent think they'll pay less; 33 percent, about the same. Again, as I said earlier, you've got some missionary work to do here.</w:t>
      </w:r>
    </w:p>
    <w:p w:rsidR="00A31137" w:rsidRPr="00A31137" w:rsidRDefault="00A31137" w:rsidP="00A31137">
      <w:r w:rsidRPr="00A31137">
        <w:t>Public Papers of Clinton, 1993, p.1583</w:t>
      </w:r>
    </w:p>
    <w:p w:rsidR="00A31137" w:rsidRPr="00A31137" w:rsidRDefault="00A31137" w:rsidP="00A31137">
      <w:r w:rsidRPr="00A31137">
        <w:t>The President. But that's because people can't imagine how much waste there is in this system. Today, we spend over 14 percent of our income as a nation on health care. Canada spends 10; Germany is tinder 9; Japan is under 9. The German system, which is the most like what I propose, is a private system where large groups of employers and employees can work with health care providers to provide a wide range of services at low cost. But the administrative cost is much less than we have, although they cover more people and about the same number of services.</w:t>
      </w:r>
    </w:p>
    <w:p w:rsidR="00A31137" w:rsidRPr="00A31137" w:rsidRDefault="00A31137" w:rsidP="00A31137">
      <w:r w:rsidRPr="00A31137">
        <w:t>Public Papers of Clinton, 1993, p.1583–p.1584</w:t>
      </w:r>
    </w:p>
    <w:p w:rsidR="00A31137" w:rsidRPr="00A31137" w:rsidRDefault="00A31137" w:rsidP="00A31137">
      <w:r w:rsidRPr="00A31137">
        <w:t>Mr. Koppel. You also know, and you've heard your critics say, they look at the Canadian system, and they start counting the Canadians who cross the border and come over to Detroit, because [p.1584] when it comes to optional surgery, optional procedures, they have to wait 3 months, 6 months, 9 months, a year. And they get so frenzied over this that rather than wait, they come over to the United States. Now, those people will tell you, "Whatever you do, don't exchange what you're got for what we've got."</w:t>
      </w:r>
    </w:p>
    <w:p w:rsidR="00A31137" w:rsidRPr="00A31137" w:rsidRDefault="00A31137" w:rsidP="00A31137">
      <w:r w:rsidRPr="00A31137">
        <w:t>Public Papers of Clinton, 1993, p.1584</w:t>
      </w:r>
    </w:p>
    <w:p w:rsidR="00A31137" w:rsidRPr="00A31137" w:rsidRDefault="00A31137" w:rsidP="00A31137">
      <w:r w:rsidRPr="00A31137">
        <w:t>The President. But we don't do that. In other words, keep in mind, I am not proposing to bring our cost level clown to the level of Canada, much less Germany. What I am proposing is to slow the rate of increase, which if we don't slow it, by the end of the decade we'll be spending roughly 19 percent of our income on health care. Canada will be about 11, and everybody else will be under 10. And that is a huge economic disadvantage in a global economy. It also means a lot of workers just give up all their pay increases. We are not proposing to cut spending on health care. We're proposing to increase spending on health care quite briskly but not as much as we're going to if we don't change the system.</w:t>
      </w:r>
    </w:p>
    <w:p w:rsidR="00A31137" w:rsidRPr="00A31137" w:rsidRDefault="00A31137" w:rsidP="00A31137">
      <w:r w:rsidRPr="00A31137">
        <w:t>Public Papers of Clinton, 1993, p.1584</w:t>
      </w:r>
    </w:p>
    <w:p w:rsidR="00A31137" w:rsidRPr="00A31137" w:rsidRDefault="00A31137" w:rsidP="00A31137">
      <w:r w:rsidRPr="00A31137">
        <w:t>Mr. Koppel. So fundamentally, the people in that poll are right. Those who think that they're going to end up paying more, they will</w:t>
      </w:r>
    </w:p>
    <w:p w:rsidR="00A31137" w:rsidRPr="00A31137" w:rsidRDefault="00A31137" w:rsidP="00A31137">
      <w:r w:rsidRPr="00A31137">
        <w:t>Public Papers of Clinton, 1993, p.1584</w:t>
      </w:r>
    </w:p>
    <w:p w:rsidR="00A31137" w:rsidRPr="00A31137" w:rsidRDefault="00A31137" w:rsidP="00A31137">
      <w:r w:rsidRPr="00A31137">
        <w:t>The President. They'll pay more, the system, no.</w:t>
      </w:r>
    </w:p>
    <w:p w:rsidR="00A31137" w:rsidRPr="00A31137" w:rsidRDefault="00A31137" w:rsidP="00A31137">
      <w:r w:rsidRPr="00A31137">
        <w:t>Public Papers of Clinton, 1993, p.1584</w:t>
      </w:r>
    </w:p>
    <w:p w:rsidR="00A31137" w:rsidRPr="00A31137" w:rsidRDefault="00A31137" w:rsidP="00A31137">
      <w:r w:rsidRPr="00A31137">
        <w:t>Mr. Koppel. They may get more, but they're going to pay more.</w:t>
      </w:r>
    </w:p>
    <w:p w:rsidR="00A31137" w:rsidRPr="00A31137" w:rsidRDefault="00A31137" w:rsidP="00A31137">
      <w:r w:rsidRPr="00A31137">
        <w:t>Public Papers of Clinton, 1993, p.1584</w:t>
      </w:r>
    </w:p>
    <w:p w:rsidR="00A31137" w:rsidRPr="00A31137" w:rsidRDefault="00A31137" w:rsidP="00A31137">
      <w:r w:rsidRPr="00A31137">
        <w:t>The President. The system will cost more, but they will pay much less under my plan than if we do nothing. Keep in mind, of the 85 percent of the people with health insurance, two-thirds of them will pay the same or less for the same or better benefits.</w:t>
      </w:r>
    </w:p>
    <w:p w:rsidR="00A31137" w:rsidRPr="00A31137" w:rsidRDefault="00A31137" w:rsidP="00A31137">
      <w:r w:rsidRPr="00A31137">
        <w:t>Public Papers of Clinton, 1993, p.1584</w:t>
      </w:r>
    </w:p>
    <w:p w:rsidR="00A31137" w:rsidRPr="00A31137" w:rsidRDefault="00A31137" w:rsidP="00A31137">
      <w:r w:rsidRPr="00A31137">
        <w:t>Mr. Koppel. No, I hear you. But let me try and state it one more time. You tell me if I'm wrong. Under the existing system, you're going to end up paying more.</w:t>
      </w:r>
    </w:p>
    <w:p w:rsidR="00A31137" w:rsidRPr="00A31137" w:rsidRDefault="00A31137" w:rsidP="00A31137">
      <w:r w:rsidRPr="00A31137">
        <w:t>Public Papers of Clinton, 1993, p.1584</w:t>
      </w:r>
    </w:p>
    <w:p w:rsidR="00A31137" w:rsidRPr="00A31137" w:rsidRDefault="00A31137" w:rsidP="00A31137">
      <w:r w:rsidRPr="00A31137">
        <w:t>The President. Much more.</w:t>
      </w:r>
    </w:p>
    <w:p w:rsidR="00A31137" w:rsidRPr="00A31137" w:rsidRDefault="00A31137" w:rsidP="00A31137">
      <w:r w:rsidRPr="00A31137">
        <w:t>Public Papers of Clinton, 1993, p.1584</w:t>
      </w:r>
    </w:p>
    <w:p w:rsidR="00A31137" w:rsidRPr="00A31137" w:rsidRDefault="00A31137" w:rsidP="00A31137">
      <w:r w:rsidRPr="00A31137">
        <w:t>Mr. Koppel. Under your system, you're going to end up paying more. But you're saying under your system you're going to end up paying a smaller amount more than you would in the existing—</w:t>
      </w:r>
    </w:p>
    <w:p w:rsidR="00A31137" w:rsidRPr="00A31137" w:rsidRDefault="00A31137" w:rsidP="00A31137">
      <w:r w:rsidRPr="00A31137">
        <w:t>Public Papers of Clinton, 1993, p.1584</w:t>
      </w:r>
    </w:p>
    <w:p w:rsidR="00A31137" w:rsidRPr="00A31137" w:rsidRDefault="00A31137" w:rsidP="00A31137">
      <w:r w:rsidRPr="00A31137">
        <w:t>The President. That's right. You'll pay over the next 5 years much less under n)y system, my proposal, much less than you'll pay if you stay with the system we've got. And you get better benefits and security. You will never lose your health care.</w:t>
      </w:r>
    </w:p>
    <w:p w:rsidR="00A31137" w:rsidRPr="00A31137" w:rsidRDefault="00A31137" w:rsidP="00A31137">
      <w:r w:rsidRPr="00A31137">
        <w:t>Public Papers of Clinton, 1993, p.1584</w:t>
      </w:r>
    </w:p>
    <w:p w:rsidR="00A31137" w:rsidRPr="00A31137" w:rsidRDefault="00A31137" w:rsidP="00A31137">
      <w:r w:rsidRPr="00A31137">
        <w:t>Mr. Koppel. This gentleman has been standing there most of the night. Go ahead, sir.</w:t>
      </w:r>
    </w:p>
    <w:p w:rsidR="00A31137" w:rsidRPr="00A31137" w:rsidRDefault="00A31137" w:rsidP="00A31137">
      <w:r w:rsidRPr="00A31137">
        <w:t>[A participant asked if temporary workers would be included in the new plan.]</w:t>
      </w:r>
    </w:p>
    <w:p w:rsidR="00A31137" w:rsidRPr="00A31137" w:rsidRDefault="00A31137" w:rsidP="00A31137">
      <w:r w:rsidRPr="00A31137">
        <w:t>Public Papers of Clinton, 1993, p.1584</w:t>
      </w:r>
    </w:p>
    <w:p w:rsidR="00A31137" w:rsidRPr="00A31137" w:rsidRDefault="00A31137" w:rsidP="00A31137">
      <w:r w:rsidRPr="00A31137">
        <w:t>The President. The short answer to that is somebody will be held accountable to them. For people who are temporary workers, it depends upon how they're ultimately classified under the tax system. For example, if you're a temporary worker and you work for an employer, and you're on that employer's payroll for, let's say as much as 10 hours a week, then that employer would prorate his payments, or her payments, for the temporary worker. They'd have to pay a third the normal rate. If they're on the payroll for 20 hours a week, they pay two-thirds the normal rate. If the temporary employee is listed as being on the payroll of the temporary company, then they would pay. If the temporary employee is an independent contractor under the Tax Code, then the temporary employee would have to buy his or her own insurance, just like the paint contractor. But depending on the income, they'd be eligible for a discount, and they'd have 100 percent tax deductibility.</w:t>
      </w:r>
    </w:p>
    <w:p w:rsidR="00A31137" w:rsidRPr="00A31137" w:rsidRDefault="00A31137" w:rsidP="00A31137">
      <w:r w:rsidRPr="00A31137">
        <w:t>Public Papers of Clinton, 1993, p.1584</w:t>
      </w:r>
    </w:p>
    <w:p w:rsidR="00A31137" w:rsidRPr="00A31137" w:rsidRDefault="00A31137" w:rsidP="00A31137">
      <w:r w:rsidRPr="00A31137">
        <w:t>So the answer is, the temporary employees will be covered. Who pays and how depends on how they are classified under the Tax Code. But either the temp company, the company for which they're working part-time, or if they're independent contractors, they, themselves, they will get coverage at an affordable rate.</w:t>
      </w:r>
    </w:p>
    <w:p w:rsidR="00A31137" w:rsidRPr="00A31137" w:rsidRDefault="00A31137" w:rsidP="00A31137">
      <w:r w:rsidRPr="00A31137">
        <w:t>Public Papers of Clinton, 1993, p.1584</w:t>
      </w:r>
    </w:p>
    <w:p w:rsidR="00A31137" w:rsidRPr="00A31137" w:rsidRDefault="00A31137" w:rsidP="00A31137">
      <w:r w:rsidRPr="00A31137">
        <w:t>Mr. Koppel. Mr. President, as I told you, we have three practicing physicians out at the University of Chicago. One of them, Dr. Mark Siegler, would like to either make a comment or ask a question.</w:t>
      </w:r>
    </w:p>
    <w:p w:rsidR="00A31137" w:rsidRPr="00A31137" w:rsidRDefault="00A31137" w:rsidP="00A31137">
      <w:r w:rsidRPr="00A31137">
        <w:t>Public Papers of Clinton, 1993, p.1584</w:t>
      </w:r>
    </w:p>
    <w:p w:rsidR="00A31137" w:rsidRPr="00A31137" w:rsidRDefault="00A31137" w:rsidP="00A31137">
      <w:r w:rsidRPr="00A31137">
        <w:t>Go ahead, Dr. Siegler.</w:t>
      </w:r>
    </w:p>
    <w:p w:rsidR="00A31137" w:rsidRPr="00A31137" w:rsidRDefault="00A31137" w:rsidP="00A31137">
      <w:r w:rsidRPr="00A31137">
        <w:t>[Dr. Mark Siegler asked about quality of patient care under the new plan. ]</w:t>
      </w:r>
    </w:p>
    <w:p w:rsidR="00A31137" w:rsidRPr="00A31137" w:rsidRDefault="00A31137" w:rsidP="00A31137">
      <w:r w:rsidRPr="00A31137">
        <w:t>Public Papers of Clinton, 1993, p.1584–p.1585</w:t>
      </w:r>
    </w:p>
    <w:p w:rsidR="00A31137" w:rsidRPr="00A31137" w:rsidRDefault="00A31137" w:rsidP="00A31137">
      <w:r w:rsidRPr="00A31137">
        <w:t>The President. If you look at the plan the way it operates, and I would urge you to read it carefully, we will actually provide more funding for medical research than we are now, more funding for health education centers than we are now. Each employee in the country will get at least three choices of plans. They might choose an HMO which, you're right, would then have a closed panel of doctors which would limit the number of doctors. But we know that there are a lot of HMO's that have very high patient satisfaction, the ones that are really well run. But they might also choose a preferred provider organization, and under our rules, no PPO can [p.1585] deny interest to any doctor that wanted to be a part of it. So a doctor could join a lot of different organizations so that the doctor could, in effect, be available to all his or her patients, even after this reform takes place. And finally, keep in mind, if you look at the package of comprehensive benefits here, virtually all Americans with insurance now would get the same benefits that Fortune 500 companies enjoy and much better than they have now. So we want to preserve choice; we want to preserve quality; we want to preserve a range of benefits.</w:t>
      </w:r>
    </w:p>
    <w:p w:rsidR="00A31137" w:rsidRPr="00A31137" w:rsidRDefault="00A31137" w:rsidP="00A31137">
      <w:r w:rsidRPr="00A31137">
        <w:t>Public Papers of Clinton, 1993, p.1585</w:t>
      </w:r>
    </w:p>
    <w:p w:rsidR="00A31137" w:rsidRPr="00A31137" w:rsidRDefault="00A31137" w:rsidP="00A31137">
      <w:r w:rsidRPr="00A31137">
        <w:t>Also, one of these plans, every employee will have the option today, under this plan, to choose fee-for-service medicine. Today in America, only one-third of the insured employees in this cormtry have an option of more than one plan.</w:t>
      </w:r>
    </w:p>
    <w:p w:rsidR="00A31137" w:rsidRPr="00A31137" w:rsidRDefault="00A31137" w:rsidP="00A31137">
      <w:r w:rsidRPr="00A31137">
        <w:t>Public Papers of Clinton, 1993, p.1585</w:t>
      </w:r>
    </w:p>
    <w:p w:rsidR="00A31137" w:rsidRPr="00A31137" w:rsidRDefault="00A31137" w:rsidP="00A31137">
      <w:r w:rsidRPr="00A31137">
        <w:t>Mr. Koppel. Mr. President, let me jump in for just one moment. What I'm hearing in my ear is that some of those who have your best interest at heart, namely members of your staff, are very concerned that you not spend too much of this night with this, because you've got a big day tomorrow. So I want to let the audience know that we are in the process of winding down.</w:t>
      </w:r>
    </w:p>
    <w:p w:rsidR="00A31137" w:rsidRPr="00A31137" w:rsidRDefault="00A31137" w:rsidP="00A31137">
      <w:r w:rsidRPr="00A31137">
        <w:t>Public Papers of Clinton, 1993, p.1585</w:t>
      </w:r>
    </w:p>
    <w:p w:rsidR="00A31137" w:rsidRPr="00A31137" w:rsidRDefault="00A31137" w:rsidP="00A31137">
      <w:r w:rsidRPr="00A31137">
        <w:t>I would like to have maybe two or three more questions. Would that be all right with you?</w:t>
      </w:r>
    </w:p>
    <w:p w:rsidR="00A31137" w:rsidRPr="00A31137" w:rsidRDefault="00A31137" w:rsidP="00A31137">
      <w:r w:rsidRPr="00A31137">
        <w:t>Public Papers of Clinton, 1993, p.1585</w:t>
      </w:r>
    </w:p>
    <w:p w:rsidR="00A31137" w:rsidRPr="00A31137" w:rsidRDefault="00A31137" w:rsidP="00A31137">
      <w:r w:rsidRPr="00A31137">
        <w:t>The President. Sure.</w:t>
      </w:r>
    </w:p>
    <w:p w:rsidR="00A31137" w:rsidRPr="00A31137" w:rsidRDefault="00A31137" w:rsidP="00A31137">
      <w:r w:rsidRPr="00A31137">
        <w:t>Public Papers of Clinton, 1993, p.1585</w:t>
      </w:r>
    </w:p>
    <w:p w:rsidR="00A31137" w:rsidRPr="00A31137" w:rsidRDefault="00A31137" w:rsidP="00A31137">
      <w:r w:rsidRPr="00A31137">
        <w:t>Mr. Koppel. And then we will bring this program to a close. I suppose it's also appropriate at this point to note that, believe me, this is not going to he the last you hear on this subject. Either pro or con, the President's plan, it is just the beginning of what promises to be a long national debate. But I think you've had an extraordinary opportunity here to at least hear from the man who is behind what is clearly one of the most ambitions health plans that this country has ever seen.</w:t>
      </w:r>
    </w:p>
    <w:p w:rsidR="00A31137" w:rsidRPr="00A31137" w:rsidRDefault="00A31137" w:rsidP="00A31137">
      <w:r w:rsidRPr="00A31137">
        <w:t>[A pharmacist asked if patients would be able to get prescriptions at the pharmacy of their choice. ]</w:t>
      </w:r>
    </w:p>
    <w:p w:rsidR="00A31137" w:rsidRPr="00A31137" w:rsidRDefault="00A31137" w:rsidP="00A31137">
      <w:r w:rsidRPr="00A31137">
        <w:t>Public Papers of Clinton, 1993, p.1585</w:t>
      </w:r>
    </w:p>
    <w:p w:rsidR="00A31137" w:rsidRPr="00A31137" w:rsidRDefault="00A31137" w:rsidP="00A31137">
      <w:r w:rsidRPr="00A31137">
        <w:t>The President. Yes, sir, you can, and that's why the Pharmaceutical Association of the United States—Association of Pharmacists bas already endorsed our plan, and they were up until 2 a.m. last night sending out press releases around the country, saying that this is a good deal for your neighborhood pharmacy.</w:t>
      </w:r>
    </w:p>
    <w:p w:rsidR="00A31137" w:rsidRPr="00A31137" w:rsidRDefault="00A31137" w:rsidP="00A31137">
      <w:r w:rsidRPr="00A31137">
        <w:t>[The mother of a boy with congenital heart defects asked if they would be denied access to quality service under the new plan.]</w:t>
      </w:r>
    </w:p>
    <w:p w:rsidR="00A31137" w:rsidRPr="00A31137" w:rsidRDefault="00A31137" w:rsidP="00A31137">
      <w:r w:rsidRPr="00A31137">
        <w:t>Public Papers of Clinton, 1993, p.1585</w:t>
      </w:r>
    </w:p>
    <w:p w:rsidR="00A31137" w:rsidRPr="00A31137" w:rsidRDefault="00A31137" w:rsidP="00A31137">
      <w:r w:rsidRPr="00A31137">
        <w:t>The President. No.</w:t>
      </w:r>
    </w:p>
    <w:p w:rsidR="00A31137" w:rsidRPr="00A31137" w:rsidRDefault="00A31137" w:rsidP="00A31137">
      <w:r w:rsidRPr="00A31137">
        <w:t>Public Papers of Clinton, 1993, p.1585</w:t>
      </w:r>
    </w:p>
    <w:p w:rsidR="00A31137" w:rsidRPr="00A31137" w:rsidRDefault="00A31137" w:rsidP="00A31137">
      <w:r w:rsidRPr="00A31137">
        <w:t>Q. Because we can't afford to pay 20 percent of a hospital bill that is in excess of $100,000, $200,000.</w:t>
      </w:r>
    </w:p>
    <w:p w:rsidR="00A31137" w:rsidRPr="00A31137" w:rsidRDefault="00A31137" w:rsidP="00A31137">
      <w:r w:rsidRPr="00A31137">
        <w:t>Public Papers of Clinton, 1993, p.1585</w:t>
      </w:r>
    </w:p>
    <w:p w:rsidR="00A31137" w:rsidRPr="00A31137" w:rsidRDefault="00A31137" w:rsidP="00A31137">
      <w:r w:rsidRPr="00A31137">
        <w:t>The President. No, absolutely not. If you have a plan now that covers all your benefits, if anything your employer will bare more incentive to continue to cover you, because their costs will go up less in the future than they would now.</w:t>
      </w:r>
    </w:p>
    <w:p w:rsidR="00A31137" w:rsidRPr="00A31137" w:rsidRDefault="00A31137" w:rsidP="00A31137">
      <w:r w:rsidRPr="00A31137">
        <w:t>Public Papers of Clinton, 1993, p.1585</w:t>
      </w:r>
    </w:p>
    <w:p w:rsidR="00A31137" w:rsidRPr="00A31137" w:rsidRDefault="00A31137" w:rsidP="00A31137">
      <w:r w:rsidRPr="00A31137">
        <w:t>Keep in mind, this 20 percent requirement for the employee to pay is for all those who don't have any coverage now. And It's not a requirement on the employee; it's a limit on how much the employee can pay. The employee cannot be required to pay more than 20 percent. If the employer wants to pay more, they can. The truth is, it's largely going in the other direction today for most folks. So if you have a good health insurance plan and it pays more than 80 percent, nothing in this plan will change that. In fact, your employer should be more willing to do it, because in the aggregate their costs will go up less in the future than they will if we stay with the same system.</w:t>
      </w:r>
    </w:p>
    <w:p w:rsidR="00A31137" w:rsidRPr="00A31137" w:rsidRDefault="00A31137" w:rsidP="00A31137">
      <w:r w:rsidRPr="00A31137">
        <w:t>Public Papers of Clinton, 1993, p.1585</w:t>
      </w:r>
    </w:p>
    <w:p w:rsidR="00A31137" w:rsidRPr="00A31137" w:rsidRDefault="00A31137" w:rsidP="00A31137">
      <w:r w:rsidRPr="00A31137">
        <w:t>I talked today to a half a dozen people who said that their contribution share was going up, up, up. And it was going to be over 20 percent before long, and they were glad to know there was a ceiling on it. All we're trying to do is to put a ceiling on it, not a floor.</w:t>
      </w:r>
    </w:p>
    <w:p w:rsidR="00A31137" w:rsidRPr="00A31137" w:rsidRDefault="00A31137" w:rsidP="00A31137">
      <w:r w:rsidRPr="00A31137">
        <w:t>Public Papers of Clinton, 1993, p.1585</w:t>
      </w:r>
    </w:p>
    <w:p w:rsidR="00A31137" w:rsidRPr="00A31137" w:rsidRDefault="00A31137" w:rsidP="00A31137">
      <w:r w:rsidRPr="00A31137">
        <w:t>Q. Thank you.</w:t>
      </w:r>
    </w:p>
    <w:p w:rsidR="00A31137" w:rsidRPr="00A31137" w:rsidRDefault="00A31137" w:rsidP="00A31137">
      <w:r w:rsidRPr="00A31137">
        <w:t>Public Papers of Clinton, 1993, p.1585</w:t>
      </w:r>
    </w:p>
    <w:p w:rsidR="00A31137" w:rsidRPr="00A31137" w:rsidRDefault="00A31137" w:rsidP="00A31137">
      <w:r w:rsidRPr="00A31137">
        <w:t>Mr. Koppel. Mr. President, we've got one more question. And you, sir, have the last question. Go ahead.</w:t>
      </w:r>
    </w:p>
    <w:p w:rsidR="00A31137" w:rsidRPr="00A31137" w:rsidRDefault="00A31137" w:rsidP="00A31137">
      <w:r w:rsidRPr="00A31137">
        <w:t>[A participant asked if all insurance companies would be required to open their provider lists to all qualified doctors under the new plan.]</w:t>
      </w:r>
    </w:p>
    <w:p w:rsidR="00A31137" w:rsidRPr="00A31137" w:rsidRDefault="00A31137" w:rsidP="00A31137">
      <w:r w:rsidRPr="00A31137">
        <w:t>Public Papers of Clinton, 1993, p.1585–p.1586</w:t>
      </w:r>
    </w:p>
    <w:p w:rsidR="00A31137" w:rsidRPr="00A31137" w:rsidRDefault="00A31137" w:rsidP="00A31137">
      <w:r w:rsidRPr="00A31137">
        <w:t>The President. The short answer to that is yes. Keep in mind, we want to give the employee the choice. What happened to your patients was the employer made the decision to go with another health plan that closed out certain doctors. We want to give the employee the right to go with a closed panel HMO if they think that's good—health maintenance organization-if they think they get better prices and they think they get adequate services. But we also want to give the employee other options, including to continue dealing with you as a feefor-service doctor, or working with a group of [p.1586] doctors in which you have an absolute legal right to be a part.</w:t>
      </w:r>
    </w:p>
    <w:p w:rsidR="00A31137" w:rsidRPr="00A31137" w:rsidRDefault="00A31137" w:rsidP="00A31137">
      <w:r w:rsidRPr="00A31137">
        <w:t>Public Papers of Clinton, 1993, p.1586</w:t>
      </w:r>
    </w:p>
    <w:p w:rsidR="00A31137" w:rsidRPr="00A31137" w:rsidRDefault="00A31137" w:rsidP="00A31137">
      <w:r w:rsidRPr="00A31137">
        <w:t>Now, if that happened today, the fee-for-service option might be a little more expensive. But what I think will happen is that you and other doctors—what I'm banking on is that the physicians of this country will get together and offer their services at reasonably competitive rates so that people will be able to maintain a maximum of individual choice. But it is legally mandated that every employee in the country will have the option to choose fee-for-service medicine or a panel of doctors, which has to remain open for any doctors who want to join so that doctors can be in multiple panels. And so we're going to increase choice of physicians, not decrease choice of physicians for most Americans. That's a very important value, and we have to pursue it.</w:t>
      </w:r>
    </w:p>
    <w:p w:rsidR="00A31137" w:rsidRPr="00A31137" w:rsidRDefault="00A31137" w:rsidP="00A31137">
      <w:r w:rsidRPr="00A31137">
        <w:t>Public Papers of Clinton, 1993, p.1586</w:t>
      </w:r>
    </w:p>
    <w:p w:rsidR="00A31137" w:rsidRPr="00A31137" w:rsidRDefault="00A31137" w:rsidP="00A31137">
      <w:r w:rsidRPr="00A31137">
        <w:t>Mr. Koppel. All right. President Clinton, please excuse my back. I just want to express a personal note of thanks to you for coming here this evening. I know there are an awful lot of people, possibly many in this audience, who wished they'd had the opportunity to pose questions to you or to criticize certain aspects of the plan. Over the course of the next year, I'd also like to say to your adversaries out there who are watching us and who have criticisms that they too will have access to ibis program and many others.</w:t>
      </w:r>
    </w:p>
    <w:p w:rsidR="00A31137" w:rsidRPr="00A31137" w:rsidRDefault="00A31137" w:rsidP="00A31137">
      <w:r w:rsidRPr="00A31137">
        <w:t>Public Papers of Clinton, 1993, p.1586</w:t>
      </w:r>
    </w:p>
    <w:p w:rsidR="00A31137" w:rsidRPr="00A31137" w:rsidRDefault="00A31137" w:rsidP="00A31137">
      <w:r w:rsidRPr="00A31137">
        <w:t>There is something wonderful, however, about being able to bring an American President and an audience of 1,000 of his constituents together for this kind of an exchange. And I know you'll want to express your gratitude to the President, as I do now. Thank you. [Applause]</w:t>
      </w:r>
    </w:p>
    <w:p w:rsidR="00A31137" w:rsidRPr="00A31137" w:rsidRDefault="00A31137" w:rsidP="00A31137">
      <w:r w:rsidRPr="00A31137">
        <w:t>Public Papers of Clinton, 1993, p.1586</w:t>
      </w:r>
    </w:p>
    <w:p w:rsidR="00A31137" w:rsidRPr="00A31137" w:rsidRDefault="00A31137" w:rsidP="00A31137">
      <w:r w:rsidRPr="00A31137">
        <w:t>The President. Thank you, folks.</w:t>
      </w:r>
    </w:p>
    <w:p w:rsidR="00A31137" w:rsidRPr="00A31137" w:rsidRDefault="00A31137" w:rsidP="00A31137">
      <w:r w:rsidRPr="00A31137">
        <w:t>Public Papers of Clinton, 1993, p.1586</w:t>
      </w:r>
    </w:p>
    <w:p w:rsidR="00A31137" w:rsidRPr="00A31137" w:rsidRDefault="00A31137" w:rsidP="00A31137">
      <w:r w:rsidRPr="00A31137">
        <w:t>NOTE: The town meeting began at 10:10 p.m. in the Playhouse at the Tampa Bay Performing Arts Center.</w:t>
      </w:r>
    </w:p>
    <w:p w:rsidR="00A31137" w:rsidRPr="00A31137" w:rsidRDefault="00A31137" w:rsidP="00A31137">
      <w:r w:rsidRPr="00A31137">
        <w:t>President Clinton's Statement on Support for the North American Free Trade Agreement</w:t>
      </w:r>
    </w:p>
    <w:p w:rsidR="00A31137" w:rsidRPr="00A31137" w:rsidRDefault="00A31137" w:rsidP="00A31137">
      <w:r w:rsidRPr="00A31137">
        <w:t>Title:</w:t>
      </w:r>
      <w:r w:rsidRPr="00A31137">
        <w:tab/>
        <w:t>President Clinton's Statement on Support for the North American Free Trade Agreement, 1993</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October 12, 1993</w:t>
      </w:r>
    </w:p>
    <w:p w:rsidR="00A31137" w:rsidRPr="00A31137" w:rsidRDefault="00A31137" w:rsidP="00A31137">
      <w:r w:rsidRPr="00A31137">
        <w:t>Source:</w:t>
      </w:r>
      <w:r w:rsidRPr="00A31137">
        <w:tab/>
        <w:t>Public Papers of the Presidents, Clinton, 1993, p.1738</w:t>
      </w:r>
    </w:p>
    <w:p w:rsidR="00A31137" w:rsidRPr="00A31137" w:rsidRDefault="00A31137" w:rsidP="00A31137">
      <w:r w:rsidRPr="00A31137">
        <w:t>Public Papers of Clinton, 1993, p.1738</w:t>
      </w:r>
    </w:p>
    <w:p w:rsidR="00A31137" w:rsidRPr="00A31137" w:rsidRDefault="00A31137" w:rsidP="00A31137">
      <w:r w:rsidRPr="00A31137">
        <w:t>I am very pleased today to acknowledge the efforts of President Bush, President Carter, and President Ford in convening a group of prominent citizens for NAFTA. Never before have former Presidents joined forces to speak to the Nation about such a pressing issue.</w:t>
      </w:r>
    </w:p>
    <w:p w:rsidR="00A31137" w:rsidRPr="00A31137" w:rsidRDefault="00A31137" w:rsidP="00A31137">
      <w:r w:rsidRPr="00A31137">
        <w:t>Public Papers of Clinton, 1993, p.1738</w:t>
      </w:r>
    </w:p>
    <w:p w:rsidR="00A31137" w:rsidRPr="00A31137" w:rsidRDefault="00A31137" w:rsidP="00A31137">
      <w:r w:rsidRPr="00A31137">
        <w:t>This group includes distinguished Americans who have demonstrated achievement in such diverse fields as government, industry, and civil rights. These individuals have taken many paths to prominence, but they have come to a common conclusion that this trade pact is good for America and good for America's economic fortunes.</w:t>
      </w:r>
    </w:p>
    <w:p w:rsidR="00A31137" w:rsidRPr="00A31137" w:rsidRDefault="00A31137" w:rsidP="00A31137">
      <w:r w:rsidRPr="00A31137">
        <w:t>Public Papers of Clinton, 1993, p.1738</w:t>
      </w:r>
    </w:p>
    <w:p w:rsidR="00A31137" w:rsidRPr="00A31137" w:rsidRDefault="00A31137" w:rsidP="00A31137">
      <w:r w:rsidRPr="00A31137">
        <w:t>This debate is fundamentally about creating jobs and defining America's role in an increasingly competitive global economy. Our fundamental choice is whether we will respond to change and create the high wage jobs of tomorrow or attempt to cling to the jobs of the past. America is always at its best when we look to the future.</w:t>
      </w:r>
    </w:p>
    <w:p w:rsidR="00A31137" w:rsidRPr="00A31137" w:rsidRDefault="00A31137" w:rsidP="00A31137">
      <w:r w:rsidRPr="00A31137">
        <w:t>Public Papers of Clinton, 1993, p.1738</w:t>
      </w:r>
    </w:p>
    <w:p w:rsidR="00A31137" w:rsidRPr="00A31137" w:rsidRDefault="00A31137" w:rsidP="00A31137">
      <w:r w:rsidRPr="00A31137">
        <w:t>While I continue to be concerned about America's rate of economic growth, it is increasingly clear that exports are a key factor in boosting our economy. NAFTA represents the best immediate opportunity to expand our markets and create new jobs at home.</w:t>
      </w:r>
    </w:p>
    <w:p w:rsidR="00A31137" w:rsidRPr="00A31137" w:rsidRDefault="00A31137" w:rsidP="00A31137">
      <w:r w:rsidRPr="00A31137">
        <w:t>Public Papers of Clinton, 1993, p.1738</w:t>
      </w:r>
    </w:p>
    <w:p w:rsidR="00A31137" w:rsidRPr="00A31137" w:rsidRDefault="00A31137" w:rsidP="00A31137">
      <w:r w:rsidRPr="00A31137">
        <w:t>I am increasingly confident that this agreement will be approved by Congress. When thoughtful people look at the facts about NAFTA, they will come to the same conclusion as this group of distinguished Americans. I am hopeful that this group will elevate the debate about NAFTA and participate vigorously in the discussion about which direction America should take.</w:t>
      </w:r>
    </w:p>
    <w:p w:rsidR="00A31137" w:rsidRPr="00A31137" w:rsidRDefault="00A31137" w:rsidP="00A31137">
      <w:r w:rsidRPr="00A31137">
        <w:t>President Clinton's Remarks on Signing the Religious Freedom Restoration Act of 1993</w:t>
      </w:r>
    </w:p>
    <w:p w:rsidR="00A31137" w:rsidRPr="00A31137" w:rsidRDefault="00A31137" w:rsidP="00A31137">
      <w:r w:rsidRPr="00A31137">
        <w:t>Title:</w:t>
      </w:r>
      <w:r w:rsidRPr="00A31137">
        <w:tab/>
        <w:t>President Clinton's Remarks on Signing the Religious Freedom Restoration Act of 1993</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November 16, 1993</w:t>
      </w:r>
    </w:p>
    <w:p w:rsidR="00A31137" w:rsidRPr="00A31137" w:rsidRDefault="00A31137" w:rsidP="00A31137">
      <w:r w:rsidRPr="00A31137">
        <w:t>Source:</w:t>
      </w:r>
      <w:r w:rsidRPr="00A31137">
        <w:tab/>
        <w:t>Public Papers of the Presidents, Clinton, 1993, pp.2000-2001</w:t>
      </w:r>
    </w:p>
    <w:p w:rsidR="00A31137" w:rsidRPr="00A31137" w:rsidRDefault="00A31137" w:rsidP="00A31137">
      <w:r w:rsidRPr="00A31137">
        <w:t>Public Papers of Clinton, 1993, p.2000</w:t>
      </w:r>
    </w:p>
    <w:p w:rsidR="00A31137" w:rsidRPr="00A31137" w:rsidRDefault="00A31137" w:rsidP="00A31137">
      <w:r w:rsidRPr="00A31137">
        <w:t>Thank you very much, Mr. Vice President, for those fine remarks and to the Members of Congress, the chaplains of the House and the Senate, and to all of you who worked so hard to help this day become a reality. Let me especially thank the Coalition for the Free Exercise of Religion for the central role they played in drafting this legislation and working so hard for its passage.</w:t>
      </w:r>
    </w:p>
    <w:p w:rsidR="00A31137" w:rsidRPr="00A31137" w:rsidRDefault="00A31137" w:rsidP="00A31137">
      <w:r w:rsidRPr="00A31137">
        <w:t>Public Papers of Clinton, 1993, p.2000</w:t>
      </w:r>
    </w:p>
    <w:p w:rsidR="00A31137" w:rsidRPr="00A31137" w:rsidRDefault="00A31137" w:rsidP="00A31137">
      <w:r w:rsidRPr="00A31137">
        <w:t>It is interesting to note, as the Vice President said, what a broad coalition of Americans came together to make this bill a reality; interesting to note that that coalition produced a 97-to-3 vote in the United States Senate and a bill that had such broad support it was adopted on a voice vote in the House. I'm told that, as many of the people in the coalition worked together across ideological and religious lines, some new friendships were formed and some new trust was established, which shows, I suppose, that the power of God is such that even in the legislative process miracles can happen. [ Laughter]</w:t>
      </w:r>
    </w:p>
    <w:p w:rsidR="00A31137" w:rsidRPr="00A31137" w:rsidRDefault="00A31137" w:rsidP="00A31137">
      <w:r w:rsidRPr="00A31137">
        <w:t>Public Papers of Clinton, 1993, p.2000</w:t>
      </w:r>
    </w:p>
    <w:p w:rsidR="00A31137" w:rsidRPr="00A31137" w:rsidRDefault="00A31137" w:rsidP="00A31137">
      <w:r w:rsidRPr="00A31137">
        <w:t>We all have a shared desire here to protect perhaps the most precious of all American liberties, religious freedom. Usually the signing of legislation by a President is a ministerial act, often a quiet ending to a turbulent legislative process. Today this event assumes a more majestic quality because of our ability together to affirm the historic role that people of faith have played in the history of this country and the constitutional protections those who profess and express their faith have always demanded and cherished.</w:t>
      </w:r>
    </w:p>
    <w:p w:rsidR="00A31137" w:rsidRPr="00A31137" w:rsidRDefault="00A31137" w:rsidP="00A31137">
      <w:r w:rsidRPr="00A31137">
        <w:t>Public Papers of Clinton, 1993, p.2000</w:t>
      </w:r>
    </w:p>
    <w:p w:rsidR="00A31137" w:rsidRPr="00A31137" w:rsidRDefault="00A31137" w:rsidP="00A31137">
      <w:r w:rsidRPr="00A31137">
        <w:t>The power to reverse legislation by legislation, a decision of the United States Supreme Court, is a power that is rightly hesitantly and infrequently exercised by the United States Congress. But this is an issue in which that extraordinary measure was clearly called for. As the Vice President said, this act reverses the Supreme Court's decision Employment Division against Smith and reestablishes a standard that better protects all Americans of all faiths in the exercise of their religion in a way that I am convinced is far more consistent with the intent of the Founders of this Nation than the Supreme Court decision.</w:t>
      </w:r>
    </w:p>
    <w:p w:rsidR="00A31137" w:rsidRPr="00A31137" w:rsidRDefault="00A31137" w:rsidP="00A31137">
      <w:r w:rsidRPr="00A31137">
        <w:t>Public Papers of Clinton, 1993, p.2000</w:t>
      </w:r>
    </w:p>
    <w:p w:rsidR="00A31137" w:rsidRPr="00A31137" w:rsidRDefault="00A31137" w:rsidP="00A31137">
      <w:r w:rsidRPr="00A31137">
        <w:t>More than 50 cases have been decided against individuals making religious claims against Government action since that decision was handed down. This act will help to reverse that trend by honoring the principle that our laws and institutions should not impede or hinder but rather should protect and preserve fundamental religious liberties.</w:t>
      </w:r>
    </w:p>
    <w:p w:rsidR="00A31137" w:rsidRPr="00A31137" w:rsidRDefault="00A31137" w:rsidP="00A31137">
      <w:r w:rsidRPr="00A31137">
        <w:t>Public Papers of Clinton, 1993, p.2000–p.2001</w:t>
      </w:r>
    </w:p>
    <w:p w:rsidR="00A31137" w:rsidRPr="00A31137" w:rsidRDefault="00A31137" w:rsidP="00A31137">
      <w:r w:rsidRPr="00A31137">
        <w:t>The free exercise of religion has been called the first freedom, that which originally sparked the development of the full range of the Bill of Rights. Our Founders cared a lot about religion. And one of the reasons they worked so hard to get the first amendment into the Bill of Rights at the head of the class is that they well understood what could happen to this country, how both religion and Government could be perverted if there were not some space created and some protection provided. They knew that religion helps to give our people the character without which a democracy cannot survive. They knew that there needed to be a space of freedom between Government and people of faith that otherwise Government might usurp. They have seen now, all of us, that religion [p.2001] and religions institutions have brought forth faith and discipline, community and responsibility over two centuries for ourselves and enabled us to live together in ways that I believe would not have been possible. We are, after all, the oldest democracy now in history and probably the most truly multiethnic society on the face of the Earth. And I am convinced that neither one of those things would be true today had it not been for the importance of the first amendment and the fact that we have kept faith with it for 200 years.</w:t>
      </w:r>
    </w:p>
    <w:p w:rsidR="00A31137" w:rsidRPr="00A31137" w:rsidRDefault="00A31137" w:rsidP="00A31137">
      <w:r w:rsidRPr="00A31137">
        <w:t>Public Papers of Clinton, 1993, p.2001</w:t>
      </w:r>
    </w:p>
    <w:p w:rsidR="00A31137" w:rsidRPr="00A31137" w:rsidRDefault="00A31137" w:rsidP="00A31137">
      <w:r w:rsidRPr="00A31137">
        <w:t>What this law basically says is that the Government should be held to a very high level of proof before it interferes with someone's free exercise of religion. This judgment is shared by the people of the United States as well as by the Congress. We believe strongly that we can never, we can never be too vigilant in this work.</w:t>
      </w:r>
    </w:p>
    <w:p w:rsidR="00A31137" w:rsidRPr="00A31137" w:rsidRDefault="00A31137" w:rsidP="00A31137">
      <w:r w:rsidRPr="00A31137">
        <w:t>Public Papers of Clinton, 1993, p.2001</w:t>
      </w:r>
    </w:p>
    <w:p w:rsidR="00A31137" w:rsidRPr="00A31137" w:rsidRDefault="00A31137" w:rsidP="00A31137">
      <w:r w:rsidRPr="00A31137">
        <w:t>Let me make one other comment if I might before I close and sit down and sign this bill. There is a great debate now abroad in the land which finds itself injected into several political races about the extent to which people of faith can seek to do God's will as political actors. I would like to come down on the side of encouraging everybody to act on what they believe is the right thing to do. There are many people in this country who strenuously disagree with me on what they believe are the strongest grounds of their faiths. I encourage them to speak out. I encourage all Americans to reach deep inside to try to determine what it is that drives their lives most deeply.</w:t>
      </w:r>
    </w:p>
    <w:p w:rsidR="00A31137" w:rsidRPr="00A31137" w:rsidRDefault="00A31137" w:rsidP="00A31137">
      <w:r w:rsidRPr="00A31137">
        <w:t>Public Papers of Clinton, 1993, p.2001</w:t>
      </w:r>
    </w:p>
    <w:p w:rsidR="00A31137" w:rsidRPr="00A31137" w:rsidRDefault="00A31137" w:rsidP="00A31137">
      <w:r w:rsidRPr="00A31137">
        <w:t>As many of you  know, I have been quite moved by Stephen Carter's book, "The Culture of Disbelief." He makes a compelling case that today Americans of all political persuasions and all regions have created a climate in this country in which some people believe that they are embarrassed to say that they advocate a course of action simply because they believe it is the right thing to do, because they believe it is dictated by their faith, by what they discern to be, with their best efforts, the will of Cod.</w:t>
      </w:r>
    </w:p>
    <w:p w:rsidR="00A31137" w:rsidRPr="00A31137" w:rsidRDefault="00A31137" w:rsidP="00A31137">
      <w:r w:rsidRPr="00A31137">
        <w:t>Public Papers of Clinton, 1993, p.2001</w:t>
      </w:r>
    </w:p>
    <w:p w:rsidR="00A31137" w:rsidRPr="00A31137" w:rsidRDefault="00A31137" w:rsidP="00A31137">
      <w:r w:rsidRPr="00A31137">
        <w:t>I submit to you today, my fellow Americans, that we can stand that kind of debate in this country. We are living in a country where the most central institution of our society, the family, has been under assault for 30 years. We are living in a country in which 160,000 schoolchildren don't go to school every day because they're afraid someone will shoot them or beat them up or knife them. We are living in a country now where gunshots are the single leading cause of death among teenage boys. We are living in a country where people can find themselves shot in the crossfire of teenagers who are often better armed than the police who are trying to protect other people from illegal conduct. It is high time we had an open and honest reaffirmation of the role of American citizens of faith, not so that we can agree but so that we can argue and discourse and seek the truth and seek to heal this troubled land.</w:t>
      </w:r>
    </w:p>
    <w:p w:rsidR="00A31137" w:rsidRPr="00A31137" w:rsidRDefault="00A31137" w:rsidP="00A31137">
      <w:r w:rsidRPr="00A31137">
        <w:t>Public Papers of Clinton, 1993, p.2001</w:t>
      </w:r>
    </w:p>
    <w:p w:rsidR="00A31137" w:rsidRPr="00A31137" w:rsidRDefault="00A31137" w:rsidP="00A31137">
      <w:r w:rsidRPr="00A31137">
        <w:t>So today I ask you  to also think of that. We are a people of faith. We have been so secure in that faith that we have enshrined in our Constitution protection for people who profess no faith. And good for us for doing so. That is what the first amendment is all about. But let us never believe that the freedom of religion imposes on any of us some responsibility to run from our convictions. Let us instead respect one another's faiths, fight to the death to preserve the right of every American to practice whatever convictions he or she has, but bring our values back to the table of American discourse to heal our troubled land.</w:t>
      </w:r>
    </w:p>
    <w:p w:rsidR="00A31137" w:rsidRPr="00A31137" w:rsidRDefault="00A31137" w:rsidP="00A31137">
      <w:r w:rsidRPr="00A31137">
        <w:t>Public Papers of Clinton, 1993, p.2001</w:t>
      </w:r>
    </w:p>
    <w:p w:rsidR="00A31137" w:rsidRPr="00A31137" w:rsidRDefault="00A31137" w:rsidP="00A31137">
      <w:r w:rsidRPr="00A31137">
        <w:t>Thank you very much.</w:t>
      </w:r>
    </w:p>
    <w:p w:rsidR="00A31137" w:rsidRPr="00A31137" w:rsidRDefault="00A31137" w:rsidP="00A31137">
      <w:r w:rsidRPr="00A31137">
        <w:t>Public Papers of Clinton, 1993, p.2001</w:t>
      </w:r>
    </w:p>
    <w:p w:rsidR="00A31137" w:rsidRPr="00A31137" w:rsidRDefault="00A31137" w:rsidP="00A31137">
      <w:r w:rsidRPr="00A31137">
        <w:t>NOTE: The President spoke at 9:15 a.m. on the South Lawn at the White House. H.R. 1308, approved November 16, was assigned Public Law No. 103-141.</w:t>
      </w:r>
    </w:p>
    <w:p w:rsidR="00A31137" w:rsidRPr="00A31137" w:rsidRDefault="00A31137" w:rsidP="00A31137">
      <w:r w:rsidRPr="00A31137">
        <w:t>Lamb's Chapel v. Center Moriches Sch. Dist., 1993</w:t>
      </w:r>
    </w:p>
    <w:p w:rsidR="00A31137" w:rsidRPr="00A31137" w:rsidRDefault="00A31137" w:rsidP="00A31137">
      <w:r w:rsidRPr="00A31137">
        <w:t>Title:</w:t>
      </w:r>
      <w:r w:rsidRPr="00A31137">
        <w:tab/>
        <w:t>Lamb's Chapel v. Center Moriches Union Free School District</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7, 1993</w:t>
      </w:r>
    </w:p>
    <w:p w:rsidR="00A31137" w:rsidRPr="00A31137" w:rsidRDefault="00A31137" w:rsidP="00A31137">
      <w:r w:rsidRPr="00A31137">
        <w:t>Source:</w:t>
      </w:r>
      <w:r w:rsidRPr="00A31137">
        <w:tab/>
        <w:t>508 U.S. 384</w:t>
      </w:r>
    </w:p>
    <w:p w:rsidR="00A31137" w:rsidRPr="00A31137" w:rsidRDefault="00A31137" w:rsidP="00A31137">
      <w:r w:rsidRPr="00A31137">
        <w:t>This case was argued February 24, 1993, and was decided June 7, 1993.</w:t>
      </w:r>
    </w:p>
    <w:p w:rsidR="00A31137" w:rsidRPr="00A31137" w:rsidRDefault="00A31137" w:rsidP="00A31137">
      <w:r w:rsidRPr="00A31137">
        <w:t>CERTIORARI TO THE UNITED STATES COURT OF APPEALS</w:t>
      </w:r>
    </w:p>
    <w:p w:rsidR="00A31137" w:rsidRPr="00A31137" w:rsidRDefault="00A31137" w:rsidP="00A31137">
      <w:r w:rsidRPr="00A31137">
        <w:t>FOR THE SECOND CIRCUIT</w:t>
      </w:r>
    </w:p>
    <w:p w:rsidR="00A31137" w:rsidRPr="00A31137" w:rsidRDefault="00A31137" w:rsidP="00A31137">
      <w:r w:rsidRPr="00A31137">
        <w:t>Syllabus</w:t>
      </w:r>
    </w:p>
    <w:p w:rsidR="00A31137" w:rsidRPr="00A31137" w:rsidRDefault="00A31137" w:rsidP="00A31137">
      <w:r w:rsidRPr="00A31137">
        <w:t>1993, Lamb's Chapel v. Center Moriches Sch. Dist., 508 U.S. 384</w:t>
      </w:r>
    </w:p>
    <w:p w:rsidR="00A31137" w:rsidRPr="00A31137" w:rsidRDefault="00A31137" w:rsidP="00A31137">
      <w:r w:rsidRPr="00A31137">
        <w:t>New York law authorizes local school boards to adopt reasonable regulations permitting the after-hours use of school property for 10 specified purposes, not including meetings for religious purposes. Pursuant to this law, respondent school board (District) issued rules and regulations allowing, inter alia, social, civic, and recreational uses of its schools (Rule 10), but prohibiting use by any group for religious purposes (Rule 7). After the District refused two requests by petitioners, an evangelical church and its pastor (Church), to use school facilities for a religious-oriented film series on family values and childrearing on the ground that the film appeared to be church-related, the Church filed suit in the District Court, claiming that the District's actions violated, among other things, the First Amendment's Freedom of Speech Clause. The court granted summary judgment to the District, and the Court of Appeals affirmed. It reasoned that the school property, as a "limited public forum" open only for designated purposes, remained nonpublic except for the specified purposes, and ruled that the exclusion of the Church's film was reasonable and viewpoint neutral.</w:t>
      </w:r>
    </w:p>
    <w:p w:rsidR="00A31137" w:rsidRPr="00A31137" w:rsidRDefault="00A31137" w:rsidP="00A31137">
      <w:r w:rsidRPr="00A31137">
        <w:t>1993, Lamb's Chapel v. Center Moriches Sch. Dist., 508 U.S. 384</w:t>
      </w:r>
    </w:p>
    <w:p w:rsidR="00A31137" w:rsidRPr="00A31137" w:rsidRDefault="00A31137" w:rsidP="00A31137">
      <w:r w:rsidRPr="00A31137">
        <w:t>Held: Denying the Church access to school premises to exhibit the film violates the Freedom of Speech Clause. Pp.  390-397.</w:t>
      </w:r>
    </w:p>
    <w:p w:rsidR="00A31137" w:rsidRPr="00A31137" w:rsidRDefault="00A31137" w:rsidP="00A31137">
      <w:r w:rsidRPr="00A31137">
        <w:t>1993, Lamb's Chapel v. Center Moriches Sch. Dist., 508 U.S. 384</w:t>
      </w:r>
    </w:p>
    <w:p w:rsidR="00A31137" w:rsidRPr="00A31137" w:rsidRDefault="00A31137" w:rsidP="00A31137">
      <w:r w:rsidRPr="00A31137">
        <w:t>(a) There is no question that the District may legally preserve the property under its control, and need not have permitted after-hours use for any of the uses permitted under state law. This Court need not address the issue whether Rule 10, by opening the property to a wide variety of communicative purposes, has opened the property for religious uses, because, even if the District has not opened its property for such uses, Rule 7 has been unconstitutionally applied in this case. Access to a nonpublic forum can be based on subject matter or speaker identity so long as the distinctions drawn are reasonable and viewpoint-neutral. Cornelius v. NAACP Legal Defense and Ed. Fund, Inc., 473 U.S. 788,  806. That Rule 7 treats all religions and religious purposes alike does not make its application in this case viewpoint-neutral, however, for it discriminates on the basis of viewpoint by permitting school property to be used for the presentation of all views about family issues and childrearing except those dealing with the subject from a religious [508 U.S. 385] standpoint. Denial on this basis is plainly invalid under the holding in Cornelius, supra, 473 U.S. at 806, that the government violates the First Amendment when it denies access to a speaker solely to suppress the point of view he espouses on an otherwise includible subject. Pp.  390-394.</w:t>
      </w:r>
    </w:p>
    <w:p w:rsidR="00A31137" w:rsidRPr="00A31137" w:rsidRDefault="00A31137" w:rsidP="00A31137">
      <w:r w:rsidRPr="00A31137">
        <w:t>1993, Lamb's Chapel v. Center Moriches Sch. Dist., 508 U.S. 385</w:t>
      </w:r>
    </w:p>
    <w:p w:rsidR="00A31137" w:rsidRPr="00A31137" w:rsidRDefault="00A31137" w:rsidP="00A31137">
      <w:r w:rsidRPr="00A31137">
        <w:t>(b) Permitting District property to be used to exhibit the film would not have been an establishment of religion under the three-part test articulated in Lemon v. Kurtzman, 403 U.S. 602. Since the film would not have been shown during school hours, would not have been sponsored by the school, and would have been open to the public, there would be no realistic danger that the community would think that the District was endorsing religion or any particular creed, and any benefit to religion or the Church would have been incidental. Widmar v. Vincent, 454 U.S. 263, 271-272. Nor is there anything in the record to support the claim that the exclusion was justified on the ground that allowing access to a "radical" church would lead to threats of public unrest and violence. In addition, the Court of Appeals' judgment was not based on the justification proffered here that the access rules' purpose is to promote the interests of the general public, rather than sectarian or other private interests. Moreover, that there was no express finding below that the Church's application would have been granted absent the religious connection is beside the point for the purposes of this opinion, which is concerned with the validity of the stated reason for denying the application, namely, that the film appeared to be church-related. Pp.  395-397.</w:t>
      </w:r>
    </w:p>
    <w:p w:rsidR="00A31137" w:rsidRPr="00A31137" w:rsidRDefault="00A31137" w:rsidP="00A31137">
      <w:r w:rsidRPr="00A31137">
        <w:t>1993, Lamb's Chapel v. Center Moriches Sch. Dist., 508 U.S. 385</w:t>
      </w:r>
    </w:p>
    <w:p w:rsidR="00A31137" w:rsidRPr="00A31137" w:rsidRDefault="00A31137" w:rsidP="00A31137">
      <w:r w:rsidRPr="00A31137">
        <w:t>959 F.2d 381 (CA2 1992), reversed.</w:t>
      </w:r>
    </w:p>
    <w:p w:rsidR="00A31137" w:rsidRPr="00A31137" w:rsidRDefault="00A31137" w:rsidP="00A31137">
      <w:r w:rsidRPr="00A31137">
        <w:t>1993, Lamb's Chapel v. Center Moriches Sch. Dist., 508 U.S. 385</w:t>
      </w:r>
    </w:p>
    <w:p w:rsidR="00A31137" w:rsidRPr="00A31137" w:rsidRDefault="00A31137" w:rsidP="00A31137">
      <w:r w:rsidRPr="00A31137">
        <w:t xml:space="preserve">WHITE, J., delivered the opinion of the Court, in which REHNQUIST, C.J., and BLACKMUN, STEVENS, O'CONNOR, and SOUTER, JJ., joined. KENNEDY, J., filed an opinion concurring in part and concurring in the judgment, post, p.  397. SCALIA, J., filed an opinion concurring in the judgment, in which THOMAS, J., joined, post, p.  397. [508 U.S. 386] </w:t>
      </w:r>
    </w:p>
    <w:p w:rsidR="00A31137" w:rsidRPr="00A31137" w:rsidRDefault="00A31137" w:rsidP="00A31137">
      <w:r w:rsidRPr="00A31137">
        <w:t>WHITE, J., lead opinion</w:t>
      </w:r>
    </w:p>
    <w:p w:rsidR="00A31137" w:rsidRPr="00A31137" w:rsidRDefault="00A31137" w:rsidP="00A31137">
      <w:r w:rsidRPr="00A31137">
        <w:t>1993, Lamb's Chapel v. Center Moriches Sch. Dist., 508 U.S. 386</w:t>
      </w:r>
    </w:p>
    <w:p w:rsidR="00A31137" w:rsidRPr="00A31137" w:rsidRDefault="00A31137" w:rsidP="00A31137">
      <w:r w:rsidRPr="00A31137">
        <w:t>JUSTICE WHITE delivered the opinion of the Court.</w:t>
      </w:r>
    </w:p>
    <w:p w:rsidR="00A31137" w:rsidRPr="00A31137" w:rsidRDefault="00A31137" w:rsidP="00A31137">
      <w:r w:rsidRPr="00A31137">
        <w:t>1993, Lamb's Chapel v. Center Moriches Sch. Dist., 508 U.S. 386</w:t>
      </w:r>
    </w:p>
    <w:p w:rsidR="00A31137" w:rsidRPr="00A31137" w:rsidRDefault="00A31137" w:rsidP="00A31137">
      <w:r w:rsidRPr="00A31137">
        <w:t>Section 414 of the New York Education Law (McKinney 1988 and Supp.1993), authorizes local school boards to adopt reasonable regulations for the use of school property for 10 specified purposes when the property is not in use for school purposes. Among the permitted uses is the holding of</w:t>
      </w:r>
    </w:p>
    <w:p w:rsidR="00A31137" w:rsidRPr="00A31137" w:rsidRDefault="00A31137" w:rsidP="00A31137">
      <w:r w:rsidRPr="00A31137">
        <w:t>1993, Lamb's Chapel v. Center Moriches Sch. Dist., 508 U.S. 386</w:t>
      </w:r>
    </w:p>
    <w:p w:rsidR="00A31137" w:rsidRPr="00A31137" w:rsidRDefault="00A31137" w:rsidP="00A31137">
      <w:r w:rsidRPr="00A31137">
        <w:t>social, civic and recreational meetings and entertainments, and other uses pertaining to the welfare of the community; but such meetings, entertainment and uses shall be nonexclusive and open to the general public.</w:t>
      </w:r>
    </w:p>
    <w:p w:rsidR="00A31137" w:rsidRPr="00A31137" w:rsidRDefault="00A31137" w:rsidP="00A31137">
      <w:r w:rsidRPr="00A31137">
        <w:t>1993, Lamb's Chapel v. Center Moriches Sch. Dist., 508 U.S. 386</w:t>
      </w:r>
    </w:p>
    <w:p w:rsidR="00A31137" w:rsidRPr="00A31137" w:rsidRDefault="00A31137" w:rsidP="00A31137">
      <w:r w:rsidRPr="00A31137">
        <w:t>§ 414(1)(c). 1 The list of permitted uses does not include meetings for religious purposes, and a New York appellate court, in Trietley v. Board of Ed. of Buffalo, 65 A.D.2d 1, 409 N.Y.S.2d 912, 915 (1978), ruled that local boards could not allow student bible clubs to meet [508 U.S. 387] on school property because "[r]eligious purposes are not included in the enumerated purposes for which a school may be used under section 414." In Deeper Life Christian Fellowship, Inc. v. Sobol, 948 F.2d 7, 83-94 (1991), the Court of Appeals for the Second Circuit accepted Trietley as an authoritative interpretation of state law. Furthermore, the Attorney General of New York supports Trietley as an appropriate approach to deciding this case.</w:t>
      </w:r>
    </w:p>
    <w:p w:rsidR="00A31137" w:rsidRPr="00A31137" w:rsidRDefault="00A31137" w:rsidP="00A31137">
      <w:r w:rsidRPr="00A31137">
        <w:t>1993, Lamb's Chapel v. Center Moriches Sch. Dist., 508 U.S. 387</w:t>
      </w:r>
    </w:p>
    <w:p w:rsidR="00A31137" w:rsidRPr="00A31137" w:rsidRDefault="00A31137" w:rsidP="00A31137">
      <w:r w:rsidRPr="00A31137">
        <w:t>Pursuant to § 414's empowerment of local school districts, the Board of Center Moriches Union Free School District (District) has issued rules and regulations with respect to the use of school property when not in use for school purposes. The rules allow only 2 of the 10 purposes authorized by § 414: social, civic, or recreational uses (Rule 10) and use by political organizations if secured in compliance with § 414 (Rule 8). Rule 7, however, consistent with the judicial interpretation of state law, provides that "[t]he school premises shall not be used by any group for religious purposes." App. to Pet. for Cert. 57a.</w:t>
      </w:r>
    </w:p>
    <w:p w:rsidR="00A31137" w:rsidRPr="00A31137" w:rsidRDefault="00A31137" w:rsidP="00A31137">
      <w:r w:rsidRPr="00A31137">
        <w:t>1993, Lamb's Chapel v. Center Moriches Sch. Dist., 508 U.S. 387</w:t>
      </w:r>
    </w:p>
    <w:p w:rsidR="00A31137" w:rsidRPr="00A31137" w:rsidRDefault="00A31137" w:rsidP="00A31137">
      <w:r w:rsidRPr="00A31137">
        <w:t>The issue in this case is whether, against this background of state law, it violates the Free Speech Clause of the First Amendment, made applicable to the States by the Fourteenth Amendment, to deny a church access to school premises to exhibit for public viewing and for assertedly religious purposes, a film dealing with family and childrearing issues faced by parents today.</w:t>
      </w:r>
    </w:p>
    <w:p w:rsidR="00A31137" w:rsidRPr="00A31137" w:rsidRDefault="00A31137" w:rsidP="00A31137">
      <w:r w:rsidRPr="00A31137">
        <w:t>I</w:t>
      </w:r>
    </w:p>
    <w:p w:rsidR="00A31137" w:rsidRPr="00A31137" w:rsidRDefault="00A31137" w:rsidP="00A31137">
      <w:r w:rsidRPr="00A31137">
        <w:t>1993, Lamb's Chapel v. Center Moriches Sch. Dist., 508 U.S. 387</w:t>
      </w:r>
    </w:p>
    <w:p w:rsidR="00A31137" w:rsidRPr="00A31137" w:rsidRDefault="00A31137" w:rsidP="00A31137">
      <w:r w:rsidRPr="00A31137">
        <w:t>Petitioners (Church) are Lamb's Chapel, an evangelical church in the community of Center Moriches, and its pastor John Steigerwald. Twice the Church applied to the District for permission to use school facilities to show a six-part film series containing lectures by Doctor James Dobson. 2 A brochure [508 U.S. 388] provided on request of the District identified Dr. Dobson as a licensed psychologist, former associate clinical professor of pediatrics at the University of Southern California, best-selling author, and radio commentator. The brochure stated that the film series would discuss Dr. Dobson's views on the undermining influences of the media that could only be counterbalanced by returning to traditional Christian family values instilled at an early stage. The brochure went on to describe the contents of each of the six parts of the series. 3 The District denied the first application, saying [508 U.S. 389] that "[t]his film does appear to be church-related, and therefore your request must be refused." App. 84. The second application for permission to use school premises for showing the film, which described it as a "Family-oriented movie—from the Christian perspective," App. 91, was denied using identical language.</w:t>
      </w:r>
    </w:p>
    <w:p w:rsidR="00A31137" w:rsidRPr="00A31137" w:rsidRDefault="00A31137" w:rsidP="00A31137">
      <w:r w:rsidRPr="00A31137">
        <w:t>1993, Lamb's Chapel v. Center Moriches Sch. Dist., 508 U.S. 389</w:t>
      </w:r>
    </w:p>
    <w:p w:rsidR="00A31137" w:rsidRPr="00A31137" w:rsidRDefault="00A31137" w:rsidP="00A31137">
      <w:r w:rsidRPr="00A31137">
        <w:t>The Church brought suit in District Court, challenging the denial as a violation of the Freedom of Speech and Assembly Clauses, the Free Exercise Clause, and the Establishment Clause of the First Amendment, as well as the Equal Protection Clause of the Fourteenth Amendment. As to each cause of action, the Church alleged that the actions were undertaken under color of state law, in violation of 2 U.S.C. § 1983. The District Court granted summary judgment for respondents, rejecting all of the Church's claims. With respect to the free speech claim under the First Amendment, the District Court characterized the District's facilities as a "limited public forum." The court noted that the enumerated purposes for which § 414 allowed access to school facilities did not include religious worship or instruction, that Rule 7 explicitly proscribes using school facilities for religious purposes, and that the Church had conceded that its showing of the film would be for religious purposes. 770 F.Supp. 91, 92, 98-99 (E.D.N.Y.1991). The District Court stated that, once a limited public forum is opened to a particular type of speech, selectively denying access to other activities of the same genre is forbidden. Id. at 99. Noting that the District had not opened its facilities to organizations [508 U.S. 390] similar to Lamb's Chapel for religious purposes, the District Court held that the denial in this case was viewpoint-neutral and, hence, not a violation of the Freedom of Speech Clause. Ibid. The District Court also rejected the assertion by the Church that denying its application demonstrated a hostility to religion and advancement of nonreligion not justified under the Establishment of Religion Clause of the First Amendment. 736 F.Supp. 1247, 1253 (E.D.N.Y.1990).</w:t>
      </w:r>
    </w:p>
    <w:p w:rsidR="00A31137" w:rsidRPr="00A31137" w:rsidRDefault="00A31137" w:rsidP="00A31137">
      <w:r w:rsidRPr="00A31137">
        <w:t>1993, Lamb's Chapel v. Center Moriches Sch. Dist., 508 U.S. 390</w:t>
      </w:r>
    </w:p>
    <w:p w:rsidR="00A31137" w:rsidRPr="00A31137" w:rsidRDefault="00A31137" w:rsidP="00A31137">
      <w:r w:rsidRPr="00A31137">
        <w:t>The Court of Appeals affirmed the judgment of the District Court "in all respects." Lamb's Chapel v. Center Moriches Union Free School Dist., 959 F.2d 381, 389 (CA2 1992). It held that the school property, when not in use for school purposes, was neither a traditional nor a designated public forum; rather, it was a limited public forum open only for designated purposes, a classification that "allows it to remain nonpublic except as to specified uses." Id. at 386. The court observed that exclusions in such a forum need only be reasonable and viewpoint-neutral, ibid., and ruled that denying access to the Church for the purpose of showing its film did not violate this standard. Because the holding below was questionable under our decisions, we granted the petition for certiorari, 506 U.S. 813 (1992), which in principal part challenged the holding below as contrary to the Free Speech Clause of the First Amendment. 4</w:t>
      </w:r>
    </w:p>
    <w:p w:rsidR="00A31137" w:rsidRPr="00A31137" w:rsidRDefault="00A31137" w:rsidP="00A31137">
      <w:r w:rsidRPr="00A31137">
        <w:t>II</w:t>
      </w:r>
    </w:p>
    <w:p w:rsidR="00A31137" w:rsidRPr="00A31137" w:rsidRDefault="00A31137" w:rsidP="00A31137">
      <w:r w:rsidRPr="00A31137">
        <w:t>1993, Lamb's Chapel v. Center Moriches Sch. Dist., 508 U.S. 390</w:t>
      </w:r>
    </w:p>
    <w:p w:rsidR="00A31137" w:rsidRPr="00A31137" w:rsidRDefault="00A31137" w:rsidP="00A31137">
      <w:r w:rsidRPr="00A31137">
        <w:t>There is no question that the District, like the private owner of property, may legally preserve the property under its control for the use to which it is dedicated. Cornelius v. NAACP Legal Defense and Ed. Fund, Inc., 473 U.S. 788,  800 (1985); Perry Ed. Assn. v. Perry Local Educators' Assn., 460 U.S. 37,  46 (1983); United States Postal Service v. Council of Greenburgh [508 U.S. 391] Civic Assns., 453 U.S. 114, 129-130 (1981); Greer v. Spock, 424 U.S. 828,  836 (1976); Adderley v. Florida, 385 U.S. 39,  47 (1966). It is also common ground that the District need not have permitted after-hours use of its property for any of the uses permitted by § 414 of the state education law. The District, however, did open its property for 2 of the 10 uses permitted by § 414. The Church argued below that, because under Rule 10 of the rules issued by the District, school property could be used for "social, civic, and recreational" purposes, the District had opened its property for such a wide variety of communicative purposes that restrictions on communicative uses of the property were subject to the same constitutional limitations as restrictions in traditional public fora such as parks and sidewalks. Hence, its view was that subject matter or speaker exclusions on District property were required to be justified by a compelling state interest, and to be narrowly drawn to achieve that end. See Perry, supra, 460 U.S. at  45; Cornelius, supra, 473 U.S. at  800. Both the District Court and the Court of Appeals rejected this submission, which is also presented to this Court. The argument has considerable force, for the District's property is heavily used by a wide variety of private organizations, including some that presented a "close question," which the Court of Appeals resolved in the District's favor, as to whether the District had in fact already opened its property for religious uses. 959 F.2d at 387. 5 We need [508 U.S. 392] not rule on this issue, however, for even if the courts below were correct in this respect—and we shall assume for present purposes that they were—the judgment below must he reversed.</w:t>
      </w:r>
    </w:p>
    <w:p w:rsidR="00A31137" w:rsidRPr="00A31137" w:rsidRDefault="00A31137" w:rsidP="00A31137">
      <w:r w:rsidRPr="00A31137">
        <w:t>1993, Lamb's Chapel v. Center Moriches Sch. Dist., 508 U.S. 392</w:t>
      </w:r>
    </w:p>
    <w:p w:rsidR="00A31137" w:rsidRPr="00A31137" w:rsidRDefault="00A31137" w:rsidP="00A31137">
      <w:r w:rsidRPr="00A31137">
        <w:t>With respect to public property that is not a designated public forum open for indiscriminate public use for communicative purposes, we have said that</w:t>
      </w:r>
    </w:p>
    <w:p w:rsidR="00A31137" w:rsidRPr="00A31137" w:rsidRDefault="00A31137" w:rsidP="00A31137">
      <w:r w:rsidRPr="00A31137">
        <w:t>1993, Lamb's Chapel v. Center Moriches Sch. Dist., 508 U.S. 392</w:t>
      </w:r>
    </w:p>
    <w:p w:rsidR="00A31137" w:rsidRPr="00A31137" w:rsidRDefault="00A31137" w:rsidP="00A31137">
      <w:r w:rsidRPr="00A31137">
        <w:t>[c]ontrol over access to a nonpublic forum can be based on subject matter and speaker identity so long as the distinctions drawn are reasonable in [508 U.S. 393] light of the purpose served by the forum and are viewpoint-neutral.</w:t>
      </w:r>
    </w:p>
    <w:p w:rsidR="00A31137" w:rsidRPr="00A31137" w:rsidRDefault="00A31137" w:rsidP="00A31137">
      <w:r w:rsidRPr="00A31137">
        <w:t>1993, Lamb's Chapel v. Center Moriches Sch. Dist., 508 U.S. 393</w:t>
      </w:r>
    </w:p>
    <w:p w:rsidR="00A31137" w:rsidRPr="00A31137" w:rsidRDefault="00A31137" w:rsidP="00A31137">
      <w:r w:rsidRPr="00A31137">
        <w:t>Cornelius, supra, 473 U.S. at  806, citing Perry Education Assn., supra, 460 U.S. at  49. The Court of Appeals appeared to recognize that the total ban on using District property for religious purposes could survive First Amendment challenge only if excluding this category of speech was reasonable and viewpoint-neutral. The court's conclusion in this case was that Rule 7 met this test. We cannot agree with this holding, for Rule 7 was unconstitutionally applied in this case. 6</w:t>
      </w:r>
    </w:p>
    <w:p w:rsidR="00A31137" w:rsidRPr="00A31137" w:rsidRDefault="00A31137" w:rsidP="00A31137">
      <w:r w:rsidRPr="00A31137">
        <w:t>1993, Lamb's Chapel v. Center Moriches Sch. Dist., 508 U.S. 393</w:t>
      </w:r>
    </w:p>
    <w:p w:rsidR="00A31137" w:rsidRPr="00A31137" w:rsidRDefault="00A31137" w:rsidP="00A31137">
      <w:r w:rsidRPr="00A31137">
        <w:t>The Court of Appeals thought that the application of Rule 7 in this case was viewpoint-neutral because it had been and would be applied in the same way to all uses of school property for religious purposes. That all religions and all uses for religious purposes are treated alike under Rule 7, however, does not answer the critical question whether it discriminates on the basis of viewpoint to permit school property to be used for the presentation of all views about family issues and childrearing except those dealing with the subject matter from a religious standpoint.</w:t>
      </w:r>
    </w:p>
    <w:p w:rsidR="00A31137" w:rsidRPr="00A31137" w:rsidRDefault="00A31137" w:rsidP="00A31137">
      <w:r w:rsidRPr="00A31137">
        <w:t>1993, Lamb's Chapel v. Center Moriches Sch. Dist., 508 U.S. 393</w:t>
      </w:r>
    </w:p>
    <w:p w:rsidR="00A31137" w:rsidRPr="00A31137" w:rsidRDefault="00A31137" w:rsidP="00A31137">
      <w:r w:rsidRPr="00A31137">
        <w:t>There is no suggestion from the courts below or from the District or the State that a lecture or film about childrearing and family values would not be a use for social or civic purposes otherwise permitted by Rule 10. That subject matter is not one that the District has placed off limits to any and all speakers. Nor is there any indication in the record before us that the application to exhibit the particular film involved here was or would have been denied for any reason other than the fact that the presentation would have [508 U.S. 394] been from a religious perspective. In our view, denial on that basis was plainly invalid under our holding in Cornelius, 473 U.S. at 806, that</w:t>
      </w:r>
    </w:p>
    <w:p w:rsidR="00A31137" w:rsidRPr="00A31137" w:rsidRDefault="00A31137" w:rsidP="00A31137">
      <w:r w:rsidRPr="00A31137">
        <w:t>1993, Lamb's Chapel v. Center Moriches Sch. Dist., 508 U.S. 394</w:t>
      </w:r>
    </w:p>
    <w:p w:rsidR="00A31137" w:rsidRPr="00A31137" w:rsidRDefault="00A31137" w:rsidP="00A31137">
      <w:r w:rsidRPr="00A31137">
        <w:t>[a]lthough a speaker may be excluded from a nonpublic forum if he wishes to address a topic not encompassed within the purpose of the forum…or if he is not a member of the class of speakers for whose special benefit the forum was created…the government violates the First Amendment when it denies access to a speaker solely to suppress the point of view he espouses on an otherwise includible subject.</w:t>
      </w:r>
    </w:p>
    <w:p w:rsidR="00A31137" w:rsidRPr="00A31137" w:rsidRDefault="00A31137" w:rsidP="00A31137">
      <w:r w:rsidRPr="00A31137">
        <w:t>1993, Lamb's Chapel v. Center Moriches Sch. Dist., 508 U.S. 394</w:t>
      </w:r>
    </w:p>
    <w:p w:rsidR="00A31137" w:rsidRPr="00A31137" w:rsidRDefault="00A31137" w:rsidP="00A31137">
      <w:r w:rsidRPr="00A31137">
        <w:t>The film involved here no doubt dealt with a subject otherwise permissible under Rule 10, and its exhibition was denied solely because the film dealt with the subject from a religious standpoint. The principle that has emerged from our cases</w:t>
      </w:r>
    </w:p>
    <w:p w:rsidR="00A31137" w:rsidRPr="00A31137" w:rsidRDefault="00A31137" w:rsidP="00A31137">
      <w:r w:rsidRPr="00A31137">
        <w:t>1993, Lamb's Chapel v. Center Moriches Sch. Dist., 508 U.S. 394</w:t>
      </w:r>
    </w:p>
    <w:p w:rsidR="00A31137" w:rsidRPr="00A31137" w:rsidRDefault="00A31137" w:rsidP="00A31137">
      <w:r w:rsidRPr="00A31137">
        <w:t>is that the First Amendment forbids the government to regulate speech in ways that favor some viewpoints or ideas at the expense of others.</w:t>
      </w:r>
    </w:p>
    <w:p w:rsidR="00A31137" w:rsidRPr="00A31137" w:rsidRDefault="00A31137" w:rsidP="00A31137">
      <w:r w:rsidRPr="00A31137">
        <w:t>1993, Lamb's Chapel v. Center Moriches Sch. Dist., 508 U.S. 394</w:t>
      </w:r>
    </w:p>
    <w:p w:rsidR="00A31137" w:rsidRPr="00A31137" w:rsidRDefault="00A31137" w:rsidP="00A31137">
      <w:r w:rsidRPr="00A31137">
        <w:t>City Council of Los Angeles v. Taxpayers for Vincent, 466 U.S. 789, 804 (1984). That principle applies in the circumstances of this case; as Judge Posner said for the Seventh Circuit Court of Appeals, to discriminate</w:t>
      </w:r>
    </w:p>
    <w:p w:rsidR="00A31137" w:rsidRPr="00A31137" w:rsidRDefault="00A31137" w:rsidP="00A31137">
      <w:r w:rsidRPr="00A31137">
        <w:t>1993, Lamb's Chapel v. Center Moriches Sch. Dist., 508 U.S. 394</w:t>
      </w:r>
    </w:p>
    <w:p w:rsidR="00A31137" w:rsidRPr="00A31137" w:rsidRDefault="00A31137" w:rsidP="00A31137">
      <w:r w:rsidRPr="00A31137">
        <w:t>against a particular point of view…would…flunk the test…[of] Cornelius, provided that the defendants have no defense based on the establishment clause.</w:t>
      </w:r>
    </w:p>
    <w:p w:rsidR="00A31137" w:rsidRPr="00A31137" w:rsidRDefault="00A31137" w:rsidP="00A31137">
      <w:r w:rsidRPr="00A31137">
        <w:t>1993, Lamb's Chapel v. Center Moriches Sch. Dist., 508 U.S. 394</w:t>
      </w:r>
    </w:p>
    <w:p w:rsidR="00A31137" w:rsidRPr="00A31137" w:rsidRDefault="00A31137" w:rsidP="00A31137">
      <w:r w:rsidRPr="00A31137">
        <w:t>May v. Evansville-Vanderburgh School Corp., 787 F.2d 1105, 1114 (1986).</w:t>
      </w:r>
    </w:p>
    <w:p w:rsidR="00A31137" w:rsidRPr="00A31137" w:rsidRDefault="00A31137" w:rsidP="00A31137">
      <w:r w:rsidRPr="00A31137">
        <w:t>1993, Lamb's Chapel v. Center Moriches Sch. Dist., 508 U.S. 394</w:t>
      </w:r>
    </w:p>
    <w:p w:rsidR="00A31137" w:rsidRPr="00A31137" w:rsidRDefault="00A31137" w:rsidP="00A31137">
      <w:r w:rsidRPr="00A31137">
        <w:t>The District, as a respondent, would save its judgment below on the ground that to permit its property to be used for religious purposes would be an establishment of religion forbidden by the First Amendment. This Court suggested in Widmar v. Vincent, 454 U.S. 263,  271 (1981), that the interest of the State in avoiding an Establishment Clause violation "may be [a] compelling" one justifying an abridgment of free speech otherwise protected by the First Amendment; but the Court went on to hold that permitting use of university [508 U.S. 395] property for religious purposes under the open access policy involved there would not be incompatible with the Court's Establishment Clause cases.</w:t>
      </w:r>
    </w:p>
    <w:p w:rsidR="00A31137" w:rsidRPr="00A31137" w:rsidRDefault="00A31137" w:rsidP="00A31137">
      <w:r w:rsidRPr="00A31137">
        <w:t>1993, Lamb's Chapel v. Center Moriches Sch. Dist., 508 U.S. 395</w:t>
      </w:r>
    </w:p>
    <w:p w:rsidR="00A31137" w:rsidRPr="00A31137" w:rsidRDefault="00A31137" w:rsidP="00A31137">
      <w:r w:rsidRPr="00A31137">
        <w:t>We have no more trouble than did the Widmar Court in disposing of the claimed defense on the ground that the posited fears of an Establishment Clause violation are unfounded. The showing of this film would not have been during school hours, would not have been sponsored by the school, and would have been open to the public, not just to church members. The District property had repeatedly been used by a wide variety of private organizations. Under these circumstances, as in Widmar, there would have been no realistic danger that the community would think that the District was endorsing religion or any particular creed, and any benefit to religion or to the Church would have been no more than incidental. As in Widmar, supra, 454 U.S. at 271-272, permitting District property to be used to exhibit the film involved in this case would not have been an establishment of religion under the three-part test articulated in Lemon v. Kurtzman, 403 U.S. 602 (1971): the challenged governmental action has a secular purpose, does not have the principal or primary effect of advancing or inhibiting religion, and does not foster an excessive entanglement with religion. 7</w:t>
      </w:r>
    </w:p>
    <w:p w:rsidR="00A31137" w:rsidRPr="00A31137" w:rsidRDefault="00A31137" w:rsidP="00A31137">
      <w:r w:rsidRPr="00A31137">
        <w:t>1993, Lamb's Chapel v. Center Moriches Sch. Dist., 508 U.S. 395</w:t>
      </w:r>
    </w:p>
    <w:p w:rsidR="00A31137" w:rsidRPr="00A31137" w:rsidRDefault="00A31137" w:rsidP="00A31137">
      <w:r w:rsidRPr="00A31137">
        <w:t>The District also submits that it justifiably denied use of its property to a "radical" church for the purpose of proselytizing, since to do so would lead to threats of public unrest and even violence. Brief for Respondent Center Moriches [508 U.S. 396] Union Free School District, et al. 4-5, 11-12, 24. There is nothing in the record to support such a justification, which in any event would be difficult to defend as a reason to deny the presentation of a religious point of view about a subject the District otherwise makes open to discussion on District property.</w:t>
      </w:r>
    </w:p>
    <w:p w:rsidR="00A31137" w:rsidRPr="00A31137" w:rsidRDefault="00A31137" w:rsidP="00A31137">
      <w:r w:rsidRPr="00A31137">
        <w:t>1993, Lamb's Chapel v. Center Moriches Sch. Dist., 508 U.S. 396</w:t>
      </w:r>
    </w:p>
    <w:p w:rsidR="00A31137" w:rsidRPr="00A31137" w:rsidRDefault="00A31137" w:rsidP="00A31137">
      <w:r w:rsidRPr="00A31137">
        <w:t>We note that the Attorney General for the State of New York, a respondent here, does not rely on either the Establishment Clause or possible danger to the public peace in supporting the judgment below. Rather, he submits that the exclusion is justified because the purpose of the access rules is to promote the interests of the public in general, rather than sectarian or other private interests. In light of the variety of the uses of District property that have been permitted under Rule 10, this approach has its difficulties. This is particularly so since Rule 10 states that District property may be used for social, civic, or recreational use</w:t>
      </w:r>
    </w:p>
    <w:p w:rsidR="00A31137" w:rsidRPr="00A31137" w:rsidRDefault="00A31137" w:rsidP="00A31137">
      <w:r w:rsidRPr="00A31137">
        <w:t>1993, Lamb's Chapel v. Center Moriches Sch. Dist., 508 U.S. 396</w:t>
      </w:r>
    </w:p>
    <w:p w:rsidR="00A31137" w:rsidRPr="00A31137" w:rsidRDefault="00A31137" w:rsidP="00A31137">
      <w:r w:rsidRPr="00A31137">
        <w:t>only if it can be nonexclusive and open to all residents of the school district that form a homogeneous group deemed relevant to the event.</w:t>
      </w:r>
    </w:p>
    <w:p w:rsidR="00A31137" w:rsidRPr="00A31137" w:rsidRDefault="00A31137" w:rsidP="00A31137">
      <w:r w:rsidRPr="00A31137">
        <w:t>1993, Lamb's Chapel v. Center Moriches Sch. Dist., 508 U.S. 396</w:t>
      </w:r>
    </w:p>
    <w:p w:rsidR="00A31137" w:rsidRPr="00A31137" w:rsidRDefault="00A31137" w:rsidP="00A31137">
      <w:r w:rsidRPr="00A31137">
        <w:t>App. to Pet. for Cert. 57a. At least arguably, the Rule does not require that permitted uses need be open to the public at large. However that may be, this was not the basis of the judgment that we are reviewing. The Court of Appeals, as we understand it, ruled that, because the District had the power to permit or exclude certain subject matters, it was entitled to deny use for any religious purpose, including the purpose in this case. The Attorney General also defends this as a permissible subject matter exclusion, rather than a denial based on viewpoint, a submission that we have already rejected.</w:t>
      </w:r>
    </w:p>
    <w:p w:rsidR="00A31137" w:rsidRPr="00A31137" w:rsidRDefault="00A31137" w:rsidP="00A31137">
      <w:r w:rsidRPr="00A31137">
        <w:t>1993, Lamb's Chapel v. Center Moriches Sch. Dist., 508 U.S. 396</w:t>
      </w:r>
    </w:p>
    <w:p w:rsidR="00A31137" w:rsidRPr="00A31137" w:rsidRDefault="00A31137" w:rsidP="00A31137">
      <w:r w:rsidRPr="00A31137">
        <w:t>The Attorney General also argues that there is no express finding below that the Church's application would have been granted absent the religious connection. This fact is beside the point for the purposes of this opinion, which is concerned with the validity of the stated reason for denying the [508 U.S. 397] Church's application, namely, that the film sought to be shown "appeared to be church-related."</w:t>
      </w:r>
    </w:p>
    <w:p w:rsidR="00A31137" w:rsidRPr="00A31137" w:rsidRDefault="00A31137" w:rsidP="00A31137">
      <w:r w:rsidRPr="00A31137">
        <w:t>1993, Lamb's Chapel v. Center Moriches Sch. Dist., 508 U.S. 397</w:t>
      </w:r>
    </w:p>
    <w:p w:rsidR="00A31137" w:rsidRPr="00A31137" w:rsidRDefault="00A31137" w:rsidP="00A31137">
      <w:r w:rsidRPr="00A31137">
        <w:t>For the reasons stated in this opinion, the judgment of the Court of Appeals is</w:t>
      </w:r>
    </w:p>
    <w:p w:rsidR="00A31137" w:rsidRPr="00A31137" w:rsidRDefault="00A31137" w:rsidP="00A31137">
      <w:r w:rsidRPr="00A31137">
        <w:t>1993, Lamb's Chapel v. Center Moriches Sch. Dist., 508 U.S. 397</w:t>
      </w:r>
    </w:p>
    <w:p w:rsidR="00A31137" w:rsidRPr="00A31137" w:rsidRDefault="00A31137" w:rsidP="00A31137">
      <w:r w:rsidRPr="00A31137">
        <w:t>Reversed.</w:t>
      </w:r>
    </w:p>
    <w:p w:rsidR="00A31137" w:rsidRPr="00A31137" w:rsidRDefault="00A31137" w:rsidP="00A31137">
      <w:r w:rsidRPr="00A31137">
        <w:t>KENNEDY, J., concurring</w:t>
      </w:r>
    </w:p>
    <w:p w:rsidR="00A31137" w:rsidRPr="00A31137" w:rsidRDefault="00A31137" w:rsidP="00A31137">
      <w:r w:rsidRPr="00A31137">
        <w:t>1993, Lamb's Chapel v. Center Moriches Sch. Dist., 508 U.S. 397</w:t>
      </w:r>
    </w:p>
    <w:p w:rsidR="00A31137" w:rsidRPr="00A31137" w:rsidRDefault="00A31137" w:rsidP="00A31137">
      <w:r w:rsidRPr="00A31137">
        <w:t>JUSTICE KENNEDY, concurring in part and concurring in the judgment.</w:t>
      </w:r>
    </w:p>
    <w:p w:rsidR="00A31137" w:rsidRPr="00A31137" w:rsidRDefault="00A31137" w:rsidP="00A31137">
      <w:r w:rsidRPr="00A31137">
        <w:t>1993, Lamb's Chapel v. Center Moriches Sch. Dist., 508 U.S. 397</w:t>
      </w:r>
    </w:p>
    <w:p w:rsidR="00A31137" w:rsidRPr="00A31137" w:rsidRDefault="00A31137" w:rsidP="00A31137">
      <w:r w:rsidRPr="00A31137">
        <w:t>Given the issues presented, as well as the apparent unanimity of our conclusion that this overt, viewpoint-based discrimination contradicts the Speech Clause of the First Amendment and that there has been no substantial showing of a potential Establishment Clause violation, I agree with JUSTICE SCALIA that the Court's citation of Lemon v. Kurtzman, 403 U.S. 602 (1971), is unsettling and unnecessary. The same can be said of the Court's use of the phrase "endorsing religion," see ante at  395, which, as I have indicated elsewhere, cannot suffice as a rule of decision consistent with our precedents and our traditions in this part of our jurisprudence. See Allegheny County v. American Civil Liberties Union, Greater Pittsburgh Chapter, 492 U.S. 573,  655 (KENNEDY, J., concurring in judgment in part and dissenting in part). With these observations, I concur in part and concur in the judgment.</w:t>
      </w:r>
    </w:p>
    <w:p w:rsidR="00A31137" w:rsidRPr="00A31137" w:rsidRDefault="00A31137" w:rsidP="00A31137">
      <w:r w:rsidRPr="00A31137">
        <w:t>SCALIA, J., concurring</w:t>
      </w:r>
    </w:p>
    <w:p w:rsidR="00A31137" w:rsidRPr="00A31137" w:rsidRDefault="00A31137" w:rsidP="00A31137">
      <w:r w:rsidRPr="00A31137">
        <w:t>1993, Lamb's Chapel v. Center Moriches Sch. Dist., 508 U.S. 397</w:t>
      </w:r>
    </w:p>
    <w:p w:rsidR="00A31137" w:rsidRPr="00A31137" w:rsidRDefault="00A31137" w:rsidP="00A31137">
      <w:r w:rsidRPr="00A31137">
        <w:t>JUSTICE SCALIA, with whom JUSTICE THOMAS joins, concurring in the judgment.</w:t>
      </w:r>
    </w:p>
    <w:p w:rsidR="00A31137" w:rsidRPr="00A31137" w:rsidRDefault="00A31137" w:rsidP="00A31137">
      <w:r w:rsidRPr="00A31137">
        <w:t>1993, Lamb's Chapel v. Center Moriches Sch. Dist., 508 U.S. 397</w:t>
      </w:r>
    </w:p>
    <w:p w:rsidR="00A31137" w:rsidRPr="00A31137" w:rsidRDefault="00A31137" w:rsidP="00A31137">
      <w:r w:rsidRPr="00A31137">
        <w:t>I join the Court's conclusion that the District's refusal to allow use of school facilities for petitioners' film viewing, while generally opening the schools for community activities, violates petitioners' First Amendment free speech rights (as does N.Y.Educ.Law § 414 (McKinney 1988 and Supp.1993), to the extent it compelled the District's denial, see ante at 386-387). I also agree with the Court that allowing Lamb's Chapel to use school facilities poses "no realistic danger" of a violation of the Establishment Clause, ante at [508 U.S. 398]  395, but I cannot accept most of its reasoning in this regard. The Court explains that the showing of petitioners' film on school property after school hours would not cause the community to "think that the District was endorsing religion or any particular creed," and further notes that access to school property would not violate the three-part test articulated in Lemon v. Kurtzman, 403 U.S. 602 (1971). Ante at  395.</w:t>
      </w:r>
    </w:p>
    <w:p w:rsidR="00A31137" w:rsidRPr="00A31137" w:rsidRDefault="00A31137" w:rsidP="00A31137">
      <w:r w:rsidRPr="00A31137">
        <w:t>1993, Lamb's Chapel v. Center Moriches Sch. Dist., 508 U.S. 398</w:t>
      </w:r>
    </w:p>
    <w:p w:rsidR="00A31137" w:rsidRPr="00A31137" w:rsidRDefault="00A31137" w:rsidP="00A31137">
      <w:r w:rsidRPr="00A31137">
        <w:t>As to the Court's invocation of the Lemon test: like some ghoul in a late-night horror movie that repeatedly sits up in its grave and shuffles abroad after being repeatedly killed and buried, Lemon stalks our Establishment Clause jurisprudence once again, frightening the little children and school attorneys of Center Moriches Union Free School District. Its most recent burial, only last Term, was, to be sure, not fully six-feet under: our decision in Lee v. Weisman, 505 U.S. 577, 568-567 (1992), conspicuously avoided using the supposed "test," but also declined the invitation to repudiate it. Over the years, however, no fewer than five of the currently sitting Justices have, in their own opinions, personally driven pencils through the creature's heart (the author of today's opinion repeatedly), and a sixth has joined an opinion doing so. See, e.g., Weisman, supra, at  644 (SCALIA, J., joined by, inter alios, THOMAS, J., dissenting); Allegheny County v. American Civil Liberties Union, Greater Pittsburgh Chapter, 492 U.S. 573, 655-657 (1989) (KENNEDY, J., concurring in judgment in part and dissenting in part); Corporation of Presiding Bishop of Church of Jesus Christ of Latter-day Saints v. Amos, 483 U.S. 327, 346-349 (1987) (O'CONNOR, J., concurring); Wallace v. Jaffree, 472 U.S. 38, 107-113 (1985) (REHNQUIST, J., dissenting); id. at 90-91 (WHITE, J., dissenting); School Dist. of Grand Rapids v. Ball, 473 U.S. 373,  400 (1985) (WHITE, J., dissenting); Widmar v. Vincent, 454 U.S. 263,  282 (1981) (WHITE, J., dissenting); New York v. Cathedral Academy, 434 U.S. 125, [508 U.S. 399] 134-135 (1977) (WHITE, J., dissenting); Roemer v. Maryland Bd. of Public Works, 426 U.S. 736,  768 (1976) (WHITE, J., concurring in judgment); Committee for Public Education &amp; Religious Liberty v. Nyquist, 413 U.S. 756,  820 (1973) (WHITE, J., dissenting).</w:t>
      </w:r>
    </w:p>
    <w:p w:rsidR="00A31137" w:rsidRPr="00A31137" w:rsidRDefault="00A31137" w:rsidP="00A31137">
      <w:r w:rsidRPr="00A31137">
        <w:t>1993, Lamb's Chapel v. Center Moriches Sch. Dist., 508 U.S. 399</w:t>
      </w:r>
    </w:p>
    <w:p w:rsidR="00A31137" w:rsidRPr="00A31137" w:rsidRDefault="00A31137" w:rsidP="00A31137">
      <w:r w:rsidRPr="00A31137">
        <w:t>The secret of the Lemon test's survival, I think, is that it is so easy to kill. It is there to scare us (and our audience) when we wish it to do so, but we can command it to return to the tomb at will. See, e.g., Lynch v. Donnelly, 465 U.S. 668,  679 (1984) (noting instances in which Court has not applied Lemon test). When we wish to strike down a practice it forbids, we invoke it, see, e.g., Aguilar v. Fenton, 473 U.S. 402 (1985) (striking down state remedial education program administered in part in parochial schools); when we wish to uphold a practice it forbids, we ignore it entirely, see Marsh v. Chambers, 463 U.S. 783 (1983) (upholding state legislative chaplains). Sometimes, we take a middle course, calling its three prongs "no more than helpful signposts," Hunt v. McNair, 413 U.S. 734,  741 (1973). Such a docile and useful monster is worth keeping around, at least in a somnolent state; one never knows when one might need him.</w:t>
      </w:r>
    </w:p>
    <w:p w:rsidR="00A31137" w:rsidRPr="00A31137" w:rsidRDefault="00A31137" w:rsidP="00A31137">
      <w:r w:rsidRPr="00A31137">
        <w:t>1993, Lamb's Chapel v. Center Moriches Sch. Dist., 508 U.S. 399</w:t>
      </w:r>
    </w:p>
    <w:p w:rsidR="00A31137" w:rsidRPr="00A31137" w:rsidRDefault="00A31137" w:rsidP="00A31137">
      <w:r w:rsidRPr="00A31137">
        <w:t>For my part, I agree with the long list of constitutional scholars who have criticized Lemon and bemoaned the strange Establishment Clause geometry of crooked lines and wavering shapes its intermittent use has produced. See, e.g., Choper, The Establishment Clause and Aid to Parochial Schools—An Update, 75 Cal.L.Rev. 5 (1987); Marshall, "We Know It When We See It": The Supreme Court and Establishment, 59 S.Cal.L.Rev. 495 (1986); McConnell, Accommodation of Religion, 1985 S.Ct. Rev. 1; Kurland, The Religion Clauses and the Burger Court, 34 Cath.U.L.Rev. 1 (1984); R. Cord, Separation of Church and State (1982); Choper, The Religion Clauses of the First Amendment: Reconciling the Conflict, 41 U.Pitt.L.Rev. 673 (1980). I will decline to apply Lemon—whether it validates [508 U.S. 400] or invalidates the government action in question—and therefore cannot Join the opinion of the Court today.*</w:t>
      </w:r>
    </w:p>
    <w:p w:rsidR="00A31137" w:rsidRPr="00A31137" w:rsidRDefault="00A31137" w:rsidP="00A31137">
      <w:r w:rsidRPr="00A31137">
        <w:t>1993, Lamb's Chapel v. Center Moriches Sch. Dist., 508 U.S. 400</w:t>
      </w:r>
    </w:p>
    <w:p w:rsidR="00A31137" w:rsidRPr="00A31137" w:rsidRDefault="00A31137" w:rsidP="00A31137">
      <w:r w:rsidRPr="00A31137">
        <w:t>I cannot join for yet another reason: the Court's statement that the proposed use of the school's facilities is constitutional because (among other things) it would not signal endorsement of religion in general. Ante at  395. What a strange notion, that a Constitution which itself gives "religion in general" preferential treatment (I refer to the Free Exercise Clause) forbids endorsement of religion in general. The Attorney General of New York not only agrees with that strange notion, he has an explanation for it: "Religious advocacy," he writes, "serves the community only in the eyes of its adherents, and yields a benefit only to those who already believe." Brief for Respondent Attorney General 24. That was not the view of those who adopted our Constitution, who believed that the public virtues inculcated by religion are a public good. It suffices to point out that, during the summer of 1789, when it was in the process of drafting the First Amendment, Congress enacted the famous Northwest Territory Ordinance of 1789, Article III of which provides,</w:t>
      </w:r>
    </w:p>
    <w:p w:rsidR="00A31137" w:rsidRPr="00A31137" w:rsidRDefault="00A31137" w:rsidP="00A31137">
      <w:r w:rsidRPr="00A31137">
        <w:t>1993, Lamb's Chapel v. Center Moriches Sch. Dist., 508 U.S. 400</w:t>
      </w:r>
    </w:p>
    <w:p w:rsidR="00A31137" w:rsidRPr="00A31137" w:rsidRDefault="00A31137" w:rsidP="00A31137">
      <w:r w:rsidRPr="00A31137">
        <w:t>Religion, morality, and knowledge, being necessary to good government and the happiness of mankind, schools and the means of education shall forever be encouraged.</w:t>
      </w:r>
    </w:p>
    <w:p w:rsidR="00A31137" w:rsidRPr="00A31137" w:rsidRDefault="00A31137" w:rsidP="00A31137">
      <w:r w:rsidRPr="00A31137">
        <w:t>1993, Lamb's Chapel v. Center Moriches Sch. Dist., 508 U.S. 400</w:t>
      </w:r>
    </w:p>
    <w:p w:rsidR="00A31137" w:rsidRPr="00A31137" w:rsidRDefault="00A31137" w:rsidP="00A31137">
      <w:r w:rsidRPr="00A31137">
        <w:t>1 Stat. 52 (emphasis added). Unsurprisingly, then, indifference to "religion in general" is not what our cases, both old and recent, demand. See, e.g., Zorach v. Clauson, 343 U.S. 306, 313-314 (1952) ("When the state encourages religious [508 U.S. 401] instruction or cooperates with religious authorities by adjusting the schedule of public events to sectarian needs, it follows the best of our traditions"); Walz v. Tax Comm'n of New York City, 397 U.S. 664 (1970) (upholding property tax exemption for church property); Lynch, 465 U.S. at  673 (the Constitution "affirmatively mandates accommodation, not merely tolerance, of all religions…. Anything less would require the 'callous indifference' we have said was never intended" (citations omitted)); id. at  683 ("our precedents plainly contemplate that, on occasion, some advancement of religion will result from governmental action"); Marsh, supra; Presiding Bishop, supra, (exemption for religious organizations from certain provisions of Civil Rights Act).</w:t>
      </w:r>
    </w:p>
    <w:p w:rsidR="00A31137" w:rsidRPr="00A31137" w:rsidRDefault="00A31137" w:rsidP="00A31137">
      <w:r w:rsidRPr="00A31137">
        <w:t>*    *    *    *</w:t>
      </w:r>
    </w:p>
    <w:p w:rsidR="00A31137" w:rsidRPr="00A31137" w:rsidRDefault="00A31137" w:rsidP="00A31137">
      <w:r w:rsidRPr="00A31137">
        <w:t>1993, Lamb's Chapel v. Center Moriches Sch. Dist., 508 U.S. 401</w:t>
      </w:r>
    </w:p>
    <w:p w:rsidR="00A31137" w:rsidRPr="00A31137" w:rsidRDefault="00A31137" w:rsidP="00A31137">
      <w:r w:rsidRPr="00A31137">
        <w:t>For the reasons given by the Court, I agree that the Free Speech Clause of the First Amendment forbids what respondents have done here. As for the asserted Establishment Clause justification, I would hold, simply and clearly, that giving Lamb's Chapel nondiscriminatory access to school facilities cannot violate that provision because it does not signify state or local embrace of a particular religious sect.</w:t>
      </w:r>
    </w:p>
    <w:p w:rsidR="00A31137" w:rsidRPr="00A31137" w:rsidRDefault="00A31137" w:rsidP="00A31137">
      <w:r w:rsidRPr="00A31137">
        <w:t>Footnotes</w:t>
      </w:r>
    </w:p>
    <w:p w:rsidR="00A31137" w:rsidRPr="00A31137" w:rsidRDefault="00A31137" w:rsidP="00A31137">
      <w:r w:rsidRPr="00A31137">
        <w:t>WHITE, J., lead opinion (Footnotes)</w:t>
      </w:r>
    </w:p>
    <w:p w:rsidR="00A31137" w:rsidRPr="00A31137" w:rsidRDefault="00A31137" w:rsidP="00A31137">
      <w:r w:rsidRPr="00A31137">
        <w:t>1993, Lamb's Chapel v. Center Moriches Sch. Dist., 508 U.S. 401</w:t>
      </w:r>
    </w:p>
    <w:p w:rsidR="00A31137" w:rsidRPr="00A31137" w:rsidRDefault="00A31137" w:rsidP="00A31137">
      <w:r w:rsidRPr="00A31137">
        <w:t>1. Section 414(1)(e) authorizes the use of school property</w:t>
      </w:r>
    </w:p>
    <w:p w:rsidR="00A31137" w:rsidRPr="00A31137" w:rsidRDefault="00A31137" w:rsidP="00A31137">
      <w:r w:rsidRPr="00A31137">
        <w:t>1993, Lamb's Chapel v. Center Moriches Sch. Dist., 508 U.S. 401</w:t>
      </w:r>
    </w:p>
    <w:p w:rsidR="00A31137" w:rsidRPr="00A31137" w:rsidRDefault="00A31137" w:rsidP="00A31137">
      <w:r w:rsidRPr="00A31137">
        <w:t>[f]or polling places for holding primaries and elections and for the registration of voters and for holding political meetings. But no meetings sponsored by political organizations shall be permitted unless authorized by a vote of a district meeting, held as provided by law, or, in cities by the board of education thereof.</w:t>
      </w:r>
    </w:p>
    <w:p w:rsidR="00A31137" w:rsidRPr="00A31137" w:rsidRDefault="00A31137" w:rsidP="00A31137">
      <w:r w:rsidRPr="00A31137">
        <w:t>1993, Lamb's Chapel v. Center Moriches Sch. Dist., 508 U.S. 401</w:t>
      </w:r>
    </w:p>
    <w:p w:rsidR="00A31137" w:rsidRPr="00A31137" w:rsidRDefault="00A31137" w:rsidP="00A31137">
      <w:r w:rsidRPr="00A31137">
        <w:t>2. Shortly before the first of these requests, the Church had applied for permission to use school rooms for its Sunday morning services and for Sunday School. The hours specified were 9 a.m. to 1 p.m. and the time period one year beginning in the next month. Lamb's Chapel v. Center Moriches Union Free School Dist., 959 F.2d 381, 383 (CA2 1992). Within a few days, the District wrote petitioner that the application "requesting use of the high school for your Sunday services" was denied, citing both the State Education Law § 414 and the District's Rule 7 barring uses for religious purposes. The Church did not challenge this denial in the courts, and the validity of this denial is not before us.</w:t>
      </w:r>
    </w:p>
    <w:p w:rsidR="00A31137" w:rsidRPr="00A31137" w:rsidRDefault="00A31137" w:rsidP="00A31137">
      <w:r w:rsidRPr="00A31137">
        <w:t>1993, Lamb's Chapel v. Center Moriches Sch. Dist., 508 U.S. 401</w:t>
      </w:r>
    </w:p>
    <w:p w:rsidR="00A31137" w:rsidRPr="00A31137" w:rsidRDefault="00A31137" w:rsidP="00A31137">
      <w:r w:rsidRPr="00A31137">
        <w:t>3.</w:t>
      </w:r>
    </w:p>
    <w:p w:rsidR="00A31137" w:rsidRPr="00A31137" w:rsidRDefault="00A31137" w:rsidP="00A31137">
      <w:r w:rsidRPr="00A31137">
        <w:t>1993, Lamb's Chapel v. Center Moriches Sch. Dist., 508 U.S. 401</w:t>
      </w:r>
    </w:p>
    <w:p w:rsidR="00A31137" w:rsidRPr="00A31137" w:rsidRDefault="00A31137" w:rsidP="00A31137">
      <w:r w:rsidRPr="00A31137">
        <w:t>Turn Your Heart Toward Home is available now in a series of six discussion-provoking films:</w:t>
      </w:r>
    </w:p>
    <w:p w:rsidR="00A31137" w:rsidRPr="00A31137" w:rsidRDefault="00A31137" w:rsidP="00A31137">
      <w:r w:rsidRPr="00A31137">
        <w:t>1993, Lamb's Chapel v. Center Moriches Sch. Dist., 508 U.S. 401</w:t>
      </w:r>
    </w:p>
    <w:p w:rsidR="00A31137" w:rsidRPr="00A31137" w:rsidRDefault="00A31137" w:rsidP="00A31137">
      <w:r w:rsidRPr="00A31137">
        <w:t>1) A FATHER LOOKS BACK emphasizes how swiftly time passes, and appeals to all parents to "turn their hearts toward home" during the all-important childrearing years. (60 minutes.)</w:t>
      </w:r>
    </w:p>
    <w:p w:rsidR="00A31137" w:rsidRPr="00A31137" w:rsidRDefault="00A31137" w:rsidP="00A31137">
      <w:r w:rsidRPr="00A31137">
        <w:t>1993, Lamb's Chapel v. Center Moriches Sch. Dist., 508 U.S. 401</w:t>
      </w:r>
    </w:p>
    <w:p w:rsidR="00A31137" w:rsidRPr="00A31137" w:rsidRDefault="00A31137" w:rsidP="00A31137">
      <w:r w:rsidRPr="00A31137">
        <w:t>2) POWER IN PARENTING: THE YOUNG CHILD begins by exploring the inherent nature of power, and offers many practical helps for facing the battlegrounds in childrearing—bedtime, mealtime and other confrontations so familiar to parents. Dr. Dobson also takes a look at areas of conflict in marriage and other adult relationships. (60 minutes.)</w:t>
      </w:r>
    </w:p>
    <w:p w:rsidR="00A31137" w:rsidRPr="00A31137" w:rsidRDefault="00A31137" w:rsidP="00A31137">
      <w:r w:rsidRPr="00A31137">
        <w:t>1993, Lamb's Chapel v. Center Moriches Sch. Dist., 508 U.S. 401</w:t>
      </w:r>
    </w:p>
    <w:p w:rsidR="00A31137" w:rsidRPr="00A31137" w:rsidRDefault="00A31137" w:rsidP="00A31137">
      <w:r w:rsidRPr="00A31137">
        <w:t>3) POWER IN PARENTING: THE ADOLESCENT discusses father/daughter and mother/son relationships, and the importance of allowing children to grow to develop as individuals. Dr. Dobson also encourages parents to free themselves of undeserved guilt when their teenagers choose to rebel. (45 minutes.)</w:t>
      </w:r>
    </w:p>
    <w:p w:rsidR="00A31137" w:rsidRPr="00A31137" w:rsidRDefault="00A31137" w:rsidP="00A31137">
      <w:r w:rsidRPr="00A31137">
        <w:t>1993, Lamb's Chapel v. Center Moriches Sch. Dist., 508 U.S. 401</w:t>
      </w:r>
    </w:p>
    <w:p w:rsidR="00A31137" w:rsidRPr="00A31137" w:rsidRDefault="00A31137" w:rsidP="00A31137">
      <w:r w:rsidRPr="00A31137">
        <w:t>4) THE FAMILY UNDER FIRE views the family in the context of today's society, where a "civil war of values" is being waged. Dr. Dobson urges parents to look at the effects of governmental interference, abortion and pornography, and to get involved. To preserve what they care about most—their own families! (52 minutes.)</w:t>
      </w:r>
    </w:p>
    <w:p w:rsidR="00A31137" w:rsidRPr="00A31137" w:rsidRDefault="00A31137" w:rsidP="00A31137">
      <w:r w:rsidRPr="00A31137">
        <w:t>1993, Lamb's Chapel v. Center Moriches Sch. Dist., 508 U.S. 401</w:t>
      </w:r>
    </w:p>
    <w:p w:rsidR="00A31137" w:rsidRPr="00A31137" w:rsidRDefault="00A31137" w:rsidP="00A31137">
      <w:r w:rsidRPr="00A31137">
        <w:t>Note: This film contains explicit information regarding the pornography industry. Not recommended for young audiences.</w:t>
      </w:r>
    </w:p>
    <w:p w:rsidR="00A31137" w:rsidRPr="00A31137" w:rsidRDefault="00A31137" w:rsidP="00A31137">
      <w:r w:rsidRPr="00A31137">
        <w:t>1993, Lamb's Chapel v. Center Moriches Sch. Dist., 508 U.S. 401</w:t>
      </w:r>
    </w:p>
    <w:p w:rsidR="00A31137" w:rsidRPr="00A31137" w:rsidRDefault="00A31137" w:rsidP="00A31137">
      <w:r w:rsidRPr="00A31137">
        <w:t>5) OVERCOMING A PAINFUL CHILDHOOD includes Shirley Dobson's intimate memories of a difficult childhood with her alcoholic father. Mrs. Dobson recalls the influences which brought her to a loving God who saw her personal circumstances and heard her cries for help. (40 minutes.)</w:t>
      </w:r>
    </w:p>
    <w:p w:rsidR="00A31137" w:rsidRPr="00A31137" w:rsidRDefault="00A31137" w:rsidP="00A31137">
      <w:r w:rsidRPr="00A31137">
        <w:t>1993, Lamb's Chapel v. Center Moriches Sch. Dist., 508 U.S. 401</w:t>
      </w:r>
    </w:p>
    <w:p w:rsidR="00A31137" w:rsidRPr="00A31137" w:rsidRDefault="00A31137" w:rsidP="00A31137">
      <w:r w:rsidRPr="00A31137">
        <w:t>6) THE HERITAGE presents Dr. Dobson's powerful closing remarks. Here he speaks clearly and convincingly of our traditional values which, if properly employed and defended, can assure happy, healthy, strengthened homes and family relationships in the years to come. (60 minutes.)</w:t>
      </w:r>
    </w:p>
    <w:p w:rsidR="00A31137" w:rsidRPr="00A31137" w:rsidRDefault="00A31137" w:rsidP="00A31137">
      <w:r w:rsidRPr="00A31137">
        <w:t>1993, Lamb's Chapel v. Center Moriches Sch. Dist., 508 U.S. 401</w:t>
      </w:r>
    </w:p>
    <w:p w:rsidR="00A31137" w:rsidRPr="00A31137" w:rsidRDefault="00A31137" w:rsidP="00A31137">
      <w:r w:rsidRPr="00A31137">
        <w:t>App. 87-88.</w:t>
      </w:r>
    </w:p>
    <w:p w:rsidR="00A31137" w:rsidRPr="00A31137" w:rsidRDefault="00A31137" w:rsidP="00A31137">
      <w:r w:rsidRPr="00A31137">
        <w:t>1993, Lamb's Chapel v. Center Moriches Sch. Dist., 508 U.S. 401</w:t>
      </w:r>
    </w:p>
    <w:p w:rsidR="00A31137" w:rsidRPr="00A31137" w:rsidRDefault="00A31137" w:rsidP="00A31137">
      <w:r w:rsidRPr="00A31137">
        <w:t>4. The petition also presses the claim by the, Church, rejected by both courts below, that the rejection of its application to exhibit its film violated the Establishment Clause because it and Rule 7's categorical refusal to permit District property to be used for religious purposes demonstrate hostility to religion. Because we reverse on another ground, we need not decide what merit this submission might have.</w:t>
      </w:r>
    </w:p>
    <w:p w:rsidR="00A31137" w:rsidRPr="00A31137" w:rsidRDefault="00A31137" w:rsidP="00A31137">
      <w:r w:rsidRPr="00A31137">
        <w:t>1993, Lamb's Chapel v. Center Moriches Sch. Dist., 508 U.S. 401</w:t>
      </w:r>
    </w:p>
    <w:p w:rsidR="00A31137" w:rsidRPr="00A31137" w:rsidRDefault="00A31137" w:rsidP="00A31137">
      <w:r w:rsidRPr="00A31137">
        <w:t>5. In support of its case in the District Court, the Church presented the following sampling of the uses that had been permitted under Rule 10 in 1987 and 1988:</w:t>
      </w:r>
    </w:p>
    <w:p w:rsidR="00A31137" w:rsidRPr="00A31137" w:rsidRDefault="00A31137" w:rsidP="00A31137">
      <w:r w:rsidRPr="00A31137">
        <w:t>1993, Lamb's Chapel v. Center Moriches Sch. Dist., 508 U.S. 401</w:t>
      </w:r>
    </w:p>
    <w:p w:rsidR="00A31137" w:rsidRPr="00A31137" w:rsidRDefault="00A31137" w:rsidP="00A31137">
      <w:r w:rsidRPr="00A31137">
        <w:t>A New Age religious group known as the "Mind Center"</w:t>
      </w:r>
    </w:p>
    <w:p w:rsidR="00A31137" w:rsidRPr="00A31137" w:rsidRDefault="00A31137" w:rsidP="00A31137">
      <w:r w:rsidRPr="00A31137">
        <w:t>1993, Lamb's Chapel v. Center Moriches Sch. Dist., 508 U.S. 401</w:t>
      </w:r>
    </w:p>
    <w:p w:rsidR="00A31137" w:rsidRPr="00A31137" w:rsidRDefault="00A31137" w:rsidP="00A31137">
      <w:r w:rsidRPr="00A31137">
        <w:t>Southern Harmonize Gospel Singers</w:t>
      </w:r>
    </w:p>
    <w:p w:rsidR="00A31137" w:rsidRPr="00A31137" w:rsidRDefault="00A31137" w:rsidP="00A31137">
      <w:r w:rsidRPr="00A31137">
        <w:t>1993, Lamb's Chapel v. Center Moriches Sch. Dist., 508 U.S. 401</w:t>
      </w:r>
    </w:p>
    <w:p w:rsidR="00A31137" w:rsidRPr="00A31137" w:rsidRDefault="00A31137" w:rsidP="00A31137">
      <w:r w:rsidRPr="00A31137">
        <w:t>Salvation Army Youth Band</w:t>
      </w:r>
    </w:p>
    <w:p w:rsidR="00A31137" w:rsidRPr="00A31137" w:rsidRDefault="00A31137" w:rsidP="00A31137">
      <w:r w:rsidRPr="00A31137">
        <w:t>1993, Lamb's Chapel v. Center Moriches Sch. Dist., 508 U.S. 401</w:t>
      </w:r>
    </w:p>
    <w:p w:rsidR="00A31137" w:rsidRPr="00A31137" w:rsidRDefault="00A31137" w:rsidP="00A31137">
      <w:r w:rsidRPr="00A31137">
        <w:t>Hampton Council of Churches' Billy Taylor Concert</w:t>
      </w:r>
    </w:p>
    <w:p w:rsidR="00A31137" w:rsidRPr="00A31137" w:rsidRDefault="00A31137" w:rsidP="00A31137">
      <w:r w:rsidRPr="00A31137">
        <w:t>1993, Lamb's Chapel v. Center Moriches Sch. Dist., 508 U.S. 401</w:t>
      </w:r>
    </w:p>
    <w:p w:rsidR="00A31137" w:rsidRPr="00A31137" w:rsidRDefault="00A31137" w:rsidP="00A31137">
      <w:r w:rsidRPr="00A31137">
        <w:t>Center Moriches Co-op Nursery School's Quilting Bee</w:t>
      </w:r>
    </w:p>
    <w:p w:rsidR="00A31137" w:rsidRPr="00A31137" w:rsidRDefault="00A31137" w:rsidP="00A31137">
      <w:r w:rsidRPr="00A31137">
        <w:t>1993, Lamb's Chapel v. Center Moriches Sch. Dist., 508 U.S. 401</w:t>
      </w:r>
    </w:p>
    <w:p w:rsidR="00A31137" w:rsidRPr="00A31137" w:rsidRDefault="00A31137" w:rsidP="00A31137">
      <w:r w:rsidRPr="00A31137">
        <w:t>Manorville Humane Society's Chinese Auction</w:t>
      </w:r>
    </w:p>
    <w:p w:rsidR="00A31137" w:rsidRPr="00A31137" w:rsidRDefault="00A31137" w:rsidP="00A31137">
      <w:r w:rsidRPr="00A31137">
        <w:t>1993, Lamb's Chapel v. Center Moriches Sch. Dist., 508 U.S. 401</w:t>
      </w:r>
    </w:p>
    <w:p w:rsidR="00A31137" w:rsidRPr="00A31137" w:rsidRDefault="00A31137" w:rsidP="00A31137">
      <w:r w:rsidRPr="00A31137">
        <w:t>Moriches Bay Power Squadron</w:t>
      </w:r>
    </w:p>
    <w:p w:rsidR="00A31137" w:rsidRPr="00A31137" w:rsidRDefault="00A31137" w:rsidP="00A31137">
      <w:r w:rsidRPr="00A31137">
        <w:t>1993, Lamb's Chapel v. Center Moriches Sch. Dist., 508 U.S. 401</w:t>
      </w:r>
    </w:p>
    <w:p w:rsidR="00A31137" w:rsidRPr="00A31137" w:rsidRDefault="00A31137" w:rsidP="00A31137">
      <w:r w:rsidRPr="00A31137">
        <w:t>Unkechaug Dance Group</w:t>
      </w:r>
    </w:p>
    <w:p w:rsidR="00A31137" w:rsidRPr="00A31137" w:rsidRDefault="00A31137" w:rsidP="00A31137">
      <w:r w:rsidRPr="00A31137">
        <w:t>1993, Lamb's Chapel v. Center Moriches Sch. Dist., 508 U.S. 401</w:t>
      </w:r>
    </w:p>
    <w:p w:rsidR="00A31137" w:rsidRPr="00A31137" w:rsidRDefault="00A31137" w:rsidP="00A31137">
      <w:r w:rsidRPr="00A31137">
        <w:t>Paul Gibson's Baseball Clinic</w:t>
      </w:r>
    </w:p>
    <w:p w:rsidR="00A31137" w:rsidRPr="00A31137" w:rsidRDefault="00A31137" w:rsidP="00A31137">
      <w:r w:rsidRPr="00A31137">
        <w:t>1993, Lamb's Chapel v. Center Moriches Sch. Dist., 508 U.S. 401</w:t>
      </w:r>
    </w:p>
    <w:p w:rsidR="00A31137" w:rsidRPr="00A31137" w:rsidRDefault="00A31137" w:rsidP="00A31137">
      <w:r w:rsidRPr="00A31137">
        <w:t>Moriches Bay Civic Association</w:t>
      </w:r>
    </w:p>
    <w:p w:rsidR="00A31137" w:rsidRPr="00A31137" w:rsidRDefault="00A31137" w:rsidP="00A31137">
      <w:r w:rsidRPr="00A31137">
        <w:t>1993, Lamb's Chapel v. Center Moriches Sch. Dist., 508 U.S. 401</w:t>
      </w:r>
    </w:p>
    <w:p w:rsidR="00A31137" w:rsidRPr="00A31137" w:rsidRDefault="00A31137" w:rsidP="00A31137">
      <w:r w:rsidRPr="00A31137">
        <w:t>Moriches Chamber of Commerce's Town Fair Day</w:t>
      </w:r>
    </w:p>
    <w:p w:rsidR="00A31137" w:rsidRPr="00A31137" w:rsidRDefault="00A31137" w:rsidP="00A31137">
      <w:r w:rsidRPr="00A31137">
        <w:t>1993, Lamb's Chapel v. Center Moriches Sch. Dist., 508 U.S. 401</w:t>
      </w:r>
    </w:p>
    <w:p w:rsidR="00A31137" w:rsidRPr="00A31137" w:rsidRDefault="00A31137" w:rsidP="00A31137">
      <w:r w:rsidRPr="00A31137">
        <w:t>Center Moriches Drama Club</w:t>
      </w:r>
    </w:p>
    <w:p w:rsidR="00A31137" w:rsidRPr="00A31137" w:rsidRDefault="00A31137" w:rsidP="00A31137">
      <w:r w:rsidRPr="00A31137">
        <w:t>1993, Lamb's Chapel v. Center Moriches Sch. Dist., 508 U.S. 401</w:t>
      </w:r>
    </w:p>
    <w:p w:rsidR="00A31137" w:rsidRPr="00A31137" w:rsidRDefault="00A31137" w:rsidP="00A31137">
      <w:r w:rsidRPr="00A31137">
        <w:t>Center Moriches Music Award Associations' "Amahl &amp; the Night Visitors"</w:t>
      </w:r>
    </w:p>
    <w:p w:rsidR="00A31137" w:rsidRPr="00A31137" w:rsidRDefault="00A31137" w:rsidP="00A31137">
      <w:r w:rsidRPr="00A31137">
        <w:t>1993, Lamb's Chapel v. Center Moriches Sch. Dist., 508 U.S. 401</w:t>
      </w:r>
    </w:p>
    <w:p w:rsidR="00A31137" w:rsidRPr="00A31137" w:rsidRDefault="00A31137" w:rsidP="00A31137">
      <w:r w:rsidRPr="00A31137">
        <w:t>Saint John's Track and Field Program</w:t>
      </w:r>
    </w:p>
    <w:p w:rsidR="00A31137" w:rsidRPr="00A31137" w:rsidRDefault="00A31137" w:rsidP="00A31137">
      <w:r w:rsidRPr="00A31137">
        <w:t>1993, Lamb's Chapel v. Center Moriches Sch. Dist., 508 U.S. 401</w:t>
      </w:r>
    </w:p>
    <w:p w:rsidR="00A31137" w:rsidRPr="00A31137" w:rsidRDefault="00A31137" w:rsidP="00A31137">
      <w:r w:rsidRPr="00A31137">
        <w:t>Girl Scouts of Suffolk [C]ounty</w:t>
      </w:r>
    </w:p>
    <w:p w:rsidR="00A31137" w:rsidRPr="00A31137" w:rsidRDefault="00A31137" w:rsidP="00A31137">
      <w:r w:rsidRPr="00A31137">
        <w:t>1993, Lamb's Chapel v. Center Moriches Sch. Dist., 508 U.S. 401</w:t>
      </w:r>
    </w:p>
    <w:p w:rsidR="00A31137" w:rsidRPr="00A31137" w:rsidRDefault="00A31137" w:rsidP="00A31137">
      <w:r w:rsidRPr="00A31137">
        <w:t>Cub Scouts Pack 23</w:t>
      </w:r>
    </w:p>
    <w:p w:rsidR="00A31137" w:rsidRPr="00A31137" w:rsidRDefault="00A31137" w:rsidP="00A31137">
      <w:r w:rsidRPr="00A31137">
        <w:t>1993, Lamb's Chapel v. Center Moriches Sch. Dist., 508 U.S. 401</w:t>
      </w:r>
    </w:p>
    <w:p w:rsidR="00A31137" w:rsidRPr="00A31137" w:rsidRDefault="00A31137" w:rsidP="00A31137">
      <w:r w:rsidRPr="00A31137">
        <w:t>Boy Scout Troop # 414[.]</w:t>
      </w:r>
    </w:p>
    <w:p w:rsidR="00A31137" w:rsidRPr="00A31137" w:rsidRDefault="00A31137" w:rsidP="00A31137">
      <w:r w:rsidRPr="00A31137">
        <w:t>1993, Lamb's Chapel v. Center Moriches Sch. Dist., 508 U.S. 401</w:t>
      </w:r>
    </w:p>
    <w:p w:rsidR="00A31137" w:rsidRPr="00A31137" w:rsidRDefault="00A31137" w:rsidP="00A31137">
      <w:r w:rsidRPr="00A31137">
        <w:t>770 F.Supp. 91, 93, n. 4 (E.D.N.Y.1991).</w:t>
      </w:r>
    </w:p>
    <w:p w:rsidR="00A31137" w:rsidRPr="00A31137" w:rsidRDefault="00A31137" w:rsidP="00A31137">
      <w:r w:rsidRPr="00A31137">
        <w:t>1993, Lamb's Chapel v. Center Moriches Sch. Dist., 508 U.S. 401</w:t>
      </w:r>
    </w:p>
    <w:p w:rsidR="00A31137" w:rsidRPr="00A31137" w:rsidRDefault="00A31137" w:rsidP="00A31137">
      <w:r w:rsidRPr="00A31137">
        <w:t>The Church claimed that the first three uses listed above demonstrated that Rule 10 actually permitted the District property to be used for religious purposes as well as a great assortment of other uses. The first item listed is particularly interesting and relevant to the issue before us. The District Court referred to this item as "a lecture series by the Mind Center, purportedly a New Age religious group." 770 F.Supp. at 93. The Court of Appeals described it as follows:</w:t>
      </w:r>
    </w:p>
    <w:p w:rsidR="00A31137" w:rsidRPr="00A31137" w:rsidRDefault="00A31137" w:rsidP="00A31137">
      <w:r w:rsidRPr="00A31137">
        <w:t>1993, Lamb's Chapel v. Center Moriches Sch. Dist., 508 U.S. 401</w:t>
      </w:r>
    </w:p>
    <w:p w:rsidR="00A31137" w:rsidRPr="00A31137" w:rsidRDefault="00A31137" w:rsidP="00A31137">
      <w:r w:rsidRPr="00A31137">
        <w:t>The lecture series, "Psychology and The Unknown," by Jerry Huck, was sponsored by the Center Moriches Free Public Library. The library's newsletter characterized Mr. Huck as a psychotherapist who would discuss such topics as parapsychology, transpersonal psychology, physics and metaphysics in his night series of lectures. Mr. Huck testified that he lectured principally on parapsychology, which he defined by "reference to the human unconscious, the mind, the unconscious emotional system or the body system." When asked whether his lecture involved matters of both a spiritual and a scientific nature, Mr. Huck responded: "It was all science. Anything I speak on based on parapsychology, analytic, quantum physicists [sic]." Although some incidental reference to religious matters apparently was made in the lectures, Mr. Huck himself characterized such matters as "a fascinating sideline," and "not the purpose of the [lecture.]"</w:t>
      </w:r>
    </w:p>
    <w:p w:rsidR="00A31137" w:rsidRPr="00A31137" w:rsidRDefault="00A31137" w:rsidP="00A31137">
      <w:r w:rsidRPr="00A31137">
        <w:t>1993, Lamb's Chapel v. Center Moriches Sch. Dist., 508 U.S. 401</w:t>
      </w:r>
    </w:p>
    <w:p w:rsidR="00A31137" w:rsidRPr="00A31137" w:rsidRDefault="00A31137" w:rsidP="00A31137">
      <w:r w:rsidRPr="00A31137">
        <w:t>959 F.2d at 388.</w:t>
      </w:r>
    </w:p>
    <w:p w:rsidR="00A31137" w:rsidRPr="00A31137" w:rsidRDefault="00A31137" w:rsidP="00A31137">
      <w:r w:rsidRPr="00A31137">
        <w:t>1993, Lamb's Chapel v. Center Moriches Sch. Dist., 508 U.S. 401</w:t>
      </w:r>
    </w:p>
    <w:p w:rsidR="00A31137" w:rsidRPr="00A31137" w:rsidRDefault="00A31137" w:rsidP="00A31137">
      <w:r w:rsidRPr="00A31137">
        <w:t>6. Although the Court of Appeals apparently held that Rule 7 was reasonable as well as viewpoint-neutral, the court uttered not a word in support of its reasonableness holding. If Rule 7 were to be held unreasonable, it could be held facially invalid, that is, it might be held that the rule could in no circumstances be applied to religious speech or religious communicative conduct. In view of our disposition of this case, we need not pursue this issue.</w:t>
      </w:r>
    </w:p>
    <w:p w:rsidR="00A31137" w:rsidRPr="00A31137" w:rsidRDefault="00A31137" w:rsidP="00A31137">
      <w:r w:rsidRPr="00A31137">
        <w:t>1993, Lamb's Chapel v. Center Moriches Sch. Dist., 508 U.S. 401</w:t>
      </w:r>
    </w:p>
    <w:p w:rsidR="00A31137" w:rsidRPr="00A31137" w:rsidRDefault="00A31137" w:rsidP="00A31137">
      <w:r w:rsidRPr="00A31137">
        <w:t>7. While we are somewhat diverted by JUSTICE SCALIA's evening at the cinema, post at 398-399, we return to the reality that there is a proper way to inter an established decision, and Lemon, however frightening it might be to some, has not been overruled. This case, like Corporation of Presiding Bishop of Church of Jesus Christ of Latter-day Saints v. Amos, 483 U.S. 327 (1987), presents no occasion to do so. JUSTICE SCALIA apparently was less haunted by the ghosts of the living when he joined the opinion of the Court in that case.</w:t>
      </w:r>
    </w:p>
    <w:p w:rsidR="00A31137" w:rsidRPr="00A31137" w:rsidRDefault="00A31137" w:rsidP="00A31137">
      <w:r w:rsidRPr="00A31137">
        <w:t>SCALIA, J., concurring (Footnotes)</w:t>
      </w:r>
    </w:p>
    <w:p w:rsidR="00A31137" w:rsidRPr="00A31137" w:rsidRDefault="00A31137" w:rsidP="00A31137">
      <w:r w:rsidRPr="00A31137">
        <w:t>1993, Lamb's Chapel v. Center Moriches Sch. Dist., 508 U.S. 401</w:t>
      </w:r>
    </w:p>
    <w:p w:rsidR="00A31137" w:rsidRPr="00A31137" w:rsidRDefault="00A31137" w:rsidP="00A31137">
      <w:r w:rsidRPr="00A31137">
        <w:t>* The Court correctly notes, ante at  395, n. 7, that I joined the opinion in Corporation of Presiding Bishop of Church of Jesus Christ of Latterday Saints v. Amos, 483 U.S. 327 (1987), which considered the Lemon test. Lacking a majority at that time to abandon Lemon, we necessarily focused on that test, which had been the exclusive basis for the lower court's judgment. Here, of course, the lower court did not mention Lemon, and indeed did not even address any Establishment Clause argument on behalf of respondents. Thus, the Court is ultimately correct that Presiding Bishop provides a useful comparison: it was as impossible to avoid Lemon there as it is unnecessary to inject Lemon here.</w:t>
      </w:r>
    </w:p>
    <w:p w:rsidR="00A31137" w:rsidRPr="00A31137" w:rsidRDefault="00A31137" w:rsidP="00A31137">
      <w:r w:rsidRPr="00A31137">
        <w:t>Wisconsin v. Mitchell, 1993</w:t>
      </w:r>
    </w:p>
    <w:p w:rsidR="00A31137" w:rsidRPr="00A31137" w:rsidRDefault="00A31137" w:rsidP="00A31137">
      <w:r w:rsidRPr="00A31137">
        <w:t>Title:</w:t>
      </w:r>
      <w:r w:rsidRPr="00A31137">
        <w:tab/>
        <w:t>Wisconsin v. Mitchell</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11, 1993</w:t>
      </w:r>
    </w:p>
    <w:p w:rsidR="00A31137" w:rsidRPr="00A31137" w:rsidRDefault="00A31137" w:rsidP="00A31137">
      <w:r w:rsidRPr="00A31137">
        <w:t>Source:</w:t>
      </w:r>
      <w:r w:rsidRPr="00A31137">
        <w:tab/>
        <w:t>508 U.S. 476</w:t>
      </w:r>
    </w:p>
    <w:p w:rsidR="00A31137" w:rsidRPr="00A31137" w:rsidRDefault="00A31137" w:rsidP="00A31137">
      <w:r w:rsidRPr="00A31137">
        <w:t>This case was argued April 21, 1993, and was decided June 11, 1993.</w:t>
      </w:r>
    </w:p>
    <w:p w:rsidR="00A31137" w:rsidRPr="00A31137" w:rsidRDefault="00A31137" w:rsidP="00A31137">
      <w:r w:rsidRPr="00A31137">
        <w:t>CERTIORARI TO THE SUPREME COURT OF WISCONSIN</w:t>
      </w:r>
    </w:p>
    <w:p w:rsidR="00A31137" w:rsidRPr="00A31137" w:rsidRDefault="00A31137" w:rsidP="00A31137">
      <w:r w:rsidRPr="00A31137">
        <w:t>Syllabus</w:t>
      </w:r>
    </w:p>
    <w:p w:rsidR="00A31137" w:rsidRPr="00A31137" w:rsidRDefault="00A31137" w:rsidP="00A31137">
      <w:r w:rsidRPr="00A31137">
        <w:t>1993, Wisconsin v. Mitchell, 508 U.S. 476</w:t>
      </w:r>
    </w:p>
    <w:p w:rsidR="00A31137" w:rsidRPr="00A31137" w:rsidRDefault="00A31137" w:rsidP="00A31137">
      <w:r w:rsidRPr="00A31137">
        <w:t>Pursuant to a Wisconsin statute, respondent Mitchell's sentence for aggravated battery was enhanced because he intentionally selected his victim on account of the victim's race. The State Court of Appeals rejected his challenge to the law's constitutionality, but the State Supreme Court reversed. Relying on R.A.V. v. St. Paul, 505 U.S. 377, it held that the statute violates the First Amendment by punishing what the legislature has deemed to be offensive thought and rejected the State's contention that the law punishes only the conduct of intentional victim selection. It also found that the statute was unconstitutionally overbroad because the evidentiary use of a defendant's prior speech would have a chilling effect on those who fear they may be prosecuted for offenses subject to penalty enhancement. Finally, it distinguished antidiscrimination laws, which have long been held constitutional, on the ground that they prohibit objective acts of discrimination, whereas the state statute punishes the subjective mental process.</w:t>
      </w:r>
    </w:p>
    <w:p w:rsidR="00A31137" w:rsidRPr="00A31137" w:rsidRDefault="00A31137" w:rsidP="00A31137">
      <w:r w:rsidRPr="00A31137">
        <w:t>1993, Wisconsin v. Mitchell, 508 U.S. 476</w:t>
      </w:r>
    </w:p>
    <w:p w:rsidR="00A31137" w:rsidRPr="00A31137" w:rsidRDefault="00A31137" w:rsidP="00A31137">
      <w:r w:rsidRPr="00A31137">
        <w:t>Held: Mitchell's First Amendment rights were not violated by the application of the penalty-enhancement provision in sentencing him. Pp.  483-490.</w:t>
      </w:r>
    </w:p>
    <w:p w:rsidR="00A31137" w:rsidRPr="00A31137" w:rsidRDefault="00A31137" w:rsidP="00A31137">
      <w:r w:rsidRPr="00A31137">
        <w:t>1993, Wisconsin v. Mitchell, 508 U.S. 476</w:t>
      </w:r>
    </w:p>
    <w:p w:rsidR="00A31137" w:rsidRPr="00A31137" w:rsidRDefault="00A31137" w:rsidP="00A31137">
      <w:r w:rsidRPr="00A31137">
        <w:t>(a) While Mitchell correctly notes that this Court is bound by a state court's interpretation of a state statute, the State Supreme Court did not construe the instant statute in the sense of defining the meaning of a particular word or phrase. Rather, it characterized the statute's practical effect for First Amendment purposes. Thus, after resolving any ambiguities in the statute's meaning, this Court may form its own judgment about the law's operative effect. The State's argument that the statute punishes only conduct does not dispose of Mitchell's claim, since the fact remains that the same criminal conduct is more heavily punished if the victim is selected because of his protected status than if no such motive obtains. Pp.  483-485.</w:t>
      </w:r>
    </w:p>
    <w:p w:rsidR="00A31137" w:rsidRPr="00A31137" w:rsidRDefault="00A31137" w:rsidP="00A31137">
      <w:r w:rsidRPr="00A31137">
        <w:t>1993, Wisconsin v. Mitchell, 508 U.S. 476</w:t>
      </w:r>
    </w:p>
    <w:p w:rsidR="00A31137" w:rsidRPr="00A31137" w:rsidRDefault="00A31137" w:rsidP="00A31137">
      <w:r w:rsidRPr="00A31137">
        <w:t>(b) In determining what sentence to impose, sentencing judges have traditionally considered a wide variety of factors in addition to evidence bearing on guilt, including a defendant's motive for committing the offense. While it is equally true that a sentencing judge may not take into consideration a defendant's abstract beliefs, however obnoxious to most people, the Constitution does not erect a per se barrier to the [508 U.S. 477] admission of evidence concerning one's beliefs and associations at sentencing simply because they are protected by the First Amendment. Dawson v. Delaware, 503 U.S. 159; Barclay v. Florida, 463 U.S. 939 (plurality opinion). That Dawson and Barclay did not involve the application of a penalty-enhancement provision does not make them inapposite. Barclay involved the consideration of racial animus in determining whether to sentence a defendant to death, the most severe "enhancement" of all; and the state legislature has the primary responsibility for fixing criminal penalties. Motive plays the same role under the state statute as it does under federal and state antidiscrimination laws, which have been upheld against constitutional challenge. Nothing in R.A.V. v. St. Paul, supra, compels a different result here. The ordinance at issue there was explicitly directed at speech, while the one here is aimed at conduct unprotected by the First Amendment. Moreover, the State's desire to redress what it sees as the greater individual and societal harm inflicted by bias-inspired conduct provides an adequate explanation for the provision over and above mere disagreement with offenders' beliefs or biases. Pp.  485-488.</w:t>
      </w:r>
    </w:p>
    <w:p w:rsidR="00A31137" w:rsidRPr="00A31137" w:rsidRDefault="00A31137" w:rsidP="00A31137">
      <w:r w:rsidRPr="00A31137">
        <w:t>1993, Wisconsin v. Mitchell, 508 U.S. 477</w:t>
      </w:r>
    </w:p>
    <w:p w:rsidR="00A31137" w:rsidRPr="00A31137" w:rsidRDefault="00A31137" w:rsidP="00A31137">
      <w:r w:rsidRPr="00A31137">
        <w:t>(c) Because the statute has no "chilling effect" on free speech, it is not unconstitutionally overbroad. The prospect of a citizen suppressing his bigoted beliefs for fear that evidence of those beliefs will be introduced against him at trial if he commits a serious offense against person or property is too speculative a hypothesis to support this claim. Moreover, the First Amendment permits the admission of previous declarations or statements to establish the elements of a crime or to prove motive or intent, subject to evidentiary rules dealing with relevancy, reliability, and the like. Haupt v. United States, 330 U.S. 631. Pp.  488-490.</w:t>
      </w:r>
    </w:p>
    <w:p w:rsidR="00A31137" w:rsidRPr="00A31137" w:rsidRDefault="00A31137" w:rsidP="00A31137">
      <w:r w:rsidRPr="00A31137">
        <w:t>1993, Wisconsin v. Mitchell, 508 U.S. 477</w:t>
      </w:r>
    </w:p>
    <w:p w:rsidR="00A31137" w:rsidRPr="00A31137" w:rsidRDefault="00A31137" w:rsidP="00A31137">
      <w:r w:rsidRPr="00A31137">
        <w:t>169 Wis.2d 153, 485 N.W.2d 807 (1992), reversed and remanded.</w:t>
      </w:r>
    </w:p>
    <w:p w:rsidR="00A31137" w:rsidRPr="00A31137" w:rsidRDefault="00A31137" w:rsidP="00A31137">
      <w:r w:rsidRPr="00A31137">
        <w:t>1993, Wisconsin v. Mitchell, 508 U.S. 477</w:t>
      </w:r>
    </w:p>
    <w:p w:rsidR="00A31137" w:rsidRPr="00A31137" w:rsidRDefault="00A31137" w:rsidP="00A31137">
      <w:r w:rsidRPr="00A31137">
        <w:t xml:space="preserve">REHNQUIST, C.J,, delivered the opinion for a unanimous Court. [508 U.S. 479] </w:t>
      </w:r>
    </w:p>
    <w:p w:rsidR="00A31137" w:rsidRPr="00A31137" w:rsidRDefault="00A31137" w:rsidP="00A31137">
      <w:r w:rsidRPr="00A31137">
        <w:t>REHNQUIST, J., lead opinion</w:t>
      </w:r>
    </w:p>
    <w:p w:rsidR="00A31137" w:rsidRPr="00A31137" w:rsidRDefault="00A31137" w:rsidP="00A31137">
      <w:r w:rsidRPr="00A31137">
        <w:t>1993, Wisconsin v. Mitchell, 508 U.S. 479</w:t>
      </w:r>
    </w:p>
    <w:p w:rsidR="00A31137" w:rsidRPr="00A31137" w:rsidRDefault="00A31137" w:rsidP="00A31137">
      <w:r w:rsidRPr="00A31137">
        <w:t>CHIEF JUSTICE REHNQUIST delivered the opinion of the Court.</w:t>
      </w:r>
    </w:p>
    <w:p w:rsidR="00A31137" w:rsidRPr="00A31137" w:rsidRDefault="00A31137" w:rsidP="00A31137">
      <w:r w:rsidRPr="00A31137">
        <w:t>1993, Wisconsin v. Mitchell, 508 U.S. 479</w:t>
      </w:r>
    </w:p>
    <w:p w:rsidR="00A31137" w:rsidRPr="00A31137" w:rsidRDefault="00A31137" w:rsidP="00A31137">
      <w:r w:rsidRPr="00A31137">
        <w:t>Respondent Todd Mitchell's sentence for aggravated battery was enhanced because he intentionally selected his victim on account of the victim's race. The question presented in this case is whether this penalty enhancement is prohibited by the First and Fourteenth Amendments. We hold that it is not.</w:t>
      </w:r>
    </w:p>
    <w:p w:rsidR="00A31137" w:rsidRPr="00A31137" w:rsidRDefault="00A31137" w:rsidP="00A31137">
      <w:r w:rsidRPr="00A31137">
        <w:t>1993, Wisconsin v. Mitchell, 508 U.S. 479</w:t>
      </w:r>
    </w:p>
    <w:p w:rsidR="00A31137" w:rsidRPr="00A31137" w:rsidRDefault="00A31137" w:rsidP="00A31137">
      <w:r w:rsidRPr="00A31137">
        <w:t>On the evening of October 7, 1989, a group of young black men and boys, including Mitchell, gathered at an apartment [508 U.S. 480] complex in Kenosha, Wisconsin. Several members of the group discussed a scene from the motion picture "Mississippi Burning" in which a white man beat a young black boy who was praying. The group moved outside and Mitchell asked them: "'Do you all feel hyped up to move on some white people?'" Brief for Petitioner 4. Shortly thereafter, a young white boy approached the group on the opposite side of the street where they were standing. As the boy walked by, Mitchell said: "'You all want to fuck somebody up? There goes a white boy; go get him.'" Id. at 4-5. Mitchell counted to three and pointed in the boy's direction. The group ran towards the boy, beat him severely, and stole his tennis shoes. The boy was rendered unconscious and remained in a coma for four days.</w:t>
      </w:r>
    </w:p>
    <w:p w:rsidR="00A31137" w:rsidRPr="00A31137" w:rsidRDefault="00A31137" w:rsidP="00A31137">
      <w:r w:rsidRPr="00A31137">
        <w:t>1993, Wisconsin v. Mitchell, 508 U.S. 480</w:t>
      </w:r>
    </w:p>
    <w:p w:rsidR="00A31137" w:rsidRPr="00A31137" w:rsidRDefault="00A31137" w:rsidP="00A31137">
      <w:r w:rsidRPr="00A31137">
        <w:t>After a jury trial in the Circuit Court for Kenosha County, Mitchell was convicted of aggravated battery. Wis.Stat. §§ 939.05 and 940.19(1m) (1989-1990). That offense ordinarily carries a maximum sentence of two years' imprisonment. §§ 940.19(1m) and 939.50(3)(e). But because the jury found that Mitchell had intentionally selected his victim because of the boy's race, the maximum sentence for Mitchell's offense was increased to seven years under § 939.645. That provision enhances the maximum penalty for an offense whenever the defendant "[i]ntentionally selects the person against whom the crime…is committed…because of the race, religion, color, disability, sexual orientation, national origin or ancestry of that person…. " § 939.645(1)(b). 1 [508 U.S. 481] The Circuit Court sentenced Mitchell to four years' imprisonment for the aggravated battery.</w:t>
      </w:r>
    </w:p>
    <w:p w:rsidR="00A31137" w:rsidRPr="00A31137" w:rsidRDefault="00A31137" w:rsidP="00A31137">
      <w:r w:rsidRPr="00A31137">
        <w:t>1993, Wisconsin v. Mitchell, 508 U.S. 481</w:t>
      </w:r>
    </w:p>
    <w:p w:rsidR="00A31137" w:rsidRPr="00A31137" w:rsidRDefault="00A31137" w:rsidP="00A31137">
      <w:r w:rsidRPr="00A31137">
        <w:t>Mitchell unsuccessfully sought postconviction relief in the Circuit Court. Then he appealed his conviction and sentence, challenging the constitutionality of Wisconsin's penalty-enhancement provision on First Amendment grounds. 2 The Wisconsin Court of Appeals rejected Mitchell's challenge, 163 Wis.2d 652, 473 N.W.2d 1 (1991), but the Wisconsin Supreme Court reversed. The Supreme Court [508 U.S. 482] held that the statute "violates the First Amendment directly by punishing what the legislature has deemed to be offensive thought." 169 Wis.2d 153, 163, 485 N.W.2d 807, 811 (1992). It rejected the State's contention "that the statute punishes only the 'conduct' of intentional selection of a victim." Id. at 164, 485 N.W.2d at 812. According to the court,</w:t>
      </w:r>
    </w:p>
    <w:p w:rsidR="00A31137" w:rsidRPr="00A31137" w:rsidRDefault="00A31137" w:rsidP="00A31137">
      <w:r w:rsidRPr="00A31137">
        <w:t>1993, Wisconsin v. Mitchell, 508 U.S. 482</w:t>
      </w:r>
    </w:p>
    <w:p w:rsidR="00A31137" w:rsidRPr="00A31137" w:rsidRDefault="00A31137" w:rsidP="00A31137">
      <w:r w:rsidRPr="00A31137">
        <w:t>[t]he statute punishes the "because of" aspect of the defendant's selection, the reason the defendant selected the victim, the motive behind the selection.</w:t>
      </w:r>
    </w:p>
    <w:p w:rsidR="00A31137" w:rsidRPr="00A31137" w:rsidRDefault="00A31137" w:rsidP="00A31137">
      <w:r w:rsidRPr="00A31137">
        <w:t>1993, Wisconsin v. Mitchell, 508 U.S. 482</w:t>
      </w:r>
    </w:p>
    <w:p w:rsidR="00A31137" w:rsidRPr="00A31137" w:rsidRDefault="00A31137" w:rsidP="00A31137">
      <w:r w:rsidRPr="00A31137">
        <w:t>Ibid. (emphasis in original). And under R.A.V. v. St. Paul, 505 U.S. 377 (1992), "the Wisconsin legislature cannot criminalize bigoted thought with which it disagrees." 169 Wis.2d at 171, 485 N.W.2d at 815.</w:t>
      </w:r>
    </w:p>
    <w:p w:rsidR="00A31137" w:rsidRPr="00A31137" w:rsidRDefault="00A31137" w:rsidP="00A31137">
      <w:r w:rsidRPr="00A31137">
        <w:t>1993, Wisconsin v. Mitchell, 508 U.S. 482</w:t>
      </w:r>
    </w:p>
    <w:p w:rsidR="00A31137" w:rsidRPr="00A31137" w:rsidRDefault="00A31137" w:rsidP="00A31137">
      <w:r w:rsidRPr="00A31137">
        <w:t>The Supreme Court also held that the penalty-enhancement statute was unconstitutionally overbroad. It reasoned that, in order to prove that a defendant intentionally selected his victim because of the victim's protected status, the State would often have to introduce evidence of the defendant's prior speech, such as racial epithets he may have uttered before the commission of the offense. This evidentiary use of protected speech, the court thought, would have a "chilling effect" on those who feared the possibility of prosecution for offenses subject to penalty enhancement. See id. at 174, 485 N.W.2d at 816. Finally, the court distinguished antidiscrimination laws, which have long been held constitutional, on the ground that the Wisconsin statute punishes the "subjective mental process" of selecting a victim because of his protected status, whereas antidiscrimination laws prohibit "objective acts of discrimination." Id. at 176, 485 N.W.2d at 817. 3</w:t>
      </w:r>
    </w:p>
    <w:p w:rsidR="00A31137" w:rsidRPr="00A31137" w:rsidRDefault="00A31137" w:rsidP="00A31137">
      <w:r w:rsidRPr="00A31137">
        <w:t>1993, Wisconsin v. Mitchell, 508 U.S. 482</w:t>
      </w:r>
    </w:p>
    <w:p w:rsidR="00A31137" w:rsidRPr="00A31137" w:rsidRDefault="00A31137" w:rsidP="00A31137">
      <w:r w:rsidRPr="00A31137">
        <w:t>We granted certiorari because of the importance of the question presented and the existence of a conflict of authority [508 U.S. 483] among state high courts on the constitutionality of statutes similar to Wisconsin's penalty-enhancement provision, 4 506 U.S. 1033 (1992). We reverse.</w:t>
      </w:r>
    </w:p>
    <w:p w:rsidR="00A31137" w:rsidRPr="00A31137" w:rsidRDefault="00A31137" w:rsidP="00A31137">
      <w:r w:rsidRPr="00A31137">
        <w:t>1993, Wisconsin v. Mitchell, 508 U.S. 483</w:t>
      </w:r>
    </w:p>
    <w:p w:rsidR="00A31137" w:rsidRPr="00A31137" w:rsidRDefault="00A31137" w:rsidP="00A31137">
      <w:r w:rsidRPr="00A31137">
        <w:t>Mitchell argues that we are bound by the Wisconsin Supreme Court's conclusion that the statute punishes bigoted thought, and not conduct. There is no doubt that we are bound by a state court's construction of a state statute. R.A.V., supra, at  381; New York v. Ferber, 458 U.S. 747,  769, n. 24 (1982); Terminiello v. Chicago, 337 U.S. 1,  4 (1949). In Terminiello, for example, the Illinois courts had defined the term "'breach of the peace,'" in a city ordinance prohibiting disorderly conduct, to include "'stirs the public to anger…or creates a disturbance.'" Id. at  4. We held this construction [508 U.S. 484] to be binding on us. But here the Wisconsin Supreme Court did not, strictly speaking, construe the Wisconsin statute in the sense of defining the meaning of a particular statutory word or phrase. Rather, it merely characterized the "practical effect" of the statute for First Amendment purposes. See 169 Wis.2d at 166-167, 485 N.W.2d at 813 ("Merely because the statute refers in a literal sense to the intentional 'conduct' of selecting, does not mean the court must turn a blind eye to the intent and practical effect of the law—punishment of motive or thought"). This assessment does not bind us. Once any ambiguities as to the meaning of the statute are resolved, we may form our own judgment as to its operative effect.</w:t>
      </w:r>
    </w:p>
    <w:p w:rsidR="00A31137" w:rsidRPr="00A31137" w:rsidRDefault="00A31137" w:rsidP="00A31137">
      <w:r w:rsidRPr="00A31137">
        <w:t>1993, Wisconsin v. Mitchell, 508 U.S. 484</w:t>
      </w:r>
    </w:p>
    <w:p w:rsidR="00A31137" w:rsidRPr="00A31137" w:rsidRDefault="00A31137" w:rsidP="00A31137">
      <w:r w:rsidRPr="00A31137">
        <w:t>The State argues that the statute does not punish bigoted thought, as the Supreme Court of Wisconsin said, but instead punishes only conduct. While this argument is literally correct, it does not dispose of Mitchell's First Amendment challenge. To be sure, our cases reject the</w:t>
      </w:r>
    </w:p>
    <w:p w:rsidR="00A31137" w:rsidRPr="00A31137" w:rsidRDefault="00A31137" w:rsidP="00A31137">
      <w:r w:rsidRPr="00A31137">
        <w:t>1993, Wisconsin v. Mitchell, 508 U.S. 484</w:t>
      </w:r>
    </w:p>
    <w:p w:rsidR="00A31137" w:rsidRPr="00A31137" w:rsidRDefault="00A31137" w:rsidP="00A31137">
      <w:r w:rsidRPr="00A31137">
        <w:t>view that an apparently limitless variety of conduct can be labeled "speech" whenever the person engaging in the conduct intends thereby to express an idea.</w:t>
      </w:r>
    </w:p>
    <w:p w:rsidR="00A31137" w:rsidRPr="00A31137" w:rsidRDefault="00A31137" w:rsidP="00A31137">
      <w:r w:rsidRPr="00A31137">
        <w:t>1993, Wisconsin v. Mitchell, 508 U.S. 484</w:t>
      </w:r>
    </w:p>
    <w:p w:rsidR="00A31137" w:rsidRPr="00A31137" w:rsidRDefault="00A31137" w:rsidP="00A31137">
      <w:r w:rsidRPr="00A31137">
        <w:t>United States v. O'Brien, 391 U.S. 367,  376 (1968); accord, R.A.V., 505 U.S. at 385-386; Spence v. Washington, 418 U.S. 405,  409 (1974) (per curiam); Cox v. Louisiana, 379 U.S. 536,  555 (1965). Thus, a physical assault is not, by any stretch of the imagination, expressive conduct protected by the First Amendment. See Roberts v. United States Jaycees, 468 U.S. 609,  628 (1984) ("[V]iolence or other types of potentially expressive activities that produce special harms distinct from their communicative impact…are entitled to no constitutional protection"); NAACP v. Claiborne Hardware Co., 458 U.S. 886,  916 (1982) ("The First Amendment does not protect violence").</w:t>
      </w:r>
    </w:p>
    <w:p w:rsidR="00A31137" w:rsidRPr="00A31137" w:rsidRDefault="00A31137" w:rsidP="00A31137">
      <w:r w:rsidRPr="00A31137">
        <w:t>1993, Wisconsin v. Mitchell, 508 U.S. 484</w:t>
      </w:r>
    </w:p>
    <w:p w:rsidR="00A31137" w:rsidRPr="00A31137" w:rsidRDefault="00A31137" w:rsidP="00A31137">
      <w:r w:rsidRPr="00A31137">
        <w:t>But the fact remains that, under the Wisconsin statute, the same criminal conduct may be more heavily punished if the victim is selected because of his race or other protected status [508 U.S. 485] than if no such motive obtained. Thus, although the statute punishes criminal conduct, it enhances the maximum penalty for conduct motivated by a discriminatory point of view more severely than the same conduct engaged in for some other reason or for no reason at all. Because the only reason for the enhancement is the defendant's discriminatory motive for selecting his victim, Mitchell argues (and the Wisconsin Supreme Court held) that the statute violates the First Amendment by punishing offenders' bigoted beliefs.</w:t>
      </w:r>
    </w:p>
    <w:p w:rsidR="00A31137" w:rsidRPr="00A31137" w:rsidRDefault="00A31137" w:rsidP="00A31137">
      <w:r w:rsidRPr="00A31137">
        <w:t>1993, Wisconsin v. Mitchell, 508 U.S. 485</w:t>
      </w:r>
    </w:p>
    <w:p w:rsidR="00A31137" w:rsidRPr="00A31137" w:rsidRDefault="00A31137" w:rsidP="00A31137">
      <w:r w:rsidRPr="00A31137">
        <w:t>Traditionally, sentencing judges have considered a wide variety of factors in addition to evidence bearing on guilt in determining what sentence to impose on a convicted defendant. See Payne v. Tennessee, 501 U.S. 808, 820-821 (1991); United States v. Tucker, 404 U.S. 443, 446 (1972); Williams v. New York, 337 U.S. 241,  246 (1949). The defendant's motive for committing the offense is one important factor. See 1 W. LeFave &amp; A. Scott, Substantive Criminal Law § 3.6(b), p. 324 (1986) ("Motives are most relevant when the trial judge sets the defendant's sentence, and it is not uncommon for a defendant to receive a minimum sentence because he was acting with good motives, or a rather high sentence because of his bad motives"); cf. Tison v. Arizona, 481 U.S. 137, 156 (1987) ("Deeply ingrained in our legal tradition is the idea that the more purposeful is the criminal conduct, the more serious is the offense, and, therefore, the more severely it ought to be punished"). Thus, in many States, the commission of a murder or other capital offense for pecuniary gain is a separate aggravating circumstance under the capital sentencing statute. See, e.g., Ariz.Rev.Stat.Ann. § 13-703(F)(5) (1989); Fla.Stat. § 921.141(5)(f) (Supp.1992); Miss.Code Ann. § 99-19-101(5)(f) (Supp.1992); N.C.Gen.Stat. § 15A-2000(e)(6) (1992); Wyo.Stat. § 6-2-102(h)(vi) (Supp.1992).</w:t>
      </w:r>
    </w:p>
    <w:p w:rsidR="00A31137" w:rsidRPr="00A31137" w:rsidRDefault="00A31137" w:rsidP="00A31137">
      <w:r w:rsidRPr="00A31137">
        <w:t>1993, Wisconsin v. Mitchell, 508 U.S. 485</w:t>
      </w:r>
    </w:p>
    <w:p w:rsidR="00A31137" w:rsidRPr="00A31137" w:rsidRDefault="00A31137" w:rsidP="00A31137">
      <w:r w:rsidRPr="00A31137">
        <w:t>But it is equally true that a defendant's abstract beliefs, however obnoxious to most people, may not be taken into consideration by a sentencing judge. Dawson v. Delaware, [508 U.S. 486] 503 U.S. 159 (1992). In Dawson, the State introduced evidence at a capital sentencing hearing that the defendant was a member of a white supremacist prison gang. Because "the evidence proved nothing more than [the defendant's] abstract beliefs," we held that its admission violated the defendant's First Amendment rights. Id. at 167. In so holding, however, we emphasized that</w:t>
      </w:r>
    </w:p>
    <w:p w:rsidR="00A31137" w:rsidRPr="00A31137" w:rsidRDefault="00A31137" w:rsidP="00A31137">
      <w:r w:rsidRPr="00A31137">
        <w:t>1993, Wisconsin v. Mitchell, 508 U.S. 486</w:t>
      </w:r>
    </w:p>
    <w:p w:rsidR="00A31137" w:rsidRPr="00A31137" w:rsidRDefault="00A31137" w:rsidP="00A31137">
      <w:r w:rsidRPr="00A31137">
        <w:t>the Constitution does not erect a per se barrier to the admission of evidence concerning one's beliefs and associations at sentencing simply because those beliefs and associations are protected by the First Amendment.</w:t>
      </w:r>
    </w:p>
    <w:p w:rsidR="00A31137" w:rsidRPr="00A31137" w:rsidRDefault="00A31137" w:rsidP="00A31137">
      <w:r w:rsidRPr="00A31137">
        <w:t>1993, Wisconsin v. Mitchell, 508 U.S. 486</w:t>
      </w:r>
    </w:p>
    <w:p w:rsidR="00A31137" w:rsidRPr="00A31137" w:rsidRDefault="00A31137" w:rsidP="00A31137">
      <w:r w:rsidRPr="00A31137">
        <w:t>Id. at 165. Thus, in Barclay v. Florida, 463 U.S. 939 (1983) (plurality opinion), we allowed the sentencing judge to take into account the defendant's racial animus towards his victim. The evidence in that case showed that the defendant's membership in the Black Liberation Army and desire to provoke a "race war" were related to the murder of a white man for which he was convicted. See id. at 942-944. Because "the elements of racial hatred in [the] murder" were relevant to several aggravating factors, we held that the trial judge permissibly took this evidence into account in sentencing the defendant to death. Id. at 949, and n. 7.</w:t>
      </w:r>
    </w:p>
    <w:p w:rsidR="00A31137" w:rsidRPr="00A31137" w:rsidRDefault="00A31137" w:rsidP="00A31137">
      <w:r w:rsidRPr="00A31137">
        <w:t>1993, Wisconsin v. Mitchell, 508 U.S. 486</w:t>
      </w:r>
    </w:p>
    <w:p w:rsidR="00A31137" w:rsidRPr="00A31137" w:rsidRDefault="00A31137" w:rsidP="00A31137">
      <w:r w:rsidRPr="00A31137">
        <w:t xml:space="preserve">Mitchell suggests that Dawson and Barclay are inapposite because they did not involve application of a penalty-enhancement provision. But in Barclay we held that it was permissible for the sentencing court to consider the defendant's racial animus in determining whether he should be sentenced to death, surely the most severe "enhancement" of all. And the fact that the Wisconsin Legislature has decided, as a general matter, that bias-motivated offenses warrant greater maximum penalties across the board does not alter the result here. For the primary responsibility for fixing criminal penalties lies with the legislature. Rummel v. Estelle, 445 U.S. 263, 274 (1980); Gore v. United States, 357 U.S. 386,  393 (1958). [508 U.S. 487] </w:t>
      </w:r>
    </w:p>
    <w:p w:rsidR="00A31137" w:rsidRPr="00A31137" w:rsidRDefault="00A31137" w:rsidP="00A31137">
      <w:r w:rsidRPr="00A31137">
        <w:t>1993, Wisconsin v. Mitchell, 508 U.S. 487</w:t>
      </w:r>
    </w:p>
    <w:p w:rsidR="00A31137" w:rsidRPr="00A31137" w:rsidRDefault="00A31137" w:rsidP="00A31137">
      <w:r w:rsidRPr="00A31137">
        <w:t>Mitchell argues that the Wisconsin penalty-enhancement statute is invalid because it punishes the defendant's discriminatory motive, or reason, for acting. But motive plays the same role under the Wisconsin statute as it does under federal and state antidiscrimination laws, which we have previously upheld against constitutional challenge. See Roberts v. Jaycees, 468 U.S. at  628; Hishon v. King &amp; Spalding, 467 U.S. 69, 78 (1984); Runyon v. McCrary, 427 U.S. 160, 176 (1976). Title VII, for example, makes it unlawful for an employer to discriminate against an employee "because of such individual's race, color, religion, sex, or national origin." 42 U.S.C. § 2000e-2(a)(1) (emphasis added). In Hishon, we rejected the argument that Title VII infringed employers' First Amendment rights. And more recently, in R.A.V. v. St. Paul, 505 U.S. at 389-390, we cited Title VII (as well as 18 U.S.C. § 242 and 42 U.S.C. §§ 1981 and 1982) as an example of a permissible content-neutral regulation of conduct.</w:t>
      </w:r>
    </w:p>
    <w:p w:rsidR="00A31137" w:rsidRPr="00A31137" w:rsidRDefault="00A31137" w:rsidP="00A31137">
      <w:r w:rsidRPr="00A31137">
        <w:t>1993, Wisconsin v. Mitchell, 508 U.S. 487</w:t>
      </w:r>
    </w:p>
    <w:p w:rsidR="00A31137" w:rsidRPr="00A31137" w:rsidRDefault="00A31137" w:rsidP="00A31137">
      <w:r w:rsidRPr="00A31137">
        <w:t>Nothing in our decision last Term in R.A.V. compels a different result here. That case involved a First Amendment challenge to a municipal ordinance prohibiting the use of "'fighting words' that insult, or provoke violence, 'on the basis of race, color, creed, religion or gender.'" 505 U.S. at  391 (quoting St. Paul Bias-Motivated Crime Ordinance, St. Paul, Minn., Legis.Code § 292.02 (1990). Because the ordinance only proscribed a class of "fighting words" deemed particularly offensive by the city—i.e., those "that contain…messages of 'bias-motivated' hatred," 505 U.S. at  392, we held that it violated the rule against content-based discrimination. See id. at 392-394. But whereas the ordinance struck down in R.A.V. was explicitly directed at expression (i.e., "speech" or "messages," id. at  392, the statute in this case is aimed at conduct unprotected by the First Amendment.</w:t>
      </w:r>
    </w:p>
    <w:p w:rsidR="00A31137" w:rsidRPr="00A31137" w:rsidRDefault="00A31137" w:rsidP="00A31137">
      <w:r w:rsidRPr="00A31137">
        <w:t>1993, Wisconsin v. Mitchell, 508 U.S. 487</w:t>
      </w:r>
    </w:p>
    <w:p w:rsidR="00A31137" w:rsidRPr="00A31137" w:rsidRDefault="00A31137" w:rsidP="00A31137">
      <w:r w:rsidRPr="00A31137">
        <w:t>Moreover, the Wisconsin statute singles out for enhancement bias-inspired conduct because this conduct is thought [508 U.S. 488] to inflict greater individual and societal harm. For example, according to the State and its amici, bias-motivated crimes are more likely to provoke retaliatory crimes, inflict distinct emotional harms on their victims, and incite community unrest. See, e.g., Brief for Petitioner 24-27; Brief for United States as Amicus Curiae 13-15; Brief for Lawyers' Committee for Civil Rights Under Law as Amicus Curiae 18-22; Brief for the American Civil Liberties Union as Amicus Curiae 17-19; Brief for the Anti-Defamation League et al. as Amici Curiae 910; Brief for Congressman Charles E. Schumer et al. as Amici Curiae 8-9. The State's desire to redress these perceived harms provides an adequate explanation for its penalty-enhancement provision over and above mere disagreement with offenders' beliefs or biases. As Blackstone said long ago,</w:t>
      </w:r>
    </w:p>
    <w:p w:rsidR="00A31137" w:rsidRPr="00A31137" w:rsidRDefault="00A31137" w:rsidP="00A31137">
      <w:r w:rsidRPr="00A31137">
        <w:t>1993, Wisconsin v. Mitchell, 508 U.S. 488</w:t>
      </w:r>
    </w:p>
    <w:p w:rsidR="00A31137" w:rsidRPr="00A31137" w:rsidRDefault="00A31137" w:rsidP="00A31137">
      <w:r w:rsidRPr="00A31137">
        <w:t>it is but reasonable that, among crimes of different natures, those should be most severely punished which are the most destructive of the public safety and happiness.</w:t>
      </w:r>
    </w:p>
    <w:p w:rsidR="00A31137" w:rsidRPr="00A31137" w:rsidRDefault="00A31137" w:rsidP="00A31137">
      <w:r w:rsidRPr="00A31137">
        <w:t>1993, Wisconsin v. Mitchell, 508 U.S. 488</w:t>
      </w:r>
    </w:p>
    <w:p w:rsidR="00A31137" w:rsidRPr="00A31137" w:rsidRDefault="00A31137" w:rsidP="00A31137">
      <w:r w:rsidRPr="00A31137">
        <w:t>4 W. Blackstone, Commentaries 16.</w:t>
      </w:r>
    </w:p>
    <w:p w:rsidR="00A31137" w:rsidRPr="00A31137" w:rsidRDefault="00A31137" w:rsidP="00A31137">
      <w:r w:rsidRPr="00A31137">
        <w:t>1993, Wisconsin v. Mitchell, 508 U.S. 488</w:t>
      </w:r>
    </w:p>
    <w:p w:rsidR="00A31137" w:rsidRPr="00A31137" w:rsidRDefault="00A31137" w:rsidP="00A31137">
      <w:r w:rsidRPr="00A31137">
        <w:t>Finally, there remains to be considered Mitchell's argument that the Wisconsin statute is unconstitutionally overbroad because of its "chilling effect" on free speech. Mitchell argues (and the Wisconsin Supreme Court agreed) that the statute is "overbroad" because evidence of the defendant's prior speech or associations may be used to prove that the defendant intentionally selected his victim on account of the victim's protected status. Consequently, the argument goes, the statute impermissibly chills free expression with respect to such matters by those concerned about the possibility of enhanced sentences if they should, in the future, commit a criminal offense covered by the statute. We find no merit in this contention.</w:t>
      </w:r>
    </w:p>
    <w:p w:rsidR="00A31137" w:rsidRPr="00A31137" w:rsidRDefault="00A31137" w:rsidP="00A31137">
      <w:r w:rsidRPr="00A31137">
        <w:t>1993, Wisconsin v. Mitchell, 508 U.S. 488</w:t>
      </w:r>
    </w:p>
    <w:p w:rsidR="00A31137" w:rsidRPr="00A31137" w:rsidRDefault="00A31137" w:rsidP="00A31137">
      <w:r w:rsidRPr="00A31137">
        <w:t>The sort of chill envisioned here is far more attenuated and unlikely than that contemplated in traditional "overbreadth" cases. We must conjure up a vision of a Wisconsin citizen suppressing his unpopular bigoted opinions for fear that, if he later commits an offense covered by the statute, [508 U.S. 489] these opinions will be offered at trial to establish that he selected his victim on account of the victim's protected status, thus qualifying him for penalty-enhancement. To stay within the realm of rationality, we must surely put to one side minor misdemeanor offenses covered by the statute, such as negligent operation of a motor vehicle (Wis.Stat. § 941.01 (1989-1990)), for it is difficult, if not impossible, to conceive of a situation where such offenses would be racially motivated. We are left, then, with the prospect of a citizen suppressing his bigoted beliefs for fear that evidence of such beliefs will be introduced against him at trial if he commits a more serious offense against person or property. This is simply too speculative a hypothesis to support Mitchell's overbreadth claim.</w:t>
      </w:r>
    </w:p>
    <w:p w:rsidR="00A31137" w:rsidRPr="00A31137" w:rsidRDefault="00A31137" w:rsidP="00A31137">
      <w:r w:rsidRPr="00A31137">
        <w:t>1993, Wisconsin v. Mitchell, 508 U.S. 489</w:t>
      </w:r>
    </w:p>
    <w:p w:rsidR="00A31137" w:rsidRPr="00A31137" w:rsidRDefault="00A31137" w:rsidP="00A31137">
      <w:r w:rsidRPr="00A31137">
        <w:t>The First Amendment, moreover, does not prohibit the evidentiary use of speech to establish the elements of a crime or to prove motive or intent. Evidence of a defendant's previous declarations or statements is commonly admitted in criminal trials subject to evidentiary rules dealing with relevancy, reliability, and the like. Nearly half a century ago, in Haupt v. United States, 330 U.S. 631 (1947), we rejected a contention similar to that advanced by Mitchell here. Haupt was tried for the offense of treason, which, as defined by the Constitution (Art. III, § 3), may depend very much on proof of motive. To prove that the acts in question were committed out of "adherence to the enemy" rather than "parental solicitude," id. at 641, the Government introduced evidence of conversations that had taken place long prior to the indictment, some of which consisted of statements showing Haupt's sympathy with Germany and Hitler and hostility towards the United States. We rejected Haupt's argument that this evidence was improperly admitted. While</w:t>
      </w:r>
    </w:p>
    <w:p w:rsidR="00A31137" w:rsidRPr="00A31137" w:rsidRDefault="00A31137" w:rsidP="00A31137">
      <w:r w:rsidRPr="00A31137">
        <w:t>1993, Wisconsin v. Mitchell, 508 U.S. 489</w:t>
      </w:r>
    </w:p>
    <w:p w:rsidR="00A31137" w:rsidRPr="00A31137" w:rsidRDefault="00A31137" w:rsidP="00A31137">
      <w:r w:rsidRPr="00A31137">
        <w:t>[s]uch testimony is to be scrutinized with care to be certain the statements are not expressions of mere lawful and permissible difference of opinion with our own government or quite proper appreciation of the land of birth,</w:t>
      </w:r>
    </w:p>
    <w:p w:rsidR="00A31137" w:rsidRPr="00A31137" w:rsidRDefault="00A31137" w:rsidP="00A31137">
      <w:r w:rsidRPr="00A31137">
        <w:t>1993, Wisconsin v. Mitchell, 508 U.S. 489</w:t>
      </w:r>
    </w:p>
    <w:p w:rsidR="00A31137" w:rsidRPr="00A31137" w:rsidRDefault="00A31137" w:rsidP="00A31137">
      <w:r w:rsidRPr="00A31137">
        <w:t>we held that "these [508 U.S. 490] statements…clearly were admissible on the question of intent and adherence to the enemy." Id. at 642. See also Price Waterhouse v. Hopkins, 490 U.S. 228, 251-252 (1989) (plurality opinion) (allowing evidentiary use of defendant's speech in evaluating Title VII discrimination claim); Street v. New York, 394 U.S. 576, 594 (1969)</w:t>
      </w:r>
    </w:p>
    <w:p w:rsidR="00A31137" w:rsidRPr="00A31137" w:rsidRDefault="00A31137" w:rsidP="00A31137">
      <w:r w:rsidRPr="00A31137">
        <w:t>1993, Wisconsin v. Mitchell, 508 U.S. 490</w:t>
      </w:r>
    </w:p>
    <w:p w:rsidR="00A31137" w:rsidRPr="00A31137" w:rsidRDefault="00A31137" w:rsidP="00A31137">
      <w:r w:rsidRPr="00A31137">
        <w:t>For the foregoing reasons, we hold that Mitchell's First Amendment rights were not violated by the application of the Wisconsin penalty-enhancement provision in sentencing him. The judgment of the Supreme Court of Wisconsin is therefore reversed, and the case is remanded for further proceedings not inconsistent with this opinion.</w:t>
      </w:r>
    </w:p>
    <w:p w:rsidR="00A31137" w:rsidRPr="00A31137" w:rsidRDefault="00A31137" w:rsidP="00A31137">
      <w:r w:rsidRPr="00A31137">
        <w:t>1993, Wisconsin v. Mitchell, 508 U.S. 490</w:t>
      </w:r>
    </w:p>
    <w:p w:rsidR="00A31137" w:rsidRPr="00A31137" w:rsidRDefault="00A31137" w:rsidP="00A31137">
      <w:r w:rsidRPr="00A31137">
        <w:t>It is so ordered.</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1993, Wisconsin v. Mitchell, 508 U.S. 490</w:t>
      </w:r>
    </w:p>
    <w:p w:rsidR="00A31137" w:rsidRPr="00A31137" w:rsidRDefault="00A31137" w:rsidP="00A31137">
      <w:r w:rsidRPr="00A31137">
        <w:t>1. At the time of Mitchell's trial, the Wisconsin penalty-enhancement statute provided:</w:t>
      </w:r>
    </w:p>
    <w:p w:rsidR="00A31137" w:rsidRPr="00A31137" w:rsidRDefault="00A31137" w:rsidP="00A31137">
      <w:r w:rsidRPr="00A31137">
        <w:t>1993, Wisconsin v. Mitchell, 508 U.S. 490</w:t>
      </w:r>
    </w:p>
    <w:p w:rsidR="00A31137" w:rsidRPr="00A31137" w:rsidRDefault="00A31137" w:rsidP="00A31137">
      <w:r w:rsidRPr="00A31137">
        <w:t>(1) If a person does all of the following, the penalties for the underlying crime are increased as provided in sub. (2):</w:t>
      </w:r>
    </w:p>
    <w:p w:rsidR="00A31137" w:rsidRPr="00A31137" w:rsidRDefault="00A31137" w:rsidP="00A31137">
      <w:r w:rsidRPr="00A31137">
        <w:t>1993, Wisconsin v. Mitchell, 508 U.S. 490</w:t>
      </w:r>
    </w:p>
    <w:p w:rsidR="00A31137" w:rsidRPr="00A31137" w:rsidRDefault="00A31137" w:rsidP="00A31137">
      <w:r w:rsidRPr="00A31137">
        <w:t>(a) Commits a crime under chs. 939 to 948.</w:t>
      </w:r>
    </w:p>
    <w:p w:rsidR="00A31137" w:rsidRPr="00A31137" w:rsidRDefault="00A31137" w:rsidP="00A31137">
      <w:r w:rsidRPr="00A31137">
        <w:t>1993, Wisconsin v. Mitchell, 508 U.S. 490</w:t>
      </w:r>
    </w:p>
    <w:p w:rsidR="00A31137" w:rsidRPr="00A31137" w:rsidRDefault="00A31137" w:rsidP="00A31137">
      <w:r w:rsidRPr="00A31137">
        <w:t>(b) Intentionally selects the person against whom the crime under par. (a) is committed or selects the property which is damaged or otherwise affected by the crime under par. (a) because of the race, religion, color, disability, sexual orientation, national origin or ancestry of that person or the owner or occupant of that property.</w:t>
      </w:r>
    </w:p>
    <w:p w:rsidR="00A31137" w:rsidRPr="00A31137" w:rsidRDefault="00A31137" w:rsidP="00A31137">
      <w:r w:rsidRPr="00A31137">
        <w:t>1993, Wisconsin v. Mitchell, 508 U.S. 490</w:t>
      </w:r>
    </w:p>
    <w:p w:rsidR="00A31137" w:rsidRPr="00A31137" w:rsidRDefault="00A31137" w:rsidP="00A31137">
      <w:r w:rsidRPr="00A31137">
        <w:t>(2)(a) If the crime committed under sub. (1) is ordinarily a misdemeanor other than a Class A misdemeanor, the revised maximum fine is $10,000 and the revised maximum period of imprisonment is one year in the county jail.</w:t>
      </w:r>
    </w:p>
    <w:p w:rsidR="00A31137" w:rsidRPr="00A31137" w:rsidRDefault="00A31137" w:rsidP="00A31137">
      <w:r w:rsidRPr="00A31137">
        <w:t>1993, Wisconsin v. Mitchell, 508 U.S. 490</w:t>
      </w:r>
    </w:p>
    <w:p w:rsidR="00A31137" w:rsidRPr="00A31137" w:rsidRDefault="00A31137" w:rsidP="00A31137">
      <w:r w:rsidRPr="00A31137">
        <w:t>(b) If the crime committed under sub. (1) is ordinarily a Class A misdemeanor, the penalty increase under this section changes the status of the crime to a felony and the revised maximum fine is $10,000 and the revised maximum period of imprisonment is 2 years.</w:t>
      </w:r>
    </w:p>
    <w:p w:rsidR="00A31137" w:rsidRPr="00A31137" w:rsidRDefault="00A31137" w:rsidP="00A31137">
      <w:r w:rsidRPr="00A31137">
        <w:t>1993, Wisconsin v. Mitchell, 508 U.S. 490</w:t>
      </w:r>
    </w:p>
    <w:p w:rsidR="00A31137" w:rsidRPr="00A31137" w:rsidRDefault="00A31137" w:rsidP="00A31137">
      <w:r w:rsidRPr="00A31137">
        <w:t>(c) If the crime committed under sub. (1) is a felony, the maximum fine prescribed by law for the crime may be increased by not more than $5,000 and the maximum period of imprisonment prescribed by law for the crime may be increased by not more than 5 years.</w:t>
      </w:r>
    </w:p>
    <w:p w:rsidR="00A31137" w:rsidRPr="00A31137" w:rsidRDefault="00A31137" w:rsidP="00A31137">
      <w:r w:rsidRPr="00A31137">
        <w:t>1993, Wisconsin v. Mitchell, 508 U.S. 490</w:t>
      </w:r>
    </w:p>
    <w:p w:rsidR="00A31137" w:rsidRPr="00A31137" w:rsidRDefault="00A31137" w:rsidP="00A31137">
      <w:r w:rsidRPr="00A31137">
        <w:t>(3) This section provides for the enhancement of the penalties applicable for the underlying crime. The court shall direct that the trier of fact find a special verdict as to all of the issues specified in sub. (1).</w:t>
      </w:r>
    </w:p>
    <w:p w:rsidR="00A31137" w:rsidRPr="00A31137" w:rsidRDefault="00A31137" w:rsidP="00A31137">
      <w:r w:rsidRPr="00A31137">
        <w:t>1993, Wisconsin v. Mitchell, 508 U.S. 490</w:t>
      </w:r>
    </w:p>
    <w:p w:rsidR="00A31137" w:rsidRPr="00A31137" w:rsidRDefault="00A31137" w:rsidP="00A31137">
      <w:r w:rsidRPr="00A31137">
        <w:t>(4) This section does not apply to any crime if proof of race, religion, color, disability, sexual orientation, national origin or ancestry is required for a conviction for that crime.</w:t>
      </w:r>
    </w:p>
    <w:p w:rsidR="00A31137" w:rsidRPr="00A31137" w:rsidRDefault="00A31137" w:rsidP="00A31137">
      <w:r w:rsidRPr="00A31137">
        <w:t>1993, Wisconsin v. Mitchell, 508 U.S. 490</w:t>
      </w:r>
    </w:p>
    <w:p w:rsidR="00A31137" w:rsidRPr="00A31137" w:rsidRDefault="00A31137" w:rsidP="00A31137">
      <w:r w:rsidRPr="00A31137">
        <w:t>Wis.Stat. § 939.645 (1989-1990). The statute was amended in 1992, but the amendments are not at issue in this case.</w:t>
      </w:r>
    </w:p>
    <w:p w:rsidR="00A31137" w:rsidRPr="00A31137" w:rsidRDefault="00A31137" w:rsidP="00A31137">
      <w:r w:rsidRPr="00A31137">
        <w:t>1993, Wisconsin v. Mitchell, 508 U.S. 490</w:t>
      </w:r>
    </w:p>
    <w:p w:rsidR="00A31137" w:rsidRPr="00A31137" w:rsidRDefault="00A31137" w:rsidP="00A31137">
      <w:r w:rsidRPr="00A31137">
        <w:t>2. Mitchell also challenged the statute on Fourteenth Amendment equal protection and vagueness grounds. The Wisconsin Court of Appeals held that Mitchell waived his equal protection claim, and rejected his vagueness challenge outright. 163 Wis.2d 652, 473 N.W.2d 1 (1991). The Wisconsin Supreme Court declined to address both claims. 169 Wis.2d 153, 158, n. 2, 485 N.W.2d 807, 809, n. 2 (1992). Mitchell renews his Fourteenth Amendment claims in this Court. But since they were not developed below and plainly fall outside of the question on which we granted certiorari, we do not reach them either.</w:t>
      </w:r>
    </w:p>
    <w:p w:rsidR="00A31137" w:rsidRPr="00A31137" w:rsidRDefault="00A31137" w:rsidP="00A31137">
      <w:r w:rsidRPr="00A31137">
        <w:t>1993, Wisconsin v. Mitchell, 508 U.S. 490</w:t>
      </w:r>
    </w:p>
    <w:p w:rsidR="00A31137" w:rsidRPr="00A31137" w:rsidRDefault="00A31137" w:rsidP="00A31137">
      <w:r w:rsidRPr="00A31137">
        <w:t>3. Two justices dissented. They concluded that the statute punished discriminatory acts, and not beliefs, and therefore would have upheld it. See 169 Wis.2d at 181, 485 N.W.2d at 819 (Abrahamson, J.); id. at 187-195, 485 N.W.2d at 821825 (Bablitch, J.).</w:t>
      </w:r>
    </w:p>
    <w:p w:rsidR="00A31137" w:rsidRPr="00A31137" w:rsidRDefault="00A31137" w:rsidP="00A31137">
      <w:r w:rsidRPr="00A31137">
        <w:t>1993, Wisconsin v. Mitchell, 508 U.S. 490</w:t>
      </w:r>
    </w:p>
    <w:p w:rsidR="00A31137" w:rsidRPr="00A31137" w:rsidRDefault="00A31137" w:rsidP="00A31137">
      <w:r w:rsidRPr="00A31137">
        <w:t>4. Several States have enacted penalty-enhancement provisions similar to the Wisconsin statute at issue in this case. See, e.g., Cal.Penal Code Ann. § 422.7 (West 1988 and Supp.1993); Fla.Stat. § 775.085 (1991); Mont.Code Ann. § 45-5222 (1992); Vt.Stat.Ann., Tit. 13, § 1455 (Supp.1992). Proposed federal legislation to the same effect passed the House of Representatives in 1992, H.R. 4797, 102d Cong., 2d Sess. (1992), but failed to pass the Senate, S. 2522, 102d Cong., 2d Sess. (1992). The state high courts are divided over the constitutionality of penalty-enhancement statutes and analogous statutes covering bias-motivated offenses. Compare, e.g., State v. Plowman, 314 Or. 157, 838 P.2d 558 (1992) (upholding Oregon statute), with State v. Wyant, 64 Ohio St.3d 566, 597 N.E.2d 450 (1992) (striking down Ohio statute); 169 Wis.2d 153, 485 N.W.2d 807 (1992) (striking down Wisconsin statute). According to amici, bias-motivated violence is on the rise throughout the United States. See, e.g., Brief for the National Asian Pacific American Legal Consortium et al. as Amici Curiae 5-11, Brief for the Anti-Defamation League et al. as Amici Curiae 4-7; Brief for Atlanta et al. as Amici Curiae 3-12. In 1990, Congress enacted the Hate Crimes Statistics Act, Pub.L. 101-275, § 1(b)(1), 104 Stat. 140, codified at 28 U.S.C. § 534 (note) (1988 ed., Supp. III), directing the Attorney General to compile data "about crimes that manifest evidence of prejudice based on race, religion, sexual orientation, or ethnicity." Pursuant to the Act, the Federal Bureau of Investigation reported in January, 1993, that 4,558 bias-motivated offenses were committed in 1991, including 1,614 incidents of intimidation, 1,301 incidents of vandalism, 796 simple assaults, 773 aggravated assaults, and 12 murders. See Brief for the Crown Heights Coalition et al. as Amici Curiae 1A-7A.</w:t>
      </w:r>
    </w:p>
    <w:p w:rsidR="00A31137" w:rsidRPr="00A31137" w:rsidRDefault="00A31137" w:rsidP="00A31137">
      <w:r w:rsidRPr="00A31137">
        <w:t>Church of Lukumi Babalu Aye v. City of Hialeah, 1993</w:t>
      </w:r>
    </w:p>
    <w:p w:rsidR="00A31137" w:rsidRPr="00A31137" w:rsidRDefault="00A31137" w:rsidP="00A31137">
      <w:r w:rsidRPr="00A31137">
        <w:t>Title:</w:t>
      </w:r>
      <w:r w:rsidRPr="00A31137">
        <w:tab/>
        <w:t>Church of Lukumi Babalu Aye, Inc. v. City of Hialeah</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11, 1993</w:t>
      </w:r>
    </w:p>
    <w:p w:rsidR="00A31137" w:rsidRPr="00A31137" w:rsidRDefault="00A31137" w:rsidP="00A31137">
      <w:r w:rsidRPr="00A31137">
        <w:t>Source:</w:t>
      </w:r>
      <w:r w:rsidRPr="00A31137">
        <w:tab/>
        <w:t>508 U.S. 520</w:t>
      </w:r>
    </w:p>
    <w:p w:rsidR="00A31137" w:rsidRPr="00A31137" w:rsidRDefault="00A31137" w:rsidP="00A31137">
      <w:r w:rsidRPr="00A31137">
        <w:t>This case was argued November 4, 1992, and was decided June 11, 1993.</w:t>
      </w:r>
    </w:p>
    <w:p w:rsidR="00A31137" w:rsidRPr="00A31137" w:rsidRDefault="00A31137" w:rsidP="00A31137">
      <w:r w:rsidRPr="00A31137">
        <w:t>CERTIORARI TO THE UNITED STATES COURT OF APPEALS</w:t>
      </w:r>
    </w:p>
    <w:p w:rsidR="00A31137" w:rsidRPr="00A31137" w:rsidRDefault="00A31137" w:rsidP="00A31137">
      <w:r w:rsidRPr="00A31137">
        <w:t>FOR THE ELEVENTH CIRCUIT</w:t>
      </w:r>
    </w:p>
    <w:p w:rsidR="00A31137" w:rsidRPr="00A31137" w:rsidRDefault="00A31137" w:rsidP="00A31137">
      <w:r w:rsidRPr="00A31137">
        <w:t>Syllabus</w:t>
      </w:r>
    </w:p>
    <w:p w:rsidR="00A31137" w:rsidRPr="00A31137" w:rsidRDefault="00A31137" w:rsidP="00A31137">
      <w:r w:rsidRPr="00A31137">
        <w:t>1993, Church of Lukumi Babalu Aye v. City of Hialeah, 508 U.S. 520</w:t>
      </w:r>
    </w:p>
    <w:p w:rsidR="00A31137" w:rsidRPr="00A31137" w:rsidRDefault="00A31137" w:rsidP="00A31137">
      <w:r w:rsidRPr="00A31137">
        <w:t>Petitioner church and its congregants practice the Santeria religion, which employs animal sacrifice as one of its principal forms of devotion. The animals are killed by cutting their carotid arteries, and are cooked and eaten following all Santeria rituals except healing and death rites. After the church leased land in respondent city and announced plans to establish a house of worship and other facilities there, the city council held an emergency public session and passed, among other enactments Resolution 87-66, which noted city residents' "concern" over religious practices inconsistent with public morals, peace, or safety, and declared the city's "commitment" to prohibiting such practices; Ordinance 87-40, which incorporates the Florida animal cruelty laws and broadly punishes "[w]hoever…unnecessarily or cruelly…kills any animal," and has been interpreted to reach killings for religious reasons; Ordinance 87-52, which defines "sacrifice" as "to unnecessarily kill…an animal in a…ritual…not for the primary purpose of food consumption," and prohibits the "possess[ion], sacrifice, or slaughter" of an animal if it is killed in "any type of ritual" and there is an intent to use it for food, but exempts "any licensed [food] establishment" if the killing is otherwise permitted by law; Ordinance 87-71, which prohibits the sacrifice of animals, and defines "sacrifice" in the same manner as Ordinance 87-52; and Ordinance 87-72 which defines "slaughter" as "the killing of animals for food" and prohibits slaughter outside of areas zoned for slaughterhouses, but includes an exemption for "small numbers of hogs and/or cattle" when exempted by state law. Petitioners filed this suit under 42 U.S.C. § 1983, alleging violations of their rights under, inter alia, the Free Exercise Clause of the First Amendment. Although acknowledging that the foregoing ordinances are not religiously neutral, the District Court ruled for the city, concluding, among other things, that compelling governmental interests in preventing public health risks and cruelty to animals fully justified the absolute prohibition on ritual sacrifice accomplished by the ordinances, and that an exception to that prohibition for religious conduct would unduly interfere with fulfillment of the governmental interest, because any more narrow restrictions would [508 U.S. 521] be unenforceable as a result of the Santeria religion's secret nature. The Court of Appeals affirmed.</w:t>
      </w:r>
    </w:p>
    <w:p w:rsidR="00A31137" w:rsidRPr="00A31137" w:rsidRDefault="00A31137" w:rsidP="00A31137">
      <w:r w:rsidRPr="00A31137">
        <w:t>1993, Church of Lukumi Babalu Aye v. City of Hialeah, 508 U.S. 521</w:t>
      </w:r>
    </w:p>
    <w:p w:rsidR="00A31137" w:rsidRPr="00A31137" w:rsidRDefault="00A31137" w:rsidP="00A31137">
      <w:r w:rsidRPr="00A31137">
        <w:t>Held: The judgment is reversed.</w:t>
      </w:r>
    </w:p>
    <w:p w:rsidR="00A31137" w:rsidRPr="00A31137" w:rsidRDefault="00A31137" w:rsidP="00A31137">
      <w:r w:rsidRPr="00A31137">
        <w:t>1993, Church of Lukumi Babalu Aye v. City of Hialeah, 508 U.S. 521</w:t>
      </w:r>
    </w:p>
    <w:p w:rsidR="00A31137" w:rsidRPr="00A31137" w:rsidRDefault="00A31137" w:rsidP="00A31137">
      <w:r w:rsidRPr="00A31137">
        <w:t>936 F.2d 586, (CA 11 1991) reversed.</w:t>
      </w:r>
    </w:p>
    <w:p w:rsidR="00A31137" w:rsidRPr="00A31137" w:rsidRDefault="00A31137" w:rsidP="00A31137">
      <w:r w:rsidRPr="00A31137">
        <w:t>1993, Church of Lukumi Babalu Aye v. City of Hialeah, 508 U.S. 521</w:t>
      </w:r>
    </w:p>
    <w:p w:rsidR="00A31137" w:rsidRPr="00A31137" w:rsidRDefault="00A31137" w:rsidP="00A31137">
      <w:r w:rsidRPr="00A31137">
        <w:t>JUSTICE KENNEDY delivered the opinion of the Court with respect to Parts I, IIA-1, II-A-3, II-B, III, and IV, concluding that the laws in question were enacted contrary to free exercise principles, and they are void. Pp.  531-540, 542-547.</w:t>
      </w:r>
    </w:p>
    <w:p w:rsidR="00A31137" w:rsidRPr="00A31137" w:rsidRDefault="00A31137" w:rsidP="00A31137">
      <w:r w:rsidRPr="00A31137">
        <w:t>1993, Church of Lukumi Babalu Aye v. City of Hialeah, 508 U.S. 521</w:t>
      </w:r>
    </w:p>
    <w:p w:rsidR="00A31137" w:rsidRPr="00A31137" w:rsidRDefault="00A31137" w:rsidP="00A31137">
      <w:r w:rsidRPr="00A31137">
        <w:t>(a) Under the Free Exercise Clause, a law that burdens religious practice need not be justified by a compelling governmental interest if it is neutral and of general applicability. Employment Div., Dept. of Human Resources of Oregon v. Smith, 494 U.S. 872. However, where such a law is not neutral or not of general application, it must undergo the most rigorous of scrutiny: it must be justified by a compelling governmental interest, and must be narrowly tailored to advance that interest. Neutrality and general applicability are interrelated, and failure to satisfy one requirement is a likely indication that the other has not been satisfied. Pp.  531-532.</w:t>
      </w:r>
    </w:p>
    <w:p w:rsidR="00A31137" w:rsidRPr="00A31137" w:rsidRDefault="00A31137" w:rsidP="00A31137">
      <w:r w:rsidRPr="00A31137">
        <w:t>1993, Church of Lukumi Babalu Aye v. City of Hialeah, 508 U.S. 521</w:t>
      </w:r>
    </w:p>
    <w:p w:rsidR="00A31137" w:rsidRPr="00A31137" w:rsidRDefault="00A31137" w:rsidP="00A31137">
      <w:r w:rsidRPr="00A31137">
        <w:t>(b) The ordinances' texts and operation demonstrate that they are not neutral, but have as their object the suppression of Santeria's central element, animal sacrifice. That this religious exercise has been targeted is evidenced by Resolution 87-66's statements of "concern" and "commitment," and by the use of the words "sacrifice" and "ritual" in Ordinances 87-40, 8752, and 87-71. Moreover, the latter ordinances' various prohibitions, definitions, and exemptions demonstrate that they were "gerrymandered" with care to proscribe religious killings of animals by Santeria church members but to exclude almost all other animal killings. They also suppress much more religious conduct than is necessary to achieve their stated ends. The legitimate governmental interests in protecting the public health and preventing cruelty to animals could be addressed by restrictions stopping far short of a flat prohibition of all Santeria sacrificial practice, such as general regulations on the disposal of organic garbage, on the care of animals regardless of why they are kept, or on methods of slaughter. Although Ordinance 87-72 appears to apply to substantial nonreligious conduct and not to be overbroad, it must also be invalidated because it functions in tandem with the other ordinances to suppress Santeria religious worship. Pp.  533-540.</w:t>
      </w:r>
    </w:p>
    <w:p w:rsidR="00A31137" w:rsidRPr="00A31137" w:rsidRDefault="00A31137" w:rsidP="00A31137">
      <w:r w:rsidRPr="00A31137">
        <w:t>1993, Church of Lukumi Babalu Aye v. City of Hialeah, 508 U.S. 521</w:t>
      </w:r>
    </w:p>
    <w:p w:rsidR="00A31137" w:rsidRPr="00A31137" w:rsidRDefault="00A31137" w:rsidP="00A31137">
      <w:r w:rsidRPr="00A31137">
        <w:t>(c) Each of the ordinances pursues the city's governmental interests only against conduct motivated by religious belief, and thereby violates the requirement that laws burdening religious practice must be of general applicability. Ordinances 87-40, 87-52, and 87-71 are substantially underinclusive with regard to the city's interest in preventing cruelty [508 U.S. 522] to animals, since they are drafted with care to forbid few animal killings but those occasioned by religious sacrifice, while many types of animal deaths or kills for nonreligious reasons are either not prohibited or approved by express provision. The city's assertions that it is "self-evident" that killing for food is "important," that the eradication of insects and pests is "obviously justified," and that euthanasia of excess animals "makes sense" do not explain why religion alone must bear the burden of the ordinances. These ordinances are also substantially underinclusive with regard to the city's public health interests in preventing the disposal of animal carcasses in open public places and the consumption of uninspected meat, since neither interest is pursued by respondent with regard to conduct that is not motivated by religious conviction. Ordinance 87-72 is underinclusive on its face, since it does not regulate nonreligious slaughter for food in like manner, and respondent has not explained why the commercial slaughter of "small numbers" of cattle and hogs does not implicate its professed desire to prevent cruelty to animals and preserve the public health. Pp. 542-546.</w:t>
      </w:r>
    </w:p>
    <w:p w:rsidR="00A31137" w:rsidRPr="00A31137" w:rsidRDefault="00A31137" w:rsidP="00A31137">
      <w:r w:rsidRPr="00A31137">
        <w:t>1993, Church of Lukumi Babalu Aye v. City of Hialeah, 508 U.S. 522</w:t>
      </w:r>
    </w:p>
    <w:p w:rsidR="00A31137" w:rsidRPr="00A31137" w:rsidRDefault="00A31137" w:rsidP="00A31137">
      <w:r w:rsidRPr="00A31137">
        <w:t>(d) The ordinances cannot withstand the strict scrutiny that is required upon their failure to meet the Smith standard. They are not narrowly tailored to accomplish the asserted governmental interests. All four are overbroad or underinclusive in substantial respects because the proffered objectives are not pursued with respect to analogous nonreligious conduct, and those interests could be achieved by narrower ordinances that burdened religion to a far lesser degree. Moreover, where, as here, government restricts only conduct protected by the First Amendment and fails to enact feasible measures to restrict other conduct producing substantial harm or alleged harm of the same sort, the governmental interests given in justification of the restriction cannot be regarded as compelling. Pp.  546-547.</w:t>
      </w:r>
    </w:p>
    <w:p w:rsidR="00A31137" w:rsidRPr="00A31137" w:rsidRDefault="00A31137" w:rsidP="00A31137">
      <w:r w:rsidRPr="00A31137">
        <w:t>1993, Church of Lukumi Babalu Aye v. City of Hialeah, 508 U.S. 522</w:t>
      </w:r>
    </w:p>
    <w:p w:rsidR="00A31137" w:rsidRPr="00A31137" w:rsidRDefault="00A31137" w:rsidP="00A31137">
      <w:r w:rsidRPr="00A31137">
        <w:t xml:space="preserve">KENNEDY, J., delivered the opinion of the Court with respect to Parts I, III, and IV, in which REHNQUIST, C.J., and WHITE, STEVENS, SCALIA, SOUTER, and THOMAS, JJ., joined, the opinion of the Court with respect to Part II-B, in which REHNQUIST, C.J., and WHITE, STEVENS, SCALIA, and THOMAS, JJ., joined, the opinion of the Court with respect to Parts II-A-1 and II-A-3, in which REHNQUIST, C.J., and STEVENS, SCALIA, and THOMAS, JJ., joined, and an opinion with respect to Part II-A-2, in which STEVENS, J., joined. SCALIA, J., filed an opinion concurring in part and concurring in the judgment, in which REHNQUIST, C.J., joined, post, p.  557. SOUTER, J., filed an opinion concurring in part and concurring in the judgment, post, p.  559. BLACKMUN, J., filed an opinion concurring in the judgment, in which O'CONNOR, J., joined, post, p.  577. [508 U.S. 523] </w:t>
      </w:r>
    </w:p>
    <w:p w:rsidR="00A31137" w:rsidRPr="00A31137" w:rsidRDefault="00A31137" w:rsidP="00A31137">
      <w:r w:rsidRPr="00A31137">
        <w:t>KENNEDY, J., lead opinion</w:t>
      </w:r>
    </w:p>
    <w:p w:rsidR="00A31137" w:rsidRPr="00A31137" w:rsidRDefault="00A31137" w:rsidP="00A31137">
      <w:r w:rsidRPr="00A31137">
        <w:t>1993, Church of Lukumi Babalu Aye v. City of Hialeah, 508 U.S. 523</w:t>
      </w:r>
    </w:p>
    <w:p w:rsidR="00A31137" w:rsidRPr="00A31137" w:rsidRDefault="00A31137" w:rsidP="00A31137">
      <w:r w:rsidRPr="00A31137">
        <w:t>JUSTICE KENNEDY delivered the opinion of the Court, except as to Part II-A-2.*</w:t>
      </w:r>
    </w:p>
    <w:p w:rsidR="00A31137" w:rsidRPr="00A31137" w:rsidRDefault="00A31137" w:rsidP="00A31137">
      <w:r w:rsidRPr="00A31137">
        <w:t>1993, Church of Lukumi Babalu Aye v. City of Hialeah, 508 U.S. 523</w:t>
      </w:r>
    </w:p>
    <w:p w:rsidR="00A31137" w:rsidRPr="00A31137" w:rsidRDefault="00A31137" w:rsidP="00A31137">
      <w:r w:rsidRPr="00A31137">
        <w:t xml:space="preserve">The principle that government may not enact laws that suppress religious belief or practice is so well understood that few violations are recorded in our opinions. Cf. McDaniel v. Paty, 435 U.S. 618 (1978); Fowler v. Rhode Island, 345 U.S. 67 (1953). Concerned that this fundamental nonpersecution principle of the First Amendment was implicated here, however, we granted certiorari. 503 U.S. 935 (1992). [508 U.S. 524] </w:t>
      </w:r>
    </w:p>
    <w:p w:rsidR="00A31137" w:rsidRPr="00A31137" w:rsidRDefault="00A31137" w:rsidP="00A31137">
      <w:r w:rsidRPr="00A31137">
        <w:t>1993, Church of Lukumi Babalu Aye v. City of Hialeah, 508 U.S. 524</w:t>
      </w:r>
    </w:p>
    <w:p w:rsidR="00A31137" w:rsidRPr="00A31137" w:rsidRDefault="00A31137" w:rsidP="00A31137">
      <w:r w:rsidRPr="00A31137">
        <w:t>Our review confirms that the laws in question were enacted by officials who did not understand, failed to perceive, or chose to ignore the fact that their official actions violated the Nation's essential commitment to religious freedom. The challenged laws had an impermissible object; and in all events, the principle of general applicability was violated because the secular ends asserted in defense of the laws were pursued only with respect to conduct motivated by religious beliefs. We invalidate the challenged enactments, and reverse the judgment of the Court of Appeals.</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1993, Church of Lukumi Babalu Aye v. City of Hialeah, 508 U.S. 524</w:t>
      </w:r>
    </w:p>
    <w:p w:rsidR="00A31137" w:rsidRPr="00A31137" w:rsidRDefault="00A31137" w:rsidP="00A31137">
      <w:r w:rsidRPr="00A31137">
        <w:t>This case involves practices of the Santeria religion, which originated in the nineteenth century. When hundreds of thousands of members of the Yoruba people were brought as slaves from eastern Africa to Cuba, their traditional African religion absorbed significant elements of Roman Catholicism. The resulting syncretion, or fusion, is Santeria, "the way of the saints." The Cuban Yoruba express their devotion to spirits, called orishas, through the iconography of Catholic saints, Catholic symbols are often present at Santeria rites, and Santeria devotees attend the Catholic sacraments. 723 F.Supp. 1467, 1469-1470 (SD Fla.1989); 13 The Encyclopedia of Religion 66 (M. Eliade ed.1987); 1 Encyclopedia of the American Religious Experience 183 (C. Lippy &amp; P. Williams eds.1988).</w:t>
      </w:r>
    </w:p>
    <w:p w:rsidR="00A31137" w:rsidRPr="00A31137" w:rsidRDefault="00A31137" w:rsidP="00A31137">
      <w:r w:rsidRPr="00A31137">
        <w:t>1993, Church of Lukumi Babalu Aye v. City of Hialeah, 508 U.S. 524</w:t>
      </w:r>
    </w:p>
    <w:p w:rsidR="00A31137" w:rsidRPr="00A31137" w:rsidRDefault="00A31137" w:rsidP="00A31137">
      <w:r w:rsidRPr="00A31137">
        <w:t>The Santeria faith teaches that every individual has a destiny from God, a destiny fulfilled with the aid and energy of the orishas. The basis of the Santeria religion is the nurture of a personal relation with the orishas, and one of the principal forms of devotion is an animal sacrifice. 13 The Encyclopedia of Religion, supra, at 66. The sacrifice of animals as part of religious rituals has ancient roots. See generally 12 id. at 554-556. Animal sacrifice is mentioned throughout the Old Testament, see 14 Encyclopaedia Judaica 600, 600-605 [508 U.S. 525] (1971), and it played an important role in the practice of Judaism before destruction of the second Temple in Jerusalem, see id. at 605-612. In modern Islam, there is an annual sacrifice commemorating Abraham's sacrifice of a ram in the stead of his son. See C. Glasse, The Concise Encyclopedia of Islam 178 (1989); 7 The Encyclopedia of Religion, supra, at 456.</w:t>
      </w:r>
    </w:p>
    <w:p w:rsidR="00A31137" w:rsidRPr="00A31137" w:rsidRDefault="00A31137" w:rsidP="00A31137">
      <w:r w:rsidRPr="00A31137">
        <w:t>1993, Church of Lukumi Babalu Aye v. City of Hialeah, 508 U.S. 525</w:t>
      </w:r>
    </w:p>
    <w:p w:rsidR="00A31137" w:rsidRPr="00A31137" w:rsidRDefault="00A31137" w:rsidP="00A31137">
      <w:r w:rsidRPr="00A31137">
        <w:t>According to Santeria teaching, the orishas are powerful, but not immortal. They depend for survival on the sacrifice. Sacrifices are performed at birth, marriage, and death rites, for the cure of the sick, for the initiation of new members and priests, and during an annual celebration. Animals sacrificed in Santeria rituals include chickens, pigeons, doves, ducks, guinea pigs, goats, sheep, and turtles. The animals are killed by the cutting of the carotid arteries in the neck. The sacrificed animal is cooked and eaten, except after healing and death rituals. See 723 F.Supp. at 1471-1472; 13 The Encyclopedia of Religion, supra, at 66; M. Gonzalex-Wippler, The Santeria Experience 105 (1982).</w:t>
      </w:r>
    </w:p>
    <w:p w:rsidR="00A31137" w:rsidRPr="00A31137" w:rsidRDefault="00A31137" w:rsidP="00A31137">
      <w:r w:rsidRPr="00A31137">
        <w:t>1993, Church of Lukumi Babalu Aye v. City of Hialeah, 508 U.S. 525</w:t>
      </w:r>
    </w:p>
    <w:p w:rsidR="00A31137" w:rsidRPr="00A31137" w:rsidRDefault="00A31137" w:rsidP="00A31137">
      <w:r w:rsidRPr="00A31137">
        <w:t>Santeria adherents faced widespread persecution in Cuba, so the religion and its rituals were practiced in secret. The open practice of Santeria and its rites remains infrequent. See 723 F.Supp. at 1470; 13 The Encyclopedia of Religion, supra, at 67; M. Gonzalez-Wippler, Santeria: The Religion 3-4 (1989). The religion was brought to this Nation most often by exiles from the Cuban revolution. The District Court estimated that there are at least 50,000 practitioners in South Florida today. See 723 F.Supp. at 1470.</w:t>
      </w:r>
    </w:p>
    <w:p w:rsidR="00A31137" w:rsidRPr="00A31137" w:rsidRDefault="00A31137" w:rsidP="00A31137">
      <w:r w:rsidRPr="00A31137">
        <w:t>B</w:t>
      </w:r>
    </w:p>
    <w:p w:rsidR="00A31137" w:rsidRPr="00A31137" w:rsidRDefault="00A31137" w:rsidP="00A31137">
      <w:r w:rsidRPr="00A31137">
        <w:t>1993, Church of Lukumi Babalu Aye v. City of Hialeah, 508 U.S. 525</w:t>
      </w:r>
    </w:p>
    <w:p w:rsidR="00A31137" w:rsidRPr="00A31137" w:rsidRDefault="00A31137" w:rsidP="00A31137">
      <w:r w:rsidRPr="00A31137">
        <w:t>Petitioner Church of the Lukumi Babalu Aye, Inc. (Church), is a not-for-profit corporation organized under Florida law in 1973. The Church and its congregants practice the Santeria religion. The president of the Church is petitioner Ernesto Pichardo, who is also the Church's priest and holds the religious title of Italero, the second highest in the Santeria faith. In April, 1987, the Church leased land in [508 U.S. 526] the city of Hialeah, Florida, and announced plans to establish a house of worship as well as a school, cultural center, and museum. Pichardo indicated that the Church's goal was to bring the practice of the Santeria faith, including its ritual of animal sacrifice, into the open. The Church began the process of obtaining utility service and receiving the necessary licensing, inspection, and zoning approvals. Although the Church's efforts at obtaining the necessary licenses and permits were far from smooth, see 723 F.Supp. at 1477-1478, it appears that it received all needed approvals by early August, 1987.</w:t>
      </w:r>
    </w:p>
    <w:p w:rsidR="00A31137" w:rsidRPr="00A31137" w:rsidRDefault="00A31137" w:rsidP="00A31137">
      <w:r w:rsidRPr="00A31137">
        <w:t>1993, Church of Lukumi Babalu Aye v. City of Hialeah, 508 U.S. 526</w:t>
      </w:r>
    </w:p>
    <w:p w:rsidR="00A31137" w:rsidRPr="00A31137" w:rsidRDefault="00A31137" w:rsidP="00A31137">
      <w:r w:rsidRPr="00A31137">
        <w:t>The prospect of a Santeria church in their midst was distressing to many members of the Hialeah community, and the announcement of the plans to open a Santeria church in Hialeah prompted the city council to hold an emergency public session on June 9, 1987. The resolutions and ordinances passed at that and later meetings are set forth in the appendix following this opinion.</w:t>
      </w:r>
    </w:p>
    <w:p w:rsidR="00A31137" w:rsidRPr="00A31137" w:rsidRDefault="00A31137" w:rsidP="00A31137">
      <w:r w:rsidRPr="00A31137">
        <w:t>1993, Church of Lukumi Babalu Aye v. City of Hialeah, 508 U.S. 526</w:t>
      </w:r>
    </w:p>
    <w:p w:rsidR="00A31137" w:rsidRPr="00A31137" w:rsidRDefault="00A31137" w:rsidP="00A31137">
      <w:r w:rsidRPr="00A31137">
        <w:t>A summary suffices here, beginning with the enactments passed at the June 9 meeting. First, the city council adopted Resolution 87-66, which noted the "concern" expressed by residents of the city "that certain religions may propose to engage in practices which are inconsistent with public morals, peace or safety," and declared that</w:t>
      </w:r>
    </w:p>
    <w:p w:rsidR="00A31137" w:rsidRPr="00A31137" w:rsidRDefault="00A31137" w:rsidP="00A31137">
      <w:r w:rsidRPr="00A31137">
        <w:t>1993, Church of Lukumi Babalu Aye v. City of Hialeah, 508 U.S. 526</w:t>
      </w:r>
    </w:p>
    <w:p w:rsidR="00A31137" w:rsidRPr="00A31137" w:rsidRDefault="00A31137" w:rsidP="00A31137">
      <w:r w:rsidRPr="00A31137">
        <w:t>[t]he City reiterates its commitment to a prohibition against any and all acts of any and all religious groups which are inconsistent with public morals, peace or safety.</w:t>
      </w:r>
    </w:p>
    <w:p w:rsidR="00A31137" w:rsidRPr="00A31137" w:rsidRDefault="00A31137" w:rsidP="00A31137">
      <w:r w:rsidRPr="00A31137">
        <w:t>1993, Church of Lukumi Babalu Aye v. City of Hialeah, 508 U.S. 526</w:t>
      </w:r>
    </w:p>
    <w:p w:rsidR="00A31137" w:rsidRPr="00A31137" w:rsidRDefault="00A31137" w:rsidP="00A31137">
      <w:r w:rsidRPr="00A31137">
        <w:t>Next, the council approved an emergency ordinance, Ordinance 87-40, that incorporated in full, except as to penalty, Florida's animal cruelty laws. Fla.Stat. ch. 828 (1987). Among other things, the incorporated state law subjected to criminal punishment "[w]hoever…unnecessarily or cruelly…kills any animal." § 828.12.</w:t>
      </w:r>
    </w:p>
    <w:p w:rsidR="00A31137" w:rsidRPr="00A31137" w:rsidRDefault="00A31137" w:rsidP="00A31137">
      <w:r w:rsidRPr="00A31137">
        <w:t>1993, Church of Lukumi Babalu Aye v. City of Hialeah, 508 U.S. 526</w:t>
      </w:r>
    </w:p>
    <w:p w:rsidR="00A31137" w:rsidRPr="00A31137" w:rsidRDefault="00A31137" w:rsidP="00A31137">
      <w:r w:rsidRPr="00A31137">
        <w:t>The city council desired to undertake further legislative action, but Florida law prohibited a municipality from enacting legislation relating to animal cruelty that conflicted with [508 U.S. 527] state law. § 828.27(4). To obtain clarification, Hialeah's city attorney requested an opinion from the attorney general of Florida as to whether § 828.12 prohibited "a religious group from sacrificing an animal in a religious ritual or practice," and whether the city could enact ordinances "making religious animal sacrifice unlawful." The attorney general responded in mid-July. He concluded that the "ritual sacrifice of animals for purposes other than food consumption" was not a "necessary" killing, and so was prohibited by § 828.12. Fla.Op.Atty.Gen. 87-56, Annual Report of the Atty.Gen. 146, 147, 149 (1988). The attorney general appeared to define "unnecessary" as</w:t>
      </w:r>
    </w:p>
    <w:p w:rsidR="00A31137" w:rsidRPr="00A31137" w:rsidRDefault="00A31137" w:rsidP="00A31137">
      <w:r w:rsidRPr="00A31137">
        <w:t>1993, Church of Lukumi Babalu Aye v. City of Hialeah, 508 U.S. 527</w:t>
      </w:r>
    </w:p>
    <w:p w:rsidR="00A31137" w:rsidRPr="00A31137" w:rsidRDefault="00A31137" w:rsidP="00A31137">
      <w:r w:rsidRPr="00A31137">
        <w:t>done without any useful motive, in a spirit of wanton cruelty or for the mere pleasure of destruction without being in any sense beneficial or useful to the person killing the animal.</w:t>
      </w:r>
    </w:p>
    <w:p w:rsidR="00A31137" w:rsidRPr="00A31137" w:rsidRDefault="00A31137" w:rsidP="00A31137">
      <w:r w:rsidRPr="00A31137">
        <w:t>1993, Church of Lukumi Babalu Aye v. City of Hialeah, 508 U.S. 527</w:t>
      </w:r>
    </w:p>
    <w:p w:rsidR="00A31137" w:rsidRPr="00A31137" w:rsidRDefault="00A31137" w:rsidP="00A31137">
      <w:r w:rsidRPr="00A31137">
        <w:t>Id. at 149, n. 11. He advised that religious animal sacrifice was against state law, so that a city ordinance prohibiting it would not be in conflict. Id. at 151.</w:t>
      </w:r>
    </w:p>
    <w:p w:rsidR="00A31137" w:rsidRPr="00A31137" w:rsidRDefault="00A31137" w:rsidP="00A31137">
      <w:r w:rsidRPr="00A31137">
        <w:t>1993, Church of Lukumi Babalu Aye v. City of Hialeah, 508 U.S. 527</w:t>
      </w:r>
    </w:p>
    <w:p w:rsidR="00A31137" w:rsidRPr="00A31137" w:rsidRDefault="00A31137" w:rsidP="00A31137">
      <w:r w:rsidRPr="00A31137">
        <w:t>The city council responded at first with a hortatory enactment, Resolution 87-90, that noted its residents' "great concern regarding the possibility of public ritualistic animal sacrifices" and the state law prohibition. The resolution declared the city policy "to oppose the ritual sacrifices of animals" within Hialeah, and announced that any person or organization practicing animal sacrifice "will be prosecuted."</w:t>
      </w:r>
    </w:p>
    <w:p w:rsidR="00A31137" w:rsidRPr="00A31137" w:rsidRDefault="00A31137" w:rsidP="00A31137">
      <w:r w:rsidRPr="00A31137">
        <w:t>1993, Church of Lukumi Babalu Aye v. City of Hialeah, 508 U.S. 527</w:t>
      </w:r>
    </w:p>
    <w:p w:rsidR="00A31137" w:rsidRPr="00A31137" w:rsidRDefault="00A31137" w:rsidP="00A31137">
      <w:r w:rsidRPr="00A31137">
        <w:t>In September, 1987, the city council adopted three substantive ordinances addressing the issue of religious animal sacrifice. Ordinance 87-52 defined "sacrifice" as</w:t>
      </w:r>
    </w:p>
    <w:p w:rsidR="00A31137" w:rsidRPr="00A31137" w:rsidRDefault="00A31137" w:rsidP="00A31137">
      <w:r w:rsidRPr="00A31137">
        <w:t>1993, Church of Lukumi Babalu Aye v. City of Hialeah, 508 U.S. 527</w:t>
      </w:r>
    </w:p>
    <w:p w:rsidR="00A31137" w:rsidRPr="00A31137" w:rsidRDefault="00A31137" w:rsidP="00A31137">
      <w:r w:rsidRPr="00A31137">
        <w:t>to unnecessarily kill, torment, torture, or mutilate an animal in a public or private ritual or ceremony not for the primary purpose of food consumption,</w:t>
      </w:r>
    </w:p>
    <w:p w:rsidR="00A31137" w:rsidRPr="00A31137" w:rsidRDefault="00A31137" w:rsidP="00A31137">
      <w:r w:rsidRPr="00A31137">
        <w:t>1993, Church of Lukumi Babalu Aye v. City of Hialeah, 508 U.S. 527</w:t>
      </w:r>
    </w:p>
    <w:p w:rsidR="00A31137" w:rsidRPr="00A31137" w:rsidRDefault="00A31137" w:rsidP="00A31137">
      <w:r w:rsidRPr="00A31137">
        <w:t>and prohibited owning or possessing an animal "intending to use such animal for food purposes." It restricted application of this prohibition, however, to any individual or group that</w:t>
      </w:r>
    </w:p>
    <w:p w:rsidR="00A31137" w:rsidRPr="00A31137" w:rsidRDefault="00A31137" w:rsidP="00A31137">
      <w:r w:rsidRPr="00A31137">
        <w:t>1993, Church of Lukumi Babalu Aye v. City of Hialeah, 508 U.S. 527</w:t>
      </w:r>
    </w:p>
    <w:p w:rsidR="00A31137" w:rsidRPr="00A31137" w:rsidRDefault="00A31137" w:rsidP="00A31137">
      <w:r w:rsidRPr="00A31137">
        <w:t>kills, slaughters or sacrifices animals for any type of ritual, regardless of whether or not the flesh or blood of the animal is to be consumed.</w:t>
      </w:r>
    </w:p>
    <w:p w:rsidR="00A31137" w:rsidRPr="00A31137" w:rsidRDefault="00A31137" w:rsidP="00A31137">
      <w:r w:rsidRPr="00A31137">
        <w:t>1993, Church of Lukumi Babalu Aye v. City of Hialeah, 508 U.S. 527</w:t>
      </w:r>
    </w:p>
    <w:p w:rsidR="00A31137" w:rsidRPr="00A31137" w:rsidRDefault="00A31137" w:rsidP="00A31137">
      <w:r w:rsidRPr="00A31137">
        <w:t>The ordinance [508 U.S. 528] contained an exemption for slaughtering by "licensed establishment[s]" of animals "specifically raised for food purposes." Declaring, moreover, that the city council</w:t>
      </w:r>
    </w:p>
    <w:p w:rsidR="00A31137" w:rsidRPr="00A31137" w:rsidRDefault="00A31137" w:rsidP="00A31137">
      <w:r w:rsidRPr="00A31137">
        <w:t>1993, Church of Lukumi Babalu Aye v. City of Hialeah, 508 U.S. 528</w:t>
      </w:r>
    </w:p>
    <w:p w:rsidR="00A31137" w:rsidRPr="00A31137" w:rsidRDefault="00A31137" w:rsidP="00A31137">
      <w:r w:rsidRPr="00A31137">
        <w:t>has determined that the sacrificing of animals within the city limits is contrary to the public health, safety, welfare and morals of the community,</w:t>
      </w:r>
    </w:p>
    <w:p w:rsidR="00A31137" w:rsidRPr="00A31137" w:rsidRDefault="00A31137" w:rsidP="00A31137">
      <w:r w:rsidRPr="00A31137">
        <w:t>1993, Church of Lukumi Babalu Aye v. City of Hialeah, 508 U.S. 528</w:t>
      </w:r>
    </w:p>
    <w:p w:rsidR="00A31137" w:rsidRPr="00A31137" w:rsidRDefault="00A31137" w:rsidP="00A31137">
      <w:r w:rsidRPr="00A31137">
        <w:t>the city council adopted Ordinance 87-71. That ordinance defined sacrifice as had Ordinance 87-52, and then provided that</w:t>
      </w:r>
    </w:p>
    <w:p w:rsidR="00A31137" w:rsidRPr="00A31137" w:rsidRDefault="00A31137" w:rsidP="00A31137">
      <w:r w:rsidRPr="00A31137">
        <w:t>1993, Church of Lukumi Babalu Aye v. City of Hialeah, 508 U.S. 528</w:t>
      </w:r>
    </w:p>
    <w:p w:rsidR="00A31137" w:rsidRPr="00A31137" w:rsidRDefault="00A31137" w:rsidP="00A31137">
      <w:r w:rsidRPr="00A31137">
        <w:t>[i]t shall be unlawful for any person, persons, corporations or associations to sacrifice any animal within the corporate limits of the City of Hialeah, Florida.</w:t>
      </w:r>
    </w:p>
    <w:p w:rsidR="00A31137" w:rsidRPr="00A31137" w:rsidRDefault="00A31137" w:rsidP="00A31137">
      <w:r w:rsidRPr="00A31137">
        <w:t>1993, Church of Lukumi Babalu Aye v. City of Hialeah, 508 U.S. 528</w:t>
      </w:r>
    </w:p>
    <w:p w:rsidR="00A31137" w:rsidRPr="00A31137" w:rsidRDefault="00A31137" w:rsidP="00A31137">
      <w:r w:rsidRPr="00A31137">
        <w:t>The final Ordinance, 87-72, defined "slaughter" as "the killing of animals for food," and prohibited slaughter outside of areas zoned for slaughterhouse use. The ordinance provided an exemption, however, for the slaughter or processing for sale of "small numbers of hogs and/or cattle per week in accordance with an exemption provided by state law." All ordinances and resolutions passed the city council by unanimous vote. Violations of each of the four ordinances were punishable by fines not exceeding $500 or imprisonment not exceeding 60 days, or both.</w:t>
      </w:r>
    </w:p>
    <w:p w:rsidR="00A31137" w:rsidRPr="00A31137" w:rsidRDefault="00A31137" w:rsidP="00A31137">
      <w:r w:rsidRPr="00A31137">
        <w:t>1993, Church of Lukumi Babalu Aye v. City of Hialeah, 508 U.S. 528</w:t>
      </w:r>
    </w:p>
    <w:p w:rsidR="00A31137" w:rsidRPr="00A31137" w:rsidRDefault="00A31137" w:rsidP="00A31137">
      <w:r w:rsidRPr="00A31137">
        <w:t>Following enactment of these ordinances, the Church and Pichardo filed this action pursuant to 42 U.S.C. § 1983 in the United States District Court for the Southern District of Florida. Named as defendants were the city of Hialeah and its mayor and members of its city council in their individual capacities. Alleging violations of petitioners' rights under, inter alia, the Free Exercise Clause, the complaint sought a declaratory judgment and injunctive and monetary relief. The District Court granted summary judgment to the individual defendants, finding that they had absolute immunity for their legislative acts and that the ordinances and resolutions adopted by the council did not constitute an official policy of harassment, as alleged by petitioners. 688 F.Supp. 1522 (SD Fla.1988).</w:t>
      </w:r>
    </w:p>
    <w:p w:rsidR="00A31137" w:rsidRPr="00A31137" w:rsidRDefault="00A31137" w:rsidP="00A31137">
      <w:r w:rsidRPr="00A31137">
        <w:t>1993, Church of Lukumi Babalu Aye v. City of Hialeah, 508 U.S. 528</w:t>
      </w:r>
    </w:p>
    <w:p w:rsidR="00A31137" w:rsidRPr="00A31137" w:rsidRDefault="00A31137" w:rsidP="00A31137">
      <w:r w:rsidRPr="00A31137">
        <w:t>After a 9-day bench trial on the remaining claims, the District Court ruled for the city, finding no violation of petitioners' [508 U.S. 529] rights under the Free Exercise Clause. 723 F.Supp. 1467 (SD Fla.1989). (The court rejected as well petitioners' other claims, which are not at issue here.) Although acknowledging that "the ordinances are not religiously neutral," id. at 1476, and that the city's concern about animal sacrifice was "prompted" by the establishment of the Church in the city, id. at 1479, the District Court concluded that the purpose of the ordinances was not to exclude the Church from the city, but to end the practice of animal sacrifice, for whatever reason practiced, id. at 1479, 1483. The court also found that the ordinances did not target religious conduct "on their face," though it noted that, in any event, "specifically regulating [religious] conduct" does not violate the First Amendment "when [the conduct] is deemed inconsistent with public health and welfare." Id. at 1483-1484. Thus, the court concluded that, at most, the ordinances' effect on petitioners' religious conduct was "incidental to [their] secular purpose and effect." Id. at 1484.</w:t>
      </w:r>
    </w:p>
    <w:p w:rsidR="00A31137" w:rsidRPr="00A31137" w:rsidRDefault="00A31137" w:rsidP="00A31137">
      <w:r w:rsidRPr="00A31137">
        <w:t>1993, Church of Lukumi Babalu Aye v. City of Hialeah, 508 U.S. 529</w:t>
      </w:r>
    </w:p>
    <w:p w:rsidR="00A31137" w:rsidRPr="00A31137" w:rsidRDefault="00A31137" w:rsidP="00A31137">
      <w:r w:rsidRPr="00A31137">
        <w:t>The District Court proceeded to determine whether the governmental interests underlying the ordinances were compelling and, if so, to balance the "governmental and religious interests." The court noted that</w:t>
      </w:r>
    </w:p>
    <w:p w:rsidR="00A31137" w:rsidRPr="00A31137" w:rsidRDefault="00A31137" w:rsidP="00A31137">
      <w:r w:rsidRPr="00A31137">
        <w:t>1993, Church of Lukumi Babalu Aye v. City of Hialeah, 508 U.S. 529</w:t>
      </w:r>
    </w:p>
    <w:p w:rsidR="00A31137" w:rsidRPr="00A31137" w:rsidRDefault="00A31137" w:rsidP="00A31137">
      <w:r w:rsidRPr="00A31137">
        <w:t>[t]his "balance depends upon the cost to the government of altering its activity to allow the religious practice to continue unimpeded versus the cost to the religious interest imposed by the government activity."</w:t>
      </w:r>
    </w:p>
    <w:p w:rsidR="00A31137" w:rsidRPr="00A31137" w:rsidRDefault="00A31137" w:rsidP="00A31137">
      <w:r w:rsidRPr="00A31137">
        <w:t>1993, Church of Lukumi Babalu Aye v. City of Hialeah, 508 U.S. 529</w:t>
      </w:r>
    </w:p>
    <w:p w:rsidR="00A31137" w:rsidRPr="00A31137" w:rsidRDefault="00A31137" w:rsidP="00A31137">
      <w:r w:rsidRPr="00A31137">
        <w:t>Ibid., quoting Grosz v. City of Miami Beach, 721 F.2d 729, 734 (CA 11 1983), cert. denied, 469 U.S. 827 (1984). The court found four compelling interests. First, the court found that animal sacrifices present a substantial health risk, both to participants and the general public. According to the court, animals that are to be sacrificed are often kept in unsanitary conditions and are uninspected, and animal remains are found in public places. 723 F.Supp. at 1474-1475, 1485. Second, the court found emotional injury to children who witness the sacrifice of animals. Id. at 1475-1476, 1485-1486. Third, the court found compelling the city's interest [508 U.S. 530] in protecting animals from cruel and unnecessary killing. The court determined that the method of killing used in Santeria sacrifice was</w:t>
      </w:r>
    </w:p>
    <w:p w:rsidR="00A31137" w:rsidRPr="00A31137" w:rsidRDefault="00A31137" w:rsidP="00A31137">
      <w:r w:rsidRPr="00A31137">
        <w:t>1993, Church of Lukumi Babalu Aye v. City of Hialeah, 508 U.S. 530</w:t>
      </w:r>
    </w:p>
    <w:p w:rsidR="00A31137" w:rsidRPr="00A31137" w:rsidRDefault="00A31137" w:rsidP="00A31137">
      <w:r w:rsidRPr="00A31137">
        <w:t>unreliable and not humane, and that the animals, before being sacrificed, are often kept in conditions that produce a great deal of fear and stress in the animal.</w:t>
      </w:r>
    </w:p>
    <w:p w:rsidR="00A31137" w:rsidRPr="00A31137" w:rsidRDefault="00A31137" w:rsidP="00A31137">
      <w:r w:rsidRPr="00A31137">
        <w:t>1993, Church of Lukumi Babalu Aye v. City of Hialeah, 508 U.S. 530</w:t>
      </w:r>
    </w:p>
    <w:p w:rsidR="00A31137" w:rsidRPr="00A31137" w:rsidRDefault="00A31137" w:rsidP="00A31137">
      <w:r w:rsidRPr="00A31137">
        <w:t>Id. at 1472-1473, 1486. Fourth, the District Court found compelling the city's interest in restricting the slaughter or sacrifice of animals to areas zoned for slaughterhouse use. Id. at 1486. This legal determination was not accompanied by factual findings.</w:t>
      </w:r>
    </w:p>
    <w:p w:rsidR="00A31137" w:rsidRPr="00A31137" w:rsidRDefault="00A31137" w:rsidP="00A31137">
      <w:r w:rsidRPr="00A31137">
        <w:t>1993, Church of Lukumi Babalu Aye v. City of Hialeah, 508 U.S. 530</w:t>
      </w:r>
    </w:p>
    <w:p w:rsidR="00A31137" w:rsidRPr="00A31137" w:rsidRDefault="00A31137" w:rsidP="00A31137">
      <w:r w:rsidRPr="00A31137">
        <w:t>Balancing the competing governmental and religious interests, the District Court concluded the compelling governmental interests "fully justify the absolute prohibition on ritual sacrifice" accomplished by the ordinances. Id. at 1487. The court also concluded that an exception to the sacrifice prohibition for religious conduct would "'unduly interfere with fulfillment of the governmental interest'" because any more narrow restrictions—e.g., regulation of disposal of animal carcasses—would be unenforceable as a result of the secret nature of the Santeria religion. Id. at 1486-1487, and nn. 57-59. A religious exemption from the city's ordinances, concluded the court, would defeat the city's compelling interests in enforcing the prohibition. Id. at 1487.</w:t>
      </w:r>
    </w:p>
    <w:p w:rsidR="00A31137" w:rsidRPr="00A31137" w:rsidRDefault="00A31137" w:rsidP="00A31137">
      <w:r w:rsidRPr="00A31137">
        <w:t>1993, Church of Lukumi Babalu Aye v. City of Hialeah, 508 U.S. 530</w:t>
      </w:r>
    </w:p>
    <w:p w:rsidR="00A31137" w:rsidRPr="00A31137" w:rsidRDefault="00A31137" w:rsidP="00A31137">
      <w:r w:rsidRPr="00A31137">
        <w:t xml:space="preserve">The Court of Appeals for the Eleventh Circuit affirmed in a one-paragraph per curiam opinion. Judgt. order reported at 936 F.2d 586 (1991). Choosing not to rely on the District Court's recitation of a compelling interest in promoting the welfare of children, the Court of Appeals stated simply that it concluded the ordinances were consistent with the Constitution. App. to Pet. for Cert. A2. It declined to address the effect of Employment Div., Dept. of Human Resources of Oregon v. Smith, 494 U.S. 872 (1990), decided after the District Court's opinion, because the District Court "employed an arguably stricter standard" than that applied in Smith. App. to Pet. for Cert. A2, n. 1. [508 U.S. 531] </w:t>
      </w:r>
    </w:p>
    <w:p w:rsidR="00A31137" w:rsidRPr="00A31137" w:rsidRDefault="00A31137" w:rsidP="00A31137">
      <w:r w:rsidRPr="00A31137">
        <w:t>II</w:t>
      </w:r>
    </w:p>
    <w:p w:rsidR="00A31137" w:rsidRPr="00A31137" w:rsidRDefault="00A31137" w:rsidP="00A31137">
      <w:r w:rsidRPr="00A31137">
        <w:t>1993, Church of Lukumi Babalu Aye v. City of Hialeah, 508 U.S. 531</w:t>
      </w:r>
    </w:p>
    <w:p w:rsidR="00A31137" w:rsidRPr="00A31137" w:rsidRDefault="00A31137" w:rsidP="00A31137">
      <w:r w:rsidRPr="00A31137">
        <w:t>The Free Exercise Clause of the First Amendment, which has been applied to the States through the Fourteenth Amendment, see Cantwell v. Connecticut, 310 U.S. 296,  303 (1940), provides that "Congress shall make no law respecting an establishment of religion, or prohibiting the free exercise thereof.…" U.S.Const., Amdt. 1 (emphasis added). The city does not argue that Santeria is not a "religion" within the meaning of the First Amendment. Nor could it. Although the practice of animal sacrifice may seem abhorrent to some, "religious beliefs need not be acceptable, logical, consistent, or comprehensible to others in order to merit First Amendment protection." Thomas v. Review Bd. of Indiana Employment Security Div., 450 U.S. 707,  714 (1981). Given the historical association between animal sacrifice and religious worship, see supra at 524-525, petitioners' assertion that animal sacrifice is an integral part of their religion "cannot be deemed bizarre or incredible." Frazee v. Illinois Dept. of Employment Security, 489 U.S. 829,  834, n. 2 (1989). Neither the city nor the courts below, moreover, have questioned the sincerity of petitioners' professed desire to conduct animal sacrifices for religious reasons. We must consider petitioners' First Amendment claim.</w:t>
      </w:r>
    </w:p>
    <w:p w:rsidR="00A31137" w:rsidRPr="00A31137" w:rsidRDefault="00A31137" w:rsidP="00A31137">
      <w:r w:rsidRPr="00A31137">
        <w:t>1993, Church of Lukumi Babalu Aye v. City of Hialeah, 508 U.S. 531</w:t>
      </w:r>
    </w:p>
    <w:p w:rsidR="00A31137" w:rsidRPr="00A31137" w:rsidRDefault="00A31137" w:rsidP="00A31137">
      <w:r w:rsidRPr="00A31137">
        <w:t>In addressing the constitutional protection for free exercise of religion, our cases establish the general proposition that a law that is neutral and of general applicability need not be justified by a compelling governmental interest even if the law has the incidental effect of burdening a particular religious practice. Employment Div., Dept. of Human Resources of Oregon v. Smith, supra. Neutrality and general applicability are interrelated, and, as becomes apparent in this case, failure to satisfy one requirement is a likely indication that the other has not been satisfied. A law failing to satisfy these requirements must be justified by a compelling governmental interest, and must be narrowly tailored to advance [508 U.S. 532] that interest. These ordinances fail to satisfy the Smith requirements. We begin by discussing neutrality.</w:t>
      </w:r>
    </w:p>
    <w:p w:rsidR="00A31137" w:rsidRPr="00A31137" w:rsidRDefault="00A31137" w:rsidP="00A31137">
      <w:r w:rsidRPr="00A31137">
        <w:t>A</w:t>
      </w:r>
    </w:p>
    <w:p w:rsidR="00A31137" w:rsidRPr="00A31137" w:rsidRDefault="00A31137" w:rsidP="00A31137">
      <w:r w:rsidRPr="00A31137">
        <w:t>1993, Church of Lukumi Babalu Aye v. City of Hialeah, 508 U.S. 532</w:t>
      </w:r>
    </w:p>
    <w:p w:rsidR="00A31137" w:rsidRPr="00A31137" w:rsidRDefault="00A31137" w:rsidP="00A31137">
      <w:r w:rsidRPr="00A31137">
        <w:t>In our Establishment Clause cases, we have often stated the principle that the First Amendment forbids an official purpose to disapprove of a particular religion or of religion in general. See, e.g., Board of Ed. of Westside Community Schools (Dist. 66) v. Mergens, 496 U.S. 226,  248 (1990) (plurality opinion); Grand Rapids School Dist. v. Ball, 473 U.S. 373,  389 (1985); Wallace v. Jaffree, 472 U.S. 38,  56 (1985); Epperson v. Arkansas, 393 U.S. 97, 106-107 (1968); School Dist. of Abington v. Schempp, 374 U.S. 203,  225 (1963); Everson v. Board of Ed. of Ewing, 330 U.S. 1, 15-16 (1947). These cases, however, for the most part, have addressed governmental efforts to benefit religion or particular religions, and so have dealt with a question different, at least in its formulation and emphasis, from the issue here. Petitioners allege an attempt to disfavor their religion because of the religious ceremonies it commands, and the Free Exercise Clause is dispositive in our analysis.</w:t>
      </w:r>
    </w:p>
    <w:p w:rsidR="00A31137" w:rsidRPr="00A31137" w:rsidRDefault="00A31137" w:rsidP="00A31137">
      <w:r w:rsidRPr="00A31137">
        <w:t>1993, Church of Lukumi Babalu Aye v. City of Hialeah, 508 U.S. 532</w:t>
      </w:r>
    </w:p>
    <w:p w:rsidR="00A31137" w:rsidRPr="00A31137" w:rsidRDefault="00A31137" w:rsidP="00A31137">
      <w:r w:rsidRPr="00A31137">
        <w:t>At a minimum, the protections of the Free Exercise Clause pertain if the law at issue discriminates against some or all religious beliefs or regulates or prohibits conduct because it is undertaken for religious reasons. See, e.g., Braunfeld v. Brown, 366 U.S. 599,  607 (1961) (plurality opinion); Fowler v. Rhode Island, 345 U.S. 67, 69-70 (1953). Indeed, it was "historical instances of religious persecution and intolerance that gave concern to those who drafted the Free Exercise Clause." Bowen v. Roy, 476 U.S. 693,  703 (1986) (opinion of Burger, C.J.). See J. Story, Commentaries on the Constitution of the United States §§ 991-992 (abridged ed. 1833) (reprint 1987); T. Cooley, Constitutional Limitations 467 (1868) (reprint 1972); McGowan v. Maryland, 366 U.S. 420,  464, and n. 2 (1961) (opinion of Frankfurter, J.); Douglas v. Jeannette, 319 U.S. 157,  179 (1943) (Jackson, J., concurring in result); [508 U.S. 533] Davis v. Beason, 133 U.S. 333, 342 (1890). These principles, though not often at issue in our Free Exercise Clause cases, have played a role in some. In McDaniel v. Paty, 435 U.S. 618 (1978), for example, we invalidated a State law that disqualified members of the clergy from holding certain public offices, because it "impose[d] special disabilities on the basis of…religious status," Employment Div., Dept. of Human Resources of Oregon v. Smith, 494 U.S. at  877. On the same principle, in Fowler v. Rhode Island, supra, we found that a municipal ordinance was applied in an unconstitutional manner when interpreted to prohibit preaching in a public park by a Jehovah's Witness, but to permit preaching during the course of a Catholic mass or Protestant church service. See also Niemotko v. Maryland, 340 U.S. 268, 272-273 (1951). Cf. Larson v. Valente, 456 U.S. 228 (1982) (state statute that treated some religious denominations more favorably than others violated the Establishment Clause).</w:t>
      </w:r>
    </w:p>
    <w:p w:rsidR="00A31137" w:rsidRPr="00A31137" w:rsidRDefault="00A31137" w:rsidP="00A31137">
      <w:r w:rsidRPr="00A31137">
        <w:t>1</w:t>
      </w:r>
    </w:p>
    <w:p w:rsidR="00A31137" w:rsidRPr="00A31137" w:rsidRDefault="00A31137" w:rsidP="00A31137">
      <w:r w:rsidRPr="00A31137">
        <w:t>1993, Church of Lukumi Babalu Aye v. City of Hialeah, 508 U.S. 533</w:t>
      </w:r>
    </w:p>
    <w:p w:rsidR="00A31137" w:rsidRPr="00A31137" w:rsidRDefault="00A31137" w:rsidP="00A31137">
      <w:r w:rsidRPr="00A31137">
        <w:t>Although a law targeting religious beliefs as such is never permissible, McDaniel v. Paty, supra, 435 U.S. at  626 (plurality opinion); Cantwell v. Connecticut, supra, 310 U.S. at 303-304, if the object of a law is to infringe upon or restrict practices because of their religious motivation, the law is not neutral, see Employment Div., Dept. of Human Resources of Oregon v. Smith, supra, 494 U.S. at 878-879, and it is invalid unless it is justified by a compelling interest and is narrowly tailored to advance that interest. There are, of course, many ways of demonstrating that the object or purpose of a law is the suppression of religion or religious conduct. To determine the object of a law, we must begin with its text, for the minimum requirement of neutrality is that a law not discriminate on its face. A law lacks facial neutrality if it refers to a religious practice without a secular meaning discernable from the language or context. Petitioners contend that three of the ordinances fail this test of facial neutrality because they use the words [508 U.S. 534] "sacrifice" and "ritual," words with strong religious connotations. Brief for Petitioners 16-17. We agree that these words are consistent with the claim of facial discrimination, but the argument is not conclusive. The words "sacrifice" and "ritual" have a religious origin, but current use admits also of secular meanings. See Webster's Third New International Dictionary 1961, 1996 (1971). See also 12 The Encyclopedia of Religion, at 556 ("[T]he word sacrifice ultimately became very much a secular term in common usage"). The ordinances, furthermore, define "sacrifice" in secular terms, without referring to religious practices.</w:t>
      </w:r>
    </w:p>
    <w:p w:rsidR="00A31137" w:rsidRPr="00A31137" w:rsidRDefault="00A31137" w:rsidP="00A31137">
      <w:r w:rsidRPr="00A31137">
        <w:t>1993, Church of Lukumi Babalu Aye v. City of Hialeah, 508 U.S. 534</w:t>
      </w:r>
    </w:p>
    <w:p w:rsidR="00A31137" w:rsidRPr="00A31137" w:rsidRDefault="00A31137" w:rsidP="00A31137">
      <w:r w:rsidRPr="00A31137">
        <w:t>We reject the contention advanced by the city, see Brief for Respondent 15, that our inquiry must end with the text of the laws at issue. Facial neutrality is not determinative. The Free Exercise Clause, like the Establishment Clause, extends beyond facial discrimination. The Clause "forbids subtle departures from neutrality," Gillette v. United States, 401 U.S. 437,  452 (1971), and "covert suppression of particular religious beliefs," Bowen v. Roy, supra, 476 U.S. at  703 (opinion of Burger, C.J.). Official action that targets religious conduct for distinctive treatment cannot be shielded by mere compliance with the requirement of facial neutrality. The Free Exercise Clause protects against governmental hostility which is masked, as well as overt.</w:t>
      </w:r>
    </w:p>
    <w:p w:rsidR="00A31137" w:rsidRPr="00A31137" w:rsidRDefault="00A31137" w:rsidP="00A31137">
      <w:r w:rsidRPr="00A31137">
        <w:t>1993, Church of Lukumi Babalu Aye v. City of Hialeah, 508 U.S. 534</w:t>
      </w:r>
    </w:p>
    <w:p w:rsidR="00A31137" w:rsidRPr="00A31137" w:rsidRDefault="00A31137" w:rsidP="00A31137">
      <w:r w:rsidRPr="00A31137">
        <w:t>The Court must survey meticulously the circumstances of governmental categories to eliminate, as it were, religious gerrymanders.</w:t>
      </w:r>
    </w:p>
    <w:p w:rsidR="00A31137" w:rsidRPr="00A31137" w:rsidRDefault="00A31137" w:rsidP="00A31137">
      <w:r w:rsidRPr="00A31137">
        <w:t>1993, Church of Lukumi Babalu Aye v. City of Hialeah, 508 U.S. 534</w:t>
      </w:r>
    </w:p>
    <w:p w:rsidR="00A31137" w:rsidRPr="00A31137" w:rsidRDefault="00A31137" w:rsidP="00A31137">
      <w:r w:rsidRPr="00A31137">
        <w:t>Walz v. Tax Comm'n of New York City, 397 U.S. 664,  696 (1970) (Harlan, J., concurring).</w:t>
      </w:r>
    </w:p>
    <w:p w:rsidR="00A31137" w:rsidRPr="00A31137" w:rsidRDefault="00A31137" w:rsidP="00A31137">
      <w:r w:rsidRPr="00A31137">
        <w:t>1993, Church of Lukumi Babalu Aye v. City of Hialeah, 508 U.S. 534</w:t>
      </w:r>
    </w:p>
    <w:p w:rsidR="00A31137" w:rsidRPr="00A31137" w:rsidRDefault="00A31137" w:rsidP="00A31137">
      <w:r w:rsidRPr="00A31137">
        <w:t>The record in this case compels the conclusion that suppression of the central element of the Santeria worship service was the object of the ordinances. First, though use of the words "sacrifice" and "ritual" does not compel a finding of improper targeting of the Santeria religion, the choice of these words is support for our conclusion. There are further respects in which the text of the city council's enactments discloses the improper attempt to target Santeria. [508 U.S. 535] Resolution 87-66, adopted June 9, 1987, recited that</w:t>
      </w:r>
    </w:p>
    <w:p w:rsidR="00A31137" w:rsidRPr="00A31137" w:rsidRDefault="00A31137" w:rsidP="00A31137">
      <w:r w:rsidRPr="00A31137">
        <w:t>1993, Church of Lukumi Babalu Aye v. City of Hialeah, 508 U.S. 535</w:t>
      </w:r>
    </w:p>
    <w:p w:rsidR="00A31137" w:rsidRPr="00A31137" w:rsidRDefault="00A31137" w:rsidP="00A31137">
      <w:r w:rsidRPr="00A31137">
        <w:t>residents and citizens of the City of Hialeah have expressed their concern that certain religions may propose to engage in practices which are inconsistent with public morals, peace or safety,</w:t>
      </w:r>
    </w:p>
    <w:p w:rsidR="00A31137" w:rsidRPr="00A31137" w:rsidRDefault="00A31137" w:rsidP="00A31137">
      <w:r w:rsidRPr="00A31137">
        <w:t>1993, Church of Lukumi Babalu Aye v. City of Hialeah, 508 U.S. 535</w:t>
      </w:r>
    </w:p>
    <w:p w:rsidR="00A31137" w:rsidRPr="00A31137" w:rsidRDefault="00A31137" w:rsidP="00A31137">
      <w:r w:rsidRPr="00A31137">
        <w:t>and "reiterate[d]" the city's commitment to prohibit "any and all [such] acts of any and all religious groups." No one suggests, and, on this record, it cannot be maintained, that city officials had in mind a religion other than Santeria.</w:t>
      </w:r>
    </w:p>
    <w:p w:rsidR="00A31137" w:rsidRPr="00A31137" w:rsidRDefault="00A31137" w:rsidP="00A31137">
      <w:r w:rsidRPr="00A31137">
        <w:t>1993, Church of Lukumi Babalu Aye v. City of Hialeah, 508 U.S. 535</w:t>
      </w:r>
    </w:p>
    <w:p w:rsidR="00A31137" w:rsidRPr="00A31137" w:rsidRDefault="00A31137" w:rsidP="00A31137">
      <w:r w:rsidRPr="00A31137">
        <w:t>It becomes evident that these ordinances target Santeria sacrifice when the ordinances' operation is considered. Apart from the text, the effect of a law in its real operation is strong evidence of its object. To be sure, adverse impact will not always lead to a finding of impermissible targeting. For example, a social harm may have been a legitimate concern of government for reasons quite apart from discrimination. McGowan v. Maryland, 366 U.S. at  442. See, e.g., Reynolds v. United States, 98 U.S. 145 (1879); Davis v. Beason, 133 U.S. 333 (1890). See also Ely, Legislative and Administrative Motivation in Constitutional Law, 79 Yale L.J. 1205, 1319 (1970). The subject at hand does implicate, of course, multiple concerns unrelated to religious animosity, for example, the suffering or mistreatment visited upon the sacrificed animals, and health hazards from improper disposal. But the ordinances, when considered together, disclose an object remote from these legitimate concerns. The design of these laws accomplishes, instead, a "religious gerrymander," Walz v. Tax Comm'n of New York City, supra, 397 U.S. at  696 (Harlan, J., concurring), an impermissible attempt to target petitioners and their religious practices.</w:t>
      </w:r>
    </w:p>
    <w:p w:rsidR="00A31137" w:rsidRPr="00A31137" w:rsidRDefault="00A31137" w:rsidP="00A31137">
      <w:r w:rsidRPr="00A31137">
        <w:t>1993, Church of Lukumi Babalu Aye v. City of Hialeah, 508 U.S. 535</w:t>
      </w:r>
    </w:p>
    <w:p w:rsidR="00A31137" w:rsidRPr="00A31137" w:rsidRDefault="00A31137" w:rsidP="00A31137">
      <w:r w:rsidRPr="00A31137">
        <w:t>It is a necessary conclusion that almost the only conduct subject to Ordinances 8740, 87-52, and 87-71 is the religious exercise of Santeria church members. The texts show that they were drafted in tandem to achieve this result. We begin with Ordinance 87-71. It prohibits the sacrifice of animals, but defines sacrifice as "to unnecessarily kill…an animal in a public or private ritual or ceremony not for the [508 U.S. 536] primary purpose of food consumption." The definition excludes almost all killings of animals except for religious sacrifice, and the primary purpose requirement narrows the proscribed category even further, in particular by exempting Kosher slaughter, see 723 F.Supp. at 1480. We need not discuss whether this differential treatment of two religions is, itself, an independent constitutional violation. Cf. Larson v. Valente, 456 U.S. at 244-246. It suffices to recite this feature of the law as support for our conclusion that Santeria alone was the exclusive legislative concern. The net result of the gerrymander is that few, if any, killings of animals are prohibited other than Santeria sacrifice, which is proscribed because it occurs during a ritual or ceremony and its primary purpose is to make an offering to the orishas, not food consumption. Indeed, careful drafting ensured that, although Santeria sacrifice is prohibited, killings that are no more necessary or humane in almost all other circumstances are unpunished.</w:t>
      </w:r>
    </w:p>
    <w:p w:rsidR="00A31137" w:rsidRPr="00A31137" w:rsidRDefault="00A31137" w:rsidP="00A31137">
      <w:r w:rsidRPr="00A31137">
        <w:t>1993, Church of Lukumi Babalu Aye v. City of Hialeah, 508 U.S. 536</w:t>
      </w:r>
    </w:p>
    <w:p w:rsidR="00A31137" w:rsidRPr="00A31137" w:rsidRDefault="00A31137" w:rsidP="00A31137">
      <w:r w:rsidRPr="00A31137">
        <w:t>Operating in similar fashion is Ordinance 87-52, which prohibits the "possess[ion], sacrifice, or slaughter" of an animal with the "inten[t] to use such animal for food purposes." This prohibition, extending to the keeping of an animal, as well as the killing itself, applies if the animal is killed in "any type of ritual" and there is an intent to use the animal for food, whether or not it is in fact consumed for food. The ordinance exempts, however, "any licensed [food] establishment" with regard to "any animals which are specifically raised for food purposes," if the activity is permitted by zoning and other laws. This exception, too, seems intended to cover Kosher slaughter. Again, the burden of the ordinance, in practical terms, falls on Santeria adherents, but almost no others: if the killing is—unlike most Santeria sacrifices—unaccompanied by the intent to use the animal for food, then it is not prohibited by Ordinance 87-52; if the killing is specifically for food, but does not occur during the course of "any type of ritual," it again falls outside the prohibition; and if [508 U.S. 537] the killing is for food and occurs during the course of a ritual, it is still exempted if it occurs in a properly zoned and licensed establishment and involves animals "specifically raised for food purposes." A pattern of exemptions parallels the pattern of narrow prohibitions. Each contributes to the gerrymander.</w:t>
      </w:r>
    </w:p>
    <w:p w:rsidR="00A31137" w:rsidRPr="00A31137" w:rsidRDefault="00A31137" w:rsidP="00A31137">
      <w:r w:rsidRPr="00A31137">
        <w:t>1993, Church of Lukumi Babalu Aye v. City of Hialeah, 508 U.S. 537</w:t>
      </w:r>
    </w:p>
    <w:p w:rsidR="00A31137" w:rsidRPr="00A31137" w:rsidRDefault="00A31137" w:rsidP="00A31137">
      <w:r w:rsidRPr="00A31137">
        <w:t>Ordinance 87-40 incorporates the Florida animal cruelty statute, Fla.Stat. § 828.12 (1987). Its prohibition is broad on its face, punishing "[w]hoever…unnecessarily…kills any animal." The city claims that this ordinance is the epitome of a neutral prohibition. Brief for Respondent 13-14. The problem, however, is the interpretation given to the ordinance by respondent and the Florida attorney general. Killings for religious reasons are deemed unnecessary, whereas most other killings fall outside the prohibition. The city, on what seems to be a per se basis, deems hunting, slaughter of animals for food, eradication of insects and pests, and euthanasia as necessary. See id. at 22. There is no indication in the record that respondent has concluded that hunting or fishing for sport is unnecessary. Indeed, one of the few reported Florida cases decided under § 828.12 concludes that the use of live rabbits to train greyhounds is not unnecessary. See Kiper v. State, 310 So.2d 42 (Fla. App.), cert. denied, 328 So.2d 845 (Fla.1975). Further, because it requires an evaluation of the particular justification for the killing, this ordinance represents a system of "individualized governmental assessment of the reasons for the relevant conduct," Employment Div., Dept. of Human Resources of Oregon v. Smith, 494 U.S. at  884. As we noted in Smith, in circumstances in which individualized exemptions from a general requirement are available, the government "may not refuse to extend that system to cases of 'religious hardship' without compelling reason." Id. at  884, quoting Bowen v. Roy, 476 U.S. at  708 (opinion of Burger, C.J.). Respondent's application of the ordinance's test of necessity devalues religious reasons for killing by judging them to be of lesser import than nonreligious [508 U.S. 538] reasons. Thus, religious practice is being singled out for discriminatory treatment. Bowen v. Roy, supra, at  722, and n. 17 (STEVENS, J., concurring in part and concurring in result); United States v. Lee, 455 U.S. 252, 264, n. 3 (1982) (STEVENS, J., concurring in judgment); Bowen v. Roy, supra, 476 U.S. at  708 (opinion of Burger, C.J.).</w:t>
      </w:r>
    </w:p>
    <w:p w:rsidR="00A31137" w:rsidRPr="00A31137" w:rsidRDefault="00A31137" w:rsidP="00A31137">
      <w:r w:rsidRPr="00A31137">
        <w:t>1993, Church of Lukumi Babalu Aye v. City of Hialeah, 508 U.S. 538</w:t>
      </w:r>
    </w:p>
    <w:p w:rsidR="00A31137" w:rsidRPr="00A31137" w:rsidRDefault="00A31137" w:rsidP="00A31137">
      <w:r w:rsidRPr="00A31137">
        <w:t>We also find significant evidence of the ordinances' improper targeting of Santeria sacrifice in the fact that they proscribe more religious conduct than is necessary to achieve their stated ends. It is not unreasonable to infer, at least when there are no persuasive indications to the contrary, that a law which visits "gratuitous restrictions" on religious conduct, McGowan v. Maryland, 366 U.S. at  520 (opinion of Frankfurter, J.), seeks not to effectuate the stated governmental interests, but to suppress the conduct because of its religious motivation.</w:t>
      </w:r>
    </w:p>
    <w:p w:rsidR="00A31137" w:rsidRPr="00A31137" w:rsidRDefault="00A31137" w:rsidP="00A31137">
      <w:r w:rsidRPr="00A31137">
        <w:t>1993, Church of Lukumi Babalu Aye v. City of Hialeah, 508 U.S. 538</w:t>
      </w:r>
    </w:p>
    <w:p w:rsidR="00A31137" w:rsidRPr="00A31137" w:rsidRDefault="00A31137" w:rsidP="00A31137">
      <w:r w:rsidRPr="00A31137">
        <w:t>The legitimate governmental interests in protecting the public health and preventing cruelty to animals could be addressed by restrictions stopping far short of a flat prohibition of all Santeria sacrificial practice.** If improper disposal, not the sacrifice itself, is the harm to be prevented, the city could have imposed a general regulation on the disposal of organic garbage. It did not do so. Indeed, counsel for the city conceded at oral argument that, under the ordinances, Santeria sacrifices would be illegal even if they occurred in licensed, inspected, and zoned slaughterhouses. Tr. of Oral Arg. 45. See also id. at 42, 48. Thus, these broad ordinances prohibit Santeria sacrifice even when it does not threaten the city's [508 U.S. 539] interest in the public health. The District Court accepted the argument that narrower regulation would be unenforceable because of the secrecy in the Santeria rituals and the lack of any central religious authority to require compliance with secular disposal regulations. See 723 F.Supp. at 1486-1487, and nn. 58-59. It is difficult to understand, however, how a prohibition of the sacrifices themselves, which occur in private, is enforceable if a ban on improper disposal, which occurs in public, is not. The neutrality of a law is suspect if First Amendment freedoms are curtailed to prevent isolated collateral harms not themselves prohibited by direct regulation. See, e.g., Schneider v. State, 308 U.S. 147,  162 (1939).</w:t>
      </w:r>
    </w:p>
    <w:p w:rsidR="00A31137" w:rsidRPr="00A31137" w:rsidRDefault="00A31137" w:rsidP="00A31137">
      <w:r w:rsidRPr="00A31137">
        <w:t>1993, Church of Lukumi Babalu Aye v. City of Hialeah, 508 U.S. 539</w:t>
      </w:r>
    </w:p>
    <w:p w:rsidR="00A31137" w:rsidRPr="00A31137" w:rsidRDefault="00A31137" w:rsidP="00A31137">
      <w:r w:rsidRPr="00A31137">
        <w:t>Under similar analysis, narrower regulation would achieve the city's interest in preventing cruelty to animals. With regard to the city's interest in ensuring the adequate care of animals, regulation of conditions and treatment, regardless of why an animal is kept, is the logical response to the city's concern, not a prohibition on possession for the purpose of sacrifice. The same is true for the city's interest in prohibiting cruel methods of killing. Under federal and Florida law and Ordinance 87-40, which incorporates Florida law in this regard, killing an animal by the "simultaneous and instantaneous severance of the carotid arteries with a sharp instrument"—the method used in Kosher slaughter—is approved as humane. See 7 U.S.C. § 1902(b); Fla.Stat. § 828.23(7)(b) (1991); Ordinance 87-40, § 1. The District Court found that, though Santeria sacrifice also results in severance of the carotid arteries, the method used during sacrifice is less reliable, and therefore not humane. See 723 F.Supp. at 1472-1473. If the city has a real concern that other methods are less humane, however, the subject of the regulation should be the method of slaughter itself, not a religious classification that is said to bear some general relation to it.</w:t>
      </w:r>
    </w:p>
    <w:p w:rsidR="00A31137" w:rsidRPr="00A31137" w:rsidRDefault="00A31137" w:rsidP="00A31137">
      <w:r w:rsidRPr="00A31137">
        <w:t>1993, Church of Lukumi Babalu Aye v. City of Hialeah, 508 U.S. 539</w:t>
      </w:r>
    </w:p>
    <w:p w:rsidR="00A31137" w:rsidRPr="00A31137" w:rsidRDefault="00A31137" w:rsidP="00A31137">
      <w:r w:rsidRPr="00A31137">
        <w:t>Ordinance 87-72—unlike the three other ordinances—does appear to apply to substantial nonreligious conduct, and [508 U.S. 540] not to be overbroad. For our purposes here, however, the four substantive ordinances may be treated as a group for neutrality purposes. Ordinance 87-72 was passed the same day as Ordinance 87-71, and was enacted, as were the three others, in direct response to the opening of the Church. It would be implausible to suggest that the three other ordinances, but not Ordinance 87-72, had as their object the suppression of religion. We need not decide whether the Ordinance 87-72 could survive constitutional scrutiny if it existed separately; it must be invalidated because it functions, with the rest of the enactments in question, to suppress Santeria religious worship.</w:t>
      </w:r>
    </w:p>
    <w:p w:rsidR="00A31137" w:rsidRPr="00A31137" w:rsidRDefault="00A31137" w:rsidP="00A31137">
      <w:r w:rsidRPr="00A31137">
        <w:t>2</w:t>
      </w:r>
    </w:p>
    <w:p w:rsidR="00A31137" w:rsidRPr="00A31137" w:rsidRDefault="00A31137" w:rsidP="00A31137">
      <w:r w:rsidRPr="00A31137">
        <w:t>1993, Church of Lukumi Babalu Aye v. City of Hialeah, 508 U.S. 540</w:t>
      </w:r>
    </w:p>
    <w:p w:rsidR="00A31137" w:rsidRPr="00A31137" w:rsidRDefault="00A31137" w:rsidP="00A31137">
      <w:r w:rsidRPr="00A31137">
        <w:t>In determining if the object of a law is a neutral one under the Free Exercise Clause, we can also find guidance in our equal protection cases. As Justice Harlan noted in the related context of the Establishment Clause, "[n]eutrality in its application requires an equal protection mode of analysis." Walz v. Tax Comm'n of New York City, 397 U.S. at  696 (concurring opinion). Here, as in equal protection cases, we may determine the city council's object from both direct and circumstantial evidence. Arlington Heights v. Metropolitan Housing Development Corp., 429 U.S. 252,  266 (1977). Relevant evidence includes, among other things, the historical background of the decision under challenge, the specific series of events leading to the enactment or official policy in question, as well as the legislative or administrative history, including contemporaneous statements made by members of the decisionmaking body. Id. at 267-268. These objective factors bear on the question of discriminatory object. Personnel Adm'r of Mass. v. Feeney, 442 U.S. 256,  279, n. 24 (1979).</w:t>
      </w:r>
    </w:p>
    <w:p w:rsidR="00A31137" w:rsidRPr="00A31137" w:rsidRDefault="00A31137" w:rsidP="00A31137">
      <w:r w:rsidRPr="00A31137">
        <w:t>1993, Church of Lukumi Babalu Aye v. City of Hialeah, 508 U.S. 540</w:t>
      </w:r>
    </w:p>
    <w:p w:rsidR="00A31137" w:rsidRPr="00A31137" w:rsidRDefault="00A31137" w:rsidP="00A31137">
      <w:r w:rsidRPr="00A31137">
        <w:t>That the ordinances were enacted "'because of,' not merely 'in spite of,'" their suppression of Santeria religious practice, id. at  279, is revealed by the events preceding enactment of the ordinances. Although respondent claimed at oral argument [508 U.S. 541] that it had experienced significant problems resulting from the sacrifice of animals within the city before the announced opening of the Church, Tr. of Oral Arg. 27, 46, the city council made no attempt to address the supposed problem before its meeting in June, 1987, just weeks after the Church announced plans to open. The minutes and taped excerpts of the June 9 session, both of which are in the record, evidence significant hostility exhibited by residents, members of the city council, and other city officials toward the Santeria religion and its practice of animal sacrifice. The public crowd that attended the June 9 meetings interrupted statements by council members critical of Santeria with cheers and the brief comments of Pichardo with taunts. When Councilman Martinez, a supporter of the ordinances, stated that, in prerevolution Cuba, "people were put in jail for practicing this religion," the audience applauded.</w:t>
      </w:r>
    </w:p>
    <w:p w:rsidR="00A31137" w:rsidRPr="00A31137" w:rsidRDefault="00A31137" w:rsidP="00A31137">
      <w:r w:rsidRPr="00A31137">
        <w:t>1993, Church of Lukumi Babalu Aye v. City of Hialeah, 508 U.S. 541</w:t>
      </w:r>
    </w:p>
    <w:p w:rsidR="00A31137" w:rsidRPr="00A31137" w:rsidRDefault="00A31137" w:rsidP="00A31137">
      <w:r w:rsidRPr="00A31137">
        <w:t>Other statements by members of the city council were in a similar vein. For example, Councilman Martinez, after noting his belief that Santeria was outlawed in Cuba, questioned, "if we could not practice this [religion] in our homeland [Cuba], why bring it to this country?" Councilman Cardoso said that Santeria devotees at the Church "are in violation of everything this country stands for." Councilman Mejides indicated that he was "totally against the sacrificing of animals," and distinguished Kosher slaughter because it had a "real purpose." The "Bible says we are allowed to sacrifice an animal for consumption," he continued, "but for any other purposes, I don't believe that the Bible allows that." The president of the city council, Councilman Echevarria, asked, "What can we do to prevent the Church from opening?"</w:t>
      </w:r>
    </w:p>
    <w:p w:rsidR="00A31137" w:rsidRPr="00A31137" w:rsidRDefault="00A31137" w:rsidP="00A31137">
      <w:r w:rsidRPr="00A31137">
        <w:t>1993, Church of Lukumi Babalu Aye v. City of Hialeah, 508 U.S. 541</w:t>
      </w:r>
    </w:p>
    <w:p w:rsidR="00A31137" w:rsidRPr="00A31137" w:rsidRDefault="00A31137" w:rsidP="00A31137">
      <w:r w:rsidRPr="00A31137">
        <w:t>Various Hialeah city officials made comparable comments. The chaplain of the Hialeah Police Department told the city council that Santeria was a sin, "foolishness," "an abomination to the Lord," and the worship of "demons." He advised [508 U.S. 542] the city council that "We need to be helping people and sharing with them the truth that is found in Jesus Christ." He concluded: "I would exhort you…not to permit this Church to exist." The city attorney commented that Resolution 87-66 indicated that "This community will not tolerate religious practices which are abhorrent to its citizens…. " Similar comments were made by the deputy city attorney. This history discloses the object of the ordinances to target animal sacrifice by Santeria worshippers because of its religious motivation.</w:t>
      </w:r>
    </w:p>
    <w:p w:rsidR="00A31137" w:rsidRPr="00A31137" w:rsidRDefault="00A31137" w:rsidP="00A31137">
      <w:r w:rsidRPr="00A31137">
        <w:t>3</w:t>
      </w:r>
    </w:p>
    <w:p w:rsidR="00A31137" w:rsidRPr="00A31137" w:rsidRDefault="00A31137" w:rsidP="00A31137">
      <w:r w:rsidRPr="00A31137">
        <w:t>1993, Church of Lukumi Babalu Aye v. City of Hialeah, 508 U.S. 542</w:t>
      </w:r>
    </w:p>
    <w:p w:rsidR="00A31137" w:rsidRPr="00A31137" w:rsidRDefault="00A31137" w:rsidP="00A31137">
      <w:r w:rsidRPr="00A31137">
        <w:t>In sum, the neutrality inquiry leads to one conclusion: the ordinances had as their object the suppression of religion. The pattern we have recited discloses animosity to Santeria adherents and their religious practices; the ordinances, by their own terms, target this religious exercise; the texts of the ordinances were gerrymandered with care to proscribe religious killings of animals but to exclude almost all secular killings; and the ordinances suppress much more religious conduct than is necessary in order to achieve the legitimate ends asserted in their defense. These ordinances are not neutral, and the court below committed clear error in failing to reach this conclusion.</w:t>
      </w:r>
    </w:p>
    <w:p w:rsidR="00A31137" w:rsidRPr="00A31137" w:rsidRDefault="00A31137" w:rsidP="00A31137">
      <w:r w:rsidRPr="00A31137">
        <w:t>B</w:t>
      </w:r>
    </w:p>
    <w:p w:rsidR="00A31137" w:rsidRPr="00A31137" w:rsidRDefault="00A31137" w:rsidP="00A31137">
      <w:r w:rsidRPr="00A31137">
        <w:t>1993, Church of Lukumi Babalu Aye v. City of Hialeah, 508 U.S. 542</w:t>
      </w:r>
    </w:p>
    <w:p w:rsidR="00A31137" w:rsidRPr="00A31137" w:rsidRDefault="00A31137" w:rsidP="00A31137">
      <w:r w:rsidRPr="00A31137">
        <w:t>We turn next to a second requirement of the Free Exercise Clause, the rule that laws burdening religious practice must be of general applicability. Employment Div., Dept. of Human Resources of Oregon v. Smith, 494 U.S. at 879-881. All laws are selective to some extent, but categories of selection are of paramount concern when a law has the incidental effect of burdening religious practice. The Free Exercise Clause "protect[s] religious observers against unequal treatment," Hobbie v. Unemployment Appeals Comm'n of Florida, 480 U.S. 136,  148 (1987) (STEVENS, J., concurring in judgment), and inequality results when a legislature decides that [508 U.S. 543] the governmental interests it seeks to advance are worthy of being pursued only against conduct with a religious motivation.</w:t>
      </w:r>
    </w:p>
    <w:p w:rsidR="00A31137" w:rsidRPr="00A31137" w:rsidRDefault="00A31137" w:rsidP="00A31137">
      <w:r w:rsidRPr="00A31137">
        <w:t>1993, Church of Lukumi Babalu Aye v. City of Hialeah, 508 U.S. 543</w:t>
      </w:r>
    </w:p>
    <w:p w:rsidR="00A31137" w:rsidRPr="00A31137" w:rsidRDefault="00A31137" w:rsidP="00A31137">
      <w:r w:rsidRPr="00A31137">
        <w:t>The principle that government, in pursuit of legitimate interests, cannot in a selective manner impose burdens only on conduct motivated by religious belief is essential to the protection of the rights guaranteed by the Free Exercise Clause. The principle underlying the general applicability requirement has parallels in our First Amendment jurisprudence. See, e.g., Cohen v. Cowles Media Co., 501 U.S. 663, 669-670 (1991); University of Pennsylvania v. EEOC, 493 U.S. 182, 201 (1990); Minneapolis Star &amp; Tribune Co. v. Minnesota Comm'r of Revenue, 460 U.S. 575,  585 (1983); Larson v. Valente, 456 U.S. at 245-246; Presbyterian Church in United States v. Mary Elizabeth Blue Hull Memorial Presbyterian Church, 393 U.S. 440, 449 (1969). In this case, we need not define with precision the standard used to evaluate whether a prohibition is of general application, for these ordinances fall well below the minimum standard necessary to protect First Amendment rights.</w:t>
      </w:r>
    </w:p>
    <w:p w:rsidR="00A31137" w:rsidRPr="00A31137" w:rsidRDefault="00A31137" w:rsidP="00A31137">
      <w:r w:rsidRPr="00A31137">
        <w:t>1993, Church of Lukumi Babalu Aye v. City of Hialeah, 508 U.S. 543</w:t>
      </w:r>
    </w:p>
    <w:p w:rsidR="00A31137" w:rsidRPr="00A31137" w:rsidRDefault="00A31137" w:rsidP="00A31137">
      <w:r w:rsidRPr="00A31137">
        <w:t>Respondent claims that Ordinances 87-40, 87-52, and 87-71 advance two interests: protecting the public health and preventing cruelty to animals. The ordinances are underinclusive for those ends. They fail to prohibit nonreligious conduct that endangers these interests in a similar or greater degree than Santeria sacrifice does. The underinclusion is substantial, not inconsequential. Despite the city's proffered interest in preventing cruelty to animals, the ordinances are drafted with care to forbid few killings but those occasioned by religious sacrifice. Many types of animal deaths or kills for nonreligious reasons are either not prohibited or approved by express provision. For example, fishing—which occurs in Hialeah, see A. Khedouri &amp; F. Khedouri, South Florida Inside Out 57 (1991)—is legal. Extermination of mice and rats within a home is also permitted. Florida law incorporated by Ordinance 87-40 sanctions [508 U.S. 544] euthanasia of "stray, neglected, abandoned, or unwanted animals," Fla.Stat. § 828.058 (1987); destruction of animals judicially removed from their owners "for humanitarian reasons" or when the animal "is of no commercial value," § 828.073(4)(c)(2); the infliction of pain or suffering "in the interest of medical science," § 828.02; the placing of poison in one's yard or enclosure, § 828.08; and the use of a live animal "to pursue or take wildlife or to participate in any hunting," § 828.122(6)(b), and "to hunt wild hogs," § 828.122(6)(e).</w:t>
      </w:r>
    </w:p>
    <w:p w:rsidR="00A31137" w:rsidRPr="00A31137" w:rsidRDefault="00A31137" w:rsidP="00A31137">
      <w:r w:rsidRPr="00A31137">
        <w:t>1993, Church of Lukumi Babalu Aye v. City of Hialeah, 508 U.S. 544</w:t>
      </w:r>
    </w:p>
    <w:p w:rsidR="00A31137" w:rsidRPr="00A31137" w:rsidRDefault="00A31137" w:rsidP="00A31137">
      <w:r w:rsidRPr="00A31137">
        <w:t>The city concedes that "neither the State of Florida nor the City has enacted a generally applicable ban on the killing of animals." Brief for Respondent 21. It asserts, however, that animal sacrifice is "different" from the animal killings that are permitted by law. Ibid. According to the city, it is "self-evident" that killing animals for food is "important"; the eradication of insects and pests is "obviously justified"; and the euthanasia of excess animals "makes sense." Id. at 22. These ipse dixits do not explain why religion alone must bear the burden of the ordinances, when many of these secular killings fall within the city's interest in preventing the cruel treatment of animals.</w:t>
      </w:r>
    </w:p>
    <w:p w:rsidR="00A31137" w:rsidRPr="00A31137" w:rsidRDefault="00A31137" w:rsidP="00A31137">
      <w:r w:rsidRPr="00A31137">
        <w:t>1993, Church of Lukumi Babalu Aye v. City of Hialeah, 508 U.S. 544</w:t>
      </w:r>
    </w:p>
    <w:p w:rsidR="00A31137" w:rsidRPr="00A31137" w:rsidRDefault="00A31137" w:rsidP="00A31137">
      <w:r w:rsidRPr="00A31137">
        <w:t>The ordinances are also underinclusive with regard to the city's interest in public health, which is threatened by the disposal of animal carcasses in open public places and the consumption of uninspected meat, see Brief for Respondent 32, citing 723 F.Supp. at 1474-1475, 1485. Neither interest is pursued by respondent with regard to conduct that is not motivated by religious conviction. The health risks posed by the improper disposal of animal carcasses are the same whether Santeria sacrifice or some nonreligious killing preceded it. The city does not, however, prohibit hunters from bringing their kill to their houses, nor does it regulate disposal after their activity. Despite substantial testimony at trial that the same public health hazards result from improper disposal of garbage by restaurants, see 11 Record 566, [508 U.S. 545] 590-591, restaurants are outside the scope of the ordinances. Improper disposal is a general problem that causes substantial health risks, 723 F.Supp. at 1485, but which respondent addresses only when it results from religious exercise.</w:t>
      </w:r>
    </w:p>
    <w:p w:rsidR="00A31137" w:rsidRPr="00A31137" w:rsidRDefault="00A31137" w:rsidP="00A31137">
      <w:r w:rsidRPr="00A31137">
        <w:t>1993, Church of Lukumi Babalu Aye v. City of Hialeah, 508 U.S. 545</w:t>
      </w:r>
    </w:p>
    <w:p w:rsidR="00A31137" w:rsidRPr="00A31137" w:rsidRDefault="00A31137" w:rsidP="00A31137">
      <w:r w:rsidRPr="00A31137">
        <w:t>The ordinances are underinclusive as well with regard to the health risk posed by consumption of uninspected meat. Under the city's ordinances, hunters may eat their kill and fisherman may eat their catch without undergoing governmental inspection. Likewise, state law requires inspection of meat that is sold, but exempts meat from animals raised for the use of the owner and "members of his household and nonpaying guests and employees." Fla.Stat. § 585.88(1)(a) (1991). The asserted interest in inspected meat is not pursued in contexts similar to that of religious animal sacrifice.</w:t>
      </w:r>
    </w:p>
    <w:p w:rsidR="00A31137" w:rsidRPr="00A31137" w:rsidRDefault="00A31137" w:rsidP="00A31137">
      <w:r w:rsidRPr="00A31137">
        <w:t>1993, Church of Lukumi Babalu Aye v. City of Hialeah, 508 U.S. 545</w:t>
      </w:r>
    </w:p>
    <w:p w:rsidR="00A31137" w:rsidRPr="00A31137" w:rsidRDefault="00A31137" w:rsidP="00A31137">
      <w:r w:rsidRPr="00A31137">
        <w:t>Ordinance 87-72, which prohibits the slaughter of animals outside of areas zoned for slaughterhouses, is underinclusive on its face. The ordinance includes an exemption for "any person, group, or organization" that "slaughters or processes for sale, small numbers of hogs and/or cattle per week in accordance with an exemption provided by state law." See Fla.Stat. § 828.24(3) (1991). Respondent has not explained why commercial operations that slaughter "small numbers" of hogs and cattle do not implicate its professed desire to prevent cruelty to animals and preserve the public health. Although the city has classified Santeria sacrifice as slaughter, subjecting it to this ordinance, it does not regulate other killings for food in like manner.</w:t>
      </w:r>
    </w:p>
    <w:p w:rsidR="00A31137" w:rsidRPr="00A31137" w:rsidRDefault="00A31137" w:rsidP="00A31137">
      <w:r w:rsidRPr="00A31137">
        <w:t>1993, Church of Lukumi Babalu Aye v. City of Hialeah, 508 U.S. 545</w:t>
      </w:r>
    </w:p>
    <w:p w:rsidR="00A31137" w:rsidRPr="00A31137" w:rsidRDefault="00A31137" w:rsidP="00A31137">
      <w:r w:rsidRPr="00A31137">
        <w:t>We conclude, in sum, that each of Hialeah's ordinances pursues the city's governmental interests only against conduct motivated by religious belief. The ordinances "ha[ve] every appearance of a prohibition that society is prepared to impose upon [Santeria worshippers], but not upon itself." The Florida Star v. B.J.F., 491 U.S. 524,  542 (1989) (SCALIA, J., concurring in part and concurring in judgment). This [508 U.S. 546] precise evil is what the requirement of general applicability is designed to prevent.</w:t>
      </w:r>
    </w:p>
    <w:p w:rsidR="00A31137" w:rsidRPr="00A31137" w:rsidRDefault="00A31137" w:rsidP="00A31137">
      <w:r w:rsidRPr="00A31137">
        <w:t>III</w:t>
      </w:r>
    </w:p>
    <w:p w:rsidR="00A31137" w:rsidRPr="00A31137" w:rsidRDefault="00A31137" w:rsidP="00A31137">
      <w:r w:rsidRPr="00A31137">
        <w:t>1993, Church of Lukumi Babalu Aye v. City of Hialeah, 508 U.S. 546</w:t>
      </w:r>
    </w:p>
    <w:p w:rsidR="00A31137" w:rsidRPr="00A31137" w:rsidRDefault="00A31137" w:rsidP="00A31137">
      <w:r w:rsidRPr="00A31137">
        <w:t>A law burdening religious practice that is not neutral or not of general application must undergo the most rigorous of scrutiny. To satisfy the commands of the First Amendment, a law restrictive of religious practice must advance "'interests of the highest order,'" and must be narrowly tailored in pursuit of those interests. McDaniel v. Paty, 435 U.S. at  628, quoting Wisconsin v. Yoder, 406 U.S. 205,  215 (1972). The compelling interest standard that we apply once a law fails to meet the Smith requirements is not "water[ed]…down" but "really means what it says." Employment Div., Dept. of Human Resources of Oregon v. Smith, 494 U.S. at  888. A law that targets religious conduct for distinctive treatment or advances legitimate governmental interests only against conduct with a religious motivation will survive strict scrutiny only in rare cases. It follows from what we have already said that these ordinances cannot withstand this scrutiny.</w:t>
      </w:r>
    </w:p>
    <w:p w:rsidR="00A31137" w:rsidRPr="00A31137" w:rsidRDefault="00A31137" w:rsidP="00A31137">
      <w:r w:rsidRPr="00A31137">
        <w:t>1993, Church of Lukumi Babalu Aye v. City of Hialeah, 508 U.S. 546</w:t>
      </w:r>
    </w:p>
    <w:p w:rsidR="00A31137" w:rsidRPr="00A31137" w:rsidRDefault="00A31137" w:rsidP="00A31137">
      <w:r w:rsidRPr="00A31137">
        <w:t>First, even were the governmental interests compelling, the ordinances are not drawn in narrow terms to accomplish those interests. As we have discussed, see supra at 538-540, 543-546, all four ordinances are overbroad or underinclusive in substantial respects. The proffered objectives are not pursued with respect to analogous nonreligious conduct, and those interests could be achieved by narrower ordinances that burdened religion to a far lesser degree. The absence of narrow tailoring suffices to establish the invalidity of the ordinances. See Arkansas Writers' Project, Inc. v. Ragland, 481 U.S. 221, 232 (1987).</w:t>
      </w:r>
    </w:p>
    <w:p w:rsidR="00A31137" w:rsidRPr="00A31137" w:rsidRDefault="00A31137" w:rsidP="00A31137">
      <w:r w:rsidRPr="00A31137">
        <w:t>1993, Church of Lukumi Babalu Aye v. City of Hialeah, 508 U.S. 546</w:t>
      </w:r>
    </w:p>
    <w:p w:rsidR="00A31137" w:rsidRPr="00A31137" w:rsidRDefault="00A31137" w:rsidP="00A31137">
      <w:r w:rsidRPr="00A31137">
        <w:t>Respondent has not demonstrated, moreover, that, in the context of these ordinances, its governmental interests are compelling. Where government restricts only conduct protected by the First Amendment and fails to enact feasible [508 U.S. 547] measures to restrict other conduct producing substantial harm or alleged harm of the same sort, the interest given in justification of the restriction is not compelling. It is established in our strict scrutiny jurisprudence that</w:t>
      </w:r>
    </w:p>
    <w:p w:rsidR="00A31137" w:rsidRPr="00A31137" w:rsidRDefault="00A31137" w:rsidP="00A31137">
      <w:r w:rsidRPr="00A31137">
        <w:t>1993, Church of Lukumi Babalu Aye v. City of Hialeah, 508 U.S. 547</w:t>
      </w:r>
    </w:p>
    <w:p w:rsidR="00A31137" w:rsidRPr="00A31137" w:rsidRDefault="00A31137" w:rsidP="00A31137">
      <w:r w:rsidRPr="00A31137">
        <w:t>a law cannot be regarded as protecting an interest "of the highest order"…when it leaves appreciable damage to that supposedly vital interest unprohibited.</w:t>
      </w:r>
    </w:p>
    <w:p w:rsidR="00A31137" w:rsidRPr="00A31137" w:rsidRDefault="00A31137" w:rsidP="00A31137">
      <w:r w:rsidRPr="00A31137">
        <w:t>1993, Church of Lukumi Babalu Aye v. City of Hialeah, 508 U.S. 547</w:t>
      </w:r>
    </w:p>
    <w:p w:rsidR="00A31137" w:rsidRPr="00A31137" w:rsidRDefault="00A31137" w:rsidP="00A31137">
      <w:r w:rsidRPr="00A31137">
        <w:t>The Florida Star v. B.J.F., supra, 491 U.S. at 541-542 (SCALIA, J., concurring in part and concurring in judgment) (citation omitted). See Simon &amp; Schuster, Inc. v. Members of New York State Crime Victims Bd., 502 U.S. 105, 119-120 (1991). Cf. The Florida Star v. B.J.F., supra, at 540-541; Smith v. Daily Mail Publishing Co., 443 U.S. 97, 104-105 (1979); id. at 110 (REHNQUIST, J., concurring in judgment). As we show above, see supra at 543-546, the ordinances are underinclusive to a substantial extent with respect to each of the interests that respondent has asserted, and it is only conduct motivated by religious conviction that bears the weight of the governmental restrictions. There can be no serious claim that those interests justify the ordinances.</w:t>
      </w:r>
    </w:p>
    <w:p w:rsidR="00A31137" w:rsidRPr="00A31137" w:rsidRDefault="00A31137" w:rsidP="00A31137">
      <w:r w:rsidRPr="00A31137">
        <w:t>IV</w:t>
      </w:r>
    </w:p>
    <w:p w:rsidR="00A31137" w:rsidRPr="00A31137" w:rsidRDefault="00A31137" w:rsidP="00A31137">
      <w:r w:rsidRPr="00A31137">
        <w:t>1993, Church of Lukumi Babalu Aye v. City of Hialeah, 508 U.S. 547</w:t>
      </w:r>
    </w:p>
    <w:p w:rsidR="00A31137" w:rsidRPr="00A31137" w:rsidRDefault="00A31137" w:rsidP="00A31137">
      <w:r w:rsidRPr="00A31137">
        <w:t>The Free Exercise Clause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Those in office must be resolute in resisting importunate demands and must ensure that the sole reasons for imposing the burdens of law and regulation are secular. Legislators may not devise mechanisms, overt or disguised, designed to persecute or oppress a religion or its practices. The laws here in question were enacted contrary to these constitutional principles, and they are void.</w:t>
      </w:r>
    </w:p>
    <w:p w:rsidR="00A31137" w:rsidRPr="00A31137" w:rsidRDefault="00A31137" w:rsidP="00A31137">
      <w:r w:rsidRPr="00A31137">
        <w:t>1993, Church of Lukumi Babalu Aye v. City of Hialeah, 508 U.S. 547</w:t>
      </w:r>
    </w:p>
    <w:p w:rsidR="00A31137" w:rsidRPr="00A31137" w:rsidRDefault="00A31137" w:rsidP="00A31137">
      <w:r w:rsidRPr="00A31137">
        <w:t xml:space="preserve">Reversed. [508 U.S. 548] </w:t>
      </w:r>
    </w:p>
    <w:p w:rsidR="00A31137" w:rsidRPr="00A31137" w:rsidRDefault="00A31137" w:rsidP="00A31137">
      <w:r w:rsidRPr="00A31137">
        <w:t>APPENDIX TO OPINION OF THE COURT</w:t>
      </w:r>
    </w:p>
    <w:p w:rsidR="00A31137" w:rsidRPr="00A31137" w:rsidRDefault="00A31137" w:rsidP="00A31137">
      <w:r w:rsidRPr="00A31137">
        <w:t>1993, Church of Lukumi Babalu Aye v. City of Hialeah, 508 U.S. 548</w:t>
      </w:r>
    </w:p>
    <w:p w:rsidR="00A31137" w:rsidRPr="00A31137" w:rsidRDefault="00A31137" w:rsidP="00A31137">
      <w:r w:rsidRPr="00A31137">
        <w:t>City of Hialeah, Florida, Resolution No. 87-66, adopted June 9, 1987, provides:</w:t>
      </w:r>
    </w:p>
    <w:p w:rsidR="00A31137" w:rsidRPr="00A31137" w:rsidRDefault="00A31137" w:rsidP="00A31137">
      <w:r w:rsidRPr="00A31137">
        <w:t>1993, Church of Lukumi Babalu Aye v. City of Hialeah, 508 U.S. 548</w:t>
      </w:r>
    </w:p>
    <w:p w:rsidR="00A31137" w:rsidRPr="00A31137" w:rsidRDefault="00A31137" w:rsidP="00A31137">
      <w:r w:rsidRPr="00A31137">
        <w:t>WHEREAS, residents and citizens of the City of Hialeah have expressed their concern that certain religions may propose to engage in practices which are inconsistent with public morals, peace or safety, and</w:t>
      </w:r>
    </w:p>
    <w:p w:rsidR="00A31137" w:rsidRPr="00A31137" w:rsidRDefault="00A31137" w:rsidP="00A31137">
      <w:r w:rsidRPr="00A31137">
        <w:t>1993, Church of Lukumi Babalu Aye v. City of Hialeah, 508 U.S. 548</w:t>
      </w:r>
    </w:p>
    <w:p w:rsidR="00A31137" w:rsidRPr="00A31137" w:rsidRDefault="00A31137" w:rsidP="00A31137">
      <w:r w:rsidRPr="00A31137">
        <w:t>WHEREAS, the Florida Constitution, Article I, Declaration of Rights, Section 3, Religious Freedom, specifically states that religious freedom shall not justify practices inconsistent with public morals, peace or safety.</w:t>
      </w:r>
    </w:p>
    <w:p w:rsidR="00A31137" w:rsidRPr="00A31137" w:rsidRDefault="00A31137" w:rsidP="00A31137">
      <w:r w:rsidRPr="00A31137">
        <w:t>1993, Church of Lukumi Babalu Aye v. City of Hialeah, 508 U.S. 548</w:t>
      </w:r>
    </w:p>
    <w:p w:rsidR="00A31137" w:rsidRPr="00A31137" w:rsidRDefault="00A31137" w:rsidP="00A31137">
      <w:r w:rsidRPr="00A31137">
        <w:t>NOW, THEREFORE, BE IT RESOLVED BY THE MAYOR AND CITY COUNCIL OF THE CITY OF HIALEAH, FLORIDA, that:</w:t>
      </w:r>
    </w:p>
    <w:p w:rsidR="00A31137" w:rsidRPr="00A31137" w:rsidRDefault="00A31137" w:rsidP="00A31137">
      <w:r w:rsidRPr="00A31137">
        <w:t>1993, Church of Lukumi Babalu Aye v. City of Hialeah, 508 U.S. 548</w:t>
      </w:r>
    </w:p>
    <w:p w:rsidR="00A31137" w:rsidRPr="00A31137" w:rsidRDefault="00A31137" w:rsidP="00A31137">
      <w:r w:rsidRPr="00A31137">
        <w:t>1. The City reiterates its commitment to a prohibition against any and all acts of any and all religious groups which are inconsistent with public morals, peace or safety.</w:t>
      </w:r>
    </w:p>
    <w:p w:rsidR="00A31137" w:rsidRPr="00A31137" w:rsidRDefault="00A31137" w:rsidP="00A31137">
      <w:r w:rsidRPr="00A31137">
        <w:t>1993, Church of Lukumi Babalu Aye v. City of Hialeah, 508 U.S. 548</w:t>
      </w:r>
    </w:p>
    <w:p w:rsidR="00A31137" w:rsidRPr="00A31137" w:rsidRDefault="00A31137" w:rsidP="00A31137">
      <w:r w:rsidRPr="00A31137">
        <w:t>City of Hialeah, Florida, Ordinance No. 87-40, adopted June 9, 1987, provides:</w:t>
      </w:r>
    </w:p>
    <w:p w:rsidR="00A31137" w:rsidRPr="00A31137" w:rsidRDefault="00A31137" w:rsidP="00A31137">
      <w:r w:rsidRPr="00A31137">
        <w:t>1993, Church of Lukumi Babalu Aye v. City of Hialeah, 508 U.S. 548</w:t>
      </w:r>
    </w:p>
    <w:p w:rsidR="00A31137" w:rsidRPr="00A31137" w:rsidRDefault="00A31137" w:rsidP="00A31137">
      <w:r w:rsidRPr="00A31137">
        <w:t>WHEREAS, the citizens of the City of Hialeah, Florida, have expressed great concern over the potential for animal sacrifices being conducted in the City of Hialeah; and</w:t>
      </w:r>
    </w:p>
    <w:p w:rsidR="00A31137" w:rsidRPr="00A31137" w:rsidRDefault="00A31137" w:rsidP="00A31137">
      <w:r w:rsidRPr="00A31137">
        <w:t>1993, Church of Lukumi Babalu Aye v. City of Hialeah, 508 U.S. 548</w:t>
      </w:r>
    </w:p>
    <w:p w:rsidR="00A31137" w:rsidRPr="00A31137" w:rsidRDefault="00A31137" w:rsidP="00A31137">
      <w:r w:rsidRPr="00A31137">
        <w:t>WHEREAS, Section 828.27, Florida Statutes, provides that "nothing contained in this section shall prevent any county or municipality from enacting any ordinance relating to animal control or cruelty to animals which is identical to the provisions of this Chapter…except as to penalty."</w:t>
      </w:r>
    </w:p>
    <w:p w:rsidR="00A31137" w:rsidRPr="00A31137" w:rsidRDefault="00A31137" w:rsidP="00A31137">
      <w:r w:rsidRPr="00A31137">
        <w:t>1993, Church of Lukumi Babalu Aye v. City of Hialeah, 508 U.S. 548</w:t>
      </w:r>
    </w:p>
    <w:p w:rsidR="00A31137" w:rsidRPr="00A31137" w:rsidRDefault="00A31137" w:rsidP="00A31137">
      <w:r w:rsidRPr="00A31137">
        <w:t xml:space="preserve">NOW, THEREFORE, BE IT ORDAINED BY THE MAYOR AND CITY COUNCIL OF THE CITY OF HIALEAH, FLORIDA, that: [508 U.S. 549] </w:t>
      </w:r>
    </w:p>
    <w:p w:rsidR="00A31137" w:rsidRPr="00A31137" w:rsidRDefault="00A31137" w:rsidP="00A31137">
      <w:r w:rsidRPr="00A31137">
        <w:t>1993, Church of Lukumi Babalu Aye v. City of Hialeah, 508 U.S. 549</w:t>
      </w:r>
    </w:p>
    <w:p w:rsidR="00A31137" w:rsidRPr="00A31137" w:rsidRDefault="00A31137" w:rsidP="00A31137">
      <w:r w:rsidRPr="00A31137">
        <w:t>Section 1. The Mayor and City Council of the City of Hialeah, Florida, hereby adopt Florida Statute, Chapter 828—"Cruelty to Animals" (copy attached hereto and made a part hereof), in its entirety (relating to animal control or cruelty to animals), except as to penalty.</w:t>
      </w:r>
    </w:p>
    <w:p w:rsidR="00A31137" w:rsidRPr="00A31137" w:rsidRDefault="00A31137" w:rsidP="00A31137">
      <w:r w:rsidRPr="00A31137">
        <w:t>1993, Church of Lukumi Babalu Aye v. City of Hialeah, 508 U.S. 549</w:t>
      </w:r>
    </w:p>
    <w:p w:rsidR="00A31137" w:rsidRPr="00A31137" w:rsidRDefault="00A31137" w:rsidP="00A31137">
      <w:r w:rsidRPr="00A31137">
        <w:t>Section 2. Repeal of Ordinances in Conflict.</w:t>
      </w:r>
    </w:p>
    <w:p w:rsidR="00A31137" w:rsidRPr="00A31137" w:rsidRDefault="00A31137" w:rsidP="00A31137">
      <w:r w:rsidRPr="00A31137">
        <w:t>1993, Church of Lukumi Babalu Aye v. City of Hialeah, 508 U.S. 549</w:t>
      </w:r>
    </w:p>
    <w:p w:rsidR="00A31137" w:rsidRPr="00A31137" w:rsidRDefault="00A31137" w:rsidP="00A31137">
      <w:r w:rsidRPr="00A31137">
        <w:t>All ordinances or parts of ordinances in conflict herewith are hereby repealed to the extent of such conflict.</w:t>
      </w:r>
    </w:p>
    <w:p w:rsidR="00A31137" w:rsidRPr="00A31137" w:rsidRDefault="00A31137" w:rsidP="00A31137">
      <w:r w:rsidRPr="00A31137">
        <w:t>1993, Church of Lukumi Babalu Aye v. City of Hialeah, 508 U.S. 549</w:t>
      </w:r>
    </w:p>
    <w:p w:rsidR="00A31137" w:rsidRPr="00A31137" w:rsidRDefault="00A31137" w:rsidP="00A31137">
      <w:r w:rsidRPr="00A31137">
        <w:t>Section 3. Penalties.</w:t>
      </w:r>
    </w:p>
    <w:p w:rsidR="00A31137" w:rsidRPr="00A31137" w:rsidRDefault="00A31137" w:rsidP="00A31137">
      <w:r w:rsidRPr="00A31137">
        <w:t>1993, Church of Lukumi Babalu Aye v. City of Hialeah, 508 U.S. 549</w:t>
      </w:r>
    </w:p>
    <w:p w:rsidR="00A31137" w:rsidRPr="00A31137" w:rsidRDefault="00A31137" w:rsidP="00A31137">
      <w:r w:rsidRPr="00A31137">
        <w:t>Any person, firm or corporation convicted of violating the provisions of this ordinance shall be punished by a fine, not exceeding $500.00, or by a jail sentence, not exceeding sixty (60) days, or both, in the discretion of the Court.</w:t>
      </w:r>
    </w:p>
    <w:p w:rsidR="00A31137" w:rsidRPr="00A31137" w:rsidRDefault="00A31137" w:rsidP="00A31137">
      <w:r w:rsidRPr="00A31137">
        <w:t>1993, Church of Lukumi Babalu Aye v. City of Hialeah, 508 U.S. 549</w:t>
      </w:r>
    </w:p>
    <w:p w:rsidR="00A31137" w:rsidRPr="00A31137" w:rsidRDefault="00A31137" w:rsidP="00A31137">
      <w:r w:rsidRPr="00A31137">
        <w:t>Section 4. Inclusion in Code.</w:t>
      </w:r>
    </w:p>
    <w:p w:rsidR="00A31137" w:rsidRPr="00A31137" w:rsidRDefault="00A31137" w:rsidP="00A31137">
      <w:r w:rsidRPr="00A31137">
        <w:t>1993, Church of Lukumi Babalu Aye v. City of Hialeah, 508 U.S. 549</w:t>
      </w:r>
    </w:p>
    <w:p w:rsidR="00A31137" w:rsidRPr="00A31137" w:rsidRDefault="00A31137" w:rsidP="00A31137">
      <w:r w:rsidRPr="00A31137">
        <w:t>The provisions of this Ordinance shall be included and incorporated in the Code of the City of Hialeah, as an addition or amendment thereto, and the sections of this Ordinance shall be renumbered to conform to the uniform numbering system of the Code.</w:t>
      </w:r>
    </w:p>
    <w:p w:rsidR="00A31137" w:rsidRPr="00A31137" w:rsidRDefault="00A31137" w:rsidP="00A31137">
      <w:r w:rsidRPr="00A31137">
        <w:t>1993, Church of Lukumi Babalu Aye v. City of Hialeah, 508 U.S. 549</w:t>
      </w:r>
    </w:p>
    <w:p w:rsidR="00A31137" w:rsidRPr="00A31137" w:rsidRDefault="00A31137" w:rsidP="00A31137">
      <w:r w:rsidRPr="00A31137">
        <w:t>Section 5. Severability Clause.</w:t>
      </w:r>
    </w:p>
    <w:p w:rsidR="00A31137" w:rsidRPr="00A31137" w:rsidRDefault="00A31137" w:rsidP="00A31137">
      <w:r w:rsidRPr="00A31137">
        <w:t>1993, Church of Lukumi Babalu Aye v. City of Hialeah, 508 U.S. 549</w:t>
      </w:r>
    </w:p>
    <w:p w:rsidR="00A31137" w:rsidRPr="00A31137" w:rsidRDefault="00A31137" w:rsidP="00A31137">
      <w:r w:rsidRPr="00A31137">
        <w:t>If any phrase, clause, sentence, paragraph or section of this Ordinance shall be declared invalid or unconstitutional by the judge or decree of a court of competent jurisdiction, such invalidity or unconstitutionality shall not affect any of the remaining phrases, clauses, sentences, paragraphs or sections of this ordinance.</w:t>
      </w:r>
    </w:p>
    <w:p w:rsidR="00A31137" w:rsidRPr="00A31137" w:rsidRDefault="00A31137" w:rsidP="00A31137">
      <w:r w:rsidRPr="00A31137">
        <w:t>1993, Church of Lukumi Babalu Aye v. City of Hialeah, 508 U.S. 549</w:t>
      </w:r>
    </w:p>
    <w:p w:rsidR="00A31137" w:rsidRPr="00A31137" w:rsidRDefault="00A31137" w:rsidP="00A31137">
      <w:r w:rsidRPr="00A31137">
        <w:t>Section 6. Effective Date.</w:t>
      </w:r>
    </w:p>
    <w:p w:rsidR="00A31137" w:rsidRPr="00A31137" w:rsidRDefault="00A31137" w:rsidP="00A31137">
      <w:r w:rsidRPr="00A31137">
        <w:t>1993, Church of Lukumi Babalu Aye v. City of Hialeah, 508 U.S. 549</w:t>
      </w:r>
    </w:p>
    <w:p w:rsidR="00A31137" w:rsidRPr="00A31137" w:rsidRDefault="00A31137" w:rsidP="00A31137">
      <w:r w:rsidRPr="00A31137">
        <w:t>This Ordinance shall become effective when passed by the City Council of the City of Hialeah and signed by the Mayor of the City of Hialeah.</w:t>
      </w:r>
    </w:p>
    <w:p w:rsidR="00A31137" w:rsidRPr="00A31137" w:rsidRDefault="00A31137" w:rsidP="00A31137">
      <w:r w:rsidRPr="00A31137">
        <w:t>1993, Church of Lukumi Babalu Aye v. City of Hialeah, 508 U.S. 549</w:t>
      </w:r>
    </w:p>
    <w:p w:rsidR="00A31137" w:rsidRPr="00A31137" w:rsidRDefault="00A31137" w:rsidP="00A31137">
      <w:r w:rsidRPr="00A31137">
        <w:t>City of Hialeah Resolution 87-90, adopted August 11, 1987, provides:</w:t>
      </w:r>
    </w:p>
    <w:p w:rsidR="00A31137" w:rsidRPr="00A31137" w:rsidRDefault="00A31137" w:rsidP="00A31137">
      <w:r w:rsidRPr="00A31137">
        <w:t>1993, Church of Lukumi Babalu Aye v. City of Hialeah, 508 U.S. 549</w:t>
      </w:r>
    </w:p>
    <w:p w:rsidR="00A31137" w:rsidRPr="00A31137" w:rsidRDefault="00A31137" w:rsidP="00A31137">
      <w:r w:rsidRPr="00A31137">
        <w:t>WHEREAS, the residents and citizens of the City of Hialeah, Florida, have expressed great concern regarding [508 U.S. 550] the possibility of public ritualistic animal sacrifices in the City of Hialeah, Florida; and</w:t>
      </w:r>
    </w:p>
    <w:p w:rsidR="00A31137" w:rsidRPr="00A31137" w:rsidRDefault="00A31137" w:rsidP="00A31137">
      <w:r w:rsidRPr="00A31137">
        <w:t>1993, Church of Lukumi Babalu Aye v. City of Hialeah, 508 U.S. 550</w:t>
      </w:r>
    </w:p>
    <w:p w:rsidR="00A31137" w:rsidRPr="00A31137" w:rsidRDefault="00A31137" w:rsidP="00A31137">
      <w:r w:rsidRPr="00A31137">
        <w:t>WHEREAS, the City of Hialeah, Florida, has received an opinion from the Attorney General of the State of Florida concluding that public ritualistic animal sacrifices is [sic] a violation of the Florida State Statute on Cruelty to Animals; and</w:t>
      </w:r>
    </w:p>
    <w:p w:rsidR="00A31137" w:rsidRPr="00A31137" w:rsidRDefault="00A31137" w:rsidP="00A31137">
      <w:r w:rsidRPr="00A31137">
        <w:t>1993, Church of Lukumi Babalu Aye v. City of Hialeah, 508 U.S. 550</w:t>
      </w:r>
    </w:p>
    <w:p w:rsidR="00A31137" w:rsidRPr="00A31137" w:rsidRDefault="00A31137" w:rsidP="00A31137">
      <w:r w:rsidRPr="00A31137">
        <w:t>WHEREAS, the Attorney General further held that the sacrificial killing of animals other than for the primary purpose of food consumption is prohibited under state law; and</w:t>
      </w:r>
    </w:p>
    <w:p w:rsidR="00A31137" w:rsidRPr="00A31137" w:rsidRDefault="00A31137" w:rsidP="00A31137">
      <w:r w:rsidRPr="00A31137">
        <w:t>1993, Church of Lukumi Babalu Aye v. City of Hialeah, 508 U.S. 550</w:t>
      </w:r>
    </w:p>
    <w:p w:rsidR="00A31137" w:rsidRPr="00A31137" w:rsidRDefault="00A31137" w:rsidP="00A31137">
      <w:r w:rsidRPr="00A31137">
        <w:t>WHEREAS, the City of Hialeah, Florida, has enacted an ordinance mirroring state law prohibiting cruelty to animals.</w:t>
      </w:r>
    </w:p>
    <w:p w:rsidR="00A31137" w:rsidRPr="00A31137" w:rsidRDefault="00A31137" w:rsidP="00A31137">
      <w:r w:rsidRPr="00A31137">
        <w:t>1993, Church of Lukumi Babalu Aye v. City of Hialeah, 508 U.S. 550</w:t>
      </w:r>
    </w:p>
    <w:p w:rsidR="00A31137" w:rsidRPr="00A31137" w:rsidRDefault="00A31137" w:rsidP="00A31137">
      <w:r w:rsidRPr="00A31137">
        <w:t>NOW, THEREFORE, BE IT RESOLVED BY THE MAYOR AND CITY COUNCIL OF THE CITY OF HIALEAH, FLORIDA, that:</w:t>
      </w:r>
    </w:p>
    <w:p w:rsidR="00A31137" w:rsidRPr="00A31137" w:rsidRDefault="00A31137" w:rsidP="00A31137">
      <w:r w:rsidRPr="00A31137">
        <w:t>1993, Church of Lukumi Babalu Aye v. City of Hialeah, 508 U.S. 550</w:t>
      </w:r>
    </w:p>
    <w:p w:rsidR="00A31137" w:rsidRPr="00A31137" w:rsidRDefault="00A31137" w:rsidP="00A31137">
      <w:r w:rsidRPr="00A31137">
        <w:t>Section 1. It is the policy of the Mayor and City Council of the City of Hialeah, Florida, to oppose the ritual sacrifices of animals within the City of Hialeah, FLorida [sic]. Any individual or organization that seeks to practice animal sacrifice in violation of state and local law will be prosecuted.</w:t>
      </w:r>
    </w:p>
    <w:p w:rsidR="00A31137" w:rsidRPr="00A31137" w:rsidRDefault="00A31137" w:rsidP="00A31137">
      <w:r w:rsidRPr="00A31137">
        <w:t>1993, Church of Lukumi Babalu Aye v. City of Hialeah, 508 U.S. 550</w:t>
      </w:r>
    </w:p>
    <w:p w:rsidR="00A31137" w:rsidRPr="00A31137" w:rsidRDefault="00A31137" w:rsidP="00A31137">
      <w:r w:rsidRPr="00A31137">
        <w:t>City of Hialeah, Florida, Ordinance 8752, adopted September 8, 1987, provides:</w:t>
      </w:r>
    </w:p>
    <w:p w:rsidR="00A31137" w:rsidRPr="00A31137" w:rsidRDefault="00A31137" w:rsidP="00A31137">
      <w:r w:rsidRPr="00A31137">
        <w:t>1993, Church of Lukumi Babalu Aye v. City of Hialeah, 508 U.S. 550</w:t>
      </w:r>
    </w:p>
    <w:p w:rsidR="00A31137" w:rsidRPr="00A31137" w:rsidRDefault="00A31137" w:rsidP="00A31137">
      <w:r w:rsidRPr="00A31137">
        <w:t>WHEREAS, the residents and citizens of the City of Hialeah, Florida, have expressed great concern regarding the possibility of public ritualistic animal sacrifices within the City of Hialeah, Florida; and</w:t>
      </w:r>
    </w:p>
    <w:p w:rsidR="00A31137" w:rsidRPr="00A31137" w:rsidRDefault="00A31137" w:rsidP="00A31137">
      <w:r w:rsidRPr="00A31137">
        <w:t>1993, Church of Lukumi Babalu Aye v. City of Hialeah, 508 U.S. 550</w:t>
      </w:r>
    </w:p>
    <w:p w:rsidR="00A31137" w:rsidRPr="00A31137" w:rsidRDefault="00A31137" w:rsidP="00A31137">
      <w:r w:rsidRPr="00A31137">
        <w:t xml:space="preserve">WHEREAS, the City of Hialeah, Florida, has received an opinion from the Attorney General of the State of Florida, concluding that public ritualistic animal sacrifice, other than for the primary purpose of food consumption, is a violation of state law; and [508 U.S. 551] </w:t>
      </w:r>
    </w:p>
    <w:p w:rsidR="00A31137" w:rsidRPr="00A31137" w:rsidRDefault="00A31137" w:rsidP="00A31137">
      <w:r w:rsidRPr="00A31137">
        <w:t>1993, Church of Lukumi Babalu Aye v. City of Hialeah, 508 U.S. 551</w:t>
      </w:r>
    </w:p>
    <w:p w:rsidR="00A31137" w:rsidRPr="00A31137" w:rsidRDefault="00A31137" w:rsidP="00A31137">
      <w:r w:rsidRPr="00A31137">
        <w:t>WHEREAS, the City of Hialeah, Florida, has enacted an ordinance (Ordinance No. 870), mirroring the state law prohibiting cruelty to animals.</w:t>
      </w:r>
    </w:p>
    <w:p w:rsidR="00A31137" w:rsidRPr="00A31137" w:rsidRDefault="00A31137" w:rsidP="00A31137">
      <w:r w:rsidRPr="00A31137">
        <w:t>1993, Church of Lukumi Babalu Aye v. City of Hialeah, 508 U.S. 551</w:t>
      </w:r>
    </w:p>
    <w:p w:rsidR="00A31137" w:rsidRPr="00A31137" w:rsidRDefault="00A31137" w:rsidP="00A31137">
      <w:r w:rsidRPr="00A31137">
        <w:t>WHEREAS, the City of Hialeah, Florida, now wishes to specifically prohibit the possession of animals for slaughter or sacrifice within the City of Hialeah, Florida.</w:t>
      </w:r>
    </w:p>
    <w:p w:rsidR="00A31137" w:rsidRPr="00A31137" w:rsidRDefault="00A31137" w:rsidP="00A31137">
      <w:r w:rsidRPr="00A31137">
        <w:t>1993, Church of Lukumi Babalu Aye v. City of Hialeah, 508 U.S. 551</w:t>
      </w:r>
    </w:p>
    <w:p w:rsidR="00A31137" w:rsidRPr="00A31137" w:rsidRDefault="00A31137" w:rsidP="00A31137">
      <w:r w:rsidRPr="00A31137">
        <w:t>NOW, THEREFORE, BE IT ORDAINED BY THE MAYOR AND CITY COUNCIL OF THE CITY OF HIALEAH, FLORIDA, that:</w:t>
      </w:r>
    </w:p>
    <w:p w:rsidR="00A31137" w:rsidRPr="00A31137" w:rsidRDefault="00A31137" w:rsidP="00A31137">
      <w:r w:rsidRPr="00A31137">
        <w:t>1993, Church of Lukumi Babalu Aye v. City of Hialeah, 508 U.S. 551</w:t>
      </w:r>
    </w:p>
    <w:p w:rsidR="00A31137" w:rsidRPr="00A31137" w:rsidRDefault="00A31137" w:rsidP="00A31137">
      <w:r w:rsidRPr="00A31137">
        <w:t>Section 1. Chapter 6 of the Code of Ordinances of the City of Hialeah, Florida, is hereby amended by adding thereto two (2) new Sections 6-8 "Definitions" and 6-9 "Prohibition Against Possession Of Animals For Slaughter Or Sacrifice," which is to read as follows:</w:t>
      </w:r>
    </w:p>
    <w:p w:rsidR="00A31137" w:rsidRPr="00A31137" w:rsidRDefault="00A31137" w:rsidP="00A31137">
      <w:r w:rsidRPr="00A31137">
        <w:t>1993, Church of Lukumi Babalu Aye v. City of Hialeah, 508 U.S. 551</w:t>
      </w:r>
    </w:p>
    <w:p w:rsidR="00A31137" w:rsidRPr="00A31137" w:rsidRDefault="00A31137" w:rsidP="00A31137">
      <w:r w:rsidRPr="00A31137">
        <w:t>Section 6-8. Definitions</w:t>
      </w:r>
    </w:p>
    <w:p w:rsidR="00A31137" w:rsidRPr="00A31137" w:rsidRDefault="00A31137" w:rsidP="00A31137">
      <w:r w:rsidRPr="00A31137">
        <w:t>1993, Church of Lukumi Babalu Aye v. City of Hialeah, 508 U.S. 551</w:t>
      </w:r>
    </w:p>
    <w:p w:rsidR="00A31137" w:rsidRPr="00A31137" w:rsidRDefault="00A31137" w:rsidP="00A31137">
      <w:r w:rsidRPr="00A31137">
        <w:t>1. Animal—any living dumb creature.</w:t>
      </w:r>
    </w:p>
    <w:p w:rsidR="00A31137" w:rsidRPr="00A31137" w:rsidRDefault="00A31137" w:rsidP="00A31137">
      <w:r w:rsidRPr="00A31137">
        <w:t>1993, Church of Lukumi Babalu Aye v. City of Hialeah, 508 U.S. 551</w:t>
      </w:r>
    </w:p>
    <w:p w:rsidR="00A31137" w:rsidRPr="00A31137" w:rsidRDefault="00A31137" w:rsidP="00A31137">
      <w:r w:rsidRPr="00A31137">
        <w:t>2. Sacrifice—to unnecessarily kill, torment, torture, or mutilate an animal in a public or private ritual or ceremony not for the primary purpose of food consumption.</w:t>
      </w:r>
    </w:p>
    <w:p w:rsidR="00A31137" w:rsidRPr="00A31137" w:rsidRDefault="00A31137" w:rsidP="00A31137">
      <w:r w:rsidRPr="00A31137">
        <w:t>1993, Church of Lukumi Babalu Aye v. City of Hialeah, 508 U.S. 551</w:t>
      </w:r>
    </w:p>
    <w:p w:rsidR="00A31137" w:rsidRPr="00A31137" w:rsidRDefault="00A31137" w:rsidP="00A31137">
      <w:r w:rsidRPr="00A31137">
        <w:t>3. Slaughter—the killing of animals for food.</w:t>
      </w:r>
    </w:p>
    <w:p w:rsidR="00A31137" w:rsidRPr="00A31137" w:rsidRDefault="00A31137" w:rsidP="00A31137">
      <w:r w:rsidRPr="00A31137">
        <w:t>1993, Church of Lukumi Babalu Aye v. City of Hialeah, 508 U.S. 551</w:t>
      </w:r>
    </w:p>
    <w:p w:rsidR="00A31137" w:rsidRPr="00A31137" w:rsidRDefault="00A31137" w:rsidP="00A31137">
      <w:r w:rsidRPr="00A31137">
        <w:t>Section 6-9. Prohibition Against Possession of Animals for Slaughter Or Sacrifice.</w:t>
      </w:r>
    </w:p>
    <w:p w:rsidR="00A31137" w:rsidRPr="00A31137" w:rsidRDefault="00A31137" w:rsidP="00A31137">
      <w:r w:rsidRPr="00A31137">
        <w:t>1993, Church of Lukumi Babalu Aye v. City of Hialeah, 508 U.S. 551</w:t>
      </w:r>
    </w:p>
    <w:p w:rsidR="00A31137" w:rsidRPr="00A31137" w:rsidRDefault="00A31137" w:rsidP="00A31137">
      <w:r w:rsidRPr="00A31137">
        <w:t>1. No person shall own, keep or otherwise possess, sacrifice, or slaughter any sheep, goat, pig, cow or the young of such species, poultry, rabbit, dog, cat, or any other animal, intending to use such animal for food purposes.</w:t>
      </w:r>
    </w:p>
    <w:p w:rsidR="00A31137" w:rsidRPr="00A31137" w:rsidRDefault="00A31137" w:rsidP="00A31137">
      <w:r w:rsidRPr="00A31137">
        <w:t>1993, Church of Lukumi Babalu Aye v. City of Hialeah, 508 U.S. 551</w:t>
      </w:r>
    </w:p>
    <w:p w:rsidR="00A31137" w:rsidRPr="00A31137" w:rsidRDefault="00A31137" w:rsidP="00A31137">
      <w:r w:rsidRPr="00A31137">
        <w:t>2. This section is applicable to any group or individual that kills, slaughters or sacrifices animals for any type of ritual, regardless of whether or not the flesh or blood of the animal is to be consumed.</w:t>
      </w:r>
    </w:p>
    <w:p w:rsidR="00A31137" w:rsidRPr="00A31137" w:rsidRDefault="00A31137" w:rsidP="00A31137">
      <w:r w:rsidRPr="00A31137">
        <w:t>1993, Church of Lukumi Babalu Aye v. City of Hialeah, 508 U.S. 551</w:t>
      </w:r>
    </w:p>
    <w:p w:rsidR="00A31137" w:rsidRPr="00A31137" w:rsidRDefault="00A31137" w:rsidP="00A31137">
      <w:r w:rsidRPr="00A31137">
        <w:t>3. Nothing in this ordinance is to be interpreted as prohibiting any licensed establishment from slaughtering for food purposes any animals which are specifically [508 U.S. 552] raised for food purposes where such activity is properly zoned and/or permitted under state and local law and under rules promulgated by the Florida Department of Agriculture.</w:t>
      </w:r>
    </w:p>
    <w:p w:rsidR="00A31137" w:rsidRPr="00A31137" w:rsidRDefault="00A31137" w:rsidP="00A31137">
      <w:r w:rsidRPr="00A31137">
        <w:t>1993, Church of Lukumi Babalu Aye v. City of Hialeah, 508 U.S. 552</w:t>
      </w:r>
    </w:p>
    <w:p w:rsidR="00A31137" w:rsidRPr="00A31137" w:rsidRDefault="00A31137" w:rsidP="00A31137">
      <w:r w:rsidRPr="00A31137">
        <w:t>Section 2. Repeal of Ordinance in Conflict.</w:t>
      </w:r>
    </w:p>
    <w:p w:rsidR="00A31137" w:rsidRPr="00A31137" w:rsidRDefault="00A31137" w:rsidP="00A31137">
      <w:r w:rsidRPr="00A31137">
        <w:t>1993, Church of Lukumi Babalu Aye v. City of Hialeah, 508 U.S. 552</w:t>
      </w:r>
    </w:p>
    <w:p w:rsidR="00A31137" w:rsidRPr="00A31137" w:rsidRDefault="00A31137" w:rsidP="00A31137">
      <w:r w:rsidRPr="00A31137">
        <w:t>All ordinances or parts of ordinances in conflict herewith are hereby repealed to the extent of such conflict.</w:t>
      </w:r>
    </w:p>
    <w:p w:rsidR="00A31137" w:rsidRPr="00A31137" w:rsidRDefault="00A31137" w:rsidP="00A31137">
      <w:r w:rsidRPr="00A31137">
        <w:t>1993, Church of Lukumi Babalu Aye v. City of Hialeah, 508 U.S. 552</w:t>
      </w:r>
    </w:p>
    <w:p w:rsidR="00A31137" w:rsidRPr="00A31137" w:rsidRDefault="00A31137" w:rsidP="00A31137">
      <w:r w:rsidRPr="00A31137">
        <w:t>Section 3. Penalties.</w:t>
      </w:r>
    </w:p>
    <w:p w:rsidR="00A31137" w:rsidRPr="00A31137" w:rsidRDefault="00A31137" w:rsidP="00A31137">
      <w:r w:rsidRPr="00A31137">
        <w:t>1993, Church of Lukumi Babalu Aye v. City of Hialeah, 508 U.S. 552</w:t>
      </w:r>
    </w:p>
    <w:p w:rsidR="00A31137" w:rsidRPr="00A31137" w:rsidRDefault="00A31137" w:rsidP="00A31137">
      <w:r w:rsidRPr="00A31137">
        <w:t>Any person, firm or corporation convicted of violating the provisions of this ordinance shall be punished by a fine, not exceeding $500.00, or by a jail sentence, not exceeding sixty (60) days, or both, in the discretion of the Court.</w:t>
      </w:r>
    </w:p>
    <w:p w:rsidR="00A31137" w:rsidRPr="00A31137" w:rsidRDefault="00A31137" w:rsidP="00A31137">
      <w:r w:rsidRPr="00A31137">
        <w:t>1993, Church of Lukumi Babalu Aye v. City of Hialeah, 508 U.S. 552</w:t>
      </w:r>
    </w:p>
    <w:p w:rsidR="00A31137" w:rsidRPr="00A31137" w:rsidRDefault="00A31137" w:rsidP="00A31137">
      <w:r w:rsidRPr="00A31137">
        <w:t>Section 4. Inclusion in Code.</w:t>
      </w:r>
    </w:p>
    <w:p w:rsidR="00A31137" w:rsidRPr="00A31137" w:rsidRDefault="00A31137" w:rsidP="00A31137">
      <w:r w:rsidRPr="00A31137">
        <w:t>1993, Church of Lukumi Babalu Aye v. City of Hialeah, 508 U.S. 552</w:t>
      </w:r>
    </w:p>
    <w:p w:rsidR="00A31137" w:rsidRPr="00A31137" w:rsidRDefault="00A31137" w:rsidP="00A31137">
      <w:r w:rsidRPr="00A31137">
        <w:t>The provisions of this Ordinance shall be included and incorporated in the Code of the City of Hialeah, as an addition or amendment thereto, and the sections of this Ordinance shall be renumbered to conform to the uniform numbering system of the Code.</w:t>
      </w:r>
    </w:p>
    <w:p w:rsidR="00A31137" w:rsidRPr="00A31137" w:rsidRDefault="00A31137" w:rsidP="00A31137">
      <w:r w:rsidRPr="00A31137">
        <w:t>1993, Church of Lukumi Babalu Aye v. City of Hialeah, 508 U.S. 552</w:t>
      </w:r>
    </w:p>
    <w:p w:rsidR="00A31137" w:rsidRPr="00A31137" w:rsidRDefault="00A31137" w:rsidP="00A31137">
      <w:r w:rsidRPr="00A31137">
        <w:t>Section 5. Severability Clause.</w:t>
      </w:r>
    </w:p>
    <w:p w:rsidR="00A31137" w:rsidRPr="00A31137" w:rsidRDefault="00A31137" w:rsidP="00A31137">
      <w:r w:rsidRPr="00A31137">
        <w:t>1993, Church of Lukumi Babalu Aye v. City of Hialeah, 508 U.S. 552</w:t>
      </w:r>
    </w:p>
    <w:p w:rsidR="00A31137" w:rsidRPr="00A31137" w:rsidRDefault="00A31137" w:rsidP="00A31137">
      <w:r w:rsidRPr="00A31137">
        <w:t>If any phrase, clause, sentence, paragraph or section of this Ordinance shall be declared invalid or unconstitutional by the judgement or decree of a court of competent jurisdiction, such invalidity or unconstitutionality shall not effect any of the remaining phrases, clauses, sentences, paragraphs or sections of this ordinance.</w:t>
      </w:r>
    </w:p>
    <w:p w:rsidR="00A31137" w:rsidRPr="00A31137" w:rsidRDefault="00A31137" w:rsidP="00A31137">
      <w:r w:rsidRPr="00A31137">
        <w:t>1993, Church of Lukumi Babalu Aye v. City of Hialeah, 508 U.S. 552</w:t>
      </w:r>
    </w:p>
    <w:p w:rsidR="00A31137" w:rsidRPr="00A31137" w:rsidRDefault="00A31137" w:rsidP="00A31137">
      <w:r w:rsidRPr="00A31137">
        <w:t>Section 6. Effective Date.</w:t>
      </w:r>
    </w:p>
    <w:p w:rsidR="00A31137" w:rsidRPr="00A31137" w:rsidRDefault="00A31137" w:rsidP="00A31137">
      <w:r w:rsidRPr="00A31137">
        <w:t>1993, Church of Lukumi Babalu Aye v. City of Hialeah, 508 U.S. 552</w:t>
      </w:r>
    </w:p>
    <w:p w:rsidR="00A31137" w:rsidRPr="00A31137" w:rsidRDefault="00A31137" w:rsidP="00A31137">
      <w:r w:rsidRPr="00A31137">
        <w:t>This Ordinance shall become effective when passed by the City Council of the City of Hialeah and signed by the Mayor of the City of Hialeah.</w:t>
      </w:r>
    </w:p>
    <w:p w:rsidR="00A31137" w:rsidRPr="00A31137" w:rsidRDefault="00A31137" w:rsidP="00A31137">
      <w:r w:rsidRPr="00A31137">
        <w:t>1993, Church of Lukumi Babalu Aye v. City of Hialeah, 508 U.S. 552</w:t>
      </w:r>
    </w:p>
    <w:p w:rsidR="00A31137" w:rsidRPr="00A31137" w:rsidRDefault="00A31137" w:rsidP="00A31137">
      <w:r w:rsidRPr="00A31137">
        <w:t>City of Hialeah, Florida, Ordinance 87-71, adopted September 22, 1987, provides:</w:t>
      </w:r>
    </w:p>
    <w:p w:rsidR="00A31137" w:rsidRPr="00A31137" w:rsidRDefault="00A31137" w:rsidP="00A31137">
      <w:r w:rsidRPr="00A31137">
        <w:t>1993, Church of Lukumi Babalu Aye v. City of Hialeah, 508 U.S. 552</w:t>
      </w:r>
    </w:p>
    <w:p w:rsidR="00A31137" w:rsidRPr="00A31137" w:rsidRDefault="00A31137" w:rsidP="00A31137">
      <w:r w:rsidRPr="00A31137">
        <w:t>WHEREAS, the City Council of the City of Hialeah, Florida, has determined that the sacrificing of animals [508 U.S. 553] within the city limits is contrary to the public health, safety, welfare and morals of the community; and</w:t>
      </w:r>
    </w:p>
    <w:p w:rsidR="00A31137" w:rsidRPr="00A31137" w:rsidRDefault="00A31137" w:rsidP="00A31137">
      <w:r w:rsidRPr="00A31137">
        <w:t>1993, Church of Lukumi Babalu Aye v. City of Hialeah, 508 U.S. 553</w:t>
      </w:r>
    </w:p>
    <w:p w:rsidR="00A31137" w:rsidRPr="00A31137" w:rsidRDefault="00A31137" w:rsidP="00A31137">
      <w:r w:rsidRPr="00A31137">
        <w:t>WHEREAS, the City Council of the City of Hialeah, Florida, desires to have qualified societies or corporations organized under the laws of the State of Florida, to be authorized to investigate and prosecute any violation(s) of the ordinance herein after set forth, and for the registration of the agents of said societies.</w:t>
      </w:r>
    </w:p>
    <w:p w:rsidR="00A31137" w:rsidRPr="00A31137" w:rsidRDefault="00A31137" w:rsidP="00A31137">
      <w:r w:rsidRPr="00A31137">
        <w:t>1993, Church of Lukumi Babalu Aye v. City of Hialeah, 508 U.S. 553</w:t>
      </w:r>
    </w:p>
    <w:p w:rsidR="00A31137" w:rsidRPr="00A31137" w:rsidRDefault="00A31137" w:rsidP="00A31137">
      <w:r w:rsidRPr="00A31137">
        <w:t>NOW, THEREFORE, BE IT ORDAINED BY THE MAYOR AND CITY COUNCIL OF THE CITY OF HIALEAH, FLORIDA, that:</w:t>
      </w:r>
    </w:p>
    <w:p w:rsidR="00A31137" w:rsidRPr="00A31137" w:rsidRDefault="00A31137" w:rsidP="00A31137">
      <w:r w:rsidRPr="00A31137">
        <w:t>1993, Church of Lukumi Babalu Aye v. City of Hialeah, 508 U.S. 553</w:t>
      </w:r>
    </w:p>
    <w:p w:rsidR="00A31137" w:rsidRPr="00A31137" w:rsidRDefault="00A31137" w:rsidP="00A31137">
      <w:r w:rsidRPr="00A31137">
        <w:t>Section 1. For the purpose of this ordinance, the word sacrifice shall mean: to unnecessarily kill, torment, torture, or mutilate an animal in a public or private ritual or ceremony not for the primary purpose of food consumption.</w:t>
      </w:r>
    </w:p>
    <w:p w:rsidR="00A31137" w:rsidRPr="00A31137" w:rsidRDefault="00A31137" w:rsidP="00A31137">
      <w:r w:rsidRPr="00A31137">
        <w:t>1993, Church of Lukumi Babalu Aye v. City of Hialeah, 508 U.S. 553</w:t>
      </w:r>
    </w:p>
    <w:p w:rsidR="00A31137" w:rsidRPr="00A31137" w:rsidRDefault="00A31137" w:rsidP="00A31137">
      <w:r w:rsidRPr="00A31137">
        <w:t>Section 2. For the purpose of this ordinance, the word animal shall mean: any living dumb creature.</w:t>
      </w:r>
    </w:p>
    <w:p w:rsidR="00A31137" w:rsidRPr="00A31137" w:rsidRDefault="00A31137" w:rsidP="00A31137">
      <w:r w:rsidRPr="00A31137">
        <w:t>1993, Church of Lukumi Babalu Aye v. City of Hialeah, 508 U.S. 553</w:t>
      </w:r>
    </w:p>
    <w:p w:rsidR="00A31137" w:rsidRPr="00A31137" w:rsidRDefault="00A31137" w:rsidP="00A31137">
      <w:r w:rsidRPr="00A31137">
        <w:t>Section 3. It shall be unlawful for any person, persons, corporations or associations to sacrifice any animal within the corporate limits of the City of Hialeah, Florida.</w:t>
      </w:r>
    </w:p>
    <w:p w:rsidR="00A31137" w:rsidRPr="00A31137" w:rsidRDefault="00A31137" w:rsidP="00A31137">
      <w:r w:rsidRPr="00A31137">
        <w:t>1993, Church of Lukumi Babalu Aye v. City of Hialeah, 508 U.S. 553</w:t>
      </w:r>
    </w:p>
    <w:p w:rsidR="00A31137" w:rsidRPr="00A31137" w:rsidRDefault="00A31137" w:rsidP="00A31137">
      <w:r w:rsidRPr="00A31137">
        <w:t xml:space="preserve">Section 4. All societies or associations for the prevention of cruelty to animals organized under the laws of the State of Florida, seeking to register with the City of Hialeah for purposes of investigating and assisting in the prosecution of violations and provisions [sic] of this Ordinance, shall apply to the City Council for authorization to so register and shall be registered with the Office of the Mayor of the City of Hialeah, Florida, following approval by the City Council at a public hearing in accordance with rules and regulations (i.e., criteria) established by the City Council by resolution, and shall thereafter, be empowered to assist in the prosecution of any violation of this Ordinance. [508 U.S. 554] </w:t>
      </w:r>
    </w:p>
    <w:p w:rsidR="00A31137" w:rsidRPr="00A31137" w:rsidRDefault="00A31137" w:rsidP="00A31137">
      <w:r w:rsidRPr="00A31137">
        <w:t>1993, Church of Lukumi Babalu Aye v. City of Hialeah, 508 U.S. 554</w:t>
      </w:r>
    </w:p>
    <w:p w:rsidR="00A31137" w:rsidRPr="00A31137" w:rsidRDefault="00A31137" w:rsidP="00A31137">
      <w:r w:rsidRPr="00A31137">
        <w:t>Section 5. Any society or association for the prevention of cruelty to animals registered with the Mayor of the City of Hialeah, Florida, in accordance with the provisions of Section 4 hereinabove, may appoint agents for the purposes of investigating and assisting in the prosecution of violations and provisions [sic] of this Ordinance, or any other laws of the City of Hialeah, Florida, for the purpose of protecting animals and preventing any act prohibited hereunder.</w:t>
      </w:r>
    </w:p>
    <w:p w:rsidR="00A31137" w:rsidRPr="00A31137" w:rsidRDefault="00A31137" w:rsidP="00A31137">
      <w:r w:rsidRPr="00A31137">
        <w:t>1993, Church of Lukumi Babalu Aye v. City of Hialeah, 508 U.S. 554</w:t>
      </w:r>
    </w:p>
    <w:p w:rsidR="00A31137" w:rsidRPr="00A31137" w:rsidRDefault="00A31137" w:rsidP="00A31137">
      <w:r w:rsidRPr="00A31137">
        <w:t>Section 6. Repeal of Ordinances in Conflict.</w:t>
      </w:r>
    </w:p>
    <w:p w:rsidR="00A31137" w:rsidRPr="00A31137" w:rsidRDefault="00A31137" w:rsidP="00A31137">
      <w:r w:rsidRPr="00A31137">
        <w:t>1993, Church of Lukumi Babalu Aye v. City of Hialeah, 508 U.S. 554</w:t>
      </w:r>
    </w:p>
    <w:p w:rsidR="00A31137" w:rsidRPr="00A31137" w:rsidRDefault="00A31137" w:rsidP="00A31137">
      <w:r w:rsidRPr="00A31137">
        <w:t>All ordinances or parts of ordinances in conflict herewith are hereby repealed to the extent of such conflict.</w:t>
      </w:r>
    </w:p>
    <w:p w:rsidR="00A31137" w:rsidRPr="00A31137" w:rsidRDefault="00A31137" w:rsidP="00A31137">
      <w:r w:rsidRPr="00A31137">
        <w:t>1993, Church of Lukumi Babalu Aye v. City of Hialeah, 508 U.S. 554</w:t>
      </w:r>
    </w:p>
    <w:p w:rsidR="00A31137" w:rsidRPr="00A31137" w:rsidRDefault="00A31137" w:rsidP="00A31137">
      <w:r w:rsidRPr="00A31137">
        <w:t>Section 7. Penalties.</w:t>
      </w:r>
    </w:p>
    <w:p w:rsidR="00A31137" w:rsidRPr="00A31137" w:rsidRDefault="00A31137" w:rsidP="00A31137">
      <w:r w:rsidRPr="00A31137">
        <w:t>1993, Church of Lukumi Babalu Aye v. City of Hialeah, 508 U.S. 554</w:t>
      </w:r>
    </w:p>
    <w:p w:rsidR="00A31137" w:rsidRPr="00A31137" w:rsidRDefault="00A31137" w:rsidP="00A31137">
      <w:r w:rsidRPr="00A31137">
        <w:t>Any person, firm or corporation convicted of violating the provisions of this ordinance shall be punished by a fine, not exceeding $500.00, or by a jail sentence, not exceeding sixty (60) days, or both, in the discretion of the Court.</w:t>
      </w:r>
    </w:p>
    <w:p w:rsidR="00A31137" w:rsidRPr="00A31137" w:rsidRDefault="00A31137" w:rsidP="00A31137">
      <w:r w:rsidRPr="00A31137">
        <w:t>1993, Church of Lukumi Babalu Aye v. City of Hialeah, 508 U.S. 554</w:t>
      </w:r>
    </w:p>
    <w:p w:rsidR="00A31137" w:rsidRPr="00A31137" w:rsidRDefault="00A31137" w:rsidP="00A31137">
      <w:r w:rsidRPr="00A31137">
        <w:t>Section 8. Inclusion in Code.</w:t>
      </w:r>
    </w:p>
    <w:p w:rsidR="00A31137" w:rsidRPr="00A31137" w:rsidRDefault="00A31137" w:rsidP="00A31137">
      <w:r w:rsidRPr="00A31137">
        <w:t>1993, Church of Lukumi Babalu Aye v. City of Hialeah, 508 U.S. 554</w:t>
      </w:r>
    </w:p>
    <w:p w:rsidR="00A31137" w:rsidRPr="00A31137" w:rsidRDefault="00A31137" w:rsidP="00A31137">
      <w:r w:rsidRPr="00A31137">
        <w:t>The provisions of this Ordinance shall be included and incorporated in the Code of the City of Hialeah, as an addition or amendment thereto, and the sections of this Ordinance shall be renumbered to conform to the uniform numbering system of the Code.</w:t>
      </w:r>
    </w:p>
    <w:p w:rsidR="00A31137" w:rsidRPr="00A31137" w:rsidRDefault="00A31137" w:rsidP="00A31137">
      <w:r w:rsidRPr="00A31137">
        <w:t>1993, Church of Lukumi Babalu Aye v. City of Hialeah, 508 U.S. 554</w:t>
      </w:r>
    </w:p>
    <w:p w:rsidR="00A31137" w:rsidRPr="00A31137" w:rsidRDefault="00A31137" w:rsidP="00A31137">
      <w:r w:rsidRPr="00A31137">
        <w:t>Section 9. Severability Clause.</w:t>
      </w:r>
    </w:p>
    <w:p w:rsidR="00A31137" w:rsidRPr="00A31137" w:rsidRDefault="00A31137" w:rsidP="00A31137">
      <w:r w:rsidRPr="00A31137">
        <w:t>1993, Church of Lukumi Babalu Aye v. City of Hialeah, 508 U.S. 554</w:t>
      </w:r>
    </w:p>
    <w:p w:rsidR="00A31137" w:rsidRPr="00A31137" w:rsidRDefault="00A31137" w:rsidP="00A31137">
      <w:r w:rsidRPr="00A31137">
        <w:t>If any phrase, clause, sentence, paragraph or section of this Ordinance shall be declared invalid or unconstitutional by the judgment or decree of a court of competent jurisdiction, such invalidity or unconstitutionality shall not effect any of the remaining phrases, clauses, sentences, paragraphs or sections of this Ordinance.</w:t>
      </w:r>
    </w:p>
    <w:p w:rsidR="00A31137" w:rsidRPr="00A31137" w:rsidRDefault="00A31137" w:rsidP="00A31137">
      <w:r w:rsidRPr="00A31137">
        <w:t>1993, Church of Lukumi Babalu Aye v. City of Hialeah, 508 U.S. 554</w:t>
      </w:r>
    </w:p>
    <w:p w:rsidR="00A31137" w:rsidRPr="00A31137" w:rsidRDefault="00A31137" w:rsidP="00A31137">
      <w:r w:rsidRPr="00A31137">
        <w:t>Section 10. Effective Date.</w:t>
      </w:r>
    </w:p>
    <w:p w:rsidR="00A31137" w:rsidRPr="00A31137" w:rsidRDefault="00A31137" w:rsidP="00A31137">
      <w:r w:rsidRPr="00A31137">
        <w:t>1993, Church of Lukumi Babalu Aye v. City of Hialeah, 508 U.S. 554</w:t>
      </w:r>
    </w:p>
    <w:p w:rsidR="00A31137" w:rsidRPr="00A31137" w:rsidRDefault="00A31137" w:rsidP="00A31137">
      <w:r w:rsidRPr="00A31137">
        <w:t xml:space="preserve">This Ordinance shall become effective when passed by the City Council of the City of Hialeah and signed by the Mayor of the City of Hialeah. [508 U.S. 555] </w:t>
      </w:r>
    </w:p>
    <w:p w:rsidR="00A31137" w:rsidRPr="00A31137" w:rsidRDefault="00A31137" w:rsidP="00A31137">
      <w:r w:rsidRPr="00A31137">
        <w:t>1993, Church of Lukumi Babalu Aye v. City of Hialeah, 508 U.S. 555</w:t>
      </w:r>
    </w:p>
    <w:p w:rsidR="00A31137" w:rsidRPr="00A31137" w:rsidRDefault="00A31137" w:rsidP="00A31137">
      <w:r w:rsidRPr="00A31137">
        <w:t>City of Hialeah, Florida, Ordinance No. 87-72, adopted September 22, 1987, provides:</w:t>
      </w:r>
    </w:p>
    <w:p w:rsidR="00A31137" w:rsidRPr="00A31137" w:rsidRDefault="00A31137" w:rsidP="00A31137">
      <w:r w:rsidRPr="00A31137">
        <w:t>1993, Church of Lukumi Babalu Aye v. City of Hialeah, 508 U.S. 555</w:t>
      </w:r>
    </w:p>
    <w:p w:rsidR="00A31137" w:rsidRPr="00A31137" w:rsidRDefault="00A31137" w:rsidP="00A31137">
      <w:r w:rsidRPr="00A31137">
        <w:t>WHEREAS, the City Council of the City of Hialeah, Florida, has determined that the slaughtering of animals on the premises other than those properly zoned as a slaughter house, is contrary to the public health, safety and welfare of the citizens of Hialeah, Florida.</w:t>
      </w:r>
    </w:p>
    <w:p w:rsidR="00A31137" w:rsidRPr="00A31137" w:rsidRDefault="00A31137" w:rsidP="00A31137">
      <w:r w:rsidRPr="00A31137">
        <w:t>1993, Church of Lukumi Babalu Aye v. City of Hialeah, 508 U.S. 555</w:t>
      </w:r>
    </w:p>
    <w:p w:rsidR="00A31137" w:rsidRPr="00A31137" w:rsidRDefault="00A31137" w:rsidP="00A31137">
      <w:r w:rsidRPr="00A31137">
        <w:t>NOW, THEREFORE, BE IT ORDAINED BY THE MAYOR AND CITY COUNCIL OF THE CITY OF HIALEAH, FLORIDA, that:</w:t>
      </w:r>
    </w:p>
    <w:p w:rsidR="00A31137" w:rsidRPr="00A31137" w:rsidRDefault="00A31137" w:rsidP="00A31137">
      <w:r w:rsidRPr="00A31137">
        <w:t>1993, Church of Lukumi Babalu Aye v. City of Hialeah, 508 U.S. 555</w:t>
      </w:r>
    </w:p>
    <w:p w:rsidR="00A31137" w:rsidRPr="00A31137" w:rsidRDefault="00A31137" w:rsidP="00A31137">
      <w:r w:rsidRPr="00A31137">
        <w:t>Section 1. For the purpose of this Ordinance, the word slaughter shall mean: the killing of animals for food.</w:t>
      </w:r>
    </w:p>
    <w:p w:rsidR="00A31137" w:rsidRPr="00A31137" w:rsidRDefault="00A31137" w:rsidP="00A31137">
      <w:r w:rsidRPr="00A31137">
        <w:t>1993, Church of Lukumi Babalu Aye v. City of Hialeah, 508 U.S. 555</w:t>
      </w:r>
    </w:p>
    <w:p w:rsidR="00A31137" w:rsidRPr="00A31137" w:rsidRDefault="00A31137" w:rsidP="00A31137">
      <w:r w:rsidRPr="00A31137">
        <w:t>Section 2. For the purpose of this Ordinance, the word animal shall mean: any living dumb creature.</w:t>
      </w:r>
    </w:p>
    <w:p w:rsidR="00A31137" w:rsidRPr="00A31137" w:rsidRDefault="00A31137" w:rsidP="00A31137">
      <w:r w:rsidRPr="00A31137">
        <w:t>1993, Church of Lukumi Babalu Aye v. City of Hialeah, 508 U.S. 555</w:t>
      </w:r>
    </w:p>
    <w:p w:rsidR="00A31137" w:rsidRPr="00A31137" w:rsidRDefault="00A31137" w:rsidP="00A31137">
      <w:r w:rsidRPr="00A31137">
        <w:t>Section 3. It shall be unlawful for any person, persons, corporations or associations to slaughter any animal on any premises in the City of Hialeah, Florida, except those properly zoned as a slaughter house, and meeting all the health, safety and sanitation codes prescribed by the City for the operation of a slaughter house.</w:t>
      </w:r>
    </w:p>
    <w:p w:rsidR="00A31137" w:rsidRPr="00A31137" w:rsidRDefault="00A31137" w:rsidP="00A31137">
      <w:r w:rsidRPr="00A31137">
        <w:t>1993, Church of Lukumi Babalu Aye v. City of Hialeah, 508 U.S. 555</w:t>
      </w:r>
    </w:p>
    <w:p w:rsidR="00A31137" w:rsidRPr="00A31137" w:rsidRDefault="00A31137" w:rsidP="00A31137">
      <w:r w:rsidRPr="00A31137">
        <w:t xml:space="preserve">Section 4. All societies or associations for the prevention of cruelty to animals organized under the laws of the State of Florida, seeking to register with the City of Hialeah for purposes of investigating and assisting in the prosecution of violations and provisions [sic] of this Ordinance, shall apply to the City Council for authorization to so register and shall be registered with the Office of the Mayor of the City of Hialeah, Florida, following approval by the City Council at a public hearing in accordance with rules and regulations (i.e., criteria) established by the City Council by resolution, and shall thereafter, be empowered to assist in the prosecution of any violations of this Ordinance. [508 U.S. 556] </w:t>
      </w:r>
    </w:p>
    <w:p w:rsidR="00A31137" w:rsidRPr="00A31137" w:rsidRDefault="00A31137" w:rsidP="00A31137">
      <w:r w:rsidRPr="00A31137">
        <w:t>1993, Church of Lukumi Babalu Aye v. City of Hialeah, 508 U.S. 556</w:t>
      </w:r>
    </w:p>
    <w:p w:rsidR="00A31137" w:rsidRPr="00A31137" w:rsidRDefault="00A31137" w:rsidP="00A31137">
      <w:r w:rsidRPr="00A31137">
        <w:t>Section 5. Any society or association for the prevention of cruelty to animals registered with the Mayor of the City of Hialeah, Florida, in accordance with the provisions of Section 4 hereinabove, may appoint agents for the purposes of investigating and assisting in the prosecution of violations and provisions [sic] of this Ordinance, or any other laws of the City of Hialeah, Florida, for the purpose of protecting animals and preventing any act prohibited hereunder.</w:t>
      </w:r>
    </w:p>
    <w:p w:rsidR="00A31137" w:rsidRPr="00A31137" w:rsidRDefault="00A31137" w:rsidP="00A31137">
      <w:r w:rsidRPr="00A31137">
        <w:t>1993, Church of Lukumi Babalu Aye v. City of Hialeah, 508 U.S. 556</w:t>
      </w:r>
    </w:p>
    <w:p w:rsidR="00A31137" w:rsidRPr="00A31137" w:rsidRDefault="00A31137" w:rsidP="00A31137">
      <w:r w:rsidRPr="00A31137">
        <w:t>Section 6. This Ordinance shall not apply to any person, groups or organization that slaughters, or processes for sale, small numbers of hogs and/or cattle per week in accordance with an exemption provided by state law.</w:t>
      </w:r>
    </w:p>
    <w:p w:rsidR="00A31137" w:rsidRPr="00A31137" w:rsidRDefault="00A31137" w:rsidP="00A31137">
      <w:r w:rsidRPr="00A31137">
        <w:t>1993, Church of Lukumi Babalu Aye v. City of Hialeah, 508 U.S. 556</w:t>
      </w:r>
    </w:p>
    <w:p w:rsidR="00A31137" w:rsidRPr="00A31137" w:rsidRDefault="00A31137" w:rsidP="00A31137">
      <w:r w:rsidRPr="00A31137">
        <w:t>Section 7. Repeal of Ordinances in Conflict.</w:t>
      </w:r>
    </w:p>
    <w:p w:rsidR="00A31137" w:rsidRPr="00A31137" w:rsidRDefault="00A31137" w:rsidP="00A31137">
      <w:r w:rsidRPr="00A31137">
        <w:t>1993, Church of Lukumi Babalu Aye v. City of Hialeah, 508 U.S. 556</w:t>
      </w:r>
    </w:p>
    <w:p w:rsidR="00A31137" w:rsidRPr="00A31137" w:rsidRDefault="00A31137" w:rsidP="00A31137">
      <w:r w:rsidRPr="00A31137">
        <w:t>All ordinances or parts of ordinances in conflict herewith are hereby repealed to the extent of such conflict.</w:t>
      </w:r>
    </w:p>
    <w:p w:rsidR="00A31137" w:rsidRPr="00A31137" w:rsidRDefault="00A31137" w:rsidP="00A31137">
      <w:r w:rsidRPr="00A31137">
        <w:t>1993, Church of Lukumi Babalu Aye v. City of Hialeah, 508 U.S. 556</w:t>
      </w:r>
    </w:p>
    <w:p w:rsidR="00A31137" w:rsidRPr="00A31137" w:rsidRDefault="00A31137" w:rsidP="00A31137">
      <w:r w:rsidRPr="00A31137">
        <w:t>Section 8. Penalties.</w:t>
      </w:r>
    </w:p>
    <w:p w:rsidR="00A31137" w:rsidRPr="00A31137" w:rsidRDefault="00A31137" w:rsidP="00A31137">
      <w:r w:rsidRPr="00A31137">
        <w:t>1993, Church of Lukumi Babalu Aye v. City of Hialeah, 508 U.S. 556</w:t>
      </w:r>
    </w:p>
    <w:p w:rsidR="00A31137" w:rsidRPr="00A31137" w:rsidRDefault="00A31137" w:rsidP="00A31137">
      <w:r w:rsidRPr="00A31137">
        <w:t>Any person, firm or corporation convicted of violating the provisions of this ordinance shall be punished by a fine, not exceeding $500.00, or by a jail sentence, not exceeding sixty (60) days, or both, in the discretion of the Court.</w:t>
      </w:r>
    </w:p>
    <w:p w:rsidR="00A31137" w:rsidRPr="00A31137" w:rsidRDefault="00A31137" w:rsidP="00A31137">
      <w:r w:rsidRPr="00A31137">
        <w:t>1993, Church of Lukumi Babalu Aye v. City of Hialeah, 508 U.S. 556</w:t>
      </w:r>
    </w:p>
    <w:p w:rsidR="00A31137" w:rsidRPr="00A31137" w:rsidRDefault="00A31137" w:rsidP="00A31137">
      <w:r w:rsidRPr="00A31137">
        <w:t>Section 9. Inclusion in Code.</w:t>
      </w:r>
    </w:p>
    <w:p w:rsidR="00A31137" w:rsidRPr="00A31137" w:rsidRDefault="00A31137" w:rsidP="00A31137">
      <w:r w:rsidRPr="00A31137">
        <w:t>1993, Church of Lukumi Babalu Aye v. City of Hialeah, 508 U.S. 556</w:t>
      </w:r>
    </w:p>
    <w:p w:rsidR="00A31137" w:rsidRPr="00A31137" w:rsidRDefault="00A31137" w:rsidP="00A31137">
      <w:r w:rsidRPr="00A31137">
        <w:t>The provisions of this Ordinance shall be included and incorporated in the Code of the City of Hialeah, as an addition or amendment thereto, and the sections of this Ordinance shall be renumbered to conform to the uniform numbering system of the Code.</w:t>
      </w:r>
    </w:p>
    <w:p w:rsidR="00A31137" w:rsidRPr="00A31137" w:rsidRDefault="00A31137" w:rsidP="00A31137">
      <w:r w:rsidRPr="00A31137">
        <w:t>1993, Church of Lukumi Babalu Aye v. City of Hialeah, 508 U.S. 556</w:t>
      </w:r>
    </w:p>
    <w:p w:rsidR="00A31137" w:rsidRPr="00A31137" w:rsidRDefault="00A31137" w:rsidP="00A31137">
      <w:r w:rsidRPr="00A31137">
        <w:t>Section 10. Severability Clause.</w:t>
      </w:r>
    </w:p>
    <w:p w:rsidR="00A31137" w:rsidRPr="00A31137" w:rsidRDefault="00A31137" w:rsidP="00A31137">
      <w:r w:rsidRPr="00A31137">
        <w:t>1993, Church of Lukumi Babalu Aye v. City of Hialeah, 508 U.S. 556</w:t>
      </w:r>
    </w:p>
    <w:p w:rsidR="00A31137" w:rsidRPr="00A31137" w:rsidRDefault="00A31137" w:rsidP="00A31137">
      <w:r w:rsidRPr="00A31137">
        <w:t xml:space="preserve">If any phrase, clause, sentence, paragraph or section of this Ordinance shall be declared invalid or unconstitutional by the judgment or decree of a court of competent jurisdiction, such invalidity or unconstitutionality shall not effect any of the remaining phrases, clauses, sentences, paragraphs or sections of this ordinance. [508 U.S. 557] </w:t>
      </w:r>
    </w:p>
    <w:p w:rsidR="00A31137" w:rsidRPr="00A31137" w:rsidRDefault="00A31137" w:rsidP="00A31137">
      <w:r w:rsidRPr="00A31137">
        <w:t>1993, Church of Lukumi Babalu Aye v. City of Hialeah, 508 U.S. 557</w:t>
      </w:r>
    </w:p>
    <w:p w:rsidR="00A31137" w:rsidRPr="00A31137" w:rsidRDefault="00A31137" w:rsidP="00A31137">
      <w:r w:rsidRPr="00A31137">
        <w:t>Section 11. Effective Date.</w:t>
      </w:r>
    </w:p>
    <w:p w:rsidR="00A31137" w:rsidRPr="00A31137" w:rsidRDefault="00A31137" w:rsidP="00A31137">
      <w:r w:rsidRPr="00A31137">
        <w:t>1993, Church of Lukumi Babalu Aye v. City of Hialeah, 508 U.S. 557</w:t>
      </w:r>
    </w:p>
    <w:p w:rsidR="00A31137" w:rsidRPr="00A31137" w:rsidRDefault="00A31137" w:rsidP="00A31137">
      <w:r w:rsidRPr="00A31137">
        <w:t>This Ordinance shall become effective when passed by the City Council of the City of Hialeah and signed by the Mayor of the City of Hialeah.</w:t>
      </w:r>
    </w:p>
    <w:p w:rsidR="00A31137" w:rsidRPr="00A31137" w:rsidRDefault="00A31137" w:rsidP="00A31137">
      <w:r w:rsidRPr="00A31137">
        <w:t>SCALIA, J., concurring</w:t>
      </w:r>
    </w:p>
    <w:p w:rsidR="00A31137" w:rsidRPr="00A31137" w:rsidRDefault="00A31137" w:rsidP="00A31137">
      <w:r w:rsidRPr="00A31137">
        <w:t>1993, Church of Lukumi Babalu Aye v. City of Hialeah, 508 U.S. 557</w:t>
      </w:r>
    </w:p>
    <w:p w:rsidR="00A31137" w:rsidRPr="00A31137" w:rsidRDefault="00A31137" w:rsidP="00A31137">
      <w:r w:rsidRPr="00A31137">
        <w:t>JUSTICE SCALIA, with whom THE CHIEF JUSTICE joins, concurring in part and concurring in the judgment.</w:t>
      </w:r>
    </w:p>
    <w:p w:rsidR="00A31137" w:rsidRPr="00A31137" w:rsidRDefault="00A31137" w:rsidP="00A31137">
      <w:r w:rsidRPr="00A31137">
        <w:t>1993, Church of Lukumi Babalu Aye v. City of Hialeah, 508 U.S. 557</w:t>
      </w:r>
    </w:p>
    <w:p w:rsidR="00A31137" w:rsidRPr="00A31137" w:rsidRDefault="00A31137" w:rsidP="00A31137">
      <w:r w:rsidRPr="00A31137">
        <w:t>The Court analyzes the "neutrality" and the "general applicability" of the Hialeah ordinances in separate sections (Parts II-A and II-B, respectively), and allocates various invalidating factors to one or the other of those sections. If it were necessary to make a clear distinction between the two terms, I would draw a line somewhat different from the Court's. But I think it is not necessary, and would frankly acknowledge that the terms are not only "interrelated," ante at  531, but substantially overlap.</w:t>
      </w:r>
    </w:p>
    <w:p w:rsidR="00A31137" w:rsidRPr="00A31137" w:rsidRDefault="00A31137" w:rsidP="00A31137">
      <w:r w:rsidRPr="00A31137">
        <w:t>1993, Church of Lukumi Babalu Aye v. City of Hialeah, 508 U.S. 557</w:t>
      </w:r>
    </w:p>
    <w:p w:rsidR="00A31137" w:rsidRPr="00A31137" w:rsidRDefault="00A31137" w:rsidP="00A31137">
      <w:r w:rsidRPr="00A31137">
        <w:t>The terms "neutrality" and "general applicability" are not to be found within the First Amendment itself, of course, but are used in Employment Div., Dept. of Human Resources of Oregon v. Smith, 494 U.S. 872 (1990), and earlier cases to describe those characteristics which cause a law that prohibits an activity a particular individual wishes to engage in for religious reasons nonetheless not to constitute a "law…prohibiting the free exercise" of religion within the meaning of the First Amendment. In my view, the defect of lack of neutrality applies primarily to those laws that by their terms impose disabilities on the basis of religion (e.g., a law excluding members of a certain sect from public benefits, cf. McDaniel v. Paty, 435 U.S. 618 (1978)), see Bowen v. Roy, 476 U.S. 693, 703-704 (1986) (opinion of Burger, C.J.); whereas the defect of lack of general applicability applies primarily to those laws which, though neutral in their terms, through their design, construction, or enforcement target the practices of a particular religion for discriminatory treatment, see Fowler v. Rhode Island, 345 U.S. 67 (1953). But certainly a law that is not of general applicability (in the sense [508 U.S. 558] I have described) can be considered "nonneutral"; and certainly no law that is nonneutral (in the relevant sense) can be thought to be of general applicability. Because I agree with most of the invalidating factors set forth in Part II of the Court's opinion, and because it seems to me a matter of no consequence under which rubric ("neutrality," Part II-A, or "general applicability," Part II-B) each invalidating factor is discussed, I join the judgment of the Court and all of its opinion except section 2 of Part II-A.</w:t>
      </w:r>
    </w:p>
    <w:p w:rsidR="00A31137" w:rsidRPr="00A31137" w:rsidRDefault="00A31137" w:rsidP="00A31137">
      <w:r w:rsidRPr="00A31137">
        <w:t>1993, Church of Lukumi Babalu Aye v. City of Hialeah, 508 U.S. 558</w:t>
      </w:r>
    </w:p>
    <w:p w:rsidR="00A31137" w:rsidRPr="00A31137" w:rsidRDefault="00A31137" w:rsidP="00A31137">
      <w:r w:rsidRPr="00A31137">
        <w:t>I do not join that section, because it departs from the opinion's general focus on the object of the laws at issue to consider the subjective motivation of the lawmakers, i.e., whether the Hialeah City Council actually intended to disfavor the religion of Santeria. As I have noted elsewhere, it is virtually impossible to determine the singular "motive" of a collective legislative body, see, e.g., Edwards v. Aguillard, 482 U.S. 578, 636-639 (1987) (SCALIA, J., dissenting), and this Court has a long tradition of refraining from such inquiries, see, e.g., Fletcher v. Peck, 6 Cranch 87, 130-131 (1810) (Marshall, C.J.); United States v. O'Brien, 391 U.S. 367, 383-384 (1968).</w:t>
      </w:r>
    </w:p>
    <w:p w:rsidR="00A31137" w:rsidRPr="00A31137" w:rsidRDefault="00A31137" w:rsidP="00A31137">
      <w:r w:rsidRPr="00A31137">
        <w:t>1993, Church of Lukumi Babalu Aye v. City of Hialeah, 508 U.S. 558</w:t>
      </w:r>
    </w:p>
    <w:p w:rsidR="00A31137" w:rsidRPr="00A31137" w:rsidRDefault="00A31137" w:rsidP="00A31137">
      <w:r w:rsidRPr="00A31137">
        <w:t>Perhaps there are contexts in which determination of legislative motive must be undertaken. See, e.g., United States v. Lovett, 328 U.S. 303 (1946). But I do not think that is true of analysis under the First Amendment (or the Fourteenth, to the extent it incorporates the First). See Edwards v. Aguillard, supra, 482 U.S. at  639 (SCALIA, J., dissenting). The First Amendment does not refer to the purposes for which legislators enact laws, but to the effects of the laws enacted: "Congress shall make no law…prohibiting the free exercise [of religion]…. " This does not put us in the business of invalidating laws by reason of the evil motives of their authors. Had the Hialeah City Council set out resolutely to suppress the practices of Santeria, but ineptly adopted ordinances that failed to do so, I do not see how those laws could be said to "prohibi[t] the free exercise" of religion. [508 U.S. 559] Nor, in my view, does it matter that a legislature consists entirely of the pure-hearted, if the law it enacts in fact singles out a religious practice for special burdens. Had the ordinances here been passed with no motive on the part of any councilman except the ardent desire to prevent cruelty to animals (as might in fact have been the case), they would nonetheless be invalid.</w:t>
      </w:r>
    </w:p>
    <w:p w:rsidR="00A31137" w:rsidRPr="00A31137" w:rsidRDefault="00A31137" w:rsidP="00A31137">
      <w:r w:rsidRPr="00A31137">
        <w:t>SOUTER, J., concurring</w:t>
      </w:r>
    </w:p>
    <w:p w:rsidR="00A31137" w:rsidRPr="00A31137" w:rsidRDefault="00A31137" w:rsidP="00A31137">
      <w:r w:rsidRPr="00A31137">
        <w:t>1993, Church of Lukumi Babalu Aye v. City of Hialeah, 508 U.S. 559</w:t>
      </w:r>
    </w:p>
    <w:p w:rsidR="00A31137" w:rsidRPr="00A31137" w:rsidRDefault="00A31137" w:rsidP="00A31137">
      <w:r w:rsidRPr="00A31137">
        <w:t>JUSTICE SOUTER, concurring in part and concurring in the judgment.</w:t>
      </w:r>
    </w:p>
    <w:p w:rsidR="00A31137" w:rsidRPr="00A31137" w:rsidRDefault="00A31137" w:rsidP="00A31137">
      <w:r w:rsidRPr="00A31137">
        <w:t>1993, Church of Lukumi Babalu Aye v. City of Hialeah, 508 U.S. 559</w:t>
      </w:r>
    </w:p>
    <w:p w:rsidR="00A31137" w:rsidRPr="00A31137" w:rsidRDefault="00A31137" w:rsidP="00A31137">
      <w:r w:rsidRPr="00A31137">
        <w:t>This case turns on a principle about which there is no disagreement, that the Free Exercise Clause bars government action aimed at suppressing religious belief or practice. The Court holds that Hialeah's animal sacrifice laws violate that principle, and I concur in that holding without reservation.</w:t>
      </w:r>
    </w:p>
    <w:p w:rsidR="00A31137" w:rsidRPr="00A31137" w:rsidRDefault="00A31137" w:rsidP="00A31137">
      <w:r w:rsidRPr="00A31137">
        <w:t>1993, Church of Lukumi Babalu Aye v. City of Hialeah, 508 U.S. 559</w:t>
      </w:r>
    </w:p>
    <w:p w:rsidR="00A31137" w:rsidRPr="00A31137" w:rsidRDefault="00A31137" w:rsidP="00A31137">
      <w:r w:rsidRPr="00A31137">
        <w:t>Because prohibiting religious exercise is the object of the laws at hand, this case does not present the more difficult issue addressed in our last free exercise case, Employment Div., Dept. of Human Resources of Oregon v. Smith, 494 U.S. 872 (1990), which announced the rule that a "neutral, generally applicable" law does not run afoul of the Free Exercise Clause even when it prohibits religious exercise in effect. The Court today refers to that rule in dicta, and, despite my general agreement with the Court's opinion, I do not join Part II, where the dicta appear, for I have doubts about whether the Smith rule merits adherence. I write separately to explain why the Smith rule is not germane to this case, and to express my view that, in a case presenting the issue, the Court should reexamine the rule Smith declared.</w:t>
      </w:r>
    </w:p>
    <w:p w:rsidR="00A31137" w:rsidRPr="00A31137" w:rsidRDefault="00A31137" w:rsidP="00A31137">
      <w:r w:rsidRPr="00A31137">
        <w:t>I</w:t>
      </w:r>
    </w:p>
    <w:p w:rsidR="00A31137" w:rsidRPr="00A31137" w:rsidRDefault="00A31137" w:rsidP="00A31137">
      <w:r w:rsidRPr="00A31137">
        <w:t>1993, Church of Lukumi Babalu Aye v. City of Hialeah, 508 U.S. 559</w:t>
      </w:r>
    </w:p>
    <w:p w:rsidR="00A31137" w:rsidRPr="00A31137" w:rsidRDefault="00A31137" w:rsidP="00A31137">
      <w:r w:rsidRPr="00A31137">
        <w:t>According to Smith, if prohibiting the exercise of religion results from enforcing a "neutral, generally applicable" law, the Free Exercise Clause has not been offended. Id. at 878-880. I call this the Smith rule to distinguish it from the noncontroversial principle, also expressed in Smith, though [508 U.S. 560] established long before, that the Free Exercise Clause is offended when prohibiting religious exercise results from a law that is not neutral or generally applicable. It is this noncontroversial principle, that the Free Exercise Clause requires neutrality and general applicability, that is at issue here. But before turning to the relationship of Smith to this case, it will help to get the terms in order, for the significance of the Smith rule is not only in its statement that the Free Exercise Clause requires no more than "neutrality" and "general applicability," but in its adoption of a particular, narrow conception of free exercise neutrality.</w:t>
      </w:r>
    </w:p>
    <w:p w:rsidR="00A31137" w:rsidRPr="00A31137" w:rsidRDefault="00A31137" w:rsidP="00A31137">
      <w:r w:rsidRPr="00A31137">
        <w:t>1993, Church of Lukumi Babalu Aye v. City of Hialeah, 508 U.S. 560</w:t>
      </w:r>
    </w:p>
    <w:p w:rsidR="00A31137" w:rsidRPr="00A31137" w:rsidRDefault="00A31137" w:rsidP="00A31137">
      <w:r w:rsidRPr="00A31137">
        <w:t xml:space="preserve">That the Free Exercise Clause contains a "requirement for governmental neutrality," Wisconsin v. Yoder, 406 U.S. 205,  220 (1972), is hardly a novel proposition; though the term does not appear in the First Amendment, our cases have used it as shorthand to describe, at least in part, what the Clause commands. See, e.g., Jimmy Swaggart Ministries v. Board of Equalization of California, 493 U.S. 378, 384 (1990); Thomas v. Review Bd. of Indiana, Employment Security Div., 450 U.S. 707,  717 (1981); Yoder, supra, 406 U.S. at  220; Committee for Public Ed. &amp; Religious Liberty v. Nyquist, 413 U.S. 756, 792-793 (1973); School Dist. of Abington v. Schempp, 374 U.S. 203,  222 (1963); see also McDaniel v. Paty, 435 U.S. 618, 627-629 (1978) (plurality opinion) (invalidating a non-neutral law without using the term). Nor is there anything unusual about the notion that the Free Exercise Clause requires general applicability, though the Court, until today, has not used exactly that term in stating a reason for invalidation. See Fowler v. Rhode Island, 345 U.S. 67 (1953); cf. Minneapolis Star &amp; Tribune Co. v. Minnesota Comm'r of Revenue, 460 U.S. 575,  585 (1983); Larson v. Valente, 456 U.S. 228, 245-246 (1982). 1 [508 U.S. 561] </w:t>
      </w:r>
    </w:p>
    <w:p w:rsidR="00A31137" w:rsidRPr="00A31137" w:rsidRDefault="00A31137" w:rsidP="00A31137">
      <w:r w:rsidRPr="00A31137">
        <w:t>1993, Church of Lukumi Babalu Aye v. City of Hialeah, 508 U.S. 561</w:t>
      </w:r>
    </w:p>
    <w:p w:rsidR="00A31137" w:rsidRPr="00A31137" w:rsidRDefault="00A31137" w:rsidP="00A31137">
      <w:r w:rsidRPr="00A31137">
        <w:t>While general applicability is, for the most part, self-explanatory, free exercise neutrality is not self-revealing. Cf. Lee v. Weisman, 505 U.S. 577,  627 (1992) (SOUTER, J., concurring) (considering Establishment Clause neutrality). A law that is religion neutral on its face or in its purpose may lack neutrality in its effect by forbidding something that religion requires or requiring something that religion forbids. Cf. McConnell &amp; Posner, An Economic Approach to Issues of Religious Freedom, 56 U.Chi.L.Rev. 1, 35 (1989) ("a regulation is not neutral in an economic sense if, whatever its normal scope or its intentions, it arbitrarily imposes greater costs on religious than on comparable nonreligious activities"). A secular law, applicable to all, that prohibits consumption of alcohol, for example, will affect members of religions that require the use of wine differently from members of other religions and nonbelievers, disproportionately burdening the practice of, say, Catholicism or Judaism. Without an exemption for sacramental wine, Prohibition may fail the test of religion neutrality. 2</w:t>
      </w:r>
    </w:p>
    <w:p w:rsidR="00A31137" w:rsidRPr="00A31137" w:rsidRDefault="00A31137" w:rsidP="00A31137">
      <w:r w:rsidRPr="00A31137">
        <w:t>1993, Church of Lukumi Babalu Aye v. City of Hialeah, 508 U.S. 561</w:t>
      </w:r>
    </w:p>
    <w:p w:rsidR="00A31137" w:rsidRPr="00A31137" w:rsidRDefault="00A31137" w:rsidP="00A31137">
      <w:r w:rsidRPr="00A31137">
        <w:t>It does not necessarily follow from that observation, of course, that the First Amendment requires an exemption from Prohibition; that depends on the meaning of neutrality as the Free Exercise Clause embraces it. The point here is the unremarkable one that our common notion of neutrality is broad enough to cover not merely what might be called formal neutrality, which, as a free exercise requirement, [508 U.S. 562] would only bar laws with an object to discriminate against religion, but also what might be called substantive neutrality, which, in addition to demanding a secular object, would generally require government to accommodate religious differences by exempting religious practices from formally neutral laws. See generally Laycock, Formal, Substantive, and Disaggregated Neutrality Toward Religion, 39 DePaul L.Rev. 993 (1990). If the Free Exercise Clause secures only protection against deliberate discrimination, a formal requirement will exhaust the Clause's neutrality command; if the Free Exercise Clause, rather, safeguards a right to engage in religious activity free from unnecessary governmental interference, the Clause requires substantive, as well as formal, neutrality. 3</w:t>
      </w:r>
    </w:p>
    <w:p w:rsidR="00A31137" w:rsidRPr="00A31137" w:rsidRDefault="00A31137" w:rsidP="00A31137">
      <w:r w:rsidRPr="00A31137">
        <w:t>1993, Church of Lukumi Babalu Aye v. City of Hialeah, 508 U.S. 562</w:t>
      </w:r>
    </w:p>
    <w:p w:rsidR="00A31137" w:rsidRPr="00A31137" w:rsidRDefault="00A31137" w:rsidP="00A31137">
      <w:r w:rsidRPr="00A31137">
        <w:t>Though Smith used the term "neutrality" without a modifier, the rule it announced plainly assumes that free exercise neutrality is of the formal sort. Distinguishing between laws whose "object" is to prohibit religious exercise and those that prohibit religious exercise as an "incidental effect," Smith placed only the former within the reaches of the Free Exercise Clause; the latter, laws that satisfy formal neutrality, Smith would subject to no free exercise scrutiny at all, even when they prohibit religious exercise in application. 494 U.S. at  878. The four Justices who rejected the Smith rule, by contrast, read the Free Exercise Clause as embracing what I have termed substantive neutrality. The enforcement of a law "neutral on its face," they said, may "nonetheless offend [the Free Exercise Clause's] requirement [508 U.S. 563] for government neutrality if it unduly burdens the free exercise of religion." Id. at 896 (opinion of O'CONNOR, J., joined by Brennan, Marshall, and BLACKMUN, JJ.) (internal quotation marks and citations omitted). The rule these Justices saw as flowing from free exercise neutrality, in contrast to the Smith rule,</w:t>
      </w:r>
    </w:p>
    <w:p w:rsidR="00A31137" w:rsidRPr="00A31137" w:rsidRDefault="00A31137" w:rsidP="00A31137">
      <w:r w:rsidRPr="00A31137">
        <w:t>1993, Church of Lukumi Babalu Aye v. City of Hialeah, 508 U.S. 563</w:t>
      </w:r>
    </w:p>
    <w:p w:rsidR="00A31137" w:rsidRPr="00A31137" w:rsidRDefault="00A31137" w:rsidP="00A31137">
      <w:r w:rsidRPr="00A31137">
        <w:t>requir[es] the government to justify any substantial burden on religiously motivated conduct by a compelling state interest and by means narrowly tailored to achieve that interest.</w:t>
      </w:r>
    </w:p>
    <w:p w:rsidR="00A31137" w:rsidRPr="00A31137" w:rsidRDefault="00A31137" w:rsidP="00A31137">
      <w:r w:rsidRPr="00A31137">
        <w:t>1993, Church of Lukumi Babalu Aye v. City of Hialeah, 508 U.S. 563</w:t>
      </w:r>
    </w:p>
    <w:p w:rsidR="00A31137" w:rsidRPr="00A31137" w:rsidRDefault="00A31137" w:rsidP="00A31137">
      <w:r w:rsidRPr="00A31137">
        <w:t>Id. at  894 (emphasis supplied).</w:t>
      </w:r>
    </w:p>
    <w:p w:rsidR="00A31137" w:rsidRPr="00A31137" w:rsidRDefault="00A31137" w:rsidP="00A31137">
      <w:r w:rsidRPr="00A31137">
        <w:t>1993, Church of Lukumi Babalu Aye v. City of Hialeah, 508 U.S. 563</w:t>
      </w:r>
    </w:p>
    <w:p w:rsidR="00A31137" w:rsidRPr="00A31137" w:rsidRDefault="00A31137" w:rsidP="00A31137">
      <w:r w:rsidRPr="00A31137">
        <w:t>The proposition for which the Smith rule stands, then, is that formal neutrality, along with general applicability, are sufficient conditions for constitutionality under the Free Exercise Clause. That proposition is not at issue in this case, however, for Hialeah's animal sacrifice ordinances are not neutral under any definition, any more than they are generally applicable. This case, rather, involves the noncontroversial principle, repeated in Smith, that formal neutrality and general applicability are necessary conditions for free exercise constitutionality. It is only "this fundamental nonpersecution principle of the First Amendment [that is] implicated here," ante at  523, and it is to that principle that the Court adverts when it holds that Hialeah's ordinances "fail to satisfy the Smith requirements," ante at  532. In applying that principle, the Court does not tread on troublesome ground.</w:t>
      </w:r>
    </w:p>
    <w:p w:rsidR="00A31137" w:rsidRPr="00A31137" w:rsidRDefault="00A31137" w:rsidP="00A31137">
      <w:r w:rsidRPr="00A31137">
        <w:t>1993, Church of Lukumi Babalu Aye v. City of Hialeah, 508 U.S. 563</w:t>
      </w:r>
    </w:p>
    <w:p w:rsidR="00A31137" w:rsidRPr="00A31137" w:rsidRDefault="00A31137" w:rsidP="00A31137">
      <w:r w:rsidRPr="00A31137">
        <w:t>In considering, for example, whether Hialeah's animal sacrifice laws violate free exercise neutrality, the Court rightly observes that,</w:t>
      </w:r>
    </w:p>
    <w:p w:rsidR="00A31137" w:rsidRPr="00A31137" w:rsidRDefault="00A31137" w:rsidP="00A31137">
      <w:r w:rsidRPr="00A31137">
        <w:t>1993, Church of Lukumi Babalu Aye v. City of Hialeah, 508 U.S. 563</w:t>
      </w:r>
    </w:p>
    <w:p w:rsidR="00A31137" w:rsidRPr="00A31137" w:rsidRDefault="00A31137" w:rsidP="00A31137">
      <w:r w:rsidRPr="00A31137">
        <w:t>[a]t a minimum, the protections of the Free Exercise Clause pertain if the law at issue discriminates against some or all religious beliefs or regulates or prohibits conduct because it is undertaken for religious reasons,</w:t>
      </w:r>
    </w:p>
    <w:p w:rsidR="00A31137" w:rsidRPr="00A31137" w:rsidRDefault="00A31137" w:rsidP="00A31137">
      <w:r w:rsidRPr="00A31137">
        <w:t>1993, Church of Lukumi Babalu Aye v. City of Hialeah, 508 U.S. 563</w:t>
      </w:r>
    </w:p>
    <w:p w:rsidR="00A31137" w:rsidRPr="00A31137" w:rsidRDefault="00A31137" w:rsidP="00A31137">
      <w:r w:rsidRPr="00A31137">
        <w:t>ibid., and correctly finds Hialeah's laws to fail those standards. The question whether the protections of the Free Exercise Clause also pertain if the law at issue, though nondiscriminatory in its object, has the effect nonetheless of placing a burden on religious exercise is not before the Court [508 U.S. 564] today, and the Court's intimations on the matter are therefore dicta.</w:t>
      </w:r>
    </w:p>
    <w:p w:rsidR="00A31137" w:rsidRPr="00A31137" w:rsidRDefault="00A31137" w:rsidP="00A31137">
      <w:r w:rsidRPr="00A31137">
        <w:t>1993, Church of Lukumi Babalu Aye v. City of Hialeah, 508 U.S. 564</w:t>
      </w:r>
    </w:p>
    <w:p w:rsidR="00A31137" w:rsidRPr="00A31137" w:rsidRDefault="00A31137" w:rsidP="00A31137">
      <w:r w:rsidRPr="00A31137">
        <w:t>The Court also rightly finds Hialeah's laws to fail the test of general applicability, and as the Court</w:t>
      </w:r>
    </w:p>
    <w:p w:rsidR="00A31137" w:rsidRPr="00A31137" w:rsidRDefault="00A31137" w:rsidP="00A31137">
      <w:r w:rsidRPr="00A31137">
        <w:t>1993, Church of Lukumi Babalu Aye v. City of Hialeah, 508 U.S. 564</w:t>
      </w:r>
    </w:p>
    <w:p w:rsidR="00A31137" w:rsidRPr="00A31137" w:rsidRDefault="00A31137" w:rsidP="00A31137">
      <w:r w:rsidRPr="00A31137">
        <w:t>need not define with precision the standard used to evaluate whether a prohibition is of general application, for these ordinances fall well below the minimum standard necessary to protect First Amendment rights,</w:t>
      </w:r>
    </w:p>
    <w:p w:rsidR="00A31137" w:rsidRPr="00A31137" w:rsidRDefault="00A31137" w:rsidP="00A31137">
      <w:r w:rsidRPr="00A31137">
        <w:t>1993, Church of Lukumi Babalu Aye v. City of Hialeah, 508 U.S. 564</w:t>
      </w:r>
    </w:p>
    <w:p w:rsidR="00A31137" w:rsidRPr="00A31137" w:rsidRDefault="00A31137" w:rsidP="00A31137">
      <w:r w:rsidRPr="00A31137">
        <w:t>ante at  543, it need not discuss the rules that apply to prohibitions found to be generally applicable. The question whether</w:t>
      </w:r>
    </w:p>
    <w:p w:rsidR="00A31137" w:rsidRPr="00A31137" w:rsidRDefault="00A31137" w:rsidP="00A31137">
      <w:r w:rsidRPr="00A31137">
        <w:t>1993, Church of Lukumi Babalu Aye v. City of Hialeah, 508 U.S. 564</w:t>
      </w:r>
    </w:p>
    <w:p w:rsidR="00A31137" w:rsidRPr="00A31137" w:rsidRDefault="00A31137" w:rsidP="00A31137">
      <w:r w:rsidRPr="00A31137">
        <w:t>there are areas of conduct protected by the Free Exercise Clause of the First Amendment and thus beyond the power of the State to control, even under regulations of general applicability,</w:t>
      </w:r>
    </w:p>
    <w:p w:rsidR="00A31137" w:rsidRPr="00A31137" w:rsidRDefault="00A31137" w:rsidP="00A31137">
      <w:r w:rsidRPr="00A31137">
        <w:t>1993, Church of Lukumi Babalu Aye v. City of Hialeah, 508 U.S. 564</w:t>
      </w:r>
    </w:p>
    <w:p w:rsidR="00A31137" w:rsidRPr="00A31137" w:rsidRDefault="00A31137" w:rsidP="00A31137">
      <w:r w:rsidRPr="00A31137">
        <w:t>Yoder, 406 U.S. at  220, is not before the Court in this case, and, again, suggestions on that score are dicta.</w:t>
      </w:r>
    </w:p>
    <w:p w:rsidR="00A31137" w:rsidRPr="00A31137" w:rsidRDefault="00A31137" w:rsidP="00A31137">
      <w:r w:rsidRPr="00A31137">
        <w:t>II</w:t>
      </w:r>
    </w:p>
    <w:p w:rsidR="00A31137" w:rsidRPr="00A31137" w:rsidRDefault="00A31137" w:rsidP="00A31137">
      <w:r w:rsidRPr="00A31137">
        <w:t>1993, Church of Lukumi Babalu Aye v. City of Hialeah, 508 U.S. 564</w:t>
      </w:r>
    </w:p>
    <w:p w:rsidR="00A31137" w:rsidRPr="00A31137" w:rsidRDefault="00A31137" w:rsidP="00A31137">
      <w:r w:rsidRPr="00A31137">
        <w:t>In being so readily susceptible to resolution by applying the Free Exercise Clause's "fundamental nonpersecution principle," ante at  523, this is far from a representative free exercise case. While, as the Court observes, the Hialeah City Council has provided a rare example of a law actually aimed at suppressing religious exercise, ibid., Smith was typical of our free exercise cases, involving as it did a formally neutral, generally applicable law. The rule Smith announced, however, was decidedly untypical of the cases involving the same type of law. Because Smith left those prior cases standing, we are left with a free exercise jurisprudence in tension with itself, a tension that should be addressed, and that may legitimately be addressed, by reexamining the Smith rule in the next case that would turn upon its application.</w:t>
      </w:r>
    </w:p>
    <w:p w:rsidR="00A31137" w:rsidRPr="00A31137" w:rsidRDefault="00A31137" w:rsidP="00A31137">
      <w:r w:rsidRPr="00A31137">
        <w:t>A</w:t>
      </w:r>
    </w:p>
    <w:p w:rsidR="00A31137" w:rsidRPr="00A31137" w:rsidRDefault="00A31137" w:rsidP="00A31137">
      <w:r w:rsidRPr="00A31137">
        <w:t>1993, Church of Lukumi Babalu Aye v. City of Hialeah, 508 U.S. 564</w:t>
      </w:r>
    </w:p>
    <w:p w:rsidR="00A31137" w:rsidRPr="00A31137" w:rsidRDefault="00A31137" w:rsidP="00A31137">
      <w:r w:rsidRPr="00A31137">
        <w:t>In developing standards to judge the enforceability of formally neutral, generally applicable laws against the mandates of the Free Exercise Clause, the Court has addressed [508 U.S. 565] the concepts of neutrality and general applicability by indicating, in language hard to read as not foreclosing the Smith rule, that the Free Exercise Clause embraces more than mere formal neutrality, and that formal neutrality and general applicability are not sufficient conditions for free exercise constitutionality:</w:t>
      </w:r>
    </w:p>
    <w:p w:rsidR="00A31137" w:rsidRPr="00A31137" w:rsidRDefault="00A31137" w:rsidP="00A31137">
      <w:r w:rsidRPr="00A31137">
        <w:t>1993, Church of Lukumi Babalu Aye v. City of Hialeah, 508 U.S. 565</w:t>
      </w:r>
    </w:p>
    <w:p w:rsidR="00A31137" w:rsidRPr="00A31137" w:rsidRDefault="00A31137" w:rsidP="00A31137">
      <w:r w:rsidRPr="00A31137">
        <w:t>In a variety of ways, we have said that "[a] regulation neutral on its face may, in its application, nonetheless offend the constitutional requirement for governmental neutrality if it unduly burdens the free exercise of religion."</w:t>
      </w:r>
    </w:p>
    <w:p w:rsidR="00A31137" w:rsidRPr="00A31137" w:rsidRDefault="00A31137" w:rsidP="00A31137">
      <w:r w:rsidRPr="00A31137">
        <w:t>1993, Church of Lukumi Babalu Aye v. City of Hialeah, 508 U.S. 565</w:t>
      </w:r>
    </w:p>
    <w:p w:rsidR="00A31137" w:rsidRPr="00A31137" w:rsidRDefault="00A31137" w:rsidP="00A31137">
      <w:r w:rsidRPr="00A31137">
        <w:t>Thomas, 450 U.S. at  717 (quoting Yoder, 406 U.S. at  220)</w:t>
      </w:r>
    </w:p>
    <w:p w:rsidR="00A31137" w:rsidRPr="00A31137" w:rsidRDefault="00A31137" w:rsidP="00A31137">
      <w:r w:rsidRPr="00A31137">
        <w:t>1993, Church of Lukumi Babalu Aye v. City of Hialeah, 508 U.S. 565</w:t>
      </w:r>
    </w:p>
    <w:p w:rsidR="00A31137" w:rsidRPr="00A31137" w:rsidRDefault="00A31137" w:rsidP="00A31137">
      <w:r w:rsidRPr="00A31137">
        <w:t>[T]o agree that religiously grounded conduct must often be subject to the broad police power of the State is not to deny that there are areas of conduct protected by the Free Exercise Clause of the First Amendment, and thus beyond the power of the State to control, even under regulations of general applicability.</w:t>
      </w:r>
    </w:p>
    <w:p w:rsidR="00A31137" w:rsidRPr="00A31137" w:rsidRDefault="00A31137" w:rsidP="00A31137">
      <w:r w:rsidRPr="00A31137">
        <w:t>1993, Church of Lukumi Babalu Aye v. City of Hialeah, 508 U.S. 565</w:t>
      </w:r>
    </w:p>
    <w:p w:rsidR="00A31137" w:rsidRPr="00A31137" w:rsidRDefault="00A31137" w:rsidP="00A31137">
      <w:r w:rsidRPr="00A31137">
        <w:t>Ibid. Not long before the Smith decision, indeed, the Court specifically rejected the argument that "neutral and uniform" requirements for governmental benefits need satisfy only a reasonableness standard, in part because "[s]uch a test has no basis in precedent." Hobbie v. Unemployment Appeals Comm'n of Florida, 480 U.S. 136,  141 (1987) (internal quotation marks and citations omitted). Rather, we have said,</w:t>
      </w:r>
    </w:p>
    <w:p w:rsidR="00A31137" w:rsidRPr="00A31137" w:rsidRDefault="00A31137" w:rsidP="00A31137">
      <w:r w:rsidRPr="00A31137">
        <w:t>1993, Church of Lukumi Babalu Aye v. City of Hialeah, 508 U.S. 565</w:t>
      </w:r>
    </w:p>
    <w:p w:rsidR="00A31137" w:rsidRPr="00A31137" w:rsidRDefault="00A31137" w:rsidP="00A31137">
      <w:r w:rsidRPr="00A31137">
        <w:t>[o]ur cases have established that "[t]he free exercise inquiry asks whether government has placed a substantial burden on the observation of a central religious belief or practice and, if so, whether a compelling governmental interest justifies the burden."</w:t>
      </w:r>
    </w:p>
    <w:p w:rsidR="00A31137" w:rsidRPr="00A31137" w:rsidRDefault="00A31137" w:rsidP="00A31137">
      <w:r w:rsidRPr="00A31137">
        <w:t>1993, Church of Lukumi Babalu Aye v. City of Hialeah, 508 U.S. 565</w:t>
      </w:r>
    </w:p>
    <w:p w:rsidR="00A31137" w:rsidRPr="00A31137" w:rsidRDefault="00A31137" w:rsidP="00A31137">
      <w:r w:rsidRPr="00A31137">
        <w:t>Swaggart Ministries, 493 U.S. at 384-385 (quoting Hernandez v. Commissioner, 490 U.S. 680,  699 (1989))</w:t>
      </w:r>
    </w:p>
    <w:p w:rsidR="00A31137" w:rsidRPr="00A31137" w:rsidRDefault="00A31137" w:rsidP="00A31137">
      <w:r w:rsidRPr="00A31137">
        <w:t>1993, Church of Lukumi Babalu Aye v. City of Hialeah, 508 U.S. 565</w:t>
      </w:r>
    </w:p>
    <w:p w:rsidR="00A31137" w:rsidRPr="00A31137" w:rsidRDefault="00A31137" w:rsidP="00A31137">
      <w:r w:rsidRPr="00A31137">
        <w:t xml:space="preserve">Thus, we have applied the same rigorous scrutiny to burdens on religious exercise resulting from the enforcement of formally neutral, generally applicable laws as we have applied to burdens caused by laws that single out religious exercise: [508 U.S. 566] </w:t>
      </w:r>
    </w:p>
    <w:p w:rsidR="00A31137" w:rsidRPr="00A31137" w:rsidRDefault="00A31137" w:rsidP="00A31137">
      <w:r w:rsidRPr="00A31137">
        <w:t>1993, Church of Lukumi Babalu Aye v. City of Hialeah, 508 U.S. 566</w:t>
      </w:r>
    </w:p>
    <w:p w:rsidR="00A31137" w:rsidRPr="00A31137" w:rsidRDefault="00A31137" w:rsidP="00A31137">
      <w:r w:rsidRPr="00A31137">
        <w:t>"only those interests of the highest order and those not otherwise served can overbalance legitimate claims to the free exercise of religion."</w:t>
      </w:r>
    </w:p>
    <w:p w:rsidR="00A31137" w:rsidRPr="00A31137" w:rsidRDefault="00A31137" w:rsidP="00A31137">
      <w:r w:rsidRPr="00A31137">
        <w:t>1993, Church of Lukumi Babalu Aye v. City of Hialeah, 508 U.S. 566</w:t>
      </w:r>
    </w:p>
    <w:p w:rsidR="00A31137" w:rsidRPr="00A31137" w:rsidRDefault="00A31137" w:rsidP="00A31137">
      <w:r w:rsidRPr="00A31137">
        <w:t>McDaniel v. Paty, 435 U.S. at  628 (plurality opinion) (quoting Yoder, supra, 406 U.S. at  215). Compare McDaniel, supra, 435 U.S. at 628-629 (plurality opinion) (applying that test to a law aimed at religious conduct) with Yoder, supra, 406 U.S. at 215-229 (applying that test to a formally neutral, general law). Other cases in which the Court has applied heightened scrutiny to the enforcement of formally neutral, generally applicable laws that burden religious exercise include Hernandez v. Commissioner, supra, 490 U.S. at  699; Frazee v. Illinois Dept. of Employment Security, 489 U.S. 829,  835 (1989); Hobbie v. Unemployment Appeals Comm'n, 480 U.S. at  141; Bob Jones University v. United States, 461 U.S. 574,  604 (1983); United States v. Lee, 455 U.S. 252, 257-258 (1982); Thomas, supra, 450 U.S. at  718; Sherbert v. Verner, 374 U.S. 398,  403 (1963); and Cantwell v. Connecticut, 310 U.S. 296, 304-307 (1940).</w:t>
      </w:r>
    </w:p>
    <w:p w:rsidR="00A31137" w:rsidRPr="00A31137" w:rsidRDefault="00A31137" w:rsidP="00A31137">
      <w:r w:rsidRPr="00A31137">
        <w:t>1993, Church of Lukumi Babalu Aye v. City of Hialeah, 508 U.S. 566</w:t>
      </w:r>
    </w:p>
    <w:p w:rsidR="00A31137" w:rsidRPr="00A31137" w:rsidRDefault="00A31137" w:rsidP="00A31137">
      <w:r w:rsidRPr="00A31137">
        <w:t>Though Smith sought to distinguish the free exercise cases in which the Court mandated exemptions from secular laws of general application, see 494 U.S. at 881-885, I am not persuaded. Wisconsin v. Yoder and Cantwell v. Connecticut, according to Smith, were not true free exercise cases, but "hybrid[s]" involving</w:t>
      </w:r>
    </w:p>
    <w:p w:rsidR="00A31137" w:rsidRPr="00A31137" w:rsidRDefault="00A31137" w:rsidP="00A31137">
      <w:r w:rsidRPr="00A31137">
        <w:t>1993, Church of Lukumi Babalu Aye v. City of Hialeah, 508 U.S. 566</w:t>
      </w:r>
    </w:p>
    <w:p w:rsidR="00A31137" w:rsidRPr="00A31137" w:rsidRDefault="00A31137" w:rsidP="00A31137">
      <w:r w:rsidRPr="00A31137">
        <w:t>the Free Exercise Clause in conjunction with other constitutional protections, such as freedom of speech and of the press, or the right of parents…to direct the education of their children.</w:t>
      </w:r>
    </w:p>
    <w:p w:rsidR="00A31137" w:rsidRPr="00A31137" w:rsidRDefault="00A31137" w:rsidP="00A31137">
      <w:r w:rsidRPr="00A31137">
        <w:t>1993, Church of Lukumi Babalu Aye v. City of Hialeah, 508 U.S. 566</w:t>
      </w:r>
    </w:p>
    <w:p w:rsidR="00A31137" w:rsidRPr="00A31137" w:rsidRDefault="00A31137" w:rsidP="00A31137">
      <w:r w:rsidRPr="00A31137">
        <w:t>Smith, supra, 494 U.S. at  881, 882. Neither opinion, however, leaves any doubt that "fundamental claims of religious freedom [were] at stake." Yoder, supra, 406 U.S. at  221. See also Cantwell, supra, 310 U.S. at 303-307. 4 [508 U.S. 567] And the distinction Smith draws strikes me as ultimately untenable. If a hybrid claim is simply one in which another constitutional right is implicated, then the hybrid exception would probably be so vast as to swallow the Smith rule, and, indeed, the hybrid exception would cover the situation exemplified by Smith, since free speech and associational rights are certainly implicated in the peyote-smoking ritual. But if a hybrid claim is one in which a litigant would actually obtain an exemption from a formally neutral, generally applicable law under another constitutional provision, then there would have been no reason for the Court in what Smith calls the hybrid cases to have mentioned the Free Exercise Clause at all.</w:t>
      </w:r>
    </w:p>
    <w:p w:rsidR="00A31137" w:rsidRPr="00A31137" w:rsidRDefault="00A31137" w:rsidP="00A31137">
      <w:r w:rsidRPr="00A31137">
        <w:t>1993, Church of Lukumi Babalu Aye v. City of Hialeah, 508 U.S. 567</w:t>
      </w:r>
    </w:p>
    <w:p w:rsidR="00A31137" w:rsidRPr="00A31137" w:rsidRDefault="00A31137" w:rsidP="00A31137">
      <w:r w:rsidRPr="00A31137">
        <w:t>Smith sought to confine the remaining free exercise exemption victories, which involved unemployment compensation [508 U.S. 568] systems, see Frazee, supra; Hobbie, supra; Thomas, supra; and Sherbert, supra, as</w:t>
      </w:r>
    </w:p>
    <w:p w:rsidR="00A31137" w:rsidRPr="00A31137" w:rsidRDefault="00A31137" w:rsidP="00A31137">
      <w:r w:rsidRPr="00A31137">
        <w:t>1993, Church of Lukumi Babalu Aye v. City of Hialeah, 508 U.S. 568</w:t>
      </w:r>
    </w:p>
    <w:p w:rsidR="00A31137" w:rsidRPr="00A31137" w:rsidRDefault="00A31137" w:rsidP="00A31137">
      <w:r w:rsidRPr="00A31137">
        <w:t>stand[ing] for the proposition that where the State has in place a system of individual exemptions, it may not refuse to extend that system to cases of "religious hardship" without compelling reason.</w:t>
      </w:r>
    </w:p>
    <w:p w:rsidR="00A31137" w:rsidRPr="00A31137" w:rsidRDefault="00A31137" w:rsidP="00A31137">
      <w:r w:rsidRPr="00A31137">
        <w:t>1993, Church of Lukumi Babalu Aye v. City of Hialeah, 508 U.S. 568</w:t>
      </w:r>
    </w:p>
    <w:p w:rsidR="00A31137" w:rsidRPr="00A31137" w:rsidRDefault="00A31137" w:rsidP="00A31137">
      <w:r w:rsidRPr="00A31137">
        <w:t>494 U.S. at  884. But prior to Smith, the Court had already refused to accept that explanation of the unemployment compensation cases. See Hobbie, 480 U.S. at  142, n. 7; Bowen v. Roy, 476 U.S. at 715-716 (opinion of BLACKMUN, J.); id. at 727-732 (opinion of O'CONNOR, J., joined by Brennan and Marshall, JJ.); id. at  733 (WHITE, J., dissenting). And, again, the distinction fails to exclude Smith:</w:t>
      </w:r>
    </w:p>
    <w:p w:rsidR="00A31137" w:rsidRPr="00A31137" w:rsidRDefault="00A31137" w:rsidP="00A31137">
      <w:r w:rsidRPr="00A31137">
        <w:t>1993, Church of Lukumi Babalu Aye v. City of Hialeah, 508 U.S. 568</w:t>
      </w:r>
    </w:p>
    <w:p w:rsidR="00A31137" w:rsidRPr="00A31137" w:rsidRDefault="00A31137" w:rsidP="00A31137">
      <w:r w:rsidRPr="00A31137">
        <w:t>If Smith is viewed as a hypothetical criminal prosecution for peyote use, there would be an individual governmental assessment of the defendants' motives and actions in the form of a criminal trial.</w:t>
      </w:r>
    </w:p>
    <w:p w:rsidR="00A31137" w:rsidRPr="00A31137" w:rsidRDefault="00A31137" w:rsidP="00A31137">
      <w:r w:rsidRPr="00A31137">
        <w:t>1993, Church of Lukumi Babalu Aye v. City of Hialeah, 508 U.S. 568</w:t>
      </w:r>
    </w:p>
    <w:p w:rsidR="00A31137" w:rsidRPr="00A31137" w:rsidRDefault="00A31137" w:rsidP="00A31137">
      <w:r w:rsidRPr="00A31137">
        <w:t>McConnell, Free Exercise Revisionism and the Smith Decision, 57 U.Chi.L.Rev. 1109 1124 (1990). Smith also distinguished the unemployment compensation cases on the ground that they did not involve "an across-the-board criminal prohibition on a particular form of conduct." 494 U.S. at  884. But even Chief Justice Burger's plurality opinion in Bowen v. Roy, on which Smith drew for its analysis of the unemployment compensation cases, would have applied its reasonableness test only to "denial of government benefits" and not to</w:t>
      </w:r>
    </w:p>
    <w:p w:rsidR="00A31137" w:rsidRPr="00A31137" w:rsidRDefault="00A31137" w:rsidP="00A31137">
      <w:r w:rsidRPr="00A31137">
        <w:t>1993, Church of Lukumi Babalu Aye v. City of Hialeah, 508 U.S. 568</w:t>
      </w:r>
    </w:p>
    <w:p w:rsidR="00A31137" w:rsidRPr="00A31137" w:rsidRDefault="00A31137" w:rsidP="00A31137">
      <w:r w:rsidRPr="00A31137">
        <w:t>governmental action or legislation that criminalizes religiously inspired activity or inescapably compels conduct that some find objectionable for religious reasons,</w:t>
      </w:r>
    </w:p>
    <w:p w:rsidR="00A31137" w:rsidRPr="00A31137" w:rsidRDefault="00A31137" w:rsidP="00A31137">
      <w:r w:rsidRPr="00A31137">
        <w:t>1993, Church of Lukumi Babalu Aye v. City of Hialeah, 508 U.S. 568</w:t>
      </w:r>
    </w:p>
    <w:p w:rsidR="00A31137" w:rsidRPr="00A31137" w:rsidRDefault="00A31137" w:rsidP="00A31137">
      <w:r w:rsidRPr="00A31137">
        <w:t>Bowen v. Roy, 476 U.S. at  706 (opinion of Burger, C.J., joined by Powell and REHNQUIST, JJ.); to the latter category of governmental action, it would have applied the test employed in Yoder, which involved an across-the-board criminal prohibition and which Chief Justice Burger's opinion treated as an ordinary free [508 U.S. 569] exercise case. See Bowen v. Roy, supra, 476 U.S. at 706-707; id. at  705, n. 15; Yoder, 406 U.S. at  218; see also McDaniel v. Paty, 435 U.S. at  628, n. 8 (noting cases in which courts considered claims for exemptions from general criminal prohibitions, cases the Court thought were "illustrative of the general nature of free exercise protections and the delicate balancing required by our decisions in Sherbert and Yoder, when an important state interest is shown").</w:t>
      </w:r>
    </w:p>
    <w:p w:rsidR="00A31137" w:rsidRPr="00A31137" w:rsidRDefault="00A31137" w:rsidP="00A31137">
      <w:r w:rsidRPr="00A31137">
        <w:t>1993, Church of Lukumi Babalu Aye v. City of Hialeah, 508 U.S. 569</w:t>
      </w:r>
    </w:p>
    <w:p w:rsidR="00A31137" w:rsidRPr="00A31137" w:rsidRDefault="00A31137" w:rsidP="00A31137">
      <w:r w:rsidRPr="00A31137">
        <w:t>As for the cases on which Smith primarily relied as establishing the rule it embraced, Reynolds v. United States, 98 U.S. 145 (1879) and Minersville School Dist. v. Gobitis, 310 U.S. 586 (1940), see Smith, supra, 494 U.S. at  879, their subsequent treatment by the Court would seem to require rejection of the Smith rule. Reynolds, which, in upholding the polygamy conviction of a Mormon, stressed the evils it saw as associated with polygamy, see 98 U.S. at  166 ("polygamy leads to the patriarchal principle, and…fetters the people in stationary despotism"); id. at  165,  168, has been read as consistent with the principle that religious conduct may be regulated by general or targeting law only if the conduct "pose[s] some substantial threat to public safety, peace or order." Sherbert v. Verner, 374 U.S. at  403; see also United States v. Lee, 455 U.S. at 257-258; Bob Jones University, 461 U.S. at  603; Yoder, supra, 406 U.S. at  230. And Gobitis, after three Justices who originally joined the opinion renounced it for disregarding the government's constitutional obligation "to accommodate itself to the religious views of minorities," Jones v. Opelika, 316 U.S. 584, 624 (1942) (opinion of Black, Douglas, and Murphy, JJ.), was explicitly overruled in West Virginia Board of Education v. Barnette, 319 U.S. 624,  642 (1943); see also id. at 643-44 (Black and Douglas, JJ., concurring).</w:t>
      </w:r>
    </w:p>
    <w:p w:rsidR="00A31137" w:rsidRPr="00A31137" w:rsidRDefault="00A31137" w:rsidP="00A31137">
      <w:r w:rsidRPr="00A31137">
        <w:t>1993, Church of Lukumi Babalu Aye v. City of Hialeah, 508 U.S. 569</w:t>
      </w:r>
    </w:p>
    <w:p w:rsidR="00A31137" w:rsidRPr="00A31137" w:rsidRDefault="00A31137" w:rsidP="00A31137">
      <w:r w:rsidRPr="00A31137">
        <w:t>Since holding in 1940 that the Free Exercise Clause applies to the States, see Cantwell v. Connecticut, 310 U.S. 296 (1940), the Court repeatedly has stated that the Clause sets strict limits on the government's power to burden religious exercise, whether it is a law's object to do so or its unanticipated [508 U.S. 570] effect. Smith responded to these statements by suggesting that the Court did not really mean what it said, detecting in at least the most recent opinions a lack of commitment to the compelling interest test in the context of formally neutral laws. Smith, supra, 494 U.S. at 884-885. But even if the Court's commitment were that palid, it would argue only for moderating the language of the test, not for eliminating constitutional scrutiny altogether. In any event, I would have trouble concluding that the Court has not meant what it has said in more than a dozen cases over several decades, particularly when, in the same period, it repeatedly applied the compelling-interest test to require exemptions, even in a case decided the year before Smith. See Frazee v. Illinois Dept. of Employment Security, 489 U.S. 829 (1989). 5 In sum, it seems to me difficult to escape the conclusion [508 U.S. 571] that, whatever Smith's virtues, they do not include a comfortable fit with settled law.</w:t>
      </w:r>
    </w:p>
    <w:p w:rsidR="00A31137" w:rsidRPr="00A31137" w:rsidRDefault="00A31137" w:rsidP="00A31137">
      <w:r w:rsidRPr="00A31137">
        <w:t>B</w:t>
      </w:r>
    </w:p>
    <w:p w:rsidR="00A31137" w:rsidRPr="00A31137" w:rsidRDefault="00A31137" w:rsidP="00A31137">
      <w:r w:rsidRPr="00A31137">
        <w:t>1993, Church of Lukumi Babalu Aye v. City of Hialeah, 508 U.S. 571</w:t>
      </w:r>
    </w:p>
    <w:p w:rsidR="00A31137" w:rsidRPr="00A31137" w:rsidRDefault="00A31137" w:rsidP="00A31137">
      <w:r w:rsidRPr="00A31137">
        <w:t>The Smith rule, in my view, may be reexamined consistently with principles of stare decisis. To begin with, the Smith rule was not subject to "full-dress argument" prior to its announcement. Mapp v. Ohio, 367 U.S. 643, 676-677 (1961) (Harlan, J., dissenting). The State of Oregon, in Smith, contended that its refusal to exempt religious peyote use survived the strict scrutiny required by "settled free exercise principles," inasmuch as the State had "a compelling interest in regulating" the practice of peyote use and could not "accommodate the religious practice without compromising [508 U.S. 572] its interest." Brief for Petitioners in Smith, O.T. 1989, No. 88-1213, p. 5; see also id. pp. 5-36; Reply Brief for Petitioners in Smith, pp. 6-20. Respondents joined issue on the outcome of strict scrutiny on the facts before the Court, see Brief for Respondents in Smith, pp. 14-41, and neither party squarely addressed the proposition the Court was to embrace, that the Free Exercise Clause was irrelevant to the dispute. Sound judicial decisionmaking requires "both a vigorous prosecution and a vigorous defense" of the issues in dispute, Christiansburg Garment Co. v. EEOC, 434 U.S. 412, 419 (1978), and a constitutional rule announced sua sponte is entitled to less deference than one addressed on full briefing and argument. Cf. Ladner v. United States, 358 U.S. 169, 173 (1958) (declining to address "an important and complex" issue concerning the scope of collateral attack upon criminal sentences because it had received "only meagre argument" from the parties, and the Court thought it "should have the benefit of a full argument before dealing with the question").</w:t>
      </w:r>
    </w:p>
    <w:p w:rsidR="00A31137" w:rsidRPr="00A31137" w:rsidRDefault="00A31137" w:rsidP="00A31137">
      <w:r w:rsidRPr="00A31137">
        <w:t>1993, Church of Lukumi Babalu Aye v. City of Hialeah, 508 U.S. 572</w:t>
      </w:r>
    </w:p>
    <w:p w:rsidR="00A31137" w:rsidRPr="00A31137" w:rsidRDefault="00A31137" w:rsidP="00A31137">
      <w:r w:rsidRPr="00A31137">
        <w:t>The Smith rule's vitality as precedent is limited further by the seeming want of any need of it in resolving the question presented in that case. JUSTICE O'CONNOR reached the same result as the majority by applying, as the parties had requested, "our established free exercise jurisprudence," 494 U.S. at  903, and the majority never determined that the case could not be resolved on the narrower ground, going instead straight to the broader constitutional rule. But the Court's better practice, one supported by the same principles of restraint that underlie the rule of stare decisis, is not to "'formulate a rule of constitutional law broader than is required by the precise facts to which it is to be applied.'" Ashwander v. TVA, 297 U.S. 288,  347 (1936) (Brandeis, J., concurring) (quoting Liverpool, New York &amp; Philadelphia S.S. Co. v. Commissioners of Emigration, 113 U.S. 33,  39 (1885)). While I am not suggesting that the Smith Court lacked the power to announce its rule, I think a rule of law unnecessary to the outcome of a case, especially one not put [508 U.S. 573] into play by the parties, approaches without more the sort of "dicta…which may be followed if sufficiently persuasive but which are not controlling." Humphrey's Executor v. United States, 295 U.S. 602,  627 (1935); see also Kastigar v. United States, 406 U.S. 441, 454-455 (1972).</w:t>
      </w:r>
    </w:p>
    <w:p w:rsidR="00A31137" w:rsidRPr="00A31137" w:rsidRDefault="00A31137" w:rsidP="00A31137">
      <w:r w:rsidRPr="00A31137">
        <w:t>1993, Church of Lukumi Babalu Aye v. City of Hialeah, 508 U.S. 573</w:t>
      </w:r>
    </w:p>
    <w:p w:rsidR="00A31137" w:rsidRPr="00A31137" w:rsidRDefault="00A31137" w:rsidP="00A31137">
      <w:r w:rsidRPr="00A31137">
        <w:t>I do not, of course, mean to imply that a broad constitutional rule announced without full briefing and argument necessarily lacks precedential weight. Over time, such a decision may become "part of the tissue of the law," Radovich v. National Football League, 352 U.S. 445, 455 (1957) (Frankfurter, J., dissenting), and may be subject to reliance in a way that new and unexpected decisions are not. Cf. Planned Parenthood of Southeastern Pennsylvania v. Casey, 505 U.S. 833, 854-855 (1992). Smith, however, is not such a case. By the same token, by pointing out Smith's recent vintage, I do not mean to suggest that novelty alone is enough to justify reconsideration. "[S]tare decisis," as Justice Frankfurter wrote, "is a principle of policy, and not a mechanical formula," Helvering v. Hallock, 309 U.S. 106, 119 (1940), and the decision whether to adhere to a prior decision, particularly a constitutional decision, is a complex and difficult one that does not lend itself to resolution by application of simple, categorical rules, but that must account for a variety of often competing considerations.</w:t>
      </w:r>
    </w:p>
    <w:p w:rsidR="00A31137" w:rsidRPr="00A31137" w:rsidRDefault="00A31137" w:rsidP="00A31137">
      <w:r w:rsidRPr="00A31137">
        <w:t>1993, Church of Lukumi Babalu Aye v. City of Hialeah, 508 U.S. 573</w:t>
      </w:r>
    </w:p>
    <w:p w:rsidR="00A31137" w:rsidRPr="00A31137" w:rsidRDefault="00A31137" w:rsidP="00A31137">
      <w:r w:rsidRPr="00A31137">
        <w:t>The considerations of full-briefing, necessity, and novelty thus do not exhaust the legitimate reasons for reexamining prior decisions, or even for reexamining the Smith rule. One important further consideration warrants mention here, however, because it demands the reexamination I have in mind. Smith presents not the usual question of whether to follow a constitutional rule, but the question of which constitutional rule to follow, for Smith refrained from overruling prior free exercise cases that contain a free exercise rule fundamentally at odds with the rule Smith declared. Smith, indeed, announced its rule by relying squarely upon [508 U.S. 574] the precedent of prior cases. See 494 U.S. at 878 ("Our decisions reveal that the…reading" of the Free Exercise Clause contained in the Smith rule "is the correct one"). Since that precedent is nonetheless at odds with the Smith rule, as I have discussed above, the result is an intolerable tension in free exercise law which may be resolved, consistently with principles of stare decisis, in a case in which the tension is presented and its resolution pivotal.</w:t>
      </w:r>
    </w:p>
    <w:p w:rsidR="00A31137" w:rsidRPr="00A31137" w:rsidRDefault="00A31137" w:rsidP="00A31137">
      <w:r w:rsidRPr="00A31137">
        <w:t>1993, Church of Lukumi Babalu Aye v. City of Hialeah, 508 U.S. 574</w:t>
      </w:r>
    </w:p>
    <w:p w:rsidR="00A31137" w:rsidRPr="00A31137" w:rsidRDefault="00A31137" w:rsidP="00A31137">
      <w:r w:rsidRPr="00A31137">
        <w:t>While the tension on which I rely exists within the body of our extant case law, a rereading of that case law will not, of course, mark the limits of any enquiry directed to reexamining the Smith rule, which should be reviewed in light not only of the precedent on which it was rested, but also of the text of the Free Exercise Clause and its origins. As for text, Smith did not assert that the plain language of the Free Exercise Clause compelled its rule, but only that the rule was "a permissible reading" of the Clause. Id. at  878. Suffice it to say that a respectable argument may be made that the pre-Smith law comes closer to fulfilling the language of the Free Exercise Clause than the rule Smith announced. "[T]he Free Exercise Clause…, by its terms, gives special protection to the exercise of religion," Thomas, 450 U.S. at  713, specifying an activity and then flatly protecting it against government prohibition. The Clause draws no distinction between laws whose object is to prohibit religious exercise and laws with that effect, on its face seemingly applying to both.</w:t>
      </w:r>
    </w:p>
    <w:p w:rsidR="00A31137" w:rsidRPr="00A31137" w:rsidRDefault="00A31137" w:rsidP="00A31137">
      <w:r w:rsidRPr="00A31137">
        <w:t>1993, Church of Lukumi Babalu Aye v. City of Hialeah, 508 U.S. 574</w:t>
      </w:r>
    </w:p>
    <w:p w:rsidR="00A31137" w:rsidRPr="00A31137" w:rsidRDefault="00A31137" w:rsidP="00A31137">
      <w:r w:rsidRPr="00A31137">
        <w:t>Nor did Smith consider the original meaning of the Free Exercise Clause, though overlooking the opportunity was no unique transgression. Save in a handful of passing remarks, the Court has not explored the history of the Clause since its early attempts in 1879 and 1890, see Reynolds v. United States, 98 U.S. at 162-166, and Davis v. Beason, 133 U.S. 333, 342 (1890), attempts that recent scholarship makes clear were incomplete. See generally McConnell, The Origins and Historical Understanding of Free Exercise of Religion, [508 U.S. 575] 103 Harv.L.Rev. 1409 (1990). 6 The curious absence of history from our free exercise decisions creates a stark contrast with our cases under the Establishment Clause, where historical analysis has been so prominent. 7</w:t>
      </w:r>
    </w:p>
    <w:p w:rsidR="00A31137" w:rsidRPr="00A31137" w:rsidRDefault="00A31137" w:rsidP="00A31137">
      <w:r w:rsidRPr="00A31137">
        <w:t>1993, Church of Lukumi Babalu Aye v. City of Hialeah, 508 U.S. 575</w:t>
      </w:r>
    </w:p>
    <w:p w:rsidR="00A31137" w:rsidRPr="00A31137" w:rsidRDefault="00A31137" w:rsidP="00A31137">
      <w:r w:rsidRPr="00A31137">
        <w:t xml:space="preserve">This is not the place to explore the history that a century of free exercise opinions have overlooked, and it is enough to note that, when the opportunity to reexamine Smith presents itself, we may consider recent scholarship raising serious questions about the Smith rule's consonance with the original understanding and purpose of the Free Exercise Clause. See McConnell, The Origins and Historical Understanding of Free Exercise of Religion, supra; Durham, Religious Liberty and the Call of Conscience, 42 DePaul L.Rev. 71, 79-85 (1992); see also Office of Legal Policy, U.S. Dept. of Justice, Report to the Attorney General, Religious Liberty under the Free Exercise Clause 38-42 (1986) (predating Smith). There appears to be a strong argument from the [508 U.S. 576] Clause's development in the First Congress, from its origins in the post-Revolution state constitutions and pre-Revolution colonial charters, and from the philosophy of rights to which the Framers adhered, that the Clause was originally understood to preserve a right to engage in activities necessary to fulfill one's duty to one's God, unless those activities threatened the rights of others or the serious needs of the State. If, as this scholarship suggests, the Free Exercise Clause's original "purpose [was] to secure religious liberty in the individual by prohibiting any invasions thereof by civil authority," School Dist. of Abington v. Schempp, 374 U.S. at 223, then there would be powerful reason to interpret the Clause to accord with its natural reading, as applying to all laws prohibiting religious exercise in fact, not just those aimed at its prohibition, and to hold the neutrality needed to implement such a purpose to be the substantive neutrality of our pre-Smith cases, not the formal neutrality sufficient for constitutionality under Smith. 8 [508 U.S. 577] </w:t>
      </w:r>
    </w:p>
    <w:p w:rsidR="00A31137" w:rsidRPr="00A31137" w:rsidRDefault="00A31137" w:rsidP="00A31137">
      <w:r w:rsidRPr="00A31137">
        <w:t>1993, Church of Lukumi Babalu Aye v. City of Hialeah, 508 U.S. 577</w:t>
      </w:r>
    </w:p>
    <w:p w:rsidR="00A31137" w:rsidRPr="00A31137" w:rsidRDefault="00A31137" w:rsidP="00A31137">
      <w:r w:rsidRPr="00A31137">
        <w:t>The scholarship on the original understanding of the Free Exercise Clause is, to be sure, not uniform. See, e.g., Hamburger, A Constitutional Right of Religious Exemption: An Historical Perspective, 60 Geo.Wash.L.Rev. 915 (1992); Bradley, Beguiled: Free Exercise Exemptions and the Siren Song of Liberalism, 20 Hofstra L.Rev. 245 (1991). And there are differences of opinion as to the weight appropriately accorded original meaning. But whether or not one considers the original designs of the Clause binding, the interpretive significance of those designs surely ranks in the hierarchy of issues to be explored in resolving the tension inherent in free exercise law as it stands today.</w:t>
      </w:r>
    </w:p>
    <w:p w:rsidR="00A31137" w:rsidRPr="00A31137" w:rsidRDefault="00A31137" w:rsidP="00A31137">
      <w:r w:rsidRPr="00A31137">
        <w:t>III</w:t>
      </w:r>
    </w:p>
    <w:p w:rsidR="00A31137" w:rsidRPr="00A31137" w:rsidRDefault="00A31137" w:rsidP="00A31137">
      <w:r w:rsidRPr="00A31137">
        <w:t>1993, Church of Lukumi Babalu Aye v. City of Hialeah, 508 U.S. 577</w:t>
      </w:r>
    </w:p>
    <w:p w:rsidR="00A31137" w:rsidRPr="00A31137" w:rsidRDefault="00A31137" w:rsidP="00A31137">
      <w:r w:rsidRPr="00A31137">
        <w:t>The extent to which the Free Exercise Clause requires government to refrain from impeding religious exercise defines nothing less than the respective relationships in our constitutional democracy of the individual to government and to God. "Neutral, generally applicable" laws, drafted as they are from the perspective of the nonadherent, have the unavoidable potential of putting the believer to a choice between God and government. Our cases now present competing answers to the question when government, while pursuing secular ends, may compel disobedience to what one believes religion commands. The case before us is rightly decided without resolving the existing tension, which remains for another day when it may be squarely faced.</w:t>
      </w:r>
    </w:p>
    <w:p w:rsidR="00A31137" w:rsidRPr="00A31137" w:rsidRDefault="00A31137" w:rsidP="00A31137">
      <w:r w:rsidRPr="00A31137">
        <w:t>BLACKMUN, J., concurring</w:t>
      </w:r>
    </w:p>
    <w:p w:rsidR="00A31137" w:rsidRPr="00A31137" w:rsidRDefault="00A31137" w:rsidP="00A31137">
      <w:r w:rsidRPr="00A31137">
        <w:t>1993, Church of Lukumi Babalu Aye v. City of Hialeah, 508 U.S. 577</w:t>
      </w:r>
    </w:p>
    <w:p w:rsidR="00A31137" w:rsidRPr="00A31137" w:rsidRDefault="00A31137" w:rsidP="00A31137">
      <w:r w:rsidRPr="00A31137">
        <w:t>JUSTICE BLACKMUN, with whom JUSTICE O'CONNOR joins, concurring in the judgment.</w:t>
      </w:r>
    </w:p>
    <w:p w:rsidR="00A31137" w:rsidRPr="00A31137" w:rsidRDefault="00A31137" w:rsidP="00A31137">
      <w:r w:rsidRPr="00A31137">
        <w:t>1993, Church of Lukumi Babalu Aye v. City of Hialeah, 508 U.S. 577</w:t>
      </w:r>
    </w:p>
    <w:p w:rsidR="00A31137" w:rsidRPr="00A31137" w:rsidRDefault="00A31137" w:rsidP="00A31137">
      <w:r w:rsidRPr="00A31137">
        <w:t>The Court holds today that the city of Hialeah violated the First and Fourteenth Amendments when it passed a set of restrictive ordinances explicitly directed at petitioners' religious practice. With this holding, I agree. I write separately to emphasize that the First Amendment's protection of religion extends beyond those rare occasions on which the government explicitly targets religion (or a particular religion) [508 U.S. 578] for disfavored treatment, as is done in this case. In my view, a statute that burdens the free exercise of religion</w:t>
      </w:r>
    </w:p>
    <w:p w:rsidR="00A31137" w:rsidRPr="00A31137" w:rsidRDefault="00A31137" w:rsidP="00A31137">
      <w:r w:rsidRPr="00A31137">
        <w:t>1993, Church of Lukumi Babalu Aye v. City of Hialeah, 508 U.S. 578</w:t>
      </w:r>
    </w:p>
    <w:p w:rsidR="00A31137" w:rsidRPr="00A31137" w:rsidRDefault="00A31137" w:rsidP="00A31137">
      <w:r w:rsidRPr="00A31137">
        <w:t>may stand only if the law in general, and the State's refusal to allow a religious exemption in particular, are justified by a compelling interest that cannot be served by less restrictive means.</w:t>
      </w:r>
    </w:p>
    <w:p w:rsidR="00A31137" w:rsidRPr="00A31137" w:rsidRDefault="00A31137" w:rsidP="00A31137">
      <w:r w:rsidRPr="00A31137">
        <w:t>1993, Church of Lukumi Babalu Aye v. City of Hialeah, 508 U.S. 578</w:t>
      </w:r>
    </w:p>
    <w:p w:rsidR="00A31137" w:rsidRPr="00A31137" w:rsidRDefault="00A31137" w:rsidP="00A31137">
      <w:r w:rsidRPr="00A31137">
        <w:t>Employment Div., Oregon Dept. of Human Resources v. Smith, 494 U.S. 872,  907 (1990) (dissenting opinion). The Court, however, applies a different test. It applies the test announced in Smith, under which</w:t>
      </w:r>
    </w:p>
    <w:p w:rsidR="00A31137" w:rsidRPr="00A31137" w:rsidRDefault="00A31137" w:rsidP="00A31137">
      <w:r w:rsidRPr="00A31137">
        <w:t>1993, Church of Lukumi Babalu Aye v. City of Hialeah, 508 U.S. 578</w:t>
      </w:r>
    </w:p>
    <w:p w:rsidR="00A31137" w:rsidRPr="00A31137" w:rsidRDefault="00A31137" w:rsidP="00A31137">
      <w:r w:rsidRPr="00A31137">
        <w:t>a law that is neutral and of general applicability need not be justified by a compelling governmental interest even if the law has the incidental effect of burdening a particular religious practice.</w:t>
      </w:r>
    </w:p>
    <w:p w:rsidR="00A31137" w:rsidRPr="00A31137" w:rsidRDefault="00A31137" w:rsidP="00A31137">
      <w:r w:rsidRPr="00A31137">
        <w:t>1993, Church of Lukumi Babalu Aye v. City of Hialeah, 508 U.S. 578</w:t>
      </w:r>
    </w:p>
    <w:p w:rsidR="00A31137" w:rsidRPr="00A31137" w:rsidRDefault="00A31137" w:rsidP="00A31137">
      <w:r w:rsidRPr="00A31137">
        <w:t>Ante at  531. I continue to believe that Smith was wrongly decided, because it ignored the value of religious freedom as an affirmative individual liberty, and treated the Free Exercise Clause as no more than an antidiscrimination principle. See 494 U.S. at 908-909. Thus, while I agree with the result the Court reaches in this case, I arrive at that result by a different route.</w:t>
      </w:r>
    </w:p>
    <w:p w:rsidR="00A31137" w:rsidRPr="00A31137" w:rsidRDefault="00A31137" w:rsidP="00A31137">
      <w:r w:rsidRPr="00A31137">
        <w:t>1993, Church of Lukumi Babalu Aye v. City of Hialeah, 508 U.S. 578</w:t>
      </w:r>
    </w:p>
    <w:p w:rsidR="00A31137" w:rsidRPr="00A31137" w:rsidRDefault="00A31137" w:rsidP="00A31137">
      <w:r w:rsidRPr="00A31137">
        <w:t>When the State enacts legislation that intentionally or unintentionally places a burden upon religiously motivated practice, it must justify that burden by "showing that it is the least restrictive means of achieving some compelling state interest." Thomas v. Review Bd. of Indiana Employment Security Div., 450 U.S. 707,  718 (1981). See also Wisconsin v. Yoder, 406 U.S. 205,  215 (1972). A State may no more create an underinclusive statute, one that fails truly to promote its purported compelling interest, than it may create an overinclusive statute, one that encompasses more protected conduct than necessary to achieve its goal. In the latter circumstance, the broad scope of the statute is unnecessary to serve the interest, and the statute fails for that reason. In the former situation, the fact that allegedly harmful conduct falls outside the statute's scope belies a governmental assertion that it has genuinely pursued an interest "of the highest order." Ibid. If the State's goal is important enough to prohibit religiously motivated activity, it [508 U.S. 579] will not and must not stop at religiously motivated activity. Cf. Zablocki v. Redhail, 434 U.S. 374,  390 (1978) (invalidating certain restrictions on marriage as "grossly underinclusive with respect to [their] purpose"); Supreme Court of New Hampshire v. Piper, 470 U.S. 274,  285, n.19 (1985) (a rule excluding nonresidents from the bar of New Hampshire "is underinclusive…because it permits lawyers who move away from the State to retain their membership in the bar").</w:t>
      </w:r>
    </w:p>
    <w:p w:rsidR="00A31137" w:rsidRPr="00A31137" w:rsidRDefault="00A31137" w:rsidP="00A31137">
      <w:r w:rsidRPr="00A31137">
        <w:t>1993, Church of Lukumi Babalu Aye v. City of Hialeah, 508 U.S. 579</w:t>
      </w:r>
    </w:p>
    <w:p w:rsidR="00A31137" w:rsidRPr="00A31137" w:rsidRDefault="00A31137" w:rsidP="00A31137">
      <w:r w:rsidRPr="00A31137">
        <w:t>In this case, the ordinances at issue are both overinclusive and underinclusive in relation to the state interests they purportedly serve. They are overinclusive, as the majority correctly explains, because the</w:t>
      </w:r>
    </w:p>
    <w:p w:rsidR="00A31137" w:rsidRPr="00A31137" w:rsidRDefault="00A31137" w:rsidP="00A31137">
      <w:r w:rsidRPr="00A31137">
        <w:t>1993, Church of Lukumi Babalu Aye v. City of Hialeah, 508 U.S. 579</w:t>
      </w:r>
    </w:p>
    <w:p w:rsidR="00A31137" w:rsidRPr="00A31137" w:rsidRDefault="00A31137" w:rsidP="00A31137">
      <w:r w:rsidRPr="00A31137">
        <w:t>legitimate governmental interests in protecting the public health and preventing cruelty to animals could be addressed by restrictions stopping far short of a flat prohibition of all Santeria sacrificial practice.</w:t>
      </w:r>
    </w:p>
    <w:p w:rsidR="00A31137" w:rsidRPr="00A31137" w:rsidRDefault="00A31137" w:rsidP="00A31137">
      <w:r w:rsidRPr="00A31137">
        <w:t>1993, Church of Lukumi Babalu Aye v. City of Hialeah, 508 U.S. 579</w:t>
      </w:r>
    </w:p>
    <w:p w:rsidR="00A31137" w:rsidRPr="00A31137" w:rsidRDefault="00A31137" w:rsidP="00A31137">
      <w:r w:rsidRPr="00A31137">
        <w:t>Ante at  538. They are underinclusive as well, because,</w:t>
      </w:r>
    </w:p>
    <w:p w:rsidR="00A31137" w:rsidRPr="00A31137" w:rsidRDefault="00A31137" w:rsidP="00A31137">
      <w:r w:rsidRPr="00A31137">
        <w:t>1993, Church of Lukumi Babalu Aye v. City of Hialeah, 508 U.S. 579</w:t>
      </w:r>
    </w:p>
    <w:p w:rsidR="00A31137" w:rsidRPr="00A31137" w:rsidRDefault="00A31137" w:rsidP="00A31137">
      <w:r w:rsidRPr="00A31137">
        <w:t>[d]espite the city's proffered interest in preventing cruelty to animals, the ordinances are drafted with care to forbid few killings but those occasioned by religious sacrifice.</w:t>
      </w:r>
    </w:p>
    <w:p w:rsidR="00A31137" w:rsidRPr="00A31137" w:rsidRDefault="00A31137" w:rsidP="00A31137">
      <w:r w:rsidRPr="00A31137">
        <w:t>1993, Church of Lukumi Babalu Aye v. City of Hialeah, 508 U.S. 579</w:t>
      </w:r>
    </w:p>
    <w:p w:rsidR="00A31137" w:rsidRPr="00A31137" w:rsidRDefault="00A31137" w:rsidP="00A31137">
      <w:r w:rsidRPr="00A31137">
        <w:t>Ante at  543. Moreover, the "ordinances are also underinclusive with regard to the city's interest in public health…. " Ante at  544.</w:t>
      </w:r>
    </w:p>
    <w:p w:rsidR="00A31137" w:rsidRPr="00A31137" w:rsidRDefault="00A31137" w:rsidP="00A31137">
      <w:r w:rsidRPr="00A31137">
        <w:t>1993, Church of Lukumi Babalu Aye v. City of Hialeah, 508 U.S. 579</w:t>
      </w:r>
    </w:p>
    <w:p w:rsidR="00A31137" w:rsidRPr="00A31137" w:rsidRDefault="00A31137" w:rsidP="00A31137">
      <w:r w:rsidRPr="00A31137">
        <w:t>When a law discriminates against religion as such, as do the ordinances in this case, it automatically will fail strict scrutiny under Sherbert v. Verner, 374 U.S. 398, 402-403,  407 (1963) (holding that governmental regulation that imposes a burden upon religious practice must be narrowly tailored to advance a compelling state interest). This is true because a law that targets religious practice for disfavored treatment both burdens the free exercise of religion and, by definition, is not precisely tailored to a compelling governmental interest.</w:t>
      </w:r>
    </w:p>
    <w:p w:rsidR="00A31137" w:rsidRPr="00A31137" w:rsidRDefault="00A31137" w:rsidP="00A31137">
      <w:r w:rsidRPr="00A31137">
        <w:t>1993, Church of Lukumi Babalu Aye v. City of Hialeah, 508 U.S. 579</w:t>
      </w:r>
    </w:p>
    <w:p w:rsidR="00A31137" w:rsidRPr="00A31137" w:rsidRDefault="00A31137" w:rsidP="00A31137">
      <w:r w:rsidRPr="00A31137">
        <w:t>Thus, unlike the majority, I do not believe that "[a] law burdening religious practice that is not neutral or not of general application must undergo the most rigorous of scrutiny." Ante at  546. In my view, regulation that targets religion in this way, ipso facto, fails strict scrutiny. It is for this reason [508 U.S. 580] that a statute that explicitly restricts religious practices violates the First Amendment. Otherwise, however, "[t]he First Amendment…does not distinguish between laws that are generally applicable and laws that target particular religious practices." Smith, 494 U.S. at 894 (opinion concurring in judgment).</w:t>
      </w:r>
    </w:p>
    <w:p w:rsidR="00A31137" w:rsidRPr="00A31137" w:rsidRDefault="00A31137" w:rsidP="00A31137">
      <w:r w:rsidRPr="00A31137">
        <w:t>1993, Church of Lukumi Babalu Aye v. City of Hialeah, 508 U.S. 580</w:t>
      </w:r>
    </w:p>
    <w:p w:rsidR="00A31137" w:rsidRPr="00A31137" w:rsidRDefault="00A31137" w:rsidP="00A31137">
      <w:r w:rsidRPr="00A31137">
        <w:t>It is only in the rare case that a state or local legislature will enact a law directly burdening religious practice as such. See ibid. Because the respondent here does single out religion in this way, the present case is an easy one to decide.</w:t>
      </w:r>
    </w:p>
    <w:p w:rsidR="00A31137" w:rsidRPr="00A31137" w:rsidRDefault="00A31137" w:rsidP="00A31137">
      <w:r w:rsidRPr="00A31137">
        <w:t>1993, Church of Lukumi Babalu Aye v. City of Hialeah, 508 U.S. 580</w:t>
      </w:r>
    </w:p>
    <w:p w:rsidR="00A31137" w:rsidRPr="00A31137" w:rsidRDefault="00A31137" w:rsidP="00A31137">
      <w:r w:rsidRPr="00A31137">
        <w:t>A harder case would be presented if petitioners were requesting an exemption from a generally applicable anticruelty law. The result in the case before the Court today, and the fact that every Member of the Court concurs in that result, does not necessarily reflect this Court's views of the strength of a State's interest in prohibiting cruelty to animals. This case does not present, and I therefore decline to reach, the question whether the Free Exercise Clause would require a religious exemption from a law that sincerely pursued the goal of protecting animals from cruel treatment. The number of organizations that have filed amicus briefs on behalf of this interest,* however, demonstrates that it is not a concern to be treated lightly.</w:t>
      </w:r>
    </w:p>
    <w:p w:rsidR="00A31137" w:rsidRPr="00A31137" w:rsidRDefault="00A31137" w:rsidP="00A31137">
      <w:r w:rsidRPr="00A31137">
        <w:t>Footnotes</w:t>
      </w:r>
    </w:p>
    <w:p w:rsidR="00A31137" w:rsidRPr="00A31137" w:rsidRDefault="00A31137" w:rsidP="00A31137">
      <w:r w:rsidRPr="00A31137">
        <w:t>KENNEDY, J., lead opinion (Footnotes)</w:t>
      </w:r>
    </w:p>
    <w:p w:rsidR="00A31137" w:rsidRPr="00A31137" w:rsidRDefault="00A31137" w:rsidP="00A31137">
      <w:r w:rsidRPr="00A31137">
        <w:t>1993, Church of Lukumi Babalu Aye v. City of Hialeah, 508 U.S. 580</w:t>
      </w:r>
    </w:p>
    <w:p w:rsidR="00A31137" w:rsidRPr="00A31137" w:rsidRDefault="00A31137" w:rsidP="00A31137">
      <w:r w:rsidRPr="00A31137">
        <w:t>* THE CHIEF JUSTICE, JUSTICE SCALIA, and JUSTICE THOMAS join all but Part II-A-2 of this opinion. JUSTICE WHITE joins all but Part II-A of this opinion. JUSTICE SOUTER joins only Parts 1, III, and IV of this opinion.</w:t>
      </w:r>
    </w:p>
    <w:p w:rsidR="00A31137" w:rsidRPr="00A31137" w:rsidRDefault="00A31137" w:rsidP="00A31137">
      <w:r w:rsidRPr="00A31137">
        <w:t>1993, Church of Lukumi Babalu Aye v. City of Hialeah, 508 U.S. 580</w:t>
      </w:r>
    </w:p>
    <w:p w:rsidR="00A31137" w:rsidRPr="00A31137" w:rsidRDefault="00A31137" w:rsidP="00A31137">
      <w:r w:rsidRPr="00A31137">
        <w:t>** Respondent advances the additional governmental interest in prohibiting the slaughter or sacrifice of animals in areas of the city not zoned for slaughterhouses, see Brief for Respondent 28-31, and the District court found this interest to be compelling, see 723 F.Supp. 1467, 1486 (SD Fla.1989). This interest cannot justify Ordinances 87-40 87-52, and 87-71, for they apply to conduct without regard to where it occurs. Ordinance 87-72 does impose a locational restriction, but this asserted governmental interest is a mere restatement of the prohibition itself, not a justification for it. In our discussion, therefore we put aside this asserted interest.</w:t>
      </w:r>
    </w:p>
    <w:p w:rsidR="00A31137" w:rsidRPr="00A31137" w:rsidRDefault="00A31137" w:rsidP="00A31137">
      <w:r w:rsidRPr="00A31137">
        <w:t>SOUTER, J., concurring (Footnotes)</w:t>
      </w:r>
    </w:p>
    <w:p w:rsidR="00A31137" w:rsidRPr="00A31137" w:rsidRDefault="00A31137" w:rsidP="00A31137">
      <w:r w:rsidRPr="00A31137">
        <w:t>1993, Church of Lukumi Babalu Aye v. City of Hialeah, 508 U.S. 580</w:t>
      </w:r>
    </w:p>
    <w:p w:rsidR="00A31137" w:rsidRPr="00A31137" w:rsidRDefault="00A31137" w:rsidP="00A31137">
      <w:r w:rsidRPr="00A31137">
        <w:t>1. A law that is not generally applicable according to the Court's definition (one that "selective[ly]…impose[s] burdens only on conduct motivated by religious belief," ante at  543) would, it seems to me, fail almost any test for neutrality. Accordingly, the cases stating that the Free Exercise Clause requires neutrality are also fairly read for the proposition that the Clause requires general applicability.</w:t>
      </w:r>
    </w:p>
    <w:p w:rsidR="00A31137" w:rsidRPr="00A31137" w:rsidRDefault="00A31137" w:rsidP="00A31137">
      <w:r w:rsidRPr="00A31137">
        <w:t>1993, Church of Lukumi Babalu Aye v. City of Hialeah, 508 U.S. 580</w:t>
      </w:r>
    </w:p>
    <w:p w:rsidR="00A31137" w:rsidRPr="00A31137" w:rsidRDefault="00A31137" w:rsidP="00A31137">
      <w:r w:rsidRPr="00A31137">
        <w:t>2. Our cases make clear, to look at this from a different perspective, that an exemption for sacramental wine use would not deprive Prohibition of neutrality. Rather, "[s]uch an accommodation [would] 'reflec[t] nothing more than the governmental obligation of neutrality in the face of religious differences.'" Wisconsin v. Yoder, 406 U.S. 205,  235, n. 22 (quoting Sherbert v. Verner, 374 U.S. 398,  409 (1963)); see also Lee v. Weisman, 505 U.S. 577,  627 (1992) (SOUTER, J., concurring). The prohibition law in place earlier this century did, in fact, exempt "wine for sacramental purposes." National Prohibition Act, Title 11, § 3 41 Stat. 308 (1919).</w:t>
      </w:r>
    </w:p>
    <w:p w:rsidR="00A31137" w:rsidRPr="00A31137" w:rsidRDefault="00A31137" w:rsidP="00A31137">
      <w:r w:rsidRPr="00A31137">
        <w:t>1993, Church of Lukumi Babalu Aye v. City of Hialeah, 508 U.S. 580</w:t>
      </w:r>
    </w:p>
    <w:p w:rsidR="00A31137" w:rsidRPr="00A31137" w:rsidRDefault="00A31137" w:rsidP="00A31137">
      <w:r w:rsidRPr="00A31137">
        <w:t>3. One might further distinguish between formal neutrality and facial neutrality. While facial neutrality would permit discovery of a law's object or purpose only by analysis of the law's words, structure and operation, formal neutrality would permit enquiry also into the intentions of those who enacted the law. Compare ante at 540-542 (opinion of KENNEDY, J., joined by STEVENS J.) with ante at  557 (opinion of SCALIA, J., joined by REHNQUIST, C.J.) For present purposes, the distinction between Formal and facial neutrality is less important than the distinction between those conceptions of neutrality and substantive neutrality.</w:t>
      </w:r>
    </w:p>
    <w:p w:rsidR="00A31137" w:rsidRPr="00A31137" w:rsidRDefault="00A31137" w:rsidP="00A31137">
      <w:r w:rsidRPr="00A31137">
        <w:t>1993, Church of Lukumi Babalu Aye v. City of Hialeah, 508 U.S. 580</w:t>
      </w:r>
    </w:p>
    <w:p w:rsidR="00A31137" w:rsidRPr="00A31137" w:rsidRDefault="00A31137" w:rsidP="00A31137">
      <w:r w:rsidRPr="00A31137">
        <w:t>4. Yoder, which involved a challenge by Amish parents to the enforcement against them of a compulsory school attendance law, mentioned the parental rights recognized in Pierce v. Society of Sisters, 268 U.S. 510 (1925), as Smith pointed out. See Employment Div., Dept. of Human Resources of Oregon v. Smith, 494 U.S. 872,  881, n. 1 (1990) (citing Yoder, 406 U.S. at  233). But Yoder did so only to distinguish Pierce, which involved a substantive due process challenge to a compulsory school attendance law and which required merely a showing of "'reasonable[ness].'" Yoder, supra, 406 U.S. at  233 (quoting Pierce, supra, 268 U.S. at  535). Where parents make a "free exercise claim," the Yoder Court said, the Pierce reasonableness test is inapplicable and the State's action must be measured by a stricter test, the test developed under the Free Exercise Clause and discussed at length earlier in the opinion. See 406 U.S. at  233; id. at 213-229. Quickly after the reference to parental rights, the Yoder opinion makes clear that the case involves "the central values underlying the Religion Clauses." Id. at  234. The Yoders raised only a free exercise defense to their prosecution under the school attendance law, id. at  209, and n. 4; certiorari was granted only on the free exercise issue, id. at  207; and the Court plainly understood the case to involve "conduct protected by the Free Exercise Clause" even against enforcement of a "regulatio[n] of general applicability." Id. at  220.</w:t>
      </w:r>
    </w:p>
    <w:p w:rsidR="00A31137" w:rsidRPr="00A31137" w:rsidRDefault="00A31137" w:rsidP="00A31137">
      <w:r w:rsidRPr="00A31137">
        <w:t>1993, Church of Lukumi Babalu Aye v. City of Hialeah, 508 U.S. 580</w:t>
      </w:r>
    </w:p>
    <w:p w:rsidR="00A31137" w:rsidRPr="00A31137" w:rsidRDefault="00A31137" w:rsidP="00A31137">
      <w:r w:rsidRPr="00A31137">
        <w:t>As for Cantwell, Smith pointed out that the case explicitly mentions freedom of speech. See 494 U.S. at  881, n. 1 (citing Cantwell v. Connecticut, 310 U.S. 296,  307 (1940)). But the quote to which Smith refers occurs in a portion of the Cantwell opinion (titled: "second," and dealing with a breach-of-peace conviction for playing phonograph records, see 310 U.S. at  307) that discusses an entirely different issue from the section of Cantwell that Smith cites as involving a "neutral, generally applicable law" (titled: "first," and dealing with a licensing system for solicitations, see Cantwell, supra, 310 U.S. at 303-307). See Smith, supra, 494 U.S. at  881.</w:t>
      </w:r>
    </w:p>
    <w:p w:rsidR="00A31137" w:rsidRPr="00A31137" w:rsidRDefault="00A31137" w:rsidP="00A31137">
      <w:r w:rsidRPr="00A31137">
        <w:t>1993, Church of Lukumi Babalu Aye v. City of Hialeah, 508 U.S. 580</w:t>
      </w:r>
    </w:p>
    <w:p w:rsidR="00A31137" w:rsidRPr="00A31137" w:rsidRDefault="00A31137" w:rsidP="00A31137">
      <w:r w:rsidRPr="00A31137">
        <w:t>5. Though Smith implied that the Court, in considering claims for exemptions from formally neutral, generally applicable laws, has applied a "water[ed] down" version of strict scrutiny, 494 U.S. at  888, that appraisal confuses the cases in which we purported to apply strict scrutiny with the cases in which we did not. We did not purport to apply strict scrutiny in several cases involving discrete categories of governmental action in which there are special reasons to defer to the judgment of the political branches, and the opinions in those cases said in no uncertain terms that traditional heightened scrutiny applies outside those categories. See O'Lone v. Estate of Shabazz, 482 U.S. 342,  349 (1987) ("prison regulations…are judged under a 'reasonableness' test less restrictive than that ordinarily applied to alleged infringements of fundamental constitutional rights"); Goldman v. Weinberger, 475 U.S. 503,  507 (1986) ("Our review of military regulations challenged on First Amendment grounds is far more deferential than constitutional review of similar laws or regulations designed for civilian society"); see also Johnson v. Robison, 415 U.S. 361, 385-386 (1974); Gillette v. United States, 401 U.S. 437,  462 (1971). We also did not purport to apply strict scrutiny in several cases in which the claimants failed to establish a constitutionally cognizable burden on religious exercise, and again the opinions in those cases left no doubt that heightened scrutiny applies to the enforcement of formally neutral, general laws that do burden free exercise. See Swaggart Ministries, supra, 493 U.S. at 384-385 ("Our cases have established that [t]he free exercise inquiry asks whether government has placed a substantial burden on the observation of a central religious belief or practice and, if so whether a compelling governmental interest justifies the burden") (internal quotation marks and citation omitted); Lyng v. Northwest Indian Cemetery Protective Assn., 485 U.S. 439,  450 (1988) ("[T]his Court has repeatedly held that indirect coercion or penalties on the free exercise of religion, not just outright prohibitions, are subject to [the] scrutiny" employed in Sherbert v. Verner, supra,); see also Braunfeld v. Brown, 366 U.S. 599 606-607 (1961) (plurality opinion). Among the cases in which we have purported to apply strict scrutiny, we have required free exercise exemptions more often than we have denied them. Compare Frazee v. Illinois Dept. of Employment Security, 489 U.S. 829 (1989); Hobbie v. Unemployment Appeals Comm'n, 480 U.S. 136 (1987); Thomas v. Review Bd. of Indiana Employment Security Div., 450 U.S. 707 (1981); Yoder, supra; Cantwell, supra, with Hernandez v. Commissioner, 490 U.S. 680 (1989); Bob Jones University v. United States, 461 U.S. 574 (1983); United States v. Lee, 455 U.S. 252 (1982). And of the three cases in which we found that denial of an exemption survived strict scrutiny (all tax cases), one involved the government's "fundamental, overriding interest in eradicating racial discrimination in education," Bob Jones University, supra, 461 U.S. at  604; in a second, the Court "doubt[ed] whether the alleged burden…[was] a substantial one," Hernandez, supra, 490 U.S. at  699; and the Court seemed to be of the same view in the third. See Lee, supra, 455 U.S. at 261, n. 12. These cases, I think, provide slim grounds for concluding that the Court has not been true to its word.</w:t>
      </w:r>
    </w:p>
    <w:p w:rsidR="00A31137" w:rsidRPr="00A31137" w:rsidRDefault="00A31137" w:rsidP="00A31137">
      <w:r w:rsidRPr="00A31137">
        <w:t>1993, Church of Lukumi Babalu Aye v. City of Hialeah, 508 U.S. 580</w:t>
      </w:r>
    </w:p>
    <w:p w:rsidR="00A31137" w:rsidRPr="00A31137" w:rsidRDefault="00A31137" w:rsidP="00A31137">
      <w:r w:rsidRPr="00A31137">
        <w:t>6. Reynolds denied the free exercise claim of a Mormon convicted of polygamy, and Davis v. Beason upheld against a free exercise challenge a law denying the right to vote or hold public office to members of organizations that practice or encourage polygamy. Exactly what the two cases took from the Free Exercise Clause's origins is unclear. The cases are open to the reading that the Clause sometimes protects religious conduct from enforcement of generally applicable laws, see supra at  569 (citing cases); that the Clause never protects religious conduct from the enforcement of generally applicable laws, see Smith, 494 U.S. at  879; or that the Clause does not protect religious conduct at all, see Yoder, 406 U.S. at  247 (Douglas, J., dissenting in part); McConnell, The Origins and Historical Understanding of Free Exercise of Religion, 103 Harv.L.Rev. 1409, 1488, and n. 404 (1990).</w:t>
      </w:r>
    </w:p>
    <w:p w:rsidR="00A31137" w:rsidRPr="00A31137" w:rsidRDefault="00A31137" w:rsidP="00A31137">
      <w:r w:rsidRPr="00A31137">
        <w:t>1993, Church of Lukumi Babalu Aye v. City of Hialeah, 508 U.S. 580</w:t>
      </w:r>
    </w:p>
    <w:p w:rsidR="00A31137" w:rsidRPr="00A31137" w:rsidRDefault="00A31137" w:rsidP="00A31137">
      <w:r w:rsidRPr="00A31137">
        <w:t>7. See Engel v. Vitale, 370 U.S. 421, 425-436 (1962); McGowan v. Maryland, 366 U.S. 420, 431-443 (1961); Everson v. Board of Ed. of Ewing, 330 U.S. 1, 8-16 (1947); see also Lee v. Weisman, 505 U.S. 577, 612-616, 622-626 (1992) (SOUTER, J., concurring); Wallace v. Jaffree, 472 U.S. 38, 91-107 (1985) (REHNQUIST, J., dissenting); School Dist. of Abington v. Schempp, 374 U.S. 203, 232-239 (1963) (Brennan, J., concurring); McGowan v. Maryland, supra, 366 U.S. at 459-495 (Frankfurter, J., concurring); Everson, supra, 330 U.S. at 31-43 (Rutledge, J., dissenting).</w:t>
      </w:r>
    </w:p>
    <w:p w:rsidR="00A31137" w:rsidRPr="00A31137" w:rsidRDefault="00A31137" w:rsidP="00A31137">
      <w:r w:rsidRPr="00A31137">
        <w:t>1993, Church of Lukumi Babalu Aye v. City of Hialeah, 508 U.S. 580</w:t>
      </w:r>
    </w:p>
    <w:p w:rsidR="00A31137" w:rsidRPr="00A31137" w:rsidRDefault="00A31137" w:rsidP="00A31137">
      <w:r w:rsidRPr="00A31137">
        <w:t>8. The Court today observes that "historical instances of religious persecution and intolerance…gave concern to those who drafted the Free Exercise Clause." Ante at  532 (internal quotation marks and citations omitted). That is no doubt true, and of course it supports the proposition for which it was summoned, that the Free Exercise Clause forbids religious persecution. But the Court's remark merits this observation: the fact that the Framers were concerned about victims of religious persecution by no means demonstrates that the Framers intended the Free Exercise Clause to forbid only persecution, the inference the Smith rule requires. On the contrary, the eradication of persecution would mean precious little to a member of a formerly persecuted sect who was nevertheless prevented from practicing his religion by the enforcement of "neutral, generally applicable" laws. If what drove the Framers was a desire to protect an activity they deemed special, and if "the [Framers] were well aware of potential conflicts between religious conviction and social duties," A. Adams &amp; C. Emmerich, A Nation Dedicated to Religious Liberty 61 (1990), they may well have hoped to bar not only prohibitions of religious exercise fueled by the hostility of the majority, but prohibitions flowing from the indifference or ignorance of the majority as well.</w:t>
      </w:r>
    </w:p>
    <w:p w:rsidR="00A31137" w:rsidRPr="00A31137" w:rsidRDefault="00A31137" w:rsidP="00A31137">
      <w:r w:rsidRPr="00A31137">
        <w:t>BLACKMUN, J., concurring (Footnotes)</w:t>
      </w:r>
    </w:p>
    <w:p w:rsidR="00A31137" w:rsidRPr="00A31137" w:rsidRDefault="00A31137" w:rsidP="00A31137">
      <w:r w:rsidRPr="00A31137">
        <w:t>1993, Church of Lukumi Babalu Aye v. City of Hialeah, 508 U.S. 580</w:t>
      </w:r>
    </w:p>
    <w:p w:rsidR="00A31137" w:rsidRPr="00A31137" w:rsidRDefault="00A31137" w:rsidP="00A31137">
      <w:r w:rsidRPr="00A31137">
        <w:t>* See Brief for Washington Humane Society in support of Respondent; Brief for People for the Ethical Treatment of Animals, New Jersey Animal Rights Alliance, and Foundation for Animal Rights Advocacy in support of Respondent; Brief for Humane Society of the United States, American Humane Association, American Society for the Prevention of Cruelty to Animals, Animal Legal Defense Fund, Inc., and Massachusetts Society for the Prevention of Cruelty to Animals in support of Respondent; Brief for International Society for Animal Rights, Citizens for Animals, Farm Animal Reform Movement, In Defense of Animals, Performing Animal Welfare Society, and Student Action Corps for Animals in support of Respondent; and Brief for Institute for Animal Rights Law, American Fund for Alternatives to Animal Research, Farm Sanctuary, Jews for Animal Rights, United Animal Nations, and United Poultry Concerns, in support of Respondent.</w:t>
      </w:r>
    </w:p>
    <w:p w:rsidR="00A31137" w:rsidRPr="00A31137" w:rsidRDefault="00A31137" w:rsidP="00A31137">
      <w:r w:rsidRPr="00A31137">
        <w:t>Zobrest v. Catalina Foothills Sch. Dist., 1993</w:t>
      </w:r>
    </w:p>
    <w:p w:rsidR="00A31137" w:rsidRPr="00A31137" w:rsidRDefault="00A31137" w:rsidP="00A31137">
      <w:r w:rsidRPr="00A31137">
        <w:t>Title:</w:t>
      </w:r>
      <w:r w:rsidRPr="00A31137">
        <w:tab/>
        <w:t>Zobrest v. Catalina Foothills School District</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18, 1993</w:t>
      </w:r>
    </w:p>
    <w:p w:rsidR="00A31137" w:rsidRPr="00A31137" w:rsidRDefault="00A31137" w:rsidP="00A31137">
      <w:r w:rsidRPr="00A31137">
        <w:t>Source:</w:t>
      </w:r>
      <w:r w:rsidRPr="00A31137">
        <w:tab/>
        <w:t>509 U.S. 1</w:t>
      </w:r>
    </w:p>
    <w:p w:rsidR="00A31137" w:rsidRPr="00A31137" w:rsidRDefault="00A31137" w:rsidP="00A31137">
      <w:r w:rsidRPr="00A31137">
        <w:t>This case was argued February 24, 1993, and was decided June 18, 1993.</w:t>
      </w:r>
    </w:p>
    <w:p w:rsidR="00A31137" w:rsidRPr="00A31137" w:rsidRDefault="00A31137" w:rsidP="00A31137">
      <w:r w:rsidRPr="00A31137">
        <w:t>CERTIORARI TO THE UNITED STATES COURT OF APPEALS</w:t>
      </w:r>
    </w:p>
    <w:p w:rsidR="00A31137" w:rsidRPr="00A31137" w:rsidRDefault="00A31137" w:rsidP="00A31137">
      <w:r w:rsidRPr="00A31137">
        <w:t>FOR THE NINTH CIRCUIT</w:t>
      </w:r>
    </w:p>
    <w:p w:rsidR="00A31137" w:rsidRPr="00A31137" w:rsidRDefault="00A31137" w:rsidP="00A31137">
      <w:r w:rsidRPr="00A31137">
        <w:t>Syllabus</w:t>
      </w:r>
    </w:p>
    <w:p w:rsidR="00A31137" w:rsidRPr="00A31137" w:rsidRDefault="00A31137" w:rsidP="00A31137">
      <w:r w:rsidRPr="00A31137">
        <w:t>1993, Zobrest v. Catalina Foothills Sch. Dist., 509 U.S. 1</w:t>
      </w:r>
    </w:p>
    <w:p w:rsidR="00A31137" w:rsidRPr="00A31137" w:rsidRDefault="00A31137" w:rsidP="00A31137">
      <w:r w:rsidRPr="00A31137">
        <w:t>Petitioners, a deaf child and his parents, filed this suit after respondent school district refused to provide a sign-language interpreter to accompany the child to classes at a Roman Catholic high school. They alleged that the Individuals with Disabilities Education Act (IDEA) and the Free Exercise Cause of the First Amendment required respondent to provide the interpreter, and that the Establishment Clause did not bar such relief. The District Court granted respondent summary judgment on the ground that the interpreter would act as a conduit for the child's religious inculcation, thereby promoting his religious development at government expense in violation of the Establishment Clause. The Court of Appeals affirmed.</w:t>
      </w:r>
    </w:p>
    <w:p w:rsidR="00A31137" w:rsidRPr="00A31137" w:rsidRDefault="00A31137" w:rsidP="00A31137">
      <w:r w:rsidRPr="00A31137">
        <w:t>1993, Zobrest v. Catalina Foothills Sch. Dist., 509 U.S. 1</w:t>
      </w:r>
    </w:p>
    <w:p w:rsidR="00A31137" w:rsidRPr="00A31137" w:rsidRDefault="00A31137" w:rsidP="00A31137">
      <w:r w:rsidRPr="00A31137">
        <w:t>Held:</w:t>
      </w:r>
    </w:p>
    <w:p w:rsidR="00A31137" w:rsidRPr="00A31137" w:rsidRDefault="00A31137" w:rsidP="00A31137">
      <w:r w:rsidRPr="00A31137">
        <w:t>1993, Zobrest v. Catalina Foothills Sch. Dist., 509 U.S. 1</w:t>
      </w:r>
    </w:p>
    <w:p w:rsidR="00A31137" w:rsidRPr="00A31137" w:rsidRDefault="00A31137" w:rsidP="00A31137">
      <w:r w:rsidRPr="00A31137">
        <w:t>1. The prudential rule of avoiding constitutional questions if there is a nonconstitutional ground for decision is inapplicable here, since respondent did not urge upon the District Court or the Court of Appeals any of the nonconstitutional grounds it now raises in this Court. Pp.  6-8.</w:t>
      </w:r>
    </w:p>
    <w:p w:rsidR="00A31137" w:rsidRPr="00A31137" w:rsidRDefault="00A31137" w:rsidP="00A31137">
      <w:r w:rsidRPr="00A31137">
        <w:t>1993, Zobrest v. Catalina Foothills Sch. Dist., 509 U.S. 1</w:t>
      </w:r>
    </w:p>
    <w:p w:rsidR="00A31137" w:rsidRPr="00A31137" w:rsidRDefault="00A31137" w:rsidP="00A31137">
      <w:r w:rsidRPr="00A31137">
        <w:t>2. The Establishment Clause does not prevent respondent from furnishing a disabled child enrolled in a sectarian school with a sign-language interpreter in order to facilitate his education. Government programs that neutrally provide benefits to a broad class of citizens defined without reference to religion are not readily subject to an Establishment Clause challenge just because sectarian institutions may also [509 U.S. 2] receive an attenuated financial benefit. Mueller v. Allen, 463 U.S. 388; Witters v. Washington Dept. of Services for Blind, 474 U.S. 481. The same reasoning used in Mueller and Witters applies here. The service in this case is part of a general government program that distributes benefits neutrally to any child qualifying as disabled under the IDEA, without regard to the sectarian-nonsectarian, or public-nonpublic nature of the school the child attends. By according parents freedom to select a school of their choice, the statute ensures that a government-paid interpreter will be present in a sectarian school only as a result of individual parents' private decisions. Since the IDEA creates no financial incentive for parents to choose a sectarian school, an interpreter's presence there cannot be attributed to state decisionmaking. The fact that a public employee will be physically present in a sectarian school does not by itself make this the same type of aid that was disapproved in Meek v. Pittenger, 421 U.S. 349, and School Dist. of Grand Rapids v. Ball, 473 U.S. 373. In those cases, the challenged programs gave direct grants of government aid—instructional equipment and material, teachers, and guidance counselors—which relieved sectarian schools of costs they otherwise would have borne in educating their students. Here, the child is the primary beneficiary, and the school receives only an incidental benefit. In addition, an interpreter, unlike a teacher or guidance counselor, neither adds to nor subtracts from the sectarian school's environment, but merely interprets whatever material is presented to the class as a whole. There is no absolute bar to the placing of a public employee in a sectarian school. Pp.  8-14.</w:t>
      </w:r>
    </w:p>
    <w:p w:rsidR="00A31137" w:rsidRPr="00A31137" w:rsidRDefault="00A31137" w:rsidP="00A31137">
      <w:r w:rsidRPr="00A31137">
        <w:t>1993, Zobrest v. Catalina Foothills Sch. Dist., 509 U.S. 2</w:t>
      </w:r>
    </w:p>
    <w:p w:rsidR="00A31137" w:rsidRPr="00A31137" w:rsidRDefault="00A31137" w:rsidP="00A31137">
      <w:r w:rsidRPr="00A31137">
        <w:t>963 F.2d 1190 (CA9 1992), reversed.</w:t>
      </w:r>
    </w:p>
    <w:p w:rsidR="00A31137" w:rsidRPr="00A31137" w:rsidRDefault="00A31137" w:rsidP="00A31137">
      <w:r w:rsidRPr="00A31137">
        <w:t>1993, Zobrest v. Catalina Foothills Sch. Dist., 509 U.S. 2</w:t>
      </w:r>
    </w:p>
    <w:p w:rsidR="00A31137" w:rsidRPr="00A31137" w:rsidRDefault="00A31137" w:rsidP="00A31137">
      <w:r w:rsidRPr="00A31137">
        <w:t xml:space="preserve">REHNQUIST, C.J., delivered the opinion of the Court, in which WHITE, SCALIA, KENNEDY, and THOMAS, JJ., joined. BLACKMUN, J., filed a dissenting opinion, in which SOUTER, J., joined, and in which STEVENS and O'CONNOR, JJ., joined as to Part I, post, p.  14. O'CONNOR, J., filed a dissenting opinion, in which STEVENS, J., joined, post, p.  24. [509 U.S. 3] </w:t>
      </w:r>
    </w:p>
    <w:p w:rsidR="00A31137" w:rsidRPr="00A31137" w:rsidRDefault="00A31137" w:rsidP="00A31137">
      <w:r w:rsidRPr="00A31137">
        <w:t>REHNQUIST, J., lead opinion</w:t>
      </w:r>
    </w:p>
    <w:p w:rsidR="00A31137" w:rsidRPr="00A31137" w:rsidRDefault="00A31137" w:rsidP="00A31137">
      <w:r w:rsidRPr="00A31137">
        <w:t>1993, Zobrest v. Catalina Foothills Sch. Dist., 509 U.S. 3</w:t>
      </w:r>
    </w:p>
    <w:p w:rsidR="00A31137" w:rsidRPr="00A31137" w:rsidRDefault="00A31137" w:rsidP="00A31137">
      <w:r w:rsidRPr="00A31137">
        <w:t>CHIEF JUSTICE REHNQUIST delivered the opinion of the Court.</w:t>
      </w:r>
    </w:p>
    <w:p w:rsidR="00A31137" w:rsidRPr="00A31137" w:rsidRDefault="00A31137" w:rsidP="00A31137">
      <w:r w:rsidRPr="00A31137">
        <w:t>1993, Zobrest v. Catalina Foothills Sch. Dist., 509 U.S. 3</w:t>
      </w:r>
    </w:p>
    <w:p w:rsidR="00A31137" w:rsidRPr="00A31137" w:rsidRDefault="00A31137" w:rsidP="00A31137">
      <w:r w:rsidRPr="00A31137">
        <w:t>Petitioner James Zobrest, who has been deaf since birth, asked respondent school district to provide a sign-language interpreter to accompany him to classes at a Roman Catholic high school in Tucson, Arizona, pursuant to the Individuals with Disabilities Education Act (IDEA), 20 U.S.C. § 1400 et seq., and its Arizona counterpart, Ariz.Rev.Stat.Ann. § 15-761 et seq. (1991 and Supp.1992). The United States Court of Appeals for the Ninth Circuit decided, however, that provision of such a publicly employed interpreter would violate the Establishment Clause of the First Amendment. We hold that the Establishment Clause does not bar the school district from providing the requested interpreter.</w:t>
      </w:r>
    </w:p>
    <w:p w:rsidR="00A31137" w:rsidRPr="00A31137" w:rsidRDefault="00A31137" w:rsidP="00A31137">
      <w:r w:rsidRPr="00A31137">
        <w:t>1993, Zobrest v. Catalina Foothills Sch. Dist., 509 U.S. 3</w:t>
      </w:r>
    </w:p>
    <w:p w:rsidR="00A31137" w:rsidRPr="00A31137" w:rsidRDefault="00A31137" w:rsidP="00A31137">
      <w:r w:rsidRPr="00A31137">
        <w:t xml:space="preserve">James Zobrest attended grades one through five in a school for the deaf, and grades six through eight in a public school operated by respondent. While he attended public school, respondent furnished him with a sign-language interpreter. For religious reasons, James' parents (also petitioners here) enrolled him for the ninth grade in Salpointe Catholic High School, a sectarian institution. 1 When petitioners requested that respondent supply James with an interpreter at Salpointe, respondent referred the matter to the County Attorney, who concluded that providing an interpreter on the school's premises would violate the United States Constitution. App. 1018. Pursuant to Ariz.Rev.Stat.Ann. § 15253(B) (1991), the question next was referred to the Arizona Attorney General, who concurred in the County Attorney's opinion. App. to Pet. for Cert. A-137. Respondent accordingly declined to provide the requested interpreter. [509 U.S. 4] </w:t>
      </w:r>
    </w:p>
    <w:p w:rsidR="00A31137" w:rsidRPr="00A31137" w:rsidRDefault="00A31137" w:rsidP="00A31137">
      <w:r w:rsidRPr="00A31137">
        <w:t>1993, Zobrest v. Catalina Foothills Sch. Dist., 509 U.S. 4</w:t>
      </w:r>
    </w:p>
    <w:p w:rsidR="00A31137" w:rsidRPr="00A31137" w:rsidRDefault="00A31137" w:rsidP="00A31137">
      <w:r w:rsidRPr="00A31137">
        <w:t>Petitioners then instituted this action in the United States District Court for the District of Arizona under 20 U.S.C. § 1415(e)(4)(A), which grants the district courts jurisdiction over disputes regarding the services due disabled children under the IDEA. 2 Petitioners asserted that the IDEA and the Free Exercise Clause of the First Amendment require respondent to provide James with an interpreter at Salpointe, and that the Establishment Clause does not bar such relief. The complaint sought a preliminary injunction and "such other and further relief as the Court deems just and proper." App. 25. 3 The District Court denied petitioners' [509 U.S. 5] request for a preliminary injunction, finding that the provision of an interpreter at Salpointe would likely offend the Establishment Clause. Id. at 52-53. The court thereafter granted respondent summary judgment, on the ground that "[t]he interpreter would act as a conduit for the religious inculcation of James—thereby, promoting James' religious development at government expense." App. to Pet. for Cert. A-35. "That kind of entanglement of church and state," the District Court concluded, "is not allowed." Ibid.</w:t>
      </w:r>
    </w:p>
    <w:p w:rsidR="00A31137" w:rsidRPr="00A31137" w:rsidRDefault="00A31137" w:rsidP="00A31137">
      <w:r w:rsidRPr="00A31137">
        <w:t>1993, Zobrest v. Catalina Foothills Sch. Dist., 509 U.S. 5</w:t>
      </w:r>
    </w:p>
    <w:p w:rsidR="00A31137" w:rsidRPr="00A31137" w:rsidRDefault="00A31137" w:rsidP="00A31137">
      <w:r w:rsidRPr="00A31137">
        <w:t>The Court of Appeals affirmed by a divided vote, 963 F.2d 1190 (CA9 1992), applying the three-part test announced in Lemon v. Kurtzman, 403 U.S. 602,  613 (1971). It first found that the IDEA has a clear secular purpose: "'to assist States and Localities to provide for the education of all handicapped children.'" 963 F.2d at 1193 (quoting 20 U.S.C. § 1400(c)). 4 Turning to the second prong of the Lemon inquiry, though, the Court of Appeals determined that the IDEA, if applied as petitioners proposed, would have the primary effect of advancing religion, and thus would run afoul of the Establishment Clause. "By placing its employee in the sectarian school," the Court of Appeals reasoned, "the government would create the appearance that it was a 'joint sponsor' of the school's activities." 963 F.2d at 1194-1195. This, the court held, would create the "symbolic union of government and religion" found impermissible in School Dist. of Grand Rapid v. Ball, 473 U.S. 373,  392 (1985). 5 In contrast, the dissenting judge argued that "[g]eneral welfare programs neutrally available to all children," such as the IDEA, pass constitutional muster, "because their benefits diffuse over the entire population." 963 F.2d at 1199 (Tang, [509 U.S. 6] J., dissenting). We granted certiorari, 506 U.S. 813 (1992), and now reverse.</w:t>
      </w:r>
    </w:p>
    <w:p w:rsidR="00A31137" w:rsidRPr="00A31137" w:rsidRDefault="00A31137" w:rsidP="00A31137">
      <w:r w:rsidRPr="00A31137">
        <w:t>1993, Zobrest v. Catalina Foothills Sch. Dist., 509 U.S. 6</w:t>
      </w:r>
    </w:p>
    <w:p w:rsidR="00A31137" w:rsidRPr="00A31137" w:rsidRDefault="00A31137" w:rsidP="00A31137">
      <w:r w:rsidRPr="00A31137">
        <w:t>Respondent has raised in its brief in opposition to certiorari and in isolated passages in its brief on the merits several issues unrelated to the Establishment Clause question. 6 Respondent first argues that 34 CFR § 76.532(a)(1), a regulation promulgated under the IDEA, precludes it from using federal funds to provide an interpreter to James at Salpointe. Brief in Opposition 13. 7 In the alternative, respondent claims that, even if there is no affirmative bar to the relief, it is not required by statute or regulation to furnish interpreters to students at sectarian schools. Brief for Respondent 4, n. 4. 8 And respondent adds that providing such [509 U.S. 7] a service would offend Art. II, § 12, of the Arizona Constitution. Tr. of Oral Arg. 28.</w:t>
      </w:r>
    </w:p>
    <w:p w:rsidR="00A31137" w:rsidRPr="00A31137" w:rsidRDefault="00A31137" w:rsidP="00A31137">
      <w:r w:rsidRPr="00A31137">
        <w:t>1993, Zobrest v. Catalina Foothills Sch. Dist., 509 U.S. 7</w:t>
      </w:r>
    </w:p>
    <w:p w:rsidR="00A31137" w:rsidRPr="00A31137" w:rsidRDefault="00A31137" w:rsidP="00A31137">
      <w:r w:rsidRPr="00A31137">
        <w:t>It is a familiar principle of our jurisprudence that federal courts will not pass on the constitutionality of an Act of Congress if a construction of the Act is fairly possible by which the constitutional question can be avoided. See, e.g., United State v. Locke, 471 U.S. 84, 92 (1985), and cases cited therein. In Locke, a case coming here by appeal under 28 U.S.C. § 1252 (1982 ed.), we said that such an appeal "brings before this Court not merely the constitutional question decided below, but the entire case." 471 U.S. at 92. "The entire case," we explained,</w:t>
      </w:r>
    </w:p>
    <w:p w:rsidR="00A31137" w:rsidRPr="00A31137" w:rsidRDefault="00A31137" w:rsidP="00A31137">
      <w:r w:rsidRPr="00A31137">
        <w:t>1993, Zobrest v. Catalina Foothills Sch. Dist., 509 U.S. 7</w:t>
      </w:r>
    </w:p>
    <w:p w:rsidR="00A31137" w:rsidRPr="00A31137" w:rsidRDefault="00A31137" w:rsidP="00A31137">
      <w:r w:rsidRPr="00A31137">
        <w:t>includes nonconstitutional questions actually decided by the lower court, as well as nonconstitutional grounds presented to, but not passed on, by the lower court.</w:t>
      </w:r>
    </w:p>
    <w:p w:rsidR="00A31137" w:rsidRPr="00A31137" w:rsidRDefault="00A31137" w:rsidP="00A31137">
      <w:r w:rsidRPr="00A31137">
        <w:t>1993, Zobrest v. Catalina Foothills Sch. Dist., 509 U.S. 7</w:t>
      </w:r>
    </w:p>
    <w:p w:rsidR="00A31137" w:rsidRPr="00A31137" w:rsidRDefault="00A31137" w:rsidP="00A31137">
      <w:r w:rsidRPr="00A31137">
        <w:t>Ibid. Therefore, in that case, we turned "first to the nonconstitutional questions pressed below." Ibid.</w:t>
      </w:r>
    </w:p>
    <w:p w:rsidR="00A31137" w:rsidRPr="00A31137" w:rsidRDefault="00A31137" w:rsidP="00A31137">
      <w:r w:rsidRPr="00A31137">
        <w:t>1993, Zobrest v. Catalina Foothills Sch. Dist., 509 U.S. 7</w:t>
      </w:r>
    </w:p>
    <w:p w:rsidR="00A31137" w:rsidRPr="00A31137" w:rsidRDefault="00A31137" w:rsidP="00A31137">
      <w:r w:rsidRPr="00A31137">
        <w:t>Here, in contrast to Locke and other cases applying the prudential rule of avoiding constitutional questions, only First Amendment questions were pressed in the Court of Appeals. In the opening paragraph of its opinion, the Court of Appeals noted that petitioners' appeal raised only First Amendment issues:</w:t>
      </w:r>
    </w:p>
    <w:p w:rsidR="00A31137" w:rsidRPr="00A31137" w:rsidRDefault="00A31137" w:rsidP="00A31137">
      <w:r w:rsidRPr="00A31137">
        <w:t>1993, Zobrest v. Catalina Foothills Sch. Dist., 509 U.S. 7</w:t>
      </w:r>
    </w:p>
    <w:p w:rsidR="00A31137" w:rsidRPr="00A31137" w:rsidRDefault="00A31137" w:rsidP="00A31137">
      <w:r w:rsidRPr="00A31137">
        <w:t>The Zobrests appeal the district court's ruling that provision of a state-paid sign language interpreter to James Zobrest while he attends a sectarian high school would violate the Establishment Clause. The Zobrests also argue that denial of such assistance violates the Free Exercise Clause.</w:t>
      </w:r>
    </w:p>
    <w:p w:rsidR="00A31137" w:rsidRPr="00A31137" w:rsidRDefault="00A31137" w:rsidP="00A31137">
      <w:r w:rsidRPr="00A31137">
        <w:t>1993, Zobrest v. Catalina Foothills Sch. Dist., 509 U.S. 7</w:t>
      </w:r>
    </w:p>
    <w:p w:rsidR="00A31137" w:rsidRPr="00A31137" w:rsidRDefault="00A31137" w:rsidP="00A31137">
      <w:r w:rsidRPr="00A31137">
        <w:t>963 F.2d at 1191.</w:t>
      </w:r>
    </w:p>
    <w:p w:rsidR="00A31137" w:rsidRPr="00A31137" w:rsidRDefault="00A31137" w:rsidP="00A31137">
      <w:r w:rsidRPr="00A31137">
        <w:t>1993, Zobrest v. Catalina Foothills Sch. Dist., 509 U.S. 7</w:t>
      </w:r>
    </w:p>
    <w:p w:rsidR="00A31137" w:rsidRPr="00A31137" w:rsidRDefault="00A31137" w:rsidP="00A31137">
      <w:r w:rsidRPr="00A31137">
        <w:t>Respondent did not urge any statutory grounds for affirmance upon the Court of Appeals, and thus the Court of Appeals decided only the federal constitutional claims raised by petitioners. In the District Court, too, the parties chose to [509 U.S. 8] litigate the case on the federal constitutional issues alone. "Both parties' motions for summary judgment raised only federal constitutional issues." Brief for Respondent 4, n. 4. Accordingly, the District Court's order granting respondent summary judgment addressed only the Establishment Clause question. App. to Pet. for Cert. A35.</w:t>
      </w:r>
    </w:p>
    <w:p w:rsidR="00A31137" w:rsidRPr="00A31137" w:rsidRDefault="00A31137" w:rsidP="00A31137">
      <w:r w:rsidRPr="00A31137">
        <w:t>1993, Zobrest v. Catalina Foothills Sch. Dist., 509 U.S. 8</w:t>
      </w:r>
    </w:p>
    <w:p w:rsidR="00A31137" w:rsidRPr="00A31137" w:rsidRDefault="00A31137" w:rsidP="00A31137">
      <w:r w:rsidRPr="00A31137">
        <w:t>Given this posture of the case, we think the prudential rule of avoiding constitutional questions has no application. The fact that there may be buried in the record a nonconstitutional ground for decision is not, by itself, enough to invoke this rule. See, e.g., Board of Airport Comm'rs of Los Angeles v. Jews for Jesus, Inc., 482 U.S. 569, 572 (1987). "Where issues are neither raised before nor considered by the Court of Appeals, this Court will not ordinarily consider them." Adickes v. S.H. Kress &amp; Co., 398 U.S. 144, 147, n. 2 (1970). We therefore turn to the merits of the constitutional claim.</w:t>
      </w:r>
    </w:p>
    <w:p w:rsidR="00A31137" w:rsidRPr="00A31137" w:rsidRDefault="00A31137" w:rsidP="00A31137">
      <w:r w:rsidRPr="00A31137">
        <w:t>1993, Zobrest v. Catalina Foothills Sch. Dist., 509 U.S. 8</w:t>
      </w:r>
    </w:p>
    <w:p w:rsidR="00A31137" w:rsidRPr="00A31137" w:rsidRDefault="00A31137" w:rsidP="00A31137">
      <w:r w:rsidRPr="00A31137">
        <w:t>We have never said that "religious institutions are disabled by the First Amendment from participating in publicly sponsored social welfare programs." Bowen v. Kendrick, 487 U.S. 589,  609 (1988). For if the Establishment Clause did bar religious groups from receiving general government benefits, then "a church could not be protected by the police and fire departments, or have its public sidewalk kept in repair." Widmar v. Vincent, 454 U.S. 263, 274-275 (1981) (internal quotation marks omitted). Given that a contrary rule would lead to such absurd results, we have consistently held that government programs that neutrally provide benefits to a broad class of citizens defined without reference to religion are not readily subject to an Establishment Clause challenge just because sectarian institutions may also receive an attenuated financial benefit. Nowhere have we stated this principle more clearly than in Mueller v. Allen, 463 U.S. 388 (1983), and Witters v. Washington Dept. of Services for Blind, 474 U.S. 481 (1986), two cases dealing specifically [509 U.S. 9] with government programs offering general educational assistance.</w:t>
      </w:r>
    </w:p>
    <w:p w:rsidR="00A31137" w:rsidRPr="00A31137" w:rsidRDefault="00A31137" w:rsidP="00A31137">
      <w:r w:rsidRPr="00A31137">
        <w:t>1993, Zobrest v. Catalina Foothills Sch. Dist., 509 U.S. 9</w:t>
      </w:r>
    </w:p>
    <w:p w:rsidR="00A31137" w:rsidRPr="00A31137" w:rsidRDefault="00A31137" w:rsidP="00A31137">
      <w:r w:rsidRPr="00A31137">
        <w:t>In Mueller, we rejected an Establishment Clause challenge to a Minnesota law allowing taxpayers to deduct certain educational expenses in computing their state income tax, even though the vast majority of those deductions (perhaps over 90%) went to parents whose children attended sectarian schools. See 463 U.S. at  401; id. at  405 (Marshall, J., dissenting). Two factors, aside from States' traditionally broad taxing authority, informed our decision. See Witters, supra, 474 U.S. at 491 (Powell, J., concurring) (discussing Mueller). We noted that the law "permits all parents—whether their children attend public school or private—to deduct their children's educational expenses." 463 U.S. at  398 (emphasis in original). See also Widmar, supra, 454 U.S. at  274 ("The provision of benefits to so broad a spectrum of groups is an important index of secular effect"); Board of Ed. of Westside Community Schools (Dist. 66) v. Mergens, 496 U.S. 226,  248 (1990) (plurality opinion) (same). We also pointed out that, under Minnesota's scheme, public funds become available to sectarian schools "only as a result of numerous private choices of individual parents of school-age children," thus distinguishing Mueller from our other cases involving "the direct transmission of assistance from the State to the schools themselves." 463 U.S. at  399.</w:t>
      </w:r>
    </w:p>
    <w:p w:rsidR="00A31137" w:rsidRPr="00A31137" w:rsidRDefault="00A31137" w:rsidP="00A31137">
      <w:r w:rsidRPr="00A31137">
        <w:t>1993, Zobrest v. Catalina Foothills Sch. Dist., 509 U.S. 9</w:t>
      </w:r>
    </w:p>
    <w:p w:rsidR="00A31137" w:rsidRPr="00A31137" w:rsidRDefault="00A31137" w:rsidP="00A31137">
      <w:r w:rsidRPr="00A31137">
        <w:t>Witters was premised on virtually identical reasoning. In that case, we upheld against an Establishment Clause challenge the State of Washington's extension of vocational assistance, as part of a general state program, to a blind person studying at a private Christian college to become a pastor, missionary, or youth director. Looking at the statute as a whole, we observed that</w:t>
      </w:r>
    </w:p>
    <w:p w:rsidR="00A31137" w:rsidRPr="00A31137" w:rsidRDefault="00A31137" w:rsidP="00A31137">
      <w:r w:rsidRPr="00A31137">
        <w:t>1993, Zobrest v. Catalina Foothills Sch. Dist., 509 U.S. 9</w:t>
      </w:r>
    </w:p>
    <w:p w:rsidR="00A31137" w:rsidRPr="00A31137" w:rsidRDefault="00A31137" w:rsidP="00A31137">
      <w:r w:rsidRPr="00A31137">
        <w:t>[a]ny aid provided under Washington's program that ultimately flows to religious institutions does so only as a result of the genuinely independent and private choices of aid recipients.</w:t>
      </w:r>
    </w:p>
    <w:p w:rsidR="00A31137" w:rsidRPr="00A31137" w:rsidRDefault="00A31137" w:rsidP="00A31137">
      <w:r w:rsidRPr="00A31137">
        <w:t>1993, Zobrest v. Catalina Foothills Sch. Dist., 509 U.S. 9</w:t>
      </w:r>
    </w:p>
    <w:p w:rsidR="00A31137" w:rsidRPr="00A31137" w:rsidRDefault="00A31137" w:rsidP="00A31137">
      <w:r w:rsidRPr="00A31137">
        <w:t>474 U.S. at 487. The program, we said, "creates no financial incentive for students [509 U.S. 10] to undertake sectarian education." Id. at 488. We also remarked that, much like the law in Mueller,</w:t>
      </w:r>
    </w:p>
    <w:p w:rsidR="00A31137" w:rsidRPr="00A31137" w:rsidRDefault="00A31137" w:rsidP="00A31137">
      <w:r w:rsidRPr="00A31137">
        <w:t>1993, Zobrest v. Catalina Foothills Sch. Dist., 509 U.S. 10</w:t>
      </w:r>
    </w:p>
    <w:p w:rsidR="00A31137" w:rsidRPr="00A31137" w:rsidRDefault="00A31137" w:rsidP="00A31137">
      <w:r w:rsidRPr="00A31137">
        <w:t>Washington's program is "made available generally without regard to the sectarian-nonsectarian, or public-nonpublic nature of the institution benefited."</w:t>
      </w:r>
    </w:p>
    <w:p w:rsidR="00A31137" w:rsidRPr="00A31137" w:rsidRDefault="00A31137" w:rsidP="00A31137">
      <w:r w:rsidRPr="00A31137">
        <w:t>1993, Zobrest v. Catalina Foothills Sch. Dist., 509 U.S. 10</w:t>
      </w:r>
    </w:p>
    <w:p w:rsidR="00A31137" w:rsidRPr="00A31137" w:rsidRDefault="00A31137" w:rsidP="00A31137">
      <w:r w:rsidRPr="00A31137">
        <w:t>Witters, supra, 474 U.S. at 487 (quoting Committee for Public Education and Religious Liberty v. Nyquist, 413 U.S. 756, 782-783, n. 38 (1973)). In light of these factors, we held that Washington's program—even as applied to a student who sought state assistance so that he could become a pastor—would not advance religion in a manner inconsistent with the Establishment Clause. Witters, supra, 474 U.S. at 489.</w:t>
      </w:r>
    </w:p>
    <w:p w:rsidR="00A31137" w:rsidRPr="00A31137" w:rsidRDefault="00A31137" w:rsidP="00A31137">
      <w:r w:rsidRPr="00A31137">
        <w:t>1993, Zobrest v. Catalina Foothills Sch. Dist., 509 U.S. 10</w:t>
      </w:r>
    </w:p>
    <w:p w:rsidR="00A31137" w:rsidRPr="00A31137" w:rsidRDefault="00A31137" w:rsidP="00A31137">
      <w:r w:rsidRPr="00A31137">
        <w:t>That same reasoning applies with equal force here. The service at issue in this case is part of a general government program that distributes benefits neutrally to any child qualifying as "handicapped" under the IDEA, without regard to the "sectarian-nonsectarian, or public-nonpublic nature" of the school the child attends. By according parents freedom to select a school of their choice, the statute ensures that a government-paid interpreter will be present in a sectarian school only as a result of the private decision of individual parents. In other words, because the IDEA creates no financial incentive for parents to choose a sectarian school, an interpreter's presence there cannot be attributed to state decisionmaking. Viewed against the backdrop of Mueller and Witters, then, the Court of Appeals erred in its decision. When the government offers a neutral service on the premises of a sectarian school as part of a general program that "is in no way skewed towards religion," Witters, supra, at 488, it follows under our prior decisions that provision of that service does not offend the Establishment Clause. See Wolman v. Walter, 433 U.S. 229, 244 (1977). Indeed, this is an even easier case than Mueller and Witters in the sense that, under the IDEA, no funds traceable to the government ever find their way into sectarian schools' coffers. The only indirect economic benefit a sectarian school might receive by dint of the IDEA is the handicapped child's tuition—and that is, [509 U.S. 11] of course, assuming that the school makes a profit on each student; that, without an IDEA interpreter, the child would have gone to school elsewhere; and that the school, then, would have been unable to fill that child's spot.</w:t>
      </w:r>
    </w:p>
    <w:p w:rsidR="00A31137" w:rsidRPr="00A31137" w:rsidRDefault="00A31137" w:rsidP="00A31137">
      <w:r w:rsidRPr="00A31137">
        <w:t>1993, Zobrest v. Catalina Foothills Sch. Dist., 509 U.S. 11</w:t>
      </w:r>
    </w:p>
    <w:p w:rsidR="00A31137" w:rsidRPr="00A31137" w:rsidRDefault="00A31137" w:rsidP="00A31137">
      <w:r w:rsidRPr="00A31137">
        <w:t xml:space="preserve">Respondent contends, however, that this case differs from Mueller and Witters in that petitioners seek to have a public employee physically present in a sectarian school to assist in James' religious education. In light of this distinction, respondent argues that this case more closely resembles Meek v. Pittenger, 421 U.S. 349 (1975), and School Dist. of Grand Rapids v. Ball, 473 U.S. 373 (1985). In Meek, we struck down a statute that, inter alia, provided "massive aid" to private schools—more than 75% of which were church-related—through a direct loan of teaching material and equipment. 421 U.S. at 364-365. The material and equipment covered by the statute included maps, charts, and tape recorders. Id. at  355. According to respondent, if the government could not place a tape recorder in a sectarian school in Meek, then it surely cannot place an interpreter in Salpointe. The statute in Meek also authorized state-paid personnel to furnish "auxiliary services"—which included remedial and accelerated instruction and guidance counseling—on the premises of religious schools. We determined that this part of the statute offended the First Amendment as well. Id. at  372. Ball similarly involved two public programs that provided services on private school premises; there, public employees taught classes to students in private school classrooms. 9 473 U.S. at  375. We found that those programs likewise violated the Constitution, relying largely on Meek. 473 U.S. at 386-389. According to respondent, if the government could not provide educational services on the premises of sectarian schools in Meek and Ball, then it surely cannot provide James with an interpreter on the premises of Salpointe. [509 U.S. 12] </w:t>
      </w:r>
    </w:p>
    <w:p w:rsidR="00A31137" w:rsidRPr="00A31137" w:rsidRDefault="00A31137" w:rsidP="00A31137">
      <w:r w:rsidRPr="00A31137">
        <w:t>1993, Zobrest v. Catalina Foothills Sch. Dist., 509 U.S. 12</w:t>
      </w:r>
    </w:p>
    <w:p w:rsidR="00A31137" w:rsidRPr="00A31137" w:rsidRDefault="00A31137" w:rsidP="00A31137">
      <w:r w:rsidRPr="00A31137">
        <w:t>Respondent's reliance on Meek and Ball is misplaced for two reasons. First, the programs in Meek and Ball—through direct grants of government aid—relieved sectarian schools of costs they otherwise would have borne in educating their students. See Witters, supra, 474 U.S. at 487 ("[T]he State may not grant aid to a religious school, whether cash or in kind, where the effect of the aid is 'that of a direct subsidy to the religious school' from the State") (quoting Ball, supra, 473 U.S. at  394). For example, the religious schools in Meek received teaching material and equipment from the State, relieving them of an otherwise necessary cost of performing their educational function. 421 U.S. at 365-366. "Substantial aid to the educational function of such schools," we explained, "necessarily results in aid to the sectarian school enterprise as a whole," and therefore brings about "the direct and substantial advancement of religious activity." Id. at  366. So, too, was the case in Ball: the programs challenged there, which provided teachers in addition to instructional equipment and material,</w:t>
      </w:r>
    </w:p>
    <w:p w:rsidR="00A31137" w:rsidRPr="00A31137" w:rsidRDefault="00A31137" w:rsidP="00A31137">
      <w:r w:rsidRPr="00A31137">
        <w:t>1993, Zobrest v. Catalina Foothills Sch. Dist., 509 U.S. 12</w:t>
      </w:r>
    </w:p>
    <w:p w:rsidR="00A31137" w:rsidRPr="00A31137" w:rsidRDefault="00A31137" w:rsidP="00A31137">
      <w:r w:rsidRPr="00A31137">
        <w:t>in effect subsidize[d] the religious functions of the parochial schools by taking over a substantial portion of their responsibility for teaching secular subjects.</w:t>
      </w:r>
    </w:p>
    <w:p w:rsidR="00A31137" w:rsidRPr="00A31137" w:rsidRDefault="00A31137" w:rsidP="00A31137">
      <w:r w:rsidRPr="00A31137">
        <w:t>1993, Zobrest v. Catalina Foothills Sch. Dist., 509 U.S. 12</w:t>
      </w:r>
    </w:p>
    <w:p w:rsidR="00A31137" w:rsidRPr="00A31137" w:rsidRDefault="00A31137" w:rsidP="00A31137">
      <w:r w:rsidRPr="00A31137">
        <w:t>473 U.S. at  397. "This kind of direct aid," we determined, "is indistinguishable from the provision of a direct cash subsidy to the religious school." Id. at  395. The extension of aid to petitioners, however, does not amount to "an impermissible 'direct subsidy'" of Salpointe. Witters, 474 U.S. at 487. For Salpointe is not relieved of an expense that it otherwise would have assumed in educating its students. And, as we noted above, any attenuated financial benefit that parochial schools do ultimately receive from the IDEA is attributable to "the private choices of individual parents." Mueller, 463 U.S. at  400. Handicapped children, not sectarian schools, are the primary beneficiaries of the IDEA; to the extent sectarian schools benefit at all from the IDEA, they are only incidental beneficiaries. Thus, the function of the IDEA is hardly "'to provide desired financial [509 U.S. 13] support for nonpublic, sectarian institutions.'" Witters, 474 U.S. at 488 (quoting Nyquist, 413 U.S. at  783).</w:t>
      </w:r>
    </w:p>
    <w:p w:rsidR="00A31137" w:rsidRPr="00A31137" w:rsidRDefault="00A31137" w:rsidP="00A31137">
      <w:r w:rsidRPr="00A31137">
        <w:t>1993, Zobrest v. Catalina Foothills Sch. Dist., 509 U.S. 13</w:t>
      </w:r>
    </w:p>
    <w:p w:rsidR="00A31137" w:rsidRPr="00A31137" w:rsidRDefault="00A31137" w:rsidP="00A31137">
      <w:r w:rsidRPr="00A31137">
        <w:t>Second, the task of a sign-language interpreter seems to us quite different from that of a teacher or guidance counselor. Notwithstanding the Court of Appeals' intimations to the contrary, see 963 F.2d at 1195, the Establishment Clause lays down no absolute bar to the placing of a public employee in a sectarian school. 10 Such a flat rule, smacking of antiquated notions of "taint," would indeed exalt form over substance. 11 Nothing in this record suggests that a sign-language interpreter would do more than accurately interpret whatever material is presented to the class as a whole. In fact, ethical guidelines require interpreters to "transmit everything that is said in exactly the same way it was intended." App. 73. James' parents have chosen of their own free will to place him in a pervasively sectarian environment. The sign-language interpreter they have requested will neither add to nor subtract from that environment, and hence the provision of such assistance is not barred by the Establishment Clause.</w:t>
      </w:r>
    </w:p>
    <w:p w:rsidR="00A31137" w:rsidRPr="00A31137" w:rsidRDefault="00A31137" w:rsidP="00A31137">
      <w:r w:rsidRPr="00A31137">
        <w:t>1993, Zobrest v. Catalina Foothills Sch. Dist., 509 U.S. 13</w:t>
      </w:r>
    </w:p>
    <w:p w:rsidR="00A31137" w:rsidRPr="00A31137" w:rsidRDefault="00A31137" w:rsidP="00A31137">
      <w:r w:rsidRPr="00A31137">
        <w:t>The IDEA creates a neutral government program dispensing aid not to schools, but to individual handicapped children. If a handicapped child chooses to enroll in a sectarian school, [509 U.S. 14] we hold that the Establishment Clause does not prevent the school district from furnishing him with a sign-language interpreter there in order to facilitate his education. The judgment of the Court of Appeals is therefore</w:t>
      </w:r>
    </w:p>
    <w:p w:rsidR="00A31137" w:rsidRPr="00A31137" w:rsidRDefault="00A31137" w:rsidP="00A31137">
      <w:r w:rsidRPr="00A31137">
        <w:t>1993, Zobrest v. Catalina Foothills Sch. Dist., 509 U.S. 14</w:t>
      </w:r>
    </w:p>
    <w:p w:rsidR="00A31137" w:rsidRPr="00A31137" w:rsidRDefault="00A31137" w:rsidP="00A31137">
      <w:r w:rsidRPr="00A31137">
        <w:t>Reversed.</w:t>
      </w:r>
    </w:p>
    <w:p w:rsidR="00A31137" w:rsidRPr="00A31137" w:rsidRDefault="00A31137" w:rsidP="00A31137">
      <w:r w:rsidRPr="00A31137">
        <w:t>BLACKMUN, J., dissenting</w:t>
      </w:r>
    </w:p>
    <w:p w:rsidR="00A31137" w:rsidRPr="00A31137" w:rsidRDefault="00A31137" w:rsidP="00A31137">
      <w:r w:rsidRPr="00A31137">
        <w:t>1993, Zobrest v. Catalina Foothills Sch. Dist., 509 U.S. 14</w:t>
      </w:r>
    </w:p>
    <w:p w:rsidR="00A31137" w:rsidRPr="00A31137" w:rsidRDefault="00A31137" w:rsidP="00A31137">
      <w:r w:rsidRPr="00A31137">
        <w:t>JUSTICE BLACKMUN, with whom JUSTICE SOUTER joins, and with whom JUSTICE STEVENS and JUSTICE O'CONNOR join as to Part I, dissenting.</w:t>
      </w:r>
    </w:p>
    <w:p w:rsidR="00A31137" w:rsidRPr="00A31137" w:rsidRDefault="00A31137" w:rsidP="00A31137">
      <w:r w:rsidRPr="00A31137">
        <w:t>1993, Zobrest v. Catalina Foothills Sch. Dist., 509 U.S. 14</w:t>
      </w:r>
    </w:p>
    <w:p w:rsidR="00A31137" w:rsidRPr="00A31137" w:rsidRDefault="00A31137" w:rsidP="00A31137">
      <w:r w:rsidRPr="00A31137">
        <w:t>Today, the Court unnecessarily addresses an important constitutional issue, disregarding longstanding principles of constitutional adjudication. In so doing, the Court holds that placement in a parochial school classroom of a public employee whose duty consists of relaying religious messages does not violate the Establishment Clause of the First Amendment. I disagree both with the Court's decision to reach this question and with its disposition on the merits. I therefore dissent.</w:t>
      </w:r>
    </w:p>
    <w:p w:rsidR="00A31137" w:rsidRPr="00A31137" w:rsidRDefault="00A31137" w:rsidP="00A31137">
      <w:r w:rsidRPr="00A31137">
        <w:t>I</w:t>
      </w:r>
    </w:p>
    <w:p w:rsidR="00A31137" w:rsidRPr="00A31137" w:rsidRDefault="00A31137" w:rsidP="00A31137">
      <w:r w:rsidRPr="00A31137">
        <w:t>1993, Zobrest v. Catalina Foothills Sch. Dist., 509 U.S. 14</w:t>
      </w:r>
    </w:p>
    <w:p w:rsidR="00A31137" w:rsidRPr="00A31137" w:rsidRDefault="00A31137" w:rsidP="00A31137">
      <w:r w:rsidRPr="00A31137">
        <w:t>If there is one doctrine more deeply rooted than any other in the process of constitutional adjudication, it is that we ought not to pass on questions of constitutionality…unless such adjudication is unavoidable.</w:t>
      </w:r>
    </w:p>
    <w:p w:rsidR="00A31137" w:rsidRPr="00A31137" w:rsidRDefault="00A31137" w:rsidP="00A31137">
      <w:r w:rsidRPr="00A31137">
        <w:t>1993, Zobrest v. Catalina Foothills Sch. Dist., 509 U.S. 14</w:t>
      </w:r>
    </w:p>
    <w:p w:rsidR="00A31137" w:rsidRPr="00A31137" w:rsidRDefault="00A31137" w:rsidP="00A31137">
      <w:r w:rsidRPr="00A31137">
        <w:t>Specter Motor Service, Inc., v. McLaughlin, 323 U.S. 101,  105 (1944). See Brockett v. Spokane Arcades, Inc., 472 U.S. 491, 501 (1985); Ashwander v. TVA, 297 U.S. 288,  347 (1936) (Brandeis, J., concurring); Liverpool, New York and Philadelphia S.S. Co. v. Commissioners of Emigration, 113 U.S. 33,  39 (1885). This is a "fundamental rule of judicial restraint," Three Affiliated Tribes of Fort Berthold Reservation v. Wold Engineering, P. C., 467 U.S. 138, 157 (1984), which has received the sanction of time and experience. It has been described as a "corollary" to the Article III case or controversy requirement, see Rescue Army v. Municipal Court of Los Angeles, 331 U.S. 549,  570 (1947), and is grounded in basic [509 U.S. 15] principles regarding the institution of judicial review and this Court's proper role in our federal system. Ibid.</w:t>
      </w:r>
    </w:p>
    <w:p w:rsidR="00A31137" w:rsidRPr="00A31137" w:rsidRDefault="00A31137" w:rsidP="00A31137">
      <w:r w:rsidRPr="00A31137">
        <w:t>1993, Zobrest v. Catalina Foothills Sch. Dist., 509 U.S. 15</w:t>
      </w:r>
    </w:p>
    <w:p w:rsidR="00A31137" w:rsidRPr="00A31137" w:rsidRDefault="00A31137" w:rsidP="00A31137">
      <w:r w:rsidRPr="00A31137">
        <w:t>Respondent School District makes two arguments that could provide grounds for affirmance, rendering consideration of the constitutional question unnecessary. First, respondent maintains that the Individuals with Disabilities Education Act (IDEA), 20 U.S.C. § 1400 et seq., does not require it to furnish petitioner with an interpreter at any private school so long as special education services are made available at a public school. The United States endorses this interpretation of the statute, explaining that "the IDEA itself does not establish an individual entitlement to services for students placed in private schools at their parents' option." Brief for United States as Amicus Curiae 13. And several courts have reached the same conclusion. See, e.g., Goodall v. Stafford County School Bd., 930 F.2d 363 (CA4), cert. denied, 502 U.S. (1991); McNair v. Cardimone, 676 F.Supp. 1361 (SD Ohio 1987), aff'd sub nom. McNair v. Oak Hills Local School Dist., 872 F.2d 153 (CA6 1989); Work v. McKenzie, 661 F.Supp. 225 (DC 1987). Second, respondent contends that 34 CFR § 76.532(a)(1) (1992), a regulation promulgated under the IDEA, which forbids the use of federal funds to pay for "[r]eligious worship, instruction, or proselytization," prohibits provision of a sign-language interpreter at a sectarian school. The United States asserts that this regulation does not preclude the relief petitioners seek, Brief for United States as Amicus Curiae 23, but at least one federal court has concluded otherwise. See Goodall, supra. This Court could easily refrain from deciding the constitutional claim by vacating and remanding the case for consideration of the statutory and regulatory issues. Indeed, the majority's decision does not eliminate the need to resolve these remaining questions. For, regardless of the Court's views on the Establishment Clause, petitioners will not obtain what they seek if the federal statute [509 U.S. 16] does not require or the federal regulations prohibit provision of a sign-language interpreter in a sectarian school. 1</w:t>
      </w:r>
    </w:p>
    <w:p w:rsidR="00A31137" w:rsidRPr="00A31137" w:rsidRDefault="00A31137" w:rsidP="00A31137">
      <w:r w:rsidRPr="00A31137">
        <w:t>1993, Zobrest v. Catalina Foothills Sch. Dist., 509 U.S. 16</w:t>
      </w:r>
    </w:p>
    <w:p w:rsidR="00A31137" w:rsidRPr="00A31137" w:rsidRDefault="00A31137" w:rsidP="00A31137">
      <w:r w:rsidRPr="00A31137">
        <w:t>The majority does not deny the existence of these alternative grounds, nor does it dispute the venerable principle that constitutional questions should be avoided when there are nonconstitutional grounds for a decision in the case. Instead, in its zeal to address the constitutional question, the majority casts aside this "time-honored canon of constitutional adjudication," Specter Motor Service, 323 U.S. at  105, with the cursory observation that "the prudential rule of avoiding constitutional questions has no application" in light of the "posture" of this case. Ante at  8. Because the parties chose not to litigate the federal statutory issues in the District Court and in the Court of Appeals, the majority blithely proceeds to the merits of their constitutional claim.</w:t>
      </w:r>
    </w:p>
    <w:p w:rsidR="00A31137" w:rsidRPr="00A31137" w:rsidRDefault="00A31137" w:rsidP="00A31137">
      <w:r w:rsidRPr="00A31137">
        <w:t>1993, Zobrest v. Catalina Foothills Sch. Dist., 509 U.S. 16</w:t>
      </w:r>
    </w:p>
    <w:p w:rsidR="00A31137" w:rsidRPr="00A31137" w:rsidRDefault="00A31137" w:rsidP="00A31137">
      <w:r w:rsidRPr="00A31137">
        <w:t>But the majority's statements are a non sequitur. From the rule against deciding issues not raised or considered below, it does not follow that the Court should consider constitutional issues needlessly. The obligation to avoid unnecessary adjudication of constitutional questions does not depend upon the parties' litigation strategy, but rather is a</w:t>
      </w:r>
    </w:p>
    <w:p w:rsidR="00A31137" w:rsidRPr="00A31137" w:rsidRDefault="00A31137" w:rsidP="00A31137">
      <w:r w:rsidRPr="00A31137">
        <w:t>1993, Zobrest v. Catalina Foothills Sch. Dist., 509 U.S. 16</w:t>
      </w:r>
    </w:p>
    <w:p w:rsidR="00A31137" w:rsidRPr="00A31137" w:rsidRDefault="00A31137" w:rsidP="00A31137">
      <w:r w:rsidRPr="00A31137">
        <w:t>self-imposed limitation on the exercise of this Court's jurisdiction [that] has an importance to the institution that transcends the significance of particular controversies.</w:t>
      </w:r>
    </w:p>
    <w:p w:rsidR="00A31137" w:rsidRPr="00A31137" w:rsidRDefault="00A31137" w:rsidP="00A31137">
      <w:r w:rsidRPr="00A31137">
        <w:t>1993, Zobrest v. Catalina Foothills Sch. Dist., 509 U.S. 16</w:t>
      </w:r>
    </w:p>
    <w:p w:rsidR="00A31137" w:rsidRPr="00A31137" w:rsidRDefault="00A31137" w:rsidP="00A31137">
      <w:r w:rsidRPr="00A31137">
        <w:t>City of Mesquite v. Aladdin's Castle, Inc., 455 U.S. 283, 294 (1982). It is a rule whose aim is to protect not parties, but the law and the adjudicatory process. Indeed, just a few days ago, we expressed concern that</w:t>
      </w:r>
    </w:p>
    <w:p w:rsidR="00A31137" w:rsidRPr="00A31137" w:rsidRDefault="00A31137" w:rsidP="00A31137">
      <w:r w:rsidRPr="00A31137">
        <w:t>1993, Zobrest v. Catalina Foothills Sch. Dist., 509 U.S. 16</w:t>
      </w:r>
    </w:p>
    <w:p w:rsidR="00A31137" w:rsidRPr="00A31137" w:rsidRDefault="00A31137" w:rsidP="00A31137">
      <w:r w:rsidRPr="00A31137">
        <w:t>litigants, by agreeing on the legal issue presented, could extract the opinion of a court [509 U.S. 17] on hypothetical Acts of Congress or dubious constitutional principles, an opinion that would be difficult to characterize as anything but advisory.</w:t>
      </w:r>
    </w:p>
    <w:p w:rsidR="00A31137" w:rsidRPr="00A31137" w:rsidRDefault="00A31137" w:rsidP="00A31137">
      <w:r w:rsidRPr="00A31137">
        <w:t>1993, Zobrest v. Catalina Foothills Sch. Dist., 509 U.S. 17</w:t>
      </w:r>
    </w:p>
    <w:p w:rsidR="00A31137" w:rsidRPr="00A31137" w:rsidRDefault="00A31137" w:rsidP="00A31137">
      <w:r w:rsidRPr="00A31137">
        <w:t>National Bank of Oregon v. Independent Insurance Agents of America, Inc., 508 U.S. 439, 447 (1993). See United States v. CIO, 335 U.S. 106,  126 (1948) (Frankfurter, J., concurring).</w:t>
      </w:r>
    </w:p>
    <w:p w:rsidR="00A31137" w:rsidRPr="00A31137" w:rsidRDefault="00A31137" w:rsidP="00A31137">
      <w:r w:rsidRPr="00A31137">
        <w:t>1993, Zobrest v. Catalina Foothills Sch. Dist., 509 U.S. 17</w:t>
      </w:r>
    </w:p>
    <w:p w:rsidR="00A31137" w:rsidRPr="00A31137" w:rsidRDefault="00A31137" w:rsidP="00A31137">
      <w:r w:rsidRPr="00A31137">
        <w:t xml:space="preserve">That the federal statutory and regulatory issues have not been properly briefed or argued does not justify the Court's decision to reach the constitutional claim. The very posture of this case should have alerted the courts that the parties were seeking what amounts to an advisory opinion. After the Arizona Attorney General concluded that provision of a sign-language interpreter would violate the Federal and State Constitutions, the parties bypassed the federal statutes and regulations and proceeded directly to litigate the constitutional issue. Under such circumstances, the weighty nonconstitutional questions that were left unresolved are hardly to be described as "buried in the record." Ante at  8. When federal and state law questions similarly remained open in Wheeler v. Barrera, 417 U.S. 402 (1974), this Court refused to pass upon the scope or constitutionality of a federal statute that might have required publicly employed teachers to provide remedial instruction on the premises of sectarian schools. Prudence counsels that the Court follow a similar practice here by vacating and remanding this case for consideration of the nonconstitutional questions, rather than proceeding directly to the merits of the constitutional claim. See Youakim v. Miller, 425 U.S. 231 (1976) (vacating and remanding for consideration of statutory issues not presented to or considered by lower court); Escambia County v. McMillan, 466 U.S. 48, 51-52 (1984) (vacating and remanding for lower court to consider statutory issue parties had not briefed and Court of Appeals had not passed upon); Edward J. DeBartolo Corp. v. NLRB, 463 U.S. 147, 157-158 (1983) (vacating and remanding for consideration of statutory question). [509 U.S. 18] </w:t>
      </w:r>
    </w:p>
    <w:p w:rsidR="00A31137" w:rsidRPr="00A31137" w:rsidRDefault="00A31137" w:rsidP="00A31137">
      <w:r w:rsidRPr="00A31137">
        <w:t>II</w:t>
      </w:r>
    </w:p>
    <w:p w:rsidR="00A31137" w:rsidRPr="00A31137" w:rsidRDefault="00A31137" w:rsidP="00A31137">
      <w:r w:rsidRPr="00A31137">
        <w:t>1993, Zobrest v. Catalina Foothills Sch. Dist., 509 U.S. 18</w:t>
      </w:r>
    </w:p>
    <w:p w:rsidR="00A31137" w:rsidRPr="00A31137" w:rsidRDefault="00A31137" w:rsidP="00A31137">
      <w:r w:rsidRPr="00A31137">
        <w:t>Despite my disagreement with the majority's decision to reach the constitutional question, its arguments on the merits deserve a response. Until now, the Court never has authorized a public employee to participate directly in religious indoctrination. Yet that is the consequence of today's decision.</w:t>
      </w:r>
    </w:p>
    <w:p w:rsidR="00A31137" w:rsidRPr="00A31137" w:rsidRDefault="00A31137" w:rsidP="00A31137">
      <w:r w:rsidRPr="00A31137">
        <w:t>1993, Zobrest v. Catalina Foothills Sch. Dist., 509 U.S. 18</w:t>
      </w:r>
    </w:p>
    <w:p w:rsidR="00A31137" w:rsidRPr="00A31137" w:rsidRDefault="00A31137" w:rsidP="00A31137">
      <w:r w:rsidRPr="00A31137">
        <w:t>Let us be clear about exactly what is going on here. The parties have stipulated to the following facts. Petitioner requested the State to supply him with a sign-language interpreter at Salpointe High School, a private Roman Catholic school operated by the Carmelite Order of the Catholic Church. App. 90. Salpointe is a "pervasively religious" institution where "[t]he two functions of secular education and advancement of religious values or beliefs are inextricably intertwined." Id. at 92. Salpointe's overriding "objective" is to "instill a sense of Christian values." Id. at 90. Its "distinguishing purpose" is "the inculcation in its students of the faith and morals of the Roman Catholic Church." Religion is a required subject at Salpointe, and Catholic students are "strongly encouraged" to attend daily Mass each morning. Ibid. Salpointe's teachers must sign a Faculty Employment Agreement which requires them to promote the relationship among the religious, the academic, and the extracurricular. 2 They are encouraged to do so by</w:t>
      </w:r>
    </w:p>
    <w:p w:rsidR="00A31137" w:rsidRPr="00A31137" w:rsidRDefault="00A31137" w:rsidP="00A31137">
      <w:r w:rsidRPr="00A31137">
        <w:t>1993, Zobrest v. Catalina Foothills Sch. Dist., 509 U.S. 18</w:t>
      </w:r>
    </w:p>
    <w:p w:rsidR="00A31137" w:rsidRPr="00A31137" w:rsidRDefault="00A31137" w:rsidP="00A31137">
      <w:r w:rsidRPr="00A31137">
        <w:t>assist[ing] students in experiencing how the presence of God is manifest in nature, human history, in the struggles for economic and political justice, and other secular areas of the curriculum.</w:t>
      </w:r>
    </w:p>
    <w:p w:rsidR="00A31137" w:rsidRPr="00A31137" w:rsidRDefault="00A31137" w:rsidP="00A31137">
      <w:r w:rsidRPr="00A31137">
        <w:t>1993, Zobrest v. Catalina Foothills Sch. Dist., 509 U.S. 18</w:t>
      </w:r>
    </w:p>
    <w:p w:rsidR="00A31137" w:rsidRPr="00A31137" w:rsidRDefault="00A31137" w:rsidP="00A31137">
      <w:r w:rsidRPr="00A31137">
        <w:t>Id. at 92. The Agreement also sets forth detailed rules of [509 U.S. 19] conduct teachers must follow in order to advance the school's Christian mission. 3</w:t>
      </w:r>
    </w:p>
    <w:p w:rsidR="00A31137" w:rsidRPr="00A31137" w:rsidRDefault="00A31137" w:rsidP="00A31137">
      <w:r w:rsidRPr="00A31137">
        <w:t>1993, Zobrest v. Catalina Foothills Sch. Dist., 509 U.S. 19</w:t>
      </w:r>
    </w:p>
    <w:p w:rsidR="00A31137" w:rsidRPr="00A31137" w:rsidRDefault="00A31137" w:rsidP="00A31137">
      <w:r w:rsidRPr="00A31137">
        <w:t>At Salpointe, where the secular and the sectarian are "inextricably intertwined," governmental assistance to the educational function of the school necessarily entails governmental participation in the school's inculcation of religion. A state-employed sign-language interpreter would be required to communicate the material covered in religion class, the nominally secular subjects that are taught from a religious perspective, and the daily Masses at which Salpointe encourages attendance for Catholic students. In an environment so pervaded by discussions of the divine, the interpreter's every gesture would be infused with religious significance. Indeed, petitioners willingly concede this point: "That the interpreter conveys religious messages is a given in the case." Brief for Petitioners 22. By this concession, petitioners would seem to surrender their constitutional claim.</w:t>
      </w:r>
    </w:p>
    <w:p w:rsidR="00A31137" w:rsidRPr="00A31137" w:rsidRDefault="00A31137" w:rsidP="00A31137">
      <w:r w:rsidRPr="00A31137">
        <w:t>1993, Zobrest v. Catalina Foothills Sch. Dist., 509 U.S. 19</w:t>
      </w:r>
    </w:p>
    <w:p w:rsidR="00A31137" w:rsidRPr="00A31137" w:rsidRDefault="00A31137" w:rsidP="00A31137">
      <w:r w:rsidRPr="00A31137">
        <w:t>The majority attempts to elude the impact of the record by offering three reasons why this sort of aid to petitioners survives Establishment Clause scrutiny. First, the majority observes that provision of a sign-language interpreter [509 U.S. 20] occurs as</w:t>
      </w:r>
    </w:p>
    <w:p w:rsidR="00A31137" w:rsidRPr="00A31137" w:rsidRDefault="00A31137" w:rsidP="00A31137">
      <w:r w:rsidRPr="00A31137">
        <w:t>1993, Zobrest v. Catalina Foothills Sch. Dist., 509 U.S. 20</w:t>
      </w:r>
    </w:p>
    <w:p w:rsidR="00A31137" w:rsidRPr="00A31137" w:rsidRDefault="00A31137" w:rsidP="00A31137">
      <w:r w:rsidRPr="00A31137">
        <w:t>part of a general government program that distributes benefits neutrally to any child qualifying as "handicapped" under the IDEA, without regard to the "sectarian-nonsectarian, or public-nonpublic" nature of the school the child attends.</w:t>
      </w:r>
    </w:p>
    <w:p w:rsidR="00A31137" w:rsidRPr="00A31137" w:rsidRDefault="00A31137" w:rsidP="00A31137">
      <w:r w:rsidRPr="00A31137">
        <w:t>1993, Zobrest v. Catalina Foothills Sch. Dist., 509 U.S. 20</w:t>
      </w:r>
    </w:p>
    <w:p w:rsidR="00A31137" w:rsidRPr="00A31137" w:rsidRDefault="00A31137" w:rsidP="00A31137">
      <w:r w:rsidRPr="00A31137">
        <w:t>Ante at  10. Second, the majority finds significant the fact that aid is provided to pupils and their parents, rather than directly to sectarian schools. As a result,</w:t>
      </w:r>
    </w:p>
    <w:p w:rsidR="00A31137" w:rsidRPr="00A31137" w:rsidRDefault="00A31137" w:rsidP="00A31137">
      <w:r w:rsidRPr="00A31137">
        <w:t>1993, Zobrest v. Catalina Foothills Sch. Dist., 509 U.S. 20</w:t>
      </w:r>
    </w:p>
    <w:p w:rsidR="00A31137" w:rsidRPr="00A31137" w:rsidRDefault="00A31137" w:rsidP="00A31137">
      <w:r w:rsidRPr="00A31137">
        <w:t>"[a]ny aid…that ultimately flows to religious institutions does so only as a result of the genuinely independent and private choices of aid recipients."</w:t>
      </w:r>
    </w:p>
    <w:p w:rsidR="00A31137" w:rsidRPr="00A31137" w:rsidRDefault="00A31137" w:rsidP="00A31137">
      <w:r w:rsidRPr="00A31137">
        <w:t>1993, Zobrest v. Catalina Foothills Sch. Dist., 509 U.S. 20</w:t>
      </w:r>
    </w:p>
    <w:p w:rsidR="00A31137" w:rsidRPr="00A31137" w:rsidRDefault="00A31137" w:rsidP="00A31137">
      <w:r w:rsidRPr="00A31137">
        <w:t>Ante at  9, quoting Witters v. Washington Department of Services for the Blind, 474 U.S. 481, 487 (1986). And, finally, the majority opines that "the task of a sign-language interpreter seems to us quite different from that of a teacher or guidance counselor." Ante at  13.</w:t>
      </w:r>
    </w:p>
    <w:p w:rsidR="00A31137" w:rsidRPr="00A31137" w:rsidRDefault="00A31137" w:rsidP="00A31137">
      <w:r w:rsidRPr="00A31137">
        <w:t>1993, Zobrest v. Catalina Foothills Sch. Dist., 509 U.S. 20</w:t>
      </w:r>
    </w:p>
    <w:p w:rsidR="00A31137" w:rsidRPr="00A31137" w:rsidRDefault="00A31137" w:rsidP="00A31137">
      <w:r w:rsidRPr="00A31137">
        <w:t>But the majority's arguments are unavailing. As to the first two, even a general welfare program may have specific applications that are constitutionally forbidden under the Establishment Clause. See Bowen v. Kendrick, 487 U.S. 589 (1988) (holding that Adolescent Family Life Act on its face did not violate the Establishment Clause, but remanding for examination of the constitutionality of particular applications). For example, a general program granting remedial assistance to disadvantaged schoolchildren attending public and private, secular and sectarian schools alike would clearly offend the Establishment Clause insofar as it authorized the provision of teachers. See Aguilar v. Felton, 473 U.S. 402,  410 (1985); Grand Rapids School District v. Ball, 473 U.S. 373,  385 (1985); Meek v. Pittenger, 421 U.S. 349,  371 (1975). Such a program would not be saved simply because it supplied teachers to secular, as well as sectarian, schools. Nor would the fact that teachers were furnished to pupils and their parents, rather than directly to sectarian schools, immunize such a program from Establishment Clause scrutiny. See Witters, 474 U.S. at 487 ("Aid may have [unconstitutional] effect even though it takes the form of aid to students [509 U.S. 21] or parents"); Wolman v. Walter, 433 U.S. 229, 250 (1977) (it would "exalt form over substance if this distinction [between equipment loaned to the pupil or his parent and equipment loaned directly to the school] were found to justify a…different" result); Grand Rapids, 473 U.S. at  395 (rejecting "fiction that a…program could be saved by masking it as aid to individual students"). The majority's decision must turn, then, upon the distinction between a teacher and a sign-language interpreter.</w:t>
      </w:r>
    </w:p>
    <w:p w:rsidR="00A31137" w:rsidRPr="00A31137" w:rsidRDefault="00A31137" w:rsidP="00A31137">
      <w:r w:rsidRPr="00A31137">
        <w:t>1993, Zobrest v. Catalina Foothills Sch. Dist., 509 U.S. 21</w:t>
      </w:r>
    </w:p>
    <w:p w:rsidR="00A31137" w:rsidRPr="00A31137" w:rsidRDefault="00A31137" w:rsidP="00A31137">
      <w:r w:rsidRPr="00A31137">
        <w:t>"Although Establishment Clause jurisprudence is characterized by few absolutes," at a minimum "the Clause does absolutely prohibit government-financed or government-sponsored indoctrination into the beliefs of a particular religious faith." Grand Rapids, 473 U.S. at  385. See Bowen v. Kendrick, 487 U.S. at  623 (O'CONNOR, J., concurring) ("[A]ny use of public funds to promote religious doctrines violates the Establishment Clause") (emphasis in original); Meek, 421 U.S. at  371 ("'The State must be certain, given the Religion Clauses, that subsidized teachers do not inculcate religion,'" quoting Lemon v. Kurtzman, 403 U.S. 602,  619 (1971)); Levitt v. Committee for Public Education and Religious Liberty, 413 U.S. 472, 480 (1973) ("[T]he State is constitutionally compelled to assure that the state-supported activity is not being used for religious indoctrination"). In keeping with this restriction, our cases consistently have rejected the provision by government of any resource capable of advancing a school's religious mission. Although the Court generally has permitted the provision of "secular and nonideological services unrelated to the primary, religion-oriented educational function of the sectarian school," Meek, 421 U.S. at  364, it has always proscribed the provision of benefits that afford even "the opportunity for the transmission of sectarian views," Wolman, 433 U.S. at 244.</w:t>
      </w:r>
    </w:p>
    <w:p w:rsidR="00A31137" w:rsidRPr="00A31137" w:rsidRDefault="00A31137" w:rsidP="00A31137">
      <w:r w:rsidRPr="00A31137">
        <w:t>1993, Zobrest v. Catalina Foothills Sch. Dist., 509 U.S. 21</w:t>
      </w:r>
    </w:p>
    <w:p w:rsidR="00A31137" w:rsidRPr="00A31137" w:rsidRDefault="00A31137" w:rsidP="00A31137">
      <w:r w:rsidRPr="00A31137">
        <w:t>Thus, the Court has upheld the use of public school buses to transport children to and from school, Everson v. Board of Education, 330 U.S. 1 (1947), while striking down the [509 U.S. 22] employment of publicly funded buses for field trips controlled by parochial school teachers, Wolman, 433 U.S. at 254. Similarly, the Court has permitted the provision of secular textbooks whose content is immutable and can be ascertained in advance, Board of Education v. Allen, 392 U.S. 236 (1968), while prohibiting the provision of any instructional materials or equipment that could be used to convey a religious message, such as slide projectors, tape recorders, record players, and the like, Wolman, 433 U.S. at 249. State-paid speech and hearing therapists have been allowed to administer diagnostic testing on the premises of parochial schools, Wolman, 433 U.S. at 241-242, whereas state-paid remedial teachers and counselors have not been authorized to offer their services because of the risk that they may inculcate religious beliefs, Meek, 421 U.S. at  371.</w:t>
      </w:r>
    </w:p>
    <w:p w:rsidR="00A31137" w:rsidRPr="00A31137" w:rsidRDefault="00A31137" w:rsidP="00A31137">
      <w:r w:rsidRPr="00A31137">
        <w:t>1993, Zobrest v. Catalina Foothills Sch. Dist., 509 U.S. 22</w:t>
      </w:r>
    </w:p>
    <w:p w:rsidR="00A31137" w:rsidRPr="00A31137" w:rsidRDefault="00A31137" w:rsidP="00A31137">
      <w:r w:rsidRPr="00A31137">
        <w:t>These distinctions perhaps are somewhat fine, but "'lines must be drawn.'" Grand Rapids, 473 U.S. at  398 (citation omitted). And our cases make clear that government crosses the boundary when it furnishes the medium for communication of a religious message. If petitioners receive the relief they seek, it is beyond question that a state-employed sign-language interpreter would serve as the conduit for petitioner's religious education, thereby assisting Salpointe in its mission of religious indoctrination. But the Establishment Clause is violated when a sectarian school enlists "the machinery of the State to enforce a religious orthodoxy." Lee v. Weisman, 505 U.S. 577,  592 (1992).</w:t>
      </w:r>
    </w:p>
    <w:p w:rsidR="00A31137" w:rsidRPr="00A31137" w:rsidRDefault="00A31137" w:rsidP="00A31137">
      <w:r w:rsidRPr="00A31137">
        <w:t>1993, Zobrest v. Catalina Foothills Sch. Dist., 509 U.S. 22</w:t>
      </w:r>
    </w:p>
    <w:p w:rsidR="00A31137" w:rsidRPr="00A31137" w:rsidRDefault="00A31137" w:rsidP="00A31137">
      <w:r w:rsidRPr="00A31137">
        <w:t>Witters, supra, and Mueller v. Allen, 463 U.S. 388 (1983), are not to the contrary. Those cases dealt with the payment of cash or a tax deduction, where governmental involvement ended with the disbursement of funds or lessening of tax. This case, on the other hand, involves ongoing, daily, and intimate governmental participation in the teaching and propagation of religious doctrine. When government dispenses public funds to individuals who employ them to finance private choices, it is difficult to argue that government [509 U.S. 23] is actually endorsing religion. But the graphic symbol of the concert of church and state that results when a public employee or instrumentality mouths a religious message is likely to</w:t>
      </w:r>
    </w:p>
    <w:p w:rsidR="00A31137" w:rsidRPr="00A31137" w:rsidRDefault="00A31137" w:rsidP="00A31137">
      <w:r w:rsidRPr="00A31137">
        <w:t>1993, Zobrest v. Catalina Foothills Sch. Dist., 509 U.S. 23</w:t>
      </w:r>
    </w:p>
    <w:p w:rsidR="00A31137" w:rsidRPr="00A31137" w:rsidRDefault="00A31137" w:rsidP="00A31137">
      <w:r w:rsidRPr="00A31137">
        <w:t>enlis[t]—at least in the eyes of impressionable youngsters—the powers of government to the support of the religious denomination operating the school.</w:t>
      </w:r>
    </w:p>
    <w:p w:rsidR="00A31137" w:rsidRPr="00A31137" w:rsidRDefault="00A31137" w:rsidP="00A31137">
      <w:r w:rsidRPr="00A31137">
        <w:t>1993, Zobrest v. Catalina Foothills Sch. Dist., 509 U.S. 23</w:t>
      </w:r>
    </w:p>
    <w:p w:rsidR="00A31137" w:rsidRPr="00A31137" w:rsidRDefault="00A31137" w:rsidP="00A31137">
      <w:r w:rsidRPr="00A31137">
        <w:t>Grand Rapids, 473 U.S. at  385. And the union of church and state in pursuit of a common enterprise is likely to place the imprimatur of governmental approval upon the favored religion, conveying a message of exclusion to all those who do not adhere to its tenets.</w:t>
      </w:r>
    </w:p>
    <w:p w:rsidR="00A31137" w:rsidRPr="00A31137" w:rsidRDefault="00A31137" w:rsidP="00A31137">
      <w:r w:rsidRPr="00A31137">
        <w:t>1993, Zobrest v. Catalina Foothills Sch. Dist., 509 U.S. 23</w:t>
      </w:r>
    </w:p>
    <w:p w:rsidR="00A31137" w:rsidRPr="00A31137" w:rsidRDefault="00A31137" w:rsidP="00A31137">
      <w:r w:rsidRPr="00A31137">
        <w:t>Moreover, this distinction between the provision of funds and the provision of a human being is not merely one of form. It goes to the heart of the principles animating the Establishment Clause. As Amicus Council on Religious Freedom points out, the provision of a state-paid sign-language interpreter may pose serious problems for the church, as well as for the state. Many sectarian schools impose religiously based rules of conduct, as Salpointe has in this case. A traditional Hindu school would be likely to instruct its students and staff to dress modestly, avoiding any display of their bodies. And an orthodox Jewish yeshiva might well forbid all but kosher food upon its premises. To require public employees to obey such rules would impermissibly threaten individual liberty, but to fail to do so might endanger religious autonomy. For such reasons, it long has been feared that "a union of government and religion tends to destroy government and to degrade religion." Engel v. Vitale, 370 U.S. 421,  431 (1962). The Establishment Clause was designed to avert exactly this sort of conflict.</w:t>
      </w:r>
    </w:p>
    <w:p w:rsidR="00A31137" w:rsidRPr="00A31137" w:rsidRDefault="00A31137" w:rsidP="00A31137">
      <w:r w:rsidRPr="00A31137">
        <w:t>III</w:t>
      </w:r>
    </w:p>
    <w:p w:rsidR="00A31137" w:rsidRPr="00A31137" w:rsidRDefault="00A31137" w:rsidP="00A31137">
      <w:r w:rsidRPr="00A31137">
        <w:t>1993, Zobrest v. Catalina Foothills Sch. Dist., 509 U.S. 23</w:t>
      </w:r>
    </w:p>
    <w:p w:rsidR="00A31137" w:rsidRPr="00A31137" w:rsidRDefault="00A31137" w:rsidP="00A31137">
      <w:r w:rsidRPr="00A31137">
        <w:t>The Establishment Clause</w:t>
      </w:r>
    </w:p>
    <w:p w:rsidR="00A31137" w:rsidRPr="00A31137" w:rsidRDefault="00A31137" w:rsidP="00A31137">
      <w:r w:rsidRPr="00A31137">
        <w:t>1993, Zobrest v. Catalina Foothills Sch. Dist., 509 U.S. 23</w:t>
      </w:r>
    </w:p>
    <w:p w:rsidR="00A31137" w:rsidRPr="00A31137" w:rsidRDefault="00A31137" w:rsidP="00A31137">
      <w:r w:rsidRPr="00A31137">
        <w:t>rests upon the premise that both religion and government can best work to achieve their lofty aims if each is left free from the other within its respective sphere.</w:t>
      </w:r>
    </w:p>
    <w:p w:rsidR="00A31137" w:rsidRPr="00A31137" w:rsidRDefault="00A31137" w:rsidP="00A31137">
      <w:r w:rsidRPr="00A31137">
        <w:t>1993, Zobrest v. Catalina Foothills Sch. Dist., 509 U.S. 23</w:t>
      </w:r>
    </w:p>
    <w:p w:rsidR="00A31137" w:rsidRPr="00A31137" w:rsidRDefault="00A31137" w:rsidP="00A31137">
      <w:r w:rsidRPr="00A31137">
        <w:t>Illinois ex rel. McCollum v. Board of Ed. of [509 U.S. 24] School Dist. No. 71, Champaign Cty., 333 U.S. 203,  212 (1948). To this end, our cases have strived to "chart a course that preserve[s] the autonomy and freedom of religious bodies while avoiding any semblance of established religion." Walz v. Tax Commission, 397 U.S. 664,  672 (1970). I would not stray, as the Court does today, from the course set by nearly five decades of Establishment Clause jurisprudence. Accordingly, I dissent.</w:t>
      </w:r>
    </w:p>
    <w:p w:rsidR="00A31137" w:rsidRPr="00A31137" w:rsidRDefault="00A31137" w:rsidP="00A31137">
      <w:r w:rsidRPr="00A31137">
        <w:t>O'CONNOR, J., dissenting</w:t>
      </w:r>
    </w:p>
    <w:p w:rsidR="00A31137" w:rsidRPr="00A31137" w:rsidRDefault="00A31137" w:rsidP="00A31137">
      <w:r w:rsidRPr="00A31137">
        <w:t>1993, Zobrest v. Catalina Foothills Sch. Dist., 509 U.S. 24</w:t>
      </w:r>
    </w:p>
    <w:p w:rsidR="00A31137" w:rsidRPr="00A31137" w:rsidRDefault="00A31137" w:rsidP="00A31137">
      <w:r w:rsidRPr="00A31137">
        <w:t>JUSTICE O'CONNOR, with whom JUSTICE STEVENS joins, dissenting.</w:t>
      </w:r>
    </w:p>
    <w:p w:rsidR="00A31137" w:rsidRPr="00A31137" w:rsidRDefault="00A31137" w:rsidP="00A31137">
      <w:r w:rsidRPr="00A31137">
        <w:t>1993, Zobrest v. Catalina Foothills Sch. Dist., 509 U.S. 24</w:t>
      </w:r>
    </w:p>
    <w:p w:rsidR="00A31137" w:rsidRPr="00A31137" w:rsidRDefault="00A31137" w:rsidP="00A31137">
      <w:r w:rsidRPr="00A31137">
        <w:t>I join Part I of JUSTICE BLACKMUN's dissent. In my view, the Court should vacate and remand this case for consideration of the various threshold problems, statutory and regulatory, that may moot the constitutional question urged upon us by the parties.</w:t>
      </w:r>
    </w:p>
    <w:p w:rsidR="00A31137" w:rsidRPr="00A31137" w:rsidRDefault="00A31137" w:rsidP="00A31137">
      <w:r w:rsidRPr="00A31137">
        <w:t>1993, Zobrest v. Catalina Foothills Sch. Dist., 509 U.S. 24</w:t>
      </w:r>
    </w:p>
    <w:p w:rsidR="00A31137" w:rsidRPr="00A31137" w:rsidRDefault="00A31137" w:rsidP="00A31137">
      <w:r w:rsidRPr="00A31137">
        <w:t>It is a fundamental rule of judicial restraint…that this Court will not reach constitutional questions in advance of the necessity of deciding them.</w:t>
      </w:r>
    </w:p>
    <w:p w:rsidR="00A31137" w:rsidRPr="00A31137" w:rsidRDefault="00A31137" w:rsidP="00A31137">
      <w:r w:rsidRPr="00A31137">
        <w:t>1993, Zobrest v. Catalina Foothills Sch. Dist., 509 U.S. 24</w:t>
      </w:r>
    </w:p>
    <w:p w:rsidR="00A31137" w:rsidRPr="00A31137" w:rsidRDefault="00A31137" w:rsidP="00A31137">
      <w:r w:rsidRPr="00A31137">
        <w:t>Three Affiliated Tribes of Fort Berthold Reservation v. Wold Engineering, P. C., 467 U.S. 138, 157 (1984). That "fundamental rule" suffices to dispose of the case before us, whatever the proper answer to the decidedly hypothetical issue addressed by the Court. I therefore refrain from addressing it myself. See Rust v. Sullivan, 500 U.S. 173, 223-223 (1991) (O'CONNOR, J., dissenting).</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1993, Zobrest v. Catalina Foothills Sch. Dist., 509 U.S. 24</w:t>
      </w:r>
    </w:p>
    <w:p w:rsidR="00A31137" w:rsidRPr="00A31137" w:rsidRDefault="00A31137" w:rsidP="00A31137">
      <w:r w:rsidRPr="00A31137">
        <w:t>1. The parties have stipulated:</w:t>
      </w:r>
    </w:p>
    <w:p w:rsidR="00A31137" w:rsidRPr="00A31137" w:rsidRDefault="00A31137" w:rsidP="00A31137">
      <w:r w:rsidRPr="00A31137">
        <w:t>1993, Zobrest v. Catalina Foothills Sch. Dist., 509 U.S. 24</w:t>
      </w:r>
    </w:p>
    <w:p w:rsidR="00A31137" w:rsidRPr="00A31137" w:rsidRDefault="00A31137" w:rsidP="00A31137">
      <w:r w:rsidRPr="00A31137">
        <w:t>The two functions of secular education and advancement of religious values or beliefs are inextricably intertwined throughout the operations of Salpointe.</w:t>
      </w:r>
    </w:p>
    <w:p w:rsidR="00A31137" w:rsidRPr="00A31137" w:rsidRDefault="00A31137" w:rsidP="00A31137">
      <w:r w:rsidRPr="00A31137">
        <w:t>1993, Zobrest v. Catalina Foothills Sch. Dist., 509 U.S. 24</w:t>
      </w:r>
    </w:p>
    <w:p w:rsidR="00A31137" w:rsidRPr="00A31137" w:rsidRDefault="00A31137" w:rsidP="00A31137">
      <w:r w:rsidRPr="00A31137">
        <w:t>App. 92.</w:t>
      </w:r>
    </w:p>
    <w:p w:rsidR="00A31137" w:rsidRPr="00A31137" w:rsidRDefault="00A31137" w:rsidP="00A31137">
      <w:r w:rsidRPr="00A31137">
        <w:t>1993, Zobrest v. Catalina Foothills Sch. Dist., 509 U.S. 24</w:t>
      </w:r>
    </w:p>
    <w:p w:rsidR="00A31137" w:rsidRPr="00A31137" w:rsidRDefault="00A31137" w:rsidP="00A31137">
      <w:r w:rsidRPr="00A31137">
        <w:t>2. The parties agreed that exhaustion of administrative remedies would be futile here. Id. at 995.</w:t>
      </w:r>
    </w:p>
    <w:p w:rsidR="00A31137" w:rsidRPr="00A31137" w:rsidRDefault="00A31137" w:rsidP="00A31137">
      <w:r w:rsidRPr="00A31137">
        <w:t>1993, Zobrest v. Catalina Foothills Sch. Dist., 509 U.S. 24</w:t>
      </w:r>
    </w:p>
    <w:p w:rsidR="00A31137" w:rsidRPr="00A31137" w:rsidRDefault="00A31137" w:rsidP="00A31137">
      <w:r w:rsidRPr="00A31137">
        <w:t>3. During the pendency of this litigation, James completed his high school studies and graduated from Salpointe on May 16, 1992. This case nonetheless presents a continuing controversy, since petitioners seek reimbursement for the cost they incurred in hiring their own interpreter, more than $7,000 per year. Id. at 65.</w:t>
      </w:r>
    </w:p>
    <w:p w:rsidR="00A31137" w:rsidRPr="00A31137" w:rsidRDefault="00A31137" w:rsidP="00A31137">
      <w:r w:rsidRPr="00A31137">
        <w:t>1993, Zobrest v. Catalina Foothills Sch. Dist., 509 U.S. 24</w:t>
      </w:r>
    </w:p>
    <w:p w:rsidR="00A31137" w:rsidRPr="00A31137" w:rsidRDefault="00A31137" w:rsidP="00A31137">
      <w:r w:rsidRPr="00A31137">
        <w:t>4. Respondent now concedes that "the IDEA has an appropriate 'secular purpose.'" Brief for Respondent 16.</w:t>
      </w:r>
    </w:p>
    <w:p w:rsidR="00A31137" w:rsidRPr="00A31137" w:rsidRDefault="00A31137" w:rsidP="00A31137">
      <w:r w:rsidRPr="00A31137">
        <w:t>1993, Zobrest v. Catalina Foothills Sch. Dist., 509 U.S. 24</w:t>
      </w:r>
    </w:p>
    <w:p w:rsidR="00A31137" w:rsidRPr="00A31137" w:rsidRDefault="00A31137" w:rsidP="00A31137">
      <w:r w:rsidRPr="00A31137">
        <w:t>5. The Court of Appeals also rejected petitioners' Free Exercise Clause claim. 963 F.2d 1190, 1196-1197 (CA9 1992). Petitioners have not challenged that part of the decision below. Pet. for Cert. 10, n. 9.</w:t>
      </w:r>
    </w:p>
    <w:p w:rsidR="00A31137" w:rsidRPr="00A31137" w:rsidRDefault="00A31137" w:rsidP="00A31137">
      <w:r w:rsidRPr="00A31137">
        <w:t>1993, Zobrest v. Catalina Foothills Sch. Dist., 509 U.S. 24</w:t>
      </w:r>
    </w:p>
    <w:p w:rsidR="00A31137" w:rsidRPr="00A31137" w:rsidRDefault="00A31137" w:rsidP="00A31137">
      <w:r w:rsidRPr="00A31137">
        <w:t>6. Respondent may well have waived these other defenses. For in response to an interrogatory asking why it had refused to provide the requested service, respondent referred only to the putative Establishment Clause bar. App. 59-60.</w:t>
      </w:r>
    </w:p>
    <w:p w:rsidR="00A31137" w:rsidRPr="00A31137" w:rsidRDefault="00A31137" w:rsidP="00A31137">
      <w:r w:rsidRPr="00A31137">
        <w:t>1993, Zobrest v. Catalina Foothills Sch. Dist., 509 U.S. 24</w:t>
      </w:r>
    </w:p>
    <w:p w:rsidR="00A31137" w:rsidRPr="00A31137" w:rsidRDefault="00A31137" w:rsidP="00A31137">
      <w:r w:rsidRPr="00A31137">
        <w:t>7. That regulation prohibits the use of federal funds to pay for "[r]eligious worship, instruction, or proselytization." 34 CFR § 76.532(a)(1) (1992). The United States asserts that the regulation merely implements the Secretary of Education's understanding of (and thus is coextensive with) the requirements of the Establishment Clause. Brief for United States as Amicus Curiae 23; see also Brief for United States as Amicus Curiae in Witters v. Dept. of Services for Blind, O.T. 1985, No. 84-1070, p. 21, n. 11 ("These regulations are based on the Department's interpretation of constitutional requirements"). This interpretation seems persuasive to us. The only authority cited by the Secretary for issuance of the regulation is his general rulemaking power. See 34 CFR § 76.532 (citing 20 U.S.C. §§ 1221e-3(a)(1), 2831(a), and 2974(b)). Though the Fourth Circuit placed a different interpretation on § 76.532 in Goodall v. Stafford County School Board, 930 F.2d 363, 369 (holding that the regulation prohibits the provision of an interpreter to a student in a sectarian school), cert. denied, 502 U.S. 864 (1991), that court did not have the benefit of the United States' views.</w:t>
      </w:r>
    </w:p>
    <w:p w:rsidR="00A31137" w:rsidRPr="00A31137" w:rsidRDefault="00A31137" w:rsidP="00A31137">
      <w:r w:rsidRPr="00A31137">
        <w:t>1993, Zobrest v. Catalina Foothills Sch. Dist., 509 U.S. 24</w:t>
      </w:r>
    </w:p>
    <w:p w:rsidR="00A31137" w:rsidRPr="00A31137" w:rsidRDefault="00A31137" w:rsidP="00A31137">
      <w:r w:rsidRPr="00A31137">
        <w:t>8. In our view, this belated contention is entitled to little, if any, weight here, given respondent's repeated concession that, but for the perceived federal constitutional bar, it would have willingly provided James with an interpreter at Salpointe as a matter of local policy. See, e.g., Tr. of Oral Arg. 31 ("We don't deny that…we would have voluntarily done that. The only concern that came up at the time was the Establishment Clause concern").</w:t>
      </w:r>
    </w:p>
    <w:p w:rsidR="00A31137" w:rsidRPr="00A31137" w:rsidRDefault="00A31137" w:rsidP="00A31137">
      <w:r w:rsidRPr="00A31137">
        <w:t>1993, Zobrest v. Catalina Foothills Sch. Dist., 509 U.S. 24</w:t>
      </w:r>
    </w:p>
    <w:p w:rsidR="00A31137" w:rsidRPr="00A31137" w:rsidRDefault="00A31137" w:rsidP="00A31137">
      <w:r w:rsidRPr="00A31137">
        <w:t>9. Forty of the forty-one private schools involved in Ball were pervasively sectarian. 473 U.S. at 384-385.</w:t>
      </w:r>
    </w:p>
    <w:p w:rsidR="00A31137" w:rsidRPr="00A31137" w:rsidRDefault="00A31137" w:rsidP="00A31137">
      <w:r w:rsidRPr="00A31137">
        <w:t>1993, Zobrest v. Catalina Foothills Sch. Dist., 509 U.S. 24</w:t>
      </w:r>
    </w:p>
    <w:p w:rsidR="00A31137" w:rsidRPr="00A31137" w:rsidRDefault="00A31137" w:rsidP="00A31137">
      <w:r w:rsidRPr="00A31137">
        <w:t>10. For instance, in Wolman v. Walter, 433 U.S. 229, 242 (1977), we made clear that "the provision of health services to all schoolchildren—public and nonpublic—does not have the primary effect of aiding religion," even when those services are provided within sectarian schools. We accordingly rejected a First Amendment challenge to the State's providing diagnostic speech and hearing services on sectarian school premises. Id. at 244; see also Meek v. Pittenger, 421 U.S. 349,  371, n. 21 (1975).</w:t>
      </w:r>
    </w:p>
    <w:p w:rsidR="00A31137" w:rsidRPr="00A31137" w:rsidRDefault="00A31137" w:rsidP="00A31137">
      <w:r w:rsidRPr="00A31137">
        <w:t>1993, Zobrest v. Catalina Foothills Sch. Dist., 509 U.S. 24</w:t>
      </w:r>
    </w:p>
    <w:p w:rsidR="00A31137" w:rsidRPr="00A31137" w:rsidRDefault="00A31137" w:rsidP="00A31137">
      <w:r w:rsidRPr="00A31137">
        <w:t>11. Indeed, respondent readily admits, as it must, that there would be no problem under the Establishment Clause if the IDEA funds instead went directly to James' parents, who, in turn, hired the interpreter themselves. Brief for Respondent 11 ("If such were the case, then the sign language interpreter would be the student's employee, not the School District's, and governmental involvement in the enterprise would end with the disbursement of funds").</w:t>
      </w:r>
    </w:p>
    <w:p w:rsidR="00A31137" w:rsidRPr="00A31137" w:rsidRDefault="00A31137" w:rsidP="00A31137">
      <w:r w:rsidRPr="00A31137">
        <w:t>BLACKMUN, J., dissenting (Footnotes)</w:t>
      </w:r>
    </w:p>
    <w:p w:rsidR="00A31137" w:rsidRPr="00A31137" w:rsidRDefault="00A31137" w:rsidP="00A31137">
      <w:r w:rsidRPr="00A31137">
        <w:t>1993, Zobrest v. Catalina Foothills Sch. Dist., 509 U.S. 24</w:t>
      </w:r>
    </w:p>
    <w:p w:rsidR="00A31137" w:rsidRPr="00A31137" w:rsidRDefault="00A31137" w:rsidP="00A31137">
      <w:r w:rsidRPr="00A31137">
        <w:t>1. Respondent also argues that public provision of a sign-language interpreter would violate the Arizona Constitution. Article II, § 12, of the Arizona Constitution provides:</w:t>
      </w:r>
    </w:p>
    <w:p w:rsidR="00A31137" w:rsidRPr="00A31137" w:rsidRDefault="00A31137" w:rsidP="00A31137">
      <w:r w:rsidRPr="00A31137">
        <w:t>1993, Zobrest v. Catalina Foothills Sch. Dist., 509 U.S. 24</w:t>
      </w:r>
    </w:p>
    <w:p w:rsidR="00A31137" w:rsidRPr="00A31137" w:rsidRDefault="00A31137" w:rsidP="00A31137">
      <w:r w:rsidRPr="00A31137">
        <w:t>No public money or property shall be appropriated for or applied to any religious worship, exercise, or instruction, or to the support of any religious establishment.</w:t>
      </w:r>
    </w:p>
    <w:p w:rsidR="00A31137" w:rsidRPr="00A31137" w:rsidRDefault="00A31137" w:rsidP="00A31137">
      <w:r w:rsidRPr="00A31137">
        <w:t>1993, Zobrest v. Catalina Foothills Sch. Dist., 509 U.S. 24</w:t>
      </w:r>
    </w:p>
    <w:p w:rsidR="00A31137" w:rsidRPr="00A31137" w:rsidRDefault="00A31137" w:rsidP="00A31137">
      <w:r w:rsidRPr="00A31137">
        <w:t>The Arizona Attorney General concluded that, under this provision, interpreter services could not be furnished to petitioner. See App. 9.</w:t>
      </w:r>
    </w:p>
    <w:p w:rsidR="00A31137" w:rsidRPr="00A31137" w:rsidRDefault="00A31137" w:rsidP="00A31137">
      <w:r w:rsidRPr="00A31137">
        <w:t>1993, Zobrest v. Catalina Foothills Sch. Dist., 509 U.S. 24</w:t>
      </w:r>
    </w:p>
    <w:p w:rsidR="00A31137" w:rsidRPr="00A31137" w:rsidRDefault="00A31137" w:rsidP="00A31137">
      <w:r w:rsidRPr="00A31137">
        <w:t>2. The Faculty Employment Agreement provides:</w:t>
      </w:r>
    </w:p>
    <w:p w:rsidR="00A31137" w:rsidRPr="00A31137" w:rsidRDefault="00A31137" w:rsidP="00A31137">
      <w:r w:rsidRPr="00A31137">
        <w:t>1993, Zobrest v. Catalina Foothills Sch. Dist., 509 U.S. 24</w:t>
      </w:r>
    </w:p>
    <w:p w:rsidR="00A31137" w:rsidRPr="00A31137" w:rsidRDefault="00A31137" w:rsidP="00A31137">
      <w:r w:rsidRPr="00A31137">
        <w:t>Religious programs are of primary importance in Catholic educational institutions. They are not separate from the academic and extracurricular programs, but are instead interwoven with them, and each is believed to promote the other.</w:t>
      </w:r>
    </w:p>
    <w:p w:rsidR="00A31137" w:rsidRPr="00A31137" w:rsidRDefault="00A31137" w:rsidP="00A31137">
      <w:r w:rsidRPr="00A31137">
        <w:t>1993, Zobrest v. Catalina Foothills Sch. Dist., 509 U.S. 24</w:t>
      </w:r>
    </w:p>
    <w:p w:rsidR="00A31137" w:rsidRPr="00A31137" w:rsidRDefault="00A31137" w:rsidP="00A31137">
      <w:r w:rsidRPr="00A31137">
        <w:t>App. 991.</w:t>
      </w:r>
    </w:p>
    <w:p w:rsidR="00A31137" w:rsidRPr="00A31137" w:rsidRDefault="00A31137" w:rsidP="00A31137">
      <w:r w:rsidRPr="00A31137">
        <w:t>1993, Zobrest v. Catalina Foothills Sch. Dist., 509 U.S. 24</w:t>
      </w:r>
    </w:p>
    <w:p w:rsidR="00A31137" w:rsidRPr="00A31137" w:rsidRDefault="00A31137" w:rsidP="00A31137">
      <w:r w:rsidRPr="00A31137">
        <w:t>3. The Faculty Employment Agreement sets forth the following detailed rules of conduct:</w:t>
      </w:r>
    </w:p>
    <w:p w:rsidR="00A31137" w:rsidRPr="00A31137" w:rsidRDefault="00A31137" w:rsidP="00A31137">
      <w:r w:rsidRPr="00A31137">
        <w:t>1993, Zobrest v. Catalina Foothills Sch. Dist., 509 U.S. 24</w:t>
      </w:r>
    </w:p>
    <w:p w:rsidR="00A31137" w:rsidRPr="00A31137" w:rsidRDefault="00A31137" w:rsidP="00A31137">
      <w:r w:rsidRPr="00A31137">
        <w:t>1. Teacher shall at all times present a Christian image to the students by promoting and living the school philosophy stated herein, in the School's Faculty Handbook, the School Catalog and other published statements of this School. In this role, the teacher shall support all aspects of the School from its religious programs to its academic and social functions. I t is through these areas that a teacher administers to mind, body and spirit of the young men and women who attend Salpointe Catholic High School.</w:t>
      </w:r>
    </w:p>
    <w:p w:rsidR="00A31137" w:rsidRPr="00A31137" w:rsidRDefault="00A31137" w:rsidP="00A31137">
      <w:r w:rsidRPr="00A31137">
        <w:t>*    *    *    *</w:t>
      </w:r>
    </w:p>
    <w:p w:rsidR="00A31137" w:rsidRPr="00A31137" w:rsidRDefault="00A31137" w:rsidP="00A31137">
      <w:r w:rsidRPr="00A31137">
        <w:t>1993, Zobrest v. Catalina Foothills Sch. Dist., 509 U.S. 24</w:t>
      </w:r>
    </w:p>
    <w:p w:rsidR="00A31137" w:rsidRPr="00A31137" w:rsidRDefault="00A31137" w:rsidP="00A31137">
      <w:r w:rsidRPr="00A31137">
        <w:tab/>
        <w:t>3. The School believes that faithful adherence to its philosophical principles by its teachers is essential to the School's mission and purpose. Teachers will therefore be expected to assist in the implementation of the philosophical policies of the School, and to compel proper conduct on the part of the students in the areas of general behavior, language, dress and attitude toward the Christian ideal.</w:t>
      </w:r>
    </w:p>
    <w:p w:rsidR="00A31137" w:rsidRPr="00A31137" w:rsidRDefault="00A31137" w:rsidP="00A31137">
      <w:r w:rsidRPr="00A31137">
        <w:t>1993, Zobrest v. Catalina Foothills Sch. Dist., 509 U.S. 24</w:t>
      </w:r>
    </w:p>
    <w:p w:rsidR="00A31137" w:rsidRPr="00A31137" w:rsidRDefault="00A31137" w:rsidP="00A31137">
      <w:r w:rsidRPr="00A31137">
        <w:t>Id. at 91.</w:t>
      </w:r>
    </w:p>
    <w:p w:rsidR="00A31137" w:rsidRPr="00A31137" w:rsidRDefault="00A31137" w:rsidP="00A31137">
      <w:r w:rsidRPr="00A31137">
        <w:t>Shaw v. Reno, 1993</w:t>
      </w:r>
    </w:p>
    <w:p w:rsidR="00A31137" w:rsidRPr="00A31137" w:rsidRDefault="00A31137" w:rsidP="00A31137">
      <w:r w:rsidRPr="00A31137">
        <w:t>Title:</w:t>
      </w:r>
      <w:r w:rsidRPr="00A31137">
        <w:tab/>
        <w:t>Shaw v. Reno</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28, 1993</w:t>
      </w:r>
    </w:p>
    <w:p w:rsidR="00A31137" w:rsidRPr="00A31137" w:rsidRDefault="00A31137" w:rsidP="00A31137">
      <w:r w:rsidRPr="00A31137">
        <w:t>Source:</w:t>
      </w:r>
      <w:r w:rsidRPr="00A31137">
        <w:tab/>
        <w:t>509 U.S. 630</w:t>
      </w:r>
    </w:p>
    <w:p w:rsidR="00A31137" w:rsidRPr="00A31137" w:rsidRDefault="00A31137" w:rsidP="00A31137">
      <w:r w:rsidRPr="00A31137">
        <w:t>This case was argued April 20, 1993, and was decided June 28, 1993.</w:t>
      </w:r>
    </w:p>
    <w:p w:rsidR="00A31137" w:rsidRPr="00A31137" w:rsidRDefault="00A31137" w:rsidP="00A31137">
      <w:r w:rsidRPr="00A31137">
        <w:t>APPEAL FROM THE UNITED STATES DISTRICT COURT</w:t>
      </w:r>
    </w:p>
    <w:p w:rsidR="00A31137" w:rsidRPr="00A31137" w:rsidRDefault="00A31137" w:rsidP="00A31137">
      <w:r w:rsidRPr="00A31137">
        <w:t>FOR THE EASTERN DISTRICT OF NORTH CAROLINA</w:t>
      </w:r>
    </w:p>
    <w:p w:rsidR="00A31137" w:rsidRPr="00A31137" w:rsidRDefault="00A31137" w:rsidP="00A31137">
      <w:r w:rsidRPr="00A31137">
        <w:t>Syllabus</w:t>
      </w:r>
    </w:p>
    <w:p w:rsidR="00A31137" w:rsidRPr="00A31137" w:rsidRDefault="00A31137" w:rsidP="00A31137">
      <w:r w:rsidRPr="00A31137">
        <w:t>1993, Shaw v. Reno, 509 U.S. 630</w:t>
      </w:r>
    </w:p>
    <w:p w:rsidR="00A31137" w:rsidRPr="00A31137" w:rsidRDefault="00A31137" w:rsidP="00A31137">
      <w:r w:rsidRPr="00A31137">
        <w:t>To comply with § 5 of the Voting Rights Act of 1965—which prohibits a covered jurisdiction from implementing changes in a "standard, practice, or procedure with respect to voting" without federal authorization—North Carolina submitted to the Attorney General a congressional reapportionment plan with one majority-black district. The Attorney General objected to the plan on the ground that a second district could have been created to give effect to minority voting strength in the State's south-central to southeastern region. The State's revised plan contained a second majority-black district in the north-central region. The new district stretches approximately 160 miles along Interstate 85 and, for much of its length, is no wider that the I-85 corridor. Appellants, five North Carolina residents, filed this action against appellee state and federal officials, claiming that the State had created an unconstitutional racial gerrymander in violation of, among other things, the Fourteenth Amendment. They alleged that the two districts concentrated a majority of black voters arbitrarily without regard to considerations such as compactness, contiguousness, geographical boundaries, or political subdivisions, in order to create congressional districts along racial lines and to assure the election of two black representatives. The three-judge District Court held that it lacked subject matter jurisdiction over the federal appellees. It also dismissed the complaint against the state appellees, finding, among other things, that, under United Jewish Organizations of Williamsburgh, Inc. v. Carey, 430 U.S. 144 (UJO), appellants had failed to state an equal protection claim because favoring minority voters was not discriminatory in the constitutional sense, and the plan did not lead to proportional underrepresentation of white voters statewide.</w:t>
      </w:r>
    </w:p>
    <w:p w:rsidR="00A31137" w:rsidRPr="00A31137" w:rsidRDefault="00A31137" w:rsidP="00A31137">
      <w:r w:rsidRPr="00A31137">
        <w:t>1993, Shaw v. Reno, 509 U.S. 630</w:t>
      </w:r>
    </w:p>
    <w:p w:rsidR="00A31137" w:rsidRPr="00A31137" w:rsidRDefault="00A31137" w:rsidP="00A31137">
      <w:r w:rsidRPr="00A31137">
        <w:t>Held:</w:t>
      </w:r>
    </w:p>
    <w:p w:rsidR="00A31137" w:rsidRPr="00A31137" w:rsidRDefault="00A31137" w:rsidP="00A31137">
      <w:r w:rsidRPr="00A31137">
        <w:t>1993, Shaw v. Reno, 509 U.S. 630</w:t>
      </w:r>
    </w:p>
    <w:p w:rsidR="00A31137" w:rsidRPr="00A31137" w:rsidRDefault="00A31137" w:rsidP="00A31137">
      <w:r w:rsidRPr="00A31137">
        <w:t xml:space="preserve">1. Appellants have stated a claim under the Equal Protection Clause by alleging that the reapportionment scheme is so irrational on its face that it can be understood only as an effort to segregate voters into separate districts on the basis of race, and that the separation lacks sufficient justification. Pp.  639-652. [509 U.S. 631] </w:t>
      </w:r>
    </w:p>
    <w:p w:rsidR="00A31137" w:rsidRPr="00A31137" w:rsidRDefault="00A31137" w:rsidP="00A31137">
      <w:r w:rsidRPr="00A31137">
        <w:t>1993, Shaw v. Reno, 509 U.S. 631</w:t>
      </w:r>
    </w:p>
    <w:p w:rsidR="00A31137" w:rsidRPr="00A31137" w:rsidRDefault="00A31137" w:rsidP="00A31137">
      <w:r w:rsidRPr="00A31137">
        <w:t>(a) The District Court properly dismissed the claims against the federal appellees. Appellants' racial gerrymandering claims must be examined against the backdrop of this country's long history of racial discrimination in voting. Pp.  639-642.</w:t>
      </w:r>
    </w:p>
    <w:p w:rsidR="00A31137" w:rsidRPr="00A31137" w:rsidRDefault="00A31137" w:rsidP="00A31137">
      <w:r w:rsidRPr="00A31137">
        <w:t>1993, Shaw v. Reno, 509 U.S. 631</w:t>
      </w:r>
    </w:p>
    <w:p w:rsidR="00A31137" w:rsidRPr="00A31137" w:rsidRDefault="00A31137" w:rsidP="00A31137">
      <w:r w:rsidRPr="00A31137">
        <w:t>(b) Classifications of citizens based solely on race are by their nature odious to a free people whose institutions are founded upon the doctrine of equality, because they threaten to stigmatize persons by reason of their membership in a racial group and to incite racial hostility. Thus, state legislation that expressly distinguishes among citizens on account of race—whether it contains an explicit distinction or is "unexplainable on grounds other than race," Arlington Heights v. Metropolitan Housing Development Corp., 429 U.S. 252,  266—must be narrowly tailored to further a compelling governmental interest. See, e.g., Wygant v. Jackson Bd. of Ed., 476 U.S. 267, 277-278 (plurality opinion). Redistricting legislation that is alleged to be so bizarre on its face that it is unexplainable on grounds other than race demands the same close scrutiny, regardless of the motivations underlying its adoption. See, e.g., Gomillion v. Lightfoot, 364 U.S. 339,  341. That it may be difficult to determine from the face of a single-member districting plan that it makes such a distinction does not mean that a racial gerrymander, once established, should receive less scrutiny than other legislation classifying citizens by race. By perpetuating stereotypical notions about members of the same racial group—that they think alike, share the same political interests, and prefer the same candidates—a racial gerrymander may exacerbate the very patterns of racial bloc voting that majority-minority districting is sometimes said to counteract. It also sends to elected representatives the message that their primary obligation is to represent only that group's members, rather than their constituency as a whole. Since the holding here makes it unnecessary to decide whether or how a reapportionment plan that, on its face, can be explained in nonracial terms successfully could be challenged, the Court expresses no view on whether the intentional creation of majority-minority districts, without more, always gives rise to an equal protection claim. Pp.  642-649.</w:t>
      </w:r>
    </w:p>
    <w:p w:rsidR="00A31137" w:rsidRPr="00A31137" w:rsidRDefault="00A31137" w:rsidP="00A31137">
      <w:r w:rsidRPr="00A31137">
        <w:t>1993, Shaw v. Reno, 509 U.S. 631</w:t>
      </w:r>
    </w:p>
    <w:p w:rsidR="00A31137" w:rsidRPr="00A31137" w:rsidRDefault="00A31137" w:rsidP="00A31137">
      <w:r w:rsidRPr="00A31137">
        <w:t>(c) The classification of citizens by race threatens special harms that are not present in this Court's vote-dilution cases, and thus warrants an analysis different from that used in assessing the validity of at-large and multimember gerrymandering schemes. In addition, nothing in the Court's decisions compels the conclusion that racial and political gerrymanders are subject to the same constitutional scrutiny; in fact, this country's long and persistent history of racial discrimination in voting and the Court's Fourteenth Amendment jurisprudence would seem to compel the opposite conclusion. Nor is there any support for [509 U.S. 632] the argument that racial gerrymandering poses no constitutional difficulties when the lines drawn favor the minority, since equal protection analysis is not dependent on the race of those burdened or benefited by a particular classification, Richmond v. J.A. Croson Co., 488 U.S. 469,  494 (plurality opinion). Finally, the highly fractured decision in UJO does not foreclose the claim recognized here, which is analytically distinct from the vote-dilution claim made there. Pp.  649-652.</w:t>
      </w:r>
    </w:p>
    <w:p w:rsidR="00A31137" w:rsidRPr="00A31137" w:rsidRDefault="00A31137" w:rsidP="00A31137">
      <w:r w:rsidRPr="00A31137">
        <w:t>1993, Shaw v. Reno, 509 U.S. 632</w:t>
      </w:r>
    </w:p>
    <w:p w:rsidR="00A31137" w:rsidRPr="00A31137" w:rsidRDefault="00A31137" w:rsidP="00A31137">
      <w:r w:rsidRPr="00A31137">
        <w:t>2. If, on remand, the allegations of a racial gerrymander are not contradicted, the District Court must determine whether the plan is narrowly tailored to further a compelling governmental interest. A covered jurisdiction's interest in creating majority-minority districts in order to comply with the nonretrogression rule under § 5 of the Voting Rights Act does not give it carte blanche to engage in racial gerrymandering. The parties' arguments about whether the plan was necessary to avoid dilution of black voting strength in violation of § 2 of the Act, and whether the State's interpretation of § 2 is unconstitutional, were not developed below, and the issues remain open for consideration on remand. It is also unnecessary to decide at this stage of the litigation whether the plan advances a state interest distinct from the Act: eradicating the effects of past racial discrimination. Although the State argues that it had a strong basis for concluding that remedial action was warranted, only three Justices in UJO were prepared to say that States have a significant interest in minimizing the consequences of racial bloc voting apart from the Act's requirements and without regard for sound districting principles. Pp.  653-657.</w:t>
      </w:r>
    </w:p>
    <w:p w:rsidR="00A31137" w:rsidRPr="00A31137" w:rsidRDefault="00A31137" w:rsidP="00A31137">
      <w:r w:rsidRPr="00A31137">
        <w:t>1993, Shaw v. Reno, 509 U.S. 632</w:t>
      </w:r>
    </w:p>
    <w:p w:rsidR="00A31137" w:rsidRPr="00A31137" w:rsidRDefault="00A31137" w:rsidP="00A31137">
      <w:r w:rsidRPr="00A31137">
        <w:t>3. The Court expresses no view on whether appellants successfully could have challenged a district such as that suggested by the Attorney General or whether their complaint stated a claim under other constitutional provisions. P. 657-658.</w:t>
      </w:r>
    </w:p>
    <w:p w:rsidR="00A31137" w:rsidRPr="00A31137" w:rsidRDefault="00A31137" w:rsidP="00A31137">
      <w:r w:rsidRPr="00A31137">
        <w:t>1993, Shaw v. Reno, 509 U.S. 632</w:t>
      </w:r>
    </w:p>
    <w:p w:rsidR="00A31137" w:rsidRPr="00A31137" w:rsidRDefault="00A31137" w:rsidP="00A31137">
      <w:r w:rsidRPr="00A31137">
        <w:t>808 F.Supp. 461 (EDNC 1992), reversed and remanded.</w:t>
      </w:r>
    </w:p>
    <w:p w:rsidR="00A31137" w:rsidRPr="00A31137" w:rsidRDefault="00A31137" w:rsidP="00A31137">
      <w:r w:rsidRPr="00A31137">
        <w:t>1993, Shaw v. Reno, 509 U.S. 632</w:t>
      </w:r>
    </w:p>
    <w:p w:rsidR="00A31137" w:rsidRPr="00A31137" w:rsidRDefault="00A31137" w:rsidP="00A31137">
      <w:r w:rsidRPr="00A31137">
        <w:t xml:space="preserve">O'CONNOR, J., delivered the opinion of the Court, in which REHNQUIST, C.J., and SCALIA, KENNEDY, and THOMAS, JJ., joined. WHITE, J., filed a dissenting opinion, in which BLACKMUN and STEVENS, JJ., joined, post, p.  658. BLACKMUN, J., post, p.  676, STEVENS, J., post, p.  676, and SOUTER, J., post, p.  679, filed dissenting opinions. [509 U.S. 633] </w:t>
      </w:r>
    </w:p>
    <w:p w:rsidR="00A31137" w:rsidRPr="00A31137" w:rsidRDefault="00A31137" w:rsidP="00A31137">
      <w:r w:rsidRPr="00A31137">
        <w:t>O'CONNOR, J., lead opinion</w:t>
      </w:r>
    </w:p>
    <w:p w:rsidR="00A31137" w:rsidRPr="00A31137" w:rsidRDefault="00A31137" w:rsidP="00A31137">
      <w:r w:rsidRPr="00A31137">
        <w:t>1993, Shaw v. Reno, 509 U.S. 633</w:t>
      </w:r>
    </w:p>
    <w:p w:rsidR="00A31137" w:rsidRPr="00A31137" w:rsidRDefault="00A31137" w:rsidP="00A31137">
      <w:r w:rsidRPr="00A31137">
        <w:t>JUSTICE O'CONNOR delivered the opinion of the Court.</w:t>
      </w:r>
    </w:p>
    <w:p w:rsidR="00A31137" w:rsidRPr="00A31137" w:rsidRDefault="00A31137" w:rsidP="00A31137">
      <w:r w:rsidRPr="00A31137">
        <w:t>1993, Shaw v. Reno, 509 U.S. 633</w:t>
      </w:r>
    </w:p>
    <w:p w:rsidR="00A31137" w:rsidRPr="00A31137" w:rsidRDefault="00A31137" w:rsidP="00A31137">
      <w:r w:rsidRPr="00A31137">
        <w:t>This case involves two of the most complex and sensitive issues this Court has faced in recent years: the meaning of the constitutional "right" to vote, and the propriety of race-based state legislation designed to benefit members of historically disadvantaged racial minority groups. As a result of the 1990 census, North Carolina became entitled to a twelfth seat in the United States House of Representatives. The General Assembly enacted a reapportionment plan that included one majority-black congressional district. After the Attorney General of the United States objected to the plan pursuant to § 5 of the Voting Rights Act of 1965, 79 Stat. 439, as amended, 42 U.S.C. § 1973c, the General Assembly passed new legislation creating a second majority-black district. Appellants allege that the revised plan, which contains district boundary lines of dramatically irregular shape, constitutes [509 U.S. 634] an unconstitutional racial gerrymander. The question before us is whether appellants have stated a cognizable claim.</w:t>
      </w:r>
    </w:p>
    <w:p w:rsidR="00A31137" w:rsidRPr="00A31137" w:rsidRDefault="00A31137" w:rsidP="00A31137">
      <w:r w:rsidRPr="00A31137">
        <w:t>I</w:t>
      </w:r>
    </w:p>
    <w:p w:rsidR="00A31137" w:rsidRPr="00A31137" w:rsidRDefault="00A31137" w:rsidP="00A31137">
      <w:r w:rsidRPr="00A31137">
        <w:t>1993, Shaw v. Reno, 509 U.S. 634</w:t>
      </w:r>
    </w:p>
    <w:p w:rsidR="00A31137" w:rsidRPr="00A31137" w:rsidRDefault="00A31137" w:rsidP="00A31137">
      <w:r w:rsidRPr="00A31137">
        <w:t>The voting age population of North Carolina is approximately 78% white, 20% black, and 1% Native American; the remaining 1% is predominantly Asian. App. to Brief for Federal Appellees 16a. The black population is relatively dispersed; blacks constitute a majority of the general population in only 5 of the State's 100 counties. Brief for Appellants 57. Geographically, the State divides into three regions: the eastern Coastal Plain, the central Piedmont Plateau, and the western mountains. H. Lefler &amp; A. Newsom, The History of a Southern State: North Carolina 18-22 (3d ed.1973). The largest concentrations of black citizens live in the Coastal Plain, primarily in the northern part. O. Gade &amp; H. Stillwell, North Carolina: People and Environments 65-68 (1986). The General Assembly's first redistricting plan contained one majority-black district centered in that area of the State.</w:t>
      </w:r>
    </w:p>
    <w:p w:rsidR="00A31137" w:rsidRPr="00A31137" w:rsidRDefault="00A31137" w:rsidP="00A31137">
      <w:r w:rsidRPr="00A31137">
        <w:t>1993, Shaw v. Reno, 509 U.S. 634</w:t>
      </w:r>
    </w:p>
    <w:p w:rsidR="00A31137" w:rsidRPr="00A31137" w:rsidRDefault="00A31137" w:rsidP="00A31137">
      <w:r w:rsidRPr="00A31137">
        <w:t xml:space="preserve">Forty of North Carolina's one hundred counties are covered by § 5 of the Voting Rights Act of 1965, 42 U.S.C. § 1973c, which prohibits a jurisdiction subject to its provisions from implementing changes in a "standard, practice, or procedure with respect to voting" without federal authorization. Ibid. The jurisdiction must obtain either a judgment from the United States District Court for the District of Columbia declaring that the proposed change "does not have the purpose and will not have the effect of denying or abridging the right to vote on account of race or color" or administrative preclearance from the Attorney General. Ibid. Because the General Assembly's reapportionment plan affected the covered counties, the parties agree that § 5 applied. Tr. of Oral Arg. 14, 27-29. The State chose to submit its plan to the Attorney General for preclearance. [509 U.S. 635] </w:t>
      </w:r>
    </w:p>
    <w:p w:rsidR="00A31137" w:rsidRPr="00A31137" w:rsidRDefault="00A31137" w:rsidP="00A31137">
      <w:r w:rsidRPr="00A31137">
        <w:t>1993, Shaw v. Reno, 509 U.S. 635</w:t>
      </w:r>
    </w:p>
    <w:p w:rsidR="00A31137" w:rsidRPr="00A31137" w:rsidRDefault="00A31137" w:rsidP="00A31137">
      <w:r w:rsidRPr="00A31137">
        <w:t>The Attorney General, acting through the Assistant Attorney General for the Civil Rights Division, interposed a formal objection to the General Assembly's plan. The Attorney General specifically objected to the configuration of boundary lines drawn in the south-central to southeastern region of the State. In the Attorney General's view, the General Assembly could have created a second majority-minority district "to give effect to black and Native American voting strength in this area" by using boundary lines "no more irregular than [those] found elsewhere in the proposed plan," but failed to do so for "pretextual reasons." See App. to Brief for Federal Appellees 10a-11a.</w:t>
      </w:r>
    </w:p>
    <w:p w:rsidR="00A31137" w:rsidRPr="00A31137" w:rsidRDefault="00A31137" w:rsidP="00A31137">
      <w:r w:rsidRPr="00A31137">
        <w:t>1993, Shaw v. Reno, 509 U.S. 635</w:t>
      </w:r>
    </w:p>
    <w:p w:rsidR="00A31137" w:rsidRPr="00A31137" w:rsidRDefault="00A31137" w:rsidP="00A31137">
      <w:r w:rsidRPr="00A31137">
        <w:t>Under § 5, the State remained free to seek a declaratory judgment from the District Court for the District of Columbia notwithstanding the Attorney General's objection. It did not do so. Instead, the General Assembly enacted a revised redistricting plan, 1991 N.C. Extra Sess.Laws, ch. 7, that included a second majority-black district. The General Assembly located the second district not in the south-central to southeastern part of the State, but in the north-central region along Interstate 85. See Appendix.</w:t>
      </w:r>
    </w:p>
    <w:p w:rsidR="00A31137" w:rsidRPr="00A31137" w:rsidRDefault="00A31137" w:rsidP="00A31137">
      <w:r w:rsidRPr="00A31137">
        <w:t>1993, Shaw v. Reno, 509 U.S. 635</w:t>
      </w:r>
    </w:p>
    <w:p w:rsidR="00A31137" w:rsidRPr="00A31137" w:rsidRDefault="00A31137" w:rsidP="00A31137">
      <w:r w:rsidRPr="00A31137">
        <w:t>The first of the two majority-black districts contained in the revised plan, District 1, is somewhat hook shaped. Centered in the northeast portion of the State, it moves southward until it tapers to a narrow band; then, with finger-like extensions, it reaches far into the southern-most part of the State near the South Carolina border. District 1 has been compared to a "Rorschach inkblot test," Shaw v. Barr, 808 F.Supp. 461, 476 (EDNC 1992) (Voorhees, C.J., concurring in part and dissenting in part), and a "bug splattered on a windshield," Wall Street Journal, Feb. 4, 1992, p. A14.</w:t>
      </w:r>
    </w:p>
    <w:p w:rsidR="00A31137" w:rsidRPr="00A31137" w:rsidRDefault="00A31137" w:rsidP="00A31137">
      <w:r w:rsidRPr="00A31137">
        <w:t>1993, Shaw v. Reno, 509 U.S. 635</w:t>
      </w:r>
    </w:p>
    <w:p w:rsidR="00A31137" w:rsidRPr="00A31137" w:rsidRDefault="00A31137" w:rsidP="00A31137">
      <w:r w:rsidRPr="00A31137">
        <w:t>The second majority-black district, District 12, is even more unusually shaped. It is approximately 160 miles long and, for much of its length, no wider than the I-86 corridor. It winds in snake-like fashion through tobacco country, financial centers, and manufacturing areas "until it gobbles in [509 U.S. 636] enough enclaves of black neighborhoods." Shaw v. Barr, supra, at 476-477 (Voorhees, C.J., concurring in part and dissenting in part). Northbound and southbound drivers on I-85 sometimes find themselves in separate districts in one county, only to "trade" districts when they enter the next county. Of the 10 counties through which District 12 passes, five are cut into three different districts; even towns are divided. At one point, the district remains contiguous only because it intersects at a single point with two other districts before crossing over them. See Brief for Republican National Committee as Amicus Curiae 14-15. One state legislator has remarked that "'[i]f you drove down the interstate with both car doors open, you'd kill most of the people in the district.'" Washington Post Apr. 20, 1993, p. A4. The district even has inspired poetry: "Ask not for whom the line is drawn; it is drawn to avoid thee." Grofman, Would Vince Lombardi Have Been Right If He Had Said: "When It Comes to Redistricting, Race Isn't Everything, It's the Only Thing"?, 14 Cardozo L.Rev. 1237, 1261, n. 96 (1993) (internal quotation marks omitted).</w:t>
      </w:r>
    </w:p>
    <w:p w:rsidR="00A31137" w:rsidRPr="00A31137" w:rsidRDefault="00A31137" w:rsidP="00A31137">
      <w:r w:rsidRPr="00A31137">
        <w:t>1993, Shaw v. Reno, 509 U.S. 636</w:t>
      </w:r>
    </w:p>
    <w:p w:rsidR="00A31137" w:rsidRPr="00A31137" w:rsidRDefault="00A31137" w:rsidP="00A31137">
      <w:r w:rsidRPr="00A31137">
        <w:t>The Attorney General did not object to the General Assembly's revised plan. But numerous North Carolinians did. The North Carolina Republican Party and individual voters brought suit in Federal District Court alleging that the plan constituted an unconstitutional political gerrymander under Davis v. Bandemer, 478 U.S. 109 (1986). That claim was dismissed, see Pope v. Blue, 809 F.Supp. 392 (WDNC 1992), and this Court summarily affirmed, 506 U.S. 801 (1992).</w:t>
      </w:r>
    </w:p>
    <w:p w:rsidR="00A31137" w:rsidRPr="00A31137" w:rsidRDefault="00A31137" w:rsidP="00A31137">
      <w:r w:rsidRPr="00A31137">
        <w:t>1993, Shaw v. Reno, 509 U.S. 636</w:t>
      </w:r>
    </w:p>
    <w:p w:rsidR="00A31137" w:rsidRPr="00A31137" w:rsidRDefault="00A31137" w:rsidP="00A31137">
      <w:r w:rsidRPr="00A31137">
        <w:t>Shortly after the complaint in Pope v. Blue was filed, appellants instituted the present action in the United States District Court for the Eastern District of North Carolina. Appellants alleged not that the revised plan constituted a political gerrymander, nor that it violated the "one person, one vote" principle, see Reynolds v. Sims, 377 U.S. 533,  558 (1964), but that the State had created an unconstitutional racial gerrymander. Appellants are five residents of Durham [509 U.S. 637] County, North Carolina, all registered to vote in that county. Under the General Assembly's plan, two will vote for congressional representatives in District 12 and three will vote in neighboring District 2. Appellants sued the Governor of North Carolina, the Lieutenant Governor, the Secretary of State, the Speaker of the North Carolina House of Representatives, and members of the North Carolina State Board of Elections (state appellees), together with two federal officials, the Attorney General and the Assistant Attorney General for the Civil Rights Division (federal appellees).</w:t>
      </w:r>
    </w:p>
    <w:p w:rsidR="00A31137" w:rsidRPr="00A31137" w:rsidRDefault="00A31137" w:rsidP="00A31137">
      <w:r w:rsidRPr="00A31137">
        <w:t>1993, Shaw v. Reno, 509 U.S. 637</w:t>
      </w:r>
    </w:p>
    <w:p w:rsidR="00A31137" w:rsidRPr="00A31137" w:rsidRDefault="00A31137" w:rsidP="00A31137">
      <w:r w:rsidRPr="00A31137">
        <w:t>Appellants contended that the General Assembly's revised reapportionment plan violated several provisions of the United States Constitution, including the Fourteenth Amendment. They alleged that the General Assembly deliberately</w:t>
      </w:r>
    </w:p>
    <w:p w:rsidR="00A31137" w:rsidRPr="00A31137" w:rsidRDefault="00A31137" w:rsidP="00A31137">
      <w:r w:rsidRPr="00A31137">
        <w:t>1993, Shaw v. Reno, 509 U.S. 637</w:t>
      </w:r>
    </w:p>
    <w:p w:rsidR="00A31137" w:rsidRPr="00A31137" w:rsidRDefault="00A31137" w:rsidP="00A31137">
      <w:r w:rsidRPr="00A31137">
        <w:t>create[d] two Congressional Districts in which a majority of black voters was concentrated arbitrarily—without regard to any other considerations, such as compactness, contiguousness, geographical boundaries, or political subdivisions</w:t>
      </w:r>
    </w:p>
    <w:p w:rsidR="00A31137" w:rsidRPr="00A31137" w:rsidRDefault="00A31137" w:rsidP="00A31137">
      <w:r w:rsidRPr="00A31137">
        <w:t>1993, Shaw v. Reno, 509 U.S. 637</w:t>
      </w:r>
    </w:p>
    <w:p w:rsidR="00A31137" w:rsidRPr="00A31137" w:rsidRDefault="00A31137" w:rsidP="00A31137">
      <w:r w:rsidRPr="00A31137">
        <w:t>with the purpose "to create Congressional Districts along racial lines" and to assure the election of two black representatives to Congress.   App. to Juris.Statement 102a. Appellants sought declaratory and injunctive relief against the state appellees. They sought similar relief against the federal appellees, arguing, alternatively, that the federal appellees had misconstrued the Voting Rights Act or that the Act itself was unconstitutional.</w:t>
      </w:r>
    </w:p>
    <w:p w:rsidR="00A31137" w:rsidRPr="00A31137" w:rsidRDefault="00A31137" w:rsidP="00A31137">
      <w:r w:rsidRPr="00A31137">
        <w:t>1993, Shaw v. Reno, 509 U.S. 637</w:t>
      </w:r>
    </w:p>
    <w:p w:rsidR="00A31137" w:rsidRPr="00A31137" w:rsidRDefault="00A31137" w:rsidP="00A31137">
      <w:r w:rsidRPr="00A31137">
        <w:t>The three-judge District Court granted the federal appellees' motion to dismiss. 808 F.Supp. 461 (EDNC 1992). The court agreed unanimously that it lacked subject matter jurisdiction by reason of § 14(b) of the Voting Rights Act, 42 U.S.C. § 19731(b), which vests the District Court for the District of Columbia with exclusive jurisdiction to issue injunctions against the execution of the Act and to enjoin actions taken by federal officers pursuant thereto. 808 F.Supp. at 466-467; id. at 474 (Voorhees, C.J., concurring [509 U.S. 638] in relevant part). Two judges also concluded that, to the extent appellants challenged the Attorney General's preclearance decisions, their claim was foreclosed by this Court's holding in Morris v. Gressette, 432 U.S. 491 (1977). 808 F.Supp. at 467.</w:t>
      </w:r>
    </w:p>
    <w:p w:rsidR="00A31137" w:rsidRPr="00A31137" w:rsidRDefault="00A31137" w:rsidP="00A31137">
      <w:r w:rsidRPr="00A31137">
        <w:t>1993, Shaw v. Reno, 509 U.S. 638</w:t>
      </w:r>
    </w:p>
    <w:p w:rsidR="00A31137" w:rsidRPr="00A31137" w:rsidRDefault="00A31137" w:rsidP="00A31137">
      <w:r w:rsidRPr="00A31137">
        <w:t>By a 2-to-1 vote, the District Court also dismissed the complaint against the state appellees. The majority found no support for appellants' contentions that race-based districting is prohibited by Article I, § 4, or Article I, § 2, of the Constitution, or by the Privileges and Immunities Clause of the Fourteenth Amendment. It deemed appellants' claim under the Fifteenth Amendment essentially subsumed within their related claim under the Equal Protection Clause. 808 F.Supp. at 468-469. That claim, the majority concluded, was barred by United Jewish Organizations of Williamsburgh, Inc. v. Carey, 430 U.S. 144 (1977) (UJO).</w:t>
      </w:r>
    </w:p>
    <w:p w:rsidR="00A31137" w:rsidRPr="00A31137" w:rsidRDefault="00A31137" w:rsidP="00A31137">
      <w:r w:rsidRPr="00A31137">
        <w:t>1993, Shaw v. Reno, 509 U.S. 638</w:t>
      </w:r>
    </w:p>
    <w:p w:rsidR="00A31137" w:rsidRPr="00A31137" w:rsidRDefault="00A31137" w:rsidP="00A31137">
      <w:r w:rsidRPr="00A31137">
        <w:t>The majority first took judicial notice of a fact omitted from appellants' complaint: that appellants are white. It rejected the argument that race-conscious redistricting to benefit minority voters is per se unconstitutional. The majority also rejected appellants' claim that North Carolina's reapportionment plan was impermissible. The majority read UJO to stand for the proposition that a redistricting scheme violates white voters' rights only if it is "adopted with the purpose and effect of discriminating against white voters…on account of their race." 808 F.Supp. at 472. The purposes of favoring minority voters and complying with the Voting Rights Act are not discriminatory in the constitutional sense, the court reasoned, and majority-minority districts have an impermissibly discriminatory effect only when they unfairly dilute or cancel out white voting strength. Because the State's purpose here was to comply with the Voting Rights Act, and because the General Assembly's plan did not lead to proportional underrepresentation of white voters statewide, [509 U.S. 639] the majority concluded that appellants had failed to state an equal protection claim. Id. at 472-473.</w:t>
      </w:r>
    </w:p>
    <w:p w:rsidR="00A31137" w:rsidRPr="00A31137" w:rsidRDefault="00A31137" w:rsidP="00A31137">
      <w:r w:rsidRPr="00A31137">
        <w:t>1993, Shaw v. Reno, 509 U.S. 639</w:t>
      </w:r>
    </w:p>
    <w:p w:rsidR="00A31137" w:rsidRPr="00A31137" w:rsidRDefault="00A31137" w:rsidP="00A31137">
      <w:r w:rsidRPr="00A31137">
        <w:t>Chief Judge Voorhees agreed that race-conscious redistricting is not per se unconstitutional, but dissented from the rest of the majority's equal protection analysis. He read JUSTICE WHITE's opinion in UJO to authorize race-based reapportionment only when the State employs traditional districting principles such as compactness and contiguity. 808 F.Supp. at 475-477 (Voorhees, C.J., concurring in part and dissenting in part). North Carolina's failure to respect these principles, in Judge Voorhees' view, "augur[ed] a constitutionally suspect, and potentially unlawful, intent" sufficient to defeat the state appellees' motion to dismiss. Id. at 477.</w:t>
      </w:r>
    </w:p>
    <w:p w:rsidR="00A31137" w:rsidRPr="00A31137" w:rsidRDefault="00A31137" w:rsidP="00A31137">
      <w:r w:rsidRPr="00A31137">
        <w:t>1993, Shaw v. Reno, 509 U.S. 639</w:t>
      </w:r>
    </w:p>
    <w:p w:rsidR="00A31137" w:rsidRPr="00A31137" w:rsidRDefault="00A31137" w:rsidP="00A31137">
      <w:r w:rsidRPr="00A31137">
        <w:t>We noted probable jurisdiction. 506 U.S. 1019 (1992).</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1993, Shaw v. Reno, 509 U.S. 639</w:t>
      </w:r>
    </w:p>
    <w:p w:rsidR="00A31137" w:rsidRPr="00A31137" w:rsidRDefault="00A31137" w:rsidP="00A31137">
      <w:r w:rsidRPr="00A31137">
        <w:t>"The right to vote freely for the candidate of one's choice is of the essence of a democratic society…. " Reynolds v. Sims, 377 U.S. at  555. For much of our Nation's history, that right sadly has been denied to many because of race. The Fifteenth Amendment, ratified in 1870 after a bloody Civil War, promised unequivocally that "[t]he right of citizens of the United States to vote" no longer would be "denied or abridged…by any State on account of race, color, or previous condition of servitude." U.S.Const., Amdt. 15, § 1.</w:t>
      </w:r>
    </w:p>
    <w:p w:rsidR="00A31137" w:rsidRPr="00A31137" w:rsidRDefault="00A31137" w:rsidP="00A31137">
      <w:r w:rsidRPr="00A31137">
        <w:t>1993, Shaw v. Reno, 509 U.S. 639</w:t>
      </w:r>
    </w:p>
    <w:p w:rsidR="00A31137" w:rsidRPr="00A31137" w:rsidRDefault="00A31137" w:rsidP="00A31137">
      <w:r w:rsidRPr="00A31137">
        <w:t>But</w:t>
      </w:r>
    </w:p>
    <w:p w:rsidR="00A31137" w:rsidRPr="00A31137" w:rsidRDefault="00A31137" w:rsidP="00A31137">
      <w:r w:rsidRPr="00A31137">
        <w:t>1993, Shaw v. Reno, 509 U.S. 639</w:t>
      </w:r>
    </w:p>
    <w:p w:rsidR="00A31137" w:rsidRPr="00A31137" w:rsidRDefault="00A31137" w:rsidP="00A31137">
      <w:r w:rsidRPr="00A31137">
        <w:t>[a] number of states…refused to take no for an answer and continued to circumvent the fifteenth amendment's prohibition through the use of both subtle and blunt instruments, perpetuating ugly patterns of pervasive racial discrimination.</w:t>
      </w:r>
    </w:p>
    <w:p w:rsidR="00A31137" w:rsidRPr="00A31137" w:rsidRDefault="00A31137" w:rsidP="00A31137">
      <w:r w:rsidRPr="00A31137">
        <w:t>1993, Shaw v. Reno, 509 U.S. 639</w:t>
      </w:r>
    </w:p>
    <w:p w:rsidR="00A31137" w:rsidRPr="00A31137" w:rsidRDefault="00A31137" w:rsidP="00A31137">
      <w:r w:rsidRPr="00A31137">
        <w:t>Blumstein, Defining and Proving Race Discrimination: Perspectives on the Purpose vs. Results Approach from the Voting Rights Act, 69 Va.L.Rev. 633, 637 (1983). Ostensibly race-neutral devices such as literacy tests with "grandfather" clauses and "good character" provisos were devised to deprive black voters of the franchise. [509 U.S. 640] Another of the weapons in the States' arsenal was the racial gerrymander—"the deliberate and arbitrary distortion of district boundaries…for [racial] purposes." Bandemer, 478 U.S. at  164 (Powell, J., concurring in part and dissenting in part) (internal quotation marks omitted). In the 1870's, for example, opponents of Reconstruction in Mississippi</w:t>
      </w:r>
    </w:p>
    <w:p w:rsidR="00A31137" w:rsidRPr="00A31137" w:rsidRDefault="00A31137" w:rsidP="00A31137">
      <w:r w:rsidRPr="00A31137">
        <w:t>1993, Shaw v. Reno, 509 U.S. 640</w:t>
      </w:r>
    </w:p>
    <w:p w:rsidR="00A31137" w:rsidRPr="00A31137" w:rsidRDefault="00A31137" w:rsidP="00A31137">
      <w:r w:rsidRPr="00A31137">
        <w:t>concentrated the bulk of the black population in a "shoestring" Congressional district running the length of the Mississippi River, leaving five others with white majorities.</w:t>
      </w:r>
    </w:p>
    <w:p w:rsidR="00A31137" w:rsidRPr="00A31137" w:rsidRDefault="00A31137" w:rsidP="00A31137">
      <w:r w:rsidRPr="00A31137">
        <w:t>1993, Shaw v. Reno, 509 U.S. 640</w:t>
      </w:r>
    </w:p>
    <w:p w:rsidR="00A31137" w:rsidRPr="00A31137" w:rsidRDefault="00A31137" w:rsidP="00A31137">
      <w:r w:rsidRPr="00A31137">
        <w:t>E. Foner, Reconstruction: America's Unfinished Revolution, 1863-1877, p. 590 (1988). Some 90 years later, Alabama redefined the boundaries of the city of Tuskegee "from a square to an uncouth twenty-eight-sided figure" in a manner that was alleged to exclude black voters, and only black voters, from the city limits. Gomillion v. Lightfoot, 364 U.S. 339,  340 (1960).</w:t>
      </w:r>
    </w:p>
    <w:p w:rsidR="00A31137" w:rsidRPr="00A31137" w:rsidRDefault="00A31137" w:rsidP="00A31137">
      <w:r w:rsidRPr="00A31137">
        <w:t>1993, Shaw v. Reno, 509 U.S. 640</w:t>
      </w:r>
    </w:p>
    <w:p w:rsidR="00A31137" w:rsidRPr="00A31137" w:rsidRDefault="00A31137" w:rsidP="00A31137">
      <w:r w:rsidRPr="00A31137">
        <w:t>Alabama's exercise in geometry was but one example of the racial discrimination in voting that persisted in parts of this country nearly a century after ratification of the Fifteenth Amendment. See South Carolina v. Katzenbach, 383 U.S. 301, 309-313 (1966). In some States, registration of eligible black voters ran 50% behind that of whites. Id. at  313. Congress enacted the Voting Rights Act of 1965 as a dramatic and severe response to the situation. The Act proved immediately successful in ensuring racial minorities access to the voting booth; by the early 1970's, the spread between black and white registration in several of the targeted Southern States had fallen to well below 10%. A. Thernstrom, Whose Votes Count? Affirmative Action and Minority Voting Rights 44 (1987).</w:t>
      </w:r>
    </w:p>
    <w:p w:rsidR="00A31137" w:rsidRPr="00A31137" w:rsidRDefault="00A31137" w:rsidP="00A31137">
      <w:r w:rsidRPr="00A31137">
        <w:t>1993, Shaw v. Reno, 509 U.S. 640</w:t>
      </w:r>
    </w:p>
    <w:p w:rsidR="00A31137" w:rsidRPr="00A31137" w:rsidRDefault="00A31137" w:rsidP="00A31137">
      <w:r w:rsidRPr="00A31137">
        <w:t>But it soon became apparent that guaranteeing equal access to the polls would not suffice to root out other racially discriminatory voting practices. Drawing on the "one person, one vote" principle, this Court recognized that "[t]he right to vote can be affected by a dilution of voting power as well as by an absolute prohibition on casting a ballot." [509 U.S. 641] Allen v. State Board of Elections, 393 U.S. 544,  569 (1969) (emphasis added). Where members of a racial minority group vote as a cohesive unit, practices such as multimember or at-large electoral systems can reduce or nullify minority voters' ability, as a group, "to elect the candidate of their choice." Ibid. Accordingly, the Court held that such schemes violate the Fourteenth Amendment when they are adopted with a discriminatory purpose and have the effect of diluting minority voting strength. See, e.g., Rogers v. Lodge, 458 U.S. 613, 616-617 (1982); White v. Regester, 412 U.S. 755, 765-766 (1973). Congress, too, responded to the problem of vote dilution. In 1982, it amended § 2 of the Voting Rights Act to prohibit legislation that results in the dilution of a minority group's voting strength, regardless of the legislature's intent. 42 U.S.C. § 1973; see Thornburg v. Gingles, 478 U.S. 30 (1986) (applying amended § 2 to vote-dilution claim involving multimember districts); see also Voinovich v. Quilter, 507 U.S. 146, 155 (1993) (single-member districts).</w:t>
      </w:r>
    </w:p>
    <w:p w:rsidR="00A31137" w:rsidRPr="00A31137" w:rsidRDefault="00A31137" w:rsidP="00A31137">
      <w:r w:rsidRPr="00A31137">
        <w:t>B</w:t>
      </w:r>
    </w:p>
    <w:p w:rsidR="00A31137" w:rsidRPr="00A31137" w:rsidRDefault="00A31137" w:rsidP="00A31137">
      <w:r w:rsidRPr="00A31137">
        <w:t>1993, Shaw v. Reno, 509 U.S. 641</w:t>
      </w:r>
    </w:p>
    <w:p w:rsidR="00A31137" w:rsidRPr="00A31137" w:rsidRDefault="00A31137" w:rsidP="00A31137">
      <w:r w:rsidRPr="00A31137">
        <w:t>It is against this background that we confront the questions presented here. In our view, the District Court properly dismissed appellants' claims against the federal appellees. Our focus is on appellants' claim that the State engaged in unconstitutional racial gerrymandering. That argument strikes a powerful historical chord: it is unsettling how closely the North Carolina plan resembles the most egregious racial gerrymanders of the past.</w:t>
      </w:r>
    </w:p>
    <w:p w:rsidR="00A31137" w:rsidRPr="00A31137" w:rsidRDefault="00A31137" w:rsidP="00A31137">
      <w:r w:rsidRPr="00A31137">
        <w:t>1993, Shaw v. Reno, 509 U.S. 641</w:t>
      </w:r>
    </w:p>
    <w:p w:rsidR="00A31137" w:rsidRPr="00A31137" w:rsidRDefault="00A31137" w:rsidP="00A31137">
      <w:r w:rsidRPr="00A31137">
        <w:t>An understanding of the nature of appellants' claim is critical to our resolution of the case. In their complaint, appellants did not claim that the General Assembly's reapportionment plan unconstitutionally "diluted" white voting strength. They did not even claim to be white. Rather, appellants' complaint alleged that the deliberate segregation of voters into separate districts on the basis of race violated their constitutional right to participate in a "color-blind" [509 U.S. 642] electoral process. Complaint 29; see also Brief for Appellants 31-32.</w:t>
      </w:r>
    </w:p>
    <w:p w:rsidR="00A31137" w:rsidRPr="00A31137" w:rsidRDefault="00A31137" w:rsidP="00A31137">
      <w:r w:rsidRPr="00A31137">
        <w:t>1993, Shaw v. Reno, 509 U.S. 642</w:t>
      </w:r>
    </w:p>
    <w:p w:rsidR="00A31137" w:rsidRPr="00A31137" w:rsidRDefault="00A31137" w:rsidP="00A31137">
      <w:r w:rsidRPr="00A31137">
        <w:t>Despite their invocation of the ideal of a "color-blind" Constitution, see Plessy v. Ferguson, 163 U.S. 537,  559 (1896) (Harlan, J., dissenting), appellants appear to concede that race-conscious redistricting is not always unconstitutional. See Tr. of Oral Arg. 1619. That concession is wise: this Court never has held that race-conscious state decisionmaking is impermissible in all circumstances. What appellants object to is redistricting legislation that is so extremely irregular on its face that it rationally can be viewed only as an effort to segregate the races for purposes of voting, without regard for traditional districting principles and without sufficiently compelling justification. For the reasons that follow, we conclude that appellants have stated a claim upon which relief can be granted under the Equal Protection Clause. See Fed.Rule Civ.Proc. 12(b)(6).</w:t>
      </w:r>
    </w:p>
    <w:p w:rsidR="00A31137" w:rsidRPr="00A31137" w:rsidRDefault="00A31137" w:rsidP="00A31137">
      <w:r w:rsidRPr="00A31137">
        <w:t>III</w:t>
      </w:r>
    </w:p>
    <w:p w:rsidR="00A31137" w:rsidRPr="00A31137" w:rsidRDefault="00A31137" w:rsidP="00A31137">
      <w:r w:rsidRPr="00A31137">
        <w:t>A</w:t>
      </w:r>
    </w:p>
    <w:p w:rsidR="00A31137" w:rsidRPr="00A31137" w:rsidRDefault="00A31137" w:rsidP="00A31137">
      <w:r w:rsidRPr="00A31137">
        <w:t>1993, Shaw v. Reno, 509 U.S. 642</w:t>
      </w:r>
    </w:p>
    <w:p w:rsidR="00A31137" w:rsidRPr="00A31137" w:rsidRDefault="00A31137" w:rsidP="00A31137">
      <w:r w:rsidRPr="00A31137">
        <w:t>The Equal Protection Clause provides that "[n]o State shall…deny to any person within its jurisdiction the equal protection of the laws." U.S.Const., Amdt. 14, § 1. Its central purpose is to prevent the States from purposefully discriminating between individuals on the basis of race. Washington v. Davis, 426 U.S. 229,  239 (1976). Laws that explicitly distinguish between individuals on racial grounds fall within the core of that prohibition.</w:t>
      </w:r>
    </w:p>
    <w:p w:rsidR="00A31137" w:rsidRPr="00A31137" w:rsidRDefault="00A31137" w:rsidP="00A31137">
      <w:r w:rsidRPr="00A31137">
        <w:t>1993, Shaw v. Reno, 509 U.S. 642</w:t>
      </w:r>
    </w:p>
    <w:p w:rsidR="00A31137" w:rsidRPr="00A31137" w:rsidRDefault="00A31137" w:rsidP="00A31137">
      <w:r w:rsidRPr="00A31137">
        <w:t>No inquiry into legislative purpose is necessary when the racial classification appears on the face of the statute. See Personnel Administrator of Massachusetts v. Feeney, 442 U.S. 256,  272 (1979). Accord, Washington v. Seattle School District No. 1, 458 U.S. 457,  485 (1982). Express racial classifications are immediately suspect because,</w:t>
      </w:r>
    </w:p>
    <w:p w:rsidR="00A31137" w:rsidRPr="00A31137" w:rsidRDefault="00A31137" w:rsidP="00A31137">
      <w:r w:rsidRPr="00A31137">
        <w:t>1993, Shaw v. Reno, 509 U.S. 642</w:t>
      </w:r>
    </w:p>
    <w:p w:rsidR="00A31137" w:rsidRPr="00A31137" w:rsidRDefault="00A31137" w:rsidP="00A31137">
      <w:r w:rsidRPr="00A31137">
        <w:t>[a]bsent searching judicial inquiry…, there is simply no way of determining what classifications are "benign" or "remedial" and what classifications [509 U.S. 643] are in fact motivated by illegitimate notions of racial inferiority or simple racial politics.</w:t>
      </w:r>
    </w:p>
    <w:p w:rsidR="00A31137" w:rsidRPr="00A31137" w:rsidRDefault="00A31137" w:rsidP="00A31137">
      <w:r w:rsidRPr="00A31137">
        <w:t>1993, Shaw v. Reno, 509 U.S. 643</w:t>
      </w:r>
    </w:p>
    <w:p w:rsidR="00A31137" w:rsidRPr="00A31137" w:rsidRDefault="00A31137" w:rsidP="00A31137">
      <w:r w:rsidRPr="00A31137">
        <w:t>Richmond v. J.A. Croson Co., 488 U.S. 469,  493 (1989) (plurality opinion); id. at  520 (SCALIA, J., concurring in judgment); see also UJO, 430 U.S. at 172 (Brennan, J., concurring in part) ("[A] purportedly preferential race assignment may in fact disguise a policy that perpetuates disadvantageous treatment of the plan's supposed beneficiaries").</w:t>
      </w:r>
    </w:p>
    <w:p w:rsidR="00A31137" w:rsidRPr="00A31137" w:rsidRDefault="00A31137" w:rsidP="00A31137">
      <w:r w:rsidRPr="00A31137">
        <w:t>1993, Shaw v. Reno, 509 U.S. 643</w:t>
      </w:r>
    </w:p>
    <w:p w:rsidR="00A31137" w:rsidRPr="00A31137" w:rsidRDefault="00A31137" w:rsidP="00A31137">
      <w:r w:rsidRPr="00A31137">
        <w:t>Classifications of citizens solely on the basis of race "are by their very nature odious to a free people whose institutions are founded upon the doctrine of equality." Hirabayashi v. United States, 320 U.S. 81 (1943). Accord, Loving v. Virginia, 388 U.S. 1,  11 (1967). They threaten to stigmatize individuals by reason of their membership in a racial group and to incite racial hostility. Croson, supra, 488 U.S. at  493 (plurality opinion); UJO, supra, 430 U.S. at  173 (Brennan, J., concurring in part) ("[E]ven in the pursuit of remedial objectives, an explicit policy of assignment by race may serve to stimulate our society's latent race-consciousness, suggesting the utility and propriety of basing decisions on a factor that ideally bear no relationship to an individual's worth or needs"). Accordingly, we have held that the Fourteenth Amendment requires state legislation that expressly distinguishes among citizens because of their race to be narrowly tailored to further a compelling governmental interest. See, e.g., Wygant v. Jackson Bd. of Ed., 476 U.S. 267, 277-278 (1986) (plurality opinion); id. at  286 (O'CONNOR, J., concurring in part and concurring in judgment).</w:t>
      </w:r>
    </w:p>
    <w:p w:rsidR="00A31137" w:rsidRPr="00A31137" w:rsidRDefault="00A31137" w:rsidP="00A31137">
      <w:r w:rsidRPr="00A31137">
        <w:t>1993, Shaw v. Reno, 509 U.S. 643</w:t>
      </w:r>
    </w:p>
    <w:p w:rsidR="00A31137" w:rsidRPr="00A31137" w:rsidRDefault="00A31137" w:rsidP="00A31137">
      <w:r w:rsidRPr="00A31137">
        <w:t>These principles apply not only to legislation that contains explicit racial distinctions, but also to those "rare" statutes that, although race-neutral, are, on their face, "unexplainable on grounds other than race." Arlington Heights v. Metropolitan Housing Development Corp., 429 U.S. 252,  266 (1977). As we explained in Feeney:</w:t>
      </w:r>
    </w:p>
    <w:p w:rsidR="00A31137" w:rsidRPr="00A31137" w:rsidRDefault="00A31137" w:rsidP="00A31137">
      <w:r w:rsidRPr="00A31137">
        <w:t>1993, Shaw v. Reno, 509 U.S. 643</w:t>
      </w:r>
    </w:p>
    <w:p w:rsidR="00A31137" w:rsidRPr="00A31137" w:rsidRDefault="00A31137" w:rsidP="00A31137">
      <w:r w:rsidRPr="00A31137">
        <w:t>A racial classification, regardless of purported motivation, is presumptively invalid and can be upheld only [509 U.S. 644] upon an extraordinary justification. Brown v. Board of Education, 347 U.S. 483; McLaughlin v. Florida, 379 U.S. 184. This rule applies as well to a classification that is ostensibly neutral but is an obvious pretext for racial discrimination. Yick Wo v. Hopkins, 118 U.S. 356; Guinn v. United States, 238 U.S. 347; cf. Lane v. Wilson, 307 U.S. 268; Gomillion v. Lightfoot, 364 U.S. 339.</w:t>
      </w:r>
    </w:p>
    <w:p w:rsidR="00A31137" w:rsidRPr="00A31137" w:rsidRDefault="00A31137" w:rsidP="00A31137">
      <w:r w:rsidRPr="00A31137">
        <w:t>1993, Shaw v. Reno, 509 U.S. 644</w:t>
      </w:r>
    </w:p>
    <w:p w:rsidR="00A31137" w:rsidRPr="00A31137" w:rsidRDefault="00A31137" w:rsidP="00A31137">
      <w:r w:rsidRPr="00A31137">
        <w:t>442 U.S. at  272.</w:t>
      </w:r>
    </w:p>
    <w:p w:rsidR="00A31137" w:rsidRPr="00A31137" w:rsidRDefault="00A31137" w:rsidP="00A31137">
      <w:r w:rsidRPr="00A31137">
        <w:t>B</w:t>
      </w:r>
    </w:p>
    <w:p w:rsidR="00A31137" w:rsidRPr="00A31137" w:rsidRDefault="00A31137" w:rsidP="00A31137">
      <w:r w:rsidRPr="00A31137">
        <w:t>1993, Shaw v. Reno, 509 U.S. 644</w:t>
      </w:r>
    </w:p>
    <w:p w:rsidR="00A31137" w:rsidRPr="00A31137" w:rsidRDefault="00A31137" w:rsidP="00A31137">
      <w:r w:rsidRPr="00A31137">
        <w:t>Appellants contend that redistricting legislation that is so bizarre on its face that it is "unexplainable on grounds other than race," Arlington Heights, supra, 429 U.S. at  266, demands the same close scrutiny that we give other state laws that classify citizens by race. Our voting rights precedents support that conclusion.</w:t>
      </w:r>
    </w:p>
    <w:p w:rsidR="00A31137" w:rsidRPr="00A31137" w:rsidRDefault="00A31137" w:rsidP="00A31137">
      <w:r w:rsidRPr="00A31137">
        <w:t>1993, Shaw v. Reno, 509 U.S. 644</w:t>
      </w:r>
    </w:p>
    <w:p w:rsidR="00A31137" w:rsidRPr="00A31137" w:rsidRDefault="00A31137" w:rsidP="00A31137">
      <w:r w:rsidRPr="00A31137">
        <w:t>In Guinn v. United States, 238 U.S. 347 (1915), the Court invalidated under the Fifteenth Amendment a statute that imposed a literacy requirement on voters but contained a "grandfather clause" applicable to individuals and their lineal descendants entitled to vote "on [or prior to] January 1, 1866." Id. at  357 (internal quotation marks omitted). The determinative consideration for the Court was that the law, though ostensibly race-neutral, on its face "embod[ied] no exercise of judgment and rest[ed] upon no discernible reason" other than to circumvent the prohibitions of the Fifteenth Amendment. Id. at  363. In other words, the statute was invalid because, on its face, it could not be explained on grounds other than race.</w:t>
      </w:r>
    </w:p>
    <w:p w:rsidR="00A31137" w:rsidRPr="00A31137" w:rsidRDefault="00A31137" w:rsidP="00A31137">
      <w:r w:rsidRPr="00A31137">
        <w:t>1993, Shaw v. Reno, 509 U.S. 644</w:t>
      </w:r>
    </w:p>
    <w:p w:rsidR="00A31137" w:rsidRPr="00A31137" w:rsidRDefault="00A31137" w:rsidP="00A31137">
      <w:r w:rsidRPr="00A31137">
        <w:t xml:space="preserve">The Court applied the same reasoning to the "uncouth twenty-eight-sided" municipal boundary line at issue in Gomillion. Although the statute that redrew the city limits of Tuskegee was race-neutral on its face, plaintiffs alleged that its effect was impermissibly to remove from the city virtually all black voters and no white voters. The Court reasoned: [509 U.S. 645] </w:t>
      </w:r>
    </w:p>
    <w:p w:rsidR="00A31137" w:rsidRPr="00A31137" w:rsidRDefault="00A31137" w:rsidP="00A31137">
      <w:r w:rsidRPr="00A31137">
        <w:t>1993, Shaw v. Reno, 509 U.S. 645</w:t>
      </w:r>
    </w:p>
    <w:p w:rsidR="00A31137" w:rsidRPr="00A31137" w:rsidRDefault="00A31137" w:rsidP="00A31137">
      <w:r w:rsidRPr="00A31137">
        <w:t>If these allegations upon a trial remained uncontradicted or unqualified, the conclusion would be irresistible, tantamount for all practical purposes to a mathematical demonstration, that the legislation is solely concerned with segregating white and colored voters by fencing Negro citizens out of town so as to deprive them of their preexisting municipal vote.</w:t>
      </w:r>
    </w:p>
    <w:p w:rsidR="00A31137" w:rsidRPr="00A31137" w:rsidRDefault="00A31137" w:rsidP="00A31137">
      <w:r w:rsidRPr="00A31137">
        <w:t>1993, Shaw v. Reno, 509 U.S. 645</w:t>
      </w:r>
    </w:p>
    <w:p w:rsidR="00A31137" w:rsidRPr="00A31137" w:rsidRDefault="00A31137" w:rsidP="00A31137">
      <w:r w:rsidRPr="00A31137">
        <w:t>364 U.S. at  341.</w:t>
      </w:r>
    </w:p>
    <w:p w:rsidR="00A31137" w:rsidRPr="00A31137" w:rsidRDefault="00A31137" w:rsidP="00A31137">
      <w:r w:rsidRPr="00A31137">
        <w:t>1993, Shaw v. Reno, 509 U.S. 645</w:t>
      </w:r>
    </w:p>
    <w:p w:rsidR="00A31137" w:rsidRPr="00A31137" w:rsidRDefault="00A31137" w:rsidP="00A31137">
      <w:r w:rsidRPr="00A31137">
        <w:t>The majority resolved the case under the Fifteenth Amendment. Id. at 342-348. Justice Whittaker, however, concluded that the "unlawful segregation of races of citizens" into different voting districts was cognizable under the Equal Protection Clause. Id. at  349 (Whittaker, J., concurring). This Court's subsequent reliance on Gomillion in other Fourteenth Amendment cases suggests the correctness of Justice Whittaker's view. See, e.g., Feeney, supra, 442 U.S. at  272; Whitcomb v. Chavis, 403 U.S. 124, 149 (1971); see also Mobile v. Bolden, 446 U.S. 55,  86 (1980) (STEVENS, J., concurring in judgment) (Gomillion's holding "is compelled by the Equal Protection Clause"). Gomillion thus supports appellants' contention that district lines obviously drawn for the purpose of separating voters by race require careful scrutiny under the Equal Protection Clause regardless of the motivations underlying their adoption.</w:t>
      </w:r>
    </w:p>
    <w:p w:rsidR="00A31137" w:rsidRPr="00A31137" w:rsidRDefault="00A31137" w:rsidP="00A31137">
      <w:r w:rsidRPr="00A31137">
        <w:t>1993, Shaw v. Reno, 509 U.S. 645</w:t>
      </w:r>
    </w:p>
    <w:p w:rsidR="00A31137" w:rsidRPr="00A31137" w:rsidRDefault="00A31137" w:rsidP="00A31137">
      <w:r w:rsidRPr="00A31137">
        <w:t>The Court extended the reasoning of Gomillion to congressional districting in Wright v. Rockefeller, 376 U.S. 52 (1964). At issue in Wright were four districts contained in a New York apportionment statute. The plaintiffs alleged that the statute excluded nonwhites from one district and concentrated them in the other three. Id. at 53-54. Every member of the Court assumed that the plaintiffs' allegation that the statute "segregate[d] eligible voters by race and place of origin" stated a constitutional claim. Id. at 56 (internal quotation marks omitted); id. at 58 (Harlan, J., concurring); id. at 59-62 (Douglas, J., dissenting). The Justices disagreed only as to whether the plaintiffs had carried their burden of proof at trial. The dissenters thought the unusual [509 U.S. 646] shape of the district lines could "be explained only in racial terms." Id. at 59. The majority, however, accepted the District Court's finding that the plaintiffs had failed to establish that the districts were in fact drawn on racial lines. Although the boundary lines were somewhat irregular, the majority reasoned, they were not so bizarre as to permit of no other conclusion. Indeed, because most of the nonwhite voters lived together in one area, it would have been difficult to construct voting districts without concentrations of nonwhite voters. Id. at 56-58.</w:t>
      </w:r>
    </w:p>
    <w:p w:rsidR="00A31137" w:rsidRPr="00A31137" w:rsidRDefault="00A31137" w:rsidP="00A31137">
      <w:r w:rsidRPr="00A31137">
        <w:t>1993, Shaw v. Reno, 509 U.S. 646</w:t>
      </w:r>
    </w:p>
    <w:p w:rsidR="00A31137" w:rsidRPr="00A31137" w:rsidRDefault="00A31137" w:rsidP="00A31137">
      <w:r w:rsidRPr="00A31137">
        <w:t>Wright illustrates the difficulty of determining from the face of a single-member districting plan that it purposefully distinguishes between voters on the basis of race. A reapportionment statute typically does not classify persons at all; it classifies tracts of land, or addresses. Moreover, redistricting differs from other kinds of state decisionmaking in that the legislature always is aware of race when it draws district lines, just as it is aware of age, economic status, religious and political persuasion, and a variety of other demographic factors. That sort of race consciousness does not lead inevitably to impermissible race discrimination. As Wright demonstrates, when members of a racial group live together in one community, a reapportionment plan that concentrates members of the group in one district and excludes them from others may reflect wholly legitimate purposes. The district lines may be drawn, for example, to provide for compact districts of contiguous territory, or to maintain the integrity of political subdivisions. See Reynolds, 377 U.S. at  578 (recognizing these as legitimate state interests).</w:t>
      </w:r>
    </w:p>
    <w:p w:rsidR="00A31137" w:rsidRPr="00A31137" w:rsidRDefault="00A31137" w:rsidP="00A31137">
      <w:r w:rsidRPr="00A31137">
        <w:t>1993, Shaw v. Reno, 509 U.S. 646</w:t>
      </w:r>
    </w:p>
    <w:p w:rsidR="00A31137" w:rsidRPr="00A31137" w:rsidRDefault="00A31137" w:rsidP="00A31137">
      <w:r w:rsidRPr="00A31137">
        <w:t>The difficulty of proof, of course, does not mean that a racial gerrymander, once established, should receive less scrutiny under the Equal Protection Clause than other state legislation classifying citizens by race. Moreover, it seems clear to us that proof sometimes will not be difficult at all. In some exceptional cases, a reapportionment plan may be so highly irregular that, on its face, it rationally cannot be [509 U.S. 647] understood as anything other than an effort to "segregat[e]…voters" on the basis of race. Gomillion, supra, 364 U.S. at  341. Gomillion, in which a tortured municipal boundary line was drawn to exclude black voters, was such a case. So, too, would be a case in which a State concentrated a dispersed minority population in a single district by disregarding traditional districting principles such as compactness, contiguity, and respect for political subdivisions. We emphasize that these criteria are important not because they are constitutionally required—they are not, cf. Gaffney v. Cummings, 412 U.S. 735, 752, n. 18 (1973)—but because they are objective factors that may serve to defeat a claim that a district has been gerrymandered on racial lines. Cf. Karcher v. Daggett, 462 U.S. 725, 755 (1983) (STEVENS, J., concurring) ("One need not use Justice Stewart's classic definition of obscenity—'I know it when I see it'—as an ultimate standard for judging the constitutionality of a gerrymander to recognize that dramatically irregular shapes may have sufficient probative force to call for an explanation" (footnotes omitted)).</w:t>
      </w:r>
    </w:p>
    <w:p w:rsidR="00A31137" w:rsidRPr="00A31137" w:rsidRDefault="00A31137" w:rsidP="00A31137">
      <w:r w:rsidRPr="00A31137">
        <w:t>1993, Shaw v. Reno, 509 U.S. 647</w:t>
      </w:r>
    </w:p>
    <w:p w:rsidR="00A31137" w:rsidRPr="00A31137" w:rsidRDefault="00A31137" w:rsidP="00A31137">
      <w:r w:rsidRPr="00A31137">
        <w:t>Put differently, we believe that reapportionment is one area in which appearances do matter. A reapportionment plan that includes in one district individuals who belong to the same race, but who are otherwise widely separated by geographical and political boundaries, and who may have little in common with one another but the color of their skin, bears an uncomfortable resemblance to political apartheid. It reinforces the perception that members of the same racial group—regardless of their age, education, economic status, or the community in which the live—think alike, share the same political interests, and will prefer the same candidates at the polls. We have rejected such perceptions elsewhere as impermissible racial stereotypes. See, e.g., Holland v. Illinois, 493 U.S. 474, 484, n. 2 (1990) ("[A] prosecutor's assumption that a black juror may be presumed to be partial simply because he is black…violates the Equal Protection [509 U.S. 648] Clause" (internal quotation marks omitted)); see also Edmonson v. Leesville Concrete Co., 500 U.S. 614, 630-631 (1991) ("If our society is to continue to progress as a multiracial democracy, it must recognize that the automatic invocation of race stereotypes retards that progress and causes continued hurt and injury"). By perpetuating such notions, a racial gerrymander may exacerbate the very patterns of racial bloc voting that majority-minority districting is sometimes said to counteract.</w:t>
      </w:r>
    </w:p>
    <w:p w:rsidR="00A31137" w:rsidRPr="00A31137" w:rsidRDefault="00A31137" w:rsidP="00A31137">
      <w:r w:rsidRPr="00A31137">
        <w:t>1993, Shaw v. Reno, 509 U.S. 648</w:t>
      </w:r>
    </w:p>
    <w:p w:rsidR="00A31137" w:rsidRPr="00A31137" w:rsidRDefault="00A31137" w:rsidP="00A31137">
      <w:r w:rsidRPr="00A31137">
        <w:t>The message that such districting sends to elected representatives is equally pernicious. When a district obviously is created solely to effectuate the perceived common interests of one racial group, elected officials are more likely to believe that their primary obligation is to represent only the members of that group, rather than their constituency as a whole. This is altogether antithetical to our system of representative democracy. As Justice Douglas explained in his dissent in Wright v. Rockefeller nearly 30 years ago:</w:t>
      </w:r>
    </w:p>
    <w:p w:rsidR="00A31137" w:rsidRPr="00A31137" w:rsidRDefault="00A31137" w:rsidP="00A31137">
      <w:r w:rsidRPr="00A31137">
        <w:t>1993, Shaw v. Reno, 509 U.S. 648</w:t>
      </w:r>
    </w:p>
    <w:p w:rsidR="00A31137" w:rsidRPr="00A31137" w:rsidRDefault="00A31137" w:rsidP="00A31137">
      <w:r w:rsidRPr="00A31137">
        <w:t>Here the individual is important, not his race, his creed, or his color. The principle of equality is at war with the notion that District A must be represented by a Negro, as it is with the notion that District B must be represented by a Caucasian, District C by a Jew, District D by a Catholic, and so on…. That system, by whatever name it is called, is a divisive force in a community, emphasizing differences between candidates and voters that are irrelevant in the constitutional sense….</w:t>
      </w:r>
    </w:p>
    <w:p w:rsidR="00A31137" w:rsidRPr="00A31137" w:rsidRDefault="00A31137" w:rsidP="00A31137">
      <w:r w:rsidRPr="00A31137">
        <w:t>*    *    *    *</w:t>
      </w:r>
    </w:p>
    <w:p w:rsidR="00A31137" w:rsidRPr="00A31137" w:rsidRDefault="00A31137" w:rsidP="00A31137">
      <w:r w:rsidRPr="00A31137">
        <w:t>1993, Shaw v. Reno, 509 U.S. 648</w:t>
      </w:r>
    </w:p>
    <w:p w:rsidR="00A31137" w:rsidRPr="00A31137" w:rsidRDefault="00A31137" w:rsidP="00A31137">
      <w:r w:rsidRPr="00A31137">
        <w:t>When racial or religious lines are drawn by the State, the multiracial, multireligious communities that our Constitution seeks to weld together as one become separatist; antagonisms that relate to race or to religion, rather than to political issues, are generated; communities seek not the best representative, but the best racial or religious partisan. Since that system is at war with [509 U.S. 649] the democratic ideal, it should find no footing here.</w:t>
      </w:r>
    </w:p>
    <w:p w:rsidR="00A31137" w:rsidRPr="00A31137" w:rsidRDefault="00A31137" w:rsidP="00A31137">
      <w:r w:rsidRPr="00A31137">
        <w:t>1993, Shaw v. Reno, 509 U.S. 649</w:t>
      </w:r>
    </w:p>
    <w:p w:rsidR="00A31137" w:rsidRPr="00A31137" w:rsidRDefault="00A31137" w:rsidP="00A31137">
      <w:r w:rsidRPr="00A31137">
        <w:t>376 U.S. at 66-67 (dissenting opinion) (internal citations omitted).</w:t>
      </w:r>
    </w:p>
    <w:p w:rsidR="00A31137" w:rsidRPr="00A31137" w:rsidRDefault="00A31137" w:rsidP="00A31137">
      <w:r w:rsidRPr="00A31137">
        <w:t>1993, Shaw v. Reno, 509 U.S. 649</w:t>
      </w:r>
    </w:p>
    <w:p w:rsidR="00A31137" w:rsidRPr="00A31137" w:rsidRDefault="00A31137" w:rsidP="00A31137">
      <w:r w:rsidRPr="00A31137">
        <w:t>For these reasons, we conclude that a plaintiff challenging a reapportionment statute under the Equal Protection Clause may state a claim by alleging that the legislation, though race-neutral on its face, rationally cannot be understood as anything other than an effort to separate voters into different districts on the basis of race, and that the separation lacks sufficient justification. It is unnecessary for us to decide whether or how a reapportionment plan that, on its face, can be explained in nonracial terms successfully could be challenged. Thus, we express no view as to whether "the intentional creation of majority-minority districts, without more" always gives rise to an equal protection claim. Post at  668 (WHITE, J., dissenting). We hold only that, on the facts of this case, plaintiffs have stated a claim sufficient to defeat the state appellees' motion to dismiss.</w:t>
      </w:r>
    </w:p>
    <w:p w:rsidR="00A31137" w:rsidRPr="00A31137" w:rsidRDefault="00A31137" w:rsidP="00A31137">
      <w:r w:rsidRPr="00A31137">
        <w:t>C</w:t>
      </w:r>
    </w:p>
    <w:p w:rsidR="00A31137" w:rsidRPr="00A31137" w:rsidRDefault="00A31137" w:rsidP="00A31137">
      <w:r w:rsidRPr="00A31137">
        <w:t>1993, Shaw v. Reno, 509 U.S. 649</w:t>
      </w:r>
    </w:p>
    <w:p w:rsidR="00A31137" w:rsidRPr="00A31137" w:rsidRDefault="00A31137" w:rsidP="00A31137">
      <w:r w:rsidRPr="00A31137">
        <w:t>The dissenters consider the circumstances of this case "functionally indistinguishable" from multimember districting and at-large voting systems, which are loosely described as "other varieties of gerrymandering." Post at  671 (WHITE, J., dissenting); see also post at  684 (SOUTER, J., dissenting). We have considered the constitutionality of these practices in other Fourteenth Amendment cases, and have required plaintiffs to demonstrate that the challenged practice has the purpose and effect of diluting a racial group's voting strength. See, e.g., Rogers v. Lodge, 458 U.S. 613 (1982) (at-large system); Mobile v. Bolden, 446 U.S. 55 (1980) (same); White v. Regester, 412 U.S. 755 (1973) (multimember districts); Whitcomb v. Chavis, 403 U.S. 124 (1971) (same); see also supra at 640-641. At-large and multimember schemes, however, do not classify voters on the basis of race. Classifying citizens by race, as we have said, threatens special [509 U.S. 650] harms that are not present in our vote-dilution cases. It therefore warrants different analysis.</w:t>
      </w:r>
    </w:p>
    <w:p w:rsidR="00A31137" w:rsidRPr="00A31137" w:rsidRDefault="00A31137" w:rsidP="00A31137">
      <w:r w:rsidRPr="00A31137">
        <w:t>1993, Shaw v. Reno, 509 U.S. 650</w:t>
      </w:r>
    </w:p>
    <w:p w:rsidR="00A31137" w:rsidRPr="00A31137" w:rsidRDefault="00A31137" w:rsidP="00A31137">
      <w:r w:rsidRPr="00A31137">
        <w:t>JUSTICE SOUTER apparently believes that racial gerrymandering is harmless unless it dilutes a racial group's voting strength. See post at  684 (dissenting opinion). As we have explained, however, reapportionment legislation that cannot be understood as anything other than an effort to classify and separate voters by race injures voters in other ways. It reinforces racial stereotypes and threatens to undermine our system of representative democracy by signaling to elected officials that they represent a particular racial group, rather than their constituency as a whole. See supra at 647-649. JUSTICE SOUTER does not adequately explain why these harms are not cognizable under the Fourteenth Amendment.</w:t>
      </w:r>
    </w:p>
    <w:p w:rsidR="00A31137" w:rsidRPr="00A31137" w:rsidRDefault="00A31137" w:rsidP="00A31137">
      <w:r w:rsidRPr="00A31137">
        <w:t>1993, Shaw v. Reno, 509 U.S. 650</w:t>
      </w:r>
    </w:p>
    <w:p w:rsidR="00A31137" w:rsidRPr="00A31137" w:rsidRDefault="00A31137" w:rsidP="00A31137">
      <w:r w:rsidRPr="00A31137">
        <w:t>The dissenters make two other arguments that cannot be reconciled with our precedents. First, they suggest that a racial gerrymander of the sort alleged here is functionally equivalent to gerrymanders for nonracial purposes, such as political gerrymanders. See post at  679 (opinion of STEVENS, J.); see also post at 662-663 (WHITE, J., dissenting). This Court has held political gerrymanders to be justiciable under the Equal Protection Clause. See Davis v. Bandemer, 478 U.S. at 118-127. But nothing in our case law compels the conclusion that racial and political gerrymanders are subject to precisely the same constitutional scrutiny. In fact, our country's long and persistent history of racial discrimination in voting—as well as our Fourteenth Amendment jurisprudence, which always has reserved the strictest scrutiny for discrimination on the basis of race, see supra at 642-644—would seem to compel the opposite conclusion.</w:t>
      </w:r>
    </w:p>
    <w:p w:rsidR="00A31137" w:rsidRPr="00A31137" w:rsidRDefault="00A31137" w:rsidP="00A31137">
      <w:r w:rsidRPr="00A31137">
        <w:t>1993, Shaw v. Reno, 509 U.S. 650</w:t>
      </w:r>
    </w:p>
    <w:p w:rsidR="00A31137" w:rsidRPr="00A31137" w:rsidRDefault="00A31137" w:rsidP="00A31137">
      <w:r w:rsidRPr="00A31137">
        <w:t>Second, JUSTICE STEVENS argues that racial gerrymandering poses no constitutional difficulties when district lines are drawn to favor the minority, rather than the majority. See post at  678 (dissenting opinion). We have made clear, however, that equal protection analysis "is not dependent [509 U.S. 651] on the race of those burdened or benefited by a particular classification." Croson, 488 U.S. at  494 (plurality opinion); see also id. at  520 (SCALIA, J., concurring in judgment). Accord, Wygant, 476 U.S. at  273 (plurality opinion). Indeed, racial classifications receive close scrutiny even when they may be said to burden or benefit the races equally. See Powers v. Ohio, 499 U.S. 400, 410 (1991) ("It is axiomatic that racial classifications do not become legitimate on the assumption that all persons suffer them in equal degree").</w:t>
      </w:r>
    </w:p>
    <w:p w:rsidR="00A31137" w:rsidRPr="00A31137" w:rsidRDefault="00A31137" w:rsidP="00A31137">
      <w:r w:rsidRPr="00A31137">
        <w:t>1993, Shaw v. Reno, 509 U.S. 651</w:t>
      </w:r>
    </w:p>
    <w:p w:rsidR="00A31137" w:rsidRPr="00A31137" w:rsidRDefault="00A31137" w:rsidP="00A31137">
      <w:r w:rsidRPr="00A31137">
        <w:t>Finally, nothing in the Court's highly fractured decision in UJO—on which the District Court almost exclusively relied, and which the dissenters evidently believe controls, see post at 664-667 (opinion of WHITE, J.); post at  684, and n. 6 (opinion of SOUTER, J.)—forecloses the claim we recognize today. UJO concerned New York's revision of a reapportionment plan to include additional majority-minority districts in response to the Attorney General's denial of administrative preclearance under § 5. In that regard, it closely resembles the present case. But the cases are critically different in another way. The plaintiffs in UJO—members of a Hasidic community split between two districts under New York's revised redistricting plan—did not allege that the plan, on its face, was so highly irregular that it rationally could be understood only as an effort to segregate voters by race. Indeed, the facts of the case would not have supported such a claim. Three Justices approved the New York statute, in part, precisely because it adhered to traditional districting principles:</w:t>
      </w:r>
    </w:p>
    <w:p w:rsidR="00A31137" w:rsidRPr="00A31137" w:rsidRDefault="00A31137" w:rsidP="00A31137">
      <w:r w:rsidRPr="00A31137">
        <w:t>1993, Shaw v. Reno, 509 U.S. 651</w:t>
      </w:r>
    </w:p>
    <w:p w:rsidR="00A31137" w:rsidRPr="00A31137" w:rsidRDefault="00A31137" w:rsidP="00A31137">
      <w:r w:rsidRPr="00A31137">
        <w:t xml:space="preserve">[W]e think it…permissible for a State, employing sound districting principles such as compactness and population equality, to attempt to prevent racial minorities from being repeatedly outvoted by creating districts that will afford fair representation to the members of those racial groups who are sufficiently numerous and whose residential patterns afford the opportunity of creating districts in which they will be in the majority. [509 U.S. 652] </w:t>
      </w:r>
    </w:p>
    <w:p w:rsidR="00A31137" w:rsidRPr="00A31137" w:rsidRDefault="00A31137" w:rsidP="00A31137">
      <w:r w:rsidRPr="00A31137">
        <w:t>1993, Shaw v. Reno, 509 U.S. 652</w:t>
      </w:r>
    </w:p>
    <w:p w:rsidR="00A31137" w:rsidRPr="00A31137" w:rsidRDefault="00A31137" w:rsidP="00A31137">
      <w:r w:rsidRPr="00A31137">
        <w:t>430 U.S. at  168 (opinion of WHITE, J., joined by STEVENS and REHNQUIST, JJ.).</w:t>
      </w:r>
    </w:p>
    <w:p w:rsidR="00A31137" w:rsidRPr="00A31137" w:rsidRDefault="00A31137" w:rsidP="00A31137">
      <w:r w:rsidRPr="00A31137">
        <w:t>1993, Shaw v. Reno, 509 U.S. 652</w:t>
      </w:r>
    </w:p>
    <w:p w:rsidR="00A31137" w:rsidRPr="00A31137" w:rsidRDefault="00A31137" w:rsidP="00A31137">
      <w:r w:rsidRPr="00A31137">
        <w:t>As a majority of the Justices construed the complaint, the UJO plaintiffs made a different claim: that the New York plan impermissibly "diluted" their voting strength. Five of the eight Justices who participated in the decision resolved the case under the framework the Court previously had adopted for vote-dilution cases. Three Justices rejected the plaintiffs' claim on the grounds that the New York statute "represented no racial slur or stigma with respect to whites or any other race" and left white voters with better than proportional representation. Id. at 165-166. Two others concluded that the statute did not minimize or cancel out a minority group's voting strength, and that the State's intent to comply with the Voting Rights Act, as interpreted by the Department of Justice, "foreclose[d] any finding that [the State] acted with the invidious purpose of discriminating against white voters." Id. at  180 (Stewart, J., joined by Powell, J., concurring in judgment).</w:t>
      </w:r>
    </w:p>
    <w:p w:rsidR="00A31137" w:rsidRPr="00A31137" w:rsidRDefault="00A31137" w:rsidP="00A31137">
      <w:r w:rsidRPr="00A31137">
        <w:t>1993, Shaw v. Reno, 509 U.S. 652</w:t>
      </w:r>
    </w:p>
    <w:p w:rsidR="00A31137" w:rsidRPr="00A31137" w:rsidRDefault="00A31137" w:rsidP="00A31137">
      <w:r w:rsidRPr="00A31137">
        <w:t xml:space="preserve">The District Court below relied on these portions of UJO to reject appellants' claim. See 808 F.Supp. at 472-473. In our view, the court used the wrong analysis. UJO's framework simply does not apply where, as here, a reapportionment plan is alleged to be so irrational on its face that it immediately offends principles of racial equality. UJO set forth a standard under which white voters can establish unconstitutional vote dilution. But it did not purport to overrule Gomillion or Wright. Nothing in the decision precludes white voters (or voters of any other race) from bringing the analytically distinct claim that a reapportionment plan rationally cannot be understood as anything other than an effort to segregate citizens into separate voting districts on the basis of race without sufficient justification. Because appellants here stated such a claim, the District Court erred in dismissing their complaint. [509 U.S. 653] </w:t>
      </w:r>
    </w:p>
    <w:p w:rsidR="00A31137" w:rsidRPr="00A31137" w:rsidRDefault="00A31137" w:rsidP="00A31137">
      <w:r w:rsidRPr="00A31137">
        <w:t>IV</w:t>
      </w:r>
    </w:p>
    <w:p w:rsidR="00A31137" w:rsidRPr="00A31137" w:rsidRDefault="00A31137" w:rsidP="00A31137">
      <w:r w:rsidRPr="00A31137">
        <w:t>1993, Shaw v. Reno, 509 U.S. 653</w:t>
      </w:r>
    </w:p>
    <w:p w:rsidR="00A31137" w:rsidRPr="00A31137" w:rsidRDefault="00A31137" w:rsidP="00A31137">
      <w:r w:rsidRPr="00A31137">
        <w:t>JUSTICE SOUTER contends that exacting scrutiny of racial gerrymanders under the Fourteenth Amendment is inappropriate because reapportionment "nearly always require[s] some consideration of race for legitimate reasons." Post at  680 (dissenting opinion). "As long as members of racial groups have [a] commonality of interest" and "racial bloc voting takes place," he argues, "legislators will have to take race into account" in order to comply with the Voting Rights Act. Ibid. JUSTICE SOUTER's reasoning is flawed.</w:t>
      </w:r>
    </w:p>
    <w:p w:rsidR="00A31137" w:rsidRPr="00A31137" w:rsidRDefault="00A31137" w:rsidP="00A31137">
      <w:r w:rsidRPr="00A31137">
        <w:t>1993, Shaw v. Reno, 509 U.S. 653</w:t>
      </w:r>
    </w:p>
    <w:p w:rsidR="00A31137" w:rsidRPr="00A31137" w:rsidRDefault="00A31137" w:rsidP="00A31137">
      <w:r w:rsidRPr="00A31137">
        <w:t>Earlier this Term, we unanimously reaffirmed that racial bloc voting and minority-group political cohesion never can be assumed, but specifically must be proved in each case in order to establish that a redistricting plan dilutes minority voting strength in violation of § 2. See Growe v. Emison, 507 U.S. 25, 40-41 (1993) ("Unless these points are established, there neither has been a wrong nor can be a remedy"). That racial bloc voting or minority political cohesion may be found to exist in some cases, of course, is no reason to treat all racial gerrymanders differently from other kinds of racial classification. JUSTICE SOUTER apparently views racial gerrymandering of the type presented here as a special category of "benign" racial discrimination that should be subject to relaxed judicial review. Cf. post at 684-685 (dissenting opinion). As we have said, however, the very reason that the Equal Protection Clause demands strict scrutiny of all racial classifications is because, without it, a court cannot determine whether or not the discrimination truly is "benign." See supra at 642-643. Thus, if appellants' allegations of a racial gerrymander are not contradicted on remand, the District Court must determine whether the General Assembly's reapportionment plan satisfies strict scrutiny. We therefore consider what that level of scrutiny requires in the reapportionment context.</w:t>
      </w:r>
    </w:p>
    <w:p w:rsidR="00A31137" w:rsidRPr="00A31137" w:rsidRDefault="00A31137" w:rsidP="00A31137">
      <w:r w:rsidRPr="00A31137">
        <w:t>1993, Shaw v. Reno, 509 U.S. 653</w:t>
      </w:r>
    </w:p>
    <w:p w:rsidR="00A31137" w:rsidRPr="00A31137" w:rsidRDefault="00A31137" w:rsidP="00A31137">
      <w:r w:rsidRPr="00A31137">
        <w:t>The state appellees suggest that a covered jurisdiction may have a compelling interest in creating majority-minority [509 U.S. 654] districts in order to comply with the Voting Rights Act. The States certainly have a very strong interest in complying with federal antidiscrimination laws that are constitutionally valid as interpreted and as applied. But in the context of a Fourteenth Amendment challenge, courts must bear in mind the difference between what the law permits and what it requires.</w:t>
      </w:r>
    </w:p>
    <w:p w:rsidR="00A31137" w:rsidRPr="00A31137" w:rsidRDefault="00A31137" w:rsidP="00A31137">
      <w:r w:rsidRPr="00A31137">
        <w:t>1993, Shaw v. Reno, 509 U.S. 654</w:t>
      </w:r>
    </w:p>
    <w:p w:rsidR="00A31137" w:rsidRPr="00A31137" w:rsidRDefault="00A31137" w:rsidP="00A31137">
      <w:r w:rsidRPr="00A31137">
        <w:t>For example, on remand, North Carolina might claim that it adopted the revised plan in order to comply with the § 5 "nonretrogression" principle. Under that principle, a proposed voting change cannot be precleared if it will lead to "a retrogression in the position of racial minorities with respect to their effective exercise of the electoral franchise." Beer v. United States, 425 U.S. 130, 141 (1976). In Beer, we held that a reapportionment plan that created one majority-minority district where none existed before passed muster under § 5 because it improved the position of racial minorities. Id. at 141-142; see also Richmond v. United States, 422 U.S. 358, 370-371 (1975) (annexation that reduces percentage of blacks in population satisfies § 5 where post-annexation districts "fairly reflect" current black voting strength).</w:t>
      </w:r>
    </w:p>
    <w:p w:rsidR="00A31137" w:rsidRPr="00A31137" w:rsidRDefault="00A31137" w:rsidP="00A31137">
      <w:r w:rsidRPr="00A31137">
        <w:t>1993, Shaw v. Reno, 509 U.S. 654</w:t>
      </w:r>
    </w:p>
    <w:p w:rsidR="00A31137" w:rsidRPr="00A31137" w:rsidRDefault="00A31137" w:rsidP="00A31137">
      <w:r w:rsidRPr="00A31137">
        <w:t>Although the Court concluded that the redistricting scheme at issue in Beer was nonretrogressive, it did not hold that the plan, for that reason, was immune from constitutional challenge. The Court expressly declined to reach that question. See 425 U.S. at 142, n. 14. Indeed, the Voting Rights Act and our case law make clear that a reapportionment plan that satisfies § 5 still may be enjoined as unconstitutional. See 42 U.S.C. § 1973c (neither a declaratory judgment by the District Court for the District of Columbia nor preclearance by the Attorney General "shall bar a subsequent action to enjoin enforcement" of new voting practice); Allen, 393 U.S. at 549-550 (after preclearance, "private parties may enjoin the enforcement of the new enactment…in traditional suits attacking its constitutionality"). Thus, [509 U.S. 655] we do not read Beer or any of our other § 5 cases to give covered jurisdictions carte blanche to engage in racial gerrymandering in the name of nonretrogression. A reapportionment plan would not be narrowly tailored to the goal of avoiding retrogression if the State went beyond what was reasonably necessary to avoid retrogression. Our conclusion is supported by the plurality opinion in UJO, in which four Justices determined that New York's creation of additional majority-minority districts was constitutional because the plaintiffs had failed to demonstrate that the State "did more than the Attorney General was authorized to require it to do under the nonretrogression principle of Beer." 430 U.S. at 162-163 (opinion of WHITE, J., joined by BRENNAN, BLACKMUN, and STEVENS, JJ.) (emphasis added).</w:t>
      </w:r>
    </w:p>
    <w:p w:rsidR="00A31137" w:rsidRPr="00A31137" w:rsidRDefault="00A31137" w:rsidP="00A31137">
      <w:r w:rsidRPr="00A31137">
        <w:t>1993, Shaw v. Reno, 509 U.S. 655</w:t>
      </w:r>
    </w:p>
    <w:p w:rsidR="00A31137" w:rsidRPr="00A31137" w:rsidRDefault="00A31137" w:rsidP="00A31137">
      <w:r w:rsidRPr="00A31137">
        <w:t>Before us, the state appellees contend that the General Assembly's revised plan was necessary not to prevent retrogression, but to avoid dilution of black voting strength in violation of § 2, as construed in Thornburg v. Gingles, 478 U.S. 30 (1986). In Gingles, the Court considered a multimember redistricting plan for the North Carolina State Legislature. The Court held that members of a racial minority group claiming § 2 vote dilution through the use of multimember districts must prove three threshold conditions: that the minority group "is sufficiently large and geographically compact to constitute a majority in a single-member district," that the minority group is "politically cohesive," and that "the white majority votes sufficiently as a bloc to enable it…usually to defeat the minority's preferred candidate." Id. at 50-51. We have indicated that similar preconditions apply in § 2 challenges to single-member districts. See Voinovich v. Quilter, 507 U.S. at 157-158; Growe v. Emison, supra, 507 U.S. at 40.</w:t>
      </w:r>
      <w:r w:rsidRPr="00A31137">
        <w:cr/>
      </w:r>
    </w:p>
    <w:p w:rsidR="00A31137" w:rsidRPr="00A31137" w:rsidRDefault="00A31137" w:rsidP="00A31137">
      <w:r w:rsidRPr="00A31137">
        <w:t>1993, Shaw v. Reno, 509 U.S. 655</w:t>
      </w:r>
    </w:p>
    <w:p w:rsidR="00A31137" w:rsidRPr="00A31137" w:rsidRDefault="00A31137" w:rsidP="00A31137">
      <w:r w:rsidRPr="00A31137">
        <w:t>Appellants maintain that the General Assembly's revised plan could not have been required by § 2. They contend that the State's black population is too dispersed to support two geographically compact majority-black districts, as the bizarre [509 U.S. 656] shape of District 12 demonstrates, and that there is no evidence of black political cohesion. They also contend that recent black electoral successes demonstrate the willingness of white voters in North Carolina to vote for black candidates. Appellants point out that blacks currently hold the positions of State Auditor, Speaker of the North Carolina House of Representatives, and chair of the North Carolina State Board of Elections. They also point out that, in 1990, a black candidate defeated a white opponent in the Democratic Party run-off for a United States Senate seat before being defeated narrowly by the Republican incumbent in the general election. Appellants further argue that, if § 2 did require adoption of North Carolina's revised plan, § 2 is to that extent unconstitutional. These arguments were not developed below, and the issues remain open for consideration on remand.</w:t>
      </w:r>
    </w:p>
    <w:p w:rsidR="00A31137" w:rsidRPr="00A31137" w:rsidRDefault="00A31137" w:rsidP="00A31137">
      <w:r w:rsidRPr="00A31137">
        <w:t>1993, Shaw v. Reno, 509 U.S. 656</w:t>
      </w:r>
    </w:p>
    <w:p w:rsidR="00A31137" w:rsidRPr="00A31137" w:rsidRDefault="00A31137" w:rsidP="00A31137">
      <w:r w:rsidRPr="00A31137">
        <w:t>The state appellees alternatively argue that the General Assembly's plan advanced a compelling interest entirely distinct from the Voting Rights Act. We previously have recognized a significant state interest in eradicating the effects of past racial discrimination. See, e.g., Croson, 488 U.S. at 491-493 (opinion of O'CONNOR, J., joined by REHNQUIST, C.J., and WHITE, J.); id. at  518 (KENNEDY, J., concurring in part and concurring in judgment); Wygant, 476 U.S. at 280-282 (plurality opinion); id. at  286 (O'CONNOR, J., concurring in part and concurring in judgment). But the State must have a "'strong basis in evidence for [concluding] that remedial action [is] necessary.'" Croson, supra, 488 U.S. at  500 (quoting Wygant, supra, 476 U.S. at  277 (plurality opinion)).</w:t>
      </w:r>
    </w:p>
    <w:p w:rsidR="00A31137" w:rsidRPr="00A31137" w:rsidRDefault="00A31137" w:rsidP="00A31137">
      <w:r w:rsidRPr="00A31137">
        <w:t>1993, Shaw v. Reno, 509 U.S. 656</w:t>
      </w:r>
    </w:p>
    <w:p w:rsidR="00A31137" w:rsidRPr="00A31137" w:rsidRDefault="00A31137" w:rsidP="00A31137">
      <w:r w:rsidRPr="00A31137">
        <w:t>The state appellees submit that two pieces of evidence gave the General Assembly a strong basis for believing that remedial action was warranted here: the Attorney General's imposition of the § 5 preclearance requirement on 40 North Carolina counties, and the Gingles District Court's findings of a long history of official racial discrimination in North Carolina's political system and of pervasive racial bloc voting. [509 U.S. 657] The state appellees assert that the deliberate creation of majority-minority districts is the most precise way—indeed the only effective way—to overcome the effects of racially polarized voting. This question also need not be decided at this stage of the litigation. We note, however, that only three Justices in UJO were prepared to say that States have a significant interest in minimizing the consequences of racial bloc voting apart from the requirements of the Voting Rights Act. And those three Justices specifically concluded that race-based districting, as a response to racially polarized voting, is constitutionally permissible only when the State "employ[s] sound districting principles," and only when the affected racial group's "residential patterns afford the opportunity of creating districts in which they will be in the majority." 430 U.S. at 167-168 (opinion of WHITE, J., joined by STEVENS and REHNQUIST, JJ.).</w:t>
      </w:r>
    </w:p>
    <w:p w:rsidR="00A31137" w:rsidRPr="00A31137" w:rsidRDefault="00A31137" w:rsidP="00A31137">
      <w:r w:rsidRPr="00A31137">
        <w:t>V</w:t>
      </w:r>
    </w:p>
    <w:p w:rsidR="00A31137" w:rsidRPr="00A31137" w:rsidRDefault="00A31137" w:rsidP="00A31137">
      <w:r w:rsidRPr="00A31137">
        <w:t>1993, Shaw v. Reno, 509 U.S. 657</w:t>
      </w:r>
    </w:p>
    <w:p w:rsidR="00A31137" w:rsidRPr="00A31137" w:rsidRDefault="00A31137" w:rsidP="00A31137">
      <w:r w:rsidRPr="00A31137">
        <w:t>Racial classifications of any sort pose the risk of lasting harm to our society. They reinforce the belief, held by too many for too much of our history, that individuals should be judged by the color of their skin. Racial classifications with respect to voting carry particular dangers. Racial gerrymandering, even for remedial purposes, may balkanize us into competing racial factions; it threatens to carry us further from the goal of a political system in which race no longer matters—a goal that the Fourteenth and Fifteenth Amendments embody, and to which the Nation continues to aspire. It is for these reasons that race-based districting by our state legislatures demands close judicial scrutiny.</w:t>
      </w:r>
    </w:p>
    <w:p w:rsidR="00A31137" w:rsidRPr="00A31137" w:rsidRDefault="00A31137" w:rsidP="00A31137">
      <w:r w:rsidRPr="00A31137">
        <w:t>1993, Shaw v. Reno, 509 U.S. 657</w:t>
      </w:r>
    </w:p>
    <w:p w:rsidR="00A31137" w:rsidRPr="00A31137" w:rsidRDefault="00A31137" w:rsidP="00A31137">
      <w:r w:rsidRPr="00A31137">
        <w:t>In this case, the Attorney General suggested that North Carolina could have created a reasonably compact second majority-minority district in the south-central to southeastern part of the State. We express no view as to whether appellants successfully could have challenged such a district under the Fourteenth Amendment. We also do not decide [509 U.S. 658] whether appellants' complaint stated a claim under constitutional provisions other than the Fourteenth Amendment. Today we hold only that appellants have stated a claim under the Equal Protection Clause by alleging that the North Carolina General Assembly adopted a reapportionment scheme so irrational on its face that it can be understood only as an effort to segregate voters into separate voting districts because of their race, and that the separation lacks sufficient justification. If the allegation of racial gerrymandering remains uncontradicted, the District Court further must determine whether the North Carolina plan is narrowly tailored to further a compelling governmental interest. Accordingly, we reverse the judgment of the District Court and remand the case for further proceedings consistent with this opinion.</w:t>
      </w:r>
    </w:p>
    <w:p w:rsidR="00A31137" w:rsidRPr="00A31137" w:rsidRDefault="00A31137" w:rsidP="00A31137">
      <w:r w:rsidRPr="00A31137">
        <w:t>1993, Shaw v. Reno, 509 U.S. 658</w:t>
      </w:r>
    </w:p>
    <w:p w:rsidR="00A31137" w:rsidRPr="00A31137" w:rsidRDefault="00A31137" w:rsidP="00A31137">
      <w:r w:rsidRPr="00A31137">
        <w:t>It is so ordered.</w:t>
      </w:r>
    </w:p>
    <w:p w:rsidR="00A31137" w:rsidRPr="00A31137" w:rsidRDefault="00A31137" w:rsidP="00A31137">
      <w:r w:rsidRPr="00A31137">
        <w:t>1993, Shaw v. Reno, 509 U.S. 658</w:t>
      </w:r>
    </w:p>
    <w:p w:rsidR="00A31137" w:rsidRPr="00A31137" w:rsidRDefault="00A31137" w:rsidP="00A31137">
      <w:r w:rsidRPr="00A31137">
        <w:t>APPENDIX</w:t>
      </w:r>
    </w:p>
    <w:p w:rsidR="00A31137" w:rsidRPr="00A31137" w:rsidRDefault="00A31137" w:rsidP="00A31137">
      <w:r w:rsidRPr="00A31137">
        <w:t>NORTH CAROLINA CONGRESSIONAL PLAN</w:t>
      </w:r>
    </w:p>
    <w:p w:rsidR="00A31137" w:rsidRPr="00A31137" w:rsidRDefault="00A31137" w:rsidP="00A31137">
      <w:r w:rsidRPr="00A31137">
        <w:t>Chapter 7 of the 1991 Session Laws (1991 Extra Session)</w:t>
      </w:r>
    </w:p>
    <w:p w:rsidR="00A31137" w:rsidRPr="00A31137" w:rsidRDefault="00A31137" w:rsidP="00A31137">
      <w:r w:rsidRPr="00A31137">
        <w:t>WHITE, J., dissenting</w:t>
      </w:r>
    </w:p>
    <w:p w:rsidR="00A31137" w:rsidRPr="00A31137" w:rsidRDefault="00A31137" w:rsidP="00A31137">
      <w:r w:rsidRPr="00A31137">
        <w:t>1993, Shaw v. Reno, 509 U.S. 658</w:t>
      </w:r>
    </w:p>
    <w:p w:rsidR="00A31137" w:rsidRPr="00A31137" w:rsidRDefault="00A31137" w:rsidP="00A31137">
      <w:r w:rsidRPr="00A31137">
        <w:t>JUSTICE WHITE, with whom JUSTICE BLACKMUN and JUSTICE STEVENS join, dissenting.</w:t>
      </w:r>
    </w:p>
    <w:p w:rsidR="00A31137" w:rsidRPr="00A31137" w:rsidRDefault="00A31137" w:rsidP="00A31137">
      <w:r w:rsidRPr="00A31137">
        <w:t>1993, Shaw v. Reno, 509 U.S. 658</w:t>
      </w:r>
    </w:p>
    <w:p w:rsidR="00A31137" w:rsidRPr="00A31137" w:rsidRDefault="00A31137" w:rsidP="00A31137">
      <w:r w:rsidRPr="00A31137">
        <w:t>The facts of this case mirror those presented in United Jewish Organizations of Williamsburgh, Inc. v. Carey, 430 U.S. 144 (1977) (UJO), where the Court rejected a claim that creation of a majority-minority district violated the Constitution, either as a per se matter or in light of the circumstances leading to the creation of such a district. Of particular relevance, five of the Justices reasoned that members of the white majority could not plausibly argue that their influence over the political process had been unfairly cancelled, see id. at 165-168 (opinion of WHITE, J., joined by REHNQUIST and STEVENS, JJ.), or that such had been the State's intent. See id. at 179-180 (Stewart, J., concurring in judgment, joined by Powell, J.). Accordingly, they held that plaintiffs were not entitled to relief under the Constitution's [509 U.S. 659] Equal Protection Clause. On the same reasoning, I would affirm the district court's dismissal of appellants' claim in this instance.</w:t>
      </w:r>
    </w:p>
    <w:p w:rsidR="00A31137" w:rsidRPr="00A31137" w:rsidRDefault="00A31137" w:rsidP="00A31137">
      <w:r w:rsidRPr="00A31137">
        <w:t>1993, Shaw v. Reno, 509 U.S. 659</w:t>
      </w:r>
    </w:p>
    <w:p w:rsidR="00A31137" w:rsidRPr="00A31137" w:rsidRDefault="00A31137" w:rsidP="00A31137">
      <w:r w:rsidRPr="00A31137">
        <w:t>The Court today chooses not to overrule, but rather to sidestep, UJO. It does so by glossing over the striking similarities, focusing on surface differences, most notably the (admittedly unusual) shape of the newly created district, and imagining an entirely new cause of action. Because the holding is limited to such anomalous circumstances, ante at  649, it perhaps will not substantially hamper a State's legitimate efforts to redistrict in favor of racial minorities. Nonetheless, the notion that North Carolina's plan, under which whites remain a voting majority in a disproportionate number of congressional districts, and pursuant to which the State has sent its first black representatives since Reconstruction to the United States Congress, might have violated appellants' constitutional rights is both a fiction and a departure from settled equal protection principles. Seeing no good reason to engage in either, I dissent.</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1993, Shaw v. Reno, 509 U.S. 659</w:t>
      </w:r>
    </w:p>
    <w:p w:rsidR="00A31137" w:rsidRPr="00A31137" w:rsidRDefault="00A31137" w:rsidP="00A31137">
      <w:r w:rsidRPr="00A31137">
        <w:t>The grounds for my disagreement with the majority are simply stated: appellants have not presented a cognizable claim, because they have not alleged a cognizable injury. To date, we have held that only two types of state voting practices could give rise to a constitutional claim. The first involves direct and outright deprivation of the right to vote, for example by means of a poll tax or literacy test. See, e.g., Guinn v. United States, 238 U.S. 347 (1915). Plainly, this variety is not implicated by appellants' allegations, and need not detain us further. The second type of unconstitutional practice is that which "affects the political strength of various groups," Mobile v. Bolden, 446 U.S. 55,  83 (1980) (STEVENS, J., concurring in judgment), in violation of the Equal Protection Clause. As for this latter category, we [509 U.S. 660] have insisted that members of the political or racial group demonstrate that the challenged action have the intent and effect of unduly diminishing their influence on the political process. 1 Although this severe burden has limited the number of successful suits, it was adopted for sound reasons.</w:t>
      </w:r>
    </w:p>
    <w:p w:rsidR="00A31137" w:rsidRPr="00A31137" w:rsidRDefault="00A31137" w:rsidP="00A31137">
      <w:r w:rsidRPr="00A31137">
        <w:t>1993, Shaw v. Reno, 509 U.S. 660</w:t>
      </w:r>
    </w:p>
    <w:p w:rsidR="00A31137" w:rsidRPr="00A31137" w:rsidRDefault="00A31137" w:rsidP="00A31137">
      <w:r w:rsidRPr="00A31137">
        <w:t>The central explanation has to do with the nature of the redistricting process. As the majority recognizes,</w:t>
      </w:r>
    </w:p>
    <w:p w:rsidR="00A31137" w:rsidRPr="00A31137" w:rsidRDefault="00A31137" w:rsidP="00A31137">
      <w:r w:rsidRPr="00A31137">
        <w:t>1993, Shaw v. Reno, 509 U.S. 660</w:t>
      </w:r>
    </w:p>
    <w:p w:rsidR="00A31137" w:rsidRPr="00A31137" w:rsidRDefault="00A31137" w:rsidP="00A31137">
      <w:r w:rsidRPr="00A31137">
        <w:t>redistricting differs from other kinds of state decisionmaking in that the legislature always is aware of race when it draws district lines, just as it is aware of age, economic status, religious and political persuasion, and a variety of other demographic factors.</w:t>
      </w:r>
    </w:p>
    <w:p w:rsidR="00A31137" w:rsidRPr="00A31137" w:rsidRDefault="00A31137" w:rsidP="00A31137">
      <w:r w:rsidRPr="00A31137">
        <w:t>1993, Shaw v. Reno, 509 U.S. 660</w:t>
      </w:r>
    </w:p>
    <w:p w:rsidR="00A31137" w:rsidRPr="00A31137" w:rsidRDefault="00A31137" w:rsidP="00A31137">
      <w:r w:rsidRPr="00A31137">
        <w:t>Ante at  646 (emphasis in original). "Being aware," in this context, is shorthand for "taking into account," and it hardly can be doubted that legislators routinely engage in the business of making electoral predictions based on group characteristics—racial, ethnic, and the like.</w:t>
      </w:r>
    </w:p>
    <w:p w:rsidR="00A31137" w:rsidRPr="00A31137" w:rsidRDefault="00A31137" w:rsidP="00A31137">
      <w:r w:rsidRPr="00A31137">
        <w:t>1993, Shaw v. Reno, 509 U.S. 660</w:t>
      </w:r>
    </w:p>
    <w:p w:rsidR="00A31137" w:rsidRPr="00A31137" w:rsidRDefault="00A31137" w:rsidP="00A31137">
      <w:r w:rsidRPr="00A31137">
        <w:t>[L]ike bloc-voting by race, [the racial composition of geographic area] too is a fact of life, well known to those responsible for drawing electoral district lines. These lawmakers are quite aware that the districts they create will have a white or a black majority; and with each new district comes the unavoidable choice as to the racial composition of the district.</w:t>
      </w:r>
    </w:p>
    <w:p w:rsidR="00A31137" w:rsidRPr="00A31137" w:rsidRDefault="00A31137" w:rsidP="00A31137">
      <w:r w:rsidRPr="00A31137">
        <w:t>1993, Shaw v. Reno, 509 U.S. 660</w:t>
      </w:r>
    </w:p>
    <w:p w:rsidR="00A31137" w:rsidRPr="00A31137" w:rsidRDefault="00A31137" w:rsidP="00A31137">
      <w:r w:rsidRPr="00A31137">
        <w:t>Beer v. United States, 425 U.S. 130, 144 (1976) (WHITE, J., dissenting). As we have said, "it requires no special genius to recognize the political consequences of drawing a district line along one street rather than another." Gaffney v. Cummings, 412 [509 U.S. 661] U.S. 735, 753 (1973); see also Mobile v. Bolden, supra, 446 U.S. at 86-87 (STEVENS, J., concurring in judgment). Because extirpating such considerations from the redistricting process is unrealistic, the Court has not invalidated all plans that consciously use race, but rather has looked at their impact.</w:t>
      </w:r>
    </w:p>
    <w:p w:rsidR="00A31137" w:rsidRPr="00A31137" w:rsidRDefault="00A31137" w:rsidP="00A31137">
      <w:r w:rsidRPr="00A31137">
        <w:t>1993, Shaw v. Reno, 509 U.S. 661</w:t>
      </w:r>
    </w:p>
    <w:p w:rsidR="00A31137" w:rsidRPr="00A31137" w:rsidRDefault="00A31137" w:rsidP="00A31137">
      <w:r w:rsidRPr="00A31137">
        <w:t>Redistricting plans also reflect group interests, and inevitably are conceived with partisan aims in mind. To allow judicial interference whenever this occurs would be to invite constant and unmanageable intrusion. Moreover, a group's power to affect the political process does not automatically dissipate by virtue of an electoral loss. Accordingly, we have asked that an identifiable group demonstrate more than mere lack of success at the polls to make out a successful gerrymandering claim. See, e.g., White v. Regester, 412 U.S. 755, 765-766 (1973); Whitcomb v. Chavis, 403 U.S. 124, 153-155 (1971).</w:t>
      </w:r>
    </w:p>
    <w:p w:rsidR="00A31137" w:rsidRPr="00A31137" w:rsidRDefault="00A31137" w:rsidP="00A31137">
      <w:r w:rsidRPr="00A31137">
        <w:t>1993, Shaw v. Reno, 509 U.S. 661</w:t>
      </w:r>
    </w:p>
    <w:p w:rsidR="00A31137" w:rsidRPr="00A31137" w:rsidRDefault="00A31137" w:rsidP="00A31137">
      <w:r w:rsidRPr="00A31137">
        <w:t>With these considerations in mind, we have limited such claims by insisting upon a showing that</w:t>
      </w:r>
    </w:p>
    <w:p w:rsidR="00A31137" w:rsidRPr="00A31137" w:rsidRDefault="00A31137" w:rsidP="00A31137">
      <w:r w:rsidRPr="00A31137">
        <w:t>1993, Shaw v. Reno, 509 U.S. 661</w:t>
      </w:r>
    </w:p>
    <w:p w:rsidR="00A31137" w:rsidRPr="00A31137" w:rsidRDefault="00A31137" w:rsidP="00A31137">
      <w:r w:rsidRPr="00A31137">
        <w:t>the political processes…were not equally open to participation by the group in question—that its members had less opportunity than did other residents in the district to participate in the political processes and to elect legislators of their choice.</w:t>
      </w:r>
    </w:p>
    <w:p w:rsidR="00A31137" w:rsidRPr="00A31137" w:rsidRDefault="00A31137" w:rsidP="00A31137">
      <w:r w:rsidRPr="00A31137">
        <w:t>1993, Shaw v. Reno, 509 U.S. 661</w:t>
      </w:r>
    </w:p>
    <w:p w:rsidR="00A31137" w:rsidRPr="00A31137" w:rsidRDefault="00A31137" w:rsidP="00A31137">
      <w:r w:rsidRPr="00A31137">
        <w:t>White v. Regester, supra, 412 U.S. at 766. Indeed, as a brief survey of decisions illustrates, the Court's gerrymandering cases all carry this theme—that it is not mere suffering at the polls, but discrimination in the polity, with which the Constitution is concerned.</w:t>
      </w:r>
    </w:p>
    <w:p w:rsidR="00A31137" w:rsidRPr="00A31137" w:rsidRDefault="00A31137" w:rsidP="00A31137">
      <w:r w:rsidRPr="00A31137">
        <w:t>1993, Shaw v. Reno, 509 U.S. 661</w:t>
      </w:r>
    </w:p>
    <w:p w:rsidR="00A31137" w:rsidRPr="00A31137" w:rsidRDefault="00A31137" w:rsidP="00A31137">
      <w:r w:rsidRPr="00A31137">
        <w:t>In Whitcomb v. Chavis, 403 U.S. at 149, we searched in vain for evidence that black voters "had less opportunity than did other…residents to participate in the political processes and to elect legislators of their choice." More generally, we remarked:</w:t>
      </w:r>
    </w:p>
    <w:p w:rsidR="00A31137" w:rsidRPr="00A31137" w:rsidRDefault="00A31137" w:rsidP="00A31137">
      <w:r w:rsidRPr="00A31137">
        <w:t>1993, Shaw v. Reno, 509 U.S. 661</w:t>
      </w:r>
    </w:p>
    <w:p w:rsidR="00A31137" w:rsidRPr="00A31137" w:rsidRDefault="00A31137" w:rsidP="00A31137">
      <w:r w:rsidRPr="00A31137">
        <w:t>The mere fact that one interest group or another concerned with the outcome of [the district's] elections has found itself outvoted and without legislative seats of its [509 U.S. 662] own provides no basis for invoking constitutional remedies where…there is no indication that this segment of the population is being denied access to the political system.</w:t>
      </w:r>
    </w:p>
    <w:p w:rsidR="00A31137" w:rsidRPr="00A31137" w:rsidRDefault="00A31137" w:rsidP="00A31137">
      <w:r w:rsidRPr="00A31137">
        <w:t>1993, Shaw v. Reno, 509 U.S. 662</w:t>
      </w:r>
    </w:p>
    <w:p w:rsidR="00A31137" w:rsidRPr="00A31137" w:rsidRDefault="00A31137" w:rsidP="00A31137">
      <w:r w:rsidRPr="00A31137">
        <w:t>Id. at 154-155. Again, in White v. Regester, supra, the same criteria were used to uphold the district court's finding that a redistricting plan was unconstitutional. The "historic and present condition" of the Mexican-American community, id. 412 U.S. at 767, a status of cultural and economic marginality, id. at 768, as well as the legislature's unresponsiveness to the group's interests, id. at 768-769, justified the conclusion that Mexican-Americans were "'effectively removed from the political processes,'" and "invidiously excluded…from effective participation in political life." Id. at 769. Other decisions of this Court adhere to the same standards. See Rogers v. Lodge, 458 U.S. 613, 624-626 (1982); Chapman v. Meier, 420 U.S. 1, 17 (1975) (requiring proof that "the group has been denied access to the political process equal to the access of other groups"). 2</w:t>
      </w:r>
    </w:p>
    <w:p w:rsidR="00A31137" w:rsidRPr="00A31137" w:rsidRDefault="00A31137" w:rsidP="00A31137">
      <w:r w:rsidRPr="00A31137">
        <w:t>1993, Shaw v. Reno, 509 U.S. 662</w:t>
      </w:r>
    </w:p>
    <w:p w:rsidR="00A31137" w:rsidRPr="00A31137" w:rsidRDefault="00A31137" w:rsidP="00A31137">
      <w:r w:rsidRPr="00A31137">
        <w:t>I summed up my views on this matter in the plurality opinion in Davis v. Bandemer, 478 U.S. 109 (1986). 3 Because districting inevitably is the expression of interest group politics, and because "the power to influence the political process is not limited to winning elections," id. at  132, [509 U.S. 663] the question in gerrymandering cases is "whether a particular group has been unconstitutionally denied its chance to effectively influence the political process." Id. at 132-133. Thus,</w:t>
      </w:r>
    </w:p>
    <w:p w:rsidR="00A31137" w:rsidRPr="00A31137" w:rsidRDefault="00A31137" w:rsidP="00A31137">
      <w:r w:rsidRPr="00A31137">
        <w:t>1993, Shaw v. Reno, 509 U.S. 663</w:t>
      </w:r>
    </w:p>
    <w:p w:rsidR="00A31137" w:rsidRPr="00A31137" w:rsidRDefault="00A31137" w:rsidP="00A31137">
      <w:r w:rsidRPr="00A31137">
        <w:t>an equal protection violation may be found only where the electoral system substantially disadvantages certain voters in their opportunity to influence the political process effectively.</w:t>
      </w:r>
    </w:p>
    <w:p w:rsidR="00A31137" w:rsidRPr="00A31137" w:rsidRDefault="00A31137" w:rsidP="00A31137">
      <w:r w:rsidRPr="00A31137">
        <w:t>1993, Shaw v. Reno, 509 U.S. 663</w:t>
      </w:r>
    </w:p>
    <w:p w:rsidR="00A31137" w:rsidRPr="00A31137" w:rsidRDefault="00A31137" w:rsidP="00A31137">
      <w:r w:rsidRPr="00A31137">
        <w:t>Id. at  133 (emphasis added). By this, I meant that the group must exhibit "strong indicia of lack of political power and the denial of fair representation," so that it could be said that it has "essentially been shut out of the political process." Id. at  139. In short, even assuming that racial (or political) factors were considered in the drawing of district boundaries, a showing of discriminatory effects is a "threshold requirement" in the absence of which there is no equal protection violation, id. at  143, and no need to "reach the question of the state interests…served by the particular districts." Id. at  142. 4</w:t>
      </w:r>
    </w:p>
    <w:p w:rsidR="00A31137" w:rsidRPr="00A31137" w:rsidRDefault="00A31137" w:rsidP="00A31137">
      <w:r w:rsidRPr="00A31137">
        <w:t>1993, Shaw v. Reno, 509 U.S. 663</w:t>
      </w:r>
    </w:p>
    <w:p w:rsidR="00A31137" w:rsidRPr="00A31137" w:rsidRDefault="00A31137" w:rsidP="00A31137">
      <w:r w:rsidRPr="00A31137">
        <w:t>To distinguish a claim that alleges that the redistricting scheme has discriminatory intent and effect from one that does not has nothing to do with dividing racial classifications between the "benign" and the malicious—an enterprise which, as the majority notes, the Court has treated with skepticism. See ante at 642-643. Rather, the issue is whether the classification based on race discriminates [509 U.S. 664] against anyone by denying equal access to the political process. Even members of the Court least inclined to approve of race-based remedial measures have acknowledged the significance of this factor. See Fullilove v. Klutznick, 448 U.S. 448, 524-525, n. 3 (1980) (Stewart, J., dissenting) ("No person in [UJO] was deprived of his electoral franchise"); Regents of Univ. of California v. Bakke, 438 U.S. 265, 304-305 (1978) (Powell, J.) ("United Jewish Organizations…properly is viewed as a case in which the remedy for an administrative finding of discrimination encompassed measures to improve the previously disadvantaged group's ability to participate, without excluding individuals belonging to any other group from enjoyment of the relevant opportunity—meaningful participation in the electoral process") (emphasis added).</w:t>
      </w:r>
    </w:p>
    <w:p w:rsidR="00A31137" w:rsidRPr="00A31137" w:rsidRDefault="00A31137" w:rsidP="00A31137">
      <w:r w:rsidRPr="00A31137">
        <w:t>B</w:t>
      </w:r>
    </w:p>
    <w:p w:rsidR="00A31137" w:rsidRPr="00A31137" w:rsidRDefault="00A31137" w:rsidP="00A31137">
      <w:r w:rsidRPr="00A31137">
        <w:t>1993, Shaw v. Reno, 509 U.S. 664</w:t>
      </w:r>
    </w:p>
    <w:p w:rsidR="00A31137" w:rsidRPr="00A31137" w:rsidRDefault="00A31137" w:rsidP="00A31137">
      <w:r w:rsidRPr="00A31137">
        <w:t>The most compelling evidence of the Court's position prior to this day, for it is most directly on point, is UJO, 430 U.S. 144 (1977). The Court characterizes the decision as "highly fractured," ante at  651, but that should not detract attention from the rejection by a majority in UJO of the claim that the State's intentional creation of majority-minority districts transgressed constitutional norms. As stated above, five Justices were of the view that, absent any contention that the proposed plan was adopted with the intent, or had the effect, of unduly minimizing the white majority's voting strength, the Fourteenth Amendment was not implicated. Writing for three members of the Court, I justified this conclusion as follows:</w:t>
      </w:r>
    </w:p>
    <w:p w:rsidR="00A31137" w:rsidRPr="00A31137" w:rsidRDefault="00A31137" w:rsidP="00A31137">
      <w:r w:rsidRPr="00A31137">
        <w:t>1993, Shaw v. Reno, 509 U.S. 664</w:t>
      </w:r>
    </w:p>
    <w:p w:rsidR="00A31137" w:rsidRPr="00A31137" w:rsidRDefault="00A31137" w:rsidP="00A31137">
      <w:r w:rsidRPr="00A31137">
        <w:t>It is true that New York deliberately increased the nonwhite majorities in certain districts in order to enhance the opportunity for election of nonwhite representatives from those districts. Nevertheless, there was no fencing out of the white population from participation in the political processes of the county, and the [509 U.S. 665] plan did not minimize or unfairly cancel out white voting strength.</w:t>
      </w:r>
    </w:p>
    <w:p w:rsidR="00A31137" w:rsidRPr="00A31137" w:rsidRDefault="00A31137" w:rsidP="00A31137">
      <w:r w:rsidRPr="00A31137">
        <w:t>1993, Shaw v. Reno, 509 U.S. 665</w:t>
      </w:r>
    </w:p>
    <w:p w:rsidR="00A31137" w:rsidRPr="00A31137" w:rsidRDefault="00A31137" w:rsidP="00A31137">
      <w:r w:rsidRPr="00A31137">
        <w:t>430 U.S. at  165 (opinion of WHITE, J.).</w:t>
      </w:r>
    </w:p>
    <w:p w:rsidR="00A31137" w:rsidRPr="00A31137" w:rsidRDefault="00A31137" w:rsidP="00A31137">
      <w:r w:rsidRPr="00A31137">
        <w:t>1993, Shaw v. Reno, 509 U.S. 665</w:t>
      </w:r>
    </w:p>
    <w:p w:rsidR="00A31137" w:rsidRPr="00A31137" w:rsidRDefault="00A31137" w:rsidP="00A31137">
      <w:r w:rsidRPr="00A31137">
        <w:t>In a similar vein, Justice Stewart was joined by Justice Powell in stating that:</w:t>
      </w:r>
    </w:p>
    <w:p w:rsidR="00A31137" w:rsidRPr="00A31137" w:rsidRDefault="00A31137" w:rsidP="00A31137">
      <w:r w:rsidRPr="00A31137">
        <w:t>1993, Shaw v. Reno, 509 U.S. 665</w:t>
      </w:r>
    </w:p>
    <w:p w:rsidR="00A31137" w:rsidRPr="00A31137" w:rsidRDefault="00A31137" w:rsidP="00A31137">
      <w:r w:rsidRPr="00A31137">
        <w:t>The petitioners have made no showing that a racial criterion was used as a basis for denying them their right to vote, in contravention of the Fifteenth Amendment. See Gomillion v. Lightfoot, 364 U.S. 339. They have made no showing that the redistricting scheme was employed as part of a "contrivance to segregate;" to minimize or cancel out the voting strength of a minority class or interest; or otherwise to impair or burden the opportunity of affected persons to participate in the political process.</w:t>
      </w:r>
    </w:p>
    <w:p w:rsidR="00A31137" w:rsidRPr="00A31137" w:rsidRDefault="00A31137" w:rsidP="00A31137">
      <w:r w:rsidRPr="00A31137">
        <w:t>1993, Shaw v. Reno, 509 U.S. 665</w:t>
      </w:r>
    </w:p>
    <w:p w:rsidR="00A31137" w:rsidRPr="00A31137" w:rsidRDefault="00A31137" w:rsidP="00A31137">
      <w:r w:rsidRPr="00A31137">
        <w:t>Id., 430 U.S. at  179 (Stewart, J., concurring in judgment) (citations omitted).</w:t>
      </w:r>
    </w:p>
    <w:p w:rsidR="00A31137" w:rsidRPr="00A31137" w:rsidRDefault="00A31137" w:rsidP="00A31137">
      <w:r w:rsidRPr="00A31137">
        <w:t>1993, Shaw v. Reno, 509 U.S. 665</w:t>
      </w:r>
    </w:p>
    <w:p w:rsidR="00A31137" w:rsidRPr="00A31137" w:rsidRDefault="00A31137" w:rsidP="00A31137">
      <w:r w:rsidRPr="00A31137">
        <w:t>Under either formulation, it is irrefutable that appellants in this proceeding likewise have failed to state a claim. As was the case in New York, a number of North Carolina's political subdivisions have interfered with black citizens' meaningful exercise of the franchise, and are therefore subject to §§ 4 and 5 of the Voting Rights Act. Compare UJO, supra, at  148. In other words, North Carolina was found by Congress to have</w:t>
      </w:r>
    </w:p>
    <w:p w:rsidR="00A31137" w:rsidRPr="00A31137" w:rsidRDefault="00A31137" w:rsidP="00A31137">
      <w:r w:rsidRPr="00A31137">
        <w:t>1993, Shaw v. Reno, 509 U.S. 665</w:t>
      </w:r>
    </w:p>
    <w:p w:rsidR="00A31137" w:rsidRPr="00A31137" w:rsidRDefault="00A31137" w:rsidP="00A31137">
      <w:r w:rsidRPr="00A31137">
        <w:t>"resorted to the extraordinary stratagem of contriving new rules of various kinds for the sole purpose of perpetuating voting discrimination in the face of adverse federal court decrees,"</w:t>
      </w:r>
    </w:p>
    <w:p w:rsidR="00A31137" w:rsidRPr="00A31137" w:rsidRDefault="00A31137" w:rsidP="00A31137">
      <w:r w:rsidRPr="00A31137">
        <w:t>1993, Shaw v. Reno, 509 U.S. 665</w:t>
      </w:r>
    </w:p>
    <w:p w:rsidR="00A31137" w:rsidRPr="00A31137" w:rsidRDefault="00A31137" w:rsidP="00A31137">
      <w:r w:rsidRPr="00A31137">
        <w:t>and therefore</w:t>
      </w:r>
    </w:p>
    <w:p w:rsidR="00A31137" w:rsidRPr="00A31137" w:rsidRDefault="00A31137" w:rsidP="00A31137">
      <w:r w:rsidRPr="00A31137">
        <w:t>1993, Shaw v. Reno, 509 U.S. 665</w:t>
      </w:r>
    </w:p>
    <w:p w:rsidR="00A31137" w:rsidRPr="00A31137" w:rsidRDefault="00A31137" w:rsidP="00A31137">
      <w:r w:rsidRPr="00A31137">
        <w:t>would be likely to engage in "similar maneuvers in the future in order to evade the remedies for voting discrimination contained in the Act itself."</w:t>
      </w:r>
    </w:p>
    <w:p w:rsidR="00A31137" w:rsidRPr="00A31137" w:rsidRDefault="00A31137" w:rsidP="00A31137">
      <w:r w:rsidRPr="00A31137">
        <w:t>1993, Shaw v. Reno, 509 U.S. 665</w:t>
      </w:r>
    </w:p>
    <w:p w:rsidR="00A31137" w:rsidRPr="00A31137" w:rsidRDefault="00A31137" w:rsidP="00A31137">
      <w:r w:rsidRPr="00A31137">
        <w:t>McCain v. Lybrand, 465 U.S. 236, 245 (1984) (quoting South Carolina v. Katzenbach, 383 U.S. 301,  334,  335 (1966)). 5 Like New York, North Carolina failed to prove to [509 U.S. 666] the Attorney General's satisfaction that its proposed redistricting had neither the purpose nor the effect of abridging the right to vote on account of race or color. Compare UJO, supra, 430 U.S. at  150. The Attorney General's interposition of a § 5 objection "properly is viewed" as "an administrative finding of discrimination" against a racial minority. Regents of Univ. of California v. Bakke, supra, 438 U.S. at  305 (opinion of Powell, J.). Finally, like New York, North Carolina reacted by modifying its plan and creating additional majority-minority districts. Compare UJO, 430 U.S. at 151-152.</w:t>
      </w:r>
    </w:p>
    <w:p w:rsidR="00A31137" w:rsidRPr="00A31137" w:rsidRDefault="00A31137" w:rsidP="00A31137">
      <w:r w:rsidRPr="00A31137">
        <w:t>1993, Shaw v. Reno, 509 U.S. 666</w:t>
      </w:r>
    </w:p>
    <w:p w:rsidR="00A31137" w:rsidRPr="00A31137" w:rsidRDefault="00A31137" w:rsidP="00A31137">
      <w:r w:rsidRPr="00A31137">
        <w:t>In light of this background, it strains credulity to suggest that North Carolina's purpose in creating a second majority-minority district was to discriminate against members of the majority group by "impair[ing] or burden[ing their] opportunity…to participate in the political process." Id. at  179 (Stewart, J., concurring in judgment). The State has made no mystery of its intent, which was to respond to the Attorney General's objections, see Brief for State Appellees 13-14, by improving the minority group's prospects of electing a candidate of its choice. I doubt that this constitutes a discriminatory purpose as defined in the Court's equal protection cases—i.e., an intent to aggravate "the unequal distribution of electoral power." Post at  678 (STEVENS, J., dissenting). But even assuming that it does, there is no question that appellants have not alleged the requisite discriminatory effects. Whites constitute roughly 76 percent of the total population and 79 percent of the voting age population in North Carolina. Yet, under the State's plan, they still constitute a voting majority in 10 (or 83 percent) of the 12 congressional districts. Though they might be dissatisfied at the prospect of casting a vote for a losing candidate—a lot shared by many, including a disproportionate number of minority [509 U.S. 667] voters—surely they cannot complain of discriminatory treatment. 6</w:t>
      </w:r>
    </w:p>
    <w:p w:rsidR="00A31137" w:rsidRPr="00A31137" w:rsidRDefault="00A31137" w:rsidP="00A31137">
      <w:r w:rsidRPr="00A31137">
        <w:t>II</w:t>
      </w:r>
    </w:p>
    <w:p w:rsidR="00A31137" w:rsidRPr="00A31137" w:rsidRDefault="00A31137" w:rsidP="00A31137">
      <w:r w:rsidRPr="00A31137">
        <w:t>1993, Shaw v. Reno, 509 U.S. 667</w:t>
      </w:r>
    </w:p>
    <w:p w:rsidR="00A31137" w:rsidRPr="00A31137" w:rsidRDefault="00A31137" w:rsidP="00A31137">
      <w:r w:rsidRPr="00A31137">
        <w:t>The majority attempts to distinguish UJO by imagining a heretofore unknown type of constitutional claim. In its words,</w:t>
      </w:r>
    </w:p>
    <w:p w:rsidR="00A31137" w:rsidRPr="00A31137" w:rsidRDefault="00A31137" w:rsidP="00A31137">
      <w:r w:rsidRPr="00A31137">
        <w:t>1993, Shaw v. Reno, 509 U.S. 667</w:t>
      </w:r>
    </w:p>
    <w:p w:rsidR="00A31137" w:rsidRPr="00A31137" w:rsidRDefault="00A31137" w:rsidP="00A31137">
      <w:r w:rsidRPr="00A31137">
        <w:t>UJO set forth a standard under which white voters can establish unconstitutional vote dilution…. Nothing in the decision precludes white voters (or voters of any other race) from bringing the analytically distinct claim that a reapportionment plan rationally cannot be understood as anything other than an effort to segregate citizens into separate voting districts on the basis of race without sufficient justification.</w:t>
      </w:r>
    </w:p>
    <w:p w:rsidR="00A31137" w:rsidRPr="00A31137" w:rsidRDefault="00A31137" w:rsidP="00A31137">
      <w:r w:rsidRPr="00A31137">
        <w:t>1993, Shaw v. Reno, 509 U.S. 667</w:t>
      </w:r>
    </w:p>
    <w:p w:rsidR="00A31137" w:rsidRPr="00A31137" w:rsidRDefault="00A31137" w:rsidP="00A31137">
      <w:r w:rsidRPr="00A31137">
        <w:t>Ante at  652. There is no support for this distinction in UJO, and no authority in the cases relied on by the Court, either. More importantly, the majority's submission does not withstand analysis. The logic of its theory appears to be that race-conscious redistricting that "segregates" by drawing odd-shaped lines is qualitatively different from race-conscious redistricting that affects groups in some other way. The distinction is without foundation.</w:t>
      </w:r>
    </w:p>
    <w:p w:rsidR="00A31137" w:rsidRPr="00A31137" w:rsidRDefault="00A31137" w:rsidP="00A31137">
      <w:r w:rsidRPr="00A31137">
        <w:t>A</w:t>
      </w:r>
    </w:p>
    <w:p w:rsidR="00A31137" w:rsidRPr="00A31137" w:rsidRDefault="00A31137" w:rsidP="00A31137">
      <w:r w:rsidRPr="00A31137">
        <w:t>1993, Shaw v. Reno, 509 U.S. 667</w:t>
      </w:r>
    </w:p>
    <w:p w:rsidR="00A31137" w:rsidRPr="00A31137" w:rsidRDefault="00A31137" w:rsidP="00A31137">
      <w:r w:rsidRPr="00A31137">
        <w:t>The essence of the majority's argument is that UJO dealt with a claim of vote dilution—which required a specific showing of harm—and that cases such as Gomillion v. Lightfoot, 364 U.S. 339 (1960), and Wright v. Rockefeller, 376 U.S. 52 (1964), dealt with claims of racial segregation—which did not. I read these decisions quite differently. Petitioners' [509 U.S. 668] claim in UJO was that the State had "violated the Fourteenth and Fifteenth Amendments by deliberately revising its reapportionment plan along racial lines." 430 U.S. at  155 (plurality opinion) (emphasis added). They also stated:</w:t>
      </w:r>
    </w:p>
    <w:p w:rsidR="00A31137" w:rsidRPr="00A31137" w:rsidRDefault="00A31137" w:rsidP="00A31137">
      <w:r w:rsidRPr="00A31137">
        <w:t>1993, Shaw v. Reno, 509 U.S. 668</w:t>
      </w:r>
    </w:p>
    <w:p w:rsidR="00A31137" w:rsidRPr="00A31137" w:rsidRDefault="00A31137" w:rsidP="00A31137">
      <w:r w:rsidRPr="00A31137">
        <w:t>"Our argument is…that the history of the area demonstrates that there could be—and in fact was—no reason other than race to divide the community at this time."</w:t>
      </w:r>
    </w:p>
    <w:p w:rsidR="00A31137" w:rsidRPr="00A31137" w:rsidRDefault="00A31137" w:rsidP="00A31137">
      <w:r w:rsidRPr="00A31137">
        <w:t>1993, Shaw v. Reno, 509 U.S. 668</w:t>
      </w:r>
    </w:p>
    <w:p w:rsidR="00A31137" w:rsidRPr="00A31137" w:rsidRDefault="00A31137" w:rsidP="00A31137">
      <w:r w:rsidRPr="00A31137">
        <w:t>Id. at  154, n. 14 (quoting Brief for Petitioners, O.T. 1976, No. 75-104, p. 6, n. 6) (emphasis in original). Nor was it ever in doubt that "the State deliberately used race in a purposeful manner." 430 U.S. at  165. In other words, the "analytically distinct claim" the majority discovers today was in plain view, and did not carry the day for petitioners. The fact that a demonstration of discriminatory effect was required in that case was not a function of the kind of claim that was made. It was a function of the type of injury upon which the Court insisted.</w:t>
      </w:r>
    </w:p>
    <w:p w:rsidR="00A31137" w:rsidRPr="00A31137" w:rsidRDefault="00A31137" w:rsidP="00A31137">
      <w:r w:rsidRPr="00A31137">
        <w:t>1993, Shaw v. Reno, 509 U.S. 668</w:t>
      </w:r>
    </w:p>
    <w:p w:rsidR="00A31137" w:rsidRPr="00A31137" w:rsidRDefault="00A31137" w:rsidP="00A31137">
      <w:r w:rsidRPr="00A31137">
        <w:t>Gomillion is consistent with this view. To begin, the Court's reliance on that case as the font of its novel type of claim is curious. Justice Frankfurter characterized the complaint as alleging a deprivation of the right to vote in violation of the Fifteenth Amendment. See 364 U.S. at  341,  346. Regardless whether that description was accurate, see ante at  645, it seriously deflates the precedential value which the majority seeks to ascribe to Gomillion: as I see it, the case cannot stand for the proposition that the intentional creation of majority-minority districts, without more, gives rise to an equal protection challenge under the Fourteenth Amendment. But even recast as a Fourteenth Amendment case, Gomillion does not assist the majority, for its focus was on the alleged effect of the city's action, which was to exclude black voters from the municipality of Tuskegee. As the Court noted, the "inevitable effect of this redefinition of Tuskegee's boundaries" was "to deprive the Negro petitioners discriminatorily of the benefits of residence in Tuskegee." 364 U.S. at  341. Even Justice [509 U.S. 669] Whittaker's concurrence appears to be premised on the notion that black citizens were being "fenc[ed] out" of municipal benefits. Id. at  349. Subsequent decisions of this Court have similarly interpreted Gomillion as turning on the unconstitutional effect of the legislation. See Palmer v. Thompson, 403 U.S. 217,  225 (1971); United States v. O'Brien, 391 U.S. 367,  385 (1968). In Gomillion, in short, the group that formed the majority at the state level purportedly set out to manipulate city boundaries in order to remove members of the minority, thereby denying them valuable municipal services. No analogous purpose or effect has been alleged in this case.</w:t>
      </w:r>
    </w:p>
    <w:p w:rsidR="00A31137" w:rsidRPr="00A31137" w:rsidRDefault="00A31137" w:rsidP="00A31137">
      <w:r w:rsidRPr="00A31137">
        <w:t>1993, Shaw v. Reno, 509 U.S. 669</w:t>
      </w:r>
    </w:p>
    <w:p w:rsidR="00A31137" w:rsidRPr="00A31137" w:rsidRDefault="00A31137" w:rsidP="00A31137">
      <w:r w:rsidRPr="00A31137">
        <w:t>The only other case invoked by the majority is Wright v. Rockefeller, supra. Wright involved a challenge to a legislative plan that created four districts. In the Seventeenth, Nineteenth, and Twentieth Districts, Whites constituted respectively 94.9%, 71.5%, and 72.5% of the population. 86.3% of the population in the Eighteenth District was classified as nonwhite or Puerto Rican. See Wright v. Rockefeller, 211 F.Supp. 460, 472 (SDNY 1962) (Murphy, J., dissenting); 376 U.S. at 54. The plaintiffs alleged that the plan was drawn with the intent to segregate voters on the basis of race, in violation of the Fourteenth and Fifteenth Amendments. Id. at 53-54. The Court affirmed the District Court's dismissal of the complaint on the ground that plaintiffs had not met their burden of proving discriminatory intent. See id. at 55, 58. I fail to see how a decision based on a failure to establish discriminatory intent can support the inference that it is unnecessary to prove discriminatory effect.</w:t>
      </w:r>
    </w:p>
    <w:p w:rsidR="00A31137" w:rsidRPr="00A31137" w:rsidRDefault="00A31137" w:rsidP="00A31137">
      <w:r w:rsidRPr="00A31137">
        <w:t>1993, Shaw v. Reno, 509 U.S. 669</w:t>
      </w:r>
    </w:p>
    <w:p w:rsidR="00A31137" w:rsidRPr="00A31137" w:rsidRDefault="00A31137" w:rsidP="00A31137">
      <w:r w:rsidRPr="00A31137">
        <w:t>Wright is relevant only to the extent that it illustrates a proposition with which I have no problem: that a complaint stating that a plan has carved out districts on the basis of race can, under certain circumstances, state a claim under the Fourteenth Amendment. To that end, however, there must be an allegation of discriminatory purpose and effect, for the constitutionality of a race-conscious redistricting plan [509 U.S. 670] depends on these twin elements. In Wright, for example, the facts might have supported the contention that the districts were intended to, and did in fact, shield the Seventeenth District from any minority influence and "pack" black and Puerto Rican voters in the Eighteenth, thereby invidiously minimizing their voting strength. In other words, the purposeful creation of a majority-minority district could have discriminatory effect if it is achieved by means of "packing"—i.e., over-concentration of minority voters. In the present case, the facts could sustain no such allegation.</w:t>
      </w:r>
    </w:p>
    <w:p w:rsidR="00A31137" w:rsidRPr="00A31137" w:rsidRDefault="00A31137" w:rsidP="00A31137">
      <w:r w:rsidRPr="00A31137">
        <w:t>B</w:t>
      </w:r>
    </w:p>
    <w:p w:rsidR="00A31137" w:rsidRPr="00A31137" w:rsidRDefault="00A31137" w:rsidP="00A31137">
      <w:r w:rsidRPr="00A31137">
        <w:t>1993, Shaw v. Reno, 509 U.S. 670</w:t>
      </w:r>
    </w:p>
    <w:p w:rsidR="00A31137" w:rsidRPr="00A31137" w:rsidRDefault="00A31137" w:rsidP="00A31137">
      <w:r w:rsidRPr="00A31137">
        <w:t>Lacking support in any of the Court's precedents, the majority's novel type of claim also makes no sense. As I understand the theory that is put forth, a redistricting plan that uses race to "segregate" voters by drawing "uncouth" lines is harmful in a way that a plan that uses race to distribute voters differently is not, for the former "bears an uncomfortable resemblance to political apartheid." See ante at  647. The distinction is untenable.</w:t>
      </w:r>
    </w:p>
    <w:p w:rsidR="00A31137" w:rsidRPr="00A31137" w:rsidRDefault="00A31137" w:rsidP="00A31137">
      <w:r w:rsidRPr="00A31137">
        <w:t>1993, Shaw v. Reno, 509 U.S. 670</w:t>
      </w:r>
    </w:p>
    <w:p w:rsidR="00A31137" w:rsidRPr="00A31137" w:rsidRDefault="00A31137" w:rsidP="00A31137">
      <w:r w:rsidRPr="00A31137">
        <w:t>Racial gerrymanders come in various shades: at-large voting schemes, see, e.g., White v. Regester, 412 U.S. 755 (1973); the fragmentation of a minority group among various districts "so that it is a majority in none," Voinovich v. Quilter, 507 U.S. 146, 153 (1993), otherwise known as "cracking," cf. Connor v. Finch, 431 U.S. 407, 422 (1977); the "stacking" of "a large minority population concentration…with a larger white population," Parker, Racial Gerrymandering and Legislative Reapportionment, in Minority Vote Dilution 85, 92 (C. Davidson ed.1984); and, finally, the "concentration of [minority voters] into districts where they constitute an excessive majority," Thornburg v. Gingles, 478 U.S. 30, 46, n. 11 (1986), also called "packing," Voinovich, supra, at 153. In each instance, race is consciously utilized by the legislature for electoral purposes; in each instance, we have put the plaintiff challenging the district lines to the [509 U.S. 671] burden of demonstrating that the plan was meant to, and did in fact, exclude an identifiable racial group from participation in the political process.</w:t>
      </w:r>
    </w:p>
    <w:p w:rsidR="00A31137" w:rsidRPr="00A31137" w:rsidRDefault="00A31137" w:rsidP="00A31137">
      <w:r w:rsidRPr="00A31137">
        <w:t>1993, Shaw v. Reno, 509 U.S. 671</w:t>
      </w:r>
    </w:p>
    <w:p w:rsidR="00A31137" w:rsidRPr="00A31137" w:rsidRDefault="00A31137" w:rsidP="00A31137">
      <w:r w:rsidRPr="00A31137">
        <w:t>Not so, apparently, when the districting "segregates" by drawing odd-shaped lines. 7 In that case, we are told, such proof no longer is needed. Instead, it is the State that must rebut the allegation that race was taken into account, a fact that, together with the legislators' consideration of ethnic, religious, and other group characteristics, I had thought we practically took for granted, see supra at  660. Part of the explanation for the majority's approach has to do, perhaps, with the emotions stirred by words such as "segregation" and "political apartheid." But their loose and imprecise use by today's majority has, I fear, led it astray. See n. 7, supra. The consideration of race in "segregation" cases is no different than in other race-conscious districting; from the standpoint of the affected groups, moreover, the linedrawings all act in similar fashion. 8 A plan that "segregates" being functionally indistinguishable from any of the other varieties of gerrymandering, we should be consistent in what we require from a claimant: proof of discriminatory purpose and effect.</w:t>
      </w:r>
    </w:p>
    <w:p w:rsidR="00A31137" w:rsidRPr="00A31137" w:rsidRDefault="00A31137" w:rsidP="00A31137">
      <w:r w:rsidRPr="00A31137">
        <w:t>1993, Shaw v. Reno, 509 U.S. 671</w:t>
      </w:r>
    </w:p>
    <w:p w:rsidR="00A31137" w:rsidRPr="00A31137" w:rsidRDefault="00A31137" w:rsidP="00A31137">
      <w:r w:rsidRPr="00A31137">
        <w:t>The other part of the majority's explanation of its holding is related to its simultaneous discomfort and fascination with irregularly shaped districts. Lack of compactness or contiguity, like uncouth district lines, certainly is a helpful [509 U.S. 672] indicator that some form of gerrymandering (racial or other) might have taken place and that "something may be amiss." Karcher v. Daggett, 462 U.S. 725, 758 (1983) (STEVENS, J., concurring). Cf. Connor, supra, 431 U.S. at 425. Disregard for geographic divisions and compactness often goes hand in hand with partisan gerrymandering. See Karcher, supra, 462 U.S. at 776 (WHITE, J., dissenting); Wells v. Rockefeller, 394 U.S. 542, 554 (1969) (WHITE, J., dissenting).</w:t>
      </w:r>
    </w:p>
    <w:p w:rsidR="00A31137" w:rsidRPr="00A31137" w:rsidRDefault="00A31137" w:rsidP="00A31137">
      <w:r w:rsidRPr="00A31137">
        <w:t>1993, Shaw v. Reno, 509 U.S. 672</w:t>
      </w:r>
    </w:p>
    <w:p w:rsidR="00A31137" w:rsidRPr="00A31137" w:rsidRDefault="00A31137" w:rsidP="00A31137">
      <w:r w:rsidRPr="00A31137">
        <w:t>But while district irregularities may provide strong indicia of a potential gerrymander, they do no more than that. In particular, they have no bearing on whether the plan ultimately is found to violate the Constitution. Given two districts drawn on similar, race-based grounds, the one does not become more injurious than the other simply by virtue of being snake-like, at least so far as the Constitution is concerned and absent any evidence of differential racial impact. The majority's contrary view is perplexing in light of its concession that "compactness or attractiveness has never been held to constitute an independent federal constitutional requirement for state legislative districts." Gaffney, 412 U.S. at 752, n. 18; see ante at  647. It is shortsighted as well, for a regularly shaped district can just as effectively effectuate racially discriminatory gerrymandering as an odd-shaped one. 9 By focusing on looks, rather than impact, the majority</w:t>
      </w:r>
    </w:p>
    <w:p w:rsidR="00A31137" w:rsidRPr="00A31137" w:rsidRDefault="00A31137" w:rsidP="00A31137">
      <w:r w:rsidRPr="00A31137">
        <w:t>1993, Shaw v. Reno, 509 U.S. 672</w:t>
      </w:r>
    </w:p>
    <w:p w:rsidR="00A31137" w:rsidRPr="00A31137" w:rsidRDefault="00A31137" w:rsidP="00A31137">
      <w:r w:rsidRPr="00A31137">
        <w:t>immediately casts attention in the wrong direction—toward superficialities of shape and size, rather than toward the political realities of district composition.</w:t>
      </w:r>
    </w:p>
    <w:p w:rsidR="00A31137" w:rsidRPr="00A31137" w:rsidRDefault="00A31137" w:rsidP="00A31137">
      <w:r w:rsidRPr="00A31137">
        <w:t>1993, Shaw v. Reno, 509 U.S. 672</w:t>
      </w:r>
    </w:p>
    <w:p w:rsidR="00A31137" w:rsidRPr="00A31137" w:rsidRDefault="00A31137" w:rsidP="00A31137">
      <w:r w:rsidRPr="00A31137">
        <w:t xml:space="preserve">R. Dixon, Democratic Representation: Reapportionment in Law and Politics 459 (1968). [509 U.S. 673] </w:t>
      </w:r>
    </w:p>
    <w:p w:rsidR="00A31137" w:rsidRPr="00A31137" w:rsidRDefault="00A31137" w:rsidP="00A31137">
      <w:r w:rsidRPr="00A31137">
        <w:t>1993, Shaw v. Reno, 509 U.S. 673</w:t>
      </w:r>
    </w:p>
    <w:p w:rsidR="00A31137" w:rsidRPr="00A31137" w:rsidRDefault="00A31137" w:rsidP="00A31137">
      <w:r w:rsidRPr="00A31137">
        <w:t>Limited by its own terms to cases involving unusually shaped districts, the Court's approach nonetheless will unnecessarily hinder to some extent a State's voluntary effort to ensure a modicum of minority representation. This will be true in areas where the minority population is geographically dispersed. It also will be true where the minority population is not scattered, but, for reasons unrelated to race—for example incumbency protection—the State would rather not create the majority-minority district in its most "obvious" location. 10 When, as is the case here, the creation of [509 U.S. 674] a majority-minority district does not unfairly minimize the voting power of any other group, the Constitution does not justify, much less mandate, such obstruction. We said as much in Gaffney:</w:t>
      </w:r>
    </w:p>
    <w:p w:rsidR="00A31137" w:rsidRPr="00A31137" w:rsidRDefault="00A31137" w:rsidP="00A31137">
      <w:r w:rsidRPr="00A31137">
        <w:t>1993, Shaw v. Reno, 509 U.S. 674</w:t>
      </w:r>
    </w:p>
    <w:p w:rsidR="00A31137" w:rsidRPr="00A31137" w:rsidRDefault="00A31137" w:rsidP="00A31137">
      <w:r w:rsidRPr="00A31137">
        <w:t>[C]ourts have [no] constitutional warrant to invalidate a state plan, otherwise within tolerable population limits, because it undertakes, not to minimize or eliminate the political strength of any group or party, but to recognize it and, through districting, provide a rough sort of proportional representation in the legislative halls of the State.</w:t>
      </w:r>
    </w:p>
    <w:p w:rsidR="00A31137" w:rsidRPr="00A31137" w:rsidRDefault="00A31137" w:rsidP="00A31137">
      <w:r w:rsidRPr="00A31137">
        <w:t>1993, Shaw v. Reno, 509 U.S. 674</w:t>
      </w:r>
    </w:p>
    <w:p w:rsidR="00A31137" w:rsidRPr="00A31137" w:rsidRDefault="00A31137" w:rsidP="00A31137">
      <w:r w:rsidRPr="00A31137">
        <w:t>412 U.S. at 754.</w:t>
      </w:r>
    </w:p>
    <w:p w:rsidR="00A31137" w:rsidRPr="00A31137" w:rsidRDefault="00A31137" w:rsidP="00A31137">
      <w:r w:rsidRPr="00A31137">
        <w:t>III</w:t>
      </w:r>
    </w:p>
    <w:p w:rsidR="00A31137" w:rsidRPr="00A31137" w:rsidRDefault="00A31137" w:rsidP="00A31137">
      <w:r w:rsidRPr="00A31137">
        <w:t>1993, Shaw v. Reno, 509 U.S. 674</w:t>
      </w:r>
    </w:p>
    <w:p w:rsidR="00A31137" w:rsidRPr="00A31137" w:rsidRDefault="00A31137" w:rsidP="00A31137">
      <w:r w:rsidRPr="00A31137">
        <w:t>Although I disagree with the holding that appellants' claim is cognizable, the Court's discussion of the level of scrutiny it requires warrants a few comments. I have no doubt that a State's compliance with the Voting Rights Act clearly constitutes a compelling interest. Cf. UJO, 430 U.S. at 162-165 (opinion of WHITE, J.); id. at 175-179 (Brennan, J., concurring in part); id. at  180 (Stewart, J., concurring in judgment). Here, the Attorney General objected to the State's plan on the ground that it failed to draw a second majority-minority district for what appeared to be pretextual reasons. Rather than challenge this conclusion, North Carolina chose to draw the second district. As UJO held, a State is entitled to take such action. See also Wygant v. Jackson Bd. of Education, 476 U.S. 267,  291 (O'CONNOR, J., concurring in part and concurring in judgment).</w:t>
      </w:r>
    </w:p>
    <w:p w:rsidR="00A31137" w:rsidRPr="00A31137" w:rsidRDefault="00A31137" w:rsidP="00A31137">
      <w:r w:rsidRPr="00A31137">
        <w:t>1993, Shaw v. Reno, 509 U.S. 674</w:t>
      </w:r>
    </w:p>
    <w:p w:rsidR="00A31137" w:rsidRPr="00A31137" w:rsidRDefault="00A31137" w:rsidP="00A31137">
      <w:r w:rsidRPr="00A31137">
        <w:t>The Court, while seemingly agreeing with this position, warns that the State's redistricting effort must be "narrowly tailored" to further its interest in complying with the law. Ante at  658. It is evident to me, however, that what North Carolina did was precisely tailored to meet the objection of the Attorney General to its prior plan. Hence, I see no need [509 U.S. 675] for a remand at all, even accepting the majority's basic approach to this case.</w:t>
      </w:r>
    </w:p>
    <w:p w:rsidR="00A31137" w:rsidRPr="00A31137" w:rsidRDefault="00A31137" w:rsidP="00A31137">
      <w:r w:rsidRPr="00A31137">
        <w:t>1993, Shaw v. Reno, 509 U.S. 675</w:t>
      </w:r>
    </w:p>
    <w:p w:rsidR="00A31137" w:rsidRPr="00A31137" w:rsidRDefault="00A31137" w:rsidP="00A31137">
      <w:r w:rsidRPr="00A31137">
        <w:t>Furthermore, how it intends to manage this standard, I do not know. Is it more "narrowly tailored" to create an irregular majority-minority district, as opposed to one that is compact but harms other State interests such as incumbency protection or the representation of rural interests? Of the following two options—creation of two minority influence districts or of a single majority-minority district—is one "narrowly tailored" and the other not? Once the Attorney General has found that a proposed redistricting change violates § 5's nonretrogression principle in that it will abridge a racial minority's right to vote, does "narrow tailoring" mean that the most the State can do is preserve the status quo? Or can it maintain that change, while attempting to enhance minority voting power in some other manner? This small sample only begins to scratch the surface of the problems raised by the majority's test. But it suffices to illustrate the unworkability of a standard that is divorced from any measure of constitutional harm. In that, State efforts to remedy minority vote dilution are wholly unlike what typically has been labeled "affirmative action." To the extent that no other racial group is injured, remedying a Voting Rights Act violation does not involve preferential treatment. Compare Wygant, supra, at  295 (WHITE, J., concurring in judgment). It involves, instead, an attempt to equalize treatment, and to provide minority voters with an effective voice in the political process. The Equal Protection Clause of the Constitution, surely, does not stand in the way.</w:t>
      </w:r>
    </w:p>
    <w:p w:rsidR="00A31137" w:rsidRPr="00A31137" w:rsidRDefault="00A31137" w:rsidP="00A31137">
      <w:r w:rsidRPr="00A31137">
        <w:t>IV</w:t>
      </w:r>
    </w:p>
    <w:p w:rsidR="00A31137" w:rsidRPr="00A31137" w:rsidRDefault="00A31137" w:rsidP="00A31137">
      <w:r w:rsidRPr="00A31137">
        <w:t>1993, Shaw v. Reno, 509 U.S. 675</w:t>
      </w:r>
    </w:p>
    <w:p w:rsidR="00A31137" w:rsidRPr="00A31137" w:rsidRDefault="00A31137" w:rsidP="00A31137">
      <w:r w:rsidRPr="00A31137">
        <w:t xml:space="preserve">Since I do not agree that petitioners alleged an Equal Protection violation, and because the Court of Appeals faithfully followed the Court's prior cases, I dissent, and would affirm the judgment below. [509 U.S. 676] </w:t>
      </w:r>
    </w:p>
    <w:p w:rsidR="00A31137" w:rsidRPr="00A31137" w:rsidRDefault="00A31137" w:rsidP="00A31137">
      <w:r w:rsidRPr="00A31137">
        <w:t>BLACKMUN, J., dissenting</w:t>
      </w:r>
    </w:p>
    <w:p w:rsidR="00A31137" w:rsidRPr="00A31137" w:rsidRDefault="00A31137" w:rsidP="00A31137">
      <w:r w:rsidRPr="00A31137">
        <w:t>1993, Shaw v. Reno, 509 U.S. 676</w:t>
      </w:r>
    </w:p>
    <w:p w:rsidR="00A31137" w:rsidRPr="00A31137" w:rsidRDefault="00A31137" w:rsidP="00A31137">
      <w:r w:rsidRPr="00A31137">
        <w:t>JUSTICE BLACKMUN, dissenting.</w:t>
      </w:r>
    </w:p>
    <w:p w:rsidR="00A31137" w:rsidRPr="00A31137" w:rsidRDefault="00A31137" w:rsidP="00A31137">
      <w:r w:rsidRPr="00A31137">
        <w:t>1993, Shaw v. Reno, 509 U.S. 676</w:t>
      </w:r>
    </w:p>
    <w:p w:rsidR="00A31137" w:rsidRPr="00A31137" w:rsidRDefault="00A31137" w:rsidP="00A31137">
      <w:r w:rsidRPr="00A31137">
        <w:t>I join JUSTICE WHITE's dissenting opinion. I did not join Part IV of his opinion in United Jewish Organizations v. Carey, 430 U.S. 144 (1977), because I felt that its "additional argument," id. at  165, was not necessary to decide that case. I nevertheless agree that the conscious use of race in redistricting does not violate the Equal Protection Clause unless the effect of the redistricting plan is to deny a particular group equal access to the political process or to minimize its voting strength unduly. See, e.g., Chapman v. Meier, 420 U.S. 1, 17 (1975); White v. Regester, 412 U.S. 755, 765-766 (1973). It is particularly ironic that the case in which today's majority chooses to abandon settled law and to recognize for the first time this "analytically distinct" constitutional claim, ante at  652, is a challenge by white voters to the plan under which North Carolina has sent black representatives to Congress for the first time since Reconstruction. I dissent.</w:t>
      </w:r>
    </w:p>
    <w:p w:rsidR="00A31137" w:rsidRPr="00A31137" w:rsidRDefault="00A31137" w:rsidP="00A31137">
      <w:r w:rsidRPr="00A31137">
        <w:t>STEVENS, J., dissenting</w:t>
      </w:r>
    </w:p>
    <w:p w:rsidR="00A31137" w:rsidRPr="00A31137" w:rsidRDefault="00A31137" w:rsidP="00A31137">
      <w:r w:rsidRPr="00A31137">
        <w:t>1993, Shaw v. Reno, 509 U.S. 676</w:t>
      </w:r>
    </w:p>
    <w:p w:rsidR="00A31137" w:rsidRPr="00A31137" w:rsidRDefault="00A31137" w:rsidP="00A31137">
      <w:r w:rsidRPr="00A31137">
        <w:t>JUSTICE STEVENS, dissenting.</w:t>
      </w:r>
    </w:p>
    <w:p w:rsidR="00A31137" w:rsidRPr="00A31137" w:rsidRDefault="00A31137" w:rsidP="00A31137">
      <w:r w:rsidRPr="00A31137">
        <w:t>1993, Shaw v. Reno, 509 U.S. 676</w:t>
      </w:r>
    </w:p>
    <w:p w:rsidR="00A31137" w:rsidRPr="00A31137" w:rsidRDefault="00A31137" w:rsidP="00A31137">
      <w:r w:rsidRPr="00A31137">
        <w:t>For the reasons stated by JUSTICE WHITE, the decision of the District Court should be affirmed. I add these comments to emphasize that the two critical facts in this case are undisputed: first, the shape of District 12 is so bizarre that it must have been drawn for the purpose of either advantaging or disadvantaging a cognizable group of voters; and, second, regardless of that shape, it was drawn for the purpose of facilitating the election of a second black representative from North Carolina.</w:t>
      </w:r>
    </w:p>
    <w:p w:rsidR="00A31137" w:rsidRPr="00A31137" w:rsidRDefault="00A31137" w:rsidP="00A31137">
      <w:r w:rsidRPr="00A31137">
        <w:t>1993, Shaw v. Reno, 509 U.S. 676</w:t>
      </w:r>
    </w:p>
    <w:p w:rsidR="00A31137" w:rsidRPr="00A31137" w:rsidRDefault="00A31137" w:rsidP="00A31137">
      <w:r w:rsidRPr="00A31137">
        <w:t>These unarguable facts, which the Court devotes most of its opinion to proving, give rise to three constitutional questions: Does the Constitution impose a requirement of contiguity or compactness on how the States may draw their electoral districts? Does the Equal Protection Clause prevent a State from drawing district boundaries for the purpose of [509 U.S. 677] facilitating the election of a member of an identifiable group of voters? And, finally, if the answer to the second question is generally "No," should it be different when the favored group is defined by race? Since I have already written at length about these questions, 1 my negative answer to each can be briefly explained.</w:t>
      </w:r>
    </w:p>
    <w:p w:rsidR="00A31137" w:rsidRPr="00A31137" w:rsidRDefault="00A31137" w:rsidP="00A31137">
      <w:r w:rsidRPr="00A31137">
        <w:t>1993, Shaw v. Reno, 509 U.S. 677</w:t>
      </w:r>
    </w:p>
    <w:p w:rsidR="00A31137" w:rsidRPr="00A31137" w:rsidRDefault="00A31137" w:rsidP="00A31137">
      <w:r w:rsidRPr="00A31137">
        <w:t>The first question is easy. There is no independent constitutional requirement of compactness or contiguity, and the Court's opinion (despite its many references to the shape of District 12, see ante at 635-636,  642, 644-648) does not suggest otherwise. The existence of bizarre and uncouth district boundaries is powerful evidence of an ulterior purpose behind the shaping of those boundaries—usually a purpose to advantage the political party in control of the districting process. Such evidence will always be useful in cases that lack other evidence of invidious intent. In this case, however, we know what the legislators' purpose was: the North Carolina Legislature drew District 12 to include a majority of African-American voters. See ante at 634-635. Evidence of the district's shape is therefore convincing, but it is also cumulative, and, for our purposes, irrelevant.</w:t>
      </w:r>
    </w:p>
    <w:p w:rsidR="00A31137" w:rsidRPr="00A31137" w:rsidRDefault="00A31137" w:rsidP="00A31137">
      <w:r w:rsidRPr="00A31137">
        <w:t>1993, Shaw v. Reno, 509 U.S. 677</w:t>
      </w:r>
    </w:p>
    <w:p w:rsidR="00A31137" w:rsidRPr="00A31137" w:rsidRDefault="00A31137" w:rsidP="00A31137">
      <w:r w:rsidRPr="00A31137">
        <w:t xml:space="preserve">As for the second question, I believe that the Equal Protection Clause is violated when the State creates the kind of uncouth district boundaries seen in Karcher v. Daggett, 462 U.S. 725 (1983), Gomillion v. Lightfoot, 364 U.S. 339 (1960), and this case, for the sole purpose of making it more difficult for members of a minority group to win an election. 2 The [509 U.S. 678] duty to govern impartially is abused when a group with power over the electoral process defines electoral boundaries solely to enhance its own political strength at the expense of any weaker group. That duty, however, is not violated when the majority acts to facilitate the election of a member of a group that lacks such power because it remains underrepresented in the state legislature—whether that group is defined by political affiliation, by common economic interests, or by religious, ethnic, or racial characteristics. The difference between constitutional and unconstitutional gerrymanders has nothing to do with whether they are based on assumptions about the groups they affect, but whether their purpose is to enhance the power of the group in control of the districting process at the expense of any minority group, and thereby to strengthen the unequal distribution of electoral power. When an assumption that people in particular a minority group (whether they are defined by the political party, religion, ethnic group, or race to which they belong) will vote in a particular way is used to benefit that group, no constitutional violation occurs. Politicians have always relied on assumptions that people in particular groups are likely to vote in a particular way when they draw new district lines, and I cannot believe that anything in today's opinion will stop them from doing so in the future. 3 [509 U.S. 679] </w:t>
      </w:r>
    </w:p>
    <w:p w:rsidR="00A31137" w:rsidRPr="00A31137" w:rsidRDefault="00A31137" w:rsidP="00A31137">
      <w:r w:rsidRPr="00A31137">
        <w:t>1993, Shaw v. Reno, 509 U.S. 679</w:t>
      </w:r>
    </w:p>
    <w:p w:rsidR="00A31137" w:rsidRPr="00A31137" w:rsidRDefault="00A31137" w:rsidP="00A31137">
      <w:r w:rsidRPr="00A31137">
        <w:t>Finally, we must ask whether otherwise permissible redistricting to benefit an underrepresented minority group becomes impermissible when the minority group is defined by its race. The Court today answers this question in the affirmative, and its answer is wrong. If it is permissible to draw boundaries to provide adequate representation for rural voters, for union members, for Hasidic Jews, for Polish Americans, or for Republicans, it necessarily follows that it is permissible to do the same thing for members of the very minority group whose history in the United States gave birth to the Equal Protection Clause. See, e.g., ante at 639-641. 4 A contrary conclusion could only be described as perverse.</w:t>
      </w:r>
    </w:p>
    <w:p w:rsidR="00A31137" w:rsidRPr="00A31137" w:rsidRDefault="00A31137" w:rsidP="00A31137">
      <w:r w:rsidRPr="00A31137">
        <w:t>1993, Shaw v. Reno, 509 U.S. 679</w:t>
      </w:r>
    </w:p>
    <w:p w:rsidR="00A31137" w:rsidRPr="00A31137" w:rsidRDefault="00A31137" w:rsidP="00A31137">
      <w:r w:rsidRPr="00A31137">
        <w:t>Accordingly, I respectfully dissent.</w:t>
      </w:r>
    </w:p>
    <w:p w:rsidR="00A31137" w:rsidRPr="00A31137" w:rsidRDefault="00A31137" w:rsidP="00A31137">
      <w:r w:rsidRPr="00A31137">
        <w:t>SOUTER, J., dissenting</w:t>
      </w:r>
    </w:p>
    <w:p w:rsidR="00A31137" w:rsidRPr="00A31137" w:rsidRDefault="00A31137" w:rsidP="00A31137">
      <w:r w:rsidRPr="00A31137">
        <w:t>1993, Shaw v. Reno, 509 U.S. 679</w:t>
      </w:r>
    </w:p>
    <w:p w:rsidR="00A31137" w:rsidRPr="00A31137" w:rsidRDefault="00A31137" w:rsidP="00A31137">
      <w:r w:rsidRPr="00A31137">
        <w:t>JUSTICE SOUTER, dissenting.</w:t>
      </w:r>
    </w:p>
    <w:p w:rsidR="00A31137" w:rsidRPr="00A31137" w:rsidRDefault="00A31137" w:rsidP="00A31137">
      <w:r w:rsidRPr="00A31137">
        <w:t>1993, Shaw v. Reno, 509 U.S. 679</w:t>
      </w:r>
    </w:p>
    <w:p w:rsidR="00A31137" w:rsidRPr="00A31137" w:rsidRDefault="00A31137" w:rsidP="00A31137">
      <w:r w:rsidRPr="00A31137">
        <w:t>Today, the Court recognizes a new cause of action under which a State's electoral redistricting plan that includes a configuration "so bizarre," ante at  644, that it</w:t>
      </w:r>
    </w:p>
    <w:p w:rsidR="00A31137" w:rsidRPr="00A31137" w:rsidRDefault="00A31137" w:rsidP="00A31137">
      <w:r w:rsidRPr="00A31137">
        <w:t>1993, Shaw v. Reno, 509 U.S. 679</w:t>
      </w:r>
    </w:p>
    <w:p w:rsidR="00A31137" w:rsidRPr="00A31137" w:rsidRDefault="00A31137" w:rsidP="00A31137">
      <w:r w:rsidRPr="00A31137">
        <w:t>rationally cannot be understood as anything other than an effort to separate voters into different districts on the basis of race [without] sufficient justification,</w:t>
      </w:r>
    </w:p>
    <w:p w:rsidR="00A31137" w:rsidRPr="00A31137" w:rsidRDefault="00A31137" w:rsidP="00A31137">
      <w:r w:rsidRPr="00A31137">
        <w:t>1993, Shaw v. Reno, 509 U.S. 679</w:t>
      </w:r>
    </w:p>
    <w:p w:rsidR="00A31137" w:rsidRPr="00A31137" w:rsidRDefault="00A31137" w:rsidP="00A31137">
      <w:r w:rsidRPr="00A31137">
        <w:t>ante at  649, will be subjected to strict scrutiny. In my view, there is no justification for the [509 U.S. 680] Court's determination to depart from our prior decisions by carving out this narrow group of cases for strict scrutiny in place of the review customarily applied in cases dealing with discrimination in electoral districting on the basis of race.</w:t>
      </w:r>
    </w:p>
    <w:p w:rsidR="00A31137" w:rsidRPr="00A31137" w:rsidRDefault="00A31137" w:rsidP="00A31137">
      <w:r w:rsidRPr="00A31137">
        <w:t>I</w:t>
      </w:r>
    </w:p>
    <w:p w:rsidR="00A31137" w:rsidRPr="00A31137" w:rsidRDefault="00A31137" w:rsidP="00A31137">
      <w:r w:rsidRPr="00A31137">
        <w:t>1993, Shaw v. Reno, 509 U.S. 680</w:t>
      </w:r>
    </w:p>
    <w:p w:rsidR="00A31137" w:rsidRPr="00A31137" w:rsidRDefault="00A31137" w:rsidP="00A31137">
      <w:r w:rsidRPr="00A31137">
        <w:t>Until today, the Court has analyzed equal protection claims involving race in electoral districting differently from equal protection claims involving other forms of governmental conduct, and before turning to the different regimes of analysis, it will be useful to set out the relevant respects in which such districting differs from the characteristic circumstances in which a State might otherwise consciously consider race. Unlike other contexts in which we have addressed the State's conscious use of race, see, e.g., Richmond v. J.A. Croson Co., 488 U.S. 469 (1989) (city contracting); Wygant v. Jackson Bd. of Ed., 476 U.S. 267 (1986) (teacher layoffs), electoral districting calls for decisions that nearly always require some consideration of race for legitimate reasons where there is a racially mixed population. As long as members of racial groups have the commonality of interest implicit in our ability to talk about concepts like "minority voting strength," and "dilution of minority votes," cf. Thornburg v. Gingles, 478 U.S. 30, 46-51 (1986), and as long as racial bloc voting takes place, 1 legislators will have to take race into account in order to avoid dilution of minority voting strength in the districting plans they adopt. 2 One need look [509 U.S. 681] no further than the Voting Rights Act to understand that this may be required, and we have held that race may constitutionally be taken into account in order to comply with that Act. United Jewish Organizations of Williamsburgh, Inc. v. Carey, 430 U.S. 144, 161-162 (1977) (UJO) (plurality opinion of WHITE, J., joined by Brennan, BLACKMUN, and STEVENS, JJ.); id. at  180, and n. (Stewart, J., joined by Powell, J., concurring in judgment). 3</w:t>
      </w:r>
    </w:p>
    <w:p w:rsidR="00A31137" w:rsidRPr="00A31137" w:rsidRDefault="00A31137" w:rsidP="00A31137">
      <w:r w:rsidRPr="00A31137">
        <w:t>1993, Shaw v. Reno, 509 U.S. 681</w:t>
      </w:r>
    </w:p>
    <w:p w:rsidR="00A31137" w:rsidRPr="00A31137" w:rsidRDefault="00A31137" w:rsidP="00A31137">
      <w:r w:rsidRPr="00A31137">
        <w:t>A second distinction between districting and most other governmental decisions in which race has figured is that those other decisions using racial criteria characteristically occur in circumstances in which the use of race to the advantage of one person is necessarily at the obvious expense of a member of a different race. Thus, for example, awarding government contracts on a racial basis excludes certain firms from competition on racial grounds. See Richmond v. J.A. Croson Co., supra, 480 U.S. at  493; see also Fullilove v. Klutznick, 448 U.S. 448,  484 (1980) (opinion of Burger, C.J.). And when race is used to supplant seniority in layoffs, someone is laid off who would not be otherwise. Wygant v. Jackson Bd. of Ed., supra, 476 U.S. at 282-283 (plurality opinion of Powell, J.). The same principle pertains in nondistricting aspects of voting law, where race-based discrimination places the disfavored voters at the disadvantage of exclusion from the franchise without any alternative benefit. See, e.g., Gomillion v. Lightfoot, 364 U.S. 339,  341 (1960) (voters alleged to have been excluded from voting in the municipality).</w:t>
      </w:r>
    </w:p>
    <w:p w:rsidR="00A31137" w:rsidRPr="00A31137" w:rsidRDefault="00A31137" w:rsidP="00A31137">
      <w:r w:rsidRPr="00A31137">
        <w:t>1993, Shaw v. Reno, 509 U.S. 681</w:t>
      </w:r>
    </w:p>
    <w:p w:rsidR="00A31137" w:rsidRPr="00A31137" w:rsidRDefault="00A31137" w:rsidP="00A31137">
      <w:r w:rsidRPr="00A31137">
        <w:t>In districting, by contrast, the mere placement of an individual in one district instead of another denies no one a right [509 U.S. 682] or benefit provided to others. 4 All citizens may register, vote, and be represented. In whatever district, the individual voter has a right to vote in each election, and the election will result in the voter's representation. As we have held, one's constitutional rights are not violated merely because the candidate one supports loses the election or because a group (including a racial group) to which one belongs winds up with a representative from outside that group. See Whitcomb v. Chavis, 403 U.S. 124, 153-155 (1971). It is true, of course, that one's vote may be more or less effective depending on the interests of the other individuals who are in one's district, and our cases recognize the reality that members of the same race often have shared interests. "Dilution" thus refers to the effects of districting decisions not on an individual's political power viewed in isolation, but on the political power of a group. See UJO, supra, 430 U.S. at  165 (plurality opinion). This is the reason that the placement of given voters in a given district, even on the basis of race, does not, without more, diminish the effectiveness of the individual as a voter.</w:t>
      </w:r>
    </w:p>
    <w:p w:rsidR="00A31137" w:rsidRPr="00A31137" w:rsidRDefault="00A31137" w:rsidP="00A31137">
      <w:r w:rsidRPr="00A31137">
        <w:t>II</w:t>
      </w:r>
    </w:p>
    <w:p w:rsidR="00A31137" w:rsidRPr="00A31137" w:rsidRDefault="00A31137" w:rsidP="00A31137">
      <w:r w:rsidRPr="00A31137">
        <w:t>1993, Shaw v. Reno, 509 U.S. 682</w:t>
      </w:r>
    </w:p>
    <w:p w:rsidR="00A31137" w:rsidRPr="00A31137" w:rsidRDefault="00A31137" w:rsidP="00A31137">
      <w:r w:rsidRPr="00A31137">
        <w:t>Our different approaches to equal protection in electoral districting and nondistricting cases reflect these differences. There is a characteristic coincidence of disadvantageous effect and illegitimate purpose associated with the State's use of race in those situations in which it has immediately triggered [509 U.S. 683] at least heightened scrutiny (which every Member of the Court to address the issue has agreed must be applied even to race-based classifications designed to serve some permissible state interest). 5 Presumably because the legitimate consideration of race in a districting decision is usually inevitable under the Voting Rights Act when communities are racially mixed, however, and because, without more, it does not result in diminished political effectiveness for anyone, we have not taken the approach of applying the usual standard of such heightened "scrutiny" to race-based districting decisions. To be sure, as the Court says, it would be logically possible to apply strict scrutiny to these cases (and to uphold those uses of race that are permissible), see ante at 653-657. But just because there frequently will be a constitutionally permissible use of race in electoral districting, as exemplified by the consideration of race to comply with the Voting Rights Act (quite apart from the consideration of race to remedy a violation of the Act or the Constitution), [509 U.S. 684] it has seemed more appropriate for the Court to identify impermissible uses by describing particular effects sufficiently serious to justify recognition under the Fourteenth Amendment. Under our cases, there is in general a requirement that, in order to obtain relief under the Fourteenth Amendment, the purpose and effect of the districting must be to devalue the effectiveness of a voter compared to what, as a group member, he would otherwise be able to enjoy. See UJO, 430 U.S. at 165-166 (1977) (plurality opinion of WHITE, J., joined by STEVENS and REHNQUIST, JJ.); id. at 179-180 (Stewart, J., joined by Powell, JJ., concurring in judgment). JUSTICE WHITE describes the formulations we have used and the common categories of dilutive practice in his dissenting opinion. See ante at 661-663; ante at 669-670. 6</w:t>
      </w:r>
    </w:p>
    <w:p w:rsidR="00A31137" w:rsidRPr="00A31137" w:rsidRDefault="00A31137" w:rsidP="00A31137">
      <w:r w:rsidRPr="00A31137">
        <w:t>1993, Shaw v. Reno, 509 U.S. 684</w:t>
      </w:r>
    </w:p>
    <w:p w:rsidR="00A31137" w:rsidRPr="00A31137" w:rsidRDefault="00A31137" w:rsidP="00A31137">
      <w:r w:rsidRPr="00A31137">
        <w:t>A consequence of this categorical approach is the absence of any need for further searching "scrutiny" once it has been shown that a given districting decision has a purpose and effect falling within one of those categories. If a cognizable harm like dilution or the abridgment of the right to participate in the electoral process is shown, the districting plan violates the Fourteenth Amendment. If not, it does not. Under this approach, in the absence of an allegation of such cognizable harm, there is no need for further scrutiny because a gerrymandering claim cannot be proven without the element of harm. Nor if dilution is proven is there any need for further constitutional scrutiny; there has never been a suggestion that such use of race could be justified under any type of scrutiny, since the dilution of the right to vote can not be said to serve any legitimate governmental purpose.</w:t>
      </w:r>
    </w:p>
    <w:p w:rsidR="00A31137" w:rsidRPr="00A31137" w:rsidRDefault="00A31137" w:rsidP="00A31137">
      <w:r w:rsidRPr="00A31137">
        <w:t>1993, Shaw v. Reno, 509 U.S. 684</w:t>
      </w:r>
    </w:p>
    <w:p w:rsidR="00A31137" w:rsidRPr="00A31137" w:rsidRDefault="00A31137" w:rsidP="00A31137">
      <w:r w:rsidRPr="00A31137">
        <w:t>There is thus no theoretical inconsistency in having two distinct approaches to equal protection analysis, one for [509 U.S. 685] cases of electoral districting and one for most other types of state governmental decisions. Nor, because of the distinctions between the two categories, is there any risk that Fourteenth Amendment districting law as such will be taken to imply anything for purposes of general Fourteenth Amendment scrutiny about "benign" racial discrimination, or about group entitlement as distinct from individual protection, or about the appropriateness of strict or other heightened scrutiny. 7</w:t>
      </w:r>
    </w:p>
    <w:p w:rsidR="00A31137" w:rsidRPr="00A31137" w:rsidRDefault="00A31137" w:rsidP="00A31137">
      <w:r w:rsidRPr="00A31137">
        <w:t>III</w:t>
      </w:r>
    </w:p>
    <w:p w:rsidR="00A31137" w:rsidRPr="00A31137" w:rsidRDefault="00A31137" w:rsidP="00A31137">
      <w:r w:rsidRPr="00A31137">
        <w:t>1993, Shaw v. Reno, 509 U.S. 685</w:t>
      </w:r>
    </w:p>
    <w:p w:rsidR="00A31137" w:rsidRPr="00A31137" w:rsidRDefault="00A31137" w:rsidP="00A31137">
      <w:r w:rsidRPr="00A31137">
        <w:t>The Court appears to accept this, and it does not purport to disturb the law of vote dilution in any way. See ante at  652 (acknowledging that "UJO set forth a standard under which white voters can establish unconstitutional vote dilution"). Instead, the Court creates a new "analytically distinct," ibid., cause of action, the principal element of which is that a districting plan be "so bizarre on its face," ante at  644, or "irrational on its face," ante at  652, or "extremely irregular on its face," ante at  642, that it "rationally cannot be understood as anything other than an effort to segregate citizens into separate voting districts on the basis of race without sufficient justification." Ante at  652. Pleading such an element, the Court holds, suffices without a further allegation of harm, to state a claim upon which relief can be granted under the Fourteenth Amendment. See ante at  649.</w:t>
      </w:r>
    </w:p>
    <w:p w:rsidR="00A31137" w:rsidRPr="00A31137" w:rsidRDefault="00A31137" w:rsidP="00A31137">
      <w:r w:rsidRPr="00A31137">
        <w:t>1993, Shaw v. Reno, 509 U.S. 685</w:t>
      </w:r>
    </w:p>
    <w:p w:rsidR="00A31137" w:rsidRPr="00A31137" w:rsidRDefault="00A31137" w:rsidP="00A31137">
      <w:r w:rsidRPr="00A31137">
        <w:t>It may be that the terms for pleading this cause of action will be met so rarely that this case will wind up an aberration. [509 U.S. 686] The shape of the district at issue in this case is indeed so bizarre that few other examples are ever likely to carry the unequivocal implication of impermissible use of race that the Court finds here. It may therefore be that few electoral districting cases are ever likely to employ the strict scrutiny the Court holds to be applicable on remand if appellants' allegations are "not contradicted." Ante at 653; see also ante at  658. 8</w:t>
      </w:r>
    </w:p>
    <w:p w:rsidR="00A31137" w:rsidRPr="00A31137" w:rsidRDefault="00A31137" w:rsidP="00A31137">
      <w:r w:rsidRPr="00A31137">
        <w:t>1993, Shaw v. Reno, 509 U.S. 686</w:t>
      </w:r>
    </w:p>
    <w:p w:rsidR="00A31137" w:rsidRPr="00A31137" w:rsidRDefault="00A31137" w:rsidP="00A31137">
      <w:r w:rsidRPr="00A31137">
        <w:t>Nonetheless, in those cases where this cause of action is sufficiently pleaded, the State will have to justify its decision to consider race as being required by a compelling state interest, and its use of race as narrowly tailored to that interest. Meanwhile, in other districting cases, specific consequential harm will still need to be pleaded and proven, in the absence of which the use of race may be invalidated only if it is shown to serve no legitimate state purpose. Cf. Bolling v. Sharpe, 347 U.S. 497,  500 (1954).</w:t>
      </w:r>
    </w:p>
    <w:p w:rsidR="00A31137" w:rsidRPr="00A31137" w:rsidRDefault="00A31137" w:rsidP="00A31137">
      <w:r w:rsidRPr="00A31137">
        <w:t>1993, Shaw v. Reno, 509 U.S. 686</w:t>
      </w:r>
    </w:p>
    <w:p w:rsidR="00A31137" w:rsidRPr="00A31137" w:rsidRDefault="00A31137" w:rsidP="00A31137">
      <w:r w:rsidRPr="00A31137">
        <w:t>The Court offers no adequate justification for treating the narrow category of bizarrely shaped district claims differently from other districting claims. 9 The only justification I [509 U.S. 687] can imagine would be the preservation of "sound districting principles," UJO, supra, 430 U.S. at 168, such as compactness and contiguity. But as JUSTICE WHITE points out, see ante at  672 (dissenting opinion), and as the Court acknowledges, see ante at  647, we have held that such principles are not constitutionally required, with the consequence that their absence cannot justify the distinct constitutional regime put in place by the Court today. Since there is no justification for the departure here from the principles that continue to govern electoral districting cases generally in accordance with our prior decisions, I would not respond to the seeming egregiousness of the redistricting now before us by untethering the concept of racial gerrymander in such a case from the concept of harm exemplified by dilution. In the absence of an allegation of such harm, I would affirm the judgment of the District Court. I respectfully dissent.</w:t>
      </w:r>
    </w:p>
    <w:p w:rsidR="00A31137" w:rsidRPr="00A31137" w:rsidRDefault="00A31137" w:rsidP="00A31137">
      <w:r w:rsidRPr="00A31137">
        <w:t>Footnotes</w:t>
      </w:r>
    </w:p>
    <w:p w:rsidR="00A31137" w:rsidRPr="00A31137" w:rsidRDefault="00A31137" w:rsidP="00A31137">
      <w:r w:rsidRPr="00A31137">
        <w:t>WHITE, J., dissenting (Footnotes)</w:t>
      </w:r>
    </w:p>
    <w:p w:rsidR="00A31137" w:rsidRPr="00A31137" w:rsidRDefault="00A31137" w:rsidP="00A31137">
      <w:r w:rsidRPr="00A31137">
        <w:t>1993, Shaw v. Reno, 509 U.S. 687</w:t>
      </w:r>
    </w:p>
    <w:p w:rsidR="00A31137" w:rsidRPr="00A31137" w:rsidRDefault="00A31137" w:rsidP="00A31137">
      <w:r w:rsidRPr="00A31137">
        <w:t>1. It has been argued that the required showing of discriminatory effect should be lessened once a plaintiff successfully demonstrates intentional discrimination. See Garza v. County of Los Angeles, 918 F.2d 763, 771 (CA9 1990). Although I would leave this question for another day, I would note that, even then, courts have insisted on "some showing of injury…to assure that the district court can impose a meaningful remedy." Ibid.</w:t>
      </w:r>
    </w:p>
    <w:p w:rsidR="00A31137" w:rsidRPr="00A31137" w:rsidRDefault="00A31137" w:rsidP="00A31137">
      <w:r w:rsidRPr="00A31137">
        <w:t>1993, Shaw v. Reno, 509 U.S. 687</w:t>
      </w:r>
    </w:p>
    <w:p w:rsidR="00A31137" w:rsidRPr="00A31137" w:rsidRDefault="00A31137" w:rsidP="00A31137">
      <w:r w:rsidRPr="00A31137">
        <w:t>2. It should be noted that § 2 of the Voting Rights Act forbids any State from imposing specified devices or procedures that result in a denial or abridgement of the right to vote on account of race or color. Section 2 also provides that a violation of that prohibition</w:t>
      </w:r>
    </w:p>
    <w:p w:rsidR="00A31137" w:rsidRPr="00A31137" w:rsidRDefault="00A31137" w:rsidP="00A31137">
      <w:r w:rsidRPr="00A31137">
        <w:t>1993, Shaw v. Reno, 509 U.S. 687</w:t>
      </w:r>
    </w:p>
    <w:p w:rsidR="00A31137" w:rsidRPr="00A31137" w:rsidRDefault="00A31137" w:rsidP="00A31137">
      <w:r w:rsidRPr="00A31137">
        <w:t>is established if, based on the totality of the circumstances, it is shown that the political processes leading to nomination or election…are not equally open to participation by members of a [protected] class…in that its members have less opportunity than other members of the electorate to participate in the political process and to elect representatives of their choice.</w:t>
      </w:r>
    </w:p>
    <w:p w:rsidR="00A31137" w:rsidRPr="00A31137" w:rsidRDefault="00A31137" w:rsidP="00A31137">
      <w:r w:rsidRPr="00A31137">
        <w:t>1993, Shaw v. Reno, 509 U.S. 687</w:t>
      </w:r>
    </w:p>
    <w:p w:rsidR="00A31137" w:rsidRPr="00A31137" w:rsidRDefault="00A31137" w:rsidP="00A31137">
      <w:r w:rsidRPr="00A31137">
        <w:t>42 U.S.C. § 1973(b).</w:t>
      </w:r>
    </w:p>
    <w:p w:rsidR="00A31137" w:rsidRPr="00A31137" w:rsidRDefault="00A31137" w:rsidP="00A31137">
      <w:r w:rsidRPr="00A31137">
        <w:t>1993, Shaw v. Reno, 509 U.S. 687</w:t>
      </w:r>
    </w:p>
    <w:p w:rsidR="00A31137" w:rsidRPr="00A31137" w:rsidRDefault="00A31137" w:rsidP="00A31137">
      <w:r w:rsidRPr="00A31137">
        <w:t>3. Although Davis involved political groups, the principles were expressly drawn from the Court's racial gerrymandering cases. See 478 U.S. at  131, n. 12 (plurality opinion).</w:t>
      </w:r>
    </w:p>
    <w:p w:rsidR="00A31137" w:rsidRPr="00A31137" w:rsidRDefault="00A31137" w:rsidP="00A31137">
      <w:r w:rsidRPr="00A31137">
        <w:t>1993, Shaw v. Reno, 509 U.S. 687</w:t>
      </w:r>
    </w:p>
    <w:p w:rsidR="00A31137" w:rsidRPr="00A31137" w:rsidRDefault="00A31137" w:rsidP="00A31137">
      <w:r w:rsidRPr="00A31137">
        <w:t>4. Although disagreeing with the Court's holding in Davis that claims of political gerrymandering are justiciable, see id. at  144 (O'CONNOR, J., concurring in judgment), the author of today's opinion expressed views on racial gerrymandering quite similar to my own:</w:t>
      </w:r>
    </w:p>
    <w:p w:rsidR="00A31137" w:rsidRPr="00A31137" w:rsidRDefault="00A31137" w:rsidP="00A31137">
      <w:r w:rsidRPr="00A31137">
        <w:t>1993, Shaw v. Reno, 509 U.S. 687</w:t>
      </w:r>
    </w:p>
    <w:p w:rsidR="00A31137" w:rsidRPr="00A31137" w:rsidRDefault="00A31137" w:rsidP="00A31137">
      <w:r w:rsidRPr="00A31137">
        <w:t>[W]here a racial minority group is characterized by "the traditional indicia of suspectness" and is vulnerable to exclusion from the political process…, individual voters who belong to that group enjoy some measure of protection against intentional dilution of their group voting strength by means of racial gerrymandering…. Even so, the individual's right is infringed only if the racial minority can prove that it has "essentially been shut out of the political process."</w:t>
      </w:r>
    </w:p>
    <w:p w:rsidR="00A31137" w:rsidRPr="00A31137" w:rsidRDefault="00A31137" w:rsidP="00A31137">
      <w:r w:rsidRPr="00A31137">
        <w:t>1993, Shaw v. Reno, 509 U.S. 687</w:t>
      </w:r>
    </w:p>
    <w:p w:rsidR="00A31137" w:rsidRPr="00A31137" w:rsidRDefault="00A31137" w:rsidP="00A31137">
      <w:r w:rsidRPr="00A31137">
        <w:t>Id. at 151-152 (emphasis added). As explained below, that position cannot be squared with the one taken by the majority in this case.</w:t>
      </w:r>
    </w:p>
    <w:p w:rsidR="00A31137" w:rsidRPr="00A31137" w:rsidRDefault="00A31137" w:rsidP="00A31137">
      <w:r w:rsidRPr="00A31137">
        <w:t>1993, Shaw v. Reno, 509 U.S. 687</w:t>
      </w:r>
    </w:p>
    <w:p w:rsidR="00A31137" w:rsidRPr="00A31137" w:rsidRDefault="00A31137" w:rsidP="00A31137">
      <w:r w:rsidRPr="00A31137">
        <w:t>5. In Thornburg v. Gingles, 478 U.S. 30, 38 (1986), we noted the district court's findings that</w:t>
      </w:r>
    </w:p>
    <w:p w:rsidR="00A31137" w:rsidRPr="00A31137" w:rsidRDefault="00A31137" w:rsidP="00A31137">
      <w:r w:rsidRPr="00A31137">
        <w:t>1993, Shaw v. Reno, 509 U.S. 687</w:t>
      </w:r>
    </w:p>
    <w:p w:rsidR="00A31137" w:rsidRPr="00A31137" w:rsidRDefault="00A31137" w:rsidP="00A31137">
      <w:r w:rsidRPr="00A31137">
        <w:t>North Carolina had officially discriminated against its black citizens with respect to their exercise of the voting franchise from approximately 1900 to 1970 by employing a poll tax [and] a literacy test.</w:t>
      </w:r>
    </w:p>
    <w:p w:rsidR="00A31137" w:rsidRPr="00A31137" w:rsidRDefault="00A31137" w:rsidP="00A31137">
      <w:r w:rsidRPr="00A31137">
        <w:t>1993, Shaw v. Reno, 509 U.S. 687</w:t>
      </w:r>
    </w:p>
    <w:p w:rsidR="00A31137" w:rsidRPr="00A31137" w:rsidRDefault="00A31137" w:rsidP="00A31137">
      <w:r w:rsidRPr="00A31137">
        <w:t>6. This is not to say that a group that has been afforded roughly proportional representation never can make out a claim of unconstitutional discrimination. Such districting might have both the intent and effect of "packing" members of the group so as to deprive them of any influence in other districts. Again, however, the equal protection inquiry should look at the group's overall influence over, and treatment by, elected representatives and the political process as a whole.</w:t>
      </w:r>
    </w:p>
    <w:p w:rsidR="00A31137" w:rsidRPr="00A31137" w:rsidRDefault="00A31137" w:rsidP="00A31137">
      <w:r w:rsidRPr="00A31137">
        <w:t>1993, Shaw v. Reno, 509 U.S. 687</w:t>
      </w:r>
    </w:p>
    <w:p w:rsidR="00A31137" w:rsidRPr="00A31137" w:rsidRDefault="00A31137" w:rsidP="00A31137">
      <w:r w:rsidRPr="00A31137">
        <w:t>7. I borrow the term "segregate" from the majority, but, given its historical connotation, believe that its use is ill-advised. Nor is it a particularly accurate description of what has occurred. The majority-minority district that is at the center of the controversy is, according to the State, 54.71% African-American. Brief for State Appellees 5, n. 6. Even if racial distribution was a factor, no racial group can be said to have been "segregated"—i.e., "set apart" or "isolate[d]." Webster's Collegiate Dictionary 1063 (9th ed.1983).</w:t>
      </w:r>
    </w:p>
    <w:p w:rsidR="00A31137" w:rsidRPr="00A31137" w:rsidRDefault="00A31137" w:rsidP="00A31137">
      <w:r w:rsidRPr="00A31137">
        <w:t>1993, Shaw v. Reno, 509 U.S. 687</w:t>
      </w:r>
    </w:p>
    <w:p w:rsidR="00A31137" w:rsidRPr="00A31137" w:rsidRDefault="00A31137" w:rsidP="00A31137">
      <w:r w:rsidRPr="00A31137">
        <w:t>8. The black plaintiffs in Gomillion v. Lightfoot, 364 U.S. 339 (1960), I am confident, would have suffered equally had whites in Tuskegee sought to maintain their control by annexing predominantly white suburbs, rather than splitting the municipality in two.</w:t>
      </w:r>
    </w:p>
    <w:p w:rsidR="00A31137" w:rsidRPr="00A31137" w:rsidRDefault="00A31137" w:rsidP="00A31137">
      <w:r w:rsidRPr="00A31137">
        <w:t>1993, Shaw v. Reno, 509 U.S. 687</w:t>
      </w:r>
    </w:p>
    <w:p w:rsidR="00A31137" w:rsidRPr="00A31137" w:rsidRDefault="00A31137" w:rsidP="00A31137">
      <w:r w:rsidRPr="00A31137">
        <w:t>9. As has been remarked,</w:t>
      </w:r>
    </w:p>
    <w:p w:rsidR="00A31137" w:rsidRPr="00A31137" w:rsidRDefault="00A31137" w:rsidP="00A31137">
      <w:r w:rsidRPr="00A31137">
        <w:t>1993, Shaw v. Reno, 509 U.S. 687</w:t>
      </w:r>
    </w:p>
    <w:p w:rsidR="00A31137" w:rsidRPr="00A31137" w:rsidRDefault="00A31137" w:rsidP="00A31137">
      <w:r w:rsidRPr="00A31137">
        <w:t>[d]ragons, bacon strips, dumbbells and other strained shapes are not always reliable signs that partisan (or racial or ethnic or factional) interests are being served, while the most regularly drawn district may turn out to have been skillfully constructed with an intent to aid one party.</w:t>
      </w:r>
    </w:p>
    <w:p w:rsidR="00A31137" w:rsidRPr="00A31137" w:rsidRDefault="00A31137" w:rsidP="00A31137">
      <w:r w:rsidRPr="00A31137">
        <w:t>1993, Shaw v. Reno, 509 U.S. 687</w:t>
      </w:r>
    </w:p>
    <w:p w:rsidR="00A31137" w:rsidRPr="00A31137" w:rsidRDefault="00A31137" w:rsidP="00A31137">
      <w:r w:rsidRPr="00A31137">
        <w:t>Sickels, Dragons, Bacon Strips, and Dumbbells—Who's Afraid of Reapportionment, 75 Yale L.J. 1300 (1966).</w:t>
      </w:r>
    </w:p>
    <w:p w:rsidR="00A31137" w:rsidRPr="00A31137" w:rsidRDefault="00A31137" w:rsidP="00A31137">
      <w:r w:rsidRPr="00A31137">
        <w:t>1993, Shaw v. Reno, 509 U.S. 687</w:t>
      </w:r>
    </w:p>
    <w:p w:rsidR="00A31137" w:rsidRPr="00A31137" w:rsidRDefault="00A31137" w:rsidP="00A31137">
      <w:r w:rsidRPr="00A31137">
        <w:t>10. This appears to be what has occurred in this instance. In providing the reasons for the objection, the Attorney General noted that, "[f]or the south-central to southeast area, there were several plans drawn providing for a second majority-minority congressional district," and that such a district would have been no more irregular than others in the states plan. See App. to Brief for Federal Appellees 10a. North Carolina's decision to create a majority-minority district can be explained as an attempt to meet this objection. Its decision not to create the more compact southern majority-minority district that was suggested, on the other hand, was more likely a result of partisan considerations. Indeed, in a suit brought prior to this one, different plaintiffs charged that District 12 was "grossly contorted," and had</w:t>
      </w:r>
    </w:p>
    <w:p w:rsidR="00A31137" w:rsidRPr="00A31137" w:rsidRDefault="00A31137" w:rsidP="00A31137">
      <w:r w:rsidRPr="00A31137">
        <w:t>1993, Shaw v. Reno, 509 U.S. 687</w:t>
      </w:r>
    </w:p>
    <w:p w:rsidR="00A31137" w:rsidRPr="00A31137" w:rsidRDefault="00A31137" w:rsidP="00A31137">
      <w:r w:rsidRPr="00A31137">
        <w:t>no logical explanation other than incumbency protection and the enhancement of Democratic partisan interests…. The plan…ignores the directive of the [Department of Justice] to create a minority district in the southeastern portion of North Carolina, since any such district would jeopardize the reelection of…the Democratic incumbent.</w:t>
      </w:r>
    </w:p>
    <w:p w:rsidR="00A31137" w:rsidRPr="00A31137" w:rsidRDefault="00A31137" w:rsidP="00A31137">
      <w:r w:rsidRPr="00A31137">
        <w:t>1993, Shaw v. Reno, 509 U.S. 687</w:t>
      </w:r>
    </w:p>
    <w:p w:rsidR="00A31137" w:rsidRPr="00A31137" w:rsidRDefault="00A31137" w:rsidP="00A31137">
      <w:r w:rsidRPr="00A31137">
        <w:t>App. to Jurisdictional Statement 43a (Complaint in Pope v. Blue, No. 3:92CV71-P (WDNC)). With respect to this incident, one writer has observed that</w:t>
      </w:r>
    </w:p>
    <w:p w:rsidR="00A31137" w:rsidRPr="00A31137" w:rsidRDefault="00A31137" w:rsidP="00A31137">
      <w:r w:rsidRPr="00A31137">
        <w:t>1993, Shaw v. Reno, 509 U.S. 687</w:t>
      </w:r>
    </w:p>
    <w:p w:rsidR="00A31137" w:rsidRPr="00A31137" w:rsidRDefault="00A31137" w:rsidP="00A31137">
      <w:r w:rsidRPr="00A31137">
        <w:t>understanding why the configurations are shaped as they are requires us to know at least as much about the interests of incumbent Democratic politicians as it does knowledge of the Voting Rights Act.</w:t>
      </w:r>
    </w:p>
    <w:p w:rsidR="00A31137" w:rsidRPr="00A31137" w:rsidRDefault="00A31137" w:rsidP="00A31137">
      <w:r w:rsidRPr="00A31137">
        <w:t>1993, Shaw v. Reno, 509 U.S. 687</w:t>
      </w:r>
    </w:p>
    <w:p w:rsidR="00A31137" w:rsidRPr="00A31137" w:rsidRDefault="00A31137" w:rsidP="00A31137">
      <w:r w:rsidRPr="00A31137">
        <w:t>Grofman, Would Vince Lombardi Have Been Right If He Had Said: "When It Comes to Redistricting, Race Isn't Everything, It's the Only Thing"?, 14 Cardozo L.Rev. 1237, 1258 (1993). The District Court in Pope dismissed appellants' claim, reasoning in part that "plaintiffs do not allege, nor can they, that the state's redistricting plan has caused them to be 'shut out of the political process.'" Pope v. Blue, 809 F.Supp. 392, 397 (WDNC 1992). We summarily affirmed that decision. 506 U.S. 801 (1992).</w:t>
      </w:r>
    </w:p>
    <w:p w:rsidR="00A31137" w:rsidRPr="00A31137" w:rsidRDefault="00A31137" w:rsidP="00A31137">
      <w:r w:rsidRPr="00A31137">
        <w:t>STEVENS, J., dissenting (Footnotes)</w:t>
      </w:r>
    </w:p>
    <w:p w:rsidR="00A31137" w:rsidRPr="00A31137" w:rsidRDefault="00A31137" w:rsidP="00A31137">
      <w:r w:rsidRPr="00A31137">
        <w:t>1993, Shaw v. Reno, 509 U.S. 687</w:t>
      </w:r>
    </w:p>
    <w:p w:rsidR="00A31137" w:rsidRPr="00A31137" w:rsidRDefault="00A31137" w:rsidP="00A31137">
      <w:r w:rsidRPr="00A31137">
        <w:t>1. See Cousins v. City Council of Chicago, 466 F.2d 830, 848-852 (CA7) (Stevens, J., dissenting), cert. denied, 409 U.S. 893 (1972); Mobile v. Bolden, 446 U.S. 55, 83-94 (1980) (STEVENS, J., concurring in judgment); Karcher v. Dagget, 462 U.S. 725, 744, 765 (1983) (STEVENS, J., concurring); see also Davis v. Bandemer, 478 U.S. 109, 161-185 (1986) (Powell, J., joined by STEVENS, J., concurring in part and dissenting in part).</w:t>
      </w:r>
    </w:p>
    <w:p w:rsidR="00A31137" w:rsidRPr="00A31137" w:rsidRDefault="00A31137" w:rsidP="00A31137">
      <w:r w:rsidRPr="00A31137">
        <w:t>1993, Shaw v. Reno, 509 U.S. 687</w:t>
      </w:r>
    </w:p>
    <w:p w:rsidR="00A31137" w:rsidRPr="00A31137" w:rsidRDefault="00A31137" w:rsidP="00A31137">
      <w:r w:rsidRPr="00A31137">
        <w:t>2. See Karcher, 462 U.S. at 748 (STEVENS, J., concurring) ("If they serve no purpose other than to favor one segment—whether racial, ethnic, religious, economic, or political—that may occupy a position of strength at a particular point in time, or to disadvantage a politically weak segment of the community, they violate the constitutional guarantee of equal protection"); Davis v. Bandemer, 478 U.S. at 178-183, and nn. 21-24 (Powell, J., joined by STEVENS, J., concurring in part and dissenting in part) (describing "grotesque gerrymandering" and "unusual shapes" drawn solely to deprive Democratic voters of electoral power).</w:t>
      </w:r>
    </w:p>
    <w:p w:rsidR="00A31137" w:rsidRPr="00A31137" w:rsidRDefault="00A31137" w:rsidP="00A31137">
      <w:r w:rsidRPr="00A31137">
        <w:t>1993, Shaw v. Reno, 509 U.S. 687</w:t>
      </w:r>
    </w:p>
    <w:p w:rsidR="00A31137" w:rsidRPr="00A31137" w:rsidRDefault="00A31137" w:rsidP="00A31137">
      <w:r w:rsidRPr="00A31137">
        <w:t>3. The majority does not acknowledge that we require such a showing from plaintiffs who bring a vote dilution claim under § 2 of the Voting Rights Act. Under the three-part test established by Thornburg v. Gingles, 478 U.S. 30, 50-51 (1986), a minority group must show that it could constitute the majority in a single-member district, "that it is politically cohesive," and "that the white majority votes sufficiently as a bloc to enable it…usually to defeat the minority's preferred candidate." At least the latter two of these three conditions depend on proving that what the Court today brands as "impermissible racial stereotypes," ante at  647, are true. Because Gingles involved North Carolina, which the Court admits has earlier established the existence of "pervasive racial bloc voting", ante at  656, its citizens and legislators—as well as those from other states—will no doubt be confused by the Court's requirement of evidence in one type of case that the Constitution now prevents reliance on in another. The Court offers them no explanation of this paradox.</w:t>
      </w:r>
    </w:p>
    <w:p w:rsidR="00A31137" w:rsidRPr="00A31137" w:rsidRDefault="00A31137" w:rsidP="00A31137">
      <w:r w:rsidRPr="00A31137">
        <w:t>1993, Shaw v. Reno, 509 U.S. 687</w:t>
      </w:r>
    </w:p>
    <w:p w:rsidR="00A31137" w:rsidRPr="00A31137" w:rsidRDefault="00A31137" w:rsidP="00A31137">
      <w:r w:rsidRPr="00A31137">
        <w:t>4. The Court's opinion suggests that African-Americans may now be the only group to which it is unconstitutional to offer specific benefits from redistricting. Not very long ago, of course, it was argued that minority groups defined by race were the only groups the Equal Protection Clause protected in this context. See Mobile v. Bolden, 446 U.S. 55, 86-90, and nn. 6-10 (1980) (STEVENS, J., concurring in judgment).</w:t>
      </w:r>
    </w:p>
    <w:p w:rsidR="00A31137" w:rsidRPr="00A31137" w:rsidRDefault="00A31137" w:rsidP="00A31137">
      <w:r w:rsidRPr="00A31137">
        <w:t>SOUTER, J., dissenting (Footnotes)</w:t>
      </w:r>
    </w:p>
    <w:p w:rsidR="00A31137" w:rsidRPr="00A31137" w:rsidRDefault="00A31137" w:rsidP="00A31137">
      <w:r w:rsidRPr="00A31137">
        <w:t>1993, Shaw v. Reno, 509 U.S. 687</w:t>
      </w:r>
    </w:p>
    <w:p w:rsidR="00A31137" w:rsidRPr="00A31137" w:rsidRDefault="00A31137" w:rsidP="00A31137">
      <w:r w:rsidRPr="00A31137">
        <w:t>1.</w:t>
      </w:r>
    </w:p>
    <w:p w:rsidR="00A31137" w:rsidRPr="00A31137" w:rsidRDefault="00A31137" w:rsidP="00A31137">
      <w:r w:rsidRPr="00A31137">
        <w:t>1993, Shaw v. Reno, 509 U.S. 687</w:t>
      </w:r>
    </w:p>
    <w:p w:rsidR="00A31137" w:rsidRPr="00A31137" w:rsidRDefault="00A31137" w:rsidP="00A31137">
      <w:r w:rsidRPr="00A31137">
        <w:t>Bloc racial voting is an unfortunate phenomenon, but we are repeatedly faced with the findings of knowledgeable district courts that it is a fact of life. Where it exists, most often the result is that neither white nor black can be elected from a district in which his race is in the minority.</w:t>
      </w:r>
    </w:p>
    <w:p w:rsidR="00A31137" w:rsidRPr="00A31137" w:rsidRDefault="00A31137" w:rsidP="00A31137">
      <w:r w:rsidRPr="00A31137">
        <w:t>1993, Shaw v. Reno, 509 U.S. 687</w:t>
      </w:r>
    </w:p>
    <w:p w:rsidR="00A31137" w:rsidRPr="00A31137" w:rsidRDefault="00A31137" w:rsidP="00A31137">
      <w:r w:rsidRPr="00A31137">
        <w:t>Beer v. United States, 425 U.S. 130, 144 (1976) (WHITE, J., dissenting).</w:t>
      </w:r>
    </w:p>
    <w:p w:rsidR="00A31137" w:rsidRPr="00A31137" w:rsidRDefault="00A31137" w:rsidP="00A31137">
      <w:r w:rsidRPr="00A31137">
        <w:t>1993, Shaw v. Reno, 509 U.S. 687</w:t>
      </w:r>
    </w:p>
    <w:p w:rsidR="00A31137" w:rsidRPr="00A31137" w:rsidRDefault="00A31137" w:rsidP="00A31137">
      <w:r w:rsidRPr="00A31137">
        <w:t>2. Recognition of actual commonality of interest and racially-polarized bloc voting cannot be equated with the "'invocation of race stereotypes'" described by the Court, ante at  648 (quoting Edmonson v. Leesville Concrete Co., 500 U.S. 614, 630-631 (1991)), and forbidden by our case law.</w:t>
      </w:r>
    </w:p>
    <w:p w:rsidR="00A31137" w:rsidRPr="00A31137" w:rsidRDefault="00A31137" w:rsidP="00A31137">
      <w:r w:rsidRPr="00A31137">
        <w:t>1993, Shaw v. Reno, 509 U.S. 687</w:t>
      </w:r>
    </w:p>
    <w:p w:rsidR="00A31137" w:rsidRPr="00A31137" w:rsidRDefault="00A31137" w:rsidP="00A31137">
      <w:r w:rsidRPr="00A31137">
        <w:t>3. Section 5 of the Voting Rights Act requires a covered jurisdiction to demonstrate either to the Attorney General or to the District Court that each new districting plan</w:t>
      </w:r>
    </w:p>
    <w:p w:rsidR="00A31137" w:rsidRPr="00A31137" w:rsidRDefault="00A31137" w:rsidP="00A31137">
      <w:r w:rsidRPr="00A31137">
        <w:t>1993, Shaw v. Reno, 509 U.S. 687</w:t>
      </w:r>
    </w:p>
    <w:p w:rsidR="00A31137" w:rsidRPr="00A31137" w:rsidRDefault="00A31137" w:rsidP="00A31137">
      <w:r w:rsidRPr="00A31137">
        <w:t>does not have the purpose and will not have the effect of denying or abridging the right to vote on account of race[,] color, or [membership in a language minority.]</w:t>
      </w:r>
    </w:p>
    <w:p w:rsidR="00A31137" w:rsidRPr="00A31137" w:rsidRDefault="00A31137" w:rsidP="00A31137">
      <w:r w:rsidRPr="00A31137">
        <w:t>1993, Shaw v. Reno, 509 U.S. 687</w:t>
      </w:r>
    </w:p>
    <w:p w:rsidR="00A31137" w:rsidRPr="00A31137" w:rsidRDefault="00A31137" w:rsidP="00A31137">
      <w:r w:rsidRPr="00A31137">
        <w:t>42 U.S.C. § 1973c; see also 42 U.S.C. § 1973b(f)(2). Section 2 of the Voting Rights Act forbids districting plans that will have a discriminatory effect on minority groups. 42 U.S.C. § 1973.</w:t>
      </w:r>
    </w:p>
    <w:p w:rsidR="00A31137" w:rsidRPr="00A31137" w:rsidRDefault="00A31137" w:rsidP="00A31137">
      <w:r w:rsidRPr="00A31137">
        <w:t>1993, Shaw v. Reno, 509 U.S. 687</w:t>
      </w:r>
    </w:p>
    <w:p w:rsidR="00A31137" w:rsidRPr="00A31137" w:rsidRDefault="00A31137" w:rsidP="00A31137">
      <w:r w:rsidRPr="00A31137">
        <w:t>4. The majority's use of "segregation" to describe the effect of districting here may suggest that it carries effects comparable to school segregation making it subject to like scrutiny. But a principal consequence of school segregation was inequality in educational opportunity provided, whereas use of race (or any other group characteristic) in districting does not without more deny equality of political participation. Brown v. Board of Education, 347 U.S. 483,  495 (1954). And while Bolling v. Sharpe, 347 U.S. 497,  500 (1954), held that requiring segregation in public education served no legitimate public purpose, consideration of race may be constitutionally appropriate in electoral districting decisions in racially mixed political units. See supra at 680-681.</w:t>
      </w:r>
    </w:p>
    <w:p w:rsidR="00A31137" w:rsidRPr="00A31137" w:rsidRDefault="00A31137" w:rsidP="00A31137">
      <w:r w:rsidRPr="00A31137">
        <w:t>1993, Shaw v. Reno, 509 U.S. 687</w:t>
      </w:r>
    </w:p>
    <w:p w:rsidR="00A31137" w:rsidRPr="00A31137" w:rsidRDefault="00A31137" w:rsidP="00A31137">
      <w:r w:rsidRPr="00A31137">
        <w:t>5. See Richmond v. J. A. Croson Co., 488 U.S. 469, 493-495 (1989) (plurality opinion of O'CONNOR, J. joined by REHNQUIST, C.J., and WHITE and KENNEDY, JJ.) (referring variously to "strict scrutiny," "the standard of review employed in Wygant," and "heightened scrutiny"); id. at  520 (SCALIA, J., concurring in judgment) ("strict scrutiny"); id. at  535 (Marshall, J., dissenting) (classifications "'must serve important governmental objectives and must be substantially related to achievement of those objectives'") (quoting University of California Regents v. Bakke, 438 U.S. 265,  359 (1978) (joint opinion of Brennan, WHITE, Marshall, and BLACKMUN, JJ.)); id. at 514-516 (STEVENS, J., concurring in part and concurring in judgment) (undertaking close examination of the characteristics of the advantaged and disadvantaged racial groups said to justify the disparate treatment although declining to articulate different standards of review); see also Wygant v. Jackson Bd. of Ed., 476 U.S. 267, 279-280 (1986) (plurality opinion of Powell, J.) (equating various articulations of standards of review "more stringent" than "'reasonableness'" with "strict scrutiny"). Of course the Court has not held that the disadvantaging effect of these uses of race can never be justified by a sufficiently close relationship to a sufficiently strong state interest. See, e.g., Croson, supra, 488 U.S. at  509 (plurality opinion).</w:t>
      </w:r>
    </w:p>
    <w:p w:rsidR="00A31137" w:rsidRPr="00A31137" w:rsidRDefault="00A31137" w:rsidP="00A31137">
      <w:r w:rsidRPr="00A31137">
        <w:t>1993, Shaw v. Reno, 509 U.S. 687</w:t>
      </w:r>
    </w:p>
    <w:p w:rsidR="00A31137" w:rsidRPr="00A31137" w:rsidRDefault="00A31137" w:rsidP="00A31137">
      <w:r w:rsidRPr="00A31137">
        <w:t>6. In this regard, I agree with JUSTICE WHITE's assessment of the difficulty the white plaintiffs would have here in showing that their opportunity to participate equally in North Carolina's electoral process has been unconstitutionally diminished. See ante at 666-667, and n. 6 (WHITE, J., dissenting).</w:t>
      </w:r>
    </w:p>
    <w:p w:rsidR="00A31137" w:rsidRPr="00A31137" w:rsidRDefault="00A31137" w:rsidP="00A31137">
      <w:r w:rsidRPr="00A31137">
        <w:t>1993, Shaw v. Reno, 509 U.S. 687</w:t>
      </w:r>
    </w:p>
    <w:p w:rsidR="00A31137" w:rsidRPr="00A31137" w:rsidRDefault="00A31137" w:rsidP="00A31137">
      <w:r w:rsidRPr="00A31137">
        <w:t>7. The Court accuses me of treating the use of race in electoral redistricting as a "benign" form of discrimination. Ante at  653. What I am saying is that, in electoral districting, there frequently are permissible uses of race, such as its use to comply with the Voting Rights Act, as well as impermissible ones. In determining whether a use of race is permissible in cases in which there is a bizarrely shaped district, we can readily look to its effects, just as we would in evaluating any other electoral districting scheme.</w:t>
      </w:r>
    </w:p>
    <w:p w:rsidR="00A31137" w:rsidRPr="00A31137" w:rsidRDefault="00A31137" w:rsidP="00A31137">
      <w:r w:rsidRPr="00A31137">
        <w:t>1993, Shaw v. Reno, 509 U.S. 687</w:t>
      </w:r>
    </w:p>
    <w:p w:rsidR="00A31137" w:rsidRPr="00A31137" w:rsidRDefault="00A31137" w:rsidP="00A31137">
      <w:r w:rsidRPr="00A31137">
        <w:t>8. While the Court</w:t>
      </w:r>
    </w:p>
    <w:p w:rsidR="00A31137" w:rsidRPr="00A31137" w:rsidRDefault="00A31137" w:rsidP="00A31137">
      <w:r w:rsidRPr="00A31137">
        <w:t>1993, Shaw v. Reno, 509 U.S. 687</w:t>
      </w:r>
    </w:p>
    <w:p w:rsidR="00A31137" w:rsidRPr="00A31137" w:rsidRDefault="00A31137" w:rsidP="00A31137">
      <w:r w:rsidRPr="00A31137">
        <w:t>express[es] no view as to whether "the intentional creation of majority-minority districts without more" always gives rise to an equal protection claim,</w:t>
      </w:r>
    </w:p>
    <w:p w:rsidR="00A31137" w:rsidRPr="00A31137" w:rsidRDefault="00A31137" w:rsidP="00A31137">
      <w:r w:rsidRPr="00A31137">
        <w:t>1993, Shaw v. Reno, 509 U.S. 687</w:t>
      </w:r>
    </w:p>
    <w:p w:rsidR="00A31137" w:rsidRPr="00A31137" w:rsidRDefault="00A31137" w:rsidP="00A31137">
      <w:r w:rsidRPr="00A31137">
        <w:t>ante at  649 (citing ante at  668 (WHITE, J., dissenting)), it repeatedly emphasizes that there is some reason to believe that a configuration devised with reference to traditional districting principles would present a case falling outside the cause of action recognized today. See ante at  642,  649,  652, 657-658.</w:t>
      </w:r>
    </w:p>
    <w:p w:rsidR="00A31137" w:rsidRPr="00A31137" w:rsidRDefault="00A31137" w:rsidP="00A31137">
      <w:r w:rsidRPr="00A31137">
        <w:t>1993, Shaw v. Reno, 509 U.S. 687</w:t>
      </w:r>
    </w:p>
    <w:p w:rsidR="00A31137" w:rsidRPr="00A31137" w:rsidRDefault="00A31137" w:rsidP="00A31137">
      <w:r w:rsidRPr="00A31137">
        <w:t>9. The Court says its new cause of action is justified by what I understand to be some ingredients of stigmatic harm, see ante at 647-648, and by a "threa[t]…to our system of representative democracy," ante at  650, both caused by the mere adoption of a districting plan with the elements I have described in the text, supra, at  685. To begin with, the complaint nowhere alleges any type of stigmatic harm. See App. to Pet. for Cert. 68a-100a (Complaint and Motion for Preliminary Injunction and For Temporary Restraining Order). Putting that to one side, it seems utterly implausible to me to presume, as the Court does, that North Carolina's creation of this strangely shaped majority-minority district "generates" within the white plaintiffs here anything comparable to "a feeling of inferiority as to their status in the community that may affect their hearts and minds in a way unlikely ever to be undone." Brown v. Board of Education, 347 U.S. 483,  494 (1954). As for representative democracy, I have difficulty seeing how it is threatened (indeed why it is not, rather, enhanced) by districts that are not even alleged to dilute anyone's vote.</w:t>
      </w:r>
    </w:p>
    <w:p w:rsidR="00A31137" w:rsidRPr="00A31137" w:rsidRDefault="00A31137" w:rsidP="00A31137">
      <w:r w:rsidRPr="00A31137">
        <w:t>Capital Square Rev. &amp; Advisory Bd. v. Pinette, 1993</w:t>
      </w:r>
    </w:p>
    <w:p w:rsidR="00A31137" w:rsidRPr="00A31137" w:rsidRDefault="00A31137" w:rsidP="00A31137">
      <w:r w:rsidRPr="00A31137">
        <w:t>Title:</w:t>
      </w:r>
      <w:r w:rsidRPr="00A31137">
        <w:tab/>
        <w:t>Capital Square Rev. &amp; Advisory Bd. v. Pinette</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December 23, 1993</w:t>
      </w:r>
    </w:p>
    <w:p w:rsidR="00A31137" w:rsidRPr="00A31137" w:rsidRDefault="00A31137" w:rsidP="00A31137">
      <w:r w:rsidRPr="00A31137">
        <w:t>Source:</w:t>
      </w:r>
      <w:r w:rsidRPr="00A31137">
        <w:tab/>
        <w:t>510 U.S. 1307</w:t>
      </w:r>
    </w:p>
    <w:p w:rsidR="00A31137" w:rsidRPr="00A31137" w:rsidRDefault="00A31137" w:rsidP="00A31137">
      <w:r w:rsidRPr="00A31137">
        <w:t>This case was decided December 23, 1993.</w:t>
      </w:r>
    </w:p>
    <w:p w:rsidR="00A31137" w:rsidRPr="00A31137" w:rsidRDefault="00A31137" w:rsidP="00A31137">
      <w:r w:rsidRPr="00A31137">
        <w:t>ON APPLICATION FOR STAY</w:t>
      </w:r>
    </w:p>
    <w:p w:rsidR="00A31137" w:rsidRPr="00A31137" w:rsidRDefault="00A31137" w:rsidP="00A31137">
      <w:r w:rsidRPr="00A31137">
        <w:t>STEVENS, J., lead opinion</w:t>
      </w:r>
    </w:p>
    <w:p w:rsidR="00A31137" w:rsidRPr="00A31137" w:rsidRDefault="00A31137" w:rsidP="00A31137">
      <w:r w:rsidRPr="00A31137">
        <w:t>1994, Capital Square Rev. &amp; Advisory Bd. v. Pinette, 510 U.S. 1307</w:t>
      </w:r>
    </w:p>
    <w:p w:rsidR="00A31137" w:rsidRPr="00A31137" w:rsidRDefault="00A31137" w:rsidP="00A31137">
      <w:r w:rsidRPr="00A31137">
        <w:t>JUSTICE STEVENS, Circuit Justice.</w:t>
      </w:r>
    </w:p>
    <w:p w:rsidR="00A31137" w:rsidRPr="00A31137" w:rsidRDefault="00A31137" w:rsidP="00A31137">
      <w:r w:rsidRPr="00A31137">
        <w:t>1994, Capital Square Rev. &amp; Advisory Bd. v. Pinette, 510 U.S. 1307</w:t>
      </w:r>
    </w:p>
    <w:p w:rsidR="00A31137" w:rsidRPr="00A31137" w:rsidRDefault="00A31137" w:rsidP="00A31137">
      <w:r w:rsidRPr="00A31137">
        <w:t>Today is Thursday, December 23, 1993. Yesterday evening petitioners filed with me, in my capacity as Circuit Justice for the Sixth Circuit, an application for a stay of an injunction entered by the District Court and upheld by the Court of Appeals. The injunction required petitioners to allow the respondents, the Knights of the Ku Klux Klan and its leading officers, to erect a large Latin cross in front of the Ohio Statehouse in Columbus, Ohio. As I understand the situation, the cross is in place now, and is scheduled to be removed tomorrow. If I were to grant the application forthwith, it would be removed today—unless, of course, respondents could persuade the full Court to reinstate the injunction.</w:t>
      </w:r>
    </w:p>
    <w:p w:rsidR="00A31137" w:rsidRPr="00A31137" w:rsidRDefault="00A31137" w:rsidP="00A31137">
      <w:r w:rsidRPr="00A31137">
        <w:t>1994, Capital Square Rev. &amp; Advisory Bd. v. Pinette, 510 U.S. 1307</w:t>
      </w:r>
    </w:p>
    <w:p w:rsidR="00A31137" w:rsidRPr="00A31137" w:rsidRDefault="00A31137" w:rsidP="00A31137">
      <w:r w:rsidRPr="00A31137">
        <w:t>The case is unique because the District Court found that the local government has effectively disassociated itself from the display:</w:t>
      </w:r>
    </w:p>
    <w:p w:rsidR="00A31137" w:rsidRPr="00A31137" w:rsidRDefault="00A31137" w:rsidP="00A31137">
      <w:r w:rsidRPr="00A31137">
        <w:t>1994, Capital Square Rev. &amp; Advisory Bd. v. Pinette, 510 U.S. 1307</w:t>
      </w:r>
    </w:p>
    <w:p w:rsidR="00A31137" w:rsidRPr="00A31137" w:rsidRDefault="00A31137" w:rsidP="00A31137">
      <w:r w:rsidRPr="00A31137">
        <w:t>Indeed, the "reasonable" observer—being an individual who is knowledgeable about local events—might well know by virtue of all of the recent media coverage that the state of Ohio as represented by its leading elected [510 U.S. 1308] officials opposes the display of the cross and any messages which might reasonably be associated with this display by the Klan. Moreover, the reasonable observer would likely know that a menorah was displayed during the celebration of Hanukkah, and a Christmas tree has been displayed throughout the month of December. From all of this, the reasonable observer should conclude that the government is expressing its toleration of religious and secular pluralism.</w:t>
      </w:r>
    </w:p>
    <w:p w:rsidR="00A31137" w:rsidRPr="00A31137" w:rsidRDefault="00A31137" w:rsidP="00A31137">
      <w:r w:rsidRPr="00A31137">
        <w:t>1994, Capital Square Rev. &amp; Advisory Bd. v. Pinette, 510 U.S. 1308</w:t>
      </w:r>
    </w:p>
    <w:p w:rsidR="00A31137" w:rsidRPr="00A31137" w:rsidRDefault="00A31137" w:rsidP="00A31137">
      <w:r w:rsidRPr="00A31137">
        <w:t>No. C2-931162 (SD Ohio, Dec. 21, 1993), p. 13. In their application, petitioners do not dispute the accuracy of that finding.</w:t>
      </w:r>
    </w:p>
    <w:p w:rsidR="00A31137" w:rsidRPr="00A31137" w:rsidRDefault="00A31137" w:rsidP="00A31137">
      <w:r w:rsidRPr="00A31137">
        <w:t>1994, Capital Square Rev. &amp; Advisory Bd. v. Pinette, 510 U.S. 1308</w:t>
      </w:r>
    </w:p>
    <w:p w:rsidR="00A31137" w:rsidRPr="00A31137" w:rsidRDefault="00A31137" w:rsidP="00A31137">
      <w:r w:rsidRPr="00A31137">
        <w:t>Whether or not petitioners' legal position is sound (and my opinion in Allegeny County v. American Civil Liberties Union, Greater Pittsburgh Chapter, 492 U.S. 573, 646-655 (1989) explains why I am not unresponsive to their arguments), they must shoulder the burden of persuading me that irreparable harm will ensue if I do not grant their application. Frankly, it is my opinion that whatever harm may flow from allowing the privately owned cross to remain in place until tomorrow has probably already occurred. Moreover, because the legal issues are presumably capable of repetition, I do not believe the case will become moot when the cross is removed tomorrow. Rather than asking my colleagues to resolve those issues summarily, applicants may be well advised to marshal their arguments in a certiorari petition that can be considered with appropriate deliberation.</w:t>
      </w:r>
    </w:p>
    <w:p w:rsidR="00A31137" w:rsidRPr="00A31137" w:rsidRDefault="00A31137" w:rsidP="00A31137">
      <w:r w:rsidRPr="00A31137">
        <w:t>1994, Capital Square Rev. &amp; Advisory Bd. v. Pinette, 510 U.S. 1308</w:t>
      </w:r>
    </w:p>
    <w:p w:rsidR="00A31137" w:rsidRPr="00A31137" w:rsidRDefault="00A31137" w:rsidP="00A31137">
      <w:r w:rsidRPr="00A31137">
        <w:t>For these reasons, I shall defer to the judgment of the Court of Appeals and deny the application.</w:t>
      </w:r>
    </w:p>
    <w:p w:rsidR="00A31137" w:rsidRPr="00A31137" w:rsidRDefault="00A31137" w:rsidP="00A31137">
      <w:r w:rsidRPr="00A31137">
        <w:t>1994, Capital Square Rev. &amp; Advisory Bd. v. Pinette, 510 U.S. 1308</w:t>
      </w:r>
    </w:p>
    <w:p w:rsidR="00A31137" w:rsidRPr="00A31137" w:rsidRDefault="00A31137" w:rsidP="00A31137">
      <w:r w:rsidRPr="00A31137">
        <w:t>It is so ordered.</w:t>
      </w:r>
    </w:p>
    <w:p w:rsidR="00A31137" w:rsidRPr="00A31137" w:rsidRDefault="00A31137" w:rsidP="00A31137">
      <w:r w:rsidRPr="00A31137">
        <w:t>Clinton's Address on the State of the Union, January 25, 1994</w:t>
      </w:r>
    </w:p>
    <w:p w:rsidR="00A31137" w:rsidRPr="00A31137" w:rsidRDefault="00A31137" w:rsidP="00A31137">
      <w:r w:rsidRPr="00A31137">
        <w:t>Title:</w:t>
      </w:r>
      <w:r w:rsidRPr="00A31137">
        <w:tab/>
        <w:t>Clinton's Address on the State of the Union</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25, 1994</w:t>
      </w:r>
    </w:p>
    <w:p w:rsidR="00A31137" w:rsidRPr="00A31137" w:rsidRDefault="00A31137" w:rsidP="00A31137">
      <w:r w:rsidRPr="00A31137">
        <w:t>Source:</w:t>
      </w:r>
      <w:r w:rsidRPr="00A31137">
        <w:tab/>
        <w:t>Weekly Compilation of Presidential Documents, 1994</w:t>
      </w:r>
    </w:p>
    <w:p w:rsidR="00A31137" w:rsidRPr="00A31137" w:rsidRDefault="00A31137" w:rsidP="00A31137">
      <w:r w:rsidRPr="00A31137">
        <w:t>Clinton, State of the Union, January 25, 1994</w:t>
      </w:r>
    </w:p>
    <w:p w:rsidR="00A31137" w:rsidRPr="00A31137" w:rsidRDefault="00A31137" w:rsidP="00A31137">
      <w:r w:rsidRPr="00A31137">
        <w:t>Thank you very much. Mr. Speaker, Mr. President, Members of the 103d Congress, my fellow Americans:</w:t>
      </w:r>
    </w:p>
    <w:p w:rsidR="00A31137" w:rsidRPr="00A31137" w:rsidRDefault="00A31137" w:rsidP="00A31137">
      <w:r w:rsidRPr="00A31137">
        <w:t>Clinton, State of the Union, January 25, 1994</w:t>
      </w:r>
    </w:p>
    <w:p w:rsidR="00A31137" w:rsidRPr="00A31137" w:rsidRDefault="00A31137" w:rsidP="00A31137">
      <w:r w:rsidRPr="00A31137">
        <w:t>I'm not at all sure what speech is in the TelePrompter tonight—[laughter]—but I hope we can talk about the state of the Union.</w:t>
      </w:r>
    </w:p>
    <w:p w:rsidR="00A31137" w:rsidRPr="00A31137" w:rsidRDefault="00A31137" w:rsidP="00A31137">
      <w:r w:rsidRPr="00A31137">
        <w:t>Clinton, State of the Union, January 25, 1994</w:t>
      </w:r>
    </w:p>
    <w:p w:rsidR="00A31137" w:rsidRPr="00A31137" w:rsidRDefault="00A31137" w:rsidP="00A31137">
      <w:r w:rsidRPr="00A31137">
        <w:t>I ask you to begin by recalling the memory of the giant who presided over this Chamber with such force and grace. Tip O'Neill liked to call himself "a man of the House." And he surely was that. But even more, he was a man of the people, a bricklayer's son who helped to build the great American middle class. Tip O'Neill never forgot who he was, where he came from, or who sent him here. Tonight he's smiling down on us for the first time from the Lord's gallery. But in his honor, may we, too, always remember who we are, where we come from, and who sent us here. If we do that we will return over and over again to the principle that if we simply give ordinary people equal opportunity, quality education, and a fair shot at the American dream, they will do extraordinary things.</w:t>
      </w:r>
    </w:p>
    <w:p w:rsidR="00A31137" w:rsidRPr="00A31137" w:rsidRDefault="00A31137" w:rsidP="00A31137">
      <w:r w:rsidRPr="00A31137">
        <w:t>Clinton, State of the Union, January 25, 1994</w:t>
      </w:r>
    </w:p>
    <w:p w:rsidR="00A31137" w:rsidRPr="00A31137" w:rsidRDefault="00A31137" w:rsidP="00A31137">
      <w:r w:rsidRPr="00A31137">
        <w:t>We gather tonight in a world of changes so profound and rapid that all nations are tested. Our American heritage has always been to master such change, to use it to expand opportunity at home and our leadership abroad. But for too long and in too many ways, that heritage was abandoned, and our country drifted.</w:t>
      </w:r>
    </w:p>
    <w:p w:rsidR="00A31137" w:rsidRPr="00A31137" w:rsidRDefault="00A31137" w:rsidP="00A31137">
      <w:r w:rsidRPr="00A31137">
        <w:t>Clinton, State of the Union, January 25, 1994</w:t>
      </w:r>
    </w:p>
    <w:p w:rsidR="00A31137" w:rsidRPr="00A31137" w:rsidRDefault="00A31137" w:rsidP="00A31137">
      <w:r w:rsidRPr="00A31137">
        <w:t>For 30 years, family life in America has been breaking down. For 20 years, the wages of working people have been stagnant or declining. For the 12 years of trickle-down economics, we built a false prosperity on a hollow base as our national debt quadrupled. From 1989 to 1992, we experienced the slowest growth in a half century. For too many families, even when both parents were working, the American dream has been slipping away.</w:t>
      </w:r>
    </w:p>
    <w:p w:rsidR="00A31137" w:rsidRPr="00A31137" w:rsidRDefault="00A31137" w:rsidP="00A31137">
      <w:r w:rsidRPr="00A31137">
        <w:t>Clinton, State of the Union, January 25, 1994</w:t>
      </w:r>
    </w:p>
    <w:p w:rsidR="00A31137" w:rsidRPr="00A31137" w:rsidRDefault="00A31137" w:rsidP="00A31137">
      <w:r w:rsidRPr="00A31137">
        <w:t>In 1992, the American people demanded that we change. A year ago I asked all of you to join me in accepting responsibility for the future of our country. Well, we did. We replaced drift and deadlock with renewal and reform. And I want to thank every one of you here who heard the American people, who broke gridlock, who gave them the most successful teamwork between a President and a Congress in 30 years.</w:t>
      </w:r>
    </w:p>
    <w:p w:rsidR="00A31137" w:rsidRPr="00A31137" w:rsidRDefault="00A31137" w:rsidP="00A31137">
      <w:r w:rsidRPr="00A31137">
        <w:t>Clinton, State of the Union, January 25, 1994</w:t>
      </w:r>
    </w:p>
    <w:p w:rsidR="00A31137" w:rsidRPr="00A31137" w:rsidRDefault="00A31137" w:rsidP="00A31137">
      <w:r w:rsidRPr="00A31137">
        <w:t>This Congress produced a budget that cut the deficit by half a trillion dollars, cut spending, and raised income taxes on only the wealthiest Americans. This Congress produced tax relief for millions of low-income workers to reward work over welfare. It produced NAFTA. It produced the Brady bill, now the Brady law. And thank you, Jim Brady, for being here, and God bless you, sir.</w:t>
      </w:r>
    </w:p>
    <w:p w:rsidR="00A31137" w:rsidRPr="00A31137" w:rsidRDefault="00A31137" w:rsidP="00A31137">
      <w:r w:rsidRPr="00A31137">
        <w:t>Clinton, State of the Union, January 25, 1994</w:t>
      </w:r>
    </w:p>
    <w:p w:rsidR="00A31137" w:rsidRPr="00A31137" w:rsidRDefault="00A31137" w:rsidP="00A31137">
      <w:r w:rsidRPr="00A31137">
        <w:t>This Congress produced tax cuts to reduce the taxes of 9 out of 10 small businesses who use the money to invest more and create more jobs. It produced more research and treatment for AIDS, more childhood immunizations, more support for women's health research, more affordable college loans for the middle class, a new national service program for those who want to give something back to their country and their communities for higher education, a dramatic increase in high-tech investments to move us from a defense to a domestic high-tech economy. This Congress produced a new law, the motor voter bill, to help millions of people register to vote. It produced family and medical leave. All passed. All signed into law with not one single veto. These accomplishments were all commitments I made when I sought this office. And in fairness, they all had to be passed by you in this Congress. But I am persuaded that the real credit belongs to the people who sent us here, who pay our salaries, who hold our feet to the fre.</w:t>
      </w:r>
    </w:p>
    <w:p w:rsidR="00A31137" w:rsidRPr="00A31137" w:rsidRDefault="00A31137" w:rsidP="00A31137">
      <w:r w:rsidRPr="00A31137">
        <w:t>Clinton, State of the Union, January 25, 1994</w:t>
      </w:r>
    </w:p>
    <w:p w:rsidR="00A31137" w:rsidRPr="00A31137" w:rsidRDefault="00A31137" w:rsidP="00A31137">
      <w:r w:rsidRPr="00A31137">
        <w:t>But what we do here is really beginning to change lives. Let me just give you one example. I will never forget what the family and medical leave law meant to just one father I met early one Sunday morning in the White House. It was unusual to see a family there touring early Sunday morning, but he had his wife and his three children there, one of them in a wheelchair. I came up, and after we had our picture taken and had a little visit, I was walking off and that man grabbed me by the arm and he said, "Mr. President, let me tell you something. My little girl here is desperately ill. She's probably not going to make it. But because of the family leave law, I was able to take time off to spend with her, the most important time I ever spent in my life, without losing my job and hurting the rest of my family. It means more to me than I will ever be able to say. Don't you people up here ever think what you do doesn't make a difference. It does."</w:t>
      </w:r>
    </w:p>
    <w:p w:rsidR="00A31137" w:rsidRPr="00A31137" w:rsidRDefault="00A31137" w:rsidP="00A31137">
      <w:r w:rsidRPr="00A31137">
        <w:t>Clinton, State of the Union, January 25, 1994</w:t>
      </w:r>
    </w:p>
    <w:p w:rsidR="00A31137" w:rsidRPr="00A31137" w:rsidRDefault="00A31137" w:rsidP="00A31137">
      <w:r w:rsidRPr="00A31137">
        <w:t>Though we are making a difference, our work has just begun. Many Americans still haven't felt the impact of what we've done. The recovery still hasn't touched every community or created enough jobs. Incomes are still stagnant. There's still too much violence and not enough hope in too many places. Abroad, the young democracies we are strongly supporting still face very difficult times and look to us for leadership. And so tonight, let us resolve to continue the journey of renewal, to create more and better jobs, to guarantee health security for all, to reward work over welfare, to promote democracy abroad, and to begin to reclaim our streets from violent crime and drugs and gangs, to renew our own American community.</w:t>
      </w:r>
    </w:p>
    <w:p w:rsidR="00A31137" w:rsidRPr="00A31137" w:rsidRDefault="00A31137" w:rsidP="00A31137">
      <w:r w:rsidRPr="00A31137">
        <w:t>Clinton, State of the Union, January 25, 1994</w:t>
      </w:r>
    </w:p>
    <w:p w:rsidR="00A31137" w:rsidRPr="00A31137" w:rsidRDefault="00A31137" w:rsidP="00A31137">
      <w:r w:rsidRPr="00A31137">
        <w:t>Last year we began to put our house in order by tackling the budget deficit that was driving us toward bankruptcy. We cut $255 billion in spending, including entitlements, and over 340 separate budget items. We froze domestic spending and used honest budget numbers.</w:t>
      </w:r>
    </w:p>
    <w:p w:rsidR="00A31137" w:rsidRPr="00A31137" w:rsidRDefault="00A31137" w:rsidP="00A31137">
      <w:r w:rsidRPr="00A31137">
        <w:t>Clinton, State of the Union, January 25, 1994</w:t>
      </w:r>
    </w:p>
    <w:p w:rsidR="00A31137" w:rsidRPr="00A31137" w:rsidRDefault="00A31137" w:rsidP="00A31137">
      <w:r w:rsidRPr="00A31137">
        <w:t>Led by the Vice President, we launched a campaign to reinvent Government. We cut staff, cut perks, even trimmed the fleet of Federal limousines. After years of leaders whose rhetoric attacked bureaucracy but whose action expanded it, we will actually reduce it by 252,000 people over the next 5 years. By the time we have finished, the Federal bureaucracy will be at its lowest point in 30 years.</w:t>
      </w:r>
    </w:p>
    <w:p w:rsidR="00A31137" w:rsidRPr="00A31137" w:rsidRDefault="00A31137" w:rsidP="00A31137">
      <w:r w:rsidRPr="00A31137">
        <w:t>Clinton, State of the Union, January 25, 1994</w:t>
      </w:r>
    </w:p>
    <w:p w:rsidR="00A31137" w:rsidRPr="00A31137" w:rsidRDefault="00A31137" w:rsidP="00A31137">
      <w:r w:rsidRPr="00A31137">
        <w:t>Because the deficit was so large and because they benefited from tax cuts in the 1980's, we did ask the wealthiest Americans to pay more to reduce the deficit. So on April the 15th, the American people will discover the truth about what we did last year on taxes. Only the top 1—[applause]—yes, listen, the top 1.2 percent of Americans, as I said all along, will pay higher income tax rates. Let me repeat: Only the wealthiest 1.2 percent of Americans will face higher income tax rates, and no one else will. And that is the truth.</w:t>
      </w:r>
    </w:p>
    <w:p w:rsidR="00A31137" w:rsidRPr="00A31137" w:rsidRDefault="00A31137" w:rsidP="00A31137">
      <w:r w:rsidRPr="00A31137">
        <w:t>Clinton, State of the Union, January 25, 1994</w:t>
      </w:r>
    </w:p>
    <w:p w:rsidR="00A31137" w:rsidRPr="00A31137" w:rsidRDefault="00A31137" w:rsidP="00A31137">
      <w:r w:rsidRPr="00A31137">
        <w:t>Of course, there were, as there always are in politics, naysayers who said this plan wouldn't work. But they were wrong. When I became President, the experts predicted that next year's deficit would be $300 billion. But because we acted, those same people now say the deficit is going to be under $180 billion, 40 percent lower than was previously predicted.</w:t>
      </w:r>
    </w:p>
    <w:p w:rsidR="00A31137" w:rsidRPr="00A31137" w:rsidRDefault="00A31137" w:rsidP="00A31137">
      <w:r w:rsidRPr="00A31137">
        <w:t>Clinton, State of the Union, January 25, 1994</w:t>
      </w:r>
    </w:p>
    <w:p w:rsidR="00A31137" w:rsidRPr="00A31137" w:rsidRDefault="00A31137" w:rsidP="00A31137">
      <w:r w:rsidRPr="00A31137">
        <w:t>Our economic program has helped to produce the lowest core inflation rate and the lowest interest rates in 20 years. And because those interest rates are down, business investment and equipment is growing at 7 times the rate of the previous 4 years. Auto sales are way up. Home sales are at a record high. Millions of Americans have refinanced their homes, and our economy has produced 1.6 million private sector jobs in 1993, more than were created in the previous 4 years combined.</w:t>
      </w:r>
    </w:p>
    <w:p w:rsidR="00A31137" w:rsidRPr="00A31137" w:rsidRDefault="00A31137" w:rsidP="00A31137">
      <w:r w:rsidRPr="00A31137">
        <w:t>Clinton, State of the Union, January 25, 1994</w:t>
      </w:r>
    </w:p>
    <w:p w:rsidR="00A31137" w:rsidRPr="00A31137" w:rsidRDefault="00A31137" w:rsidP="00A31137">
      <w:r w:rsidRPr="00A31137">
        <w:t>The people who supported this economic plan should be proud of its early results. Proud. But everyone in this Chamber should know and acknowledge that there is more to do.</w:t>
      </w:r>
    </w:p>
    <w:p w:rsidR="00A31137" w:rsidRPr="00A31137" w:rsidRDefault="00A31137" w:rsidP="00A31137">
      <w:r w:rsidRPr="00A31137">
        <w:t>Clinton, State of the Union, January 25, 1994</w:t>
      </w:r>
    </w:p>
    <w:p w:rsidR="00A31137" w:rsidRPr="00A31137" w:rsidRDefault="00A31137" w:rsidP="00A31137">
      <w:r w:rsidRPr="00A31137">
        <w:t>Next month I will send you one of the toughest budgets ever presented to Congress. It will cut spending in more than 300 programs,  eliminate 100 domestic programs, and reform the ways in which governments buy goods and services. This year we must again make the hard choices to live within the hard spending ceilings we have set. We must do it. We have proved we can bring the deficit down without choking off recovery, without punishing seniors or the middle class, and without putting our national security at risk. If you will stick with this plan, we will post 3 consecutive years of declining deficits for the first time since Harry Truman lived in the White House. And once again, the buck stops here.</w:t>
      </w:r>
    </w:p>
    <w:p w:rsidR="00A31137" w:rsidRPr="00A31137" w:rsidRDefault="00A31137" w:rsidP="00A31137">
      <w:r w:rsidRPr="00A31137">
        <w:t>Clinton, State of the Union, January 25, 1994</w:t>
      </w:r>
    </w:p>
    <w:p w:rsidR="00A31137" w:rsidRPr="00A31137" w:rsidRDefault="00A31137" w:rsidP="00A31137">
      <w:r w:rsidRPr="00A31137">
        <w:t>Our economic plan also bolsters our strength and our credibility around the world. Once we reduced the deficit and put the steel back into our competitive edge, the world echoed with the sound of falling trade barriers. In one year, with NAFTA, with GATT, with our efforts in Asia and the National Export Strategy, we did more to open world markets to American products than at any time in the last two generations. That means more jobs and rising living standards for the American people, low deficits, low inflation, low interest rates, low trade barriers, and high investments. These are the building blocks of our recovery. But if we want to take full advantage of the opportunities before us in the global economy, you all know we must do more.</w:t>
      </w:r>
    </w:p>
    <w:p w:rsidR="00A31137" w:rsidRPr="00A31137" w:rsidRDefault="00A31137" w:rsidP="00A31137">
      <w:r w:rsidRPr="00A31137">
        <w:t>Clinton, State of the Union, January 25, 1994</w:t>
      </w:r>
    </w:p>
    <w:p w:rsidR="00A31137" w:rsidRPr="00A31137" w:rsidRDefault="00A31137" w:rsidP="00A31137">
      <w:r w:rsidRPr="00A31137">
        <w:t>As we reduce defense spending, I ask Congress to invest more in the technologies of tomorrow. Defense conversion will keep us strong militarily and create jobs for our people here at home. As we protect our environment, we must invest in the environmental technologies of the future which will create jobs. This year we will fight for a revitalized Clean Water Act and a Safe Drinking Water Act and a reformed Superfund program. And the Vice President is right, we must also work with the private sector to connect every classroom, every clinic, every library, every hospital in America into a national information super highway by the year 2000.</w:t>
      </w:r>
    </w:p>
    <w:p w:rsidR="00A31137" w:rsidRPr="00A31137" w:rsidRDefault="00A31137" w:rsidP="00A31137">
      <w:r w:rsidRPr="00A31137">
        <w:t>Clinton, State of the Union, January 25, 1994</w:t>
      </w:r>
    </w:p>
    <w:p w:rsidR="00A31137" w:rsidRPr="00A31137" w:rsidRDefault="00A31137" w:rsidP="00A31137">
      <w:r w:rsidRPr="00A31137">
        <w:t>Think of it, instant access to information will increase productivity, will help to educate our children. It will provide better medical care. It will create jobs. And I call on the Congress to pass legislation to establish that information super highway this year.</w:t>
      </w:r>
    </w:p>
    <w:p w:rsidR="00A31137" w:rsidRPr="00A31137" w:rsidRDefault="00A31137" w:rsidP="00A31137">
      <w:r w:rsidRPr="00A31137">
        <w:t>Clinton, State of the Union, January 25, 1994</w:t>
      </w:r>
    </w:p>
    <w:p w:rsidR="00A31137" w:rsidRPr="00A31137" w:rsidRDefault="00A31137" w:rsidP="00A31137">
      <w:r w:rsidRPr="00A31137">
        <w:t>As we expand opportunity and create jobs, no one can be left out. We must continue to enforce fair lending and fair housing and all civil rights laws, because America will never be complete in its renewal until everyone shares in its bounty.</w:t>
      </w:r>
    </w:p>
    <w:p w:rsidR="00A31137" w:rsidRPr="00A31137" w:rsidRDefault="00A31137" w:rsidP="00A31137">
      <w:r w:rsidRPr="00A31137">
        <w:t>Clinton, State of the Union, January 25, 1994</w:t>
      </w:r>
    </w:p>
    <w:p w:rsidR="00A31137" w:rsidRPr="00A31137" w:rsidRDefault="00A31137" w:rsidP="00A31137">
      <w:r w:rsidRPr="00A31137">
        <w:t>But we all know, too, we can do all these things, put our economic house in order, expand world trade, target the jobs of the future, guarantee equal opportunity, but if we're honest, we'll all admit that this strategy still cannot work unless we also give our people the education, training, and skills they need to seize the opportunities of tomorrow.</w:t>
      </w:r>
    </w:p>
    <w:p w:rsidR="00A31137" w:rsidRPr="00A31137" w:rsidRDefault="00A31137" w:rsidP="00A31137">
      <w:r w:rsidRPr="00A31137">
        <w:t>Clinton, State of the Union, January 25, 1994</w:t>
      </w:r>
    </w:p>
    <w:p w:rsidR="00A31137" w:rsidRPr="00A31137" w:rsidRDefault="00A31137" w:rsidP="00A31137">
      <w:r w:rsidRPr="00A31137">
        <w:t>We must set tough, world-class academic and occupational standards for all our children and give our teachers and students the tools they need to meet them. Our Goals 2000 proposal will empower individual school districts to experiment with ideas like chartering their schools to be run by private corporations or having more public school choice, to do whatever they wish to do as long as we measure every school by one high standard: Are our children learning what they need to know to compete and win in the global economy? Goals 2000 links world-class standards to grassroots reforms. And I hope Congress will pass it without delay.</w:t>
      </w:r>
    </w:p>
    <w:p w:rsidR="00A31137" w:rsidRPr="00A31137" w:rsidRDefault="00A31137" w:rsidP="00A31137">
      <w:r w:rsidRPr="00A31137">
        <w:t>Clinton, State of the Union, January 25, 1994</w:t>
      </w:r>
    </w:p>
    <w:p w:rsidR="00A31137" w:rsidRPr="00A31137" w:rsidRDefault="00A31137" w:rsidP="00A31137">
      <w:r w:rsidRPr="00A31137">
        <w:t>Our school to work initiative will for the first time link school to the world of work, providing at least one year of apprenticeship beyond high school. After all, most of the people we're counting on to build our economic future won't graduate from college. It's time to stop ignoring them and start empowering them.</w:t>
      </w:r>
    </w:p>
    <w:p w:rsidR="00A31137" w:rsidRPr="00A31137" w:rsidRDefault="00A31137" w:rsidP="00A31137">
      <w:r w:rsidRPr="00A31137">
        <w:t>Clinton, State of the Union, January 25, 1994</w:t>
      </w:r>
    </w:p>
    <w:p w:rsidR="00A31137" w:rsidRPr="00A31137" w:rsidRDefault="00A31137" w:rsidP="00A31137">
      <w:r w:rsidRPr="00A31137">
        <w:t>We must literally transform our outdated unemployment system into a new reemployment system. The old unemployment system just sort of kept you going while you waited for your old job to come back. We've got to have a new system to move people into new and better jobs, because most of those old jobs just don't come back. And we know that the only way to have real job security in the future, to get a good job with a growing income, is to have real skills and the ability to learn new ones. So we've got to streamline today's patchwork of training programs and make them a source of new skills for our people who lose their jobs. Reemployment, not unemployment, must become the centerpiece of our economic renewal. I urge you to pass it in this session of Congress.</w:t>
      </w:r>
    </w:p>
    <w:p w:rsidR="00A31137" w:rsidRPr="00A31137" w:rsidRDefault="00A31137" w:rsidP="00A31137">
      <w:r w:rsidRPr="00A31137">
        <w:t>Clinton, State of the Union, January 25, 1994</w:t>
      </w:r>
    </w:p>
    <w:p w:rsidR="00A31137" w:rsidRPr="00A31137" w:rsidRDefault="00A31137" w:rsidP="00A31137">
      <w:r w:rsidRPr="00A31137">
        <w:t>And just as we must transform our unemployment system, so must we also revolutionize our welfare system. It doesn't work. It defies our values as a Nation. If we value work, we can't justify a system that makes welfare more attractive than work if people are worried about losing their health care. If we value responsibility, we can't ignore the $34 billion in child support absent parents ought to be paying to millions of parents who are taking care of their children. If we value strong families, we can't perpetuate a system that actually penalizes those who stay together. Can you believe that a child who has a child gets more money from the Government for leaving home than for staying home with a parent or a grandparent? That's not just bad policy, it's wrong. And we ought to change it.</w:t>
      </w:r>
    </w:p>
    <w:p w:rsidR="00A31137" w:rsidRPr="00A31137" w:rsidRDefault="00A31137" w:rsidP="00A31137">
      <w:r w:rsidRPr="00A31137">
        <w:t>Clinton, State of the Union, January 25, 1994</w:t>
      </w:r>
    </w:p>
    <w:p w:rsidR="00A31137" w:rsidRPr="00A31137" w:rsidRDefault="00A31137" w:rsidP="00A31137">
      <w:r w:rsidRPr="00A31137">
        <w:t>I worked on this problem for years before I became President, with other Governors and with Members of Congress of both parties and with the previous administration of another party. I worked on it with people who were on welfare, lots of them. And I want to say something to everybody here who cares about this issue. The people who most want to change this system are the people who are dependent on it. They want to get off welfare. They want to go back to work. They want to do right by their kids.</w:t>
      </w:r>
    </w:p>
    <w:p w:rsidR="00A31137" w:rsidRPr="00A31137" w:rsidRDefault="00A31137" w:rsidP="00A31137">
      <w:r w:rsidRPr="00A31137">
        <w:t>Clinton, State of the Union, January 25, 1994</w:t>
      </w:r>
    </w:p>
    <w:p w:rsidR="00A31137" w:rsidRPr="00A31137" w:rsidRDefault="00A31137" w:rsidP="00A31137">
      <w:r w:rsidRPr="00A31137">
        <w:t>I once had a hearing when I was a Governor, and I brought in people on welfare from all over America who had found their way to work. The woman from my State who testified was asked this question: What's the best thing about being off welfare and in a job? And without blinking an eye, she looked at 40 Governors, and she said, "When my boy goes to school and they say what does you mother do for a living, he can give an answer." These people want a better system, and we ought to give it to them.</w:t>
      </w:r>
    </w:p>
    <w:p w:rsidR="00A31137" w:rsidRPr="00A31137" w:rsidRDefault="00A31137" w:rsidP="00A31137">
      <w:r w:rsidRPr="00A31137">
        <w:t>Clinton, State of the Union, January 25, 1994</w:t>
      </w:r>
    </w:p>
    <w:p w:rsidR="00A31137" w:rsidRPr="00A31137" w:rsidRDefault="00A31137" w:rsidP="00A31137">
      <w:r w:rsidRPr="00A31137">
        <w:t>Last year we began this. We gave the States more power to innovate because we know that a lot of great ideas come from outside Washington, and many States are already using it. Then this Congress took a dramatic step. Instead of taxing people with modest incomes into poverty, we helped them to work their way out of poverty by dramatically increasing the earned-income tax credit. It will lift 15 million working families out of poverty, rewarding work over welfare, making it possible for people to be successful workers and successful parents. Now that's real welfare reform.</w:t>
      </w:r>
    </w:p>
    <w:p w:rsidR="00A31137" w:rsidRPr="00A31137" w:rsidRDefault="00A31137" w:rsidP="00A31137">
      <w:r w:rsidRPr="00A31137">
        <w:t>Clinton, State of the Union, January 25, 1994</w:t>
      </w:r>
    </w:p>
    <w:p w:rsidR="00A31137" w:rsidRPr="00A31137" w:rsidRDefault="00A31137" w:rsidP="00A31137">
      <w:r w:rsidRPr="00A31137">
        <w:t>But there is more to be done. This spring I will send you a comprehensive welfare reform bill that  builds on the Family Support Act of 1988 and restores the basic values of work and responsibility. We'll say to teenagers, "If you have a child out of wedlock, we will no longer give you a check to set up a separate household. We want families to stay together;" say to absent parents who aren't paying their child support, "If you're not providing for your children, we'll garnish your wages, suspend your license, track you across State lines, and if necessary, make some of you work off what you owe." People who bring children into this world cannot and must not walk away from them. But to all those who depend on welfare, we should offer ultimately a simple compact. We'll provide the support, the job training, the child care you need for up to 2 years. But after that, anyone who can work, must, in the private sector wherever possible, in community service, if necessary. That's the only way we'll ever make elfare what it ought to be, a second chance, not a way of life.</w:t>
      </w:r>
    </w:p>
    <w:p w:rsidR="00A31137" w:rsidRPr="00A31137" w:rsidRDefault="00A31137" w:rsidP="00A31137">
      <w:r w:rsidRPr="00A31137">
        <w:t>Clinton, State of the Union, January 25, 1994</w:t>
      </w:r>
    </w:p>
    <w:p w:rsidR="00A31137" w:rsidRPr="00A31137" w:rsidRDefault="00A31137" w:rsidP="00A31137">
      <w:r w:rsidRPr="00A31137">
        <w:t>I know it will be difficult to tackle welfare reform in 1994 at the same time we tackle health care. But let me point out, I think it is inevitable and imperative. It is estimated that one million people are on welfare today because it's the only way they can get health care coverage for their children. Those who choose to leave welfare for jobs without health benefits, and many entry-level jobs don't have health benefits, find themselves in the incredible position of paying taxes that help to pay for health care coverage for those who made the other choice to stay on welfare. No wonder  people leave work and go back to welfare to get health care coverage. We've got to solve the health care problem to have real welfare reform.</w:t>
      </w:r>
    </w:p>
    <w:p w:rsidR="00A31137" w:rsidRPr="00A31137" w:rsidRDefault="00A31137" w:rsidP="00A31137">
      <w:r w:rsidRPr="00A31137">
        <w:t>Clinton, State of the Union, January 25, 1994</w:t>
      </w:r>
    </w:p>
    <w:p w:rsidR="00A31137" w:rsidRPr="00A31137" w:rsidRDefault="00A31137" w:rsidP="00A31137">
      <w:r w:rsidRPr="00A31137">
        <w:t>So this year, we will make history by reforming the health care system. And I would say to you, all of you, my fellow public servants, this is another issue where the people are way ahead of the politicians. That may not be popular with either party, but it happens to be the truth.</w:t>
      </w:r>
    </w:p>
    <w:p w:rsidR="00A31137" w:rsidRPr="00A31137" w:rsidRDefault="00A31137" w:rsidP="00A31137">
      <w:r w:rsidRPr="00A31137">
        <w:t>Clinton, State of the Union, January 25, 1994</w:t>
      </w:r>
    </w:p>
    <w:p w:rsidR="00A31137" w:rsidRPr="00A31137" w:rsidRDefault="00A31137" w:rsidP="00A31137">
      <w:r w:rsidRPr="00A31137">
        <w:t>You know, the First Lady has received now almost a million letters from people all across America and from all walks of life. I'd like to share just one of them with you. Richard Anderson of Reno, Nevada, lost his job and with it, his health insurance. Two weeks later his wife, Judy, suffered a cerebral aneurysm. He rushed her to the hospital, where she stayed in intensive care for 21 days. The Andersons' bills were over $120,000. Although Judy recovered and Richard went back to work at $8 an hour, the bills were too much for them, and they were literally forced into bankruptcy. "Mrs. Clinton," he wrote to Hillary, "no one in the United States of America should have to lose everything they've worked for all their lives because they were unfortunate enough to become ill." It was to help the Richard and Judy Andersons of America that the First Lady and so many others have worked so hard and so long on this health care reform issue. We owe them our thanks and our action.</w:t>
      </w:r>
    </w:p>
    <w:p w:rsidR="00A31137" w:rsidRPr="00A31137" w:rsidRDefault="00A31137" w:rsidP="00A31137">
      <w:r w:rsidRPr="00A31137">
        <w:t>Clinton, State of the Union, January 25, 1994</w:t>
      </w:r>
    </w:p>
    <w:p w:rsidR="00A31137" w:rsidRPr="00A31137" w:rsidRDefault="00A31137" w:rsidP="00A31137">
      <w:r w:rsidRPr="00A31137">
        <w:t>I know there are people here who say there's no health care crisis. Tell it to Richard and Judy Anderson. Tell it to the 58 million Americans who have no coverage at all for some time each year. Tell it to the 81 million Americans with those preexisting conditions. Those folks are paying more, or they can't get insurance at all. Or they can't ever change their jobs because they or someone in their family has one of those preexisting conditions. Tell it to the small businesses burdened by the skyrocketing cost of insurance. Most small businesses cover their employees, and they pay on average 35 percent more in premiums than big businesses or Government. Or tell it to the 76 percent of insured Americans, three out of four whose policies have lifetime limits. And that means they can find themselves without any coverage at all just when they need it the most. So if any of you believe there's no crisis, you tell it to those people, because I can't.</w:t>
      </w:r>
    </w:p>
    <w:p w:rsidR="00A31137" w:rsidRPr="00A31137" w:rsidRDefault="00A31137" w:rsidP="00A31137">
      <w:r w:rsidRPr="00A31137">
        <w:t>Clinton, State of the Union, January 25, 1994</w:t>
      </w:r>
    </w:p>
    <w:p w:rsidR="00A31137" w:rsidRPr="00A31137" w:rsidRDefault="00A31137" w:rsidP="00A31137">
      <w:r w:rsidRPr="00A31137">
        <w:t>There are some people who literally do not understand the impact of this problem on people's lives. And all you have to do is go out and listen to them. Just go talk to them anywhere in any congressional district in this country. They're Republicans and Democrats and independents; it doesn't have a lick to do with party. They think we don't get it. And it's time we show them that we do get it.</w:t>
      </w:r>
    </w:p>
    <w:p w:rsidR="00A31137" w:rsidRPr="00A31137" w:rsidRDefault="00A31137" w:rsidP="00A31137">
      <w:r w:rsidRPr="00A31137">
        <w:t>Clinton, State of the Union, January 25, 1994</w:t>
      </w:r>
    </w:p>
    <w:p w:rsidR="00A31137" w:rsidRPr="00A31137" w:rsidRDefault="00A31137" w:rsidP="00A31137">
      <w:r w:rsidRPr="00A31137">
        <w:t>From the day we began, our health care initiative has been designed to strengthen what is good about our health care system: the world's best health care professionals, cutting-edge research and wonderful research institutions, Medicare for older Americans. None of this, none of it should be put at risk.</w:t>
      </w:r>
    </w:p>
    <w:p w:rsidR="00A31137" w:rsidRPr="00A31137" w:rsidRDefault="00A31137" w:rsidP="00A31137">
      <w:r w:rsidRPr="00A31137">
        <w:t>Clinton, State of the Union, January 25, 1994</w:t>
      </w:r>
    </w:p>
    <w:p w:rsidR="00A31137" w:rsidRPr="00A31137" w:rsidRDefault="00A31137" w:rsidP="00A31137">
      <w:r w:rsidRPr="00A31137">
        <w:t>But we're paying more and more money for less and less care. Every year fewer and fewer Americans even get to choose their doctors. Every year doctors and nurses spend more time on paperwork and less time with patients because of the absolute bureaucratic nightmare the present system has become. This system is riddled with inefficiency, with abuse, with fraud, and everybody knows it. In today's health care system, insurance companies call the shots. They pick whom they cover and how they cover them. They can cut off your benefits when you need your coverage the most. They are in charge.</w:t>
      </w:r>
    </w:p>
    <w:p w:rsidR="00A31137" w:rsidRPr="00A31137" w:rsidRDefault="00A31137" w:rsidP="00A31137">
      <w:r w:rsidRPr="00A31137">
        <w:t>Clinton, State of the Union, January 25, 1994</w:t>
      </w:r>
    </w:p>
    <w:p w:rsidR="00A31137" w:rsidRPr="00A31137" w:rsidRDefault="00A31137" w:rsidP="00A31137">
      <w:r w:rsidRPr="00A31137">
        <w:t>What does it mean? It means every night millions of well-insured Americans go to bed just an illness, an accident, or a pink slip away from having no coverage or financial ruin. It means every morning millions of Americans go to work without any health insurance at all, something the workers in no other advanced country in the world do. It means that every year, more and more hard-working people are told to pick a new doctor because their boss has had to pick a new plan. And countless others turn down better jobs because they know if they take the better job, they will lose their health insurance. If we just let the health care system continue to drift, our country will have people with less care, fewer choices, and higher bills.</w:t>
      </w:r>
    </w:p>
    <w:p w:rsidR="00A31137" w:rsidRPr="00A31137" w:rsidRDefault="00A31137" w:rsidP="00A31137">
      <w:r w:rsidRPr="00A31137">
        <w:t>Clinton, State of the Union, January 25, 1994</w:t>
      </w:r>
    </w:p>
    <w:p w:rsidR="00A31137" w:rsidRPr="00A31137" w:rsidRDefault="00A31137" w:rsidP="00A31137">
      <w:r w:rsidRPr="00A31137">
        <w:t>Now, our approach protects the quality of care and people's choices. It builds on what works today in the private sector, to expand employer-based coverage, to guarantee private insurance for every American. And I might say, employer-based private insurance for every American was proposed 20 years ago by President Richard Nixon to the United States Congress. It was a good idea then, and it's a better idea today.</w:t>
      </w:r>
    </w:p>
    <w:p w:rsidR="00A31137" w:rsidRPr="00A31137" w:rsidRDefault="00A31137" w:rsidP="00A31137">
      <w:r w:rsidRPr="00A31137">
        <w:t>Clinton, State of the Union, January 25, 1994</w:t>
      </w:r>
    </w:p>
    <w:p w:rsidR="00A31137" w:rsidRPr="00A31137" w:rsidRDefault="00A31137" w:rsidP="00A31137">
      <w:r w:rsidRPr="00A31137">
        <w:t>Why do we want guaranteed private insurance? Because right now 9 out of 10 people who have insurance get it through their employers. And that should continue. And if your employer is providing good benefits at reasonable prices, that should continue, too. That ought to make the Congress and the President feel better.</w:t>
      </w:r>
    </w:p>
    <w:p w:rsidR="00A31137" w:rsidRPr="00A31137" w:rsidRDefault="00A31137" w:rsidP="00A31137">
      <w:r w:rsidRPr="00A31137">
        <w:t>Clinton, State of the Union, January 25, 1994</w:t>
      </w:r>
    </w:p>
    <w:p w:rsidR="00A31137" w:rsidRPr="00A31137" w:rsidRDefault="00A31137" w:rsidP="00A31137">
      <w:r w:rsidRPr="00A31137">
        <w:t>Our goal is health insurance everybody can depend on: comprehensive benefits that cover preventive care and prescription drugs; health premiums that don't just explode when you get sick or you get older; the power, no matter how small your business is, to choose dependable insurance at the same competitive rates governments and big business get today; one simple form for people who are sick; and most of all, the freedom to choose a plan and the right to choose your own doctor.</w:t>
      </w:r>
    </w:p>
    <w:p w:rsidR="00A31137" w:rsidRPr="00A31137" w:rsidRDefault="00A31137" w:rsidP="00A31137">
      <w:r w:rsidRPr="00A31137">
        <w:t>Clinton, State of the Union, January 25, 1994</w:t>
      </w:r>
    </w:p>
    <w:p w:rsidR="00A31137" w:rsidRPr="00A31137" w:rsidRDefault="00A31137" w:rsidP="00A31137">
      <w:r w:rsidRPr="00A31137">
        <w:t>Our approach protects older Americans. Every plan before the Congress proposes to slow the growth of Medicare. The difference is this: We believe those savings should be used to improve health care for senior citizens. Medicare must be protected, and it should cover prescription drugs, and we should take the first steps in covering long-term care. To those who would cut Medicare without protecting seniors, I say the solution to today's squeeze on middle-class working people's health care is not to put the squeeze on middle-class retired people's health care. We can do better than that.</w:t>
      </w:r>
    </w:p>
    <w:p w:rsidR="00A31137" w:rsidRPr="00A31137" w:rsidRDefault="00A31137" w:rsidP="00A31137">
      <w:r w:rsidRPr="00A31137">
        <w:t>Clinton, State of the Union, January 25, 1994</w:t>
      </w:r>
    </w:p>
    <w:p w:rsidR="00A31137" w:rsidRPr="00A31137" w:rsidRDefault="00A31137" w:rsidP="00A31137">
      <w:r w:rsidRPr="00A31137">
        <w:t>When it's all said and done, it's pretty simple to me. Insurance ought to mean what it used to mean: You pay a fair price for security, and when you get sick, health care's always there, no matter what.</w:t>
      </w:r>
    </w:p>
    <w:p w:rsidR="00A31137" w:rsidRPr="00A31137" w:rsidRDefault="00A31137" w:rsidP="00A31137">
      <w:r w:rsidRPr="00A31137">
        <w:t>Clinton, State of the Union, January 25, 1994</w:t>
      </w:r>
    </w:p>
    <w:p w:rsidR="00A31137" w:rsidRPr="00A31137" w:rsidRDefault="00A31137" w:rsidP="00A31137">
      <w:r w:rsidRPr="00A31137">
        <w:t>Along with the guarantee of health security, we all have to admit, too, there must be more responsibility on the part of all of us in how we use this system. People have to take their kids to get immunized. We should all take advantage of preventive care. We must all work together to stop the violence that explodes our emergency rooms. We have to practice better health habits, and we can't abuse the system. And those who don't have insurance under our approach will get coverage, but they'll have to pay something for it, too. The minority of businesses that provide no insurance at all and in so doing shift the cost of the care of their employees to others, should contribute something. People who smoke should pay more for a pack of cigarettes. Everybody can contribute something if we want to solve the health care crisis. There can't be any more something for nothing. It will not be easy but it can be done.</w:t>
      </w:r>
    </w:p>
    <w:p w:rsidR="00A31137" w:rsidRPr="00A31137" w:rsidRDefault="00A31137" w:rsidP="00A31137">
      <w:r w:rsidRPr="00A31137">
        <w:t>Clinton, State of the Union, January 25, 1994</w:t>
      </w:r>
    </w:p>
    <w:p w:rsidR="00A31137" w:rsidRPr="00A31137" w:rsidRDefault="00A31137" w:rsidP="00A31137">
      <w:r w:rsidRPr="00A31137">
        <w:t>Now, in the coming months I hope very much to work with both Democrats and Republicans to reform a health care system by using the market to bring down costs and to achieve lasting health security. But if you look at history we see that for 60 years this country has tried to reform health care. President Roosevelt tried. President Truman tried. President Nixon tried. President Carter tried. Every time the special interests were powerful enough to defeat them. But not this time.</w:t>
      </w:r>
    </w:p>
    <w:p w:rsidR="00A31137" w:rsidRPr="00A31137" w:rsidRDefault="00A31137" w:rsidP="00A31137">
      <w:r w:rsidRPr="00A31137">
        <w:t>Clinton, State of the Union, January 25, 1994</w:t>
      </w:r>
    </w:p>
    <w:p w:rsidR="00A31137" w:rsidRPr="00A31137" w:rsidRDefault="00A31137" w:rsidP="00A31137">
      <w:r w:rsidRPr="00A31137">
        <w:t>I know that facing up to these interests will require courage. It will raise critical questions about the way we finance our campaigns and how lobbyists yield their influence. The work of change, frankly, will never get any easier until we limit the influence of well-financed interests who profit from this current system. So I also must now call on you to finish the job both Houses began last year by passing tough and meaningful campaign finance reform and lobby reform legislation this year.</w:t>
      </w:r>
    </w:p>
    <w:p w:rsidR="00A31137" w:rsidRPr="00A31137" w:rsidRDefault="00A31137" w:rsidP="00A31137">
      <w:r w:rsidRPr="00A31137">
        <w:t>Clinton, State of the Union, January 25, 1994</w:t>
      </w:r>
    </w:p>
    <w:p w:rsidR="00A31137" w:rsidRPr="00A31137" w:rsidRDefault="00A31137" w:rsidP="00A31137">
      <w:r w:rsidRPr="00A31137">
        <w:t>You know, my fellow Americans, this is really a test for all of us. The American people provide those of us in Government service with terrific health care benefits at reasonable costs. We have health care that's always there. I think we need to give every hard-working, tax-paying American the same health care security they have already given to us.</w:t>
      </w:r>
    </w:p>
    <w:p w:rsidR="00A31137" w:rsidRPr="00A31137" w:rsidRDefault="00A31137" w:rsidP="00A31137">
      <w:r w:rsidRPr="00A31137">
        <w:t>Clinton, State of the Union, January 25, 1994</w:t>
      </w:r>
    </w:p>
    <w:p w:rsidR="00A31137" w:rsidRPr="00A31137" w:rsidRDefault="00A31137" w:rsidP="00A31137">
      <w:r w:rsidRPr="00A31137">
        <w:t>I want to make this very clear. I am open, as I have said repeatedly, to the best ideas of concerned Members of both parties. I have no special brief for any specific approach, even in our own bill, except this: If you send me legislation that does not guarantee every American private health insurance that can never be taken away, you will force me to take this pen, veto the legislation, and we'll come right back here and start all over again.</w:t>
      </w:r>
    </w:p>
    <w:p w:rsidR="00A31137" w:rsidRPr="00A31137" w:rsidRDefault="00A31137" w:rsidP="00A31137">
      <w:r w:rsidRPr="00A31137">
        <w:t>Clinton, State of the Union, January 25, 1994</w:t>
      </w:r>
    </w:p>
    <w:p w:rsidR="00A31137" w:rsidRPr="00A31137" w:rsidRDefault="00A31137" w:rsidP="00A31137">
      <w:r w:rsidRPr="00A31137">
        <w:t>But I don't think that's going to happen. I think we're ready to act now. I believe that you're ready to act now. And if you're ready to guarantee every American the same health care that you have, health care that can never be taken away, now, not next year or the year after, now is the time to stand with the people who sent us here. Now.</w:t>
      </w:r>
    </w:p>
    <w:p w:rsidR="00A31137" w:rsidRPr="00A31137" w:rsidRDefault="00A31137" w:rsidP="00A31137">
      <w:r w:rsidRPr="00A31137">
        <w:t>Clinton, State of the Union, January 25, 1994</w:t>
      </w:r>
    </w:p>
    <w:p w:rsidR="00A31137" w:rsidRPr="00A31137" w:rsidRDefault="00A31137" w:rsidP="00A31137">
      <w:r w:rsidRPr="00A31137">
        <w:t>As we take these steps together to renew our strength at home, we cannot turn away from our obligation to renew our leadership abroad. This is a promising moment. Because of the agreements we have reached this year, last year, Russia's strategic nuclear missiles soon will no longer be pointed at the United States, nor will we point ours at them. Instead of building weapons in space, Russian scientists will help us to build the international space station.</w:t>
      </w:r>
    </w:p>
    <w:p w:rsidR="00A31137" w:rsidRPr="00A31137" w:rsidRDefault="00A31137" w:rsidP="00A31137">
      <w:r w:rsidRPr="00A31137">
        <w:t>Clinton, State of the Union, January 25, 1994</w:t>
      </w:r>
    </w:p>
    <w:p w:rsidR="00A31137" w:rsidRPr="00A31137" w:rsidRDefault="00A31137" w:rsidP="00A31137">
      <w:r w:rsidRPr="00A31137">
        <w:t>Of course, there are still dangers in the world: rampant arms proliferation, bitter regional conflicts, ethnic and nationalist tensions in many new democracies, severe environmental degradation the world over, and fanatics who seek to cripple the world's cities with terror. As the world's greatest power, we must, therefore, maintain our defenses and our responsibilities.</w:t>
      </w:r>
    </w:p>
    <w:p w:rsidR="00A31137" w:rsidRPr="00A31137" w:rsidRDefault="00A31137" w:rsidP="00A31137">
      <w:r w:rsidRPr="00A31137">
        <w:t>Clinton, State of the Union, January 25, 1994</w:t>
      </w:r>
    </w:p>
    <w:p w:rsidR="00A31137" w:rsidRPr="00A31137" w:rsidRDefault="00A31137" w:rsidP="00A31137">
      <w:r w:rsidRPr="00A31137">
        <w:t>This year, we secured indictments against terrorists and sanctions against those who harbor them. We worked to promote environmentally sustainable economic growth. We achieved agreements with Ukraine, with Belarus, with Kazahkstan to eliminate completely their nuclear arsenal. We are working to achieve a Korean Peninsula free of nuclear weapons. We will seek early ratification of a treaty to ban chemical weapons worldwide. And earlier today, we joined with over 30 nations to begin negotiations on a comprehensive ban to stop all nuclear testing.</w:t>
      </w:r>
    </w:p>
    <w:p w:rsidR="00A31137" w:rsidRPr="00A31137" w:rsidRDefault="00A31137" w:rsidP="00A31137">
      <w:r w:rsidRPr="00A31137">
        <w:t>Clinton, State of the Union, January 25, 1994</w:t>
      </w:r>
    </w:p>
    <w:p w:rsidR="00A31137" w:rsidRPr="00A31137" w:rsidRDefault="00A31137" w:rsidP="00A31137">
      <w:r w:rsidRPr="00A31137">
        <w:t>But nothing, nothing is more important to our security than our Nation's Armed Forces. We honor their contributions, including those who are carrying out the longest humanitarian air lift in history in Bosnia, those who will complete their mission in Somalia this year and their brave comrades who gave their lives there. Our forces are the finest military our Nation has ever had. And I have pledged that as long as I am President, they will remain the best equipped, the best trained, and the best prepared fighting force on the face of the Earth.</w:t>
      </w:r>
    </w:p>
    <w:p w:rsidR="00A31137" w:rsidRPr="00A31137" w:rsidRDefault="00A31137" w:rsidP="00A31137">
      <w:r w:rsidRPr="00A31137">
        <w:t>Clinton, State of the Union, January 25, 1994</w:t>
      </w:r>
    </w:p>
    <w:p w:rsidR="00A31137" w:rsidRPr="00A31137" w:rsidRDefault="00A31137" w:rsidP="00A31137">
      <w:r w:rsidRPr="00A31137">
        <w:t>Last year I proposed a defense plan that maintains our post-cold-war security at a lower cost. This year many people urged me to cut our defense spending further to pay for other Government programs. I said, no. The budget I send to Congress draws the line against further defense cuts. It protects the readiness and quality of our forces. Ultimately, the best strategy is to do that. We must not cut defense further. I hope the Congress, without regard to party, will support that position.</w:t>
      </w:r>
    </w:p>
    <w:p w:rsidR="00A31137" w:rsidRPr="00A31137" w:rsidRDefault="00A31137" w:rsidP="00A31137">
      <w:r w:rsidRPr="00A31137">
        <w:t>Clinton, State of the Union, January 25, 1994</w:t>
      </w:r>
    </w:p>
    <w:p w:rsidR="00A31137" w:rsidRPr="00A31137" w:rsidRDefault="00A31137" w:rsidP="00A31137">
      <w:r w:rsidRPr="00A31137">
        <w:t>Ultimately, the best strategy to ensure our security and to build a durable peace is to support the advance of democracy elsewhere. Democracies don't attack each other, they make better trading partners and partners in diplomacy. That is why we have supported, you and I, the democratic reformers in Russia and in the other states of the former Soviet bloc. I applaud the bipartisan support this Congress provided last year for our initiatives to help Russia, Ukraine, and the other states through their epic transformations.</w:t>
      </w:r>
    </w:p>
    <w:p w:rsidR="00A31137" w:rsidRPr="00A31137" w:rsidRDefault="00A31137" w:rsidP="00A31137">
      <w:r w:rsidRPr="00A31137">
        <w:t>Clinton, State of the Union, January 25, 1994</w:t>
      </w:r>
    </w:p>
    <w:p w:rsidR="00A31137" w:rsidRPr="00A31137" w:rsidRDefault="00A31137" w:rsidP="00A31137">
      <w:r w:rsidRPr="00A31137">
        <w:t>Our support of reform must combine patience for the enormity of the task and vigilance for our fundamental interest and values. We will continue to urge Russia and the other states to press ahead with economic reforms. And we will seek to cooperate with Russia to solve regional problems, while insisting that if Russian troops operate in neighboring states, they do so only when those states agree to their presence and in strict accord with international standards.</w:t>
      </w:r>
    </w:p>
    <w:p w:rsidR="00A31137" w:rsidRPr="00A31137" w:rsidRDefault="00A31137" w:rsidP="00A31137">
      <w:r w:rsidRPr="00A31137">
        <w:t>Clinton, State of the Union, January 25, 1994</w:t>
      </w:r>
    </w:p>
    <w:p w:rsidR="00A31137" w:rsidRPr="00A31137" w:rsidRDefault="00A31137" w:rsidP="00A31137">
      <w:r w:rsidRPr="00A31137">
        <w:t>But we must also remember as these nations chart their own futures—and they must chart their own futures—how much more secure and more prosperous our own people will be if democratic and market reforms succeed all across the former Communist bloc. Our policy has been to support that move, and that has been the policy of the Congress. We should continue it.</w:t>
      </w:r>
    </w:p>
    <w:p w:rsidR="00A31137" w:rsidRPr="00A31137" w:rsidRDefault="00A31137" w:rsidP="00A31137">
      <w:r w:rsidRPr="00A31137">
        <w:t>Clinton, State of the Union, January 25, 1994</w:t>
      </w:r>
    </w:p>
    <w:p w:rsidR="00A31137" w:rsidRPr="00A31137" w:rsidRDefault="00A31137" w:rsidP="00A31137">
      <w:r w:rsidRPr="00A31137">
        <w:t>That is why I went to Europe earlier this month, to work with our European partners, to help to integrate all the former Communist countries into a Europe that has a possibility of becoming unified for the first time in its entire history, its entire history, based on the simple commitments of all nations in Europe to democracy, to free markets, and to respect for existing borders.</w:t>
      </w:r>
    </w:p>
    <w:p w:rsidR="00A31137" w:rsidRPr="00A31137" w:rsidRDefault="00A31137" w:rsidP="00A31137">
      <w:r w:rsidRPr="00A31137">
        <w:t>Clinton, State of the Union, January 25, 1994</w:t>
      </w:r>
    </w:p>
    <w:p w:rsidR="00A31137" w:rsidRPr="00A31137" w:rsidRDefault="00A31137" w:rsidP="00A31137">
      <w:r w:rsidRPr="00A31137">
        <w:t>With our allies we have created a Partnership For Peace that invites states from the former Soviet bloc and other non-NATO members to work with NATO in military cooperation. When I met with Central Europe's leaders, including Lech Walesa and Václav Havel, men who put their lives on the line for freedom, I told them that the security of their region is important to our country's security.</w:t>
      </w:r>
    </w:p>
    <w:p w:rsidR="00A31137" w:rsidRPr="00A31137" w:rsidRDefault="00A31137" w:rsidP="00A31137">
      <w:r w:rsidRPr="00A31137">
        <w:t>Clinton, State of the Union, January 25, 1994</w:t>
      </w:r>
    </w:p>
    <w:p w:rsidR="00A31137" w:rsidRPr="00A31137" w:rsidRDefault="00A31137" w:rsidP="00A31137">
      <w:r w:rsidRPr="00A31137">
        <w:t>This year we must also do more to support democratic renewal and human rights and sustainable development all around the world. We will ask Congress to ratify the new GATT accord. We will continue standing by South Africa as it works its way through its bold and hopeful and difficult transition to democracy. We will convene a summit of the Western Hemisphere's democratic leaders from Canada to the tip of South America. And we will continue to press for the restoration of true democracy in Haiti. And as we build a more constructive relationship with China, we must continue to insist on clear signs of improvement in that nation's human rights record.</w:t>
      </w:r>
    </w:p>
    <w:p w:rsidR="00A31137" w:rsidRPr="00A31137" w:rsidRDefault="00A31137" w:rsidP="00A31137">
      <w:r w:rsidRPr="00A31137">
        <w:t>Clinton, State of the Union, January 25, 1994</w:t>
      </w:r>
    </w:p>
    <w:p w:rsidR="00A31137" w:rsidRPr="00A31137" w:rsidRDefault="00A31137" w:rsidP="00A31137">
      <w:r w:rsidRPr="00A31137">
        <w:t>We will also work for new progress toward the Middle East peace. Last year the world watched Yitzhak Rabin and Yasser Arafat at the White House when they had their historic handshake of reconciliation. But there is a long, hard road ahead. And on that road I am determined that I and our administration will do all we can to achieve a comprehensive and lasting peace for all the peoples of the region.</w:t>
      </w:r>
    </w:p>
    <w:p w:rsidR="00A31137" w:rsidRPr="00A31137" w:rsidRDefault="00A31137" w:rsidP="00A31137">
      <w:r w:rsidRPr="00A31137">
        <w:t>Clinton, State of the Union, January 25, 1994</w:t>
      </w:r>
    </w:p>
    <w:p w:rsidR="00A31137" w:rsidRPr="00A31137" w:rsidRDefault="00A31137" w:rsidP="00A31137">
      <w:r w:rsidRPr="00A31137">
        <w:t>Now, there are some in our country who argue that with the cold war, America should turn its back on the rest of the world. Many around the world were afraid we would do just that. But I took this office on a pledge that had no partisan tinge, to keep our Nation secure by remaining engaged in the rest of the world. And this year, because of our work together, enacting NAFTA, keeping our military strong and prepared, supporting democracy abroad, we have reaffirmed America's leadership, America's engagement. And as a result, the American people are more secure than they were before.</w:t>
      </w:r>
    </w:p>
    <w:p w:rsidR="00A31137" w:rsidRPr="00A31137" w:rsidRDefault="00A31137" w:rsidP="00A31137">
      <w:r w:rsidRPr="00A31137">
        <w:t>Clinton, State of the Union, January 25, 1994</w:t>
      </w:r>
    </w:p>
    <w:p w:rsidR="00A31137" w:rsidRPr="00A31137" w:rsidRDefault="00A31137" w:rsidP="00A31137">
      <w:r w:rsidRPr="00A31137">
        <w:t>But while Americans are more secure from threats abroad, I think we all know that in many ways we are less secure from threats here at home. Every day the national peace is shattered by crime. In Petaluma, California, an innocent slumber party gives way to agonizing tragedy for the family of Polly Klaas.  An ordinary train  ride on Long Island ends in a hail of 9-millimeter rounds. A tourist in Florida is nearly burned alive by bigots simply because he is black. Right here in our Nation's Capital, a brave young man named Jason White, a policeman, the son and grandson of policemen, is ruthlessly gunned down. Violent crime and the fear it provokes are crippling our society, limiting personal freedom, and fraying the ties that bind us.</w:t>
      </w:r>
    </w:p>
    <w:p w:rsidR="00A31137" w:rsidRPr="00A31137" w:rsidRDefault="00A31137" w:rsidP="00A31137">
      <w:r w:rsidRPr="00A31137">
        <w:t>Clinton, State of the Union, January 25, 1994</w:t>
      </w:r>
    </w:p>
    <w:p w:rsidR="00A31137" w:rsidRPr="00A31137" w:rsidRDefault="00A31137" w:rsidP="00A31137">
      <w:r w:rsidRPr="00A31137">
        <w:t>The crime bill before Congress gives you a chance to do something about it, a chance to be tough and smart. What does that mean? Let me begin by saying I care a lot about this issue. Many years ago, when I started out in public life, I was the attorney general of my State. I served as  a Governor for a dozen years. I know what it's like to sign laws increasing penalties, to build more prison cells, to carry out the death penalty. I understand this issue. And it is not a simple thing.</w:t>
      </w:r>
    </w:p>
    <w:p w:rsidR="00A31137" w:rsidRPr="00A31137" w:rsidRDefault="00A31137" w:rsidP="00A31137">
      <w:r w:rsidRPr="00A31137">
        <w:t>Clinton, State of the Union, January 25, 1994</w:t>
      </w:r>
    </w:p>
    <w:p w:rsidR="00A31137" w:rsidRPr="00A31137" w:rsidRDefault="00A31137" w:rsidP="00A31137">
      <w:r w:rsidRPr="00A31137">
        <w:t>First, we must recognize that most violent crimes are committed by a small percentage of criminals who too often break the laws even when they are on parole. Now those who commit crimes should be punished. And those who commit repeated, violent crimes should be told, "When you commit a third violent crime, you will be put away, and put away for good. Three strikes, and you are out."</w:t>
      </w:r>
    </w:p>
    <w:p w:rsidR="00A31137" w:rsidRPr="00A31137" w:rsidRDefault="00A31137" w:rsidP="00A31137">
      <w:r w:rsidRPr="00A31137">
        <w:t>Clinton, State of the Union, January 25, 1994</w:t>
      </w:r>
    </w:p>
    <w:p w:rsidR="00A31137" w:rsidRPr="00A31137" w:rsidRDefault="00A31137" w:rsidP="00A31137">
      <w:r w:rsidRPr="00A31137">
        <w:t>Second, we must take serious steps to reduce violence and prevent crime, beginning with more police officers and more community policing. We know right now that police who work the streets, know the folks, have the respect of the neighborhood kids, focus on high crime areas, we know that they are more likely to prevent crime as well as catch criminals. Look at the experience of Houston, where the crime rate dropped 17 percent in one year when that approach was taken.</w:t>
      </w:r>
    </w:p>
    <w:p w:rsidR="00A31137" w:rsidRPr="00A31137" w:rsidRDefault="00A31137" w:rsidP="00A31137">
      <w:r w:rsidRPr="00A31137">
        <w:t>Clinton, State of the Union, January 25, 1994</w:t>
      </w:r>
    </w:p>
    <w:p w:rsidR="00A31137" w:rsidRPr="00A31137" w:rsidRDefault="00A31137" w:rsidP="00A31137">
      <w:r w:rsidRPr="00A31137">
        <w:t>Here tonight is one of those community policemen, a brave, young detective, Kevin Jett, whose beat is eight square blocks in one of the toughest neighborhoods in New York. Every day he restores some sanity and safety and a sense of values and connections to the people whose lives he protects. I'd like to ask him to stand  up and be recognized tonight. Thank you, sir. [Applause]</w:t>
      </w:r>
    </w:p>
    <w:p w:rsidR="00A31137" w:rsidRPr="00A31137" w:rsidRDefault="00A31137" w:rsidP="00A31137">
      <w:r w:rsidRPr="00A31137">
        <w:t>Clinton, State of the Union, January 25, 1994</w:t>
      </w:r>
    </w:p>
    <w:p w:rsidR="00A31137" w:rsidRPr="00A31137" w:rsidRDefault="00A31137" w:rsidP="00A31137">
      <w:r w:rsidRPr="00A31137">
        <w:t>You will be given a chance to give the children of this country, the law-abiding working people of this country—and don't forget, in the toughest neighborhoods in this country, in the highest crime neighborhoods in this country, the vast majority of people get up every day and obey the law, pay their taxes, do their best to raise their kids. They deserve people like Kevin Jett. And you're going to be given a chance to give the American people another 100,000 of them, well trained. And I urge you to do it.</w:t>
      </w:r>
    </w:p>
    <w:p w:rsidR="00A31137" w:rsidRPr="00A31137" w:rsidRDefault="00A31137" w:rsidP="00A31137">
      <w:r w:rsidRPr="00A31137">
        <w:t>Clinton, State of the Union, January 25, 1994</w:t>
      </w:r>
    </w:p>
    <w:p w:rsidR="00A31137" w:rsidRPr="00A31137" w:rsidRDefault="00A31137" w:rsidP="00A31137">
      <w:r w:rsidRPr="00A31137">
        <w:t>You have before you crime legislation which also establishes a police corps to encourage young people to get an education and pay it off by serving as police officers; which encourages retiring military personnel to move into police forces, an inordinate resource for our country; one which has a safe schools provision which will give our young people the chance to walk to school in safety and to be in school in safety instead of dodging bullets. These are important things.</w:t>
      </w:r>
    </w:p>
    <w:p w:rsidR="00A31137" w:rsidRPr="00A31137" w:rsidRDefault="00A31137" w:rsidP="00A31137">
      <w:r w:rsidRPr="00A31137">
        <w:t>Clinton, State of the Union, January 25, 1994</w:t>
      </w:r>
    </w:p>
    <w:p w:rsidR="00A31137" w:rsidRPr="00A31137" w:rsidRDefault="00A31137" w:rsidP="00A31137">
      <w:r w:rsidRPr="00A31137">
        <w:t>The third thing we have to do is to build on the Brady bill, the Brady law, to take further steps to keep guns out of the hands of criminals. I want to say something about this issue. Hunters must always be free to hunt. Law-abiding adults should always be free to own guns and protect their homes. I respect that part of our culture; I grew up in it. But I want to ask the sportsmen and others who lawfully own guns to join us in this campaign to reduce gun violence. I say to you, I know you didn't create this problem, but we need your help to solve it. There is no sporting purpose on Earth that should stop the United States Congress from banishing assault weapons that out-gun police and cut down children.</w:t>
      </w:r>
    </w:p>
    <w:p w:rsidR="00A31137" w:rsidRPr="00A31137" w:rsidRDefault="00A31137" w:rsidP="00A31137">
      <w:r w:rsidRPr="00A31137">
        <w:t>Clinton, State of the Union, January 25, 1994</w:t>
      </w:r>
    </w:p>
    <w:p w:rsidR="00A31137" w:rsidRPr="00A31137" w:rsidRDefault="00A31137" w:rsidP="00A31137">
      <w:r w:rsidRPr="00A31137">
        <w:t>Fourth, we must remember that drugs are a factor in an enormous percentage of crimes. Recent studies indicate, sadly, that drug use is on the rise again among our young people. The crime bill contains—all the crime bills contain—more money for drug treatment for criminal addicts and boot camps for youthful offenders that include incentives to get off drugs and to stay off drugs. Our administration's budget, with all its cuts, contains a large increase in funding for drug treatment and drug education. You must pass them both. We need them desperately.</w:t>
      </w:r>
    </w:p>
    <w:p w:rsidR="00A31137" w:rsidRPr="00A31137" w:rsidRDefault="00A31137" w:rsidP="00A31137">
      <w:r w:rsidRPr="00A31137">
        <w:t>Clinton, State of the Union, January 25, 1994</w:t>
      </w:r>
    </w:p>
    <w:p w:rsidR="00A31137" w:rsidRPr="00A31137" w:rsidRDefault="00A31137" w:rsidP="00A31137">
      <w:r w:rsidRPr="00A31137">
        <w:t>My fellow Americans, the problem of violence is an American problem. It has no partisan or philosophical element. Therefore, I urge you to find ways as quickly as possible to set aside partisan differences and pass a strong, smart, tough crime bill. But further, I urge you to consider this: As you demand tougher penalties for those who choose violence, let us also remember how we came to this sad point. In our toughest neighborhoods, on our meanest streets, in our poorest rural areas, we have seen a stunning and simultaneous breakdown of community, family, and work, the heart and soul of civilized society. This has created a vast vacuum which has been filled by violence and drugs and gangs. So I ask you to remember  that even as we say "no" to crime, we must give people, especially our young people, something to say "yes" to.</w:t>
      </w:r>
    </w:p>
    <w:p w:rsidR="00A31137" w:rsidRPr="00A31137" w:rsidRDefault="00A31137" w:rsidP="00A31137">
      <w:r w:rsidRPr="00A31137">
        <w:t>Clinton, State of the Union, January 25, 1994</w:t>
      </w:r>
    </w:p>
    <w:p w:rsidR="00A31137" w:rsidRPr="00A31137" w:rsidRDefault="00A31137" w:rsidP="00A31137">
      <w:r w:rsidRPr="00A31137">
        <w:t>Many of our initiatives, from job training to welfare reform to health care to national service, will help to rebuild distressed communities, to strengthen families, to provide work. But more needs to be done. That's what our community empowerment agenda is all about, challenging businesses to provide more investment through empowerment zones, ensuring banks will make loans in the same communities their deposits come from, passing legislation to unleash the power of capital through community development banks to create jobs, opportunity, and hope where they're needed most.</w:t>
      </w:r>
    </w:p>
    <w:p w:rsidR="00A31137" w:rsidRPr="00A31137" w:rsidRDefault="00A31137" w:rsidP="00A31137">
      <w:r w:rsidRPr="00A31137">
        <w:t>Clinton, State of the Union, January 25, 1994</w:t>
      </w:r>
    </w:p>
    <w:p w:rsidR="00A31137" w:rsidRPr="00A31137" w:rsidRDefault="00A31137" w:rsidP="00A31137">
      <w:r w:rsidRPr="00A31137">
        <w:t>I think you know that to really solve this problem, we'll all have to put our heads together, leave our ideological armor aside, and find some new ideas to do even more. And let's be honest, we all know something else too: Our problems go way beyond the reach of Government. They're rooted in the loss of values, in the disappearance of work, and the breakdown of our families and our communities.</w:t>
      </w:r>
    </w:p>
    <w:p w:rsidR="00A31137" w:rsidRPr="00A31137" w:rsidRDefault="00A31137" w:rsidP="00A31137">
      <w:r w:rsidRPr="00A31137">
        <w:t>Clinton, State of the Union, January 25, 1994</w:t>
      </w:r>
    </w:p>
    <w:p w:rsidR="00A31137" w:rsidRPr="00A31137" w:rsidRDefault="00A31137" w:rsidP="00A31137">
      <w:r w:rsidRPr="00A31137">
        <w:t>My fellow Americans, we can cut the deficit, create jobs, promote democracy around the world, pass welfare reform and health care, pass the toughest crime bill in history, but still leave too many of our people behind. The American people have got to want to change from within if we're going to bring back work and family and community. We cannot renew our country when within a decade more than half of the children will be born into families where there has been no marriage. We cannot renew this country when 13-year-old boys get semi-automatic weapons to shoot 9-year-olds for kicks. We can't renew our country when children are having children, and the fathers walk away as if the kids don't amount to anything. We can't renew the country when our businesses eagerly look for new investments and new customers abroad but ignore those people right here at home who would give anything to have their jobs and would gladly buy their products if they had the money to do it. We can't renew our country unless more of usI mean, all of us—are willing to join the churches and the other good citizens, people like all the ministers I've worked with over the years or the priests and the nuns I met at Our Lady of Help in east Los Angeles or my good friend Tony Campollo in Philadelphia, unless we're willing to work with people like that, people who are saving kids, adopting schools, making streets safer. All of us can do that. We can't renew our country until we realize that governments don't raise children, parents do.</w:t>
      </w:r>
    </w:p>
    <w:p w:rsidR="00A31137" w:rsidRPr="00A31137" w:rsidRDefault="00A31137" w:rsidP="00A31137">
      <w:r w:rsidRPr="00A31137">
        <w:t>Clinton, State of the Union, January 25, 1994</w:t>
      </w:r>
    </w:p>
    <w:p w:rsidR="00A31137" w:rsidRPr="00A31137" w:rsidRDefault="00A31137" w:rsidP="00A31137">
      <w:r w:rsidRPr="00A31137">
        <w:t>Parents who know their children's teachers and turn off the television and help with the homework and teach their kids right from wrong, those kinds of parents can make all the difference. I know, I had one. I'm telling you, we have got to stop pointing our fingers at these kids who have no future and reach our hands out to them. Our country needs it, we need it, and they deserve it.</w:t>
      </w:r>
    </w:p>
    <w:p w:rsidR="00A31137" w:rsidRPr="00A31137" w:rsidRDefault="00A31137" w:rsidP="00A31137">
      <w:r w:rsidRPr="00A31137">
        <w:t>Clinton, State of the Union, January 25, 1994</w:t>
      </w:r>
    </w:p>
    <w:p w:rsidR="00A31137" w:rsidRPr="00A31137" w:rsidRDefault="00A31137" w:rsidP="00A31137">
      <w:r w:rsidRPr="00A31137">
        <w:t>So I say to you tonight, let's give our children a future. Let us take away their guns and give them books. Let us overcome their despair and replace it with hope. Let us, by our example, teach them to obey the law, respect our neighbors, and cherish our values. Let us weave these sturdy threads into a new American community that can once more stand strong against the forces of despair and evil because everybody has a chance to walk into a better tomorrow.</w:t>
      </w:r>
    </w:p>
    <w:p w:rsidR="00A31137" w:rsidRPr="00A31137" w:rsidRDefault="00A31137" w:rsidP="00A31137">
      <w:r w:rsidRPr="00A31137">
        <w:t>Clinton, State of the Union, January 25, 1994</w:t>
      </w:r>
    </w:p>
    <w:p w:rsidR="00A31137" w:rsidRPr="00A31137" w:rsidRDefault="00A31137" w:rsidP="00A31137">
      <w:r w:rsidRPr="00A31137">
        <w:t>Oh, there will be naysayers who fear that we won't be equal to the challenges of this time. But they misread our history, our heritage. Even today's headlines, all those things tell us we can and we will overcome any challenge.</w:t>
      </w:r>
    </w:p>
    <w:p w:rsidR="00A31137" w:rsidRPr="00A31137" w:rsidRDefault="00A31137" w:rsidP="00A31137">
      <w:r w:rsidRPr="00A31137">
        <w:t>Clinton, State of the Union, January 25, 1994</w:t>
      </w:r>
    </w:p>
    <w:p w:rsidR="00A31137" w:rsidRPr="00A31137" w:rsidRDefault="00A31137" w:rsidP="00A31137">
      <w:r w:rsidRPr="00A31137">
        <w:t>When the Earth shook and fires raged in California, when I saw the Mississippi deluge the farmlands of the Midwest in a 500-year flood, when the century's bitterest cold swept from North Dakota to Newport News, it seemed as though the world itself was coming apart at the seams. But the American people, they just came together. They rose to the occasion, neighbor helping neighbor, strangers risking life and limb to save total strangers, showing the better angels of our nature.</w:t>
      </w:r>
    </w:p>
    <w:p w:rsidR="00A31137" w:rsidRPr="00A31137" w:rsidRDefault="00A31137" w:rsidP="00A31137">
      <w:r w:rsidRPr="00A31137">
        <w:t>Clinton, State of the Union, January 25, 1994</w:t>
      </w:r>
    </w:p>
    <w:p w:rsidR="00A31137" w:rsidRPr="00A31137" w:rsidRDefault="00A31137" w:rsidP="00A31137">
      <w:r w:rsidRPr="00A31137">
        <w:t>Let us not reserve the better angels only for natural disasters, leaving our deepest and most profound problems to petty political fighting. Let us instead be true to our spirit, facing facts, coming together, bringing hope, and moving forward.</w:t>
      </w:r>
    </w:p>
    <w:p w:rsidR="00A31137" w:rsidRPr="00A31137" w:rsidRDefault="00A31137" w:rsidP="00A31137">
      <w:r w:rsidRPr="00A31137">
        <w:t>Clinton, State of the Union, January 25, 1994</w:t>
      </w:r>
    </w:p>
    <w:p w:rsidR="00A31137" w:rsidRPr="00A31137" w:rsidRDefault="00A31137" w:rsidP="00A31137">
      <w:r w:rsidRPr="00A31137">
        <w:t>Tonight, my fellow Americans, we are summoned to answer a question as old as the Republic itself: What is the state of our Union? It is growing stronger, but it must be stronger still. With your help, and God's help, it will be.</w:t>
      </w:r>
    </w:p>
    <w:p w:rsidR="00A31137" w:rsidRPr="00A31137" w:rsidRDefault="00A31137" w:rsidP="00A31137">
      <w:r w:rsidRPr="00A31137">
        <w:t>Clinton, State of the Union, January 25, 1994</w:t>
      </w:r>
    </w:p>
    <w:p w:rsidR="00A31137" w:rsidRPr="00A31137" w:rsidRDefault="00A31137" w:rsidP="00A31137">
      <w:r w:rsidRPr="00A31137">
        <w:t>Thank you, and God bless America.</w:t>
      </w:r>
    </w:p>
    <w:p w:rsidR="00A31137" w:rsidRPr="00A31137" w:rsidRDefault="00A31137" w:rsidP="00A31137">
      <w:r w:rsidRPr="00A31137">
        <w:t>Clinton, State of the Union, January 25, 1994</w:t>
      </w:r>
    </w:p>
    <w:p w:rsidR="00A31137" w:rsidRPr="00A31137" w:rsidRDefault="00A31137" w:rsidP="00A31137">
      <w:r w:rsidRPr="00A31137">
        <w:t>Note: The President spoke at 9:15 p.m. in the House Chamber of the Capitol.</w:t>
      </w:r>
    </w:p>
    <w:p w:rsidR="00A31137" w:rsidRPr="00A31137" w:rsidRDefault="00A31137" w:rsidP="00A31137">
      <w:r w:rsidRPr="00A31137">
        <w:t>Planned Parenthood of S.E. Pa. v. Casey, 1994</w:t>
      </w:r>
    </w:p>
    <w:p w:rsidR="00A31137" w:rsidRPr="00A31137" w:rsidRDefault="00A31137" w:rsidP="00A31137">
      <w:r w:rsidRPr="00A31137">
        <w:t>Title:</w:t>
      </w:r>
      <w:r w:rsidRPr="00A31137">
        <w:tab/>
        <w:t>Planned Parenthood of Southeastern Pennsylvania v. Casey</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February 7, 1994</w:t>
      </w:r>
    </w:p>
    <w:p w:rsidR="00A31137" w:rsidRPr="00A31137" w:rsidRDefault="00A31137" w:rsidP="00A31137">
      <w:r w:rsidRPr="00A31137">
        <w:t>Source:</w:t>
      </w:r>
      <w:r w:rsidRPr="00A31137">
        <w:tab/>
        <w:t>510 U.S. 1309</w:t>
      </w:r>
    </w:p>
    <w:p w:rsidR="00A31137" w:rsidRPr="00A31137" w:rsidRDefault="00A31137" w:rsidP="00A31137">
      <w:r w:rsidRPr="00A31137">
        <w:t>ON APPLICATION FOR STAY OF MANDATE</w:t>
      </w:r>
    </w:p>
    <w:p w:rsidR="00A31137" w:rsidRPr="00A31137" w:rsidRDefault="00A31137" w:rsidP="00A31137">
      <w:r w:rsidRPr="00A31137">
        <w:t>Syllabus</w:t>
      </w:r>
    </w:p>
    <w:p w:rsidR="00A31137" w:rsidRPr="00A31137" w:rsidRDefault="00A31137" w:rsidP="00A31137">
      <w:r w:rsidRPr="00A31137">
        <w:t>1994, Planned Parenthood of S.E. Pa. v. Casey, 510 U.S. 1309</w:t>
      </w:r>
    </w:p>
    <w:p w:rsidR="00A31137" w:rsidRPr="00A31137" w:rsidRDefault="00A31137" w:rsidP="00A31137">
      <w:r w:rsidRPr="00A31137">
        <w:t>The application for a stay of the Court of Appeals' mandate allowing enforcement of Pennsylvania's Abortion Control Act, pending the filing of a petition for certiorari is denied. The applicants are correct that, if it is proven that the Act would have the effect that applicants allege, enforcement of the Act's pertinent provisions may interpose a substantial obstacle to the exercise of the right to reproductive freedom guaranteed by the Due Process Clause and affirmed in Planned Parenthood of Southeastern Pa. v. Casey, 505 U.S. 833. However, there is no reasonable probability that this Court will grant review and no fair prospect that the applicants will ultimately prevail on the merits. The Court of Appeals' decision—that the District Court erred in reopening the record in the facial constitutional challenge to the Act and continuing its injunction against enforcement of various provisions—does not represent such an arguable departure from this Court's mandate in Casey as to warrant discretionary review or an award of the relief applicants seek. This Court did not remand Casey to the lower courts for application of the proper legal standard, but undertook to apply the standard to the statute, upholding the constitutionality of most of its provisions. None of Casey's five opinions took the position that the District Court record was inadequate in a way that would counsel leaving those judgments to the District Court in the first instance. In addition, it was at least unusual for the District Court to enjoin enforcement of the statute on a showing of "plausible likelihood" of success.</w:t>
      </w:r>
    </w:p>
    <w:p w:rsidR="00A31137" w:rsidRPr="00A31137" w:rsidRDefault="00A31137" w:rsidP="00A31137">
      <w:r w:rsidRPr="00A31137">
        <w:t>SOUTER, J., lead opinion</w:t>
      </w:r>
    </w:p>
    <w:p w:rsidR="00A31137" w:rsidRPr="00A31137" w:rsidRDefault="00A31137" w:rsidP="00A31137">
      <w:r w:rsidRPr="00A31137">
        <w:t>1994, Planned Parenthood of S.E. Pa. v. Casey, 510 U.S. 1309</w:t>
      </w:r>
    </w:p>
    <w:p w:rsidR="00A31137" w:rsidRPr="00A31137" w:rsidRDefault="00A31137" w:rsidP="00A31137">
      <w:r w:rsidRPr="00A31137">
        <w:t>JUSTICE SOUTER, in chambers.</w:t>
      </w:r>
    </w:p>
    <w:p w:rsidR="00A31137" w:rsidRPr="00A31137" w:rsidRDefault="00A31137" w:rsidP="00A31137">
      <w:r w:rsidRPr="00A31137">
        <w:t>1994, Planned Parenthood of S.E. Pa. v. Casey, 510 U.S. 1309</w:t>
      </w:r>
    </w:p>
    <w:p w:rsidR="00A31137" w:rsidRPr="00A31137" w:rsidRDefault="00A31137" w:rsidP="00A31137">
      <w:r w:rsidRPr="00A31137">
        <w:t>Addressing me in my capacity as Circuit Justice for the Third Circuit, the applicants seek a stay of the Court of Appeals' mandate in this case, pending their filing a petition for certiorari. See 28 U.S.C. § 2106. In the decision from which applicants intend to seek review, 14 F.3d 848 (CA3 1994), the Court of Appeals held that the District Court's order allowing applicants to reopen the record in their facial constitutional challenge to Pennsylvania's Abortion Control [510 U.S. 1310] Act, 18 Pa.Cons.Stat. §§ 3203-3220 (1990), and continuing its order enjoining the Commonwealth from enforcing various provisions of that statute, see 822 F.Supp. 227 (ED Pa. 1993), was inconsistent with both the mandate of this Court in Planned Parenthood of Southeastern Pennsylvania v. Casey, 505 U.S. 833, and that of the Third Circuit on remand, see 978 F.2d 74 (1992). 1 For the reasons set out below, I decline to stay the mandate of the Court of Appeals.</w:t>
      </w:r>
    </w:p>
    <w:p w:rsidR="00A31137" w:rsidRPr="00A31137" w:rsidRDefault="00A31137" w:rsidP="00A31137">
      <w:r w:rsidRPr="00A31137">
        <w:t>1994, Planned Parenthood of S.E. Pa. v. Casey, 510 U.S. 1310</w:t>
      </w:r>
    </w:p>
    <w:p w:rsidR="00A31137" w:rsidRPr="00A31137" w:rsidRDefault="00A31137" w:rsidP="00A31137">
      <w:r w:rsidRPr="00A31137">
        <w:t>The conditions that must be shown to be satisfied before a Circuit Justice may grant such an application are familiar: a likelihood of irreparable injury that, assuming the correctness of the applicants' position, would result were a stay not issued; a reasonable probability that the Court will grant certiorari; and a fair prospect that the applicant will ultimately prevail on the merits, see generally Rostker v. Goldberg, 448 U.S. 1306, 1308 (1980) (BRENNAN, J., in chambers). The burden is on the applicant to "rebut the presumption that the decisions below—both on the merits and on the proper interim disposition of the case—are correct." Ibid.</w:t>
      </w:r>
    </w:p>
    <w:p w:rsidR="00A31137" w:rsidRPr="00A31137" w:rsidRDefault="00A31137" w:rsidP="00A31137">
      <w:r w:rsidRPr="00A31137">
        <w:t>1994, Planned Parenthood of S.E. Pa. v. Casey, 510 U.S. 1310</w:t>
      </w:r>
    </w:p>
    <w:p w:rsidR="00A31137" w:rsidRPr="00A31137" w:rsidRDefault="00A31137" w:rsidP="00A31137">
      <w:r w:rsidRPr="00A31137">
        <w:t>With respect to the first consideration, the applicants assert that enforcement of the pertinent provisions of the Abortion Control Act will, for a "large fraction," Casey, 505 U.S. at  895, of the affected population, interpose a "substantial obstacle," id. at  877 to the exercise of the right to reproductive freedom guaranteed by the Due Process Clause and affirmed in this Court's Casey opinion. 2 I have no difficulty concluding that such an imposition, if proven, would qualify as "irreparable injury," and support the issuance of a stay if [510 U.S. 1311] the other factors favored the applicants' position. Those other factors, however, point the other way. 3</w:t>
      </w:r>
    </w:p>
    <w:p w:rsidR="00A31137" w:rsidRPr="00A31137" w:rsidRDefault="00A31137" w:rsidP="00A31137">
      <w:r w:rsidRPr="00A31137">
        <w:t>1994, Planned Parenthood of S.E. Pa. v. Casey, 510 U.S. 1311</w:t>
      </w:r>
    </w:p>
    <w:p w:rsidR="00A31137" w:rsidRPr="00A31137" w:rsidRDefault="00A31137" w:rsidP="00A31137">
      <w:r w:rsidRPr="00A31137">
        <w:t>The core of the applicants' submission is that the Court of Appeals fundamentally misread our opinion and mandate in Casey in determining that the District Court erred in re-opening the record and continuing its injunction against enforcement of the Pennsylvania statute. 4 Although applicants are right as a general matter in arguing that this Court has a special interest in ensuring that courts, on remand, follow the letter and spirit of our mandates, see, e.g., In re Sanford Fork &amp; Tool Co., 160 U.S. 247, 255-256 (1895), I am not convinced (nor, I believe, would my colleagues be) that the Court of Appeals' opinion represents such an arguable departure from our mandate as to warrant discretionary review or, in the end, an award of the relief the applicants seek [510 U.S. 1312] .</w:t>
      </w:r>
    </w:p>
    <w:p w:rsidR="00A31137" w:rsidRPr="00A31137" w:rsidRDefault="00A31137" w:rsidP="00A31137">
      <w:r w:rsidRPr="00A31137">
        <w:t>1994, Planned Parenthood of S.E. Pa. v. Casey, 510 U.S. 1312</w:t>
      </w:r>
    </w:p>
    <w:p w:rsidR="00A31137" w:rsidRPr="00A31137" w:rsidRDefault="00A31137" w:rsidP="00A31137">
      <w:r w:rsidRPr="00A31137">
        <w:t>I note that I am not as certain as the Court of Appeals was that the District Court here has defied the terms of our remand in a manner that justifies comparison to Aaron v. Cooper, 163 F.Supp. 13 (ED Ark.), rev'd, 257 F.2d 33 (CA8), aff'd sub nom. Cooper v. Aaron, 358 U.S. 1 (1958). The letter of our Casey opinion is not entirely hard-edged. We remanded for "proceedings consistent with this opinion, including consideration of the question of severability," 505 U.S. at 901 , thereby allowing for the possibility (as applicants strenuously argue) that there might be something for the courts below to determine beyond the severability from the body of the statute of the provisions held constitutionally invalid. 5 More than once, we phrased our conclusion that particular provisions withstood facial challenge under the Due Process Clause in terms of "the record" before us in the case, see 505 U.S. at  884,  887,  901; see also 505 U.S. at  926 (BLACKMUN, J, concurring in part and dissenting in part) (suggesting that evidence could be adduced "in the future" that would establish the invalidity of the provisions, and arguing that the joint opinion did not "rule[] out [that] possibility").</w:t>
      </w:r>
    </w:p>
    <w:p w:rsidR="00A31137" w:rsidRPr="00A31137" w:rsidRDefault="00A31137" w:rsidP="00A31137">
      <w:r w:rsidRPr="00A31137">
        <w:t>1994, Planned Parenthood of S.E. Pa. v. Casey, 510 U.S. 1312</w:t>
      </w:r>
    </w:p>
    <w:p w:rsidR="00A31137" w:rsidRPr="00A31137" w:rsidRDefault="00A31137" w:rsidP="00A31137">
      <w:r w:rsidRPr="00A31137">
        <w:t>The Court of Appeals' construction of the opinion and mandate, however, is the correct one. Although we acknowledged in Casey that the precise formulation of the standard for assessing constitutionality of abortion regulation was, in some respects, novel, see 505 U.S. at 876-877; see also 14 F.3d 853-854 (acknowledging that Court had modified the Third Circuit's "undue burden" test), we did not remand the case to the lower courts for application of the proper standard, as is sometimes appropriate when a new legal standard is announced, see, e.g., Lucas v. South Carolina Coastal Council 505 U.S. 1003 (1992). Instead, [510 U.S. 1313] we undertook to apply the standard to the Pennsylvania statute, upholding the constitutionality of its core provisions governing informed consent, recordkeeping, and parental consent, while ruling that the husband-notification requirement, on its face, imposed a constitutionally intolerable burden on the freedom of women to choose abortion. 505 U.S. at 887-898. Significantly, none of the five opinions took the position that the record was inadequate in a way that would counsel leaving those judgments to the District Court in the first instance. Compare, e.g., McCleskey v. Zant, 499 U.S. 467,  506, 523-528 (1991) (Marshall J., dissenting). Thus, the references to "this record," combined with our readiness to decide the validity of the challenged provisions under the "undue burden" standard are plausibly understood as reflecting two conclusions: (1) that litigants are free to challenge similar restrictions in other jurisdictions, as well as these very provisions as applied, see Fargo Women's Health Org. v. Schafer, 507 U.S. 1013 (O'CONNOR, J, concurring in denial of stay); and (2) that applicants had been given a fair opportunity to develop the record in the District Court.</w:t>
      </w:r>
    </w:p>
    <w:p w:rsidR="00A31137" w:rsidRPr="00A31137" w:rsidRDefault="00A31137" w:rsidP="00A31137">
      <w:r w:rsidRPr="00A31137">
        <w:t>1994, Planned Parenthood of S.E. Pa. v. Casey, 510 U.S. 1313</w:t>
      </w:r>
    </w:p>
    <w:p w:rsidR="00A31137" w:rsidRPr="00A31137" w:rsidRDefault="00A31137" w:rsidP="00A31137">
      <w:r w:rsidRPr="00A31137">
        <w:t>Indeed, the District Court's error in rejecting the latter conclusion deserves a word of comment. The District Court reasoned that, because our opinion in Casey altered the "rules of the game," it would be unjust to dispose of an "undue burden" challenge on the basis of a record developed for purposes of a challenge based on "strict scrutiny." See 822 F.Supp. at 235-236. But even if this reasoning were not in tension with the approach ultimately taken in the Casey opinion, the applicants do not seriously suggest that the vitality of the "strict scrutiny" test was free from uncertainty at the time this case was brought in the District Court, or that they lacked incentive to compile a record to support the invalidation of the challenged provisions under a less strict standard of review. The original District Court opinion contains 287 detailed findings [510 U.S. 1314] of fact and carries every indication that the applicants were given broad latitude to introduce evidence, call witnesses, and elicit testimony about the potential effects of the challenged provisions on the reproductive freedom of women.</w:t>
      </w:r>
    </w:p>
    <w:p w:rsidR="00A31137" w:rsidRPr="00A31137" w:rsidRDefault="00A31137" w:rsidP="00A31137">
      <w:r w:rsidRPr="00A31137">
        <w:t>1994, Planned Parenthood of S.E. Pa. v. Casey, 510 U.S. 1314</w:t>
      </w:r>
    </w:p>
    <w:p w:rsidR="00A31137" w:rsidRPr="00A31137" w:rsidRDefault="00A31137" w:rsidP="00A31137">
      <w:r w:rsidRPr="00A31137">
        <w:t>In addition to these reasons for thinking there is no reasonable probability of review and no fair prospect of reversing the Court of Appeals, one other point bears mention. In continuing its order enjoining enforcement of various statutory provisions, the District Court concluded that the evidence applicants were seeking to introduce raised only a "plausible likelihood" of prevailing in their renewed facial challenge to the statute. 822 F.Supp. at 238. It was at least unusual for a District Court to enjoin enforcement of a statute, the last word on which was the recent judgment of this Court upholding its constitutionality, on a showing of "plausible likelihood" of success. This element of the case would certainly, and properly, influence my colleagues' decision whether to review the judgment of the Court of Appeals, as well as their view of its merits if review were granted.</w:t>
      </w:r>
    </w:p>
    <w:p w:rsidR="00A31137" w:rsidRPr="00A31137" w:rsidRDefault="00A31137" w:rsidP="00A31137">
      <w:r w:rsidRPr="00A31137">
        <w:t>1994, Planned Parenthood of S.E. Pa. v. Casey, 510 U.S. 1314</w:t>
      </w:r>
    </w:p>
    <w:p w:rsidR="00A31137" w:rsidRPr="00A31137" w:rsidRDefault="00A31137" w:rsidP="00A31137">
      <w:r w:rsidRPr="00A31137">
        <w:t>The application for stay of mandate is denied.</w:t>
      </w:r>
    </w:p>
    <w:p w:rsidR="00A31137" w:rsidRPr="00A31137" w:rsidRDefault="00A31137" w:rsidP="00A31137">
      <w:r w:rsidRPr="00A31137">
        <w:t>Footnotes</w:t>
      </w:r>
    </w:p>
    <w:p w:rsidR="00A31137" w:rsidRPr="00A31137" w:rsidRDefault="00A31137" w:rsidP="00A31137">
      <w:r w:rsidRPr="00A31137">
        <w:t>SOUTER, J., lead opinion (Footnotes)</w:t>
      </w:r>
    </w:p>
    <w:p w:rsidR="00A31137" w:rsidRPr="00A31137" w:rsidRDefault="00A31137" w:rsidP="00A31137">
      <w:r w:rsidRPr="00A31137">
        <w:t>1994, Planned Parenthood of S.E. Pa. v. Casey, 510 U.S. 1314</w:t>
      </w:r>
    </w:p>
    <w:p w:rsidR="00A31137" w:rsidRPr="00A31137" w:rsidRDefault="00A31137" w:rsidP="00A31137">
      <w:r w:rsidRPr="00A31137">
        <w:t>1. The Third Circuit panel also denied a motion, substantially identical to the one presented here, to stay its mandate.</w:t>
      </w:r>
    </w:p>
    <w:p w:rsidR="00A31137" w:rsidRPr="00A31137" w:rsidRDefault="00A31137" w:rsidP="00A31137">
      <w:r w:rsidRPr="00A31137">
        <w:t>1994, Planned Parenthood of S.E. Pa. v. Casey, 510 U.S. 1314</w:t>
      </w:r>
    </w:p>
    <w:p w:rsidR="00A31137" w:rsidRPr="00A31137" w:rsidRDefault="00A31137" w:rsidP="00A31137">
      <w:r w:rsidRPr="00A31137">
        <w:t>2. For the purposes of this opinion, I join the applicants and the courts below in treating the joint opinion in Planned Parenthood of Southeastern Pa. v. Casey, see 505 U.S. 833,  833 (opinion of O'CONNOR, KENNEDY, and SOUTER, JJ.) to be controlling, as the statement of the Members of the Court who concurred in the judgment on the narrowest grounds. See Marks v. United States, 430 U.S. 188 (1977).</w:t>
      </w:r>
    </w:p>
    <w:p w:rsidR="00A31137" w:rsidRPr="00A31137" w:rsidRDefault="00A31137" w:rsidP="00A31137">
      <w:r w:rsidRPr="00A31137">
        <w:t>1994, Planned Parenthood of S.E. Pa. v. Casey, 510 U.S. 1314</w:t>
      </w:r>
    </w:p>
    <w:p w:rsidR="00A31137" w:rsidRPr="00A31137" w:rsidRDefault="00A31137" w:rsidP="00A31137">
      <w:r w:rsidRPr="00A31137">
        <w:t>3. I note in this regard that the availability of further opportunities to test the constitutionality of the statute mitigates somewhat the quantum of harm that might ensue. The Court of Appeals acknowledged, correctly, that the applicants or other potential litigants remain free to test the constitutionality of the Act "as applied." See Opinion at 22 n. 18, 25. Since I am convinced that a majority of this Court would likely hold a further facial challenge by the parties in this case to be precluded by the opinion and mandate in Casey, there is no occasion to consider here the Court of Appeals' broader assertion that, even in cases where a statute's facial validity depends on an empirical record, see Fargo Women's Health Org. v. Schafer, 507 U.S. 1013 (O'CONNOR, J, concurring in denial of stay), a decision rejecting one such challenge must be dispositive as against all other possible litigants. Also potentially relevant to the irreparable injury calculus is the District Court's "considerable doubt" whether the Commonwealth is, in fact, prepared to begin immediate enforcement of several of the disputed provisions. See 822 F.Supp. at 237.</w:t>
      </w:r>
    </w:p>
    <w:p w:rsidR="00A31137" w:rsidRPr="00A31137" w:rsidRDefault="00A31137" w:rsidP="00A31137">
      <w:r w:rsidRPr="00A31137">
        <w:t>1994, Planned Parenthood of S.E. Pa. v. Casey, 510 U.S. 1314</w:t>
      </w:r>
    </w:p>
    <w:p w:rsidR="00A31137" w:rsidRPr="00A31137" w:rsidRDefault="00A31137" w:rsidP="00A31137">
      <w:r w:rsidRPr="00A31137">
        <w:t>4. The applicants' contention that the Court of Appeals' ruling "conflicts" with decisions recognizing district court discretion to decide matters left open by a mandate, see e.g., Quern v. Jordan, 440 U.S. 332, 347 n. 18 (1979), cf. Sup.Ct.R. 10.1(c), amounts to no more than a restatement of their basic claim, i.e., that the District Court's reading of Casey, and not the Third Circuit's, was the correct one.</w:t>
      </w:r>
    </w:p>
    <w:p w:rsidR="00A31137" w:rsidRPr="00A31137" w:rsidRDefault="00A31137" w:rsidP="00A31137">
      <w:r w:rsidRPr="00A31137">
        <w:t>1994, Planned Parenthood of S.E. Pa. v. Casey, 510 U.S. 1314</w:t>
      </w:r>
    </w:p>
    <w:p w:rsidR="00A31137" w:rsidRPr="00A31137" w:rsidRDefault="00A31137" w:rsidP="00A31137">
      <w:r w:rsidRPr="00A31137">
        <w:t>5. After the Court of Appeals had held that the invalid provisions could be severed from the rest of the statute, see 978 F.2d 74 (CA3 1992), that court itself remanded to the District Court for "such further proceedings as may be appropriate," id. at 78.</w:t>
      </w:r>
      <w:r w:rsidRPr="00A31137">
        <w:cr/>
      </w:r>
    </w:p>
    <w:p w:rsidR="00A31137" w:rsidRPr="00A31137" w:rsidRDefault="00A31137" w:rsidP="00A31137">
      <w:r w:rsidRPr="00A31137">
        <w:t>Oregon Waste Systems, Inc. v. Department of Envirnomental Quality, 1994</w:t>
      </w:r>
    </w:p>
    <w:p w:rsidR="00A31137" w:rsidRPr="00A31137" w:rsidRDefault="00A31137" w:rsidP="00A31137">
      <w:r w:rsidRPr="00A31137">
        <w:t>Title:</w:t>
      </w:r>
      <w:r w:rsidRPr="00A31137">
        <w:tab/>
        <w:t>Oregon Waste Systems, Inc. v. Department of Environmental Quality</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April 4, 1994</w:t>
      </w:r>
    </w:p>
    <w:p w:rsidR="00A31137" w:rsidRPr="00A31137" w:rsidRDefault="00A31137" w:rsidP="00A31137">
      <w:r w:rsidRPr="00A31137">
        <w:t>Source:</w:t>
      </w:r>
      <w:r w:rsidRPr="00A31137">
        <w:tab/>
        <w:t>No. 93-70 [U.S. Reports citation not yet available]</w:t>
      </w:r>
    </w:p>
    <w:p w:rsidR="00A31137" w:rsidRPr="00A31137" w:rsidRDefault="00A31137" w:rsidP="00A31137">
      <w:r w:rsidRPr="00A31137">
        <w:t>This case was argued January 18, 1994, and was decided April 4, 1994, together with No. 93-108, Columbia Resource Co. v. Environmental Quality Commission of the State of Oregon, also on certiorari to the same court.</w:t>
      </w:r>
    </w:p>
    <w:p w:rsidR="00A31137" w:rsidRPr="00A31137" w:rsidRDefault="00A31137" w:rsidP="00A31137">
      <w:r w:rsidRPr="00A31137">
        <w:t>CERTIORARI TO THE SUPREME COURT OF OREGON</w:t>
      </w:r>
    </w:p>
    <w:p w:rsidR="00A31137" w:rsidRPr="00A31137" w:rsidRDefault="00A31137" w:rsidP="00A31137">
      <w:r w:rsidRPr="00A31137">
        <w:t>Syllabus</w:t>
      </w:r>
    </w:p>
    <w:p w:rsidR="00A31137" w:rsidRPr="00A31137" w:rsidRDefault="00A31137" w:rsidP="00A31137">
      <w:r w:rsidRPr="00A31137">
        <w:t>1994, Oregon Waste Systems, Inc. v. Dept. of Env. Qual., 511 U.S. 93</w:t>
      </w:r>
    </w:p>
    <w:p w:rsidR="00A31137" w:rsidRPr="00A31137" w:rsidRDefault="00A31137" w:rsidP="00A31137">
      <w:r w:rsidRPr="00A31137">
        <w:t>Oregon imposes a $2.50 per ton surcharge on the in-state disposal of solid waste generated in other States and an $0.85 per ton fee on the disposal of waste generated within Oregon. Petitioners sought review of the out-of-state surcharge in the State Court of Appeals, challenging the administrative rule establishing the surcharge and its enabling statutes under, inter alia, the Commerce Clause. The court upheld the statutes and rule, and the State Supreme Court affirmed. Despite the Oregon statutes' explicit reference to out-of-state waste's geographical location, the court reasoned, the surcharge's express nexus to actual costs incurred by state and local government rendered it a facially constitutional "compensatory fee."</w:t>
      </w:r>
    </w:p>
    <w:p w:rsidR="00A31137" w:rsidRPr="00A31137" w:rsidRDefault="00A31137" w:rsidP="00A31137">
      <w:r w:rsidRPr="00A31137">
        <w:t>1994, Oregon Waste Systems, Inc. v. Dept. of Env. Qual., 511 U.S. 93</w:t>
      </w:r>
    </w:p>
    <w:p w:rsidR="00A31137" w:rsidRPr="00A31137" w:rsidRDefault="00A31137" w:rsidP="00A31137">
      <w:r w:rsidRPr="00A31137">
        <w:t>Held: Oregon's surcharge is facially invalid under the negative Commerce Clause.   Pp.  98-108.</w:t>
      </w:r>
    </w:p>
    <w:p w:rsidR="00A31137" w:rsidRPr="00A31137" w:rsidRDefault="00A31137" w:rsidP="00A31137">
      <w:r w:rsidRPr="00A31137">
        <w:t>1994, Oregon Waste Systems, Inc. v. Dept. of Env. Qual., 511 U.S. 93</w:t>
      </w:r>
    </w:p>
    <w:p w:rsidR="00A31137" w:rsidRPr="00A31137" w:rsidRDefault="00A31137" w:rsidP="00A31137">
      <w:r w:rsidRPr="00A31137">
        <w:t>(a) The first step in analyzing a law under the negative Commerce Clause is to determine whether it discriminates against, or regulates evenhandedly with only incidental effects on, interstate commerce. If the restriction is discriminatory—i.e., favors in-state economic interests over their out-of-state counterparts—it is virtually per se invalid. By contrast, nondiscriminatory regulations are valid unless the burden imposed on interstate commerce is "clearly excessive in relation to the putative local benefits." Pike v. Bruce Church, Inc., 397 U.S. 137, 142. Oregon's surcharge is obviously discriminatory on its face. It subjects waste from other States to a fee almost three times greater than the charge imposed on in-state waste, and the statutory determinant for whether the fee applies is whether or not the waste was generated out of state.   The alleged compensatory aim of the surcharge has no bearing on whether it is facially discriminatory. See Chemical Waste Management, Inc. v. Hunt, 504 U.S. 334, 340-341. Pp.  98-100.</w:t>
      </w:r>
    </w:p>
    <w:p w:rsidR="00A31137" w:rsidRPr="00A31137" w:rsidRDefault="00A31137" w:rsidP="00A31137">
      <w:r w:rsidRPr="00A31137">
        <w:t>1994, Oregon Waste Systems, Inc. v. Dept. of Env. Qual., 511 U.S. 93</w:t>
      </w:r>
    </w:p>
    <w:p w:rsidR="00A31137" w:rsidRPr="00A31137" w:rsidRDefault="00A31137" w:rsidP="00A31137">
      <w:r w:rsidRPr="00A31137">
        <w:t>(b) Because the surcharge is discriminatory, the virtually per se rule of invalidity—not the Pike balancing test—provides the proper legal [511 U.S. 94] standard for these cases. Thus, the surcharge must be invalidated unless respondents can show that it advances a legitimate local purpose that cannot be adequately served by reasonable nondiscriminatory alternatives. Neither of respondents' justifications passes strict scrutiny. For the surcharge to be justified as a "compensatory tax" necessary to make shippers of out-of-state waste pay their "fair share" of disposal costs, it must be the rough equivalent of an identifiable and substantially similar surcharge on intrastate commerce. However, respondents have failed to identify a specific charge on intrastate commerce equal to or exceeding the surcharge; the $0.85 per ton fee on in-state waste is only about one-third of the challenged surcharge. Even assuming that various other means of general taxation, such as state income taxes, could serve as a roughly equivalent intrastate burden, respondents' argument fails because the levies are not imposed on substantially equivalent events: Taxes on earning income and utilizing Oregon landfills are entirely different kinds of taxes. Nor can the surcharge be justified by respondents' argument that Oregon has a valid interest in spreading the costs of the disposal of Oregon waste, but not out-of-state waste, to all Oregonians. Because Oregon's scheme necessarily results in shippers of out-of-state waste bearing the full costs of disposal with shippers of Oregon waste bearing less than the full cost, it necessarily incorporates an illegitimate protectionist objective. Wyoming v. Oklahoma, 502 U.S. 437,  454. Recharacterizing the surcharge as "resource protectionism"—discouraging the importation of out-of-state waste in order to conserve more landfill space for in-state waste—hardly advances respondents' cause. A State may not accord its own inhabitants a preferred right of access over consumers in other States to its natural resources. Philadelphia v. New Jersey, 437 U.S. 617,  627. Sporhase v. Nebraska, 458 U.S. 941, distinguished. Pp.  100-107.</w:t>
      </w:r>
    </w:p>
    <w:p w:rsidR="00A31137" w:rsidRPr="00A31137" w:rsidRDefault="00A31137" w:rsidP="00A31137">
      <w:r w:rsidRPr="00A31137">
        <w:t>1994, Oregon Waste Systems, Inc. v. Dept. of Env. Qual., 511 U.S. 94</w:t>
      </w:r>
    </w:p>
    <w:p w:rsidR="00A31137" w:rsidRPr="00A31137" w:rsidRDefault="00A31137" w:rsidP="00A31137">
      <w:r w:rsidRPr="00A31137">
        <w:t>316 Ore. 99, 849 P. 2d 500, reversed and remanded.</w:t>
      </w:r>
    </w:p>
    <w:p w:rsidR="00A31137" w:rsidRPr="00A31137" w:rsidRDefault="00A31137" w:rsidP="00A31137">
      <w:r w:rsidRPr="00A31137">
        <w:t>1994, Oregon Waste Systems, Inc. v. Dept. of Env. Qual., 511 U.S. 94</w:t>
      </w:r>
    </w:p>
    <w:p w:rsidR="00A31137" w:rsidRPr="00A31137" w:rsidRDefault="00A31137" w:rsidP="00A31137">
      <w:r w:rsidRPr="00A31137">
        <w:t xml:space="preserve">THOMAS, J., delivered the opinion of the Court, in which STEVENS, O'CONNOR, SCALIA, KENNEDY, SOUTER, and GINSBURG, JJ., joined.   REHNQUIST, C.J., filed a dissenting opinion, in which BLACKMUN, J., joined, post, p.  108. [511 U.S. 95] </w:t>
      </w:r>
    </w:p>
    <w:p w:rsidR="00A31137" w:rsidRPr="00A31137" w:rsidRDefault="00A31137" w:rsidP="00A31137">
      <w:r w:rsidRPr="00A31137">
        <w:t>THOMAS, J., lead opinion</w:t>
      </w:r>
    </w:p>
    <w:p w:rsidR="00A31137" w:rsidRPr="00A31137" w:rsidRDefault="00A31137" w:rsidP="00A31137">
      <w:r w:rsidRPr="00A31137">
        <w:t>1994, Oregon Waste Systems, Inc. v. Dept. of Env. Qual., 511 U.S. 95</w:t>
      </w:r>
    </w:p>
    <w:p w:rsidR="00A31137" w:rsidRPr="00A31137" w:rsidRDefault="00A31137" w:rsidP="00A31137">
      <w:r w:rsidRPr="00A31137">
        <w:t>JUSTICE THOMAS delivered the opinion of the Court.</w:t>
      </w:r>
    </w:p>
    <w:p w:rsidR="00A31137" w:rsidRPr="00A31137" w:rsidRDefault="00A31137" w:rsidP="00A31137">
      <w:r w:rsidRPr="00A31137">
        <w:t>1994, Oregon Waste Systems, Inc. v. Dept. of Env. Qual., 511 U.S. 95</w:t>
      </w:r>
    </w:p>
    <w:p w:rsidR="00A31137" w:rsidRPr="00A31137" w:rsidRDefault="00A31137" w:rsidP="00A31137">
      <w:r w:rsidRPr="00A31137">
        <w:t>Two Terms ago, in Chemical Waste Management, Inc. v. Hunt, 504 U.S. 334 (1992), we held that the negative Commerce Clause prohibited Alabama from imposing a higher fee on the disposal in Alabama landfills of hazardous waste from other States than on the disposal of identical waste from Alabama. In reaching that conclusion, however, we left open the possibility that such a differential surcharge might be valid if based on the costs of disposing of waste from other States. Id. at 346, n. 9. Today, we must decide whether Oregon's purportedly cost-based surcharge on the in-state disposal of solid waste generated in other States violates the Commerce Clause.</w:t>
      </w:r>
    </w:p>
    <w:p w:rsidR="00A31137" w:rsidRPr="00A31137" w:rsidRDefault="00A31137" w:rsidP="00A31137">
      <w:r w:rsidRPr="00A31137">
        <w:t>I</w:t>
      </w:r>
    </w:p>
    <w:p w:rsidR="00A31137" w:rsidRPr="00A31137" w:rsidRDefault="00A31137" w:rsidP="00A31137">
      <w:r w:rsidRPr="00A31137">
        <w:t>1994, Oregon Waste Systems, Inc. v. Dept. of Env. Qual., 511 U.S. 95</w:t>
      </w:r>
    </w:p>
    <w:p w:rsidR="00A31137" w:rsidRPr="00A31137" w:rsidRDefault="00A31137" w:rsidP="00A31137">
      <w:r w:rsidRPr="00A31137">
        <w:t>Like other States, Oregon comprehensively regulates the disposal of solid wastes within its borders. 1 Respondent [511 U.S. 96] Oregon Department of Environmental Quality oversees the State's regulatory scheme by developing and executing plans for the management, reduction, and recycling of solid wastes. To fund these and related activities, Oregon levies a wide range of fees on landfill operators. See, e. g., Ore. Rev. Stat. §§ 459.235(3), 459.310 (1991). In 1989, the Oregon Legislature imposed an additional fee, called a "surcharge," on "every person who disposes of solid waste generated out-of-state in a disposal site or regional disposal site." § 459.297(1) (effective Jan. 1, 1991). The amount of that surcharge was left to respondent Environmental Quality Commission (Commission) to determine through rulemaking, but the legislature did require that the resulting surcharge</w:t>
      </w:r>
    </w:p>
    <w:p w:rsidR="00A31137" w:rsidRPr="00A31137" w:rsidRDefault="00A31137" w:rsidP="00A31137">
      <w:r w:rsidRPr="00A31137">
        <w:t>1994, Oregon Waste Systems, Inc. v. Dept. of Env. Qual., 511 U.S. 96</w:t>
      </w:r>
    </w:p>
    <w:p w:rsidR="00A31137" w:rsidRPr="00A31137" w:rsidRDefault="00A31137" w:rsidP="00A31137">
      <w:r w:rsidRPr="00A31137">
        <w:t>be based on the costs to the State of Oregon and its political subdivisions of disposing of solid waste generated out-of-state which are not otherwise paid for</w:t>
      </w:r>
    </w:p>
    <w:p w:rsidR="00A31137" w:rsidRPr="00A31137" w:rsidRDefault="00A31137" w:rsidP="00A31137">
      <w:r w:rsidRPr="00A31137">
        <w:t>1994, Oregon Waste Systems, Inc. v. Dept. of Env. Qual., 511 U.S. 96</w:t>
      </w:r>
    </w:p>
    <w:p w:rsidR="00A31137" w:rsidRPr="00A31137" w:rsidRDefault="00A31137" w:rsidP="00A31137">
      <w:r w:rsidRPr="00A31137">
        <w:t>under specified statutes. § 459.298. At the conclusion of the rulemaking process, the Commission set the surcharge on out-of-state waste at $2.25 per ton. Ore.Admin.Rule 340-97-120(7) (Sept. 1993).</w:t>
      </w:r>
    </w:p>
    <w:p w:rsidR="00A31137" w:rsidRPr="00A31137" w:rsidRDefault="00A31137" w:rsidP="00A31137">
      <w:r w:rsidRPr="00A31137">
        <w:t>1994, Oregon Waste Systems, Inc. v. Dept. of Env. Qual., 511 U.S. 96</w:t>
      </w:r>
    </w:p>
    <w:p w:rsidR="00A31137" w:rsidRPr="00A31137" w:rsidRDefault="00A31137" w:rsidP="00A31137">
      <w:r w:rsidRPr="00A31137">
        <w:t xml:space="preserve">In conjunction with the out-of-state surcharge, the legislature imposed a fee on the in-state disposal of waste generated within Oregon. See Ore.Rev.Stat. §§ 459A.110(1), (5) (1991). The in-state fee, capped by statute at $0.85 per ton (originally $0.50 per ton), is considerably lower than the fee imposed on waste from other States. §§ 459A.110(5) and 459A.115. Subsequently, the legislature conditionally extended the $0.85 per ton fee to out-of-state waste, in addition to the $2.25 per ton surcharge, § 459A.110(6), with the proviso that if the surcharge survived judicial challenge, the $0.85 per ton fee would again be limited to in-state waste. 1991 Ore.Laws, ch. 385, §§ 91-92. 2 [511 U.S. 97] </w:t>
      </w:r>
    </w:p>
    <w:p w:rsidR="00A31137" w:rsidRPr="00A31137" w:rsidRDefault="00A31137" w:rsidP="00A31137">
      <w:r w:rsidRPr="00A31137">
        <w:t>1994, Oregon Waste Systems, Inc. v. Dept. of Env. Qual., 511 U.S. 97</w:t>
      </w:r>
    </w:p>
    <w:p w:rsidR="00A31137" w:rsidRPr="00A31137" w:rsidRDefault="00A31137" w:rsidP="00A31137">
      <w:r w:rsidRPr="00A31137">
        <w:t>The anticipated court challenge was not long in coming. Petitioners, Oregon Waste Systems, Inc. (Oregon Waste) and Columbia Resource Company (CRC), joined by Gilliam County, Oregon, sought expedited review of the out-of-state surcharge in the Oregon Court of Appeals. Oregon Waste owns and operates a solid waste landfill in Gilliam County at which it accepts for final disposal solid waste generated in Oregon and in other States. CRC, pursuant to a 20-year contract with Clark County, in neighboring Washington State, transports solid waste via barge from Clark County to a landfill in Morrow County, Oregon. Petitioners challenged the administrative rule establishing the out-of-state surcharge and its enabling statutes under both state law and the Commerce Clause of the United States Constitution. The Oregon Court of Appeals upheld the statutes and rule. Gilliam County v. Department of Environmental Quality, 114 Ore.App. 369, 837 P. 2d 965 (1992).</w:t>
      </w:r>
    </w:p>
    <w:p w:rsidR="00A31137" w:rsidRPr="00A31137" w:rsidRDefault="00A31137" w:rsidP="00A31137">
      <w:r w:rsidRPr="00A31137">
        <w:t>1994, Oregon Waste Systems, Inc. v. Dept. of Env. Qual., 511 U.S. 97</w:t>
      </w:r>
    </w:p>
    <w:p w:rsidR="00A31137" w:rsidRPr="00A31137" w:rsidRDefault="00A31137" w:rsidP="00A31137">
      <w:r w:rsidRPr="00A31137">
        <w:t>The State Supreme Court affirmed. Gilliam County v. Department of Environmental Quality of Oregon, 316 Ore. 99, 849 P.2d 500 (1993). As to the Commerce Clause, the court recognized that the Oregon surcharge resembled the Alabama fee invalidated in Chemical Waste Management, Inc. v. Hunt, 504 U.S. 334 (1992), in that both prescribed higher fees for the disposal of waste from other States. Nevertheless, the court viewed the similarity as superficial only. Despite the explicit reference in § 459.297(1) to out-of-state waste's geographic origin, the court reasoned, the Oregon surcharge is not facially discriminatory "[b]ecause of [its] express nexus to actual costs incurred [by state and local government]." 316 Ore. at 112, 849 P.2d at 508. That nexus distinguished Chemical Waste, supra, by rendering the surcharge a "compensatory fee," which the court viewed as "prima facie reasonable," that is to say, facially constitutional. Ibid. The court read [511 U.S. 98] our case law as invalidating compensatory fees only if they are "'manifestly disproportionate to the services rendered.'" Ibid. (quoting Clark v. Paul Gray, Inc., 306 U.S. 583, 599 (1939)). Because Oregon law restricts the scope of judicial review in expedited proceedings to deciding the facial legality of administrative rules and the statutes underlying them, Ore.Rev.Stat. § 183.400 (1991), the Oregon court deemed itself precluded from deciding the factual question whether the surcharge on out-of-state waste was disproportionate. 316 Ore. at 112, 849 P.2d at 508.</w:t>
      </w:r>
    </w:p>
    <w:p w:rsidR="00A31137" w:rsidRPr="00A31137" w:rsidRDefault="00A31137" w:rsidP="00A31137">
      <w:r w:rsidRPr="00A31137">
        <w:t>1994, Oregon Waste Systems, Inc. v. Dept. of Env. Qual., 511 U.S. 98</w:t>
      </w:r>
    </w:p>
    <w:p w:rsidR="00A31137" w:rsidRPr="00A31137" w:rsidRDefault="00A31137" w:rsidP="00A31137">
      <w:r w:rsidRPr="00A31137">
        <w:t>We granted certiorari, 509 U.S. 953 (1993), because the decision below conflicted with a recent decision of the United States Court of Appeals for the Seventh Circuit. 3 We now reverse.</w:t>
      </w:r>
    </w:p>
    <w:p w:rsidR="00A31137" w:rsidRPr="00A31137" w:rsidRDefault="00A31137" w:rsidP="00A31137">
      <w:r w:rsidRPr="00A31137">
        <w:t>II</w:t>
      </w:r>
    </w:p>
    <w:p w:rsidR="00A31137" w:rsidRPr="00A31137" w:rsidRDefault="00A31137" w:rsidP="00A31137">
      <w:r w:rsidRPr="00A31137">
        <w:t>1994, Oregon Waste Systems, Inc. v. Dept. of Env. Qual., 511 U.S. 98</w:t>
      </w:r>
    </w:p>
    <w:p w:rsidR="00A31137" w:rsidRPr="00A31137" w:rsidRDefault="00A31137" w:rsidP="00A31137">
      <w:r w:rsidRPr="00A31137">
        <w:t>The Commerce Clause provides that "[t]he Congress shall have Power…[t]o regulate Commerce…among the several States." Art. I, § 8, cl. 3. Though phrased as a grant of regulatory power to Congress, the Clause has long been understood to have a "negative" aspect that denies the States the power unjustifiably to discriminate against or burden the interstate flow of articles of commerce. See, e.g., Wyoming v. Oklahoma, 502 U.S. 437,  454 (1992); Welton v. Missouri, 91 U.S. 275 (1876). The Framers granted Congress plenary authority over interstate commerce in</w:t>
      </w:r>
    </w:p>
    <w:p w:rsidR="00A31137" w:rsidRPr="00A31137" w:rsidRDefault="00A31137" w:rsidP="00A31137">
      <w:r w:rsidRPr="00A31137">
        <w:t>1994, Oregon Waste Systems, Inc. v. Dept. of Env. Qual., 511 U.S. 98</w:t>
      </w:r>
    </w:p>
    <w:p w:rsidR="00A31137" w:rsidRPr="00A31137" w:rsidRDefault="00A31137" w:rsidP="00A31137">
      <w:r w:rsidRPr="00A31137">
        <w:t>the conviction that, in order to succeed, the new Union would have to avoid the tendencies toward economic Balkanization that had plagued relations among the Colonies and later among the States under the Articles of Confederation.</w:t>
      </w:r>
    </w:p>
    <w:p w:rsidR="00A31137" w:rsidRPr="00A31137" w:rsidRDefault="00A31137" w:rsidP="00A31137">
      <w:r w:rsidRPr="00A31137">
        <w:t>1994, Oregon Waste Systems, Inc. v. Dept. of Env. Qual., 511 U.S. 98</w:t>
      </w:r>
    </w:p>
    <w:p w:rsidR="00A31137" w:rsidRPr="00A31137" w:rsidRDefault="00A31137" w:rsidP="00A31137">
      <w:r w:rsidRPr="00A31137">
        <w:t>Hughes v. Oklahoma, 441 U.S. 322, 325-326 (1979). See generally The Federalist No. 42 (J. Madison).</w:t>
      </w:r>
    </w:p>
    <w:p w:rsidR="00A31137" w:rsidRPr="00A31137" w:rsidRDefault="00A31137" w:rsidP="00A31137">
      <w:r w:rsidRPr="00A31137">
        <w:t>1994, Oregon Waste Systems, Inc. v. Dept. of Env. Qual., 511 U.S. 98</w:t>
      </w:r>
    </w:p>
    <w:p w:rsidR="00A31137" w:rsidRPr="00A31137" w:rsidRDefault="00A31137" w:rsidP="00A31137">
      <w:r w:rsidRPr="00A31137">
        <w:t>This principle that our economic unit is the Nation, which alone has the gamut of powers necessary to control of the economy,…has [511 U.S. 99] as its corollary that the states are not separable economic units.</w:t>
      </w:r>
    </w:p>
    <w:p w:rsidR="00A31137" w:rsidRPr="00A31137" w:rsidRDefault="00A31137" w:rsidP="00A31137">
      <w:r w:rsidRPr="00A31137">
        <w:t>1994, Oregon Waste Systems, Inc. v. Dept. of Env. Qual., 511 U.S. 99</w:t>
      </w:r>
    </w:p>
    <w:p w:rsidR="00A31137" w:rsidRPr="00A31137" w:rsidRDefault="00A31137" w:rsidP="00A31137">
      <w:r w:rsidRPr="00A31137">
        <w:t>H. P. Hood &amp; Sons, Inc. v. Du Mond, 336 U.S. 525, 537-538 (1949).</w:t>
      </w:r>
    </w:p>
    <w:p w:rsidR="00A31137" w:rsidRPr="00A31137" w:rsidRDefault="00A31137" w:rsidP="00A31137">
      <w:r w:rsidRPr="00A31137">
        <w:t>1994, Oregon Waste Systems, Inc. v. Dept. of Env. Qual., 511 U.S. 99</w:t>
      </w:r>
    </w:p>
    <w:p w:rsidR="00A31137" w:rsidRPr="00A31137" w:rsidRDefault="00A31137" w:rsidP="00A31137">
      <w:r w:rsidRPr="00A31137">
        <w:t>Consistent with these principles, we have held that the first step in analyzing any law subject to judicial scrutiny under the negative Commerce Clause is to determine whether it "regulates evenhandedly with only 'incidental' effects on interstate commerce, or discriminates against interstate commerce." Hughes, supra, at 336. See also Chemical Waste, 504 U.S. at 340-341. As we use the term here, "discrimination" simply means differential treatment of in-state and out-of-state economic interests that benefits the former and burdens the latter. If a restriction on commerce is discriminatory, it is virtually per se invalid. Id. at 344, n. 6. See also Philadelphia v. New Jersey, 437 U.S. 617,  624 (1978). By contrast, nondiscriminatory regulations that have only incidental effects on interstate commerce are valid unless "the burden imposed on such commerce is clearly excessive in relation to the putative local benefits." Pike v. Bruce Church, Inc., 397 U.S. 137, 142 (1970).</w:t>
      </w:r>
    </w:p>
    <w:p w:rsidR="00A31137" w:rsidRPr="00A31137" w:rsidRDefault="00A31137" w:rsidP="00A31137">
      <w:r w:rsidRPr="00A31137">
        <w:t>1994, Oregon Waste Systems, Inc. v. Dept. of Env. Qual., 511 U.S. 99</w:t>
      </w:r>
    </w:p>
    <w:p w:rsidR="00A31137" w:rsidRPr="00A31137" w:rsidRDefault="00A31137" w:rsidP="00A31137">
      <w:r w:rsidRPr="00A31137">
        <w:t>In Chemical Waste, we easily found Alabama's surcharge on hazardous waste from other States to be facially discriminatory because it imposed a higher fee on the disposal of out-of-state waste than on the disposal of identical in-state waste. 504 U.S. at 342. We deem it equally obvious here that Oregon's $2.25 per ton surcharge is discriminatory on its face. The surcharge subjects waste from other States to a fee almost three times greater than the $0.85 per ton charge imposed on solid in-state waste. The statutory determinant for which fee applies to any particular shipment of solid waste to an Oregon landfill is whether or not the waste was "generated out-of-state." Ore.Rev.Stat. § 459.297(1) (1991). It is well established, however, that a law is discriminatory if it "'tax[es] a transaction or incident more heavily when it crosses state lines than when it occurs entirely within the State.'" Chemical Waste, supra, at 342 [511 U.S. 100] (quoting Armco Inc. v. Hardesty, 467 U.S. 638, 642 (1984)). See also American Trucking Assns., Inc. v. Scheiner, 483 U.S. 266, 286 (1987). 4</w:t>
      </w:r>
    </w:p>
    <w:p w:rsidR="00A31137" w:rsidRPr="00A31137" w:rsidRDefault="00A31137" w:rsidP="00A31137">
      <w:r w:rsidRPr="00A31137">
        <w:t>1994, Oregon Waste Systems, Inc. v. Dept. of Env. Qual., 511 U.S. 100</w:t>
      </w:r>
    </w:p>
    <w:p w:rsidR="00A31137" w:rsidRPr="00A31137" w:rsidRDefault="00A31137" w:rsidP="00A31137">
      <w:r w:rsidRPr="00A31137">
        <w:t>Respondents argue, and the Oregon Supreme Court held, that the statutory nexus between the surcharge and</w:t>
      </w:r>
    </w:p>
    <w:p w:rsidR="00A31137" w:rsidRPr="00A31137" w:rsidRDefault="00A31137" w:rsidP="00A31137">
      <w:r w:rsidRPr="00A31137">
        <w:t>1994, Oregon Waste Systems, Inc. v. Dept. of Env. Qual., 511 U.S. 100</w:t>
      </w:r>
    </w:p>
    <w:p w:rsidR="00A31137" w:rsidRPr="00A31137" w:rsidRDefault="00A31137" w:rsidP="00A31137">
      <w:r w:rsidRPr="00A31137">
        <w:t>the [otherwise uncompensated] costs to the State of Oregon and its political subdivisions of disposing of solid waste generated out-of-state,</w:t>
      </w:r>
    </w:p>
    <w:p w:rsidR="00A31137" w:rsidRPr="00A31137" w:rsidRDefault="00A31137" w:rsidP="00A31137">
      <w:r w:rsidRPr="00A31137">
        <w:t>1994, Oregon Waste Systems, Inc. v. Dept. of Env. Qual., 511 U.S. 100</w:t>
      </w:r>
    </w:p>
    <w:p w:rsidR="00A31137" w:rsidRPr="00A31137" w:rsidRDefault="00A31137" w:rsidP="00A31137">
      <w:r w:rsidRPr="00A31137">
        <w:t>Ore.Rev.Stat. § 459.298 (1991), necessarily precludes a finding that the surcharge is discriminatory. We find respondents' narrow focus on Oregon's compensatory aim to be foreclosed by our precedents. As we reiterated in Chemical Waste, the purpose of, or justification for, a law has no bearing on whether it is facially discriminatory. See 504 U.S. at 340-341. See also Philadelphia, supra, at  626. Consequently, even if the surcharge merely recoups the costs of disposing of out-of-state waste in Oregon, the fact remains that the differential charge favors shippers of Oregon waste over their counterparts handling waste generated in other States. In making that geographic distinction, the surcharge patently discriminates against interstate commerce.</w:t>
      </w:r>
    </w:p>
    <w:p w:rsidR="00A31137" w:rsidRPr="00A31137" w:rsidRDefault="00A31137" w:rsidP="00A31137">
      <w:r w:rsidRPr="00A31137">
        <w:t>III</w:t>
      </w:r>
    </w:p>
    <w:p w:rsidR="00A31137" w:rsidRPr="00A31137" w:rsidRDefault="00A31137" w:rsidP="00A31137">
      <w:r w:rsidRPr="00A31137">
        <w:t>1994, Oregon Waste Systems, Inc. v. Dept. of Env. Qual., 511 U.S. 100</w:t>
      </w:r>
    </w:p>
    <w:p w:rsidR="00A31137" w:rsidRPr="00A31137" w:rsidRDefault="00A31137" w:rsidP="00A31137">
      <w:r w:rsidRPr="00A31137">
        <w:t>Because the Oregon surcharge is discriminatory, the virtually per se rule of invalidity provides the proper legal standard here, not the Pike balancing test. As a result, the surcharge must be invalidated unless respondents can "sho[w] [511 U.S. 101] that it advances a legitimate local purpose that cannot be adequately served by reasonable nondiscriminatory alternatives." New Energy Co. of Indiana v. Limbach, 486 U.S. 269, 278 (1988). See also Chemical Waste, supra, at 342-343. Our cases require that justifications for discriminatory restrictions on commerce pass the "strictest scrutiny." Hughes, supra, at 337. The State's burden of justification is so heavy that "facial discrimination by itself may be a fatal defect." Ibid. See also Westinghouse Elec. Corp. v. Tully, 466 U.S. 388, 406-407 (1984); Maryland v. Louisiana, 451 U.S. 725, 759-760 (1981).</w:t>
      </w:r>
    </w:p>
    <w:p w:rsidR="00A31137" w:rsidRPr="00A31137" w:rsidRDefault="00A31137" w:rsidP="00A31137">
      <w:r w:rsidRPr="00A31137">
        <w:t>1994, Oregon Waste Systems, Inc. v. Dept. of Env. Qual., 511 U.S. 101</w:t>
      </w:r>
    </w:p>
    <w:p w:rsidR="00A31137" w:rsidRPr="00A31137" w:rsidRDefault="00A31137" w:rsidP="00A31137">
      <w:r w:rsidRPr="00A31137">
        <w:t xml:space="preserve">At the outset, we note two justifications that respondents have not presented. No claim has been made that the disposal of waste from other States imposes higher costs on Oregon and its political subdivisions than the disposal of in-state waste. 5 Also, respondents have not offered any safety or health reason unique to nonhazardous waste from other States for discouraging the flow of such waste into Oregon. Cf. Maine v. Taylor, 477 U.S. 131 (1986) (upholding ban on importation of out-of-state baitfish into Maine because such baitfish were subject to parasites completely foreign to Maine baitfish). Consequently, respondents must come forward with other legitimate reasons to subject waste from other States to a higher charge than is levied against waste from Oregon. [511 U.S. 102] </w:t>
      </w:r>
    </w:p>
    <w:p w:rsidR="00A31137" w:rsidRPr="00A31137" w:rsidRDefault="00A31137" w:rsidP="00A31137">
      <w:r w:rsidRPr="00A31137">
        <w:t>1994, Oregon Waste Systems, Inc. v. Dept. of Env. Qual., 511 U.S. 102</w:t>
      </w:r>
    </w:p>
    <w:p w:rsidR="00A31137" w:rsidRPr="00A31137" w:rsidRDefault="00A31137" w:rsidP="00A31137">
      <w:r w:rsidRPr="00A31137">
        <w:t>Respondents offer two such reasons, each of which we address below.</w:t>
      </w:r>
    </w:p>
    <w:p w:rsidR="00A31137" w:rsidRPr="00A31137" w:rsidRDefault="00A31137" w:rsidP="00A31137">
      <w:r w:rsidRPr="00A31137">
        <w:t>A</w:t>
      </w:r>
    </w:p>
    <w:p w:rsidR="00A31137" w:rsidRPr="00A31137" w:rsidRDefault="00A31137" w:rsidP="00A31137">
      <w:r w:rsidRPr="00A31137">
        <w:t>1994, Oregon Waste Systems, Inc. v. Dept. of Env. Qual., 511 U.S. 102</w:t>
      </w:r>
    </w:p>
    <w:p w:rsidR="00A31137" w:rsidRPr="00A31137" w:rsidRDefault="00A31137" w:rsidP="00A31137">
      <w:r w:rsidRPr="00A31137">
        <w:t>Respondents' principal defense of the higher surcharge on out-of-state waste is that it is a "compensatory tax" necessary to make shippers of such waste pay their "fair share" of the costs imposed on Oregon by the disposal of their waste in the State. In Chemical Waste, we noted the possibility that such an argument might justify a discriminatory surcharge or tax on out-of-state waste. See 504 U.S. at 346, n. 9. In making that observation, we implicitly recognized the settled principle that interstate commerce may be made to "'pay its way.'" Complete Auto Transit, Inc. v. Brady, 430 U.S. 274,  281 (1977). See also Maryland, supra, at 754. "It was not the purpose of the commerce clause to relieve those engaged in interstate commerce from their just share of state tax burden[s]." Western Live Stock v. Bureau of Revenue, 303 U.S. 250, 254 (1938). See also Henneford v. Silas Mason Co., 300 U.S. 577 (1937). Nevertheless, one of the central purposes of the Clause was to prevent States from "exacting more than a just share" from interstate commerce. Dept. of Revenue of Washington v. Association of Washington Stevedoring Cos., 435 U.S. 734, 748 (1978) (emphasis added). See also Northwestern States Portland Cement Co. v. Minnesota, 358 U.S. 450,  462 (1959).</w:t>
      </w:r>
    </w:p>
    <w:p w:rsidR="00A31137" w:rsidRPr="00A31137" w:rsidRDefault="00A31137" w:rsidP="00A31137">
      <w:r w:rsidRPr="00A31137">
        <w:t>1994, Oregon Waste Systems, Inc. v. Dept. of Env. Qual., 511 U.S. 102</w:t>
      </w:r>
    </w:p>
    <w:p w:rsidR="00A31137" w:rsidRPr="00A31137" w:rsidRDefault="00A31137" w:rsidP="00A31137">
      <w:r w:rsidRPr="00A31137">
        <w:t>At least since our decision in Hinson v. Lott, 8 Wall. 148 (1868), these principles have found expression in the "compensatory" or "complementary" tax doctrine. Though our cases sometimes discuss the concept of the compensatory tax as if it were a doctrine unto itself, it is merely a specific way of justifying a facially discriminatory tax as achieving a legitimate local purpose that cannot be achieved through nondiscriminatory means. See Chemical Waste, supra, at 346, n. 9 (referring to the compensatory tax doctrine as a "justif[ication]" for a facially discriminatory tax). Under that doctrine, a facially discriminatory tax that imposes on [511 U.S. 103] interstate commerce the rough equivalent of an identifiable and "substantially similar" tax on intrastate commerce does not offend the negative Commerce Clause. Maryland, supra, at 758-759. See also Tyler Pipe Indus., Inc. v. Washington State Department of Revenue, 483 U.S. 232, 242-243 (1987); Armco, 467 U.S. at 643.</w:t>
      </w:r>
    </w:p>
    <w:p w:rsidR="00A31137" w:rsidRPr="00A31137" w:rsidRDefault="00A31137" w:rsidP="00A31137">
      <w:r w:rsidRPr="00A31137">
        <w:t>1994, Oregon Waste Systems, Inc. v. Dept. of Env. Qual., 511 U.S. 103</w:t>
      </w:r>
    </w:p>
    <w:p w:rsidR="00A31137" w:rsidRPr="00A31137" w:rsidRDefault="00A31137" w:rsidP="00A31137">
      <w:r w:rsidRPr="00A31137">
        <w:t>To justify a charge on interstate commerce as a compensatory tax, a State must, as a threshold matter, "identif[y]…the [intrastate tax] burden for which the State is attempting to compensate." Maryland, supra, at 758. Once that burden has been identified, the tax on interstate commerce must be shown roughly to approximate—but not exceed—the amount of the tax on intrastate commerce. See, e. g., Alaska v. Arctic Maid, 366 U.S. 199, 204-205 (1961). Finally, the events on which the interstate and intrastate taxes are imposed must be "substantially equivalent"; that is, they must be sufficiently similar in substance to serve as mutually exclusive "prox[ies]" for each other. Armco, supra, at 643. As Justice Cardozo explained for the Court in Henneford, under a truly compensatory tax scheme,</w:t>
      </w:r>
    </w:p>
    <w:p w:rsidR="00A31137" w:rsidRPr="00A31137" w:rsidRDefault="00A31137" w:rsidP="00A31137">
      <w:r w:rsidRPr="00A31137">
        <w:t>1994, Oregon Waste Systems, Inc. v. Dept. of Env. Qual., 511 U.S. 103</w:t>
      </w:r>
    </w:p>
    <w:p w:rsidR="00A31137" w:rsidRPr="00A31137" w:rsidRDefault="00A31137" w:rsidP="00A31137">
      <w:r w:rsidRPr="00A31137">
        <w:t>the stranger from afar is subject to no greater burdens as a consequence of ownership than the dweller within the gates. The one pays upon one activity or incident, and the other upon another, but the sum is the same when the reckoning is closed.</w:t>
      </w:r>
    </w:p>
    <w:p w:rsidR="00A31137" w:rsidRPr="00A31137" w:rsidRDefault="00A31137" w:rsidP="00A31137">
      <w:r w:rsidRPr="00A31137">
        <w:t>1994, Oregon Waste Systems, Inc. v. Dept. of Env. Qual., 511 U.S. 103</w:t>
      </w:r>
    </w:p>
    <w:p w:rsidR="00A31137" w:rsidRPr="00A31137" w:rsidRDefault="00A31137" w:rsidP="00A31137">
      <w:r w:rsidRPr="00A31137">
        <w:t xml:space="preserve">300 U.S. at 584. 6 [511 U.S. 104] </w:t>
      </w:r>
    </w:p>
    <w:p w:rsidR="00A31137" w:rsidRPr="00A31137" w:rsidRDefault="00A31137" w:rsidP="00A31137">
      <w:r w:rsidRPr="00A31137">
        <w:t>1994, Oregon Waste Systems, Inc. v. Dept. of Env. Qual., 511 U.S. 104</w:t>
      </w:r>
    </w:p>
    <w:p w:rsidR="00A31137" w:rsidRPr="00A31137" w:rsidRDefault="00A31137" w:rsidP="00A31137">
      <w:r w:rsidRPr="00A31137">
        <w:t>Although it is often no mean feat to determine whether a challenged tax is a compensatory tax, we have little difficulty concluding that the Oregon surcharge is not such a tax. Oregon does not impose a specific charge of at least $2.25 per ton on shippers of waste generated in Oregon, for which the out-of-state surcharge might be considered compensatory. In fact, the only analogous charge on the disposal of Oregon waste is $0.85 per ton, approximately one-third of the amount imposed on waste from other States. See Ore.Rev.Stat. §§ 459A.110(5), 459A.115 (1991). Respondents' failure to identify a specific charge on intrastate commerce equal to or exceeding the surcharge is fatal to their claim. See Maryland, 451 U.S. at 758.</w:t>
      </w:r>
    </w:p>
    <w:p w:rsidR="00A31137" w:rsidRPr="00A31137" w:rsidRDefault="00A31137" w:rsidP="00A31137">
      <w:r w:rsidRPr="00A31137">
        <w:t>1994, Oregon Waste Systems, Inc. v. Dept. of Env. Qual., 511 U.S. 104</w:t>
      </w:r>
    </w:p>
    <w:p w:rsidR="00A31137" w:rsidRPr="00A31137" w:rsidRDefault="00A31137" w:rsidP="00A31137">
      <w:r w:rsidRPr="00A31137">
        <w:t xml:space="preserve">Respondents argue that, despite the absence of a specific $2.25 per ton charge on in-state waste, intrastate commerce does pay its share of the costs underlying the surcharge through general taxation. 7 Whether or not that is true is difficult to determine, as "[general] tax payments are received for the general purposes of the [government], and are, upon proper receipt, lost in the general revenues." Flast v. Cohen, 392 U.S. 83,  128 (1968) (Harlan, J., dissenting). Even assuming, however, that various other means of general taxation, such as income taxes, could serve as an identifiable intrastate burden roughly equivalent to the out-of-state surcharge, respondents' compensatory tax argument fails because the in-state and out-of-state levies are not imposed on substantially equivalent events. [511 U.S. 105] </w:t>
      </w:r>
    </w:p>
    <w:p w:rsidR="00A31137" w:rsidRPr="00A31137" w:rsidRDefault="00A31137" w:rsidP="00A31137">
      <w:r w:rsidRPr="00A31137">
        <w:t>1994, Oregon Waste Systems, Inc. v. Dept. of Env. Qual., 511 U.S. 105</w:t>
      </w:r>
    </w:p>
    <w:p w:rsidR="00A31137" w:rsidRPr="00A31137" w:rsidRDefault="00A31137" w:rsidP="00A31137">
      <w:r w:rsidRPr="00A31137">
        <w:t>The prototypical example of substantially equivalent taxable events is the sale and use of articles of trade. See Henneford, supra. In fact, use taxes on products purchased out of state are the only taxes we have upheld in recent memory under the compensatory tax doctrine. See ibid. Typifying our recent reluctance to recognize new categories of compensatory taxes is Armco, where we held that manufacturing and wholesaling are not substantially equivalent events. 467 U.S. at 643. In our view, earning income and disposing of waste at Oregon landfills are even less equivalent than manufacturing and wholesaling. Indeed, the very fact that in-state shippers of out-of-state waste, such as Oregon Waste, are charged the out-of-state surcharge even though they pay Oregon income taxes refutes respondents' argument that the respective taxable events are substantially equivalent. See ibid. We conclude that, far from being substantially equivalent, taxes on earning income and utilizing Oregon landfills are "entirely different kind[s] of tax[es]." Washington v. United States, 460 U.S. 536, 546, n. 11 (1983). We are no more inclined here than we were in Scheiner to "plunge…into the morass of weighing comparative tax burdens" by comparing taxes on dissimilar events. 483 U.S. at 289 (internal quotation marks omitted). 8</w:t>
      </w:r>
    </w:p>
    <w:p w:rsidR="00A31137" w:rsidRPr="00A31137" w:rsidRDefault="00A31137" w:rsidP="00A31137">
      <w:r w:rsidRPr="00A31137">
        <w:t>B</w:t>
      </w:r>
    </w:p>
    <w:p w:rsidR="00A31137" w:rsidRPr="00A31137" w:rsidRDefault="00A31137" w:rsidP="00A31137">
      <w:r w:rsidRPr="00A31137">
        <w:t>1994, Oregon Waste Systems, Inc. v. Dept. of Env. Qual., 511 U.S. 105</w:t>
      </w:r>
    </w:p>
    <w:p w:rsidR="00A31137" w:rsidRPr="00A31137" w:rsidRDefault="00A31137" w:rsidP="00A31137">
      <w:r w:rsidRPr="00A31137">
        <w:t>Respondents' final argument is that Oregon has an interest in spreading the costs of the in-state disposal of Oregon waste to all Oregonians. That is, because all citizens of Oregon [511 U.S. 106] benefit from the proper in-state disposal of waste from Oregon, respondents claim it is only proper for Oregon to require them to bear more of the costs of disposing of such waste in the State through a higher general tax burden. At the same time, however, Oregon citizens should not be required to bear the costs of disposing of out-of-state waste, respondents claim. The necessary result of that limited cost-shifting is to require shippers of out-of-state waste to bear the full costs of in-state disposal, but to permit shippers of Oregon waste to bear less than the full cost.</w:t>
      </w:r>
    </w:p>
    <w:p w:rsidR="00A31137" w:rsidRPr="00A31137" w:rsidRDefault="00A31137" w:rsidP="00A31137">
      <w:r w:rsidRPr="00A31137">
        <w:t>1994, Oregon Waste Systems, Inc. v. Dept. of Env. Qual., 511 U.S. 106</w:t>
      </w:r>
    </w:p>
    <w:p w:rsidR="00A31137" w:rsidRPr="00A31137" w:rsidRDefault="00A31137" w:rsidP="00A31137">
      <w:r w:rsidRPr="00A31137">
        <w:t>We fail to perceive any distinction between respondents' contention and a claim that the State has an interest in reducing the costs of handling in-state waste. Our cases condemn as illegitimate, however, any governmental interest that is not "unrelated to economic protectionism," Wyoming, 502 U.S. at  454, and regulating interstate commerce in such a way as to give those who handle domestic articles of commerce a cost advantage over their competitors handling similar items produced elsewhere constitutes such protectionism. See New Energy, 486 U.S. at 275. 9 To give controlling effect to respondents' characterization of Oregon's tax scheme as seemingly benign cost-spreading would require us to overlook the fact that the scheme necessarily incorporates a protectionist objective as well. Cf. Bacchus Imports, Ltd. v. Dias, 468 U.S. 263, 273 (1984) (rejecting Hawaii's attempt to justify a discriminatory tax exemption for local liquor producers [511 U.S. 107] as conferring a benefit on them, as opposed to burdening out-of-state liquor producers).</w:t>
      </w:r>
    </w:p>
    <w:p w:rsidR="00A31137" w:rsidRPr="00A31137" w:rsidRDefault="00A31137" w:rsidP="00A31137">
      <w:r w:rsidRPr="00A31137">
        <w:t>1994, Oregon Waste Systems, Inc. v. Dept. of Env. Qual., 511 U.S. 107</w:t>
      </w:r>
    </w:p>
    <w:p w:rsidR="00A31137" w:rsidRPr="00A31137" w:rsidRDefault="00A31137" w:rsidP="00A31137">
      <w:r w:rsidRPr="00A31137">
        <w:t>Respondents counter that if Oregon is engaged in any form of protectionism, it is "resource protectionism," not economic protectionism. It is true that by discouraging the flow of out-of-state waste into Oregon landfills, the higher surcharge on waste from other States conserves more space in those landfills for waste generated in Oregon. Recharacterizing the surcharge as resource protectionism hardly advances respondents' cause, however. Even assuming that landfill space is a "natural resource,"</w:t>
      </w:r>
    </w:p>
    <w:p w:rsidR="00A31137" w:rsidRPr="00A31137" w:rsidRDefault="00A31137" w:rsidP="00A31137">
      <w:r w:rsidRPr="00A31137">
        <w:t>1994, Oregon Waste Systems, Inc. v. Dept. of Env. Qual., 511 U.S. 107</w:t>
      </w:r>
    </w:p>
    <w:p w:rsidR="00A31137" w:rsidRPr="00A31137" w:rsidRDefault="00A31137" w:rsidP="00A31137">
      <w:r w:rsidRPr="00A31137">
        <w:t>a State may not accord its own inhabitants a preferred right of access over consumers in other States to natural resources located within its borders.</w:t>
      </w:r>
    </w:p>
    <w:p w:rsidR="00A31137" w:rsidRPr="00A31137" w:rsidRDefault="00A31137" w:rsidP="00A31137">
      <w:r w:rsidRPr="00A31137">
        <w:t>1994, Oregon Waste Systems, Inc. v. Dept. of Env. Qual., 511 U.S. 107</w:t>
      </w:r>
    </w:p>
    <w:p w:rsidR="00A31137" w:rsidRPr="00A31137" w:rsidRDefault="00A31137" w:rsidP="00A31137">
      <w:r w:rsidRPr="00A31137">
        <w:t>Philadelphia, 437 U.S. at  627. As we held more than a century ago,</w:t>
      </w:r>
    </w:p>
    <w:p w:rsidR="00A31137" w:rsidRPr="00A31137" w:rsidRDefault="00A31137" w:rsidP="00A31137">
      <w:r w:rsidRPr="00A31137">
        <w:t>1994, Oregon Waste Systems, Inc. v. Dept. of Env. Qual., 511 U.S. 107</w:t>
      </w:r>
    </w:p>
    <w:p w:rsidR="00A31137" w:rsidRPr="00A31137" w:rsidRDefault="00A31137" w:rsidP="00A31137">
      <w:r w:rsidRPr="00A31137">
        <w:t>if the State, under the guise of exerting its police powers, should [impose a burden]…applicable solely to articles [of commerce]…produced or manufactured in other States, the courts would find no difficulty in holding such legislation to be in conflict with the Constitution of the United States.</w:t>
      </w:r>
    </w:p>
    <w:p w:rsidR="00A31137" w:rsidRPr="00A31137" w:rsidRDefault="00A31137" w:rsidP="00A31137">
      <w:r w:rsidRPr="00A31137">
        <w:t>1994, Oregon Waste Systems, Inc. v. Dept. of Env. Qual., 511 U.S. 107</w:t>
      </w:r>
    </w:p>
    <w:p w:rsidR="00A31137" w:rsidRPr="00A31137" w:rsidRDefault="00A31137" w:rsidP="00A31137">
      <w:r w:rsidRPr="00A31137">
        <w:t>Guy v. Baltimore, 100 U.S. 434, 443 (1880).</w:t>
      </w:r>
    </w:p>
    <w:p w:rsidR="00A31137" w:rsidRPr="00A31137" w:rsidRDefault="00A31137" w:rsidP="00A31137">
      <w:r w:rsidRPr="00A31137">
        <w:t>1994, Oregon Waste Systems, Inc. v. Dept. of Env. Qual., 511 U.S. 107</w:t>
      </w:r>
    </w:p>
    <w:p w:rsidR="00A31137" w:rsidRPr="00A31137" w:rsidRDefault="00A31137" w:rsidP="00A31137">
      <w:r w:rsidRPr="00A31137">
        <w:t xml:space="preserve">Our decision in Sporhase v. Nebraska, 458 U.S. 941 (1982), is not to the contrary. There we held that a State may grant a "limited preference" for its citizens in the utilization of ground water. Id. at  956. That holding was premised on several different factors tied to the simple fact of life that "water, unlike other natural resources, is essential for human survival." Id. at  952. Sporhase therefore provides no support for respondents' position that States may erect a financial barrier to the flow of waste from other States into Oregon landfills. See Fort Gratiot, 504 U.S. at 364-365, and n. 6. However serious the shortage in landfill space may be, post at  108, "[n]o State may attempt to isolate itself from a problem common to the several States by raising barriers to the free flow of interstate trade." Chemical Waste, 504 U.S. at 339-340, and 346, n. 9. [511 U.S. 108] </w:t>
      </w:r>
    </w:p>
    <w:p w:rsidR="00A31137" w:rsidRPr="00A31137" w:rsidRDefault="00A31137" w:rsidP="00A31137">
      <w:r w:rsidRPr="00A31137">
        <w:t>IV</w:t>
      </w:r>
    </w:p>
    <w:p w:rsidR="00A31137" w:rsidRPr="00A31137" w:rsidRDefault="00A31137" w:rsidP="00A31137">
      <w:r w:rsidRPr="00A31137">
        <w:t>1994, Oregon Waste Systems, Inc. v. Dept. of Env. Qual., 511 U.S. 108</w:t>
      </w:r>
    </w:p>
    <w:p w:rsidR="00A31137" w:rsidRPr="00A31137" w:rsidRDefault="00A31137" w:rsidP="00A31137">
      <w:r w:rsidRPr="00A31137">
        <w:t>We recognize that the States have broad discretion to configure their systems of taxation as they deem appropriate. See, e. g., Commonwealth Edison Co. v. Montana, 453 U.S. 609, 622-623 (1981); Boston Stock Exchange v. State Tax Comm'n, 429 U.S. 318, 336-337 (1977). All we intimate here is that their discretion in this regard, as in all others, is bounded by any relevant limitations of the Federal Constitution, in this case the negative Commerce Clause. Because respondents have offered no legitimate reason to subject waste generated in other States to a discriminatory surcharge approximately three times as high as that imposed on waste generated in Oregon, the surcharge is facially invalid under the negative Commerce Clause. Accordingly, the judgment of the Oregon Supreme Court is reversed, and the cases are remanded for further proceedings not inconsistent with this opinion.</w:t>
      </w:r>
    </w:p>
    <w:p w:rsidR="00A31137" w:rsidRPr="00A31137" w:rsidRDefault="00A31137" w:rsidP="00A31137">
      <w:r w:rsidRPr="00A31137">
        <w:t>1994, Oregon Waste Systems, Inc. v. Dept. of Env. Qual., 511 U.S. 108</w:t>
      </w:r>
    </w:p>
    <w:p w:rsidR="00A31137" w:rsidRPr="00A31137" w:rsidRDefault="00A31137" w:rsidP="00A31137">
      <w:r w:rsidRPr="00A31137">
        <w:t>It is so ordered.</w:t>
      </w:r>
    </w:p>
    <w:p w:rsidR="00A31137" w:rsidRPr="00A31137" w:rsidRDefault="00A31137" w:rsidP="00A31137">
      <w:r w:rsidRPr="00A31137">
        <w:t>REHNQUIST, J., dissenting</w:t>
      </w:r>
    </w:p>
    <w:p w:rsidR="00A31137" w:rsidRPr="00A31137" w:rsidRDefault="00A31137" w:rsidP="00A31137">
      <w:r w:rsidRPr="00A31137">
        <w:t>1994, Oregon Waste Systems, Inc. v. Dept. of Env. Qual., 511 U.S. 108</w:t>
      </w:r>
    </w:p>
    <w:p w:rsidR="00A31137" w:rsidRPr="00A31137" w:rsidRDefault="00A31137" w:rsidP="00A31137">
      <w:r w:rsidRPr="00A31137">
        <w:t>CHIEF JUSTICE REHNQUIST, with whom JUSTICE BLACKMUN joins, dissenting.</w:t>
      </w:r>
    </w:p>
    <w:p w:rsidR="00A31137" w:rsidRPr="00A31137" w:rsidRDefault="00A31137" w:rsidP="00A31137">
      <w:r w:rsidRPr="00A31137">
        <w:t>1994, Oregon Waste Systems, Inc. v. Dept. of Env. Qual., 511 U.S. 108</w:t>
      </w:r>
    </w:p>
    <w:p w:rsidR="00A31137" w:rsidRPr="00A31137" w:rsidRDefault="00A31137" w:rsidP="00A31137">
      <w:r w:rsidRPr="00A31137">
        <w:t>Landfill space evaporates as solid waste accumulates. State and local governments expend financial and political capital to develop trash control systems that are efficient, lawful, and protective of the environment. The State of Oregon responsibly attempted to address its solid waste disposal problem through enactment of a comprehensive regulatory scheme for the management, disposal, reduction, and recycling of solid waste. For this Oregon should be applauded. The regulatory scheme included a fee charged on out-of-state solid waste. The Oregon Legislature directed the Commission to determine the appropriate surcharge "based on the costs…of disposing of solid waste generated out-of-state." Ore.Rev.Stat. § 459.298 (1991). The Commission arrived at a surcharge of $2.25 per ton, compared to the $0.85 per ton charged on [511 U.S. 109] in-state solid waste. Ore.Admin.Rule 340-97-110(3) (1993). 1 The surcharge works out to an increase of about $0.14 per week for the typical out-of-state solid waste producer. 2 Brief for Respondent 26-27, n. 16. This seems a small price to pay for the right to deposit your "garbage, rubbish, refuse…; sewage sludge, septic tank and cesspool pumpings or other sludge;…manure,…dead animals, [and] infectious waste" on your neighbors. Ore.Rev.Stat. § 459.005(27) (1991).</w:t>
      </w:r>
    </w:p>
    <w:p w:rsidR="00A31137" w:rsidRPr="00A31137" w:rsidRDefault="00A31137" w:rsidP="00A31137">
      <w:r w:rsidRPr="00A31137">
        <w:t>1994, Oregon Waste Systems, Inc. v. Dept. of Env. Qual., 511 U.S. 109</w:t>
      </w:r>
    </w:p>
    <w:p w:rsidR="00A31137" w:rsidRPr="00A31137" w:rsidRDefault="00A31137" w:rsidP="00A31137">
      <w:r w:rsidRPr="00A31137">
        <w:t xml:space="preserve">Nearly 20 years ago, we held that a State cannot ban all out-of-state waste disposal in protecting themselves from hazardous or noxious materials brought across the State's borders. Philadelphia v. New Jersey, 437 U.S. 617 (1978). Two Terms ago, in Chemical Waste Management, Inc. v. Hunt, 504 U.S. 334 (1992), in striking down the State of Alabama's $72 per ton fee on the disposal of out-of-state hazardous waste, the Court left open the possibility that such a fee could be valid if based on the costs of disposing of waste from other States. Id. at 346, n. 9. Once again, however, as in Philadelphia and Chemical Waste Management, the Court further cranks the dormant Commerce Clause ratchet against the States by striking down such cost-based fees, and, by so doing, ties the hands of the States in addressing the vexing national problem of solid waste disposal. I dissent. [511 U.S. 110] </w:t>
      </w:r>
    </w:p>
    <w:p w:rsidR="00A31137" w:rsidRPr="00A31137" w:rsidRDefault="00A31137" w:rsidP="00A31137">
      <w:r w:rsidRPr="00A31137">
        <w:t>1994, Oregon Waste Systems, Inc. v. Dept. of Env. Qual., 511 U.S. 110</w:t>
      </w:r>
    </w:p>
    <w:p w:rsidR="00A31137" w:rsidRPr="00A31137" w:rsidRDefault="00A31137" w:rsidP="00A31137">
      <w:r w:rsidRPr="00A31137">
        <w:t>Americans generated nearly 196 million tons of municipal solid waste in 1990, an increase from 128 million tons in 1975. See U.S. Environmental Protection Agency, Characterization of Municipal Solid Waste in the United States: 1992 Update, p. ES-3. Under current projections, Americans will produce 222 million tons of garbage in the year 2000. Ibid. Generating solid waste has never been a problem. Finding environmentally safe disposal sites has. By 1991, it was estimated that 45 percent of all solid waste landfills in the Nation had reached capacity. 56 Fed.Reg. 50980 (1991). Nevertheless, the Court stubbornly refuses to acknowledge that a clean and healthy environment, unthreatened by the improper disposal of solid waste, is the commodity really at issue in cases such as this, see, e.g., Chemical Waste Management, supra, at 350 (REHNQUIST, C.J., dissenting), and Fort Gratiot Sanitary Landfill, Inc. v. Michigan Dept. of Natural Resources, 504 U.S. 353,  368 (1992) (REHNQUIST, C.J., dissenting).</w:t>
      </w:r>
    </w:p>
    <w:p w:rsidR="00A31137" w:rsidRPr="00A31137" w:rsidRDefault="00A31137" w:rsidP="00A31137">
      <w:r w:rsidRPr="00A31137">
        <w:t>1994, Oregon Waste Systems, Inc. v. Dept. of Env. Qual., 511 U.S. 110</w:t>
      </w:r>
    </w:p>
    <w:p w:rsidR="00A31137" w:rsidRPr="00A31137" w:rsidRDefault="00A31137" w:rsidP="00A31137">
      <w:r w:rsidRPr="00A31137">
        <w:t>Notwithstanding the identified shortage of landfill space in the Nation, the Court notes that it has "little difficulty," ante, at  104, concluding that the Oregon surcharge does not operate as a compensatory tax, designed to offset the loss of available landfill space in the State caused by the influx of out-of-state waste. The Court reaches this nonchalant conclusion because the State has failed "to identify a specific charge on intrastate commerce equal to or exceeding the surcharge." Ibid. (emphasis added). The Court's myopic focus on "differential fees" ignores the fact that in-state producers of solid waste support the Oregon regulatory program through state income taxes and by paying, indirectly, the numerous fees imposed on landfill operators and the dumping fee on in-state waste. Ore.Rev.Stat. § 459.005 et seq. (1991).</w:t>
      </w:r>
    </w:p>
    <w:p w:rsidR="00A31137" w:rsidRPr="00A31137" w:rsidRDefault="00A31137" w:rsidP="00A31137">
      <w:r w:rsidRPr="00A31137">
        <w:t>1994, Oregon Waste Systems, Inc. v. Dept. of Env. Qual., 511 U.S. 110</w:t>
      </w:r>
    </w:p>
    <w:p w:rsidR="00A31137" w:rsidRPr="00A31137" w:rsidRDefault="00A31137" w:rsidP="00A31137">
      <w:r w:rsidRPr="00A31137">
        <w:t>We confirmed in Sporhase v. Nebraska ex rel. Douglas, 458 U.S. 941 (1982), that a State may enact a comprehensive regulatory system to address an environmental problem or [511 U.S. 111] a threat to natural resources within the confines of the Commerce Clause. In the context of threatened ground water depletion, we stated that</w:t>
      </w:r>
    </w:p>
    <w:p w:rsidR="00A31137" w:rsidRPr="00A31137" w:rsidRDefault="00A31137" w:rsidP="00A31137">
      <w:r w:rsidRPr="00A31137">
        <w:t>1994, Oregon Waste Systems, Inc. v. Dept. of Env. Qual., 511 U.S. 111</w:t>
      </w:r>
    </w:p>
    <w:p w:rsidR="00A31137" w:rsidRPr="00A31137" w:rsidRDefault="00A31137" w:rsidP="00A31137">
      <w:r w:rsidRPr="00A31137">
        <w:t>[o]bviously, a State that imposes severe withdrawal and use restrictions on its own citizens is not discriminating against interstate commerce when it seeks to prevent the uncontrolled transfer of water out of the State.</w:t>
      </w:r>
    </w:p>
    <w:p w:rsidR="00A31137" w:rsidRPr="00A31137" w:rsidRDefault="00A31137" w:rsidP="00A31137">
      <w:r w:rsidRPr="00A31137">
        <w:t>1994, Oregon Waste Systems, Inc. v. Dept. of Env. Qual., 511 U.S. 111</w:t>
      </w:r>
    </w:p>
    <w:p w:rsidR="00A31137" w:rsidRPr="00A31137" w:rsidRDefault="00A31137" w:rsidP="00A31137">
      <w:r w:rsidRPr="00A31137">
        <w:t>Id. at 955-956. The same point could be made about a "clean and safe environment" in these cases: where a State imposes restrictions on the ability of its own citizens to dispose of solid waste in an effort to promote a "clean and safe environment," it is not discriminating against interstate commerce by preventing the uncontrolled transfer of out-of-state solid waste into the State.</w:t>
      </w:r>
    </w:p>
    <w:p w:rsidR="00A31137" w:rsidRPr="00A31137" w:rsidRDefault="00A31137" w:rsidP="00A31137">
      <w:r w:rsidRPr="00A31137">
        <w:t>1994, Oregon Waste Systems, Inc. v. Dept. of Env. Qual., 511 U.S. 111</w:t>
      </w:r>
    </w:p>
    <w:p w:rsidR="00A31137" w:rsidRPr="00A31137" w:rsidRDefault="00A31137" w:rsidP="00A31137">
      <w:r w:rsidRPr="00A31137">
        <w:t xml:space="preserve">The availability of safe landfill disposal sites in Oregon did not occur by chance. Through its regulatory scheme, the State of Oregon inspects landfill sites, monitors waste streams, promotes recycling, and imposes an $0.85 per ton disposal fee on in-state waste, Ore.Rev.Stat. 459.005 et seq. (1991), all in an effort to curb the threat that its residents will harm the environment and create health and safety problems through excessive and unmonitored solid waste disposal. Depletion of a clean and safe environment will follow if Oregon must accept out-of-state waste at its landfills without a sharing of the disposal costs. The Commerce Clause does not require a State to abide this outcome where the "natural resource has some indicia of a good publicly produced and owned in which a State may favor its own citizens in times of shortage." Sporhase, supra, at  957. A shortage of available landfill space is upon us, 56 Fed.Reg. 50980 (1991), and with it comes the accompanying health and safety hazards flowing from the improper disposal of solid wastes. We have long acknowledged a distinction between economic protectionism and health and safety regulation promulgated by Oregon. See H. P. Hood &amp; Sons, Inc. v. Du Mond, 336 U.S. 525,  533 (1949). [511 U.S. 112] </w:t>
      </w:r>
    </w:p>
    <w:p w:rsidR="00A31137" w:rsidRPr="00A31137" w:rsidRDefault="00A31137" w:rsidP="00A31137">
      <w:r w:rsidRPr="00A31137">
        <w:t>1994, Oregon Waste Systems, Inc. v. Dept. of Env. Qual., 511 U.S. 112</w:t>
      </w:r>
    </w:p>
    <w:p w:rsidR="00A31137" w:rsidRPr="00A31137" w:rsidRDefault="00A31137" w:rsidP="00A31137">
      <w:r w:rsidRPr="00A31137">
        <w:t>Far from neutralizing the economic situation for Oregon producers and out-of-state producers, the Court's analysis turns the Commerce Clause on its head. Oregon's neighbors will operate under a competitive advantage against their Oregon counterparts, as they can now produce solid waste with reckless abandon and avoid paying concomitant state taxes to develop new landfills and clean up retired landfill sites. While I understand that solid waste is an article of commerce, Philadelphia, 437 U.S. at 622-623, it is not a commodity sold in the marketplace; rather it is disposed of at a cost to the State. Petitioners do not buy garbage to put in their landfills; solid waste producers pay petitioners to take their waste. Oregon solid waste producers do not compete with out-of-state businesses in the sale of solid waste. Thus, the fees do not alter the price of a product that is competing with other products for common purchasers. If anything, striking down the fees works to the disadvantage of Oregon businesses. They alone will have to pay the "nondisposal" fees associated with solid waste: landfill siting, landfill clean-up, insurance to cover environmental accidents, and transportation improvement costs associated with out-of-state waste being shipped into the State. While we once recognized that "'the collection and disposal of solid wastes should continue to be primarily the function of State, regional, and local agencies,'" id. at  621, n. 4, quoting 42 U.S.C. § 6901(a)(4) (1976 ed.), the Court today leaves States with only two options: become a dumper and ship as much waste as possible to a less populated State, or become a dumpee, and stoically accept waste from more densely populated States.</w:t>
      </w:r>
    </w:p>
    <w:p w:rsidR="00A31137" w:rsidRPr="00A31137" w:rsidRDefault="00A31137" w:rsidP="00A31137">
      <w:r w:rsidRPr="00A31137">
        <w:t>1994, Oregon Waste Systems, Inc. v. Dept. of Env. Qual., 511 U.S. 112</w:t>
      </w:r>
    </w:p>
    <w:p w:rsidR="00A31137" w:rsidRPr="00A31137" w:rsidRDefault="00A31137" w:rsidP="00A31137">
      <w:r w:rsidRPr="00A31137">
        <w:t>The Court asserts that the State has not offered "any safety or health reasons" for discouraging the flow of solid waste into Oregon. Ante at  101. I disagree. The availability of environmentally sound landfill space and the proper disposal of solid waste strike me as justifiable "safety or health" rationales for the fee. As far back as the turn of the century, [511 U.S. 113] the Court recognized that control over the collection and disposal of solid waste was a legitimate, nonarbitrary exercise of police powers to protect health and safety. See, e.g., California Reduction Co. v. Sanitary Reduction Works, 199 U.S. 306 (1905) (holding that exclusive privilege to one company to dispose of the garbage in the city and county of San Francisco was not void as taking the property of householders for public use without compensation); and Gardner v. Michigan, 199 U.S. 325 (1905) (holding that property rights of individuals must be subordinated to the general good and if the owner of garbage suffers any loss by its destruction he is compensated therefor in the common benefit secured by the regulation requiring that all garbage be destroyed).</w:t>
      </w:r>
    </w:p>
    <w:p w:rsidR="00A31137" w:rsidRPr="00A31137" w:rsidRDefault="00A31137" w:rsidP="00A31137">
      <w:r w:rsidRPr="00A31137">
        <w:t>1994, Oregon Waste Systems, Inc. v. Dept. of Env. Qual., 511 U.S. 113</w:t>
      </w:r>
    </w:p>
    <w:p w:rsidR="00A31137" w:rsidRPr="00A31137" w:rsidRDefault="00A31137" w:rsidP="00A31137">
      <w:r w:rsidRPr="00A31137">
        <w:t xml:space="preserve">In exercising its legitimate police powers in regulating solid waste disposal, Oregon is not "needlessly obstruct[ing] interstate trade or attempt[ing] to place itself in a position of economic isolation." Maine v. Taylor, 477 U.S. 131,  151 (1986) (internal quotation marks omitted) (upholding Maine's ban on the importation of live baitfish on the ground that it serves the legitimate governmental interest in protecting Maine's indigenous fish population from parasites prevalent in out-of-state baitfish). Quite to the contrary, Oregon accepts out-of-state waste as part of its comprehensive solid waste regulatory program and it "retains broad regulatory authority to protect the health and safety of its citizens and the integrity of its natural resources." Ibid. Moreover, Congress also has recognized taxes as an effective method of discouraging consumption of natural resources in other contexts. Cf. 26 U.S.C. §§ 4681, 4682 (1988 ed., Supp. IV) (tax on ozone-depleting chemicals); 26 U.S.C. § 4064 (1988 ed. and Supp. IV) (gas guzzler excise tax). Nothing should change the analysis when the natural resource—landfill space—was created or regulated by the State in the first place. [511 U.S. 114] </w:t>
      </w:r>
    </w:p>
    <w:p w:rsidR="00A31137" w:rsidRPr="00A31137" w:rsidRDefault="00A31137" w:rsidP="00A31137">
      <w:r w:rsidRPr="00A31137">
        <w:t>1994, Oregon Waste Systems, Inc. v. Dept. of Env. Qual., 511 U.S. 114</w:t>
      </w:r>
    </w:p>
    <w:p w:rsidR="00A31137" w:rsidRPr="00A31137" w:rsidRDefault="00A31137" w:rsidP="00A31137">
      <w:r w:rsidRPr="00A31137">
        <w:t>In its sweeping ruling, the Court makes no distinction between publicly and privately owned landfills. It rejects the argument that our "user fee" cases apply in this context, since the landfills owned by the petitioners are private and our user fee analysis applies only to "charge[s] imposed by the State for the use of a state-owned or state-provided transportation or other facilities and services." Ante at  103, n. 6, quoting Commonwealth Edison Co. v. Montana, 453 U.S. 609,  621 (1981). Rather than stopping there, however, the majority goes on to note that even if the Oregon surcharge could be viewed as a user fee, "it could not be sustained as such, given that it discriminates against interstate commerce." Ante at  104, n. 6, quoting Evansville-Vanderburgh Airport Authority Dist. v. Delta Airlines, Inc., 405 U.S. 707, 717 (1972). There is no need to make this dubious assertion. We specifically left unanswered the question whether a state or local government could regulate disposal of out-of-state solid waste at landfills owned by the government in Philadelphia, supra. at  627, n. 6.</w:t>
      </w:r>
    </w:p>
    <w:p w:rsidR="00A31137" w:rsidRPr="00A31137" w:rsidRDefault="00A31137" w:rsidP="00A31137">
      <w:r w:rsidRPr="00A31137">
        <w:t>1994, Oregon Waste Systems, Inc. v. Dept. of Env. Qual., 511 U.S. 114</w:t>
      </w:r>
    </w:p>
    <w:p w:rsidR="00A31137" w:rsidRPr="00A31137" w:rsidRDefault="00A31137" w:rsidP="00A31137">
      <w:r w:rsidRPr="00A31137">
        <w:t>We will undoubtedly be faced with this question directly in the future as roughly 80 percent of landfills receiving municipal solid waste in the United States are state or locally owned. U.S. Environmental Protection Agency, Resource Conservation and Recovery Act, Subtitle D Study: Phase 1 Report, table 4-2, p. 4-7 (Oct. 1986). We noted in South-Central Timber Development, Inc. v. Wunnicke, 467 U.S. 82,  93 (1984), "if a State is acting as a market participant, rather than as a market regulator, the dormant Commerce Clause places no limitation on its activities." See also Wyoming v. Oklahoma, 502 U.S. 437,  459 (1992). Similarly, if the State owned and operated a park or recreational facility, it would be allowed to charge differential fees for in-state and out-of-state users of the resource. See, e.g., Baldwin v. Fish and Game Comm'n of Montana, 436 U.S. 371 (1978) (upholding Montana's higher nonresident elk hunting license fees to compensate the State for conservation expenditures [511 U.S. 115] from taxes which only residents pay). More recently we upheld such differential fees under a reasonableness standard in Northwest Airlines, Inc. v. County of Kent, 501 U.S. 355 (1994), despite the fact that the fees were not precisely tied to the costs of the services provided at the publicly owned airport. We relied on our Commerce Clause analysis from Evansville, supra. We stated in Evansville:</w:t>
      </w:r>
    </w:p>
    <w:p w:rsidR="00A31137" w:rsidRPr="00A31137" w:rsidRDefault="00A31137" w:rsidP="00A31137">
      <w:r w:rsidRPr="00A31137">
        <w:t>1994, Oregon Waste Systems, Inc. v. Dept. of Env. Qual., 511 U.S. 115</w:t>
      </w:r>
    </w:p>
    <w:p w:rsidR="00A31137" w:rsidRPr="00A31137" w:rsidRDefault="00A31137" w:rsidP="00A31137">
      <w:r w:rsidRPr="00A31137">
        <w:t>At least so long as the toll is based on some fair approximation of use or privilege for use,…and is neither discriminatory against interstate commerce nor excessive in comparison with the governmental benefit conferred, it will pass constitutional muster, even though some other formula might reflect more exactly the relative use of the state facilities by individual users.</w:t>
      </w:r>
    </w:p>
    <w:p w:rsidR="00A31137" w:rsidRPr="00A31137" w:rsidRDefault="00A31137" w:rsidP="00A31137">
      <w:r w:rsidRPr="00A31137">
        <w:t>1994, Oregon Waste Systems, Inc. v. Dept. of Env. Qual., 511 U.S. 115</w:t>
      </w:r>
    </w:p>
    <w:p w:rsidR="00A31137" w:rsidRPr="00A31137" w:rsidRDefault="00A31137" w:rsidP="00A31137">
      <w:r w:rsidRPr="00A31137">
        <w:t>Id. at 716-717. I think that the $2.25 per ton fee that Oregon imposes on out-of-state waste works out to a similar "fair approximation" of the privilege to use its landfills. Even the Court concedes that our precedents do not demand anything beyond "substantia[l] equivalen[cy]" between the fees charged on in-state and out-of-state waste. Ante at  103 (internal quotation marks omitted). The $0.14 per week fee imposed on out-of-state waste producers qualifies as "substantially equivalent" under the reasonableness standard of Northwest Airlines and Evansville.</w:t>
      </w:r>
    </w:p>
    <w:p w:rsidR="00A31137" w:rsidRPr="00A31137" w:rsidRDefault="00A31137" w:rsidP="00A31137">
      <w:r w:rsidRPr="00A31137">
        <w:t>1994, Oregon Waste Systems, Inc. v. Dept. of Env. Qual., 511 U.S. 115</w:t>
      </w:r>
    </w:p>
    <w:p w:rsidR="00A31137" w:rsidRPr="00A31137" w:rsidRDefault="00A31137" w:rsidP="00A31137">
      <w:r w:rsidRPr="00A31137">
        <w:t>The Court begrudgingly concedes that interstate commerce may be made to "pay its way," ante at  102, yet finds Oregon's nominal surcharge to exact more than a "just share" from interstate commerce. Ibid. It escapes me how an additional $0.14 per week cost for the average solid waste producer constitutes anything but the type of "incidental effects on interstate commerce" endorsed by the majority. Id. at  99 (internal quotation marks omitted). Evenhanded regulations imposing such incidental effects on interstate commerce must be upheld unless "the burden imposed [511 U.S. 116] on such commerce is clearly excessive in relation to the putative local benefits." Pike v. Bruce Church, Inc., 397 U.S. 137, 142 (1970). If the majority finds $0.14 per week beyond the pale, one is left to wonder what the Court possibly could have contemplated when it stated:</w:t>
      </w:r>
    </w:p>
    <w:p w:rsidR="00A31137" w:rsidRPr="00A31137" w:rsidRDefault="00A31137" w:rsidP="00A31137">
      <w:r w:rsidRPr="00A31137">
        <w:t>1994, Oregon Waste Systems, Inc. v. Dept. of Env. Qual., 511 U.S. 116</w:t>
      </w:r>
    </w:p>
    <w:p w:rsidR="00A31137" w:rsidRPr="00A31137" w:rsidRDefault="00A31137" w:rsidP="00A31137">
      <w:r w:rsidRPr="00A31137">
        <w:t>"[I]n the absence of conflicting legislation by Congress, there is a residuum of power in the state to make laws governing matters of local concern which nevertheless in some measure affect interstate commerce or even, to some extent, regulate it."</w:t>
      </w:r>
    </w:p>
    <w:p w:rsidR="00A31137" w:rsidRPr="00A31137" w:rsidRDefault="00A31137" w:rsidP="00A31137">
      <w:r w:rsidRPr="00A31137">
        <w:t>1994, Oregon Waste Systems, Inc. v. Dept. of Env. Qual., 511 U.S. 116</w:t>
      </w:r>
    </w:p>
    <w:p w:rsidR="00A31137" w:rsidRPr="00A31137" w:rsidRDefault="00A31137" w:rsidP="00A31137">
      <w:r w:rsidRPr="00A31137">
        <w:t>Hunt v. Washington State Apple Advertising Comm'n, 432 U.S. 333,  350 (1977), quoting Southern Pacific Co. v. Arizona ex rel. Sullivan, 325 U.S. 761,  767 (1945). Surely $0.14 per week falls within even the most crabbed definition of "affect" or "regulate." Today the majority has rendered this "residuum of power" a nullity.</w:t>
      </w:r>
    </w:p>
    <w:p w:rsidR="00A31137" w:rsidRPr="00A31137" w:rsidRDefault="00A31137" w:rsidP="00A31137">
      <w:r w:rsidRPr="00A31137">
        <w:t>1994, Oregon Waste Systems, Inc. v. Dept. of Env. Qual., 511 U.S. 116</w:t>
      </w:r>
    </w:p>
    <w:p w:rsidR="00A31137" w:rsidRPr="00A31137" w:rsidRDefault="00A31137" w:rsidP="00A31137">
      <w:r w:rsidRPr="00A31137">
        <w:t>The State of Oregon is not prohibiting the export of solid waste from neighboring States; it is only asking that those neighbors pay their fair share for the use of Oregon landfill sites. I see nothing in the Commerce Clause that compels less densely populated States to serve as the low-cost dumping grounds for their neighbors, suffering the attendant risks that solid waste landfills present. The Court, deciding otherwise, further limits the dwindling options available to States as they contend with the environmental, health, safety, and political challenges posed by the problem of solid waste disposal in modern society.</w:t>
      </w:r>
    </w:p>
    <w:p w:rsidR="00A31137" w:rsidRPr="00A31137" w:rsidRDefault="00A31137" w:rsidP="00A31137">
      <w:r w:rsidRPr="00A31137">
        <w:t>1994, Oregon Waste Systems, Inc. v. Dept. of Env. Qual., 511 U.S. 116</w:t>
      </w:r>
    </w:p>
    <w:p w:rsidR="00A31137" w:rsidRPr="00A31137" w:rsidRDefault="00A31137" w:rsidP="00A31137">
      <w:r w:rsidRPr="00A31137">
        <w:t>For the foregoing reasons, I respectfully dissent.</w:t>
      </w:r>
    </w:p>
    <w:p w:rsidR="00A31137" w:rsidRPr="00A31137" w:rsidRDefault="00A31137" w:rsidP="00A31137">
      <w:r w:rsidRPr="00A31137">
        <w:t>Footnotes</w:t>
      </w:r>
    </w:p>
    <w:p w:rsidR="00A31137" w:rsidRPr="00A31137" w:rsidRDefault="00A31137" w:rsidP="00A31137">
      <w:r w:rsidRPr="00A31137">
        <w:t>THOMAS, J., lead opinion (Footnotes)</w:t>
      </w:r>
    </w:p>
    <w:p w:rsidR="00A31137" w:rsidRPr="00A31137" w:rsidRDefault="00A31137" w:rsidP="00A31137">
      <w:r w:rsidRPr="00A31137">
        <w:t>1994, Oregon Waste Systems, Inc. v. Dept. of Env. Qual., 511 U.S. 116</w:t>
      </w:r>
    </w:p>
    <w:p w:rsidR="00A31137" w:rsidRPr="00A31137" w:rsidRDefault="00A31137" w:rsidP="00A31137">
      <w:r w:rsidRPr="00A31137">
        <w:t>1. Oregon defines "solid wastes" as</w:t>
      </w:r>
    </w:p>
    <w:p w:rsidR="00A31137" w:rsidRPr="00A31137" w:rsidRDefault="00A31137" w:rsidP="00A31137">
      <w:r w:rsidRPr="00A31137">
        <w:t>1994, Oregon Waste Systems, Inc. v. Dept. of Env. Qual., 511 U.S. 116</w:t>
      </w:r>
    </w:p>
    <w:p w:rsidR="00A31137" w:rsidRPr="00A31137" w:rsidRDefault="00A31137" w:rsidP="00A31137">
      <w:r w:rsidRPr="00A31137">
        <w:t>all putrescible and nonputrescible wastes, including but not limited to garbage, rubbish, refuse, ashes, waste paper and cardboard; sewage sludge, septic tank and cesspool pumpings or other sludge; commercial, industrial, demolition and construction wastes; discarded or abandoned vehicles or parts thereof; discarded home and industrial appliances; manure, vegetable or animal solid and semisolid wastes, dead animals, infectious waste…and other wastes.</w:t>
      </w:r>
    </w:p>
    <w:p w:rsidR="00A31137" w:rsidRPr="00A31137" w:rsidRDefault="00A31137" w:rsidP="00A31137">
      <w:r w:rsidRPr="00A31137">
        <w:t>1994, Oregon Waste Systems, Inc. v. Dept. of Env. Qual., 511 U.S. 116</w:t>
      </w:r>
    </w:p>
    <w:p w:rsidR="00A31137" w:rsidRPr="00A31137" w:rsidRDefault="00A31137" w:rsidP="00A31137">
      <w:r w:rsidRPr="00A31137">
        <w:t>Ore.Rev.Stat. § 459.005(27) (1991). Hazardous wastes are not considered solid wastes. § 459.005(27)(a).</w:t>
      </w:r>
    </w:p>
    <w:p w:rsidR="00A31137" w:rsidRPr="00A31137" w:rsidRDefault="00A31137" w:rsidP="00A31137">
      <w:r w:rsidRPr="00A31137">
        <w:t>1994, Oregon Waste Systems, Inc. v. Dept. of Env. Qual., 511 U.S. 116</w:t>
      </w:r>
    </w:p>
    <w:p w:rsidR="00A31137" w:rsidRPr="00A31137" w:rsidRDefault="00A31137" w:rsidP="00A31137">
      <w:r w:rsidRPr="00A31137">
        <w:t>2. As a result, shippers of out-of-state solid waste currently are being charged $3.10 per ton to dispose of such waste in Oregon landfills, as compared to the $0.85 per ton fee charged to dispose of Oregon waste in those same landfills. We refer hereinafter only to the $2.25 surcharge, because the $0.85 per ton fee, which will be refunded to shippers of out-of-state waste if the surcharge is upheld, 1991 Ore.Laws, ch. 385, § 92, is not challenged here.</w:t>
      </w:r>
    </w:p>
    <w:p w:rsidR="00A31137" w:rsidRPr="00A31137" w:rsidRDefault="00A31137" w:rsidP="00A31137">
      <w:r w:rsidRPr="00A31137">
        <w:t>1994, Oregon Waste Systems, Inc. v. Dept. of Env. Qual., 511 U.S. 116</w:t>
      </w:r>
    </w:p>
    <w:p w:rsidR="00A31137" w:rsidRPr="00A31137" w:rsidRDefault="00A31137" w:rsidP="00A31137">
      <w:r w:rsidRPr="00A31137">
        <w:t>3. Government Suppliers Consolidating Servs., Inc. v. Bayh, 975 F.2d 1267 (1992), cert. denied, 506 U.S. 1053 (1993).</w:t>
      </w:r>
    </w:p>
    <w:p w:rsidR="00A31137" w:rsidRPr="00A31137" w:rsidRDefault="00A31137" w:rsidP="00A31137">
      <w:r w:rsidRPr="00A31137">
        <w:t>1994, Oregon Waste Systems, Inc. v. Dept. of Env. Qual., 511 U.S. 116</w:t>
      </w:r>
    </w:p>
    <w:p w:rsidR="00A31137" w:rsidRPr="00A31137" w:rsidRDefault="00A31137" w:rsidP="00A31137">
      <w:r w:rsidRPr="00A31137">
        <w:t>4. The dissent argues that the $2.25 per ton surcharge is so minimal in amount that it cannot be considered discriminatory, even though the surcharge expressly applies only to waste generated in other States. Post at  115. The dissent does not attempt to reconcile that novel understanding of discrimination with our precedents, which clearly establish that the degree of a differential burden or charge on interstate commerce "measures only the extent of the discrimination" and "is of no relevance to the determination whether a State has discriminated against interstate commerce." Wyoming v. Oklahoma, 502 U.S. 437,  455 (1992). See also, e.g., Maryland v. Louisiana, 451 U.S. 725, 760 (1981) ("We need not know how unequal [a] [t]ax is before concluding that it…discriminates").</w:t>
      </w:r>
    </w:p>
    <w:p w:rsidR="00A31137" w:rsidRPr="00A31137" w:rsidRDefault="00A31137" w:rsidP="00A31137">
      <w:r w:rsidRPr="00A31137">
        <w:t>1994, Oregon Waste Systems, Inc. v. Dept. of Env. Qual., 511 U.S. 116</w:t>
      </w:r>
    </w:p>
    <w:p w:rsidR="00A31137" w:rsidRPr="00A31137" w:rsidRDefault="00A31137" w:rsidP="00A31137">
      <w:r w:rsidRPr="00A31137">
        <w:t>5. In fact, the Commission fixed the $2.25 per ton cost of disposing of solid waste in Oregon landfills without reference to the origin of the waste, 3 Record 665-690, and Oregon's economic consultant recognized that the per ton costs are the same for both in-state and out-of-state waste. Id. at 731-732,  744. Of course, if out-of-state waste did impose higher costs on Oregon than in-state waste, Oregon could recover the increased cost through a differential charge on out-of-state waste, for then there would be a "reason, apart from its origin, why solid waste coming from outside the [State] should be treated differently." Fort Gratiot Landfill, Inc. v. Michigan Dept. of Natural Resources, 504 U.S. 353,  361 (1992). Cf. Mullaney v. Anderson, 342 U.S. 415, 417 (1952); Toomer v. Witsell, 334 U.S. 385,  399 (1948).</w:t>
      </w:r>
    </w:p>
    <w:p w:rsidR="00A31137" w:rsidRPr="00A31137" w:rsidRDefault="00A31137" w:rsidP="00A31137">
      <w:r w:rsidRPr="00A31137">
        <w:t>1994, Oregon Waste Systems, Inc. v. Dept. of Env. Qual., 511 U.S. 116</w:t>
      </w:r>
    </w:p>
    <w:p w:rsidR="00A31137" w:rsidRPr="00A31137" w:rsidRDefault="00A31137" w:rsidP="00A31137">
      <w:r w:rsidRPr="00A31137">
        <w:t>6. The Oregon Supreme Court, though terming the out-of-state surcharge a "compensatory fee," relied for its legal standard on our "user fee" cases. See 316 Ore. 99, 112, 849 P.2d 500, 508 (1993) (citing, for example, Evansville-Vanderburgh Airport Authority Dist. v. Delta Airlines, Inc., 405 U.S. 707 (1972), and Clark v. Paul Gray, Inc., 306 U.S. 583 (1939)). The compensatory tax cases cited in the text, rather than the user fee cases, are controlling here, as the latter apply only to "charge[s] imposed by the State for the use of state-owned or state-provided transportation or other facilities and services." Commonwealth Edison Co. v. Montana, 453 U.S. 609,  621 (1981). Because it is undisputed that, as in Chemical Waste, the landfills in question are owned by private entities, including Oregon Waste, the out-of-state surcharge is plainly not a user fee. Nevertheless, even if the surcharge could somehow be viewed as a user fee, it could not be sustained as such, given that it discriminates against interstate commerce. See Evansville, supra, at 717; Guy v. Baltimore, 100 U.S. 434 (1880). Cf. Northwest Airlines, Inc. v. County of Kent, 510 U.S. 355, 369 (1994) (a user fee is valid only to the extent it "does not discriminate against interstate commerce").</w:t>
      </w:r>
    </w:p>
    <w:p w:rsidR="00A31137" w:rsidRPr="00A31137" w:rsidRDefault="00A31137" w:rsidP="00A31137">
      <w:r w:rsidRPr="00A31137">
        <w:t>1994, Oregon Waste Systems, Inc. v. Dept. of Env. Qual., 511 U.S. 116</w:t>
      </w:r>
    </w:p>
    <w:p w:rsidR="00A31137" w:rsidRPr="00A31137" w:rsidRDefault="00A31137" w:rsidP="00A31137">
      <w:r w:rsidRPr="00A31137">
        <w:t>7. We would note that respondents, like the dissent, post at  112, ignore the fact that shippers of waste from other States in all likelihood pay income taxes in other States, a portion of which might well be used to pay for waste reduction activities in those States.</w:t>
      </w:r>
    </w:p>
    <w:p w:rsidR="00A31137" w:rsidRPr="00A31137" w:rsidRDefault="00A31137" w:rsidP="00A31137">
      <w:r w:rsidRPr="00A31137">
        <w:t>1994, Oregon Waste Systems, Inc. v. Dept. of Env. Qual., 511 U.S. 116</w:t>
      </w:r>
    </w:p>
    <w:p w:rsidR="00A31137" w:rsidRPr="00A31137" w:rsidRDefault="00A31137" w:rsidP="00A31137">
      <w:r w:rsidRPr="00A31137">
        <w:t>8. Furthermore, permitting discriminatory taxes on interstate commerce to compensate for charges purportedly included in general forms of intrastate taxation</w:t>
      </w:r>
    </w:p>
    <w:p w:rsidR="00A31137" w:rsidRPr="00A31137" w:rsidRDefault="00A31137" w:rsidP="00A31137">
      <w:r w:rsidRPr="00A31137">
        <w:t>1994, Oregon Waste Systems, Inc. v. Dept. of Env. Qual., 511 U.S. 116</w:t>
      </w:r>
    </w:p>
    <w:p w:rsidR="00A31137" w:rsidRPr="00A31137" w:rsidRDefault="00A31137" w:rsidP="00A31137">
      <w:r w:rsidRPr="00A31137">
        <w:t>would allow a state to tax interstate commerce more heavily than in-state commerce anytime the entities involved in interstate commerce happened to use facilities supported by general state tax funds.</w:t>
      </w:r>
    </w:p>
    <w:p w:rsidR="00A31137" w:rsidRPr="00A31137" w:rsidRDefault="00A31137" w:rsidP="00A31137">
      <w:r w:rsidRPr="00A31137">
        <w:t>1994, Oregon Waste Systems, Inc. v. Dept. of Env. Qual., 511 U.S. 116</w:t>
      </w:r>
    </w:p>
    <w:p w:rsidR="00A31137" w:rsidRPr="00A31137" w:rsidRDefault="00A31137" w:rsidP="00A31137">
      <w:r w:rsidRPr="00A31137">
        <w:t>Government Suppliers Consolidating Servs., Inc. v. Bayh, 975 F.2d at 1284. We decline respondents' invitation to open such an expansive loophole in our carefully confined compensatory tax jurisprudence.</w:t>
      </w:r>
    </w:p>
    <w:p w:rsidR="00A31137" w:rsidRPr="00A31137" w:rsidRDefault="00A31137" w:rsidP="00A31137">
      <w:r w:rsidRPr="00A31137">
        <w:t>1994, Oregon Waste Systems, Inc. v. Dept. of Env. Qual., 511 U.S. 116</w:t>
      </w:r>
    </w:p>
    <w:p w:rsidR="00A31137" w:rsidRPr="00A31137" w:rsidRDefault="00A31137" w:rsidP="00A31137">
      <w:r w:rsidRPr="00A31137">
        <w:t>9. We recognize that</w:t>
      </w:r>
    </w:p>
    <w:p w:rsidR="00A31137" w:rsidRPr="00A31137" w:rsidRDefault="00A31137" w:rsidP="00A31137">
      <w:r w:rsidRPr="00A31137">
        <w:t>1994, Oregon Waste Systems, Inc. v. Dept. of Env. Qual., 511 U.S. 116</w:t>
      </w:r>
    </w:p>
    <w:p w:rsidR="00A31137" w:rsidRPr="00A31137" w:rsidRDefault="00A31137" w:rsidP="00A31137">
      <w:r w:rsidRPr="00A31137">
        <w:t>[t]he Commerce Clause does not prohibit all state action designed to give its residents an advantage in the marketplace, but only action of that description in connection with the State's regulation of interstate commerce.</w:t>
      </w:r>
    </w:p>
    <w:p w:rsidR="00A31137" w:rsidRPr="00A31137" w:rsidRDefault="00A31137" w:rsidP="00A31137">
      <w:r w:rsidRPr="00A31137">
        <w:t>1994, Oregon Waste Systems, Inc. v. Dept. of Env. Qual., 511 U.S. 116</w:t>
      </w:r>
    </w:p>
    <w:p w:rsidR="00A31137" w:rsidRPr="00A31137" w:rsidRDefault="00A31137" w:rsidP="00A31137">
      <w:r w:rsidRPr="00A31137">
        <w:t>New Energy Co. of Indiana v. Limbach, 486 U.S. 269, 278 (1988). Cf. Metropolitan Life Ins. Co. v. Ward, 470 U.S. 869,  877, n. 6 (1985). Here, as in New Energy, we confront a patently discriminatory law that is plainly connected to the regulation of interstate commerce. We therefore have no occasion to decide whether Oregon could validly accomplish its limited cost-spreading through the "market participant" doctrine, Hughes v. Alexandria Scrap Corp., 426 U.S. 794, 806-810 (1976), or other means unrelated to any regulation of interstate commerce.</w:t>
      </w:r>
    </w:p>
    <w:p w:rsidR="00A31137" w:rsidRPr="00A31137" w:rsidRDefault="00A31137" w:rsidP="00A31137">
      <w:r w:rsidRPr="00A31137">
        <w:t>REHNQUIST, J., dissenting (Footnotes)</w:t>
      </w:r>
    </w:p>
    <w:p w:rsidR="00A31137" w:rsidRPr="00A31137" w:rsidRDefault="00A31137" w:rsidP="00A31137">
      <w:r w:rsidRPr="00A31137">
        <w:t>1994, Oregon Waste Systems, Inc. v. Dept. of Env. Qual., 511 U.S. 116</w:t>
      </w:r>
    </w:p>
    <w:p w:rsidR="00A31137" w:rsidRPr="00A31137" w:rsidRDefault="00A31137" w:rsidP="00A31137">
      <w:r w:rsidRPr="00A31137">
        <w:t>1. The surcharge is composed of the following identified costs: $0.58—statewide activities for reducing environmental risks and improving solid waste management; $0.66—reimbursements to the state for tax credits and other public subsidies; $0.05—solid waste reduction activities related to the review and certification of waste reduction and recycling plans; $0.72—increased environmental liability; $0.20—lost disposal capacity; $0.03—publicly supported infrastructure; and $0.01—nuisance impacts from transportation. Pet. for Cert. in No. 93-108, p. 4.</w:t>
      </w:r>
    </w:p>
    <w:p w:rsidR="00A31137" w:rsidRPr="00A31137" w:rsidRDefault="00A31137" w:rsidP="00A31137">
      <w:r w:rsidRPr="00A31137">
        <w:t>1994, Oregon Waste Systems, Inc. v. Dept. of Env. Qual., 511 U.S. 116</w:t>
      </w:r>
    </w:p>
    <w:p w:rsidR="00A31137" w:rsidRPr="00A31137" w:rsidRDefault="00A31137" w:rsidP="00A31137">
      <w:r w:rsidRPr="00A31137">
        <w:t>2. The $2.25 per ton fee imposed on out-of-state waste exceeds the $0.85 per ton fee imposed on in-state waste by $1.40 per ton. One ton equals 2,000 pounds. Assuming that the hypothetical nonresident generates 200 pounds of garbage per month (1/10 of a ton), the nonresident's garbage bill would increase by $0.14 per month.</w:t>
      </w:r>
    </w:p>
    <w:p w:rsidR="00A31137" w:rsidRPr="00A31137" w:rsidRDefault="00A31137" w:rsidP="00A31137">
      <w:r w:rsidRPr="00A31137">
        <w:t>Clinton's Interview on MTV's "Enough is Enough" Forum, April 19, 1994</w:t>
      </w:r>
    </w:p>
    <w:p w:rsidR="00A31137" w:rsidRPr="00A31137" w:rsidRDefault="00A31137" w:rsidP="00A31137">
      <w:r w:rsidRPr="00A31137">
        <w:t>Title:</w:t>
      </w:r>
      <w:r w:rsidRPr="00A31137">
        <w:tab/>
        <w:t>Clinton's Interview on MTV's "Enough is Enough" Forum</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April 19, 1994</w:t>
      </w:r>
    </w:p>
    <w:p w:rsidR="00A31137" w:rsidRPr="00A31137" w:rsidRDefault="00A31137" w:rsidP="00A31137">
      <w:r w:rsidRPr="00A31137">
        <w:t>Source:</w:t>
      </w:r>
      <w:r w:rsidRPr="00A31137">
        <w:tab/>
        <w:t>Weekly Compilation of Presidential Documents, 1994</w:t>
      </w:r>
    </w:p>
    <w:p w:rsidR="00A31137" w:rsidRPr="00A31137" w:rsidRDefault="00A31137" w:rsidP="00A31137">
      <w:r w:rsidRPr="00A31137">
        <w:t>Clinton, MTV Interview, April 19, 1994</w:t>
      </w:r>
    </w:p>
    <w:p w:rsidR="00A31137" w:rsidRPr="00A31137" w:rsidRDefault="00A31137" w:rsidP="00A31137">
      <w:r w:rsidRPr="00A31137">
        <w:t>Tabitha Soren. Welcome to MTV's "Enough is Enough" Forum with the President of the United States, Bill Clinton. Joining the President is an audience of 200, 16- to 20-year-olds from here in DC and all over the country. Obviously, there are a lot of issues on the President's mind today, including some hard decisions on the U.S. role in Bosnia. But we've invited him here to talk about violence in America.</w:t>
      </w:r>
    </w:p>
    <w:p w:rsidR="00A31137" w:rsidRPr="00A31137" w:rsidRDefault="00A31137" w:rsidP="00A31137">
      <w:r w:rsidRPr="00A31137">
        <w:t>Clinton, MTV Interview, April 19, 1994</w:t>
      </w:r>
    </w:p>
    <w:p w:rsidR="00A31137" w:rsidRPr="00A31137" w:rsidRDefault="00A31137" w:rsidP="00A31137">
      <w:r w:rsidRPr="00A31137">
        <w:t>Alison Steward. "Enough is Enough" is a comprehensive campaign put forth by MTV to explore the subject of violence, giving young people an outlet for their concerns and bringing them closer to the people who can bring about a change.</w:t>
      </w:r>
    </w:p>
    <w:p w:rsidR="00A31137" w:rsidRPr="00A31137" w:rsidRDefault="00A31137" w:rsidP="00A31137">
      <w:r w:rsidRPr="00A31137">
        <w:t>Clinton, MTV Interview, April 19, 1994</w:t>
      </w:r>
    </w:p>
    <w:p w:rsidR="00A31137" w:rsidRPr="00A31137" w:rsidRDefault="00A31137" w:rsidP="00A31137">
      <w:r w:rsidRPr="00A31137">
        <w:t>"Enough is Enough" is also the cry of a generation of young people who, according to an MTV poll, specify violence as their number one concern, surpassing the economy and job opportunity.</w:t>
      </w:r>
    </w:p>
    <w:p w:rsidR="00A31137" w:rsidRPr="00A31137" w:rsidRDefault="00A31137" w:rsidP="00A31137">
      <w:r w:rsidRPr="00A31137">
        <w:t>Clinton, MTV Interview, April 19, 1994</w:t>
      </w:r>
    </w:p>
    <w:p w:rsidR="00A31137" w:rsidRPr="00A31137" w:rsidRDefault="00A31137" w:rsidP="00A31137">
      <w:r w:rsidRPr="00A31137">
        <w:t>Ms. Soren. Despite the fact that violence is young people's number one anxiety, the country's crime rate has actually gone down in recent years. However, violent crime committed by young people has exploded. We are losing a whole generation to crime, to drugs, to lost hopes.</w:t>
      </w:r>
    </w:p>
    <w:p w:rsidR="00A31137" w:rsidRPr="00A31137" w:rsidRDefault="00A31137" w:rsidP="00A31137">
      <w:r w:rsidRPr="00A31137">
        <w:t>Clinton, MTV Interview, April 19, 1994</w:t>
      </w:r>
    </w:p>
    <w:p w:rsidR="00A31137" w:rsidRPr="00A31137" w:rsidRDefault="00A31137" w:rsidP="00A31137">
      <w:r w:rsidRPr="00A31137">
        <w:t>Mr. President.</w:t>
      </w:r>
    </w:p>
    <w:p w:rsidR="00A31137" w:rsidRPr="00A31137" w:rsidRDefault="00A31137" w:rsidP="00A31137">
      <w:r w:rsidRPr="00A31137">
        <w:t>Clinton, MTV Interview, April 19, 1994</w:t>
      </w:r>
    </w:p>
    <w:p w:rsidR="00A31137" w:rsidRPr="00A31137" w:rsidRDefault="00A31137" w:rsidP="00A31137">
      <w:r w:rsidRPr="00A31137">
        <w:t>The President. Thank you, Tabitha and Alison. Thank all of you for joining me, and I want to thank MTV for giving me a chance to keep my commitment to come back on the show, to talk about something I care a lot about: the rising tide of violence in America, especially among young people.</w:t>
      </w:r>
    </w:p>
    <w:p w:rsidR="00A31137" w:rsidRPr="00A31137" w:rsidRDefault="00A31137" w:rsidP="00A31137">
      <w:r w:rsidRPr="00A31137">
        <w:t>Clinton, MTV Interview, April 19, 1994</w:t>
      </w:r>
    </w:p>
    <w:p w:rsidR="00A31137" w:rsidRPr="00A31137" w:rsidRDefault="00A31137" w:rsidP="00A31137">
      <w:r w:rsidRPr="00A31137">
        <w:t>As you heard, the crime rate overall in our country has pretty well leveled off, but it's still going up among young people. Young people are the principal perpetrators of violent crime; young people are also the principal victims of violent crime.</w:t>
      </w:r>
    </w:p>
    <w:p w:rsidR="00A31137" w:rsidRPr="00A31137" w:rsidRDefault="00A31137" w:rsidP="00A31137">
      <w:r w:rsidRPr="00A31137">
        <w:t>Clinton, MTV Interview, April 19, 1994</w:t>
      </w:r>
    </w:p>
    <w:p w:rsidR="00A31137" w:rsidRPr="00A31137" w:rsidRDefault="00A31137" w:rsidP="00A31137">
      <w:r w:rsidRPr="00A31137">
        <w:t>You may have seen the public service announcement I did with a young teenager from here in Washington, Alicia Brown. And on the day we taped this announcement and then the day we announced it, she was on her way to the funeral of her sixth friend who had been felled by gun violence. It's a terrible problem.</w:t>
      </w:r>
    </w:p>
    <w:p w:rsidR="00A31137" w:rsidRPr="00A31137" w:rsidRDefault="00A31137" w:rsidP="00A31137">
      <w:r w:rsidRPr="00A31137">
        <w:t>Clinton, MTV Interview, April 19, 1994</w:t>
      </w:r>
    </w:p>
    <w:p w:rsidR="00A31137" w:rsidRPr="00A31137" w:rsidRDefault="00A31137" w:rsidP="00A31137">
      <w:r w:rsidRPr="00A31137">
        <w:t>I want to talk today about what we can do about it together. In Washington, we're debating a crime bill that I care a lot about, which will put more police officers on the street, working with young people in their community; which will give a whole range of prevention programs that work a chance to work in every community, everything from after-school programs to midnight basketball to jobs for young people. We are seeing that work in places, so that I know it will work if we can put it everywhere.</w:t>
      </w:r>
    </w:p>
    <w:p w:rsidR="00A31137" w:rsidRPr="00A31137" w:rsidRDefault="00A31137" w:rsidP="00A31137">
      <w:r w:rsidRPr="00A31137">
        <w:t>Clinton, MTV Interview, April 19, 1994</w:t>
      </w:r>
    </w:p>
    <w:p w:rsidR="00A31137" w:rsidRPr="00A31137" w:rsidRDefault="00A31137" w:rsidP="00A31137">
      <w:r w:rsidRPr="00A31137">
        <w:t>But I have to tell you, no matter what we do with the laws, we have to have a change in behavior and attitude and feeling among young people all across this country, in every community in the country. And maybe we can talk a little about that today, too.</w:t>
      </w:r>
    </w:p>
    <w:p w:rsidR="00A31137" w:rsidRPr="00A31137" w:rsidRDefault="00A31137" w:rsidP="00A31137">
      <w:r w:rsidRPr="00A31137">
        <w:t>Clinton, MTV Interview, April 19, 1994</w:t>
      </w:r>
    </w:p>
    <w:p w:rsidR="00A31137" w:rsidRPr="00A31137" w:rsidRDefault="00A31137" w:rsidP="00A31137">
      <w:r w:rsidRPr="00A31137">
        <w:t>I met a young man about a week ago, named Eddie Cutanda, from Boston, who was working with the Boston police in their community policing program. And he said, before he met these two men, he hated police officers. But he wanted me to know and he wanted the country to know that he did not represent a lost generation. He said of all of you, he said, "We're not a lost generation, but sometimes I think there are a lot of adults who'd like to lose us, and we can't let that happen."</w:t>
      </w:r>
    </w:p>
    <w:p w:rsidR="00A31137" w:rsidRPr="00A31137" w:rsidRDefault="00A31137" w:rsidP="00A31137">
      <w:r w:rsidRPr="00A31137">
        <w:t>Clinton, MTV Interview, April 19, 1994</w:t>
      </w:r>
    </w:p>
    <w:p w:rsidR="00A31137" w:rsidRPr="00A31137" w:rsidRDefault="00A31137" w:rsidP="00A31137">
      <w:r w:rsidRPr="00A31137">
        <w:t>So, today, maybe together we can figure out what we can do about this awful problem and give you and your generation your future back.</w:t>
      </w:r>
    </w:p>
    <w:p w:rsidR="00A31137" w:rsidRPr="00A31137" w:rsidRDefault="00A31137" w:rsidP="00A31137">
      <w:r w:rsidRPr="00A31137">
        <w:t>Clinton, MTV Interview, April 19, 1994</w:t>
      </w:r>
    </w:p>
    <w:p w:rsidR="00A31137" w:rsidRPr="00A31137" w:rsidRDefault="00A31137" w:rsidP="00A31137">
      <w:r w:rsidRPr="00A31137">
        <w:t>Ms. Soren. Okay, Mr. President, let's get down to it. We've got our first question over here. Tell us who you are and what your question for the President is.</w:t>
      </w:r>
    </w:p>
    <w:p w:rsidR="00A31137" w:rsidRPr="00A31137" w:rsidRDefault="00A31137" w:rsidP="00A31137">
      <w:r w:rsidRPr="00A31137">
        <w:t>Clinton, MTV Interview, April 19, 1994</w:t>
      </w:r>
    </w:p>
    <w:p w:rsidR="00A31137" w:rsidRPr="00A31137" w:rsidRDefault="00A31137" w:rsidP="00A31137">
      <w:r w:rsidRPr="00A31137">
        <w:t>Teen Suicide</w:t>
      </w:r>
    </w:p>
    <w:p w:rsidR="00A31137" w:rsidRPr="00A31137" w:rsidRDefault="00A31137" w:rsidP="00A31137">
      <w:r w:rsidRPr="00A31137">
        <w:t>Clinton, MTV Interview, April 19, 1994</w:t>
      </w:r>
    </w:p>
    <w:p w:rsidR="00A31137" w:rsidRPr="00A31137" w:rsidRDefault="00A31137" w:rsidP="00A31137">
      <w:r w:rsidRPr="00A31137">
        <w:t>[A 17-year-old participant discussed the feelings of hopelessness and despair many people in her generation experience and asked what can be done to help young people understand how important their lives are.]</w:t>
      </w:r>
    </w:p>
    <w:p w:rsidR="00A31137" w:rsidRPr="00A31137" w:rsidRDefault="00A31137" w:rsidP="00A31137">
      <w:r w:rsidRPr="00A31137">
        <w:t>Clinton, MTV Interview, April 19, 1994</w:t>
      </w:r>
    </w:p>
    <w:p w:rsidR="00A31137" w:rsidRPr="00A31137" w:rsidRDefault="00A31137" w:rsidP="00A31137">
      <w:r w:rsidRPr="00A31137">
        <w:t>The President. Well, first of all, you asked a good question. Maybe the question you asked is the most important question. Suicide among young people, as you probably know, has doubled in the last 10 or 15 years. And it reflects a larger problem of millions of young people who don't commit suicide.</w:t>
      </w:r>
    </w:p>
    <w:p w:rsidR="00A31137" w:rsidRPr="00A31137" w:rsidRDefault="00A31137" w:rsidP="00A31137">
      <w:r w:rsidRPr="00A31137">
        <w:t>Clinton, MTV Interview, April 19, 1994</w:t>
      </w:r>
    </w:p>
    <w:p w:rsidR="00A31137" w:rsidRPr="00A31137" w:rsidRDefault="00A31137" w:rsidP="00A31137">
      <w:r w:rsidRPr="00A31137">
        <w:t>I think it is rooted in part in the fact that there are a lot of young folks who grow up never feeling that they're the most important person in the world to somebody. I know—there were times in my childhood when I had a difficult childhood, but I always knew I was the most important person in the world to my mother and that somehow together we would get through whatever we were going through.</w:t>
      </w:r>
    </w:p>
    <w:p w:rsidR="00A31137" w:rsidRPr="00A31137" w:rsidRDefault="00A31137" w:rsidP="00A31137">
      <w:r w:rsidRPr="00A31137">
        <w:t>Clinton, MTV Interview, April 19, 1994</w:t>
      </w:r>
    </w:p>
    <w:p w:rsidR="00A31137" w:rsidRPr="00A31137" w:rsidRDefault="00A31137" w:rsidP="00A31137">
      <w:r w:rsidRPr="00A31137">
        <w:t>With so many kids growing up in difficult family circumstances, in violent neighborhoods where there's so much destructive things around, including drugs, my own opinion is that we have to really make an effort to reach children when they're very young but not to give up on them when they're adolescents and they're going through the toughest times of life, so that they always know that they matter.</w:t>
      </w:r>
    </w:p>
    <w:p w:rsidR="00A31137" w:rsidRPr="00A31137" w:rsidRDefault="00A31137" w:rsidP="00A31137">
      <w:r w:rsidRPr="00A31137">
        <w:t>Clinton, MTV Interview, April 19, 1994</w:t>
      </w:r>
    </w:p>
    <w:p w:rsidR="00A31137" w:rsidRPr="00A31137" w:rsidRDefault="00A31137" w:rsidP="00A31137">
      <w:r w:rsidRPr="00A31137">
        <w:t>The other thing we've got to do is to somehow get out of this sort of instant emergency way we tend to look at life. I mean, we all have more information today, more access to information than any generation before us. You can turn on the television and see 50 channels in a lot of the communities where you live. We've got a lot of information, but we think everything happens right now. And the truth is, a lot of things take a long time to unfold; a lot of the meaning of life takes a long time to develop.</w:t>
      </w:r>
    </w:p>
    <w:p w:rsidR="00A31137" w:rsidRPr="00A31137" w:rsidRDefault="00A31137" w:rsidP="00A31137">
      <w:r w:rsidRPr="00A31137">
        <w:t>Clinton, MTV Interview, April 19, 1994</w:t>
      </w:r>
    </w:p>
    <w:p w:rsidR="00A31137" w:rsidRPr="00A31137" w:rsidRDefault="00A31137" w:rsidP="00A31137">
      <w:r w:rsidRPr="00A31137">
        <w:t>And one of the things that I find—to go back to your comment about young gang members not expecting to live very long—is that I find a lot of young people think the future is what happens 30 minutes from now or 3 days from now, instead of what happens 5 or 10 or 15 years from now. And somehow, the adults in this country—we have to find a way to help young people think in a hopeful way about 5 and 10 and 15 years from now and understand that there are sacrifices and tough times and disappointments that never go away in life. They never go away no matter how old you are and how much you get things together. But if you can keep your eye on the future, then suicide doesn't become an option because you know there can always be a better tomorrow.</w:t>
      </w:r>
    </w:p>
    <w:p w:rsidR="00A31137" w:rsidRPr="00A31137" w:rsidRDefault="00A31137" w:rsidP="00A31137">
      <w:r w:rsidRPr="00A31137">
        <w:t>Clinton, MTV Interview, April 19, 1994</w:t>
      </w:r>
    </w:p>
    <w:p w:rsidR="00A31137" w:rsidRPr="00A31137" w:rsidRDefault="00A31137" w:rsidP="00A31137">
      <w:r w:rsidRPr="00A31137">
        <w:t>So those are the two things I think we have to do: Teach people they're the most—everybody needs to be the most important person in the world to somebody. And people need to think of the future in terms of the real future, what happens years from now, not what happens minutes or days from now.</w:t>
      </w:r>
    </w:p>
    <w:p w:rsidR="00A31137" w:rsidRPr="00A31137" w:rsidRDefault="00A31137" w:rsidP="00A31137">
      <w:r w:rsidRPr="00A31137">
        <w:t>Clinton, MTV Interview, April 19, 1994</w:t>
      </w:r>
    </w:p>
    <w:p w:rsidR="00A31137" w:rsidRPr="00A31137" w:rsidRDefault="00A31137" w:rsidP="00A31137">
      <w:r w:rsidRPr="00A31137">
        <w:t>Ms. Soren. What's your question for the President?</w:t>
      </w:r>
    </w:p>
    <w:p w:rsidR="00A31137" w:rsidRPr="00A31137" w:rsidRDefault="00A31137" w:rsidP="00A31137">
      <w:r w:rsidRPr="00A31137">
        <w:t>Clinton, MTV Interview, April 19, 1994</w:t>
      </w:r>
    </w:p>
    <w:p w:rsidR="00A31137" w:rsidRPr="00A31137" w:rsidRDefault="00A31137" w:rsidP="00A31137">
      <w:r w:rsidRPr="00A31137">
        <w:t>Caning in Singapore</w:t>
      </w:r>
    </w:p>
    <w:p w:rsidR="00A31137" w:rsidRPr="00A31137" w:rsidRDefault="00A31137" w:rsidP="00A31137">
      <w:r w:rsidRPr="00A31137">
        <w:t>Clinton, MTV Interview, April 19, 1994</w:t>
      </w:r>
    </w:p>
    <w:p w:rsidR="00A31137" w:rsidRPr="00A31137" w:rsidRDefault="00A31137" w:rsidP="00A31137">
      <w:r w:rsidRPr="00A31137">
        <w:t>[A participant discussed the sentencing of an American student to be caned in Singapore and asked if a similar penal system that does not base itself on the strong belief in individual rights would be beneficial in the U.S. in combating crime.]</w:t>
      </w:r>
    </w:p>
    <w:p w:rsidR="00A31137" w:rsidRPr="00A31137" w:rsidRDefault="00A31137" w:rsidP="00A31137">
      <w:r w:rsidRPr="00A31137">
        <w:t>Clinton, MTV Interview, April 19, 1994</w:t>
      </w:r>
    </w:p>
    <w:p w:rsidR="00A31137" w:rsidRPr="00A31137" w:rsidRDefault="00A31137" w:rsidP="00A31137">
      <w:r w:rsidRPr="00A31137">
        <w:t>The President. Well, that's not where I thought you were going with the question. Good for you.</w:t>
      </w:r>
    </w:p>
    <w:p w:rsidR="00A31137" w:rsidRPr="00A31137" w:rsidRDefault="00A31137" w:rsidP="00A31137">
      <w:r w:rsidRPr="00A31137">
        <w:t>Clinton, MTV Interview, April 19, 1994</w:t>
      </w:r>
    </w:p>
    <w:p w:rsidR="00A31137" w:rsidRPr="00A31137" w:rsidRDefault="00A31137" w:rsidP="00A31137">
      <w:r w:rsidRPr="00A31137">
        <w:t>Ms. Soren. He's obviously talking about the caning in Singapore.</w:t>
      </w:r>
    </w:p>
    <w:p w:rsidR="00A31137" w:rsidRPr="00A31137" w:rsidRDefault="00A31137" w:rsidP="00A31137">
      <w:r w:rsidRPr="00A31137">
        <w:t>Clinton, MTV Interview, April 19, 1994</w:t>
      </w:r>
    </w:p>
    <w:p w:rsidR="00A31137" w:rsidRPr="00A31137" w:rsidRDefault="00A31137" w:rsidP="00A31137">
      <w:r w:rsidRPr="00A31137">
        <w:t>The President. Yes—the young man, Michael Fay, in Singapore. As you know, I have spoken out against his punishment for two reasons. One is, it's not entirely clear that his confession wasn't coerced from him. The second is that if he just were to serve 4 months in prison for what he did, that would be quite severe. But the caning may leave permanent scars, and some people who are caned, in the way they're caned, they go into shock. I mean, it's much more serious than it sounds. So, on the one hand, I don't approve of this punishment, particularly in this case.</w:t>
      </w:r>
    </w:p>
    <w:p w:rsidR="00A31137" w:rsidRPr="00A31137" w:rsidRDefault="00A31137" w:rsidP="00A31137">
      <w:r w:rsidRPr="00A31137">
        <w:t>Clinton, MTV Interview, April 19, 1994</w:t>
      </w:r>
    </w:p>
    <w:p w:rsidR="00A31137" w:rsidRPr="00A31137" w:rsidRDefault="00A31137" w:rsidP="00A31137">
      <w:r w:rsidRPr="00A31137">
        <w:t>Now, having said that, a lot of the Asian societies that are doing very well now have low crime rates and high economic growth rates, partly because they have very coherent societies with strong units where the unit is more important than the individual, whether it's the family unit or the work unit or the community unit.</w:t>
      </w:r>
    </w:p>
    <w:p w:rsidR="00A31137" w:rsidRPr="00A31137" w:rsidRDefault="00A31137" w:rsidP="00A31137">
      <w:r w:rsidRPr="00A31137">
        <w:t>Clinton, MTV Interview, April 19, 1994</w:t>
      </w:r>
    </w:p>
    <w:p w:rsidR="00A31137" w:rsidRPr="00A31137" w:rsidRDefault="00A31137" w:rsidP="00A31137">
      <w:r w:rsidRPr="00A31137">
        <w:t>My own view is that you can go to the extreme in either direction. And when we got organized as a country and we wrote a fairly radical Constitution with a radical Bill of Rights, giving a radical amount of individual freedom to Americans, it was assumed that the Americans who had that freedom would use it responsibly. That is, when we set up this country, abuse of people by Government was a big problem. So if you read the Constitution, it's rooted in the desire to limit the ability of—Government's ability to mess with you, because that was a huge problem. It can still be a huge problem. But it assumed that people would basically be raised in coherent families, in coherent communities, and they would work for the common good, as well as for the individual welfare.</w:t>
      </w:r>
    </w:p>
    <w:p w:rsidR="00A31137" w:rsidRPr="00A31137" w:rsidRDefault="00A31137" w:rsidP="00A31137">
      <w:r w:rsidRPr="00A31137">
        <w:t>Clinton, MTV Interview, April 19, 1994</w:t>
      </w:r>
    </w:p>
    <w:p w:rsidR="00A31137" w:rsidRPr="00A31137" w:rsidRDefault="00A31137" w:rsidP="00A31137">
      <w:r w:rsidRPr="00A31137">
        <w:t>What's happened in America today is too many people live in areas where there's no family structure, no community structure, and no work structure. And so there's a lot of irresponsibility. And so a lot of people say there's too much personal freedom. When personal freedom's being abused, you have to move to limit it. That's what we did in the announcement I made last weekend on the public housing projects, about how we're going to have weapon sweeps and more things like that to try to make people safer in their communities. So that's my answer to you. We can have—the more personal freedom a society has, the more personal responsibility a society needs and the more strength you need out of your institutions, family, community, and work.</w:t>
      </w:r>
    </w:p>
    <w:p w:rsidR="00A31137" w:rsidRPr="00A31137" w:rsidRDefault="00A31137" w:rsidP="00A31137">
      <w:r w:rsidRPr="00A31137">
        <w:t>Clinton, MTV Interview, April 19, 1994</w:t>
      </w:r>
    </w:p>
    <w:p w:rsidR="00A31137" w:rsidRPr="00A31137" w:rsidRDefault="00A31137" w:rsidP="00A31137">
      <w:r w:rsidRPr="00A31137">
        <w:t>[At this point, MTV took a commercial break.]</w:t>
      </w:r>
    </w:p>
    <w:p w:rsidR="00A31137" w:rsidRPr="00A31137" w:rsidRDefault="00A31137" w:rsidP="00A31137">
      <w:r w:rsidRPr="00A31137">
        <w:t>Clinton, MTV Interview, April 19, 1994</w:t>
      </w:r>
    </w:p>
    <w:p w:rsidR="00A31137" w:rsidRPr="00A31137" w:rsidRDefault="00A31137" w:rsidP="00A31137">
      <w:r w:rsidRPr="00A31137">
        <w:t>Ms. Soren. Welcome back to MTV's "Enough is Enough" Forum with the President.</w:t>
      </w:r>
    </w:p>
    <w:p w:rsidR="00A31137" w:rsidRPr="00A31137" w:rsidRDefault="00A31137" w:rsidP="00A31137">
      <w:r w:rsidRPr="00A31137">
        <w:t>Clinton, MTV Interview, April 19, 1994</w:t>
      </w:r>
    </w:p>
    <w:p w:rsidR="00A31137" w:rsidRPr="00A31137" w:rsidRDefault="00A31137" w:rsidP="00A31137">
      <w:r w:rsidRPr="00A31137">
        <w:t>Ms. Stewart. We punish more than any other nation. We produce more guns than any other nation, yet we have more violent crime than any other nation. What are our leaders doing about the situation? And will their newly proposed efforts trickle down to you and me?</w:t>
      </w:r>
    </w:p>
    <w:p w:rsidR="00A31137" w:rsidRPr="00A31137" w:rsidRDefault="00A31137" w:rsidP="00A31137">
      <w:r w:rsidRPr="00A31137">
        <w:t>Clinton, MTV Interview, April 19, 1994</w:t>
      </w:r>
    </w:p>
    <w:p w:rsidR="00A31137" w:rsidRPr="00A31137" w:rsidRDefault="00A31137" w:rsidP="00A31137">
      <w:r w:rsidRPr="00A31137">
        <w:t>[At this point, a videotape about proposed crime legislation was shown.]</w:t>
      </w:r>
    </w:p>
    <w:p w:rsidR="00A31137" w:rsidRPr="00A31137" w:rsidRDefault="00A31137" w:rsidP="00A31137">
      <w:r w:rsidRPr="00A31137">
        <w:t>Clinton, MTV Interview, April 19, 1994</w:t>
      </w:r>
    </w:p>
    <w:p w:rsidR="00A31137" w:rsidRPr="00A31137" w:rsidRDefault="00A31137" w:rsidP="00A31137">
      <w:r w:rsidRPr="00A31137">
        <w:t>Ms. Soren. Obviously, there was a lot of information crammed into that package. But here's our first question.</w:t>
      </w:r>
    </w:p>
    <w:p w:rsidR="00A31137" w:rsidRPr="00A31137" w:rsidRDefault="00A31137" w:rsidP="00A31137">
      <w:r w:rsidRPr="00A31137">
        <w:t>Clinton, MTV Interview, April 19, 1994</w:t>
      </w:r>
    </w:p>
    <w:p w:rsidR="00A31137" w:rsidRPr="00A31137" w:rsidRDefault="00A31137" w:rsidP="00A31137">
      <w:r w:rsidRPr="00A31137">
        <w:t>Handgun Legislation</w:t>
      </w:r>
    </w:p>
    <w:p w:rsidR="00A31137" w:rsidRPr="00A31137" w:rsidRDefault="00A31137" w:rsidP="00A31137">
      <w:r w:rsidRPr="00A31137">
        <w:t>Clinton, MTV Interview, April 19, 1994</w:t>
      </w:r>
    </w:p>
    <w:p w:rsidR="00A31137" w:rsidRPr="00A31137" w:rsidRDefault="00A31137" w:rsidP="00A31137">
      <w:r w:rsidRPr="00A31137">
        <w:t>[A participant praised the Brady bill and asked what the President proposes to do about the flow of illegal guns into this country.]</w:t>
      </w:r>
    </w:p>
    <w:p w:rsidR="00A31137" w:rsidRPr="00A31137" w:rsidRDefault="00A31137" w:rsidP="00A31137">
      <w:r w:rsidRPr="00A31137">
        <w:t>Clinton, MTV Interview, April 19, 1994</w:t>
      </w:r>
    </w:p>
    <w:p w:rsidR="00A31137" w:rsidRPr="00A31137" w:rsidRDefault="00A31137" w:rsidP="00A31137">
      <w:r w:rsidRPr="00A31137">
        <w:t>The President. Well, first, let's get that out—the Brady bill is working. It is true that you can still buy an illegal gun with cash in the streets. But it's also true that a lot of people with criminal backgrounds try to buy guns in regular gun stores, and now they're being checked. And it's really working to prevent the sale of guns to a lot of criminals. So it doesn't solve all the problems, but it helps.</w:t>
      </w:r>
    </w:p>
    <w:p w:rsidR="00A31137" w:rsidRPr="00A31137" w:rsidRDefault="00A31137" w:rsidP="00A31137">
      <w:r w:rsidRPr="00A31137">
        <w:t>Clinton, MTV Interview, April 19, 1994</w:t>
      </w:r>
    </w:p>
    <w:p w:rsidR="00A31137" w:rsidRPr="00A31137" w:rsidRDefault="00A31137" w:rsidP="00A31137">
      <w:r w:rsidRPr="00A31137">
        <w:t>Now, in terms of stemming the flow of illegal guns into the country, we can do things that I have already done, for example, to ban the import of certain guns in the country. The big problem is the number of guns we have in the country already and what happens to them. They're already about 200 million guns in circulation. And there are still a lot of things that are legal that shouldn't be.</w:t>
      </w:r>
    </w:p>
    <w:p w:rsidR="00A31137" w:rsidRPr="00A31137" w:rsidRDefault="00A31137" w:rsidP="00A31137">
      <w:r w:rsidRPr="00A31137">
        <w:t>Clinton, MTV Interview, April 19, 1994</w:t>
      </w:r>
    </w:p>
    <w:p w:rsidR="00A31137" w:rsidRPr="00A31137" w:rsidRDefault="00A31137" w:rsidP="00A31137">
      <w:r w:rsidRPr="00A31137">
        <w:t>There is a horrible—I mean, to me—story on the cover of USA Today about people making automatic weapons in the United States saying, well, you know, if one of these automatic weapons gets taken out from under a bed and used by some kid illegally, it's not their problem.</w:t>
      </w:r>
    </w:p>
    <w:p w:rsidR="00A31137" w:rsidRPr="00A31137" w:rsidRDefault="00A31137" w:rsidP="00A31137">
      <w:r w:rsidRPr="00A31137">
        <w:t>Clinton, MTV Interview, April 19, 1994</w:t>
      </w:r>
    </w:p>
    <w:p w:rsidR="00A31137" w:rsidRPr="00A31137" w:rsidRDefault="00A31137" w:rsidP="00A31137">
      <w:r w:rsidRPr="00A31137">
        <w:t>I think we should ban the—several kinds of semiautomatic assault weapons. I think we should pass the ban on handgun possession by minors, unless they're with an adult supervisor and using it for approved sporting purposes. I think we should go further in trying to regulate what these gun dealers do with these guns because they will—sometimes they put them in circulation in ways they know they're going to wind up in the hands of criminals. All these things we're moving to do now. Will it solve all the problems? No, it won't. Is it a step in the right direction? Yes, it is.</w:t>
      </w:r>
    </w:p>
    <w:p w:rsidR="00A31137" w:rsidRPr="00A31137" w:rsidRDefault="00A31137" w:rsidP="00A31137">
      <w:r w:rsidRPr="00A31137">
        <w:t>Clinton, MTV Interview, April 19, 1994</w:t>
      </w:r>
    </w:p>
    <w:p w:rsidR="00A31137" w:rsidRPr="00A31137" w:rsidRDefault="00A31137" w:rsidP="00A31137">
      <w:r w:rsidRPr="00A31137">
        <w:t>And you cannot—one of reasons we've got the highest crime rate in the world and the highest murder rate is that we have more guns in the hands of more criminals and people who are likely to act in an impulsive manner. You can't—and there's no place else in the world where this would happen, where you'd have just people walking the streets better armed than the police. It's not right, and we've got to do something about it.</w:t>
      </w:r>
    </w:p>
    <w:p w:rsidR="00A31137" w:rsidRPr="00A31137" w:rsidRDefault="00A31137" w:rsidP="00A31137">
      <w:r w:rsidRPr="00A31137">
        <w:t>Clinton, MTV Interview, April 19, 1994</w:t>
      </w:r>
    </w:p>
    <w:p w:rsidR="00A31137" w:rsidRPr="00A31137" w:rsidRDefault="00A31137" w:rsidP="00A31137">
      <w:r w:rsidRPr="00A31137">
        <w:t>Ms. Soren. Mr. President, we have a question over here.</w:t>
      </w:r>
    </w:p>
    <w:p w:rsidR="00A31137" w:rsidRPr="00A31137" w:rsidRDefault="00A31137" w:rsidP="00A31137">
      <w:r w:rsidRPr="00A31137">
        <w:t>Clinton, MTV Interview, April 19, 1994</w:t>
      </w:r>
    </w:p>
    <w:p w:rsidR="00A31137" w:rsidRPr="00A31137" w:rsidRDefault="00A31137" w:rsidP="00A31137">
      <w:r w:rsidRPr="00A31137">
        <w:t>[A participant asked why the President is spending money to make it difficult for law-abiding citizens to obtain guns legally when the money could be spent on enforcing criminal justice.]</w:t>
      </w:r>
    </w:p>
    <w:p w:rsidR="00A31137" w:rsidRPr="00A31137" w:rsidRDefault="00A31137" w:rsidP="00A31137">
      <w:r w:rsidRPr="00A31137">
        <w:t>Clinton, MTV Interview, April 19, 1994</w:t>
      </w:r>
    </w:p>
    <w:p w:rsidR="00A31137" w:rsidRPr="00A31137" w:rsidRDefault="00A31137" w:rsidP="00A31137">
      <w:r w:rsidRPr="00A31137">
        <w:t>The President. Well, first, we are doing that. I mean, this plan of mine—you heard the young people commenting about debating whether 100,000 more police officers will make a difference. It will make a difference. It will not only catch more criminals, it will prevent more crime. We know that when you have police walking the streets, knowing the families, knowing the kids in the neighborhood, making their presence felt, the crime rate goes down. We also know you catch more criminals more quickly. The crime bill actually puts more people in prison. So there are a lot of issues being dealt with there.</w:t>
      </w:r>
    </w:p>
    <w:p w:rsidR="00A31137" w:rsidRPr="00A31137" w:rsidRDefault="00A31137" w:rsidP="00A31137">
      <w:r w:rsidRPr="00A31137">
        <w:t>Clinton, MTV Interview, April 19, 1994</w:t>
      </w:r>
    </w:p>
    <w:p w:rsidR="00A31137" w:rsidRPr="00A31137" w:rsidRDefault="00A31137" w:rsidP="00A31137">
      <w:r w:rsidRPr="00A31137">
        <w:t>But keep in mind the restrictions that are put on gun ownership in terms of having to have background checks and waiting periods to catch people with criminal records. One hundred percent of the criminals in this country do not buy their guns off street corners. A lot of them buy them through gun stores, and we're going to catch those now. So it's worth doing. It's worth a little bit of sacrifice on the part of law-abiding gun owners to do that.</w:t>
      </w:r>
    </w:p>
    <w:p w:rsidR="00A31137" w:rsidRPr="00A31137" w:rsidRDefault="00A31137" w:rsidP="00A31137">
      <w:r w:rsidRPr="00A31137">
        <w:t>Clinton, MTV Interview, April 19, 1994</w:t>
      </w:r>
    </w:p>
    <w:p w:rsidR="00A31137" w:rsidRPr="00A31137" w:rsidRDefault="00A31137" w:rsidP="00A31137">
      <w:r w:rsidRPr="00A31137">
        <w:t>[At this point, MTV took a commercial break.]</w:t>
      </w:r>
    </w:p>
    <w:p w:rsidR="00A31137" w:rsidRPr="00A31137" w:rsidRDefault="00A31137" w:rsidP="00A31137">
      <w:r w:rsidRPr="00A31137">
        <w:t>Clinton, MTV Interview, April 19, 1994</w:t>
      </w:r>
    </w:p>
    <w:p w:rsidR="00A31137" w:rsidRPr="00A31137" w:rsidRDefault="00A31137" w:rsidP="00A31137">
      <w:r w:rsidRPr="00A31137">
        <w:t>Ms. Stewart. Welcome back to MTV's "Enough is Enough" Forum with the President. We're talking about crime legislation, and Tabitha's with someone who has a question.</w:t>
      </w:r>
    </w:p>
    <w:p w:rsidR="00A31137" w:rsidRPr="00A31137" w:rsidRDefault="00A31137" w:rsidP="00A31137">
      <w:r w:rsidRPr="00A31137">
        <w:t>Clinton, MTV Interview, April 19, 1994</w:t>
      </w:r>
    </w:p>
    <w:p w:rsidR="00A31137" w:rsidRPr="00A31137" w:rsidRDefault="00A31137" w:rsidP="00A31137">
      <w:r w:rsidRPr="00A31137">
        <w:t>Crime Legislation</w:t>
      </w:r>
    </w:p>
    <w:p w:rsidR="00A31137" w:rsidRPr="00A31137" w:rsidRDefault="00A31137" w:rsidP="00A31137">
      <w:r w:rsidRPr="00A31137">
        <w:t>Clinton, MTV Interview, April 19, 1994</w:t>
      </w:r>
    </w:p>
    <w:p w:rsidR="00A31137" w:rsidRPr="00A31137" w:rsidRDefault="00A31137" w:rsidP="00A31137">
      <w:r w:rsidRPr="00A31137">
        <w:t>[A participant asked who the "Three strikes and you're out" proposal applies to, and how many people it will affect.]</w:t>
      </w:r>
    </w:p>
    <w:p w:rsidR="00A31137" w:rsidRPr="00A31137" w:rsidRDefault="00A31137" w:rsidP="00A31137">
      <w:r w:rsidRPr="00A31137">
        <w:t>Clinton, MTV Interview, April 19, 1994</w:t>
      </w:r>
    </w:p>
    <w:p w:rsidR="00A31137" w:rsidRPr="00A31137" w:rsidRDefault="00A31137" w:rsidP="00A31137">
      <w:r w:rsidRPr="00A31137">
        <w:t>The President. Well, I hope only a small number of people. Let me answer your question in this way: First of all, a  small percentage of the criminal population—of the criminal population—commits a large percentage of the truly violent crimes. A lot of those folks, they're "One strike and you're out". You commit murder or rape or something else, you get a life sentence.</w:t>
      </w:r>
    </w:p>
    <w:p w:rsidR="00A31137" w:rsidRPr="00A31137" w:rsidRDefault="00A31137" w:rsidP="00A31137">
      <w:r w:rsidRPr="00A31137">
        <w:t>Clinton, MTV Interview, April 19, 1994</w:t>
      </w:r>
    </w:p>
    <w:p w:rsidR="00A31137" w:rsidRPr="00A31137" w:rsidRDefault="00A31137" w:rsidP="00A31137">
      <w:r w:rsidRPr="00A31137">
        <w:t>The "Three strikes and you're out" bill is designed to deny parole to people who commit three violent crimes in a row where, by accident, the consequence was not as serious as it might have been. That is, no one died or the building didn't burn down or whatever, so the victims weren't hurt as badly. But this is a person who is plainly prone to do things that will cause life or serious bodily harm. So it will cover—the reason that I recommend coverage—it doesn't cover drug offenders, for example. It covers people who do things that are designed to hurt people repeatedly, and they're just lucky that nobody has died, so they haven't gotten a life sentence. But if they do it three times, they still have to serve unless they are specifically commuted; they're not eligible for parole.</w:t>
      </w:r>
    </w:p>
    <w:p w:rsidR="00A31137" w:rsidRPr="00A31137" w:rsidRDefault="00A31137" w:rsidP="00A31137">
      <w:r w:rsidRPr="00A31137">
        <w:t>Clinton, MTV Interview, April 19, 1994</w:t>
      </w:r>
    </w:p>
    <w:p w:rsidR="00A31137" w:rsidRPr="00A31137" w:rsidRDefault="00A31137" w:rsidP="00A31137">
      <w:r w:rsidRPr="00A31137">
        <w:t>Ms. Soren. So does that mean it ends up affecting about 200 to 300 people a year?</w:t>
      </w:r>
    </w:p>
    <w:p w:rsidR="00A31137" w:rsidRPr="00A31137" w:rsidRDefault="00A31137" w:rsidP="00A31137">
      <w:r w:rsidRPr="00A31137">
        <w:t>Clinton, MTV Interview, April 19, 1994</w:t>
      </w:r>
    </w:p>
    <w:p w:rsidR="00A31137" w:rsidRPr="00A31137" w:rsidRDefault="00A31137" w:rsidP="00A31137">
      <w:r w:rsidRPr="00A31137">
        <w:t>The President. It wouldn't affect many people. But as I said, we know that a small percentage of the people are serious repeat offenders. A small percentage of the criminals are serious repeat offenders. And if this is drawn right, it will make us safer at relatively lower costs. A lot of people go to jail when they ought to do something else, go to a boot camp, be in some alternative sentencing. Arguably, we have too many of certain kinds of offenders in jail, but there are some people who get out too quickly, like that man that kidnaped and killed Polly Klaas, for example.</w:t>
      </w:r>
    </w:p>
    <w:p w:rsidR="00A31137" w:rsidRPr="00A31137" w:rsidRDefault="00A31137" w:rsidP="00A31137">
      <w:r w:rsidRPr="00A31137">
        <w:t>Clinton, MTV Interview, April 19, 1994</w:t>
      </w:r>
    </w:p>
    <w:p w:rsidR="00A31137" w:rsidRPr="00A31137" w:rsidRDefault="00A31137" w:rsidP="00A31137">
      <w:r w:rsidRPr="00A31137">
        <w:t>Ms. Soren. "Three strikes and you're out" is so popular, but a lot of critics say that perhaps the jails will fill up with 60-, 70-year-old men and women past their crime-producing life. Do you think that's smart?</w:t>
      </w:r>
    </w:p>
    <w:p w:rsidR="00A31137" w:rsidRPr="00A31137" w:rsidRDefault="00A31137" w:rsidP="00A31137">
      <w:r w:rsidRPr="00A31137">
        <w:t>Clinton, MTV Interview, April 19, 1994</w:t>
      </w:r>
    </w:p>
    <w:p w:rsidR="00A31137" w:rsidRPr="00A31137" w:rsidRDefault="00A31137" w:rsidP="00A31137">
      <w:r w:rsidRPr="00A31137">
        <w:t>The President. Well, it could happen, but let me say that in many States today—in my State, for example, where I'm from, if you get a life sentence you can't get out unless you get parole commuted by the Governor, anyway. So about 10 percent of our prison population are people on life sentences. It is rare for people over 70 to commit those serious crimes. It sometimes happens. If they are clearly not a danger to society, they ought to be able to make their case and get their sentence commuted.</w:t>
      </w:r>
    </w:p>
    <w:p w:rsidR="00A31137" w:rsidRPr="00A31137" w:rsidRDefault="00A31137" w:rsidP="00A31137">
      <w:r w:rsidRPr="00A31137">
        <w:t>Clinton, MTV Interview, April 19, 1994</w:t>
      </w:r>
    </w:p>
    <w:p w:rsidR="00A31137" w:rsidRPr="00A31137" w:rsidRDefault="00A31137" w:rsidP="00A31137">
      <w:r w:rsidRPr="00A31137">
        <w:t>Ms. Stewart. Mr. President, we have a question up here.</w:t>
      </w:r>
    </w:p>
    <w:p w:rsidR="00A31137" w:rsidRPr="00A31137" w:rsidRDefault="00A31137" w:rsidP="00A31137">
      <w:r w:rsidRPr="00A31137">
        <w:t>Clinton, MTV Interview, April 19, 1994</w:t>
      </w:r>
    </w:p>
    <w:p w:rsidR="00A31137" w:rsidRPr="00A31137" w:rsidRDefault="00A31137" w:rsidP="00A31137">
      <w:r w:rsidRPr="00A31137">
        <w:t>[A participant asked how the President proposes to prevent violent crime in communities where children think violence is the only way to solve problems.]</w:t>
      </w:r>
    </w:p>
    <w:p w:rsidR="00A31137" w:rsidRPr="00A31137" w:rsidRDefault="00A31137" w:rsidP="00A31137">
      <w:r w:rsidRPr="00A31137">
        <w:t>Clinton, MTV Interview, April 19, 1994</w:t>
      </w:r>
    </w:p>
    <w:p w:rsidR="00A31137" w:rsidRPr="00A31137" w:rsidRDefault="00A31137" w:rsidP="00A31137">
      <w:r w:rsidRPr="00A31137">
        <w:t>The President. Perhaps the best thing about this crime bill from that point of view is that this is the first crime bill in my lifetime that—as far as I know, anyway—that has a huge amount of money allocated to crime prevention, to programs that work in the neighborhoods, for example, before and after school programs, programs to keep young people active, programs to give young people jobs in the summertime or after school, programs to give people something to say yes to, not just tell them something to say no to.</w:t>
      </w:r>
    </w:p>
    <w:p w:rsidR="00A31137" w:rsidRPr="00A31137" w:rsidRDefault="00A31137" w:rsidP="00A31137">
      <w:r w:rsidRPr="00A31137">
        <w:t>Clinton, MTV Interview, April 19, 1994</w:t>
      </w:r>
    </w:p>
    <w:p w:rsidR="00A31137" w:rsidRPr="00A31137" w:rsidRDefault="00A31137" w:rsidP="00A31137">
      <w:r w:rsidRPr="00A31137">
        <w:t>There's also a huge amount of money in this crime bill for drug and alcohol education and prevention, as well as treatment. And there's some money in there that can be—for example, suppose in your community you've got an innovative project that you want to try. Under this crime bill, the States and the localities will be able to have the flexibility to try some things that they know work and expand them.</w:t>
      </w:r>
    </w:p>
    <w:p w:rsidR="00A31137" w:rsidRPr="00A31137" w:rsidRDefault="00A31137" w:rsidP="00A31137">
      <w:r w:rsidRPr="00A31137">
        <w:t>Clinton, MTV Interview, April 19, 1994</w:t>
      </w:r>
    </w:p>
    <w:p w:rsidR="00A31137" w:rsidRPr="00A31137" w:rsidRDefault="00A31137" w:rsidP="00A31137">
      <w:r w:rsidRPr="00A31137">
        <w:t>One other thing I want to say—just to put a plug in because it hadn't come up yet—I believe that a lot of the violence that happens among young people your age and younger, where people just pull out knives or guns and shoot each other because they've been fighting over something—I think people can be educated out of that. There's a lot of evidence that you can teach young people who grow up in tough environments that there are other ways to solve their problems other than shooting or cutting up each other or beating each other. And there's some money in this crime bill to do that in schools all across this country. I also think that's very, very important.</w:t>
      </w:r>
    </w:p>
    <w:p w:rsidR="00A31137" w:rsidRPr="00A31137" w:rsidRDefault="00A31137" w:rsidP="00A31137">
      <w:r w:rsidRPr="00A31137">
        <w:t>Clinton, MTV Interview, April 19, 1994</w:t>
      </w:r>
    </w:p>
    <w:p w:rsidR="00A31137" w:rsidRPr="00A31137" w:rsidRDefault="00A31137" w:rsidP="00A31137">
      <w:r w:rsidRPr="00A31137">
        <w:t>Ms. Soren. Next question.</w:t>
      </w:r>
    </w:p>
    <w:p w:rsidR="00A31137" w:rsidRPr="00A31137" w:rsidRDefault="00A31137" w:rsidP="00A31137">
      <w:r w:rsidRPr="00A31137">
        <w:t>Clinton, MTV Interview, April 19, 1994</w:t>
      </w:r>
    </w:p>
    <w:p w:rsidR="00A31137" w:rsidRPr="00A31137" w:rsidRDefault="00A31137" w:rsidP="00A31137">
      <w:r w:rsidRPr="00A31137">
        <w:t>Prisons</w:t>
      </w:r>
    </w:p>
    <w:p w:rsidR="00A31137" w:rsidRPr="00A31137" w:rsidRDefault="00A31137" w:rsidP="00A31137">
      <w:r w:rsidRPr="00A31137">
        <w:t>Clinton, MTV Interview, April 19, 1994</w:t>
      </w:r>
    </w:p>
    <w:p w:rsidR="00A31137" w:rsidRPr="00A31137" w:rsidRDefault="00A31137" w:rsidP="00A31137">
      <w:r w:rsidRPr="00A31137">
        <w:t>[A participant asked if sending criminals who commit minor crimes to prison is effective and asked if the correctional system can be changed so that prisoners do not become better trained criminals while in jail.]</w:t>
      </w:r>
    </w:p>
    <w:p w:rsidR="00A31137" w:rsidRPr="00A31137" w:rsidRDefault="00A31137" w:rsidP="00A31137">
      <w:r w:rsidRPr="00A31137">
        <w:t>Clinton, MTV Interview, April 19, 1994</w:t>
      </w:r>
    </w:p>
    <w:p w:rsidR="00A31137" w:rsidRPr="00A31137" w:rsidRDefault="00A31137" w:rsidP="00A31137">
      <w:r w:rsidRPr="00A31137">
        <w:t>The President. Well, first of all, you're echoing what was on one of the earlier film segments, that a lot of young people do not fear going to prison. A lot of them come out of prison just better trained criminals.</w:t>
      </w:r>
    </w:p>
    <w:p w:rsidR="00A31137" w:rsidRPr="00A31137" w:rsidRDefault="00A31137" w:rsidP="00A31137">
      <w:r w:rsidRPr="00A31137">
        <w:t>Clinton, MTV Interview, April 19, 1994</w:t>
      </w:r>
    </w:p>
    <w:p w:rsidR="00A31137" w:rsidRPr="00A31137" w:rsidRDefault="00A31137" w:rsidP="00A31137">
      <w:r w:rsidRPr="00A31137">
        <w:t>I think there are two things that we have to focus on. First of all, if you do a crime, you've got to expect to either do some time or be punished for it. You can't stop the system of having consequences for destructive behavior. But I think there are two things we can do. Number one, there ought to be alternatives to prison for first-time nonviolent offenders. People ought to get a chance to do something else that connects them to the community and gives them the future. Number two, if young people do go to prison and they're going to be paroled, and most everybody does get paroled, then they shouldn't be paroled unless, in prison, there is a good program for alcohol and drug abuse prevention, there is a good program for education and training, there's a good program, in other words, to prepare people to reenter society and be more successful, instead of just preparing them to do what they used to do, better.</w:t>
      </w:r>
    </w:p>
    <w:p w:rsidR="00A31137" w:rsidRPr="00A31137" w:rsidRDefault="00A31137" w:rsidP="00A31137">
      <w:r w:rsidRPr="00A31137">
        <w:t>Clinton, MTV Interview, April 19, 1994</w:t>
      </w:r>
    </w:p>
    <w:p w:rsidR="00A31137" w:rsidRPr="00A31137" w:rsidRDefault="00A31137" w:rsidP="00A31137">
      <w:r w:rsidRPr="00A31137">
        <w:t>If all you do is go to the penitentiary and you deal with people who are tougher than you are, who are better fighters than you are, and you spend 2 hours a day in a weight room pumping iron, then when you get out, you're just prepared to do what you used to do better than you did before you got in. So we have to change the way people spend their time in prison, and we've got to divert as many first offenders as we can from prison the first time in community-based settings and boot camps and things like that.</w:t>
      </w:r>
    </w:p>
    <w:p w:rsidR="00A31137" w:rsidRPr="00A31137" w:rsidRDefault="00A31137" w:rsidP="00A31137">
      <w:r w:rsidRPr="00A31137">
        <w:t>Clinton, MTV Interview, April 19, 1994</w:t>
      </w:r>
    </w:p>
    <w:p w:rsidR="00A31137" w:rsidRPr="00A31137" w:rsidRDefault="00A31137" w:rsidP="00A31137">
      <w:r w:rsidRPr="00A31137">
        <w:t>Community Programs</w:t>
      </w:r>
    </w:p>
    <w:p w:rsidR="00A31137" w:rsidRPr="00A31137" w:rsidRDefault="00A31137" w:rsidP="00A31137">
      <w:r w:rsidRPr="00A31137">
        <w:t>Clinton, MTV Interview, April 19, 1994</w:t>
      </w:r>
    </w:p>
    <w:p w:rsidR="00A31137" w:rsidRPr="00A31137" w:rsidRDefault="00A31137" w:rsidP="00A31137">
      <w:r w:rsidRPr="00A31137">
        <w:t>[At this point, Ms. Stewart introduced a videotape on community programs designed to help children when they are small. A participant then asked how the President can discourage kids from becoming influenced by the high profits of drug dealing and pursuade them to join community programs designed to help them.]</w:t>
      </w:r>
    </w:p>
    <w:p w:rsidR="00A31137" w:rsidRPr="00A31137" w:rsidRDefault="00A31137" w:rsidP="00A31137">
      <w:r w:rsidRPr="00A31137">
        <w:t>Clinton, MTV Interview, April 19, 1994</w:t>
      </w:r>
    </w:p>
    <w:p w:rsidR="00A31137" w:rsidRPr="00A31137" w:rsidRDefault="00A31137" w:rsidP="00A31137">
      <w:r w:rsidRPr="00A31137">
        <w:t>The President. Well, I think there are only two ways that a teenager who has a chance to make that kind of money won't do it. And maybe you need them both. One is that all the teenager's peers and family members and friends and everybody else needs to always say that this is wrong, and the teenager needs to believe it's wrong. Keep in mind, most of us obey the law most of the time not because we think we're going to get caught, but because we think it's wrong.</w:t>
      </w:r>
    </w:p>
    <w:p w:rsidR="00A31137" w:rsidRPr="00A31137" w:rsidRDefault="00A31137" w:rsidP="00A31137">
      <w:r w:rsidRPr="00A31137">
        <w:t>Clinton, MTV Interview, April 19, 1994</w:t>
      </w:r>
    </w:p>
    <w:p w:rsidR="00A31137" w:rsidRPr="00A31137" w:rsidRDefault="00A31137" w:rsidP="00A31137">
      <w:r w:rsidRPr="00A31137">
        <w:t>The second thing is we need to do a better job of making people think there is a real price. When somebody gets into something like that for serious money, then we have to do what we can to cut it off. We have to try to be more effective on the law enforcement end, and not just with the people like the teenager but with the people that are supplying them with the dope and the money, the bigger people. And we've got to try to be better at that. And of course, we're trying to give ourselves some resources to do that better, too, in this crime bill.</w:t>
      </w:r>
    </w:p>
    <w:p w:rsidR="00A31137" w:rsidRPr="00A31137" w:rsidRDefault="00A31137" w:rsidP="00A31137">
      <w:r w:rsidRPr="00A31137">
        <w:t>Clinton, MTV Interview, April 19, 1994</w:t>
      </w:r>
    </w:p>
    <w:p w:rsidR="00A31137" w:rsidRPr="00A31137" w:rsidRDefault="00A31137" w:rsidP="00A31137">
      <w:r w:rsidRPr="00A31137">
        <w:t>But I don't think it's very complicated. I think you either—if you're doing the wrong thing for money, you've either got to stop it because you think it's wrong or because you think you're going to get caught and you don't want to pay the price. And if you can't—if you don't have those two things, it's not very good.</w:t>
      </w:r>
    </w:p>
    <w:p w:rsidR="00A31137" w:rsidRPr="00A31137" w:rsidRDefault="00A31137" w:rsidP="00A31137">
      <w:r w:rsidRPr="00A31137">
        <w:t>Clinton, MTV Interview, April 19, 1994</w:t>
      </w:r>
    </w:p>
    <w:p w:rsidR="00A31137" w:rsidRPr="00A31137" w:rsidRDefault="00A31137" w:rsidP="00A31137">
      <w:r w:rsidRPr="00A31137">
        <w:t>Now, let me make one other point. I think also there has to be more hope. I think the midnight basketball and all those things are great. I really support them. And funding for them is in our crime bill. But I also think there has to be a longer term hope, that maybe you won't have $1,500 in your pocket living a straight life tomorrow, but if you go back to school, you can get an education, and there will be a decent job and a good life for you over the long run and there will be more money at less risk with more happiness over the long run. Those are the things I think we have to do.</w:t>
      </w:r>
    </w:p>
    <w:p w:rsidR="00A31137" w:rsidRPr="00A31137" w:rsidRDefault="00A31137" w:rsidP="00A31137">
      <w:r w:rsidRPr="00A31137">
        <w:t>Clinton, MTV Interview, April 19, 1994</w:t>
      </w:r>
    </w:p>
    <w:p w:rsidR="00A31137" w:rsidRPr="00A31137" w:rsidRDefault="00A31137" w:rsidP="00A31137">
      <w:r w:rsidRPr="00A31137">
        <w:t>Ms. Soren. What's your question for the President?</w:t>
      </w:r>
    </w:p>
    <w:p w:rsidR="00A31137" w:rsidRPr="00A31137" w:rsidRDefault="00A31137" w:rsidP="00A31137">
      <w:r w:rsidRPr="00A31137">
        <w:t>Clinton, MTV Interview, April 19, 1994</w:t>
      </w:r>
    </w:p>
    <w:p w:rsidR="00A31137" w:rsidRPr="00A31137" w:rsidRDefault="00A31137" w:rsidP="00A31137">
      <w:r w:rsidRPr="00A31137">
        <w:t>Community Center Funding</w:t>
      </w:r>
    </w:p>
    <w:p w:rsidR="00A31137" w:rsidRPr="00A31137" w:rsidRDefault="00A31137" w:rsidP="00A31137">
      <w:r w:rsidRPr="00A31137">
        <w:t>Clinton, MTV Interview, April 19, 1994</w:t>
      </w:r>
    </w:p>
    <w:p w:rsidR="00A31137" w:rsidRPr="00A31137" w:rsidRDefault="00A31137" w:rsidP="00A31137">
      <w:r w:rsidRPr="00A31137">
        <w:t>[A participant asked what funding is available to help her group start a community center in east Baltimore.]</w:t>
      </w:r>
    </w:p>
    <w:p w:rsidR="00A31137" w:rsidRPr="00A31137" w:rsidRDefault="00A31137" w:rsidP="00A31137">
      <w:r w:rsidRPr="00A31137">
        <w:t>Clinton, MTV Interview, April 19, 1994</w:t>
      </w:r>
    </w:p>
    <w:p w:rsidR="00A31137" w:rsidRPr="00A31137" w:rsidRDefault="00A31137" w:rsidP="00A31137">
      <w:r w:rsidRPr="00A31137">
        <w:t>The President. First, there might be some funding through the Housing and Urban Development Department. And I would urge you to write Secretary Cisneros about that or give me something on it now. Secondly, your community, if they would support it, your local community could ask for funding through this crime bill prevention strategy to do it.</w:t>
      </w:r>
    </w:p>
    <w:p w:rsidR="00A31137" w:rsidRPr="00A31137" w:rsidRDefault="00A31137" w:rsidP="00A31137">
      <w:r w:rsidRPr="00A31137">
        <w:t>Clinton, MTV Interview, April 19, 1994</w:t>
      </w:r>
    </w:p>
    <w:p w:rsidR="00A31137" w:rsidRPr="00A31137" w:rsidRDefault="00A31137" w:rsidP="00A31137">
      <w:r w:rsidRPr="00A31137">
        <w:t>I think it's very important. These community centers can make a huge difference, especially if the tenants support them, if the adults as well as the kids support them. But I think that you should be able to get some support for that from one of those two sources.</w:t>
      </w:r>
    </w:p>
    <w:p w:rsidR="00A31137" w:rsidRPr="00A31137" w:rsidRDefault="00A31137" w:rsidP="00A31137">
      <w:r w:rsidRPr="00A31137">
        <w:t>Clinton, MTV Interview, April 19, 1994</w:t>
      </w:r>
    </w:p>
    <w:p w:rsidR="00A31137" w:rsidRPr="00A31137" w:rsidRDefault="00A31137" w:rsidP="00A31137">
      <w:r w:rsidRPr="00A31137">
        <w:t>Mayor Schmoke in Baltimore has been extremely active in the whole housing area. He's done some of the most innovative and impressive things in the country, and there may be, for all I know, some help the city government itself can give you. But if you'll give me your name and address at the end of the program, I'll see what I can do to help.</w:t>
      </w:r>
    </w:p>
    <w:p w:rsidR="00A31137" w:rsidRPr="00A31137" w:rsidRDefault="00A31137" w:rsidP="00A31137">
      <w:r w:rsidRPr="00A31137">
        <w:t>Clinton, MTV Interview, April 19, 1994</w:t>
      </w:r>
    </w:p>
    <w:p w:rsidR="00A31137" w:rsidRPr="00A31137" w:rsidRDefault="00A31137" w:rsidP="00A31137">
      <w:r w:rsidRPr="00A31137">
        <w:t>Q. Okay, thank you.</w:t>
      </w:r>
    </w:p>
    <w:p w:rsidR="00A31137" w:rsidRPr="00A31137" w:rsidRDefault="00A31137" w:rsidP="00A31137">
      <w:r w:rsidRPr="00A31137">
        <w:t>Clinton, MTV Interview, April 19, 1994</w:t>
      </w:r>
    </w:p>
    <w:p w:rsidR="00A31137" w:rsidRPr="00A31137" w:rsidRDefault="00A31137" w:rsidP="00A31137">
      <w:r w:rsidRPr="00A31137">
        <w:t>Ms. Stewart. Okay, who are you, and what's your question for the President?</w:t>
      </w:r>
    </w:p>
    <w:p w:rsidR="00A31137" w:rsidRPr="00A31137" w:rsidRDefault="00A31137" w:rsidP="00A31137">
      <w:r w:rsidRPr="00A31137">
        <w:t>Clinton, MTV Interview, April 19, 1994</w:t>
      </w:r>
    </w:p>
    <w:p w:rsidR="00A31137" w:rsidRPr="00A31137" w:rsidRDefault="00A31137" w:rsidP="00A31137">
      <w:r w:rsidRPr="00A31137">
        <w:t>Television Violence</w:t>
      </w:r>
    </w:p>
    <w:p w:rsidR="00A31137" w:rsidRPr="00A31137" w:rsidRDefault="00A31137" w:rsidP="00A31137">
      <w:r w:rsidRPr="00A31137">
        <w:t>Clinton, MTV Interview, April 19, 1994</w:t>
      </w:r>
    </w:p>
    <w:p w:rsidR="00A31137" w:rsidRPr="00A31137" w:rsidRDefault="00A31137" w:rsidP="00A31137">
      <w:r w:rsidRPr="00A31137">
        <w:t>[A participant asked why the Attorney General and the Congress are focusing on TV violence when real violence has become such a problem.]</w:t>
      </w:r>
    </w:p>
    <w:p w:rsidR="00A31137" w:rsidRPr="00A31137" w:rsidRDefault="00A31137" w:rsidP="00A31137">
      <w:r w:rsidRPr="00A31137">
        <w:t>Clinton, MTV Interview, April 19, 1994</w:t>
      </w:r>
    </w:p>
    <w:p w:rsidR="00A31137" w:rsidRPr="00A31137" w:rsidRDefault="00A31137" w:rsidP="00A31137">
      <w:r w:rsidRPr="00A31137">
        <w:t>The President. I don't know that the Attorney General and the Congress want a law—at least I don't think a majority of the Congress wants a law to limit what can be on television. But there is some evidence that the accumulated exposure to random violence over years and years and years by a generation of young people who watch far more television than their predecessors did has some effect on people's willingness to then go out and recreate what they've been exposed to on television.</w:t>
      </w:r>
    </w:p>
    <w:p w:rsidR="00A31137" w:rsidRPr="00A31137" w:rsidRDefault="00A31137" w:rsidP="00A31137">
      <w:r w:rsidRPr="00A31137">
        <w:t>Clinton, MTV Interview, April 19, 1994</w:t>
      </w:r>
    </w:p>
    <w:p w:rsidR="00A31137" w:rsidRPr="00A31137" w:rsidRDefault="00A31137" w:rsidP="00A31137">
      <w:r w:rsidRPr="00A31137">
        <w:t>Now, I'm not against all violence in movies and TV. I thought—for example, I thought that movie "Boyz N' the Hood" was a great movie, because—it was a very violent movie, but it showed you the real—it was a true movie. I mean, it showed you what the horrible consequences to life and to family was of that kind of behavior.</w:t>
      </w:r>
    </w:p>
    <w:p w:rsidR="00A31137" w:rsidRPr="00A31137" w:rsidRDefault="00A31137" w:rsidP="00A31137">
      <w:r w:rsidRPr="00A31137">
        <w:t>Clinton, MTV Interview, April 19, 1994</w:t>
      </w:r>
    </w:p>
    <w:p w:rsidR="00A31137" w:rsidRPr="00A31137" w:rsidRDefault="00A31137" w:rsidP="00A31137">
      <w:r w:rsidRPr="00A31137">
        <w:t>But I think what bothers people about television is not so much this or that or the other program but the overall impact of watching several hours a day every day and just one violent scene after another coming at you. If you start doing that when you're about 5 years old, by the time you're 15, 16, or 17, there may be a whole lot of messages in your mind that may make you more prone to be violent, again, if you don't have an off-setting influence from the family, the school, the church, the community, some other place. That is the concern. It is not that there are bad people doing the television or that one program or two, in and of themselves, can make a difference. The question is whether the overall impact of it makes young people more likely to be violent.</w:t>
      </w:r>
    </w:p>
    <w:p w:rsidR="00A31137" w:rsidRPr="00A31137" w:rsidRDefault="00A31137" w:rsidP="00A31137">
      <w:r w:rsidRPr="00A31137">
        <w:t>Clinton, MTV Interview, April 19, 1994</w:t>
      </w:r>
    </w:p>
    <w:p w:rsidR="00A31137" w:rsidRPr="00A31137" w:rsidRDefault="00A31137" w:rsidP="00A31137">
      <w:r w:rsidRPr="00A31137">
        <w:t>Ms. Soren. Mr. President, our next question is over here.</w:t>
      </w:r>
    </w:p>
    <w:p w:rsidR="00A31137" w:rsidRPr="00A31137" w:rsidRDefault="00A31137" w:rsidP="00A31137">
      <w:r w:rsidRPr="00A31137">
        <w:t>Clinton, MTV Interview, April 19, 1994</w:t>
      </w:r>
    </w:p>
    <w:p w:rsidR="00A31137" w:rsidRPr="00A31137" w:rsidRDefault="00A31137" w:rsidP="00A31137">
      <w:r w:rsidRPr="00A31137">
        <w:t>Public Trust in Government</w:t>
      </w:r>
    </w:p>
    <w:p w:rsidR="00A31137" w:rsidRPr="00A31137" w:rsidRDefault="00A31137" w:rsidP="00A31137">
      <w:r w:rsidRPr="00A31137">
        <w:t>Clinton, MTV Interview, April 19, 1994</w:t>
      </w:r>
    </w:p>
    <w:p w:rsidR="00A31137" w:rsidRPr="00A31137" w:rsidRDefault="00A31137" w:rsidP="00A31137">
      <w:r w:rsidRPr="00A31137">
        <w:t>[A participant expressed the frustration and anger many young people feel toward the bureaucracy of Government and asked if the present administration will be able to keep its promises and make a difference.]</w:t>
      </w:r>
    </w:p>
    <w:p w:rsidR="00A31137" w:rsidRPr="00A31137" w:rsidRDefault="00A31137" w:rsidP="00A31137">
      <w:r w:rsidRPr="00A31137">
        <w:t>Clinton, MTV Interview, April 19, 1994</w:t>
      </w:r>
    </w:p>
    <w:p w:rsidR="00A31137" w:rsidRPr="00A31137" w:rsidRDefault="00A31137" w:rsidP="00A31137">
      <w:r w:rsidRPr="00A31137">
        <w:t>The President. Well, all I can say is you just have to watch and see. Insofar as the Congress has worked with me, we've been able to do a large number of the things that I said I'd do when I ran for President. I came on MTV, and we talked about the motor voter bill; we signed it after years of not signing it. It took—for 7 years the Brady bill was hung up in Congress. When I became President, we passed it; we signed it. The national service bill was something I ran on, trying to get young people like you interested in community service and then allowing you, in return for that community service, to earn money against a college education. It was passed and signed.</w:t>
      </w:r>
    </w:p>
    <w:p w:rsidR="00A31137" w:rsidRPr="00A31137" w:rsidRDefault="00A31137" w:rsidP="00A31137">
      <w:r w:rsidRPr="00A31137">
        <w:t>Clinton, MTV Interview, April 19, 1994</w:t>
      </w:r>
    </w:p>
    <w:p w:rsidR="00A31137" w:rsidRPr="00A31137" w:rsidRDefault="00A31137" w:rsidP="00A31137">
      <w:r w:rsidRPr="00A31137">
        <w:t>So we're able—we are making progress on the commitments I made to the American people in general and to the young people of this country. We redid the student loan program, so now you can pay a loan back—college loan back as a percentage of your income. So I'm trying to do what I say I'll do. All I can tell you is—this is a general rule—cynicism is a cop-out because once you become cynical and you say somebody else is not going to do something, that lets you off the hook. And in the end, we can only go forward if we believe in each other, until we understand we can't believe in each other anymore.</w:t>
      </w:r>
    </w:p>
    <w:p w:rsidR="00A31137" w:rsidRPr="00A31137" w:rsidRDefault="00A31137" w:rsidP="00A31137">
      <w:r w:rsidRPr="00A31137">
        <w:t>Clinton, MTV Interview, April 19, 1994</w:t>
      </w:r>
    </w:p>
    <w:p w:rsidR="00A31137" w:rsidRPr="00A31137" w:rsidRDefault="00A31137" w:rsidP="00A31137">
      <w:r w:rsidRPr="00A31137">
        <w:t>So I would plead with you—it's a very fair question. You've got a lot of reasons to be disappointed. But we can make a difference if we work at it together. And neither you nor I will be able to do everything we want to do, but we can do a lot of the things we should do if we'll get to work on it.</w:t>
      </w:r>
    </w:p>
    <w:p w:rsidR="00A31137" w:rsidRPr="00A31137" w:rsidRDefault="00A31137" w:rsidP="00A31137">
      <w:r w:rsidRPr="00A31137">
        <w:t>Clinton, MTV Interview, April 19, 1994</w:t>
      </w:r>
    </w:p>
    <w:p w:rsidR="00A31137" w:rsidRPr="00A31137" w:rsidRDefault="00A31137" w:rsidP="00A31137">
      <w:r w:rsidRPr="00A31137">
        <w:t>Whitewater and Vietnam Draft</w:t>
      </w:r>
    </w:p>
    <w:p w:rsidR="00A31137" w:rsidRPr="00A31137" w:rsidRDefault="00A31137" w:rsidP="00A31137">
      <w:r w:rsidRPr="00A31137">
        <w:t>Clinton, MTV Interview, April 19, 1994</w:t>
      </w:r>
    </w:p>
    <w:p w:rsidR="00A31137" w:rsidRPr="00A31137" w:rsidRDefault="00A31137" w:rsidP="00A31137">
      <w:r w:rsidRPr="00A31137">
        <w:t>Ms. Soren. Mr. President, you speak so passionately and directly about issues like violence and education. But why is it, when the issues pertain to you personally, like the draft or Whitewater, that people seem to get the idea that you're giving them less than a straight answer, even when you have nothing to hide?</w:t>
      </w:r>
    </w:p>
    <w:p w:rsidR="00A31137" w:rsidRPr="00A31137" w:rsidRDefault="00A31137" w:rsidP="00A31137">
      <w:r w:rsidRPr="00A31137">
        <w:t>Clinton, MTV Interview, April 19, 1994</w:t>
      </w:r>
    </w:p>
    <w:p w:rsidR="00A31137" w:rsidRPr="00A31137" w:rsidRDefault="00A31137" w:rsidP="00A31137">
      <w:r w:rsidRPr="00A31137">
        <w:t>The President: Well, first of all, I think it's hard to know what the rules are; they keep raising the bar. Let me just give you a real answer to that. I was asked by the press and the Republicans to agree to a special counsel on Whitewater, right, even though there were—no one had accused me of doing anything wrong, and therefore, there was no ground, traditionally, to have a special counsel. Everybody said, prove your innocence. In a country where people are presumed innocent, the President isn't. You've got to go prove your innocence, even though no one's accused you of anything wrong. So I agreed. I said, okay, we'll have a special counsel.</w:t>
      </w:r>
    </w:p>
    <w:p w:rsidR="00A31137" w:rsidRPr="00A31137" w:rsidRDefault="00A31137" w:rsidP="00A31137">
      <w:r w:rsidRPr="00A31137">
        <w:t>Clinton, MTV Interview, April 19, 1994</w:t>
      </w:r>
    </w:p>
    <w:p w:rsidR="00A31137" w:rsidRPr="00A31137" w:rsidRDefault="00A31137" w:rsidP="00A31137">
      <w:r w:rsidRPr="00A31137">
        <w:t>Then, in past special counsels, Presidents have resisted subpoenas, applied things like executive privilege. I cooperated entirely. And the Watergate special counsel said we were a big departure from the past; this administration has totally cooperated.</w:t>
      </w:r>
    </w:p>
    <w:p w:rsidR="00A31137" w:rsidRPr="00A31137" w:rsidRDefault="00A31137" w:rsidP="00A31137">
      <w:r w:rsidRPr="00A31137">
        <w:t>Clinton, MTV Interview, April 19, 1994</w:t>
      </w:r>
    </w:p>
    <w:p w:rsidR="00A31137" w:rsidRPr="00A31137" w:rsidRDefault="00A31137" w:rsidP="00A31137">
      <w:r w:rsidRPr="00A31137">
        <w:t>The press keeps saying, "Well, we said special counsel, but now we want to ask questions anyway. And you've got to have all the answers right now, and if you don't, you're not being forthcoming." Well, I couldn't remember everything I was asked. It's been a long time since you had somebody who's given you 17 years worth of tax returns, for example. But I don't think it's fair to say we haven't been candid.</w:t>
      </w:r>
    </w:p>
    <w:p w:rsidR="00A31137" w:rsidRPr="00A31137" w:rsidRDefault="00A31137" w:rsidP="00A31137">
      <w:r w:rsidRPr="00A31137">
        <w:t>Clinton, MTV Interview, April 19, 1994</w:t>
      </w:r>
    </w:p>
    <w:p w:rsidR="00A31137" w:rsidRPr="00A31137" w:rsidRDefault="00A31137" w:rsidP="00A31137">
      <w:r w:rsidRPr="00A31137">
        <w:t>Now, maybe in the beginning I didn't want to just shut the Government down and just do Whitewater. And I still don't. But I have tried to be as honest as I could. I also, frankly, have questions. I don't think just because you become President that everything all of a sudden should be subject to answering.</w:t>
      </w:r>
    </w:p>
    <w:p w:rsidR="00A31137" w:rsidRPr="00A31137" w:rsidRDefault="00A31137" w:rsidP="00A31137">
      <w:r w:rsidRPr="00A31137">
        <w:t>Clinton, MTV Interview, April 19, 1994</w:t>
      </w:r>
    </w:p>
    <w:p w:rsidR="00A31137" w:rsidRPr="00A31137" w:rsidRDefault="00A31137" w:rsidP="00A31137">
      <w:r w:rsidRPr="00A31137">
        <w:t>I disagree on the draft; I did my best to be candid. And that's another interesting thing, the person that made the draft charge against me was the person who changed his story. Not me, I didn't change mine; somebody else changed theirs.</w:t>
      </w:r>
    </w:p>
    <w:p w:rsidR="00A31137" w:rsidRPr="00A31137" w:rsidRDefault="00A31137" w:rsidP="00A31137">
      <w:r w:rsidRPr="00A31137">
        <w:t>Clinton, MTV Interview, April 19, 1994</w:t>
      </w:r>
    </w:p>
    <w:p w:rsidR="00A31137" w:rsidRPr="00A31137" w:rsidRDefault="00A31137" w:rsidP="00A31137">
      <w:r w:rsidRPr="00A31137">
        <w:t>Ms. Soren. I think what angers young people about Whitewater is the fact that it seems like it's slowing down all of the other important issues that they want to get through.</w:t>
      </w:r>
    </w:p>
    <w:p w:rsidR="00A31137" w:rsidRPr="00A31137" w:rsidRDefault="00A31137" w:rsidP="00A31137">
      <w:r w:rsidRPr="00A31137">
        <w:t>Clinton, MTV Interview, April 19, 1994</w:t>
      </w:r>
    </w:p>
    <w:p w:rsidR="00A31137" w:rsidRPr="00A31137" w:rsidRDefault="00A31137" w:rsidP="00A31137">
      <w:r w:rsidRPr="00A31137">
        <w:t>The President. I think that does bother you, but you shouldn't worry about that, at least not now, because the reason I agreed to have a special counsel look into it is so anybody who asks me a question, I can say, I'm going to give it all to the special counsel. If I did anything wrong, he'll find out—so that it wouldn't slow us down.</w:t>
      </w:r>
    </w:p>
    <w:p w:rsidR="00A31137" w:rsidRPr="00A31137" w:rsidRDefault="00A31137" w:rsidP="00A31137">
      <w:r w:rsidRPr="00A31137">
        <w:t>Clinton, MTV Interview, April 19, 1994</w:t>
      </w:r>
    </w:p>
    <w:p w:rsidR="00A31137" w:rsidRPr="00A31137" w:rsidRDefault="00A31137" w:rsidP="00A31137">
      <w:r w:rsidRPr="00A31137">
        <w:t>And let me just say, this year already, we've signed a major education bill to try to improve public schools in America and set world-class standards for all our schools. We are proceeding at a very rapid rate on the crime bill. We are proceeding toward passing a budget at the most rapid rate in recent memory, which, if it passes, will lower the Government's deficit for 3 years in a row for the first time since Harry Truman was President. We are proceeding on health care reform. So we are moving ahead.</w:t>
      </w:r>
    </w:p>
    <w:p w:rsidR="00A31137" w:rsidRPr="00A31137" w:rsidRDefault="00A31137" w:rsidP="00A31137">
      <w:r w:rsidRPr="00A31137">
        <w:t>Clinton, MTV Interview, April 19, 1994</w:t>
      </w:r>
    </w:p>
    <w:p w:rsidR="00A31137" w:rsidRPr="00A31137" w:rsidRDefault="00A31137" w:rsidP="00A31137">
      <w:r w:rsidRPr="00A31137">
        <w:t>So far, the work of the Congress has not been diverted, and the work of the Presidency has not been diverted. I know it may be hard—you can't tell, in other words, from the news coverage that, but that's the truth. And we're not going to let it be diverted if we can possibly help it.</w:t>
      </w:r>
    </w:p>
    <w:p w:rsidR="00A31137" w:rsidRPr="00A31137" w:rsidRDefault="00A31137" w:rsidP="00A31137">
      <w:r w:rsidRPr="00A31137">
        <w:t>Clinton, MTV Interview, April 19, 1994</w:t>
      </w:r>
    </w:p>
    <w:p w:rsidR="00A31137" w:rsidRPr="00A31137" w:rsidRDefault="00A31137" w:rsidP="00A31137">
      <w:r w:rsidRPr="00A31137">
        <w:t>Violence in Schools</w:t>
      </w:r>
    </w:p>
    <w:p w:rsidR="00A31137" w:rsidRPr="00A31137" w:rsidRDefault="00A31137" w:rsidP="00A31137">
      <w:r w:rsidRPr="00A31137">
        <w:t>Clinton, MTV Interview, April 19, 1994</w:t>
      </w:r>
    </w:p>
    <w:p w:rsidR="00A31137" w:rsidRPr="00A31137" w:rsidRDefault="00A31137" w:rsidP="00A31137">
      <w:r w:rsidRPr="00A31137">
        <w:t>[Ms. Stewart showed a videotape on guns at school. A participant then described the shooting of a teacher in his school and asked when funding would be available for metal detectors.]</w:t>
      </w:r>
    </w:p>
    <w:p w:rsidR="00A31137" w:rsidRPr="00A31137" w:rsidRDefault="00A31137" w:rsidP="00A31137">
      <w:r w:rsidRPr="00A31137">
        <w:t>Clinton, MTV Interview, April 19, 1994</w:t>
      </w:r>
    </w:p>
    <w:p w:rsidR="00A31137" w:rsidRPr="00A31137" w:rsidRDefault="00A31137" w:rsidP="00A31137">
      <w:r w:rsidRPr="00A31137">
        <w:t>The President. In the crime bill there's about $300 million for safe schools. And the money will be given out to the schools that have a demonstrated need for it. So I would urge you to apply for the money.</w:t>
      </w:r>
    </w:p>
    <w:p w:rsidR="00A31137" w:rsidRPr="00A31137" w:rsidRDefault="00A31137" w:rsidP="00A31137">
      <w:r w:rsidRPr="00A31137">
        <w:t>Clinton, MTV Interview, April 19, 1994</w:t>
      </w:r>
    </w:p>
    <w:p w:rsidR="00A31137" w:rsidRPr="00A31137" w:rsidRDefault="00A31137" w:rsidP="00A31137">
      <w:r w:rsidRPr="00A31137">
        <w:t>I don't know what all of your reaction to all this was, but I remember when we all started going through metal detectors to get on airplanes, a lot of people were upset. Now everybody just does it as a matter of course. I think until we get guns out of the hands of our young people, every school that needs it ought to have whatever security is needed to take care of that. You ought to be safe at school. Then you've got the problem of going to and from school. That's what the community policing is supposed to take care of. But I think every school that needs it ought to have this kind of security. People should be safe in the school, and they ought to know when they get there they're going to be safe.</w:t>
      </w:r>
    </w:p>
    <w:p w:rsidR="00A31137" w:rsidRPr="00A31137" w:rsidRDefault="00A31137" w:rsidP="00A31137">
      <w:r w:rsidRPr="00A31137">
        <w:t>Clinton, MTV Interview, April 19, 1994</w:t>
      </w:r>
    </w:p>
    <w:p w:rsidR="00A31137" w:rsidRPr="00A31137" w:rsidRDefault="00A31137" w:rsidP="00A31137">
      <w:r w:rsidRPr="00A31137">
        <w:t>Bosnia</w:t>
      </w:r>
    </w:p>
    <w:p w:rsidR="00A31137" w:rsidRPr="00A31137" w:rsidRDefault="00A31137" w:rsidP="00A31137">
      <w:r w:rsidRPr="00A31137">
        <w:t>Clinton, MTV Interview, April 19, 1994</w:t>
      </w:r>
    </w:p>
    <w:p w:rsidR="00A31137" w:rsidRPr="00A31137" w:rsidRDefault="00A31137" w:rsidP="00A31137">
      <w:r w:rsidRPr="00A31137">
        <w:t>[Following a commercial break, a participant stated that she voted for the President because he indicated he would not let ethnic cleansing continue in Bosnia, and she expressed frustration with the current policy.]</w:t>
      </w:r>
    </w:p>
    <w:p w:rsidR="00A31137" w:rsidRPr="00A31137" w:rsidRDefault="00A31137" w:rsidP="00A31137">
      <w:r w:rsidRPr="00A31137">
        <w:t>Clinton, MTV Interview, April 19, 1994</w:t>
      </w:r>
    </w:p>
    <w:p w:rsidR="00A31137" w:rsidRPr="00A31137" w:rsidRDefault="00A31137" w:rsidP="00A31137">
      <w:r w:rsidRPr="00A31137">
        <w:t>The President. Well, first of all, go back and talk about everything I said. I also said that the United States should not enter the war, a civil war, on the side of the Bosnian Government. I said that the United States should not put its troops there to get involved in what was a centuries-old conflict. But we should do, what we could to stop the fighting and to stop ethnic cleansing. So you have to tell the whole story; if you're going to give my campaign commitment, give the whole thing.</w:t>
      </w:r>
    </w:p>
    <w:p w:rsidR="00A31137" w:rsidRPr="00A31137" w:rsidRDefault="00A31137" w:rsidP="00A31137">
      <w:r w:rsidRPr="00A31137">
        <w:t>Clinton, MTV Interview, April 19, 1994</w:t>
      </w:r>
    </w:p>
    <w:p w:rsidR="00A31137" w:rsidRPr="00A31137" w:rsidRDefault="00A31137" w:rsidP="00A31137">
      <w:r w:rsidRPr="00A31137">
        <w:t>I advocated having NATO's air power put at the service of the Bosnian Government to stop aggression by the Serbs and lifting the arms embargo. The United Nations was in Bosnia. Our United Nations allies, France and Britain, would not support lifting the arms embargo. It took me from the time I took office until August to get NATO committed to use their air power to try to stop the aggression; they did. Then, finally, we began to do that.</w:t>
      </w:r>
    </w:p>
    <w:p w:rsidR="00A31137" w:rsidRPr="00A31137" w:rsidRDefault="00A31137" w:rsidP="00A31137">
      <w:r w:rsidRPr="00A31137">
        <w:t>Clinton, MTV Interview, April 19, 1994</w:t>
      </w:r>
    </w:p>
    <w:p w:rsidR="00A31137" w:rsidRPr="00A31137" w:rsidRDefault="00A31137" w:rsidP="00A31137">
      <w:r w:rsidRPr="00A31137">
        <w:t>Now look what's happened. In 15 months, which may seem like a long time, but is not such a long time, we now have finally relieved the siege of Sarajevo, and the Croatians and the Muslims have gotten together in an agreement. The Serbs are doing what they've always done; they're just trying to get as much land as they can for greater Serbia.</w:t>
      </w:r>
    </w:p>
    <w:p w:rsidR="00A31137" w:rsidRPr="00A31137" w:rsidRDefault="00A31137" w:rsidP="00A31137">
      <w:r w:rsidRPr="00A31137">
        <w:t>Clinton, MTV Interview, April 19, 1994</w:t>
      </w:r>
    </w:p>
    <w:p w:rsidR="00A31137" w:rsidRPr="00A31137" w:rsidRDefault="00A31137" w:rsidP="00A31137">
      <w:r w:rsidRPr="00A31137">
        <w:t>We're doing what we can, but everything we do, we do through the United Nations or through NATO. I have never favored—I was explicit in the campaign—unilateral United States action. If we do that, if we go into Bosnia all by ourselves, say, "We know what's right, nobody else does," then why should any other nation ever work with us through the United Nations? Why should the nations who don't agree with the embargo on Iraq that we imposed go along with it?</w:t>
      </w:r>
    </w:p>
    <w:p w:rsidR="00A31137" w:rsidRPr="00A31137" w:rsidRDefault="00A31137" w:rsidP="00A31137">
      <w:r w:rsidRPr="00A31137">
        <w:t>Clinton, MTV Interview, April 19, 1994</w:t>
      </w:r>
    </w:p>
    <w:p w:rsidR="00A31137" w:rsidRPr="00A31137" w:rsidRDefault="00A31137" w:rsidP="00A31137">
      <w:r w:rsidRPr="00A31137">
        <w:t>So I think we have done the best we could with a very difficult situation when we don't have troops on the ground, and I don't think we should until we get a peace agreement. I also believe that American troops should participate in Bosnia in trying to enforce a peace agreement once one is achieved.</w:t>
      </w:r>
    </w:p>
    <w:p w:rsidR="00A31137" w:rsidRPr="00A31137" w:rsidRDefault="00A31137" w:rsidP="00A31137">
      <w:r w:rsidRPr="00A31137">
        <w:t>Clinton, MTV Interview, April 19, 1994</w:t>
      </w:r>
    </w:p>
    <w:p w:rsidR="00A31137" w:rsidRPr="00A31137" w:rsidRDefault="00A31137" w:rsidP="00A31137">
      <w:r w:rsidRPr="00A31137">
        <w:t>[Ms. Soren asked if the President would support expanded air strikes given recent events in Gorazde.]</w:t>
      </w:r>
    </w:p>
    <w:p w:rsidR="00A31137" w:rsidRPr="00A31137" w:rsidRDefault="00A31137" w:rsidP="00A31137">
      <w:r w:rsidRPr="00A31137">
        <w:t>Clinton, MTV Interview, April 19, 1994</w:t>
      </w:r>
    </w:p>
    <w:p w:rsidR="00A31137" w:rsidRPr="00A31137" w:rsidRDefault="00A31137" w:rsidP="00A31137">
      <w:r w:rsidRPr="00A31137">
        <w:t>The President. Well, I'm working on that. I met for an hour and a half this morning; I'm going to work for the rest of the day. Then I'll have an announcement about what our policy will be later. But I can't announce it now.</w:t>
      </w:r>
    </w:p>
    <w:p w:rsidR="00A31137" w:rsidRPr="00A31137" w:rsidRDefault="00A31137" w:rsidP="00A31137">
      <w:r w:rsidRPr="00A31137">
        <w:t>Clinton, MTV Interview, April 19, 1994</w:t>
      </w:r>
    </w:p>
    <w:p w:rsidR="00A31137" w:rsidRPr="00A31137" w:rsidRDefault="00A31137" w:rsidP="00A31137">
      <w:r w:rsidRPr="00A31137">
        <w:t>Ms. Soren. Not now? Okay. Thanks a lot.</w:t>
      </w:r>
    </w:p>
    <w:p w:rsidR="00A31137" w:rsidRPr="00A31137" w:rsidRDefault="00A31137" w:rsidP="00A31137">
      <w:r w:rsidRPr="00A31137">
        <w:t>Clinton, MTV Interview, April 19, 1994</w:t>
      </w:r>
    </w:p>
    <w:p w:rsidR="00A31137" w:rsidRPr="00A31137" w:rsidRDefault="00A31137" w:rsidP="00A31137">
      <w:r w:rsidRPr="00A31137">
        <w:t>The President. I understand your frustration. Let me just say, I understand your frustration, but when I took office, the United Nations was already there. Their job was to try to provide humanitarian relief. Since I have been there, the U.S. took the lead in providing the longest humanitarian airlift in history, longer than the Berlin airlift after the Second World War. We pushed NATO to get more actively involved. We have been actively involved. We have made some progress.</w:t>
      </w:r>
    </w:p>
    <w:p w:rsidR="00A31137" w:rsidRPr="00A31137" w:rsidRDefault="00A31137" w:rsidP="00A31137">
      <w:r w:rsidRPr="00A31137">
        <w:t>Clinton, MTV Interview, April 19, 1994</w:t>
      </w:r>
    </w:p>
    <w:p w:rsidR="00A31137" w:rsidRPr="00A31137" w:rsidRDefault="00A31137" w:rsidP="00A31137">
      <w:r w:rsidRPr="00A31137">
        <w:t>There is still a war on the ground. The Bosnian Government has a bigger army than the Serbs do, but the Serbs have the heavy artillery. We tried to take the heavy artillery away from Sarajevo. That has worked so far. But until they reach an agreement, both sides are still fighting on the ground. Yes, Gorazde has been attacked by the Serbs; the Bosnian Government's also made some military gains elsewhere.</w:t>
      </w:r>
    </w:p>
    <w:p w:rsidR="00A31137" w:rsidRPr="00A31137" w:rsidRDefault="00A31137" w:rsidP="00A31137">
      <w:r w:rsidRPr="00A31137">
        <w:t>Clinton, MTV Interview, April 19, 1994</w:t>
      </w:r>
    </w:p>
    <w:p w:rsidR="00A31137" w:rsidRPr="00A31137" w:rsidRDefault="00A31137" w:rsidP="00A31137">
      <w:r w:rsidRPr="00A31137">
        <w:t>Do I think what the Serbs did was right? No, I don't. The United Nations recognized Bosnia. Should they have never imposed an arms embargo on them? I don't think they should have. But right now we are doing everything we can to bring an end to the war on terms that provide the Bosnian Muslims and the people who want to be part of a multiethnic state the best deal we can possibly get, given the circumstances as they exist. And that's the best we can do. The United States cannot go over there unilaterally, send its forces in, and start fighting on the side of the Bosnian Government. I don't think that is the right thing to do.</w:t>
      </w:r>
    </w:p>
    <w:p w:rsidR="00A31137" w:rsidRPr="00A31137" w:rsidRDefault="00A31137" w:rsidP="00A31137">
      <w:r w:rsidRPr="00A31137">
        <w:t>Clinton, MTV Interview, April 19, 1994</w:t>
      </w:r>
    </w:p>
    <w:p w:rsidR="00A31137" w:rsidRPr="00A31137" w:rsidRDefault="00A31137" w:rsidP="00A31137">
      <w:r w:rsidRPr="00A31137">
        <w:t>Music and Violence</w:t>
      </w:r>
    </w:p>
    <w:p w:rsidR="00A31137" w:rsidRPr="00A31137" w:rsidRDefault="00A31137" w:rsidP="00A31137">
      <w:r w:rsidRPr="00A31137">
        <w:t>Clinton, MTV Interview, April 19, 1994</w:t>
      </w:r>
    </w:p>
    <w:p w:rsidR="00A31137" w:rsidRPr="00A31137" w:rsidRDefault="00A31137" w:rsidP="00A31137">
      <w:r w:rsidRPr="00A31137">
        <w:t>[A participant stated that her favorite rapper was Snoop Doggy Dogg and asked the President's opinion on gangsta rap.]</w:t>
      </w:r>
    </w:p>
    <w:p w:rsidR="00A31137" w:rsidRPr="00A31137" w:rsidRDefault="00A31137" w:rsidP="00A31137">
      <w:r w:rsidRPr="00A31137">
        <w:t>Clinton, MTV Interview, April 19, 1994</w:t>
      </w:r>
    </w:p>
    <w:p w:rsidR="00A31137" w:rsidRPr="00A31137" w:rsidRDefault="00A31137" w:rsidP="00A31137">
      <w:r w:rsidRPr="00A31137">
        <w:t>The President. I don't know. I'm not dodging your—I just don't know. I read an article about Snoop Doggy Dogg. It is not exactly my music, you know; I don't necessarily know a lot about it. [Laughter] So I read an article about it, and I was interested in the—in the article that I read he talked about his life, you know, and the time he'd done. And the writer of the article talked about the whole idea behind gangsta rap was trying to dramatize how difficult life is for young people.</w:t>
      </w:r>
    </w:p>
    <w:p w:rsidR="00A31137" w:rsidRPr="00A31137" w:rsidRDefault="00A31137" w:rsidP="00A31137">
      <w:r w:rsidRPr="00A31137">
        <w:t>Clinton, MTV Interview, April 19, 1994</w:t>
      </w:r>
    </w:p>
    <w:p w:rsidR="00A31137" w:rsidRPr="00A31137" w:rsidRDefault="00A31137" w:rsidP="00A31137">
      <w:r w:rsidRPr="00A31137">
        <w:t>So I guess the answer is, it depends on what the end of the song is. I mean, what is the purpose of it? Is it to make people understand and empathize with and try to do something about these terrible problems? Or is it to legitimize violence and criminal conduct and, ultimately, self-defeating behavior? And for me to answer your question, I'd have to know the answer to that, and I just don't know enough to answer it.</w:t>
      </w:r>
    </w:p>
    <w:p w:rsidR="00A31137" w:rsidRPr="00A31137" w:rsidRDefault="00A31137" w:rsidP="00A31137">
      <w:r w:rsidRPr="00A31137">
        <w:t>Clinton, MTV Interview, April 19, 1994</w:t>
      </w:r>
    </w:p>
    <w:p w:rsidR="00A31137" w:rsidRPr="00A31137" w:rsidRDefault="00A31137" w:rsidP="00A31137">
      <w:r w:rsidRPr="00A31137">
        <w:t>Gun Exchange Programs</w:t>
      </w:r>
    </w:p>
    <w:p w:rsidR="00A31137" w:rsidRPr="00A31137" w:rsidRDefault="00A31137" w:rsidP="00A31137">
      <w:r w:rsidRPr="00A31137">
        <w:t>Clinton, MTV Interview, April 19, 1994</w:t>
      </w:r>
    </w:p>
    <w:p w:rsidR="00A31137" w:rsidRPr="00A31137" w:rsidRDefault="00A31137" w:rsidP="00A31137">
      <w:r w:rsidRPr="00A31137">
        <w:t>[A participant discussed the effectiveness of the gun exchange program and asked what national programs could be enacted to get guns off the streets.]</w:t>
      </w:r>
    </w:p>
    <w:p w:rsidR="00A31137" w:rsidRPr="00A31137" w:rsidRDefault="00A31137" w:rsidP="00A31137">
      <w:r w:rsidRPr="00A31137">
        <w:t>Clinton, MTV Interview, April 19, 1994</w:t>
      </w:r>
    </w:p>
    <w:p w:rsidR="00A31137" w:rsidRPr="00A31137" w:rsidRDefault="00A31137" w:rsidP="00A31137">
      <w:r w:rsidRPr="00A31137">
        <w:t>The President. Well, actually we're looking at that. We're looking at what, if anything, we can do on a national basis to try to have a more effective handgun purchasing program or gathering program.</w:t>
      </w:r>
    </w:p>
    <w:p w:rsidR="00A31137" w:rsidRPr="00A31137" w:rsidRDefault="00A31137" w:rsidP="00A31137">
      <w:r w:rsidRPr="00A31137">
        <w:t>Clinton, MTV Interview, April 19, 1994</w:t>
      </w:r>
    </w:p>
    <w:p w:rsidR="00A31137" w:rsidRPr="00A31137" w:rsidRDefault="00A31137" w:rsidP="00A31137">
      <w:r w:rsidRPr="00A31137">
        <w:t>I'm not so concerned that maybe some people buy them on the black market and make a little profit on them if the guns are actually destroyed and taken out of commission, and if then we have more control over the circumstances under which people buy the next gun. But you're talking about tens of millions of guns. We're talking about major numbers of guns. And it seems to me if we're going to do this effectively—and I think we ought to look at it—you have to know what happens to the guns when the government takes possession of them, whether it's a city or a State or the Federal Government, what happens to them then.</w:t>
      </w:r>
    </w:p>
    <w:p w:rsidR="00A31137" w:rsidRPr="00A31137" w:rsidRDefault="00A31137" w:rsidP="00A31137">
      <w:r w:rsidRPr="00A31137">
        <w:t>Clinton, MTV Interview, April 19, 1994</w:t>
      </w:r>
    </w:p>
    <w:p w:rsidR="00A31137" w:rsidRPr="00A31137" w:rsidRDefault="00A31137" w:rsidP="00A31137">
      <w:r w:rsidRPr="00A31137">
        <w:t>I think there's a lot of merit in doing this, but it seems to me you have to melt down the guns, you've got to destroy the weapons in order for it to be worth the effort so you reduce the overall supply of black market guns.</w:t>
      </w:r>
    </w:p>
    <w:p w:rsidR="00A31137" w:rsidRPr="00A31137" w:rsidRDefault="00A31137" w:rsidP="00A31137">
      <w:r w:rsidRPr="00A31137">
        <w:t>Clinton, MTV Interview, April 19, 1994</w:t>
      </w:r>
    </w:p>
    <w:p w:rsidR="00A31137" w:rsidRPr="00A31137" w:rsidRDefault="00A31137" w:rsidP="00A31137">
      <w:r w:rsidRPr="00A31137">
        <w:t>Teen Violence</w:t>
      </w:r>
    </w:p>
    <w:p w:rsidR="00A31137" w:rsidRPr="00A31137" w:rsidRDefault="00A31137" w:rsidP="00A31137">
      <w:r w:rsidRPr="00A31137">
        <w:t>Clinton, MTV Interview, April 19, 1994</w:t>
      </w:r>
    </w:p>
    <w:p w:rsidR="00A31137" w:rsidRPr="00A31137" w:rsidRDefault="00A31137" w:rsidP="00A31137">
      <w:r w:rsidRPr="00A31137">
        <w:t>[A participant stated that she believed violence among teens was becoming something of a status symbol.]</w:t>
      </w:r>
    </w:p>
    <w:p w:rsidR="00A31137" w:rsidRPr="00A31137" w:rsidRDefault="00A31137" w:rsidP="00A31137">
      <w:r w:rsidRPr="00A31137">
        <w:t>Clinton, MTV Interview, April 19, 1994</w:t>
      </w:r>
    </w:p>
    <w:p w:rsidR="00A31137" w:rsidRPr="00A31137" w:rsidRDefault="00A31137" w:rsidP="00A31137">
      <w:r w:rsidRPr="00A31137">
        <w:t>The President. You mean you think a lot of people do it because they think it's the thing to do now?</w:t>
      </w:r>
    </w:p>
    <w:p w:rsidR="00A31137" w:rsidRPr="00A31137" w:rsidRDefault="00A31137" w:rsidP="00A31137">
      <w:r w:rsidRPr="00A31137">
        <w:t>Clinton, MTV Interview, April 19, 1994</w:t>
      </w:r>
    </w:p>
    <w:p w:rsidR="00A31137" w:rsidRPr="00A31137" w:rsidRDefault="00A31137" w:rsidP="00A31137">
      <w:r w:rsidRPr="00A31137">
        <w:t>Q. Yes.</w:t>
      </w:r>
    </w:p>
    <w:p w:rsidR="00A31137" w:rsidRPr="00A31137" w:rsidRDefault="00A31137" w:rsidP="00A31137">
      <w:r w:rsidRPr="00A31137">
        <w:t>Clinton, MTV Interview, April 19, 1994</w:t>
      </w:r>
    </w:p>
    <w:p w:rsidR="00A31137" w:rsidRPr="00A31137" w:rsidRDefault="00A31137" w:rsidP="00A31137">
      <w:r w:rsidRPr="00A31137">
        <w:t>The President. I think there's something to that. But that's why I think it's so important that in the schools and wherever  else young people can be found, there are real efforts to show people that it is not a status symbol, that it can ruin your life, that it can destroy somebody else's life, and that there are other more satisfactory ways to resolve your conflicts.</w:t>
      </w:r>
    </w:p>
    <w:p w:rsidR="00A31137" w:rsidRPr="00A31137" w:rsidRDefault="00A31137" w:rsidP="00A31137">
      <w:r w:rsidRPr="00A31137">
        <w:t>Clinton, MTV Interview, April 19, 1994</w:t>
      </w:r>
    </w:p>
    <w:p w:rsidR="00A31137" w:rsidRPr="00A31137" w:rsidRDefault="00A31137" w:rsidP="00A31137">
      <w:r w:rsidRPr="00A31137">
        <w:t>I mean, there was just another story today about one student shooting another student over a girl they were both interested in. Well, you know, if you live long enough, that will happen to you several times; you can't start shooting people over that. But it happens all the time now.</w:t>
      </w:r>
    </w:p>
    <w:p w:rsidR="00A31137" w:rsidRPr="00A31137" w:rsidRDefault="00A31137" w:rsidP="00A31137">
      <w:r w:rsidRPr="00A31137">
        <w:t>Clinton, MTV Interview, April 19, 1994</w:t>
      </w:r>
    </w:p>
    <w:p w:rsidR="00A31137" w:rsidRPr="00A31137" w:rsidRDefault="00A31137" w:rsidP="00A31137">
      <w:r w:rsidRPr="00A31137">
        <w:t>And I think that it's a terrible indictment of all of us, the adults in this country, that we haven't provided the kind of leadership to our young people to know that that is not the way to behave. And I think there are too many young people who just feel like they're out there on their own. How many of these films did we see where these young people say "Our parents don't care about us. No grownups care about us. Nobody really cares about us?" If you go back to that, people have to believe they're really important to somebody who really cares about them before that person can help to change their behavior. I really believe that. And I say we've got to—and that goes back to your question about the gangster rap. She asked the same question in a different way. I don't know. I just know we've got to demystify violence, and we've got to say it's a bad thing. It is not a good thing; it is a bad thing.</w:t>
      </w:r>
    </w:p>
    <w:p w:rsidR="00A31137" w:rsidRPr="00A31137" w:rsidRDefault="00A31137" w:rsidP="00A31137">
      <w:r w:rsidRPr="00A31137">
        <w:t>Clinton, MTV Interview, April 19, 1994</w:t>
      </w:r>
    </w:p>
    <w:p w:rsidR="00A31137" w:rsidRPr="00A31137" w:rsidRDefault="00A31137" w:rsidP="00A31137">
      <w:r w:rsidRPr="00A31137">
        <w:t>Drugs and Crime</w:t>
      </w:r>
    </w:p>
    <w:p w:rsidR="00A31137" w:rsidRPr="00A31137" w:rsidRDefault="00A31137" w:rsidP="00A31137">
      <w:r w:rsidRPr="00A31137">
        <w:t>Clinton, MTV Interview, April 19, 1994</w:t>
      </w:r>
    </w:p>
    <w:p w:rsidR="00A31137" w:rsidRPr="00A31137" w:rsidRDefault="00A31137" w:rsidP="00A31137">
      <w:r w:rsidRPr="00A31137">
        <w:t>[Ms. Soren discussed drugs as a major cause of random violent crime, and a participant asked the President if he thought mandatory sentences for drug offenders were effective.]</w:t>
      </w:r>
    </w:p>
    <w:p w:rsidR="00A31137" w:rsidRPr="00A31137" w:rsidRDefault="00A31137" w:rsidP="00A31137">
      <w:r w:rsidRPr="00A31137">
        <w:t>Clinton, MTV Interview, April 19, 1994</w:t>
      </w:r>
    </w:p>
    <w:p w:rsidR="00A31137" w:rsidRPr="00A31137" w:rsidRDefault="00A31137" w:rsidP="00A31137">
      <w:r w:rsidRPr="00A31137">
        <w:t>The President. I think the mandatory sentencing program has—of course, keep in mind, that's basically a Federal program, although New York also has a mandatory sentencing program. Some States have it, and some States don't. By and large, there have been a lot of problems with mandatory sentencing programs related to drugs because they tend to treat cases that are different, the same.</w:t>
      </w:r>
    </w:p>
    <w:p w:rsidR="00A31137" w:rsidRPr="00A31137" w:rsidRDefault="00A31137" w:rsidP="00A31137">
      <w:r w:rsidRPr="00A31137">
        <w:t>Clinton, MTV Interview, April 19, 1994</w:t>
      </w:r>
    </w:p>
    <w:p w:rsidR="00A31137" w:rsidRPr="00A31137" w:rsidRDefault="00A31137" w:rsidP="00A31137">
      <w:r w:rsidRPr="00A31137">
        <w:t>The second thing I have to say is that there isn't enough drug treatment on demand. We know that appropriate drug treatment, if you also accompany it with something that a young person can do, works in more than half the cases. So I think what we need to do is to focus on having an appropriate level of punishment but also an appropriate alternative so people can move out of the life they're living. That's what I think.</w:t>
      </w:r>
    </w:p>
    <w:p w:rsidR="00A31137" w:rsidRPr="00A31137" w:rsidRDefault="00A31137" w:rsidP="00A31137">
      <w:r w:rsidRPr="00A31137">
        <w:t>Clinton, MTV Interview, April 19, 1994</w:t>
      </w:r>
    </w:p>
    <w:p w:rsidR="00A31137" w:rsidRPr="00A31137" w:rsidRDefault="00A31137" w:rsidP="00A31137">
      <w:r w:rsidRPr="00A31137">
        <w:t>So the mandatory sentencing program, there have been problems with all of them, largely because they tend to treat cases that really are different, fundamentally the same.</w:t>
      </w:r>
    </w:p>
    <w:p w:rsidR="00A31137" w:rsidRPr="00A31137" w:rsidRDefault="00A31137" w:rsidP="00A31137">
      <w:r w:rsidRPr="00A31137">
        <w:t>Clinton, MTV Interview, April 19, 1994</w:t>
      </w:r>
    </w:p>
    <w:p w:rsidR="00A31137" w:rsidRPr="00A31137" w:rsidRDefault="00A31137" w:rsidP="00A31137">
      <w:r w:rsidRPr="00A31137">
        <w:t>Now, on the other hand, if you listen to anybody talk, they'll also tell you a lot of people get parole without doing an appropriate amount of time. So the system is not as rational as it ought to be. And I do think there's some problems with the sentencing. I'd like to see some changes.</w:t>
      </w:r>
    </w:p>
    <w:p w:rsidR="00A31137" w:rsidRPr="00A31137" w:rsidRDefault="00A31137" w:rsidP="00A31137">
      <w:r w:rsidRPr="00A31137">
        <w:t>Clinton, MTV Interview, April 19, 1994</w:t>
      </w:r>
    </w:p>
    <w:p w:rsidR="00A31137" w:rsidRPr="00A31137" w:rsidRDefault="00A31137" w:rsidP="00A31137">
      <w:r w:rsidRPr="00A31137">
        <w:t>Ms. Soren. Many politicians are afraid to back away from the mandatory minimum sentencing that started in the eighties because it would make them look soft on crime. But if your "Three strikes and you're out" becomes law, couldn't you repeal the mandatory minimums?</w:t>
      </w:r>
    </w:p>
    <w:p w:rsidR="00A31137" w:rsidRPr="00A31137" w:rsidRDefault="00A31137" w:rsidP="00A31137">
      <w:r w:rsidRPr="00A31137">
        <w:t>Clinton, MTV Interview, April 19, 1994</w:t>
      </w:r>
    </w:p>
    <w:p w:rsidR="00A31137" w:rsidRPr="00A31137" w:rsidRDefault="00A31137" w:rsidP="00A31137">
      <w:r w:rsidRPr="00A31137">
        <w:t>The President. I think we could certainly change it some. Let me say, one of the things, though, that frustrates people when there were no guidelines is that people who were the same were treated wildly differently. That also makes—to go back to the young man's question—this is the frustrating thing about—should there be sentencing guidelines or should there not be? When people who are different and their circumstances are different are treated the same, we all get mad, right? And we should. But when people who are the same in their offense and their degree of guilt are treated dramatically differently, we all get mad.</w:t>
      </w:r>
    </w:p>
    <w:p w:rsidR="00A31137" w:rsidRPr="00A31137" w:rsidRDefault="00A31137" w:rsidP="00A31137">
      <w:r w:rsidRPr="00A31137">
        <w:t>Clinton, MTV Interview, April 19, 1994</w:t>
      </w:r>
    </w:p>
    <w:p w:rsidR="00A31137" w:rsidRPr="00A31137" w:rsidRDefault="00A31137" w:rsidP="00A31137">
      <w:r w:rsidRPr="00A31137">
        <w:t>So there is no perfect solution to this. But I will say again, what are the important things: crime prevention; when people get in trouble, do drug education and treatment, do education; and give people something to say yes to when they get out, because there will never be a fully perfect way of sentencing.</w:t>
      </w:r>
    </w:p>
    <w:p w:rsidR="00A31137" w:rsidRPr="00A31137" w:rsidRDefault="00A31137" w:rsidP="00A31137">
      <w:r w:rsidRPr="00A31137">
        <w:t>Clinton, MTV Interview, April 19, 1994</w:t>
      </w:r>
    </w:p>
    <w:p w:rsidR="00A31137" w:rsidRPr="00A31137" w:rsidRDefault="00A31137" w:rsidP="00A31137">
      <w:r w:rsidRPr="00A31137">
        <w:t>Would I have the power to say, maybe we ought to take another look at this, with "Three strikes and you're out," with my long support for the capital punishment? I think so. But there is no perfect answer to the sentencing problem when you have a crime problem as big as ours is. And the real thing you've got to do is focus on what happens to the people once they're in the prison, once they're in the boot camp. And more importantly, what can you do to keep people out of the system in the first place? What can we do to prevent this?</w:t>
      </w:r>
    </w:p>
    <w:p w:rsidR="00A31137" w:rsidRPr="00A31137" w:rsidRDefault="00A31137" w:rsidP="00A31137">
      <w:r w:rsidRPr="00A31137">
        <w:t>Clinton, MTV Interview, April 19, 1994</w:t>
      </w:r>
    </w:p>
    <w:p w:rsidR="00A31137" w:rsidRPr="00A31137" w:rsidRDefault="00A31137" w:rsidP="00A31137">
      <w:r w:rsidRPr="00A31137">
        <w:t>[A participant stated that she believed drug addicts should not be placed in prisons and asked if there should be more drug prevention and rehabilitation programs to help drug addicts.]</w:t>
      </w:r>
    </w:p>
    <w:p w:rsidR="00A31137" w:rsidRPr="00A31137" w:rsidRDefault="00A31137" w:rsidP="00A31137">
      <w:r w:rsidRPr="00A31137">
        <w:t>Clinton, MTV Interview, April 19, 1994</w:t>
      </w:r>
    </w:p>
    <w:p w:rsidR="00A31137" w:rsidRPr="00A31137" w:rsidRDefault="00A31137" w:rsidP="00A31137">
      <w:r w:rsidRPr="00A31137">
        <w:t>The President. I agree with half of what you said. I think there should be more drug prevention programs, and I think they'd work, the drug education programs. I think there should be more drug treatment programs. But some of you, perhaps all of you know that my brother is a recovering drug addict who actually went to prison for 14 months. It is my opinion that if he hadn't been caught up in the criminal justice system, he probably would have died because his problem was so gross and so bad. And I think he would tell you the same thing if he were standing here with me.</w:t>
      </w:r>
    </w:p>
    <w:p w:rsidR="00A31137" w:rsidRPr="00A31137" w:rsidRDefault="00A31137" w:rsidP="00A31137">
      <w:r w:rsidRPr="00A31137">
        <w:t>Clinton, MTV Interview, April 19, 1994</w:t>
      </w:r>
    </w:p>
    <w:p w:rsidR="00A31137" w:rsidRPr="00A31137" w:rsidRDefault="00A31137" w:rsidP="00A31137">
      <w:r w:rsidRPr="00A31137">
        <w:t>So I don't think it's inappropriate for people to do some time for violating serious crimes when they have a drug problem, and it may actually jerk them out of the life they're in and help to save their life. But I would say two things. Number one, you don't want to overdo the length of time they have to serve; if fundamentally they're not drug pushers, they're really drug users and abusers and addicts, you can overdo the length of time. And number two, you've got to have adequate drug treatment, as well as preparation for living a different life if you want a different kind of behavior coming out of the prison than you got going in. That, it seems to me, is the biggest problem.</w:t>
      </w:r>
    </w:p>
    <w:p w:rsidR="00A31137" w:rsidRPr="00A31137" w:rsidRDefault="00A31137" w:rsidP="00A31137">
      <w:r w:rsidRPr="00A31137">
        <w:t>Clinton, MTV Interview, April 19, 1994</w:t>
      </w:r>
    </w:p>
    <w:p w:rsidR="00A31137" w:rsidRPr="00A31137" w:rsidRDefault="00A31137" w:rsidP="00A31137">
      <w:r w:rsidRPr="00A31137">
        <w:t>So a little time won't hurt people who are in the process of killing themselves anyway, if you make the most of them. But if you just send them to prison for a too-long sentence and you never do drug treatment and they get nothing when they come out, then you're right, it's self-defeating.</w:t>
      </w:r>
    </w:p>
    <w:p w:rsidR="00A31137" w:rsidRPr="00A31137" w:rsidRDefault="00A31137" w:rsidP="00A31137">
      <w:r w:rsidRPr="00A31137">
        <w:t>Clinton, MTV Interview, April 19, 1994</w:t>
      </w:r>
    </w:p>
    <w:p w:rsidR="00A31137" w:rsidRPr="00A31137" w:rsidRDefault="00A31137" w:rsidP="00A31137">
      <w:r w:rsidRPr="00A31137">
        <w:t>[Following a commercial break, Ms. Soren conducted a poll of the audience to determine if they thought the Government's priority should be programs and education to prevent crime or punishment of criminals.]</w:t>
      </w:r>
    </w:p>
    <w:p w:rsidR="00A31137" w:rsidRPr="00A31137" w:rsidRDefault="00A31137" w:rsidP="00A31137">
      <w:r w:rsidRPr="00A31137">
        <w:t>Clinton, MTV Interview, April 19, 1994</w:t>
      </w:r>
    </w:p>
    <w:p w:rsidR="00A31137" w:rsidRPr="00A31137" w:rsidRDefault="00A31137" w:rsidP="00A31137">
      <w:r w:rsidRPr="00A31137">
        <w:t>Ms. Stewart. Somewhat overwhelming for prevention in the room, President Clinton. Are you surprised by that at all?</w:t>
      </w:r>
    </w:p>
    <w:p w:rsidR="00A31137" w:rsidRPr="00A31137" w:rsidRDefault="00A31137" w:rsidP="00A31137">
      <w:r w:rsidRPr="00A31137">
        <w:t>Clinton, MTV Interview, April 19, 1994</w:t>
      </w:r>
    </w:p>
    <w:p w:rsidR="00A31137" w:rsidRPr="00A31137" w:rsidRDefault="00A31137" w:rsidP="00A31137">
      <w:r w:rsidRPr="00A31137">
        <w:t>The President. No, because I think a lot of young people know others who have been to prison and haven't been deterred and because I think the problem seems so overwhelming. People know that you've got to change behavior, you have to change people from the inside out. You have to change community by community, school by school.</w:t>
      </w:r>
    </w:p>
    <w:p w:rsidR="00A31137" w:rsidRPr="00A31137" w:rsidRDefault="00A31137" w:rsidP="00A31137">
      <w:r w:rsidRPr="00A31137">
        <w:t>Clinton, MTV Interview, April 19, 1994</w:t>
      </w:r>
    </w:p>
    <w:p w:rsidR="00A31137" w:rsidRPr="00A31137" w:rsidRDefault="00A31137" w:rsidP="00A31137">
      <w:r w:rsidRPr="00A31137">
        <w:t>My own belief is that we shouldn't make a choice, because the two things can work together. You can be tough, and you can be compassionate. You can be oriented toward prevention, but when somebody does something really horrible, you just can't walk away from it. You can't. So I think you have to do both.</w:t>
      </w:r>
    </w:p>
    <w:p w:rsidR="00A31137" w:rsidRPr="00A31137" w:rsidRDefault="00A31137" w:rsidP="00A31137">
      <w:r w:rsidRPr="00A31137">
        <w:t>Clinton, MTV Interview, April 19, 1994</w:t>
      </w:r>
    </w:p>
    <w:p w:rsidR="00A31137" w:rsidRPr="00A31137" w:rsidRDefault="00A31137" w:rsidP="00A31137">
      <w:r w:rsidRPr="00A31137">
        <w:t>But one thing I'd like to say to all of you who are here—there is a limit to what the Government can do unless people are working at grassroots level. And everyone of you, if you really care about this, could make a contribution to making the problem better. Is there an organization in your school? Is there an organization in your community? If you believe in prevention, are you doing something to try to touch somebody else? Because most people have to be rescued one at a time, just the way they get lost, one at a time. And there will never be enough police officers; there will never be enough Government workers to do this. So I would just urge you—we had one young lady from Baltimore there who said she was going to work on setting up a community center. I think that there are things that you can do to give people something to say yes to that will make this prevention strategy work. And all the crime bill funds are basically just designed to give you the right, you and people like you all over America, to et together with people who care about this and do something about it in school after school and neighborhood after neighborhood.</w:t>
      </w:r>
    </w:p>
    <w:p w:rsidR="00A31137" w:rsidRPr="00A31137" w:rsidRDefault="00A31137" w:rsidP="00A31137">
      <w:r w:rsidRPr="00A31137">
        <w:t>Clinton, MTV Interview, April 19, 1994</w:t>
      </w:r>
    </w:p>
    <w:p w:rsidR="00A31137" w:rsidRPr="00A31137" w:rsidRDefault="00A31137" w:rsidP="00A31137">
      <w:r w:rsidRPr="00A31137">
        <w:t>Ms. Soren. So even though there's approximately $16 billion for police and prisons, some of that money is preventative and treatment and——</w:t>
      </w:r>
    </w:p>
    <w:p w:rsidR="00A31137" w:rsidRPr="00A31137" w:rsidRDefault="00A31137" w:rsidP="00A31137">
      <w:r w:rsidRPr="00A31137">
        <w:t>Clinton, MTV Interview, April 19, 1994</w:t>
      </w:r>
    </w:p>
    <w:p w:rsidR="00A31137" w:rsidRPr="00A31137" w:rsidRDefault="00A31137" w:rsidP="00A31137">
      <w:r w:rsidRPr="00A31137">
        <w:t>The President. In the House bill, I think, there is about $7 billion for prevention. There's a lot of money for prevention, much more than ever before from the Federal Government.</w:t>
      </w:r>
    </w:p>
    <w:p w:rsidR="00A31137" w:rsidRPr="00A31137" w:rsidRDefault="00A31137" w:rsidP="00A31137">
      <w:r w:rsidRPr="00A31137">
        <w:t>Clinton, MTV Interview, April 19, 1994</w:t>
      </w:r>
    </w:p>
    <w:p w:rsidR="00A31137" w:rsidRPr="00A31137" w:rsidRDefault="00A31137" w:rsidP="00A31137">
      <w:r w:rsidRPr="00A31137">
        <w:t>Ms. Soren. One thing that we didn't get a chance to talk about, but there were a lot of questions about was the role of families in preventing violence. Can you legislate a better family? Can you——</w:t>
      </w:r>
    </w:p>
    <w:p w:rsidR="00A31137" w:rsidRPr="00A31137" w:rsidRDefault="00A31137" w:rsidP="00A31137">
      <w:r w:rsidRPr="00A31137">
        <w:t>Clinton, MTV Interview, April 19, 1994</w:t>
      </w:r>
    </w:p>
    <w:p w:rsidR="00A31137" w:rsidRPr="00A31137" w:rsidRDefault="00A31137" w:rsidP="00A31137">
      <w:r w:rsidRPr="00A31137">
        <w:t>The President. No. No, but you can have pro-family policies. A lot of this violence occurs within the family. And you can have policies, for example, that don't push people into welfare. We lowered taxes for working people, one in six American families, for working people whose incomes are very low and who have children. We're trying to pass health care reform so people will never have to go on welfare just to get health care. We passed the family leave law, so when there are problems in the family, people can get off work and take a little time off work and tend to their problems with their children without losing their jobs.</w:t>
      </w:r>
    </w:p>
    <w:p w:rsidR="00A31137" w:rsidRPr="00A31137" w:rsidRDefault="00A31137" w:rsidP="00A31137">
      <w:r w:rsidRPr="00A31137">
        <w:t>Clinton, MTV Interview, April 19, 1994</w:t>
      </w:r>
    </w:p>
    <w:p w:rsidR="00A31137" w:rsidRPr="00A31137" w:rsidRDefault="00A31137" w:rsidP="00A31137">
      <w:r w:rsidRPr="00A31137">
        <w:t>In other words, the Government can do things that say we want to support family. And with more and more single-parent families and with more parents having to work, even when their children are very young, we have to be thinking all the time about how we can do things to help people succeed as parents and as workers. And then, when families get in trouble, we need to work on how we can preserve the family, not just how we can deal with the kids after it falls apart.</w:t>
      </w:r>
    </w:p>
    <w:p w:rsidR="00A31137" w:rsidRPr="00A31137" w:rsidRDefault="00A31137" w:rsidP="00A31137">
      <w:r w:rsidRPr="00A31137">
        <w:t>Clinton, MTV Interview, April 19, 1994</w:t>
      </w:r>
    </w:p>
    <w:p w:rsidR="00A31137" w:rsidRPr="00A31137" w:rsidRDefault="00A31137" w:rsidP="00A31137">
      <w:r w:rsidRPr="00A31137">
        <w:t>None of these things are easy, but frankly, if all of the families in this country were functional, we'd have less than half of the problems we've got today. I think all of you know that. We'd still have some problems, but we'd have less than half the problems we've got. And so we have to really keep that in mind.</w:t>
      </w:r>
    </w:p>
    <w:p w:rsidR="00A31137" w:rsidRPr="00A31137" w:rsidRDefault="00A31137" w:rsidP="00A31137">
      <w:r w:rsidRPr="00A31137">
        <w:t>Clinton, MTV Interview, April 19, 1994</w:t>
      </w:r>
    </w:p>
    <w:p w:rsidR="00A31137" w:rsidRPr="00A31137" w:rsidRDefault="00A31137" w:rsidP="00A31137">
      <w:r w:rsidRPr="00A31137">
        <w:t>[Following a commercial break, Ms. Soren invited participants to ask brief questions on any topic they choose.]</w:t>
      </w:r>
    </w:p>
    <w:p w:rsidR="00A31137" w:rsidRPr="00A31137" w:rsidRDefault="00A31137" w:rsidP="00A31137">
      <w:r w:rsidRPr="00A31137">
        <w:t>Clinton, MTV Interview, April 19, 1994</w:t>
      </w:r>
    </w:p>
    <w:p w:rsidR="00A31137" w:rsidRPr="00A31137" w:rsidRDefault="00A31137" w:rsidP="00A31137">
      <w:r w:rsidRPr="00A31137">
        <w:t>Popular Culture and Private Life</w:t>
      </w:r>
    </w:p>
    <w:p w:rsidR="00A31137" w:rsidRPr="00A31137" w:rsidRDefault="00A31137" w:rsidP="00A31137">
      <w:r w:rsidRPr="00A31137">
        <w:t>Clinton, MTV Interview, April 19, 1994</w:t>
      </w:r>
    </w:p>
    <w:p w:rsidR="00A31137" w:rsidRPr="00A31137" w:rsidRDefault="00A31137" w:rsidP="00A31137">
      <w:r w:rsidRPr="00A31137">
        <w:t>Q. Mr. President, I'm curious to know how your meeting with Pearl Jam went.</w:t>
      </w:r>
    </w:p>
    <w:p w:rsidR="00A31137" w:rsidRPr="00A31137" w:rsidRDefault="00A31137" w:rsidP="00A31137">
      <w:r w:rsidRPr="00A31137">
        <w:t>Clinton, MTV Interview, April 19, 1994</w:t>
      </w:r>
    </w:p>
    <w:p w:rsidR="00A31137" w:rsidRPr="00A31137" w:rsidRDefault="00A31137" w:rsidP="00A31137">
      <w:r w:rsidRPr="00A31137">
        <w:t>The President. It was great. [Laughter] My daughter was jealous that she wasn't in the White House that day.</w:t>
      </w:r>
    </w:p>
    <w:p w:rsidR="00A31137" w:rsidRPr="00A31137" w:rsidRDefault="00A31137" w:rsidP="00A31137">
      <w:r w:rsidRPr="00A31137">
        <w:t>Clinton, MTV Interview, April 19, 1994</w:t>
      </w:r>
    </w:p>
    <w:p w:rsidR="00A31137" w:rsidRPr="00A31137" w:rsidRDefault="00A31137" w:rsidP="00A31137">
      <w:r w:rsidRPr="00A31137">
        <w:t>Q. Mr. President, do you speak any other languages?</w:t>
      </w:r>
    </w:p>
    <w:p w:rsidR="00A31137" w:rsidRPr="00A31137" w:rsidRDefault="00A31137" w:rsidP="00A31137">
      <w:r w:rsidRPr="00A31137">
        <w:t>Clinton, MTV Interview, April 19, 1994</w:t>
      </w:r>
    </w:p>
    <w:p w:rsidR="00A31137" w:rsidRPr="00A31137" w:rsidRDefault="00A31137" w:rsidP="00A31137">
      <w:r w:rsidRPr="00A31137">
        <w:t>The President. I studied German in college, and I can still read it and understand it a little bit, but my speaking is way down.</w:t>
      </w:r>
    </w:p>
    <w:p w:rsidR="00A31137" w:rsidRPr="00A31137" w:rsidRDefault="00A31137" w:rsidP="00A31137">
      <w:r w:rsidRPr="00A31137">
        <w:t>Clinton, MTV Interview, April 19, 1994</w:t>
      </w:r>
    </w:p>
    <w:p w:rsidR="00A31137" w:rsidRPr="00A31137" w:rsidRDefault="00A31137" w:rsidP="00A31137">
      <w:r w:rsidRPr="00A31137">
        <w:t>Q. Mr. President, I was wondering if you'd ever asked your daughter not to wear a specific piece of clothing to school.</w:t>
      </w:r>
    </w:p>
    <w:p w:rsidR="00A31137" w:rsidRPr="00A31137" w:rsidRDefault="00A31137" w:rsidP="00A31137">
      <w:r w:rsidRPr="00A31137">
        <w:t>Clinton, MTV Interview, April 19, 1994</w:t>
      </w:r>
    </w:p>
    <w:p w:rsidR="00A31137" w:rsidRPr="00A31137" w:rsidRDefault="00A31137" w:rsidP="00A31137">
      <w:r w:rsidRPr="00A31137">
        <w:t>The President. No, I haven't, although we've had a lot of general conversations about clothing. [Laughter]</w:t>
      </w:r>
    </w:p>
    <w:p w:rsidR="00A31137" w:rsidRPr="00A31137" w:rsidRDefault="00A31137" w:rsidP="00A31137">
      <w:r w:rsidRPr="00A31137">
        <w:t>Clinton, MTV Interview, April 19, 1994</w:t>
      </w:r>
    </w:p>
    <w:p w:rsidR="00A31137" w:rsidRPr="00A31137" w:rsidRDefault="00A31137" w:rsidP="00A31137">
      <w:r w:rsidRPr="00A31137">
        <w:t>Q. Mr. President, The world's dying to know, is it boxers or briefs? [Laughter]</w:t>
      </w:r>
    </w:p>
    <w:p w:rsidR="00A31137" w:rsidRPr="00A31137" w:rsidRDefault="00A31137" w:rsidP="00A31137">
      <w:r w:rsidRPr="00A31137">
        <w:t>Clinton, MTV Interview, April 19, 1994</w:t>
      </w:r>
    </w:p>
    <w:p w:rsidR="00A31137" w:rsidRPr="00A31137" w:rsidRDefault="00A31137" w:rsidP="00A31137">
      <w:r w:rsidRPr="00A31137">
        <w:t>The President. Usually briefs. I can't believe she did that. [Laughter]</w:t>
      </w:r>
    </w:p>
    <w:p w:rsidR="00A31137" w:rsidRPr="00A31137" w:rsidRDefault="00A31137" w:rsidP="00A31137">
      <w:r w:rsidRPr="00A31137">
        <w:t>Clinton, MTV Interview, April 19, 1994</w:t>
      </w:r>
    </w:p>
    <w:p w:rsidR="00A31137" w:rsidRPr="00A31137" w:rsidRDefault="00A31137" w:rsidP="00A31137">
      <w:r w:rsidRPr="00A31137">
        <w:t>Q. How do you feel about the Secret Service following you around everywhere you go?</w:t>
      </w:r>
    </w:p>
    <w:p w:rsidR="00A31137" w:rsidRPr="00A31137" w:rsidRDefault="00A31137" w:rsidP="00A31137">
      <w:r w:rsidRPr="00A31137">
        <w:t>Clinton, MTV Interview, April 19, 1994</w:t>
      </w:r>
    </w:p>
    <w:p w:rsidR="00A31137" w:rsidRPr="00A31137" w:rsidRDefault="00A31137" w:rsidP="00A31137">
      <w:r w:rsidRPr="00A31137">
        <w:t>The President. It's hard sometimes. But they do a good job protecting me and my family. And it's their job, so I'm getting used to it. But it's hard.</w:t>
      </w:r>
    </w:p>
    <w:p w:rsidR="00A31137" w:rsidRPr="00A31137" w:rsidRDefault="00A31137" w:rsidP="00A31137">
      <w:r w:rsidRPr="00A31137">
        <w:t>Clinton, MTV Interview, April 19, 1994</w:t>
      </w:r>
    </w:p>
    <w:p w:rsidR="00A31137" w:rsidRPr="00A31137" w:rsidRDefault="00A31137" w:rsidP="00A31137">
      <w:r w:rsidRPr="00A31137">
        <w:t>Ms. Soren. Do you keep a diary?</w:t>
      </w:r>
    </w:p>
    <w:p w:rsidR="00A31137" w:rsidRPr="00A31137" w:rsidRDefault="00A31137" w:rsidP="00A31137">
      <w:r w:rsidRPr="00A31137">
        <w:t>Clinton, MTV Interview, April 19, 1994</w:t>
      </w:r>
    </w:p>
    <w:p w:rsidR="00A31137" w:rsidRPr="00A31137" w:rsidRDefault="00A31137" w:rsidP="00A31137">
      <w:r w:rsidRPr="00A31137">
        <w:t>The President. No. I try to collect my recollections on a periodic basis, but I don't keep a daily diary.</w:t>
      </w:r>
    </w:p>
    <w:p w:rsidR="00A31137" w:rsidRPr="00A31137" w:rsidRDefault="00A31137" w:rsidP="00A31137">
      <w:r w:rsidRPr="00A31137">
        <w:t>Clinton, MTV Interview, April 19, 1994</w:t>
      </w:r>
    </w:p>
    <w:p w:rsidR="00A31137" w:rsidRPr="00A31137" w:rsidRDefault="00A31137" w:rsidP="00A31137">
      <w:r w:rsidRPr="00A31137">
        <w:t>Q. Mr. President, what was the best advice your mother ever gave you?</w:t>
      </w:r>
    </w:p>
    <w:p w:rsidR="00A31137" w:rsidRPr="00A31137" w:rsidRDefault="00A31137" w:rsidP="00A31137">
      <w:r w:rsidRPr="00A31137">
        <w:t>Clinton, MTV Interview, April 19, 1994</w:t>
      </w:r>
    </w:p>
    <w:p w:rsidR="00A31137" w:rsidRPr="00A31137" w:rsidRDefault="00A31137" w:rsidP="00A31137">
      <w:r w:rsidRPr="00A31137">
        <w:t>The President. Never give up.</w:t>
      </w:r>
    </w:p>
    <w:p w:rsidR="00A31137" w:rsidRPr="00A31137" w:rsidRDefault="00A31137" w:rsidP="00A31137">
      <w:r w:rsidRPr="00A31137">
        <w:t>Clinton, MTV Interview, April 19, 1994</w:t>
      </w:r>
    </w:p>
    <w:p w:rsidR="00A31137" w:rsidRPr="00A31137" w:rsidRDefault="00A31137" w:rsidP="00A31137">
      <w:r w:rsidRPr="00A31137">
        <w:t>Q. Mr. President, first of all, I want to say that I think you're great. Second of all, I want you to say, "yes," "no," or "I don't know." Will you run in '96?</w:t>
      </w:r>
    </w:p>
    <w:p w:rsidR="00A31137" w:rsidRPr="00A31137" w:rsidRDefault="00A31137" w:rsidP="00A31137">
      <w:r w:rsidRPr="00A31137">
        <w:t>Clinton, MTV Interview, April 19, 1994</w:t>
      </w:r>
    </w:p>
    <w:p w:rsidR="00A31137" w:rsidRPr="00A31137" w:rsidRDefault="00A31137" w:rsidP="00A31137">
      <w:r w:rsidRPr="00A31137">
        <w:t>The President. Probably. [Laughter]</w:t>
      </w:r>
    </w:p>
    <w:p w:rsidR="00A31137" w:rsidRPr="00A31137" w:rsidRDefault="00A31137" w:rsidP="00A31137">
      <w:r w:rsidRPr="00A31137">
        <w:t>Clinton, MTV Interview, April 19, 1994</w:t>
      </w:r>
    </w:p>
    <w:p w:rsidR="00A31137" w:rsidRPr="00A31137" w:rsidRDefault="00A31137" w:rsidP="00A31137">
      <w:r w:rsidRPr="00A31137">
        <w:t>Q. Do you have a charity you contribute to regularly?</w:t>
      </w:r>
    </w:p>
    <w:p w:rsidR="00A31137" w:rsidRPr="00A31137" w:rsidRDefault="00A31137" w:rsidP="00A31137">
      <w:r w:rsidRPr="00A31137">
        <w:t>Clinton, MTV Interview, April 19, 1994</w:t>
      </w:r>
    </w:p>
    <w:p w:rsidR="00A31137" w:rsidRPr="00A31137" w:rsidRDefault="00A31137" w:rsidP="00A31137">
      <w:r w:rsidRPr="00A31137">
        <w:t>The President. Yes, I do. We, my wife and I, contribute to a shelter for battered women and their children back home, regularly, and a number of other charities. We always give money to the Children's Defense Fund.</w:t>
      </w:r>
    </w:p>
    <w:p w:rsidR="00A31137" w:rsidRPr="00A31137" w:rsidRDefault="00A31137" w:rsidP="00A31137">
      <w:r w:rsidRPr="00A31137">
        <w:t>Clinton, MTV Interview, April 19, 1994</w:t>
      </w:r>
    </w:p>
    <w:p w:rsidR="00A31137" w:rsidRPr="00A31137" w:rsidRDefault="00A31137" w:rsidP="00A31137">
      <w:r w:rsidRPr="00A31137">
        <w:t>Q. Mr. President, what's your idea of the perfect day?</w:t>
      </w:r>
    </w:p>
    <w:p w:rsidR="00A31137" w:rsidRPr="00A31137" w:rsidRDefault="00A31137" w:rsidP="00A31137">
      <w:r w:rsidRPr="00A31137">
        <w:t>Clinton, MTV Interview, April 19, 1994</w:t>
      </w:r>
    </w:p>
    <w:p w:rsidR="00A31137" w:rsidRPr="00A31137" w:rsidRDefault="00A31137" w:rsidP="00A31137">
      <w:r w:rsidRPr="00A31137">
        <w:t>The President. A good book, a good game of golf, a long run, dinner with my wife and daughter, and movies with friends. You've got to stay up a long time to do all that. [Laughter]</w:t>
      </w:r>
    </w:p>
    <w:p w:rsidR="00A31137" w:rsidRPr="00A31137" w:rsidRDefault="00A31137" w:rsidP="00A31137">
      <w:r w:rsidRPr="00A31137">
        <w:t>Clinton, MTV Interview, April 19, 1994</w:t>
      </w:r>
    </w:p>
    <w:p w:rsidR="00A31137" w:rsidRPr="00A31137" w:rsidRDefault="00A31137" w:rsidP="00A31137">
      <w:r w:rsidRPr="00A31137">
        <w:t>Q. What do you think about the Clinton jokes?</w:t>
      </w:r>
    </w:p>
    <w:p w:rsidR="00A31137" w:rsidRPr="00A31137" w:rsidRDefault="00A31137" w:rsidP="00A31137">
      <w:r w:rsidRPr="00A31137">
        <w:t>Clinton, MTV Interview, April 19, 1994</w:t>
      </w:r>
    </w:p>
    <w:p w:rsidR="00A31137" w:rsidRPr="00A31137" w:rsidRDefault="00A31137" w:rsidP="00A31137">
      <w:r w:rsidRPr="00A31137">
        <w:t>The President. The what?</w:t>
      </w:r>
    </w:p>
    <w:p w:rsidR="00A31137" w:rsidRPr="00A31137" w:rsidRDefault="00A31137" w:rsidP="00A31137">
      <w:r w:rsidRPr="00A31137">
        <w:t>Clinton, MTV Interview, April 19, 1994</w:t>
      </w:r>
    </w:p>
    <w:p w:rsidR="00A31137" w:rsidRPr="00A31137" w:rsidRDefault="00A31137" w:rsidP="00A31137">
      <w:r w:rsidRPr="00A31137">
        <w:t>Q. What do you think about the Clinton jokes?</w:t>
      </w:r>
    </w:p>
    <w:p w:rsidR="00A31137" w:rsidRPr="00A31137" w:rsidRDefault="00A31137" w:rsidP="00A31137">
      <w:r w:rsidRPr="00A31137">
        <w:t>Clinton, MTV Interview, April 19, 1994</w:t>
      </w:r>
    </w:p>
    <w:p w:rsidR="00A31137" w:rsidRPr="00A31137" w:rsidRDefault="00A31137" w:rsidP="00A31137">
      <w:r w:rsidRPr="00A31137">
        <w:t>The President. Some are funny, and some aren't.</w:t>
      </w:r>
    </w:p>
    <w:p w:rsidR="00A31137" w:rsidRPr="00A31137" w:rsidRDefault="00A31137" w:rsidP="00A31137">
      <w:r w:rsidRPr="00A31137">
        <w:t>Clinton, MTV Interview, April 19, 1994</w:t>
      </w:r>
    </w:p>
    <w:p w:rsidR="00A31137" w:rsidRPr="00A31137" w:rsidRDefault="00A31137" w:rsidP="00A31137">
      <w:r w:rsidRPr="00A31137">
        <w:t>Presidential Nominations</w:t>
      </w:r>
    </w:p>
    <w:p w:rsidR="00A31137" w:rsidRPr="00A31137" w:rsidRDefault="00A31137" w:rsidP="00A31137">
      <w:r w:rsidRPr="00A31137">
        <w:t>Clinton, MTV Interview, April 19, 1994</w:t>
      </w:r>
    </w:p>
    <w:p w:rsidR="00A31137" w:rsidRPr="00A31137" w:rsidRDefault="00A31137" w:rsidP="00A31137">
      <w:r w:rsidRPr="00A31137">
        <w:t>Q. Do you regret not giving Lani Guinier the chance to defend her views to the Senate?</w:t>
      </w:r>
    </w:p>
    <w:p w:rsidR="00A31137" w:rsidRPr="00A31137" w:rsidRDefault="00A31137" w:rsidP="00A31137">
      <w:r w:rsidRPr="00A31137">
        <w:t>Clinton, MTV Interview, April 19, 1994</w:t>
      </w:r>
    </w:p>
    <w:p w:rsidR="00A31137" w:rsidRPr="00A31137" w:rsidRDefault="00A31137" w:rsidP="00A31137">
      <w:r w:rsidRPr="00A31137">
        <w:t>The President. Well, she defended them to a lot of individual Senators. The problem was we were facing a very divisive fight over an issue in which she and I had a fundamental disagreement, of which I was unaware at the time she was nominated. She might have been able to get confirmed, but based on what I was hearing from the Democrats, I doubt it. I think she's a very fine woman. She's one of the best civil rights lawyers in the country, and she's going to have a great career.</w:t>
      </w:r>
    </w:p>
    <w:p w:rsidR="00A31137" w:rsidRPr="00A31137" w:rsidRDefault="00A31137" w:rsidP="00A31137">
      <w:r w:rsidRPr="00A31137">
        <w:t>Clinton, MTV Interview, April 19, 1994</w:t>
      </w:r>
    </w:p>
    <w:p w:rsidR="00A31137" w:rsidRPr="00A31137" w:rsidRDefault="00A31137" w:rsidP="00A31137">
      <w:r w:rsidRPr="00A31137">
        <w:t>Q. In light of Justice Blackmun's recent decision, what do you think the chances are that you will replace the vacant seat with a minority that will, in fact, represent the needs and the concerns of minorities like Thurgood Marshall once did?</w:t>
      </w:r>
    </w:p>
    <w:p w:rsidR="00A31137" w:rsidRPr="00A31137" w:rsidRDefault="00A31137" w:rsidP="00A31137">
      <w:r w:rsidRPr="00A31137">
        <w:t>Clinton, MTV Interview, April 19, 1994</w:t>
      </w:r>
    </w:p>
    <w:p w:rsidR="00A31137" w:rsidRPr="00A31137" w:rsidRDefault="00A31137" w:rsidP="00A31137">
      <w:r w:rsidRPr="00A31137">
        <w:t>The President. Well, I'm going to try to make a good appointment, but I haven't made up my mind who to appoint yet. I think Justice Ginsberg, whom I appointed last time, Ruth Bader Ginsberg, will be terrific. And I will try to make—I hope when I'm done, you will think that all my Federal judge appointments not only are the most diverse but are the most excellent in American history. And we're on the way to having the most diverse and the most highly qualified appointments.</w:t>
      </w:r>
    </w:p>
    <w:p w:rsidR="00A31137" w:rsidRPr="00A31137" w:rsidRDefault="00A31137" w:rsidP="00A31137">
      <w:r w:rsidRPr="00A31137">
        <w:t>Clinton, MTV Interview, April 19, 1994</w:t>
      </w:r>
    </w:p>
    <w:p w:rsidR="00A31137" w:rsidRPr="00A31137" w:rsidRDefault="00A31137" w:rsidP="00A31137">
      <w:r w:rsidRPr="00A31137">
        <w:t>Ms. Soren. Can you give us your short list?</w:t>
      </w:r>
    </w:p>
    <w:p w:rsidR="00A31137" w:rsidRPr="00A31137" w:rsidRDefault="00A31137" w:rsidP="00A31137">
      <w:r w:rsidRPr="00A31137">
        <w:t>Clinton, MTV Interview, April 19, 1994</w:t>
      </w:r>
    </w:p>
    <w:p w:rsidR="00A31137" w:rsidRPr="00A31137" w:rsidRDefault="00A31137" w:rsidP="00A31137">
      <w:r w:rsidRPr="00A31137">
        <w:t>The President. I could, but I won't. [Laughter]</w:t>
      </w:r>
    </w:p>
    <w:p w:rsidR="00A31137" w:rsidRPr="00A31137" w:rsidRDefault="00A31137" w:rsidP="00A31137">
      <w:r w:rsidRPr="00A31137">
        <w:t>Clinton, MTV Interview, April 19, 1994</w:t>
      </w:r>
    </w:p>
    <w:p w:rsidR="00A31137" w:rsidRPr="00A31137" w:rsidRDefault="00A31137" w:rsidP="00A31137">
      <w:r w:rsidRPr="00A31137">
        <w:t>Popular Culture and Private Life</w:t>
      </w:r>
    </w:p>
    <w:p w:rsidR="00A31137" w:rsidRPr="00A31137" w:rsidRDefault="00A31137" w:rsidP="00A31137">
      <w:r w:rsidRPr="00A31137">
        <w:t>Clinton, MTV Interview, April 19, 1994</w:t>
      </w:r>
    </w:p>
    <w:p w:rsidR="00A31137" w:rsidRPr="00A31137" w:rsidRDefault="00A31137" w:rsidP="00A31137">
      <w:r w:rsidRPr="00A31137">
        <w:t>Q. Mr. President, I was wondering, what is your favorite song, and do you think you could sing a little bit of it?</w:t>
      </w:r>
    </w:p>
    <w:p w:rsidR="00A31137" w:rsidRPr="00A31137" w:rsidRDefault="00A31137" w:rsidP="00A31137">
      <w:r w:rsidRPr="00A31137">
        <w:t>Clinton, MTV Interview, April 19, 1994</w:t>
      </w:r>
    </w:p>
    <w:p w:rsidR="00A31137" w:rsidRPr="00A31137" w:rsidRDefault="00A31137" w:rsidP="00A31137">
      <w:r w:rsidRPr="00A31137">
        <w:t>The President. I have a lot of favorite songs, but I love the song that Ray Charles won the R&amp;B Grammy for this year, "A Song For You," a song written by Leon Russell. I don't know if you know it, it's an unbelievable song.</w:t>
      </w:r>
    </w:p>
    <w:p w:rsidR="00A31137" w:rsidRPr="00A31137" w:rsidRDefault="00A31137" w:rsidP="00A31137">
      <w:r w:rsidRPr="00A31137">
        <w:t>Clinton, MTV Interview, April 19, 1994</w:t>
      </w:r>
    </w:p>
    <w:p w:rsidR="00A31137" w:rsidRPr="00A31137" w:rsidRDefault="00A31137" w:rsidP="00A31137">
      <w:r w:rsidRPr="00A31137">
        <w:t>Q. Would you sing——</w:t>
      </w:r>
    </w:p>
    <w:p w:rsidR="00A31137" w:rsidRPr="00A31137" w:rsidRDefault="00A31137" w:rsidP="00A31137">
      <w:r w:rsidRPr="00A31137">
        <w:t>Clinton, MTV Interview, April 19, 1994</w:t>
      </w:r>
    </w:p>
    <w:p w:rsidR="00A31137" w:rsidRPr="00A31137" w:rsidRDefault="00A31137" w:rsidP="00A31137">
      <w:r w:rsidRPr="00A31137">
        <w:t>The President. No. [Laughter] "Our love is in a place that has no space or time. I love you for my life. You are a friend of mine." Do you know the song? It's a wonderful song, but he sings it better than I do.</w:t>
      </w:r>
    </w:p>
    <w:p w:rsidR="00A31137" w:rsidRPr="00A31137" w:rsidRDefault="00A31137" w:rsidP="00A31137">
      <w:r w:rsidRPr="00A31137">
        <w:t>Clinton, MTV Interview, April 19, 1994</w:t>
      </w:r>
    </w:p>
    <w:p w:rsidR="00A31137" w:rsidRPr="00A31137" w:rsidRDefault="00A31137" w:rsidP="00A31137">
      <w:r w:rsidRPr="00A31137">
        <w:t>Q. Do you support Howard Stern's candidacy for Governor of New York?</w:t>
      </w:r>
    </w:p>
    <w:p w:rsidR="00A31137" w:rsidRPr="00A31137" w:rsidRDefault="00A31137" w:rsidP="00A31137">
      <w:r w:rsidRPr="00A31137">
        <w:t>Clinton, MTV Interview, April 19, 1994</w:t>
      </w:r>
    </w:p>
    <w:p w:rsidR="00A31137" w:rsidRPr="00A31137" w:rsidRDefault="00A31137" w:rsidP="00A31137">
      <w:r w:rsidRPr="00A31137">
        <w:t>The President. I support his right to run. [Laughter]</w:t>
      </w:r>
    </w:p>
    <w:p w:rsidR="00A31137" w:rsidRPr="00A31137" w:rsidRDefault="00A31137" w:rsidP="00A31137">
      <w:r w:rsidRPr="00A31137">
        <w:t>Clinton, MTV Interview, April 19, 1994</w:t>
      </w:r>
    </w:p>
    <w:p w:rsidR="00A31137" w:rsidRPr="00A31137" w:rsidRDefault="00A31137" w:rsidP="00A31137">
      <w:r w:rsidRPr="00A31137">
        <w:t>Ms. Stewart. Do you have a favorite Biblical passage that means a lot to you?</w:t>
      </w:r>
    </w:p>
    <w:p w:rsidR="00A31137" w:rsidRPr="00A31137" w:rsidRDefault="00A31137" w:rsidP="00A31137">
      <w:r w:rsidRPr="00A31137">
        <w:t>Clinton, MTV Interview, April 19, 1994</w:t>
      </w:r>
    </w:p>
    <w:p w:rsidR="00A31137" w:rsidRPr="00A31137" w:rsidRDefault="00A31137" w:rsidP="00A31137">
      <w:r w:rsidRPr="00A31137">
        <w:t>The President. "Let us not grow weary in doing good, for in due season we shall reap if we do not lose heart." Galatians 6:9.</w:t>
      </w:r>
    </w:p>
    <w:p w:rsidR="00A31137" w:rsidRPr="00A31137" w:rsidRDefault="00A31137" w:rsidP="00A31137">
      <w:r w:rsidRPr="00A31137">
        <w:t>Clinton, MTV Interview, April 19, 1994</w:t>
      </w:r>
    </w:p>
    <w:p w:rsidR="00A31137" w:rsidRPr="00A31137" w:rsidRDefault="00A31137" w:rsidP="00A31137">
      <w:r w:rsidRPr="00A31137">
        <w:t>Q. Mr. President, what's your favorite type of running shoe?</w:t>
      </w:r>
    </w:p>
    <w:p w:rsidR="00A31137" w:rsidRPr="00A31137" w:rsidRDefault="00A31137" w:rsidP="00A31137">
      <w:r w:rsidRPr="00A31137">
        <w:t>Clinton, MTV Interview, April 19, 1994</w:t>
      </w:r>
    </w:p>
    <w:p w:rsidR="00A31137" w:rsidRPr="00A31137" w:rsidRDefault="00A31137" w:rsidP="00A31137">
      <w:r w:rsidRPr="00A31137">
        <w:t>The President. What did you say?</w:t>
      </w:r>
    </w:p>
    <w:p w:rsidR="00A31137" w:rsidRPr="00A31137" w:rsidRDefault="00A31137" w:rsidP="00A31137">
      <w:r w:rsidRPr="00A31137">
        <w:t>Clinton, MTV Interview, April 19, 1994</w:t>
      </w:r>
    </w:p>
    <w:p w:rsidR="00A31137" w:rsidRPr="00A31137" w:rsidRDefault="00A31137" w:rsidP="00A31137">
      <w:r w:rsidRPr="00A31137">
        <w:t>Q. What's your favorite type of running shoe?</w:t>
      </w:r>
    </w:p>
    <w:p w:rsidR="00A31137" w:rsidRPr="00A31137" w:rsidRDefault="00A31137" w:rsidP="00A31137">
      <w:r w:rsidRPr="00A31137">
        <w:t>Clinton, MTV Interview, April 19, 1994</w:t>
      </w:r>
    </w:p>
    <w:p w:rsidR="00A31137" w:rsidRPr="00A31137" w:rsidRDefault="00A31137" w:rsidP="00A31137">
      <w:r w:rsidRPr="00A31137">
        <w:t>The President. New Balance, and—I normally wear New Balance or Asics. I like them both. They're slightly different. I need some that a heavy guy can run in without falling. [Laughter]</w:t>
      </w:r>
    </w:p>
    <w:p w:rsidR="00A31137" w:rsidRPr="00A31137" w:rsidRDefault="00A31137" w:rsidP="00A31137">
      <w:r w:rsidRPr="00A31137">
        <w:t>Clinton, MTV Interview, April 19, 1994</w:t>
      </w:r>
    </w:p>
    <w:p w:rsidR="00A31137" w:rsidRPr="00A31137" w:rsidRDefault="00A31137" w:rsidP="00A31137">
      <w:r w:rsidRPr="00A31137">
        <w:t>Q. What has been your toughest obstacle as President?</w:t>
      </w:r>
    </w:p>
    <w:p w:rsidR="00A31137" w:rsidRPr="00A31137" w:rsidRDefault="00A31137" w:rsidP="00A31137">
      <w:r w:rsidRPr="00A31137">
        <w:t>Clinton, MTV Interview, April 19, 1994</w:t>
      </w:r>
    </w:p>
    <w:p w:rsidR="00A31137" w:rsidRPr="00A31137" w:rsidRDefault="00A31137" w:rsidP="00A31137">
      <w:r w:rsidRPr="00A31137">
        <w:t>The President. I think sort of the culture of Washington, a lot of partisanship and a lot of negativism and focus on process, who's in and out and who's up and down; instead of let's all get together, pull the American together, put the country first.</w:t>
      </w:r>
    </w:p>
    <w:p w:rsidR="00A31137" w:rsidRPr="00A31137" w:rsidRDefault="00A31137" w:rsidP="00A31137">
      <w:r w:rsidRPr="00A31137">
        <w:t>Clinton, MTV Interview, April 19, 1994</w:t>
      </w:r>
    </w:p>
    <w:p w:rsidR="00A31137" w:rsidRPr="00A31137" w:rsidRDefault="00A31137" w:rsidP="00A31137">
      <w:r w:rsidRPr="00A31137">
        <w:t>Admiral Frank Kelso</w:t>
      </w:r>
    </w:p>
    <w:p w:rsidR="00A31137" w:rsidRPr="00A31137" w:rsidRDefault="00A31137" w:rsidP="00A31137">
      <w:r w:rsidRPr="00A31137">
        <w:t>Clinton, MTV Interview, April 19, 1994</w:t>
      </w:r>
    </w:p>
    <w:p w:rsidR="00A31137" w:rsidRPr="00A31137" w:rsidRDefault="00A31137" w:rsidP="00A31137">
      <w:r w:rsidRPr="00A31137">
        <w:t>Ms. Soren. Do you think Admiral Kelso should get all his stars when he retires, despite his role in the Tailhook scandal?</w:t>
      </w:r>
    </w:p>
    <w:p w:rsidR="00A31137" w:rsidRPr="00A31137" w:rsidRDefault="00A31137" w:rsidP="00A31137">
      <w:r w:rsidRPr="00A31137">
        <w:t>Clinton, MTV Interview, April 19, 1994</w:t>
      </w:r>
    </w:p>
    <w:p w:rsidR="00A31137" w:rsidRPr="00A31137" w:rsidRDefault="00A31137" w:rsidP="00A31137">
      <w:r w:rsidRPr="00A31137">
        <w:t>The President. Based on the facts as I know them, I do. I believe that the evidence is not sufficiently compelling that he knew about it and that he was sufficiently culpable to deny him his stars. That's a very severe thing to do, and I don't believe the evidence warrants it. That's based on the Inspector General's report in the Pentagon.</w:t>
      </w:r>
    </w:p>
    <w:p w:rsidR="00A31137" w:rsidRPr="00A31137" w:rsidRDefault="00A31137" w:rsidP="00A31137">
      <w:r w:rsidRPr="00A31137">
        <w:t>Clinton, MTV Interview, April 19, 1994</w:t>
      </w:r>
    </w:p>
    <w:p w:rsidR="00A31137" w:rsidRPr="00A31137" w:rsidRDefault="00A31137" w:rsidP="00A31137">
      <w:r w:rsidRPr="00A31137">
        <w:t>Popular Culture and Private Life</w:t>
      </w:r>
    </w:p>
    <w:p w:rsidR="00A31137" w:rsidRPr="00A31137" w:rsidRDefault="00A31137" w:rsidP="00A31137">
      <w:r w:rsidRPr="00A31137">
        <w:t>Clinton, MTV Interview, April 19, 1994</w:t>
      </w:r>
    </w:p>
    <w:p w:rsidR="00A31137" w:rsidRPr="00A31137" w:rsidRDefault="00A31137" w:rsidP="00A31137">
      <w:r w:rsidRPr="00A31137">
        <w:t>Q. Mr. President, who's your favorite jazz saxophonist?</w:t>
      </w:r>
    </w:p>
    <w:p w:rsidR="00A31137" w:rsidRPr="00A31137" w:rsidRDefault="00A31137" w:rsidP="00A31137">
      <w:r w:rsidRPr="00A31137">
        <w:t>Clinton, MTV Interview, April 19, 1994</w:t>
      </w:r>
    </w:p>
    <w:p w:rsidR="00A31137" w:rsidRPr="00A31137" w:rsidRDefault="00A31137" w:rsidP="00A31137">
      <w:r w:rsidRPr="00A31137">
        <w:t>The President. Boy, that's tough. Probably Stan Getz.</w:t>
      </w:r>
    </w:p>
    <w:p w:rsidR="00A31137" w:rsidRPr="00A31137" w:rsidRDefault="00A31137" w:rsidP="00A31137">
      <w:r w:rsidRPr="00A31137">
        <w:t>Clinton, MTV Interview, April 19, 1994</w:t>
      </w:r>
    </w:p>
    <w:p w:rsidR="00A31137" w:rsidRPr="00A31137" w:rsidRDefault="00A31137" w:rsidP="00A31137">
      <w:r w:rsidRPr="00A31137">
        <w:t>Q. Mr. President, how do you feel about your likeness on "Beavis and Butthead?"</w:t>
      </w:r>
    </w:p>
    <w:p w:rsidR="00A31137" w:rsidRPr="00A31137" w:rsidRDefault="00A31137" w:rsidP="00A31137">
      <w:r w:rsidRPr="00A31137">
        <w:t>Clinton, MTV Interview, April 19, 1994</w:t>
      </w:r>
    </w:p>
    <w:p w:rsidR="00A31137" w:rsidRPr="00A31137" w:rsidRDefault="00A31137" w:rsidP="00A31137">
      <w:r w:rsidRPr="00A31137">
        <w:t>The President. Sometimes I like it; sometimes I don't.</w:t>
      </w:r>
    </w:p>
    <w:p w:rsidR="00A31137" w:rsidRPr="00A31137" w:rsidRDefault="00A31137" w:rsidP="00A31137">
      <w:r w:rsidRPr="00A31137">
        <w:t>Clinton, MTV Interview, April 19, 1994</w:t>
      </w:r>
    </w:p>
    <w:p w:rsidR="00A31137" w:rsidRPr="00A31137" w:rsidRDefault="00A31137" w:rsidP="00A31137">
      <w:r w:rsidRPr="00A31137">
        <w:t>Ms. Soren. We're about out of time. Thank you, Mr. President, for joining us today and continuing the dialog with young people.</w:t>
      </w:r>
    </w:p>
    <w:p w:rsidR="00A31137" w:rsidRPr="00A31137" w:rsidRDefault="00A31137" w:rsidP="00A31137">
      <w:r w:rsidRPr="00A31137">
        <w:t>Clinton, MTV Interview, April 19, 1994</w:t>
      </w:r>
    </w:p>
    <w:p w:rsidR="00A31137" w:rsidRPr="00A31137" w:rsidRDefault="00A31137" w:rsidP="00A31137">
      <w:r w:rsidRPr="00A31137">
        <w:t>The President. Thank you.</w:t>
      </w:r>
    </w:p>
    <w:p w:rsidR="00A31137" w:rsidRPr="00A31137" w:rsidRDefault="00A31137" w:rsidP="00A31137">
      <w:r w:rsidRPr="00A31137">
        <w:t>Clinton, MTV Interview, April 19, 1994</w:t>
      </w:r>
    </w:p>
    <w:p w:rsidR="00A31137" w:rsidRPr="00A31137" w:rsidRDefault="00A31137" w:rsidP="00A31137">
      <w:r w:rsidRPr="00A31137">
        <w:t>Note: The interview began at 11:30 a.m. in the Kalorama Studio. In his remarks, he referred to entertainers Pearl Jam and Howard Stern, and Adm. Frank B. Kelso II, USN, Chief of Naval Operations. A portion of this interview could not be verified because the tape was incomplete.</w:t>
      </w:r>
    </w:p>
    <w:p w:rsidR="00A31137" w:rsidRPr="00A31137" w:rsidRDefault="00A31137" w:rsidP="00A31137">
      <w:r w:rsidRPr="00A31137">
        <w:t>Clinton's Remarks Announcing Stephen G. Breyer as Supreme Court Associate Justice Nominee, May 13, 1994</w:t>
      </w:r>
    </w:p>
    <w:p w:rsidR="00A31137" w:rsidRPr="00A31137" w:rsidRDefault="00A31137" w:rsidP="00A31137">
      <w:r w:rsidRPr="00A31137">
        <w:t>Title:</w:t>
      </w:r>
      <w:r w:rsidRPr="00A31137">
        <w:tab/>
        <w:t>Clinton's Remarks Announcing Stephen G. Breyer as Supreme Court Associate Justice Nominee</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May 13, 1994</w:t>
      </w:r>
    </w:p>
    <w:p w:rsidR="00A31137" w:rsidRPr="00A31137" w:rsidRDefault="00A31137" w:rsidP="00A31137">
      <w:r w:rsidRPr="00A31137">
        <w:t>Source:</w:t>
      </w:r>
      <w:r w:rsidRPr="00A31137">
        <w:tab/>
        <w:t>Weekly Compilation of Presidential Documents, 1994</w:t>
      </w:r>
    </w:p>
    <w:p w:rsidR="00A31137" w:rsidRPr="00A31137" w:rsidRDefault="00A31137" w:rsidP="00A31137">
      <w:r w:rsidRPr="00A31137">
        <w:t>Clinton, Breyer Nomination, May 13, 1994</w:t>
      </w:r>
    </w:p>
    <w:p w:rsidR="00A31137" w:rsidRPr="00A31137" w:rsidRDefault="00A31137" w:rsidP="00A31137">
      <w:r w:rsidRPr="00A31137">
        <w:t>The President. Good afternoon. Today I am proud to nominate Judge Stephen Breyer to serve on the United States Supreme Court.</w:t>
      </w:r>
    </w:p>
    <w:p w:rsidR="00A31137" w:rsidRPr="00A31137" w:rsidRDefault="00A31137" w:rsidP="00A31137">
      <w:r w:rsidRPr="00A31137">
        <w:t>Clinton, Breyer Nomination, May 13, 1994</w:t>
      </w:r>
    </w:p>
    <w:p w:rsidR="00A31137" w:rsidRPr="00A31137" w:rsidRDefault="00A31137" w:rsidP="00A31137">
      <w:r w:rsidRPr="00A31137">
        <w:t>I believe a President can best serve our country by nominating a candidate for the Supreme Court whose experience manifests the quality in a Justice that matters most, excellence: excellence in knowledge, excellence in judgment, excellence in devotion to the Constitution, to the country, and to the real people. It is a duty best exercised wisely and not in haste.</w:t>
      </w:r>
    </w:p>
    <w:p w:rsidR="00A31137" w:rsidRPr="00A31137" w:rsidRDefault="00A31137" w:rsidP="00A31137">
      <w:r w:rsidRPr="00A31137">
        <w:t>Clinton, Breyer Nomination, May 13, 1994</w:t>
      </w:r>
    </w:p>
    <w:p w:rsidR="00A31137" w:rsidRPr="00A31137" w:rsidRDefault="00A31137" w:rsidP="00A31137">
      <w:r w:rsidRPr="00A31137">
        <w:t>I have reflected on this decision now for the last several weeks, about 37 days. I have been well served by the White House Counsel, Lloyd Cutler, and the other members of our legal staff who have worked very hard, by our Chief of Staff, Mr. McLarty, who's kept the process going in an orderly way, and by others who worked on it. We have worked hard to achieve the pursuit of excellence. In that pursuit, I came again to Judge Breyer, who serves today, as most of you know, as the chief judge for the United States Court of Appeals for the first circuit. And I will nominate him to be the Supreme Court's 108th Justice.</w:t>
      </w:r>
    </w:p>
    <w:p w:rsidR="00A31137" w:rsidRPr="00A31137" w:rsidRDefault="00A31137" w:rsidP="00A31137">
      <w:r w:rsidRPr="00A31137">
        <w:t>Clinton, Breyer Nomination, May 13, 1994</w:t>
      </w:r>
    </w:p>
    <w:p w:rsidR="00A31137" w:rsidRPr="00A31137" w:rsidRDefault="00A31137" w:rsidP="00A31137">
      <w:r w:rsidRPr="00A31137">
        <w:t>Without dispute, he is one of the outstanding jurists of our age. He has a clear grasp of the law, a boundless respect for the constitutional and legal rights of the American people, a searching and restless intellect, and a remarkable ability to explain complex subjects in understandable terms. He has proven that he can build an effective consensus and get people of diverse views to work together for justice's sake. He is a Phi Beta Kappa graduate of Stanford, a graduate of Oxford University, a magna cum laude graduate of the Harvard Law School. He served the late Justice Goldberg as a law clerk, spent 2 years in the Antitrust Division of the Justice Department, and served as chief counsel of the Senate Committee on the Judiciary, where he had the opportunity to work with Senators of both parties.</w:t>
      </w:r>
    </w:p>
    <w:p w:rsidR="00A31137" w:rsidRPr="00A31137" w:rsidRDefault="00A31137" w:rsidP="00A31137">
      <w:r w:rsidRPr="00A31137">
        <w:t>Clinton, Breyer Nomination, May 13, 1994</w:t>
      </w:r>
    </w:p>
    <w:p w:rsidR="00A31137" w:rsidRPr="00A31137" w:rsidRDefault="00A31137" w:rsidP="00A31137">
      <w:r w:rsidRPr="00A31137">
        <w:t>Judge Breyer has had a private law practice, has written dozens of scholarly articles, published in distinguished law reviews and legal texts. And he's been a member of the Federal Sentencing Commission. For more than a decade he served with true distinction on the U.S. Court of Appeals in the First Circuit. His writings in areas ranging from the interpretation of legislation and analysis of the sentencing guidelines to the underpinnings, regulation, and the interplay of economics and the law reveal a keen and vital mind. His record displays a thirst for justice. His career personifies both public service and patriotism.</w:t>
      </w:r>
    </w:p>
    <w:p w:rsidR="00A31137" w:rsidRPr="00A31137" w:rsidRDefault="00A31137" w:rsidP="00A31137">
      <w:r w:rsidRPr="00A31137">
        <w:t>Clinton, Breyer Nomination, May 13, 1994</w:t>
      </w:r>
    </w:p>
    <w:p w:rsidR="00A31137" w:rsidRPr="00A31137" w:rsidRDefault="00A31137" w:rsidP="00A31137">
      <w:r w:rsidRPr="00A31137">
        <w:t>As you know, I had a wealth of talent to choose from in making this nomination. In addition to Judge Breyer, whom I considered very seriously for this position the last time I had a Supreme Court appointment, I'd like to take just a moment to comment on two of the gentlemen who made this decision a difficult one for me.</w:t>
      </w:r>
    </w:p>
    <w:p w:rsidR="00A31137" w:rsidRPr="00A31137" w:rsidRDefault="00A31137" w:rsidP="00A31137">
      <w:r w:rsidRPr="00A31137">
        <w:t>Clinton, Breyer Nomination, May 13, 1994</w:t>
      </w:r>
    </w:p>
    <w:p w:rsidR="00A31137" w:rsidRPr="00A31137" w:rsidRDefault="00A31137" w:rsidP="00A31137">
      <w:r w:rsidRPr="00A31137">
        <w:t>Secretary Babbitt was attorney general and Governor of his State, and during that time, a colleague of mine. He was a candidate for the Presidency in a race which everyone acknowledged raised the serious and substantive issues of the day. He has been a very effective Secretary of the Interior for me, one of the most sensitive, complex, and difficult posts in this administration. He would bring to the Court the responsibility and discipline of service in public life. He would bring a feel for law at the State level and, most important perhaps, for life at the grassroots. Although I know he would be a good addition, indeed, a superb addition to the Court, frankly, I came to the same conclusion I have every time I've thought about him: I couldn't bear to lose him from the Cabinet, from his service at Interior, from his service as an adviser to me and a vital and leading member of our domestic policy team.</w:t>
      </w:r>
    </w:p>
    <w:p w:rsidR="00A31137" w:rsidRPr="00A31137" w:rsidRDefault="00A31137" w:rsidP="00A31137">
      <w:r w:rsidRPr="00A31137">
        <w:t>Clinton, Breyer Nomination, May 13, 1994</w:t>
      </w:r>
    </w:p>
    <w:p w:rsidR="00A31137" w:rsidRPr="00A31137" w:rsidRDefault="00A31137" w:rsidP="00A31137">
      <w:r w:rsidRPr="00A31137">
        <w:t>Judge Richard Arnold, the chief judge of the eighth circuit, has been a friend of mine for a long time. I have the greatest respect for his intellect, for his role as a jurist, and for his extraordinary character. I think a measure of the devotion and the admiration in which he is held is evidenced by the fact that somewhere around 100 judges, one-eighth of the entire Federal bench, wrote me endorsing his candidacy for the Supreme Court. But as has been widely reported in the press, Judge Arnold has cancer and is now undergoing a course of treatment. I have every confidence that that treatment will be successful. And if I am fortunate enough to have other opportunities to make appointments to the Court, I know I will be able to consider Judge Arnold at the top of the list.</w:t>
      </w:r>
    </w:p>
    <w:p w:rsidR="00A31137" w:rsidRPr="00A31137" w:rsidRDefault="00A31137" w:rsidP="00A31137">
      <w:r w:rsidRPr="00A31137">
        <w:t>Clinton, Breyer Nomination, May 13, 1994</w:t>
      </w:r>
    </w:p>
    <w:p w:rsidR="00A31137" w:rsidRPr="00A31137" w:rsidRDefault="00A31137" w:rsidP="00A31137">
      <w:r w:rsidRPr="00A31137">
        <w:t>Five decades ago, Judge Learned Hand defined the spirit of liberty as the spirit which seeks to understand the minds of other men and women, the spirit which weighs their interests alongside its own bias, the spirit which lies hidden in the aspirations of us all. When our citizens hear about Judge Breyer's nomination and learn about his background and beliefs, I believe they will join me in saying, here is someone touched by that spirit of liberty, who believes in the Constitution and the Bill of Rights, who is graced with the intellectual capacity and the good judgment a Supreme Court Justice ought to have, and whose background and temperament clearly qualify him to be an outstanding Associate Justice of the United States Supreme Court.</w:t>
      </w:r>
    </w:p>
    <w:p w:rsidR="00A31137" w:rsidRPr="00A31137" w:rsidRDefault="00A31137" w:rsidP="00A31137">
      <w:r w:rsidRPr="00A31137">
        <w:t>Clinton, Breyer Nomination, May 13, 1994</w:t>
      </w:r>
    </w:p>
    <w:p w:rsidR="00A31137" w:rsidRPr="00A31137" w:rsidRDefault="00A31137" w:rsidP="00A31137">
      <w:r w:rsidRPr="00A31137">
        <w:t>So I will send his nomination to the Senate for confirmation with great pride and high hopes.</w:t>
      </w:r>
    </w:p>
    <w:p w:rsidR="00A31137" w:rsidRPr="00A31137" w:rsidRDefault="00A31137" w:rsidP="00A31137">
      <w:r w:rsidRPr="00A31137">
        <w:t>Clinton, Breyer Nomination, May 13, 1994</w:t>
      </w:r>
    </w:p>
    <w:p w:rsidR="00A31137" w:rsidRPr="00A31137" w:rsidRDefault="00A31137" w:rsidP="00A31137">
      <w:r w:rsidRPr="00A31137">
        <w:t>Q. Mr. President, you have foregone the opportunity to name someone with greater political experience, such as Secretary Babbitt. What makes you think that Judge Breyer will be able to reshape the Court or forge a new consensus——</w:t>
      </w:r>
    </w:p>
    <w:p w:rsidR="00A31137" w:rsidRPr="00A31137" w:rsidRDefault="00A31137" w:rsidP="00A31137">
      <w:r w:rsidRPr="00A31137">
        <w:t>Clinton, Breyer Nomination, May 13, 1994</w:t>
      </w:r>
    </w:p>
    <w:p w:rsidR="00A31137" w:rsidRPr="00A31137" w:rsidRDefault="00A31137" w:rsidP="00A31137">
      <w:r w:rsidRPr="00A31137">
        <w:t>The President. No, I think, Judge Breyer actually has quite a lot of political savvy, and I would say two things. First of all, as you know, when I talked about Senator Mitchell, I would not have offered the position to Senator Mitchell if he were running for reelection and were willing to stay as majority leader of the Senate. And I felt the same way in the end about Secretary Babbitt. I mean, here's a man that is dealing with issues of incredible magnitude, especially in the West, a very important part of our country. And so I just couldn't bear to think about that.</w:t>
      </w:r>
    </w:p>
    <w:p w:rsidR="00A31137" w:rsidRPr="00A31137" w:rsidRDefault="00A31137" w:rsidP="00A31137">
      <w:r w:rsidRPr="00A31137">
        <w:t>Clinton, Breyer Nomination, May 13, 1994</w:t>
      </w:r>
    </w:p>
    <w:p w:rsidR="00A31137" w:rsidRPr="00A31137" w:rsidRDefault="00A31137" w:rsidP="00A31137">
      <w:r w:rsidRPr="00A31137">
        <w:t>And then, the more I thought about Steve Breyer and the time I spent with him last time I had a vacancy on the Court, the more I realized he had proved that he had the kind of political capacity and judgment we need because he'd been exposed to the full range of issues working here as the chief of staff of the Senate Judiciary Committee. He obviously has a lot of political skills because of his reputation as a consensus builder on a court where most of the appointees were made by Republican Presidents. And look at the people supporting his nomination. I mean, he's gotten Senator Kennedy and Senator Hatch together. I wish I had that kind of political skill. [Laughter]</w:t>
      </w:r>
    </w:p>
    <w:p w:rsidR="00A31137" w:rsidRPr="00A31137" w:rsidRDefault="00A31137" w:rsidP="00A31137">
      <w:r w:rsidRPr="00A31137">
        <w:t>Clinton, Breyer Nomination, May 13, 1994</w:t>
      </w:r>
    </w:p>
    <w:p w:rsidR="00A31137" w:rsidRPr="00A31137" w:rsidRDefault="00A31137" w:rsidP="00A31137">
      <w:r w:rsidRPr="00A31137">
        <w:t>Q. [Inaudible]—between two others who might not be as easy to confirm enter into your selection process?</w:t>
      </w:r>
    </w:p>
    <w:p w:rsidR="00A31137" w:rsidRPr="00A31137" w:rsidRDefault="00A31137" w:rsidP="00A31137">
      <w:r w:rsidRPr="00A31137">
        <w:t>Clinton, Breyer Nomination, May 13, 1994</w:t>
      </w:r>
    </w:p>
    <w:p w:rsidR="00A31137" w:rsidRPr="00A31137" w:rsidRDefault="00A31137" w:rsidP="00A31137">
      <w:r w:rsidRPr="00A31137">
        <w:t>The President.  No. I'm convinced all three of them would have been handily confirmed. I know—I mean, I've heard all this, but I'm convinced all three of them would have been handily confirmed. I have no doubt about it whatever. And I spent quite a lot of time on that.</w:t>
      </w:r>
    </w:p>
    <w:p w:rsidR="00A31137" w:rsidRPr="00A31137" w:rsidRDefault="00A31137" w:rsidP="00A31137">
      <w:r w:rsidRPr="00A31137">
        <w:t>Clinton, Breyer Nomination, May 13, 1994</w:t>
      </w:r>
    </w:p>
    <w:p w:rsidR="00A31137" w:rsidRPr="00A31137" w:rsidRDefault="00A31137" w:rsidP="00A31137">
      <w:r w:rsidRPr="00A31137">
        <w:t>Q.  Mr. President, in the end, why do you think that there was so much—maybe it's our fault as much as it is your aides' fault—so much confusion in which direction you were leaning? Earlier in the week we thought that Secretary Babbitt had the best choice. Then later, it was Judge Arnold. Now, of course, you've made your decision.</w:t>
      </w:r>
    </w:p>
    <w:p w:rsidR="00A31137" w:rsidRPr="00A31137" w:rsidRDefault="00A31137" w:rsidP="00A31137">
      <w:r w:rsidRPr="00A31137">
        <w:t>Clinton, Breyer Nomination, May 13, 1994</w:t>
      </w:r>
    </w:p>
    <w:p w:rsidR="00A31137" w:rsidRPr="00A31137" w:rsidRDefault="00A31137" w:rsidP="00A31137">
      <w:r w:rsidRPr="00A31137">
        <w:t>The President. Because you all didn't talk to me. When we have these appointments that only I make, especially if it's something where, with all respect to my aides, I think I know as much or more about it as they do. And I told you all, they worked hard for me, and they did a wonderful job. There's an enormous amount of work to do, but—one of the best jobs I ever had was teaching the Constitution of the United States to law students. I care a lot about the Supreme Court. I read people's opinions. I read articles. I read letters that people send me about prospective candidates. I think about this a lot, and I care very deeply about it. And I was going to take whatever time I had to take to think this through.</w:t>
      </w:r>
    </w:p>
    <w:p w:rsidR="00A31137" w:rsidRPr="00A31137" w:rsidRDefault="00A31137" w:rsidP="00A31137">
      <w:r w:rsidRPr="00A31137">
        <w:t>Clinton, Breyer Nomination, May 13, 1994</w:t>
      </w:r>
    </w:p>
    <w:p w:rsidR="00A31137" w:rsidRPr="00A31137" w:rsidRDefault="00A31137" w:rsidP="00A31137">
      <w:r w:rsidRPr="00A31137">
        <w:t>In the course of those conversations with my staff, I always try to take, when we get down to the finals, where I'm down to three or four folks, I try to take every strong suit I can about a candidate and work through it, every weakness and we work through it.</w:t>
      </w:r>
    </w:p>
    <w:p w:rsidR="00A31137" w:rsidRPr="00A31137" w:rsidRDefault="00A31137" w:rsidP="00A31137">
      <w:r w:rsidRPr="00A31137">
        <w:t>Clinton, Breyer Nomination, May 13, 1994</w:t>
      </w:r>
    </w:p>
    <w:p w:rsidR="00A31137" w:rsidRPr="00A31137" w:rsidRDefault="00A31137" w:rsidP="00A31137">
      <w:r w:rsidRPr="00A31137">
        <w:t>But I think, you know, on these Supreme Court cases—we may never get another appointment, but if I get another one you're just going to have to ride along with me because in the end, I'm going to make the decision. I'm going to do what I think is right.</w:t>
      </w:r>
    </w:p>
    <w:p w:rsidR="00A31137" w:rsidRPr="00A31137" w:rsidRDefault="00A31137" w:rsidP="00A31137">
      <w:r w:rsidRPr="00A31137">
        <w:t>Clinton, Breyer Nomination, May 13, 1994</w:t>
      </w:r>
    </w:p>
    <w:p w:rsidR="00A31137" w:rsidRPr="00A31137" w:rsidRDefault="00A31137" w:rsidP="00A31137">
      <w:r w:rsidRPr="00A31137">
        <w:t>But I've told you what happened today. All three of them had a great claim. I couldn't bear to lose Bruce Babbitt. With Judge Arnold, I think we have to have the progress of his health ultimately resolved. He is a magnificent man, and I think a lot of the stated opposition to him was based on a misunderstanding and was flat wrong. And I would have been happy to defend him against all comers from now to doomsday. But I think I have done the right thing by my country with this appointment, and I feel very good about it.</w:t>
      </w:r>
    </w:p>
    <w:p w:rsidR="00A31137" w:rsidRPr="00A31137" w:rsidRDefault="00A31137" w:rsidP="00A31137">
      <w:r w:rsidRPr="00A31137">
        <w:t>Clinton, Breyer Nomination, May 13, 1994</w:t>
      </w:r>
    </w:p>
    <w:p w:rsidR="00A31137" w:rsidRPr="00A31137" w:rsidRDefault="00A31137" w:rsidP="00A31137">
      <w:r w:rsidRPr="00A31137">
        <w:t>Q. Mr. President, when you look at the mark that you want to leave on the Court, what specifically does Judge Breyer bring to the Court?</w:t>
      </w:r>
    </w:p>
    <w:p w:rsidR="00A31137" w:rsidRPr="00A31137" w:rsidRDefault="00A31137" w:rsidP="00A31137">
      <w:r w:rsidRPr="00A31137">
        <w:t>Clinton, Breyer Nomination, May 13, 1994</w:t>
      </w:r>
    </w:p>
    <w:p w:rsidR="00A31137" w:rsidRPr="00A31137" w:rsidRDefault="00A31137" w:rsidP="00A31137">
      <w:r w:rsidRPr="00A31137">
        <w:t>The President. I think he brings three things that I think are important, besides the ability to get people together and work with them. I think he brings, one, a real devotion to the Bill of Rights and to the idea that personal freedoms are important to the American people. And I think he will strike the right balance between the need for discipline and order, being firm on law enforcement issues but really sticking in there for the Bill of Rights and for the issue of personal freedoms. You know, this country got started by people who wanted a good letting alone from Government. And every time we think about doing anything around here, we have to recognize that Americans have always had a healthy skepticism about Government reaching into their lives. I think he understands that.</w:t>
      </w:r>
    </w:p>
    <w:p w:rsidR="00A31137" w:rsidRPr="00A31137" w:rsidRDefault="00A31137" w:rsidP="00A31137">
      <w:r w:rsidRPr="00A31137">
        <w:t>Clinton, Breyer Nomination, May 13, 1994</w:t>
      </w:r>
    </w:p>
    <w:p w:rsidR="00A31137" w:rsidRPr="00A31137" w:rsidRDefault="00A31137" w:rsidP="00A31137">
      <w:r w:rsidRPr="00A31137">
        <w:t>The second thing I think he understands is the practical implications of governmental actions that the Court may have to review. I know that some of his writings have been a little bit controversial in some quarters in analyzing the economic impacts of governmental actions and things of that kind. But I think that he shows that he really understands that.</w:t>
      </w:r>
    </w:p>
    <w:p w:rsidR="00A31137" w:rsidRPr="00A31137" w:rsidRDefault="00A31137" w:rsidP="00A31137">
      <w:r w:rsidRPr="00A31137">
        <w:t>Clinton, Breyer Nomination, May 13, 1994</w:t>
      </w:r>
    </w:p>
    <w:p w:rsidR="00A31137" w:rsidRPr="00A31137" w:rsidRDefault="00A31137" w:rsidP="00A31137">
      <w:r w:rsidRPr="00A31137">
        <w:t>The third thing that I think he can do is cut through the incredible complexities that surround so many of the issues that we're confronted with in our world today and render them simple, clear, and understandable, not only—first of all, to himself, secondly, to his colleagues, and thirdly, to the American people. I think it is important that the American people have confidence in the Supreme Court and feel that somehow it is accessible to them. And I believe that Judge Breyer will do a good job of that.</w:t>
      </w:r>
    </w:p>
    <w:p w:rsidR="00A31137" w:rsidRPr="00A31137" w:rsidRDefault="00A31137" w:rsidP="00A31137">
      <w:r w:rsidRPr="00A31137">
        <w:t>Clinton, Breyer Nomination, May 13, 1994</w:t>
      </w:r>
    </w:p>
    <w:p w:rsidR="00A31137" w:rsidRPr="00A31137" w:rsidRDefault="00A31137" w:rsidP="00A31137">
      <w:r w:rsidRPr="00A31137">
        <w:t>Thank you very much.</w:t>
      </w:r>
    </w:p>
    <w:p w:rsidR="00A31137" w:rsidRPr="00A31137" w:rsidRDefault="00A31137" w:rsidP="00A31137">
      <w:r w:rsidRPr="00A31137">
        <w:t>Clinton, Breyer Nomination, May 13, 1994</w:t>
      </w:r>
    </w:p>
    <w:p w:rsidR="00A31137" w:rsidRPr="00A31137" w:rsidRDefault="00A31137" w:rsidP="00A31137">
      <w:r w:rsidRPr="00A31137">
        <w:t>Note: The President spoke at 6 p.m. on the South Lawn at the White House.</w:t>
      </w:r>
    </w:p>
    <w:p w:rsidR="00A31137" w:rsidRPr="00A31137" w:rsidRDefault="00A31137" w:rsidP="00A31137">
      <w:r w:rsidRPr="00A31137">
        <w:t>C &amp; A Carbone, Inc. v. Town of Clarkstown, 1994</w:t>
      </w:r>
    </w:p>
    <w:p w:rsidR="00A31137" w:rsidRPr="00A31137" w:rsidRDefault="00A31137" w:rsidP="00A31137">
      <w:r w:rsidRPr="00A31137">
        <w:t>Title:</w:t>
      </w:r>
      <w:r w:rsidRPr="00A31137">
        <w:tab/>
        <w:t>C &amp; A Carbone, Inc. v. Town of Clarkstown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May 16, 1994</w:t>
      </w:r>
    </w:p>
    <w:p w:rsidR="00A31137" w:rsidRPr="00A31137" w:rsidRDefault="00A31137" w:rsidP="00A31137">
      <w:r w:rsidRPr="00A31137">
        <w:t>Source:</w:t>
      </w:r>
      <w:r w:rsidRPr="00A31137">
        <w:tab/>
        <w:t>511 U.S. 383</w:t>
      </w:r>
    </w:p>
    <w:p w:rsidR="00A31137" w:rsidRPr="00A31137" w:rsidRDefault="00A31137" w:rsidP="00A31137">
      <w:r w:rsidRPr="00A31137">
        <w:t>This case was argued December 7, 1993, and was decided May 16, 1994.</w:t>
      </w:r>
    </w:p>
    <w:p w:rsidR="00A31137" w:rsidRPr="00A31137" w:rsidRDefault="00A31137" w:rsidP="00A31137">
      <w:r w:rsidRPr="00A31137">
        <w:t>CERTIORARI TO THE APPELLATE DIVISION, SUPREME COURT</w:t>
      </w:r>
    </w:p>
    <w:p w:rsidR="00A31137" w:rsidRPr="00A31137" w:rsidRDefault="00A31137" w:rsidP="00A31137">
      <w:r w:rsidRPr="00A31137">
        <w:t>OF NEW YORK, SECOND JUDICIAL DEPARTMENT</w:t>
      </w:r>
    </w:p>
    <w:p w:rsidR="00A31137" w:rsidRPr="00A31137" w:rsidRDefault="00A31137" w:rsidP="00A31137">
      <w:r w:rsidRPr="00A31137">
        <w:t>Syllabus</w:t>
      </w:r>
    </w:p>
    <w:p w:rsidR="00A31137" w:rsidRPr="00A31137" w:rsidRDefault="00A31137" w:rsidP="00A31137">
      <w:r w:rsidRPr="00A31137">
        <w:t>1994, C &amp; A Carbone, Inc. v. Town of Clarkstown, 511 U.S. 383</w:t>
      </w:r>
    </w:p>
    <w:p w:rsidR="00A31137" w:rsidRPr="00A31137" w:rsidRDefault="00A31137" w:rsidP="00A31137">
      <w:r w:rsidRPr="00A31137">
        <w:t>Respondent town agreed to allow a private contractor to construct within town limits a solid waste transfer station to separate recyclable from nonrecyclable items and to operate the facility for five years, at which time the town would buy it for one dollar. To finance the transfer station's cost, the town guaranteed a minimum waste flow to the facility, for which the contractor could charge the hauler a tipping fee which exceeded the disposal cost of unsorted solid waste on the private market. In order to meet the waste flow guarantee, the town adopted a flow control ordinance, requiring all nonhazardous solid waste within the town to be deposited at the transfer station. While recyclers like petitioners (collectively Carbone) may receive solid waste at their own sorting facilities, the ordinance requires them to bring nonrecyclable residue to the transfer station, thus forbidding them to ship such waste themselves and requiring them to pay the tipping fee on trash that has already been sorted. After discovering that Carbone was shipping nonrecyclable waste to out-of-state destinations, the town filed suit in state court, seeking an injunction requiring that this residue be shipped to the transfer station. The court granted summary judgment to the town, finding the ordinance constitutional, and the Appellate Division affirmed.</w:t>
      </w:r>
    </w:p>
    <w:p w:rsidR="00A31137" w:rsidRPr="00A31137" w:rsidRDefault="00A31137" w:rsidP="00A31137">
      <w:r w:rsidRPr="00A31137">
        <w:t>1994, C &amp; A Carbone, Inc. v. Town of Clarkstown, 511 U.S. 383</w:t>
      </w:r>
    </w:p>
    <w:p w:rsidR="00A31137" w:rsidRPr="00A31137" w:rsidRDefault="00A31137" w:rsidP="00A31137">
      <w:r w:rsidRPr="00A31137">
        <w:t>Held: The flow control ordinance violates the Commerce Clause. Pp.  389-395.</w:t>
      </w:r>
    </w:p>
    <w:p w:rsidR="00A31137" w:rsidRPr="00A31137" w:rsidRDefault="00A31137" w:rsidP="00A31137">
      <w:r w:rsidRPr="00A31137">
        <w:t>1994, C &amp; A Carbone, Inc. v. Town of Clarkstown, 511 U.S. 383</w:t>
      </w:r>
    </w:p>
    <w:p w:rsidR="00A31137" w:rsidRPr="00A31137" w:rsidRDefault="00A31137" w:rsidP="00A31137">
      <w:r w:rsidRPr="00A31137">
        <w:t>(a) The ordinance regulates interstate commerce. While its immediate effect is to direct local transport of solid waste to a designated site within the local jurisdiction, its economic effects are interstate in reach. By requiring Carbone to send the nonrecyclable portion of waste it receives from out of State to the transfer station at an additional cost, the ordinance drives up the cost for out-of-state interests to dispose of their solid waste. It also deprives out-of-state businesses of access to the local market, by preventing everyone except the favored local operator from performing the initial processing step. P.  389.</w:t>
      </w:r>
    </w:p>
    <w:p w:rsidR="00A31137" w:rsidRPr="00A31137" w:rsidRDefault="00A31137" w:rsidP="00A31137">
      <w:r w:rsidRPr="00A31137">
        <w:t>1994, C &amp; A Carbone, Inc. v. Town of Clarkstown, 511 U.S. 383</w:t>
      </w:r>
    </w:p>
    <w:p w:rsidR="00A31137" w:rsidRPr="00A31137" w:rsidRDefault="00A31137" w:rsidP="00A31137">
      <w:r w:rsidRPr="00A31137">
        <w:t>(b) The ordinance discriminates against interstate commerce, and thus is invalid. See Philadelphia v. New Jersey, 437 U.S. 617,  624. Although the ordinance erects no barrier to the import or export of any [511 U.S. 384] solid waste, the article of commerce here is not so much the waste itself, but rather the service of processing and disposing of it. With respect to this stream of commerce, the ordinance discriminates, for it allows only the favored operator to process waste that is within the town's limits. It is no less discriminatory because in-state or in-town processors are also covered by the prohibition. Cf., e.g., Dean Milk Co. v. Madison, 340 U.S. 349. Favoring a single local proprietor makes the ordinance's protectionist effect even more acute, for it squelches competition in the waste-processing service altogether, leaving no room for outside investment. Pp.  389-392.</w:t>
      </w:r>
    </w:p>
    <w:p w:rsidR="00A31137" w:rsidRPr="00A31137" w:rsidRDefault="00A31137" w:rsidP="00A31137">
      <w:r w:rsidRPr="00A31137">
        <w:t>1994, C &amp; A Carbone, Inc. v. Town of Clarkstown, 511 U.S. 384</w:t>
      </w:r>
    </w:p>
    <w:p w:rsidR="00A31137" w:rsidRPr="00A31137" w:rsidRDefault="00A31137" w:rsidP="00A31137">
      <w:r w:rsidRPr="00A31137">
        <w:t>(c) The town does not lack other means to advance a legitimate local interest. It could address alleged health and safety problems through nondiscriminatory alternatives, such as uniform safety regulations that would ensure that competitors do not underprice the market by cutting corners on environmental safety. Justifying the ordinance as a way to steer solid waste away from out-of-town disposal sites that the town might deem harmful to the environment would extend its police power beyond its jurisdictional boundaries. Moreover, the ordinance's revenue generating purpose by itself is not a local interest that can justify discrimination against interstate commerce. If special financing is needed to ensure the transfer station's long-term survival, the town may subsidize the facility through general taxes or municipal bonds, but it may not employ discriminatory regulation to give the project an advantage over rival out-of-state businesses. Pp.  392-395.</w:t>
      </w:r>
    </w:p>
    <w:p w:rsidR="00A31137" w:rsidRPr="00A31137" w:rsidRDefault="00A31137" w:rsidP="00A31137">
      <w:r w:rsidRPr="00A31137">
        <w:t>1994, C &amp; A Carbone, Inc. v. Town of Clarkstown, 511 U.S. 384</w:t>
      </w:r>
    </w:p>
    <w:p w:rsidR="00A31137" w:rsidRPr="00A31137" w:rsidRDefault="00A31137" w:rsidP="00A31137">
      <w:r w:rsidRPr="00A31137">
        <w:t>182 App. Div. 2d 213, 587 N.Y.S. 2d 681, reversed and remanded.</w:t>
      </w:r>
    </w:p>
    <w:p w:rsidR="00A31137" w:rsidRPr="00A31137" w:rsidRDefault="00A31137" w:rsidP="00A31137">
      <w:r w:rsidRPr="00A31137">
        <w:t>1994, C &amp; A Carbone, Inc. v. Town of Clarkstown, 511 U.S. 384</w:t>
      </w:r>
    </w:p>
    <w:p w:rsidR="00A31137" w:rsidRPr="00A31137" w:rsidRDefault="00A31137" w:rsidP="00A31137">
      <w:r w:rsidRPr="00A31137">
        <w:t xml:space="preserve">KENNEDY, J., delivered the opinion of the Court, in which STEVENS, SCALIA, THOMAS, and GINSBURG, JJ., joined. O'CONNOR, J., filed an opinion concurring in the judgment, post, p.  401. SOUTER, J., filed a dissenting opinion, in which REHNQUIST, C.J., and BLACKMUN, J., joined, post, p.  410. [511 U.S. 385] </w:t>
      </w:r>
    </w:p>
    <w:p w:rsidR="00A31137" w:rsidRPr="00A31137" w:rsidRDefault="00A31137" w:rsidP="00A31137">
      <w:r w:rsidRPr="00A31137">
        <w:t>KENNEDY, J., lead opinion</w:t>
      </w:r>
    </w:p>
    <w:p w:rsidR="00A31137" w:rsidRPr="00A31137" w:rsidRDefault="00A31137" w:rsidP="00A31137">
      <w:r w:rsidRPr="00A31137">
        <w:t>1994, C &amp; A Carbone, Inc. v. Town of Clarkstown, 511 U.S. 385</w:t>
      </w:r>
    </w:p>
    <w:p w:rsidR="00A31137" w:rsidRPr="00A31137" w:rsidRDefault="00A31137" w:rsidP="00A31137">
      <w:r w:rsidRPr="00A31137">
        <w:t>JUSTICE KENNEDY delivered the opinion of the Court.</w:t>
      </w:r>
    </w:p>
    <w:p w:rsidR="00A31137" w:rsidRPr="00A31137" w:rsidRDefault="00A31137" w:rsidP="00A31137">
      <w:r w:rsidRPr="00A31137">
        <w:t>1994, C &amp; A Carbone, Inc. v. Town of Clarkstown, 511 U.S. 385</w:t>
      </w:r>
    </w:p>
    <w:p w:rsidR="00A31137" w:rsidRPr="00A31137" w:rsidRDefault="00A31137" w:rsidP="00A31137">
      <w:r w:rsidRPr="00A31137">
        <w:t>As solid waste output continues apace and landfill capacity becomes more costly and scarce, state and local governments [511 U.S. 386] are expending significant resources to develop trash control systems that are efficient, lawful, and protective of the environment. The difficulty of their task is evident from the number of recent cases that we have heard involving waste transfer and treatment. See Philadelphia v. New Jersey, 437 U.S. 617 (1978); Chemical Waste Management, Inc. v. Hunt, 504 U.S. 334 (1992); Fort Gratiot Sanitary Landfill, Inc. v. Michigan Dept. of Natural Resources, 504 U.S. 353 (1992); Oregon Waste Systems, Inc. v. Department of Environmental Quality of Oregon, ante, p.  93. The case decided today, while perhaps a small new chapter in that course of decisions, rests nevertheless upon well-settled principles of our Commerce Clause jurisprudence.</w:t>
      </w:r>
    </w:p>
    <w:p w:rsidR="00A31137" w:rsidRPr="00A31137" w:rsidRDefault="00A31137" w:rsidP="00A31137">
      <w:r w:rsidRPr="00A31137">
        <w:t>1994, C &amp; A Carbone, Inc. v. Town of Clarkstown, 511 U.S. 386</w:t>
      </w:r>
    </w:p>
    <w:p w:rsidR="00A31137" w:rsidRPr="00A31137" w:rsidRDefault="00A31137" w:rsidP="00A31137">
      <w:r w:rsidRPr="00A31137">
        <w:t>We consider a so-called flow control ordinance, which requires all solid waste to be processed at a designated transfer station before leaving the municipality. The avowed purpose of the ordinance is to retain the processing fees charged at the transfer station to amortize the cost of the facility. Because it attains this goal by depriving competitors, including out-of-state firms, of access to a local market, we hold that the flow control ordinance violates the Commerce Clause.</w:t>
      </w:r>
    </w:p>
    <w:p w:rsidR="00A31137" w:rsidRPr="00A31137" w:rsidRDefault="00A31137" w:rsidP="00A31137">
      <w:r w:rsidRPr="00A31137">
        <w:t>1994, C &amp; A Carbone, Inc. v. Town of Clarkstown, 511 U.S. 386</w:t>
      </w:r>
    </w:p>
    <w:p w:rsidR="00A31137" w:rsidRPr="00A31137" w:rsidRDefault="00A31137" w:rsidP="00A31137">
      <w:r w:rsidRPr="00A31137">
        <w:t>The town of Clarkstown, New York, lies in the lower Hudson River valley, just upstream from the Tappan Zee Bridge and by highway minutes from New Jersey. Within the town limits are the village of Nyack and the hamlet of West Nyack. In August, 1989, Clarkstown entered into a consent decree [511 U.S. 387] with the New York State Department of Environmental Conservation. The town agreed to close its landfill located on Route 303 in West Nyack and build a new solid waste transfer station on the same site. The station would receive bulk solid waste and separate recyclable from nonrecyclable items. Recyclable waste would be baled for shipment to a recycling facility; nonrecyclable waste, to a suitable landfill or incinerator.</w:t>
      </w:r>
    </w:p>
    <w:p w:rsidR="00A31137" w:rsidRPr="00A31137" w:rsidRDefault="00A31137" w:rsidP="00A31137">
      <w:r w:rsidRPr="00A31137">
        <w:t>1994, C &amp; A Carbone, Inc. v. Town of Clarkstown, 511 U.S. 387</w:t>
      </w:r>
    </w:p>
    <w:p w:rsidR="00A31137" w:rsidRPr="00A31137" w:rsidRDefault="00A31137" w:rsidP="00A31137">
      <w:r w:rsidRPr="00A31137">
        <w:t>The cost of building the transfer station was estimated at $1.4 million. A local private contractor agreed to construct the facility and operate it for five years, after which the town would buy it for one dollar. During those five years, the town guaranteed a minimum waste flow of 120,000 tons per year, for which the contractor could charge the hauler a so-called tipping fee of $81 per ton. If the station received less than 120,000 tons in a year, the town promised to make up the tipping fee deficit. The object of this arrangement was to amortize the cost of the transfer station:   the town would finance its new facility with the income generated by the tipping fees.</w:t>
      </w:r>
    </w:p>
    <w:p w:rsidR="00A31137" w:rsidRPr="00A31137" w:rsidRDefault="00A31137" w:rsidP="00A31137">
      <w:r w:rsidRPr="00A31137">
        <w:t>1994, C &amp; A Carbone, Inc. v. Town of Clarkstown, 511 U.S. 387</w:t>
      </w:r>
    </w:p>
    <w:p w:rsidR="00A31137" w:rsidRPr="00A31137" w:rsidRDefault="00A31137" w:rsidP="00A31137">
      <w:r w:rsidRPr="00A31137">
        <w:t>The problem, of course, was how to meet the yearly guarantee. This difficulty was compounded by the fact that the tipping fee of $81 per ton exceeded the disposal cost of unsorted solid waste on the private market. The solution the town adopted was the flow control ordinance here in question, Local Laws 1990, No. 9 of the Town of Clarkstown (full text in Appendix). The ordinance requires all nonhazardous solid waste within the town to be deposited at the Route 303 transfer station. Id., § 3.C (waste generated within the town), § 5.A (waste generated outside and brought in). Noncompliance is punishable by as much as a $1,000 fine and up to 15 days in jail. § 7.</w:t>
      </w:r>
    </w:p>
    <w:p w:rsidR="00A31137" w:rsidRPr="00A31137" w:rsidRDefault="00A31137" w:rsidP="00A31137">
      <w:r w:rsidRPr="00A31137">
        <w:t>1994, C &amp; A Carbone, Inc. v. Town of Clarkstown, 511 U.S. 387</w:t>
      </w:r>
    </w:p>
    <w:p w:rsidR="00A31137" w:rsidRPr="00A31137" w:rsidRDefault="00A31137" w:rsidP="00A31137">
      <w:r w:rsidRPr="00A31137">
        <w:t>The petitioners in this case are C &amp; A Carbone, Inc., a company engaged in the processing of solid waste, and various related companies or persons, all of whom we designate Carbone. Carbone operates a recycling center in Clarkstown, [511 U.S. 388] where it receives bulk solid waste, sorts and bales it, and then ships it to other processing facilities—much as occurs at the town's new transfer station. While the flow control ordinance permits recyclers like Carbone to continue receiving solid waste, § 3.C, it requires them to bring the nonrecyclable residue from that waste to the Route 303 station. It thus forbids Carbone to ship the nonrecyclable waste itself, and it requires Carbone to pay a tipping fee on trash that Carbone has already sorted.</w:t>
      </w:r>
    </w:p>
    <w:p w:rsidR="00A31137" w:rsidRPr="00A31137" w:rsidRDefault="00A31137" w:rsidP="00A31137">
      <w:r w:rsidRPr="00A31137">
        <w:t>1994, C &amp; A Carbone, Inc. v. Town of Clarkstown, 511 U.S. 388</w:t>
      </w:r>
    </w:p>
    <w:p w:rsidR="00A31137" w:rsidRPr="00A31137" w:rsidRDefault="00A31137" w:rsidP="00A31137">
      <w:r w:rsidRPr="00A31137">
        <w:t>In March, 1991, a tractor-trailer containing 23 bales of solid waste struck an overpass on the Palisades Interstate Parkway. When the police investigated the accident, they discovered the truck was carrying household waste from Carbone's Clarkstown plant to an Indiana landfill. The Clarkstown police put Carbone's plant under surveillance, and in the next few days seized six more tractor-trailers leaving the facility. The trucks also contained nonrecyclable waste, originating both within and without the town, and destined for disposal sites in Illinois, Indiana, West Virginia, and Florida.</w:t>
      </w:r>
    </w:p>
    <w:p w:rsidR="00A31137" w:rsidRPr="00A31137" w:rsidRDefault="00A31137" w:rsidP="00A31137">
      <w:r w:rsidRPr="00A31137">
        <w:t>1994, C &amp; A Carbone, Inc. v. Town of Clarkstown, 511 U.S. 388</w:t>
      </w:r>
    </w:p>
    <w:p w:rsidR="00A31137" w:rsidRPr="00A31137" w:rsidRDefault="00A31137" w:rsidP="00A31137">
      <w:r w:rsidRPr="00A31137">
        <w:t>The town of Clarkstown sued petitioners in New York Supreme Court, Rockland County, seeking an injunction requiring Carbone to ship all nonrecyclable waste to the Route 303 transfer station. Petitioners responded by suing in United States District Court to enjoin the flow control ordinance. On July 11, the federal court granted Carbone's injunction, finding a sufficient likelihood that the [511 U.S. 389] ordinance violated the Commerce Clause of the United States Constitution. C. A. Carbone, Inc. v. Clarkstown, 770 F.Supp. 848 (SDNY 1991).</w:t>
      </w:r>
    </w:p>
    <w:p w:rsidR="00A31137" w:rsidRPr="00A31137" w:rsidRDefault="00A31137" w:rsidP="00A31137">
      <w:r w:rsidRPr="00A31137">
        <w:t>1994, C &amp; A Carbone, Inc. v. Town of Clarkstown, 511 U.S. 389</w:t>
      </w:r>
    </w:p>
    <w:p w:rsidR="00A31137" w:rsidRPr="00A31137" w:rsidRDefault="00A31137" w:rsidP="00A31137">
      <w:r w:rsidRPr="00A31137">
        <w:t>Four days later, the New York court granted summary judgment to respondent. The court declared the flow control ordinance constitutional and enjoined petitioners to comply with it. The federal court then dissolved its injunction.</w:t>
      </w:r>
    </w:p>
    <w:p w:rsidR="00A31137" w:rsidRPr="00A31137" w:rsidRDefault="00A31137" w:rsidP="00A31137">
      <w:r w:rsidRPr="00A31137">
        <w:t>1994, C &amp; A Carbone, Inc. v. Town of Clarkstown, 511 U.S. 389</w:t>
      </w:r>
    </w:p>
    <w:p w:rsidR="00A31137" w:rsidRPr="00A31137" w:rsidRDefault="00A31137" w:rsidP="00A31137">
      <w:r w:rsidRPr="00A31137">
        <w:t>The Appellate Division affirmed. 182 App.Div.2d 213, 587 N.Y.S. 2d 681 (2d Dept. 1992). The court found that the ordinance did not discriminate against interstate commerce, because it "applies evenhandedly to all solid waste processed within the Town, regardless of point of origin." Id. at 686. The New York Court of Appeals denied petitioners' motion for leave to appeal. 80 N.Y.2d 760, 605 N. E. 2d 874 (1992). We granted certiorari, 508 U.S. 938 (1993), and now reverse.</w:t>
      </w:r>
    </w:p>
    <w:p w:rsidR="00A31137" w:rsidRPr="00A31137" w:rsidRDefault="00A31137" w:rsidP="00A31137">
      <w:r w:rsidRPr="00A31137">
        <w:t>1994, C &amp; A Carbone, Inc. v. Town of Clarkstown, 511 U.S. 389</w:t>
      </w:r>
    </w:p>
    <w:p w:rsidR="00A31137" w:rsidRPr="00A31137" w:rsidRDefault="00A31137" w:rsidP="00A31137">
      <w:r w:rsidRPr="00A31137">
        <w:t>At the outset, we confirm that the flow control ordinance does regulate interstate commerce, despite the town's position to the contrary. The town says that its ordinance reaches only waste within its jurisdiction, and is, in practical effect, a quarantine: it prevents garbage from entering the stream of interstate commerce until it is made safe. This reasoning is premised, however, on an outdated and mistaken concept of what constitutes interstate commerce.</w:t>
      </w:r>
    </w:p>
    <w:p w:rsidR="00A31137" w:rsidRPr="00A31137" w:rsidRDefault="00A31137" w:rsidP="00A31137">
      <w:r w:rsidRPr="00A31137">
        <w:t>1994, C &amp; A Carbone, Inc. v. Town of Clarkstown, 511 U.S. 389</w:t>
      </w:r>
    </w:p>
    <w:p w:rsidR="00A31137" w:rsidRPr="00A31137" w:rsidRDefault="00A31137" w:rsidP="00A31137">
      <w:r w:rsidRPr="00A31137">
        <w:t>While the immediate effect of the ordinance is to direct local transport of solid waste to a designated site within the local jurisdiction, its economic effects are interstate in reach. The Carbone facility in Clarkstown receives and processes waste from places other than Clarkstown, including from out of State. By requiring Carbone to send the nonrecyclable portion of this waste to the Route 303 transfer station at an additional cost, the flow control ordinance drives up the cost for out-of-state interests to dispose of their solid waste. Furthermore, even as to waste originant in Clarkstown, the ordinance prevents everyone except the favored local operator from performing the initial processing step. The ordinance thus deprives out-of-state businesses of access to a local market. These economic effects are more than enough to bring the Clarkstown ordinance within the purview of the Commerce Clause. It is well settled that actions are within the domain of the Commerce Clause if they burden interstate commerce or impede its free flow. NLRB v. Jones &amp; Laughlin Steel Corp., 301 U.S. 1,  31 (1937).</w:t>
      </w:r>
    </w:p>
    <w:p w:rsidR="00A31137" w:rsidRPr="00A31137" w:rsidRDefault="00A31137" w:rsidP="00A31137">
      <w:r w:rsidRPr="00A31137">
        <w:t>1994, C &amp; A Carbone, Inc. v. Town of Clarkstown, 511 U.S. 389</w:t>
      </w:r>
    </w:p>
    <w:p w:rsidR="00A31137" w:rsidRPr="00A31137" w:rsidRDefault="00A31137" w:rsidP="00A31137">
      <w:r w:rsidRPr="00A31137">
        <w:t>The real question is whether the flow control ordinance is valid despite its undoubted effect on interstate commerce. [511 U.S. 390] For this inquiry, our case law yields two lines of analysis: first, whether the ordinance discriminates against interstate commerce, Philadelphia, 437 U.S. at  624; and second, whether the ordinance imposes a burden on interstate commerce that is "clearly excessive in relation to the putative local benefits," Pike v. Bruce Church, Inc., 397 U.S. 137, 142 (1970). As we find that the ordinance discriminates against interstate commerce, we need not resort to the Pike test.</w:t>
      </w:r>
    </w:p>
    <w:p w:rsidR="00A31137" w:rsidRPr="00A31137" w:rsidRDefault="00A31137" w:rsidP="00A31137">
      <w:r w:rsidRPr="00A31137">
        <w:t>1994, C &amp; A Carbone, Inc. v. Town of Clarkstown, 511 U.S. 390</w:t>
      </w:r>
    </w:p>
    <w:p w:rsidR="00A31137" w:rsidRPr="00A31137" w:rsidRDefault="00A31137" w:rsidP="00A31137">
      <w:r w:rsidRPr="00A31137">
        <w:t>The central rationale for the rule against discrimination is to prohibit state or municipal laws whose object is local economic protectionism, laws that would excite those jealousies and retaliatory measures the Constitution was designed to prevent. See The Federalist No. 22, pp. 143-145 (C. Rossiter ed. 1961) (A. Hamilton); Madison, Vices of the Political System of the United States, in 2 Writings of James Madison 362-363 (G. Hunt ed. 1901). We have interpreted the Commerce Clause to invalidate local laws that impose commercial barriers or discriminate against an article of commerce by reason of its origin or destination out of State. See, e.g., Philadelphia, supra (striking down New Jersey statute that prohibited the import of solid waste); Hughes v. Oklahoma, 441 U.S. 322 (1979) (striking down Oklahoma law that prohibited the export of natural minnows).</w:t>
      </w:r>
    </w:p>
    <w:p w:rsidR="00A31137" w:rsidRPr="00A31137" w:rsidRDefault="00A31137" w:rsidP="00A31137">
      <w:r w:rsidRPr="00A31137">
        <w:t>1994, C &amp; A Carbone, Inc. v. Town of Clarkstown, 511 U.S. 390</w:t>
      </w:r>
    </w:p>
    <w:p w:rsidR="00A31137" w:rsidRPr="00A31137" w:rsidRDefault="00A31137" w:rsidP="00A31137">
      <w:r w:rsidRPr="00A31137">
        <w:t>Clarkstown protests that its ordinance does not discriminate, because it does not differentiate solid waste on the basis of its geographic origin. All solid waste, regardless of origin, must be processed at the designated transfer station before it leaves the town. Unlike the statute in Philadelphia, says the town, the ordinance erects no barrier to the import or export of any solid waste, but requires only that the waste be channeled through the designated facility.</w:t>
      </w:r>
    </w:p>
    <w:p w:rsidR="00A31137" w:rsidRPr="00A31137" w:rsidRDefault="00A31137" w:rsidP="00A31137">
      <w:r w:rsidRPr="00A31137">
        <w:t>1994, C &amp; A Carbone, Inc. v. Town of Clarkstown, 511 U.S. 390</w:t>
      </w:r>
    </w:p>
    <w:p w:rsidR="00A31137" w:rsidRPr="00A31137" w:rsidRDefault="00A31137" w:rsidP="00A31137">
      <w:r w:rsidRPr="00A31137">
        <w:t>Our initial discussion of the effects of the ordinance on interstate commerce goes far toward refuting the town's contention that there is no discrimination in its regulatory scheme. The town's own arguments go the rest of the way. As the town itself points out, what makes garbage a profitable [511 U.S. 391] business is not its own worth but the fact that its possessor must pay to get rid of it. In other words, the article of commerce is not so much the solid waste itself, but rather the service of processing and disposing of it.</w:t>
      </w:r>
    </w:p>
    <w:p w:rsidR="00A31137" w:rsidRPr="00A31137" w:rsidRDefault="00A31137" w:rsidP="00A31137">
      <w:r w:rsidRPr="00A31137">
        <w:t>1994, C &amp; A Carbone, Inc. v. Town of Clarkstown, 511 U.S. 391</w:t>
      </w:r>
    </w:p>
    <w:p w:rsidR="00A31137" w:rsidRPr="00A31137" w:rsidRDefault="00A31137" w:rsidP="00A31137">
      <w:r w:rsidRPr="00A31137">
        <w:t>With respect to this stream of commerce, the flow control ordinance discriminates, for it allows only the favored operator to process waste that is within the limits of the town. The ordinance is no less discriminatory because in-state or in-town processors are also covered by the prohibition. In Dean Milk Co. v. Madison, 340 U.S. 349 (1951), we struck down a city ordinance that required all milk sold in the city to be pasteurized within five miles of the city lines. We found it "immaterial that Wisconsin milk from outside the Madison area is subjected to the same proscription as that moving in interstate commerce." Id. at  354, n. 4. Accord, Fort Gratiot Sanitary Landfill, Inc. v. Michigan Dept. of Natural Resources, 504 U.S. at  361 ("[O]ur prior cases teach that a State (or one of its political subdivisions) may not avoid the strictures of the Commerce Clause by curtailing the movement of articles of commerce through subdivisions of the State, rather than through the State itself").</w:t>
      </w:r>
    </w:p>
    <w:p w:rsidR="00A31137" w:rsidRPr="00A31137" w:rsidRDefault="00A31137" w:rsidP="00A31137">
      <w:r w:rsidRPr="00A31137">
        <w:t>1994, C &amp; A Carbone, Inc. v. Town of Clarkstown, 511 U.S. 391</w:t>
      </w:r>
    </w:p>
    <w:p w:rsidR="00A31137" w:rsidRPr="00A31137" w:rsidRDefault="00A31137" w:rsidP="00A31137">
      <w:r w:rsidRPr="00A31137">
        <w:t>In this light, the flow control ordinance is just one more instance of local processing requirements that we long have held invalid. See Minnesota v. Barber, 136 U.S. 313 (1890) (striking down a Minnesota statute that required any meat sold within the state, whether originating within or without the State, to be examined by an inspector within the State); Foster-Fountain Packing Co. v. Haydel, 278 U.S. 1 (1928) (striking down a Louisiana statute that forbade shrimp to be exported unless the heads and hulls had first been removed within the State); Johnson v. Haydel, 278 U.S. 16 (1928) (striking down analogous Louisiana statute for oysters); Toomer v. Witsell, 334 U.S. 385 (1948) (striking down South Carolina statute that required shrimp fishermen to unload, pack, and stamp their catch before shipping it to another State); Pike v. Bruce Church, Inc., 397 U.S. 137 (1970) (striking down [511 U.S. 392] Arizona statute that required all Arizona-grown cantaloupes to be packaged within the State prior to export); South-Central Timber Development, Inc. v. Wunnicke, 467 U.S. 82 (1984) (striking down an Alaska regulation that required all Alaska timber to be processed within the State prior to export). The essential vice in laws of this sort is that they bar the import of the processing service. Out-of-state meat inspectors, or shrimp hullers, or milk pasteurizers, are deprived of access to local demand for their services. Put another way, the offending local laws hoard a local resource—be it meat, shrimp, or milk—for the benefit of local businesses that treat it.</w:t>
      </w:r>
    </w:p>
    <w:p w:rsidR="00A31137" w:rsidRPr="00A31137" w:rsidRDefault="00A31137" w:rsidP="00A31137">
      <w:r w:rsidRPr="00A31137">
        <w:t>1994, C &amp; A Carbone, Inc. v. Town of Clarkstown, 511 U.S. 392</w:t>
      </w:r>
    </w:p>
    <w:p w:rsidR="00A31137" w:rsidRPr="00A31137" w:rsidRDefault="00A31137" w:rsidP="00A31137">
      <w:r w:rsidRPr="00A31137">
        <w:t>The flow control ordinance has the same design and effect. It hoards solid waste, and the demand to get rid of it, for the benefit of the preferred processing facility. The only conceivable distinction from the cases cited above is that the flow control ordinance favors a single local proprietor. But this difference just makes the protectionist effect of the ordinance more acute. In Dean Milk, the local processing requirement at least permitted pasteurizers within five miles of the city to compete. An out-of-state pasteurizer who wanted access to that market might have built a pasteurizing facility within the radius. The flow control ordinance at issue here squelches competition in the waste-processing service altogether, leaving no room for investment from outside.</w:t>
      </w:r>
    </w:p>
    <w:p w:rsidR="00A31137" w:rsidRPr="00A31137" w:rsidRDefault="00A31137" w:rsidP="00A31137">
      <w:r w:rsidRPr="00A31137">
        <w:t>1994, C &amp; A Carbone, Inc. v. Town of Clarkstown, 511 U.S. 392</w:t>
      </w:r>
    </w:p>
    <w:p w:rsidR="00A31137" w:rsidRPr="00A31137" w:rsidRDefault="00A31137" w:rsidP="00A31137">
      <w:r w:rsidRPr="00A31137">
        <w:t>Discrimination against interstate commerce in favor of local business or investment is per se invalid, save in a narrow class of cases in which the municipality can demonstrate, under rigorous scrutiny, that it has no other means to advance a legitimate local interest. Maine v. Taylor, 477 U.S. 131 (1986) (upholding Maine's ban on the import of baitfish because Maine had no other way to prevent the spread of parasites and the adulteration of its native fish species). A number of amici contend that the flow control ordinance fits into this narrow class. They suggest that as landfill space [511 U.S. 393] diminishes and environmental cleanup costs escalate, measures like flow control become necessary to ensure the safe handling and proper treatment of solid waste.</w:t>
      </w:r>
    </w:p>
    <w:p w:rsidR="00A31137" w:rsidRPr="00A31137" w:rsidRDefault="00A31137" w:rsidP="00A31137">
      <w:r w:rsidRPr="00A31137">
        <w:t>1994, C &amp; A Carbone, Inc. v. Town of Clarkstown, 511 U.S. 393</w:t>
      </w:r>
    </w:p>
    <w:p w:rsidR="00A31137" w:rsidRPr="00A31137" w:rsidRDefault="00A31137" w:rsidP="00A31137">
      <w:r w:rsidRPr="00A31137">
        <w:t>The teaching of our cases is that these arguments must be rejected absent the clearest showing that the unobstructed flow of interstate commerce itself is unable to solve the local problem. The Commerce Clause presumes a national market free from local legislation that discriminates in favor of local interests. Here Clarkstown has any number of nondiscriminatory alternatives for addressing the health and environmental problems alleged to justify the ordinance in question. The most obvious would be uniform safety regulations enacted without the object to discriminate. These regulations would ensure that competitors like Carbone do not underprice the market by cutting corners on environmental safety.</w:t>
      </w:r>
    </w:p>
    <w:p w:rsidR="00A31137" w:rsidRPr="00A31137" w:rsidRDefault="00A31137" w:rsidP="00A31137">
      <w:r w:rsidRPr="00A31137">
        <w:t>1994, C &amp; A Carbone, Inc. v. Town of Clarkstown, 511 U.S. 393</w:t>
      </w:r>
    </w:p>
    <w:p w:rsidR="00A31137" w:rsidRPr="00A31137" w:rsidRDefault="00A31137" w:rsidP="00A31137">
      <w:r w:rsidRPr="00A31137">
        <w:t>Nor may Clarkstown justify the flow control ordinance as a way to steer solid waste away from out-of-town disposal sites that it might deem harmful to the environment. To do so would extend the town's police power beyond its jurisdictional bounds. States and localities may not attach restrictions to exports or imports in order to control commerce in other states. Baldwin v. G.A.F. Seelig, Inc., 294 U.S. 511 (1935) (striking down New York law that prohibited the sale of milk unless the price paid to the original milk producer equalled the minimum required by New York).</w:t>
      </w:r>
    </w:p>
    <w:p w:rsidR="00A31137" w:rsidRPr="00A31137" w:rsidRDefault="00A31137" w:rsidP="00A31137">
      <w:r w:rsidRPr="00A31137">
        <w:t>1994, C &amp; A Carbone, Inc. v. Town of Clarkstown, 511 U.S. 393</w:t>
      </w:r>
    </w:p>
    <w:p w:rsidR="00A31137" w:rsidRPr="00A31137" w:rsidRDefault="00A31137" w:rsidP="00A31137">
      <w:r w:rsidRPr="00A31137">
        <w:t>The flow control ordinance does serve a central purpose that a nonprotectionist regulation would not:   it ensures that the town-sponsored facility will be profitable, so that the local contractor can build it and Clarkstown can buy it back at nominal cost in five years. In other words, as the most candid of amici and even Clarkstown admit, the flow control ordinance is a financing measure. By itself, of course, revenue generation is not a local interest that can justify discrimination against interstate commerce. Otherwise, States could impose discriminatory taxes against solid waste originating [511 U.S. 394] outside the State. See Chemical Waste Management, Inc. v. Hunt, 504 U.S. 334 (1992) (striking down Alabama statute that imposed additional fee on all hazardous waste generated outside the State and disposed of within the State); Oregon Waste Systems, Inc. v. Department of Environmental Quality of Oregon, ante, p.  93. (striking down Oregon statute that imposed additional fee on solid waste generated outside the State and disposed of within the State).</w:t>
      </w:r>
    </w:p>
    <w:p w:rsidR="00A31137" w:rsidRPr="00A31137" w:rsidRDefault="00A31137" w:rsidP="00A31137">
      <w:r w:rsidRPr="00A31137">
        <w:t>1994, C &amp; A Carbone, Inc. v. Town of Clarkstown, 511 U.S. 394</w:t>
      </w:r>
    </w:p>
    <w:p w:rsidR="00A31137" w:rsidRPr="00A31137" w:rsidRDefault="00A31137" w:rsidP="00A31137">
      <w:r w:rsidRPr="00A31137">
        <w:t>Clarkstown maintains that special financing is necessary to ensure the long-term survival of the designated facility. If so, the town may subsidize the facility through general taxes or municipal bonds. New Energy Co. of Indiana v. Limbach, 486 U.S. 269, 278 (1988). But having elected to use the open market to earn revenues for its project, the town may not employ discriminatory regulation to give that project an advantage over rival businesses from out of State.</w:t>
      </w:r>
    </w:p>
    <w:p w:rsidR="00A31137" w:rsidRPr="00A31137" w:rsidRDefault="00A31137" w:rsidP="00A31137">
      <w:r w:rsidRPr="00A31137">
        <w:t>1994, C &amp; A Carbone, Inc. v. Town of Clarkstown, 511 U.S. 394</w:t>
      </w:r>
    </w:p>
    <w:p w:rsidR="00A31137" w:rsidRPr="00A31137" w:rsidRDefault="00A31137" w:rsidP="00A31137">
      <w:r w:rsidRPr="00A31137">
        <w:t>Though the Clarkstown ordinance may not in explicit terms seek to regulate interstate commerce, it does so nonetheless by its practical effect and design. In this respect the ordinance is not far different from the state law this Court found invalid in Buck v. Kuykendall, 267 U.S. 307 (1925). That statute prohibited common carriers from using state highways over certain routes without a certificate of public convenience. Writing for the Court, Justice Brandeis said of the law:</w:t>
      </w:r>
    </w:p>
    <w:p w:rsidR="00A31137" w:rsidRPr="00A31137" w:rsidRDefault="00A31137" w:rsidP="00A31137">
      <w:r w:rsidRPr="00A31137">
        <w:t>1994, C &amp; A Carbone, Inc. v. Town of Clarkstown, 511 U.S. 394</w:t>
      </w:r>
    </w:p>
    <w:p w:rsidR="00A31137" w:rsidRPr="00A31137" w:rsidRDefault="00A31137" w:rsidP="00A31137">
      <w:r w:rsidRPr="00A31137">
        <w:t>Its primary purpose is not regulation with a view to safety or to conservation of the highways, but the prohibition of competition. It determines not the manner of use, but the persons by whom the highways may be used. It prohibits such use to some persons while permitting it to others for the same purpose and in the same manner.</w:t>
      </w:r>
    </w:p>
    <w:p w:rsidR="00A31137" w:rsidRPr="00A31137" w:rsidRDefault="00A31137" w:rsidP="00A31137">
      <w:r w:rsidRPr="00A31137">
        <w:t>1994, C &amp; A Carbone, Inc. v. Town of Clarkstown, 511 U.S. 394</w:t>
      </w:r>
    </w:p>
    <w:p w:rsidR="00A31137" w:rsidRPr="00A31137" w:rsidRDefault="00A31137" w:rsidP="00A31137">
      <w:r w:rsidRPr="00A31137">
        <w:t>Id. at 315-316.</w:t>
      </w:r>
    </w:p>
    <w:p w:rsidR="00A31137" w:rsidRPr="00A31137" w:rsidRDefault="00A31137" w:rsidP="00A31137">
      <w:r w:rsidRPr="00A31137">
        <w:t>1994, C &amp; A Carbone, Inc. v. Town of Clarkstown, 511 U.S. 394</w:t>
      </w:r>
    </w:p>
    <w:p w:rsidR="00A31137" w:rsidRPr="00A31137" w:rsidRDefault="00A31137" w:rsidP="00A31137">
      <w:r w:rsidRPr="00A31137">
        <w:t>State and local governments may not use their regulatory power to favor local enterprise by prohibiting patronage of out-of-state competitors or their facilities. We reverse the [511 U.S. 395] judgment and remand the case for proceedings not inconsistent with this decision.</w:t>
      </w:r>
    </w:p>
    <w:p w:rsidR="00A31137" w:rsidRPr="00A31137" w:rsidRDefault="00A31137" w:rsidP="00A31137">
      <w:r w:rsidRPr="00A31137">
        <w:t>1994, C &amp; A Carbone, Inc. v. Town of Clarkstown, 511 U.S. 395</w:t>
      </w:r>
    </w:p>
    <w:p w:rsidR="00A31137" w:rsidRPr="00A31137" w:rsidRDefault="00A31137" w:rsidP="00A31137">
      <w:r w:rsidRPr="00A31137">
        <w:t>It is so ordered.</w:t>
      </w:r>
    </w:p>
    <w:p w:rsidR="00A31137" w:rsidRPr="00A31137" w:rsidRDefault="00A31137" w:rsidP="00A31137">
      <w:r w:rsidRPr="00A31137">
        <w:t>APPENDIX TO OPINION OF THE COURT</w:t>
      </w:r>
    </w:p>
    <w:p w:rsidR="00A31137" w:rsidRPr="00A31137" w:rsidRDefault="00A31137" w:rsidP="00A31137">
      <w:r w:rsidRPr="00A31137">
        <w:t>Town of Clarkstown</w:t>
      </w:r>
    </w:p>
    <w:p w:rsidR="00A31137" w:rsidRPr="00A31137" w:rsidRDefault="00A31137" w:rsidP="00A31137">
      <w:r w:rsidRPr="00A31137">
        <w:t>Local Law No. 9 of the year 1990</w:t>
      </w:r>
    </w:p>
    <w:p w:rsidR="00A31137" w:rsidRPr="00A31137" w:rsidRDefault="00A31137" w:rsidP="00A31137">
      <w:r w:rsidRPr="00A31137">
        <w:t>1994, C &amp; A Carbone, Inc. v. Town of Clarkstown, 511 U.S. 395</w:t>
      </w:r>
    </w:p>
    <w:p w:rsidR="00A31137" w:rsidRPr="00A31137" w:rsidRDefault="00A31137" w:rsidP="00A31137">
      <w:r w:rsidRPr="00A31137">
        <w:t>A local law entitled, "SOLID WASTE TRANSPORTATION AND DISPOSAL."</w:t>
      </w:r>
    </w:p>
    <w:p w:rsidR="00A31137" w:rsidRPr="00A31137" w:rsidRDefault="00A31137" w:rsidP="00A31137">
      <w:r w:rsidRPr="00A31137">
        <w:t>1994, C &amp; A Carbone, Inc. v. Town of Clarkstown, 511 U.S. 395</w:t>
      </w:r>
    </w:p>
    <w:p w:rsidR="00A31137" w:rsidRPr="00A31137" w:rsidRDefault="00A31137" w:rsidP="00A31137">
      <w:r w:rsidRPr="00A31137">
        <w:t>Be it enacted by the TOWN BOARD of the Town of CLARKSTOWN as follows:</w:t>
      </w:r>
    </w:p>
    <w:p w:rsidR="00A31137" w:rsidRPr="00A31137" w:rsidRDefault="00A31137" w:rsidP="00A31137">
      <w:r w:rsidRPr="00A31137">
        <w:t>1994, C &amp; A Carbone, Inc. v. Town of Clarkstown, 511 U.S. 395</w:t>
      </w:r>
    </w:p>
    <w:p w:rsidR="00A31137" w:rsidRPr="00A31137" w:rsidRDefault="00A31137" w:rsidP="00A31137">
      <w:r w:rsidRPr="00A31137">
        <w:t>Section 1. Definitions</w:t>
      </w:r>
    </w:p>
    <w:p w:rsidR="00A31137" w:rsidRPr="00A31137" w:rsidRDefault="00A31137" w:rsidP="00A31137">
      <w:r w:rsidRPr="00A31137">
        <w:t>1994, C &amp; A Carbone, Inc. v. Town of Clarkstown, 511 U.S. 395</w:t>
      </w:r>
    </w:p>
    <w:p w:rsidR="00A31137" w:rsidRPr="00A31137" w:rsidRDefault="00A31137" w:rsidP="00A31137">
      <w:r w:rsidRPr="00A31137">
        <w:t>Unless otherwise stated expressly, the following words and expressions, where used in this chapter, shall have the meanings ascribed to them by this section:</w:t>
      </w:r>
    </w:p>
    <w:p w:rsidR="00A31137" w:rsidRPr="00A31137" w:rsidRDefault="00A31137" w:rsidP="00A31137">
      <w:r w:rsidRPr="00A31137">
        <w:t>1994, C &amp; A Carbone, Inc. v. Town of Clarkstown, 511 U.S. 395</w:t>
      </w:r>
    </w:p>
    <w:p w:rsidR="00A31137" w:rsidRPr="00A31137" w:rsidRDefault="00A31137" w:rsidP="00A31137">
      <w:r w:rsidRPr="00A31137">
        <w:t>ACCEPTABLE WASTE—All residential, commercial and industrial solid waste as defined in New York State Law, and Regulations, including Construction and Demolition Debris. Acceptable Waste shall not include Hazardous Waste, Pathological Waste or sludge.</w:t>
      </w:r>
    </w:p>
    <w:p w:rsidR="00A31137" w:rsidRPr="00A31137" w:rsidRDefault="00A31137" w:rsidP="00A31137">
      <w:r w:rsidRPr="00A31137">
        <w:t>1994, C &amp; A Carbone, Inc. v. Town of Clarkstown, 511 U.S. 395</w:t>
      </w:r>
    </w:p>
    <w:p w:rsidR="00A31137" w:rsidRPr="00A31137" w:rsidRDefault="00A31137" w:rsidP="00A31137">
      <w:r w:rsidRPr="00A31137">
        <w:t>CONSTRUCTION AND DEMOLITION DEBRIS—Uncontaminated solid waste resulting from the construction, remodeling, repair and demolition of structures and roads; and uncontaminated solid waste consisting of vegetation resulting from land clearing and grubbing, utility line maintenance and seasonal and storm related cleanup. Such waste includes, but is not limited to bricks, concrete and other masonry materials, soil, rock, wood, wall coverings, plaster, drywall, plumbing fixtures, non-asbestos insulation, roofing shingles, asphaltic pavement, electrical wiring and components containing no hazardous liquids, metals, brush grass clippings and leaves that are incidental to any of the above.</w:t>
      </w:r>
    </w:p>
    <w:p w:rsidR="00A31137" w:rsidRPr="00A31137" w:rsidRDefault="00A31137" w:rsidP="00A31137">
      <w:r w:rsidRPr="00A31137">
        <w:t>1994, C &amp; A Carbone, Inc. v. Town of Clarkstown, 511 U.S. 395</w:t>
      </w:r>
    </w:p>
    <w:p w:rsidR="00A31137" w:rsidRPr="00A31137" w:rsidRDefault="00A31137" w:rsidP="00A31137">
      <w:r w:rsidRPr="00A31137">
        <w:t>HAZARDOUS WASTE—All solid waste designated as such under the Environmental Conservation Law, the Comprehensive Environmental Response, Compensation and Liability [511 U.S. 396] Act of 1980, the Resource Conservation and Recovery Act of 1976 or any other applicable law.</w:t>
      </w:r>
    </w:p>
    <w:p w:rsidR="00A31137" w:rsidRPr="00A31137" w:rsidRDefault="00A31137" w:rsidP="00A31137">
      <w:r w:rsidRPr="00A31137">
        <w:t>1994, C &amp; A Carbone, Inc. v. Town of Clarkstown, 511 U.S. 396</w:t>
      </w:r>
    </w:p>
    <w:p w:rsidR="00A31137" w:rsidRPr="00A31137" w:rsidRDefault="00A31137" w:rsidP="00A31137">
      <w:r w:rsidRPr="00A31137">
        <w:t>PATHOLOGICAL WASTE—Waste material which may be considered infectious or biohazardous, originating from hospitals, public or private medical clinics, departments or research laboratories, pharmaceutical industries, blood banks, forensic medical departments, mortuaries, veterinary facilities and other similar facilities and includes equipment, instruments, utensils, fomites, laboratory waste (including pathological specimens and fomites attendant thereto), surgical facilities, equipment, bedding and utensils (including pathological specimens and disposal fomites attendant thereto), sharps (hypodermic needles, syringes, etc.), dialysis unit waste, animal carcasses, offal and body parts, biological materials, (vaccines, medicines, etc.) and other similar materials, but does not include any such waste material which is determined by evidence satisfactory to the Town to have been rendered non-infectious and non-biohazardous.</w:t>
      </w:r>
    </w:p>
    <w:p w:rsidR="00A31137" w:rsidRPr="00A31137" w:rsidRDefault="00A31137" w:rsidP="00A31137">
      <w:r w:rsidRPr="00A31137">
        <w:t>1994, C &amp; A Carbone, Inc. v. Town of Clarkstown, 511 U.S. 396</w:t>
      </w:r>
    </w:p>
    <w:p w:rsidR="00A31137" w:rsidRPr="00A31137" w:rsidRDefault="00A31137" w:rsidP="00A31137">
      <w:r w:rsidRPr="00A31137">
        <w:t>PERSONS—Any individual, partnership, corporation, association, trust, business trust, joint venturer, governmental body or other entity, howsoever constituted.</w:t>
      </w:r>
    </w:p>
    <w:p w:rsidR="00A31137" w:rsidRPr="00A31137" w:rsidRDefault="00A31137" w:rsidP="00A31137">
      <w:r w:rsidRPr="00A31137">
        <w:t>1994, C &amp; A Carbone, Inc. v. Town of Clarkstown, 511 U.S. 396</w:t>
      </w:r>
    </w:p>
    <w:p w:rsidR="00A31137" w:rsidRPr="00A31137" w:rsidRDefault="00A31137" w:rsidP="00A31137">
      <w:r w:rsidRPr="00A31137">
        <w:t>UNACCEPTABLE WASTE—Hazardous Waste, Pathological Waste and sludge.</w:t>
      </w:r>
    </w:p>
    <w:p w:rsidR="00A31137" w:rsidRPr="00A31137" w:rsidRDefault="00A31137" w:rsidP="00A31137">
      <w:r w:rsidRPr="00A31137">
        <w:t>1994, C &amp; A Carbone, Inc. v. Town of Clarkstown, 511 U.S. 396</w:t>
      </w:r>
    </w:p>
    <w:p w:rsidR="00A31137" w:rsidRPr="00A31137" w:rsidRDefault="00A31137" w:rsidP="00A31137">
      <w:r w:rsidRPr="00A31137">
        <w:t>SLUDGE—Solid, semi-solid or liquid waste generated from a sewage treatment plant, wastewater treatment plant, water supply treatment plant, or air pollution control facility.</w:t>
      </w:r>
    </w:p>
    <w:p w:rsidR="00A31137" w:rsidRPr="00A31137" w:rsidRDefault="00A31137" w:rsidP="00A31137">
      <w:r w:rsidRPr="00A31137">
        <w:t>1994, C &amp; A Carbone, Inc. v. Town of Clarkstown, 511 U.S. 396</w:t>
      </w:r>
    </w:p>
    <w:p w:rsidR="00A31137" w:rsidRPr="00A31137" w:rsidRDefault="00A31137" w:rsidP="00A31137">
      <w:r w:rsidRPr="00A31137">
        <w:t>TOWN—When used herein, refers to the Town of Clarkstown.</w:t>
      </w:r>
    </w:p>
    <w:p w:rsidR="00A31137" w:rsidRPr="00A31137" w:rsidRDefault="00A31137" w:rsidP="00A31137">
      <w:r w:rsidRPr="00A31137">
        <w:t>1994, C &amp; A Carbone, Inc. v. Town of Clarkstown, 511 U.S. 396</w:t>
      </w:r>
    </w:p>
    <w:p w:rsidR="00A31137" w:rsidRPr="00A31137" w:rsidRDefault="00A31137" w:rsidP="00A31137">
      <w:r w:rsidRPr="00A31137">
        <w:t>Section 2. General Provisions</w:t>
      </w:r>
    </w:p>
    <w:p w:rsidR="00A31137" w:rsidRPr="00A31137" w:rsidRDefault="00A31137" w:rsidP="00A31137">
      <w:r w:rsidRPr="00A31137">
        <w:t>1994, C &amp; A Carbone, Inc. v. Town of Clarkstown, 511 U.S. 396</w:t>
      </w:r>
    </w:p>
    <w:p w:rsidR="00A31137" w:rsidRPr="00A31137" w:rsidRDefault="00A31137" w:rsidP="00A31137">
      <w:r w:rsidRPr="00A31137">
        <w:t>A. Intent; Purpose.</w:t>
      </w:r>
    </w:p>
    <w:p w:rsidR="00A31137" w:rsidRPr="00A31137" w:rsidRDefault="00A31137" w:rsidP="00A31137">
      <w:r w:rsidRPr="00A31137">
        <w:t>1994, C &amp; A Carbone, Inc. v. Town of Clarkstown, 511 U.S. 396</w:t>
      </w:r>
    </w:p>
    <w:p w:rsidR="00A31137" w:rsidRPr="00A31137" w:rsidRDefault="00A31137" w:rsidP="00A31137">
      <w:r w:rsidRPr="00A31137">
        <w:t>I. The intent and purpose of this chapter is to provide for the transportation and disposition of all solid waste within or generated within the Town of Clarkstown so that all acceptable solid waste generated within the Town is delivered to the Town of Clarkstown solid waste facility situate at Route 303, West Nyack, New York and such other sites, [511 U.S. 397] situate in the Town, as may be approved by the Town for recycling, processing or for other disposition or handling of acceptable solid waste.</w:t>
      </w:r>
    </w:p>
    <w:p w:rsidR="00A31137" w:rsidRPr="00A31137" w:rsidRDefault="00A31137" w:rsidP="00A31137">
      <w:r w:rsidRPr="00A31137">
        <w:t>1994, C &amp; A Carbone, Inc. v. Town of Clarkstown, 511 U.S. 397</w:t>
      </w:r>
    </w:p>
    <w:p w:rsidR="00A31137" w:rsidRPr="00A31137" w:rsidRDefault="00A31137" w:rsidP="00A31137">
      <w:r w:rsidRPr="00A31137">
        <w:t>II. The powers and duties enumerated in this law constitute proper town purposes intended to benefit the health, welfare and safety of Town residents. Additionally, it is hereby found that, in the exercise of control over the collection, transportation and disposal of solid waste, the Town is exercising essential and proper governmental functions.</w:t>
      </w:r>
    </w:p>
    <w:p w:rsidR="00A31137" w:rsidRPr="00A31137" w:rsidRDefault="00A31137" w:rsidP="00A31137">
      <w:r w:rsidRPr="00A31137">
        <w:t>1994, C &amp; A Carbone, Inc. v. Town of Clarkstown, 511 U.S. 397</w:t>
      </w:r>
    </w:p>
    <w:p w:rsidR="00A31137" w:rsidRPr="00A31137" w:rsidRDefault="00A31137" w:rsidP="00A31137">
      <w:r w:rsidRPr="00A31137">
        <w:t>B. Supervision and Regulation.</w:t>
      </w:r>
    </w:p>
    <w:p w:rsidR="00A31137" w:rsidRPr="00A31137" w:rsidRDefault="00A31137" w:rsidP="00A31137">
      <w:r w:rsidRPr="00A31137">
        <w:t>1994, C &amp; A Carbone, Inc. v. Town of Clarkstown, 511 U.S. 397</w:t>
      </w:r>
    </w:p>
    <w:p w:rsidR="00A31137" w:rsidRPr="00A31137" w:rsidRDefault="00A31137" w:rsidP="00A31137">
      <w:r w:rsidRPr="00A31137">
        <w:t>The Town Board hereby designates the Director of the Department of Environmental Control to be responsible for the supervision and regulation of the transportation and disposition of all acceptable waste generated within the Town of Clarkstown. The Director of the Department of Environmental Control shall be responsible for and shall supervise the Town's activities in connection with any waste collection and disposal agreements entered into between the Town and third parties and shall report to the Town Board with respect thereto.</w:t>
      </w:r>
    </w:p>
    <w:p w:rsidR="00A31137" w:rsidRPr="00A31137" w:rsidRDefault="00A31137" w:rsidP="00A31137">
      <w:r w:rsidRPr="00A31137">
        <w:t>1994, C &amp; A Carbone, Inc. v. Town of Clarkstown, 511 U.S. 397</w:t>
      </w:r>
    </w:p>
    <w:p w:rsidR="00A31137" w:rsidRPr="00A31137" w:rsidRDefault="00A31137" w:rsidP="00A31137">
      <w:r w:rsidRPr="00A31137">
        <w:t>C. Power to Adopt Rules and Regulations.</w:t>
      </w:r>
    </w:p>
    <w:p w:rsidR="00A31137" w:rsidRPr="00A31137" w:rsidRDefault="00A31137" w:rsidP="00A31137">
      <w:r w:rsidRPr="00A31137">
        <w:t>1994, C &amp; A Carbone, Inc. v. Town of Clarkstown, 511 U.S. 397</w:t>
      </w:r>
    </w:p>
    <w:p w:rsidR="00A31137" w:rsidRPr="00A31137" w:rsidRDefault="00A31137" w:rsidP="00A31137">
      <w:r w:rsidRPr="00A31137">
        <w:t>The Town Board may, after a public hearing, adopt such rules and regulations as may be necessary to effectuate the purposes of this chapter. At least seven (7) business days' prior notice of such public hearing shall be published in the official newspaper of the Town. A copy of all rules and regulations promulgated hereunder and any amendments thereto shall be filed in the office of the Town Clerk upon adoption and shall be effective as provided therein.</w:t>
      </w:r>
    </w:p>
    <w:p w:rsidR="00A31137" w:rsidRPr="00A31137" w:rsidRDefault="00A31137" w:rsidP="00A31137">
      <w:r w:rsidRPr="00A31137">
        <w:t>1994, C &amp; A Carbone, Inc. v. Town of Clarkstown, 511 U.S. 397</w:t>
      </w:r>
    </w:p>
    <w:p w:rsidR="00A31137" w:rsidRPr="00A31137" w:rsidRDefault="00A31137" w:rsidP="00A31137">
      <w:r w:rsidRPr="00A31137">
        <w:t>Section 3. Collection and Disposal of Acceptable Waste.</w:t>
      </w:r>
    </w:p>
    <w:p w:rsidR="00A31137" w:rsidRPr="00A31137" w:rsidRDefault="00A31137" w:rsidP="00A31137">
      <w:r w:rsidRPr="00A31137">
        <w:t>1994, C &amp; A Carbone, Inc. v. Town of Clarkstown, 511 U.S. 397</w:t>
      </w:r>
    </w:p>
    <w:p w:rsidR="00A31137" w:rsidRPr="00A31137" w:rsidRDefault="00A31137" w:rsidP="00A31137">
      <w:r w:rsidRPr="00A31137">
        <w:t>A. The removal, transportation and/or disposal of acceptable waste within or generated within the Town of Clarkstown shall be exclusively disposed of, controlled and regulated by the Town under this chapter and Chapter 50 and Chapter 82 of the Clarkstown Town Code, together with such [511 U.S. 398] rules and regulations as the Town has or may from time to time adopt.</w:t>
      </w:r>
    </w:p>
    <w:p w:rsidR="00A31137" w:rsidRPr="00A31137" w:rsidRDefault="00A31137" w:rsidP="00A31137">
      <w:r w:rsidRPr="00A31137">
        <w:t>1994, C &amp; A Carbone, Inc. v. Town of Clarkstown, 511 U.S. 398</w:t>
      </w:r>
    </w:p>
    <w:p w:rsidR="00A31137" w:rsidRPr="00A31137" w:rsidRDefault="00A31137" w:rsidP="00A31137">
      <w:r w:rsidRPr="00A31137">
        <w:t>B. All acceptable waste, as defined herein, except for construction and demolition debris, shall be removed, transported and/or disposed of only by carters licensed pursuant to the requirements of Chapter 50 of the Clarkstown Town Code and any amendments thereto. All other persons are hereby prohibited from removing, transporting or disposing of acceptable waste, except for construction and demolition debris generated within the Town of Clarkstown, and except as may be provided for herein or in the rules and regulations adopted pursuant to this chapter and/or Chapter 50 of the Clarkstown Town Code.</w:t>
      </w:r>
    </w:p>
    <w:p w:rsidR="00A31137" w:rsidRPr="00A31137" w:rsidRDefault="00A31137" w:rsidP="00A31137">
      <w:r w:rsidRPr="00A31137">
        <w:t>1994, C &amp; A Carbone, Inc. v. Town of Clarkstown, 511 U.S. 398</w:t>
      </w:r>
    </w:p>
    <w:p w:rsidR="00A31137" w:rsidRPr="00A31137" w:rsidRDefault="00A31137" w:rsidP="00A31137">
      <w:r w:rsidRPr="00A31137">
        <w:t>C. All acceptable waste generated within the territorial limits of the Town of Clarkstown is to be transported and delivered to the Town of Clarkstown solid waste facility located at Route 303, West Nyack, New York or to such other disposal or recycling facilities operated by the Town of Clarkstown,* or to recycling centers established by special permit pursuant to Chapter 106 of the Clarkstown Town Code, except for recyclable materials which are separated from solid waste at the point of origin or generation of such solid waste, which separated recyclable materials may be transported and delivered to facilities within the Town as aforesaid, or to sites outside the town. As to acceptable waste brought to said recycling facilities, the unrecycled residue shall be disposed of at a solid waste facility operated by the Town of Clarkstown.</w:t>
      </w:r>
    </w:p>
    <w:p w:rsidR="00A31137" w:rsidRPr="00A31137" w:rsidRDefault="00A31137" w:rsidP="00A31137">
      <w:r w:rsidRPr="00A31137">
        <w:t>1994, C &amp; A Carbone, Inc. v. Town of Clarkstown, 511 U.S. 398</w:t>
      </w:r>
    </w:p>
    <w:p w:rsidR="00A31137" w:rsidRPr="00A31137" w:rsidRDefault="00A31137" w:rsidP="00A31137">
      <w:r w:rsidRPr="00A31137">
        <w:t xml:space="preserve">D. It shall be unlawful to dispose of any acceptable waste generated or collected within the Town at any location other than the facilities or sites set forth in Paragraph "C" above. [511 U.S. 399] </w:t>
      </w:r>
    </w:p>
    <w:p w:rsidR="00A31137" w:rsidRPr="00A31137" w:rsidRDefault="00A31137" w:rsidP="00A31137">
      <w:r w:rsidRPr="00A31137">
        <w:t>1994, C &amp; A Carbone, Inc. v. Town of Clarkstown, 511 U.S. 399</w:t>
      </w:r>
    </w:p>
    <w:p w:rsidR="00A31137" w:rsidRPr="00A31137" w:rsidRDefault="00A31137" w:rsidP="00A31137">
      <w:r w:rsidRPr="00A31137">
        <w:t>Section 4. Disposal of Unacceptable Waste.</w:t>
      </w:r>
    </w:p>
    <w:p w:rsidR="00A31137" w:rsidRPr="00A31137" w:rsidRDefault="00A31137" w:rsidP="00A31137">
      <w:r w:rsidRPr="00A31137">
        <w:t>1994, C &amp; A Carbone, Inc. v. Town of Clarkstown, 511 U.S. 399</w:t>
      </w:r>
    </w:p>
    <w:p w:rsidR="00A31137" w:rsidRPr="00A31137" w:rsidRDefault="00A31137" w:rsidP="00A31137">
      <w:r w:rsidRPr="00A31137">
        <w:t>A. No unacceptable waste shall be delivered to the Town of Clarkstown solid waste facility situate at Route 303, West Nyack, New York or other solid waste facility operated by the Town of Clarkstown or recycling centers established by special permit pursuant to Chapter 106 of the Clarkstown Town Code by any person, including, without limitation, any licensed carter or any municipality. Failure to comply with the provisions of this section shall be subject to the provisions with respect to such penalties and enforcement, including the suspension or revocation of licenses and the imposition of fines, in accordance with the provisions of this chapter and/or Chapter 50 of the Clarkstown Town Code and any amendments thereto. The Town Board of Clarkstown may, by resolution, provide for the disposal of sewer sludge, generated by a municipal sewer system or the Rockland County sewer district, at a disposal facility situate within the Town of Clarkstown.</w:t>
      </w:r>
    </w:p>
    <w:p w:rsidR="00A31137" w:rsidRPr="00A31137" w:rsidRDefault="00A31137" w:rsidP="00A31137">
      <w:r w:rsidRPr="00A31137">
        <w:t>1994, C &amp; A Carbone, Inc. v. Town of Clarkstown, 511 U.S. 399</w:t>
      </w:r>
    </w:p>
    <w:p w:rsidR="00A31137" w:rsidRPr="00A31137" w:rsidRDefault="00A31137" w:rsidP="00A31137">
      <w:r w:rsidRPr="00A31137">
        <w:t>B. It shall be unlawful, within the Town, to dispose of or attempt to dispose of unacceptable waste of any kind generated within the territorial limits of the Town of [511 U.S. 400] Clarkstown, except for sewer sludge as provided for in Section "A" above.</w:t>
      </w:r>
      <w:r w:rsidRPr="00A31137">
        <w:cr/>
      </w:r>
    </w:p>
    <w:p w:rsidR="00A31137" w:rsidRPr="00A31137" w:rsidRDefault="00A31137" w:rsidP="00A31137">
      <w:r w:rsidRPr="00A31137">
        <w:t>1994, C &amp; A Carbone, Inc. v. Town of Clarkstown, 511 U.S. 400</w:t>
      </w:r>
    </w:p>
    <w:p w:rsidR="00A31137" w:rsidRPr="00A31137" w:rsidRDefault="00A31137" w:rsidP="00A31137">
      <w:r w:rsidRPr="00A31137">
        <w:t>Section 5. Acceptable and Unacceptable Waste Generated Outside the Town of Clarkstown.</w:t>
      </w:r>
    </w:p>
    <w:p w:rsidR="00A31137" w:rsidRPr="00A31137" w:rsidRDefault="00A31137" w:rsidP="00A31137">
      <w:r w:rsidRPr="00A31137">
        <w:t>1994, C &amp; A Carbone, Inc. v. Town of Clarkstown, 511 U.S. 400</w:t>
      </w:r>
    </w:p>
    <w:p w:rsidR="00A31137" w:rsidRPr="00A31137" w:rsidRDefault="00A31137" w:rsidP="00A31137">
      <w:r w:rsidRPr="00A31137">
        <w:t>A. It shall be unlawful, within the Town, to dispose of or attempt to dispose of acceptable or unacceptable waste of any kind generated or collected outside the territorial limits of the Town of Clarkstown, except for acceptable waste disposed of at a Town operated facility, pursuant to agreement with the Town of Clarkstown and recyclables, as defined in Chapter 82 of the Clarkstown Town Code, brought to a recycling center established by special permit pursuant to Chapter 106 of the Clarkstown Town Code.</w:t>
      </w:r>
    </w:p>
    <w:p w:rsidR="00A31137" w:rsidRPr="00A31137" w:rsidRDefault="00A31137" w:rsidP="00A31137">
      <w:r w:rsidRPr="00A31137">
        <w:t>1994, C &amp; A Carbone, Inc. v. Town of Clarkstown, 511 U.S. 400</w:t>
      </w:r>
    </w:p>
    <w:p w:rsidR="00A31137" w:rsidRPr="00A31137" w:rsidRDefault="00A31137" w:rsidP="00A31137">
      <w:r w:rsidRPr="00A31137">
        <w:t>B. It shall be unlawful for any person to import acceptable waste or unacceptable waste from outside the Town of Clarkstown and dump same on any property located within the Town of Clarkstown and to proceed to sift, sort, mulch or otherwise mix the said material with dirt, water, garbage, rubbish or other substance, having the effect of concealing the contents or origin of said mixture. This provision shall not apply to composting of acceptable waste carried out by the Town of Clarkstown.</w:t>
      </w:r>
    </w:p>
    <w:p w:rsidR="00A31137" w:rsidRPr="00A31137" w:rsidRDefault="00A31137" w:rsidP="00A31137">
      <w:r w:rsidRPr="00A31137">
        <w:t>1994, C &amp; A Carbone, Inc. v. Town of Clarkstown, 511 U.S. 400</w:t>
      </w:r>
    </w:p>
    <w:p w:rsidR="00A31137" w:rsidRPr="00A31137" w:rsidRDefault="00A31137" w:rsidP="00A31137">
      <w:r w:rsidRPr="00A31137">
        <w:t>Section 6. Fees for Disposal of Acceptable Waste at Town Operated Facilities.</w:t>
      </w:r>
    </w:p>
    <w:p w:rsidR="00A31137" w:rsidRPr="00A31137" w:rsidRDefault="00A31137" w:rsidP="00A31137">
      <w:r w:rsidRPr="00A31137">
        <w:t>1994, C &amp; A Carbone, Inc. v. Town of Clarkstown, 511 U.S. 400</w:t>
      </w:r>
    </w:p>
    <w:p w:rsidR="00A31137" w:rsidRPr="00A31137" w:rsidRDefault="00A31137" w:rsidP="00A31137">
      <w:r w:rsidRPr="00A31137">
        <w:t>There shall be separate fees established for disposal of acceptable waste at Town operated disposal facilities. The Town Board, by resolution adopted from time to time, shall fix the various fees to be collected at said facilities. The initial fees to be collected are those adopted by the Town Board on December 11, 1990 by Resolution Number 1097.</w:t>
      </w:r>
    </w:p>
    <w:p w:rsidR="00A31137" w:rsidRPr="00A31137" w:rsidRDefault="00A31137" w:rsidP="00A31137">
      <w:r w:rsidRPr="00A31137">
        <w:t>1994, C &amp; A Carbone, Inc. v. Town of Clarkstown, 511 U.S. 400</w:t>
      </w:r>
    </w:p>
    <w:p w:rsidR="00A31137" w:rsidRPr="00A31137" w:rsidRDefault="00A31137" w:rsidP="00A31137">
      <w:r w:rsidRPr="00A31137">
        <w:t>Section 7. Penalties for Offenses.</w:t>
      </w:r>
    </w:p>
    <w:p w:rsidR="00A31137" w:rsidRPr="00A31137" w:rsidRDefault="00A31137" w:rsidP="00A31137">
      <w:r w:rsidRPr="00A31137">
        <w:t>1994, C &amp; A Carbone, Inc. v. Town of Clarkstown, 511 U.S. 400</w:t>
      </w:r>
    </w:p>
    <w:p w:rsidR="00A31137" w:rsidRPr="00A31137" w:rsidRDefault="00A31137" w:rsidP="00A31137">
      <w:r w:rsidRPr="00A31137">
        <w:t>Notwithstanding any other provision of this chapter, the violation of any provision of this chapter shall be punishable by a fine of not more than one thousand dollars ($1,000.00) or by imprisonment for a period not exceeding fifteen (15) days for each offense, or by both fine and imprisonment, and each day that such violation shall be permitted to continue shall constitute a separate offense hereunder.</w:t>
      </w:r>
    </w:p>
    <w:p w:rsidR="00A31137" w:rsidRPr="00A31137" w:rsidRDefault="00A31137" w:rsidP="00A31137">
      <w:r w:rsidRPr="00A31137">
        <w:t>1994, C &amp; A Carbone, Inc. v. Town of Clarkstown, 511 U.S. 400</w:t>
      </w:r>
    </w:p>
    <w:p w:rsidR="00A31137" w:rsidRPr="00A31137" w:rsidRDefault="00A31137" w:rsidP="00A31137">
      <w:r w:rsidRPr="00A31137">
        <w:t xml:space="preserve"> Section 8. Repealer; Severability.</w:t>
      </w:r>
    </w:p>
    <w:p w:rsidR="00A31137" w:rsidRPr="00A31137" w:rsidRDefault="00A31137" w:rsidP="00A31137">
      <w:r w:rsidRPr="00A31137">
        <w:t>1994, C &amp; A Carbone, Inc. v. Town of Clarkstown, 511 U.S. 400</w:t>
      </w:r>
    </w:p>
    <w:p w:rsidR="00A31137" w:rsidRPr="00A31137" w:rsidRDefault="00A31137" w:rsidP="00A31137">
      <w:r w:rsidRPr="00A31137">
        <w:t>Ordinances and local laws or parts of ordinances or local laws heretofore enacted and inconsistent with any of the terms or provisions of this chapter are hereby repealed. In the event that any portion of this chapter shall be declared invalid by a court of competent jurisdiction, such invalidity shall not be deemed to affect the remaining portions hereof.</w:t>
      </w:r>
    </w:p>
    <w:p w:rsidR="00A31137" w:rsidRPr="00A31137" w:rsidRDefault="00A31137" w:rsidP="00A31137">
      <w:r w:rsidRPr="00A31137">
        <w:t>1994, C &amp; A Carbone, Inc. v. Town of Clarkstown, 511 U.S. 400</w:t>
      </w:r>
    </w:p>
    <w:p w:rsidR="00A31137" w:rsidRPr="00A31137" w:rsidRDefault="00A31137" w:rsidP="00A31137">
      <w:r w:rsidRPr="00A31137">
        <w:t>Section 9. When Effective.</w:t>
      </w:r>
    </w:p>
    <w:p w:rsidR="00A31137" w:rsidRPr="00A31137" w:rsidRDefault="00A31137" w:rsidP="00A31137">
      <w:r w:rsidRPr="00A31137">
        <w:t>1994, C &amp; A Carbone, Inc. v. Town of Clarkstown, 511 U.S. 400</w:t>
      </w:r>
    </w:p>
    <w:p w:rsidR="00A31137" w:rsidRPr="00A31137" w:rsidRDefault="00A31137" w:rsidP="00A31137">
      <w:r w:rsidRPr="00A31137">
        <w:t xml:space="preserve">This chapter shall take effect immediately upon filing in the office of the Secretary of State. [511 U.S. 401] </w:t>
      </w:r>
    </w:p>
    <w:p w:rsidR="00A31137" w:rsidRPr="00A31137" w:rsidRDefault="00A31137" w:rsidP="00A31137">
      <w:r w:rsidRPr="00A31137">
        <w:t>O'CONNOR, J., concurring</w:t>
      </w:r>
    </w:p>
    <w:p w:rsidR="00A31137" w:rsidRPr="00A31137" w:rsidRDefault="00A31137" w:rsidP="00A31137">
      <w:r w:rsidRPr="00A31137">
        <w:t>1994, C &amp; A Carbone, Inc. v. Town of Clarkstown, 511 U.S. 401</w:t>
      </w:r>
    </w:p>
    <w:p w:rsidR="00A31137" w:rsidRPr="00A31137" w:rsidRDefault="00A31137" w:rsidP="00A31137">
      <w:r w:rsidRPr="00A31137">
        <w:t>JUSTICE O'CONNOR, concurring in the judgment.</w:t>
      </w:r>
    </w:p>
    <w:p w:rsidR="00A31137" w:rsidRPr="00A31137" w:rsidRDefault="00A31137" w:rsidP="00A31137">
      <w:r w:rsidRPr="00A31137">
        <w:t>1994, C &amp; A Carbone, Inc. v. Town of Clarkstown, 511 U.S. 401</w:t>
      </w:r>
    </w:p>
    <w:p w:rsidR="00A31137" w:rsidRPr="00A31137" w:rsidRDefault="00A31137" w:rsidP="00A31137">
      <w:r w:rsidRPr="00A31137">
        <w:t>The town of Clarkstown's flow control ordinance requires all "acceptable waste" generated or collected in the town to be disposed of only at the town's solid waste facility. Town of Clarkstown, Local Law 9, §§ 3(C)-(D) (1990) (Local Law 9). The Court holds today that this ordinance violates the Commerce Clause because it discriminates against interstate commerce. Ante at  390. I agree with the majority's ultimate conclusion that the ordinance violates the dormant Commerce Clause. In my view, however, the town's ordinance is unconstitutional not because of facial or effective discrimination against interstate commerce, but rather because it imposes an excessive burden on interstate commerce. I also write separately to address the contention that flow control ordinances of this sort have been expressly authorized by Congress, and are thus outside the purview of the dormant Commerce Clause.</w:t>
      </w:r>
    </w:p>
    <w:p w:rsidR="00A31137" w:rsidRPr="00A31137" w:rsidRDefault="00A31137" w:rsidP="00A31137">
      <w:r w:rsidRPr="00A31137">
        <w:t>I</w:t>
      </w:r>
    </w:p>
    <w:p w:rsidR="00A31137" w:rsidRPr="00A31137" w:rsidRDefault="00A31137" w:rsidP="00A31137">
      <w:r w:rsidRPr="00A31137">
        <w:t>1994, C &amp; A Carbone, Inc. v. Town of Clarkstown, 511 U.S. 401</w:t>
      </w:r>
    </w:p>
    <w:p w:rsidR="00A31137" w:rsidRPr="00A31137" w:rsidRDefault="00A31137" w:rsidP="00A31137">
      <w:r w:rsidRPr="00A31137">
        <w:t>The scope of the dormant Commerce Clause is a judicial creation. On its face, the Clause provides only that "[t]he Congress shall have Power…To regulate Commerce…among the several States…. " U.S.Const., Art. I, § 8, cl. 3. This Court long ago concluded, however, that the Clause not only empowers Congress to regulate interstate commerce, but also imposes limitations on the States in the absence of congressional action:</w:t>
      </w:r>
    </w:p>
    <w:p w:rsidR="00A31137" w:rsidRPr="00A31137" w:rsidRDefault="00A31137" w:rsidP="00A31137">
      <w:r w:rsidRPr="00A31137">
        <w:t>1994, C &amp; A Carbone, Inc. v. Town of Clarkstown, 511 U.S. 401</w:t>
      </w:r>
    </w:p>
    <w:p w:rsidR="00A31137" w:rsidRPr="00A31137" w:rsidRDefault="00A31137" w:rsidP="00A31137">
      <w:r w:rsidRPr="00A31137">
        <w:t>This principle that our economic unit is the Nation, which alone has the gamut of powers necessary to control of the economy, including the vital power of erecting customs barriers against foreign competition, has as its corollary that the states are not separable economic units…. [W]hat is ultimate is the principle that one state in its dealings with another may not place itself in a position of economic isolation.</w:t>
      </w:r>
    </w:p>
    <w:p w:rsidR="00A31137" w:rsidRPr="00A31137" w:rsidRDefault="00A31137" w:rsidP="00A31137">
      <w:r w:rsidRPr="00A31137">
        <w:t>1994, C &amp; A Carbone, Inc. v. Town of Clarkstown, 511 U.S. 401</w:t>
      </w:r>
    </w:p>
    <w:p w:rsidR="00A31137" w:rsidRPr="00A31137" w:rsidRDefault="00A31137" w:rsidP="00A31137">
      <w:r w:rsidRPr="00A31137">
        <w:t>H.P. Hood &amp; Sons, [511 U.S. 402] Inc. v. Du Mond, 336 U.S. 525, 537-538 (1949) (internal quotation marks and citations omitted). Our decisions therefore hold that the dormant Commerce Clause forbids States and their subdivisions from regulating interstate commerce.</w:t>
      </w:r>
    </w:p>
    <w:p w:rsidR="00A31137" w:rsidRPr="00A31137" w:rsidRDefault="00A31137" w:rsidP="00A31137">
      <w:r w:rsidRPr="00A31137">
        <w:t>1994, C &amp; A Carbone, Inc. v. Town of Clarkstown, 511 U.S. 402</w:t>
      </w:r>
    </w:p>
    <w:p w:rsidR="00A31137" w:rsidRPr="00A31137" w:rsidRDefault="00A31137" w:rsidP="00A31137">
      <w:r w:rsidRPr="00A31137">
        <w:t>We have generally distinguished between two types of impermissible regulations. A facially nondiscriminatory regulation supported by a legitimate state interest which incidentally burdens interstate commerce is constitutional unless the burden on interstate trade is clearly excessive in relation to the local benefits. See Brown-Forman Distillers Corp. v. New York State Liquor Authority, 476 U.S. 573, 579 (1986); Pike v. Bruce Church, Inc., 397 U.S. 137, 142 (1970). Where, however, a regulation "affirmatively" or "clearly" discriminates against interstate commerce on its face or in practical effect, it violates the Constitution unless the discrimination is demonstrably justified by a valid factor unrelated to protectionism. See Wyoming v. Oklahoma, 502 U.S. 437,  454 (1992); Maine v. Taylor, 477 U.S. 131,  138 (1986). Of course, there is no clear line separating these categories. "In either situation the critical consideration is the overall effect of the statute on both local and interstate activity." Brown-Forman Distillers, supra, at 579.</w:t>
      </w:r>
    </w:p>
    <w:p w:rsidR="00A31137" w:rsidRPr="00A31137" w:rsidRDefault="00A31137" w:rsidP="00A31137">
      <w:r w:rsidRPr="00A31137">
        <w:t>1994, C &amp; A Carbone, Inc. v. Town of Clarkstown, 511 U.S. 402</w:t>
      </w:r>
    </w:p>
    <w:p w:rsidR="00A31137" w:rsidRPr="00A31137" w:rsidRDefault="00A31137" w:rsidP="00A31137">
      <w:r w:rsidRPr="00A31137">
        <w:t>Local Law 9 prohibits anyone except the town-authorized transfer station operator from processing discarded waste and shipping it out of town. In effect, the town has given a waste processing monopoly to the transfer station. The majority concludes that this processing monopoly facially discriminates against interstate commerce. Ante at 391-392. In support of this conclusion, the majority cites previous decisions of this Court striking down regulatory enactments requiring that a particular economic activity be performed within the jurisdiction. See, e.g., Dean Milk Co. v. Madison, 340 U.S. 349 (1951) (unconstitutional for city to require milk to be pasteurized within five miles of the city); Minnesota v. Barber, 136 U.S. 313 (1890) (unconstitutional for State [511 U.S. 403] to require meat sold within the State to be examined by state inspector); Foster-Fountain Packing Co. v. Haydel, 278 U.S. 1 (1928) (unconstitutional for State to require that shrimp heads and hulls must be removed before shrimp can be removed from the State); South-Central Timber Development, Inc. v. Wunnicke, 467 U.S. 82 (1984) (unconstitutional for State to require all timber to be processed within the State prior to export).</w:t>
      </w:r>
    </w:p>
    <w:p w:rsidR="00A31137" w:rsidRPr="00A31137" w:rsidRDefault="00A31137" w:rsidP="00A31137">
      <w:r w:rsidRPr="00A31137">
        <w:t>1994, C &amp; A Carbone, Inc. v. Town of Clarkstown, 511 U.S. 403</w:t>
      </w:r>
    </w:p>
    <w:p w:rsidR="00A31137" w:rsidRPr="00A31137" w:rsidRDefault="00A31137" w:rsidP="00A31137">
      <w:r w:rsidRPr="00A31137">
        <w:t>Local Law 9, however, lacks an important feature common to the regulations at issue in these cases—namely, discrimination on the basis of geographic origin. In each of the cited cases, the challenged enactment gave a competitive advantage to local business as a group vis-a-vis their out-of-state or nonlocal competitors as a group. In effect, the regulating jurisdiction—be it a State (Pike), a county (Fort Gratiot Sanitary Landfill, Inc. v. Michigan Dept. of Natural Resources, 504 U.S. 353 (1992)), or a city (Dean Milk)—drew a line around itself and treated those inside the line more favorably than those outside the line. Thus, in Pike, the Court held that an Arizona law requiring that Arizona cantaloupes be packaged in Arizona before being shipped out of state facially discriminated against interstate commerce: the benefits of the discriminatory scheme benefited the Arizona packaging industry, at the expense of its competition in California. Similarly, in Dean Milk, on which the majority heavily relies, the city of Madison drew a line around its perimeter and required that all milk sold in the City be pasteurized only by dairies located inside the line. This type of geographic distinction, which confers an economic advantage on local interests in general, is common to all the local processing [511 U.S. 404] cases cited by the majority. And the Court has, I believe, correctly concluded that these arrangements are protectionist either in purpose or practical effect, and thus amount to virtually per se discrimination.</w:t>
      </w:r>
    </w:p>
    <w:p w:rsidR="00A31137" w:rsidRPr="00A31137" w:rsidRDefault="00A31137" w:rsidP="00A31137">
      <w:r w:rsidRPr="00A31137">
        <w:t>1994, C &amp; A Carbone, Inc. v. Town of Clarkstown, 511 U.S. 404</w:t>
      </w:r>
    </w:p>
    <w:p w:rsidR="00A31137" w:rsidRPr="00A31137" w:rsidRDefault="00A31137" w:rsidP="00A31137">
      <w:r w:rsidRPr="00A31137">
        <w:t>In my view, the majority fails to come to terms with a significant distinction between the laws in the local processing cases discussed above and Local Law 9. Unlike the regulations we have previously struck down, Local Law 9 does not give more favorable treatment to local interests as a group as compared to out-of-state or out-of-town economic interests. Rather, the garbage sorting monopoly is achieved at the expense of all competitors, be they local or nonlocal. That the ordinance does not discriminate on the basis of geographic origin is vividly illustrated by the identity of the plaintiff in this very action:   petitioner is a local recycler, physically located in Clarkstown, that desires to process waste itself, and thus bypass the town's designated transfer facility. Because in-town processors—like petitioner—and out-of-town processors are treated equally, I cannot agree that Local Law 9 "discriminates" against interstate commerce. Rather, Local Law 9 "discriminates" evenhandedly against all potential participants in the waste processing business, while benefiting only the chosen operator of the transfer facility.</w:t>
      </w:r>
    </w:p>
    <w:p w:rsidR="00A31137" w:rsidRPr="00A31137" w:rsidRDefault="00A31137" w:rsidP="00A31137">
      <w:r w:rsidRPr="00A31137">
        <w:t>1994, C &amp; A Carbone, Inc. v. Town of Clarkstown, 511 U.S. 404</w:t>
      </w:r>
    </w:p>
    <w:p w:rsidR="00A31137" w:rsidRPr="00A31137" w:rsidRDefault="00A31137" w:rsidP="00A31137">
      <w:r w:rsidRPr="00A31137">
        <w:t>I believe this distinction has more doctrinal significance than the majority acknowledges. In considering state health and safety regulations such as Local Law 9, we have consistently recognized that the fact that interests within the regulating jurisdiction are equally affected by the challenged enactment counsels against a finding of discrimination. And for good reason. The existence of substantial in-state interests harmed by a regulation is "a powerful safeguard" against legislative discrimination. Minnesota v. Clover Leaf Creamery Co., 449 U.S. 456,  473, n. 17 (1981). The Court generally defers to health and safety regulations because</w:t>
      </w:r>
    </w:p>
    <w:p w:rsidR="00A31137" w:rsidRPr="00A31137" w:rsidRDefault="00A31137" w:rsidP="00A31137">
      <w:r w:rsidRPr="00A31137">
        <w:t>1994, C &amp; A Carbone, Inc. v. Town of Clarkstown, 511 U.S. 404</w:t>
      </w:r>
    </w:p>
    <w:p w:rsidR="00A31137" w:rsidRPr="00A31137" w:rsidRDefault="00A31137" w:rsidP="00A31137">
      <w:r w:rsidRPr="00A31137">
        <w:t>their burden usually falls on local economic interests, as well as other States' economic interests, thus insuring that a State's own political processes will serve as a check against unduly burdensome regulations.</w:t>
      </w:r>
    </w:p>
    <w:p w:rsidR="00A31137" w:rsidRPr="00A31137" w:rsidRDefault="00A31137" w:rsidP="00A31137">
      <w:r w:rsidRPr="00A31137">
        <w:t>1994, C &amp; A Carbone, Inc. v. Town of Clarkstown, 511 U.S. 404</w:t>
      </w:r>
    </w:p>
    <w:p w:rsidR="00A31137" w:rsidRPr="00A31137" w:rsidRDefault="00A31137" w:rsidP="00A31137">
      <w:r w:rsidRPr="00A31137">
        <w:t>Raymond Motor Transportation, Inc. v. Rice, 434 U.S. 429, 444, n. 18 (1978). See also Kassel v. Consolidated Freightways Corp. of Del., 450 U.S. 662,  675 (1981) (same). Thus, while there is no bright [511 U.S. 405] line separating those enactments which are virtually per se invalid and those which are not, the fact that in-town competitors of the transfer facility are equally burdened by Local Law 9 leads me to conclude that Local Law 9 does not discriminate against interstate commerce.</w:t>
      </w:r>
    </w:p>
    <w:p w:rsidR="00A31137" w:rsidRPr="00A31137" w:rsidRDefault="00A31137" w:rsidP="00A31137">
      <w:r w:rsidRPr="00A31137">
        <w:t>II</w:t>
      </w:r>
    </w:p>
    <w:p w:rsidR="00A31137" w:rsidRPr="00A31137" w:rsidRDefault="00A31137" w:rsidP="00A31137">
      <w:r w:rsidRPr="00A31137">
        <w:t>1994, C &amp; A Carbone, Inc. v. Town of Clarkstown, 511 U.S. 405</w:t>
      </w:r>
    </w:p>
    <w:p w:rsidR="00A31137" w:rsidRPr="00A31137" w:rsidRDefault="00A31137" w:rsidP="00A31137">
      <w:r w:rsidRPr="00A31137">
        <w:t>That the ordinance does not discriminate against interstate commerce does not, however, end the Commerce Clause inquiry. Even a nondiscriminatory regulation may nonetheless impose an excessive burden on interstate trade when considered in relation to the local benefits conferred. See Brown-Forman Distillers, 476 U.S. at 579. Indeed, we have long recognized that</w:t>
      </w:r>
    </w:p>
    <w:p w:rsidR="00A31137" w:rsidRPr="00A31137" w:rsidRDefault="00A31137" w:rsidP="00A31137">
      <w:r w:rsidRPr="00A31137">
        <w:t>1994, C &amp; A Carbone, Inc. v. Town of Clarkstown, 511 U.S. 405</w:t>
      </w:r>
    </w:p>
    <w:p w:rsidR="00A31137" w:rsidRPr="00A31137" w:rsidRDefault="00A31137" w:rsidP="00A31137">
      <w:r w:rsidRPr="00A31137">
        <w:t>a burden imposed by a State upon interstate commerce is not to be sustained simply because the statute imposing it applies alike to…the people of the State enacting such statute.</w:t>
      </w:r>
    </w:p>
    <w:p w:rsidR="00A31137" w:rsidRPr="00A31137" w:rsidRDefault="00A31137" w:rsidP="00A31137">
      <w:r w:rsidRPr="00A31137">
        <w:t>1994, C &amp; A Carbone, Inc. v. Town of Clarkstown, 511 U.S. 405</w:t>
      </w:r>
    </w:p>
    <w:p w:rsidR="00A31137" w:rsidRPr="00A31137" w:rsidRDefault="00A31137" w:rsidP="00A31137">
      <w:r w:rsidRPr="00A31137">
        <w:t>Brimmer v. Rebman, 138 U.S. 78, 83 (1891) (internal quotation marks and citation omitted). Moreover,</w:t>
      </w:r>
    </w:p>
    <w:p w:rsidR="00A31137" w:rsidRPr="00A31137" w:rsidRDefault="00A31137" w:rsidP="00A31137">
      <w:r w:rsidRPr="00A31137">
        <w:t>1994, C &amp; A Carbone, Inc. v. Town of Clarkstown, 511 U.S. 405</w:t>
      </w:r>
    </w:p>
    <w:p w:rsidR="00A31137" w:rsidRPr="00A31137" w:rsidRDefault="00A31137" w:rsidP="00A31137">
      <w:r w:rsidRPr="00A31137">
        <w:t>the extent of the burden that will be tolerated will, of course, depend on the nature of the local interest involved, and on whether it could be promoted as well with a lesser impact on interstate activities.</w:t>
      </w:r>
    </w:p>
    <w:p w:rsidR="00A31137" w:rsidRPr="00A31137" w:rsidRDefault="00A31137" w:rsidP="00A31137">
      <w:r w:rsidRPr="00A31137">
        <w:t>1994, C &amp; A Carbone, Inc. v. Town of Clarkstown, 511 U.S. 405</w:t>
      </w:r>
    </w:p>
    <w:p w:rsidR="00A31137" w:rsidRPr="00A31137" w:rsidRDefault="00A31137" w:rsidP="00A31137">
      <w:r w:rsidRPr="00A31137">
        <w:t>Pike, 397 U.S. at 142. Judged against these standards, Local Law 9 fails.</w:t>
      </w:r>
    </w:p>
    <w:p w:rsidR="00A31137" w:rsidRPr="00A31137" w:rsidRDefault="00A31137" w:rsidP="00A31137">
      <w:r w:rsidRPr="00A31137">
        <w:t>1994, C &amp; A Carbone, Inc. v. Town of Clarkstown, 511 U.S. 405</w:t>
      </w:r>
    </w:p>
    <w:p w:rsidR="00A31137" w:rsidRPr="00A31137" w:rsidRDefault="00A31137" w:rsidP="00A31137">
      <w:r w:rsidRPr="00A31137">
        <w:t>The local interest in proper disposal of waste is obviously significant. But this interest could be achieved by simply requiring that all waste disposed of in the town be properly processed somewhere. For example, the town could ensure proper processing by setting specific standards with which all town processors must comply.</w:t>
      </w:r>
    </w:p>
    <w:p w:rsidR="00A31137" w:rsidRPr="00A31137" w:rsidRDefault="00A31137" w:rsidP="00A31137">
      <w:r w:rsidRPr="00A31137">
        <w:t>1994, C &amp; A Carbone, Inc. v. Town of Clarkstown, 511 U.S. 405</w:t>
      </w:r>
    </w:p>
    <w:p w:rsidR="00A31137" w:rsidRPr="00A31137" w:rsidRDefault="00A31137" w:rsidP="00A31137">
      <w:r w:rsidRPr="00A31137">
        <w:t>In fact, however, the town's purpose is narrower than merely ensuring proper disposal. Local Law 9 is intended to ensure the financial viability of the transfer facility. I agree with the majority that this purpose can be achieved by other means that would have a less dramatic impact on the flow of goods. For example, the town could finance the [511 U.S. 406] project by imposing taxes, by issuing municipal bonds, or even by lowering its price for processing to a level competitive with other waste processing facilities. But by requiring that all waste be processed at the town's facility, the ordinance "squelches competition in the waste-processing service altogether, leaving no room for investment from outside." Ante at 392.</w:t>
      </w:r>
    </w:p>
    <w:p w:rsidR="00A31137" w:rsidRPr="00A31137" w:rsidRDefault="00A31137" w:rsidP="00A31137">
      <w:r w:rsidRPr="00A31137">
        <w:t>1994, C &amp; A Carbone, Inc. v. Town of Clarkstown, 511 U.S. 406</w:t>
      </w:r>
    </w:p>
    <w:p w:rsidR="00A31137" w:rsidRPr="00A31137" w:rsidRDefault="00A31137" w:rsidP="00A31137">
      <w:r w:rsidRPr="00A31137">
        <w:t>In addition,</w:t>
      </w:r>
    </w:p>
    <w:p w:rsidR="00A31137" w:rsidRPr="00A31137" w:rsidRDefault="00A31137" w:rsidP="00A31137">
      <w:r w:rsidRPr="00A31137">
        <w:t>1994, C &amp; A Carbone, Inc. v. Town of Clarkstown, 511 U.S. 406</w:t>
      </w:r>
    </w:p>
    <w:p w:rsidR="00A31137" w:rsidRPr="00A31137" w:rsidRDefault="00A31137" w:rsidP="00A31137">
      <w:r w:rsidRPr="00A31137">
        <w:t>[t]he practical effect of [Local Law 9] must be evaluated not only by considering the consequences of the statute itself, but also by considering how the challenged statute may interact with the legitimate regulatory regimes of the other States and what effect would arise if not one, but many or every, [jurisdiction] adopted similar legislation.</w:t>
      </w:r>
    </w:p>
    <w:p w:rsidR="00A31137" w:rsidRPr="00A31137" w:rsidRDefault="00A31137" w:rsidP="00A31137">
      <w:r w:rsidRPr="00A31137">
        <w:t>1994, C &amp; A Carbone, Inc. v. Town of Clarkstown, 511 U.S. 406</w:t>
      </w:r>
    </w:p>
    <w:p w:rsidR="00A31137" w:rsidRPr="00A31137" w:rsidRDefault="00A31137" w:rsidP="00A31137">
      <w:r w:rsidRPr="00A31137">
        <w:t xml:space="preserve">Wyoming v. Oklahoma, 502 U.S. at 453-454 (quoting Healy v. Beer Institute, 491 U.S. 324, 336 (1989)). This is not a hypothetical inquiry. Over 20 states have enacted statutes authorizing local governments to adopt flow control laws.* If the localities in these States impose the type of restriction on the movement of waste that Clarkstown has adopted, the free movement of solid waste in the stream of commerce will be severely impaired. Indeed, pervasive flow control would result in the type of balkanization the Clause is primarily intended to prevent. See H. P. Hood &amp; Sons, 336 U.S. at 537-538. [511 U.S. 407] </w:t>
      </w:r>
    </w:p>
    <w:p w:rsidR="00A31137" w:rsidRPr="00A31137" w:rsidRDefault="00A31137" w:rsidP="00A31137">
      <w:r w:rsidRPr="00A31137">
        <w:t>1994, C &amp; A Carbone, Inc. v. Town of Clarkstown, 511 U.S. 407</w:t>
      </w:r>
    </w:p>
    <w:p w:rsidR="00A31137" w:rsidRPr="00A31137" w:rsidRDefault="00A31137" w:rsidP="00A31137">
      <w:r w:rsidRPr="00A31137">
        <w:t>Given that many jurisdictions are contemplating or enacting flow control, the potential for conflicts is high. For example, in the State of New Jersey, just south of Clarkstown, local waste may be removed from the State for the sorting of recyclables "as long as the residual solid waste is returned to New Jersey." Brief for New Jersey at Amicus Curiae 5. Under Local Law 9, however, if petitioners bring waste from New Jersey for recycling at their Clarkstown operation, the residual waste may not be returned to New Jersey, but must be transported to Clarkstown's transfer facility. As a consequence, operations like petitioners' cannot comply with the requirements of both jurisdictions. Nondiscriminatory state or local laws which actually conflict with the enactments of other States are constitutionally infirm if they burden interstate commerce. See Bibb v. Navajo Freight Lines, Inc., 359 U.S. 520, 526-530 (1959) (unconstitutional for Illinois to require truck mudguards when that requirement conflicts with the requirements of other States); Southern Pacific Co. v. Arizona ex rel. Sullivan, 325 U.S. 761, 773-774 (1945) (same). The increasing number of flow control regimes virtually ensures some inconsistency between jurisdictions, with the effect of eliminating the movement of waste between jurisdictions. I therefore conclude that the burden Local Law 9 imposes on interstate commerce is excessive in relation to Clarkstown's interest in ensuring a fixed supply of waste to supply its project.</w:t>
      </w:r>
    </w:p>
    <w:p w:rsidR="00A31137" w:rsidRPr="00A31137" w:rsidRDefault="00A31137" w:rsidP="00A31137">
      <w:r w:rsidRPr="00A31137">
        <w:t>III</w:t>
      </w:r>
    </w:p>
    <w:p w:rsidR="00A31137" w:rsidRPr="00A31137" w:rsidRDefault="00A31137" w:rsidP="00A31137">
      <w:r w:rsidRPr="00A31137">
        <w:t>1994, C &amp; A Carbone, Inc. v. Town of Clarkstown, 511 U.S. 407</w:t>
      </w:r>
    </w:p>
    <w:p w:rsidR="00A31137" w:rsidRPr="00A31137" w:rsidRDefault="00A31137" w:rsidP="00A31137">
      <w:r w:rsidRPr="00A31137">
        <w:t>Although this Court can—and often does—enforce the dormant aspect of the Commerce Clause, the Clause is primarily a grant of congressional authority to regulate commerce among the States. Amicus National Association of Bond Lawyers (NABL) argues that the flow control ordinance in this case has been authorized by Congress. Given the residual nature of our authority under the Clause, and [511 U.S. 408] because the argument that Congress has, in fact, authorized flow control is substantial, I think it appropriate to address it directly.</w:t>
      </w:r>
    </w:p>
    <w:p w:rsidR="00A31137" w:rsidRPr="00A31137" w:rsidRDefault="00A31137" w:rsidP="00A31137">
      <w:r w:rsidRPr="00A31137">
        <w:t>1994, C &amp; A Carbone, Inc. v. Town of Clarkstown, 511 U.S. 408</w:t>
      </w:r>
    </w:p>
    <w:p w:rsidR="00A31137" w:rsidRPr="00A31137" w:rsidRDefault="00A31137" w:rsidP="00A31137">
      <w:r w:rsidRPr="00A31137">
        <w:t>Congress must be "unmistakably clear" before we will conclude that it intended to permit state regulation which would otherwise violate the dormant Commerce Clause. South-Central Timber, 467 U.S. at  91 (plurality opinion). See also Sporhase v. Nebraska ex rel. Douglas, 458 U.S. 941,  960 (1982) (finding consent only where "Congress' intent and policy to sustain state legislation from attack under the Commerce Clause was expressly stated") (citations and internal quotation marks omitted). The State or locality has the burden of demonstrating this intent. Wyoming v. Oklahoma, 502 U.S. at  458.</w:t>
      </w:r>
    </w:p>
    <w:p w:rsidR="00A31137" w:rsidRPr="00A31137" w:rsidRDefault="00A31137" w:rsidP="00A31137">
      <w:r w:rsidRPr="00A31137">
        <w:t>1994, C &amp; A Carbone, Inc. v. Town of Clarkstown, 511 U.S. 408</w:t>
      </w:r>
    </w:p>
    <w:p w:rsidR="00A31137" w:rsidRPr="00A31137" w:rsidRDefault="00A31137" w:rsidP="00A31137">
      <w:r w:rsidRPr="00A31137">
        <w:t>Amicus NABL argues that Subchapter IV of the Resource Conservation and Recovery Act of 1976 (RCRA), 90 Stat. 2813, as amended, 42 U.S.C. § 6941 et seq., and its amendments, remove the constitutional constraints on local implementation of flow control. RCRA is a sweeping statute intended to regulate solid waste from cradle to grave. In addition to providing specific federal standards for the management of solid waste, RCRA Subchapter IV governs "State or Regional Solid Waste Plans." Among the objectives of the subchapter is to "assist in developing and encouraging methods for the disposal of solid waste which are environmentally sound"; this is to be accomplished by federal "assistance to States or regional authorities for comprehensive planning pursuant to Federal guidelines." § 6941.</w:t>
      </w:r>
    </w:p>
    <w:p w:rsidR="00A31137" w:rsidRPr="00A31137" w:rsidRDefault="00A31137" w:rsidP="00A31137">
      <w:r w:rsidRPr="00A31137">
        <w:t>1994, C &amp; A Carbone, Inc. v. Town of Clarkstown, 511 U.S. 408</w:t>
      </w:r>
    </w:p>
    <w:p w:rsidR="00A31137" w:rsidRPr="00A31137" w:rsidRDefault="00A31137" w:rsidP="00A31137">
      <w:r w:rsidRPr="00A31137">
        <w:t>Under the Act, States are to submit solid waste management plans that "prohibit the establishment of new open dumps within the State," and ensure that solid waste will be "utilized for resource recovery or…disposed of in sanitary landfills…or otherwise disposed of in an environmentally sound manner." § 6943(a)(2). The plans must also ensure that state and local governments not be</w:t>
      </w:r>
    </w:p>
    <w:p w:rsidR="00A31137" w:rsidRPr="00A31137" w:rsidRDefault="00A31137" w:rsidP="00A31137">
      <w:r w:rsidRPr="00A31137">
        <w:t>1994, C &amp; A Carbone, Inc. v. Town of Clarkstown, 511 U.S. 408</w:t>
      </w:r>
    </w:p>
    <w:p w:rsidR="00A31137" w:rsidRPr="00A31137" w:rsidRDefault="00A31137" w:rsidP="00A31137">
      <w:r w:rsidRPr="00A31137">
        <w:t>prohibited under State or local law from negotiating and entering into long-term [511 U.S. 409] contracts for the supply of solid waste to resource recovery facilities [or] from entering into long-term contracts for the operation of such facilities.</w:t>
      </w:r>
    </w:p>
    <w:p w:rsidR="00A31137" w:rsidRPr="00A31137" w:rsidRDefault="00A31137" w:rsidP="00A31137">
      <w:r w:rsidRPr="00A31137">
        <w:t>1994, C &amp; A Carbone, Inc. v. Town of Clarkstown, 511 U.S. 409</w:t>
      </w:r>
    </w:p>
    <w:p w:rsidR="00A31137" w:rsidRPr="00A31137" w:rsidRDefault="00A31137" w:rsidP="00A31137">
      <w:r w:rsidRPr="00A31137">
        <w:t>§ 6943(a)(5).</w:t>
      </w:r>
    </w:p>
    <w:p w:rsidR="00A31137" w:rsidRPr="00A31137" w:rsidRDefault="00A31137" w:rsidP="00A31137">
      <w:r w:rsidRPr="00A31137">
        <w:t>1994, C &amp; A Carbone, Inc. v. Town of Clarkstown, 511 U.S. 409</w:t>
      </w:r>
    </w:p>
    <w:p w:rsidR="00A31137" w:rsidRPr="00A31137" w:rsidRDefault="00A31137" w:rsidP="00A31137">
      <w:r w:rsidRPr="00A31137">
        <w:t>Amicus also points to a statement in a House Report addressing § 6943(a)(5), a statement evincing some concern with flow control:</w:t>
      </w:r>
    </w:p>
    <w:p w:rsidR="00A31137" w:rsidRPr="00A31137" w:rsidRDefault="00A31137" w:rsidP="00A31137">
      <w:r w:rsidRPr="00A31137">
        <w:t>1994, C &amp; A Carbone, Inc. v. Town of Clarkstown, 511 U.S. 409</w:t>
      </w:r>
    </w:p>
    <w:p w:rsidR="00A31137" w:rsidRPr="00A31137" w:rsidRDefault="00A31137" w:rsidP="00A31137">
      <w:r w:rsidRPr="00A31137">
        <w:t>This prohibition [on state or local laws prohibiting long-term contracts] is not to be construed to affect state planning which may require all discarded materials to be transported to a particular location.…</w:t>
      </w:r>
    </w:p>
    <w:p w:rsidR="00A31137" w:rsidRPr="00A31137" w:rsidRDefault="00A31137" w:rsidP="00A31137">
      <w:r w:rsidRPr="00A31137">
        <w:t>1994, C &amp; A Carbone, Inc. v. Town of Clarkstown, 511 U.S. 409</w:t>
      </w:r>
    </w:p>
    <w:p w:rsidR="00A31137" w:rsidRPr="00A31137" w:rsidRDefault="00A31137" w:rsidP="00A31137">
      <w:r w:rsidRPr="00A31137">
        <w:t>H. R. Rep. No. 94-1491, p. 34 (1976) (emphasis added). Finally, in the Solid Waste Disposal Act Amendments of 1980, Congress authorized EPA to</w:t>
      </w:r>
    </w:p>
    <w:p w:rsidR="00A31137" w:rsidRPr="00A31137" w:rsidRDefault="00A31137" w:rsidP="00A31137">
      <w:r w:rsidRPr="00A31137">
        <w:t>1994, C &amp; A Carbone, Inc. v. Town of Clarkstown, 511 U.S. 409</w:t>
      </w:r>
    </w:p>
    <w:p w:rsidR="00A31137" w:rsidRPr="00A31137" w:rsidRDefault="00A31137" w:rsidP="00A31137">
      <w:r w:rsidRPr="00A31137">
        <w:t>provide technical assistance to States [and local governments] to assist in the removal or modification of legal, institutional, and economic impediments which have the effect of impeding the development of systems and facilities [for resource recovery].</w:t>
      </w:r>
    </w:p>
    <w:p w:rsidR="00A31137" w:rsidRPr="00A31137" w:rsidRDefault="00A31137" w:rsidP="00A31137">
      <w:r w:rsidRPr="00A31137">
        <w:t>1994, C &amp; A Carbone, Inc. v. Town of Clarkstown, 511 U.S. 409</w:t>
      </w:r>
    </w:p>
    <w:p w:rsidR="00A31137" w:rsidRPr="00A31137" w:rsidRDefault="00A31137" w:rsidP="00A31137">
      <w:r w:rsidRPr="00A31137">
        <w:t>§ 6948(d)(3). Among the obstacles to effective resource recovery are</w:t>
      </w:r>
    </w:p>
    <w:p w:rsidR="00A31137" w:rsidRPr="00A31137" w:rsidRDefault="00A31137" w:rsidP="00A31137">
      <w:r w:rsidRPr="00A31137">
        <w:t>1994, C &amp; A Carbone, Inc. v. Town of Clarkstown, 511 U.S. 409</w:t>
      </w:r>
    </w:p>
    <w:p w:rsidR="00A31137" w:rsidRPr="00A31137" w:rsidRDefault="00A31137" w:rsidP="00A31137">
      <w:r w:rsidRPr="00A31137">
        <w:t>impediments to institutional arrangements necessary to undertake projects…including the creation of special districts, authorities, or corporations where necessary having the power to secure the supply of waste of a project.</w:t>
      </w:r>
    </w:p>
    <w:p w:rsidR="00A31137" w:rsidRPr="00A31137" w:rsidRDefault="00A31137" w:rsidP="00A31137">
      <w:r w:rsidRPr="00A31137">
        <w:t>1994, C &amp; A Carbone, Inc. v. Town of Clarkstown, 511 U.S. 409</w:t>
      </w:r>
    </w:p>
    <w:p w:rsidR="00A31137" w:rsidRPr="00A31137" w:rsidRDefault="00A31137" w:rsidP="00A31137">
      <w:r w:rsidRPr="00A31137">
        <w:t>§ 6948(d)(3)(C) (emphasis added).</w:t>
      </w:r>
    </w:p>
    <w:p w:rsidR="00A31137" w:rsidRPr="00A31137" w:rsidRDefault="00A31137" w:rsidP="00A31137">
      <w:r w:rsidRPr="00A31137">
        <w:t>1994, C &amp; A Carbone, Inc. v. Town of Clarkstown, 511 U.S. 409</w:t>
      </w:r>
    </w:p>
    <w:p w:rsidR="00A31137" w:rsidRPr="00A31137" w:rsidRDefault="00A31137" w:rsidP="00A31137">
      <w:r w:rsidRPr="00A31137">
        <w:t>I agree with amicus NABL that these references indicate that Congress expected local governments to implement some form of flow control. Nonetheless, they neither individually nor cumulatively rise to the level of the "explicit" authorization required by our dormant Commerce Clause decisions. First, the primary focus of the references is on legal impediments imposed as a result of state—not federal—law. In addition, the reference to local authority to "secure the supply of waste," is contained in § 6948(d)(3)(C), which is a delegation not to the States, but to EPA, of authority to assist [511 U.S. 410] local government in solving waste supply problems. EPA has stated in its implementing regulations that the</w:t>
      </w:r>
    </w:p>
    <w:p w:rsidR="00A31137" w:rsidRPr="00A31137" w:rsidRDefault="00A31137" w:rsidP="00A31137">
      <w:r w:rsidRPr="00A31137">
        <w:t>1994, C &amp; A Carbone, Inc. v. Town of Clarkstown, 511 U.S. 410</w:t>
      </w:r>
    </w:p>
    <w:p w:rsidR="00A31137" w:rsidRPr="00A31137" w:rsidRDefault="00A31137" w:rsidP="00A31137">
      <w:r w:rsidRPr="00A31137">
        <w:t>State plan should provide for substate cooperation and policies for free and unrestricted movement of solid and hazardous waste across State and local boundaries.</w:t>
      </w:r>
    </w:p>
    <w:p w:rsidR="00A31137" w:rsidRPr="00A31137" w:rsidRDefault="00A31137" w:rsidP="00A31137">
      <w:r w:rsidRPr="00A31137">
        <w:t>1994, C &amp; A Carbone, Inc. v. Town of Clarkstown, 511 U.S. 410</w:t>
      </w:r>
    </w:p>
    <w:p w:rsidR="00A31137" w:rsidRPr="00A31137" w:rsidRDefault="00A31137" w:rsidP="00A31137">
      <w:r w:rsidRPr="00A31137">
        <w:t>40 CFR § 256.42(h) (1993). And while the House Report seems to contemplate that municipalities may require waste to be brought to a particular location, this stronger language is not reflected in the text of the statute. Cf. United States v. Nordic Village Inc., 503 U.S. 30, 37 (1992) (for waiver of sovereign immunity, "[i]f clarity does not exist [in the text], it cannot be supplied by a committee report"); Dellmuth v. Muth, 491 U.S. 223, 230 (1989) (same). In short, these isolated references do not satisfy our requirement of an explicit statutory authorization.</w:t>
      </w:r>
    </w:p>
    <w:p w:rsidR="00A31137" w:rsidRPr="00A31137" w:rsidRDefault="00A31137" w:rsidP="00A31137">
      <w:r w:rsidRPr="00A31137">
        <w:t>1994, C &amp; A Carbone, Inc. v. Town of Clarkstown, 511 U.S. 410</w:t>
      </w:r>
    </w:p>
    <w:p w:rsidR="00A31137" w:rsidRPr="00A31137" w:rsidRDefault="00A31137" w:rsidP="00A31137">
      <w:r w:rsidRPr="00A31137">
        <w:t>It is within Congress' power to authorize local imposition of flow control. Should Congress revisit this area, and enact legislation providing a clear indication that it intends States and localities to implement flow control, we will, of course, defer to that legislative judgment. Until then, however, Local Law 9 cannot survive constitutional scrutiny. Accordingly, I concur in the judgment of the Court.</w:t>
      </w:r>
    </w:p>
    <w:p w:rsidR="00A31137" w:rsidRPr="00A31137" w:rsidRDefault="00A31137" w:rsidP="00A31137">
      <w:r w:rsidRPr="00A31137">
        <w:t>SOUTER, J., dissenting</w:t>
      </w:r>
    </w:p>
    <w:p w:rsidR="00A31137" w:rsidRPr="00A31137" w:rsidRDefault="00A31137" w:rsidP="00A31137">
      <w:r w:rsidRPr="00A31137">
        <w:t>1994, C &amp; A Carbone, Inc. v. Town of Clarkstown, 511 U.S. 410</w:t>
      </w:r>
    </w:p>
    <w:p w:rsidR="00A31137" w:rsidRPr="00A31137" w:rsidRDefault="00A31137" w:rsidP="00A31137">
      <w:r w:rsidRPr="00A31137">
        <w:t>JUSTICE SOUTER, with whom THE CHIEF JUSTICE and JUSTICE BLACKMUN join, dissenting.</w:t>
      </w:r>
    </w:p>
    <w:p w:rsidR="00A31137" w:rsidRPr="00A31137" w:rsidRDefault="00A31137" w:rsidP="00A31137">
      <w:r w:rsidRPr="00A31137">
        <w:t>1994, C &amp; A Carbone, Inc. v. Town of Clarkstown, 511 U.S. 410</w:t>
      </w:r>
    </w:p>
    <w:p w:rsidR="00A31137" w:rsidRPr="00A31137" w:rsidRDefault="00A31137" w:rsidP="00A31137">
      <w:r w:rsidRPr="00A31137">
        <w:t>The majority may invoke "well-settled principles of our Commerce Clause jurisprudence," ante at  386, but it does so to strike down an ordinance unlike anything this Court has ever invalidated. Previous cases have held that the "negative" or "dormant" aspect of the Commerce Clause renders state or local legislation unconstitutional when it discriminates against out-of-state or out-of-town businesses such as those that pasteurize milk, hull shrimp, or mill lumber, and the majority relies on these cases because of what they have in common with this one:   out-of-state processors are excluded [511 U.S. 411] from the local market (here, from the market for trash processing services). What the majority ignores, however, are the differences between our local processing cases and this one:   the exclusion worked by Clarkstown's Local Law 9 bestows no benefit on a class of local private actors, but instead directly aids the government in satisfying a traditional governmental responsibility. The law does not differentiate between all local and all out-of-town providers of a service, but instead between the one entity responsible for ensuring that the job gets done and all other enterprises, regardless of their location. The ordinance thus falls outside that class of tariff or protectionist measures that the Commerce Clause has traditionally been thought to bar States from enacting against each other, and when the majority subsumes the ordinance within the class of laws this Court has struck down as facially discriminatory (and so avails itself of our "virtually per se rule" against such statutes, see Philadelphia v. New Jersey, 437 U.S. 617,  624 (1978)), the majority is in fact greatly extending the Clause's dormant reach.</w:t>
      </w:r>
    </w:p>
    <w:p w:rsidR="00A31137" w:rsidRPr="00A31137" w:rsidRDefault="00A31137" w:rsidP="00A31137">
      <w:r w:rsidRPr="00A31137">
        <w:t>1994, C &amp; A Carbone, Inc. v. Town of Clarkstown, 511 U.S. 411</w:t>
      </w:r>
    </w:p>
    <w:p w:rsidR="00A31137" w:rsidRPr="00A31137" w:rsidRDefault="00A31137" w:rsidP="00A31137">
      <w:r w:rsidRPr="00A31137">
        <w:t xml:space="preserve">There are, however, good and sufficient reasons against expanding the Commerce Clause's inherent capacity to trump exercises of state authority such as the ordinance at issue here. There is no indication in the record that any out-of-state trash processor has been harmed, or that the interstate movement or disposition of trash will be affected one whit. To the degree Local Law 9 affects the market for trash processing services, it does so only by subjecting Clarkstown residents and businesses to burdens far different from the burdens of local favoritism that dormant Commerce Clause jurisprudence seeks to root out. The town has found a way to finance a public improvement, not by transferring its cost to out-of-state economic interests, but by spreading it among the local generators of trash, an equitable result with tendencies that should not disturb the Commerce Clause and should not be disturbed by us. [511 U.S. 412] </w:t>
      </w:r>
    </w:p>
    <w:p w:rsidR="00A31137" w:rsidRPr="00A31137" w:rsidRDefault="00A31137" w:rsidP="00A31137">
      <w:r w:rsidRPr="00A31137">
        <w:t>I</w:t>
      </w:r>
    </w:p>
    <w:p w:rsidR="00A31137" w:rsidRPr="00A31137" w:rsidRDefault="00A31137" w:rsidP="00A31137">
      <w:r w:rsidRPr="00A31137">
        <w:t>1994, C &amp; A Carbone, Inc. v. Town of Clarkstown, 511 U.S. 412</w:t>
      </w:r>
    </w:p>
    <w:p w:rsidR="00A31137" w:rsidRPr="00A31137" w:rsidRDefault="00A31137" w:rsidP="00A31137">
      <w:r w:rsidRPr="00A31137">
        <w:t>Prior to the 1970's, getting rid of the trash in Clarkstown was just a matter of taking it to the local dump. But over the course of that decade, state regulators cited the town for dumping in violation of environmental laws, and in August, 1989, the town entered into a consent decree with the New York State Department of Environmental Conservation, promising to close the landfill, clean up the environmental damage, and make new arrangements to dispose of the town's solid waste. Clarkstown agreed to build a "transfer station" where the town's trash would be brought for sorting out recyclable material and baling the nonrecyclable residue for loading into long-haul trucks bound for out-of-state disposal sites.</w:t>
      </w:r>
    </w:p>
    <w:p w:rsidR="00A31137" w:rsidRPr="00A31137" w:rsidRDefault="00A31137" w:rsidP="00A31137">
      <w:r w:rsidRPr="00A31137">
        <w:t>1994, C &amp; A Carbone, Inc. v. Town of Clarkstown, 511 U.S. 412</w:t>
      </w:r>
    </w:p>
    <w:p w:rsidR="00A31137" w:rsidRPr="00A31137" w:rsidRDefault="00A31137" w:rsidP="00A31137">
      <w:r w:rsidRPr="00A31137">
        <w:t>Instead of building the transfer station itself, Clarkstown contracted with a private company to build the station and run it for five years, after which the town could buy it for $1. The town based the size of the facility on its best estimate of the amount of trash local residents would generate and undertook to deliver that amount to the transfer station each year, or to pay a substantial penalty to compensate for any shortfall. This "put or pay" contract, together with the right to charge an $81 "tipping" fee for each ton of waste collected at the transfer station, was meant to assure the company its return on investment.</w:t>
      </w:r>
    </w:p>
    <w:p w:rsidR="00A31137" w:rsidRPr="00A31137" w:rsidRDefault="00A31137" w:rsidP="00A31137">
      <w:r w:rsidRPr="00A31137">
        <w:t>1994, C &amp; A Carbone, Inc. v. Town of Clarkstown, 511 U.S. 412</w:t>
      </w:r>
    </w:p>
    <w:p w:rsidR="00A31137" w:rsidRPr="00A31137" w:rsidRDefault="00A31137" w:rsidP="00A31137">
      <w:r w:rsidRPr="00A31137">
        <w:t>Local Law 9, the ordinance at issue here, is an integral part of this financing scheme. It prohibits individual trash generators within the town from evading payment of the $81 tipping fee by requiring that all residential, commercial, and industrial waste generated or collected within the town be delivered to the transfer station. While Clarkstown residents may dump their waste at another locally licensed recycling center, once such a private recycler culls out the recyclable materials, it must dispose of any residue the same way other Clarkstown residents do, by taking it to the town's transfer station.   [511 U.S. 413] ocal Law 9, §§ 3C, 3D (1990). 1 If out-of-towners wish to dispose of their waste in Clarkstown or recycle it there, they enter the town subject to the same restrictions as Clarkstown residents, in being required to use only the town-operated transfer station or a licensed recycling center. § 5A.</w:t>
      </w:r>
    </w:p>
    <w:p w:rsidR="00A31137" w:rsidRPr="00A31137" w:rsidRDefault="00A31137" w:rsidP="00A31137">
      <w:r w:rsidRPr="00A31137">
        <w:t>1994, C &amp; A Carbone, Inc. v. Town of Clarkstown, 511 U.S. 413</w:t>
      </w:r>
    </w:p>
    <w:p w:rsidR="00A31137" w:rsidRPr="00A31137" w:rsidRDefault="00A31137" w:rsidP="00A31137">
      <w:r w:rsidRPr="00A31137">
        <w:t>Petitioner C &amp; A Carbone, Inc., operated a recycling center in Clarkstown, according to a state permit authorizing it to collect waste, separate out the recyclables for sale, and dispose of the rest. In violation of Local Law 9, Carbone failed to bring this nonrecyclable residue to the town transfer station, but took it directly to out-of-state incinerators and landfills, including some of the very same ones to which the Clarkstown transfer station sends its trash. Apparently, Carbone bypassed the Clarkstown facility on account of the $81 tipping fee, saving Carbone money, but costing the town thousands in lost revenue daily. In this resulting legal action, Carbone's complaint is one that any Clarkstown trash generator could have made: the town has created a monopoly on trash processing services, and residents are no longer free to provide these services for themselves or to contract for them with others at a mutually agreeable price.</w:t>
      </w:r>
    </w:p>
    <w:p w:rsidR="00A31137" w:rsidRPr="00A31137" w:rsidRDefault="00A31137" w:rsidP="00A31137">
      <w:r w:rsidRPr="00A31137">
        <w:t>II</w:t>
      </w:r>
    </w:p>
    <w:p w:rsidR="00A31137" w:rsidRPr="00A31137" w:rsidRDefault="00A31137" w:rsidP="00A31137">
      <w:r w:rsidRPr="00A31137">
        <w:t>1994, C &amp; A Carbone, Inc. v. Town of Clarkstown, 511 U.S. 413</w:t>
      </w:r>
    </w:p>
    <w:p w:rsidR="00A31137" w:rsidRPr="00A31137" w:rsidRDefault="00A31137" w:rsidP="00A31137">
      <w:r w:rsidRPr="00A31137">
        <w:t xml:space="preserve">We are not called upon to judge the ultimate wisdom of creating this local monopoly, but we are asked to say whether Clarkstown's monopoly violates the Commerce Clause, as long read by this Court to limit the power of state and local governments to discriminate against interstate commerce: [511 U.S. 414] </w:t>
      </w:r>
    </w:p>
    <w:p w:rsidR="00A31137" w:rsidRPr="00A31137" w:rsidRDefault="00A31137" w:rsidP="00A31137">
      <w:r w:rsidRPr="00A31137">
        <w:t>1994, C &amp; A Carbone, Inc. v. Town of Clarkstown, 511 U.S. 414</w:t>
      </w:r>
    </w:p>
    <w:p w:rsidR="00A31137" w:rsidRPr="00A31137" w:rsidRDefault="00A31137" w:rsidP="00A31137">
      <w:r w:rsidRPr="00A31137">
        <w:t>[The] "negative" aspect of the Commerce Clause prohibits economic protectionism—that is, regulatory measures designed to benefit in-state economic interests by burdening out-of-state competitors. Thus, state statutes that clearly discriminate against interstate commerce are routinely struck down, unless the discrimination is demonstrably justified by a valid factor unrelated to economic protectionism.</w:t>
      </w:r>
    </w:p>
    <w:p w:rsidR="00A31137" w:rsidRPr="00A31137" w:rsidRDefault="00A31137" w:rsidP="00A31137">
      <w:r w:rsidRPr="00A31137">
        <w:t>1994, C &amp; A Carbone, Inc. v. Town of Clarkstown, 511 U.S. 414</w:t>
      </w:r>
    </w:p>
    <w:p w:rsidR="00A31137" w:rsidRPr="00A31137" w:rsidRDefault="00A31137" w:rsidP="00A31137">
      <w:r w:rsidRPr="00A31137">
        <w:t>New Energy Co. of Indiana v. Limbach, 486 U.S. 269, 273-274 (1988) (citations omitted). This limitation on the state and local power has been seen implicit in the Commerce Clause because, as the majority recognizes, the Framers sought to dampen regional jealousies in general and, in particular, to eliminate retaliatory tariffs, which had poisoned commercial relations under the Articles of Confederation. Ante at  390. Laws that hoard for local businesses the right to serve local markets or develop local resources work to isolate States from each other and to incite retaliation, since no State would stand by while another advanced the economic interests of its own business classes at the expense of its neighbors.</w:t>
      </w:r>
    </w:p>
    <w:p w:rsidR="00A31137" w:rsidRPr="00A31137" w:rsidRDefault="00A31137" w:rsidP="00A31137">
      <w:r w:rsidRPr="00A31137">
        <w:t>A</w:t>
      </w:r>
    </w:p>
    <w:p w:rsidR="00A31137" w:rsidRPr="00A31137" w:rsidRDefault="00A31137" w:rsidP="00A31137">
      <w:r w:rsidRPr="00A31137">
        <w:t>1994, C &amp; A Carbone, Inc. v. Town of Clarkstown, 511 U.S. 414</w:t>
      </w:r>
    </w:p>
    <w:p w:rsidR="00A31137" w:rsidRPr="00A31137" w:rsidRDefault="00A31137" w:rsidP="00A31137">
      <w:r w:rsidRPr="00A31137">
        <w:t>The majority argues that resolution of the issue before us is controlled by a line of cases in which we have struck down state or local laws that discriminate against out-of-state or out-of-town providers of processing services. See ante at 391-392. With perhaps one exception, 2 the laws invalidated [511 U.S. 415] in those cases were patently discriminatory, differentiating by their very terms between in-state and out-of-state (or local and nonlocal) processors. One ordinance, for example, forbad selling pasteurized milk "'unless the same shall have been pasteurized and bottled…within a radius of five miles from the central portion of the City of Madison…. '" 3 Dean Milk Co. v. Madison, 340 U.S. 349,  350, n. 1 (1951) (quoting General Ordinances of the City of Madison § 7.21 (1949)). The other laws expressly discriminated against commerce crossing state lines, placing these local processing cases squarely within the larger class of cases in which this Court has invalidated facially discriminatory legislation. 4</w:t>
      </w:r>
    </w:p>
    <w:p w:rsidR="00A31137" w:rsidRPr="00A31137" w:rsidRDefault="00A31137" w:rsidP="00A31137">
      <w:r w:rsidRPr="00A31137">
        <w:t>1994, C &amp; A Carbone, Inc. v. Town of Clarkstown, 511 U.S. 415</w:t>
      </w:r>
    </w:p>
    <w:p w:rsidR="00A31137" w:rsidRPr="00A31137" w:rsidRDefault="00A31137" w:rsidP="00A31137">
      <w:r w:rsidRPr="00A31137">
        <w:t>As the majority recognizes, Local Law 9 shares two features with these local processing cases. It regulates a processing service available in interstate commerce, i.e., the sorting and baling of solid waste for disposal. And it does so in a fashion that excludes out-of-town trash processors by its very terms. These parallels between Local Law 9 and the statutes previously invalidated confer initial plausibility on the majority's classification of this case with those earlier ones on processing, and they even bring this one within the most general language of some of the earlier cases, abhorring [511 U.S. 416] the tendency of such statutes "to impose an artificial rigidity on the economic pattern of the industry," Toomer v. Witsell, 334 U.S. 385, 404-405 (1948).</w:t>
      </w:r>
    </w:p>
    <w:p w:rsidR="00A31137" w:rsidRPr="00A31137" w:rsidRDefault="00A31137" w:rsidP="00A31137">
      <w:r w:rsidRPr="00A31137">
        <w:t>B</w:t>
      </w:r>
    </w:p>
    <w:p w:rsidR="00A31137" w:rsidRPr="00A31137" w:rsidRDefault="00A31137" w:rsidP="00A31137">
      <w:r w:rsidRPr="00A31137">
        <w:t>1994, C &amp; A Carbone, Inc. v. Town of Clarkstown, 511 U.S. 416</w:t>
      </w:r>
    </w:p>
    <w:p w:rsidR="00A31137" w:rsidRPr="00A31137" w:rsidRDefault="00A31137" w:rsidP="00A31137">
      <w:r w:rsidRPr="00A31137">
        <w:t>There are, however, both analytical and practical differences between this and the earlier processing cases, differences the majority underestimates or overlooks but which, if given their due, should prevent this case from being decided the same way. First, the terms of Clarkstown's ordinance favor a single processor, not the class of all such businesses located in Clarkstown. Second, the one proprietor so favored is essentially an agent of the municipal government, which (unlike Carbone or other private trash processors) must ensure the removal of waste according to acceptable standards of public health. Any discrimination worked by Local Law 9 thus fails to produce the sort of entrepreneurial favoritism we have previously defined and condemned as protectionist.</w:t>
      </w:r>
    </w:p>
    <w:p w:rsidR="00A31137" w:rsidRPr="00A31137" w:rsidRDefault="00A31137" w:rsidP="00A31137">
      <w:r w:rsidRPr="00A31137">
        <w:t>1</w:t>
      </w:r>
    </w:p>
    <w:p w:rsidR="00A31137" w:rsidRPr="00A31137" w:rsidRDefault="00A31137" w:rsidP="00A31137">
      <w:r w:rsidRPr="00A31137">
        <w:t>1994, C &amp; A Carbone, Inc. v. Town of Clarkstown, 511 U.S. 416</w:t>
      </w:r>
    </w:p>
    <w:p w:rsidR="00A31137" w:rsidRPr="00A31137" w:rsidRDefault="00A31137" w:rsidP="00A31137">
      <w:r w:rsidRPr="00A31137">
        <w:t>The outstanding feature of the statutes reviewed in the local processing cases is their distinction between two classes of private economic actors according to location, favoring shrimp hullers within Louisiana, milk pasteurizers within five miles of the center of Madison, and so on. See Foster-Fountain Packing Co. v. Haydel, 278 U.S. 1 (1928); Dean Milk Co. v. Madison, supra. Since nothing in these local processing laws prevented a proliferation of local businesses within the State or town, the out-of-town processors were not excluded as part and parcel of a general exclusion of private firms from the market, but as a result of discrimination among such firms according to geography alone. It was because of that discrimination in favor of local businesses, preferred at the expense of their out-of-town or out-of-state competitors, that the Court struck down those local processing [511 U.S. 417] laws 5 as classic examples of the economic protectionism the dormant Commerce Clause jurisprudence aims to prevent. In the words of one commentator summarizing our case law, it is laws</w:t>
      </w:r>
    </w:p>
    <w:p w:rsidR="00A31137" w:rsidRPr="00A31137" w:rsidRDefault="00A31137" w:rsidP="00A31137">
      <w:r w:rsidRPr="00A31137">
        <w:t>1994, C &amp; A Carbone, Inc. v. Town of Clarkstown, 511 U.S. 417</w:t>
      </w:r>
    </w:p>
    <w:p w:rsidR="00A31137" w:rsidRPr="00A31137" w:rsidRDefault="00A31137" w:rsidP="00A31137">
      <w:r w:rsidRPr="00A31137">
        <w:t>adopted for the purpose of improving the competitive position of local economic actors, just because they are local, vis-a-vis their foreign competitors</w:t>
      </w:r>
    </w:p>
    <w:p w:rsidR="00A31137" w:rsidRPr="00A31137" w:rsidRDefault="00A31137" w:rsidP="00A31137">
      <w:r w:rsidRPr="00A31137">
        <w:t>1994, C &amp; A Carbone, Inc. v. Town of Clarkstown, 511 U.S. 417</w:t>
      </w:r>
    </w:p>
    <w:p w:rsidR="00A31137" w:rsidRPr="00A31137" w:rsidRDefault="00A31137" w:rsidP="00A31137">
      <w:r w:rsidRPr="00A31137">
        <w:t xml:space="preserve">that offend the Commerce Clause. Regan, The Supreme Court and State Protectionism: Making Sense of the Dormant Commerce Clause, 84 Mich.L.Rev. 1091, 1138 (1986). The Commerce Clause does not otherwise protect access to local markets. Id. at 1128. 6 [511 U.S. 418] </w:t>
      </w:r>
    </w:p>
    <w:p w:rsidR="00A31137" w:rsidRPr="00A31137" w:rsidRDefault="00A31137" w:rsidP="00A31137">
      <w:r w:rsidRPr="00A31137">
        <w:t>1994, C &amp; A Carbone, Inc. v. Town of Clarkstown, 511 U.S. 418</w:t>
      </w:r>
    </w:p>
    <w:p w:rsidR="00A31137" w:rsidRPr="00A31137" w:rsidRDefault="00A31137" w:rsidP="00A31137">
      <w:r w:rsidRPr="00A31137">
        <w:t xml:space="preserve">The majority recognizes, but discounts, this difference between laws favoring all local actors and this law favoring a single municipal one. According to the majority, "this difference just makes the protectionist effect of the ordinance more acute," because outside investors cannot even build competing facilities within Clarkstown. Ante at  392. But of course Clarkstown investors face the same prohibition, which is to say that Local Law 9's exclusion of outside capital is part of a broader exclusion of private capital, not a discrimination against out-of-state investors as such. 7 Cf. Lewis v. BT Investment Managers, Inc., 447 U.S. 27 (1980) (striking down statute prohibiting businesses owned by out-of-state banks, bank holding companies, or trust companies from providing investment advisory services). Thus, while these differences may underscore the ordinance's anticompetitive effect, they substantially mitigate any protectionist effect, for subjecting out-of-town investors and facilities to the same constraints as local ones is not economic protectionism. See New Energy Co. of Indiana v. Limbach, 486 U.S. at 273-274. 8 [511 U.S. 419] </w:t>
      </w:r>
    </w:p>
    <w:p w:rsidR="00A31137" w:rsidRPr="00A31137" w:rsidRDefault="00A31137" w:rsidP="00A31137">
      <w:r w:rsidRPr="00A31137">
        <w:t>2</w:t>
      </w:r>
    </w:p>
    <w:p w:rsidR="00A31137" w:rsidRPr="00A31137" w:rsidRDefault="00A31137" w:rsidP="00A31137">
      <w:r w:rsidRPr="00A31137">
        <w:t>1994, C &amp; A Carbone, Inc. v. Town of Clarkstown, 511 U.S. 419</w:t>
      </w:r>
    </w:p>
    <w:p w:rsidR="00A31137" w:rsidRPr="00A31137" w:rsidRDefault="00A31137" w:rsidP="00A31137">
      <w:r w:rsidRPr="00A31137">
        <w:t>Nor is the monopolist created by Local Law 9 just another private company successfully enlisting local government to protect the jobs and profits of local citizens. While our previous local processing cases have barred discrimination in markets served by private companies, Clarkstown's transfer station is essentially a municipal facility, built and operated under a contract with the municipality and soon to revert entirely to municipal ownership. 9 This, of course, is no mere coincidence, since the facility performs a municipal function that tradition as well as state and federal law recognize as the domain of local government. Throughout the history of this country, municipalities have taken responsibility for disposing of local garbage to prevent noisome smells, obstruction of the streets, and threats to public health, 10 and today [511 U.S. 420] 78 percent of landfills receiving municipal solid waste are owned by local governments. See U.S. Environmental Protection Agency, Resource Conservation and Recovery Act, Subtitle D Study: Phase 1 Report, table 4-2, p. 4-7 (Oct. 1986). The National Government provides "technical and financial assistance to States or regional authorities for comprehensive planning" with regard to the disposal of solid waste, 42 U.S.C. § 6941, and the State of New York authorizes local governments to prepare such management plans for the proper disposal of all solid waste generated within their jurisdictions, N.Y.Envir.Conserv.Law § 27-0107 (McKinney Supp. 1994). These general provisions underlie Clarkstown's more specific obligation (under its consent decree with the New York State Department of Environmental Conservation) to establish a transfer station in place of the old town dump, and it is to finance this transfer station that Local Law 9 was passed.</w:t>
      </w:r>
    </w:p>
    <w:p w:rsidR="00A31137" w:rsidRPr="00A31137" w:rsidRDefault="00A31137" w:rsidP="00A31137">
      <w:r w:rsidRPr="00A31137">
        <w:t>1994, C &amp; A Carbone, Inc. v. Town of Clarkstown, 511 U.S. 420</w:t>
      </w:r>
    </w:p>
    <w:p w:rsidR="00A31137" w:rsidRPr="00A31137" w:rsidRDefault="00A31137" w:rsidP="00A31137">
      <w:r w:rsidRPr="00A31137">
        <w:t>The majority ignores this distinction between public and private enterprise, equating Local Law 9's "hoard[ing]" of solid waste for the municipal transfer station with the design and effect of ordinances that restrict access to local markets for the benefit of local private firms. Ante at  392. But private businesses, whether local or out of State, first serve the [511 U.S. 421] private interests of their owners, and there is therefore only rarely a reason other than economic protectionism for favoring local businesses over their out-of-town competitors. The local government itself occupies a very different market position, however, being the one entity that enters the market to serve the public interest of local citizens quite apart from private interest in private gain. Reasons other than economic protectionism are accordingly more likely to explain the design and effect of an ordinance that favors a public facility. The facility as constructed might, for example, be one that private economic actors, left to their own devices, would not have built, but which the locality needs in order to abate (or guarantee against creating) a public nuisance. There is some evidence in this case that this is so, as the New York State Department of Environmental Conservation would have had no reason to insist that Clarkstown build its own transfer station if the private market had furnished adequate processing capacity to meet Clarkstown's needs. An ordinance that favors a municipal facility, in any event, is one that favors the public sector, and if "we continue to recognize that the States occupy a special and specific position in our constitutional system and that the scope of Congress' authority under the Commerce Clause must reflect that position," Garcia v. San Antonio Metropolitan Transit Authority, 469 U.S. 528,  556 (1985), then surely this Court's dormant Commerce Clause jurisprudence must itself see that favoring state-sponsored facilities differs from discriminating among private economic actors, and is much less likely to be protectionist.</w:t>
      </w:r>
    </w:p>
    <w:p w:rsidR="00A31137" w:rsidRPr="00A31137" w:rsidRDefault="00A31137" w:rsidP="00A31137">
      <w:r w:rsidRPr="00A31137">
        <w:t>3</w:t>
      </w:r>
    </w:p>
    <w:p w:rsidR="00A31137" w:rsidRPr="00A31137" w:rsidRDefault="00A31137" w:rsidP="00A31137">
      <w:r w:rsidRPr="00A31137">
        <w:t>1994, C &amp; A Carbone, Inc. v. Town of Clarkstown, 511 U.S. 421</w:t>
      </w:r>
    </w:p>
    <w:p w:rsidR="00A31137" w:rsidRPr="00A31137" w:rsidRDefault="00A31137" w:rsidP="00A31137">
      <w:r w:rsidRPr="00A31137">
        <w:t>Having established that Local Law 9 does not serve the competitive class identified in previous local processing cases and that Clarkstown differs correspondingly from other local processors, we must ask whether these differences justify a standard of dormant Commerce Clause review that differs [511 U.S. 422] from the virtually fatal scrutiny imposed in those earlier cases. I believe they do. The justification for subjecting the local processing laws and the broader class of clearly discriminatory commercial regulation to near-fatal scrutiny is the virtual certainty that such laws, at least in their discriminatory aspect, serve no legitimate, nonprotectionist purpose. See Philadelphia v. New Jersey, 437 U.S. 617,  624 (1978) ("[W]here simple economic protectionism is effected by state legislation, a virtually per se rule of invalidity has been erected"). 11 Whether we find the "the evil of protectionism," id. at  626, in the clear import of specific statutory provisions or in the legislature's ultimate purpose, the discriminatory scheme is almost always designed either to favor local industry, as such, or to achieve some other goal while exporting a disproportionate share of the burden of attaining it, which is merely a subtler form of local favoritism. Id. at 626-628.</w:t>
      </w:r>
    </w:p>
    <w:p w:rsidR="00A31137" w:rsidRPr="00A31137" w:rsidRDefault="00A31137" w:rsidP="00A31137">
      <w:r w:rsidRPr="00A31137">
        <w:t>1994, C &amp; A Carbone, Inc. v. Town of Clarkstown, 511 U.S. 422</w:t>
      </w:r>
    </w:p>
    <w:p w:rsidR="00A31137" w:rsidRPr="00A31137" w:rsidRDefault="00A31137" w:rsidP="00A31137">
      <w:r w:rsidRPr="00A31137">
        <w:t>On the other hand, in a market served by a municipal facility, a law that favors that single facility over all others is a law that favors the public sector over all private sector processors, whether local or out of State. Because the favor does not go to local private competitors of out-of-state firms, out-of-state governments will at the least lack a motive to favor their own firms in order to equalize the positions of private competitors. While a preference in favor of the government may incidentally function as local favoritism as well, a more particularized enquiry is necessary before a court can say whether such a law does in fact smack too strongly of economic protectionism. If Local Law 9 is to be struck down, in other words, it must be under that test most readily [511 U.S. 423] identified with Pike v. Bruce Church, Inc., 397 U.S. 137 (1970).</w:t>
      </w:r>
    </w:p>
    <w:p w:rsidR="00A31137" w:rsidRPr="00A31137" w:rsidRDefault="00A31137" w:rsidP="00A31137">
      <w:r w:rsidRPr="00A31137">
        <w:t>III</w:t>
      </w:r>
    </w:p>
    <w:p w:rsidR="00A31137" w:rsidRPr="00A31137" w:rsidRDefault="00A31137" w:rsidP="00A31137">
      <w:r w:rsidRPr="00A31137">
        <w:t>1994, C &amp; A Carbone, Inc. v. Town of Clarkstown, 511 U.S. 423</w:t>
      </w:r>
    </w:p>
    <w:p w:rsidR="00A31137" w:rsidRPr="00A31137" w:rsidRDefault="00A31137" w:rsidP="00A31137">
      <w:r w:rsidRPr="00A31137">
        <w:t>We have said that when legislation that does not facially discriminate</w:t>
      </w:r>
    </w:p>
    <w:p w:rsidR="00A31137" w:rsidRPr="00A31137" w:rsidRDefault="00A31137" w:rsidP="00A31137">
      <w:r w:rsidRPr="00A31137">
        <w:t>1994, C &amp; A Carbone, Inc. v. Town of Clarkstown, 511 U.S. 423</w:t>
      </w:r>
    </w:p>
    <w:p w:rsidR="00A31137" w:rsidRPr="00A31137" w:rsidRDefault="00A31137" w:rsidP="00A31137">
      <w:r w:rsidRPr="00A31137">
        <w:t>comes into conflict with the Commerce Clause's overriding requirement of a national "common market," we are confronted with the task of effecting an accommodation of the competing national and local interests.</w:t>
      </w:r>
    </w:p>
    <w:p w:rsidR="00A31137" w:rsidRPr="00A31137" w:rsidRDefault="00A31137" w:rsidP="00A31137">
      <w:r w:rsidRPr="00A31137">
        <w:t>1994, C &amp; A Carbone, Inc. v. Town of Clarkstown, 511 U.S. 423</w:t>
      </w:r>
    </w:p>
    <w:p w:rsidR="00A31137" w:rsidRPr="00A31137" w:rsidRDefault="00A31137" w:rsidP="00A31137">
      <w:r w:rsidRPr="00A31137">
        <w:t>Hunt v. Washington State Apple Advertising Comm'n, 432 U.S. 333,  350 (1977). Although this analysis of competing interests has sometimes been called a "balancing test," it is not so much an open-ended weighing of an ordinance's pros and cons as an assessment of whether an ordinance discriminates in practice, or otherwise unjustifiably operates to isolate a State's economy from the national common market. If a statute or local ordinance serves a legitimate local interest and does not patently discriminate, "it will be upheld unless the burden imposed on [interstate] commerce is clearly excessive in relation to the putative local benefits." Pike v. Bruce Church, Inc., supra, at 142. The analysis is similar to, but softer around the edges than, 12 the test we employ in cases of overt discrimination. "[T]he question becomes one of degree," and its answer depends on the nature of the burden on interstate commerce, the nature of the local interest, and the availability of alternative methods for advancing the [511 U.S. 424] local interest without hindering the national one. Id. at 142, 145.</w:t>
      </w:r>
    </w:p>
    <w:p w:rsidR="00A31137" w:rsidRPr="00A31137" w:rsidRDefault="00A31137" w:rsidP="00A31137">
      <w:r w:rsidRPr="00A31137">
        <w:t>1994, C &amp; A Carbone, Inc. v. Town of Clarkstown, 511 U.S. 424</w:t>
      </w:r>
    </w:p>
    <w:p w:rsidR="00A31137" w:rsidRPr="00A31137" w:rsidRDefault="00A31137" w:rsidP="00A31137">
      <w:r w:rsidRPr="00A31137">
        <w:t>The primary burden Carbone attributes to flow control ordinances such as Local Law 9 is that they "prevent trash from being sent to the most cost-effective disposal facilities, and insulate the designated facility from all price competition." Brief for Petitioner 32. In this case, customers must pay $11 per ton more for dumping trash at the Clarkstown transfer station than they would pay at Carbone's facility, although this dollar figure presumably overstates the burden by disguising some differences between the two:   according to its state permit, 90 percent of Carbone's waste stream comprises recyclable cardboard, while the Clarkstown facility takes all manner of less valuable waste, which it treats with state-of-the-art environmental technology not employed at Carbone's more rudimentary plant.</w:t>
      </w:r>
    </w:p>
    <w:p w:rsidR="00A31137" w:rsidRPr="00A31137" w:rsidRDefault="00A31137" w:rsidP="00A31137">
      <w:r w:rsidRPr="00A31137">
        <w:t>1994, C &amp; A Carbone, Inc. v. Town of Clarkstown, 511 U.S. 424</w:t>
      </w:r>
    </w:p>
    <w:p w:rsidR="00A31137" w:rsidRPr="00A31137" w:rsidRDefault="00A31137" w:rsidP="00A31137">
      <w:r w:rsidRPr="00A31137">
        <w:t>Fortunately, the dollar cost of the burden need not be pinpointed, its nature being more significant than its economic extent. When we look to its nature, it should be clear that the monopolistic character of Local Law 9's effects is not itself suspicious for purposes of the Commerce Clause. Although the right to compete is a hallmark of the American economy, and local monopolies are subject to challenge under the century-old Sherman Act, 13 the bar to monopolies (or, rather, the authority to dismember and penalize them) arises from a statutory, not a constitutional, mandate. No more than the Fourteenth Amendment, the Commerce Clause</w:t>
      </w:r>
    </w:p>
    <w:p w:rsidR="00A31137" w:rsidRPr="00A31137" w:rsidRDefault="00A31137" w:rsidP="00A31137">
      <w:r w:rsidRPr="00A31137">
        <w:t>1994, C &amp; A Carbone, Inc. v. Town of Clarkstown, 511 U.S. 424</w:t>
      </w:r>
    </w:p>
    <w:p w:rsidR="00A31137" w:rsidRPr="00A31137" w:rsidRDefault="00A31137" w:rsidP="00A31137">
      <w:r w:rsidRPr="00A31137">
        <w:t>does not enact Mr. Herbert Spencer's Social Statics…[or] [511 U.S. 425] embody a particular economic theory, whether of paternalism…or of laissez faire.</w:t>
      </w:r>
    </w:p>
    <w:p w:rsidR="00A31137" w:rsidRPr="00A31137" w:rsidRDefault="00A31137" w:rsidP="00A31137">
      <w:r w:rsidRPr="00A31137">
        <w:t>1994, C &amp; A Carbone, Inc. v. Town of Clarkstown, 511 U.S. 425</w:t>
      </w:r>
    </w:p>
    <w:p w:rsidR="00A31137" w:rsidRPr="00A31137" w:rsidRDefault="00A31137" w:rsidP="00A31137">
      <w:r w:rsidRPr="00A31137">
        <w:t>Lochner v. New York, 198 U.S. 45,  75 (1905) (Holmes, J., dissenting). The dormant Commerce Clause does not "protec[t] the particular structure or methods of operation in a[ny]…market." Exxon Corp. v. Governor of Md., 437 U.S. 117,  127 (1978). The only right to compete that it protects is the right to compete on terms independent of one's location.</w:t>
      </w:r>
    </w:p>
    <w:p w:rsidR="00A31137" w:rsidRPr="00A31137" w:rsidRDefault="00A31137" w:rsidP="00A31137">
      <w:r w:rsidRPr="00A31137">
        <w:t>1994, C &amp; A Carbone, Inc. v. Town of Clarkstown, 511 U.S. 425</w:t>
      </w:r>
    </w:p>
    <w:p w:rsidR="00A31137" w:rsidRPr="00A31137" w:rsidRDefault="00A31137" w:rsidP="00A31137">
      <w:r w:rsidRPr="00A31137">
        <w:t>While the monopolistic nature of the burden may be disregarded, any geographically discriminatory elements must be assessed with care. We have already observed that there is no geographically based selection among private firms, and it is clear from the face of the ordinance that nothing hinges on the source of trash that enters Clarkstown or upon the destination of the processed waste that leaves the transfer station. There is, to be sure, an incidental local economic benefit, for the need to process Clarkstown's trash in Clarkstown will create local jobs. But this local boon is mitigated by another feature of the ordinance, in that it finances whatever benefits it confers on the town from the pockets of the very citizens who passed it into law. On the reasonable assumption that no one can avoid producing some trash, every resident of Clarkstown must bear a portion of the burden Local Law 9 imposes to support the municipal monopoly, an uncharacteristic feature of statutes claimed to violate the Commerce Clause.</w:t>
      </w:r>
    </w:p>
    <w:p w:rsidR="00A31137" w:rsidRPr="00A31137" w:rsidRDefault="00A31137" w:rsidP="00A31137">
      <w:r w:rsidRPr="00A31137">
        <w:t>1994, C &amp; A Carbone, Inc. v. Town of Clarkstown, 511 U.S. 425</w:t>
      </w:r>
    </w:p>
    <w:p w:rsidR="00A31137" w:rsidRPr="00A31137" w:rsidRDefault="00A31137" w:rsidP="00A31137">
      <w:r w:rsidRPr="00A31137">
        <w:t>By way of contrast, most of the local processing statutes we have previously invalidated imposed requirements that made local goods more expensive as they headed into the national market, so that out-of-state economies bore the bulk of any burden. Requiring that Alaskan timber be milled in that State prior to export would add the value of the milling service to the Alaskan economy at the expense of some other State, but would not burden the Alaskans who adopted such a law. Cf. South-Central Timber Development, Inc. v. Wunnicke, 467 U.S. 82,  92 (1984). Similarly, South Carolinians [511 U.S. 426] would retain the financial benefit of a local processing requirement for shrimp without paying anything more themselves. Cf. Toomer v. Witsell, 334 U.S. at 403. 14 And in Philadelphia v. New Jersey, 437 U.S. at  628, the State attempted to export the burden of conserving its scarce landfill space by barring the importation of out-of-state waste. See also Brown-Forman Distillers Corp. v. New York State Liquor Authority, 476 U.S. 573, 580 (1986) (price reduction for in-state consumers of alcoholic beverages procured at the expense of out-of-state consumers). Courts step in through the dormant Commerce Clause to prevent such exports because legislative action imposing a burden</w:t>
      </w:r>
    </w:p>
    <w:p w:rsidR="00A31137" w:rsidRPr="00A31137" w:rsidRDefault="00A31137" w:rsidP="00A31137">
      <w:r w:rsidRPr="00A31137">
        <w:t>1994, C &amp; A Carbone, Inc. v. Town of Clarkstown, 511 U.S. 426</w:t>
      </w:r>
    </w:p>
    <w:p w:rsidR="00A31137" w:rsidRPr="00A31137" w:rsidRDefault="00A31137" w:rsidP="00A31137">
      <w:r w:rsidRPr="00A31137">
        <w:t>"principally upon those without the state…is not likely to be subjected to those political restraints which are normally exerted on legislation where it affects adversely some interests within the state."</w:t>
      </w:r>
    </w:p>
    <w:p w:rsidR="00A31137" w:rsidRPr="00A31137" w:rsidRDefault="00A31137" w:rsidP="00A31137">
      <w:r w:rsidRPr="00A31137">
        <w:t>1994, C &amp; A Carbone, Inc. v. Town of Clarkstown, 511 U.S. 426</w:t>
      </w:r>
    </w:p>
    <w:p w:rsidR="00A31137" w:rsidRPr="00A31137" w:rsidRDefault="00A31137" w:rsidP="00A31137">
      <w:r w:rsidRPr="00A31137">
        <w:t xml:space="preserve">South-Central Timber, supra, at  92 (quoting South Carolina State Highway Dept. v. Barnwell Brothers, Inc., 303 U.S. 177,  185, n. 2 (1938)); see also Southern Pacific Co. v. Arizona ex rel. Sullivan, 325 U.S. 761, 767-768, n. 2 (1945). Here, in contrast, every voter in Clarkstown pays to fund the benefits of flow control, however high the tipping fee is set. Since, indeed, the mandate to use the town facility will only make a difference when the tipping fee raises the cost of using the facility above what the market would otherwise set, the Clarkstown voters are funding their benefit by assessing themselves and paying an economic penalty. Any whiff of economic protectionism is far from obvious. 15 [511 U.S. 427] </w:t>
      </w:r>
    </w:p>
    <w:p w:rsidR="00A31137" w:rsidRPr="00A31137" w:rsidRDefault="00A31137" w:rsidP="00A31137">
      <w:r w:rsidRPr="00A31137">
        <w:t>1994, C &amp; A Carbone, Inc. v. Town of Clarkstown, 511 U.S. 427</w:t>
      </w:r>
    </w:p>
    <w:p w:rsidR="00A31137" w:rsidRPr="00A31137" w:rsidRDefault="00A31137" w:rsidP="00A31137">
      <w:r w:rsidRPr="00A31137">
        <w:t>An examination of the record confirms skepticism that enforcement of the ordinance portends a Commerce Clause violation, for it shows that the burden falls entirely on Clarkstown residents. If the record contained evidence that Clarkstown's ordinance burdened out-of-town providers of garbage sorting and baling services, rather than just the local business that is a party in this case, that fact might be significant. But petitioner has presented no evidence that there are transfer stations outside Clarkstown capable of handling the town's business, and the record is devoid of evidence that such enterprises have lost business as a result of this ordinance. Cf. Pike v. Bruce Church, Inc., 397 U.S. at 145 ("The nature of th[e] burden is, constitutionally, more significant than its extent" and the danger to be avoided is that of laws that hoard business for local residents). Similarly, if the record supported an inference that above-market pricing at the Clarkstown transfer station caused less trash to flow to out-of-state landfills and incinerators, that, too, might have constitutional significance. There is, however, no evidence of any disruption in the flow of trash from curbsides in Clarkstown to landfills in Florida and Ohio. 16 Here [511 U.S. 428] we can confidently say that the only business lost as a result of this ordinance is business lost in Clarkstown, as customers who had used Carbone's facility drift away in response to any higher fees Carbone may have to institute to afford its share of city services; but business lost in Clarkstown as a result of a Clarkstown ordinance is not a burden that offends the Constitution.</w:t>
      </w:r>
    </w:p>
    <w:p w:rsidR="00A31137" w:rsidRPr="00A31137" w:rsidRDefault="00A31137" w:rsidP="00A31137">
      <w:r w:rsidRPr="00A31137">
        <w:t>1994, C &amp; A Carbone, Inc. v. Town of Clarkstown, 511 U.S. 428</w:t>
      </w:r>
    </w:p>
    <w:p w:rsidR="00A31137" w:rsidRPr="00A31137" w:rsidRDefault="00A31137" w:rsidP="00A31137">
      <w:r w:rsidRPr="00A31137">
        <w:t>This skepticism that protectionism is afoot here is confirmed again when we examine the governmental interests apparently served by the local law. As mentioned already, the State and its municipalities need prompt, sanitary trash processing, which is imperative whether or not the private market sees fit to serve this need at an affordable price and to continue doing so dependably into the future. The state and local governments also have a substantial interest in the flow-control feature to minimize the risk of financing this service, for while there may be an element of exaggeration in the statement that "[r]esource recovery facilities cannot be built unless they are guaranteed a supply of discarded material," H.R.Rep. No. 94-1491, p. 10 (1976), there is no question that a "put or pay" contract of the type Clarkstown signed will be a significant inducement to accept municipal responsibility to guarantee efficiency and sanitation in trash processing. Waste disposal with minimal environmental damage requires serious capital investment, id. at 34, and there are limits on any municipality's ability to incur debt or [511 U.S. 429] to finance facilities out of tax revenues. Protection of the public fisc is a legitimate local benefit directly advanced by the ordinance and quite unlike the generalized advantage to local businesses that we have condemned as protectionist in the past. See Regan, 84 Mich.L.Rev. at 1120 ("raising revenue for the state treasury is a federally cognizable benefit"; protectionism is not); cf. Fort Gratiot Sanitary Landfill, Inc. v. Michigan Dept. of Natural Resources, 504 U.S. 353,  357 (1992) (law protects private, not publicly owned, waste disposal capacity for domestic use); Philadelphia v. New Jersey, 476 U.S. at 627, n. 6 (expressing no opinion about State's power to favor its own residents in granting access to state-owned resources). 17</w:t>
      </w:r>
    </w:p>
    <w:p w:rsidR="00A31137" w:rsidRPr="00A31137" w:rsidRDefault="00A31137" w:rsidP="00A31137">
      <w:r w:rsidRPr="00A31137">
        <w:t>1994, C &amp; A Carbone, Inc. v. Town of Clarkstown, 511 U.S. 429</w:t>
      </w:r>
    </w:p>
    <w:p w:rsidR="00A31137" w:rsidRPr="00A31137" w:rsidRDefault="00A31137" w:rsidP="00A31137">
      <w:r w:rsidRPr="00A31137">
        <w:t>Moreover, flow control offers an additional benefit that could not be gained by financing through a subsidy derived from general tax revenues, in spreading the cost of the facility among all Clarkstown residents who generate trash. The ordinance does, of course, protect taxpayers, including those who already support the transfer station by patronizing it, from ending up with the tab for making provision for large-volume trash producers like Carbone, who would rely on the municipal facility when that was advantageous but opt out whenever the transfer station's price rose above the market price. In proportioning each resident's burden to the amount of trash generated, the ordinance has the added virtue of providing a direct and measurable deterrent to the generation of unnecessary waste in the first place. And in any event it is far from clear that the alternative to flow control (i.e., subsidies from general tax revenues or municipal bonds) would be less disruptive of interstate commerce [511 U.S. 430] than flow control, since a subsidized competitor can effectively squelch competition by underbidding it.</w:t>
      </w:r>
    </w:p>
    <w:p w:rsidR="00A31137" w:rsidRPr="00A31137" w:rsidRDefault="00A31137" w:rsidP="00A31137">
      <w:r w:rsidRPr="00A31137">
        <w:t>1994, C &amp; A Carbone, Inc. v. Town of Clarkstown, 511 U.S. 430</w:t>
      </w:r>
    </w:p>
    <w:p w:rsidR="00A31137" w:rsidRPr="00A31137" w:rsidRDefault="00A31137" w:rsidP="00A31137">
      <w:r w:rsidRPr="00A31137">
        <w:t>There is, in short, no evidence that Local Law 9 causes discrimination against out-of-town processors, because there is no evidence in the record that such processors have lost business as a result of it. Instead, we know only that the ordinance causes the local residents who adopted it to pay more for trash disposal services. But local burdens are not the focus of the dormant Commerce Clause, and this imposition is in any event readily justified by the ordinance's legitimate benefits in reliable and sanitary trash processing.</w:t>
      </w:r>
    </w:p>
    <w:p w:rsidR="00A31137" w:rsidRPr="00A31137" w:rsidRDefault="00A31137" w:rsidP="00A31137">
      <w:r w:rsidRPr="00A31137">
        <w:t>*    *    *    *</w:t>
      </w:r>
    </w:p>
    <w:p w:rsidR="00A31137" w:rsidRPr="00A31137" w:rsidRDefault="00A31137" w:rsidP="00A31137">
      <w:r w:rsidRPr="00A31137">
        <w:t>1994, C &amp; A Carbone, Inc. v. Town of Clarkstown, 511 U.S. 430</w:t>
      </w:r>
    </w:p>
    <w:p w:rsidR="00A31137" w:rsidRPr="00A31137" w:rsidRDefault="00A31137" w:rsidP="00A31137">
      <w:r w:rsidRPr="00A31137">
        <w:t>The Commerce Clause was not passed to save the citizens of Clarkstown from themselves. It should not be wielded to prevent them from attacking their local garbage problems with an ordinance that does not discriminate between local and out-of-town participants in the private market for trash disposal services and that is not protectionist in its purpose or effect. Local Law 9 conveys a privilege on the municipal government alone, the only market participant that bears responsibility for ensuring that adequate trash processing services continue to be available to Clarkstown residents. Because the Court's decision today is neither compelled by our local processing cases nor consistent with this Court's reason for inferring a dormant or negative aspect to the Commerce Clause in the first place, I respectfully dissent.</w:t>
      </w:r>
    </w:p>
    <w:p w:rsidR="00A31137" w:rsidRPr="00A31137" w:rsidRDefault="00A31137" w:rsidP="00A31137">
      <w:r w:rsidRPr="00A31137">
        <w:t>Footnotes</w:t>
      </w:r>
    </w:p>
    <w:p w:rsidR="00A31137" w:rsidRPr="00A31137" w:rsidRDefault="00A31137" w:rsidP="00A31137">
      <w:r w:rsidRPr="00A31137">
        <w:t>KENNEDY, J., lead opinion (Footnotes)</w:t>
      </w:r>
    </w:p>
    <w:p w:rsidR="00A31137" w:rsidRPr="00A31137" w:rsidRDefault="00A31137" w:rsidP="00A31137">
      <w:r w:rsidRPr="00A31137">
        <w:t>1994, C &amp; A Carbone, Inc. v. Town of Clarkstown, 511 U.S. 430</w:t>
      </w:r>
    </w:p>
    <w:p w:rsidR="00A31137" w:rsidRPr="00A31137" w:rsidRDefault="00A31137" w:rsidP="00A31137">
      <w:r w:rsidRPr="00A31137">
        <w:t>* In a separate zoning ordinance, the Town declared that it shall have only one designated transfer station. Town of Clarkstown Zoning Code § 106-3.</w:t>
      </w:r>
    </w:p>
    <w:p w:rsidR="00A31137" w:rsidRPr="00A31137" w:rsidRDefault="00A31137" w:rsidP="00A31137">
      <w:r w:rsidRPr="00A31137">
        <w:t>O'CONNOR, J., concurring (Footnotes)</w:t>
      </w:r>
    </w:p>
    <w:p w:rsidR="00A31137" w:rsidRPr="00A31137" w:rsidRDefault="00A31137" w:rsidP="00A31137">
      <w:r w:rsidRPr="00A31137">
        <w:t>1994, C &amp; A Carbone, Inc. v. Town of Clarkstown, 511 U.S. 430</w:t>
      </w:r>
    </w:p>
    <w:p w:rsidR="00A31137" w:rsidRPr="00A31137" w:rsidRDefault="00A31137" w:rsidP="00A31137">
      <w:r w:rsidRPr="00A31137">
        <w:t>* Colo.Rev.Stat. § 30-20-107 (Supp. 1993); Conn.Gen.Stat. § 22a-220a (1993); Del.Code Ann. Tit. 7, § 6406(31) (1991); Fla.Stat. § 403.713 (1991); Haw.Rev.Stat. § 340A-3(a) (1985); Ind.Code §§ 36-9-31-3 and-4 (1993); Iowa Code § 28G.4 (1987); La.Rev.Stat.Ann. § 30:2307(9) (West 1989); Me.Rev.Stat.Ann., Tit. 38, § 1304-B(2) (1964); Minn.Stat. § 115A.80 (1992); Miss.Code Ann. § 17-17-319 (Supp. 1993); Mo.Rev.Stat. § 260.202 (Supp. 1993); N.J.Stat.Ann. §§ 13.1E-22, 48:13A-5 (West 1991 and Supp. 1993); N.C.Gen.Stat. § 130A-294 (1992); N.D.Cent. Code, §§ 23-29-06(6) and (8) (Supp. 1993); Ore.Rev.Stat. §§ 268.317(3) and (4) (1991); Pa.Stat.Ann., Tit. 53, § 4000.303(e) (Purdon Supp. 1993); R.I.Gen.Laws § 23-19-10(40) (1956); Tenn.Code Ann. § 68-211-814 (Supp. 1993); Vt.Stat.Ann., Tit. 24, § 2203b (1992); Va.Code Ann. § 15.1-28.01 (Supp. 1993).</w:t>
      </w:r>
    </w:p>
    <w:p w:rsidR="00A31137" w:rsidRPr="00A31137" w:rsidRDefault="00A31137" w:rsidP="00A31137">
      <w:r w:rsidRPr="00A31137">
        <w:t>SOUTER, J., dissenting (Footnotes)</w:t>
      </w:r>
    </w:p>
    <w:p w:rsidR="00A31137" w:rsidRPr="00A31137" w:rsidRDefault="00A31137" w:rsidP="00A31137">
      <w:r w:rsidRPr="00A31137">
        <w:t>1994, C &amp; A Carbone, Inc. v. Town of Clarkstown, 511 U.S. 430</w:t>
      </w:r>
    </w:p>
    <w:p w:rsidR="00A31137" w:rsidRPr="00A31137" w:rsidRDefault="00A31137" w:rsidP="00A31137">
      <w:r w:rsidRPr="00A31137">
        <w:t>1. The ordinance has exceptions not at issue here for hazardous waste, pathological waste, and sludge, and for source-separated recyclables, which can be disposed of within or outside the town. Local Law 9, §§ 1, 3C (1990).</w:t>
      </w:r>
    </w:p>
    <w:p w:rsidR="00A31137" w:rsidRPr="00A31137" w:rsidRDefault="00A31137" w:rsidP="00A31137">
      <w:r w:rsidRPr="00A31137">
        <w:t>1994, C &amp; A Carbone, Inc. v. Town of Clarkstown, 511 U.S. 430</w:t>
      </w:r>
    </w:p>
    <w:p w:rsidR="00A31137" w:rsidRPr="00A31137" w:rsidRDefault="00A31137" w:rsidP="00A31137">
      <w:r w:rsidRPr="00A31137">
        <w:t>2. The arguable exception is Pike v. Bruce Church, Inc., 397 U.S. 137 (1970), where the Court invalidated an administrative order issued pursuant to a facially neutral statute. While the order discriminated on its face, prohibiting the interstate shipment of respondent's cantaloupes unless they were first packaged locally, the statute it sought to enforce merely required that Arizona-grown cantaloupes advertise their State of origin on each package. In Part III, I discuss the line of cases in which we have struck down statutes that, although lacking explicit geographical sorting mechanisms, are discriminatory in practical effect.</w:t>
      </w:r>
    </w:p>
    <w:p w:rsidR="00A31137" w:rsidRPr="00A31137" w:rsidRDefault="00A31137" w:rsidP="00A31137">
      <w:r w:rsidRPr="00A31137">
        <w:t>1994, C &amp; A Carbone, Inc. v. Town of Clarkstown, 511 U.S. 430</w:t>
      </w:r>
    </w:p>
    <w:p w:rsidR="00A31137" w:rsidRPr="00A31137" w:rsidRDefault="00A31137" w:rsidP="00A31137">
      <w:r w:rsidRPr="00A31137">
        <w:t>3. The area encompassed by this provision included all of Madison except the runways of the municipal airport, plus a small amount of unincorporated land. See The Madison and Wisconsin Foundation, "Map of the City of Madison" (1951).</w:t>
      </w:r>
    </w:p>
    <w:p w:rsidR="00A31137" w:rsidRPr="00A31137" w:rsidRDefault="00A31137" w:rsidP="00A31137">
      <w:r w:rsidRPr="00A31137">
        <w:t>1994, C &amp; A Carbone, Inc. v. Town of Clarkstown, 511 U.S. 430</w:t>
      </w:r>
    </w:p>
    <w:p w:rsidR="00A31137" w:rsidRPr="00A31137" w:rsidRDefault="00A31137" w:rsidP="00A31137">
      <w:r w:rsidRPr="00A31137">
        <w:t>4. See, e.g., Chemical Waste Management, Inc. v. Hunt, 504 U.S. 334 (1992) (Alabama statute taxing hazardous waste not originating in State); Wyoming v. Oklahoma, 502 U.S. 437 (1992) (Oklahoma statute requiring power plants to burn at least 10 percent Oklahoma-mined coal); New Energy Co. of Indiana v. Limbach, 486 U.S. 269 (1988) (Ohio statute awarding tax credit for sales of ethanol only if it is produced in Ohio or in a State that awards similar tax breaks for Ohio-produced ethanol); New England Power Co. v. New Hampshire, 455 U.S. 331 (1982) (New Hampshire statute prohibiting hydroelectric power from being sold out of State without permission from the State's Public Utilities Commission); Hughes v. Oklahoma, 441 U.S. 322 (1979) (Oklahoma law forbidding out-of-state sale of natural minnows).</w:t>
      </w:r>
    </w:p>
    <w:p w:rsidR="00A31137" w:rsidRPr="00A31137" w:rsidRDefault="00A31137" w:rsidP="00A31137">
      <w:r w:rsidRPr="00A31137">
        <w:t>1994, C &amp; A Carbone, Inc. v. Town of Clarkstown, 511 U.S. 430</w:t>
      </w:r>
    </w:p>
    <w:p w:rsidR="00A31137" w:rsidRPr="00A31137" w:rsidRDefault="00A31137" w:rsidP="00A31137">
      <w:r w:rsidRPr="00A31137">
        <w:t>5. See South-Central Timber Development, Inc. v. Wunnicke, 467 U.S. 82,  92 (1984) (quoting South Carolina State Highway Dept. v. Barnwell Brothers, Inc., 303 U.S. 177,  185, n. 2 (1938)) (danger lies in regulation whose "'burden falls principally upon those without the state'"); Dean Milk Co. v. Madison, 340 U.S. 349,  354 (1951) (in "erecting an economic barrier protecting a major local industry against competition from without the State, Madison plainly discriminates against interstate commerce. This it cannot do…"); Foster-Fountain Packing Co. v. Haydel, 278 U.S. 1, 13 (1928) (statute unconstitutional because it "favor[s] the canning of the meat and the manufacture of bran in Louisiana" instead of Biloxi); Minnesota v. Barber, 136 U.S. 313, 323 (1890) (statute infirm because its necessary result is "discrimination against the products and business of other States in favor of the products and business of Minnesota"). See also Fort Gratiot Sanitary Landfill, Inc. v. Michigan Dept. of Natural Resources, 504 U.S. 353,  361 (1992) (statute infirm because it protects "local waste producers…from competition from out-of-state waste producers who seek to use local waste disposal areas"); Philadelphia v. New Jersey, 437 U.S. 617, 626-627 (1978) (New Jersey "may not…discriminat[e] against articles of commerce coming from outside the State unless there is some reason, apart from their origin, to treat them differently").</w:t>
      </w:r>
    </w:p>
    <w:p w:rsidR="00A31137" w:rsidRPr="00A31137" w:rsidRDefault="00A31137" w:rsidP="00A31137">
      <w:r w:rsidRPr="00A31137">
        <w:t>1994, C &amp; A Carbone, Inc. v. Town of Clarkstown, 511 U.S. 430</w:t>
      </w:r>
    </w:p>
    <w:p w:rsidR="00A31137" w:rsidRPr="00A31137" w:rsidRDefault="00A31137" w:rsidP="00A31137">
      <w:r w:rsidRPr="00A31137">
        <w:t>6. See also Smith, State Discriminations Against Interstate Commerce, 74 Cal.L.Rev. 1203, 1204 (1986) ("The nub of the matter is that discriminatory regulations are almost invariably invalid, whereas nondiscriminatory regulations are much more likely to survive"; "[a] regulation is discriminatory if it imposes greater economic burdens on those outside the state, to the economic advantage of those within"); L. Tribe, American Constitutional Law 417 (2d ed. 1988) ("[T]he negative implications of the commerce clause derive principally from a political theory of union, not from an economic theory of free trade. The function of the clause is to ensure national solidarity, not economic efficiency").</w:t>
      </w:r>
    </w:p>
    <w:p w:rsidR="00A31137" w:rsidRPr="00A31137" w:rsidRDefault="00A31137" w:rsidP="00A31137">
      <w:r w:rsidRPr="00A31137">
        <w:t>1994, C &amp; A Carbone, Inc. v. Town of Clarkstown, 511 U.S. 430</w:t>
      </w:r>
    </w:p>
    <w:p w:rsidR="00A31137" w:rsidRPr="00A31137" w:rsidRDefault="00A31137" w:rsidP="00A31137">
      <w:r w:rsidRPr="00A31137">
        <w:t>7. The record does not indicate whether local or out-of-state investors own the private firm that built Clarkstown's transfer station for the municipality.</w:t>
      </w:r>
    </w:p>
    <w:p w:rsidR="00A31137" w:rsidRPr="00A31137" w:rsidRDefault="00A31137" w:rsidP="00A31137">
      <w:r w:rsidRPr="00A31137">
        <w:t>1994, C &amp; A Carbone, Inc. v. Town of Clarkstown, 511 U.S. 430</w:t>
      </w:r>
    </w:p>
    <w:p w:rsidR="00A31137" w:rsidRPr="00A31137" w:rsidRDefault="00A31137" w:rsidP="00A31137">
      <w:r w:rsidRPr="00A31137">
        <w:t>8. In a potentially related argument, the majority says our case law supports the proposition that an "ordinance is no less discriminatory because in-state or in-town processors are also covered by [its] prohibition." Ante, at  391. If this statement is understood as doing away with the distinction between laws that discriminate based on geography and those that do not, authority for it is lacking. The majority supports its statement by citing from a footnote in Dean Milk, that "[i]t is immaterial that Wisconsin milk from outside the Madison area is subjected to the same proscription as that moving in interstate commerce," 340 U.S. at  354, n. 4, but that observation merely recognized that our dormant Commerce Clause jurisprudence extends to municipalities as well as to States and invalidates geographical restrictions phrased in miles as well as in terms of political boundaries. This reading is confirmed by the fact that the Dean Milk Court's only explanation for its statement was to cite a case striking down a statute forbidding the selling of "'any fresh meats…slaughtered one hundred miles or over from the place at which it is offered for sale, until and except it has been inspected'" at a cost to its owner of a penny per pound. Brimmer v. Rebman, 138 U.S. 78, 80 (1891), (quoting Acts of Va. 1889-1890, p. 63, ch. 80). That the majority here cites also to Fort Gratiot Landfill v. Michigan Dept. of Natural Resources, supra, may indicate that it reads Dean Milk the same way I do, but then it cannot use the case to stand for the more radical proposition I quoted above.</w:t>
      </w:r>
    </w:p>
    <w:p w:rsidR="00A31137" w:rsidRPr="00A31137" w:rsidRDefault="00A31137" w:rsidP="00A31137">
      <w:r w:rsidRPr="00A31137">
        <w:t>1994, C &amp; A Carbone, Inc. v. Town of Clarkstown, 511 U.S. 430</w:t>
      </w:r>
    </w:p>
    <w:p w:rsidR="00A31137" w:rsidRPr="00A31137" w:rsidRDefault="00A31137" w:rsidP="00A31137">
      <w:r w:rsidRPr="00A31137">
        <w:t>9. At the end of a 5-year term, during which the private contractor receives profits sufficient to induce it to provide the plant in the first place, the town will presumably step into the contractor's shoes for the nominal dollar. Such contracts, enlisting a private company to build, operate, and then transfer to local government an expensive public improvement, enable municipalities to acquire public facilities without resorting to municipal funds or credit.</w:t>
      </w:r>
    </w:p>
    <w:p w:rsidR="00A31137" w:rsidRPr="00A31137" w:rsidRDefault="00A31137" w:rsidP="00A31137">
      <w:r w:rsidRPr="00A31137">
        <w:t>1994, C &amp; A Carbone, Inc. v. Town of Clarkstown, 511 U.S. 430</w:t>
      </w:r>
    </w:p>
    <w:p w:rsidR="00A31137" w:rsidRPr="00A31137" w:rsidRDefault="00A31137" w:rsidP="00A31137">
      <w:r w:rsidRPr="00A31137">
        <w:t>10. For example, in 1764, the South Carolina Legislature established a street commission for Charleston with the power "to remove all filth and rubbish, to such proper place or places, in or near the said town, as they…shall allot…. " Act of Aug. 10, 1764, ¶ 1. In New Amsterdam a century earlier,</w:t>
      </w:r>
    </w:p>
    <w:p w:rsidR="00A31137" w:rsidRPr="00A31137" w:rsidRDefault="00A31137" w:rsidP="00A31137">
      <w:r w:rsidRPr="00A31137">
        <w:t>1994, C &amp; A Carbone, Inc. v. Town of Clarkstown, 511 U.S. 430</w:t>
      </w:r>
    </w:p>
    <w:p w:rsidR="00A31137" w:rsidRPr="00A31137" w:rsidRDefault="00A31137" w:rsidP="00A31137">
      <w:r w:rsidRPr="00A31137">
        <w:t>[t]he burgomasters and schepens ordained that all such refuse be brought to dumping grounds near the City Hall and the gallows or to other designated places.</w:t>
      </w:r>
    </w:p>
    <w:p w:rsidR="00A31137" w:rsidRPr="00A31137" w:rsidRDefault="00A31137" w:rsidP="00A31137">
      <w:r w:rsidRPr="00A31137">
        <w:t>1994, C &amp; A Carbone, Inc. v. Town of Clarkstown, 511 U.S. 430</w:t>
      </w:r>
    </w:p>
    <w:p w:rsidR="00A31137" w:rsidRPr="00A31137" w:rsidRDefault="00A31137" w:rsidP="00A31137">
      <w:r w:rsidRPr="00A31137">
        <w:t>M. Goodwin, Dutch and English on the Hudson 105 (1977 ed.). Indeed, some communities have employed flow control ordinances in pursuit of these goals, ordinances this Court has twice upheld against constitutional attack. See California Reduction Company v. Sanitary Reduction Works, 199 U.S. 306 (1905) (upholding against a takings challenge an ordinance requiring that all garbage in San Francisco be disposed of, for a fee, at facilities belonging to F. E. Sharon); Gardner v. Michigan, 199 U.S. 325 (1905) (upholding against due process challenge an ordinance requiring that all garbage in Detroit be collected and disposed of by a single city contractor). It is not mere inattention that has left these fine old cases free from subsequent aspersion, for they illustrate that, even at the height of the Lochner era, the Court recognized that, for municipalities struggling to abate their garbage problems, the Constitution did not require unimpeded private enterprise.</w:t>
      </w:r>
    </w:p>
    <w:p w:rsidR="00A31137" w:rsidRPr="00A31137" w:rsidRDefault="00A31137" w:rsidP="00A31137">
      <w:r w:rsidRPr="00A31137">
        <w:t>1994, C &amp; A Carbone, Inc. v. Town of Clarkstown, 511 U.S. 430</w:t>
      </w:r>
    </w:p>
    <w:p w:rsidR="00A31137" w:rsidRPr="00A31137" w:rsidRDefault="00A31137" w:rsidP="00A31137">
      <w:r w:rsidRPr="00A31137">
        <w:t>11. For the rare occasion when discriminatory laws are the best vehicle for furthering a legitimate state interest, Maine v. Taylor, 477 U.S. 131 (1986), provides an exception, but we need not address that exception here because this ordinance is not subject to the presumption of unconstitutionality appropriate for protectionist legislation.</w:t>
      </w:r>
    </w:p>
    <w:p w:rsidR="00A31137" w:rsidRPr="00A31137" w:rsidRDefault="00A31137" w:rsidP="00A31137">
      <w:r w:rsidRPr="00A31137">
        <w:t>1994, C &amp; A Carbone, Inc. v. Town of Clarkstown, 511 U.S. 430</w:t>
      </w:r>
    </w:p>
    <w:p w:rsidR="00A31137" w:rsidRPr="00A31137" w:rsidRDefault="00A31137" w:rsidP="00A31137">
      <w:r w:rsidRPr="00A31137">
        <w:t>12. Where discrimination is not patent on the face of a statute, the party challenging its constitutionality has a more difficult task, but appropriately so, because the danger posed by such laws is generally smaller. Discrimination that is not patent or purposeful but</w:t>
      </w:r>
    </w:p>
    <w:p w:rsidR="00A31137" w:rsidRPr="00A31137" w:rsidRDefault="00A31137" w:rsidP="00A31137">
      <w:r w:rsidRPr="00A31137">
        <w:t>1994, C &amp; A Carbone, Inc. v. Town of Clarkstown, 511 U.S. 430</w:t>
      </w:r>
    </w:p>
    <w:p w:rsidR="00A31137" w:rsidRPr="00A31137" w:rsidRDefault="00A31137" w:rsidP="00A31137">
      <w:r w:rsidRPr="00A31137">
        <w:t>in effect may be substantially less likely to provoke retaliation by other states….   In the words of Justice Holmes, "even a dog distinguishes between being stumbled over and being kicked."</w:t>
      </w:r>
    </w:p>
    <w:p w:rsidR="00A31137" w:rsidRPr="00A31137" w:rsidRDefault="00A31137" w:rsidP="00A31137">
      <w:r w:rsidRPr="00A31137">
        <w:t>1994, C &amp; A Carbone, Inc. v. Town of Clarkstown, 511 U.S. 430</w:t>
      </w:r>
    </w:p>
    <w:p w:rsidR="00A31137" w:rsidRPr="00A31137" w:rsidRDefault="00A31137" w:rsidP="00A31137">
      <w:r w:rsidRPr="00A31137">
        <w:t>Smith, 74 Cal.L.Rev., at 1251 (quoting O. W. Holmes, The Common Law 3 (1881)). See also Regan, The Supreme Court and State Protectionism: Making Sense of the Dormant Commerce Clause, 84 Mich.L.Rev. 1091, 1133-1134 (1986).</w:t>
      </w:r>
    </w:p>
    <w:p w:rsidR="00A31137" w:rsidRPr="00A31137" w:rsidRDefault="00A31137" w:rsidP="00A31137">
      <w:r w:rsidRPr="00A31137">
        <w:t>1994, C &amp; A Carbone, Inc. v. Town of Clarkstown, 511 U.S. 430</w:t>
      </w:r>
    </w:p>
    <w:p w:rsidR="00A31137" w:rsidRPr="00A31137" w:rsidRDefault="00A31137" w:rsidP="00A31137">
      <w:r w:rsidRPr="00A31137">
        <w:t>13. See 15 U.S.C. §§ 1 and 2. Indeed, other flow control ordinances have been challenged under the Sherman Act, although without success where municipal defendants have availed themselves of the state action exception to the antitrust laws. See Hybud Equipment Corp. v. Akron, 742 F.2d 949 (CA6 1984); Central Iowa Refuse Systems, Inc. v. Des Moines Metropolitan Solid Waste Agency, 715 F.2d 419 (CA8 1983). That the State of New York's Holland-Gromack Law, 1991 N.Y.Laws, ch. 569 (McKinney), authorizes Clarkstown's flow control ordinance may explain why no Sherman Act claim was made here.</w:t>
      </w:r>
    </w:p>
    <w:p w:rsidR="00A31137" w:rsidRPr="00A31137" w:rsidRDefault="00A31137" w:rsidP="00A31137">
      <w:r w:rsidRPr="00A31137">
        <w:t>1994, C &amp; A Carbone, Inc. v. Town of Clarkstown, 511 U.S. 430</w:t>
      </w:r>
    </w:p>
    <w:p w:rsidR="00A31137" w:rsidRPr="00A31137" w:rsidRDefault="00A31137" w:rsidP="00A31137">
      <w:r w:rsidRPr="00A31137">
        <w:t>14. I recognize that the economics differ if a State does not enjoy a significant price advantage over its neighbors and thus cannot pass along the added costs associated with its local processing requirement, but such States are unlikely to adopt local processing requirements for precisely that reason.</w:t>
      </w:r>
    </w:p>
    <w:p w:rsidR="00A31137" w:rsidRPr="00A31137" w:rsidRDefault="00A31137" w:rsidP="00A31137">
      <w:r w:rsidRPr="00A31137">
        <w:t>1994, C &amp; A Carbone, Inc. v. Town of Clarkstown, 511 U.S. 430</w:t>
      </w:r>
    </w:p>
    <w:p w:rsidR="00A31137" w:rsidRPr="00A31137" w:rsidRDefault="00A31137" w:rsidP="00A31137">
      <w:r w:rsidRPr="00A31137">
        <w:t>15. This argument does not alone foreclose the possibility of economic protectionism in this case, as the ordinance could burden, in addition to the residents of Clarkstown, out-of-town trash processors who would have sought Clarkstown's business in the absence of flow control. But as we will see, the absence of evidence of injury to such processors eliminates that argument here.</w:t>
      </w:r>
    </w:p>
    <w:p w:rsidR="00A31137" w:rsidRPr="00A31137" w:rsidRDefault="00A31137" w:rsidP="00A31137">
      <w:r w:rsidRPr="00A31137">
        <w:t>1994, C &amp; A Carbone, Inc. v. Town of Clarkstown, 511 U.S. 430</w:t>
      </w:r>
    </w:p>
    <w:p w:rsidR="00A31137" w:rsidRPr="00A31137" w:rsidRDefault="00A31137" w:rsidP="00A31137">
      <w:r w:rsidRPr="00A31137">
        <w:t>16. In this context, note that the conflict JUSTICE O'CONNOR hypothesizes between multiple flow control laws is not one that occurs in this case. If Carbone was processing trash from New Jersey, it was making no attempt to return the nonrecycled residue there. And theoretically, Carbone could have complied with both flow control ordinances, as Clarkstown's law required local processing, while New Jersey's required only that any postprocessing residue be returned to the State. But more fundamentally, even if a nondiscriminatory ordinance conflicts with the law of some other jurisdiction, that fact would not, in itself, lead to its invalidation. In the cases JUSTICE O'CONNOR cites, the statutes at issue served no legitimate state interest that weighed against the burden on interstate commerce their conflicts created. See Bibb v. Navaho Freight Lines, Inc., 359 U.S. 520,  525 (1959) (mudguards Illinois required on trucks possess no safety advantage but create new hazards); Southern Pacific Co. v. Arizona ex rel. Sullivan, 325 U.S. 761,  779 (1945) (Arizona statute limiting length of trains "affords at most slight and dubious advantage, if any" with respect to safety). Here, in contrast, we will see that the municipality's interests are substantial and that the alternative means for advancing them are less desirable and potentially as disruptive of interstate commerce. Finally, in any conflict between flow control that reaches only waste within its jurisdiction and flow control that reaches beyond (requiring waste originating locally to be returned after processing elsewhere), it may be the latter that should give way for regulating conduct occurring wholly out of State. See Brown-Forman Distillers Corp. v. New York State Liquor Authority, 476 U.S. 573, 580-582 (1986).</w:t>
      </w:r>
    </w:p>
    <w:p w:rsidR="00A31137" w:rsidRPr="00A31137" w:rsidRDefault="00A31137" w:rsidP="00A31137">
      <w:r w:rsidRPr="00A31137">
        <w:t>1994, C &amp; A Carbone, Inc. v. Town of Clarkstown, 511 U.S. 430</w:t>
      </w:r>
    </w:p>
    <w:p w:rsidR="00A31137" w:rsidRPr="00A31137" w:rsidRDefault="00A31137" w:rsidP="00A31137">
      <w:r w:rsidRPr="00A31137">
        <w:t>17. The Court did strike down California's depression-era ban on the "importation" of indigent laborers despite the State's protestations that the statute protected the public fisc from the strain of additional outlays for poor relief, but the Court stressed the statute's direct effect on immigrants instead of relying on any indirect effects on the public purse. See Edwards v. California, 314 U.S. 160,  174 (1941).</w:t>
      </w:r>
    </w:p>
    <w:p w:rsidR="00A31137" w:rsidRPr="00A31137" w:rsidRDefault="00A31137" w:rsidP="00A31137">
      <w:r w:rsidRPr="00A31137">
        <w:t>West Lynn Creamery, Inc. v. Healy, 1994</w:t>
      </w:r>
    </w:p>
    <w:p w:rsidR="00A31137" w:rsidRPr="00A31137" w:rsidRDefault="00A31137" w:rsidP="00A31137">
      <w:r w:rsidRPr="00A31137">
        <w:t>Title:</w:t>
      </w:r>
      <w:r w:rsidRPr="00A31137">
        <w:tab/>
        <w:t>West Lynn Creamery, Inc. v. Healy</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17, 1994</w:t>
      </w:r>
    </w:p>
    <w:p w:rsidR="00A31137" w:rsidRPr="00A31137" w:rsidRDefault="00A31137" w:rsidP="00A31137">
      <w:r w:rsidRPr="00A31137">
        <w:t>Source:</w:t>
      </w:r>
      <w:r w:rsidRPr="00A31137">
        <w:tab/>
        <w:t>512 U.S. 186</w:t>
      </w:r>
    </w:p>
    <w:p w:rsidR="00A31137" w:rsidRPr="00A31137" w:rsidRDefault="00A31137" w:rsidP="00A31137">
      <w:r w:rsidRPr="00A31137">
        <w:t>This case was argued March 2, 1994, and was decided June 17, 1994.</w:t>
      </w:r>
    </w:p>
    <w:p w:rsidR="00A31137" w:rsidRPr="00A31137" w:rsidRDefault="00A31137" w:rsidP="00A31137">
      <w:r w:rsidRPr="00A31137">
        <w:t>CERTIORARI TO THE SUPREME JUDICIAL COURT OF MASSACHUSETTS</w:t>
      </w:r>
    </w:p>
    <w:p w:rsidR="00A31137" w:rsidRPr="00A31137" w:rsidRDefault="00A31137" w:rsidP="00A31137">
      <w:r w:rsidRPr="00A31137">
        <w:t>Syllabus</w:t>
      </w:r>
    </w:p>
    <w:p w:rsidR="00A31137" w:rsidRPr="00A31137" w:rsidRDefault="00A31137" w:rsidP="00A31137">
      <w:r w:rsidRPr="00A31137">
        <w:t>1994, West Lynn Creamery, Inc. v. Healy, 512 U.S. 186</w:t>
      </w:r>
    </w:p>
    <w:p w:rsidR="00A31137" w:rsidRPr="00A31137" w:rsidRDefault="00A31137" w:rsidP="00A31137">
      <w:r w:rsidRPr="00A31137">
        <w:t>A Massachusetts pricing order subjects all fluid milk sold by dealers to Massachusetts retailers to an assessment. Although most of that milk is produced out of State, the entire assessment is distributed to Massachusetts dairy farmers. Petitioners—licensed dealers who purchase milk produced by out-of-state farmers and sell it within Massachusetts—sued to enjoin enforcement of the order on the ground that it violated the Federal Commerce Clause, but the state court denied relief. The Supreme Judicial Court of Massachusetts affirmed, concluding that the order was not facially discriminatory, applied evenhandedly, and only incidentally burdened interstate commerce, and that such burden was outweighed by the "local benefits" to the dairy industry.</w:t>
      </w:r>
    </w:p>
    <w:p w:rsidR="00A31137" w:rsidRPr="00A31137" w:rsidRDefault="00A31137" w:rsidP="00A31137">
      <w:r w:rsidRPr="00A31137">
        <w:t>1994, West Lynn Creamery, Inc. v. Healy, 512 U.S. 186</w:t>
      </w:r>
    </w:p>
    <w:p w:rsidR="00A31137" w:rsidRPr="00A31137" w:rsidRDefault="00A31137" w:rsidP="00A31137">
      <w:r w:rsidRPr="00A31137">
        <w:t>Held: The pricing order unconstitutionally discriminates against interstate commerce. Pp.  192-207.</w:t>
      </w:r>
    </w:p>
    <w:p w:rsidR="00A31137" w:rsidRPr="00A31137" w:rsidRDefault="00A31137" w:rsidP="00A31137">
      <w:r w:rsidRPr="00A31137">
        <w:t>1994, West Lynn Creamery, Inc. v. Healy, 512 U.S. 186</w:t>
      </w:r>
    </w:p>
    <w:p w:rsidR="00A31137" w:rsidRPr="00A31137" w:rsidRDefault="00A31137" w:rsidP="00A31137">
      <w:r w:rsidRPr="00A31137">
        <w:t>(a) The order is clearly unconstitutional under this Court's decisions invalidating state laws designed to benefit local producers of goods by creating tariff-like barriers that neutralized the competitive and economic advantages possessed by lower cost out-of-state producers. See, e.g., Bacchus Imports, Ltd. v. Dias, 468 U.S. 263. The "premium payments" are effectively a tax making milk produced out of State more expensive. Although that tax also applies to milk produced in Massachusetts, its effect on Massachusetts producers is entirely (indeed more than) offset by the subsidy provided exclusively to Massachusetts dairy farmers, who are thereby empowered to sell at or below the price charged by lower cost out-of-state producers. Pp.  192-197.</w:t>
      </w:r>
    </w:p>
    <w:p w:rsidR="00A31137" w:rsidRPr="00A31137" w:rsidRDefault="00A31137" w:rsidP="00A31137">
      <w:r w:rsidRPr="00A31137">
        <w:t>1994, West Lynn Creamery, Inc. v. Healy, 512 U.S. 186</w:t>
      </w:r>
    </w:p>
    <w:p w:rsidR="00A31137" w:rsidRPr="00A31137" w:rsidRDefault="00A31137" w:rsidP="00A31137">
      <w:r w:rsidRPr="00A31137">
        <w:t>(b) Respondent's principal argument—that, because both the local subsidy and nondiscriminatory tax components of the order are valid, the combination of the two is equally valid—is rejected. Even granting respondent's assertion that both components of the pricing order would be constitutional standing alone, the order must still fall because it is funded principally from taxes on the sale of milk produced in other States, and therefore burdens interstate commerce. More fundamentally, the argument is logically flawed in its assumption that the lawfulness of each of two acts establishes the legality of their combination. [512 U.S. 187] Indeed, by conjoining a tax and a subsidy, Massachusetts has created a program more dangerous to interstate commerce than either part alone: The Commonwealth's political processes cannot be relied on to prevent legislative abuse where dairy farmers, one of the powerful in-state interests that would ordinarily be expected to lobby against the order premium as a tax raising milk prices, have been mollified by the subsidy. Pp. 198-202.</w:t>
      </w:r>
    </w:p>
    <w:p w:rsidR="00A31137" w:rsidRPr="00A31137" w:rsidRDefault="00A31137" w:rsidP="00A31137">
      <w:r w:rsidRPr="00A31137">
        <w:t>1994, West Lynn Creamery, Inc. v. Healy, 512 U.S. 187</w:t>
      </w:r>
    </w:p>
    <w:p w:rsidR="00A31137" w:rsidRPr="00A31137" w:rsidRDefault="00A31137" w:rsidP="00A31137">
      <w:r w:rsidRPr="00A31137">
        <w:t>(c) Respondent's second argument—that the order is not discriminatory because the dealers who pay premiums are not competitors of the farmers who receive disbursements—cannot withstand scrutiny. The imposition of a differential burden on any part of the stream of commerce—from wholesaler to retailer to consumer—is invalid because a burden placed at any point will result in a disadvantage to the out-of-state producer. Pp.  202-203.</w:t>
      </w:r>
    </w:p>
    <w:p w:rsidR="00A31137" w:rsidRPr="00A31137" w:rsidRDefault="00A31137" w:rsidP="00A31137">
      <w:r w:rsidRPr="00A31137">
        <w:t>1994, West Lynn Creamery, Inc. v. Healy, 512 U.S. 187</w:t>
      </w:r>
    </w:p>
    <w:p w:rsidR="00A31137" w:rsidRPr="00A31137" w:rsidRDefault="00A31137" w:rsidP="00A31137">
      <w:r w:rsidRPr="00A31137">
        <w:t>(d) If accepted, respondent's third argument—that the order is not protectionist because the program's costs are borne only by Massachusetts dealers and consumers and its benefits are distributed exclusively to Massachusetts farmers—would undermine almost every discriminatory tax case. State taxes are ordinarily paid by in-state businesses and consumers, yet, if they discriminate against out-of-state products, they are unconstitutional. More fundamentally, the argument ignores the fact that Massachusetts dairy farmers are part of an integrated interstate market. The obvious impact of the order on out-of-state production demonstrates that it is simply wrong to assume that it burdens only in-state consumers and dealers. Pp.  203-204.</w:t>
      </w:r>
    </w:p>
    <w:p w:rsidR="00A31137" w:rsidRPr="00A31137" w:rsidRDefault="00A31137" w:rsidP="00A31137">
      <w:r w:rsidRPr="00A31137">
        <w:t>1994, West Lynn Creamery, Inc. v. Healy, 512 U.S. 187</w:t>
      </w:r>
    </w:p>
    <w:p w:rsidR="00A31137" w:rsidRPr="00A31137" w:rsidRDefault="00A31137" w:rsidP="00A31137">
      <w:r w:rsidRPr="00A31137">
        <w:t>(e) Acceptance of respondent's final argument—that the order's incidental burden on commerce is justified by the local benefit of saving the financially distressed dairy industry—would make a virtue of the vice that the rule against discrimination condemns. Preservation of local industry by protecting it from the rigors of interstate competition is the hallmark of the economic protectionism that the Commerce Clause prohibits. Pp.  204-207.</w:t>
      </w:r>
    </w:p>
    <w:p w:rsidR="00A31137" w:rsidRPr="00A31137" w:rsidRDefault="00A31137" w:rsidP="00A31137">
      <w:r w:rsidRPr="00A31137">
        <w:t>1994, West Lynn Creamery, Inc. v. Healy, 512 U.S. 187</w:t>
      </w:r>
    </w:p>
    <w:p w:rsidR="00A31137" w:rsidRPr="00A31137" w:rsidRDefault="00A31137" w:rsidP="00A31137">
      <w:r w:rsidRPr="00A31137">
        <w:t>415 Mass. 8, 611 N.E.2d 239, reversed.</w:t>
      </w:r>
    </w:p>
    <w:p w:rsidR="00A31137" w:rsidRPr="00A31137" w:rsidRDefault="00A31137" w:rsidP="00A31137">
      <w:r w:rsidRPr="00A31137">
        <w:t>1994, West Lynn Creamery, Inc. v. Healy, 512 U.S. 187</w:t>
      </w:r>
    </w:p>
    <w:p w:rsidR="00A31137" w:rsidRPr="00A31137" w:rsidRDefault="00A31137" w:rsidP="00A31137">
      <w:r w:rsidRPr="00A31137">
        <w:t xml:space="preserve">STEVENS, J., delivered the opinion of the Court, in which O'CONNOR, KENNEDY, SOUTER, and GINSBURG, JJ., joined. SCALIA, J., filed an opinion concurring in the judgment, in which THOMAS, J., joined, post, p. 207. REHNQUIST, C.J., filed a dissenting opinion, in which BLACKMUN, J., joined, post, p.  212. [512 U.S. 188] </w:t>
      </w:r>
    </w:p>
    <w:p w:rsidR="00A31137" w:rsidRPr="00A31137" w:rsidRDefault="00A31137" w:rsidP="00A31137">
      <w:r w:rsidRPr="00A31137">
        <w:t>STEVENS, J., lead opinion</w:t>
      </w:r>
    </w:p>
    <w:p w:rsidR="00A31137" w:rsidRPr="00A31137" w:rsidRDefault="00A31137" w:rsidP="00A31137">
      <w:r w:rsidRPr="00A31137">
        <w:t>1994, West Lynn Creamery, Inc. v. Healy, 512 U.S. 188</w:t>
      </w:r>
    </w:p>
    <w:p w:rsidR="00A31137" w:rsidRPr="00A31137" w:rsidRDefault="00A31137" w:rsidP="00A31137">
      <w:r w:rsidRPr="00A31137">
        <w:t>JUSTICE STEVENS delivered the opinion of the Court.</w:t>
      </w:r>
    </w:p>
    <w:p w:rsidR="00A31137" w:rsidRPr="00A31137" w:rsidRDefault="00A31137" w:rsidP="00A31137">
      <w:r w:rsidRPr="00A31137">
        <w:t>1994, West Lynn Creamery, Inc. v. Healy, 512 U.S. 188</w:t>
      </w:r>
    </w:p>
    <w:p w:rsidR="00A31137" w:rsidRPr="00A31137" w:rsidRDefault="00A31137" w:rsidP="00A31137">
      <w:r w:rsidRPr="00A31137">
        <w:t>A Massachusetts pricing order imposes an assessment on all fluid milk sold by dealers to Massachusetts retailers. About two-thirds of that milk is produced out of State. The entire assessment, however, is distributed to Massachusetts dairy farmers. The question presented is whether the pricing order unconstitutionally discriminates against interstate commerce. We hold that it does.</w:t>
      </w:r>
    </w:p>
    <w:p w:rsidR="00A31137" w:rsidRPr="00A31137" w:rsidRDefault="00A31137" w:rsidP="00A31137">
      <w:r w:rsidRPr="00A31137">
        <w:t>I</w:t>
      </w:r>
    </w:p>
    <w:p w:rsidR="00A31137" w:rsidRPr="00A31137" w:rsidRDefault="00A31137" w:rsidP="00A31137">
      <w:r w:rsidRPr="00A31137">
        <w:t>1994, West Lynn Creamery, Inc. v. Healy, 512 U.S. 188</w:t>
      </w:r>
    </w:p>
    <w:p w:rsidR="00A31137" w:rsidRPr="00A31137" w:rsidRDefault="00A31137" w:rsidP="00A31137">
      <w:r w:rsidRPr="00A31137">
        <w:t>Petitioner West Lynn Creamery, Inc., is a milk dealer licensed to do business in Massachusetts. It purchases raw milk, which it processes, packages, and sells to wholesalers, retailers, and other milk dealers. About 97% of the raw milk it purchases is produced by out-of-state farmers. Petitioner LeComte's Dairy, Inc., is also a licensed Massachusetts milk dealer. It purchases all of its milk from West Lynn and distributes it to retail outlets in Massachusetts.</w:t>
      </w:r>
    </w:p>
    <w:p w:rsidR="00A31137" w:rsidRPr="00A31137" w:rsidRDefault="00A31137" w:rsidP="00A31137">
      <w:r w:rsidRPr="00A31137">
        <w:t>1994, West Lynn Creamery, Inc. v. Healy, 512 U.S. 188</w:t>
      </w:r>
    </w:p>
    <w:p w:rsidR="00A31137" w:rsidRPr="00A31137" w:rsidRDefault="00A31137" w:rsidP="00A31137">
      <w:r w:rsidRPr="00A31137">
        <w:t>Since 1937, the Agricultural Marketing Agreement Act, 50 Stat. 246, as amended, 7 U.S.C. § 601 et seq., has authorized the Secretary of Agriculture to regulate the minimum prices [512 U.S. 189] paid to producers of raw milk by issuing marketing orders for particular geographic areas. 1 While the Federal Government sets minimum prices based on local conditions, those prices have not been so high as to prevent substantial competition among producers in different States. In the 1980's and early 1990's, Massachusetts dairy farmers began to lose market share to lower cost producers in neighboring States. In response, the Governor of Massachusetts appointed a Special Commission to study the dairy industry. The Commission found that many producers had sold their dairy farms during the past decade, and that, if prices paid to farmers for their milk were not significantly increased, a majority of the remaining farmers in Massachusetts would be "forced out of business within the year." App. 13. On January 28, 1992, relying on the Commission's Report, the Commissioner of the Massachusetts Department of Food and Agriculture (respondent) declared a State of Emergency. [512 U.S. 190] In his declaration, he noted that the average federal blend price 2 had declined from $14.67 per hundred pounds (cwt) of raw milk in 1990 to $12.64/cwt in 1991, while costs of production for Massachusetts farmers had risen to an estimated average of $15.50/cwt. Id. at 27. He concluded:</w:t>
      </w:r>
    </w:p>
    <w:p w:rsidR="00A31137" w:rsidRPr="00A31137" w:rsidRDefault="00A31137" w:rsidP="00A31137">
      <w:r w:rsidRPr="00A31137">
        <w:t>1994, West Lynn Creamery, Inc. v. Healy, 512 U.S. 190</w:t>
      </w:r>
    </w:p>
    <w:p w:rsidR="00A31137" w:rsidRPr="00A31137" w:rsidRDefault="00A31137" w:rsidP="00A31137">
      <w:r w:rsidRPr="00A31137">
        <w:t>Regionally, the industry is in serious trouble, and, ultimately, a federal solution will be required. In the meantime, we must act on the state level to preserve our local industry, maintain reasonable minimum prices for the dairy farmers, thereby ensure a continuous and adequate supply of fresh milk for our market, and protect the public health.</w:t>
      </w:r>
    </w:p>
    <w:p w:rsidR="00A31137" w:rsidRPr="00A31137" w:rsidRDefault="00A31137" w:rsidP="00A31137">
      <w:r w:rsidRPr="00A31137">
        <w:t>1994, West Lynn Creamery, Inc. v. Healy, 512 U.S. 190</w:t>
      </w:r>
    </w:p>
    <w:p w:rsidR="00A31137" w:rsidRPr="00A31137" w:rsidRDefault="00A31137" w:rsidP="00A31137">
      <w:r w:rsidRPr="00A31137">
        <w:t>Id. at 31. Promptly after his declaration of emergency, respondent issued the pricing order that is challenged in this proceeding. 3</w:t>
      </w:r>
    </w:p>
    <w:p w:rsidR="00A31137" w:rsidRPr="00A31137" w:rsidRDefault="00A31137" w:rsidP="00A31137">
      <w:r w:rsidRPr="00A31137">
        <w:t>1994, West Lynn Creamery, Inc. v. Healy, 512 U.S. 190</w:t>
      </w:r>
    </w:p>
    <w:p w:rsidR="00A31137" w:rsidRPr="00A31137" w:rsidRDefault="00A31137" w:rsidP="00A31137">
      <w:r w:rsidRPr="00A31137">
        <w:t>The order requires every "dealer" 4 in Massachusetts to make a monthly "premium payment" into the "Massachusetts Dairy Equalization Fund." The amount of those payments is computed in two steps. First, the monthly "order premium" is determined by subtracting the federal blend price for that month from $15 and dividing the difference by three; thus, if the federal price is $12/cwt, the order premium is $1/cwt. 5 Second, the premium is multiplied by the amount [512 U.S. 191] (in pounds) of the dealer's Class I 6 sales in Massachusetts. Each month the fund is distributed to Massachusetts producers. 7 Each Massachusetts producer receives a share of the total fund equal to his proportionate contribution to the State's total production of raw milk. 8</w:t>
      </w:r>
    </w:p>
    <w:p w:rsidR="00A31137" w:rsidRPr="00A31137" w:rsidRDefault="00A31137" w:rsidP="00A31137">
      <w:r w:rsidRPr="00A31137">
        <w:t>1994, West Lynn Creamery, Inc. v. Healy, 512 U.S. 191</w:t>
      </w:r>
    </w:p>
    <w:p w:rsidR="00A31137" w:rsidRPr="00A31137" w:rsidRDefault="00A31137" w:rsidP="00A31137">
      <w:r w:rsidRPr="00A31137">
        <w:t>Petitioners West Lynn and LeComte's complied with the pricing order for two months, paying almost $200,000 into the Massachusetts Dairy Equalization Fund. Id. at 100, 105. Starting in July, 1992, however, petitioners refused to make the premium payments, and respondent commenced license revocation proceedings. Petitioners then filed an action in state court seeking an injunction against enforcement of the order on the ground that it violated the Commerce Clause of the Federal Constitution. The state court denied relief and respondent conditionally revoked their licenses.</w:t>
      </w:r>
    </w:p>
    <w:p w:rsidR="00A31137" w:rsidRPr="00A31137" w:rsidRDefault="00A31137" w:rsidP="00A31137">
      <w:r w:rsidRPr="00A31137">
        <w:t>1994, West Lynn Creamery, Inc. v. Healy, 512 U.S. 191</w:t>
      </w:r>
    </w:p>
    <w:p w:rsidR="00A31137" w:rsidRPr="00A31137" w:rsidRDefault="00A31137" w:rsidP="00A31137">
      <w:r w:rsidRPr="00A31137">
        <w:t>The parties agreed to an expedited appellate procedure, and the Supreme Judicial Court of Massachusetts transferred the cases to its own docket. It affirmed, because it concluded that "the pricing order does not discriminate on its face, is evenhanded in its application, and only incidentally [512 U.S. 192] burdens interstate commerce." West Lynn Creamery, Inc. v. Commissioner of Dept. of Food and Agriculture, 415 Mass. 8, 15, 611 N.E.2d 239, 243 (1993). The Court noted that the "pricing order was designed to aid only Massachusetts producers." Id. at 16, 611 N.E.2d at 244. It conceded that "[c]ommon sense" indicated that the plan has an "adverse impact on interstate commerce," and that "the fund distribution scheme does burden out-of-State producers." Id. at 17, 611 N.E.2d at 244. Nevertheless, the Court asserted that "the burden is incidental, given the purpose and design of the program." Id. at 18, 611 N.E.2d at 244. Because it found that the "local benefits" provided to the Commonwealth's dairy industry "outweigh any incidental burden on interstate commerce," it sustained the constitutionality of the pricing order. Id. at 19, 611 N.E.2d at 245. We granted certiorari, 510 U.S. 811 (1993), and now reverse.</w:t>
      </w:r>
    </w:p>
    <w:p w:rsidR="00A31137" w:rsidRPr="00A31137" w:rsidRDefault="00A31137" w:rsidP="00A31137">
      <w:r w:rsidRPr="00A31137">
        <w:t>II</w:t>
      </w:r>
    </w:p>
    <w:p w:rsidR="00A31137" w:rsidRPr="00A31137" w:rsidRDefault="00A31137" w:rsidP="00A31137">
      <w:r w:rsidRPr="00A31137">
        <w:t>1994, West Lynn Creamery, Inc. v. Healy, 512 U.S. 192</w:t>
      </w:r>
    </w:p>
    <w:p w:rsidR="00A31137" w:rsidRPr="00A31137" w:rsidRDefault="00A31137" w:rsidP="00A31137">
      <w:r w:rsidRPr="00A31137">
        <w:t>The Commerce Clause vests Congress with ample power to enact legislation providing for the regulation of prices paid to farmers for their products. United States v. Darby, 312 U.S. 100 (1941); Wickard v. Filburn, 317 U.S. 111 (1942); Mandeville Island Farms, Inc. v. American Crystal Sugar Co., 334 U.S. 219 (1948). An affirmative exercise of that power led to the promulgation of the federal order setting minimum milk prices. The Commerce Clause also limits the power of the Commonwealth of Massachusetts to adopt regulations that discriminate against interstate commerce.</w:t>
      </w:r>
    </w:p>
    <w:p w:rsidR="00A31137" w:rsidRPr="00A31137" w:rsidRDefault="00A31137" w:rsidP="00A31137">
      <w:r w:rsidRPr="00A31137">
        <w:t>1994, West Lynn Creamery, Inc. v. Healy, 512 U.S. 192</w:t>
      </w:r>
    </w:p>
    <w:p w:rsidR="00A31137" w:rsidRPr="00A31137" w:rsidRDefault="00A31137" w:rsidP="00A31137">
      <w:r w:rsidRPr="00A31137">
        <w:t xml:space="preserve">This "negative" aspect of the Commerce Clause prohibits economic protectionism—that is, regulatory measures designed to benefit in-state economic interests by burdening out-of-state competitors…. Thus, state statutes that clearly discriminate against interstate commerce are routinely struck down…unless the discrimination is demonstrably justified by a valid factor unrelated to economic protectionism…[512 U.S. 193] </w:t>
      </w:r>
    </w:p>
    <w:p w:rsidR="00A31137" w:rsidRPr="00A31137" w:rsidRDefault="00A31137" w:rsidP="00A31137">
      <w:r w:rsidRPr="00A31137">
        <w:t>1994, West Lynn Creamery, Inc. v. Healy, 512 U.S. 193</w:t>
      </w:r>
    </w:p>
    <w:p w:rsidR="00A31137" w:rsidRPr="00A31137" w:rsidRDefault="00A31137" w:rsidP="00A31137">
      <w:r w:rsidRPr="00A31137">
        <w:t>New Energy Co. of Indiana v. Limbach, 486 U.S. 269, 273-274 (1988). 9</w:t>
      </w:r>
    </w:p>
    <w:p w:rsidR="00A31137" w:rsidRPr="00A31137" w:rsidRDefault="00A31137" w:rsidP="00A31137">
      <w:r w:rsidRPr="00A31137">
        <w:t>1994, West Lynn Creamery, Inc. v. Healy, 512 U.S. 193</w:t>
      </w:r>
    </w:p>
    <w:p w:rsidR="00A31137" w:rsidRPr="00A31137" w:rsidRDefault="00A31137" w:rsidP="00A31137">
      <w:r w:rsidRPr="00A31137">
        <w:t>The paradigmatic example of a law discriminating against interstate commerce is the protective tariff or customs duty, which taxes goods imported from other States, but does not tax similar products produced in State. A tariff is an attractive measure, because it simultaneously raises revenue and benefits local producers by burdening their out-of-state competitors. Nevertheless, it violates the principle of the unitary national market by handicapping out-of-state competitors, thus artificially encouraging in-state production even when the same goods could be produced at lower cost in other States.</w:t>
      </w:r>
    </w:p>
    <w:p w:rsidR="00A31137" w:rsidRPr="00A31137" w:rsidRDefault="00A31137" w:rsidP="00A31137">
      <w:r w:rsidRPr="00A31137">
        <w:t>1994, West Lynn Creamery, Inc. v. Healy, 512 U.S. 193</w:t>
      </w:r>
    </w:p>
    <w:p w:rsidR="00A31137" w:rsidRPr="00A31137" w:rsidRDefault="00A31137" w:rsidP="00A31137">
      <w:r w:rsidRPr="00A31137">
        <w:t xml:space="preserve">Because of their distorting effects on the geography of production, tariffs have long been recognized as violative of the Commerce Clause. In fact, tariffs against the products of other States are so patently unconstitutional that our cases reveal not a single attempt by any State to enact one. Instead, the cases are filled with state laws that aspire to reap some of the benefits of tariffs by other means. In Baldwin v. G.A.F. Seelig, Inc., 294 U.S. 511 (1935), the State of New York attempted to protect its dairy farmers from the adverse effects of Vermont competition by establishing a single minimum price for all milk, whether produced in New York or elsewhere. This Court did not hesitate, however, to strike it down. Writing for a unanimous Court, Justice Cardozo reasoned: [512 U.S. 194] </w:t>
      </w:r>
    </w:p>
    <w:p w:rsidR="00A31137" w:rsidRPr="00A31137" w:rsidRDefault="00A31137" w:rsidP="00A31137">
      <w:r w:rsidRPr="00A31137">
        <w:t>1994, West Lynn Creamery, Inc. v. Healy, 512 U.S. 194</w:t>
      </w:r>
    </w:p>
    <w:p w:rsidR="00A31137" w:rsidRPr="00A31137" w:rsidRDefault="00A31137" w:rsidP="00A31137">
      <w:r w:rsidRPr="00A31137">
        <w:t>Neither the power to tax nor the police power may be used by the state of destination with the aim and effect of establishing an economic barrier against competition with the products of another state or the labor of its residents. Restrictions so contrived are an unreasonable clog upon the mobility of commerce. They set up what is equivalent to a rampart of customs duties designed to neutralize advantages belonging to the place of origin.</w:t>
      </w:r>
    </w:p>
    <w:p w:rsidR="00A31137" w:rsidRPr="00A31137" w:rsidRDefault="00A31137" w:rsidP="00A31137">
      <w:r w:rsidRPr="00A31137">
        <w:t>1994, West Lynn Creamery, Inc. v. Healy, 512 U.S. 194</w:t>
      </w:r>
    </w:p>
    <w:p w:rsidR="00A31137" w:rsidRPr="00A31137" w:rsidRDefault="00A31137" w:rsidP="00A31137">
      <w:r w:rsidRPr="00A31137">
        <w:t>Id. at  527. Thus, because the minimum price regulation had the same effect as a tariff or customs duty—neutralizing the advantage possessed by lower cost out-of-state producers—it was held unconstitutional. Similarly, in Bacchus Imports, Ltd. v. Dias, 468 U.S. 263 (1984), this Court invalidated a law which advantaged local production by granting a tax exemption to certain liquors produced in Hawaii. Other cases of this kind are legion. Welton v. Missouri, 91 U.S. 275 (1876); Guy v. Baltimore, 100 U.S. 434 (1880); Toomer v. Witsell, 334 U.S. 385 (1948); Polar Ice Cream &amp; Creamery Co. v. Andrews, 375 U.S. 361 (1964); Chemical Waste Management, Inc. v. Hunt, 504 U.S. 334 (1992); see also, Hunt v. Washington State Apple Advertising Comm'n, 432 U.S. 333,  351 (1977) (invalidating statute, because it "has the effect of stripping away from the Washington apple industry the competitive and economic advantages it has earned…").</w:t>
      </w:r>
    </w:p>
    <w:p w:rsidR="00A31137" w:rsidRPr="00A31137" w:rsidRDefault="00A31137" w:rsidP="00A31137">
      <w:r w:rsidRPr="00A31137">
        <w:t>1994, West Lynn Creamery, Inc. v. Healy, 512 U.S. 194</w:t>
      </w:r>
    </w:p>
    <w:p w:rsidR="00A31137" w:rsidRPr="00A31137" w:rsidRDefault="00A31137" w:rsidP="00A31137">
      <w:r w:rsidRPr="00A31137">
        <w:t>Under these cases, Massachusetts' pricing order is clearly unconstitutional. Its avowed purpose and its undisputed effect are to enable higher cost Massachusetts dairy farmers to compete with lower cost dairy farmers in other States. The "premium payments" are effectively a tax which makes milk produced out of State more expensive. Although the tax also applies to milk produced in Massachusetts, its effect on Massachusetts producers is entirely (indeed more than) offset by the subsidy provided exclusively to Massachusetts dairy farmers. Like an ordinary tariff, the tax is thus effectively imposed only on out-of-state products. The pricing [512 U.S. 195] order thus allows Massachusetts dairy farmers who produce at higher cost to sell at or below the price charged by lower cost out-of-state producers. 10 If there were no federal minimum prices for milk, out-of-state producers might still be able to retain their market share by lowering their prices. Nevertheless, out-of-staters' ability to remain competitive by lowering their prices would not immunize a discriminatory measure. New Energy Co. of Indiana v. Limbach, 486 U.S. at 275. 11 In this case, because the Federal Government sets [512 U.S. 196] minimum prices, out-of-state producers may not even have the option of reducing prices in order to retain market share. The Massachusetts pricing order thus will almost certainly</w:t>
      </w:r>
    </w:p>
    <w:p w:rsidR="00A31137" w:rsidRPr="00A31137" w:rsidRDefault="00A31137" w:rsidP="00A31137">
      <w:r w:rsidRPr="00A31137">
        <w:t>1994, West Lynn Creamery, Inc. v. Healy, 512 U.S. 196</w:t>
      </w:r>
    </w:p>
    <w:p w:rsidR="00A31137" w:rsidRPr="00A31137" w:rsidRDefault="00A31137" w:rsidP="00A31137">
      <w:r w:rsidRPr="00A31137">
        <w:t>cause local goods to constitute a larger share, and goods with an out-of-state source to constitute a smaller share, of the total sales in the market. 12</w:t>
      </w:r>
    </w:p>
    <w:p w:rsidR="00A31137" w:rsidRPr="00A31137" w:rsidRDefault="00A31137" w:rsidP="00A31137">
      <w:r w:rsidRPr="00A31137">
        <w:t>1994, West Lynn Creamery, Inc. v. Healy, 512 U.S. 196</w:t>
      </w:r>
    </w:p>
    <w:p w:rsidR="00A31137" w:rsidRPr="00A31137" w:rsidRDefault="00A31137" w:rsidP="00A31137">
      <w:r w:rsidRPr="00A31137">
        <w:t>Exxon Corp. v. Governor of Maryland, 437 U.S. 117,  126, n. 16 (1978). In fact, this effect was the motive behind the promulgation of the pricing order. This effect renders the program unconstitutional, because it, like a tariff, "neutralize[s] advantages belonging to the place of origin." Baldwin, 294 U.S. at  527.</w:t>
      </w:r>
    </w:p>
    <w:p w:rsidR="00A31137" w:rsidRPr="00A31137" w:rsidRDefault="00A31137" w:rsidP="00A31137">
      <w:r w:rsidRPr="00A31137">
        <w:t>1994, West Lynn Creamery, Inc. v. Healy, 512 U.S. 196</w:t>
      </w:r>
    </w:p>
    <w:p w:rsidR="00A31137" w:rsidRPr="00A31137" w:rsidRDefault="00A31137" w:rsidP="00A31137">
      <w:r w:rsidRPr="00A31137">
        <w:t xml:space="preserve">In some ways, the Massachusetts pricing order is most similar to the law at issue in Bacchus Imports, Ltd. v. Dias, 468 U.S. 263 (1984). Both involve a broad-based tax on a single kind of good and special provisions for in-state producers. [512 U.S. 197] Bacchus involved a 20% excise tax on all liquor sales, coupled with an exemption for fruit wine manufactured in Hawaii and for okolehao, a brandy distilled from the root of a shrub indigenous to Hawaii. The Court held that Hawaii's law was unconstitutional because it "had both the purpose and effect of discriminating in favor of local products." Id. at 273. See also I. M. Darnell &amp; Son Co. v. Memphis, 208 U.S. 113 (1908) (invalidating property tax exemption favoring local manufacturers). By granting a tax exemption for local products, Hawaii, in effect, created a protective tariff. Goods produced out of State were taxed, but those produced in State were subject to no net tax. It is obvious that the result in Bacchus would have been the same if, instead of exempting certain Hawaiian liquors from tax, Hawaii had rebated the amount of tax collected from the sale of those liquors. See New Energy Co. of Indiana v. Limbach, 486 U.S. 269 (1988) (discriminatory tax credit). And if a discriminatory tax rebate is unconstitutional, Massachusetts' pricing order is surely invalid; for Massachusetts not only rebates to domestic milk producers the tax paid on the sale of Massachusetts milk, but also the tax paid on the sale of milk produced elsewhere. 13 The additional rebate of the tax paid on the sale of milk produced elsewhere in no way reduces the danger to the national market posed by tariff-like barriers, but instead exacerbates the danger by giving domestic producers an additional tool with which to shore up their competitive position. 14 [512 U.S. 198] </w:t>
      </w:r>
    </w:p>
    <w:p w:rsidR="00A31137" w:rsidRPr="00A31137" w:rsidRDefault="00A31137" w:rsidP="00A31137">
      <w:r w:rsidRPr="00A31137">
        <w:t>III</w:t>
      </w:r>
    </w:p>
    <w:p w:rsidR="00A31137" w:rsidRPr="00A31137" w:rsidRDefault="00A31137" w:rsidP="00A31137">
      <w:r w:rsidRPr="00A31137">
        <w:t>1994, West Lynn Creamery, Inc. v. Healy, 512 U.S. 198</w:t>
      </w:r>
    </w:p>
    <w:p w:rsidR="00A31137" w:rsidRPr="00A31137" w:rsidRDefault="00A31137" w:rsidP="00A31137">
      <w:r w:rsidRPr="00A31137">
        <w:t>Respondent advances four arguments against the conclusion that its pricing order imposes an unconstitutional burden on interstate commerce: (A) Because each component of the program—a local subsidy and a nondiscriminatory tax—is valid, the combination of the two is equally valid; (B) The dealers who pay the order premiums (the tax) are not competitors of the farmers who receive disbursements from the Dairy Equalization Fund, so the pricing order is not discriminatory; (C) The pricing order is not protectionist, because the costs of the program are borne only by Massachusetts dealers and consumers, and the benefits are distributed exclusively to Massachusetts farmers; and (D) the order's incidental burden on commerce is justified by the local benefit of saving the dairy industry from collapse. We discuss each of these arguments in turn.</w:t>
      </w:r>
    </w:p>
    <w:p w:rsidR="00A31137" w:rsidRPr="00A31137" w:rsidRDefault="00A31137" w:rsidP="00A31137">
      <w:r w:rsidRPr="00A31137">
        <w:t>A</w:t>
      </w:r>
    </w:p>
    <w:p w:rsidR="00A31137" w:rsidRPr="00A31137" w:rsidRDefault="00A31137" w:rsidP="00A31137">
      <w:r w:rsidRPr="00A31137">
        <w:t>1994, West Lynn Creamery, Inc. v. Healy, 512 U.S. 198</w:t>
      </w:r>
    </w:p>
    <w:p w:rsidR="00A31137" w:rsidRPr="00A31137" w:rsidRDefault="00A31137" w:rsidP="00A31137">
      <w:r w:rsidRPr="00A31137">
        <w:t>Respondent's principal argument is that, because "the milk order achieves its goals through lawful means," the order as a whole is constitutional. Brief for Respondent 20. He argues that the payments to Massachusetts dairy farmers from the Dairy Equalization Fund are valid, because subsidies are constitutional exercises of state power, and that the order premium which provides money for the Fund is valid, because it is a nondiscriminatory tax. Therefore the pricing order is constitutional because it is merely the combination of two independently lawful regulations. In effect, respondent argues, if the State may impose a valid tax on dealers, it is free to use the proceeds of the tax as it chooses; and [512 U.S. 199] if it may independently subsidize its farmers, it is free to finance the subsidy by means of any legitimate tax.</w:t>
      </w:r>
    </w:p>
    <w:p w:rsidR="00A31137" w:rsidRPr="00A31137" w:rsidRDefault="00A31137" w:rsidP="00A31137">
      <w:r w:rsidRPr="00A31137">
        <w:t>1994, West Lynn Creamery, Inc. v. Healy, 512 U.S. 199</w:t>
      </w:r>
    </w:p>
    <w:p w:rsidR="00A31137" w:rsidRPr="00A31137" w:rsidRDefault="00A31137" w:rsidP="00A31137">
      <w:r w:rsidRPr="00A31137">
        <w:t>Even granting respondent's assertion that both components of the pricing order would be constitutional standing alone, 15 the pricing order nevertheless must fall. A pure subsidy funded out of general revenue ordinarily imposes no burden on interstate commerce, but merely assists local business. The pricing order in this case, however, is funded principally from taxes on the sale of milk produced in other States. 16 By so funding the subsidy, respondent not only assists local farmers, but burdens interstate commerce. The pricing order thus violates the cardinal principle that a State may not "benefit in-state economic interests by burdening out-of-state competitors." New Energy Co. of Indiana v. Limbach, 486 U.S. at 273-274; see also Bacchus Imports, Ltd. v. Dias, 468 U.S. at 272; Guy v. Baltimore, 100 U.S. 434, 443 (1880).</w:t>
      </w:r>
    </w:p>
    <w:p w:rsidR="00A31137" w:rsidRPr="00A31137" w:rsidRDefault="00A31137" w:rsidP="00A31137">
      <w:r w:rsidRPr="00A31137">
        <w:t>1994, West Lynn Creamery, Inc. v. Healy, 512 U.S. 199</w:t>
      </w:r>
    </w:p>
    <w:p w:rsidR="00A31137" w:rsidRPr="00A31137" w:rsidRDefault="00A31137" w:rsidP="00A31137">
      <w:r w:rsidRPr="00A31137">
        <w:t>More fundamentally, respondent errs in assuming that the constitutionality of the pricing order follows logically from the constitutionality of its component parts. By conjoining [512 U.S. 200] a tax and a subsidy, Massachusetts has created a program more dangerous to interstate commerce than either part alone. Nondiscriminatory measures, like the evenhanded tax at issue here, are generally upheld, in spite of any adverse effects on interstate commerce, in part because "[t]he existence of major in-state interests adversely affected…is a powerful safeguard against legislative abuse." Minnesota v. Clover Leaf Creamery Co., 449 U.S. 456,  473, n. 17 (1981); see also Raymond Motor Transportation, Inc. v. Rice, 434 U.S. 429, 444, n. 18 (1978) (special deference to state highway regulations because "their burden usually falls on local economic interests as well as other States' economic interests, thus insuring that a State's own political processes will serve as a check against unduly burdensome regulations"); South Carolina State Highway Dept. v. Barnwell Bros., Inc., 303 U.S. 177,  187 (1938); Goldberg v. Sweet, 488 U.S. 252, 266 (1989). 17 However, when a nondiscriminatory tax is coupled with a subsidy to one of the groups hurt by the tax, a state's political processes can no longer be relied upon to prevent legislative abuse, because one of the in-state interests which would otherwise lobby against the tax has been mollified by the subsidy. So, in this case, one would ordinarily have expected at least three groups to lobby against the order premium, which, as a tax, raises the price (and hence lowers demand) for milk: dairy farmers, milk dealers, and consumers. But because the tax was coupled with a subsidy, one of the most powerful of these groups, Massachusetts dairy [512 U.S. 201] farmers, instead of exerting their influence against the tax, were in fact its primary supporters. 18</w:t>
      </w:r>
    </w:p>
    <w:p w:rsidR="00A31137" w:rsidRPr="00A31137" w:rsidRDefault="00A31137" w:rsidP="00A31137">
      <w:r w:rsidRPr="00A31137">
        <w:t>1994, West Lynn Creamery, Inc. v. Healy, 512 U.S. 201</w:t>
      </w:r>
    </w:p>
    <w:p w:rsidR="00A31137" w:rsidRPr="00A31137" w:rsidRDefault="00A31137" w:rsidP="00A31137">
      <w:r w:rsidRPr="00A31137">
        <w:t>Respondent's argument would require us to analyze separately two parts of an integrated regulation, but we cannot divorce the premium payments from the use to which the payments are put. It is the entire program—not just the contributions to the fund or the distributions from that fund—that simultaneously burdens interstate commerce and discriminates in favor of local producers. The choice of constitutional means—nondiscriminatory tax and local subsidy—cannot guarantee the constitutionality of the program as a whole. New York's minimum price order also used constitutional means—a State's power to regulate prices—but was held unconstitutional because of its deleterious effects. Baldwin v. G.A.F. Seelig, Inc., 294 U.S. 511 (1935). Similarly, the law held unconstitutional in Bacchus, 468 U.S. 263 (1984), involved the exercise of Hawaii's undisputed power to tax and to grant tax exemptions.</w:t>
      </w:r>
    </w:p>
    <w:p w:rsidR="00A31137" w:rsidRPr="00A31137" w:rsidRDefault="00A31137" w:rsidP="00A31137">
      <w:r w:rsidRPr="00A31137">
        <w:t>1994, West Lynn Creamery, Inc. v. Healy, 512 U.S. 201</w:t>
      </w:r>
    </w:p>
    <w:p w:rsidR="00A31137" w:rsidRPr="00A31137" w:rsidRDefault="00A31137" w:rsidP="00A31137">
      <w:r w:rsidRPr="00A31137">
        <w:t>Our Commerce Clause jurisprudence is not so rigid as to be controlled by the form by which a State erects barriers to commerce. Rather our cases have eschewed formalism for a sensitive, case-by-case analysis of purposes and effects. As the Court declared over 50 years ago:</w:t>
      </w:r>
    </w:p>
    <w:p w:rsidR="00A31137" w:rsidRPr="00A31137" w:rsidRDefault="00A31137" w:rsidP="00A31137">
      <w:r w:rsidRPr="00A31137">
        <w:t>1994, West Lynn Creamery, Inc. v. Healy, 512 U.S. 201</w:t>
      </w:r>
    </w:p>
    <w:p w:rsidR="00A31137" w:rsidRPr="00A31137" w:rsidRDefault="00A31137" w:rsidP="00A31137">
      <w:r w:rsidRPr="00A31137">
        <w:t>The commerce clause forbids discrimination, whether forthright or ingenious. In each case, it is our duty to determine whether the statute under attack, whatever its name may be, will in its practical operation work discrimination against interstate commerce.</w:t>
      </w:r>
    </w:p>
    <w:p w:rsidR="00A31137" w:rsidRPr="00A31137" w:rsidRDefault="00A31137" w:rsidP="00A31137">
      <w:r w:rsidRPr="00A31137">
        <w:t>1994, West Lynn Creamery, Inc. v. Healy, 512 U.S. 201</w:t>
      </w:r>
    </w:p>
    <w:p w:rsidR="00A31137" w:rsidRPr="00A31137" w:rsidRDefault="00A31137" w:rsidP="00A31137">
      <w:r w:rsidRPr="00A31137">
        <w:t>Best &amp; Co. v. Maxwell, 311 U.S. 454, 455-456 (1940); Maryland v. Louisiana, 451 U.S. 725, 756 (1981); [512 U.S. 202] Exxon Corp. v. Governor of Maryland, 437 U.S. at  147 (1978); see also Guy v. Baltimore, 100 U.S. 430, 443 (1879) (invalidating discriminatory wharfage fees which were "mere expedient or device to accomplish, by indirection, what the State could not accomplish by a direct tax, viz., build up its domestic commerce by means of unequal and oppressive burdens upon the industry and business of other States"); Baldwin v. G.A.F. Seelig, Inc., 294 U.S. at  527 ("What is ultimate is the principle that one state in its dealings with another may not put itself in a position of economic isolation. Formulas and catchwords are subordinate to this overmastering requirement"); Dean Milk Co. v. Madison, 340 U.S. 349,  354 (1951); New Energy Co. of Indiana v. Limbach, 486 U.S. at 275, 276 (invalidating reciprocal tax credit because it, "in effect, tax[es] a product made by [Indiana] manufacturers at a rate higher than the same product made by Ohio manufacturers…").</w:t>
      </w:r>
    </w:p>
    <w:p w:rsidR="00A31137" w:rsidRPr="00A31137" w:rsidRDefault="00A31137" w:rsidP="00A31137">
      <w:r w:rsidRPr="00A31137">
        <w:t>B</w:t>
      </w:r>
    </w:p>
    <w:p w:rsidR="00A31137" w:rsidRPr="00A31137" w:rsidRDefault="00A31137" w:rsidP="00A31137">
      <w:r w:rsidRPr="00A31137">
        <w:t>1994, West Lynn Creamery, Inc. v. Healy, 512 U.S. 202</w:t>
      </w:r>
    </w:p>
    <w:p w:rsidR="00A31137" w:rsidRPr="00A31137" w:rsidRDefault="00A31137" w:rsidP="00A31137">
      <w:r w:rsidRPr="00A31137">
        <w:t>Respondent also argues that, since the Massachusetts milk dealers who pay the order premiums are not competitors of the Massachusetts farmers, the pricing order imposes no discriminatory burden on commerce. Brief for Respondent 28-29. This argument cannot withstand scrutiny. Is it possible to doubt that if Massachusetts imposed a higher sales tax on milk produced in Maine than milk produced in Massachusetts that the tax would be struck down, in spite of the fact that the sales tax was imposed on consumers, and consumers do not compete with dairy farmers? For over 150 years, our cases have rightly concluded that the imposition of a differential burden on any part of the stream of commerce—from wholesaler to retailer to consumer—is invalid, because a burden placed at any point will result in a disadvantage to the out-of-state producer. Brown v. Maryland, 12 Wheat. 419, 444, 448 (1827) ("So, a tax on the occupation of the importer is, in like manner, a tax on importation. It must add to the price of the article, and be paid by the consumer, or by the [512 U.S. 203] importer himself, in like manner as a direct duty on the article itself would be made." "The distinction between a tax on the thing imported and on the person of the importer can have no influence on this part of the subject. It is too obvious for controversy that they interfere equally with the power to regulate commerce"); I. M. Darnell &amp; Son Co. v. City of Memphis, 208 U.S. 113 (1908) (differential burden on intermediate stage manufacturer); Bacchus Imports, Ltd. v. Dias, 468 U.S. 263 (1984) (differential burden on wholesaler); Webber v. Virginia, 103 U.S. 344, 350 (1881) (differential burden on sales agent); New Energy Co. of Indiana v. Limbach, 486 U.S. at 273-274 (differential burden on retailer).</w:t>
      </w:r>
      <w:r w:rsidRPr="00A31137">
        <w:cr/>
      </w:r>
    </w:p>
    <w:p w:rsidR="00A31137" w:rsidRPr="00A31137" w:rsidRDefault="00A31137" w:rsidP="00A31137">
      <w:r w:rsidRPr="00A31137">
        <w:t>C</w:t>
      </w:r>
    </w:p>
    <w:p w:rsidR="00A31137" w:rsidRPr="00A31137" w:rsidRDefault="00A31137" w:rsidP="00A31137">
      <w:r w:rsidRPr="00A31137">
        <w:t>1994, West Lynn Creamery, Inc. v. Healy, 512 U.S. 203</w:t>
      </w:r>
    </w:p>
    <w:p w:rsidR="00A31137" w:rsidRPr="00A31137" w:rsidRDefault="00A31137" w:rsidP="00A31137">
      <w:r w:rsidRPr="00A31137">
        <w:t>Respondent also argues that "the operation of the Order disproves any claim of protectionism," because "only in-state consumers feel the effect of any retail price increase…[and] [t]he dealers themselves…have a substantial in-state presence." Brief for Respondent 17 (emphasis in original). This argument, if accepted, would undermine almost every discriminatory tax case. State taxes are ordinarily paid by in-state businesses and consumers, yet if they discriminate against out-of-state products, they are unconstitutional. The idea that a discriminatory tax does not interfere with interstate commerce "merely because the burden of the tax was borne by consumers" in the taxing State was thoroughly repudiated in Bacchus Imports, Ltd. v. Dias, 468 U.S. at 272. The cost of a tariff is also borne primarily by local consumers, yet a tariff is the paradigmatic Commerce Clause violation.</w:t>
      </w:r>
    </w:p>
    <w:p w:rsidR="00A31137" w:rsidRPr="00A31137" w:rsidRDefault="00A31137" w:rsidP="00A31137">
      <w:r w:rsidRPr="00A31137">
        <w:t>1994, West Lynn Creamery, Inc. v. Healy, 512 U.S. 203</w:t>
      </w:r>
    </w:p>
    <w:p w:rsidR="00A31137" w:rsidRPr="00A31137" w:rsidRDefault="00A31137" w:rsidP="00A31137">
      <w:r w:rsidRPr="00A31137">
        <w:t>More fundamentally, respondent ignores the fact that Massachusetts dairy farmers are part of an integrated interstate market. As noted above, supra at 194-196, the purpose and effect of the pricing order are to divert market share to Massachusetts dairy farmers. This diversion necessarily injures the dairy farmers in neighboring States. Furthermore, [512 U.S. 204] the Massachusetts order regulates a portion of the same interstate market in milk that is more broadly regulated by a federal milk marketing order which covers most of New England. 7 CFR § 1001.2 (1993). The Massachusetts producers who deliver milk to dealers in that regulated market are participants in the same interstate milk market as the out-of-state producers who sell in the same market and are guaranteed the same minimum blend price by the federal order. The fact that the Massachusetts order imposes assessments only on Massachusetts sales and distributes them only to Massachusetts producers does not exclude either the assessments or the payments from the interstate market. To the extent that those assessments affect the relative volume of Class I milk products sold in the marketing area, as compared to other classes of milk products, they necessarily affect the blend price payable even to out-of-state producers who sell only in non-Massachusetts markets. 19 The obvious impact of the order on out-of-state production demonstrates that it is simply wrong to assume that the pricing order burdens only Massachusetts consumers and dealers.</w:t>
      </w:r>
    </w:p>
    <w:p w:rsidR="00A31137" w:rsidRPr="00A31137" w:rsidRDefault="00A31137" w:rsidP="00A31137">
      <w:r w:rsidRPr="00A31137">
        <w:t>D</w:t>
      </w:r>
    </w:p>
    <w:p w:rsidR="00A31137" w:rsidRPr="00A31137" w:rsidRDefault="00A31137" w:rsidP="00A31137">
      <w:r w:rsidRPr="00A31137">
        <w:t>1994, West Lynn Creamery, Inc. v. Healy, 512 U.S. 204</w:t>
      </w:r>
    </w:p>
    <w:p w:rsidR="00A31137" w:rsidRPr="00A31137" w:rsidRDefault="00A31137" w:rsidP="00A31137">
      <w:r w:rsidRPr="00A31137">
        <w:t>Finally, respondent argues that any incidental burden on interstate commerce "is outweighed by the 'local benefits' of preserving the Massachusetts dairy industry." 20 Brief for [512 U.S. 205] Respondent 42. In a closely related argument, respondent urges that "the purpose of the order, to save an industry from collapse, is not protectionist." Brief for Respondent 16. If we were to accept these arguments, we would make a virtue of the vice that the rule against discrimination condemns. Preservation of local industry by protecting it from the rigors of interstate competition is the hallmark of the economic protectionism that the Commerce Clause prohibits. In Bacchus Imports, Ltd. v. Dias, 468 U.S. at 272, we explicitly rejected any distinction "between thriving and struggling enterprises." Whether a State is attempting to "enhance thriving and substantial business enterprises" or to "subsidize…financially troubled" ones is irrelevant to Commerce Clause analysis. Ibid. With his characteristic eloquence, Justice Cardozo responded to an argument that respondent echoes today:</w:t>
      </w:r>
    </w:p>
    <w:p w:rsidR="00A31137" w:rsidRPr="00A31137" w:rsidRDefault="00A31137" w:rsidP="00A31137">
      <w:r w:rsidRPr="00A31137">
        <w:t>1994, West Lynn Creamery, Inc. v. Healy, 512 U.S. 205</w:t>
      </w:r>
    </w:p>
    <w:p w:rsidR="00A31137" w:rsidRPr="00A31137" w:rsidRDefault="00A31137" w:rsidP="00A31137">
      <w:r w:rsidRPr="00A31137">
        <w:t>The argument is pressed upon us, however, that the end to be served by the Milk Control Act is something more than the economic welfare of the farmers or of any other class or classes. The end to be served is the maintenance of a regular and adequate supply of pure and wholesome milk, the supply being put in jeopardy when [512 U.S. 206] the farmers of the state are unable to earn a living income. Nebbia v. New York, supra.…Let such an exception be admitted, and all that a state will have to do in times of stress and strain is to say that its farmers and merchants and workmen must be protected against competition from without, lest they go upon the poor relief lists or perish altogether. To give entrance to that excuse would be to invite a speedy end of our national solidarity. The Constitution was framed under the dominion of a political philosophy less parochial in range. It was framed upon the theory that the peoples of the several states must sink or swim together, and that, in the long run, prosperity and salvation are in union, and not division.</w:t>
      </w:r>
    </w:p>
    <w:p w:rsidR="00A31137" w:rsidRPr="00A31137" w:rsidRDefault="00A31137" w:rsidP="00A31137">
      <w:r w:rsidRPr="00A31137">
        <w:t>1994, West Lynn Creamery, Inc. v. Healy, 512 U.S. 206</w:t>
      </w:r>
    </w:p>
    <w:p w:rsidR="00A31137" w:rsidRPr="00A31137" w:rsidRDefault="00A31137" w:rsidP="00A31137">
      <w:r w:rsidRPr="00A31137">
        <w:t>Baldwin v. G.A.F. Seelig, 294 U.S. at 522-523. 21</w:t>
      </w:r>
    </w:p>
    <w:p w:rsidR="00A31137" w:rsidRPr="00A31137" w:rsidRDefault="00A31137" w:rsidP="00A31137">
      <w:r w:rsidRPr="00A31137">
        <w:t>1994, West Lynn Creamery, Inc. v. Healy, 512 U.S. 206</w:t>
      </w:r>
    </w:p>
    <w:p w:rsidR="00A31137" w:rsidRPr="00A31137" w:rsidRDefault="00A31137" w:rsidP="00A31137">
      <w:r w:rsidRPr="00A31137">
        <w:t>In a later case, also involving the welfare of Massachusetts dairy farmers, 22 Justice Jackson described the same overriding interest in the free flow of commerce across state lines:</w:t>
      </w:r>
    </w:p>
    <w:p w:rsidR="00A31137" w:rsidRPr="00A31137" w:rsidRDefault="00A31137" w:rsidP="00A31137">
      <w:r w:rsidRPr="00A31137">
        <w:t>1994, West Lynn Creamery, Inc. v. Healy, 512 U.S. 206</w:t>
      </w:r>
    </w:p>
    <w:p w:rsidR="00A31137" w:rsidRPr="00A31137" w:rsidRDefault="00A31137" w:rsidP="00A31137">
      <w:r w:rsidRPr="00A31137">
        <w:t>Our system, fostered by the Commerce Clause, is that every farmer and every craftsman shall be encouraged [512 U.S. 207] to produce by the certainty that he will have free access to every market in the Nation, that no home embargoes will withhold his exports, and no foreign state will by customs duties or regulations exclude them. Likewise, every consumer may look to the free competition from every producing area in the Nation to protect him from exploitation by any. Such was the vision of the Founders; such has been the doctrine of this Court which has given it reality.</w:t>
      </w:r>
    </w:p>
    <w:p w:rsidR="00A31137" w:rsidRPr="00A31137" w:rsidRDefault="00A31137" w:rsidP="00A31137">
      <w:r w:rsidRPr="00A31137">
        <w:t>1994, West Lynn Creamery, Inc. v. Healy, 512 U.S. 207</w:t>
      </w:r>
    </w:p>
    <w:p w:rsidR="00A31137" w:rsidRPr="00A31137" w:rsidRDefault="00A31137" w:rsidP="00A31137">
      <w:r w:rsidRPr="00A31137">
        <w:t>H. P. Hood &amp; Sons, Inc. v. Du Mond, 336 U.S. 525,  539 (1949).</w:t>
      </w:r>
    </w:p>
    <w:p w:rsidR="00A31137" w:rsidRPr="00A31137" w:rsidRDefault="00A31137" w:rsidP="00A31137">
      <w:r w:rsidRPr="00A31137">
        <w:t>1994, West Lynn Creamery, Inc. v. Healy, 512 U.S. 207</w:t>
      </w:r>
    </w:p>
    <w:p w:rsidR="00A31137" w:rsidRPr="00A31137" w:rsidRDefault="00A31137" w:rsidP="00A31137">
      <w:r w:rsidRPr="00A31137">
        <w:t>The judgment of the Supreme Judicial Court of Massachusetts is reversed.</w:t>
      </w:r>
    </w:p>
    <w:p w:rsidR="00A31137" w:rsidRPr="00A31137" w:rsidRDefault="00A31137" w:rsidP="00A31137">
      <w:r w:rsidRPr="00A31137">
        <w:t>1994, West Lynn Creamery, Inc. v. Healy, 512 U.S. 207</w:t>
      </w:r>
    </w:p>
    <w:p w:rsidR="00A31137" w:rsidRPr="00A31137" w:rsidRDefault="00A31137" w:rsidP="00A31137">
      <w:r w:rsidRPr="00A31137">
        <w:t>It is so ordered.</w:t>
      </w:r>
    </w:p>
    <w:p w:rsidR="00A31137" w:rsidRPr="00A31137" w:rsidRDefault="00A31137" w:rsidP="00A31137">
      <w:r w:rsidRPr="00A31137">
        <w:t>SCALIA, J., concurring</w:t>
      </w:r>
    </w:p>
    <w:p w:rsidR="00A31137" w:rsidRPr="00A31137" w:rsidRDefault="00A31137" w:rsidP="00A31137">
      <w:r w:rsidRPr="00A31137">
        <w:t>1994, West Lynn Creamery, Inc. v. Healy, 512 U.S. 207</w:t>
      </w:r>
    </w:p>
    <w:p w:rsidR="00A31137" w:rsidRPr="00A31137" w:rsidRDefault="00A31137" w:rsidP="00A31137">
      <w:r w:rsidRPr="00A31137">
        <w:t>JUSTICE SCALIA, with whom JUSTICE THOMAS joins, concurring in judgment.</w:t>
      </w:r>
    </w:p>
    <w:p w:rsidR="00A31137" w:rsidRPr="00A31137" w:rsidRDefault="00A31137" w:rsidP="00A31137">
      <w:r w:rsidRPr="00A31137">
        <w:t>1994, West Lynn Creamery, Inc. v. Healy, 512 U.S. 207</w:t>
      </w:r>
    </w:p>
    <w:p w:rsidR="00A31137" w:rsidRPr="00A31137" w:rsidRDefault="00A31137" w:rsidP="00A31137">
      <w:r w:rsidRPr="00A31137">
        <w:t>In my view, the challenged Massachusetts pricing order is invalid under our negative Commerce Clause jurisprudence, for the reasons explained in Part II below. I do not agree with the reasons assigned by the Court, which seem to me, as explained in Part I, a broad expansion of current law. Accordingly, I concur only in the judgment of the Court.</w:t>
      </w:r>
    </w:p>
    <w:p w:rsidR="00A31137" w:rsidRPr="00A31137" w:rsidRDefault="00A31137" w:rsidP="00A31137">
      <w:r w:rsidRPr="00A31137">
        <w:t>I</w:t>
      </w:r>
    </w:p>
    <w:p w:rsidR="00A31137" w:rsidRPr="00A31137" w:rsidRDefault="00A31137" w:rsidP="00A31137">
      <w:r w:rsidRPr="00A31137">
        <w:t>1994, West Lynn Creamery, Inc. v. Healy, 512 U.S. 207</w:t>
      </w:r>
    </w:p>
    <w:p w:rsidR="00A31137" w:rsidRPr="00A31137" w:rsidRDefault="00A31137" w:rsidP="00A31137">
      <w:r w:rsidRPr="00A31137">
        <w:t>The purpose of the negative Commerce Clause, we have often said, is to create a national market. It does not follow from that, however, and we have never held, that every state law which obstructs a national market violates the Commerce Clause. Yet that is what the Court says today. It seems to have canvassed the entire corpus of negative Commerce Clause opinions, culled out every free-market snippet of reasoning, and melded them into the sweeping principle that the Constitution is violated by any state law or regulation that "artificially encourag[es] in-state production even when the same goods could be produced at lower cost in other States."  Ante at  193. See also ante, at  194 (the [512 U.S. 208] law here is unconstitutional because it "neutraliz[es] the advantage possessed by lower cost out-of-state producers"); ante at 195 (price order is unconstitutional because it allows in-state producers "who produce at higher cost to sell at or below the price charged by lower cost out-of-state producers"); ante at 196 (a state program is unconstitutional where it "'neutralizes advantages belonging to the place of origin'") (quoting Baldwin v. G.A.F. Seelig, Inc., 294 U.S. 511,  527 (1935)); ante at 205 ("Preservation of local industry by protecting it from the rigors of interstate competition is the hallmark of the economic protectionism that the Commerce Clause prohibits").</w:t>
      </w:r>
    </w:p>
    <w:p w:rsidR="00A31137" w:rsidRPr="00A31137" w:rsidRDefault="00A31137" w:rsidP="00A31137">
      <w:r w:rsidRPr="00A31137">
        <w:t>1994, West Lynn Creamery, Inc. v. Healy, 512 U.S. 208</w:t>
      </w:r>
    </w:p>
    <w:p w:rsidR="00A31137" w:rsidRPr="00A31137" w:rsidRDefault="00A31137" w:rsidP="00A31137">
      <w:r w:rsidRPr="00A31137">
        <w:t>As the Court seems to appreciate by its eagerness expressly to reserve the question of the constitutionality of subsidies for in-state industry, ante at 199 and n. 15, this expansive view of the Commerce Clause calls into question a wide variety of state laws that have hitherto been thought permissible. It seems to me that a State subsidy would clearly be invalid under any formulation of the Court's guiding principle identified above. The Court guardedly asserts that a "pure subsidy funded out of general revenue ordinarily imposes no burden on interstate commerce, but merely assists local business," ante at 199 (emphasis added), but under its analysis that must be taken to be true only because most local businesses (e.g., the local hardware store) are not competing with businesses out of State. The Court notes that, in funding this subsidy, Massachusetts has taxed milk produced in other States, and thus "not only assists local farmers, but burdens interstate commerce." Ibid. But the same could be said of almost all subsidies funded from general state revenues, which almost invariably include monies from use taxes on out-of-state products. And even where the funding does not come in any part from taxes on out-of-state goods, "merely assist[ing]" in-state businesses, ibid., unquestionably neutralizes advantages possessed by out-of-state enterprises. [512 U.S. 209] Such subsidies, particularly where they are in the form of cash or (what comes to the same thing) tax forgiveness, are often admitted to have as their purpose—indeed, are nationally advertised as having as their purpose—making it more profitable to conduct business in-state than elsewhere, i.e., distorting normal market incentives.</w:t>
      </w:r>
    </w:p>
    <w:p w:rsidR="00A31137" w:rsidRPr="00A31137" w:rsidRDefault="00A31137" w:rsidP="00A31137">
      <w:r w:rsidRPr="00A31137">
        <w:t>1994, West Lynn Creamery, Inc. v. Healy, 512 U.S. 209</w:t>
      </w:r>
    </w:p>
    <w:p w:rsidR="00A31137" w:rsidRPr="00A31137" w:rsidRDefault="00A31137" w:rsidP="00A31137">
      <w:r w:rsidRPr="00A31137">
        <w:t>The Court's guiding principle also appears to call into question many garden variety state laws heretofore permissible under the negative Commerce Clause. A state law, for example, which requires, contrary to the industry practice, the use of recyclable packaging materials, favors local non-exporting producers, who do not have to establish an additional, separate packaging operation for in-state sales. If the Court's analysis is to be believed, such a law would be unconstitutional without regard to whether disruption of the "national market" is the real purpose of the restriction, and without the need to "balance" the importance of the state interests thereby pursued, see Pike v. Bruce Church, Inc., 397 U.S. 137 (1970). These results would greatly extend the negative Commerce Clause beyond its current scope. If the Court does not intend these consequences, and does not want to foster needless litigation concerning them, it should not have adopted its expansive rationale. Another basis for deciding the case is available, which I proceed to discuss.</w:t>
      </w:r>
    </w:p>
    <w:p w:rsidR="00A31137" w:rsidRPr="00A31137" w:rsidRDefault="00A31137" w:rsidP="00A31137">
      <w:r w:rsidRPr="00A31137">
        <w:t>II</w:t>
      </w:r>
    </w:p>
    <w:p w:rsidR="00A31137" w:rsidRPr="00A31137" w:rsidRDefault="00A31137" w:rsidP="00A31137">
      <w:r w:rsidRPr="00A31137">
        <w:t>1994, West Lynn Creamery, Inc. v. Healy, 512 U.S. 209</w:t>
      </w:r>
    </w:p>
    <w:p w:rsidR="00A31137" w:rsidRPr="00A31137" w:rsidRDefault="00A31137" w:rsidP="00A31137">
      <w:r w:rsidRPr="00A31137">
        <w:t>The historical record provides no grounds for reading the Commerce Clause to be other than what it says-an authorization for Congress to regulate commerce.</w:t>
      </w:r>
    </w:p>
    <w:p w:rsidR="00A31137" w:rsidRPr="00A31137" w:rsidRDefault="00A31137" w:rsidP="00A31137">
      <w:r w:rsidRPr="00A31137">
        <w:t>1994, West Lynn Creamery, Inc. v. Healy, 512 U.S. 209</w:t>
      </w:r>
    </w:p>
    <w:p w:rsidR="00A31137" w:rsidRPr="00A31137" w:rsidRDefault="00A31137" w:rsidP="00A31137">
      <w:r w:rsidRPr="00A31137">
        <w:t>Tyler Pipe Industries, Inc. v. Washington State Dept. of Revenue, 483 U.S. 232, 263 (1987) (SCALIA, J., concurring in part and dissenting in part). Nonetheless, we formally adopted the doctrine of the negative Commerce Clause 121 years ago, see Case of the State Freight Tax, 15 Wall. 232 (1873), and since then have decided a vast number of negative Commerce Clause cases, engendering considerable reliance interests. [512 U.S. 210] As a result, I will, on stare decisis grounds, enforce a self-executing "negative" Commerce Clause in two situations: (1) against a state law that facially discriminates against interstate commerce, and (2) against a state law that is indistinguishable from a type of law previously held unconstitutional by this Court. See Itel Containers Int'l Corp. v. Huddleston, 507 U.S. 60, 78-79, and nn. 1, 2 (1993) (SCALIA, J., concurring in judgment) (collecting cases). Applying this approach—or at least the second part of it—is not always easy, since once one gets beyond facial discrimination our negative Commerce Clause jurisprudence becomes (and long has been) a "quagmire." Northwestern States Portland Cement Co. v. Minnesota, 358 U.S. 450,  458 (1959). See generally D. Currie, The Constitution in the Supreme Court: The First Hundred Years 1789-1888, pp. 168-181, 222-236, 330-342, 403-416 (1985). The object should be, however, to produce a clear rule that honors the holdings of our past decisions but declines to extend the rationale that produced those decisions any further. See American Trucking Assns., Inc. v. Scheiner, 483 U.S. 266, 305-306 (1987) (SCALIA, J., dissenting).</w:t>
      </w:r>
    </w:p>
    <w:p w:rsidR="00A31137" w:rsidRPr="00A31137" w:rsidRDefault="00A31137" w:rsidP="00A31137">
      <w:r w:rsidRPr="00A31137">
        <w:t>1994, West Lynn Creamery, Inc. v. Healy, 512 U.S. 210</w:t>
      </w:r>
    </w:p>
    <w:p w:rsidR="00A31137" w:rsidRPr="00A31137" w:rsidRDefault="00A31137" w:rsidP="00A31137">
      <w:r w:rsidRPr="00A31137">
        <w:t>There at least four possible devices that would enable a State to produce the economic effect that Massachusetts has produced here: (1) a discriminatory tax upon the industry, imposing a higher liability on out-of-state members than on their in-state competitors; (2) a tax upon the industry that is nondiscriminatory in its assessment, but that has an "exemption" or "credit" for in-state members; (3) a nondiscriminatory tax upon the industry, the revenues from which are placed into a segregated fund, which fund is disbursed as "rebates" or "subsidies" to in-state members of the industry (the situation at issue in this case); and (4) with or without nondiscriminatory taxation of the industry, a subsidy for the in-state members of the industry, funded from the State's general revenues. It is long settled that the first of these methodologies is unconstitutional under the negative Commerce [512 U.S. 211] Clause. See, e.g., Guy v. Baltimore, 100 U.S. 434, 443 (1880). The second of them, "exemption" from or "credit" against a "neutral" tax, is no different in principle from the first, and has likewise been held invalid. See Maryland v. Louisiana, 451 U.S. 725, 756 (1981); Westinghouse Electric Corp. v. Tully, 466 U.S. 388, 399-400, and n. 9 (1984). The fourth methodology, application of a state subsidy from general revenues, is so far removed from what we have hitherto held to be unconstitutional, that prohibiting it must be regarded as an extension of our negative Commerce Clause jurisprudence and therefore, to me, unacceptable. See New Energy Co. of Indiana v. Limbach, 486 U.S. 269, 278 (1988). Indeed, in my view, our negative Commerce Clause cases have already approved the use of such subsidies. See Hughes v. Alexandria Scrap Corp., 426 U.S. 794, 809-810 (1976).</w:t>
      </w:r>
    </w:p>
    <w:p w:rsidR="00A31137" w:rsidRPr="00A31137" w:rsidRDefault="00A31137" w:rsidP="00A31137">
      <w:r w:rsidRPr="00A31137">
        <w:t>1994, West Lynn Creamery, Inc. v. Healy, 512 U.S. 211</w:t>
      </w:r>
    </w:p>
    <w:p w:rsidR="00A31137" w:rsidRPr="00A31137" w:rsidRDefault="00A31137" w:rsidP="00A31137">
      <w:r w:rsidRPr="00A31137">
        <w:t>The issue before us in the present case is whether the third of these methodologies must fall. Although the question is close, I conclude it would not be a principled point at which to disembark from the negative Commerce Clause train. The only difference between methodology (2) (discriminatory "exemption" from nondiscriminatory tax) and methodology (3) (discriminatory refund of nondiscriminatory tax) is that the money is taken and returned rather than simply left with the favored in-state taxpayer in the first place. The difference between (3) and (4), on the other hand, is the difference between assisting in-state industry through discriminatory taxation and assisting in-state industry by other means.</w:t>
      </w:r>
    </w:p>
    <w:p w:rsidR="00A31137" w:rsidRPr="00A31137" w:rsidRDefault="00A31137" w:rsidP="00A31137">
      <w:r w:rsidRPr="00A31137">
        <w:t>1994, West Lynn Creamery, Inc. v. Healy, 512 U.S. 211</w:t>
      </w:r>
    </w:p>
    <w:p w:rsidR="00A31137" w:rsidRPr="00A31137" w:rsidRDefault="00A31137" w:rsidP="00A31137">
      <w:r w:rsidRPr="00A31137">
        <w:t>I would therefore allow a State to subsidize its domestic industry so long as it does so from nondiscriminatory taxes that go into the State's general revenue fund. Perhaps, as some commentators contend, that line comports with an important economic reality: a State is less likely to maintain a subsidy when its citizens perceive that the money (in the general fund) is available for any number of competing, [512 U.S. 212] nonprotectionist, purposes. See Coenen, Untangling the Market-Participant Exemption to the Dormant Commerce Clause, 88 Mich.L.Rev. 395, 479 (1989); Collins, Economic Union as a Constitutional Value, 63 N.Y.U.L.Rev. 43, 103 (1988); Gergen, The Selfish State and the Market, 66 Tex.L.Rev. 1097, 1138 (1988); see also ante at  200, and n. 17. That is not, however, the basis for my position, for as THE CHIEF JUSTICE explains,</w:t>
      </w:r>
    </w:p>
    <w:p w:rsidR="00A31137" w:rsidRPr="00A31137" w:rsidRDefault="00A31137" w:rsidP="00A31137">
      <w:r w:rsidRPr="00A31137">
        <w:t>1994, West Lynn Creamery, Inc. v. Healy, 512 U.S. 212</w:t>
      </w:r>
    </w:p>
    <w:p w:rsidR="00A31137" w:rsidRPr="00A31137" w:rsidRDefault="00A31137" w:rsidP="00A31137">
      <w:r w:rsidRPr="00A31137">
        <w:t>[a]nalysis of interest group participation in the political process may serve many useful purposes, but serving as a basis for interpreting the dormant Commerce Clause is not one of them.</w:t>
      </w:r>
    </w:p>
    <w:p w:rsidR="00A31137" w:rsidRPr="00A31137" w:rsidRDefault="00A31137" w:rsidP="00A31137">
      <w:r w:rsidRPr="00A31137">
        <w:t>1994, West Lynn Creamery, Inc. v. Healy, 512 U.S. 212</w:t>
      </w:r>
    </w:p>
    <w:p w:rsidR="00A31137" w:rsidRPr="00A31137" w:rsidRDefault="00A31137" w:rsidP="00A31137">
      <w:r w:rsidRPr="00A31137">
        <w:t>Post at  215 (dissenting opinion). Instead, I draw the line where I do because it is a clear, rational line at the limits of our extant negative Commerce Clause jurisprudence.</w:t>
      </w:r>
    </w:p>
    <w:p w:rsidR="00A31137" w:rsidRPr="00A31137" w:rsidRDefault="00A31137" w:rsidP="00A31137">
      <w:r w:rsidRPr="00A31137">
        <w:t>REHNQUIST, J., dissenting</w:t>
      </w:r>
    </w:p>
    <w:p w:rsidR="00A31137" w:rsidRPr="00A31137" w:rsidRDefault="00A31137" w:rsidP="00A31137">
      <w:r w:rsidRPr="00A31137">
        <w:t>1994, West Lynn Creamery, Inc. v. Healy, 512 U.S. 212</w:t>
      </w:r>
    </w:p>
    <w:p w:rsidR="00A31137" w:rsidRPr="00A31137" w:rsidRDefault="00A31137" w:rsidP="00A31137">
      <w:r w:rsidRPr="00A31137">
        <w:t>CHIEF JUSTICE REHNQUIST, with whom JUSTICE BLACKMUN joins, dissenting.</w:t>
      </w:r>
    </w:p>
    <w:p w:rsidR="00A31137" w:rsidRPr="00A31137" w:rsidRDefault="00A31137" w:rsidP="00A31137">
      <w:r w:rsidRPr="00A31137">
        <w:t>1994, West Lynn Creamery, Inc. v. Healy, 512 U.S. 212</w:t>
      </w:r>
    </w:p>
    <w:p w:rsidR="00A31137" w:rsidRPr="00A31137" w:rsidRDefault="00A31137" w:rsidP="00A31137">
      <w:r w:rsidRPr="00A31137">
        <w:t xml:space="preserve"> The Court is less than just in its description of the reasons which lay behind the Massachusetts law which it strikes down. The law undoubtedly sought to aid struggling Massachusetts dairy farmers, beset by steady or declining prices and escalating costs. This situation is apparently not unique to Massachusetts; New Jersey has filed an amicus brief in support of respondent because New Jersey has enacted a similar law. Both States lie in the northeastern metropolitan corridor, which is the most urbanized area in the United States, and has every prospect of becoming more so. The value of agricultural land located near metropolitan areas is driven up by the demand for housing and similar urban uses; distressed farmers eventually sell out to developers. Not merely farm produce is lost, as is the milk production in this case, but, as the Massachusetts Special Commission whose report was the basis for the order in question here found:</w:t>
      </w:r>
    </w:p>
    <w:p w:rsidR="00A31137" w:rsidRPr="00A31137" w:rsidRDefault="00A31137" w:rsidP="00A31137">
      <w:r w:rsidRPr="00A31137">
        <w:t>1994, West Lynn Creamery, Inc. v. Healy, 512 U.S. 212</w:t>
      </w:r>
    </w:p>
    <w:p w:rsidR="00A31137" w:rsidRPr="00A31137" w:rsidRDefault="00A31137" w:rsidP="00A31137">
      <w:r w:rsidRPr="00A31137">
        <w:t>Without the continued existence of dairy farmers, the Commonwealth will lose its supply of locally produced fresh milk, together with the open lands that are used as [512 U.S. 213] wildlife refuges, for recreation, hunting, fishing, tourism, and education.</w:t>
      </w:r>
    </w:p>
    <w:p w:rsidR="00A31137" w:rsidRPr="00A31137" w:rsidRDefault="00A31137" w:rsidP="00A31137">
      <w:r w:rsidRPr="00A31137">
        <w:t>1994, West Lynn Creamery, Inc. v. Healy, 512 U.S. 213</w:t>
      </w:r>
    </w:p>
    <w:p w:rsidR="00A31137" w:rsidRPr="00A31137" w:rsidRDefault="00A31137" w:rsidP="00A31137">
      <w:r w:rsidRPr="00A31137">
        <w:t>App. 13.</w:t>
      </w:r>
    </w:p>
    <w:p w:rsidR="00A31137" w:rsidRPr="00A31137" w:rsidRDefault="00A31137" w:rsidP="00A31137">
      <w:r w:rsidRPr="00A31137">
        <w:t>1994, West Lynn Creamery, Inc. v. Healy, 512 U.S. 213</w:t>
      </w:r>
    </w:p>
    <w:p w:rsidR="00A31137" w:rsidRPr="00A31137" w:rsidRDefault="00A31137" w:rsidP="00A31137">
      <w:r w:rsidRPr="00A31137">
        <w:t>Massachusetts has dealt with this problem by providing a subsidy to aid its beleaguered dairy farmers. In case after case, we have approved the validity under the Commerce Clause of such enactments. "No one disputes that a State may enact laws pursuant to its police powers that have the purpose and effect of encouraging domestic industry." Bacchus Imports, Ltd. v. Dias, 468 U.S. 263, 271 (1984).</w:t>
      </w:r>
    </w:p>
    <w:p w:rsidR="00A31137" w:rsidRPr="00A31137" w:rsidRDefault="00A31137" w:rsidP="00A31137">
      <w:r w:rsidRPr="00A31137">
        <w:t>1994, West Lynn Creamery, Inc. v. Healy, 512 U.S. 213</w:t>
      </w:r>
    </w:p>
    <w:p w:rsidR="00A31137" w:rsidRPr="00A31137" w:rsidRDefault="00A31137" w:rsidP="00A31137">
      <w:r w:rsidRPr="00A31137">
        <w:t>Direct subsidization of domestic industry does not ordinarily run afoul of the [dormant Commerce Clause]; discriminatory taxation of out-of-state manufacturers does.</w:t>
      </w:r>
    </w:p>
    <w:p w:rsidR="00A31137" w:rsidRPr="00A31137" w:rsidRDefault="00A31137" w:rsidP="00A31137">
      <w:r w:rsidRPr="00A31137">
        <w:t>1994, West Lynn Creamery, Inc. v. Healy, 512 U.S. 213</w:t>
      </w:r>
    </w:p>
    <w:p w:rsidR="00A31137" w:rsidRPr="00A31137" w:rsidRDefault="00A31137" w:rsidP="00A31137">
      <w:r w:rsidRPr="00A31137">
        <w:t>New Energy Co. of Indiana v. Limbach, 486 U.S. 269, 278 (1988). But today the Court relegates these well established principles to a footnote and at the same time, gratuitously casts doubt on the validity of state subsidies, observing that "[w]e have never squarely confronted" their constitutionality. Ante at  199, n. 15.</w:t>
      </w:r>
    </w:p>
    <w:p w:rsidR="00A31137" w:rsidRPr="00A31137" w:rsidRDefault="00A31137" w:rsidP="00A31137">
      <w:r w:rsidRPr="00A31137">
        <w:t>1994, West Lynn Creamery, Inc. v. Healy, 512 U.S. 213</w:t>
      </w:r>
    </w:p>
    <w:p w:rsidR="00A31137" w:rsidRPr="00A31137" w:rsidRDefault="00A31137" w:rsidP="00A31137">
      <w:r w:rsidRPr="00A31137">
        <w:t>But in Milk Control Bd. v. Eisenberg Farm Products, 306 U.S. 346 (1939), the Court upheld a Pennsylvania statute establishing minimum prices to be paid to Pennsylvania dairy farmers against a Commerce Clause challenge by a Pennsylvania milk dealer which shipped all of its milk purchased in Pennsylvania to New York to be sold there. The Court observed that</w:t>
      </w:r>
    </w:p>
    <w:p w:rsidR="00A31137" w:rsidRPr="00A31137" w:rsidRDefault="00A31137" w:rsidP="00A31137">
      <w:r w:rsidRPr="00A31137">
        <w:t>1994, West Lynn Creamery, Inc. v. Healy, 512 U.S. 213</w:t>
      </w:r>
    </w:p>
    <w:p w:rsidR="00A31137" w:rsidRPr="00A31137" w:rsidRDefault="00A31137" w:rsidP="00A31137">
      <w:r w:rsidRPr="00A31137">
        <w:t>[t]he purpose of the statute…is to reach a domestic situation in the interest of the welfare of the producers and consumers of milk in Pennsylvania.</w:t>
      </w:r>
    </w:p>
    <w:p w:rsidR="00A31137" w:rsidRPr="00A31137" w:rsidRDefault="00A31137" w:rsidP="00A31137">
      <w:r w:rsidRPr="00A31137">
        <w:t>1994, West Lynn Creamery, Inc. v. Healy, 512 U.S. 213</w:t>
      </w:r>
    </w:p>
    <w:p w:rsidR="00A31137" w:rsidRPr="00A31137" w:rsidRDefault="00A31137" w:rsidP="00A31137">
      <w:r w:rsidRPr="00A31137">
        <w:t>Id. at 352. It went on to say:</w:t>
      </w:r>
    </w:p>
    <w:p w:rsidR="00A31137" w:rsidRPr="00A31137" w:rsidRDefault="00A31137" w:rsidP="00A31137">
      <w:r w:rsidRPr="00A31137">
        <w:t>1994, West Lynn Creamery, Inc. v. Healy, 512 U.S. 213</w:t>
      </w:r>
    </w:p>
    <w:p w:rsidR="00A31137" w:rsidRPr="00A31137" w:rsidRDefault="00A31137" w:rsidP="00A31137">
      <w:r w:rsidRPr="00A31137">
        <w:t>One of the commonest forms of state action is the exercise of police power directed to the control of local conditions and exerted in the interest of the welfare of the state's citizens. Every state police statute necessarily will affect interstate commerce in some degree, but such a statute does not run counter to the grant of Congressional power merely because it incidentally or [512 U.S. 214] indirectly involves or burdens interstate commerce…. These principles have guided judicial decision for more than a century.</w:t>
      </w:r>
    </w:p>
    <w:p w:rsidR="00A31137" w:rsidRPr="00A31137" w:rsidRDefault="00A31137" w:rsidP="00A31137">
      <w:r w:rsidRPr="00A31137">
        <w:t>1994, West Lynn Creamery, Inc. v. Healy, 512 U.S. 214</w:t>
      </w:r>
    </w:p>
    <w:p w:rsidR="00A31137" w:rsidRPr="00A31137" w:rsidRDefault="00A31137" w:rsidP="00A31137">
      <w:r w:rsidRPr="00A31137">
        <w:t>Id. at 351-352.</w:t>
      </w:r>
    </w:p>
    <w:p w:rsidR="00A31137" w:rsidRPr="00A31137" w:rsidRDefault="00A31137" w:rsidP="00A31137">
      <w:r w:rsidRPr="00A31137">
        <w:t>1994, West Lynn Creamery, Inc. v. Healy, 512 U.S. 214</w:t>
      </w:r>
    </w:p>
    <w:p w:rsidR="00A31137" w:rsidRPr="00A31137" w:rsidRDefault="00A31137" w:rsidP="00A31137">
      <w:r w:rsidRPr="00A31137">
        <w:t>The Massachusetts subsidy under consideration is similar in many respects to the Pennsylvania statute described in Eisenberg, supra. Massachusetts taxes all dealers of milk within its borders. The tax is even-handed on its face, i.e., it affects all dealers regardless of the point of origin of the milk. Ante at  194 ("the tax also applies to milk produced in Massachusetts…"); ante at 200 ("…the evenhanded tax at issue here…"). The State has not acted to strong-arm sister States, as in Limbach; rather, its motives are purely local. As the Supreme Judicial Court of Massachusetts aptly described it: "[T]he premiums represent one of the costs of doing business in the Commonwealth, a cost all milk dealers must pay." West Lynn Creamery, Inc. v. Commissioner of Dept. of Food and Agriculture, 415 Mass. 8, 19, 611 N.E.2d 239, 245 (1993).</w:t>
      </w:r>
    </w:p>
    <w:p w:rsidR="00A31137" w:rsidRPr="00A31137" w:rsidRDefault="00A31137" w:rsidP="00A31137">
      <w:r w:rsidRPr="00A31137">
        <w:t>1994, West Lynn Creamery, Inc. v. Healy, 512 U.S. 214</w:t>
      </w:r>
    </w:p>
    <w:p w:rsidR="00A31137" w:rsidRPr="00A31137" w:rsidRDefault="00A31137" w:rsidP="00A31137">
      <w:r w:rsidRPr="00A31137">
        <w:t>Consistent with precedent, the Court observes: "A pure subsidy funded out of general revenue ordinarily imposes no burden on interstate commerce, but merely assists local business." Ante at  199. And the Court correctly recognizes that "[n]ondiscriminatory measures, like the evenhanded tax at issue here, are generally upheld" due to the deference normally accorded to a State's political process in passing legislation in light of various competing interest groups. Ante at  200, citing Minnesota v. Clover Leaf Creamery Co., 449 U.S. 456,  473, n. 17 (1981), and Raymond Motor Transportation Inc. v. Rice, 434 U.S. 429, 444, n. 18 (1978). But the Court strikes down this method of state subsidization because the nondiscriminatory tax levied against all milk dealers is coupled with a subsidy to milk producers. Ante at 200-201. The Court does this because of its view that the method of imposing the tax and subsidy distorts the State's political process: the dairy farmers, who would otherwise lobby against the tax, have been mollified by the subsidy. Ibid. But as the Court itself points out, there are still at least two [512 U.S. 215] strong interest groups opposed to the milk order-consumers and milk dealers. More importantly, nothing in the dormant Commerce Clause suggests that the fate of state regulation should turn upon the particular lawful manner in which the state subsidy is enacted or promulgated. Analysis of interest group participation in the political process may serve many useful purposes, but serving as a basis for interpreting the dormant Commerce Clause is not one of them.</w:t>
      </w:r>
    </w:p>
    <w:p w:rsidR="00A31137" w:rsidRPr="00A31137" w:rsidRDefault="00A31137" w:rsidP="00A31137">
      <w:r w:rsidRPr="00A31137">
        <w:t>1994, West Lynn Creamery, Inc. v. Healy, 512 U.S. 215</w:t>
      </w:r>
    </w:p>
    <w:p w:rsidR="00A31137" w:rsidRPr="00A31137" w:rsidRDefault="00A31137" w:rsidP="00A31137">
      <w:r w:rsidRPr="00A31137">
        <w:t>The Court concludes that the combined effect of the milk order "simultaneously burdens interstate commerce and discriminates in favor of local producers." Ante at  201. In support of this conclusion, the Court cites Baldwin v. G.A.F. Seelig, Inc., 294 U.S. 511 (1935), and Bacchus Imports, Ltd. v. Dias, supra, as two examples in which constitutional means were held to have unconstitutional effects on interstate commerce. But both Baldwin and Bacchus are a far cry from this case.</w:t>
      </w:r>
    </w:p>
    <w:p w:rsidR="00A31137" w:rsidRPr="00A31137" w:rsidRDefault="00A31137" w:rsidP="00A31137">
      <w:r w:rsidRPr="00A31137">
        <w:t>1994, West Lynn Creamery, Inc. v. Healy, 512 U.S. 215</w:t>
      </w:r>
    </w:p>
    <w:p w:rsidR="00A31137" w:rsidRPr="00A31137" w:rsidRDefault="00A31137" w:rsidP="00A31137">
      <w:r w:rsidRPr="00A31137">
        <w:t xml:space="preserve">In Baldwin, supra, in order to sell bottled milk in New York, milk dealers were required to pay a minimum price for milk, even though they could have purchased milk from Vermont farmers at a lower price. This scheme was found to be an effort to prevent Vermont milk producers from selling to New York dealers at their lower market price. As Justice Cardozo explained, under the New York statute, "the importer…may keep his milk or drink it, but sell it he may not." 294 U.S. at  521. Such a scheme clearly made it less attractive for New York dealers to purchase milk from Vermont farmers, for the disputed law negated any economic advantage in so doing. Under the Massachusetts milk order, there is no such adverse effect. Milk dealers have the same incentives to purchase lower priced milk from out-of-state farmers; dealers of all milk are taxed equally. To borrow Justice Cardozo's description, milk dealers in Massachusetts are free to keep their milk, drink their milk, and sell it-on equal terms as local milk. [512 U.S. 216] </w:t>
      </w:r>
    </w:p>
    <w:p w:rsidR="00A31137" w:rsidRPr="00A31137" w:rsidRDefault="00A31137" w:rsidP="00A31137">
      <w:r w:rsidRPr="00A31137">
        <w:t>1994, West Lynn Creamery, Inc. v. Healy, 512 U.S. 216</w:t>
      </w:r>
    </w:p>
    <w:p w:rsidR="00A31137" w:rsidRPr="00A31137" w:rsidRDefault="00A31137" w:rsidP="00A31137">
      <w:r w:rsidRPr="00A31137">
        <w:t>In Bacchus, the State of Hawaii combined its undisputed power to tax and grant exemptions in a manner that the Court found violative of the Commerce Clause. There, the State exempted a local wine from the burdens of an excise tax levied on all other liquor sales. Despite the Court's strained attempt to compare the scheme in Bacchus to the milk order in this case, ante at 196-197, it is clear that the milk order does not produce the same effect on interstate commerce as the tax exemption in Bacchus. I agree with the Court's statement that Bacchus can be distinguished "by noting that the rebate in this case goes not to the entity which pays the tax (milk dealers) but to the dairy farmers themselves." Ante at  197, n. 14. This is not only a distinction, but a significant difference. No decided case supports the Court's conclusion that the negative Commerce Clause prohibits the State from using money that it has lawfully obtained through a neutral tax on milk dealers and distributing it as a subsidy to dairy farmers. Indeed, the case which comes closest to supporting the result the Court reaches is the ill-starred opinion in United States v. Butler, 297 U.S. 1 (1936), in which the Court held unconstitutional what would have been an otherwise valid tax on the processing of agricultural products because of the use to which the revenue raised by the tax was put.</w:t>
      </w:r>
    </w:p>
    <w:p w:rsidR="00A31137" w:rsidRPr="00A31137" w:rsidRDefault="00A31137" w:rsidP="00A31137">
      <w:r w:rsidRPr="00A31137">
        <w:t>1994, West Lynn Creamery, Inc. v. Healy, 512 U.S. 216</w:t>
      </w:r>
    </w:p>
    <w:p w:rsidR="00A31137" w:rsidRPr="00A31137" w:rsidRDefault="00A31137" w:rsidP="00A31137">
      <w:r w:rsidRPr="00A31137">
        <w:t>More than half a century ago, Justice Brandeis said in his dissenting opinion in New State Ice Co. v. Liebmann, 285 U.S. 262,  311 (1932):</w:t>
      </w:r>
    </w:p>
    <w:p w:rsidR="00A31137" w:rsidRPr="00A31137" w:rsidRDefault="00A31137" w:rsidP="00A31137">
      <w:r w:rsidRPr="00A31137">
        <w:t>1994, West Lynn Creamery, Inc. v. Healy, 512 U.S. 216</w:t>
      </w:r>
    </w:p>
    <w:p w:rsidR="00A31137" w:rsidRPr="00A31137" w:rsidRDefault="00A31137" w:rsidP="00A31137">
      <w:r w:rsidRPr="00A31137">
        <w:t xml:space="preserve">To stay experimentation in things social and economic is a grave responsibility. Denial of the right to experiment may be fraught with serious consequences to the Nation. It is one of the happy incidents of the federal system that a single courageous State may, if its citizens choose, serve as a laboratory, and try novel social and economic experiments without risk to the rest of the country. [512 U.S. 217] </w:t>
      </w:r>
    </w:p>
    <w:p w:rsidR="00A31137" w:rsidRPr="00A31137" w:rsidRDefault="00A31137" w:rsidP="00A31137">
      <w:r w:rsidRPr="00A31137">
        <w:t>1994, West Lynn Creamery, Inc. v. Healy, 512 U.S. 217</w:t>
      </w:r>
    </w:p>
    <w:p w:rsidR="00A31137" w:rsidRPr="00A31137" w:rsidRDefault="00A31137" w:rsidP="00A31137">
      <w:r w:rsidRPr="00A31137">
        <w:t>Justice Brandeis' statement has been cited more than once in subsequent majority opinions of the Court. See, e. g., Reeves, Inc. v. Stake, 447 U.S. 429, 441 (1980). His observation bears heeding today, as it did when he made it. The wisdom of a messianic insistence on a grim sink-or-swim policy of laissez faire economics would be debatable had Congress chosen to enact it; but Congress has done nothing of the kind. It is the Court which has imposed the policy under the dormant Commerce Clause, a policy which bodes ill for the values of federalism which have long animated our constitutional jurisprudence.</w:t>
      </w:r>
    </w:p>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1994, West Lynn Creamery, Inc. v. Healy, 512 U.S. 217</w:t>
      </w:r>
    </w:p>
    <w:p w:rsidR="00A31137" w:rsidRPr="00A31137" w:rsidRDefault="00A31137" w:rsidP="00A31137">
      <w:r w:rsidRPr="00A31137">
        <w:t>1. The minimum price is a "blend price" that is determined, in part, by the ultimate use of the raw milk. See 7 CFR § 1001.1 et seq. (1993). Raw milk used to produce fluid milk products has the highest price, and is characterized in the federal order as "Class I" milk. Milk used for other products, such as eggnog, sour cream, and hard cheese, bears a lower price, and is characterized as "Class II" and "Class III" milk. Each dealer is required to file a monthly report of its raw milk purchases and the use to which that milk is put. In computing the monthly blend price, the Federal Market Administrator calculates the weighted average price of the various classes of milk. If Class I milk predominates in the dealer reports, the blend price is high; if other classes predominate, the blend price is lower. Although all of the farmers are paid the same minimum blend price regardless of the use to which their milk is put, dealers who sell more than an average amount of Class I products pay a higher per unit price than those with relatively lower Class I sales. The federal marketing order thus provides a uniform blend price for sellers of raw milk while imposing nonuniform payment obligations on the dealers purchasing that milk. The federal order does not prohibit the payment of prices higher than the established minima. Like the federal order, the Massachusetts order requires dealers to make payments into a fund that is disbursed to farmers on a monthly basis. The assessments, however, are only on Class I sales and the distributions are only to Massachusetts farmers.</w:t>
      </w:r>
    </w:p>
    <w:p w:rsidR="00A31137" w:rsidRPr="00A31137" w:rsidRDefault="00A31137" w:rsidP="00A31137">
      <w:r w:rsidRPr="00A31137">
        <w:t>1994, West Lynn Creamery, Inc. v. Healy, 512 U.S. 217</w:t>
      </w:r>
    </w:p>
    <w:p w:rsidR="00A31137" w:rsidRPr="00A31137" w:rsidRDefault="00A31137" w:rsidP="00A31137">
      <w:r w:rsidRPr="00A31137">
        <w:t>2. For an explanation of the term "blend price," see the previous footnote.</w:t>
      </w:r>
    </w:p>
    <w:p w:rsidR="00A31137" w:rsidRPr="00A31137" w:rsidRDefault="00A31137" w:rsidP="00A31137">
      <w:r w:rsidRPr="00A31137">
        <w:t>1994, West Lynn Creamery, Inc. v. Healy, 512 U.S. 217</w:t>
      </w:r>
    </w:p>
    <w:p w:rsidR="00A31137" w:rsidRPr="00A31137" w:rsidRDefault="00A31137" w:rsidP="00A31137">
      <w:r w:rsidRPr="00A31137">
        <w:t>3. The order was first issued on February 18, 1992, and amended on February 26, 1992. App. 32-40; Brief for Respondent 4-5. Only the amended order is at issue in this case.</w:t>
      </w:r>
    </w:p>
    <w:p w:rsidR="00A31137" w:rsidRPr="00A31137" w:rsidRDefault="00A31137" w:rsidP="00A31137">
      <w:r w:rsidRPr="00A31137">
        <w:t>1994, West Lynn Creamery, Inc. v. Healy, 512 U.S. 217</w:t>
      </w:r>
    </w:p>
    <w:p w:rsidR="00A31137" w:rsidRPr="00A31137" w:rsidRDefault="00A31137" w:rsidP="00A31137">
      <w:r w:rsidRPr="00A31137">
        <w:t>4. A "dealer" is defined as</w:t>
      </w:r>
    </w:p>
    <w:p w:rsidR="00A31137" w:rsidRPr="00A31137" w:rsidRDefault="00A31137" w:rsidP="00A31137">
      <w:r w:rsidRPr="00A31137">
        <w:t>1994, West Lynn Creamery, Inc. v. Healy, 512 U.S. 217</w:t>
      </w:r>
    </w:p>
    <w:p w:rsidR="00A31137" w:rsidRPr="00A31137" w:rsidRDefault="00A31137" w:rsidP="00A31137">
      <w:r w:rsidRPr="00A31137">
        <w:t>any person who is engaged within the Commonwealth in the business of receiving, purchasing, pasteurizing, bottling, processing, distributing, or otherwise handling milk, purchases or receives milk for sale as the consignee or agent of a producer, and shall include a producer-dealer, dealer-retailer, and sub-dealer.</w:t>
      </w:r>
    </w:p>
    <w:p w:rsidR="00A31137" w:rsidRPr="00A31137" w:rsidRDefault="00A31137" w:rsidP="00A31137">
      <w:r w:rsidRPr="00A31137">
        <w:t>1994, West Lynn Creamery, Inc. v. Healy, 512 U.S. 217</w:t>
      </w:r>
    </w:p>
    <w:p w:rsidR="00A31137" w:rsidRPr="00A31137" w:rsidRDefault="00A31137" w:rsidP="00A31137">
      <w:r w:rsidRPr="00A31137">
        <w:t>App. 33.</w:t>
      </w:r>
    </w:p>
    <w:p w:rsidR="00A31137" w:rsidRPr="00A31137" w:rsidRDefault="00A31137" w:rsidP="00A31137">
      <w:r w:rsidRPr="00A31137">
        <w:t>1994, West Lynn Creamery, Inc. v. Healy, 512 U.S. 217</w:t>
      </w:r>
    </w:p>
    <w:p w:rsidR="00A31137" w:rsidRPr="00A31137" w:rsidRDefault="00A31137" w:rsidP="00A31137">
      <w:r w:rsidRPr="00A31137">
        <w:t>5. App. 35-36; West Lynn Creamery, Inc. v. Commissioner of Dept. of Food and Agriculture, 415 Mass. 8, 11, n. 10, 611 N.E.2d 239, 241, n. 10 (1993). The Commissioner appears to have set the order premium at only a third of the difference between the federal price and $15 because Massachusetts farmers produce only about one-third of the milk sold as fluid milk in the State. App. 21. Since Massachusetts dairy farmers produce one-third of the milk, an assessment of one-third the difference between $15 and the federal minimum price generates enough revenue to give Massachusetts dairy farmers the entire difference between $15 and the federal minimum price without leaving any surplus. By paying Massachusetts dairy farmers the entire difference between $15 and the federal minimum price, the order premium allows Massachusetts farmers whose cost of production is $15/cwt to sell their milk without loss at the federal minimum price.</w:t>
      </w:r>
    </w:p>
    <w:p w:rsidR="00A31137" w:rsidRPr="00A31137" w:rsidRDefault="00A31137" w:rsidP="00A31137">
      <w:r w:rsidRPr="00A31137">
        <w:t>1994, West Lynn Creamery, Inc. v. Healy, 512 U.S. 217</w:t>
      </w:r>
    </w:p>
    <w:p w:rsidR="00A31137" w:rsidRPr="00A31137" w:rsidRDefault="00A31137" w:rsidP="00A31137">
      <w:r w:rsidRPr="00A31137">
        <w:t>6. For an explanation of the term "Class I," see n. 1, supra.</w:t>
      </w:r>
    </w:p>
    <w:p w:rsidR="00A31137" w:rsidRPr="00A31137" w:rsidRDefault="00A31137" w:rsidP="00A31137">
      <w:r w:rsidRPr="00A31137">
        <w:t>1994, West Lynn Creamery, Inc. v. Healy, 512 U.S. 217</w:t>
      </w:r>
    </w:p>
    <w:p w:rsidR="00A31137" w:rsidRPr="00A31137" w:rsidRDefault="00A31137" w:rsidP="00A31137">
      <w:r w:rsidRPr="00A31137">
        <w:t>7. A "producer" is defined as "any person producing milk from dairy cattle." App. 33.</w:t>
      </w:r>
    </w:p>
    <w:p w:rsidR="00A31137" w:rsidRPr="00A31137" w:rsidRDefault="00A31137" w:rsidP="00A31137">
      <w:r w:rsidRPr="00A31137">
        <w:t>1994, West Lynn Creamery, Inc. v. Healy, 512 U.S. 217</w:t>
      </w:r>
    </w:p>
    <w:p w:rsidR="00A31137" w:rsidRPr="00A31137" w:rsidRDefault="00A31137" w:rsidP="00A31137">
      <w:r w:rsidRPr="00A31137">
        <w:t>8. The disbursement is subject to two qualifications. First, any farmer who produced more than 200,000 pounds of milk is considered to have produced only 200,000 pounds. Second, no producer may receive payments that make its net price per cwt (including both the federal minimum price and payments from the Equalization Fund) higher than $15/cwt. If these limitations lead to a surplus in the Dairy Equalization Fund, the surplus is returned to the dealers. Id. at 36-38.</w:t>
      </w:r>
    </w:p>
    <w:p w:rsidR="00A31137" w:rsidRPr="00A31137" w:rsidRDefault="00A31137" w:rsidP="00A31137">
      <w:r w:rsidRPr="00A31137">
        <w:t>1994, West Lynn Creamery, Inc. v. Healy, 512 U.S. 217</w:t>
      </w:r>
    </w:p>
    <w:p w:rsidR="00A31137" w:rsidRPr="00A31137" w:rsidRDefault="00A31137" w:rsidP="00A31137">
      <w:r w:rsidRPr="00A31137">
        <w:t>9. The "negative" aspect of the Commerce Clause was considered the more important by the "father of the Constitution," James Madison. In one of his letters, Madison wrote that the Commerce Clause</w:t>
      </w:r>
    </w:p>
    <w:p w:rsidR="00A31137" w:rsidRPr="00A31137" w:rsidRDefault="00A31137" w:rsidP="00A31137">
      <w:r w:rsidRPr="00A31137">
        <w:t>1994, West Lynn Creamery, Inc. v. Healy, 512 U.S. 217</w:t>
      </w:r>
    </w:p>
    <w:p w:rsidR="00A31137" w:rsidRPr="00A31137" w:rsidRDefault="00A31137" w:rsidP="00A31137">
      <w:r w:rsidRPr="00A31137">
        <w:t>grew out of the abuse of the power by the importing States in taxing the non-importing, and was intended as a negative and preventive provision against injustice among the States themselves, rather than as a power to be used for the positive purposes of the General Government.</w:t>
      </w:r>
    </w:p>
    <w:p w:rsidR="00A31137" w:rsidRPr="00A31137" w:rsidRDefault="00A31137" w:rsidP="00A31137">
      <w:r w:rsidRPr="00A31137">
        <w:t>1994, West Lynn Creamery, Inc. v. Healy, 512 U.S. 217</w:t>
      </w:r>
    </w:p>
    <w:p w:rsidR="00A31137" w:rsidRPr="00A31137" w:rsidRDefault="00A31137" w:rsidP="00A31137">
      <w:r w:rsidRPr="00A31137">
        <w:t>3 M. Farrand, Records of the Federal Convention of 1787, p. 478 (1911).</w:t>
      </w:r>
    </w:p>
    <w:p w:rsidR="00A31137" w:rsidRPr="00A31137" w:rsidRDefault="00A31137" w:rsidP="00A31137">
      <w:r w:rsidRPr="00A31137">
        <w:t>1994, West Lynn Creamery, Inc. v. Healy, 512 U.S. 217</w:t>
      </w:r>
    </w:p>
    <w:p w:rsidR="00A31137" w:rsidRPr="00A31137" w:rsidRDefault="00A31137" w:rsidP="00A31137">
      <w:r w:rsidRPr="00A31137">
        <w:t>10. A numerical example may make this effect clearer. Suppose the federal minimum price is $12/cwt, that out-of-state producers can sell milk profitably at that price, but that in-state producers need a price of $15/cwt in order to break even. Under the pricing order, the tax or "order premium" will be $1/cwt (one-third the difference between the $15/cwt target price and the $12/cwt federal minimum price). Assuming the tax generates sufficient funds (which will be the case as long as two-thirds of milk is produced out of State, which appears to be the case), the Massachusetts farmers will receive a subsidy of $3/cwt. This subsidy will allow them to lower their prices from $15/cwt to $12/cwt while still breaking even. Selling at $12/cwt, Massachusetts dairy farmers will now be able to compete with out-of-state producers. The net effect of the tax and subsidy, like that of a tariff, is to raise the after-tax price paid by the dealers. If exactly two-thirds of the milk sold in Massachusetts is produced out of State, net prices will rise by $1/cwt. If out-of-state farmers produce more than two-thirds of the raw milk, the Dairy Equalization Fund will have a surplus, which will be refunded to the milk dealers. This refund will mitigate the price increase, although it will have no effect on the ability of the program to enable higher-cost Massachusetts dairy farmers to compete with lower-cost out-of-staters.</w:t>
      </w:r>
    </w:p>
    <w:p w:rsidR="00A31137" w:rsidRPr="00A31137" w:rsidRDefault="00A31137" w:rsidP="00A31137">
      <w:r w:rsidRPr="00A31137">
        <w:t>1994, West Lynn Creamery, Inc. v. Healy, 512 U.S. 217</w:t>
      </w:r>
    </w:p>
    <w:p w:rsidR="00A31137" w:rsidRPr="00A31137" w:rsidRDefault="00A31137" w:rsidP="00A31137">
      <w:r w:rsidRPr="00A31137">
        <w:t>11. In New Energy, 486 U.S. at 275, we noted:</w:t>
      </w:r>
    </w:p>
    <w:p w:rsidR="00A31137" w:rsidRPr="00A31137" w:rsidRDefault="00A31137" w:rsidP="00A31137">
      <w:r w:rsidRPr="00A31137">
        <w:t>1994, West Lynn Creamery, Inc. v. Healy, 512 U.S. 217</w:t>
      </w:r>
    </w:p>
    <w:p w:rsidR="00A31137" w:rsidRPr="00A31137" w:rsidRDefault="00A31137" w:rsidP="00A31137">
      <w:r w:rsidRPr="00A31137">
        <w:t>It is true that, in Cotrell and Sporhase, the effect of a State's refusal to accept the offered reciprocity was total elimination of all transport of the subject product into or out of the offering State, whereas, in the present case, the only effect of refusal is that the out-of-state product is placed at a substantial commercial disadvantage through discriminatory tax treatment. That makes no difference for purposes of Commerce Clause analysis. In the leading case of Baldwin v. G.A.F. Seelig, Inc., 294 U.S. 511 (1935), the New York law excluding out-of-state milk did not impose an absolute ban, but rather allowed importation and sale so long as the initial purchase from the dairy farmer was made at or above the New York State-mandated price. In other words, just as the appellant here, in order to sell its product in Ohio, only has to cut its profits by reducing its sales price below the market price sufficiently to compensate the Ohio purchaser-retailer for the forgone tax credit, so also the milk wholesaler-distributor in Baldwin, in order to sell its product in New York, only had to cut its profits by increasing its purchase price above the market price sufficiently to meet the New York-prescribed premium. We viewed the New York Law as "an economic barrier against competition" that was "equivalent to a rampart of customs duties." Id. at  527.</w:t>
      </w:r>
    </w:p>
    <w:p w:rsidR="00A31137" w:rsidRPr="00A31137" w:rsidRDefault="00A31137" w:rsidP="00A31137">
      <w:r w:rsidRPr="00A31137">
        <w:t>1994, West Lynn Creamery, Inc. v. Healy, 512 U.S. 217</w:t>
      </w:r>
    </w:p>
    <w:p w:rsidR="00A31137" w:rsidRPr="00A31137" w:rsidRDefault="00A31137" w:rsidP="00A31137">
      <w:r w:rsidRPr="00A31137">
        <w:t>12. That is not to say that the Massachusetts dairy industry may not continue to shrink, and that the market share of Massachusetts dairy producers may not continue its fall. It may be the case that Massachusetts producers' costs are so high that, even with the pricing order, many of them will be unable to compete. Nevertheless, the pricing order will certainly allow more Massachusetts dairy farmers to remain in business than would have had the pricing order not been imposed. For Commerce Clause purposes, it does not matter whether the challenged regulation actually increases the market share of local producers or whether it merely mitigates a projected decline. See Bacchus Imports, Ltd. v. Dias, 468 U.S. 263, 272 (1984) ("[W]e perceive no principle of Commerce Clause jurisprudence supporting a distinction between thriving and struggling enterprises…"); Baldwin v. G.A.F. Seelig, Inc., 294 U.S. at  523.</w:t>
      </w:r>
    </w:p>
    <w:p w:rsidR="00A31137" w:rsidRPr="00A31137" w:rsidRDefault="00A31137" w:rsidP="00A31137">
      <w:r w:rsidRPr="00A31137">
        <w:t>1994, West Lynn Creamery, Inc. v. Healy, 512 U.S. 217</w:t>
      </w:r>
    </w:p>
    <w:p w:rsidR="00A31137" w:rsidRPr="00A31137" w:rsidRDefault="00A31137" w:rsidP="00A31137">
      <w:r w:rsidRPr="00A31137">
        <w:t>13. Indeed, it is this aspect of the pricing order which allows it to give Massachusetts farmers a benefit three times as valuable per cwt as the tax (order premium) imposed. See n. 5, supra.</w:t>
      </w:r>
    </w:p>
    <w:p w:rsidR="00A31137" w:rsidRPr="00A31137" w:rsidRDefault="00A31137" w:rsidP="00A31137">
      <w:r w:rsidRPr="00A31137">
        <w:t>1994, West Lynn Creamery, Inc. v. Healy, 512 U.S. 217</w:t>
      </w:r>
    </w:p>
    <w:p w:rsidR="00A31137" w:rsidRPr="00A31137" w:rsidRDefault="00A31137" w:rsidP="00A31137">
      <w:r w:rsidRPr="00A31137">
        <w:t>14. One might attempt to distinguish Bacchus by noting that the rebate in this case goes not to the entity which pays the tax (milk dealers) but to the dairy farmers themselves. Rebating the taxes directly to producers, rather than to the dealers, however, merely reinforces the conclusion that the pricing order will favor local producers. If the taxes were refunded only to the dealers, there might be no impact on interstate commerce, because the dealers might not use the funds to increase the price or quantity of milk purchased from Massachusetts dairy farmers. The refund to the dealers might, therefore, result in no advantage to in-state producers. On the other hand, by refunding monies directly to the dairy farmers, the pricing order ensures that Massachusetts producers will benefit.</w:t>
      </w:r>
    </w:p>
    <w:p w:rsidR="00A31137" w:rsidRPr="00A31137" w:rsidRDefault="00A31137" w:rsidP="00A31137">
      <w:r w:rsidRPr="00A31137">
        <w:t>1994, West Lynn Creamery, Inc. v. Healy, 512 U.S. 217</w:t>
      </w:r>
    </w:p>
    <w:p w:rsidR="00A31137" w:rsidRPr="00A31137" w:rsidRDefault="00A31137" w:rsidP="00A31137">
      <w:r w:rsidRPr="00A31137">
        <w:t>15. We have never squarely confronted the constitutionality of subsidies, and we need not do so now. We have, however, noted that "[d]irect subsidization of domestic industry does not ordinarily run afoul" of the negative Commerce Clause. New Energy Co. of Indiana v. Limbach, 486 U.S. at 278; see also Hughes v. Alexandria Scrap Corp., 426 U.S. 794, 815 (1976) (STEVENS, J., concurring). In addition, it is undisputed that States may try to attract business by creating an environment conducive to economic activity, as by maintaining good roads, sound public education, or low taxes. Zobel v. Williams, 457 U.S. 55, 67 (1982) (BRENNAN, J., concurring); Bacchus Imports, Ltd. v. Dias, 468 U.S. at 271; Metropolitan Life Ins. Co. v. Ward, 470 U.S. 869, 876-878 (1985).</w:t>
      </w:r>
    </w:p>
    <w:p w:rsidR="00A31137" w:rsidRPr="00A31137" w:rsidRDefault="00A31137" w:rsidP="00A31137">
      <w:r w:rsidRPr="00A31137">
        <w:t>1994, West Lynn Creamery, Inc. v. Healy, 512 U.S. 217</w:t>
      </w:r>
    </w:p>
    <w:p w:rsidR="00A31137" w:rsidRPr="00A31137" w:rsidRDefault="00A31137" w:rsidP="00A31137">
      <w:r w:rsidRPr="00A31137">
        <w:t>16. It is undisputed that an overwhelming majority of the milk sold in Massachusetts is produced elsewhere. Thus, even though the tax is applied even-handedly to milk produced in State and out of State, most of the tax collected comes from taxes on milk from other States. In addition, the tax on in-state milk, unlike that imposed on out-of-state milk, does not impose any burden on in-state producers, because in-state dairy farmers can be confident that the taxes paid on their milk will be returned to them via the Dairy Stabilization Fund.</w:t>
      </w:r>
    </w:p>
    <w:p w:rsidR="00A31137" w:rsidRPr="00A31137" w:rsidRDefault="00A31137" w:rsidP="00A31137">
      <w:r w:rsidRPr="00A31137">
        <w:t>1994, West Lynn Creamery, Inc. v. Healy, 512 U.S. 217</w:t>
      </w:r>
    </w:p>
    <w:p w:rsidR="00A31137" w:rsidRPr="00A31137" w:rsidRDefault="00A31137" w:rsidP="00A31137">
      <w:r w:rsidRPr="00A31137">
        <w:t>17. The same principle is recognized in the conceptually similar field of intergovernmental taxation, where nondiscrimination also plays a central role in setting the boundary between the permissible and the impermissible. Washington v. United States, 460 U.S. 536, 545 (1983) ("A 'political check' is provided when a state tax falls on a significant group of state citizens who can be counted upon to use their votes to keep the State from raising the tax excessively, and thus placing an unfair burden on the Federal Government"); South Carolina v. Baker, 485 U.S. 505, 525-526, n. 13 (1988); United States v. County of Fresno, 429 U.S. 452, 462-464 (1977).</w:t>
      </w:r>
    </w:p>
    <w:p w:rsidR="00A31137" w:rsidRPr="00A31137" w:rsidRDefault="00A31137" w:rsidP="00A31137">
      <w:r w:rsidRPr="00A31137">
        <w:t>1994, West Lynn Creamery, Inc. v. Healy, 512 U.S. 217</w:t>
      </w:r>
    </w:p>
    <w:p w:rsidR="00A31137" w:rsidRPr="00A31137" w:rsidRDefault="00A31137" w:rsidP="00A31137">
      <w:r w:rsidRPr="00A31137">
        <w:t>18. As the Governor's Special Commission Relative to the Establishment of a Dairy Stabilization Fund realized, consumers would be unlikely to organize effectively to oppose the pricing order. The Commission's report remarked, "the estimated two cent increase per quart of milk would not be noticed by the consuming public," App. 18, because the price of milk varies so often and for so many reasons that consumers would be unlikely to feel the price increases or to attribute them to the pricing order.</w:t>
      </w:r>
    </w:p>
    <w:p w:rsidR="00A31137" w:rsidRPr="00A31137" w:rsidRDefault="00A31137" w:rsidP="00A31137">
      <w:r w:rsidRPr="00A31137">
        <w:t>1994, West Lynn Creamery, Inc. v. Healy, 512 U.S. 217</w:t>
      </w:r>
    </w:p>
    <w:p w:rsidR="00A31137" w:rsidRPr="00A31137" w:rsidRDefault="00A31137" w:rsidP="00A31137">
      <w:r w:rsidRPr="00A31137">
        <w:t>19. On the way changing the demand for Class I milk products changes the blend price for producers in the entire area covered by the marketing order, see n. 1, supra.</w:t>
      </w:r>
    </w:p>
    <w:p w:rsidR="00A31137" w:rsidRPr="00A31137" w:rsidRDefault="00A31137" w:rsidP="00A31137">
      <w:r w:rsidRPr="00A31137">
        <w:t>1994, West Lynn Creamery, Inc. v. Healy, 512 U.S. 217</w:t>
      </w:r>
    </w:p>
    <w:p w:rsidR="00A31137" w:rsidRPr="00A31137" w:rsidRDefault="00A31137" w:rsidP="00A31137">
      <w:r w:rsidRPr="00A31137">
        <w:t>20. Among the "local benefits" that respondent identifies is "protecting unique open space and related benefits." Brief for Respondent 40. As the Massachusetts Supreme Judicial Court recognized by relegating the "open space" point to a single footnote, West Lynn Creamery, Inc. v. Commissioner of Dept. of Food and Agriculture, 415 Mass. 8, 10, n. 6, 611 N.E.2d 239, 240 n. 6 (1993), the argument that environmental benefits were central and the enhancement of the market share of Massachusetts dairy farmers merely "incidental" turns the pricing order on its head. In addition, even if environmental preservation were the central purpose of the pricing order, that would not be sufficient to uphold a discriminatory regulation. See Philadelphia v. New Jersey, 437 U.S. 617, 626-627 (1978). Finally, the suggestion that the collapse of the dairy industry endangers open space is not self-evident. Dairy farms are enclosed by fences, and the decline of farming may well lead to less rather than more intensive land use. As one scholar noted:</w:t>
      </w:r>
    </w:p>
    <w:p w:rsidR="00A31137" w:rsidRPr="00A31137" w:rsidRDefault="00A31137" w:rsidP="00A31137">
      <w:r w:rsidRPr="00A31137">
        <w:t>1994, West Lynn Creamery, Inc. v. Healy, 512 U.S. 217</w:t>
      </w:r>
    </w:p>
    <w:p w:rsidR="00A31137" w:rsidRPr="00A31137" w:rsidRDefault="00A31137" w:rsidP="00A31137">
      <w:r w:rsidRPr="00A31137">
        <w:t>Many people assume that…land lost from agriculture is now in urban uses. It is true that some agricultural land has been urbanized, especially since World War II, but the major portion of the land moving out of agriculture over the years has been abandoned to natural forest growth.</w:t>
      </w:r>
    </w:p>
    <w:p w:rsidR="00A31137" w:rsidRPr="00A31137" w:rsidRDefault="00A31137" w:rsidP="00A31137">
      <w:r w:rsidRPr="00A31137">
        <w:t>1994, West Lynn Creamery, Inc. v. Healy, 512 U.S. 217</w:t>
      </w:r>
    </w:p>
    <w:p w:rsidR="00A31137" w:rsidRPr="00A31137" w:rsidRDefault="00A31137" w:rsidP="00A31137">
      <w:r w:rsidRPr="00A31137">
        <w:t>J. Foster &amp; W. MacConnell, Agricultural Land Use Change in Massachusetts 1951-1971, p. 5 (Research Bulletin No. 640, Jan. 1977); see also Department of Agriculture, A. Daugherty, Major Uses of Land in the United States: 1987, pp. 4, 13 (Agricultural Economic Rep. No. 643, 1991) (decline in grazing and pasture land offset by increased wilderness, wildlife, and park areas).</w:t>
      </w:r>
    </w:p>
    <w:p w:rsidR="00A31137" w:rsidRPr="00A31137" w:rsidRDefault="00A31137" w:rsidP="00A31137">
      <w:r w:rsidRPr="00A31137">
        <w:t>1994, West Lynn Creamery, Inc. v. Healy, 512 U.S. 217</w:t>
      </w:r>
    </w:p>
    <w:p w:rsidR="00A31137" w:rsidRPr="00A31137" w:rsidRDefault="00A31137" w:rsidP="00A31137">
      <w:r w:rsidRPr="00A31137">
        <w:t>21. "This distinction between the power of the State to shelter its people from menaces to their health or safety and from fraud, even when those dangers emanate from interstate commerce, and its lack of power to retard, burden or constrict the flow of such commerce for their economic advantage, is one deeply rooted in both our history and our law." H. P. Hood &amp; Sons, Inc. v. Du Mond, 336 U.S. 525,  533 (1949); see also Bacchus Imports, Ltd. v. Dias, 468 U.S. at 272-273.</w:t>
      </w:r>
    </w:p>
    <w:p w:rsidR="00A31137" w:rsidRPr="00A31137" w:rsidRDefault="00A31137" w:rsidP="00A31137">
      <w:r w:rsidRPr="00A31137">
        <w:t>1994, West Lynn Creamery, Inc. v. Healy, 512 U.S. 217</w:t>
      </w:r>
    </w:p>
    <w:p w:rsidR="00A31137" w:rsidRPr="00A31137" w:rsidRDefault="00A31137" w:rsidP="00A31137">
      <w:r w:rsidRPr="00A31137">
        <w:t>22. A surprisingly large number of our Commerce Clause cases arose out of attempts to protect local dairy farmers. Schollenberger v. Pennsylvania, 171 U.S. 1 (1898); Baldwin v. G.A.F. Seelig, Inc., 294 U.S. 511 (1935); Hood &amp; Sons, Inc. v. Du Mond, 336 U.S. at  539; Dean Milk Co. v. Madison, 340 U.S. 349,  354 (1951); Polar Ice Cream &amp; Creamery Co. v. Andrews, 375 U.S. 361 (1964); Great Atlantic &amp; Pacific Tea Co. v. Cottrell, 424 U.S. 366 (1976). The reasons for the political effectiveness of milk producers are explored in G. Miller, The Industrial Organization of Political Production: A Case Study, 149 J. Institutional &amp; Theoretical Economics 769 (1993).</w:t>
      </w:r>
    </w:p>
    <w:p w:rsidR="00A31137" w:rsidRPr="00A31137" w:rsidRDefault="00A31137" w:rsidP="00A31137">
      <w:r w:rsidRPr="00A31137">
        <w:t>Dolan v. City of Tigard, 1994</w:t>
      </w:r>
    </w:p>
    <w:p w:rsidR="00A31137" w:rsidRPr="00A31137" w:rsidRDefault="00A31137" w:rsidP="00A31137">
      <w:r w:rsidRPr="00A31137">
        <w:t>Title:</w:t>
      </w:r>
      <w:r w:rsidRPr="00A31137">
        <w:tab/>
        <w:t>Dolan v. City of Tigard</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24, 1994</w:t>
      </w:r>
    </w:p>
    <w:p w:rsidR="00A31137" w:rsidRPr="00A31137" w:rsidRDefault="00A31137" w:rsidP="00A31137">
      <w:r w:rsidRPr="00A31137">
        <w:t>Source:</w:t>
      </w:r>
      <w:r w:rsidRPr="00A31137">
        <w:tab/>
        <w:t>No. 93-518 [U.S. Reports citation not yet available]</w:t>
      </w:r>
    </w:p>
    <w:p w:rsidR="00A31137" w:rsidRPr="00A31137" w:rsidRDefault="00A31137" w:rsidP="00A31137">
      <w:r w:rsidRPr="00A31137">
        <w:t>This case was argued March 23, 1994, and was decided June 24, 1994.</w:t>
      </w:r>
    </w:p>
    <w:p w:rsidR="00A31137" w:rsidRPr="00A31137" w:rsidRDefault="00A31137" w:rsidP="00A31137">
      <w:r w:rsidRPr="00A31137">
        <w:t>CERTIORARI TO THE SUPREME COURT OF OREGON</w:t>
      </w:r>
    </w:p>
    <w:p w:rsidR="00A31137" w:rsidRPr="00A31137" w:rsidRDefault="00A31137" w:rsidP="00A31137">
      <w:r w:rsidRPr="00A31137">
        <w:t>Syllabus</w:t>
      </w:r>
    </w:p>
    <w:p w:rsidR="00A31137" w:rsidRPr="00A31137" w:rsidRDefault="00A31137" w:rsidP="00A31137">
      <w:r w:rsidRPr="00A31137">
        <w:t>1994, Dolan v. City of Tigard, 512 U.S. 374</w:t>
      </w:r>
    </w:p>
    <w:p w:rsidR="00A31137" w:rsidRPr="00A31137" w:rsidRDefault="00A31137" w:rsidP="00A31137">
      <w:r w:rsidRPr="00A31137">
        <w:t>The City Planning Commission conditioned approval of petitioner Dolan's application to expand her store and pave her parking lot upon her compliance with dedication of land (1) for a public greenway along Fanno Creek to minimize flooding that would be exacerbated by the increases in impervious surfaces associated with her development and (2) for a pedestrian/bicycle pathway intended to relieve traffic congestion in the City's Central Business District. She appealed the Commission's denial of her request for variances from these standards to the Land Use Board of Appeals (LUBA), alleging that the land dedication requirements were not related to the proposed development, and therefore constituted an uncompensated taking of her property under the Fifth Amendment. LUBA found a reasonable relationship between (1) the development and the requirement to dedicate land for a greenway, since the larger building and paved lot would increase the impervious surfaces, and thus the runoff into the creek, and (2) alleviating the impact of increased traffic from the development and facilitating the provision of a pathway as an alternative means of transportation. Both the State Court of Appeals and the State Supreme Court affirmed.</w:t>
      </w:r>
    </w:p>
    <w:p w:rsidR="00A31137" w:rsidRPr="00A31137" w:rsidRDefault="00A31137" w:rsidP="00A31137">
      <w:r w:rsidRPr="00A31137">
        <w:t>1994, Dolan v. City of Tigard, 512 U.S. 374</w:t>
      </w:r>
    </w:p>
    <w:p w:rsidR="00A31137" w:rsidRPr="00A31137" w:rsidRDefault="00A31137" w:rsidP="00A31137">
      <w:r w:rsidRPr="00A31137">
        <w:t>Held: The city's dedication requirements constitute an uncompensated taking of property. Pp.  383-396.</w:t>
      </w:r>
    </w:p>
    <w:p w:rsidR="00A31137" w:rsidRPr="00A31137" w:rsidRDefault="00A31137" w:rsidP="00A31137">
      <w:r w:rsidRPr="00A31137">
        <w:t>1994, Dolan v. City of Tigard, 512 U.S. 374</w:t>
      </w:r>
    </w:p>
    <w:p w:rsidR="00A31137" w:rsidRPr="00A31137" w:rsidRDefault="00A31137" w:rsidP="00A31137">
      <w:r w:rsidRPr="00A31137">
        <w:t>(a) Under the well settled doctrine of "unconstitutional conditions," the government may not require a person to give up a constitutional right in exchange for a discretionary benefit conferred by the government where the property sought has little or no relationship to the benefit. In evaluating Dolan's claim, it must be determined whether an "essential nexus" exists between a legitimate state interest and the permit condition. Nollan v. California Coastal Comm'n, 483 U.S. 825,  837. If one does, then it must be decided whether the degree of the exactions demanded by the permit conditions bears the required relationship to the projected impact of the proposed development. Id. at  834. Pp.  383-386.</w:t>
      </w:r>
    </w:p>
    <w:p w:rsidR="00A31137" w:rsidRPr="00A31137" w:rsidRDefault="00A31137" w:rsidP="00A31137">
      <w:r w:rsidRPr="00A31137">
        <w:t>1994, Dolan v. City of Tigard, 512 U.S. 374</w:t>
      </w:r>
    </w:p>
    <w:p w:rsidR="00A31137" w:rsidRPr="00A31137" w:rsidRDefault="00A31137" w:rsidP="00A31137">
      <w:r w:rsidRPr="00A31137">
        <w:t>(b) Preventing flooding along Fanno Creek and reducing traffic congestion in the District are legitimate public purposes; and a nexus exists between the first purpose and limiting development within the creek's [512 U.S. 375] floodplain and between the second purpose and providing for alternative means of transportation. Pp. 386-388.</w:t>
      </w:r>
    </w:p>
    <w:p w:rsidR="00A31137" w:rsidRPr="00A31137" w:rsidRDefault="00A31137" w:rsidP="00A31137">
      <w:r w:rsidRPr="00A31137">
        <w:t>1994, Dolan v. City of Tigard, 512 U.S. 375</w:t>
      </w:r>
    </w:p>
    <w:p w:rsidR="00A31137" w:rsidRPr="00A31137" w:rsidRDefault="00A31137" w:rsidP="00A31137">
      <w:r w:rsidRPr="00A31137">
        <w:t>(c) In deciding the second question—whether the city's findings are constitutionally sufficient to justify the conditions imposed on Dolan's permit—the necessary connection required by the Fifth Amendment is "rough proportionality." No precise mathematical calculation is required, but the city must make some sort of individualized determination that the required dedication is related both in nature and extent to the proposed development's impact. This is essentially the "reasonable relationship" test adopted by the majority of the state courts. Pp.  388-391.</w:t>
      </w:r>
    </w:p>
    <w:p w:rsidR="00A31137" w:rsidRPr="00A31137" w:rsidRDefault="00A31137" w:rsidP="00A31137">
      <w:r w:rsidRPr="00A31137">
        <w:t>1994, Dolan v. City of Tigard, 512 U.S. 375</w:t>
      </w:r>
    </w:p>
    <w:p w:rsidR="00A31137" w:rsidRPr="00A31137" w:rsidRDefault="00A31137" w:rsidP="00A31137">
      <w:r w:rsidRPr="00A31137">
        <w:t>(d) The findings upon which the city relies do not show the required reasonable relationship between the floodplain easement and Dolan's proposed building. The Community Development Code already required that Dolan leave 15% of her property as open space, and the undeveloped floodplain would have nearly satisfied that requirement. However, the city has never said why a public, as opposed to a private, greenway is required in the interest of flood control. The difference to Dolan is the loss of her ability to exclude others from her property, yet the city has not attempted to make any individualized determination to support this part of its request. The city has also not met its burden of demonstrating that the additional number of vehicle and bicycle trips generated by Dolan's development reasonably relates to the city's requirement for a dedication of the pathway easement. The city must quantify its finding beyond a conclusory statement that the dedication could offset some of the traffic demand generated by the development. Pp.  392-396.</w:t>
      </w:r>
    </w:p>
    <w:p w:rsidR="00A31137" w:rsidRPr="00A31137" w:rsidRDefault="00A31137" w:rsidP="00A31137">
      <w:r w:rsidRPr="00A31137">
        <w:t>1994, Dolan v. City of Tigard, 512 U.S. 375</w:t>
      </w:r>
    </w:p>
    <w:p w:rsidR="00A31137" w:rsidRPr="00A31137" w:rsidRDefault="00A31137" w:rsidP="00A31137">
      <w:r w:rsidRPr="00A31137">
        <w:t>317 Ore. 110, 854 P.2d 437, reversed and remanded.</w:t>
      </w:r>
    </w:p>
    <w:p w:rsidR="00A31137" w:rsidRPr="00A31137" w:rsidRDefault="00A31137" w:rsidP="00A31137">
      <w:r w:rsidRPr="00A31137">
        <w:t>1994, Dolan v. City of Tigard, 512 U.S. 375</w:t>
      </w:r>
    </w:p>
    <w:p w:rsidR="00A31137" w:rsidRPr="00A31137" w:rsidRDefault="00A31137" w:rsidP="00A31137">
      <w:r w:rsidRPr="00A31137">
        <w:t xml:space="preserve">REHNQUIST, C.J., delivered the opinion of the Court, in which O'CONNOR, SCALIA, KENNEDY, and THOMAS, JJ., joined. STEVENS, J., filed a dissenting opinion, in which BLACKMUN and GINSBURG, JJ., joined, post, p.  396. SOUTER, J., filed a dissenting opinion, post, p.  411. [512 U.S. 377] </w:t>
      </w:r>
    </w:p>
    <w:p w:rsidR="00A31137" w:rsidRPr="00A31137" w:rsidRDefault="00A31137" w:rsidP="00A31137">
      <w:r w:rsidRPr="00A31137">
        <w:t>REHNQUIST, J., lead opinion</w:t>
      </w:r>
    </w:p>
    <w:p w:rsidR="00A31137" w:rsidRPr="00A31137" w:rsidRDefault="00A31137" w:rsidP="00A31137">
      <w:r w:rsidRPr="00A31137">
        <w:t>1994, Dolan v. City of Tigard, 512 U.S. 377</w:t>
      </w:r>
    </w:p>
    <w:p w:rsidR="00A31137" w:rsidRPr="00A31137" w:rsidRDefault="00A31137" w:rsidP="00A31137">
      <w:r w:rsidRPr="00A31137">
        <w:t>CHIEF JUSTICE REHNQUIST delivered the opinion of the Court.</w:t>
      </w:r>
    </w:p>
    <w:p w:rsidR="00A31137" w:rsidRPr="00A31137" w:rsidRDefault="00A31137" w:rsidP="00A31137">
      <w:r w:rsidRPr="00A31137">
        <w:t>1994, Dolan v. City of Tigard, 512 U.S. 377</w:t>
      </w:r>
    </w:p>
    <w:p w:rsidR="00A31137" w:rsidRPr="00A31137" w:rsidRDefault="00A31137" w:rsidP="00A31137">
      <w:r w:rsidRPr="00A31137">
        <w:t>Petitioner challenges the decision of the Oregon Supreme Court which held that the city of Tigard could condition the approval of her building permit on the dedication of a portion of her property for flood control and traffic improvements. 317 Ore. 110, 854 P.2d 437 (1993). We granted certiorari to resolve a question left open by our decision in Nollan v. California Coastal Comm'n, 483 U.S. 825 (1987), of what is the required degree of connection between the exactions imposed by the city and the projected impacts of the proposed development.</w:t>
      </w:r>
    </w:p>
    <w:p w:rsidR="00A31137" w:rsidRPr="00A31137" w:rsidRDefault="00A31137" w:rsidP="00A31137">
      <w:r w:rsidRPr="00A31137">
        <w:t>I</w:t>
      </w:r>
    </w:p>
    <w:p w:rsidR="00A31137" w:rsidRPr="00A31137" w:rsidRDefault="00A31137" w:rsidP="00A31137">
      <w:r w:rsidRPr="00A31137">
        <w:t>1994, Dolan v. City of Tigard, 512 U.S. 377</w:t>
      </w:r>
    </w:p>
    <w:p w:rsidR="00A31137" w:rsidRPr="00A31137" w:rsidRDefault="00A31137" w:rsidP="00A31137">
      <w:r w:rsidRPr="00A31137">
        <w:t>The State of Oregon enacted a comprehensive land use management program in 1973. Ore.Rev.Stat. §§ 197.005-197.860 (1991). The program required all Oregon cities and counties to adopt new comprehensive land use plans that were consistent with the statewide planning goals. §§ 197.175(1), 197.250. The plans are implemented by land use regulations which are part of an integrated hierarchy of legally binding goals, plans, and regulations. §§ 197.175, 197.175(2)(b). Pursuant to the State's requirements, the city of Tigard, a community of some 30,000 residents on the southwest edge of Portland, developed a comprehensive plan and codified it in its Community Development Code (CDC). The CDC requires property owners in the area zoned Central Business District to comply with a 15% open space and landscaping requirement, which limits total site coverage, including all structures and paved parking, to 85% of the parcel. CDC, ch. 18.66, App. to Pet. for Cert. G16-G17. After the completion of a transportation study that identified [512 U.S. 378] congestion in the Central Business District as a particular problem, the city adopted a plan for a pedestrian/bicycle pathway intended to encourage alternatives to automobile transportation for short trips. The CDC requires that new development facilitate this plan by dedicating land for pedestrian pathways where provided for in the pedestrian/bicycle pathway plan. 1</w:t>
      </w:r>
    </w:p>
    <w:p w:rsidR="00A31137" w:rsidRPr="00A31137" w:rsidRDefault="00A31137" w:rsidP="00A31137">
      <w:r w:rsidRPr="00A31137">
        <w:t>1994, Dolan v. City of Tigard, 512 U.S. 378</w:t>
      </w:r>
    </w:p>
    <w:p w:rsidR="00A31137" w:rsidRPr="00A31137" w:rsidRDefault="00A31137" w:rsidP="00A31137">
      <w:r w:rsidRPr="00A31137">
        <w:t>The city also adopted a Master Drainage Plan (Drainage Plan). The Drainage Plan noted that flooding occurred in several areas along Fanno Creek, including areas near petitioner's property. Record, Doc. No. F, ch. 2, pp. 2-5 to 2-8; 4-2 to 4-6; Figure 4-1. The Drainage Plan also established that the increase in impervious surfaces associated with continued urbanization would exacerbate these flooding problems. To combat these risks, the Drainage Plan suggested a series of improvements to the Fanno Creek Basin, including channel excavation in the area next to petitioner's property. App. to Pet. for Cert. G13, G38. Other recommendations included ensuring that the floodplain remains free of structures and that it be preserved as greenways to minimize flood damage to structures. Record, Doc. No. F, ch. 5, pp. 5-16 to 5-21. The Drainage Plan concluded that the cost of these improvements should be shared based on both direct and indirect benefits, with property owners along the waterways paying more due to the direct benefit that they would receive. Id. ch. 8, p. 8-11. CDC Chapters 18.84, 18.86 [512 U.S. 379] and CDC § 18.164.100 and the Tigard Park Plan carry out these recommendations.</w:t>
      </w:r>
    </w:p>
    <w:p w:rsidR="00A31137" w:rsidRPr="00A31137" w:rsidRDefault="00A31137" w:rsidP="00A31137">
      <w:r w:rsidRPr="00A31137">
        <w:t>1994, Dolan v. City of Tigard, 512 U.S. 379</w:t>
      </w:r>
    </w:p>
    <w:p w:rsidR="00A31137" w:rsidRPr="00A31137" w:rsidRDefault="00A31137" w:rsidP="00A31137">
      <w:r w:rsidRPr="00A31137">
        <w:t>Petitioner Florence Dolan owns a plumbing and electric supply store located on Main Street in the Central Business District of the city. The store covers approximately 9,700 square feet on the eastern side of a 1.67-acre parcel, which includes a gravel parking lot. Fanno Creek flows through the southwestern corner of the lot and along its western boundary. The year-round flow of the creek renders the area within the creek's 100-year floodplain virtually unusable for commercial development. The city's comprehensive plan includes the Fanno Creek floodplain as part of the city's greenway system.</w:t>
      </w:r>
    </w:p>
    <w:p w:rsidR="00A31137" w:rsidRPr="00A31137" w:rsidRDefault="00A31137" w:rsidP="00A31137">
      <w:r w:rsidRPr="00A31137">
        <w:t>1994, Dolan v. City of Tigard, 512 U.S. 379</w:t>
      </w:r>
    </w:p>
    <w:p w:rsidR="00A31137" w:rsidRPr="00A31137" w:rsidRDefault="00A31137" w:rsidP="00A31137">
      <w:r w:rsidRPr="00A31137">
        <w:t>Petitioner applied to the city for a permit to redevelop the site. Her proposed plans called for nearly doubling the size of the store to 17,600 square feet, and paving a 39-space parking lot. The existing store, located on the opposite side of the parcel, would be razed in sections as construction progressed on the new building. In the second phase of the project, petitioner proposed to build an additional structure on the northeast side of the site for complementary businesses, and to provide more parking. The proposed expansion and intensified use are consistent with the city's zoning scheme in the Central Business District. CDC § 18.66.030. App. to Brief for Petitioner C1-C2.</w:t>
      </w:r>
    </w:p>
    <w:p w:rsidR="00A31137" w:rsidRPr="00A31137" w:rsidRDefault="00A31137" w:rsidP="00A31137">
      <w:r w:rsidRPr="00A31137">
        <w:t>1994, Dolan v. City of Tigard, 512 U.S. 379</w:t>
      </w:r>
    </w:p>
    <w:p w:rsidR="00A31137" w:rsidRPr="00A31137" w:rsidRDefault="00A31137" w:rsidP="00A31137">
      <w:r w:rsidRPr="00A31137">
        <w:t>The City Planning Commission granted petitioner's permit application subject to conditions imposed by the city's CDC. The CDC establishes the following standard for site development review approval:</w:t>
      </w:r>
    </w:p>
    <w:p w:rsidR="00A31137" w:rsidRPr="00A31137" w:rsidRDefault="00A31137" w:rsidP="00A31137">
      <w:r w:rsidRPr="00A31137">
        <w:t>1994, Dolan v. City of Tigard, 512 U.S. 379</w:t>
      </w:r>
    </w:p>
    <w:p w:rsidR="00A31137" w:rsidRPr="00A31137" w:rsidRDefault="00A31137" w:rsidP="00A31137">
      <w:r w:rsidRPr="00A31137">
        <w:t>Where landfill and/or development is allowed within and adjacent to the 100-year floodplain, the city shall require the dedication of sufficient open land area for greenway adjoining and within the floodplain. This area shall include portions at a suitable elevation for the construction of a pedestrian/bicycle pathway within the [512 U.S. 380] floodplain in accordance with the adopted pedestrian/bicycle plan.</w:t>
      </w:r>
    </w:p>
    <w:p w:rsidR="00A31137" w:rsidRPr="00A31137" w:rsidRDefault="00A31137" w:rsidP="00A31137">
      <w:r w:rsidRPr="00A31137">
        <w:t>1994, Dolan v. City of Tigard, 512 U.S. 380</w:t>
      </w:r>
    </w:p>
    <w:p w:rsidR="00A31137" w:rsidRPr="00A31137" w:rsidRDefault="00A31137" w:rsidP="00A31137">
      <w:r w:rsidRPr="00A31137">
        <w:t>CDC § 18.120.180.A.8, App. to Brief for Respondent. Thus, the Commission required that petitioner dedicate the portion of her property lying within the 100-year floodplain for improvement of a storm drainage system along Fanno Creek, and that she dedicate an additional 15-foot strip of land adjacent to the floodplain as a pedestrian/bicycle pathway. 2 The dedication required by that condition encompasses approximately 7,000 square feet, or roughly 10% of the property. In accordance with city practice, petitioner could rely on the dedicated property to meet the 15% open space and landscaping requirement mandated by the city's zoning scheme. App. to Pet. for Cert. G28-G29. The city would bear the cost of maintaining a landscaped buffer between the dedicated area and the new store. Id. at G44-G45.</w:t>
      </w:r>
    </w:p>
    <w:p w:rsidR="00A31137" w:rsidRPr="00A31137" w:rsidRDefault="00A31137" w:rsidP="00A31137">
      <w:r w:rsidRPr="00A31137">
        <w:t>1994, Dolan v. City of Tigard, 512 U.S. 380</w:t>
      </w:r>
    </w:p>
    <w:p w:rsidR="00A31137" w:rsidRPr="00A31137" w:rsidRDefault="00A31137" w:rsidP="00A31137">
      <w:r w:rsidRPr="00A31137">
        <w:t>Petitioner requested variances from the CDC standards. Variances are granted only where it can be shown that, owing to special circumstances related to a specific piece of the land, the literal interpretation of the applicable zoning provisions would cause "an undue or unnecessary hardship" unless the variance is granted. CDC § 18.134.010. App. to Brief for Respondent B-47. 3 Rather than posing alternative [512 U.S. 381] mitigating measures to offset the expected impacts of her proposed development, as allowed under the CDC, petitioner simply argued that her proposed development would not conflict with the policies of the comprehensive plan. Id. at E-4. The Commission denied the request.</w:t>
      </w:r>
    </w:p>
    <w:p w:rsidR="00A31137" w:rsidRPr="00A31137" w:rsidRDefault="00A31137" w:rsidP="00A31137">
      <w:r w:rsidRPr="00A31137">
        <w:t>1994, Dolan v. City of Tigard, 512 U.S. 381</w:t>
      </w:r>
    </w:p>
    <w:p w:rsidR="00A31137" w:rsidRPr="00A31137" w:rsidRDefault="00A31137" w:rsidP="00A31137">
      <w:r w:rsidRPr="00A31137">
        <w:t>The Commission made a series of findings concerning the relationship between the dedicated conditions and the projected impacts of petitioner's project. First, the Commission noted that</w:t>
      </w:r>
    </w:p>
    <w:p w:rsidR="00A31137" w:rsidRPr="00A31137" w:rsidRDefault="00A31137" w:rsidP="00A31137">
      <w:r w:rsidRPr="00A31137">
        <w:t>1994, Dolan v. City of Tigard, 512 U.S. 381</w:t>
      </w:r>
    </w:p>
    <w:p w:rsidR="00A31137" w:rsidRPr="00A31137" w:rsidRDefault="00A31137" w:rsidP="00A31137">
      <w:r w:rsidRPr="00A31137">
        <w:t>[i]t is reasonable to assume that customers and employees of the future uses of this site could utilize a pedestrian/bicycle pathway adjacent to this development for their transportation and recreational needs.</w:t>
      </w:r>
    </w:p>
    <w:p w:rsidR="00A31137" w:rsidRPr="00A31137" w:rsidRDefault="00A31137" w:rsidP="00A31137">
      <w:r w:rsidRPr="00A31137">
        <w:t>1994, Dolan v. City of Tigard, 512 U.S. 381</w:t>
      </w:r>
    </w:p>
    <w:p w:rsidR="00A31137" w:rsidRPr="00A31137" w:rsidRDefault="00A31137" w:rsidP="00A31137">
      <w:r w:rsidRPr="00A31137">
        <w:t>City of Tigard Planning Commission Final Order No. 91-09 PC, App. to Pet. for Cert. G24. The Commission noted that the site plan has provided for bicycle parking in a rack in front of the proposed building, and</w:t>
      </w:r>
    </w:p>
    <w:p w:rsidR="00A31137" w:rsidRPr="00A31137" w:rsidRDefault="00A31137" w:rsidP="00A31137">
      <w:r w:rsidRPr="00A31137">
        <w:t>1994, Dolan v. City of Tigard, 512 U.S. 381</w:t>
      </w:r>
    </w:p>
    <w:p w:rsidR="00A31137" w:rsidRPr="00A31137" w:rsidRDefault="00A31137" w:rsidP="00A31137">
      <w:r w:rsidRPr="00A31137">
        <w:t>[i]t is reasonable to expect that some of the users of the bicycle parking provided for by the site plan will use the pathway adjacent to Fanno Creek if it is constructed.</w:t>
      </w:r>
    </w:p>
    <w:p w:rsidR="00A31137" w:rsidRPr="00A31137" w:rsidRDefault="00A31137" w:rsidP="00A31137">
      <w:r w:rsidRPr="00A31137">
        <w:t>1994, Dolan v. City of Tigard, 512 U.S. 381</w:t>
      </w:r>
    </w:p>
    <w:p w:rsidR="00A31137" w:rsidRPr="00A31137" w:rsidRDefault="00A31137" w:rsidP="00A31137">
      <w:r w:rsidRPr="00A31137">
        <w:t>Ibid. In addition, the Commission found that creation of a convenient, safe pedestrian/ bicycle pathway system as an alternative means of transportation "could [512 U.S. 382] offset some of the traffic demand on [nearby] streets and lessen the increase in traffic congestion." Ibid.</w:t>
      </w:r>
    </w:p>
    <w:p w:rsidR="00A31137" w:rsidRPr="00A31137" w:rsidRDefault="00A31137" w:rsidP="00A31137">
      <w:r w:rsidRPr="00A31137">
        <w:t>1994, Dolan v. City of Tigard, 512 U.S. 382</w:t>
      </w:r>
    </w:p>
    <w:p w:rsidR="00A31137" w:rsidRPr="00A31137" w:rsidRDefault="00A31137" w:rsidP="00A31137">
      <w:r w:rsidRPr="00A31137">
        <w:t>The Commission went on to note that the required floodplain dedication would be reasonably related to petitioner's request to intensify the use of the site given the increase in the impervious surface. The Commission stated that the</w:t>
      </w:r>
    </w:p>
    <w:p w:rsidR="00A31137" w:rsidRPr="00A31137" w:rsidRDefault="00A31137" w:rsidP="00A31137">
      <w:r w:rsidRPr="00A31137">
        <w:t>1994, Dolan v. City of Tigard, 512 U.S. 382</w:t>
      </w:r>
    </w:p>
    <w:p w:rsidR="00A31137" w:rsidRPr="00A31137" w:rsidRDefault="00A31137" w:rsidP="00A31137">
      <w:r w:rsidRPr="00A31137">
        <w:t>anticipated increased storm water flow from the subject property to an already strained creek and drainage basin can only add to the public need to manage the stream channel and floodplain for drainage purposes.</w:t>
      </w:r>
    </w:p>
    <w:p w:rsidR="00A31137" w:rsidRPr="00A31137" w:rsidRDefault="00A31137" w:rsidP="00A31137">
      <w:r w:rsidRPr="00A31137">
        <w:t>1994, Dolan v. City of Tigard, 512 U.S. 382</w:t>
      </w:r>
    </w:p>
    <w:p w:rsidR="00A31137" w:rsidRPr="00A31137" w:rsidRDefault="00A31137" w:rsidP="00A31137">
      <w:r w:rsidRPr="00A31137">
        <w:t>Id. at G37. Based on this anticipated increased storm water flow, the Commission concluded that "the requirement of dedication of the floodplain area on the site is related to the applicant's plan to intensify development on the site." Ibid. The Tigard City Council approved the Commission's final order, subject to one minor modification; the City Council reassigned the responsibility for surveying and marking the floodplain area from petitioner to the city's engineering department. Id. at G-7.</w:t>
      </w:r>
    </w:p>
    <w:p w:rsidR="00A31137" w:rsidRPr="00A31137" w:rsidRDefault="00A31137" w:rsidP="00A31137">
      <w:r w:rsidRPr="00A31137">
        <w:t>1994, Dolan v. City of Tigard, 512 U.S. 382</w:t>
      </w:r>
    </w:p>
    <w:p w:rsidR="00A31137" w:rsidRPr="00A31137" w:rsidRDefault="00A31137" w:rsidP="00A31137">
      <w:r w:rsidRPr="00A31137">
        <w:t>Petitioner appealed to the Land Use Board of Appeals (LUBA) on the ground that the city's dedication requirements were not related to the proposed development, and, therefore, those requirements constituted an uncompensated taking of their property under the Fifth Amendment. In evaluating the federal taking claim, LUBA assumed that the city's findings about the impacts of the proposed development were supported by substantial evidence. Dolan v. Tigard, LUBA 91-161 (Jan. 7, 1992), reprinted at App. to Pet. for Cert. D-15, n. 9. Given the undisputed fact that the proposed larger building and paved parking area would increase the amount of impervious surfaces and the runoff into Fanno Creek, LUBA concluded that "there is a 'reasonable relationship' between the proposed development and the requirement to dedicate land along Fanno Creek for a greenway." Id. at D-16. With respect to the pedestrian/bicycle pathway, LUBA noted the Commission's finding that a significantly [512 U.S. 383] larger retail sales building and parking lot would attract larger numbers of customers and employees and their vehicles. It again found a "reasonable relationship" between alleviating the impacts of increased traffic from the development and facilitating the provision of a pedestrian/bicycle pathway as an alternative means of transportation. Ibid.</w:t>
      </w:r>
    </w:p>
    <w:p w:rsidR="00A31137" w:rsidRPr="00A31137" w:rsidRDefault="00A31137" w:rsidP="00A31137">
      <w:r w:rsidRPr="00A31137">
        <w:t>1994, Dolan v. City of Tigard, 512 U.S. 383</w:t>
      </w:r>
    </w:p>
    <w:p w:rsidR="00A31137" w:rsidRPr="00A31137" w:rsidRDefault="00A31137" w:rsidP="00A31137">
      <w:r w:rsidRPr="00A31137">
        <w:t>The Oregon Court of Appeals affirmed, rejecting petitioner's contention that, in Nollan v. California Coastal Comm'n, 483 U.S. 825 (1987), we had abandoned the "reasonable relationship" test in favor of a stricter "essential nexus" test. 113 Ore. App. 162, 832 P.2d 853 (1992). The Oregon Supreme Court affirmed. 317 Ore. 110, 854 P.2d 437 (1993). The court also disagreed with petitioner's contention that the Nollan Court abandoned the "reasonably related" test. Id. at 118, 854 P.2d at 442. Instead, the court read Nollan to mean that an "exaction is reasonably related to an impact if the exaction serves the same purpose that a denial of the permit would serve." Id. at 120, 854 P.2d at 443. The court decided that both the pedestrian/bicycle pathway condition and the storm drainage dedication had an essential nexus to the development of the proposed site. Id. at 121, 854 P.2d at 443. Therefore, the court found the conditions to be reasonably related to the impact of the expansion of petitioner's business. Ibid. 4 We granted certiorari, 510 U.S. 989 (1993), because of an alleged conflict between the Oregon Supreme Court's decision and our decision in Nollan, supra.</w:t>
      </w:r>
    </w:p>
    <w:p w:rsidR="00A31137" w:rsidRPr="00A31137" w:rsidRDefault="00A31137" w:rsidP="00A31137">
      <w:r w:rsidRPr="00A31137">
        <w:t>II</w:t>
      </w:r>
    </w:p>
    <w:p w:rsidR="00A31137" w:rsidRPr="00A31137" w:rsidRDefault="00A31137" w:rsidP="00A31137">
      <w:r w:rsidRPr="00A31137">
        <w:t>1994, Dolan v. City of Tigard, 512 U.S. 383</w:t>
      </w:r>
    </w:p>
    <w:p w:rsidR="00A31137" w:rsidRPr="00A31137" w:rsidRDefault="00A31137" w:rsidP="00A31137">
      <w:r w:rsidRPr="00A31137">
        <w:t>The Takings Clause of the Fifth Amendment of the United States Constitution, made applicable to the States through the Fourteenth Amendment, Chicago, B. &amp; Q. R. Co. v. Chicago, [512 U.S. 384] 166 U.S. 226, 239 (1897), provides: "[N]or shall private property be taken for public use, without just compensation." 5 One of the principal purposes of the Takings Clause is</w:t>
      </w:r>
    </w:p>
    <w:p w:rsidR="00A31137" w:rsidRPr="00A31137" w:rsidRDefault="00A31137" w:rsidP="00A31137">
      <w:r w:rsidRPr="00A31137">
        <w:t>1994, Dolan v. City of Tigard, 512 U.S. 384</w:t>
      </w:r>
    </w:p>
    <w:p w:rsidR="00A31137" w:rsidRPr="00A31137" w:rsidRDefault="00A31137" w:rsidP="00A31137">
      <w:r w:rsidRPr="00A31137">
        <w:t>to bar Government from forcing some people alone to bear public burdens which, in all fairness and justice, should be borne by the public as a whole.</w:t>
      </w:r>
    </w:p>
    <w:p w:rsidR="00A31137" w:rsidRPr="00A31137" w:rsidRDefault="00A31137" w:rsidP="00A31137">
      <w:r w:rsidRPr="00A31137">
        <w:t>1994, Dolan v. City of Tigard, 512 U.S. 384</w:t>
      </w:r>
    </w:p>
    <w:p w:rsidR="00A31137" w:rsidRPr="00A31137" w:rsidRDefault="00A31137" w:rsidP="00A31137">
      <w:r w:rsidRPr="00A31137">
        <w:t>Armstrong v. United States, 364 U.S. 40, 49 (1960). Without question, had the city simply required petitioner to dedicate a strip of land along Fanno Creek for public use, rather than conditioning the grant of her permit to redevelop her property on such a dedication, a taking would have occurred. Nollan, supra, at  831. Such public access would deprive petitioner of the right to exclude others, "one of the most essential sticks in the bundle of rights that are commonly characterized as property." Kaiser Aetna v. United States, 444 U.S. 164,  176 (1979).</w:t>
      </w:r>
    </w:p>
    <w:p w:rsidR="00A31137" w:rsidRPr="00A31137" w:rsidRDefault="00A31137" w:rsidP="00A31137">
      <w:r w:rsidRPr="00A31137">
        <w:t>1994, Dolan v. City of Tigard, 512 U.S. 384</w:t>
      </w:r>
    </w:p>
    <w:p w:rsidR="00A31137" w:rsidRPr="00A31137" w:rsidRDefault="00A31137" w:rsidP="00A31137">
      <w:r w:rsidRPr="00A31137">
        <w:t>On the other side of the ledger, the authority of state and local governments to engage in land use planning has been sustained against constitutional challenge as long ago as our decision in Euclid v. Ambler Realty Co., 272 U.S. 365 (1926).</w:t>
      </w:r>
    </w:p>
    <w:p w:rsidR="00A31137" w:rsidRPr="00A31137" w:rsidRDefault="00A31137" w:rsidP="00A31137">
      <w:r w:rsidRPr="00A31137">
        <w:t>1994, Dolan v. City of Tigard, 512 U.S. 384</w:t>
      </w:r>
    </w:p>
    <w:p w:rsidR="00A31137" w:rsidRPr="00A31137" w:rsidRDefault="00A31137" w:rsidP="00A31137">
      <w:r w:rsidRPr="00A31137">
        <w:t>Government hardly could go on if to some extent values incident to property could not be diminished [512 U.S. 385] without paying for every such change in the general law.</w:t>
      </w:r>
    </w:p>
    <w:p w:rsidR="00A31137" w:rsidRPr="00A31137" w:rsidRDefault="00A31137" w:rsidP="00A31137">
      <w:r w:rsidRPr="00A31137">
        <w:t>1994, Dolan v. City of Tigard, 512 U.S. 385</w:t>
      </w:r>
    </w:p>
    <w:p w:rsidR="00A31137" w:rsidRPr="00A31137" w:rsidRDefault="00A31137" w:rsidP="00A31137">
      <w:r w:rsidRPr="00A31137">
        <w:t>Pennsylvania Coal Co. v. Mahon, 260 U.S. 393,  413 (1922). A land use regulation does not effect a taking if it "substantially advance[s] legitimate state interests" and does not "den[y] an owner economically viable use of his land." Agins v. Tiburon, 447 U.S. 255,  260 (1980). 6</w:t>
      </w:r>
    </w:p>
    <w:p w:rsidR="00A31137" w:rsidRPr="00A31137" w:rsidRDefault="00A31137" w:rsidP="00A31137">
      <w:r w:rsidRPr="00A31137">
        <w:t>1994, Dolan v. City of Tigard, 512 U.S. 385</w:t>
      </w:r>
    </w:p>
    <w:p w:rsidR="00A31137" w:rsidRPr="00A31137" w:rsidRDefault="00A31137" w:rsidP="00A31137">
      <w:r w:rsidRPr="00A31137">
        <w:t>The sort of land use regulations discussed in the cases just cited, however, differ in two relevant particulars from the present case. First, they involved essentially legislative determinations classifying entire areas of the city, whereas here, the city made an adjudicative decision to condition petitioner's application for a building permit on an individual parcel. Second, the conditions imposed were not simply a limitation on the use petitioner might make of her own parcel, but a requirement that she deed portions of the property to the city. In Nollan, supra, we held that governmental authority to exact such a condition was circumscribed by the Fifth and Fourteenth Amendments. Under the well settled doctrine of "unconstitutional conditions," the government may not require a person to give up a constitutional right—here the right to receive just compensation when property is taken for a public use—in exchange for a discretionary benefit conferred by the government where the property sought has little or no relationship to the benefit. See Perry v. Sindermann, 408 U.S. 593 (1972); Pickering v. Board of Ed. of Township High School Dist., 391 U.S. 563, 568 (1968).</w:t>
      </w:r>
    </w:p>
    <w:p w:rsidR="00A31137" w:rsidRPr="00A31137" w:rsidRDefault="00A31137" w:rsidP="00A31137">
      <w:r w:rsidRPr="00A31137">
        <w:t>1994, Dolan v. City of Tigard, 512 U.S. 385</w:t>
      </w:r>
    </w:p>
    <w:p w:rsidR="00A31137" w:rsidRPr="00A31137" w:rsidRDefault="00A31137" w:rsidP="00A31137">
      <w:r w:rsidRPr="00A31137">
        <w:t>Petitioner contends that the city has forced her to choose between the building permit and her right under the Fifth [512 U.S. 386] Amendment to just compensation for the public easements. Petitioner does not quarrel with the city's authority to exact some forms of dedication as a condition for the grant of a building permit, but challenges the showing made by the city to justify these exactions. She argues that the city has identified "no special benefits" conferred on her, and has not identified any "special quantifiable burdens" created by her new store that would justify the particular dedications required from her which are not required from the public at large.</w:t>
      </w:r>
    </w:p>
    <w:p w:rsidR="00A31137" w:rsidRPr="00A31137" w:rsidRDefault="00A31137" w:rsidP="00A31137">
      <w:r w:rsidRPr="00A31137">
        <w:t>III</w:t>
      </w:r>
    </w:p>
    <w:p w:rsidR="00A31137" w:rsidRPr="00A31137" w:rsidRDefault="00A31137" w:rsidP="00A31137">
      <w:r w:rsidRPr="00A31137">
        <w:t>1994, Dolan v. City of Tigard, 512 U.S. 386</w:t>
      </w:r>
    </w:p>
    <w:p w:rsidR="00A31137" w:rsidRPr="00A31137" w:rsidRDefault="00A31137" w:rsidP="00A31137">
      <w:r w:rsidRPr="00A31137">
        <w:t>In evaluating petitioner's claim, we must first determine whether the "essential nexus" exists between the "legitimate state interest" and the permit condition exacted by the city. Nollan, 483 U.S. at  837. If we find that a nexus exists, we must then decide the required degree of connection between the exactions and the projected impact of the proposed development. We were not required to reach this question in Nollan, because we concluded that the connection did not meet even the loosest standard. 483 U.S. at  838. Here, however, we must decide this question.</w:t>
      </w:r>
    </w:p>
    <w:p w:rsidR="00A31137" w:rsidRPr="00A31137" w:rsidRDefault="00A31137" w:rsidP="00A31137">
      <w:r w:rsidRPr="00A31137">
        <w:t>A</w:t>
      </w:r>
    </w:p>
    <w:p w:rsidR="00A31137" w:rsidRPr="00A31137" w:rsidRDefault="00A31137" w:rsidP="00A31137">
      <w:r w:rsidRPr="00A31137">
        <w:t>1994, Dolan v. City of Tigard, 512 U.S. 386</w:t>
      </w:r>
    </w:p>
    <w:p w:rsidR="00A31137" w:rsidRPr="00A31137" w:rsidRDefault="00A31137" w:rsidP="00A31137">
      <w:r w:rsidRPr="00A31137">
        <w:t>We addressed the essential nexus question in Nollan. The California Coastal Commission demanded a lateral public easement across the Nollan's beachfront lot in exchange for a permit to demolish an existing bungalow and replace it with a three-bedroom house. 483 U.S. at  828. The public easement was designed to connect two public beaches that were separated by the Nollan's property. The Coastal Commission had asserted that the public easement condition was imposed to promote the legitimate state interest of diminishing the "blockage of the view of the ocean" caused by construction of the larger house.</w:t>
      </w:r>
    </w:p>
    <w:p w:rsidR="00A31137" w:rsidRPr="00A31137" w:rsidRDefault="00A31137" w:rsidP="00A31137">
      <w:r w:rsidRPr="00A31137">
        <w:t>1994, Dolan v. City of Tigard, 512 U.S. 386</w:t>
      </w:r>
    </w:p>
    <w:p w:rsidR="00A31137" w:rsidRPr="00A31137" w:rsidRDefault="00A31137" w:rsidP="00A31137">
      <w:r w:rsidRPr="00A31137">
        <w:t>We agreed that the Coastal Commission's concern with protecting visual access to the ocean constituted a legitimate [512 U.S. 387] public interest. Id. at  835. We also agreed that the permit condition would have been constitutional</w:t>
      </w:r>
    </w:p>
    <w:p w:rsidR="00A31137" w:rsidRPr="00A31137" w:rsidRDefault="00A31137" w:rsidP="00A31137">
      <w:r w:rsidRPr="00A31137">
        <w:t>1994, Dolan v. City of Tigard, 512 U.S. 387</w:t>
      </w:r>
    </w:p>
    <w:p w:rsidR="00A31137" w:rsidRPr="00A31137" w:rsidRDefault="00A31137" w:rsidP="00A31137">
      <w:r w:rsidRPr="00A31137">
        <w:t>even if it consisted of the requirement that the Nollans provide a viewing spot on their property for passersby with whose sighting of the ocean their new house would interfere.</w:t>
      </w:r>
    </w:p>
    <w:p w:rsidR="00A31137" w:rsidRPr="00A31137" w:rsidRDefault="00A31137" w:rsidP="00A31137">
      <w:r w:rsidRPr="00A31137">
        <w:t>1994, Dolan v. City of Tigard, 512 U.S. 387</w:t>
      </w:r>
    </w:p>
    <w:p w:rsidR="00A31137" w:rsidRPr="00A31137" w:rsidRDefault="00A31137" w:rsidP="00A31137">
      <w:r w:rsidRPr="00A31137">
        <w:t>Id. at  836. We resolved, however, that the Coastal Commission's regulatory authority was set completely adrift from its constitutional moorings when it claimed that a nexus existed between visual access to the ocean and a permit condition requiring lateral public access along the Nollan's beachfront lot. Id. at  837. How enhancing the public's ability to "traverse to and along the shorefront" served the same governmental purpose of "visual access to the ocean" from the roadway was beyond our ability to countenance. The absence of a nexus left the Coastal Commission in the position of simply trying to obtain an easement through gimmickry, which converted a valid regulation of land use into "an out-and-out plan of extortion." Ibid. quoting J.E.D. Associates, Inc. v. Atkinson, 121 N.H. 581, 584, 432 A.2d 12, 14-15 (1981).</w:t>
      </w:r>
    </w:p>
    <w:p w:rsidR="00A31137" w:rsidRPr="00A31137" w:rsidRDefault="00A31137" w:rsidP="00A31137">
      <w:r w:rsidRPr="00A31137">
        <w:t>1994, Dolan v. City of Tigard, 512 U.S. 387</w:t>
      </w:r>
    </w:p>
    <w:p w:rsidR="00A31137" w:rsidRPr="00A31137" w:rsidRDefault="00A31137" w:rsidP="00A31137">
      <w:r w:rsidRPr="00A31137">
        <w:t>No such gimmicks are associated with the permit conditions imposed by the city in this case. Undoubtedly, the prevention of flooding along Fanno Creek and the reduction of traffic congestion in the Central Business District qualify as the type of legitimate public purposes we have upheld. Agins, supra, at 260-262. It seems equally obvious that a nexus exists between preventing flooding along Fanno Creek and limiting development within the creek's 100-year floodplain. Petitioner proposes to double the size of her retail store and to pave her now-gravel parking lot, thereby expanding the impervious surface on the property and increasing the amount of stormwater run-off into Fanno Creek.</w:t>
      </w:r>
    </w:p>
    <w:p w:rsidR="00A31137" w:rsidRPr="00A31137" w:rsidRDefault="00A31137" w:rsidP="00A31137">
      <w:r w:rsidRPr="00A31137">
        <w:t>1994, Dolan v. City of Tigard, 512 U.S. 387</w:t>
      </w:r>
    </w:p>
    <w:p w:rsidR="00A31137" w:rsidRPr="00A31137" w:rsidRDefault="00A31137" w:rsidP="00A31137">
      <w:r w:rsidRPr="00A31137">
        <w:t>The same may be said for the city's attempt to reduce traffic congestion by providing for alternative means of transportation. In theory, a pedestrian/bicycle pathway provides a useful alternative means of transportation for workers and shoppers:</w:t>
      </w:r>
    </w:p>
    <w:p w:rsidR="00A31137" w:rsidRPr="00A31137" w:rsidRDefault="00A31137" w:rsidP="00A31137">
      <w:r w:rsidRPr="00A31137">
        <w:t>1994, Dolan v. City of Tigard, 512 U.S. 387</w:t>
      </w:r>
    </w:p>
    <w:p w:rsidR="00A31137" w:rsidRPr="00A31137" w:rsidRDefault="00A31137" w:rsidP="00A31137">
      <w:r w:rsidRPr="00A31137">
        <w:t>Pedestrians and bicyclists occupying dedicated [512 U.S. 388] spaces for walking and/or bicycling…remove potential vehicles from streets, resulting in an overall improvement in total transportation system flow.</w:t>
      </w:r>
    </w:p>
    <w:p w:rsidR="00A31137" w:rsidRPr="00A31137" w:rsidRDefault="00A31137" w:rsidP="00A31137">
      <w:r w:rsidRPr="00A31137">
        <w:t>1994, Dolan v. City of Tigard, 512 U.S. 388</w:t>
      </w:r>
    </w:p>
    <w:p w:rsidR="00A31137" w:rsidRPr="00A31137" w:rsidRDefault="00A31137" w:rsidP="00A31137">
      <w:r w:rsidRPr="00A31137">
        <w:t>A. Nelson, Public Provision of Pedestrian and Bicycle Access Ways: Public Policy Rationale and the Nature of Private Benefits 11, Center for Planning Development, Georgia Institute of Technology, Working Paper Series (Jan. 1994). See also Intermodal Surface Transportation Efficiency Act of 1991, Pub. L. 102-240, 105 Stat. 1914; (recognizing pedestrian and bicycle facilities as necessary components of any strategy to reduce traffic congestion).</w:t>
      </w:r>
    </w:p>
    <w:p w:rsidR="00A31137" w:rsidRPr="00A31137" w:rsidRDefault="00A31137" w:rsidP="00A31137">
      <w:r w:rsidRPr="00A31137">
        <w:t>B</w:t>
      </w:r>
    </w:p>
    <w:p w:rsidR="00A31137" w:rsidRPr="00A31137" w:rsidRDefault="00A31137" w:rsidP="00A31137">
      <w:r w:rsidRPr="00A31137">
        <w:t>1994, Dolan v. City of Tigard, 512 U.S. 388</w:t>
      </w:r>
    </w:p>
    <w:p w:rsidR="00A31137" w:rsidRPr="00A31137" w:rsidRDefault="00A31137" w:rsidP="00A31137">
      <w:r w:rsidRPr="00A31137">
        <w:t>The second part of our analysis requires us to determine whether the degree of the exactions demanded by the city's permit conditions bear the required relationship to the projected impact of petitioner's proposed development. Nollan, supra, at  834, quoting Penn Central, 438 U.S. 104,  127 (1978) ("'[A] use restriction may constitute a taking if not reasonably necessary to the effectuation of a substantial government purpose'"). Here the Oregon Supreme Court deferred to what it termed the "city's unchallenged factual findings" supporting the dedication conditions and found them to be reasonably related to the impact of the expansion of petitioner's business. 317 Ore. at 120-121, 854 P.2d at 443.</w:t>
      </w:r>
    </w:p>
    <w:p w:rsidR="00A31137" w:rsidRPr="00A31137" w:rsidRDefault="00A31137" w:rsidP="00A31137">
      <w:r w:rsidRPr="00A31137">
        <w:t>1994, Dolan v. City of Tigard, 512 U.S. 388</w:t>
      </w:r>
    </w:p>
    <w:p w:rsidR="00A31137" w:rsidRPr="00A31137" w:rsidRDefault="00A31137" w:rsidP="00A31137">
      <w:r w:rsidRPr="00A31137">
        <w:t>The city required that petitioner dedicate</w:t>
      </w:r>
    </w:p>
    <w:p w:rsidR="00A31137" w:rsidRPr="00A31137" w:rsidRDefault="00A31137" w:rsidP="00A31137">
      <w:r w:rsidRPr="00A31137">
        <w:t>1994, Dolan v. City of Tigard, 512 U.S. 388</w:t>
      </w:r>
    </w:p>
    <w:p w:rsidR="00A31137" w:rsidRPr="00A31137" w:rsidRDefault="00A31137" w:rsidP="00A31137">
      <w:r w:rsidRPr="00A31137">
        <w:t>to the city as Greenway all portions of the site that fall within the existing 100-year floodplain [of Fanno Creek]…and all property 15 feet above [the floodplain] boundary.</w:t>
      </w:r>
    </w:p>
    <w:p w:rsidR="00A31137" w:rsidRPr="00A31137" w:rsidRDefault="00A31137" w:rsidP="00A31137">
      <w:r w:rsidRPr="00A31137">
        <w:t>1994, Dolan v. City of Tigard, 512 U.S. 388</w:t>
      </w:r>
    </w:p>
    <w:p w:rsidR="00A31137" w:rsidRPr="00A31137" w:rsidRDefault="00A31137" w:rsidP="00A31137">
      <w:r w:rsidRPr="00A31137">
        <w:t>In addition, the city demanded that the retail store be designed so as not to intrude into the greenway area. The city relies on the Commission's rather tentative findings that increased stormwater flow from petitioner's property "can only add to the public need to manage the [floodplain] for drainage purposes" to support its conclusion that the "requirement of dedication of the floodplain area on [512 U.S. 389] the site is related to the applicant's plan to intensify development on the site." City of Tigard Planning Commission Final Order No. 91-09 PC, App. to Pet. for Cert. G37.</w:t>
      </w:r>
    </w:p>
    <w:p w:rsidR="00A31137" w:rsidRPr="00A31137" w:rsidRDefault="00A31137" w:rsidP="00A31137">
      <w:r w:rsidRPr="00A31137">
        <w:t>1994, Dolan v. City of Tigard, 512 U.S. 389</w:t>
      </w:r>
    </w:p>
    <w:p w:rsidR="00A31137" w:rsidRPr="00A31137" w:rsidRDefault="00A31137" w:rsidP="00A31137">
      <w:r w:rsidRPr="00A31137">
        <w:t xml:space="preserve"> The city made the following specific findings relevant to the pedestrian/bicycle pathway:</w:t>
      </w:r>
    </w:p>
    <w:p w:rsidR="00A31137" w:rsidRPr="00A31137" w:rsidRDefault="00A31137" w:rsidP="00A31137">
      <w:r w:rsidRPr="00A31137">
        <w:t>1994, Dolan v. City of Tigard, 512 U.S. 389</w:t>
      </w:r>
    </w:p>
    <w:p w:rsidR="00A31137" w:rsidRPr="00A31137" w:rsidRDefault="00A31137" w:rsidP="00A31137">
      <w:r w:rsidRPr="00A31137">
        <w:t>In addition, the proposed expanded use of this site is anticipated to generate additional vehicular traffic thereby increasing congestion on nearby collector and arterial streets. Creation of a convenient, safe pedestrian/bicycle pathway system as an alternative means of transportation could offset some of the traffic demand on these nearby streets and lessen the increase in traffic congestion.</w:t>
      </w:r>
    </w:p>
    <w:p w:rsidR="00A31137" w:rsidRPr="00A31137" w:rsidRDefault="00A31137" w:rsidP="00A31137">
      <w:r w:rsidRPr="00A31137">
        <w:t>1994, Dolan v. City of Tigard, 512 U.S. 389</w:t>
      </w:r>
    </w:p>
    <w:p w:rsidR="00A31137" w:rsidRPr="00A31137" w:rsidRDefault="00A31137" w:rsidP="00A31137">
      <w:r w:rsidRPr="00A31137">
        <w:t>Id. at 24.</w:t>
      </w:r>
    </w:p>
    <w:p w:rsidR="00A31137" w:rsidRPr="00A31137" w:rsidRDefault="00A31137" w:rsidP="00A31137">
      <w:r w:rsidRPr="00A31137">
        <w:t>1994, Dolan v. City of Tigard, 512 U.S. 389</w:t>
      </w:r>
    </w:p>
    <w:p w:rsidR="00A31137" w:rsidRPr="00A31137" w:rsidRDefault="00A31137" w:rsidP="00A31137">
      <w:r w:rsidRPr="00A31137">
        <w:t>The question for us is whether these findings are constitutionally sufficient to justify the conditions imposed by the city on petitioner's building permit. Since state courts have been dealing with this question a good deal longer than we have, we turn to representative decisions made by them.</w:t>
      </w:r>
    </w:p>
    <w:p w:rsidR="00A31137" w:rsidRPr="00A31137" w:rsidRDefault="00A31137" w:rsidP="00A31137">
      <w:r w:rsidRPr="00A31137">
        <w:t>1994, Dolan v. City of Tigard, 512 U.S. 389</w:t>
      </w:r>
    </w:p>
    <w:p w:rsidR="00A31137" w:rsidRPr="00A31137" w:rsidRDefault="00A31137" w:rsidP="00A31137">
      <w:r w:rsidRPr="00A31137">
        <w:t>In some States, very generalized statements as to the necessary connection between the required dedication and the proposed development seem to suffice. See, e.g., Billings Properties, Inc. v. Yellowstone County, 144 Mont. 25, 394 P.2d 182 (1964); Jenad, Inc. v. Scarsdale, 18 N.Y.2d 78, 218 N.E.2d 673 (1966). We think this standard is too lax to adequately protect petitioner's right to just compensation if her property is taken for a public purpose.</w:t>
      </w:r>
    </w:p>
    <w:p w:rsidR="00A31137" w:rsidRPr="00A31137" w:rsidRDefault="00A31137" w:rsidP="00A31137">
      <w:r w:rsidRPr="00A31137">
        <w:t>1994, Dolan v. City of Tigard, 512 U.S. 389</w:t>
      </w:r>
    </w:p>
    <w:p w:rsidR="00A31137" w:rsidRPr="00A31137" w:rsidRDefault="00A31137" w:rsidP="00A31137">
      <w:r w:rsidRPr="00A31137">
        <w:t>Other state courts require a very exacting correspondence, described as the "specifi[c] and uniquely attributable" test. The Supreme Court of Illinois first developed this test in Pioneer Trust &amp; Savings Bank v. Mount Prospect, 22 Ill.2d 375, 380, 176 N.E.2d 799, 802 (1961). 7 Under this standard, [512 U.S. 390] if the local government cannot demonstrate that its exaction is directly proportional to the specifically created need, the exaction becomes "a veiled exercise of the power of eminent domain and a confiscation of private property behind the defense of police regulations." Id. at 381, 176 N.E.2d at 802. We do not think the Federal Constitution requires such exacting scrutiny, given the nature of the interests involved.</w:t>
      </w:r>
    </w:p>
    <w:p w:rsidR="00A31137" w:rsidRPr="00A31137" w:rsidRDefault="00A31137" w:rsidP="00A31137">
      <w:r w:rsidRPr="00A31137">
        <w:t>1994, Dolan v. City of Tigard, 512 U.S. 390</w:t>
      </w:r>
    </w:p>
    <w:p w:rsidR="00A31137" w:rsidRPr="00A31137" w:rsidRDefault="00A31137" w:rsidP="00A31137">
      <w:r w:rsidRPr="00A31137">
        <w:t>A number of state courts have taken an intermediate position, requiring the municipality to show a "reasonable relationship" between the required dedication and the impact of the proposed development. Typical is the Supreme Court of Nebraska's opinion in Simpson v. North Platte, 206 Neb. 240, 245, 292 N.W.2d 297, 301 (1980), where that court stated:</w:t>
      </w:r>
    </w:p>
    <w:p w:rsidR="00A31137" w:rsidRPr="00A31137" w:rsidRDefault="00A31137" w:rsidP="00A31137">
      <w:r w:rsidRPr="00A31137">
        <w:t>1994, Dolan v. City of Tigard, 512 U.S. 390</w:t>
      </w:r>
    </w:p>
    <w:p w:rsidR="00A31137" w:rsidRPr="00A31137" w:rsidRDefault="00A31137" w:rsidP="00A31137">
      <w:r w:rsidRPr="00A31137">
        <w:t>The distinction, therefore, which must be made between an appropriate exercise of the police power and an improper exercise of eminent domain is whether the requirement has some reasonable relationship or nexus to the use to which the property is being made or is merely being used as an excuse for taking property simply because at that particular moment the landowner is asking the city for some license or permit.</w:t>
      </w:r>
    </w:p>
    <w:p w:rsidR="00A31137" w:rsidRPr="00A31137" w:rsidRDefault="00A31137" w:rsidP="00A31137">
      <w:r w:rsidRPr="00A31137">
        <w:t>1994, Dolan v. City of Tigard, 512 U.S. 390</w:t>
      </w:r>
    </w:p>
    <w:p w:rsidR="00A31137" w:rsidRPr="00A31137" w:rsidRDefault="00A31137" w:rsidP="00A31137">
      <w:r w:rsidRPr="00A31137">
        <w:t>Thus, the court held that a city may not require a property owner to dedicate private property for some future public use as a condition of obtaining a building permit when such future use is not "occasioned by the construction sought to be permitted." Id. at 248, 292 N.W.2d at 302.</w:t>
      </w:r>
    </w:p>
    <w:p w:rsidR="00A31137" w:rsidRPr="00A31137" w:rsidRDefault="00A31137" w:rsidP="00A31137">
      <w:r w:rsidRPr="00A31137">
        <w:t>1994, Dolan v. City of Tigard, 512 U.S. 390</w:t>
      </w:r>
    </w:p>
    <w:p w:rsidR="00A31137" w:rsidRPr="00A31137" w:rsidRDefault="00A31137" w:rsidP="00A31137">
      <w:r w:rsidRPr="00A31137">
        <w:t>Some form of the reasonable relationship test has been adopted in many other jurisdictions. See, e.g., Jordan v. Menomonee Falls, 28 Wis.2d 608, 137 N.W.2d 442 (1965); Collis v. Bloomington, 310 Minn. 5, 246 N.W.2d 19 (1976) (requiring a showing of a reasonable relationship between [512 U.S. 391] the planned subdivision and the municipality's need for land); College Station v. Turtle Rock Corp., 680 S.W.2d 802, 807 (Tex. 1984); Call v. West Jordan, 606 P.2d 217, 220 (Utah 1979) (affirming use of the reasonable relation test). Despite any semantical differences, general agreement exists among the courts "that the dedication should have some reasonable relationship to the needs created by the [development]." Ibid. See generally, Morosoff, Take My Beach Please!: Nollan v. California Coastal Commission and a Rational-Nexus Constitutional Analysis of Development Exactions, 69 B.U.L.Rev. 823 (1989); see also Parks v. Watson, 716 F.2d 646, 651-653 (CA9 1983).</w:t>
      </w:r>
    </w:p>
    <w:p w:rsidR="00A31137" w:rsidRPr="00A31137" w:rsidRDefault="00A31137" w:rsidP="00A31137">
      <w:r w:rsidRPr="00A31137">
        <w:t>1994, Dolan v. City of Tigard, 512 U.S. 391</w:t>
      </w:r>
    </w:p>
    <w:p w:rsidR="00A31137" w:rsidRPr="00A31137" w:rsidRDefault="00A31137" w:rsidP="00A31137">
      <w:r w:rsidRPr="00A31137">
        <w:t xml:space="preserve">We think the "reasonable relationship" test adopted by a majority of the state courts is closer to the federal constitutional norm than either of those previously discussed. But we do not adopt it as such, partly because the term "reasonable relationship" seems confusingly similar to the term "rational basis" which describes the minimal level of scrutiny under the Equal Protection Clause of the Fourteenth Amendment. We think a term such as "rough proportionality" best encapsulates what we hold to be the requirement of the Fifth Amendment. No precise mathematical calculation is required, but the city must make some sort of individualized determination that the required dedication is related both in nature and extent to the impact of the proposed development. 8 [512 U.S. 392] </w:t>
      </w:r>
    </w:p>
    <w:p w:rsidR="00A31137" w:rsidRPr="00A31137" w:rsidRDefault="00A31137" w:rsidP="00A31137">
      <w:r w:rsidRPr="00A31137">
        <w:t>1994, Dolan v. City of Tigard, 512 U.S. 392</w:t>
      </w:r>
    </w:p>
    <w:p w:rsidR="00A31137" w:rsidRPr="00A31137" w:rsidRDefault="00A31137" w:rsidP="00A31137">
      <w:r w:rsidRPr="00A31137">
        <w:t xml:space="preserve"> Justice Stevens' dissent relies upon a law review article for the proposition that the city's conditional demands for part of petitioner's property are "a species of business regulation that heretofore warranted a strong presumption of constitutional validity." Post at  402. But simply denominating a governmental measure as a "business regulation" does not immunize it from constitutional challenge on the grounds that it violates a provision of the Bill of Rights. In Marshall v. Barlow's, Inc., 436 U.S. 307 (1978), we held that a statute authorizing a warrantless search of business premises in order to detect OSHA violations violated the Fourth Amendment. See also Air Pollution Variance Board of Colo. v. Western Alfalfa Corp., 416 U.S. 861 (1974); New York v. Burger, 482 U.S. 691 (1982). And in Central Hudson Gas &amp; Electric Corp. v. Public Service Comm'n of N.Y., 447 U.S. 557 (1980), we held that an order of the New York Public Service Commission, designed to cut down the use of electricity because of a fuel shortage, violated the First Amendment insofar as it prohibited advertising by a utility company to promote the use of electricity. We see no reason why the Takings Clause of the Fifth Amendment, as much a part of the Bill of Rights as the First Amendment or Fourth Amendment, should be relegated to the status of a poor relation in these comparable circumstances. We turn now to analysis of whether the findings relied upon by the city here, first with respect to the floodplain easement, and second with respect to the pedestrian/bicycle path, satisfied these requirements.</w:t>
      </w:r>
    </w:p>
    <w:p w:rsidR="00A31137" w:rsidRPr="00A31137" w:rsidRDefault="00A31137" w:rsidP="00A31137">
      <w:r w:rsidRPr="00A31137">
        <w:t>1994, Dolan v. City of Tigard, 512 U.S. 392</w:t>
      </w:r>
    </w:p>
    <w:p w:rsidR="00A31137" w:rsidRPr="00A31137" w:rsidRDefault="00A31137" w:rsidP="00A31137">
      <w:r w:rsidRPr="00A31137">
        <w:t>It is axiomatic that increasing the amount of impervious surface will increase the quantity and rate of stormwater flow from petitioner's property. Record, Doc. No. F, ch. 4, [512 U.S. 393] p. 4-29. Therefore, keeping the floodplain open and free from development would likely confine the pressures on Fanno Creek created by petitioner's development. In fact, because petitioner's property lies within the Central Business District, the Community Development Code already required that petitioner leave 15% of it as open space and the undeveloped floodplain would have nearly satisfied that requirement. App. to Pet. for Cert. G16-G17. But the city demanded more—it not only wanted petitioner not to build in the floodplain, but it also wanted petitioner's property along Fanno Creek for its Greenway system. The city has never said why a public greenway, as opposed to a private one, was required in the interest of flood control.</w:t>
      </w:r>
    </w:p>
    <w:p w:rsidR="00A31137" w:rsidRPr="00A31137" w:rsidRDefault="00A31137" w:rsidP="00A31137">
      <w:r w:rsidRPr="00A31137">
        <w:t>1994, Dolan v. City of Tigard, 512 U.S. 393</w:t>
      </w:r>
    </w:p>
    <w:p w:rsidR="00A31137" w:rsidRPr="00A31137" w:rsidRDefault="00A31137" w:rsidP="00A31137">
      <w:r w:rsidRPr="00A31137">
        <w:t>The difference to petitioner, of course, is the loss of her ability to exclude others. As we have noted, this right to exclude others is "one of the most essential sticks in the bundle of rights that are commonly characterized as property." Kaiser Aetna, 444 U.S. at  176. It is difficult to see why recreational visitors trampling along petitioner's floodplain easement are sufficiently related to the city's legitimate interest in reducing flooding problems along Fanno Creek, and the city has not attempted to make any individualized determination to support this part of its request.</w:t>
      </w:r>
    </w:p>
    <w:p w:rsidR="00A31137" w:rsidRPr="00A31137" w:rsidRDefault="00A31137" w:rsidP="00A31137">
      <w:r w:rsidRPr="00A31137">
        <w:t>1994, Dolan v. City of Tigard, 512 U.S. 393</w:t>
      </w:r>
    </w:p>
    <w:p w:rsidR="00A31137" w:rsidRPr="00A31137" w:rsidRDefault="00A31137" w:rsidP="00A31137">
      <w:r w:rsidRPr="00A31137">
        <w:t>The city contends that recreational easement along the Greenway is only ancillary to the city's chief purpose in controlling flood hazards. It further asserts that, unlike the residential property at issue in Nollan, petitioner's property is commercial in character and therefore, her right to exclude others is compromised. Brief for Respondent 41, quoting United States v. Orito, 413 U.S. 139, 142 (1973) ("'The Constitution extends special safeguards to the privacy of the home'"). The city maintains that</w:t>
      </w:r>
    </w:p>
    <w:p w:rsidR="00A31137" w:rsidRPr="00A31137" w:rsidRDefault="00A31137" w:rsidP="00A31137">
      <w:r w:rsidRPr="00A31137">
        <w:t>1994, Dolan v. City of Tigard, 512 U.S. 393</w:t>
      </w:r>
    </w:p>
    <w:p w:rsidR="00A31137" w:rsidRPr="00A31137" w:rsidRDefault="00A31137" w:rsidP="00A31137">
      <w:r w:rsidRPr="00A31137">
        <w:t>[t]here is nothing to suggest that preventing [petitioner] from prohibiting [the easements] will unreasonably impair the value of [her] property as a [retail store].</w:t>
      </w:r>
    </w:p>
    <w:p w:rsidR="00A31137" w:rsidRPr="00A31137" w:rsidRDefault="00A31137" w:rsidP="00A31137">
      <w:r w:rsidRPr="00A31137">
        <w:t>1994, Dolan v. City of Tigard, 512 U.S. 393</w:t>
      </w:r>
    </w:p>
    <w:p w:rsidR="00A31137" w:rsidRPr="00A31137" w:rsidRDefault="00A31137" w:rsidP="00A31137">
      <w:r w:rsidRPr="00A31137">
        <w:t xml:space="preserve">PruneYard Shopping Center v. Robins, 447 U.S. 74,  83 (1980). [512 U.S. 394] </w:t>
      </w:r>
    </w:p>
    <w:p w:rsidR="00A31137" w:rsidRPr="00A31137" w:rsidRDefault="00A31137" w:rsidP="00A31137">
      <w:r w:rsidRPr="00A31137">
        <w:t>1994, Dolan v. City of Tigard, 512 U.S. 394</w:t>
      </w:r>
    </w:p>
    <w:p w:rsidR="00A31137" w:rsidRPr="00A31137" w:rsidRDefault="00A31137" w:rsidP="00A31137">
      <w:r w:rsidRPr="00A31137">
        <w:t>Admittedly, petitioner wants to build a bigger store to attract members of the public to her property. She also wants, however, to be able to control the time and manner in which they enter. The recreational easement on the Greenway is different in character from the exercise of state-protected rights of free expression and petition that we permitted in PruneYard. In PruneYard, we held that a major private shopping center that attracted more than 25,000 daily patrons had to provide access to persons exercising their state constitutional rights to distribute pamphlets and ask passersby to sign their petitions.  Id. at  85. We based our decision, in part, on the fact that the shopping center</w:t>
      </w:r>
    </w:p>
    <w:p w:rsidR="00A31137" w:rsidRPr="00A31137" w:rsidRDefault="00A31137" w:rsidP="00A31137">
      <w:r w:rsidRPr="00A31137">
        <w:t>1994, Dolan v. City of Tigard, 512 U.S. 394</w:t>
      </w:r>
    </w:p>
    <w:p w:rsidR="00A31137" w:rsidRPr="00A31137" w:rsidRDefault="00A31137" w:rsidP="00A31137">
      <w:r w:rsidRPr="00A31137">
        <w:t>may restrict expressive activity by adopting time, place, and manner regulations that will minimize any interference with its commercial functions.</w:t>
      </w:r>
    </w:p>
    <w:p w:rsidR="00A31137" w:rsidRPr="00A31137" w:rsidRDefault="00A31137" w:rsidP="00A31137">
      <w:r w:rsidRPr="00A31137">
        <w:t>1994, Dolan v. City of Tigard, 512 U.S. 394</w:t>
      </w:r>
    </w:p>
    <w:p w:rsidR="00A31137" w:rsidRPr="00A31137" w:rsidRDefault="00A31137" w:rsidP="00A31137">
      <w:r w:rsidRPr="00A31137">
        <w:t>Id. at  83. By contrast, the city wants to impose a permanent recreational easement upon petitioner's property that borders Fanno Creek. Petitioner would lose all rights to regulate the time in which the public entered onto the Greenway, regardless of any interference it might pose with her retail store. Her right to exclude would not be regulated, it would be eviscerated.</w:t>
      </w:r>
    </w:p>
    <w:p w:rsidR="00A31137" w:rsidRPr="00A31137" w:rsidRDefault="00A31137" w:rsidP="00A31137">
      <w:r w:rsidRPr="00A31137">
        <w:t>1994, Dolan v. City of Tigard, 512 U.S. 394</w:t>
      </w:r>
    </w:p>
    <w:p w:rsidR="00A31137" w:rsidRPr="00A31137" w:rsidRDefault="00A31137" w:rsidP="00A31137">
      <w:r w:rsidRPr="00A31137">
        <w:t>If petitioner's proposed development had somehow encroached on existing greenway space in the city, it would have been reasonable to require petitioner to provide some alternative greenway space for the public either on her property or elsewhere. See Nollan, 483 U.S. at  836 ("Although such a requirement, constituting a permanent grant of continuous access to the property, would have to be considered a taking if it were not attached to a development permit, the Commission's assumed power to forbid construction of the house in order to protect the public's view of the beach must surely include the power to condition construction upon some concession by the owner, even a concession of property rights, that serves the same end"). But that is not the case here. We conclude that the findings upon which the city relies [512 U.S. 395] do not show the required reasonable relationship between the floodplain easement and the petitioner's proposed new building.</w:t>
      </w:r>
    </w:p>
    <w:p w:rsidR="00A31137" w:rsidRPr="00A31137" w:rsidRDefault="00A31137" w:rsidP="00A31137">
      <w:r w:rsidRPr="00A31137">
        <w:t>1994, Dolan v. City of Tigard, 512 U.S. 395</w:t>
      </w:r>
    </w:p>
    <w:p w:rsidR="00A31137" w:rsidRPr="00A31137" w:rsidRDefault="00A31137" w:rsidP="00A31137">
      <w:r w:rsidRPr="00A31137">
        <w:t>With respect to the pedestrian/bicycle pathway, we have no doubt that the city was correct in finding that the larger retail sales facility proposed by petitioner will increase traffic on the streets of the Central Business District. The city estimates that the proposed development would generate roughly 435 additional trips per day. 9 Dedications for streets, sidewalks, and other public ways are generally reasonable exactions to avoid excessive congestion from a proposed property use. But, on the record before us, the city has not met its burden of demonstrating that the additional number of vehicle and bicycle trips generated by the petitioner's development reasonably relate to the city's requirement for a dedication of the pedestrian/bicycle pathway easement. The city simply found that the creation of the pathway "could offset some of the traffic demand…and lessen the increase in traffic congestion." 10</w:t>
      </w:r>
    </w:p>
    <w:p w:rsidR="00A31137" w:rsidRPr="00A31137" w:rsidRDefault="00A31137" w:rsidP="00A31137">
      <w:r w:rsidRPr="00A31137">
        <w:t>1994, Dolan v. City of Tigard, 512 U.S. 395</w:t>
      </w:r>
    </w:p>
    <w:p w:rsidR="00A31137" w:rsidRPr="00A31137" w:rsidRDefault="00A31137" w:rsidP="00A31137">
      <w:r w:rsidRPr="00A31137">
        <w:t>As Justice Peterson of the Supreme Court of Oregon explained in his dissenting opinion, however,</w:t>
      </w:r>
    </w:p>
    <w:p w:rsidR="00A31137" w:rsidRPr="00A31137" w:rsidRDefault="00A31137" w:rsidP="00A31137">
      <w:r w:rsidRPr="00A31137">
        <w:t>1994, Dolan v. City of Tigard, 512 U.S. 395</w:t>
      </w:r>
    </w:p>
    <w:p w:rsidR="00A31137" w:rsidRPr="00A31137" w:rsidRDefault="00A31137" w:rsidP="00A31137">
      <w:r w:rsidRPr="00A31137">
        <w:t>[t]he findings of fact that the bicycle pathway system "could offset some of the traffic demand" is a far cry from a finding that the bicycle pathway system will, or is likely to, offset some of the traffic demand.</w:t>
      </w:r>
    </w:p>
    <w:p w:rsidR="00A31137" w:rsidRPr="00A31137" w:rsidRDefault="00A31137" w:rsidP="00A31137">
      <w:r w:rsidRPr="00A31137">
        <w:t>1994, Dolan v. City of Tigard, 512 U.S. 395</w:t>
      </w:r>
    </w:p>
    <w:p w:rsidR="00A31137" w:rsidRPr="00A31137" w:rsidRDefault="00A31137" w:rsidP="00A31137">
      <w:r w:rsidRPr="00A31137">
        <w:t>317 Ore. at 127, 854 P.2d at 447 (emphasis in original). No precise mathematical calculation is required, but the city must make some effort to quantify its findings in [512 U.S. 396] support of the dedication for the pedestrian/bicycle pathway beyond the conclusory statement that it could offset some of the traffic demand generated.</w:t>
      </w:r>
    </w:p>
    <w:p w:rsidR="00A31137" w:rsidRPr="00A31137" w:rsidRDefault="00A31137" w:rsidP="00A31137">
      <w:r w:rsidRPr="00A31137">
        <w:t>IV</w:t>
      </w:r>
    </w:p>
    <w:p w:rsidR="00A31137" w:rsidRPr="00A31137" w:rsidRDefault="00A31137" w:rsidP="00A31137">
      <w:r w:rsidRPr="00A31137">
        <w:t>1994, Dolan v. City of Tigard, 512 U.S. 396</w:t>
      </w:r>
    </w:p>
    <w:p w:rsidR="00A31137" w:rsidRPr="00A31137" w:rsidRDefault="00A31137" w:rsidP="00A31137">
      <w:r w:rsidRPr="00A31137">
        <w:t>Cities have long engaged in the commendable task of land use planning, made necessary by increasing urbanization particularly in metropolitan areas such as Portland. The city's goals of reducing flooding hazards and traffic congestion, and providing for public greenways, are laudable, but there are outer limits to how this may be done.</w:t>
      </w:r>
    </w:p>
    <w:p w:rsidR="00A31137" w:rsidRPr="00A31137" w:rsidRDefault="00A31137" w:rsidP="00A31137">
      <w:r w:rsidRPr="00A31137">
        <w:t>1994, Dolan v. City of Tigard, 512 U.S. 396</w:t>
      </w:r>
    </w:p>
    <w:p w:rsidR="00A31137" w:rsidRPr="00A31137" w:rsidRDefault="00A31137" w:rsidP="00A31137">
      <w:r w:rsidRPr="00A31137">
        <w:t>A strong public desire to improve the public condition [will not] warrant achieving the desire by a shorter cut than the constitutional way of paying for the change.</w:t>
      </w:r>
    </w:p>
    <w:p w:rsidR="00A31137" w:rsidRPr="00A31137" w:rsidRDefault="00A31137" w:rsidP="00A31137">
      <w:r w:rsidRPr="00A31137">
        <w:t>1994, Dolan v. City of Tigard, 512 U.S. 396</w:t>
      </w:r>
    </w:p>
    <w:p w:rsidR="00A31137" w:rsidRPr="00A31137" w:rsidRDefault="00A31137" w:rsidP="00A31137">
      <w:r w:rsidRPr="00A31137">
        <w:t>Pennsylvania Coal, 260 U.S. at  416.</w:t>
      </w:r>
    </w:p>
    <w:p w:rsidR="00A31137" w:rsidRPr="00A31137" w:rsidRDefault="00A31137" w:rsidP="00A31137">
      <w:r w:rsidRPr="00A31137">
        <w:t>1994, Dolan v. City of Tigard, 512 U.S. 396</w:t>
      </w:r>
    </w:p>
    <w:p w:rsidR="00A31137" w:rsidRPr="00A31137" w:rsidRDefault="00A31137" w:rsidP="00A31137">
      <w:r w:rsidRPr="00A31137">
        <w:t>The judgment of the Supreme Court of Oregon is reversed, and the case is remanded for further proceedings consistent with this opinion.</w:t>
      </w:r>
    </w:p>
    <w:p w:rsidR="00A31137" w:rsidRPr="00A31137" w:rsidRDefault="00A31137" w:rsidP="00A31137">
      <w:r w:rsidRPr="00A31137">
        <w:t>1994, Dolan v. City of Tigard, 512 U.S. 396</w:t>
      </w:r>
    </w:p>
    <w:p w:rsidR="00A31137" w:rsidRPr="00A31137" w:rsidRDefault="00A31137" w:rsidP="00A31137">
      <w:r w:rsidRPr="00A31137">
        <w:t>It is so ordered.</w:t>
      </w:r>
    </w:p>
    <w:p w:rsidR="00A31137" w:rsidRPr="00A31137" w:rsidRDefault="00A31137" w:rsidP="00A31137">
      <w:r w:rsidRPr="00A31137">
        <w:t>STEVENS, J., dissenting</w:t>
      </w:r>
    </w:p>
    <w:p w:rsidR="00A31137" w:rsidRPr="00A31137" w:rsidRDefault="00A31137" w:rsidP="00A31137">
      <w:r w:rsidRPr="00A31137">
        <w:t>1994, Dolan v. City of Tigard, 512 U.S. 396</w:t>
      </w:r>
    </w:p>
    <w:p w:rsidR="00A31137" w:rsidRPr="00A31137" w:rsidRDefault="00A31137" w:rsidP="00A31137">
      <w:r w:rsidRPr="00A31137">
        <w:t>JUSTICE STEVENS, with whom JUSTICE BLACKMUN and JUSTICE GINSBURG join, dissenting.</w:t>
      </w:r>
    </w:p>
    <w:p w:rsidR="00A31137" w:rsidRPr="00A31137" w:rsidRDefault="00A31137" w:rsidP="00A31137">
      <w:r w:rsidRPr="00A31137">
        <w:t>1994, Dolan v. City of Tigard, 512 U.S. 396</w:t>
      </w:r>
    </w:p>
    <w:p w:rsidR="00A31137" w:rsidRPr="00A31137" w:rsidRDefault="00A31137" w:rsidP="00A31137">
      <w:r w:rsidRPr="00A31137">
        <w:t>The record does not tell us the dollar value of petitioner Florence Dolan's interest in excluding the public from the greenway adjacent to her hardware business. The mountain of briefs that the case has generated nevertheless makes it obvious that the pecuniary value of her victory is far less important than the rule of law that this case has been used to establish. It is unquestionably an important case.</w:t>
      </w:r>
    </w:p>
    <w:p w:rsidR="00A31137" w:rsidRPr="00A31137" w:rsidRDefault="00A31137" w:rsidP="00A31137">
      <w:r w:rsidRPr="00A31137">
        <w:t>1994, Dolan v. City of Tigard, 512 U.S. 396</w:t>
      </w:r>
    </w:p>
    <w:p w:rsidR="00A31137" w:rsidRPr="00A31137" w:rsidRDefault="00A31137" w:rsidP="00A31137">
      <w:r w:rsidRPr="00A31137">
        <w:t>Certain propositions are not in dispute. The enlargement of the Tigard unit in Dolan's chain of hardware stores will have an adverse impact on the city's legitimate and substantial interests in controlling drainage in Fanno Creek and minimizing traffic congestion in Tigard's business district. That impact is sufficient to justify an outright denial of her application for approval of the expansion. The city has nevertheless [512 U.S. 397] agreed to grant Dolan's application if she will comply with two conditions, each of which admittedly will mitigate the adverse effects of her proposed development. The disputed question is whether the city has violated the Fourteenth Amendment to the Federal Constitution by refusing to allow Dolan's planned construction to proceed unless those conditions are met.</w:t>
      </w:r>
    </w:p>
    <w:p w:rsidR="00A31137" w:rsidRPr="00A31137" w:rsidRDefault="00A31137" w:rsidP="00A31137">
      <w:r w:rsidRPr="00A31137">
        <w:t>1994, Dolan v. City of Tigard, 512 U.S. 397</w:t>
      </w:r>
    </w:p>
    <w:p w:rsidR="00A31137" w:rsidRPr="00A31137" w:rsidRDefault="00A31137" w:rsidP="00A31137">
      <w:r w:rsidRPr="00A31137">
        <w:t>The Court is correct in concluding that the city may not attach arbitrary conditions to a building permit or to a variance even when it can rightfully deny the application outright. I also agree that state court decisions dealing with ordinances that govern municipal development plans provide useful guidance in a case of this kind. Yet the Court's description of the doctrinal underpinnings of its decision, the phrasing of its fledgling test of "rough proportionality," and the application of that test to this case run contrary to the traditional treatment of these cases and break considerable and unpropitious new ground.</w:t>
      </w:r>
    </w:p>
    <w:p w:rsidR="00A31137" w:rsidRPr="00A31137" w:rsidRDefault="00A31137" w:rsidP="00A31137">
      <w:r w:rsidRPr="00A31137">
        <w:t>I</w:t>
      </w:r>
    </w:p>
    <w:p w:rsidR="00A31137" w:rsidRPr="00A31137" w:rsidRDefault="00A31137" w:rsidP="00A31137">
      <w:r w:rsidRPr="00A31137">
        <w:t>1994, Dolan v. City of Tigard, 512 U.S. 397</w:t>
      </w:r>
    </w:p>
    <w:p w:rsidR="00A31137" w:rsidRPr="00A31137" w:rsidRDefault="00A31137" w:rsidP="00A31137">
      <w:r w:rsidRPr="00A31137">
        <w:t>Candidly acknowledging the lack of federal precedent for its exercise in rulemaking, the Court purports to find guidance in 12 "representative" state court decisions. To do so is certainly appropriate. 1 The state cases the Court consults, however, either fail to support or decidedly undermine the Court's conclusions in key respects.</w:t>
      </w:r>
    </w:p>
    <w:p w:rsidR="00A31137" w:rsidRPr="00A31137" w:rsidRDefault="00A31137" w:rsidP="00A31137">
      <w:r w:rsidRPr="00A31137">
        <w:t>1994, Dolan v. City of Tigard, 512 U.S. 397</w:t>
      </w:r>
    </w:p>
    <w:p w:rsidR="00A31137" w:rsidRPr="00A31137" w:rsidRDefault="00A31137" w:rsidP="00A31137">
      <w:r w:rsidRPr="00A31137">
        <w:t>First, although discussion of the state cases permeates the Court's analysis of the appropriate test to apply in this case, the test on which the Court settles is not naturally derived from those courts' decisions. The Court recognizes, as an initial matter, that the city's conditions satisfy the "essential nexus" requirement announced in Nollan v. California Coastal Comm'n, 483 U.S. 825 (1987), because they serve the legitimate interests in minimizing floods and traffic congestions. [512 U.S. 398] Ante at 387-388. 2 The Court goes on, however, to erect a new constitutional hurdle in the path of these conditions. In addition to showing a rational nexus to a public purpose that would justify an outright denial of the permit, the city must also demonstrate "rough proportionality" between the harm caused by the new land use and the benefit obtained by the condition. Ante at  391. The Court also decides for the first time that the city has the burden of establishing the constitutionality of its conditions by making an "individualized determination" that the condition in question satisfies the proportionality requirement. See anteibid.</w:t>
      </w:r>
    </w:p>
    <w:p w:rsidR="00A31137" w:rsidRPr="00A31137" w:rsidRDefault="00A31137" w:rsidP="00A31137">
      <w:r w:rsidRPr="00A31137">
        <w:t>1994, Dolan v. City of Tigard, 512 U.S. 398</w:t>
      </w:r>
    </w:p>
    <w:p w:rsidR="00A31137" w:rsidRPr="00A31137" w:rsidRDefault="00A31137" w:rsidP="00A31137">
      <w:r w:rsidRPr="00A31137">
        <w:t>Not one of the state cases cited by the Court announces anything akin to a "rough proportionality" requirement. For the most part, moreover, those cases that invalidated municipal ordinances did so on state law or unspecified grounds roughly equivalent to Nollan's "essential nexus" requirement. See, e.g., Simpson v. North Platte, 206 Neb. 240, 245-248, 292 N.W.2d 297, 301-302 (1980) (ordinance lacking "reasonable relationship" or "rational nexus" to property's use violated Nebraska constitution); J. E. D. Associates, Inc. v. Town of Atkinson, 121 N.H. 581, 583-585, 432 A.2d 12, 14-15 (1981) (state constitutional grounds). One case purporting [512 U.S. 399] to apply the strict "specifically and uniquely attributable" test established by Pioneer Trust &amp; Savings Bank v. Mount Prospect, 22 Ill.2d 375, 176 N.E.2d 799 (1961), nevertheless found that test was satisfied because the legislature had decided that the subdivision at issue created the need for a park or parks. Billings Properties, Inc. v. Yellowstone County, 144 Mont. 25, 33-36, 394 P.2d 182, 187-188 (1964). In only one of the seven cases upholding a land use regulation did the losing property owner petition this Court for certiorari. See Jordan v. Village of Menomonee Falls, 28 Wis.2d 608, 137 N.W.2d 442 (1965), appeal dism'd, 385 U.S. 4 (1966) (want of substantial federal question). Although 4 of the 12 opinions mention the Federal Constitution—two of those only in passing—it is quite obvious that neither the courts nor the litigants imagined they might be participating in the development of a new rule of federal law. Thus, although these state cases do lend support to the Court's reaffirmance of Nollan's reasonable nexus requirement, the role the Court accords them in the announcement of its newly minted second phase of the constitutional inquiry is remarkably inventive.</w:t>
      </w:r>
    </w:p>
    <w:p w:rsidR="00A31137" w:rsidRPr="00A31137" w:rsidRDefault="00A31137" w:rsidP="00A31137">
      <w:r w:rsidRPr="00A31137">
        <w:t>1994, Dolan v. City of Tigard, 512 U.S. 399</w:t>
      </w:r>
    </w:p>
    <w:p w:rsidR="00A31137" w:rsidRPr="00A31137" w:rsidRDefault="00A31137" w:rsidP="00A31137">
      <w:r w:rsidRPr="00A31137">
        <w:t>In addition, the Court ignores the state courts' willingness to consider what the property owner gains from the exchange in question. The Supreme Court of Wisconsin, for example, found it significant that the village's approval of a proposed subdivision plat</w:t>
      </w:r>
    </w:p>
    <w:p w:rsidR="00A31137" w:rsidRPr="00A31137" w:rsidRDefault="00A31137" w:rsidP="00A31137">
      <w:r w:rsidRPr="00A31137">
        <w:t>1994, Dolan v. City of Tigard, 512 U.S. 399</w:t>
      </w:r>
    </w:p>
    <w:p w:rsidR="00A31137" w:rsidRPr="00A31137" w:rsidRDefault="00A31137" w:rsidP="00A31137">
      <w:r w:rsidRPr="00A31137">
        <w:t>enables the subdivider to profit financially by selling the subdivision lots as home-building sites, and thus realizing a greater price than could have been obtained if he had sold his property as unplatted lands.</w:t>
      </w:r>
    </w:p>
    <w:p w:rsidR="00A31137" w:rsidRPr="00A31137" w:rsidRDefault="00A31137" w:rsidP="00A31137">
      <w:r w:rsidRPr="00A31137">
        <w:t>1994, Dolan v. City of Tigard, 512 U.S. 399</w:t>
      </w:r>
    </w:p>
    <w:p w:rsidR="00A31137" w:rsidRPr="00A31137" w:rsidRDefault="00A31137" w:rsidP="00A31137">
      <w:r w:rsidRPr="00A31137">
        <w:t>Jordan v. Village of Menomonee Falls, 28 Wis.2d 608, 619-620; 137 N.W.2d 442, 448 (1965). The required dedication as a condition of that approval was permissible "[i]n return for this benefit." Ibid. See also Collis v. Bloomington, 310 Minn. 5, 11-13, 246 N.W.2d 19, 23-24 (1976) (citing Jordan); College Station v. Turtle Rock Corp., 680 S.W.2d 802, 806 (Tex. 1984) (dedication requirement only triggered when developer chooses [512 U.S. 400] to develop land). In this case, moreover, Dolan's acceptance of the permit, with its attached conditions, would provide her with benefits that may well go beyond any advantage she gets from expanding her business. As the United States pointed out at oral argument, the improvement that the city's drainage plan contemplates would widen the channel and reinforce the slopes to increase the carrying capacity during serious floods, "confer[ring] considerable benefits on the property owners immediately adjacent to the creek." Tr. of Oral Arg. 41-42.</w:t>
      </w:r>
    </w:p>
    <w:p w:rsidR="00A31137" w:rsidRPr="00A31137" w:rsidRDefault="00A31137" w:rsidP="00A31137">
      <w:r w:rsidRPr="00A31137">
        <w:t>1994, Dolan v. City of Tigard, 512 U.S. 400</w:t>
      </w:r>
    </w:p>
    <w:p w:rsidR="00A31137" w:rsidRPr="00A31137" w:rsidRDefault="00A31137" w:rsidP="00A31137">
      <w:r w:rsidRPr="00A31137">
        <w:t>The state court decisions also are enlightening in the extent to which they required that the entire parcel be given controlling importance. All but one of the cases involve challenges to provisions in municipal ordinances requiring developers to dedicate either a percentage of the entire parcel (usually 7 or 10 percent of the platted subdivision) or an equivalent value in cash (usually a certain dollar amount per lot) to help finance the construction of roads, utilities, schools, parks and playgrounds. In assessing the legality of the conditions, the courts gave no indication that the transfer of an interest in realty was any more objectionable than a cash payment. See, e.g., Jenad, Inc. v. Scarsdale, 18 N.Y.2d 78, 218 N.E.2d 673 (1966); Jordan, supra; Collis, supra. None of the decisions identified the surrender of the fee owner's "power to exclude" as having any special significance. Instead, the courts uniformly examined the character of the entire economic transaction.</w:t>
      </w:r>
    </w:p>
    <w:p w:rsidR="00A31137" w:rsidRPr="00A31137" w:rsidRDefault="00A31137" w:rsidP="00A31137">
      <w:r w:rsidRPr="00A31137">
        <w:t>II</w:t>
      </w:r>
    </w:p>
    <w:p w:rsidR="00A31137" w:rsidRPr="00A31137" w:rsidRDefault="00A31137" w:rsidP="00A31137">
      <w:r w:rsidRPr="00A31137">
        <w:t>1994, Dolan v. City of Tigard, 512 U.S. 400</w:t>
      </w:r>
    </w:p>
    <w:p w:rsidR="00A31137" w:rsidRPr="00A31137" w:rsidRDefault="00A31137" w:rsidP="00A31137">
      <w:r w:rsidRPr="00A31137">
        <w:t>It is not merely state cases, but our own cases as well, that require the analysis to focus on the impact of the city's action on the entire parcel of private property. In Penn Central Transportation Co. v. New York City, 438 U.S. 104 (1978), we stated that takings jurisprudence</w:t>
      </w:r>
    </w:p>
    <w:p w:rsidR="00A31137" w:rsidRPr="00A31137" w:rsidRDefault="00A31137" w:rsidP="00A31137">
      <w:r w:rsidRPr="00A31137">
        <w:t>1994, Dolan v. City of Tigard, 512 U.S. 400</w:t>
      </w:r>
    </w:p>
    <w:p w:rsidR="00A31137" w:rsidRPr="00A31137" w:rsidRDefault="00A31137" w:rsidP="00A31137">
      <w:r w:rsidRPr="00A31137">
        <w:t>does not divide a single parcel [512 U.S. 401] into discrete segments and attempt to determine whether rights in a particular segment have been entirely abrogated.</w:t>
      </w:r>
    </w:p>
    <w:p w:rsidR="00A31137" w:rsidRPr="00A31137" w:rsidRDefault="00A31137" w:rsidP="00A31137">
      <w:r w:rsidRPr="00A31137">
        <w:t>1994, Dolan v. City of Tigard, 512 U.S. 401</w:t>
      </w:r>
    </w:p>
    <w:p w:rsidR="00A31137" w:rsidRPr="00A31137" w:rsidRDefault="00A31137" w:rsidP="00A31137">
      <w:r w:rsidRPr="00A31137">
        <w:t>Id. at 130-131. Instead, this Court focuses "both on the character of the action and on the nature and extent of the interference with rights in the parcel as a whole." Ibid. Andrus v. Allard, 444 U.S. 51 (1979), reaffirmed the nondivisibility principle outlined in Penn Central, stating that,</w:t>
      </w:r>
    </w:p>
    <w:p w:rsidR="00A31137" w:rsidRPr="00A31137" w:rsidRDefault="00A31137" w:rsidP="00A31137">
      <w:r w:rsidRPr="00A31137">
        <w:t>1994, Dolan v. City of Tigard, 512 U.S. 401</w:t>
      </w:r>
    </w:p>
    <w:p w:rsidR="00A31137" w:rsidRPr="00A31137" w:rsidRDefault="00A31137" w:rsidP="00A31137">
      <w:r w:rsidRPr="00A31137">
        <w:t>[a]t least where an owner possesses a full "bundle" of property rights, the destruction of one "strand" of the bundle is not a taking, because the aggregate must be viewed in its entirety.</w:t>
      </w:r>
    </w:p>
    <w:p w:rsidR="00A31137" w:rsidRPr="00A31137" w:rsidRDefault="00A31137" w:rsidP="00A31137">
      <w:r w:rsidRPr="00A31137">
        <w:t>1994, Dolan v. City of Tigard, 512 U.S. 401</w:t>
      </w:r>
    </w:p>
    <w:p w:rsidR="00A31137" w:rsidRPr="00A31137" w:rsidRDefault="00A31137" w:rsidP="00A31137">
      <w:r w:rsidRPr="00A31137">
        <w:t>Id. at 65-66. 3 As recently as last Term, we approved the principle again. See Concrete Pipe &amp; Products, Inc. v. Construction Laborers Pension Trust, 508 U.S. 602, 644 (1993) (explaining that "a claimant's parcel of property [cannot] first be divided into what was taken and what was left" to demonstrate a compensable taking). Although limitation of the right to exclude others undoubtedly constitutes a significant infringement upon property ownership, Kaiser Aetna v. United States, 444 U.S. 164, 179-180 (1979), restrictions on that right do not alone constitute a taking, and do not do so in any event unless they "unreasonably impair the value or use" of the property. Pruneyard Shopping Center v. Robbins, 447 U.S. 74, 82-84 (1980).</w:t>
      </w:r>
    </w:p>
    <w:p w:rsidR="00A31137" w:rsidRPr="00A31137" w:rsidRDefault="00A31137" w:rsidP="00A31137">
      <w:r w:rsidRPr="00A31137">
        <w:t>1994, Dolan v. City of Tigard, 512 U.S. 401</w:t>
      </w:r>
    </w:p>
    <w:p w:rsidR="00A31137" w:rsidRPr="00A31137" w:rsidRDefault="00A31137" w:rsidP="00A31137">
      <w:r w:rsidRPr="00A31137">
        <w:t>The Court's narrow focus on one strand in the property owner's bundle of rights is particularly misguided in a case involving the development of commercial property. As Professor Johnston has noted:</w:t>
      </w:r>
    </w:p>
    <w:p w:rsidR="00A31137" w:rsidRPr="00A31137" w:rsidRDefault="00A31137" w:rsidP="00A31137">
      <w:r w:rsidRPr="00A31137">
        <w:t>1994, Dolan v. City of Tigard, 512 U.S. 401</w:t>
      </w:r>
    </w:p>
    <w:p w:rsidR="00A31137" w:rsidRPr="00A31137" w:rsidRDefault="00A31137" w:rsidP="00A31137">
      <w:r w:rsidRPr="00A31137">
        <w:t>The subdivider is a manufacturer, processer, and marketer of a product; land is but one of his raw materials. In subdivision control disputes, the developer is [512 U.S. 402] not defending hearth and home against the king's intrusion, but simply attempting to maximize his profits from the sale of a finished product. As applied to him, subdivision control exactions are actually business regulations.</w:t>
      </w:r>
    </w:p>
    <w:p w:rsidR="00A31137" w:rsidRPr="00A31137" w:rsidRDefault="00A31137" w:rsidP="00A31137">
      <w:r w:rsidRPr="00A31137">
        <w:t>1994, Dolan v. City of Tigard, 512 U.S. 402</w:t>
      </w:r>
    </w:p>
    <w:p w:rsidR="00A31137" w:rsidRPr="00A31137" w:rsidRDefault="00A31137" w:rsidP="00A31137">
      <w:r w:rsidRPr="00A31137">
        <w:t>Johnston, Constitutionality of Subdivision Control Exactions: The Quest for A Rationale, 52 Cornell L.Q. 871, 923 (1967). 4 The exactions associated with the development of a retail business are likewise a species of business regulation that heretofore warranted a strong presumption of constitutional validity.</w:t>
      </w:r>
    </w:p>
    <w:p w:rsidR="00A31137" w:rsidRPr="00A31137" w:rsidRDefault="00A31137" w:rsidP="00A31137">
      <w:r w:rsidRPr="00A31137">
        <w:t>1994, Dolan v. City of Tigard, 512 U.S. 402</w:t>
      </w:r>
    </w:p>
    <w:p w:rsidR="00A31137" w:rsidRPr="00A31137" w:rsidRDefault="00A31137" w:rsidP="00A31137">
      <w:r w:rsidRPr="00A31137">
        <w:t>In Johnston's view,</w:t>
      </w:r>
    </w:p>
    <w:p w:rsidR="00A31137" w:rsidRPr="00A31137" w:rsidRDefault="00A31137" w:rsidP="00A31137">
      <w:r w:rsidRPr="00A31137">
        <w:t>1994, Dolan v. City of Tigard, 512 U.S. 402</w:t>
      </w:r>
    </w:p>
    <w:p w:rsidR="00A31137" w:rsidRPr="00A31137" w:rsidRDefault="00A31137" w:rsidP="00A31137">
      <w:r w:rsidRPr="00A31137">
        <w:t>if the municipality can demonstrate that its assessment of financial burdens against subdividers is rational, impartial, and conducive to fulfillment of authorized planning objectives, its action need be invalidated only in those extreme and presumably rare cases where the burden of compliance is sufficiently great to deter the owner from proceeding with his planned development.</w:t>
      </w:r>
    </w:p>
    <w:p w:rsidR="00A31137" w:rsidRPr="00A31137" w:rsidRDefault="00A31137" w:rsidP="00A31137">
      <w:r w:rsidRPr="00A31137">
        <w:t>1994, Dolan v. City of Tigard, 512 U.S. 402</w:t>
      </w:r>
    </w:p>
    <w:p w:rsidR="00A31137" w:rsidRPr="00A31137" w:rsidRDefault="00A31137" w:rsidP="00A31137">
      <w:r w:rsidRPr="00A31137">
        <w:t>Id. at 917. The city of Tigard has demonstrated that its plan is rational and impartial and that the conditions at issue are "conducive to fulfillment of authorized planning objectives." Dolan, on the other hand, has offered no evidence that her burden of compliance has any impact at all on the value or profitability of her planned development. Following the teaching of the cases on which it purports to rely, the Court should not isolate the burden associated with the loss of the power to exclude [512 U.S. 403] from an evaluation of the benefit to be derived from the permit to enlarge the store and the parking lot.</w:t>
      </w:r>
    </w:p>
    <w:p w:rsidR="00A31137" w:rsidRPr="00A31137" w:rsidRDefault="00A31137" w:rsidP="00A31137">
      <w:r w:rsidRPr="00A31137">
        <w:t>1994, Dolan v. City of Tigard, 512 U.S. 403</w:t>
      </w:r>
    </w:p>
    <w:p w:rsidR="00A31137" w:rsidRPr="00A31137" w:rsidRDefault="00A31137" w:rsidP="00A31137">
      <w:r w:rsidRPr="00A31137">
        <w:t>The Court's assurances that its "rough proportionality" test leaves ample room for cities to pursue the "commendable task of land use planning," ante at  396—even twice avowing that "[n]o precise mathematical calculation is required," ante at  391,  395—are wanting given the result that test compels here. Under the Court's approach, a city must not only "quantify its findings," ante at  395, and make "individualized determination[s]" with respect to the nature and the extent of the relationship between the conditions and the impact, ante at  391,  393, but also demonstrate "proportionality." The correct inquiry should instead concentrate on whether the required nexus is present and venture beyond considerations of a condition's nature or germaneness only if the developer establishes that a concededly germane condition is so grossly disproportionate to the proposed development's adverse effects that it manifests motives other than land use regulation on the part of the city. 5 The heightened requirement the Court imposes on cities is even more unjustified when all the tools needed to resolve the questions presented by this case can be garnered from our existing case law.</w:t>
      </w:r>
    </w:p>
    <w:p w:rsidR="00A31137" w:rsidRPr="00A31137" w:rsidRDefault="00A31137" w:rsidP="00A31137">
      <w:r w:rsidRPr="00A31137">
        <w:t>III</w:t>
      </w:r>
    </w:p>
    <w:p w:rsidR="00A31137" w:rsidRPr="00A31137" w:rsidRDefault="00A31137" w:rsidP="00A31137">
      <w:r w:rsidRPr="00A31137">
        <w:t>1994, Dolan v. City of Tigard, 512 U.S. 403</w:t>
      </w:r>
    </w:p>
    <w:p w:rsidR="00A31137" w:rsidRPr="00A31137" w:rsidRDefault="00A31137" w:rsidP="00A31137">
      <w:r w:rsidRPr="00A31137">
        <w:t>Applying its new standard, the Court finds two defects in the city's case. First, while the record would adequately support a requirement that Dolan maintain the portion of the floodplain on her property as undeveloped open space, it does not support the additional requirement that the floodplain be dedicated to the city. Ante at 392-395. Second, [512 U.S. 404] while the city adequately established the traffic increase that the proposed development would generate, it failed to quantify the offsetting decrease in automobile traffic that the bike path will produce. Ante at 395-396. Even under the Court's new rule, both defects are at most, nothing more than harmless error.</w:t>
      </w:r>
    </w:p>
    <w:p w:rsidR="00A31137" w:rsidRPr="00A31137" w:rsidRDefault="00A31137" w:rsidP="00A31137">
      <w:r w:rsidRPr="00A31137">
        <w:t>1994, Dolan v. City of Tigard, 512 U.S. 404</w:t>
      </w:r>
    </w:p>
    <w:p w:rsidR="00A31137" w:rsidRPr="00A31137" w:rsidRDefault="00A31137" w:rsidP="00A31137">
      <w:r w:rsidRPr="00A31137">
        <w:t>In her objections to the floodplain condition, Dolan made no effort to demonstrate that the dedication of that portion of her property would be any more onerous than a simple prohibition against any development on that portion of her property. Given the commercial character of both the existing and the proposed use of the property as a retail store, it seems likely that potential customers "trampling along petitioner's floodplain," ante at  393, are more valuable than a useless parcel of vacant land. Moreover, the duty to pay taxes and the responsibility for potential tort liability may well make ownership of the fee interest in useless land a liability, rather than an asset. That may explain why Dolan never conceded that she could be prevented from building on the floodplain. The City Attorney also pointed out that absent a dedication, property owners would be required to "build on their own land," and, "with their own money," a storage facility for the water runoff. Tr. of Oral Arg. 30-31. Dolan apparently "did have that option," but chose not to seek it. Id. at 31. If Dolan might have been entitled to a variance confining the city's condition in a manner this Court would accept, her failure to seek that narrower form of relief at any stage of the state administrative and judicial proceedings clearly should preclude that relief in this Court now.</w:t>
      </w:r>
    </w:p>
    <w:p w:rsidR="00A31137" w:rsidRPr="00A31137" w:rsidRDefault="00A31137" w:rsidP="00A31137">
      <w:r w:rsidRPr="00A31137">
        <w:t>1994, Dolan v. City of Tigard, 512 U.S. 404</w:t>
      </w:r>
    </w:p>
    <w:p w:rsidR="00A31137" w:rsidRPr="00A31137" w:rsidRDefault="00A31137" w:rsidP="00A31137">
      <w:r w:rsidRPr="00A31137">
        <w:t>The Court's rejection of the bike path condition amounts to nothing more than a play on words. Everyone agrees that the bike path "could" offset some of the increased traffic flow that the larger store will generate, but the findings do not unequivocally state that it will do so, or tell us just how many cyclists will replace motorists. Predictions on such matters are inherently nothing more than estimates. Certainly [512 U.S. 405] the assumption that there will be an offsetting benefit here is entirely reasonable and should suffice whether it amounts to 100 percent, 35 percent, or only 5 percent of the increase in automobile traffic that would otherwise occur. If the Court proposes to have the federal judiciary micro-manage state decisions of this kind, it is indeed extending its welcome mat to a significant new class of litigants. Although there is no reason to believe that state courts have failed to rise to the task, property owners have surely found a new friend today.</w:t>
      </w:r>
    </w:p>
    <w:p w:rsidR="00A31137" w:rsidRPr="00A31137" w:rsidRDefault="00A31137" w:rsidP="00A31137">
      <w:r w:rsidRPr="00A31137">
        <w:t>IV</w:t>
      </w:r>
    </w:p>
    <w:p w:rsidR="00A31137" w:rsidRPr="00A31137" w:rsidRDefault="00A31137" w:rsidP="00A31137">
      <w:r w:rsidRPr="00A31137">
        <w:t>1994, Dolan v. City of Tigard, 512 U.S. 405</w:t>
      </w:r>
    </w:p>
    <w:p w:rsidR="00A31137" w:rsidRPr="00A31137" w:rsidRDefault="00A31137" w:rsidP="00A31137">
      <w:r w:rsidRPr="00A31137">
        <w:t>The Court has made a serious error by abandoning the traditional presumption of constitutionality and imposing a novel burden of proof on a city implementing an admittedly valid comprehensive land use plan. Even more consequential than its incorrect disposition of this case, however, is the Court's resurrection of a species of substantive due process analysis that it firmly rejected decades ago. 6</w:t>
      </w:r>
    </w:p>
    <w:p w:rsidR="00A31137" w:rsidRPr="00A31137" w:rsidRDefault="00A31137" w:rsidP="00A31137">
      <w:r w:rsidRPr="00A31137">
        <w:t>1994, Dolan v. City of Tigard, 512 U.S. 405</w:t>
      </w:r>
    </w:p>
    <w:p w:rsidR="00A31137" w:rsidRPr="00A31137" w:rsidRDefault="00A31137" w:rsidP="00A31137">
      <w:r w:rsidRPr="00A31137">
        <w:t>The Court begins its constitutional analysis by citing Chicago, B. &amp; Q. R. Co. v. Chicago, 166 U.S. 226,  239 (1897), for the proposition that the Takings Clause of the Fifth Amendment is "applicable to the States through the Fourteenth Amendment." Ante at  383. That opinion, however, contains no mention of either the Takings Clause or the Fifth Amendment; 7 it held that the protection afforded by the Due Process Clause of the Fourteenth Amendment extends to matters of substance, as well as procedure, 8 and that the substance [512 U.S. 406] of</w:t>
      </w:r>
    </w:p>
    <w:p w:rsidR="00A31137" w:rsidRPr="00A31137" w:rsidRDefault="00A31137" w:rsidP="00A31137">
      <w:r w:rsidRPr="00A31137">
        <w:t>1994, Dolan v. City of Tigard, 512 U.S. 406</w:t>
      </w:r>
    </w:p>
    <w:p w:rsidR="00A31137" w:rsidRPr="00A31137" w:rsidRDefault="00A31137" w:rsidP="00A31137">
      <w:r w:rsidRPr="00A31137">
        <w:t>the due process of law enjoined by the Fourteenth Amendment requires compensation to be made or adequately secured to the owner of private property taken for public use under the authority of a State.</w:t>
      </w:r>
    </w:p>
    <w:p w:rsidR="00A31137" w:rsidRPr="00A31137" w:rsidRDefault="00A31137" w:rsidP="00A31137">
      <w:r w:rsidRPr="00A31137">
        <w:t>1994, Dolan v. City of Tigard, 512 U.S. 406</w:t>
      </w:r>
    </w:p>
    <w:p w:rsidR="00A31137" w:rsidRPr="00A31137" w:rsidRDefault="00A31137" w:rsidP="00A31137">
      <w:r w:rsidRPr="00A31137">
        <w:t>Chicago, B. &amp; Q. R. Co., 166 U.S. at  235, 236-241. It applied the same kind of substantive due process analysis more frequently identified with a better known case that accorded similar substantive protection to a baker's liberty interest in working 60 hours a week and 10 hours a day. See Lochner v. New York, 198 U.S. 45 (1905). 9</w:t>
      </w:r>
    </w:p>
    <w:p w:rsidR="00A31137" w:rsidRPr="00A31137" w:rsidRDefault="00A31137" w:rsidP="00A31137">
      <w:r w:rsidRPr="00A31137">
        <w:t>1994, Dolan v. City of Tigard, 512 U.S. 406</w:t>
      </w:r>
    </w:p>
    <w:p w:rsidR="00A31137" w:rsidRPr="00A31137" w:rsidRDefault="00A31137" w:rsidP="00A31137">
      <w:r w:rsidRPr="00A31137">
        <w:t>Later cases have interpreted the Fourteenth Amendment's substantive protection against uncompensated deprivations of private property by the States as though it incorporated the text of the Fifth Amendment's Takings Clause. See, e.g., Keystone Bituminous Coal Assn. v. DeBenedictis, 480 U.S. 470,  481, n. 10 (1987). There was nothing problematic about that interpretation in cases enforcing the Fourteenth Amendment against state action that involved the actual physical invasion of private property. See Loretto v. Teleprompter Manhattan CATV Corp., 458 U.S. 419, 427-433 (1982); Kaiser Aetna v. United States, 444 U.S. 164, 178-180 (1979). Justice Holmes charted a significant new course, however, when he opined that a state law making it "commercially impracticable to mine certain coal" had "very nearly the same effect for constitutional purposes as appropriating or destroying it." Pennsylvania Coal Co. v. Mahon, 260 U.S. 393,  414 (1922). The so-called "regulatory [512 U.S. 407] takings" doctrine that the Holmes dictum 10 kindled has an obvious kinship with the line of substantive due process cases that Lochner exemplified. Besides having similar ancestry, both doctrines are potentially open-ended sources of judicial power to invalidate state economic regulations that Members of this Court view as unwise or unfair.</w:t>
      </w:r>
    </w:p>
    <w:p w:rsidR="00A31137" w:rsidRPr="00A31137" w:rsidRDefault="00A31137" w:rsidP="00A31137">
      <w:r w:rsidRPr="00A31137">
        <w:t>1994, Dolan v. City of Tigard, 512 U.S. 407</w:t>
      </w:r>
    </w:p>
    <w:p w:rsidR="00A31137" w:rsidRPr="00A31137" w:rsidRDefault="00A31137" w:rsidP="00A31137">
      <w:r w:rsidRPr="00A31137">
        <w:t xml:space="preserve">This case inaugurates an even more recent judicial innovation than the regulatory takings doctrine: the application of the "unconstitutional conditions" label to a mutually beneficial transaction between a property owner and a city. The Court tells us that the city's refusal to grant Dolan a discretionary benefit infringes her right to receive just compensation for the property interests that she has refused to dedicate to the city "where the property sought has little or no relationship to the benefit." 11 Although it is well settled that a government cannot deny a benefit on a basis that infringes constitutionally protected interests—"especially [one's] interest in freedom of speech," Perry v. Sindermann, 408 U.S. 593,  597 (1972)—the "unconstitutional conditions" doctrine provides an inadequate framework in which to analyze this case. 12 [512 U.S. 408] </w:t>
      </w:r>
    </w:p>
    <w:p w:rsidR="00A31137" w:rsidRPr="00A31137" w:rsidRDefault="00A31137" w:rsidP="00A31137">
      <w:r w:rsidRPr="00A31137">
        <w:t>1994, Dolan v. City of Tigard, 512 U.S. 408</w:t>
      </w:r>
    </w:p>
    <w:p w:rsidR="00A31137" w:rsidRPr="00A31137" w:rsidRDefault="00A31137" w:rsidP="00A31137">
      <w:r w:rsidRPr="00A31137">
        <w:t>Dolan has no right to be compensated for a taking unless the city acquires the property interests that she has refused to surrender. Since no taking has yet occurred, there has not been any infringement of her constitutional right to compensation. See Preseault v. ICC, 494 U.S. 1, 11-17 (1990) (finding takings claim premature because property owner had not yet sought compensation under Tucker Act); Hodel v. Virginia Surface Mining &amp; Reclamation Assn., Inc., 452 U.S. 264, 294-295 (1981) (no taking where no one "identified any property…that has allegedly been taken").</w:t>
      </w:r>
    </w:p>
    <w:p w:rsidR="00A31137" w:rsidRPr="00A31137" w:rsidRDefault="00A31137" w:rsidP="00A31137">
      <w:r w:rsidRPr="00A31137">
        <w:t>1994, Dolan v. City of Tigard, 512 U.S. 408</w:t>
      </w:r>
    </w:p>
    <w:p w:rsidR="00A31137" w:rsidRPr="00A31137" w:rsidRDefault="00A31137" w:rsidP="00A31137">
      <w:r w:rsidRPr="00A31137">
        <w:t>Even if Dolan should accept the city's conditions in exchange for the benefit that she seeks, it would not necessarily follow that she had been denied "just compensation," since it would be appropriate to consider the receipt of that benefit in any calculation of "just compensation." See Pennsylvania Coal Co. v. Mahon, 260 U.S. 393,  415 (1922) (noting that an "average reciprocity of advantage" was deemed to justify many laws); Hodel v. Irving, 481 U.S. 704,  715 (1987) (such "'reciprocity of advantage'" weighed in favor of a statute's constitutionality). [512 U.S. 409] Particularly in the absence of any evidence on the point, we should not presume that the discretionary benefit the city has offered is less valuable than the property interests that Dolan can retain or surrender at her option. But even if that discretionary benefit were so trifling that it could not be considered just compensation when it has "little or no relationship" to the property, the Court fails to explain why the same value would suffice when the required nexus is present. In this respect, the Court's reliance on the "unconstitutional conditions" doctrine is assuredly novel, and arguably incoherent. The city's conditions are by no means immune from constitutional scrutiny. The level of scrutiny, however, does not approximate the kind of review that would apply if the city had insisted on a surrender of Dolan's First Amendment rights in exchange for a building permit. One can only hope that the Court's reliance today on First Amendment cases, see ante at 385 (citing Perry v. Sindermann, supra, and Pickering v. Board of Ed. of Township High School Dist., 391 U.S. 563, 568 (1968)), and its candid disavowal of the term "rational basis" to describe its new standard of review, see ante at  391, do not signify a reassertion of the kind of superlegislative power the Court exercised during the Lochner era.</w:t>
      </w:r>
    </w:p>
    <w:p w:rsidR="00A31137" w:rsidRPr="00A31137" w:rsidRDefault="00A31137" w:rsidP="00A31137">
      <w:r w:rsidRPr="00A31137">
        <w:t>1994, Dolan v. City of Tigard, 512 U.S. 409</w:t>
      </w:r>
    </w:p>
    <w:p w:rsidR="00A31137" w:rsidRPr="00A31137" w:rsidRDefault="00A31137" w:rsidP="00A31137">
      <w:r w:rsidRPr="00A31137">
        <w:t>The Court has decided to apply its heightened scrutiny to a single strand—the power to exclude—in the bundle of rights that enables a commercial enterprise to flourish in an urban environment. That intangible interest is undoubtedly worthy of constitutional protection—much like the grandmother's interest in deciding which of her relatives may share her home in Moore v. East Cleveland, 431 U.S. 494 (1977). Both interests are protected from arbitrary state action by the Due Process Clause of the Fourteenth Amendment. It is, however, a curious irony that Members of the majority in this case would impose an almost insurmountable burden of proof on the property owner in the Moore case [512 U.S. 410] while saddling the city with a heightened burden in this case. 13</w:t>
      </w:r>
    </w:p>
    <w:p w:rsidR="00A31137" w:rsidRPr="00A31137" w:rsidRDefault="00A31137" w:rsidP="00A31137">
      <w:r w:rsidRPr="00A31137">
        <w:t>1994, Dolan v. City of Tigard, 512 U.S. 410</w:t>
      </w:r>
    </w:p>
    <w:p w:rsidR="00A31137" w:rsidRPr="00A31137" w:rsidRDefault="00A31137" w:rsidP="00A31137">
      <w:r w:rsidRPr="00A31137">
        <w:t>In its application of what is essentially the doctrine of substantive due process, the Court confuses the past with the present. On November 13, 1922, the village of Euclid, Ohio, adopted a zoning ordinance that effectively confiscated 75 percent of the value of property owned by the Ambler Realty Company. Despite its recognition that such an ordinance "would have been rejected as arbitrary and oppressive" at an earlier date, the Court (over the dissent of Justices Van Devanter, McReynolds and Butler) upheld the ordinance. Today's majority should heed the words of Justice Sutherland:</w:t>
      </w:r>
    </w:p>
    <w:p w:rsidR="00A31137" w:rsidRPr="00A31137" w:rsidRDefault="00A31137" w:rsidP="00A31137">
      <w:r w:rsidRPr="00A31137">
        <w:t>1994, Dolan v. City of Tigard, 512 U.S. 410</w:t>
      </w:r>
    </w:p>
    <w:p w:rsidR="00A31137" w:rsidRPr="00A31137" w:rsidRDefault="00A31137" w:rsidP="00A31137">
      <w:r w:rsidRPr="00A31137">
        <w:t>Such regulations are sustained, under the complex conditions of our day, for reasons analogous to those which justify traffic regulations, which, before the advent of automobiles and rapid transit street railways, would have been condemned as fatally arbitrary and unreasonable. And in this there is no inconsistency, for while the meaning of constitutional guaranties never varies, the scope of their application must expand or contract [512 U.S. 411] to meet the new and different conditions which are constantly coming within the field of their operation. In a changing world, it is impossible that it should be otherwise.</w:t>
      </w:r>
    </w:p>
    <w:p w:rsidR="00A31137" w:rsidRPr="00A31137" w:rsidRDefault="00A31137" w:rsidP="00A31137">
      <w:r w:rsidRPr="00A31137">
        <w:t>1994, Dolan v. City of Tigard, 512 U.S. 411</w:t>
      </w:r>
    </w:p>
    <w:p w:rsidR="00A31137" w:rsidRPr="00A31137" w:rsidRDefault="00A31137" w:rsidP="00A31137">
      <w:r w:rsidRPr="00A31137">
        <w:t>Euclid v. Ambler Co., 272 U.S. 365,  387 (1926).</w:t>
      </w:r>
    </w:p>
    <w:p w:rsidR="00A31137" w:rsidRPr="00A31137" w:rsidRDefault="00A31137" w:rsidP="00A31137">
      <w:r w:rsidRPr="00A31137">
        <w:t>1994, Dolan v. City of Tigard, 512 U.S. 411</w:t>
      </w:r>
    </w:p>
    <w:p w:rsidR="00A31137" w:rsidRPr="00A31137" w:rsidRDefault="00A31137" w:rsidP="00A31137">
      <w:r w:rsidRPr="00A31137">
        <w:t>In our changing world one thing is certain: uncertainty will characterize predictions about the impact of new urban developments on the risks of floods, earthquakes, traffic congestion, or environmental harms. When there is doubt concerning the magnitude of those impacts, the public interest in averting them must outweigh the private interest of the commercial entrepreneur. If the government can demonstrate that the conditions it has imposed in a land use permit are rational, impartial and conducive to fulfilling the aims of a valid land use plan, a strong presumption of validity should attach to those conditions. The burden of demonstrating that those conditions have unreasonably impaired the economic value of the proposed improvement belongs squarely on the shoulders of the party challenging the state action's constitutionality. That allocation of burdens has served us well in the past. The Court has stumbled badly today by reversing it.</w:t>
      </w:r>
    </w:p>
    <w:p w:rsidR="00A31137" w:rsidRPr="00A31137" w:rsidRDefault="00A31137" w:rsidP="00A31137">
      <w:r w:rsidRPr="00A31137">
        <w:t>1994, Dolan v. City of Tigard, 512 U.S. 411</w:t>
      </w:r>
    </w:p>
    <w:p w:rsidR="00A31137" w:rsidRPr="00A31137" w:rsidRDefault="00A31137" w:rsidP="00A31137">
      <w:r w:rsidRPr="00A31137">
        <w:t>I respectfully dissent.</w:t>
      </w:r>
    </w:p>
    <w:p w:rsidR="00A31137" w:rsidRPr="00A31137" w:rsidRDefault="00A31137" w:rsidP="00A31137">
      <w:r w:rsidRPr="00A31137">
        <w:t>SOUTER, J., dissenting</w:t>
      </w:r>
    </w:p>
    <w:p w:rsidR="00A31137" w:rsidRPr="00A31137" w:rsidRDefault="00A31137" w:rsidP="00A31137">
      <w:r w:rsidRPr="00A31137">
        <w:t>1994, Dolan v. City of Tigard, 512 U.S. 411</w:t>
      </w:r>
    </w:p>
    <w:p w:rsidR="00A31137" w:rsidRPr="00A31137" w:rsidRDefault="00A31137" w:rsidP="00A31137">
      <w:r w:rsidRPr="00A31137">
        <w:t>JUSTICE SOUTER, dissenting.</w:t>
      </w:r>
    </w:p>
    <w:p w:rsidR="00A31137" w:rsidRPr="00A31137" w:rsidRDefault="00A31137" w:rsidP="00A31137">
      <w:r w:rsidRPr="00A31137">
        <w:t>1994, Dolan v. City of Tigard, 512 U.S. 411</w:t>
      </w:r>
    </w:p>
    <w:p w:rsidR="00A31137" w:rsidRPr="00A31137" w:rsidRDefault="00A31137" w:rsidP="00A31137">
      <w:r w:rsidRPr="00A31137">
        <w:t>This case, like Nollan v. California Coastal Comm'n, 483 U.S. 825 (1987), invites the Court to examine the relationship between conditions imposed by development permits, requiring landowners to dedicate portions of their land for use by the public, and governmental interests in mitigating the adverse effects of such development. Nollan declared the need for a nexus between the nature of an exaction of an interest in land (a beach easement) and the nature of governmental interests. The Court treats this case as raising a further question, not about the nature, but about the degree, of connection required between such an exaction and the [512 U.S. 412] adverse effects of development. The Court's opinion announces a test to address this question, but, as I read the opinion, the Court does not apply that test to these facts, which do not raise the question the Court addresses.</w:t>
      </w:r>
    </w:p>
    <w:p w:rsidR="00A31137" w:rsidRPr="00A31137" w:rsidRDefault="00A31137" w:rsidP="00A31137">
      <w:r w:rsidRPr="00A31137">
        <w:t>1994, Dolan v. City of Tigard, 512 U.S. 412</w:t>
      </w:r>
    </w:p>
    <w:p w:rsidR="00A31137" w:rsidRPr="00A31137" w:rsidRDefault="00A31137" w:rsidP="00A31137">
      <w:r w:rsidRPr="00A31137">
        <w:t>First, as to the floodplain and Greenway, the Court acknowledges that an easement of this land for open space (and presumably including the five feet required for needed creek channel improvements) is reasonably related to flood control, see ante at  387, 392-393, but argues that the "permanent recreational easement" for the public on the Greenway is not so related, see ante at 393-395. If that is so, it is not because of any lack of proportionality between permit condition and adverse effect, but because of a lack of any rational connection at all between exaction of a public recreational area and the governmental interest in providing for the effect of increased water runoff. That is merely an application of Nollan's nexus analysis. As the Court notes,</w:t>
      </w:r>
    </w:p>
    <w:p w:rsidR="00A31137" w:rsidRPr="00A31137" w:rsidRDefault="00A31137" w:rsidP="00A31137">
      <w:r w:rsidRPr="00A31137">
        <w:t>1994, Dolan v. City of Tigard, 512 U.S. 412</w:t>
      </w:r>
    </w:p>
    <w:p w:rsidR="00A31137" w:rsidRPr="00A31137" w:rsidRDefault="00A31137" w:rsidP="00A31137">
      <w:r w:rsidRPr="00A31137">
        <w:t>[i]f petitioner's proposed development had somehow encroached on existing greenway space in the city, it would have been reasonable to require petitioner to provide some alternative greenway space for the public.</w:t>
      </w:r>
    </w:p>
    <w:p w:rsidR="00A31137" w:rsidRPr="00A31137" w:rsidRDefault="00A31137" w:rsidP="00A31137">
      <w:r w:rsidRPr="00A31137">
        <w:t>1994, Dolan v. City of Tigard, 512 U.S. 412</w:t>
      </w:r>
    </w:p>
    <w:p w:rsidR="00A31137" w:rsidRPr="00A31137" w:rsidRDefault="00A31137" w:rsidP="00A31137">
      <w:r w:rsidRPr="00A31137">
        <w:t xml:space="preserve">Ante at  394. But that, of course, was not the fact, and the city of Tigard never sought to justify the public access portion of the dedication as related to flood control. It merely argued that whatever recreational uses were made of the bicycle path and the one-foot edge on either side were incidental to the permit condition requiring dedication of the 15-foot easement for an 8-foot-wide bicycle path and for flood control, including open space requirements and relocation of the bank of the river by some five feet. It seems to me such incidental recreational use can stand or fall with the bicycle path, which the city justified by reference to traffic congestion. As to the relationship the Court examines between the recreational easement and a purpose never put forth as a justification by the city, the Court unsurprisingly finds a recreation area to be unrelated to flood control. [512 U.S. 413] </w:t>
      </w:r>
    </w:p>
    <w:p w:rsidR="00A31137" w:rsidRPr="00A31137" w:rsidRDefault="00A31137" w:rsidP="00A31137">
      <w:r w:rsidRPr="00A31137">
        <w:t>1994, Dolan v. City of Tigard, 512 U.S. 413</w:t>
      </w:r>
    </w:p>
    <w:p w:rsidR="00A31137" w:rsidRPr="00A31137" w:rsidRDefault="00A31137" w:rsidP="00A31137">
      <w:r w:rsidRPr="00A31137">
        <w:t>Second, as to the bicycle path, the Court again acknowledges the "theor[etically]" reasonable relationship between "the city's attempt to reduce traffic congestion by providing [a bicycle path] for alternative means of transportation," ante at  387, and the "correct" finding of the city that "the larger retail sales facility proposed by petitioner will increase traffic on the streets of the Central Business District." Ante at  395. The Court only faults the city for saying that the bicycle path "could," rather than "would," offset the increased traffic from the store, ante at  396. That again, as far as I can tell, is an application of Nollan, for the Court holds that the stated connection ("could offset") between traffic congestion and bicycle paths is too tenuous; only if the bicycle path "would" offset the increased traffic by some amount, could the bicycle path be said to be related to the city's legitimate interest in reducing traffic congestion.</w:t>
      </w:r>
    </w:p>
    <w:p w:rsidR="00A31137" w:rsidRPr="00A31137" w:rsidRDefault="00A31137" w:rsidP="00A31137">
      <w:r w:rsidRPr="00A31137">
        <w:t>1994, Dolan v. City of Tigard, 512 U.S. 413</w:t>
      </w:r>
    </w:p>
    <w:p w:rsidR="00A31137" w:rsidRPr="00A31137" w:rsidRDefault="00A31137" w:rsidP="00A31137">
      <w:r w:rsidRPr="00A31137">
        <w:t>I cannot agree that the application of Nollan is a sound one here, since it appears that the Court has placed the burden of producing evidence of relationship on the city, despite the usual rule in cases involving the police power that the government is presumed to have acted constitutionally.* Having thus assigned the burden, the Court concludes that the City loses based on one word ("could," instead of "would"), and despite the fact that this record shows the connection the Court looks for. Dolan has put forward no evidence that [512 U.S. 414] the burden of granting a dedication for the bicycle path is unrelated in kind to the anticipated increase in traffic congestion, nor, if there exists a requirement that the relationship be related in degree, has Dolan shown that the exaction fails any such test. The city, by contrast, calculated the increased traffic flow that would result from Dolan's proposed development to be 435 trips per day, and its Comprehensive Plan, applied here, relied on studies showing the link between alternative modes of transportation, including bicycle paths, and reduced street traffic congestion. See, e.g., Brief for Respondent A-5, quoting City of Tigard's Comprehensive Plan ("'Bicycle and pedestrian pathway systems will result in some reduction of automobile trips within the community'"). Nollan, therefore, is satisfied, and on that assumption the city's conditions should not be held to fail a further rough proportionality test or any other that might be devised to give meaning to the constitutional limits. As Members of this Court have said before,</w:t>
      </w:r>
    </w:p>
    <w:p w:rsidR="00A31137" w:rsidRPr="00A31137" w:rsidRDefault="00A31137" w:rsidP="00A31137">
      <w:r w:rsidRPr="00A31137">
        <w:t>1994, Dolan v. City of Tigard, 512 U.S. 414</w:t>
      </w:r>
    </w:p>
    <w:p w:rsidR="00A31137" w:rsidRPr="00A31137" w:rsidRDefault="00A31137" w:rsidP="00A31137">
      <w:r w:rsidRPr="00A31137">
        <w:t>the common zoning regulations requiring subdividers to…dedicate certain areas to public streets, are in accord with our constitutional traditions because the proposed property use would otherwise be the cause of excessive congestion.</w:t>
      </w:r>
    </w:p>
    <w:p w:rsidR="00A31137" w:rsidRPr="00A31137" w:rsidRDefault="00A31137" w:rsidP="00A31137">
      <w:r w:rsidRPr="00A31137">
        <w:t>1994, Dolan v. City of Tigard, 512 U.S. 414</w:t>
      </w:r>
    </w:p>
    <w:p w:rsidR="00A31137" w:rsidRPr="00A31137" w:rsidRDefault="00A31137" w:rsidP="00A31137">
      <w:r w:rsidRPr="00A31137">
        <w:t>Pennell v. San Jose, 485 U.S. 1, 20 (1988) (SCALIA, J., concurring in part and dissenting in part). The bicycle path permit condition is fundamentally no different from these.</w:t>
      </w:r>
    </w:p>
    <w:p w:rsidR="00A31137" w:rsidRPr="00A31137" w:rsidRDefault="00A31137" w:rsidP="00A31137">
      <w:r w:rsidRPr="00A31137">
        <w:t>1994, Dolan v. City of Tigard, 512 U.S. 414</w:t>
      </w:r>
    </w:p>
    <w:p w:rsidR="00A31137" w:rsidRPr="00A31137" w:rsidRDefault="00A31137" w:rsidP="00A31137">
      <w:r w:rsidRPr="00A31137">
        <w:t>In any event, on my reading, the Court's conclusions about the city's vulnerability carry the Court no further than Nollan has gone already, and I do not view this case as a suitable vehicle for taking the law beyond that point. The right case for the enunciation of takings doctrine seems hard to spot. See Lucas v. South Carolina Coastal Council, 505 U.S. 1003 (1992) (statement of SOUTER, J.).</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1994, Dolan v. City of Tigard, 512 U.S. 414</w:t>
      </w:r>
    </w:p>
    <w:p w:rsidR="00A31137" w:rsidRPr="00A31137" w:rsidRDefault="00A31137" w:rsidP="00A31137">
      <w:r w:rsidRPr="00A31137">
        <w:t>1. CDC § 18.86.040.A.1.b provides:</w:t>
      </w:r>
    </w:p>
    <w:p w:rsidR="00A31137" w:rsidRPr="00A31137" w:rsidRDefault="00A31137" w:rsidP="00A31137">
      <w:r w:rsidRPr="00A31137">
        <w:t>1994, Dolan v. City of Tigard, 512 U.S. 414</w:t>
      </w:r>
    </w:p>
    <w:p w:rsidR="00A31137" w:rsidRPr="00A31137" w:rsidRDefault="00A31137" w:rsidP="00A31137">
      <w:r w:rsidRPr="00A31137">
        <w:t>The development shall facilitate pedestrian/bicycle circulation if the site is located on a street with designated bikepaths or adjacent to a designated greenway/open space/park. Specific items to be addressed [include]: (i) Provision of efficient, convenient and continuous pedestrian and bicycle transit circulation systems, linking developments by requiring dedication and construction of pedestrian and bikepaths identified in the comprehensive plan. If direct connections cannot be made, require that funds in the amount of the construction cost be deposited into an account for the purpose of constructing paths.</w:t>
      </w:r>
    </w:p>
    <w:p w:rsidR="00A31137" w:rsidRPr="00A31137" w:rsidRDefault="00A31137" w:rsidP="00A31137">
      <w:r w:rsidRPr="00A31137">
        <w:t>1994, Dolan v. City of Tigard, 512 U.S. 414</w:t>
      </w:r>
    </w:p>
    <w:p w:rsidR="00A31137" w:rsidRPr="00A31137" w:rsidRDefault="00A31137" w:rsidP="00A31137">
      <w:r w:rsidRPr="00A31137">
        <w:t>(App. to Brief for Respondent B-33-34).</w:t>
      </w:r>
    </w:p>
    <w:p w:rsidR="00A31137" w:rsidRPr="00A31137" w:rsidRDefault="00A31137" w:rsidP="00A31137">
      <w:r w:rsidRPr="00A31137">
        <w:t>1994, Dolan v. City of Tigard, 512 U.S. 414</w:t>
      </w:r>
    </w:p>
    <w:p w:rsidR="00A31137" w:rsidRPr="00A31137" w:rsidRDefault="00A31137" w:rsidP="00A31137">
      <w:r w:rsidRPr="00A31137">
        <w:t>2. The city's decision includes the following relevant conditions:</w:t>
      </w:r>
    </w:p>
    <w:p w:rsidR="00A31137" w:rsidRPr="00A31137" w:rsidRDefault="00A31137" w:rsidP="00A31137">
      <w:r w:rsidRPr="00A31137">
        <w:t>1994, Dolan v. City of Tigard, 512 U.S. 414</w:t>
      </w:r>
    </w:p>
    <w:p w:rsidR="00A31137" w:rsidRPr="00A31137" w:rsidRDefault="00A31137" w:rsidP="00A31137">
      <w:r w:rsidRPr="00A31137">
        <w:t>1. The applicant shall dedicate to the City as Greenway all portions of the site that fall within the existing 100-year floodplain [of Fanno Creek] (i.e., all portions of the property below elevation 150.0) and all property 15 feet above (to the east of) the 150.0 foot floodplain boundary. The building shall be designed so as not to intrude into the greenway area.</w:t>
      </w:r>
    </w:p>
    <w:p w:rsidR="00A31137" w:rsidRPr="00A31137" w:rsidRDefault="00A31137" w:rsidP="00A31137">
      <w:r w:rsidRPr="00A31137">
        <w:t>1994, Dolan v. City of Tigard, 512 U.S. 414</w:t>
      </w:r>
    </w:p>
    <w:p w:rsidR="00A31137" w:rsidRPr="00A31137" w:rsidRDefault="00A31137" w:rsidP="00A31137">
      <w:r w:rsidRPr="00A31137">
        <w:t>App. to Pet. for Cert. G-43.</w:t>
      </w:r>
    </w:p>
    <w:p w:rsidR="00A31137" w:rsidRPr="00A31137" w:rsidRDefault="00A31137" w:rsidP="00A31137">
      <w:r w:rsidRPr="00A31137">
        <w:t>1994, Dolan v. City of Tigard, 512 U.S. 414</w:t>
      </w:r>
    </w:p>
    <w:p w:rsidR="00A31137" w:rsidRPr="00A31137" w:rsidRDefault="00A31137" w:rsidP="00A31137">
      <w:r w:rsidRPr="00A31137">
        <w:t>3. CDC § 18.134.050 contains the following criteria whereby the decisionmaking authority can approve, approve with modifications, or deny a variance request:</w:t>
      </w:r>
    </w:p>
    <w:p w:rsidR="00A31137" w:rsidRPr="00A31137" w:rsidRDefault="00A31137" w:rsidP="00A31137">
      <w:r w:rsidRPr="00A31137">
        <w:t>1994, Dolan v. City of Tigard, 512 U.S. 414</w:t>
      </w:r>
    </w:p>
    <w:p w:rsidR="00A31137" w:rsidRPr="00A31137" w:rsidRDefault="00A31137" w:rsidP="00A31137">
      <w:r w:rsidRPr="00A31137">
        <w:t>(1) The proposed variance will not be materially detrimental to the purposes of this title, be in conflict with the policies of the comprehensive plan, to any other applicable policies of the Community Development Code, to any other applicable policies and standards, and to other properties in the same zoning district or vicinity;</w:t>
      </w:r>
    </w:p>
    <w:p w:rsidR="00A31137" w:rsidRPr="00A31137" w:rsidRDefault="00A31137" w:rsidP="00A31137">
      <w:r w:rsidRPr="00A31137">
        <w:t>1994, Dolan v. City of Tigard, 512 U.S. 414</w:t>
      </w:r>
    </w:p>
    <w:p w:rsidR="00A31137" w:rsidRPr="00A31137" w:rsidRDefault="00A31137" w:rsidP="00A31137">
      <w:r w:rsidRPr="00A31137">
        <w:t>(2) There are special circumstances that exist which are peculiar to the lot size or shape, topography or other circumstances over which the applicant has no control, and which are not applicable to other properties in the same zoning district;</w:t>
      </w:r>
    </w:p>
    <w:p w:rsidR="00A31137" w:rsidRPr="00A31137" w:rsidRDefault="00A31137" w:rsidP="00A31137">
      <w:r w:rsidRPr="00A31137">
        <w:t>1994, Dolan v. City of Tigard, 512 U.S. 414</w:t>
      </w:r>
    </w:p>
    <w:p w:rsidR="00A31137" w:rsidRPr="00A31137" w:rsidRDefault="00A31137" w:rsidP="00A31137">
      <w:r w:rsidRPr="00A31137">
        <w:t>(3) The use proposed will be the same as permitted under this title and City standards will be maintained to the greatest extent possible, while permitting some economic use of the land;</w:t>
      </w:r>
    </w:p>
    <w:p w:rsidR="00A31137" w:rsidRPr="00A31137" w:rsidRDefault="00A31137" w:rsidP="00A31137">
      <w:r w:rsidRPr="00A31137">
        <w:t>1994, Dolan v. City of Tigard, 512 U.S. 414</w:t>
      </w:r>
    </w:p>
    <w:p w:rsidR="00A31137" w:rsidRPr="00A31137" w:rsidRDefault="00A31137" w:rsidP="00A31137">
      <w:r w:rsidRPr="00A31137">
        <w:t>(4) Existing physical and natural systems, such as but not limited to traffic, drainage, dramatic land form or parks will not be adversely affected any more than would occur if the development were located as specified in the title; and</w:t>
      </w:r>
    </w:p>
    <w:p w:rsidR="00A31137" w:rsidRPr="00A31137" w:rsidRDefault="00A31137" w:rsidP="00A31137">
      <w:r w:rsidRPr="00A31137">
        <w:t>1994, Dolan v. City of Tigard, 512 U.S. 414</w:t>
      </w:r>
    </w:p>
    <w:p w:rsidR="00A31137" w:rsidRPr="00A31137" w:rsidRDefault="00A31137" w:rsidP="00A31137">
      <w:r w:rsidRPr="00A31137">
        <w:t>(5) The hardship is not self-imposed and the variance requested is the minimum variance which would alleviate the hardship.</w:t>
      </w:r>
    </w:p>
    <w:p w:rsidR="00A31137" w:rsidRPr="00A31137" w:rsidRDefault="00A31137" w:rsidP="00A31137">
      <w:r w:rsidRPr="00A31137">
        <w:t>1994, Dolan v. City of Tigard, 512 U.S. 414</w:t>
      </w:r>
    </w:p>
    <w:p w:rsidR="00A31137" w:rsidRPr="00A31137" w:rsidRDefault="00A31137" w:rsidP="00A31137">
      <w:r w:rsidRPr="00A31137">
        <w:t>App. to Brief for Respondent 49-50.</w:t>
      </w:r>
    </w:p>
    <w:p w:rsidR="00A31137" w:rsidRPr="00A31137" w:rsidRDefault="00A31137" w:rsidP="00A31137">
      <w:r w:rsidRPr="00A31137">
        <w:t>1994, Dolan v. City of Tigard, 512 U.S. 414</w:t>
      </w:r>
    </w:p>
    <w:p w:rsidR="00A31137" w:rsidRPr="00A31137" w:rsidRDefault="00A31137" w:rsidP="00A31137">
      <w:r w:rsidRPr="00A31137">
        <w:t>4. The Supreme Court of Oregon did not address the consequences of petitioner's failure to provide alternative mitigation measures in her variance application and we take the case as it comes to us. Accordingly, we do not pass on the constitutionality of the city's variance provisions.</w:t>
      </w:r>
    </w:p>
    <w:p w:rsidR="00A31137" w:rsidRPr="00A31137" w:rsidRDefault="00A31137" w:rsidP="00A31137">
      <w:r w:rsidRPr="00A31137">
        <w:t>1994, Dolan v. City of Tigard, 512 U.S. 414</w:t>
      </w:r>
    </w:p>
    <w:p w:rsidR="00A31137" w:rsidRPr="00A31137" w:rsidRDefault="00A31137" w:rsidP="00A31137">
      <w:r w:rsidRPr="00A31137">
        <w:t>5. Justice Stevens' dissent suggests that this case is actually grounded in "substantive" due process, rather than in the view that the Takings Clause of the Fifth Amendment was made applicable to the States by the Fourteenth Amendment. But there is no doubt that later cases have held that the Fourteenth Amendment does make the Takings Clause of the Fifth Amendment applicable to the States, see Penn Central Transp. Co. v. New York City, 438 U.S. 104, 122 (1978); Nollan v. California Coastal Comm'n, 483 U.S. 825, 827 (1987). Nor is there any doubt that these cases have relied upon Chicago, B. &amp; Q. R. Co. v. Chicago, 166 U.S. 226 (1897), to reach that result. See, e.g., Penn Central, supra, at 122 ("The issu[e] presented…[is] whether the restrictions imposed by New York City's law upon appellants' exploitation of the Terminal site effect a 'taking' of appellants' property for a public use within the meaning of the Fifth Amendment, which of course is made applicable to the States through the Fourteenth Amendment, see Chicago, B. &amp; Q. R. Co. v. Chicago, 166 U.S. 226, 239 (1897)").</w:t>
      </w:r>
    </w:p>
    <w:p w:rsidR="00A31137" w:rsidRPr="00A31137" w:rsidRDefault="00A31137" w:rsidP="00A31137">
      <w:r w:rsidRPr="00A31137">
        <w:t>1994, Dolan v. City of Tigard, 512 U.S. 414</w:t>
      </w:r>
    </w:p>
    <w:p w:rsidR="00A31137" w:rsidRPr="00A31137" w:rsidRDefault="00A31137" w:rsidP="00A31137">
      <w:r w:rsidRPr="00A31137">
        <w:t>6. There can be no argument that the permit conditions would deprive petitioner "economically beneficial us[e]" of her property as she currently operates a retail store on the lot. Petitioner assuredly is able to derive some economic use from her property. See, e.g., Lucas v. South Carolina, 505 U.S. 1003,  1019 (1992); Kaiser Aetna v. United States, 444 U.S. 164, 175 (1979); Penn Central Transportation Co. v. New York City, 438 U.S. 104, 124 (1978).</w:t>
      </w:r>
    </w:p>
    <w:p w:rsidR="00A31137" w:rsidRPr="00A31137" w:rsidRDefault="00A31137" w:rsidP="00A31137">
      <w:r w:rsidRPr="00A31137">
        <w:t>1994, Dolan v. City of Tigard, 512 U.S. 414</w:t>
      </w:r>
    </w:p>
    <w:p w:rsidR="00A31137" w:rsidRPr="00A31137" w:rsidRDefault="00A31137" w:rsidP="00A31137">
      <w:r w:rsidRPr="00A31137">
        <w:t>7. The "specifically and uniquely attributable" test has now been adopted by a minority of other courts. See, e.g., J. E. D. Associates., Inc. v. Atkinson, 121 N.H. 581, 585, 432 A.2d 12, 15 (1981); Divan Builders, Inc. v. Planning Bd. of Twp. of Wayne, 66 N.J. 582, 600-601, 334 A.2d 30, 40 (1975); McKain v. Toledo City Plan Comm'n, 26 Ohio App.2d 171, 176, 270 N.E.2d 370, 374 (1971); Frank Ansuini, Inc. v. Cranston, 107 R.I. 63, 69, 264 A.2d 910, 913 (1970).</w:t>
      </w:r>
    </w:p>
    <w:p w:rsidR="00A31137" w:rsidRPr="00A31137" w:rsidRDefault="00A31137" w:rsidP="00A31137">
      <w:r w:rsidRPr="00A31137">
        <w:t>1994, Dolan v. City of Tigard, 512 U.S. 414</w:t>
      </w:r>
    </w:p>
    <w:p w:rsidR="00A31137" w:rsidRPr="00A31137" w:rsidRDefault="00A31137" w:rsidP="00A31137">
      <w:r w:rsidRPr="00A31137">
        <w:t>8. Justice Stevens' dissent takes us to task for placing the burden on the city to justify the required dedication. He is correct in arguing that in evaluating most generally applicable zoning regulations, the burden properly rests on the party challenging the regulation to prove that it constitutes an arbitrary regulation of property rights. See, e.g., Euclid v. Ambler Realty Co., 272 U.S. 365 (1926). Here, by contrast, the city made an adjudicative decision to condition petitioner's application for a building permit on an individual parcel. In this situation, the burden properly rests on the city. See Nollan, 483 U.S. at  836. This conclusion is not, as he suggests, undermined by our decision in Moore v. East Cleveland, 431 U.S.494 (1977), in which we struck down a housing ordinance that limited occupancy of a dwelling unit to members of a single family as violating the Due Process Clause of the Fourteenth Amendment. The ordinance at issue in Moore intruded on choices concerning family living arrangements, an area in which the usual deference to the legislature was found to be inappropriate. Id. at  499.</w:t>
      </w:r>
    </w:p>
    <w:p w:rsidR="00A31137" w:rsidRPr="00A31137" w:rsidRDefault="00A31137" w:rsidP="00A31137">
      <w:r w:rsidRPr="00A31137">
        <w:t>1994, Dolan v. City of Tigard, 512 U.S. 414</w:t>
      </w:r>
    </w:p>
    <w:p w:rsidR="00A31137" w:rsidRPr="00A31137" w:rsidRDefault="00A31137" w:rsidP="00A31137">
      <w:r w:rsidRPr="00A31137">
        <w:t>9. The city uses a weekday average trip rate of 53.21 trips per 1000 square feet. Additional Trips Generated = 53.21 x (17,600 - 9720). App. to Pet. for Cert. G15.</w:t>
      </w:r>
    </w:p>
    <w:p w:rsidR="00A31137" w:rsidRPr="00A31137" w:rsidRDefault="00A31137" w:rsidP="00A31137">
      <w:r w:rsidRPr="00A31137">
        <w:t>1994, Dolan v. City of Tigard, 512 U.S. 414</w:t>
      </w:r>
    </w:p>
    <w:p w:rsidR="00A31137" w:rsidRPr="00A31137" w:rsidRDefault="00A31137" w:rsidP="00A31137">
      <w:r w:rsidRPr="00A31137">
        <w:t>10. In rejecting petitioner's request for a variance from the pathway dedication condition, the city stated that omitting the planned section of the pathway across petitioner's property would conflict with its adopted policy of providing a continuous pathway system. But the Takings Clause requires the city to implement its policy by condemnation unless the required relationship between the petitioner's development and added traffic is shown.</w:t>
      </w:r>
    </w:p>
    <w:p w:rsidR="00A31137" w:rsidRPr="00A31137" w:rsidRDefault="00A31137" w:rsidP="00A31137">
      <w:r w:rsidRPr="00A31137">
        <w:t>STEVENS, J., dissenting (Footnotes)</w:t>
      </w:r>
    </w:p>
    <w:p w:rsidR="00A31137" w:rsidRPr="00A31137" w:rsidRDefault="00A31137" w:rsidP="00A31137">
      <w:r w:rsidRPr="00A31137">
        <w:t>1994, Dolan v. City of Tigard, 512 U.S. 414</w:t>
      </w:r>
    </w:p>
    <w:p w:rsidR="00A31137" w:rsidRPr="00A31137" w:rsidRDefault="00A31137" w:rsidP="00A31137">
      <w:r w:rsidRPr="00A31137">
        <w:t>1. Cf. Moore v. East Cleveland, 431 U.S. 494, 513-521 (1977) (Stevens, J., concurring in judgment).</w:t>
      </w:r>
    </w:p>
    <w:p w:rsidR="00A31137" w:rsidRPr="00A31137" w:rsidRDefault="00A31137" w:rsidP="00A31137">
      <w:r w:rsidRPr="00A31137">
        <w:t>1994, Dolan v. City of Tigard, 512 U.S. 414</w:t>
      </w:r>
    </w:p>
    <w:p w:rsidR="00A31137" w:rsidRPr="00A31137" w:rsidRDefault="00A31137" w:rsidP="00A31137">
      <w:r w:rsidRPr="00A31137">
        <w:t>2. In Nollan, the Court recognized that a State agency may condition the grant of a land use permit on the dedication of a property interest if the dedication serves a legitimate police power purpose that would justify a refusal to issue the permit. For the first time, however, it held that such a condition is unconstitutional if the condition "utterly fails" to further a goal that would justify the refusal. 483 U.S. at  837. In the Nollan Court's view, a condition would be constitutional even if it required the Nollans to provide a viewing spot for passersby whose view of the ocean was obstructed by their new house. Id. at  836.</w:t>
      </w:r>
    </w:p>
    <w:p w:rsidR="00A31137" w:rsidRPr="00A31137" w:rsidRDefault="00A31137" w:rsidP="00A31137">
      <w:r w:rsidRPr="00A31137">
        <w:t>1994, Dolan v. City of Tigard, 512 U.S. 414</w:t>
      </w:r>
    </w:p>
    <w:p w:rsidR="00A31137" w:rsidRPr="00A31137" w:rsidRDefault="00A31137" w:rsidP="00A31137">
      <w:r w:rsidRPr="00A31137">
        <w:t>Although such a requirement, constituting a permanent grant of continuous access to the property, would have to be considered a taking if it were not attached to a development permit, the Commission's assumed power to forbid construction of the house in order to protect the public's view of the beach must surely include the power to condition construction upon some concession by the owner, even a concession of property rights, that serves the same end.</w:t>
      </w:r>
    </w:p>
    <w:p w:rsidR="00A31137" w:rsidRPr="00A31137" w:rsidRDefault="00A31137" w:rsidP="00A31137">
      <w:r w:rsidRPr="00A31137">
        <w:t>1994, Dolan v. City of Tigard, 512 U.S. 414</w:t>
      </w:r>
    </w:p>
    <w:p w:rsidR="00A31137" w:rsidRPr="00A31137" w:rsidRDefault="00A31137" w:rsidP="00A31137">
      <w:r w:rsidRPr="00A31137">
        <w:t>Ibid.</w:t>
      </w:r>
    </w:p>
    <w:p w:rsidR="00A31137" w:rsidRPr="00A31137" w:rsidRDefault="00A31137" w:rsidP="00A31137">
      <w:r w:rsidRPr="00A31137">
        <w:t>1994, Dolan v. City of Tigard, 512 U.S. 414</w:t>
      </w:r>
    </w:p>
    <w:p w:rsidR="00A31137" w:rsidRPr="00A31137" w:rsidRDefault="00A31137" w:rsidP="00A31137">
      <w:r w:rsidRPr="00A31137">
        <w:t>3. Similarly, in Keystone Bituminous Coal Assn. v. DeBenedictis, 480 U.S. 470, 498-499 (1987), we concluded that "[t]he 27 million tons of coal do not constitute a separate segment of property for takings law purposes," and that "[t]here is no basis for treating the less than 2% of petitioners' coal as a separate parcel of property."</w:t>
      </w:r>
    </w:p>
    <w:p w:rsidR="00A31137" w:rsidRPr="00A31137" w:rsidRDefault="00A31137" w:rsidP="00A31137">
      <w:r w:rsidRPr="00A31137">
        <w:t>1994, Dolan v. City of Tigard, 512 U.S. 414</w:t>
      </w:r>
    </w:p>
    <w:p w:rsidR="00A31137" w:rsidRPr="00A31137" w:rsidRDefault="00A31137" w:rsidP="00A31137">
      <w:r w:rsidRPr="00A31137">
        <w:t>4. Johnston's article also sets forth a fair summary of the state cases from which the Court purports to derive its "rough proportionality" test. See 52 Cornell L.Q. at 917. Like the Court, Johnston observed that cases requiring a "rational nexus" between exactions and public needs created by the new subdivision—especially Jordan v. Menomonee Falls, 28 Wis.2d 608, 137 N.W.2d 442 (1965)—"stee[r] a moderate course" between the "judicial obstructionism" of Pioneer Trust &amp; Savings Bank v. Mount Prospect, 22 Ill.2d 375, 176 N.E.2d 799 (1961), and the "excessive deference" of Billings Properties, Inc. v. Yellowstone County, 144 Mont. 25, 394 P.2d 182 (1964). 52 Cornell L.Q. at 917.</w:t>
      </w:r>
    </w:p>
    <w:p w:rsidR="00A31137" w:rsidRPr="00A31137" w:rsidRDefault="00A31137" w:rsidP="00A31137">
      <w:r w:rsidRPr="00A31137">
        <w:t>1994, Dolan v. City of Tigard, 512 U.S. 414</w:t>
      </w:r>
    </w:p>
    <w:p w:rsidR="00A31137" w:rsidRPr="00A31137" w:rsidRDefault="00A31137" w:rsidP="00A31137">
      <w:r w:rsidRPr="00A31137">
        <w:t>5. Dolan's attorney overstated the danger when he suggested at oral argument that without some requirement for proportionality,</w:t>
      </w:r>
    </w:p>
    <w:p w:rsidR="00A31137" w:rsidRPr="00A31137" w:rsidRDefault="00A31137" w:rsidP="00A31137">
      <w:r w:rsidRPr="00A31137">
        <w:t>1994, Dolan v. City of Tigard, 512 U.S. 414</w:t>
      </w:r>
    </w:p>
    <w:p w:rsidR="00A31137" w:rsidRPr="00A31137" w:rsidRDefault="00A31137" w:rsidP="00A31137">
      <w:r w:rsidRPr="00A31137">
        <w:t>the City could have found that Mrs. Dolan's new store would have increased traffic by one additional vehicle trip per day [and] could have required her to dedicate 75, 95 percent of her land for a widening of Main Street.</w:t>
      </w:r>
    </w:p>
    <w:p w:rsidR="00A31137" w:rsidRPr="00A31137" w:rsidRDefault="00A31137" w:rsidP="00A31137">
      <w:r w:rsidRPr="00A31137">
        <w:t>1994, Dolan v. City of Tigard, 512 U.S. 414</w:t>
      </w:r>
    </w:p>
    <w:p w:rsidR="00A31137" w:rsidRPr="00A31137" w:rsidRDefault="00A31137" w:rsidP="00A31137">
      <w:r w:rsidRPr="00A31137">
        <w:t>Tr. of Oral Arg. 52-53.</w:t>
      </w:r>
    </w:p>
    <w:p w:rsidR="00A31137" w:rsidRPr="00A31137" w:rsidRDefault="00A31137" w:rsidP="00A31137">
      <w:r w:rsidRPr="00A31137">
        <w:t>1994, Dolan v. City of Tigard, 512 U.S. 414</w:t>
      </w:r>
    </w:p>
    <w:p w:rsidR="00A31137" w:rsidRPr="00A31137" w:rsidRDefault="00A31137" w:rsidP="00A31137">
      <w:r w:rsidRPr="00A31137">
        <w:t>6. See, e.g., Ferguson v. Skrupa, 372 U.S. 726 (1963).</w:t>
      </w:r>
    </w:p>
    <w:p w:rsidR="00A31137" w:rsidRPr="00A31137" w:rsidRDefault="00A31137" w:rsidP="00A31137">
      <w:r w:rsidRPr="00A31137">
        <w:t>1994, Dolan v. City of Tigard, 512 U.S. 414</w:t>
      </w:r>
    </w:p>
    <w:p w:rsidR="00A31137" w:rsidRPr="00A31137" w:rsidRDefault="00A31137" w:rsidP="00A31137">
      <w:r w:rsidRPr="00A31137">
        <w:t>7. An earlier case deemed it "well settled" that the Takings Clause "is a limitation on the power of the Federal government, and not on the States." Pumpelly v. Green Bay Co., 13 Wall. 166, 177 (1872).</w:t>
      </w:r>
    </w:p>
    <w:p w:rsidR="00A31137" w:rsidRPr="00A31137" w:rsidRDefault="00A31137" w:rsidP="00A31137">
      <w:r w:rsidRPr="00A31137">
        <w:t>1994, Dolan v. City of Tigard, 512 U.S. 414</w:t>
      </w:r>
    </w:p>
    <w:p w:rsidR="00A31137" w:rsidRPr="00A31137" w:rsidRDefault="00A31137" w:rsidP="00A31137">
      <w:r w:rsidRPr="00A31137">
        <w:t>8. The Court held that a State</w:t>
      </w:r>
    </w:p>
    <w:p w:rsidR="00A31137" w:rsidRPr="00A31137" w:rsidRDefault="00A31137" w:rsidP="00A31137">
      <w:r w:rsidRPr="00A31137">
        <w:t>1994, Dolan v. City of Tigard, 512 U.S. 414</w:t>
      </w:r>
    </w:p>
    <w:p w:rsidR="00A31137" w:rsidRPr="00A31137" w:rsidRDefault="00A31137" w:rsidP="00A31137">
      <w:r w:rsidRPr="00A31137">
        <w:t>may not, by any of its agencies, disregard the prohibitions of the Fourteenth Amendment. Its judicial authorities may keep within the letter of the statute prescribing forms of procedure in the courts and give the parties interested the fullest opportunity to be heard, and yet it might be that its final action would be inconsistent with that amendment. In determining what is due process of law regard must be had to substance, not to form.</w:t>
      </w:r>
    </w:p>
    <w:p w:rsidR="00A31137" w:rsidRPr="00A31137" w:rsidRDefault="00A31137" w:rsidP="00A31137">
      <w:r w:rsidRPr="00A31137">
        <w:t>1994, Dolan v. City of Tigard, 512 U.S. 414</w:t>
      </w:r>
    </w:p>
    <w:p w:rsidR="00A31137" w:rsidRPr="00A31137" w:rsidRDefault="00A31137" w:rsidP="00A31137">
      <w:r w:rsidRPr="00A31137">
        <w:t>Chicago, B. &amp; Q. R. Co. v. Chicago, 166 U.S. 226, 234-235 (1897).</w:t>
      </w:r>
    </w:p>
    <w:p w:rsidR="00A31137" w:rsidRPr="00A31137" w:rsidRDefault="00A31137" w:rsidP="00A31137">
      <w:r w:rsidRPr="00A31137">
        <w:t>1994, Dolan v. City of Tigard, 512 U.S. 414</w:t>
      </w:r>
    </w:p>
    <w:p w:rsidR="00A31137" w:rsidRPr="00A31137" w:rsidRDefault="00A31137" w:rsidP="00A31137">
      <w:r w:rsidRPr="00A31137">
        <w:t>9. The Lochner Court refused to presume that there was a reasonable connection between the regulation and the state interest in protecting the public health. 198 U.S. at 60-61. A similar refusal to identify a sufficient nexus between an enlarged building with a newly paved parking lot and the state interests in minimizing the risks of flooding and traffic congestion proves fatal to the city's permit conditions in this case under the Court's novel approach.</w:t>
      </w:r>
    </w:p>
    <w:p w:rsidR="00A31137" w:rsidRPr="00A31137" w:rsidRDefault="00A31137" w:rsidP="00A31137">
      <w:r w:rsidRPr="00A31137">
        <w:t>1994, Dolan v. City of Tigard, 512 U.S. 414</w:t>
      </w:r>
    </w:p>
    <w:p w:rsidR="00A31137" w:rsidRPr="00A31137" w:rsidRDefault="00A31137" w:rsidP="00A31137">
      <w:r w:rsidRPr="00A31137">
        <w:t>10. See Keystone Bituminous Coal Assn v. DeBenedictis, 480 U.S. 470,  484 (1987) (explaining why this portion of the opinion was merely "advisory").</w:t>
      </w:r>
    </w:p>
    <w:p w:rsidR="00A31137" w:rsidRPr="00A31137" w:rsidRDefault="00A31137" w:rsidP="00A31137">
      <w:r w:rsidRPr="00A31137">
        <w:t>1994, Dolan v. City of Tigard, 512 U.S. 414</w:t>
      </w:r>
    </w:p>
    <w:p w:rsidR="00A31137" w:rsidRPr="00A31137" w:rsidRDefault="00A31137" w:rsidP="00A31137">
      <w:r w:rsidRPr="00A31137">
        <w:t>11. Ante at  385. The Court's entire explanation reads:</w:t>
      </w:r>
    </w:p>
    <w:p w:rsidR="00A31137" w:rsidRPr="00A31137" w:rsidRDefault="00A31137" w:rsidP="00A31137">
      <w:r w:rsidRPr="00A31137">
        <w:t>1994, Dolan v. City of Tigard, 512 U.S. 414</w:t>
      </w:r>
    </w:p>
    <w:p w:rsidR="00A31137" w:rsidRPr="00A31137" w:rsidRDefault="00A31137" w:rsidP="00A31137">
      <w:r w:rsidRPr="00A31137">
        <w:t>Under the well settled doctrine of "unconstitutional conditions," the government may not require a person to give up a constitutional right—here the right to receive just compensation when property is taken for a public use—in exchange for a discretionary benefit conferred by the government where the property sought has little or no relationship to the benefit.</w:t>
      </w:r>
    </w:p>
    <w:p w:rsidR="00A31137" w:rsidRPr="00A31137" w:rsidRDefault="00A31137" w:rsidP="00A31137">
      <w:r w:rsidRPr="00A31137">
        <w:t>1994, Dolan v. City of Tigard, 512 U.S. 414</w:t>
      </w:r>
    </w:p>
    <w:p w:rsidR="00A31137" w:rsidRPr="00A31137" w:rsidRDefault="00A31137" w:rsidP="00A31137">
      <w:r w:rsidRPr="00A31137">
        <w:t>Ibid.</w:t>
      </w:r>
    </w:p>
    <w:p w:rsidR="00A31137" w:rsidRPr="00A31137" w:rsidRDefault="00A31137" w:rsidP="00A31137">
      <w:r w:rsidRPr="00A31137">
        <w:t>1994, Dolan v. City of Tigard, 512 U.S. 414</w:t>
      </w:r>
    </w:p>
    <w:p w:rsidR="00A31137" w:rsidRPr="00A31137" w:rsidRDefault="00A31137" w:rsidP="00A31137">
      <w:r w:rsidRPr="00A31137">
        <w:t>12. Although it has a long history, see Home Ins. Co. v. Morse, 20 Wall. 445, 451 (1874), the "unconstitutional conditions" doctrine has for just as long suffered from notoriously inconsistent application; it has never been an overarching principle of constitutional law that operates with equal force regardless of the nature of the rights and powers in question. See, e.g., Sunstein, Why the Unconstitutional Conditions Doctrine is an Anachronism, 70 B.U.L. Rev. 593, 620 (1990) (doctrine is "too crude and too general to provide help in contested cases"); Sullivan, Unconstitutional Conditions, 102 Harv.L.Rev. 1415, 1416 (1989) (doctrine is "riven with inconsistencies"); Hale, Unconstitutional Conditions and Constitutional Rights, 35 Colum.L.Rev. 321, 322 (1935) ("The Supreme Court has sustained many such exertions of power even after announcing the broad doctrine that would invalidate them"). As the majority's case citations suggest, ante at  385, modern decisions invoking the doctrine have most frequently involved First Amendment liberties, see also, e.g., Connick v. Myers, 461 U.S. 138, 143-144 (1983); Elrod v. Burns, 427 U.S. 347, 361-363 (1976) (plurality opinion); Sherbert v. Verner, 374 U.S. 398,  404 (1963); Speiser v. Randall, 357 U.S. 513, 518-519 (1958). But see Posadas de Puerto Rico Associates v. Tourism Co. of Puerto Rico, 478 U.S. 328, 345-346 (1986) ("the greater power to completely ban casino gambling necessarily includes the lesser power to ban advertising of casino gambling"). The necessary and traditional breadth of municipalities' power to regulate property development, together with the absence here of fragile and easily "chilled" constitutional rights such as that of free speech, make it quite clear that the Court is really writing on a clean slate, rather than merely applying "well settled" doctrine. See ante at  385.</w:t>
      </w:r>
    </w:p>
    <w:p w:rsidR="00A31137" w:rsidRPr="00A31137" w:rsidRDefault="00A31137" w:rsidP="00A31137">
      <w:r w:rsidRPr="00A31137">
        <w:t>1994, Dolan v. City of Tigard, 512 U.S. 414</w:t>
      </w:r>
    </w:p>
    <w:p w:rsidR="00A31137" w:rsidRPr="00A31137" w:rsidRDefault="00A31137" w:rsidP="00A31137">
      <w:r w:rsidRPr="00A31137">
        <w:t>13. The author of today's opinion joined Justice Stewart's dissent in Moore v. East Cleveland, 431 U.S. 494 (1977). There, the dissenters found it sufficient, in response to my argument that the zoning ordinance was an arbitrary regulation of property rights, that,</w:t>
      </w:r>
    </w:p>
    <w:p w:rsidR="00A31137" w:rsidRPr="00A31137" w:rsidRDefault="00A31137" w:rsidP="00A31137">
      <w:r w:rsidRPr="00A31137">
        <w:t>1994, Dolan v. City of Tigard, 512 U.S. 414</w:t>
      </w:r>
    </w:p>
    <w:p w:rsidR="00A31137" w:rsidRPr="00A31137" w:rsidRDefault="00A31137" w:rsidP="00A31137">
      <w:r w:rsidRPr="00A31137">
        <w:t>if the ordinance is a rational attempt to promote "the city's interest in preserving the character of its neighborhoods," Young v. American Mini Theatres, 427 U.S. 50,  71 (opinion of Stevens, J.), it is…a permissible restriction on the use of private property under Euclid v. Ambler Realty Co., 272 U.S. 365, and Nectow v. Cambridge, 277 U.S. 183.</w:t>
      </w:r>
    </w:p>
    <w:p w:rsidR="00A31137" w:rsidRPr="00A31137" w:rsidRDefault="00A31137" w:rsidP="00A31137">
      <w:r w:rsidRPr="00A31137">
        <w:t>1994, Dolan v. City of Tigard, 512 U.S. 414</w:t>
      </w:r>
    </w:p>
    <w:p w:rsidR="00A31137" w:rsidRPr="00A31137" w:rsidRDefault="00A31137" w:rsidP="00A31137">
      <w:r w:rsidRPr="00A31137">
        <w:t>Id. at  540, n. 10. The dissent went on to state that my calling the city to task for failing to explain the need for enacting the ordinance "place[d] the burden on the wrong party." Ibid. (emphasis added). Recently, two other Members of today's majority severely criticized the holding in Moore. See United States v. Carlton, 512 U.S. 26, 40-42 (1994) (SCALIA, J., concurring in judgment); see also id. at 39 (SCALIA, J., concurring in judgment) (calling the doctrine of substantive due process "an oxymoron").</w:t>
      </w:r>
      <w:r w:rsidRPr="00A31137">
        <w:cr/>
      </w:r>
    </w:p>
    <w:p w:rsidR="00A31137" w:rsidRPr="00A31137" w:rsidRDefault="00A31137" w:rsidP="00A31137">
      <w:r w:rsidRPr="00A31137">
        <w:t>SOUTER, J., dissenting (Footnotes)</w:t>
      </w:r>
    </w:p>
    <w:p w:rsidR="00A31137" w:rsidRPr="00A31137" w:rsidRDefault="00A31137" w:rsidP="00A31137">
      <w:r w:rsidRPr="00A31137">
        <w:t>1994, Dolan v. City of Tigard, 512 U.S. 414</w:t>
      </w:r>
    </w:p>
    <w:p w:rsidR="00A31137" w:rsidRPr="00A31137" w:rsidRDefault="00A31137" w:rsidP="00A31137">
      <w:r w:rsidRPr="00A31137">
        <w:t>* See, e.g., Goldblatt v. Hempstead, 369 U.S. 590, 594-596 (1962); United States v. Sperry Corp., 493 U.S. 52, 60 (1989). The majority characterizes this case as involving an "adjudicative decision" to impose permit conditions, ante at  391, n. 8, but the permit conditions were imposed pursuant to Tigard's Community Development Code. See, e.g., § 18.84.040, App. to Brief for Respondent B-26. The adjudication here was of Dolan's requested variance from the permit conditions otherwise required to be imposed by the Code. This case raises no question about discriminatory, or "reverse spot" zoning, which "singles out a particular parcel for different, less favorable treatment than the neighboring ones." Penn Central Transp. Co. v. New York City, 438 U.S. 104,  132 (1978).</w:t>
      </w:r>
    </w:p>
    <w:p w:rsidR="00A31137" w:rsidRPr="00A31137" w:rsidRDefault="00A31137" w:rsidP="00A31137">
      <w:r w:rsidRPr="00A31137">
        <w:t>Board of Ed. v. Grumet, 1994</w:t>
      </w:r>
    </w:p>
    <w:p w:rsidR="00A31137" w:rsidRPr="00A31137" w:rsidRDefault="00A31137" w:rsidP="00A31137">
      <w:r w:rsidRPr="00A31137">
        <w:t>Title:</w:t>
      </w:r>
      <w:r w:rsidRPr="00A31137">
        <w:tab/>
        <w:t>Board of Education or Kiryas Joel Village School District v. Grumet</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27, 1994</w:t>
      </w:r>
    </w:p>
    <w:p w:rsidR="00A31137" w:rsidRPr="00A31137" w:rsidRDefault="00A31137" w:rsidP="00A31137">
      <w:r w:rsidRPr="00A31137">
        <w:t>Source:</w:t>
      </w:r>
      <w:r w:rsidRPr="00A31137">
        <w:tab/>
        <w:t>512 U.S. 687</w:t>
      </w:r>
    </w:p>
    <w:p w:rsidR="00A31137" w:rsidRPr="00A31137" w:rsidRDefault="00A31137" w:rsidP="00A31137">
      <w:r w:rsidRPr="00A31137">
        <w:t>This case was argued March 30, 1994, and was decided June 27, 1994, together with No. 93-527, Board of Education of Monroe-Woodbury Central School District v. Grumet et al., and No. 93-539, Attorney General of New York v. Grumet et al., also on certiorari to the same court.</w:t>
      </w:r>
    </w:p>
    <w:p w:rsidR="00A31137" w:rsidRPr="00A31137" w:rsidRDefault="00A31137" w:rsidP="00A31137">
      <w:r w:rsidRPr="00A31137">
        <w:t>CERTIORARI TO THE COURT OF APPEALS OF NEW YORK</w:t>
      </w:r>
    </w:p>
    <w:p w:rsidR="00A31137" w:rsidRPr="00A31137" w:rsidRDefault="00A31137" w:rsidP="00A31137">
      <w:r w:rsidRPr="00A31137">
        <w:t>Syllabus</w:t>
      </w:r>
    </w:p>
    <w:p w:rsidR="00A31137" w:rsidRPr="00A31137" w:rsidRDefault="00A31137" w:rsidP="00A31137">
      <w:r w:rsidRPr="00A31137">
        <w:t>1994, Board of Ed. v. Grumet, 512 U.S. 687</w:t>
      </w:r>
    </w:p>
    <w:p w:rsidR="00A31137" w:rsidRPr="00A31137" w:rsidRDefault="00A31137" w:rsidP="00A31137">
      <w:r w:rsidRPr="00A31137">
        <w:t>The New York Village of Kiryas Joel is a religious enclave of Satmar Hasidim, practitioners of a strict form of Judaism. Its incorporators intentionally drew its boundaries under the State's general village incorporation law to exclude all but Satmars. The village fell within the Monroe-Woodbury Central School District until a special state statute, 1989 N.Y.Laws, ch. 748, carved out a separate district that follows village lines. Although the statute gives a locally elected school board plenary authority over primary and secondary education in the village, the board currently runs only a special education program for handicapped children; other village children attend private religious schools, which do not offer special educational services. Shortly before the new district began operations, respondents and others brought this action claiming, inter alia, that Chapter 748 violates the Establishment Clause of the First Amendment. The state trial court granted summary judgment for respondents, and both the intermediate appellate court and the New York Court of Appeals affirmed, ruling that Chapter 748's primary effect was impermissibly to advance religion.</w:t>
      </w:r>
    </w:p>
    <w:p w:rsidR="00A31137" w:rsidRPr="00A31137" w:rsidRDefault="00A31137" w:rsidP="00A31137">
      <w:r w:rsidRPr="00A31137">
        <w:t>1994, Board of Ed. v. Grumet, 512 U.S. 687</w:t>
      </w:r>
    </w:p>
    <w:p w:rsidR="00A31137" w:rsidRPr="00A31137" w:rsidRDefault="00A31137" w:rsidP="00A31137">
      <w:r w:rsidRPr="00A31137">
        <w:t>Held: The judgment is affirmed.</w:t>
      </w:r>
    </w:p>
    <w:p w:rsidR="00A31137" w:rsidRPr="00A31137" w:rsidRDefault="00A31137" w:rsidP="00A31137">
      <w:r w:rsidRPr="00A31137">
        <w:t>1994, Board of Ed. v. Grumet, 512 U.S. 687</w:t>
      </w:r>
    </w:p>
    <w:p w:rsidR="00A31137" w:rsidRPr="00A31137" w:rsidRDefault="00A31137" w:rsidP="00A31137">
      <w:r w:rsidRPr="00A31137">
        <w:t>81 N.Y. 2d 518, 618 N. E. 2d 94, affirmed.</w:t>
      </w:r>
    </w:p>
    <w:p w:rsidR="00A31137" w:rsidRPr="00A31137" w:rsidRDefault="00A31137" w:rsidP="00A31137">
      <w:r w:rsidRPr="00A31137">
        <w:t>1994, Board of Ed. v. Grumet, 512 U.S. 687</w:t>
      </w:r>
    </w:p>
    <w:p w:rsidR="00A31137" w:rsidRPr="00A31137" w:rsidRDefault="00A31137" w:rsidP="00A31137">
      <w:r w:rsidRPr="00A31137">
        <w:t>JUSTICE SOUTER delivered the opinion of the Court with respect to Parts II-B, II-C, and III, concluding that Chapter 748 violates the Establishment Clause. Pp.  702-710.</w:t>
      </w:r>
    </w:p>
    <w:p w:rsidR="00A31137" w:rsidRPr="00A31137" w:rsidRDefault="00A31137" w:rsidP="00A31137">
      <w:r w:rsidRPr="00A31137">
        <w:t>1994, Board of Ed. v. Grumet, 512 U.S. 687</w:t>
      </w:r>
    </w:p>
    <w:p w:rsidR="00A31137" w:rsidRPr="00A31137" w:rsidRDefault="00A31137" w:rsidP="00A31137">
      <w:r w:rsidRPr="00A31137">
        <w:t>(a) Because the Kiryas Joel Village School District did not receive its new governmental authority simply as one of many communities eligible for equal treatment under a general law, there is no assurance that the next religious community seeking a school district of its own will receive one. The anomalously case-specific creation of this district for a religious community leaves the Court without any way to review such state action for the purpose of safeguarding the principle that government should not prefer one religion to another, or religion to irreligion. Nor can the historical context furnish any reason to suppose that the Satmars [512 U.S. 688] are merely one in a series of similarly benefited communities, the special Act in this case being entirely at odds with New York's historical trend. Pp. 702-705.</w:t>
      </w:r>
    </w:p>
    <w:p w:rsidR="00A31137" w:rsidRPr="00A31137" w:rsidRDefault="00A31137" w:rsidP="00A31137">
      <w:r w:rsidRPr="00A31137">
        <w:t>1994, Board of Ed. v. Grumet, 512 U.S. 688</w:t>
      </w:r>
    </w:p>
    <w:p w:rsidR="00A31137" w:rsidRPr="00A31137" w:rsidRDefault="00A31137" w:rsidP="00A31137">
      <w:r w:rsidRPr="00A31137">
        <w:t>(b) Although the Constitution allows the State to accommodate religious needs by alleviating special burdens, Chapter 748 crosses the line from permissible accommodation to impermissible establishment. There are, however, several alternatives for providing bilingual and bicultural special education to Satmar children that do not implicate the Establishment Clause. The Monroe-Woodbury school district could offer an educationally appropriate program at one of its public schools or at a neutral site near one of the village's parochial schools, and if the state legislature should remain dissatisfied with the local district's responsiveness, it could enact general legislation tightening the mandate to school districts on matters of special education or bilingual and bicultural offerings. Pp.  705-708.</w:t>
      </w:r>
    </w:p>
    <w:p w:rsidR="00A31137" w:rsidRPr="00A31137" w:rsidRDefault="00A31137" w:rsidP="00A31137">
      <w:r w:rsidRPr="00A31137">
        <w:t>1994, Board of Ed. v. Grumet, 512 U.S. 688</w:t>
      </w:r>
    </w:p>
    <w:p w:rsidR="00A31137" w:rsidRPr="00A31137" w:rsidRDefault="00A31137" w:rsidP="00A31137">
      <w:r w:rsidRPr="00A31137">
        <w:t>JUSTICE SOUTER, joined by JUSTICE BLACKMUN, JUSTICE STEVENS, and JUSTICE GINSBURG, concluded in Part II-A that, by delegating the State's discretionary authority over public schools to a group defined by its common religion, Chapter 748 brings about an impermissible "fusion" of governmental and religious functions. See Larkin v. Grendel's Den, Inc., 459 U.S. 116,  126,  127. That a religious criterion was the defining test is shown by the legislature's undisputed knowledge that the village was exclusively Satmar when the statute was adopted; by the fact that the creation of such a small and specialized school district ran uniquely counter to customary districting practices in the State; and by the district's origin in a special and unusual legislative Act, rather than the State's general laws for school district organization. The result is that the legislature has delegated civic authority on the basis of religious belief, rather than on neutral principles. Pp.  696-702.</w:t>
      </w:r>
    </w:p>
    <w:p w:rsidR="00A31137" w:rsidRPr="00A31137" w:rsidRDefault="00A31137" w:rsidP="00A31137">
      <w:r w:rsidRPr="00A31137">
        <w:t>1994, Board of Ed. v. Grumet, 512 U.S. 688</w:t>
      </w:r>
    </w:p>
    <w:p w:rsidR="00A31137" w:rsidRPr="00A31137" w:rsidRDefault="00A31137" w:rsidP="00A31137">
      <w:r w:rsidRPr="00A31137">
        <w:t>JUSTICE KENNEDY, agreeing that the Kiryas Joel Village School District violates the Establishment Clause, concluded that the school district's real vice is that New York created it by drawing political boundaries on the basis of religion. See, e.g., Shaw v. Reno, 509 U.S. 630, 648-649.   There is more than a fine line between the voluntary association that leads to a political community comprised of people who share a common religious faith, and the forced separation that occurs when the government draws explicit political boundaries on the basis of peoples' faith. In creating the district in question, New York crossed that line. Pp.  728-730.</w:t>
      </w:r>
    </w:p>
    <w:p w:rsidR="00A31137" w:rsidRPr="00A31137" w:rsidRDefault="00A31137" w:rsidP="00A31137">
      <w:r w:rsidRPr="00A31137">
        <w:t>1994, Board of Ed. v. Grumet, 512 U.S. 688</w:t>
      </w:r>
    </w:p>
    <w:p w:rsidR="00A31137" w:rsidRPr="00A31137" w:rsidRDefault="00A31137" w:rsidP="00A31137">
      <w:r w:rsidRPr="00A31137">
        <w:t xml:space="preserve">SOUTER, J., announced the judgment of the Court and delivered the opinion of the Court with respect to Parts I, II-B, II-C, and III, in which BLACKMUN, STEVENS, O'CONNOR, and GINSBURG, JJ., joined, and an opinion [512 U.S. 689] with respect to Parts II (introduction) and II-A, in which BLACKMUN, STEVENS, and GINSBURG, JJ., joined. BLACKMUN, J., filed a concurring opinion, post, p. 710. STEVENS, J., filed a concurring opinion, in which BLACKMUN and GINSBURG, JJ., joined, post, p. 711. O'CONNOR, J., filed an opinion concurring in part and concurring in the judgment, post, p. 712. KENNEDY, J., filed an opinion concurring in the judgment, post, p.  722. SCALIA, J., filed a dissenting opinion, in which REHNQUIST, C.J., and THOMAS, J., joined, post, p. 732. [512 U.S. 690] </w:t>
      </w:r>
    </w:p>
    <w:p w:rsidR="00A31137" w:rsidRPr="00A31137" w:rsidRDefault="00A31137" w:rsidP="00A31137">
      <w:r w:rsidRPr="00A31137">
        <w:t>SOUTER, J., lead opinion</w:t>
      </w:r>
    </w:p>
    <w:p w:rsidR="00A31137" w:rsidRPr="00A31137" w:rsidRDefault="00A31137" w:rsidP="00A31137">
      <w:r w:rsidRPr="00A31137">
        <w:t>1994, Board of Ed. v. Grumet, 512 U.S. 690</w:t>
      </w:r>
    </w:p>
    <w:p w:rsidR="00A31137" w:rsidRPr="00A31137" w:rsidRDefault="00A31137" w:rsidP="00A31137">
      <w:r w:rsidRPr="00A31137">
        <w:t>JUSTICE SOUTER delivered the opinion of the Court.</w:t>
      </w:r>
    </w:p>
    <w:p w:rsidR="00A31137" w:rsidRPr="00A31137" w:rsidRDefault="00A31137" w:rsidP="00A31137">
      <w:r w:rsidRPr="00A31137">
        <w:t>1994, Board of Ed. v. Grumet, 512 U.S. 690</w:t>
      </w:r>
    </w:p>
    <w:p w:rsidR="00A31137" w:rsidRPr="00A31137" w:rsidRDefault="00A31137" w:rsidP="00A31137">
      <w:r w:rsidRPr="00A31137">
        <w:t>The Village of Kiryas Joel in Orange County, New York, is a religious enclave of Satmar Hasidim, practitioners of a strict form of Judaism. The village fell within the Monroe-Woodbury Central School District until a special state statute passed in 1989 carved out a separate district, following village lines, to serve this distinctive population. 1989 N.Y.Laws, ch. 748. The question is whether the Act creating the separate school district violates the Establishment Clause of the First Amendment, binding on the States through the Fourteenth Amendment. Because this unusual act is tantamount to an allocation of political power on a religious criterion and neither presupposes nor requires governmental impartiality toward religion, we hold that it violates the prohibition against establishment.</w:t>
      </w:r>
    </w:p>
    <w:p w:rsidR="00A31137" w:rsidRPr="00A31137" w:rsidRDefault="00A31137" w:rsidP="00A31137">
      <w:r w:rsidRPr="00A31137">
        <w:t>I</w:t>
      </w:r>
    </w:p>
    <w:p w:rsidR="00A31137" w:rsidRPr="00A31137" w:rsidRDefault="00A31137" w:rsidP="00A31137">
      <w:r w:rsidRPr="00A31137">
        <w:t>1994, Board of Ed. v. Grumet, 512 U.S. 690</w:t>
      </w:r>
    </w:p>
    <w:p w:rsidR="00A31137" w:rsidRPr="00A31137" w:rsidRDefault="00A31137" w:rsidP="00A31137">
      <w:r w:rsidRPr="00A31137">
        <w:t>The Satmar Hasidic sect takes its name from the town near the Hungarian and Romanian border where, in the early years of this century, Grand Rebbe Joel Teitelbaum molded the group into a distinct community. After World War II and the destruction of much of European Jewry, the Grand [512 U.S. 691] Rebbe and most of his surviving followers moved to the Williamsburg section of Brooklyn, New York. Then, 20 years ago, the Satmars purchased an approved but undeveloped subdivision in the town of Monroe and began assembling the community that has since become the Village of Kiryas Joel. When a zoning dispute arose in the course of settlement, the Satmars presented the Town Board of Monroe with a petition to form a new village within the town, a right that New York's Village Law gives almost any group of residents who satisfy certain procedural niceties. See N.Y. Village Law, Art. 2 (McKinney 1973 and Supp. 1994). Neighbors who did not wish to secede with the Satmars objected strenuously, and, after arduous negotiations, the proposed boundaries of the Village of Kiryas Joel were drawn to include just the 320 acres owned and inhabited entirely by Satmars. The village, incorporated in 1977, has a population of about 8,500 today. Rabbi Aaron Teitelbaum, eldest son of the current Grand Rebbe, serves as the village rov (chief rabbi) and rosh yeshivah (chief authority in the parochial schools).</w:t>
      </w:r>
    </w:p>
    <w:p w:rsidR="00A31137" w:rsidRPr="00A31137" w:rsidRDefault="00A31137" w:rsidP="00A31137">
      <w:r w:rsidRPr="00A31137">
        <w:t>1994, Board of Ed. v. Grumet, 512 U.S. 691</w:t>
      </w:r>
    </w:p>
    <w:p w:rsidR="00A31137" w:rsidRPr="00A31137" w:rsidRDefault="00A31137" w:rsidP="00A31137">
      <w:r w:rsidRPr="00A31137">
        <w:t xml:space="preserve">The residents of Kiryas Joel are vigorously religious people who make few concessions to the modern world and go to great lengths to avoid assimilation into it. They interpret the Torah strictly; segregate the sexes outside the home; speak Yiddish as their primary language; eschew television, radio, and English language publications; and dress in distinctive ways that include headcoverings and special garments for boys and modest dresses for girls. Children are educated in private religious schools, most boys at the United Talmudic Academy, where they receive a thorough grounding in the Torah and limited exposure to secular subjects, and most girls at Bais Rochel, an affiliated school with a curriculum designed to prepare girls for their roles as wives and mothers. See generally W. Kephart &amp; W. Zellner, Extraordinary Groups (4th ed. 1991); I. Rubin, Satmar, An Island in the City (1972). [512 U.S. 692] </w:t>
      </w:r>
    </w:p>
    <w:p w:rsidR="00A31137" w:rsidRPr="00A31137" w:rsidRDefault="00A31137" w:rsidP="00A31137">
      <w:r w:rsidRPr="00A31137">
        <w:t>1994, Board of Ed. v. Grumet, 512 U.S. 692</w:t>
      </w:r>
    </w:p>
    <w:p w:rsidR="00A31137" w:rsidRPr="00A31137" w:rsidRDefault="00A31137" w:rsidP="00A31137">
      <w:r w:rsidRPr="00A31137">
        <w:t>These schools do not, however, offer any distinctive services to handicapped children, who are entitled under state and federal law to special education services even when enrolled in private schools. Individuals with Disabilities Education Act, 20 U.S.C. § 1400 et seq. (1988 ed. and Supp. IV); N.Y.Educ.Law, Art. 89 (McKinney 1981 and Supp. 1994). Starting in 1984 the Monroe-Woodbury Central School District provided such services for the children of Kiryas Joel at an annex to Bais Rochel, but a year later ended that arrangement in response to our decisions in Aguilar v. Felton, 473 U.S. 402 (1985), and School Dist. of Grand Rapids v. Ball, 473 U.S. 373 (1985). Children from Kiryas Joel who needed special education (including the deaf, the mentally retarded, and others suffering from a range of physical, mental, or emotional disorders) were then forced to attend public schools outside the village, which their families found highly unsatisfactory. Parents of most of these children withdrew them from the Monroe-Woodbury secular schools, citing "the panic, fear and trauma [the children] suffered in leaving their own community and being with people whose ways were so different," and some sought administrative review of the public school placements. Board of Ed. of Monroe-Woodbury Central School Dist. v. Wieder, 72 N.Y.2d 174, 180-181, 527 N.E.2d 767, 770 (1988).</w:t>
      </w:r>
    </w:p>
    <w:p w:rsidR="00A31137" w:rsidRPr="00A31137" w:rsidRDefault="00A31137" w:rsidP="00A31137">
      <w:r w:rsidRPr="00A31137">
        <w:t>1994, Board of Ed. v. Grumet, 512 U.S. 692</w:t>
      </w:r>
    </w:p>
    <w:p w:rsidR="00A31137" w:rsidRPr="00A31137" w:rsidRDefault="00A31137" w:rsidP="00A31137">
      <w:r w:rsidRPr="00A31137">
        <w:t>Monroe-Woodbury, for its part, sought a declaratory judgment in state court that New York law barred the district from providing special education services outside the district's regular public schools. Id. at 180, 527 N.E.2d at 770. The New York Court of Appeals disagreed, holding that state law left Monroe-Woodbury free to establish a separate school in the village because it gives educational authorities broad discretion in fashioning an appropriate program. Id. at 186-187, 527 N.E.2d at 773. The court added, however, that the Satmars' constitutional right to exercise their religion freely did not require a separate school, since the parents had alleged emotional trauma, not inconsistency [512 U.S. 693] with religious practice or doctrine, as the reason for seeking separate treatment. Id. at 189, 527 N.E.2d at 775.</w:t>
      </w:r>
    </w:p>
    <w:p w:rsidR="00A31137" w:rsidRPr="00A31137" w:rsidRDefault="00A31137" w:rsidP="00A31137">
      <w:r w:rsidRPr="00A31137">
        <w:t>1994, Board of Ed. v. Grumet, 512 U.S. 693</w:t>
      </w:r>
    </w:p>
    <w:p w:rsidR="00A31137" w:rsidRPr="00A31137" w:rsidRDefault="00A31137" w:rsidP="00A31137">
      <w:r w:rsidRPr="00A31137">
        <w:t>By 1989, only one child from Kiryas Joel was attending Monroe-Woodbury's public schools; the village's other handicapped children received privately funded special services or went without. It was then that the New York Legislature passed the statute at issue in this litigation, which provided that the Village of Kiryas Joel "is constituted a separate school district,…and shall have and enjoy all the powers and duties of a union free school district…. " 1989 N.Y.Laws, ch. 748. 1 The statute thus empowered a locally elected board of education to take such action as opening schools and closing them, hiring teachers, prescribing textbooks, establishing disciplinary rules, and raising property taxes to fund operations. N.Y.Educ.Law § 1709 (McKinney 1988). In signing the bill into law, Governor Cuomo recognized that the residents of the new school district were "all members of the same religious sect," but said that the bill was "a good faith effort to solve th[e] unique problem" associated with providing special education services to handicapped children in the village. Memorandum filed with Assembly Bill Number 8747 (July 24, 1989), App. 40-41.</w:t>
      </w:r>
    </w:p>
    <w:p w:rsidR="00A31137" w:rsidRPr="00A31137" w:rsidRDefault="00A31137" w:rsidP="00A31137">
      <w:r w:rsidRPr="00A31137">
        <w:t>1994, Board of Ed. v. Grumet, 512 U.S. 693</w:t>
      </w:r>
    </w:p>
    <w:p w:rsidR="00A31137" w:rsidRPr="00A31137" w:rsidRDefault="00A31137" w:rsidP="00A31137">
      <w:r w:rsidRPr="00A31137">
        <w:t>Although it enjoys plenary legal authority over the elementary and secondary education of all school-aged children [512 U.S. 694] in the village, N.Y.Educ.Law § 3202 (McKinney 1981 and Supp. 1994), the Kiryas Joel Village School District currently runs only a special education program for handicapped children. The other village children have stayed in their parochial schools, relying on the new school district only for transportation, remedial education, and health and welfare services. If any child without handicap in Kiryas Joel were to seek a public school education, the district would pay tuition to send the child into Monroe-Woodbury or another school district nearby. Under like arrangements, several of the neighboring districts send their handicapped Hasidic children into Kiryas Joel, so that two thirds of the full-time students in the village's public school come from outside. In all, the new district serves just over 40 full-time students, and two or three times that many parochial school students on a part-time basis.</w:t>
      </w:r>
    </w:p>
    <w:p w:rsidR="00A31137" w:rsidRPr="00A31137" w:rsidRDefault="00A31137" w:rsidP="00A31137">
      <w:r w:rsidRPr="00A31137">
        <w:t>1994, Board of Ed. v. Grumet, 512 U.S. 694</w:t>
      </w:r>
    </w:p>
    <w:p w:rsidR="00A31137" w:rsidRPr="00A31137" w:rsidRDefault="00A31137" w:rsidP="00A31137">
      <w:r w:rsidRPr="00A31137">
        <w:t>Several months before the new district began operations, the New York State School Boards Association and respondents Grumet and Hawk brought this action against the State Education Department and various state officials, challenging Chapter 748 under the national and state constitutions as an unconstitutional establishment of religion. 2 The State Supreme Court for Albany County allowed the Kiryas Joel Village School District and the Monroe-Woodbury Central School District to intervene as parties defendant and accepted the parties' stipulation discontinuing the action against the original state defendants, although the Attorney General of New York continued to appear to defend the constitutionality of the statute. See N.Y.Exec.Law § 71 (McKinney [512 U.S. 695] 1993). On cross-motions for summary judgment, the trial court ruled for the plaintiffs (respondents here), finding that the statute failed all three prongs of the test in Lemon v. Kurtzman, 403 U.S. 602 (1971), and was thus unconstitutional under both the National and State Constitutions. Grumet v. New York State Ed. Dept., 151 Misc.2d 60, 579 N.Y.S.2d 1004 (1992).</w:t>
      </w:r>
    </w:p>
    <w:p w:rsidR="00A31137" w:rsidRPr="00A31137" w:rsidRDefault="00A31137" w:rsidP="00A31137">
      <w:r w:rsidRPr="00A31137">
        <w:t>1994, Board of Ed. v. Grumet, 512 U.S. 695</w:t>
      </w:r>
    </w:p>
    <w:p w:rsidR="00A31137" w:rsidRPr="00A31137" w:rsidRDefault="00A31137" w:rsidP="00A31137">
      <w:r w:rsidRPr="00A31137">
        <w:t>A divided Appellate Division affirmed on the ground that Chapter 748 had the primary effect of advancing religion, in violation of both constitutions, 187 App.Div.2d 16, 592 N.Y.S.2d 123 (1992), and the state Court of Appeals affirmed on the federal question, while expressly reserving the state constitutional issue, 81 N.Y.2d 518, 618 N. E.2d 94 (1993). Judge Smith wrote for the court in concluding that because both the district's public school population and its school board would be exclusively Hasidic, the statute created a "symbolic union of church and state" that was "likely to be perceived by the Satmarer Hasidim as an endorsement of their religious choices, or by nonadherents as a disapproval" of their own. Id. at 529, 618 N.E.2d at 100. As a result, said the majority, the statute's primary effect was an impermissible advancement of religious belief. In a concurring opinion, Judge Hancock found the effect purposeful, so that the statute violated the first as well as the second prong of Lemon. Id. at 540, 618 N.E.2d at 107. Chief Judge Kaye took a different tack, applying the strict scrutiny we have prescribed for statutes singling out a particular religion for special privileges or burdens; she found Chapter 748 invalid as an unnecessarily broad response to a narrow problem, since it creates a full school district instead of simply prescribing a local school for the village's handicapped children. Id. at 532, 618 N.E.2d at 102 (concurring opinion). In dissent, Judge Bellacosa objected that the new district was created to enable the village's handicapped children to receive a secular, public school education; that this was, indeed, its primary effect; and that any attenuated benefit [512 U.S. 696] to religion was a reasonable accommodation of both religious and cultural differences. Id. at 550-551, 618 N.E.2d at 113.</w:t>
      </w:r>
    </w:p>
    <w:p w:rsidR="00A31137" w:rsidRPr="00A31137" w:rsidRDefault="00A31137" w:rsidP="00A31137">
      <w:r w:rsidRPr="00A31137">
        <w:t>1994, Board of Ed. v. Grumet, 512 U.S. 696</w:t>
      </w:r>
    </w:p>
    <w:p w:rsidR="00A31137" w:rsidRPr="00A31137" w:rsidRDefault="00A31137" w:rsidP="00A31137">
      <w:r w:rsidRPr="00A31137">
        <w:t>We stayed the mandate of the Court of Appeals, 509 U.S. 989 (1993), and granted certiorari, 510 U.S. 989 (1993).</w:t>
      </w:r>
    </w:p>
    <w:p w:rsidR="00A31137" w:rsidRPr="00A31137" w:rsidRDefault="00A31137" w:rsidP="00A31137">
      <w:r w:rsidRPr="00A31137">
        <w:t>II</w:t>
      </w:r>
    </w:p>
    <w:p w:rsidR="00A31137" w:rsidRPr="00A31137" w:rsidRDefault="00A31137" w:rsidP="00A31137">
      <w:r w:rsidRPr="00A31137">
        <w:t>1994, Board of Ed. v. Grumet, 512 U.S. 696</w:t>
      </w:r>
    </w:p>
    <w:p w:rsidR="00A31137" w:rsidRPr="00A31137" w:rsidRDefault="00A31137" w:rsidP="00A31137">
      <w:r w:rsidRPr="00A31137">
        <w:t>"A proper respect for both the Free Exercise and the Establishment Clauses compels the State to pursue a course of 'neutrality' toward religion," Committee for Public Ed. &amp; Religious Liberty v. Nyquist, 413 U.S. 756, 792-793 (1973), favoring neither one religion over others nor religious adherents collectively over nonadherents. See Epperson v. Arkansas, 393 U.S. 97,  104 (1968). Chapter 748, the statute creating the Kiryas Joel Village School District, departs from this constitutional command by delegating the State's discretionary authority over public schools to a group defined by its character as a religious community, in a legal and historical context that gives no assurance that governmental power has been or will be exercised neutrally.</w:t>
      </w:r>
    </w:p>
    <w:p w:rsidR="00A31137" w:rsidRPr="00A31137" w:rsidRDefault="00A31137" w:rsidP="00A31137">
      <w:r w:rsidRPr="00A31137">
        <w:t>1994, Board of Ed. v. Grumet, 512 U.S. 696</w:t>
      </w:r>
    </w:p>
    <w:p w:rsidR="00A31137" w:rsidRPr="00A31137" w:rsidRDefault="00A31137" w:rsidP="00A31137">
      <w:r w:rsidRPr="00A31137">
        <w:t>Larkin v. Grendel's Den, Inc., 459 U.S. 116 (1982), provides an instructive comparison with the litigation before us. There, the Court was requested to strike down a Massachusetts statute granting religious bodies veto power over applications for liquor licenses. Under the statute, the governing body of any church, synagogue, or school located within 500 feet of an applicant's premises could, simply by submitting written objection, prevent the Alcohol Beverage Control Commission from issuing a license. Id. at  117. In spite of the State's valid interest in protecting churches, schools, and like institutions from "'the hurly-burly' associated with liquor outlets," id. at  123 (internal quotation marks omitted), the Court found that in two respects the statute violated "the wholesome 'neutrality' of which this Court's cases speak," School Dist. of Abington v. Schempp, 374 U.S. 203,  222 (1963). The Act brought about a "'fusion of [512 U.S. 697] governmental and religious functions'" by delegating "important, discretionary governmental powers" to religious bodies, thus impermissibly entangling government and religion. 459 U.S. at  126,  127 (quoting Abington School Dist. v. Schempp, supra, at  222); see also Lemon v. Kurtzman, supra, at  613. And it lacked "any 'effective means of guaranteeing' that the delegated power '[would] be used exclusively for secular, neutral, and nonideological purposes,'" 459 U.S. at  125 (quoting Committee for Public Ed. &amp; Religious Liberty v. Nyquist, supra, at  780); this, along with the "significant symbolic benefit to religion" associated with "the mere appearance of a joint exercise of legislative authority by Church and State," led the Court to conclude that the statute had a "'primary' and 'principal' effect of advancing religion," 459 U.S. at 125-126; see also Lemon v. Kurtzman, supra, at  612. Comparable constitutional problems inhere in the statute before us.</w:t>
      </w:r>
    </w:p>
    <w:p w:rsidR="00A31137" w:rsidRPr="00A31137" w:rsidRDefault="00A31137" w:rsidP="00A31137">
      <w:r w:rsidRPr="00A31137">
        <w:t>A</w:t>
      </w:r>
    </w:p>
    <w:p w:rsidR="00A31137" w:rsidRPr="00A31137" w:rsidRDefault="00A31137" w:rsidP="00A31137">
      <w:r w:rsidRPr="00A31137">
        <w:t>1994, Board of Ed. v. Grumet, 512 U.S. 697</w:t>
      </w:r>
    </w:p>
    <w:p w:rsidR="00A31137" w:rsidRPr="00A31137" w:rsidRDefault="00A31137" w:rsidP="00A31137">
      <w:r w:rsidRPr="00A31137">
        <w:t xml:space="preserve">Larkin presented an example of united civic and religious authority, an establishment rarely found in such straightforward form in modern America, cf. Wolman v. Walter, 433 U.S. 229, 263 (1977) (Powell, J., concurring in part, concurring in judgment in part, and dissenting in part), and a violation of "the core rationale underlying the Establishment Clause," 459 U.S. at  126. See also Allegheny County v. American Civil Liberties Union, Greater Pittsburgh Chapter, 492 U.S. 573, 590-591 (1989) (Establishment Clause prevents delegating governmental power to religious group); id. at  660 (KENNEDY, J., concurring in judgment in part and dissenting in part) (same); Everson v. Board of Ed. of Ewing, 330 U.S. 1, 15-16 (1947) (Establishment Clause prevents State from "participat[ing] in the affairs of any religious organizations or groups and vice versa"); Torcaso v. Watkins, 367 U.S. 488, 493-494 (1961) (same). [512 U.S. 698] </w:t>
      </w:r>
    </w:p>
    <w:p w:rsidR="00A31137" w:rsidRPr="00A31137" w:rsidRDefault="00A31137" w:rsidP="00A31137">
      <w:r w:rsidRPr="00A31137">
        <w:t>1994, Board of Ed. v. Grumet, 512 U.S. 698</w:t>
      </w:r>
    </w:p>
    <w:p w:rsidR="00A31137" w:rsidRPr="00A31137" w:rsidRDefault="00A31137" w:rsidP="00A31137">
      <w:r w:rsidRPr="00A31137">
        <w:t>The Establishment Clause problem presented by Chapter 748 is more subtle, but it resembles the issue raised in Larkin to the extent that the earlier case teaches that a State may not delegate its civic authority to a group chosen according to a religious criterion. Authority over public schools belongs to the State, N.Y.Const., Art. XI, § 1 (McKinney 1987), and cannot be delegated to a local school district defined by the State in order to grant political control to a religious group. What makes this litigation different from Larkin is the delegation here of civic power to the "qualified voters of the village of Kiryas Joel," 1989 N.Y.Laws, ch. 748, as distinct from a religious leader such as the village rov, or an institution of religious government like the formally constituted parish council in Larkin. In light of the circumstances of this case, however, this distinction turns out to lack constitutional significance.</w:t>
      </w:r>
    </w:p>
    <w:p w:rsidR="00A31137" w:rsidRPr="00A31137" w:rsidRDefault="00A31137" w:rsidP="00A31137">
      <w:r w:rsidRPr="00A31137">
        <w:t>1994, Board of Ed. v. Grumet, 512 U.S. 698</w:t>
      </w:r>
    </w:p>
    <w:p w:rsidR="00A31137" w:rsidRPr="00A31137" w:rsidRDefault="00A31137" w:rsidP="00A31137">
      <w:r w:rsidRPr="00A31137">
        <w:t>It is, first, not dispositive that the recipients of state power in this case are a group of religious individuals united by common doctrine, not the group's leaders or officers. Although some school district franchise is common to all voters, the State's manipulation of the franchise for this district limited it to Satmars, giving the sect exclusive control of the political subdivision. In the circumstances of this case, the difference between thus vesting state power in the members of a religious group as such instead of the officers of its sectarian organization is one of form, not substance. It is true that religious people (or groups of religious people) cannot be denied the opportunity to exercise the rights of citizens simply because of their religious affiliations or commitments, for such a disability would violate the right to religious free exercise, see McDaniel v. Paty, 435 U.S. 618 (1978), which the First Amendment guarantees as certainly as it bars any establishment. But McDaniel, which held that a religious individual could not, because of his religious activities, be denied the right to hold political office, is not in point here. That individuals who happen to be religious [512 U.S. 699] may hold public office does not mean that a state may deliberately delegate discretionary power to an individual, institution, or community on the ground of religious identity. If New York were to delegate civic authority to "the Grand Rebbe," Larkin would obviously require invalidation (even though under McDaniel the Grand Rebbe may run for, and serve on his local school board), and the same is true if New York delegates political authority by reference to religious belief. Where "fusion" is an issue, the difference lies in the distinction between a government's purposeful delegation on the basis of religion and a delegation on principles neutral to religion, to individuals whose religious identities are incidental to their receipt of civic authority.</w:t>
      </w:r>
    </w:p>
    <w:p w:rsidR="00A31137" w:rsidRPr="00A31137" w:rsidRDefault="00A31137" w:rsidP="00A31137">
      <w:r w:rsidRPr="00A31137">
        <w:t>1994, Board of Ed. v. Grumet, 512 U.S. 699</w:t>
      </w:r>
    </w:p>
    <w:p w:rsidR="00A31137" w:rsidRPr="00A31137" w:rsidRDefault="00A31137" w:rsidP="00A31137">
      <w:r w:rsidRPr="00A31137">
        <w:t>Of course, Chapter 748 delegates power not by express reference to the religious belief of the Satmar community, but to residents of the "territory of the village of Kiryas Joel." 1989 N.Y.Laws, ch. 748. Thus the second (and arguably more important) distinction between this case and Larkin is the identification here of the group to exercise civil authority in terms not expressly religious. But our analysis does not end with the text of the statute at issue, see Church of Lukumi Babalu Aye, Inc. v. Hialeah, 508 U.S. 520,  534 (1993); Wallace v. Jaffree, 472 U.S. 38, 56-61 (1985); Gomillion v. Lightfoot, 364 U.S. 339, 341-342 (1960), and the context here persuades us that Chapter 748 effectively identifies these recipients of governmental authority by reference to doctrinal adherence, even though it does not do so expressly. We find this to be the better view of the facts because of the way the boundary lines of the school district divide residents according to religious affiliation, under the terms of an unusual and special legislative act.</w:t>
      </w:r>
    </w:p>
    <w:p w:rsidR="00A31137" w:rsidRPr="00A31137" w:rsidRDefault="00A31137" w:rsidP="00A31137">
      <w:r w:rsidRPr="00A31137">
        <w:t>1994, Board of Ed. v. Grumet, 512 U.S. 699</w:t>
      </w:r>
    </w:p>
    <w:p w:rsidR="00A31137" w:rsidRPr="00A31137" w:rsidRDefault="00A31137" w:rsidP="00A31137">
      <w:r w:rsidRPr="00A31137">
        <w:t>It is undisputed that those who negotiated the village boundaries when applying the general village incorporation statute drew them so as to exclude all but Satmars, and that the New York Legislature was well aware that the village remained exclusively Satmar in 1989 when it adopted Chapter [512 U.S. 700] 748. See Brief for Petitioner in No. 93-517, p. 20; Brief for Respondents 11. The significance of this fact to the state legislature is indicated by the further fact that carving out the village school district ran counter to customary districting practices in the State. Indeed, the trend in New York is not toward dividing school districts but toward consolidating them. The thousands of small common school districts laid out in the early 19th century have been combined and recombined, first into union free school districts and then into larger central school districts, until only a tenth as many remain today. Univ. of State of N.Y. and State Education Dept., School District Reorganization, Law Pamphlet 14, pp. 8-12 (1962) (hereinafter Law Pamphlet); Woodward, N.Y. State Education Dept., Legal and Organizational History of School District Reorganization in New York State 10-11 (Aug. 1986). Most of these cover several towns, many of them cross county boundaries, and only one remains precisely coterminous with an incorporated village. Law Pamphlet at 24. The object of the State's practice of consolidation is the creation of districts large enough to provide a comprehensive education at affordable cost, which is thought to require at least 500 pupils for a combined junior-senior high school. Univ. of State of N.Y. and State Education Dept., Master Plan for School District Reorganization in New York State 10-11 (rev. ed. 1958). 3 The Kiryas Joel Village School District, in contrast, has only 13 local, full-time students in all (even including out-of-area and part-time students leaves the number under 200), and in offering only special education and remedial programs it makes no pretense to be a full-service district.</w:t>
      </w:r>
    </w:p>
    <w:p w:rsidR="00A31137" w:rsidRPr="00A31137" w:rsidRDefault="00A31137" w:rsidP="00A31137">
      <w:r w:rsidRPr="00A31137">
        <w:t>1994, Board of Ed. v. Grumet, 512 U.S. 700</w:t>
      </w:r>
    </w:p>
    <w:p w:rsidR="00A31137" w:rsidRPr="00A31137" w:rsidRDefault="00A31137" w:rsidP="00A31137">
      <w:r w:rsidRPr="00A31137">
        <w:t xml:space="preserve">The origin of the district in a special act of the legislature, rather than the State's general laws governing school district [512 U.S. 701] reorganization, 4 is likewise anomalous. Although the legislature has established some 20 existing school districts by special act, all but one of these are districts in name only, having been designed to be run by private organizations serving institutionalized children. They have neither tax bases nor student populations of their own but serve children placed by other school districts or public agencies. See N.Y.Educ.Law § 3601-a (Statutory Notes), §§ 4001 and 4005 (McKinney Supp. 1994); Law Pamphlet at 18 ("These districts are school districts only by way of a legal fiction"). The one school district petitioners point to that was formed by special act of the legislature to serve a whole community, as this one was, is a district formed for a new town, much larger and more heterogeneous than this village, being built on land that straddled two existing districts. See 1972 N.Y.Laws, ch. 928 (authorizing Gananda School District). Thus the Kiryas Joel Village School District is exceptional to the point of singularity, as the only district coming to our notice that the legislature carved from a single existing district to serve local residents. Clearly this district "cannot be seen as the fulfillment of [a village's] destiny as an independent governmental entity," United States v. Scotland Neck Bd. of Ed., 407 U.S. 484,  492 (1972) (Burger, C.J., concurring in result). 5 [512 U.S. 702] </w:t>
      </w:r>
    </w:p>
    <w:p w:rsidR="00A31137" w:rsidRPr="00A31137" w:rsidRDefault="00A31137" w:rsidP="00A31137">
      <w:r w:rsidRPr="00A31137">
        <w:t>1994, Board of Ed. v. Grumet, 512 U.S. 702</w:t>
      </w:r>
    </w:p>
    <w:p w:rsidR="00A31137" w:rsidRPr="00A31137" w:rsidRDefault="00A31137" w:rsidP="00A31137">
      <w:r w:rsidRPr="00A31137">
        <w:t>Because the district's creation ran uniquely counter to state practice, following the lines of a religious community where the customary and neutral principles would not have dictated the same result, we have good reasons to treat this district as the reflection of a religious criterion for identifying the recipients of civil authority. Not even the special needs of the children in this community can explain the legislature's unusual Act, for the State could have responded to the concerns of the Satmar parents without implicating the Establishment Clause, as we explain in some detail further on. We therefore find the legislature's Act to be substantially equivalent to defining a political subdivision and hence the qualification for its franchise by a religious test, resulting in a purposeful and forbidden "fusion of governmental and religious functions." Larkin v. Grendel's Den, 459 U.S. at  126 (internal quotation marks and citation omitted). 6</w:t>
      </w:r>
    </w:p>
    <w:p w:rsidR="00A31137" w:rsidRPr="00A31137" w:rsidRDefault="00A31137" w:rsidP="00A31137">
      <w:r w:rsidRPr="00A31137">
        <w:t>B</w:t>
      </w:r>
    </w:p>
    <w:p w:rsidR="00A31137" w:rsidRPr="00A31137" w:rsidRDefault="00A31137" w:rsidP="00A31137">
      <w:r w:rsidRPr="00A31137">
        <w:t>1994, Board of Ed. v. Grumet, 512 U.S. 702</w:t>
      </w:r>
    </w:p>
    <w:p w:rsidR="00A31137" w:rsidRPr="00A31137" w:rsidRDefault="00A31137" w:rsidP="00A31137">
      <w:r w:rsidRPr="00A31137">
        <w:t>The fact that this school district was created by a special and unusual Act of the legislature also gives reason for concern whether the benefit received by the Satmar community is one that the legislature will provide equally to other religious (and nonreligious) groups. This is the second malady [512 U.S. 703] the Larkin Court identified in the law before it, the absence of an "effective means of guaranteeing" that governmental power will be and has been neutrally employed. Id. at  125 (internal quotation marks and citation omitted). But whereas, in Larkin, it was religious groups the Court thought might exercise civic power to advance the interests of religion (or religious adherents), here the threat to neutrality occurs at an antecedent stage.</w:t>
      </w:r>
    </w:p>
    <w:p w:rsidR="00A31137" w:rsidRPr="00A31137" w:rsidRDefault="00A31137" w:rsidP="00A31137">
      <w:r w:rsidRPr="00A31137">
        <w:t>1994, Board of Ed. v. Grumet, 512 U.S. 703</w:t>
      </w:r>
    </w:p>
    <w:p w:rsidR="00A31137" w:rsidRPr="00A31137" w:rsidRDefault="00A31137" w:rsidP="00A31137">
      <w:r w:rsidRPr="00A31137">
        <w:t>The fundamental source of constitutional concern here is that the legislature itself may fail to exercise governmental authority in a religiously neutral way. The anomalously case-specific nature of the legislature's exercise of state authority in creating this district for a religious community leaves the Court without any direct way to review such state action for the purpose of safeguarding a principle at the heart of the Establishment Clause, that government should not prefer one religion to another, or religion to irreligion. See Wallace v. Jaffree, 472 U.S. at 52-54; Epperson v. Arkansas, 393 U.S. at  104; School Dist. of Abington v. Schempp, 374 U.S. at 216-217. Because the religious community of Kiryas Joel did not receive its new governmental authority simply as one of many communities eligible for equal treatment under a general law, 7 we have no assurance that the next similarly situated group seeking a school district of its own will receive one; unlike an administrative agency's denial of an exemption from a generally applicable law, which "would be entitled to a judicial audience," Olsen v. Drug Enforcement Admin., 878 F.2d 1458, 1461 (CADC 1989) (R. B. GINSBURG, J.), a legislature's failure to enact a special law is itself unreviewable. Nor can the historical context in this case furnish us with any reason to suppose that the Satmars are merely one in a series of communities [512 U.S. 704] receiving the benefit of special school district laws. Early on in the development of public education in New York, the State rejected highly localized school districts for New York City when they were promoted as a way to allow separate schooling for Roman Catholic children. R. Church &amp; M. Sedlak, Education in the United States 162, 167-169 (1976). And in more recent history, the special Act in this case stands alone. See supra at  701.</w:t>
      </w:r>
    </w:p>
    <w:p w:rsidR="00A31137" w:rsidRPr="00A31137" w:rsidRDefault="00A31137" w:rsidP="00A31137">
      <w:r w:rsidRPr="00A31137">
        <w:t>1994, Board of Ed. v. Grumet, 512 U.S. 704</w:t>
      </w:r>
    </w:p>
    <w:p w:rsidR="00A31137" w:rsidRPr="00A31137" w:rsidRDefault="00A31137" w:rsidP="00A31137">
      <w:r w:rsidRPr="00A31137">
        <w:t>The general principle that civil power must be exercised in a manner neutral to religion is one the Larkin Court recognized, although it did not discuss the specific possibility of legislative favoritism along religious lines because the statute before it delegated state authority to any religious group assembled near the premises of an applicant for a liquor license, see 459 U.S. at 120-121, n. 3, as well as to a further category of institutions not identified by religion. But the principle is well grounded in our case law, as we have frequently relied explicitly on the general availability of any benefit provided religious groups or individuals in turning aside Establishment Clause challenges. In Walz v. Tax Comm'n of New York City, 397 U.S. 664,  673 (1970), for example, the Court sustained a property tax exemption for religious properties in part because the State had "not singled out one particular church or religious group or even churches as such," but had exempted "a broad class of property owned by nonprofit, quasi-public corporations." Accord, id. at 696-697 (opinion of Harlan, J.). And Bowen v. Kendrick, 487 U.S. 589,  608 (1988), upheld a statute enlisting a "wide spectrum of organizations" in addressing adolescent sexuality because the law was "neutral with respect to the grantee's status as a sectarian or purely secular institution." 8 See also Texas Monthly, Inc. v. Bullock, 489 U.S. [512 U.S. 705] 1 (1989) (striking down sales tax exemption exclusively for religious publications); id. at 14-15 (plurality opinion); id. at 27-28 (BLACKMUN, J., concurring in judgment); Estate of Thornton v. Caldor, Inc., 472 U.S. 703,  711 (1985) (O'CONNOR, J., concurring in judgment) (statute impermissibly "singles out Sabbath observers for special…protection without according similar accommodation to ethical and religious beliefs and practices of other private employees"); cf. Witters v. Washington Dept. of Services for Blind, 474 U.S. 481, 492 (1986) (Powell, J., concurring). Here the benefit flows only to a single sect, but aiding this single, small religious group causes no less a constitutional problem than would follow from aiding a sect with more members or religion as a whole, see Larson v. Valente, 456 U.S. 228, 244-246 (1982), and we are forced to conclude that the State of New York has violated the Establishment Clause.</w:t>
      </w:r>
    </w:p>
    <w:p w:rsidR="00A31137" w:rsidRPr="00A31137" w:rsidRDefault="00A31137" w:rsidP="00A31137">
      <w:r w:rsidRPr="00A31137">
        <w:t>C</w:t>
      </w:r>
    </w:p>
    <w:p w:rsidR="00A31137" w:rsidRPr="00A31137" w:rsidRDefault="00A31137" w:rsidP="00A31137">
      <w:r w:rsidRPr="00A31137">
        <w:t>1994, Board of Ed. v. Grumet, 512 U.S. 705</w:t>
      </w:r>
    </w:p>
    <w:p w:rsidR="00A31137" w:rsidRPr="00A31137" w:rsidRDefault="00A31137" w:rsidP="00A31137">
      <w:r w:rsidRPr="00A31137">
        <w:t>In finding that Chapter 748 violates the requirement of governmental neutrality by extending the benefit of a special franchise, we do not deny that the Constitution allows the state to accommodate religious needs by alleviating special burdens. Our cases leave no doubt that in commanding neutrality the Religion Clauses do not require the government to be oblivious to impositions that legitimate exercises of state power may place on religious belief and practice. Rather, there is</w:t>
      </w:r>
    </w:p>
    <w:p w:rsidR="00A31137" w:rsidRPr="00A31137" w:rsidRDefault="00A31137" w:rsidP="00A31137">
      <w:r w:rsidRPr="00A31137">
        <w:t>1994, Board of Ed. v. Grumet, 512 U.S. 705</w:t>
      </w:r>
    </w:p>
    <w:p w:rsidR="00A31137" w:rsidRPr="00A31137" w:rsidRDefault="00A31137" w:rsidP="00A31137">
      <w:r w:rsidRPr="00A31137">
        <w:t>ample room under the Establishment Clause for "benevolent neutrality which will permit religious exercise to exist without sponsorship and without interference,"</w:t>
      </w:r>
    </w:p>
    <w:p w:rsidR="00A31137" w:rsidRPr="00A31137" w:rsidRDefault="00A31137" w:rsidP="00A31137">
      <w:r w:rsidRPr="00A31137">
        <w:t>1994, Board of Ed. v. Grumet, 512 U.S. 705</w:t>
      </w:r>
    </w:p>
    <w:p w:rsidR="00A31137" w:rsidRPr="00A31137" w:rsidRDefault="00A31137" w:rsidP="00A31137">
      <w:r w:rsidRPr="00A31137">
        <w:t>Corporation of Presiding Bishop of Church of Jesus Christ of Later-day Saints v. Amos, 483 U.S. 327,  334 (1987) (quoting Walz v. Tax Comm'n, supra, at  673); "government may (and sometimes must) accommodate religious practices and…may do so without violating the Establishment [512 U.S. 706] Clause." Hobbie v. Unemployment Appeals Comm'n of Fla., 480 U.S. 136, 144-145 (1987). The fact that Chapter 748 facilitates the practice of religion is not what renders it an unconstitutional establishment. Cf. Lee v. Weisman, 505 U.S. 577,  627 (1992) (SOUTER, J., concurring) ("That government must remain neutral in matters of religion does not foreclose it from ever taking religion into account"); School Dist. of Abington v. Schempp, 374 U.S. at  299 (Brennan, J., concurring) ("[H]ostility, not neutrality, would characterize the refusal to provide chaplains and places of worship for prisoners and soldiers cut off by the State from all civilian opportunities for public communion").</w:t>
      </w:r>
    </w:p>
    <w:p w:rsidR="00A31137" w:rsidRPr="00A31137" w:rsidRDefault="00A31137" w:rsidP="00A31137">
      <w:r w:rsidRPr="00A31137">
        <w:t>1994, Board of Ed. v. Grumet, 512 U.S. 706</w:t>
      </w:r>
    </w:p>
    <w:p w:rsidR="00A31137" w:rsidRPr="00A31137" w:rsidRDefault="00A31137" w:rsidP="00A31137">
      <w:r w:rsidRPr="00A31137">
        <w:t>But accommodation is not a principle without limits, and what petitioners seek is an adjustment to the Satmars' religiously grounded preferences 9 that our cases do not countenance. Prior decisions have allowed religious communities and institutions to pursue their own interests free from governmental interference, see Corporation of Presiding Bishop v. Amos, supra, at 336-337 (government may allow religious organizations to favor their own adherents in hiring, even for secular employment); Zorach v. Clauson, 343 U.S. 306 (1952) (government may allow public schools to release students during the school day to receive off-site religious education), but we have never hinted that an otherwise unconstitutional delegation of political power to a religious group could be saved as a religious accommodation. Petitioners' proposed accommodation singles out a particular religious sect for special treatment, 10 and whatever the limits of permissible legislative accommodations may be, compare [512 U.S. 707] Texas Monthly, Inc. v. Bullock, supra (striking down law exempting only religious publications from taxation), with Corporation of Presiding Bishop v. Amos, supra (upholding law exempting religious employers from Title VII), it is clear that neutrality as among religions must be honored. See Larson v. Valente, 456 U.S. at 244-246.</w:t>
      </w:r>
    </w:p>
    <w:p w:rsidR="00A31137" w:rsidRPr="00A31137" w:rsidRDefault="00A31137" w:rsidP="00A31137">
      <w:r w:rsidRPr="00A31137">
        <w:t>1994, Board of Ed. v. Grumet, 512 U.S. 707</w:t>
      </w:r>
    </w:p>
    <w:p w:rsidR="00A31137" w:rsidRPr="00A31137" w:rsidRDefault="00A31137" w:rsidP="00A31137">
      <w:r w:rsidRPr="00A31137">
        <w:t>This conclusion does not, however, bring the Satmar parents, the Monroe-Woodbury school district, or the State of New York to the end of the road in seeking ways to respond to the parents' concerns. Just as the Court in Larkin observed that the State's interest in protecting religious meeting places could be "readily accomplished by other means," 459 U.S. at  124, there are several alternatives here for providing bilingual and bicultural special education to Satmar children. Such services can perfectly well be offered to village children through the Monroe-Woodbury Central School District. Since the Satmars do not claim that separatism is religiously mandated, their children may receive bilingual and bicultural instruction at a public school already run by the Monroe-Woodbury district. Or if the educationally appropriate offering by Monroe-Woodbury should turn out to be a separate program of bilingual and bicultural education at a neutral site near one of the village's parochial schools, this Court has already made it clear that no Establishment Clause difficulty would inhere in such a scheme, administered in accordance with neutral principles that would not necessarily confine special treatment to Satmars. See Wolman v. Walter, 433 U.S. at 247-248.</w:t>
      </w:r>
    </w:p>
    <w:p w:rsidR="00A31137" w:rsidRPr="00A31137" w:rsidRDefault="00A31137" w:rsidP="00A31137">
      <w:r w:rsidRPr="00A31137">
        <w:t>1994, Board of Ed. v. Grumet, 512 U.S. 707</w:t>
      </w:r>
    </w:p>
    <w:p w:rsidR="00A31137" w:rsidRPr="00A31137" w:rsidRDefault="00A31137" w:rsidP="00A31137">
      <w:r w:rsidRPr="00A31137">
        <w:t>To be sure, the parties disagree on whether the services Monroe-Woodbury actually provided in the late 1980's were appropriately tailored to the needs of Satmar children, but this dispute is of only limited relevance to the question whether such services could have been provided, had adjustments been made. As we understand New York law, parents who are dissatisfied with their handicapped child's program have recourse through administrative review proceedings [512 U.S. 708] (a process that appears not to have run its course prior to resort to Chapter 748, see Board of Ed. of Monroe-Woodbury Central School Dist. v. Wieder, 572 N.Y.2d at 180, 527 N.E.2d at 770), and if the New York Legislature should remain dissatisfied with the responsiveness of the local school district, it could certainly enact general legislation tightening the mandate to school districts on matters of special education or bilingual and bicultural offerings.</w:t>
      </w:r>
    </w:p>
    <w:p w:rsidR="00A31137" w:rsidRPr="00A31137" w:rsidRDefault="00A31137" w:rsidP="00A31137">
      <w:r w:rsidRPr="00A31137">
        <w:t>III</w:t>
      </w:r>
    </w:p>
    <w:p w:rsidR="00A31137" w:rsidRPr="00A31137" w:rsidRDefault="00A31137" w:rsidP="00A31137">
      <w:r w:rsidRPr="00A31137">
        <w:t>1994, Board of Ed. v. Grumet, 512 U.S. 708</w:t>
      </w:r>
    </w:p>
    <w:p w:rsidR="00A31137" w:rsidRPr="00A31137" w:rsidRDefault="00A31137" w:rsidP="00A31137">
      <w:r w:rsidRPr="00A31137">
        <w:t>Justice Cardozo once cast the dissenter as "the gladiator making a last stand against the lions." B. Cardozo, Law and Literature 34 (1931). JUSTICE SCALIA's dissent is certainly the work of a gladiator, but he thrusts at lions of his own imagining. We do not disable a religiously homogeneous group from exercising political power conferred on it without regard to religion. Cf. post at 735-736. Unlike the states of Utah and New Mexico (which were laid out according to traditional political methodologies taking account of lines of latitude and longitude and topographical features, see F. Van Zandt, Boundaries of the United States and the Several States 250-257 (1966)), the reference line chosen for the Kiryas Joel Village School District was one purposely drawn to separate Satmars from non-Satmars. Nor do we impugn the motives of the New York Legislature, cf. post at 737-740, which no doubt intended to accommodate the Satmar community without violating the Establishment Clause; we simply refuse to ignore that the method it chose is one that aids a particular religious community, as such, see App. 19-20 (Assembly sponsor thrice describes the Act's beneficiaries as the "Hasidic" children or community), rather than all groups similarly interested in separate schooling. The dissent protests it is novel to insist "up front" that a statute not tailor its benefits to apply only to one religious group, post at 747-748, but, if this were so, Texas Monthly, Inc. would have [512 U.S. 709] turned out differently, see 489 U.S. at 14-15 (plurality opinion); id. at  28 (BLACKMUN, J., concurring in judgment), and language in Walz v. Tax Comm'n of New York City, 397 U.S. at  673, and Bowen v. Kendrick, 487 U.S. at  608, purporting to rely on the breadth of the statutory schemes would have been mere surplusage. Indeed, under the dissent's theory, if New York were to pass a law providing school buses only for children attending Christian day schools, we would be constrained to uphold the statute against Establishment Clause attack until faced by a request from a non-Christian family for equal treatment under the patently unequal law. Cf. Everson v. Board of Ed. of Ewing, 330 U.S. at  17 (upholding school bus service provided all pupils). And to end on the point with which JUSTICE SCALIA begins, the license he takes in suggesting that the Court holds the Satmar sect to be New York's established church, see post at  732, is only one symptom of his inability to accept the fact that this Court has long held that the First Amendment reaches more than classic, 18th century establishments. See Torcaso v. Watkins, 367 U.S. at 492-495.</w:t>
      </w:r>
    </w:p>
    <w:p w:rsidR="00A31137" w:rsidRPr="00A31137" w:rsidRDefault="00A31137" w:rsidP="00A31137">
      <w:r w:rsidRPr="00A31137">
        <w:t>1994, Board of Ed. v. Grumet, 512 U.S. 709</w:t>
      </w:r>
    </w:p>
    <w:p w:rsidR="00A31137" w:rsidRPr="00A31137" w:rsidRDefault="00A31137" w:rsidP="00A31137">
      <w:r w:rsidRPr="00A31137">
        <w:t>Our job, of course would be easier if the dissent's position had prevailed with the Framers and with this Court over the years. An Establishment Clause diminished to the dimensions acceptable to JUSTICE SCALIA could be enforced by a few simple rules, and our docket would never see cases requiring the application of a principle like neutrality toward religion as well as among religious sects. But that would be as blind to history as to precedent, and the difference between JUSTICE SCALIA and the Court accordingly turns on the Court's recognition that the Establishment Clause does comprehend such a principle and obligates courts to exercise the judgment necessary to apply it.</w:t>
      </w:r>
    </w:p>
    <w:p w:rsidR="00A31137" w:rsidRPr="00A31137" w:rsidRDefault="00A31137" w:rsidP="00A31137">
      <w:r w:rsidRPr="00A31137">
        <w:t>1994, Board of Ed. v. Grumet, 512 U.S. 709</w:t>
      </w:r>
    </w:p>
    <w:p w:rsidR="00A31137" w:rsidRPr="00A31137" w:rsidRDefault="00A31137" w:rsidP="00A31137">
      <w:r w:rsidRPr="00A31137">
        <w:t>In this case, we are clearly constrained to conclude that the statute before us fails the test of neutrality. It delegates a power this Court has said "ranks at the very apex of [512 U.S. 710] the function of a State," Wisconsin v. Yoder, 406 U.S. 205,  213 (1972), to an electorate defined by common religious belief and practice, in a manner that fails to foreclose religious favoritism. It therefore crosses the line from permissible accommodation to impermissible establishment. The judgment of the Court of Appeals of the State of New York is accordingly</w:t>
      </w:r>
    </w:p>
    <w:p w:rsidR="00A31137" w:rsidRPr="00A31137" w:rsidRDefault="00A31137" w:rsidP="00A31137">
      <w:r w:rsidRPr="00A31137">
        <w:t>1994, Board of Ed. v. Grumet, 512 U.S. 710</w:t>
      </w:r>
    </w:p>
    <w:p w:rsidR="00A31137" w:rsidRPr="00A31137" w:rsidRDefault="00A31137" w:rsidP="00A31137">
      <w:r w:rsidRPr="00A31137">
        <w:t>Affirmed.</w:t>
      </w:r>
    </w:p>
    <w:p w:rsidR="00A31137" w:rsidRPr="00A31137" w:rsidRDefault="00A31137" w:rsidP="00A31137">
      <w:r w:rsidRPr="00A31137">
        <w:t>BLACKMUN, J., concurring</w:t>
      </w:r>
    </w:p>
    <w:p w:rsidR="00A31137" w:rsidRPr="00A31137" w:rsidRDefault="00A31137" w:rsidP="00A31137">
      <w:r w:rsidRPr="00A31137">
        <w:t>1994, Board of Ed. v. Grumet, 512 U.S. 710</w:t>
      </w:r>
    </w:p>
    <w:p w:rsidR="00A31137" w:rsidRPr="00A31137" w:rsidRDefault="00A31137" w:rsidP="00A31137">
      <w:r w:rsidRPr="00A31137">
        <w:t>JUSTICE BLACKMUN, concurring.</w:t>
      </w:r>
    </w:p>
    <w:p w:rsidR="00A31137" w:rsidRPr="00A31137" w:rsidRDefault="00A31137" w:rsidP="00A31137">
      <w:r w:rsidRPr="00A31137">
        <w:t>1994, Board of Ed. v. Grumet, 512 U.S. 710</w:t>
      </w:r>
    </w:p>
    <w:p w:rsidR="00A31137" w:rsidRPr="00A31137" w:rsidRDefault="00A31137" w:rsidP="00A31137">
      <w:r w:rsidRPr="00A31137">
        <w:t>For the reasons stated by JUSTICE SOUTER and JUSTICE STEVENS, whose opinions I join, I agree that the New York statute under review violates the Establishment Clause of the First Amendment. I write separately only to note my disagreement with any suggestion that today's decision signals a departure from the principles described in Lemon v. Kurtzman, 403 U.S. 602 (1971). The opinion of the Court (and of the plurality with respect to Part II-A) relies upon several decisions, including Larkin v. Grendel's Den, Inc., 459 U.S. 116 (1982), that explicitly rested on the criteria set forth in Lemon. Indeed, the two principles on which the opinion bases its conclusion that the legislative act is constitutionally invalid essentially are the second and third Lemon criteria. See ante at  697; Larkin, 459 U.S. at 126-127 (finding "a fusion of governmental and religious functions" under Lemon's "entanglement" prong); id. at 125-126 (finding a lack of any "effective means of guaranteeing" that governmental power will be neutrally employed under Lemon's "principal or primary effect" prong).</w:t>
      </w:r>
    </w:p>
    <w:p w:rsidR="00A31137" w:rsidRPr="00A31137" w:rsidRDefault="00A31137" w:rsidP="00A31137">
      <w:r w:rsidRPr="00A31137">
        <w:t>1994, Board of Ed. v. Grumet, 512 U.S. 710</w:t>
      </w:r>
    </w:p>
    <w:p w:rsidR="00A31137" w:rsidRPr="00A31137" w:rsidRDefault="00A31137" w:rsidP="00A31137">
      <w:r w:rsidRPr="00A31137">
        <w:t>I have no quarrel with the observation of JUSTICE O'CONNOR, post at 718-719, that the application of constitutional principles, including those articulated in Lemon, must be sensitive to particular contexts. But I remain convinced of the general validity of the basic principles stated in Lemon, which have guided this Court's Establishment Clause decisions [512 U.S. 711] in over 30 cases. See Lee v. Weisman, 505 U.S. 577, 603 n. 4 (1992) (BLACKMUN, J., concurring).</w:t>
      </w:r>
    </w:p>
    <w:p w:rsidR="00A31137" w:rsidRPr="00A31137" w:rsidRDefault="00A31137" w:rsidP="00A31137">
      <w:r w:rsidRPr="00A31137">
        <w:t>STEVENS, J., concurring</w:t>
      </w:r>
    </w:p>
    <w:p w:rsidR="00A31137" w:rsidRPr="00A31137" w:rsidRDefault="00A31137" w:rsidP="00A31137">
      <w:r w:rsidRPr="00A31137">
        <w:t>1994, Board of Ed. v. Grumet, 512 U.S. 711</w:t>
      </w:r>
    </w:p>
    <w:p w:rsidR="00A31137" w:rsidRPr="00A31137" w:rsidRDefault="00A31137" w:rsidP="00A31137">
      <w:r w:rsidRPr="00A31137">
        <w:t>JUSTICE STEVENS, with whom JUSTICE BLACKMUN and JUSTICE GINSBURG join, concurring.</w:t>
      </w:r>
    </w:p>
    <w:p w:rsidR="00A31137" w:rsidRPr="00A31137" w:rsidRDefault="00A31137" w:rsidP="00A31137">
      <w:r w:rsidRPr="00A31137">
        <w:t>1994, Board of Ed. v. Grumet, 512 U.S. 711</w:t>
      </w:r>
    </w:p>
    <w:p w:rsidR="00A31137" w:rsidRPr="00A31137" w:rsidRDefault="00A31137" w:rsidP="00A31137">
      <w:r w:rsidRPr="00A31137">
        <w:t>New York created a special school district for the members of the Satmar religious sect in response to parental concern that children suffered "panic, fear and trauma" when "leaving their own community and being with people whose ways were so different." Ante at  692. To meet those concerns, the State could have taken steps to alleviate the children's fear by teaching their schoolmates to be tolerant and respectful of Satmar customs. Action of that kind would raise no constitutional concerns and would further the strong public interest in promoting diversity and understanding in the public schools.</w:t>
      </w:r>
    </w:p>
    <w:p w:rsidR="00A31137" w:rsidRPr="00A31137" w:rsidRDefault="00A31137" w:rsidP="00A31137">
      <w:r w:rsidRPr="00A31137">
        <w:t>1994, Board of Ed. v. Grumet, 512 U.S. 711</w:t>
      </w:r>
    </w:p>
    <w:p w:rsidR="00A31137" w:rsidRPr="00A31137" w:rsidRDefault="00A31137" w:rsidP="00A31137">
      <w:r w:rsidRPr="00A31137">
        <w:t>Instead, the State responded with a solution that affirmatively supports a religious sect's interest in segregating itself and preventing its children from associating with their neighbors. The isolation of these children, while it may protect them from "panic, fear and trauma," also unquestionably increased the likelihood that they would remain within the fold, faithful adherents of their parents' religious faith. By creating a school district that is specifically intended to shield children from contact with others who have "different ways," the State provided official support to cement the attachment of young adherents to a particular faith. It is telling, in this regard, that two thirds of the school's full-time students are Hasidic handicapped children from outside the village; the Kiryas Joel school thus serves a population far wider than the village—one defined less by geography than by religion. See ante at  694, 701-702, n. 5.</w:t>
      </w:r>
    </w:p>
    <w:p w:rsidR="00A31137" w:rsidRPr="00A31137" w:rsidRDefault="00A31137" w:rsidP="00A31137">
      <w:r w:rsidRPr="00A31137">
        <w:t>1994, Board of Ed. v. Grumet, 512 U.S. 711</w:t>
      </w:r>
    </w:p>
    <w:p w:rsidR="00A31137" w:rsidRPr="00A31137" w:rsidRDefault="00A31137" w:rsidP="00A31137">
      <w:r w:rsidRPr="00A31137">
        <w:t>Affirmative state action in aid of segregation of this character is unlike the evenhanded distribution of a public benefit or service, a "release time" program for public school students involving no public premises or funds, or a decision to [512 U.S. 712] grant an exemption from a burdensome general rule. It is, I believe, fairly characterized as establishing, rather than merely accommodating, religion. For this reason, as well as the reasons set out in JUSTICE SOUTER's opinion, I am persuaded that the New York law at issue in these cases violates the Establishment Clause of the First Amendment.</w:t>
      </w:r>
    </w:p>
    <w:p w:rsidR="00A31137" w:rsidRPr="00A31137" w:rsidRDefault="00A31137" w:rsidP="00A31137">
      <w:r w:rsidRPr="00A31137">
        <w:t>O'CONNOR, J., concurring</w:t>
      </w:r>
    </w:p>
    <w:p w:rsidR="00A31137" w:rsidRPr="00A31137" w:rsidRDefault="00A31137" w:rsidP="00A31137">
      <w:r w:rsidRPr="00A31137">
        <w:t>1994, Board of Ed. v. Grumet, 512 U.S. 712</w:t>
      </w:r>
    </w:p>
    <w:p w:rsidR="00A31137" w:rsidRPr="00A31137" w:rsidRDefault="00A31137" w:rsidP="00A31137">
      <w:r w:rsidRPr="00A31137">
        <w:t>JUSTICE O'CONNOR, concurring in part and concurring in the judgment.</w:t>
      </w:r>
    </w:p>
    <w:p w:rsidR="00A31137" w:rsidRPr="00A31137" w:rsidRDefault="00A31137" w:rsidP="00A31137">
      <w:r w:rsidRPr="00A31137">
        <w:t>I</w:t>
      </w:r>
    </w:p>
    <w:p w:rsidR="00A31137" w:rsidRPr="00A31137" w:rsidRDefault="00A31137" w:rsidP="00A31137">
      <w:r w:rsidRPr="00A31137">
        <w:t>1994, Board of Ed. v. Grumet, 512 U.S. 712</w:t>
      </w:r>
    </w:p>
    <w:p w:rsidR="00A31137" w:rsidRPr="00A31137" w:rsidRDefault="00A31137" w:rsidP="00A31137">
      <w:r w:rsidRPr="00A31137">
        <w:t>The question at the heart of this case is: what may the government do, consistently with the Establishment Clause, to accommodate people's religious beliefs? The history of the Satmars in Orange County is especially instructive on this, because they have been involved in at least three accommodation problems, of which this case is only the most recent.</w:t>
      </w:r>
    </w:p>
    <w:p w:rsidR="00A31137" w:rsidRPr="00A31137" w:rsidRDefault="00A31137" w:rsidP="00A31137">
      <w:r w:rsidRPr="00A31137">
        <w:t>1994, Board of Ed. v. Grumet, 512 U.S. 712</w:t>
      </w:r>
    </w:p>
    <w:p w:rsidR="00A31137" w:rsidRPr="00A31137" w:rsidRDefault="00A31137" w:rsidP="00A31137">
      <w:r w:rsidRPr="00A31137">
        <w:t>The first problem related to zoning law, and arose shortly after the Satmars moved to the town of Monroe in the early 1970's. Though the area in which they lived was zoned for single-family homes, the Satmars subdivided their houses into several apartments, apparently in part because of their traditionally close-knit extended family groups. The Satmars also used basements of some of their buildings as schools and synagogues, which, according to the town, was also a zoning violation. See N.Y. Times, Oct. 17, 1976, § 1, p. 53, col. 1; App. 10-14.</w:t>
      </w:r>
    </w:p>
    <w:p w:rsidR="00A31137" w:rsidRPr="00A31137" w:rsidRDefault="00A31137" w:rsidP="00A31137">
      <w:r w:rsidRPr="00A31137">
        <w:t>1994, Board of Ed. v. Grumet, 512 U.S. 712</w:t>
      </w:r>
    </w:p>
    <w:p w:rsidR="00A31137" w:rsidRPr="00A31137" w:rsidRDefault="00A31137" w:rsidP="00A31137">
      <w:r w:rsidRPr="00A31137">
        <w:t>Fortunately for the Satmars, New York state law had a way of accommodating their concerns. New York allows virtually any group of residents to incorporate their own village, with broad powers of self-government. The Satmars followed this course, incorporating their community as the village of Kiryas Joel, and their zoning problems, at least, were solved. Ante at  691.</w:t>
      </w:r>
    </w:p>
    <w:p w:rsidR="00A31137" w:rsidRPr="00A31137" w:rsidRDefault="00A31137" w:rsidP="00A31137">
      <w:r w:rsidRPr="00A31137">
        <w:t>1994, Board of Ed. v. Grumet, 512 U.S. 712</w:t>
      </w:r>
    </w:p>
    <w:p w:rsidR="00A31137" w:rsidRPr="00A31137" w:rsidRDefault="00A31137" w:rsidP="00A31137">
      <w:r w:rsidRPr="00A31137">
        <w:t>The Satmars' next need for accommodation arose in the mid-1980's. Satmar education is pervasively religious, and [512 U.S. 713] is provided through entirely private schooling. But though the Satmars could afford to educate most of their children, educating the handicapped is a difficult and expensive business. Moreover, it is a business that the government generally funds, with tax moneys that come from the Satmars as well as from everyone else. In 1984, therefore, the Monroe-Woodbury Central School District began providing handicapped education services to the Satmar children at an annex to the Satmar religious school. The curriculum and the environment of the services were entirely secular. They were the same sort of services available to handicapped students at secular public and private schools throughout the country.</w:t>
      </w:r>
    </w:p>
    <w:p w:rsidR="00A31137" w:rsidRPr="00A31137" w:rsidRDefault="00A31137" w:rsidP="00A31137">
      <w:r w:rsidRPr="00A31137">
        <w:t>1994, Board of Ed. v. Grumet, 512 U.S. 713</w:t>
      </w:r>
    </w:p>
    <w:p w:rsidR="00A31137" w:rsidRPr="00A31137" w:rsidRDefault="00A31137" w:rsidP="00A31137">
      <w:r w:rsidRPr="00A31137">
        <w:t>In 1985, however, we held that publicly funded classes on religious school premises violate the Establishment Clause. School Dist. of Grand Rapids v. Ball, 473 U.S. 373; Aguilar v. Felton, 473 U.S. 402. Based on these decisions, the Monroe-Woodbury Central School District stopped providing services at the Kiryas Joel site, and required the Satmar children to attend public schools outside the village. This, however, was not a satisfactory arrangement for the Satmars, in part because the Satmar children had a hard time dealing with immersion in the non-Satmar world. By 1989, only one handicapped Kiryas Joel child was going to the public school—the others were getting either privately funded services or no special education at all. Though the Satmars tried to reach some other arrangement with the Monroe-Woodbury School District, the problem was not resolved.</w:t>
      </w:r>
    </w:p>
    <w:p w:rsidR="00A31137" w:rsidRPr="00A31137" w:rsidRDefault="00A31137" w:rsidP="00A31137">
      <w:r w:rsidRPr="00A31137">
        <w:t>1994, Board of Ed. v. Grumet, 512 U.S. 713</w:t>
      </w:r>
    </w:p>
    <w:p w:rsidR="00A31137" w:rsidRPr="00A31137" w:rsidRDefault="00A31137" w:rsidP="00A31137">
      <w:r w:rsidRPr="00A31137">
        <w:t>In response to these difficulties came the third accommodation. In 1989, the New York Legislature passed a statute to create a special school district covering only the village of Kiryas Joel. This school district could, of course, only operate secular schools, and the Satmars therefore wanted to use it only to provide education for the handicapped. But because the district provides this education in the village, Satmar children could take advantage of the district's services [512 U.S. 714] without encountering the problems they faced when they were sent out to Monroe-Woodbury schools. It is the constitutionality of the law creating this district that we are now called on to decide.</w:t>
      </w:r>
    </w:p>
    <w:p w:rsidR="00A31137" w:rsidRPr="00A31137" w:rsidRDefault="00A31137" w:rsidP="00A31137">
      <w:r w:rsidRPr="00A31137">
        <w:t>II</w:t>
      </w:r>
    </w:p>
    <w:p w:rsidR="00A31137" w:rsidRPr="00A31137" w:rsidRDefault="00A31137" w:rsidP="00A31137">
      <w:r w:rsidRPr="00A31137">
        <w:t>1994, Board of Ed. v. Grumet, 512 U.S. 714</w:t>
      </w:r>
    </w:p>
    <w:p w:rsidR="00A31137" w:rsidRPr="00A31137" w:rsidRDefault="00A31137" w:rsidP="00A31137">
      <w:r w:rsidRPr="00A31137">
        <w:t>The three situations outlined above shed light on an important aspect of accommodation under the First Amendment: religious needs can be accommodated through laws that are neutral with regard to religion. The Satmars' living arrangements were accommodated by their right—a right shared with all other communities, religious or not, throughout New York—to incorporate themselves as a village. From 1984 to 1985, the Satmar handicapped children's educational needs were accommodated by special education programs like those available to all handicapped children, religious or not. Other examples of such accommodations abound: the Constitution itself, for instance, accommodates the religious desires of those who were opposed to oaths by allowing any officeholder—of any religion, or none—to take either an oath of office or an affirmation. Art. II, § 1, cl. 8; Art. VI, cl. 3; see also Amdt. 4. Likewise, the selective service laws provide exemptions for conscientious objectors whether or not the objection is based on religious beliefs. Welsh v. United States, 398 U.S. 333,  356 (1970) (Harlan, J., concurring in result).</w:t>
      </w:r>
    </w:p>
    <w:p w:rsidR="00A31137" w:rsidRPr="00A31137" w:rsidRDefault="00A31137" w:rsidP="00A31137">
      <w:r w:rsidRPr="00A31137">
        <w:t>1994, Board of Ed. v. Grumet, 512 U.S. 714</w:t>
      </w:r>
    </w:p>
    <w:p w:rsidR="00A31137" w:rsidRPr="00A31137" w:rsidRDefault="00A31137" w:rsidP="00A31137">
      <w:r w:rsidRPr="00A31137">
        <w:t>We have time and again held that the government generally may not treat people differently based on the God or gods they worship, or don't worship. "The clearest command of the Establishment Clause is that one religious denomination cannot be officially preferred over another." Larson v. Valente, 456 U.S. 228,  244 (1982).</w:t>
      </w:r>
    </w:p>
    <w:p w:rsidR="00A31137" w:rsidRPr="00A31137" w:rsidRDefault="00A31137" w:rsidP="00A31137">
      <w:r w:rsidRPr="00A31137">
        <w:t>1994, Board of Ed. v. Grumet, 512 U.S. 714</w:t>
      </w:r>
    </w:p>
    <w:p w:rsidR="00A31137" w:rsidRPr="00A31137" w:rsidRDefault="00A31137" w:rsidP="00A31137">
      <w:r w:rsidRPr="00A31137">
        <w:t>Just as we subject to the most exacting scrutiny laws that make classifications based on race…so too we strictly scrutinize governmental classifications based on religion.</w:t>
      </w:r>
    </w:p>
    <w:p w:rsidR="00A31137" w:rsidRPr="00A31137" w:rsidRDefault="00A31137" w:rsidP="00A31137">
      <w:r w:rsidRPr="00A31137">
        <w:t>1994, Board of Ed. v. Grumet, 512 U.S. 714</w:t>
      </w:r>
    </w:p>
    <w:p w:rsidR="00A31137" w:rsidRPr="00A31137" w:rsidRDefault="00A31137" w:rsidP="00A31137">
      <w:r w:rsidRPr="00A31137">
        <w:t>Employment Div., Dept. of Human Resources of Ore. v. Smith, 494 U.S. 872,  886, n. 3 (1990).</w:t>
      </w:r>
    </w:p>
    <w:p w:rsidR="00A31137" w:rsidRPr="00A31137" w:rsidRDefault="00A31137" w:rsidP="00A31137">
      <w:r w:rsidRPr="00A31137">
        <w:t>1994, Board of Ed. v. Grumet, 512 U.S. 714</w:t>
      </w:r>
    </w:p>
    <w:p w:rsidR="00A31137" w:rsidRPr="00A31137" w:rsidRDefault="00A31137" w:rsidP="00A31137">
      <w:r w:rsidRPr="00A31137">
        <w:t>[T]he Establishment Clause prohibits [512 U.S. 715] government from abandoning secular purposes…to favor the adherents of any sect or religious organization.</w:t>
      </w:r>
    </w:p>
    <w:p w:rsidR="00A31137" w:rsidRPr="00A31137" w:rsidRDefault="00A31137" w:rsidP="00A31137">
      <w:r w:rsidRPr="00A31137">
        <w:t>1994, Board of Ed. v. Grumet, 512 U.S. 715</w:t>
      </w:r>
    </w:p>
    <w:p w:rsidR="00A31137" w:rsidRPr="00A31137" w:rsidRDefault="00A31137" w:rsidP="00A31137">
      <w:r w:rsidRPr="00A31137">
        <w:t>Gillette v. United States, 401 U.S. 437,  450 (1971).</w:t>
      </w:r>
    </w:p>
    <w:p w:rsidR="00A31137" w:rsidRPr="00A31137" w:rsidRDefault="00A31137" w:rsidP="00A31137">
      <w:r w:rsidRPr="00A31137">
        <w:t>1994, Board of Ed. v. Grumet, 512 U.S. 715</w:t>
      </w:r>
    </w:p>
    <w:p w:rsidR="00A31137" w:rsidRPr="00A31137" w:rsidRDefault="00A31137" w:rsidP="00A31137">
      <w:r w:rsidRPr="00A31137">
        <w:t>Neither [the State nor the Federal Governments] can constitutionally pass laws or impose requirements which aid all religions as against nonbelievers, and neither can aid those religions based on a belief in the existence of God as against those religions founded on different beliefs.</w:t>
      </w:r>
    </w:p>
    <w:p w:rsidR="00A31137" w:rsidRPr="00A31137" w:rsidRDefault="00A31137" w:rsidP="00A31137">
      <w:r w:rsidRPr="00A31137">
        <w:t>1994, Board of Ed. v. Grumet, 512 U.S. 715</w:t>
      </w:r>
    </w:p>
    <w:p w:rsidR="00A31137" w:rsidRPr="00A31137" w:rsidRDefault="00A31137" w:rsidP="00A31137">
      <w:r w:rsidRPr="00A31137">
        <w:t>Torcaso v. Watkins, 367 U.S. 488,  495 (1961) (footnote omitted). See also Texas Monthly, Inc. v. Bullock, 489 U.S. 1, 8-9 (1989) (plurality opinion); id. at  26, 28-29 (BLACKMUN, J., concurring in judgment); Welsh, supra, at  356 (Harlan, J., concurring); Walz v. Tax Comm'n of New York City, 397 U.S. 664, 696-697 (1970) (opinion of Harlan, J.).</w:t>
      </w:r>
    </w:p>
    <w:p w:rsidR="00A31137" w:rsidRPr="00A31137" w:rsidRDefault="00A31137" w:rsidP="00A31137">
      <w:r w:rsidRPr="00A31137">
        <w:t>1994, Board of Ed. v. Grumet, 512 U.S. 715</w:t>
      </w:r>
    </w:p>
    <w:p w:rsidR="00A31137" w:rsidRPr="00A31137" w:rsidRDefault="00A31137" w:rsidP="00A31137">
      <w:r w:rsidRPr="00A31137">
        <w:t>This emphasis on equal treatment is, I think, an eminently sound approach. In my view, the Religion Clauses—the Free Exercise Clause, the Establishment Clause, the Religious Test Clause, Art. VI, cl. 3, and the Equal Protection Clause as applied to religion—all speak with one voice on this point: absent the most unusual circumstances, one's religion ought not affect one's legal rights or duties or benefits. As I have previously noted,</w:t>
      </w:r>
    </w:p>
    <w:p w:rsidR="00A31137" w:rsidRPr="00A31137" w:rsidRDefault="00A31137" w:rsidP="00A31137">
      <w:r w:rsidRPr="00A31137">
        <w:t>1994, Board of Ed. v. Grumet, 512 U.S. 715</w:t>
      </w:r>
    </w:p>
    <w:p w:rsidR="00A31137" w:rsidRPr="00A31137" w:rsidRDefault="00A31137" w:rsidP="00A31137">
      <w:r w:rsidRPr="00A31137">
        <w:t>the Establishment Clause is infringed when the government makes adherence to religion relevant to a person's standing in the political community.</w:t>
      </w:r>
    </w:p>
    <w:p w:rsidR="00A31137" w:rsidRPr="00A31137" w:rsidRDefault="00A31137" w:rsidP="00A31137">
      <w:r w:rsidRPr="00A31137">
        <w:t>1994, Board of Ed. v. Grumet, 512 U.S. 715</w:t>
      </w:r>
    </w:p>
    <w:p w:rsidR="00A31137" w:rsidRPr="00A31137" w:rsidRDefault="00A31137" w:rsidP="00A31137">
      <w:r w:rsidRPr="00A31137">
        <w:t>Wallace v. Jaffree, 472 U.S. 38,  69 (1985) (O'CONNOR, J., concurring in judgment).</w:t>
      </w:r>
    </w:p>
    <w:p w:rsidR="00A31137" w:rsidRPr="00A31137" w:rsidRDefault="00A31137" w:rsidP="00A31137">
      <w:r w:rsidRPr="00A31137">
        <w:t>1994, Board of Ed. v. Grumet, 512 U.S. 715</w:t>
      </w:r>
    </w:p>
    <w:p w:rsidR="00A31137" w:rsidRPr="00A31137" w:rsidRDefault="00A31137" w:rsidP="00A31137">
      <w:r w:rsidRPr="00A31137">
        <w:t>That the government is acting to accommodate religion should generally not change this analysis. What makes accommodation permissible, even praiseworthy, is not that the government is making life easier for some particular religious group as such. Rather, it is that the government is accommodating a deeply held belief. Accommodations may thus justify treating those who share this belief differently from those who do not; but they do not justify discriminations based on sect. A state law prohibiting the consumption of alcohol may exempt sacramental wines, but it may [512 U.S. 716] not exempt sacramental wine use by Catholics, but not by Jews. A draft law may exempt conscientious objectors, but it may not exempt conscientious objectors whose objections are based on theistic belief (such as Quakers) as opposed to nontheistic belief (such as Buddhists) or atheistic belief. See Welsh, supra, at  356 (Harlan, J., concurring in result); see also id. at 335-344 (reaching this result on statutory interpretation grounds); United States v. Seeger, 380 U.S. 163 (1965) (same). The Constitution permits "nondiscriminatory religious practice exemption[s]," Smith, supra, at  890 (emphasis added), not sectarian ones.</w:t>
      </w:r>
    </w:p>
    <w:p w:rsidR="00A31137" w:rsidRPr="00A31137" w:rsidRDefault="00A31137" w:rsidP="00A31137">
      <w:r w:rsidRPr="00A31137">
        <w:t>III</w:t>
      </w:r>
    </w:p>
    <w:p w:rsidR="00A31137" w:rsidRPr="00A31137" w:rsidRDefault="00A31137" w:rsidP="00A31137">
      <w:r w:rsidRPr="00A31137">
        <w:t>1994, Board of Ed. v. Grumet, 512 U.S. 716</w:t>
      </w:r>
    </w:p>
    <w:p w:rsidR="00A31137" w:rsidRPr="00A31137" w:rsidRDefault="00A31137" w:rsidP="00A31137">
      <w:r w:rsidRPr="00A31137">
        <w:t>I join Parts I, II-B, II-C, and III of the Court's opinion because I think this law, rather than being a general accommodation, singles out a particular religious group for favorable treatment. The Court's analysis of the history of this law and of the surrounding statutory scheme, ante at 699-701, persuades me of this.</w:t>
      </w:r>
    </w:p>
    <w:p w:rsidR="00A31137" w:rsidRPr="00A31137" w:rsidRDefault="00A31137" w:rsidP="00A31137">
      <w:r w:rsidRPr="00A31137">
        <w:t>1994, Board of Ed. v. Grumet, 512 U.S. 716</w:t>
      </w:r>
    </w:p>
    <w:p w:rsidR="00A31137" w:rsidRPr="00A31137" w:rsidRDefault="00A31137" w:rsidP="00A31137">
      <w:r w:rsidRPr="00A31137">
        <w:t>On its face, this statute benefits one group—the residents of Kiryas Joel. Because this benefit was given to this group based on its religion, it seems proper to treat it as a legislatively drawn religious classification. I realize this is a close question, because the Satmars may be the only group who currently need this particular accommodation. The legislature may well be acting without any favoritism, so that if another group came to ask for a similar district, the group might get it on the same terms as the Satmars. But the nature of the legislative process makes it impossible to be sure of this. A legislature, unlike the judiciary or many administrative decisionmakers, has no obligation to respond to any group's requests. A group petitioning for a law may never get a definite response, or may get a "no" based not on the merits, but on the press of other business or the lack of an influential sponsor. Such a legislative refusal to act would not normally be reviewable by a court. Under these [512 U.S. 717] circumstances, it seems dangerous to validate what appears to me a clear religious preference.</w:t>
      </w:r>
    </w:p>
    <w:p w:rsidR="00A31137" w:rsidRPr="00A31137" w:rsidRDefault="00A31137" w:rsidP="00A31137">
      <w:r w:rsidRPr="00A31137">
        <w:t>1994, Board of Ed. v. Grumet, 512 U.S. 717</w:t>
      </w:r>
    </w:p>
    <w:p w:rsidR="00A31137" w:rsidRPr="00A31137" w:rsidRDefault="00A31137" w:rsidP="00A31137">
      <w:r w:rsidRPr="00A31137">
        <w:t>Our invalidation of this statute in no way means that the Satmars' needs cannot be accommodated. There is nothing improper about a legislative intention to accommodate a religious group, so long as it is implemented through generally applicable legislation. New York may, for instance, allow all villages to operate their own school districts. If it does not want to act so broadly, it may set forth neutral criteria that a village must meet to have a school district of its own; these criteria can then be applied by a state agency, and the decision would then be reviewable by the judiciary. A district created under a generally applicable scheme would be acceptable even though it coincides with a village which was consciously created by its voters as an enclave for their religious group. I do not think the Court's opinion holds the contrary.</w:t>
      </w:r>
    </w:p>
    <w:p w:rsidR="00A31137" w:rsidRPr="00A31137" w:rsidRDefault="00A31137" w:rsidP="00A31137">
      <w:r w:rsidRPr="00A31137">
        <w:t>1994, Board of Ed. v. Grumet, 512 U.S. 717</w:t>
      </w:r>
    </w:p>
    <w:p w:rsidR="00A31137" w:rsidRPr="00A31137" w:rsidRDefault="00A31137" w:rsidP="00A31137">
      <w:r w:rsidRPr="00A31137">
        <w:t>I also think there is one other accommodation that would be entirely permissible: the 1984 scheme, which was discontinued because of our decision in Aguilar. The Religion Clauses prohibit the government from favoring religion, but they provide no warrant for discriminating against religion. All handicapped children are entitled by law to government-funded special education. See, e.g., Individuals with Disabilities Education Act, 20 U.S.C. § 1400 et seq. If the government provides this education on-site at public schools and at nonsectarian private schools, it is only fair that it provide it on-site at sectarian schools as well.</w:t>
      </w:r>
    </w:p>
    <w:p w:rsidR="00A31137" w:rsidRPr="00A31137" w:rsidRDefault="00A31137" w:rsidP="00A31137">
      <w:r w:rsidRPr="00A31137">
        <w:t>1994, Board of Ed. v. Grumet, 512 U.S. 717</w:t>
      </w:r>
    </w:p>
    <w:p w:rsidR="00A31137" w:rsidRPr="00A31137" w:rsidRDefault="00A31137" w:rsidP="00A31137">
      <w:r w:rsidRPr="00A31137">
        <w:t>I thought this to be true in Aguilar, see 473 U.S. at 421-431 (O'CONNOR, J., dissenting), and I still believe it today. The Establishment Clause does not demand hostility to religion, religious ideas, religious people, or religious schools. Cf. Lamb's Chapel v. Center Moriches Union Free School Dist., 508 U.S. 384 (1993). It is the Court's insistence on disfavoring religion in Aguilar that led New York to favor it here. The court should, in a proper case, be prepared to reconsider Aguilar, in order to bring our Establishment Clause jurisprudence [512 U.S. 718] back to what I think is the proper track-government impartiality, not animosity, towards religion.</w:t>
      </w:r>
    </w:p>
    <w:p w:rsidR="00A31137" w:rsidRPr="00A31137" w:rsidRDefault="00A31137" w:rsidP="00A31137">
      <w:r w:rsidRPr="00A31137">
        <w:t>IV</w:t>
      </w:r>
    </w:p>
    <w:p w:rsidR="00A31137" w:rsidRPr="00A31137" w:rsidRDefault="00A31137" w:rsidP="00A31137">
      <w:r w:rsidRPr="00A31137">
        <w:t>1994, Board of Ed. v. Grumet, 512 U.S. 718</w:t>
      </w:r>
    </w:p>
    <w:p w:rsidR="00A31137" w:rsidRPr="00A31137" w:rsidRDefault="00A31137" w:rsidP="00A31137">
      <w:r w:rsidRPr="00A31137">
        <w:t>One aspect of the Court's opinion in this case is worth noting: Like the opinions in two recent cases, Lee v. Weisman, 505 U.S. 577 (1992); Zobrest v. Catalina Foothills School Dist., 509 U.S. 1 (1993), and the case I think is most relevant to this one, Larson v. Valente, 456 U.S. 228 (1982), the Court's opinion does not focus on the Establishment Clause test we set forth in Lemon v. Kurtzman, 403 U.S. 602 (1971).</w:t>
      </w:r>
    </w:p>
    <w:p w:rsidR="00A31137" w:rsidRPr="00A31137" w:rsidRDefault="00A31137" w:rsidP="00A31137">
      <w:r w:rsidRPr="00A31137">
        <w:t>1994, Board of Ed. v. Grumet, 512 U.S. 718</w:t>
      </w:r>
    </w:p>
    <w:p w:rsidR="00A31137" w:rsidRPr="00A31137" w:rsidRDefault="00A31137" w:rsidP="00A31137">
      <w:r w:rsidRPr="00A31137">
        <w:t>It is always appealing to look for a single test, a Grand Unified Theory that would resolve all the cases that may arise under a particular clause. There is, after all, only one Establishment Clause, one Free Speech Clause, one Fourth Amendment, one Equal Protection Clause. See Craig v. Boren, 429 U.S. 190,  211 (1976) (STEVENS, J., concurring).</w:t>
      </w:r>
    </w:p>
    <w:p w:rsidR="00A31137" w:rsidRPr="00A31137" w:rsidRDefault="00A31137" w:rsidP="00A31137">
      <w:r w:rsidRPr="00A31137">
        <w:t>1994, Board of Ed. v. Grumet, 512 U.S. 718</w:t>
      </w:r>
    </w:p>
    <w:p w:rsidR="00A31137" w:rsidRPr="00A31137" w:rsidRDefault="00A31137" w:rsidP="00A31137">
      <w:r w:rsidRPr="00A31137">
        <w:t>But the same constitutional principle may operate very differently in different contexts. We have, for instance, no one Free Speech Clause test. We have different tests for content-based speech restrictions, for content-neutral speech restrictions, for restrictions imposed by the government acting as employer, for restrictions in nonpublic fora, and so on. This simply reflects the necessary recognition that the interests relevant to the Free Speech Clause inquiry—personal liberty, an informed citizenry, government efficiency, public order, and so on—are present in different degrees in each context.</w:t>
      </w:r>
    </w:p>
    <w:p w:rsidR="00A31137" w:rsidRPr="00A31137" w:rsidRDefault="00A31137" w:rsidP="00A31137">
      <w:r w:rsidRPr="00A31137">
        <w:t>1994, Board of Ed. v. Grumet, 512 U.S. 718</w:t>
      </w:r>
    </w:p>
    <w:p w:rsidR="00A31137" w:rsidRPr="00A31137" w:rsidRDefault="00A31137" w:rsidP="00A31137">
      <w:r w:rsidRPr="00A31137">
        <w:t>And setting forth a unitary test for a broad set of cases may sometimes do more harm than good. Any test that must deal with widely disparate situations risks being so vague as to be useless. I suppose one can say that the general test for all free speech cases is "a regulation is valid if the interests asserted by the government are stronger than the interests of the speaker and the listeners," but this would hardly be a serviceable formulation. Similarly, [512 U.S. 719] Lemon has, with some justification, been criticized on this score.</w:t>
      </w:r>
    </w:p>
    <w:p w:rsidR="00A31137" w:rsidRPr="00A31137" w:rsidRDefault="00A31137" w:rsidP="00A31137">
      <w:r w:rsidRPr="00A31137">
        <w:t>1994, Board of Ed. v. Grumet, 512 U.S. 719</w:t>
      </w:r>
    </w:p>
    <w:p w:rsidR="00A31137" w:rsidRPr="00A31137" w:rsidRDefault="00A31137" w:rsidP="00A31137">
      <w:r w:rsidRPr="00A31137">
        <w:t xml:space="preserve">Moreover, shoehorning new problems into a test that does not reflect the special concerns raised by those problems tends to deform the language of the test. Relatively simple phrases like "primary effect…that neither advances nor inhibits religion" and "entanglement," Lemon, supra, at 612-613, acquire more and more complicated definitions which stray ever further from their literal meaning. Distinctions are drawn between statutes whose effect is to advance religion and statutes whose effect is to allow religious organizations to advance religion. See, e.g., Corporation of Presiding Bishop of Church of Jesus Christ of Latter-day Saints v. Amos, 483 U.S. 327, 336-337 (1987); id. at  347 (O'CONNOR, J., concurring in judgment) (discussing this point). Assertions are made that authorizing churches to veto liquor sales in surrounding areas "can be seen as having a 'primary' and 'principal' effect of advancing religion." Larkin v. Grendel's Den, Inc., 459 U.S. 116, 125-126 (1982). "Entanglement" is discovered in public employers monitoring the performance of public employees—surely a proper enough function—on parochial school premises, and in the public employees cooperating with the school on class scheduling and other administrative details. Aguilar v. Felton, 473 U.S. at 413. Alternatives to Lemon suffer from a similar failing when they lead us to find "coercive pressure" to pray when a school asks listeners—with no threat of legal sanctions—to stand or remain silent during a graduation prayer. Lee v. Weisman, supra, at  592. Some of the results and perhaps even some of the reasoning in these cases may have been right. I joined two of the cases cited above, Larkin and Lee, and continue to believe they were correctly decided. But I think it is more useful to recognize the relevant concerns in each case on their own terms, rather than trying to squeeze them into language that does not really apply to them. [512 U.S. 720] </w:t>
      </w:r>
    </w:p>
    <w:p w:rsidR="00A31137" w:rsidRPr="00A31137" w:rsidRDefault="00A31137" w:rsidP="00A31137">
      <w:r w:rsidRPr="00A31137">
        <w:t>1994, Board of Ed. v. Grumet, 512 U.S. 720</w:t>
      </w:r>
    </w:p>
    <w:p w:rsidR="00A31137" w:rsidRPr="00A31137" w:rsidRDefault="00A31137" w:rsidP="00A31137">
      <w:r w:rsidRPr="00A31137">
        <w:t>Finally, another danger to keep in mind is that the bad test may drive out the good. Rather than taking the opportunity to derive narrower, more precise tests from the case law, courts tend to continually try to patch up the broad test, making it more and more amorphous and distorted. This, I am afraid, has happened with Lemon.</w:t>
      </w:r>
    </w:p>
    <w:p w:rsidR="00A31137" w:rsidRPr="00A31137" w:rsidRDefault="00A31137" w:rsidP="00A31137">
      <w:r w:rsidRPr="00A31137">
        <w:t>1994, Board of Ed. v. Grumet, 512 U.S. 720</w:t>
      </w:r>
    </w:p>
    <w:p w:rsidR="00A31137" w:rsidRPr="00A31137" w:rsidRDefault="00A31137" w:rsidP="00A31137">
      <w:r w:rsidRPr="00A31137">
        <w:t>Experience proves that the Establishment Clause, like the Free Speech Clause, cannot easily be reduced to a single test. There are different categories of Establishment Clause cases, which may call for different approaches. Some cases, like this one, involve government actions targeted at particular individuals or groups, imposing special duties or giving special benefits. Cases involving government speech on religious topics, see, e.g., Lee v. Weisman, supra; Allegheny County v. American Civil Liberties Union Greater Pittsburgh Chapter, 492 U.S. 573 (1989); Lynch v. Donnelly, 465 U.S. 668 (1984); Stone v. Graham, 449 U.S. 39 (1980), seem to me to fall into a different category, and to require an analysis focusing on whether the speech endorses or disapproves of religion, rather than on whether the government action is neutral with regard to religion. See Allegheny County, supra, at 623-637 (O'CONNOR, J., concurring in part and concurring in judgment).</w:t>
      </w:r>
    </w:p>
    <w:p w:rsidR="00A31137" w:rsidRPr="00A31137" w:rsidRDefault="00A31137" w:rsidP="00A31137">
      <w:r w:rsidRPr="00A31137">
        <w:t>1994, Board of Ed. v. Grumet, 512 U.S. 720</w:t>
      </w:r>
    </w:p>
    <w:p w:rsidR="00A31137" w:rsidRPr="00A31137" w:rsidRDefault="00A31137" w:rsidP="00A31137">
      <w:r w:rsidRPr="00A31137">
        <w:t>Another category encompasses cases in which the government must make decisions about matters of religious doctrine and religious law. See Serbian Eastern Orthodox Diocese v. Milivojevich, 426 U.S. 696 (1976) (which also did not apply Lemon). These cases, which often arise in the application of otherwise neutral property or contract principles to religious institutions, involve complicated questions not present in other situations. See, e.g., id. at  721 (looking at some aspects of religious law to determine the structure of the church, but refusing to look further into religious law to resolve the ultimate dispute). Government delegations of power to religious bodies may make up yet another category. As Larkin itself [512 U.S. 721] suggested, government impartiality towards religion may not be enough in such situations: A law that bars all alcohol sales within some distance of a church, school, or hospital may be valid, but an equally evenhanded law that gives each institution discretionary power over the sales may not be. Larkin, supra, at 123-124. Of course, there may well be additional categories, or more opportune places to draw the lines between the categories.</w:t>
      </w:r>
    </w:p>
    <w:p w:rsidR="00A31137" w:rsidRPr="00A31137" w:rsidRDefault="00A31137" w:rsidP="00A31137">
      <w:r w:rsidRPr="00A31137">
        <w:t>1994, Board of Ed. v. Grumet, 512 U.S. 721</w:t>
      </w:r>
    </w:p>
    <w:p w:rsidR="00A31137" w:rsidRPr="00A31137" w:rsidRDefault="00A31137" w:rsidP="00A31137">
      <w:r w:rsidRPr="00A31137">
        <w:t>As the Court's opinion today shows, the slide away from Lemon's unitary approach is well under way. A return to Lemon, even if possible, would likely be futile, regardless of where one stands on the substantive Establishment Clause questions. I think a less unitary approach provides a better structure for analysis. If each test covers a narrower and more homogeneous area, the tests may be more precise and therefore easier to apply. There may be more opportunity to pay attention to the specific nuances of each area. There might also be, I hope, more consensus on each of the narrow tests than there has been on a broad test. And abandoning the Lemon framework need not mean abandoning some of the insights that the test reflected, nor the insights of the cases that applied it.</w:t>
      </w:r>
    </w:p>
    <w:p w:rsidR="00A31137" w:rsidRPr="00A31137" w:rsidRDefault="00A31137" w:rsidP="00A31137">
      <w:r w:rsidRPr="00A31137">
        <w:t>1994, Board of Ed. v. Grumet, 512 U.S. 721</w:t>
      </w:r>
    </w:p>
    <w:p w:rsidR="00A31137" w:rsidRPr="00A31137" w:rsidRDefault="00A31137" w:rsidP="00A31137">
      <w:r w:rsidRPr="00A31137">
        <w:t>Perhaps eventually under this structure we may indeed distill a unified, or at least a more unified, Establishment Clause test from the cases. Cf. Clark v. Community for Creative Non-Violence, 468 U.S. 288, 298-299 (1984) (uniting two strands of Free Speech Clause doctrine). But it seems to me that the case law will better be able to evolve towards this if it is freed from the Lemon test's rigid influence. The hard questions would, of course, still have to be asked; but they will be asked within a more carefully tailored and less distorted framework.</w:t>
      </w:r>
    </w:p>
    <w:p w:rsidR="00A31137" w:rsidRPr="00A31137" w:rsidRDefault="00A31137" w:rsidP="00A31137">
      <w:r w:rsidRPr="00A31137">
        <w:t>*    *    *    *</w:t>
      </w:r>
    </w:p>
    <w:p w:rsidR="00A31137" w:rsidRPr="00A31137" w:rsidRDefault="00A31137" w:rsidP="00A31137">
      <w:r w:rsidRPr="00A31137">
        <w:t>1994, Board of Ed. v. Grumet, 512 U.S. 721</w:t>
      </w:r>
    </w:p>
    <w:p w:rsidR="00A31137" w:rsidRPr="00A31137" w:rsidRDefault="00A31137" w:rsidP="00A31137">
      <w:r w:rsidRPr="00A31137">
        <w:t xml:space="preserve">For the reasons stated, I would affirm the judgment of the Court of Appeals of the State of New York. [512 U.S. 722] </w:t>
      </w:r>
    </w:p>
    <w:p w:rsidR="00A31137" w:rsidRPr="00A31137" w:rsidRDefault="00A31137" w:rsidP="00A31137">
      <w:r w:rsidRPr="00A31137">
        <w:t>KENNEDY, J., concurring</w:t>
      </w:r>
    </w:p>
    <w:p w:rsidR="00A31137" w:rsidRPr="00A31137" w:rsidRDefault="00A31137" w:rsidP="00A31137">
      <w:r w:rsidRPr="00A31137">
        <w:t>1994, Board of Ed. v. Grumet, 512 U.S. 722</w:t>
      </w:r>
    </w:p>
    <w:p w:rsidR="00A31137" w:rsidRPr="00A31137" w:rsidRDefault="00A31137" w:rsidP="00A31137">
      <w:r w:rsidRPr="00A31137">
        <w:t>JUSTICE KENNEDY, concurring in the judgment.</w:t>
      </w:r>
    </w:p>
    <w:p w:rsidR="00A31137" w:rsidRPr="00A31137" w:rsidRDefault="00A31137" w:rsidP="00A31137">
      <w:r w:rsidRPr="00A31137">
        <w:t>1994, Board of Ed. v. Grumet, 512 U.S. 722</w:t>
      </w:r>
    </w:p>
    <w:p w:rsidR="00A31137" w:rsidRPr="00A31137" w:rsidRDefault="00A31137" w:rsidP="00A31137">
      <w:r w:rsidRPr="00A31137">
        <w:t>The Court's ruling that the Kiryas Joel Village School District violates the Establishment Clause is in my view correct, but my reservations about what the Court's reasoning implies for religious accommodations in general are sufficient to require a separate writing. As the Court recognizes, a legislative accommodation that discriminates among religions may become an establishment of religion. But the Court's opinion can be interpreted to say that an accommodation for a particular religious group is invalid because of the risk that the legislature will not grant the same accommodation to another religious group suffering some similar burden. This rationale seems to me without grounding in our precedents and a needless restriction upon the legislature's ability to respond to the unique problems of a particular religious group. The real vice of the school district, in my estimation, is that New York created it by drawing political boundaries on the basis of religion. I would decide the issue we confront upon this narrower theory, though in accord with many of the Court's general observations about the State's actions in this case.</w:t>
      </w:r>
    </w:p>
    <w:p w:rsidR="00A31137" w:rsidRPr="00A31137" w:rsidRDefault="00A31137" w:rsidP="00A31137">
      <w:r w:rsidRPr="00A31137">
        <w:t>I</w:t>
      </w:r>
    </w:p>
    <w:p w:rsidR="00A31137" w:rsidRPr="00A31137" w:rsidRDefault="00A31137" w:rsidP="00A31137">
      <w:r w:rsidRPr="00A31137">
        <w:t>1994, Board of Ed. v. Grumet, 512 U.S. 722</w:t>
      </w:r>
    </w:p>
    <w:p w:rsidR="00A31137" w:rsidRPr="00A31137" w:rsidRDefault="00A31137" w:rsidP="00A31137">
      <w:r w:rsidRPr="00A31137">
        <w:t>This is not a case in which the government has granted a benefit to a general class of recipients of which religious groups are just one part. See Zobrest v. Catalina Foothills School Dist., 509 U.S. 1 (1993); Bowen v. Kendrick, 487 U.S. 589 (1988); Witters v. Washington Dept. of Services for the Blind, 474 U.S. 481 (1986); Mueller v. Allen, 463 U.S. 388 (1983). It is, rather, a case in which the government seeks to alleviate a specific burden on the religious practices of a particular religious group. I agree that a religious accommodation demands careful scrutiny to ensure that it does not so burden nonadherents or discriminate against other religions as to become an establishment. I disagree, however, with the suggestion that the Kiryas Joel Village School District contravenes these basic constitutional commands. But for the [512 U.S. 723] forbidden manner in which the New York Legislature sought to go about it, the State's attempt to accommodate the special needs of the handicapped Satmar children would have been valid.</w:t>
      </w:r>
    </w:p>
    <w:p w:rsidR="00A31137" w:rsidRPr="00A31137" w:rsidRDefault="00A31137" w:rsidP="00A31137">
      <w:r w:rsidRPr="00A31137">
        <w:t>1994, Board of Ed. v. Grumet, 512 U.S. 723</w:t>
      </w:r>
    </w:p>
    <w:p w:rsidR="00A31137" w:rsidRPr="00A31137" w:rsidRDefault="00A31137" w:rsidP="00A31137">
      <w:r w:rsidRPr="00A31137">
        <w:t>"Government policies of accommodation, acknowledgment, and support for religion are an accepted part of our political and cultural heritage." Allegheny County v. Greater Pittsburgh ACLU, 492 U.S. 573,  657 (1989) (KENNEDY, J., concurring in judgment in part and dissenting in part). Before the Revolution, colonial governments made a frequent practice of exempting religious objectors from general laws. See McConnell, The Origins and Historical Understanding of Free Exercise of Religion, 103 Harv.L.Rev. 1409, 1466-1473 (1990) (recounting colonial exemptions from oath requirements, compulsory military service, religious assessments, and other general legislation). As early as 1691, for instance, New York allowed Quakers to testify by affirmation, rather than oath, in civil court cases. T. Curry, The First Freedoms: Church and State in America to the Passage of the First Amendment 64 (1986). Later, during the American Revolution, the Continental Congress exempted religious objectors from military conscription. Resolution of July 18, 1775, reprinted in 2 Journals of the Continental Congress 187, 189 (1905) ("As there are some people, who, from religious principles, cannot bear arms in any case, this Congress intend no violence to their consciences…"). And since the framing of the Constitution, this Court has approved legislative accommodations for a variety of religious practices. See, e.g., Selective Draft Law Cases, 245 U.S. 366, 389-390 (1918) (military draft exemption for religious objectors); Zorach v. Clausen, 343 U.S. 306 (1952) (New York City program permitting public school children to leave school for one hour a week for religious observance and instruction); Gillette v. United States, 401 U.S. 437 (1971) (military draft exemption for religious objectors); Corporation of Presiding Bishop [512 U.S. 724] of Church of Jesus Christ of Latter-day Saints v. Amos, 483 U.S. 327 (1987) (exemption of religious organizations from Title VII's prohibition of religious discrimination); Employment Div., Dept. of Human Resources of Ore. v. Smith, 494 U.S. 872,  890 (1990) (exemption from drug laws for sacramental peyote use) (dicta).</w:t>
      </w:r>
    </w:p>
    <w:p w:rsidR="00A31137" w:rsidRPr="00A31137" w:rsidRDefault="00A31137" w:rsidP="00A31137">
      <w:r w:rsidRPr="00A31137">
        <w:t>1994, Board of Ed. v. Grumet, 512 U.S. 724</w:t>
      </w:r>
    </w:p>
    <w:p w:rsidR="00A31137" w:rsidRPr="00A31137" w:rsidRDefault="00A31137" w:rsidP="00A31137">
      <w:r w:rsidRPr="00A31137">
        <w:t>New York's object in creating the Kiryas Joel Village School District—to accommodate the religious practices of the handicapped Satmar children—is validated by the principles that emerge from these precedents. First, by creating the district, New York sought to alleviate a specific and identifiable burden on the Satmars' religious practice. The Satmars' way of life, which springs out of their strict religious beliefs, conflicts in many respects with mainstream American culture. They do not watch television or listen to radio; they speak Yiddish in their homes and do not read English language publications; and they have a distinctive hairstyle and dress. Attending the Monroe-Woodbury public schools, where they were exposed to much different ways of life, caused the handicapped Satmar children understandable anxiety and distress. New York was entitled to relieve these significant burdens, even though mainstream public schooling does not conflict with any specific tenet of the Satmars' religious faith. The Title VII exemption upheld in Corporation of Presiding Bishop, supra, for example, covers religious groups who may not believe themselves obliged to employ coreligionists in every instance. See also Walz v. Tax Comm'n of New York, 397 U.S. 664,  673 (1970) ("The limits of permissible state accommodation to religion are by no means coextensive with the noninterference mandated by the Free Exercise Clause"); accord, Smith, supra, at  890 (legislatures may grant accommodations even when courts may not).</w:t>
      </w:r>
    </w:p>
    <w:p w:rsidR="00A31137" w:rsidRPr="00A31137" w:rsidRDefault="00A31137" w:rsidP="00A31137">
      <w:r w:rsidRPr="00A31137">
        <w:t>1994, Board of Ed. v. Grumet, 512 U.S. 724</w:t>
      </w:r>
    </w:p>
    <w:p w:rsidR="00A31137" w:rsidRPr="00A31137" w:rsidRDefault="00A31137" w:rsidP="00A31137">
      <w:r w:rsidRPr="00A31137">
        <w:t>Second, by creating the district, New York did not impose or increase any burden on non-Satmars, compared to the burden it lifted from the Satmars, that might disqualify the District [512 U.S. 725] as a genuine accommodation. In Gillette, supra, the Court upheld a military draft exemption, even though the burden on those without religious objection to war (the increased chance of being drafted and forced to risk one's life in battle) was substantial. And in Corporation of Presiding Bishop, the Court upheld the Title VII exemption even though it permitted employment discrimination against nonpractitioners of the religious organization's faith. There is a point, to be sure at which an accommodation may impose a burden on nonadherents so great that it becomes an establishment. See, e.g., Estate of Thornton v. Caldor, Inc., 472 U.S. 703, 709-710 (1985) (invalidating mandatory Sabbath day off because it provided "no exception when honoring the dictates of Sabbath observers would cause the employer substantial economic burdens or when the employer's compliance would require the imposition of significant burdens on other employees required to work in place of the Sabbath observers"). This case has not been argued, however, on the theory that non-Satmars suffer any special burdens from the existence of the Kiryas Joel Village School District.</w:t>
      </w:r>
    </w:p>
    <w:p w:rsidR="00A31137" w:rsidRPr="00A31137" w:rsidRDefault="00A31137" w:rsidP="00A31137">
      <w:r w:rsidRPr="00A31137">
        <w:t>1994, Board of Ed. v. Grumet, 512 U.S. 725</w:t>
      </w:r>
    </w:p>
    <w:p w:rsidR="00A31137" w:rsidRPr="00A31137" w:rsidRDefault="00A31137" w:rsidP="00A31137">
      <w:r w:rsidRPr="00A31137">
        <w:t>Third, the creation of the school district to alleviate the special burdens born by the handicapped Satmar children cannot be said, for that reason alone, to favor the Satmar religion to the exclusion of any other. "The clearest command of the Establishment Clause," of course, "is that one religious denomination cannot be officially preferred over another." Larson v. Valente, 456 U.S. 228,  244 (1982); accord, Smith, supra, 494 U.S. at  886, n. 3. I disagree, however, with the Court's conclusion that the school district breaches this command. The Court insists that religious favoritism is a danger here, because the "anomalously case-specific nature of the legislature's exercise of state authority in creating this district for a religious community leaves the Court without any direct way to review such state action" to ensure interdenominational neutrality. Ante at  703.</w:t>
      </w:r>
    </w:p>
    <w:p w:rsidR="00A31137" w:rsidRPr="00A31137" w:rsidRDefault="00A31137" w:rsidP="00A31137">
      <w:r w:rsidRPr="00A31137">
        <w:t>1994, Board of Ed. v. Grumet, 512 U.S. 725</w:t>
      </w:r>
    </w:p>
    <w:p w:rsidR="00A31137" w:rsidRPr="00A31137" w:rsidRDefault="00A31137" w:rsidP="00A31137">
      <w:r w:rsidRPr="00A31137">
        <w:t>Because the religious community of Kiryas Joel did not receive its new governmental [512 U.S. 726] authority simply as one of many communities eligible for equal treatment under a general law,</w:t>
      </w:r>
    </w:p>
    <w:p w:rsidR="00A31137" w:rsidRPr="00A31137" w:rsidRDefault="00A31137" w:rsidP="00A31137">
      <w:r w:rsidRPr="00A31137">
        <w:t>1994, Board of Ed. v. Grumet, 512 U.S. 726</w:t>
      </w:r>
    </w:p>
    <w:p w:rsidR="00A31137" w:rsidRPr="00A31137" w:rsidRDefault="00A31137" w:rsidP="00A31137">
      <w:r w:rsidRPr="00A31137">
        <w:t>the Court maintains,</w:t>
      </w:r>
    </w:p>
    <w:p w:rsidR="00A31137" w:rsidRPr="00A31137" w:rsidRDefault="00A31137" w:rsidP="00A31137">
      <w:r w:rsidRPr="00A31137">
        <w:t>1994, Board of Ed. v. Grumet, 512 U.S. 726</w:t>
      </w:r>
    </w:p>
    <w:p w:rsidR="00A31137" w:rsidRPr="00A31137" w:rsidRDefault="00A31137" w:rsidP="00A31137">
      <w:r w:rsidRPr="00A31137">
        <w:t>we have no assurance that the next similarly situated group seeking a school district of its own will receive one;…a legislature's failure to enact a special law is itself unreviewable.</w:t>
      </w:r>
    </w:p>
    <w:p w:rsidR="00A31137" w:rsidRPr="00A31137" w:rsidRDefault="00A31137" w:rsidP="00A31137">
      <w:r w:rsidRPr="00A31137">
        <w:t>1994, Board of Ed. v. Grumet, 512 U.S. 726</w:t>
      </w:r>
    </w:p>
    <w:p w:rsidR="00A31137" w:rsidRPr="00A31137" w:rsidRDefault="00A31137" w:rsidP="00A31137">
      <w:r w:rsidRPr="00A31137">
        <w:t>Ibid. (footnote omitted).</w:t>
      </w:r>
    </w:p>
    <w:p w:rsidR="00A31137" w:rsidRPr="00A31137" w:rsidRDefault="00A31137" w:rsidP="00A31137">
      <w:r w:rsidRPr="00A31137">
        <w:t>1994, Board of Ed. v. Grumet, 512 U.S. 726</w:t>
      </w:r>
    </w:p>
    <w:p w:rsidR="00A31137" w:rsidRPr="00A31137" w:rsidRDefault="00A31137" w:rsidP="00A31137">
      <w:r w:rsidRPr="00A31137">
        <w:t>This reasoning reverses the usual presumption that a statute is constitutional and, in essence, adjudges the New York Legislature guilty until it proves itself innocent. No party has adduced any evidence that the legislature has denied another religious community like the Satmars its own school district under analogous circumstances. The legislature, like the judiciary, is sworn to uphold the Constitution, and we have no reason to presume that the New York Legislature would not grant the same accommodation in a similar future case. The fact that New York singled out the Satmars for this special treatment indicates nothing other than the uniqueness of the handicapped Satmar children's plight. It is normal for legislatures to respond to problems as they arise—no less so when the issue is religious accommodation. Most accommodations cover particular religious practices. See, e.g., 21 CFR § 1307.31 (1993) ("The listing of peyote as a controlled substance…does not apply to the nondrug use of peyote in bona fide religious ceremonies of the Native American Church"); 25 CFR § 11.87H (1993) ("[I]t shall not be unlawful for any member of the Native American Church to transport into Navajo country, buy, sell, possess, or use peyote in any form in connection with the religious practices, sacraments or services of the Native American Church"); Dept. of Air Force, Reg. 35-10, ¶ 2-28(b)(2) (Apr. 1989) ("Religious head coverings are authorized for wear while in uniform when military headgear is not authorized…. Religious head coverings may be worn underneath military headgear if they do not interfere with the proper wearing, functioning, or appearance of the prescribed headgear…. [512 U.S. 727] For example, Jewish yarmulkes meet this requirement if they do not exceed 6 inches in diameter"); National Prohibition Act, § 3, 41 Stat. 308 ("Liquor for nonbeverage purposes and wine for sacramental purposes may be manufactured, purchased, sold, bartered, transported, imported, exported, delivered, furnished and possessed"), repealed by Liquor Law Repeal and Enforcement Act, § 1, 49 Stat. 872. They do not thereby become invalid.</w:t>
      </w:r>
    </w:p>
    <w:p w:rsidR="00A31137" w:rsidRPr="00A31137" w:rsidRDefault="00A31137" w:rsidP="00A31137">
      <w:r w:rsidRPr="00A31137">
        <w:t>1994, Board of Ed. v. Grumet, 512 U.S. 727</w:t>
      </w:r>
    </w:p>
    <w:p w:rsidR="00A31137" w:rsidRPr="00A31137" w:rsidRDefault="00A31137" w:rsidP="00A31137">
      <w:r w:rsidRPr="00A31137">
        <w:t xml:space="preserve">Nor is it true that New York's failure to accommodate another religious community facing similar burdens would be insulated from challenge in the courts. The burdened community could sue the State of New York, contending that New York's discriminatory treatment of the two religious communities violated the Establishment Clause. To resolve this claim, the court would have only to determine whether the community does indeed bear the same burden on its religious practice as did the Satmars in Kiryas Joel. See Olsen v. Drug Enforcement Admin., 878 F.2d 1458, 1463-1465 (CADC 1989) (R. B. GINSBURG, J.) (rejecting claim that the members of the Ethiopian Zion Coptic Church were entitled to an exemption from the marijuana laws on the same terms as the peyote exemption for the Native American Church); Olsen v. Iowa, 808 F.2d 652 (CA8 1986) (same). While a finding of discrimination would then raise a difficult question of relief, compare Olsen, 878 F.2d at 1464 ("Faced with the choice between invalidation and extension of any controlled substances religious exemption, which would the political branches choose? It would take a court bolder than this one to predict…that extension, not invalidation, would be the probable choice"), with Califano v. Westcott, 443 U.S. 76, 89-93 (1979) (curing gender discrimination in the AFDC program by extending benefits to children of unemployed mothers instead of denying benefits to children of unemployed fathers), the discrimination itself would not be beyond judicial remedy. [512 U.S. 728] </w:t>
      </w:r>
    </w:p>
    <w:p w:rsidR="00A31137" w:rsidRPr="00A31137" w:rsidRDefault="00A31137" w:rsidP="00A31137">
      <w:r w:rsidRPr="00A31137">
        <w:t>II</w:t>
      </w:r>
    </w:p>
    <w:p w:rsidR="00A31137" w:rsidRPr="00A31137" w:rsidRDefault="00A31137" w:rsidP="00A31137">
      <w:r w:rsidRPr="00A31137">
        <w:t>1994, Board of Ed. v. Grumet, 512 U.S. 728</w:t>
      </w:r>
    </w:p>
    <w:p w:rsidR="00A31137" w:rsidRPr="00A31137" w:rsidRDefault="00A31137" w:rsidP="00A31137">
      <w:r w:rsidRPr="00A31137">
        <w:t>The Kiryas Joel Village School District thus does not suffer any of the typical infirmities that might invalidate an attempted legislative accommodation. In the ordinary case, the fact that New York has chosen to accommodate the burdens unique to one religious group would raise no constitutional problems. Without further evidence that New York has denied the same accommodation to religious groups bearing similar burdens, we could not presume from the particularity of the accommodation that the New York Legislature acted with discriminatory intent.</w:t>
      </w:r>
    </w:p>
    <w:p w:rsidR="00A31137" w:rsidRPr="00A31137" w:rsidRDefault="00A31137" w:rsidP="00A31137">
      <w:r w:rsidRPr="00A31137">
        <w:t>1994, Board of Ed. v. Grumet, 512 U.S. 728</w:t>
      </w:r>
    </w:p>
    <w:p w:rsidR="00A31137" w:rsidRPr="00A31137" w:rsidRDefault="00A31137" w:rsidP="00A31137">
      <w:r w:rsidRPr="00A31137">
        <w:t>This particularity takes on a different cast, however, when the accommodation requires the government to draw political or electoral boundaries.</w:t>
      </w:r>
    </w:p>
    <w:p w:rsidR="00A31137" w:rsidRPr="00A31137" w:rsidRDefault="00A31137" w:rsidP="00A31137">
      <w:r w:rsidRPr="00A31137">
        <w:t>1994, Board of Ed. v. Grumet, 512 U.S. 728</w:t>
      </w:r>
    </w:p>
    <w:p w:rsidR="00A31137" w:rsidRPr="00A31137" w:rsidRDefault="00A31137" w:rsidP="00A31137">
      <w:r w:rsidRPr="00A31137">
        <w:t>The principle that government may accommodate the free exercise of religion does not supersede the fundamental limitations imposed by the Establishment Clause,</w:t>
      </w:r>
    </w:p>
    <w:p w:rsidR="00A31137" w:rsidRPr="00A31137" w:rsidRDefault="00A31137" w:rsidP="00A31137">
      <w:r w:rsidRPr="00A31137">
        <w:t>1994, Board of Ed. v. Grumet, 512 U.S. 728</w:t>
      </w:r>
    </w:p>
    <w:p w:rsidR="00A31137" w:rsidRPr="00A31137" w:rsidRDefault="00A31137" w:rsidP="00A31137">
      <w:r w:rsidRPr="00A31137">
        <w:t>Lee v. Weisman, 505 U.S. 577,  587 (1992), and, in my view, one such fundamental limitation is that government may not use religion as a criterion to draw political or electoral lines. Whether or not the purpose is accommodation and whether or not the government provides similar gerrymanders to people of all religious faiths, the Establishment Clause forbids the government to use religion as a line-drawing criterion. In this respect, the Establishment Clause mirrors the Equal Protection Clause. Just as the government may not segregate people on account of their race, so too it may not segregate on the basis of religion. The danger of stigma and stirred animosities is no less acute for religious line-drawing than for racial. Justice Douglas put it well in a statement this Court quoted with approval just last Term:</w:t>
      </w:r>
    </w:p>
    <w:p w:rsidR="00A31137" w:rsidRPr="00A31137" w:rsidRDefault="00A31137" w:rsidP="00A31137">
      <w:r w:rsidRPr="00A31137">
        <w:t>1994, Board of Ed. v. Grumet, 512 U.S. 728</w:t>
      </w:r>
    </w:p>
    <w:p w:rsidR="00A31137" w:rsidRPr="00A31137" w:rsidRDefault="00A31137" w:rsidP="00A31137">
      <w:r w:rsidRPr="00A31137">
        <w:t>When racial or religious lines are drawn by the State, the multiracial, multireligious communities that our Constitution seeks to weld together as one become separatist; antagonisms that relate to race or to religion, [512 U.S. 729] rather than to political issues, are generated; communities seek not the best representative, but the best racial or religious partisan. Since that system is at war with the democratic ideal, it should find no footing here.</w:t>
      </w:r>
    </w:p>
    <w:p w:rsidR="00A31137" w:rsidRPr="00A31137" w:rsidRDefault="00A31137" w:rsidP="00A31137">
      <w:r w:rsidRPr="00A31137">
        <w:t>1994, Board of Ed. v. Grumet, 512 U.S. 729</w:t>
      </w:r>
    </w:p>
    <w:p w:rsidR="00A31137" w:rsidRPr="00A31137" w:rsidRDefault="00A31137" w:rsidP="00A31137">
      <w:r w:rsidRPr="00A31137">
        <w:t>Wright v. Rockefeller, 376 U.S. 52, 67 (1964) (Douglas, J., dissenting) (quoted in Shaw v. Reno, 509 U.S. 630, 648-649 (1993)). I agree with the Court insofar as it invalidates the school district for being drawn along religious lines. As the plurality observes, ante at 699-700, the New York Legislature knew that everyone within the village was Satmar when it drew the school district along the village lines, and it determined who was to be included in the district by imposing, in effect, a religious test. There is no serious question that the legislature configured the school district, with purpose and precision, along a religious line. This explicit religious gerrymandering violates the First Amendment Establishment Clause.</w:t>
      </w:r>
    </w:p>
    <w:p w:rsidR="00A31137" w:rsidRPr="00A31137" w:rsidRDefault="00A31137" w:rsidP="00A31137">
      <w:r w:rsidRPr="00A31137">
        <w:t>1994, Board of Ed. v. Grumet, 512 U.S. 729</w:t>
      </w:r>
    </w:p>
    <w:p w:rsidR="00A31137" w:rsidRPr="00A31137" w:rsidRDefault="00A31137" w:rsidP="00A31137">
      <w:r w:rsidRPr="00A31137">
        <w:t>It is important to recognize the limits of this principle. We do not confront the constitutionality of the Kiryas Joel Village itself, and the formation of the village appears to differ from the formation of the school district in one critical respect. As the Court notes, ante at  703, n. 7, the village was formed pursuant to a religion-neutral self-incorporation scheme. Under New York law, a territory with at least 500 residents and not more than five square miles may be incorporated upon petition by at least 20 percent of the voting residents of that territory or by the owners of more than 50 percent of the territory's real property. N.Y.Village Law §§ 2-200, 2-202 (McKinney 1973 and Supp. 1994). Aside from ensuring that the petition complies with certain procedural requirements, the supervisor of the town in which the territory is located has no discretion to reject the petition. § 2-206; see Decision on Sufficiency of Petition, in App. 8, 14 ("[T]he hollow provisions of the Village Law…allow me only to review the procedural niceties of the petition itself"). [512 U.S. 730] The residents of the town then vote upon the incorporation petition in a special election. N.Y.Village Law § 2-212 (McKinney 1973). By contrast, the Kiryas Joel Village School District was created by state legislation. The State of New York had complete discretion not to enact it. The State thus had a direct hand in accomplishing the religious segregation.</w:t>
      </w:r>
    </w:p>
    <w:p w:rsidR="00A31137" w:rsidRPr="00A31137" w:rsidRDefault="00A31137" w:rsidP="00A31137">
      <w:r w:rsidRPr="00A31137">
        <w:t>1994, Board of Ed. v. Grumet, 512 U.S. 730</w:t>
      </w:r>
    </w:p>
    <w:p w:rsidR="00A31137" w:rsidRPr="00A31137" w:rsidRDefault="00A31137" w:rsidP="00A31137">
      <w:r w:rsidRPr="00A31137">
        <w:t>As the plurality indicates, the Establishment Clause does not invalidate a town or a state "whose boundaries are derived according to neutral historical and geographic criteria, but whose population happens to comprise coreligionists." Ante at  702, n. 6. People who share a common religious belief or lifestyle may live together without sacrificing the basic rights of self-governance that all American citizens enjoy, so long as they do not use those rights to establish their religious faith. Religion flourishes in community, and the Establishment Clause must not be construed as some sort of homogenizing solvent that forces unconventional religious groups to choose between assimilating to mainstream American culture or losing their political rights. There is more than a fine line, however, between the voluntary association that leads to a political community comprised of people who share a common religious faith, and the forced separation that occurs when the government draws explicit political boundaries on the basis of peoples' faith. In creating the Kiryas Joel Village School District, New York crossed that line, and so we must hold the district invalid.</w:t>
      </w:r>
    </w:p>
    <w:p w:rsidR="00A31137" w:rsidRPr="00A31137" w:rsidRDefault="00A31137" w:rsidP="00A31137">
      <w:r w:rsidRPr="00A31137">
        <w:t>III</w:t>
      </w:r>
    </w:p>
    <w:p w:rsidR="00A31137" w:rsidRPr="00A31137" w:rsidRDefault="00A31137" w:rsidP="00A31137">
      <w:r w:rsidRPr="00A31137">
        <w:t>1994, Board of Ed. v. Grumet, 512 U.S. 730</w:t>
      </w:r>
    </w:p>
    <w:p w:rsidR="00A31137" w:rsidRPr="00A31137" w:rsidRDefault="00A31137" w:rsidP="00A31137">
      <w:r w:rsidRPr="00A31137">
        <w:t>This is an unusual case, for it is rare to see a State exert such documented care to carve out territory for people of a particular religious faith. It is also unusual in that the problem to which the Kiryas Joel Village School District was addressed is attributable in no small measure to what I believe were unfortunate rulings by this Court.</w:t>
      </w:r>
    </w:p>
    <w:p w:rsidR="00A31137" w:rsidRPr="00A31137" w:rsidRDefault="00A31137" w:rsidP="00A31137">
      <w:r w:rsidRPr="00A31137">
        <w:t>1994, Board of Ed. v. Grumet, 512 U.S. 730</w:t>
      </w:r>
    </w:p>
    <w:p w:rsidR="00A31137" w:rsidRPr="00A31137" w:rsidRDefault="00A31137" w:rsidP="00A31137">
      <w:r w:rsidRPr="00A31137">
        <w:t>Before 1985, the handicapped Satmar children of Kiryas Joel attended the private religious schools within the village [512 U.S. 731] that the other Satmar children attended. Because their handicaps were in some cases acute (ranging from mental retardation and deafness to spina bifida and cerebral palsy), the State of New York provided public funds for special education of these children at annexes to the religious schools. Then came the companion cases of School Dist. of Grand Rapids v. Ball, 473 U.S. 373 (1985), and Aguilar v. Felton, 473 U.S. 402 (1985). In Grand Rapids, the Court invalidated a program in which public school teachers would offer supplemental classes at private schools, including religious schools at the end of the regular school day. And in Aguilar, the Court invalidated New York City's use of Title I funding to pay the salaries of public school teachers who taught educationally deprived children of low-income families at parochial schools in the city. After these cases, the Monroe-Woodbury School District suspended its special education program at the Kiryas Joel religious schools, and the Kiryas Joel parents were forced to enroll their handicapped children at the Monroe-Woodbury public schools in order for the children to receive special education. The ensuing difficulties, as the Court recounts, ante at 692-693, led to the creation of the Kiryas Joel Village School District.</w:t>
      </w:r>
    </w:p>
    <w:p w:rsidR="00A31137" w:rsidRPr="00A31137" w:rsidRDefault="00A31137" w:rsidP="00A31137">
      <w:r w:rsidRPr="00A31137">
        <w:t>1994, Board of Ed. v. Grumet, 512 U.S. 731</w:t>
      </w:r>
    </w:p>
    <w:p w:rsidR="00A31137" w:rsidRPr="00A31137" w:rsidRDefault="00A31137" w:rsidP="00A31137">
      <w:r w:rsidRPr="00A31137">
        <w:t>The decisions in Grand Rapids and Aguilar may have been erroneous. In light of the case before us, and in the interest of sound elaboration of constitutional doctrine, it may be necessary for us to reconsider them at a later date. A neutral aid scheme, available to religious and nonreligious alike, is the preferable way to address problems such as the Satmar handicapped children have suffered. See Witters, 474 U.S. at 490-492 (Powell, J., concurring). But for Grand Rapids and Aguilar, the Satmars would have had no need to seek special accommodations or their own school district. Our decisions led them to choose that unfortunate course, with the deficiencies I have described.</w:t>
      </w:r>
    </w:p>
    <w:p w:rsidR="00A31137" w:rsidRPr="00A31137" w:rsidRDefault="00A31137" w:rsidP="00A31137">
      <w:r w:rsidRPr="00A31137">
        <w:t>1994, Board of Ed. v. Grumet, 512 U.S. 731</w:t>
      </w:r>
    </w:p>
    <w:p w:rsidR="00A31137" w:rsidRPr="00A31137" w:rsidRDefault="00A31137" w:rsidP="00A31137">
      <w:r w:rsidRPr="00A31137">
        <w:t>One misjudgment is no excuse, however, for compounding it with another. We must confront this case as it comes before [512 U.S. 732] us, without bending rules to free the Satmars from a predicament into which we put them. The Establishment Clause forbids the government to draw political boundaries on the basis of religious faith. For this reason, I concur in the judgment of the Court.</w:t>
      </w:r>
    </w:p>
    <w:p w:rsidR="00A31137" w:rsidRPr="00A31137" w:rsidRDefault="00A31137" w:rsidP="00A31137">
      <w:r w:rsidRPr="00A31137">
        <w:t>SCALIA, J., dissenting</w:t>
      </w:r>
    </w:p>
    <w:p w:rsidR="00A31137" w:rsidRPr="00A31137" w:rsidRDefault="00A31137" w:rsidP="00A31137">
      <w:r w:rsidRPr="00A31137">
        <w:t>1994, Board of Ed. v. Grumet, 512 U.S. 732</w:t>
      </w:r>
    </w:p>
    <w:p w:rsidR="00A31137" w:rsidRPr="00A31137" w:rsidRDefault="00A31137" w:rsidP="00A31137">
      <w:r w:rsidRPr="00A31137">
        <w:t>JUSTICE SCALIA, with whom THE CHIEF JUSTICE and JUSTICE THOMAS join, dissenting.</w:t>
      </w:r>
    </w:p>
    <w:p w:rsidR="00A31137" w:rsidRPr="00A31137" w:rsidRDefault="00A31137" w:rsidP="00A31137">
      <w:r w:rsidRPr="00A31137">
        <w:t>1994, Board of Ed. v. Grumet, 512 U.S. 732</w:t>
      </w:r>
    </w:p>
    <w:p w:rsidR="00A31137" w:rsidRPr="00A31137" w:rsidRDefault="00A31137" w:rsidP="00A31137">
      <w:r w:rsidRPr="00A31137">
        <w:t>The Court today finds that the Powers That Be, up in Albany, have conspired to effect an establishment of the Satmar Hasidim. I do not know who would be more surprised at this discovery: the Founders of our Nation or Grand Rebbe Joel Teitelbaum, founder of the Satmar. The Grand Rebbe would be astounded to learn that, after escaping brutal persecution and coming to America with the modest hope of religious toleration for their ascetic form of Judaism, the Satmar had become so powerful, so closely allied with Mammon, as to have become an "establishment" of the Empire State. And the Founding Fathers would be astonished to find that the Establishment Clause—which they designed "to insure that no one powerful sect or combination of sects could use political or governmental power to punish dissenters," Zorach v. Clauson, 343 U.S. 306,  319 (1952) (Black, J., dissenting)—has been employed to prohibit characteristically and admirably American accommodation of the religious practices (or more precisely, cultural peculiarities) of a tiny minority sect. I, however, am not surprised. Once this Court has abandoned text and history as guides, nothing prevents it from calling religious toleration the establishment of religion.</w:t>
      </w:r>
    </w:p>
    <w:p w:rsidR="00A31137" w:rsidRPr="00A31137" w:rsidRDefault="00A31137" w:rsidP="00A31137">
      <w:r w:rsidRPr="00A31137">
        <w:t>I</w:t>
      </w:r>
    </w:p>
    <w:p w:rsidR="00A31137" w:rsidRPr="00A31137" w:rsidRDefault="00A31137" w:rsidP="00A31137">
      <w:r w:rsidRPr="00A31137">
        <w:t>1994, Board of Ed. v. Grumet, 512 U.S. 732</w:t>
      </w:r>
    </w:p>
    <w:p w:rsidR="00A31137" w:rsidRPr="00A31137" w:rsidRDefault="00A31137" w:rsidP="00A31137">
      <w:r w:rsidRPr="00A31137">
        <w:t>Unlike most of our Establishment Clause cases involving education, these cases involve no public funding, however slight or indirect, to private religious schools. They do not involve private schools at all. The school under scrutiny is a public school specifically designed to provide a public secular [512 U.S. 733] education to handicapped students. The superintendent of the school, who is not Hasidic, is a 20-year veteran of the New York City public school system, with expertise in the area of bilingual, bicultural, special education. The teachers and therapists at the school all live outside the village of Kiryas Joel. While the village's private schools are profoundly religious and strictly segregated by sex, classes at the public school are co-ed and the curriculum secular. The school building has the bland appearance of a public school, unadorned by religious symbols or markings; and the school complies with the laws and regulations governing all other New York State public schools. There is no suggestion, moreover, that this public school has gone too far in making special adjustments to the religious needs of its students. Cf. Zorach v. Clauson, supra, at 312-315 (approving a program permitting early release of public school students to attend religious instruction). In sum, these cases involve only public aid to a school that is public as can be. The only thing distinctive about the school is that all the students share the same religion.</w:t>
      </w:r>
    </w:p>
    <w:p w:rsidR="00A31137" w:rsidRPr="00A31137" w:rsidRDefault="00A31137" w:rsidP="00A31137">
      <w:r w:rsidRPr="00A31137">
        <w:t>1994, Board of Ed. v. Grumet, 512 U.S. 733</w:t>
      </w:r>
    </w:p>
    <w:p w:rsidR="00A31137" w:rsidRPr="00A31137" w:rsidRDefault="00A31137" w:rsidP="00A31137">
      <w:r w:rsidRPr="00A31137">
        <w:t>None of our cases has ever suggested that there is anything wrong with that. In fact, the Court has specifically approved the education of students of a single religion on a neutral site adjacent to a private religious school. See Wolman v. Walter, 433 U.S. 229, 247-248 (1977). In that case, the Court rejected the argument that "any program that isolates the sectarian pupils is impermissible," id. at 246, and held that, "[t]he fact that a unit on a neutral site on occasion may serve only sectarian pupils does not provoke [constitutional] concerns," id. at 247. And just last Term, the Court held that the State could permit public employees to assist students in a Catholic school. See Zobrest v. Catalina Foothills School Dist., 509 U.S. 1, 13-14 (1993) (sign language translator for deaf student). If a State can furnish services to a group of sectarian students on a neutral site adjacent to a private religious school, or even within such a school, how can there be any defect in educating those same students in [512 U.S. 734] a public school? As the Court noted in Wolman, the constitutional dangers of establishment arise "from the nature of the institution, not from the nature of the pupils," Wolman, supra, at 248. There is no danger in educating religious students in a public school.</w:t>
      </w:r>
    </w:p>
    <w:p w:rsidR="00A31137" w:rsidRPr="00A31137" w:rsidRDefault="00A31137" w:rsidP="00A31137">
      <w:r w:rsidRPr="00A31137">
        <w:t>1994, Board of Ed. v. Grumet, 512 U.S. 734</w:t>
      </w:r>
    </w:p>
    <w:p w:rsidR="00A31137" w:rsidRPr="00A31137" w:rsidRDefault="00A31137" w:rsidP="00A31137">
      <w:r w:rsidRPr="00A31137">
        <w:t>For these very good reasons, JUSTICE SOUTER's opinion does not focus upon the school, but rather upon the school district and the New York Legislature that created it. His arguments, though sometimes intermingled, are two: that reposing governmental power in the Kiryas Joel School District is the same as reposing governmental power in a religious group, and that, in enacting the statute creating the district, the New York State Legislature was discriminating on the basis of religion, i.e., favoring the Satmar Hasidim over others. I shall discuss these arguments in turn.</w:t>
      </w:r>
    </w:p>
    <w:p w:rsidR="00A31137" w:rsidRPr="00A31137" w:rsidRDefault="00A31137" w:rsidP="00A31137">
      <w:r w:rsidRPr="00A31137">
        <w:t>II</w:t>
      </w:r>
    </w:p>
    <w:p w:rsidR="00A31137" w:rsidRPr="00A31137" w:rsidRDefault="00A31137" w:rsidP="00A31137">
      <w:r w:rsidRPr="00A31137">
        <w:t>1994, Board of Ed. v. Grumet, 512 U.S. 734</w:t>
      </w:r>
    </w:p>
    <w:p w:rsidR="00A31137" w:rsidRPr="00A31137" w:rsidRDefault="00A31137" w:rsidP="00A31137">
      <w:r w:rsidRPr="00A31137">
        <w:t>For his thesis that New York has unconstitutionally conferred governmental authority upon the Satmar sect, JUSTICE SOUTER relies extensively, and virtually exclusively, upon Larkin v. Grendel's Den, Inc., 459 U.S. 116 (1982). JUSTICE SOUTER believes that the present case "resembles" Grendel's Den because that cases "teaches that a state may not delegate its civic authority to a group chosen according to a religious criterion," ante at  698 (emphasis added). That misdescribes both what that case taught (which is that a state may not delegate its civil authority to a church), and what this case involves (which is a group chosen according to cultural characteristics). The statute at issue there gave churches veto power over the State's authority to grant a liquor license to establishments in the vicinity of the church. The Court had little difficulty finding the statute unconstitutional.</w:t>
      </w:r>
    </w:p>
    <w:p w:rsidR="00A31137" w:rsidRPr="00A31137" w:rsidRDefault="00A31137" w:rsidP="00A31137">
      <w:r w:rsidRPr="00A31137">
        <w:t>1994, Board of Ed. v. Grumet, 512 U.S. 734</w:t>
      </w:r>
    </w:p>
    <w:p w:rsidR="00A31137" w:rsidRPr="00A31137" w:rsidRDefault="00A31137" w:rsidP="00A31137">
      <w:r w:rsidRPr="00A31137">
        <w:t>The Framers did not set up a system of government in which important, discretionary governmental powers would be delegated to or shared with religious institutions.</w:t>
      </w:r>
    </w:p>
    <w:p w:rsidR="00A31137" w:rsidRPr="00A31137" w:rsidRDefault="00A31137" w:rsidP="00A31137">
      <w:r w:rsidRPr="00A31137">
        <w:t>1994, Board of Ed. v. Grumet, 512 U.S. 734</w:t>
      </w:r>
    </w:p>
    <w:p w:rsidR="00A31137" w:rsidRPr="00A31137" w:rsidRDefault="00A31137" w:rsidP="00A31137">
      <w:r w:rsidRPr="00A31137">
        <w:t xml:space="preserve">Id. at  127. [512 U.S. 735] </w:t>
      </w:r>
    </w:p>
    <w:p w:rsidR="00A31137" w:rsidRPr="00A31137" w:rsidRDefault="00A31137" w:rsidP="00A31137">
      <w:r w:rsidRPr="00A31137">
        <w:t>1994, Board of Ed. v. Grumet, 512 U.S. 735</w:t>
      </w:r>
    </w:p>
    <w:p w:rsidR="00A31137" w:rsidRPr="00A31137" w:rsidRDefault="00A31137" w:rsidP="00A31137">
      <w:r w:rsidRPr="00A31137">
        <w:t>JUSTICE SOUTER concedes that Grendel's Den</w:t>
      </w:r>
    </w:p>
    <w:p w:rsidR="00A31137" w:rsidRPr="00A31137" w:rsidRDefault="00A31137" w:rsidP="00A31137">
      <w:r w:rsidRPr="00A31137">
        <w:t>1994, Board of Ed. v. Grumet, 512 U.S. 735</w:t>
      </w:r>
    </w:p>
    <w:p w:rsidR="00A31137" w:rsidRPr="00A31137" w:rsidRDefault="00A31137" w:rsidP="00A31137">
      <w:r w:rsidRPr="00A31137">
        <w:t>presented an example of united civic and religious authority, an establishment rarely found in such straightforward form in modern America.</w:t>
      </w:r>
    </w:p>
    <w:p w:rsidR="00A31137" w:rsidRPr="00A31137" w:rsidRDefault="00A31137" w:rsidP="00A31137">
      <w:r w:rsidRPr="00A31137">
        <w:t>1994, Board of Ed. v. Grumet, 512 U.S. 735</w:t>
      </w:r>
    </w:p>
    <w:p w:rsidR="00A31137" w:rsidRPr="00A31137" w:rsidRDefault="00A31137" w:rsidP="00A31137">
      <w:r w:rsidRPr="00A31137">
        <w:t>Ante at  697. The uniqueness of the case stemmed from the grant of governmental power directly to a religious institution, and the Court's opinion focused on that fact, remarking that the transfer of authority was to "churches" (10 times), the "governing body of churches" (twice), "religious institutions" (twice) and "religious bodies" (once). Astonishingly, however, JUSTICE SOUTER dismisses the difference between a transfer of government power to citizens who share a common religion as opposed to "the officers of its sectarian organization"—the critical factor that made Grendel's Den unique and "rar[e]"—as being "one of form, not substance." Ante at  698.</w:t>
      </w:r>
    </w:p>
    <w:p w:rsidR="00A31137" w:rsidRPr="00A31137" w:rsidRDefault="00A31137" w:rsidP="00A31137">
      <w:r w:rsidRPr="00A31137">
        <w:t>1994, Board of Ed. v. Grumet, 512 U.S. 735</w:t>
      </w:r>
    </w:p>
    <w:p w:rsidR="00A31137" w:rsidRPr="00A31137" w:rsidRDefault="00A31137" w:rsidP="00A31137">
      <w:r w:rsidRPr="00A31137">
        <w:t>JUSTICE SOUTER's steamrolling of the difference between civil authority held by a church, and civil authority held by members of a church, is breathtaking. To accept it, one must believe that large portions of the civil authority exercised during most of our history were unconstitutional, and that much more of it than merely the Kiryas Joel School District is unconstitutional today. The history of the populating of North America is in no small measure the story of groups of people sharing a common religious and cultural heritage striking out to form their own communities. See, e.g., W. Sweet, The Story of Religion in America 9 (1950). It is preposterous to suggest that the civil institutions of these communities, separate from their churches, were constitutionally suspect. And if they were, surely JUSTICE SOUTER cannot mean that the inclusion of one or two nonbelievers in the community would have been enough to eliminate the constitutional vice. If the conferral of governmental power upon a religious institution as such (rather than upon American citizens who belong to the religious institution) is not the test of Grendel's Den invalidity, there is no reason why giving power to a body that is overwhelmingly dominated [512 U.S. 736] by the members of one sect would not suffice to invoke the Establishment Clause. That might have made the entire States of Utah and New Mexico unconstitutional at the time of their admission to the Union, 1 and would undoubtedly make many units of local government unconstitutional today. 2</w:t>
      </w:r>
    </w:p>
    <w:p w:rsidR="00A31137" w:rsidRPr="00A31137" w:rsidRDefault="00A31137" w:rsidP="00A31137">
      <w:r w:rsidRPr="00A31137">
        <w:t>1994, Board of Ed. v. Grumet, 512 U.S. 736</w:t>
      </w:r>
    </w:p>
    <w:p w:rsidR="00A31137" w:rsidRPr="00A31137" w:rsidRDefault="00A31137" w:rsidP="00A31137">
      <w:r w:rsidRPr="00A31137">
        <w:t>JUSTICE SOUTER's position boils down to the quite novel proposition that any group of citizens (say, the residents of Kiryas Joel) can be invested with political power, but not if they all belong to the same religion. Of course such disfavoring of religion is positively antagonistic to the purposes of the Religion Clauses, and we have rejected it before. In McDaniel v. Paty, 435 U.S. 618 (1978), we invalidated a state constitutional amendment that would have permitted all persons to participate in political conventions, except ministers. We adopted James Madison's view that the State could not "'punis[h] a religious profession with the privation of a civil right.'" Id. at  626 (opinion of Burger, C.J.), quoting 5 Writings of James Madison 288 (G. Hunt ed. 1904). Or as JUSTICE [512 U.S. 737] Brennan put it in his opinion concurring in judgment:</w:t>
      </w:r>
    </w:p>
    <w:p w:rsidR="00A31137" w:rsidRPr="00A31137" w:rsidRDefault="00A31137" w:rsidP="00A31137">
      <w:r w:rsidRPr="00A31137">
        <w:t>1994, Board of Ed. v. Grumet, 512 U.S. 737</w:t>
      </w:r>
    </w:p>
    <w:p w:rsidR="00A31137" w:rsidRPr="00A31137" w:rsidRDefault="00A31137" w:rsidP="00A31137">
      <w:r w:rsidRPr="00A31137">
        <w:t>Religionists, no less than members of any other group, enjoy the full measure of protection afforded speech, association, and political activity generally.</w:t>
      </w:r>
    </w:p>
    <w:p w:rsidR="00A31137" w:rsidRPr="00A31137" w:rsidRDefault="00A31137" w:rsidP="00A31137">
      <w:r w:rsidRPr="00A31137">
        <w:t>1994, Board of Ed. v. Grumet, 512 U.S. 737</w:t>
      </w:r>
    </w:p>
    <w:p w:rsidR="00A31137" w:rsidRPr="00A31137" w:rsidRDefault="00A31137" w:rsidP="00A31137">
      <w:r w:rsidRPr="00A31137">
        <w:t>Id. at  641; see also Widmar v. Vincent, 454 U.S. 263 (1981). I see no reason why it is any less pernicious to deprive a group, rather than an individual, of its rights simply because of its religious beliefs.</w:t>
      </w:r>
    </w:p>
    <w:p w:rsidR="00A31137" w:rsidRPr="00A31137" w:rsidRDefault="00A31137" w:rsidP="00A31137">
      <w:r w:rsidRPr="00A31137">
        <w:t>1994, Board of Ed. v. Grumet, 512 U.S. 737</w:t>
      </w:r>
    </w:p>
    <w:p w:rsidR="00A31137" w:rsidRPr="00A31137" w:rsidRDefault="00A31137" w:rsidP="00A31137">
      <w:r w:rsidRPr="00A31137">
        <w:t>Perhaps appreciating the startling implications for our constitutional jurisprudence of collapsing the distinction between religious institutions and their members, JUSTICE SOUTER tries to limit his "unconstitutional conferral of civil authority" holding by pointing out several features supposedly unique to the present case: that the "boundary lines of the school district divide residents according to religious affiliation," ante at  699 (emphasis added); that the school district was created by "a special act of the legislature," ante at  700; and that the formation of the school district ran counter to the legislature's trend of consolidating districts in recent years, ibid. Assuming all these points to be true (and they are not), they would certainly bear upon whether the legislature had an impermissible religious motivation in creating the district (which is JUSTICE SOUTER's next point, in the discussion of which I shall reply to these arguments). But they have nothing to do with whether conferral of power upon a group of citizens can be the conferral of power upon a religious institution. It can not. Or if it can, our Establishment Clause jurisprudence has been transformed.</w:t>
      </w:r>
    </w:p>
    <w:p w:rsidR="00A31137" w:rsidRPr="00A31137" w:rsidRDefault="00A31137" w:rsidP="00A31137">
      <w:r w:rsidRPr="00A31137">
        <w:t>III</w:t>
      </w:r>
    </w:p>
    <w:p w:rsidR="00A31137" w:rsidRPr="00A31137" w:rsidRDefault="00A31137" w:rsidP="00A31137">
      <w:r w:rsidRPr="00A31137">
        <w:t>1994, Board of Ed. v. Grumet, 512 U.S. 737</w:t>
      </w:r>
    </w:p>
    <w:p w:rsidR="00A31137" w:rsidRPr="00A31137" w:rsidRDefault="00A31137" w:rsidP="00A31137">
      <w:r w:rsidRPr="00A31137">
        <w:t>I turn, next, to JUSTICE SOUTER's second justification for finding an establishment of religion: his facile conclusion that the New York Legislature's creation of the Kiryas Joel School District was religiously motivated. But in the Land of the Free, democratically adopted laws are not so easily impeached by unelected judges. To establish the unconstitutionality [512 U.S. 738] of a facially neutral law on the mere basis of its asserted religiously preferential (or discriminatory) effects—or at least to establish it in conformity with our precedents—JUSTICE SOUTER "must be able to show the absence of a neutral, secular basis" for the law. Gillette v. United States, 401 U.S. 437,  452 (1971); see also Arlington Heights v. Metropolitan Housing Development Corp., 429 U.S. 252,  266 (1977) (facially race-neutral laws can be invalidated on the basis of their effects only if "unexplainable on grounds other than race").</w:t>
      </w:r>
    </w:p>
    <w:p w:rsidR="00A31137" w:rsidRPr="00A31137" w:rsidRDefault="00A31137" w:rsidP="00A31137">
      <w:r w:rsidRPr="00A31137">
        <w:t>1994, Board of Ed. v. Grumet, 512 U.S. 738</w:t>
      </w:r>
    </w:p>
    <w:p w:rsidR="00A31137" w:rsidRPr="00A31137" w:rsidRDefault="00A31137" w:rsidP="00A31137">
      <w:r w:rsidRPr="00A31137">
        <w:t>There is, of course, no possible doubt of a secular basis here. The New York Legislature faced a unique problem in Kiryas Joel: a community in which all the nonhandicapped children attend private schools, and the physically and mentally disabled children who attend public school suffer the additional handicap of cultural distinctiveness. It would be troublesome enough if these peculiarly dressed, handicapped students were sent to the next town, accompanied by their similarly clad but unimpaired classmates. But all the unimpaired children of Kiryas Joel attend private school. The handicapped children suffered sufficient emotional trauma from their predicament that their parents kept them home from school. Surely the legislature could target this problem, and provide a public education for these students, in the same way it addressed, by a similar law, the unique needs of children institutionalized in a hospital. See e.g., 1970 N.Y.Laws, ch. 843 (authorizing a union free school district for the area owned by Blythedale Children's Hospital).</w:t>
      </w:r>
    </w:p>
    <w:p w:rsidR="00A31137" w:rsidRPr="00A31137" w:rsidRDefault="00A31137" w:rsidP="00A31137">
      <w:r w:rsidRPr="00A31137">
        <w:t>1994, Board of Ed. v. Grumet, 512 U.S. 738</w:t>
      </w:r>
    </w:p>
    <w:p w:rsidR="00A31137" w:rsidRPr="00A31137" w:rsidRDefault="00A31137" w:rsidP="00A31137">
      <w:r w:rsidRPr="00A31137">
        <w:t>Since the obvious presence of a neutral, secular basis renders the asserted preferential effect of this law inadequate to invalidate it, JUSTICE SOUTER is required to come forward with direct evidence that religious preference was the objective. His case could scarcely be weaker. It consists, briefly, of this: the People of New York created the Kiryas Joel Village School District in order to further the Satmar religion, rather than for any proper secular purpose, because [512 U.S. 739] (1) they created the district in an extraordinary manner—by special Act of the legislature, rather than under the State's general laws governing school district reorganization; (2) the creation of the district ran counter to a State trend towards consolidation of school districts; and (3) the District includes only adherents of the Satmar religion. On this indictment, no jury would convict.</w:t>
      </w:r>
    </w:p>
    <w:p w:rsidR="00A31137" w:rsidRPr="00A31137" w:rsidRDefault="00A31137" w:rsidP="00A31137">
      <w:r w:rsidRPr="00A31137">
        <w:t>1994, Board of Ed. v. Grumet, 512 U.S. 739</w:t>
      </w:r>
    </w:p>
    <w:p w:rsidR="00A31137" w:rsidRPr="00A31137" w:rsidRDefault="00A31137" w:rsidP="00A31137">
      <w:r w:rsidRPr="00A31137">
        <w:t>One difficulty with the first point is that it is not true. There was really nothing so "special" about the formation of a school district by an Act of the New York Legislature. The State has created both large school districts, see e.g., 1972 N.Y.Laws, ch. 928 (creating the Gananda School District out of land previously in two other districts), and small specialized school districts for institutionalized children, see e.g., 1972 N.Y.Laws, ch. 559 (creating a union free school district for the area owned by Abbott House), through these special Acts. But, in any event, all that the first point proves, and the second point as well (countering the trend toward consolidation), 3 is that New York regarded Kiryas Joel as a [512 U.S. 740] special case, requiring special measures. I should think it obvious that it did, and obvious that it should have. But even if the New York Legislature had never before created a school district by special statute (which is not true), and even if it had done nothing but consolidate school districts for over a century (which is not true), how could the departure from those past practices possibly demonstrate that the legislature had religious favoritism in mind? It could not. To be sure, when there is no special treatment, there is no possibility of religious favoritism; but it is not logical to suggest that when there is special treatment, there is proof of religious favoritism.</w:t>
      </w:r>
    </w:p>
    <w:p w:rsidR="00A31137" w:rsidRPr="00A31137" w:rsidRDefault="00A31137" w:rsidP="00A31137">
      <w:r w:rsidRPr="00A31137">
        <w:t>1994, Board of Ed. v. Grumet, 512 U.S. 740</w:t>
      </w:r>
    </w:p>
    <w:p w:rsidR="00A31137" w:rsidRPr="00A31137" w:rsidRDefault="00A31137" w:rsidP="00A31137">
      <w:r w:rsidRPr="00A31137">
        <w:t>JUSTICE SOUTER's case against the statute comes down to nothing more, therefore, than his third point: the fact that all the residents of the Kiryas Joel Village School District are Satmars. But all its residents also wear unusual dress, have unusual civic customs, and have not much to do with people who are culturally different from them. (The Court recognizes that "the Satmars prefer to live together 'to facilitate individual religious observance and maintain social, cultural and religious values,' but that it is not 'against their religion' to interact with others." Ante at  706, n. 9, quoting Brief for Petitioners in No. 93-517, p. 4, n. 1.) On what basis does JUSTICE SOUTER conclude that it is the theological distinctiveness, rather than the cultural distinctiveness, that was the basis for New York State's decision? The normal assumption would be that it was the latter, since it was not theology, but dress, language, and cultural alienation that posed the educational problem for the children. JUSTICE SOUTER not only does not adopt the logical assumption, he does not even give the New York Legislature the benefit of the doubt. The following is the level of his analysis:</w:t>
      </w:r>
    </w:p>
    <w:p w:rsidR="00A31137" w:rsidRPr="00A31137" w:rsidRDefault="00A31137" w:rsidP="00A31137">
      <w:r w:rsidRPr="00A31137">
        <w:t>1994, Board of Ed. v. Grumet, 512 U.S. 740</w:t>
      </w:r>
    </w:p>
    <w:p w:rsidR="00A31137" w:rsidRPr="00A31137" w:rsidRDefault="00A31137" w:rsidP="00A31137">
      <w:r w:rsidRPr="00A31137">
        <w:t>Not even the special needs of the children in this community can explain the legislature's unusual Act, for the State could have responded to the concerns of the Satmar parents [by other means].</w:t>
      </w:r>
    </w:p>
    <w:p w:rsidR="00A31137" w:rsidRPr="00A31137" w:rsidRDefault="00A31137" w:rsidP="00A31137">
      <w:r w:rsidRPr="00A31137">
        <w:t>1994, Board of Ed. v. Grumet, 512 U.S. 740</w:t>
      </w:r>
    </w:p>
    <w:p w:rsidR="00A31137" w:rsidRPr="00A31137" w:rsidRDefault="00A31137" w:rsidP="00A31137">
      <w:r w:rsidRPr="00A31137">
        <w:t>Ante at  702. [512 U.S. 741] In other words, we know the legislature must have been motivated by the desire to favor the Satmar Hasidim religion, because it could have met the needs of these children by a method that did not place the Satmar Hasidim in a separate school district. This is not a rational argument proving religious favoritism; it is rather a novel Establishment Clause principle to the effect that no secular objective may be pursued by a means that might also be used for religious favoritism if some other means is available.</w:t>
      </w:r>
    </w:p>
    <w:p w:rsidR="00A31137" w:rsidRPr="00A31137" w:rsidRDefault="00A31137" w:rsidP="00A31137">
      <w:r w:rsidRPr="00A31137">
        <w:t>1994, Board of Ed. v. Grumet, 512 U.S. 741</w:t>
      </w:r>
    </w:p>
    <w:p w:rsidR="00A31137" w:rsidRPr="00A31137" w:rsidRDefault="00A31137" w:rsidP="00A31137">
      <w:r w:rsidRPr="00A31137">
        <w:t>I have little doubt that JUSTICE SOUTER would laud this humanitarian legislation if all of the distinctiveness of the students of Kiryas Joel were attributable to the fact that their parents were nonreligious commune dwellers, or American Indians, or gypsies. The creation of a special, one-culture school district for the benefit of those children would pose no problem. The neutrality demanded by the Religion Clauses requires the same indulgence towards cultural characteristics that are accompanied by religious belief.</w:t>
      </w:r>
    </w:p>
    <w:p w:rsidR="00A31137" w:rsidRPr="00A31137" w:rsidRDefault="00A31137" w:rsidP="00A31137">
      <w:r w:rsidRPr="00A31137">
        <w:t>1994, Board of Ed. v. Grumet, 512 U.S. 741</w:t>
      </w:r>
    </w:p>
    <w:p w:rsidR="00A31137" w:rsidRPr="00A31137" w:rsidRDefault="00A31137" w:rsidP="00A31137">
      <w:r w:rsidRPr="00A31137">
        <w:t>The Establishment Clause does not license government to treat religion and those who teach or practice it, simply by virtue of their status as such, as…subject to unique disabilities.</w:t>
      </w:r>
    </w:p>
    <w:p w:rsidR="00A31137" w:rsidRPr="00A31137" w:rsidRDefault="00A31137" w:rsidP="00A31137">
      <w:r w:rsidRPr="00A31137">
        <w:t>1994, Board of Ed. v. Grumet, 512 U.S. 741</w:t>
      </w:r>
    </w:p>
    <w:p w:rsidR="00A31137" w:rsidRPr="00A31137" w:rsidRDefault="00A31137" w:rsidP="00A31137">
      <w:r w:rsidRPr="00A31137">
        <w:t>McDaniel v. Paty, supra, at  641 (Brennan, J., concurring in judgment).</w:t>
      </w:r>
    </w:p>
    <w:p w:rsidR="00A31137" w:rsidRPr="00A31137" w:rsidRDefault="00A31137" w:rsidP="00A31137">
      <w:r w:rsidRPr="00A31137">
        <w:t>1994, Board of Ed. v. Grumet, 512 U.S. 741</w:t>
      </w:r>
    </w:p>
    <w:p w:rsidR="00A31137" w:rsidRPr="00A31137" w:rsidRDefault="00A31137" w:rsidP="00A31137">
      <w:r w:rsidRPr="00A31137">
        <w:t>Even if JUSTICE SOUTER could successfully establish that the cultural distinctiveness of the Kiryas Joel students (which is the problem the New York Legislature addressed) was an essential part of their religious belief, rather than merely an accompaniment of their religious belief, that would not discharge his heavy burden. In order to invalidate a facially neutral law, JUSTICE SOUTER would have to show not only that legislators were aware that religion caused the problems addressed, but also that the legislature's proposed solution was motivated by a desire to disadvantage or benefit a religious group (i.e. to disadvantage or benefit them because of their religion). For example, if the city of Hialeah, knowing of the potential health problems raised by [512 U.S. 742] the Santeria religious practice of animal sacrifice, were to provide by ordinance a special, more frequent, municipal garbage collection for the carcasses of dead animals, we would not strike the ordinance down just because the city council was aware that a religious practice produced the problem the ordinance addressed. See Church of Lukumi Babalu Aye, Inc. v. Hialeah, 508 U.S. 520, 543-545 (1993). Here, a facially neutral statute extends an educational benefit to the one area where it was not effectively distributed. Whether or not the reason for the ineffective distribution had anything to do with religion, it is a remarkable stretch to say that the Act was motivated by a desire to favor or disfavor a particular religious group. The proper analogy to Chapter 748 is not the Court's hypothetical law providing school buses only to Christian students, see ante at  709, but a law providing extra buses to rural school districts (which happen to be predominantly Southern Baptist).</w:t>
      </w:r>
    </w:p>
    <w:p w:rsidR="00A31137" w:rsidRPr="00A31137" w:rsidRDefault="00A31137" w:rsidP="00A31137">
      <w:r w:rsidRPr="00A31137">
        <w:t>1994, Board of Ed. v. Grumet, 512 U.S. 742</w:t>
      </w:r>
    </w:p>
    <w:p w:rsidR="00A31137" w:rsidRPr="00A31137" w:rsidRDefault="00A31137" w:rsidP="00A31137">
      <w:r w:rsidRPr="00A31137">
        <w:t>At various times, JUSTICE SOUTER intimates, though he does not precisely say, that the boundaries of the school district were intentionally drawn on the basis of religion. He refers, for example, to "[t]he State's manipulation of the franchise for this district…, giving the sect exclusive control of the political subdivision," ante at  698—implying that the "giving" of political power to the religious sect was the object of the "manipulation." There is no evidence of that. The special district was created to meet the special educational needs of distinctive handicapped children, and the geographical boundaries selected for that district were (quite logically) those that already existed for the village. It sometimes appears as though the shady "manipulation" JUSTICE SOUTER has in mind is that which occurred when the village was formed, so that the drawing of its boundaries infected the coterminous boundaries of the district. He says, for example, that</w:t>
      </w:r>
    </w:p>
    <w:p w:rsidR="00A31137" w:rsidRPr="00A31137" w:rsidRDefault="00A31137" w:rsidP="00A31137">
      <w:r w:rsidRPr="00A31137">
        <w:t>1994, Board of Ed. v. Grumet, 512 U.S. 742</w:t>
      </w:r>
    </w:p>
    <w:p w:rsidR="00A31137" w:rsidRPr="00A31137" w:rsidRDefault="00A31137" w:rsidP="00A31137">
      <w:r w:rsidRPr="00A31137">
        <w:t>[i]t is undisputed that those who negotiated the village boundaries when applying the general village incorporation statute drew them so as to exclude [512 U.S. 743] all but Satmars.</w:t>
      </w:r>
    </w:p>
    <w:p w:rsidR="00A31137" w:rsidRPr="00A31137" w:rsidRDefault="00A31137" w:rsidP="00A31137">
      <w:r w:rsidRPr="00A31137">
        <w:t>1994, Board of Ed. v. Grumet, 512 U.S. 743</w:t>
      </w:r>
    </w:p>
    <w:p w:rsidR="00A31137" w:rsidRPr="00A31137" w:rsidRDefault="00A31137" w:rsidP="00A31137">
      <w:r w:rsidRPr="00A31137">
        <w:t>Ante at  699. It is indeed. But non-Satmars were excluded, not (as he intimates) because of their religion, but—as JUSTICE O'CONNOR clearly describes, see ante at  712—because of their lack of desire for the high-density zoning that Satmars favored. It was a classic drawing of lines on the basis of communality of secular governmental desires, not communality of religion. What happened in the creation of the village is, in fact, precisely what happened in the creation of the school district, so that the former cannot possibly infect the latter, as JUSTICE SOUTER tries to suggest. Entirely secular reasons (zoning for the village, cultural alienation of students for the school district) produced a political unit whose members happened to share the same religion. There is no evidence (indeed, no plausible suspicion) of the legislature's desire to favor the Satmar religion, as opposed to meeting distinctive secular needs or desires of citizens who happened to be Satmars. If there were, JUSTICE SOUTER would say so; instead, he must merely insinuate.</w:t>
      </w:r>
    </w:p>
    <w:p w:rsidR="00A31137" w:rsidRPr="00A31137" w:rsidRDefault="00A31137" w:rsidP="00A31137">
      <w:r w:rsidRPr="00A31137">
        <w:t>IV</w:t>
      </w:r>
    </w:p>
    <w:p w:rsidR="00A31137" w:rsidRPr="00A31137" w:rsidRDefault="00A31137" w:rsidP="00A31137">
      <w:r w:rsidRPr="00A31137">
        <w:t>1994, Board of Ed. v. Grumet, 512 U.S. 743</w:t>
      </w:r>
    </w:p>
    <w:p w:rsidR="00A31137" w:rsidRPr="00A31137" w:rsidRDefault="00A31137" w:rsidP="00A31137">
      <w:r w:rsidRPr="00A31137">
        <w:t>But even if Chapter 748 were intended to create a special arrangement for the Satmars because of their religion (not including, as I have shown in Part I, any conferral of governmental power upon a religious entity), it would be a permissible accommodation.</w:t>
      </w:r>
    </w:p>
    <w:p w:rsidR="00A31137" w:rsidRPr="00A31137" w:rsidRDefault="00A31137" w:rsidP="00A31137">
      <w:r w:rsidRPr="00A31137">
        <w:t>1994, Board of Ed. v. Grumet, 512 U.S. 743</w:t>
      </w:r>
    </w:p>
    <w:p w:rsidR="00A31137" w:rsidRPr="00A31137" w:rsidRDefault="00A31137" w:rsidP="00A31137">
      <w:r w:rsidRPr="00A31137">
        <w:t>This Court has long recognized that the government may (and sometimes must) accommodate religious practices and that it may do so without violating the Establishment Clause.</w:t>
      </w:r>
    </w:p>
    <w:p w:rsidR="00A31137" w:rsidRPr="00A31137" w:rsidRDefault="00A31137" w:rsidP="00A31137">
      <w:r w:rsidRPr="00A31137">
        <w:t>1994, Board of Ed. v. Grumet, 512 U.S. 743</w:t>
      </w:r>
    </w:p>
    <w:p w:rsidR="00A31137" w:rsidRPr="00A31137" w:rsidRDefault="00A31137" w:rsidP="00A31137">
      <w:r w:rsidRPr="00A31137">
        <w:t>Hobbie v. Unemployment Appeals Comm'n of Fla., 480 U.S. 136, 144-145 (1987). Moreover, "there is ample room for accommodation of religion under the Establishment Clause," Corporation for Presiding Bishop of Church of Jesus of Latter-day Saints v. Amos, 483 U.S. 327,  338 (1987), and for</w:t>
      </w:r>
    </w:p>
    <w:p w:rsidR="00A31137" w:rsidRPr="00A31137" w:rsidRDefault="00A31137" w:rsidP="00A31137">
      <w:r w:rsidRPr="00A31137">
        <w:t>1994, Board of Ed. v. Grumet, 512 U.S. 743</w:t>
      </w:r>
    </w:p>
    <w:p w:rsidR="00A31137" w:rsidRPr="00A31137" w:rsidRDefault="00A31137" w:rsidP="00A31137">
      <w:r w:rsidRPr="00A31137">
        <w:t>play in the joints productive of a benevolent neutrality which will permit religious exercise to exist without sponsorship and without interference,</w:t>
      </w:r>
    </w:p>
    <w:p w:rsidR="00A31137" w:rsidRPr="00A31137" w:rsidRDefault="00A31137" w:rsidP="00A31137">
      <w:r w:rsidRPr="00A31137">
        <w:t>1994, Board of Ed. v. Grumet, 512 U.S. 743</w:t>
      </w:r>
    </w:p>
    <w:p w:rsidR="00A31137" w:rsidRPr="00A31137" w:rsidRDefault="00A31137" w:rsidP="00A31137">
      <w:r w:rsidRPr="00A31137">
        <w:t>Walz v. Tax Comm'n of N.Y. City, 397 [512 U.S. 744] U.S. 664,  669 (1970). Accommodation is permissible, moreover, even when the statute deals specifically with religion, see, e.g., Zorach v. Clauson, 343 U.S. at 312-315, and even when accommodation is not commanded by the Free Exercise Clause, see, e.g., Walz, supra, at  673.</w:t>
      </w:r>
    </w:p>
    <w:p w:rsidR="00A31137" w:rsidRPr="00A31137" w:rsidRDefault="00A31137" w:rsidP="00A31137">
      <w:r w:rsidRPr="00A31137">
        <w:t>1994, Board of Ed. v. Grumet, 512 U.S. 744</w:t>
      </w:r>
    </w:p>
    <w:p w:rsidR="00A31137" w:rsidRPr="00A31137" w:rsidRDefault="00A31137" w:rsidP="00A31137">
      <w:r w:rsidRPr="00A31137">
        <w:t>When a legislature acts to accommodate religion, particularly a minority sect, "it follows the best of our traditions." Zorach, supra, at  314. The Constitution itself contains an accommodation of sorts. Article VI, cl. 3, prescribes that executive, legislative and judicial officers of the Federal and State Governments shall bind themselves to support the Constitution "by Oath or Affirmation." Although members of the most populous religions found no difficulty in swearing an oath to God, Quakers, Moravians, and Mennonites refused to take oaths based on Matthew 5:34's injunction "swear not at all." The option of affirmation was added to accommodate these minority religions and enable their members to serve in government. See 1 A. Stokes, Church and State in The United States 524-527 (1950). Congress, from its earliest sessions, passed laws accommodating religion by refunding duties paid by specific churches upon the importation of plates for the printing of Bibles, see 6 Stat. 116 (1813), vestments, 6 Stat. 346 (1816), and bells, 6 Stat. 675 (1836). Congress also exempted church property from the tax assessments it levied on residents of the District of Columbia; and all 50 States have had similar laws. See Walz, supra, at 676-678.</w:t>
      </w:r>
    </w:p>
    <w:p w:rsidR="00A31137" w:rsidRPr="00A31137" w:rsidRDefault="00A31137" w:rsidP="00A31137">
      <w:r w:rsidRPr="00A31137">
        <w:t>1994, Board of Ed. v. Grumet, 512 U.S. 744</w:t>
      </w:r>
    </w:p>
    <w:p w:rsidR="00A31137" w:rsidRPr="00A31137" w:rsidRDefault="00A31137" w:rsidP="00A31137">
      <w:r w:rsidRPr="00A31137">
        <w:t>This Court has also long acknowledged the permissibility of legislative accommodation. In one of our early Establishment Clause cases, we upheld New York City's early release program, which allowed students to be released from public school during school hours to attend religious instruction or devotional exercises. See Zorach, supra, at 312-315. We determined that the early release program "accommodates the public service to…spiritual needs," and noted that finding it unconstitutional would "show a callous indifference [512 U.S. 745] to religious groups." 343 U.S. at 314. In Walz, supra, we upheld a property tax exemption for religious organizations, observing that it was part of a salutary tradition of "permissible state accommodation to religion." Id. at 672-673. And in Presiding Bishop, supra, we upheld a section of the Civil Rights Act of 1964 exempting religious groups from the antidiscrimination provisions of Title VII. We concluded that it was</w:t>
      </w:r>
    </w:p>
    <w:p w:rsidR="00A31137" w:rsidRPr="00A31137" w:rsidRDefault="00A31137" w:rsidP="00A31137">
      <w:r w:rsidRPr="00A31137">
        <w:t>1994, Board of Ed. v. Grumet, 512 U.S. 745</w:t>
      </w:r>
    </w:p>
    <w:p w:rsidR="00A31137" w:rsidRPr="00A31137" w:rsidRDefault="00A31137" w:rsidP="00A31137">
      <w:r w:rsidRPr="00A31137">
        <w:t>a permissible legislative purpose to alleviate significant governmental interference with the ability of religious organizations to define and carry out their religious missions.</w:t>
      </w:r>
    </w:p>
    <w:p w:rsidR="00A31137" w:rsidRPr="00A31137" w:rsidRDefault="00A31137" w:rsidP="00A31137">
      <w:r w:rsidRPr="00A31137">
        <w:t>1994, Board of Ed. v. Grumet, 512 U.S. 745</w:t>
      </w:r>
    </w:p>
    <w:p w:rsidR="00A31137" w:rsidRPr="00A31137" w:rsidRDefault="00A31137" w:rsidP="00A31137">
      <w:r w:rsidRPr="00A31137">
        <w:t>Id. at  335.</w:t>
      </w:r>
    </w:p>
    <w:p w:rsidR="00A31137" w:rsidRPr="00A31137" w:rsidRDefault="00A31137" w:rsidP="00A31137">
      <w:r w:rsidRPr="00A31137">
        <w:t>1994, Board of Ed. v. Grumet, 512 U.S. 745</w:t>
      </w:r>
    </w:p>
    <w:p w:rsidR="00A31137" w:rsidRPr="00A31137" w:rsidRDefault="00A31137" w:rsidP="00A31137">
      <w:r w:rsidRPr="00A31137">
        <w:t>In today's opinion, however, the Court seems uncomfortable with this aspect of our constitutional tradition. Although it acknowledges the concept of accommodation, it quickly points out that it is "not a principle without limits," ante at  706, and then gives reasons why the present case exceeds those limits, reasons which simply do not hold water. "[W]e have never hinted," the Court says, "that an otherwise unconstitutional delegation of political power to a religious group could be saved as a religious accommodation." Ibid. Putting aside the circularity inherent in referring to a delegation as "otherwise unconstitutional" when its constitutionality turns on whether there is an accommodation, if this statement is true, it is only because we have never hinted that delegation of political power to citizens who share a particular religion could be unconstitutional. This is simply a replay of the argument we rejected in Part II, supra.</w:t>
      </w:r>
    </w:p>
    <w:p w:rsidR="00A31137" w:rsidRPr="00A31137" w:rsidRDefault="00A31137" w:rsidP="00A31137">
      <w:r w:rsidRPr="00A31137">
        <w:t>1994, Board of Ed. v. Grumet, 512 U.S. 745</w:t>
      </w:r>
    </w:p>
    <w:p w:rsidR="00A31137" w:rsidRPr="00A31137" w:rsidRDefault="00A31137" w:rsidP="00A31137">
      <w:r w:rsidRPr="00A31137">
        <w:t>The second and last reason the Court finds accommodation impermissible is, astoundingly, the mere risk that the State will not offer accommodation to a similar group in the future, and that neutrality will therefore not be preserved. Returning to the ill fitted crutch of Grendel's Den, the Court suggests that by acting through this special statute the New York Legislature has eliminated any "'effective means of guaranteeing' that governmental power will be and has been neutrally employed." Ante at  703, quoting Grendel's [512 U.S. 746] Den, 459 U.S. at 125. How misleading. That language in Grendel's Den was an expression of concern not (as the context in which it is quoted suggests) about the courts' ability to assure the legislature's future neutrality, but about the legislature's ability to assure the neutrality of the churches to which it had transferred legislative power. That concern is inapposite here; there is no doubt about the legislature's capacity to control what transpires in a public school.</w:t>
      </w:r>
    </w:p>
    <w:p w:rsidR="00A31137" w:rsidRPr="00A31137" w:rsidRDefault="00A31137" w:rsidP="00A31137">
      <w:r w:rsidRPr="00A31137">
        <w:t>1994, Board of Ed. v. Grumet, 512 U.S. 746</w:t>
      </w:r>
    </w:p>
    <w:p w:rsidR="00A31137" w:rsidRPr="00A31137" w:rsidRDefault="00A31137" w:rsidP="00A31137">
      <w:r w:rsidRPr="00A31137">
        <w:t>At bottom, the Court's "no guarantee of neutrality" argument is an assertion of this Court's inability to control the New York Legislature's future denial of comparable accommodation. We have "no assurance," the Court says, "that the next similarly situated group seeking a school district of its own will receive one," since "a legislature's failure to enact a special law is…unreviewable." Ante at  703; see also ante at  716 (O'CONNOR, J., concurring in part and concurring in judgment). 4 That is true only in the technical (and irrelevant) sense that the later group denied an accommodation may need to challenge the grant of the first accommodation in light of the later denial, rather than challenging the denial directly. But one way or another,</w:t>
      </w:r>
    </w:p>
    <w:p w:rsidR="00A31137" w:rsidRPr="00A31137" w:rsidRDefault="00A31137" w:rsidP="00A31137">
      <w:r w:rsidRPr="00A31137">
        <w:t>1994, Board of Ed. v. Grumet, 512 U.S. 746</w:t>
      </w:r>
    </w:p>
    <w:p w:rsidR="00A31137" w:rsidRPr="00A31137" w:rsidRDefault="00A31137" w:rsidP="00A31137">
      <w:r w:rsidRPr="00A31137">
        <w:t>even if [an administrative agency is] not empowered or obliged to act, [a litigant] would be entitled to a judicial audience. Ultimately, the courts cannot escape the obligation to address [a] plea that the exemption [sought] is mandated by the first amendment's religion clauses.</w:t>
      </w:r>
    </w:p>
    <w:p w:rsidR="00A31137" w:rsidRPr="00A31137" w:rsidRDefault="00A31137" w:rsidP="00A31137">
      <w:r w:rsidRPr="00A31137">
        <w:t>1994, Board of Ed. v. Grumet, 512 U.S. 746</w:t>
      </w:r>
    </w:p>
    <w:p w:rsidR="00A31137" w:rsidRPr="00A31137" w:rsidRDefault="00A31137" w:rsidP="00A31137">
      <w:r w:rsidRPr="00A31137">
        <w:t xml:space="preserve">Olsen v. Drug Enforcement Admin., 878 F.2d 1458, 1461 (CADC 1989) (R. B. GINSBURG, J.). [512 U.S. 747] </w:t>
      </w:r>
    </w:p>
    <w:p w:rsidR="00A31137" w:rsidRPr="00A31137" w:rsidRDefault="00A31137" w:rsidP="00A31137">
      <w:r w:rsidRPr="00A31137">
        <w:t>1994, Board of Ed. v. Grumet, 512 U.S. 747</w:t>
      </w:r>
    </w:p>
    <w:p w:rsidR="00A31137" w:rsidRPr="00A31137" w:rsidRDefault="00A31137" w:rsidP="00A31137">
      <w:r w:rsidRPr="00A31137">
        <w:t xml:space="preserve">The Court's demand for "up front" assurances of a neutral system is at war with both traditional accommodation doctrine and the judicial role. As we have described, supra at  744, Congress's earliest accommodations exempted duties paid by specific churches on particular items. See, e.g., 6 Stat. 346 (1816) (exempting vestments imported by "bishop of Bardstown"). Moreover, most efforts at accommodation seek to solve a problem that applies to members of only one or a few religions. Not every religion uses wine in its sacraments, but that does not make an exemption from Prohibition for sacramental wine-use impermissible, accord, Church of Lukumi Babalu Aye, Inc. v. Hialeah, 508 U.S. at  561, n. 2 (SOUTER, J., concurring in judgment), nor does it require the State granting such an exemption to explain in advance how it will treat every other claim for dispensation from its controlled substances laws. Likewise, not every religion uses peyote in its services, but we have suggested that legislation which exempts the sacramental use of peyote from generally applicable drug laws is not only permissible, but desirable, see Employment Div., Ore. Dept of Human Resources v. Smith, 494 U.S. 872,  890 (1990), without any suggestion that some "up front" legislative guarantee of equal treatment for sacramental substances used by other sects must be provided. The record is clear that the necessary guarantee can and will be provided, after the fact, by the courts. See, e.g., Olsen v. Drug Enforcement Admin., supra, (rejecting claim that peyote exemption requires marijuana exemption for Ethiopian Zion Coptic Church); Olsen v. Iowa, 808 F.2d 652 (CA8 1986) (same); Kennedy v. Bureau of Narcotics and Dangerous Drugs, 459 F.2d 415 (CA9 1972) (accepting claim that peyote exemption for Native American Church requires peyote exemption for other religions that use that substance in their sacraments). 5 [512 U.S. 748] </w:t>
      </w:r>
    </w:p>
    <w:p w:rsidR="00A31137" w:rsidRPr="00A31137" w:rsidRDefault="00A31137" w:rsidP="00A31137">
      <w:r w:rsidRPr="00A31137">
        <w:t>1994, Board of Ed. v. Grumet, 512 U.S. 748</w:t>
      </w:r>
    </w:p>
    <w:p w:rsidR="00A31137" w:rsidRPr="00A31137" w:rsidRDefault="00A31137" w:rsidP="00A31137">
      <w:r w:rsidRPr="00A31137">
        <w:t>Contrary to the Court's suggestion, ante at 708-709, I do not think that the Establishment Clause prohibits formally established "state" churches and nothing more. I have always believed, and all my opinions are consistent with the view, that the Establishment Clause prohibits the favoring of one religion over others. In this respect, it is the Court that attacks lions of straw. What I attack is the Court's imposition of novel "up front" procedural requirements on state legislatures. Making law (and making exceptions) one case at a time, whether through adjudication or through highly particularized rulemaking or legislation, violates, ex ante no principle of fairness, equal protection, or neutrality, simply because it does not announce in advance how all future cases (and all future exceptions) will be disposed of. If it did, the manner of proceeding of this Court itself would be unconstitutional. It is presumptuous for this Court to impose—out of nowhere—an unheard-of prohibition against proceeding in this manner upon the Legislature of New York State. I never heard of such a principle, nor has anyone else, nor will it ever be heard of again. Unlike what the New York Legislature has done, this is a special rule to govern only the Satmar Hasidim.</w:t>
      </w:r>
    </w:p>
    <w:p w:rsidR="00A31137" w:rsidRPr="00A31137" w:rsidRDefault="00A31137" w:rsidP="00A31137">
      <w:r w:rsidRPr="00A31137">
        <w:t>V</w:t>
      </w:r>
    </w:p>
    <w:p w:rsidR="00A31137" w:rsidRPr="00A31137" w:rsidRDefault="00A31137" w:rsidP="00A31137">
      <w:r w:rsidRPr="00A31137">
        <w:t>1994, Board of Ed. v. Grumet, 512 U.S. 748</w:t>
      </w:r>
    </w:p>
    <w:p w:rsidR="00A31137" w:rsidRPr="00A31137" w:rsidRDefault="00A31137" w:rsidP="00A31137">
      <w:r w:rsidRPr="00A31137">
        <w:t>A few words in response to the separate concurrences: JUSTICE STEVENS adopts, for these cases, a rationale that is [512 U.S. 749] almost without limit. The separate Kiryas Joel school district is problematic in his view because</w:t>
      </w:r>
    </w:p>
    <w:p w:rsidR="00A31137" w:rsidRPr="00A31137" w:rsidRDefault="00A31137" w:rsidP="00A31137">
      <w:r w:rsidRPr="00A31137">
        <w:t>1994, Board of Ed. v. Grumet, 512 U.S. 749</w:t>
      </w:r>
    </w:p>
    <w:p w:rsidR="00A31137" w:rsidRPr="00A31137" w:rsidRDefault="00A31137" w:rsidP="00A31137">
      <w:r w:rsidRPr="00A31137">
        <w:t>[t]he isolation of these children, while it may protect them from "panic, fear and trauma," also unquestionably increased the likelihood that they would remain within the fold, faithful adherents of their parents' religious faith.</w:t>
      </w:r>
    </w:p>
    <w:p w:rsidR="00A31137" w:rsidRPr="00A31137" w:rsidRDefault="00A31137" w:rsidP="00A31137">
      <w:r w:rsidRPr="00A31137">
        <w:t>1994, Board of Ed. v. Grumet, 512 U.S. 749</w:t>
      </w:r>
    </w:p>
    <w:p w:rsidR="00A31137" w:rsidRPr="00A31137" w:rsidRDefault="00A31137" w:rsidP="00A31137">
      <w:r w:rsidRPr="00A31137">
        <w:t>Ante at  711. So much for family values. If the Constitution forbids any state action that incidentally helps parents to raise their children in their own religious faith, it would invalidate a release program permitting public school children to attend the religious instruction program of their parents' choice, of the sort we approved in Zorach, supra; 6 indeed, it would invalidate state laws according parents physical control over their children at least insofar as that is used to take the little fellows to church or synagogue. JUSTICE STEVENS' statement is less a legal analysis than a manifesto of secularism. It surpasses mere rejection of accommodation, and announces a positive hostility to religion—which, unlike all other noncriminal values, the state must not assist parents in transmitting to their offspring.</w:t>
      </w:r>
    </w:p>
    <w:p w:rsidR="00A31137" w:rsidRPr="00A31137" w:rsidRDefault="00A31137" w:rsidP="00A31137">
      <w:r w:rsidRPr="00A31137">
        <w:t>1994, Board of Ed. v. Grumet, 512 U.S. 749</w:t>
      </w:r>
    </w:p>
    <w:p w:rsidR="00A31137" w:rsidRPr="00A31137" w:rsidRDefault="00A31137" w:rsidP="00A31137">
      <w:r w:rsidRPr="00A31137">
        <w:t>JUSTICE KENNEDY's "political line-drawing" approach founders on its own terms. He concedes that the Constitution does not prevent people who share a faith from forming their own villages and towns, and suggests that the formation of the village of Kiryas Joel was free from defect. Ante at 729-730. He also notes that States are free to draw political lines on the basis of history and geography. Ante at  730. I do not see, then, how a school district drawn to mirror the boundaries of an existing village (an existing geographic line), which itself is not infirm, can violate the Constitution. Thus, while JUSTICE KENNEDY purports to share my criticism (Part IV, supra) of the Court's unprecedented insistence that the New York Legislature make its accommodations [512 U.S. 750] only by general legislation, see ante at 722,  726, his own approach is little different. He says the village is constitutional because it was formed (albeit by members of a single religious sect) under a general New York law; but he finds the school district unconstitutional because it was the product of a specific enactment. In the end, his analysis is no different from the Court's.</w:t>
      </w:r>
    </w:p>
    <w:p w:rsidR="00A31137" w:rsidRPr="00A31137" w:rsidRDefault="00A31137" w:rsidP="00A31137">
      <w:r w:rsidRPr="00A31137">
        <w:t>1994, Board of Ed. v. Grumet, 512 U.S. 750</w:t>
      </w:r>
    </w:p>
    <w:p w:rsidR="00A31137" w:rsidRPr="00A31137" w:rsidRDefault="00A31137" w:rsidP="00A31137">
      <w:r w:rsidRPr="00A31137">
        <w:t>JUSTICE KENNEDY expresses the view that School Dist. of Grand Rapids v. Ball, 473 U.S. 373 (1985), and Aguilar v. Felton, 473 U.S. 402 (1985)—the cases that created the need for the Kiryas Joel legislation by holding unconstitutional state provision of supplemental educational services in sectarian schools—"may have been erroneous," and he suggests that "it may be necessary for us to reconsider them at a later date." Ante at  731. JUSTICE O'CONNOR goes even further and expresses the view that Aguilar should be overruled. Ante at 717-718. I heartily agree that these cases, so hostile to our national tradition of accommodation, should be overruled at the earliest opportunity; but meanwhile, today's opinion causes us to lose still further ground, and in the same anti-accommodationist direction.</w:t>
      </w:r>
    </w:p>
    <w:p w:rsidR="00A31137" w:rsidRPr="00A31137" w:rsidRDefault="00A31137" w:rsidP="00A31137">
      <w:r w:rsidRPr="00A31137">
        <w:t>1994, Board of Ed. v. Grumet, 512 U.S. 750</w:t>
      </w:r>
    </w:p>
    <w:p w:rsidR="00A31137" w:rsidRPr="00A31137" w:rsidRDefault="00A31137" w:rsidP="00A31137">
      <w:r w:rsidRPr="00A31137">
        <w:t>Finally, JUSTICE O'CONNOR observes that the Court's opinion does not focus on the so-called Lemon test, see Lemon v. Kurtzman, 403 U.S. 602 (1971), and she urges that that test be abandoned at least as a "unitary approach" to all Establishment Clause claims, ante at  721. I have previously documented the Court's convenient relationship with Lemon, which it cites only when useful, see Lamb's Chapel v. Center Moriches Union Free School Dist., 508 U.S. 384, 397-401 (1993) (SCALIA, J., concurring in judgment), and I no longer take any comfort in the Court's failure to rely on it in any particular case, as I once mistakenly did, see Lee v. Weisman, 505 U.S. 577,  644 (1992) (SCALIA, J., dissenting). But the Court's snub of Lemon today (it receives only two "see also" citations, in the course of the opinion's description of [512 U.S. 751] Grendel's Den) is particularly noteworthy because all three courts below (who are not free to ignore Supreme Court precedent at will) relied on it, and the parties (also bound by our case law) dedicated over 80 pages of briefing to the application and continued vitality of the Lemon test. In addition to the other sound reasons for abandoning Lemon, see, e.g., Edwards v. Aguillard, 482 U.S. 578, 636-640 (1987) (SCALIA, J., dissenting); Wallace v. Jaffree, 472 U.S. 38, 108-112 (1985) (REHNQUIST, J., dissenting), it seems quite inefficient for this Court, which in reaching its decisions relies heavily on the briefing of the parties and, to a lesser extent, the opinions of lower courts, to mislead lower courts and parties about the relevance of the Lemon test. Compare ante (ignoring Lemon despite lower courts' reliance) with Lamb's Chapel, supra (applying Lemon despite failure of lower court to mention it).</w:t>
      </w:r>
    </w:p>
    <w:p w:rsidR="00A31137" w:rsidRPr="00A31137" w:rsidRDefault="00A31137" w:rsidP="00A31137">
      <w:r w:rsidRPr="00A31137">
        <w:t>1994, Board of Ed. v. Grumet, 512 U.S. 751</w:t>
      </w:r>
    </w:p>
    <w:p w:rsidR="00A31137" w:rsidRPr="00A31137" w:rsidRDefault="00A31137" w:rsidP="00A31137">
      <w:r w:rsidRPr="00A31137">
        <w:t xml:space="preserve">Unlike JUSTICE O'CONNOR, however, I would not replace Lemon with nothing, and let the case law "evolve" into a series of situation-specific rules (government speech on religious topics, government benefits to particular groups, etc.) unconstrained by any "rigid influence," ante at  721. The problem with (and the allure of) Lemon has not been that it is "rigid," but rather that, in many applications, it has been utterly meaningless, validating whatever result the Court would desire. See Lamb's Chapel, supra, at 110-111 (SCALIA, J., concurring in judgment); Wallace, supra, at 110-111 (REHNQUIST, J., dissenting). To replace Lemon with nothing is simply to announce that we are now so bold that we no longer feel the need even to pretend that our haphazard course of Establishment Clause decisions is governed by any principle. The foremost principle I would apply is fidelity to the longstanding traditions of our people, which surely provide the diversity of treatment that JUSTICE O'CONNOR seeks, but do not leave us to our own devices. [512 U.S. 752] </w:t>
      </w:r>
    </w:p>
    <w:p w:rsidR="00A31137" w:rsidRPr="00A31137" w:rsidRDefault="00A31137" w:rsidP="00A31137">
      <w:r w:rsidRPr="00A31137">
        <w:t>*    *    *    *</w:t>
      </w:r>
    </w:p>
    <w:p w:rsidR="00A31137" w:rsidRPr="00A31137" w:rsidRDefault="00A31137" w:rsidP="00A31137">
      <w:r w:rsidRPr="00A31137">
        <w:t>1994, Board of Ed. v. Grumet, 512 U.S. 752</w:t>
      </w:r>
    </w:p>
    <w:p w:rsidR="00A31137" w:rsidRPr="00A31137" w:rsidRDefault="00A31137" w:rsidP="00A31137">
      <w:r w:rsidRPr="00A31137">
        <w:t>The Court's decision today is astounding. Chapter 748 involves no public aid to private schools, and does not mention religion. In order to invalidate it, the Court casts aside, on the flimsiest of evidence, the strong presumption of validity that attaches to facially neutral laws, and invalidates the present accommodation because it does not trust New York to be as accommodating toward other religions (presumably those less powerful than the Satmar Hasidim) in the future. This is unprecedented—except that it continues, and takes to new extremes, a recent tendency in the opinions of this Court to turn the Establishment Clause into a repealer of our Nation's tradition of religious toleration. I dissent.</w:t>
      </w:r>
    </w:p>
    <w:p w:rsidR="00A31137" w:rsidRPr="00A31137" w:rsidRDefault="00A31137" w:rsidP="00A31137">
      <w:r w:rsidRPr="00A31137">
        <w:t>Footnotes</w:t>
      </w:r>
    </w:p>
    <w:p w:rsidR="00A31137" w:rsidRPr="00A31137" w:rsidRDefault="00A31137" w:rsidP="00A31137">
      <w:r w:rsidRPr="00A31137">
        <w:t>SOUTER, J., lead opinion (Footnotes)</w:t>
      </w:r>
    </w:p>
    <w:p w:rsidR="00A31137" w:rsidRPr="00A31137" w:rsidRDefault="00A31137" w:rsidP="00A31137">
      <w:r w:rsidRPr="00A31137">
        <w:t>1994, Board of Ed. v. Grumet, 512 U.S. 752</w:t>
      </w:r>
    </w:p>
    <w:p w:rsidR="00A31137" w:rsidRPr="00A31137" w:rsidRDefault="00A31137" w:rsidP="00A31137">
      <w:r w:rsidRPr="00A31137">
        <w:t>1. The statute provides in full:</w:t>
      </w:r>
    </w:p>
    <w:p w:rsidR="00A31137" w:rsidRPr="00A31137" w:rsidRDefault="00A31137" w:rsidP="00A31137">
      <w:r w:rsidRPr="00A31137">
        <w:t>1994, Board of Ed. v. Grumet, 512 U.S. 752</w:t>
      </w:r>
    </w:p>
    <w:p w:rsidR="00A31137" w:rsidRPr="00A31137" w:rsidRDefault="00A31137" w:rsidP="00A31137">
      <w:r w:rsidRPr="00A31137">
        <w:t>Section 1. The territory of the village of Kiryas Joel in the town of Monroe, Orange county, on the date when this act shall take effect, shall be and hereby is constituted a separate school district, and shall be known as the Kiryas Joel village school district and shall have and enjoy all the powers and duties of a union free school district under the provisions of the education law.</w:t>
      </w:r>
    </w:p>
    <w:p w:rsidR="00A31137" w:rsidRPr="00A31137" w:rsidRDefault="00A31137" w:rsidP="00A31137">
      <w:r w:rsidRPr="00A31137">
        <w:t>1994, Board of Ed. v. Grumet, 512 U.S. 752</w:t>
      </w:r>
    </w:p>
    <w:p w:rsidR="00A31137" w:rsidRPr="00A31137" w:rsidRDefault="00A31137" w:rsidP="00A31137">
      <w:r w:rsidRPr="00A31137">
        <w:t>§ 2. Such district shall be under the control of a board of education, which shall be composed of from five to nine members elected by the qualified voters of the village of Kiryas Joel, said members to serve for terms not exceeding five years.</w:t>
      </w:r>
    </w:p>
    <w:p w:rsidR="00A31137" w:rsidRPr="00A31137" w:rsidRDefault="00A31137" w:rsidP="00A31137">
      <w:r w:rsidRPr="00A31137">
        <w:t>1994, Board of Ed. v. Grumet, 512 U.S. 752</w:t>
      </w:r>
    </w:p>
    <w:p w:rsidR="00A31137" w:rsidRPr="00A31137" w:rsidRDefault="00A31137" w:rsidP="00A31137">
      <w:r w:rsidRPr="00A31137">
        <w:t>§ 3. This act shall take effect on the first day of July next succeeding the date on which it shall have become a law.</w:t>
      </w:r>
    </w:p>
    <w:p w:rsidR="00A31137" w:rsidRPr="00A31137" w:rsidRDefault="00A31137" w:rsidP="00A31137">
      <w:r w:rsidRPr="00A31137">
        <w:t>1994, Board of Ed. v. Grumet, 512 U.S. 752</w:t>
      </w:r>
    </w:p>
    <w:p w:rsidR="00A31137" w:rsidRPr="00A31137" w:rsidRDefault="00A31137" w:rsidP="00A31137">
      <w:r w:rsidRPr="00A31137">
        <w:t>2. Messrs. Grumet and Hawk sued in both their individual capacities and as officers of the State School Boards Association, but New York's Appellate Division ruled that the Association and its officers lacked standing to challenge the constitutionality of Chapter 748. 187 App.Div.2d 16, 19, 592 N.Y.S.2d 123, 126 (1992). Thus, as the case comes to us, respondents are simply citizen taxpayers. See N.Y.State Fin.Law § 123 (McKinney 1989).</w:t>
      </w:r>
    </w:p>
    <w:p w:rsidR="00A31137" w:rsidRPr="00A31137" w:rsidRDefault="00A31137" w:rsidP="00A31137">
      <w:r w:rsidRPr="00A31137">
        <w:t>1994, Board of Ed. v. Grumet, 512 U.S. 752</w:t>
      </w:r>
    </w:p>
    <w:p w:rsidR="00A31137" w:rsidRPr="00A31137" w:rsidRDefault="00A31137" w:rsidP="00A31137">
      <w:r w:rsidRPr="00A31137">
        <w:t>3. The Commissioner of Education updates this Master Plan as school districts consolidate, see N.Y.Educ.Law § 314 (McKinney 1988), but has not published a superseding version.</w:t>
      </w:r>
    </w:p>
    <w:p w:rsidR="00A31137" w:rsidRPr="00A31137" w:rsidRDefault="00A31137" w:rsidP="00A31137">
      <w:r w:rsidRPr="00A31137">
        <w:t>1994, Board of Ed. v. Grumet, 512 U.S. 752</w:t>
      </w:r>
    </w:p>
    <w:p w:rsidR="00A31137" w:rsidRPr="00A31137" w:rsidRDefault="00A31137" w:rsidP="00A31137">
      <w:r w:rsidRPr="00A31137">
        <w:t>4. State law allows consolidation on the initiative of a district superintendent, N.Y.Educ.Law § 1504 (McKinney 1988), local voters, §§ 1510-1513, 1522-1524, 1902, or the Commissioner of Education, §§ 1526, 1801-1803-a, depending on the circumstances. It also authorizes the district superintendent to "organize a new school district," § 1504, which may allow secession from an existing district, but this general law played no part in the creation of the Kiryas Joel Village School District.</w:t>
      </w:r>
    </w:p>
    <w:p w:rsidR="00A31137" w:rsidRPr="00A31137" w:rsidRDefault="00A31137" w:rsidP="00A31137">
      <w:r w:rsidRPr="00A31137">
        <w:t>1994, Board of Ed. v. Grumet, 512 U.S. 752</w:t>
      </w:r>
    </w:p>
    <w:p w:rsidR="00A31137" w:rsidRPr="00A31137" w:rsidRDefault="00A31137" w:rsidP="00A31137">
      <w:r w:rsidRPr="00A31137">
        <w:t>5. Although not dispositive in this facial challenge, the pattern of interdistrict transfers, proposed and presently occurring, tends to confirm that religion, rather than geography, is the organizing principle for this district. Cf. United States v. Scotland Neck Bd. of Ed., 407 U.S. 484,  490 (1972) (Burger, C.J., concurring in result). When Chapter 748 was passed, the understanding was that, if a non-Hasidic child were to move into the Village, the district would pay tuition to send the child to one of the neighboring school districts, since Kiryas Joel would have no regular education program. Although the need for such a transfer has not yet arisen, there are 20 Hasidic children with handicapping conditions who transfer into Kiryas Joel's school district from the nearby East Ramapo and Monroe-Woodbury school districts.</w:t>
      </w:r>
    </w:p>
    <w:p w:rsidR="00A31137" w:rsidRPr="00A31137" w:rsidRDefault="00A31137" w:rsidP="00A31137">
      <w:r w:rsidRPr="00A31137">
        <w:t>1994, Board of Ed. v. Grumet, 512 U.S. 752</w:t>
      </w:r>
    </w:p>
    <w:p w:rsidR="00A31137" w:rsidRPr="00A31137" w:rsidRDefault="00A31137" w:rsidP="00A31137">
      <w:r w:rsidRPr="00A31137">
        <w:t>6. Because it is the unusual circumstances of this district's creation that persuade us the State has employed a religious criterion for delegating political power, this conclusion does not imply that any political subdivision that is coterminous with the boundaries of a religiously homogeneous community suffers the same constitutional infirmity. The district in this case is distinguishable from one whose boundaries are derived according to neutral historical and geographic criteria, but whose population happens to comprise coreligionists.</w:t>
      </w:r>
    </w:p>
    <w:p w:rsidR="00A31137" w:rsidRPr="00A31137" w:rsidRDefault="00A31137" w:rsidP="00A31137">
      <w:r w:rsidRPr="00A31137">
        <w:t>1994, Board of Ed. v. Grumet, 512 U.S. 752</w:t>
      </w:r>
    </w:p>
    <w:p w:rsidR="00A31137" w:rsidRPr="00A31137" w:rsidRDefault="00A31137" w:rsidP="00A31137">
      <w:r w:rsidRPr="00A31137">
        <w:t>7. This contrasts with the process by which the Village of Kiryas Joel itself was created, involving, as it did, the application of a neutral state law designed to give almost any group of residents the right to incorporate. See ante at  691.</w:t>
      </w:r>
    </w:p>
    <w:p w:rsidR="00A31137" w:rsidRPr="00A31137" w:rsidRDefault="00A31137" w:rsidP="00A31137">
      <w:r w:rsidRPr="00A31137">
        <w:t>1994, Board of Ed. v. Grumet, 512 U.S. 752</w:t>
      </w:r>
    </w:p>
    <w:p w:rsidR="00A31137" w:rsidRPr="00A31137" w:rsidRDefault="00A31137" w:rsidP="00A31137">
      <w:r w:rsidRPr="00A31137">
        <w:t>8. The Court used "sectarian" to refer to organizations akin to this school district in that they were operated in a secular manner but had a religious affiliation; it recognized that government aid may not flow to an institution "'in which religion is so pervasive that a substantial portion of its functions are subsumed in the religious mission,'" 487 U.S. at  610 (quoting Hunt v. McNair, 413 U.S. 734,  743 (1973)).</w:t>
      </w:r>
    </w:p>
    <w:p w:rsidR="00A31137" w:rsidRPr="00A31137" w:rsidRDefault="00A31137" w:rsidP="00A31137">
      <w:r w:rsidRPr="00A31137">
        <w:t>1994, Board of Ed. v. Grumet, 512 U.S. 752</w:t>
      </w:r>
    </w:p>
    <w:p w:rsidR="00A31137" w:rsidRPr="00A31137" w:rsidRDefault="00A31137" w:rsidP="00A31137">
      <w:r w:rsidRPr="00A31137">
        <w:t>9. The Board of Education of the Kiryas Joel Village School District explains that the Satmars prefer to live together "to facilitate individual religious observance and maintain social, cultural and religious values," but that it is not "'against their religion' to interact with others." Brief for Petitioner in No. 93-517, p. 4, n. 1.</w:t>
      </w:r>
    </w:p>
    <w:p w:rsidR="00A31137" w:rsidRPr="00A31137" w:rsidRDefault="00A31137" w:rsidP="00A31137">
      <w:r w:rsidRPr="00A31137">
        <w:t>1994, Board of Ed. v. Grumet, 512 U.S. 752</w:t>
      </w:r>
    </w:p>
    <w:p w:rsidR="00A31137" w:rsidRPr="00A31137" w:rsidRDefault="00A31137" w:rsidP="00A31137">
      <w:r w:rsidRPr="00A31137">
        <w:t>10. In this respect, it goes beyond even Larkin, transferring political authority to a single religious group, rather than to any church or school.</w:t>
      </w:r>
    </w:p>
    <w:p w:rsidR="00A31137" w:rsidRPr="00A31137" w:rsidRDefault="00A31137" w:rsidP="00A31137">
      <w:r w:rsidRPr="00A31137">
        <w:t>SCALIA, J., dissenting (Footnotes)</w:t>
      </w:r>
    </w:p>
    <w:p w:rsidR="00A31137" w:rsidRPr="00A31137" w:rsidRDefault="00A31137" w:rsidP="00A31137">
      <w:r w:rsidRPr="00A31137">
        <w:t>1994, Board of Ed. v. Grumet, 512 U.S. 752</w:t>
      </w:r>
    </w:p>
    <w:p w:rsidR="00A31137" w:rsidRPr="00A31137" w:rsidRDefault="00A31137" w:rsidP="00A31137">
      <w:r w:rsidRPr="00A31137">
        <w:t>1. A census taken in 1906, 10 years after statehood was granted to Utah, and 6 years before it was granted to New Mexico, showed that, in Utah, 87.7% of all church members were Mormon, and in New Mexico, 88.7% of all church members were Roman Catholic. See Bureau of the Census, Special Reports, Religious Bodies, Part I, p. 55 (1910).</w:t>
      </w:r>
    </w:p>
    <w:p w:rsidR="00A31137" w:rsidRPr="00A31137" w:rsidRDefault="00A31137" w:rsidP="00A31137">
      <w:r w:rsidRPr="00A31137">
        <w:t>1994, Board of Ed. v. Grumet, 512 U.S. 752</w:t>
      </w:r>
    </w:p>
    <w:p w:rsidR="00A31137" w:rsidRPr="00A31137" w:rsidRDefault="00A31137" w:rsidP="00A31137">
      <w:r w:rsidRPr="00A31137">
        <w:t>2. At the county level, the smallest unit for which comprehensive data is available, there are a number of counties in which the overwhelming majority of churchgoers are of a single religion: Rich County, Utah (100% Mormon); Kennedy County, Texas (100% Roman Catholic); Emery County, Utah (99.2% Mormon); Franklin and Madison Counties, Idaho (99% or more Mormon); Graham County, North Carolina (93.7% Southern Baptist); Mora County, New Mexico (92.6% Roman Catholic). M. Bradley, N. Green, D. Jones, M. Lynn, &amp; L. McNeil, Churches and Church Membership in the United States 1990 pp. 46, 112-113, 246, 265, 283, 365, 380, 393 (1992). In all of these counties, the adherents of the indicated religion constitute a substantial majority, in some cases over a 95% majority, of the total population. If data were available for smaller units of government than counties, I have no doubt I could point to hundreds of towns placed in jeopardy by today's opinion.</w:t>
      </w:r>
    </w:p>
    <w:p w:rsidR="00A31137" w:rsidRPr="00A31137" w:rsidRDefault="00A31137" w:rsidP="00A31137">
      <w:r w:rsidRPr="00A31137">
        <w:t>1994, Board of Ed. v. Grumet, 512 U.S. 752</w:t>
      </w:r>
    </w:p>
    <w:p w:rsidR="00A31137" w:rsidRPr="00A31137" w:rsidRDefault="00A31137" w:rsidP="00A31137">
      <w:r w:rsidRPr="00A31137">
        <w:t>3. The Court says that</w:t>
      </w:r>
    </w:p>
    <w:p w:rsidR="00A31137" w:rsidRPr="00A31137" w:rsidRDefault="00A31137" w:rsidP="00A31137">
      <w:r w:rsidRPr="00A31137">
        <w:t>1994, Board of Ed. v. Grumet, 512 U.S. 752</w:t>
      </w:r>
    </w:p>
    <w:p w:rsidR="00A31137" w:rsidRPr="00A31137" w:rsidRDefault="00A31137" w:rsidP="00A31137">
      <w:r w:rsidRPr="00A31137">
        <w:t>[e]arly on in the development of public education in New York, the State rejected highly localized school districts for New York City when they were promoted as a way to allow separate schooling for Roman Catholic children.</w:t>
      </w:r>
    </w:p>
    <w:p w:rsidR="00A31137" w:rsidRPr="00A31137" w:rsidRDefault="00A31137" w:rsidP="00A31137">
      <w:r w:rsidRPr="00A31137">
        <w:t>1994, Board of Ed. v. Grumet, 512 U.S. 752</w:t>
      </w:r>
    </w:p>
    <w:p w:rsidR="00A31137" w:rsidRPr="00A31137" w:rsidRDefault="00A31137" w:rsidP="00A31137">
      <w:r w:rsidRPr="00A31137">
        <w:t>Ante at  704. Both the implication that this rejection of localism was general State policy, and the implication that (like the Court's prohibition of localism today) it had the purpose and effect of religious neutrality are simply not faithful to the cited source. The 1841 proposal was not to treat New York City schools differently, in order to favor Roman Catholics; it was "that the state's school code, which promoted a district system structure with local taxing authority, be extended to New York City." R. Church &amp; M. Sedlak, Education in the United States 167 (1976). And the rejection of that proposal was not a triumph for keeping sectarian religion out of some public schools; it was a triumph for keeping the King James version of the Bible in all public schools. The Court's selected source concludes:</w:t>
      </w:r>
    </w:p>
    <w:p w:rsidR="00A31137" w:rsidRPr="00A31137" w:rsidRDefault="00A31137" w:rsidP="00A31137">
      <w:r w:rsidRPr="00A31137">
        <w:t>1994, Board of Ed. v. Grumet, 512 U.S. 752</w:t>
      </w:r>
    </w:p>
    <w:p w:rsidR="00A31137" w:rsidRPr="00A31137" w:rsidRDefault="00A31137" w:rsidP="00A31137">
      <w:r w:rsidRPr="00A31137">
        <w:t>[T]he Whigs swept the city elections that year [1842] and made Bible reading—the King James version—mandatory in any schools sharing these monies. There was nothing left for the Catholics to do but to build their own parochial system with their own money.</w:t>
      </w:r>
      <w:r w:rsidRPr="00A31137">
        <w:cr/>
      </w:r>
    </w:p>
    <w:p w:rsidR="00A31137" w:rsidRPr="00A31137" w:rsidRDefault="00A31137" w:rsidP="00A31137">
      <w:r w:rsidRPr="00A31137">
        <w:t>1994, Board of Ed. v. Grumet, 512 U.S. 752</w:t>
      </w:r>
    </w:p>
    <w:p w:rsidR="00A31137" w:rsidRPr="00A31137" w:rsidRDefault="00A31137" w:rsidP="00A31137">
      <w:r w:rsidRPr="00A31137">
        <w:t>Id. at 168-169.</w:t>
      </w:r>
    </w:p>
    <w:p w:rsidR="00A31137" w:rsidRPr="00A31137" w:rsidRDefault="00A31137" w:rsidP="00A31137">
      <w:r w:rsidRPr="00A31137">
        <w:t>1994, Board of Ed. v. Grumet, 512 U.S. 752</w:t>
      </w:r>
    </w:p>
    <w:p w:rsidR="00A31137" w:rsidRPr="00A31137" w:rsidRDefault="00A31137" w:rsidP="00A31137">
      <w:r w:rsidRPr="00A31137">
        <w:t>4. The Court hints, ante at  703, that its fears would have been allayed if the New York Legislature had previously created similar school districts for other minority religions. But had it done so, each of them would have been attacked (and invalidated) for the same reason as this one: because it had no antecedents. I am sure the Court has in mind some way around this chicken-and-egg problem. Perhaps the legislature could name the first four school districts in pectore.</w:t>
      </w:r>
    </w:p>
    <w:p w:rsidR="00A31137" w:rsidRPr="00A31137" w:rsidRDefault="00A31137" w:rsidP="00A31137">
      <w:r w:rsidRPr="00A31137">
        <w:t>1994, Board of Ed. v. Grumet, 512 U.S. 752</w:t>
      </w:r>
    </w:p>
    <w:p w:rsidR="00A31137" w:rsidRPr="00A31137" w:rsidRDefault="00A31137" w:rsidP="00A31137">
      <w:r w:rsidRPr="00A31137">
        <w:t>5. The Court likens its demand for "up front" assurances to the Court's focus on the narrowness of the statute it struck down in Texas Monthly, Inc. v. Bullock, 489 U.S. 1 (1989). See ante at  708. Texas Monthly bears no resemblance to today's opinion, except that it also was wrong and it also misinterpreted Walz, see Id. at 33-40 (SCALIA, J., dissenting). The tax treatment of publishing companies in Texas was governed by an "across the board" rule. There was never any question whether nonreligious publishers would get the tax exemption accorded to religious publishers; by rule they did not, and the Court struck down that rule because it discriminated in favor of religion. By contrast, adjustments to existing school districts in New York are done case by case. No decision, including Texas Monthly, remotely suggests that approaching accommodations in a case-specific manner automatically violates the Establishment Clause.</w:t>
      </w:r>
    </w:p>
    <w:p w:rsidR="00A31137" w:rsidRPr="00A31137" w:rsidRDefault="00A31137" w:rsidP="00A31137">
      <w:r w:rsidRPr="00A31137">
        <w:t>1994, Board of Ed. v. Grumet, 512 U.S. 752</w:t>
      </w:r>
    </w:p>
    <w:p w:rsidR="00A31137" w:rsidRPr="00A31137" w:rsidRDefault="00A31137" w:rsidP="00A31137">
      <w:r w:rsidRPr="00A31137">
        <w:t>6. JUSTICE STEVENS' bald statement that such a program would be permissible, see ante at 711-712 can exclude it from the reach of his opinion, but not from the reach of his logic.</w:t>
      </w:r>
    </w:p>
    <w:p w:rsidR="00A31137" w:rsidRPr="00A31137" w:rsidRDefault="00A31137" w:rsidP="00A31137">
      <w:r w:rsidRPr="00A31137">
        <w:t>Clinton's Address to the Nation on Haiti, September 18, 1994</w:t>
      </w:r>
    </w:p>
    <w:p w:rsidR="00A31137" w:rsidRPr="00A31137" w:rsidRDefault="00A31137" w:rsidP="00A31137">
      <w:r w:rsidRPr="00A31137">
        <w:t>Title:</w:t>
      </w:r>
      <w:r w:rsidRPr="00A31137">
        <w:tab/>
        <w:t>Clinton's Address to the Nation on Haiti</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September 18, 1994</w:t>
      </w:r>
    </w:p>
    <w:p w:rsidR="00A31137" w:rsidRPr="00A31137" w:rsidRDefault="00A31137" w:rsidP="00A31137">
      <w:r w:rsidRPr="00A31137">
        <w:t>Source:</w:t>
      </w:r>
      <w:r w:rsidRPr="00A31137">
        <w:tab/>
        <w:t>Weekly Compilation of Presidential Documents, 1994</w:t>
      </w:r>
    </w:p>
    <w:p w:rsidR="00A31137" w:rsidRPr="00A31137" w:rsidRDefault="00A31137" w:rsidP="00A31137">
      <w:r w:rsidRPr="00A31137">
        <w:t>Clinton, Address on Haiti, Sept. 18, 1994</w:t>
      </w:r>
    </w:p>
    <w:p w:rsidR="00A31137" w:rsidRPr="00A31137" w:rsidRDefault="00A31137" w:rsidP="00A31137">
      <w:r w:rsidRPr="00A31137">
        <w:t>My fellow Americans, I want to announce that the military leaders of Haiti have agreed to step down from power. The dictators have recognized that it is in their best interest and in the best interest of the Haitian people to relinquish power peacefully, rather than to face imminent action by the forces of the multinational coalition we are leading.</w:t>
      </w:r>
    </w:p>
    <w:p w:rsidR="00A31137" w:rsidRPr="00A31137" w:rsidRDefault="00A31137" w:rsidP="00A31137">
      <w:r w:rsidRPr="00A31137">
        <w:t>Clinton, Address on Haiti, Sept. 18, 1994</w:t>
      </w:r>
    </w:p>
    <w:p w:rsidR="00A31137" w:rsidRPr="00A31137" w:rsidRDefault="00A31137" w:rsidP="00A31137">
      <w:r w:rsidRPr="00A31137">
        <w:t>Our objective over the last 3 years has been to make sure that the military dictators leave power and that the democratically elected government is returned. This agreement guarantees both those objectives. It minimizes the risks for American forces and the forces of the 24 nations of the international coalition. And the agreement maximizes the orderly transfer of power to Haiti's democratically elected government.</w:t>
      </w:r>
    </w:p>
    <w:p w:rsidR="00A31137" w:rsidRPr="00A31137" w:rsidRDefault="00A31137" w:rsidP="00A31137">
      <w:r w:rsidRPr="00A31137">
        <w:t>Clinton, Address on Haiti, Sept. 18, 1994</w:t>
      </w:r>
    </w:p>
    <w:p w:rsidR="00A31137" w:rsidRPr="00A31137" w:rsidRDefault="00A31137" w:rsidP="00A31137">
      <w:r w:rsidRPr="00A31137">
        <w:t>This is a good agreement for the United States and for Haiti. The military leaders will leave. The United States and coalition forces will arrive beginning tomorrow. And they'll do so in conditions that are less dangerous, although still not without risk. It will be much easier to preserve human rights. And there is a real chance of a more orderly and less violent transfer of power.</w:t>
      </w:r>
    </w:p>
    <w:p w:rsidR="00A31137" w:rsidRPr="00A31137" w:rsidRDefault="00A31137" w:rsidP="00A31137">
      <w:r w:rsidRPr="00A31137">
        <w:t>Clinton, Address on Haiti, Sept. 18, 1994</w:t>
      </w:r>
    </w:p>
    <w:p w:rsidR="00A31137" w:rsidRPr="00A31137" w:rsidRDefault="00A31137" w:rsidP="00A31137">
      <w:r w:rsidRPr="00A31137">
        <w:t>And to the supporters of President Aristide, he will be returned. I ask that all Haitians remember what President Aristide said just a couple of days ago: no vengeance, no violence, no retribution. This is a time for peace. That is what the United States is going, along with our coalition partners, to work for.</w:t>
      </w:r>
    </w:p>
    <w:p w:rsidR="00A31137" w:rsidRPr="00A31137" w:rsidRDefault="00A31137" w:rsidP="00A31137">
      <w:r w:rsidRPr="00A31137">
        <w:t>Clinton, Address on Haiti, Sept. 18, 1994</w:t>
      </w:r>
    </w:p>
    <w:p w:rsidR="00A31137" w:rsidRPr="00A31137" w:rsidRDefault="00A31137" w:rsidP="00A31137">
      <w:r w:rsidRPr="00A31137">
        <w:t>As all of you know, at my request, President Carter, General Colin Powell, and Senator Sam Nunn went to Haiti to facilitate the dictators' departure just yesterday. I have been in constant contact with them for the last 2 days. They have worked tirelessly, almost around the clock. And I want to thank them for undertaking this crucial mission on behalf of all Americans. Just as important, I want also to thank the men and women of the United States Armed Forces. It was their presence and their preparations that played a pivotal part in this agreement.</w:t>
      </w:r>
    </w:p>
    <w:p w:rsidR="00A31137" w:rsidRPr="00A31137" w:rsidRDefault="00A31137" w:rsidP="00A31137">
      <w:r w:rsidRPr="00A31137">
        <w:t>Clinton, Address on Haiti, Sept. 18, 1994</w:t>
      </w:r>
    </w:p>
    <w:p w:rsidR="00A31137" w:rsidRPr="00A31137" w:rsidRDefault="00A31137" w:rsidP="00A31137">
      <w:r w:rsidRPr="00A31137">
        <w:t>Under the agreement, the dictators have agreed to leave power as soon as the Haitian Parliament passes an amnesty law, as called for by the Governors Island Agreement, but in any event, no later than October 15th. They've agreed to immediate introduction of troops from the international coalition, beginning, as I said, as early as tomorrow. They have also pledged to cooperate fully with the coalition troops during the peaceful transition of power, something we have wanted very much.</w:t>
      </w:r>
    </w:p>
    <w:p w:rsidR="00A31137" w:rsidRPr="00A31137" w:rsidRDefault="00A31137" w:rsidP="00A31137">
      <w:r w:rsidRPr="00A31137">
        <w:t>Clinton, Address on Haiti, Sept. 18, 1994</w:t>
      </w:r>
    </w:p>
    <w:p w:rsidR="00A31137" w:rsidRPr="00A31137" w:rsidRDefault="00A31137" w:rsidP="00A31137">
      <w:r w:rsidRPr="00A31137">
        <w:t>I have directed United States forces to begin deployment into Haiti as a part of the U.N. coalition. And General Shelton, our commander, will be there tomorrow. The presence of the 15,000 member multinational force will guarantee that the dictators carry out the terms of the agreement. It is clear from our discussions with the delegation that this agreement only came because of the credible and imminent threat of the multinational force. In fact, it was signed after Haiti received evidence that paratroopers from our 82d Airborne Division, based at Fort Bragg, North Carolina, had begun to load up to begin the invasion, which I had ordered to start this evening. Indeed, at the time the agreement was reached, 61 American planes were already in the air.</w:t>
      </w:r>
    </w:p>
    <w:p w:rsidR="00A31137" w:rsidRPr="00A31137" w:rsidRDefault="00A31137" w:rsidP="00A31137">
      <w:r w:rsidRPr="00A31137">
        <w:t>Clinton, Address on Haiti, Sept. 18, 1994</w:t>
      </w:r>
    </w:p>
    <w:p w:rsidR="00A31137" w:rsidRPr="00A31137" w:rsidRDefault="00A31137" w:rsidP="00A31137">
      <w:r w:rsidRPr="00A31137">
        <w:t>Because of this agreement, the United States and other coalition troops going to Haiti will now be able to go under much more favorable conditions than they would have faced had the generals not decided to leave power.</w:t>
      </w:r>
    </w:p>
    <w:p w:rsidR="00A31137" w:rsidRPr="00A31137" w:rsidRDefault="00A31137" w:rsidP="00A31137">
      <w:r w:rsidRPr="00A31137">
        <w:t>Clinton, Address on Haiti, Sept. 18, 1994</w:t>
      </w:r>
    </w:p>
    <w:p w:rsidR="00A31137" w:rsidRPr="00A31137" w:rsidRDefault="00A31137" w:rsidP="00A31137">
      <w:r w:rsidRPr="00A31137">
        <w:t>But let me emphasize that this mission still has its risks, and we must be prepared for them. Haiti is still a troubled country, and there remain possibilities of violence directed at American troops. But this agreement minimizes those risks and maximizes our chance to protect the human rights of all Haitians, both those who support President Aristide and those who oppose him, and to create an environment in which President Aristide can return, as he said, without violence, without vengeance, without retribution.</w:t>
      </w:r>
    </w:p>
    <w:p w:rsidR="00A31137" w:rsidRPr="00A31137" w:rsidRDefault="00A31137" w:rsidP="00A31137">
      <w:r w:rsidRPr="00A31137">
        <w:t>Clinton, Address on Haiti, Sept. 18, 1994</w:t>
      </w:r>
    </w:p>
    <w:p w:rsidR="00A31137" w:rsidRPr="00A31137" w:rsidRDefault="00A31137" w:rsidP="00A31137">
      <w:r w:rsidRPr="00A31137">
        <w:t>Under the terms of United Nations Security Council Resolution 940, an international coalition from 25 nations will soon go into Haiti to begin the task of restoring democratic government. President Aristide will return to Haiti when the dictators depart.</w:t>
      </w:r>
    </w:p>
    <w:p w:rsidR="00A31137" w:rsidRPr="00A31137" w:rsidRDefault="00A31137" w:rsidP="00A31137">
      <w:r w:rsidRPr="00A31137">
        <w:t>Clinton, Address on Haiti, Sept. 18, 1994</w:t>
      </w:r>
    </w:p>
    <w:p w:rsidR="00A31137" w:rsidRPr="00A31137" w:rsidRDefault="00A31137" w:rsidP="00A31137">
      <w:r w:rsidRPr="00A31137">
        <w:t>On Thursday night I told you that the United States must act here to protect our interest, to stop the brutal atrocities that threaten tens of thousands of Haitians, to secure our borders and preserve stability and promote democracy in our hemisphere, to uphold the reliability of commitments we make to others and the commitments others make to us. This agreement furthers all these goals.</w:t>
      </w:r>
    </w:p>
    <w:p w:rsidR="00A31137" w:rsidRPr="00A31137" w:rsidRDefault="00A31137" w:rsidP="00A31137">
      <w:r w:rsidRPr="00A31137">
        <w:t>Clinton, Address on Haiti, Sept. 18, 1994</w:t>
      </w:r>
    </w:p>
    <w:p w:rsidR="00A31137" w:rsidRPr="00A31137" w:rsidRDefault="00A31137" w:rsidP="00A31137">
      <w:r w:rsidRPr="00A31137">
        <w:t>From the beginning I have said that the Haitian dictators must go; tonight I can tell you that they will go. And to our troops tonight who are headed to Haiti under less risky conditions, I am confident you will carry out your mission as you already have, effectively and professionally. We depend upon you to do well tomorrow as you have done so very well today and in the weeks and days before, when you planned this exercise, prepared for it, and then began to carry it out. To all of you I say, thank you, your Nation is proud of you.</w:t>
      </w:r>
    </w:p>
    <w:p w:rsidR="00A31137" w:rsidRPr="00A31137" w:rsidRDefault="00A31137" w:rsidP="00A31137">
      <w:r w:rsidRPr="00A31137">
        <w:t>Clinton, Address on Haiti, Sept. 18, 1994</w:t>
      </w:r>
    </w:p>
    <w:p w:rsidR="00A31137" w:rsidRPr="00A31137" w:rsidRDefault="00A31137" w:rsidP="00A31137">
      <w:r w:rsidRPr="00A31137">
        <w:t>Good night, and God bless America.</w:t>
      </w:r>
    </w:p>
    <w:p w:rsidR="00A31137" w:rsidRPr="00A31137" w:rsidRDefault="00A31137" w:rsidP="00A31137">
      <w:r w:rsidRPr="00A31137">
        <w:t>Clinton, Address on Haiti, Sept. 18, 1994</w:t>
      </w:r>
    </w:p>
    <w:p w:rsidR="00A31137" w:rsidRPr="00A31137" w:rsidRDefault="00A31137" w:rsidP="00A31137">
      <w:r w:rsidRPr="00A31137">
        <w:t>Note: The President spoke at 9:30 p.m. from the Oval Office at the White House. In his remarks, he referred to Lt. Gen. Henry H. Shelton, commander of U.S. forces in Haiti.</w:t>
      </w:r>
    </w:p>
    <w:p w:rsidR="00A31137" w:rsidRPr="00A31137" w:rsidRDefault="00A31137" w:rsidP="00A31137">
      <w:r w:rsidRPr="00A31137">
        <w:t>Clinton's Remarks at the Signing Ceremony for the Israel-Jordan Peace Treaty, October 26, 1994</w:t>
      </w:r>
    </w:p>
    <w:p w:rsidR="00A31137" w:rsidRPr="00A31137" w:rsidRDefault="00A31137" w:rsidP="00A31137">
      <w:r w:rsidRPr="00A31137">
        <w:t>Title:</w:t>
      </w:r>
      <w:r w:rsidRPr="00A31137">
        <w:tab/>
        <w:t>Clinton's Remarks at the Signing Ceremony for the Israel-Jordan Peace Treaty</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October 26, 1994</w:t>
      </w:r>
    </w:p>
    <w:p w:rsidR="00A31137" w:rsidRPr="00A31137" w:rsidRDefault="00A31137" w:rsidP="00A31137">
      <w:r w:rsidRPr="00A31137">
        <w:t>Source:</w:t>
      </w:r>
      <w:r w:rsidRPr="00A31137">
        <w:tab/>
        <w:t>Weekly Compilation of Presidential Documents, 1994</w:t>
      </w:r>
    </w:p>
    <w:p w:rsidR="00A31137" w:rsidRPr="00A31137" w:rsidRDefault="00A31137" w:rsidP="00A31137">
      <w:r w:rsidRPr="00A31137">
        <w:t>Clinton, Israel-Jordan Peace Treaty, Oct. 26, 1994</w:t>
      </w:r>
    </w:p>
    <w:p w:rsidR="00A31137" w:rsidRPr="00A31137" w:rsidRDefault="00A31137" w:rsidP="00A31137">
      <w:r w:rsidRPr="00A31137">
        <w:t>King Hussein, President Weizman, Prime Minister Rabin, Prime Minister Majali, Crown Prince Hassan, Foreign Minister Peres, Foreign Minister Kozyrev, Mr. Secretary of State; to the people of Jordan and Israel, with a special thanks to those who are our cheering section up there—[laughter]—we thank you all.</w:t>
      </w:r>
    </w:p>
    <w:p w:rsidR="00A31137" w:rsidRPr="00A31137" w:rsidRDefault="00A31137" w:rsidP="00A31137">
      <w:r w:rsidRPr="00A31137">
        <w:t>Clinton, Israel-Jordan Peace Treaty, Oct. 26, 1994</w:t>
      </w:r>
    </w:p>
    <w:p w:rsidR="00A31137" w:rsidRPr="00A31137" w:rsidRDefault="00A31137" w:rsidP="00A31137">
      <w:r w:rsidRPr="00A31137">
        <w:t>At the dawn of this peace of a generation, in this ancient place we celebrate the history and the faith of Jordanians and Israelis. But we break the chains of the past that for too long have kept you shackled in the shadows of strife and suffering. We thank those who have worked for peace before. We celebrate the efforts of brave leaders who saw the bright horizon of this dawn, even while the darkness lingered.</w:t>
      </w:r>
    </w:p>
    <w:p w:rsidR="00A31137" w:rsidRPr="00A31137" w:rsidRDefault="00A31137" w:rsidP="00A31137">
      <w:r w:rsidRPr="00A31137">
        <w:t>Clinton, Israel-Jordan Peace Treaty, Oct. 26, 1994</w:t>
      </w:r>
    </w:p>
    <w:p w:rsidR="00A31137" w:rsidRPr="00A31137" w:rsidRDefault="00A31137" w:rsidP="00A31137">
      <w:r w:rsidRPr="00A31137">
        <w:t>This vast bleached desert hides great signs of life. Today we see the proof of it, for peace between Jordan and Israel is no longer a mirage. It is real. It will take root in this soil. It will grow to great heights and shelter generations to come.</w:t>
      </w:r>
    </w:p>
    <w:p w:rsidR="00A31137" w:rsidRPr="00A31137" w:rsidRDefault="00A31137" w:rsidP="00A31137">
      <w:r w:rsidRPr="00A31137">
        <w:t>Clinton, Israel-Jordan Peace Treaty, Oct. 26, 1994</w:t>
      </w:r>
    </w:p>
    <w:p w:rsidR="00A31137" w:rsidRPr="00A31137" w:rsidRDefault="00A31137" w:rsidP="00A31137">
      <w:r w:rsidRPr="00A31137">
        <w:t>Today we honor the constant and devoted work of two courageous leaders, two who have risked everything so that their children and their children's children need fight nor fear no more.</w:t>
      </w:r>
    </w:p>
    <w:p w:rsidR="00A31137" w:rsidRPr="00A31137" w:rsidRDefault="00A31137" w:rsidP="00A31137">
      <w:r w:rsidRPr="00A31137">
        <w:t>Clinton, Israel-Jordan Peace Treaty, Oct. 26, 1994</w:t>
      </w:r>
    </w:p>
    <w:p w:rsidR="00A31137" w:rsidRPr="00A31137" w:rsidRDefault="00A31137" w:rsidP="00A31137">
      <w:r w:rsidRPr="00A31137">
        <w:t>King Hussein, today in this arid place, you bring to full flower the memory of the man who taught you to seek peace, your grandfather, King Abdullah. When he was martyred four decades ago, he left you with a great burden and a great dream. He believed that one day, on both sides of the River Jordan, Arab and Jew would live in peace. How bravely you have shouldered that burden and carried that dream. Now after so much danger and so much hardship, Your Majesty, your day has come. Truly, you have fulfilled your grandfather's legacy.</w:t>
      </w:r>
    </w:p>
    <w:p w:rsidR="00A31137" w:rsidRPr="00A31137" w:rsidRDefault="00A31137" w:rsidP="00A31137">
      <w:r w:rsidRPr="00A31137">
        <w:t>Clinton, Israel-Jordan Peace Treaty, Oct. 26, 1994</w:t>
      </w:r>
    </w:p>
    <w:p w:rsidR="00A31137" w:rsidRPr="00A31137" w:rsidRDefault="00A31137" w:rsidP="00A31137">
      <w:r w:rsidRPr="00A31137">
        <w:t>Prime Minister Rabin, you have spent a lifetime as a soldier, fighting first to establish your country and then for so long to defend it. For a lifetime, you have fought with skill and tenacity and courage, simply to achieve a secure and lasting peace for your people. Now you have given them the hope of life after the siege. In your own words, you have now given them the challenge to furnish the house of Israel and make it a home. As a general, you have won many battles through strength and courage. But now, through strength and courage, you command the army of peace, and you have won the greatest victory of all. We salute you.</w:t>
      </w:r>
    </w:p>
    <w:p w:rsidR="00A31137" w:rsidRPr="00A31137" w:rsidRDefault="00A31137" w:rsidP="00A31137">
      <w:r w:rsidRPr="00A31137">
        <w:t>Clinton, Israel-Jordan Peace Treaty, Oct. 26, 1994</w:t>
      </w:r>
    </w:p>
    <w:p w:rsidR="00A31137" w:rsidRPr="00A31137" w:rsidRDefault="00A31137" w:rsidP="00A31137">
      <w:r w:rsidRPr="00A31137">
        <w:t>As has been said before, this treaty is the product of many hands. Crown Prince Hassan and Foreign Minister Peres know better than any of us that peace does not spring full-grown. It requires cultivation. It requires patience and care. We salute their devotion and persistence, and the wise and determined counsel of Secretary Christopher. We are in all their debt, and we thank them.</w:t>
      </w:r>
    </w:p>
    <w:p w:rsidR="00A31137" w:rsidRPr="00A31137" w:rsidRDefault="00A31137" w:rsidP="00A31137">
      <w:r w:rsidRPr="00A31137">
        <w:t>Clinton, Israel-Jordan Peace Treaty, Oct. 26, 1994</w:t>
      </w:r>
    </w:p>
    <w:p w:rsidR="00A31137" w:rsidRPr="00A31137" w:rsidRDefault="00A31137" w:rsidP="00A31137">
      <w:r w:rsidRPr="00A31137">
        <w:t>I say to the people of Israel and Jordan: Now you must make this peace real, to turn no-man's land into every man's home, to take down the barbed wire, to remove the deadly mines, to help the wounds of war to heal. Open your borders. Open your hearts. Peace is more than an agreement on paper. It is feeling. It is activity. It is devotion.</w:t>
      </w:r>
    </w:p>
    <w:p w:rsidR="00A31137" w:rsidRPr="00A31137" w:rsidRDefault="00A31137" w:rsidP="00A31137">
      <w:r w:rsidRPr="00A31137">
        <w:t>Clinton, Israel-Jordan Peace Treaty, Oct. 26, 1994</w:t>
      </w:r>
    </w:p>
    <w:p w:rsidR="00A31137" w:rsidRPr="00A31137" w:rsidRDefault="00A31137" w:rsidP="00A31137">
      <w:r w:rsidRPr="00A31137">
        <w:t>The forces of terror will try to hold you back. Already they take deadly aim at the future of peace. In their zeal to kill hope and keep hatred alive, they would deny all that peace can bring to your children. We cannot, we must not, we will not let them succeed.</w:t>
      </w:r>
    </w:p>
    <w:p w:rsidR="00A31137" w:rsidRPr="00A31137" w:rsidRDefault="00A31137" w:rsidP="00A31137">
      <w:r w:rsidRPr="00A31137">
        <w:t>Clinton, Israel-Jordan Peace Treaty, Oct. 26, 1994</w:t>
      </w:r>
    </w:p>
    <w:p w:rsidR="00A31137" w:rsidRPr="00A31137" w:rsidRDefault="00A31137" w:rsidP="00A31137">
      <w:r w:rsidRPr="00A31137">
        <w:t>The United States stands with you. Since President Truman first recognized Israel, we have wished for and worked for comprehensive peace between Israel and all of her neighbors. On behalf of all Americans, including millions of Jewish and Arab Americans for whom this day means so much, I thank you for trusting America to help you arrive at this moment. The American people are very proud of the opportunity we have had.</w:t>
      </w:r>
    </w:p>
    <w:p w:rsidR="00A31137" w:rsidRPr="00A31137" w:rsidRDefault="00A31137" w:rsidP="00A31137">
      <w:r w:rsidRPr="00A31137">
        <w:t>Clinton, Israel-Jordan Peace Treaty, Oct. 26, 1994</w:t>
      </w:r>
    </w:p>
    <w:p w:rsidR="00A31137" w:rsidRPr="00A31137" w:rsidRDefault="00A31137" w:rsidP="00A31137">
      <w:r w:rsidRPr="00A31137">
        <w:t>And now let the work of progress bear fruit. Here at the first of many crossing points to be open, people from every corner of the Earth will soon come to share in the wonders of your lands. There are resources to be found in the desert, minerals to be drawn from the sea, water to be separated from salt and used to fertilize the fields. Here where slaves in ancient times were forced to take their chisels to the stone, the Earth, as the Koran says, will stir and swell and bring forth life. The desert, as Isaiah prophesied, shall rejoice and blossom.</w:t>
      </w:r>
    </w:p>
    <w:p w:rsidR="00A31137" w:rsidRPr="00A31137" w:rsidRDefault="00A31137" w:rsidP="00A31137">
      <w:r w:rsidRPr="00A31137">
        <w:t>Clinton, Israel-Jordan Peace Treaty, Oct. 26, 1994</w:t>
      </w:r>
    </w:p>
    <w:p w:rsidR="00A31137" w:rsidRPr="00A31137" w:rsidRDefault="00A31137" w:rsidP="00A31137">
      <w:r w:rsidRPr="00A31137">
        <w:t>Here your people will drink water from the same well and savor together the fruit of the vine. As you seize this moment, be assured that you will redeem every life sacrificed along the long road that brought us to this day. You will take the hatred out of hearts, and you will pass along to your children a peace for the generations.</w:t>
      </w:r>
    </w:p>
    <w:p w:rsidR="00A31137" w:rsidRPr="00A31137" w:rsidRDefault="00A31137" w:rsidP="00A31137">
      <w:r w:rsidRPr="00A31137">
        <w:t>Clinton, Israel-Jordan Peace Treaty, Oct. 26, 1994</w:t>
      </w:r>
    </w:p>
    <w:p w:rsidR="00A31137" w:rsidRPr="00A31137" w:rsidRDefault="00A31137" w:rsidP="00A31137">
      <w:r w:rsidRPr="00A31137">
        <w:t>Your Majesty, Mr. Prime Minister, here in the great Rift Valley you have bridged the tragic rift that separated your people for too long. Here in this region, which is the home of not only both your faiths but mine, I say: Blessed are the peacemakers, for they shall inherit the Earth.</w:t>
      </w:r>
    </w:p>
    <w:p w:rsidR="00A31137" w:rsidRPr="00A31137" w:rsidRDefault="00A31137" w:rsidP="00A31137">
      <w:r w:rsidRPr="00A31137">
        <w:t>Clinton, Israel-Jordan Peace Treaty, Oct. 26, 1994</w:t>
      </w:r>
    </w:p>
    <w:p w:rsidR="00A31137" w:rsidRPr="00A31137" w:rsidRDefault="00A31137" w:rsidP="00A31137">
      <w:r w:rsidRPr="00A31137">
        <w:t>Note: The President spoke at approximately 1:50 p.m. at the Wadi Araba border crossing. In his remarks, he referred to King Hussein, Crown Prince Hassan, and Prime Minister Abd al-Salam al-Majali of Jordan; President Ezer Weizman, Prime Minister Yitzhak Rabin, and Foreign Minister Shimon Peres of Israel; and Foreign Minister Andrey Kozyrev of Russia.</w:t>
      </w:r>
    </w:p>
    <w:p w:rsidR="00A31137" w:rsidRPr="00A31137" w:rsidRDefault="00A31137" w:rsidP="00A31137">
      <w:r w:rsidRPr="00A31137">
        <w:t>Clinton's Address on the State of the Union, January 24, 1995</w:t>
      </w:r>
    </w:p>
    <w:p w:rsidR="00A31137" w:rsidRPr="00A31137" w:rsidRDefault="00A31137" w:rsidP="00A31137">
      <w:r w:rsidRPr="00A31137">
        <w:t>Title:</w:t>
      </w:r>
      <w:r w:rsidRPr="00A31137">
        <w:tab/>
        <w:t>Clinton's Address on the State of the Union, 1995</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24, 1995</w:t>
      </w:r>
    </w:p>
    <w:p w:rsidR="00A31137" w:rsidRPr="00A31137" w:rsidRDefault="00A31137" w:rsidP="00A31137">
      <w:r w:rsidRPr="00A31137">
        <w:t>Source:</w:t>
      </w:r>
      <w:r w:rsidRPr="00A31137">
        <w:tab/>
        <w:t>Weekly Compilation of Presidential Documents, 1995, pp.96-108</w:t>
      </w:r>
    </w:p>
    <w:p w:rsidR="00A31137" w:rsidRPr="00A31137" w:rsidRDefault="00A31137" w:rsidP="00A31137">
      <w:r w:rsidRPr="00A31137">
        <w:t>Clinton, State of the Union Address, 1995, p.96</w:t>
      </w:r>
    </w:p>
    <w:p w:rsidR="00A31137" w:rsidRPr="00A31137" w:rsidRDefault="00A31137" w:rsidP="00A31137">
      <w:r w:rsidRPr="00A31137">
        <w:t>Mr. President, Mr. Speaker, Members of the 104th Congress, my fellow Americans: Again we are here in the sanctuary of democracy, and once again our democracy has spoken. So let me begin by congratulating all of you here in the 104th Congress and congratulating you, Mr. Speaker.</w:t>
      </w:r>
    </w:p>
    <w:p w:rsidR="00A31137" w:rsidRPr="00A31137" w:rsidRDefault="00A31137" w:rsidP="00A31137">
      <w:r w:rsidRPr="00A31137">
        <w:t>Clinton, State of the Union Address, 1995, p.96</w:t>
      </w:r>
    </w:p>
    <w:p w:rsidR="00A31137" w:rsidRPr="00A31137" w:rsidRDefault="00A31137" w:rsidP="00A31137">
      <w:r w:rsidRPr="00A31137">
        <w:t>If we agree on nothing else tonight, we must agree that the American people certainly voted for change in 1992 and in 1994. And as I look out at you, I know how some of you must have felt in 1992. [Laughter]</w:t>
      </w:r>
    </w:p>
    <w:p w:rsidR="00A31137" w:rsidRPr="00A31137" w:rsidRDefault="00A31137" w:rsidP="00A31137">
      <w:r w:rsidRPr="00A31137">
        <w:t>Clinton, State of the Union Address, 1995, p.96</w:t>
      </w:r>
    </w:p>
    <w:p w:rsidR="00A31137" w:rsidRPr="00A31137" w:rsidRDefault="00A31137" w:rsidP="00A31137">
      <w:r w:rsidRPr="00A31137">
        <w:t>I must say that in both years we didn't hear America singing, we heard America shouting. And now all of us, Republicans and Democrats alike, must say, "We hear you. We will work together to earn the jobs you have given us. For we are the keepers of a sacred trust, and we must be faithful to it in this new and very demanding era."</w:t>
      </w:r>
    </w:p>
    <w:p w:rsidR="00A31137" w:rsidRPr="00A31137" w:rsidRDefault="00A31137" w:rsidP="00A31137">
      <w:r w:rsidRPr="00A31137">
        <w:t>Clinton, State of the Union Address, 1995, p.96</w:t>
      </w:r>
    </w:p>
    <w:p w:rsidR="00A31137" w:rsidRPr="00A31137" w:rsidRDefault="00A31137" w:rsidP="00A31137">
      <w:r w:rsidRPr="00A31137">
        <w:t>Over 200 years ago, our Founders changed the entire course of human history by joining together to create a new country based on a single powerful idea: "We hold these truths to be self-evident, that all men are created equal,…endowed by their Creator with certain unalienable Rights, and among these are Life, Liberty and the pursuit of Happiness."</w:t>
      </w:r>
    </w:p>
    <w:p w:rsidR="00A31137" w:rsidRPr="00A31137" w:rsidRDefault="00A31137" w:rsidP="00A31137">
      <w:r w:rsidRPr="00A31137">
        <w:t>Clinton, State of the Union Address, 1995, p.96</w:t>
      </w:r>
    </w:p>
    <w:p w:rsidR="00A31137" w:rsidRPr="00A31137" w:rsidRDefault="00A31137" w:rsidP="00A31137">
      <w:r w:rsidRPr="00A31137">
        <w:t>It has fallen to every generation since then to preserve that idea, the American idea, and to deepen and expand its meaning in new and different times: to Lincoln and to his Congress to preserve the Union and to end slavery; to Theodore Roosevelt and Woodrow Wilson to restrain the abuses and excesses of the industrial revolution and to assert our leadership in the world; to Franklin Roosevelt to fight the failure and pain of the Great Depression and to win our country's great struggle against fascism; and to all our Presidents since to fight the cold war. Especially, I recall two who struggled to fight that cold war in partnership with Congresses where the majority was of a different party: to Harry Truman, who summoned us to unparalleled prosperity at home and who built the architecture of the cold war; and to Ronald Reagan, whom we wish well tonight and who exhorted us to carry on until the twilight struggle against communism was won.</w:t>
      </w:r>
    </w:p>
    <w:p w:rsidR="00A31137" w:rsidRPr="00A31137" w:rsidRDefault="00A31137" w:rsidP="00A31137">
      <w:r w:rsidRPr="00A31137">
        <w:t>Clinton, State of the Union Address, 1995, p.96</w:t>
      </w:r>
    </w:p>
    <w:p w:rsidR="00A31137" w:rsidRPr="00A31137" w:rsidRDefault="00A31137" w:rsidP="00A31137">
      <w:r w:rsidRPr="00A31137">
        <w:t>In another time of change and challenge, I had the honor to be the first President to be elected in the post-cold-war era, an era marked by the global economy, the information revolution, unparalleled change and opportunity and insecurity for the American people. I came to this hallowed Chamber 2 years ago on a mission, to restore the American dream for all our people and to make sure that we move into the 21st century still the strongest force for freedom and democracy in the entire world. I was determined then to tackle the tough problems too long ignored. In this effort I am frank to say that I have made my mistakes, and I have learned again the importance of humility in all human endeavor. But I am also proud to say [p.97] tonight that our country is stronger than it was 2 years ago. [Applause] Thank you.</w:t>
      </w:r>
    </w:p>
    <w:p w:rsidR="00A31137" w:rsidRPr="00A31137" w:rsidRDefault="00A31137" w:rsidP="00A31137">
      <w:r w:rsidRPr="00A31137">
        <w:t>Clinton, State of the Union Address, 1995, p.97</w:t>
      </w:r>
    </w:p>
    <w:p w:rsidR="00A31137" w:rsidRPr="00A31137" w:rsidRDefault="00A31137" w:rsidP="00A31137">
      <w:r w:rsidRPr="00A31137">
        <w:t>Record numbers of Americans are succeeding in the new global economy. We are at peace, and we are a force for peace and freedom throughout the world. We have almost 6 million new jobs since I became President, and we have the lowest combined rate of unemployment and inflation in 25 years. Our businesses are more productive. And here we have worked to bring the deficit down, to expand trade, to put more police on our streets, to give our citizens more of the tools they need to get an education and to rebuild their own communities.</w:t>
      </w:r>
    </w:p>
    <w:p w:rsidR="00A31137" w:rsidRPr="00A31137" w:rsidRDefault="00A31137" w:rsidP="00A31137">
      <w:r w:rsidRPr="00A31137">
        <w:t>Clinton, State of the Union Address, 1995, p.97</w:t>
      </w:r>
    </w:p>
    <w:p w:rsidR="00A31137" w:rsidRPr="00A31137" w:rsidRDefault="00A31137" w:rsidP="00A31137">
      <w:r w:rsidRPr="00A31137">
        <w:t>But the rising tide is not lifting all boats. While our Nation is enjoying peace and prosperity, too many of our people are still working harder and harder, for less and less. While our businesses are restructuring and growing more productive and competitive, too many of our people still can't be sure of having a job next year or even next month. And far more than our material riches are threatened, things far more precious to us, our children, our families, our values.</w:t>
      </w:r>
    </w:p>
    <w:p w:rsidR="00A31137" w:rsidRPr="00A31137" w:rsidRDefault="00A31137" w:rsidP="00A31137">
      <w:r w:rsidRPr="00A31137">
        <w:t>Clinton, State of the Union Address, 1995, p.97</w:t>
      </w:r>
    </w:p>
    <w:p w:rsidR="00A31137" w:rsidRPr="00A31137" w:rsidRDefault="00A31137" w:rsidP="00A31137">
      <w:r w:rsidRPr="00A31137">
        <w:t>Our civil life is suffering in America today. Citizens are working together less and shouting at each other more. The common bonds of community which have been the great strength of our country from its very beginning are badly frayed. What are we to do about it?</w:t>
      </w:r>
    </w:p>
    <w:p w:rsidR="00A31137" w:rsidRPr="00A31137" w:rsidRDefault="00A31137" w:rsidP="00A31137">
      <w:r w:rsidRPr="00A31137">
        <w:t>Clinton, State of the Union Address, 1995, p.97</w:t>
      </w:r>
    </w:p>
    <w:p w:rsidR="00A31137" w:rsidRPr="00A31137" w:rsidRDefault="00A31137" w:rsidP="00A31137">
      <w:r w:rsidRPr="00A31137">
        <w:t>More than 60 years ago, at the dawn of another new era, President Roosevelt told our Nation, "New conditions impose new requirements on Government and those who conduct Government." And from that simple proposition, he shaped the New Deal, which helped to restore our Nation to prosperity and define the relationship between our people and their Government for half a century.</w:t>
      </w:r>
    </w:p>
    <w:p w:rsidR="00A31137" w:rsidRPr="00A31137" w:rsidRDefault="00A31137" w:rsidP="00A31137">
      <w:r w:rsidRPr="00A31137">
        <w:t>Clinton, State of the Union Address, 1995, p.97</w:t>
      </w:r>
    </w:p>
    <w:p w:rsidR="00A31137" w:rsidRPr="00A31137" w:rsidRDefault="00A31137" w:rsidP="00A31137">
      <w:r w:rsidRPr="00A31137">
        <w:t>That approach worked in its time. But we today, we face a very different time and very different conditions. We are moving from an industrial age built on gears and sweat to an information age demanding skills and learning and flexibility. Our Government, once a champion of national purpose, is now seen by many as simply a captive of narrow interests, putting more burdens on our citizens rather than equipping them to get ahead. The values that used to hold us all together seem to be coming apart.</w:t>
      </w:r>
    </w:p>
    <w:p w:rsidR="00A31137" w:rsidRPr="00A31137" w:rsidRDefault="00A31137" w:rsidP="00A31137">
      <w:r w:rsidRPr="00A31137">
        <w:t>Clinton, State of the Union Address, 1995, p.97</w:t>
      </w:r>
    </w:p>
    <w:p w:rsidR="00A31137" w:rsidRPr="00A31137" w:rsidRDefault="00A31137" w:rsidP="00A31137">
      <w:r w:rsidRPr="00A31137">
        <w:t>So tonight we must forge a new social compact to meet the challenges of this time. As we enter a new era, we need a new set of understandings, not just with Government but, even more important, with one another as Americans.</w:t>
      </w:r>
    </w:p>
    <w:p w:rsidR="00A31137" w:rsidRPr="00A31137" w:rsidRDefault="00A31137" w:rsidP="00A31137">
      <w:r w:rsidRPr="00A31137">
        <w:t>Clinton, State of the Union Address, 1995, p.97</w:t>
      </w:r>
    </w:p>
    <w:p w:rsidR="00A31137" w:rsidRPr="00A31137" w:rsidRDefault="00A31137" w:rsidP="00A31137">
      <w:r w:rsidRPr="00A31137">
        <w:t>That's what I want to talk with you about tonight. I call it the New Covenant. But it's grounded in a very, very old idea, that all Americans have not just a right but a solemn responsibility to rise as far as their God-given talents and determination can take them and to give something back to their communities and their country in return. Opportunity and responsibility: They go hand in hand. We can't have one without the other. And our national community can't hold together without both.</w:t>
      </w:r>
    </w:p>
    <w:p w:rsidR="00A31137" w:rsidRPr="00A31137" w:rsidRDefault="00A31137" w:rsidP="00A31137">
      <w:r w:rsidRPr="00A31137">
        <w:t>Clinton, State of the Union Address, 1995, p.97</w:t>
      </w:r>
    </w:p>
    <w:p w:rsidR="00A31137" w:rsidRPr="00A31137" w:rsidRDefault="00A31137" w:rsidP="00A31137">
      <w:r w:rsidRPr="00A31137">
        <w:t>Our New Covenant is a new set of understandings for how we can equip our people to meet the challenges of a new economy, how we can change the way our Government works to fit a different time, and, above all, how we can repair the damaged bonds in our society and come together behind our common purpose. We must have dramatic change in our economy, our Government, and ourselves.</w:t>
      </w:r>
    </w:p>
    <w:p w:rsidR="00A31137" w:rsidRPr="00A31137" w:rsidRDefault="00A31137" w:rsidP="00A31137">
      <w:r w:rsidRPr="00A31137">
        <w:t>Clinton, State of the Union Address, 1995, p.97</w:t>
      </w:r>
    </w:p>
    <w:p w:rsidR="00A31137" w:rsidRPr="00A31137" w:rsidRDefault="00A31137" w:rsidP="00A31137">
      <w:r w:rsidRPr="00A31137">
        <w:t>My fellow Americans, without regard to party, let us rise to the occasion. Let us put aside partisanship and pettiness and pride. As we embark on this new course, let us put our country first, remembering that regardless of party label, we are all Americans. And let the final test of everything we do be a simple one: Is it good for the American people?</w:t>
      </w:r>
    </w:p>
    <w:p w:rsidR="00A31137" w:rsidRPr="00A31137" w:rsidRDefault="00A31137" w:rsidP="00A31137">
      <w:r w:rsidRPr="00A31137">
        <w:t>Clinton, State of the Union Address, 1995, p.97</w:t>
      </w:r>
    </w:p>
    <w:p w:rsidR="00A31137" w:rsidRPr="00A31137" w:rsidRDefault="00A31137" w:rsidP="00A31137">
      <w:r w:rsidRPr="00A31137">
        <w:t>Let me begin by saying that we cannot ask Americans to be better citizens if we are not better servants. You made a good start by passing that law which applies to Congress all the laws you put on the private sector, and I was proud to sign it yesterday. But we have a lot more to do before people really trust the way things work around here. Three times as many lobbyists are in the streets and corridors of Washington as were here 20 years ago. The American people look at their Capital, and they see a city where the well-connected and the well-protected can work [p.98] the system, but the interests of ordinary citizens are often left out.</w:t>
      </w:r>
    </w:p>
    <w:p w:rsidR="00A31137" w:rsidRPr="00A31137" w:rsidRDefault="00A31137" w:rsidP="00A31137">
      <w:r w:rsidRPr="00A31137">
        <w:t>Clinton, State of the Union Address, 1995, p.98</w:t>
      </w:r>
    </w:p>
    <w:p w:rsidR="00A31137" w:rsidRPr="00A31137" w:rsidRDefault="00A31137" w:rsidP="00A31137">
      <w:r w:rsidRPr="00A31137">
        <w:t>As the new Congress opened its doors, lobbyists were still doing business as usual; the gifts, the trips, all the things that people are concerned about haven't stopped. Twice this month you missed opportunities to stop these practices. I know there were other considerations in those votes, but I want to use something that I've heard my Republican friends say from time to time, "There doesn't have to be a law for everything." So tonight I ask you to just stop taking the lobbyists' perks. Just stop. We don't have to wait for legislation to pass to send a strong signal to the American people that things are really changing. But I also hope you will send me the strongest possible lobby reform bill, and I'll sign that, too.</w:t>
      </w:r>
    </w:p>
    <w:p w:rsidR="00A31137" w:rsidRPr="00A31137" w:rsidRDefault="00A31137" w:rsidP="00A31137">
      <w:r w:rsidRPr="00A31137">
        <w:t>Clinton, State of the Union Address, 1995, p.98</w:t>
      </w:r>
    </w:p>
    <w:p w:rsidR="00A31137" w:rsidRPr="00A31137" w:rsidRDefault="00A31137" w:rsidP="00A31137">
      <w:r w:rsidRPr="00A31137">
        <w:t>We should require lobbyists to tell the people for whom they work what they're spending, what they want. We should also curb the role of big money in elections by capping the cost of campaigns and limiting the influence of PAC's. And as I have said for 3 years, we should work to open the airwaves so that they can be an instrument of democracy, not a weapon of destruction, by giving free TV time to candidates for public office.</w:t>
      </w:r>
    </w:p>
    <w:p w:rsidR="00A31137" w:rsidRPr="00A31137" w:rsidRDefault="00A31137" w:rsidP="00A31137">
      <w:r w:rsidRPr="00A31137">
        <w:t>Clinton, State of the Union Address, 1995, p.98</w:t>
      </w:r>
    </w:p>
    <w:p w:rsidR="00A31137" w:rsidRPr="00A31137" w:rsidRDefault="00A31137" w:rsidP="00A31137">
      <w:r w:rsidRPr="00A31137">
        <w:t>When the last Congress killed political reform last year, it was reported in the press that the lobbyists actually stood in the Halls of this sacred building and cheered. This year, let's give the folks at home something to cheer about.</w:t>
      </w:r>
    </w:p>
    <w:p w:rsidR="00A31137" w:rsidRPr="00A31137" w:rsidRDefault="00A31137" w:rsidP="00A31137">
      <w:r w:rsidRPr="00A31137">
        <w:t>Clinton, State of the Union Address, 1995, p.98</w:t>
      </w:r>
    </w:p>
    <w:p w:rsidR="00A31137" w:rsidRPr="00A31137" w:rsidRDefault="00A31137" w:rsidP="00A31137">
      <w:r w:rsidRPr="00A31137">
        <w:t>More important, I think we all agree that we have to change the way the Government works. Let's make it smaller, less costly, and smarter; leaner, not meaner. [Applause]</w:t>
      </w:r>
    </w:p>
    <w:p w:rsidR="00A31137" w:rsidRPr="00A31137" w:rsidRDefault="00A31137" w:rsidP="00A31137">
      <w:r w:rsidRPr="00A31137">
        <w:t>Clinton, State of the Union Address, 1995, p.98</w:t>
      </w:r>
    </w:p>
    <w:p w:rsidR="00A31137" w:rsidRPr="00A31137" w:rsidRDefault="00A31137" w:rsidP="00A31137">
      <w:r w:rsidRPr="00A31137">
        <w:t>I just told the Speaker the equal time doctrine is alive and well. [Laughter]</w:t>
      </w:r>
    </w:p>
    <w:p w:rsidR="00A31137" w:rsidRPr="00A31137" w:rsidRDefault="00A31137" w:rsidP="00A31137">
      <w:r w:rsidRPr="00A31137">
        <w:t>Clinton, State of the Union Address, 1995, p.98</w:t>
      </w:r>
    </w:p>
    <w:p w:rsidR="00A31137" w:rsidRPr="00A31137" w:rsidRDefault="00A31137" w:rsidP="00A31137">
      <w:r w:rsidRPr="00A31137">
        <w:t>The New Covenant approach to governing is as different from the old bureaucratic way as the computer is from the manual typewriter. The old way of governing around here protected organized interests. We should look out for the interests of ordinary people. The old way divided us by interest, constituency, or class. The New Covenant way should unite us behind a common vision of what's best for our country. The old way dispensed services through large, top-down, inflexible bureaucracies. The New Covenant way should shift these resources and decisionmaking from bureaucrats to citizens, injecting choice and competition and individual responsibility into national policy. The old way of governing around here actually seemed to reward failure. The New Covenant way should have built-in incentives to reward success. The old way was centralized here in Washington. The New Covenant way must take hold in the communities all across America. And we should help them to do that.</w:t>
      </w:r>
    </w:p>
    <w:p w:rsidR="00A31137" w:rsidRPr="00A31137" w:rsidRDefault="00A31137" w:rsidP="00A31137">
      <w:r w:rsidRPr="00A31137">
        <w:t>Clinton, State of the Union Address, 1995, p.98</w:t>
      </w:r>
    </w:p>
    <w:p w:rsidR="00A31137" w:rsidRPr="00A31137" w:rsidRDefault="00A31137" w:rsidP="00A31137">
      <w:r w:rsidRPr="00A31137">
        <w:t>Our job here is to expand opportunity, not bureaucracy, to empower people to make the most of their own lives, and to enhance our security here at home and abroad. We must not ask Government to do what we should do for ourselves. We should rely on Government as a partner to help us to do more for ourselves and for each other.</w:t>
      </w:r>
    </w:p>
    <w:p w:rsidR="00A31137" w:rsidRPr="00A31137" w:rsidRDefault="00A31137" w:rsidP="00A31137">
      <w:r w:rsidRPr="00A31137">
        <w:t>Clinton, State of the Union Address, 1995, p.98</w:t>
      </w:r>
    </w:p>
    <w:p w:rsidR="00A31137" w:rsidRPr="00A31137" w:rsidRDefault="00A31137" w:rsidP="00A31137">
      <w:r w:rsidRPr="00A31137">
        <w:t>I hope very much that as we debate these specific and exciting matters, we can go beyond the sterile discussion between the illusion that there is somehow a program for every problem, on the one hand, and the other illusion that the Government is a source of every problem we have. Our job is to get rid of yesterday's Government so that our own people can meet today's and tomorrow's needs. And we ought to do it together.</w:t>
      </w:r>
    </w:p>
    <w:p w:rsidR="00A31137" w:rsidRPr="00A31137" w:rsidRDefault="00A31137" w:rsidP="00A31137">
      <w:r w:rsidRPr="00A31137">
        <w:t>Clinton, State of the Union Address, 1995, p.98</w:t>
      </w:r>
    </w:p>
    <w:p w:rsidR="00A31137" w:rsidRPr="00A31137" w:rsidRDefault="00A31137" w:rsidP="00A31137">
      <w:r w:rsidRPr="00A31137">
        <w:t>You know, for years before I became President, I heard others say they would cut Government and how bad it was, but not much happened. We actually did it. We cut over a quarter of a trillion dollars in spending, more than 300 domestic programs, more than 100,000 positions from the Federal bureaucracy in the last 2 years alone. Based on decisions already made, we will have cut a total of more than a quarter of a million positions from the Federal Government, making it the smallest it has been since John Kennedy was President, by the time I come here again next year.</w:t>
      </w:r>
    </w:p>
    <w:p w:rsidR="00A31137" w:rsidRPr="00A31137" w:rsidRDefault="00A31137" w:rsidP="00A31137">
      <w:r w:rsidRPr="00A31137">
        <w:t>Clinton, State of the Union Address, 1995, p.98</w:t>
      </w:r>
    </w:p>
    <w:p w:rsidR="00A31137" w:rsidRPr="00A31137" w:rsidRDefault="00A31137" w:rsidP="00A31137">
      <w:r w:rsidRPr="00A31137">
        <w:t>Under the leadership of Vice President Gore, our initiatives have already saved taxpayers $63 billion. The age of the $500 hammer and the ashtray you can break on "David Letterman" is gone. Deadwood programs, like mohair subsidies, are gone. We've streamlined the Agriculture Department by [p.99] reducing it by more than 1,200 offices. We've slashed the small business loan form from an inch thick to a single page. We've thrown away the Government's 10,000-page personnel manual.</w:t>
      </w:r>
    </w:p>
    <w:p w:rsidR="00A31137" w:rsidRPr="00A31137" w:rsidRDefault="00A31137" w:rsidP="00A31137">
      <w:r w:rsidRPr="00A31137">
        <w:t>Clinton, State of the Union Address, 1995, p.99</w:t>
      </w:r>
    </w:p>
    <w:p w:rsidR="00A31137" w:rsidRPr="00A31137" w:rsidRDefault="00A31137" w:rsidP="00A31137">
      <w:r w:rsidRPr="00A31137">
        <w:t>And the Government is working better in important ways: FEMA, the Federal Emergency Management Agency, has gone from being a disaster to helping people in disasters. You can ask the farmers in the Middle West who fought the flood there or the people in California who have dealt with floods and earthquakes and fires, and they'll tell you that. Government workers, working hand in hand with private business, rebuilt southern California's fractured freeways in record time and under budget. And because the Federal Government moved fast, all but one of the 5,600 schools damaged in the earthquake are back in business.</w:t>
      </w:r>
    </w:p>
    <w:p w:rsidR="00A31137" w:rsidRPr="00A31137" w:rsidRDefault="00A31137" w:rsidP="00A31137">
      <w:r w:rsidRPr="00A31137">
        <w:t>Clinton, State of the Union Address, 1995, p.99</w:t>
      </w:r>
    </w:p>
    <w:p w:rsidR="00A31137" w:rsidRPr="00A31137" w:rsidRDefault="00A31137" w:rsidP="00A31137">
      <w:r w:rsidRPr="00A31137">
        <w:t>Now, there are a lot of other things that I could talk about. I want to just mention one because it will be discussed here in the next few weeks. University administrators all over the country have told me that they are saving weeks and weeks of bureaucratic time now because of our direct college loan program, which makes college loans cheaper and more affordable with better repayment terms for students, costs the Government less, and cuts out paperwork and bureaucracy for the Government and for the universities. We shouldn't cap that program. We should give every college in America the opportunity to be a part of it.</w:t>
      </w:r>
    </w:p>
    <w:p w:rsidR="00A31137" w:rsidRPr="00A31137" w:rsidRDefault="00A31137" w:rsidP="00A31137">
      <w:r w:rsidRPr="00A31137">
        <w:t>Clinton, State of the Union Address, 1995, p.99</w:t>
      </w:r>
    </w:p>
    <w:p w:rsidR="00A31137" w:rsidRPr="00A31137" w:rsidRDefault="00A31137" w:rsidP="00A31137">
      <w:r w:rsidRPr="00A31137">
        <w:t>Previous Government programs gathered dust. The reinventing Government report is getting results. And we're not through. There's going to be a second round of reinventing Government. We propose to cut $130 billion in spending by shrinking departments, extending our freeze on domestic spending, cutting 60 public housing programs down to 3, getting rid of over 100 programs we do not need, like the Interstate Commerce Commission and the Helium Reserve Program. And we're working on getting rid of unnecessary regulations and making them more sensible. The programs and regulations that have outlived their usefulness should go. We have to cut yesterday's Government to help solve tomorrow's problems.</w:t>
      </w:r>
    </w:p>
    <w:p w:rsidR="00A31137" w:rsidRPr="00A31137" w:rsidRDefault="00A31137" w:rsidP="00A31137">
      <w:r w:rsidRPr="00A31137">
        <w:t>Clinton, State of the Union Address, 1995, p.99</w:t>
      </w:r>
    </w:p>
    <w:p w:rsidR="00A31137" w:rsidRPr="00A31137" w:rsidRDefault="00A31137" w:rsidP="00A31137">
      <w:r w:rsidRPr="00A31137">
        <w:t>And we need to get Government closer to the people it's meant to serve. We need to help move programs down to the point where States and communities and private citizens in the private sector can do a better job. If they can do it, we ought to let them do it. We should get out of the way and let them do what they can do better. Taking power away from Federal bureaucracies and giving it back to communities and individuals is something everyone should be able to be for.</w:t>
      </w:r>
    </w:p>
    <w:p w:rsidR="00A31137" w:rsidRPr="00A31137" w:rsidRDefault="00A31137" w:rsidP="00A31137">
      <w:r w:rsidRPr="00A31137">
        <w:t>Clinton, State of the Union Address, 1995, p.99</w:t>
      </w:r>
    </w:p>
    <w:p w:rsidR="00A31137" w:rsidRPr="00A31137" w:rsidRDefault="00A31137" w:rsidP="00A31137">
      <w:r w:rsidRPr="00A31137">
        <w:t>It's time for Congress to stop passing on to the States the cost of decisions we make here in Washington. I know there are still serious differences over the details of the unfunded mandates legislation, but I want to work with you to make sure we pass a reasonable bill which will protect the national interests and give justified relief where we need to give it.</w:t>
      </w:r>
    </w:p>
    <w:p w:rsidR="00A31137" w:rsidRPr="00A31137" w:rsidRDefault="00A31137" w:rsidP="00A31137">
      <w:r w:rsidRPr="00A31137">
        <w:t>Clinton, State of the Union Address, 1995, p.99</w:t>
      </w:r>
    </w:p>
    <w:p w:rsidR="00A31137" w:rsidRPr="00A31137" w:rsidRDefault="00A31137" w:rsidP="00A31137">
      <w:r w:rsidRPr="00A31137">
        <w:t>For years, Congress concealed in the budget scores of pet spending projects. Last year was no difference. There was a $1 million to study stress in plants and $12 million for a tick removal program that didn't work. It's hard to remove ticks. Those of us who have had them know. [Laughter] But I'll tell you something, if you'll give me line-item veto, I'll remove some of that unnecessary spending.</w:t>
      </w:r>
    </w:p>
    <w:p w:rsidR="00A31137" w:rsidRPr="00A31137" w:rsidRDefault="00A31137" w:rsidP="00A31137">
      <w:r w:rsidRPr="00A31137">
        <w:t>Clinton, State of the Union Address, 1995, p.99</w:t>
      </w:r>
    </w:p>
    <w:p w:rsidR="00A31137" w:rsidRPr="00A31137" w:rsidRDefault="00A31137" w:rsidP="00A31137">
      <w:r w:rsidRPr="00A31137">
        <w:t>But I think we should all remember, and almost all of us would agree, that Government still has important responsibilities. Our young people—we should think of this when we cut—our young people hold our future in their hands. We still owe a debt to our veterans. And our senior citizens have made us what we are. Now, my budget cuts a lot. But it protects education, veterans, Social Security, and Medicare, and I hope you will do the same thing. You should, and I hope you will.</w:t>
      </w:r>
    </w:p>
    <w:p w:rsidR="00A31137" w:rsidRPr="00A31137" w:rsidRDefault="00A31137" w:rsidP="00A31137">
      <w:r w:rsidRPr="00A31137">
        <w:t>Clinton, State of the Union Address, 1995, p.99</w:t>
      </w:r>
    </w:p>
    <w:p w:rsidR="00A31137" w:rsidRPr="00A31137" w:rsidRDefault="00A31137" w:rsidP="00A31137">
      <w:r w:rsidRPr="00A31137">
        <w:t>And when we give more flexibility to the States, let us remember that there are certain fundamental national needs that should be addressed in every State, North and South, East and West: Immunization against childhood disease, school lunches in all our schools, Head Start, medical care and nutrition for pregnant women and infants—[applause]—medical care and nutrition for pregnant [p.100] women and infants, all these things, all these things are in the national interest.</w:t>
      </w:r>
    </w:p>
    <w:p w:rsidR="00A31137" w:rsidRPr="00A31137" w:rsidRDefault="00A31137" w:rsidP="00A31137">
      <w:r w:rsidRPr="00A31137">
        <w:t>Clinton, State of the Union Address, 1995, p.100</w:t>
      </w:r>
    </w:p>
    <w:p w:rsidR="00A31137" w:rsidRPr="00A31137" w:rsidRDefault="00A31137" w:rsidP="00A31137">
      <w:r w:rsidRPr="00A31137">
        <w:t>I applaud your desire to get rid of costly and unnecessary regulations. But when we deregulate, let's remember what national action in the national interest has given us: safer food for our families, safer toys for our children, safer nursing homes for our parents, safer cars and highways, and safer workplaces, cleaner air, and cleaner water. Do we need common sense and fairness in our regulations? You bet we do. But we can have common sense and still provide for safe drinking water. We can have fairness and still clean up toxic dumps, and we ought to do it.</w:t>
      </w:r>
    </w:p>
    <w:p w:rsidR="00A31137" w:rsidRPr="00A31137" w:rsidRDefault="00A31137" w:rsidP="00A31137">
      <w:r w:rsidRPr="00A31137">
        <w:t>Clinton, State of the Union Address, 1995, p.100</w:t>
      </w:r>
    </w:p>
    <w:p w:rsidR="00A31137" w:rsidRPr="00A31137" w:rsidRDefault="00A31137" w:rsidP="00A31137">
      <w:r w:rsidRPr="00A31137">
        <w:t>Should we cut the deficit more? Well, of course we should. Of course we should. But we can bring it down in a way that still protects our economic recovery and does not unduly punish people who should not be punished but instead should be helped.</w:t>
      </w:r>
    </w:p>
    <w:p w:rsidR="00A31137" w:rsidRPr="00A31137" w:rsidRDefault="00A31137" w:rsidP="00A31137">
      <w:r w:rsidRPr="00A31137">
        <w:t>Clinton, State of the Union Address, 1995, p.100</w:t>
      </w:r>
    </w:p>
    <w:p w:rsidR="00A31137" w:rsidRPr="00A31137" w:rsidRDefault="00A31137" w:rsidP="00A31137">
      <w:r w:rsidRPr="00A31137">
        <w:t>I know many of you in this Chamber support the balanced budget amendment. I certainly want to balance the budget. Our administration has done more to bring the budget down and to save money than any in a very, very long time. If you believe passing this amendment is the right thing to do, then you have to be straight with the American people. They have a right to know what you're going to cut, what taxes you're going to raise, and how it's going to affect them. We should be doing things in the open around here. For example, everybody ought to know if this proposal is going to endanger Social Security. I would oppose that, and I think most Americans would.</w:t>
      </w:r>
    </w:p>
    <w:p w:rsidR="00A31137" w:rsidRPr="00A31137" w:rsidRDefault="00A31137" w:rsidP="00A31137">
      <w:r w:rsidRPr="00A31137">
        <w:t>Clinton, State of the Union Address, 1995, p.100</w:t>
      </w:r>
    </w:p>
    <w:p w:rsidR="00A31137" w:rsidRPr="00A31137" w:rsidRDefault="00A31137" w:rsidP="00A31137">
      <w:r w:rsidRPr="00A31137">
        <w:t>Nothing has done more to undermine our sense of common responsibility than our failed welfare system. This is one of the problems we have to face here in Washington in our New Covenant. It rewards welfare over work. It undermines family values. It lets millions of parents get away without paying their child support. It keeps a minority but a significant minority of the people on welfare trapped on it for a very long time.</w:t>
      </w:r>
    </w:p>
    <w:p w:rsidR="00A31137" w:rsidRPr="00A31137" w:rsidRDefault="00A31137" w:rsidP="00A31137">
      <w:r w:rsidRPr="00A31137">
        <w:t>Clinton, State of the Union Address, 1995, p.100</w:t>
      </w:r>
    </w:p>
    <w:p w:rsidR="00A31137" w:rsidRPr="00A31137" w:rsidRDefault="00A31137" w:rsidP="00A31137">
      <w:r w:rsidRPr="00A31137">
        <w:t>I've worked on this problem for a long time, nearly 15 years now. As a Governor, I had the honor of working with the Reagan administration to write the last welfare reform bill back in 1988. In the last 2 years, we made a good start at continuing the work of welfare reform. Our administration gave two dozen States the right to slash through Federal rules and regulations to reform their own welfare systems and to try to promote work and responsibility over welfare and dependency.</w:t>
      </w:r>
    </w:p>
    <w:p w:rsidR="00A31137" w:rsidRPr="00A31137" w:rsidRDefault="00A31137" w:rsidP="00A31137">
      <w:r w:rsidRPr="00A31137">
        <w:t>Clinton, State of the Union Address, 1995, p.100</w:t>
      </w:r>
    </w:p>
    <w:p w:rsidR="00A31137" w:rsidRPr="00A31137" w:rsidRDefault="00A31137" w:rsidP="00A31137">
      <w:r w:rsidRPr="00A31137">
        <w:t>Last year I introduced the most sweeping welfare reform plan ever presented by an administration. We have to make welfare what it was meant to be, a second chance, not a way of life. We have to help those on welfare move to work as quickly as possible, to provide child care and teach them skills, if that's what they need, for up to 2 years. And after that, there ought to be a simple, hard rule: Anyone who can work must go to work. If a parent isn't paying child support, they should be forced to pay. We should suspend drivers' license, track them across State lines, make them work off what they owe. That is what we should do. Governments do not raise children, people do. And the parents must take responsibility for the children they bring into this world.</w:t>
      </w:r>
    </w:p>
    <w:p w:rsidR="00A31137" w:rsidRPr="00A31137" w:rsidRDefault="00A31137" w:rsidP="00A31137">
      <w:r w:rsidRPr="00A31137">
        <w:t>Clinton, State of the Union Address, 1995, p.100</w:t>
      </w:r>
    </w:p>
    <w:p w:rsidR="00A31137" w:rsidRPr="00A31137" w:rsidRDefault="00A31137" w:rsidP="00A31137">
      <w:r w:rsidRPr="00A31137">
        <w:t>I want to work with you, with all of you, to pass welfare reform. But our goal must be to liberate people and lift them up from dependence to independence, from welfare to work, from mere childbearing to responsible parenting. Our goal should not be to punish them because they happen to be poor.</w:t>
      </w:r>
    </w:p>
    <w:p w:rsidR="00A31137" w:rsidRPr="00A31137" w:rsidRDefault="00A31137" w:rsidP="00A31137">
      <w:r w:rsidRPr="00A31137">
        <w:t>Clinton, State of the Union Address, 1995, p.100</w:t>
      </w:r>
    </w:p>
    <w:p w:rsidR="00A31137" w:rsidRPr="00A31137" w:rsidRDefault="00A31137" w:rsidP="00A31137">
      <w:r w:rsidRPr="00A31137">
        <w:t>We should, we should require work and mutual responsibility. But we shouldn't cut people off just because they're poor, they're young, or even because they're unmarried. We should promote responsibility by requiring young mothers to live at home with their parents or in other supervised settings, by requiring them to finish school. But we shouldn't put them and their children out on the street. And I know all the arguments, pro and con, and I have read and thought about this for a long time. I still don't think we can in good conscience punish poor children for the mistakes of their parents.</w:t>
      </w:r>
    </w:p>
    <w:p w:rsidR="00A31137" w:rsidRPr="00A31137" w:rsidRDefault="00A31137" w:rsidP="00A31137">
      <w:r w:rsidRPr="00A31137">
        <w:t>Clinton, State of the Union Address, 1995, p.100</w:t>
      </w:r>
    </w:p>
    <w:p w:rsidR="00A31137" w:rsidRPr="00A31137" w:rsidRDefault="00A31137" w:rsidP="00A31137">
      <w:r w:rsidRPr="00A31137">
        <w:t>My fellow Americans, every single survey shows that all the American people care about this without regard to party or race or region. So let this be the year we end welfare as we know it. But also let this be the year that we are all able to stop using this issue to divide America. No one is more [p.101] eager to end welfare—[applause]—I may be the only President who has actually had the opportunity to sit in a welfare office, who's actually spent hours and hours talking to people on welfare. And I am telling you, the people who are trapped on it know it doesn't work; they also want to get off. So we can promote, together, education and work and good parenting. I have no problem with punishing bad behavior or the refusal to be a worker or a student or a responsible parent. I just don't want to punish poverty and past mistakes. All of us have made our mistakes, and none of us can change our yesterdays. But every one of us can change our tomorrows. And America's best example of that may be Lynn Woolsey, who worked her way off welfare to become a Congresswoman from the State of California.</w:t>
      </w:r>
    </w:p>
    <w:p w:rsidR="00A31137" w:rsidRPr="00A31137" w:rsidRDefault="00A31137" w:rsidP="00A31137">
      <w:r w:rsidRPr="00A31137">
        <w:t>Clinton, State of the Union Address, 1995, p.101</w:t>
      </w:r>
    </w:p>
    <w:p w:rsidR="00A31137" w:rsidRPr="00A31137" w:rsidRDefault="00A31137" w:rsidP="00A31137">
      <w:r w:rsidRPr="00A31137">
        <w:t>I know the Members of this Congress are concerned about crime, as are all the citizens of our country. And I remind you that last year we passed a very tough crime bill: longer sentences, "three strikes and you're out," almost 60 new capital punishment offenses, more prisons, more prevention, 100,000 more police. And we paid for it all by reducing the size of the Federal bureaucracy and giving the money back to local communities to lower the crime rate.</w:t>
      </w:r>
    </w:p>
    <w:p w:rsidR="00A31137" w:rsidRPr="00A31137" w:rsidRDefault="00A31137" w:rsidP="00A31137">
      <w:r w:rsidRPr="00A31137">
        <w:t>Clinton, State of the Union Address, 1995, p.101</w:t>
      </w:r>
    </w:p>
    <w:p w:rsidR="00A31137" w:rsidRPr="00A31137" w:rsidRDefault="00A31137" w:rsidP="00A31137">
      <w:r w:rsidRPr="00A31137">
        <w:t>There may be other things we can do to be tougher on crime, to be smarter with crime, to help to lower that rate first. Well, if there are, let's talk about them, and let's do them. But let's not go back on the things that we did last year that we know work, that we know work because the local law enforcement officers tell us that we did the right thing, because local community leaders who have worked for years and years to lower the crime rate tell us that they work. Let's look at the experience of our cities and our rural areas where the crime rate has gone down and ask the people who did it how they did it. And if what we did last year supports the decline in the crime rate—and I am convinced that it does—let us not go back on it. Let's stick with it, implement it. We've got 4 more hard years of work to do to do that.</w:t>
      </w:r>
    </w:p>
    <w:p w:rsidR="00A31137" w:rsidRPr="00A31137" w:rsidRDefault="00A31137" w:rsidP="00A31137">
      <w:r w:rsidRPr="00A31137">
        <w:t>Clinton, State of the Union Address, 1995, p.101</w:t>
      </w:r>
    </w:p>
    <w:p w:rsidR="00A31137" w:rsidRPr="00A31137" w:rsidRDefault="00A31137" w:rsidP="00A31137">
      <w:r w:rsidRPr="00A31137">
        <w:t>I don't want to destroy the good atmosphere in the room or in the country tonight, but I have to mention one issue that divided this body greatly last year. The last Congress also passed the Brady bill and, in the crime bill, the ban on 19 assault weapons. I don't think it's a secret to anybody in this room that several Members of the last Congress who voted for that aren't here tonight because they voted for it. And I know, therefore, that some of you who are here because they voted for it are under enormous pressure to repeal it. I just have to tell you how I feel about it.</w:t>
      </w:r>
    </w:p>
    <w:p w:rsidR="00A31137" w:rsidRPr="00A31137" w:rsidRDefault="00A31137" w:rsidP="00A31137">
      <w:r w:rsidRPr="00A31137">
        <w:t>Clinton, State of the Union Address, 1995, p.101</w:t>
      </w:r>
    </w:p>
    <w:p w:rsidR="00A31137" w:rsidRPr="00A31137" w:rsidRDefault="00A31137" w:rsidP="00A31137">
      <w:r w:rsidRPr="00A31137">
        <w:t>The Members of Congress who voted for that bill and I would never do anything to infringe on the right to keep and bear arms to hunt and to engage in other appropriate sporting activities. I've done it since I was a boy, and I'm going to keep right on doing it until I can't do it anymore. But a lot of people laid down their seats in Congress so that police officers and kids wouldn't have to lay down their lives under a hail of assault weapon attack, and I will not let that be repealed. I will not let it be repealed.</w:t>
      </w:r>
    </w:p>
    <w:p w:rsidR="00A31137" w:rsidRPr="00A31137" w:rsidRDefault="00A31137" w:rsidP="00A31137">
      <w:r w:rsidRPr="00A31137">
        <w:t>Clinton, State of the Union Address, 1995, p.101</w:t>
      </w:r>
    </w:p>
    <w:p w:rsidR="00A31137" w:rsidRPr="00A31137" w:rsidRDefault="00A31137" w:rsidP="00A31137">
      <w:r w:rsidRPr="00A31137">
        <w:t>I'd like to talk about a couple of other issues we have to deal with. I want us to cut more spending, but I hope we won't cut Government programs that help to prepare us for the new economy, promote responsibility, and are organized from the grassroots up, not by Federal bureaucracy. The very best example of this is the national service corps, AmeriCorps. It passed with strong bipartisan support. And now there are 20,000 Americans, more than ever served in one year in the Peace Corps, working all over this country, helping people person-to-person in local grassroots volunteer groups, solving problems, and in the process earning some money for their education. This is citizenship at its best. It's good for the AmeriCorps members, but it's good for the rest of us, too. It's the essence of the New Covenant, and we shouldn't stop it.</w:t>
      </w:r>
    </w:p>
    <w:p w:rsidR="00A31137" w:rsidRPr="00A31137" w:rsidRDefault="00A31137" w:rsidP="00A31137">
      <w:r w:rsidRPr="00A31137">
        <w:t>Clinton, State of the Union Address, 1995, p.101</w:t>
      </w:r>
    </w:p>
    <w:p w:rsidR="00A31137" w:rsidRPr="00A31137" w:rsidRDefault="00A31137" w:rsidP="00A31137">
      <w:r w:rsidRPr="00A31137">
        <w:t>All Americans, not only in the States most heavily affected but in every place in this country, are rightly disturbed by the large numbers of illegal aliens entering our country. The jobs they hold might otherwise be held by citizens or legal immigrants. The public service they use impose burdens on our taxpayers. That's why our administration has moved aggressively to secure our borders more by hiring a record number of new border [p.102] guards, by deporting twice as many criminal aliens as ever before, by cracking down on illegal hiring, by barring welfare benefits to illegal aliens. In the budget I will present to you, we will try to do more to speed the deportation of illegal aliens who are arrested for crimes, to better identify illegal aliens in the workplace as recommended by the commission headed by former Congresswoman Barbara Jordan. We are a nation of immigrants. But we are also a nation of laws. It is wrong and ultimately self-defeating for a nation of immigrants to permit the kind of abuse of our immigration laws we have seen in recent years, and we must do more to stop it.</w:t>
      </w:r>
    </w:p>
    <w:p w:rsidR="00A31137" w:rsidRPr="00A31137" w:rsidRDefault="00A31137" w:rsidP="00A31137">
      <w:r w:rsidRPr="00A31137">
        <w:t>Clinton, State of the Union Address, 1995, p.102</w:t>
      </w:r>
    </w:p>
    <w:p w:rsidR="00A31137" w:rsidRPr="00A31137" w:rsidRDefault="00A31137" w:rsidP="00A31137">
      <w:r w:rsidRPr="00A31137">
        <w:t>The most important job of our Government in this new era is to empower the American people to succeed in the global economy. America has always been a land of opportunity, a land where, if you work hard, you can get ahead. We've become a great middle class country. Middle class values sustain us. We must expand that middle class and shrink the underclass, even as we do everything we can to support the millions of Americans who are already successful in the new economy.</w:t>
      </w:r>
    </w:p>
    <w:p w:rsidR="00A31137" w:rsidRPr="00A31137" w:rsidRDefault="00A31137" w:rsidP="00A31137">
      <w:r w:rsidRPr="00A31137">
        <w:t>Clinton, State of the Union Address, 1995, p.102</w:t>
      </w:r>
    </w:p>
    <w:p w:rsidR="00A31137" w:rsidRPr="00A31137" w:rsidRDefault="00A31137" w:rsidP="00A31137">
      <w:r w:rsidRPr="00A31137">
        <w:t>America is once again the world's strongest economic power: almost 6 million new jobs in the last 2 years, exports booming, inflation down. High-wage jobs are coming back. A record number of American entrepreneurs are living the American dream. If we want it to stay that way, those who work and lift our Nation must have more of its benefits.</w:t>
      </w:r>
    </w:p>
    <w:p w:rsidR="00A31137" w:rsidRPr="00A31137" w:rsidRDefault="00A31137" w:rsidP="00A31137">
      <w:r w:rsidRPr="00A31137">
        <w:t>Clinton, State of the Union Address, 1995, p.102</w:t>
      </w:r>
    </w:p>
    <w:p w:rsidR="00A31137" w:rsidRPr="00A31137" w:rsidRDefault="00A31137" w:rsidP="00A31137">
      <w:r w:rsidRPr="00A31137">
        <w:t>Today, too many of those people are being left out. They're working harder for less. They have less security, less income, less certainty that they can even afford a vacation, much less college for their kids or retirement for themselves. We cannot let this continue. If we don't act, our economy will probably keep doing what it's been doing since about 1978, when the income growth began to go to those at the very top of our economic scale and the people in the vast middle got very little growth, and people who worked like crazy but were on the bottom then fell even further and further behind in the years afterward, no matter how hard they worked.</w:t>
      </w:r>
    </w:p>
    <w:p w:rsidR="00A31137" w:rsidRPr="00A31137" w:rsidRDefault="00A31137" w:rsidP="00A31137">
      <w:r w:rsidRPr="00A31137">
        <w:t>Clinton, State of the Union Address, 1995, p.102</w:t>
      </w:r>
    </w:p>
    <w:p w:rsidR="00A31137" w:rsidRPr="00A31137" w:rsidRDefault="00A31137" w:rsidP="00A31137">
      <w:r w:rsidRPr="00A31137">
        <w:t>We've got to have a Government that can be a real partner in making this new economy work for all of our people, a Government that helps each and every one of us to get an education and to have the opportunity to renew our skills. That's why we worked so hard to increase educational opportunities in the last 2 years, from Head Start to public schools, to apprenticeships for young people who don't go to college, to making college loans more available and more affordable. That's the first thing we have to do. We've got to do something to empower people to improve their skills.</w:t>
      </w:r>
    </w:p>
    <w:p w:rsidR="00A31137" w:rsidRPr="00A31137" w:rsidRDefault="00A31137" w:rsidP="00A31137">
      <w:r w:rsidRPr="00A31137">
        <w:t>Clinton, State of the Union Address, 1995, p.102</w:t>
      </w:r>
    </w:p>
    <w:p w:rsidR="00A31137" w:rsidRPr="00A31137" w:rsidRDefault="00A31137" w:rsidP="00A31137">
      <w:r w:rsidRPr="00A31137">
        <w:t>The second thing we ought to do is to help people raise their incomes immediately by lowering their taxes. We took the first step in 1993 with a working family tax cut for 15 million families with incomes under $27,000, a tax cut that this year will average about $1,000 a family. And we also gave tax reductions to most small and new businesses. Before we could do more than that, we first had to bring down the deficit we inherited, and we had to get economic growth up. Now we've done both. And now we can cut taxes in a more comprehensive way. But tax cuts should reinforce and promote our first obligation: to empower our citizens through education and training to make the most of their own lives. The spotlight should shine on those who make the right choices for themselves, their families, and their communities.</w:t>
      </w:r>
    </w:p>
    <w:p w:rsidR="00A31137" w:rsidRPr="00A31137" w:rsidRDefault="00A31137" w:rsidP="00A31137">
      <w:r w:rsidRPr="00A31137">
        <w:t>Clinton, State of the Union Address, 1995, p.102</w:t>
      </w:r>
    </w:p>
    <w:p w:rsidR="00A31137" w:rsidRPr="00A31137" w:rsidRDefault="00A31137" w:rsidP="00A31137">
      <w:r w:rsidRPr="00A31137">
        <w:t>I have proposed the middle class bill of rights, which should properly be called the bill of rights and responsibilities because its provisions only benefit those who are working to educate and raise their children and to educate themselves. It will, therefore, give needed tax relief and raise incomes in both the short run and the long run in a way that benefits all of us.</w:t>
      </w:r>
    </w:p>
    <w:p w:rsidR="00A31137" w:rsidRPr="00A31137" w:rsidRDefault="00A31137" w:rsidP="00A31137">
      <w:r w:rsidRPr="00A31137">
        <w:t>Clinton, State of the Union Address, 1995, p.102</w:t>
      </w:r>
    </w:p>
    <w:p w:rsidR="00A31137" w:rsidRPr="00A31137" w:rsidRDefault="00A31137" w:rsidP="00A31137">
      <w:r w:rsidRPr="00A31137">
        <w:t>There are four provisions. First, a tax deduction for all education and training after high school. If you think about it, we permit businesses to deduct their investment, we permit individuals to deduct interest on their home mortgages, but today an education is even more important to the economic well-being of our whole country than even those things are. We should do everything we can to encourage it. And I hope you will support it. Second, we ought to cut taxes $500 for families with children under 13. Third, we ought to foster more savings and personal responsibility [p.103] by permitting people to establish an individual retirement account and withdraw from it tax free for the cost of education, health care, first-time homebuying, or the care of a parent. And fourth, we should pass a GI bill for America's workers. We propose to collapse nearly 70 Federal programs and not give the money to the States but give the money directly to the American people, offer vouchers to them so that they, if they're laid off or if they're working for a very low wage, can get a voucher worth $2,600 a year for up to 2 years to go to their local community colleges or wherever else they want to get the skills they need to improve their lives. Let's empower people in this way, move it from the Government directly to the workers of America.</w:t>
      </w:r>
    </w:p>
    <w:p w:rsidR="00A31137" w:rsidRPr="00A31137" w:rsidRDefault="00A31137" w:rsidP="00A31137">
      <w:r w:rsidRPr="00A31137">
        <w:t>Clinton, State of the Union Address, 1995, p.103</w:t>
      </w:r>
    </w:p>
    <w:p w:rsidR="00A31137" w:rsidRPr="00A31137" w:rsidRDefault="00A31137" w:rsidP="00A31137">
      <w:r w:rsidRPr="00A31137">
        <w:t>Now, any one of us can call for a tax cut, but I won't accept one that explodes the deficit or puts our recovery at risk. We ought to pay for our tax cuts fully and honestly.</w:t>
      </w:r>
    </w:p>
    <w:p w:rsidR="00A31137" w:rsidRPr="00A31137" w:rsidRDefault="00A31137" w:rsidP="00A31137">
      <w:r w:rsidRPr="00A31137">
        <w:t>Clinton, State of the Union Address, 1995, p.103</w:t>
      </w:r>
    </w:p>
    <w:p w:rsidR="00A31137" w:rsidRPr="00A31137" w:rsidRDefault="00A31137" w:rsidP="00A31137">
      <w:r w:rsidRPr="00A31137">
        <w:t>Just 2 years ago, it was an open question whether we would find the strength to cut the deficit. Thanks to the courage of the people who were here then, many of whom didn't return, we did cut the deficit. We began to do what others said would not be done. We cut the deficit by over $600 billion, about $10,000 for every family in this country. It's coming down 3 years in a row for the first time since Mr. Truman was President, and I don't think anybody in America wants us to let it explode again.</w:t>
      </w:r>
    </w:p>
    <w:p w:rsidR="00A31137" w:rsidRPr="00A31137" w:rsidRDefault="00A31137" w:rsidP="00A31137">
      <w:r w:rsidRPr="00A31137">
        <w:t>Clinton, State of the Union Address, 1995, p.103</w:t>
      </w:r>
    </w:p>
    <w:p w:rsidR="00A31137" w:rsidRPr="00A31137" w:rsidRDefault="00A31137" w:rsidP="00A31137">
      <w:r w:rsidRPr="00A31137">
        <w:t>In the budget I will send you, the middle class bill of rights is fully paid for by budget cuts in bureaucracy, cuts in programs, cuts in special interest subsidies. And the spending cuts will more than double the tax cuts. My budget pays for the middle class bill of rights without any cuts in Medicare. And I will oppose any attempts to pay for tax cuts with Medicare cuts. That's not the right thing to do.</w:t>
      </w:r>
    </w:p>
    <w:p w:rsidR="00A31137" w:rsidRPr="00A31137" w:rsidRDefault="00A31137" w:rsidP="00A31137">
      <w:r w:rsidRPr="00A31137">
        <w:t>Clinton, State of the Union Address, 1995, p.103</w:t>
      </w:r>
    </w:p>
    <w:p w:rsidR="00A31137" w:rsidRPr="00A31137" w:rsidRDefault="00A31137" w:rsidP="00A31137">
      <w:r w:rsidRPr="00A31137">
        <w:t>I know that a lot of you have your own ideas about tax relief, and some of them I find quite interesting. I really want to work with all of you. My test for our proposals will be: Will it create jobs and raise incomes; will it strengthen our families and support our children; is it paid for; will it build the middle class and shrink the underclass? If it does, I'll support it. But if it doesn't, I won't.</w:t>
      </w:r>
    </w:p>
    <w:p w:rsidR="00A31137" w:rsidRPr="00A31137" w:rsidRDefault="00A31137" w:rsidP="00A31137">
      <w:r w:rsidRPr="00A31137">
        <w:t>Clinton, State of the Union Address, 1995, p.103</w:t>
      </w:r>
    </w:p>
    <w:p w:rsidR="00A31137" w:rsidRPr="00A31137" w:rsidRDefault="00A31137" w:rsidP="00A31137">
      <w:r w:rsidRPr="00A31137">
        <w:t>The goal of building the middle class and shrinking the underclass is also why I believe that you should raise the minimum wage. It rewards work. Two and a half million Americans, two and a half million Americans, often women with children, are working out there today for $4.25 an hour. In terms of real buying power, by next year that minimum wage will be at a 40-year low. That's not my idea of how the new economy ought to work.</w:t>
      </w:r>
    </w:p>
    <w:p w:rsidR="00A31137" w:rsidRPr="00A31137" w:rsidRDefault="00A31137" w:rsidP="00A31137">
      <w:r w:rsidRPr="00A31137">
        <w:t>Clinton, State of the Union Address, 1995, p.103</w:t>
      </w:r>
    </w:p>
    <w:p w:rsidR="00A31137" w:rsidRPr="00A31137" w:rsidRDefault="00A31137" w:rsidP="00A31137">
      <w:r w:rsidRPr="00A31137">
        <w:t>Now, I've studied the arguments and the evidence for and against a minimum wage increase. I believe the weight of the evidence is that a modest increase does not cost jobs and may even lure people back into the job market. But the most important thing is, you can't make a living on $4.25 an hour, especially if you have children, even with the working families tax cut we passed last year. In the past, the minimum wage has been a bipartisan issue, and I think it should be again. So I want to challenge you to have honest hearings on this, to get together, to find a way to make the minimum wage a living wage.</w:t>
      </w:r>
    </w:p>
    <w:p w:rsidR="00A31137" w:rsidRPr="00A31137" w:rsidRDefault="00A31137" w:rsidP="00A31137">
      <w:r w:rsidRPr="00A31137">
        <w:t>Clinton, State of the Union Address, 1995, p.103</w:t>
      </w:r>
    </w:p>
    <w:p w:rsidR="00A31137" w:rsidRPr="00A31137" w:rsidRDefault="00A31137" w:rsidP="00A31137">
      <w:r w:rsidRPr="00A31137">
        <w:t>Members of Congress have been here less than a month, but by the end of the week, 28 days into the new year, every Member of Congress will have earned as much in congressional salary as a minimum wage worker makes all year long.</w:t>
      </w:r>
    </w:p>
    <w:p w:rsidR="00A31137" w:rsidRPr="00A31137" w:rsidRDefault="00A31137" w:rsidP="00A31137">
      <w:r w:rsidRPr="00A31137">
        <w:t>Clinton, State of the Union Address, 1995, p.103</w:t>
      </w:r>
    </w:p>
    <w:p w:rsidR="00A31137" w:rsidRPr="00A31137" w:rsidRDefault="00A31137" w:rsidP="00A31137">
      <w:r w:rsidRPr="00A31137">
        <w:t>Everybody else here, including the President, has something else that too many Americans do without, and that's health care. Now, last year we almost came to blows over health care, but we didn't do anything. And the cold, hard fact is that, since last year, since I was here, another 1.1 million Americans in working families have lost their health care. And the cold, hard fact is that many millions more, most of them farmers and small business people and self-employed people, have seen their premiums skyrocket, their copays and deductibles go up. There's a whole bunch of people in this country that in the statistics have health insurance but really what they've got is a piece of paper that says they won't lose their home if they get sick.</w:t>
      </w:r>
    </w:p>
    <w:p w:rsidR="00A31137" w:rsidRPr="00A31137" w:rsidRDefault="00A31137" w:rsidP="00A31137">
      <w:r w:rsidRPr="00A31137">
        <w:t>Clinton, State of the Union Address, 1995, p.103</w:t>
      </w:r>
    </w:p>
    <w:p w:rsidR="00A31137" w:rsidRPr="00A31137" w:rsidRDefault="00A31137" w:rsidP="00A31137">
      <w:r w:rsidRPr="00A31137">
        <w:t>Now, I still believe our country has got to move toward providing health security for every American family. But I know that last year, as the evidence indicates, we bit off [p.104] more than we could chew. So I'm asking you that we work together. Let's do it step by step. Let's do whatever we have to do to get something done. Let's at least pass meaningful insurance reform so that no American risks losing coverage for facing skyrocketing prices, that nobody loses their coverage because they face high prices or unavailable insurance when they change jobs or lose a job or a family member gets sick.</w:t>
      </w:r>
    </w:p>
    <w:p w:rsidR="00A31137" w:rsidRPr="00A31137" w:rsidRDefault="00A31137" w:rsidP="00A31137">
      <w:r w:rsidRPr="00A31137">
        <w:t>Clinton, State of the Union Address, 1995, p.104</w:t>
      </w:r>
    </w:p>
    <w:p w:rsidR="00A31137" w:rsidRPr="00A31137" w:rsidRDefault="00A31137" w:rsidP="00A31137">
      <w:r w:rsidRPr="00A31137">
        <w:t>I want to work together with all of you who have an interest in this, with the Democrats who worked on it last time, with the Republican leaders like Senator Dole, who has a longtime commitment to health care reform and made some constructive proposals in this area last year. We ought to make sure that self-employed people in small businesses can buy insurance at more affordable rates through voluntary purchasing pools. We ought to help families provide long-term care for a sick parent or a disabled child. We can work to help workers who lose their jobs at least keep their health insurance coverage for a year while they look for work. And we can find a way—it may take some time, but we can find a way—to make sure that our children have health care.</w:t>
      </w:r>
    </w:p>
    <w:p w:rsidR="00A31137" w:rsidRPr="00A31137" w:rsidRDefault="00A31137" w:rsidP="00A31137">
      <w:r w:rsidRPr="00A31137">
        <w:t>Clinton, State of the Union Address, 1995, p.104</w:t>
      </w:r>
    </w:p>
    <w:p w:rsidR="00A31137" w:rsidRPr="00A31137" w:rsidRDefault="00A31137" w:rsidP="00A31137">
      <w:r w:rsidRPr="00A31137">
        <w:t>You know, I think everybody in this room, without regard to party, can be proud of the fact that our country was rated as having the world's most productive economy for the first time in nearly a decade. But we can't be proud of the fact that we're the only wealthy country in the world that has a smaller percentage of the work force and their children with health insurance today than we did 10 years ago, the last time we were the most productive economy in the world. So let's work together on this. It is too important for politics as usual.</w:t>
      </w:r>
    </w:p>
    <w:p w:rsidR="00A31137" w:rsidRPr="00A31137" w:rsidRDefault="00A31137" w:rsidP="00A31137">
      <w:r w:rsidRPr="00A31137">
        <w:t>Clinton, State of the Union Address, 1995, p.104</w:t>
      </w:r>
    </w:p>
    <w:p w:rsidR="00A31137" w:rsidRPr="00A31137" w:rsidRDefault="00A31137" w:rsidP="00A31137">
      <w:r w:rsidRPr="00A31137">
        <w:t>Much of what the American people are thinking about tonight is what we've already talked about. A lot of people think that the security concerns of America today are entirely internal to our borders. They relate to the security of our jobs and our homes and our incomes and our children, our streets, our health, and protecting those borders. Now that the cold war has passed, it's tempting to believe that all the security issues, with the possible exception of trade, reside here at home. But it's not so. Our security still depends upon our continued world leadership for peace and freedom and democracy. We still can't be strong at home unless we're strong abroad.</w:t>
      </w:r>
    </w:p>
    <w:p w:rsidR="00A31137" w:rsidRPr="00A31137" w:rsidRDefault="00A31137" w:rsidP="00A31137">
      <w:r w:rsidRPr="00A31137">
        <w:t>Clinton, State of the Union Address, 1995, p.104</w:t>
      </w:r>
    </w:p>
    <w:p w:rsidR="00A31137" w:rsidRPr="00A31137" w:rsidRDefault="00A31137" w:rsidP="00A31137">
      <w:r w:rsidRPr="00A31137">
        <w:t>The financial crisis in Mexico is a case in point. I know it's not popular to say it tonight, but we have to act, not for the Mexican people but for the sake of the millions of Americans whose livelihoods are tied to Mexico's well-being. If we want to secure American jobs, preserve American exports, safeguard America's borders, then we must pass the stabilization program and help to put Mexico back on track.</w:t>
      </w:r>
    </w:p>
    <w:p w:rsidR="00A31137" w:rsidRPr="00A31137" w:rsidRDefault="00A31137" w:rsidP="00A31137">
      <w:r w:rsidRPr="00A31137">
        <w:t>Clinton, State of the Union Address, 1995, p.104</w:t>
      </w:r>
    </w:p>
    <w:p w:rsidR="00A31137" w:rsidRPr="00A31137" w:rsidRDefault="00A31137" w:rsidP="00A31137">
      <w:r w:rsidRPr="00A31137">
        <w:t>Now let me repeat: It's not a loan; it's not foreign aid; it's not a bailout. We will be given a guarantee like cosigning a note, with good collateral that will cover our risks. This legislation is the right thing for America. That's why the bipartisan leadership has supported it. And I hope you in Congress will pass it quickly. It is in our interest, and we can explain it to the American people because we're going to do it in the right way.</w:t>
      </w:r>
    </w:p>
    <w:p w:rsidR="00A31137" w:rsidRPr="00A31137" w:rsidRDefault="00A31137" w:rsidP="00A31137">
      <w:r w:rsidRPr="00A31137">
        <w:t>Clinton, State of the Union Address, 1995, p.104</w:t>
      </w:r>
    </w:p>
    <w:p w:rsidR="00A31137" w:rsidRPr="00A31137" w:rsidRDefault="00A31137" w:rsidP="00A31137">
      <w:r w:rsidRPr="00A31137">
        <w:t>You know, tonight, this is the first State of the Union Address ever delivered since the beginning of the cold war when not a single Russian missile is pointed at the children of America. And along with the Russians, we're on our way to destroying the missiles and the bombers that carry 9,000 nuclear warheads. We've come so far so fast in this post-cold-war world that it's easy to take the decline of the nuclear threat for granted. But it's still there, and we aren't finished yet.</w:t>
      </w:r>
    </w:p>
    <w:p w:rsidR="00A31137" w:rsidRPr="00A31137" w:rsidRDefault="00A31137" w:rsidP="00A31137">
      <w:r w:rsidRPr="00A31137">
        <w:t>Clinton, State of the Union Address, 1995, p.104</w:t>
      </w:r>
    </w:p>
    <w:p w:rsidR="00A31137" w:rsidRPr="00A31137" w:rsidRDefault="00A31137" w:rsidP="00A31137">
      <w:r w:rsidRPr="00A31137">
        <w:t>This year I'll ask the Senate to approve START II to eliminate weapons that carry 5,000 more warheads. The United States will lead the charge to extend indefinitely the Nuclear Non-Proliferation Treaty, to enact a comprehensive nuclear test ban, and to eliminate chemical weapons. To stop and roll back North Korea's potentially deadly nuclear program, we'll continue to implement the agreement we have reached with that nation. It's smart. It's tough. It's a deal based on continuing inspection with safeguards for our allies and ourselves.</w:t>
      </w:r>
    </w:p>
    <w:p w:rsidR="00A31137" w:rsidRPr="00A31137" w:rsidRDefault="00A31137" w:rsidP="00A31137">
      <w:r w:rsidRPr="00A31137">
        <w:t>Clinton, State of the Union Address, 1995, p.104</w:t>
      </w:r>
    </w:p>
    <w:p w:rsidR="00A31137" w:rsidRPr="00A31137" w:rsidRDefault="00A31137" w:rsidP="00A31137">
      <w:r w:rsidRPr="00A31137">
        <w:t>This year I'll submit to Congress comprehensive legislation to strengthen our hand in combating terrorists, whether they strike at home or abroad. As the cowards who [p.105] bombed the World Trade Center found out, this country will hunt down terrorists and bring them to justice.</w:t>
      </w:r>
    </w:p>
    <w:p w:rsidR="00A31137" w:rsidRPr="00A31137" w:rsidRDefault="00A31137" w:rsidP="00A31137">
      <w:r w:rsidRPr="00A31137">
        <w:t>Clinton, State of the Union Address, 1995, p.105</w:t>
      </w:r>
    </w:p>
    <w:p w:rsidR="00A31137" w:rsidRPr="00A31137" w:rsidRDefault="00A31137" w:rsidP="00A31137">
      <w:r w:rsidRPr="00A31137">
        <w:t>Just this week, another horrendous terrorist act in Israel killed 19 and injured scores more. On behalf of the American people and all of you, I send our deepest sympathy to the families of the victims. I know that in the face of such evil, it is hard for the people in the Middle East to go forward. But the terrorists represent the past, not the future. We must and we will pursue a comprehensive peace between Israel and all her neighbors in the Middle East.</w:t>
      </w:r>
    </w:p>
    <w:p w:rsidR="00A31137" w:rsidRPr="00A31137" w:rsidRDefault="00A31137" w:rsidP="00A31137">
      <w:r w:rsidRPr="00A31137">
        <w:t>Clinton, State of the Union Address, 1995, p.105</w:t>
      </w:r>
    </w:p>
    <w:p w:rsidR="00A31137" w:rsidRPr="00A31137" w:rsidRDefault="00A31137" w:rsidP="00A31137">
      <w:r w:rsidRPr="00A31137">
        <w:t>Accordingly, last night I signed an Executive order that will block the assets in the United States of terrorist organizations that threaten to disrupt the peace process. It prohibits financial transactions with these groups. And tonight I call on all our allies and peace-loving nations throughout the world to join us with renewed fervor in a global effort to combat terrorism. We cannot permit the future to be marred by terror and fear and paralysis.</w:t>
      </w:r>
    </w:p>
    <w:p w:rsidR="00A31137" w:rsidRPr="00A31137" w:rsidRDefault="00A31137" w:rsidP="00A31137">
      <w:r w:rsidRPr="00A31137">
        <w:t>Clinton, State of the Union Address, 1995, p.105</w:t>
      </w:r>
    </w:p>
    <w:p w:rsidR="00A31137" w:rsidRPr="00A31137" w:rsidRDefault="00A31137" w:rsidP="00A31137">
      <w:r w:rsidRPr="00A31137">
        <w:t>From the day I took the oath of office, I pledged that our Nation would maintain the best equipped, best trained, and best prepared military on Earth. We have, and they are. They have managed the dramatic downsizing of our forces after the cold war with remarkable skill and spirit. But to make sure our military is ready for action and to provide the pay and the quality of life the military and their families deserve, I'm asking the Congress to add $25 billion in defense spending over the next 6 years.</w:t>
      </w:r>
    </w:p>
    <w:p w:rsidR="00A31137" w:rsidRPr="00A31137" w:rsidRDefault="00A31137" w:rsidP="00A31137">
      <w:r w:rsidRPr="00A31137">
        <w:t>Clinton, State of the Union Address, 1995, p.105</w:t>
      </w:r>
    </w:p>
    <w:p w:rsidR="00A31137" w:rsidRPr="00A31137" w:rsidRDefault="00A31137" w:rsidP="00A31137">
      <w:r w:rsidRPr="00A31137">
        <w:t>I have visited many bases at home and around the world since I became President. Tonight I repeat that request with renewed conviction. We ask a very great deal of our Armed Forces. Now that they are smaller in number, we ask more of them. They go out more often to more different places and stay longer. They are called to service in many, many ways. And we must give them and their families what the times demand and what they have earned.</w:t>
      </w:r>
    </w:p>
    <w:p w:rsidR="00A31137" w:rsidRPr="00A31137" w:rsidRDefault="00A31137" w:rsidP="00A31137">
      <w:r w:rsidRPr="00A31137">
        <w:t>Clinton, State of the Union Address, 1995, p.105</w:t>
      </w:r>
    </w:p>
    <w:p w:rsidR="00A31137" w:rsidRPr="00A31137" w:rsidRDefault="00A31137" w:rsidP="00A31137">
      <w:r w:rsidRPr="00A31137">
        <w:t>Just think about what our troops have done in the last year, showing America at its best, helping to save hundreds of thousands of people in Rwanda, moving with lightning speed to head off another threat to Kuwait, giving freedom and democracy back to the people of Haiti. We have proudly supported peace and prosperity and freedom from South Africa to Northern Ireland, from Central and Eastern Europe to Asia, from Latin America to the Middle East. All these endeavors are good in those places, but they make our future more confident and more secure.</w:t>
      </w:r>
    </w:p>
    <w:p w:rsidR="00A31137" w:rsidRPr="00A31137" w:rsidRDefault="00A31137" w:rsidP="00A31137">
      <w:r w:rsidRPr="00A31137">
        <w:t>Clinton, State of the Union Address, 1995, p.105</w:t>
      </w:r>
    </w:p>
    <w:p w:rsidR="00A31137" w:rsidRPr="00A31137" w:rsidRDefault="00A31137" w:rsidP="00A31137">
      <w:r w:rsidRPr="00A31137">
        <w:t>Well, my fellow Americans, that's my agenda for America's future: expanding opportunity, not bureaucracy; enhancing security at home and abroad; empowering our people to make the most of their own lives. It's ambitious and achievable, but it's not enough. We even need more than new ideas for changing the world or equipping Americans to compete in the new economy, more than a Government that's smaller, smarter, and wiser, more than all of the changes we can make in Government and in the private sector from the outside in.</w:t>
      </w:r>
    </w:p>
    <w:p w:rsidR="00A31137" w:rsidRPr="00A31137" w:rsidRDefault="00A31137" w:rsidP="00A31137">
      <w:r w:rsidRPr="00A31137">
        <w:t>Clinton, State of the Union Address, 1995, p.105</w:t>
      </w:r>
    </w:p>
    <w:p w:rsidR="00A31137" w:rsidRPr="00A31137" w:rsidRDefault="00A31137" w:rsidP="00A31137">
      <w:r w:rsidRPr="00A31137">
        <w:t>Our fortunes and our posterity also depend upon our ability to answer some questions from within, from the values and voices that speak to our hearts as well as our heads; voices that tell us we have to do more to accept responsibility for ourselves and our families, for our communities, and yes, for our fellow citizens. We see our families and our communities all over this country coming apart, and we feel the common ground shifting from under us. The PTA, the town hall meeting, the ball park, it's hard for a lot of overworked parents to find the time and space for those things that strengthen the bonds of trust and cooperation. Too many of our children don't even have parents and grandparents who can give them those experiences that they need to build their own character and their sense of identity.</w:t>
      </w:r>
    </w:p>
    <w:p w:rsidR="00A31137" w:rsidRPr="00A31137" w:rsidRDefault="00A31137" w:rsidP="00A31137">
      <w:r w:rsidRPr="00A31137">
        <w:t>Clinton, State of the Union Address, 1995, p.105</w:t>
      </w:r>
    </w:p>
    <w:p w:rsidR="00A31137" w:rsidRPr="00A31137" w:rsidRDefault="00A31137" w:rsidP="00A31137">
      <w:r w:rsidRPr="00A31137">
        <w:t>We all know what while we here in this Chamber can make a difference on those things, that the real differences will be made by our fellow citizens, where they work and where they live and that it will be made almost without regard to party. When I used to go to the softball park in Little Rock to watch my daughter's league, and people would come up to me, fathers and mothers, and talk to me, I can honestly say I had no idea whether 90 percent of them were Republicans or Democrats. When I visited the [p.106] relief centers after the floods in California, northern California, last week, a woman came up to me and did something that very few of you would do. She hugged me and said, "Mr. President, I'm a Republican, but I'm glad you're here." [Laughter]</w:t>
      </w:r>
    </w:p>
    <w:p w:rsidR="00A31137" w:rsidRPr="00A31137" w:rsidRDefault="00A31137" w:rsidP="00A31137">
      <w:r w:rsidRPr="00A31137">
        <w:t>Clinton, State of the Union Address, 1995, p.106</w:t>
      </w:r>
    </w:p>
    <w:p w:rsidR="00A31137" w:rsidRPr="00A31137" w:rsidRDefault="00A31137" w:rsidP="00A31137">
      <w:r w:rsidRPr="00A31137">
        <w:t>Now, why? We can't wait for disasters to act the way we used to act every day, because as we move into this next century, everybody matters. We don't have a person to waste. And a lot of people are losing a lot of chances to do better. That means that we need a New Covenant for everybody.</w:t>
      </w:r>
    </w:p>
    <w:p w:rsidR="00A31137" w:rsidRPr="00A31137" w:rsidRDefault="00A31137" w:rsidP="00A31137">
      <w:r w:rsidRPr="00A31137">
        <w:t>Clinton, State of the Union Address, 1995, p.106</w:t>
      </w:r>
    </w:p>
    <w:p w:rsidR="00A31137" w:rsidRPr="00A31137" w:rsidRDefault="00A31137" w:rsidP="00A31137">
      <w:r w:rsidRPr="00A31137">
        <w:t>For our corporate and business leaders, we're going to work here to keep bringing the deficit down, to expand markets, to support their success in every possible way. But they have an obligation when they're doing well to keep jobs in our communities and give their workers a fair share of the prosperity they generate.</w:t>
      </w:r>
    </w:p>
    <w:p w:rsidR="00A31137" w:rsidRPr="00A31137" w:rsidRDefault="00A31137" w:rsidP="00A31137">
      <w:r w:rsidRPr="00A31137">
        <w:t>Clinton, State of the Union Address, 1995, p.106</w:t>
      </w:r>
    </w:p>
    <w:p w:rsidR="00A31137" w:rsidRPr="00A31137" w:rsidRDefault="00A31137" w:rsidP="00A31137">
      <w:r w:rsidRPr="00A31137">
        <w:t>For people in the entertainment industry in this country, we applaud your creativity and your worldwide success, and we support your freedom of expression. But you do have a responsibility to assess the impact of your work and to understand the damage that comes from the incessant, repetitive, mindless violence and irresponsible conduct that permeates our media all the time.</w:t>
      </w:r>
    </w:p>
    <w:p w:rsidR="00A31137" w:rsidRPr="00A31137" w:rsidRDefault="00A31137" w:rsidP="00A31137">
      <w:r w:rsidRPr="00A31137">
        <w:t>Clinton, State of the Union Address, 1995, p.106</w:t>
      </w:r>
    </w:p>
    <w:p w:rsidR="00A31137" w:rsidRPr="00A31137" w:rsidRDefault="00A31137" w:rsidP="00A31137">
      <w:r w:rsidRPr="00A31137">
        <w:t>We've got to ask our community leaders and all kinds of organizations to help us stop our most serious social problem, the epidemic of teen pregnancies and births where there is no marriage. I have sent to Congress a plan to target schools all over this country with antipregnancy programs that work. But Government can only do so much. Tonight I call on parents and leaders all across this country to join together in a national campaign against teen pregnancy to make a difference. We can do this, and we must.</w:t>
      </w:r>
    </w:p>
    <w:p w:rsidR="00A31137" w:rsidRPr="00A31137" w:rsidRDefault="00A31137" w:rsidP="00A31137">
      <w:r w:rsidRPr="00A31137">
        <w:t>Clinton, State of the Union Address, 1995, p.106</w:t>
      </w:r>
    </w:p>
    <w:p w:rsidR="00A31137" w:rsidRPr="00A31137" w:rsidRDefault="00A31137" w:rsidP="00A31137">
      <w:r w:rsidRPr="00A31137">
        <w:t>And I would like to say a special word to our religious leaders. You know, I'm proud of the fact the United States has more houses of worship per capita than any country in the world. These people who lead our houses of worship can ignite their congregations to carry their faith into action, can reach out to all of our children, to all of the people in distress, to those who have been savaged by the breakdown of all we hold dear. Because so much of what must be done must come from the inside out and our religious leaders and their congregations can make all the difference, they have a role in the New Covenant as well.</w:t>
      </w:r>
    </w:p>
    <w:p w:rsidR="00A31137" w:rsidRPr="00A31137" w:rsidRDefault="00A31137" w:rsidP="00A31137">
      <w:r w:rsidRPr="00A31137">
        <w:t>Clinton, State of the Union Address, 1995, p.106</w:t>
      </w:r>
    </w:p>
    <w:p w:rsidR="00A31137" w:rsidRPr="00A31137" w:rsidRDefault="00A31137" w:rsidP="00A31137">
      <w:r w:rsidRPr="00A31137">
        <w:t>There must be more responsibility for all of our citizens. You know, it takes a lot of people to help all the kids in trouble stay off the streets and in school. It takes a lot of people to build the Habitat for Humanity houses that the Speaker celebrates on his lapel pin. It takes a lot of people to provide the people power for all of the civic organizations in this country that made our communities mean so much to most of us when we were kids. It takes every parent to teach the children the difference between right and wrong and to encourage them to learn and grow and to say no to the wrong things but also to believe that they can be whatever they want to be.</w:t>
      </w:r>
    </w:p>
    <w:p w:rsidR="00A31137" w:rsidRPr="00A31137" w:rsidRDefault="00A31137" w:rsidP="00A31137">
      <w:r w:rsidRPr="00A31137">
        <w:t>Clinton, State of the Union Address, 1995, p.106</w:t>
      </w:r>
    </w:p>
    <w:p w:rsidR="00A31137" w:rsidRPr="00A31137" w:rsidRDefault="00A31137" w:rsidP="00A31137">
      <w:r w:rsidRPr="00A31137">
        <w:t>I know it's hard when you're working harder for less, when you're under great stress to do these things. A lot of our people don't have the time or the emotional stress, they think, to do the work of citizenship.</w:t>
      </w:r>
    </w:p>
    <w:p w:rsidR="00A31137" w:rsidRPr="00A31137" w:rsidRDefault="00A31137" w:rsidP="00A31137">
      <w:r w:rsidRPr="00A31137">
        <w:t>Clinton, State of the Union Address, 1995, p.106</w:t>
      </w:r>
    </w:p>
    <w:p w:rsidR="00A31137" w:rsidRPr="00A31137" w:rsidRDefault="00A31137" w:rsidP="00A31137">
      <w:r w:rsidRPr="00A31137">
        <w:t>Most of us in politics haven't helped very much. For years, we've mostly treated citizens like they were consumers or spectators, sort of political couch potatoes who were supposed to watch the TV ads either promise them something for nothing or play on their fears and frustrations. And more and more of our citizens now get most of their information in very negative and aggressive ways that are hardly conducive to honest and open conversations. But the truth is, we have got to stop seeing each other as enemies just because we have different views.</w:t>
      </w:r>
    </w:p>
    <w:p w:rsidR="00A31137" w:rsidRPr="00A31137" w:rsidRDefault="00A31137" w:rsidP="00A31137">
      <w:r w:rsidRPr="00A31137">
        <w:t>Clinton, State of the Union Address, 1995, p.106</w:t>
      </w:r>
    </w:p>
    <w:p w:rsidR="00A31137" w:rsidRPr="00A31137" w:rsidRDefault="00A31137" w:rsidP="00A31137">
      <w:r w:rsidRPr="00A31137">
        <w:t>If you go back to the beginning of this country, the great strength of America, as de Tocqueville pointed out when he came here a long time ago, has always been our ability to associate with people who were different from ourselves and to work together to find common ground. And in this day, everybody has a responsibility to do more of that. We simply cannot want for a tornado, a fire, or a flood to behave like Americans ought to behave in dealing with one another.</w:t>
      </w:r>
    </w:p>
    <w:p w:rsidR="00A31137" w:rsidRPr="00A31137" w:rsidRDefault="00A31137" w:rsidP="00A31137">
      <w:r w:rsidRPr="00A31137">
        <w:t>Clinton, State of the Union Address, 1995, p.106</w:t>
      </w:r>
    </w:p>
    <w:p w:rsidR="00A31137" w:rsidRPr="00A31137" w:rsidRDefault="00A31137" w:rsidP="00A31137">
      <w:r w:rsidRPr="00A31137">
        <w:t>I want to finish up here by pointing out some folks that are up with the First Lady that represent what I'm trying to talk about—citizens. I have no idea what their party affiliation [p.107] is or who they voted for in the last election. But they represent what we ought to be doing.</w:t>
      </w:r>
    </w:p>
    <w:p w:rsidR="00A31137" w:rsidRPr="00A31137" w:rsidRDefault="00A31137" w:rsidP="00A31137">
      <w:r w:rsidRPr="00A31137">
        <w:t>Clinton, State of the Union Address, 1995, p.107</w:t>
      </w:r>
    </w:p>
    <w:p w:rsidR="00A31137" w:rsidRPr="00A31137" w:rsidRDefault="00A31137" w:rsidP="00A31137">
      <w:r w:rsidRPr="00A31137">
        <w:t>Cindy Perry teaches second graders to read in AmeriCorps in rural Kentucky. She gains when she gives. She's a mother of four. She says that her service inspired her to get her high school equivalency last year. She was married when she was a teenager—stand up, Cindy. She was married when she was a teenager. She had four children. But she had time to serve other people, to get her high school equivalency, and she's going to use her AmeriCorps money to go back to college.</w:t>
      </w:r>
    </w:p>
    <w:p w:rsidR="00A31137" w:rsidRPr="00A31137" w:rsidRDefault="00A31137" w:rsidP="00A31137">
      <w:r w:rsidRPr="00A31137">
        <w:t>Clinton, State of the Union Address, 1995, p.107</w:t>
      </w:r>
    </w:p>
    <w:p w:rsidR="00A31137" w:rsidRPr="00A31137" w:rsidRDefault="00A31137" w:rsidP="00A31137">
      <w:r w:rsidRPr="00A31137">
        <w:t>Chief Stephen Bishop is the police chief of Kansas City. He's been a national leader—stand up, Steve. He's been a national leader in using more police in community policing, and he's worked with AmeriCorps to do it. And the crime rate in Kansas City has gone down as a result of what he did.</w:t>
      </w:r>
    </w:p>
    <w:p w:rsidR="00A31137" w:rsidRPr="00A31137" w:rsidRDefault="00A31137" w:rsidP="00A31137">
      <w:r w:rsidRPr="00A31137">
        <w:t>Clinton, State of the Union Address, 1995, p.107</w:t>
      </w:r>
    </w:p>
    <w:p w:rsidR="00A31137" w:rsidRPr="00A31137" w:rsidRDefault="00A31137" w:rsidP="00A31137">
      <w:r w:rsidRPr="00A31137">
        <w:t>Corporal Gregory Depestre went to Haiti as part of his adopted country's force to help secure democracy in his native land. And I might add, we must be the only country in the world that could have gone to Haiti and taken Haitian-Americans there who could speak the language and talk to the people. And he was one of them, and we're proud of him.</w:t>
      </w:r>
    </w:p>
    <w:p w:rsidR="00A31137" w:rsidRPr="00A31137" w:rsidRDefault="00A31137" w:rsidP="00A31137">
      <w:r w:rsidRPr="00A31137">
        <w:t>Clinton, State of the Union Address, 1995, p.107</w:t>
      </w:r>
    </w:p>
    <w:p w:rsidR="00A31137" w:rsidRPr="00A31137" w:rsidRDefault="00A31137" w:rsidP="00A31137">
      <w:r w:rsidRPr="00A31137">
        <w:t>The next two folks I've had the honor of meeting and getting to know a little bit, the Reverend John and the Reverend Diana Cherry of the AME Zion Church in Temple Hills, Maryland. I'd like to ask them to stand. I want to tell you about them. In the early eighties, they left Government service and formed a church in a small living room in a small house, in the early eighties. Today that church has 17,000 members. It is one of the three or four biggest churches in the entire United States. It grows by 200 a month. They do it together. And the special focus of their ministry is keeping families together.</w:t>
      </w:r>
    </w:p>
    <w:p w:rsidR="00A31137" w:rsidRPr="00A31137" w:rsidRDefault="00A31137" w:rsidP="00A31137">
      <w:r w:rsidRPr="00A31137">
        <w:t>Clinton, State of the Union Address, 1995, p.107</w:t>
      </w:r>
    </w:p>
    <w:p w:rsidR="00A31137" w:rsidRPr="00A31137" w:rsidRDefault="00A31137" w:rsidP="00A31137">
      <w:r w:rsidRPr="00A31137">
        <w:t>Two things they did make a big impression on me. I visited their church once, and I learned they were building a new sanctuary closer to the Washington, DC, line in a higher crime, higher drug rate area because they thought it was part of their ministry to change the lives of the people who needed them. The second thing I want to say is that once Reverend Cherry was at a meeting at the White House with some other religious leaders, and he left early to go back to this church to minister to 150 couples that he had brought back to his church from all over America to convince them to come back together, to save their marriages, and to raise their kids. This is the kind of work that citizens are doing in America. We need more of it, and it ought to be lifted up and supported.</w:t>
      </w:r>
    </w:p>
    <w:p w:rsidR="00A31137" w:rsidRPr="00A31137" w:rsidRDefault="00A31137" w:rsidP="00A31137">
      <w:r w:rsidRPr="00A31137">
        <w:t>Clinton, State of the Union Address, 1995, p.107</w:t>
      </w:r>
    </w:p>
    <w:p w:rsidR="00A31137" w:rsidRPr="00A31137" w:rsidRDefault="00A31137" w:rsidP="00A31137">
      <w:r w:rsidRPr="00A31137">
        <w:t>The last person I want to introduce is Jack Lucas from Hattiesburg, Mississippi. Jack, would you stand up? Fifty years ago, in the sands of Iwo Jima, Jack Lucas taught and learned the lessons of citizenship. On February 20th, 1945, he and three of his buddies encountered the enemy and two grenades at their feet. Jack Lucas threw himself on both of them. In that moment, he saved the lives of his companions, and miraculously in the next instant, a medic saved his life. He gained a foothold for freedom, and at the age of 17, just a year older than his grandson who is up there with him today—and his son, who is a West Point graduate and a veteran—at 17, Jack Lucas became the youngest Marine in history and the youngest soldier in this century to win the Congressional Medal of Honor. All these years later, yesterday, here's what he said about that day: "It didn't matter where you were from or who you were, you relied on one another. You did it for your country."</w:t>
      </w:r>
    </w:p>
    <w:p w:rsidR="00A31137" w:rsidRPr="00A31137" w:rsidRDefault="00A31137" w:rsidP="00A31137">
      <w:r w:rsidRPr="00A31137">
        <w:t>Clinton, State of the Union Address, 1995, p.107</w:t>
      </w:r>
    </w:p>
    <w:p w:rsidR="00A31137" w:rsidRPr="00A31137" w:rsidRDefault="00A31137" w:rsidP="00A31137">
      <w:r w:rsidRPr="00A31137">
        <w:t>We all gain when we give, and we reap what we sow. That's at the heart of this New Covenant. Responsibility, opportunity, and citizenship, more than stale chapters in some remote civic book, they're still the virtue by which we can fulfill ourselves and reach our God-given potential and be like them and also to fulfill the eternal promise of this country, the enduring dream from that first and most sacred covenant. I believe every person in this country still believes that we are created equal and given by our Creator the right to life, liberty and the pursuit of happiness. This is a very, very great country. And our best days are still to come.</w:t>
      </w:r>
    </w:p>
    <w:p w:rsidR="00A31137" w:rsidRPr="00A31137" w:rsidRDefault="00A31137" w:rsidP="00A31137">
      <w:r w:rsidRPr="00A31137">
        <w:t>Clinton, State of the Union Address, 1995, p.107</w:t>
      </w:r>
    </w:p>
    <w:p w:rsidR="00A31137" w:rsidRPr="00A31137" w:rsidRDefault="00A31137" w:rsidP="00A31137">
      <w:r w:rsidRPr="00A31137">
        <w:t xml:space="preserve">Thank you, and God bless you all. [p.108] </w:t>
      </w:r>
    </w:p>
    <w:p w:rsidR="00A31137" w:rsidRPr="00A31137" w:rsidRDefault="00A31137" w:rsidP="00A31137">
      <w:r w:rsidRPr="00A31137">
        <w:t>Clinton, State of the Union Address, 1995, p.108</w:t>
      </w:r>
    </w:p>
    <w:p w:rsidR="00A31137" w:rsidRPr="00A31137" w:rsidRDefault="00A31137" w:rsidP="00A31137">
      <w:r w:rsidRPr="00A31137">
        <w:t>Note: The President spoke at 9:14 p.m. in the House Chamber of the Capitol.</w:t>
      </w:r>
    </w:p>
    <w:p w:rsidR="00A31137" w:rsidRPr="00A31137" w:rsidRDefault="00A31137" w:rsidP="00A31137">
      <w:r w:rsidRPr="00A31137">
        <w:t>Clinton's Statement on the Baseball Strike, January 26, 1995</w:t>
      </w:r>
    </w:p>
    <w:p w:rsidR="00A31137" w:rsidRPr="00A31137" w:rsidRDefault="00A31137" w:rsidP="00A31137">
      <w:r w:rsidRPr="00A31137">
        <w:t>Title:</w:t>
      </w:r>
      <w:r w:rsidRPr="00A31137">
        <w:tab/>
        <w:t>Clinton's Statement on the Baseball Strike</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26, 1995</w:t>
      </w:r>
    </w:p>
    <w:p w:rsidR="00A31137" w:rsidRPr="00A31137" w:rsidRDefault="00A31137" w:rsidP="00A31137">
      <w:r w:rsidRPr="00A31137">
        <w:t>Source:</w:t>
      </w:r>
      <w:r w:rsidRPr="00A31137">
        <w:tab/>
        <w:t>Weekly Compilation of Presidential Documents, 1995, pp.124-125</w:t>
      </w:r>
    </w:p>
    <w:p w:rsidR="00A31137" w:rsidRPr="00A31137" w:rsidRDefault="00A31137" w:rsidP="00A31137">
      <w:r w:rsidRPr="00A31137">
        <w:t>Clinton, Baseball Strike, Jan. 26, 1995, p.124</w:t>
      </w:r>
    </w:p>
    <w:p w:rsidR="00A31137" w:rsidRPr="00A31137" w:rsidRDefault="00A31137" w:rsidP="00A31137">
      <w:r w:rsidRPr="00A31137">
        <w:t>America has been living without baseball for far too long. Now, as the strike drags on, it threatens the start of the 1995 season. It could well damage the economies of the spring training States. It is imperiling the livelihoods of tens of thousands of workers whose jobs depend on baseball. And it is trying the patience and depressing the spirits of millions of baseball fans—including me. It is time for this strike to end.</w:t>
      </w:r>
    </w:p>
    <w:p w:rsidR="00A31137" w:rsidRPr="00A31137" w:rsidRDefault="00A31137" w:rsidP="00A31137">
      <w:r w:rsidRPr="00A31137">
        <w:t>Clinton, Baseball Strike, Jan. 26, 1995, p.124</w:t>
      </w:r>
    </w:p>
    <w:p w:rsidR="00A31137" w:rsidRPr="00A31137" w:rsidRDefault="00A31137" w:rsidP="00A31137">
      <w:r w:rsidRPr="00A31137">
        <w:t>It has always been my belief—and it continues to be—that the baseball strike, like any labor dispute, should be settled through good-faith bargaining between the parties. It was with this principle in mind that I endorsed the Secretary of Labor's proposal to appoint the best mediator around—former Labor Secretary Bill Usery—to help the parties sort out their differences.</w:t>
      </w:r>
    </w:p>
    <w:p w:rsidR="00A31137" w:rsidRPr="00A31137" w:rsidRDefault="00A31137" w:rsidP="00A31137">
      <w:r w:rsidRPr="00A31137">
        <w:t>Clinton, Baseball Strike, Jan. 26, 1995, p.124</w:t>
      </w:r>
    </w:p>
    <w:p w:rsidR="00A31137" w:rsidRPr="00A31137" w:rsidRDefault="00A31137" w:rsidP="00A31137">
      <w:r w:rsidRPr="00A31137">
        <w:t>Over the last 2 days, I have spoken with Secretary Reich and with former Secretary Usery about the status of the strike negotiations. We discussed all of the alternatives. I remain convinced that the best way to get baseball back for America is for the parties to reach their own settlement. But we cannot wait indefinitely.</w:t>
      </w:r>
    </w:p>
    <w:p w:rsidR="00A31137" w:rsidRPr="00A31137" w:rsidRDefault="00A31137" w:rsidP="00A31137">
      <w:r w:rsidRPr="00A31137">
        <w:t>Clinton, Baseball Strike, Jan. 26, 1995, p.124</w:t>
      </w:r>
    </w:p>
    <w:p w:rsidR="00A31137" w:rsidRPr="00A31137" w:rsidRDefault="00A31137" w:rsidP="00A31137">
      <w:r w:rsidRPr="00A31137">
        <w:t>This morning, I asked Bill Usery to bring the owners and the players back to the table, and to step up the pace and intensity of his mediation efforts.</w:t>
      </w:r>
    </w:p>
    <w:p w:rsidR="00A31137" w:rsidRPr="00A31137" w:rsidRDefault="00A31137" w:rsidP="00A31137">
      <w:r w:rsidRPr="00A31137">
        <w:t>Clinton, Baseball Strike, Jan. 26, 1995, p.124</w:t>
      </w:r>
    </w:p>
    <w:p w:rsidR="00A31137" w:rsidRPr="00A31137" w:rsidRDefault="00A31137" w:rsidP="00A31137">
      <w:r w:rsidRPr="00A31137">
        <w:t xml:space="preserve">I have asked him to report back to me by February 6 with the progress they have made. If the parties have not reached an agreement by then—or are not on track towards a speedy settlement—I have asked Mr. Usery, if he believes it appropriate, to put forth his own recommendations for a proposed settlement between the parties. [p.125] </w:t>
      </w:r>
    </w:p>
    <w:p w:rsidR="00A31137" w:rsidRPr="00A31137" w:rsidRDefault="00A31137" w:rsidP="00A31137">
      <w:r w:rsidRPr="00A31137">
        <w:t>Clinton, Baseball Strike, Jan. 26, 1995, p.125</w:t>
      </w:r>
    </w:p>
    <w:p w:rsidR="00A31137" w:rsidRPr="00A31137" w:rsidRDefault="00A31137" w:rsidP="00A31137">
      <w:r w:rsidRPr="00A31137">
        <w:t>I hope it doesn't come to that. I urge the owners and the players to give their full support to this mediation effort, and to settle this unfortunate dispute themselves. It is time to put behind us the rancor and cynicism that are shadowing the American ideal of baseball. It is time to let all the excitement that the 1995 season can offer sweep away that tarnished image. It's time to "play ball."</w:t>
      </w:r>
    </w:p>
    <w:p w:rsidR="00A31137" w:rsidRPr="00A31137" w:rsidRDefault="00A31137" w:rsidP="00A31137">
      <w:r w:rsidRPr="00A31137">
        <w:t>Clinton's Remarks on the Oklahoma City Bombing, April 19, 1995</w:t>
      </w:r>
    </w:p>
    <w:p w:rsidR="00A31137" w:rsidRPr="00A31137" w:rsidRDefault="00A31137" w:rsidP="00A31137">
      <w:r w:rsidRPr="00A31137">
        <w:t>Title:</w:t>
      </w:r>
      <w:r w:rsidRPr="00A31137">
        <w:tab/>
        <w:t>Clinton's Remarks on the Oklahoma City Bombing</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April 19, 1995</w:t>
      </w:r>
    </w:p>
    <w:p w:rsidR="00A31137" w:rsidRPr="00A31137" w:rsidRDefault="00A31137" w:rsidP="00A31137">
      <w:r w:rsidRPr="00A31137">
        <w:t>Source:</w:t>
      </w:r>
      <w:r w:rsidRPr="00A31137">
        <w:tab/>
        <w:t>Weekly Compilation of Presidential Documents, 1995, p.662</w:t>
      </w:r>
    </w:p>
    <w:p w:rsidR="00A31137" w:rsidRPr="00A31137" w:rsidRDefault="00A31137" w:rsidP="00A31137">
      <w:r w:rsidRPr="00A31137">
        <w:t>Clinton, Oklahoma City Bombing, April 19, 1995, p.662</w:t>
      </w:r>
    </w:p>
    <w:p w:rsidR="00A31137" w:rsidRPr="00A31137" w:rsidRDefault="00A31137" w:rsidP="00A31137">
      <w:r w:rsidRPr="00A31137">
        <w:t>The bombing in Oklahoma City was an attack on innocent children and defenseless citizens. It was an act of cowardice, and it was evil. The United States will not tolerate it. And I will not allow the people of this country to be intimidated by evil cowards.</w:t>
      </w:r>
    </w:p>
    <w:p w:rsidR="00A31137" w:rsidRPr="00A31137" w:rsidRDefault="00A31137" w:rsidP="00A31137">
      <w:r w:rsidRPr="00A31137">
        <w:t>Clinton, Oklahoma City Bombing, April 19, 1995, p.662</w:t>
      </w:r>
    </w:p>
    <w:p w:rsidR="00A31137" w:rsidRPr="00A31137" w:rsidRDefault="00A31137" w:rsidP="00A31137">
      <w:r w:rsidRPr="00A31137">
        <w:t>I have met with our team, which we assembled to deal with this bombing. And I have determined to take the following steps to assure the strongest response to this situation:</w:t>
      </w:r>
    </w:p>
    <w:p w:rsidR="00A31137" w:rsidRPr="00A31137" w:rsidRDefault="00A31137" w:rsidP="00A31137">
      <w:r w:rsidRPr="00A31137">
        <w:t>Clinton, Oklahoma City Bombing, April 19, 1995, p.662</w:t>
      </w:r>
    </w:p>
    <w:p w:rsidR="00A31137" w:rsidRPr="00A31137" w:rsidRDefault="00A31137" w:rsidP="00A31137">
      <w:r w:rsidRPr="00A31137">
        <w:t>First, I have deployed a crisis management team under the leadership of the FBI, working with the Department of Justice, the Bureau of Alcohol, Tobacco and Firearms, military and local authorities. We are sending the world's finest investigators to solve these murders.</w:t>
      </w:r>
    </w:p>
    <w:p w:rsidR="00A31137" w:rsidRPr="00A31137" w:rsidRDefault="00A31137" w:rsidP="00A31137">
      <w:r w:rsidRPr="00A31137">
        <w:t>Clinton, Oklahoma City Bombing, April 19, 1995, p.662</w:t>
      </w:r>
    </w:p>
    <w:p w:rsidR="00A31137" w:rsidRPr="00A31137" w:rsidRDefault="00A31137" w:rsidP="00A31137">
      <w:r w:rsidRPr="00A31137">
        <w:t>Second, I have declared an emergency in Oklahoma City. And at my direction, James Lee Witt, the Director of the Federal Emergency Management Agency, is now on his way there to make sure we do everything we can to help the people of Oklahoma deal with the tragedy.</w:t>
      </w:r>
    </w:p>
    <w:p w:rsidR="00A31137" w:rsidRPr="00A31137" w:rsidRDefault="00A31137" w:rsidP="00A31137">
      <w:r w:rsidRPr="00A31137">
        <w:t>Clinton, Oklahoma City Bombing, April 19, 1995, p.662</w:t>
      </w:r>
    </w:p>
    <w:p w:rsidR="00A31137" w:rsidRPr="00A31137" w:rsidRDefault="00A31137" w:rsidP="00A31137">
      <w:r w:rsidRPr="00A31137">
        <w:t>Third, we are taking every precaution to reassure and to protect people who work in or live near other Federal facilities.</w:t>
      </w:r>
    </w:p>
    <w:p w:rsidR="00A31137" w:rsidRPr="00A31137" w:rsidRDefault="00A31137" w:rsidP="00A31137">
      <w:r w:rsidRPr="00A31137">
        <w:t>Clinton, Oklahoma City Bombing, April 19, 1995, p.662</w:t>
      </w:r>
    </w:p>
    <w:p w:rsidR="00A31137" w:rsidRPr="00A31137" w:rsidRDefault="00A31137" w:rsidP="00A31137">
      <w:r w:rsidRPr="00A31137">
        <w:t>Let there be no room for doubt: We will find the people who did this. When we do, justice will be swift, certain, and severe. These people are killers, and they must be treated like killers.</w:t>
      </w:r>
    </w:p>
    <w:p w:rsidR="00A31137" w:rsidRPr="00A31137" w:rsidRDefault="00A31137" w:rsidP="00A31137">
      <w:r w:rsidRPr="00A31137">
        <w:t>Clinton, Oklahoma City Bombing, April 19, 1995, p.662</w:t>
      </w:r>
    </w:p>
    <w:p w:rsidR="00A31137" w:rsidRPr="00A31137" w:rsidRDefault="00A31137" w:rsidP="00A31137">
      <w:r w:rsidRPr="00A31137">
        <w:t>Finally, let me say that I ask all Americans tonight to pray—to pray for the people who have lost their lives, to pray for the families and the friends of the dead and the wounded, to pray for the people of Oklahoma City.</w:t>
      </w:r>
    </w:p>
    <w:p w:rsidR="00A31137" w:rsidRPr="00A31137" w:rsidRDefault="00A31137" w:rsidP="00A31137">
      <w:r w:rsidRPr="00A31137">
        <w:t>Clinton, Oklahoma City Bombing, April 19, 1995, p.662</w:t>
      </w:r>
    </w:p>
    <w:p w:rsidR="00A31137" w:rsidRPr="00A31137" w:rsidRDefault="00A31137" w:rsidP="00A31137">
      <w:r w:rsidRPr="00A31137">
        <w:t>May God's grace be with them. Meanwhile, we will be about our work.</w:t>
      </w:r>
    </w:p>
    <w:p w:rsidR="00A31137" w:rsidRPr="00A31137" w:rsidRDefault="00A31137" w:rsidP="00A31137">
      <w:r w:rsidRPr="00A31137">
        <w:t>Clinton, Oklahoma City Bombing, April 19, 1995, p.662</w:t>
      </w:r>
    </w:p>
    <w:p w:rsidR="00A31137" w:rsidRPr="00A31137" w:rsidRDefault="00A31137" w:rsidP="00A31137">
      <w:r w:rsidRPr="00A31137">
        <w:t>Thank you.</w:t>
      </w:r>
    </w:p>
    <w:p w:rsidR="00A31137" w:rsidRPr="00A31137" w:rsidRDefault="00A31137" w:rsidP="00A31137">
      <w:r w:rsidRPr="00A31137">
        <w:t>Clinton, Oklahoma City Bombing, April 19, 1995, p.662</w:t>
      </w:r>
    </w:p>
    <w:p w:rsidR="00A31137" w:rsidRPr="00A31137" w:rsidRDefault="00A31137" w:rsidP="00A31137">
      <w:r w:rsidRPr="00A31137">
        <w:t>Note: The President spoke at 5:30 p.m. in the Briefing Room at the White House.</w:t>
      </w:r>
    </w:p>
    <w:p w:rsidR="00A31137" w:rsidRPr="00A31137" w:rsidRDefault="00A31137" w:rsidP="00A31137">
      <w:r w:rsidRPr="00A31137">
        <w:t>United States v. Lopez, 1995</w:t>
      </w:r>
    </w:p>
    <w:p w:rsidR="00A31137" w:rsidRPr="00A31137" w:rsidRDefault="00A31137" w:rsidP="00A31137">
      <w:r w:rsidRPr="00A31137">
        <w:t>Title:</w:t>
      </w:r>
      <w:r w:rsidRPr="00A31137">
        <w:tab/>
        <w:t>United States v. Lopez</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April 26, 1995</w:t>
      </w:r>
    </w:p>
    <w:p w:rsidR="00A31137" w:rsidRPr="00A31137" w:rsidRDefault="00A31137" w:rsidP="00A31137">
      <w:r w:rsidRPr="00A31137">
        <w:t>Source:</w:t>
      </w:r>
      <w:r w:rsidRPr="00A31137">
        <w:tab/>
        <w:t>No. 93-1260 [U.S. Reports citation not yet available]</w:t>
      </w:r>
    </w:p>
    <w:p w:rsidR="00A31137" w:rsidRPr="00A31137" w:rsidRDefault="00A31137" w:rsidP="00A31137">
      <w:r w:rsidRPr="00A31137">
        <w:t>This case was argued November 8, 1994, and was decided April 26, 1995.</w:t>
      </w:r>
    </w:p>
    <w:p w:rsidR="00A31137" w:rsidRPr="00A31137" w:rsidRDefault="00A31137" w:rsidP="00A31137">
      <w:r w:rsidRPr="00A31137">
        <w:t>CERTIORARI TO THE UNITED STATES COURT OF APPEALS</w:t>
      </w:r>
    </w:p>
    <w:p w:rsidR="00A31137" w:rsidRPr="00A31137" w:rsidRDefault="00A31137" w:rsidP="00A31137">
      <w:r w:rsidRPr="00A31137">
        <w:t>FOR THE FIFTH CIRCUIT</w:t>
      </w:r>
    </w:p>
    <w:p w:rsidR="00A31137" w:rsidRPr="00A31137" w:rsidRDefault="00A31137" w:rsidP="00A31137">
      <w:r w:rsidRPr="00A31137">
        <w:t>Syllabus</w:t>
      </w:r>
    </w:p>
    <w:p w:rsidR="00A31137" w:rsidRPr="00A31137" w:rsidRDefault="00A31137" w:rsidP="00A31137">
      <w:r w:rsidRPr="00A31137">
        <w:t>1995, United States v. Lopez, No. 93-1260</w:t>
      </w:r>
    </w:p>
    <w:p w:rsidR="00A31137" w:rsidRPr="00A31137" w:rsidRDefault="00A31137" w:rsidP="00A31137">
      <w:r w:rsidRPr="00A31137">
        <w:t>After respondent, then a 12th-grade student, carried a concealed handgun into his high school, he was charged with violating the Gun-Free School Zones Act of 1990, which forbids "any individual knowingly to possess a firearm at a place that [he] knows…is a school zone," 18 U.S.C. § 922(q)(1)(A). The District Court denied his motion to dismiss the indictment, concluding that § 922(q) is a constitutional exercise of Congress' power to regulate activities in and affecting commerce. In reversing, the Court of Appeals held that, in light of what it characterized as insufficient congressional findings and legislative history, § 922(q) is invalid as beyond Congress' power under the Commerce Clause.</w:t>
      </w:r>
    </w:p>
    <w:p w:rsidR="00A31137" w:rsidRPr="00A31137" w:rsidRDefault="00A31137" w:rsidP="00A31137">
      <w:r w:rsidRPr="00A31137">
        <w:t>1995, United States v. Lopez, No. 93-1260</w:t>
      </w:r>
    </w:p>
    <w:p w:rsidR="00A31137" w:rsidRPr="00A31137" w:rsidRDefault="00A31137" w:rsidP="00A31137">
      <w:r w:rsidRPr="00A31137">
        <w:t>Held: The Act exceeds Congress' Commerce Clause authority. First, although this Court has upheld a wide variety of congressional Acts regulating intrastate economic activity that substantially affected interstate commerce, the possession of a gun in a local school zone is in no sense an economic activity that might, through repetition elsewhere, have such a substantial effect on interstate commerce. Section 922(q) is a criminal statute that, by its terms, has nothing to do with "commerce" or any sort of economic enterprise, however broadly those terms are defined. Nor is it an essential part of a larger regulation of economic activity, in which the regulatory scheme could be undercut unless the intrastate activity were regulated. It cannot, therefore, be sustained under the Court's cases upholding regulations of activities that arise out of or are connected with a commercial transaction, which viewed in the aggregate, substantially affects interstate commerce. Second, § 922(q) contains no jurisdictional element which would ensure, through case-by-case inquiry, that the firearms possession in question has the requisite nexus with interstate commerce. Respondent was a local student at a local school; there is no indication that he had recently moved in interstate commerce, and there is no requirement that his possession of the firearm have any concrete tie to interstate commerce. To uphold the Government's contention that § 922(q) is justified because firearms possession in a local school zone does indeed substantially affect interstate commerce would require this Court to pile inference upon inference in a manner that would bid fair to convert congressional Commerce Clause authority to a general police power of the sort held only by the States. Pp. ___.</w:t>
      </w:r>
    </w:p>
    <w:p w:rsidR="00A31137" w:rsidRPr="00A31137" w:rsidRDefault="00A31137" w:rsidP="00A31137">
      <w:r w:rsidRPr="00A31137">
        <w:t>1995, United States v. Lopez, No. 93-1260</w:t>
      </w:r>
    </w:p>
    <w:p w:rsidR="00A31137" w:rsidRPr="00A31137" w:rsidRDefault="00A31137" w:rsidP="00A31137">
      <w:r w:rsidRPr="00A31137">
        <w:t>2 F.3d 1342, affirmed.</w:t>
      </w:r>
    </w:p>
    <w:p w:rsidR="00A31137" w:rsidRPr="00A31137" w:rsidRDefault="00A31137" w:rsidP="00A31137">
      <w:r w:rsidRPr="00A31137">
        <w:t>1995, United States v. Lopez, No. 93-1260</w:t>
      </w:r>
    </w:p>
    <w:p w:rsidR="00A31137" w:rsidRPr="00A31137" w:rsidRDefault="00A31137" w:rsidP="00A31137">
      <w:r w:rsidRPr="00A31137">
        <w:t>REHNQUIST, C.J., delivered the opinion of the Court, in which O'CONNOR, SCALIA, KENNEDY, and THOMAS, JJ., joined. KENNEDY, J., filed a concurring opinion, in which O'CONNOR, J., joined. THOMAS, J., filed a concurring opinion. STEVENS, J., and SOUTER, J., filed dissenting opinions. BREYER, J., filed a dissenting opinion, in which STEVENS, SOUTER, and GINSBURG, JJ., joined.</w:t>
      </w:r>
    </w:p>
    <w:p w:rsidR="00A31137" w:rsidRPr="00A31137" w:rsidRDefault="00A31137" w:rsidP="00A31137">
      <w:r w:rsidRPr="00A31137">
        <w:t>REHNQUIST, J., lead opinion</w:t>
      </w:r>
    </w:p>
    <w:p w:rsidR="00A31137" w:rsidRPr="00A31137" w:rsidRDefault="00A31137" w:rsidP="00A31137">
      <w:r w:rsidRPr="00A31137">
        <w:t>1995, United States v. Lopez, No. 93-1260</w:t>
      </w:r>
    </w:p>
    <w:p w:rsidR="00A31137" w:rsidRPr="00A31137" w:rsidRDefault="00A31137" w:rsidP="00A31137">
      <w:r w:rsidRPr="00A31137">
        <w:t>CHIEF JUSTICE REHNQUIST delivered the opinion of the Court.</w:t>
      </w:r>
    </w:p>
    <w:p w:rsidR="00A31137" w:rsidRPr="00A31137" w:rsidRDefault="00A31137" w:rsidP="00A31137">
      <w:r w:rsidRPr="00A31137">
        <w:t>1995, United States v. Lopez, No. 93-1260</w:t>
      </w:r>
    </w:p>
    <w:p w:rsidR="00A31137" w:rsidRPr="00A31137" w:rsidRDefault="00A31137" w:rsidP="00A31137">
      <w:r w:rsidRPr="00A31137">
        <w:t>In the Gun-Free School Zones Act of 1990, Congress made it a federal offense "for any individual knowingly to possess a firearm at a place that the individual knows, or has reasonable cause to believe, is a school zone." 18 U.S.C. § 922(q)(1)(A) (1988 ed., Supp. V). The Act neither regulates a commercial activity nor contains a requirement that the possession be connected in any way to interstate commerce. We hold that the Act exceeds the authority of Congress "[t]o regulate Commerce…among the several States…. " U.S.Const., Art. I, § 8, cl. 3.</w:t>
      </w:r>
    </w:p>
    <w:p w:rsidR="00A31137" w:rsidRPr="00A31137" w:rsidRDefault="00A31137" w:rsidP="00A31137">
      <w:r w:rsidRPr="00A31137">
        <w:t>1995, United States v. Lopez, No. 93-1260</w:t>
      </w:r>
    </w:p>
    <w:p w:rsidR="00A31137" w:rsidRPr="00A31137" w:rsidRDefault="00A31137" w:rsidP="00A31137">
      <w:r w:rsidRPr="00A31137">
        <w:t>On March 10, 1992, respondent, who was then a 12th-grade student, arrived at Edison High School in San Antonio, Texas, carrying a concealed .38 caliber handgun and five bullets. Acting upon an anonymous tip, school authorities confronted respondent, who admitted that he was carrying the weapon. He was arrested and charged under Texas law with firearm possession on school premises. See Tex. Penal Code Ann. § 46.03(a)(1) (Supp. 1994). The next day, the state charges were dismissed after federal agents charged respondent by complaint with violating the Gun-Free School Zones Act of 1990. 18 U.S.C. § 922(q)(1)(A) (1988 ed., Supp. V). 1</w:t>
      </w:r>
    </w:p>
    <w:p w:rsidR="00A31137" w:rsidRPr="00A31137" w:rsidRDefault="00A31137" w:rsidP="00A31137">
      <w:r w:rsidRPr="00A31137">
        <w:t>1995, United States v. Lopez, No. 93-1260</w:t>
      </w:r>
    </w:p>
    <w:p w:rsidR="00A31137" w:rsidRPr="00A31137" w:rsidRDefault="00A31137" w:rsidP="00A31137">
      <w:r w:rsidRPr="00A31137">
        <w:t>A federal grand jury indicted respondent on one count of knowing possession of a firearm at a school zone, in violation of § 922(q). Respondent moved to dismiss his federal indictment on the ground that § 922(q) "is unconstitutional as it is beyond the power of Congress to legislate control over our public schools." The District Court denied the motion, concluding that § 922(q)</w:t>
      </w:r>
    </w:p>
    <w:p w:rsidR="00A31137" w:rsidRPr="00A31137" w:rsidRDefault="00A31137" w:rsidP="00A31137">
      <w:r w:rsidRPr="00A31137">
        <w:t>1995, United States v. Lopez, No. 93-1260</w:t>
      </w:r>
    </w:p>
    <w:p w:rsidR="00A31137" w:rsidRPr="00A31137" w:rsidRDefault="00A31137" w:rsidP="00A31137">
      <w:r w:rsidRPr="00A31137">
        <w:t>is a constitutional exercise of Congress' well-defined power to regulate activities in and affecting commerce, and the "business" of elementary, middle and high schools…affects interstate commerce.</w:t>
      </w:r>
    </w:p>
    <w:p w:rsidR="00A31137" w:rsidRPr="00A31137" w:rsidRDefault="00A31137" w:rsidP="00A31137">
      <w:r w:rsidRPr="00A31137">
        <w:t>1995, United States v. Lopez, No. 93-1260</w:t>
      </w:r>
    </w:p>
    <w:p w:rsidR="00A31137" w:rsidRPr="00A31137" w:rsidRDefault="00A31137" w:rsidP="00A31137">
      <w:r w:rsidRPr="00A31137">
        <w:t>App. to Pet. for Cert. 55a. Respondent waived his right to a jury trial. The District Court conducted a bench trial, found him guilty of violating § 922(q), and sentenced him to six months' imprisonment and two years' supervised release.</w:t>
      </w:r>
    </w:p>
    <w:p w:rsidR="00A31137" w:rsidRPr="00A31137" w:rsidRDefault="00A31137" w:rsidP="00A31137">
      <w:r w:rsidRPr="00A31137">
        <w:t>1995, United States v. Lopez, No. 93-1260</w:t>
      </w:r>
    </w:p>
    <w:p w:rsidR="00A31137" w:rsidRPr="00A31137" w:rsidRDefault="00A31137" w:rsidP="00A31137">
      <w:r w:rsidRPr="00A31137">
        <w:t>On appeal, respondent challenged his conviction based on his claim that § 922(q) exceeded Congress' power to legislate under the Commerce Clause. The Court of Appeals for the Fifth Circuit agreed, and reversed respondent's conviction. It held that, in light of what it characterized as insufficient congressional findings and legislative history, "section 922(q), in the full reach of its terms, is invalid as beyond the power of Congress under the Commerce Clause." 2 F.3d 1342, 1367-1368 (1993). Because of the importance of the issue, we granted certiorari, 511 U.S. ___ (1994), and we now affirm.</w:t>
      </w:r>
    </w:p>
    <w:p w:rsidR="00A31137" w:rsidRPr="00A31137" w:rsidRDefault="00A31137" w:rsidP="00A31137">
      <w:r w:rsidRPr="00A31137">
        <w:t>1995, United States v. Lopez, No. 93-1260</w:t>
      </w:r>
    </w:p>
    <w:p w:rsidR="00A31137" w:rsidRPr="00A31137" w:rsidRDefault="00A31137" w:rsidP="00A31137">
      <w:r w:rsidRPr="00A31137">
        <w:t>We start with first principles. The Constitution creates a Federal Government of enumerated powers. See U.S.Const., Art. I, § 8. As James Madison wrote,</w:t>
      </w:r>
    </w:p>
    <w:p w:rsidR="00A31137" w:rsidRPr="00A31137" w:rsidRDefault="00A31137" w:rsidP="00A31137">
      <w:r w:rsidRPr="00A31137">
        <w:t>1995, United States v. Lopez, No. 93-1260</w:t>
      </w:r>
    </w:p>
    <w:p w:rsidR="00A31137" w:rsidRPr="00A31137" w:rsidRDefault="00A31137" w:rsidP="00A31137">
      <w:r w:rsidRPr="00A31137">
        <w:t>[t]he powers delegated by the proposed Constitution to the federal government are few and defined. Those which are to remain in the State governments are numerous and indefinite.</w:t>
      </w:r>
    </w:p>
    <w:p w:rsidR="00A31137" w:rsidRPr="00A31137" w:rsidRDefault="00A31137" w:rsidP="00A31137">
      <w:r w:rsidRPr="00A31137">
        <w:t>1995, United States v. Lopez, No. 93-1260</w:t>
      </w:r>
    </w:p>
    <w:p w:rsidR="00A31137" w:rsidRPr="00A31137" w:rsidRDefault="00A31137" w:rsidP="00A31137">
      <w:r w:rsidRPr="00A31137">
        <w:t>The Federalist No. 45, pp. 292-293 (C. Rossiter ed. 1961). This constitutionally mandated division of authority "was adopted by the Framers to ensure protection of our fundamental liberties." Gregory v. Ashcroft, 501 U.S. 452, 458 (1991) (internal quotation marks omitted).</w:t>
      </w:r>
    </w:p>
    <w:p w:rsidR="00A31137" w:rsidRPr="00A31137" w:rsidRDefault="00A31137" w:rsidP="00A31137">
      <w:r w:rsidRPr="00A31137">
        <w:t>1995, United States v. Lopez, No. 93-1260</w:t>
      </w:r>
    </w:p>
    <w:p w:rsidR="00A31137" w:rsidRPr="00A31137" w:rsidRDefault="00A31137" w:rsidP="00A31137">
      <w:r w:rsidRPr="00A31137">
        <w:t>Just as the separation and independence of the coordinate branches of the Federal Government serves to prevent the accumulation of excessive power in any one branch, a healthy balance of power between the States and the Federal Government will reduce the risk of tyranny and abuse from either front.</w:t>
      </w:r>
    </w:p>
    <w:p w:rsidR="00A31137" w:rsidRPr="00A31137" w:rsidRDefault="00A31137" w:rsidP="00A31137">
      <w:r w:rsidRPr="00A31137">
        <w:t>1995, United States v. Lopez, No. 93-1260</w:t>
      </w:r>
    </w:p>
    <w:p w:rsidR="00A31137" w:rsidRPr="00A31137" w:rsidRDefault="00A31137" w:rsidP="00A31137">
      <w:r w:rsidRPr="00A31137">
        <w:t>Ibid.</w:t>
      </w:r>
    </w:p>
    <w:p w:rsidR="00A31137" w:rsidRPr="00A31137" w:rsidRDefault="00A31137" w:rsidP="00A31137">
      <w:r w:rsidRPr="00A31137">
        <w:t>1995, United States v. Lopez, No. 93-1260</w:t>
      </w:r>
    </w:p>
    <w:p w:rsidR="00A31137" w:rsidRPr="00A31137" w:rsidRDefault="00A31137" w:rsidP="00A31137">
      <w:r w:rsidRPr="00A31137">
        <w:t>The Constitution delegates to Congress the power "[t]o regulate Commerce with foreign Nations, and among the several States, and with the Indian Tribes." U.S.Const., Art. I, § 8, cl. 3. The Court, through Chief Justice Marshall, first defined the nature of Congress' commerce power in Gibbons v. Ogden, 9 Wheat. 1, 189-190 (1824):</w:t>
      </w:r>
    </w:p>
    <w:p w:rsidR="00A31137" w:rsidRPr="00A31137" w:rsidRDefault="00A31137" w:rsidP="00A31137">
      <w:r w:rsidRPr="00A31137">
        <w:t>1995, United States v. Lopez, No. 93-1260</w:t>
      </w:r>
    </w:p>
    <w:p w:rsidR="00A31137" w:rsidRPr="00A31137" w:rsidRDefault="00A31137" w:rsidP="00A31137">
      <w:r w:rsidRPr="00A31137">
        <w:t>Commerce, undoubtedly, is traffic, but it is something more: it is intercourse. It describes the commercial intercourse between nations, and parts of nations, in all its branches, and is regulated by prescribing rules for carrying on that intercourse.</w:t>
      </w:r>
    </w:p>
    <w:p w:rsidR="00A31137" w:rsidRPr="00A31137" w:rsidRDefault="00A31137" w:rsidP="00A31137">
      <w:r w:rsidRPr="00A31137">
        <w:t>1995, United States v. Lopez, No. 93-1260</w:t>
      </w:r>
    </w:p>
    <w:p w:rsidR="00A31137" w:rsidRPr="00A31137" w:rsidRDefault="00A31137" w:rsidP="00A31137">
      <w:r w:rsidRPr="00A31137">
        <w:t>The commerce power</w:t>
      </w:r>
    </w:p>
    <w:p w:rsidR="00A31137" w:rsidRPr="00A31137" w:rsidRDefault="00A31137" w:rsidP="00A31137">
      <w:r w:rsidRPr="00A31137">
        <w:t>1995, United States v. Lopez, No. 93-1260</w:t>
      </w:r>
    </w:p>
    <w:p w:rsidR="00A31137" w:rsidRPr="00A31137" w:rsidRDefault="00A31137" w:rsidP="00A31137">
      <w:r w:rsidRPr="00A31137">
        <w:t>is the power to regulate; that is, to prescribe the rule by which commerce is to be governed. This power, like all others vested in Congress, is complete in itself, may be exercised to its utmost extent, and acknowledges no limitations, other than are prescribed in the constitution.</w:t>
      </w:r>
    </w:p>
    <w:p w:rsidR="00A31137" w:rsidRPr="00A31137" w:rsidRDefault="00A31137" w:rsidP="00A31137">
      <w:r w:rsidRPr="00A31137">
        <w:t>1995, United States v. Lopez, No. 93-1260</w:t>
      </w:r>
    </w:p>
    <w:p w:rsidR="00A31137" w:rsidRPr="00A31137" w:rsidRDefault="00A31137" w:rsidP="00A31137">
      <w:r w:rsidRPr="00A31137">
        <w:t>Id. at 196. The Gibbons Court, however, acknowledged that limitations on the commerce power are inherent in the very language of the Commerce Clause.</w:t>
      </w:r>
    </w:p>
    <w:p w:rsidR="00A31137" w:rsidRPr="00A31137" w:rsidRDefault="00A31137" w:rsidP="00A31137">
      <w:r w:rsidRPr="00A31137">
        <w:t>1995, United States v. Lopez, No. 93-1260</w:t>
      </w:r>
    </w:p>
    <w:p w:rsidR="00A31137" w:rsidRPr="00A31137" w:rsidRDefault="00A31137" w:rsidP="00A31137">
      <w:r w:rsidRPr="00A31137">
        <w:t>It is not intended to say that these words comprehend that commerce, which is completely internal, which is carried on between man and man in a State, or between different parts of the same State, and which does not extend to or affect other States. Such a power would be inconvenient, and is certainly unnecessary.</w:t>
      </w:r>
    </w:p>
    <w:p w:rsidR="00A31137" w:rsidRPr="00A31137" w:rsidRDefault="00A31137" w:rsidP="00A31137">
      <w:r w:rsidRPr="00A31137">
        <w:t>1995, United States v. Lopez, No. 93-1260</w:t>
      </w:r>
    </w:p>
    <w:p w:rsidR="00A31137" w:rsidRPr="00A31137" w:rsidRDefault="00A31137" w:rsidP="00A31137">
      <w:r w:rsidRPr="00A31137">
        <w:t>Comprehensive as the word "among" is, it may very properly be restricted to that commerce which concerns more States than one…. The enumeration presupposes something not enumerated; and that something, if we regard the language or the subject of the sentence, must be the exclusively internal commerce of a State.</w:t>
      </w:r>
    </w:p>
    <w:p w:rsidR="00A31137" w:rsidRPr="00A31137" w:rsidRDefault="00A31137" w:rsidP="00A31137">
      <w:r w:rsidRPr="00A31137">
        <w:t>1995, United States v. Lopez, No. 93-1260</w:t>
      </w:r>
    </w:p>
    <w:p w:rsidR="00A31137" w:rsidRPr="00A31137" w:rsidRDefault="00A31137" w:rsidP="00A31137">
      <w:r w:rsidRPr="00A31137">
        <w:t>Id. at 194-195.</w:t>
      </w:r>
    </w:p>
    <w:p w:rsidR="00A31137" w:rsidRPr="00A31137" w:rsidRDefault="00A31137" w:rsidP="00A31137">
      <w:r w:rsidRPr="00A31137">
        <w:t>1995, United States v. Lopez, No. 93-1260</w:t>
      </w:r>
    </w:p>
    <w:p w:rsidR="00A31137" w:rsidRPr="00A31137" w:rsidRDefault="00A31137" w:rsidP="00A31137">
      <w:r w:rsidRPr="00A31137">
        <w:t>For nearly a century thereafter, the Court's Commerce Clause decisions dealt but rarely with the extent of Congress' power, and almost entirely with the Commerce Clause as a limit on state legislation that discriminated against interstate commerce. See, e.g., Veazie v. Moor, 14 How. 568, 573-575 (1853) (upholding a state-created steamboat monopoly because it involved regulation of wholly internal commerce); Kidd v. Pearson, 128 U.S. 1, 17, 20-22 (1888) (upholding a state prohibition on the manufacture of intoxicating liquor because the commerce power "does not comprehend the purely domestic commerce of a State which is carried on between man and man within a State or between different parts of the same State"); see also L. Tribe, American Constitutional Law 306 (2d ed. 1988). Under this line of precedent, the Court held that certain categories of activity such as "production," "manufacturing," and "mining" were within the province of state governments, and thus were beyond the power of Congress under the Commerce Clause. See Wickard v. Filburn, 317 U.S. 111,  121 (1942) (describing development of Commerce Clause jurisprudence).</w:t>
      </w:r>
    </w:p>
    <w:p w:rsidR="00A31137" w:rsidRPr="00A31137" w:rsidRDefault="00A31137" w:rsidP="00A31137">
      <w:r w:rsidRPr="00A31137">
        <w:t>1995, United States v. Lopez, No. 93-1260</w:t>
      </w:r>
    </w:p>
    <w:p w:rsidR="00A31137" w:rsidRPr="00A31137" w:rsidRDefault="00A31137" w:rsidP="00A31137">
      <w:r w:rsidRPr="00A31137">
        <w:t>In 1887, Congress enacted the Interstate Commerce Act, 24 Stat. 379, and in 1890, Congress enacted the Sherman Antitrust Act, 26 Stat. 209, as amended, 15 U.S.C. § 1 et seq. These laws ushered in a new era of federal regulation under the commerce power. When cases involving these laws first reached this Court, we imported from our negative Commerce Clause cases the approach that Congress could not regulate activities such as "production," "manufacturing," and "mining." See, e.g., United States v. E. C. Knight Co., 156 U.S. 1,  12 (1895) ("Commerce succeeds to manufacture, and is not part of it"); Carter v. Carter Coal Co., 298 U.S. 238,  304 (1936) ("Mining brings the subject matter of commerce into existence. Commerce disposes of it"). Simultaneously, however, the Court held that, where the interstate and intrastate aspects of commerce were so mingled together that full regulation of interstate commerce required incidental regulation of intrastate commerce, the Commerce Clause authorized such regulation. See, e.g., Houston, E. &amp; W. T. R. Co. v. United States, 234 U.S. 342 (1914) (Shreveport Rate Cases).</w:t>
      </w:r>
    </w:p>
    <w:p w:rsidR="00A31137" w:rsidRPr="00A31137" w:rsidRDefault="00A31137" w:rsidP="00A31137">
      <w:r w:rsidRPr="00A31137">
        <w:t>1995, United States v. Lopez, No. 93-1260</w:t>
      </w:r>
    </w:p>
    <w:p w:rsidR="00A31137" w:rsidRPr="00A31137" w:rsidRDefault="00A31137" w:rsidP="00A31137">
      <w:r w:rsidRPr="00A31137">
        <w:t>In A. L. A. Schecter Poultry Corp. v. United States, 295 U.S. 495,  550 (1935), the Court struck down regulations that fixed the hours and wages of individuals employed by an intrastate business because the activity being regulated related to interstate commerce only indirectly. In doing so, the Court characterized the distinction between direct and indirect effects of intrastate transactions upon interstate commerce as "a fundamental one, essential to the maintenance of our constitutional system." Id. at  548. Activities that affected interstate commerce directly were within Congress' power; activities that affected interstate commerce indirectly were beyond Congress' reach. Id. at  546. The justification for this formal distinction was rooted in the fear that otherwise "there would be virtually no limit to the federal power and for all practical purposes we should have a completely centralized government." Id. at  548.</w:t>
      </w:r>
    </w:p>
    <w:p w:rsidR="00A31137" w:rsidRPr="00A31137" w:rsidRDefault="00A31137" w:rsidP="00A31137">
      <w:r w:rsidRPr="00A31137">
        <w:t>1995, United States v. Lopez, No. 93-1260</w:t>
      </w:r>
    </w:p>
    <w:p w:rsidR="00A31137" w:rsidRPr="00A31137" w:rsidRDefault="00A31137" w:rsidP="00A31137">
      <w:r w:rsidRPr="00A31137">
        <w:t>Two years later, in the watershed case of NLRB v. Jones &amp; Laughlin Steel Corp., 301 U.S. 1 (1937), the Court upheld the National Labor Relations Act against a Commerce Clause challenge, and in the process, departed from the distinction between "direct" and "indirect" effects on interstate commerce. Id. at 36-38 ("The question [of the scope of Congress' power] is necessarily one of degree"). The Court held that intrastate activities that</w:t>
      </w:r>
    </w:p>
    <w:p w:rsidR="00A31137" w:rsidRPr="00A31137" w:rsidRDefault="00A31137" w:rsidP="00A31137">
      <w:r w:rsidRPr="00A31137">
        <w:t>1995, United States v. Lopez, No. 93-1260</w:t>
      </w:r>
    </w:p>
    <w:p w:rsidR="00A31137" w:rsidRPr="00A31137" w:rsidRDefault="00A31137" w:rsidP="00A31137">
      <w:r w:rsidRPr="00A31137">
        <w:t>have such a close and substantial relation to interstate commerce that their control is essential or appropriate to protect that commerce from burdens and obstructions</w:t>
      </w:r>
    </w:p>
    <w:p w:rsidR="00A31137" w:rsidRPr="00A31137" w:rsidRDefault="00A31137" w:rsidP="00A31137">
      <w:r w:rsidRPr="00A31137">
        <w:t>1995, United States v. Lopez, No. 93-1260</w:t>
      </w:r>
    </w:p>
    <w:p w:rsidR="00A31137" w:rsidRPr="00A31137" w:rsidRDefault="00A31137" w:rsidP="00A31137">
      <w:r w:rsidRPr="00A31137">
        <w:t>are within Congress' power to regulate. Id. at  37.</w:t>
      </w:r>
    </w:p>
    <w:p w:rsidR="00A31137" w:rsidRPr="00A31137" w:rsidRDefault="00A31137" w:rsidP="00A31137">
      <w:r w:rsidRPr="00A31137">
        <w:t>1995, United States v. Lopez, No. 93-1260</w:t>
      </w:r>
    </w:p>
    <w:p w:rsidR="00A31137" w:rsidRPr="00A31137" w:rsidRDefault="00A31137" w:rsidP="00A31137">
      <w:r w:rsidRPr="00A31137">
        <w:t>In United States v. Darby, 312 U.S. 100 (1941), the Court upheld the Fair Labor Standards Act, stating:</w:t>
      </w:r>
    </w:p>
    <w:p w:rsidR="00A31137" w:rsidRPr="00A31137" w:rsidRDefault="00A31137" w:rsidP="00A31137">
      <w:r w:rsidRPr="00A31137">
        <w:t>1995, United States v. Lopez, No. 93-1260</w:t>
      </w:r>
    </w:p>
    <w:p w:rsidR="00A31137" w:rsidRPr="00A31137" w:rsidRDefault="00A31137" w:rsidP="00A31137">
      <w:r w:rsidRPr="00A31137">
        <w:t>The power of Congress over interstate commerce is not confined to the regulation of commerce among the states. It extends to those activities intrastate which so affect interstate commerce or the exercise of the power of Congress over it as to make regulation of them appropriate means to the attainment of a legitimate end, the exercise of the granted power of Congress to regulate interstate commerce.</w:t>
      </w:r>
    </w:p>
    <w:p w:rsidR="00A31137" w:rsidRPr="00A31137" w:rsidRDefault="00A31137" w:rsidP="00A31137">
      <w:r w:rsidRPr="00A31137">
        <w:t>1995, United States v. Lopez, No. 93-1260</w:t>
      </w:r>
    </w:p>
    <w:p w:rsidR="00A31137" w:rsidRPr="00A31137" w:rsidRDefault="00A31137" w:rsidP="00A31137">
      <w:r w:rsidRPr="00A31137">
        <w:t>Id. at  118. See also United States v. Wrightwood Dairy Co., 315 U.S. 110, 119 (1942) (the commerce power "extends to those intrastate activities which in a substantial way interfere with or obstruct the exercise of the granted power").</w:t>
      </w:r>
    </w:p>
    <w:p w:rsidR="00A31137" w:rsidRPr="00A31137" w:rsidRDefault="00A31137" w:rsidP="00A31137">
      <w:r w:rsidRPr="00A31137">
        <w:t>1995, United States v. Lopez, No. 93-1260</w:t>
      </w:r>
    </w:p>
    <w:p w:rsidR="00A31137" w:rsidRPr="00A31137" w:rsidRDefault="00A31137" w:rsidP="00A31137">
      <w:r w:rsidRPr="00A31137">
        <w:t>In Wickard v. Filburn, the Court upheld the application of amendments to the Agricultural Adjustment Act of 1938 to the production and consumption of home-grown wheat. 317 U.S. at 128-129. The Wickard Court explicitly rejected earlier distinctions between direct and indirect effects on interstate commerce, stating:</w:t>
      </w:r>
    </w:p>
    <w:p w:rsidR="00A31137" w:rsidRPr="00A31137" w:rsidRDefault="00A31137" w:rsidP="00A31137">
      <w:r w:rsidRPr="00A31137">
        <w:t>1995, United States v. Lopez, No. 93-1260</w:t>
      </w:r>
    </w:p>
    <w:p w:rsidR="00A31137" w:rsidRPr="00A31137" w:rsidRDefault="00A31137" w:rsidP="00A31137">
      <w:r w:rsidRPr="00A31137">
        <w:t>[E]ven if appellee's activity be local and though it may not be regarded as commerce, it may still, whatever its nature, be reached by Congress if it exerts a substantial economic effect on interstate commerce, and this irrespective of whether such effect is what might at some earlier time have been defined as "direct" or "indirect."</w:t>
      </w:r>
    </w:p>
    <w:p w:rsidR="00A31137" w:rsidRPr="00A31137" w:rsidRDefault="00A31137" w:rsidP="00A31137">
      <w:r w:rsidRPr="00A31137">
        <w:t>1995, United States v. Lopez, No. 93-1260</w:t>
      </w:r>
    </w:p>
    <w:p w:rsidR="00A31137" w:rsidRPr="00A31137" w:rsidRDefault="00A31137" w:rsidP="00A31137">
      <w:r w:rsidRPr="00A31137">
        <w:t>Id. at  125. The Wickard Court emphasized that although Filburn's own contribution to the demand for wheat may have been trivial by itself, that was not</w:t>
      </w:r>
    </w:p>
    <w:p w:rsidR="00A31137" w:rsidRPr="00A31137" w:rsidRDefault="00A31137" w:rsidP="00A31137">
      <w:r w:rsidRPr="00A31137">
        <w:t>1995, United States v. Lopez, No. 93-1260</w:t>
      </w:r>
    </w:p>
    <w:p w:rsidR="00A31137" w:rsidRPr="00A31137" w:rsidRDefault="00A31137" w:rsidP="00A31137">
      <w:r w:rsidRPr="00A31137">
        <w:t>enough to remove him from the scope of federal regulation where, as here, his contribution, taken together with that of many others similarly situated, is far from trivial.</w:t>
      </w:r>
    </w:p>
    <w:p w:rsidR="00A31137" w:rsidRPr="00A31137" w:rsidRDefault="00A31137" w:rsidP="00A31137">
      <w:r w:rsidRPr="00A31137">
        <w:t>1995, United States v. Lopez, No. 93-1260</w:t>
      </w:r>
    </w:p>
    <w:p w:rsidR="00A31137" w:rsidRPr="00A31137" w:rsidRDefault="00A31137" w:rsidP="00A31137">
      <w:r w:rsidRPr="00A31137">
        <w:t xml:space="preserve"> Id. at 127-128.</w:t>
      </w:r>
    </w:p>
    <w:p w:rsidR="00A31137" w:rsidRPr="00A31137" w:rsidRDefault="00A31137" w:rsidP="00A31137">
      <w:r w:rsidRPr="00A31137">
        <w:t>1995, United States v. Lopez, No. 93-1260</w:t>
      </w:r>
    </w:p>
    <w:p w:rsidR="00A31137" w:rsidRPr="00A31137" w:rsidRDefault="00A31137" w:rsidP="00A31137">
      <w:r w:rsidRPr="00A31137">
        <w:t>Jones &amp; Laughlin Steel, Darby, and Wickard ushered in an era of Commerce Clause jurisprudence that greatly expanded the previously defined authority of Congress under that Clause. In part, this was a recognition of the great changes that had occurred in the way business was carried on in this country. Enterprises that had once been local or at most regional in nature had become national in scope. But the doctrinal change also reflected a view that earlier Commerce Clause cases artificially had constrained the authority of Congress to regulate interstate commerce.</w:t>
      </w:r>
    </w:p>
    <w:p w:rsidR="00A31137" w:rsidRPr="00A31137" w:rsidRDefault="00A31137" w:rsidP="00A31137">
      <w:r w:rsidRPr="00A31137">
        <w:t>1995, United States v. Lopez, No. 93-1260</w:t>
      </w:r>
    </w:p>
    <w:p w:rsidR="00A31137" w:rsidRPr="00A31137" w:rsidRDefault="00A31137" w:rsidP="00A31137">
      <w:r w:rsidRPr="00A31137">
        <w:t>But even these modern-era precedents which have expanded congressional power under the Commerce Clause confirm that this power is subject to outer limits. In Jones &amp; Laughlin Steel, the Court warned that the scope of the interstate commerce power</w:t>
      </w:r>
    </w:p>
    <w:p w:rsidR="00A31137" w:rsidRPr="00A31137" w:rsidRDefault="00A31137" w:rsidP="00A31137">
      <w:r w:rsidRPr="00A31137">
        <w:t>1995, United States v. Lopez, No. 93-1260</w:t>
      </w:r>
    </w:p>
    <w:p w:rsidR="00A31137" w:rsidRPr="00A31137" w:rsidRDefault="00A31137" w:rsidP="00A31137">
      <w:r w:rsidRPr="00A31137">
        <w:t>must be considered in the light of our dual system of government and may not be extended so as to embrace effects upon interstate commerce so indirect and remote that to embrace them, in view of our complex society, would effectually obliterate the distinction between what is national and what is local and create a completely centralized government.</w:t>
      </w:r>
    </w:p>
    <w:p w:rsidR="00A31137" w:rsidRPr="00A31137" w:rsidRDefault="00A31137" w:rsidP="00A31137">
      <w:r w:rsidRPr="00A31137">
        <w:t>1995, United States v. Lopez, No. 93-1260</w:t>
      </w:r>
    </w:p>
    <w:p w:rsidR="00A31137" w:rsidRPr="00A31137" w:rsidRDefault="00A31137" w:rsidP="00A31137">
      <w:r w:rsidRPr="00A31137">
        <w:t>301 U.S. at  37; see also Darby, supra, at 119-120 (Congress may regulate intrastate activity that has a "substantial effect" on interstate commerce); Wickard, supra, at  125 (Congress may regulate activity that "exerts a substantial economic effect on interstate commerce"). Since that time, the Court has heeded that warning and undertaken to decide whether a rational basis existed for concluding that a regulated activity sufficiently affected interstate commerce. See, e.g., Hodel v. Virginia Surface Mining &amp; Reclamation Assn., Inc., 452 U.S. 264, 276-280 (1981); Perez v. United States, 402 U.S. 146, 155-156 (1971); Katzenbach v. McClung, 379 U.S. 294, 299-301 (1964); Heart of Atlanta Motel, Inc. v. United States, 379 U.S. 241, 252-253 (1964). 2</w:t>
      </w:r>
    </w:p>
    <w:p w:rsidR="00A31137" w:rsidRPr="00A31137" w:rsidRDefault="00A31137" w:rsidP="00A31137">
      <w:r w:rsidRPr="00A31137">
        <w:t>1995, United States v. Lopez, No. 93-1260</w:t>
      </w:r>
    </w:p>
    <w:p w:rsidR="00A31137" w:rsidRPr="00A31137" w:rsidRDefault="00A31137" w:rsidP="00A31137">
      <w:r w:rsidRPr="00A31137">
        <w:t>Similarly, in Maryland v. Wirtz, 392 U.S. 183 (1968), the Court reaffirmed that "the power to regulate commerce, though broad indeed, has limits" that "[t]he Court has ample power" to enforce. Id. at 196, overruled on other grounds, National League of Cities v. Usery, 426 U.S. 833 (1976), overruled by Garcia v. San Antonio Metropolitan Transit Authority, 469 U.S. 528 (1985). In response to the dissent's warnings that the Court was powerless to enforce the limitations on Congress' commerce powers because "[a]ll activities affecting commerce, even in the minutest degree, [Wickard], may be regulated and controlled by Congress," 392 U.S. at 204 (Douglas, J., dissenting), the Wirtz Court replied that the dissent had misread precedent as</w:t>
      </w:r>
    </w:p>
    <w:p w:rsidR="00A31137" w:rsidRPr="00A31137" w:rsidRDefault="00A31137" w:rsidP="00A31137">
      <w:r w:rsidRPr="00A31137">
        <w:t>1995, United States v. Lopez, No. 93-1260</w:t>
      </w:r>
    </w:p>
    <w:p w:rsidR="00A31137" w:rsidRPr="00A31137" w:rsidRDefault="00A31137" w:rsidP="00A31137">
      <w:r w:rsidRPr="00A31137">
        <w:t>[n]either here nor in Wickard has the Court declared that Congress may use a relatively trivial impact on commerce as an excuse for broad general regulation of state or private activities,</w:t>
      </w:r>
    </w:p>
    <w:p w:rsidR="00A31137" w:rsidRPr="00A31137" w:rsidRDefault="00A31137" w:rsidP="00A31137">
      <w:r w:rsidRPr="00A31137">
        <w:t>1995, United States v. Lopez, No. 93-1260</w:t>
      </w:r>
    </w:p>
    <w:p w:rsidR="00A31137" w:rsidRPr="00A31137" w:rsidRDefault="00A31137" w:rsidP="00A31137">
      <w:r w:rsidRPr="00A31137">
        <w:t>id. at 197, n. 27. Rather,</w:t>
      </w:r>
    </w:p>
    <w:p w:rsidR="00A31137" w:rsidRPr="00A31137" w:rsidRDefault="00A31137" w:rsidP="00A31137">
      <w:r w:rsidRPr="00A31137">
        <w:t>1995, United States v. Lopez, No. 93-1260</w:t>
      </w:r>
    </w:p>
    <w:p w:rsidR="00A31137" w:rsidRPr="00A31137" w:rsidRDefault="00A31137" w:rsidP="00A31137">
      <w:r w:rsidRPr="00A31137">
        <w:t>[t]he Court has said only that where a general regulatory statute bears a substantial relation to commerce, the de minimis character of individual instances arising under that statute is of no consequence.</w:t>
      </w:r>
    </w:p>
    <w:p w:rsidR="00A31137" w:rsidRPr="00A31137" w:rsidRDefault="00A31137" w:rsidP="00A31137">
      <w:r w:rsidRPr="00A31137">
        <w:t>1995, United States v. Lopez, No. 93-1260</w:t>
      </w:r>
    </w:p>
    <w:p w:rsidR="00A31137" w:rsidRPr="00A31137" w:rsidRDefault="00A31137" w:rsidP="00A31137">
      <w:r w:rsidRPr="00A31137">
        <w:t>Ibid. (first emphasis added).</w:t>
      </w:r>
    </w:p>
    <w:p w:rsidR="00A31137" w:rsidRPr="00A31137" w:rsidRDefault="00A31137" w:rsidP="00A31137">
      <w:r w:rsidRPr="00A31137">
        <w:t>1995, United States v. Lopez, No. 93-1260</w:t>
      </w:r>
    </w:p>
    <w:p w:rsidR="00A31137" w:rsidRPr="00A31137" w:rsidRDefault="00A31137" w:rsidP="00A31137">
      <w:r w:rsidRPr="00A31137">
        <w:t>Consistent with this structure, we have identified three broad categories of activity that Congress may regulate under its commerce power. Perez v. United States, supra, at 150; see also Hodel v. Virginia Surface Mining &amp; Reclamation Assn., supra, at 276-277. First, Congress may regulate the use of the channels of interstate commerce. See, e.g., Darby, 312 U.S. at  114; Heart of Atlanta Motel, supra, at  256 ("'[T]he authority of Congress to keep the channels of interstate commerce free from immoral and injurious uses has been frequently sustained, and is no longer open to question.'" (quoting Caminetti v. United States, 242 U.S. 470, 491 (1917))). Second, Congress is empowered to regulate and protect the instrumentalities of interstate commerce, or persons or things in interstate commerce, even though the threat may come only from intrastate activities. See, e.g., Shreveport Rate Cases, 234 U.S. 342 (1914); Southern R. Co. v. United States, 222 U.S. 20 (1911) (upholding amendments to Safety Appliance Act as applied to vehicles used in intrastate commerce); Perez, supra, at 150 ("[F]or example, the destruction of an aircraft (18 U.S.C. § 32), or…thefts from interstate shipments (18 U.S.C. § 659)"). Finally, Congress' commerce authority includes the power to regulate those activities having a substantial relation to interstate commerce, Jones &amp; Laughlin Steel, 301 U.S. at  37, i.e., those activities that substantially affect interstate commerce. Wirtz, supra, at 196, n. 27.</w:t>
      </w:r>
    </w:p>
    <w:p w:rsidR="00A31137" w:rsidRPr="00A31137" w:rsidRDefault="00A31137" w:rsidP="00A31137">
      <w:r w:rsidRPr="00A31137">
        <w:t>1995, United States v. Lopez, No. 93-1260</w:t>
      </w:r>
    </w:p>
    <w:p w:rsidR="00A31137" w:rsidRPr="00A31137" w:rsidRDefault="00A31137" w:rsidP="00A31137">
      <w:r w:rsidRPr="00A31137">
        <w:t>Within this final category, admittedly, our case law has not been clear whether an activity must "affect" or "substantially affect" interstate commerce in order to be within Congress' power to regulate it under the Commerce Clause. Compare Preseault v. ICC, 494 U.S. 1, 17 (1990), with Wirtz, supra, at 196, n. 27 (the Court has never declared that "Congress may use a relatively trivial impact on commerce as an excuse for broad general regulation of state or private activities"). We conclude, consistent with the great weight of our case law, that the proper test requires an analysis of whether the regulated activity "substantially affects" interstate commerce.</w:t>
      </w:r>
    </w:p>
    <w:p w:rsidR="00A31137" w:rsidRPr="00A31137" w:rsidRDefault="00A31137" w:rsidP="00A31137">
      <w:r w:rsidRPr="00A31137">
        <w:t>1995, United States v. Lopez, No. 93-1260</w:t>
      </w:r>
    </w:p>
    <w:p w:rsidR="00A31137" w:rsidRPr="00A31137" w:rsidRDefault="00A31137" w:rsidP="00A31137">
      <w:r w:rsidRPr="00A31137">
        <w:t>We now turn to consider the power of Congress, in the light of this framework, to enact § 922(q). The first two categories of authority may be quickly disposed of: § 922(q) is not a regulation of the use of the channels of interstate commerce, nor is it an attempt to prohibit the interstate transportation of a commodity through the channels of commerce; nor can § 922(q) be justified as a regulation by which Congress has sought to protect an instrumentality of interstate commerce or a thing in interstate commerce. Thus, if § 922(q) is to be sustained, it must be under the third category as a regulation of an activity that substantially affects interstate commerce.</w:t>
      </w:r>
    </w:p>
    <w:p w:rsidR="00A31137" w:rsidRPr="00A31137" w:rsidRDefault="00A31137" w:rsidP="00A31137">
      <w:r w:rsidRPr="00A31137">
        <w:t>1995, United States v. Lopez, No. 93-1260</w:t>
      </w:r>
    </w:p>
    <w:p w:rsidR="00A31137" w:rsidRPr="00A31137" w:rsidRDefault="00A31137" w:rsidP="00A31137">
      <w:r w:rsidRPr="00A31137">
        <w:t>First, we have upheld a wide variety of congressional Acts regulating intrastate economic activity where we have concluded that the activity substantially affected interstate commerce. Examples include the regulation of intrastate coal mining; Hodel, supra, intrastate extortionate credit transactions, Perez, supra, restaurants utilizing substantial interstate supplies, McClung, supra, inns and hotels catering to interstate guests, Heart of Atlanta Motel, supra, and production and consumption of home-grown wheat, Wickard v. Filburn, 317 U.S. 111 (1942). These examples are by no means exhaustive, but the pattern is clear. Where economic activity substantially affects interstate commerce, legislation regulating that activity will be sustained.</w:t>
      </w:r>
    </w:p>
    <w:p w:rsidR="00A31137" w:rsidRPr="00A31137" w:rsidRDefault="00A31137" w:rsidP="00A31137">
      <w:r w:rsidRPr="00A31137">
        <w:t>1995, United States v. Lopez, No. 93-1260</w:t>
      </w:r>
    </w:p>
    <w:p w:rsidR="00A31137" w:rsidRPr="00A31137" w:rsidRDefault="00A31137" w:rsidP="00A31137">
      <w:r w:rsidRPr="00A31137">
        <w:t>Even Wickard, which is perhaps the most far-reaching example of Commerce Clause authority over intrastate activity, involved economic activity in a way that the possession of a gun in a school zone does not. Roscoe Filburn operated a small farm in Ohio, on which, in the year involved, he raised 23 acres of wheat. It was his practice to sow winter wheat in the fall, and after harvesting it in July to sell a portion of the crop, to feed part of it to poultry and livestock on the farm, to use some in making flour for home consumption, and to keep the remainder for seeding future crops. The Secretary of Agriculture assessed a penalty against him under the Agricultural Adjustment Act of 1938 because he harvested about 12 acres more wheat than his allotment under the Act permitted. The Act was designed to regulate the volume of wheat moving in interstate and foreign commerce in order to avoid surpluses and shortages, and concomitant fluctuation in wheat prices, which had previously obtained. The Court said, in an opinion sustaining the application of the Act to Filburn's activity:</w:t>
      </w:r>
    </w:p>
    <w:p w:rsidR="00A31137" w:rsidRPr="00A31137" w:rsidRDefault="00A31137" w:rsidP="00A31137">
      <w:r w:rsidRPr="00A31137">
        <w:t>1995, United States v. Lopez, No. 93-1260</w:t>
      </w:r>
    </w:p>
    <w:p w:rsidR="00A31137" w:rsidRPr="00A31137" w:rsidRDefault="00A31137" w:rsidP="00A31137">
      <w:r w:rsidRPr="00A31137">
        <w:t>One of the primary purposes of the Act in question was to increase the market price of wheat and to that end to limit the volume thereof that could affect the market. It can hardly be denied that a factor of such volume and variability as home-consumed wheat would have a substantial influence on price and market conditions. This may arise because being in marketable condition such wheat overhangs the market and, if induced by rising prices, tends to flow into the market and check price increases. But if we assume that it is never marketed, it supplies a need of the man who grew it which would otherwise be reflected by purchases in the open market. Home-grown wheat in this sense competes with wheat in commerce.</w:t>
      </w:r>
    </w:p>
    <w:p w:rsidR="00A31137" w:rsidRPr="00A31137" w:rsidRDefault="00A31137" w:rsidP="00A31137">
      <w:r w:rsidRPr="00A31137">
        <w:t>1995, United States v. Lopez, No. 93-1260</w:t>
      </w:r>
    </w:p>
    <w:p w:rsidR="00A31137" w:rsidRPr="00A31137" w:rsidRDefault="00A31137" w:rsidP="00A31137">
      <w:r w:rsidRPr="00A31137">
        <w:t>317 U.S. at  128.</w:t>
      </w:r>
    </w:p>
    <w:p w:rsidR="00A31137" w:rsidRPr="00A31137" w:rsidRDefault="00A31137" w:rsidP="00A31137">
      <w:r w:rsidRPr="00A31137">
        <w:t>1995, United States v. Lopez, No. 93-1260</w:t>
      </w:r>
    </w:p>
    <w:p w:rsidR="00A31137" w:rsidRPr="00A31137" w:rsidRDefault="00A31137" w:rsidP="00A31137">
      <w:r w:rsidRPr="00A31137">
        <w:t>Section 922(q) is a criminal statute that, by its terms, has nothing to do with "commerce" or any sort of economic enterprise, however broadly one might define those terms. 3 Section 922(q) is not an essential part of a larger regulation of economic activity, in which the regulatory scheme could be undercut unless the intrastate activity were regulated. It cannot, therefore, be sustained under our cases upholding regulations of activities that arise out of or are connected with a commercial transaction, which viewed in the aggregate, substantially affects interstate commerce.</w:t>
      </w:r>
    </w:p>
    <w:p w:rsidR="00A31137" w:rsidRPr="00A31137" w:rsidRDefault="00A31137" w:rsidP="00A31137">
      <w:r w:rsidRPr="00A31137">
        <w:t>1995, United States v. Lopez, No. 93-1260</w:t>
      </w:r>
    </w:p>
    <w:p w:rsidR="00A31137" w:rsidRPr="00A31137" w:rsidRDefault="00A31137" w:rsidP="00A31137">
      <w:r w:rsidRPr="00A31137">
        <w:t>Second, § 922(q) contains no jurisdictional element which would ensure, through case-by-case inquiry, that the firearm possession in question affects interstate commerce. For example, in United States v. Bass, 404 U.S. 336 (1971), the Court interpreted former 18 U.S.C. § 1202(a), which made it a crime for a felon to "receiv[e], posses[s], or transpor[t] in commerce or affecting commerce…any firearm." 404 U.S. at 337. The Court interpreted the possession component of § 1202(a) to require an additional nexus to interstate commerce both because the statute was ambiguous and because "unless Congress conveys its purpose clearly, it will not be deemed to have significantly changed the federal-state balance." Id. at 349. The Bass Court set aside the conviction because although the Government had demonstrated that Bass had possessed a firearm, it had failed "to show the requisite nexus with interstate commerce." Id. at 347. The Court thus interpreted the statute to reserve the constitutional question whether Congress could regulate, without more, the "mere possession" of firearms. See id. at 339, n. 4; see also United States v. Five Gambling Devices, 346 U.S. 441, 448 (1953) (plurality opinion) ("The principle is old and deeply imbedded in our jurisprudence that this Court will construe a statute in a manner that requires decision of serious constitutional questions only if the statutory language leaves no reasonable alternative"). Unlike the statute in Bass, § 922(q) has no express jurisdictional element which might limit its reach to a discrete set of firearm possessions that additionally have an explicit connection with or effect on interstate commerce.</w:t>
      </w:r>
    </w:p>
    <w:p w:rsidR="00A31137" w:rsidRPr="00A31137" w:rsidRDefault="00A31137" w:rsidP="00A31137">
      <w:r w:rsidRPr="00A31137">
        <w:t>1995, United States v. Lopez, No. 93-1260</w:t>
      </w:r>
    </w:p>
    <w:p w:rsidR="00A31137" w:rsidRPr="00A31137" w:rsidRDefault="00A31137" w:rsidP="00A31137">
      <w:r w:rsidRPr="00A31137">
        <w:t>Although as part of our independent evaluation of constitutionality under the Commerce Clause we of course consider legislative findings, and indeed even congressional committee findings, regarding effect on interstate commerce, see, e.g., Preseault v. ICC, 494 U.S. 1, 17 (1990), the Government concedes that</w:t>
      </w:r>
    </w:p>
    <w:p w:rsidR="00A31137" w:rsidRPr="00A31137" w:rsidRDefault="00A31137" w:rsidP="00A31137">
      <w:r w:rsidRPr="00A31137">
        <w:t>1995, United States v. Lopez, No. 93-1260</w:t>
      </w:r>
    </w:p>
    <w:p w:rsidR="00A31137" w:rsidRPr="00A31137" w:rsidRDefault="00A31137" w:rsidP="00A31137">
      <w:r w:rsidRPr="00A31137">
        <w:t>[n]either the statute nor its legislative history contain[s] express congressional findings regarding the effects upon interstate commerce of gun possession in a school zone.</w:t>
      </w:r>
    </w:p>
    <w:p w:rsidR="00A31137" w:rsidRPr="00A31137" w:rsidRDefault="00A31137" w:rsidP="00A31137">
      <w:r w:rsidRPr="00A31137">
        <w:t>1995, United States v. Lopez, No. 93-1260</w:t>
      </w:r>
    </w:p>
    <w:p w:rsidR="00A31137" w:rsidRPr="00A31137" w:rsidRDefault="00A31137" w:rsidP="00A31137">
      <w:r w:rsidRPr="00A31137">
        <w:t>Brief for United States 5-6. We agree with the Government that Congress normally is not required to make formal findings as to the substantial burdens that an activity has on interstate commerce. See McClung, 379 U.S. at  304; see also Perez, 402 U.S. at 156 ("Congress need [not] make particularized findings in order to legislate"). But to the extent that congressional findings would enable us to evaluate the legislative judgment that the activity in question substantially affected interstate commerce, even though no such substantial effect was visible to the naked eye, they are lacking here. 4</w:t>
      </w:r>
    </w:p>
    <w:p w:rsidR="00A31137" w:rsidRPr="00A31137" w:rsidRDefault="00A31137" w:rsidP="00A31137">
      <w:r w:rsidRPr="00A31137">
        <w:t>1995, United States v. Lopez, No. 93-1260</w:t>
      </w:r>
    </w:p>
    <w:p w:rsidR="00A31137" w:rsidRPr="00A31137" w:rsidRDefault="00A31137" w:rsidP="00A31137">
      <w:r w:rsidRPr="00A31137">
        <w:t>The Government argues that Congress has accumulated institutional expertise regarding the regulation of firearms through previous enactments. Cf. Fullilove v. Klutznick, 448 U.S. 448,  503 (1980) (Powell, J., concurring). We agree, however, with the Fifth Circuit that importation of previous findings to justify § 922(q) is especially inappropriate here because the</w:t>
      </w:r>
    </w:p>
    <w:p w:rsidR="00A31137" w:rsidRPr="00A31137" w:rsidRDefault="00A31137" w:rsidP="00A31137">
      <w:r w:rsidRPr="00A31137">
        <w:t>1995, United States v. Lopez, No. 93-1260</w:t>
      </w:r>
    </w:p>
    <w:p w:rsidR="00A31137" w:rsidRPr="00A31137" w:rsidRDefault="00A31137" w:rsidP="00A31137">
      <w:r w:rsidRPr="00A31137">
        <w:t>prior federal enactments or Congressional findings [do not] speak to the subject matter of section 922(q) or its relationship to interstate commerce. Indeed, section 922(q) plows thoroughly new ground and represents a sharp break with the longstanding pattern of federal firearms legislation.</w:t>
      </w:r>
    </w:p>
    <w:p w:rsidR="00A31137" w:rsidRPr="00A31137" w:rsidRDefault="00A31137" w:rsidP="00A31137">
      <w:r w:rsidRPr="00A31137">
        <w:t>1995, United States v. Lopez, No. 93-1260</w:t>
      </w:r>
    </w:p>
    <w:p w:rsidR="00A31137" w:rsidRPr="00A31137" w:rsidRDefault="00A31137" w:rsidP="00A31137">
      <w:r w:rsidRPr="00A31137">
        <w:t>2 F.3d at 1366.</w:t>
      </w:r>
    </w:p>
    <w:p w:rsidR="00A31137" w:rsidRPr="00A31137" w:rsidRDefault="00A31137" w:rsidP="00A31137">
      <w:r w:rsidRPr="00A31137">
        <w:t>1995, United States v. Lopez, No. 93-1260</w:t>
      </w:r>
    </w:p>
    <w:p w:rsidR="00A31137" w:rsidRPr="00A31137" w:rsidRDefault="00A31137" w:rsidP="00A31137">
      <w:r w:rsidRPr="00A31137">
        <w:t>The Government's essential contention, in fine, is that we may determine here that § 922(q) is valid because possession of a firearm in a local school zone does indeed substantially affect interstate commerce. Brief for United States 17. The Government argues that possession of a firearm in a school zone may result in violent crime and that violent crime can be expected to affect the functioning of the national economy in two ways. First, the costs of violent crime are substantial, and, through the mechanism of insurance, those costs are spread throughout the population. See United States v. Evans, 928 F.2d 858, 862 (CA9 1991). Second, violent crime reduces the willingness of individuals to travel to areas within the country that are perceived to be unsafe. Cf. Heart of Atlanta Motel, 379 U.S. at  253. The Government also argues that the presence of guns in schools poses a substantial threat to the educational process by threatening the learning environment. A handicapped educational process, in turn, will result in a less productive citizenry. That, in turn, would have an adverse effect on the Nation's economic wellbeing. As a result, the Government argues that Congress could rationally have concluded that § 922(q) substantially affects interstate commerce.</w:t>
      </w:r>
    </w:p>
    <w:p w:rsidR="00A31137" w:rsidRPr="00A31137" w:rsidRDefault="00A31137" w:rsidP="00A31137">
      <w:r w:rsidRPr="00A31137">
        <w:t>1995, United States v. Lopez, No. 93-1260</w:t>
      </w:r>
    </w:p>
    <w:p w:rsidR="00A31137" w:rsidRPr="00A31137" w:rsidRDefault="00A31137" w:rsidP="00A31137">
      <w:r w:rsidRPr="00A31137">
        <w:t>We pause to consider the implications of the Government's arguments. The Government admits, under its "costs of crime" reasoning, that Congress could regulate not only all violent crime, but all activities that might lead to violent crime, regardless of how tenuously they relate to interstate commerce. See Tr. of Oral Arg. 8-9. Similarly, under the Government's "national productivity" reasoning, Congress could regulate any activity that it found was related to the economic productivity of individual citizens: family law (including marriage, divorce, and child custody), for example. Under the theories that the Government presents in support of § 922(q), it is difficult to perceive any limitation on federal power, even in areas such as criminal law enforcement or education where States historically have been sovereign. Thus, if we were to accept the Government's arguments, we are hard-pressed to posit any activity by an individual that Congress is without power to regulate.</w:t>
      </w:r>
    </w:p>
    <w:p w:rsidR="00A31137" w:rsidRPr="00A31137" w:rsidRDefault="00A31137" w:rsidP="00A31137">
      <w:r w:rsidRPr="00A31137">
        <w:t>1995, United States v. Lopez, No. 93-1260</w:t>
      </w:r>
    </w:p>
    <w:p w:rsidR="00A31137" w:rsidRPr="00A31137" w:rsidRDefault="00A31137" w:rsidP="00A31137">
      <w:r w:rsidRPr="00A31137">
        <w:t>Although JUSTICE BREYER argues that acceptance of the Government's rationales would not authorize a general federal police power, he is unable to identify any activity that the States may regulate but Congress may not. JUSTICE BREYER posits that there might be some limitations on Congress' commerce power such as family law or certain aspects of education. Post at ___. These suggested limitations, when viewed in light of the dissent's expansive analysis, are devoid of substance.</w:t>
      </w:r>
    </w:p>
    <w:p w:rsidR="00A31137" w:rsidRPr="00A31137" w:rsidRDefault="00A31137" w:rsidP="00A31137">
      <w:r w:rsidRPr="00A31137">
        <w:t>1995, United States v. Lopez, No. 93-1260</w:t>
      </w:r>
    </w:p>
    <w:p w:rsidR="00A31137" w:rsidRPr="00A31137" w:rsidRDefault="00A31137" w:rsidP="00A31137">
      <w:r w:rsidRPr="00A31137">
        <w:t>JUSTICE BREYER focuses, for the most part, on the threat that firearm possession in and near schools poses to the educational process and the potential economic consequences flowing from that threat. Post at ___. Specifically, the dissent reasons that (1) gun-related violence is a serious problem; (2) that problem, in turn, has an adverse effect on classroom learning; and (3) that adverse effect on classroom learning, in turn, represents a substantial threat to trade and commerce. Post at ___. This analysis would be equally applicable, if not more so, to subjects such as family law and direct regulation of education.</w:t>
      </w:r>
    </w:p>
    <w:p w:rsidR="00A31137" w:rsidRPr="00A31137" w:rsidRDefault="00A31137" w:rsidP="00A31137">
      <w:r w:rsidRPr="00A31137">
        <w:t>1995, United States v. Lopez, No. 93-1260</w:t>
      </w:r>
    </w:p>
    <w:p w:rsidR="00A31137" w:rsidRPr="00A31137" w:rsidRDefault="00A31137" w:rsidP="00A31137">
      <w:r w:rsidRPr="00A31137">
        <w:t>For instance, if Congress can, pursuant to its Commerce Clause power, regulate activities that adversely affect the learning environment, then, a fortiori, it also can regulate the educational process directly. Congress could determine that a school's curriculum has a "significant" effect on the extent of classroom learning. As a result, Congress could mandate a federal curriculum for local elementary and secondary schools because what is taught in local schools has a significant "effect on classroom learning," cf. post at ___, and that, in turn, has a substantial effect on interstate commerce.</w:t>
      </w:r>
    </w:p>
    <w:p w:rsidR="00A31137" w:rsidRPr="00A31137" w:rsidRDefault="00A31137" w:rsidP="00A31137">
      <w:r w:rsidRPr="00A31137">
        <w:t>1995, United States v. Lopez, No. 93-1260</w:t>
      </w:r>
    </w:p>
    <w:p w:rsidR="00A31137" w:rsidRPr="00A31137" w:rsidRDefault="00A31137" w:rsidP="00A31137">
      <w:r w:rsidRPr="00A31137">
        <w:t>JUSTICE BREYER rejects our reading of precedent and argues that "Congress…could rationally conclude that schools fall on the commercial side of the line." Post at ___. Again, JUSTICE BREYER's rationale lacks any real limits because, depending on the level of generality, any activity can be looked upon as commercial. Under the dissent's rationale, Congress could just as easily look at child rearing as "fall[ing] on the commercial side of the line" because it provides a "valuable service—namely, to equip [children] with the skills they need to survive in life and, more specifically, in the workplace." Ibid. We do not doubt that Congress has authority under the Commerce Clause to regulate numerous commercial activities that substantially affect interstate commerce and also affect the educational process. That authority, though broad, does not include the authority to regulate each and every aspect of local schools.</w:t>
      </w:r>
    </w:p>
    <w:p w:rsidR="00A31137" w:rsidRPr="00A31137" w:rsidRDefault="00A31137" w:rsidP="00A31137">
      <w:r w:rsidRPr="00A31137">
        <w:t>1995, United States v. Lopez, No. 93-1260</w:t>
      </w:r>
    </w:p>
    <w:p w:rsidR="00A31137" w:rsidRPr="00A31137" w:rsidRDefault="00A31137" w:rsidP="00A31137">
      <w:r w:rsidRPr="00A31137">
        <w:t>Admittedly, a determination whether an intrastate activity is commercial or noncommercial may in some cases result in legal uncertainty. But, so long as Congress' authority is limited to those powers enumerated in the Constitution, and so long as those enumerated powers are interpreted as having judicially enforceable outer limits, congressional legislation under the Commerce Clause always will engender "legal uncertainty." Post at ___. As Chief Justice Marshall stated in McCulloch v. Maryland, 4 Wheat. 316 (1819):</w:t>
      </w:r>
    </w:p>
    <w:p w:rsidR="00A31137" w:rsidRPr="00A31137" w:rsidRDefault="00A31137" w:rsidP="00A31137">
      <w:r w:rsidRPr="00A31137">
        <w:t>1995, United States v. Lopez, No. 93-1260</w:t>
      </w:r>
    </w:p>
    <w:p w:rsidR="00A31137" w:rsidRPr="00A31137" w:rsidRDefault="00A31137" w:rsidP="00A31137">
      <w:r w:rsidRPr="00A31137">
        <w:t>The [federal] government is acknowledged by all to be one of enumerated powers. The principle, that it can exercise only the powers granted to it…is now universally admitted. But the question respecting the extent of the powers actually granted, is perpetually arising, and will probably continue to arise, as long as our system shall exist.</w:t>
      </w:r>
    </w:p>
    <w:p w:rsidR="00A31137" w:rsidRPr="00A31137" w:rsidRDefault="00A31137" w:rsidP="00A31137">
      <w:r w:rsidRPr="00A31137">
        <w:t>1995, United States v. Lopez, No. 93-1260</w:t>
      </w:r>
    </w:p>
    <w:p w:rsidR="00A31137" w:rsidRPr="00A31137" w:rsidRDefault="00A31137" w:rsidP="00A31137">
      <w:r w:rsidRPr="00A31137">
        <w:t>Id. at  405. See also Gibbons v. Ogden, 9 Wheat. at 195 ("The enumeration presupposes something not enumerated"). The Constitution mandates this uncertainty by withholding from Congress a plenary police power that would authorize enactment of every type of legislation. See U.S.Const., Art. I, § 8. Congress has operated within this framework of legal uncertainty ever since this Court determined that it was the judiciary's duty "to say what the law is." Marbury v. Madison, 1 Cranch. 137,  177 (1803) (Marshall, C.J.). Any possible benefit from eliminating this "legal uncertainty" would be at the expense of the Constitution's system of enumerated powers.</w:t>
      </w:r>
    </w:p>
    <w:p w:rsidR="00A31137" w:rsidRPr="00A31137" w:rsidRDefault="00A31137" w:rsidP="00A31137">
      <w:r w:rsidRPr="00A31137">
        <w:t>1995, United States v. Lopez, No. 93-1260</w:t>
      </w:r>
    </w:p>
    <w:p w:rsidR="00A31137" w:rsidRPr="00A31137" w:rsidRDefault="00A31137" w:rsidP="00A31137">
      <w:r w:rsidRPr="00A31137">
        <w:t>In Jones &amp; Laughlin Steel, 301 U.S. at  37, we held that the question of congressional power under the Commerce Clause "is necessarily one of degree." To the same effect is the concurring opinion of Justice Cardozo in Schecter Poultry:</w:t>
      </w:r>
    </w:p>
    <w:p w:rsidR="00A31137" w:rsidRPr="00A31137" w:rsidRDefault="00A31137" w:rsidP="00A31137">
      <w:r w:rsidRPr="00A31137">
        <w:t>1995, United States v. Lopez, No. 93-1260</w:t>
      </w:r>
    </w:p>
    <w:p w:rsidR="00A31137" w:rsidRPr="00A31137" w:rsidRDefault="00A31137" w:rsidP="00A31137">
      <w:r w:rsidRPr="00A31137">
        <w:t>There is a view of causation that would obliterate the distinction of what is national and what is local in the activities of commerce. Motion at the outer rim is communicated perceptibly, though minutely, to recording instruments at the center. A society such as ours "is an elastic medium which transmits all tremors throughout its territory; the only question is of their size."</w:t>
      </w:r>
    </w:p>
    <w:p w:rsidR="00A31137" w:rsidRPr="00A31137" w:rsidRDefault="00A31137" w:rsidP="00A31137">
      <w:r w:rsidRPr="00A31137">
        <w:t>1995, United States v. Lopez, No. 93-1260</w:t>
      </w:r>
    </w:p>
    <w:p w:rsidR="00A31137" w:rsidRPr="00A31137" w:rsidRDefault="00A31137" w:rsidP="00A31137">
      <w:r w:rsidRPr="00A31137">
        <w:t>295 U.S. at  554 (quoting United States v. A.L.A. Schecter Poultry Corp, 76 F.2d 617, 624 (CA2 1935) (L. Hand, J., concurring)).</w:t>
      </w:r>
    </w:p>
    <w:p w:rsidR="00A31137" w:rsidRPr="00A31137" w:rsidRDefault="00A31137" w:rsidP="00A31137">
      <w:r w:rsidRPr="00A31137">
        <w:t>1995, United States v. Lopez, No. 93-1260</w:t>
      </w:r>
    </w:p>
    <w:p w:rsidR="00A31137" w:rsidRPr="00A31137" w:rsidRDefault="00A31137" w:rsidP="00A31137">
      <w:r w:rsidRPr="00A31137">
        <w:t>These are not precise formulations, and in the nature of things they cannot be. But we think they point the way to a correct decision of this case. The possession of a gun in a local school zone is in no sense an economic activity that might, through repetition elsewhere, substantially affect any sort of interstate commerce. Respondent was a local student at a local school; there is no indication that he had recently moved in interstate commerce, and there is no requirement that his possession of the firearm have any concrete tie to interstate commerce.</w:t>
      </w:r>
    </w:p>
    <w:p w:rsidR="00A31137" w:rsidRPr="00A31137" w:rsidRDefault="00A31137" w:rsidP="00A31137">
      <w:r w:rsidRPr="00A31137">
        <w:t>1995, United States v. Lopez, No. 93-1260</w:t>
      </w:r>
    </w:p>
    <w:p w:rsidR="00A31137" w:rsidRPr="00A31137" w:rsidRDefault="00A31137" w:rsidP="00A31137">
      <w:r w:rsidRPr="00A31137">
        <w:t>To uphold the Government's contentions here, we would have to pile inference upon inference in a manner that would bid fair to convert congressional authority under the Commerce Clause to a general police power of the sort retained by the States. Admittedly, some of our prior cases have taken long steps down that road, giving great deference to congressional action. See supra at ___. The broad language in these opinions has suggested the possibility of additional expansion, but we decline here to proceed any further. To do so would require us to conclude that the Constitution's enumeration of powers does not presuppose something not enumerated, cf. Gibbons v. Ogden, supra at  195, and that there never will be a distinction between what is truly national and what is truly local, cf. Jones &amp; Laughlin Steel, supra at  30. This we are unwilling to do.</w:t>
      </w:r>
    </w:p>
    <w:p w:rsidR="00A31137" w:rsidRPr="00A31137" w:rsidRDefault="00A31137" w:rsidP="00A31137">
      <w:r w:rsidRPr="00A31137">
        <w:t>1995, United States v. Lopez, No. 93-1260</w:t>
      </w:r>
    </w:p>
    <w:p w:rsidR="00A31137" w:rsidRPr="00A31137" w:rsidRDefault="00A31137" w:rsidP="00A31137">
      <w:r w:rsidRPr="00A31137">
        <w:t>For the foregoing reasons the judgment of the Court of Appeals is</w:t>
      </w:r>
    </w:p>
    <w:p w:rsidR="00A31137" w:rsidRPr="00A31137" w:rsidRDefault="00A31137" w:rsidP="00A31137">
      <w:r w:rsidRPr="00A31137">
        <w:t>1995, United States v. Lopez, No. 93-1260</w:t>
      </w:r>
    </w:p>
    <w:p w:rsidR="00A31137" w:rsidRPr="00A31137" w:rsidRDefault="00A31137" w:rsidP="00A31137">
      <w:r w:rsidRPr="00A31137">
        <w:t>Affirmed.</w:t>
      </w:r>
    </w:p>
    <w:p w:rsidR="00A31137" w:rsidRPr="00A31137" w:rsidRDefault="00A31137" w:rsidP="00A31137">
      <w:r w:rsidRPr="00A31137">
        <w:t>KENNEDY, J., concurring</w:t>
      </w:r>
    </w:p>
    <w:p w:rsidR="00A31137" w:rsidRPr="00A31137" w:rsidRDefault="00A31137" w:rsidP="00A31137">
      <w:r w:rsidRPr="00A31137">
        <w:t>1995, United States v. Lopez, No. 93-1260</w:t>
      </w:r>
    </w:p>
    <w:p w:rsidR="00A31137" w:rsidRPr="00A31137" w:rsidRDefault="00A31137" w:rsidP="00A31137">
      <w:r w:rsidRPr="00A31137">
        <w:t>JUSTICE KENNEDY, with whom JUSTICE O'CONNOR joins, concurring.</w:t>
      </w:r>
    </w:p>
    <w:p w:rsidR="00A31137" w:rsidRPr="00A31137" w:rsidRDefault="00A31137" w:rsidP="00A31137">
      <w:r w:rsidRPr="00A31137">
        <w:t>1995, United States v. Lopez, No. 93-1260</w:t>
      </w:r>
    </w:p>
    <w:p w:rsidR="00A31137" w:rsidRPr="00A31137" w:rsidRDefault="00A31137" w:rsidP="00A31137">
      <w:r w:rsidRPr="00A31137">
        <w:t>The history of the judicial struggle to interpret the Commerce Clause during the transition from the economic system the Founders knew to the single, national market still emergent in our own era counsels great restraint before the Court determines that the Clause is insufficient to support an exercise of the national power. That history gives me some pause about today's decision, but I join the Court's opinion with these observations on what I conceive to be its necessary though limited holding.</w:t>
      </w:r>
    </w:p>
    <w:p w:rsidR="00A31137" w:rsidRPr="00A31137" w:rsidRDefault="00A31137" w:rsidP="00A31137">
      <w:r w:rsidRPr="00A31137">
        <w:t>1995, United States v. Lopez, No. 93-1260</w:t>
      </w:r>
    </w:p>
    <w:p w:rsidR="00A31137" w:rsidRPr="00A31137" w:rsidRDefault="00A31137" w:rsidP="00A31137">
      <w:r w:rsidRPr="00A31137">
        <w:t>Chief Justice Marshall announced that the national authority reaches "that commerce which concerns more States than one" and that the commerce power "is complete in itself, may be exercised to its utmost extent, and acknowledges no limitations, other than are prescribed in the constitution." Gibbons v. Ogden, 9 Wheat. 1,  194,  196 (1824). His statements can be understood now as an early and authoritative recognition that the Commerce Clause grants Congress extensive power and ample discretion to determine its appropriate exercise. The progression of our Commerce Clause cases from Gibbons to the present was not marked, however, by a coherent or consistent course of interpretation; for neither the course of technological advance nor the foundational principles for the jurisprudence itself were self-evident to the courts that sought to resolve contemporary disputes by enduring principles.</w:t>
      </w:r>
    </w:p>
    <w:p w:rsidR="00A31137" w:rsidRPr="00A31137" w:rsidRDefault="00A31137" w:rsidP="00A31137">
      <w:r w:rsidRPr="00A31137">
        <w:t>1995, United States v. Lopez, No. 93-1260</w:t>
      </w:r>
    </w:p>
    <w:p w:rsidR="00A31137" w:rsidRPr="00A31137" w:rsidRDefault="00A31137" w:rsidP="00A31137">
      <w:r w:rsidRPr="00A31137">
        <w:t>Furthermore, for almost a century after the adoption of the Constitution, the Court's Commerce Clause decisions did not concern the authority of Congress to legislate. Rather, the Court faced the related but quite distinct question of the authority of the States to regulate matters that would be within the commerce power had Congress chosen to act. The simple fact was that, in the early years of the Republic, Congress seldom perceived the necessity to exercise its power in circumstances where its authority would be called into question. The Court's initial task, therefore, was to elaborate the theories that would permit the States to act where Congress had not done so. Not the least part of the problem was the unresolved question whether the congressional power was exclusive, a question reserved by Chief Justice Marshall in Gibbons v. Ogden, supra, at 209-210.</w:t>
      </w:r>
    </w:p>
    <w:p w:rsidR="00A31137" w:rsidRPr="00A31137" w:rsidRDefault="00A31137" w:rsidP="00A31137">
      <w:r w:rsidRPr="00A31137">
        <w:t>1995, United States v. Lopez, No. 93-1260</w:t>
      </w:r>
    </w:p>
    <w:p w:rsidR="00A31137" w:rsidRPr="00A31137" w:rsidRDefault="00A31137" w:rsidP="00A31137">
      <w:r w:rsidRPr="00A31137">
        <w:t>At the midpoint of the 19th century, the Court embraced the principle that the States and the National Government both have authority to regulate certain matters absent the congressional determination to displace local law or the necessity for the Court to invalidate local law because of the dormant national power. Cooley v. Board of Wardens of Port of Philadelphia, 12 How. 299, 318-321 (1852). But the utility of that solution was not at once apparent, see generally F. Frankfurter, The Commerce Clause under Marshall, Taney and Waite (1937) (hereinafter Frankfurter), and difficulties of application persisted, see Leisy v. Hardin, 135 U.S. 100, 122-125 (1890).</w:t>
      </w:r>
    </w:p>
    <w:p w:rsidR="00A31137" w:rsidRPr="00A31137" w:rsidRDefault="00A31137" w:rsidP="00A31137">
      <w:r w:rsidRPr="00A31137">
        <w:t>1995, United States v. Lopez, No. 93-1260</w:t>
      </w:r>
    </w:p>
    <w:p w:rsidR="00A31137" w:rsidRPr="00A31137" w:rsidRDefault="00A31137" w:rsidP="00A31137">
      <w:r w:rsidRPr="00A31137">
        <w:t>One approach the Court used to inquire into the lawfulness of state authority was to draw content-based or subject-matter distinctions, thus defining by semantic or formalistic categories those activities that were commerce and those that were not. For instance, in deciding that a State could prohibit the instate manufacture of liquor intended for out-of-state shipment, it distinguished between manufacture and commerce.</w:t>
      </w:r>
    </w:p>
    <w:p w:rsidR="00A31137" w:rsidRPr="00A31137" w:rsidRDefault="00A31137" w:rsidP="00A31137">
      <w:r w:rsidRPr="00A31137">
        <w:t>1995, United States v. Lopez, No. 93-1260</w:t>
      </w:r>
    </w:p>
    <w:p w:rsidR="00A31137" w:rsidRPr="00A31137" w:rsidRDefault="00A31137" w:rsidP="00A31137">
      <w:r w:rsidRPr="00A31137">
        <w:t>No distinction is more popular to the common mind, or more clearly expressed in economic and political literature, than that between manufactur[e] and commerce. Manufacture is transformation-the fashioning of raw materials into a change of form for use. The functions of commerce are different.</w:t>
      </w:r>
    </w:p>
    <w:p w:rsidR="00A31137" w:rsidRPr="00A31137" w:rsidRDefault="00A31137" w:rsidP="00A31137">
      <w:r w:rsidRPr="00A31137">
        <w:t>1995, United States v. Lopez, No. 93-1260</w:t>
      </w:r>
    </w:p>
    <w:p w:rsidR="00A31137" w:rsidRPr="00A31137" w:rsidRDefault="00A31137" w:rsidP="00A31137">
      <w:r w:rsidRPr="00A31137">
        <w:t>Kidd v. Pearson, 128 U.S. 1, 20 (1888). Though that approach likely would not have survived even if confined to the question of a State's authority to enact legislation, it was not at all propitious when applied to the quite different question of what subjects were within the reach of the national power when Congress chose to exercise it.</w:t>
      </w:r>
    </w:p>
    <w:p w:rsidR="00A31137" w:rsidRPr="00A31137" w:rsidRDefault="00A31137" w:rsidP="00A31137">
      <w:r w:rsidRPr="00A31137">
        <w:t>1995, United States v. Lopez, No. 93-1260</w:t>
      </w:r>
    </w:p>
    <w:p w:rsidR="00A31137" w:rsidRPr="00A31137" w:rsidRDefault="00A31137" w:rsidP="00A31137">
      <w:r w:rsidRPr="00A31137">
        <w:t>This became evident when the Court began to confront federal economic regulation enacted in response to the rapid industrial development in the late 19th century. Thus, it relied upon the manufacture-commerce dichotomy in United States v. E. C. Knight Co., 156 U.S. 1 (1895), where a manufacturers' combination controlling some 98% of the Nation's domestic sugar refining capacity was held to be outside the reach of the Sherman Act. Conspiracies to control manufacture, agriculture, mining, production, wages, or prices, the Court explained, had too "indirect" an effect on interstate commerce. Id. at  16. And in Adair v. United States, 208 U.S. 161 (1908), the Court rejected the view that the commerce power might extend to activities that, although local in the sense of having originated within a single state, nevertheless had a practical effect on interstate commercial activity. The Court concluded that there was not a "legal or logical connection…between an employee's membership in a labor organization and the carrying on of interstate commerce," id. at  178, and struck down a federal statute forbidding the discharge of an employee because of his membership in a labor organization. See also The Employers' Liability Cases, 207 U.S. 463, 497 (1908) (invalidating statute creating negligence action against common carriers for personal injuries of employees sustained in the course of employment, because the statute "regulates the persons because they engage in interstate commerce and does not alone regulate the business of interstate commerce").</w:t>
      </w:r>
    </w:p>
    <w:p w:rsidR="00A31137" w:rsidRPr="00A31137" w:rsidRDefault="00A31137" w:rsidP="00A31137">
      <w:r w:rsidRPr="00A31137">
        <w:t>1995, United States v. Lopez, No. 93-1260</w:t>
      </w:r>
    </w:p>
    <w:p w:rsidR="00A31137" w:rsidRPr="00A31137" w:rsidRDefault="00A31137" w:rsidP="00A31137">
      <w:r w:rsidRPr="00A31137">
        <w:t>Even before the Court committed itself to sustaining federal legislation on broad principles of economic practicality, it found it necessary to depart from these decisions. The Court disavowed E. C. Knight's reliance on the manufacturing-commerce distinction in Standard Oil Co. of New Jersey v. United States, 221 U.S. 1, 68-69 (1911), declaring that approach "unsound." The Court likewise rejected the rationale of Adair when it decided, in Texas &amp; New Orleans R. Co. v. Railway Clerks, 281 U.S. 548, 570-571 (1930), that Congress had the power to regulate matters pertaining to the organization of railroad workers.</w:t>
      </w:r>
    </w:p>
    <w:p w:rsidR="00A31137" w:rsidRPr="00A31137" w:rsidRDefault="00A31137" w:rsidP="00A31137">
      <w:r w:rsidRPr="00A31137">
        <w:t>1995, United States v. Lopez, No. 93-1260</w:t>
      </w:r>
    </w:p>
    <w:p w:rsidR="00A31137" w:rsidRPr="00A31137" w:rsidRDefault="00A31137" w:rsidP="00A31137">
      <w:r w:rsidRPr="00A31137">
        <w:t>In another line of cases, the Court addressed Congress' efforts to impede local activities it considered undesirable by prohibiting the interstate movement of some essential element. In the Lottery Case, 188 U.S. 321 (1903), the Court rejected the argument that Congress lacked power to prohibit the interstate movement of lottery tickets because it had power only to regulate, not to prohibit. See also Hipolite Egg Co. v. United States, 220 U.S. 45 (1911); Hoke v. United States, 227 U.S. 308 (1913). In Hammer v. Dagenhart, 247 U.S. 251 (1918), however, the Court insisted that the power to regulate commerce "is directly the contrary of the assumed right to forbid commerce from moving," id. at 269-270, and struck down a prohibition on the interstate transportation of goods manufactured in violation of child labor laws.</w:t>
      </w:r>
    </w:p>
    <w:p w:rsidR="00A31137" w:rsidRPr="00A31137" w:rsidRDefault="00A31137" w:rsidP="00A31137">
      <w:r w:rsidRPr="00A31137">
        <w:t>1995, United States v. Lopez, No. 93-1260</w:t>
      </w:r>
    </w:p>
    <w:p w:rsidR="00A31137" w:rsidRPr="00A31137" w:rsidRDefault="00A31137" w:rsidP="00A31137">
      <w:r w:rsidRPr="00A31137">
        <w:t>Even while it was experiencing difficulties in finding satisfactory principles in these cases, the Court was pursuing a more sustainable and practical approach in other lines of decisions, particularly those involving the regulation of railroad rates. In the Minnesota Rate Cases, 230 U.S. 352 (1913), the Court upheld a state rate order, but observed that Congress might be empowered to regulate in this area if, "by reason of the interblending of the interstate and intrastate operations of interstate carriers," the regulation of interstate rates could not be maintained without restrictions on "intrastate rates which substantially affect the former." Id. at 432-433. And in the Shreveport Rate Cases, 234 U.S. 342 (1914), the Court upheld an ICC order fixing railroad rates with the explanation that congressional authority,</w:t>
      </w:r>
    </w:p>
    <w:p w:rsidR="00A31137" w:rsidRPr="00A31137" w:rsidRDefault="00A31137" w:rsidP="00A31137">
      <w:r w:rsidRPr="00A31137">
        <w:t>1995, United States v. Lopez, No. 93-1260</w:t>
      </w:r>
    </w:p>
    <w:p w:rsidR="00A31137" w:rsidRPr="00A31137" w:rsidRDefault="00A31137" w:rsidP="00A31137">
      <w:r w:rsidRPr="00A31137">
        <w:t>extending to these interstate carriers as instruments of interstate commerce, necessarily embraces the right to control their operations in all matters having such a close and substantial relation to interstate traffic that the control is essential or appropriate to the security of that traffic, to the efficiency of the interstate service, and to the maintenance of conditions under which interstate commerce may be conducted upon fair terms and without molestation or hindrance.</w:t>
      </w:r>
    </w:p>
    <w:p w:rsidR="00A31137" w:rsidRPr="00A31137" w:rsidRDefault="00A31137" w:rsidP="00A31137">
      <w:r w:rsidRPr="00A31137">
        <w:t>1995, United States v. Lopez, No. 93-1260</w:t>
      </w:r>
    </w:p>
    <w:p w:rsidR="00A31137" w:rsidRPr="00A31137" w:rsidRDefault="00A31137" w:rsidP="00A31137">
      <w:r w:rsidRPr="00A31137">
        <w:t>Id. at  351.</w:t>
      </w:r>
    </w:p>
    <w:p w:rsidR="00A31137" w:rsidRPr="00A31137" w:rsidRDefault="00A31137" w:rsidP="00A31137">
      <w:r w:rsidRPr="00A31137">
        <w:t>1995, United States v. Lopez, No. 93-1260</w:t>
      </w:r>
    </w:p>
    <w:p w:rsidR="00A31137" w:rsidRPr="00A31137" w:rsidRDefault="00A31137" w:rsidP="00A31137">
      <w:r w:rsidRPr="00A31137">
        <w:t>Even the most confined interpretation of "commerce" would embrace transportation between the States, so the rate cases posed much less difficulty for the Court than cases involving manufacture or production. Nevertheless, the Court's recognition of the importance of a practical conception of the commerce power was not altogether confined to the rate cases. In Swift &amp; Co. v. United States, 196 U.S. 375 (1905), the Court upheld the application of federal antitrust law to a combination of meat dealers that occurred in one State but that restrained trade in cattle "sent for sale from a place in one State, with the expectation that they will end their transit…in another." Id. at  398. The Court explained that "commerce among the States is not a technical legal conception, but a practical one, drawn from the course of business." Id. at  398. Chief Justice Taft followed the same approach in upholding federal regulation of stockyards in Stafford v. Wallace, 258 U.S. 495 (1922). Speaking for the Court, he rejected a "nice and technical inquiry," id. at 519, when the local transactions at issue could not "be separated from the movement to which they contribute," id. at 516.</w:t>
      </w:r>
    </w:p>
    <w:p w:rsidR="00A31137" w:rsidRPr="00A31137" w:rsidRDefault="00A31137" w:rsidP="00A31137">
      <w:r w:rsidRPr="00A31137">
        <w:t>1995, United States v. Lopez, No. 93-1260</w:t>
      </w:r>
    </w:p>
    <w:p w:rsidR="00A31137" w:rsidRPr="00A31137" w:rsidRDefault="00A31137" w:rsidP="00A31137">
      <w:r w:rsidRPr="00A31137">
        <w:t xml:space="preserve"> Reluctance of the Court to adopt that approach in all of its cases caused inconsistencies in doctrine to persist, however. In addressing New Deal legislation the Court resuscitated the abandoned abstract distinction between direct and indirect effects on interstate commerce. See Carter v. Carter Coal Co., 298 U.S. 238,  309 (1936) (Act regulating price of coal and wages and hours for miners held to have only "secondary and indirect" effect on interstate commerce); Railroad Retirement Bd. v. Alton R. Co., 295 U.S. 330, 368 (1935) (compulsory retirement and pension plan for railroad carrier employees too "remote from any regulation of commerce as such"); A. L. A. Schechter Poultry Corp. v. United States, 295 U.S. 495,  548 (1935) (wage and hour law provision of National Industrial Recovery Act had "no direct relation to interstate commerce").</w:t>
      </w:r>
    </w:p>
    <w:p w:rsidR="00A31137" w:rsidRPr="00A31137" w:rsidRDefault="00A31137" w:rsidP="00A31137">
      <w:r w:rsidRPr="00A31137">
        <w:t>1995, United States v. Lopez, No. 93-1260</w:t>
      </w:r>
    </w:p>
    <w:p w:rsidR="00A31137" w:rsidRPr="00A31137" w:rsidRDefault="00A31137" w:rsidP="00A31137">
      <w:r w:rsidRPr="00A31137">
        <w:t>The case that seems to mark the Court's definitive commitment to the practical conception of the commerce power is NLRB v. Jones &amp; Laughlin Steel Corp., 301 U.S. 1 (1937), where the Court sustained labor laws that applied to manufacturing facilities, making no real attempt to distinguish Carter, supra and Schechter, supra. 301 U.S. at 40-41. The deference given to Congress has since been confirmed. United States v. Darby, 312 U.S. 100, 116-117 (1941), overruled Hammer v. Dagenhart, supra. And in Wickard v. Filburn, 317 U.S. 111 (1942), the Court disapproved E. C. Knight and the entire line of direct-indirect and manufacture-production cases, explaining that "broader interpretations of the Commerce Clause [were] destined to supersede the earlier ones," id. at  122, and</w:t>
      </w:r>
    </w:p>
    <w:p w:rsidR="00A31137" w:rsidRPr="00A31137" w:rsidRDefault="00A31137" w:rsidP="00A31137">
      <w:r w:rsidRPr="00A31137">
        <w:t>1995, United States v. Lopez, No. 93-1260</w:t>
      </w:r>
    </w:p>
    <w:p w:rsidR="00A31137" w:rsidRPr="00A31137" w:rsidRDefault="00A31137" w:rsidP="00A31137">
      <w:r w:rsidRPr="00A31137">
        <w:t>whatever terminology is used, the criterion is necessarily one of degree and must be so defined. This does not satisfy those who seek mathematical or rigid formulas. But such formulas are not provided by the great concepts of the Constitution,</w:t>
      </w:r>
    </w:p>
    <w:p w:rsidR="00A31137" w:rsidRPr="00A31137" w:rsidRDefault="00A31137" w:rsidP="00A31137">
      <w:r w:rsidRPr="00A31137">
        <w:t>1995, United States v. Lopez, No. 93-1260</w:t>
      </w:r>
    </w:p>
    <w:p w:rsidR="00A31137" w:rsidRPr="00A31137" w:rsidRDefault="00A31137" w:rsidP="00A31137">
      <w:r w:rsidRPr="00A31137">
        <w:t>id. at  123, n. 24. Later examples of the exercise of federal power where commercial transactions were the subject of regulation include Heart of Atlanta Motel, Inc. v. United States, 379 U.S. 241 (1964), Katzenbach v. McClung, 379 U.S. 294 (1964), and Perez v. United States, 402 U.S. 146 (1971). These and like authorities are within the fair ambit of the Court's practical conception of commercial regulation and are not called in question by our decision today.</w:t>
      </w:r>
    </w:p>
    <w:p w:rsidR="00A31137" w:rsidRPr="00A31137" w:rsidRDefault="00A31137" w:rsidP="00A31137">
      <w:r w:rsidRPr="00A31137">
        <w:t>1995, United States v. Lopez, No. 93-1260</w:t>
      </w:r>
    </w:p>
    <w:p w:rsidR="00A31137" w:rsidRPr="00A31137" w:rsidRDefault="00A31137" w:rsidP="00A31137">
      <w:r w:rsidRPr="00A31137">
        <w:t>The history of our Commerce Clause decisions contains at least two lessons of relevance to this case. The first, as stated at the outset, is the imprecision of content-based boundaries used without more to define the limits of the Commerce Clause. The second, related to the first but of even greater consequence, is that the Court as an institution and the legal system as a whole have an immense stake in the stability of our Commerce Clause jurisprudence as it has evolved to this point. Stare decisis operates with great force in counseling us not to call in question the essential principles now in place respecting the congressional power to regulate transactions of a commercial nature. That fundamental restraint on our power forecloses us from reverting to an understanding of commerce that would serve only an 18th-century economy, dependent then upon production and trading practices that had changed but little over the preceding centuries; it also mandates against returning to the time when congressional authority to regulate undoubted commercial activities was limited by a judicial determination that those matters had an insufficient connection to an interstate system. Congress can regulate in the commercial sphere on the assumption that we have a single market and a unified purpose to build a stable national economy.</w:t>
      </w:r>
    </w:p>
    <w:p w:rsidR="00A31137" w:rsidRPr="00A31137" w:rsidRDefault="00A31137" w:rsidP="00A31137">
      <w:r w:rsidRPr="00A31137">
        <w:t>1995, United States v. Lopez, No. 93-1260</w:t>
      </w:r>
    </w:p>
    <w:p w:rsidR="00A31137" w:rsidRPr="00A31137" w:rsidRDefault="00A31137" w:rsidP="00A31137">
      <w:r w:rsidRPr="00A31137">
        <w:t>In referring to the whole subject of the federal and state balance, we said this just three Terms ago:</w:t>
      </w:r>
    </w:p>
    <w:p w:rsidR="00A31137" w:rsidRPr="00A31137" w:rsidRDefault="00A31137" w:rsidP="00A31137">
      <w:r w:rsidRPr="00A31137">
        <w:t>1995, United States v. Lopez, No. 93-1260</w:t>
      </w:r>
    </w:p>
    <w:p w:rsidR="00A31137" w:rsidRPr="00A31137" w:rsidRDefault="00A31137" w:rsidP="00A31137">
      <w:r w:rsidRPr="00A31137">
        <w:t>This framework has been sufficiently flexible over the past two centuries to allow for enormous changes in the nature of government. The Federal Government undertakes activities today that would have been unimaginable to the Framers in two senses: first, because the Framers would not have conceived that any government would conduct such activities; and second, because the Framers would not have believed that the Federal Government, rather than the States, would assume such responsibilities. Yet the powers conferred upon the Federal Government by the Constitution were phrased in language broad enough to allow for the expansion of the Federal Government's role.</w:t>
      </w:r>
    </w:p>
    <w:p w:rsidR="00A31137" w:rsidRPr="00A31137" w:rsidRDefault="00A31137" w:rsidP="00A31137">
      <w:r w:rsidRPr="00A31137">
        <w:t>1995, United States v. Lopez, No. 93-1260</w:t>
      </w:r>
    </w:p>
    <w:p w:rsidR="00A31137" w:rsidRPr="00A31137" w:rsidRDefault="00A31137" w:rsidP="00A31137">
      <w:r w:rsidRPr="00A31137">
        <w:t>New York v. United States, 505 U.S. ___, ___ (1992) (emphasis omitted).    It does not follow, however, that in every instance the Court lacks the authority and responsibility to review congressional attempts to alter the federal balance. This case requires us to consider our place in the design of the Government and to appreciate the significance of federalism in the whole structure of the Constitution.</w:t>
      </w:r>
    </w:p>
    <w:p w:rsidR="00A31137" w:rsidRPr="00A31137" w:rsidRDefault="00A31137" w:rsidP="00A31137">
      <w:r w:rsidRPr="00A31137">
        <w:t>1995, United States v. Lopez, No. 93-1260</w:t>
      </w:r>
    </w:p>
    <w:p w:rsidR="00A31137" w:rsidRPr="00A31137" w:rsidRDefault="00A31137" w:rsidP="00A31137">
      <w:r w:rsidRPr="00A31137">
        <w:t>Of the various structural elements in the Constitution, separation of powers, checks and balances, judicial review, and federalism, only concerning the last does there seem to be much uncertainty respecting the existence, and the content, of standards that allow the judiciary to play a significant role in maintaining the design contemplated by the Framers. Although the resolution of specific cases has proved difficult, we have derived from the Constitution workable standards to assist in preserving separation of powers and checks and balances. See, e.g., Prize Cases, 2 Black 635 (1863); Youngstown Sheet &amp; Tube Co. v. Sawyer, 343 U.S. 579 (1952); United States v. Nixon, 418 U.S. 683 (1974); Buckley v. Valeo, 424 U.S. 1 (1976); INS v. Chadha, 462 U.S. 919 (1983); Bowsher v. Synar, 478 U.S. 714 (1986); Plaut v. Spendthrift Farm, ___ U.S. ___ (1995). These standards are by now well accepted. Judicial review is also established beyond question, Marbury v. Madison, 1 Cranch. 137 (1803), and though we may differ when applying its principles, see, e.g., Planned Parenthood of Southeastern Pennsylvania v. Casey, 505 U.S. ___ (1992), its legitimacy is undoubted. Our role in preserving the federal balance seems more tenuous.</w:t>
      </w:r>
    </w:p>
    <w:p w:rsidR="00A31137" w:rsidRPr="00A31137" w:rsidRDefault="00A31137" w:rsidP="00A31137">
      <w:r w:rsidRPr="00A31137">
        <w:t>1995, United States v. Lopez, No. 93-1260</w:t>
      </w:r>
    </w:p>
    <w:p w:rsidR="00A31137" w:rsidRPr="00A31137" w:rsidRDefault="00A31137" w:rsidP="00A31137">
      <w:r w:rsidRPr="00A31137">
        <w:t>There is irony in this, because of the four structural elements in the Constitution just mentioned, federalism was the unique contribution of the Framers to political science and political theory. See Friendly, Federalism: A Forward, 86 Yale L.J. 1019 (1977); G. Wood, The Creation of the American Republic, 1776-1787, pp. 524-532, 564 (1969). Though on the surface the idea may seem counterintuitive, it was the insight of the Framers that freedom was enhanced by the creation of two governments, not one.</w:t>
      </w:r>
    </w:p>
    <w:p w:rsidR="00A31137" w:rsidRPr="00A31137" w:rsidRDefault="00A31137" w:rsidP="00A31137">
      <w:r w:rsidRPr="00A31137">
        <w:t>1995, United States v. Lopez, No. 93-1260</w:t>
      </w:r>
    </w:p>
    <w:p w:rsidR="00A31137" w:rsidRPr="00A31137" w:rsidRDefault="00A31137" w:rsidP="00A31137">
      <w:r w:rsidRPr="00A31137">
        <w:t>In the compound republic of America, the power surrendered by the people is first divided between two distinct governments, and then the portion allotted to each subdivided among distinct and separate departments. Hence a double security arises to the rights of the people. The different governments will control each other at the same time that each will be controlled by itself.</w:t>
      </w:r>
    </w:p>
    <w:p w:rsidR="00A31137" w:rsidRPr="00A31137" w:rsidRDefault="00A31137" w:rsidP="00A31137">
      <w:r w:rsidRPr="00A31137">
        <w:t>1995, United States v. Lopez, No. 93-1260</w:t>
      </w:r>
    </w:p>
    <w:p w:rsidR="00A31137" w:rsidRPr="00A31137" w:rsidRDefault="00A31137" w:rsidP="00A31137">
      <w:r w:rsidRPr="00A31137">
        <w:t>The Federalist No. 51, p. 323 (C. Rossiter ed. 1961) (J. Madison). See also Gregory v. Ashcroft, 501 U.S. 452, 458-459 (1991) ("Just as the separation and independence of the coordinate branches of the Federal Government serve to prevent the accumulation of excessive power in any one branch, a healthy balance of power between the States and the Federal Government will reduce the risk of tyranny and abuse from either front…. In the tension between federal and state power lies the promise of liberty"); New York v. United States, supra at ___ ("[T]he Constitution divides authority between federal and state governments for the protection of individuals. State sovereignty is not just an end in itself: 'Rather, federalism secures to citizens the liberties that derive from the diffusion of sovereign power'") (quoting Coleman v. Thompson, 501 U.S. 722, 759 (1991) (Blackmun, J., dissenting)).</w:t>
      </w:r>
    </w:p>
    <w:p w:rsidR="00A31137" w:rsidRPr="00A31137" w:rsidRDefault="00A31137" w:rsidP="00A31137">
      <w:r w:rsidRPr="00A31137">
        <w:t>1995, United States v. Lopez, No. 93-1260</w:t>
      </w:r>
    </w:p>
    <w:p w:rsidR="00A31137" w:rsidRPr="00A31137" w:rsidRDefault="00A31137" w:rsidP="00A31137">
      <w:r w:rsidRPr="00A31137">
        <w:t>The theory that two governments accord more liberty than one requires for its realization two distinct and discernable lines of political accountability: one between the citizens and the Federal Government; the second between the citizens and the States. If, as Madison expected, the federal and state governments are to control each other, see The Federalist No. 51, and hold each other in check by competing for the affections of the people, see The Federalist No. 46, those citizens must have some means of knowing which of the two governments to hold accountable for the failure to perform a given function. "Federalism serves to assign political responsibility, not to obscure it." FTC v. Ticor Title Ins. Co., 504 U.S. 621, 636 (1992). Were the Federal Government to take over the regulation of entire areas of traditional state concern, areas having nothing to do with the regulation of commercial activities, the boundaries between the spheres of federal and state authority would blur and political responsibility would become illusory. See New York v. United States, supra at ___; FERC v. Mississippi, 456 U.S. 742,  787 (1982) (O'CONNOR, J., concurring in judgment in part and dissenting in part). The resultant inability to hold either branch of the government answerable to the citizens is more dangerous even than devolving too much authority to the remote central power.</w:t>
      </w:r>
    </w:p>
    <w:p w:rsidR="00A31137" w:rsidRPr="00A31137" w:rsidRDefault="00A31137" w:rsidP="00A31137">
      <w:r w:rsidRPr="00A31137">
        <w:t>1995, United States v. Lopez, No. 93-1260</w:t>
      </w:r>
    </w:p>
    <w:p w:rsidR="00A31137" w:rsidRPr="00A31137" w:rsidRDefault="00A31137" w:rsidP="00A31137">
      <w:r w:rsidRPr="00A31137">
        <w:t>To be sure, one conclusion that could be drawn from The Federalist Papers is that the balance between national and state power is entrusted in its entirety to the political process. Madison's observation that "the people ought not surely to be precluded from giving most of their confidence where they may discover it to be most due," The Federalist No. 46, p. 295 (C. Rossiter ed. 1961), can be interpreted to say that the essence of responsibility for a shift in power from the State to the Federal Government rests upon a political judgment, though he added assurance that</w:t>
      </w:r>
    </w:p>
    <w:p w:rsidR="00A31137" w:rsidRPr="00A31137" w:rsidRDefault="00A31137" w:rsidP="00A31137">
      <w:r w:rsidRPr="00A31137">
        <w:t>1995, United States v. Lopez, No. 93-1260</w:t>
      </w:r>
    </w:p>
    <w:p w:rsidR="00A31137" w:rsidRPr="00A31137" w:rsidRDefault="00A31137" w:rsidP="00A31137">
      <w:r w:rsidRPr="00A31137">
        <w:t>the State governments could have little to apprehend, because it is only within a certain sphere that the federal power can, in the nature of things, be advantageously administered,</w:t>
      </w:r>
    </w:p>
    <w:p w:rsidR="00A31137" w:rsidRPr="00A31137" w:rsidRDefault="00A31137" w:rsidP="00A31137">
      <w:r w:rsidRPr="00A31137">
        <w:t>1995, United States v. Lopez, No. 93-1260</w:t>
      </w:r>
    </w:p>
    <w:p w:rsidR="00A31137" w:rsidRPr="00A31137" w:rsidRDefault="00A31137" w:rsidP="00A31137">
      <w:r w:rsidRPr="00A31137">
        <w:t>ibid. Whatever the judicial role, it is axiomatic that Congress does have substantial discretion and control over the federal balance.</w:t>
      </w:r>
    </w:p>
    <w:p w:rsidR="00A31137" w:rsidRPr="00A31137" w:rsidRDefault="00A31137" w:rsidP="00A31137">
      <w:r w:rsidRPr="00A31137">
        <w:t>1995, United States v. Lopez, No. 93-1260</w:t>
      </w:r>
    </w:p>
    <w:p w:rsidR="00A31137" w:rsidRPr="00A31137" w:rsidRDefault="00A31137" w:rsidP="00A31137">
      <w:r w:rsidRPr="00A31137">
        <w:t>For these reasons, it would be mistaken and mischievous for the political branches to forget that the sworn obligation to preserve and protect the Constitution in maintaining the federal balance is their own in the first and primary instance. In the Webster-Hayne Debates, see The Great Speeches and Orations of Daniel Webster 227-272 (E. Whipple ed. 1879), and the debates over the Civil Rights Acts, see Hearings on S. 1732 before the Senate Committee on Commerce, 88th Cong., 1st Sess., pts. 1-3 (1963), some Congresses have accepted responsibility to confront the great questions of the proper federal balance in terms of lasting consequences for the constitutional design. The political branches of the Government must fulfill this grave constitutional obligation if democratic liberty and the federalism that secures it are to endure.</w:t>
      </w:r>
    </w:p>
    <w:p w:rsidR="00A31137" w:rsidRPr="00A31137" w:rsidRDefault="00A31137" w:rsidP="00A31137">
      <w:r w:rsidRPr="00A31137">
        <w:t>1995, United States v. Lopez, No. 93-1260</w:t>
      </w:r>
    </w:p>
    <w:p w:rsidR="00A31137" w:rsidRPr="00A31137" w:rsidRDefault="00A31137" w:rsidP="00A31137">
      <w:r w:rsidRPr="00A31137">
        <w:t>At the same time, the absence of structural mechanisms to require those officials to undertake this principled task, and the momentary political convenience often attendant upon their failure to do so, argue against a complete renunciation of the judicial role. Although it is the obligation of all officers of the Government to respect the constitutional design, see Public Citizen v. Department of Justice, 491 U.S. 440, 466 (1989); Rostker v. Goldberg, 453 U.S. 57, 64 (1981), the federal balance is too essential a part of our constitutional structure and plays too vital a role in securing freedom for us to admit inability to intervene when one or the other level of Government has tipped the scales too far.</w:t>
      </w:r>
    </w:p>
    <w:p w:rsidR="00A31137" w:rsidRPr="00A31137" w:rsidRDefault="00A31137" w:rsidP="00A31137">
      <w:r w:rsidRPr="00A31137">
        <w:t>1995, United States v. Lopez, No. 93-1260</w:t>
      </w:r>
    </w:p>
    <w:p w:rsidR="00A31137" w:rsidRPr="00A31137" w:rsidRDefault="00A31137" w:rsidP="00A31137">
      <w:r w:rsidRPr="00A31137">
        <w:t>In the past this Court has participated in maintaining the federal balance through judicial exposition of doctrines such as abstention, see, e.g., Younger v. Harris, 401 U.S. 37 (1971); Railroad Comm'n of Texas v. Pullman Co., 312 U.S. 496 (1941); Burford v. Sun Oil Co., 319 U.S. 315 (1943), the rules for determining the primacy of state law, see, e.g., Erie R. Co. v. Tompkins, 304 U.S. 64 (1938), the doctrine of adequate and independent state grounds, see, e.g., Murdock v. City of Memphis, 87 U.S. 590 (1875); Michigan v. Long, 463 U.S. 1032 (1983), the whole jurisprudence of preemption, see, e.g., Rice v. Santa Fe Elevator Corp., 331 U.S. 218 (1947); Cipollone v. Liggett Group, Inc., 505 U.S. ___ (1992), and many of the rules governing our habeas jurisprudence, see, e.g., Coleman v. Thompson, supra; McCleskey v. Zant, 499 U.S. 467 (1991); Teague v. Lane, 489 U.S. 288 (1989); Rose v. Lundy, 455 U.S. 509 (1982); Wainwright v. Sykes, 433 U.S. 72 (1977).</w:t>
      </w:r>
    </w:p>
    <w:p w:rsidR="00A31137" w:rsidRPr="00A31137" w:rsidRDefault="00A31137" w:rsidP="00A31137">
      <w:r w:rsidRPr="00A31137">
        <w:t>1995, United States v. Lopez, No. 93-1260</w:t>
      </w:r>
    </w:p>
    <w:p w:rsidR="00A31137" w:rsidRPr="00A31137" w:rsidRDefault="00A31137" w:rsidP="00A31137">
      <w:r w:rsidRPr="00A31137">
        <w:t>Our ability to preserve this principle under the Commerce Clause has presented a much greater challenge. See supra at ___. "This clause has throughout the Court's history been the chief source of its adjudications regarding federalism," and "no other body of opinions affords a fairer or more revealing test of judicial qualities." Frankfurter 66-67. But as the branch whose distinctive duty it is to declare "what the law is," Marbury v. Madison, 1 Cranch at  177, we are often called upon to resolve questions of constitutional law not susceptible to the mechanical application of bright and clear lines. The substantial element of political judgment in Commerce Clause matters leaves our institutional capacity to intervene more in doubt than when we decide cases, for instance, under the Bill of Rights even though clear and bright lines are often absent in the latter class of disputes. See County of Allegheny v. American Civil Liberties Union, Greater Pittsburgh Chapter, 492 U.S. 573,  630 (1989) (O'CONNOR, J., concurring in part and concurring in judgment) ("We cannot avoid the obligation to draw lines, often close and difficult lines" in adjudicating constitutional rights). But our cases do not teach that we have no role at all in determining the meaning of the Commerce Clause.</w:t>
      </w:r>
    </w:p>
    <w:p w:rsidR="00A31137" w:rsidRPr="00A31137" w:rsidRDefault="00A31137" w:rsidP="00A31137">
      <w:r w:rsidRPr="00A31137">
        <w:t>1995, United States v. Lopez, No. 93-1260</w:t>
      </w:r>
    </w:p>
    <w:p w:rsidR="00A31137" w:rsidRPr="00A31137" w:rsidRDefault="00A31137" w:rsidP="00A31137">
      <w:r w:rsidRPr="00A31137">
        <w:t>Our position in enforcing the dormant Commerce Clause is instructive. The Court's doctrinal approach in that area has likewise "taken some turns." Oklahoma Tax Comm'n v. Jefferson Lines, Inc., 514 U.S. ___, ___ (1995). Yet, in contrast to the prevailing skepticism that surrounds our ability to give meaning to the explicit text of the Commerce Clause, there is widespread acceptance of our authority to enforce the dormant Commerce Clause, which we have but inferred from the constitutional structure as a limitation on the power of the States. One element of our dormant Commerce Clause jurisprudence has been the principle that the States may not impose regulations that place an undue burden on interstate commerce, even where those regulations do not discriminate between in-state and out-of-state businesses. See Brown-Forman Distillers Corp. v. New York State Liquor Authority, 476 U.S. 573, 579 (1986) (citing Pike v. Bruce Church, Inc., 397 U.S. 137, 142 (1970)). Distinguishing between regulations that do place an undue burden on interstate commerce and regulations that do not depends upon delicate judgments. True, if we invalidate a state law, Congress can in effect overturn our judgment, whereas, in a case announcing that Congress has transgressed its authority, the decision is more consequential, for its stands unless Congress can revise its law to demonstrate its commercial character. This difference no doubt informs the circumspection with which we invalidate an Act of Congress, but it does not mitigate our duty to recognize meaningful limits on the commerce power of Congress.</w:t>
      </w:r>
    </w:p>
    <w:p w:rsidR="00A31137" w:rsidRPr="00A31137" w:rsidRDefault="00A31137" w:rsidP="00A31137">
      <w:r w:rsidRPr="00A31137">
        <w:t>1995, United States v. Lopez, No. 93-1260</w:t>
      </w:r>
    </w:p>
    <w:p w:rsidR="00A31137" w:rsidRPr="00A31137" w:rsidRDefault="00A31137" w:rsidP="00A31137">
      <w:r w:rsidRPr="00A31137">
        <w:t>The statute before us upsets the federal balance to a degree that renders it an unconstitutional assertion of the commerce power, and our intervention is required. As the Chief Justice explains, unlike the earlier cases to come before the Court here neither the actors nor their conduct have a commercial character, and neither the purposes nor the design of the statute have an evident commercial nexus. See ante at ___. The statute makes the simple possession of a gun within 1,000 feet of the grounds of the school a criminal offense. In a sense, any conduct in this interdependent world of ours has an ultimate commercial origin or consequence, but we have not yet said the commerce power may reach so far. If Congress attempts that extension, then at the least we must inquire whether the exercise of national power seeks to intrude upon an area of traditional state concern.</w:t>
      </w:r>
    </w:p>
    <w:p w:rsidR="00A31137" w:rsidRPr="00A31137" w:rsidRDefault="00A31137" w:rsidP="00A31137">
      <w:r w:rsidRPr="00A31137">
        <w:t>1995, United States v. Lopez, No. 93-1260</w:t>
      </w:r>
    </w:p>
    <w:p w:rsidR="00A31137" w:rsidRPr="00A31137" w:rsidRDefault="00A31137" w:rsidP="00A31137">
      <w:r w:rsidRPr="00A31137">
        <w:t>An interference of these dimensions occurs here, for it is well established that education is a traditional concern of the States. Milliken v. Bradley, 418 U.S. 717, 741-742 (1974); Epperson v. Arkansas, 393 U.S. 97,  104 (1968). The proximity to schools, including of course schools owned and operated by the States or their subdivisions, is the very premise for making the conduct criminal. In these circumstances, we have a particular duty to insure that the federal-state balance is not destroyed. Cf. Rice, supra at  230 ("[W]e start with the assumption that the historic police powers of the States" are not displaced by a federal statute "unless that was the clear and manifest purpose of Congress"); Florida Lime &amp; Avocado Growers, Inc. v. Paul, 373 U.S. 132, 146 (1963).</w:t>
      </w:r>
    </w:p>
    <w:p w:rsidR="00A31137" w:rsidRPr="00A31137" w:rsidRDefault="00A31137" w:rsidP="00A31137">
      <w:r w:rsidRPr="00A31137">
        <w:t>1995, United States v. Lopez, No. 93-1260</w:t>
      </w:r>
    </w:p>
    <w:p w:rsidR="00A31137" w:rsidRPr="00A31137" w:rsidRDefault="00A31137" w:rsidP="00A31137">
      <w:r w:rsidRPr="00A31137">
        <w:t>While it is doubtful that any State, or indeed any reasonable person, would argue that it is wise policy to allow students to carry guns on school premises, considerable disagreement exists about how best to accomplish that goal. In this circumstance, the theory and utility of our federalism are revealed, for the States may perform their role as laboratories for experimentation to devise various solutions where the best solution is far from clear. See San Antonio Independent School Dist. v. Rodriguez, 411 U.S. 1, 49-50 (1973); New State Ice Co. v. Liebmann, 285 U.S. 262,  311 (1932) (Brandeis, J., dissenting).</w:t>
      </w:r>
    </w:p>
    <w:p w:rsidR="00A31137" w:rsidRPr="00A31137" w:rsidRDefault="00A31137" w:rsidP="00A31137">
      <w:r w:rsidRPr="00A31137">
        <w:t>1995, United States v. Lopez, No. 93-1260</w:t>
      </w:r>
    </w:p>
    <w:p w:rsidR="00A31137" w:rsidRPr="00A31137" w:rsidRDefault="00A31137" w:rsidP="00A31137">
      <w:r w:rsidRPr="00A31137">
        <w:t>If a State or municipality determines that harsh criminal sanctions are necessary and wise to deter students from carrying guns on school premises, the reserved powers of the States are sufficient to enact those measures. Indeed, over 40 States already have criminal laws outlawing the possession of firearms on or near school grounds. See, e.g., Alaska Stat. Ann. §§ 11.61.195(a)(2)(A), 11.61.220(a)(4)(A) (Supp. 1994); Cal.Penal Code Ann. § 626.9 (West Supp. 1994); Mass.Gen.Laws § 269:10(j) (1992); N.J.Stat.Ann. § 2C:39-5(e) (West Supp. 1994); Va.Code Ann. § 18.2-308.1 (1988); Wis.Stat. § 948.605 (1991-1992).</w:t>
      </w:r>
    </w:p>
    <w:p w:rsidR="00A31137" w:rsidRPr="00A31137" w:rsidRDefault="00A31137" w:rsidP="00A31137">
      <w:r w:rsidRPr="00A31137">
        <w:t>1995, United States v. Lopez, No. 93-1260</w:t>
      </w:r>
    </w:p>
    <w:p w:rsidR="00A31137" w:rsidRPr="00A31137" w:rsidRDefault="00A31137" w:rsidP="00A31137">
      <w:r w:rsidRPr="00A31137">
        <w:t>Other, more practicable means to rid the schools of guns may be thought by the citizens of some States to be preferable for the safety and welfare of the schools those States are charged with maintaining. See Brief for National Conference of State Legislatures et al., as Amici Curiae 26-30 (injection of federal officials into local problems causes friction and diminishes political accountability of state and local governments). These might include inducements to inform on violators where the information leads to arrests or confiscation of the guns, see C. Lima, Schools May Launch Weapons Hot Line, L. A. Times, Jan. 13, 1995, part B, p. 1, col. 5; Reward for Tips on Guns in Tucson Schools, The Arizona Republic, Jan. 7, 1995, p. B2; programs to encourage the voluntary surrender of guns with some provision for amnesty, see A. Zaidan, Akron Rallies to Save Youths, The Plain Dealer, Mar. 2, 1995, p. 1B; M. Swift, Legislators Consider Plan to Get Guns Off Streets, Hartford Courant, Apr. 29, 1992, p. A4; penalties imposed on parents or guardians for failure to supervise the child, see, e.g., Okla.Stat., Tit. 21, § 858 (Supp. 1995) (fining parents who allow students to possess firearm at school); Tenn.Code Ann. § 39-17-1312 (Supp. 1992) (misdemeanor for parents to allow student to possess firearm at school); Straight Shooter: Gov. Casey's Reasonable Plan to Control Assault Weapons, Pittsburgh Post-Gazette, Mar. 14, 1994, p. B2 (proposed bill); E. Bailey, Anti-Crime Measures Top Legislators' Agenda, L. A. Times, Mar. 7, 1994, part B, p. 1, col. 2 (same); G. Krupa, New Gun-Control Plans Could Tighten Local Law, The Boston Globe, June 20, 1993, p. 29; laws providing for suspension or expulsion of gun-toting students, see, e.g., Ala. Code § 16-1-24.1 (Supp. 1994); Ind.Code § 20-8.1-5-4(b)(1)(D) (1993); Ky.Rev.Stat.Ann. § 158.150(1)(a) (Michie 1992); Wash.Rev. Code § 9.41.280 (1994), or programs for expulsion with assignment to special facilities, see J. Martin, Legislators Poised to Take Harsher Stand on Guns in Schools, The Seattle Times, Feb. 1, 1995, p. B1 (automatic year-long expulsion for students with guns and intense semester-long reentry program).</w:t>
      </w:r>
    </w:p>
    <w:p w:rsidR="00A31137" w:rsidRPr="00A31137" w:rsidRDefault="00A31137" w:rsidP="00A31137">
      <w:r w:rsidRPr="00A31137">
        <w:t>1995, United States v. Lopez, No. 93-1260</w:t>
      </w:r>
    </w:p>
    <w:p w:rsidR="00A31137" w:rsidRPr="00A31137" w:rsidRDefault="00A31137" w:rsidP="00A31137">
      <w:r w:rsidRPr="00A31137">
        <w:t>The statute now before us forecloses the States from experimenting and exercising their own judgment in an area to which States lay claim by right of history and expertise, and it does so by regulating an activity beyond the realm of commerce in the ordinary and usual sense of that term. The tendency of this statute to displace state regulation in areas of traditional state concern is evident from its territorial operation. There are over 100,000 elementary and secondary schools in the United States. See U.S. Dept. of Education, National Center for Education Statistics, Digest of Education Statistics 73, 104 (NCES 94-115, 1994) (Tables 63, 94). Each of these now has an invisible federal zone extending 1,000 feet beyond the (often irregular) boundaries of the school property. In some communities, no doubt, it would be difficult to navigate without infringing on those zones. Yet throughout these areas, school officials would find their own programs for the prohibition of guns in danger of displacement by the federal authority unless the State chooses to enact a parallel rule.</w:t>
      </w:r>
    </w:p>
    <w:p w:rsidR="00A31137" w:rsidRPr="00A31137" w:rsidRDefault="00A31137" w:rsidP="00A31137">
      <w:r w:rsidRPr="00A31137">
        <w:t>1995, United States v. Lopez, No. 93-1260</w:t>
      </w:r>
    </w:p>
    <w:p w:rsidR="00A31137" w:rsidRPr="00A31137" w:rsidRDefault="00A31137" w:rsidP="00A31137">
      <w:r w:rsidRPr="00A31137">
        <w:t>This is not a case where the etiquette of federalism has been violated by a formal command from the National Government directing the State to enact a certain policy, cf. New York v. United States, 505 U.S. ___ (1992), or to organize its governmental functions in a certain way, cf. FERC v. Mississippi, 456 U.S. at  781 (O'CONNOR, J., concurring in judgment in part and dissenting in part). While the intrusion on state sovereignty may not be as severe in this instance as in some of our recent Tenth Amendment cases, the intrusion is nonetheless significant. Absent a stronger connection or identification with commercial concerns that are central to the Commerce Clause, that interference contradicts the federal balance the Framers designed and that this Court is obliged to enforce.</w:t>
      </w:r>
    </w:p>
    <w:p w:rsidR="00A31137" w:rsidRPr="00A31137" w:rsidRDefault="00A31137" w:rsidP="00A31137">
      <w:r w:rsidRPr="00A31137">
        <w:t>1995, United States v. Lopez, No. 93-1260</w:t>
      </w:r>
    </w:p>
    <w:p w:rsidR="00A31137" w:rsidRPr="00A31137" w:rsidRDefault="00A31137" w:rsidP="00A31137">
      <w:r w:rsidRPr="00A31137">
        <w:t>For these reasons, I join in the opinion and judgment of the Court.</w:t>
      </w:r>
    </w:p>
    <w:p w:rsidR="00A31137" w:rsidRPr="00A31137" w:rsidRDefault="00A31137" w:rsidP="00A31137">
      <w:r w:rsidRPr="00A31137">
        <w:t>THOMAS, J., concurring</w:t>
      </w:r>
    </w:p>
    <w:p w:rsidR="00A31137" w:rsidRPr="00A31137" w:rsidRDefault="00A31137" w:rsidP="00A31137">
      <w:r w:rsidRPr="00A31137">
        <w:t>1995, United States v. Lopez, No. 93-1260</w:t>
      </w:r>
    </w:p>
    <w:p w:rsidR="00A31137" w:rsidRPr="00A31137" w:rsidRDefault="00A31137" w:rsidP="00A31137">
      <w:r w:rsidRPr="00A31137">
        <w:t>JUSTICE THOMAS, concurring.</w:t>
      </w:r>
    </w:p>
    <w:p w:rsidR="00A31137" w:rsidRPr="00A31137" w:rsidRDefault="00A31137" w:rsidP="00A31137">
      <w:r w:rsidRPr="00A31137">
        <w:t>1995, United States v. Lopez, No. 93-1260</w:t>
      </w:r>
    </w:p>
    <w:p w:rsidR="00A31137" w:rsidRPr="00A31137" w:rsidRDefault="00A31137" w:rsidP="00A31137">
      <w:r w:rsidRPr="00A31137">
        <w:t>The Court today properly concludes that the Commerce Clause does not grant Congress the authority to prohibit gun possession within 1,000 feet of a school, as it attempted to do in the Gun-Free School Zones Act of 1990, Pub.L. 101-647, 104 Stat. 4844. Although I join the majority, I write separately to observe that our case law has drifted far from the original understanding of the Commerce Clause. In a future case, we ought to temper our Commerce Clause jurisprudence in a manner that both makes sense of our more recent case law and is more faithful to the original understanding of that Clause.</w:t>
      </w:r>
    </w:p>
    <w:p w:rsidR="00A31137" w:rsidRPr="00A31137" w:rsidRDefault="00A31137" w:rsidP="00A31137">
      <w:r w:rsidRPr="00A31137">
        <w:t>1995, United States v. Lopez, No. 93-1260</w:t>
      </w:r>
    </w:p>
    <w:p w:rsidR="00A31137" w:rsidRPr="00A31137" w:rsidRDefault="00A31137" w:rsidP="00A31137">
      <w:r w:rsidRPr="00A31137">
        <w:t>We have said that Congress may regulate not only "Commerce…among the several states," U.S.Const., Art. I, § 8, cl. 3, but also anything that has a "substantial effect" on such commerce. This test, if taken to its logical extreme, would give Congress a "police power" over all aspects of American life. Unfortunately, we have never come to grips with this implication of our substantial effects formula. Although we have supposedly applied the substantial effects test for the past 60 years, we always have rejected readings of the Commerce Clause and the scope of federal power that would permit Congress to exercise a police power; our cases are quite clear that there are real limits to federal power. See New York v. United States, 505 U.S. ___, ___ (1992) ("[N]o one disputes the proposition that '[t]he Constitution created a Federal Government of limited powers'") (quoting Gregory v. Ashcroft, 501 U.S. 452, 457 (1991)); Maryland v. Wirtz, 392 U.S. 183, 196 (1968); NLRB v. Jones &amp; Laughlin Steel Corp., 301 U.S. 1,  37 (1937). Cf. Chisholm v. Georgia, 2 Dall. 419,  435 (1793) (Iredell, J.) ("Each State in the Union is sovereign as to all the powers reserved. It must necessarily be so, because the United States have no claim to any authority but such as the States have surrendered to them"). Indeed, on this crucial point, the majority and JUSTICE BREYER agree in principle: the Federal Government has nothing approaching a police power. Compare ante at ___ with post at ___.</w:t>
      </w:r>
    </w:p>
    <w:p w:rsidR="00A31137" w:rsidRPr="00A31137" w:rsidRDefault="00A31137" w:rsidP="00A31137">
      <w:r w:rsidRPr="00A31137">
        <w:t>1995, United States v. Lopez, No. 93-1260</w:t>
      </w:r>
    </w:p>
    <w:p w:rsidR="00A31137" w:rsidRPr="00A31137" w:rsidRDefault="00A31137" w:rsidP="00A31137">
      <w:r w:rsidRPr="00A31137">
        <w:t>While the principal dissent concedes that there are limits to federal power, the sweeping nature of our current test enables the dissent to argue that Congress can regulate gun possession. But it seems to me that the power to regulate "commerce" can by no means encompass authority over mere gun possession, any more than it empowers the Federal Government to regulate marriage, littering, or cruelty to animals, throughout the 50 States. Our Constitution quite properly leaves such matters to the individual States, notwithstanding these activities' effects on interstate commerce. Any interpretation of the Commerce Clause that even suggests that Congress could regulate such matters is in need of reexamination.</w:t>
      </w:r>
    </w:p>
    <w:p w:rsidR="00A31137" w:rsidRPr="00A31137" w:rsidRDefault="00A31137" w:rsidP="00A31137">
      <w:r w:rsidRPr="00A31137">
        <w:t>1995, United States v. Lopez, No. 93-1260</w:t>
      </w:r>
    </w:p>
    <w:p w:rsidR="00A31137" w:rsidRPr="00A31137" w:rsidRDefault="00A31137" w:rsidP="00A31137">
      <w:r w:rsidRPr="00A31137">
        <w:t>In an appropriate case, I believe that we must further reconsider our "substantial effects" test with an eye toward constructing a standard that reflects the text and history of the Commerce Clause without totally rejecting our more recent Commerce Clause jurisprudence.</w:t>
      </w:r>
    </w:p>
    <w:p w:rsidR="00A31137" w:rsidRPr="00A31137" w:rsidRDefault="00A31137" w:rsidP="00A31137">
      <w:r w:rsidRPr="00A31137">
        <w:t>1995, United States v. Lopez, No. 93-1260</w:t>
      </w:r>
    </w:p>
    <w:p w:rsidR="00A31137" w:rsidRPr="00A31137" w:rsidRDefault="00A31137" w:rsidP="00A31137">
      <w:r w:rsidRPr="00A31137">
        <w:t>Today, however, I merely support the Court's conclusion with a discussion of the text, structure, and history of the Commerce Clause and an analysis of our early case law. My goal is simply to show how far we have departed from the original understanding and to demonstrate that the result we reach today is by no means "radical," see post at ___ (STEVENS, J., dissenting). I also want to point out the necessity of refashioning a coherent test that does not tend to "obliterate the distinction between what is national and what is local and create a completely centralized government." Jones &amp; Laughlin Steel Corp, supra at  37.</w:t>
      </w:r>
    </w:p>
    <w:p w:rsidR="00A31137" w:rsidRPr="00A31137" w:rsidRDefault="00A31137" w:rsidP="00A31137">
      <w:r w:rsidRPr="00A31137">
        <w:t>I</w:t>
      </w:r>
    </w:p>
    <w:p w:rsidR="00A31137" w:rsidRPr="00A31137" w:rsidRDefault="00A31137" w:rsidP="00A31137">
      <w:r w:rsidRPr="00A31137">
        <w:t>1995, United States v. Lopez, No. 93-1260</w:t>
      </w:r>
    </w:p>
    <w:p w:rsidR="00A31137" w:rsidRPr="00A31137" w:rsidRDefault="00A31137" w:rsidP="00A31137">
      <w:r w:rsidRPr="00A31137">
        <w:t>At the time the original Constitution was ratified, "commerce" consisted of selling, buying, and bartering, as well as transporting for these purposes. See 1 S. Johnson, A Dictionary of the English Language 361 (4th ed. 1773) (defining commerce as "Intercour[s]e; exchange of one thing for another; interchange of any thing; trade; traffick"); N. Bailey, An Universal Etymological English Dictionary (26th ed. 1789) ("trade or traffic"); T. Sheridan, A Complete Dictionary of the English Language (6th ed. 1796) ("Exchange of one thing for another; trade, traffick"). This understanding finds support in the etymology of the word, which literally means "with merchandise." See 3 Oxford English Dictionary 552 (2d ed. 1989) (com—"with"; merci—"merchandise"). In fact, when Federalists and Anti-Federalists discussed the Commerce Clause during the ratification period, they often used trade (in its selling/bartering sense) and commerce interchangeably. See The Federalist No. 4, p. 22 (J. Jay) (asserting that countries will cultivate our friendship when our "trade" is prudently regulated by Federal Government); 1 id. No. 7 at 39-40 (A. Hamilton) (discussing "competitions of commerce" between States resulting from state "regulations of trade"); id. No. 40 at 262 (J. Madison) (asserting that it was an "acknowledged object of the Convention…that the regulation of trade should be submitted to the general government"); Lee, Letters of a Federal Farmer No. 5, in Pamphlets on the Constitution of the United States 319 (P. Ford ed. 1888); Smith, An Address to the People of the State of New-York, in id. at 107.</w:t>
      </w:r>
    </w:p>
    <w:p w:rsidR="00A31137" w:rsidRPr="00A31137" w:rsidRDefault="00A31137" w:rsidP="00A31137">
      <w:r w:rsidRPr="00A31137">
        <w:t>1995, United States v. Lopez, No. 93-1260</w:t>
      </w:r>
    </w:p>
    <w:p w:rsidR="00A31137" w:rsidRPr="00A31137" w:rsidRDefault="00A31137" w:rsidP="00A31137">
      <w:r w:rsidRPr="00A31137">
        <w:t>As one would expect, the term "commerce" was used in contradistinction to productive activities such as manufacturing and agriculture. Alexander Hamilton, for example, repeatedly treated commerce, agriculture, and manufacturing as three separate endeavors. See, e.g., The Federalist No. 36 at 224 (referring to "agriculture, commerce, manufactures"); id. No. 21 at 133 (distinguishing commerce, arts, and industry); id. No. 12 at 74 (asserting that commerce and agriculture have shared interests). The same distinctions were made in the state ratification conventions. See e.g., 2 Debates in the Several State Conventions on the Adoption of the Federal Constitution 57 (J. Elliot ed. 1836) (hereinafter Debates) (T. Dawes at Massachusetts convention); id. at 336 (M. Smith at New York convention).</w:t>
      </w:r>
    </w:p>
    <w:p w:rsidR="00A31137" w:rsidRPr="00A31137" w:rsidRDefault="00A31137" w:rsidP="00A31137">
      <w:r w:rsidRPr="00A31137">
        <w:t>1995, United States v. Lopez, No. 93-1260</w:t>
      </w:r>
    </w:p>
    <w:p w:rsidR="00A31137" w:rsidRPr="00A31137" w:rsidRDefault="00A31137" w:rsidP="00A31137">
      <w:r w:rsidRPr="00A31137">
        <w:t>Moreover, interjecting a modern sense of commerce into the Constitution generates significant textual and structural problems. For example, one cannot replace "commerce" with a different type of enterprise, such as manufacturing. When a manufacturer produces a car, assembly cannot take place "with a foreign nation" or "with the Indian Tribes." Parts may come from different States or other nations and hence may have been in the flow of commerce at one time, but manufacturing takes place at a discrete site. Agriculture and manufacturing involve the production of goods; commerce encompasses traffic in such articles.</w:t>
      </w:r>
    </w:p>
    <w:p w:rsidR="00A31137" w:rsidRPr="00A31137" w:rsidRDefault="00A31137" w:rsidP="00A31137">
      <w:r w:rsidRPr="00A31137">
        <w:t>1995, United States v. Lopez, No. 93-1260</w:t>
      </w:r>
    </w:p>
    <w:p w:rsidR="00A31137" w:rsidRPr="00A31137" w:rsidRDefault="00A31137" w:rsidP="00A31137">
      <w:r w:rsidRPr="00A31137">
        <w:t>The Port Preference Clause also suggests that the term "commerce" denoted sale and/or transport rather than business generally. According to that Clause, "[n]o Preference shall be given by any Regulation of Commerce or Revenue to the Ports of one State over those of another." U.S.Const., Art. I, § 9, cl. 6. Although it is possible to conceive of regulations of manufacturing or farming that prefer one port over another, the more natural reading is that the Clause prohibits Congress from using its commerce power to channel commerce through certain favored ports.</w:t>
      </w:r>
    </w:p>
    <w:p w:rsidR="00A31137" w:rsidRPr="00A31137" w:rsidRDefault="00A31137" w:rsidP="00A31137">
      <w:r w:rsidRPr="00A31137">
        <w:t>1995, United States v. Lopez, No. 93-1260</w:t>
      </w:r>
    </w:p>
    <w:p w:rsidR="00A31137" w:rsidRPr="00A31137" w:rsidRDefault="00A31137" w:rsidP="00A31137">
      <w:r w:rsidRPr="00A31137">
        <w:t>The Constitution not only uses the word "commerce" in a narrower sense than our case law might suggest, it also does not support the proposition that Congress has authority over all activities that "substantially affect" interstate commerce. The Commerce Clause 2 does not state that Congress may "regulate matters that substantially affect commerce with foreign Nations, and among the several States, and with the Indian Tribes." In contrast, the Constitution itself temporarily prohibited amendments that would "affect" Congress' lack of authority to prohibit or restrict the slave trade or to enact unproportioned direct taxation. U.S.Const., Art. V. Clearly, the Framers could have drafted a Constitution that contained a "substantially affects interstate commerce" clause had that been their objective.</w:t>
      </w:r>
    </w:p>
    <w:p w:rsidR="00A31137" w:rsidRPr="00A31137" w:rsidRDefault="00A31137" w:rsidP="00A31137">
      <w:r w:rsidRPr="00A31137">
        <w:t>1995, United States v. Lopez, No. 93-1260</w:t>
      </w:r>
    </w:p>
    <w:p w:rsidR="00A31137" w:rsidRPr="00A31137" w:rsidRDefault="00A31137" w:rsidP="00A31137">
      <w:r w:rsidRPr="00A31137">
        <w:t>In addition to its powers under the Commerce Clause, Congress has the authority to enact such laws as are "necessary and proper" to carry into execution its power to regulate commerce among the several States. U.S.Const., Art. I, § 8, cl. 18. But on this Court's understanding of congressional power under these two Clauses, many of Congress' other enumerated powers under Art. I, § 8 are wholly superfluous. After all, if Congress may regulate all matters that substantially affect commerce, there is no need for the Constitution to specify that Congress may enact bankruptcy laws, cl. 4, or coin money and fix the standard of weights and measures, cl. 5, or punish counterfeiters of United States coin and securities, cl. 6. Likewise, Congress would not need the separate authority to establish post offices and post roads, cl. 7, or to grant patents and copyrights, cl. 8, or to "punish Piracies and Felonies committed on the high Seas," cl. 10. It might not even need the power to raise and support an Army and Navy, cls. 12 and 13, for fewer people would engage in commercial shipping if they thought that a foreign power could expropriate their property with ease. Indeed, if Congress could regulate matters that substantially affect interstate commerce, there would have been no need to specify that Congress can regulate international trade and commerce with the Indians. As the Framers surely understood, these other branches of trade substantially affect interstate commerce.</w:t>
      </w:r>
    </w:p>
    <w:p w:rsidR="00A31137" w:rsidRPr="00A31137" w:rsidRDefault="00A31137" w:rsidP="00A31137">
      <w:r w:rsidRPr="00A31137">
        <w:t>1995, United States v. Lopez, No. 93-1260</w:t>
      </w:r>
    </w:p>
    <w:p w:rsidR="00A31137" w:rsidRPr="00A31137" w:rsidRDefault="00A31137" w:rsidP="00A31137">
      <w:r w:rsidRPr="00A31137">
        <w:t>Put simply, much if not all of Art. I, § 8 (including portions of the Commerce Clause itself) would be surplusage if Congress had been given authority over matters that substantially affect interstate commerce. An interpretation of cl. 3 that makes the rest of § 8 superfluous simply cannot be correct. Yet this Court's Commerce Clause jurisprudence has endorsed just such an interpretation: the power we have accorded Congress has swallowed Art. I, § 8. 3</w:t>
      </w:r>
    </w:p>
    <w:p w:rsidR="00A31137" w:rsidRPr="00A31137" w:rsidRDefault="00A31137" w:rsidP="00A31137">
      <w:r w:rsidRPr="00A31137">
        <w:t>1995, United States v. Lopez, No. 93-1260</w:t>
      </w:r>
    </w:p>
    <w:p w:rsidR="00A31137" w:rsidRPr="00A31137" w:rsidRDefault="00A31137" w:rsidP="00A31137">
      <w:r w:rsidRPr="00A31137">
        <w:t>Indeed, if a "substantial effects" test can be appended to the Commerce Clause, why not to every other power of the Federal Government? There is no reason for singling out the Commerce Clause for special treatment. Accordingly, Congress could regulate all matters that "substantially affect" the Army and Navy, bankruptcies, tax collection, expenditures, and so on. In that case, the clauses of § 8 all mutually overlap, something we can assume the Founding Fathers never intended.</w:t>
      </w:r>
    </w:p>
    <w:p w:rsidR="00A31137" w:rsidRPr="00A31137" w:rsidRDefault="00A31137" w:rsidP="00A31137">
      <w:r w:rsidRPr="00A31137">
        <w:t>1995, United States v. Lopez, No. 93-1260</w:t>
      </w:r>
    </w:p>
    <w:p w:rsidR="00A31137" w:rsidRPr="00A31137" w:rsidRDefault="00A31137" w:rsidP="00A31137">
      <w:r w:rsidRPr="00A31137">
        <w:t xml:space="preserve"> Our construction of the scope of congressional authority has the additional problem of coming close to turning the Tenth Amendment on its head. Our case law could be read to reserve to the United States all powers not expressly prohibited by the Constitution. Taken together, these fundamental textual problems should at the very least, convince us that the "substantial effects" test should be reexamined.</w:t>
      </w:r>
    </w:p>
    <w:p w:rsidR="00A31137" w:rsidRPr="00A31137" w:rsidRDefault="00A31137" w:rsidP="00A31137">
      <w:r w:rsidRPr="00A31137">
        <w:t>II</w:t>
      </w:r>
    </w:p>
    <w:p w:rsidR="00A31137" w:rsidRPr="00A31137" w:rsidRDefault="00A31137" w:rsidP="00A31137">
      <w:r w:rsidRPr="00A31137">
        <w:t>1995, United States v. Lopez, No. 93-1260</w:t>
      </w:r>
    </w:p>
    <w:p w:rsidR="00A31137" w:rsidRPr="00A31137" w:rsidRDefault="00A31137" w:rsidP="00A31137">
      <w:r w:rsidRPr="00A31137">
        <w:t>The exchanges during the ratification campaign reveal the relatively limited reach of the Commerce Clause and of federal power generally. The Founding Fathers confirmed that most areas of life (even many matters that would have substantial effects on commerce) would remain outside the reach of the Federal Government. Such affairs would continue to be under the exclusive control of the States.</w:t>
      </w:r>
    </w:p>
    <w:p w:rsidR="00A31137" w:rsidRPr="00A31137" w:rsidRDefault="00A31137" w:rsidP="00A31137">
      <w:r w:rsidRPr="00A31137">
        <w:t>1995, United States v. Lopez, No. 93-1260</w:t>
      </w:r>
    </w:p>
    <w:p w:rsidR="00A31137" w:rsidRPr="00A31137" w:rsidRDefault="00A31137" w:rsidP="00A31137">
      <w:r w:rsidRPr="00A31137">
        <w:t>Early Americans understood that commerce, manufacturing, and agriculture, while distinct activities, were intimately related and dependent on each other—that each "substantially affected" the others. After all, items produced by farmers and manufacturers were the primary articles of commerce at the time. If commerce was more robust as a result of federal superintendence, farmers and manufacturers could benefit. Thus, Oliver Ellsworth of Connecticut attempted to convince farmers of the benefits of regulating commerce. "Your property and riches depend on a ready demand and generous price for the produce you can annually spare," he wrote, and these conditions exist "where trade flourishes and when the merchant can freely export the produce of the country" to nations that will pay the highest price. A Landholder No. 1, Connecticut Courant, Nov. 5, 1787, in 3 Documentary History of the Ratification of the Constitution 399 (M. Jensen ed. 1978) (hereinafter Documentary History). See also The Federalist No. 35 at 219 (A. Hamilton) ("[D]iscerning citizens are well aware that the mechanic and manufacturing arts furnish the materials of mercantile enterprise and industry. Many of them indeed are immediately connected with the operations of commerce. They know that the merchant is their natural patron and friend"); id. at 221 ("Will not the merchant…be disposed to cultivate…the interests of the mechanic and manufacturing arts to which his commerce is so nearly allied?"); A Jerseyman: To the Citizens of New Jersey, Trenton Mercury, Nov. 6, 1787, in 3 Documentary History 147 (noting that agriculture will serve as a "source of commerce"); Marcus, The New Jersey Journal, Nov. 14, 1787, id. at 152 (both the mechanic and the farmer benefit from the prosperity of commerce). William Davie, a delegate to the North Carolina Convention, illustrated the close link best:</w:t>
      </w:r>
    </w:p>
    <w:p w:rsidR="00A31137" w:rsidRPr="00A31137" w:rsidRDefault="00A31137" w:rsidP="00A31137">
      <w:r w:rsidRPr="00A31137">
        <w:t>1995, United States v. Lopez, No. 93-1260</w:t>
      </w:r>
    </w:p>
    <w:p w:rsidR="00A31137" w:rsidRPr="00A31137" w:rsidRDefault="00A31137" w:rsidP="00A31137">
      <w:r w:rsidRPr="00A31137">
        <w:t>Commerce, sir, is the nurse of [agriculture and manufacturing]. The merchant furnishes the planter with such articles as he cannot manufacture himself, and finds him a market for his produce. Agriculture cannot flourish if commerce languishes; they are mutually dependent on each other.</w:t>
      </w:r>
    </w:p>
    <w:p w:rsidR="00A31137" w:rsidRPr="00A31137" w:rsidRDefault="00A31137" w:rsidP="00A31137">
      <w:r w:rsidRPr="00A31137">
        <w:t>1995, United States v. Lopez, No. 93-1260</w:t>
      </w:r>
    </w:p>
    <w:p w:rsidR="00A31137" w:rsidRPr="00A31137" w:rsidRDefault="00A31137" w:rsidP="00A31137">
      <w:r w:rsidRPr="00A31137">
        <w:t>4 Debates 20.</w:t>
      </w:r>
    </w:p>
    <w:p w:rsidR="00A31137" w:rsidRPr="00A31137" w:rsidRDefault="00A31137" w:rsidP="00A31137">
      <w:r w:rsidRPr="00A31137">
        <w:t>1995, United States v. Lopez, No. 93-1260</w:t>
      </w:r>
    </w:p>
    <w:p w:rsidR="00A31137" w:rsidRPr="00A31137" w:rsidRDefault="00A31137" w:rsidP="00A31137">
      <w:r w:rsidRPr="00A31137">
        <w:t>Yet, despite being well aware that agriculture, manufacturing, and other matters substantially affected commerce, the founding generation did not cede authority over all these activities to Congress. Hamilton, for instance, acknowledged that the Federal Government could not regulate agriculture and like concerns:</w:t>
      </w:r>
    </w:p>
    <w:p w:rsidR="00A31137" w:rsidRPr="00A31137" w:rsidRDefault="00A31137" w:rsidP="00A31137">
      <w:r w:rsidRPr="00A31137">
        <w:t>1995, United States v. Lopez, No. 93-1260</w:t>
      </w:r>
    </w:p>
    <w:p w:rsidR="00A31137" w:rsidRPr="00A31137" w:rsidRDefault="00A31137" w:rsidP="00A31137">
      <w:r w:rsidRPr="00A31137">
        <w:t>The administration of private justice between the citizens of the same State, the supervision of agriculture and of other concerns of a similar nature, all those things in short which are proper to be provided for by local legislation, can never be desirable cares of a general jurisdiction.</w:t>
      </w:r>
    </w:p>
    <w:p w:rsidR="00A31137" w:rsidRPr="00A31137" w:rsidRDefault="00A31137" w:rsidP="00A31137">
      <w:r w:rsidRPr="00A31137">
        <w:t>1995, United States v. Lopez, No. 93-1260</w:t>
      </w:r>
    </w:p>
    <w:p w:rsidR="00A31137" w:rsidRPr="00A31137" w:rsidRDefault="00A31137" w:rsidP="00A31137">
      <w:r w:rsidRPr="00A31137">
        <w:t>The Federalist No. 17 at 106. In the unlikely event that the Federal Government would attempt to exercise authority over such matters, its effort "would be as troublesome as it would be nugatory." Ibid. 4</w:t>
      </w:r>
    </w:p>
    <w:p w:rsidR="00A31137" w:rsidRPr="00A31137" w:rsidRDefault="00A31137" w:rsidP="00A31137">
      <w:r w:rsidRPr="00A31137">
        <w:t>1995, United States v. Lopez, No. 93-1260</w:t>
      </w:r>
    </w:p>
    <w:p w:rsidR="00A31137" w:rsidRPr="00A31137" w:rsidRDefault="00A31137" w:rsidP="00A31137">
      <w:r w:rsidRPr="00A31137">
        <w:t>The comments of Hamilton and others about federal power reflected the well known truth that the new Government would have only the limited and enumerated powers found in the Constitution. See, e.g., 2 Debates 267-268 (A. Hamilton at New York convention) (noting that there would be just cause for rejecting the Constitution if it would enable the Federal Government to "alter, or abrogate…[a state's] civil and criminal institutions [or] penetrate the recesses of domestic life, and control, in all respects, the private conduct of individuals"); The Federalist No. 45 at 313 (J. Madison); 3 Debates 259 (J. Madison) (Virginia convention); R. Sherman &amp; O. Ellsworth, Letter to Governor Huntington, Sept. 26, 1787, in 3 Documentary History 352; J. Wilson, Speech in the State House Yard, Oct. 6, 1787, in 2 id. at 167-168. Agriculture and manufacture, since they were not surrendered to the Federal Government, were state concerns. See The Federalist No. 34 at 212-213 (A. Hamilton) (observing that the "internal encouragement of agriculture and manufactures" was an object of state expenditure). Even before the passage of the Tenth Amendment, it was apparent that Congress would possess only those powers "herein granted" by the rest of the Constitution. U.S.Const., Art. I, § 1.</w:t>
      </w:r>
    </w:p>
    <w:p w:rsidR="00A31137" w:rsidRPr="00A31137" w:rsidRDefault="00A31137" w:rsidP="00A31137">
      <w:r w:rsidRPr="00A31137">
        <w:t>1995, United States v. Lopez, No. 93-1260</w:t>
      </w:r>
    </w:p>
    <w:p w:rsidR="00A31137" w:rsidRPr="00A31137" w:rsidRDefault="00A31137" w:rsidP="00A31137">
      <w:r w:rsidRPr="00A31137">
        <w:t>Where the Constitution was meant to grant federal authority over an activity substantially affecting interstate commerce, the Constitution contains an enumerated power over that particular activity. Indeed, the Framers knew that many of the other enumerated powers in § 8 dealt with matters that substantially affected interstate commerce. Madison, for instance, spoke of the bankruptcy power as being "intimately connected with the regulation of commerce." The Federalist No. 42 at 287. Likewise, Hamilton urged that "[i]f we mean to be a commercial people or even to be secure on our Atlantic side, we must endeavour as soon as possible to have a navy." Id. No. 24 at 157 (A. Hamilton).</w:t>
      </w:r>
    </w:p>
    <w:p w:rsidR="00A31137" w:rsidRPr="00A31137" w:rsidRDefault="00A31137" w:rsidP="00A31137">
      <w:r w:rsidRPr="00A31137">
        <w:t>1995, United States v. Lopez, No. 93-1260</w:t>
      </w:r>
    </w:p>
    <w:p w:rsidR="00A31137" w:rsidRPr="00A31137" w:rsidRDefault="00A31137" w:rsidP="00A31137">
      <w:r w:rsidRPr="00A31137">
        <w:t>In short, the Founding Fathers were well aware of what the principal dissent calls "'economic…realities.'" See post at ___ (BREYER, J.) (citing North American Co. v. SEC, 327 U.S. 686, 705 (1946)). Even though the boundary between commerce and other matters may ignore "economic reality" and thus seem arbitrary or artificial to some, we must nevertheless respect a constitutional line that does not grant Congress power over all that substantially affects interstate commerce.</w:t>
      </w:r>
    </w:p>
    <w:p w:rsidR="00A31137" w:rsidRPr="00A31137" w:rsidRDefault="00A31137" w:rsidP="00A31137">
      <w:r w:rsidRPr="00A31137">
        <w:t>III</w:t>
      </w:r>
    </w:p>
    <w:p w:rsidR="00A31137" w:rsidRPr="00A31137" w:rsidRDefault="00A31137" w:rsidP="00A31137">
      <w:r w:rsidRPr="00A31137">
        <w:t>1995, United States v. Lopez, No. 93-1260</w:t>
      </w:r>
    </w:p>
    <w:p w:rsidR="00A31137" w:rsidRPr="00A31137" w:rsidRDefault="00A31137" w:rsidP="00A31137">
      <w:r w:rsidRPr="00A31137">
        <w:t>If the principal dissent's understanding of our early case law were correct, there might be some reason to doubt this view of the original understanding of the Constitution. According to that dissent, Chief Justice Marshall's opinion in Gibbons v. Ogden, 9 Wheat. 1 (1824) established that Congress may control all local activities that "significantly affect interstate commerce," post at ___. And, "with the exception of one wrong turn subsequently corrected," this has been the "traditiona[l]" method of interpreting the Commerce Clause. Post at ___ (citing Gibbons and United States v. Darby, 312 U.S. 100, 116-117 (1941)).</w:t>
      </w:r>
    </w:p>
    <w:p w:rsidR="00A31137" w:rsidRPr="00A31137" w:rsidRDefault="00A31137" w:rsidP="00A31137">
      <w:r w:rsidRPr="00A31137">
        <w:t>1995, United States v. Lopez, No. 93-1260</w:t>
      </w:r>
    </w:p>
    <w:p w:rsidR="00A31137" w:rsidRPr="00A31137" w:rsidRDefault="00A31137" w:rsidP="00A31137">
      <w:r w:rsidRPr="00A31137">
        <w:t>In my view, the dissent is wrong about the holding and reasoning of Gibbons. Because this error leads the dissent to characterize the first 150 years of this Court's case law as a "wrong turn," I feel compelled to put the last 50 years in proper perspective.</w:t>
      </w:r>
    </w:p>
    <w:p w:rsidR="00A31137" w:rsidRPr="00A31137" w:rsidRDefault="00A31137" w:rsidP="00A31137">
      <w:r w:rsidRPr="00A31137">
        <w:t>A</w:t>
      </w:r>
    </w:p>
    <w:p w:rsidR="00A31137" w:rsidRPr="00A31137" w:rsidRDefault="00A31137" w:rsidP="00A31137">
      <w:r w:rsidRPr="00A31137">
        <w:t>1995, United States v. Lopez, No. 93-1260</w:t>
      </w:r>
    </w:p>
    <w:p w:rsidR="00A31137" w:rsidRPr="00A31137" w:rsidRDefault="00A31137" w:rsidP="00A31137">
      <w:r w:rsidRPr="00A31137">
        <w:t>In Gibbons, the Court examined whether a federal law that licensed ships to engage in the "coasting trade" preempted a New York law granting a 30-year monopoly to Robert Livingston and Robert Fulton to navigate the State's waterways by steamship. In concluding that it did, the Court noted that Congress could regulate "navigation" because</w:t>
      </w:r>
    </w:p>
    <w:p w:rsidR="00A31137" w:rsidRPr="00A31137" w:rsidRDefault="00A31137" w:rsidP="00A31137">
      <w:r w:rsidRPr="00A31137">
        <w:t>1995, United States v. Lopez, No. 93-1260</w:t>
      </w:r>
    </w:p>
    <w:p w:rsidR="00A31137" w:rsidRPr="00A31137" w:rsidRDefault="00A31137" w:rsidP="00A31137">
      <w:r w:rsidRPr="00A31137">
        <w:t>[a]ll America…has uniformly understood, the word "commerce," to comprehend navigation. It was so understood, and must have been so understood, when the constitution was framed.</w:t>
      </w:r>
    </w:p>
    <w:p w:rsidR="00A31137" w:rsidRPr="00A31137" w:rsidRDefault="00A31137" w:rsidP="00A31137">
      <w:r w:rsidRPr="00A31137">
        <w:t>1995, United States v. Lopez, No. 93-1260</w:t>
      </w:r>
    </w:p>
    <w:p w:rsidR="00A31137" w:rsidRPr="00A31137" w:rsidRDefault="00A31137" w:rsidP="00A31137">
      <w:r w:rsidRPr="00A31137">
        <w:t>9 Wheat. at  190. The Court also observed that federal power over commerce "among the several States" meant that Congress could regulate commerce conducted partly within a State. Because a portion of interstate commerce and foreign commerce would almost always take place within one or more States, federal power over interstate and foreign commerce necessarily would extend into the States. Id. at 194-196.</w:t>
      </w:r>
    </w:p>
    <w:p w:rsidR="00A31137" w:rsidRPr="00A31137" w:rsidRDefault="00A31137" w:rsidP="00A31137">
      <w:r w:rsidRPr="00A31137">
        <w:t>1995, United States v. Lopez, No. 93-1260</w:t>
      </w:r>
    </w:p>
    <w:p w:rsidR="00A31137" w:rsidRPr="00A31137" w:rsidRDefault="00A31137" w:rsidP="00A31137">
      <w:r w:rsidRPr="00A31137">
        <w:t>At the same time, the Court took great pains to make clear that Congress could not regulate commerce "which is completely internal, which is carried on between man and man in a State, or between different parts of the same State, and which does not extend to or affect other States." Id. at  194. Moreover, while suggesting that the Constitution might not permit States to regulate interstate or foreign commerce, the Court observed that "[i]nspection laws, quarantine laws, health laws of every description, as well as laws for regulating the internal commerce of a State" were but a small part "of that immense mass of legislation…not surrendered to a general government." Id. at  203. From an early moment, the Court rejected the notion that Congress can regulate everything that affects interstate commerce. That the internal commerce of the States and the numerous state inspection, quarantine, and health laws had substantial effects on interstate commerce cannot be doubted. Nevertheless, they were not "surrendered to the general government."</w:t>
      </w:r>
    </w:p>
    <w:p w:rsidR="00A31137" w:rsidRPr="00A31137" w:rsidRDefault="00A31137" w:rsidP="00A31137">
      <w:r w:rsidRPr="00A31137">
        <w:t>1995, United States v. Lopez, No. 93-1260</w:t>
      </w:r>
    </w:p>
    <w:p w:rsidR="00A31137" w:rsidRPr="00A31137" w:rsidRDefault="00A31137" w:rsidP="00A31137">
      <w:r w:rsidRPr="00A31137">
        <w:t>Of course, the principal dissent is not the first to misconstrue Gibbons. For instance, the Court has stated that Gibbons "described the federal commerce power with a breadth never yet exceeded." Wickard v. Filburn, 317 U.S. 111,  120 (1942). See also Perez v. United States, 402 U.S. 146, 151 (1971) (claiming that with Darby and Wickard, "the broader view of the Commerce Clause announced by Chief Justice Marshall had been restored"). I believe that this misreading stems from two statements in Gibbons.</w:t>
      </w:r>
    </w:p>
    <w:p w:rsidR="00A31137" w:rsidRPr="00A31137" w:rsidRDefault="00A31137" w:rsidP="00A31137">
      <w:r w:rsidRPr="00A31137">
        <w:t>1995, United States v. Lopez, No. 93-1260</w:t>
      </w:r>
    </w:p>
    <w:p w:rsidR="00A31137" w:rsidRPr="00A31137" w:rsidRDefault="00A31137" w:rsidP="00A31137">
      <w:r w:rsidRPr="00A31137">
        <w:t>First, the Court made the uncontroversial claim that federal power does not encompass "commerce" that "does not extend to or affect other States." 9 Wheat. at  194 (emphasis added). From this statement, the principal dissent infers that whenever an activity affects interstate commerce, it necessarily follows that Congress can regulate such activities. Of course, Chief Justice Marshall said no such thing and the inference the dissent makes cannot be drawn.</w:t>
      </w:r>
    </w:p>
    <w:p w:rsidR="00A31137" w:rsidRPr="00A31137" w:rsidRDefault="00A31137" w:rsidP="00A31137">
      <w:r w:rsidRPr="00A31137">
        <w:t>1995, United States v. Lopez, No. 93-1260</w:t>
      </w:r>
    </w:p>
    <w:p w:rsidR="00A31137" w:rsidRPr="00A31137" w:rsidRDefault="00A31137" w:rsidP="00A31137">
      <w:r w:rsidRPr="00A31137">
        <w:t>There is a much better interpretation of the "affect[s]" language: because the Court had earlier noted that the commerce power did not extend to wholly intrastate commerce, the Court was acknowledging that although the line between intrastate and interstate/foreign commerce would be difficult to draw, federal authority could not be construed to cover purely intrastate commerce. Commerce that did not affect another State could never be said to be commerce "among the several States."</w:t>
      </w:r>
    </w:p>
    <w:p w:rsidR="00A31137" w:rsidRPr="00A31137" w:rsidRDefault="00A31137" w:rsidP="00A31137">
      <w:r w:rsidRPr="00A31137">
        <w:t>1995, United States v. Lopez, No. 93-1260</w:t>
      </w:r>
    </w:p>
    <w:p w:rsidR="00A31137" w:rsidRPr="00A31137" w:rsidRDefault="00A31137" w:rsidP="00A31137">
      <w:r w:rsidRPr="00A31137">
        <w:t>But even if one were to adopt the dissent's reading, the "affect[s]" language at most, permits Congress to regulate only intrastate commerce that substantially affects interstate and foreign commerce. There is no reason to believe that Chief Justice Marshall was asserting that Congress could regulate all activities that affect interstate commerce. See Ibid.</w:t>
      </w:r>
    </w:p>
    <w:p w:rsidR="00A31137" w:rsidRPr="00A31137" w:rsidRDefault="00A31137" w:rsidP="00A31137">
      <w:r w:rsidRPr="00A31137">
        <w:t>1995, United States v. Lopez, No. 93-1260</w:t>
      </w:r>
    </w:p>
    <w:p w:rsidR="00A31137" w:rsidRPr="00A31137" w:rsidRDefault="00A31137" w:rsidP="00A31137">
      <w:r w:rsidRPr="00A31137">
        <w:t>The second source of confusion stems from the Court's praise for the Constitution's division of power between the States and the Federal Government:</w:t>
      </w:r>
    </w:p>
    <w:p w:rsidR="00A31137" w:rsidRPr="00A31137" w:rsidRDefault="00A31137" w:rsidP="00A31137">
      <w:r w:rsidRPr="00A31137">
        <w:t>1995, United States v. Lopez, No. 93-1260</w:t>
      </w:r>
    </w:p>
    <w:p w:rsidR="00A31137" w:rsidRPr="00A31137" w:rsidRDefault="00A31137" w:rsidP="00A31137">
      <w:r w:rsidRPr="00A31137">
        <w:t>The genius and character of the whole government seem to be that its action is to be applied to all the external concerns of the nation, and to those internal concerns which affect the States generally; but not to those which are completely within a particular State, which do not affect other States, and with which it is not necessary to interfere, for the purpose of executing some of the general powers of the government.</w:t>
      </w:r>
    </w:p>
    <w:p w:rsidR="00A31137" w:rsidRPr="00A31137" w:rsidRDefault="00A31137" w:rsidP="00A31137">
      <w:r w:rsidRPr="00A31137">
        <w:t>1995, United States v. Lopez, No. 93-1260</w:t>
      </w:r>
    </w:p>
    <w:p w:rsidR="00A31137" w:rsidRPr="00A31137" w:rsidRDefault="00A31137" w:rsidP="00A31137">
      <w:r w:rsidRPr="00A31137">
        <w:t>Id. at  195. In this passage, the Court merely was making the well understood point that the Constitution commits matters of "national" concern to Congress and leaves "local" matters to the States. The Court was not saying that whatever Congress believes is a national matter becomes an object of federal control. The matters of national concern are enumerated in the Constitution: war, taxes, patents, and copyrights, uniform rules of naturalization and bankruptcy, types of commerce, and so on. See generally U.S.Const., Art. I, § 8. Gibbons' emphatic statements that Congress could not regulate many matters that affect commerce confirm that the Court did not read the Commerce Clause as granting Congress control over matters that "affect the States generally." 5 Gibbons simply cannot be construed as the principal dissent would have it.</w:t>
      </w:r>
    </w:p>
    <w:p w:rsidR="00A31137" w:rsidRPr="00A31137" w:rsidRDefault="00A31137" w:rsidP="00A31137">
      <w:r w:rsidRPr="00A31137">
        <w:t>B</w:t>
      </w:r>
    </w:p>
    <w:p w:rsidR="00A31137" w:rsidRPr="00A31137" w:rsidRDefault="00A31137" w:rsidP="00A31137">
      <w:r w:rsidRPr="00A31137">
        <w:t>1995, United States v. Lopez, No. 93-1260</w:t>
      </w:r>
    </w:p>
    <w:p w:rsidR="00A31137" w:rsidRPr="00A31137" w:rsidRDefault="00A31137" w:rsidP="00A31137">
      <w:r w:rsidRPr="00A31137">
        <w:t>I am aware of no cases prior to the New Deal that characterized the power flowing from the Commerce Clause as sweepingly as does our substantial effects test. My review of the case law indicates that the substantial effects test is but an innovation of the 20th century.</w:t>
      </w:r>
    </w:p>
    <w:p w:rsidR="00A31137" w:rsidRPr="00A31137" w:rsidRDefault="00A31137" w:rsidP="00A31137">
      <w:r w:rsidRPr="00A31137">
        <w:t>1995, United States v. Lopez, No. 93-1260</w:t>
      </w:r>
    </w:p>
    <w:p w:rsidR="00A31137" w:rsidRPr="00A31137" w:rsidRDefault="00A31137" w:rsidP="00A31137">
      <w:r w:rsidRPr="00A31137">
        <w:t>Even before Gibbons, Chief Justice Marshall, writing for the Court in Cohens v. Virginia, 6 Wheat. 264 (1821), noted that Congress had "no general right to punish murder committed within any of the States," id. at  426, and that it was "clear that congress cannot punish felonies generally," id. at  428. The Court's only qualification was that Congress could enact such laws for places where it enjoyed plenary powers-for instance, over the District of Columbia. Id. at  426. Thus, whatever effect ordinary murders, or robbery, or gun possession might have on interstate commerce (or on any other subject of federal concern) was irrelevant to the question of congressional power. 6</w:t>
      </w:r>
    </w:p>
    <w:p w:rsidR="00A31137" w:rsidRPr="00A31137" w:rsidRDefault="00A31137" w:rsidP="00A31137">
      <w:r w:rsidRPr="00A31137">
        <w:t>1995, United States v. Lopez, No. 93-1260</w:t>
      </w:r>
    </w:p>
    <w:p w:rsidR="00A31137" w:rsidRPr="00A31137" w:rsidRDefault="00A31137" w:rsidP="00A31137">
      <w:r w:rsidRPr="00A31137">
        <w:t>United States v. Dewitt, 9 Wall. 41 (1870), marked the first time the Court struck down a federal law as exceeding the power conveyed by the Commerce Clause. In a two-page opinion, the Court invalidated a nationwide law prohibiting all sales of naphtha and illuminating oils. In so doing, the Court remarked that the Commerce Clause</w:t>
      </w:r>
    </w:p>
    <w:p w:rsidR="00A31137" w:rsidRPr="00A31137" w:rsidRDefault="00A31137" w:rsidP="00A31137">
      <w:r w:rsidRPr="00A31137">
        <w:t>1995, United States v. Lopez, No. 93-1260</w:t>
      </w:r>
    </w:p>
    <w:p w:rsidR="00A31137" w:rsidRPr="00A31137" w:rsidRDefault="00A31137" w:rsidP="00A31137">
      <w:r w:rsidRPr="00A31137">
        <w:t>has always been understood as limited by its terms; and as a virtual denial of any power to interfere with the internal trade and business of the separate States.</w:t>
      </w:r>
    </w:p>
    <w:p w:rsidR="00A31137" w:rsidRPr="00A31137" w:rsidRDefault="00A31137" w:rsidP="00A31137">
      <w:r w:rsidRPr="00A31137">
        <w:t>1995, United States v. Lopez, No. 93-1260</w:t>
      </w:r>
    </w:p>
    <w:p w:rsidR="00A31137" w:rsidRPr="00A31137" w:rsidRDefault="00A31137" w:rsidP="00A31137">
      <w:r w:rsidRPr="00A31137">
        <w:t>Id. at 44. The law in question was "plainly a regulation of police," which could have constitutional application only where Congress had exclusive authority, such as the territories. Id. at 44-45. See also License Tax Cases, 5 Wall. 462, 470-471 (1867) (Congress cannot interfere with the internal commerce and business of a State); Trade-Mark Cases, 100 U.S. 82 (1879) (Congress cannot regulate internal commerce, and thus may not establish national trademark registration).</w:t>
      </w:r>
    </w:p>
    <w:p w:rsidR="00A31137" w:rsidRPr="00A31137" w:rsidRDefault="00A31137" w:rsidP="00A31137">
      <w:r w:rsidRPr="00A31137">
        <w:t>1995, United States v. Lopez, No. 93-1260</w:t>
      </w:r>
    </w:p>
    <w:p w:rsidR="00A31137" w:rsidRPr="00A31137" w:rsidRDefault="00A31137" w:rsidP="00A31137">
      <w:r w:rsidRPr="00A31137">
        <w:t>In United States v. E. C. Knight Co., 156 U.S. 1 (1895), this Court held that mere attempts to monopolize the manufacture of sugar could not be regulated pursuant to the Commerce Clause. Raising echoes of the discussions of the Framers regarding the intimate relationship between commerce and manufacturing, the Court declared that "[c]ommerce succeeds to manufacture, and is not a part of it." Id. at  12. The Court also approvingly quoted from Kidd v. Pearson, 128 U.S. 1, 20 (1888):</w:t>
      </w:r>
    </w:p>
    <w:p w:rsidR="00A31137" w:rsidRPr="00A31137" w:rsidRDefault="00A31137" w:rsidP="00A31137">
      <w:r w:rsidRPr="00A31137">
        <w:t>1995, United States v. Lopez, No. 93-1260</w:t>
      </w:r>
    </w:p>
    <w:p w:rsidR="00A31137" w:rsidRPr="00A31137" w:rsidRDefault="00A31137" w:rsidP="00A31137">
      <w:r w:rsidRPr="00A31137">
        <w:t>"No distinction is more popular to the common mind, or more clearly expressed in economic and political literature, than that between manufacture and commerce….   If it be held that the term [commerce] includes the regulation of all such manufactures as are intended to be the subject of commercial transactions in the future, it is impossible to deny that it would also include all productive industries that contemplate the same thing. The result would be that Congress would be invested…with the power to regulate not only manufactures, but also agriculture, horticulture, stock raising, domestic fisheries, mining—in short, every branch of human industry."</w:t>
      </w:r>
    </w:p>
    <w:p w:rsidR="00A31137" w:rsidRPr="00A31137" w:rsidRDefault="00A31137" w:rsidP="00A31137">
      <w:r w:rsidRPr="00A31137">
        <w:t>1995, United States v. Lopez, No. 93-1260</w:t>
      </w:r>
    </w:p>
    <w:p w:rsidR="00A31137" w:rsidRPr="00A31137" w:rsidRDefault="00A31137" w:rsidP="00A31137">
      <w:r w:rsidRPr="00A31137">
        <w:t>E. C. Knight, 156 U.S. at  14. If federal power extended to these types of production "comparatively little of business operations and affairs would be left for state control." Id. at  16. See also Newberry v. United States, 256 U.S. 232, 257 (1921) ("It is settled…that the power to regulate interstate and foreign commerce does not reach whatever is essential thereto. Without agriculture, manufacturing, mining, etc., commerce could not exist, but this fact does not suffice to subject them to the control of Congress"). Whether or not manufacturing, agriculture, or other matters substantially affected interstate commerce was irrelevant.</w:t>
      </w:r>
    </w:p>
    <w:p w:rsidR="00A31137" w:rsidRPr="00A31137" w:rsidRDefault="00A31137" w:rsidP="00A31137">
      <w:r w:rsidRPr="00A31137">
        <w:t>1995, United States v. Lopez, No. 93-1260</w:t>
      </w:r>
    </w:p>
    <w:p w:rsidR="00A31137" w:rsidRPr="00A31137" w:rsidRDefault="00A31137" w:rsidP="00A31137">
      <w:r w:rsidRPr="00A31137">
        <w:t>As recently as 1936, the Court continued to insist that the Commerce Clause did not reach the wholly internal business of the States. See Carter v. Carter Coal Co., 298 U.S. 238,  308 (1936) (Congress may not regulate mine labor, because "[t]he relation of employer and employee is a local relation"); see also A. L. A. Schechter Poultry Corp. v. United States, 295 U.S. 495, 543-550 (1935) (holding that Congress may not regulate intrastate sales of sick chickens or the labor of employees involved in intrastate poultry sales). The Federal Government simply could not reach such subjects regardless of their effects on interstate commerce.</w:t>
      </w:r>
    </w:p>
    <w:p w:rsidR="00A31137" w:rsidRPr="00A31137" w:rsidRDefault="00A31137" w:rsidP="00A31137">
      <w:r w:rsidRPr="00A31137">
        <w:t>1995, United States v. Lopez, No. 93-1260</w:t>
      </w:r>
    </w:p>
    <w:p w:rsidR="00A31137" w:rsidRPr="00A31137" w:rsidRDefault="00A31137" w:rsidP="00A31137">
      <w:r w:rsidRPr="00A31137">
        <w:t>These cases all establish a simple point: from the time of the ratification of the Constitution to the mid-1930's, it was widely understood that the Constitution granted Congress only limited powers, notwithstanding the Commerce Clause. 7 Moreover, there was no question that activities wholly separated from business, such as gun possession, were beyond the reach of the commerce power. If anything, the "wrong turn" was the Court's dramatic departure in the 1930's from a century and a half of precedent.</w:t>
      </w:r>
    </w:p>
    <w:p w:rsidR="00A31137" w:rsidRPr="00A31137" w:rsidRDefault="00A31137" w:rsidP="00A31137">
      <w:r w:rsidRPr="00A31137">
        <w:t>IV</w:t>
      </w:r>
    </w:p>
    <w:p w:rsidR="00A31137" w:rsidRPr="00A31137" w:rsidRDefault="00A31137" w:rsidP="00A31137">
      <w:r w:rsidRPr="00A31137">
        <w:t>1995, United States v. Lopez, No. 93-1260</w:t>
      </w:r>
    </w:p>
    <w:p w:rsidR="00A31137" w:rsidRPr="00A31137" w:rsidRDefault="00A31137" w:rsidP="00A31137">
      <w:r w:rsidRPr="00A31137">
        <w:t>Apart from its recent vintage and its corresponding lack of any grounding in the original understanding of the Constitution, the substantial effects test suffers from the further flaw that it appears to grant Congress a police power over the Nation. When asked at oral argument if there were any limits to the Commerce Clause, the Government was at a loss for words. Tr. of Oral Arg. 5. Likewise, the principal dissent insists that there are limits, but it cannot muster even one example. Post at ___. Indeed, the dissent implicitly concedes that its reading has no limits when it criticizes the Court for "threaten[ing] legal uncertainty in an area of law that…seemed reasonably well settled." Post at ___. The one advantage of the dissent's standard is certainty: it is certain that, under its analysis, everything may be regulated under the guise of the Commerce Clause.</w:t>
      </w:r>
    </w:p>
    <w:p w:rsidR="00A31137" w:rsidRPr="00A31137" w:rsidRDefault="00A31137" w:rsidP="00A31137">
      <w:r w:rsidRPr="00A31137">
        <w:t>1995, United States v. Lopez, No. 93-1260</w:t>
      </w:r>
    </w:p>
    <w:p w:rsidR="00A31137" w:rsidRPr="00A31137" w:rsidRDefault="00A31137" w:rsidP="00A31137">
      <w:r w:rsidRPr="00A31137">
        <w:t>The substantial effects test suffers from this flaw, in part, because of its "aggregation principle." Under so-called "class of activities" statutes, Congress can regulate whole categories of activities that are not themselves either "interstate" or "commerce." In applying the effects test, we ask whether the class of activities as a whole substantially affects interstate commerce, not whether any specific activity within the class has such effects when considered in isolation. See Maryland v. Wirtz, 392 U.S. at 192-193 (if class of activities is "'within the reach of federal power,'" courts may not excise individual applications as trivial) (quoting Darby, 312 U.S. at 120-121).</w:t>
      </w:r>
    </w:p>
    <w:p w:rsidR="00A31137" w:rsidRPr="00A31137" w:rsidRDefault="00A31137" w:rsidP="00A31137">
      <w:r w:rsidRPr="00A31137">
        <w:t>1995, United States v. Lopez, No. 93-1260</w:t>
      </w:r>
    </w:p>
    <w:p w:rsidR="00A31137" w:rsidRPr="00A31137" w:rsidRDefault="00A31137" w:rsidP="00A31137">
      <w:r w:rsidRPr="00A31137">
        <w:t>The aggregation principle is clever, but has no stopping point. Suppose all would agree that gun possession within 1,000 feet of a school does not substantially affect commerce, but that possession of weapons generally (knives, brass knuckles, nunchakus, etc.) does. Under our substantial effects doctrine, even though Congress cannot single out gun possession, it can prohibit weapon possession generally. But one always can draw the circle broadly enough to cover an activity that, when taken in isolation, would not have substantial effects on commerce. Under our jurisprudence, if Congress passed an omnibus "substantially affects interstate commerce" statute, purporting to regulate every aspect of human existence, the Act apparently would be constitutional. Even though particular sections may govern only trivial activities, the statute in the aggregate regulates matters that substantially affect commerce.</w:t>
      </w:r>
    </w:p>
    <w:p w:rsidR="00A31137" w:rsidRPr="00A31137" w:rsidRDefault="00A31137" w:rsidP="00A31137">
      <w:r w:rsidRPr="00A31137">
        <w:t>V</w:t>
      </w:r>
    </w:p>
    <w:p w:rsidR="00A31137" w:rsidRPr="00A31137" w:rsidRDefault="00A31137" w:rsidP="00A31137">
      <w:r w:rsidRPr="00A31137">
        <w:t>1995, United States v. Lopez, No. 93-1260</w:t>
      </w:r>
    </w:p>
    <w:p w:rsidR="00A31137" w:rsidRPr="00A31137" w:rsidRDefault="00A31137" w:rsidP="00A31137">
      <w:r w:rsidRPr="00A31137">
        <w:t>This extended discussion of the original understanding and our first century and a half of case law does not necessarily require a wholesale abandonment of our more recent opinions. 8 It simply reveals that our substantial effects test is far removed from both the Constitution and from our early case law and that the Court's opinion should not be viewed as "radical" or another "wrong turn" that must be corrected in the future. 9 The analysis also suggests that we ought to temper our Commerce Clause jurisprudence.</w:t>
      </w:r>
    </w:p>
    <w:p w:rsidR="00A31137" w:rsidRPr="00A31137" w:rsidRDefault="00A31137" w:rsidP="00A31137">
      <w:r w:rsidRPr="00A31137">
        <w:t>1995, United States v. Lopez, No. 93-1260</w:t>
      </w:r>
    </w:p>
    <w:p w:rsidR="00A31137" w:rsidRPr="00A31137" w:rsidRDefault="00A31137" w:rsidP="00A31137">
      <w:r w:rsidRPr="00A31137">
        <w:t>Unless the dissenting Justices are willing to repudiate our long-held understanding of the limited nature of federal power, I would think that they too must be willing to reconsider the substantial effects test in a future case. If we wish to be true to a Constitution that does not cede a police power to the Federal Government, our Commerce Clause's boundaries simply cannot be "defined" as being "'commensurate with the national needs'" or self-consciously intended to let the Federal Government "'defend itself against economic forces that Congress decrees inimical or destructive of the national economy.'" See post at ___ (BREYER, J., dissenting) (quoting North American Co. v. SEC, 327 U.S. 686, 705 (1946)). Such a formulation of federal power is no test at all: it is a blank check.</w:t>
      </w:r>
    </w:p>
    <w:p w:rsidR="00A31137" w:rsidRPr="00A31137" w:rsidRDefault="00A31137" w:rsidP="00A31137">
      <w:r w:rsidRPr="00A31137">
        <w:t>1995, United States v. Lopez, No. 93-1260</w:t>
      </w:r>
    </w:p>
    <w:p w:rsidR="00A31137" w:rsidRPr="00A31137" w:rsidRDefault="00A31137" w:rsidP="00A31137">
      <w:r w:rsidRPr="00A31137">
        <w:t>At an appropriate juncture, I think we must modify our Commerce Clause jurisprudence. Today, it is easy enough to say that the Clause certainly does not empower Congress to ban gun possession within 1,000 feet of a school.</w:t>
      </w:r>
    </w:p>
    <w:p w:rsidR="00A31137" w:rsidRPr="00A31137" w:rsidRDefault="00A31137" w:rsidP="00A31137">
      <w:r w:rsidRPr="00A31137">
        <w:t>STEVENS, J., dissenting</w:t>
      </w:r>
    </w:p>
    <w:p w:rsidR="00A31137" w:rsidRPr="00A31137" w:rsidRDefault="00A31137" w:rsidP="00A31137">
      <w:r w:rsidRPr="00A31137">
        <w:t>1995, United States v. Lopez, No. 93-1260</w:t>
      </w:r>
    </w:p>
    <w:p w:rsidR="00A31137" w:rsidRPr="00A31137" w:rsidRDefault="00A31137" w:rsidP="00A31137">
      <w:r w:rsidRPr="00A31137">
        <w:t>JUSTICE STEVENS, dissenting.</w:t>
      </w:r>
    </w:p>
    <w:p w:rsidR="00A31137" w:rsidRPr="00A31137" w:rsidRDefault="00A31137" w:rsidP="00A31137">
      <w:r w:rsidRPr="00A31137">
        <w:t>1995, United States v. Lopez, No. 93-1260</w:t>
      </w:r>
    </w:p>
    <w:p w:rsidR="00A31137" w:rsidRPr="00A31137" w:rsidRDefault="00A31137" w:rsidP="00A31137">
      <w:r w:rsidRPr="00A31137">
        <w:t>The welfare of our future "Commerce with foreign Nations, and among the several States," U.S.Const., Art. I, § 8, cl. 3, is vitally dependent on the character of the education of our children. I therefore agree entirely with JUSTICE BREYER's explanation of why Congress has ample power to prohibit the possession of firearms in or near schools—just as it may protect the school environment from harms posed by controlled substances such as asbestos or alcohol. I also agree with JUSTICE SOUTER's exposition of the radical character of the Court's holding and its kinship with the discredited, pre-Depression version of substantive due process. Cf. Dolan v. Tigard, 512 U.S. ___, ___ (1994) (STEVENS, J., dissenting). I believe, however, that the Court's extraordinary decision merits this additional comment.</w:t>
      </w:r>
    </w:p>
    <w:p w:rsidR="00A31137" w:rsidRPr="00A31137" w:rsidRDefault="00A31137" w:rsidP="00A31137">
      <w:r w:rsidRPr="00A31137">
        <w:t>1995, United States v. Lopez, No. 93-1260</w:t>
      </w:r>
    </w:p>
    <w:p w:rsidR="00A31137" w:rsidRPr="00A31137" w:rsidRDefault="00A31137" w:rsidP="00A31137">
      <w:r w:rsidRPr="00A31137">
        <w:t>Guns are both articles of commerce and articles that can be used to restrain commerce. Their possession is the consequence, either directly or indirectly, of commercial activity. In my judgment, Congress' power to regulate commerce in firearms includes the power to prohibit possession of guns at any location because of their potentially harmful use; it necessarily follows that Congress may also prohibit their possession in particular markets. The market for the possession of handguns by school-age children is, distressingly, substantial.* Whether or not the national interest in eliminating that market would have justified federal legislation in 1789, it surely does today.</w:t>
      </w:r>
    </w:p>
    <w:p w:rsidR="00A31137" w:rsidRPr="00A31137" w:rsidRDefault="00A31137" w:rsidP="00A31137">
      <w:r w:rsidRPr="00A31137">
        <w:t>SOUTER, J., dissenting</w:t>
      </w:r>
    </w:p>
    <w:p w:rsidR="00A31137" w:rsidRPr="00A31137" w:rsidRDefault="00A31137" w:rsidP="00A31137">
      <w:r w:rsidRPr="00A31137">
        <w:t>1995, United States v. Lopez, No. 93-1260</w:t>
      </w:r>
    </w:p>
    <w:p w:rsidR="00A31137" w:rsidRPr="00A31137" w:rsidRDefault="00A31137" w:rsidP="00A31137">
      <w:r w:rsidRPr="00A31137">
        <w:t>JUSTICE SOUTER, dissenting.</w:t>
      </w:r>
    </w:p>
    <w:p w:rsidR="00A31137" w:rsidRPr="00A31137" w:rsidRDefault="00A31137" w:rsidP="00A31137">
      <w:r w:rsidRPr="00A31137">
        <w:t>1995, United States v. Lopez, No. 93-1260</w:t>
      </w:r>
    </w:p>
    <w:p w:rsidR="00A31137" w:rsidRPr="00A31137" w:rsidRDefault="00A31137" w:rsidP="00A31137">
      <w:r w:rsidRPr="00A31137">
        <w:t>In reviewing congressional legislation under the Commerce Clause, we defer to what is often a merely implicit congressional judgment that its regulation addresses a subject substantially affecting interstate commerce "if there is any rational basis for such a finding." Hodel v. Virginia Surface Mining &amp; Reclamation Assn., Inc., 452 U.S. 264, 276 (1981); Preseault v. ICC, 494 U.S. 1, 17 (1990); see Maryland v. Wirtz, 392 U.S. 183, 190 (1968), quoting Katzenbach v. McClung, 379 U.S. 294, 303-304 (1964). If that congressional determination is within the realm of reason,</w:t>
      </w:r>
    </w:p>
    <w:p w:rsidR="00A31137" w:rsidRPr="00A31137" w:rsidRDefault="00A31137" w:rsidP="00A31137">
      <w:r w:rsidRPr="00A31137">
        <w:t>1995, United States v. Lopez, No. 93-1260</w:t>
      </w:r>
    </w:p>
    <w:p w:rsidR="00A31137" w:rsidRPr="00A31137" w:rsidRDefault="00A31137" w:rsidP="00A31137">
      <w:r w:rsidRPr="00A31137">
        <w:t>the only remaining question for judicial inquiry is whether "the means chosen by Congress [are] reasonably adapted to the end permitted by the Constitution."</w:t>
      </w:r>
    </w:p>
    <w:p w:rsidR="00A31137" w:rsidRPr="00A31137" w:rsidRDefault="00A31137" w:rsidP="00A31137">
      <w:r w:rsidRPr="00A31137">
        <w:t>1995, United States v. Lopez, No. 93-1260</w:t>
      </w:r>
    </w:p>
    <w:p w:rsidR="00A31137" w:rsidRPr="00A31137" w:rsidRDefault="00A31137" w:rsidP="00A31137">
      <w:r w:rsidRPr="00A31137">
        <w:t>Hodel v. Virginia Surface Mining &amp; Reclamation Assn., Inc., supra at 276, quoting Heart of Atlanta Motel, Inc. v. United States, 379 U.S. 241,  262 (1964); see also Preseault v. ICC, supra at 17. 1</w:t>
      </w:r>
    </w:p>
    <w:p w:rsidR="00A31137" w:rsidRPr="00A31137" w:rsidRDefault="00A31137" w:rsidP="00A31137">
      <w:r w:rsidRPr="00A31137">
        <w:t>1995, United States v. Lopez, No. 93-1260</w:t>
      </w:r>
    </w:p>
    <w:p w:rsidR="00A31137" w:rsidRPr="00A31137" w:rsidRDefault="00A31137" w:rsidP="00A31137">
      <w:r w:rsidRPr="00A31137">
        <w:t>The practice of deferring to rationally based legislative judgments "is a paradigm of judicial restraint." FCC v. Beach Communications, Inc., 508 U.S. ___, ___ (1993). In judicial review under the Commerce Clause, it reflects our respect for the institutional competence of the Congress on a subject expressly assigned to it by the Constitution and our appreciation of the legitimacy that comes from Congress's political accountability in dealing with matters open to a wide range of possible choices. See id. at ___; Hodel v. Virginia Surface Mining &amp; Reclamation Assn., Inc., supra at 276; United States v. Carolene Products Co., 304 U.S. 144,  147, 151-154 (1938); cf. Williamson v. Lee Optical of Okla., Inc., 348 U.S. 483,  488 (1955).</w:t>
      </w:r>
    </w:p>
    <w:p w:rsidR="00A31137" w:rsidRPr="00A31137" w:rsidRDefault="00A31137" w:rsidP="00A31137">
      <w:r w:rsidRPr="00A31137">
        <w:t>1995, United States v. Lopez, No. 93-1260</w:t>
      </w:r>
    </w:p>
    <w:p w:rsidR="00A31137" w:rsidRPr="00A31137" w:rsidRDefault="00A31137" w:rsidP="00A31137">
      <w:r w:rsidRPr="00A31137">
        <w:t>It was not ever thus, however, as even a brief overview of Commerce Clause history during the past century reminds us. The modern respect for the competence and primacy of Congress in matters affecting commerce developed only after one of this Court's most chastening experiences, when it perforce repudiated an earlier and untenably expansive conception of judicial review in derogation of congressional commerce power. A look at history's sequence will serve to show how today's decision tugs the Court off course, leading it to suggest opportunities for further developments that would be at odds with the rule of restraint to which the Court still wisely states adherence.</w:t>
      </w:r>
    </w:p>
    <w:p w:rsidR="00A31137" w:rsidRPr="00A31137" w:rsidRDefault="00A31137" w:rsidP="00A31137">
      <w:r w:rsidRPr="00A31137">
        <w:t>I</w:t>
      </w:r>
    </w:p>
    <w:p w:rsidR="00A31137" w:rsidRPr="00A31137" w:rsidRDefault="00A31137" w:rsidP="00A31137">
      <w:r w:rsidRPr="00A31137">
        <w:t>1995, United States v. Lopez, No. 93-1260</w:t>
      </w:r>
    </w:p>
    <w:p w:rsidR="00A31137" w:rsidRPr="00A31137" w:rsidRDefault="00A31137" w:rsidP="00A31137">
      <w:r w:rsidRPr="00A31137">
        <w:t>Notwithstanding the Court's recognition of a broad commerce power in Gibbons v. Ogden, 9 Wheat. 1, 196-197 (1824) (Marshall, C.J.), Congress saw few occasions to exercise that power prior to Reconstruction, see generally 2 C. Warren, The Supreme Court in United States History 729-739 (rev. ed. 1935), and it was really the passage of the Interstate Commerce Act of 1887 that opened a new age of congressional reliance on the Commerce Clause for authority to exercise general police powers at the national level, see id. at 729-730. Although the Court upheld a fair amount of the ensuing legislation as being within the commerce power, see, e.g., Stafford v. Wallace, 258 U.S. 495 (1922) (upholding an Act regulating trade practices in the meat packing industry); The Shreveport Rate Cases, 234 U.S. 342 (1914) (upholding ICC order to equalize inter- and intrastate rail rates); see generally Warren, supra at 729-739, the period from the turn of the century to 1937 is better noted for a series of cases applying highly formalistic notions of "commerce" to invalidate federal social and economic legislation, see, e.g., Carter v. Carter Coal Co., 298 U.S. 238, 303-304 (1936) (striking Act prohibiting unfair labor practices in coal industry as regulation of "mining" and "production," not "commerce"); A. L. A. Schechter Poultry Corp. v. United States, 295 U.S. 495, 545-548 (1935) (striking congressional regulation of activities affecting interstate commerce only "indirectly"); Hammer v. Dagenhart, 247 U.S. 251 (1918) (striking Act prohibiting shipment in interstate commerce of goods manufactured at factories using child labor because the Act regulated "manufacturing," not "commerce"); Adair v. United States, 208 U.S. 161 (1908) (striking protection of labor union membership as outside "commerce").</w:t>
      </w:r>
    </w:p>
    <w:p w:rsidR="00A31137" w:rsidRPr="00A31137" w:rsidRDefault="00A31137" w:rsidP="00A31137">
      <w:r w:rsidRPr="00A31137">
        <w:t>1995, United States v. Lopez, No. 93-1260</w:t>
      </w:r>
    </w:p>
    <w:p w:rsidR="00A31137" w:rsidRPr="00A31137" w:rsidRDefault="00A31137" w:rsidP="00A31137">
      <w:r w:rsidRPr="00A31137">
        <w:t>These restrictive views of commerce subject to congressional power complemented the Court's activism in limiting the enforceable scope of state economic regulation. It is most familiar history that during this same period the Court routinely invalidated state social and economic legislation under an expansive conception of Fourteenth Amendment substantive due process. See, e.g., Louis K. Liggett Co. v. Baldridge, 278 U.S. 105 (1928) (striking state law requiring pharmacy owners to be licensed as pharmacists); Coppage v. Kansas, 236 U.S. 1 (1915) (striking state law prohibiting employers from requiring their employees to agree not to join labor organizations); Lochner v. New York, 198 U.S. 45 (1905) (striking state law establishing maximum working hours for bakers). See generally L. Tribe, American Constitutional Law 568-574 (2d ed. 1988). The fulcrums of judicial review in these cases were the notions of liberty and property characteristic of laissez-faire economics, whereas the Commerce Clause cases turned on what was ostensibly a structural limit of federal power, but under each conception of judicial review the Court's character for the first third of the century showed itself in exacting judicial scrutiny of a legislature's choice of economic ends and of the legislative means selected to reach them.</w:t>
      </w:r>
    </w:p>
    <w:p w:rsidR="00A31137" w:rsidRPr="00A31137" w:rsidRDefault="00A31137" w:rsidP="00A31137">
      <w:r w:rsidRPr="00A31137">
        <w:t>1995, United States v. Lopez, No. 93-1260</w:t>
      </w:r>
    </w:p>
    <w:p w:rsidR="00A31137" w:rsidRPr="00A31137" w:rsidRDefault="00A31137" w:rsidP="00A31137">
      <w:r w:rsidRPr="00A31137">
        <w:t>It was not merely coincidental, then, that sea changes in the Court's conceptions of its authority under the Due Process and Commerce Clauses occurred virtually together, in 1937, with West Coast Hotel Co. v. Parrish, 300 U.S. 379 and NLRB v. Jones &amp; Laughlin Steel Corp., 301 U.S. 1. See Stern, The Commerce Clause and the National Economy, 1933-1946, 59 Harv. L.Rev. 645, 674-682 (1946). In West Coast Hotel, the Court's rejection of a due process challenge to a state law fixing minimum wages for women and children marked the abandonment of its expansive protection of contractual freedom. Two weeks later, Jones &amp; Laughlin affirmed congressional commerce power to authorize NLRB injunctions against unfair labor practices. The Court's finding that the regulated activity had a direct enough effect on commerce has since been seen as beginning the abandonment, for practical purposes, of the formalistic distinction between direct and indirect effects.</w:t>
      </w:r>
    </w:p>
    <w:p w:rsidR="00A31137" w:rsidRPr="00A31137" w:rsidRDefault="00A31137" w:rsidP="00A31137">
      <w:r w:rsidRPr="00A31137">
        <w:t>1995, United States v. Lopez, No. 93-1260</w:t>
      </w:r>
    </w:p>
    <w:p w:rsidR="00A31137" w:rsidRPr="00A31137" w:rsidRDefault="00A31137" w:rsidP="00A31137">
      <w:r w:rsidRPr="00A31137">
        <w:t>In the years following these decisions, deference to legislative policy judgments on commercial regulation became the powerful theme under both the Due Process and Commerce Clauses, see United States v. Carolene Products Co., 304 U.S. at 147-148, 152; United States v. Darby, 312 U.S. 100, 119-121 (1941); United States v. Wrightwood Dairy Co., 315 U.S. 110, 118-119 (1942), and in due course that deference became articulate in the standard of rationality review. In due process litigation, the Court's statement of a rational basis test came quickly. See United States v. Carolene Products Co., supra at  152; see also Williamson v. Lee Optical Co., 348 U.S. at 489-490. The parallel formulation of the Commerce Clause test came later, only because complete elimination of the direct/indirect effects dichotomy and acceptance of the cumulative effects doctrine, Wickard v. Filburn, 317 U.S. 111,  125, 127-129 (1942); United States v. Wrightwood Dairy Co., supra at 124-126, so far settled the pressing issues of congressional power over commerce as to leave the Court for years without any need to phrase a test explicitly deferring to rational legislative judgments. The moment came, however, with the challenge to congressional Commerce Clause authority to prohibit racial discrimination in places of public accommodation, when the Court simply made explicit what the earlier cases had implied:</w:t>
      </w:r>
    </w:p>
    <w:p w:rsidR="00A31137" w:rsidRPr="00A31137" w:rsidRDefault="00A31137" w:rsidP="00A31137">
      <w:r w:rsidRPr="00A31137">
        <w:t>1995, United States v. Lopez, No. 93-1260</w:t>
      </w:r>
    </w:p>
    <w:p w:rsidR="00A31137" w:rsidRPr="00A31137" w:rsidRDefault="00A31137" w:rsidP="00A31137">
      <w:r w:rsidRPr="00A31137">
        <w:t>where we find that the legislators, in light of the facts and testimony before them, have a rational basis for finding a chosen regulatory scheme necessary to the protection of commerce, our investigation is at an end.</w:t>
      </w:r>
    </w:p>
    <w:p w:rsidR="00A31137" w:rsidRPr="00A31137" w:rsidRDefault="00A31137" w:rsidP="00A31137">
      <w:r w:rsidRPr="00A31137">
        <w:t>1995, United States v. Lopez, No. 93-1260</w:t>
      </w:r>
    </w:p>
    <w:p w:rsidR="00A31137" w:rsidRPr="00A31137" w:rsidRDefault="00A31137" w:rsidP="00A31137">
      <w:r w:rsidRPr="00A31137">
        <w:t>Katzenbach v. McClung, 379 U.S. 294, 303-304 (1964), discussing United States v. Darby, supra; see Heart of Atlanta Motel, Inc. v. United States, 379 U.S. 241, 258-259 (1964). Thus, under commerce, as under due process, adoption of rational basis review expressed the recognition that the Court had no sustainable basis for subjecting economic regulation as such to judicial policy judgments, and for the past half-century the Court has no more turned back in the direction of formalistic Commerce Clause review (as in deciding whether regulation of commerce was sufficiently direct) than it has inclined toward reasserting the substantive authority of Lochner due process (as in the inflated protection of contractual autonomy). See, e.g., Maryland v. Wirtz, 392 U.S. at 190, 198; Perez v. United States, 402 U.S. 146, 151-157 (1971); Hodel v. Virginia Surface Mining &amp; Reclamation Assn., Inc., 452 U.S. at 276, 277.</w:t>
      </w:r>
    </w:p>
    <w:p w:rsidR="00A31137" w:rsidRPr="00A31137" w:rsidRDefault="00A31137" w:rsidP="00A31137">
      <w:r w:rsidRPr="00A31137">
        <w:t>II</w:t>
      </w:r>
    </w:p>
    <w:p w:rsidR="00A31137" w:rsidRPr="00A31137" w:rsidRDefault="00A31137" w:rsidP="00A31137">
      <w:r w:rsidRPr="00A31137">
        <w:t>1995, United States v. Lopez, No. 93-1260</w:t>
      </w:r>
    </w:p>
    <w:p w:rsidR="00A31137" w:rsidRPr="00A31137" w:rsidRDefault="00A31137" w:rsidP="00A31137">
      <w:r w:rsidRPr="00A31137">
        <w:t>There is today, however, a backward glance at both the old pitfalls, as the Court treats deference under the rationality rule as subject to gradation according to the commercial or noncommercial nature of the immediate subject of the challenged regulation. See ante at ___. The distinction between what is patently commercial and what is not looks much like the old distinction between what directly affects commerce and what touches it only indirectly. And the act of calibrating the level of deference by drawing a line between what is patently commercial and what is less purely so will probably resemble the process of deciding how much interference with contractual freedom was fatal. Thus, it seems fair to ask whether the step taken by the Court today does anything but portend a return to the untenable jurisprudence from which the Court extricated itself almost 60 years ago. The answer is not reassuring. To be sure, the occasion for today's decision reflects the century's end, not its beginning. But if it seems anomalous that the Congress of the United States has taken to regulating school yards, the act in question is still probably no more remarkable than state regulation of bake shops 90 years ago. In any event, there is no reason to hope that the Court's qualification of rational basis review will be any more successful than the efforts at substantive economic review made by our predecessors as the century began. Taking the Court's opinion on its own terms, JUSTICE BREYER has explained both the hopeless porosity of "commercial" character as a ground of Commerce Clause distinction in America's highly connected economy, and the inconsistency of this categorization with our rational basis precedents from the last 50 years.</w:t>
      </w:r>
    </w:p>
    <w:p w:rsidR="00A31137" w:rsidRPr="00A31137" w:rsidRDefault="00A31137" w:rsidP="00A31137">
      <w:r w:rsidRPr="00A31137">
        <w:t>1995, United States v. Lopez, No. 93-1260</w:t>
      </w:r>
    </w:p>
    <w:p w:rsidR="00A31137" w:rsidRPr="00A31137" w:rsidRDefault="00A31137" w:rsidP="00A31137">
      <w:r w:rsidRPr="00A31137">
        <w:t>Further glosses on rationality review, moreover, may be in the offing. Although this case turns on commercial character, the Court gestures toward two other considerations that it might sometime entertain in applying rational basis scrutiny (apart from a statutory obligation to supply independent proof of a jurisdictional element): does the congressional statute deal with subjects of traditional state regulation, and does the statute contain explicit factual findings supporting the otherwise implicit determination that the regulated activity substantially affects interstate commerce? Once again, any appeal these considerations may have depends on ignoring the painful lesson learned in 1937, for neither of the Court's suggestions would square with rational basis scrutiny.</w:t>
      </w:r>
    </w:p>
    <w:p w:rsidR="00A31137" w:rsidRPr="00A31137" w:rsidRDefault="00A31137" w:rsidP="00A31137">
      <w:r w:rsidRPr="00A31137">
        <w:t>A</w:t>
      </w:r>
    </w:p>
    <w:p w:rsidR="00A31137" w:rsidRPr="00A31137" w:rsidRDefault="00A31137" w:rsidP="00A31137">
      <w:r w:rsidRPr="00A31137">
        <w:t>1995, United States v. Lopez, No. 93-1260</w:t>
      </w:r>
    </w:p>
    <w:p w:rsidR="00A31137" w:rsidRPr="00A31137" w:rsidRDefault="00A31137" w:rsidP="00A31137">
      <w:r w:rsidRPr="00A31137">
        <w:t>The Court observes that the Gun-Free School Zones Act operates in two areas traditionally subject to legislation by the States, education and enforcement of criminal law. The suggestion is either that a connection between commerce and these subjects is remote, or that the commerce power is simply weaker when it touches subjects on which the States have historically been the primary legislators. Neither suggestion is tenable. As for remoteness, it may or may not be wise for the National Government to deal with education, but JUSTICE BREYER has surely demonstrated that the commercial prospects of an illiterate State or Nation are not rosy, and no argument should be needed to show that hijacking interstate shipments of cigarettes can affect commerce substantially, even though the States have traditionally prosecuted robbery. And as for the notion that the commerce power diminishes the closer it gets to customary state concerns, that idea has been flatly rejected, and not long ago. The commerce power, we have often observed, is plenary. Hodel v. Virginia Surface Mining &amp; Reclamation Assn., Inc., 312 U.S. at 276; United States v. Darby, supra at  114; see Garcia v. San Antonio Metropolitan Transit Authority, 469 U.S. 528, 549-550 (1985); Gibbons v. Ogden, 9 Wheat. at 196-197. Justice Harlan put it this way in speaking for the Court in Maryland v. Wirtz:</w:t>
      </w:r>
    </w:p>
    <w:p w:rsidR="00A31137" w:rsidRPr="00A31137" w:rsidRDefault="00A31137" w:rsidP="00A31137">
      <w:r w:rsidRPr="00A31137">
        <w:t>1995, United States v. Lopez, No. 93-1260</w:t>
      </w:r>
    </w:p>
    <w:p w:rsidR="00A31137" w:rsidRPr="00A31137" w:rsidRDefault="00A31137" w:rsidP="00A31137">
      <w:r w:rsidRPr="00A31137">
        <w:t>There is no general doctrine implied in the Federal Constitution that the two governments, national and state, are each to exercise its powers so as not to interfere with the free and full exercise of the powers of the other…. [I]t is clear that the Federal Government, when acting within a delegated power, may override countervailing state interests….   As long ago as [1925], the Court put to rest the contention that state concerns might constitutionally "outweigh" the importance of an otherwise valid federal statute regulating commerce.</w:t>
      </w:r>
    </w:p>
    <w:p w:rsidR="00A31137" w:rsidRPr="00A31137" w:rsidRDefault="00A31137" w:rsidP="00A31137">
      <w:r w:rsidRPr="00A31137">
        <w:t>1995, United States v. Lopez, No. 93-1260</w:t>
      </w:r>
    </w:p>
    <w:p w:rsidR="00A31137" w:rsidRPr="00A31137" w:rsidRDefault="00A31137" w:rsidP="00A31137">
      <w:r w:rsidRPr="00A31137">
        <w:t>392 U.S. at 195-196 (citations and internal quotation marks omitted). See also United States v. Darby, supra, at  114; Gregory v. Ashcroft, 501 U.S. 452, 460 (1991); United States v. Carolene Products Co., 304 U.S. at  147.</w:t>
      </w:r>
    </w:p>
    <w:p w:rsidR="00A31137" w:rsidRPr="00A31137" w:rsidRDefault="00A31137" w:rsidP="00A31137">
      <w:r w:rsidRPr="00A31137">
        <w:t>1995, United States v. Lopez, No. 93-1260</w:t>
      </w:r>
    </w:p>
    <w:p w:rsidR="00A31137" w:rsidRPr="00A31137" w:rsidRDefault="00A31137" w:rsidP="00A31137">
      <w:r w:rsidRPr="00A31137">
        <w:t>Nor is there any contrary authority in the reasoning of our cases imposing clear statement rules in some instances of legislation that would significantly alter the state-national balance. In the absence of a clear statement of congressional design, for example, we have refused to interpret ambiguous federal statutes to limit fundamental state legislative prerogatives, Gregory v. Ashcroft, supra at 460-464, our understanding being that such prerogatives, through which "a State defines itself as a sovereign," are "powers with which Congress does not readily interfere," 501 U.S. at 460, 461. Likewise, when faced with two plausible interpretations of a federal criminal statute, we generally will take the alternative that does not force us to impute an intention to Congress to use its full commerce power to regulate conduct traditionally and ably regulated by the States. See United States v. Enmons, 410 U.S. 396, 411-412 (1973); United States v. Bass, 404 U.S. 336, 349-350 (1971); Rewis v. United States, 401 U.S. 808, 812 (1971).</w:t>
      </w:r>
    </w:p>
    <w:p w:rsidR="00A31137" w:rsidRPr="00A31137" w:rsidRDefault="00A31137" w:rsidP="00A31137">
      <w:r w:rsidRPr="00A31137">
        <w:t>1995, United States v. Lopez, No. 93-1260</w:t>
      </w:r>
    </w:p>
    <w:p w:rsidR="00A31137" w:rsidRPr="00A31137" w:rsidRDefault="00A31137" w:rsidP="00A31137">
      <w:r w:rsidRPr="00A31137">
        <w:t>These clear statement rules, however, are merely rules of statutory interpretation, to be relied upon only when the terms of a statute allow, United States v. Culbert, 435 U.S. 371, 379-380 (1978); see Gregory v. Ashcroft, supra at 470; United States v. Bass, supra at 346-347, and in cases implicating Congress's historical reluctance to trench on state legislative prerogatives or to enter into spheres already occupied by the States, Gregory v. Ashcroft, supra, at 461; United States v. Bass, supra, at 349; see Rewis v. United States, supra, at 811-812. They are rules for determining intent when legislation leaves intent subject to question. But our hesitance to presume that Congress has acted to alter the state-federal status quo (when presented with a plausible alternative) has no relevance whatever to the enquiry whether it has the commerce power to do so or to the standard of judicial review when Congress has definitely meant to exercise that power. Indeed, to allow our hesitance to affect the standard of review would inevitably degenerate into the sort of substantive policy review that the Court found indefensible 60 years ago.</w:t>
      </w:r>
    </w:p>
    <w:p w:rsidR="00A31137" w:rsidRPr="00A31137" w:rsidRDefault="00A31137" w:rsidP="00A31137">
      <w:r w:rsidRPr="00A31137">
        <w:t>1995, United States v. Lopez, No. 93-1260</w:t>
      </w:r>
    </w:p>
    <w:p w:rsidR="00A31137" w:rsidRPr="00A31137" w:rsidRDefault="00A31137" w:rsidP="00A31137">
      <w:r w:rsidRPr="00A31137">
        <w:t>The Court does not assert (and could not plausibly maintain) that the commerce power is wholly devoid of congressional authority to speak on any subject of traditional state concern; but if congressional action is not forbidden absolutely when it touches such a subject, it will stand or fall depending on the Court's view of the strength of the legislation's commercial justification. And here, once again, history raises its objections that the Court's previous essays in overriding congressional policy choices under the Commerce Clause were ultimately seen to suffer two fatal weaknesses: when dealing with Acts of Congress (as distinct from state legislation subject to review under the theory of dormant commerce power) nothing in the Clause compelled the judicial activism, and nothing about the judiciary as an institution made it a superior source of policy on the subject Congress dealt with. There is no reason to expect the lesson would be different another time.</w:t>
      </w:r>
    </w:p>
    <w:p w:rsidR="00A31137" w:rsidRPr="00A31137" w:rsidRDefault="00A31137" w:rsidP="00A31137">
      <w:r w:rsidRPr="00A31137">
        <w:t>B</w:t>
      </w:r>
    </w:p>
    <w:p w:rsidR="00A31137" w:rsidRPr="00A31137" w:rsidRDefault="00A31137" w:rsidP="00A31137">
      <w:r w:rsidRPr="00A31137">
        <w:t>1995, United States v. Lopez, No. 93-1260</w:t>
      </w:r>
    </w:p>
    <w:p w:rsidR="00A31137" w:rsidRPr="00A31137" w:rsidRDefault="00A31137" w:rsidP="00A31137">
      <w:r w:rsidRPr="00A31137">
        <w:t>There remain questions about legislative findings. The Court of Appeals expressed the view, 2 F.3d 1342, 1363-1368 (1993), that the result in this case might well have been different if Congress had made explicit findings that guns in schools have a substantial effect on interstate commerce, and the Court today does not repudiate that position, see ante at ___. Might a court aided by such findings have subjected this legislation to less exacting scrutiny (or, put another way, should a court have deferred to such findings if Congress had made them)? 2 The answer to either question must be no, although as a general matter findings are important and to be hoped for in the difficult cases.</w:t>
      </w:r>
    </w:p>
    <w:p w:rsidR="00A31137" w:rsidRPr="00A31137" w:rsidRDefault="00A31137" w:rsidP="00A31137">
      <w:r w:rsidRPr="00A31137">
        <w:t>1995, United States v. Lopez, No. 93-1260</w:t>
      </w:r>
    </w:p>
    <w:p w:rsidR="00A31137" w:rsidRPr="00A31137" w:rsidRDefault="00A31137" w:rsidP="00A31137">
      <w:r w:rsidRPr="00A31137">
        <w:t>It is only natural to look for help with a hard job, and reviewing a claim that Congress has exceeded the commerce power is much harder in some cases than in others. A challenge to congressional regulation of interstate garbage hauling would be easy to resolve; review of congressional regulation of gun possession in school yards is more difficult, both because the link to interstate commerce is less obvious and because of our initial ignorance of the relevant facts. In a case comparable to this one, we may have to dig hard to make a responsible judgment about what Congress could reasonably find, because the case may be close, and because judges tend not to be familiar with the facts that may or may not make it close. But while the ease of review may vary from case to case, it does not follow that the standard of review should vary, much less that explicit findings of fact would even directly address the standard.</w:t>
      </w:r>
    </w:p>
    <w:p w:rsidR="00A31137" w:rsidRPr="00A31137" w:rsidRDefault="00A31137" w:rsidP="00A31137">
      <w:r w:rsidRPr="00A31137">
        <w:t>1995, United States v. Lopez, No. 93-1260</w:t>
      </w:r>
    </w:p>
    <w:p w:rsidR="00A31137" w:rsidRPr="00A31137" w:rsidRDefault="00A31137" w:rsidP="00A31137">
      <w:r w:rsidRPr="00A31137">
        <w:t>The question for the courts, as all agree, is not whether as a predicate to legislation Congress in fact found that a particular activity substantially affects interstate commerce. The legislation implies such a finding, and there is no reason to entertain claims that Congress acted ultra vires intentionally. Nor is the question whether Congress was correct in so finding. The only question is whether the legislative judgment is within the realm of reason. See Hodel v. Virginia Surface Mining &amp; Reclamation Assn., Inc., 452 U.S. at 276-277; Katzenbach v. McClung, 379 U.S. at 303-304; Railroad Retirement Bd. v. Alton R. Co., 295 U.S. 330, 391-392 (1935) (Hughes, C.J., dissenting); cf. FCC v. Beach Communications, 508 U.S. at ___ (in the equal protection context, "those attacking the rationality of the legislative classification have the burden to negative every conceivable basis which might support it;…it is entirely irrelevant for constitutional purposes whether the conceived reason for the challenged distinction actually motivated the legislature") (citations and internal quotation marks omitted); Ferguson v. Skrupa, 372 U.S. 726, 731-733 (1963); Williamson v. Lee Optical Co., 348 U.S. at  487. Congressional findings do not, however, directly address the question of reasonableness; they tell us what Congress actually has found, not what it could rationally find. If, indeed, the Court were to make the existence of explicit congressional findings dispositive in some close or difficult cases something other than rationality review would be afoot. The resulting congressional obligation to justify its policy choices on the merits would imply either a judicial authority to review the justification (and, hence, the wisdom) of those choices, or authority to require Congress to act with some high degree of deliberateness, of which express findings would be evidence. But review for congressional wisdom would just be the old judicial pretension discredited and abandoned in 1937, and review for deliberateness would be as patently unconstitutional as an Act of Congress mandating long opinions from this Court. Such a legislative process requirement would function merely as an excuse for covert review of the merits of legislation under standards never expressed and more or less arbitrarily applied. Under such a regime, in any case, the rationality standard of review would be a thing of the past.</w:t>
      </w:r>
    </w:p>
    <w:p w:rsidR="00A31137" w:rsidRPr="00A31137" w:rsidRDefault="00A31137" w:rsidP="00A31137">
      <w:r w:rsidRPr="00A31137">
        <w:t>1995, United States v. Lopez, No. 93-1260</w:t>
      </w:r>
    </w:p>
    <w:p w:rsidR="00A31137" w:rsidRPr="00A31137" w:rsidRDefault="00A31137" w:rsidP="00A31137">
      <w:r w:rsidRPr="00A31137">
        <w:t>On the other hand, to say that courts applying the rationality standard may not defer to findings is not, of course, to say that findings are pointless. They may, in fact, have great value in telling courts what to look for, in establishing at least one frame of reference for review, and in citing to factual authority. The research underlying JUSTICE BREYER's dissent was necessarily a major undertaking; help is welcome, and it not incidentally shrinks the risk that judicial research will miss material scattered across the public domain or buried under pounds of legislative record. Congressional findings on a more particular plane than this record illustrates would accordingly have earned judicial thanks. But thanks do not carry the day as long as rational possibility is the touchstone, and I would not allow for the possibility, as the Court's opinion may, ante at ___, that the addition of congressional findings could in principle have affected the fate of the statute here.</w:t>
      </w:r>
    </w:p>
    <w:p w:rsidR="00A31137" w:rsidRPr="00A31137" w:rsidRDefault="00A31137" w:rsidP="00A31137">
      <w:r w:rsidRPr="00A31137">
        <w:t>III</w:t>
      </w:r>
    </w:p>
    <w:p w:rsidR="00A31137" w:rsidRPr="00A31137" w:rsidRDefault="00A31137" w:rsidP="00A31137">
      <w:r w:rsidRPr="00A31137">
        <w:t>1995, United States v. Lopez, No. 93-1260</w:t>
      </w:r>
    </w:p>
    <w:p w:rsidR="00A31137" w:rsidRPr="00A31137" w:rsidRDefault="00A31137" w:rsidP="00A31137">
      <w:r w:rsidRPr="00A31137">
        <w:t>Because JUSTICE BREYER's opinion demonstrates beyond any doubt that the Act in question passes the rationality review that the Court continues to espouse, today's decision may be seen as only a misstep, its reasoning and its suggestions not quite in gear with the prevailing standard, but hardly an epochal case. I would not argue otherwise, but I would raise a caveat. Not every epochal case has come in epochal trappings. Jones &amp; Laughlin did not reject the direct-indirect standard in so many words; it just said the relation of the regulated subject matter to commerce was direct enough. 301 U.S. at 41-43. But we know what happened.</w:t>
      </w:r>
    </w:p>
    <w:p w:rsidR="00A31137" w:rsidRPr="00A31137" w:rsidRDefault="00A31137" w:rsidP="00A31137">
      <w:r w:rsidRPr="00A31137">
        <w:t>1995, United States v. Lopez, No. 93-1260</w:t>
      </w:r>
    </w:p>
    <w:p w:rsidR="00A31137" w:rsidRPr="00A31137" w:rsidRDefault="00A31137" w:rsidP="00A31137">
      <w:r w:rsidRPr="00A31137">
        <w:t>I respectfully dissent.</w:t>
      </w:r>
    </w:p>
    <w:p w:rsidR="00A31137" w:rsidRPr="00A31137" w:rsidRDefault="00A31137" w:rsidP="00A31137">
      <w:r w:rsidRPr="00A31137">
        <w:t>BREYER, J., dissenting</w:t>
      </w:r>
    </w:p>
    <w:p w:rsidR="00A31137" w:rsidRPr="00A31137" w:rsidRDefault="00A31137" w:rsidP="00A31137">
      <w:r w:rsidRPr="00A31137">
        <w:t>1995, United States v. Lopez, No. 93-1260</w:t>
      </w:r>
    </w:p>
    <w:p w:rsidR="00A31137" w:rsidRPr="00A31137" w:rsidRDefault="00A31137" w:rsidP="00A31137">
      <w:r w:rsidRPr="00A31137">
        <w:t>JUSTICE BREYER, with whom JUSTICE STEVENS, JUSTICE SOUTER, and JUSTICE GINSBURG join, dissenting.</w:t>
      </w:r>
    </w:p>
    <w:p w:rsidR="00A31137" w:rsidRPr="00A31137" w:rsidRDefault="00A31137" w:rsidP="00A31137">
      <w:r w:rsidRPr="00A31137">
        <w:t>1995, United States v. Lopez, No. 93-1260</w:t>
      </w:r>
    </w:p>
    <w:p w:rsidR="00A31137" w:rsidRPr="00A31137" w:rsidRDefault="00A31137" w:rsidP="00A31137">
      <w:r w:rsidRPr="00A31137">
        <w:t>The issue in this case is whether the Commerce Clause authorizes Congress to enact a statute that makes it a crime to possess a gun in, or near, a school. 18 U.S.C. § 922(q)(1)(A) (1988 ed., Supp. V). In my view, the statute falls well within the scope of the commerce power as this Court has understood that power over the last half-century.</w:t>
      </w:r>
    </w:p>
    <w:p w:rsidR="00A31137" w:rsidRPr="00A31137" w:rsidRDefault="00A31137" w:rsidP="00A31137">
      <w:r w:rsidRPr="00A31137">
        <w:t>I</w:t>
      </w:r>
    </w:p>
    <w:p w:rsidR="00A31137" w:rsidRPr="00A31137" w:rsidRDefault="00A31137" w:rsidP="00A31137">
      <w:r w:rsidRPr="00A31137">
        <w:t>1995, United States v. Lopez, No. 93-1260</w:t>
      </w:r>
    </w:p>
    <w:p w:rsidR="00A31137" w:rsidRPr="00A31137" w:rsidRDefault="00A31137" w:rsidP="00A31137">
      <w:r w:rsidRPr="00A31137">
        <w:t>In reaching this conclusion, I apply three basic principles of Commerce Clause interpretation. First, the power to "regulate Commerce…among the several States," U.S.Const., Art. I, § 8, cl. 3, encompasses the power to regulate local activities insofar as they significantly affect interstate commerce. See, e.g., Gibbons v. Ogden, 9 Wheat. 1, 194-195 (1824) (Marshall, C.J.); Wickard v. Filburn, 317 U.S. 111,  125 (1942). As the majority points out, ante at ___, the Court, in describing how much of an effect the Clause requires, sometimes has used the word "substantial" and sometimes has not. Compare, e.g., Wickard, supra at  125 ("substantial economic effect"), with Hodel v. Virginia Surface Mining and Reclamation Assn., Inc., 452 U.S. 264, 276 (1981) ("affects interstate commerce"); see also Maryland v. Wirtz, 392 U.S. 183, 196, n. 27 (1968) (cumulative effect must not be "trivial"); NLRB v. Jones &amp; Laughlin Steel Corp., 301 U.S. 1,  37 (1937) (speaking of "close and substantial relation" between activity and commerce, not of "substantial effect") (emphasis added); Gibbons, supra, at  194 (words of Commerce Clause do not "comprehend…commerce, which is completely internal…and which does not…affect other States"). And, as the majority also recognizes in quoting Justice Cardozo, the question of degree (how much effect) requires an estimate of the "size" of the effect that no verbal formulation can capture with precision. See ante at ___. I use the word "significant" because the word "substantial" implies a somewhat narrower power than recent precedent suggests. See, e.g., Perez v. United States, 402 U.S. 146, 154 (1971); Daniel v. Paul, 395 U.S. 298, 308 (1969). But, to speak of "substantial effect" rather than "significant effect" would make no difference in this case.</w:t>
      </w:r>
    </w:p>
    <w:p w:rsidR="00A31137" w:rsidRPr="00A31137" w:rsidRDefault="00A31137" w:rsidP="00A31137">
      <w:r w:rsidRPr="00A31137">
        <w:t>1995, United States v. Lopez, No. 93-1260</w:t>
      </w:r>
    </w:p>
    <w:p w:rsidR="00A31137" w:rsidRPr="00A31137" w:rsidRDefault="00A31137" w:rsidP="00A31137">
      <w:r w:rsidRPr="00A31137">
        <w:t>Second, in determining whether a local activity will likely have a significant effect upon interstate commerce, a court must consider, not the effect of an individual act (a single instance of gun possession), but rather the cumulative effect of all similar instances (i.e., the effect of all guns possessed in or near schools). See, e.g., Wickard, supra, at 127-128. As this Court put the matter almost 50 years ago:</w:t>
      </w:r>
    </w:p>
    <w:p w:rsidR="00A31137" w:rsidRPr="00A31137" w:rsidRDefault="00A31137" w:rsidP="00A31137">
      <w:r w:rsidRPr="00A31137">
        <w:t>1995, United States v. Lopez, No. 93-1260</w:t>
      </w:r>
    </w:p>
    <w:p w:rsidR="00A31137" w:rsidRPr="00A31137" w:rsidRDefault="00A31137" w:rsidP="00A31137">
      <w:r w:rsidRPr="00A31137">
        <w:t>[I]t is enough that the individual activity when multiplied into a general practice…contains a threat to the interstate economy that requires preventative regulation.</w:t>
      </w:r>
    </w:p>
    <w:p w:rsidR="00A31137" w:rsidRPr="00A31137" w:rsidRDefault="00A31137" w:rsidP="00A31137">
      <w:r w:rsidRPr="00A31137">
        <w:t>1995, United States v. Lopez, No. 93-1260</w:t>
      </w:r>
    </w:p>
    <w:p w:rsidR="00A31137" w:rsidRPr="00A31137" w:rsidRDefault="00A31137" w:rsidP="00A31137">
      <w:r w:rsidRPr="00A31137">
        <w:t>Mandeville Island Farms, Inc. v. American Crystal Sugar Co., 334 U.S. 219, 236 (1948) (citations omitted).</w:t>
      </w:r>
    </w:p>
    <w:p w:rsidR="00A31137" w:rsidRPr="00A31137" w:rsidRDefault="00A31137" w:rsidP="00A31137">
      <w:r w:rsidRPr="00A31137">
        <w:t>1995, United States v. Lopez, No. 93-1260</w:t>
      </w:r>
    </w:p>
    <w:p w:rsidR="00A31137" w:rsidRPr="00A31137" w:rsidRDefault="00A31137" w:rsidP="00A31137">
      <w:r w:rsidRPr="00A31137">
        <w:t>Third, the Constitution requires us to judge the connection between a regulated activity and interstate commerce, not directly, but at one remove. Courts must give Congress a degree of leeway in determining the existence of a significant factual connection between the regulated activity and interstate commerce—both because the Constitution delegates the commerce power directly to Congress and because the determination requires an empirical judgment of a kind that a legislature is more likely than a court to make with accuracy. The traditional words "rational basis" capture this leeway. See Hodel, supra, at 276-277. Thus, the specific question before us, as the Court recognizes, is not whether the "regulated activity sufficiently affected interstate commerce," but, rather, whether Congress could have had "a rational basis" for so concluding. Ante at ___ (emphasis added).</w:t>
      </w:r>
    </w:p>
    <w:p w:rsidR="00A31137" w:rsidRPr="00A31137" w:rsidRDefault="00A31137" w:rsidP="00A31137">
      <w:r w:rsidRPr="00A31137">
        <w:t>1995, United States v. Lopez, No. 93-1260</w:t>
      </w:r>
    </w:p>
    <w:p w:rsidR="00A31137" w:rsidRPr="00A31137" w:rsidRDefault="00A31137" w:rsidP="00A31137">
      <w:r w:rsidRPr="00A31137">
        <w:t>I recognize that we must judge this matter independently. "[S]imply because Congress may conclude that a particular activity substantially affects interstate commerce does not necessarily make it so." Hodel, supra at 311 (REHNQUIST, J., concurring in judgment). And, I also recognize that Congress did not write specific "interstate commerce" findings into the law under which Lopez was convicted. Nonetheless, as I have already noted, the matter that we review independently (i.e., whether there is a "rational basis") already has considerable leeway built into it. And, the absence of findings at most, deprives a statute of the benefit of some extra leeway. This extra deference, in principle, might change the result in a close case, though, in practice, it has not made a critical legal difference. See, e.g., Katzenbach v. McClung, 379 U.S. 294,  299 (1964) (noting that "no formal findings were made, which of course are not necessary"); Perez, supra at 156-157; cf. Turner Broadcasting System, Inc. v. FCC, 512 U.S. ___, ___ (1994) (opinion of KENNEDY, J.) ("Congress is not obligated, when enacting its statutes, to make a record of the type that an administrative agency or court does to accommodate judicial review"); Fullilove v. Klutznick, 448 U.S. 448,  503 (1980) (Powell, J., concurring) ("After Congress has legislated repeatedly in an area of national concern, its Members gain experience that may reduce the need for fresh hearings or prolonged debate…"). And, it would seem particularly unfortunate to make the validity of the statute at hand turn on the presence or absence of findings. Because Congress did make findings (though not until after Lopez was prosecuted), doing so would appear to elevate form over substance. See Pub.L. 103-322, §§ 320904(2)(F), (G), 108 Stat. 2125, 18 U.S.C. A. § 922(q)(1)(F), (G) (Nov. 1994 Supp.).</w:t>
      </w:r>
    </w:p>
    <w:p w:rsidR="00A31137" w:rsidRPr="00A31137" w:rsidRDefault="00A31137" w:rsidP="00A31137">
      <w:r w:rsidRPr="00A31137">
        <w:t>1995, United States v. Lopez, No. 93-1260</w:t>
      </w:r>
    </w:p>
    <w:p w:rsidR="00A31137" w:rsidRPr="00A31137" w:rsidRDefault="00A31137" w:rsidP="00A31137">
      <w:r w:rsidRPr="00A31137">
        <w:t>In addition, despite the Court of Appeals' suggestion to the contrary, see 2 F.3d 1342, 1365 (CA5 1993), there is no special need here for a clear indication of Congress' rationale. The statute does not interfere with the exercise of state or local authority. Cf., e.g., Dellmuth v. Muth, 491 U.S. 223, 227-228 (1989) (requiring clear statement for abrogation of Eleventh Amendment immunity). Moreover, any clear statement rule would apply only to determine Congress' intended result, not to clarify the source of its authority or measure the level of consideration that went into its decision, and here there is no doubt as to which activities Congress intended to regulate. See ibid.; id. at 233 (SCALIA, J., concurring) (to subject States to suits for money damages, Congress need only make that intent clear, and need not refer explicitly to the Eleventh Amendment); EEOC v. Wyoming, 460 U.S. 226,  243, n. 18 (1983) (Congress need not recite the constitutional provision that authorizes its action).</w:t>
      </w:r>
    </w:p>
    <w:p w:rsidR="00A31137" w:rsidRPr="00A31137" w:rsidRDefault="00A31137" w:rsidP="00A31137">
      <w:r w:rsidRPr="00A31137">
        <w:t>II</w:t>
      </w:r>
    </w:p>
    <w:p w:rsidR="00A31137" w:rsidRPr="00A31137" w:rsidRDefault="00A31137" w:rsidP="00A31137">
      <w:r w:rsidRPr="00A31137">
        <w:t>1995, United States v. Lopez, No. 93-1260</w:t>
      </w:r>
    </w:p>
    <w:p w:rsidR="00A31137" w:rsidRPr="00A31137" w:rsidRDefault="00A31137" w:rsidP="00A31137">
      <w:r w:rsidRPr="00A31137">
        <w:t>Applying these principles to the case at hand, we must ask whether Congress could have had a rational basis for finding a significant (or substantial) connection between gun-related school violence and interstate commerce. Or, to put the question in the language of the explicit finding that Congress made when it amended this law in 1994: could Congress rationally have found that "violent crime in school zones," through its effect on the "quality of education," significantly (or substantially) affects "interstate" or "foreign commerce"? 18 U.S.C. §§ 922(q)(1)(F), (G) (Nov. 1994 Supp.). As long as one views the commerce connection, not as a "technical legal conception," but as "a practical one," Swift &amp; Co. v. United States, 196 U.S. 375,  398 (1905) (Holmes, J.), the answer to this question must be yes. Numerous reports and studies—generated both inside and outside government—make clear that Congress could reasonably have found the empirical connection that its law, implicitly or explicitly, asserts. (See Appendix, infra at ___, for a sample of the documentation, as well as for complete citations to the sources referenced below.)</w:t>
      </w:r>
    </w:p>
    <w:p w:rsidR="00A31137" w:rsidRPr="00A31137" w:rsidRDefault="00A31137" w:rsidP="00A31137">
      <w:r w:rsidRPr="00A31137">
        <w:t>1995, United States v. Lopez, No. 93-1260</w:t>
      </w:r>
    </w:p>
    <w:p w:rsidR="00A31137" w:rsidRPr="00A31137" w:rsidRDefault="00A31137" w:rsidP="00A31137">
      <w:r w:rsidRPr="00A31137">
        <w:t>For one thing, reports, hearings, and other readily available literature make clear that the problem of guns in and around schools is widespread and extremely serious. These materials report, for example, that four percent of American high school students (and six percent of inner-city high school students) carry a gun to school at least occasionally, Centers for Disease Control 2342; Sheley, McGee, &amp; Wright 679; that 12 percent of urban high school students have had guns fired at them, ibid.; that 20 percent of those students have been threatened with guns, ibid.; and that, in any 6-month period, several hundred thousand schoolchildren are victims of violent crimes in or near their schools, U.S. Dept. of Justice 1 (1989); House Select Committee Hearing 15 (1989). And, they report that this widespread violence in schools throughout the Nation significantly interferes with the quality of education in those schools. See, e.g., House Judiciary Committee Hearing 44 (1990) (linking school violence to dropout rate); U.S. Dept. of Health 118-119 (1978) (school-violence victims suffer academically); compare U.S. Dept. of Justice 1 (1991) (gun violence worst in inner city schools), with National Center 47 (dropout rates highest in inner cities). Based on reports such as these, Congress obviously could have thought that guns and learning are mutually exclusive. Senate Labor and Human Resources Committee Hearing 39 (1993); U.S. Dept. of Health 118, 123-124 (1978). And, Congress could therefore have found a substantial educational problem—teachers unable to teach, students unable to learn—and concluded that guns near schools contribute substantially to the size and scope of that problem.</w:t>
      </w:r>
    </w:p>
    <w:p w:rsidR="00A31137" w:rsidRPr="00A31137" w:rsidRDefault="00A31137" w:rsidP="00A31137">
      <w:r w:rsidRPr="00A31137">
        <w:t>1995, United States v. Lopez, No. 93-1260</w:t>
      </w:r>
    </w:p>
    <w:p w:rsidR="00A31137" w:rsidRPr="00A31137" w:rsidRDefault="00A31137" w:rsidP="00A31137">
      <w:r w:rsidRPr="00A31137">
        <w:t>Having found that guns in schools significantly undermine the quality of education in our Nation's classrooms, Congress could also have found, given the effect of education upon interstate and foreign commerce, that gun-related violence in and around schools is a commercial, as well as a human, problem. Education, although far more than a matter of economics, has long been inextricably intertwined with the Nation's economy. When this Nation began, most workers received their education in the workplace, typically (like Benjamin Franklin) as apprentices. See generally Seybolt; Rorabaugh; U.S. Dept. of Labor (1950). As late as the 1920's, many workers still received general education directly from their employers—from large corporations, such as General Electric, Ford, and Goodyear, which created schools within their firms to help both the worker and the firm. See Bolino 15-25. (Throughout most of the 19th century, fewer than one percent of all Americans received secondary education through attending a high school. See id. at 11.) As public school enrollment grew in the early 20th century, see Becker 218 (1993), the need for industry to teach basic educational skills diminished. But, the direct economic link between basic education and industrial productivity remained. Scholars estimate that nearly a quarter of America's economic growth in the early years of this century is traceable directly to increased schooling, see Denison 243; that investment in "human capital" (through spending on education) exceeded investment in "physical capital" by a ratio of almost two to one, see Schultz 26 (1961); and that the economic returns to this investment in education exceeded the returns to conventional capital investment, see, e.g., Davis &amp; Morrall 48-49.</w:t>
      </w:r>
    </w:p>
    <w:p w:rsidR="00A31137" w:rsidRPr="00A31137" w:rsidRDefault="00A31137" w:rsidP="00A31137">
      <w:r w:rsidRPr="00A31137">
        <w:t>1995, United States v. Lopez, No. 93-1260</w:t>
      </w:r>
    </w:p>
    <w:p w:rsidR="00A31137" w:rsidRPr="00A31137" w:rsidRDefault="00A31137" w:rsidP="00A31137">
      <w:r w:rsidRPr="00A31137">
        <w:t>In recent years, the link between secondary education and business has strengthened, becoming both more direct and more important. Scholars on the subject report that technological changes and innovations in management techniques have altered the nature of the workplace so that more jobs now demand greater educational skills. See, e.g., MIT 32 (only about one-third of hand-tool company's 1,000 workers were qualified to work with a new process that requires high-school-level reading and mathematical skills); Cyert &amp; Mowery 68 (gap between wages of high school dropouts and better trained workers increasing); U.S. Dept. of Labor 41 (1981) (job openings for dropouts declining over time). There is evidence that</w:t>
      </w:r>
    </w:p>
    <w:p w:rsidR="00A31137" w:rsidRPr="00A31137" w:rsidRDefault="00A31137" w:rsidP="00A31137">
      <w:r w:rsidRPr="00A31137">
        <w:t>1995, United States v. Lopez, No. 93-1260</w:t>
      </w:r>
    </w:p>
    <w:p w:rsidR="00A31137" w:rsidRPr="00A31137" w:rsidRDefault="00A31137" w:rsidP="00A31137">
      <w:r w:rsidRPr="00A31137">
        <w:t>service, manufacturing or construction jobs are being displaced by technology that requires a better educated worker or, more likely, are being exported overseas,</w:t>
      </w:r>
    </w:p>
    <w:p w:rsidR="00A31137" w:rsidRPr="00A31137" w:rsidRDefault="00A31137" w:rsidP="00A31137">
      <w:r w:rsidRPr="00A31137">
        <w:t>1995, United States v. Lopez, No. 93-1260</w:t>
      </w:r>
    </w:p>
    <w:p w:rsidR="00A31137" w:rsidRPr="00A31137" w:rsidRDefault="00A31137" w:rsidP="00A31137">
      <w:r w:rsidRPr="00A31137">
        <w:t>Gordon, Ponticell, &amp; Morgan 26; that "workers with truly few skills by the year 2000 will find that only one job out of ten will remain," ibid.; and that,</w:t>
      </w:r>
    </w:p>
    <w:p w:rsidR="00A31137" w:rsidRPr="00A31137" w:rsidRDefault="00A31137" w:rsidP="00A31137">
      <w:r w:rsidRPr="00A31137">
        <w:t>1995, United States v. Lopez, No. 93-1260</w:t>
      </w:r>
    </w:p>
    <w:p w:rsidR="00A31137" w:rsidRPr="00A31137" w:rsidRDefault="00A31137" w:rsidP="00A31137">
      <w:r w:rsidRPr="00A31137">
        <w:t>[o]ver the long haul, the best way to encourage the growth of high-wage jobs is to upgrade the skills of the work force…. [B]etter trained workers become more productive workers, enabling a company to become more competitive and expand.</w:t>
      </w:r>
    </w:p>
    <w:p w:rsidR="00A31137" w:rsidRPr="00A31137" w:rsidRDefault="00A31137" w:rsidP="00A31137">
      <w:r w:rsidRPr="00A31137">
        <w:t>1995, United States v. Lopez, No. 93-1260</w:t>
      </w:r>
    </w:p>
    <w:p w:rsidR="00A31137" w:rsidRPr="00A31137" w:rsidRDefault="00A31137" w:rsidP="00A31137">
      <w:r w:rsidRPr="00A31137">
        <w:t>Henkoff 60.</w:t>
      </w:r>
    </w:p>
    <w:p w:rsidR="00A31137" w:rsidRPr="00A31137" w:rsidRDefault="00A31137" w:rsidP="00A31137">
      <w:r w:rsidRPr="00A31137">
        <w:t>1995, United States v. Lopez, No. 93-1260</w:t>
      </w:r>
    </w:p>
    <w:p w:rsidR="00A31137" w:rsidRPr="00A31137" w:rsidRDefault="00A31137" w:rsidP="00A31137">
      <w:r w:rsidRPr="00A31137">
        <w:t>Increasing global competition also has made primary and secondary education economically more important. The portion of the American economy attributable to international trade nearly tripled between 1950 and 1980, and more than 70 percent of American-made goods now compete with imports. Marshall 205; Marshall &amp; Tucker 33. Yet, lagging worker productivity has contributed to negative trade balances and to real hourly compensation that has fallen below wages in 10 other industrialized nations. See National Center 57; Handbook of Labor Statistics 561, 576 (1989); Neef &amp; Kask 28, 31. At least some significant part of this serious productivity problem is attributable to students who emerge from classrooms without the reading or mathematical skills necessary to compete with their European or Asian counterparts, see, e.g., MIT 28, and, presumably, to high school dropout rates of 20 to 25 percent (up to 50 percent in inner cities), see, e.g., National Center 47; Chubb &amp; Hanushek 215. Indeed, Congress has said, when writing other statutes, that "functionally or technologically illiterate" Americans in the work force "erod[e]" our economic "standing in the international marketplace," Pub. L. 100-418, § 6002(a)(3), 102 Stat. 1469, and that</w:t>
      </w:r>
    </w:p>
    <w:p w:rsidR="00A31137" w:rsidRPr="00A31137" w:rsidRDefault="00A31137" w:rsidP="00A31137">
      <w:r w:rsidRPr="00A31137">
        <w:t>1995, United States v. Lopez, No. 93-1260</w:t>
      </w:r>
    </w:p>
    <w:p w:rsidR="00A31137" w:rsidRPr="00A31137" w:rsidRDefault="00A31137" w:rsidP="00A31137">
      <w:r w:rsidRPr="00A31137">
        <w:t>our Nation is…paying the price of scientific and technological illiteracy, with our productivity declining, our industrial base ailing, and our global competitiveness dwindling.</w:t>
      </w:r>
    </w:p>
    <w:p w:rsidR="00A31137" w:rsidRPr="00A31137" w:rsidRDefault="00A31137" w:rsidP="00A31137">
      <w:r w:rsidRPr="00A31137">
        <w:t>1995, United States v. Lopez, No. 93-1260</w:t>
      </w:r>
    </w:p>
    <w:p w:rsidR="00A31137" w:rsidRPr="00A31137" w:rsidRDefault="00A31137" w:rsidP="00A31137">
      <w:r w:rsidRPr="00A31137">
        <w:t>H.R.Rep. No. 98-6, pt. 1, p. 19 (1983).</w:t>
      </w:r>
    </w:p>
    <w:p w:rsidR="00A31137" w:rsidRPr="00A31137" w:rsidRDefault="00A31137" w:rsidP="00A31137">
      <w:r w:rsidRPr="00A31137">
        <w:t>1995, United States v. Lopez, No. 93-1260</w:t>
      </w:r>
    </w:p>
    <w:p w:rsidR="00A31137" w:rsidRPr="00A31137" w:rsidRDefault="00A31137" w:rsidP="00A31137">
      <w:r w:rsidRPr="00A31137">
        <w:t>Finally, there is evidence that, today more than ever, many firms base their location decisions upon the presence, or absence, of a work force with a basic education. See MacCormack, Newman, &amp; Rosenfield 73; Coffee 296. Scholars on the subject report, for example, that today, "[h]igh speed communication and transportation make it possible to produce most products and services anywhere in the world," National Center 38; that "[m]odern machinery and production methods can therefore be combined with low wage workers to drive costs down," ibid.; that managers can perform "'back office functions anywhere in the world now,'" and say that if they "'can't get enough skilled workers here'" they will "'move the skilled jobs out of the country,'" id. at 41; with the consequence that "rich countries need better education and retraining, to reduce the supply of unskilled workers and to equip them with the skills they require for tomorrow's jobs," Survey of Global Economy 37. In light of this increased importance of education to individual firms, it is no surprise that half of the Nation's manufacturers have become involved with setting standards and shaping curricula for local schools, Maturi 65-68, that 88 percent think this kind of involvement is important, id. at 68, that more than 20 States have recently passed educational reforms to attract new business, Overman 61-62, and that business magazines have begun to rank cities according to the quality of their schools, see Boyle 24.</w:t>
      </w:r>
    </w:p>
    <w:p w:rsidR="00A31137" w:rsidRPr="00A31137" w:rsidRDefault="00A31137" w:rsidP="00A31137">
      <w:r w:rsidRPr="00A31137">
        <w:t>1995, United States v. Lopez, No. 93-1260</w:t>
      </w:r>
    </w:p>
    <w:p w:rsidR="00A31137" w:rsidRPr="00A31137" w:rsidRDefault="00A31137" w:rsidP="00A31137">
      <w:r w:rsidRPr="00A31137">
        <w:t>The economic links I have just sketched seem fairly obvious. Why then is it not equally obvious, in light of those links, that a widespread, serious, and substantial physical threat to teaching and learning also substantially threatens the commerce to which that teaching and learning is inextricably tied? That is to say, guns in the hands of six percent of inner-city high school students and gun-related violence throughout a city's schools must threaten the trade and commerce that those schools support. The only question, then, is whether the latter threat is (to use the majority's terminology) "substantial." And, the evidence of (1) the extent of the gun-related violence problem, see supra at ___, (2) the extent of the resulting negative effect on classroom learning, see supra at ___, and (3) the extent of the consequent negative commercial effects, see supra at ___, when taken together, indicate a threat to trade and commerce that is "substantial." At the very least, Congress could rationally have concluded that the links are "substantial."</w:t>
      </w:r>
    </w:p>
    <w:p w:rsidR="00A31137" w:rsidRPr="00A31137" w:rsidRDefault="00A31137" w:rsidP="00A31137">
      <w:r w:rsidRPr="00A31137">
        <w:t>1995, United States v. Lopez, No. 93-1260</w:t>
      </w:r>
    </w:p>
    <w:p w:rsidR="00A31137" w:rsidRPr="00A31137" w:rsidRDefault="00A31137" w:rsidP="00A31137">
      <w:r w:rsidRPr="00A31137">
        <w:t>Specifically, Congress could have found that gun-related violence near the classroom poses a serious economic threat (1) to consequently inadequately educated workers who must endure low paying jobs, see, e.g., National Center 29, and (2) to communities and businesses that might (in today's "information society") otherwise gain, from a well-educated work force, an important commercial advantage, see, e.g., Becker 10 (1992), of a kind that location near a railhead or harbor provided in the past. Congress might also have found these threats to be no different in kind from other threats that this Court has found within the commerce power, such as the threat that loan sharking poses to the "funds" of "numerous localities," Perez v. United States, 402 U.S. at 157, and that unfair labor practices pose to instrumentalities of commerce, see Consolidated Edison Co. v. NLRB, 305 U.S. 197, 221-222 (1938). As I have pointed out, supra at ___, Congress has written that "the occurrence of violent crime in school zones" has brought about a "decline in the quality of education" that "has an adverse impact on interstate commerce and the foreign commerce of the United States." 18 U.S.C. A. §§ 922(q)(1)(F), (G) (Nov. 1994 Supp.). The violence-related facts, the educational facts, and the economic facts, taken together, make this conclusion rational. And, because under our case law, see supra at ___; infra at ___, the sufficiency of the constitutionally necessary Commerce Clause link between a crime of violence and interstate commerce turns simply upon size or degree, those same facts make the statute constitutional.</w:t>
      </w:r>
    </w:p>
    <w:p w:rsidR="00A31137" w:rsidRPr="00A31137" w:rsidRDefault="00A31137" w:rsidP="00A31137">
      <w:r w:rsidRPr="00A31137">
        <w:t>1995, United States v. Lopez, No. 93-1260</w:t>
      </w:r>
    </w:p>
    <w:p w:rsidR="00A31137" w:rsidRPr="00A31137" w:rsidRDefault="00A31137" w:rsidP="00A31137">
      <w:r w:rsidRPr="00A31137">
        <w:t>To hold this statute constitutional is not to "obliterate" the "distinction of what is national and what is local," ante at ___ (citation omitted; internal quotation marks omitted); nor is it to hold that the Commerce Clause permits the Federal Government to "regulate any activity that it found was related to the economic productivity of individual citizens," to regulate "marriage, divorce, and child custody," or to regulate any and all aspects of education. Ante at ___. For one thing, this statute is aimed at curbing a particularly acute threat to the educational process—the possession (and use) of life-threatening firearms in, or near, the classroom. The empirical evidence that I have discussed above unmistakably documents the special way in which guns and education are incompatible. See supra at ___. This Court has previously recognized the singularly disruptive potential on interstate commerce that acts of violence may have. See Perez, supra, at 156-157. For another thing, the immediacy of the connection between education and the national economic wellbeing is documented by scholars and accepted by society at large in a way and to a degree that may not hold true for other social institutions. It must surely be the rare case, then, that a statute strikes at conduct that (when considered in the abstract) seems so removed from commerce, but which (practically speaking) has so significant an impact upon commerce.</w:t>
      </w:r>
    </w:p>
    <w:p w:rsidR="00A31137" w:rsidRPr="00A31137" w:rsidRDefault="00A31137" w:rsidP="00A31137">
      <w:r w:rsidRPr="00A31137">
        <w:t>1995, United States v. Lopez, No. 93-1260</w:t>
      </w:r>
    </w:p>
    <w:p w:rsidR="00A31137" w:rsidRPr="00A31137" w:rsidRDefault="00A31137" w:rsidP="00A31137">
      <w:r w:rsidRPr="00A31137">
        <w:t>In sum, a holding that the particular statute before us falls within the commerce power would not expand the scope of that Clause. Rather, it simply would apply preexisting law to changing economic circumstances. See Heart of Atlanta Motel, Inc. v. United States, 379 U.S. 241,  251 (1964). It would recognize that, in today's economic world, gun-related violence near the classroom makes a significant difference to our economic, as well as our social, wellbeing. In accordance with well-accepted precedent, such a holding would permit Congress "to act in terms of economic…realities," would interpret the commerce power as "an affirmative power commensurate with the national needs," and would acknowledge that the</w:t>
      </w:r>
    </w:p>
    <w:p w:rsidR="00A31137" w:rsidRPr="00A31137" w:rsidRDefault="00A31137" w:rsidP="00A31137">
      <w:r w:rsidRPr="00A31137">
        <w:t>1995, United States v. Lopez, No. 93-1260</w:t>
      </w:r>
    </w:p>
    <w:p w:rsidR="00A31137" w:rsidRPr="00A31137" w:rsidRDefault="00A31137" w:rsidP="00A31137">
      <w:r w:rsidRPr="00A31137">
        <w:t>commerce clause does not operate so as to render the nation powerless to defend itself against economic forces that Congress decrees inimical or destructive of the national economy.</w:t>
      </w:r>
    </w:p>
    <w:p w:rsidR="00A31137" w:rsidRPr="00A31137" w:rsidRDefault="00A31137" w:rsidP="00A31137">
      <w:r w:rsidRPr="00A31137">
        <w:t>1995, United States v. Lopez, No. 93-1260</w:t>
      </w:r>
    </w:p>
    <w:p w:rsidR="00A31137" w:rsidRPr="00A31137" w:rsidRDefault="00A31137" w:rsidP="00A31137">
      <w:r w:rsidRPr="00A31137">
        <w:t>North American Co. v. SEC, 327 U.S. 686, 705 (1946) (citing Swift &amp; Co. v. United States, 196 U.S. at  398 (Holmes, J.)).</w:t>
      </w:r>
    </w:p>
    <w:p w:rsidR="00A31137" w:rsidRPr="00A31137" w:rsidRDefault="00A31137" w:rsidP="00A31137">
      <w:r w:rsidRPr="00A31137">
        <w:t>III</w:t>
      </w:r>
    </w:p>
    <w:p w:rsidR="00A31137" w:rsidRPr="00A31137" w:rsidRDefault="00A31137" w:rsidP="00A31137">
      <w:r w:rsidRPr="00A31137">
        <w:t>1995, United States v. Lopez, No. 93-1260</w:t>
      </w:r>
    </w:p>
    <w:p w:rsidR="00A31137" w:rsidRPr="00A31137" w:rsidRDefault="00A31137" w:rsidP="00A31137">
      <w:r w:rsidRPr="00A31137">
        <w:t>The majority's holding—that § 922 falls outside the scope of the Commerce Clause—creates three serious legal problems. First, the majority's holding runs contrary to modern Supreme Court cases that have upheld congressional actions despite connections to interstate or foreign commerce that are less significant than the effect of school violence. In Perez v. United States, supra the Court held that the Commerce Clause authorized a federal statute that makes it a crime to engage in loan sharking ("[e]xtortionate credit transactions") at a local level. The Court said that Congress may judge that such transactions, "though purely intrastate,…affect interstate commerce." 402 U.S. at 154 (emphasis added). Presumably, Congress reasoned that threatening or using force, say with a gun on a street corner, to collect a debt occurs sufficiently often so that the activity (by helping organized crime) affects commerce among the States. But, why then cannot Congress also reason that the threat or use of force—the frequent consequence of possessing a gun—in or near a school occurs sufficiently often so that such activity (by inhibiting basic education) affects commerce among the States? The negative impact upon the national economy of an inability to teach basic skills seems no smaller (nor less significant) than that of organized crime.</w:t>
      </w:r>
    </w:p>
    <w:p w:rsidR="00A31137" w:rsidRPr="00A31137" w:rsidRDefault="00A31137" w:rsidP="00A31137">
      <w:r w:rsidRPr="00A31137">
        <w:t>1995, United States v. Lopez, No. 93-1260</w:t>
      </w:r>
    </w:p>
    <w:p w:rsidR="00A31137" w:rsidRPr="00A31137" w:rsidRDefault="00A31137" w:rsidP="00A31137">
      <w:r w:rsidRPr="00A31137">
        <w:t>In Katzenbach v. McClung, 379 U.S. 294 (1964), this Court upheld, as within the commerce power, a statute prohibiting racial discrimination at local restaurants, in part because that discrimination discouraged travel by African Americans and in part because that discrimination affected purchases of food and restaurant supplies from other States. See id. at  300; Heart of Atlanta Motel, supra at  274 (Black, J., concurring in McClung and in Heart of Atlanta). In Daniel v. Paul, 395 U.S. 298 (1969), this Court found an effect on commerce caused by an amusement park located several miles down a country road in the middle of Alabama—because some customers (the Court assumed), some food, 15 paddleboats, and a juke box had come from out of State. See id. at 304-305, 308. In both of these cases, the Court understood that the specific instance of discrimination (at a local place of accommodation) was part of a general practice that, considered as a whole, caused not only the most serious human and social harm, but had nationally significant economic dimensions as well. See McClung, supra, at  301; Daniel, supra at 307, n. 10. It is difficult to distinguish the case before us, for the same critical elements are present. Businesses are less likely to locate in communities where violence plagues the classroom. Families will hesitate to move to neighborhoods where students carry guns instead of books. (Congress expressly found in 1994 that "parents may decline to send their children to school" in certain areas "due to concern about violent crime and gun violence." 18 U.S.C. A. § 922(q)(1)(E) (Nov. 1994 Supp.)). And (to look at the matter in the most narrowly commercial manner), interstate publishers therefore will sell fewer books and other firms will sell fewer school supplies where the threat of violence disrupts learning. Most importantly, like the local racial discrimination at issue in McClung and Daniel, the local instances here, taken together and considered as a whole, create a problem that causes serious human and social harm, but also has nationally significant economic dimensions.</w:t>
      </w:r>
    </w:p>
    <w:p w:rsidR="00A31137" w:rsidRPr="00A31137" w:rsidRDefault="00A31137" w:rsidP="00A31137">
      <w:r w:rsidRPr="00A31137">
        <w:t>1995, United States v. Lopez, No. 93-1260</w:t>
      </w:r>
    </w:p>
    <w:p w:rsidR="00A31137" w:rsidRPr="00A31137" w:rsidRDefault="00A31137" w:rsidP="00A31137">
      <w:r w:rsidRPr="00A31137">
        <w:t>In Wickard v. Filburn, 317 U.S. 111 (1942), this Court sustained the application of the Agricultural Adjustment Act of 1938 to wheat that Filburn grew and consumed on his own local farm because, considered in its totality, (1) home-grown wheat may be "induced by rising prices" to "flow into the market and check price increases," and (2) even if it never actually enters the market, home-grown wheat nonetheless "supplies a need of the man who grew it which would otherwise be reflected by purchases in the open market" and, in that sense, "competes with wheat in commerce." Id. at  128. To find both of these effects on commerce significant in amount, the Court had to give Congress the benefit of the doubt. Why would the Court, to find a significant (or "substantial") effect here, have to give Congress any greater leeway? See also United States v. Women's Sportswear Manufacturers Assn., 336 U.S. 460, 464 (1949) ("If it is interstate commerce that feels the pinch, it does not matter how local the operation which applies the squeeze"); Mandeville Island Farms, Inc. v. American Crystal Sugar Co., 334 U.S. at 236 ("[I]t is enough that the individual activity when multiplied into a general practice…contains a threat to the interstate economy that requires preventative regulation").</w:t>
      </w:r>
    </w:p>
    <w:p w:rsidR="00A31137" w:rsidRPr="00A31137" w:rsidRDefault="00A31137" w:rsidP="00A31137">
      <w:r w:rsidRPr="00A31137">
        <w:t>1995, United States v. Lopez, No. 93-1260</w:t>
      </w:r>
    </w:p>
    <w:p w:rsidR="00A31137" w:rsidRPr="00A31137" w:rsidRDefault="00A31137" w:rsidP="00A31137">
      <w:r w:rsidRPr="00A31137">
        <w:t>The second legal problem the Court creates comes from its apparent belief that it can reconcile its holding with earlier cases by making a critical distinction between "commercial" and noncommercial "transaction[s]." Ante at ___. That is to say, the Court believes the Constitution would distinguish between two local activities, each of which has an identical effect upon interstate commerce, if one, but not the other, is "commercial" in nature. As a general matter, this approach fails to heed this Court's earlier warning not to turn "questions of the power of Congress" upon "formula[s]" that would give</w:t>
      </w:r>
    </w:p>
    <w:p w:rsidR="00A31137" w:rsidRPr="00A31137" w:rsidRDefault="00A31137" w:rsidP="00A31137">
      <w:r w:rsidRPr="00A31137">
        <w:t>1995, United States v. Lopez, No. 93-1260</w:t>
      </w:r>
    </w:p>
    <w:p w:rsidR="00A31137" w:rsidRPr="00A31137" w:rsidRDefault="00A31137" w:rsidP="00A31137">
      <w:r w:rsidRPr="00A31137">
        <w:t>controlling force to nomenclature such as "production" and "indirect" and foreclose consideration of the actual effects of the activity in question upon interstate commerce.</w:t>
      </w:r>
    </w:p>
    <w:p w:rsidR="00A31137" w:rsidRPr="00A31137" w:rsidRDefault="00A31137" w:rsidP="00A31137">
      <w:r w:rsidRPr="00A31137">
        <w:t>1995, United States v. Lopez, No. 93-1260</w:t>
      </w:r>
    </w:p>
    <w:p w:rsidR="00A31137" w:rsidRPr="00A31137" w:rsidRDefault="00A31137" w:rsidP="00A31137">
      <w:r w:rsidRPr="00A31137">
        <w:t>Wickard, supra, at  120. See also United States v. Darby, 312 U.S. 100, 116-117 (1941) (overturning the Court's distinction between "production" and "commerce" in the child labor case, Hammer v. Dagenhart, 247 U.S. 251, 271-272 (1918)); Swift &amp; Co. v. United States, 196 U.S. at  398 (Holmes, J.) ("[C]ommerce among the States is not a technical legal conception, but a practical one, drawn from the course of business"). Moreover, the majority's test is not consistent with what the Court saw as the point of the cases that the majority now characterizes. Although the majority today attempts to categorize Perez, McClung, and Wickard as involving intrastate "economic activity," ante at ___, the Courts that decided each of those cases did not focus upon the economic nature of the activity regulated. Rather, they focused upon whether that activity affected interstate or foreign commerce. In fact, the Wickard Court expressly held that Wickard's consumption of home grown wheat, "though it may not be regarded as commerce," could nevertheless be regulated—"whatever its nature"—so long as "it exerts a substantial economic effect on interstate commerce." Wickard, supra, at  125 (emphasis added).</w:t>
      </w:r>
    </w:p>
    <w:p w:rsidR="00A31137" w:rsidRPr="00A31137" w:rsidRDefault="00A31137" w:rsidP="00A31137">
      <w:r w:rsidRPr="00A31137">
        <w:t>1995, United States v. Lopez, No. 93-1260</w:t>
      </w:r>
    </w:p>
    <w:p w:rsidR="00A31137" w:rsidRPr="00A31137" w:rsidRDefault="00A31137" w:rsidP="00A31137">
      <w:r w:rsidRPr="00A31137">
        <w:t>More importantly, if a distinction between commercial and noncommercial activities is to be made, this is not the case in which to make it. The majority clearly cannot intend such a distinction to focus narrowly on an act of gun possession standing by itself, for such a reading could not be reconciled with either the civil rights cases (McClung and Daniel) or Perez—in each of those cases the specific transaction (the race-based exclusion, the use of force) was not itself "commercial." And, if the majority instead means to distinguish generally among broad categories of activities, differentiating what is educational from what is commercial, then, as a practical matter, the line becomes almost impossible to draw. Schools that teach reading, writing, mathematics, and related basic skills serve both social and commercial purposes, and one cannot easily separate the one from the other. American industry itself has been, and is again, involved in teaching. See supra at ___. When, and to what extent, does its involvement make education commercial? Does the number of vocational classes that train students directly for jobs make a difference? Does it matter if the school is public or private, nonprofit or profit-seeking? Does it matter if a city or State adopts a voucher plan that pays private firms to run a school? Even if one were to ignore these practical questions, why should there be a theoretical distinction between education, when it significantly benefits commerce, and environmental pollution, when it causes economic harm? See Hodel v. Virginia Surface Mining &amp; Reclamation Assn., Inc., 452 U.S. 264 (1981).</w:t>
      </w:r>
    </w:p>
    <w:p w:rsidR="00A31137" w:rsidRPr="00A31137" w:rsidRDefault="00A31137" w:rsidP="00A31137">
      <w:r w:rsidRPr="00A31137">
        <w:t>1995, United States v. Lopez, No. 93-1260</w:t>
      </w:r>
    </w:p>
    <w:p w:rsidR="00A31137" w:rsidRPr="00A31137" w:rsidRDefault="00A31137" w:rsidP="00A31137">
      <w:r w:rsidRPr="00A31137">
        <w:t>Regardless, if there is a principled distinction that could work both here and in future cases, Congress (even in the absence of vocational classes, industry involvement, and private management) could rationally conclude that schools fall on the commercial side of the line. In 1990, the year Congress enacted the statute before us, primary and secondary schools spent $230 billion—that is, nearly a quarter of a trillion dollars—which accounts for a significant portion of our $5.5 trillion Gross Domestic Product for that year. See Statistical Abstract 147, 442 (1993). The business of schooling requires expenditure of these funds on student transportation, food and custodial services, books, and teachers' salaries. See U.S. Dept. of Education 4, 7 (1993). And these expenditures enable schools to provide a valuable service—namely, to equip students with the skills they need to survive in life and, more specifically, in the workplace. Certainly, Congress has often analyzed school expenditure as if it were a commercial investment, closely analyzing whether schools are efficient, whether they justify the significant resources they spend, and whether they can be restructured to achieve greater returns. See, e.g., S.Rep. No. 100-222, p. 2 (1987) (federal school assistance is "a prudent investment"); Senate Appropriations Committee Hearing (1994) (private sector management of public schools); cf. Chubb &amp; Moe 185-229 (school choice); Hanushek 85-122 (performance based incentives for educators); Gibbs (decision in Hartford, Conn., to contract out public school system). Why could Congress, for Commerce Clause purposes, not consider schools as roughly analogous to commercial investments from which the Nation derives the benefit of an educated work force?</w:t>
      </w:r>
    </w:p>
    <w:p w:rsidR="00A31137" w:rsidRPr="00A31137" w:rsidRDefault="00A31137" w:rsidP="00A31137">
      <w:r w:rsidRPr="00A31137">
        <w:t>1995, United States v. Lopez, No. 93-1260</w:t>
      </w:r>
    </w:p>
    <w:p w:rsidR="00A31137" w:rsidRPr="00A31137" w:rsidRDefault="00A31137" w:rsidP="00A31137">
      <w:r w:rsidRPr="00A31137">
        <w:t xml:space="preserve"> The third legal problem created by the Court's holding is that it threatens legal uncertainty in an area of law that, until this case, seemed reasonably well settled. Congress has enacted many statutes (more than 100 sections of the United States Code), including criminal statutes (at least 25 sections), that use the words "affecting commerce" to define their scope, see, e.g., 18 U.S.C. § 844(i) (destruction of buildings used in activity affecting interstate commerce), and other statutes that contain no jurisdictional language at all, see, e.g., 18 U.S.C. § 922(o)(1) (possession of machine guns). Do these, or similar, statutes regulate noncommercial activities? If so, would that alter the meaning of "affecting commerce" in a jurisdictional element? Cf. United States v. Staszcuk, 517 F.2d 53, 57-58 (CA7 1975) (en banc) (STEVENS, J.) (evaluation of Congress' intent "requires more than a consideration of the consequences of the particular transaction"). More importantly, in the absence of a jurisdictional element, are the courts nevertheless to take Wickard, 317 U.S. at 127-128, (and later similar cases) as inapplicable, and to judge the effect of a single noncommercial activity on interstate commerce without considering similar instances of the forbidden conduct? However these questions are eventually resolved, the legal uncertainty now created will restrict Congress' ability to enact criminal laws aimed at criminal behavior that, considered problem by problem rather than instance by instance, seriously threatens the economic, as well as social, wellbeing of Americans.</w:t>
      </w:r>
    </w:p>
    <w:p w:rsidR="00A31137" w:rsidRPr="00A31137" w:rsidRDefault="00A31137" w:rsidP="00A31137">
      <w:r w:rsidRPr="00A31137">
        <w:t>IV</w:t>
      </w:r>
    </w:p>
    <w:p w:rsidR="00A31137" w:rsidRPr="00A31137" w:rsidRDefault="00A31137" w:rsidP="00A31137">
      <w:r w:rsidRPr="00A31137">
        <w:t>1995, United States v. Lopez, No. 93-1260</w:t>
      </w:r>
    </w:p>
    <w:p w:rsidR="00A31137" w:rsidRPr="00A31137" w:rsidRDefault="00A31137" w:rsidP="00A31137">
      <w:r w:rsidRPr="00A31137">
        <w:t>In sum, to find this legislation within the scope of the Commerce Clause would permit "Congress…to act in terms of economic…realities." North American Co. v. SEC, 327 U.S. at 705 (citing Swift &amp; Co. v. United States, 196 U.S. at  398 (Holmes, J.)). It would interpret the Clause as this Court has traditionally interpreted it, with the exception of one wrong turn subsequently corrected. See Gibbons v. Ogden, 9 Wheat. at  195 (holding that the commerce power extends "to all the external concerns of the nation, and to those internal concerns which affect the States generally"); United States v. Darby, 312 U.S. at 116-117 ("The conclusion is inescapable that Hammer v. Dagenhart [the child labor case], was a departure from the principles which have prevailed in the interpretation of the Commerce Clause both before and since the decision….   It should be and now is overruled"). Upholding this legislation would do no more than simply recognize that Congress had a "rational basis" for finding a significant connection between guns in or near schools and (through their effect on education) the interstate and foreign commerce they threaten. For these reasons, I would reverse the judgment of the Court of Appeals. Respectfully, I dissent.</w:t>
      </w:r>
    </w:p>
    <w:p w:rsidR="00A31137" w:rsidRPr="00A31137" w:rsidRDefault="00A31137" w:rsidP="00A31137">
      <w:r w:rsidRPr="00A31137">
        <w:t>APPENDIX</w:t>
      </w:r>
    </w:p>
    <w:p w:rsidR="00A31137" w:rsidRPr="00A31137" w:rsidRDefault="00A31137" w:rsidP="00A31137">
      <w:r w:rsidRPr="00A31137">
        <w:t>Congressional Materials</w:t>
      </w:r>
    </w:p>
    <w:p w:rsidR="00A31137" w:rsidRPr="00A31137" w:rsidRDefault="00A31137" w:rsidP="00A31137">
      <w:r w:rsidRPr="00A31137">
        <w:t>(in reverse chronological order)</w:t>
      </w:r>
    </w:p>
    <w:p w:rsidR="00A31137" w:rsidRPr="00A31137" w:rsidRDefault="00A31137" w:rsidP="00A31137">
      <w:r w:rsidRPr="00A31137">
        <w:t>1995, United States v. Lopez, No. 93-1260</w:t>
      </w:r>
    </w:p>
    <w:p w:rsidR="00A31137" w:rsidRPr="00A31137" w:rsidRDefault="00A31137" w:rsidP="00A31137">
      <w:r w:rsidRPr="00A31137">
        <w:t>Private Sector Management of Public Schools, Hearing before the Subcommittee on Labor, Health and Human Services, and Education and Related Agencies of the Senate Committee on Appropriations, 103d Cong.,2d Sess. (1994) (Senate Appropriations Committee Hearing (1994)).</w:t>
      </w:r>
    </w:p>
    <w:p w:rsidR="00A31137" w:rsidRPr="00A31137" w:rsidRDefault="00A31137" w:rsidP="00A31137">
      <w:r w:rsidRPr="00A31137">
        <w:t>1995, United States v. Lopez, No. 93-1260</w:t>
      </w:r>
    </w:p>
    <w:p w:rsidR="00A31137" w:rsidRPr="00A31137" w:rsidRDefault="00A31137" w:rsidP="00A31137">
      <w:r w:rsidRPr="00A31137">
        <w:t>Children and Gun Violence, Hearings before the Subcommittee on Juvenile Justice of the Senate Committee on the Judiciary, 103d Cong., 1st Sess. (1993) (Senate Judiciary Committee Hearing (1993)).</w:t>
      </w:r>
    </w:p>
    <w:p w:rsidR="00A31137" w:rsidRPr="00A31137" w:rsidRDefault="00A31137" w:rsidP="00A31137">
      <w:r w:rsidRPr="00A31137">
        <w:t>1995, United States v. Lopez, No. 93-1260</w:t>
      </w:r>
    </w:p>
    <w:p w:rsidR="00A31137" w:rsidRPr="00A31137" w:rsidRDefault="00A31137" w:rsidP="00A31137">
      <w:r w:rsidRPr="00A31137">
        <w:t>Keeping Every Child Safe: Curbing the Epidemic of Violence, Joint Hearing before the Subcommittee on Children, Family, Drugs and Alcoholism of the Senate Committee on Labor and Human Resources and the House Select Committee on Children, Youth, and Families, 103d Cong., 1st Sess. (1993).</w:t>
      </w:r>
    </w:p>
    <w:p w:rsidR="00A31137" w:rsidRPr="00A31137" w:rsidRDefault="00A31137" w:rsidP="00A31137">
      <w:r w:rsidRPr="00A31137">
        <w:t>1995, United States v. Lopez, No. 93-1260</w:t>
      </w:r>
    </w:p>
    <w:p w:rsidR="00A31137" w:rsidRPr="00A31137" w:rsidRDefault="00A31137" w:rsidP="00A31137">
      <w:r w:rsidRPr="00A31137">
        <w:t>Recess from Violence: Making our Schools Safe, Hearing before the Subcommittee on Education, Arts and Humanities of the Senate Committee on Labor and Human Resources, 103d Cong., 1st Sess. (1993) (Senate Labor and Human Resources Committee Hearing (1993)).</w:t>
      </w:r>
    </w:p>
    <w:p w:rsidR="00A31137" w:rsidRPr="00A31137" w:rsidRDefault="00A31137" w:rsidP="00A31137">
      <w:r w:rsidRPr="00A31137">
        <w:t>1995, United States v. Lopez, No. 93-1260</w:t>
      </w:r>
    </w:p>
    <w:p w:rsidR="00A31137" w:rsidRPr="00A31137" w:rsidRDefault="00A31137" w:rsidP="00A31137">
      <w:r w:rsidRPr="00A31137">
        <w:t>Preparing for the Economy of the 21st Century, Hearings before the Subcommittee on Children, Family, Drugs and Alcoholism of the Senate Committee on Labor and Human Resources, 102d Cong.,2d Sess. (1992).</w:t>
      </w:r>
    </w:p>
    <w:p w:rsidR="00A31137" w:rsidRPr="00A31137" w:rsidRDefault="00A31137" w:rsidP="00A31137">
      <w:r w:rsidRPr="00A31137">
        <w:t>1995, United States v. Lopez, No. 93-1260</w:t>
      </w:r>
    </w:p>
    <w:p w:rsidR="00A31137" w:rsidRPr="00A31137" w:rsidRDefault="00A31137" w:rsidP="00A31137">
      <w:r w:rsidRPr="00A31137">
        <w:t>Children Carrying Weapons: Why the Recent Increase, Hearing before the Senate Committee on the Judiciary, 102d Cong.,2d Sess. (1992).</w:t>
      </w:r>
    </w:p>
    <w:p w:rsidR="00A31137" w:rsidRPr="00A31137" w:rsidRDefault="00A31137" w:rsidP="00A31137">
      <w:r w:rsidRPr="00A31137">
        <w:t>1995, United States v. Lopez, No. 93-1260</w:t>
      </w:r>
    </w:p>
    <w:p w:rsidR="00A31137" w:rsidRPr="00A31137" w:rsidRDefault="00A31137" w:rsidP="00A31137">
      <w:r w:rsidRPr="00A31137">
        <w:t>Youth Violence Prevention, Hearing before the Senate Committee on Governmental Affairs, 102d Cong.,2d Sess. (1992).</w:t>
      </w:r>
    </w:p>
    <w:p w:rsidR="00A31137" w:rsidRPr="00A31137" w:rsidRDefault="00A31137" w:rsidP="00A31137">
      <w:r w:rsidRPr="00A31137">
        <w:t>1995, United States v. Lopez, No. 93-1260</w:t>
      </w:r>
    </w:p>
    <w:p w:rsidR="00A31137" w:rsidRPr="00A31137" w:rsidRDefault="00A31137" w:rsidP="00A31137">
      <w:r w:rsidRPr="00A31137">
        <w:t>School Dropout Prevention and Basic Skills Improvement Act of 1990, Pub. L. 101-600, § 2(a)(2), 104 Stat. 3042. § 2(a)(2).</w:t>
      </w:r>
    </w:p>
    <w:p w:rsidR="00A31137" w:rsidRPr="00A31137" w:rsidRDefault="00A31137" w:rsidP="00A31137">
      <w:r w:rsidRPr="00A31137">
        <w:t>1995, United States v. Lopez, No. 93-1260</w:t>
      </w:r>
    </w:p>
    <w:p w:rsidR="00A31137" w:rsidRPr="00A31137" w:rsidRDefault="00A31137" w:rsidP="00A31137">
      <w:r w:rsidRPr="00A31137">
        <w:t>Excellence in Mathematics, Science and Engineering Education Act of 1990, 104 Stat. 2883, 20 U.S.C. § 5301(a)(5) (1988 ed., Supp. V).</w:t>
      </w:r>
    </w:p>
    <w:p w:rsidR="00A31137" w:rsidRPr="00A31137" w:rsidRDefault="00A31137" w:rsidP="00A31137">
      <w:r w:rsidRPr="00A31137">
        <w:t>1995, United States v. Lopez, No. 93-1260</w:t>
      </w:r>
    </w:p>
    <w:p w:rsidR="00A31137" w:rsidRPr="00A31137" w:rsidRDefault="00A31137" w:rsidP="00A31137">
      <w:r w:rsidRPr="00A31137">
        <w:t>Oversight Hearing on Education Reform and American Business and the Implementation of the Hawkins-Stafford Amendments of 1988, Hearing before the Subcommittee on Elementary, Secondary, and Vocational Training of the House Committee on Education and Labor, 101st Cong.,2d Sess. (1990).</w:t>
      </w:r>
    </w:p>
    <w:p w:rsidR="00A31137" w:rsidRPr="00A31137" w:rsidRDefault="00A31137" w:rsidP="00A31137">
      <w:r w:rsidRPr="00A31137">
        <w:t>1995, United States v. Lopez, No. 93-1260</w:t>
      </w:r>
    </w:p>
    <w:p w:rsidR="00A31137" w:rsidRPr="00A31137" w:rsidRDefault="00A31137" w:rsidP="00A31137">
      <w:r w:rsidRPr="00A31137">
        <w:t>U.S. Power in a Changing World, Report Prepared for the Subcommittee on International Economic Policy and Trade of the House Committee on Foreign Affairs, 101st Cong.,2d Sess., 43-66 (1990).</w:t>
      </w:r>
    </w:p>
    <w:p w:rsidR="00A31137" w:rsidRPr="00A31137" w:rsidRDefault="00A31137" w:rsidP="00A31137">
      <w:r w:rsidRPr="00A31137">
        <w:t>1995, United States v. Lopez, No. 93-1260</w:t>
      </w:r>
    </w:p>
    <w:p w:rsidR="00A31137" w:rsidRPr="00A31137" w:rsidRDefault="00A31137" w:rsidP="00A31137">
      <w:r w:rsidRPr="00A31137">
        <w:t>Gun Free School Zones Act of 1990, Hearing before the Subcommittee on Crime of the House Committee on the Judiciary, 101st Cong.,2d Sess. (1990) (House Judiciary Committee Hearing (1990)).</w:t>
      </w:r>
    </w:p>
    <w:p w:rsidR="00A31137" w:rsidRPr="00A31137" w:rsidRDefault="00A31137" w:rsidP="00A31137">
      <w:r w:rsidRPr="00A31137">
        <w:t>1995, United States v. Lopez, No. 93-1260</w:t>
      </w:r>
    </w:p>
    <w:p w:rsidR="00A31137" w:rsidRPr="00A31137" w:rsidRDefault="00A31137" w:rsidP="00A31137">
      <w:r w:rsidRPr="00A31137">
        <w:t>Restoring American Productivity: The Role of Education and Human Resources, Hearing before the Senate Committee on Labor and Human Resources, 101st Cong., 1st Sess. (1989).</w:t>
      </w:r>
    </w:p>
    <w:p w:rsidR="00A31137" w:rsidRPr="00A31137" w:rsidRDefault="00A31137" w:rsidP="00A31137">
      <w:r w:rsidRPr="00A31137">
        <w:t>1995, United States v. Lopez, No. 93-1260</w:t>
      </w:r>
    </w:p>
    <w:p w:rsidR="00A31137" w:rsidRPr="00A31137" w:rsidRDefault="00A31137" w:rsidP="00A31137">
      <w:r w:rsidRPr="00A31137">
        <w:t>Children and Guns, Hearing before the House Select Committee on Children, Youth, and Families, 101st Cong., 1st Sess. (1989) (House Select Committee Hearing (1989)).</w:t>
      </w:r>
    </w:p>
    <w:p w:rsidR="00A31137" w:rsidRPr="00A31137" w:rsidRDefault="00A31137" w:rsidP="00A31137">
      <w:r w:rsidRPr="00A31137">
        <w:t>1995, United States v. Lopez, No. 93-1260</w:t>
      </w:r>
    </w:p>
    <w:p w:rsidR="00A31137" w:rsidRPr="00A31137" w:rsidRDefault="00A31137" w:rsidP="00A31137">
      <w:r w:rsidRPr="00A31137">
        <w:t>Education and Training for a Competitive America Act of 1988, Pub. L. 100-418, Title VI, 102 Stat. 1469.</w:t>
      </w:r>
    </w:p>
    <w:p w:rsidR="00A31137" w:rsidRPr="00A31137" w:rsidRDefault="00A31137" w:rsidP="00A31137">
      <w:r w:rsidRPr="00A31137">
        <w:t>1995, United States v. Lopez, No. 93-1260</w:t>
      </w:r>
    </w:p>
    <w:p w:rsidR="00A31137" w:rsidRPr="00A31137" w:rsidRDefault="00A31137" w:rsidP="00A31137">
      <w:r w:rsidRPr="00A31137">
        <w:t>S.Rep. No. 100-222, (1987).</w:t>
      </w:r>
    </w:p>
    <w:p w:rsidR="00A31137" w:rsidRPr="00A31137" w:rsidRDefault="00A31137" w:rsidP="00A31137">
      <w:r w:rsidRPr="00A31137">
        <w:t>1995, United States v. Lopez, No. 93-1260</w:t>
      </w:r>
    </w:p>
    <w:p w:rsidR="00A31137" w:rsidRPr="00A31137" w:rsidRDefault="00A31137" w:rsidP="00A31137">
      <w:r w:rsidRPr="00A31137">
        <w:t>Education and Training for American Competitiveness, Hearings before the House Committee on Education and Labor, 100th Cong., 1st Sess. (1987).</w:t>
      </w:r>
    </w:p>
    <w:p w:rsidR="00A31137" w:rsidRPr="00A31137" w:rsidRDefault="00A31137" w:rsidP="00A31137">
      <w:r w:rsidRPr="00A31137">
        <w:t>1995, United States v. Lopez, No. 93-1260</w:t>
      </w:r>
    </w:p>
    <w:p w:rsidR="00A31137" w:rsidRPr="00A31137" w:rsidRDefault="00A31137" w:rsidP="00A31137">
      <w:r w:rsidRPr="00A31137">
        <w:t>Competitiveness and the Quality of the American Work Force, Hearings before the Subcommittee on Education and Health of the Joint Economic Committee, 100th Cong., 1st Sess., pts. 1 and 2 (1987).</w:t>
      </w:r>
    </w:p>
    <w:p w:rsidR="00A31137" w:rsidRPr="00A31137" w:rsidRDefault="00A31137" w:rsidP="00A31137">
      <w:r w:rsidRPr="00A31137">
        <w:t>1995, United States v. Lopez, No. 93-1260</w:t>
      </w:r>
    </w:p>
    <w:p w:rsidR="00A31137" w:rsidRPr="00A31137" w:rsidRDefault="00A31137" w:rsidP="00A31137">
      <w:r w:rsidRPr="00A31137">
        <w:t>Oversight Hearing on Illiteracy, Joint Hearing before the Subcommittee on Elementary, Secondary, and Vocational Education of the House Committee on Education and Labor and the Subcommittee on Education, Arts and Humanities of the Senate Committee on Labor and Human Resources, 99th Cong.,2d Sess. (1986).</w:t>
      </w:r>
    </w:p>
    <w:p w:rsidR="00A31137" w:rsidRPr="00A31137" w:rsidRDefault="00A31137" w:rsidP="00A31137">
      <w:r w:rsidRPr="00A31137">
        <w:t>1995, United States v. Lopez, No. 93-1260</w:t>
      </w:r>
    </w:p>
    <w:p w:rsidR="00A31137" w:rsidRPr="00A31137" w:rsidRDefault="00A31137" w:rsidP="00A31137">
      <w:r w:rsidRPr="00A31137">
        <w:t>Oversight on Illiteracy in the United States, Hearings before the Subcommittee on Elementary, Secondary, and Vocational Education of the House Committee on Education and Labor, 99th Cong.,2d Sess. (1986).</w:t>
      </w:r>
    </w:p>
    <w:p w:rsidR="00A31137" w:rsidRPr="00A31137" w:rsidRDefault="00A31137" w:rsidP="00A31137">
      <w:r w:rsidRPr="00A31137">
        <w:t>1995, United States v. Lopez, No. 93-1260</w:t>
      </w:r>
    </w:p>
    <w:p w:rsidR="00A31137" w:rsidRPr="00A31137" w:rsidRDefault="00A31137" w:rsidP="00A31137">
      <w:r w:rsidRPr="00A31137">
        <w:t>Crime and Violence in the Schools, Hearing before the Subcommittee on Juvenile Justice of the Senate Committee on the Judiciary, 98th Cong.,2d Sess. (1984).</w:t>
      </w:r>
    </w:p>
    <w:p w:rsidR="00A31137" w:rsidRPr="00A31137" w:rsidRDefault="00A31137" w:rsidP="00A31137">
      <w:r w:rsidRPr="00A31137">
        <w:t>1995, United States v. Lopez, No. 93-1260</w:t>
      </w:r>
    </w:p>
    <w:p w:rsidR="00A31137" w:rsidRPr="00A31137" w:rsidRDefault="00A31137" w:rsidP="00A31137">
      <w:r w:rsidRPr="00A31137">
        <w:t>H.R.Rep. No. 98-6, pts. 1 and 2 (1983).</w:t>
      </w:r>
    </w:p>
    <w:p w:rsidR="00A31137" w:rsidRPr="00A31137" w:rsidRDefault="00A31137" w:rsidP="00A31137">
      <w:r w:rsidRPr="00A31137">
        <w:t>1995, United States v. Lopez, No. 93-1260</w:t>
      </w:r>
    </w:p>
    <w:p w:rsidR="00A31137" w:rsidRPr="00A31137" w:rsidRDefault="00A31137" w:rsidP="00A31137">
      <w:r w:rsidRPr="00A31137">
        <w:t>S.Rep. No. 98-151, (1983).</w:t>
      </w:r>
    </w:p>
    <w:p w:rsidR="00A31137" w:rsidRPr="00A31137" w:rsidRDefault="00A31137" w:rsidP="00A31137">
      <w:r w:rsidRPr="00A31137">
        <w:t>1995, United States v. Lopez, No. 93-1260</w:t>
      </w:r>
    </w:p>
    <w:p w:rsidR="00A31137" w:rsidRPr="00A31137" w:rsidRDefault="00A31137" w:rsidP="00A31137">
      <w:r w:rsidRPr="00A31137">
        <w:t>Education for Economic Security Act, Hearings before the Subcommittee on Education, Arts and Humanities of the Senate Committee on Labor and Human Resources, 98th Cong., 1st Sess. (1983).</w:t>
      </w:r>
    </w:p>
    <w:p w:rsidR="00A31137" w:rsidRPr="00A31137" w:rsidRDefault="00A31137" w:rsidP="00A31137">
      <w:r w:rsidRPr="00A31137">
        <w:t>1995, United States v. Lopez, No. 93-1260</w:t>
      </w:r>
    </w:p>
    <w:p w:rsidR="00A31137" w:rsidRPr="00A31137" w:rsidRDefault="00A31137" w:rsidP="00A31137">
      <w:r w:rsidRPr="00A31137">
        <w:t>Pub. L. 93-380, § 825, 88 Stat. 602 (1974).</w:t>
      </w:r>
    </w:p>
    <w:p w:rsidR="00A31137" w:rsidRPr="00A31137" w:rsidRDefault="00A31137" w:rsidP="00A31137">
      <w:r w:rsidRPr="00A31137">
        <w:t>1995, United States v. Lopez, No. 93-1260</w:t>
      </w:r>
    </w:p>
    <w:p w:rsidR="00A31137" w:rsidRPr="00A31137" w:rsidRDefault="00A31137" w:rsidP="00A31137">
      <w:r w:rsidRPr="00A31137">
        <w:t>I. Clarke, Art and Industry: Instruction in Drawing Applied to the Industrial and Fine Arts, S. Exec. Doc. No. 209, 46th Cong.,2d Sess., pt. 2 (1891).</w:t>
      </w:r>
    </w:p>
    <w:p w:rsidR="00A31137" w:rsidRPr="00A31137" w:rsidRDefault="00A31137" w:rsidP="00A31137">
      <w:r w:rsidRPr="00A31137">
        <w:t>Other Federal Government Materials</w:t>
      </w:r>
    </w:p>
    <w:p w:rsidR="00A31137" w:rsidRPr="00A31137" w:rsidRDefault="00A31137" w:rsidP="00A31137">
      <w:r w:rsidRPr="00A31137">
        <w:t>(in reverse chronological order)</w:t>
      </w:r>
    </w:p>
    <w:p w:rsidR="00A31137" w:rsidRPr="00A31137" w:rsidRDefault="00A31137" w:rsidP="00A31137">
      <w:r w:rsidRPr="00A31137">
        <w:t>1995, United States v. Lopez, No. 93-1260</w:t>
      </w:r>
    </w:p>
    <w:p w:rsidR="00A31137" w:rsidRPr="00A31137" w:rsidRDefault="00A31137" w:rsidP="00A31137">
      <w:r w:rsidRPr="00A31137">
        <w:t>U.S. Dept. of Education, Office of Educational Research and Improvement, First Findings:   The Educational Quality of the Workforce Employer Survey (Feb. 1995).</w:t>
      </w:r>
    </w:p>
    <w:p w:rsidR="00A31137" w:rsidRPr="00A31137" w:rsidRDefault="00A31137" w:rsidP="00A31137">
      <w:r w:rsidRPr="00A31137">
        <w:t>1995, United States v. Lopez, No. 93-1260</w:t>
      </w:r>
    </w:p>
    <w:p w:rsidR="00A31137" w:rsidRPr="00A31137" w:rsidRDefault="00A31137" w:rsidP="00A31137">
      <w:r w:rsidRPr="00A31137">
        <w:t>Economic Report of the President 108 (Feb. 1994).</w:t>
      </w:r>
    </w:p>
    <w:p w:rsidR="00A31137" w:rsidRPr="00A31137" w:rsidRDefault="00A31137" w:rsidP="00A31137">
      <w:r w:rsidRPr="00A31137">
        <w:t>1995, United States v. Lopez, No. 93-1260</w:t>
      </w:r>
    </w:p>
    <w:p w:rsidR="00A31137" w:rsidRPr="00A31137" w:rsidRDefault="00A31137" w:rsidP="00A31137">
      <w:r w:rsidRPr="00A31137">
        <w:t>U.S. Dept. of Commerce, Statistical Abstract of the United States (1993) (Statistical Abstract (1993)).</w:t>
      </w:r>
    </w:p>
    <w:p w:rsidR="00A31137" w:rsidRPr="00A31137" w:rsidRDefault="00A31137" w:rsidP="00A31137">
      <w:r w:rsidRPr="00A31137">
        <w:t>1995, United States v. Lopez, No. 93-1260</w:t>
      </w:r>
    </w:p>
    <w:p w:rsidR="00A31137" w:rsidRPr="00A31137" w:rsidRDefault="00A31137" w:rsidP="00A31137">
      <w:r w:rsidRPr="00A31137">
        <w:t>U.S. Dept. of Education, Office of Educational Research and Improvement, Public School Education Financing for School Year 1989-90 (June 1993) (U.S. Dept. of Education (1993)).</w:t>
      </w:r>
    </w:p>
    <w:p w:rsidR="00A31137" w:rsidRPr="00A31137" w:rsidRDefault="00A31137" w:rsidP="00A31137">
      <w:r w:rsidRPr="00A31137">
        <w:t>1995, United States v. Lopez, No. 93-1260</w:t>
      </w:r>
    </w:p>
    <w:p w:rsidR="00A31137" w:rsidRPr="00A31137" w:rsidRDefault="00A31137" w:rsidP="00A31137">
      <w:r w:rsidRPr="00A31137">
        <w:t>Economic Report of the President 101 (Feb. 1992).</w:t>
      </w:r>
    </w:p>
    <w:p w:rsidR="00A31137" w:rsidRPr="00A31137" w:rsidRDefault="00A31137" w:rsidP="00A31137">
      <w:r w:rsidRPr="00A31137">
        <w:t>1995, United States v. Lopez, No. 93-1260</w:t>
      </w:r>
    </w:p>
    <w:p w:rsidR="00A31137" w:rsidRPr="00A31137" w:rsidRDefault="00A31137" w:rsidP="00A31137">
      <w:r w:rsidRPr="00A31137">
        <w:t>U.S. Dept. of Labor, Secretary's Commission on Achieving Necessary Skills, Skills and Tasks For Jobs: A SCANS Report for America 2000 (1992).</w:t>
      </w:r>
    </w:p>
    <w:p w:rsidR="00A31137" w:rsidRPr="00A31137" w:rsidRDefault="00A31137" w:rsidP="00A31137">
      <w:r w:rsidRPr="00A31137">
        <w:t>1995, United States v. Lopez, No. 93-1260</w:t>
      </w:r>
    </w:p>
    <w:p w:rsidR="00A31137" w:rsidRPr="00A31137" w:rsidRDefault="00A31137" w:rsidP="00A31137">
      <w:r w:rsidRPr="00A31137">
        <w:t>U.S. Dept. of Labor, Employment and Training Administration, Beyond the School Doors: The Literacy Needs of Job Seekers Served by the U.S. Department of Labor (Sept. 1992).</w:t>
      </w:r>
    </w:p>
    <w:p w:rsidR="00A31137" w:rsidRPr="00A31137" w:rsidRDefault="00A31137" w:rsidP="00A31137">
      <w:r w:rsidRPr="00A31137">
        <w:t>1995, United States v. Lopez, No. 93-1260</w:t>
      </w:r>
    </w:p>
    <w:p w:rsidR="00A31137" w:rsidRPr="00A31137" w:rsidRDefault="00A31137" w:rsidP="00A31137">
      <w:r w:rsidRPr="00A31137">
        <w:t>U.S. Dept. of Justice, Bureau of Justice Statistics, School Crime: A National Crime Victimization Survey Report (Sept. 1991) (U.S. Dept. of Justice (1991)).</w:t>
      </w:r>
    </w:p>
    <w:p w:rsidR="00A31137" w:rsidRPr="00A31137" w:rsidRDefault="00A31137" w:rsidP="00A31137">
      <w:r w:rsidRPr="00A31137">
        <w:t>1995, United States v. Lopez, No. 93-1260</w:t>
      </w:r>
    </w:p>
    <w:p w:rsidR="00A31137" w:rsidRPr="00A31137" w:rsidRDefault="00A31137" w:rsidP="00A31137">
      <w:r w:rsidRPr="00A31137">
        <w:t>U.S. Dept. of Commerce, Bureau of Census, 1990 Census of Population: Education in the United States 474 (Jan. 1994).</w:t>
      </w:r>
    </w:p>
    <w:p w:rsidR="00A31137" w:rsidRPr="00A31137" w:rsidRDefault="00A31137" w:rsidP="00A31137">
      <w:r w:rsidRPr="00A31137">
        <w:t>1995, United States v. Lopez, No. 93-1260</w:t>
      </w:r>
    </w:p>
    <w:p w:rsidR="00A31137" w:rsidRPr="00A31137" w:rsidRDefault="00A31137" w:rsidP="00A31137">
      <w:r w:rsidRPr="00A31137">
        <w:t>U.S. Dept. of Justice, Office of Juvenile Justice and Delinquency Prevention, Weapons in Schools, OJJDP Bulletin 1 (Oct. 1989) (U.S. Dept. of Justice (1989)).</w:t>
      </w:r>
    </w:p>
    <w:p w:rsidR="00A31137" w:rsidRPr="00A31137" w:rsidRDefault="00A31137" w:rsidP="00A31137">
      <w:r w:rsidRPr="00A31137">
        <w:t>1995, United States v. Lopez, No. 93-1260</w:t>
      </w:r>
    </w:p>
    <w:p w:rsidR="00A31137" w:rsidRPr="00A31137" w:rsidRDefault="00A31137" w:rsidP="00A31137">
      <w:r w:rsidRPr="00A31137">
        <w:t>U.S. Dept. of Labor, Bureau of Labor Statistics, Handbook of Labor Statistics 281, 561, 576 (Aug. 1989) (Handbook of Labor Statistics (1989)).</w:t>
      </w:r>
    </w:p>
    <w:p w:rsidR="00A31137" w:rsidRPr="00A31137" w:rsidRDefault="00A31137" w:rsidP="00A31137">
      <w:r w:rsidRPr="00A31137">
        <w:t>1995, United States v. Lopez, No. 93-1260</w:t>
      </w:r>
    </w:p>
    <w:p w:rsidR="00A31137" w:rsidRPr="00A31137" w:rsidRDefault="00A31137" w:rsidP="00A31137">
      <w:r w:rsidRPr="00A31137">
        <w:t>Bishop, Incentives for Learning: Why American High School Students Compare So Poorly to their Counterparts Overseas, in 1 U.S. Dept. of Labor, Commission on Workforce Quality &amp; Labor Market Efficiency, Investing in People 1 (1989).</w:t>
      </w:r>
    </w:p>
    <w:p w:rsidR="00A31137" w:rsidRPr="00A31137" w:rsidRDefault="00A31137" w:rsidP="00A31137">
      <w:r w:rsidRPr="00A31137">
        <w:t>1995, United States v. Lopez, No. 93-1260</w:t>
      </w:r>
    </w:p>
    <w:p w:rsidR="00A31137" w:rsidRPr="00A31137" w:rsidRDefault="00A31137" w:rsidP="00A31137">
      <w:r w:rsidRPr="00A31137">
        <w:t>Rumberger &amp; Levin, Schooling for the Modern Workplace, in 1 U.S. Dept. of Labor, Commission on Workforce Quality and Labor Market Efficiency, Investing in People 85 (Sept. 1989).</w:t>
      </w:r>
    </w:p>
    <w:p w:rsidR="00A31137" w:rsidRPr="00A31137" w:rsidRDefault="00A31137" w:rsidP="00A31137">
      <w:r w:rsidRPr="00A31137">
        <w:t>1995, United States v. Lopez, No. 93-1260</w:t>
      </w:r>
    </w:p>
    <w:p w:rsidR="00A31137" w:rsidRPr="00A31137" w:rsidRDefault="00A31137" w:rsidP="00A31137">
      <w:r w:rsidRPr="00A31137">
        <w:t>U.S. Dept. of Education and U.S. Department of Labor, The Bottom Line: Basic Skills in the Workplace 12 (1988).</w:t>
      </w:r>
    </w:p>
    <w:p w:rsidR="00A31137" w:rsidRPr="00A31137" w:rsidRDefault="00A31137" w:rsidP="00A31137">
      <w:r w:rsidRPr="00A31137">
        <w:t>1995, United States v. Lopez, No. 93-1260</w:t>
      </w:r>
    </w:p>
    <w:p w:rsidR="00A31137" w:rsidRPr="00A31137" w:rsidRDefault="00A31137" w:rsidP="00A31137">
      <w:r w:rsidRPr="00A31137">
        <w:t>U.S. Dept. of Labor, Employment and Training Administration, Estimating Educational Attainment of Future Employment Demand for States (Oct. 1981) (U.S. Dept. of Labor (1981)).</w:t>
      </w:r>
    </w:p>
    <w:p w:rsidR="00A31137" w:rsidRPr="00A31137" w:rsidRDefault="00A31137" w:rsidP="00A31137">
      <w:r w:rsidRPr="00A31137">
        <w:t>1995, United States v. Lopez, No. 93-1260</w:t>
      </w:r>
    </w:p>
    <w:p w:rsidR="00A31137" w:rsidRPr="00A31137" w:rsidRDefault="00A31137" w:rsidP="00A31137">
      <w:r w:rsidRPr="00A31137">
        <w:t>U.S. Dept. of Health, Education, and Welfare, National Institute of Education, Violent Schools-Safe Schools: The Safe School Study Report to Congress (1978) (U.S. Dept. of Health (1978)).</w:t>
      </w:r>
    </w:p>
    <w:p w:rsidR="00A31137" w:rsidRPr="00A31137" w:rsidRDefault="00A31137" w:rsidP="00A31137">
      <w:r w:rsidRPr="00A31137">
        <w:t>1995, United States v. Lopez, No. 93-1260</w:t>
      </w:r>
    </w:p>
    <w:p w:rsidR="00A31137" w:rsidRPr="00A31137" w:rsidRDefault="00A31137" w:rsidP="00A31137">
      <w:r w:rsidRPr="00A31137">
        <w:t>U.S. Dept. of Labor, Bureau of Apprenticeship, Apprenticeship Past and Present (1950) (U.S. Dept. of Labor (1950)).</w:t>
      </w:r>
    </w:p>
    <w:p w:rsidR="00A31137" w:rsidRPr="00A31137" w:rsidRDefault="00A31137" w:rsidP="00A31137">
      <w:r w:rsidRPr="00A31137">
        <w:t>Other Readily Available Materials</w:t>
      </w:r>
    </w:p>
    <w:p w:rsidR="00A31137" w:rsidRPr="00A31137" w:rsidRDefault="00A31137" w:rsidP="00A31137">
      <w:r w:rsidRPr="00A31137">
        <w:t>(in alphabetical order)</w:t>
      </w:r>
    </w:p>
    <w:p w:rsidR="00A31137" w:rsidRPr="00A31137" w:rsidRDefault="00A31137" w:rsidP="00A31137">
      <w:r w:rsidRPr="00A31137">
        <w:t>1995, United States v. Lopez, No. 93-1260</w:t>
      </w:r>
    </w:p>
    <w:p w:rsidR="00A31137" w:rsidRPr="00A31137" w:rsidRDefault="00A31137" w:rsidP="00A31137">
      <w:r w:rsidRPr="00A31137">
        <w:t>Akin &amp; Garfinkel, School Expenditures and the Economic Returns to Schooling, 12 J. Human Resources 462 (1977).</w:t>
      </w:r>
    </w:p>
    <w:p w:rsidR="00A31137" w:rsidRPr="00A31137" w:rsidRDefault="00A31137" w:rsidP="00A31137">
      <w:r w:rsidRPr="00A31137">
        <w:t>1995, United States v. Lopez, No. 93-1260</w:t>
      </w:r>
    </w:p>
    <w:p w:rsidR="00A31137" w:rsidRPr="00A31137" w:rsidRDefault="00A31137" w:rsidP="00A31137">
      <w:r w:rsidRPr="00A31137">
        <w:t>American Council on Education, Business-Higher Education Forum, America's Competitive Challenge: A Report to the President of the United States (Apr. 1983).</w:t>
      </w:r>
    </w:p>
    <w:p w:rsidR="00A31137" w:rsidRPr="00A31137" w:rsidRDefault="00A31137" w:rsidP="00A31137">
      <w:r w:rsidRPr="00A31137">
        <w:t>1995, United States v. Lopez, No. 93-1260</w:t>
      </w:r>
    </w:p>
    <w:p w:rsidR="00A31137" w:rsidRPr="00A31137" w:rsidRDefault="00A31137" w:rsidP="00A31137">
      <w:r w:rsidRPr="00A31137">
        <w:t>P. Applebome, Employers Wary of School System, N. Y. Times, Feb. 20, 1995, p. A1, col. 1.</w:t>
      </w:r>
    </w:p>
    <w:p w:rsidR="00A31137" w:rsidRPr="00A31137" w:rsidRDefault="00A31137" w:rsidP="00A31137">
      <w:r w:rsidRPr="00A31137">
        <w:t>1995, United States v. Lopez, No. 93-1260</w:t>
      </w:r>
    </w:p>
    <w:p w:rsidR="00A31137" w:rsidRPr="00A31137" w:rsidRDefault="00A31137" w:rsidP="00A31137">
      <w:r w:rsidRPr="00A31137">
        <w:t>Are Real Estate Firms Ready to Ride on the Infobahn?: Information Highway of Technology, National Real Estate Investor, Oct. 1994, p. 6.</w:t>
      </w:r>
    </w:p>
    <w:p w:rsidR="00A31137" w:rsidRPr="00A31137" w:rsidRDefault="00A31137" w:rsidP="00A31137">
      <w:r w:rsidRPr="00A31137">
        <w:t>1995, United States v. Lopez, No. 93-1260</w:t>
      </w:r>
    </w:p>
    <w:p w:rsidR="00A31137" w:rsidRPr="00A31137" w:rsidRDefault="00A31137" w:rsidP="00A31137">
      <w:r w:rsidRPr="00A31137">
        <w:t>Aring, What the "V" Word is Costing America's Economy: Vocational Education, 74 Phi Delta Kappan 396 (1993).</w:t>
      </w:r>
    </w:p>
    <w:p w:rsidR="00A31137" w:rsidRPr="00A31137" w:rsidRDefault="00A31137" w:rsidP="00A31137">
      <w:r w:rsidRPr="00A31137">
        <w:t>1995, United States v. Lopez, No. 93-1260</w:t>
      </w:r>
    </w:p>
    <w:p w:rsidR="00A31137" w:rsidRPr="00A31137" w:rsidRDefault="00A31137" w:rsidP="00A31137">
      <w:r w:rsidRPr="00A31137">
        <w:t>G. Atkinson, The Economics of Education (1983).</w:t>
      </w:r>
    </w:p>
    <w:p w:rsidR="00A31137" w:rsidRPr="00A31137" w:rsidRDefault="00A31137" w:rsidP="00A31137">
      <w:r w:rsidRPr="00A31137">
        <w:t>1995, United States v. Lopez, No. 93-1260</w:t>
      </w:r>
    </w:p>
    <w:p w:rsidR="00A31137" w:rsidRPr="00A31137" w:rsidRDefault="00A31137" w:rsidP="00A31137">
      <w:r w:rsidRPr="00A31137">
        <w:t>Becker, The Adam Smith Address: Education, Labor Force Quality, and the Economy, Business Economics, Jan. 1992, p. 7 (Becker (1992)).</w:t>
      </w:r>
    </w:p>
    <w:p w:rsidR="00A31137" w:rsidRPr="00A31137" w:rsidRDefault="00A31137" w:rsidP="00A31137">
      <w:r w:rsidRPr="00A31137">
        <w:t>1995, United States v. Lopez, No. 93-1260</w:t>
      </w:r>
    </w:p>
    <w:p w:rsidR="00A31137" w:rsidRPr="00A31137" w:rsidRDefault="00A31137" w:rsidP="00A31137">
      <w:r w:rsidRPr="00A31137">
        <w:t>G. Becker, Human Capital (3d ed. 1993) (Becker (1993)).</w:t>
      </w:r>
    </w:p>
    <w:p w:rsidR="00A31137" w:rsidRPr="00A31137" w:rsidRDefault="00A31137" w:rsidP="00A31137">
      <w:r w:rsidRPr="00A31137">
        <w:t>1995, United States v. Lopez, No. 93-1260</w:t>
      </w:r>
    </w:p>
    <w:p w:rsidR="00A31137" w:rsidRPr="00A31137" w:rsidRDefault="00A31137" w:rsidP="00A31137">
      <w:r w:rsidRPr="00A31137">
        <w:t>I. Berg, Education and Jobs: The Great Training Robbery (1970).</w:t>
      </w:r>
    </w:p>
    <w:p w:rsidR="00A31137" w:rsidRPr="00A31137" w:rsidRDefault="00A31137" w:rsidP="00A31137">
      <w:r w:rsidRPr="00A31137">
        <w:t>1995, United States v. Lopez, No. 93-1260</w:t>
      </w:r>
    </w:p>
    <w:p w:rsidR="00A31137" w:rsidRPr="00A31137" w:rsidRDefault="00A31137" w:rsidP="00A31137">
      <w:r w:rsidRPr="00A31137">
        <w:t>Berryman, The Economy, Literacy Requirements, and At-Risk Adults, in Literacy and the Marketplace: Improving the Literacy of Low-Income Single Mothers 22 (June 1989).</w:t>
      </w:r>
    </w:p>
    <w:p w:rsidR="00A31137" w:rsidRPr="00A31137" w:rsidRDefault="00A31137" w:rsidP="00A31137">
      <w:r w:rsidRPr="00A31137">
        <w:t>1995, United States v. Lopez, No. 93-1260</w:t>
      </w:r>
    </w:p>
    <w:p w:rsidR="00A31137" w:rsidRPr="00A31137" w:rsidRDefault="00A31137" w:rsidP="00A31137">
      <w:r w:rsidRPr="00A31137">
        <w:t>Bishop, Is the Test Score Decline Responsible for the Productivity Growth Decline, 79 Am. Econ. Rev. 178 (Mar. 1989).</w:t>
      </w:r>
    </w:p>
    <w:p w:rsidR="00A31137" w:rsidRPr="00A31137" w:rsidRDefault="00A31137" w:rsidP="00A31137">
      <w:r w:rsidRPr="00A31137">
        <w:t>1995, United States v. Lopez, No. 93-1260</w:t>
      </w:r>
    </w:p>
    <w:p w:rsidR="00A31137" w:rsidRPr="00A31137" w:rsidRDefault="00A31137" w:rsidP="00A31137">
      <w:r w:rsidRPr="00A31137">
        <w:t>Bishop, High School Performance and Employee Recruitment, 13 J. Labor Research 41 (1992).</w:t>
      </w:r>
    </w:p>
    <w:p w:rsidR="00A31137" w:rsidRPr="00A31137" w:rsidRDefault="00A31137" w:rsidP="00A31137">
      <w:r w:rsidRPr="00A31137">
        <w:t>1995, United States v. Lopez, No. 93-1260</w:t>
      </w:r>
    </w:p>
    <w:p w:rsidR="00A31137" w:rsidRPr="00A31137" w:rsidRDefault="00A31137" w:rsidP="00A31137">
      <w:r w:rsidRPr="00A31137">
        <w:t>Blackburn, What Can Explain the Increase in Earnings Inequality Among Males?, 29 Industrial Relations 441 (1990).</w:t>
      </w:r>
    </w:p>
    <w:p w:rsidR="00A31137" w:rsidRPr="00A31137" w:rsidRDefault="00A31137" w:rsidP="00A31137">
      <w:r w:rsidRPr="00A31137">
        <w:t>1995, United States v. Lopez, No. 93-1260</w:t>
      </w:r>
    </w:p>
    <w:p w:rsidR="00A31137" w:rsidRPr="00A31137" w:rsidRDefault="00A31137" w:rsidP="00A31137">
      <w:r w:rsidRPr="00A31137">
        <w:t>Boissiere, Knight &amp; Sabot, Earnings, Schooling, Ability and Cognitive Skills, 75 Am. Econ. Rev. 1016 (1985).</w:t>
      </w:r>
    </w:p>
    <w:p w:rsidR="00A31137" w:rsidRPr="00A31137" w:rsidRDefault="00A31137" w:rsidP="00A31137">
      <w:r w:rsidRPr="00A31137">
        <w:t>1995, United States v. Lopez, No. 93-1260</w:t>
      </w:r>
    </w:p>
    <w:p w:rsidR="00A31137" w:rsidRPr="00A31137" w:rsidRDefault="00A31137" w:rsidP="00A31137">
      <w:r w:rsidRPr="00A31137">
        <w:t>A. Bolino, A Century of Human Capital by Education and Training (1989) (Bolino).</w:t>
      </w:r>
    </w:p>
    <w:p w:rsidR="00A31137" w:rsidRPr="00A31137" w:rsidRDefault="00A31137" w:rsidP="00A31137">
      <w:r w:rsidRPr="00A31137">
        <w:t>1995, United States v. Lopez, No. 93-1260</w:t>
      </w:r>
    </w:p>
    <w:p w:rsidR="00A31137" w:rsidRPr="00A31137" w:rsidRDefault="00A31137" w:rsidP="00A31137">
      <w:r w:rsidRPr="00A31137">
        <w:t>Boyle, Expansion Management's Education Quotient, Economic Development Rev., Winter 1992, pp. 23-25 (Boyle).</w:t>
      </w:r>
    </w:p>
    <w:p w:rsidR="00A31137" w:rsidRPr="00A31137" w:rsidRDefault="00A31137" w:rsidP="00A31137">
      <w:r w:rsidRPr="00A31137">
        <w:t>1995, United States v. Lopez, No. 93-1260</w:t>
      </w:r>
    </w:p>
    <w:p w:rsidR="00A31137" w:rsidRPr="00A31137" w:rsidRDefault="00A31137" w:rsidP="00A31137">
      <w:r w:rsidRPr="00A31137">
        <w:t>Brandel, Wake Up Get Smart, New England Business, May 1991, p. 46.</w:t>
      </w:r>
    </w:p>
    <w:p w:rsidR="00A31137" w:rsidRPr="00A31137" w:rsidRDefault="00A31137" w:rsidP="00A31137">
      <w:r w:rsidRPr="00A31137">
        <w:t>1995, United States v. Lopez, No. 93-1260</w:t>
      </w:r>
    </w:p>
    <w:p w:rsidR="00A31137" w:rsidRPr="00A31137" w:rsidRDefault="00A31137" w:rsidP="00A31137">
      <w:r w:rsidRPr="00A31137">
        <w:t xml:space="preserve"> Callahan &amp; Rivara, Urban High School Youth and Handguns: A School-Based Survey, 267 JAMA 3038 (1992).</w:t>
      </w:r>
    </w:p>
    <w:p w:rsidR="00A31137" w:rsidRPr="00A31137" w:rsidRDefault="00A31137" w:rsidP="00A31137">
      <w:r w:rsidRPr="00A31137">
        <w:t>1995, United States v. Lopez, No. 93-1260</w:t>
      </w:r>
    </w:p>
    <w:p w:rsidR="00A31137" w:rsidRPr="00A31137" w:rsidRDefault="00A31137" w:rsidP="00A31137">
      <w:r w:rsidRPr="00A31137">
        <w:t>Card &amp; Krueger, Does School Quality Matter? Returns to Education and the Characteristics of Public Schools in the United States, 100 J. Pol. Econ. 1 (1992).</w:t>
      </w:r>
    </w:p>
    <w:p w:rsidR="00A31137" w:rsidRPr="00A31137" w:rsidRDefault="00A31137" w:rsidP="00A31137">
      <w:r w:rsidRPr="00A31137">
        <w:t>1995, United States v. Lopez, No. 93-1260</w:t>
      </w:r>
    </w:p>
    <w:p w:rsidR="00A31137" w:rsidRPr="00A31137" w:rsidRDefault="00A31137" w:rsidP="00A31137">
      <w:r w:rsidRPr="00A31137">
        <w:t>A. Carnevale, America and the New Economy: How New Competitive Standards are Radically Changing American Workplaces (1991).</w:t>
      </w:r>
    </w:p>
    <w:p w:rsidR="00A31137" w:rsidRPr="00A31137" w:rsidRDefault="00A31137" w:rsidP="00A31137">
      <w:r w:rsidRPr="00A31137">
        <w:t>1995, United States v. Lopez, No. 93-1260</w:t>
      </w:r>
    </w:p>
    <w:p w:rsidR="00A31137" w:rsidRPr="00A31137" w:rsidRDefault="00A31137" w:rsidP="00A31137">
      <w:r w:rsidRPr="00A31137">
        <w:t>A. Carnevale and J. Porro, Quality Education: School Reform for the New American Economy 31-32 (1994).</w:t>
      </w:r>
    </w:p>
    <w:p w:rsidR="00A31137" w:rsidRPr="00A31137" w:rsidRDefault="00A31137" w:rsidP="00A31137">
      <w:r w:rsidRPr="00A31137">
        <w:t>1995, United States v. Lopez, No. 93-1260</w:t>
      </w:r>
    </w:p>
    <w:p w:rsidR="00A31137" w:rsidRPr="00A31137" w:rsidRDefault="00A31137" w:rsidP="00A31137">
      <w:r w:rsidRPr="00A31137">
        <w:t>Center to Prevent Handgun Violence, Caught in the Crossfire: A Report on Gun Violence in our Nation's Schools (Sept. 1990).</w:t>
      </w:r>
    </w:p>
    <w:p w:rsidR="00A31137" w:rsidRPr="00A31137" w:rsidRDefault="00A31137" w:rsidP="00A31137">
      <w:r w:rsidRPr="00A31137">
        <w:t>1995, United States v. Lopez, No. 93-1260</w:t>
      </w:r>
    </w:p>
    <w:p w:rsidR="00A31137" w:rsidRPr="00A31137" w:rsidRDefault="00A31137" w:rsidP="00A31137">
      <w:r w:rsidRPr="00A31137">
        <w:t>Centers For Disease Control, Leads from the Morbidity and Mortality Weekly Report, 266 JAMA 2342 (1991) (Centers for Disease Control).</w:t>
      </w:r>
    </w:p>
    <w:p w:rsidR="00A31137" w:rsidRPr="00A31137" w:rsidRDefault="00A31137" w:rsidP="00A31137">
      <w:r w:rsidRPr="00A31137">
        <w:t>1995, United States v. Lopez, No. 93-1260</w:t>
      </w:r>
    </w:p>
    <w:p w:rsidR="00A31137" w:rsidRPr="00A31137" w:rsidRDefault="00A31137" w:rsidP="00A31137">
      <w:r w:rsidRPr="00A31137">
        <w:t>Chubb &amp; Hanushek, Reforming Educational Reform, in Setting National Priorities 213 (H. Aaron ed. 1990) (Chubb &amp; Hanushek).</w:t>
      </w:r>
    </w:p>
    <w:p w:rsidR="00A31137" w:rsidRPr="00A31137" w:rsidRDefault="00A31137" w:rsidP="00A31137">
      <w:r w:rsidRPr="00A31137">
        <w:t>1995, United States v. Lopez, No. 93-1260</w:t>
      </w:r>
    </w:p>
    <w:p w:rsidR="00A31137" w:rsidRPr="00A31137" w:rsidRDefault="00A31137" w:rsidP="00A31137">
      <w:r w:rsidRPr="00A31137">
        <w:t>J. Chubb &amp; T. Moe, Politics, Markets, and America's Schools (1990) (Chubb &amp; Moe).</w:t>
      </w:r>
    </w:p>
    <w:p w:rsidR="00A31137" w:rsidRPr="00A31137" w:rsidRDefault="00A31137" w:rsidP="00A31137">
      <w:r w:rsidRPr="00A31137">
        <w:t>1995, United States v. Lopez, No. 93-1260</w:t>
      </w:r>
    </w:p>
    <w:p w:rsidR="00A31137" w:rsidRPr="00A31137" w:rsidRDefault="00A31137" w:rsidP="00A31137">
      <w:r w:rsidRPr="00A31137">
        <w:t>Coffee, Survey: Worker Skills, Training More Important in Site Selection, Site Selection, April 1993, p. 296 (Coffee).</w:t>
      </w:r>
    </w:p>
    <w:p w:rsidR="00A31137" w:rsidRPr="00A31137" w:rsidRDefault="00A31137" w:rsidP="00A31137">
      <w:r w:rsidRPr="00A31137">
        <w:t>1995, United States v. Lopez, No. 93-1260</w:t>
      </w:r>
    </w:p>
    <w:p w:rsidR="00A31137" w:rsidRPr="00A31137" w:rsidRDefault="00A31137" w:rsidP="00A31137">
      <w:r w:rsidRPr="00A31137">
        <w:t>E. Cohn, Economics of Education (1979).</w:t>
      </w:r>
    </w:p>
    <w:p w:rsidR="00A31137" w:rsidRPr="00A31137" w:rsidRDefault="00A31137" w:rsidP="00A31137">
      <w:r w:rsidRPr="00A31137">
        <w:t>1995, United States v. Lopez, No. 93-1260</w:t>
      </w:r>
    </w:p>
    <w:p w:rsidR="00A31137" w:rsidRPr="00A31137" w:rsidRDefault="00A31137" w:rsidP="00A31137">
      <w:r w:rsidRPr="00A31137">
        <w:t>Council on Competitiveness, Competitiveness Index 5 (July 1994).</w:t>
      </w:r>
    </w:p>
    <w:p w:rsidR="00A31137" w:rsidRPr="00A31137" w:rsidRDefault="00A31137" w:rsidP="00A31137">
      <w:r w:rsidRPr="00A31137">
        <w:t>1995, United States v. Lopez, No. 93-1260</w:t>
      </w:r>
    </w:p>
    <w:p w:rsidR="00A31137" w:rsidRPr="00A31137" w:rsidRDefault="00A31137" w:rsidP="00A31137">
      <w:r w:rsidRPr="00A31137">
        <w:t>Council on Competitiveness, Elevating the Skills of the American Workforce (May 1993).</w:t>
      </w:r>
    </w:p>
    <w:p w:rsidR="00A31137" w:rsidRPr="00A31137" w:rsidRDefault="00A31137" w:rsidP="00A31137">
      <w:r w:rsidRPr="00A31137">
        <w:t>1995, United States v. Lopez, No. 93-1260</w:t>
      </w:r>
    </w:p>
    <w:p w:rsidR="00A31137" w:rsidRPr="00A31137" w:rsidRDefault="00A31137" w:rsidP="00A31137">
      <w:r w:rsidRPr="00A31137">
        <w:t>Council on Competitiveness, Governing America: A Competitiveness Policy Agenda for The New Administration 33-39 (1989).</w:t>
      </w:r>
    </w:p>
    <w:p w:rsidR="00A31137" w:rsidRPr="00A31137" w:rsidRDefault="00A31137" w:rsidP="00A31137">
      <w:r w:rsidRPr="00A31137">
        <w:t>1995, United States v. Lopez, No. 93-1260</w:t>
      </w:r>
    </w:p>
    <w:p w:rsidR="00A31137" w:rsidRPr="00A31137" w:rsidRDefault="00A31137" w:rsidP="00A31137">
      <w:r w:rsidRPr="00A31137">
        <w:t>R. Cyert &amp; D. Mowery, Technology and Employment: Innovation and Growth in the U.S. Economy (1987) (Cyert &amp; Mowery).</w:t>
      </w:r>
    </w:p>
    <w:p w:rsidR="00A31137" w:rsidRPr="00A31137" w:rsidRDefault="00A31137" w:rsidP="00A31137">
      <w:r w:rsidRPr="00A31137">
        <w:t>1995, United States v. Lopez, No. 93-1260</w:t>
      </w:r>
    </w:p>
    <w:p w:rsidR="00A31137" w:rsidRPr="00A31137" w:rsidRDefault="00A31137" w:rsidP="00A31137">
      <w:r w:rsidRPr="00A31137">
        <w:t>J. Cynoweth, Enhancing Literacy for Jobs and Productivity: Council of State Policy and Planning Agencies Report (1994).</w:t>
      </w:r>
    </w:p>
    <w:p w:rsidR="00A31137" w:rsidRPr="00A31137" w:rsidRDefault="00A31137" w:rsidP="00A31137">
      <w:r w:rsidRPr="00A31137">
        <w:t>1995, United States v. Lopez, No. 93-1260</w:t>
      </w:r>
    </w:p>
    <w:p w:rsidR="00A31137" w:rsidRPr="00A31137" w:rsidRDefault="00A31137" w:rsidP="00A31137">
      <w:r w:rsidRPr="00A31137">
        <w:t>J. Davis &amp; J. Morrall, Evaluating Educational Investment (1974) (Davis &amp; Morrall).</w:t>
      </w:r>
    </w:p>
    <w:p w:rsidR="00A31137" w:rsidRPr="00A31137" w:rsidRDefault="00A31137" w:rsidP="00A31137">
      <w:r w:rsidRPr="00A31137">
        <w:t>1995, United States v. Lopez, No. 93-1260</w:t>
      </w:r>
    </w:p>
    <w:p w:rsidR="00A31137" w:rsidRPr="00A31137" w:rsidRDefault="00A31137" w:rsidP="00A31137">
      <w:r w:rsidRPr="00A31137">
        <w:t>Denison, Education and Growth, in Economics and Education 237 (D. Rogers &amp; H. Ruchlin eds. 1971) (Denison).</w:t>
      </w:r>
    </w:p>
    <w:p w:rsidR="00A31137" w:rsidRPr="00A31137" w:rsidRDefault="00A31137" w:rsidP="00A31137">
      <w:r w:rsidRPr="00A31137">
        <w:t>1995, United States v. Lopez, No. 93-1260</w:t>
      </w:r>
    </w:p>
    <w:p w:rsidR="00A31137" w:rsidRPr="00A31137" w:rsidRDefault="00A31137" w:rsidP="00A31137">
      <w:r w:rsidRPr="00A31137">
        <w:t>M. Dertouzos, R. Lester, &amp; R. Solow, MIT Commission on Industrial Productivity, Made In America: Regaining the Productive Edge (1989).</w:t>
      </w:r>
    </w:p>
    <w:p w:rsidR="00A31137" w:rsidRPr="00A31137" w:rsidRDefault="00A31137" w:rsidP="00A31137">
      <w:r w:rsidRPr="00A31137">
        <w:t>1995, United States v. Lopez, No. 93-1260</w:t>
      </w:r>
    </w:p>
    <w:p w:rsidR="00A31137" w:rsidRPr="00A31137" w:rsidRDefault="00A31137" w:rsidP="00A31137">
      <w:r w:rsidRPr="00A31137">
        <w:t>A. DeYoung, Economics and American Education: A Historical and Critical Overview of the Impact of Economic Theories on Schooling in the United States (1989).</w:t>
      </w:r>
    </w:p>
    <w:p w:rsidR="00A31137" w:rsidRPr="00A31137" w:rsidRDefault="00A31137" w:rsidP="00A31137">
      <w:r w:rsidRPr="00A31137">
        <w:t>1995, United States v. Lopez, No. 93-1260</w:t>
      </w:r>
    </w:p>
    <w:p w:rsidR="00A31137" w:rsidRPr="00A31137" w:rsidRDefault="00A31137" w:rsidP="00A31137">
      <w:r w:rsidRPr="00A31137">
        <w:t>Downs, America's Educational Failures Will Hurt Real Estate, National Real Estate Investor, Aug. 1988, p. 34.</w:t>
      </w:r>
    </w:p>
    <w:p w:rsidR="00A31137" w:rsidRPr="00A31137" w:rsidRDefault="00A31137" w:rsidP="00A31137">
      <w:r w:rsidRPr="00A31137">
        <w:t>1995, United States v. Lopez, No. 93-1260</w:t>
      </w:r>
    </w:p>
    <w:p w:rsidR="00A31137" w:rsidRPr="00A31137" w:rsidRDefault="00A31137" w:rsidP="00A31137">
      <w:r w:rsidRPr="00A31137">
        <w:t xml:space="preserve"> Doyle, The Role of Private Sector Management in Public Education, 76 Phi Delta Kappan 128 (1994).</w:t>
      </w:r>
    </w:p>
    <w:p w:rsidR="00A31137" w:rsidRPr="00A31137" w:rsidRDefault="00A31137" w:rsidP="00A31137">
      <w:r w:rsidRPr="00A31137">
        <w:t>1995, United States v. Lopez, No. 93-1260</w:t>
      </w:r>
    </w:p>
    <w:p w:rsidR="00A31137" w:rsidRPr="00A31137" w:rsidRDefault="00A31137" w:rsidP="00A31137">
      <w:r w:rsidRPr="00A31137">
        <w:t>Education and Economic Development (C. Anderson &amp; M. Bowman eds. 1965).</w:t>
      </w:r>
    </w:p>
    <w:p w:rsidR="00A31137" w:rsidRPr="00A31137" w:rsidRDefault="00A31137" w:rsidP="00A31137">
      <w:r w:rsidRPr="00A31137">
        <w:t>1995, United States v. Lopez, No. 93-1260</w:t>
      </w:r>
    </w:p>
    <w:p w:rsidR="00A31137" w:rsidRPr="00A31137" w:rsidRDefault="00A31137" w:rsidP="00A31137">
      <w:r w:rsidRPr="00A31137">
        <w:t>Education Commission of the States, Task Force on Education for Economic Growth, Action for Excellence (June 1983).</w:t>
      </w:r>
    </w:p>
    <w:p w:rsidR="00A31137" w:rsidRPr="00A31137" w:rsidRDefault="00A31137" w:rsidP="00A31137">
      <w:r w:rsidRPr="00A31137">
        <w:t>1995, United States v. Lopez, No. 93-1260</w:t>
      </w:r>
    </w:p>
    <w:p w:rsidR="00A31137" w:rsidRPr="00A31137" w:rsidRDefault="00A31137" w:rsidP="00A31137">
      <w:r w:rsidRPr="00A31137">
        <w:t>Educational Testing Service, Developing the Skills and Knowledge of the Workforce (1993).</w:t>
      </w:r>
    </w:p>
    <w:p w:rsidR="00A31137" w:rsidRPr="00A31137" w:rsidRDefault="00A31137" w:rsidP="00A31137">
      <w:r w:rsidRPr="00A31137">
        <w:t>1995, United States v. Lopez, No. 93-1260</w:t>
      </w:r>
    </w:p>
    <w:p w:rsidR="00A31137" w:rsidRPr="00A31137" w:rsidRDefault="00A31137" w:rsidP="00A31137">
      <w:r w:rsidRPr="00A31137">
        <w:t>Finding What Really Works in Education, Chief Executive, May 1994, p. 48.</w:t>
      </w:r>
    </w:p>
    <w:p w:rsidR="00A31137" w:rsidRPr="00A31137" w:rsidRDefault="00A31137" w:rsidP="00A31137">
      <w:r w:rsidRPr="00A31137">
        <w:t>1995, United States v. Lopez, No. 93-1260</w:t>
      </w:r>
    </w:p>
    <w:p w:rsidR="00A31137" w:rsidRPr="00A31137" w:rsidRDefault="00A31137" w:rsidP="00A31137">
      <w:r w:rsidRPr="00A31137">
        <w:t>Ganderton &amp; Griffin, Impact of Child Quality on Earnings: The Productivity of Schooling Hypothesis, 11 Contemporary Policy Issues 39 (July 1993).</w:t>
      </w:r>
    </w:p>
    <w:p w:rsidR="00A31137" w:rsidRPr="00A31137" w:rsidRDefault="00A31137" w:rsidP="00A31137">
      <w:r w:rsidRPr="00A31137">
        <w:t>1995, United States v. Lopez, No. 93-1260</w:t>
      </w:r>
    </w:p>
    <w:p w:rsidR="00A31137" w:rsidRPr="00A31137" w:rsidRDefault="00A31137" w:rsidP="00A31137">
      <w:r w:rsidRPr="00A31137">
        <w:t>Garver, "Success Story!": The Evolution of Economic Development in Broward County, Florida, 11 Economic Development Review 85 (Summer 1993).</w:t>
      </w:r>
    </w:p>
    <w:p w:rsidR="00A31137" w:rsidRPr="00A31137" w:rsidRDefault="00A31137" w:rsidP="00A31137">
      <w:r w:rsidRPr="00A31137">
        <w:t>1995, United States v. Lopez, No. 93-1260</w:t>
      </w:r>
    </w:p>
    <w:p w:rsidR="00A31137" w:rsidRPr="00A31137" w:rsidRDefault="00A31137" w:rsidP="00A31137">
      <w:r w:rsidRPr="00A31137">
        <w:t>Gibbs, Schools for Profit, Time, Oct. 17, 1994, p. 48 (Gibbs).</w:t>
      </w:r>
    </w:p>
    <w:p w:rsidR="00A31137" w:rsidRPr="00A31137" w:rsidRDefault="00A31137" w:rsidP="00A31137">
      <w:r w:rsidRPr="00A31137">
        <w:t>1995, United States v. Lopez, No. 93-1260</w:t>
      </w:r>
    </w:p>
    <w:p w:rsidR="00A31137" w:rsidRPr="00A31137" w:rsidRDefault="00A31137" w:rsidP="00A31137">
      <w:r w:rsidRPr="00A31137">
        <w:t>Gintis, Education, Technology, and the Characteristics of Worker Productivity, 61 Am. Econ. Rev. 266 (1971).</w:t>
      </w:r>
    </w:p>
    <w:p w:rsidR="00A31137" w:rsidRPr="00A31137" w:rsidRDefault="00A31137" w:rsidP="00A31137">
      <w:r w:rsidRPr="00A31137">
        <w:t>1995, United States v. Lopez, No. 93-1260</w:t>
      </w:r>
    </w:p>
    <w:p w:rsidR="00A31137" w:rsidRPr="00A31137" w:rsidRDefault="00A31137" w:rsidP="00A31137">
      <w:r w:rsidRPr="00A31137">
        <w:t>Glazer, A Human Capital Policy for the Cities, Public Interest, Summer 1993, p. 27.</w:t>
      </w:r>
    </w:p>
    <w:p w:rsidR="00A31137" w:rsidRPr="00A31137" w:rsidRDefault="00A31137" w:rsidP="00A31137">
      <w:r w:rsidRPr="00A31137">
        <w:t>1995, United States v. Lopez, No. 93-1260</w:t>
      </w:r>
    </w:p>
    <w:p w:rsidR="00A31137" w:rsidRPr="00A31137" w:rsidRDefault="00A31137" w:rsidP="00A31137">
      <w:r w:rsidRPr="00A31137">
        <w:t>Glazer, Violence in Schools: Can Anything be Done to Curb the Growing Violence?, CQ Researcher, Sept. 11, 1992, pp. 785-808.</w:t>
      </w:r>
    </w:p>
    <w:p w:rsidR="00A31137" w:rsidRPr="00A31137" w:rsidRDefault="00A31137" w:rsidP="00A31137">
      <w:r w:rsidRPr="00A31137">
        <w:t>1995, United States v. Lopez, No. 93-1260</w:t>
      </w:r>
    </w:p>
    <w:p w:rsidR="00A31137" w:rsidRPr="00A31137" w:rsidRDefault="00A31137" w:rsidP="00A31137">
      <w:r w:rsidRPr="00A31137">
        <w:t>E. Gordon, J. Ponticell &amp; R. Morgan, Closing the Literacy Gap in American Business 23 (1991) (Gordon, Ponticell, &amp; Morgan).</w:t>
      </w:r>
    </w:p>
    <w:p w:rsidR="00A31137" w:rsidRPr="00A31137" w:rsidRDefault="00A31137" w:rsidP="00A31137">
      <w:r w:rsidRPr="00A31137">
        <w:t>1995, United States v. Lopez, No. 93-1260</w:t>
      </w:r>
    </w:p>
    <w:p w:rsidR="00A31137" w:rsidRPr="00A31137" w:rsidRDefault="00A31137" w:rsidP="00A31137">
      <w:r w:rsidRPr="00A31137">
        <w:t>E. Hanushek, Making Schools Work: Improving Performance and Controlling Costs (1994) (Hanushek).</w:t>
      </w:r>
    </w:p>
    <w:p w:rsidR="00A31137" w:rsidRPr="00A31137" w:rsidRDefault="00A31137" w:rsidP="00A31137">
      <w:r w:rsidRPr="00A31137">
        <w:t>1995, United States v. Lopez, No. 93-1260</w:t>
      </w:r>
    </w:p>
    <w:p w:rsidR="00A31137" w:rsidRPr="00A31137" w:rsidRDefault="00A31137" w:rsidP="00A31137">
      <w:r w:rsidRPr="00A31137">
        <w:t>Henkoff, Where Will the Jobs Come From?, Fortune, Oct. 19, 1992, p. 58 (Henkoff).</w:t>
      </w:r>
    </w:p>
    <w:p w:rsidR="00A31137" w:rsidRPr="00A31137" w:rsidRDefault="00A31137" w:rsidP="00A31137">
      <w:r w:rsidRPr="00A31137">
        <w:t>1995, United States v. Lopez, No. 93-1260</w:t>
      </w:r>
    </w:p>
    <w:p w:rsidR="00A31137" w:rsidRPr="00A31137" w:rsidRDefault="00A31137" w:rsidP="00A31137">
      <w:r w:rsidRPr="00A31137">
        <w:t>Herbert, Reading, Writing, Reloading, N. Y. Times, Dec. 14, 1994, p. A23, col. 1.</w:t>
      </w:r>
    </w:p>
    <w:p w:rsidR="00A31137" w:rsidRPr="00A31137" w:rsidRDefault="00A31137" w:rsidP="00A31137">
      <w:r w:rsidRPr="00A31137">
        <w:t>1995, United States v. Lopez, No. 93-1260</w:t>
      </w:r>
    </w:p>
    <w:p w:rsidR="00A31137" w:rsidRPr="00A31137" w:rsidRDefault="00A31137" w:rsidP="00A31137">
      <w:r w:rsidRPr="00A31137">
        <w:t>Industry's New Schoolhouse, N. Y. Times, Jan. 9, 1994, section 4A, p. 22, col. 3, Education Life Supp.</w:t>
      </w:r>
    </w:p>
    <w:p w:rsidR="00A31137" w:rsidRPr="00A31137" w:rsidRDefault="00A31137" w:rsidP="00A31137">
      <w:r w:rsidRPr="00A31137">
        <w:t>1995, United States v. Lopez, No. 93-1260</w:t>
      </w:r>
    </w:p>
    <w:p w:rsidR="00A31137" w:rsidRPr="00A31137" w:rsidRDefault="00A31137" w:rsidP="00A31137">
      <w:r w:rsidRPr="00A31137">
        <w:t>Introducing the EQ (Education Quotient), Expansion Management, Sept/Oct. 1991, pp. 18-24.</w:t>
      </w:r>
    </w:p>
    <w:p w:rsidR="00A31137" w:rsidRPr="00A31137" w:rsidRDefault="00A31137" w:rsidP="00A31137">
      <w:r w:rsidRPr="00A31137">
        <w:t>1995, United States v. Lopez, No. 93-1260</w:t>
      </w:r>
    </w:p>
    <w:p w:rsidR="00A31137" w:rsidRPr="00A31137" w:rsidRDefault="00A31137" w:rsidP="00A31137">
      <w:r w:rsidRPr="00A31137">
        <w:t>Investment in Education: The Equity-Efficiency Quandary (T. Schultz ed. 1972).</w:t>
      </w:r>
    </w:p>
    <w:p w:rsidR="00A31137" w:rsidRPr="00A31137" w:rsidRDefault="00A31137" w:rsidP="00A31137">
      <w:r w:rsidRPr="00A31137">
        <w:t>1995, United States v. Lopez, No. 93-1260</w:t>
      </w:r>
    </w:p>
    <w:p w:rsidR="00A31137" w:rsidRPr="00A31137" w:rsidRDefault="00A31137" w:rsidP="00A31137">
      <w:r w:rsidRPr="00A31137">
        <w:t>Itzkoff, America's Unspoken Economic Dilemma: Falling Intelligence Levels, 18 J. Social, Pol. &amp; Econ. Studies 311 (1993).</w:t>
      </w:r>
    </w:p>
    <w:p w:rsidR="00A31137" w:rsidRPr="00A31137" w:rsidRDefault="00A31137" w:rsidP="00A31137">
      <w:r w:rsidRPr="00A31137">
        <w:t>1995, United States v. Lopez, No. 93-1260</w:t>
      </w:r>
    </w:p>
    <w:p w:rsidR="00A31137" w:rsidRPr="00A31137" w:rsidRDefault="00A31137" w:rsidP="00A31137">
      <w:r w:rsidRPr="00A31137">
        <w:t>Johnson, The Private Sector Should Help U.S. Schools, Financier, Sept. 1991, p. 34.</w:t>
      </w:r>
    </w:p>
    <w:p w:rsidR="00A31137" w:rsidRPr="00A31137" w:rsidRDefault="00A31137" w:rsidP="00A31137">
      <w:r w:rsidRPr="00A31137">
        <w:t>1995, United States v. Lopez, No. 93-1260</w:t>
      </w:r>
    </w:p>
    <w:p w:rsidR="00A31137" w:rsidRPr="00A31137" w:rsidRDefault="00A31137" w:rsidP="00A31137">
      <w:r w:rsidRPr="00A31137">
        <w:t>Johnson &amp; Stafford, Social Returns to Quantity and Quality of Schooling, 8 J. Human Resources 139 (1973).</w:t>
      </w:r>
    </w:p>
    <w:p w:rsidR="00A31137" w:rsidRPr="00A31137" w:rsidRDefault="00A31137" w:rsidP="00A31137">
      <w:r w:rsidRPr="00A31137">
        <w:t>1995, United States v. Lopez, No. 93-1260</w:t>
      </w:r>
    </w:p>
    <w:p w:rsidR="00A31137" w:rsidRPr="00A31137" w:rsidRDefault="00A31137" w:rsidP="00A31137">
      <w:r w:rsidRPr="00A31137">
        <w:t>W. Johnston &amp; A. Packer, Workforce 2000: Work and Workers for the Twenty-first Century (1987).</w:t>
      </w:r>
    </w:p>
    <w:p w:rsidR="00A31137" w:rsidRPr="00A31137" w:rsidRDefault="00A31137" w:rsidP="00A31137">
      <w:r w:rsidRPr="00A31137">
        <w:t>1995, United States v. Lopez, No. 93-1260</w:t>
      </w:r>
    </w:p>
    <w:p w:rsidR="00A31137" w:rsidRPr="00A31137" w:rsidRDefault="00A31137" w:rsidP="00A31137">
      <w:r w:rsidRPr="00A31137">
        <w:t>Jorgenson, The Contribution of Education to U.S. Economic Growth, 1948-73, in Education and Economic Productivity 95 (E. Dean ed. 1984).</w:t>
      </w:r>
    </w:p>
    <w:p w:rsidR="00A31137" w:rsidRPr="00A31137" w:rsidRDefault="00A31137" w:rsidP="00A31137">
      <w:r w:rsidRPr="00A31137">
        <w:t>1995, United States v. Lopez, No. 93-1260</w:t>
      </w:r>
    </w:p>
    <w:p w:rsidR="00A31137" w:rsidRPr="00A31137" w:rsidRDefault="00A31137" w:rsidP="00A31137">
      <w:r w:rsidRPr="00A31137">
        <w:t>Kirkland, Are Service Jobs Good Jobs?, Fortune, June 10, 1985, p. 38.</w:t>
      </w:r>
    </w:p>
    <w:p w:rsidR="00A31137" w:rsidRPr="00A31137" w:rsidRDefault="00A31137" w:rsidP="00A31137">
      <w:r w:rsidRPr="00A31137">
        <w:t>1995, United States v. Lopez, No. 93-1260</w:t>
      </w:r>
    </w:p>
    <w:p w:rsidR="00A31137" w:rsidRPr="00A31137" w:rsidRDefault="00A31137" w:rsidP="00A31137">
      <w:r w:rsidRPr="00A31137">
        <w:t>J. Kozol, Illiterate America 13 (1985).</w:t>
      </w:r>
    </w:p>
    <w:p w:rsidR="00A31137" w:rsidRPr="00A31137" w:rsidRDefault="00A31137" w:rsidP="00A31137">
      <w:r w:rsidRPr="00A31137">
        <w:t>1995, United States v. Lopez, No. 93-1260</w:t>
      </w:r>
    </w:p>
    <w:p w:rsidR="00A31137" w:rsidRPr="00A31137" w:rsidRDefault="00A31137" w:rsidP="00A31137">
      <w:r w:rsidRPr="00A31137">
        <w:t>J. Kozol, Where Stands the Republic: Illiteracy: A Warning and a Challenge to the Nation's Press 9 (1986).</w:t>
      </w:r>
    </w:p>
    <w:p w:rsidR="00A31137" w:rsidRPr="00A31137" w:rsidRDefault="00A31137" w:rsidP="00A31137">
      <w:r w:rsidRPr="00A31137">
        <w:t>1995, United States v. Lopez, No. 93-1260</w:t>
      </w:r>
    </w:p>
    <w:p w:rsidR="00A31137" w:rsidRPr="00A31137" w:rsidRDefault="00A31137" w:rsidP="00A31137">
      <w:r w:rsidRPr="00A31137">
        <w:t>M. Levin &amp; A. Shank, Educational Investment in an Urban Society: Costs, Benefits, and Public Policy (1970).</w:t>
      </w:r>
    </w:p>
    <w:p w:rsidR="00A31137" w:rsidRPr="00A31137" w:rsidRDefault="00A31137" w:rsidP="00A31137">
      <w:r w:rsidRPr="00A31137">
        <w:t>1995, United States v. Lopez, No. 93-1260</w:t>
      </w:r>
    </w:p>
    <w:p w:rsidR="00A31137" w:rsidRPr="00A31137" w:rsidRDefault="00A31137" w:rsidP="00A31137">
      <w:r w:rsidRPr="00A31137">
        <w:t>Link &amp; Ratledge, Social Returns to Quantity and Quality of Education: A Further Statement, 10 J. Human Resources 78 (1975).</w:t>
      </w:r>
    </w:p>
    <w:p w:rsidR="00A31137" w:rsidRPr="00A31137" w:rsidRDefault="00A31137" w:rsidP="00A31137">
      <w:r w:rsidRPr="00A31137">
        <w:t>1995, United States v. Lopez, No. 93-1260</w:t>
      </w:r>
    </w:p>
    <w:p w:rsidR="00A31137" w:rsidRPr="00A31137" w:rsidRDefault="00A31137" w:rsidP="00A31137">
      <w:r w:rsidRPr="00A31137">
        <w:t>Lyne, The Skills Gap: U.S. Work-Force Woes Complicate Business-Location Equation, Site Selection, Aug. 1992, p. 642.</w:t>
      </w:r>
    </w:p>
    <w:p w:rsidR="00A31137" w:rsidRPr="00A31137" w:rsidRDefault="00A31137" w:rsidP="00A31137">
      <w:r w:rsidRPr="00A31137">
        <w:t>1995, United States v. Lopez, No. 93-1260</w:t>
      </w:r>
    </w:p>
    <w:p w:rsidR="00A31137" w:rsidRPr="00A31137" w:rsidRDefault="00A31137" w:rsidP="00A31137">
      <w:r w:rsidRPr="00A31137">
        <w:t>MacCormack, Newman, &amp; Rosenfield, The New Dynamics of Global Manufacturing Site Location, 35 Sloan Management Review, No. 4, p. 69 (1994) (MacCormack Newman, &amp; Rosenfield).</w:t>
      </w:r>
    </w:p>
    <w:p w:rsidR="00A31137" w:rsidRPr="00A31137" w:rsidRDefault="00A31137" w:rsidP="00A31137">
      <w:r w:rsidRPr="00A31137">
        <w:t>1995, United States v. Lopez, No. 93-1260</w:t>
      </w:r>
    </w:p>
    <w:p w:rsidR="00A31137" w:rsidRPr="00A31137" w:rsidRDefault="00A31137" w:rsidP="00A31137">
      <w:r w:rsidRPr="00A31137">
        <w:t>F. Machlup, Education and Economic Growth (1970).</w:t>
      </w:r>
    </w:p>
    <w:p w:rsidR="00A31137" w:rsidRPr="00A31137" w:rsidRDefault="00A31137" w:rsidP="00A31137">
      <w:r w:rsidRPr="00A31137">
        <w:t>1995, United States v. Lopez, No. 93-1260</w:t>
      </w:r>
    </w:p>
    <w:p w:rsidR="00A31137" w:rsidRPr="00A31137" w:rsidRDefault="00A31137" w:rsidP="00A31137">
      <w:r w:rsidRPr="00A31137">
        <w:t>Markey, The Labor Market Problems of Today's High School Dropouts, Monthly Labor Review, June 1988, p. 36.</w:t>
      </w:r>
    </w:p>
    <w:p w:rsidR="00A31137" w:rsidRPr="00A31137" w:rsidRDefault="00A31137" w:rsidP="00A31137">
      <w:r w:rsidRPr="00A31137">
        <w:t>1995, United States v. Lopez, No. 93-1260</w:t>
      </w:r>
    </w:p>
    <w:p w:rsidR="00A31137" w:rsidRPr="00A31137" w:rsidRDefault="00A31137" w:rsidP="00A31137">
      <w:r w:rsidRPr="00A31137">
        <w:t>Marshall, The Implications of Internationalization for Labor Market Institutions and Industrial Relations Systems, in Rethinking Employment Policy 205 (D. Bawden &amp; F. Skidmore eds. 1989) (Marshall).</w:t>
      </w:r>
    </w:p>
    <w:p w:rsidR="00A31137" w:rsidRPr="00A31137" w:rsidRDefault="00A31137" w:rsidP="00A31137">
      <w:r w:rsidRPr="00A31137">
        <w:t>1995, United States v. Lopez, No. 93-1260</w:t>
      </w:r>
    </w:p>
    <w:p w:rsidR="00A31137" w:rsidRPr="00A31137" w:rsidRDefault="00A31137" w:rsidP="00A31137">
      <w:r w:rsidRPr="00A31137">
        <w:t>R. Marshall &amp; M. Tucker, Thinking for a Living: Work, Skills, and the Future of the American Economy 33 (1992) (Marshall &amp; Tucker).</w:t>
      </w:r>
    </w:p>
    <w:p w:rsidR="00A31137" w:rsidRPr="00A31137" w:rsidRDefault="00A31137" w:rsidP="00A31137">
      <w:r w:rsidRPr="00A31137">
        <w:t>1995, United States v. Lopez, No. 93-1260</w:t>
      </w:r>
    </w:p>
    <w:p w:rsidR="00A31137" w:rsidRPr="00A31137" w:rsidRDefault="00A31137" w:rsidP="00A31137">
      <w:r w:rsidRPr="00A31137">
        <w:t>Maturi, The Workforce Lure: Education/Training Carries More Weight in Siting Decisions, Industry Week, May 16, 1994, pp. 65-68 (Maturi).</w:t>
      </w:r>
    </w:p>
    <w:p w:rsidR="00A31137" w:rsidRPr="00A31137" w:rsidRDefault="00A31137" w:rsidP="00A31137">
      <w:r w:rsidRPr="00A31137">
        <w:t>1995, United States v. Lopez, No. 93-1260</w:t>
      </w:r>
    </w:p>
    <w:p w:rsidR="00A31137" w:rsidRPr="00A31137" w:rsidRDefault="00A31137" w:rsidP="00A31137">
      <w:r w:rsidRPr="00A31137">
        <w:t>M. Maurice, F. Sellier, &amp; J. Silvestre, The Social Foundations of Industrial Power: A Comparison of France and Germany (1986).</w:t>
      </w:r>
    </w:p>
    <w:p w:rsidR="00A31137" w:rsidRPr="00A31137" w:rsidRDefault="00A31137" w:rsidP="00A31137">
      <w:r w:rsidRPr="00A31137">
        <w:t>1995, United States v. Lopez, No. 93-1260</w:t>
      </w:r>
    </w:p>
    <w:p w:rsidR="00A31137" w:rsidRPr="00A31137" w:rsidRDefault="00A31137" w:rsidP="00A31137">
      <w:r w:rsidRPr="00A31137">
        <w:t>Mikulecky, Job Literacy: The Relationship Between School Preparation and Workplace Actuality, 17 Reading and Research Quarterly 400 (1982).</w:t>
      </w:r>
    </w:p>
    <w:p w:rsidR="00A31137" w:rsidRPr="00A31137" w:rsidRDefault="00A31137" w:rsidP="00A31137">
      <w:r w:rsidRPr="00A31137">
        <w:t>1995, United States v. Lopez, No. 93-1260</w:t>
      </w:r>
    </w:p>
    <w:p w:rsidR="00A31137" w:rsidRPr="00A31137" w:rsidRDefault="00A31137" w:rsidP="00A31137">
      <w:r w:rsidRPr="00A31137">
        <w:t>Mikulecky &amp; Ehlinger, The Influence of Metacognitive Aspects of Literacy on Job Performance of Electronics Technicians, 18 J. Reading Behavior 41 (1986).</w:t>
      </w:r>
    </w:p>
    <w:p w:rsidR="00A31137" w:rsidRPr="00A31137" w:rsidRDefault="00A31137" w:rsidP="00A31137">
      <w:r w:rsidRPr="00A31137">
        <w:t>1995, United States v. Lopez, No. 93-1260</w:t>
      </w:r>
    </w:p>
    <w:p w:rsidR="00A31137" w:rsidRPr="00A31137" w:rsidRDefault="00A31137" w:rsidP="00A31137">
      <w:r w:rsidRPr="00A31137">
        <w:t>MIT Commission on Industrial Productivity, Education and Training in the United States: Developing the Human Resources We Need for Technological Advance and Competitiveness, in 2 Working Papers of the MIT Commission on Industrial Productivity (1989) (MIT).</w:t>
      </w:r>
    </w:p>
    <w:p w:rsidR="00A31137" w:rsidRPr="00A31137" w:rsidRDefault="00A31137" w:rsidP="00A31137">
      <w:r w:rsidRPr="00A31137">
        <w:t>1995, United States v. Lopez, No. 93-1260</w:t>
      </w:r>
    </w:p>
    <w:p w:rsidR="00A31137" w:rsidRPr="00A31137" w:rsidRDefault="00A31137" w:rsidP="00A31137">
      <w:r w:rsidRPr="00A31137">
        <w:t>Mitchell, The Impact of International Trade on U.S. Employment, in American Labor in a Changing World Economy 5 (W. Morehouse ed. 1978).</w:t>
      </w:r>
    </w:p>
    <w:p w:rsidR="00A31137" w:rsidRPr="00A31137" w:rsidRDefault="00A31137" w:rsidP="00A31137">
      <w:r w:rsidRPr="00A31137">
        <w:t>1995, United States v. Lopez, No. 93-1260</w:t>
      </w:r>
    </w:p>
    <w:p w:rsidR="00A31137" w:rsidRPr="00A31137" w:rsidRDefault="00A31137" w:rsidP="00A31137">
      <w:r w:rsidRPr="00A31137">
        <w:t>Morgan &amp; Sirageldin, A Note on the Quality Dimension in Education, 76 J. Pol. Econ. 1069 (1968).</w:t>
      </w:r>
    </w:p>
    <w:p w:rsidR="00A31137" w:rsidRPr="00A31137" w:rsidRDefault="00A31137" w:rsidP="00A31137">
      <w:r w:rsidRPr="00A31137">
        <w:t>1995, United States v. Lopez, No. 93-1260</w:t>
      </w:r>
    </w:p>
    <w:p w:rsidR="00A31137" w:rsidRPr="00A31137" w:rsidRDefault="00A31137" w:rsidP="00A31137">
      <w:r w:rsidRPr="00A31137">
        <w:t>National Academy of Education, Economic Dimensions of Education (1979).</w:t>
      </w:r>
    </w:p>
    <w:p w:rsidR="00A31137" w:rsidRPr="00A31137" w:rsidRDefault="00A31137" w:rsidP="00A31137">
      <w:r w:rsidRPr="00A31137">
        <w:t>1995, United States v. Lopez, No. 93-1260</w:t>
      </w:r>
    </w:p>
    <w:p w:rsidR="00A31137" w:rsidRPr="00A31137" w:rsidRDefault="00A31137" w:rsidP="00A31137">
      <w:r w:rsidRPr="00A31137">
        <w:t>National Center on Education and the Economy, America's Choice: High Skills or Low Wages! (1990) (National Center).</w:t>
      </w:r>
    </w:p>
    <w:p w:rsidR="00A31137" w:rsidRPr="00A31137" w:rsidRDefault="00A31137" w:rsidP="00A31137">
      <w:r w:rsidRPr="00A31137">
        <w:t>1995, United States v. Lopez, No. 93-1260</w:t>
      </w:r>
    </w:p>
    <w:p w:rsidR="00A31137" w:rsidRPr="00A31137" w:rsidRDefault="00A31137" w:rsidP="00A31137">
      <w:r w:rsidRPr="00A31137">
        <w:t>National Commission on Excellence in Education, A Nation at Risk 8-9 (Apr. 1983).</w:t>
      </w:r>
    </w:p>
    <w:p w:rsidR="00A31137" w:rsidRPr="00A31137" w:rsidRDefault="00A31137" w:rsidP="00A31137">
      <w:r w:rsidRPr="00A31137">
        <w:t>1995, United States v. Lopez, No. 93-1260</w:t>
      </w:r>
    </w:p>
    <w:p w:rsidR="00A31137" w:rsidRPr="00A31137" w:rsidRDefault="00A31137" w:rsidP="00A31137">
      <w:r w:rsidRPr="00A31137">
        <w:t>National Commission on Jobs and Small Business, Making America Work Again: Jobs, Small Business, and the International Challenge (1987).</w:t>
      </w:r>
    </w:p>
    <w:p w:rsidR="00A31137" w:rsidRPr="00A31137" w:rsidRDefault="00A31137" w:rsidP="00A31137">
      <w:r w:rsidRPr="00A31137">
        <w:t>1995, United States v. Lopez, No. 93-1260</w:t>
      </w:r>
    </w:p>
    <w:p w:rsidR="00A31137" w:rsidRPr="00A31137" w:rsidRDefault="00A31137" w:rsidP="00A31137">
      <w:r w:rsidRPr="00A31137">
        <w:t>National Governor's Association, Making America Work 35-36, 77-96 (1987).</w:t>
      </w:r>
    </w:p>
    <w:p w:rsidR="00A31137" w:rsidRPr="00A31137" w:rsidRDefault="00A31137" w:rsidP="00A31137">
      <w:r w:rsidRPr="00A31137">
        <w:t>1995, United States v. Lopez, No. 93-1260</w:t>
      </w:r>
    </w:p>
    <w:p w:rsidR="00A31137" w:rsidRPr="00A31137" w:rsidRDefault="00A31137" w:rsidP="00A31137">
      <w:r w:rsidRPr="00A31137">
        <w:t>National Institute of Justice, Research in Brief, J. Toby, Violence in Schools 3 (Dec. 1983).</w:t>
      </w:r>
    </w:p>
    <w:p w:rsidR="00A31137" w:rsidRPr="00A31137" w:rsidRDefault="00A31137" w:rsidP="00A31137">
      <w:r w:rsidRPr="00A31137">
        <w:t>1995, United States v. Lopez, No. 93-1260</w:t>
      </w:r>
    </w:p>
    <w:p w:rsidR="00A31137" w:rsidRPr="00A31137" w:rsidRDefault="00A31137" w:rsidP="00A31137">
      <w:r w:rsidRPr="00A31137">
        <w:t>National School Safety Center, Weapons in Schools (May 1989).</w:t>
      </w:r>
    </w:p>
    <w:p w:rsidR="00A31137" w:rsidRPr="00A31137" w:rsidRDefault="00A31137" w:rsidP="00A31137">
      <w:r w:rsidRPr="00A31137">
        <w:t>1995, United States v. Lopez, No. 93-1260</w:t>
      </w:r>
    </w:p>
    <w:p w:rsidR="00A31137" w:rsidRPr="00A31137" w:rsidRDefault="00A31137" w:rsidP="00A31137">
      <w:r w:rsidRPr="00A31137">
        <w:t>Neef &amp; Kask, Manufacturing Productivity and Labor Costs in 14 Economies, Monthly Labor Review, Dec. 1991, p. 24 (Neef &amp; Kask).</w:t>
      </w:r>
    </w:p>
    <w:p w:rsidR="00A31137" w:rsidRPr="00A31137" w:rsidRDefault="00A31137" w:rsidP="00A31137">
      <w:r w:rsidRPr="00A31137">
        <w:t>1995, United States v. Lopez, No. 93-1260</w:t>
      </w:r>
    </w:p>
    <w:p w:rsidR="00A31137" w:rsidRPr="00A31137" w:rsidRDefault="00A31137" w:rsidP="00A31137">
      <w:r w:rsidRPr="00A31137">
        <w:t>Neff, Recharging U.S. Competitiveness: Perhaps We Should Use Germany's Education System as a Benchmark, Industry Week, Jan. 20, 1992, p. 21.</w:t>
      </w:r>
    </w:p>
    <w:p w:rsidR="00A31137" w:rsidRPr="00A31137" w:rsidRDefault="00A31137" w:rsidP="00A31137">
      <w:r w:rsidRPr="00A31137">
        <w:t>1995, United States v. Lopez, No. 93-1260</w:t>
      </w:r>
    </w:p>
    <w:p w:rsidR="00A31137" w:rsidRPr="00A31137" w:rsidRDefault="00A31137" w:rsidP="00A31137">
      <w:r w:rsidRPr="00A31137">
        <w:t>O'Connor, Education's Significance as Quality-Of-Life Location Factor Parallels Nationwide Reformist Movement, Site Selection Handbook, Aug. 1988, p. 846.</w:t>
      </w:r>
    </w:p>
    <w:p w:rsidR="00A31137" w:rsidRPr="00A31137" w:rsidRDefault="00A31137" w:rsidP="00A31137">
      <w:r w:rsidRPr="00A31137">
        <w:t>1995, United States v. Lopez, No. 93-1260</w:t>
      </w:r>
    </w:p>
    <w:p w:rsidR="00A31137" w:rsidRPr="00A31137" w:rsidRDefault="00A31137" w:rsidP="00A31137">
      <w:r w:rsidRPr="00A31137">
        <w:t>M. O'Donoghue, Economic Dimensions in Education (1971).</w:t>
      </w:r>
    </w:p>
    <w:p w:rsidR="00A31137" w:rsidRPr="00A31137" w:rsidRDefault="00A31137" w:rsidP="00A31137">
      <w:r w:rsidRPr="00A31137">
        <w:t>1995, United States v. Lopez, No. 93-1260</w:t>
      </w:r>
    </w:p>
    <w:p w:rsidR="00A31137" w:rsidRPr="00A31137" w:rsidRDefault="00A31137" w:rsidP="00A31137">
      <w:r w:rsidRPr="00A31137">
        <w:t>Organisation for Economic Cooperation and Development, Education and the Economy in a Changing Society (1989).</w:t>
      </w:r>
    </w:p>
    <w:p w:rsidR="00A31137" w:rsidRPr="00A31137" w:rsidRDefault="00A31137" w:rsidP="00A31137">
      <w:r w:rsidRPr="00A31137">
        <w:t>1995, United States v. Lopez, No. 93-1260</w:t>
      </w:r>
    </w:p>
    <w:p w:rsidR="00A31137" w:rsidRPr="00A31137" w:rsidRDefault="00A31137" w:rsidP="00A31137">
      <w:r w:rsidRPr="00A31137">
        <w:t>Overman, Skilled States Lure New Business, HRMagazine, Jan. 1994, pp. 61-62 (Overman).</w:t>
      </w:r>
    </w:p>
    <w:p w:rsidR="00A31137" w:rsidRPr="00A31137" w:rsidRDefault="00A31137" w:rsidP="00A31137">
      <w:r w:rsidRPr="00A31137">
        <w:t>1995, United States v. Lopez, No. 93-1260</w:t>
      </w:r>
    </w:p>
    <w:p w:rsidR="00A31137" w:rsidRPr="00A31137" w:rsidRDefault="00A31137" w:rsidP="00A31137">
      <w:r w:rsidRPr="00A31137">
        <w:t>Packer, Taking Action on the SCANS Report, Educational Leadership, Mar. 1992, p. 27.</w:t>
      </w:r>
    </w:p>
    <w:p w:rsidR="00A31137" w:rsidRPr="00A31137" w:rsidRDefault="00A31137" w:rsidP="00A31137">
      <w:r w:rsidRPr="00A31137">
        <w:t>1995, United States v. Lopez, No. 93-1260</w:t>
      </w:r>
    </w:p>
    <w:p w:rsidR="00A31137" w:rsidRPr="00A31137" w:rsidRDefault="00A31137" w:rsidP="00A31137">
      <w:r w:rsidRPr="00A31137">
        <w:t>R. Perlman, The Economics of Education: Conceptual Problems and Policy Issues (1973).</w:t>
      </w:r>
    </w:p>
    <w:p w:rsidR="00A31137" w:rsidRPr="00A31137" w:rsidRDefault="00A31137" w:rsidP="00A31137">
      <w:r w:rsidRPr="00A31137">
        <w:t>1995, United States v. Lopez, No. 93-1260</w:t>
      </w:r>
    </w:p>
    <w:p w:rsidR="00A31137" w:rsidRPr="00A31137" w:rsidRDefault="00A31137" w:rsidP="00A31137">
      <w:r w:rsidRPr="00A31137">
        <w:t>R. Price, Fighting Violence with 'All the Mushy Stuff,' USA Today, May 9, 1994, p. 9A.</w:t>
      </w:r>
    </w:p>
    <w:p w:rsidR="00A31137" w:rsidRPr="00A31137" w:rsidRDefault="00A31137" w:rsidP="00A31137">
      <w:r w:rsidRPr="00A31137">
        <w:t>1995, United States v. Lopez, No. 93-1260</w:t>
      </w:r>
    </w:p>
    <w:p w:rsidR="00A31137" w:rsidRPr="00A31137" w:rsidRDefault="00A31137" w:rsidP="00A31137">
      <w:r w:rsidRPr="00A31137">
        <w:t>D. Prothrow-Stith, Deadly Consequences (1991).</w:t>
      </w:r>
    </w:p>
    <w:p w:rsidR="00A31137" w:rsidRPr="00A31137" w:rsidRDefault="00A31137" w:rsidP="00A31137">
      <w:r w:rsidRPr="00A31137">
        <w:t>1995, United States v. Lopez, No. 93-1260</w:t>
      </w:r>
    </w:p>
    <w:p w:rsidR="00A31137" w:rsidRPr="00A31137" w:rsidRDefault="00A31137" w:rsidP="00A31137">
      <w:r w:rsidRPr="00A31137">
        <w:t>G. Psacharopoulos, Returns to Education: An International Comparison (1973).</w:t>
      </w:r>
    </w:p>
    <w:p w:rsidR="00A31137" w:rsidRPr="00A31137" w:rsidRDefault="00A31137" w:rsidP="00A31137">
      <w:r w:rsidRPr="00A31137">
        <w:t>1995, United States v. Lopez, No. 93-1260</w:t>
      </w:r>
    </w:p>
    <w:p w:rsidR="00A31137" w:rsidRPr="00A31137" w:rsidRDefault="00A31137" w:rsidP="00A31137">
      <w:r w:rsidRPr="00A31137">
        <w:t>M. Rasell &amp; E. Appelbaum, Investment in Learning: An Assessment of the Economic Return (1992).</w:t>
      </w:r>
    </w:p>
    <w:p w:rsidR="00A31137" w:rsidRPr="00A31137" w:rsidRDefault="00A31137" w:rsidP="00A31137">
      <w:r w:rsidRPr="00A31137">
        <w:t>1995, United States v. Lopez, No. 93-1260</w:t>
      </w:r>
    </w:p>
    <w:p w:rsidR="00A31137" w:rsidRPr="00A31137" w:rsidRDefault="00A31137" w:rsidP="00A31137">
      <w:r w:rsidRPr="00A31137">
        <w:t>Ray &amp; Mickelson, Corporate Leaders, Resistant Youth, and School Reform in Sunbelt City: The Political Economy of Education, 37 Social Problems 178 (1990).</w:t>
      </w:r>
    </w:p>
    <w:p w:rsidR="00A31137" w:rsidRPr="00A31137" w:rsidRDefault="00A31137" w:rsidP="00A31137">
      <w:r w:rsidRPr="00A31137">
        <w:t>1995, United States v. Lopez, No. 93-1260</w:t>
      </w:r>
    </w:p>
    <w:p w:rsidR="00A31137" w:rsidRPr="00A31137" w:rsidRDefault="00A31137" w:rsidP="00A31137">
      <w:r w:rsidRPr="00A31137">
        <w:t>R. Reich, The Work of Nations (1991).</w:t>
      </w:r>
    </w:p>
    <w:p w:rsidR="00A31137" w:rsidRPr="00A31137" w:rsidRDefault="00A31137" w:rsidP="00A31137">
      <w:r w:rsidRPr="00A31137">
        <w:t>1995, United States v. Lopez, No. 93-1260</w:t>
      </w:r>
    </w:p>
    <w:p w:rsidR="00A31137" w:rsidRPr="00A31137" w:rsidRDefault="00A31137" w:rsidP="00A31137">
      <w:r w:rsidRPr="00A31137">
        <w:t>D. Riddle, Service-Led Growth: The Role of the Service Sector in World Development (1986).</w:t>
      </w:r>
    </w:p>
    <w:p w:rsidR="00A31137" w:rsidRPr="00A31137" w:rsidRDefault="00A31137" w:rsidP="00A31137">
      <w:r w:rsidRPr="00A31137">
        <w:t>1995, United States v. Lopez, No. 93-1260</w:t>
      </w:r>
    </w:p>
    <w:p w:rsidR="00A31137" w:rsidRPr="00A31137" w:rsidRDefault="00A31137" w:rsidP="00A31137">
      <w:r w:rsidRPr="00A31137">
        <w:t>W. Rorabaugh, The Craft Apprentice: From Franklin to the Machine Age in America (1986) (Rorabaugh).</w:t>
      </w:r>
    </w:p>
    <w:p w:rsidR="00A31137" w:rsidRPr="00A31137" w:rsidRDefault="00A31137" w:rsidP="00A31137">
      <w:r w:rsidRPr="00A31137">
        <w:t>1995, United States v. Lopez, No. 93-1260</w:t>
      </w:r>
    </w:p>
    <w:p w:rsidR="00A31137" w:rsidRPr="00A31137" w:rsidRDefault="00A31137" w:rsidP="00A31137">
      <w:r w:rsidRPr="00A31137">
        <w:t>Rumberger &amp; Daymont, The Economic Value of Academic and Vocational Training Acquired in High School, in Youth and the Labor Market 157 (M. Borus ed. 1984).</w:t>
      </w:r>
    </w:p>
    <w:p w:rsidR="00A31137" w:rsidRPr="00A31137" w:rsidRDefault="00A31137" w:rsidP="00A31137">
      <w:r w:rsidRPr="00A31137">
        <w:t>1995, United States v. Lopez, No. 93-1260</w:t>
      </w:r>
    </w:p>
    <w:p w:rsidR="00A31137" w:rsidRPr="00A31137" w:rsidRDefault="00A31137" w:rsidP="00A31137">
      <w:r w:rsidRPr="00A31137">
        <w:t>Ruttenberg, The Limited Promise of Public Health Methodologies to Prevent Youth Violence, 103 Yale L.J. 1885 (1994).</w:t>
      </w:r>
    </w:p>
    <w:p w:rsidR="00A31137" w:rsidRPr="00A31137" w:rsidRDefault="00A31137" w:rsidP="00A31137">
      <w:r w:rsidRPr="00A31137">
        <w:t>1995, United States v. Lopez, No. 93-1260</w:t>
      </w:r>
    </w:p>
    <w:p w:rsidR="00A31137" w:rsidRPr="00A31137" w:rsidRDefault="00A31137" w:rsidP="00A31137">
      <w:r w:rsidRPr="00A31137">
        <w:t>Ryscavage &amp; Henle, Earnings Inequality Accelerates in the 1980's, Monthly Labor Review, Dec. 1990, p. 3.</w:t>
      </w:r>
    </w:p>
    <w:p w:rsidR="00A31137" w:rsidRPr="00A31137" w:rsidRDefault="00A31137" w:rsidP="00A31137">
      <w:r w:rsidRPr="00A31137">
        <w:t>1995, United States v. Lopez, No. 93-1260</w:t>
      </w:r>
    </w:p>
    <w:p w:rsidR="00A31137" w:rsidRPr="00A31137" w:rsidRDefault="00A31137" w:rsidP="00A31137">
      <w:r w:rsidRPr="00A31137">
        <w:t>T. Schultz, Education and Productivity (Report Prepared for the National Commission on Productivity, 1971).</w:t>
      </w:r>
    </w:p>
    <w:p w:rsidR="00A31137" w:rsidRPr="00A31137" w:rsidRDefault="00A31137" w:rsidP="00A31137">
      <w:r w:rsidRPr="00A31137">
        <w:t>1995, United States v. Lopez, No. 93-1260</w:t>
      </w:r>
    </w:p>
    <w:p w:rsidR="00A31137" w:rsidRPr="00A31137" w:rsidRDefault="00A31137" w:rsidP="00A31137">
      <w:r w:rsidRPr="00A31137">
        <w:t>Schultz, Investment in Human Capital, American Economic Review, Mar. 1961, p. 3, reprinted in 1 Economics of Education 13 (M. Blaug ed. 1968) (Schultz (1961)).</w:t>
      </w:r>
    </w:p>
    <w:p w:rsidR="00A31137" w:rsidRPr="00A31137" w:rsidRDefault="00A31137" w:rsidP="00A31137">
      <w:r w:rsidRPr="00A31137">
        <w:t>1995, United States v. Lopez, No. 93-1260</w:t>
      </w:r>
    </w:p>
    <w:p w:rsidR="00A31137" w:rsidRPr="00A31137" w:rsidRDefault="00A31137" w:rsidP="00A31137">
      <w:r w:rsidRPr="00A31137">
        <w:t>S. Seninger, Labor Force Policies for Regional Economic Development: The Role of Employment and Training Programs (1989).</w:t>
      </w:r>
    </w:p>
    <w:p w:rsidR="00A31137" w:rsidRPr="00A31137" w:rsidRDefault="00A31137" w:rsidP="00A31137">
      <w:r w:rsidRPr="00A31137">
        <w:t>1995, United States v. Lopez, No. 93-1260</w:t>
      </w:r>
    </w:p>
    <w:p w:rsidR="00A31137" w:rsidRPr="00A31137" w:rsidRDefault="00A31137" w:rsidP="00A31137">
      <w:r w:rsidRPr="00A31137">
        <w:t>R. Seybolt, Apprenticeship &amp; Apprenticeship Education in Colonial New England &amp; New York (1917) (Seybolt).</w:t>
      </w:r>
    </w:p>
    <w:p w:rsidR="00A31137" w:rsidRPr="00A31137" w:rsidRDefault="00A31137" w:rsidP="00A31137">
      <w:r w:rsidRPr="00A31137">
        <w:t>1995, United States v. Lopez, No. 93-1260</w:t>
      </w:r>
    </w:p>
    <w:p w:rsidR="00A31137" w:rsidRPr="00A31137" w:rsidRDefault="00A31137" w:rsidP="00A31137">
      <w:r w:rsidRPr="00A31137">
        <w:t>Sheley, McGee, &amp; Wright, Gun-Related Violence in and Around Inner-City Schools, 146 Am. J. Diseases in Children 677 (1992) (Sheley, McGee, &amp; Wright).</w:t>
      </w:r>
    </w:p>
    <w:p w:rsidR="00A31137" w:rsidRPr="00A31137" w:rsidRDefault="00A31137" w:rsidP="00A31137">
      <w:r w:rsidRPr="00A31137">
        <w:t>1995, United States v. Lopez, No. 93-1260</w:t>
      </w:r>
    </w:p>
    <w:p w:rsidR="00A31137" w:rsidRPr="00A31137" w:rsidRDefault="00A31137" w:rsidP="00A31137">
      <w:r w:rsidRPr="00A31137">
        <w:t>Stone &amp; Boundy, School Violence: The Need for a Meaningful Response, 28 Clearinghouse Review 453 (1994).</w:t>
      </w:r>
    </w:p>
    <w:p w:rsidR="00A31137" w:rsidRPr="00A31137" w:rsidRDefault="00A31137" w:rsidP="00A31137">
      <w:r w:rsidRPr="00A31137">
        <w:t>1995, United States v. Lopez, No. 93-1260</w:t>
      </w:r>
    </w:p>
    <w:p w:rsidR="00A31137" w:rsidRPr="00A31137" w:rsidRDefault="00A31137" w:rsidP="00A31137">
      <w:r w:rsidRPr="00A31137">
        <w:t>Strane, Locating in Rural America Could be a Competitive Advantage, Telemarketing, Oct. 1993, p. 92.</w:t>
      </w:r>
    </w:p>
    <w:p w:rsidR="00A31137" w:rsidRPr="00A31137" w:rsidRDefault="00A31137" w:rsidP="00A31137">
      <w:r w:rsidRPr="00A31137">
        <w:t>1995, United States v. Lopez, No. 93-1260</w:t>
      </w:r>
    </w:p>
    <w:p w:rsidR="00A31137" w:rsidRPr="00A31137" w:rsidRDefault="00A31137" w:rsidP="00A31137">
      <w:r w:rsidRPr="00A31137">
        <w:t xml:space="preserve"> R. Sturm, How Do Education and Training Affect a Country's Economic Performance? A Literature Survey. (1993).</w:t>
      </w:r>
    </w:p>
    <w:p w:rsidR="00A31137" w:rsidRPr="00A31137" w:rsidRDefault="00A31137" w:rsidP="00A31137">
      <w:r w:rsidRPr="00A31137">
        <w:t>1995, United States v. Lopez, No. 93-1260</w:t>
      </w:r>
    </w:p>
    <w:p w:rsidR="00A31137" w:rsidRPr="00A31137" w:rsidRDefault="00A31137" w:rsidP="00A31137">
      <w:r w:rsidRPr="00A31137">
        <w:t>A Survey of The Global Economy, The Economist, Oct. 1, 1994, p. 70-37 (Survey of Global Economy).</w:t>
      </w:r>
    </w:p>
    <w:p w:rsidR="00A31137" w:rsidRPr="00A31137" w:rsidRDefault="00A31137" w:rsidP="00A31137">
      <w:r w:rsidRPr="00A31137">
        <w:t>1995, United States v. Lopez, No. 93-1260</w:t>
      </w:r>
    </w:p>
    <w:p w:rsidR="00A31137" w:rsidRPr="00A31137" w:rsidRDefault="00A31137" w:rsidP="00A31137">
      <w:r w:rsidRPr="00A31137">
        <w:t>Swaim &amp; Podgursky, Do More-Educated Workers Fare Better Following Job Displacement?, Monthly Labor Review, Aug. 1989, p. 43.</w:t>
      </w:r>
    </w:p>
    <w:p w:rsidR="00A31137" w:rsidRPr="00A31137" w:rsidRDefault="00A31137" w:rsidP="00A31137">
      <w:r w:rsidRPr="00A31137">
        <w:t>1995, United States v. Lopez, No. 93-1260</w:t>
      </w:r>
    </w:p>
    <w:p w:rsidR="00A31137" w:rsidRPr="00A31137" w:rsidRDefault="00A31137" w:rsidP="00A31137">
      <w:r w:rsidRPr="00A31137">
        <w:t>Tremblay, The Impact of School and College Expenditures on the Wages of Southern and Non-Southern Workers, 7 J. Labor Research 201 (1986).</w:t>
      </w:r>
    </w:p>
    <w:p w:rsidR="00A31137" w:rsidRPr="00A31137" w:rsidRDefault="00A31137" w:rsidP="00A31137">
      <w:r w:rsidRPr="00A31137">
        <w:t>1995, United States v. Lopez, No. 93-1260</w:t>
      </w:r>
    </w:p>
    <w:p w:rsidR="00A31137" w:rsidRPr="00A31137" w:rsidRDefault="00A31137" w:rsidP="00A31137">
      <w:r w:rsidRPr="00A31137">
        <w:t>J. Vaizey, The Economics of Education (1973).</w:t>
      </w:r>
    </w:p>
    <w:p w:rsidR="00A31137" w:rsidRPr="00A31137" w:rsidRDefault="00A31137" w:rsidP="00A31137">
      <w:r w:rsidRPr="00A31137">
        <w:t>1995, United States v. Lopez, No. 93-1260</w:t>
      </w:r>
    </w:p>
    <w:p w:rsidR="00A31137" w:rsidRPr="00A31137" w:rsidRDefault="00A31137" w:rsidP="00A31137">
      <w:r w:rsidRPr="00A31137">
        <w:t>J. Vaizey, The Political Economy of Human Capital (1973).</w:t>
      </w:r>
    </w:p>
    <w:p w:rsidR="00A31137" w:rsidRPr="00A31137" w:rsidRDefault="00A31137" w:rsidP="00A31137">
      <w:r w:rsidRPr="00A31137">
        <w:t>1995, United States v. Lopez, No. 93-1260</w:t>
      </w:r>
    </w:p>
    <w:p w:rsidR="00A31137" w:rsidRPr="00A31137" w:rsidRDefault="00A31137" w:rsidP="00A31137">
      <w:r w:rsidRPr="00A31137">
        <w:t>Vallens, Global Economy May Dictate More Spending for Training, Modern Plastics, Nov. 1993, p. 19.</w:t>
      </w:r>
    </w:p>
    <w:p w:rsidR="00A31137" w:rsidRPr="00A31137" w:rsidRDefault="00A31137" w:rsidP="00A31137">
      <w:r w:rsidRPr="00A31137">
        <w:t>1995, United States v. Lopez, No. 93-1260</w:t>
      </w:r>
    </w:p>
    <w:p w:rsidR="00A31137" w:rsidRPr="00A31137" w:rsidRDefault="00A31137" w:rsidP="00A31137">
      <w:r w:rsidRPr="00A31137">
        <w:t>Wachtel, The Effect on Earnings of School and College Investment Expenditures, 58 Review of Economics &amp; Statistics 326, 330 (1976).</w:t>
      </w:r>
    </w:p>
    <w:p w:rsidR="00A31137" w:rsidRPr="00A31137" w:rsidRDefault="00A31137" w:rsidP="00A31137">
      <w:r w:rsidRPr="00A31137">
        <w:t>1995, United States v. Lopez, No. 93-1260</w:t>
      </w:r>
    </w:p>
    <w:p w:rsidR="00A31137" w:rsidRPr="00A31137" w:rsidRDefault="00A31137" w:rsidP="00A31137">
      <w:r w:rsidRPr="00A31137">
        <w:t>Weiner &amp; Siler, Trained to Order, Forbes, June 26, 1989, pp. 73-78.</w:t>
      </w:r>
    </w:p>
    <w:p w:rsidR="00A31137" w:rsidRPr="00A31137" w:rsidRDefault="00A31137" w:rsidP="00A31137">
      <w:r w:rsidRPr="00A31137">
        <w:t>1995, United States v. Lopez, No. 93-1260</w:t>
      </w:r>
    </w:p>
    <w:p w:rsidR="00A31137" w:rsidRPr="00A31137" w:rsidRDefault="00A31137" w:rsidP="00A31137">
      <w:r w:rsidRPr="00A31137">
        <w:t>L. Wheat, Urban Growth in the Nonmetropolitan South 65 (1976).</w:t>
      </w:r>
    </w:p>
    <w:p w:rsidR="00A31137" w:rsidRPr="00A31137" w:rsidRDefault="00A31137" w:rsidP="00A31137">
      <w:r w:rsidRPr="00A31137">
        <w:t>1995, United States v. Lopez, No. 93-1260</w:t>
      </w:r>
    </w:p>
    <w:p w:rsidR="00A31137" w:rsidRPr="00A31137" w:rsidRDefault="00A31137" w:rsidP="00A31137">
      <w:r w:rsidRPr="00A31137">
        <w:t>Wirth, Education and Work: The Choices We Face, Phi Delta Kappan, Jan. 1993, p. 361.</w:t>
      </w:r>
    </w:p>
    <w:p w:rsidR="00A31137" w:rsidRPr="00A31137" w:rsidRDefault="00A31137" w:rsidP="00A31137">
      <w:r w:rsidRPr="00A31137">
        <w:t>1995, United States v. Lopez, No. 93-1260</w:t>
      </w:r>
    </w:p>
    <w:p w:rsidR="00A31137" w:rsidRPr="00A31137" w:rsidRDefault="00A31137" w:rsidP="00A31137">
      <w:r w:rsidRPr="00A31137">
        <w:t>A. Wirth, Education and Work for the Year 2000 (1992).</w:t>
      </w:r>
    </w:p>
    <w:p w:rsidR="00A31137" w:rsidRPr="00A31137" w:rsidRDefault="00A31137" w:rsidP="00A31137">
      <w:r w:rsidRPr="00A31137">
        <w:t>1995, United States v. Lopez, No. 93-1260</w:t>
      </w:r>
    </w:p>
    <w:p w:rsidR="00A31137" w:rsidRPr="00A31137" w:rsidRDefault="00A31137" w:rsidP="00A31137">
      <w:r w:rsidRPr="00A31137">
        <w:t>L. Wise, Labor Market Policies and Employment Patterns in the United States 50 (1989).</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1995, United States v. Lopez, No. 93-1260</w:t>
      </w:r>
    </w:p>
    <w:p w:rsidR="00A31137" w:rsidRPr="00A31137" w:rsidRDefault="00A31137" w:rsidP="00A31137">
      <w:r w:rsidRPr="00A31137">
        <w:t>1. The term "school zone" is defined as "in, or on the grounds of, a public, parochial or private school" or "within a distance of 1,000 feet from the grounds of a public, parochial or private school." § 921(a)(25).</w:t>
      </w:r>
    </w:p>
    <w:p w:rsidR="00A31137" w:rsidRPr="00A31137" w:rsidRDefault="00A31137" w:rsidP="00A31137">
      <w:r w:rsidRPr="00A31137">
        <w:t>1995, United States v. Lopez, No. 93-1260</w:t>
      </w:r>
    </w:p>
    <w:p w:rsidR="00A31137" w:rsidRPr="00A31137" w:rsidRDefault="00A31137" w:rsidP="00A31137">
      <w:r w:rsidRPr="00A31137">
        <w:t>2. See also Hodel, 452 U.S. at 311 ("[S]imply because Congress may conclude that a particular activity substantially affects interstate commerce does not necessarily make it so") (REHNQUIST, J., concurring in judgment); Heart of Atlanta Motel, 392 U.S. at 273 ("[W]hether particular operations affect interstate commerce sufficiently to come under the constitutional power of Congress to regulate them is ultimately a judicial rather than a legislative question, and can be settled finally only by this Court") (Black, J., concurring).</w:t>
      </w:r>
    </w:p>
    <w:p w:rsidR="00A31137" w:rsidRPr="00A31137" w:rsidRDefault="00A31137" w:rsidP="00A31137">
      <w:r w:rsidRPr="00A31137">
        <w:t>1995, United States v. Lopez, No. 93-1260</w:t>
      </w:r>
    </w:p>
    <w:p w:rsidR="00A31137" w:rsidRPr="00A31137" w:rsidRDefault="00A31137" w:rsidP="00A31137">
      <w:r w:rsidRPr="00A31137">
        <w:t>3. Under our federal system, the "'States possess primary authority for defining and enforcing the criminal law.'" Brecht v. Abrahamson, 507 U.S. ___, ___ (1993) (quoting Engle v. Isaac, 456 U.S. 107,  128 (1982)); see also Screws v. United States, 325 U.S. 91,  109 (1945) (plurality opinion) ("Our national government is one of delegated powers alone. Under our federal system the administration of criminal justice rests with the States except as Congress, acting within the scope of those delegated powers, has created offenses against the United States"). When Congress criminalizes conduct already denounced as criminal by the States, it effects a "'change in the sensitive relation between federal and state criminal jurisdiction.'" United States v. Enmons, 410 U.S. 396, 411-412 (1973) (quoting United States v. Bass, 404 U.S. 336, 349 (1971)). The Government acknowledges that § 922(q) "displace[s] state policy choices in…that its prohibitions apply even in States that have chosen not to outlaw the conduct in question." Brief for United States 29, n. 18; see also Statement of President George Bush on Signing the Crime Control Act of 1990, 26 Weekly Comp. of Pres. Doc. 1944, 1945 (Nov. 29, 1990) ("Most egregiously, section [922(q)] inappropriately overrides legitimate state firearms laws with a new and unnecessary Federal law. The policies reflected in these provisions could legitimately be adopted by the States, but they should not be imposed upon the States by Congress").</w:t>
      </w:r>
    </w:p>
    <w:p w:rsidR="00A31137" w:rsidRPr="00A31137" w:rsidRDefault="00A31137" w:rsidP="00A31137">
      <w:r w:rsidRPr="00A31137">
        <w:t>1995, United States v. Lopez, No. 93-1260</w:t>
      </w:r>
    </w:p>
    <w:p w:rsidR="00A31137" w:rsidRPr="00A31137" w:rsidRDefault="00A31137" w:rsidP="00A31137">
      <w:r w:rsidRPr="00A31137">
        <w:t>4. We note that on September 13, 1994, President Clinton signed into law the Violent Crime Control and Law Enforcement Act of 1994, Pub.L. 103-322, 108 Stat. 1796. Section 320904 of that Act, id. at 2125, amends § 922(q) to include congressional findings regarding the effects of firearm possession in and around schools upon interstate and foreign commerce. The Government does not rely upon these subsequent findings as a substitute for the absence of findings in the first instance. Tr. of Oral Arg. 25 ("[W]e're not relying on them in the strict sense of the word, but we think that at a very minimum they indicate that reasons can be identified for why Congress wanted to regulate this particular activity").</w:t>
      </w:r>
    </w:p>
    <w:p w:rsidR="00A31137" w:rsidRPr="00A31137" w:rsidRDefault="00A31137" w:rsidP="00A31137">
      <w:r w:rsidRPr="00A31137">
        <w:t>THOMAS, J., concurring (Footnotes)</w:t>
      </w:r>
    </w:p>
    <w:p w:rsidR="00A31137" w:rsidRPr="00A31137" w:rsidRDefault="00A31137" w:rsidP="00A31137">
      <w:r w:rsidRPr="00A31137">
        <w:t>1995, United States v. Lopez, No. 93-1260</w:t>
      </w:r>
    </w:p>
    <w:p w:rsidR="00A31137" w:rsidRPr="00A31137" w:rsidRDefault="00A31137" w:rsidP="00A31137">
      <w:r w:rsidRPr="00A31137">
        <w:t>1. All references to The Federalist are to the Jacob E. Cooke 1961 edition.</w:t>
      </w:r>
    </w:p>
    <w:p w:rsidR="00A31137" w:rsidRPr="00A31137" w:rsidRDefault="00A31137" w:rsidP="00A31137">
      <w:r w:rsidRPr="00A31137">
        <w:t>1995, United States v. Lopez, No. 93-1260</w:t>
      </w:r>
    </w:p>
    <w:p w:rsidR="00A31137" w:rsidRPr="00A31137" w:rsidRDefault="00A31137" w:rsidP="00A31137">
      <w:r w:rsidRPr="00A31137">
        <w:t>2. Even to speak of "the Commerce Clause" perhaps obscures the actual scope of that Clause. As an original matter, Congress did not have authority to regulate all commerce; Congress could only "regulate Commerce with foreign Nations, and among the several States, and with the Indian Tribes." U.S.Const., Art. I, § 8, cl. 3. Although the precise line between interstate/foreign commerce and purely intrastate commerce was hard to draw, the Court attempted to adhere to such a line for the first 150 years of our Nation. See infra at ___.</w:t>
      </w:r>
    </w:p>
    <w:p w:rsidR="00A31137" w:rsidRPr="00A31137" w:rsidRDefault="00A31137" w:rsidP="00A31137">
      <w:r w:rsidRPr="00A31137">
        <w:t>1995, United States v. Lopez, No. 93-1260</w:t>
      </w:r>
    </w:p>
    <w:p w:rsidR="00A31137" w:rsidRPr="00A31137" w:rsidRDefault="00A31137" w:rsidP="00A31137">
      <w:r w:rsidRPr="00A31137">
        <w:t>3. There are other powers granted to Congress outside of Art. I, § 8 that may become wholly superfluous as well due to our distortion of the Commerce Clause. For instance, Congress has plenary power over the District of Columbia and the territories. See U.S.Const., Art. I, § 8, cl. 15 and Art. IV, § 3, cl. 2. The grant of comprehensive legislative power over certain areas of the Nation, when read in conjunction with the rest of the Constitution, further confirms that Congress was not ceded plenary authority over the whole Nation.</w:t>
      </w:r>
    </w:p>
    <w:p w:rsidR="00A31137" w:rsidRPr="00A31137" w:rsidRDefault="00A31137" w:rsidP="00A31137">
      <w:r w:rsidRPr="00A31137">
        <w:t>1995, United States v. Lopez, No. 93-1260</w:t>
      </w:r>
    </w:p>
    <w:p w:rsidR="00A31137" w:rsidRPr="00A31137" w:rsidRDefault="00A31137" w:rsidP="00A31137">
      <w:r w:rsidRPr="00A31137">
        <w:t>4. Cf. 3 Debates 40 (E. Pendleton at the Virginia convention) (the proposed Federal Government "does not intermeddle with the local, particular affairs of the states. Can Congress legislate for the state of Virginia? Can [it] make a law altering the form of transferring property, or the rule of descents, in Virginia?"); id. at 553 (J. Marshall at the Virginia convention) (denying that Congress could make "laws affecting the mode of transferring property, or contracts, or claims, between citizens of the same state"); The Federalist No. 33 at 206 (A. Hamilton) (denying that Congress could change laws of descent or could preempt a land tax); A Native of Virginia: Observations upon the Proposed Plan of Federal Government, Apr. 2, 1788, in 9 Documentary History 692 (States have sole authority over "rules of property").</w:t>
      </w:r>
    </w:p>
    <w:p w:rsidR="00A31137" w:rsidRPr="00A31137" w:rsidRDefault="00A31137" w:rsidP="00A31137">
      <w:r w:rsidRPr="00A31137">
        <w:t>1995, United States v. Lopez, No. 93-1260</w:t>
      </w:r>
    </w:p>
    <w:p w:rsidR="00A31137" w:rsidRPr="00A31137" w:rsidRDefault="00A31137" w:rsidP="00A31137">
      <w:r w:rsidRPr="00A31137">
        <w:t>5. None of the other Commerce Clause opinions during Chief Justice Marshall's tenure, which concerned the "dormant" Commerce Clause, even suggested that Congress had authority over all matters substantially affecting commerce. See Brown v. Maryland, 12 Wheat. 419 (1827); Willson v. Black Bird Creek Marsh Co., 2 Pet. 245 (1829).</w:t>
      </w:r>
    </w:p>
    <w:p w:rsidR="00A31137" w:rsidRPr="00A31137" w:rsidRDefault="00A31137" w:rsidP="00A31137">
      <w:r w:rsidRPr="00A31137">
        <w:t>1995, United States v. Lopez, No. 93-1260</w:t>
      </w:r>
    </w:p>
    <w:p w:rsidR="00A31137" w:rsidRPr="00A31137" w:rsidRDefault="00A31137" w:rsidP="00A31137">
      <w:r w:rsidRPr="00A31137">
        <w:t>6. It is worth noting that Congress, in the first federal criminal Act, did not establish nationwide prohibitions against murder and the like. See Act of April 30, 1790, ch. 9, 1 Stat. 112. To be sure, Congress outlawed murder, manslaughter, maiming, and larceny, but only when those acts were either committed on United States territory not part of a State or on the high seas. Ibid. See U.S.Const., Art. I, § 8, cl. 10 (authorizing Congress to outlaw piracy and felonies on high seas); Art. IV, § 3, cl. 2 (plenary authority over United States territory and property). When Congress did enact nationwide criminal laws, it acted pursuant to direct grants of authority found in the Constitution. Compare Act of April 30, 1790, supra §§ 1 and 14 (prohibitions against treason and the counterfeiting of U.S. securities) with U.S.Const., Art. I, § 8, cl. 6 (counterfeiting); Art. III, § 3, cl. 2 (treason). Notwithstanding any substantial effects that murder, kidnaping, or gun possession might have had on interstate commerce, Congress understood that it could not establish nationwide prohibitions. Likewise, there were no laws in the early Congresses that regulated manufacturing and agriculture. Nor was there any statute which purported to regulate activities with "substantial effects" on interstate commerce.</w:t>
      </w:r>
    </w:p>
    <w:p w:rsidR="00A31137" w:rsidRPr="00A31137" w:rsidRDefault="00A31137" w:rsidP="00A31137">
      <w:r w:rsidRPr="00A31137">
        <w:t>1995, United States v. Lopez, No. 93-1260</w:t>
      </w:r>
    </w:p>
    <w:p w:rsidR="00A31137" w:rsidRPr="00A31137" w:rsidRDefault="00A31137" w:rsidP="00A31137">
      <w:r w:rsidRPr="00A31137">
        <w:t>7. To be sure, congressional power pursuant to the Commerce Clause was alternatively described less narrowly or more narrowly during this 150-year period. Compare United States v. Coombs, 12 Pet. 72, 78 (1838) (commerce power "extends to such acts, done on land, which interfere with, obstruct, or prevent the due exercise of the power to regulate [interstate and international] commerce" such as stealing goods from a beached ship) with United States v. E. C. Knight Co., 156 U.S. 1,  13 (1895) ("Contracts to buy, sell, or exchange goods to be transported among the several States, the transportation and its instrumentalities…may be regulated, but this is because they form part of interstate trade or commerce"). During this period, however, this Court never held that Congress could regulate everything that substantially affects commerce.</w:t>
      </w:r>
    </w:p>
    <w:p w:rsidR="00A31137" w:rsidRPr="00A31137" w:rsidRDefault="00A31137" w:rsidP="00A31137">
      <w:r w:rsidRPr="00A31137">
        <w:t>1995, United States v. Lopez, No. 93-1260</w:t>
      </w:r>
    </w:p>
    <w:p w:rsidR="00A31137" w:rsidRPr="00A31137" w:rsidRDefault="00A31137" w:rsidP="00A31137">
      <w:r w:rsidRPr="00A31137">
        <w:t>8. Although I might be willing to return to the original understanding, I recognize that many believe that it is too late in the day to undertake a fundamental reexamination of the past 60 years. Consideration of stare decisis and reliance interests may convince us that we cannot wipe the slate clean.</w:t>
      </w:r>
    </w:p>
    <w:p w:rsidR="00A31137" w:rsidRPr="00A31137" w:rsidRDefault="00A31137" w:rsidP="00A31137">
      <w:r w:rsidRPr="00A31137">
        <w:t>1995, United States v. Lopez, No. 93-1260</w:t>
      </w:r>
    </w:p>
    <w:p w:rsidR="00A31137" w:rsidRPr="00A31137" w:rsidRDefault="00A31137" w:rsidP="00A31137">
      <w:r w:rsidRPr="00A31137">
        <w:t>9. Nor can the majority's opinion fairly be compared to Lochner v. New York, 198 U.S. 45 (1905). See post at ___ (SOUTER, J., dissenting). Unlike Lochner and our more recent "substantive due process" cases, today's decision enforces only the Constitution and not "judicial policy judgments." See post at ___. Notwithstanding JUSTICE SOUTER's discussion, "'commercial' character'" is not only a natural but an inevitable "ground of Commerce Clause distinction." See post at ___ (emphasis added). Our invalidation of the Gun-Free School Zones Act therefore falls comfortably within our proper role in reviewing federal legislation to determine if it exceeds congressional authority as defined by the Constitution itself. As John Marshall put it:</w:t>
      </w:r>
    </w:p>
    <w:p w:rsidR="00A31137" w:rsidRPr="00A31137" w:rsidRDefault="00A31137" w:rsidP="00A31137">
      <w:r w:rsidRPr="00A31137">
        <w:t>1995, United States v. Lopez, No. 93-1260</w:t>
      </w:r>
    </w:p>
    <w:p w:rsidR="00A31137" w:rsidRPr="00A31137" w:rsidRDefault="00A31137" w:rsidP="00A31137">
      <w:r w:rsidRPr="00A31137">
        <w:t>If [Congress] were to make a law not warranted by any of the powers enumerated, it would be considered by the judges as an infringement of the Constitution which they are to guard….   They would declare it void.</w:t>
      </w:r>
    </w:p>
    <w:p w:rsidR="00A31137" w:rsidRPr="00A31137" w:rsidRDefault="00A31137" w:rsidP="00A31137">
      <w:r w:rsidRPr="00A31137">
        <w:t>1995, United States v. Lopez, No. 93-1260</w:t>
      </w:r>
    </w:p>
    <w:p w:rsidR="00A31137" w:rsidRPr="00A31137" w:rsidRDefault="00A31137" w:rsidP="00A31137">
      <w:r w:rsidRPr="00A31137">
        <w:t>3 Debates 553 (before the Virginia ratifying convention); see also The Federalist No. 44 at 305 (James Madison) (asserting that if Congress exercises powers "not warranted by [the Constitution's] true meaning" the judiciary will defend the Constitution); id. No. 78 at 526 (A. Hamilton) (asserting that the "courts of justice are to be considered as the bulwarks of a limited constitution against legislative encroachments"). Where, as here, there is a case or controversy, there can be no "misstep", post at ___, in enforcing the Constitution.</w:t>
      </w:r>
    </w:p>
    <w:p w:rsidR="00A31137" w:rsidRPr="00A31137" w:rsidRDefault="00A31137" w:rsidP="00A31137">
      <w:r w:rsidRPr="00A31137">
        <w:t>STEVENS, J., dissenting (Footnotes)</w:t>
      </w:r>
    </w:p>
    <w:p w:rsidR="00A31137" w:rsidRPr="00A31137" w:rsidRDefault="00A31137" w:rsidP="00A31137">
      <w:r w:rsidRPr="00A31137">
        <w:t>1995, United States v. Lopez, No. 93-1260</w:t>
      </w:r>
    </w:p>
    <w:p w:rsidR="00A31137" w:rsidRPr="00A31137" w:rsidRDefault="00A31137" w:rsidP="00A31137">
      <w:r w:rsidRPr="00A31137">
        <w:t>* Indeed, there is evidence that firearm manufacturers—aided by a federal grant—are specifically targeting school children as consumers by distributing at schools, hunting-related videos styled "educational materials for grades four through 12," Herbert, Reading, Writing, Reloading, N. Y. Times, Dec. 14, 1994, p. A23, col. 1.</w:t>
      </w:r>
    </w:p>
    <w:p w:rsidR="00A31137" w:rsidRPr="00A31137" w:rsidRDefault="00A31137" w:rsidP="00A31137">
      <w:r w:rsidRPr="00A31137">
        <w:t>SOUTER, J., dissenting (Footnotes)</w:t>
      </w:r>
    </w:p>
    <w:p w:rsidR="00A31137" w:rsidRPr="00A31137" w:rsidRDefault="00A31137" w:rsidP="00A31137">
      <w:r w:rsidRPr="00A31137">
        <w:t>1995, United States v. Lopez, No. 93-1260</w:t>
      </w:r>
    </w:p>
    <w:p w:rsidR="00A31137" w:rsidRPr="00A31137" w:rsidRDefault="00A31137" w:rsidP="00A31137">
      <w:r w:rsidRPr="00A31137">
        <w:t>1. In this case, no question has been raised about means and ends; the only issue is about the effect of school zone guns on commerce.</w:t>
      </w:r>
    </w:p>
    <w:p w:rsidR="00A31137" w:rsidRPr="00A31137" w:rsidRDefault="00A31137" w:rsidP="00A31137">
      <w:r w:rsidRPr="00A31137">
        <w:t>1995, United States v. Lopez, No. 93-1260</w:t>
      </w:r>
    </w:p>
    <w:p w:rsidR="00A31137" w:rsidRPr="00A31137" w:rsidRDefault="00A31137" w:rsidP="00A31137">
      <w:r w:rsidRPr="00A31137">
        <w:t>2. Unlike the Court, (perhaps), I would see no reason not to consider Congress's findings, insofar as they might be helpful in reviewing the challenge to this statute, even though adopted in later legislation. See the Violent Crime Control and Law Enforcement Act of 1994, Pub. L. 103-322, § 320904, 108 Stat. 2125 ("[T]he occurrence of violent crime in school zones has resulted in a decline in the quality of education in our country;…this decline…has an adverse impact on interstate commerce and the foreign commerce of the United States;…Congress has power, under the interstate commerce clause and other provisions of the Constitution, to enact measures to ensure the integrity and safety of the Nation's schools by enactment of this subsection"). The findings, however, go no further than expressing what is obviously implicit in the substantive legislation at such a conclusory level of generality as to add virtually nothing to the record. The Solicitor General certainly exercised sound judgment in placing no significant reliance on these particular afterthoughts. Tr. of Oral Arg. 24-25.</w:t>
      </w:r>
    </w:p>
    <w:p w:rsidR="00A31137" w:rsidRPr="00A31137" w:rsidRDefault="00A31137" w:rsidP="00A31137">
      <w:r w:rsidRPr="00A31137">
        <w:t>U.S. Term Limits, Inc. v. Thornton, 1995</w:t>
      </w:r>
    </w:p>
    <w:p w:rsidR="00A31137" w:rsidRPr="00A31137" w:rsidRDefault="00A31137" w:rsidP="00A31137">
      <w:r w:rsidRPr="00A31137">
        <w:t>Title:</w:t>
      </w:r>
      <w:r w:rsidRPr="00A31137">
        <w:tab/>
        <w:t>U.S. Term Limits, Inc. v. Thornton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May 22, 1995</w:t>
      </w:r>
    </w:p>
    <w:p w:rsidR="00A31137" w:rsidRPr="00A31137" w:rsidRDefault="00A31137" w:rsidP="00A31137">
      <w:r w:rsidRPr="00A31137">
        <w:t>Source:</w:t>
      </w:r>
      <w:r w:rsidRPr="00A31137">
        <w:tab/>
        <w:t>No. 93-1456 [U.S. Reports citation not yet available]</w:t>
      </w:r>
    </w:p>
    <w:p w:rsidR="00A31137" w:rsidRPr="00A31137" w:rsidRDefault="00A31137" w:rsidP="00A31137">
      <w:r w:rsidRPr="00A31137">
        <w:t>This case was argued November 29, 1994, and was decided May 22, 1995, together with No. 93-1828, Bryant, Attorney General of Arkansas v. Hill et al., also on certiorari to the same court.</w:t>
      </w:r>
    </w:p>
    <w:p w:rsidR="00A31137" w:rsidRPr="00A31137" w:rsidRDefault="00A31137" w:rsidP="00A31137">
      <w:r w:rsidRPr="00A31137">
        <w:t>ON WRITS OF CERTIORARI TO THE</w:t>
      </w:r>
    </w:p>
    <w:p w:rsidR="00A31137" w:rsidRPr="00A31137" w:rsidRDefault="00A31137" w:rsidP="00A31137">
      <w:r w:rsidRPr="00A31137">
        <w:t>SUPREME COURT OF ARKANSAS</w:t>
      </w:r>
    </w:p>
    <w:p w:rsidR="00A31137" w:rsidRPr="00A31137" w:rsidRDefault="00A31137" w:rsidP="00A31137">
      <w:r w:rsidRPr="00A31137">
        <w:t>Syllabus</w:t>
      </w:r>
    </w:p>
    <w:p w:rsidR="00A31137" w:rsidRPr="00A31137" w:rsidRDefault="00A31137" w:rsidP="00A31137">
      <w:r w:rsidRPr="00A31137">
        <w:t>1995, U.S. Term Limits, Inc. v. Thornton, No. 93-1456</w:t>
      </w:r>
    </w:p>
    <w:p w:rsidR="00A31137" w:rsidRPr="00A31137" w:rsidRDefault="00A31137" w:rsidP="00A31137">
      <w:r w:rsidRPr="00A31137">
        <w:t>Respondent Hill filed this suit in Arkansas state court challenging the constitutionality of § 3 of Amendment 73 to the Arkansas Constitution, which prohibits the name of an otherwise eligible candidate for Congress from appearing on the general election ballot if that candidate has already served three terms in the House of Representatives or two terms in the Senate. The trial court held that § 3 violated Article I of the Federal Constitution, and the Arkansas Supreme Court affirmed. A plurality of the latter court concluded that the States have no authority "to change, add to, or diminish" the age, citizenship, and residency requirements for congressional service enumerated in the Qualifications Clauses, U.S.Const., Art. I, § 2, cl. 2, and Art. I, § 3, cl. 3, and rejected the argument that Amendment 73 is constitutional because it is formulated as a ballot access restriction, rather than an outright disqualification of congressional incumbents.</w:t>
      </w:r>
    </w:p>
    <w:p w:rsidR="00A31137" w:rsidRPr="00A31137" w:rsidRDefault="00A31137" w:rsidP="00A31137">
      <w:r w:rsidRPr="00A31137">
        <w:t>1995, U.S. Term Limits, Inc. v. Thornton, No. 93-1456</w:t>
      </w:r>
    </w:p>
    <w:p w:rsidR="00A31137" w:rsidRPr="00A31137" w:rsidRDefault="00A31137" w:rsidP="00A31137">
      <w:r w:rsidRPr="00A31137">
        <w:t>Held: Section 3 of Amendment 73 to the Arkansas Constitution violates the Federal Constitution. Pp. ___.</w:t>
      </w:r>
    </w:p>
    <w:p w:rsidR="00A31137" w:rsidRPr="00A31137" w:rsidRDefault="00A31137" w:rsidP="00A31137">
      <w:r w:rsidRPr="00A31137">
        <w:t>1995, U.S. Term Limits, Inc. v. Thornton, No. 93-1456</w:t>
      </w:r>
    </w:p>
    <w:p w:rsidR="00A31137" w:rsidRPr="00A31137" w:rsidRDefault="00A31137" w:rsidP="00A31137">
      <w:r w:rsidRPr="00A31137">
        <w:t>(a) The power granted to each House of Congress to judge the "Qualifications of its own Members," Art. I, § 5, cl. 1, does not include the power to alter or add to the qualifications set forth in the Constitution's text. Powell v. McCormack, 395 U.S. 486,  540. After examining Powell's analysis of the Qualifications Clauses' history and text, id. at 518-548, and its articulation of the "basic principles of our democratic system," id. at  548, this Court reaffirms that the constitutional qualifications for congressional service are "fixed," at least in the sense that they may not be supplemented by Congress. Pp. ___.</w:t>
      </w:r>
    </w:p>
    <w:p w:rsidR="00A31137" w:rsidRPr="00A31137" w:rsidRDefault="00A31137" w:rsidP="00A31137">
      <w:r w:rsidRPr="00A31137">
        <w:t>1995, U.S. Term Limits, Inc. v. Thornton, No. 93-1456</w:t>
      </w:r>
    </w:p>
    <w:p w:rsidR="00A31137" w:rsidRPr="00A31137" w:rsidRDefault="00A31137" w:rsidP="00A31137">
      <w:r w:rsidRPr="00A31137">
        <w:t>(b) So too, the Constitution prohibits States from imposing congressional qualifications additional to those specifically enumerated in its text. Petitioners' argument that States possess control over qualifications as part of the original powers reserved to them by the Tenth Amendment is rejected for two reasons. First, the power to add qualifications is not within the States' pre-Tenth-Amendment "original powers," but is a new right arising from the Constitution itself, and thus is not reserved. Second, even if the States possessed some original power in this area, it must be concluded that the Framers intended the Constitution to be the exclusive source of qualifications for Members of Congress, and that the Framers thereby "divested" States of any power to add qualifications. That this is so is demonstrated by the unanimity among the courts and learned commentators who have considered the issue; by the Constitution's structure and the text of pertinent constitutional provisions, including Art. I, § 2, cl. 1, Art. I, § 4, cl. 1, Art. I, § 6, and Art. I, § 5, cl. 1; by the relevant historical materials, including the records of the Constitutional Convention and the ratification debates, as well as Congress' subsequent experience with state attempts to impose qualifications; and, most importantly, by the "fundamental principle of our representative democracy…'that the people should choose whom they please to govern them,'" Powell, 395 U.S. at  547. Permitting individual States to formulate diverse qualifications for their congressional representatives would result in a patchwork that would be inconsistent with the Framers' vision of a uniform National Legislature representing the people of the United States. The fact that, immediately after the adoption of the Constitution, many States imposed term limits and other qualifications on state officers, while only one State imposed such a qualification on Members of Congress, provides further persuasive evidence of a general understanding that the qualifications in the Constitution were unalterable by the States. Pp. ___.</w:t>
      </w:r>
    </w:p>
    <w:p w:rsidR="00A31137" w:rsidRPr="00A31137" w:rsidRDefault="00A31137" w:rsidP="00A31137">
      <w:r w:rsidRPr="00A31137">
        <w:t>1995, U.S. Term Limits, Inc. v. Thornton, No. 93-1456</w:t>
      </w:r>
    </w:p>
    <w:p w:rsidR="00A31137" w:rsidRPr="00A31137" w:rsidRDefault="00A31137" w:rsidP="00A31137">
      <w:r w:rsidRPr="00A31137">
        <w:t>(c) A state congressional term limits measure is unconstitutional when it has the likely effect of handicapping a class of candidates and has the sole purpose of creating additional qualifications indirectly. The Court rejects petitioners' argument that Amendment 73 is valid because it merely precludes certain congressional candidates from being certified and having their names appear on the ballot, and allows them to run as write-in candidates and serve if elected. Even if petitioners' narrow understanding of qualifications is correct, Amendment 73 must fall because it is an indirect attempt to evade the Qualifications Clauses' requirements and trivializes the basic democratic principles underlying those Clauses. Nor can the Court agree with petitioners' related argument that Amendment 73 is a permissible exercise of state power under the Elections Clause, Art. I, § 4, cl. 1, to regulate the "Times, Places and Manner of holding Elections." A necessary consequence of that argument is that Congress itself would have the power under the Elections Clause to "make or alter" a measure such as Amendment 73, a result that is unfathomable under Powell. Moreover, petitioners' broad construction is fundamentally inconsistent with the Framers' view of the Elections Clause, which was intended to grant States authority to protect the integrity and regularity of the election process by regulating election procedures, see, e.g., Storer v. Brown, 415 U.S. 724, 730, 733, not to provide them with license to impose substantive qualifications that would exclude classes of candidates from federal office. Pp. ___.</w:t>
      </w:r>
    </w:p>
    <w:p w:rsidR="00A31137" w:rsidRPr="00A31137" w:rsidRDefault="00A31137" w:rsidP="00A31137">
      <w:r w:rsidRPr="00A31137">
        <w:t>1995, U.S. Term Limits, Inc. v. Thornton, No. 93-1456</w:t>
      </w:r>
    </w:p>
    <w:p w:rsidR="00A31137" w:rsidRPr="00A31137" w:rsidRDefault="00A31137" w:rsidP="00A31137">
      <w:r w:rsidRPr="00A31137">
        <w:t>(d) State imposition of term limits for congressional service would effect such a fundamental change in the constitutional framework that it must come through a constitutional amendment properly passed under the procedures set forth in Article V. Absent such an amendment, allowing individual States to craft their own congressional qualifications would erode the structure designed by the Framers to form a "more perfect Union." Pp. ___.</w:t>
      </w:r>
    </w:p>
    <w:p w:rsidR="00A31137" w:rsidRPr="00A31137" w:rsidRDefault="00A31137" w:rsidP="00A31137">
      <w:r w:rsidRPr="00A31137">
        <w:t>1995, U.S. Term Limits, Inc. v. Thornton, No. 93-1456</w:t>
      </w:r>
    </w:p>
    <w:p w:rsidR="00A31137" w:rsidRPr="00A31137" w:rsidRDefault="00A31137" w:rsidP="00A31137">
      <w:r w:rsidRPr="00A31137">
        <w:t>316 Ark. 251, 872 S.W.2d 349, affirmed.</w:t>
      </w:r>
    </w:p>
    <w:p w:rsidR="00A31137" w:rsidRPr="00A31137" w:rsidRDefault="00A31137" w:rsidP="00A31137">
      <w:r w:rsidRPr="00A31137">
        <w:t>1995, U.S. Term Limits, Inc. v. Thornton, No. 93-1456</w:t>
      </w:r>
    </w:p>
    <w:p w:rsidR="00A31137" w:rsidRPr="00A31137" w:rsidRDefault="00A31137" w:rsidP="00A31137">
      <w:r w:rsidRPr="00A31137">
        <w:t>STEVENS, J., delivered the opinion of the Court, in which KENNEDY, SOUTER, GINSBURG, and BREYER, JJ., joined. KENNEDY, J., filed a concurring opinion. THOMAS, J., filed a dissenting opinion, in which REHNQUIST, C.J., and O'CONNOR and SCALIA, JJ., joined.</w:t>
      </w:r>
    </w:p>
    <w:p w:rsidR="00A31137" w:rsidRPr="00A31137" w:rsidRDefault="00A31137" w:rsidP="00A31137">
      <w:r w:rsidRPr="00A31137">
        <w:t>STEVENS, J., lead opinion</w:t>
      </w:r>
    </w:p>
    <w:p w:rsidR="00A31137" w:rsidRPr="00A31137" w:rsidRDefault="00A31137" w:rsidP="00A31137">
      <w:r w:rsidRPr="00A31137">
        <w:t>1995, U.S. Term Limits, Inc. v. Thornton, No. 93-1456</w:t>
      </w:r>
    </w:p>
    <w:p w:rsidR="00A31137" w:rsidRPr="00A31137" w:rsidRDefault="00A31137" w:rsidP="00A31137">
      <w:r w:rsidRPr="00A31137">
        <w:t>JUSTICE STEVENS delivered the opinion of the Court.</w:t>
      </w:r>
    </w:p>
    <w:p w:rsidR="00A31137" w:rsidRPr="00A31137" w:rsidRDefault="00A31137" w:rsidP="00A31137">
      <w:r w:rsidRPr="00A31137">
        <w:t>1995, U.S. Term Limits, Inc. v. Thornton, No. 93-1456</w:t>
      </w:r>
    </w:p>
    <w:p w:rsidR="00A31137" w:rsidRPr="00A31137" w:rsidRDefault="00A31137" w:rsidP="00A31137">
      <w:r w:rsidRPr="00A31137">
        <w:t>The Constitution sets forth qualifications for membership in the Congress of the United States. Article I, § 2, cl. 2, which applies to the House of Representatives, provides:</w:t>
      </w:r>
    </w:p>
    <w:p w:rsidR="00A31137" w:rsidRPr="00A31137" w:rsidRDefault="00A31137" w:rsidP="00A31137">
      <w:r w:rsidRPr="00A31137">
        <w:t>1995, U.S. Term Limits, Inc. v. Thornton, No. 93-1456</w:t>
      </w:r>
    </w:p>
    <w:p w:rsidR="00A31137" w:rsidRPr="00A31137" w:rsidRDefault="00A31137" w:rsidP="00A31137">
      <w:r w:rsidRPr="00A31137">
        <w:t>No Person shall be a Representative who shall not have attained to the Age of twenty five Years, and been seven Years a Citizen of the United States, and who shall not, when elected, be an Inhabitant of that State in which he shall be chosen.</w:t>
      </w:r>
    </w:p>
    <w:p w:rsidR="00A31137" w:rsidRPr="00A31137" w:rsidRDefault="00A31137" w:rsidP="00A31137">
      <w:r w:rsidRPr="00A31137">
        <w:t>1995, U.S. Term Limits, Inc. v. Thornton, No. 93-1456</w:t>
      </w:r>
    </w:p>
    <w:p w:rsidR="00A31137" w:rsidRPr="00A31137" w:rsidRDefault="00A31137" w:rsidP="00A31137">
      <w:r w:rsidRPr="00A31137">
        <w:t>Article I, § 3, cl. 3, which applies to the Senate, similarly provides:</w:t>
      </w:r>
    </w:p>
    <w:p w:rsidR="00A31137" w:rsidRPr="00A31137" w:rsidRDefault="00A31137" w:rsidP="00A31137">
      <w:r w:rsidRPr="00A31137">
        <w:t>1995, U.S. Term Limits, Inc. v. Thornton, No. 93-1456</w:t>
      </w:r>
    </w:p>
    <w:p w:rsidR="00A31137" w:rsidRPr="00A31137" w:rsidRDefault="00A31137" w:rsidP="00A31137">
      <w:r w:rsidRPr="00A31137">
        <w:t>No Person shall be a Senator who shall not have attained to the Age of thirty Years, and been nine Years a Citizen of the United States, and who shall not, when elected, be an Inhabitant of that State for which he shall be chosen.</w:t>
      </w:r>
    </w:p>
    <w:p w:rsidR="00A31137" w:rsidRPr="00A31137" w:rsidRDefault="00A31137" w:rsidP="00A31137">
      <w:r w:rsidRPr="00A31137">
        <w:t>1995, U.S. Term Limits, Inc. v. Thornton, No. 93-1456</w:t>
      </w:r>
    </w:p>
    <w:p w:rsidR="00A31137" w:rsidRPr="00A31137" w:rsidRDefault="00A31137" w:rsidP="00A31137">
      <w:r w:rsidRPr="00A31137">
        <w:t>Today's cases present a challenge to an amendment to the Arkansas State Constitution that prohibits the name of an otherwise eligible candidate for Congress from appearing on the general election ballot if that candidate has already served three terms in the House of Representatives or two terms in the Senate. The Arkansas Supreme Court held that the amendment violates the Federal Constitution. We agree with that holding. Such a state-imposed restriction is contrary to the "fundamental principle of our representative democracy," embodied in the Constitution, that "the people should choose whom they please to govern them." Powell v. McCormack, 395 U.S. 486,  547 (1969) (internal quotation marks omitted). Allowing individual States to adopt their own qualifications for congressional service would be inconsistent with the Framers' vision of a uniform National Legislature representing the people of the United States. If the qualifications set forth in the text of the Constitution are to be changed, that text must be amended.</w:t>
      </w:r>
    </w:p>
    <w:p w:rsidR="00A31137" w:rsidRPr="00A31137" w:rsidRDefault="00A31137" w:rsidP="00A31137">
      <w:r w:rsidRPr="00A31137">
        <w:t>I</w:t>
      </w:r>
    </w:p>
    <w:p w:rsidR="00A31137" w:rsidRPr="00A31137" w:rsidRDefault="00A31137" w:rsidP="00A31137">
      <w:r w:rsidRPr="00A31137">
        <w:t>1995, U.S. Term Limits, Inc. v. Thornton, No. 93-1456</w:t>
      </w:r>
    </w:p>
    <w:p w:rsidR="00A31137" w:rsidRPr="00A31137" w:rsidRDefault="00A31137" w:rsidP="00A31137">
      <w:r w:rsidRPr="00A31137">
        <w:t>At the general election on November 3, 1992, the voters of Arkansas adopted Amendment 73 to their State Constitution. Proposed as a "Term Limitation Amendment," its preamble stated:</w:t>
      </w:r>
    </w:p>
    <w:p w:rsidR="00A31137" w:rsidRPr="00A31137" w:rsidRDefault="00A31137" w:rsidP="00A31137">
      <w:r w:rsidRPr="00A31137">
        <w:t>1995, U.S. Term Limits, Inc. v. Thornton, No. 93-1456</w:t>
      </w:r>
    </w:p>
    <w:p w:rsidR="00A31137" w:rsidRPr="00A31137" w:rsidRDefault="00A31137" w:rsidP="00A31137">
      <w:r w:rsidRPr="00A31137">
        <w:t>The people of Arkansas find and declare that elected officials who remain in office too long become preoccupied with reelection and ignore their duties as representatives of the people. Entrenched incumbency has reduced voter participation and has led to an electoral system that is less free, less competitive, and less representative than the system established by the Founding Fathers. Therefore, the people of Arkansas, exercising their reserved powers, herein limit the terms of the elected officials.</w:t>
      </w:r>
    </w:p>
    <w:p w:rsidR="00A31137" w:rsidRPr="00A31137" w:rsidRDefault="00A31137" w:rsidP="00A31137">
      <w:r w:rsidRPr="00A31137">
        <w:t>1995, U.S. Term Limits, Inc. v. Thornton, No. 93-1456</w:t>
      </w:r>
    </w:p>
    <w:p w:rsidR="00A31137" w:rsidRPr="00A31137" w:rsidRDefault="00A31137" w:rsidP="00A31137">
      <w:r w:rsidRPr="00A31137">
        <w:t>The limitations in Amendment 73 apply to three categories of elected officials. Section 1 provides that no elected official in the executive branch of the state government may serve more than two 4-year terms. Section 2 applies to the legislative branch of the state government; it provides that no member of the Arkansas House of Representatives may serve more than three 2-year terms, and no member of the Arkansas Senate may serve more than two 4-year terms. Section 3, the provision at issue in these cases, applies to the Arkansas Congressional Delegation. It provides:</w:t>
      </w:r>
    </w:p>
    <w:p w:rsidR="00A31137" w:rsidRPr="00A31137" w:rsidRDefault="00A31137" w:rsidP="00A31137">
      <w:r w:rsidRPr="00A31137">
        <w:t>1995, U.S. Term Limits, Inc. v. Thornton, No. 93-1456</w:t>
      </w:r>
    </w:p>
    <w:p w:rsidR="00A31137" w:rsidRPr="00A31137" w:rsidRDefault="00A31137" w:rsidP="00A31137">
      <w:r w:rsidRPr="00A31137">
        <w:t>(a) Any person having been elected to three or more terms as a member of the United States House of Representatives from Arkansas shall not be certified as a candidate and shall not be eligible to have his/her name placed on the ballot for election to the United States House of Representatives from Arkansas.</w:t>
      </w:r>
    </w:p>
    <w:p w:rsidR="00A31137" w:rsidRPr="00A31137" w:rsidRDefault="00A31137" w:rsidP="00A31137">
      <w:r w:rsidRPr="00A31137">
        <w:t>1995, U.S. Term Limits, Inc. v. Thornton, No. 93-1456</w:t>
      </w:r>
    </w:p>
    <w:p w:rsidR="00A31137" w:rsidRPr="00A31137" w:rsidRDefault="00A31137" w:rsidP="00A31137">
      <w:r w:rsidRPr="00A31137">
        <w:t>(b) Any person having been elected to two or more terms as a member of the United States Senate from Arkansas shall not be certified as a candidate and shall not be eligible to have his/her name placed on the ballot for election to the United States Senate from Arkansas.</w:t>
      </w:r>
    </w:p>
    <w:p w:rsidR="00A31137" w:rsidRPr="00A31137" w:rsidRDefault="00A31137" w:rsidP="00A31137">
      <w:r w:rsidRPr="00A31137">
        <w:t>1995, U.S. Term Limits, Inc. v. Thornton, No. 93-1456</w:t>
      </w:r>
    </w:p>
    <w:p w:rsidR="00A31137" w:rsidRPr="00A31137" w:rsidRDefault="00A31137" w:rsidP="00A31137">
      <w:r w:rsidRPr="00A31137">
        <w:t>Amendment 73 states that it is self-executing, and shall apply to all persons seeking election after January 1, 1993.</w:t>
      </w:r>
    </w:p>
    <w:p w:rsidR="00A31137" w:rsidRPr="00A31137" w:rsidRDefault="00A31137" w:rsidP="00A31137">
      <w:r w:rsidRPr="00A31137">
        <w:t>1995, U.S. Term Limits, Inc. v. Thornton, No. 93-1456</w:t>
      </w:r>
    </w:p>
    <w:p w:rsidR="00A31137" w:rsidRPr="00A31137" w:rsidRDefault="00A31137" w:rsidP="00A31137">
      <w:r w:rsidRPr="00A31137">
        <w:t>On November 13, 1992, respondent Bobbie Hill, on behalf of herself, similarly situated Arkansas "citizens, residents, taxpayers and registered voters," and the League of Women Voters of Arkansas, filed a complaint in the Circuit Court for Pulaski County, Arkansas, seeking a declaratory judgment that § 3 of Amendment 73 is "unconstitutional and void." Her complaint named as defendants then-Governor Clinton, other state officers, the Republican Party of Arkansas, and the Democratic Party of Arkansas. The State of Arkansas, through its Attorney General, petitioner Winston Bryant, intervened as a party defendant in support of the amendment. Several proponents of the amendment also intervened, including petitioner U.S. Term Limits, Inc.</w:t>
      </w:r>
    </w:p>
    <w:p w:rsidR="00A31137" w:rsidRPr="00A31137" w:rsidRDefault="00A31137" w:rsidP="00A31137">
      <w:r w:rsidRPr="00A31137">
        <w:t>1995, U.S. Term Limits, Inc. v. Thornton, No. 93-1456</w:t>
      </w:r>
    </w:p>
    <w:p w:rsidR="00A31137" w:rsidRPr="00A31137" w:rsidRDefault="00A31137" w:rsidP="00A31137">
      <w:r w:rsidRPr="00A31137">
        <w:t>On cross-motions for summary judgment, the Circuit Court held that § 3 of Amendment 73 violated Article I of the Federal Constitution. 1</w:t>
      </w:r>
    </w:p>
    <w:p w:rsidR="00A31137" w:rsidRPr="00A31137" w:rsidRDefault="00A31137" w:rsidP="00A31137">
      <w:r w:rsidRPr="00A31137">
        <w:t>1995, U.S. Term Limits, Inc. v. Thornton, No. 93-1456</w:t>
      </w:r>
    </w:p>
    <w:p w:rsidR="00A31137" w:rsidRPr="00A31137" w:rsidRDefault="00A31137" w:rsidP="00A31137">
      <w:r w:rsidRPr="00A31137">
        <w:t>With respect to that holding, in a 5-to-2 decision, the Arkansas Supreme Court affirmed. U.S. Term Limits, Inc. v. Hill, 316 Ark. 251, 872 S.W.2d 349, 351 (1994). Writing for a plurality of three justices, Justice Robert L. Brown concluded that the congressional restrictions in Amendment 73 are unconstitutional because the States have no authority "to change, add to, or diminish" the requirements for congressional service enumerated in the Qualifications Clauses. Id. at 265, 872 S.W.2d at 356. He noted:</w:t>
      </w:r>
    </w:p>
    <w:p w:rsidR="00A31137" w:rsidRPr="00A31137" w:rsidRDefault="00A31137" w:rsidP="00A31137">
      <w:r w:rsidRPr="00A31137">
        <w:t>1995, U.S. Term Limits, Inc. v. Thornton, No. 93-1456</w:t>
      </w:r>
    </w:p>
    <w:p w:rsidR="00A31137" w:rsidRPr="00A31137" w:rsidRDefault="00A31137" w:rsidP="00A31137">
      <w:r w:rsidRPr="00A31137">
        <w:t>If there is one watchword for representation of the various states in Congress, it is uniformity. Federal legislators speak to national issues that affect the citizens of every state…. The uniformity in qualifications mandated in Article 1 provides the tenor and the fabric for representation in the Congress. Piecemeal restrictions by State would fly in the face of that order.</w:t>
      </w:r>
    </w:p>
    <w:p w:rsidR="00A31137" w:rsidRPr="00A31137" w:rsidRDefault="00A31137" w:rsidP="00A31137">
      <w:r w:rsidRPr="00A31137">
        <w:t>1995, U.S. Term Limits, Inc. v. Thornton, No. 93-1456</w:t>
      </w:r>
    </w:p>
    <w:p w:rsidR="00A31137" w:rsidRPr="00A31137" w:rsidRDefault="00A31137" w:rsidP="00A31137">
      <w:r w:rsidRPr="00A31137">
        <w:t>Ibid.</w:t>
      </w:r>
    </w:p>
    <w:p w:rsidR="00A31137" w:rsidRPr="00A31137" w:rsidRDefault="00A31137" w:rsidP="00A31137">
      <w:r w:rsidRPr="00A31137">
        <w:t>1995, U.S. Term Limits, Inc. v. Thornton, No. 93-1456</w:t>
      </w:r>
    </w:p>
    <w:p w:rsidR="00A31137" w:rsidRPr="00A31137" w:rsidRDefault="00A31137" w:rsidP="00A31137">
      <w:r w:rsidRPr="00A31137">
        <w:t>Justice Brown's plurality opinion also rejected the argument that Amendment 73 is "merely a ballot access amendment," concluding that "[t]he intent and the effect of Amendment 73 are to disqualify congressional incumbents from further service." Id. at 265-266, 872 S.W.2d at 356-357. Justice Brown considered the possibilities that an excluded candidate might run for Congress as a write-in candidate or be appointed to fill a vacancy to be</w:t>
      </w:r>
    </w:p>
    <w:p w:rsidR="00A31137" w:rsidRPr="00A31137" w:rsidRDefault="00A31137" w:rsidP="00A31137">
      <w:r w:rsidRPr="00A31137">
        <w:t>1995, U.S. Term Limits, Inc. v. Thornton, No. 93-1456</w:t>
      </w:r>
    </w:p>
    <w:p w:rsidR="00A31137" w:rsidRPr="00A31137" w:rsidRDefault="00A31137" w:rsidP="00A31137">
      <w:r w:rsidRPr="00A31137">
        <w:t>glimmers of opportunity…[that] are faint indeed-so faint in our judgment that they cannot salvage Amendment 73 from constitutional attack.</w:t>
      </w:r>
    </w:p>
    <w:p w:rsidR="00A31137" w:rsidRPr="00A31137" w:rsidRDefault="00A31137" w:rsidP="00A31137">
      <w:r w:rsidRPr="00A31137">
        <w:t>1995, U.S. Term Limits, Inc. v. Thornton, No. 93-1456</w:t>
      </w:r>
    </w:p>
    <w:p w:rsidR="00A31137" w:rsidRPr="00A31137" w:rsidRDefault="00A31137" w:rsidP="00A31137">
      <w:r w:rsidRPr="00A31137">
        <w:t>Id. at 266, 872 S.W.2d at 357. In separate opinions, Justice Dudley and Justice Gerald P. Brown agreed that Amendment 73 violates the Federal Constitution.</w:t>
      </w:r>
    </w:p>
    <w:p w:rsidR="00A31137" w:rsidRPr="00A31137" w:rsidRDefault="00A31137" w:rsidP="00A31137">
      <w:r w:rsidRPr="00A31137">
        <w:t>1995, U.S. Term Limits, Inc. v. Thornton, No. 93-1456</w:t>
      </w:r>
    </w:p>
    <w:p w:rsidR="00A31137" w:rsidRPr="00A31137" w:rsidRDefault="00A31137" w:rsidP="00A31137">
      <w:r w:rsidRPr="00A31137">
        <w:t>Two Justices dissented from the federal constitutional holding. Justice Hays started from</w:t>
      </w:r>
    </w:p>
    <w:p w:rsidR="00A31137" w:rsidRPr="00A31137" w:rsidRDefault="00A31137" w:rsidP="00A31137">
      <w:r w:rsidRPr="00A31137">
        <w:t>1995, U.S. Term Limits, Inc. v. Thornton, No. 93-1456</w:t>
      </w:r>
    </w:p>
    <w:p w:rsidR="00A31137" w:rsidRPr="00A31137" w:rsidRDefault="00A31137" w:rsidP="00A31137">
      <w:r w:rsidRPr="00A31137">
        <w:t>the premise that all political authority resides in the people, limited only by those provisions of the federal or state constitutions specifically to the contrary.</w:t>
      </w:r>
    </w:p>
    <w:p w:rsidR="00A31137" w:rsidRPr="00A31137" w:rsidRDefault="00A31137" w:rsidP="00A31137">
      <w:r w:rsidRPr="00A31137">
        <w:t>1995, U.S. Term Limits, Inc. v. Thornton, No. 93-1456</w:t>
      </w:r>
    </w:p>
    <w:p w:rsidR="00A31137" w:rsidRPr="00A31137" w:rsidRDefault="00A31137" w:rsidP="00A31137">
      <w:r w:rsidRPr="00A31137">
        <w:t>316 Ark. at 281, 872 S.W.2d at 367. Because his examination of the text and history of the Qualifications Clauses convinced him that the Constitution contains no express or implicit restriction on the States' ability to impose additional qualifications on candidates for Congress, Justice Hays concluded that § 3 is constitutional. Special Chief Justice Cracraft, drawing a distinction between a measure that "impose[s] an absolute bar on incumbent succession," and a measure that "merely makes it more difficult for an incumbent to be elected," id. at 284, 872 S.W.2d at 368, concluded that Amendment 73 does not even implicate the Qualifications Clauses, and instead is merely a permissible ballot access restriction.</w:t>
      </w:r>
    </w:p>
    <w:p w:rsidR="00A31137" w:rsidRPr="00A31137" w:rsidRDefault="00A31137" w:rsidP="00A31137">
      <w:r w:rsidRPr="00A31137">
        <w:t>1995, U.S. Term Limits, Inc. v. Thornton, No. 93-1456</w:t>
      </w:r>
    </w:p>
    <w:p w:rsidR="00A31137" w:rsidRPr="00A31137" w:rsidRDefault="00A31137" w:rsidP="00A31137">
      <w:r w:rsidRPr="00A31137">
        <w:t>The State of Arkansas, by its Attorney General, and the intervenors petitioned for writs of certiorari. Because of the importance of the issues, we granted both petitions and consolidated the cases for argument. See 512 U.S. __ (1994). We now affirm.</w:t>
      </w:r>
    </w:p>
    <w:p w:rsidR="00A31137" w:rsidRPr="00A31137" w:rsidRDefault="00A31137" w:rsidP="00A31137">
      <w:r w:rsidRPr="00A31137">
        <w:t>II</w:t>
      </w:r>
    </w:p>
    <w:p w:rsidR="00A31137" w:rsidRPr="00A31137" w:rsidRDefault="00A31137" w:rsidP="00A31137">
      <w:r w:rsidRPr="00A31137">
        <w:t>1995, U.S. Term Limits, Inc. v. Thornton, No. 93-1456</w:t>
      </w:r>
    </w:p>
    <w:p w:rsidR="00A31137" w:rsidRPr="00A31137" w:rsidRDefault="00A31137" w:rsidP="00A31137">
      <w:r w:rsidRPr="00A31137">
        <w:t>As the opinions of the Arkansas Supreme Court suggest, the constitutionality of Amendment 73 depends critically on the resolution of two distinct issues. The first is whether the Constitution forbids States from adding to or altering the qualifications specifically enumerated in the Constitution. The second is, if the Constitution does so forbid, whether the fact that Amendment 73 is formulated as a ballot access restriction rather than as an outright disqualification is of constitutional significance. Our resolution of these issues draws upon our prior resolution of a related but distinct issue: whether Congress has the power to add to or alter the qualifications of its Members.</w:t>
      </w:r>
    </w:p>
    <w:p w:rsidR="00A31137" w:rsidRPr="00A31137" w:rsidRDefault="00A31137" w:rsidP="00A31137">
      <w:r w:rsidRPr="00A31137">
        <w:t>1995, U.S. Term Limits, Inc. v. Thornton, No. 93-1456</w:t>
      </w:r>
    </w:p>
    <w:p w:rsidR="00A31137" w:rsidRPr="00A31137" w:rsidRDefault="00A31137" w:rsidP="00A31137">
      <w:r w:rsidRPr="00A31137">
        <w:t>Twenty-six years ago, in Powell v. McCormack, 395 U.S. 486 (1969), we reviewed the history and text of the Qualifications Clauses 2 in a case involving an attempted exclusion of a duly elected Member of Congress. The principal issue was whether the power granted to each House in Art. I, § 5, to judge the "Qualifications of its own Members" 3 includes the power to impose qualifications other than those set forth in the text of the Constitution. In an opinion by Chief Justice Warren for eight Members of the Court, 4 we held that it does not. Because of the obvious importance of the issue, the Court's review of the history and meaning of the relevant constitutional text was especially thorough. We therefore begin our analysis today with a full statement of what we decided in that case.</w:t>
      </w:r>
    </w:p>
    <w:p w:rsidR="00A31137" w:rsidRPr="00A31137" w:rsidRDefault="00A31137" w:rsidP="00A31137">
      <w:r w:rsidRPr="00A31137">
        <w:t>1995, U.S. Term Limits, Inc. v. Thornton, No. 93-1456</w:t>
      </w:r>
    </w:p>
    <w:p w:rsidR="00A31137" w:rsidRPr="00A31137" w:rsidRDefault="00A31137" w:rsidP="00A31137">
      <w:r w:rsidRPr="00A31137">
        <w:t>THE ISSUE IN POWELL</w:t>
      </w:r>
    </w:p>
    <w:p w:rsidR="00A31137" w:rsidRPr="00A31137" w:rsidRDefault="00A31137" w:rsidP="00A31137">
      <w:r w:rsidRPr="00A31137">
        <w:t>1995, U.S. Term Limits, Inc. v. Thornton, No. 93-1456</w:t>
      </w:r>
    </w:p>
    <w:p w:rsidR="00A31137" w:rsidRPr="00A31137" w:rsidRDefault="00A31137" w:rsidP="00A31137">
      <w:r w:rsidRPr="00A31137">
        <w:t>In November, 1966, Adam Clayton Powell, Jr., was elected from a District in New York to serve in the United States House of Representatives for the 90th Congress. Allegations that he had engaged in serious misconduct while serving as a committee chairman during the 89th Congress led to the appointment of a Select Committee to determine his eligibility to take his seat. That Committee found that Powell met the age, citizenship, and residency requirements set forth in Art. I, § 2, cl. 2. The Committee also found, however, that Powell had wrongfully diverted House funds for the use of others and himself and had made false reports on expenditures of foreign currency. Based on those findings, the House after debate adopted House Resolution 278, excluding Powell from membership in the House, and declared his seat vacant. See 395 U.S. at 489-493.</w:t>
      </w:r>
    </w:p>
    <w:p w:rsidR="00A31137" w:rsidRPr="00A31137" w:rsidRDefault="00A31137" w:rsidP="00A31137">
      <w:r w:rsidRPr="00A31137">
        <w:t>1995, U.S. Term Limits, Inc. v. Thornton, No. 93-1456</w:t>
      </w:r>
    </w:p>
    <w:p w:rsidR="00A31137" w:rsidRPr="00A31137" w:rsidRDefault="00A31137" w:rsidP="00A31137">
      <w:r w:rsidRPr="00A31137">
        <w:t>Powell and several voters of the District from which he had been elected filed suit seeking a declaratory judgment that the House Resolution was invalid because Art. I, § 2, cl. 2, sets forth the exclusive qualifications for House membership. We ultimately accepted that contention, concluding that the House of Representatives has no</w:t>
      </w:r>
    </w:p>
    <w:p w:rsidR="00A31137" w:rsidRPr="00A31137" w:rsidRDefault="00A31137" w:rsidP="00A31137">
      <w:r w:rsidRPr="00A31137">
        <w:t>1995, U.S. Term Limits, Inc. v. Thornton, No. 93-1456</w:t>
      </w:r>
    </w:p>
    <w:p w:rsidR="00A31137" w:rsidRPr="00A31137" w:rsidRDefault="00A31137" w:rsidP="00A31137">
      <w:r w:rsidRPr="00A31137">
        <w:t>authority to exclude 5 any person, duly elected by his constituents, who meets all the requirements for membership expressly prescribed in the Constitution.</w:t>
      </w:r>
    </w:p>
    <w:p w:rsidR="00A31137" w:rsidRPr="00A31137" w:rsidRDefault="00A31137" w:rsidP="00A31137">
      <w:r w:rsidRPr="00A31137">
        <w:t>1995, U.S. Term Limits, Inc. v. Thornton, No. 93-1456</w:t>
      </w:r>
    </w:p>
    <w:p w:rsidR="00A31137" w:rsidRPr="00A31137" w:rsidRDefault="00A31137" w:rsidP="00A31137">
      <w:r w:rsidRPr="00A31137">
        <w:t>395 U.S. at  522 (emphasis in original); see also id. at  547. 6 In reaching that conclusion, we undertook a detailed historical review to determine the intent of the Framers. Though recognizing that the Constitutional Convention debates themselves were inconclusive, see id. at  532, we determined that the "relevant historical materials" reveal that Congress has no power to alter the qualifications in the text of the Constitution, id. at  522.</w:t>
      </w:r>
    </w:p>
    <w:p w:rsidR="00A31137" w:rsidRPr="00A31137" w:rsidRDefault="00A31137" w:rsidP="00A31137">
      <w:r w:rsidRPr="00A31137">
        <w:t>1995, U.S. Term Limits, Inc. v. Thornton, No. 93-1456</w:t>
      </w:r>
    </w:p>
    <w:p w:rsidR="00A31137" w:rsidRPr="00A31137" w:rsidRDefault="00A31137" w:rsidP="00A31137">
      <w:r w:rsidRPr="00A31137">
        <w:t>POWELL'S RELIANCE ON HISTORY</w:t>
      </w:r>
    </w:p>
    <w:p w:rsidR="00A31137" w:rsidRPr="00A31137" w:rsidRDefault="00A31137" w:rsidP="00A31137">
      <w:r w:rsidRPr="00A31137">
        <w:t>1995, U.S. Term Limits, Inc. v. Thornton, No. 93-1456</w:t>
      </w:r>
    </w:p>
    <w:p w:rsidR="00A31137" w:rsidRPr="00A31137" w:rsidRDefault="00A31137" w:rsidP="00A31137">
      <w:r w:rsidRPr="00A31137">
        <w:t>We started our analysis in Powell by examining the British experience with qualifications for membership in Parliament, focusing in particular on the experience of John Wilkes. While serving as a member of Parliament, Wilkes had published an attack on a peace treaty with France. This literary endeavor earned Wilkes a conviction for seditious libel and a 22-month prison sentence. In addition, Parliament declared Wilkes ineligible for membership, and ordered him expelled. Despite (or perhaps because of) these difficulties, Wilkes was reelected several times. Parliament, however, persisted in its refusal to seat him. After several years of Wilkes' efforts, the House of Commons voted to expunge the resolutions that had expelled Wilkes and had declared him ineligible, labeling those prior actions "'subversive of the rights of the whole body of electors of this kingdom.'" Id. at  528, quoting 22 Parliamentary History England 1411 (1782) (Parl.Hist.Eng.). After reviewing Wilkes' "long and bitter struggle for the right of the British electorate to be represented by men of their own choice," 395 U.S. at  528, we concluded in Powell that,</w:t>
      </w:r>
    </w:p>
    <w:p w:rsidR="00A31137" w:rsidRPr="00A31137" w:rsidRDefault="00A31137" w:rsidP="00A31137">
      <w:r w:rsidRPr="00A31137">
        <w:t>1995, U.S. Term Limits, Inc. v. Thornton, No. 93-1456</w:t>
      </w:r>
    </w:p>
    <w:p w:rsidR="00A31137" w:rsidRPr="00A31137" w:rsidRDefault="00A31137" w:rsidP="00A31137">
      <w:r w:rsidRPr="00A31137">
        <w:t>on the eve of the Constitutional Convention, English precedent stood for the proposition that "the law of the land had regulated the qualifications of members to serve in parliament," and those qualifications were "not occasional, but fixed."</w:t>
      </w:r>
    </w:p>
    <w:p w:rsidR="00A31137" w:rsidRPr="00A31137" w:rsidRDefault="00A31137" w:rsidP="00A31137">
      <w:r w:rsidRPr="00A31137">
        <w:t>1995, U.S. Term Limits, Inc. v. Thornton, No. 93-1456</w:t>
      </w:r>
    </w:p>
    <w:p w:rsidR="00A31137" w:rsidRPr="00A31137" w:rsidRDefault="00A31137" w:rsidP="00A31137">
      <w:r w:rsidRPr="00A31137">
        <w:t>Ibid. at  528, quoting 16 Parl.Hist.Eng. 589, 590 (1769).</w:t>
      </w:r>
    </w:p>
    <w:p w:rsidR="00A31137" w:rsidRPr="00A31137" w:rsidRDefault="00A31137" w:rsidP="00A31137">
      <w:r w:rsidRPr="00A31137">
        <w:t>1995, U.S. Term Limits, Inc. v. Thornton, No. 93-1456</w:t>
      </w:r>
    </w:p>
    <w:p w:rsidR="00A31137" w:rsidRPr="00A31137" w:rsidRDefault="00A31137" w:rsidP="00A31137">
      <w:r w:rsidRPr="00A31137">
        <w:t>Against this historical background, we viewed the Convention debates as manifesting the Framers' intent that the qualifications in the Constitution be fixed and exclusive. We found particularly revealing the debate concerning a proposal made by the Committee of Detail that would have given Congress the power to add property qualifications. James Madison argued that such a power would vest "'an improper &amp; dangerous power in the Legislature,'" by which the Legislature "'can by degrees subvert the Constitution.'" 395 U.S. at 533-534, quoting 2 Records of the Federal Convention of 1787, pp. 249-250 (M. Farrand ed. 1911) (hereinafter Farrand). 7 Madison continued:</w:t>
      </w:r>
    </w:p>
    <w:p w:rsidR="00A31137" w:rsidRPr="00A31137" w:rsidRDefault="00A31137" w:rsidP="00A31137">
      <w:r w:rsidRPr="00A31137">
        <w:t>1995, U.S. Term Limits, Inc. v. Thornton, No. 93-1456</w:t>
      </w:r>
    </w:p>
    <w:p w:rsidR="00A31137" w:rsidRPr="00A31137" w:rsidRDefault="00A31137" w:rsidP="00A31137">
      <w:r w:rsidRPr="00A31137">
        <w:t>"A Republic may be converted into an aristocracy or oligarchy as well by limiting the number capable of being elected as the number authorised to elect."</w:t>
      </w:r>
    </w:p>
    <w:p w:rsidR="00A31137" w:rsidRPr="00A31137" w:rsidRDefault="00A31137" w:rsidP="00A31137">
      <w:r w:rsidRPr="00A31137">
        <w:t>1995, U.S. Term Limits, Inc. v. Thornton, No. 93-1456</w:t>
      </w:r>
    </w:p>
    <w:p w:rsidR="00A31137" w:rsidRPr="00A31137" w:rsidRDefault="00A31137" w:rsidP="00A31137">
      <w:r w:rsidRPr="00A31137">
        <w:t>395 U.S. at  534, quoting 2 Farrand 250. We expressly noted that the "parallel between Madison's arguments and those made in Wilkes' behalf is striking." 395 U.S. at  534.</w:t>
      </w:r>
    </w:p>
    <w:p w:rsidR="00A31137" w:rsidRPr="00A31137" w:rsidRDefault="00A31137" w:rsidP="00A31137">
      <w:r w:rsidRPr="00A31137">
        <w:t>1995, U.S. Term Limits, Inc. v. Thornton, No. 93-1456</w:t>
      </w:r>
    </w:p>
    <w:p w:rsidR="00A31137" w:rsidRPr="00A31137" w:rsidRDefault="00A31137" w:rsidP="00A31137">
      <w:r w:rsidRPr="00A31137">
        <w:t>The Framers further revealed their concerns about congressional abuse of power when Gouverneur Morris suggested modifying the proposal of the Committee of Detail to grant Congress unfettered power to add qualifications. We noted that Hugh Williamson</w:t>
      </w:r>
    </w:p>
    <w:p w:rsidR="00A31137" w:rsidRPr="00A31137" w:rsidRDefault="00A31137" w:rsidP="00A31137">
      <w:r w:rsidRPr="00A31137">
        <w:t>1995, U.S. Term Limits, Inc. v. Thornton, No. 93-1456</w:t>
      </w:r>
    </w:p>
    <w:p w:rsidR="00A31137" w:rsidRPr="00A31137" w:rsidRDefault="00A31137" w:rsidP="00A31137">
      <w:r w:rsidRPr="00A31137">
        <w:t>expressed concern that if a majority of the legislature should happen to be "composed of any particular description of men, of lawyers for example,…the future elections might be secured to their own body."</w:t>
      </w:r>
    </w:p>
    <w:p w:rsidR="00A31137" w:rsidRPr="00A31137" w:rsidRDefault="00A31137" w:rsidP="00A31137">
      <w:r w:rsidRPr="00A31137">
        <w:t>1995, U.S. Term Limits, Inc. v. Thornton, No. 93-1456</w:t>
      </w:r>
    </w:p>
    <w:p w:rsidR="00A31137" w:rsidRPr="00A31137" w:rsidRDefault="00A31137" w:rsidP="00A31137">
      <w:r w:rsidRPr="00A31137">
        <w:t>Id. at  535, quoting 2 Farrand 250. We noted too that Madison emphasized the British Parliament's attempts to regulate qualifications, and that he observed: "'[T]he abuse they had made of it was a lesson worthy of our attention.'" 395 U.S. at  535, quoting 2 Farrand 250. We found significant that the Convention rejected both Morris' modification and the Committee's proposal.</w:t>
      </w:r>
    </w:p>
    <w:p w:rsidR="00A31137" w:rsidRPr="00A31137" w:rsidRDefault="00A31137" w:rsidP="00A31137">
      <w:r w:rsidRPr="00A31137">
        <w:t>1995, U.S. Term Limits, Inc. v. Thornton, No. 93-1456</w:t>
      </w:r>
    </w:p>
    <w:p w:rsidR="00A31137" w:rsidRPr="00A31137" w:rsidRDefault="00A31137" w:rsidP="00A31137">
      <w:r w:rsidRPr="00A31137">
        <w:t>We also recognized in Powell that the post-Convention ratification debates confirmed that the Framers understood the qualifications in the Constitution to be fixed and unalterable by Congress. For example, we noted that in response to the anti-federalist charge that the new Constitution favored the wealthy and well-born, Alexander Hamilton wrote:</w:t>
      </w:r>
    </w:p>
    <w:p w:rsidR="00A31137" w:rsidRPr="00A31137" w:rsidRDefault="00A31137" w:rsidP="00A31137">
      <w:r w:rsidRPr="00A31137">
        <w:t>1995, U.S. Term Limits, Inc. v. Thornton, No. 93-1456</w:t>
      </w:r>
    </w:p>
    <w:p w:rsidR="00A31137" w:rsidRPr="00A31137" w:rsidRDefault="00A31137" w:rsidP="00A31137">
      <w:r w:rsidRPr="00A31137">
        <w:t>"The truth is that there is no method of securing to the rich the preference apprehended but by prescribing qualifications of property either for those who may elect or be elected. But this forms no part of the power to be conferred upon the national government…. The qualifications of the persons who may choose or be chosen, as has been remarked upon other occasions, are defined and fixed in the Constitution, and are unalterable by the legislature."</w:t>
      </w:r>
    </w:p>
    <w:p w:rsidR="00A31137" w:rsidRPr="00A31137" w:rsidRDefault="00A31137" w:rsidP="00A31137">
      <w:r w:rsidRPr="00A31137">
        <w:t>1995, U.S. Term Limits, Inc. v. Thornton, No. 93-1456</w:t>
      </w:r>
    </w:p>
    <w:p w:rsidR="00A31137" w:rsidRPr="00A31137" w:rsidRDefault="00A31137" w:rsidP="00A31137">
      <w:r w:rsidRPr="00A31137">
        <w:t>395 U.S. at  539, quoting The Federalist No. 60, p. 371 (C. Rossiter ed. 1961) (emphasis added) (hereinafter The Federalist). We thus attached special significance to "Hamilton's express reliance on the immutability of the qualifications set forth in the Constitution." 395 U.S. at  540. Moreover, we reviewed the debates at the state conventions and found that they "also demonstrate the Framers' understanding that the qualifications for members of Congress had been fixed in the Constitution." Ibid.; see, e. g., id. at  541, citing 3 Debates on the Adoption of the Federal Constitution 8 (J. Elliot ed. 1863) (hereinafter Elliot's Debates) (Wilson Carey Nicholas, Virginia). 8</w:t>
      </w:r>
    </w:p>
    <w:p w:rsidR="00A31137" w:rsidRPr="00A31137" w:rsidRDefault="00A31137" w:rsidP="00A31137">
      <w:r w:rsidRPr="00A31137">
        <w:t>1995, U.S. Term Limits, Inc. v. Thornton, No. 93-1456</w:t>
      </w:r>
    </w:p>
    <w:p w:rsidR="00A31137" w:rsidRPr="00A31137" w:rsidRDefault="00A31137" w:rsidP="00A31137">
      <w:r w:rsidRPr="00A31137">
        <w:t>The exercise by Congress of its power to judge the qualifications of its Members further confirmed this understanding. We concluded that, during the first 100 years of its existence, "Congress strictly limited its power to judge the qualifications of its members to those enumerated in the Constitution." 395 U.S. at  542.</w:t>
      </w:r>
    </w:p>
    <w:p w:rsidR="00A31137" w:rsidRPr="00A31137" w:rsidRDefault="00A31137" w:rsidP="00A31137">
      <w:r w:rsidRPr="00A31137">
        <w:t>1995, U.S. Term Limits, Inc. v. Thornton, No. 93-1456</w:t>
      </w:r>
    </w:p>
    <w:p w:rsidR="00A31137" w:rsidRPr="00A31137" w:rsidRDefault="00A31137" w:rsidP="00A31137">
      <w:r w:rsidRPr="00A31137">
        <w:t>As this elaborate summary reveals, our historical analysis in Powell was both detailed and persuasive. We thus conclude now, as we did in Powell, that history shows that, with respect to Congress, the Framers intended the Constitution to establish fixed qualifications. 9</w:t>
      </w:r>
    </w:p>
    <w:p w:rsidR="00A31137" w:rsidRPr="00A31137" w:rsidRDefault="00A31137" w:rsidP="00A31137">
      <w:r w:rsidRPr="00A31137">
        <w:t>1995, U.S. Term Limits, Inc. v. Thornton, No. 93-1456</w:t>
      </w:r>
    </w:p>
    <w:p w:rsidR="00A31137" w:rsidRPr="00A31137" w:rsidRDefault="00A31137" w:rsidP="00A31137">
      <w:r w:rsidRPr="00A31137">
        <w:t>POWELL'S RELIANCE ON DEMOCRATIC PRINCIPLES</w:t>
      </w:r>
    </w:p>
    <w:p w:rsidR="00A31137" w:rsidRPr="00A31137" w:rsidRDefault="00A31137" w:rsidP="00A31137">
      <w:r w:rsidRPr="00A31137">
        <w:t>1995, U.S. Term Limits, Inc. v. Thornton, No. 93-1456</w:t>
      </w:r>
    </w:p>
    <w:p w:rsidR="00A31137" w:rsidRPr="00A31137" w:rsidRDefault="00A31137" w:rsidP="00A31137">
      <w:r w:rsidRPr="00A31137">
        <w:t>In Powell, of course, we did not rely solely on an analysis of the historical evidence, but instead complemented that analysis with "an examination of the basic principles of our democratic system." Id. at  548. We noted that allowing Congress to impose additional qualifications would violate that "fundamental principle of our representative democracy…'that the people should choose whom they please to govern them.'"   Id. at  547, quoting 2 Elliot's Debates 257 (A. Hamilton, New York).</w:t>
      </w:r>
    </w:p>
    <w:p w:rsidR="00A31137" w:rsidRPr="00A31137" w:rsidRDefault="00A31137" w:rsidP="00A31137">
      <w:r w:rsidRPr="00A31137">
        <w:t>1995, U.S. Term Limits, Inc. v. Thornton, No. 93-1456</w:t>
      </w:r>
    </w:p>
    <w:p w:rsidR="00A31137" w:rsidRPr="00A31137" w:rsidRDefault="00A31137" w:rsidP="00A31137">
      <w:r w:rsidRPr="00A31137">
        <w:t>Our opinion made clear that this broad principle incorporated at least two fundamental ideas. 10 First, we emphasized the egalitarian concept that the opportunity to be elected was open to all. 11 We noted in particular Madison's statement in The Federalist that,</w:t>
      </w:r>
    </w:p>
    <w:p w:rsidR="00A31137" w:rsidRPr="00A31137" w:rsidRDefault="00A31137" w:rsidP="00A31137">
      <w:r w:rsidRPr="00A31137">
        <w:t>1995, U.S. Term Limits, Inc. v. Thornton, No. 93-1456</w:t>
      </w:r>
    </w:p>
    <w:p w:rsidR="00A31137" w:rsidRPr="00A31137" w:rsidRDefault="00A31137" w:rsidP="00A31137">
      <w:r w:rsidRPr="00A31137">
        <w:t>"[u]nder these reasonable limitations [enumerated in the Constitution], the door of this part of the federal government is open to merit of every description, whether native or adoptive, whether young or old, and without regard to poverty or wealth, or to any particular profession of religious faith."</w:t>
      </w:r>
    </w:p>
    <w:p w:rsidR="00A31137" w:rsidRPr="00A31137" w:rsidRDefault="00A31137" w:rsidP="00A31137">
      <w:r w:rsidRPr="00A31137">
        <w:t>1995, U.S. Term Limits, Inc. v. Thornton, No. 93-1456</w:t>
      </w:r>
    </w:p>
    <w:p w:rsidR="00A31137" w:rsidRPr="00A31137" w:rsidRDefault="00A31137" w:rsidP="00A31137">
      <w:r w:rsidRPr="00A31137">
        <w:t>Powell, 395 U.S. at  540, n. 74, quoting The Federalist No. 52 at 326. Similarly, we noted that Wilson Carey Nicholas defended the Constitution against the charge that it "violated democratic principles" by arguing:</w:t>
      </w:r>
    </w:p>
    <w:p w:rsidR="00A31137" w:rsidRPr="00A31137" w:rsidRDefault="00A31137" w:rsidP="00A31137">
      <w:r w:rsidRPr="00A31137">
        <w:t>1995, U.S. Term Limits, Inc. v. Thornton, No. 93-1456</w:t>
      </w:r>
    </w:p>
    <w:p w:rsidR="00A31137" w:rsidRPr="00A31137" w:rsidRDefault="00A31137" w:rsidP="00A31137">
      <w:r w:rsidRPr="00A31137">
        <w:t>"It has ever been considered a great security to liberty that very few should be excluded from the right of being chosen to the legislature. This Constitution has amply attended to this idea. We find no qualifications required except those of age and residence."</w:t>
      </w:r>
    </w:p>
    <w:p w:rsidR="00A31137" w:rsidRPr="00A31137" w:rsidRDefault="00A31137" w:rsidP="00A31137">
      <w:r w:rsidRPr="00A31137">
        <w:t>1995, U.S. Term Limits, Inc. v. Thornton, No. 93-1456</w:t>
      </w:r>
    </w:p>
    <w:p w:rsidR="00A31137" w:rsidRPr="00A31137" w:rsidRDefault="00A31137" w:rsidP="00A31137">
      <w:r w:rsidRPr="00A31137">
        <w:t>395 U.S. at  541, quoting 3 Elliot's Debates 8.</w:t>
      </w:r>
    </w:p>
    <w:p w:rsidR="00A31137" w:rsidRPr="00A31137" w:rsidRDefault="00A31137" w:rsidP="00A31137">
      <w:r w:rsidRPr="00A31137">
        <w:t>1995, U.S. Term Limits, Inc. v. Thornton, No. 93-1456</w:t>
      </w:r>
    </w:p>
    <w:p w:rsidR="00A31137" w:rsidRPr="00A31137" w:rsidRDefault="00A31137" w:rsidP="00A31137">
      <w:r w:rsidRPr="00A31137">
        <w:t>Second, we recognized the critical postulate that sovereignty is vested in the people, and that sovereignty confers on the people the right to choose freely their representatives to the National Government. For example, we noted that</w:t>
      </w:r>
    </w:p>
    <w:p w:rsidR="00A31137" w:rsidRPr="00A31137" w:rsidRDefault="00A31137" w:rsidP="00A31137">
      <w:r w:rsidRPr="00A31137">
        <w:t>1995, U.S. Term Limits, Inc. v. Thornton, No. 93-1456</w:t>
      </w:r>
    </w:p>
    <w:p w:rsidR="00A31137" w:rsidRPr="00A31137" w:rsidRDefault="00A31137" w:rsidP="00A31137">
      <w:r w:rsidRPr="00A31137">
        <w:t>Robert Livingston…endorsed this same fundamental principle: "The people are the best judges who ought to represent them.   To dictate and control them, to tell them whom they shall not elect, is to abridge their natural rights."</w:t>
      </w:r>
    </w:p>
    <w:p w:rsidR="00A31137" w:rsidRPr="00A31137" w:rsidRDefault="00A31137" w:rsidP="00A31137">
      <w:r w:rsidRPr="00A31137">
        <w:t>1995, U.S. Term Limits, Inc. v. Thornton, No. 93-1456</w:t>
      </w:r>
    </w:p>
    <w:p w:rsidR="00A31137" w:rsidRPr="00A31137" w:rsidRDefault="00A31137" w:rsidP="00A31137">
      <w:r w:rsidRPr="00A31137">
        <w:t>395 U.S. at  541, n. 76, quoting 2 Elliot's Debates 292-293. Similarly, we observed that,</w:t>
      </w:r>
    </w:p>
    <w:p w:rsidR="00A31137" w:rsidRPr="00A31137" w:rsidRDefault="00A31137" w:rsidP="00A31137">
      <w:r w:rsidRPr="00A31137">
        <w:t>1995, U.S. Term Limits, Inc. v. Thornton, No. 93-1456</w:t>
      </w:r>
    </w:p>
    <w:p w:rsidR="00A31137" w:rsidRPr="00A31137" w:rsidRDefault="00A31137" w:rsidP="00A31137">
      <w:r w:rsidRPr="00A31137">
        <w:t>[b]efore the New York convention…, Hamilton emphasized:</w:t>
      </w:r>
    </w:p>
    <w:p w:rsidR="00A31137" w:rsidRPr="00A31137" w:rsidRDefault="00A31137" w:rsidP="00A31137">
      <w:r w:rsidRPr="00A31137">
        <w:t>1995, U.S. Term Limits, Inc. v. Thornton, No. 93-1456</w:t>
      </w:r>
    </w:p>
    <w:p w:rsidR="00A31137" w:rsidRPr="00A31137" w:rsidRDefault="00A31137" w:rsidP="00A31137">
      <w:r w:rsidRPr="00A31137">
        <w:t>The true principle of a republic is, that the people should choose whom they please to govern them. Representation is imperfect in proportion as the current of popular favor is checked. This great source of free government, popular election, should be perfectly pure, and the most unbounded liberty allowed.</w:t>
      </w:r>
    </w:p>
    <w:p w:rsidR="00A31137" w:rsidRPr="00A31137" w:rsidRDefault="00A31137" w:rsidP="00A31137">
      <w:r w:rsidRPr="00A31137">
        <w:t>1995, U.S. Term Limits, Inc. v. Thornton, No. 93-1456</w:t>
      </w:r>
    </w:p>
    <w:p w:rsidR="00A31137" w:rsidRPr="00A31137" w:rsidRDefault="00A31137" w:rsidP="00A31137">
      <w:r w:rsidRPr="00A31137">
        <w:t>395 U.S. at 540-541, quoting 2 Elliot's Debates 257.   Quoting from the statement made in 1807 by the Chairman of the House Committee on Elections, we noted that</w:t>
      </w:r>
    </w:p>
    <w:p w:rsidR="00A31137" w:rsidRPr="00A31137" w:rsidRDefault="00A31137" w:rsidP="00A31137">
      <w:r w:rsidRPr="00A31137">
        <w:t>1995, U.S. Term Limits, Inc. v. Thornton, No. 93-1456</w:t>
      </w:r>
    </w:p>
    <w:p w:rsidR="00A31137" w:rsidRPr="00A31137" w:rsidRDefault="00A31137" w:rsidP="00A31137">
      <w:r w:rsidRPr="00A31137">
        <w:t>restrictions upon the people to choose their own representatives must be limited to those "absolutely necessary for the safety of the society."</w:t>
      </w:r>
    </w:p>
    <w:p w:rsidR="00A31137" w:rsidRPr="00A31137" w:rsidRDefault="00A31137" w:rsidP="00A31137">
      <w:r w:rsidRPr="00A31137">
        <w:t>1995, U.S. Term Limits, Inc. v. Thornton, No. 93-1456</w:t>
      </w:r>
    </w:p>
    <w:p w:rsidR="00A31137" w:rsidRPr="00A31137" w:rsidRDefault="00A31137" w:rsidP="00A31137">
      <w:r w:rsidRPr="00A31137">
        <w:t>395 U.S. at  543, quoting 17 Annals of Cong. 874 (1807). Thus, in Powell, we agreed with the sentiment expressed on behalf of Wilkes' admission to Parliament:</w:t>
      </w:r>
    </w:p>
    <w:p w:rsidR="00A31137" w:rsidRPr="00A31137" w:rsidRDefault="00A31137" w:rsidP="00A31137">
      <w:r w:rsidRPr="00A31137">
        <w:t>1995, U.S. Term Limits, Inc. v. Thornton, No. 93-1456</w:t>
      </w:r>
    </w:p>
    <w:p w:rsidR="00A31137" w:rsidRPr="00A31137" w:rsidRDefault="00A31137" w:rsidP="00A31137">
      <w:r w:rsidRPr="00A31137">
        <w:t>"That the right of the electors to be represented by men of their own choice, was so essential for the preservation of all their other rights, that it ought to be considered as one of the most sacred parts of our constitution."</w:t>
      </w:r>
    </w:p>
    <w:p w:rsidR="00A31137" w:rsidRPr="00A31137" w:rsidRDefault="00A31137" w:rsidP="00A31137">
      <w:r w:rsidRPr="00A31137">
        <w:t>1995, U.S. Term Limits, Inc. v. Thornton, No. 93-1456</w:t>
      </w:r>
    </w:p>
    <w:p w:rsidR="00A31137" w:rsidRPr="00A31137" w:rsidRDefault="00A31137" w:rsidP="00A31137">
      <w:r w:rsidRPr="00A31137">
        <w:t>395 U.S. at  534, n. 65, quoting 16 Parl.Hist.Eng. 589-590 (1769).</w:t>
      </w:r>
    </w:p>
    <w:p w:rsidR="00A31137" w:rsidRPr="00A31137" w:rsidRDefault="00A31137" w:rsidP="00A31137">
      <w:r w:rsidRPr="00A31137">
        <w:t>1995, U.S. Term Limits, Inc. v. Thornton, No. 93-1456</w:t>
      </w:r>
    </w:p>
    <w:p w:rsidR="00A31137" w:rsidRPr="00A31137" w:rsidRDefault="00A31137" w:rsidP="00A31137">
      <w:r w:rsidRPr="00A31137">
        <w:t>Powell thus establishes two important propositions: first, that the "relevant historical materials" compel the conclusion that, at least with respect to qualifications imposed by Congress, the Framers intended the qualifications listed in the Constitution to be exclusive; and second, that that conclusion is equally compelled by an understanding of the "fundamental principle of our representative democracy…'that the people should choose whom they please to govern them.'" 395 U.S. at  547.</w:t>
      </w:r>
    </w:p>
    <w:p w:rsidR="00A31137" w:rsidRPr="00A31137" w:rsidRDefault="00A31137" w:rsidP="00A31137">
      <w:r w:rsidRPr="00A31137">
        <w:t>1995, U.S. Term Limits, Inc. v. Thornton, No. 93-1456</w:t>
      </w:r>
    </w:p>
    <w:p w:rsidR="00A31137" w:rsidRPr="00A31137" w:rsidRDefault="00A31137" w:rsidP="00A31137">
      <w:r w:rsidRPr="00A31137">
        <w:t>POWELL'S HOLDING</w:t>
      </w:r>
    </w:p>
    <w:p w:rsidR="00A31137" w:rsidRPr="00A31137" w:rsidRDefault="00A31137" w:rsidP="00A31137">
      <w:r w:rsidRPr="00A31137">
        <w:t>1995, U.S. Term Limits, Inc. v. Thornton, No. 93-1456</w:t>
      </w:r>
    </w:p>
    <w:p w:rsidR="00A31137" w:rsidRPr="00A31137" w:rsidRDefault="00A31137" w:rsidP="00A31137">
      <w:r w:rsidRPr="00A31137">
        <w:t>Petitioners argue somewhat half-heartedly that the narrow holding in Powell, which involved the power of the House to exclude a member pursuant to Art. I, § 5, does not control the more general question whether Congress has the power to add qualifications. Powell, however, is not susceptible to such a narrow reading. Our conclusion that Congress may not alter or add to the qualifications in the Constitution was integral to our analysis and outcome. See, e.g., id. at  540 (noting "Framers' understanding that the qualifications for members of Congress had been fixed in the Constitution"). Only two Terms ago, we confirmed this understanding of Powell in Nixon v. United States, 506 U.S. __ (1993). After noting that the three qualifications for membership specified in Art. I, § 2, are of "a precise, limited nature" and "unalterable by the legislature," we explained:</w:t>
      </w:r>
    </w:p>
    <w:p w:rsidR="00A31137" w:rsidRPr="00A31137" w:rsidRDefault="00A31137" w:rsidP="00A31137">
      <w:r w:rsidRPr="00A31137">
        <w:t>1995, U.S. Term Limits, Inc. v. Thornton, No. 93-1456</w:t>
      </w:r>
    </w:p>
    <w:p w:rsidR="00A31137" w:rsidRPr="00A31137" w:rsidRDefault="00A31137" w:rsidP="00A31137">
      <w:r w:rsidRPr="00A31137">
        <w:t>Our conclusion in Powell was based on the fixed meaning of "[q]ualifications" set forth in Art I, § 2. The claim by the House that its power to "be the Judge of the Elections, Returns and Qualifications of its own Members" was a textual commitment of unreviewable authority was defeated by the existence of this separate provision specifying the only qualifications which might be imposed for House membership.</w:t>
      </w:r>
    </w:p>
    <w:p w:rsidR="00A31137" w:rsidRPr="00A31137" w:rsidRDefault="00A31137" w:rsidP="00A31137">
      <w:r w:rsidRPr="00A31137">
        <w:t>1995, U.S. Term Limits, Inc. v. Thornton, No. 93-1456</w:t>
      </w:r>
    </w:p>
    <w:p w:rsidR="00A31137" w:rsidRPr="00A31137" w:rsidRDefault="00A31137" w:rsidP="00A31137">
      <w:r w:rsidRPr="00A31137">
        <w:t>Id. at __ . 12</w:t>
      </w:r>
    </w:p>
    <w:p w:rsidR="00A31137" w:rsidRPr="00A31137" w:rsidRDefault="00A31137" w:rsidP="00A31137">
      <w:r w:rsidRPr="00A31137">
        <w:t>1995, U.S. Term Limits, Inc. v. Thornton, No. 93-1456</w:t>
      </w:r>
    </w:p>
    <w:p w:rsidR="00A31137" w:rsidRPr="00A31137" w:rsidRDefault="00A31137" w:rsidP="00A31137">
      <w:r w:rsidRPr="00A31137">
        <w:t>Unsurprisingly, the state courts and lower federal courts have similarly concluded that Powell conclusively resolved the issue whether Congress has the power to impose additional qualifications. See, e.g., Joyner v. Mofford, 706 F.2d 1523, 1528 (CA9 1983) ("In Powell…, the Supreme Court accepted this restrictive view of the Qualifications Clause-at least as applied to Congress"); Michel v. Anderson, 14 F.3d 623 (CADC 1994) (citing Nixon's description of Powell's holding); Stumpf v. Lau, 108 Nev. 826, 830, 839 P.2d 120, 122 (1992) (citing Powell for the proposition that "[n]ot even Congress has the power to alter qualifications for these constitutional federal officers"). 13</w:t>
      </w:r>
    </w:p>
    <w:p w:rsidR="00A31137" w:rsidRPr="00A31137" w:rsidRDefault="00A31137" w:rsidP="00A31137">
      <w:r w:rsidRPr="00A31137">
        <w:t>1995, U.S. Term Limits, Inc. v. Thornton, No. 93-1456</w:t>
      </w:r>
    </w:p>
    <w:p w:rsidR="00A31137" w:rsidRPr="00A31137" w:rsidRDefault="00A31137" w:rsidP="00A31137">
      <w:r w:rsidRPr="00A31137">
        <w:t>In sum, after examining Powell's historical analysis and its articulation of the "basic principles of our democratic system," we reaffirm that the qualifications for service in Congress set forth in the text of the Constitution are "fixed," at least in the sense that they may not be supplemented by Congress.</w:t>
      </w:r>
    </w:p>
    <w:p w:rsidR="00A31137" w:rsidRPr="00A31137" w:rsidRDefault="00A31137" w:rsidP="00A31137">
      <w:r w:rsidRPr="00A31137">
        <w:t>III</w:t>
      </w:r>
    </w:p>
    <w:p w:rsidR="00A31137" w:rsidRPr="00A31137" w:rsidRDefault="00A31137" w:rsidP="00A31137">
      <w:r w:rsidRPr="00A31137">
        <w:t>1995, U.S. Term Limits, Inc. v. Thornton, No. 93-1456</w:t>
      </w:r>
    </w:p>
    <w:p w:rsidR="00A31137" w:rsidRPr="00A31137" w:rsidRDefault="00A31137" w:rsidP="00A31137">
      <w:r w:rsidRPr="00A31137">
        <w:t>Our reaffirmation of Powell, does not necessarily resolve the specific questions presented in these cases. For petitioners argue that, whatever the constitutionality of additional qualifications for membership imposed by Congress, the historical and textual materials discussed in Powell do not support the conclusion that the Constitution prohibits additional qualifications imposed by States.   In the absence of such a constitutional prohibition, petitioners argue, the Tenth Amendment and the principle of reserved powers require that States be allowed to add such qualifications.</w:t>
      </w:r>
    </w:p>
    <w:p w:rsidR="00A31137" w:rsidRPr="00A31137" w:rsidRDefault="00A31137" w:rsidP="00A31137">
      <w:r w:rsidRPr="00A31137">
        <w:t>1995, U.S. Term Limits, Inc. v. Thornton, No. 93-1456</w:t>
      </w:r>
    </w:p>
    <w:p w:rsidR="00A31137" w:rsidRPr="00A31137" w:rsidRDefault="00A31137" w:rsidP="00A31137">
      <w:r w:rsidRPr="00A31137">
        <w:t>Before addressing these arguments, we find it appropriate to take note of the striking unanimity among the courts that have considered the issue. None of the overwhelming array of briefs submitted by the parties and amici has called to our attention even a single case in which a state court or federal court has approved of a State's addition of qualifications for a member of Congress. To the contrary, an impressive number of courts have determined that States lack the authority to add qualifications. See, e.g., Chandler v. Howell, 104 Wash. 99, 175 P. 569 (1918); Eckwall v. Stadelman, 146 Ore. 439, 446, 30 P.2d 1037, 1040 (1934); Stockton v. McFarland, 56 Ariz. 138, 144, 106 P.2d 328, 330 (1940); State ex rel. Johnson v. Crane, 65 Wyo. 189, 197 P.2d 864 (1948); Dillon v. Fiorina, 340 F.Supp. 729, 731 (N.M. 1972); Stack v. Adams, 315 F.Supp. 1295, 1297-1298 (ND Fla. 1970); Buckingham v. State, 42 Del. 405, 35 A.2d 903, 905 (1944); Stumpf v. Lau, 108 Nev. 826, 830, 839 P.2d 120, 123 (1992); Danielson v. Fitzsimmons, 232 Minn. 149, 151, 44 N.W.2d 484, 486 (1950); In re Opinion of Judges, 79 S.D. 585, 587, 116 N.W.2d 233, 234 (1962). Courts have struck down state-imposed qualifications in the form of term limits, see, e. g., Thorsted v. Gregoire, 841 F.Supp. 1068, 1081 (WD Wash. 1994); Stumpf v. Lau, 108 Nev. at 830, 839 P.2d at 123, district residency requirements, see, e. g., Hellmann v. Collier, 217 Md. 93, 100, 141 A.2d 908, 911 (1958); Dillon v. Fiorina, 340 F.Supp. at 731; Exon v. Tiemann, 279 F.Supp. 609, 613 (Neb. 1968); State ex rel. Chavez v. Evans, 79 N. M. 578, 581, 446 P.2d 445, 448 (1968) (per curiam), loyalty oath requirements, see, e. g., Shub v. Simpson, 196 Md. 177, 199, 76 A.2d 332, 341, appeal dism'd, 340 U.S. 881 (1950); In re O'Connor, 173 Misc. 419, 421, 17 N.Y.S.2d 758, 760 (Super.Ct. 1940), and restrictions on those convicted of felonies, see, e. g., Application of Ferguson, 57 Misc.2d 1041, 1043, 294 N.Y.S.2d 174, 176 (Super.Ct. 1968); Danielson v. Fitzsimmons, 232 Minn. at 151, 44 N.W.2d at 486; State ex rel. Eaton v. Schmahl, 140 Minn. 219, 220, 167 N.W. 481 (1918) (per curiam). Prior to Powell, the commentators were similarly unanimous. See, e.g., 1 W. Blackstone, Commentaries Appendix 213 (S. Tucker ed. 1803) ("[T]hese provisions, as they require qualifications which the constitution does not, may possibly be found to be nugatory"); 1 Story § 627 (each member of Congress is "an officer of the union, deriving his powers and qualifications from the constitution, and neither created by, dependent upon, nor controllable by, the states"); 1 J. Kent, Commentaries on American Law 228, n. a (3d ed. 1836) ("the objections to the existence of any such power [on the part of the States to add qualifications are]…too palpable and weighty to admit of any discussion"); G. McCrary, American Law of Elections § 322 (4th ed. 1897) ("It is not competent for any State to add to or in any manner change the qualifications for a Federal office, as prescribed by the Constitution or laws of the United States"); T. Cooley, General Principles of Constitutional Law 268 (2d ed. 1891) ("The Constitution and laws of the United States determine what shall be the qualifications for federal offices, and state constitutions and laws can neither add to nor take away from them"); C. Burdick, Law of the American Constitution 160 (1922) ("It is clearly the intention of the Constitution that all persons not disqualified by the terms of that instrument should be eligible to the federal office of Representative"); id. at 165 ("It is as clear that States have no more right to add to the constitutional qualifications of Senators than they have to add to those for Representatives"); Warren 422 ("The elimination of all power in Congress to fix qualifications clearly left the provisions of the Constitution itself as the sole source of qualifications"). 14 This impressive and uniform body of judicial decisions and learned commentary indicates that the obstacles confronting petitioners are formidable indeed.</w:t>
      </w:r>
    </w:p>
    <w:p w:rsidR="00A31137" w:rsidRPr="00A31137" w:rsidRDefault="00A31137" w:rsidP="00A31137">
      <w:r w:rsidRPr="00A31137">
        <w:t>1995, U.S. Term Limits, Inc. v. Thornton, No. 93-1456</w:t>
      </w:r>
    </w:p>
    <w:p w:rsidR="00A31137" w:rsidRPr="00A31137" w:rsidRDefault="00A31137" w:rsidP="00A31137">
      <w:r w:rsidRPr="00A31137">
        <w:t>Petitioners argue that the Constitution contains no express prohibition against state-added qualifications, and that Amendment 73 is therefore an appropriate exercise of a State's reserved power to place additional restrictions on the choices that its own voters may make. We disagree for two independent reasons. First, we conclude that the power to add qualifications is not within the "original powers" of the States, and thus is not reserved to the States by the Tenth Amendment. Second, even if States possessed some original power in this area, we conclude that the Framers intended the Constitution to be the exclusive source of qualifications for members of Congress, and that the Framers thereby "divested" States of any power to add qualifications.</w:t>
      </w:r>
    </w:p>
    <w:p w:rsidR="00A31137" w:rsidRPr="00A31137" w:rsidRDefault="00A31137" w:rsidP="00A31137">
      <w:r w:rsidRPr="00A31137">
        <w:t>1995, U.S. Term Limits, Inc. v. Thornton, No. 93-1456</w:t>
      </w:r>
    </w:p>
    <w:p w:rsidR="00A31137" w:rsidRPr="00A31137" w:rsidRDefault="00A31137" w:rsidP="00A31137">
      <w:r w:rsidRPr="00A31137">
        <w:t>The "plan of the convention" as illuminated by the historical materials, our opinions, and the text of the Tenth Amendment, draws a basic distinction between the powers of the newly created Federal Government and the powers retained by the preexisting sovereign States. As Chief Justice Marshall explained,</w:t>
      </w:r>
    </w:p>
    <w:p w:rsidR="00A31137" w:rsidRPr="00A31137" w:rsidRDefault="00A31137" w:rsidP="00A31137">
      <w:r w:rsidRPr="00A31137">
        <w:t>1995, U.S. Term Limits, Inc. v. Thornton, No. 93-1456</w:t>
      </w:r>
    </w:p>
    <w:p w:rsidR="00A31137" w:rsidRPr="00A31137" w:rsidRDefault="00A31137" w:rsidP="00A31137">
      <w:r w:rsidRPr="00A31137">
        <w:t>it was neither necessary nor proper to define the powers retained by the States. These powers proceed, not from the people of America, but from the people of the several States; and remain, after the adoption of the constitution, what they were before, except so far as they may be abridged by that instrument.</w:t>
      </w:r>
    </w:p>
    <w:p w:rsidR="00A31137" w:rsidRPr="00A31137" w:rsidRDefault="00A31137" w:rsidP="00A31137">
      <w:r w:rsidRPr="00A31137">
        <w:t>1995, U.S. Term Limits, Inc. v. Thornton, No. 93-1456</w:t>
      </w:r>
    </w:p>
    <w:p w:rsidR="00A31137" w:rsidRPr="00A31137" w:rsidRDefault="00A31137" w:rsidP="00A31137">
      <w:r w:rsidRPr="00A31137">
        <w:t>Sturges v. Crowninshield, 4 Wheat. 122, 193 (1819).</w:t>
      </w:r>
    </w:p>
    <w:p w:rsidR="00A31137" w:rsidRPr="00A31137" w:rsidRDefault="00A31137" w:rsidP="00A31137">
      <w:r w:rsidRPr="00A31137">
        <w:t>1995, U.S. Term Limits, Inc. v. Thornton, No. 93-1456</w:t>
      </w:r>
    </w:p>
    <w:p w:rsidR="00A31137" w:rsidRPr="00A31137" w:rsidRDefault="00A31137" w:rsidP="00A31137">
      <w:r w:rsidRPr="00A31137">
        <w:t>This classic statement by the Chief Justice endorsed Hamilton's reasoning in The Federalist No. 32 that the plan of the Constitutional Convention did not contemplate "[a]n entire consolidation of the States into one complete national sovereignty," but only a partial consolidation in which</w:t>
      </w:r>
    </w:p>
    <w:p w:rsidR="00A31137" w:rsidRPr="00A31137" w:rsidRDefault="00A31137" w:rsidP="00A31137">
      <w:r w:rsidRPr="00A31137">
        <w:t>1995, U.S. Term Limits, Inc. v. Thornton, No. 93-1456</w:t>
      </w:r>
    </w:p>
    <w:p w:rsidR="00A31137" w:rsidRPr="00A31137" w:rsidRDefault="00A31137" w:rsidP="00A31137">
      <w:r w:rsidRPr="00A31137">
        <w:t>the State governments would clearly retain all the rights of sovereignty which they before had, and which were not, by that act, exclusively delegated to the United States.</w:t>
      </w:r>
    </w:p>
    <w:p w:rsidR="00A31137" w:rsidRPr="00A31137" w:rsidRDefault="00A31137" w:rsidP="00A31137">
      <w:r w:rsidRPr="00A31137">
        <w:t>1995, U.S. Term Limits, Inc. v. Thornton, No. 93-1456</w:t>
      </w:r>
    </w:p>
    <w:p w:rsidR="00A31137" w:rsidRPr="00A31137" w:rsidRDefault="00A31137" w:rsidP="00A31137">
      <w:r w:rsidRPr="00A31137">
        <w:t>The Federalist No. 32 at 198. The text of the Tenth Amendment unambiguously confirms this principle:</w:t>
      </w:r>
    </w:p>
    <w:p w:rsidR="00A31137" w:rsidRPr="00A31137" w:rsidRDefault="00A31137" w:rsidP="00A31137">
      <w:r w:rsidRPr="00A31137">
        <w:t>1995, U.S. Term Limits, Inc. v. Thornton, No. 93-1456</w:t>
      </w:r>
    </w:p>
    <w:p w:rsidR="00A31137" w:rsidRPr="00A31137" w:rsidRDefault="00A31137" w:rsidP="00A31137">
      <w:r w:rsidRPr="00A31137">
        <w:t>The powers not delegated to the United States by the Constitution, nor prohibited by it to the States, are reserved to the States respectively, or to the people.</w:t>
      </w:r>
    </w:p>
    <w:p w:rsidR="00A31137" w:rsidRPr="00A31137" w:rsidRDefault="00A31137" w:rsidP="00A31137">
      <w:r w:rsidRPr="00A31137">
        <w:t>1995, U.S. Term Limits, Inc. v. Thornton, No. 93-1456</w:t>
      </w:r>
    </w:p>
    <w:p w:rsidR="00A31137" w:rsidRPr="00A31137" w:rsidRDefault="00A31137" w:rsidP="00A31137">
      <w:r w:rsidRPr="00A31137">
        <w:t>As we have frequently noted,</w:t>
      </w:r>
    </w:p>
    <w:p w:rsidR="00A31137" w:rsidRPr="00A31137" w:rsidRDefault="00A31137" w:rsidP="00A31137">
      <w:r w:rsidRPr="00A31137">
        <w:t>1995, U.S. Term Limits, Inc. v. Thornton, No. 93-1456</w:t>
      </w:r>
    </w:p>
    <w:p w:rsidR="00A31137" w:rsidRPr="00A31137" w:rsidRDefault="00A31137" w:rsidP="00A31137">
      <w:r w:rsidRPr="00A31137">
        <w:t>[t]he States unquestionably do retain a significant measure of sovereign authority. They do so, however, only to the extent that the Constitution has not divested them of their original powers and transferred those powers to the Federal Government.</w:t>
      </w:r>
    </w:p>
    <w:p w:rsidR="00A31137" w:rsidRPr="00A31137" w:rsidRDefault="00A31137" w:rsidP="00A31137">
      <w:r w:rsidRPr="00A31137">
        <w:t>1995, U.S. Term Limits, Inc. v. Thornton, No. 93-1456</w:t>
      </w:r>
    </w:p>
    <w:p w:rsidR="00A31137" w:rsidRPr="00A31137" w:rsidRDefault="00A31137" w:rsidP="00A31137">
      <w:r w:rsidRPr="00A31137">
        <w:t>Garcia v. San Antonio Metropolitan Transit Authority, 469 U.S. 528,  549 (1985) (internal quotation marks and citation omitted) (emphasis added); see also New York v. United States, 505 U.S. __ (1992).</w:t>
      </w:r>
    </w:p>
    <w:p w:rsidR="00A31137" w:rsidRPr="00A31137" w:rsidRDefault="00A31137" w:rsidP="00A31137">
      <w:r w:rsidRPr="00A31137">
        <w:t>1995, U.S. Term Limits, Inc. v. Thornton, No. 93-1456</w:t>
      </w:r>
    </w:p>
    <w:p w:rsidR="00A31137" w:rsidRPr="00A31137" w:rsidRDefault="00A31137" w:rsidP="00A31137">
      <w:r w:rsidRPr="00A31137">
        <w:t>SOURCE OF THE POWER</w:t>
      </w:r>
    </w:p>
    <w:p w:rsidR="00A31137" w:rsidRPr="00A31137" w:rsidRDefault="00A31137" w:rsidP="00A31137">
      <w:r w:rsidRPr="00A31137">
        <w:t>1995, U.S. Term Limits, Inc. v. Thornton, No. 93-1456</w:t>
      </w:r>
    </w:p>
    <w:p w:rsidR="00A31137" w:rsidRPr="00A31137" w:rsidRDefault="00A31137" w:rsidP="00A31137">
      <w:r w:rsidRPr="00A31137">
        <w:t>Contrary to petitioners' assertions, the power to add qualifications is not part of the original powers of sovereignty that the Tenth Amendment reserved to the States. Petitioners' Tenth Amendment argument misconceives the nature of the right at issue because that Amendment could only "reserve" that which existed before. As Justice Story recognized,</w:t>
      </w:r>
    </w:p>
    <w:p w:rsidR="00A31137" w:rsidRPr="00A31137" w:rsidRDefault="00A31137" w:rsidP="00A31137">
      <w:r w:rsidRPr="00A31137">
        <w:t>1995, U.S. Term Limits, Inc. v. Thornton, No. 93-1456</w:t>
      </w:r>
    </w:p>
    <w:p w:rsidR="00A31137" w:rsidRPr="00A31137" w:rsidRDefault="00A31137" w:rsidP="00A31137">
      <w:r w:rsidRPr="00A31137">
        <w:t>the states can exercise no powers whatsoever, which exclusively spring out of the existence of the national government, which the constitution does not delegate to them…. No state can say, that it has reserved, what it never possessed.</w:t>
      </w:r>
    </w:p>
    <w:p w:rsidR="00A31137" w:rsidRPr="00A31137" w:rsidRDefault="00A31137" w:rsidP="00A31137">
      <w:r w:rsidRPr="00A31137">
        <w:t>1995, U.S. Term Limits, Inc. v. Thornton, No. 93-1456</w:t>
      </w:r>
    </w:p>
    <w:p w:rsidR="00A31137" w:rsidRPr="00A31137" w:rsidRDefault="00A31137" w:rsidP="00A31137">
      <w:r w:rsidRPr="00A31137">
        <w:t>1 Story § 627.</w:t>
      </w:r>
    </w:p>
    <w:p w:rsidR="00A31137" w:rsidRPr="00A31137" w:rsidRDefault="00A31137" w:rsidP="00A31137">
      <w:r w:rsidRPr="00A31137">
        <w:t>1995, U.S. Term Limits, Inc. v. Thornton, No. 93-1456</w:t>
      </w:r>
    </w:p>
    <w:p w:rsidR="00A31137" w:rsidRPr="00A31137" w:rsidRDefault="00A31137" w:rsidP="00A31137">
      <w:r w:rsidRPr="00A31137">
        <w:t>Justice Story's position thus echoes that of Chief Justice Marshall in McCulloch v. Maryland, 4 Wheat. 316 (1819). In McCulloch, the Court rejected the argument that the Constitution's silence on the subject of state power to tax corporations chartered by Congress implies that the States have "reserved" power to tax such federal instrumentalities. As Chief Justice Marshall pointed out, an "original right to tax" such federal entities "never existed, and the question whether it has been surrendered, cannot arise." id. at  430. See also Crandall v. Nevada, 6 Wall. 35, 46 (1868). In language that presaged Justice Story's argument, Chief Justice Marshall concluded: "This opinion does not deprive the States of any resources which they originally possessed." 4 Wheat. at  436. 15</w:t>
      </w:r>
    </w:p>
    <w:p w:rsidR="00A31137" w:rsidRPr="00A31137" w:rsidRDefault="00A31137" w:rsidP="00A31137">
      <w:r w:rsidRPr="00A31137">
        <w:t>1995, U.S. Term Limits, Inc. v. Thornton, No. 93-1456</w:t>
      </w:r>
    </w:p>
    <w:p w:rsidR="00A31137" w:rsidRPr="00A31137" w:rsidRDefault="00A31137" w:rsidP="00A31137">
      <w:r w:rsidRPr="00A31137">
        <w:t>With respect to setting qualifications for service in Congress, no such right existed before the Constitution was ratified. The contrary argument overlooks the revolutionary character of the government that the Framers conceived. Prior to the adoption of the Constitution, the States had joined together under the Articles of Confederation. In that system, "the States retained most of their sovereignty, like independent nations bound together only by treaties." Wesberry v. Sanders, 376 U.S. 1,  9 (1964). After the Constitutional Convention convened, the Framers were presented with, and eventually adopted a variation of,</w:t>
      </w:r>
    </w:p>
    <w:p w:rsidR="00A31137" w:rsidRPr="00A31137" w:rsidRDefault="00A31137" w:rsidP="00A31137">
      <w:r w:rsidRPr="00A31137">
        <w:t>1995, U.S. Term Limits, Inc. v. Thornton, No. 93-1456</w:t>
      </w:r>
    </w:p>
    <w:p w:rsidR="00A31137" w:rsidRPr="00A31137" w:rsidRDefault="00A31137" w:rsidP="00A31137">
      <w:r w:rsidRPr="00A31137">
        <w:t>a plan not merely to amend the Articles of Confederation, but to create an entirely new National Government with a National Executive, National Judiciary, and a National Legislature.</w:t>
      </w:r>
    </w:p>
    <w:p w:rsidR="00A31137" w:rsidRPr="00A31137" w:rsidRDefault="00A31137" w:rsidP="00A31137">
      <w:r w:rsidRPr="00A31137">
        <w:t>1995, U.S. Term Limits, Inc. v. Thornton, No. 93-1456</w:t>
      </w:r>
    </w:p>
    <w:p w:rsidR="00A31137" w:rsidRPr="00A31137" w:rsidRDefault="00A31137" w:rsidP="00A31137">
      <w:r w:rsidRPr="00A31137">
        <w:t>Id. at  10. In adopting that plan, the Framers envisioned a uniform national system, rejecting the notion that the Nation was a collection of States, and instead creating a direct link between the National Government and the people of the United States. See, e.g., FERC v. Mississippi, 456 U.S. 742,  791 (1982) (O'CONNOR, J., concurring in the judgment in part and dissenting in part) ("The Constitution…permitt[ed] direct contact between the National Government and the individual citizen"). In that National Government, representatives owe primary allegiance not to the people of a State, but to the people of the Nation. As Justice Story observed, each Member of Congress is</w:t>
      </w:r>
    </w:p>
    <w:p w:rsidR="00A31137" w:rsidRPr="00A31137" w:rsidRDefault="00A31137" w:rsidP="00A31137">
      <w:r w:rsidRPr="00A31137">
        <w:t>1995, U.S. Term Limits, Inc. v. Thornton, No. 93-1456</w:t>
      </w:r>
    </w:p>
    <w:p w:rsidR="00A31137" w:rsidRPr="00A31137" w:rsidRDefault="00A31137" w:rsidP="00A31137">
      <w:r w:rsidRPr="00A31137">
        <w:t>an officer of the union, deriving his powers and qualifications from the constitution, and neither created by, dependent upon, nor controllable by, the states…. Those officers owe their existence and functions to the united voice of the whole, not of a portion, of the people.</w:t>
      </w:r>
    </w:p>
    <w:p w:rsidR="00A31137" w:rsidRPr="00A31137" w:rsidRDefault="00A31137" w:rsidP="00A31137">
      <w:r w:rsidRPr="00A31137">
        <w:t>1995, U.S. Term Limits, Inc. v. Thornton, No. 93-1456</w:t>
      </w:r>
    </w:p>
    <w:p w:rsidR="00A31137" w:rsidRPr="00A31137" w:rsidRDefault="00A31137" w:rsidP="00A31137">
      <w:r w:rsidRPr="00A31137">
        <w:t>1 Story § 627. Representatives and Senators are as much officers of the entire union as is the President. States thus</w:t>
      </w:r>
    </w:p>
    <w:p w:rsidR="00A31137" w:rsidRPr="00A31137" w:rsidRDefault="00A31137" w:rsidP="00A31137">
      <w:r w:rsidRPr="00A31137">
        <w:t>1995, U.S. Term Limits, Inc. v. Thornton, No. 93-1456</w:t>
      </w:r>
    </w:p>
    <w:p w:rsidR="00A31137" w:rsidRPr="00A31137" w:rsidRDefault="00A31137" w:rsidP="00A31137">
      <w:r w:rsidRPr="00A31137">
        <w:t>have just as much right, and no more, to prescribe new qualifications for a representative, as they have for a president…. It is no original prerogative of state power to appoint a representative, a senator, or president for the union.</w:t>
      </w:r>
    </w:p>
    <w:p w:rsidR="00A31137" w:rsidRPr="00A31137" w:rsidRDefault="00A31137" w:rsidP="00A31137">
      <w:r w:rsidRPr="00A31137">
        <w:t>1995, U.S. Term Limits, Inc. v. Thornton, No. 93-1456</w:t>
      </w:r>
    </w:p>
    <w:p w:rsidR="00A31137" w:rsidRPr="00A31137" w:rsidRDefault="00A31137" w:rsidP="00A31137">
      <w:r w:rsidRPr="00A31137">
        <w:t>Ibid. 16</w:t>
      </w:r>
    </w:p>
    <w:p w:rsidR="00A31137" w:rsidRPr="00A31137" w:rsidRDefault="00A31137" w:rsidP="00A31137">
      <w:r w:rsidRPr="00A31137">
        <w:t>1995, U.S. Term Limits, Inc. v. Thornton, No. 93-1456</w:t>
      </w:r>
    </w:p>
    <w:p w:rsidR="00A31137" w:rsidRPr="00A31137" w:rsidRDefault="00A31137" w:rsidP="00A31137">
      <w:r w:rsidRPr="00A31137">
        <w:t>We believe that the Constitution reflects the Framers' general agreement with the approach later articulated by Justice Story. For example, Art. I, § 5, cl. 1 provides: "Each House shall be the Judge of the Elections, Returns and Qualifications of its own Members." The text of the Constitution thus gives the representatives of all the people the final say in judging the qualifications of the representatives of any one State. For this reason, the dissent falters when it states that "the people of Georgia have no say over whom the people of Massachusetts select to represent them in Congress." Post at ___.</w:t>
      </w:r>
    </w:p>
    <w:p w:rsidR="00A31137" w:rsidRPr="00A31137" w:rsidRDefault="00A31137" w:rsidP="00A31137">
      <w:r w:rsidRPr="00A31137">
        <w:t>1995, U.S. Term Limits, Inc. v. Thornton, No. 93-1456</w:t>
      </w:r>
    </w:p>
    <w:p w:rsidR="00A31137" w:rsidRPr="00A31137" w:rsidRDefault="00A31137" w:rsidP="00A31137">
      <w:r w:rsidRPr="00A31137">
        <w:t>Two other sections of the Constitution further support our view of the Framers' vision. First, consistent with Story's view, the Constitution provides that the salaries of representatives should "be ascertained by Law, and paid out of the Treasury of the United States," Art. I, § 6, rather than by individual States. The salary provisions reflect the view that representatives owe their allegiance to the people, and not to States. Second, the provisions governing elections reveal the Framers' understanding that powers over the election of federal officers had to be delegated to, rather than reserved by, the States. It is surely no coincidence that the context of federal elections provides one of the few areas in which the Constitution expressly requires action by the States, namely that</w:t>
      </w:r>
    </w:p>
    <w:p w:rsidR="00A31137" w:rsidRPr="00A31137" w:rsidRDefault="00A31137" w:rsidP="00A31137">
      <w:r w:rsidRPr="00A31137">
        <w:t>1995, U.S. Term Limits, Inc. v. Thornton, No. 93-1456</w:t>
      </w:r>
    </w:p>
    <w:p w:rsidR="00A31137" w:rsidRPr="00A31137" w:rsidRDefault="00A31137" w:rsidP="00A31137">
      <w:r w:rsidRPr="00A31137">
        <w:t>[t]he Times, Places and Manner of holding Elections for Senators and Representatives, shall be prescribed in each State by the legislature thereof.</w:t>
      </w:r>
    </w:p>
    <w:p w:rsidR="00A31137" w:rsidRPr="00A31137" w:rsidRDefault="00A31137" w:rsidP="00A31137">
      <w:r w:rsidRPr="00A31137">
        <w:t>1995, U.S. Term Limits, Inc. v. Thornton, No. 93-1456</w:t>
      </w:r>
    </w:p>
    <w:p w:rsidR="00A31137" w:rsidRPr="00A31137" w:rsidRDefault="00A31137" w:rsidP="00A31137">
      <w:r w:rsidRPr="00A31137">
        <w:t>This duty parallels the duty under Article II that "Each State shall appoint, in such Manner as the Legislature thereof may direct, a Number of Electors." Art II., § 1, cl. 2. These Clauses are express delegations of power to the States to act with respect to federal elections. 17</w:t>
      </w:r>
    </w:p>
    <w:p w:rsidR="00A31137" w:rsidRPr="00A31137" w:rsidRDefault="00A31137" w:rsidP="00A31137">
      <w:r w:rsidRPr="00A31137">
        <w:t>1995, U.S. Term Limits, Inc. v. Thornton, No. 93-1456</w:t>
      </w:r>
    </w:p>
    <w:p w:rsidR="00A31137" w:rsidRPr="00A31137" w:rsidRDefault="00A31137" w:rsidP="00A31137">
      <w:r w:rsidRPr="00A31137">
        <w:t>This conclusion is consistent with our previous recognition that, in certain limited contexts, the power to regulate the incidents of the federal system is not a reserved power of the States, but rather is delegated by the Constitution. Thus, we have noted that,</w:t>
      </w:r>
    </w:p>
    <w:p w:rsidR="00A31137" w:rsidRPr="00A31137" w:rsidRDefault="00A31137" w:rsidP="00A31137">
      <w:r w:rsidRPr="00A31137">
        <w:t>1995, U.S. Term Limits, Inc. v. Thornton, No. 93-1456</w:t>
      </w:r>
    </w:p>
    <w:p w:rsidR="00A31137" w:rsidRPr="00A31137" w:rsidRDefault="00A31137" w:rsidP="00A31137">
      <w:r w:rsidRPr="00A31137">
        <w:t>[w]hile, in a loose sense, the right to vote for representatives in Congress is sometimes spoken of as a right derived from the states,…this statement is true only in the sense that the states are authorized by the Constitution, to legislate on the subject as provided by § 2 of Art. I.</w:t>
      </w:r>
    </w:p>
    <w:p w:rsidR="00A31137" w:rsidRPr="00A31137" w:rsidRDefault="00A31137" w:rsidP="00A31137">
      <w:r w:rsidRPr="00A31137">
        <w:t>1995, U.S. Term Limits, Inc. v. Thornton, No. 93-1456</w:t>
      </w:r>
    </w:p>
    <w:p w:rsidR="00A31137" w:rsidRPr="00A31137" w:rsidRDefault="00A31137" w:rsidP="00A31137">
      <w:r w:rsidRPr="00A31137">
        <w:t>United States v. Classic, 313 U.S. 299,  315 (1941). Cf. Hawke v. Smith, 253 U.S. 221 (1920) ("[T]he power to ratify a proposed amendment to the Federal Constitution has its source in the Federal Constitution. The act of ratification by the State derives its authority from the Federal Constitution to which the State and its people have alike assented").</w:t>
      </w:r>
    </w:p>
    <w:p w:rsidR="00A31137" w:rsidRPr="00A31137" w:rsidRDefault="00A31137" w:rsidP="00A31137">
      <w:r w:rsidRPr="00A31137">
        <w:t>1995, U.S. Term Limits, Inc. v. Thornton, No. 93-1456</w:t>
      </w:r>
    </w:p>
    <w:p w:rsidR="00A31137" w:rsidRPr="00A31137" w:rsidRDefault="00A31137" w:rsidP="00A31137">
      <w:r w:rsidRPr="00A31137">
        <w:t>In short, as the Framers recognized, electing representatives to the National Legislature was a new right, arising from the Constitution itself. The Tenth Amendment thus provides no basis for concluding that the States possess reserved power to add qualifications to those that are fixed in the Constitution. Instead, any state power to set the qualifications for membership in Congress must derive not from the reserved powers of state sovereignty, but rather from the delegated powers of national sovereignty. In the absence of any constitutional delegation to the States of power to add qualifications to those enumerated in the Constitution, such a power does not exist.</w:t>
      </w:r>
    </w:p>
    <w:p w:rsidR="00A31137" w:rsidRPr="00A31137" w:rsidRDefault="00A31137" w:rsidP="00A31137">
      <w:r w:rsidRPr="00A31137">
        <w:t>1995, U.S. Term Limits, Inc. v. Thornton, No. 93-1456</w:t>
      </w:r>
    </w:p>
    <w:p w:rsidR="00A31137" w:rsidRPr="00A31137" w:rsidRDefault="00A31137" w:rsidP="00A31137">
      <w:r w:rsidRPr="00A31137">
        <w:t>THE PRECLUSION OF STATE POWER</w:t>
      </w:r>
    </w:p>
    <w:p w:rsidR="00A31137" w:rsidRPr="00A31137" w:rsidRDefault="00A31137" w:rsidP="00A31137">
      <w:r w:rsidRPr="00A31137">
        <w:t>1995, U.S. Term Limits, Inc. v. Thornton, No. 93-1456</w:t>
      </w:r>
    </w:p>
    <w:p w:rsidR="00A31137" w:rsidRPr="00A31137" w:rsidRDefault="00A31137" w:rsidP="00A31137">
      <w:r w:rsidRPr="00A31137">
        <w:t>Even if we believed that States possessed as part of their original powers some control over congressional qualifications, the text and structure of the Constitution, the relevant historical materials, and, most importantly, the "basic principles of our democratic system" all demonstrate that the Qualifications Clauses were intended to preclude the States from exercising any such power and to fix as exclusive the qualifications in the Constitution.</w:t>
      </w:r>
    </w:p>
    <w:p w:rsidR="00A31137" w:rsidRPr="00A31137" w:rsidRDefault="00A31137" w:rsidP="00A31137">
      <w:r w:rsidRPr="00A31137">
        <w:t>1995, U.S. Term Limits, Inc. v. Thornton, No. 93-1456</w:t>
      </w:r>
    </w:p>
    <w:p w:rsidR="00A31137" w:rsidRPr="00A31137" w:rsidRDefault="00A31137" w:rsidP="00A31137">
      <w:r w:rsidRPr="00A31137">
        <w:t>Much of the historical analysis was undertaken by the Court in Powell. See supra at ___. There is, however, additional historical evidence that pertains directly to the power of States. That evidence, though perhaps not as extensive as that reviewed in Powell, leads unavoidably to the conclusion that the States lack the power to add qualifications.</w:t>
      </w:r>
    </w:p>
    <w:p w:rsidR="00A31137" w:rsidRPr="00A31137" w:rsidRDefault="00A31137" w:rsidP="00A31137">
      <w:r w:rsidRPr="00A31137">
        <w:t>1995, U.S. Term Limits, Inc. v. Thornton, No. 93-1456</w:t>
      </w:r>
    </w:p>
    <w:p w:rsidR="00A31137" w:rsidRPr="00A31137" w:rsidRDefault="00A31137" w:rsidP="00A31137">
      <w:r w:rsidRPr="00A31137">
        <w:t>The Convention and Ratification Debates</w:t>
      </w:r>
    </w:p>
    <w:p w:rsidR="00A31137" w:rsidRPr="00A31137" w:rsidRDefault="00A31137" w:rsidP="00A31137">
      <w:r w:rsidRPr="00A31137">
        <w:t>1995, U.S. Term Limits, Inc. v. Thornton, No. 93-1456</w:t>
      </w:r>
    </w:p>
    <w:p w:rsidR="00A31137" w:rsidRPr="00A31137" w:rsidRDefault="00A31137" w:rsidP="00A31137">
      <w:r w:rsidRPr="00A31137">
        <w:t>The available affirmative evidence indicates the Framers' intent that States have no role in the setting of qualifications. In Federalist Paper No. 52, dealing with the House of Representatives, Madison addressed the "qualifications of the electors and the elected." The Federalist No. 52 at 325. Madison first noted the difficulty in achieving uniformity in the qualifications for electors, which resulted in the Framers' decision to require only that the qualifications for federal electors be the same as those for state electors. Madison argued that such a decision</w:t>
      </w:r>
    </w:p>
    <w:p w:rsidR="00A31137" w:rsidRPr="00A31137" w:rsidRDefault="00A31137" w:rsidP="00A31137">
      <w:r w:rsidRPr="00A31137">
        <w:t>1995, U.S. Term Limits, Inc. v. Thornton, No. 93-1456</w:t>
      </w:r>
    </w:p>
    <w:p w:rsidR="00A31137" w:rsidRPr="00A31137" w:rsidRDefault="00A31137" w:rsidP="00A31137">
      <w:r w:rsidRPr="00A31137">
        <w:t>must be satisfactory to every State, because it is comfortable to the standard already established, or which may be established, by the State itself.</w:t>
      </w:r>
    </w:p>
    <w:p w:rsidR="00A31137" w:rsidRPr="00A31137" w:rsidRDefault="00A31137" w:rsidP="00A31137">
      <w:r w:rsidRPr="00A31137">
        <w:t>1995, U.S. Term Limits, Inc. v. Thornton, No. 93-1456</w:t>
      </w:r>
    </w:p>
    <w:p w:rsidR="00A31137" w:rsidRPr="00A31137" w:rsidRDefault="00A31137" w:rsidP="00A31137">
      <w:r w:rsidRPr="00A31137">
        <w:t>Id. at 326. Madison then explicitly contrasted the state control over the qualifications of electors with the lack of state control over the qualifications of the elected:</w:t>
      </w:r>
    </w:p>
    <w:p w:rsidR="00A31137" w:rsidRPr="00A31137" w:rsidRDefault="00A31137" w:rsidP="00A31137">
      <w:r w:rsidRPr="00A31137">
        <w:t>1995, U.S. Term Limits, Inc. v. Thornton, No. 93-1456</w:t>
      </w:r>
    </w:p>
    <w:p w:rsidR="00A31137" w:rsidRPr="00A31137" w:rsidRDefault="00A31137" w:rsidP="00A31137">
      <w:r w:rsidRPr="00A31137">
        <w:t>The qualifications of the elected, being less carefully and properly defined by the State constitutions, and being at the same time more susceptible of uniformity, have been very properly considered and regulated by the convention. A representative of the United States must be of the age of twenty-five years; must have been seven years a citizen of the United States; must at the time of his election be an inhabitant of the State he is to represent; and, during the time of his service must be in no office under the United States. Under these reasonable limitations, the door of this part of the federal government is open to merit of every description, whether native or adoptive, whether young or old, and without regard to poverty or wealth, or to any particular profession of religious faith.</w:t>
      </w:r>
    </w:p>
    <w:p w:rsidR="00A31137" w:rsidRPr="00A31137" w:rsidRDefault="00A31137" w:rsidP="00A31137">
      <w:r w:rsidRPr="00A31137">
        <w:t>1995, U.S. Term Limits, Inc. v. Thornton, No. 93-1456</w:t>
      </w:r>
    </w:p>
    <w:p w:rsidR="00A31137" w:rsidRPr="00A31137" w:rsidRDefault="00A31137" w:rsidP="00A31137">
      <w:r w:rsidRPr="00A31137">
        <w:t>Ibid. 18 Madison emphasized this same idea in Federalist 57:</w:t>
      </w:r>
    </w:p>
    <w:p w:rsidR="00A31137" w:rsidRPr="00A31137" w:rsidRDefault="00A31137" w:rsidP="00A31137">
      <w:r w:rsidRPr="00A31137">
        <w:t>1995, U.S. Term Limits, Inc. v. Thornton, No. 93-1456</w:t>
      </w:r>
    </w:p>
    <w:p w:rsidR="00A31137" w:rsidRPr="00A31137" w:rsidRDefault="00A31137" w:rsidP="00A31137">
      <w:r w:rsidRPr="00A31137">
        <w:t>Who are to be the objects of popular choice? Every citizen whose merit may recommend him to the esteem and confidence of his country.   No qualification of wealth, of birth, of religious faith, or of civil profession is permitted to fetter the judgment or disappoint the inclination of the people.</w:t>
      </w:r>
    </w:p>
    <w:p w:rsidR="00A31137" w:rsidRPr="00A31137" w:rsidRDefault="00A31137" w:rsidP="00A31137">
      <w:r w:rsidRPr="00A31137">
        <w:t>1995, U.S. Term Limits, Inc. v. Thornton, No. 93-1456</w:t>
      </w:r>
    </w:p>
    <w:p w:rsidR="00A31137" w:rsidRPr="00A31137" w:rsidRDefault="00A31137" w:rsidP="00A31137">
      <w:r w:rsidRPr="00A31137">
        <w:t>The Federalist No. 57 at 351 (emphasis added).</w:t>
      </w:r>
    </w:p>
    <w:p w:rsidR="00A31137" w:rsidRPr="00A31137" w:rsidRDefault="00A31137" w:rsidP="00A31137">
      <w:r w:rsidRPr="00A31137">
        <w:t>1995, U.S. Term Limits, Inc. v. Thornton, No. 93-1456</w:t>
      </w:r>
    </w:p>
    <w:p w:rsidR="00A31137" w:rsidRPr="00A31137" w:rsidRDefault="00A31137" w:rsidP="00A31137">
      <w:r w:rsidRPr="00A31137">
        <w:t>The provisions in the Constitution governing federal elections confirm the Framers' intent that States lack power to add qualifications. The Framers feared that the diverse interests of the States would undermine the National Legislature, and thus they adopted provisions intended to minimize the possibility of state interference with federal elections. For example, to prevent discrimination against federal electors, the Framers required in Art. I, § 2, cl. 1, that the qualifications for federal electors be the same as those for state electors. As Madison noted, allowing States to differentiate between the qualifications for state and federal electors</w:t>
      </w:r>
    </w:p>
    <w:p w:rsidR="00A31137" w:rsidRPr="00A31137" w:rsidRDefault="00A31137" w:rsidP="00A31137">
      <w:r w:rsidRPr="00A31137">
        <w:t>1995, U.S. Term Limits, Inc. v. Thornton, No. 93-1456</w:t>
      </w:r>
    </w:p>
    <w:p w:rsidR="00A31137" w:rsidRPr="00A31137" w:rsidRDefault="00A31137" w:rsidP="00A31137">
      <w:r w:rsidRPr="00A31137">
        <w:t>would have rendered too dependent on the State governments that branch of the federal government which ought to be dependent on the people alone.</w:t>
      </w:r>
    </w:p>
    <w:p w:rsidR="00A31137" w:rsidRPr="00A31137" w:rsidRDefault="00A31137" w:rsidP="00A31137">
      <w:r w:rsidRPr="00A31137">
        <w:t>1995, U.S. Term Limits, Inc. v. Thornton, No. 93-1456</w:t>
      </w:r>
    </w:p>
    <w:p w:rsidR="00A31137" w:rsidRPr="00A31137" w:rsidRDefault="00A31137" w:rsidP="00A31137">
      <w:r w:rsidRPr="00A31137">
        <w:t>The Federalist No. 52 at 326. Similarly, in Art. I, § 4, cl. 1, though giving the States the freedom to regulate the "Times, Places and Manner of holding Elections," the Framers created a safeguard against state abuse by giving Congress the power to "by Law make or alter such Regulations." The Convention debates make clear that the Framers' overriding concern was the potential for States' abuse of the power to set the "Times, Places and Manner" of elections. Madison noted that "[i]t was impossible to foresee all the abuses that might be made of the discretionary power." 2 Farrand 240. Gouverneur Morris feared "that the States might make false returns and then make no provisions for new elections." Id. at 241. When Charles Pinckney and John Rutledge moved to strike the congressional safeguard, the motion was soundly defeated. Id. at 240-241. As Hamilton later noted:</w:t>
      </w:r>
    </w:p>
    <w:p w:rsidR="00A31137" w:rsidRPr="00A31137" w:rsidRDefault="00A31137" w:rsidP="00A31137">
      <w:r w:rsidRPr="00A31137">
        <w:t>1995, U.S. Term Limits, Inc. v. Thornton, No. 93-1456</w:t>
      </w:r>
    </w:p>
    <w:p w:rsidR="00A31137" w:rsidRPr="00A31137" w:rsidRDefault="00A31137" w:rsidP="00A31137">
      <w:r w:rsidRPr="00A31137">
        <w:t>Nothing can be more evident than that an exclusive power of regulating elections for the national government, in the hands of the State legislatures, would leave the existence of the Union entirely at their mercy.</w:t>
      </w:r>
    </w:p>
    <w:p w:rsidR="00A31137" w:rsidRPr="00A31137" w:rsidRDefault="00A31137" w:rsidP="00A31137">
      <w:r w:rsidRPr="00A31137">
        <w:t>1995, U.S. Term Limits, Inc. v. Thornton, No. 93-1456</w:t>
      </w:r>
    </w:p>
    <w:p w:rsidR="00A31137" w:rsidRPr="00A31137" w:rsidRDefault="00A31137" w:rsidP="00A31137">
      <w:r w:rsidRPr="00A31137">
        <w:t>The Federalist No. 59 at 363. See also ibid. (one justification for Times, Places and Manner Clause is that, "[i]f we are in a humor to presume abuses of power, it is as fair to presume them on the part of the State governments as on the part of the general government"). 19</w:t>
      </w:r>
    </w:p>
    <w:p w:rsidR="00A31137" w:rsidRPr="00A31137" w:rsidRDefault="00A31137" w:rsidP="00A31137">
      <w:r w:rsidRPr="00A31137">
        <w:t>1995, U.S. Term Limits, Inc. v. Thornton, No. 93-1456</w:t>
      </w:r>
    </w:p>
    <w:p w:rsidR="00A31137" w:rsidRPr="00A31137" w:rsidRDefault="00A31137" w:rsidP="00A31137">
      <w:r w:rsidRPr="00A31137">
        <w:t>The Framers' discussion of the salary of representatives reveals similar concerns. When the issue was first raised, Madison argued that congressional compensation should be fixed in the Constitution, rather than left to state legislatures, because otherwise "it would create an improper dependence." 1 Farrand 216. George Mason agreed, noting that</w:t>
      </w:r>
    </w:p>
    <w:p w:rsidR="00A31137" w:rsidRPr="00A31137" w:rsidRDefault="00A31137" w:rsidP="00A31137">
      <w:r w:rsidRPr="00A31137">
        <w:t>1995, U.S. Term Limits, Inc. v. Thornton, No. 93-1456</w:t>
      </w:r>
    </w:p>
    <w:p w:rsidR="00A31137" w:rsidRPr="00A31137" w:rsidRDefault="00A31137" w:rsidP="00A31137">
      <w:r w:rsidRPr="00A31137">
        <w:t>the parsimony of the States might reduce the provision so low that…the question would be not who were most fit to be chosen, but who were most willing to serve.</w:t>
      </w:r>
    </w:p>
    <w:p w:rsidR="00A31137" w:rsidRPr="00A31137" w:rsidRDefault="00A31137" w:rsidP="00A31137">
      <w:r w:rsidRPr="00A31137">
        <w:t>1995, U.S. Term Limits, Inc. v. Thornton, No. 93-1456</w:t>
      </w:r>
    </w:p>
    <w:p w:rsidR="00A31137" w:rsidRPr="00A31137" w:rsidRDefault="00A31137" w:rsidP="00A31137">
      <w:r w:rsidRPr="00A31137">
        <w:t>Ibid.</w:t>
      </w:r>
    </w:p>
    <w:p w:rsidR="00A31137" w:rsidRPr="00A31137" w:rsidRDefault="00A31137" w:rsidP="00A31137">
      <w:r w:rsidRPr="00A31137">
        <w:t>1995, U.S. Term Limits, Inc. v. Thornton, No. 93-1456</w:t>
      </w:r>
    </w:p>
    <w:p w:rsidR="00A31137" w:rsidRPr="00A31137" w:rsidRDefault="00A31137" w:rsidP="00A31137">
      <w:r w:rsidRPr="00A31137">
        <w:t>When the issue was later reopened, Nathaniel Gorham stated that he</w:t>
      </w:r>
    </w:p>
    <w:p w:rsidR="00A31137" w:rsidRPr="00A31137" w:rsidRDefault="00A31137" w:rsidP="00A31137">
      <w:r w:rsidRPr="00A31137">
        <w:t>1995, U.S. Term Limits, Inc. v. Thornton, No. 93-1456</w:t>
      </w:r>
    </w:p>
    <w:p w:rsidR="00A31137" w:rsidRPr="00A31137" w:rsidRDefault="00A31137" w:rsidP="00A31137">
      <w:r w:rsidRPr="00A31137">
        <w:t>wished not to refer the matter to the State Legislatures who were always paring down salaries in such a manner as to keep out of offices men most capable of executing the functions of them.</w:t>
      </w:r>
    </w:p>
    <w:p w:rsidR="00A31137" w:rsidRPr="00A31137" w:rsidRDefault="00A31137" w:rsidP="00A31137">
      <w:r w:rsidRPr="00A31137">
        <w:t>1995, U.S. Term Limits, Inc. v. Thornton, No. 93-1456</w:t>
      </w:r>
    </w:p>
    <w:p w:rsidR="00A31137" w:rsidRPr="00A31137" w:rsidRDefault="00A31137" w:rsidP="00A31137">
      <w:r w:rsidRPr="00A31137">
        <w:t>Id. at 372. Edmund Randolph agreed that "[i]f the States were to pay the members of the Nat[ional] Legislature, a dependence would be created that would vitiate the whole System." Ibid. Rufus King "urged the danger of creating a dependence on the States," ibid., and Hamilton noted that "[t]hose who pay are the masters of those who are paid," id. at 373. The Convention ultimately agreed to vest in Congress the power to set its own compensation. See Art. I, § 6. 20</w:t>
      </w:r>
    </w:p>
    <w:p w:rsidR="00A31137" w:rsidRPr="00A31137" w:rsidRDefault="00A31137" w:rsidP="00A31137">
      <w:r w:rsidRPr="00A31137">
        <w:t>1995, U.S. Term Limits, Inc. v. Thornton, No. 93-1456</w:t>
      </w:r>
    </w:p>
    <w:p w:rsidR="00A31137" w:rsidRPr="00A31137" w:rsidRDefault="00A31137" w:rsidP="00A31137">
      <w:r w:rsidRPr="00A31137">
        <w:t>In light of the Framers' evident concern that States would try to undermine the National Government, they could not have intended States to have the power to set qualifications. Indeed, one of the more anomalous consequences of petitioners' argument is that it accepts federal supremacy over the procedural aspects of determining the times, places, and manner of elections while allowing the states carte blanche with respect to the substantive qualifications for membership in Congress.</w:t>
      </w:r>
    </w:p>
    <w:p w:rsidR="00A31137" w:rsidRPr="00A31137" w:rsidRDefault="00A31137" w:rsidP="00A31137">
      <w:r w:rsidRPr="00A31137">
        <w:t>1995, U.S. Term Limits, Inc. v. Thornton, No. 93-1456</w:t>
      </w:r>
    </w:p>
    <w:p w:rsidR="00A31137" w:rsidRPr="00A31137" w:rsidRDefault="00A31137" w:rsidP="00A31137">
      <w:r w:rsidRPr="00A31137">
        <w:t>The dissent nevertheless contends that the Framers' distrust of the States with respect to elections does not preclude the people of the States from adopting eligibility requirements to help narrow their own choices. See post at ___. As the dissent concedes, post at ___, however, the Framers were unquestionably concerned that the States would simply not hold elections for federal officers, and therefore the Framers gave Congress the power to "make or alter" state election regulations. Yet, under the dissent's approach, the States could achieve exactly the same result by simply setting qualifications for federal office sufficiently high that no one could meet those qualifications. In our view, it is inconceivable that the Framers would provide a specific constitutional provision to ensure that federal elections would be held, while at the same time allowing States to render those elections meaningless by simply ensuring that no candidate could be qualified for office. Given the Framers' wariness over the potential for state abuse, we must conclude that the specification of fixed qualifications in the constitutional text was intended to prescribe uniform rules that would preclude modification by either Congress or the States. 21</w:t>
      </w:r>
    </w:p>
    <w:p w:rsidR="00A31137" w:rsidRPr="00A31137" w:rsidRDefault="00A31137" w:rsidP="00A31137">
      <w:r w:rsidRPr="00A31137">
        <w:t>1995, U.S. Term Limits, Inc. v. Thornton, No. 93-1456</w:t>
      </w:r>
    </w:p>
    <w:p w:rsidR="00A31137" w:rsidRPr="00A31137" w:rsidRDefault="00A31137" w:rsidP="00A31137">
      <w:r w:rsidRPr="00A31137">
        <w:t>We find further evidence of the Framers' intent in Art. 1, § 5, cl. 1, which provides: "Each House shall be the Judge of the Elections, Returns and Qualifications of its own Members." That Art. I, § 5 vests a federal tribunal with ultimate authority to judge a Member's qualifications is fully consistent with the understanding that those qualifications are fixed in the Federal Constitution, but not with the understanding that they can be altered by the States. If the States had the right to prescribe additional qualifications-such as property, educational, or professional qualifications-for their own representatives, state law would provide the standard for judging a Member's eligibility. As we concluded in Murdock v. Memphis, 20 Wall. 590 (1875), federal questions are generally answered finally by federal tribunals because rights which depend on federal law "should be the same everywhere," and "their construction should be uniform." Id. at 632. The judging of questions concerning rights which depend on state law is not, however, normally assigned to federal tribunals.   See id. at 636. The Constitution's provision for each House to be the judge of its own qualifications thus provides further evidence that the Framers believed that the primary source of those qualifications would be federal law.</w:t>
      </w:r>
    </w:p>
    <w:p w:rsidR="00A31137" w:rsidRPr="00A31137" w:rsidRDefault="00A31137" w:rsidP="00A31137">
      <w:r w:rsidRPr="00A31137">
        <w:t>1995, U.S. Term Limits, Inc. v. Thornton, No. 93-1456</w:t>
      </w:r>
    </w:p>
    <w:p w:rsidR="00A31137" w:rsidRPr="00A31137" w:rsidRDefault="00A31137" w:rsidP="00A31137">
      <w:r w:rsidRPr="00A31137">
        <w:t>We also find compelling the complete absence in the ratification debates of any assertion that States had the power to add qualifications. In those debates, the question whether to require term limits, or "rotation," was a major source of controversy. The draft of the Constitution that was submitted for ratification contained no provision for rotation. 22 In arguments that echo in the preamble to Arkansas' Amendment 73, opponents of ratification condemned the absence of a rotation requirement, noting that</w:t>
      </w:r>
    </w:p>
    <w:p w:rsidR="00A31137" w:rsidRPr="00A31137" w:rsidRDefault="00A31137" w:rsidP="00A31137">
      <w:r w:rsidRPr="00A31137">
        <w:t>1995, U.S. Term Limits, Inc. v. Thornton, No. 93-1456</w:t>
      </w:r>
    </w:p>
    <w:p w:rsidR="00A31137" w:rsidRPr="00A31137" w:rsidRDefault="00A31137" w:rsidP="00A31137">
      <w:r w:rsidRPr="00A31137">
        <w:t>there is no doubt that senators will hold their office perpetually; and in this situation, they must of necessity lose their dependence, and their attachments to the people. 23</w:t>
      </w:r>
    </w:p>
    <w:p w:rsidR="00A31137" w:rsidRPr="00A31137" w:rsidRDefault="00A31137" w:rsidP="00A31137">
      <w:r w:rsidRPr="00A31137">
        <w:t>1995, U.S. Term Limits, Inc. v. Thornton, No. 93-1456</w:t>
      </w:r>
    </w:p>
    <w:p w:rsidR="00A31137" w:rsidRPr="00A31137" w:rsidRDefault="00A31137" w:rsidP="00A31137">
      <w:r w:rsidRPr="00A31137">
        <w:t>Even proponents of ratification expressed concern about the "abandonment in every instance of the necessity of rotation in office." 24 At several ratification conventions, participants proposed amendments that would have required rotation. 25</w:t>
      </w:r>
    </w:p>
    <w:p w:rsidR="00A31137" w:rsidRPr="00A31137" w:rsidRDefault="00A31137" w:rsidP="00A31137">
      <w:r w:rsidRPr="00A31137">
        <w:t>1995, U.S. Term Limits, Inc. v. Thornton, No. 93-1456</w:t>
      </w:r>
    </w:p>
    <w:p w:rsidR="00A31137" w:rsidRPr="00A31137" w:rsidRDefault="00A31137" w:rsidP="00A31137">
      <w:r w:rsidRPr="00A31137">
        <w:t>The Federalists' responses to those criticisms and proposals addressed the merits of the issue, arguing that rotation was incompatible with the people's right to choose. As we noted above, Robert Livingston argued:</w:t>
      </w:r>
    </w:p>
    <w:p w:rsidR="00A31137" w:rsidRPr="00A31137" w:rsidRDefault="00A31137" w:rsidP="00A31137">
      <w:r w:rsidRPr="00A31137">
        <w:t>1995, U.S. Term Limits, Inc. v. Thornton, No. 93-1456</w:t>
      </w:r>
    </w:p>
    <w:p w:rsidR="00A31137" w:rsidRPr="00A31137" w:rsidRDefault="00A31137" w:rsidP="00A31137">
      <w:r w:rsidRPr="00A31137">
        <w:t>The people are the best judges who ought to represent them. To dictate and control them, to tell them whom they shall not elect, is to abridge their natural rights. This rotation is an absurd species of ostracism.</w:t>
      </w:r>
    </w:p>
    <w:p w:rsidR="00A31137" w:rsidRPr="00A31137" w:rsidRDefault="00A31137" w:rsidP="00A31137">
      <w:r w:rsidRPr="00A31137">
        <w:t>1995, U.S. Term Limits, Inc. v. Thornton, No. 93-1456</w:t>
      </w:r>
    </w:p>
    <w:p w:rsidR="00A31137" w:rsidRPr="00A31137" w:rsidRDefault="00A31137" w:rsidP="00A31137">
      <w:r w:rsidRPr="00A31137">
        <w:t>2 Elliot's Debates 292-293. Similarly, Hamilton argued that the representatives' need for reelection rather than mandatory rotation was the more effective way to keep representatives responsive to the people, because, "[w]hen a man knows he must quit his station, let his merit be what it may, he will turn his attention chiefly to his own emolument." Id. at 320. 26</w:t>
      </w:r>
    </w:p>
    <w:p w:rsidR="00A31137" w:rsidRPr="00A31137" w:rsidRDefault="00A31137" w:rsidP="00A31137">
      <w:r w:rsidRPr="00A31137">
        <w:t>1995, U.S. Term Limits, Inc. v. Thornton, No. 93-1456</w:t>
      </w:r>
    </w:p>
    <w:p w:rsidR="00A31137" w:rsidRPr="00A31137" w:rsidRDefault="00A31137" w:rsidP="00A31137">
      <w:r w:rsidRPr="00A31137">
        <w:t>Regardless of which side has the better of the debate over rotation, it is most striking that nowhere in the extensive ratification debates have we found any statement by either a proponent or an opponent of rotation that the draft constitution would permit States to require rotation for the representatives of their own citizens. If the participants in the debate had believed that the States retained the authority to impose term limits, it is inconceivable that the Federalists would not have made this obvious response to the arguments of the pro-rotation forces. The absence in an otherwise free-wheeling debate of any suggestion that States had the power to impose additional qualifications unquestionably reflects the Framers' common understanding that States lacked that power.</w:t>
      </w:r>
    </w:p>
    <w:p w:rsidR="00A31137" w:rsidRPr="00A31137" w:rsidRDefault="00A31137" w:rsidP="00A31137">
      <w:r w:rsidRPr="00A31137">
        <w:t>1995, U.S. Term Limits, Inc. v. Thornton, No. 93-1456</w:t>
      </w:r>
    </w:p>
    <w:p w:rsidR="00A31137" w:rsidRPr="00A31137" w:rsidRDefault="00A31137" w:rsidP="00A31137">
      <w:r w:rsidRPr="00A31137">
        <w:t>In short, if it had been assumed that States could add additional qualifications, that assumption would have provided the basis for a powerful rebuttal to the arguments being advanced. The failure of intelligent and experienced advocates to utilize this argument must reflect a general agreement that its premise was unsound, and that the power to add qualifications was one that the Constitution denied the States. 27</w:t>
      </w:r>
    </w:p>
    <w:p w:rsidR="00A31137" w:rsidRPr="00A31137" w:rsidRDefault="00A31137" w:rsidP="00A31137">
      <w:r w:rsidRPr="00A31137">
        <w:t>1995, U.S. Term Limits, Inc. v. Thornton, No. 93-1456</w:t>
      </w:r>
    </w:p>
    <w:p w:rsidR="00A31137" w:rsidRPr="00A31137" w:rsidRDefault="00A31137" w:rsidP="00A31137">
      <w:r w:rsidRPr="00A31137">
        <w:t>Congressional Experience</w:t>
      </w:r>
    </w:p>
    <w:p w:rsidR="00A31137" w:rsidRPr="00A31137" w:rsidRDefault="00A31137" w:rsidP="00A31137">
      <w:r w:rsidRPr="00A31137">
        <w:t>1995, U.S. Term Limits, Inc. v. Thornton, No. 93-1456</w:t>
      </w:r>
    </w:p>
    <w:p w:rsidR="00A31137" w:rsidRPr="00A31137" w:rsidRDefault="00A31137" w:rsidP="00A31137">
      <w:r w:rsidRPr="00A31137">
        <w:t>Congress' subsequent experience with state-imposed qualifications provides further evidence of the general consensus on the lack of state power in this area. In Powell, we examined that experience and noted that, during the first 100 years of its existence, "Congress strictly limited its power to judge the qualifications of its members to those enumerated in the Constitution." 395 U.S. at  542. Congress first confronted the issue in 1807, when it faced a challenge to the qualifications of William McCreery, a Representative from Maryland who allegedly did not satisfy a residency requirement imposed by that State. In recommending that McCreery be seated, the Report of the House Committee on Elections noted:</w:t>
      </w:r>
    </w:p>
    <w:p w:rsidR="00A31137" w:rsidRPr="00A31137" w:rsidRDefault="00A31137" w:rsidP="00A31137">
      <w:r w:rsidRPr="00A31137">
        <w:t>1995, U.S. Term Limits, Inc. v. Thornton, No. 93-1456</w:t>
      </w:r>
    </w:p>
    <w:p w:rsidR="00A31137" w:rsidRPr="00A31137" w:rsidRDefault="00A31137" w:rsidP="00A31137">
      <w:r w:rsidRPr="00A31137">
        <w:t>"The committee proceeded to examine the Constitution, with relation to the case submitted to them, and find that qualifications of members are therein determined, without reserving any authority to the State Legislatures to change, add to, or diminish those qualifications; and that, by that instrument, Congress is constituted the sole judge of the qualifications prescribed by it, and are obliged to decide agreeably to the Constitutional rules…. "</w:t>
      </w:r>
    </w:p>
    <w:p w:rsidR="00A31137" w:rsidRPr="00A31137" w:rsidRDefault="00A31137" w:rsidP="00A31137">
      <w:r w:rsidRPr="00A31137">
        <w:t>1995, U.S. Term Limits, Inc. v. Thornton, No. 93-1456</w:t>
      </w:r>
    </w:p>
    <w:p w:rsidR="00A31137" w:rsidRPr="00A31137" w:rsidRDefault="00A31137" w:rsidP="00A31137">
      <w:r w:rsidRPr="00A31137">
        <w:t>Powell, 395 U.S. at  542, quoting 17 Annals of Cong. 871 (1807) (emphasis added). 28 The Chairman of the House Committee on Elections elaborated during debate:</w:t>
      </w:r>
    </w:p>
    <w:p w:rsidR="00A31137" w:rsidRPr="00A31137" w:rsidRDefault="00A31137" w:rsidP="00A31137">
      <w:r w:rsidRPr="00A31137">
        <w:t>1995, U.S. Term Limits, Inc. v. Thornton, No. 93-1456</w:t>
      </w:r>
    </w:p>
    <w:p w:rsidR="00A31137" w:rsidRPr="00A31137" w:rsidRDefault="00A31137" w:rsidP="00A31137">
      <w:r w:rsidRPr="00A31137">
        <w:t>"The Committee of Elections considered the qualifications of members to have been unalterably determined by the Federal Convention, unless changed by an authority equal to that which framed the Constitution at first; that neither the State nor the Federal Legislatures are vested with authority to add to those qualifications, so as to change them."</w:t>
      </w:r>
    </w:p>
    <w:p w:rsidR="00A31137" w:rsidRPr="00A31137" w:rsidRDefault="00A31137" w:rsidP="00A31137">
      <w:r w:rsidRPr="00A31137">
        <w:t>1995, U.S. Term Limits, Inc. v. Thornton, No. 93-1456</w:t>
      </w:r>
    </w:p>
    <w:p w:rsidR="00A31137" w:rsidRPr="00A31137" w:rsidRDefault="00A31137" w:rsidP="00A31137">
      <w:r w:rsidRPr="00A31137">
        <w:t>Powell, 395 U.S. at 542-543, quoting from 17 Annals of Cong. 872 (1807). As we noted in Powell, the congressional debate over the Committee's recommendation tended to focus on the "narrow issue of the power of the States to add to the standing qualifications set forth in the Constitution," 395 U.S. at  543. The whole House, however, did not vote on the Committee's report, and instead voted only on a simple resolution: "Resolved, That William McCreery is entitled to his seat in this House." 17 Annals of Cong. 1238 (1807). That resolution passed by a vote of 89 to 18. Ibid.</w:t>
      </w:r>
    </w:p>
    <w:p w:rsidR="00A31137" w:rsidRPr="00A31137" w:rsidRDefault="00A31137" w:rsidP="00A31137">
      <w:r w:rsidRPr="00A31137">
        <w:t>1995, U.S. Term Limits, Inc. v. Thornton, No. 93-1456</w:t>
      </w:r>
    </w:p>
    <w:p w:rsidR="00A31137" w:rsidRPr="00A31137" w:rsidRDefault="00A31137" w:rsidP="00A31137">
      <w:r w:rsidRPr="00A31137">
        <w:t>Though the House Debate may be inconclusive, commentators at the time apparently viewed the seating of McCreery as confirmation of the States' lack of power to add qualifications. For example, in a letter to Joseph Cabell, Thomas Jefferson noted the argument that "to add new qualifications to those of the Constitution would be as much an alteration as to detract from them"; he then added: "And so I think the House of Representatives of Congress decided in some case; I believe that of a member from Baltimore." Letter of Jan. 31, 1814 to Joseph C. Cabell, in 14 Writings of Thomas Jefferson 82 (A. Lipscomb ed. 1904).</w:t>
      </w:r>
    </w:p>
    <w:p w:rsidR="00A31137" w:rsidRPr="00A31137" w:rsidRDefault="00A31137" w:rsidP="00A31137">
      <w:r w:rsidRPr="00A31137">
        <w:t>1995, U.S. Term Limits, Inc. v. Thornton, No. 93-1456</w:t>
      </w:r>
    </w:p>
    <w:p w:rsidR="00A31137" w:rsidRPr="00A31137" w:rsidRDefault="00A31137" w:rsidP="00A31137">
      <w:r w:rsidRPr="00A31137">
        <w:t>Similarly, for over 150 years prior to Powell, commentators viewed the seating of McCreery as an expression of the view of the House that States could not add to the qualifications established in the Constitution. Thus, for example, referring to the McCreery debates, one commentator noted,</w:t>
      </w:r>
    </w:p>
    <w:p w:rsidR="00A31137" w:rsidRPr="00A31137" w:rsidRDefault="00A31137" w:rsidP="00A31137">
      <w:r w:rsidRPr="00A31137">
        <w:t>1995, U.S. Term Limits, Inc. v. Thornton, No. 93-1456</w:t>
      </w:r>
    </w:p>
    <w:p w:rsidR="00A31137" w:rsidRPr="00A31137" w:rsidRDefault="00A31137" w:rsidP="00A31137">
      <w:r w:rsidRPr="00A31137">
        <w:t>By the decision in this case, [and that in another contested election], it seems to have been settled that the States have not a right to require qualifications from members, different from, or in addition to, those prescribed by the constitution.</w:t>
      </w:r>
    </w:p>
    <w:p w:rsidR="00A31137" w:rsidRPr="00A31137" w:rsidRDefault="00A31137" w:rsidP="00A31137">
      <w:r w:rsidRPr="00A31137">
        <w:t>1995, U.S. Term Limits, Inc. v. Thornton, No. 93-1456</w:t>
      </w:r>
    </w:p>
    <w:p w:rsidR="00A31137" w:rsidRPr="00A31137" w:rsidRDefault="00A31137" w:rsidP="00A31137">
      <w:r w:rsidRPr="00A31137">
        <w:t>Cases of Contested Elections in Congress 171 (M. Clarke &amp; D. Hall eds. 1834) (emphasis in original). Other commentators viewed the incident similarly. See, e.g., G. Paschal, The Constitution of the United States 66 (1876) (citing McCreery to support the proposition that "[t]he Constitution having fixed the qualifications of members, no additional qualifications can rightfully be required by the States") (emphasis in original); G. McCrary, American Law of Elections § 323 (4th ed. 1897) (citing McCreery and stating "A state law requiring that a Representative in Congress shall reside in a particular town and country within the district from which he is chosen is unconstitutional and void"); W. Sutherland, Notes on the Constitution of the United States 40 (1904) (citing McCreery to support statement that "[t]his clause fixes the qualifications of members so far as state action is concerned, and no additional qualifications can be required by the state"); C. Burdick, Law of the American Constitution 160 (1922) (citing McCreery to support the proposition that state-imposed "limitations have been held…not to be effective"). Finally, it is clear that, in Powell, we viewed the seating of McCreery as the House's acknowledgment that the qualifications in the Constitution were fixed. See 395 U.S. at 542-543.</w:t>
      </w:r>
    </w:p>
    <w:p w:rsidR="00A31137" w:rsidRPr="00A31137" w:rsidRDefault="00A31137" w:rsidP="00A31137">
      <w:r w:rsidRPr="00A31137">
        <w:t>1995, U.S. Term Limits, Inc. v. Thornton, No. 93-1456</w:t>
      </w:r>
    </w:p>
    <w:p w:rsidR="00A31137" w:rsidRPr="00A31137" w:rsidRDefault="00A31137" w:rsidP="00A31137">
      <w:r w:rsidRPr="00A31137">
        <w:t>The Senate experience with state-imposed qualifications further supports our conclusions. In 1887, for example, the Senate seated Charles Faulkner of West Virginia, despite the fact that a provision of the West Virginia Constitution purported to render him ineligible to serve. The Senate Committee on Privileges and Elections unanimously concluded that "no State can prescribe any qualification to the office of United States Senator in addition to those declared in the Constitution of the United States." S.Rep. No. 1, 50th Cong., 1st Sess., 4 (1887). The Senate Committee on Rules and Administration reached the same conclusion in 1964 when faced with a challenge to Pierre Salinger, who had been appointed to serve as Senator from California. See S.Rep. No. 1381, 88th Cong.,2d Sess., 5 ("It is well settled that the qualifications established by the U.S. Constitution for the office of U.S. Senator are exclusive, and a State cannot, by constitutional or statutory provisions, add to or enlarge upon those qualifications").</w:t>
      </w:r>
    </w:p>
    <w:p w:rsidR="00A31137" w:rsidRPr="00A31137" w:rsidRDefault="00A31137" w:rsidP="00A31137">
      <w:r w:rsidRPr="00A31137">
        <w:t>1995, U.S. Term Limits, Inc. v. Thornton, No. 93-1456</w:t>
      </w:r>
    </w:p>
    <w:p w:rsidR="00A31137" w:rsidRPr="00A31137" w:rsidRDefault="00A31137" w:rsidP="00A31137">
      <w:r w:rsidRPr="00A31137">
        <w:t>We recognize, as we did in Powell, that "congressional practice has been erratic" 29 and that the precedential value of congressional exclusion cases is "quite limited." Powell, 395 U.S. at 545-546. Nevertheless, those incidents lend support to the result we reach today.</w:t>
      </w:r>
    </w:p>
    <w:p w:rsidR="00A31137" w:rsidRPr="00A31137" w:rsidRDefault="00A31137" w:rsidP="00A31137">
      <w:r w:rsidRPr="00A31137">
        <w:t>1995, U.S. Term Limits, Inc. v. Thornton, No. 93-1456</w:t>
      </w:r>
    </w:p>
    <w:p w:rsidR="00A31137" w:rsidRPr="00A31137" w:rsidRDefault="00A31137" w:rsidP="00A31137">
      <w:r w:rsidRPr="00A31137">
        <w:t>Democratic Principles</w:t>
      </w:r>
    </w:p>
    <w:p w:rsidR="00A31137" w:rsidRPr="00A31137" w:rsidRDefault="00A31137" w:rsidP="00A31137">
      <w:r w:rsidRPr="00A31137">
        <w:t>1995, U.S. Term Limits, Inc. v. Thornton, No. 93-1456</w:t>
      </w:r>
    </w:p>
    <w:p w:rsidR="00A31137" w:rsidRPr="00A31137" w:rsidRDefault="00A31137" w:rsidP="00A31137">
      <w:r w:rsidRPr="00A31137">
        <w:t>Our conclusion that States lack the power to impose qualifications vindicates the same "fundamental principle of our representative democracy" that we recognized in Powell, namely that "the people should choose whom they please to govern them." Id. at  547 (internal quotation marks omitted).</w:t>
      </w:r>
    </w:p>
    <w:p w:rsidR="00A31137" w:rsidRPr="00A31137" w:rsidRDefault="00A31137" w:rsidP="00A31137">
      <w:r w:rsidRPr="00A31137">
        <w:t>1995, U.S. Term Limits, Inc. v. Thornton, No. 93-1456</w:t>
      </w:r>
    </w:p>
    <w:p w:rsidR="00A31137" w:rsidRPr="00A31137" w:rsidRDefault="00A31137" w:rsidP="00A31137">
      <w:r w:rsidRPr="00A31137">
        <w:t>As we noted earlier, the Powell Court recognized that an egalitarian ideal—that election to the National Legislature should be open to all people of merit—provided a critical foundation for the Constitutional structure. This egalitarian theme echoes throughout the constitutional debates. In The Federalist No. 57, for example, Madison wrote:</w:t>
      </w:r>
    </w:p>
    <w:p w:rsidR="00A31137" w:rsidRPr="00A31137" w:rsidRDefault="00A31137" w:rsidP="00A31137">
      <w:r w:rsidRPr="00A31137">
        <w:t>1995, U.S. Term Limits, Inc. v. Thornton, No. 93-1456</w:t>
      </w:r>
    </w:p>
    <w:p w:rsidR="00A31137" w:rsidRPr="00A31137" w:rsidRDefault="00A31137" w:rsidP="00A31137">
      <w:r w:rsidRPr="00A31137">
        <w:t>Who are to be the objects of popular choice? Every citizen whose merit may recommend him to the esteem and confidence of his country. No qualification of wealth, of birth, of religious faith, or of civil profession is permitted to fetter the judgment or disappoint the inclination of the people.</w:t>
      </w:r>
    </w:p>
    <w:p w:rsidR="00A31137" w:rsidRPr="00A31137" w:rsidRDefault="00A31137" w:rsidP="00A31137">
      <w:r w:rsidRPr="00A31137">
        <w:t>1995, U.S. Term Limits, Inc. v. Thornton, No. 93-1456</w:t>
      </w:r>
    </w:p>
    <w:p w:rsidR="00A31137" w:rsidRPr="00A31137" w:rsidRDefault="00A31137" w:rsidP="00A31137">
      <w:r w:rsidRPr="00A31137">
        <w:t>The Federalist No. 57 at 351.</w:t>
      </w:r>
    </w:p>
    <w:p w:rsidR="00A31137" w:rsidRPr="00A31137" w:rsidRDefault="00A31137" w:rsidP="00A31137">
      <w:r w:rsidRPr="00A31137">
        <w:t>1995, U.S. Term Limits, Inc. v. Thornton, No. 93-1456</w:t>
      </w:r>
    </w:p>
    <w:p w:rsidR="00A31137" w:rsidRPr="00A31137" w:rsidRDefault="00A31137" w:rsidP="00A31137">
      <w:r w:rsidRPr="00A31137">
        <w:t>Similarly, hoping to persuade voters in New York that the Constitution should be ratified, John Stevens, Jr., wrote:</w:t>
      </w:r>
    </w:p>
    <w:p w:rsidR="00A31137" w:rsidRPr="00A31137" w:rsidRDefault="00A31137" w:rsidP="00A31137">
      <w:r w:rsidRPr="00A31137">
        <w:t>1995, U.S. Term Limits, Inc. v. Thornton, No. 93-1456</w:t>
      </w:r>
    </w:p>
    <w:p w:rsidR="00A31137" w:rsidRPr="00A31137" w:rsidRDefault="00A31137" w:rsidP="00A31137">
      <w:r w:rsidRPr="00A31137">
        <w:t>[N]o Government, that has ever yet existed in the world affords so ample a field to individuals of all ranks for the display of political talents and abilities…. No man who has real merit, let his situation be what it will, need despair.</w:t>
      </w:r>
    </w:p>
    <w:p w:rsidR="00A31137" w:rsidRPr="00A31137" w:rsidRDefault="00A31137" w:rsidP="00A31137">
      <w:r w:rsidRPr="00A31137">
        <w:t>1995, U.S. Term Limits, Inc. v. Thornton, No. 93-1456</w:t>
      </w:r>
    </w:p>
    <w:p w:rsidR="00A31137" w:rsidRPr="00A31137" w:rsidRDefault="00A31137" w:rsidP="00A31137">
      <w:r w:rsidRPr="00A31137">
        <w:t>1 Bailyn 487, 492. And Timothy Pickering noted that,</w:t>
      </w:r>
    </w:p>
    <w:p w:rsidR="00A31137" w:rsidRPr="00A31137" w:rsidRDefault="00A31137" w:rsidP="00A31137">
      <w:r w:rsidRPr="00A31137">
        <w:t>1995, U.S. Term Limits, Inc. v. Thornton, No. 93-1456</w:t>
      </w:r>
    </w:p>
    <w:p w:rsidR="00A31137" w:rsidRPr="00A31137" w:rsidRDefault="00A31137" w:rsidP="00A31137">
      <w:r w:rsidRPr="00A31137">
        <w:t>while several of the state constitutions prescribe certain degrees of property as indispensable qualifications for offices, this which is proposed for the U.S. throws the door wide open for the entrance of every man who enjoys the confidence of his fellow citizens.</w:t>
      </w:r>
    </w:p>
    <w:p w:rsidR="00A31137" w:rsidRPr="00A31137" w:rsidRDefault="00A31137" w:rsidP="00A31137">
      <w:r w:rsidRPr="00A31137">
        <w:t>1995, U.S. Term Limits, Inc. v. Thornton, No. 93-1456</w:t>
      </w:r>
    </w:p>
    <w:p w:rsidR="00A31137" w:rsidRPr="00A31137" w:rsidRDefault="00A31137" w:rsidP="00A31137">
      <w:r w:rsidRPr="00A31137">
        <w:t>Letter from T. Pickering to C. Tillinghast (Dec. 24, 1787), 1 Bailyn 289, 290 (emphasis in original). 30 Additional qualifications pose the same obstacle to open elections whatever their source. The egalitarian ideal, so valued by the Framers, is thus compromised to the same degree by additional qualifications imposed by States as by those imposed by Congress.</w:t>
      </w:r>
    </w:p>
    <w:p w:rsidR="00A31137" w:rsidRPr="00A31137" w:rsidRDefault="00A31137" w:rsidP="00A31137">
      <w:r w:rsidRPr="00A31137">
        <w:t>1995, U.S. Term Limits, Inc. v. Thornton, No. 93-1456</w:t>
      </w:r>
    </w:p>
    <w:p w:rsidR="00A31137" w:rsidRPr="00A31137" w:rsidRDefault="00A31137" w:rsidP="00A31137">
      <w:r w:rsidRPr="00A31137">
        <w:t>Similarly, we believe that state-imposed qualifications, as much as congressionally imposed qualifications, would undermine the second critical idea recognized in Powell: that an aspect of sovereignty is the right of the people to vote for whom they wish. Again, the source of the qualification is of little moment in assessing the qualification's restrictive impact.</w:t>
      </w:r>
    </w:p>
    <w:p w:rsidR="00A31137" w:rsidRPr="00A31137" w:rsidRDefault="00A31137" w:rsidP="00A31137">
      <w:r w:rsidRPr="00A31137">
        <w:t>1995, U.S. Term Limits, Inc. v. Thornton, No. 93-1456</w:t>
      </w:r>
    </w:p>
    <w:p w:rsidR="00A31137" w:rsidRPr="00A31137" w:rsidRDefault="00A31137" w:rsidP="00A31137">
      <w:r w:rsidRPr="00A31137">
        <w:t>Finally, state-imposed restrictions, unlike the congressionally imposed restrictions at issue in Powell, violate a third idea central to this basic principle: that the right to choose representatives belongs not to the States, but to the people. From the start, the Framers recognized that the "great and radical vice" of the Articles of Confederation was</w:t>
      </w:r>
    </w:p>
    <w:p w:rsidR="00A31137" w:rsidRPr="00A31137" w:rsidRDefault="00A31137" w:rsidP="00A31137">
      <w:r w:rsidRPr="00A31137">
        <w:t>1995, U.S. Term Limits, Inc. v. Thornton, No. 93-1456</w:t>
      </w:r>
    </w:p>
    <w:p w:rsidR="00A31137" w:rsidRPr="00A31137" w:rsidRDefault="00A31137" w:rsidP="00A31137">
      <w:r w:rsidRPr="00A31137">
        <w:t>the principle of LEGISLATION for STATES or GOVERNMENTS, in their CORPORATE or COLLECTIVE CAPACITIES, and as contradistinguished from the INDIVIDUALS of whom they consist.</w:t>
      </w:r>
    </w:p>
    <w:p w:rsidR="00A31137" w:rsidRPr="00A31137" w:rsidRDefault="00A31137" w:rsidP="00A31137">
      <w:r w:rsidRPr="00A31137">
        <w:t>1995, U.S. Term Limits, Inc. v. Thornton, No. 93-1456</w:t>
      </w:r>
    </w:p>
    <w:p w:rsidR="00A31137" w:rsidRPr="00A31137" w:rsidRDefault="00A31137" w:rsidP="00A31137">
      <w:r w:rsidRPr="00A31137">
        <w:t>The Federalist No. 15 at 108 (Hamilton). Thus, the Framers, in perhaps their most important contribution, conceived of a Federal Government directly responsible to the people, possessed of direct power over the people, and chosen directly, not by States, but by the people. See, e.g., supra at ___. The Framers implemented this ideal most clearly in the provision, extant from the beginning of the Republic, that calls for the Members of the House of Representatives to be "chosen every second Year by the People of the several States." Art. I, § 2, cl. 1. Following the adoption of the 17th Amendment in 1913, this ideal was extended to elections for the Senate. The Congress of the United States, therefore, is not a confederation of nations in which separate sovereigns are represented by appointed delegates, but is instead a body composed of representatives of the people. As Chief Justice John Marshall observed:</w:t>
      </w:r>
    </w:p>
    <w:p w:rsidR="00A31137" w:rsidRPr="00A31137" w:rsidRDefault="00A31137" w:rsidP="00A31137">
      <w:r w:rsidRPr="00A31137">
        <w:t>1995, U.S. Term Limits, Inc. v. Thornton, No. 93-1456</w:t>
      </w:r>
    </w:p>
    <w:p w:rsidR="00A31137" w:rsidRPr="00A31137" w:rsidRDefault="00A31137" w:rsidP="00A31137">
      <w:r w:rsidRPr="00A31137">
        <w:t>The government of the union, then,…is, emphatically, and truly, a government of the people. In form and in substance, it emanates from them. Its powers are granted by them, and are to be exercised directly on them, and for their benefit.</w:t>
      </w:r>
    </w:p>
    <w:p w:rsidR="00A31137" w:rsidRPr="00A31137" w:rsidRDefault="00A31137" w:rsidP="00A31137">
      <w:r w:rsidRPr="00A31137">
        <w:t>1995, U.S. Term Limits, Inc. v. Thornton, No. 93-1456</w:t>
      </w:r>
    </w:p>
    <w:p w:rsidR="00A31137" w:rsidRPr="00A31137" w:rsidRDefault="00A31137" w:rsidP="00A31137">
      <w:r w:rsidRPr="00A31137">
        <w:t>McCulloch v. Maryland, 4 Wheat. at 404-405. 31 Ours is a "government of the people, by the people, for the people." A. Lincoln, Gettysburg Address (1863).</w:t>
      </w:r>
    </w:p>
    <w:p w:rsidR="00A31137" w:rsidRPr="00A31137" w:rsidRDefault="00A31137" w:rsidP="00A31137">
      <w:r w:rsidRPr="00A31137">
        <w:t>1995, U.S. Term Limits, Inc. v. Thornton, No. 93-1456</w:t>
      </w:r>
    </w:p>
    <w:p w:rsidR="00A31137" w:rsidRPr="00A31137" w:rsidRDefault="00A31137" w:rsidP="00A31137">
      <w:r w:rsidRPr="00A31137">
        <w:t>The Framers deemed this principle critical when they discussed qualifications. For example, during the debates on residency requirements, Morris noted that, in the House, "the people at large, not the States, are represented." 2 Farrand 217 (emphasis in original) (footnote omitted). Similarly, George Read noted that the Framers "were forming a Nati[ona]l Gov[ernmen]t and such a regulation would correspond little with the idea that we were one people." Ibid. (Emphasis in original.) James Wilson "enforced the same consideration." Ibid.</w:t>
      </w:r>
    </w:p>
    <w:p w:rsidR="00A31137" w:rsidRPr="00A31137" w:rsidRDefault="00A31137" w:rsidP="00A31137">
      <w:r w:rsidRPr="00A31137">
        <w:t>1995, U.S. Term Limits, Inc. v. Thornton, No. 93-1456</w:t>
      </w:r>
    </w:p>
    <w:p w:rsidR="00A31137" w:rsidRPr="00A31137" w:rsidRDefault="00A31137" w:rsidP="00A31137">
      <w:r w:rsidRPr="00A31137">
        <w:t>Consistent with these views, the constitutional structure provides for a uniform salary to be paid from the national treasury, allows the States but a limited role in federal elections, and maintains strict checks on state interference with the federal election process. The Constitution also provides that the qualifications of the representatives of each State will be judged by the representatives of the entire Nation. The Constitution thus creates a uniform national body representing the interests of a single people.</w:t>
      </w:r>
    </w:p>
    <w:p w:rsidR="00A31137" w:rsidRPr="00A31137" w:rsidRDefault="00A31137" w:rsidP="00A31137">
      <w:r w:rsidRPr="00A31137">
        <w:t>1995, U.S. Term Limits, Inc. v. Thornton, No. 93-1456</w:t>
      </w:r>
    </w:p>
    <w:p w:rsidR="00A31137" w:rsidRPr="00A31137" w:rsidRDefault="00A31137" w:rsidP="00A31137">
      <w:r w:rsidRPr="00A31137">
        <w:t>Permitting individual States to formulate diverse qualifications for their representatives would result in a patchwork of state qualifications, undermining the uniformity and the national character that the Framers envisioned and sought to ensure. Cf. McCulloch v. Maryland, 4 Wheat. at 428-429 (1819) ("Those means are not given by the people of a particular State, not given by the constituents of the legislature,…but by the people of all the States. They are given by all, for the benefit of all—and, upon theory, should be subjected to that government only which belongs to all"). Such a patchwork would also sever the direct link that the Framers found so critical between the National Government and the people of the United States. 32</w:t>
      </w:r>
    </w:p>
    <w:p w:rsidR="00A31137" w:rsidRPr="00A31137" w:rsidRDefault="00A31137" w:rsidP="00A31137">
      <w:r w:rsidRPr="00A31137">
        <w:t>1995, U.S. Term Limits, Inc. v. Thornton, No. 93-1456</w:t>
      </w:r>
    </w:p>
    <w:p w:rsidR="00A31137" w:rsidRPr="00A31137" w:rsidRDefault="00A31137" w:rsidP="00A31137">
      <w:r w:rsidRPr="00A31137">
        <w:t>State Practice</w:t>
      </w:r>
    </w:p>
    <w:p w:rsidR="00A31137" w:rsidRPr="00A31137" w:rsidRDefault="00A31137" w:rsidP="00A31137">
      <w:r w:rsidRPr="00A31137">
        <w:t>1995, U.S. Term Limits, Inc. v. Thornton, No. 93-1456</w:t>
      </w:r>
    </w:p>
    <w:p w:rsidR="00A31137" w:rsidRPr="00A31137" w:rsidRDefault="00A31137" w:rsidP="00A31137">
      <w:r w:rsidRPr="00A31137">
        <w:t>Petitioners attempt to overcome this formidable array of evidence against the States' power to impose qualifications by arguing that the practice of the States immediately after the adoption of the Constitution demonstrates their understanding that they possessed such power. One may properly question the extent to which the States' own practice is a reliable indicator of the contours of restrictions that the Constitution imposed on States, especially when no court has ever upheld a state-imposed qualification of any sort. See supra at ___. But petitioners' argument is unpersuasive even on its own terms. At the time of the Convention, "[a]lmost all the State Constitutions required members of their Legislatures to possess considerable property." See Warren 416-417. 33 Despite this near uniformity, only one State, Virginia, placed similar restrictions on members of Congress, requiring that a representative be, inter alia, a "freeholder." See 1788 Va.Acts, ch. 2, § 2. 34 Just 15 years after imposing a property qualification, Virginia replaced that requirement with a provision requiring that representatives be only "qualified according to the constitution of the United States." 1813 Va. Acts, ch. 23, § 2. Moreover, several States, including New Hampshire, Georgia, Delaware, and South Carolina, revised their Constitutions at around the time of the Federal Constitution. In the revised Constitutions, each State retained property qualifications for its own state elected officials, yet placed no property qualification on its congressional representatives. 35</w:t>
      </w:r>
    </w:p>
    <w:p w:rsidR="00A31137" w:rsidRPr="00A31137" w:rsidRDefault="00A31137" w:rsidP="00A31137">
      <w:r w:rsidRPr="00A31137">
        <w:t>1995, U.S. Term Limits, Inc. v. Thornton, No. 93-1456</w:t>
      </w:r>
    </w:p>
    <w:p w:rsidR="00A31137" w:rsidRPr="00A31137" w:rsidRDefault="00A31137" w:rsidP="00A31137">
      <w:r w:rsidRPr="00A31137">
        <w:t>The contemporaneous state practice with respect to term limits is similar. At the time of the Convention, States widely supported term limits in at least some circumstances. The Articles of Confederation contained a provision for term limits. 36 As we have noted, some members of the Convention had sought to impose term limits for Members of Congress. 37 In addition, many States imposed term limits on state officers, 38 four placed limits on delegates to the Continental Congress, 39 and several States voiced support for term limits for Members of Congress. 40 Despite this widespread support, no State sought to impose any term limits on its own federal representatives. Thus, a proper assessment of contemporaneous state practice provides further persuasive evidence of a general understanding that the qualifications in the Constitution were unalterable by the States. 41</w:t>
      </w:r>
    </w:p>
    <w:p w:rsidR="00A31137" w:rsidRPr="00A31137" w:rsidRDefault="00A31137" w:rsidP="00A31137">
      <w:r w:rsidRPr="00A31137">
        <w:t>1995, U.S. Term Limits, Inc. v. Thornton, No. 93-1456</w:t>
      </w:r>
    </w:p>
    <w:p w:rsidR="00A31137" w:rsidRPr="00A31137" w:rsidRDefault="00A31137" w:rsidP="00A31137">
      <w:r w:rsidRPr="00A31137">
        <w:t>In sum, the available historical and textual evidence, read in light of the basic principles of democracy underlying the Constitution and recognized by this Court in Powell, reveal the Framers' intent that neither Congress nor the States should possess the power to supplement the exclusive qualifications set forth in the text of the Constitution.</w:t>
      </w:r>
    </w:p>
    <w:p w:rsidR="00A31137" w:rsidRPr="00A31137" w:rsidRDefault="00A31137" w:rsidP="00A31137">
      <w:r w:rsidRPr="00A31137">
        <w:t>IV</w:t>
      </w:r>
    </w:p>
    <w:p w:rsidR="00A31137" w:rsidRPr="00A31137" w:rsidRDefault="00A31137" w:rsidP="00A31137">
      <w:r w:rsidRPr="00A31137">
        <w:t>1995, U.S. Term Limits, Inc. v. Thornton, No. 93-1456</w:t>
      </w:r>
    </w:p>
    <w:p w:rsidR="00A31137" w:rsidRPr="00A31137" w:rsidRDefault="00A31137" w:rsidP="00A31137">
      <w:r w:rsidRPr="00A31137">
        <w:t>Petitioners argue that, even if States may not add qualifications, Amendment 73 is constitutional because it is not such a qualification, and because Amendment 73 is a permissible exercise of state power to regulate the "Times, Places and Manner of Holding Elections." We reject these contentions.</w:t>
      </w:r>
    </w:p>
    <w:p w:rsidR="00A31137" w:rsidRPr="00A31137" w:rsidRDefault="00A31137" w:rsidP="00A31137">
      <w:r w:rsidRPr="00A31137">
        <w:t>1995, U.S. Term Limits, Inc. v. Thornton, No. 93-1456</w:t>
      </w:r>
    </w:p>
    <w:p w:rsidR="00A31137" w:rsidRPr="00A31137" w:rsidRDefault="00A31137" w:rsidP="00A31137">
      <w:r w:rsidRPr="00A31137">
        <w:t>Unlike §§ 1 and 2 of Amendment 73, which create absolute bars to service for long-term incumbents running for state office, § 3 merely provides that certain Senators and Representatives shall not be certified as candidates and shall not have their names appear on the ballot. They may run as write-in candidates and, if elected, they may serve. Petitioners contend that only a legal bar to service creates an impermissible qualification, and that Amendment 73 is therefore consistent with the Constitution.</w:t>
      </w:r>
    </w:p>
    <w:p w:rsidR="00A31137" w:rsidRPr="00A31137" w:rsidRDefault="00A31137" w:rsidP="00A31137">
      <w:r w:rsidRPr="00A31137">
        <w:t>1995, U.S. Term Limits, Inc. v. Thornton, No. 93-1456</w:t>
      </w:r>
    </w:p>
    <w:p w:rsidR="00A31137" w:rsidRPr="00A31137" w:rsidRDefault="00A31137" w:rsidP="00A31137">
      <w:r w:rsidRPr="00A31137">
        <w:t>Petitioners support their restrictive definition of qualifications with language from Storer v. Brown, 415 U.S. 724 (1974), in which we faced a constitutional challenge to provisions of the California Elections Code that regulated the procedures by which both independent candidates and candidates affiliated with qualified political parties could obtain ballot position in general elections. The Code required candidates affiliated with a qualified party to win a primary election, and required independents to make timely filing of nomination papers signed by at least 5% of the entire vote cast in the last general election. The Code also denied ballot position to independents who had voted in the most recent primary election or who had registered their affiliation with a qualified party during the previous year.</w:t>
      </w:r>
    </w:p>
    <w:p w:rsidR="00A31137" w:rsidRPr="00A31137" w:rsidRDefault="00A31137" w:rsidP="00A31137">
      <w:r w:rsidRPr="00A31137">
        <w:t>1995, U.S. Term Limits, Inc. v. Thornton, No. 93-1456</w:t>
      </w:r>
    </w:p>
    <w:p w:rsidR="00A31137" w:rsidRPr="00A31137" w:rsidRDefault="00A31137" w:rsidP="00A31137">
      <w:r w:rsidRPr="00A31137">
        <w:t>In Storer, we rejected the argument that the challenged procedures created additional qualifications as "wholly without merit." Id. at 746, n. 16. We noted that petitioners</w:t>
      </w:r>
    </w:p>
    <w:p w:rsidR="00A31137" w:rsidRPr="00A31137" w:rsidRDefault="00A31137" w:rsidP="00A31137">
      <w:r w:rsidRPr="00A31137">
        <w:t>1995, U.S. Term Limits, Inc. v. Thornton, No. 93-1456</w:t>
      </w:r>
    </w:p>
    <w:p w:rsidR="00A31137" w:rsidRPr="00A31137" w:rsidRDefault="00A31137" w:rsidP="00A31137">
      <w:r w:rsidRPr="00A31137">
        <w:t>would not have been disqualified had they been nominated at a party primary or by an adequately supported independent petition and then elected at the general election.</w:t>
      </w:r>
    </w:p>
    <w:p w:rsidR="00A31137" w:rsidRPr="00A31137" w:rsidRDefault="00A31137" w:rsidP="00A31137">
      <w:r w:rsidRPr="00A31137">
        <w:t>1995, U.S. Term Limits, Inc. v. Thornton, No. 93-1456</w:t>
      </w:r>
    </w:p>
    <w:p w:rsidR="00A31137" w:rsidRPr="00A31137" w:rsidRDefault="00A31137" w:rsidP="00A31137">
      <w:r w:rsidRPr="00A31137">
        <w:t>Ibid. We concluded that the California Code</w:t>
      </w:r>
    </w:p>
    <w:p w:rsidR="00A31137" w:rsidRPr="00A31137" w:rsidRDefault="00A31137" w:rsidP="00A31137">
      <w:r w:rsidRPr="00A31137">
        <w:t>1995, U.S. Term Limits, Inc. v. Thornton, No. 93-1456</w:t>
      </w:r>
    </w:p>
    <w:p w:rsidR="00A31137" w:rsidRPr="00A31137" w:rsidRDefault="00A31137" w:rsidP="00A31137">
      <w:r w:rsidRPr="00A31137">
        <w:t>no more establishes an additional requirement for the office of Representative than the requirement that the candidate win the primary to secure a place on the general ballot or otherwise demonstrate substantial community support.</w:t>
      </w:r>
    </w:p>
    <w:p w:rsidR="00A31137" w:rsidRPr="00A31137" w:rsidRDefault="00A31137" w:rsidP="00A31137">
      <w:r w:rsidRPr="00A31137">
        <w:t>1995, U.S. Term Limits, Inc. v. Thornton, No. 93-1456</w:t>
      </w:r>
    </w:p>
    <w:p w:rsidR="00A31137" w:rsidRPr="00A31137" w:rsidRDefault="00A31137" w:rsidP="00A31137">
      <w:r w:rsidRPr="00A31137">
        <w:t>Ibid. See also Joyner v. Mofford, 706 F.2d at 1531; Hopfmann v. Connolly, 746 F.2d 97, 103 (CA1 1984), vacated in part on other grounds, 471 U.S. 459 (1985). Petitioners maintain that, under Storer, Amendment 73 is not a qualification.</w:t>
      </w:r>
    </w:p>
    <w:p w:rsidR="00A31137" w:rsidRPr="00A31137" w:rsidRDefault="00A31137" w:rsidP="00A31137">
      <w:r w:rsidRPr="00A31137">
        <w:t>1995, U.S. Term Limits, Inc. v. Thornton, No. 93-1456</w:t>
      </w:r>
    </w:p>
    <w:p w:rsidR="00A31137" w:rsidRPr="00A31137" w:rsidRDefault="00A31137" w:rsidP="00A31137">
      <w:r w:rsidRPr="00A31137">
        <w:t>We need not decide whether petitioners' narrow understanding of qualifications is correct because, even if it is, Amendment 73 may not stand. As we have often noted, "'[c]onstitutional rights would be of little value if they could be…indirectly denied.'" Harman v. Forssenius, 380 U.S. 528,  540 (1965), quoting Smith v. Allwright, 321 U.S. 649,  664 (1944). The Constitution "nullifies sophisticated as well as simple-minded modes" of infringing on Constitutional protections. Lane v. Wilson, 307 U.S. 268,  275 (1939); Harman v. Forssenius, 380 U.S. at 540-541.</w:t>
      </w:r>
    </w:p>
    <w:p w:rsidR="00A31137" w:rsidRPr="00A31137" w:rsidRDefault="00A31137" w:rsidP="00A31137">
      <w:r w:rsidRPr="00A31137">
        <w:t>1995, U.S. Term Limits, Inc. v. Thornton, No. 93-1456</w:t>
      </w:r>
    </w:p>
    <w:p w:rsidR="00A31137" w:rsidRPr="00A31137" w:rsidRDefault="00A31137" w:rsidP="00A31137">
      <w:r w:rsidRPr="00A31137">
        <w:t>In our view, Amendment 73 is an indirect attempt to accomplish what the Constitution prohibits Arkansas from accomplishing directly. As the plurality opinion of the Arkansas Supreme Court recognized, Amendment 73 is an "effort to dress eligibility to stand for Congress in ballot access clothing," because the "intent and the effect of Amendment 73 are to disqualify congressional incumbents from further service." 316 Ark. at 266, 872 S.W.2d at 357. 42 We must, of course, accept the State Court's view of the purpose of its own law: we are thus authoritatively informed that the sole purpose of § 3 of Amendment 73 was to attempt to achieve a result that is forbidden by the Federal Constitution. Indeed, it cannot be seriously contended that the intent behind Amendment 73 is other than to prevent the election of incumbents. The preamble of Amendment 73 states explicitly: "[T]he people of Arkansas…herein limit the terms of elected officials." Sections 1 and 2 create absolute limits on the number of terms that may be served. There is no hint that § 3 was intended to have any other purpose.</w:t>
      </w:r>
    </w:p>
    <w:p w:rsidR="00A31137" w:rsidRPr="00A31137" w:rsidRDefault="00A31137" w:rsidP="00A31137">
      <w:r w:rsidRPr="00A31137">
        <w:t>1995, U.S. Term Limits, Inc. v. Thornton, No. 93-1456</w:t>
      </w:r>
    </w:p>
    <w:p w:rsidR="00A31137" w:rsidRPr="00A31137" w:rsidRDefault="00A31137" w:rsidP="00A31137">
      <w:r w:rsidRPr="00A31137">
        <w:t>Petitioners do, however, contest the Arkansas Supreme Court's conclusion that the Amendment has the same practical effect as an absolute bar. They argue that the possibility of a write-in campaign creates a real possibility for victory, especially for an entrenched incumbent. One may reasonably question the merits of that contention. 43 Indeed, we are advised by the state court that there is nothing more than a faint glimmer of possibility that the excluded candidate will win. 44 Our prior cases, too, have suggested that write-in candidates have only a slight chance of victory. 45 But even if petitioners are correct that incumbents may occasionally win reelection as write-in candidates, there is no denying that the ballot restrictions will make it significantly more difficult for the barred candidate to win the election. In our view, an amendment with the avowed purpose and obvious effect of evading the requirements of the Qualifications Clauses by handicapping a class of candidates cannot stand. To argue otherwise is to suggest that the Framers spent significant time and energy in debating and crafting Clauses that could be easily evaded. More importantly, allowing States to evade the Qualifications Clauses by "dress[ing] eligibility to stand for Congress in ballot access clothing" trivializes the basic principles of our democracy that underlie those Clauses. Petitioners' argument treats the Qualifications Clauses not as the embodiment of a grand principle, but rather as empty formalism. "'It is inconceivable that guaranties embedded in the Constitution of the United States may thus be manipulated out of existence.'" Gomillion v. Lightfoot, 364 U.S. 339,  345 (1960), quoting Frost &amp; Frost Trucking Co. v. Railroad Comm'n of California, 271 U.S. 583, 594 (1926).</w:t>
      </w:r>
      <w:r w:rsidRPr="00A31137">
        <w:cr/>
      </w:r>
    </w:p>
    <w:p w:rsidR="00A31137" w:rsidRPr="00A31137" w:rsidRDefault="00A31137" w:rsidP="00A31137">
      <w:r w:rsidRPr="00A31137">
        <w:t>1995, U.S. Term Limits, Inc. v. Thornton, No. 93-1456</w:t>
      </w:r>
    </w:p>
    <w:p w:rsidR="00A31137" w:rsidRPr="00A31137" w:rsidRDefault="00A31137" w:rsidP="00A31137">
      <w:r w:rsidRPr="00A31137">
        <w:t>Petitioners make the related argument that Amendment 73 merely regulates the "Manner" of elections, and that the Amendment is therefore a permissible exercise of state power under Article I, § 4, cl. 1 (the Elections Clause) to regulate the "Times, Places and Manner" of elections. 46 We cannot agree.</w:t>
      </w:r>
    </w:p>
    <w:p w:rsidR="00A31137" w:rsidRPr="00A31137" w:rsidRDefault="00A31137" w:rsidP="00A31137">
      <w:r w:rsidRPr="00A31137">
        <w:t>1995, U.S. Term Limits, Inc. v. Thornton, No. 93-1456</w:t>
      </w:r>
    </w:p>
    <w:p w:rsidR="00A31137" w:rsidRPr="00A31137" w:rsidRDefault="00A31137" w:rsidP="00A31137">
      <w:r w:rsidRPr="00A31137">
        <w:t>A necessary consequence of petitioners' argument is that Congress itself would have the power to "make or alter" a measure such as Amendment 73. Art. I, § 4, cl. 1. See Smiley v. Holm, 285 U.S. 355, 366-367 (1932) ("[T]he Congress may supplement these state regulations or may substitute its own"). That the Framers would have approved of such a result is unfathomable. As our decision in Powell and our discussion above make clear, the Framers were particularly concerned that a grant to Congress of the authority to set its own qualifications would lead inevitably to congressional self-aggrandizement and the upsetting of the delicate constitutional balance. See supra at ___, and n. 10, supra. Petitioners would have us believe, however, that even as the Framers carefully circumscribed congressional power to set qualifications, they intended to allow Congress to achieve the same result by simply formulating the regulation as a ballot access restriction under the Elections Clause. We refuse to adopt an interpretation of the Elections Clause that would so cavalierly disregard what the Framers intended to be a fundamental constitutional safeguard.</w:t>
      </w:r>
    </w:p>
    <w:p w:rsidR="00A31137" w:rsidRPr="00A31137" w:rsidRDefault="00A31137" w:rsidP="00A31137">
      <w:r w:rsidRPr="00A31137">
        <w:t>1995, U.S. Term Limits, Inc. v. Thornton, No. 93-1456</w:t>
      </w:r>
    </w:p>
    <w:p w:rsidR="00A31137" w:rsidRPr="00A31137" w:rsidRDefault="00A31137" w:rsidP="00A31137">
      <w:r w:rsidRPr="00A31137">
        <w:t>Moreover, petitioners' broad construction of the Elections Clause is fundamentally inconsistent with the Framers' view of that Clause. The Framers intended the Elections Clause to grant States authority to create procedural regulations, not to provide States with license to exclude classes of candidates from federal office. During the Convention debates, for example, Madison illustrated the procedural focus of the Elections Clause by noting that it covered</w:t>
      </w:r>
    </w:p>
    <w:p w:rsidR="00A31137" w:rsidRPr="00A31137" w:rsidRDefault="00A31137" w:rsidP="00A31137">
      <w:r w:rsidRPr="00A31137">
        <w:t>1995, U.S. Term Limits, Inc. v. Thornton, No. 93-1456</w:t>
      </w:r>
    </w:p>
    <w:p w:rsidR="00A31137" w:rsidRPr="00A31137" w:rsidRDefault="00A31137" w:rsidP="00A31137">
      <w:r w:rsidRPr="00A31137">
        <w:t>[w]hether the electors should vote by ballot or vive voce, should assemble at this place or that place; should be divided into districts or all meet at one place, sh[oul]d all vote for all the representatives; or all in a district vote for a number allotted to the district.</w:t>
      </w:r>
    </w:p>
    <w:p w:rsidR="00A31137" w:rsidRPr="00A31137" w:rsidRDefault="00A31137" w:rsidP="00A31137">
      <w:r w:rsidRPr="00A31137">
        <w:t>1995, U.S. Term Limits, Inc. v. Thornton, No. 93-1456</w:t>
      </w:r>
    </w:p>
    <w:p w:rsidR="00A31137" w:rsidRPr="00A31137" w:rsidRDefault="00A31137" w:rsidP="00A31137">
      <w:r w:rsidRPr="00A31137">
        <w:t>2 Farrand 240. Similarly, during the ratification debates, proponents of the Constitution noted:</w:t>
      </w:r>
    </w:p>
    <w:p w:rsidR="00A31137" w:rsidRPr="00A31137" w:rsidRDefault="00A31137" w:rsidP="00A31137">
      <w:r w:rsidRPr="00A31137">
        <w:t>1995, U.S. Term Limits, Inc. v. Thornton, No. 93-1456</w:t>
      </w:r>
    </w:p>
    <w:p w:rsidR="00A31137" w:rsidRPr="00A31137" w:rsidRDefault="00A31137" w:rsidP="00A31137">
      <w:r w:rsidRPr="00A31137">
        <w:t>[T]he power over the manner only enables them to determine how these electors shall elect—whether by ballot, or by vote, or by any other way.</w:t>
      </w:r>
    </w:p>
    <w:p w:rsidR="00A31137" w:rsidRPr="00A31137" w:rsidRDefault="00A31137" w:rsidP="00A31137">
      <w:r w:rsidRPr="00A31137">
        <w:t>1995, U.S. Term Limits, Inc. v. Thornton, No. 93-1456</w:t>
      </w:r>
    </w:p>
    <w:p w:rsidR="00A31137" w:rsidRPr="00A31137" w:rsidRDefault="00A31137" w:rsidP="00A31137">
      <w:r w:rsidRPr="00A31137">
        <w:t>4 Elliot's Debates 71 (Steele statement at North Carolina ratifying convention) (emphasis in original). 47</w:t>
      </w:r>
    </w:p>
    <w:p w:rsidR="00A31137" w:rsidRPr="00A31137" w:rsidRDefault="00A31137" w:rsidP="00A31137">
      <w:r w:rsidRPr="00A31137">
        <w:t>1995, U.S. Term Limits, Inc. v. Thornton, No. 93-1456</w:t>
      </w:r>
    </w:p>
    <w:p w:rsidR="00A31137" w:rsidRPr="00A31137" w:rsidRDefault="00A31137" w:rsidP="00A31137">
      <w:r w:rsidRPr="00A31137">
        <w:t>Hamilton made a similar point in The Federalist No. 60, in which he defended the Constitution's grant to Congress of the power to override state regulations. Hamilton expressly distinguished the broad power to set qualifications from the limited authority under the Elections Clause, noting that</w:t>
      </w:r>
    </w:p>
    <w:p w:rsidR="00A31137" w:rsidRPr="00A31137" w:rsidRDefault="00A31137" w:rsidP="00A31137">
      <w:r w:rsidRPr="00A31137">
        <w:t>1995, U.S. Term Limits, Inc. v. Thornton, No. 93-1456</w:t>
      </w:r>
    </w:p>
    <w:p w:rsidR="00A31137" w:rsidRPr="00A31137" w:rsidRDefault="00A31137" w:rsidP="00A31137">
      <w:r w:rsidRPr="00A31137">
        <w:t>there is no method of securing to the rich the preference apprehended but by prescribing qualifications of property either for those who may elect or be elected. But this forms no part of the power to be conferred upon the national government. Its authority would be expressly restricted to the regulation of the times, the places, and the manner of elections.</w:t>
      </w:r>
    </w:p>
    <w:p w:rsidR="00A31137" w:rsidRPr="00A31137" w:rsidRDefault="00A31137" w:rsidP="00A31137">
      <w:r w:rsidRPr="00A31137">
        <w:t>1995, U.S. Term Limits, Inc. v. Thornton, No. 93-1456</w:t>
      </w:r>
    </w:p>
    <w:p w:rsidR="00A31137" w:rsidRPr="00A31137" w:rsidRDefault="00A31137" w:rsidP="00A31137">
      <w:r w:rsidRPr="00A31137">
        <w:t>The Federalist No. 60 at 371 (emphasis in original). As Hamilton's statement suggests, the Framers understood the Elections Clause as a grant of authority to issue procedural regulations, and not as a source of power to dictate electoral outcomes, to favor or disfavor a class of candidates, or to evade important constitutional restraints.</w:t>
      </w:r>
    </w:p>
    <w:p w:rsidR="00A31137" w:rsidRPr="00A31137" w:rsidRDefault="00A31137" w:rsidP="00A31137">
      <w:r w:rsidRPr="00A31137">
        <w:t>1995, U.S. Term Limits, Inc. v. Thornton, No. 93-1456</w:t>
      </w:r>
    </w:p>
    <w:p w:rsidR="00A31137" w:rsidRPr="00A31137" w:rsidRDefault="00A31137" w:rsidP="00A31137">
      <w:r w:rsidRPr="00A31137">
        <w:t>Our cases interpreting state power under the Elections Clause reflect the same understanding. The Elections Clause gives States authority</w:t>
      </w:r>
    </w:p>
    <w:p w:rsidR="00A31137" w:rsidRPr="00A31137" w:rsidRDefault="00A31137" w:rsidP="00A31137">
      <w:r w:rsidRPr="00A31137">
        <w:t>1995, U.S. Term Limits, Inc. v. Thornton, No. 93-1456</w:t>
      </w:r>
    </w:p>
    <w:p w:rsidR="00A31137" w:rsidRPr="00A31137" w:rsidRDefault="00A31137" w:rsidP="00A31137">
      <w:r w:rsidRPr="00A31137">
        <w:t>to enact the numerous requirements as to procedure and safeguards which experience shows are necessary in order to enforce the fundamental right involved.</w:t>
      </w:r>
    </w:p>
    <w:p w:rsidR="00A31137" w:rsidRPr="00A31137" w:rsidRDefault="00A31137" w:rsidP="00A31137">
      <w:r w:rsidRPr="00A31137">
        <w:t>1995, U.S. Term Limits, Inc. v. Thornton, No. 93-1456</w:t>
      </w:r>
    </w:p>
    <w:p w:rsidR="00A31137" w:rsidRPr="00A31137" w:rsidRDefault="00A31137" w:rsidP="00A31137">
      <w:r w:rsidRPr="00A31137">
        <w:t>Smiley v. Holm, 285 U.S. at 366. However, "[t]he power to regulate the time, place, and manner of elections does not justify, without more, the abridgement of fundamental rights." Tashjian v. Republican Party of Connecticut, 479 U.S. 208,  217 (1986). States are thus entitled to adopt "generally applicable and evenhanded restrictions that protect the integrity and reliability of the electoral process itself." Anderson v. Celebrezze, 460 U.S. 780, 788, n. 9 (1983). For example, in Storer v. Brown, 415 U.S. 724 (1974), the case on which petitioners place principal reliance, we upheld the validity of certain provisions of the California Election Code. In so doing, we emphasized the States' interest in having orderly, fair, and honest elections "rather than chaos." Id. at 730. We also recognized the "States' strong interest in maintaining the integrity of the political process by preventing inter-party raiding," id. at 731, and explained that the specific requirements applicable to independents were "expressive of a general state policy aimed at maintaining the integrity of the various routes to the ballot," id. at 733. In other cases, we have approved the States' interests in avoiding "voter confusion, ballot overcrowding, or the presence of frivolous candidacies," Munro v. Socialist Workers Party, 479 U.S. 189, 194-195 (1986), in "seeking to assure that elections are operated equitably and efficiently," Burdick v. Takushi, 504 U.S. at __ , and in "guard[ing] against irregularity and error in the tabulation of votes," Roudebush v. Hartke, 405 U.S. 15, 25 (1972). In short, we have approved of state regulations designed to ensure that elections are "'fair and honest and…[that] some sort of order, rather than chaos,…accompan[ies] the democratic processes.'" Burdick v. Takushi, 504 U.S. at __, quoting Storer, 415 U.S. at 730.</w:t>
      </w:r>
    </w:p>
    <w:p w:rsidR="00A31137" w:rsidRPr="00A31137" w:rsidRDefault="00A31137" w:rsidP="00A31137">
      <w:r w:rsidRPr="00A31137">
        <w:t>1995, U.S. Term Limits, Inc. v. Thornton, No. 93-1456</w:t>
      </w:r>
    </w:p>
    <w:p w:rsidR="00A31137" w:rsidRPr="00A31137" w:rsidRDefault="00A31137" w:rsidP="00A31137">
      <w:r w:rsidRPr="00A31137">
        <w:t>The provisions at issue in Storer and our other Elections Clause cases were thus constitutional because they regulated election procedures and did not even arguably impose any substantive qualification rendering a class of potential candidates ineligible for ballot position. They served the state interest in protecting the integrity and regularity of the election process, an interest independent of any attempt to evade the constitutional prohibition against the imposition of additional qualifications for service in Congress. And they did not involve measures that exclude candidates from the ballot without reference to the candidates' support in the electoral process. Our cases upholding state regulations of election procedures thus provide little support for the contention that a state-imposed ballot access restriction is constitutional when it is undertaken for the twin goals of disadvantaging a particular class of candidates and evading the dictates of the Qualifications Clauses. 48</w:t>
      </w:r>
    </w:p>
    <w:p w:rsidR="00A31137" w:rsidRPr="00A31137" w:rsidRDefault="00A31137" w:rsidP="00A31137">
      <w:r w:rsidRPr="00A31137">
        <w:t>1995, U.S. Term Limits, Inc. v. Thornton, No. 93-1456</w:t>
      </w:r>
    </w:p>
    <w:p w:rsidR="00A31137" w:rsidRPr="00A31137" w:rsidRDefault="00A31137" w:rsidP="00A31137">
      <w:r w:rsidRPr="00A31137">
        <w:t>We do not understand the dissent to contest our primary thesis, namely that if the qualifications for Congress are fixed in the Constitution, then a State-passed measure with the avowed purpose of imposing indirectly such an additional qualification violates the Constitution. The dissent, instead, raises two objections, challenging the assertion that the Arkansas amendment has the likely effect of creating a qualification, post at ___, and suggesting that the true intent of Amendment 73 was not to evade the Qualifications Clause, but rather to simply "level the playing field," post at ___. Neither of these objections has merit.</w:t>
      </w:r>
    </w:p>
    <w:p w:rsidR="00A31137" w:rsidRPr="00A31137" w:rsidRDefault="00A31137" w:rsidP="00A31137">
      <w:r w:rsidRPr="00A31137">
        <w:t>1995, U.S. Term Limits, Inc. v. Thornton, No. 93-1456</w:t>
      </w:r>
    </w:p>
    <w:p w:rsidR="00A31137" w:rsidRPr="00A31137" w:rsidRDefault="00A31137" w:rsidP="00A31137">
      <w:r w:rsidRPr="00A31137">
        <w:t>As to the first, it is simply irrelevant to our holding today. As we note above in n. 45, supra, our prior cases strongly suggest that write-in candidates will have only a slim chance of success, and the Arkansas plurality agreed. However, we expressly do not rest on this Court's prior observations regarding write-in candidates. Instead, we hold that a state amendment is unconstitutional when it has the likely effect of handicapping a class of candidates and has the sole purpose of creating additional qualifications indirectly. Thus, the dissent's discussion of the evidence concerning the possibility that a popular incumbent will win a write-in election is simply beside the point.</w:t>
      </w:r>
    </w:p>
    <w:p w:rsidR="00A31137" w:rsidRPr="00A31137" w:rsidRDefault="00A31137" w:rsidP="00A31137">
      <w:r w:rsidRPr="00A31137">
        <w:t>1995, U.S. Term Limits, Inc. v. Thornton, No. 93-1456</w:t>
      </w:r>
    </w:p>
    <w:p w:rsidR="00A31137" w:rsidRPr="00A31137" w:rsidRDefault="00A31137" w:rsidP="00A31137">
      <w:r w:rsidRPr="00A31137">
        <w:t>As to the second argument, we find wholly unpersuasive the dissent's suggestion that Amendment 73 was designed merely to "level the playing field." As we have noted, supra at ___, it is obvious that the sole purpose of Amendment 73 was to limit the terms of elected officials, both State and federal, and that Amendment 73, therefore, may not stand.</w:t>
      </w:r>
    </w:p>
    <w:p w:rsidR="00A31137" w:rsidRPr="00A31137" w:rsidRDefault="00A31137" w:rsidP="00A31137">
      <w:r w:rsidRPr="00A31137">
        <w:t>V</w:t>
      </w:r>
    </w:p>
    <w:p w:rsidR="00A31137" w:rsidRPr="00A31137" w:rsidRDefault="00A31137" w:rsidP="00A31137">
      <w:r w:rsidRPr="00A31137">
        <w:t>1995, U.S. Term Limits, Inc. v. Thornton, No. 93-1456</w:t>
      </w:r>
    </w:p>
    <w:p w:rsidR="00A31137" w:rsidRPr="00A31137" w:rsidRDefault="00A31137" w:rsidP="00A31137">
      <w:r w:rsidRPr="00A31137">
        <w:t>The merits of term limits, or "rotation," have been the subject of debate since the formation of our Constitution, when the Framers unanimously rejected a proposal to add such limits to the Constitution. The cogent arguments on both sides of the question that were articulated during the process of ratification largely retain their force today. Over half the States have adopted measures that impose such limits on some offices either directly or indirectly, and the Nation as a whole, notably by constitutional amendment, has imposed a limit on the number of terms that the President may serve. 49 Term limits, like any other qualification for office, unquestionably restrict the ability of voters to vote for whom they wish. On the other hand, such limits may provide for the infusion of fresh ideas and new perspectives, and may decrease the likelihood that representatives will lose touch with their constituents. It is not our province to resolve this longstanding debate.</w:t>
      </w:r>
    </w:p>
    <w:p w:rsidR="00A31137" w:rsidRPr="00A31137" w:rsidRDefault="00A31137" w:rsidP="00A31137">
      <w:r w:rsidRPr="00A31137">
        <w:t>1995, U.S. Term Limits, Inc. v. Thornton, No. 93-1456</w:t>
      </w:r>
    </w:p>
    <w:p w:rsidR="00A31137" w:rsidRPr="00A31137" w:rsidRDefault="00A31137" w:rsidP="00A31137">
      <w:r w:rsidRPr="00A31137">
        <w:t>We are, however, firmly convinced that allowing the several States to adopt term limits for congressional service would effect a fundamental change in the constitutional framework. Any such change must come not by legislation adopted either by Congress or by an individual State, but rather—as have other important changes in the electoral process 50—through the Amendment procedures set forth in Article V. The Framers decided that the qualifications for service in the Congress of the United States be fixed in the Constitution and be uniform throughout the Nation. That decision reflects the Framers' understanding that Members of Congress are chosen by separate constituencies, but that they become, when elected, servants of the people of the United States. They are not merely delegates appointed by separate, sovereign States; they occupy offices that are integral and essential components of a single National Government. In the absence of a properly passed constitutional amendment, allowing individual States to craft their own qualifications for Congress would thus erode the structure envisioned by the Framers, a structure that was designed, in the words of the Preamble to our Constitution, to form a "more perfect Union."</w:t>
      </w:r>
    </w:p>
    <w:p w:rsidR="00A31137" w:rsidRPr="00A31137" w:rsidRDefault="00A31137" w:rsidP="00A31137">
      <w:r w:rsidRPr="00A31137">
        <w:t>1995, U.S. Term Limits, Inc. v. Thornton, No. 93-1456</w:t>
      </w:r>
    </w:p>
    <w:p w:rsidR="00A31137" w:rsidRPr="00A31137" w:rsidRDefault="00A31137" w:rsidP="00A31137">
      <w:r w:rsidRPr="00A31137">
        <w:t>The judgment is affirmed.</w:t>
      </w:r>
    </w:p>
    <w:p w:rsidR="00A31137" w:rsidRPr="00A31137" w:rsidRDefault="00A31137" w:rsidP="00A31137">
      <w:r w:rsidRPr="00A31137">
        <w:t>1995, U.S. Term Limits, Inc. v. Thornton, No. 93-1456</w:t>
      </w:r>
    </w:p>
    <w:p w:rsidR="00A31137" w:rsidRPr="00A31137" w:rsidRDefault="00A31137" w:rsidP="00A31137">
      <w:r w:rsidRPr="00A31137">
        <w:t>It is so ordered.</w:t>
      </w:r>
    </w:p>
    <w:p w:rsidR="00A31137" w:rsidRPr="00A31137" w:rsidRDefault="00A31137" w:rsidP="00A31137">
      <w:r w:rsidRPr="00A31137">
        <w:t>KENNEDY, J., concurring</w:t>
      </w:r>
    </w:p>
    <w:p w:rsidR="00A31137" w:rsidRPr="00A31137" w:rsidRDefault="00A31137" w:rsidP="00A31137">
      <w:r w:rsidRPr="00A31137">
        <w:t>1995, U.S. Term Limits, Inc. v. Thornton, No. 93-1456</w:t>
      </w:r>
    </w:p>
    <w:p w:rsidR="00A31137" w:rsidRPr="00A31137" w:rsidRDefault="00A31137" w:rsidP="00A31137">
      <w:r w:rsidRPr="00A31137">
        <w:t>JUSTICE KENNEDY, concurring.</w:t>
      </w:r>
    </w:p>
    <w:p w:rsidR="00A31137" w:rsidRPr="00A31137" w:rsidRDefault="00A31137" w:rsidP="00A31137">
      <w:r w:rsidRPr="00A31137">
        <w:t>1995, U.S. Term Limits, Inc. v. Thornton, No. 93-1456</w:t>
      </w:r>
    </w:p>
    <w:p w:rsidR="00A31137" w:rsidRPr="00A31137" w:rsidRDefault="00A31137" w:rsidP="00A31137">
      <w:r w:rsidRPr="00A31137">
        <w:t>I join the opinion of the Court.</w:t>
      </w:r>
    </w:p>
    <w:p w:rsidR="00A31137" w:rsidRPr="00A31137" w:rsidRDefault="00A31137" w:rsidP="00A31137">
      <w:r w:rsidRPr="00A31137">
        <w:t>1995, U.S. Term Limits, Inc. v. Thornton, No. 93-1456</w:t>
      </w:r>
    </w:p>
    <w:p w:rsidR="00A31137" w:rsidRPr="00A31137" w:rsidRDefault="00A31137" w:rsidP="00A31137">
      <w:r w:rsidRPr="00A31137">
        <w:t>The majority and dissenting opinions demonstrate the intricacy of the question whether or not the Qualifications Clauses are exclusive. In my view, however, it is well settled that the whole people of the United States asserted their political identity and unity of purpose when they created the federal system. The dissent's course of reasoning suggesting otherwise might be construed to disparage the republican character of the National Government, and it seems appropriate to add these few remarks to explain why that course of argumentation runs counter to fundamental principles of federalism.</w:t>
      </w:r>
    </w:p>
    <w:p w:rsidR="00A31137" w:rsidRPr="00A31137" w:rsidRDefault="00A31137" w:rsidP="00A31137">
      <w:r w:rsidRPr="00A31137">
        <w:t>1995, U.S. Term Limits, Inc. v. Thornton, No. 93-1456</w:t>
      </w:r>
    </w:p>
    <w:p w:rsidR="00A31137" w:rsidRPr="00A31137" w:rsidRDefault="00A31137" w:rsidP="00A31137">
      <w:r w:rsidRPr="00A31137">
        <w:t>Federalism was our Nation's own discovery. The Framers split the atom of sovereignty. It was the genius of their idea that our citizens would have two political capacities, one state and one federal, each protected from incursion by the other. The resulting Constitution created a legal system unprecedented in form and design, establishing two orders of government, each with its own direct relationship, its own privity, its own set of mutual rights and obligations to the people who sustain it and are governed by it. It is appropriate to recall these origins, which instruct us as to the nature of the two different governments created and confirmed by the Constitution.</w:t>
      </w:r>
    </w:p>
    <w:p w:rsidR="00A31137" w:rsidRPr="00A31137" w:rsidRDefault="00A31137" w:rsidP="00A31137">
      <w:r w:rsidRPr="00A31137">
        <w:t>1995, U.S. Term Limits, Inc. v. Thornton, No. 93-1456</w:t>
      </w:r>
    </w:p>
    <w:p w:rsidR="00A31137" w:rsidRPr="00A31137" w:rsidRDefault="00A31137" w:rsidP="00A31137">
      <w:r w:rsidRPr="00A31137">
        <w:t>A distinctive character of the National Government, the mark of its legitimacy, is that it owes its existence to the act of the whole people who created it. It must be remembered that the National Government too is republican in essence and in theory. John Jay insisted on this point early in The Federalist Papers, in his comments on the government that preceded the one formed by the Constitution.</w:t>
      </w:r>
    </w:p>
    <w:p w:rsidR="00A31137" w:rsidRPr="00A31137" w:rsidRDefault="00A31137" w:rsidP="00A31137">
      <w:r w:rsidRPr="00A31137">
        <w:t>1995, U.S. Term Limits, Inc. v. Thornton, No. 93-1456</w:t>
      </w:r>
    </w:p>
    <w:p w:rsidR="00A31137" w:rsidRPr="00A31137" w:rsidRDefault="00A31137" w:rsidP="00A31137">
      <w:r w:rsidRPr="00A31137">
        <w:t>To all general purposes we have uniformly been one people; each individual citizen everywhere enjoying the same national rights, privileges, and protection….</w:t>
      </w:r>
    </w:p>
    <w:p w:rsidR="00A31137" w:rsidRPr="00A31137" w:rsidRDefault="00A31137" w:rsidP="00A31137">
      <w:r w:rsidRPr="00A31137">
        <w:t>1995, U.S. Term Limits, Inc. v. Thornton, No. 93-1456</w:t>
      </w:r>
    </w:p>
    <w:p w:rsidR="00A31137" w:rsidRPr="00A31137" w:rsidRDefault="00A31137" w:rsidP="00A31137">
      <w:r w:rsidRPr="00A31137">
        <w:t>A strong sense of the value and blessings of union induced the people at a very early period, to institute a federal government to preserve and perpetuate it. They formed it almost as soon as they had a political existence….</w:t>
      </w:r>
    </w:p>
    <w:p w:rsidR="00A31137" w:rsidRPr="00A31137" w:rsidRDefault="00A31137" w:rsidP="00A31137">
      <w:r w:rsidRPr="00A31137">
        <w:t>1995, U.S. Term Limits, Inc. v. Thornton, No. 93-1456</w:t>
      </w:r>
    </w:p>
    <w:p w:rsidR="00A31137" w:rsidRPr="00A31137" w:rsidRDefault="00A31137" w:rsidP="00A31137">
      <w:r w:rsidRPr="00A31137">
        <w:t>The Federalist No. 2, pp. 38-39 (C. Rossiter ed. 1961) (hereinafter The Federalist). Once the National Government was formed under our Constitution, the same republican principles continued to guide its operation and practice. As James Madison explained, the House of Representatives "derive[s] its powers from the people of America," and "the operation of the government on the people in their individual capacities" makes it "a national government," not merely a federal one. The Federalist No. 39 at 244, 245 (emphasis omitted). The Court confirmed this principle in McCulloch v. Maryland, 4 Wheat. 316, 404-405 (1819), when it said,</w:t>
      </w:r>
    </w:p>
    <w:p w:rsidR="00A31137" w:rsidRPr="00A31137" w:rsidRDefault="00A31137" w:rsidP="00A31137">
      <w:r w:rsidRPr="00A31137">
        <w:t>1995, U.S. Term Limits, Inc. v. Thornton, No. 93-1456</w:t>
      </w:r>
    </w:p>
    <w:p w:rsidR="00A31137" w:rsidRPr="00A31137" w:rsidRDefault="00A31137" w:rsidP="00A31137">
      <w:r w:rsidRPr="00A31137">
        <w:t>The government of the Union, then…is, emphatically, and truly, a government of the people. In form and in substance, it emanates from them. Its powers are granted by them, and are to be exercised directly on them, and for their benefit.</w:t>
      </w:r>
    </w:p>
    <w:p w:rsidR="00A31137" w:rsidRPr="00A31137" w:rsidRDefault="00A31137" w:rsidP="00A31137">
      <w:r w:rsidRPr="00A31137">
        <w:t>1995, U.S. Term Limits, Inc. v. Thornton, No. 93-1456</w:t>
      </w:r>
    </w:p>
    <w:p w:rsidR="00A31137" w:rsidRPr="00A31137" w:rsidRDefault="00A31137" w:rsidP="00A31137">
      <w:r w:rsidRPr="00A31137">
        <w:t>The same theory led us to observe as follows in Ex parte Yarbrough, 110 U.S. 651,  666 (1884): "In a republican government, like ours,…political power is reposed in representatives of the entire body of the people."</w:t>
      </w:r>
    </w:p>
    <w:p w:rsidR="00A31137" w:rsidRPr="00A31137" w:rsidRDefault="00A31137" w:rsidP="00A31137">
      <w:r w:rsidRPr="00A31137">
        <w:t>1995, U.S. Term Limits, Inc. v. Thornton, No. 93-1456</w:t>
      </w:r>
    </w:p>
    <w:p w:rsidR="00A31137" w:rsidRPr="00A31137" w:rsidRDefault="00A31137" w:rsidP="00A31137">
      <w:r w:rsidRPr="00A31137">
        <w:t>In one sense, it is true that "the people of each State retained their separate political identities," post at ___, for the Constitution takes care both to preserve the States and to make use of their identities and structures at various points in organizing the federal union. It does not at all follow from this that the sole political identity of an American is with the State of his or her residence. It denies the dual character of the Federal Government which is its very foundation to assert that the people of the United States do not have a political identity as well, one independent of, though consistent with, their identity as citizens of the State of their residence. Cf. post at ___. It must be recognized that "'[f]or all the great purposes for which the Federal government was formed, we are one people, with one common country.'" Shapiro v. Thompson, 394 U.S. 618,  630 (1969) (quoting Passenger Cases, 7 How. 283, 492 (1849) (Taney, C.J., dissenting)); see Crandall v. Nevada, 6 Wall. 35, 43 (1868) ("The people of these United States constitute one nation" and "have a government in which all of them are deeply interested").</w:t>
      </w:r>
    </w:p>
    <w:p w:rsidR="00A31137" w:rsidRPr="00A31137" w:rsidRDefault="00A31137" w:rsidP="00A31137">
      <w:r w:rsidRPr="00A31137">
        <w:t>1995, U.S. Term Limits, Inc. v. Thornton, No. 93-1456</w:t>
      </w:r>
    </w:p>
    <w:p w:rsidR="00A31137" w:rsidRPr="00A31137" w:rsidRDefault="00A31137" w:rsidP="00A31137">
      <w:r w:rsidRPr="00A31137">
        <w:t>It might be objected that because the States ratified the Constitution, the people can delegate power only through the States or by acting in their capacities as citizens of particular States. See post at ___. But in McCulloch v. Maryland, the Court set forth its authoritative rejection of this idea:</w:t>
      </w:r>
    </w:p>
    <w:p w:rsidR="00A31137" w:rsidRPr="00A31137" w:rsidRDefault="00A31137" w:rsidP="00A31137">
      <w:r w:rsidRPr="00A31137">
        <w:t>1995, U.S. Term Limits, Inc. v. Thornton, No. 93-1456</w:t>
      </w:r>
    </w:p>
    <w:p w:rsidR="00A31137" w:rsidRPr="00A31137" w:rsidRDefault="00A31137" w:rsidP="00A31137">
      <w:r w:rsidRPr="00A31137">
        <w:t>The Convention which framed the constitution was indeed elected by the State legislatures. But the instrument…was submitted to the people…. It is true, they assembled in their several States—and where else should they have assembled? No political dreamer was ever wild enough to think of breaking down the lines which separate the States, and of compounding the American people into one common mass. Of consequence, when they act, they act in their States. But the measures they adopt do not, on that account, cease to be the measures of the people themselves, or become the measures of the State governments.</w:t>
      </w:r>
    </w:p>
    <w:p w:rsidR="00A31137" w:rsidRPr="00A31137" w:rsidRDefault="00A31137" w:rsidP="00A31137">
      <w:r w:rsidRPr="00A31137">
        <w:t>1995, U.S. Term Limits, Inc. v. Thornton, No. 93-1456</w:t>
      </w:r>
    </w:p>
    <w:p w:rsidR="00A31137" w:rsidRPr="00A31137" w:rsidRDefault="00A31137" w:rsidP="00A31137">
      <w:r w:rsidRPr="00A31137">
        <w:t>4 Wheat. at 403.</w:t>
      </w:r>
    </w:p>
    <w:p w:rsidR="00A31137" w:rsidRPr="00A31137" w:rsidRDefault="00A31137" w:rsidP="00A31137">
      <w:r w:rsidRPr="00A31137">
        <w:t>1995, U.S. Term Limits, Inc. v. Thornton, No. 93-1456</w:t>
      </w:r>
    </w:p>
    <w:p w:rsidR="00A31137" w:rsidRPr="00A31137" w:rsidRDefault="00A31137" w:rsidP="00A31137">
      <w:r w:rsidRPr="00A31137">
        <w:t>The political identity of the entire people of the Union is reinforced by the proposition, which I take to be beyond dispute, that, though limited as to its objects, the National Government is and must be controlled by the people without collateral interference by the States. McCulloch affirmed this proposition as well, when the Court rejected the suggestion that States could interfere with federal powers. "This was not intended by the American people. They did not design to make their government dependent on the States." Id. at 432. The States have no power, reserved or otherwise, over the exercise of federal authority within its proper sphere. See id. at  430 (where there is an attempt at "usurpation of a power which the people of a single State cannot give," there can be no question whether the power "has been surrendered" by the people of a single State because "[t]he right never existed"). That the States may not invade the sphere of federal sovereignty is as incontestable, in my view, as the corollary proposition that the Federal Government must be held within the boundaries of its own power when it intrudes upon matters reserved to the States. See United States v. Lopez, 514 U.S. ___ (1995).</w:t>
      </w:r>
    </w:p>
    <w:p w:rsidR="00A31137" w:rsidRPr="00A31137" w:rsidRDefault="00A31137" w:rsidP="00A31137">
      <w:r w:rsidRPr="00A31137">
        <w:t>1995, U.S. Term Limits, Inc. v. Thornton, No. 93-1456</w:t>
      </w:r>
    </w:p>
    <w:p w:rsidR="00A31137" w:rsidRPr="00A31137" w:rsidRDefault="00A31137" w:rsidP="00A31137">
      <w:r w:rsidRPr="00A31137">
        <w:t>Of course, because the Framers recognized that state power and identity were essential parts of the federal balance, see The Federalist No. 39, the Constitution is solicitous of the prerogatives of the States, even in an otherwise sovereign federal province. The Constitution uses state boundaries to fix the size of congressional delegations, U.S.Const., Art. I, § 2, cl. 3, ensures that each State shall have at least one representative, ibid., grants States certain powers over the times, places, and manner of federal elections (subject to congressional revision), Art. I, § 4, cl. 1, requires that when the President is elected by the House of Representatives, the delegations from each State have one vote, Art. II, § 1, cl. 3, and Amdt. 12, and allows States to appoint electors for the President, Art. II, § 1, cl. 2. Nothing in the Constitution or The Federalist Papers, however, supports the idea of state interference with the most basic relation between the National Government and its citizens, the selection of legislative representatives. Indeed, even though the Constitution uses the qualifications for voters of the most numerous branch of the States' own legislatures to set the qualifications of federal electors, Art. I, § 2, cl. 1, when these electors vote, we have recognized that they act in a federal capacity and exercise a federal right. Addressing this principle in Ex parte Yarbrough, the Court stated as follows: "[T]he right to vote for a member of Congress" is an</w:t>
      </w:r>
    </w:p>
    <w:p w:rsidR="00A31137" w:rsidRPr="00A31137" w:rsidRDefault="00A31137" w:rsidP="00A31137">
      <w:r w:rsidRPr="00A31137">
        <w:t>1995, U.S. Term Limits, Inc. v. Thornton, No. 93-1456</w:t>
      </w:r>
    </w:p>
    <w:p w:rsidR="00A31137" w:rsidRPr="00A31137" w:rsidRDefault="00A31137" w:rsidP="00A31137">
      <w:r w:rsidRPr="00A31137">
        <w:t>office…created by that Constitution, and by that alone…. It is not true, therefore, that electors for members of Congress owe their right to vote to the State law in any sense which makes the exercise of the right to depend exclusively on the law of the State.</w:t>
      </w:r>
    </w:p>
    <w:p w:rsidR="00A31137" w:rsidRPr="00A31137" w:rsidRDefault="00A31137" w:rsidP="00A31137">
      <w:r w:rsidRPr="00A31137">
        <w:t>1995, U.S. Term Limits, Inc. v. Thornton, No. 93-1456</w:t>
      </w:r>
    </w:p>
    <w:p w:rsidR="00A31137" w:rsidRPr="00A31137" w:rsidRDefault="00A31137" w:rsidP="00A31137">
      <w:r w:rsidRPr="00A31137">
        <w:t>110 U.S. at 663-664. We made the same point in United States v. Classic, 313 U.S. 299,  315 (1941), when we said,</w:t>
      </w:r>
    </w:p>
    <w:p w:rsidR="00A31137" w:rsidRPr="00A31137" w:rsidRDefault="00A31137" w:rsidP="00A31137">
      <w:r w:rsidRPr="00A31137">
        <w:t>1995, U.S. Term Limits, Inc. v. Thornton, No. 93-1456</w:t>
      </w:r>
    </w:p>
    <w:p w:rsidR="00A31137" w:rsidRPr="00A31137" w:rsidRDefault="00A31137" w:rsidP="00A31137">
      <w:r w:rsidRPr="00A31137">
        <w:t>[T]he right of qualified voters within a state to cast their ballots and have them counted at Congressional elections…is a right secured by the Constitution</w:t>
      </w:r>
    </w:p>
    <w:p w:rsidR="00A31137" w:rsidRPr="00A31137" w:rsidRDefault="00A31137" w:rsidP="00A31137">
      <w:r w:rsidRPr="00A31137">
        <w:t>1995, U.S. Term Limits, Inc. v. Thornton, No. 93-1456</w:t>
      </w:r>
    </w:p>
    <w:p w:rsidR="00A31137" w:rsidRPr="00A31137" w:rsidRDefault="00A31137" w:rsidP="00A31137">
      <w:r w:rsidRPr="00A31137">
        <w:t>and "is secured against the action of individuals as well as of states."</w:t>
      </w:r>
    </w:p>
    <w:p w:rsidR="00A31137" w:rsidRPr="00A31137" w:rsidRDefault="00A31137" w:rsidP="00A31137">
      <w:r w:rsidRPr="00A31137">
        <w:t>1995, U.S. Term Limits, Inc. v. Thornton, No. 93-1456</w:t>
      </w:r>
    </w:p>
    <w:p w:rsidR="00A31137" w:rsidRPr="00A31137" w:rsidRDefault="00A31137" w:rsidP="00A31137">
      <w:r w:rsidRPr="00A31137">
        <w:t>The federal character of congressional elections flows from the political reality that our National Government is republican in form and that national citizenship has privileges and immunities protected from state abridgement by the force of the Constitution itself. Even before the passage of the Fourteenth Amendment, the latter proposition was given expression in Crandall v. Nevada where the Court recognized the right of the Federal Government to call</w:t>
      </w:r>
    </w:p>
    <w:p w:rsidR="00A31137" w:rsidRPr="00A31137" w:rsidRDefault="00A31137" w:rsidP="00A31137">
      <w:r w:rsidRPr="00A31137">
        <w:t>1995, U.S. Term Limits, Inc. v. Thornton, No. 93-1456</w:t>
      </w:r>
    </w:p>
    <w:p w:rsidR="00A31137" w:rsidRPr="00A31137" w:rsidRDefault="00A31137" w:rsidP="00A31137">
      <w:r w:rsidRPr="00A31137">
        <w:t>any or all of its citizens to aid in its service, as members of the Congress, of the courts, of the executive departments, and to fill all its other offices,</w:t>
      </w:r>
    </w:p>
    <w:p w:rsidR="00A31137" w:rsidRPr="00A31137" w:rsidRDefault="00A31137" w:rsidP="00A31137">
      <w:r w:rsidRPr="00A31137">
        <w:t>1995, U.S. Term Limits, Inc. v. Thornton, No. 93-1456</w:t>
      </w:r>
    </w:p>
    <w:p w:rsidR="00A31137" w:rsidRPr="00A31137" w:rsidRDefault="00A31137" w:rsidP="00A31137">
      <w:r w:rsidRPr="00A31137">
        <w:t>and further recognized that</w:t>
      </w:r>
    </w:p>
    <w:p w:rsidR="00A31137" w:rsidRPr="00A31137" w:rsidRDefault="00A31137" w:rsidP="00A31137">
      <w:r w:rsidRPr="00A31137">
        <w:t>1995, U.S. Term Limits, Inc. v. Thornton, No. 93-1456</w:t>
      </w:r>
    </w:p>
    <w:p w:rsidR="00A31137" w:rsidRPr="00A31137" w:rsidRDefault="00A31137" w:rsidP="00A31137">
      <w:r w:rsidRPr="00A31137">
        <w:t>this right cannot be made to depend upon the pleasure of a State over whose territory they must pass to reach the point where these services must be rendered.</w:t>
      </w:r>
    </w:p>
    <w:p w:rsidR="00A31137" w:rsidRPr="00A31137" w:rsidRDefault="00A31137" w:rsidP="00A31137">
      <w:r w:rsidRPr="00A31137">
        <w:t>1995, U.S. Term Limits, Inc. v. Thornton, No. 93-1456</w:t>
      </w:r>
    </w:p>
    <w:p w:rsidR="00A31137" w:rsidRPr="00A31137" w:rsidRDefault="00A31137" w:rsidP="00A31137">
      <w:r w:rsidRPr="00A31137">
        <w:t>6 Wall. at 43. And without reference to the Privileges and Immunities Clause, the rights of national citizenship were upheld again in United States v. Cruikshank, 92 U.S. 542,  552 (1876), where the Court said,</w:t>
      </w:r>
    </w:p>
    <w:p w:rsidR="00A31137" w:rsidRPr="00A31137" w:rsidRDefault="00A31137" w:rsidP="00A31137">
      <w:r w:rsidRPr="00A31137">
        <w:t>1995, U.S. Term Limits, Inc. v. Thornton, No. 93-1456</w:t>
      </w:r>
    </w:p>
    <w:p w:rsidR="00A31137" w:rsidRPr="00A31137" w:rsidRDefault="00A31137" w:rsidP="00A31137">
      <w:r w:rsidRPr="00A31137">
        <w:t>The right of the people peaceably to assemble for the purpose of petitioning Congress for a redress of grievances, or for any thing else connected with the powers or the duties of the national government, is an attribute of national citizenship, and, as such, under the protection of, and guaranteed by, the United States. The very idea of a government, republican in form, implies a right on the part of its citizens to meet peaceably for consultation in respect to public affairs and to petition for a redress of grievances.</w:t>
      </w:r>
    </w:p>
    <w:p w:rsidR="00A31137" w:rsidRPr="00A31137" w:rsidRDefault="00A31137" w:rsidP="00A31137">
      <w:r w:rsidRPr="00A31137">
        <w:t>1995, U.S. Term Limits, Inc. v. Thornton, No. 93-1456</w:t>
      </w:r>
    </w:p>
    <w:p w:rsidR="00A31137" w:rsidRPr="00A31137" w:rsidRDefault="00A31137" w:rsidP="00A31137">
      <w:r w:rsidRPr="00A31137">
        <w:t>Cf. Hague v. Committee for Industrial Organization, 307 U.S. 496,  513 (1939) (opinion of Roberts, J., joined by Black, J., and joined in relevant part by Hughes, C.J.) ("Citizenship of the United States would be little better than a name if it did not carry with it the right to discuss national legislation and the benefits, advantages, and opportunities to accrue to citizens therefrom").</w:t>
      </w:r>
    </w:p>
    <w:p w:rsidR="00A31137" w:rsidRPr="00A31137" w:rsidRDefault="00A31137" w:rsidP="00A31137">
      <w:r w:rsidRPr="00A31137">
        <w:t>1995, U.S. Term Limits, Inc. v. Thornton, No. 93-1456</w:t>
      </w:r>
    </w:p>
    <w:p w:rsidR="00A31137" w:rsidRPr="00A31137" w:rsidRDefault="00A31137" w:rsidP="00A31137">
      <w:r w:rsidRPr="00A31137">
        <w:t>In the Slaughter-House Cases, 16 Wall. 36, 78-80 (1873), the Court was careful to hold that federal citizenship in and of itself suffices for the assertion of rights under the Constitution, rights that stem from sources other than the States. Though the Slaughter-House Cases interpreted the Privileges and Immunities Clause of the Fourteenth Amendment, its view of the origins of federal citizenship was not confined to that source. Referring to these rights of national dimension and origin, the Court observed:</w:t>
      </w:r>
    </w:p>
    <w:p w:rsidR="00A31137" w:rsidRPr="00A31137" w:rsidRDefault="00A31137" w:rsidP="00A31137">
      <w:r w:rsidRPr="00A31137">
        <w:t>1995, U.S. Term Limits, Inc. v. Thornton, No. 93-1456</w:t>
      </w:r>
    </w:p>
    <w:p w:rsidR="00A31137" w:rsidRPr="00A31137" w:rsidRDefault="00A31137" w:rsidP="00A31137">
      <w:r w:rsidRPr="00A31137">
        <w:t>But, lest it should be said that no such privileges and immunities are to be found if those we have been considering are excluded, we venture to suggest some which owe their existence to the Federal government, its National character, its Constitution, or its laws.</w:t>
      </w:r>
    </w:p>
    <w:p w:rsidR="00A31137" w:rsidRPr="00A31137" w:rsidRDefault="00A31137" w:rsidP="00A31137">
      <w:r w:rsidRPr="00A31137">
        <w:t>1995, U.S. Term Limits, Inc. v. Thornton, No. 93-1456</w:t>
      </w:r>
    </w:p>
    <w:p w:rsidR="00A31137" w:rsidRPr="00A31137" w:rsidRDefault="00A31137" w:rsidP="00A31137">
      <w:r w:rsidRPr="00A31137">
        <w:t>Id. at  79. Later cases only reinforced the idea that there are such incidents of national citizenship. See Ex parte Yarbrough, supra; Terral v. Burke Constr. Co., 257 U.S. 529 (1922); United States v. Classic, supra; United States v. Guest, 383 U.S. 745 (1966); Shapiro v. Thompson, 394 U.S. 618 (1969). Federal privileges and immunities may seem limited in their formulation by comparison with the expansive definition given to the privileges and immunities attributed to state citizenship, see Slaughter-House Cases, supra, at  78; Hague, supra, at  520 (opinion of Stone, J.), but that federal rights flow to the people of the United States by virtue of national citizenship is beyond dispute.</w:t>
      </w:r>
    </w:p>
    <w:p w:rsidR="00A31137" w:rsidRPr="00A31137" w:rsidRDefault="00A31137" w:rsidP="00A31137">
      <w:r w:rsidRPr="00A31137">
        <w:t>1995, U.S. Term Limits, Inc. v. Thornton, No. 93-1456</w:t>
      </w:r>
    </w:p>
    <w:p w:rsidR="00A31137" w:rsidRPr="00A31137" w:rsidRDefault="00A31137" w:rsidP="00A31137">
      <w:r w:rsidRPr="00A31137">
        <w:t>Not the least of the incongruities in the position advanced by Arkansas is the proposition, necessary to its case, that it can burden the rights of resident voters in federal elections by reason of the manner in which they earlier had exercised it. If the majority of the voters had been successful in selecting a candidate, they would be penalized from exercising that same right in the future. Quite apart from any First Amendment concerns, see Williams v. Rhodes, 393 U.S. 23, 30 (1968); Anderson v. Celebrezze, 460 U.S. 780, 786-788 (1983), neither the law nor federal theory allows a State to burden the exercise of federal rights in this manner. See Terral v. Burke Constr. Co., supra, at 532; Shapiro v. Thompson, supra, at 629-631. Indeed, as one of the "right[s] of the citizen[s] of this great country, protected by implied guarantees of its Constitution," the Court identified the right "'to come to the seat of government…to share its offices, to engage in administering its functions.'" Slaughter-House Cases, supra, at  79 (quoting Crandall v. Nevada, 6 Wall. at 44). This observation serves to illustrate the extent of the State's attempted interference with the federal right to vote (and the derivative right to serve if elected by majority vote) in a congressional election, rights that do not derive from the state power in the first instance but that belong to the voter in his or her capacity as a citizen of the United States.</w:t>
      </w:r>
    </w:p>
    <w:p w:rsidR="00A31137" w:rsidRPr="00A31137" w:rsidRDefault="00A31137" w:rsidP="00A31137">
      <w:r w:rsidRPr="00A31137">
        <w:t>1995, U.S. Term Limits, Inc. v. Thornton, No. 93-1456</w:t>
      </w:r>
    </w:p>
    <w:p w:rsidR="00A31137" w:rsidRPr="00A31137" w:rsidRDefault="00A31137" w:rsidP="00A31137">
      <w:r w:rsidRPr="00A31137">
        <w:t>It is maintained by our dissenting colleagues that the State of Arkansas seeks nothing more than to grant its people surer control over the National Government, a control, it is said, that will be enhanced by the law at issue here. The arguments for term limitations (or ballot restrictions having the same effect) are not lacking in force; but the issue, as all of us must acknowledge, is not the efficacy of those measures but whether they have a legitimate source, given their origin in the enactments of a single State. There can be no doubt, if we are to respect the republican origins of the Nation and preserve its federal character, that there exists a federal right of citizenship, a relationship between the people of the Nation and their National Government, with which the States may not interfere. Because the Arkansas enactment intrudes upon this federal domain, it exceeds the boundaries of the Constitution.</w:t>
      </w:r>
    </w:p>
    <w:p w:rsidR="00A31137" w:rsidRPr="00A31137" w:rsidRDefault="00A31137" w:rsidP="00A31137">
      <w:r w:rsidRPr="00A31137">
        <w:t>THOMAS, J., dissenting</w:t>
      </w:r>
    </w:p>
    <w:p w:rsidR="00A31137" w:rsidRPr="00A31137" w:rsidRDefault="00A31137" w:rsidP="00A31137">
      <w:r w:rsidRPr="00A31137">
        <w:t>1995, U.S. Term Limits, Inc. v. Thornton, No. 93-1456</w:t>
      </w:r>
    </w:p>
    <w:p w:rsidR="00A31137" w:rsidRPr="00A31137" w:rsidRDefault="00A31137" w:rsidP="00A31137">
      <w:r w:rsidRPr="00A31137">
        <w:t>JUSTICE THOMAS, with whom THE CHIEF JUSTICE, JUSTICE O'CONNOR, and JUSTICE SCALIA join, dissenting.</w:t>
      </w:r>
    </w:p>
    <w:p w:rsidR="00A31137" w:rsidRPr="00A31137" w:rsidRDefault="00A31137" w:rsidP="00A31137">
      <w:r w:rsidRPr="00A31137">
        <w:t>1995, U.S. Term Limits, Inc. v. Thornton, No. 93-1456</w:t>
      </w:r>
    </w:p>
    <w:p w:rsidR="00A31137" w:rsidRPr="00A31137" w:rsidRDefault="00A31137" w:rsidP="00A31137">
      <w:r w:rsidRPr="00A31137">
        <w:t>It is ironic that the Court bases today's decision on the right of the people to "choose whom they please to govern them." See ante at ___. Under our Constitution, there is only one State whose people have the right to "choose whom they please" to represent Arkansas in Congress. The Court holds, however, that neither the elected legislature of that State nor the people themselves (acting by ballot initiative) may prescribe any qualifications for those representatives. The majority therefore defends the right of the people of Arkansas to "choose whom they please to govern them" by invalidating a provision that won nearly 60% of the votes cast in a direct election and that carried every congressional district in the State.</w:t>
      </w:r>
    </w:p>
    <w:p w:rsidR="00A31137" w:rsidRPr="00A31137" w:rsidRDefault="00A31137" w:rsidP="00A31137">
      <w:r w:rsidRPr="00A31137">
        <w:t>1995, U.S. Term Limits, Inc. v. Thornton, No. 93-1456</w:t>
      </w:r>
    </w:p>
    <w:p w:rsidR="00A31137" w:rsidRPr="00A31137" w:rsidRDefault="00A31137" w:rsidP="00A31137">
      <w:r w:rsidRPr="00A31137">
        <w:t>I dissent. Nothing in the Constitution deprives the people of each State of the power to prescribe eligibility requirements for the candidates who seek to represent them in Congress. The Constitution is simply silent on this question. And where the Constitution is silent, it raises no bar to action by the States or the people.</w:t>
      </w:r>
    </w:p>
    <w:p w:rsidR="00A31137" w:rsidRPr="00A31137" w:rsidRDefault="00A31137" w:rsidP="00A31137">
      <w:r w:rsidRPr="00A31137">
        <w:t>I</w:t>
      </w:r>
    </w:p>
    <w:p w:rsidR="00A31137" w:rsidRPr="00A31137" w:rsidRDefault="00A31137" w:rsidP="00A31137">
      <w:r w:rsidRPr="00A31137">
        <w:t>1995, U.S. Term Limits, Inc. v. Thornton, No. 93-1456</w:t>
      </w:r>
    </w:p>
    <w:p w:rsidR="00A31137" w:rsidRPr="00A31137" w:rsidRDefault="00A31137" w:rsidP="00A31137">
      <w:r w:rsidRPr="00A31137">
        <w:t>Because the majority fundamentally misunderstands the notion of "reserved" powers, I start with some first principles. Contrary to the majority's suggestion, the people of the States need not point to any affirmative grant of power in the Constitution in order to prescribe qualifications for their representatives in Congress, or to authorize their elected state legislators to do so.</w:t>
      </w:r>
    </w:p>
    <w:p w:rsidR="00A31137" w:rsidRPr="00A31137" w:rsidRDefault="00A31137" w:rsidP="00A31137">
      <w:r w:rsidRPr="00A31137">
        <w:t>A</w:t>
      </w:r>
    </w:p>
    <w:p w:rsidR="00A31137" w:rsidRPr="00A31137" w:rsidRDefault="00A31137" w:rsidP="00A31137">
      <w:r w:rsidRPr="00A31137">
        <w:t>1995, U.S. Term Limits, Inc. v. Thornton, No. 93-1456</w:t>
      </w:r>
    </w:p>
    <w:p w:rsidR="00A31137" w:rsidRPr="00A31137" w:rsidRDefault="00A31137" w:rsidP="00A31137">
      <w:r w:rsidRPr="00A31137">
        <w:t>Our system of government rests on one overriding principle: all power stems from the consent of the people. To phrase the principle in this way, however, is to be imprecise about something important to the notion of "reserved" powers. The ultimate source of the Constitution's authority is the consent of the people of each individual State, not the consent of the undifferentiated people of the Nation as a whole.</w:t>
      </w:r>
    </w:p>
    <w:p w:rsidR="00A31137" w:rsidRPr="00A31137" w:rsidRDefault="00A31137" w:rsidP="00A31137">
      <w:r w:rsidRPr="00A31137">
        <w:t>1995, U.S. Term Limits, Inc. v. Thornton, No. 93-1456</w:t>
      </w:r>
    </w:p>
    <w:p w:rsidR="00A31137" w:rsidRPr="00A31137" w:rsidRDefault="00A31137" w:rsidP="00A31137">
      <w:r w:rsidRPr="00A31137">
        <w:t>The ratification procedure erected by Article VII makes this point clear. The Constitution took effect once it had been ratified by the people gathered in convention in nine different States. But the Constitution went into effect only "between the States so ratifying the same," Art. VII; it did not bind the people of North Carolina until they had accepted it. In Madison's words, the popular consent upon which the Constitution's authority rests was</w:t>
      </w:r>
    </w:p>
    <w:p w:rsidR="00A31137" w:rsidRPr="00A31137" w:rsidRDefault="00A31137" w:rsidP="00A31137">
      <w:r w:rsidRPr="00A31137">
        <w:t>1995, U.S. Term Limits, Inc. v. Thornton, No. 93-1456</w:t>
      </w:r>
    </w:p>
    <w:p w:rsidR="00A31137" w:rsidRPr="00A31137" w:rsidRDefault="00A31137" w:rsidP="00A31137">
      <w:r w:rsidRPr="00A31137">
        <w:t>given by the people, not as individuals composing one entire nation, but as composing the distinct and independent States to which they respectively belong.</w:t>
      </w:r>
    </w:p>
    <w:p w:rsidR="00A31137" w:rsidRPr="00A31137" w:rsidRDefault="00A31137" w:rsidP="00A31137">
      <w:r w:rsidRPr="00A31137">
        <w:t>1995, U.S. Term Limits, Inc. v. Thornton, No. 93-1456</w:t>
      </w:r>
    </w:p>
    <w:p w:rsidR="00A31137" w:rsidRPr="00A31137" w:rsidRDefault="00A31137" w:rsidP="00A31137">
      <w:r w:rsidRPr="00A31137">
        <w:t>The Federalist No. 39, p. 243 (C. Rossiter ed. 1961) (hereinafter The Federalist). Accord, 3 Debates in the Several State Conventions on the Adoption of the Federal Constitution 94 (J. Elliot, 2d ed. 1876) (hereinafter Elliot) (remarks of James Madison at the Virginia convention). 1</w:t>
      </w:r>
    </w:p>
    <w:p w:rsidR="00A31137" w:rsidRPr="00A31137" w:rsidRDefault="00A31137" w:rsidP="00A31137">
      <w:r w:rsidRPr="00A31137">
        <w:t>1995, U.S. Term Limits, Inc. v. Thornton, No. 93-1456</w:t>
      </w:r>
    </w:p>
    <w:p w:rsidR="00A31137" w:rsidRPr="00A31137" w:rsidRDefault="00A31137" w:rsidP="00A31137">
      <w:r w:rsidRPr="00A31137">
        <w:t>When they adopted the Federal Constitution, of course, the people of each State surrendered some of their authority to the United States (and hence to entities accountable to the people of other States as well as to themselves). They affirmatively deprived their States of certain powers, see, e.g., Art. I, § 10, and they affirmatively conferred certain powers upon the Federal Government, see, e.g., Art. I, § 8. Because the people of the several States are the only true source of power, however, the Federal Government enjoys no authority beyond what the Constitution confers: the Federal Government's powers are limited and enumerated. In the words of Justice Black, "[t]he United States is entirely a creature of the Constitution. Its power and authority have no other source." Reid v. Covert, 354 U.S. 1, 5-6 (1957) (plurality opinion) (footnote omitted).</w:t>
      </w:r>
    </w:p>
    <w:p w:rsidR="00A31137" w:rsidRPr="00A31137" w:rsidRDefault="00A31137" w:rsidP="00A31137">
      <w:r w:rsidRPr="00A31137">
        <w:t>1995, U.S. Term Limits, Inc. v. Thornton, No. 93-1456</w:t>
      </w:r>
    </w:p>
    <w:p w:rsidR="00A31137" w:rsidRPr="00A31137" w:rsidRDefault="00A31137" w:rsidP="00A31137">
      <w:r w:rsidRPr="00A31137">
        <w:t>In each State, the remainder of the people's powers—"[t]he powers not delegated to the United States by the Constitution, nor prohibited by it to the States," Amdt. 10—are either delegated to the state government or retained by the people. The Federal Constitution does not specify which of these two possibilities obtains; it is up to the various state constitutions to declare which powers the people of each State have delegated to their state government. As far as the Federal Constitution is concerned, then, the States can exercise all powers that the Constitution does not withhold from them. The Federal Government and the States thus face different default rules: where the Constitution is silent about the exercise of a particular power—that is, where the Constitution does not speak either expressly or by necessary implication—the Federal Government lacks that power and the States enjoy it.</w:t>
      </w:r>
    </w:p>
    <w:p w:rsidR="00A31137" w:rsidRPr="00A31137" w:rsidRDefault="00A31137" w:rsidP="00A31137">
      <w:r w:rsidRPr="00A31137">
        <w:t>1995, U.S. Term Limits, Inc. v. Thornton, No. 93-1456</w:t>
      </w:r>
    </w:p>
    <w:p w:rsidR="00A31137" w:rsidRPr="00A31137" w:rsidRDefault="00A31137" w:rsidP="00A31137">
      <w:r w:rsidRPr="00A31137">
        <w:t>These basic principles are enshrined in the Tenth Amendment, which declares that all powers neither delegated to the Federal Government nor prohibited to the States "are reserved to the States respectively, or to the people." With this careful last phrase, the Amendment avoids taking any position on the division of power between the state governments and the people of the States: it is up to the people of each State to determine which "reserved" powers their state government may exercise. But the Amendment does make clear that powers reside at the state level except where the Constitution removes them from that level. All powers that the Constitution neither delegates to the Federal Government nor prohibits to the States are controlled by the people of each State.</w:t>
      </w:r>
    </w:p>
    <w:p w:rsidR="00A31137" w:rsidRPr="00A31137" w:rsidRDefault="00A31137" w:rsidP="00A31137">
      <w:r w:rsidRPr="00A31137">
        <w:t>1995, U.S. Term Limits, Inc. v. Thornton, No. 93-1456</w:t>
      </w:r>
    </w:p>
    <w:p w:rsidR="00A31137" w:rsidRPr="00A31137" w:rsidRDefault="00A31137" w:rsidP="00A31137">
      <w:r w:rsidRPr="00A31137">
        <w:t>To be sure, when the Tenth Amendment uses the phrase "the people," it does not specify whether it is referring to the people of each State or the people of the Nation as a whole. But the latter interpretation would make the Amendment pointless: there would have been no reason to provide that where the Constitution is silent about whether a particular power resides at the state level, it might or might not do so. In addition, it would make no sense to speak of powers as being reserved to the undifferentiated people of the Nation as a whole, because the Constitution does not contemplate that those people will either exercise power or delegate it. The Constitution simply does not recognize any mechanism for action by the undifferentiated people of the Nation. Thus, the amendment provision of Article V calls for amendments to be ratified not by a convention of the national people, but by conventions of the people in each State or by the state legislatures elected by those people. Likewise, the Constitution calls for Members of Congress to be chosen State by State, rather than in nationwide elections. Even the selection of the President—surely the most national of national figures—is accomplished by an electoral college made up of delegates chosen by the various States, and candidates can lose a Presidential election despite winning a majority of the votes cast in the Nation as a whole. See also Art. II, § 1, cl. 3 (providing that when no candidate secures a majority of electoral votes, the election of the President is thrown into the House of Representatives, where "the Votes shall be taken by States, the Representatives from each State having one Vote"); Amdt. 12 (same).</w:t>
      </w:r>
    </w:p>
    <w:p w:rsidR="00A31137" w:rsidRPr="00A31137" w:rsidRDefault="00A31137" w:rsidP="00A31137">
      <w:r w:rsidRPr="00A31137">
        <w:t>1995, U.S. Term Limits, Inc. v. Thornton, No. 93-1456</w:t>
      </w:r>
    </w:p>
    <w:p w:rsidR="00A31137" w:rsidRPr="00A31137" w:rsidRDefault="00A31137" w:rsidP="00A31137">
      <w:r w:rsidRPr="00A31137">
        <w:t>In short, the notion of popular sovereignty that undergirds the Constitution does not erase state boundaries, but rather tracks them. The people of each State obviously did trust their fate to the people of the several States when they consented to the Constitution; not only did they empower the governmental institutions of the United States, but they also agreed to be bound by constitutional amendments that they themselves refused to ratify. See Art. V (providing that proposed amendments shall take effect upon ratification by three-quarters of the States). At the same time, however, the people of each State retained their separate political identities. As Chief Justice Marshall put it, "[n]o political dreamer was ever wild enough to think of breaking down the lines which separate the States, and of compounding the American people into one common mass." McCulloch v. Maryland, 4 Wheat. 316, 403 (1819). 2</w:t>
      </w:r>
    </w:p>
    <w:p w:rsidR="00A31137" w:rsidRPr="00A31137" w:rsidRDefault="00A31137" w:rsidP="00A31137">
      <w:r w:rsidRPr="00A31137">
        <w:t>1995, U.S. Term Limits, Inc. v. Thornton, No. 93-1456</w:t>
      </w:r>
    </w:p>
    <w:p w:rsidR="00A31137" w:rsidRPr="00A31137" w:rsidRDefault="00A31137" w:rsidP="00A31137">
      <w:r w:rsidRPr="00A31137">
        <w:t>Any ambiguity in the Tenth Amendment's use of the phrase "the people" is cleared up by the body of the Constitution itself. Article I begins by providing that the Congress of the United States enjoys "[a]ll legislative Powers herein granted," § 1, and goes on to give a careful enumeration of Congress' powers, § 8. It then concludes by enumerating certain powers that are prohibited to the States. The import of this structure is the same as the import of the Tenth Amendment: if we are to invalidate Arkansas' Amendment 73, we must point to something in the Federal Constitution that deprives the people of Arkansas of the power to enact such measures.</w:t>
      </w:r>
    </w:p>
    <w:p w:rsidR="00A31137" w:rsidRPr="00A31137" w:rsidRDefault="00A31137" w:rsidP="00A31137">
      <w:r w:rsidRPr="00A31137">
        <w:t>B</w:t>
      </w:r>
    </w:p>
    <w:p w:rsidR="00A31137" w:rsidRPr="00A31137" w:rsidRDefault="00A31137" w:rsidP="00A31137">
      <w:r w:rsidRPr="00A31137">
        <w:t>1995, U.S. Term Limits, Inc. v. Thornton, No. 93-1456</w:t>
      </w:r>
    </w:p>
    <w:p w:rsidR="00A31137" w:rsidRPr="00A31137" w:rsidRDefault="00A31137" w:rsidP="00A31137">
      <w:r w:rsidRPr="00A31137">
        <w:t>The majority disagrees that it bears this burden. But its arguments are unpersuasive.</w:t>
      </w:r>
    </w:p>
    <w:p w:rsidR="00A31137" w:rsidRPr="00A31137" w:rsidRDefault="00A31137" w:rsidP="00A31137">
      <w:r w:rsidRPr="00A31137">
        <w:t>1</w:t>
      </w:r>
    </w:p>
    <w:p w:rsidR="00A31137" w:rsidRPr="00A31137" w:rsidRDefault="00A31137" w:rsidP="00A31137">
      <w:r w:rsidRPr="00A31137">
        <w:t>1995, U.S. Term Limits, Inc. v. Thornton, No. 93-1456</w:t>
      </w:r>
    </w:p>
    <w:p w:rsidR="00A31137" w:rsidRPr="00A31137" w:rsidRDefault="00A31137" w:rsidP="00A31137">
      <w:r w:rsidRPr="00A31137">
        <w:t>The majority begins by announcing an enormous and untenable limitation on the principle expressed by the Tenth Amendment. According to the majority, the States possess only those powers that the Constitution affirmatively grants to them or that they enjoyed before the Constitution was adopted; the Tenth Amendment "could only 'reserve' that which existed before." Ante at ___. From the fact that the States had not previously enjoyed any powers over the particular institutions of the Federal Government established by the Constitution, 3 the majority derives a rule precisely opposite to the one that the Amendment actually prescribes:</w:t>
      </w:r>
    </w:p>
    <w:p w:rsidR="00A31137" w:rsidRPr="00A31137" w:rsidRDefault="00A31137" w:rsidP="00A31137">
      <w:r w:rsidRPr="00A31137">
        <w:t>1995, U.S. Term Limits, Inc. v. Thornton, No. 93-1456</w:t>
      </w:r>
    </w:p>
    <w:p w:rsidR="00A31137" w:rsidRPr="00A31137" w:rsidRDefault="00A31137" w:rsidP="00A31137">
      <w:r w:rsidRPr="00A31137">
        <w:t>[T]he states can exercise no powers whatsoever, which exclusively spring out of the existence of the national government, which the constitution does not delegate to them.</w:t>
      </w:r>
    </w:p>
    <w:p w:rsidR="00A31137" w:rsidRPr="00A31137" w:rsidRDefault="00A31137" w:rsidP="00A31137">
      <w:r w:rsidRPr="00A31137">
        <w:t>1995, U.S. Term Limits, Inc. v. Thornton, No. 93-1456</w:t>
      </w:r>
    </w:p>
    <w:p w:rsidR="00A31137" w:rsidRPr="00A31137" w:rsidRDefault="00A31137" w:rsidP="00A31137">
      <w:r w:rsidRPr="00A31137">
        <w:t>Ibid. (quoting 1 J. Story, Commentaries on the Constitution of the United States § 627 (3d ed. 1858)).</w:t>
      </w:r>
    </w:p>
    <w:p w:rsidR="00A31137" w:rsidRPr="00A31137" w:rsidRDefault="00A31137" w:rsidP="00A31137">
      <w:r w:rsidRPr="00A31137">
        <w:t>1995, U.S. Term Limits, Inc. v. Thornton, No. 93-1456</w:t>
      </w:r>
    </w:p>
    <w:p w:rsidR="00A31137" w:rsidRPr="00A31137" w:rsidRDefault="00A31137" w:rsidP="00A31137">
      <w:r w:rsidRPr="00A31137">
        <w:t>The majority's essential logic is that the state governments could not "reserve" any powers that they did not control at the time the Constitution was drafted. But it was not the state governments that were doing the reserving. The Constitution derives its authority instead from the consent of the people of the States. Given the fundamental principle that all governmental powers stem from the people of the States, it would simply be incoherent to assert that the people of the States could not reserve any powers that they had not previously controlled.</w:t>
      </w:r>
    </w:p>
    <w:p w:rsidR="00A31137" w:rsidRPr="00A31137" w:rsidRDefault="00A31137" w:rsidP="00A31137">
      <w:r w:rsidRPr="00A31137">
        <w:t>1995, U.S. Term Limits, Inc. v. Thornton, No. 93-1456</w:t>
      </w:r>
    </w:p>
    <w:p w:rsidR="00A31137" w:rsidRPr="00A31137" w:rsidRDefault="00A31137" w:rsidP="00A31137">
      <w:r w:rsidRPr="00A31137">
        <w:t>The Tenth Amendment's use of the word "reserved" does not help the majority's position. If someone says that the power to use a particular facility is reserved to some group, he is not saying anything about whether that group has previously used the facility. He is merely saying that the people who control the facility have designated that group as the entity with authority to use it. The Tenth Amendment is similar: the people of the States, from whom all governmental powers stem, have specified that all powers not prohibited to the States by the Federal Constitution are reserved "to the States respectively, or to the people."</w:t>
      </w:r>
    </w:p>
    <w:p w:rsidR="00A31137" w:rsidRPr="00A31137" w:rsidRDefault="00A31137" w:rsidP="00A31137">
      <w:r w:rsidRPr="00A31137">
        <w:t>1995, U.S. Term Limits, Inc. v. Thornton, No. 93-1456</w:t>
      </w:r>
    </w:p>
    <w:p w:rsidR="00A31137" w:rsidRPr="00A31137" w:rsidRDefault="00A31137" w:rsidP="00A31137">
      <w:r w:rsidRPr="00A31137">
        <w:t>The majority is therefore quite wrong to conclude that the people of the States cannot authorize their state governments to exercise any powers that were unknown to the States when the Federal Constitution was drafted. Indeed, the majority's position frustrates the apparent purpose of the Amendment's final phrase. The Amendment does not preempt any limitations on state power found in the state constitutions, as it might have done if it simply had said that the powers not delegated to the Federal Government are reserved to the States. But the Amendment also does not prevent the people of the States from amending their state constitutions to remove limitations that were in effect when the Federal Constitution and the Bill of Rights were ratified.</w:t>
      </w:r>
    </w:p>
    <w:p w:rsidR="00A31137" w:rsidRPr="00A31137" w:rsidRDefault="00A31137" w:rsidP="00A31137">
      <w:r w:rsidRPr="00A31137">
        <w:t>1995, U.S. Term Limits, Inc. v. Thornton, No. 93-1456</w:t>
      </w:r>
    </w:p>
    <w:p w:rsidR="00A31137" w:rsidRPr="00A31137" w:rsidRDefault="00A31137" w:rsidP="00A31137">
      <w:r w:rsidRPr="00A31137">
        <w:t>In an effort to defend its position, the majority points to language in Garcia v. San Antonio Metropolitan Transit Authority, 469 U.S. 528,  549 (1985), which it takes to indicate that the Tenth Amendment covers only "the original powers of [state] sovereignty." Ante at ___. But Garcia dealt with an entirely different issue: the extent to which principles of state sovereignty implicit in our federal system curtail Congress' authority to exercise its enumerated powers. When we are asked to decide whether a congressional statute that appears to have been authorized by Article I is nonetheless unconstitutional because it invades a protected sphere of state sovereignty, it may well be appropriate for us to inquire into what we have called the "traditional aspects of state sovereignty." See National League of Cities v. Usery, 426 U.S. 833,  841,  849 (1976); see also New York v. United States, 505 U.S. ___, ___ (1992). The question raised by the present case, however, is not whether any principle of state sovereignty implicit in the Tenth Amendment bars congressional action that Article I appears to authorize, but rather whether Article I bars state action that it does not appear to forbid. The principle necessary to answer this question is express on the Tenth Amendment's face: unless the Federal Constitution affirmatively prohibits an action by the States or the people, it raises no bar to such action.</w:t>
      </w:r>
    </w:p>
    <w:p w:rsidR="00A31137" w:rsidRPr="00A31137" w:rsidRDefault="00A31137" w:rsidP="00A31137">
      <w:r w:rsidRPr="00A31137">
        <w:t>1995, U.S. Term Limits, Inc. v. Thornton, No. 93-1456</w:t>
      </w:r>
    </w:p>
    <w:p w:rsidR="00A31137" w:rsidRPr="00A31137" w:rsidRDefault="00A31137" w:rsidP="00A31137">
      <w:r w:rsidRPr="00A31137">
        <w:t>The majority also seeks support for its view of the Tenth Amendment in McCulloch v. Maryland, 4 Wheat. 316 (1819). See ante at ___. But this effort is misplaced. McCulloch did make clear that a power need not be "expressly" delegated to the United States or prohibited to the States in order to fall outside the Tenth Amendment's reservation; delegations and prohibitions can also arise by necessary implication. 4 True to the text of the Tenth Amendment, however, McCulloch indicated that all powers as to which the Constitution does not speak (whether expressly or by necessary implication) are "reserved" to the state level. Thus, in its only discussion of the Tenth Amendment, McCulloch observed that the Amendment</w:t>
      </w:r>
    </w:p>
    <w:p w:rsidR="00A31137" w:rsidRPr="00A31137" w:rsidRDefault="00A31137" w:rsidP="00A31137">
      <w:r w:rsidRPr="00A31137">
        <w:t>1995, U.S. Term Limits, Inc. v. Thornton, No. 93-1456</w:t>
      </w:r>
    </w:p>
    <w:p w:rsidR="00A31137" w:rsidRPr="00A31137" w:rsidRDefault="00A31137" w:rsidP="00A31137">
      <w:r w:rsidRPr="00A31137">
        <w:t>leav[es] the question, whether the particular power which may become the subject of contest has been delegated to the one government, or prohibited to the other, to depend on a fair construction of the whole [Constitution].</w:t>
      </w:r>
    </w:p>
    <w:p w:rsidR="00A31137" w:rsidRPr="00A31137" w:rsidRDefault="00A31137" w:rsidP="00A31137">
      <w:r w:rsidRPr="00A31137">
        <w:t>1995, U.S. Term Limits, Inc. v. Thornton, No. 93-1456</w:t>
      </w:r>
    </w:p>
    <w:p w:rsidR="00A31137" w:rsidRPr="00A31137" w:rsidRDefault="00A31137" w:rsidP="00A31137">
      <w:r w:rsidRPr="00A31137">
        <w:t>Id. at  406. McCulloch did not qualify this observation by indicating that the question also turned on whether the States had enjoyed the power before the framing. To the contrary, McCulloch seemed to assume that the people had "conferred on the general government the power contained in the constitution, and on the States the whole residuum of power." Id. at  410.</w:t>
      </w:r>
    </w:p>
    <w:p w:rsidR="00A31137" w:rsidRPr="00A31137" w:rsidRDefault="00A31137" w:rsidP="00A31137">
      <w:r w:rsidRPr="00A31137">
        <w:t>1995, U.S. Term Limits, Inc. v. Thornton, No. 93-1456</w:t>
      </w:r>
    </w:p>
    <w:p w:rsidR="00A31137" w:rsidRPr="00A31137" w:rsidRDefault="00A31137" w:rsidP="00A31137">
      <w:r w:rsidRPr="00A31137">
        <w:t>The structure of McCulloch's analysis also refutes the majority's position. The question before the Court was whether the State of Maryland could tax the Bank of the United States, which Congress had created in an effort to accomplish objects entrusted to it by the Constitution. Chief Justice Marshall's opinion began by upholding the federal statute incorporating the Bank. Id. at 400-425. It then held that the Constitution affirmatively prohibited Maryland's tax on the Bank created by this statute. Id. at 425-437. The Court relied principally on concepts that it deemed inherent in the Supremacy Clause of Article VI, which declares that "[t]his Constitution, and the Laws of the United States which shall be made in Pursuance thereof,…shall be the supreme Law of the Land…. " In the Court's view, when a power has been "delegated to the United States by the Constitution," Amdt. 10, the Supremacy Clause forbids a State to</w:t>
      </w:r>
    </w:p>
    <w:p w:rsidR="00A31137" w:rsidRPr="00A31137" w:rsidRDefault="00A31137" w:rsidP="00A31137">
      <w:r w:rsidRPr="00A31137">
        <w:t>1995, U.S. Term Limits, Inc. v. Thornton, No. 93-1456</w:t>
      </w:r>
    </w:p>
    <w:p w:rsidR="00A31137" w:rsidRPr="00A31137" w:rsidRDefault="00A31137" w:rsidP="00A31137">
      <w:r w:rsidRPr="00A31137">
        <w:t>retard, impede, burden, or in any manner control, the operations of the constitutional laws enacted by Congress to carry [that power] into execution.</w:t>
      </w:r>
    </w:p>
    <w:p w:rsidR="00A31137" w:rsidRPr="00A31137" w:rsidRDefault="00A31137" w:rsidP="00A31137">
      <w:r w:rsidRPr="00A31137">
        <w:t>1995, U.S. Term Limits, Inc. v. Thornton, No. 93-1456</w:t>
      </w:r>
    </w:p>
    <w:p w:rsidR="00A31137" w:rsidRPr="00A31137" w:rsidRDefault="00A31137" w:rsidP="00A31137">
      <w:r w:rsidRPr="00A31137">
        <w:t>McCulloch, 4 Wheat. at  436. Thus, the Court concluded that the very nature of state taxation on the Bank's operations was "incompatible with, and repugnant to," the federal statute creating the Bank. See id. at  425.</w:t>
      </w:r>
    </w:p>
    <w:p w:rsidR="00A31137" w:rsidRPr="00A31137" w:rsidRDefault="00A31137" w:rsidP="00A31137">
      <w:r w:rsidRPr="00A31137">
        <w:t>1995, U.S. Term Limits, Inc. v. Thornton, No. 93-1456</w:t>
      </w:r>
    </w:p>
    <w:p w:rsidR="00A31137" w:rsidRPr="00A31137" w:rsidRDefault="00A31137" w:rsidP="00A31137">
      <w:r w:rsidRPr="00A31137">
        <w:t>For the past 175 years, McCulloch has been understood to rest on the proposition that the Constitution affirmatively barred Maryland from imposing its tax on the Bank's operations. See, e.g., Osborn v. Bank of United States, 9 Wheat. 738, 859-868 (1824) (reaffirming McCulloch's conclusion that by operation of the Supremacy Clause, the federal statute incorporating the Bank impliedly preempted state laws attempting to tax the Bank's operations); Maryland v. Louisiana, 451 U.S. 725, 746 (1981) (citing McCulloch for the proposition that the Supremacy Clause deprives the States of the power to pass laws that conflict with federal statutes); see also North Dakota v. United States, 495 U.S. 423, 434 (1990) (plurality opinion) (citing McCulloch for the proposition that state laws may violate the Supremacy Clause when they "regulate the Government directly or discriminate against it"). 5 For the majority, however, McCulloch apparently turned on the fact that before the Constitution was adopted, the States had possessed no power to tax the instrumentalities of the governmental institutions that the Constitution created. This understanding of McCulloch makes most of Chief Justice Marshall's opinion irrelevant; according to the majority, there was no need to inquire into whether federal law deprived Maryland of the power in question, because the power could not fall into the category of "reserved" powers anyway. 6</w:t>
      </w:r>
    </w:p>
    <w:p w:rsidR="00A31137" w:rsidRPr="00A31137" w:rsidRDefault="00A31137" w:rsidP="00A31137">
      <w:r w:rsidRPr="00A31137">
        <w:t>1995, U.S. Term Limits, Inc. v. Thornton, No. 93-1456</w:t>
      </w:r>
    </w:p>
    <w:p w:rsidR="00A31137" w:rsidRPr="00A31137" w:rsidRDefault="00A31137" w:rsidP="00A31137">
      <w:r w:rsidRPr="00A31137">
        <w:t>Despite the majority's citation of Garcia and McCulloch, the only true support for its view of the Tenth Amendment comes from Joseph Story's 1833 treatise on constitutional law. See 2 J. Story, Commentaries on the Constitution of the United States §§ 623-628. Justice Story was a brilliant and accomplished man, and one cannot casually dismiss his views. On the other hand, he was not a member of the Founding generation, and his Commentaries on the Constitution were written a half century after the framing. Rather than representing the original understanding of the Constitution, they represent only his own understanding. In a range of cases concerning the federal/state relation, moreover, this Court has deemed positions taken in Story's commentaries to be more nationalist than the Constitution warrants. Compare, e.g., id. §§ 1063-1069 (arguing that the Commerce Clause deprives the States of the power to regulate any commerce within Congress' reach) with Cooley v. Board of Wardens of Port of Philadelphia ex rel. Society for Relief of Distressed Pilots, 12 How. 299 (1852) (holding that Congress' Commerce Clause powers are not exclusive). See also 1 Life and Letters of Joseph Story 296 (W. Story ed. 1851) (extract of manuscript written by Story) ("I hold it to be a maxim, which should never be lost sight of by a great statesman, that the Government of the United States is intrinsically too weak, and the powers of the State Governments too strong"). In this case too, Story's position that the only powers reserved to the States are those that the States enjoyed before the framing conflicts with both the plain language of the Tenth Amendment and the underlying theory of the Constitution.</w:t>
      </w:r>
    </w:p>
    <w:p w:rsidR="00A31137" w:rsidRPr="00A31137" w:rsidRDefault="00A31137" w:rsidP="00A31137">
      <w:r w:rsidRPr="00A31137">
        <w:t>2</w:t>
      </w:r>
    </w:p>
    <w:p w:rsidR="00A31137" w:rsidRPr="00A31137" w:rsidRDefault="00A31137" w:rsidP="00A31137">
      <w:r w:rsidRPr="00A31137">
        <w:t>1995, U.S. Term Limits, Inc. v. Thornton, No. 93-1456</w:t>
      </w:r>
    </w:p>
    <w:p w:rsidR="00A31137" w:rsidRPr="00A31137" w:rsidRDefault="00A31137" w:rsidP="00A31137">
      <w:r w:rsidRPr="00A31137">
        <w:t>The majority also sketches out what may be an alternative (and narrower) argument. Again citing Story, the majority suggests that it would be inconsistent with the notion of "national sovereignty" for the States or the people of the States to have any reserved powers over the selection of Members of Congress. See ante at ___. The majority apparently reaches this conclusion in two steps. First, it asserts that because Congress as a whole is an institution of the National Government, the individual Members of Congress "owe primary allegiance not to the people of a State, but to the people of the Nation." See ante at ___. Second, it concludes that because each Member of Congress has a nationwide constituency once he takes office, it would be inconsistent with the Framers' scheme to let a single State prescribe qualifications for him. See ante at ___.</w:t>
      </w:r>
    </w:p>
    <w:p w:rsidR="00A31137" w:rsidRPr="00A31137" w:rsidRDefault="00A31137" w:rsidP="00A31137">
      <w:r w:rsidRPr="00A31137">
        <w:t>1995, U.S. Term Limits, Inc. v. Thornton, No. 93-1456</w:t>
      </w:r>
    </w:p>
    <w:p w:rsidR="00A31137" w:rsidRPr="00A31137" w:rsidRDefault="00A31137" w:rsidP="00A31137">
      <w:r w:rsidRPr="00A31137">
        <w:t>Political scientists can debate about who commands the "primary allegiance" of Members of Congress once they reach Washington. From the framing to the present, however, the selection of the Representatives and Senators from each State has been left entirely to the people of that State or to their state legislature. See Art. I, § 2, cl. 1 (providing that members of the House of Representatives are chosen "by the People of the several States"); Art. I, § 3, cl. 1 (originally providing that the Senators from each State are "chosen by the Legislature thereof"); Amdt. 17 (amending § 3 to provide that the Senators from each State are "elected by the people thereof"). The very name "congress" suggests a coming together of representatives from distinct entities. 7 In keeping with the complexity of our federal system, once the representatives chosen by the people of each State assemble in Congress, they form a national body and are beyond the control of the individual States until the next election. But the selection of representatives in Congress is indisputably an act of the people of each State, not some abstract people of the Nation as a whole.</w:t>
      </w:r>
    </w:p>
    <w:p w:rsidR="00A31137" w:rsidRPr="00A31137" w:rsidRDefault="00A31137" w:rsidP="00A31137">
      <w:r w:rsidRPr="00A31137">
        <w:t>1995, U.S. Term Limits, Inc. v. Thornton, No. 93-1456</w:t>
      </w:r>
    </w:p>
    <w:p w:rsidR="00A31137" w:rsidRPr="00A31137" w:rsidRDefault="00A31137" w:rsidP="00A31137">
      <w:r w:rsidRPr="00A31137">
        <w:t>The concurring opinion suggests that this cannot be so, because it is the Federal Constitution that guarantees the right of the people of each State (so long as they are qualified electors under state law) to take part in choosing the Members of Congress from that State. See ante at ___. But the presence of a federally guaranteed right hardly means that the selection of those representatives constitutes "the exercise of federal authority." See ante at ___. When the people of Georgia pick their representatives in Congress, they are acting as the people of Georgia, not as the corporate agents for the undifferentiated people of the Nation as a whole. See In re Green, 134 U.S. 377, 379 (1890) ("Although [Presidential] electors are appointed and act under and pursuant to the Constitution of the United States, they are no more officers or agents of the United States than are the members of the state legislatures when acting as electors of federal senators, or the people of the States when acting as electors of representatives in Congress"). The concurring opinion protests that the exercise of "reserved" powers in the area of congressional elections would constitute "state interference with the most basic relation between the National Government and its citizens, the selection of legislative representatives." See ante at ___. But when one strips away its abstractions, the concurring opinion is simply saying that the people of Arkansas cannot be permitted to inject themselves into the process by which they themselves select Arkansas' representatives in Congress.</w:t>
      </w:r>
    </w:p>
    <w:p w:rsidR="00A31137" w:rsidRPr="00A31137" w:rsidRDefault="00A31137" w:rsidP="00A31137">
      <w:r w:rsidRPr="00A31137">
        <w:t>1995, U.S. Term Limits, Inc. v. Thornton, No. 93-1456</w:t>
      </w:r>
    </w:p>
    <w:p w:rsidR="00A31137" w:rsidRPr="00A31137" w:rsidRDefault="00A31137" w:rsidP="00A31137">
      <w:r w:rsidRPr="00A31137">
        <w:t>The concurring opinion attempts to defend this surprising proposition by pointing out that Americans are "citizens of the United States" as well as "of the State wherein they reside," Amdt. XIV, § 1, and that national citizenship (particularly after the ratification of the Fourteenth Amendment) "has privileges and immunities protected from state abridgement by the force of the Constitution itself," ante at ___. These facts are indeed "beyond dispute," ante at ___, but they do not contradict anything that I have said. Although the United States obviously is a Nation, and although it obviously has citizens, the Constitution does not call for Members of Congress to be elected by the undifferentiated national citizenry; indeed, it does not recognize any mechanism at all (such as a national referendum) for action by the undifferentiated people of the Nation as a whole. See supra at ___. Even at the level of national politics, then, there always remains a meaningful distinction between someone who is a citizen of the United States and of Georgia and someone who is a citizen of the United States and of Massachusetts. The Georgia citizen who is unaware of this distinction will have it pointed out to him as soon as he tries to vote in a Massachusetts congressional election.</w:t>
      </w:r>
    </w:p>
    <w:p w:rsidR="00A31137" w:rsidRPr="00A31137" w:rsidRDefault="00A31137" w:rsidP="00A31137">
      <w:r w:rsidRPr="00A31137">
        <w:t>1995, U.S. Term Limits, Inc. v. Thornton, No. 93-1456</w:t>
      </w:r>
    </w:p>
    <w:p w:rsidR="00A31137" w:rsidRPr="00A31137" w:rsidRDefault="00A31137" w:rsidP="00A31137">
      <w:r w:rsidRPr="00A31137">
        <w:t>In short, while the majority is correct that the Framers expected the selection process to create a "direct link" between members of the House of Representatives and the people, ante at ___, the link was between the Representatives from each State and the people of that State; the people of Georgia have no say over whom the people of Massachusetts select to represent them in Congress. This arrangement must baffle the majority, 8 whose understanding of Congress would surely fit more comfortably within a system of nationwide elections. But the fact remains that when it comes to the selection of Members of Congress, the people of each State have retained their independent political identity. As a result, there is absolutely nothing strange about the notion that the people of the States or their state legislatures possess "reserved" powers in this area.</w:t>
      </w:r>
    </w:p>
    <w:p w:rsidR="00A31137" w:rsidRPr="00A31137" w:rsidRDefault="00A31137" w:rsidP="00A31137">
      <w:r w:rsidRPr="00A31137">
        <w:t>1995, U.S. Term Limits, Inc. v. Thornton, No. 93-1456</w:t>
      </w:r>
    </w:p>
    <w:p w:rsidR="00A31137" w:rsidRPr="00A31137" w:rsidRDefault="00A31137" w:rsidP="00A31137">
      <w:r w:rsidRPr="00A31137">
        <w:t>The majority seeks support from the Constitution's specification that Members of Congress "shall receive a Compensation for their Services, to be ascertained by Law, and paid out of the Treasury of the United States." Art. I, § 6, cl. 1; see ante at ___. But the fact that Members of Congress draw a federal salary once they have assembled hardly means that the people of the States lack reserved powers over the selection of their representatives. Indeed, the historical evidence about the compensation provision suggests that the States' reserved powers may even extend beyond the selection stage. The majority itself indicates that if the Constitution had made no provision for congressional compensation, this topic would have been "left to state legislatures." Ante at ___; accord, 1 Farrand 215-216 (remarks of James Madison and George Mason); id. at 219, n. *. Likewise, Madison specifically indicated that even with the compensation provision in place, the individual States still enjoyed the reserved power to supplement the federal salary. 3 id. at 315 (remarks at the Virginia ratifying convention).</w:t>
      </w:r>
    </w:p>
    <w:p w:rsidR="00A31137" w:rsidRPr="00A31137" w:rsidRDefault="00A31137" w:rsidP="00A31137">
      <w:r w:rsidRPr="00A31137">
        <w:t>1995, U.S. Term Limits, Inc. v. Thornton, No. 93-1456</w:t>
      </w:r>
    </w:p>
    <w:p w:rsidR="00A31137" w:rsidRPr="00A31137" w:rsidRDefault="00A31137" w:rsidP="00A31137">
      <w:r w:rsidRPr="00A31137">
        <w:t>As for the fact that a State has no reserved power to establish qualifications for the office of President, see ante at ___, it surely need not follow that a State has no reserved power to establish qualifications for the Members of Congress who represent the people of that State. Because powers are reserved to the States "respectively," it is clear that no State may legislate for another State: even though the Arkansas legislature enjoys the reserved power to pass a minimum wage law for Arkansas, it has no power to pass a minimum wage law for Vermont. For the same reason, Arkansas may not decree that only Arkansas citizens are eligible to be President of the United States; the selection of the President is not up to Arkansas alone, and Arkansas can no more prescribe the qualifications for that office than it can set the qualifications for Members of Congress from Florida. But none of this suggests that Arkansas cannot set qualifications for Members of Congress from Arkansas.</w:t>
      </w:r>
    </w:p>
    <w:p w:rsidR="00A31137" w:rsidRPr="00A31137" w:rsidRDefault="00A31137" w:rsidP="00A31137">
      <w:r w:rsidRPr="00A31137">
        <w:t>1995, U.S. Term Limits, Inc. v. Thornton, No. 93-1456</w:t>
      </w:r>
    </w:p>
    <w:p w:rsidR="00A31137" w:rsidRPr="00A31137" w:rsidRDefault="00A31137" w:rsidP="00A31137">
      <w:r w:rsidRPr="00A31137">
        <w:t>In fact, the Constitution's treatment of Presidential elections actively contradicts the majority's position. While the individual States have no "reserved" power to set qualifications for the office of President, we have long understood that they do have the power (as far as the Federal Constitution is concerned) to set qualifications for their Presidential electors—the delegates that each State selects to represent it in the electoral college that actually chooses the Nation's chief executive. Even respondents do not dispute that the States may establish qualifications for their delegates to the electoral college, as long as those qualifications pass muster under other constitutional provisions (primarily the First and Fourteenth Amendments). See Williams v. Rhodes, 393 U.S. 23, 29 (1968); McPherson v. Blacker, 146 U.S. 1, 27-36 (1892). As the majority cannot argue that the Constitution affirmatively grants this power, 9 the power must be one that is "reserved" to the States. It necessarily follows that the majority's understanding of the Tenth Amendment is incorrect, for the position of Presidential elector surely "'spring[s] out of the existence of the national government.'" See ante at ___.</w:t>
      </w:r>
    </w:p>
    <w:p w:rsidR="00A31137" w:rsidRPr="00A31137" w:rsidRDefault="00A31137" w:rsidP="00A31137">
      <w:r w:rsidRPr="00A31137">
        <w:t>3</w:t>
      </w:r>
    </w:p>
    <w:p w:rsidR="00A31137" w:rsidRPr="00A31137" w:rsidRDefault="00A31137" w:rsidP="00A31137">
      <w:r w:rsidRPr="00A31137">
        <w:t>1995, U.S. Term Limits, Inc. v. Thornton, No. 93-1456</w:t>
      </w:r>
    </w:p>
    <w:p w:rsidR="00A31137" w:rsidRPr="00A31137" w:rsidRDefault="00A31137" w:rsidP="00A31137">
      <w:r w:rsidRPr="00A31137">
        <w:t>In a final effort to deny that the people of the States enjoy "reserved" powers over the selection of their representatives in Congress, the majority suggests that the Constitution expressly delegates to the States certain powers over congressional elections. See ante at ___. Such delegations of power, the majority argues, would be superfluous if the people of the States enjoyed reserved powers in this area.</w:t>
      </w:r>
    </w:p>
    <w:p w:rsidR="00A31137" w:rsidRPr="00A31137" w:rsidRDefault="00A31137" w:rsidP="00A31137">
      <w:r w:rsidRPr="00A31137">
        <w:t>1995, U.S. Term Limits, Inc. v. Thornton, No. 93-1456</w:t>
      </w:r>
    </w:p>
    <w:p w:rsidR="00A31137" w:rsidRPr="00A31137" w:rsidRDefault="00A31137" w:rsidP="00A31137">
      <w:r w:rsidRPr="00A31137">
        <w:t>Only one constitutional provision-the Times, Places and Manner Clause of Article I, § 4—even arguably supports the majority's suggestion. It reads:</w:t>
      </w:r>
    </w:p>
    <w:p w:rsidR="00A31137" w:rsidRPr="00A31137" w:rsidRDefault="00A31137" w:rsidP="00A31137">
      <w:r w:rsidRPr="00A31137">
        <w:t>1995, U.S. Term Limits, Inc. v. Thornton, No. 93-1456</w:t>
      </w:r>
    </w:p>
    <w:p w:rsidR="00A31137" w:rsidRPr="00A31137" w:rsidRDefault="00A31137" w:rsidP="00A31137">
      <w:r w:rsidRPr="00A31137">
        <w:t>The Times, Places and Manner of holding Elections for Senators and Representatives, shall be prescribed in each State by the Legislature thereof; but the Congress may at any time by Law make or alter such Regulations, except as to the Places of chusing Senators.</w:t>
      </w:r>
    </w:p>
    <w:p w:rsidR="00A31137" w:rsidRPr="00A31137" w:rsidRDefault="00A31137" w:rsidP="00A31137">
      <w:r w:rsidRPr="00A31137">
        <w:t>1995, U.S. Term Limits, Inc. v. Thornton, No. 93-1456</w:t>
      </w:r>
    </w:p>
    <w:p w:rsidR="00A31137" w:rsidRPr="00A31137" w:rsidRDefault="00A31137" w:rsidP="00A31137">
      <w:r w:rsidRPr="00A31137">
        <w:t>Contrary to the majority's assumption, however, this Clause does not delegate any authority to the States. Instead, it simply imposes a duty upon them. The majority gets it exactly right: by specifying that the state legislatures "shall" prescribe the details necessary to hold congressional elections, the Clause "expressly requires action by the States." See ante at ___. This command meshes with one of the principal purposes of Congress' "make or alter" power: to ensure that the States hold congressional elections in the first place, so that Congress continues to exist. As one reporter summarized a speech made by John Jay at the New York ratifying convention:</w:t>
      </w:r>
    </w:p>
    <w:p w:rsidR="00A31137" w:rsidRPr="00A31137" w:rsidRDefault="00A31137" w:rsidP="00A31137">
      <w:r w:rsidRPr="00A31137">
        <w:t>1995, U.S. Term Limits, Inc. v. Thornton, No. 93-1456</w:t>
      </w:r>
    </w:p>
    <w:p w:rsidR="00A31137" w:rsidRPr="00A31137" w:rsidRDefault="00A31137" w:rsidP="00A31137">
      <w:r w:rsidRPr="00A31137">
        <w:t>[E]very government was imperfect, unless it had a power of preserving itself. Suppose that, by design or accident, the states should neglect to appoint representatives; certainly there should be some constitutional remedy for this evil. The obvious meaning of the paragraph was, that, if this neglect should take place, Congress should have power, by law, to support the government, and prevent the dissolution of the Union. [Jay] believed this was the design of the federal Convention.</w:t>
      </w:r>
    </w:p>
    <w:p w:rsidR="00A31137" w:rsidRPr="00A31137" w:rsidRDefault="00A31137" w:rsidP="00A31137">
      <w:r w:rsidRPr="00A31137">
        <w:t>1995, U.S. Term Limits, Inc. v. Thornton, No. 93-1456</w:t>
      </w:r>
    </w:p>
    <w:p w:rsidR="00A31137" w:rsidRPr="00A31137" w:rsidRDefault="00A31137" w:rsidP="00A31137">
      <w:r w:rsidRPr="00A31137">
        <w:t>2 Elliot 326 (emphasis in original). 10</w:t>
      </w:r>
    </w:p>
    <w:p w:rsidR="00A31137" w:rsidRPr="00A31137" w:rsidRDefault="00A31137" w:rsidP="00A31137">
      <w:r w:rsidRPr="00A31137">
        <w:t>1995, U.S. Term Limits, Inc. v. Thornton, No. 93-1456</w:t>
      </w:r>
    </w:p>
    <w:p w:rsidR="00A31137" w:rsidRPr="00A31137" w:rsidRDefault="00A31137" w:rsidP="00A31137">
      <w:r w:rsidRPr="00A31137">
        <w:t>Constitutional provisions that impose affirmative duties on the States are hardly inconsistent with the notion of reserved powers.</w:t>
      </w:r>
    </w:p>
    <w:p w:rsidR="00A31137" w:rsidRPr="00A31137" w:rsidRDefault="00A31137" w:rsidP="00A31137">
      <w:r w:rsidRPr="00A31137">
        <w:t>1995, U.S. Term Limits, Inc. v. Thornton, No. 93-1456</w:t>
      </w:r>
    </w:p>
    <w:p w:rsidR="00A31137" w:rsidRPr="00A31137" w:rsidRDefault="00A31137" w:rsidP="00A31137">
      <w:r w:rsidRPr="00A31137">
        <w:t>Of course, the second part of the Times, Places and Manner Clause does grant a power, rather than impose a duty. As its contrasting uses of the words "shall" and "may" confirm, however, the Clause grants power exclusively to Congress, not to the States. If the Clause did not exist at all, the States would still be able to prescribe the times, places, and manner of holding congressional elections; the deletion of the provision would simply deprive Congress of the power to override these state regulations.</w:t>
      </w:r>
    </w:p>
    <w:p w:rsidR="00A31137" w:rsidRPr="00A31137" w:rsidRDefault="00A31137" w:rsidP="00A31137">
      <w:r w:rsidRPr="00A31137">
        <w:t>1995, U.S. Term Limits, Inc. v. Thornton, No. 93-1456</w:t>
      </w:r>
    </w:p>
    <w:p w:rsidR="00A31137" w:rsidRPr="00A31137" w:rsidRDefault="00A31137" w:rsidP="00A31137">
      <w:r w:rsidRPr="00A31137">
        <w:t>The majority also mentions Article II, § 1, cl. 2:</w:t>
      </w:r>
    </w:p>
    <w:p w:rsidR="00A31137" w:rsidRPr="00A31137" w:rsidRDefault="00A31137" w:rsidP="00A31137">
      <w:r w:rsidRPr="00A31137">
        <w:t>1995, U.S. Term Limits, Inc. v. Thornton, No. 93-1456</w:t>
      </w:r>
    </w:p>
    <w:p w:rsidR="00A31137" w:rsidRPr="00A31137" w:rsidRDefault="00A31137" w:rsidP="00A31137">
      <w:r w:rsidRPr="00A31137">
        <w:t>Each State shall appoint, in such Manner as the Legislature thereof may direct, a Number of [Presidential] Electors, equal to the whole Number of Senators and Representatives to which the State may be entitled in the Congress….</w:t>
      </w:r>
    </w:p>
    <w:p w:rsidR="00A31137" w:rsidRPr="00A31137" w:rsidRDefault="00A31137" w:rsidP="00A31137">
      <w:r w:rsidRPr="00A31137">
        <w:t>1995, U.S. Term Limits, Inc. v. Thornton, No. 93-1456</w:t>
      </w:r>
    </w:p>
    <w:p w:rsidR="00A31137" w:rsidRPr="00A31137" w:rsidRDefault="00A31137" w:rsidP="00A31137">
      <w:r w:rsidRPr="00A31137">
        <w:t>But this Clause has nothing to do with congressional elections, and, in any event, it too imposes an affirmative obligation on the States. In fact, some such bare-bones provision was essential in order to coordinate the creation of the electoral college. As mentioned above, moreover, it is uncontested that the States enjoy the reserved power to specify qualifications for the Presidential electors who are chosen pursuant to this Clause. See supra at ___.</w:t>
      </w:r>
    </w:p>
    <w:p w:rsidR="00A31137" w:rsidRPr="00A31137" w:rsidRDefault="00A31137" w:rsidP="00A31137">
      <w:r w:rsidRPr="00A31137">
        <w:t>1995, U.S. Term Limits, Inc. v. Thornton, No. 93-1456</w:t>
      </w:r>
    </w:p>
    <w:p w:rsidR="00A31137" w:rsidRPr="00A31137" w:rsidRDefault="00A31137" w:rsidP="00A31137">
      <w:r w:rsidRPr="00A31137">
        <w:t>Respondent Thornton seeks to buttress the majority's position with Article I, § 2, cl. 1, which provides:</w:t>
      </w:r>
    </w:p>
    <w:p w:rsidR="00A31137" w:rsidRPr="00A31137" w:rsidRDefault="00A31137" w:rsidP="00A31137">
      <w:r w:rsidRPr="00A31137">
        <w:t>1995, U.S. Term Limits, Inc. v. Thornton, No. 93-1456</w:t>
      </w:r>
    </w:p>
    <w:p w:rsidR="00A31137" w:rsidRPr="00A31137" w:rsidRDefault="00A31137" w:rsidP="00A31137">
      <w:r w:rsidRPr="00A31137">
        <w:t>The House of Representatives shall be composed of Members chosen every second Year by the People of the several States, and the Electors in each State shall have the Qualifications requisite for Electors of the most numerous Branch of the State Legislature.</w:t>
      </w:r>
    </w:p>
    <w:p w:rsidR="00A31137" w:rsidRPr="00A31137" w:rsidRDefault="00A31137" w:rsidP="00A31137">
      <w:r w:rsidRPr="00A31137">
        <w:t>1995, U.S. Term Limits, Inc. v. Thornton, No. 93-1456</w:t>
      </w:r>
    </w:p>
    <w:p w:rsidR="00A31137" w:rsidRPr="00A31137" w:rsidRDefault="00A31137" w:rsidP="00A31137">
      <w:r w:rsidRPr="00A31137">
        <w:t>According to respondent Thornton, this provision "grants States authority to prescribe the qualifications of [voters]" in congressional elections. Brief for Respondent Congressman Ray Thornton 4. If anything, however, the Clause limits the power that the States would otherwise enjoy. Though it does leave States with the ability to control who may vote in congressional elections, it has the effect of restricting their authority to establish special requirements that do not apply in elections for the state legislature.</w:t>
      </w:r>
    </w:p>
    <w:p w:rsidR="00A31137" w:rsidRPr="00A31137" w:rsidRDefault="00A31137" w:rsidP="00A31137">
      <w:r w:rsidRPr="00A31137">
        <w:t>1995, U.S. Term Limits, Inc. v. Thornton, No. 93-1456</w:t>
      </w:r>
    </w:p>
    <w:p w:rsidR="00A31137" w:rsidRPr="00A31137" w:rsidRDefault="00A31137" w:rsidP="00A31137">
      <w:r w:rsidRPr="00A31137">
        <w:t>Our case law interpreting the Clause affirmatively supports the view that the States enjoy reserved powers over congressional elections. We have treated the Clause as a one-way ratchet: while the requirements for voting in congressional elections cannot be more onerous than the requirements for voting in elections for the most numerous branch of the statute legislature, they can be less so. See Tashjian v. Republican Party of Connecticut, 479 U.S. 208, 225-229 (1986). If this interpretation of the Clause is correct, it means that, even with the Clause in place, States still have partial freedom to set special voting requirements for congressional elections. As this power is not granted in Article I, it must be among the "reserved" powers.</w:t>
      </w:r>
    </w:p>
    <w:p w:rsidR="00A31137" w:rsidRPr="00A31137" w:rsidRDefault="00A31137" w:rsidP="00A31137">
      <w:r w:rsidRPr="00A31137">
        <w:t>II</w:t>
      </w:r>
    </w:p>
    <w:p w:rsidR="00A31137" w:rsidRPr="00A31137" w:rsidRDefault="00A31137" w:rsidP="00A31137">
      <w:r w:rsidRPr="00A31137">
        <w:t>1995, U.S. Term Limits, Inc. v. Thornton, No. 93-1456</w:t>
      </w:r>
    </w:p>
    <w:p w:rsidR="00A31137" w:rsidRPr="00A31137" w:rsidRDefault="00A31137" w:rsidP="00A31137">
      <w:r w:rsidRPr="00A31137">
        <w:t>I take it to be established, then, that the people of Arkansas do enjoy "reserved" powers over the selection of their representatives in Congress. Purporting to exercise those reserved powers, they have agreed among themselves that the candidates covered by § 3 of Amendment 73—those whom they have already elected to three or more terms in the House of Representatives or to two or more terms in the Senate—should not be eligible to appear on the ballot for reelection, but should nonetheless be returned to Congress if enough voters are sufficiently enthusiastic about their candidacy to write in their names. Whatever one might think of the wisdom of this arrangement, we may not override the decision of the people of Arkansas unless something in the Federal Constitution deprives them of the power to enact such measures.</w:t>
      </w:r>
    </w:p>
    <w:p w:rsidR="00A31137" w:rsidRPr="00A31137" w:rsidRDefault="00A31137" w:rsidP="00A31137">
      <w:r w:rsidRPr="00A31137">
        <w:t>1995, U.S. Term Limits, Inc. v. Thornton, No. 93-1456</w:t>
      </w:r>
    </w:p>
    <w:p w:rsidR="00A31137" w:rsidRPr="00A31137" w:rsidRDefault="00A31137" w:rsidP="00A31137">
      <w:r w:rsidRPr="00A31137">
        <w:t>The majority settles on "the Qualifications Clauses" as the constitutional provisions that Amendment 73 violates. See ante at ___. Because I do not read those provisions to impose any unstated prohibitions on the States, it is unnecessary for me to decide whether the majority is correct to identify Arkansas' ballot access restriction with laws fixing true term limits or otherwise prescribing "qualifications" for congressional office. As I discuss in Part A below, the Qualifications Clauses are merely straightforward recitations of the minimum eligibility requirements that the Framers thought it essential for every Member of Congress to meet. They restrict state power only in that they prevent the States from abolishing all eligibility requirements for membership in Congress.</w:t>
      </w:r>
    </w:p>
    <w:p w:rsidR="00A31137" w:rsidRPr="00A31137" w:rsidRDefault="00A31137" w:rsidP="00A31137">
      <w:r w:rsidRPr="00A31137">
        <w:t>1995, U.S. Term Limits, Inc. v. Thornton, No. 93-1456</w:t>
      </w:r>
    </w:p>
    <w:p w:rsidR="00A31137" w:rsidRPr="00A31137" w:rsidRDefault="00A31137" w:rsidP="00A31137">
      <w:r w:rsidRPr="00A31137">
        <w:t>Because the text of the Qualifications Clauses does not support its position, the majority turns instead to its vision of the democratic principles that animated the Framers. But the majority's analysis goes to a question that is not before us: whether Congress has the power to prescribe qualifications for its own members. As I discuss in Part B, the democratic principles that contributed to the Framers' decision to withhold this power from Congress do not prove that the Framers also deprived the people of the States of their reserved authority to set eligibility requirements for their own representatives.</w:t>
      </w:r>
    </w:p>
    <w:p w:rsidR="00A31137" w:rsidRPr="00A31137" w:rsidRDefault="00A31137" w:rsidP="00A31137">
      <w:r w:rsidRPr="00A31137">
        <w:t>1995, U.S. Term Limits, Inc. v. Thornton, No. 93-1456</w:t>
      </w:r>
    </w:p>
    <w:p w:rsidR="00A31137" w:rsidRPr="00A31137" w:rsidRDefault="00A31137" w:rsidP="00A31137">
      <w:r w:rsidRPr="00A31137">
        <w:t>In Part C, I review the majority's more specific historical evidence. To the extent that they bear on this case, the records of the Philadelphia Convention affirmatively support my unwillingness to find hidden meaning in the Qualifications Clauses, while the surviving records from the ratification debates help neither side. As for the post-ratification period, five States supplemented the constitutional disqualifications in their very first election laws. The historical evidence thus refutes any notion that the Qualifications Clauses were generally understood to be exclusive. Yet the majority must establish just such an understanding in order to justify its position that the Clauses impose unstated prohibitions on the States and the people. In my view, the historical evidence is simply inadequate to warrant the majority's conclusion that the Qualifications Clauses mean anything more than what they say.</w:t>
      </w:r>
    </w:p>
    <w:p w:rsidR="00A31137" w:rsidRPr="00A31137" w:rsidRDefault="00A31137" w:rsidP="00A31137">
      <w:r w:rsidRPr="00A31137">
        <w:t>A</w:t>
      </w:r>
    </w:p>
    <w:p w:rsidR="00A31137" w:rsidRPr="00A31137" w:rsidRDefault="00A31137" w:rsidP="00A31137">
      <w:r w:rsidRPr="00A31137">
        <w:t>1995, U.S. Term Limits, Inc. v. Thornton, No. 93-1456</w:t>
      </w:r>
    </w:p>
    <w:p w:rsidR="00A31137" w:rsidRPr="00A31137" w:rsidRDefault="00A31137" w:rsidP="00A31137">
      <w:r w:rsidRPr="00A31137">
        <w:t>The provisions that are generally known as the Qualifications Clauses read as follows:</w:t>
      </w:r>
    </w:p>
    <w:p w:rsidR="00A31137" w:rsidRPr="00A31137" w:rsidRDefault="00A31137" w:rsidP="00A31137">
      <w:r w:rsidRPr="00A31137">
        <w:t>1995, U.S. Term Limits, Inc. v. Thornton, No. 93-1456</w:t>
      </w:r>
    </w:p>
    <w:p w:rsidR="00A31137" w:rsidRPr="00A31137" w:rsidRDefault="00A31137" w:rsidP="00A31137">
      <w:r w:rsidRPr="00A31137">
        <w:t>No Person shall be a Representative who shall not have attained to the age of twenty-five Years, and been seven Years a Citizen of the United States, and who shall not, when elected, be an Inhabitant of that State in which he shall be chosen.</w:t>
      </w:r>
    </w:p>
    <w:p w:rsidR="00A31137" w:rsidRPr="00A31137" w:rsidRDefault="00A31137" w:rsidP="00A31137">
      <w:r w:rsidRPr="00A31137">
        <w:t>1995, U.S. Term Limits, Inc. v. Thornton, No. 93-1456</w:t>
      </w:r>
    </w:p>
    <w:p w:rsidR="00A31137" w:rsidRPr="00A31137" w:rsidRDefault="00A31137" w:rsidP="00A31137">
      <w:r w:rsidRPr="00A31137">
        <w:t>Art. I, § 2, cl. 2.</w:t>
      </w:r>
    </w:p>
    <w:p w:rsidR="00A31137" w:rsidRPr="00A31137" w:rsidRDefault="00A31137" w:rsidP="00A31137">
      <w:r w:rsidRPr="00A31137">
        <w:t>1995, U.S. Term Limits, Inc. v. Thornton, No. 93-1456</w:t>
      </w:r>
    </w:p>
    <w:p w:rsidR="00A31137" w:rsidRPr="00A31137" w:rsidRDefault="00A31137" w:rsidP="00A31137">
      <w:r w:rsidRPr="00A31137">
        <w:t>No Person shall be a Senator who shall not have attained to the Age of thirty Years, and been nine Years a Citizen of the United States, and who shall not, when elected, be an Inhabitant of that State for which he shall be chosen.</w:t>
      </w:r>
    </w:p>
    <w:p w:rsidR="00A31137" w:rsidRPr="00A31137" w:rsidRDefault="00A31137" w:rsidP="00A31137">
      <w:r w:rsidRPr="00A31137">
        <w:t>1995, U.S. Term Limits, Inc. v. Thornton, No. 93-1456</w:t>
      </w:r>
    </w:p>
    <w:p w:rsidR="00A31137" w:rsidRPr="00A31137" w:rsidRDefault="00A31137" w:rsidP="00A31137">
      <w:r w:rsidRPr="00A31137">
        <w:t>Art. I, § 3, cl. 3. Later in Article I, the "Ineligibility Clause" imposes another nationwide disqualification from congressional office: "no Person holding any Office under the United States, shall be a Member of either House during his Continuance in Office." § 6, cl. 2.</w:t>
      </w:r>
    </w:p>
    <w:p w:rsidR="00A31137" w:rsidRPr="00A31137" w:rsidRDefault="00A31137" w:rsidP="00A31137">
      <w:r w:rsidRPr="00A31137">
        <w:t>1995, U.S. Term Limits, Inc. v. Thornton, No. 93-1456</w:t>
      </w:r>
    </w:p>
    <w:p w:rsidR="00A31137" w:rsidRPr="00A31137" w:rsidRDefault="00A31137" w:rsidP="00A31137">
      <w:r w:rsidRPr="00A31137">
        <w:t>The majority is quite correct that the "negative phrasing" of these Clauses has little relevance. See ante at ___, n. 8. The Qualifications Clauses would mean the same thing had they been enacted in the form that the Philadelphia Convention referred them to the Committee of Style:</w:t>
      </w:r>
    </w:p>
    <w:p w:rsidR="00A31137" w:rsidRPr="00A31137" w:rsidRDefault="00A31137" w:rsidP="00A31137">
      <w:r w:rsidRPr="00A31137">
        <w:t>1995, U.S. Term Limits, Inc. v. Thornton, No. 93-1456</w:t>
      </w:r>
    </w:p>
    <w:p w:rsidR="00A31137" w:rsidRPr="00A31137" w:rsidRDefault="00A31137" w:rsidP="00A31137">
      <w:r w:rsidRPr="00A31137">
        <w:t>Every Member of the House of Representatives shall be of the age of twenty-five years at least; shall have been a citizen of the United States for at least seven years before his election; and shall be at the time of his election, an inhabitant of the State in which he shall be chosen.</w:t>
      </w:r>
    </w:p>
    <w:p w:rsidR="00A31137" w:rsidRPr="00A31137" w:rsidRDefault="00A31137" w:rsidP="00A31137">
      <w:r w:rsidRPr="00A31137">
        <w:t>1995, U.S. Term Limits, Inc. v. Thornton, No. 93-1456</w:t>
      </w:r>
    </w:p>
    <w:p w:rsidR="00A31137" w:rsidRPr="00A31137" w:rsidRDefault="00A31137" w:rsidP="00A31137">
      <w:r w:rsidRPr="00A31137">
        <w:t>2 Farrand 565. See also id. at 567 (same phrasing for Senate Qualifications Clause). But these different formulations—whether negative or affirmative—merely establish minimum qualifications. They are quite different from an exclusive formulation, such as the following:</w:t>
      </w:r>
    </w:p>
    <w:p w:rsidR="00A31137" w:rsidRPr="00A31137" w:rsidRDefault="00A31137" w:rsidP="00A31137">
      <w:r w:rsidRPr="00A31137">
        <w:t>1995, U.S. Term Limits, Inc. v. Thornton, No. 93-1456</w:t>
      </w:r>
    </w:p>
    <w:p w:rsidR="00A31137" w:rsidRPr="00A31137" w:rsidRDefault="00A31137" w:rsidP="00A31137">
      <w:r w:rsidRPr="00A31137">
        <w:t>Every Person who shall have attained to the age of twenty five Years, and been seven Years a Citizen of the United States, and who shall, when elected, be an Inhabitant of that State in which he shall be chosen, shall be eligible to be a Representative.</w:t>
      </w:r>
    </w:p>
    <w:p w:rsidR="00A31137" w:rsidRPr="00A31137" w:rsidRDefault="00A31137" w:rsidP="00A31137">
      <w:r w:rsidRPr="00A31137">
        <w:t>1995, U.S. Term Limits, Inc. v. Thornton, No. 93-1456</w:t>
      </w:r>
    </w:p>
    <w:p w:rsidR="00A31137" w:rsidRPr="00A31137" w:rsidRDefault="00A31137" w:rsidP="00A31137">
      <w:r w:rsidRPr="00A31137">
        <w:t>At least on their face, then, the Qualifications Clauses do nothing to prohibit the people of a State from establishing additional eligibility requirements for their own representatives.</w:t>
      </w:r>
    </w:p>
    <w:p w:rsidR="00A31137" w:rsidRPr="00A31137" w:rsidRDefault="00A31137" w:rsidP="00A31137">
      <w:r w:rsidRPr="00A31137">
        <w:t>1995, U.S. Term Limits, Inc. v. Thornton, No. 93-1456</w:t>
      </w:r>
    </w:p>
    <w:p w:rsidR="00A31137" w:rsidRPr="00A31137" w:rsidRDefault="00A31137" w:rsidP="00A31137">
      <w:r w:rsidRPr="00A31137">
        <w:t>Joseph Story thought that such a prohibition was nonetheless implicit in the constitutional list of qualifications, because "[f]rom the very nature of such a provision, the affirmation of these qualifications would seem to imply a negative of all others." 2 Commentaries on the Constitution of the United States § 624 (1833); see also ante at ___, n. 9. This argument rests on the maxim expressio unius est exclusio alterius. When the Framers decided which qualifications to include in the Constitution, they also decided not to include any other qualifications in the Constitution. In Story's view, it would conflict with this latter decision for the people of the individual States to decide, as a matter of state law, that they would like their own representatives in Congress to meet additional eligibility requirements.</w:t>
      </w:r>
    </w:p>
    <w:p w:rsidR="00A31137" w:rsidRPr="00A31137" w:rsidRDefault="00A31137" w:rsidP="00A31137">
      <w:r w:rsidRPr="00A31137">
        <w:t>1995, U.S. Term Limits, Inc. v. Thornton, No. 93-1456</w:t>
      </w:r>
    </w:p>
    <w:p w:rsidR="00A31137" w:rsidRPr="00A31137" w:rsidRDefault="00A31137" w:rsidP="00A31137">
      <w:r w:rsidRPr="00A31137">
        <w:t>To spell out the logic underlying this argument is to expose its weakness. Even if one were willing to ignore the distinction between requirements enshrined in the Constitution and other requirements that the Framers were content to leave within the reach of ordinary law, Story's application of the expressio unius maxim takes no account of federalism. At most, the specification of certain nationwide disqualifications in the Constitution implies the negation of other nationwide disqualifications; it does not imply that individual States or their people are barred from adopting their own disqualifications on a state-by-state basis. Thus, the one delegate to the Philadelphia Convention who voiced anything approaching Story's argument said only that a recital of qualifications in the Constitution would imply that Congress lacked any qualification-setting power. See 2 Farrand 123 (remarks of John Dickinson); cf. ante at ___, n. 9, and ___, n. 27.</w:t>
      </w:r>
    </w:p>
    <w:p w:rsidR="00A31137" w:rsidRPr="00A31137" w:rsidRDefault="00A31137" w:rsidP="00A31137">
      <w:r w:rsidRPr="00A31137">
        <w:t>1995, U.S. Term Limits, Inc. v. Thornton, No. 93-1456</w:t>
      </w:r>
    </w:p>
    <w:p w:rsidR="00A31137" w:rsidRPr="00A31137" w:rsidRDefault="00A31137" w:rsidP="00A31137">
      <w:r w:rsidRPr="00A31137">
        <w:t>The Qualifications Clauses do prevent the individual States from abolishing all eligibility requirements for Congress. This restriction on state power reflects the fact that when the people of one State send immature, disloyal, or unknowledgeable representatives to Congress, they jeopardize not only their own interests but also the interests of the people of other States. Because Congress wields power over all the States, the people of each State need some guarantee that the legislators elected by the people of other States will meet minimum standards of competence. The Qualifications Clauses provide that guarantee: they list the requirements that the Framers considered essential to protect the competence of the National Legislature. 11</w:t>
      </w:r>
    </w:p>
    <w:p w:rsidR="00A31137" w:rsidRPr="00A31137" w:rsidRDefault="00A31137" w:rsidP="00A31137">
      <w:r w:rsidRPr="00A31137">
        <w:t>1995, U.S. Term Limits, Inc. v. Thornton, No. 93-1456</w:t>
      </w:r>
    </w:p>
    <w:p w:rsidR="00A31137" w:rsidRPr="00A31137" w:rsidRDefault="00A31137" w:rsidP="00A31137">
      <w:r w:rsidRPr="00A31137">
        <w:t>If the people of a State decide that they would like their representatives to possess additional qualifications, however, they have done nothing to frustrate the policy behind the Qualifications Clauses. Anyone who possesses all of the constitutional qualifications, plus some qualifications required by state law, still has all of the federal qualifications. Accordingly, the fact that the Constitution specifies certain qualifications that the Framers deemed necessary to protect the competence of the National Legislature does not imply that it strips the people of the individual States of the power to protect their own interests by adding other requirements for their own representatives.</w:t>
      </w:r>
    </w:p>
    <w:p w:rsidR="00A31137" w:rsidRPr="00A31137" w:rsidRDefault="00A31137" w:rsidP="00A31137">
      <w:r w:rsidRPr="00A31137">
        <w:t>1995, U.S. Term Limits, Inc. v. Thornton, No. 93-1456</w:t>
      </w:r>
    </w:p>
    <w:p w:rsidR="00A31137" w:rsidRPr="00A31137" w:rsidRDefault="00A31137" w:rsidP="00A31137">
      <w:r w:rsidRPr="00A31137">
        <w:t>The people of other States could legitimately complain if the people of Arkansas decide, in a particular election, to send a 6-year-old to Congress. But the Constitution gives the people of other States no basis to complain if the people of Arkansas elect a freshman representative in preference to a long-term incumbent. That being the case, it is hard to see why the rights of the people of other States have been violated when the people of Arkansas decide to enact a more general disqualification of long-term incumbents. Such a disqualification certainly is subject to scrutiny under other constitutional provisions, such as the First and Fourteenth Amendments. But as long as the candidate whom they send to Congress meets the constitutional age, citizenship, and inhabitancy requirements, the people of Arkansas have not violated the Qualifications Clauses.</w:t>
      </w:r>
    </w:p>
    <w:p w:rsidR="00A31137" w:rsidRPr="00A31137" w:rsidRDefault="00A31137" w:rsidP="00A31137">
      <w:r w:rsidRPr="00A31137">
        <w:t>1995, U.S. Term Limits, Inc. v. Thornton, No. 93-1456</w:t>
      </w:r>
    </w:p>
    <w:p w:rsidR="00A31137" w:rsidRPr="00A31137" w:rsidRDefault="00A31137" w:rsidP="00A31137">
      <w:r w:rsidRPr="00A31137">
        <w:t>This conclusion is buttressed by our reluctance to read constitutional provisions to preclude state power by negative implication. The very structure of the Constitution counsels such hesitation. After all, § 10 of Article I contains a brief list of express prohibitions on the States. Cf. Cipollone v. Liggett Group, Inc., 505 U.S. ___, ___ (1992) (STEVENS, J.) (applying the expressio unius maxim to conclude that Congress' inclusion of an express preemption clause in a federal statute implies that state laws beyond the reach of that clause are not preempted); Nevada v. Hall, 440 U.S. 410,  425 (1979) (STEVENS, J.) (suggesting that in light of the Tenth Amendment and the Constitution's express prohibitions on the States, "caution should be exercised before concluding that unstated limitations on state power were intended by the Framers"). Many of the prohibitions listed in § 10, moreover, might have been thought to be implicit in other constitutional provisions or in the very nature of our federal system. Compare, e.g., Art. II, § 2, cl. 2 ("[The President] shall have Power, by and with the Advice and Consent of the Senate, to make Treaties") and Art. I, § 8, cl. 5 ("The Congress shall have Power…[t]o coin Money") with Art. I, § 10, cl. 1 ("No State shall enter into any Treaty" and "No State shall…coin Money"); see also Art. VI, cl. 2 (explicitly declaring that state law cannot override the Constitution). The fact that the Framers nonetheless made these prohibitions express confirms that one should not lightly read provisions like the Qualifications Clauses as implicit deprivations of state power. See generally Barron ex rel. Tiernan v. Mayor of Baltimore, 7 Pet. 243,  249 (1833). 12</w:t>
      </w:r>
    </w:p>
    <w:p w:rsidR="00A31137" w:rsidRPr="00A31137" w:rsidRDefault="00A31137" w:rsidP="00A31137">
      <w:r w:rsidRPr="00A31137">
        <w:t>1995, U.S. Term Limits, Inc. v. Thornton, No. 93-1456</w:t>
      </w:r>
    </w:p>
    <w:p w:rsidR="00A31137" w:rsidRPr="00A31137" w:rsidRDefault="00A31137" w:rsidP="00A31137">
      <w:r w:rsidRPr="00A31137">
        <w:t>The majority responds that "a patchwork of state qualifications" would "undermin[e] the uniformity and the national character that the Framers envisioned and sought to ensure." Ante at ___. Yet the Framers thought it perfectly consistent with the "national character" of Congress for the Senators and Representatives from each State to be chosen by the legislature or the people of that State. The majority never explains why Congress' fundamental character permits this state-centered system, but nonetheless prohibits the people of the States and their state legislatures from setting any eligibility requirements for the candidates who seek to represent them.</w:t>
      </w:r>
    </w:p>
    <w:p w:rsidR="00A31137" w:rsidRPr="00A31137" w:rsidRDefault="00A31137" w:rsidP="00A31137">
      <w:r w:rsidRPr="00A31137">
        <w:t>1995, U.S. Term Limits, Inc. v. Thornton, No. 93-1456</w:t>
      </w:r>
    </w:p>
    <w:p w:rsidR="00A31137" w:rsidRPr="00A31137" w:rsidRDefault="00A31137" w:rsidP="00A31137">
      <w:r w:rsidRPr="00A31137">
        <w:t>As for the majority's related assertion that the Framers intended qualification requirements to be uniform, this is a conclusion, not an argument. Indeed, it is a conclusion that the Qualifications Clauses themselves contradict. At the time of the framing, and for some years thereafter, the Clauses' citizenship requirements incorporated laws that varied from State to State. Thus, the Qualifications Clauses themselves made it possible that a person would be qualified to represent State A in Congress even though a similarly situated person would not be qualified to represent State B.</w:t>
      </w:r>
    </w:p>
    <w:p w:rsidR="00A31137" w:rsidRPr="00A31137" w:rsidRDefault="00A31137" w:rsidP="00A31137">
      <w:r w:rsidRPr="00A31137">
        <w:t>1995, U.S. Term Limits, Inc. v. Thornton, No. 93-1456</w:t>
      </w:r>
    </w:p>
    <w:p w:rsidR="00A31137" w:rsidRPr="00A31137" w:rsidRDefault="00A31137" w:rsidP="00A31137">
      <w:r w:rsidRPr="00A31137">
        <w:t>To understand this point requires some background. Before the Constitution was adopted, citizenship was controlled entirely by state law, and the different States established different criteria. See J. Kettner, Development of American Citizenship, 1608-1870, pp. 213-218 (1978). Even after the Constitution gave Congress the power to "establish an uniform Rule of Naturalization…throughout the United States," Art. I, § 8, cl. 4, Congress was under no obligation to do so, and the Framers surely expected state law to continue in full force unless and until Congress acted. Cf. Sturges v. Crowninshield, 4 Wheat. 122, 196 (1819) (so interpreting the other part of § 8, cl. 4, which empowers Congress to establish "uniform Laws on the subject of Bankruptcies"). 13 Accordingly, the constitutional requirement that Members of Congress be United States citizens meant different things in different States. The very first contested election case in the House of Representatives, which involved the citizenship of a would-be Congressman from South Carolina, illustrates this principle. As Representative James Madison told his colleagues,</w:t>
      </w:r>
    </w:p>
    <w:p w:rsidR="00A31137" w:rsidRPr="00A31137" w:rsidRDefault="00A31137" w:rsidP="00A31137">
      <w:r w:rsidRPr="00A31137">
        <w:t>1995, U.S. Term Limits, Inc. v. Thornton, No. 93-1456</w:t>
      </w:r>
    </w:p>
    <w:p w:rsidR="00A31137" w:rsidRPr="00A31137" w:rsidRDefault="00A31137" w:rsidP="00A31137">
      <w:r w:rsidRPr="00A31137">
        <w:t>I take it to be a clear point, that we are to be guided, in our decision, by the laws and constitution of South Carolina, so far as they can guide us; and where the laws do not expressly guide us, we must be guided by principles of a general nature….</w:t>
      </w:r>
    </w:p>
    <w:p w:rsidR="00A31137" w:rsidRPr="00A31137" w:rsidRDefault="00A31137" w:rsidP="00A31137">
      <w:r w:rsidRPr="00A31137">
        <w:t>1995, U.S. Term Limits, Inc. v. Thornton, No. 93-1456</w:t>
      </w:r>
    </w:p>
    <w:p w:rsidR="00A31137" w:rsidRPr="00A31137" w:rsidRDefault="00A31137" w:rsidP="00A31137">
      <w:r w:rsidRPr="00A31137">
        <w:t>Cases of Contested Elections in Congress 32 (M. Clarke &amp; D. Hall eds. 1834) (reporting proceedings from May 22, 1789).</w:t>
      </w:r>
    </w:p>
    <w:p w:rsidR="00A31137" w:rsidRPr="00A31137" w:rsidRDefault="00A31137" w:rsidP="00A31137">
      <w:r w:rsidRPr="00A31137">
        <w:t>1995, U.S. Term Limits, Inc. v. Thornton, No. 93-1456</w:t>
      </w:r>
    </w:p>
    <w:p w:rsidR="00A31137" w:rsidRPr="00A31137" w:rsidRDefault="00A31137" w:rsidP="00A31137">
      <w:r w:rsidRPr="00A31137">
        <w:t>Even after Congress chose to exercise its power to prescribe a uniform route to naturalization, the durational element of the citizenship requirement in the Qualifications Clauses ensured that variances in state law would continue to matter. Thus, in 1794, the Senate refused to seat Albert Gallatin because, owing to the individual peculiarities of the laws of the two relevant States, he had not been a citizen for the required nine years. Id. at 859-862, 867 (reporting proceedings from February 20 and 28, 1794).</w:t>
      </w:r>
    </w:p>
    <w:p w:rsidR="00A31137" w:rsidRPr="00A31137" w:rsidRDefault="00A31137" w:rsidP="00A31137">
      <w:r w:rsidRPr="00A31137">
        <w:t>1995, U.S. Term Limits, Inc. v. Thornton, No. 93-1456</w:t>
      </w:r>
    </w:p>
    <w:p w:rsidR="00A31137" w:rsidRPr="00A31137" w:rsidRDefault="00A31137" w:rsidP="00A31137">
      <w:r w:rsidRPr="00A31137">
        <w:t>Even if the Qualifications Clauses had not themselves incorporated nonuniform requirements, of course, there would still be no basis for the assertion of the plurality below that they mandate "uniformity in qualifications." See 316 Ark. 251, 265, 872 S.W.2d 349, 356 (1994). The Clauses wholly omit the exclusivity provision that, according to both the plurality below and today's majority, was their central focus. In fact, neither the text nor the apparent purpose of the Qualifications Clauses does anything to refute Thomas Jefferson's elegant legal analysis:</w:t>
      </w:r>
    </w:p>
    <w:p w:rsidR="00A31137" w:rsidRPr="00A31137" w:rsidRDefault="00A31137" w:rsidP="00A31137">
      <w:r w:rsidRPr="00A31137">
        <w:t>1995, U.S. Term Limits, Inc. v. Thornton, No. 93-1456</w:t>
      </w:r>
    </w:p>
    <w:p w:rsidR="00A31137" w:rsidRPr="00A31137" w:rsidRDefault="00A31137" w:rsidP="00A31137">
      <w:r w:rsidRPr="00A31137">
        <w:t>Had the Constitution been silent, nobody can doubt but that the right to prescribe all the qualifications and disqualifications of those they would send to represent them would have belonged to the State. So also the Constitution might have prescribed the whole, and excluded all others. It seems to have preferred the middle way. It has exercised the power in part, by declaring some disqualifications….   But it does not declare, itself, that the member shall not be a lunatic, a pauper, a convict of treason, of murder, of felony, or other infamous crime, or a nonresident of his district; nor does it prohibit to the State the power of declaring these, or any other disqualifications which its particular circumstances may call for; and these may be different in different States. Of course, then, by the tenth amendment, the power is reserved to the State.</w:t>
      </w:r>
    </w:p>
    <w:p w:rsidR="00A31137" w:rsidRPr="00A31137" w:rsidRDefault="00A31137" w:rsidP="00A31137">
      <w:r w:rsidRPr="00A31137">
        <w:t>1995, U.S. Term Limits, Inc. v. Thornton, No. 93-1456</w:t>
      </w:r>
    </w:p>
    <w:p w:rsidR="00A31137" w:rsidRPr="00A31137" w:rsidRDefault="00A31137" w:rsidP="00A31137">
      <w:r w:rsidRPr="00A31137">
        <w:t>Letter to Joseph C. Cabell (Jan. 31, 1814), in 14 Writings of Thomas Jefferson 82-83 (A. Lipscomb ed. 1904). 14</w:t>
      </w:r>
    </w:p>
    <w:p w:rsidR="00A31137" w:rsidRPr="00A31137" w:rsidRDefault="00A31137" w:rsidP="00A31137">
      <w:r w:rsidRPr="00A31137">
        <w:t>B</w:t>
      </w:r>
    </w:p>
    <w:p w:rsidR="00A31137" w:rsidRPr="00A31137" w:rsidRDefault="00A31137" w:rsidP="00A31137">
      <w:r w:rsidRPr="00A31137">
        <w:t>1995, U.S. Term Limits, Inc. v. Thornton, No. 93-1456</w:t>
      </w:r>
    </w:p>
    <w:p w:rsidR="00A31137" w:rsidRPr="00A31137" w:rsidRDefault="00A31137" w:rsidP="00A31137">
      <w:r w:rsidRPr="00A31137">
        <w:t>Although the Qualifications Clauses neither state nor imply the prohibition that it finds in them, the majority infers from the Framers' "democratic principles" that the Clauses must have been generally understood to preclude the people of the States and their state legislatures from prescribing any additional qualifications for their representatives in Congress. But the majority's evidence on this point establishes only two more modest propositions: (1) the Framers did not want the Federal Constitution itself to impose a broad set of disqualifications for congressional office, and (2) the Framers did not want the Federal Congress to be able to supplement the few disqualifications that the Constitution does set forth. The logical conclusion is simply that the Framers did not want the people of the States and their state legislatures to be constrained by too many qualifications imposed at the national level. The evidence does not support the majority's more sweeping conclusion that the Framers intended to bar the people of the States and their state legislatures from adopting additional eligibility requirements to help narrow their own choices.</w:t>
      </w:r>
    </w:p>
    <w:p w:rsidR="00A31137" w:rsidRPr="00A31137" w:rsidRDefault="00A31137" w:rsidP="00A31137">
      <w:r w:rsidRPr="00A31137">
        <w:t>1995, U.S. Term Limits, Inc. v. Thornton, No. 93-1456</w:t>
      </w:r>
    </w:p>
    <w:p w:rsidR="00A31137" w:rsidRPr="00A31137" w:rsidRDefault="00A31137" w:rsidP="00A31137">
      <w:r w:rsidRPr="00A31137">
        <w:t>I agree with the majority that Congress has no power to prescribe qualifications for its own Members. This fact, however, does not show that the Qualifications Clauses contain a hidden exclusivity provision. The reason for Congress' incapacity is not that the Qualifications Clauses deprive Congress of the authority to set qualifications, but rather that nothing in the Constitution grants Congress this power. In the absence of such a grant, Congress may not act. But deciding whether the Constitution denies the qualification-setting power to the States and the people of the States requires a fundamentally different legal analysis.</w:t>
      </w:r>
    </w:p>
    <w:p w:rsidR="00A31137" w:rsidRPr="00A31137" w:rsidRDefault="00A31137" w:rsidP="00A31137">
      <w:r w:rsidRPr="00A31137">
        <w:t>1995, U.S. Term Limits, Inc. v. Thornton, No. 93-1456</w:t>
      </w:r>
    </w:p>
    <w:p w:rsidR="00A31137" w:rsidRPr="00A31137" w:rsidRDefault="00A31137" w:rsidP="00A31137">
      <w:r w:rsidRPr="00A31137">
        <w:t>Despite the majority's claims to the contrary, see ante at ___, n. 12, this explanation for Congress' incapacity to supplement the Qualifications Clauses is perfectly consistent with the reasoning of Powell v. McCormack, 395 U.S. 486 (1969). Powell concerned the scope of Article I, § 5, which provides that "[e]ach House [of Congress] shall be the Judge of the Elections, Returns and Qualifications of its own Members." As the majority itself recognizes,</w:t>
      </w:r>
    </w:p>
    <w:p w:rsidR="00A31137" w:rsidRPr="00A31137" w:rsidRDefault="00A31137" w:rsidP="00A31137">
      <w:r w:rsidRPr="00A31137">
        <w:t>1995, U.S. Term Limits, Inc. v. Thornton, No. 93-1456</w:t>
      </w:r>
    </w:p>
    <w:p w:rsidR="00A31137" w:rsidRPr="00A31137" w:rsidRDefault="00A31137" w:rsidP="00A31137">
      <w:r w:rsidRPr="00A31137">
        <w:t>[t]he principal issue [in Powell] was whether the power granted to each House in Art. I, § 5…includes the power to impose qualifications other than those set forth in the text of the Constitution.</w:t>
      </w:r>
    </w:p>
    <w:p w:rsidR="00A31137" w:rsidRPr="00A31137" w:rsidRDefault="00A31137" w:rsidP="00A31137">
      <w:r w:rsidRPr="00A31137">
        <w:t>1995, U.S. Term Limits, Inc. v. Thornton, No. 93-1456</w:t>
      </w:r>
    </w:p>
    <w:p w:rsidR="00A31137" w:rsidRPr="00A31137" w:rsidRDefault="00A31137" w:rsidP="00A31137">
      <w:r w:rsidRPr="00A31137">
        <w:t>Ante at ___. Contrary to the majority's suggestion, then, the critical question in Powell was whether § 5 conferred a qualification-setting power—not whether the Qualifications Clauses took it away. Compare Powell, supra, at  519 (describing the question before the Court as "what power the Constitution confers upon the House through Art. I, § 5") and  536 (describing the Court's task as "determining the meaning of Art. I, § 5") with ante at 8 and 11-12, n. 8 (suggesting that Powell held that the Qualifications Clauses "limit the power of the House to impose additional qualifications"). See also Buckley v. Valeo, 424 U.S. 1,  133 (1976) (taking my view of Powell).</w:t>
      </w:r>
    </w:p>
    <w:p w:rsidR="00A31137" w:rsidRPr="00A31137" w:rsidRDefault="00A31137" w:rsidP="00A31137">
      <w:r w:rsidRPr="00A31137">
        <w:t>1995, U.S. Term Limits, Inc. v. Thornton, No. 93-1456</w:t>
      </w:r>
    </w:p>
    <w:p w:rsidR="00A31137" w:rsidRPr="00A31137" w:rsidRDefault="00A31137" w:rsidP="00A31137">
      <w:r w:rsidRPr="00A31137">
        <w:t>Powell's analysis confirms this point. After summarizing a large quantity of historical material bearing on the original understanding of what it meant for a legislature to act as "the Judge" of the qualifications of its members, see 395 U.S. at 521-531, Powell went on to stress that the Philadelphia Convention specifically rejected proposals to grant Congress the power to pass laws prescribing additional qualifications for its members, and that the Convention rejected these proposals on the very same day that it approved the precursor of § 5. See id. at 533-536. Given this historical evidence, the Powell Court refused to read § 5 as empowering the House to prescribe such additional qualifications in its capacity as "Judge." And if nothing in the Constitution gave the House this power, it inevitably followed that the House could not exercise it. Despite the majority's claims, then, Powell itself rested on the proposition that the institutions of the Federal Government enjoy only the powers that are granted to them. See also ante at ___, n. 9 (describing the Qualifications Clauses merely as an independent basis for the result reached in Powell). 15</w:t>
      </w:r>
    </w:p>
    <w:p w:rsidR="00A31137" w:rsidRPr="00A31137" w:rsidRDefault="00A31137" w:rsidP="00A31137">
      <w:r w:rsidRPr="00A31137">
        <w:t>1995, U.S. Term Limits, Inc. v. Thornton, No. 93-1456</w:t>
      </w:r>
    </w:p>
    <w:p w:rsidR="00A31137" w:rsidRPr="00A31137" w:rsidRDefault="00A31137" w:rsidP="00A31137">
      <w:r w:rsidRPr="00A31137">
        <w:t>The fact that the Framers did not grant a qualification-setting power to Congress does not imply that they wanted to bar its exercise at the state level. One reason why the Framers decided not to let Congress prescribe the qualifications of its own members was that incumbents could have used this power to perpetuate themselves or their ilk in office. As Madison pointed out at the Philadelphia Convention, Members of Congress would have an obvious conflict of interest if they could determine who may run against them. 2 Farrand 250; see also ante at ___, n. 10. But neither the people of the States nor the state legislatures would labor under the same conflict of interest when prescribing qualifications for Members of Congress, and so the Framers would have had to use a different calculus in determining whether to deprive them of this power.</w:t>
      </w:r>
    </w:p>
    <w:p w:rsidR="00A31137" w:rsidRPr="00A31137" w:rsidRDefault="00A31137" w:rsidP="00A31137">
      <w:r w:rsidRPr="00A31137">
        <w:t>1995, U.S. Term Limits, Inc. v. Thornton, No. 93-1456</w:t>
      </w:r>
    </w:p>
    <w:p w:rsidR="00A31137" w:rsidRPr="00A31137" w:rsidRDefault="00A31137" w:rsidP="00A31137">
      <w:r w:rsidRPr="00A31137">
        <w:t>As the majority argues, democratic principles also contributed to the Framers' decision to withhold the qualification-setting power from Congress. But the majority is wrong to suggest that the same principles must also have led the Framers to deny this power to the people of the States and the state legislatures. In particular, it simply is not true that "the source of the qualification is of little moment in assessing the qualification's restrictive impact." Ante at ___. There is a world of difference between a self-imposed constraint and a constraint imposed from above.</w:t>
      </w:r>
    </w:p>
    <w:p w:rsidR="00A31137" w:rsidRPr="00A31137" w:rsidRDefault="00A31137" w:rsidP="00A31137">
      <w:r w:rsidRPr="00A31137">
        <w:t>1995, U.S. Term Limits, Inc. v. Thornton, No. 93-1456</w:t>
      </w:r>
    </w:p>
    <w:p w:rsidR="00A31137" w:rsidRPr="00A31137" w:rsidRDefault="00A31137" w:rsidP="00A31137">
      <w:r w:rsidRPr="00A31137">
        <w:t>Congressional power over qualifications would have enabled the representatives from some States, acting collectively in the National Legislature, to prevent the people of another State from electing their preferred candidates. The John Wilkes episode in 18th-century England illustrates the problems that might result. As the majority mentions, Wilkes's district repeatedly elected him to the House of Commons, only to have a majority of the representatives of other districts frustrate their will by voting to exclude him. See ante at ___. Americans who remembered these events might well have wanted to prevent the National Legislature from fettering the choices of the people of any individual State (for the House of Representatives) or their state legislators (for the Senate).</w:t>
      </w:r>
    </w:p>
    <w:p w:rsidR="00A31137" w:rsidRPr="00A31137" w:rsidRDefault="00A31137" w:rsidP="00A31137">
      <w:r w:rsidRPr="00A31137">
        <w:t>1995, U.S. Term Limits, Inc. v. Thornton, No. 93-1456</w:t>
      </w:r>
    </w:p>
    <w:p w:rsidR="00A31137" w:rsidRPr="00A31137" w:rsidRDefault="00A31137" w:rsidP="00A31137">
      <w:r w:rsidRPr="00A31137">
        <w:t>Yet this is simply to say that qualifications should not be set at the national level for offices whose occupants are selected at the state level. The majority never identifies the democratic principles that would have been violated if a state legislature, in the days before the Constitution was amended to provide for the direct election of Senators, had imposed some limits of its own on the field of candidates that it would consider for appointment. 16 Likewise, the majority does not explain why democratic principles forbid the people of a State from adopting additional eligibility requirements to help narrow their choices among candidates seeking to represent them in the House of Representatives. Indeed, the invocation of democratic principles to invalidate Amendment 73 seems particularly difficult in the present case, because Amendment 73 remains fully within the control of the people of Arkansas. If they wanted to repeal it (despite the 20-point margin by which they enacted it less than three years ago), they could do so by a simple majority vote. See Ark.Const., Amdt. 7.</w:t>
      </w:r>
    </w:p>
    <w:p w:rsidR="00A31137" w:rsidRPr="00A31137" w:rsidRDefault="00A31137" w:rsidP="00A31137">
      <w:r w:rsidRPr="00A31137">
        <w:t>1995, U.S. Term Limits, Inc. v. Thornton, No. 93-1456</w:t>
      </w:r>
    </w:p>
    <w:p w:rsidR="00A31137" w:rsidRPr="00A31137" w:rsidRDefault="00A31137" w:rsidP="00A31137">
      <w:r w:rsidRPr="00A31137">
        <w:t>The majority appears to believe that restrictions on eligibility for office are inherently undemocratic. But the Qualifications Clauses themselves prove that the Framers did not share this view; eligibility requirements to which the people of the States consent are perfectly consistent with the Framers' scheme. In fact, we have described "the authority of the people of the States to determine the qualifications of their most important government officials" as "an authority that lies at the heart of representative government." Gregory v. Ashcroft, 501 U.S. 452, 463 (1991) (internal quotation marks omitted) (refusing to read federal law to preclude States from imposing a mandatory retirement age on state judges who are subject to periodic retention elections). When the people of a State themselves decide to restrict the field of candidates whom they are willing to send to Washington as their representatives, they simply have not violated the principle that "the people should choose whom they please to govern them." See 2 Elliot 257 (remarks of Alexander Hamilton at the New York convention).</w:t>
      </w:r>
    </w:p>
    <w:p w:rsidR="00A31137" w:rsidRPr="00A31137" w:rsidRDefault="00A31137" w:rsidP="00A31137">
      <w:r w:rsidRPr="00A31137">
        <w:t>1995, U.S. Term Limits, Inc. v. Thornton, No. 93-1456</w:t>
      </w:r>
    </w:p>
    <w:p w:rsidR="00A31137" w:rsidRPr="00A31137" w:rsidRDefault="00A31137" w:rsidP="00A31137">
      <w:r w:rsidRPr="00A31137">
        <w:t>At one point, the majority suggests that the principle identified by Hamilton encompasses not only the electorate's right to choose, but also "the egalitarian concept that the opportunity to be elected [is] open to all." See ante at ___; see also ante at ___. To the extent that the second idea has any content independent of the first, the majority apparently would read the Qualifications Clauses to create a personal right to be a candidate for Congress, and then to set that right above the authority of the people of the States to prescribe eligibility requirements for public office. But we have never suggested that "the opportunity to be elected" is open even to those whom the voters have decided not to elect. On that rationale, a candidate might have a right to appear on the ballot in the general election even though he lost in the primary. But see Storer v. Brown, 415 U.S. 724, 726, n. 16 (1974); see also Bullock v. Carter, 405 U.S. 134, 142-143 (1972) (rejecting the proposition that there is any fundamental right to be a candidate, separate and apart from the electorate's right to vote). Thus, the majority ultimately concedes that its "egalitarian concept" derives entirely from the electorate's right to choose. See ante at ___, n. 11; see also ante at ___ (deriving the "egalitarian ideal" from the proposition that the Qualifications Clauses do not unduly "'fetter the judgment…of the people'" (quoting The Federalist No. 57 at 351)). If the latter is not violated, then neither is the former.</w:t>
      </w:r>
    </w:p>
    <w:p w:rsidR="00A31137" w:rsidRPr="00A31137" w:rsidRDefault="00A31137" w:rsidP="00A31137">
      <w:r w:rsidRPr="00A31137">
        <w:t>1995, U.S. Term Limits, Inc. v. Thornton, No. 93-1456</w:t>
      </w:r>
    </w:p>
    <w:p w:rsidR="00A31137" w:rsidRPr="00A31137" w:rsidRDefault="00A31137" w:rsidP="00A31137">
      <w:r w:rsidRPr="00A31137">
        <w:t>In seeking ratification of the Constitution, James Madison did assert that,</w:t>
      </w:r>
    </w:p>
    <w:p w:rsidR="00A31137" w:rsidRPr="00A31137" w:rsidRDefault="00A31137" w:rsidP="00A31137">
      <w:r w:rsidRPr="00A31137">
        <w:t>1995, U.S. Term Limits, Inc. v. Thornton, No. 93-1456</w:t>
      </w:r>
    </w:p>
    <w:p w:rsidR="00A31137" w:rsidRPr="00A31137" w:rsidRDefault="00A31137" w:rsidP="00A31137">
      <w:r w:rsidRPr="00A31137">
        <w:t>[u]nder these reasonable limitations [set out in the House Qualifications Clause], the door of this part of the federal government is open to merit of every description….</w:t>
      </w:r>
    </w:p>
    <w:p w:rsidR="00A31137" w:rsidRPr="00A31137" w:rsidRDefault="00A31137" w:rsidP="00A31137">
      <w:r w:rsidRPr="00A31137">
        <w:t>1995, U.S. Term Limits, Inc. v. Thornton, No. 93-1456</w:t>
      </w:r>
    </w:p>
    <w:p w:rsidR="00A31137" w:rsidRPr="00A31137" w:rsidRDefault="00A31137" w:rsidP="00A31137">
      <w:r w:rsidRPr="00A31137">
        <w:t>The Federalist No. 52 at 326. The majority stresses this assertion, and others to the same effect, in support of its "egalitarian concept." See ante at ___, and n. 30. But there is no reason to interpret these statements as anything more than claims that the Constitution itself imposes relatively few disqualifications for congressional office. 17 One should not lightly assume that Madison and his colleagues, who were attempting to win support at the state level for the new Constitution, were proclaiming the inability of the people of the States or their state legislatures to prescribe any eligibility requirements for their own Representatives or Senators. Instead, they were merely responding to the charge that the Constitution was undemocratic and would lead to aristocracies in office. Cf. ante at ___ (referring to "the anti-federalist charge that the new Constitution favored the wealthy and well-born"). The statement that the qualifications imposed in the Constitution are not unduly restrictive hardly implies that the Constitution withdrew the power of the people of each State to prescribe additional eligibility requirements for their own Representatives if they so desired.</w:t>
      </w:r>
    </w:p>
    <w:p w:rsidR="00A31137" w:rsidRPr="00A31137" w:rsidRDefault="00A31137" w:rsidP="00A31137">
      <w:r w:rsidRPr="00A31137">
        <w:t>1995, U.S. Term Limits, Inc. v. Thornton, No. 93-1456</w:t>
      </w:r>
    </w:p>
    <w:p w:rsidR="00A31137" w:rsidRPr="00A31137" w:rsidRDefault="00A31137" w:rsidP="00A31137">
      <w:r w:rsidRPr="00A31137">
        <w:t>In fact, the authority to narrow the field of candidates in this way may be part and parcel of the right to elect Members of Congress. That is, the right to choose may include the right to winnow. See Hills, A Defense of State Constitutional Limits on Federal Congressional Terms, 53 U.Pitt.L.Rev. 97, 107-109 (1991).</w:t>
      </w:r>
    </w:p>
    <w:p w:rsidR="00A31137" w:rsidRPr="00A31137" w:rsidRDefault="00A31137" w:rsidP="00A31137">
      <w:r w:rsidRPr="00A31137">
        <w:t>1995, U.S. Term Limits, Inc. v. Thornton, No. 93-1456</w:t>
      </w:r>
    </w:p>
    <w:p w:rsidR="00A31137" w:rsidRPr="00A31137" w:rsidRDefault="00A31137" w:rsidP="00A31137">
      <w:r w:rsidRPr="00A31137">
        <w:t>To appreciate this point, it is useful to consider the Constitution as it existed before the Seventeenth Amendment was adopted in 1913. The Framers' scheme called for the legislature of each State to choose the Senators from that State. Art. I, § 3, cl. 1. The majority offers no reason to believe that state legislatures could not adopt prospective rules to guide themselves in carrying out this responsibility; not only is there no express language in the Constitution barring legislatures from passing laws to narrow their choices, but there also is absolutely no basis for inferring such a prohibition. Imagine the worst-case scenario: a state legislature, wishing to punish one of the Senators from its State for his vote on some bill, enacts a qualifications law that the Senator does not satisfy. The Senator would still be able to serve out his term; the Constitution provides for senators to be chosen for 6-year terms, Art. I, § 3, cl. 1, and a person who has been seated in Congress can be removed only if two-thirds of the Members of his House vote to expel him, § 5, cl. 2. While the Senator would be disqualified from seeking reappointment, under the Framers' Constitution, the state legislature already enjoyed unfettered discretion to deny him reappointment anyway. Instead of passing a qualifications law, the legislature could simply have passed a resolution declaring its intention to appoint someone else the next time around. Thus, the legislature's power to adopt laws to narrow its own choices added nothing to its general appointment power.</w:t>
      </w:r>
    </w:p>
    <w:p w:rsidR="00A31137" w:rsidRPr="00A31137" w:rsidRDefault="00A31137" w:rsidP="00A31137">
      <w:r w:rsidRPr="00A31137">
        <w:t>1995, U.S. Term Limits, Inc. v. Thornton, No. 93-1456</w:t>
      </w:r>
    </w:p>
    <w:p w:rsidR="00A31137" w:rsidRPr="00A31137" w:rsidRDefault="00A31137" w:rsidP="00A31137">
      <w:r w:rsidRPr="00A31137">
        <w:t>While it is easier to coordinate a majority of state legislators than to coordinate a majority of qualified voters, the basic principle should be the same in both contexts. Just as the state legislature enjoyed virtually unfettered discretion over whom to appoint to the Senate under Art. I, § 3, so the qualified voters of the State enjoyed virtually unfettered discretion over whom to elect to the House of Representatives under Art. I, § 2. If there is no reason to believe that the Framers' Constitution barred state legislatures from adopting prospective rules to narrow their choices for Senator, then there is also no reason to believe that it barred the people of the States from adopting prospective rules to narrow their choices for Representative. In addition, there surely is no reason to believe that the Senate Qualifications Clause suddenly acquired an exclusivity provision in 1913, when the Seventeenth Amendment was adopted. Now that the people of the States are charged with choosing both Senators and Representatives, it follows that they may adopt eligibility requirements for Senators as well as for Representatives.</w:t>
      </w:r>
    </w:p>
    <w:p w:rsidR="00A31137" w:rsidRPr="00A31137" w:rsidRDefault="00A31137" w:rsidP="00A31137">
      <w:r w:rsidRPr="00A31137">
        <w:t>1995, U.S. Term Limits, Inc. v. Thornton, No. 93-1456</w:t>
      </w:r>
    </w:p>
    <w:p w:rsidR="00A31137" w:rsidRPr="00A31137" w:rsidRDefault="00A31137" w:rsidP="00A31137">
      <w:r w:rsidRPr="00A31137">
        <w:t>I would go further, for I see nothing in the Constitution that precludes the people of each State (if they so desire) from authorizing their elected state legislators to prescribe qualifications on their behalf. If the people of a State decide that they do not trust their state legislature with this power, they are free to amend their state constitution to withdraw it. This arrangement seems perfectly consistent with the Framers' scheme. From the time of the Framing until after the Civil War, for example, the Federal Constitution did not bar state governments from abridging the freedom of speech or the freedom of the press, even when those freedoms were being exercised in connection with congressional elections. It was the state constitutions that determined whether state governments could silence the supporters of disfavored congressional candidates, just as it was the state constitutions that determined whether the States could persecute people who held disfavored religious beliefs or could expropriate property without providing just compensation. It would not be at all odd if the state constitutions also determined whether the state legislature could pass qualifications statutes.</w:t>
      </w:r>
    </w:p>
    <w:p w:rsidR="00A31137" w:rsidRPr="00A31137" w:rsidRDefault="00A31137" w:rsidP="00A31137">
      <w:r w:rsidRPr="00A31137">
        <w:t>1995, U.S. Term Limits, Inc. v. Thornton, No. 93-1456</w:t>
      </w:r>
    </w:p>
    <w:p w:rsidR="00A31137" w:rsidRPr="00A31137" w:rsidRDefault="00A31137" w:rsidP="00A31137">
      <w:r w:rsidRPr="00A31137">
        <w:t>But one need not agree with me that the people of each State may delegate their qualification-setting power in order to uphold Arkansas' Amendment 73. Amendment 73 is not the act of a state legislature; it is the act of the people of Arkansas, adopted at a direct election and inserted into the state constitution. The majority never explains why giving effect to the people's decision would violate the "democratic principles" that undergird the Constitution. Instead, the majority's discussion of democratic principles is directed entirely to attacking eligibility requirements imposed on the people of a State by an entity other than themselves.</w:t>
      </w:r>
    </w:p>
    <w:p w:rsidR="00A31137" w:rsidRPr="00A31137" w:rsidRDefault="00A31137" w:rsidP="00A31137">
      <w:r w:rsidRPr="00A31137">
        <w:t>1995, U.S. Term Limits, Inc. v. Thornton, No. 93-1456</w:t>
      </w:r>
    </w:p>
    <w:p w:rsidR="00A31137" w:rsidRPr="00A31137" w:rsidRDefault="00A31137" w:rsidP="00A31137">
      <w:r w:rsidRPr="00A31137">
        <w:t>The majority protests that any distinction between the people of the States and the state legislatures is "untenable," and "astonishing." See ante at ___, n. 19. In the limited area of congressional elections, however, the Framers themselves drew this distinction: they specifically provided for Senators to be chosen by the state legislatures and for Representatives to be chosen by the people. In the context of congressional elections, the Framers obviously saw a meaningful difference between direct action by the people of each State and action by their state legislatures.</w:t>
      </w:r>
    </w:p>
    <w:p w:rsidR="00A31137" w:rsidRPr="00A31137" w:rsidRDefault="00A31137" w:rsidP="00A31137">
      <w:r w:rsidRPr="00A31137">
        <w:t>1995, U.S. Term Limits, Inc. v. Thornton, No. 93-1456</w:t>
      </w:r>
    </w:p>
    <w:p w:rsidR="00A31137" w:rsidRPr="00A31137" w:rsidRDefault="00A31137" w:rsidP="00A31137">
      <w:r w:rsidRPr="00A31137">
        <w:t>Thus, even if one believed that the Framers intended to bar state legislatures from adopting qualifications laws that restrict the people's choices, it would not follow that the people themselves are precluded from agreeing upon eligibility requirements to help narrow their own choices. To be sure, if the Qualifications Clauses were exclusive, they would bar all additional qualifications, whether adopted by popular initiative or by statute. But the majority simply assumes that if state legislatures are barred from prescribing qualifications, it must be because the Qualifications Clauses are exclusive. It would strain the text of the Constitution far less to locate the bar in Article I, § 2 and the Seventeenth Amendment instead: one could plausibly maintain that qualification requirements imposed by state legislatures violate the constitutional provisions entrusting the selection of Members of Congress to the people of the States, even while one acknowledges that qualification requirements imposed by the people themselves are perfectly constitutional. The majority never justifies its conclusion that "democratic principles" require it to reject even this intermediate position.</w:t>
      </w:r>
    </w:p>
    <w:p w:rsidR="00A31137" w:rsidRPr="00A31137" w:rsidRDefault="00A31137" w:rsidP="00A31137">
      <w:r w:rsidRPr="00A31137">
        <w:t>C</w:t>
      </w:r>
    </w:p>
    <w:p w:rsidR="00A31137" w:rsidRPr="00A31137" w:rsidRDefault="00A31137" w:rsidP="00A31137">
      <w:r w:rsidRPr="00A31137">
        <w:t>1995, U.S. Term Limits, Inc. v. Thornton, No. 93-1456</w:t>
      </w:r>
    </w:p>
    <w:p w:rsidR="00A31137" w:rsidRPr="00A31137" w:rsidRDefault="00A31137" w:rsidP="00A31137">
      <w:r w:rsidRPr="00A31137">
        <w:t>In addition to its arguments about democratic principles, the majority asserts that more specific historical evidence supports its view that the Framers did not intend to permit supplementation of the Qualifications Clauses. But when one focuses on the distinction between congressional power to add qualifications for congressional office and the power of the people or their state legislatures to add such qualifications, one realizes that this assertion has little basis.</w:t>
      </w:r>
    </w:p>
    <w:p w:rsidR="00A31137" w:rsidRPr="00A31137" w:rsidRDefault="00A31137" w:rsidP="00A31137">
      <w:r w:rsidRPr="00A31137">
        <w:t>1995, U.S. Term Limits, Inc. v. Thornton, No. 93-1456</w:t>
      </w:r>
    </w:p>
    <w:p w:rsidR="00A31137" w:rsidRPr="00A31137" w:rsidRDefault="00A31137" w:rsidP="00A31137">
      <w:r w:rsidRPr="00A31137">
        <w:t>In particular, the detail with which the majority recites the historical evidence set forth in Powell v. McCormack, 395 U.S. 486 (1969), should not obscure the fact that this evidence has no bearing on the question now before the Court. As the majority ultimately concedes, see ante at ___, it does not establish "the Framers' intent that the qualifications in the Constitution be fixed and exclusive," ante at ___; it shows only that the Framers did not intend Congress to be able to enact qualifications laws. 18 If anything, the solidity of the evidence supporting Powell's view that Congress lacks the power to supplement the constitutional disqualifications merely highlights the weakness of the majority's evidence that the States and the people of the States also lack this power.</w:t>
      </w:r>
    </w:p>
    <w:p w:rsidR="00A31137" w:rsidRPr="00A31137" w:rsidRDefault="00A31137" w:rsidP="00A31137">
      <w:r w:rsidRPr="00A31137">
        <w:t>1</w:t>
      </w:r>
    </w:p>
    <w:p w:rsidR="00A31137" w:rsidRPr="00A31137" w:rsidRDefault="00A31137" w:rsidP="00A31137">
      <w:r w:rsidRPr="00A31137">
        <w:t>1995, U.S. Term Limits, Inc. v. Thornton, No. 93-1456</w:t>
      </w:r>
    </w:p>
    <w:p w:rsidR="00A31137" w:rsidRPr="00A31137" w:rsidRDefault="00A31137" w:rsidP="00A31137">
      <w:r w:rsidRPr="00A31137">
        <w:t>To the extent that the records from the Philadelphia Convention itself shed light on this case, they tend to hurt the majority's case. The only evidence that directly bears on the question now before the Court comes from the Committee of Detail, a five-member body that the Convention charged with the crucial task of drafting a Constitution to reflect the decisions that the Convention had reached during its first two months of work. A document that Max Farrand described as "[a]n early, perhaps the first, draft of the committee's work" survived among the papers of George Mason. 1 Farrand xxiii, n. 36. The draft is in the handwriting of Edmund Randolph, the chairman of the Committee, with emendations in the hand of John Rutledge, another member of the Committee. As Professor Farrand noted, "[e]ach item in this document…is either checked off or crossed out, showing that it was used in the preparation of subsequent drafts." 2 id. at 137, n. 6; see also W. Meigs, The Growth of the Constitution in the Federal Convention of 1787, pp. I-IX (1900) (providing a facsimile of the document).</w:t>
      </w:r>
    </w:p>
    <w:p w:rsidR="00A31137" w:rsidRPr="00A31137" w:rsidRDefault="00A31137" w:rsidP="00A31137">
      <w:r w:rsidRPr="00A31137">
        <w:t>1995, U.S. Term Limits, Inc. v. Thornton, No. 93-1456</w:t>
      </w:r>
    </w:p>
    <w:p w:rsidR="00A31137" w:rsidRPr="00A31137" w:rsidRDefault="00A31137" w:rsidP="00A31137">
      <w:r w:rsidRPr="00A31137">
        <w:t>The document is an extensive outline of the Constitution. Its treatment of the National Legislature is divided into two parts, one for the "House of Delegates" and one for the Senate. The Qualifications Clause for the House of Delegates originally read as follows:</w:t>
      </w:r>
    </w:p>
    <w:p w:rsidR="00A31137" w:rsidRPr="00A31137" w:rsidRDefault="00A31137" w:rsidP="00A31137">
      <w:r w:rsidRPr="00A31137">
        <w:t>1995, U.S. Term Limits, Inc. v. Thornton, No. 93-1456</w:t>
      </w:r>
    </w:p>
    <w:p w:rsidR="00A31137" w:rsidRPr="00A31137" w:rsidRDefault="00A31137" w:rsidP="00A31137">
      <w:r w:rsidRPr="00A31137">
        <w:t>The qualifications of a delegate shall be the age of twenty five years at least. and citizenship: and any person possessing these qualifications may be elected except [blank space].</w:t>
      </w:r>
    </w:p>
    <w:p w:rsidR="00A31137" w:rsidRPr="00A31137" w:rsidRDefault="00A31137" w:rsidP="00A31137">
      <w:r w:rsidRPr="00A31137">
        <w:t>1995, U.S. Term Limits, Inc. v. Thornton, No. 93-1456</w:t>
      </w:r>
    </w:p>
    <w:p w:rsidR="00A31137" w:rsidRPr="00A31137" w:rsidRDefault="00A31137" w:rsidP="00A31137">
      <w:r w:rsidRPr="00A31137">
        <w:t>Id. at II (emphasis added). The drafter(s) of this language apparently contemplated that the Committee might want to insert some exceptions to the exclusivity provision. But rather than simply deleting the word "except"—as it might have done if it had decided to have no exceptions at all to the exclusivity provision—the Committee deleted the exclusivity provision itself. In the document that has come down to us, all the words after the colon are crossed out. Ibid.</w:t>
      </w:r>
    </w:p>
    <w:p w:rsidR="00A31137" w:rsidRPr="00A31137" w:rsidRDefault="00A31137" w:rsidP="00A31137">
      <w:r w:rsidRPr="00A31137">
        <w:t>1995, U.S. Term Limits, Inc. v. Thornton, No. 93-1456</w:t>
      </w:r>
    </w:p>
    <w:p w:rsidR="00A31137" w:rsidRPr="00A31137" w:rsidRDefault="00A31137" w:rsidP="00A31137">
      <w:r w:rsidRPr="00A31137">
        <w:t>The majority speculates that the exclusivity provision may have been deleted as superfluous. See ante at ___, n. 27. 19 But the same draft that contained the exclusivity language in the House Qualifications Clause contained no such language in the Senate Qualifications Clause. See 2 Farrand 141. Thus, the draft appears to reflect a deliberate judgment to distinguish between the House qualifications and the Senate qualifications, and to make only the former exclusive. If so, then the deletion of the exclusivity provision indicates that the Committee expected neither list of qualifications to be exclusive.</w:t>
      </w:r>
    </w:p>
    <w:p w:rsidR="00A31137" w:rsidRPr="00A31137" w:rsidRDefault="00A31137" w:rsidP="00A31137">
      <w:r w:rsidRPr="00A31137">
        <w:t>1995, U.S. Term Limits, Inc. v. Thornton, No. 93-1456</w:t>
      </w:r>
    </w:p>
    <w:p w:rsidR="00A31137" w:rsidRPr="00A31137" w:rsidRDefault="00A31137" w:rsidP="00A31137">
      <w:r w:rsidRPr="00A31137">
        <w:t>The majority responds that the absence of any exclusivity provision in the Committee's draft of the Senate Qualifications Clause merely reflected the fact that "senators, unlike Representatives, would not be chosen by popular election." Ante at ___, n. 27. I am perfectly prepared to accept this explanation: the drafter(s) may well have thought that state legislatures should be prohibited from constricting the people's choices for the House of Representatives, but that no exclusivity provision was necessary on the Senate side because state legislatures would already have unfettered control over the appointment of Senators. To accept this explanation, however, is to acknowledge that the exclusivity provision in the Committee's draft of the House Qualifications Clause was not thought to be mere surplusage. It is also to acknowledge that the Senate Qualifications Clause in the Committee's draft—"the qualification of a senator shall be the age of 25 years at least: citizenship in the united states: and property to the amount of [blank space]," 2 Farrand 141—did not carry any implicit connotation of exclusivity. In short, the majority's own explanation for the difference between the two Qualifications Clauses in the Committee's draft is fundamentally at odds with the expressio unius argument on which the majority rests its holding.</w:t>
      </w:r>
    </w:p>
    <w:p w:rsidR="00A31137" w:rsidRPr="00A31137" w:rsidRDefault="00A31137" w:rsidP="00A31137">
      <w:r w:rsidRPr="00A31137">
        <w:t>2</w:t>
      </w:r>
    </w:p>
    <w:p w:rsidR="00A31137" w:rsidRPr="00A31137" w:rsidRDefault="00A31137" w:rsidP="00A31137">
      <w:r w:rsidRPr="00A31137">
        <w:t>1995, U.S. Term Limits, Inc. v. Thornton, No. 93-1456</w:t>
      </w:r>
    </w:p>
    <w:p w:rsidR="00A31137" w:rsidRPr="00A31137" w:rsidRDefault="00A31137" w:rsidP="00A31137">
      <w:r w:rsidRPr="00A31137">
        <w:t>Unable to glean from the Philadelphia Convention any direct evidence that helps its position, the majority seeks signs of the Framers' unstated intent in the Framers' comments about four other constitutional provisions. See ante at ___ (citing Art. I, § 2, cl. 1; § 4, cl. 1; § 5, cl. 1; and § 6, cl. 1). The majority infers from these provisions that the Framers wanted "to minimize the possibility of state interference with federal elections." Ante at ___. But even if the majority's reading of its evidence were correct, the most that one could infer is that the Framers did not want state legislatures to be able to prescribe qualifications that would narrow the people's choices. See supra at ___. However wary the Framers might have been of permitting state legislatures to exercise such power, there is absolutely no reason to believe that the Framers feared letting the people themselves exercise this power. Cf. The Federalist No. 52, p. 326 (Madison) ("it cannot be feared that the people of the States will alter this [electoral qualification] part of their constitutions in such a manner as to abridge the rights secured to them by the federal Constitution").</w:t>
      </w:r>
    </w:p>
    <w:p w:rsidR="00A31137" w:rsidRPr="00A31137" w:rsidRDefault="00A31137" w:rsidP="00A31137">
      <w:r w:rsidRPr="00A31137">
        <w:t>1995, U.S. Term Limits, Inc. v. Thornton, No. 93-1456</w:t>
      </w:r>
    </w:p>
    <w:p w:rsidR="00A31137" w:rsidRPr="00A31137" w:rsidRDefault="00A31137" w:rsidP="00A31137">
      <w:r w:rsidRPr="00A31137">
        <w:t>In any event, none of the provisions cited by the majority is inconsistent with state power to add qualifications for congressional office. First, the majority cites the constitutional requirement that congressional salaries be "ascertained by Law, and paid out of the Treasury of the United States." Art. I, § 6, cl. 1. Like the Qualifications Clauses themselves, however, the salary provision can be seen as simply another means of protecting the competence of the National Legislature. As reflected in the majority's own evidence, see ante at ___; see also 1 Farrand 373 (remarks of James Madison), one of the recurring themes of the debate over this provision was that if congressional compensation were left up to the States, parsimonious States might reduce salaries so low that only incapable people would be willing to serve in Congress.</w:t>
      </w:r>
    </w:p>
    <w:p w:rsidR="00A31137" w:rsidRPr="00A31137" w:rsidRDefault="00A31137" w:rsidP="00A31137">
      <w:r w:rsidRPr="00A31137">
        <w:t>1995, U.S. Term Limits, Inc. v. Thornton, No. 93-1456</w:t>
      </w:r>
    </w:p>
    <w:p w:rsidR="00A31137" w:rsidRPr="00A31137" w:rsidRDefault="00A31137" w:rsidP="00A31137">
      <w:r w:rsidRPr="00A31137">
        <w:t>As the majority stresses, some delegates to the Philadelphia Convention did argue that leaving congressional compensation up to the various States would give Members of Congress "an improper dependence" upon the States. Id. at 216 (remarks of James Madison); ante at ___. These delegates presumably did not want state legislatures to be able to tell the members of Congress from their State, "Vote against Bill A or we will slash your salary"; such a power would approximate a power of recall, which the Framers denied to the States when they specified the terms of Members of Congress. The Framers may well have thought that state power over salary, like state power to recall, would be inconsistent with the notion that Congress was a national legislature once it assembled. But state power over initial eligibility requirements does not raise the same concerns: it was perfectly coherent for the Framers to leave selection matters to the state level while providing for Members of Congress to draw a federal salary once they took office. Thus, the Compensation Clause seems wholly irrelevant; contrary to the majority's suggestion, see ante at ___, n. 21, it does not address elections at all.</w:t>
      </w:r>
    </w:p>
    <w:p w:rsidR="00A31137" w:rsidRPr="00A31137" w:rsidRDefault="00A31137" w:rsidP="00A31137">
      <w:r w:rsidRPr="00A31137">
        <w:t>1995, U.S. Term Limits, Inc. v. Thornton, No. 93-1456</w:t>
      </w:r>
    </w:p>
    <w:p w:rsidR="00A31137" w:rsidRPr="00A31137" w:rsidRDefault="00A31137" w:rsidP="00A31137">
      <w:r w:rsidRPr="00A31137">
        <w:t>Second, the majority gives passing mention to the Elector-Qualifications Clause of Article I, § 2, which specifies that in each State, the voters in House elections "shall have the qualifications requisite for Electors of the most numerous Branch of the State Legislature." But the records of the Philadelphia Convention provide no evidence for the majority's assertion that the purpose of this clause was "to prevent discrimination against federal electors." See ante at ___. 20 In fact, the Clause may simply have been a natural concomitant of one of the Framers' most famous decisions. At the Convention, there was considerable debate about whether Members of the House of Representatives should be selected by the state legislatures or directly by the voters of each State. Taken as a whole, the first Clause of Article I, § 2—including the elector-qualifications provision-implements the Framers' decision. It specifies that the Representatives from each State are to be chosen by the State's voters (that is, the people eligible to participate in elections for the most numerous branch of the state legislature).</w:t>
      </w:r>
    </w:p>
    <w:p w:rsidR="00A31137" w:rsidRPr="00A31137" w:rsidRDefault="00A31137" w:rsidP="00A31137">
      <w:r w:rsidRPr="00A31137">
        <w:t>1995, U.S. Term Limits, Inc. v. Thornton, No. 93-1456</w:t>
      </w:r>
    </w:p>
    <w:p w:rsidR="00A31137" w:rsidRPr="00A31137" w:rsidRDefault="00A31137" w:rsidP="00A31137">
      <w:r w:rsidRPr="00A31137">
        <w:t>Third, the majority emphasizes that under Article I, § 5, "[e]ach House [of Congress] shall be the Judge of the Elections, Returns and Qualifications of its own Members." See ante at ___. There was no recorded discussion of this provision in the Philadelphia Convention, and it appears simply to adopt the practice of England's Parliament. See n. 18, supra. According to the majority, however, § 5 implies that the Framers could not have intended state law ever to "provide the standard for judging a Member's eligibility." Ante at ___.</w:t>
      </w:r>
    </w:p>
    <w:p w:rsidR="00A31137" w:rsidRPr="00A31137" w:rsidRDefault="00A31137" w:rsidP="00A31137">
      <w:r w:rsidRPr="00A31137">
        <w:t>1995, U.S. Term Limits, Inc. v. Thornton, No. 93-1456</w:t>
      </w:r>
    </w:p>
    <w:p w:rsidR="00A31137" w:rsidRPr="00A31137" w:rsidRDefault="00A31137" w:rsidP="00A31137">
      <w:r w:rsidRPr="00A31137">
        <w:t>My conclusion that States may prescribe eligibility requirements for their Members of Congress does not necessarily mean that the term "Qualifications," as used in Article I, § 5, includes such state-imposed requirements. One surely could read the term simply to refer back to the requirements that the Framers had just listed in the Qualifications Clauses, and not to encompass whatever requirements States might add on their own. See United States v. Nixon, 506 U.S. ___, ___ (1993) (dictum) (asserting that the context of § 5 demonstrates that "the word '[q]ualifications'…was of a precise, limited nature" and referred only to the qualifications previously "set forth in Art. I, § 2"). The Framers had deemed the constitutional qualifications essential to protect the competence of Congress, and hence the national interest. It is quite plausible that the Framers would have wanted each House to make sure that its Members possessed these qualifications, but would have left it to the States to enforce whatever qualifications were imposed at the state level to protect state interests.</w:t>
      </w:r>
    </w:p>
    <w:p w:rsidR="00A31137" w:rsidRPr="00A31137" w:rsidRDefault="00A31137" w:rsidP="00A31137">
      <w:r w:rsidRPr="00A31137">
        <w:t>1995, U.S. Term Limits, Inc. v. Thornton, No. 93-1456</w:t>
      </w:r>
    </w:p>
    <w:p w:rsidR="00A31137" w:rsidRPr="00A31137" w:rsidRDefault="00A31137" w:rsidP="00A31137">
      <w:r w:rsidRPr="00A31137">
        <w:t>But even if this understanding of § 5 is incorrect, I see nothing odd in the notion that a House of Congress might have to consider state law in judging the "Qualifications" of its Members. In fact, § 5 itself refutes the majority's argument. Because it generally is state law that determines what is necessary to win an election and whether any particular ballot is valid, each House of Congress clearly must look to state law in judging the "Elections" and "Returns" of its Members. It would hardly be strange if each House had to do precisely the same thing in judging "Qualifications." Indeed, even on the majority's understanding of the Constitution at the time of the Framing all "Qualifications" questions that turned on issues of citizenship would have been governed by state law. See supra at ___.</w:t>
      </w:r>
    </w:p>
    <w:p w:rsidR="00A31137" w:rsidRPr="00A31137" w:rsidRDefault="00A31137" w:rsidP="00A31137">
      <w:r w:rsidRPr="00A31137">
        <w:t>1995, U.S. Term Limits, Inc. v. Thornton, No. 93-1456</w:t>
      </w:r>
    </w:p>
    <w:p w:rsidR="00A31137" w:rsidRPr="00A31137" w:rsidRDefault="00A31137" w:rsidP="00A31137">
      <w:r w:rsidRPr="00A31137">
        <w:t>More generally, there is no basis for the majority's assertion that the Framers would not have charged "federal tribunals" with the task of "judging…questions concerning rights which depend on state law." See ante at ___. Cases involving questions of federal law hardly exhaust the categories of cases that the Framers authorized the federal courts to decide. See Art. III, § 2, cl. 1. The Founding generation, moreover, seemed to assign relatively little importance to the constitutional grant of jurisdiction over "all Cases…arising under this Constitution, the Laws of the United States, and Treaties made…under their Authority." Ibid. The First Congress never even implemented this jurisdictional grant at the trial level; it was not until 1875 that Congress "revolutionized the concept of the federal judiciary" by giving federal courts broad jurisdiction over suits arising under federal law. See P. Bator, D. Meltzer, P. Mishkin, &amp; D. Shapiro, Hart and Wechsler's The Federal Courts and the Federal System 962 (3d ed. 1988). By contrast, the founding generation thought it important to implement immediately the constitutional grant of diversity jurisdiction, in which the rules of decision generally come entirely from state law. See Judiciary Act of 1789, 1 Stat. 73, 78, 92; Erie R. Co. v. Tompkins, 304 U.S. 64, 77-80 (1938).</w:t>
      </w:r>
    </w:p>
    <w:p w:rsidR="00A31137" w:rsidRPr="00A31137" w:rsidRDefault="00A31137" w:rsidP="00A31137">
      <w:r w:rsidRPr="00A31137">
        <w:t>1995, U.S. Term Limits, Inc. v. Thornton, No. 93-1456</w:t>
      </w:r>
    </w:p>
    <w:p w:rsidR="00A31137" w:rsidRPr="00A31137" w:rsidRDefault="00A31137" w:rsidP="00A31137">
      <w:r w:rsidRPr="00A31137">
        <w:t>The fourth and final provision relied upon by the majority is the Clause giving Congress the power to override state regulations of "[t]he Times, Places and Manner of holding [congressional] Elections." Art. I, § 4, cl. 1. From the fact that the Framers gave Congress the power to "make or alter" these state rules of election procedure, the majority infers that the Framers would also have wanted Congress to enjoy override authority with respect to any matters of substance that were left to the States. See ante at ___. As Congress enjoys no "make or alter" powers in this area, the majority concludes that the Framers must not have thought that state legislatures would be able to enact qualifications laws.</w:t>
      </w:r>
    </w:p>
    <w:p w:rsidR="00A31137" w:rsidRPr="00A31137" w:rsidRDefault="00A31137" w:rsidP="00A31137">
      <w:r w:rsidRPr="00A31137">
        <w:t>1995, U.S. Term Limits, Inc. v. Thornton, No. 93-1456</w:t>
      </w:r>
    </w:p>
    <w:p w:rsidR="00A31137" w:rsidRPr="00A31137" w:rsidRDefault="00A31137" w:rsidP="00A31137">
      <w:r w:rsidRPr="00A31137">
        <w:t>But the Framers provided for congressional override only where they trusted Congress more than the States. Even respondents acknowledge that "the primary reason" for the "make or alter" power was to enable Congress to ensure that States held elections in the first place. See Tr. of Oral Arg. 51; see also supra at ___, and n. 10. The Framers did trust Congress more than the States when it came to preserving the Federal Government's own existence; to advance this interest, they had to give Congress the capacity to prescribe both the date and the mechanics of congressional elections. As discussed above, however, the Framers trusted the States more than Congress when it came to setting qualifications for Members of Congress. See supra at ___. Indeed, the majority itself accepts this proposition. See ante at ___ (acknowledging that the Framers were "particularly concerned" about congressional power to set qualifications).</w:t>
      </w:r>
    </w:p>
    <w:p w:rsidR="00A31137" w:rsidRPr="00A31137" w:rsidRDefault="00A31137" w:rsidP="00A31137">
      <w:r w:rsidRPr="00A31137">
        <w:t>1995, U.S. Term Limits, Inc. v. Thornton, No. 93-1456</w:t>
      </w:r>
    </w:p>
    <w:p w:rsidR="00A31137" w:rsidRPr="00A31137" w:rsidRDefault="00A31137" w:rsidP="00A31137">
      <w:r w:rsidRPr="00A31137">
        <w:t>To judge from comments made at the state ratifying conventions, Congress' "make or alter" power was designed to serve a coordination function in addition to ensuring that the States had at least rudimentary election laws. For instance, George Nicholas argued at the Virginia convention that if regulation of the time of congressional elections had been left exclusively to the States, "there might have been as many times of choosing as there are States," and "such intervals might elapse between the first and last election, as to prevent there being a sufficient number to form a House." 9 Documentary History of the Ratification of the Constitution 920 (J. Kaminski and G. Saladino eds. 1990). For this reason too, if the National Legislature lacked the "make or alter" power,</w:t>
      </w:r>
    </w:p>
    <w:p w:rsidR="00A31137" w:rsidRPr="00A31137" w:rsidRDefault="00A31137" w:rsidP="00A31137">
      <w:r w:rsidRPr="00A31137">
        <w:t>1995, U.S. Term Limits, Inc. v. Thornton, No. 93-1456</w:t>
      </w:r>
    </w:p>
    <w:p w:rsidR="00A31137" w:rsidRPr="00A31137" w:rsidRDefault="00A31137" w:rsidP="00A31137">
      <w:r w:rsidRPr="00A31137">
        <w:t>it might happen that there should be no Congress[,]…and this might happen at a time when the most urgent business rendered their session necessary.</w:t>
      </w:r>
    </w:p>
    <w:p w:rsidR="00A31137" w:rsidRPr="00A31137" w:rsidRDefault="00A31137" w:rsidP="00A31137">
      <w:r w:rsidRPr="00A31137">
        <w:t>1995, U.S. Term Limits, Inc. v. Thornton, No. 93-1456</w:t>
      </w:r>
    </w:p>
    <w:p w:rsidR="00A31137" w:rsidRPr="00A31137" w:rsidRDefault="00A31137" w:rsidP="00A31137">
      <w:r w:rsidRPr="00A31137">
        <w:t>Ibid.; cf. 2 Elliot 535 (remarks of Thomas McKean at the Pennsylvania ratifying convention) (defending § 4 on the ground that congressional elections should be "held on the same day throughout the United States, to prevent corruption or undue influence"). Again, however, the desire to coordinate state election procedures did not require giving Congress power over qualifications laws.</w:t>
      </w:r>
    </w:p>
    <w:p w:rsidR="00A31137" w:rsidRPr="00A31137" w:rsidRDefault="00A31137" w:rsidP="00A31137">
      <w:r w:rsidRPr="00A31137">
        <w:t>1995, U.S. Term Limits, Inc. v. Thornton, No. 93-1456</w:t>
      </w:r>
    </w:p>
    <w:p w:rsidR="00A31137" w:rsidRPr="00A31137" w:rsidRDefault="00A31137" w:rsidP="00A31137">
      <w:r w:rsidRPr="00A31137">
        <w:t>The structure of the Constitution also undermines the majority's suggestion that it would have been bizarre for the Framers to give Congress supervisory authority over state time, place, and manner regulations, but not over state qualifications laws. Although the Constitution does set forth a few nationwide disqualifications for the office of Presidential elector, see Art. II, § 1, cl. 2 ("no Senator or Representative, or Person holding an Office of Trust or Profit under the United States, shall be appointed an Elector"), no one contends that these disqualifications implicitly prohibit the States from adding any other eligibility requirements; instead, Article II leaves the States free to establish qualifications for their delegates to the electoral college. See supra, at ___. Nothing in the Constitution, moreover, gives Congress any say over the additional eligibility requirements that the people of the States or their state legislatures may choose to set. Yet, under Article II, "[t]he Congress may determine the Time of chusing the Electors…. " Art. II, § 1, cl. 4.</w:t>
      </w:r>
    </w:p>
    <w:p w:rsidR="00A31137" w:rsidRPr="00A31137" w:rsidRDefault="00A31137" w:rsidP="00A31137">
      <w:r w:rsidRPr="00A31137">
        <w:t>1995, U.S. Term Limits, Inc. v. Thornton, No. 93-1456</w:t>
      </w:r>
    </w:p>
    <w:p w:rsidR="00A31137" w:rsidRPr="00A31137" w:rsidRDefault="00A31137" w:rsidP="00A31137">
      <w:r w:rsidRPr="00A31137">
        <w:t>The majority thus creates an unwarranted divergence between Article I's provisions for the selection of Members of Congress and Article II's provisions for the selection of members of the electoral college. Properly understood, the treatment of congressional elections in Article I parallels the treatment of Presidential elections in Article II. Under Article I as under Article II, the States and the people of the States do enjoy the reserved power to establish substantive eligibility requirements for candidates, and Congress has no power to override these requirements. But just as Article II authorizes Congress to prescribe when the States must select their Presidential electors, so Article I gives Congress the ultimate authority over the times, places, and manner of holding congressional elections.</w:t>
      </w:r>
    </w:p>
    <w:p w:rsidR="00A31137" w:rsidRPr="00A31137" w:rsidRDefault="00A31137" w:rsidP="00A31137">
      <w:r w:rsidRPr="00A31137">
        <w:t>1995, U.S. Term Limits, Inc. v. Thornton, No. 93-1456</w:t>
      </w:r>
    </w:p>
    <w:p w:rsidR="00A31137" w:rsidRPr="00A31137" w:rsidRDefault="00A31137" w:rsidP="00A31137">
      <w:r w:rsidRPr="00A31137">
        <w:t>The majority's only response is that my reading of the Constitution would permit States to use their qualification-setting power to achieve the very result that Congress' "make or alter" power was designed to avoid. According to the majority, States could set qualifications so high that no candidate could meet them, and Congress would be powerless to do anything about it. Ante at ___.</w:t>
      </w:r>
    </w:p>
    <w:p w:rsidR="00A31137" w:rsidRPr="00A31137" w:rsidRDefault="00A31137" w:rsidP="00A31137">
      <w:r w:rsidRPr="00A31137">
        <w:t>1995, U.S. Term Limits, Inc. v. Thornton, No. 93-1456</w:t>
      </w:r>
    </w:p>
    <w:p w:rsidR="00A31137" w:rsidRPr="00A31137" w:rsidRDefault="00A31137" w:rsidP="00A31137">
      <w:r w:rsidRPr="00A31137">
        <w:t>Even if the majority were correct that Congress could not nullify impossible qualifications, however, the Constitution itself proscribes such state laws. The majority surely would concede that, under the Framers' Constitution, each state legislature had an affirmative duty to appoint two people to the Senate. See Art. I, § 3, cl. 1 ("The Senate of the United States shall be composed of two Senators from each State, chosen by the Legislature thereof…" (emphasis added)); cf. Art. I, § 3, cl. 2 ("if Vacancies happen by Resignation, or otherwise, during the Recess of the Legislature of any State, the Executive thereof may make temporary Appointments until the next Meeting of the Legislature, which shall then fill such Vacancies"). In exactly the same way that § 3 requires the States to send people to the Senate, § 2 also requires the States to send people to the House. See Art. I, § 2, cl. 1 ("The House of Representatives shall be composed of Members chosen every second Year by the People of the several States…"); cf. Art. I, § 2, cl. 4 ("When vacancies happen in the Representation from any State, the Executive Authority thereof shall issue Writs of Election to fill such Vacancies").</w:t>
      </w:r>
    </w:p>
    <w:p w:rsidR="00A31137" w:rsidRPr="00A31137" w:rsidRDefault="00A31137" w:rsidP="00A31137">
      <w:r w:rsidRPr="00A31137">
        <w:t>1995, U.S. Term Limits, Inc. v. Thornton, No. 93-1456</w:t>
      </w:r>
    </w:p>
    <w:p w:rsidR="00A31137" w:rsidRPr="00A31137" w:rsidRDefault="00A31137" w:rsidP="00A31137">
      <w:r w:rsidRPr="00A31137">
        <w:t>The majority apparently is concerned that (on its reading of the "make or alter" power) Congress would not be able to enforce the constitutional proscription on impossible qualifications; enforcement would instead be relegated to the courts, the Executive Branch, or the political process. But this concern is equally applicable whether one adopts my view of the Qualifications Clauses or the majority's view. Both the majority and I agree that it is unconstitutional for States to establish impossible qualifications for congressional office. Both the majority and I also agree that it is theoretically conceivable that a State might defy this proscription by erecting an impossible qualification. Whether Congress may use its "make or alter" power to override such laws turns entirely on how one reads the "make or alter" power; it has nothing to do with whether one believes that the Qualifications Clauses are exclusive.</w:t>
      </w:r>
    </w:p>
    <w:p w:rsidR="00A31137" w:rsidRPr="00A31137" w:rsidRDefault="00A31137" w:rsidP="00A31137">
      <w:r w:rsidRPr="00A31137">
        <w:t>1995, U.S. Term Limits, Inc. v. Thornton, No. 93-1456</w:t>
      </w:r>
    </w:p>
    <w:p w:rsidR="00A31137" w:rsidRPr="00A31137" w:rsidRDefault="00A31137" w:rsidP="00A31137">
      <w:r w:rsidRPr="00A31137">
        <w:t>It would not necessarily be unusual if the Framers had decided against using Congress' "make or alter" power to guard against state laws that disqualify everyone from service in the House. After all, although this power extended to the times and manner of selecting Senators as well as Representatives, it did not authorize Congress to pick the Senators from a State whose legislature defied its constitutional obligations and refused to appoint anyone. This does not mean that the States had no duty to appoint Senators, or that the States retained the power to destroy the Federal Government by the simple expedient of refusing to meet this duty. It merely means that the Framers did not place the remedy with Congress. 21</w:t>
      </w:r>
    </w:p>
    <w:p w:rsidR="00A31137" w:rsidRPr="00A31137" w:rsidRDefault="00A31137" w:rsidP="00A31137">
      <w:r w:rsidRPr="00A31137">
        <w:t>1995, U.S. Term Limits, Inc. v. Thornton, No. 93-1456</w:t>
      </w:r>
    </w:p>
    <w:p w:rsidR="00A31137" w:rsidRPr="00A31137" w:rsidRDefault="00A31137" w:rsidP="00A31137">
      <w:r w:rsidRPr="00A31137">
        <w:t>But the flaws in the majority's argument go deeper. Contrary to the majority's basic premise, Congress can nullify state laws that establish impossible qualifications. If a State actually holds an election and only afterwards purports to disqualify the winner for failure to meet an impossible condition, Congress certainly would not be bound by the purported disqualification. It is up to each House of Congress to judge the "[q]ualifications" of its Members for itself. See Art. I, § 5, cl. 1. Even if this task includes the responsibility of judging qualifications imposed by state law, see supra at ___, Congress obviously would have not only the power but the duty to treat the unconstitutional state law as a nullity. Thus, Congress could provide the appropriate remedy for the State's defiance, simply by seating the winner of the election.</w:t>
      </w:r>
    </w:p>
    <w:p w:rsidR="00A31137" w:rsidRPr="00A31137" w:rsidRDefault="00A31137" w:rsidP="00A31137">
      <w:r w:rsidRPr="00A31137">
        <w:t>1995, U.S. Term Limits, Inc. v. Thornton, No. 93-1456</w:t>
      </w:r>
    </w:p>
    <w:p w:rsidR="00A31137" w:rsidRPr="00A31137" w:rsidRDefault="00A31137" w:rsidP="00A31137">
      <w:r w:rsidRPr="00A31137">
        <w:t>It follows that the situation feared by the majority would arise only if the State refused to hold an election in the first place, on the ground that no candidate could meet the impossible qualification. But Congress unquestionably has the power to override such a refusal. Under the plain terms of § 4, Congress can make a regulation providing for the State to hold a congressional election at a particular time and place, and in a particular manner. 22</w:t>
      </w:r>
    </w:p>
    <w:p w:rsidR="00A31137" w:rsidRPr="00A31137" w:rsidRDefault="00A31137" w:rsidP="00A31137">
      <w:r w:rsidRPr="00A31137">
        <w:t>3</w:t>
      </w:r>
    </w:p>
    <w:p w:rsidR="00A31137" w:rsidRPr="00A31137" w:rsidRDefault="00A31137" w:rsidP="00A31137">
      <w:r w:rsidRPr="00A31137">
        <w:t>1995, U.S. Term Limits, Inc. v. Thornton, No. 93-1456</w:t>
      </w:r>
    </w:p>
    <w:p w:rsidR="00A31137" w:rsidRPr="00A31137" w:rsidRDefault="00A31137" w:rsidP="00A31137">
      <w:r w:rsidRPr="00A31137">
        <w:t>In discussing the ratification period, the majority stresses two principal data. One of these pieces of evidence is no evidence at all—literally. The majority devotes considerable space to the fact that the recorded ratification debates do not contain any affirmative statement that the States can supplement the constitutional qualifications. See ante at ___. For the majority, this void is "compelling" evidence that "unquestionably reflects the Framers' common understanding that States lacked that power." Ante at ___. The majority reasons that delegates at several of the ratifying conventions attacked the Constitution for failing to require Members of Congress to rotate out of office. 23 If supporters of ratification had believed that the individual States could supplement the constitutional qualifications, the majority argues, they would have blunted these attacks by pointing out that rotation requirements could still be added State by State. See ante at ___.</w:t>
      </w:r>
    </w:p>
    <w:p w:rsidR="00A31137" w:rsidRPr="00A31137" w:rsidRDefault="00A31137" w:rsidP="00A31137">
      <w:r w:rsidRPr="00A31137">
        <w:t>1995, U.S. Term Limits, Inc. v. Thornton, No. 93-1456</w:t>
      </w:r>
    </w:p>
    <w:p w:rsidR="00A31137" w:rsidRPr="00A31137" w:rsidRDefault="00A31137" w:rsidP="00A31137">
      <w:r w:rsidRPr="00A31137">
        <w:t>But the majority's argument cuts both ways. The recorded ratification debates also contain no affirmative statement that the States cannot supplement the constitutional qualifications. While ratification was being debated, the existing rule in America was that the States could prescribe eligibility requirements for their delegates to Congress, see n. 3, supra, even though the Articles of Confederation gave Congress itself no power to impose such qualifications. If the Federal Constitution had been understood to deprive the States of this significant power, one might well have expected its opponents to seize on this point in arguing against ratification.</w:t>
      </w:r>
    </w:p>
    <w:p w:rsidR="00A31137" w:rsidRPr="00A31137" w:rsidRDefault="00A31137" w:rsidP="00A31137">
      <w:r w:rsidRPr="00A31137">
        <w:t>1995, U.S. Term Limits, Inc. v. Thornton, No. 93-1456</w:t>
      </w:r>
    </w:p>
    <w:p w:rsidR="00A31137" w:rsidRPr="00A31137" w:rsidRDefault="00A31137" w:rsidP="00A31137">
      <w:r w:rsidRPr="00A31137">
        <w:t>The fact is that arguments based on the absence of recorded debate at the ratification conventions are suspect, because the surviving records of those debates are fragmentary. We have no records at all of the debates in several of the conventions, 3 Documentary History of the Ratification of the Constitution 7 (M. Jensen ed. 1978), and only spotty records from most of the others, see ibid.; 1 id. at 34-35; 4 Elliot 342; Hutson, The Creation of the Constitution: The Integrity of the Documentary Record, 65 Texas L.Rev. 1, 21-23 (1986).</w:t>
      </w:r>
    </w:p>
    <w:p w:rsidR="00A31137" w:rsidRPr="00A31137" w:rsidRDefault="00A31137" w:rsidP="00A31137">
      <w:r w:rsidRPr="00A31137">
        <w:t>1995, U.S. Term Limits, Inc. v. Thornton, No. 93-1456</w:t>
      </w:r>
    </w:p>
    <w:p w:rsidR="00A31137" w:rsidRPr="00A31137" w:rsidRDefault="00A31137" w:rsidP="00A31137">
      <w:r w:rsidRPr="00A31137">
        <w:t>If one concedes that the absence of relevant records from the ratification debates is not strong evidence for either side, then the majority's only significant piece of evidence from the ratification period is Federalist No. 52. Contrary to the majority's assertion, however, this essay simply does not talk about "the lack of state control over the qualifications of the elected," whether "explicitly" or otherwise. See ante at ___.</w:t>
      </w:r>
    </w:p>
    <w:p w:rsidR="00A31137" w:rsidRPr="00A31137" w:rsidRDefault="00A31137" w:rsidP="00A31137">
      <w:r w:rsidRPr="00A31137">
        <w:t>1995, U.S. Term Limits, Inc. v. Thornton, No. 93-1456</w:t>
      </w:r>
    </w:p>
    <w:p w:rsidR="00A31137" w:rsidRPr="00A31137" w:rsidRDefault="00A31137" w:rsidP="00A31137">
      <w:r w:rsidRPr="00A31137">
        <w:t>It is true that Federalist No. 52 contrasts the Constitution's treatment of the qualifications of voters in elections for the House of Representatives with its treatment of the qualifications of the Representatives themselves. As Madison noted, the Framers did not specify any uniform qualifications for the franchise in the Constitution; instead, they simply incorporated each State's rules about eligibility to vote in elections for the most numerous branch of the state legislature. By contrast, Madison continued, the Framers chose to impose some particular qualifications that all members of the House had to satisfy. But while Madison did say that the qualifications of the elected were "more susceptible of uniformity" than the qualifications of electors, The Federalist No. 52 at 326, he did not say that the Constitution prescribes anything but uniform minimum qualifications for congressmen. That, after all, is more than it does for congressional electors.</w:t>
      </w:r>
    </w:p>
    <w:p w:rsidR="00A31137" w:rsidRPr="00A31137" w:rsidRDefault="00A31137" w:rsidP="00A31137">
      <w:r w:rsidRPr="00A31137">
        <w:t>1995, U.S. Term Limits, Inc. v. Thornton, No. 93-1456</w:t>
      </w:r>
    </w:p>
    <w:p w:rsidR="00A31137" w:rsidRPr="00A31137" w:rsidRDefault="00A31137" w:rsidP="00A31137">
      <w:r w:rsidRPr="00A31137">
        <w:t>Nor do I see any reason to infer from Federalist No. 52 that the Framers intended to deprive the States of the power to add to these minimum qualifications. Madison did note that the existing state constitutions defined the qualifications of "the elected"—a phrase that the essay used to refer to Members of Congress—"less carefully and properly" than they defined the qualifications of voters. But Madison could not possibly have been rebuking the States for setting unduly high qualifications for their representatives in Congress, because they actually had established only the sketchiest of qualifications. At the time that Madison wrote, the various state constitutions generally provided for the state legislature to appoint the State's delegates to the Federal Congress. 24 Four state constitutions had added a term-limits provision that tracked the one in the Articles of Confederation, 25 and some of the constitutions also specified that people who held certain salaried offices under the United States were ineligible to represent the State in Congress. 26 But only two state constitutions had prescribed any other qualifications for delegates to Congress. 27 In this context, when Madison wrote that the state constitutions defined the qualifications of Members of Congress "less carefully and properly" than they defined the qualifications of voters, he could only have meant that the existing state qualifications did not do enough to safeguard Congress' competence: the state constitutions had not adopted the age, citizenship, and inhabitancy requirements that the Framers considered essential. Madison's comments readily explain why the Framers did not merely incorporate the state qualifications for Congress. But they do not imply that the Framers intended to withdraw from the States the power to supplement the list of qualifications contained in the Federal Constitution. 28</w:t>
      </w:r>
    </w:p>
    <w:p w:rsidR="00A31137" w:rsidRPr="00A31137" w:rsidRDefault="00A31137" w:rsidP="00A31137">
      <w:r w:rsidRPr="00A31137">
        <w:t>1995, U.S. Term Limits, Inc. v. Thornton, No. 93-1456</w:t>
      </w:r>
    </w:p>
    <w:p w:rsidR="00A31137" w:rsidRPr="00A31137" w:rsidRDefault="00A31137" w:rsidP="00A31137">
      <w:r w:rsidRPr="00A31137">
        <w:t>Though Federalist No. 52 did not address this question, one might wonder why the Qualifications Clauses did not simply incorporate the existing qualifications for members of the state legislatures (as opposed to delegates to Congress). Again, however, the Framers' failure to do so cannot be taken as an implicit criticism of the States for setting unduly high entrance barriers. To the contrary, the age and citizenship qualifications set out in the federal Constitution are considerably higher than the corresponding qualifications contained in the state constitutions that were then in force. At the time, no state constitution required members of the lower house of the state legislature to be more than 21 years old, and only two required members of the upper house to be 30. See N.H.Const. of 1784, Pt. II, in 4 Thorpe 2460; S.C.Const. of 1778, Art. XII, in 6 Thorpe 3250. Many States, moreover, permitted naturalized aliens to take seats in the state legislature within one or two years of becoming citizens. See Kettner, Development of American Citizenship at 214-219.</w:t>
      </w:r>
    </w:p>
    <w:p w:rsidR="00A31137" w:rsidRPr="00A31137" w:rsidRDefault="00A31137" w:rsidP="00A31137">
      <w:r w:rsidRPr="00A31137">
        <w:t>1995, U.S. Term Limits, Inc. v. Thornton, No. 93-1456</w:t>
      </w:r>
    </w:p>
    <w:p w:rsidR="00A31137" w:rsidRPr="00A31137" w:rsidRDefault="00A31137" w:rsidP="00A31137">
      <w:r w:rsidRPr="00A31137">
        <w:t>The majority responds that at the time of the Framing, most States imposed property qualifications on members of the state legislature. See ante at ___, n. 18. But the fact that the Framers did not believe that a uniform minimum property requirement was necessary to protect the competence of Congress surely need not mean that the Framers intended to preclude States from setting their own property qualifications.</w:t>
      </w:r>
    </w:p>
    <w:p w:rsidR="00A31137" w:rsidRPr="00A31137" w:rsidRDefault="00A31137" w:rsidP="00A31137">
      <w:r w:rsidRPr="00A31137">
        <w:t>1995, U.S. Term Limits, Inc. v. Thornton, No. 93-1456</w:t>
      </w:r>
    </w:p>
    <w:p w:rsidR="00A31137" w:rsidRPr="00A31137" w:rsidRDefault="00A31137" w:rsidP="00A31137">
      <w:r w:rsidRPr="00A31137">
        <w:t>In fact, the constitutional text supports the contrary inference. As the majority observes, see ante at ___, n. 18, and ___, n. 35 at the time of the framing, some States also imposed religious qualifications on state legislators. The Framers evidently did not want States to impose such qualifications on federal legislators, for the Constitution specifically provides that "no religious Test shall ever be required as a Qualification to any Office or public Trust under the United States." Art. VI, cl. 3. Both the context 29 and the plain language of the Clause show that it bars the States as well as the Federal Government from imposing religious disqualifications on federal offices. But the only reason for extending the Clause to the States would be to protect Senators and Representatives from state-imposed religious qualifications; I know of no one else who holds a "public Trust under the United States" yet who might be subject to state disqualifications. If the expressio unius maxim cuts in any direction in this case, then, it undermines the majority's position: the Framers' prohibition on state-imposed religious disqualifications for Members of Congress suggests that other types of state-imposed disqualifications are permissible. See Rotunda, Rethinking Term Limits for Federal Legislators in Light of the Structure of the Constitution, 73 Ore.L.Rev. 561, 574 (1994).</w:t>
      </w:r>
    </w:p>
    <w:p w:rsidR="00A31137" w:rsidRPr="00A31137" w:rsidRDefault="00A31137" w:rsidP="00A31137">
      <w:r w:rsidRPr="00A31137">
        <w:t>4</w:t>
      </w:r>
    </w:p>
    <w:p w:rsidR="00A31137" w:rsidRPr="00A31137" w:rsidRDefault="00A31137" w:rsidP="00A31137">
      <w:r w:rsidRPr="00A31137">
        <w:t>1995, U.S. Term Limits, Inc. v. Thornton, No. 93-1456</w:t>
      </w:r>
    </w:p>
    <w:p w:rsidR="00A31137" w:rsidRPr="00A31137" w:rsidRDefault="00A31137" w:rsidP="00A31137">
      <w:r w:rsidRPr="00A31137">
        <w:t>More than a century ago, this Court was asked to invalidate a Michigan election law because it called for Presidential electors to be elected on a district-by-district basis, rather than being chosen by "the State" as a whole. See Art. II, § 1, cl. 2. Conceding that the Constitution might be ambiguous on this score, the Court asserted that</w:t>
      </w:r>
    </w:p>
    <w:p w:rsidR="00A31137" w:rsidRPr="00A31137" w:rsidRDefault="00A31137" w:rsidP="00A31137">
      <w:r w:rsidRPr="00A31137">
        <w:t>1995, U.S. Term Limits, Inc. v. Thornton, No. 93-1456</w:t>
      </w:r>
    </w:p>
    <w:p w:rsidR="00A31137" w:rsidRPr="00A31137" w:rsidRDefault="00A31137" w:rsidP="00A31137">
      <w:r w:rsidRPr="00A31137">
        <w:t>where there is ambiguity or doubt, or where two views may well be entertained, contemporaneous and subsequent practical construction[s] are entitled to the greatest weight.</w:t>
      </w:r>
    </w:p>
    <w:p w:rsidR="00A31137" w:rsidRPr="00A31137" w:rsidRDefault="00A31137" w:rsidP="00A31137">
      <w:r w:rsidRPr="00A31137">
        <w:t>1995, U.S. Term Limits, Inc. v. Thornton, No. 93-1456</w:t>
      </w:r>
    </w:p>
    <w:p w:rsidR="00A31137" w:rsidRPr="00A31137" w:rsidRDefault="00A31137" w:rsidP="00A31137">
      <w:r w:rsidRPr="00A31137">
        <w:t>McPherson v. Blacker, 146 U.S. at 27. The Court then described the district-based selection processes used in 2 of the 10 States that participated in the first presidential election in 1788, 3 of the 15 States that participated in 1792, and 5 of the 16 States that participated in 1796. Id. at 29-31. Though acknowledging that in subsequent years "most of the States adopted the general ticket system," id. at 32, the Court nonetheless found this history "decisive" proof of the constitutionality of the district method. Id. at 36. Thus, the Court resolved its doubts in favor of the state law, "the contemporaneous practical exposition of the Constitution being too strong and obstinate to be shaken…. " Id. at 27.</w:t>
      </w:r>
    </w:p>
    <w:p w:rsidR="00A31137" w:rsidRPr="00A31137" w:rsidRDefault="00A31137" w:rsidP="00A31137">
      <w:r w:rsidRPr="00A31137">
        <w:t>1995, U.S. Term Limits, Inc. v. Thornton, No. 93-1456</w:t>
      </w:r>
    </w:p>
    <w:p w:rsidR="00A31137" w:rsidRPr="00A31137" w:rsidRDefault="00A31137" w:rsidP="00A31137">
      <w:r w:rsidRPr="00A31137">
        <w:t>Here too, state practice immediately after the ratification of the Constitution refutes the majority's suggestion that the Qualifications Clauses were commonly understood as being exclusive. Five States supplemented the constitutional disqualifications in their very first election laws, and the surviving records suggest that the legislatures of these States considered and rejected the interpretation of the Constitution that the majority adopts today.</w:t>
      </w:r>
    </w:p>
    <w:p w:rsidR="00A31137" w:rsidRPr="00A31137" w:rsidRDefault="00A31137" w:rsidP="00A31137">
      <w:r w:rsidRPr="00A31137">
        <w:t>1995, U.S. Term Limits, Inc. v. Thornton, No. 93-1456</w:t>
      </w:r>
    </w:p>
    <w:p w:rsidR="00A31137" w:rsidRPr="00A31137" w:rsidRDefault="00A31137" w:rsidP="00A31137">
      <w:r w:rsidRPr="00A31137">
        <w:t>As the majority concedes, the first Virginia election law erected a property qualification for Virginia's contingent in the Federal House of Representatives. See Virginia Election Law (Nov. 20, 1788), in 2 Documentary History of the First Federal Elections, 1788-1790, pp. 293, 294 (G. DenBoer ed. 1984) (hereinafter First Federal Elections) (restricting possible candidates to "freeholder[s]"). What is more, while the Constitution merely requires representatives to be inhabitants of their State, the legislatures of five of the seven States that divided themselves into districts for House elections 30 added that representatives also had to be inhabitants of the district that elected them. Three of these States adopted durational residency requirements too, insisting that representatives have resided within their districts for at least a year (or, in one case, three years) before being elected. 31</w:t>
      </w:r>
    </w:p>
    <w:p w:rsidR="00A31137" w:rsidRPr="00A31137" w:rsidRDefault="00A31137" w:rsidP="00A31137">
      <w:r w:rsidRPr="00A31137">
        <w:t>1995, U.S. Term Limits, Inc. v. Thornton, No. 93-1456</w:t>
      </w:r>
    </w:p>
    <w:p w:rsidR="00A31137" w:rsidRPr="00A31137" w:rsidRDefault="00A31137" w:rsidP="00A31137">
      <w:r w:rsidRPr="00A31137">
        <w:t>In an attempt to neutralize the significance of the district residency requirements, respondent Hill asserts that "there is no evidence that any state legislature focused, when it created these requirements, on the fact that it was adding to the constitutional qualifications." Brief for Respondents Bobbie E. Hill et al. 20. But this claim is simply false.</w:t>
      </w:r>
    </w:p>
    <w:p w:rsidR="00A31137" w:rsidRPr="00A31137" w:rsidRDefault="00A31137" w:rsidP="00A31137">
      <w:r w:rsidRPr="00A31137">
        <w:t>1995, U.S. Term Limits, Inc. v. Thornton, No. 93-1456</w:t>
      </w:r>
    </w:p>
    <w:p w:rsidR="00A31137" w:rsidRPr="00A31137" w:rsidRDefault="00A31137" w:rsidP="00A31137">
      <w:r w:rsidRPr="00A31137">
        <w:t>In Massachusetts, for instance, the legislature charged a committee with drafting a report on election methods. The fourth article of the resulting report called for the State to be divided into eight districts that would each elect one representative, but did not require that the representatives be residents of the districts that elected them. Joint Committee Report (Nov. 4, 1788), in 1 First Federal Elections 481. When the members of the State House of Representatives discussed this report, those who proposed adding a district residency requirement were met with the claim that the Federal Constitution barred the legislature from specifying additional qualifications. See Massachusetts Centinel (Nov. 8, 1788) (reporting proceedings), in 1 First Federal Elections 489. After "considerable debate," the House approved the committee's version of the fourth article by a vote of 89 to 72. Ibid. But the State Senate approved a district residency amendment, 1 First Federal Elections 502, and the House then voted to retain it, id. at 504.</w:t>
      </w:r>
    </w:p>
    <w:p w:rsidR="00A31137" w:rsidRPr="00A31137" w:rsidRDefault="00A31137" w:rsidP="00A31137">
      <w:r w:rsidRPr="00A31137">
        <w:t>1995, U.S. Term Limits, Inc. v. Thornton, No. 93-1456</w:t>
      </w:r>
    </w:p>
    <w:p w:rsidR="00A31137" w:rsidRPr="00A31137" w:rsidRDefault="00A31137" w:rsidP="00A31137">
      <w:r w:rsidRPr="00A31137">
        <w:t>Although we have no record of the legislative debates over Virginia's election law, a letter written by one of the members of the House of Delegates during the relevant period indicates that in that State too the legislature considered the possible constitutional objection to additional disqualifications. In that letter, Edward Carrington (an opponent of the district residency requirement) expressed his view that the requirement "may exceed the powers of the Assembly," but acknowledged that there was "no prospect of its being struck out" because Federalists as well as Anti-Federalists at least professed to "think it right." 2 id. at 367 (letter from Carrington to Madison, Nov. 9-10, 1788). Carrington was correct about the views of his colleagues: by a vote of 80 to 32, the House of Delegates rejected a motion to delete the added qualifications, while a similar motion in the State Senate lost by a vote of 12 to 3. Id. at 287, 293. 32</w:t>
      </w:r>
    </w:p>
    <w:p w:rsidR="00A31137" w:rsidRPr="00A31137" w:rsidRDefault="00A31137" w:rsidP="00A31137">
      <w:r w:rsidRPr="00A31137">
        <w:t>1995, U.S. Term Limits, Inc. v. Thornton, No. 93-1456</w:t>
      </w:r>
    </w:p>
    <w:p w:rsidR="00A31137" w:rsidRPr="00A31137" w:rsidRDefault="00A31137" w:rsidP="00A31137">
      <w:r w:rsidRPr="00A31137">
        <w:t>The surviving records from Maryland and Georgia are less informative, but they too show that the legislatures of those States gave special attention to the district residency requirements that they enacted. 33 Out of the five original States that adopted district residency requirements, in fact, only in North Carolina were the records so poor that it is impossible to draw any inferences about whether the legislature gave careful attention to the implications of the requirement. 34</w:t>
      </w:r>
    </w:p>
    <w:p w:rsidR="00A31137" w:rsidRPr="00A31137" w:rsidRDefault="00A31137" w:rsidP="00A31137">
      <w:r w:rsidRPr="00A31137">
        <w:t>1995, U.S. Term Limits, Inc. v. Thornton, No. 93-1456</w:t>
      </w:r>
    </w:p>
    <w:p w:rsidR="00A31137" w:rsidRPr="00A31137" w:rsidRDefault="00A31137" w:rsidP="00A31137">
      <w:r w:rsidRPr="00A31137">
        <w:t>The majority asserts that</w:t>
      </w:r>
    </w:p>
    <w:p w:rsidR="00A31137" w:rsidRPr="00A31137" w:rsidRDefault="00A31137" w:rsidP="00A31137">
      <w:r w:rsidRPr="00A31137">
        <w:t>1995, U.S. Term Limits, Inc. v. Thornton, No. 93-1456</w:t>
      </w:r>
    </w:p>
    <w:p w:rsidR="00A31137" w:rsidRPr="00A31137" w:rsidRDefault="00A31137" w:rsidP="00A31137">
      <w:r w:rsidRPr="00A31137">
        <w:t>state practice with respect to residency requirements does not necessarily indicate that States believed that they had a broad power to add restrictions,</w:t>
      </w:r>
    </w:p>
    <w:p w:rsidR="00A31137" w:rsidRPr="00A31137" w:rsidRDefault="00A31137" w:rsidP="00A31137">
      <w:r w:rsidRPr="00A31137">
        <w:t>1995, U.S. Term Limits, Inc. v. Thornton, No. 93-1456</w:t>
      </w:r>
    </w:p>
    <w:p w:rsidR="00A31137" w:rsidRPr="00A31137" w:rsidRDefault="00A31137" w:rsidP="00A31137">
      <w:r w:rsidRPr="00A31137">
        <w:t>because the States "may simply have viewed district residency requirements as the necessary analog to state residency requirements." Ante at ___, n. 41. This argument fails even on its own terms. If the States had considered district residency requirements necessary for the success of a district election system, but had agreed with the majority that the Constitution prohibited them from supplementing the constitutional list of qualifications, then they simply would have rejected the district system and used statewide elections. After all, the majority deems district residency requirements just as unconstitutional as other added qualifications. See ante at ___.</w:t>
      </w:r>
    </w:p>
    <w:p w:rsidR="00A31137" w:rsidRPr="00A31137" w:rsidRDefault="00A31137" w:rsidP="00A31137">
      <w:r w:rsidRPr="00A31137">
        <w:t>1995, U.S. Term Limits, Inc. v. Thornton, No. 93-1456</w:t>
      </w:r>
    </w:p>
    <w:p w:rsidR="00A31137" w:rsidRPr="00A31137" w:rsidRDefault="00A31137" w:rsidP="00A31137">
      <w:r w:rsidRPr="00A31137">
        <w:t>The majority's argument also fails to account for the durational element of the residency requirements adopted in Georgia, North Carolina, and Virginia (and soon thereafter in Tennessee). These States obliged Congressmen not only to be district residents when elected but also to have been district residents for at least a year before then. See n. 31, supra.</w:t>
      </w:r>
    </w:p>
    <w:p w:rsidR="00A31137" w:rsidRPr="00A31137" w:rsidRDefault="00A31137" w:rsidP="00A31137">
      <w:r w:rsidRPr="00A31137">
        <w:t>1995, U.S. Term Limits, Inc. v. Thornton, No. 93-1456</w:t>
      </w:r>
    </w:p>
    <w:p w:rsidR="00A31137" w:rsidRPr="00A31137" w:rsidRDefault="00A31137" w:rsidP="00A31137">
      <w:r w:rsidRPr="00A31137">
        <w:t>Finally, the majority's argument cannot explain the election schemes of Maryland and Georgia. Though these States did divide themselves into congressional districts, they allowed every voter to vote for one candidate from each district. See Georgia Election Law (Jan. 23, 1789), in 2 First Federal Elections 456, 457; Maryland Election Law (Dec. 22, 1788), in 2 First Federal Elections 136, 138. In other words, Maryland and Georgia imposed district residency requirements despite permitting every voter in the State to vote for every representative from the State. Neither of these States could possibly have seen district residency requirements as the "necessary analog" to anything; they imposed these requirements solely for their own sake.</w:t>
      </w:r>
    </w:p>
    <w:p w:rsidR="00A31137" w:rsidRPr="00A31137" w:rsidRDefault="00A31137" w:rsidP="00A31137">
      <w:r w:rsidRPr="00A31137">
        <w:t>1995, U.S. Term Limits, Inc. v. Thornton, No. 93-1456</w:t>
      </w:r>
    </w:p>
    <w:p w:rsidR="00A31137" w:rsidRPr="00A31137" w:rsidRDefault="00A31137" w:rsidP="00A31137">
      <w:r w:rsidRPr="00A31137">
        <w:t>The majority nonetheless suggests that the initial election laws adopted by the States actually support its position because the States did not enact very many disqualifications. See ante at ___, n. 41. In this context, the majority alludes to the fact that no State imposed a religious qualification on federal legislators, even though New Hampshire continued to require state legislators to be Protestants and North Carolina imposed a similar requirement on people holding places of trust in the State's "civil department." See ante at ___, n. 41, and ___, n. 35. But the majority concedes that "Article VI of the Federal Constitution…prohibited States from imposing similar qualifications on federal legislators." Ante at ___, n. 35. As discussed above, the constitutional treatment of religious qualifications tends to undermine rather than support the majority's case. See supra at ___.</w:t>
      </w:r>
    </w:p>
    <w:p w:rsidR="00A31137" w:rsidRPr="00A31137" w:rsidRDefault="00A31137" w:rsidP="00A31137">
      <w:r w:rsidRPr="00A31137">
        <w:t>1995, U.S. Term Limits, Inc. v. Thornton, No. 93-1456</w:t>
      </w:r>
    </w:p>
    <w:p w:rsidR="00A31137" w:rsidRPr="00A31137" w:rsidRDefault="00A31137" w:rsidP="00A31137">
      <w:r w:rsidRPr="00A31137">
        <w:t>The majority also points out that no State required its own federal representatives to rotate out of office after serving one or more terms. Ante at ___. At the time of the framing, however, such requirements were increasingly disfavored on policy grounds. The advantages of incumbency were substantially fewer then than now, and turnover in office was naturally quite high. The perceived advantages of term limits were therefore smaller than they are today. But the perceived disadvantages were just as great: term limits prevented the States or the people of the States from keeping good legislators in office, even if they wanted to do so. See G. Wood, Creation of the American Republic, 1776-1787, p. 439 (1969).</w:t>
      </w:r>
    </w:p>
    <w:p w:rsidR="00A31137" w:rsidRPr="00A31137" w:rsidRDefault="00A31137" w:rsidP="00A31137">
      <w:r w:rsidRPr="00A31137">
        <w:t>1995, U.S. Term Limits, Inc. v. Thornton, No. 93-1456</w:t>
      </w:r>
    </w:p>
    <w:p w:rsidR="00A31137" w:rsidRPr="00A31137" w:rsidRDefault="00A31137" w:rsidP="00A31137">
      <w:r w:rsidRPr="00A31137">
        <w:t>It is true that under the Articles of Confederation, four States had imposed term limits on their delegates to Congress. See ante at ___. But three of these provisions added nothing to the limits in the Articles themselves, see Md.Const. of 1776, Form of Government, Art. XXVII (echoing Article of Confederation V), in 3 Thorpe 1695; N.H.Const. of 1784, Pt. II (same), in 4 Thorpe 2467; N.C.Const. of 1776, Art. XXXVII (similar), in 5 Thorpe 2793, and the other one contained only a minor variation on the provision in the Articles, see Pa.Const. of 1776, Frame of Government, § 11, in 5 Thorpe 3085. Indeed, though the majority says that "many States imposed term limits on state officers," ante at ___, it appears that, at the time of the framing, only Pennsylvania imposed any restriction on the reelection of members of the state legislature, and Pennsylvania deleted this restriction when it adopted a new Constitution in 1790. Compare Pa. Const. of 1776, Frame of Government, § 8, in 5 Thorpe 3084, with Pa.Const. of 1790, in 5 Thorpe 3092-3103; cf. Va.Const. of 1776, Form of Government (perhaps imposing term limits on members of the upper house of the state legislature), in 7 Thorpe 3816. It seems likely, then, that the failure of any State to impose term limits on its senators and representatives simply reflected policy-based decisions against such restrictions.</w:t>
      </w:r>
    </w:p>
    <w:p w:rsidR="00A31137" w:rsidRPr="00A31137" w:rsidRDefault="00A31137" w:rsidP="00A31137">
      <w:r w:rsidRPr="00A31137">
        <w:t>1995, U.S. Term Limits, Inc. v. Thornton, No. 93-1456</w:t>
      </w:r>
    </w:p>
    <w:p w:rsidR="00A31137" w:rsidRPr="00A31137" w:rsidRDefault="00A31137" w:rsidP="00A31137">
      <w:r w:rsidRPr="00A31137">
        <w:t>The majority counters that the delegates at three state ratifying conventions—in Virginia, New York, and North Carolina—"proposed amendments that would have required rotation." Ante at ___; cf. ante at ___, and n. 40. But the amendments proposed by both the North Carolina convention and the Virginia convention would have imposed term limits only on the President, not on Members of Congress. See 4 Elliot 245 (North Carolina) ("[N]o person shall be capable of being President of the United States for more than eight years in any term of fifteen years"); 3 id. at 660 (Virginia) (similar). If the majority is correct that these conventions also "voiced support for term limits for Members of Congress," see ante at ___, 35 then the evidence from these conventions supports my position, rather than the majority's: the conventions deemed it necessary for the Constitution itself to impose term limits on the President (because no State could do that on its own), but they did not think it necessary for the Constitution to impose term limits on members of Congress. This understanding at the Virginia and North Carolina conventions meshes with the election laws adopted by both States, which reflected the view that States could supplement the Qualifications Clauses. See supra at ___, and n. 31. 36</w:t>
      </w:r>
    </w:p>
    <w:p w:rsidR="00A31137" w:rsidRPr="00A31137" w:rsidRDefault="00A31137" w:rsidP="00A31137">
      <w:r w:rsidRPr="00A31137">
        <w:t>1995, U.S. Term Limits, Inc. v. Thornton, No. 93-1456</w:t>
      </w:r>
    </w:p>
    <w:p w:rsidR="00A31137" w:rsidRPr="00A31137" w:rsidRDefault="00A31137" w:rsidP="00A31137">
      <w:r w:rsidRPr="00A31137">
        <w:t>If the majority can draw no support from state treatment of religious qualifications and rotation requirements, we are left only with state treatment of property qualifications. It is true that nine of the state constitutions in effect at the time of the framing required members of the lower house of the state legislature to possess some property, see ante at ___, n. 33, and that four of these constitutions were revised shortly after the framing but continued to impose such requirements, see ante at ___, and n. 35. Only one State, by contrast, established a property qualification for the Federal House of Representatives. But the fact that more States did not adopt congressional property qualifications does not mean that the Qualifications Clauses were commonly understood to be exclusive; there are a host of other explanations for the relative liberality of state election laws. 37 And whatever the explanation, the fact remains that five of the election laws enacted immediately after ratification of the Constitution imposed additional qualifications that would clearly be unconstitutional under today's holding. This history of state practice—which is every bit as strong as the history we deemed "decisive" in McPherson v. Blacker, 146 U.S. at 36—refutes the majority's position that the Qualifications Clauses were generally understood to include an unstated exclusivity provision.</w:t>
      </w:r>
    </w:p>
    <w:p w:rsidR="00A31137" w:rsidRPr="00A31137" w:rsidRDefault="00A31137" w:rsidP="00A31137">
      <w:r w:rsidRPr="00A31137">
        <w:t>5</w:t>
      </w:r>
    </w:p>
    <w:p w:rsidR="00A31137" w:rsidRPr="00A31137" w:rsidRDefault="00A31137" w:rsidP="00A31137">
      <w:r w:rsidRPr="00A31137">
        <w:t>1995, U.S. Term Limits, Inc. v. Thornton, No. 93-1456</w:t>
      </w:r>
    </w:p>
    <w:p w:rsidR="00A31137" w:rsidRPr="00A31137" w:rsidRDefault="00A31137" w:rsidP="00A31137">
      <w:r w:rsidRPr="00A31137">
        <w:t>The same is true of the final category of historical evidence discussed by the majority: controversies in the House and the Senate over seating candidates who were duly elected but who arguably failed to satisfy qualifications imposed by state law.</w:t>
      </w:r>
    </w:p>
    <w:p w:rsidR="00A31137" w:rsidRPr="00A31137" w:rsidRDefault="00A31137" w:rsidP="00A31137">
      <w:r w:rsidRPr="00A31137">
        <w:t>1995, U.S. Term Limits, Inc. v. Thornton, No. 93-1456</w:t>
      </w:r>
    </w:p>
    <w:p w:rsidR="00A31137" w:rsidRPr="00A31137" w:rsidRDefault="00A31137" w:rsidP="00A31137">
      <w:r w:rsidRPr="00A31137">
        <w:t>As the majority concedes, "'congressional practice has been erratic'" and is of limited relevance anyway. Ante at ___ (quoting Powell v. McCormack, 395 U.S. at  545). Actions taken by a single House of Congress in 1887 or in 1964 shed little light on the original understanding of the Constitution. Presumably for that reason, the majority puts its chief emphasis on the 1807 debate in the House of Representatives about whether to seat Maryland's William McCreery. See ante at ___. I agree with the majority that this debate might lend some support to the majority's position if it had transpired as reported in Powell v. McCormack. See ante at ___. But the Court's discussion—both in Powell and today—is misleading.</w:t>
      </w:r>
    </w:p>
    <w:p w:rsidR="00A31137" w:rsidRPr="00A31137" w:rsidRDefault="00A31137" w:rsidP="00A31137">
      <w:r w:rsidRPr="00A31137">
        <w:t>1995, U.S. Term Limits, Inc. v. Thornton, No. 93-1456</w:t>
      </w:r>
    </w:p>
    <w:p w:rsidR="00A31137" w:rsidRPr="00A31137" w:rsidRDefault="00A31137" w:rsidP="00A31137">
      <w:r w:rsidRPr="00A31137">
        <w:t>A Maryland statute dating from 1802 had created a district entitled to send two representatives to the House, one of whom had to be a resident of Baltimore County and the other of whom had to be a resident of Baltimore City. McCreery was elected to the Ninth Congress as a resident of Baltimore City. After his reelection to the Tenth Congress, however, his qualifications were challenged on the ground that, because he divided his time between his summer estate in Baltimore County and his residence in Washington, D. C., he was no longer a resident of Baltimore City at all.</w:t>
      </w:r>
    </w:p>
    <w:p w:rsidR="00A31137" w:rsidRPr="00A31137" w:rsidRDefault="00A31137" w:rsidP="00A31137">
      <w:r w:rsidRPr="00A31137">
        <w:t>1995, U.S. Term Limits, Inc. v. Thornton, No. 93-1456</w:t>
      </w:r>
    </w:p>
    <w:p w:rsidR="00A31137" w:rsidRPr="00A31137" w:rsidRDefault="00A31137" w:rsidP="00A31137">
      <w:r w:rsidRPr="00A31137">
        <w:t>As the majority notes, a report of the House Committee of Elections recommended that McCreery be seated on the ground that state legislatures have no authority to add to the qualifications set forth in the Constitution. See 17 Annals of Cong. 871 (1807); ante at 37-38. But the Committee's submission of this initial report sparked a heated debate that spanned four days, with many speeches on both sides of the issue. See 17 Annals of Cong. 871-919, 927-947 (reporting proceedings from Nov. 12, 13, 16, and 18, 1807). Finally, a large majority of the House voted to recommit the report to the Committee of Elections. Id. at 950 (Nov. 19, 1807). The Committee thereupon deleted all references to the constitutional issue and issued a revised report that focused entirely on the factual question whether McCreery satisfied the state residency requirement. Id. at 1059-1061 (Dec. 7, 1807). After receiving the new report, the House seated McCreery with a resolution simply saying: "Resolved, That William McCreery is entitled to his seat in this House." Id. at 1237 (Dec. 24, 1807). By overwhelming majorities, the House rejected both a proposal to specify that McCreery possessed "the qualifications required by the law of Maryland," ibid. and a proposal to declare only that he was "duly qualified, agreeably to the constitution of the United States," id. at 1231. Far from supporting the majority's position, the McCreery episode merely demonstrates that the 10th House of Representatives was deeply divided over whether state legislatures may add to the qualifications set forth in the Constitution. 38</w:t>
      </w:r>
    </w:p>
    <w:p w:rsidR="00A31137" w:rsidRPr="00A31137" w:rsidRDefault="00A31137" w:rsidP="00A31137">
      <w:r w:rsidRPr="00A31137">
        <w:t>1995, U.S. Term Limits, Inc. v. Thornton, No. 93-1456</w:t>
      </w:r>
    </w:p>
    <w:p w:rsidR="00A31137" w:rsidRPr="00A31137" w:rsidRDefault="00A31137" w:rsidP="00A31137">
      <w:r w:rsidRPr="00A31137">
        <w:t>The majority needs more than that. The prohibition that today's majority enforces is found nowhere in the text of the Qualifications Clauses. In the absence of evidence that the Clauses nonetheless were generally understood at the time of the framing to imply such a prohibition, we may not use the Clauses to invalidate the decisions of a State or its people.</w:t>
      </w:r>
    </w:p>
    <w:p w:rsidR="00A31137" w:rsidRPr="00A31137" w:rsidRDefault="00A31137" w:rsidP="00A31137">
      <w:r w:rsidRPr="00A31137">
        <w:t>III</w:t>
      </w:r>
    </w:p>
    <w:p w:rsidR="00A31137" w:rsidRPr="00A31137" w:rsidRDefault="00A31137" w:rsidP="00A31137">
      <w:r w:rsidRPr="00A31137">
        <w:t>1995, U.S. Term Limits, Inc. v. Thornton, No. 93-1456</w:t>
      </w:r>
    </w:p>
    <w:p w:rsidR="00A31137" w:rsidRPr="00A31137" w:rsidRDefault="00A31137" w:rsidP="00A31137">
      <w:r w:rsidRPr="00A31137">
        <w:t>It is radical enough for the majority to hold that the Constitution implicitly precludes the people of the States from prescribing any eligibility requirements for the congressional candidates who seek their votes. This holding, after all, does not stop with negating the term limits that many States have seen fit to impose on their Senators and Representatives. 39 Today's decision also means that no State may disqualify congressional candidates whom a court has found to be mentally incompetent, see, e.g., Fla.Stat. §§ 97.041(2), 99.021(1)(a) (1991), who are currently in prison, see, e.g., Ill.Comp.Stat. Ann., ch. 10, §§ 5/3-5, 5/7-10, 5/10-5 (1993 and West Supp. 1995), or who have past vote-fraud convictions, see, e.g., Ga.Code Ann. §§ 21-2-2(25), 21-2-8 (1993 and Supp. 1994). Likewise, after today's decision, the people of each State must leave open the possibility that they will trust someone with their vote in Congress even though they do not trust him with a vote in the election for Congress. See, e.g., R.I.Gen.Laws § 17-14-1.2 (1988) (restricting candidacy to people "qualified to vote").</w:t>
      </w:r>
    </w:p>
    <w:p w:rsidR="00A31137" w:rsidRPr="00A31137" w:rsidRDefault="00A31137" w:rsidP="00A31137">
      <w:r w:rsidRPr="00A31137">
        <w:t>1995, U.S. Term Limits, Inc. v. Thornton, No. 93-1456</w:t>
      </w:r>
    </w:p>
    <w:p w:rsidR="00A31137" w:rsidRPr="00A31137" w:rsidRDefault="00A31137" w:rsidP="00A31137">
      <w:r w:rsidRPr="00A31137">
        <w:t>In order to invalidate § 3 of Amendment 73, however, the majority must go farther. The bulk of the majority's analysis—like Part II of my dissent—addresses the issues that would be raised if Arkansas had prescribed "genuine, unadulterated, undiluted term limits." See Rotunda, 73 Ore.L.Rev. at 570. But as the parties have agreed, Amendment 73 does not actually create this kind of disqualification. See Tr. of Oral Arg. 53-54; cf. ante at ___. It does not say that covered candidates may not serve any more terms in Congress if reelected, and it does not indirectly achieve the same result by barring those candidates from seeking reelection. It says only that if they are to win reelection, they must do so by write-in votes.</w:t>
      </w:r>
    </w:p>
    <w:p w:rsidR="00A31137" w:rsidRPr="00A31137" w:rsidRDefault="00A31137" w:rsidP="00A31137">
      <w:r w:rsidRPr="00A31137">
        <w:t>1995, U.S. Term Limits, Inc. v. Thornton, No. 93-1456</w:t>
      </w:r>
    </w:p>
    <w:p w:rsidR="00A31137" w:rsidRPr="00A31137" w:rsidRDefault="00A31137" w:rsidP="00A31137">
      <w:r w:rsidRPr="00A31137">
        <w:t>One might think that this is a distinction without a difference. As the majority notes, "[t]he uncontested data submitted to the Arkansas Supreme Court" show that write-in candidates have won only six congressional elections in this century. Ante at ___, n. 43. But while the data's accuracy is indeed "uncontested," petitioners filed an equally uncontested affidavit challenging the data's relevance. As political science professor James S. Fay swore to the Arkansas Supreme Court,</w:t>
      </w:r>
    </w:p>
    <w:p w:rsidR="00A31137" w:rsidRPr="00A31137" w:rsidRDefault="00A31137" w:rsidP="00A31137">
      <w:r w:rsidRPr="00A31137">
        <w:t>1995, U.S. Term Limits, Inc. v. Thornton, No. 93-1456</w:t>
      </w:r>
    </w:p>
    <w:p w:rsidR="00A31137" w:rsidRPr="00A31137" w:rsidRDefault="00A31137" w:rsidP="00A31137">
      <w:r w:rsidRPr="00A31137">
        <w:t>[m]ost write-in candidacies in the past have been waged by fringe candidates, with little public support and extremely low name identification.</w:t>
      </w:r>
    </w:p>
    <w:p w:rsidR="00A31137" w:rsidRPr="00A31137" w:rsidRDefault="00A31137" w:rsidP="00A31137">
      <w:r w:rsidRPr="00A31137">
        <w:t>1995, U.S. Term Limits, Inc. v. Thornton, No. 93-1456</w:t>
      </w:r>
    </w:p>
    <w:p w:rsidR="00A31137" w:rsidRPr="00A31137" w:rsidRDefault="00A31137" w:rsidP="00A31137">
      <w:r w:rsidRPr="00A31137">
        <w:t>App. 201. To the best of Professor Fay's knowledge, in modern times, only two incumbent Congressmen have ever sought reelection as write-in candidates. One of them was Dale Alford of Arkansas, who had first entered the House of Representatives by winning 51% of the vote as a write-in candidate in 1958; Alford then waged a write-in campaign for reelection in 1960, winning a landslide 83% of the vote against an opponent who enjoyed a place on the ballot. Id. at 201-202. The other incumbent write-in candidate was Philip J. Philbin of Massachusetts, who—despite losing his party primary and thus his spot on the ballot—won 27% of the vote in his unsuccessful write-in candidacy. See id. at 203. According to Professor Fay, these results—coupled with other examples of successful write-in campaigns, such as Ross Perot's victory in North Dakota's 1992 Democratic presidential primary—"demonstrate that, when a write-in candidate is well-known and well-funded, it is quite possible for him or her to win an election." Ibid.</w:t>
      </w:r>
      <w:r w:rsidRPr="00A31137">
        <w:cr/>
      </w:r>
    </w:p>
    <w:p w:rsidR="00A31137" w:rsidRPr="00A31137" w:rsidRDefault="00A31137" w:rsidP="00A31137">
      <w:r w:rsidRPr="00A31137">
        <w:t>1995, U.S. Term Limits, Inc. v. Thornton, No. 93-1456</w:t>
      </w:r>
    </w:p>
    <w:p w:rsidR="00A31137" w:rsidRPr="00A31137" w:rsidRDefault="00A31137" w:rsidP="00A31137">
      <w:r w:rsidRPr="00A31137">
        <w:t>The majority responds that whether "the Arkansas amendment has the likely effect of creating a qualification" is "simply irrelevant to our holding today." Ante at ___. But the majority—which, after all, bases its holding on the asserted exclusivity of the Qualifications Clauses—never adequately explains how it can take this position and still reach its conclusion.</w:t>
      </w:r>
    </w:p>
    <w:p w:rsidR="00A31137" w:rsidRPr="00A31137" w:rsidRDefault="00A31137" w:rsidP="00A31137">
      <w:r w:rsidRPr="00A31137">
        <w:t>1995, U.S. Term Limits, Inc. v. Thornton, No. 93-1456</w:t>
      </w:r>
    </w:p>
    <w:p w:rsidR="00A31137" w:rsidRPr="00A31137" w:rsidRDefault="00A31137" w:rsidP="00A31137">
      <w:r w:rsidRPr="00A31137">
        <w:t>One possible explanation for why the actual effect of the Arkansas amendment might be irrelevant is that the Arkansas Supreme Court has already issued a binding determination of fact on this point. Thus, the majority notes that "the state court" has advised us "that there is nothing more than a faint glimmer of possibility that the excluded candidate will win." Ante at ___. But the majority is referring to a mere plurality opinion, signed by only three of the seven Justices who decided the case below. One of the two Justices who concurred in the plurality's holding that Amendment 73 violates the Qualifications Clauses did write that, "as a practical matter, the amendment would place term limits on service in the Congress," but he immediately followed this comment with the concession that write-in candidacies are not entirely hopeless; his point was simply that "as a practical matter, write-in candidates are at a distinct disadvantage." 316 Ark. at 276; 872 S.W.2d at 364 (Dudley, J., concurring in part and dissenting in part). As a result, the majority may rely upon the state court only for the proposition that Amendment 73 makes the specified candidates "distinct[ly]" worse off than they would be in its absence—an unassailable proposition that petitioners have conceded.</w:t>
      </w:r>
    </w:p>
    <w:p w:rsidR="00A31137" w:rsidRPr="00A31137" w:rsidRDefault="00A31137" w:rsidP="00A31137">
      <w:r w:rsidRPr="00A31137">
        <w:t>1995, U.S. Term Limits, Inc. v. Thornton, No. 93-1456</w:t>
      </w:r>
    </w:p>
    <w:p w:rsidR="00A31137" w:rsidRPr="00A31137" w:rsidRDefault="00A31137" w:rsidP="00A31137">
      <w:r w:rsidRPr="00A31137">
        <w:t>In the current posture of this case, indeed, it would have been extremely irregular for the Arkansas Supreme Court to have gone any farther. Disputed questions of fact, in Arkansas, as elsewhere, generally are resolved at trial, rather than on appeal from the entry of summary judgment. See Ark.Rule Civ.Proc. 56. 40 Accordingly, the majority explicitly disclaims any reliance on the state court's purported finding about the effect of Amendment 73. See ante at ___, n. 44.</w:t>
      </w:r>
    </w:p>
    <w:p w:rsidR="00A31137" w:rsidRPr="00A31137" w:rsidRDefault="00A31137" w:rsidP="00A31137">
      <w:r w:rsidRPr="00A31137">
        <w:t>1995, U.S. Term Limits, Inc. v. Thornton, No. 93-1456</w:t>
      </w:r>
    </w:p>
    <w:p w:rsidR="00A31137" w:rsidRPr="00A31137" w:rsidRDefault="00A31137" w:rsidP="00A31137">
      <w:r w:rsidRPr="00A31137">
        <w:t>Instead, the majority emphasizes another purported conclusion of the Arkansas Supreme Court. As the majority notes, the plurality below asserted that "[t]he intent" of Amendment 73 was "to disqualify congressional incumbents from further service." 316 Ark. at 266, 872 S.W.2d at 357. According to the majority,</w:t>
      </w:r>
    </w:p>
    <w:p w:rsidR="00A31137" w:rsidRPr="00A31137" w:rsidRDefault="00A31137" w:rsidP="00A31137">
      <w:r w:rsidRPr="00A31137">
        <w:t>1995, U.S. Term Limits, Inc. v. Thornton, No. 93-1456</w:t>
      </w:r>
    </w:p>
    <w:p w:rsidR="00A31137" w:rsidRPr="00A31137" w:rsidRDefault="00A31137" w:rsidP="00A31137">
      <w:r w:rsidRPr="00A31137">
        <w:t>[w]e must, of course, accept the State Court's view of the purpose of its own law: we are thus authoritatively informed that the sole purpose of § 3 of Amendment 73 was to attempt to achieve a result that is forbidden by the Federal Constitution.</w:t>
      </w:r>
    </w:p>
    <w:p w:rsidR="00A31137" w:rsidRPr="00A31137" w:rsidRDefault="00A31137" w:rsidP="00A31137">
      <w:r w:rsidRPr="00A31137">
        <w:t>1995, U.S. Term Limits, Inc. v. Thornton, No. 93-1456</w:t>
      </w:r>
    </w:p>
    <w:p w:rsidR="00A31137" w:rsidRPr="00A31137" w:rsidRDefault="00A31137" w:rsidP="00A31137">
      <w:r w:rsidRPr="00A31137">
        <w:t>Ante at ___.</w:t>
      </w:r>
    </w:p>
    <w:p w:rsidR="00A31137" w:rsidRPr="00A31137" w:rsidRDefault="00A31137" w:rsidP="00A31137">
      <w:r w:rsidRPr="00A31137">
        <w:t>1995, U.S. Term Limits, Inc. v. Thornton, No. 93-1456</w:t>
      </w:r>
    </w:p>
    <w:p w:rsidR="00A31137" w:rsidRPr="00A31137" w:rsidRDefault="00A31137" w:rsidP="00A31137">
      <w:r w:rsidRPr="00A31137">
        <w:t>I am not sure why the intent behind a law should affect our analysis under the Qualifications Clauses. If a law does not in fact add to the constitutional qualifications, the mistaken expectations of the people who enacted it would not seem to affect whether it violates the alleged exclusivity of those Clauses. But, in any event, the majority is wrong about what "the State Court" has told us. Even the plurality below did not flatly assert that the desire to "disqualify" congressional incumbents was the sole purpose behind § 3 of Amendment 73. More important, neither of the Justices who concurred in the plurality's holding said anything at all about the intent behind Amendment 73. As a result, we cannot attribute any findings on this issue to the Arkansas Supreme Court.</w:t>
      </w:r>
    </w:p>
    <w:p w:rsidR="00A31137" w:rsidRPr="00A31137" w:rsidRDefault="00A31137" w:rsidP="00A31137">
      <w:r w:rsidRPr="00A31137">
        <w:t>1995, U.S. Term Limits, Inc. v. Thornton, No. 93-1456</w:t>
      </w:r>
    </w:p>
    <w:p w:rsidR="00A31137" w:rsidRPr="00A31137" w:rsidRDefault="00A31137" w:rsidP="00A31137">
      <w:r w:rsidRPr="00A31137">
        <w:t>The majority suggests that this does not matter, because Amendment 73 itself says that it has the purpose of "evading the requirements of the Qualifications Clauses." See ante at ___ (referring to the "avowed purpose" of Amendment 73). The majority bases this assertion on the Amendment's preamble, which speaks of "limit[ing] the terms of elected officials." See ante at ___. But this statement may be referring only to §§ 1 and 2 of Amendment 73, which impose true term limits on state officeholders. Even if the statement refers to § 3 as well, it may simply reflect the limiting effects that the drafters of the preamble expected to flow from what they perceived as the restoration of electoral competition to congressional races. See infra at ___. In any event, inquiries into legislative intent are even more difficult than usual when the legislative body whose unified intent must be determined consists of 825,162 Arkansas voters.</w:t>
      </w:r>
    </w:p>
    <w:p w:rsidR="00A31137" w:rsidRPr="00A31137" w:rsidRDefault="00A31137" w:rsidP="00A31137">
      <w:r w:rsidRPr="00A31137">
        <w:t>1995, U.S. Term Limits, Inc. v. Thornton, No. 93-1456</w:t>
      </w:r>
    </w:p>
    <w:p w:rsidR="00A31137" w:rsidRPr="00A31137" w:rsidRDefault="00A31137" w:rsidP="00A31137">
      <w:r w:rsidRPr="00A31137">
        <w:t>The majority nonetheless thinks it clear that the goal of § 3 is "to prevent the election of incumbents." See ante at ___. In reaching this conclusion at the summary judgment stage, however, the majority has given short shrift to petitioners' contrary claim. Petitioners do not deny that § 3 of Amendment 73 intentionally handicaps a class of candidates, in the sense that it decreases their preexisting electoral chances. But petitioners do deny that § 3 is intended to (or will in fact) "prevent" the covered candidates from winning reelection, or "disqualify" them from further service. One of petitioners' central arguments is that congressionally conferred advantages have artificially inflated the preexisting electoral chances of the covered candidates, and that Amendment 73 is merely designed to level the playing field on which challengers compete with them.</w:t>
      </w:r>
    </w:p>
    <w:p w:rsidR="00A31137" w:rsidRPr="00A31137" w:rsidRDefault="00A31137" w:rsidP="00A31137">
      <w:r w:rsidRPr="00A31137">
        <w:t>1995, U.S. Term Limits, Inc. v. Thornton, No. 93-1456</w:t>
      </w:r>
    </w:p>
    <w:p w:rsidR="00A31137" w:rsidRPr="00A31137" w:rsidRDefault="00A31137" w:rsidP="00A31137">
      <w:r w:rsidRPr="00A31137">
        <w:t>To understand this argument requires some background. Current federal law (enacted, of course, by congressional incumbents) confers numerous advantages on incumbents, and these advantages are widely thought to make it "significantly more difficult" for challengers to defeat them. Cf. ante at ___. For instance, federal law gives incumbents enormous advantages in building name recognition and good will in their home districts. See, e.g., 39 U.S.C. § 3210 (permitting Members of Congress to send "franked" mail free of charge); 2 U.S.C. §§ 61-1, 72a, 332 (permitting Members to have sizable taxpayer-funded staffs); 2 U.S.C. § 123b (establishing the House Recording Studio and the Senate Recording and Photographic Studios). 41 At the same time that incumbent Members of Congress enjoy these in-kind benefits, Congress imposes spending and contribution limits in congressional campaigns that "can prevent challengers from spending more…to overcome their disadvantage in name recognition." App. to Brief for State of Washington as Amicus Curiae A-4 (statement of former 10-term Representative William E. Frenzel, referring to 2 U.S.C. § 441a). Many observers believe that the campaign finance laws also give incumbents an "enormous fundraising edge" over their challengers by giving a large financing role to entities with incentives to curry favor with incumbents. Wertheimer &amp; Manes, Campaign Finance Reform: A Key to Restoring the Health of Our Democracy, 94 Colum. L.Rev. 1126, 1133 (1994). In addition, the internal rules of Congress put a substantial premium on seniority, with the result that each Member's already plentiful opportunities to distribute benefits to his constituents increase with the length of his tenure. In this manner, Congress effectively "fines" the electorate for voting against incumbents. Hills, 53 U. Pitt.L.Rev. at 144-145.</w:t>
      </w:r>
    </w:p>
    <w:p w:rsidR="00A31137" w:rsidRPr="00A31137" w:rsidRDefault="00A31137" w:rsidP="00A31137">
      <w:r w:rsidRPr="00A31137">
        <w:t>1995, U.S. Term Limits, Inc. v. Thornton, No. 93-1456</w:t>
      </w:r>
    </w:p>
    <w:p w:rsidR="00A31137" w:rsidRPr="00A31137" w:rsidRDefault="00A31137" w:rsidP="00A31137">
      <w:r w:rsidRPr="00A31137">
        <w:t>Cynics see no accident in any of this. As former Representative Frenzel puts it: "The practice…is for incumbents to devise institutional structures and systems that favor incumbents." App. to Brief for State of Washington A-3. In fact, despite his service from 1971 to 1989 on the House Administration Committee (which has jurisdiction over election laws), Representative Frenzel can identify no instance in which Congress "changed election laws in such a way as to lessen the chances of reelection for incumbents or to improve the election opportunities for challengers." Ibid.</w:t>
      </w:r>
    </w:p>
    <w:p w:rsidR="00A31137" w:rsidRPr="00A31137" w:rsidRDefault="00A31137" w:rsidP="00A31137">
      <w:r w:rsidRPr="00A31137">
        <w:t>1995, U.S. Term Limits, Inc. v. Thornton, No. 93-1456</w:t>
      </w:r>
    </w:p>
    <w:p w:rsidR="00A31137" w:rsidRPr="00A31137" w:rsidRDefault="00A31137" w:rsidP="00A31137">
      <w:r w:rsidRPr="00A31137">
        <w:t>At the same time that incumbents enjoy the electoral advantages that they have conferred upon themselves, they also enjoy astonishingly high reelection rates. As Lloyd Cutler reported in 1989,</w:t>
      </w:r>
    </w:p>
    <w:p w:rsidR="00A31137" w:rsidRPr="00A31137" w:rsidRDefault="00A31137" w:rsidP="00A31137">
      <w:r w:rsidRPr="00A31137">
        <w:t>1995, U.S. Term Limits, Inc. v. Thornton, No. 93-1456</w:t>
      </w:r>
    </w:p>
    <w:p w:rsidR="00A31137" w:rsidRPr="00A31137" w:rsidRDefault="00A31137" w:rsidP="00A31137">
      <w:r w:rsidRPr="00A31137">
        <w:t>over the past thirty years, a weighted average of ninety percent of all House and Senate incumbents of both parties who ran for reelection were reelected, even at times when their own party lost control of the Presidency itself.</w:t>
      </w:r>
    </w:p>
    <w:p w:rsidR="00A31137" w:rsidRPr="00A31137" w:rsidRDefault="00A31137" w:rsidP="00A31137">
      <w:r w:rsidRPr="00A31137">
        <w:t>1995, U.S. Term Limits, Inc. v. Thornton, No. 93-1456</w:t>
      </w:r>
    </w:p>
    <w:p w:rsidR="00A31137" w:rsidRPr="00A31137" w:rsidRDefault="00A31137" w:rsidP="00A31137">
      <w:r w:rsidRPr="00A31137">
        <w:t>Cutler, Now is the Time for All Good Men…, 30 Wm. &amp; Mary L.Rev. 387, 395 (1989); see also Kristol, Term Limitations: Breaking Up the Iron Triangle, 16 Harv.J.L. &amp; Pub. Policy 95, 97, and n. 11 (reporting that in the 100th Congress, as many Representatives died as were defeated at the polls). Even in the November, 1994, elections, which are widely considered to have effected the most sweeping change in Congress in recent memory, 90 percent of the incumbents who sought reelection to the House were successful, and nearly half of the losers were completing only their first terms. Reply Brief for Petitioners U.S. Term Limits, Inc., et al. 4, n. 5. Only 2 of the 26 Senate incumbents seeking reelection were defeated, see ibid. and one of them had been elected for the first time in a special election only a few years earlier.</w:t>
      </w:r>
    </w:p>
    <w:p w:rsidR="00A31137" w:rsidRPr="00A31137" w:rsidRDefault="00A31137" w:rsidP="00A31137">
      <w:r w:rsidRPr="00A31137">
        <w:t>1995, U.S. Term Limits, Inc. v. Thornton, No. 93-1456</w:t>
      </w:r>
    </w:p>
    <w:p w:rsidR="00A31137" w:rsidRPr="00A31137" w:rsidRDefault="00A31137" w:rsidP="00A31137">
      <w:r w:rsidRPr="00A31137">
        <w:t>The voters of Arkansas evidently believe that incumbents would not enjoy such overwhelming success if electoral contests were truly fair—that is, if the government did not put its thumb on either side of the scale. The majority offers no reason to question the accuracy of this belief. Given this context, petitioners portray § 3 of Amendment 73 as an effort at the state level to offset the electoral advantages that congressional incumbents have conferred upon themselves at the federal level.</w:t>
      </w:r>
    </w:p>
    <w:p w:rsidR="00A31137" w:rsidRPr="00A31137" w:rsidRDefault="00A31137" w:rsidP="00A31137">
      <w:r w:rsidRPr="00A31137">
        <w:t>1995, U.S. Term Limits, Inc. v. Thornton, No. 93-1456</w:t>
      </w:r>
    </w:p>
    <w:p w:rsidR="00A31137" w:rsidRPr="00A31137" w:rsidRDefault="00A31137" w:rsidP="00A31137">
      <w:r w:rsidRPr="00A31137">
        <w:t>To be sure, the offset is only rough and approximate; no one knows exactly how large an electoral benefit comes with having been a long-term Member of Congress, and no one knows exactly how large an electoral disadvantage comes from forcing a well-funded candidate with high name recognition to run a write-in campaign. But the majority does not base its holding on the premise that Arkansas has struck the wrong balance. Instead, the majority holds that the Qualifications Clauses preclude Arkansas from trying to strike any balance at all; the majority simply says that "an amendment with the avowed purpose and obvious effect of evading the requirements of the Qualifications Clauses by handicapping a class of candidates cannot stand." Ante at ___. Thus, the majority apparently would reach the same result even if one could demonstrate at trial that the electoral advantage conferred by Amendment 73 upon challengers precisely counterbalances the electoral advantages conferred by federal law upon long-term Members of Congress.</w:t>
      </w:r>
    </w:p>
    <w:p w:rsidR="00A31137" w:rsidRPr="00A31137" w:rsidRDefault="00A31137" w:rsidP="00A31137">
      <w:r w:rsidRPr="00A31137">
        <w:t>1995, U.S. Term Limits, Inc. v. Thornton, No. 93-1456</w:t>
      </w:r>
    </w:p>
    <w:p w:rsidR="00A31137" w:rsidRPr="00A31137" w:rsidRDefault="00A31137" w:rsidP="00A31137">
      <w:r w:rsidRPr="00A31137">
        <w:t>For me, this suggests only two possibilities. Either the majority's holding is wrong and Amendment 73 does not violate the Qualifications Clauses, or (assuming the accuracy of petitioners' factual claims) the electoral system that exists without Amendment 73 is no less unconstitutional than the electoral system that exists with Amendment 73.</w:t>
      </w:r>
    </w:p>
    <w:p w:rsidR="00A31137" w:rsidRPr="00A31137" w:rsidRDefault="00A31137" w:rsidP="00A31137">
      <w:r w:rsidRPr="00A31137">
        <w:t>1995, U.S. Term Limits, Inc. v. Thornton, No. 93-1456</w:t>
      </w:r>
    </w:p>
    <w:p w:rsidR="00A31137" w:rsidRPr="00A31137" w:rsidRDefault="00A31137" w:rsidP="00A31137">
      <w:r w:rsidRPr="00A31137">
        <w:t>I do not mean to suggest that States have unbridled power to handicap particular classes of candidates, even when those candidates enjoy federally conferred advantages that may threaten to skew the electoral process. But laws that allegedly have the purpose and effect of handicapping a particular class of candidates traditionally are reviewed under the First and Fourteenth Amendments, rather than the Qualifications Clauses. Compare Storer v. Brown, 415 U.S. at 728-736 (undertaking a lengthy First and Fourteenth Amendment analysis of a California rule that denied ballot access to any independent candidate for Congress who had not severed his ties to a political party at least one year prior to the immediately preceding primary election, or 17 months before the general election) with id. at 746, n. 16 (dismissing as "wholly without merit" the notion that this rule might violate the Qualifications Clauses). Term-limit measures have tended to survive such review without difficulty. See, e.g., Moore v. McCartney, 425 U.S. 946 (1976) (dismissing an appeal from State ex rel. Maloney v. McCartney, 159 W.Va. 513, 223 S. E.2d 607, on the ground that limits on the terms of state officeholders do not even raise a substantial federal question under the First and Fourteenth Amendments).</w:t>
      </w:r>
    </w:p>
    <w:p w:rsidR="00A31137" w:rsidRPr="00A31137" w:rsidRDefault="00A31137" w:rsidP="00A31137">
      <w:r w:rsidRPr="00A31137">
        <w:t>1995, U.S. Term Limits, Inc. v. Thornton, No. 93-1456</w:t>
      </w:r>
    </w:p>
    <w:p w:rsidR="00A31137" w:rsidRPr="00A31137" w:rsidRDefault="00A31137" w:rsidP="00A31137">
      <w:r w:rsidRPr="00A31137">
        <w:t>To analyze such laws under the Qualifications Clauses may open up whole new vistas for courts. If it is true that</w:t>
      </w:r>
    </w:p>
    <w:p w:rsidR="00A31137" w:rsidRPr="00A31137" w:rsidRDefault="00A31137" w:rsidP="00A31137">
      <w:r w:rsidRPr="00A31137">
        <w:t>1995, U.S. Term Limits, Inc. v. Thornton, No. 93-1456</w:t>
      </w:r>
    </w:p>
    <w:p w:rsidR="00A31137" w:rsidRPr="00A31137" w:rsidRDefault="00A31137" w:rsidP="00A31137">
      <w:r w:rsidRPr="00A31137">
        <w:t>the current congressional campaign finance system…has created an electoral system so stacked against challengers that, in many elections, voters have no real choices,</w:t>
      </w:r>
    </w:p>
    <w:p w:rsidR="00A31137" w:rsidRPr="00A31137" w:rsidRDefault="00A31137" w:rsidP="00A31137">
      <w:r w:rsidRPr="00A31137">
        <w:t>1995, U.S. Term Limits, Inc. v. Thornton, No. 93-1456</w:t>
      </w:r>
    </w:p>
    <w:p w:rsidR="00A31137" w:rsidRPr="00A31137" w:rsidRDefault="00A31137" w:rsidP="00A31137">
      <w:r w:rsidRPr="00A31137">
        <w:t>Wertheimer &amp; Manes, supra, at 1133, are the Federal Election Campaign Act Amendments of 1974 unconstitutional under (of all things) the Qualifications Clauses? Cf. Buckley v. Valeo, 424 U.S. 1 (1976) (upholding the current system against First Amendment challenge). If it can be shown that nonminorities are at a significant disadvantage when they seek election in districts dominated by minority voters, would the intentional creation of "majority-minority districts" violate the Qualifications Clauses even if it were to survive scrutiny under the Fourteenth Amendment? Cf. Shaw v. Reno, ___ U.S. ___, ___ (1993) ("we express no view as to whether [the intentional creation of such districts] always gives rise to an equal protection claim"); id. at ___ (STEVENS, J., dissenting) (arguing that States may draw district lines for the "sole purpose" of helping blacks or members of certain other groups win election to Congress). More generally, if "[d]istrict lines are rarely neutral phenomena," and if "districting inevitably has and is intended to have substantial political consequences," Gaffney v. Cummings, 412 U.S. 735, 753 (1973), will plausible Qualifications Clause challenges greet virtually every redistricting decision? Cf. id. at 754 (noting our general refusal to use the Equal Protection Clause to "attemp[t] the impossible task of extirpating politics from what are the essentially political processes of the sovereign States"); see also Burns v. Richardson, 384 U.S. 73, 89, n. 16 (1966) (finding nothing invidious in the practice of drawing district lines in a way that helps current incumbents by avoiding contests between them).</w:t>
      </w:r>
    </w:p>
    <w:p w:rsidR="00A31137" w:rsidRPr="00A31137" w:rsidRDefault="00A31137" w:rsidP="00A31137">
      <w:r w:rsidRPr="00A31137">
        <w:t>1995, U.S. Term Limits, Inc. v. Thornton, No. 93-1456</w:t>
      </w:r>
    </w:p>
    <w:p w:rsidR="00A31137" w:rsidRPr="00A31137" w:rsidRDefault="00A31137" w:rsidP="00A31137">
      <w:r w:rsidRPr="00A31137">
        <w:t>The majority's opinion may not go so far, although it does not itself suggest any principled stopping point. No matter how narrowly construed, however, today's decision reads the Qualifications Clauses to impose substantial implicit prohibitions on the States and the people of the States. I would not draw such an expansive negative inference from the fact that the Constitution requires Members of Congress to be a certain age, to be inhabitants of the States that they represent, and to have been United States citizens for a specified period. Rather, I would read the Qualifications Clauses to do no more than what they say. I respectfully dissent.</w:t>
      </w:r>
    </w:p>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1995, U.S. Term Limits, Inc. v. Thornton, No. 93-1456</w:t>
      </w:r>
    </w:p>
    <w:p w:rsidR="00A31137" w:rsidRPr="00A31137" w:rsidRDefault="00A31137" w:rsidP="00A31137">
      <w:r w:rsidRPr="00A31137">
        <w:t>1. The Circuit Court also held that § 3 was severable from the other provisions of the amendment, but that the entire amendment was void under state law for lack of an enacting clause. App. to Pet. for Cert. in No. 93-1456, p. 60a. The Arkansas Supreme Court affirmed the Circuit Court's decision regarding severability, U.S. Term Limits, Inc. v. Hill, 316 Ark. 251, 270, 872 S.W.2d 349, 359 (1994), and reversed its decision regarding the enacting clause, id. at 263, 872 S.W.2d at 355. The decision of the Arkansas Supreme Court with respect to those issues of state law is not before us.</w:t>
      </w:r>
    </w:p>
    <w:p w:rsidR="00A31137" w:rsidRPr="00A31137" w:rsidRDefault="00A31137" w:rsidP="00A31137">
      <w:r w:rsidRPr="00A31137">
        <w:t>1995, U.S. Term Limits, Inc. v. Thornton, No. 93-1456</w:t>
      </w:r>
    </w:p>
    <w:p w:rsidR="00A31137" w:rsidRPr="00A31137" w:rsidRDefault="00A31137" w:rsidP="00A31137">
      <w:r w:rsidRPr="00A31137">
        <w:t>2. As we explained, that term may describe more than the provisions quoted, supra at 1:</w:t>
      </w:r>
    </w:p>
    <w:p w:rsidR="00A31137" w:rsidRPr="00A31137" w:rsidRDefault="00A31137" w:rsidP="00A31137">
      <w:r w:rsidRPr="00A31137">
        <w:t>1995, U.S. Term Limits, Inc. v. Thornton, No. 93-1456</w:t>
      </w:r>
    </w:p>
    <w:p w:rsidR="00A31137" w:rsidRPr="00A31137" w:rsidRDefault="00A31137" w:rsidP="00A31137">
      <w:r w:rsidRPr="00A31137">
        <w:t>In addition to the three qualifications set forth in Art. I, § 2, Art. I, § 3, cl. 7, authorizes the disqualification of any person convicted in an impeachment proceeding from "any Office of honor, Trust or Profit under the United States;" Art. I, § 6, cl. 2, provides that "no Person holding any Office under the United States, shall be a Member of either House during his Continuance in Office;" and § 3 of the 14th Amendment disqualifies any person</w:t>
      </w:r>
    </w:p>
    <w:p w:rsidR="00A31137" w:rsidRPr="00A31137" w:rsidRDefault="00A31137" w:rsidP="00A31137">
      <w:r w:rsidRPr="00A31137">
        <w:t>1995, U.S. Term Limits, Inc. v. Thornton, No. 93-1456</w:t>
      </w:r>
    </w:p>
    <w:p w:rsidR="00A31137" w:rsidRPr="00A31137" w:rsidRDefault="00A31137" w:rsidP="00A31137">
      <w:r w:rsidRPr="00A31137">
        <w:t>who, having previously taken an oath…to support the Constitution of the United States, shall have engaged in insurrection or rebellion against the same, or given aid or comfort to the enemies thereof.</w:t>
      </w:r>
    </w:p>
    <w:p w:rsidR="00A31137" w:rsidRPr="00A31137" w:rsidRDefault="00A31137" w:rsidP="00A31137">
      <w:r w:rsidRPr="00A31137">
        <w:t>1995, U.S. Term Limits, Inc. v. Thornton, No. 93-1456</w:t>
      </w:r>
    </w:p>
    <w:p w:rsidR="00A31137" w:rsidRPr="00A31137" w:rsidRDefault="00A31137" w:rsidP="00A31137">
      <w:r w:rsidRPr="00A31137">
        <w:t>It has been argued that each of these provisions, as well as the Guarantee Clause of Article IV and the oath requirement of Art. VI, cl. 3, is no less a "qualification" within the meaning of Art. I, § 5, than those set forth in Art I, § 2.</w:t>
      </w:r>
    </w:p>
    <w:p w:rsidR="00A31137" w:rsidRPr="00A31137" w:rsidRDefault="00A31137" w:rsidP="00A31137">
      <w:r w:rsidRPr="00A31137">
        <w:t>1995, U.S. Term Limits, Inc. v. Thornton, No. 93-1456</w:t>
      </w:r>
    </w:p>
    <w:p w:rsidR="00A31137" w:rsidRPr="00A31137" w:rsidRDefault="00A31137" w:rsidP="00A31137">
      <w:r w:rsidRPr="00A31137">
        <w:t>Powell v. McCormack, 395 U.S. 486,  520, n. 41 (1969). In Powell, we saw no need to resolve the question whether those additional provisions constitute "qualifications," because "both sides agree that Powell was not ineligible under any of these provisions." Ibid. We similarly have no need to resolve that question today: because those additional provisions are part of the text of the Constitution, they have little bearing on whether Congress and the States may add qualifications to those that appear in the Constitution.</w:t>
      </w:r>
    </w:p>
    <w:p w:rsidR="00A31137" w:rsidRPr="00A31137" w:rsidRDefault="00A31137" w:rsidP="00A31137">
      <w:r w:rsidRPr="00A31137">
        <w:t>1995, U.S. Term Limits, Inc. v. Thornton, No. 93-1456</w:t>
      </w:r>
    </w:p>
    <w:p w:rsidR="00A31137" w:rsidRPr="00A31137" w:rsidRDefault="00A31137" w:rsidP="00A31137">
      <w:r w:rsidRPr="00A31137">
        <w:t>3. Art. I, § 5, cl. 1, provides in part:</w:t>
      </w:r>
    </w:p>
    <w:p w:rsidR="00A31137" w:rsidRPr="00A31137" w:rsidRDefault="00A31137" w:rsidP="00A31137">
      <w:r w:rsidRPr="00A31137">
        <w:t>1995, U.S. Term Limits, Inc. v. Thornton, No. 93-1456</w:t>
      </w:r>
    </w:p>
    <w:p w:rsidR="00A31137" w:rsidRPr="00A31137" w:rsidRDefault="00A31137" w:rsidP="00A31137">
      <w:r w:rsidRPr="00A31137">
        <w:t>Each House shall be the Judge of the Elections, Returns and Qualifications of its own Members, and a Majority of each shall constitute a Quorum to do business….</w:t>
      </w:r>
    </w:p>
    <w:p w:rsidR="00A31137" w:rsidRPr="00A31137" w:rsidRDefault="00A31137" w:rsidP="00A31137">
      <w:r w:rsidRPr="00A31137">
        <w:t>1995, U.S. Term Limits, Inc. v. Thornton, No. 93-1456</w:t>
      </w:r>
    </w:p>
    <w:p w:rsidR="00A31137" w:rsidRPr="00A31137" w:rsidRDefault="00A31137" w:rsidP="00A31137">
      <w:r w:rsidRPr="00A31137">
        <w:t>4. Justice Stewart dissented on procedural grounds, arguing that the case should have been dismissed as moot. See 395 U.S. at 559-561. Other than expressing agreement with the characterization of the case as raising constitutional issues which "'touch the bedrock of our political system [and] strike at the very heart of representative government,'" id. at  573, Justice Stewart did not comment on the merits.</w:t>
      </w:r>
    </w:p>
    <w:p w:rsidR="00A31137" w:rsidRPr="00A31137" w:rsidRDefault="00A31137" w:rsidP="00A31137">
      <w:r w:rsidRPr="00A31137">
        <w:t>1995, U.S. Term Limits, Inc. v. Thornton, No. 93-1456</w:t>
      </w:r>
    </w:p>
    <w:p w:rsidR="00A31137" w:rsidRPr="00A31137" w:rsidRDefault="00A31137" w:rsidP="00A31137">
      <w:r w:rsidRPr="00A31137">
        <w:t>5. The Powell Court emphasized the word "exclude" because it had been argued that the House Resolution depriving Powell of his seat should be viewed as an expulsion, rather than an exclusion. Having rejected that submission, the Court expressed no opinion on issues related to the House's power to expel a member who has been sworn in and seated.</w:t>
      </w:r>
    </w:p>
    <w:p w:rsidR="00A31137" w:rsidRPr="00A31137" w:rsidRDefault="00A31137" w:rsidP="00A31137">
      <w:r w:rsidRPr="00A31137">
        <w:t>1995, U.S. Term Limits, Inc. v. Thornton, No. 93-1456</w:t>
      </w:r>
    </w:p>
    <w:p w:rsidR="00A31137" w:rsidRPr="00A31137" w:rsidRDefault="00A31137" w:rsidP="00A31137">
      <w:r w:rsidRPr="00A31137">
        <w:t>6. Though Powell addressed only the power of the House, the Court pointed out that its rationale was equally applicable to the Senate:</w:t>
      </w:r>
    </w:p>
    <w:p w:rsidR="00A31137" w:rsidRPr="00A31137" w:rsidRDefault="00A31137" w:rsidP="00A31137">
      <w:r w:rsidRPr="00A31137">
        <w:t>1995, U.S. Term Limits, Inc. v. Thornton, No. 93-1456</w:t>
      </w:r>
    </w:p>
    <w:p w:rsidR="00A31137" w:rsidRPr="00A31137" w:rsidRDefault="00A31137" w:rsidP="00A31137">
      <w:r w:rsidRPr="00A31137">
        <w:t>Since Art I, § 5, cl 1, applies to both Houses of Congress, the scope of the Senate's power to judge the qualification of its members necessarily is identical to the scope of the House's power, with the exception, of course, that Art. I, § 3, cl 3, establishes different age and citizenship requirements for membership in the Senate.</w:t>
      </w:r>
    </w:p>
    <w:p w:rsidR="00A31137" w:rsidRPr="00A31137" w:rsidRDefault="00A31137" w:rsidP="00A31137">
      <w:r w:rsidRPr="00A31137">
        <w:t>1995, U.S. Term Limits, Inc. v. Thornton, No. 93-1456</w:t>
      </w:r>
    </w:p>
    <w:p w:rsidR="00A31137" w:rsidRPr="00A31137" w:rsidRDefault="00A31137" w:rsidP="00A31137">
      <w:r w:rsidRPr="00A31137">
        <w:t>Id. at  522, n. 44.</w:t>
      </w:r>
    </w:p>
    <w:p w:rsidR="00A31137" w:rsidRPr="00A31137" w:rsidRDefault="00A31137" w:rsidP="00A31137">
      <w:r w:rsidRPr="00A31137">
        <w:t>1995, U.S. Term Limits, Inc. v. Thornton, No. 93-1456</w:t>
      </w:r>
    </w:p>
    <w:p w:rsidR="00A31137" w:rsidRPr="00A31137" w:rsidRDefault="00A31137" w:rsidP="00A31137">
      <w:r w:rsidRPr="00A31137">
        <w:t>7. Though we recognized that Madison was responding to a proposal that would have allowed Congress to impose property restrictions, we noted that</w:t>
      </w:r>
    </w:p>
    <w:p w:rsidR="00A31137" w:rsidRPr="00A31137" w:rsidRDefault="00A31137" w:rsidP="00A31137">
      <w:r w:rsidRPr="00A31137">
        <w:t>1995, U.S. Term Limits, Inc. v. Thornton, No. 93-1456</w:t>
      </w:r>
    </w:p>
    <w:p w:rsidR="00A31137" w:rsidRPr="00A31137" w:rsidRDefault="00A31137" w:rsidP="00A31137">
      <w:r w:rsidRPr="00A31137">
        <w:t>Madison's argument was not aimed at the imposition of a property qualification as such, but rather at the delegation to the Congress of the discretionary power to establish any qualifications.</w:t>
      </w:r>
    </w:p>
    <w:p w:rsidR="00A31137" w:rsidRPr="00A31137" w:rsidRDefault="00A31137" w:rsidP="00A31137">
      <w:r w:rsidRPr="00A31137">
        <w:t>1995, U.S. Term Limits, Inc. v. Thornton, No. 93-1456</w:t>
      </w:r>
    </w:p>
    <w:p w:rsidR="00A31137" w:rsidRPr="00A31137" w:rsidRDefault="00A31137" w:rsidP="00A31137">
      <w:r w:rsidRPr="00A31137">
        <w:t>Id. at  534.</w:t>
      </w:r>
    </w:p>
    <w:p w:rsidR="00A31137" w:rsidRPr="00A31137" w:rsidRDefault="00A31137" w:rsidP="00A31137">
      <w:r w:rsidRPr="00A31137">
        <w:t>1995, U.S. Term Limits, Inc. v. Thornton, No. 93-1456</w:t>
      </w:r>
    </w:p>
    <w:p w:rsidR="00A31137" w:rsidRPr="00A31137" w:rsidRDefault="00A31137" w:rsidP="00A31137">
      <w:r w:rsidRPr="00A31137">
        <w:t>8. Our examination of the history also caused us to reject the argument that the negative phrasing of the Clauses indicated that the Framers did not limit the power of the House to impose additional qualifications for membership. Id. at  537 (noting that the Committee of Style, which edited the Qualifications Clauses to incorporate "their present negative form," had "no authority from the Convention to make alterations of substance in the Constitution as voted by the Convention, nor did it purport to do so"), id. at  539, quoting C. Warren, The Making of the Constitution 422, n. 1 (1947) (hereinafter Warren); see also 2 Farrand 553 (the Committee of Style was appointed "to revise the stile and arrange the articles which had been agreed to").</w:t>
      </w:r>
    </w:p>
    <w:p w:rsidR="00A31137" w:rsidRPr="00A31137" w:rsidRDefault="00A31137" w:rsidP="00A31137">
      <w:r w:rsidRPr="00A31137">
        <w:t>1995, U.S. Term Limits, Inc. v. Thornton, No. 93-1456</w:t>
      </w:r>
    </w:p>
    <w:p w:rsidR="00A31137" w:rsidRPr="00A31137" w:rsidRDefault="00A31137" w:rsidP="00A31137">
      <w:r w:rsidRPr="00A31137">
        <w:t>9. The text of the Qualifications Clauses also supports the result we reached in Powell. John Dickinson of Delaware observed that the enumeration of a few qualifications "would, by implication, tie up the hands of the Legislature from supplying omissions." 2 Farrand 123. Justice Story made the same point:</w:t>
      </w:r>
    </w:p>
    <w:p w:rsidR="00A31137" w:rsidRPr="00A31137" w:rsidRDefault="00A31137" w:rsidP="00A31137">
      <w:r w:rsidRPr="00A31137">
        <w:t>1995, U.S. Term Limits, Inc. v. Thornton, No. 93-1456</w:t>
      </w:r>
    </w:p>
    <w:p w:rsidR="00A31137" w:rsidRPr="00A31137" w:rsidRDefault="00A31137" w:rsidP="00A31137">
      <w:r w:rsidRPr="00A31137">
        <w:t>It would seem but fair reasoning upon the plainest principles of interpretation that, when the constitution established certain qualifications as necessary for office, it meant to exclude all others as prerequisites. From the very nature of such a provision, the affirmation of these qualifications would seem to imply a negative of all others.</w:t>
      </w:r>
    </w:p>
    <w:p w:rsidR="00A31137" w:rsidRPr="00A31137" w:rsidRDefault="00A31137" w:rsidP="00A31137">
      <w:r w:rsidRPr="00A31137">
        <w:t>1995, U.S. Term Limits, Inc. v. Thornton, No. 93-1456</w:t>
      </w:r>
    </w:p>
    <w:p w:rsidR="00A31137" w:rsidRPr="00A31137" w:rsidRDefault="00A31137" w:rsidP="00A31137">
      <w:r w:rsidRPr="00A31137">
        <w:t>1 J. Story, Commentaries on the Constitution of the United States § 625 (3d ed. 1858) (hereinafter Story). See also Warren 421 ("As the Constitution…expressly set forth the qualifications of age, citizenship, and residence, and as the Convention refused to grant to Congress power to establish qualifications in general, the maxim expressio unius exclusio alterius would seem to apply"). As Dickinson's comment demonstrates, the Framers' were well aware of the expressio unius argument that would result from their wording of the Qualifications Clauses; they adopted that wording nonetheless. There thus is no merit either to the dissent's suggestion that Story was the first to articulate the expressio unius argument, see post at ___, or to the dissent's assertion that that argument is completely without merit.</w:t>
      </w:r>
    </w:p>
    <w:p w:rsidR="00A31137" w:rsidRPr="00A31137" w:rsidRDefault="00A31137" w:rsidP="00A31137">
      <w:r w:rsidRPr="00A31137">
        <w:t>1995, U.S. Term Limits, Inc. v. Thornton, No. 93-1456</w:t>
      </w:r>
    </w:p>
    <w:p w:rsidR="00A31137" w:rsidRPr="00A31137" w:rsidRDefault="00A31137" w:rsidP="00A31137">
      <w:r w:rsidRPr="00A31137">
        <w:t>10. The principle also incorporated the more practical concern that reposing the power to adopt qualifications in Congress would lead to a self-perpetuating body to the detriment of the new republic. See, e.g., Powell, 395 U.S. at 533-534, quoting 2 Farrand 250 (Madison) ("'If the Legislature could regulate [the qualification of electors or elected], it can by degrees subvert the Constitution. A Republic may be converted into an aristocracy or oligarchy as well by limiting the number capable of being elected, as the number authorised to elect'"); 395 U.S. at 535-536 (citing statements of Williamson and Madison emphasizing the potential for legislative abuse).</w:t>
      </w:r>
    </w:p>
    <w:p w:rsidR="00A31137" w:rsidRPr="00A31137" w:rsidRDefault="00A31137" w:rsidP="00A31137">
      <w:r w:rsidRPr="00A31137">
        <w:t>1995, U.S. Term Limits, Inc. v. Thornton, No. 93-1456</w:t>
      </w:r>
    </w:p>
    <w:p w:rsidR="00A31137" w:rsidRPr="00A31137" w:rsidRDefault="00A31137" w:rsidP="00A31137">
      <w:r w:rsidRPr="00A31137">
        <w:t>11. Contrary to the dissent's suggestion, post at ___, we do not understand Powell as reading the Qualifications Clauses "to create a personal right to be a candidate for Congress." The Clauses did, however, further the interest of the people of the entire Nation in keeping the door to the National Legislature open to merit of every description.</w:t>
      </w:r>
    </w:p>
    <w:p w:rsidR="00A31137" w:rsidRPr="00A31137" w:rsidRDefault="00A31137" w:rsidP="00A31137">
      <w:r w:rsidRPr="00A31137">
        <w:t>1995, U.S. Term Limits, Inc. v. Thornton, No. 93-1456</w:t>
      </w:r>
    </w:p>
    <w:p w:rsidR="00A31137" w:rsidRPr="00A31137" w:rsidRDefault="00A31137" w:rsidP="00A31137">
      <w:r w:rsidRPr="00A31137">
        <w:t>12. JUSTICE THOMAS' dissent purports to agree with the outcome of Powell, but rejects the reasoning in the opinion. The dissent treats Powell as simply an application of the "default rule" that, if</w:t>
      </w:r>
    </w:p>
    <w:p w:rsidR="00A31137" w:rsidRPr="00A31137" w:rsidRDefault="00A31137" w:rsidP="00A31137">
      <w:r w:rsidRPr="00A31137">
        <w:t>1995, U.S. Term Limits, Inc. v. Thornton, No. 93-1456</w:t>
      </w:r>
    </w:p>
    <w:p w:rsidR="00A31137" w:rsidRPr="00A31137" w:rsidRDefault="00A31137" w:rsidP="00A31137">
      <w:r w:rsidRPr="00A31137">
        <w:t>the Constitution is silent about the exercise of a particular power—that is, where the Constitution does not speak either expressly or by necessary implication—the Federal Government lacks that power and the States enjoy it.</w:t>
      </w:r>
    </w:p>
    <w:p w:rsidR="00A31137" w:rsidRPr="00A31137" w:rsidRDefault="00A31137" w:rsidP="00A31137">
      <w:r w:rsidRPr="00A31137">
        <w:t>1995, U.S. Term Limits, Inc. v. Thornton, No. 93-1456</w:t>
      </w:r>
    </w:p>
    <w:p w:rsidR="00A31137" w:rsidRPr="00A31137" w:rsidRDefault="00A31137" w:rsidP="00A31137">
      <w:r w:rsidRPr="00A31137">
        <w:t>Post at ___. However, there is not a word in the Court's opinion in Powell suggesting that the decision rested on the "default rule" that undergirds the dissent's entire analysis. On the contrary, as the excerpt from Nixon quoted in the text plainly states, our conclusion in Powell was based on our understanding of the "fixed meaning of '[q]ualifications' set forth in Art. I, § 2." We concluded that the Framers affirmatively intended the qualifications set forth in the text of the Constitution to be exclusive in order to effectuate the principle that, in a representative democracy, the people should choose whom they please to govern them. Moreover, the Court has never treated the dissent's "default rule" as absolute. In McCulloch v. Maryland, 4 Wheat. 316 (1819), for example, Chief Justice Marshall rejected the argument that the Constitution's silence on state power to tax federal instrumentalities requires that States have the power to do so. Under the dissent's unyielding approach, it would seem that McCulloch was wrongly decided. Similarly, the dissent's approach would invalidate our dormant Commerce Clause jurisprudence, because the Constitution is clearly silent on the subject of state legislation that discriminates against interstate commerce. However, though JUSTICE THOMAS has endorsed just that argument, see, e. g., Oklahoma Tax Comm'n v. Jefferson Lines, Inc., 514 U.S. __ (1995) (SCALIA, J., concurring in judgment, joined by THOMAS, J.), the Court has consistently rejected that argument and has continued to apply the dormant Commerce Clause, see, e. g., id. at __; Bendix Autolite Corp. v. Midwesco Enterprises, Inc., 486 U.S. 888 (1988).</w:t>
      </w:r>
    </w:p>
    <w:p w:rsidR="00A31137" w:rsidRPr="00A31137" w:rsidRDefault="00A31137" w:rsidP="00A31137">
      <w:r w:rsidRPr="00A31137">
        <w:t>1995, U.S. Term Limits, Inc. v. Thornton, No. 93-1456</w:t>
      </w:r>
    </w:p>
    <w:p w:rsidR="00A31137" w:rsidRPr="00A31137" w:rsidRDefault="00A31137" w:rsidP="00A31137">
      <w:r w:rsidRPr="00A31137">
        <w:t>13. Our decision in Powell and its historical analysis were consistent with prior decisions from state courts. For example, in State ex rel. Johnson v. Crane, 65 Wyo. 189, 197 P.2d 864 (1948), the Wyoming Supreme Court undertook a detailed historical analysis and concluded that the Qualifications Clauses were exclusive. Several other courts reached the same result, though without performing the same detailed historical analysis. See, e.g., Hellmann v. Collier, 217 Md. 93, 141 A.2d 908 (1958); State ex rel. Chandler v. Howell, 104 Wash. 99, 175 P. 569 (1918); State ex rel. Eaton v. Schmahl, 140 Minn. 219, 167 N.W. 481 (1918); see generally State ex rel. Johnson v. Crane, 65 Wyo. at 204-213, 197 P.2d at 869-874 (citing cases). The conclusion and analysis were also consistent with the positions taken by commentators and scholars. See, e.g., n. 9, supra; see also Warren 412-422 (discussing history and concluding that "[t]he elimination of all power in Congress to fix qualifications clearly left the provisions of the Constitution itself as the sole source of qualifications").</w:t>
      </w:r>
    </w:p>
    <w:p w:rsidR="00A31137" w:rsidRPr="00A31137" w:rsidRDefault="00A31137" w:rsidP="00A31137">
      <w:r w:rsidRPr="00A31137">
        <w:t>1995, U.S. Term Limits, Inc. v. Thornton, No. 93-1456</w:t>
      </w:r>
    </w:p>
    <w:p w:rsidR="00A31137" w:rsidRPr="00A31137" w:rsidRDefault="00A31137" w:rsidP="00A31137">
      <w:r w:rsidRPr="00A31137">
        <w:t>14. More recently, the commentators have split, with some arguing that state-imposed term limits are constitutional, see, e. g., Gorsuch &amp; Guzman, Will the Gentlemen Please Yield? A Defense of the Constitutionality of State-Imposed Term Limitation, 20 Hofstra L.Rev. 341 (1991); Hills, A Defense of State Constitutional Limits on Federal Congressional Terms, 53 U.Pitt.L.Rev. 97 (1991); Safranek, Term Limitations: Do the Winds of Change Blow Unconstitutional?, 26 Creighton L.Rev. 321 (1993), and others arguing that they are not, see, e. g., Lowenstein, Are Congressional Term Limits Constitutional?, 18 Harv.J.L. &amp; Pub.Policy 1 (1994); Eid &amp; Kolbe, The New Anti-Federalism: The Constitutionality of State-Imposed Limits on Congressional Terms of Office, 69 Denv.L.Rev. 1 (1992); Comment, Congressional Term Limits: Unconstitutional by Initiative, 67 Wash.L.Rev. 415 (1992).</w:t>
      </w:r>
    </w:p>
    <w:p w:rsidR="00A31137" w:rsidRPr="00A31137" w:rsidRDefault="00A31137" w:rsidP="00A31137">
      <w:r w:rsidRPr="00A31137">
        <w:t>1995, U.S. Term Limits, Inc. v. Thornton, No. 93-1456</w:t>
      </w:r>
    </w:p>
    <w:p w:rsidR="00A31137" w:rsidRPr="00A31137" w:rsidRDefault="00A31137" w:rsidP="00A31137">
      <w:r w:rsidRPr="00A31137">
        <w:t>15. Thus, contrary to the dissent's suggestion, post at ___, Justice Story was not the first, only, or even most influential proponent of the principle that certain powers are not reserved to the States despite constitutional silence. Instead, as Chief Justice Marshall's opinion in McCulloch reveals, that principle has been a part of our jurisprudence for over 175 years.</w:t>
      </w:r>
    </w:p>
    <w:p w:rsidR="00A31137" w:rsidRPr="00A31137" w:rsidRDefault="00A31137" w:rsidP="00A31137">
      <w:r w:rsidRPr="00A31137">
        <w:t>1995, U.S. Term Limits, Inc. v. Thornton, No. 93-1456</w:t>
      </w:r>
    </w:p>
    <w:p w:rsidR="00A31137" w:rsidRPr="00A31137" w:rsidRDefault="00A31137" w:rsidP="00A31137">
      <w:r w:rsidRPr="00A31137">
        <w:t>16. The Constitution's provision for election of Senators by the state legislatures, see Art. I, § 3, cl. 1, is entirely consistent with this view. The power of state legislatures to elect Senators comes from an express delegation of power from the Constitution, and thus was not at all based on some aspect of original state power. Of course, with the adoption of the Seventeenth Amendment, state power over the election of Senators was eliminated, and Senators, like Representatives, were elected directly by the people.</w:t>
      </w:r>
    </w:p>
    <w:p w:rsidR="00A31137" w:rsidRPr="00A31137" w:rsidRDefault="00A31137" w:rsidP="00A31137">
      <w:r w:rsidRPr="00A31137">
        <w:t>1995, U.S. Term Limits, Inc. v. Thornton, No. 93-1456</w:t>
      </w:r>
    </w:p>
    <w:p w:rsidR="00A31137" w:rsidRPr="00A31137" w:rsidRDefault="00A31137" w:rsidP="00A31137">
      <w:r w:rsidRPr="00A31137">
        <w:t>17. The Clauses also reflect the idea that the Constitution treats both the President and Members of Congress as federal officers.</w:t>
      </w:r>
    </w:p>
    <w:p w:rsidR="00A31137" w:rsidRPr="00A31137" w:rsidRDefault="00A31137" w:rsidP="00A31137">
      <w:r w:rsidRPr="00A31137">
        <w:t>1995, U.S. Term Limits, Inc. v. Thornton, No. 93-1456</w:t>
      </w:r>
    </w:p>
    <w:p w:rsidR="00A31137" w:rsidRPr="00A31137" w:rsidRDefault="00A31137" w:rsidP="00A31137">
      <w:r w:rsidRPr="00A31137">
        <w:t>18. The dissent places a novel and implausible interpretation on this paragraph. Consistent with its entire analysis, the dissent reads Madison as saying that the sole purpose of the Qualifications Clause was to set minimum qualifications that would prevent the States from sending incompetent representatives to Congress; in other words, Madison viewed the Clause as preventing the States from opening the door to this part of the federal service too widely. See post at ___.The text of Federalist No. 52 belies the dissent's reading. First, Madison emphasized that "[t]he qualifications of the elected…[were] more susceptible of uniformity." His emphasis on uniformity would be quite anomalous if he envisioned that States would create for their representatives a patchwork of qualifications. Second, the idea that Madison was in fact concerned that States would open the doors to national service too widely is entirely inconsistent with Madison's emphasizing that the Constitution kept</w:t>
      </w:r>
    </w:p>
    <w:p w:rsidR="00A31137" w:rsidRPr="00A31137" w:rsidRDefault="00A31137" w:rsidP="00A31137">
      <w:r w:rsidRPr="00A31137">
        <w:t>1995, U.S. Term Limits, Inc. v. Thornton, No. 93-1456</w:t>
      </w:r>
    </w:p>
    <w:p w:rsidR="00A31137" w:rsidRPr="00A31137" w:rsidRDefault="00A31137" w:rsidP="00A31137">
      <w:r w:rsidRPr="00A31137">
        <w:t>the door…open to merit of every description, whether native or adoptive, whether young or old, and without regard to poverty or wealth, or to any particular profession of religious faith.</w:t>
      </w:r>
    </w:p>
    <w:p w:rsidR="00A31137" w:rsidRPr="00A31137" w:rsidRDefault="00A31137" w:rsidP="00A31137">
      <w:r w:rsidRPr="00A31137">
        <w:t>1995, U.S. Term Limits, Inc. v. Thornton, No. 93-1456</w:t>
      </w:r>
    </w:p>
    <w:p w:rsidR="00A31137" w:rsidRPr="00A31137" w:rsidRDefault="00A31137" w:rsidP="00A31137">
      <w:r w:rsidRPr="00A31137">
        <w:t>The Federalist No. 52 at 326. Finally the dissent argues that "Madison could not possibly have been rebuking the States for setting unduly high qualifications for their representatives in Congress," post at ___, and suggests that Madison's comments do not reflect "an implicit criticism of the States for setting unduly high entrance barriers," post at ___. We disagree. Though the dissent attempts to minimize the extensiveness of state-imposed qualifications by focusing on the qualifications that States imposed on delegates to Congress and the age restrictions that they imposed on state legislators, the dissent neglects to give appropriate attention to the abundance of property, religious, and other qualifications that States imposed on state elected officials. As we describe in some detail, infra at ___, nearly every State had property qualifications, and many States had religious qualifications, term limits, or other qualifications. As Madison surely recognized, without a constitutional prohibition, these qualifications could be applied to federal representatives. We cannot read Madison's comments on the "open door" of the Federal Government as anything but a rejection of the "unduly high" barriers imposed by States.</w:t>
      </w:r>
    </w:p>
    <w:p w:rsidR="00A31137" w:rsidRPr="00A31137" w:rsidRDefault="00A31137" w:rsidP="00A31137">
      <w:r w:rsidRPr="00A31137">
        <w:t>1995, U.S. Term Limits, Inc. v. Thornton, No. 93-1456</w:t>
      </w:r>
    </w:p>
    <w:p w:rsidR="00A31137" w:rsidRPr="00A31137" w:rsidRDefault="00A31137" w:rsidP="00A31137">
      <w:r w:rsidRPr="00A31137">
        <w:t>19. The dissent attacks our holding today by arguing that the Framers' distrust of the States extended only to measures adopted by "state legislatures," and not to measures adopted by "the people themselves." Post at ___. See also ibid. ("These delegates presumably did not want state legislatures to be able to tell Members of Congress from their State" how to vote) (emphasis added). The novelty and expansiveness of the dissent's attack is quite astonishing. We are aware of no case that would even suggest that the validity of a state law under the Federal Constitution would depend at all on whether the state law was passed by the state legislature or by the people directly through amendment of the state constitution. Indeed, no party has so argued. Quite simply, in our view, the dissent's distinction between state legislation passed by the state legislature and legislation passed by state constitutional amendment is untenable. The qualifications in the Constitution are fixed, and may not be altered by either States or their legislatures.</w:t>
      </w:r>
    </w:p>
    <w:p w:rsidR="00A31137" w:rsidRPr="00A31137" w:rsidRDefault="00A31137" w:rsidP="00A31137">
      <w:r w:rsidRPr="00A31137">
        <w:t>1995, U.S. Term Limits, Inc. v. Thornton, No. 93-1456</w:t>
      </w:r>
    </w:p>
    <w:p w:rsidR="00A31137" w:rsidRPr="00A31137" w:rsidRDefault="00A31137" w:rsidP="00A31137">
      <w:r w:rsidRPr="00A31137">
        <w:t>20. The Framers' decision to reject a proposal allowing for States to recall their own representatives, see 1 Farrand 20, 217, reflects these same concerns.</w:t>
      </w:r>
    </w:p>
    <w:p w:rsidR="00A31137" w:rsidRPr="00A31137" w:rsidRDefault="00A31137" w:rsidP="00A31137">
      <w:r w:rsidRPr="00A31137">
        <w:t>1995, U.S. Term Limits, Inc. v. Thornton, No. 93-1456</w:t>
      </w:r>
    </w:p>
    <w:p w:rsidR="00A31137" w:rsidRPr="00A31137" w:rsidRDefault="00A31137" w:rsidP="00A31137">
      <w:r w:rsidRPr="00A31137">
        <w:t>21. The dissent's arguments concerning these provisions of the Constitution, see post at ___, simply reinforce our argument that the constitutional provisions surrounding elections all reveal the Framers' basic fear that the States might act to undermine the National Legislature. For example, as the dissent concedes, the Framers' feared that States would use the control over salaries to influence the votes of their representative. See post at ___. Similarly, the dissent concedes that the Times, Places and Manner Clause reflects the Framers' fear that States would not conduct federal elections at all. See post at ___. We believe that the dissent's reading of the provisions at issue understates considerably the extent of the Framers' distrust. However, even under the dissent's reading of the provisions, the text of the Constitution unquestionably reveals the Framers' distrust of the States regarding elections, and thus provides powerful evidence supporting our view that the qualifications established in the Constitution are exclusive.</w:t>
      </w:r>
    </w:p>
    <w:p w:rsidR="00A31137" w:rsidRPr="00A31137" w:rsidRDefault="00A31137" w:rsidP="00A31137">
      <w:r w:rsidRPr="00A31137">
        <w:t>1995, U.S. Term Limits, Inc. v. Thornton, No. 93-1456</w:t>
      </w:r>
    </w:p>
    <w:p w:rsidR="00A31137" w:rsidRPr="00A31137" w:rsidRDefault="00A31137" w:rsidP="00A31137">
      <w:r w:rsidRPr="00A31137">
        <w:t>22. A proposal requiring rotation for members of the House was proposed at the Convention, see 1 Farrand 20, but was defeated unanimously, see id. at 217. There is no record of any debate on either occasion.</w:t>
      </w:r>
    </w:p>
    <w:p w:rsidR="00A31137" w:rsidRPr="00A31137" w:rsidRDefault="00A31137" w:rsidP="00A31137">
      <w:r w:rsidRPr="00A31137">
        <w:t>1995, U.S. Term Limits, Inc. v. Thornton, No. 93-1456</w:t>
      </w:r>
    </w:p>
    <w:p w:rsidR="00A31137" w:rsidRPr="00A31137" w:rsidRDefault="00A31137" w:rsidP="00A31137">
      <w:r w:rsidRPr="00A31137">
        <w:t>23. 2 Elliot's Debates 309-310 (N.Y., Smith). See also id. at 287-288 (N.Y., G. Livingston) (Senators will enjoy "a security of their reelection, as long as they please…. In such a situation, men are apt to forget their dependence, lose their sympathy, and contract selfish habits…. The senators will associate only with men of their own class, and thus become strangers to the condition of the common people"); id. at 30-31 (Mass., Turner) ("Knowing the numerous arts, that designing men are prone to, to secure their election, and perpetuate themselves, it is my hearty wish that a rotation may be provided for"); id. at 62 (Mass., Kingsley) ("[W]e are deprived of annual elections, have no rotation, and cannot recall our members; therefore our federal rulers will be masters, and not servants"); Samuel Bryan, "Centinel I," Independent Gazetteer (Phil., Oct. 5, 1787), 1 Debate on the Constitution 52, 61 (B. Bailyn ed. 1990) (hereinafter Bailyn) ("as there is no exclusion by rotation, [Senators] may be continued for life, which, from their extensive means of influence, would follow of course"); Letter from George Lee Turberville to Madison (Dec. 11, 1787), 1 Bailyn 477, 479 ("Why was not that truely republican mode of forcing the Rulers or sovereigns of the states to mix after stated Periods with the people again observed"); Mercy Otis Warren, "A Columbian Patriot" (Boston, Feb. 1788), 2 Bailyn 284, 292 ("There is no provision for a rotation, nor any thing to prevent the perpetuity of office in the same hands for life…. By this neglect, we lose the advantages of that check to the overbearing insolence of office, which by rendering him ineligible at certain periods, keeps the mind of man in equilibrio, and teaches him the feelings of the governed").</w:t>
      </w:r>
    </w:p>
    <w:p w:rsidR="00A31137" w:rsidRPr="00A31137" w:rsidRDefault="00A31137" w:rsidP="00A31137">
      <w:r w:rsidRPr="00A31137">
        <w:t>1995, U.S. Term Limits, Inc. v. Thornton, No. 93-1456</w:t>
      </w:r>
    </w:p>
    <w:p w:rsidR="00A31137" w:rsidRPr="00A31137" w:rsidRDefault="00A31137" w:rsidP="00A31137">
      <w:r w:rsidRPr="00A31137">
        <w:t>24. Letter of December 20, 1787 from Thomas Jefferson to James Madison. 1 id. at 209, 211. In 1814, in another private letter, Jefferson expressed the opinion that the States had not abandoned the power to impose term limits. See Letter of Jan. 31, 1814 to Joseph C. Cabell, in 14 Writings of Thomas Jefferson 82 (A. Lipscomb ed. 1904). Though he noted that his reasoning on the matter "appears to me to be sound," he went on to note:</w:t>
      </w:r>
    </w:p>
    <w:p w:rsidR="00A31137" w:rsidRPr="00A31137" w:rsidRDefault="00A31137" w:rsidP="00A31137">
      <w:r w:rsidRPr="00A31137">
        <w:t>1995, U.S. Term Limits, Inc. v. Thornton, No. 93-1456</w:t>
      </w:r>
    </w:p>
    <w:p w:rsidR="00A31137" w:rsidRPr="00A31137" w:rsidRDefault="00A31137" w:rsidP="00A31137">
      <w:r w:rsidRPr="00A31137">
        <w:t>but, on so recent a change of view, caution requires us not to be too confident, and that we admit this to be one of the doubtful questions on which honest men may differ with the purest of motives; and the more readily, as we find we have differed from ourselves on it.</w:t>
      </w:r>
    </w:p>
    <w:p w:rsidR="00A31137" w:rsidRPr="00A31137" w:rsidRDefault="00A31137" w:rsidP="00A31137">
      <w:r w:rsidRPr="00A31137">
        <w:t>1995, U.S. Term Limits, Inc. v. Thornton, No. 93-1456</w:t>
      </w:r>
    </w:p>
    <w:p w:rsidR="00A31137" w:rsidRPr="00A31137" w:rsidRDefault="00A31137" w:rsidP="00A31137">
      <w:r w:rsidRPr="00A31137">
        <w:t>Id. at 83. The text of Jefferson's response clearly belies the dissent's suggestion that Jefferson "himself did not entertain serious doubts of its correctness." Post at ___, n. 14.</w:t>
      </w:r>
    </w:p>
    <w:p w:rsidR="00A31137" w:rsidRPr="00A31137" w:rsidRDefault="00A31137" w:rsidP="00A31137">
      <w:r w:rsidRPr="00A31137">
        <w:t>1995, U.S. Term Limits, Inc. v. Thornton, No. 93-1456</w:t>
      </w:r>
    </w:p>
    <w:p w:rsidR="00A31137" w:rsidRPr="00A31137" w:rsidRDefault="00A31137" w:rsidP="00A31137">
      <w:r w:rsidRPr="00A31137">
        <w:t>25. See n. 40, infra.</w:t>
      </w:r>
    </w:p>
    <w:p w:rsidR="00A31137" w:rsidRPr="00A31137" w:rsidRDefault="00A31137" w:rsidP="00A31137">
      <w:r w:rsidRPr="00A31137">
        <w:t>1995, U.S. Term Limits, Inc. v. Thornton, No. 93-1456</w:t>
      </w:r>
    </w:p>
    <w:p w:rsidR="00A31137" w:rsidRPr="00A31137" w:rsidRDefault="00A31137" w:rsidP="00A31137">
      <w:r w:rsidRPr="00A31137">
        <w:t>26. George Washington made a similar argument:</w:t>
      </w:r>
    </w:p>
    <w:p w:rsidR="00A31137" w:rsidRPr="00A31137" w:rsidRDefault="00A31137" w:rsidP="00A31137">
      <w:r w:rsidRPr="00A31137">
        <w:t>1995, U.S. Term Limits, Inc. v. Thornton, No. 93-1456</w:t>
      </w:r>
    </w:p>
    <w:p w:rsidR="00A31137" w:rsidRPr="00A31137" w:rsidRDefault="00A31137" w:rsidP="00A31137">
      <w:r w:rsidRPr="00A31137">
        <w:t>The power under the Constitution will always be in the People. It is entrusted for certain defined purposes, and for a certain limited period, to representatives of their own chusing; and whenever it is executed contrary to their Interest, or not agreeable to their wishes, their Servants can, and undoubtedly will be, recalled.</w:t>
      </w:r>
    </w:p>
    <w:p w:rsidR="00A31137" w:rsidRPr="00A31137" w:rsidRDefault="00A31137" w:rsidP="00A31137">
      <w:r w:rsidRPr="00A31137">
        <w:t>1995, U.S. Term Limits, Inc. v. Thornton, No. 93-1456</w:t>
      </w:r>
    </w:p>
    <w:p w:rsidR="00A31137" w:rsidRPr="00A31137" w:rsidRDefault="00A31137" w:rsidP="00A31137">
      <w:r w:rsidRPr="00A31137">
        <w:t>1 Bailyn 305, 306-307.</w:t>
      </w:r>
    </w:p>
    <w:p w:rsidR="00A31137" w:rsidRPr="00A31137" w:rsidRDefault="00A31137" w:rsidP="00A31137">
      <w:r w:rsidRPr="00A31137">
        <w:t>1995, U.S. Term Limits, Inc. v. Thornton, No. 93-1456</w:t>
      </w:r>
    </w:p>
    <w:p w:rsidR="00A31137" w:rsidRPr="00A31137" w:rsidRDefault="00A31137" w:rsidP="00A31137">
      <w:r w:rsidRPr="00A31137">
        <w:t>27. Petitioners set forth several other arguments to support their contention that the Convention and ratification debates reveal that the qualifications in the Qualifications Clauses were not intended to be exclusive. We find none of these persuasive.</w:t>
      </w:r>
    </w:p>
    <w:p w:rsidR="00A31137" w:rsidRPr="00A31137" w:rsidRDefault="00A31137" w:rsidP="00A31137">
      <w:r w:rsidRPr="00A31137">
        <w:t>1995, U.S. Term Limits, Inc. v. Thornton, No. 93-1456</w:t>
      </w:r>
    </w:p>
    <w:p w:rsidR="00A31137" w:rsidRPr="00A31137" w:rsidRDefault="00A31137" w:rsidP="00A31137">
      <w:r w:rsidRPr="00A31137">
        <w:t>Petitioners first observe that the notes of Edmund Randolph, who was a member of the Committee of Detail, reveal that an early draft of the Qualifications Clause provided:</w:t>
      </w:r>
    </w:p>
    <w:p w:rsidR="00A31137" w:rsidRPr="00A31137" w:rsidRDefault="00A31137" w:rsidP="00A31137">
      <w:r w:rsidRPr="00A31137">
        <w:t>1995, U.S. Term Limits, Inc. v. Thornton, No. 93-1456</w:t>
      </w:r>
    </w:p>
    <w:p w:rsidR="00A31137" w:rsidRPr="00A31137" w:rsidRDefault="00A31137" w:rsidP="00A31137">
      <w:r w:rsidRPr="00A31137">
        <w:t>The qualifications of (a) delegates shall be the age of twenty-five years at least. and citizenship: (and any person possessing these qualifications may be elected except).</w:t>
      </w:r>
    </w:p>
    <w:p w:rsidR="00A31137" w:rsidRPr="00A31137" w:rsidRDefault="00A31137" w:rsidP="00A31137">
      <w:r w:rsidRPr="00A31137">
        <w:t>1995, U.S. Term Limits, Inc. v. Thornton, No. 93-1456</w:t>
      </w:r>
    </w:p>
    <w:p w:rsidR="00A31137" w:rsidRPr="00A31137" w:rsidRDefault="00A31137" w:rsidP="00A31137">
      <w:r w:rsidRPr="00A31137">
        <w:t>2 Farrand 139 (footnote omitted). Petitioners suggest that the deletion of the parenthetical material from the Clause suggests that the Framers did not intend the Qualifications Clause to be exclusive. We reject this argument. First, there is no evidence that the draft in Randolph's notes was ever presented to the Convention, and thus the deletion of the Clause tells us little about the views of the Convention as a whole. Moreover, even assuming that the Convention had seen the draft, the deletion of the language without comment is at least as consistent with a belief—as suggested by Dickinson, see n. 9, supra—that the language was superfluous as with a concern that the language was inappropriate. Finally, contrary to the rather ingenious argument advanced in the dissent, see post at ___, it seems to us irrelevant that the draft in question did not include a comparable parenthetical clause referring to "elected" Senators because the draft contemplated that senators, unlike Representatives, would not be chosen by popular election.</w:t>
      </w:r>
    </w:p>
    <w:p w:rsidR="00A31137" w:rsidRPr="00A31137" w:rsidRDefault="00A31137" w:rsidP="00A31137">
      <w:r w:rsidRPr="00A31137">
        <w:t>1995, U.S. Term Limits, Inc. v. Thornton, No. 93-1456</w:t>
      </w:r>
    </w:p>
    <w:p w:rsidR="00A31137" w:rsidRPr="00A31137" w:rsidRDefault="00A31137" w:rsidP="00A31137">
      <w:r w:rsidRPr="00A31137">
        <w:t>Nor is there merit to the argument that the inclusion in the Committee's final draft of a provision allowing each House to add property qualifications, see 2 Farrand 179, is somehow inconsistent with our holding today. First, there is no conflict between our holding that the qualifications for Congress are fixed in the Constitution and a provision in the Constitution itself providing for property qualifications. Indeed, that is why our analysis is consistent with the other disqualifications contained in the Constitution itself. See n. 2, supra. The Constitution simply prohibits the imposition by either States or Congress of additional qualifications that are not contained in the text of the Constitution. Second, of course, the property provision was deleted, thus providing further evidence that the Framers wanted to minimize the barriers that would exclude the most able citizens from service in the National government.</w:t>
      </w:r>
    </w:p>
    <w:p w:rsidR="00A31137" w:rsidRPr="00A31137" w:rsidRDefault="00A31137" w:rsidP="00A31137">
      <w:r w:rsidRPr="00A31137">
        <w:t>1995, U.S. Term Limits, Inc. v. Thornton, No. 93-1456</w:t>
      </w:r>
    </w:p>
    <w:p w:rsidR="00A31137" w:rsidRPr="00A31137" w:rsidRDefault="00A31137" w:rsidP="00A31137">
      <w:r w:rsidRPr="00A31137">
        <w:t>Respondent Republican Party of Arkansas also argues that the negative phrasing of the Qualifications Clauses suggests that they were not meant to be exclusive. Brief for Respondents Republican Party of Arkansas et al. 5-6. This argument was firmly rejected in Powell, see 395 U.S. at 537-539, and n. 73; see also Warren 422, n. 1, and we see no need to revisit it now.</w:t>
      </w:r>
    </w:p>
    <w:p w:rsidR="00A31137" w:rsidRPr="00A31137" w:rsidRDefault="00A31137" w:rsidP="00A31137">
      <w:r w:rsidRPr="00A31137">
        <w:t>1995, U.S. Term Limits, Inc. v. Thornton, No. 93-1456</w:t>
      </w:r>
    </w:p>
    <w:p w:rsidR="00A31137" w:rsidRPr="00A31137" w:rsidRDefault="00A31137" w:rsidP="00A31137">
      <w:r w:rsidRPr="00A31137">
        <w:t>28. We recognize that the "Committee of Elections were not unanimous in these sentiments," and that a "minority advocated the right of the State Legislature to prescribe additional qualifications to the members from the respective States." 17 Annals of Cong. 873 (1807).</w:t>
      </w:r>
    </w:p>
    <w:p w:rsidR="00A31137" w:rsidRPr="00A31137" w:rsidRDefault="00A31137" w:rsidP="00A31137">
      <w:r w:rsidRPr="00A31137">
        <w:t>1995, U.S. Term Limits, Inc. v. Thornton, No. 93-1456</w:t>
      </w:r>
    </w:p>
    <w:p w:rsidR="00A31137" w:rsidRPr="00A31137" w:rsidRDefault="00A31137" w:rsidP="00A31137">
      <w:r w:rsidRPr="00A31137">
        <w:t>29. See, e.g., Powell, 395 U.S. at 544-546 (noting examples).</w:t>
      </w:r>
    </w:p>
    <w:p w:rsidR="00A31137" w:rsidRPr="00A31137" w:rsidRDefault="00A31137" w:rsidP="00A31137">
      <w:r w:rsidRPr="00A31137">
        <w:t>1995, U.S. Term Limits, Inc. v. Thornton, No. 93-1456</w:t>
      </w:r>
    </w:p>
    <w:p w:rsidR="00A31137" w:rsidRPr="00A31137" w:rsidRDefault="00A31137" w:rsidP="00A31137">
      <w:r w:rsidRPr="00A31137">
        <w:t>30. See also 2 Farrand 123 (it is "improper that any man of merit should be subjected to disabilities in a Republic where merit was understood to form the great title to public trust, honors &amp; rewards") (Dickinson); The Federalist No. 36 at 217 ("There are strong minds in every walk of life that will rise superior to the disadvantages of situation and will command the tribute due to their merit, not only from the classes to which they particularly belong, but from the society in general. The door ought to be equally open to all") (Hamilton); N. Webster, "A Citizen of America," (Phil., Oct. 17, 1787), 1 Bailyn 129, 142 ("Money is not made a requisite—the places of senators are wisely left open to all persons of suitable age and merit").</w:t>
      </w:r>
    </w:p>
    <w:p w:rsidR="00A31137" w:rsidRPr="00A31137" w:rsidRDefault="00A31137" w:rsidP="00A31137">
      <w:r w:rsidRPr="00A31137">
        <w:t>1995, U.S. Term Limits, Inc. v. Thornton, No. 93-1456</w:t>
      </w:r>
    </w:p>
    <w:p w:rsidR="00A31137" w:rsidRPr="00A31137" w:rsidRDefault="00A31137" w:rsidP="00A31137">
      <w:r w:rsidRPr="00A31137">
        <w:t>31. Cf. Hawke v. Smith, 253 U.S. 221, 226 (1920) ("The Constitution of the United States was ordained by the people, and, when duly ratified, it became the Constitution of the people of the United States"). Compare U.S. Const., Preamble ("We the People") with The Articles of Confederation, reprinted in 2 Bailyn 926 ("we the under signed Delegates of the States").</w:t>
      </w:r>
    </w:p>
    <w:p w:rsidR="00A31137" w:rsidRPr="00A31137" w:rsidRDefault="00A31137" w:rsidP="00A31137">
      <w:r w:rsidRPr="00A31137">
        <w:t>1995, U.S. Term Limits, Inc. v. Thornton, No. 93-1456</w:t>
      </w:r>
    </w:p>
    <w:p w:rsidR="00A31137" w:rsidRPr="00A31137" w:rsidRDefault="00A31137" w:rsidP="00A31137">
      <w:r w:rsidRPr="00A31137">
        <w:t>32. There is little significance to the fact that Amendment 73 was adopted by a popular vote, rather than as an act of the state legislature. See n. 19, supra. In fact, none of the petitioners argues that the constitutionality of a state law would depend on the method of its adoption. This is proper, because the voters of Arkansas, in adopting Amendment 73, were acting as citizens of the State of Arkansas, and not as citizens of the National Government. The people of the State of Arkansas have no more power than does the Arkansas Legislature to supplement the qualifications for service in Congress. As Chief Justice Marshall emphasized in McCulloch,</w:t>
      </w:r>
    </w:p>
    <w:p w:rsidR="00A31137" w:rsidRPr="00A31137" w:rsidRDefault="00A31137" w:rsidP="00A31137">
      <w:r w:rsidRPr="00A31137">
        <w:t>1995, U.S. Term Limits, Inc. v. Thornton, No. 93-1456</w:t>
      </w:r>
    </w:p>
    <w:p w:rsidR="00A31137" w:rsidRPr="00A31137" w:rsidRDefault="00A31137" w:rsidP="00A31137">
      <w:r w:rsidRPr="00A31137">
        <w:t>Those means are not given by the people of a particular State, not given by the constituents of the legislature,…but by the people of all the States.</w:t>
      </w:r>
    </w:p>
    <w:p w:rsidR="00A31137" w:rsidRPr="00A31137" w:rsidRDefault="00A31137" w:rsidP="00A31137">
      <w:r w:rsidRPr="00A31137">
        <w:t>1995, U.S. Term Limits, Inc. v. Thornton, No. 93-1456</w:t>
      </w:r>
    </w:p>
    <w:p w:rsidR="00A31137" w:rsidRPr="00A31137" w:rsidRDefault="00A31137" w:rsidP="00A31137">
      <w:r w:rsidRPr="00A31137">
        <w:t>4 Wheat. at 428-429.</w:t>
      </w:r>
    </w:p>
    <w:p w:rsidR="00A31137" w:rsidRPr="00A31137" w:rsidRDefault="00A31137" w:rsidP="00A31137">
      <w:r w:rsidRPr="00A31137">
        <w:t>1995, U.S. Term Limits, Inc. v. Thornton, No. 93-1456</w:t>
      </w:r>
    </w:p>
    <w:p w:rsidR="00A31137" w:rsidRPr="00A31137" w:rsidRDefault="00A31137" w:rsidP="00A31137">
      <w:r w:rsidRPr="00A31137">
        <w:t>The dissent concedes that the people of the Nation have an interest in preventing any State from sending "immature, disloyal, or unknowledgeable representatives to Congress," post at ___, but does not explain why the people of the Nation lack a comparable interest in allowing every State to send mature, loyal, and knowledgeable representatives to Congress. In our view, the interest possessed by the people of the Nation and identified by the dissent is the same as the people's interest in making sure that, within</w:t>
      </w:r>
    </w:p>
    <w:p w:rsidR="00A31137" w:rsidRPr="00A31137" w:rsidRDefault="00A31137" w:rsidP="00A31137">
      <w:r w:rsidRPr="00A31137">
        <w:t>1995, U.S. Term Limits, Inc. v. Thornton, No. 93-1456</w:t>
      </w:r>
    </w:p>
    <w:p w:rsidR="00A31137" w:rsidRPr="00A31137" w:rsidRDefault="00A31137" w:rsidP="00A31137">
      <w:r w:rsidRPr="00A31137">
        <w:t>reasonable limitations, the door to this part of the federal government is open to merit of every description, whether native or adoptive, whether young or old, and without regard to poverty or wealth, or to any particular profession of religious faith.</w:t>
      </w:r>
    </w:p>
    <w:p w:rsidR="00A31137" w:rsidRPr="00A31137" w:rsidRDefault="00A31137" w:rsidP="00A31137">
      <w:r w:rsidRPr="00A31137">
        <w:t>1995, U.S. Term Limits, Inc. v. Thornton, No. 93-1456</w:t>
      </w:r>
    </w:p>
    <w:p w:rsidR="00A31137" w:rsidRPr="00A31137" w:rsidRDefault="00A31137" w:rsidP="00A31137">
      <w:r w:rsidRPr="00A31137">
        <w:t>The Federalist No. 52 at 326.</w:t>
      </w:r>
    </w:p>
    <w:p w:rsidR="00A31137" w:rsidRPr="00A31137" w:rsidRDefault="00A31137" w:rsidP="00A31137">
      <w:r w:rsidRPr="00A31137">
        <w:t>1995, U.S. Term Limits, Inc. v. Thornton, No. 93-1456</w:t>
      </w:r>
    </w:p>
    <w:p w:rsidR="00A31137" w:rsidRPr="00A31137" w:rsidRDefault="00A31137" w:rsidP="00A31137">
      <w:r w:rsidRPr="00A31137">
        <w:t>33. See, e.g., 7 Federal and State Constitutions, Colonial Charters, and Other Organic Laws of the States, Territories, and Colonies 3816 (F. Thorpe ed. 1909) (hereinafter Thorpe) (Virginia) (members of state legislature must be freeholders); 4 id. at 2460, 2461 (New Hampshire) (freehold estate of 200 pounds for state senators; estate of 100 pounds at least half of which is freehold, for state representatives); 3 id. at 1691, 1694 (Maryland) (real and personal property of over 500 pounds for House of Delegates; real and personal property of 1000 pounds for Senate); id. at 1897, 1898 (freehold estate of 300 pounds or personal estate of 600 pounds for State Senators; freehold estate of 100 pounds or ratable estate of 200 pounds for State Representatives); 1 id. at 562 (Delaware) (state legislators must be freeholders); 5 id. at 2595 (New Jersey) (Members of Legislative Council must be freeholders and must have real and personal property of 1,000 pounds; Members of Assembly must have real and personal property of 500 pounds); id. at 2631 (New York) (state senators must be freeholders); id. at 2790 (North Carolina) (100 acres of land for House; 300 acres of land in Senate); 2 id. at 779 (Georgia) (150 acres of land or property of 250 pounds); 6 id. at 3251 (South Carolina) (freehold estate of 2,000 pounds for state senate).</w:t>
      </w:r>
    </w:p>
    <w:p w:rsidR="00A31137" w:rsidRPr="00A31137" w:rsidRDefault="00A31137" w:rsidP="00A31137">
      <w:r w:rsidRPr="00A31137">
        <w:t>1995, U.S. Term Limits, Inc. v. Thornton, No. 93-1456</w:t>
      </w:r>
    </w:p>
    <w:p w:rsidR="00A31137" w:rsidRPr="00A31137" w:rsidRDefault="00A31137" w:rsidP="00A31137">
      <w:r w:rsidRPr="00A31137">
        <w:t>34. Judge Tucker expressed doubt about the constitutionality of the provisions of the Virginia statute, noting that "these provisions, as they require qualifications which the constitution does not, may possibly be found to be nugatory." 1 W. Blackstone, Commentaries Appendix 213 (S. Tucker ed. 1803). Judge Tucker noted the two primary arguments against the power to add such a qualification:</w:t>
      </w:r>
    </w:p>
    <w:p w:rsidR="00A31137" w:rsidRPr="00A31137" w:rsidRDefault="00A31137" w:rsidP="00A31137">
      <w:r w:rsidRPr="00A31137">
        <w:t>1995, U.S. Term Limits, Inc. v. Thornton, No. 93-1456</w:t>
      </w:r>
    </w:p>
    <w:p w:rsidR="00A31137" w:rsidRPr="00A31137" w:rsidRDefault="00A31137" w:rsidP="00A31137">
      <w:r w:rsidRPr="00A31137">
        <w:t>First, that in a representative government, the people have an undoubted right to judge for themselves of the qualification of their delegate, and if their opinion of the integrity of their representative will supply the want of estate, there can be no reason for the government to interfere, by saying, that the latter shall overbalance the former. Secondly; by requiring a qualification in estate it may often happen, that men the best qualified in other respects might be incapacitated from serving their country.</w:t>
      </w:r>
    </w:p>
    <w:p w:rsidR="00A31137" w:rsidRPr="00A31137" w:rsidRDefault="00A31137" w:rsidP="00A31137">
      <w:r w:rsidRPr="00A31137">
        <w:t>1995, U.S. Term Limits, Inc. v. Thornton, No. 93-1456</w:t>
      </w:r>
    </w:p>
    <w:p w:rsidR="00A31137" w:rsidRPr="00A31137" w:rsidRDefault="00A31137" w:rsidP="00A31137">
      <w:r w:rsidRPr="00A31137">
        <w:t>Ibid.</w:t>
      </w:r>
    </w:p>
    <w:p w:rsidR="00A31137" w:rsidRPr="00A31137" w:rsidRDefault="00A31137" w:rsidP="00A31137">
      <w:r w:rsidRPr="00A31137">
        <w:t>1995, U.S. Term Limits, Inc. v. Thornton, No. 93-1456</w:t>
      </w:r>
    </w:p>
    <w:p w:rsidR="00A31137" w:rsidRPr="00A31137" w:rsidRDefault="00A31137" w:rsidP="00A31137">
      <w:r w:rsidRPr="00A31137">
        <w:t>35. See 4 Thorpe 2477, 2479 (New Hampshire) (100 pounds for House; 200 pounds for Senate); 2 id. at 786 (Georgia) (200 acres of land or 150 pounds for House; 250 acres of land or 250 pounds for Senate); 6 id. at 3259 (South Carolina) (500 acres and 10 slaves or 150 pounds sterling for House; 300 pounds sterling for Senate); 1 id. at 570, 571 (Delaware) (freehold for House; freehold estate of 200 acres or real and personal property of 1,000 pounds for Senate). Pennsylvania amended its Constitution in 1790. Neither the old constitution nor the amended one contained property qualifications for state representatives. See 5 id. at 3084; id. at 3092-3093.</w:t>
      </w:r>
    </w:p>
    <w:p w:rsidR="00A31137" w:rsidRPr="00A31137" w:rsidRDefault="00A31137" w:rsidP="00A31137">
      <w:r w:rsidRPr="00A31137">
        <w:t>1995, U.S. Term Limits, Inc. v. Thornton, No. 93-1456</w:t>
      </w:r>
    </w:p>
    <w:p w:rsidR="00A31137" w:rsidRPr="00A31137" w:rsidRDefault="00A31137" w:rsidP="00A31137">
      <w:r w:rsidRPr="00A31137">
        <w:t>Several State Constitutions also imposed religious qualifications on state representatives. For example, New Hampshire's Constitution of 1784 and its Constitution of 1792 provided that members of the State Senate and House of Representatives be "of the protestant religion." 4 id. at 2460, 2461-2462 (1784 Constitution); id. at 2477, 2479 (1792 Constitution). North Carolina's Constitution provided that</w:t>
      </w:r>
    </w:p>
    <w:p w:rsidR="00A31137" w:rsidRPr="00A31137" w:rsidRDefault="00A31137" w:rsidP="00A31137">
      <w:r w:rsidRPr="00A31137">
        <w:t>1995, U.S. Term Limits, Inc. v. Thornton, No. 93-1456</w:t>
      </w:r>
    </w:p>
    <w:p w:rsidR="00A31137" w:rsidRPr="00A31137" w:rsidRDefault="00A31137" w:rsidP="00A31137">
      <w:r w:rsidRPr="00A31137">
        <w:t>no clergyman, or preacher of the gospel, of any denomination, shall be capable of being a member of either the Senate, House of Commons, or Council of State,</w:t>
      </w:r>
    </w:p>
    <w:p w:rsidR="00A31137" w:rsidRPr="00A31137" w:rsidRDefault="00A31137" w:rsidP="00A31137">
      <w:r w:rsidRPr="00A31137">
        <w:t>1995, U.S. Term Limits, Inc. v. Thornton, No. 93-1456</w:t>
      </w:r>
    </w:p>
    <w:p w:rsidR="00A31137" w:rsidRPr="00A31137" w:rsidRDefault="00A31137" w:rsidP="00A31137">
      <w:r w:rsidRPr="00A31137">
        <w:t>5 id. at 2793, and that</w:t>
      </w:r>
    </w:p>
    <w:p w:rsidR="00A31137" w:rsidRPr="00A31137" w:rsidRDefault="00A31137" w:rsidP="00A31137">
      <w:r w:rsidRPr="00A31137">
        <w:t>1995, U.S. Term Limits, Inc. v. Thornton, No. 93-1456</w:t>
      </w:r>
    </w:p>
    <w:p w:rsidR="00A31137" w:rsidRPr="00A31137" w:rsidRDefault="00A31137" w:rsidP="00A31137">
      <w:r w:rsidRPr="00A31137">
        <w:t>no person, who shall deny the being of God or the truth of the Protestant religion…shall be capable of holding any office or place of trust or profit in the civil department within this State,</w:t>
      </w:r>
    </w:p>
    <w:p w:rsidR="00A31137" w:rsidRPr="00A31137" w:rsidRDefault="00A31137" w:rsidP="00A31137">
      <w:r w:rsidRPr="00A31137">
        <w:t>1995, U.S. Term Limits, Inc. v. Thornton, No. 93-1456</w:t>
      </w:r>
    </w:p>
    <w:p w:rsidR="00A31137" w:rsidRPr="00A31137" w:rsidRDefault="00A31137" w:rsidP="00A31137">
      <w:r w:rsidRPr="00A31137">
        <w:t>ibid.   Georgia and South Carolina also had religious qualifications in their Constitutions for state legislators, see 2 id. at 779 (Georgia) ("of the Protestant religion"); 6 id. at 3252 (South Carolina) (must be "of the Protestant religion"), but deleted those provisions when they amended their Constitutions, in 1789, see 2 id. at 785, and in 1790, see 6 id. at 3258, respectively. Article VI of the Federal Constitution, however, prohibited States from imposing similar qualifications on federal legislators.</w:t>
      </w:r>
    </w:p>
    <w:p w:rsidR="00A31137" w:rsidRPr="00A31137" w:rsidRDefault="00A31137" w:rsidP="00A31137">
      <w:r w:rsidRPr="00A31137">
        <w:t>1995, U.S. Term Limits, Inc. v. Thornton, No. 93-1456</w:t>
      </w:r>
    </w:p>
    <w:p w:rsidR="00A31137" w:rsidRPr="00A31137" w:rsidRDefault="00A31137" w:rsidP="00A31137">
      <w:r w:rsidRPr="00A31137">
        <w:t>36. See 2 Bailyn 926, 927 ("[N]o person shall be capable of being a delegate for more than three years in any term of six years").</w:t>
      </w:r>
    </w:p>
    <w:p w:rsidR="00A31137" w:rsidRPr="00A31137" w:rsidRDefault="00A31137" w:rsidP="00A31137">
      <w:r w:rsidRPr="00A31137">
        <w:t>1995, U.S. Term Limits, Inc. v. Thornton, No. 93-1456</w:t>
      </w:r>
    </w:p>
    <w:p w:rsidR="00A31137" w:rsidRPr="00A31137" w:rsidRDefault="00A31137" w:rsidP="00A31137">
      <w:r w:rsidRPr="00A31137">
        <w:t>37. See 1 Farrand 20 ("Res[olved] that the members of the first branch of the National Legislature ought…to be incapable of reelection for the space of [blank] after the expiration of their term of service"). See also n. 22, supra.</w:t>
      </w:r>
    </w:p>
    <w:p w:rsidR="00A31137" w:rsidRPr="00A31137" w:rsidRDefault="00A31137" w:rsidP="00A31137">
      <w:r w:rsidRPr="00A31137">
        <w:t>1995, U.S. Term Limits, Inc. v. Thornton, No. 93-1456</w:t>
      </w:r>
    </w:p>
    <w:p w:rsidR="00A31137" w:rsidRPr="00A31137" w:rsidRDefault="00A31137" w:rsidP="00A31137">
      <w:r w:rsidRPr="00A31137">
        <w:t>38. See, e.g., G. Wood, Creation of the American Republic, 1776-1787, p. 140 (1969) (noting that seven of the ten State Constitutions drafted in 1776-1777 provided for term limits on their state executives); see also App. to Brief for State Petitioner 1b-34b (describing provisions of State Constitutions).</w:t>
      </w:r>
    </w:p>
    <w:p w:rsidR="00A31137" w:rsidRPr="00A31137" w:rsidRDefault="00A31137" w:rsidP="00A31137">
      <w:r w:rsidRPr="00A31137">
        <w:t>1995, U.S. Term Limits, Inc. v. Thornton, No. 93-1456</w:t>
      </w:r>
    </w:p>
    <w:p w:rsidR="00A31137" w:rsidRPr="00A31137" w:rsidRDefault="00A31137" w:rsidP="00A31137">
      <w:r w:rsidRPr="00A31137">
        <w:t>39. 3 Thorpe 1695-1697 (Maryland); 4 id. at 2467 (New Hampshire); 5 id. at 3085 (Pennsylvania); 5 id. at 2793 (North Carolina).</w:t>
      </w:r>
    </w:p>
    <w:p w:rsidR="00A31137" w:rsidRPr="00A31137" w:rsidRDefault="00A31137" w:rsidP="00A31137">
      <w:r w:rsidRPr="00A31137">
        <w:t>1995, U.S. Term Limits, Inc. v. Thornton, No. 93-1456</w:t>
      </w:r>
    </w:p>
    <w:p w:rsidR="00A31137" w:rsidRPr="00A31137" w:rsidRDefault="00A31137" w:rsidP="00A31137">
      <w:r w:rsidRPr="00A31137">
        <w:t>40. New York attached to its ratification a list of proposed amendments and "enjoin[ed] it upon their representatives in Congress to exert all their influence, and use all reasonable means, to obtain a ratification." 1 Elliot's Debates 329. One of the proposed amendments was "That no person be eligible as a senator for more than six years in any term of twelve years." Id. at 330. In Virginia, the Convention similarly "enjoin[ed] it upon their representatives," 2 Bailyn 564, to adopt "a Declaration or Bill of Rights," id. at 558, which would include the statement that members of the Executive and Legislative Branches</w:t>
      </w:r>
    </w:p>
    <w:p w:rsidR="00A31137" w:rsidRPr="00A31137" w:rsidRDefault="00A31137" w:rsidP="00A31137">
      <w:r w:rsidRPr="00A31137">
        <w:t>1995, U.S. Term Limits, Inc. v. Thornton, No. 93-1456</w:t>
      </w:r>
    </w:p>
    <w:p w:rsidR="00A31137" w:rsidRPr="00A31137" w:rsidRDefault="00A31137" w:rsidP="00A31137">
      <w:r w:rsidRPr="00A31137">
        <w:t>should at fixed periods, be reduced to a private station, return into the mass of the people; and the vacancies be supplied by certain and regular elections; in which all or any part of the former members to be eligible or ineligible, as the rules of the Constitution of Government, and the laws shall direct,</w:t>
      </w:r>
    </w:p>
    <w:p w:rsidR="00A31137" w:rsidRPr="00A31137" w:rsidRDefault="00A31137" w:rsidP="00A31137">
      <w:r w:rsidRPr="00A31137">
        <w:t>1995, U.S. Term Limits, Inc. v. Thornton, No. 93-1456</w:t>
      </w:r>
    </w:p>
    <w:p w:rsidR="00A31137" w:rsidRPr="00A31137" w:rsidRDefault="00A31137" w:rsidP="00A31137">
      <w:r w:rsidRPr="00A31137">
        <w:t>id. at 559. The North Carolina convention proposed nearly identical language, see id. at 566, though that Convention ultimately did not ratify the Constitution, see 4 Elliot's Debates 250-251. Thus, at least three states proposed some form of constitutional amendment supporting term limits for Members of Congress.</w:t>
      </w:r>
    </w:p>
    <w:p w:rsidR="00A31137" w:rsidRPr="00A31137" w:rsidRDefault="00A31137" w:rsidP="00A31137">
      <w:r w:rsidRPr="00A31137">
        <w:t>1995, U.S. Term Limits, Inc. v. Thornton, No. 93-1456</w:t>
      </w:r>
    </w:p>
    <w:p w:rsidR="00A31137" w:rsidRPr="00A31137" w:rsidRDefault="00A31137" w:rsidP="00A31137">
      <w:r w:rsidRPr="00A31137">
        <w:t>41. Petitioners and the dissent also point out that Georgia, Maryland, Massachusetts, Virginia, and North Carolina added district residency requirements, and petitioners note that New Jersey and Connecticut established nominating processes for congressional candidates. They rely on these facts to show that the States believed they had the power to add qualifications. We again are unpersuaded. First, establishing a nominating process is no more setting a qualification for office than is creating a primary. Second, it seems to us that States may simply have viewed district residency requirements as the necessary analog to state residency requirements. Thus state practice with respect to residency requirements does not necessarily indicate that States believed that they had a broad power to add restrictions. Finally, we consider the number of state-imposed qualifications to be remarkably small. Despite the array of property, religious, and other qualifications that were contained in State Constitutions, petitioners and the dissent can point to only one instance of a state-imposed property qualification on candidates for Congress, and five instances of district residency requirements. The state practice seems to us notable for its restraint, and thus supports the conclusion that States did not believe that they generally had the power to add qualifications.</w:t>
      </w:r>
    </w:p>
    <w:p w:rsidR="00A31137" w:rsidRPr="00A31137" w:rsidRDefault="00A31137" w:rsidP="00A31137">
      <w:r w:rsidRPr="00A31137">
        <w:t>1995, U.S. Term Limits, Inc. v. Thornton, No. 93-1456</w:t>
      </w:r>
    </w:p>
    <w:p w:rsidR="00A31137" w:rsidRPr="00A31137" w:rsidRDefault="00A31137" w:rsidP="00A31137">
      <w:r w:rsidRPr="00A31137">
        <w:t>Nor are we persuaded by the more recent state practice involving qualifications such as those that bar felons from being elected. As we have noted, the practice of States is a poor indicator of the effect of restraints on the States, and no court has ever upheld one of these restrictions. Moreover, as one moves away from 1789, it seems to us that state practice is even less indicative of the Framers' understanding of state power.</w:t>
      </w:r>
    </w:p>
    <w:p w:rsidR="00A31137" w:rsidRPr="00A31137" w:rsidRDefault="00A31137" w:rsidP="00A31137">
      <w:r w:rsidRPr="00A31137">
        <w:t>1995, U.S. Term Limits, Inc. v. Thornton, No. 93-1456</w:t>
      </w:r>
    </w:p>
    <w:p w:rsidR="00A31137" w:rsidRPr="00A31137" w:rsidRDefault="00A31137" w:rsidP="00A31137">
      <w:r w:rsidRPr="00A31137">
        <w:t>Finally, it is important to reemphasize that the dissent simply has no credible explanation as to why almost every State imposed property qualifications on state representatives but not on federal representatives. The dissent relies first on the obvious but seemingly irrelevant proposition that the state legislatures were larger than state congressional delegations. Post at ___, n. 37. If anything, the smaller size of the congressional delegation would have made States more likely to put qualifications on federal representatives since the election of any "pauper" would have had proportionally greater significance. The dissent also suggests that States failed to add qualifications out of fear that others, e. g., Congress, believed that States lacked the power to add such qualifications. Of course, this rationale is perfectly consistent with our view that the general understanding at the time was that States lacked the power to add qualifications.</w:t>
      </w:r>
    </w:p>
    <w:p w:rsidR="00A31137" w:rsidRPr="00A31137" w:rsidRDefault="00A31137" w:rsidP="00A31137">
      <w:r w:rsidRPr="00A31137">
        <w:t>1995, U.S. Term Limits, Inc. v. Thornton, No. 93-1456</w:t>
      </w:r>
    </w:p>
    <w:p w:rsidR="00A31137" w:rsidRPr="00A31137" w:rsidRDefault="00A31137" w:rsidP="00A31137">
      <w:r w:rsidRPr="00A31137">
        <w:t>42. Justice Dudley noted in his concurrence:</w:t>
      </w:r>
    </w:p>
    <w:p w:rsidR="00A31137" w:rsidRPr="00A31137" w:rsidRDefault="00A31137" w:rsidP="00A31137">
      <w:r w:rsidRPr="00A31137">
        <w:t>1995, U.S. Term Limits, Inc. v. Thornton, No. 93-1456</w:t>
      </w:r>
    </w:p>
    <w:p w:rsidR="00A31137" w:rsidRPr="00A31137" w:rsidRDefault="00A31137" w:rsidP="00A31137">
      <w:r w:rsidRPr="00A31137">
        <w:t>I am reassured by the style of this case, U.S. Term Limits, Inc. That name implies just what this amendment is: a practical limit on the terms of the members of the Congress.</w:t>
      </w:r>
    </w:p>
    <w:p w:rsidR="00A31137" w:rsidRPr="00A31137" w:rsidRDefault="00A31137" w:rsidP="00A31137">
      <w:r w:rsidRPr="00A31137">
        <w:t>1995, U.S. Term Limits, Inc. v. Thornton, No. 93-1456</w:t>
      </w:r>
    </w:p>
    <w:p w:rsidR="00A31137" w:rsidRPr="00A31137" w:rsidRDefault="00A31137" w:rsidP="00A31137">
      <w:r w:rsidRPr="00A31137">
        <w:t>316 Ark. at 276, 872 S.W.2d at 364 (opinion concurring in part and dissenting in part).</w:t>
      </w:r>
    </w:p>
    <w:p w:rsidR="00A31137" w:rsidRPr="00A31137" w:rsidRDefault="00A31137" w:rsidP="00A31137">
      <w:r w:rsidRPr="00A31137">
        <w:t>1995, U.S. Term Limits, Inc. v. Thornton, No. 93-1456</w:t>
      </w:r>
    </w:p>
    <w:p w:rsidR="00A31137" w:rsidRPr="00A31137" w:rsidRDefault="00A31137" w:rsidP="00A31137">
      <w:r w:rsidRPr="00A31137">
        <w:t>43. The uncontested data submitted to the Arkansas Supreme Court indicate that, in over 1,300 Senate elections since the passage of the Seventeenth Amendment in 1913, only one has been won by a write-in candidate. In over 20,000 House elections since the turn of the century, only five have been won by write-in candidates. App. 201-202. Indeed, it is for this reason that the Arkansas Supreme Court found the possibility of a write-in victory to be a mere "glimme[r] of opportunity for those disqualified." 316 Ark. at 266, 872 S.W.2d at 357; see also id. at 276, 872 S.W.2d at 364 (Dudley, J., concurring in part and dissenting in part) ("as a practical matter, the amendment would place term limits on service in the Congress").</w:t>
      </w:r>
    </w:p>
    <w:p w:rsidR="00A31137" w:rsidRPr="00A31137" w:rsidRDefault="00A31137" w:rsidP="00A31137">
      <w:r w:rsidRPr="00A31137">
        <w:t>1995, U.S. Term Limits, Inc. v. Thornton, No. 93-1456</w:t>
      </w:r>
    </w:p>
    <w:p w:rsidR="00A31137" w:rsidRPr="00A31137" w:rsidRDefault="00A31137" w:rsidP="00A31137">
      <w:r w:rsidRPr="00A31137">
        <w:t>44. Contrary to the dissent, post at ___, we read a majority of the Arkansas Supreme Court as holding that Amendment 73 has the same practical effect as an absolute bar. See 316 Ark. at 266, 872 S.W.2d at 357 (plurality opinion) (the "intent and the effect of Amendment 73 are to disqualify congressional incumbents from further service"); id. at 276, 872 S.W.2d at 364 (Dudley, J., concurring in part and dissenting in part) ("That name implies just what this amendment is: a practical limit on the terms of the members of the Congress"). However, as we note in the text, infra at ___, we do not rely on the State Court's finding on this point. See also infra at ___.</w:t>
      </w:r>
    </w:p>
    <w:p w:rsidR="00A31137" w:rsidRPr="00A31137" w:rsidRDefault="00A31137" w:rsidP="00A31137">
      <w:r w:rsidRPr="00A31137">
        <w:t>1995, U.S. Term Limits, Inc. v. Thornton, No. 93-1456</w:t>
      </w:r>
    </w:p>
    <w:p w:rsidR="00A31137" w:rsidRPr="00A31137" w:rsidRDefault="00A31137" w:rsidP="00A31137">
      <w:r w:rsidRPr="00A31137">
        <w:t>45. We noted in Lubin v. Panish, 415 U.S. 709 (1974), that</w:t>
      </w:r>
    </w:p>
    <w:p w:rsidR="00A31137" w:rsidRPr="00A31137" w:rsidRDefault="00A31137" w:rsidP="00A31137">
      <w:r w:rsidRPr="00A31137">
        <w:t>1995, U.S. Term Limits, Inc. v. Thornton, No. 93-1456</w:t>
      </w:r>
    </w:p>
    <w:p w:rsidR="00A31137" w:rsidRPr="00A31137" w:rsidRDefault="00A31137" w:rsidP="00A31137">
      <w:r w:rsidRPr="00A31137">
        <w:t>[t]he realities of the electoral process…strongly suggest that "access" via write-in votes falls far short of access in terms of having the name of the candidate on the ballot.</w:t>
      </w:r>
    </w:p>
    <w:p w:rsidR="00A31137" w:rsidRPr="00A31137" w:rsidRDefault="00A31137" w:rsidP="00A31137">
      <w:r w:rsidRPr="00A31137">
        <w:t>1995, U.S. Term Limits, Inc. v. Thornton, No. 93-1456</w:t>
      </w:r>
    </w:p>
    <w:p w:rsidR="00A31137" w:rsidRPr="00A31137" w:rsidRDefault="00A31137" w:rsidP="00A31137">
      <w:r w:rsidRPr="00A31137">
        <w:t>Id. at 719, n. 5; see also Anderson v. Celebrezze, 460 U.S. 780, 799, n. 26 (1983) ("We have previously noted that [a write-in] opportunity is not an adequate substitute for having the candidates name appear on the printed ballot"); United States v. Classic, 313 U.S. 299,  313 (1941) ("Even if…voters may lawfully write into their ballots, cast at the general election, the name of a candidate rejected at the primary and have their ballots counted, the practical operation of the primary law…is such as to impose serious restrictions upon the choice of candidates by the voters"); Burdick v. Takushi, 504 U.S. __, __, n. 7 (1992) ("If the dissent were correct in suggesting that requiring primary voters to select a specific ballot impermissibly burdened the right to vote, it is clear under our decisions that the availability of a write-in option would not provide an adequate remedy").</w:t>
      </w:r>
    </w:p>
    <w:p w:rsidR="00A31137" w:rsidRPr="00A31137" w:rsidRDefault="00A31137" w:rsidP="00A31137">
      <w:r w:rsidRPr="00A31137">
        <w:t>1995, U.S. Term Limits, Inc. v. Thornton, No. 93-1456</w:t>
      </w:r>
    </w:p>
    <w:p w:rsidR="00A31137" w:rsidRPr="00A31137" w:rsidRDefault="00A31137" w:rsidP="00A31137">
      <w:r w:rsidRPr="00A31137">
        <w:t>46. Article I, § 4, cl. 1 provides:</w:t>
      </w:r>
    </w:p>
    <w:p w:rsidR="00A31137" w:rsidRPr="00A31137" w:rsidRDefault="00A31137" w:rsidP="00A31137">
      <w:r w:rsidRPr="00A31137">
        <w:t>1995, U.S. Term Limits, Inc. v. Thornton, No. 93-1456</w:t>
      </w:r>
    </w:p>
    <w:p w:rsidR="00A31137" w:rsidRPr="00A31137" w:rsidRDefault="00A31137" w:rsidP="00A31137">
      <w:r w:rsidRPr="00A31137">
        <w:t>The Times, Places and Manner of holding Elections for Senators and Representatives, shall be prescribed in each State by the Legislature thereof; but the Congress may at any time by Law make or alter such Regulations, except as to the Places of chusing Senators.</w:t>
      </w:r>
    </w:p>
    <w:p w:rsidR="00A31137" w:rsidRPr="00A31137" w:rsidRDefault="00A31137" w:rsidP="00A31137">
      <w:r w:rsidRPr="00A31137">
        <w:t>1995, U.S. Term Limits, Inc. v. Thornton, No. 93-1456</w:t>
      </w:r>
    </w:p>
    <w:p w:rsidR="00A31137" w:rsidRPr="00A31137" w:rsidRDefault="00A31137" w:rsidP="00A31137">
      <w:r w:rsidRPr="00A31137">
        <w:t>47. See also "The Republican," Connecticut Courant (Hartford, Jan. 7, 1788), 1 Bailyn 710, 713 ("The constitution expressly provides that the choice shall be by the people, which cuts off both from the general and state Legislatures the power of so regulating the mode of election, as to deprive the people of a fair choice").</w:t>
      </w:r>
    </w:p>
    <w:p w:rsidR="00A31137" w:rsidRPr="00A31137" w:rsidRDefault="00A31137" w:rsidP="00A31137">
      <w:r w:rsidRPr="00A31137">
        <w:t>1995, U.S. Term Limits, Inc. v. Thornton, No. 93-1456</w:t>
      </w:r>
    </w:p>
    <w:p w:rsidR="00A31137" w:rsidRPr="00A31137" w:rsidRDefault="00A31137" w:rsidP="00A31137">
      <w:r w:rsidRPr="00A31137">
        <w:t>48. Nor does Clements v. Fashing, 457 U.S. 957 (1982) support petitioners. In Clements, the Court rejected First and Fourteenth Amendment challenges to Texas' so-called "resign-to-run" provision. That provision treated an elected state official's declaration of candidacy for another elected office as an automatic resignation from the office then held. We noted that the regulation was a permissible attempt to regulate state officeholders. See id. at 972 ("Appellees are elected state officeholders who contest restrictions on partisan political activity") (emphasis deleted); id. at 974, n. 1 (STEVENS, J., concurring in part and concurring in judgment) ("The fact that appellees hold state office is sufficient to justify a restriction on their ability to run for other office that is not imposed on the public generally"). As the Ninth Circuit recognized in upholding a similar resign-to-run statute from Arizona,</w:t>
      </w:r>
    </w:p>
    <w:p w:rsidR="00A31137" w:rsidRPr="00A31137" w:rsidRDefault="00A31137" w:rsidP="00A31137">
      <w:r w:rsidRPr="00A31137">
        <w:t>1995, U.S. Term Limits, Inc. v. Thornton, No. 93-1456</w:t>
      </w:r>
    </w:p>
    <w:p w:rsidR="00A31137" w:rsidRPr="00A31137" w:rsidRDefault="00A31137" w:rsidP="00A31137">
      <w:r w:rsidRPr="00A31137">
        <w:t>[t]he burden on candidacy…is indirect and attributable to a desire to regulate state officeholders and not to impose additional qualifications to serving in Congress.</w:t>
      </w:r>
    </w:p>
    <w:p w:rsidR="00A31137" w:rsidRPr="00A31137" w:rsidRDefault="00A31137" w:rsidP="00A31137">
      <w:r w:rsidRPr="00A31137">
        <w:t>1995, U.S. Term Limits, Inc. v. Thornton, No. 93-1456</w:t>
      </w:r>
    </w:p>
    <w:p w:rsidR="00A31137" w:rsidRPr="00A31137" w:rsidRDefault="00A31137" w:rsidP="00A31137">
      <w:r w:rsidRPr="00A31137">
        <w:t>Joyner v. Mofford, 706 F.2d 1523, 1528 (1983); see also Signorelli v. Evans, 637 F.2d 853, 859 (CA2 1980) ("New York's purpose is to regulate the judicial office that [the candidate] holds, not the Congressional office he seeks"). Moreover, as now Chief Judge Newman observed while upholding similar restrictions imposed by New York, such provisions "plac[e] no obstacle between [a candidate] and the ballot or his nomination or his election. He is free to run and the people are free to choose him." Id. at 858.</w:t>
      </w:r>
    </w:p>
    <w:p w:rsidR="00A31137" w:rsidRPr="00A31137" w:rsidRDefault="00A31137" w:rsidP="00A31137">
      <w:r w:rsidRPr="00A31137">
        <w:t>1995, U.S. Term Limits, Inc. v. Thornton, No. 93-1456</w:t>
      </w:r>
    </w:p>
    <w:p w:rsidR="00A31137" w:rsidRPr="00A31137" w:rsidRDefault="00A31137" w:rsidP="00A31137">
      <w:r w:rsidRPr="00A31137">
        <w:t>49. See U.S.Const., Amdt. 22 (1951) (limiting Presidents to two 4-year terms).</w:t>
      </w:r>
    </w:p>
    <w:p w:rsidR="00A31137" w:rsidRPr="00A31137" w:rsidRDefault="00A31137" w:rsidP="00A31137">
      <w:r w:rsidRPr="00A31137">
        <w:t>1995, U.S. Term Limits, Inc. v. Thornton, No. 93-1456</w:t>
      </w:r>
    </w:p>
    <w:p w:rsidR="00A31137" w:rsidRPr="00A31137" w:rsidRDefault="00A31137" w:rsidP="00A31137">
      <w:r w:rsidRPr="00A31137">
        <w:t>50. See, e.g., Amdt. 17 (1913) (direct elections of Senators); Amdt. 19 (1920) (extending suffrage to women); Amdt. 22 (1951) (Presidential term limits); Amdt. 24 (1964) (prohibition against poll taxes); Amdt. 26 (1971) (lowering age of voter eligibility to 18).</w:t>
      </w:r>
    </w:p>
    <w:p w:rsidR="00A31137" w:rsidRPr="00A31137" w:rsidRDefault="00A31137" w:rsidP="00A31137">
      <w:r w:rsidRPr="00A31137">
        <w:t>THOMAS, J., dissenting (Footnotes)</w:t>
      </w:r>
    </w:p>
    <w:p w:rsidR="00A31137" w:rsidRPr="00A31137" w:rsidRDefault="00A31137" w:rsidP="00A31137">
      <w:r w:rsidRPr="00A31137">
        <w:t>1995, U.S. Term Limits, Inc. v. Thornton, No. 93-1456</w:t>
      </w:r>
    </w:p>
    <w:p w:rsidR="00A31137" w:rsidRPr="00A31137" w:rsidRDefault="00A31137" w:rsidP="00A31137">
      <w:r w:rsidRPr="00A31137">
        <w:t>1. The ringing initial words of the Constitution—"We the People of the United States"—convey something of the same idea. (In the Constitution, after all, "the United States" is consistently a plural noun. See Art. I, § 9, cl. 8; Art. II, § 1, cl. 7; Art. III, § 2, cl. 1; Art. III, § 3, cl. 1; cf. Amar, Of Sovereignty and Federalism, 96 Yale L.J. 1425-1455 (1987) (Noting this fact, though reaching other conclusions).) The Preamble that the Philadelphia Convention approved before sending the Constitution to the Committee of Style is even clearer. It began:</w:t>
      </w:r>
    </w:p>
    <w:p w:rsidR="00A31137" w:rsidRPr="00A31137" w:rsidRDefault="00A31137" w:rsidP="00A31137">
      <w:r w:rsidRPr="00A31137">
        <w:t>1995, U.S. Term Limits, Inc. v. Thornton, No. 93-1456</w:t>
      </w:r>
    </w:p>
    <w:p w:rsidR="00A31137" w:rsidRPr="00A31137" w:rsidRDefault="00A31137" w:rsidP="00A31137">
      <w:r w:rsidRPr="00A31137">
        <w:t>We the people of the States of New-Hampshire, Massachusetts, Rhode-Island and Providence Plantations, Connecticut, New-York, New-Jersey, Pennsylvania, Delaware, Maryland, Virginia, North-Carolina, South-Carolina, and Georgia….</w:t>
      </w:r>
    </w:p>
    <w:p w:rsidR="00A31137" w:rsidRPr="00A31137" w:rsidRDefault="00A31137" w:rsidP="00A31137">
      <w:r w:rsidRPr="00A31137">
        <w:t>1995, U.S. Term Limits, Inc. v. Thornton, No. 93-1456</w:t>
      </w:r>
    </w:p>
    <w:p w:rsidR="00A31137" w:rsidRPr="00A31137" w:rsidRDefault="00A31137" w:rsidP="00A31137">
      <w:r w:rsidRPr="00A31137">
        <w:t>2 Records of the Federal Convention of 1787, p. 565 (M. Farrand ed. 1911) (hereinafter Farrand). Scholars have suggested that the Committee of Style adopted the current language because it was not clear that all the States would actually ratify the Constitution. M. Farrand, The Framing of the Constitution of the United States 190-191 (1913). In this instance, at least, I agree with the majority that the Committee's edits did not work a substantive change in the Constitution. Cf. ante at ___, n. 8.</w:t>
      </w:r>
    </w:p>
    <w:p w:rsidR="00A31137" w:rsidRPr="00A31137" w:rsidRDefault="00A31137" w:rsidP="00A31137">
      <w:r w:rsidRPr="00A31137">
        <w:t>1995, U.S. Term Limits, Inc. v. Thornton, No. 93-1456</w:t>
      </w:r>
    </w:p>
    <w:p w:rsidR="00A31137" w:rsidRPr="00A31137" w:rsidRDefault="00A31137" w:rsidP="00A31137">
      <w:r w:rsidRPr="00A31137">
        <w:t>2. The concurring opinion appears to draw precisely the opposite conclusion from the passage in McCulloch that contains this sentence. See ante at ___. But while the concurring opinion seizes on Marshall's references to "the people," Marshall was merely using that phrase in contradistinction to "the State governments." Counsel for Maryland had noted that "the constitution was formed and adopted, not by the people of the United States at large, but by the people of the respective States. To suppose that the mere proposition of this fundamental law threw the American people into one aggregate mass would be to assume what the instrument itself does not profess to establish." McCulloch, 4 Wheat. at 363 (argument of counsel). Marshall's opinion accepted this premise, even borrowing some of counsel's language. See id. at  403. What Marshall rejected was counsel's conclusion that the Constitution therefore was merely "a compact between the States." See id. at 363 (argument of counsel [omitted from electronic version]). As Marshall explained, the acts of "the people themselves" in the various ratifying conventions should not be confused with "the measures of the State governments." Id. at  403; see also id. at  404 (noting that no state government could control whether the people of that State decided to adopt the Constitution).</w:t>
      </w:r>
    </w:p>
    <w:p w:rsidR="00A31137" w:rsidRPr="00A31137" w:rsidRDefault="00A31137" w:rsidP="00A31137">
      <w:r w:rsidRPr="00A31137">
        <w:t>1995, U.S. Term Limits, Inc. v. Thornton, No. 93-1456</w:t>
      </w:r>
    </w:p>
    <w:p w:rsidR="00A31137" w:rsidRPr="00A31137" w:rsidRDefault="00A31137" w:rsidP="00A31137">
      <w:r w:rsidRPr="00A31137">
        <w:t>3. At the time of the Framing, of course, a Federal Congress had been operating under the Articles of Confederation for some 10 years. The States unquestionably had enjoyed the power to establish qualifications for their delegates to this body, above and beyond the qualifications created by the Articles themselves. See Brief for Respondents Bobbie E. Hill et al. 39, n. 79 (conceding this point); see also, e.g., Md.Const. of 1776, Art. XXVII (prescribing such qualifications), in 3 Federal and State Constitutions 1695-1696 (F. Thorpe ed. 1909) (hereinafter Thorpe); N.H.Const. of 1784, Pt. II (same), in 4 Thorpe 2467. It is surprising, then, that the concurring opinion seeks to buttress the majority's case by stressing the continuing applicability of "the same republican principles" that had prevailed under the Articles. See ante at ___.</w:t>
      </w:r>
    </w:p>
    <w:p w:rsidR="00A31137" w:rsidRPr="00A31137" w:rsidRDefault="00A31137" w:rsidP="00A31137">
      <w:r w:rsidRPr="00A31137">
        <w:t>1995, U.S. Term Limits, Inc. v. Thornton, No. 93-1456</w:t>
      </w:r>
    </w:p>
    <w:p w:rsidR="00A31137" w:rsidRPr="00A31137" w:rsidRDefault="00A31137" w:rsidP="00A31137">
      <w:r w:rsidRPr="00A31137">
        <w:t>4. Despite the majority's odd suggestion to the contrary, see ante at ___, n. 12, I fully agree with this sensible position. See supra at ___.</w:t>
      </w:r>
    </w:p>
    <w:p w:rsidR="00A31137" w:rsidRPr="00A31137" w:rsidRDefault="00A31137" w:rsidP="00A31137">
      <w:r w:rsidRPr="00A31137">
        <w:t>1995, U.S. Term Limits, Inc. v. Thornton, No. 93-1456</w:t>
      </w:r>
    </w:p>
    <w:p w:rsidR="00A31137" w:rsidRPr="00A31137" w:rsidRDefault="00A31137" w:rsidP="00A31137">
      <w:r w:rsidRPr="00A31137">
        <w:t>5. Though cited by the majority, see ante at ___, Crandall v. Nevada, 6 Wall. 35 (1868), did not deviate from this accepted view of McCulloch. See Crandall, supra, at 48 (observing that McCulloch and a number of other cases "distinctly placed the invalidity of the State taxes on the ground that they interfered with an authority of the Federal government").</w:t>
      </w:r>
    </w:p>
    <w:p w:rsidR="00A31137" w:rsidRPr="00A31137" w:rsidRDefault="00A31137" w:rsidP="00A31137">
      <w:r w:rsidRPr="00A31137">
        <w:t>1995, U.S. Term Limits, Inc. v. Thornton, No. 93-1456</w:t>
      </w:r>
    </w:p>
    <w:p w:rsidR="00A31137" w:rsidRPr="00A31137" w:rsidRDefault="00A31137" w:rsidP="00A31137">
      <w:r w:rsidRPr="00A31137">
        <w:t>6. To support its decision to attribute such surplusage to McCulloch, the majority quotes Marshall's observation that his opinion "'does not deprive the States of any resources which they originally possessed,'" because the power to tax federal instrumentalities was not encompassed by the States' "'original right to tax.'" Ante at ___ (quoting McCulloch, 4 Wheat. at  436,  430). In part, Marshall was simply refuting counsel's argument that it would constitute an "overwhelming invasion of State sovereignty" for Congress to establish a bank that operated within a State but that nonetheless was exempt from state taxes. See 4 Wheat. at 337-339 (argument of counsel) (stressing that "the right to raise revenue" is "the highest attribute of sovereignty" and indeed amounts to "the right to exist"). While Marshall acknowledged that "this original right of taxation" was an "essential" attribute of state sovereignty that Congress could not constitutionally control or invade, he focused more precisely than counsel on "the nature and extent of this original right," id. at  428, and concluded that it did not include the right "to tax the means employed by the government of the Union, for the execution of its powers." Id. at  430. In this respect, then, the Court was referring to the States' "original" powers in much the same context as Garcia: the Court was examining whether Congress' exercise of the "privilege of exempting its own measures from State taxation," McCulloch, supra, at  434, had invaded a protected sphere of state sovereignty. Marshall did go on to argue that the power to tax the operations of the Bank of the United States simply was not susceptible to control by the people of a single State. See 4 Wheat. at  430. But that theory is perfectly consistent with my position. Marshall reasoned that the people of a single State may not tax the instrumentalities employed by the people of all the States through the National Government, because such taxation would effectively subject the people of the several States to the taxing power of a single State. See id. at  428. This sort of argument proves that the people of a single State may not prescribe qualifications for the President of the United States; the selection of the President, like the operation of the Bank of the United States, is not up to the people of any single State. See infra at ___. It does not follow, however, that the people of a single State may not prescribe qualifications for their own representatives in Congress.</w:t>
      </w:r>
    </w:p>
    <w:p w:rsidR="00A31137" w:rsidRPr="00A31137" w:rsidRDefault="00A31137" w:rsidP="00A31137">
      <w:r w:rsidRPr="00A31137">
        <w:t>1995, U.S. Term Limits, Inc. v. Thornton, No. 93-1456</w:t>
      </w:r>
    </w:p>
    <w:p w:rsidR="00A31137" w:rsidRPr="00A31137" w:rsidRDefault="00A31137" w:rsidP="00A31137">
      <w:r w:rsidRPr="00A31137">
        <w:t>7. See 1 S. Johnson, A Dictionary of the English Language 393 (4th ed. 1773) (defining "congress" as "[a]n appointed meeting for settlement of affairs between different nations: as, the congress of Cambray"); T. Sheridan, A Complete Dictionary of the English Language (6th ed. 1796) ("an appointed meeting for settlement of affairs between different nations; the assembly which governs the United States of America").</w:t>
      </w:r>
    </w:p>
    <w:p w:rsidR="00A31137" w:rsidRPr="00A31137" w:rsidRDefault="00A31137" w:rsidP="00A31137">
      <w:r w:rsidRPr="00A31137">
        <w:t>1995, U.S. Term Limits, Inc. v. Thornton, No. 93-1456</w:t>
      </w:r>
    </w:p>
    <w:p w:rsidR="00A31137" w:rsidRPr="00A31137" w:rsidRDefault="00A31137" w:rsidP="00A31137">
      <w:r w:rsidRPr="00A31137">
        <w:t>8. The majority even suggests that congressional elections do not really work in this way, because each House of Congress has the power to judge its Members' qualifications. See ante at ___ (citing Art. I, § 5, cl. 1). But the power to act as "Judge" under Art. I, § 5, is merely the power to apply preexisting qualifications to which the people of each State have consented. See Powell v. McCormack, 395 U.S. 486 (1969). Whether or not § 5 directs each House to judge state law disqualifications as well as those contained in the Constitution, see infra at ___, it is clear that neither House may exclude a representative from Massachusetts for failure to meet a qualification that the people of Massachusetts have not accepted.</w:t>
      </w:r>
    </w:p>
    <w:p w:rsidR="00A31137" w:rsidRPr="00A31137" w:rsidRDefault="00A31137" w:rsidP="00A31137">
      <w:r w:rsidRPr="00A31137">
        <w:t>1995, U.S. Term Limits, Inc. v. Thornton, No. 93-1456</w:t>
      </w:r>
    </w:p>
    <w:p w:rsidR="00A31137" w:rsidRPr="00A31137" w:rsidRDefault="00A31137" w:rsidP="00A31137">
      <w:r w:rsidRPr="00A31137">
        <w:t>9. The only provision that might conceivably do so is Article II, § 1, which recognizes the authority of state legislatures to specify the "Manner" in which a State appoints its presidential electors. But if a qualifications law is a "Manner" regulation for purposes of this Clause, then it is also a "Manner" regulation for purposes of Article I, § 4—which would mean that the Constitution specifically recognizes the power of both the States and the Congress to set qualifications for Senators and Representatives.</w:t>
      </w:r>
    </w:p>
    <w:p w:rsidR="00A31137" w:rsidRPr="00A31137" w:rsidRDefault="00A31137" w:rsidP="00A31137">
      <w:r w:rsidRPr="00A31137">
        <w:t>1995, U.S. Term Limits, Inc. v. Thornton, No. 93-1456</w:t>
      </w:r>
    </w:p>
    <w:p w:rsidR="00A31137" w:rsidRPr="00A31137" w:rsidRDefault="00A31137" w:rsidP="00A31137">
      <w:r w:rsidRPr="00A31137">
        <w:t>10. Accord, e.g., 2 Elliot 24 (remarks of Caleb Strong at the Massachusetts ratifying convention) ("[I]f the legislature of a state should refuse to make such regulations, the consequence will be that the representatives will not be chosen, and the general government will be dissolved. In such case, can gentlemen say that a power to remedy the evil is not necessary to be lodged somewhere? And where can it be lodged but in Congress?"); 2 Documentary History of the Ratification of the Constitution 400 (M. Jensen ed. 1976) (notes of Anthony Wayne at the Pennsylvania ratifying convention) ("4th section occasioned by an eventual invasion, insurrection, etc."); The Federalist No. 59 at 363 (Hamilton) (observing that if not subject to any checks, the States "could at any moment annihilate [the Federal Government] by neglecting to provide for the choice of persons to administer its affairs").</w:t>
      </w:r>
    </w:p>
    <w:p w:rsidR="00A31137" w:rsidRPr="00A31137" w:rsidRDefault="00A31137" w:rsidP="00A31137">
      <w:r w:rsidRPr="00A31137">
        <w:t>1995, U.S. Term Limits, Inc. v. Thornton, No. 93-1456</w:t>
      </w:r>
    </w:p>
    <w:p w:rsidR="00A31137" w:rsidRPr="00A31137" w:rsidRDefault="00A31137" w:rsidP="00A31137">
      <w:r w:rsidRPr="00A31137">
        <w:t>These statements about the Clause's purposes also help refute the majority's claim that it was bizarre for the Framers to leave the States relatively free to enact qualifications for congressional office while simultaneously giving Congress "make or alter" power over the States' time, place, and manner regulations. See infra at ___.</w:t>
      </w:r>
    </w:p>
    <w:p w:rsidR="00A31137" w:rsidRPr="00A31137" w:rsidRDefault="00A31137" w:rsidP="00A31137">
      <w:r w:rsidRPr="00A31137">
        <w:t>1995, U.S. Term Limits, Inc. v. Thornton, No. 93-1456</w:t>
      </w:r>
    </w:p>
    <w:p w:rsidR="00A31137" w:rsidRPr="00A31137" w:rsidRDefault="00A31137" w:rsidP="00A31137">
      <w:r w:rsidRPr="00A31137">
        <w:t>11. Thus, the age requirement was intended to ensure that Members of Congress were people of mature judgment and experience. See, e.g., 1 Farrand 375 (remarks of George Mason at the Philadelphia Convention); 3 id. at 147 (remarks of James McHenry before the Maryland House of Delegates). The citizenship requirement was intended both to ensure that Members of Congress were familiar with the country and that they were not unduly susceptible to foreign influence. See, e.g., 2 id. at 216 (remarks of George Mason). The inhabitancy requirement was intended to produce a National Legislature whose Members, collectively, had a local knowledge of all the States. See, e.g., The Federalist No. 56 (Madison). The Ineligibility Clause was intended to guard against corruption. See, e.g., 1 Farrand 381 (remarks of Alexander Hamilton).</w:t>
      </w:r>
    </w:p>
    <w:p w:rsidR="00A31137" w:rsidRPr="00A31137" w:rsidRDefault="00A31137" w:rsidP="00A31137">
      <w:r w:rsidRPr="00A31137">
        <w:t>1995, U.S. Term Limits, Inc. v. Thornton, No. 93-1456</w:t>
      </w:r>
    </w:p>
    <w:p w:rsidR="00A31137" w:rsidRPr="00A31137" w:rsidRDefault="00A31137" w:rsidP="00A31137">
      <w:r w:rsidRPr="00A31137">
        <w:t>12. The principle that the Constitution rests on the consent of the people of the States points in the same direction. Both the process of selecting delegates to the Philadelphia Convention and the ratification procedure erected by Article VII were designed to let the States and the people of the States protect their interests. Lest those protections be evaded, one should not be quick to read the Qualifications Clauses as imposing unstated prohibitions that preempt all state qualifications laws. Cf. L. Tribe, American Constitutional Law § 6-25, p. 480 (2d ed. 1988) (arguing that courts should hesitate to read federal statutes to preempt state law, because "to give the state-displacing weight of federal law to mere congressional ambiguity would evade the very procedure for lawmaking on which Garcia [v. San Antonio Metropolitan Transit Authority, 469 U.S. 528 (1985)] relied to protect states' interests"); Gregory v. Ashcroft, 501 U.S. 452, 464 (1991) (applying this argument).</w:t>
      </w:r>
    </w:p>
    <w:p w:rsidR="00A31137" w:rsidRPr="00A31137" w:rsidRDefault="00A31137" w:rsidP="00A31137">
      <w:r w:rsidRPr="00A31137">
        <w:t>1995, U.S. Term Limits, Inc. v. Thornton, No. 93-1456</w:t>
      </w:r>
    </w:p>
    <w:p w:rsidR="00A31137" w:rsidRPr="00A31137" w:rsidRDefault="00A31137" w:rsidP="00A31137">
      <w:r w:rsidRPr="00A31137">
        <w:t>13. Even when Congress enacted the first federal naturalization law in 1790, it left open the possibility that the individual States could establish more lenient standards of their own for admitting people to citizenship. While Hamilton had suggested that Congress' power to "establish an uniform Rule" logically precluded the States from deviating downward from the rule that Congress established, see The Federalist No. 32 at 199, the early cases on this question took the opposite view. See Collet v. Collet, 2 Dall. 294, 296 (CC Pa. 1792) (Wilson, Blair, and Peters, JJ.). States therefore continued to enact naturalization laws of their own until 1795, when Congress passed an exclusive naturalization law. See J. Kettner, Development of American Citizenship, 1608-1870, pp. 242-243 (1978).</w:t>
      </w:r>
    </w:p>
    <w:p w:rsidR="00A31137" w:rsidRPr="00A31137" w:rsidRDefault="00A31137" w:rsidP="00A31137">
      <w:r w:rsidRPr="00A31137">
        <w:t>1995, U.S. Term Limits, Inc. v. Thornton, No. 93-1456</w:t>
      </w:r>
    </w:p>
    <w:p w:rsidR="00A31137" w:rsidRPr="00A31137" w:rsidRDefault="00A31137" w:rsidP="00A31137">
      <w:r w:rsidRPr="00A31137">
        <w:t>14. The majority notes Jefferson's concession that state power to supplement the Qualifications Clauses was "one of the doubtful questions on which honest men may differ with the purest motives." See ante at ___, n. 24; 14 Writings of Thomas Jefferson 83 (A. Lipscomb ed. 1904). But while Jefferson cautioned against impugning the motives of people who might disagree with his position, his use of the phrase "[o]f course" suggests that he himself did not entertain serious doubts of its correctness.</w:t>
      </w:r>
    </w:p>
    <w:p w:rsidR="00A31137" w:rsidRPr="00A31137" w:rsidRDefault="00A31137" w:rsidP="00A31137">
      <w:r w:rsidRPr="00A31137">
        <w:t>1995, U.S. Term Limits, Inc. v. Thornton, No. 93-1456</w:t>
      </w:r>
    </w:p>
    <w:p w:rsidR="00A31137" w:rsidRPr="00A31137" w:rsidRDefault="00A31137" w:rsidP="00A31137">
      <w:r w:rsidRPr="00A31137">
        <w:t>15. The majority also errs in its interpretation of Nixon v. United States, 506 U.S. ___ (1993). See ante at ___, n. 12. In dictum, Nixon did refer to "the fixed meaning of '[q]ualifications' set forth in Art. I, § 2." 506 U.S. at ___. But as both the surrounding context and the internal punctuation of this passage make clear, Nixon was referring to the meaning of the word "Qualifications" in § 5; that term, after all, does not even appear in the House Qualifications Clause of § 2. Thus, Nixon merely said that § 5 directs the House to judge the qualifications "set forth in Art. I, § 2," and not qualifications of its own invention. See also infra at ___. There would have been no occasion for Nixon to extend Powell: the only point of its discussion was to explain why the question at issue in Powell was justiciable, while the question at issue in Nixon (which concerned impeachment) was not.</w:t>
      </w:r>
    </w:p>
    <w:p w:rsidR="00A31137" w:rsidRPr="00A31137" w:rsidRDefault="00A31137" w:rsidP="00A31137">
      <w:r w:rsidRPr="00A31137">
        <w:t>1995, U.S. Term Limits, Inc. v. Thornton, No. 93-1456</w:t>
      </w:r>
    </w:p>
    <w:p w:rsidR="00A31137" w:rsidRPr="00A31137" w:rsidRDefault="00A31137" w:rsidP="00A31137">
      <w:r w:rsidRPr="00A31137">
        <w:t>16. Oregon, for instance, pioneered a system in which the state legislature bound itself to appoint the candidates chosen in a state-wide vote of the people. See Hills, A Defense of State Constitutional Limits on Federal Congressional Terms, 53 U.Pitt.L.Rev. 97, 108 (1991). The majority is in the uncomfortable position of suggesting that this system violated "democratic principles."</w:t>
      </w:r>
    </w:p>
    <w:p w:rsidR="00A31137" w:rsidRPr="00A31137" w:rsidRDefault="00A31137" w:rsidP="00A31137">
      <w:r w:rsidRPr="00A31137">
        <w:t>1995, U.S. Term Limits, Inc. v. Thornton, No. 93-1456</w:t>
      </w:r>
    </w:p>
    <w:p w:rsidR="00A31137" w:rsidRPr="00A31137" w:rsidRDefault="00A31137" w:rsidP="00A31137">
      <w:r w:rsidRPr="00A31137">
        <w:t>17. For instance, the majority quotes Noah Webster's observation that, under the Constitution,</w:t>
      </w:r>
    </w:p>
    <w:p w:rsidR="00A31137" w:rsidRPr="00A31137" w:rsidRDefault="00A31137" w:rsidP="00A31137">
      <w:r w:rsidRPr="00A31137">
        <w:t>1995, U.S. Term Limits, Inc. v. Thornton, No. 93-1456</w:t>
      </w:r>
    </w:p>
    <w:p w:rsidR="00A31137" w:rsidRPr="00A31137" w:rsidRDefault="00A31137" w:rsidP="00A31137">
      <w:r w:rsidRPr="00A31137">
        <w:t>the places of senators are wisely left open to all persons of suitable age and merit, and who have been citizens of the United States for nine years.</w:t>
      </w:r>
    </w:p>
    <w:p w:rsidR="00A31137" w:rsidRPr="00A31137" w:rsidRDefault="00A31137" w:rsidP="00A31137">
      <w:r w:rsidRPr="00A31137">
        <w:t>1995, U.S. Term Limits, Inc. v. Thornton, No. 93-1456</w:t>
      </w:r>
    </w:p>
    <w:p w:rsidR="00A31137" w:rsidRPr="00A31137" w:rsidRDefault="00A31137" w:rsidP="00A31137">
      <w:r w:rsidRPr="00A31137">
        <w:t>See ante at ___, n. 30 (quoting "A Citizen of America" (Oct. 17, 1787), in 1 Debate on the Constitution 129, 142 (B. Bailyn ed. 1993) (hereinafter Bailyn)). But there is no reason to read Webster as denying the power of state legislatures to pass resolutions limiting the field of potential candidates that they would consider for appointment to the Senate. Indeed, it seems implausible that Webster would have been invoking the majority's vision of "democratic principles" in support of the constitutional provisions calling for senators to be appointed by the various state legislatures rather than being elected directly by the people of the States. Similarly, the majority quotes a newspaper piece written by John Stevens, Jr., to the people of New York. See ante at ___. But Stevens gave the following explanation for his assertion that "[n]o man who has real merit…need despair" under the system erected by the Constitution:</w:t>
      </w:r>
    </w:p>
    <w:p w:rsidR="00A31137" w:rsidRPr="00A31137" w:rsidRDefault="00A31137" w:rsidP="00A31137">
      <w:r w:rsidRPr="00A31137">
        <w:t>1995, U.S. Term Limits, Inc. v. Thornton, No. 93-1456</w:t>
      </w:r>
    </w:p>
    <w:p w:rsidR="00A31137" w:rsidRPr="00A31137" w:rsidRDefault="00A31137" w:rsidP="00A31137">
      <w:r w:rsidRPr="00A31137">
        <w:t>He first distinguishes himself amongst his neighbours at township and county meeting; he is next sent to the State Legislature. In this theatre, his abilities…are…displayed to the views of every man in the State: from hence his ascent to a seat in Congress becomes easy and sure.</w:t>
      </w:r>
    </w:p>
    <w:p w:rsidR="00A31137" w:rsidRPr="00A31137" w:rsidRDefault="00A31137" w:rsidP="00A31137">
      <w:r w:rsidRPr="00A31137">
        <w:t>1995, U.S. Term Limits, Inc. v. Thornton, No. 93-1456</w:t>
      </w:r>
    </w:p>
    <w:p w:rsidR="00A31137" w:rsidRPr="00A31137" w:rsidRDefault="00A31137" w:rsidP="00A31137">
      <w:r w:rsidRPr="00A31137">
        <w:t>"Americanus," Daily Advertiser, Dec. 12, 1787, in 1 Bailyn 487, 492. As the States indisputably controlled eligibility requirements for membership in the various state legislatures, and indeed had established some disqualifications, I do not read Stevens to be saying that they were barred from doing the same thing with respect to Congress. Without addressing whether the people of the States may supplement the Qualifications Clauses, Stevens was merely praising the Constitution for imposing few such requirements of its own.</w:t>
      </w:r>
    </w:p>
    <w:p w:rsidR="00A31137" w:rsidRPr="00A31137" w:rsidRDefault="00A31137" w:rsidP="00A31137">
      <w:r w:rsidRPr="00A31137">
        <w:t>1995, U.S. Term Limits, Inc. v. Thornton, No. 93-1456</w:t>
      </w:r>
    </w:p>
    <w:p w:rsidR="00A31137" w:rsidRPr="00A31137" w:rsidRDefault="00A31137" w:rsidP="00A31137">
      <w:r w:rsidRPr="00A31137">
        <w:t>18. For instance, the majority quotes at length from the debate that arose in the Philadelphia Convention when the Committee of Detail proposed the following clause:</w:t>
      </w:r>
    </w:p>
    <w:p w:rsidR="00A31137" w:rsidRPr="00A31137" w:rsidRDefault="00A31137" w:rsidP="00A31137">
      <w:r w:rsidRPr="00A31137">
        <w:t>1995, U.S. Term Limits, Inc. v. Thornton, No. 93-1456</w:t>
      </w:r>
    </w:p>
    <w:p w:rsidR="00A31137" w:rsidRPr="00A31137" w:rsidRDefault="00A31137" w:rsidP="00A31137">
      <w:r w:rsidRPr="00A31137">
        <w:t>The Legislature of the United States shall have authority to establish such uniform qualifications of the members of each House, with regard to property, as to the said Legislature shall seem expedient.</w:t>
      </w:r>
    </w:p>
    <w:p w:rsidR="00A31137" w:rsidRPr="00A31137" w:rsidRDefault="00A31137" w:rsidP="00A31137">
      <w:r w:rsidRPr="00A31137">
        <w:t>1995, U.S. Term Limits, Inc. v. Thornton, No. 93-1456</w:t>
      </w:r>
    </w:p>
    <w:p w:rsidR="00A31137" w:rsidRPr="00A31137" w:rsidRDefault="00A31137" w:rsidP="00A31137">
      <w:r w:rsidRPr="00A31137">
        <w:t>See 2 Farrand 179, 248-251; ante at ___. The defeat of this proposal—like the defeat of Gouverneur Morris' motion to drop the words "with regard to property" from the clause, so as to empower Congress to enact qualifications of any sort—simply reflects the Framers' decision not to grant Congress the power to supplement the constitutional qualifications. Considered out of context, some of James Madison's comments during the debate might be thought to go farther. See ante at ___. But the majority itself properly dispels this false impression. See ante at ___, n. 10; see also Powell v. McCormack, 395 U.S. at  534.</w:t>
      </w:r>
    </w:p>
    <w:p w:rsidR="00A31137" w:rsidRPr="00A31137" w:rsidRDefault="00A31137" w:rsidP="00A31137">
      <w:r w:rsidRPr="00A31137">
        <w:t>1995, U.S. Term Limits, Inc. v. Thornton, No. 93-1456</w:t>
      </w:r>
    </w:p>
    <w:p w:rsidR="00A31137" w:rsidRPr="00A31137" w:rsidRDefault="00A31137" w:rsidP="00A31137">
      <w:r w:rsidRPr="00A31137">
        <w:t>Likewise, Powell drew support from Alexander Hamilton's comments in The Federalist No. 60, which the majority also quotes. See ante at ___. But as the majority concedes, when Hamilton wrote that</w:t>
      </w:r>
    </w:p>
    <w:p w:rsidR="00A31137" w:rsidRPr="00A31137" w:rsidRDefault="00A31137" w:rsidP="00A31137">
      <w:r w:rsidRPr="00A31137">
        <w:t>1995, U.S. Term Limits, Inc. v. Thornton, No. 93-1456</w:t>
      </w:r>
    </w:p>
    <w:p w:rsidR="00A31137" w:rsidRPr="00A31137" w:rsidRDefault="00A31137" w:rsidP="00A31137">
      <w:r w:rsidRPr="00A31137">
        <w:t>[t]he qualifications of the persons who may choose or be chosen [for Congress]…are defined and fixed in the Constitution, and are unalterable by the legislature,</w:t>
      </w:r>
    </w:p>
    <w:p w:rsidR="00A31137" w:rsidRPr="00A31137" w:rsidRDefault="00A31137" w:rsidP="00A31137">
      <w:r w:rsidRPr="00A31137">
        <w:t>1995, U.S. Term Limits, Inc. v. Thornton, No. 93-1456</w:t>
      </w:r>
    </w:p>
    <w:p w:rsidR="00A31137" w:rsidRPr="00A31137" w:rsidRDefault="00A31137" w:rsidP="00A31137">
      <w:r w:rsidRPr="00A31137">
        <w:t>he was merely restating his prior observation that the power to set qualifications "forms no part of the power to be conferred upon the national government." See The Federalist No. 60 at 371 (emphasis added). Indeed, only if "the legislature" to which Hamilton was referring is Congress can one make sense of his remark that the qualifications of voters as well as Congressmen are "fixed in the Constitution" and "unalterable by the legislature." Hamilton surely knew that the States or the people of the States control eligibility for the franchise. See Art. I, § 2, cl. 1.</w:t>
      </w:r>
    </w:p>
    <w:p w:rsidR="00A31137" w:rsidRPr="00A31137" w:rsidRDefault="00A31137" w:rsidP="00A31137">
      <w:r w:rsidRPr="00A31137">
        <w:t>1995, U.S. Term Limits, Inc. v. Thornton, No. 93-1456</w:t>
      </w:r>
    </w:p>
    <w:p w:rsidR="00A31137" w:rsidRPr="00A31137" w:rsidRDefault="00A31137" w:rsidP="00A31137">
      <w:r w:rsidRPr="00A31137">
        <w:t>The majority does omit the context necessary to understand one aspect of the historical evidence presented in Powell. The majority quotes Powell's observation that,</w:t>
      </w:r>
    </w:p>
    <w:p w:rsidR="00A31137" w:rsidRPr="00A31137" w:rsidRDefault="00A31137" w:rsidP="00A31137">
      <w:r w:rsidRPr="00A31137">
        <w:t>1995, U.S. Term Limits, Inc. v. Thornton, No. 93-1456</w:t>
      </w:r>
    </w:p>
    <w:p w:rsidR="00A31137" w:rsidRPr="00A31137" w:rsidRDefault="00A31137" w:rsidP="00A31137">
      <w:r w:rsidRPr="00A31137">
        <w:t>on the eve of the Constitutional Convention, English precedent stood for the proposition that "the law of the land had regulated the qualifications of members to serve in parliament," and those qualifications were "not occasional, but fixed."</w:t>
      </w:r>
    </w:p>
    <w:p w:rsidR="00A31137" w:rsidRPr="00A31137" w:rsidRDefault="00A31137" w:rsidP="00A31137">
      <w:r w:rsidRPr="00A31137">
        <w:t>1995, U.S. Term Limits, Inc. v. Thornton, No. 93-1456</w:t>
      </w:r>
    </w:p>
    <w:p w:rsidR="00A31137" w:rsidRPr="00A31137" w:rsidRDefault="00A31137" w:rsidP="00A31137">
      <w:r w:rsidRPr="00A31137">
        <w:t>395 U.S. at  528 (quoting 16 Parliamentary History of England 589, 590 (1769)); see ante at ___. The English rule seems of only marginal relevance: the preexisting rule in America—that States could add qualifications for their representatives in Congress, see n. 3, supra, while Congress itself could not—is surely more important. But in any event, Powell did not claim that the English rule deemed parliamentary qualifications to be fixed in the country's (unwritten) constitution, beyond the reach of a properly enacted law. Instead, qualifications were "fixed," rather than "occasional," only in the sense that neither House of Parliament could "exclude members-elect for general misconduct not within standing qualifications." Powell, 395 U.S. at  528. The English rule, in other words, was simply that when sitting as the judge of its members' qualifications, each House of Parliament could do no more than administer the preexisting laws that defined those qualifications, see id. at  529, for "one House of Parliament cannot create a disability unknown to the law." T. Plucknett, Taswell-Langmead's English Constitutional History 585 (11th ed. 1960); cf. INS v. Chadha, 462 U.S. 919 (1983). This history was relevant to Powell (which dealt with the grounds on which one House of Congress could exclude a member-elect), but it is not relevant to this case.</w:t>
      </w:r>
    </w:p>
    <w:p w:rsidR="00A31137" w:rsidRPr="00A31137" w:rsidRDefault="00A31137" w:rsidP="00A31137">
      <w:r w:rsidRPr="00A31137">
        <w:t>1995, U.S. Term Limits, Inc. v. Thornton, No. 93-1456</w:t>
      </w:r>
    </w:p>
    <w:p w:rsidR="00A31137" w:rsidRPr="00A31137" w:rsidRDefault="00A31137" w:rsidP="00A31137">
      <w:r w:rsidRPr="00A31137">
        <w:t>19. The majority also argues that, in any event, the views of the members of the Committee "tel[l] us little about the views of the Convention as a whole." Ante at ___, n. 27. But our task is simply to determine whether, at the time of the framing, the language of the Qualifications Clauses would have been commonly understood to contain an exclusivity provision. The surviving records suggest that the members of the Committee of Detail did not understand the final Qualifications Clauses to be exclusive, and the majority offers no reason to think that their understanding of language was unusual for their time.</w:t>
      </w:r>
    </w:p>
    <w:p w:rsidR="00A31137" w:rsidRPr="00A31137" w:rsidRDefault="00A31137" w:rsidP="00A31137">
      <w:r w:rsidRPr="00A31137">
        <w:t>1995, U.S. Term Limits, Inc. v. Thornton, No. 93-1456</w:t>
      </w:r>
    </w:p>
    <w:p w:rsidR="00A31137" w:rsidRPr="00A31137" w:rsidRDefault="00A31137" w:rsidP="00A31137">
      <w:r w:rsidRPr="00A31137">
        <w:t>20. The majority inaccurately reports James Madison's explanation of the Elector-Qualifications Clause in The Federalist No. 52. Madison neither mentioned nor addressed the consequences of "allowing States to differentiate between the qualifications for state and federal electors." See ante at ___. Instead, he addressed the problems that would have arisen if the Constitution had assigned control over the qualifications of voters in House elections to the state legislatures, rather than to the people of each State. It was such an arrangement that, in Madison's view,</w:t>
      </w:r>
    </w:p>
    <w:p w:rsidR="00A31137" w:rsidRPr="00A31137" w:rsidRDefault="00A31137" w:rsidP="00A31137">
      <w:r w:rsidRPr="00A31137">
        <w:t>1995, U.S. Term Limits, Inc. v. Thornton, No. 93-1456</w:t>
      </w:r>
    </w:p>
    <w:p w:rsidR="00A31137" w:rsidRPr="00A31137" w:rsidRDefault="00A31137" w:rsidP="00A31137">
      <w:r w:rsidRPr="00A31137">
        <w:t>would have rendered too dependent on the State governments that branch of the federal government which ought to be dependent on the people alone.</w:t>
      </w:r>
    </w:p>
    <w:p w:rsidR="00A31137" w:rsidRPr="00A31137" w:rsidRDefault="00A31137" w:rsidP="00A31137">
      <w:r w:rsidRPr="00A31137">
        <w:t>1995, U.S. Term Limits, Inc. v. Thornton, No. 93-1456</w:t>
      </w:r>
    </w:p>
    <w:p w:rsidR="00A31137" w:rsidRPr="00A31137" w:rsidRDefault="00A31137" w:rsidP="00A31137">
      <w:r w:rsidRPr="00A31137">
        <w:t>The Federalist No. 52 at 326; cf. ante at ___. The Elector-Qualifications Clause avoided this problem because the various state constitutions controlled who could vote in elections for the most numerous branch of the state legislature, and no state government could alter these requirements unless the people of the State (through the state constitution) decided to let it do so. See The Federalist No. 52 at 326.</w:t>
      </w:r>
    </w:p>
    <w:p w:rsidR="00A31137" w:rsidRPr="00A31137" w:rsidRDefault="00A31137" w:rsidP="00A31137">
      <w:r w:rsidRPr="00A31137">
        <w:t>1995, U.S. Term Limits, Inc. v. Thornton, No. 93-1456</w:t>
      </w:r>
    </w:p>
    <w:p w:rsidR="00A31137" w:rsidRPr="00A31137" w:rsidRDefault="00A31137" w:rsidP="00A31137">
      <w:r w:rsidRPr="00A31137">
        <w:t>Though one obviously could uphold the action of the people of Arkansas without reaching this issue, Madison's comments should not be read to suggest that the Elector-Qualifications Clause bars the people of a State from delegating their control over voter qualifications to the state legislature. The Clause itself refutes this reading; if a state constitution permits the state legislature to set voter qualifications, and if eligibility for the franchise in the State therefore turns on statutory, rather than constitutional, law, federal electors in the State still must meet the same qualifications as electors for the most numerous branch of the state legislature. Madison could not possibly have disagreed with this understanding of the Clause. Instead, he was simply explaining why, when it came to voter qualifications for House elections, the Framers had not followed the model of Article I, § 3, cl. 1, and vested ultimate control with the state legislatures (regardless of what the people of a State might provide in their state constitutions).</w:t>
      </w:r>
    </w:p>
    <w:p w:rsidR="00A31137" w:rsidRPr="00A31137" w:rsidRDefault="00A31137" w:rsidP="00A31137">
      <w:r w:rsidRPr="00A31137">
        <w:t>1995, U.S. Term Limits, Inc. v. Thornton, No. 93-1456</w:t>
      </w:r>
    </w:p>
    <w:p w:rsidR="00A31137" w:rsidRPr="00A31137" w:rsidRDefault="00A31137" w:rsidP="00A31137">
      <w:r w:rsidRPr="00A31137">
        <w:t>21. Likewise, the Constitution requires the States to appoint Presidential electors, Art. II, § 1, cl. 2, but it does not provide for any congressional override if the States refuse to do so (or if the States set impossibly high qualifications and then announce that no one meets them).</w:t>
      </w:r>
    </w:p>
    <w:p w:rsidR="00A31137" w:rsidRPr="00A31137" w:rsidRDefault="00A31137" w:rsidP="00A31137">
      <w:r w:rsidRPr="00A31137">
        <w:t>1995, U.S. Term Limits, Inc. v. Thornton, No. 93-1456</w:t>
      </w:r>
    </w:p>
    <w:p w:rsidR="00A31137" w:rsidRPr="00A31137" w:rsidRDefault="00A31137" w:rsidP="00A31137">
      <w:r w:rsidRPr="00A31137">
        <w:t>22. Even if there is anything left of the majority's argument on this point, it would still have no bearing on whether the Framers intended to preclude the people of each State from supplementing the constitutional qualifications. Just as the Framers had no fear that the people of a State would destroy congressional elections by entirely disenfranchising themselves, see The Federalist No. 52 at 326, so the Framers surely had no fear that the people of the States would destroy congressional elections by entirely disqualifying all candidates.</w:t>
      </w:r>
    </w:p>
    <w:p w:rsidR="00A31137" w:rsidRPr="00A31137" w:rsidRDefault="00A31137" w:rsidP="00A31137">
      <w:r w:rsidRPr="00A31137">
        <w:t>1995, U.S. Term Limits, Inc. v. Thornton, No. 93-1456</w:t>
      </w:r>
    </w:p>
    <w:p w:rsidR="00A31137" w:rsidRPr="00A31137" w:rsidRDefault="00A31137" w:rsidP="00A31137">
      <w:r w:rsidRPr="00A31137">
        <w:t>23. As the majority notes, see ante at ___ and ___, n. 22, the Philadelphia Convention had dropped without discussion a portion of the original Randolph Resolutions calling for Members of the House of Representatives "to be incapable of reelection for the space of [blank space] after the expiration of their term of service." 1 Farrand 20. This provision, which at a minimum would have barred all Members of the House from serving consecutive terms, was abandoned without objection when the Convention voted to require House Members to stand for election every three years. See id. at 214-217; see also id. at 362 (opting for 2-year terms instead). Subsequently, indeed, some members of the Convention appeared to be unaware that a rotation requirement had ever been proposed. See 2 id. at 120 (remarks of Gouverneur Morris).</w:t>
      </w:r>
    </w:p>
    <w:p w:rsidR="00A31137" w:rsidRPr="00A31137" w:rsidRDefault="00A31137" w:rsidP="00A31137">
      <w:r w:rsidRPr="00A31137">
        <w:t>1995, U.S. Term Limits, Inc. v. Thornton, No. 93-1456</w:t>
      </w:r>
    </w:p>
    <w:p w:rsidR="00A31137" w:rsidRPr="00A31137" w:rsidRDefault="00A31137" w:rsidP="00A31137">
      <w:r w:rsidRPr="00A31137">
        <w:t>The majority properly does not cite the omission of this nation-wide rotation requirement as evidence that the Framers meant to preclude individual States from adopting rotation requirements of their own. Just as individual States could extend the vote to women before the adoption of the Nineteenth Amendment, could prohibit poll taxes before the adoption of the Twenty-fourth Amendment, and could lower the voting age before the adoption of the Twenty-sixth Amendment, so the Framers' decision not to impose a nationwide limit on congressional terms did not itself bar States from adopting limits of their own. See, e.g., Ga.Const. of 1877, § 2-602 (adopted Aug. 3, 1943) (reducing voting age to 18 nearly three decades before the Twenty-sixth Amendment was proposed); Harman v. Forssenius, 380 U.S. 528,  539 (1965) (noting that, by the time the Twenty-fourth Amendment was proposed, "only five States retained the poll tax as a voting requirement"); Congressional Research Service, The Constitution of the United States of America: Analysis and Interpretation 1571 (1973) (reporting that 11 States had adopted women's suffrage by the time the Nineteenth Amendment was proposed). Cf. ante at ___, and n. 50.</w:t>
      </w:r>
    </w:p>
    <w:p w:rsidR="00A31137" w:rsidRPr="00A31137" w:rsidRDefault="00A31137" w:rsidP="00A31137">
      <w:r w:rsidRPr="00A31137">
        <w:t>1995, U.S. Term Limits, Inc. v. Thornton, No. 93-1456</w:t>
      </w:r>
    </w:p>
    <w:p w:rsidR="00A31137" w:rsidRPr="00A31137" w:rsidRDefault="00A31137" w:rsidP="00A31137">
      <w:r w:rsidRPr="00A31137">
        <w:t>24. See Del.Const. of 1776, Art. 11, in 1 Thorpe 564; Md.Const. of 1776, Form of Government, Art. XXVII, in 3 Thorpe 1695; Mass.Const. of 1780, Pt. 2, Ch. IV, in 3 Thorpe 1906; N.H.Const. of 1784, Pt. II, in 4 Thorpe 2467; N.Y.Const. of 1777, Art. XXX, in 5 Thorpe 2634-2635; N. C. Const. of 1776, Form of Government, Art. XXXVII, in 5 Thorpe 2793; Pa.Const. of 1776, Frame of Government, § 11, in 5 Thorpe 3085; S.C.Const. of 1778, Art. XXII, in 6 Thorpe 3253; Va.Const. of 1776, in 7 Thorpe 3817.</w:t>
      </w:r>
    </w:p>
    <w:p w:rsidR="00A31137" w:rsidRPr="00A31137" w:rsidRDefault="00A31137" w:rsidP="00A31137">
      <w:r w:rsidRPr="00A31137">
        <w:t>1995, U.S. Term Limits, Inc. v. Thornton, No. 93-1456</w:t>
      </w:r>
    </w:p>
    <w:p w:rsidR="00A31137" w:rsidRPr="00A31137" w:rsidRDefault="00A31137" w:rsidP="00A31137">
      <w:r w:rsidRPr="00A31137">
        <w:t>25. Md.Const. of 1776, Form of Government, Art. XXVII, in 3 Thorpe 1695; N.H.Const. of 1784, Pt. II, in 4 Thorpe 2467; N.C.Const. of 1776, Art. XXXVII, in 5 Thorpe 2793; Pa.Const. of 1776, Frame of Government, § 11, in 5 Thorpe 3085.</w:t>
      </w:r>
    </w:p>
    <w:p w:rsidR="00A31137" w:rsidRPr="00A31137" w:rsidRDefault="00A31137" w:rsidP="00A31137">
      <w:r w:rsidRPr="00A31137">
        <w:t>1995, U.S. Term Limits, Inc. v. Thornton, No. 93-1456</w:t>
      </w:r>
    </w:p>
    <w:p w:rsidR="00A31137" w:rsidRPr="00A31137" w:rsidRDefault="00A31137" w:rsidP="00A31137">
      <w:r w:rsidRPr="00A31137">
        <w:t>26. Md.Const. of 1776, Form of Government, Art. XXVII, in 3 Thorpe 1695; N.H.Const. of 1784, Pt. II, in 4 Thorpe 2467; Pa.Const. of 1776, Frame of Government, § 11, in 5 Thorpe 3085.</w:t>
      </w:r>
    </w:p>
    <w:p w:rsidR="00A31137" w:rsidRPr="00A31137" w:rsidRDefault="00A31137" w:rsidP="00A31137">
      <w:r w:rsidRPr="00A31137">
        <w:t>1995, U.S. Term Limits, Inc. v. Thornton, No. 93-1456</w:t>
      </w:r>
    </w:p>
    <w:p w:rsidR="00A31137" w:rsidRPr="00A31137" w:rsidRDefault="00A31137" w:rsidP="00A31137">
      <w:r w:rsidRPr="00A31137">
        <w:t>27. See Md.Const. of 1776, Art. XXVII, in 3 Thorpe 1695; N.H.Const. of 1784, Pt. II, in 4 Thorpe 2467.</w:t>
      </w:r>
    </w:p>
    <w:p w:rsidR="00A31137" w:rsidRPr="00A31137" w:rsidRDefault="00A31137" w:rsidP="00A31137">
      <w:r w:rsidRPr="00A31137">
        <w:t>1995, U.S. Term Limits, Inc. v. Thornton, No. 93-1456</w:t>
      </w:r>
    </w:p>
    <w:p w:rsidR="00A31137" w:rsidRPr="00A31137" w:rsidRDefault="00A31137" w:rsidP="00A31137">
      <w:r w:rsidRPr="00A31137">
        <w:t>28. The majority suggests that I have overlooked Madison's observation that subject to the "reasonable limitations" spelled out in the House Qualifications Clause, the Constitution left the House's door "open to merit of every description." See ante at ___, n. 18; see also ante at ___ (quoting a similar passage from The Federalist No. 57). As discussed above, however, such statements do not advance the majority's case. See supra at ___.</w:t>
      </w:r>
    </w:p>
    <w:p w:rsidR="00A31137" w:rsidRPr="00A31137" w:rsidRDefault="00A31137" w:rsidP="00A31137">
      <w:r w:rsidRPr="00A31137">
        <w:t>1995, U.S. Term Limits, Inc. v. Thornton, No. 93-1456</w:t>
      </w:r>
    </w:p>
    <w:p w:rsidR="00A31137" w:rsidRPr="00A31137" w:rsidRDefault="00A31137" w:rsidP="00A31137">
      <w:r w:rsidRPr="00A31137">
        <w:t>29. The immediately preceding portion of the Clause requires not only "[t]he Senators and Representatives before mentioned," but also "the Members of the several State Legislatures, and all executive and judicial Officers, both of the United States and of the several States," to take an "Oath or Affirmation" to support the Constitution. Art. VI, cl. 3.</w:t>
      </w:r>
    </w:p>
    <w:p w:rsidR="00A31137" w:rsidRPr="00A31137" w:rsidRDefault="00A31137" w:rsidP="00A31137">
      <w:r w:rsidRPr="00A31137">
        <w:t>1995, U.S. Term Limits, Inc. v. Thornton, No. 93-1456</w:t>
      </w:r>
    </w:p>
    <w:p w:rsidR="00A31137" w:rsidRPr="00A31137" w:rsidRDefault="00A31137" w:rsidP="00A31137">
      <w:r w:rsidRPr="00A31137">
        <w:t>30. Despite the majority's emphasis on the Framers' supposed desire for uniformity in congressional elections, even the majority does not dispute that the Framers wanted to let States decide for themselves whether to use district elections in selecting Members of the House of Representatives. The Framers fully expected that in some States each Member of the House would be chosen by the people of the whole State, while in other States each Member would be directly accountable only to the people of a single district. See, e.g., 14 Papers of Thomas Jefferson 3 (J. Boyd ed. 1958) (letter from Madison to Jefferson, Oct. 8, 1788).</w:t>
      </w:r>
    </w:p>
    <w:p w:rsidR="00A31137" w:rsidRPr="00A31137" w:rsidRDefault="00A31137" w:rsidP="00A31137">
      <w:r w:rsidRPr="00A31137">
        <w:t>1995, U.S. Term Limits, Inc. v. Thornton, No. 93-1456</w:t>
      </w:r>
    </w:p>
    <w:p w:rsidR="00A31137" w:rsidRPr="00A31137" w:rsidRDefault="00A31137" w:rsidP="00A31137">
      <w:r w:rsidRPr="00A31137">
        <w:t>31. See Georgia Election Law (Jan. 23, 1789) (restricting representatives from each district to "resident[s] of three years standing in the district"), in 2 First Federal Elections 456, 457; Maryland Election Law (Dec. 22, 1788) (simple district residency requirement), in 2 First Federal Elections 136, 138; Massachusetts Election Resolutions (Nov. 20, 1788) (same), in 1 First Federal Elections 508, 509 (M. Jensen &amp; R. Becker eds. 1976); North Carolina Election Law (Dec. 16, 1789) (requiring the person elected from each district to have been "a Resident or Inhabitant of that Division for which he is elected, during the Space or Term of one Year before, and at the Time of Election"), in 4 First Federal Elections 347; Virginia Election Law (Nov. 20, 1788) (requiring each candidate to have been "a bona fide resident for twelve months within such District"), in 2 First Federal Elections 293, 294. Upon being admitted to the Union in 1796, Tennessee also required its members in the Federal House of Representatives to have been Tennessee residents for three years and district residents for one year before their election. Act of Apr. 20, 1796, ch. 10, in Laws of the State of Tennessee 81 (1803).</w:t>
      </w:r>
    </w:p>
    <w:p w:rsidR="00A31137" w:rsidRPr="00A31137" w:rsidRDefault="00A31137" w:rsidP="00A31137">
      <w:r w:rsidRPr="00A31137">
        <w:t>1995, U.S. Term Limits, Inc. v. Thornton, No. 93-1456</w:t>
      </w:r>
    </w:p>
    <w:p w:rsidR="00A31137" w:rsidRPr="00A31137" w:rsidRDefault="00A31137" w:rsidP="00A31137">
      <w:r w:rsidRPr="00A31137">
        <w:t>32. After the Virginia Legislature had enacted this bill, some of James Madison's friends suggested that he might find it harder to win election in his own district than in certain other areas of the State. They believed that if Madison won the popular vote in one of those other districts, the House of Representatives could seat him on the theory that States cannot add to the constitutional qualifications. See 11 Papers of James Madison 378-379 (R. Rutland and C. Hobson eds. 1977) (letter from Carrington to Madison, Dec. 2, 1788). Other advisers, however, warned that the people of Virginia might not share this understanding of the Constitution. As Alexander White wrote in a letter to Madison:</w:t>
      </w:r>
    </w:p>
    <w:p w:rsidR="00A31137" w:rsidRPr="00A31137" w:rsidRDefault="00A31137" w:rsidP="00A31137">
      <w:r w:rsidRPr="00A31137">
        <w:t>1995, U.S. Term Limits, Inc. v. Thornton, No. 93-1456</w:t>
      </w:r>
    </w:p>
    <w:p w:rsidR="00A31137" w:rsidRPr="00A31137" w:rsidRDefault="00A31137" w:rsidP="00A31137">
      <w:r w:rsidRPr="00A31137">
        <w:t>Some Gentlemen suppose you may be elected in other Districts, and that Congress would disregard the Act which requires Residence in a particular District. I will not undertake to decide that question, but this I know, such a determination would afford much ground of clamour, and enable the opposers of the Government to inflame the Minds of the People beyond anything which has yet happened.</w:t>
      </w:r>
    </w:p>
    <w:p w:rsidR="00A31137" w:rsidRPr="00A31137" w:rsidRDefault="00A31137" w:rsidP="00A31137">
      <w:r w:rsidRPr="00A31137">
        <w:t>1995, U.S. Term Limits, Inc. v. Thornton, No. 93-1456</w:t>
      </w:r>
    </w:p>
    <w:p w:rsidR="00A31137" w:rsidRPr="00A31137" w:rsidRDefault="00A31137" w:rsidP="00A31137">
      <w:r w:rsidRPr="00A31137">
        <w:t>Id. at 380 (Dec. 4, 1788). Madison himself apparently never endorsed the idea that he should test the district residency requirement. Instead, he ran from his own district (where he overcame a stiff challenge from another future President, James Monroe).</w:t>
      </w:r>
    </w:p>
    <w:p w:rsidR="00A31137" w:rsidRPr="00A31137" w:rsidRDefault="00A31137" w:rsidP="00A31137">
      <w:r w:rsidRPr="00A31137">
        <w:t>1995, U.S. Term Limits, Inc. v. Thornton, No. 93-1456</w:t>
      </w:r>
    </w:p>
    <w:p w:rsidR="00A31137" w:rsidRPr="00A31137" w:rsidRDefault="00A31137" w:rsidP="00A31137">
      <w:r w:rsidRPr="00A31137">
        <w:t>33. The records show that Maryland's House of Delegates put the district residency requirement to a separate vote and approved it by a margin of 41-24. 2 First Federal Elections 129-130 (summarizing proceedings from Dec. 3, 1788). A subsequent effort to jettison the requirement lost by a vote of 39-28. Id. at 132-133 (summarizing proceedings from Dec. 10, 1788). Language in Maryland's second election law confirms that the state legislature knew that it was supplementing the Qualifications Clauses. The Act of December 10, 1790, stipulated that each candidate must</w:t>
      </w:r>
    </w:p>
    <w:p w:rsidR="00A31137" w:rsidRPr="00A31137" w:rsidRDefault="00A31137" w:rsidP="00A31137">
      <w:r w:rsidRPr="00A31137">
        <w:t>1995, U.S. Term Limits, Inc. v. Thornton, No. 93-1456</w:t>
      </w:r>
    </w:p>
    <w:p w:rsidR="00A31137" w:rsidRPr="00A31137" w:rsidRDefault="00A31137" w:rsidP="00A31137">
      <w:r w:rsidRPr="00A31137">
        <w:t>b[e] a resident of his district at the time of the election, and hav[e] resided therein twelve calendar months immediately before, and [be] otherways qualified according to the constitution of the United States.</w:t>
      </w:r>
    </w:p>
    <w:p w:rsidR="00A31137" w:rsidRPr="00A31137" w:rsidRDefault="00A31137" w:rsidP="00A31137">
      <w:r w:rsidRPr="00A31137">
        <w:t>1995, U.S. Term Limits, Inc. v. Thornton, No. 93-1456</w:t>
      </w:r>
    </w:p>
    <w:p w:rsidR="00A31137" w:rsidRPr="00A31137" w:rsidRDefault="00A31137" w:rsidP="00A31137">
      <w:r w:rsidRPr="00A31137">
        <w:t>1790 Laws of Maryland, ch. XVI, art. VIII. In Georgia, too, the State House of Assembly called special attention to the district residency requirement. Shortly before Georgia held its first federal elections, the House adopted a resolution to stress that if the top vote-getter in any district had not been "an actual resident of three years' standing" in that district, then "such person shall not be considered as eligible nor shall he be commissioned." 2 First Federal Elections 459 (resolution of Feb. 4, 1789).</w:t>
      </w:r>
    </w:p>
    <w:p w:rsidR="00A31137" w:rsidRPr="00A31137" w:rsidRDefault="00A31137" w:rsidP="00A31137">
      <w:r w:rsidRPr="00A31137">
        <w:t>1995, U.S. Term Limits, Inc. v. Thornton, No. 93-1456</w:t>
      </w:r>
    </w:p>
    <w:p w:rsidR="00A31137" w:rsidRPr="00A31137" w:rsidRDefault="00A31137" w:rsidP="00A31137">
      <w:r w:rsidRPr="00A31137">
        <w:t>34. Even the experience in New York and South Carolina—the only States that opted for district elections without requiring district residency—does not support the majority's position. While the records from South Carolina are sketchy, those from New York affirmatively undermine the majority's suggestion that the Qualifications Clauses were commonly understood to be exclusive. When the topic was first broached in the State Assembly, the assemblymen defeated a district residency proposal amid comments that "to add any other qualification [to those listed in the Constitution] would be unconstitutional." 3 First Federal Elections 232 (Dec. 18, 1788). But the State Senate took a different view, adding a district residency requirement when it considered the election bill. Id. at 320. The Assembly then approved the requirement by a vote of 36-12, id. at 325-326 (Jan. 19, 1789), but reconsidered the requirement the following day (apparently with more assemblymen in attendance). After a sophisticated debate on the constitutional question, with some assemblymen arguing that the district residency requirement was unconstitutional and others responding that the Constitution merely erected minimum qualifications, the Assembly divided evenly over the requirement: 28 voted in favor of it and 28 voted against it. Id. at 328-335 (Jan. 20, 1789). The chairman broke the tie with a vote against the requirement. Id. at 335. Still, there clearly was no consensus in the New York Assembly. What is more, some of the votes against the district residency requirement may well have been cast by assemblymen who simply opposed the requirement on policy grounds, as an undue restriction on the people's ability to elect nonresidents if they wanted to do so. In any event, the New York Senate obviously considered the requirement constitutional.</w:t>
      </w:r>
    </w:p>
    <w:p w:rsidR="00A31137" w:rsidRPr="00A31137" w:rsidRDefault="00A31137" w:rsidP="00A31137">
      <w:r w:rsidRPr="00A31137">
        <w:t>1995, U.S. Term Limits, Inc. v. Thornton, No. 93-1456</w:t>
      </w:r>
    </w:p>
    <w:p w:rsidR="00A31137" w:rsidRPr="00A31137" w:rsidRDefault="00A31137" w:rsidP="00A31137">
      <w:r w:rsidRPr="00A31137">
        <w:t>There is evidence that some members of the Pennsylvania legislature considered the Qualifications Clauses to be exclusive. See 1 id. at 282-288. Of course, they also believed that § 2 of Article I—which calls for Members of the Federal House of Representatives to be "chosen…by the People of the several States"—forbade Pennsylvania from electing its representatives by districts. See id. at 283. The legislatures of the five States that adopted district residency requirements, who had the Pennsylvania example before them, disagreed with the Pennsylvania legislators.</w:t>
      </w:r>
    </w:p>
    <w:p w:rsidR="00A31137" w:rsidRPr="00A31137" w:rsidRDefault="00A31137" w:rsidP="00A31137">
      <w:r w:rsidRPr="00A31137">
        <w:t>1995, U.S. Term Limits, Inc. v. Thornton, No. 93-1456</w:t>
      </w:r>
    </w:p>
    <w:p w:rsidR="00A31137" w:rsidRPr="00A31137" w:rsidRDefault="00A31137" w:rsidP="00A31137">
      <w:r w:rsidRPr="00A31137">
        <w:t>35. The majority correctly notes that each convention, in addition to proposing a list of specific "Amendments to the Constitution," proposed a "Declaration of Rights" to be appended to the Constitution. In both States, this "Declaration" contained the general exhortation that members of both the Legislative and Executive Branches</w:t>
      </w:r>
    </w:p>
    <w:p w:rsidR="00A31137" w:rsidRPr="00A31137" w:rsidRDefault="00A31137" w:rsidP="00A31137">
      <w:r w:rsidRPr="00A31137">
        <w:t>1995, U.S. Term Limits, Inc. v. Thornton, No. 93-1456</w:t>
      </w:r>
    </w:p>
    <w:p w:rsidR="00A31137" w:rsidRPr="00A31137" w:rsidRDefault="00A31137" w:rsidP="00A31137">
      <w:r w:rsidRPr="00A31137">
        <w:t>should at fixed periods, be reduced to a private station, return into the mass of the people, and the vacancies be supplied by certain and regular elections.</w:t>
      </w:r>
    </w:p>
    <w:p w:rsidR="00A31137" w:rsidRPr="00A31137" w:rsidRDefault="00A31137" w:rsidP="00A31137">
      <w:r w:rsidRPr="00A31137">
        <w:t>1995, U.S. Term Limits, Inc. v. Thornton, No. 93-1456</w:t>
      </w:r>
    </w:p>
    <w:p w:rsidR="00A31137" w:rsidRPr="00A31137" w:rsidRDefault="00A31137" w:rsidP="00A31137">
      <w:r w:rsidRPr="00A31137">
        <w:t>4 Elliot 243; 3 id. at 657-658. But both Declarations went on to state that, at these elections, the previous occupants of the office in question should "be eligible or ineligible [for reelection], as the rules of the constitution of government and the laws shall direct." 4 id. at 243; 3 id. at 658. Accordingly, it is hard to describe either Declaration as a "proposed…constitutional amendment supporting term limits for Members of Congress." See ante at ___, n. 40.</w:t>
      </w:r>
    </w:p>
    <w:p w:rsidR="00A31137" w:rsidRPr="00A31137" w:rsidRDefault="00A31137" w:rsidP="00A31137">
      <w:r w:rsidRPr="00A31137">
        <w:t>1995, U.S. Term Limits, Inc. v. Thornton, No. 93-1456</w:t>
      </w:r>
    </w:p>
    <w:p w:rsidR="00A31137" w:rsidRPr="00A31137" w:rsidRDefault="00A31137" w:rsidP="00A31137">
      <w:r w:rsidRPr="00A31137">
        <w:t>36. As for New York, the State's ratifying convention did propose amending the Federal Constitution to provide "[t]hat no person be eligible as a senator for more than six years in any term of twelve years." 1 Elliot 329-330. The majority finds it significant that when this suggestion fell on deaf ears, New Yorkers did not amend their State Constitution to impose this restriction on their state legislature's appointment authority. Before the Seventeenth Amendment was adopted, however, the Federal Constitution vested the choice of Senators in the state legislatures, rather than the people. See Art. I, § 3, cl. 1. At least without a delegation of this authority from the legislature, cf. supra at ___, and n. 16, the people of New York may well have thought that they could no more amend the State Constitution to narrow the legislature's choices for Senator than they could amend the State Constitution to take the appointment of Senators entirely away from the legislature. It obviously would not follow that they doubted their ability to amend the State Constitution to impose constraints on their own choice of Representatives. The ratifying convention's proposal thus sheds absolutely no light on whether New Yorkers considered the Qualifications Clauses to be exclusive.</w:t>
      </w:r>
    </w:p>
    <w:p w:rsidR="00A31137" w:rsidRPr="00A31137" w:rsidRDefault="00A31137" w:rsidP="00A31137">
      <w:r w:rsidRPr="00A31137">
        <w:t>1995, U.S. Term Limits, Inc. v. Thornton, No. 93-1456</w:t>
      </w:r>
    </w:p>
    <w:p w:rsidR="00A31137" w:rsidRPr="00A31137" w:rsidRDefault="00A31137" w:rsidP="00A31137">
      <w:r w:rsidRPr="00A31137">
        <w:t>37. Property qualifications may simply have seemed unnecessary. For instance, it surely was far more likely that a pauper would secure one of the 202 seats in the South Carolina House of Representatives than that he would secure one of South Carolina's five seats in the United States House of Representatives. Compare S.C.Const. of 1778, Art. XIII, in 6 Thorpe 3251 with U.S.Const., Art. I, § 2, cl. 3; cf. S.C.Const. of 1790, Art. I, § 3 (providing for a 122-seat State House of Representatives), in 6 Thorpe 3258. It may be significant, then, that the one State that saw fit to enact a congressional property qualification was also the State that had the largest congressional delegation. See U.S.Const., Art. I, § 2, cl. 3 (allocating ten seats to Virginia). In addition, people of the day expected that "[t]he representatives of each State [in the federal House]…will probably in all cases have been members…of the State legislature." The Federalist No. 56 at 348 (Madison); see also n. 17, supra (quoting article by John Stevens, Jr.). Because most States had property requirements for their state legislators, there may have been little perceived need for a separate property qualification for their Members of Congress.</w:t>
      </w:r>
    </w:p>
    <w:p w:rsidR="00A31137" w:rsidRPr="00A31137" w:rsidRDefault="00A31137" w:rsidP="00A31137">
      <w:r w:rsidRPr="00A31137">
        <w:t>1995, U.S. Term Limits, Inc. v. Thornton, No. 93-1456</w:t>
      </w:r>
    </w:p>
    <w:p w:rsidR="00A31137" w:rsidRPr="00A31137" w:rsidRDefault="00A31137" w:rsidP="00A31137">
      <w:r w:rsidRPr="00A31137">
        <w:t>Even States that wanted to create such a qualification, and that considered it within their constitutional authority to do so, might have been deterred by the possibility that the Federal House of Representatives would take a different view. As I have shown, there certainly was no general understanding that the Qualifications Clauses included an unstated exclusivity provision. But people of the day did consider this to be "one of the doubtful questions on which honest men may differ with the purest motives." 14 Writings of Thomas Jefferson at 83 (letter to Joseph C. Cabell, Jan. 31, 1814); see n. 14, supra. If some States feared that the "honest men" in the House might throw out the results of an election because of a qualifications law, they might well have thought that any policy benefits of such laws were outweighed by the risk that they would temporarily be deprived of representation in Congress. Alternatively, they may simply have wanted to stay away from difficult constitutional questions. Cf. Ashwander v. TVA, 297 U.S. 288,  347 (1936) (Brandeis, J., concurring). Thus, despite concluding that the States do enjoy the power to prescribe qualifications, Thomas Jefferson questioned whether the advantages of added qualifications were sufficient to justify enacting a law whose constitutionality could be disputed. See 14 Writings of Thomas Jefferson at 84.</w:t>
      </w:r>
    </w:p>
    <w:p w:rsidR="00A31137" w:rsidRPr="00A31137" w:rsidRDefault="00A31137" w:rsidP="00A31137">
      <w:r w:rsidRPr="00A31137">
        <w:t>1995, U.S. Term Limits, Inc. v. Thornton, No. 93-1456</w:t>
      </w:r>
    </w:p>
    <w:p w:rsidR="00A31137" w:rsidRPr="00A31137" w:rsidRDefault="00A31137" w:rsidP="00A31137">
      <w:r w:rsidRPr="00A31137">
        <w:t>38. Though obliquely acknowledging this fact, the majority thinks it relevant that some subsequent commentators have mistakenly accepted the gloss put on the McCreery case by two editors in 1834. See ante at ___ (citing treatises, each of which relies upon Cases of Contested Elections in Congress (M. Clarke &amp; D. Hall eds. 1834)). But surely we need not accept an inaccurate view of history merely because it has appeared in print. The majority also cites Thomas Jefferson's hazy recollection of the McCreery case, see ante at ___, without acknowledging Jefferson's conclusion that the States were free to supplement the Qualifications Clauses. See supra at ___.</w:t>
      </w:r>
    </w:p>
    <w:p w:rsidR="00A31137" w:rsidRPr="00A31137" w:rsidRDefault="00A31137" w:rsidP="00A31137">
      <w:r w:rsidRPr="00A31137">
        <w:t>1995, U.S. Term Limits, Inc. v. Thornton, No. 93-1456</w:t>
      </w:r>
    </w:p>
    <w:p w:rsidR="00A31137" w:rsidRPr="00A31137" w:rsidRDefault="00A31137" w:rsidP="00A31137">
      <w:r w:rsidRPr="00A31137">
        <w:t>39. Going into the November, 1994, elections, eight States had adopted "pure" term limits of one sort or another. See Colo.Const., Art. XVIII, § 9a; Mich.Const., Art. II, § 10; Mo.Const., Art. III, § 45(a); Mont.Const., Art. IV, § 8; Ohio Const., Art. V, § 8; Ore.Const., Art. II, § 20; S.D.Const., Art. III, § 32; Utah Code Ann. § 20A-10-301. Eight other States had enacted "ballot access" provisions triggered by long-term incumbency or multiple prior terms in Congress. See Ariz.Const., Art. VII, § 18; Ark.Const., Amdt. 73, § 3; Calif.Elec.Code Ann. § 25003 (West Supp. 1994); Fla.Const., Art. VI, § 4(b)(5), (6); N.D.Cent.Code § 16.1-01-13.1 (Supp. 1993); Okla.Const., Art. II, § 12A; Wash.Rev.Code §§ 29.68.015, 29.68.016 (1994); Wyo.Stat. § 22-5-104 (Supp. 1994). In the 1994 elections, six more States—Alaska, Idaho, Maine, Massachusetts, Nebraska, and Nevada—enacted term-limit or ballot-access measures, bringing to 22 the total number of States with such provisions. See Pear, The 1994 Elections, N. Y. Times, Nov. 10, 1994, p. B7, Col. 4. In 21 of these States, the measures have been enacted by direct vote of the people.</w:t>
      </w:r>
    </w:p>
    <w:p w:rsidR="00A31137" w:rsidRPr="00A31137" w:rsidRDefault="00A31137" w:rsidP="00A31137">
      <w:r w:rsidRPr="00A31137">
        <w:t>1995, U.S. Term Limits, Inc. v. Thornton, No. 93-1456</w:t>
      </w:r>
    </w:p>
    <w:p w:rsidR="00A31137" w:rsidRPr="00A31137" w:rsidRDefault="00A31137" w:rsidP="00A31137">
      <w:r w:rsidRPr="00A31137">
        <w:t>40. Even if one were inclined to believe that the Arkansas Supreme Court had departed from the usual practice and had purported to make a binding determination on a disputed issue of fact, we would not be foreclosed from examining the basis for that determination. To be sure, on direct review of a state court's judgment, we will not "conduct a more searching review of findings made in state trial court than we conduct with respect to federal district court findings." Hernandez v. New York, 500 U.S. 352, 369 (1991) (plurality opinion). But that is only to say that we will review state court findings under the "clear error" standard. Ibid.; accord, id. at 372 (O'CONNOR, J., concurring in judgment); cf. id. at 379 (STEVENS, J., dissenting) (identifying no standard of review, but arguing that the state court's decision should be reversed because its underlying factual findings were erroneous). In certain areas, indeed, this Court apparently gives quite little deference to the initial factfinder, but rather "exercise[s] its own independent judgment" about the factual conclusions that should be drawn from the record. See Bose Corp. v. Consumers Union, 466 U.S. 485, 501, and n. 17 (1984) (STEVENS, J.).</w:t>
      </w:r>
    </w:p>
    <w:p w:rsidR="00A31137" w:rsidRPr="00A31137" w:rsidRDefault="00A31137" w:rsidP="00A31137">
      <w:r w:rsidRPr="00A31137">
        <w:t>1995, U.S. Term Limits, Inc. v. Thornton, No. 93-1456</w:t>
      </w:r>
    </w:p>
    <w:p w:rsidR="00A31137" w:rsidRPr="00A31137" w:rsidRDefault="00A31137" w:rsidP="00A31137">
      <w:r w:rsidRPr="00A31137">
        <w:t>41. Former Representative William E. Frenzel describes the House Recording Studio as a sophisticated operation used "to prepare tapes of speeches and messages to voters." Frenzel explains:</w:t>
      </w:r>
    </w:p>
    <w:p w:rsidR="00A31137" w:rsidRPr="00A31137" w:rsidRDefault="00A31137" w:rsidP="00A31137">
      <w:r w:rsidRPr="00A31137">
        <w:t>1995, U.S. Term Limits, Inc. v. Thornton, No. 93-1456</w:t>
      </w:r>
    </w:p>
    <w:p w:rsidR="00A31137" w:rsidRPr="00A31137" w:rsidRDefault="00A31137" w:rsidP="00A31137">
      <w:r w:rsidRPr="00A31137">
        <w:t>Taxpayers pay for the facilities, the personnel that run them, the production costs, and the costs of distributing, by mail or otherwise, the tapes that members supply (from their taxpayer-funded expense accounts). These messages are widely disseminated by broadcasters, who can use them to fill air time at no cost to themselves.</w:t>
      </w:r>
    </w:p>
    <w:p w:rsidR="00A31137" w:rsidRPr="00A31137" w:rsidRDefault="00A31137" w:rsidP="00A31137">
      <w:r w:rsidRPr="00A31137">
        <w:t>1995, U.S. Term Limits, Inc. v. Thornton, No. 93-1456</w:t>
      </w:r>
    </w:p>
    <w:p w:rsidR="00A31137" w:rsidRPr="00A31137" w:rsidRDefault="00A31137" w:rsidP="00A31137">
      <w:r w:rsidRPr="00A31137">
        <w:t>App. to Brief for State of Washington as Amicus Curiae A-5 to A-6.</w:t>
      </w:r>
    </w:p>
    <w:p w:rsidR="00A31137" w:rsidRPr="00A31137" w:rsidRDefault="00A31137" w:rsidP="00A31137">
      <w:r w:rsidRPr="00A31137">
        <w:t>Adarand Constructors, Inc. v. Pena, 1995</w:t>
      </w:r>
    </w:p>
    <w:p w:rsidR="00A31137" w:rsidRPr="00A31137" w:rsidRDefault="00A31137" w:rsidP="00A31137">
      <w:r w:rsidRPr="00A31137">
        <w:t>Title:</w:t>
      </w:r>
      <w:r w:rsidRPr="00A31137">
        <w:tab/>
        <w:t>Adarand Constructors, Inc. v. Pena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12, 1995</w:t>
      </w:r>
    </w:p>
    <w:p w:rsidR="00A31137" w:rsidRPr="00A31137" w:rsidRDefault="00A31137" w:rsidP="00A31137">
      <w:r w:rsidRPr="00A31137">
        <w:t>Source:</w:t>
      </w:r>
      <w:r w:rsidRPr="00A31137">
        <w:tab/>
        <w:t>No. 93-1841 [U.S. Reports citation not yet available]</w:t>
      </w:r>
    </w:p>
    <w:p w:rsidR="00A31137" w:rsidRPr="00A31137" w:rsidRDefault="00A31137" w:rsidP="00A31137">
      <w:r w:rsidRPr="00A31137">
        <w:t>This case was argued January 17, 1995, and was decided June 12, 1995.</w:t>
      </w:r>
    </w:p>
    <w:p w:rsidR="00A31137" w:rsidRPr="00A31137" w:rsidRDefault="00A31137" w:rsidP="00A31137">
      <w:r w:rsidRPr="00A31137">
        <w:t>CERTIORARI TO THE UNITED STATES COURT OF APPEALS</w:t>
      </w:r>
    </w:p>
    <w:p w:rsidR="00A31137" w:rsidRPr="00A31137" w:rsidRDefault="00A31137" w:rsidP="00A31137">
      <w:r w:rsidRPr="00A31137">
        <w:t>FOR THE TENTH CIRCUIT</w:t>
      </w:r>
    </w:p>
    <w:p w:rsidR="00A31137" w:rsidRPr="00A31137" w:rsidRDefault="00A31137" w:rsidP="00A31137">
      <w:r w:rsidRPr="00A31137">
        <w:t>Syllabus</w:t>
      </w:r>
    </w:p>
    <w:p w:rsidR="00A31137" w:rsidRPr="00A31137" w:rsidRDefault="00A31137" w:rsidP="00A31137">
      <w:r w:rsidRPr="00A31137">
        <w:t>1995, Adarand Constructors, Inc. v. Pena, No. 93-1841</w:t>
      </w:r>
    </w:p>
    <w:p w:rsidR="00A31137" w:rsidRPr="00A31137" w:rsidRDefault="00A31137" w:rsidP="00A31137">
      <w:r w:rsidRPr="00A31137">
        <w:t>Most federal agency contracts must contain a subcontractor compensation clause, which gives a prime contractor a financial incentive to hire subcontractors certified as small businesses controlled by socially and economically disadvantaged individuals, and requires the contractor to presume that such individuals include minorities or any other individuals found to be disadvantaged by the Small Business Administration (SBA). The prime contractor under a federal highway construction contract containing such a clause awarded a subcontract to a company that was certified as a small disadvantaged business. The record does not reveal how the company obtained its certification, but it could have been by any one of three routes: under one of two SBA programs—known as the 8(a) and 8(d) programs—or by a state agency under relevant Department of Transportation regulations. Petitioner Adarand Constructors, Inc., which submitted the low bid on the subcontract but was not a certified business, filed suit against respondent federal officials, claiming that the race-based presumptions used in subcontractor compensation clauses violate the equal protection component of the Fifth Amendment's Due Process Clause. The District Court granted respondents summary judgment. In affirming, the Court of Appeals assessed the constitutionality of the federal race-based action under a lenient standard, resembling intermediate scrutiny, which it determined was required by Fullilove v. Klutznick, 448 U.S. 448, and Metro Broadcasting, Inc. v. FCC, 497 U.S. 547.</w:t>
      </w:r>
    </w:p>
    <w:p w:rsidR="00A31137" w:rsidRPr="00A31137" w:rsidRDefault="00A31137" w:rsidP="00A31137">
      <w:r w:rsidRPr="00A31137">
        <w:t>1995, Adarand Constructors, Inc. v. Pena, No. 93-1841</w:t>
      </w:r>
    </w:p>
    <w:p w:rsidR="00A31137" w:rsidRPr="00A31137" w:rsidRDefault="00A31137" w:rsidP="00A31137">
      <w:r w:rsidRPr="00A31137">
        <w:t>Held: The judgment is vacated, and the case is remanded.</w:t>
      </w:r>
    </w:p>
    <w:p w:rsidR="00A31137" w:rsidRPr="00A31137" w:rsidRDefault="00A31137" w:rsidP="00A31137">
      <w:r w:rsidRPr="00A31137">
        <w:t>1995, Adarand Constructors, Inc. v. Pena, No. 93-1841</w:t>
      </w:r>
    </w:p>
    <w:p w:rsidR="00A31137" w:rsidRPr="00A31137" w:rsidRDefault="00A31137" w:rsidP="00A31137">
      <w:r w:rsidRPr="00A31137">
        <w:t>16 F.3d 1537, vacated and remanded.</w:t>
      </w:r>
    </w:p>
    <w:p w:rsidR="00A31137" w:rsidRPr="00A31137" w:rsidRDefault="00A31137" w:rsidP="00A31137">
      <w:r w:rsidRPr="00A31137">
        <w:t>1995, Adarand Constructors, Inc. v. Pena, No. 93-1841</w:t>
      </w:r>
    </w:p>
    <w:p w:rsidR="00A31137" w:rsidRPr="00A31137" w:rsidRDefault="00A31137" w:rsidP="00A31137">
      <w:r w:rsidRPr="00A31137">
        <w:t>JUSTICE O'CONNOR delivered an opinion with respect to Parts I, II, III-A, III-B, III-D, and IV, which was for the Court except insofar as it might be inconsistent with the views expressed in JUSTICE SCALIA's concurrence, concluding that:</w:t>
      </w:r>
    </w:p>
    <w:p w:rsidR="00A31137" w:rsidRPr="00A31137" w:rsidRDefault="00A31137" w:rsidP="00A31137">
      <w:r w:rsidRPr="00A31137">
        <w:t>1995, Adarand Constructors, Inc. v. Pena, No. 93-1841</w:t>
      </w:r>
    </w:p>
    <w:p w:rsidR="00A31137" w:rsidRPr="00A31137" w:rsidRDefault="00A31137" w:rsidP="00A31137">
      <w:r w:rsidRPr="00A31137">
        <w:t>1. Adarand has standing to seek forward-looking relief. It has met the requirements necessary to maintain its claim by alleging an invasion of a legally protected interest in a particularized manner, and by showing that it is very likely to bid, in the relatively near future, on another Government contract offering financial incentives to a prime contractor for hiring disadvantaged subcontractors. See Lujan v. Defenders of Wildlife, 504 U.S. 555, 560. Pp. ___.</w:t>
      </w:r>
    </w:p>
    <w:p w:rsidR="00A31137" w:rsidRPr="00A31137" w:rsidRDefault="00A31137" w:rsidP="00A31137">
      <w:r w:rsidRPr="00A31137">
        <w:t>1995, Adarand Constructors, Inc. v. Pena, No. 93-1841</w:t>
      </w:r>
    </w:p>
    <w:p w:rsidR="00A31137" w:rsidRPr="00A31137" w:rsidRDefault="00A31137" w:rsidP="00A31137">
      <w:r w:rsidRPr="00A31137">
        <w:t>2. All racial classifications, imposed by whatever federal, state, or local governmental actor, must be analyzed by a reviewing court under strict scrutiny. Pp. ___.</w:t>
      </w:r>
    </w:p>
    <w:p w:rsidR="00A31137" w:rsidRPr="00A31137" w:rsidRDefault="00A31137" w:rsidP="00A31137">
      <w:r w:rsidRPr="00A31137">
        <w:t>1995, Adarand Constructors, Inc. v. Pena, No. 93-1841</w:t>
      </w:r>
    </w:p>
    <w:p w:rsidR="00A31137" w:rsidRPr="00A31137" w:rsidRDefault="00A31137" w:rsidP="00A31137">
      <w:r w:rsidRPr="00A31137">
        <w:t>(a) In Richmond v. J. A. Croson Co., 488 U.S. 469, a majority of the Court held that the Fourteenth Amendment requires strict scrutiny of all race-based action by state and local governments. While Croson did not consider what standard of review the Fifth Amendment requires for such action taken by the Federal Government, the Court's cases through Croson had established three general propositions with respect to governmental racial classifications. First, skepticism: "'[a]ny preference based on racial or ethnic criteria must necessarily receive a most searching examination,'" Wygant v. Jackson Board of Ed., 476 U.S. 267, 273-274. Second, consistency:</w:t>
      </w:r>
    </w:p>
    <w:p w:rsidR="00A31137" w:rsidRPr="00A31137" w:rsidRDefault="00A31137" w:rsidP="00A31137">
      <w:r w:rsidRPr="00A31137">
        <w:t>1995, Adarand Constructors, Inc. v. Pena, No. 93-1841</w:t>
      </w:r>
    </w:p>
    <w:p w:rsidR="00A31137" w:rsidRPr="00A31137" w:rsidRDefault="00A31137" w:rsidP="00A31137">
      <w:r w:rsidRPr="00A31137">
        <w:t>the standard of review under the Equal Protection Clause is not dependent on the race of those burdened or benefited by a particular classification,</w:t>
      </w:r>
    </w:p>
    <w:p w:rsidR="00A31137" w:rsidRPr="00A31137" w:rsidRDefault="00A31137" w:rsidP="00A31137">
      <w:r w:rsidRPr="00A31137">
        <w:t>1995, Adarand Constructors, Inc. v. Pena, No. 93-1841</w:t>
      </w:r>
    </w:p>
    <w:p w:rsidR="00A31137" w:rsidRPr="00A31137" w:rsidRDefault="00A31137" w:rsidP="00A31137">
      <w:r w:rsidRPr="00A31137">
        <w:t>Croson, supra, at  494. And third, congruence: "[e]qual protection analysis in the Fifth Amendment area is the same as that under the Fourteenth Amendment," Buckley v. Valeo, 424 U.S. 1,  93. Taken together, these propositions lead to the conclusion that any person, of whatever race, has the right to demand that any governmental actor subject to the Constitution justify any racial classification subjecting that person to unequal treatment under the strictest judicial scrutiny. Pp. ___.</w:t>
      </w:r>
    </w:p>
    <w:p w:rsidR="00A31137" w:rsidRPr="00A31137" w:rsidRDefault="00A31137" w:rsidP="00A31137">
      <w:r w:rsidRPr="00A31137">
        <w:t>1995, Adarand Constructors, Inc. v. Pena, No. 93-1841</w:t>
      </w:r>
    </w:p>
    <w:p w:rsidR="00A31137" w:rsidRPr="00A31137" w:rsidRDefault="00A31137" w:rsidP="00A31137">
      <w:r w:rsidRPr="00A31137">
        <w:t>(b) However, a year after Croson, the Court, in Metro Broadcasting, upheld two federal race-based policies against a Fifth Amendment challenge. The Court repudiated the long-held notion that "it would be unthinkable that the same Constitution would impose a lesser duty on the Federal Government" than it does on a State to afford equal protection of the laws, Bolling v. Sharpe, 347 U.S. 497,  500, by holding that congressionally mandated "benign" racial classifications need only satisfy intermediate scrutiny. By adopting that standard, Metro Broadcasting departed from prior cases in two significant respects. First, it turned its back on Croson's explanation that strict scrutiny of governmental racial classifications is essential because it may not always be clear that a so-called preference is in fact benign. Second, it squarely rejected one of the three propositions established by this Court's earlier cases, namely, congruence between the standards applicable to federal and state race-based action, and in doing so also undermined the other two. Pp. ___.</w:t>
      </w:r>
    </w:p>
    <w:p w:rsidR="00A31137" w:rsidRPr="00A31137" w:rsidRDefault="00A31137" w:rsidP="00A31137">
      <w:r w:rsidRPr="00A31137">
        <w:t>1995, Adarand Constructors, Inc. v. Pena, No. 93-1841</w:t>
      </w:r>
    </w:p>
    <w:p w:rsidR="00A31137" w:rsidRPr="00A31137" w:rsidRDefault="00A31137" w:rsidP="00A31137">
      <w:r w:rsidRPr="00A31137">
        <w:t>(c) The propositions undermined by Metro Broadcasting all derive from the basic principle that the Fifth and Fourteenth Amendments protect persons, not groups. It follows from that principle that all governmental action based on race—a group classification long recognized as in most circumstances irrelevant and therefore prohibited—should be subjected to detailed judicial inquiry to ensure that the personal right to equal protection has not been infringed. Thus, strict scrutiny is the proper standard for analysis of all racial classifications, whether imposed by a federal, state, or local actor. To the extent that Metro Broadcasting is inconsistent with that holding, it is overruled. Pp. ___.</w:t>
      </w:r>
    </w:p>
    <w:p w:rsidR="00A31137" w:rsidRPr="00A31137" w:rsidRDefault="00A31137" w:rsidP="00A31137">
      <w:r w:rsidRPr="00A31137">
        <w:t>1995, Adarand Constructors, Inc. v. Pena, No. 93-1841</w:t>
      </w:r>
    </w:p>
    <w:p w:rsidR="00A31137" w:rsidRPr="00A31137" w:rsidRDefault="00A31137" w:rsidP="00A31137">
      <w:r w:rsidRPr="00A31137">
        <w:t>(d) The decision here makes explicit that federal racial classifications, like those of a State, must serve a compelling governmental interest, and must be narrowly tailored to further that interest. Thus, to the extent that Fullilove held federal racial classifications to be subject to a less rigorous standard, it is no longer controlling. Requiring strict scrutiny is the best way to ensure that courts will consistently give racial classifications a detailed examination, as to both ends and means. It is not true that strict scrutiny is strict in theory, but fatal in fact. Government is not disqualified from acting in response to the unhappy persistence of both the practice and the lingering effects of racial discrimination against minority groups in this country. When race-based action is necessary to further a compelling interest, such action is within constitutional constraints if it satisfies the "narrow tailoring" test set out in this Court's previous cases. Pp. ___.</w:t>
      </w:r>
    </w:p>
    <w:p w:rsidR="00A31137" w:rsidRPr="00A31137" w:rsidRDefault="00A31137" w:rsidP="00A31137">
      <w:r w:rsidRPr="00A31137">
        <w:t>1995, Adarand Constructors, Inc. v. Pena, No. 93-1841</w:t>
      </w:r>
    </w:p>
    <w:p w:rsidR="00A31137" w:rsidRPr="00A31137" w:rsidRDefault="00A31137" w:rsidP="00A31137">
      <w:r w:rsidRPr="00A31137">
        <w:t>3. Because this decision alters the playing field in some important respects, the case is remanded to the lower courts for further consideration. The Court of Appeals did not decide whether the interests served by the use of subcontractor compensation clauses are properly described as "compelling." Nor did it address the question of narrow tailoring in terms of this Court's strict scrutiny cases. Unresolved questions also remain concerning the details of the complex regulatory regimes implicated by the use of such clauses. Pp. ___.</w:t>
      </w:r>
    </w:p>
    <w:p w:rsidR="00A31137" w:rsidRPr="00A31137" w:rsidRDefault="00A31137" w:rsidP="00A31137">
      <w:r w:rsidRPr="00A31137">
        <w:t>1995, Adarand Constructors, Inc. v. Pena, No. 93-1841</w:t>
      </w:r>
    </w:p>
    <w:p w:rsidR="00A31137" w:rsidRPr="00A31137" w:rsidRDefault="00A31137" w:rsidP="00A31137">
      <w:r w:rsidRPr="00A31137">
        <w:t>JUSTICE SCALIA agreed that strict scrutiny must be applied to racial classifications imposed by all governmental actors, but concluded that government can never have a "compelling interest" in discriminating on the basis of race in order to "make up" for past racial discrimination in the opposite direction. Under the Constitution, there can be no such thing as either a creditor or a debtor race. We are just one race in the eyes of government. Pp. ___.</w:t>
      </w:r>
    </w:p>
    <w:p w:rsidR="00A31137" w:rsidRPr="00A31137" w:rsidRDefault="00A31137" w:rsidP="00A31137">
      <w:r w:rsidRPr="00A31137">
        <w:t>1995, Adarand Constructors, Inc. v. Pena, No. 93-1841</w:t>
      </w:r>
    </w:p>
    <w:p w:rsidR="00A31137" w:rsidRPr="00A31137" w:rsidRDefault="00A31137" w:rsidP="00A31137">
      <w:r w:rsidRPr="00A31137">
        <w:t>O'CONNOR, J., announced the judgment of the Court and delivered an opinion with respect to Parts I, II, III-A, III-B, III-D, and IV, which was for the Court except insofar as it might be inconsistent with the views expressed in the concurrence of SCALIA, J., and an opinion with respect to Part III-C. Parts I, II, III-A, III-B, III-D, and IV of that opinion were joined by REHNQUIST, C.J., and KENNEDY and THOMAS, JJ., and by SCALIA, J., to the extent heretofore indicated; and Part III-C was joined by KENNEDY, J.   SCALIA, J., and THOMAS, J., filed opinions concurring in part and concurring in the judgment. STEVENS, J., filed a dissenting opinion, in which GINSBURG, J., joined. SOUTER, J., filed a dissenting opinion, in which GINSBURG and BREYER, JJ., joined. GINSBURG, J., filed a dissenting opinion, in which BREYER, J., joined.</w:t>
      </w:r>
    </w:p>
    <w:p w:rsidR="00A31137" w:rsidRPr="00A31137" w:rsidRDefault="00A31137" w:rsidP="00A31137">
      <w:r w:rsidRPr="00A31137">
        <w:t>O'CONNOR, J., lead opinion</w:t>
      </w:r>
    </w:p>
    <w:p w:rsidR="00A31137" w:rsidRPr="00A31137" w:rsidRDefault="00A31137" w:rsidP="00A31137">
      <w:r w:rsidRPr="00A31137">
        <w:t>1995, Adarand Constructors, Inc. v. Pena, No. 93-1841</w:t>
      </w:r>
    </w:p>
    <w:p w:rsidR="00A31137" w:rsidRPr="00A31137" w:rsidRDefault="00A31137" w:rsidP="00A31137">
      <w:r w:rsidRPr="00A31137">
        <w:t>JUSTICE O'CONNOR announced the judgment of the Court and delivered an opinion with respect to Parts I, II, III-A, III-B, III-D, and IV, which is for the Court except insofar as it might be inconsistent with the views expressed in JUSTICE SCALIA's concurrence, and an opinion with respect to Part III-C in which JUSTICE KENNEDY joins.</w:t>
      </w:r>
    </w:p>
    <w:p w:rsidR="00A31137" w:rsidRPr="00A31137" w:rsidRDefault="00A31137" w:rsidP="00A31137">
      <w:r w:rsidRPr="00A31137">
        <w:t>1995, Adarand Constructors, Inc. v. Pena, No. 93-1841</w:t>
      </w:r>
    </w:p>
    <w:p w:rsidR="00A31137" w:rsidRPr="00A31137" w:rsidRDefault="00A31137" w:rsidP="00A31137">
      <w:r w:rsidRPr="00A31137">
        <w:t>Petitioner Adarand Constructors, Inc., claims that the Federal Government's practice of giving general contractors on government projects a financial incentive to hire subcontractors controlled by "socially and economically disadvantaged individuals," and, in particular, the Government's use of race-based presumptions in identifying such individuals, violates the equal protection component of the Fifth Amendment's Due Process Clause. The Court of Appeals rejected Adarand's claim. We conclude, however, that courts should analyze cases of this kind under a different standard of review than the one the Court of Appeals applied. We therefore vacate the Court of Appeals' judgment and remand the case for further proceedings.</w:t>
      </w:r>
    </w:p>
    <w:p w:rsidR="00A31137" w:rsidRPr="00A31137" w:rsidRDefault="00A31137" w:rsidP="00A31137">
      <w:r w:rsidRPr="00A31137">
        <w:t>I</w:t>
      </w:r>
    </w:p>
    <w:p w:rsidR="00A31137" w:rsidRPr="00A31137" w:rsidRDefault="00A31137" w:rsidP="00A31137">
      <w:r w:rsidRPr="00A31137">
        <w:t>1995, Adarand Constructors, Inc. v. Pena, No. 93-1841</w:t>
      </w:r>
    </w:p>
    <w:p w:rsidR="00A31137" w:rsidRPr="00A31137" w:rsidRDefault="00A31137" w:rsidP="00A31137">
      <w:r w:rsidRPr="00A31137">
        <w:t>In 1989, the Central Federal Lands Highway Division (CFLHD), which is part of the United States Department of Transportation (DOT), awarded the prime contract for a highway construction project in Colorado to Mountain Gravel &amp; Construction Company. Mountain Gravel then solicited bids from subcontractors for the guardrail portion of the contract. Adarand, a Colorado-based highway construction company specializing in guardrail work, submitted the low bid. Gonzales Construction Company also submitted a bid.</w:t>
      </w:r>
    </w:p>
    <w:p w:rsidR="00A31137" w:rsidRPr="00A31137" w:rsidRDefault="00A31137" w:rsidP="00A31137">
      <w:r w:rsidRPr="00A31137">
        <w:t>1995, Adarand Constructors, Inc. v. Pena, No. 93-1841</w:t>
      </w:r>
    </w:p>
    <w:p w:rsidR="00A31137" w:rsidRPr="00A31137" w:rsidRDefault="00A31137" w:rsidP="00A31137">
      <w:r w:rsidRPr="00A31137">
        <w:t>The prime contract's terms provide that Mountain Gravel would receive additional compensation if it hired subcontractors certified as small businesses controlled by "socially and economically disadvantaged individuals," App. 24. Gonzales is certified as such a business; Adarand is not. Mountain Gravel awarded the subcontract to Gonzales, despite Adarand's low bid, and Mountain Gravel's Chief Estimator has submitted an affidavit stating that Mountain Gravel would have accepted Adarand's bid had it not been for the additional payment it received by hiring Gonzales instead. Id. at 28-31. Federal law requires that a subcontracting clause similar to the one used here must appear in most federal agency contracts, and it also requires the clause to state that</w:t>
      </w:r>
    </w:p>
    <w:p w:rsidR="00A31137" w:rsidRPr="00A31137" w:rsidRDefault="00A31137" w:rsidP="00A31137">
      <w:r w:rsidRPr="00A31137">
        <w:t>1995, Adarand Constructors, Inc. v. Pena, No. 93-1841</w:t>
      </w:r>
    </w:p>
    <w:p w:rsidR="00A31137" w:rsidRPr="00A31137" w:rsidRDefault="00A31137" w:rsidP="00A31137">
      <w:r w:rsidRPr="00A31137">
        <w:t>[t]he contractor shall presume that socially and economically disadvantaged individuals include Black Americans, Hispanic Americans, Native Americans, Asian Pacific Americans, and other minorities, or any other individual found to be disadvantaged by the [Small Business] Administration pursuant to section 8(a) of the Small Business Act.</w:t>
      </w:r>
    </w:p>
    <w:p w:rsidR="00A31137" w:rsidRPr="00A31137" w:rsidRDefault="00A31137" w:rsidP="00A31137">
      <w:r w:rsidRPr="00A31137">
        <w:t>1995, Adarand Constructors, Inc. v. Pena, No. 93-1841</w:t>
      </w:r>
    </w:p>
    <w:p w:rsidR="00A31137" w:rsidRPr="00A31137" w:rsidRDefault="00A31137" w:rsidP="00A31137">
      <w:r w:rsidRPr="00A31137">
        <w:t>15 U.S.C. §§ 637(d)(2), (3). Adarand claims that the presumption set forth in that statute discriminates on the basis of race in violation of the Federal Government's Fifth Amendment obligation not to deny anyone equal protection of the laws.</w:t>
      </w:r>
    </w:p>
    <w:p w:rsidR="00A31137" w:rsidRPr="00A31137" w:rsidRDefault="00A31137" w:rsidP="00A31137">
      <w:r w:rsidRPr="00A31137">
        <w:t>1995, Adarand Constructors, Inc. v. Pena, No. 93-1841</w:t>
      </w:r>
    </w:p>
    <w:p w:rsidR="00A31137" w:rsidRPr="00A31137" w:rsidRDefault="00A31137" w:rsidP="00A31137">
      <w:r w:rsidRPr="00A31137">
        <w:t>These fairly straightforward facts implicate a complex scheme of federal statutes and regulations, to which we now turn. The Small Business Act, 72 Stat. 384, as amended, 15 U.S.C. § 631 et seq. (Act), declares it to be</w:t>
      </w:r>
    </w:p>
    <w:p w:rsidR="00A31137" w:rsidRPr="00A31137" w:rsidRDefault="00A31137" w:rsidP="00A31137">
      <w:r w:rsidRPr="00A31137">
        <w:t>1995, Adarand Constructors, Inc. v. Pena, No. 93-1841</w:t>
      </w:r>
    </w:p>
    <w:p w:rsidR="00A31137" w:rsidRPr="00A31137" w:rsidRDefault="00A31137" w:rsidP="00A31137">
      <w:r w:rsidRPr="00A31137">
        <w:t>the policy of the United States that small business concerns, [and] small business concerns owned and controlled by socially and economically disadvantaged individuals,…shall have the maximum practicable opportunity to participate in the performance of contracts let by any Federal agency.</w:t>
      </w:r>
    </w:p>
    <w:p w:rsidR="00A31137" w:rsidRPr="00A31137" w:rsidRDefault="00A31137" w:rsidP="00A31137">
      <w:r w:rsidRPr="00A31137">
        <w:t>1995, Adarand Constructors, Inc. v. Pena, No. 93-1841</w:t>
      </w:r>
    </w:p>
    <w:p w:rsidR="00A31137" w:rsidRPr="00A31137" w:rsidRDefault="00A31137" w:rsidP="00A31137">
      <w:r w:rsidRPr="00A31137">
        <w:t>§ 8(d)(1), 15 U.S.C. § 637(d)(1). The Act defines "socially disadvantaged individuals" as</w:t>
      </w:r>
    </w:p>
    <w:p w:rsidR="00A31137" w:rsidRPr="00A31137" w:rsidRDefault="00A31137" w:rsidP="00A31137">
      <w:r w:rsidRPr="00A31137">
        <w:t>1995, Adarand Constructors, Inc. v. Pena, No. 93-1841</w:t>
      </w:r>
    </w:p>
    <w:p w:rsidR="00A31137" w:rsidRPr="00A31137" w:rsidRDefault="00A31137" w:rsidP="00A31137">
      <w:r w:rsidRPr="00A31137">
        <w:t>those who have been subjected to racial or ethnic prejudice or cultural bias because of their identity as a member of a group without regard to their individual qualities,</w:t>
      </w:r>
    </w:p>
    <w:p w:rsidR="00A31137" w:rsidRPr="00A31137" w:rsidRDefault="00A31137" w:rsidP="00A31137">
      <w:r w:rsidRPr="00A31137">
        <w:t>1995, Adarand Constructors, Inc. v. Pena, No. 93-1841</w:t>
      </w:r>
    </w:p>
    <w:p w:rsidR="00A31137" w:rsidRPr="00A31137" w:rsidRDefault="00A31137" w:rsidP="00A31137">
      <w:r w:rsidRPr="00A31137">
        <w:t>§ 8(a)(5), 15 U.S.C. § 637(a)(5), and it defines "economically disadvantaged individuals" as</w:t>
      </w:r>
    </w:p>
    <w:p w:rsidR="00A31137" w:rsidRPr="00A31137" w:rsidRDefault="00A31137" w:rsidP="00A31137">
      <w:r w:rsidRPr="00A31137">
        <w:t>1995, Adarand Constructors, Inc. v. Pena, No. 93-1841</w:t>
      </w:r>
    </w:p>
    <w:p w:rsidR="00A31137" w:rsidRPr="00A31137" w:rsidRDefault="00A31137" w:rsidP="00A31137">
      <w:r w:rsidRPr="00A31137">
        <w:t>those socially disadvantaged individuals whose ability to compete in the free enterprise system has been impaired due to diminished capital and credit opportunities as compared to others in the same business area who are not socially disadvantaged.</w:t>
      </w:r>
    </w:p>
    <w:p w:rsidR="00A31137" w:rsidRPr="00A31137" w:rsidRDefault="00A31137" w:rsidP="00A31137">
      <w:r w:rsidRPr="00A31137">
        <w:t>1995, Adarand Constructors, Inc. v. Pena, No. 93-1841</w:t>
      </w:r>
    </w:p>
    <w:p w:rsidR="00A31137" w:rsidRPr="00A31137" w:rsidRDefault="00A31137" w:rsidP="00A31137">
      <w:r w:rsidRPr="00A31137">
        <w:t>§ 8(a)(6)(A), 15 U.S.C. § 637(a)(6)(A).</w:t>
      </w:r>
    </w:p>
    <w:p w:rsidR="00A31137" w:rsidRPr="00A31137" w:rsidRDefault="00A31137" w:rsidP="00A31137">
      <w:r w:rsidRPr="00A31137">
        <w:t>1995, Adarand Constructors, Inc. v. Pena, No. 93-1841</w:t>
      </w:r>
    </w:p>
    <w:p w:rsidR="00A31137" w:rsidRPr="00A31137" w:rsidRDefault="00A31137" w:rsidP="00A31137">
      <w:r w:rsidRPr="00A31137">
        <w:t>In furtherance of the policy stated in § 8(d)(1), the Act establishes "[t]he Government-wide goal for participation by small business concerns owned and controlled by socially and economically disadvantaged individuals" at "not less than 5 percent of the total value of all prime contract and subcontract awards for each fiscal year." 15 U.S.C. § 644(g)(1). It also requires the head of each Federal agency to set agency-specific goals for participation by businesses controlled by socially and economically disadvantaged individuals. Ibid.</w:t>
      </w:r>
    </w:p>
    <w:p w:rsidR="00A31137" w:rsidRPr="00A31137" w:rsidRDefault="00A31137" w:rsidP="00A31137">
      <w:r w:rsidRPr="00A31137">
        <w:t>1995, Adarand Constructors, Inc. v. Pena, No. 93-1841</w:t>
      </w:r>
    </w:p>
    <w:p w:rsidR="00A31137" w:rsidRPr="00A31137" w:rsidRDefault="00A31137" w:rsidP="00A31137">
      <w:r w:rsidRPr="00A31137">
        <w:t>The Small Business Administration (SBA) has implemented these statutory directives in a variety of ways, two of which are relevant here. One is the "8(a) program," which is available to small businesses controlled by socially and economically disadvantaged individuals as the SBA has defined those terms. The 8(a) program confers a wide range of benefits on participating businesses, see, e.g., 13 CFR §§ 124.303-124.311, 124.403 (1994); 48 CFR subpt. 19.8 (1994), one of which is automatic eligibility for subcontractor compensation provisions of the kind at issue in this case, 15 U.S.C. § 637(d)(3)(C) (conferring presumptive eligibility on anyone "found to be disadvantaged…pursuant to section 8(a) of the Small Business Act"). To participate in the 8(a) program, a business must be "small," as defined in 13 CFR § 124.102 (1994); and it must be 51% owned by individuals who qualify as "socially and economically disadvantaged," § 124.103. The SBA presumes that Black, Hispanic, Asian Pacific, Subcontinent Asian, and Native Americans, as well as "members of other groups designated from time to time by SBA," are "socially disadvantaged," § 124.105(b)(1). It also allows any individual not a member of a listed group to prove social disadvantage "on the basis of clear and convincing evidence," as described in § 124.105(c). Social disadvantage is not enough to establish eligibility, however; SBA also requires each 8(a) program participant to prove "economic disadvantage" according to the criteria set forth in § 124.106(a).</w:t>
      </w:r>
    </w:p>
    <w:p w:rsidR="00A31137" w:rsidRPr="00A31137" w:rsidRDefault="00A31137" w:rsidP="00A31137">
      <w:r w:rsidRPr="00A31137">
        <w:t>1995, Adarand Constructors, Inc. v. Pena, No. 93-1841</w:t>
      </w:r>
    </w:p>
    <w:p w:rsidR="00A31137" w:rsidRPr="00A31137" w:rsidRDefault="00A31137" w:rsidP="00A31137">
      <w:r w:rsidRPr="00A31137">
        <w:t>The other SBA program relevant to this case is the "8(d) subcontracting program," which, unlike the 8(a) program, is limited to eligibility for subcontracting provisions like the one at issue here. In determining eligibility, the SBA presumes social disadvantage based on membership in certain minority groups, just as in the 8(a) program, and again appears to require an individualized, although "less restrictive," showing of economic disadvantage, § 124.106(b). A different set of regulations, however, says that members of minority groups wishing to participate in the 8(d) subcontracting program are entitled to a race-based presumption of social and economic disadvantage. 48 CFR §§ 19.001, 19.703(a)(2) (1994). We are left with some uncertainty as to whether participation in the 8(d) subcontracting program requires an individualized showing of economic disadvantage. In any event, in both the 8(a) and the 8(d) programs, the presumptions of disadvantage are rebuttable if a third party comes forward with evidence suggesting that the participant is not, in fact, either economically or socially disadvantaged. 13 CFR §§ 124.111(c)-(d), 124.601-124.609 (1994).</w:t>
      </w:r>
    </w:p>
    <w:p w:rsidR="00A31137" w:rsidRPr="00A31137" w:rsidRDefault="00A31137" w:rsidP="00A31137">
      <w:r w:rsidRPr="00A31137">
        <w:t>1995, Adarand Constructors, Inc. v. Pena, No. 93-1841</w:t>
      </w:r>
    </w:p>
    <w:p w:rsidR="00A31137" w:rsidRPr="00A31137" w:rsidRDefault="00A31137" w:rsidP="00A31137">
      <w:r w:rsidRPr="00A31137">
        <w:t>The contract giving rise to the dispute in this case came about as a result of the Surface Transportation and Uniform Relocation Assistance Act of 1987, Pub.L. 100-17, 101 Stat. 132 (STURAA), a DOT appropriations measure. Section 106(c)(1) of STURAA provides that "not less than 10 percent" of the appropriated funds "shall be expended with small business concerns owned and controlled by socially and economically disadvantaged individuals." 101 Stat. 145. STURAA adopts the Small Business Act's definition of "socially and economically disadvantaged individual," including the applicable race-based presumptions, and adds that "women shall be presumed to be socially and economically disadvantaged individuals for purposes of this subsection." § 106(c)(2)(B), 101 Stat. 146. STURAA also requires the Secretary of Transportation to establish "minimum uniform criteria for State governments to use in certifying whether a concern qualifies for purposes of this subsection." § 106(c)(4), 101 Stat. 146. The Secretary has done so in 49 CFR pt. 23, subpt. D (1994). Those regulations say that the certifying authority should presume both social and economic disadvantage (i. e., eligibility to participate) if the applicant belongs to certain racial groups, or is a woman. 49 CFR § 23.62 (1994); 49 CFR pt. 23, subpt. D, App. C (1994). As with the SBA programs, third parties may come forward with evidence in an effort to rebut the presumption of disadvantage for a particular business. 49 CFR § 23.69 (1994).</w:t>
      </w:r>
    </w:p>
    <w:p w:rsidR="00A31137" w:rsidRPr="00A31137" w:rsidRDefault="00A31137" w:rsidP="00A31137">
      <w:r w:rsidRPr="00A31137">
        <w:t>1995, Adarand Constructors, Inc. v. Pena, No. 93-1841</w:t>
      </w:r>
    </w:p>
    <w:p w:rsidR="00A31137" w:rsidRPr="00A31137" w:rsidRDefault="00A31137" w:rsidP="00A31137">
      <w:r w:rsidRPr="00A31137">
        <w:t>The operative clause in the contract in this case reads as follows:</w:t>
      </w:r>
    </w:p>
    <w:p w:rsidR="00A31137" w:rsidRPr="00A31137" w:rsidRDefault="00A31137" w:rsidP="00A31137">
      <w:r w:rsidRPr="00A31137">
        <w:t>1995, Adarand Constructors, Inc. v. Pena, No. 93-1841</w:t>
      </w:r>
    </w:p>
    <w:p w:rsidR="00A31137" w:rsidRPr="00A31137" w:rsidRDefault="00A31137" w:rsidP="00A31137">
      <w:r w:rsidRPr="00A31137">
        <w:t>Subcontracting. This subsection is supplemented to include a Disadvantaged Business Enterprise (DBE) Development and Subcontracting Provision as follows:</w:t>
      </w:r>
    </w:p>
    <w:p w:rsidR="00A31137" w:rsidRPr="00A31137" w:rsidRDefault="00A31137" w:rsidP="00A31137">
      <w:r w:rsidRPr="00A31137">
        <w:t>1995, Adarand Constructors, Inc. v. Pena, No. 93-1841</w:t>
      </w:r>
    </w:p>
    <w:p w:rsidR="00A31137" w:rsidRPr="00A31137" w:rsidRDefault="00A31137" w:rsidP="00A31137">
      <w:r w:rsidRPr="00A31137">
        <w:t>Monetary compensation is offered for awarding subcontracts to small business concerns owned and controlled by socially and economically disadvantaged individuals….</w:t>
      </w:r>
    </w:p>
    <w:p w:rsidR="00A31137" w:rsidRPr="00A31137" w:rsidRDefault="00A31137" w:rsidP="00A31137">
      <w:r w:rsidRPr="00A31137">
        <w:t>1995, Adarand Constructors, Inc. v. Pena, No. 93-1841</w:t>
      </w:r>
    </w:p>
    <w:p w:rsidR="00A31137" w:rsidRPr="00A31137" w:rsidRDefault="00A31137" w:rsidP="00A31137">
      <w:r w:rsidRPr="00A31137">
        <w:t>A small business concern will be considered a DBE after it has been certified as such by the U.S. Small Business Administration or any State Highway Agency. Certification by other Government agencies, counties, or cities may be acceptable on an individual basis provided the Contracting Officer has determined the certifying agency has an acceptable and viable DBE certification program. If the Contractor requests payment under this provision, the Contractor shall furnish the engineer with acceptable evidence of the subcontractor(s) DBE certification and shall furnish one certified copy of the executed subcontract(s).</w:t>
      </w:r>
    </w:p>
    <w:p w:rsidR="00A31137" w:rsidRPr="00A31137" w:rsidRDefault="00A31137" w:rsidP="00A31137">
      <w:r w:rsidRPr="00A31137">
        <w:t>*    *    *    *</w:t>
      </w:r>
    </w:p>
    <w:p w:rsidR="00A31137" w:rsidRPr="00A31137" w:rsidRDefault="00A31137" w:rsidP="00A31137">
      <w:r w:rsidRPr="00A31137">
        <w:t>1995, Adarand Constructors, Inc. v. Pena, No. 93-1841</w:t>
      </w:r>
    </w:p>
    <w:p w:rsidR="00A31137" w:rsidRPr="00A31137" w:rsidRDefault="00A31137" w:rsidP="00A31137">
      <w:r w:rsidRPr="00A31137">
        <w:t>The Contractor will be paid an amount computed as follows:</w:t>
      </w:r>
    </w:p>
    <w:p w:rsidR="00A31137" w:rsidRPr="00A31137" w:rsidRDefault="00A31137" w:rsidP="00A31137">
      <w:r w:rsidRPr="00A31137">
        <w:t>1995, Adarand Constructors, Inc. v. Pena, No. 93-1841</w:t>
      </w:r>
    </w:p>
    <w:p w:rsidR="00A31137" w:rsidRPr="00A31137" w:rsidRDefault="00A31137" w:rsidP="00A31137">
      <w:r w:rsidRPr="00A31137">
        <w:t>1. If a subcontract is awarded to one DBE, 10 percent of the final amount of the approved DBE subcontract, not to exceed 1.5 percent of the original contract amount.</w:t>
      </w:r>
    </w:p>
    <w:p w:rsidR="00A31137" w:rsidRPr="00A31137" w:rsidRDefault="00A31137" w:rsidP="00A31137">
      <w:r w:rsidRPr="00A31137">
        <w:t>1995, Adarand Constructors, Inc. v. Pena, No. 93-1841</w:t>
      </w:r>
    </w:p>
    <w:p w:rsidR="00A31137" w:rsidRPr="00A31137" w:rsidRDefault="00A31137" w:rsidP="00A31137">
      <w:r w:rsidRPr="00A31137">
        <w:t>2. If subcontracts are awarded to two or more DBEs, 10 percent of the final amount of the approved DBE subcontracts, not to exceed 2 percent of the original contract amount.</w:t>
      </w:r>
    </w:p>
    <w:p w:rsidR="00A31137" w:rsidRPr="00A31137" w:rsidRDefault="00A31137" w:rsidP="00A31137">
      <w:r w:rsidRPr="00A31137">
        <w:t>1995, Adarand Constructors, Inc. v. Pena, No. 93-1841</w:t>
      </w:r>
    </w:p>
    <w:p w:rsidR="00A31137" w:rsidRPr="00A31137" w:rsidRDefault="00A31137" w:rsidP="00A31137">
      <w:r w:rsidRPr="00A31137">
        <w:t>App. 24-26.</w:t>
      </w:r>
    </w:p>
    <w:p w:rsidR="00A31137" w:rsidRPr="00A31137" w:rsidRDefault="00A31137" w:rsidP="00A31137">
      <w:r w:rsidRPr="00A31137">
        <w:t>1995, Adarand Constructors, Inc. v. Pena, No. 93-1841</w:t>
      </w:r>
    </w:p>
    <w:p w:rsidR="00A31137" w:rsidRPr="00A31137" w:rsidRDefault="00A31137" w:rsidP="00A31137">
      <w:r w:rsidRPr="00A31137">
        <w:t>To benefit from this clause, Mountain Gravel had to hire a subcontractor who had been certified as a small disadvantaged business by the SBA, a state highway agency, or some other certifying authority acceptable to the Contracting Officer. Any of the three routes to such certification described above—SBA's 8(a) or 8(d) program, or certification by a State under the DOT regulations—would meet that requirement. The record does not reveal how Gonzales obtained its certification as a small disadvantaged business.</w:t>
      </w:r>
    </w:p>
    <w:p w:rsidR="00A31137" w:rsidRPr="00A31137" w:rsidRDefault="00A31137" w:rsidP="00A31137">
      <w:r w:rsidRPr="00A31137">
        <w:t>1995, Adarand Constructors, Inc. v. Pena, No. 93-1841</w:t>
      </w:r>
    </w:p>
    <w:p w:rsidR="00A31137" w:rsidRPr="00A31137" w:rsidRDefault="00A31137" w:rsidP="00A31137">
      <w:r w:rsidRPr="00A31137">
        <w:t>After losing the guardrail subcontract to Gonzales, Adarand filed suit against various federal officials in the United States District Court for the District of Colorado, claiming that the race-based presumptions involved in the use of subcontracting compensation clauses violate Adarand's right to equal protection. The District Court granted the Government's motion for summary judgment. Adarand Constructors, Inc. v. Skinner, 790 F.Supp. 240 (1992). The Court of Appeals for the Tenth Circuit affirmed. 16 F.3d 1537 (1994). It understood our decision in Fullilove v. Klutznick, 448 U.S. 448 (1980), to have adopted "a lenient standard, resembling intermediate scrutiny, in assessing" the constitutionality of federal race-based action. 16 F.3d at 1544. Applying that "lenient standard," as further developed in Metro Broadcasting, Inc. v. FCC, 497 U.S. 547 (1990), the Court of Appeals upheld the use of subcontractor compensation clauses. 16 F.3d at 1547. We granted certiorari. 512 U.S. ___ (1994).</w:t>
      </w:r>
    </w:p>
    <w:p w:rsidR="00A31137" w:rsidRPr="00A31137" w:rsidRDefault="00A31137" w:rsidP="00A31137">
      <w:r w:rsidRPr="00A31137">
        <w:t>II</w:t>
      </w:r>
    </w:p>
    <w:p w:rsidR="00A31137" w:rsidRPr="00A31137" w:rsidRDefault="00A31137" w:rsidP="00A31137">
      <w:r w:rsidRPr="00A31137">
        <w:t>1995, Adarand Constructors, Inc. v. Pena, No. 93-1841</w:t>
      </w:r>
    </w:p>
    <w:p w:rsidR="00A31137" w:rsidRPr="00A31137" w:rsidRDefault="00A31137" w:rsidP="00A31137">
      <w:r w:rsidRPr="00A31137">
        <w:t>Adarand, in addition to its general prayer for "such other and further relief as to the Court seems just and equitable," specifically seeks declaratory and injunctive relief against any future use of subcontractor compensation clauses. App. 22-23 (complaint). Before reaching the merits of Adarand's challenge, we must consider whether Adarand has standing to seek forward-looking relief. Adarand's allegation that it has lost a contract in the past because of a subcontractor compensation clause of course entitles it to seek damages for the loss of that contract (we express no view, however, as to whether sovereign immunity would bar such relief on these facts). But, as we explained in Los Angeles v. Lyons, 461 U.S. 95 (1983), the fact of past injury,</w:t>
      </w:r>
    </w:p>
    <w:p w:rsidR="00A31137" w:rsidRPr="00A31137" w:rsidRDefault="00A31137" w:rsidP="00A31137">
      <w:r w:rsidRPr="00A31137">
        <w:t>1995, Adarand Constructors, Inc. v. Pena, No. 93-1841</w:t>
      </w:r>
    </w:p>
    <w:p w:rsidR="00A31137" w:rsidRPr="00A31137" w:rsidRDefault="00A31137" w:rsidP="00A31137">
      <w:r w:rsidRPr="00A31137">
        <w:t>while presumably affording [the plaintiff] standing to claim damages…, does nothing to establish a real and immediate threat that he would again</w:t>
      </w:r>
    </w:p>
    <w:p w:rsidR="00A31137" w:rsidRPr="00A31137" w:rsidRDefault="00A31137" w:rsidP="00A31137">
      <w:r w:rsidRPr="00A31137">
        <w:t>1995, Adarand Constructors, Inc. v. Pena, No. 93-1841</w:t>
      </w:r>
    </w:p>
    <w:p w:rsidR="00A31137" w:rsidRPr="00A31137" w:rsidRDefault="00A31137" w:rsidP="00A31137">
      <w:r w:rsidRPr="00A31137">
        <w:t>suffer similar injury in the future. Id. at 105.</w:t>
      </w:r>
    </w:p>
    <w:p w:rsidR="00A31137" w:rsidRPr="00A31137" w:rsidRDefault="00A31137" w:rsidP="00A31137">
      <w:r w:rsidRPr="00A31137">
        <w:t>1995, Adarand Constructors, Inc. v. Pena, No. 93-1841</w:t>
      </w:r>
    </w:p>
    <w:p w:rsidR="00A31137" w:rsidRPr="00A31137" w:rsidRDefault="00A31137" w:rsidP="00A31137">
      <w:r w:rsidRPr="00A31137">
        <w:t>If Adarand is to maintain its claim for forward-looking relief, our cases require it to allege that the use of subcontractor compensation clauses in the future constitutes</w:t>
      </w:r>
    </w:p>
    <w:p w:rsidR="00A31137" w:rsidRPr="00A31137" w:rsidRDefault="00A31137" w:rsidP="00A31137">
      <w:r w:rsidRPr="00A31137">
        <w:t>1995, Adarand Constructors, Inc. v. Pena, No. 93-1841</w:t>
      </w:r>
    </w:p>
    <w:p w:rsidR="00A31137" w:rsidRPr="00A31137" w:rsidRDefault="00A31137" w:rsidP="00A31137">
      <w:r w:rsidRPr="00A31137">
        <w:t>an invasion of a legally protected interest which is (a) concrete and particularized, and (b) actual or imminent, not conjectural or hypothetical.</w:t>
      </w:r>
    </w:p>
    <w:p w:rsidR="00A31137" w:rsidRPr="00A31137" w:rsidRDefault="00A31137" w:rsidP="00A31137">
      <w:r w:rsidRPr="00A31137">
        <w:t>1995, Adarand Constructors, Inc. v. Pena, No. 93-1841</w:t>
      </w:r>
    </w:p>
    <w:p w:rsidR="00A31137" w:rsidRPr="00A31137" w:rsidRDefault="00A31137" w:rsidP="00A31137">
      <w:r w:rsidRPr="00A31137">
        <w:t>Lujan v. Defenders of Wildlife, 504 U.S. 555, 560 (1992) (footnote, citations, and internal quotation marks omitted). Adarand's claim that the Government's use of subcontractor compensation clauses denies it equal protection of the laws of course alleges an invasion of a legally protected interest, and it does so in a manner that is "particularized" as to Adarand. We note that, contrary to the respondents' suggestion, see Brief for Respondents 29-30, Adarand need not demonstrate that it has been, or will be, the low bidder on a government contract. The injury in cases of this kind is that a "discriminatory classification prevent[s] the plaintiff from competing on an equal footing." General Contractors v. Jacksonville, 508 U.S. ___, ___ (1993). The aggrieved party "need not allege that he would have obtained the benefit but for the barrier in order to establish standing." Id. at ___.</w:t>
      </w:r>
    </w:p>
    <w:p w:rsidR="00A31137" w:rsidRPr="00A31137" w:rsidRDefault="00A31137" w:rsidP="00A31137">
      <w:r w:rsidRPr="00A31137">
        <w:t>1995, Adarand Constructors, Inc. v. Pena, No. 93-1841</w:t>
      </w:r>
    </w:p>
    <w:p w:rsidR="00A31137" w:rsidRPr="00A31137" w:rsidRDefault="00A31137" w:rsidP="00A31137">
      <w:r w:rsidRPr="00A31137">
        <w:t>It is less clear, however, that the future use of subcontractor compensation clauses will cause Adarand "imminent" injury. We said in Lujan that,</w:t>
      </w:r>
    </w:p>
    <w:p w:rsidR="00A31137" w:rsidRPr="00A31137" w:rsidRDefault="00A31137" w:rsidP="00A31137">
      <w:r w:rsidRPr="00A31137">
        <w:t>1995, Adarand Constructors, Inc. v. Pena, No. 93-1841</w:t>
      </w:r>
    </w:p>
    <w:p w:rsidR="00A31137" w:rsidRPr="00A31137" w:rsidRDefault="00A31137" w:rsidP="00A31137">
      <w:r w:rsidRPr="00A31137">
        <w:t>[a]lthough "imminence" is concededly a somewhat elastic concept, it cannot be stretched beyond its purpose, which is to insure that the alleged injury is not too speculative for Article III purposes—that the injury is "certainly impending."</w:t>
      </w:r>
    </w:p>
    <w:p w:rsidR="00A31137" w:rsidRPr="00A31137" w:rsidRDefault="00A31137" w:rsidP="00A31137">
      <w:r w:rsidRPr="00A31137">
        <w:t>1995, Adarand Constructors, Inc. v. Pena, No. 93-1841</w:t>
      </w:r>
    </w:p>
    <w:p w:rsidR="00A31137" w:rsidRPr="00A31137" w:rsidRDefault="00A31137" w:rsidP="00A31137">
      <w:r w:rsidRPr="00A31137">
        <w:t>Lujan, supra, at 565, n. 2. We therefore must ask whether Adarand has made an adequate showing that sometime in the relatively near future it will bid on another government contract that offers financial incentives to a prime contractor for hiring disadvantaged subcontractors.</w:t>
      </w:r>
    </w:p>
    <w:p w:rsidR="00A31137" w:rsidRPr="00A31137" w:rsidRDefault="00A31137" w:rsidP="00A31137">
      <w:r w:rsidRPr="00A31137">
        <w:t>1995, Adarand Constructors, Inc. v. Pena, No. 93-1841</w:t>
      </w:r>
    </w:p>
    <w:p w:rsidR="00A31137" w:rsidRPr="00A31137" w:rsidRDefault="00A31137" w:rsidP="00A31137">
      <w:r w:rsidRPr="00A31137">
        <w:t>We conclude that Adarand has satisfied this requirement. Adarand's general manager said in a deposition that his company bids on every guardrail project in Colorado. See Reply Brief for Petitioner 5-A. According to documents produced in discovery, the CFLHD let fourteen prime contracts in Colorado that included guardrail work between 1983 and 1990. Plaintiff's Motion for Summary Judgment in No. 90-C-1413, Exh. I, Attachment A (D. Colo.). Two of those contracts do not present the kind of injury Adarand alleges here. In one, the prime contractor did not subcontract out the guardrail work; in another, the prime contractor was itself a disadvantaged business, and in such cases the contract generally does not include a subcontractor compensation clause. Ibid.; see also id. Supplemental Exhibits, Deposition of Craig Actis 14 (testimony of CFLHD employee that 8(a) contracts do not include subcontractor compensation clauses). Thus, statistics from the years 1983 through 1990 indicate that the CFLHD lets on average one and one half contracts per year that could injure Adarand in the manner it alleges here. Nothing in the record suggests that the CFLHD has altered the frequency with which it lets contracts that include guardrail work. And the record indicates that Adarand often must compete for contracts against companies certified as small disadvantaged businesses. See id. Exh. F, Attachments 1-3. Because the evidence in this case indicates that the CFLHD is likely to let contracts involving guardrail work that contain a subcontractor compensation clause at least once per year in Colorado, that Adarand is very likely to bid on each such contract, and that Adarand often must compete for such contracts against small disadvantaged businesses, we are satisfied that Adarand has standing to bring this lawsuit.</w:t>
      </w:r>
    </w:p>
    <w:p w:rsidR="00A31137" w:rsidRPr="00A31137" w:rsidRDefault="00A31137" w:rsidP="00A31137">
      <w:r w:rsidRPr="00A31137">
        <w:t>III</w:t>
      </w:r>
    </w:p>
    <w:p w:rsidR="00A31137" w:rsidRPr="00A31137" w:rsidRDefault="00A31137" w:rsidP="00A31137">
      <w:r w:rsidRPr="00A31137">
        <w:t>1995, Adarand Constructors, Inc. v. Pena, No. 93-1841</w:t>
      </w:r>
    </w:p>
    <w:p w:rsidR="00A31137" w:rsidRPr="00A31137" w:rsidRDefault="00A31137" w:rsidP="00A31137">
      <w:r w:rsidRPr="00A31137">
        <w:t>The Government urges that "[t]he Subcontracting Compensation Clause program is…a program based on disadvantage, not on race," and thus that it is subject only to "the most relaxed judicial scrutiny." Brief for Respondents 26. To the extent that the statutes and regulations involved in this case are race-neutral, we agree. The Government concedes, however, that "the race-based rebuttable presumption used in some certification determinations under the Subcontracting Compensation Clause" is subject to some heightened level of scrutiny. Id. at 27. The parties disagree as to what that level should be. (We note, incidentally, that this case concerns only classifications based explicitly on race, and presents none of the additional difficulties posed by laws that, although facially race neutral, result in racially disproportionate impact and are motivated by a racially discriminatory purpose. See generally Arlington Heights v. Metropolitan Housing Development Corp., 429 U.S. 252 (1977); Washington v. Davis, 426 U.S. 229 (1976).)</w:t>
      </w:r>
    </w:p>
    <w:p w:rsidR="00A31137" w:rsidRPr="00A31137" w:rsidRDefault="00A31137" w:rsidP="00A31137">
      <w:r w:rsidRPr="00A31137">
        <w:t>1995, Adarand Constructors, Inc. v. Pena, No. 93-1841</w:t>
      </w:r>
    </w:p>
    <w:p w:rsidR="00A31137" w:rsidRPr="00A31137" w:rsidRDefault="00A31137" w:rsidP="00A31137">
      <w:r w:rsidRPr="00A31137">
        <w:t>Adarand's claim arises under the Fifth Amendment to the Constitution, which provides that "No person shall…be deprived of life, liberty, or property, without due process of law." Although this Court has always understood that Clause to provide some measure of protection against arbitrary treatment by the Federal Government, it is not as explicit a guarantee of equal treatment as the Fourteenth Amendment, which provides that "No State shall…deny to any person within its jurisdiction the equal protection of the laws" (emphasis added). Our cases have accorded varying degrees of significance to the difference in the language of those two Clauses. We think it necessary to revisit the issue here.</w:t>
      </w:r>
    </w:p>
    <w:p w:rsidR="00A31137" w:rsidRPr="00A31137" w:rsidRDefault="00A31137" w:rsidP="00A31137">
      <w:r w:rsidRPr="00A31137">
        <w:t>A</w:t>
      </w:r>
    </w:p>
    <w:p w:rsidR="00A31137" w:rsidRPr="00A31137" w:rsidRDefault="00A31137" w:rsidP="00A31137">
      <w:r w:rsidRPr="00A31137">
        <w:t>1995, Adarand Constructors, Inc. v. Pena, No. 93-1841</w:t>
      </w:r>
    </w:p>
    <w:p w:rsidR="00A31137" w:rsidRPr="00A31137" w:rsidRDefault="00A31137" w:rsidP="00A31137">
      <w:r w:rsidRPr="00A31137">
        <w:t>Through the 1940s, this Court had routinely taken the view in non-race-related cases that,</w:t>
      </w:r>
    </w:p>
    <w:p w:rsidR="00A31137" w:rsidRPr="00A31137" w:rsidRDefault="00A31137" w:rsidP="00A31137">
      <w:r w:rsidRPr="00A31137">
        <w:t>1995, Adarand Constructors, Inc. v. Pena, No. 93-1841</w:t>
      </w:r>
    </w:p>
    <w:p w:rsidR="00A31137" w:rsidRPr="00A31137" w:rsidRDefault="00A31137" w:rsidP="00A31137">
      <w:r w:rsidRPr="00A31137">
        <w:t>[u]nlike the Fourteenth Amendment, the Fifth contains no equal protection clause, and it provides no guaranty against discriminatory legislation by Congress.</w:t>
      </w:r>
    </w:p>
    <w:p w:rsidR="00A31137" w:rsidRPr="00A31137" w:rsidRDefault="00A31137" w:rsidP="00A31137">
      <w:r w:rsidRPr="00A31137">
        <w:t>1995, Adarand Constructors, Inc. v. Pena, No. 93-1841</w:t>
      </w:r>
    </w:p>
    <w:p w:rsidR="00A31137" w:rsidRPr="00A31137" w:rsidRDefault="00A31137" w:rsidP="00A31137">
      <w:r w:rsidRPr="00A31137">
        <w:t xml:space="preserve"> Detroit Bank v. United States, 317 U.S. 329, 337 (1943); see also, e.g., Helvering v. Lerner Stores Corp., 314 U.S. 463, 468 (1941); LaBelle Iron Works v. United States, 256 U.S. 377, 392 (1921) ("Reference is made to cases decided under the equal protection clause of the Fourteenth Amendment…; but clearly they are not in point. The Fifth Amendment has no equal protection clause"). When the Court first faced a Fifth Amendment equal protection challenge to a federal racial classification, it adopted a similar approach, with most unfortunate results. In Hirabayashi v. United States, 320 U.S. 81 (1943), the Court considered a curfew applicable only to persons of Japanese ancestry. The Court observed—correctly—that</w:t>
      </w:r>
    </w:p>
    <w:p w:rsidR="00A31137" w:rsidRPr="00A31137" w:rsidRDefault="00A31137" w:rsidP="00A31137">
      <w:r w:rsidRPr="00A31137">
        <w:t>1995, Adarand Constructors, Inc. v. Pena, No. 93-1841</w:t>
      </w:r>
    </w:p>
    <w:p w:rsidR="00A31137" w:rsidRPr="00A31137" w:rsidRDefault="00A31137" w:rsidP="00A31137">
      <w:r w:rsidRPr="00A31137">
        <w:t>[d]istinctions between citizens solely because of their ancestry are, by their very nature, odious to a free people whose institutions are founded upon the doctrine of equality,</w:t>
      </w:r>
    </w:p>
    <w:p w:rsidR="00A31137" w:rsidRPr="00A31137" w:rsidRDefault="00A31137" w:rsidP="00A31137">
      <w:r w:rsidRPr="00A31137">
        <w:t>1995, Adarand Constructors, Inc. v. Pena, No. 93-1841</w:t>
      </w:r>
    </w:p>
    <w:p w:rsidR="00A31137" w:rsidRPr="00A31137" w:rsidRDefault="00A31137" w:rsidP="00A31137">
      <w:r w:rsidRPr="00A31137">
        <w:t>and that "racial discriminations are in most circumstances irrelevant and therefore prohibited." Id. at  100. But it also cited Detroit Bank for the proposition that the Fifth Amendment "restrains only such discriminatory legislation by Congress as amounts to a denial of due process," ibid. and upheld the curfew because</w:t>
      </w:r>
    </w:p>
    <w:p w:rsidR="00A31137" w:rsidRPr="00A31137" w:rsidRDefault="00A31137" w:rsidP="00A31137">
      <w:r w:rsidRPr="00A31137">
        <w:t>1995, Adarand Constructors, Inc. v. Pena, No. 93-1841</w:t>
      </w:r>
    </w:p>
    <w:p w:rsidR="00A31137" w:rsidRPr="00A31137" w:rsidRDefault="00A31137" w:rsidP="00A31137">
      <w:r w:rsidRPr="00A31137">
        <w:t>circumstances within the knowledge of those charged with the responsibility for maintaining the national defense afforded a rational basis for the decision which they made.</w:t>
      </w:r>
    </w:p>
    <w:p w:rsidR="00A31137" w:rsidRPr="00A31137" w:rsidRDefault="00A31137" w:rsidP="00A31137">
      <w:r w:rsidRPr="00A31137">
        <w:t>1995, Adarand Constructors, Inc. v. Pena, No. 93-1841</w:t>
      </w:r>
    </w:p>
    <w:p w:rsidR="00A31137" w:rsidRPr="00A31137" w:rsidRDefault="00A31137" w:rsidP="00A31137">
      <w:r w:rsidRPr="00A31137">
        <w:t>Id. at  102.</w:t>
      </w:r>
    </w:p>
    <w:p w:rsidR="00A31137" w:rsidRPr="00A31137" w:rsidRDefault="00A31137" w:rsidP="00A31137">
      <w:r w:rsidRPr="00A31137">
        <w:t>1995, Adarand Constructors, Inc. v. Pena, No. 93-1841</w:t>
      </w:r>
    </w:p>
    <w:p w:rsidR="00A31137" w:rsidRPr="00A31137" w:rsidRDefault="00A31137" w:rsidP="00A31137">
      <w:r w:rsidRPr="00A31137">
        <w:t>Eighteen months later, the Court again approved wartime measures directed at persons of Japanese ancestry. Korematsu v. United States, 323 U.S. 214 (1944), concerned an order that completely excluded such persons from particular areas. The Court did not address the view, expressed in cases like Hirabayashi and Detroit Bank, that the Federal Government's obligation to provide equal protection differs significantly from that of the States. Instead, it began by noting that</w:t>
      </w:r>
    </w:p>
    <w:p w:rsidR="00A31137" w:rsidRPr="00A31137" w:rsidRDefault="00A31137" w:rsidP="00A31137">
      <w:r w:rsidRPr="00A31137">
        <w:t>1995, Adarand Constructors, Inc. v. Pena, No. 93-1841</w:t>
      </w:r>
    </w:p>
    <w:p w:rsidR="00A31137" w:rsidRPr="00A31137" w:rsidRDefault="00A31137" w:rsidP="00A31137">
      <w:r w:rsidRPr="00A31137">
        <w:t>all legal restrictions which curtail the civil rights of a single racial group are immediately suspect…[and] courts must subject them to the most rigid scrutiny.</w:t>
      </w:r>
    </w:p>
    <w:p w:rsidR="00A31137" w:rsidRPr="00A31137" w:rsidRDefault="00A31137" w:rsidP="00A31137">
      <w:r w:rsidRPr="00A31137">
        <w:t>1995, Adarand Constructors, Inc. v. Pena, No. 93-1841</w:t>
      </w:r>
    </w:p>
    <w:p w:rsidR="00A31137" w:rsidRPr="00A31137" w:rsidRDefault="00A31137" w:rsidP="00A31137">
      <w:r w:rsidRPr="00A31137">
        <w:t>323 U.S. at  216. That promising dictum might be read to undermine the view that the Federal Government is under a lesser obligation to avoid injurious racial classifications than are the States. Cf. id. at 234-235 (Murphy, J., dissenting) ("[T]he order deprives all those within its scope of the equal protection of the laws as guaranteed by the Fifth Amendment"). But in spite of the "most rigid scrutiny" standard it had just set forth, the Court then inexplicably relied on "the principles we announced in the Hirabayashi case," id. at  217, to conclude that, although "exclusion from the area in which one's home is located is a far greater deprivation than constant confinement to the home from 8 p. m. to 6 a. m.," id. at  218, the racially discriminatory order was nonetheless within the Federal Government's power.*</w:t>
      </w:r>
    </w:p>
    <w:p w:rsidR="00A31137" w:rsidRPr="00A31137" w:rsidRDefault="00A31137" w:rsidP="00A31137">
      <w:r w:rsidRPr="00A31137">
        <w:t>1995, Adarand Constructors, Inc. v. Pena, No. 93-1841</w:t>
      </w:r>
    </w:p>
    <w:p w:rsidR="00A31137" w:rsidRPr="00A31137" w:rsidRDefault="00A31137" w:rsidP="00A31137">
      <w:r w:rsidRPr="00A31137">
        <w:t>In Bolling v. Sharpe, 347 U.S. 497 (1954), the Court, for the first time, explicitly questioned the existence of any difference between the obligations of the Federal Government and the States to avoid racial classifications. Bolling did note that "[t]he 'equal protection of the laws' is a more explicit safeguard of prohibited unfairness than 'due process of law,'" id. at  499. But Bolling then concluded that,</w:t>
      </w:r>
    </w:p>
    <w:p w:rsidR="00A31137" w:rsidRPr="00A31137" w:rsidRDefault="00A31137" w:rsidP="00A31137">
      <w:r w:rsidRPr="00A31137">
        <w:t>1995, Adarand Constructors, Inc. v. Pena, No. 93-1841</w:t>
      </w:r>
    </w:p>
    <w:p w:rsidR="00A31137" w:rsidRPr="00A31137" w:rsidRDefault="00A31137" w:rsidP="00A31137">
      <w:r w:rsidRPr="00A31137">
        <w:t>[i]n view of [the] decision that the Constitution prohibits the states from maintaining racially segregated public schools, it would be unthinkable that the same Constitution would impose a lesser duty on the Federal Government.</w:t>
      </w:r>
    </w:p>
    <w:p w:rsidR="00A31137" w:rsidRPr="00A31137" w:rsidRDefault="00A31137" w:rsidP="00A31137">
      <w:r w:rsidRPr="00A31137">
        <w:t>1995, Adarand Constructors, Inc. v. Pena, No. 93-1841</w:t>
      </w:r>
    </w:p>
    <w:p w:rsidR="00A31137" w:rsidRPr="00A31137" w:rsidRDefault="00A31137" w:rsidP="00A31137">
      <w:r w:rsidRPr="00A31137">
        <w:t>Id. at  500.</w:t>
      </w:r>
    </w:p>
    <w:p w:rsidR="00A31137" w:rsidRPr="00A31137" w:rsidRDefault="00A31137" w:rsidP="00A31137">
      <w:r w:rsidRPr="00A31137">
        <w:t>1995, Adarand Constructors, Inc. v. Pena, No. 93-1841</w:t>
      </w:r>
    </w:p>
    <w:p w:rsidR="00A31137" w:rsidRPr="00A31137" w:rsidRDefault="00A31137" w:rsidP="00A31137">
      <w:r w:rsidRPr="00A31137">
        <w:t>Bolling's facts concerned school desegregation, but its reasoning was not so limited. The Court's observations that "[d]istinctions between citizens solely because of their ancestry are, by their very nature, odious," Hirabayashi, 320 U.S. at  100, and that "all legal restrictions which curtail the civil rights of a single racial group are immediately suspect," Korematsu, 323 U.S. at  216, carry no less force in the context of federal action than in the context of action by the States—indeed, they first appeared in cases concerning action by the Federal Government. Bolling relied on those observations, 347 U.S. at  499, n. 3, and reiterated</w:t>
      </w:r>
    </w:p>
    <w:p w:rsidR="00A31137" w:rsidRPr="00A31137" w:rsidRDefault="00A31137" w:rsidP="00A31137">
      <w:r w:rsidRPr="00A31137">
        <w:t>1995, Adarand Constructors, Inc. v. Pena, No. 93-1841</w:t>
      </w:r>
    </w:p>
    <w:p w:rsidR="00A31137" w:rsidRPr="00A31137" w:rsidRDefault="00A31137" w:rsidP="00A31137">
      <w:r w:rsidRPr="00A31137">
        <w:t>"that the Constitution of the United States, in its present form, forbids, so far as civil and political rights are concerned, discrimination by the General Government, or by the States, against any citizen because of his race,"</w:t>
      </w:r>
    </w:p>
    <w:p w:rsidR="00A31137" w:rsidRPr="00A31137" w:rsidRDefault="00A31137" w:rsidP="00A31137">
      <w:r w:rsidRPr="00A31137">
        <w:t>1995, Adarand Constructors, Inc. v. Pena, No. 93-1841</w:t>
      </w:r>
    </w:p>
    <w:p w:rsidR="00A31137" w:rsidRPr="00A31137" w:rsidRDefault="00A31137" w:rsidP="00A31137">
      <w:r w:rsidRPr="00A31137">
        <w:t>id. at  499 (quoting Gibson v. Mississippi, 162 U.S. 565, 591 (1896)) (emphasis added). The Court's application of that general principle to the case before it, and the resulting imposition on the Federal Government of an obligation equivalent to that of the States, followed as a matter of course.</w:t>
      </w:r>
    </w:p>
    <w:p w:rsidR="00A31137" w:rsidRPr="00A31137" w:rsidRDefault="00A31137" w:rsidP="00A31137">
      <w:r w:rsidRPr="00A31137">
        <w:t>1995, Adarand Constructors, Inc. v. Pena, No. 93-1841</w:t>
      </w:r>
    </w:p>
    <w:p w:rsidR="00A31137" w:rsidRPr="00A31137" w:rsidRDefault="00A31137" w:rsidP="00A31137">
      <w:r w:rsidRPr="00A31137">
        <w:t>Later cases in contexts other than school desegregation did not distinguish between the duties of the States and the Federal Government to avoid racial classifications. Consider, for example, the following passage from McLaughlin v. Florida, 379 U.S. 184, a 1964 case that struck down a race-based state law:</w:t>
      </w:r>
    </w:p>
    <w:p w:rsidR="00A31137" w:rsidRPr="00A31137" w:rsidRDefault="00A31137" w:rsidP="00A31137">
      <w:r w:rsidRPr="00A31137">
        <w:t>1995, Adarand Constructors, Inc. v. Pena, No. 93-1841</w:t>
      </w:r>
    </w:p>
    <w:p w:rsidR="00A31137" w:rsidRPr="00A31137" w:rsidRDefault="00A31137" w:rsidP="00A31137">
      <w:r w:rsidRPr="00A31137">
        <w:t>[W]e deal here with a classification based upon the race of the participants, which must be viewed in light of the historical fact that the central purpose of the Fourteenth Amendment was to eliminate racial discrimination emanating from official sources in the States. This strong policy renders racial classifications "constitutionally suspect," Bolling v. Sharpe, 347 U.S. 497,  499; and subject to the "most rigid scrutiny," Korematsu v. United States, 323 U.S. 214,  216; and, "in most circumstances, irrelevant" to any constitutionally acceptable legislative purpose, Hirabayashi v. United States, 320 U.S. 81,  100.</w:t>
      </w:r>
    </w:p>
    <w:p w:rsidR="00A31137" w:rsidRPr="00A31137" w:rsidRDefault="00A31137" w:rsidP="00A31137">
      <w:r w:rsidRPr="00A31137">
        <w:t>1995, Adarand Constructors, Inc. v. Pena, No. 93-1841</w:t>
      </w:r>
    </w:p>
    <w:p w:rsidR="00A31137" w:rsidRPr="00A31137" w:rsidRDefault="00A31137" w:rsidP="00A31137">
      <w:r w:rsidRPr="00A31137">
        <w:t>Id. at 191-192. McLaughlin's reliance on cases involving federal action for the standards applicable to a case involving state legislation suggests that the Court understood the standards for federal and state racial classifications to be the same.</w:t>
      </w:r>
    </w:p>
    <w:p w:rsidR="00A31137" w:rsidRPr="00A31137" w:rsidRDefault="00A31137" w:rsidP="00A31137">
      <w:r w:rsidRPr="00A31137">
        <w:t>1995, Adarand Constructors, Inc. v. Pena, No. 93-1841</w:t>
      </w:r>
    </w:p>
    <w:p w:rsidR="00A31137" w:rsidRPr="00A31137" w:rsidRDefault="00A31137" w:rsidP="00A31137">
      <w:r w:rsidRPr="00A31137">
        <w:t>Cases decided after McLaughlin continued to treat the equal protection obligations imposed by the Fifth and the Fourteenth Amendments as indistinguishable; one commentator observed that,</w:t>
      </w:r>
    </w:p>
    <w:p w:rsidR="00A31137" w:rsidRPr="00A31137" w:rsidRDefault="00A31137" w:rsidP="00A31137">
      <w:r w:rsidRPr="00A31137">
        <w:t>1995, Adarand Constructors, Inc. v. Pena, No. 93-1841</w:t>
      </w:r>
    </w:p>
    <w:p w:rsidR="00A31137" w:rsidRPr="00A31137" w:rsidRDefault="00A31137" w:rsidP="00A31137">
      <w:r w:rsidRPr="00A31137">
        <w:t>[i]n case after case, fifth amendment equal protection problems are discussed on the assumption that fourteenth amendment precedents are controlling.</w:t>
      </w:r>
    </w:p>
    <w:p w:rsidR="00A31137" w:rsidRPr="00A31137" w:rsidRDefault="00A31137" w:rsidP="00A31137">
      <w:r w:rsidRPr="00A31137">
        <w:t>1995, Adarand Constructors, Inc. v. Pena, No. 93-1841</w:t>
      </w:r>
    </w:p>
    <w:p w:rsidR="00A31137" w:rsidRPr="00A31137" w:rsidRDefault="00A31137" w:rsidP="00A31137">
      <w:r w:rsidRPr="00A31137">
        <w:t>Karst, The Fifth Amendment's Guarantee of Equal Protection, 55 N.C.L.Rev. 541, 554 (1977). Loving v. Virginia, which struck down a race-based state law, cited Korematsu for the proposition that "the Equal Protection Clause demands that racial classifications…be subjected to the 'most rigid scrutiny.'" 388 U.S. 1,  11 (1967). The various opinions in Frontiero v. Richardson, 411 U.S. 677 (1973), which concerned sex discrimination by the Federal Government, took their equal protection standard of review from Reed v. Reed, 404 U.S. 71 (1971), a case that invalidated sex discrimination by a State, without mentioning any possibility of a difference between the standards applicable to state and federal action. Frontiero, 411 U.S. at 682-684 (plurality opinion of Brennan, J.); id. at  691 (Stewart, J., concurring in judgment); id. at  692 (Powell, J., concurring in judgment). Thus, in 1975, the Court stated explicitly that</w:t>
      </w:r>
    </w:p>
    <w:p w:rsidR="00A31137" w:rsidRPr="00A31137" w:rsidRDefault="00A31137" w:rsidP="00A31137">
      <w:r w:rsidRPr="00A31137">
        <w:t>1995, Adarand Constructors, Inc. v. Pena, No. 93-1841</w:t>
      </w:r>
    </w:p>
    <w:p w:rsidR="00A31137" w:rsidRPr="00A31137" w:rsidRDefault="00A31137" w:rsidP="00A31137">
      <w:r w:rsidRPr="00A31137">
        <w:t>[t]his Court's approach to Fifth Amendment equal protection claims has always been precisely the same as to equal protection claims under the Fourteenth Amendment.</w:t>
      </w:r>
    </w:p>
    <w:p w:rsidR="00A31137" w:rsidRPr="00A31137" w:rsidRDefault="00A31137" w:rsidP="00A31137">
      <w:r w:rsidRPr="00A31137">
        <w:t>1995, Adarand Constructors, Inc. v. Pena, No. 93-1841</w:t>
      </w:r>
    </w:p>
    <w:p w:rsidR="00A31137" w:rsidRPr="00A31137" w:rsidRDefault="00A31137" w:rsidP="00A31137">
      <w:r w:rsidRPr="00A31137">
        <w:t>Weinberger v. Wiesenfeld, 420 U.S. 636, 638, n. 2 (1975); see also Buckley v. Valeo, 424 U.S. 1,  93 (1976) ("Equal protection analysis in the Fifth Amendment area is the same as that under the Fourteenth Amendment"); United States v. Paradise, 480 U.S. 149,  166, n. 16 (1987) (plurality opinion of Brennan, J.) ("[T]he reach of the equal protection guarantee of the Fifth Amendment is coextensive with that of the Fourteenth"). We do not understand a few contrary suggestions appearing in cases in which we found special deference to the political branches of the Federal Government to be appropriate, e.g., Hampton v. Mow Sun Wong, 426 U.S. 88, 100, 101-102, n. 21 (1976) (federal power over immigration), to detract from this general rule.</w:t>
      </w:r>
    </w:p>
    <w:p w:rsidR="00A31137" w:rsidRPr="00A31137" w:rsidRDefault="00A31137" w:rsidP="00A31137">
      <w:r w:rsidRPr="00A31137">
        <w:t>B</w:t>
      </w:r>
    </w:p>
    <w:p w:rsidR="00A31137" w:rsidRPr="00A31137" w:rsidRDefault="00A31137" w:rsidP="00A31137">
      <w:r w:rsidRPr="00A31137">
        <w:t>1995, Adarand Constructors, Inc. v. Pena, No. 93-1841</w:t>
      </w:r>
    </w:p>
    <w:p w:rsidR="00A31137" w:rsidRPr="00A31137" w:rsidRDefault="00A31137" w:rsidP="00A31137">
      <w:r w:rsidRPr="00A31137">
        <w:t>Most of the cases discussed above involved classifications burdening groups that have suffered discrimination in our society. In 1978, the Court confronted the question whether race-based governmental action designed to benefit such groups should also be subject to "the most rigid scrutiny." Regents of Univ. of California v. Bakke, 438 U.S. 265, involved an equal protection challenge to a state-run medical school's practice of reserving a number of spaces in its entering class for minority students. The petitioners argued that "strict scrutiny" should apply only to "classifications that disadvantage 'discrete and insular minorities.'" Id. at 287-288 (opinion of Powell, J.) (citing United States v. Carolene Products Co., 304 U.S. 144,  152, n. 4 (1938)). Bakke did not produce an opinion for the Court, but Justice Powell's opinion announcing the Court's judgment rejected the argument. In a passage joined by Justice White, Justice Powell wrote that</w:t>
      </w:r>
    </w:p>
    <w:p w:rsidR="00A31137" w:rsidRPr="00A31137" w:rsidRDefault="00A31137" w:rsidP="00A31137">
      <w:r w:rsidRPr="00A31137">
        <w:t>1995, Adarand Constructors, Inc. v. Pena, No. 93-1841</w:t>
      </w:r>
    </w:p>
    <w:p w:rsidR="00A31137" w:rsidRPr="00A31137" w:rsidRDefault="00A31137" w:rsidP="00A31137">
      <w:r w:rsidRPr="00A31137">
        <w:t>[t]he guarantee of equal protection cannot mean one thing when applied to one individual and something else when applied to a person of another color.</w:t>
      </w:r>
    </w:p>
    <w:p w:rsidR="00A31137" w:rsidRPr="00A31137" w:rsidRDefault="00A31137" w:rsidP="00A31137">
      <w:r w:rsidRPr="00A31137">
        <w:t>1995, Adarand Constructors, Inc. v. Pena, No. 93-1841</w:t>
      </w:r>
    </w:p>
    <w:p w:rsidR="00A31137" w:rsidRPr="00A31137" w:rsidRDefault="00A31137" w:rsidP="00A31137">
      <w:r w:rsidRPr="00A31137">
        <w:t>438 U.S. at 289-290. He concluded that "[r]acial and ethnic distinctions of any sort are inherently suspect, and thus call for the most exacting judicial examination." Id. at  291. On the other hand, four Justices in Bakke would have applied a less stringent standard of review to racial classifications "designed to further remedial purposes," see id. at  359 (Brennan, White, Marshall, and Blackmun, JJ., concurring in judgment in part and dissenting in part). And four Justices thought the case should be decided on statutory grounds. Id. at 411-412,  421 (STEVENS, J., joined by Burger, C.J., Stewart, and REHNQUIST, JJ., concurring in judgment in part and dissenting in part).</w:t>
      </w:r>
    </w:p>
    <w:p w:rsidR="00A31137" w:rsidRPr="00A31137" w:rsidRDefault="00A31137" w:rsidP="00A31137">
      <w:r w:rsidRPr="00A31137">
        <w:t>1995, Adarand Constructors, Inc. v. Pena, No. 93-1841</w:t>
      </w:r>
    </w:p>
    <w:p w:rsidR="00A31137" w:rsidRPr="00A31137" w:rsidRDefault="00A31137" w:rsidP="00A31137">
      <w:r w:rsidRPr="00A31137">
        <w:t>Two years after Bakke, the Court faced another challenge to remedial race-based action, this time involving action undertaken by the Federal Government. In Fullilove v. Klutznick, 448 U.S. 448 (1980), the Court upheld Congress' inclusion of a 10% set-aside for minority-owned businesses in the Public Works Employment Act of 1977. As in Bakke, there was no opinion for the Court. Chief Justice Burger, in an opinion joined by Justices White and Powell, observed that</w:t>
      </w:r>
    </w:p>
    <w:p w:rsidR="00A31137" w:rsidRPr="00A31137" w:rsidRDefault="00A31137" w:rsidP="00A31137">
      <w:r w:rsidRPr="00A31137">
        <w:t>1995, Adarand Constructors, Inc. v. Pena, No. 93-1841</w:t>
      </w:r>
    </w:p>
    <w:p w:rsidR="00A31137" w:rsidRPr="00A31137" w:rsidRDefault="00A31137" w:rsidP="00A31137">
      <w:r w:rsidRPr="00A31137">
        <w:t>[a]ny preference based on racial or ethnic criteria must necessarily receive a most searching examination to make sure that it does not conflict with constitutional guarantees.</w:t>
      </w:r>
    </w:p>
    <w:p w:rsidR="00A31137" w:rsidRPr="00A31137" w:rsidRDefault="00A31137" w:rsidP="00A31137">
      <w:r w:rsidRPr="00A31137">
        <w:t>1995, Adarand Constructors, Inc. v. Pena, No. 93-1841</w:t>
      </w:r>
    </w:p>
    <w:p w:rsidR="00A31137" w:rsidRPr="00A31137" w:rsidRDefault="00A31137" w:rsidP="00A31137">
      <w:r w:rsidRPr="00A31137">
        <w:t>448 U.S. at  491. That opinion, however, "d[id] not adopt, either expressly or implicitly, the formulas of analysis articulated in such cases as [Bakke]." Id. at  492. It employed instead a two-part test which asked, first, "whether the objectives of th[e] legislation are within the power of Congress," and second,</w:t>
      </w:r>
    </w:p>
    <w:p w:rsidR="00A31137" w:rsidRPr="00A31137" w:rsidRDefault="00A31137" w:rsidP="00A31137">
      <w:r w:rsidRPr="00A31137">
        <w:t>1995, Adarand Constructors, Inc. v. Pena, No. 93-1841</w:t>
      </w:r>
    </w:p>
    <w:p w:rsidR="00A31137" w:rsidRPr="00A31137" w:rsidRDefault="00A31137" w:rsidP="00A31137">
      <w:r w:rsidRPr="00A31137">
        <w:t>whether the limited use of racial and ethnic criteria, in the context presented, is a constitutionally permissible means for achieving the congressional objectives.</w:t>
      </w:r>
    </w:p>
    <w:p w:rsidR="00A31137" w:rsidRPr="00A31137" w:rsidRDefault="00A31137" w:rsidP="00A31137">
      <w:r w:rsidRPr="00A31137">
        <w:t>1995, Adarand Constructors, Inc. v. Pena, No. 93-1841</w:t>
      </w:r>
    </w:p>
    <w:p w:rsidR="00A31137" w:rsidRPr="00A31137" w:rsidRDefault="00A31137" w:rsidP="00A31137">
      <w:r w:rsidRPr="00A31137">
        <w:t>Id. at  473. It then upheld the program under that test, adding at the end of the opinion that the program also "would survive judicial review under either 'test' articulated in the several Bakke opinions." Id. at  492. Justice Powell wrote separately to express his view that the plurality opinion had essentially applied "strict scrutiny" as described in his Bakke opinion—i. e., it had determined that the set-aside was "a necessary means of advancing a compelling governmental interest"—and had done so correctly. 448 U.S. at  496 (concurring opinion). Justice Stewart (joined by then-JUSTICE REHNQUIST) dissented, arguing that the Constitution required the Federal Government to meet the same strict standard as the States when enacting racial classifications, id. at  523, and n. 1, and that the program before the Court failed that standard. JUSTICE STEVENS also dissented, arguing that "[r]acial classifications are simply too pernicious to permit any but the most exact connection between justification and classification," id. at  537, and that the program before the Court could not be characterized "as a 'narrowly tailored' remedial measure." Id. at  541. Justice Marshall (joined by Justices Brennan and Blackmun) concurred in the judgment, reiterating the view of four Justices in Bakke that any race-based governmental action designed to "remed[y] the present effects of past racial discrimination" should be upheld if it was "substantially related" to the achievement of an "important governmental objective"—i. e., such action should be subjected only to what we now call "intermediate scrutiny." 448 U.S. at 518-519.</w:t>
      </w:r>
    </w:p>
    <w:p w:rsidR="00A31137" w:rsidRPr="00A31137" w:rsidRDefault="00A31137" w:rsidP="00A31137">
      <w:r w:rsidRPr="00A31137">
        <w:t>1995, Adarand Constructors, Inc. v. Pena, No. 93-1841</w:t>
      </w:r>
    </w:p>
    <w:p w:rsidR="00A31137" w:rsidRPr="00A31137" w:rsidRDefault="00A31137" w:rsidP="00A31137">
      <w:r w:rsidRPr="00A31137">
        <w:t>In Wygant v. Jackson Board of Ed., 476 U.S. 267 (1986), the Court considered a Fourteenth Amendment challenge to another form of remedial racial classification. The issue in Wygant was whether a school board could adopt race-based preferences in determining which teachers to lay off. Justice Powell's plurality opinion observed that</w:t>
      </w:r>
    </w:p>
    <w:p w:rsidR="00A31137" w:rsidRPr="00A31137" w:rsidRDefault="00A31137" w:rsidP="00A31137">
      <w:r w:rsidRPr="00A31137">
        <w:t>1995, Adarand Constructors, Inc. v. Pena, No. 93-1841</w:t>
      </w:r>
    </w:p>
    <w:p w:rsidR="00A31137" w:rsidRPr="00A31137" w:rsidRDefault="00A31137" w:rsidP="00A31137">
      <w:r w:rsidRPr="00A31137">
        <w:t>the level of scrutiny does not change merely because the challenged classification operates against a group that historically has not been subject to governmental discrimination,</w:t>
      </w:r>
    </w:p>
    <w:p w:rsidR="00A31137" w:rsidRPr="00A31137" w:rsidRDefault="00A31137" w:rsidP="00A31137">
      <w:r w:rsidRPr="00A31137">
        <w:t>1995, Adarand Constructors, Inc. v. Pena, No. 93-1841</w:t>
      </w:r>
    </w:p>
    <w:p w:rsidR="00A31137" w:rsidRPr="00A31137" w:rsidRDefault="00A31137" w:rsidP="00A31137">
      <w:r w:rsidRPr="00A31137">
        <w:t>id. at  273, and stated the two-part inquiry as</w:t>
      </w:r>
    </w:p>
    <w:p w:rsidR="00A31137" w:rsidRPr="00A31137" w:rsidRDefault="00A31137" w:rsidP="00A31137">
      <w:r w:rsidRPr="00A31137">
        <w:t>1995, Adarand Constructors, Inc. v. Pena, No. 93-1841</w:t>
      </w:r>
    </w:p>
    <w:p w:rsidR="00A31137" w:rsidRPr="00A31137" w:rsidRDefault="00A31137" w:rsidP="00A31137">
      <w:r w:rsidRPr="00A31137">
        <w:t>whether the layoff provision is supported by a compelling state purpose and whether the means chosen to accomplish that purpose are narrowly tailored.</w:t>
      </w:r>
    </w:p>
    <w:p w:rsidR="00A31137" w:rsidRPr="00A31137" w:rsidRDefault="00A31137" w:rsidP="00A31137">
      <w:r w:rsidRPr="00A31137">
        <w:t>1995, Adarand Constructors, Inc. v. Pena, No. 93-1841</w:t>
      </w:r>
    </w:p>
    <w:p w:rsidR="00A31137" w:rsidRPr="00A31137" w:rsidRDefault="00A31137" w:rsidP="00A31137">
      <w:r w:rsidRPr="00A31137">
        <w:t>Id. at  274. In other words, "racial classifications of any sort must be subjected to 'strict scrutiny.'" Id. at  285 (O'CONNOR, J., concurring in part and concurring in judgment). The plurality then concluded that the school board's interest in "providing minority role models for its minority students, as an attempt to alleviate the effects of societal discrimination," id. at  274, was not a compelling interest that could justify the use of a racial classification. It added that "[s]ocietal discrimination, without more, is too amorphous a basis for imposing a racially classified remedy," id. at  276, and insisted instead that</w:t>
      </w:r>
    </w:p>
    <w:p w:rsidR="00A31137" w:rsidRPr="00A31137" w:rsidRDefault="00A31137" w:rsidP="00A31137">
      <w:r w:rsidRPr="00A31137">
        <w:t>1995, Adarand Constructors, Inc. v. Pena, No. 93-1841</w:t>
      </w:r>
    </w:p>
    <w:p w:rsidR="00A31137" w:rsidRPr="00A31137" w:rsidRDefault="00A31137" w:rsidP="00A31137">
      <w:r w:rsidRPr="00A31137">
        <w:t>a public employer…must ensure that, before it embarks on an affirmative action program, it has convincing evidence that remedial action is warranted. That is, it must have sufficient evidence to justify the conclusion that there has been prior discrimination,</w:t>
      </w:r>
    </w:p>
    <w:p w:rsidR="00A31137" w:rsidRPr="00A31137" w:rsidRDefault="00A31137" w:rsidP="00A31137">
      <w:r w:rsidRPr="00A31137">
        <w:t>1995, Adarand Constructors, Inc. v. Pena, No. 93-1841</w:t>
      </w:r>
    </w:p>
    <w:p w:rsidR="00A31137" w:rsidRPr="00A31137" w:rsidRDefault="00A31137" w:rsidP="00A31137">
      <w:r w:rsidRPr="00A31137">
        <w:t>id. at  277. Justice White concurred only in the judgment, although he agreed that the school board's asserted interests could not, "singly or together, justify this racially discriminatory layoff policy." Id. at  295. Four Justices dissented, three of whom again argued for intermediate scrutiny of remedial race-based government action. Id. at 301-302 (Marshall, J., joined by Brennan and Blackmun, JJ., dissenting).</w:t>
      </w:r>
    </w:p>
    <w:p w:rsidR="00A31137" w:rsidRPr="00A31137" w:rsidRDefault="00A31137" w:rsidP="00A31137">
      <w:r w:rsidRPr="00A31137">
        <w:t>1995, Adarand Constructors, Inc. v. Pena, No. 93-1841</w:t>
      </w:r>
    </w:p>
    <w:p w:rsidR="00A31137" w:rsidRPr="00A31137" w:rsidRDefault="00A31137" w:rsidP="00A31137">
      <w:r w:rsidRPr="00A31137">
        <w:t>The Court's failure to produce a majority opinion in Bakke, Fullilove, and Wygant left unresolved the proper analysis for remedial race-based governmental action. See United States v. Paradise, 480 U.S. at 166 (plurality opinion of Brennan, J.) ("[A]lthough this Court has consistently held that some elevated level of scrutiny is required when a racial or ethnic distinction is made for remedial purposes, it has yet to reach consensus on the appropriate constitutional analysis"); Sheet Metal Workers v. EEOC, 478 U.S. 421, 480 (1986) (plurality opinion of Brennan, J.). Lower courts found this lack of guidance unsettling. See, e.g., Kromnick v. School Dist. of Philadelphia, 739 F.2d 894, 901 (CA3 1984) ("The absence of an Opinion of the Court in either Bakke or Fullilove and the concomitant failure of the Court to articulate an analytic framework supporting the judgments makes the position of the lower federal courts considering the constitutionality of affirmative action programs somewhat vulnerable"), cert. denied, 469 U.S. 1107 (1985); Williams v. New Orleans, 729 F.2d 1554, 1567 (CA5 1984) (en banc) (Higginbotham, J., concurring specially); South Florida Chapter of Associated General Contractors of America, Inc. v. Metropolitan Dade County, Fla., 723 F.2d 846, 851 (CA11), cert. denied, 469 U.S. 871 (1984).</w:t>
      </w:r>
    </w:p>
    <w:p w:rsidR="00A31137" w:rsidRPr="00A31137" w:rsidRDefault="00A31137" w:rsidP="00A31137">
      <w:r w:rsidRPr="00A31137">
        <w:t>1995, Adarand Constructors, Inc. v. Pena, No. 93-1841</w:t>
      </w:r>
    </w:p>
    <w:p w:rsidR="00A31137" w:rsidRPr="00A31137" w:rsidRDefault="00A31137" w:rsidP="00A31137">
      <w:r w:rsidRPr="00A31137">
        <w:t>The Court resolved the issue at least in part, in 1989. Richmond v. J. A. Croson Co., 488 U.S. 469 (1989), concerned a city's determination that 30% of its contracting work should go to minority-owned businesses. A majority of the Court in Croson held that</w:t>
      </w:r>
    </w:p>
    <w:p w:rsidR="00A31137" w:rsidRPr="00A31137" w:rsidRDefault="00A31137" w:rsidP="00A31137">
      <w:r w:rsidRPr="00A31137">
        <w:t>1995, Adarand Constructors, Inc. v. Pena, No. 93-1841</w:t>
      </w:r>
    </w:p>
    <w:p w:rsidR="00A31137" w:rsidRPr="00A31137" w:rsidRDefault="00A31137" w:rsidP="00A31137">
      <w:r w:rsidRPr="00A31137">
        <w:t>the standard of review under the Equal Protection Clause is not dependent on the race of those burdened or benefited by a particular classification,</w:t>
      </w:r>
    </w:p>
    <w:p w:rsidR="00A31137" w:rsidRPr="00A31137" w:rsidRDefault="00A31137" w:rsidP="00A31137">
      <w:r w:rsidRPr="00A31137">
        <w:t>1995, Adarand Constructors, Inc. v. Pena, No. 93-1841</w:t>
      </w:r>
    </w:p>
    <w:p w:rsidR="00A31137" w:rsidRPr="00A31137" w:rsidRDefault="00A31137" w:rsidP="00A31137">
      <w:r w:rsidRPr="00A31137">
        <w:t>and that the single standard of review for racial classifications should be "strict scrutiny." Id. at 493-494 (opinion of O'CONNOR, J., joined by REHNQUIST, C.J., White, and KENNEDY, JJ.); id. at  520 (SCALIA, J., concurring in judgment) ("I agree…with JUSTICE O'CONNOR's conclusion that strict scrutiny must be applied to all governmental classification by race"). As to the classification before the Court, the plurality agreed that "a state or local subdivision…has the authority to eradicate the effects of private discrimination within its own legislative jurisdiction," id. at 491-492, but the Court thought that the city had not acted with "a 'strong basis in evidence for its conclusion that remedial action was necessary,'" id. at  500 (majority opinion) (quoting Wygant, supra, at  277 (plurality opinion)). The Court also thought it "obvious that [the] program is not narrowly tailored to remedy the effects of prior discrimination." 488 U.S. at  508.</w:t>
      </w:r>
    </w:p>
    <w:p w:rsidR="00A31137" w:rsidRPr="00A31137" w:rsidRDefault="00A31137" w:rsidP="00A31137">
      <w:r w:rsidRPr="00A31137">
        <w:t>1995, Adarand Constructors, Inc. v. Pena, No. 93-1841</w:t>
      </w:r>
    </w:p>
    <w:p w:rsidR="00A31137" w:rsidRPr="00A31137" w:rsidRDefault="00A31137" w:rsidP="00A31137">
      <w:r w:rsidRPr="00A31137">
        <w:t>With Croson, the Court finally agreed that the Fourteenth Amendment requires strict scrutiny of all race-based action by state and local governments. But Croson of course had no occasion to declare what standard of review the Fifth Amendment requires for such action taken by the Federal Government. Croson observed simply that the Court's "treatment of an exercise of congressional power in Fullilove cannot be dispositive here," because Croson's facts did not implicate Congress' broad power under § 5 of the Fourteenth Amendment. Croson, 488 U.S. at  491 (plurality opinion); see also id. at  522 (SCALIA, J., concurring in judgment) ("[W]ithout revisiting what we held in Fullilove…, I do not believe our decision in that case controls the one before us here"). On the other hand, the Court subsequently indicated that Croson had at least some bearing on federal race-based action when it vacated a decision upholding such action and remanded for further consideration in light of Croson. H. K. Porter Co. v. Metropolitan Dade County, 489 U.S. 1062 (1989); see also Shurberg Broadcasting of Hartford, Inc. v. FCC, 876 F.2d 902, 915, n. 16 (CADC 1989) (opinion of Silberman, J.) (noting the Court's action in H. K. Porter Co.), rev'd sub nom. Metro Broadcasting, Inc. v. FCC, 497 U.S. 547 (1990). Thus, some uncertainty persisted with respect to the standard of review for federal racial classifications. See, e.g., Mann v. City of Albany, Ga., 883 F.2d 999, 1006 (CA11 1989) (Croson "may be applicable to race-based classifications imposed by Congress"); Shurberg, supra, at 910 (noting the difficulty of extracting general principles from the Court's fractured opinions); id. at 959 (Wald, J., dissenting from denial of rehearing en banc) ("Croson certainly did not resolve the substantial questions posed by congressional programs which mandate the use of racial preferences"); Winter Park Communications, Inc. v. FCC, 873 F.2d 347, 366 (CADC 1989) (Williams, J., concurring in part and dissenting in part) ("The unresolved ambiguity of Fullilove and Croson leaves it impossible to reach a firm opinion as to the evidence of discrimination needed to sustain a congressional mandate of racial preferences"), aff'd sub nom. Metro Broadcasting, supra.</w:t>
      </w:r>
    </w:p>
    <w:p w:rsidR="00A31137" w:rsidRPr="00A31137" w:rsidRDefault="00A31137" w:rsidP="00A31137">
      <w:r w:rsidRPr="00A31137">
        <w:t>1995, Adarand Constructors, Inc. v. Pena, No. 93-1841</w:t>
      </w:r>
    </w:p>
    <w:p w:rsidR="00A31137" w:rsidRPr="00A31137" w:rsidRDefault="00A31137" w:rsidP="00A31137">
      <w:r w:rsidRPr="00A31137">
        <w:t>Despite lingering uncertainty in the details, however, the Court's cases through Croson had established three general propositions with respect to governmental racial classifications. First, skepticism: "'[a]ny preference based on racial or ethnic criteria must necessarily receive a most searching examination,'" Wygant, 476 U.S. at  273 (plurality opinion of Powell, J.); Fullilove, 448 U.S. at  491 (opinion of Burger, C.J.); see also id. at  523 (Stewart, J., dissenting) ("[A]ny official action that treats a person differently on account of his race or ethnic origin is inherently suspect"); McLaughlin, 379 U.S. at  192 ("[R]acial classifications [are] 'constitutionally suspect'"); Hirabayashi, 320 U.S. at  100 ("Distinctions between citizens solely because of their ancestry are by their very nature odious to a free people"). Second, consistency: "the standard of review under the Equal Protection Clause is not dependent on the race of those burdened or benefited by a particular classification," Croson, 488 U.S. at  494 (plurality opinion); id. at  520 (SCALIA, J., concurring in judgment); see also Bakke, 438 U.S. at 289-290 (opinion of Powell, J.), i. e., all racial classifications reviewable under the Equal Protection Clause must be strictly scrutinized. And third, congruence: "[e]qual protection analysis in the Fifth Amendment area is the same as that under the Fourteenth Amendment," Buckley v. Valeo, 424 U.S. at  93; see also Weinberger v. Wiesenfeld, 420 U.S. at 638, n. 2; Bolling v. Sharpe, 347 U.S. at  500. Taken together, these three propositions lead to the conclusion that any person, of whatever race, has the right to demand that any governmental actor subject to the Constitution justify any racial classification subjecting that person to unequal treatment under the strictest judicial scrutiny. Justice Powell's defense of this conclusion bears repeating here:</w:t>
      </w:r>
    </w:p>
    <w:p w:rsidR="00A31137" w:rsidRPr="00A31137" w:rsidRDefault="00A31137" w:rsidP="00A31137">
      <w:r w:rsidRPr="00A31137">
        <w:t>1995, Adarand Constructors, Inc. v. Pena, No. 93-1841</w:t>
      </w:r>
    </w:p>
    <w:p w:rsidR="00A31137" w:rsidRPr="00A31137" w:rsidRDefault="00A31137" w:rsidP="00A31137">
      <w:r w:rsidRPr="00A31137">
        <w:t>If it is the individual who is entitled to judicial protection against classifications based upon his racial or ethnic background because such distinctions impinge upon personal rights, rather than the individual only because of his membership in a particular group, then constitutional standards may be applied consistently. Political judgments regarding the necessity for the particular classification may be weighed in the constitutional balance, [Korematsu], but the standard of justification will remain constant. This is as it should be, since those political judgments are the product of rough compromise struck by contending groups within the democratic process. When they touch upon an individual's race or ethnic background, he is entitled to a judicial determination that the burden he is asked to bear on that basis is precisely tailored to serve a compelling governmental interest. The Constitution guarantees that right to every person regardless of his background. Shelley v. Kraemer, 334 U.S. [1,  22 (1948)].</w:t>
      </w:r>
    </w:p>
    <w:p w:rsidR="00A31137" w:rsidRPr="00A31137" w:rsidRDefault="00A31137" w:rsidP="00A31137">
      <w:r w:rsidRPr="00A31137">
        <w:t>1995, Adarand Constructors, Inc. v. Pena, No. 93-1841</w:t>
      </w:r>
    </w:p>
    <w:p w:rsidR="00A31137" w:rsidRPr="00A31137" w:rsidRDefault="00A31137" w:rsidP="00A31137">
      <w:r w:rsidRPr="00A31137">
        <w:t>Bakke, 438 U.S. at  299 (opinion of Powell, J.) (footnote omitted).</w:t>
      </w:r>
    </w:p>
    <w:p w:rsidR="00A31137" w:rsidRPr="00A31137" w:rsidRDefault="00A31137" w:rsidP="00A31137">
      <w:r w:rsidRPr="00A31137">
        <w:t>1995, Adarand Constructors, Inc. v. Pena, No. 93-1841</w:t>
      </w:r>
    </w:p>
    <w:p w:rsidR="00A31137" w:rsidRPr="00A31137" w:rsidRDefault="00A31137" w:rsidP="00A31137">
      <w:r w:rsidRPr="00A31137">
        <w:t>A year later, however, the Court took a surprising turn. Metro Broadcasting, Inc. v. FCC, 497 U.S. 547 (1990), involved a Fifth Amendment challenge to two race-based policies of the Federal Communications Commission. In Metro Broadcasting, the Court repudiated the long-held notion that "it would be unthinkable that the same Constitution would impose a lesser duty on the Federal Government" than it does on a State to afford equal protection of the laws, Bolling, supra, at  500. It did so by holding that "benign" federal racial classifications need only satisfy intermediate scrutiny, even though Croson had recently concluded that such classifications enacted by a State must satisfy strict scrutiny. "[B]enign" federal racial classifications, the Court said,</w:t>
      </w:r>
    </w:p>
    <w:p w:rsidR="00A31137" w:rsidRPr="00A31137" w:rsidRDefault="00A31137" w:rsidP="00A31137">
      <w:r w:rsidRPr="00A31137">
        <w:t>1995, Adarand Constructors, Inc. v. Pena, No. 93-1841</w:t>
      </w:r>
    </w:p>
    <w:p w:rsidR="00A31137" w:rsidRPr="00A31137" w:rsidRDefault="00A31137" w:rsidP="00A31137">
      <w:r w:rsidRPr="00A31137">
        <w:t>—even if those measures are not "remedial" in the sense of being designed to compensate victims of past governmental or societal discrimination—are constitutionally permissible to the extent that they serve important governmental objectives within the power of Congress and are substantially related to achievement of those objectives.</w:t>
      </w:r>
    </w:p>
    <w:p w:rsidR="00A31137" w:rsidRPr="00A31137" w:rsidRDefault="00A31137" w:rsidP="00A31137">
      <w:r w:rsidRPr="00A31137">
        <w:t>1995, Adarand Constructors, Inc. v. Pena, No. 93-1841</w:t>
      </w:r>
    </w:p>
    <w:p w:rsidR="00A31137" w:rsidRPr="00A31137" w:rsidRDefault="00A31137" w:rsidP="00A31137">
      <w:r w:rsidRPr="00A31137">
        <w:t>Metro Broadcasting, 497 U.S. at 564-565 (emphasis added). The Court did not explain how to tell whether a racial classification should be deemed "benign," other than to express</w:t>
      </w:r>
    </w:p>
    <w:p w:rsidR="00A31137" w:rsidRPr="00A31137" w:rsidRDefault="00A31137" w:rsidP="00A31137">
      <w:r w:rsidRPr="00A31137">
        <w:t>1995, Adarand Constructors, Inc. v. Pena, No. 93-1841</w:t>
      </w:r>
    </w:p>
    <w:p w:rsidR="00A31137" w:rsidRPr="00A31137" w:rsidRDefault="00A31137" w:rsidP="00A31137">
      <w:r w:rsidRPr="00A31137">
        <w:t>confiden[ce] that an "examination of the legislative scheme and its history" will separate benign measures from other types of racial classifications.</w:t>
      </w:r>
    </w:p>
    <w:p w:rsidR="00A31137" w:rsidRPr="00A31137" w:rsidRDefault="00A31137" w:rsidP="00A31137">
      <w:r w:rsidRPr="00A31137">
        <w:t>1995, Adarand Constructors, Inc. v. Pena, No. 93-1841</w:t>
      </w:r>
    </w:p>
    <w:p w:rsidR="00A31137" w:rsidRPr="00A31137" w:rsidRDefault="00A31137" w:rsidP="00A31137">
      <w:r w:rsidRPr="00A31137">
        <w:t>Id. at 564, n. 12 (citation omitted).</w:t>
      </w:r>
    </w:p>
    <w:p w:rsidR="00A31137" w:rsidRPr="00A31137" w:rsidRDefault="00A31137" w:rsidP="00A31137">
      <w:r w:rsidRPr="00A31137">
        <w:t>1995, Adarand Constructors, Inc. v. Pena, No. 93-1841</w:t>
      </w:r>
    </w:p>
    <w:p w:rsidR="00A31137" w:rsidRPr="00A31137" w:rsidRDefault="00A31137" w:rsidP="00A31137">
      <w:r w:rsidRPr="00A31137">
        <w:t>Applying this test, the Court first noted that the FCC policies at issue did not serve as a remedy for past discrimination. Id. at 566. Proceeding on the assumption that the policies were nonetheless "benign," it concluded that they served the "important governmental objective" of "enhancing broadcast diversity," id. at 566-567, and that they were "substantially related" to that objective, id. at 569. It therefore upheld the policies.</w:t>
      </w:r>
    </w:p>
    <w:p w:rsidR="00A31137" w:rsidRPr="00A31137" w:rsidRDefault="00A31137" w:rsidP="00A31137">
      <w:r w:rsidRPr="00A31137">
        <w:t>1995, Adarand Constructors, Inc. v. Pena, No. 93-1841</w:t>
      </w:r>
    </w:p>
    <w:p w:rsidR="00A31137" w:rsidRPr="00A31137" w:rsidRDefault="00A31137" w:rsidP="00A31137">
      <w:r w:rsidRPr="00A31137">
        <w:t>By adopting intermediate scrutiny as the standard of review for congressionally mandated "benign" racial classifications, Metro Broadcasting departed from prior cases in two significant respects. First, it turned its back on Croson's explanation of why strict scrutiny of all governmental racial classifications is essential:</w:t>
      </w:r>
    </w:p>
    <w:p w:rsidR="00A31137" w:rsidRPr="00A31137" w:rsidRDefault="00A31137" w:rsidP="00A31137">
      <w:r w:rsidRPr="00A31137">
        <w:t>1995, Adarand Constructors, Inc. v. Pena, No. 93-1841</w:t>
      </w:r>
    </w:p>
    <w:p w:rsidR="00A31137" w:rsidRPr="00A31137" w:rsidRDefault="00A31137" w:rsidP="00A31137">
      <w:r w:rsidRPr="00A31137">
        <w:t>Absent searching judicial inquiry into the justification for such race-based measures, there is simply no way of determining what classifications are "benign" or "remedial" and what classifications are in fact motivated by illegitimate notions of racial inferiority or simple racial politics. Indeed, the purpose of strict scrutiny is to "smoke out" illegitimate uses of race by assuring that the legislative body is pursuing a goal important enough to warrant use of a highly suspect tool. The test also ensures that the means chosen "fit" this compelling goal so closely that there is little or no possibility that the motive for the classification was illegitimate racial prejudice or stereotype.</w:t>
      </w:r>
    </w:p>
    <w:p w:rsidR="00A31137" w:rsidRPr="00A31137" w:rsidRDefault="00A31137" w:rsidP="00A31137">
      <w:r w:rsidRPr="00A31137">
        <w:t>1995, Adarand Constructors, Inc. v. Pena, No. 93-1841</w:t>
      </w:r>
    </w:p>
    <w:p w:rsidR="00A31137" w:rsidRPr="00A31137" w:rsidRDefault="00A31137" w:rsidP="00A31137">
      <w:r w:rsidRPr="00A31137">
        <w:t>Croson, supra, at  493 (plurality opinion of O'CONNOR, J.). We adhere to that view today, despite the surface appeal of holding "benign" racial classifications to a lower standard, because "it may not always be clear that a so-called preference is in fact benign," Bakke, supra, at  298 (opinion of Powell, J.).</w:t>
      </w:r>
    </w:p>
    <w:p w:rsidR="00A31137" w:rsidRPr="00A31137" w:rsidRDefault="00A31137" w:rsidP="00A31137">
      <w:r w:rsidRPr="00A31137">
        <w:t>1995, Adarand Constructors, Inc. v. Pena, No. 93-1841</w:t>
      </w:r>
    </w:p>
    <w:p w:rsidR="00A31137" w:rsidRPr="00A31137" w:rsidRDefault="00A31137" w:rsidP="00A31137">
      <w:r w:rsidRPr="00A31137">
        <w:t>[M]ore than good motives should be required when government seeks to allocate its resources by way of an explicit racial classification system.</w:t>
      </w:r>
    </w:p>
    <w:p w:rsidR="00A31137" w:rsidRPr="00A31137" w:rsidRDefault="00A31137" w:rsidP="00A31137">
      <w:r w:rsidRPr="00A31137">
        <w:t>1995, Adarand Constructors, Inc. v. Pena, No. 93-1841</w:t>
      </w:r>
    </w:p>
    <w:p w:rsidR="00A31137" w:rsidRPr="00A31137" w:rsidRDefault="00A31137" w:rsidP="00A31137">
      <w:r w:rsidRPr="00A31137">
        <w:t>Days, Fullilove, 96 Yale L.J. 453, 485 (1987).</w:t>
      </w:r>
    </w:p>
    <w:p w:rsidR="00A31137" w:rsidRPr="00A31137" w:rsidRDefault="00A31137" w:rsidP="00A31137">
      <w:r w:rsidRPr="00A31137">
        <w:t>1995, Adarand Constructors, Inc. v. Pena, No. 93-1841</w:t>
      </w:r>
    </w:p>
    <w:p w:rsidR="00A31137" w:rsidRPr="00A31137" w:rsidRDefault="00A31137" w:rsidP="00A31137">
      <w:r w:rsidRPr="00A31137">
        <w:t>Second, Metro Broadcasting squarely rejected one of the three propositions established by the Court's earlier equal protection cases, namely, congruence between the standards applicable to federal and state racial classifications, and in so doing also undermined the other two—skepticism of all racial classifications and consistency of treatment irrespective of the race of the burdened or benefited group. See supra at 21-22. Under Metro Broadcasting, certain racial classifications ("benign" ones enacted by the Federal Government) should be treated less skeptically than others; and the race of the benefited group is critical to the determination of which standard of review to apply. Metro Broadcasting was thus a significant departure from much of what had come before it.</w:t>
      </w:r>
    </w:p>
    <w:p w:rsidR="00A31137" w:rsidRPr="00A31137" w:rsidRDefault="00A31137" w:rsidP="00A31137">
      <w:r w:rsidRPr="00A31137">
        <w:t>1995, Adarand Constructors, Inc. v. Pena, No. 93-1841</w:t>
      </w:r>
    </w:p>
    <w:p w:rsidR="00A31137" w:rsidRPr="00A31137" w:rsidRDefault="00A31137" w:rsidP="00A31137">
      <w:r w:rsidRPr="00A31137">
        <w:t>The three propositions undermined by Metro Broadcasting all derive from the basic principle that the Fifth and Fourteenth Amendments to the Constitution protect persons, not groups. It follows from that principle that all governmental action based on race—a group classification long recognized as "in most circumstances irrelevant and therefore prohibited," Hirabayashi, supra, at  100—should be subjected to detailed judicial inquiry to ensure that the personal right to equal protection of the laws has not been infringed. These ideas have long been central to this Court's understanding of equal protection, and holding "benign" state and federal racial classifications to different standards does not square with them. "[A] free people whose institutions are founded upon the doctrine of equality," ibid., should tolerate no retreat from the principle that government may treat people differently because of their race only for the most compelling reasons. Accordingly, we hold today that all racial classifications, imposed by whatever federal, state, or local governmental actor, must be analyzed by a reviewing court under strict scrutiny. In other words, such classifications are constitutional only if they are narrowly tailored measures that further compelling governmental interests. To the extent that Metro Broadcasting is inconsistent with that holding, it is overruled.</w:t>
      </w:r>
    </w:p>
    <w:p w:rsidR="00A31137" w:rsidRPr="00A31137" w:rsidRDefault="00A31137" w:rsidP="00A31137">
      <w:r w:rsidRPr="00A31137">
        <w:t>1995, Adarand Constructors, Inc. v. Pena, No. 93-1841</w:t>
      </w:r>
    </w:p>
    <w:p w:rsidR="00A31137" w:rsidRPr="00A31137" w:rsidRDefault="00A31137" w:rsidP="00A31137">
      <w:r w:rsidRPr="00A31137">
        <w:t>In dissent, JUSTICE STEVENS criticizes us for "deliver[ing] a disconcerting lecture about the evils of governmental racial classifications," post at ___. With respect, we believe his criticisms reflect a serious misunderstanding of our opinion.</w:t>
      </w:r>
    </w:p>
    <w:p w:rsidR="00A31137" w:rsidRPr="00A31137" w:rsidRDefault="00A31137" w:rsidP="00A31137">
      <w:r w:rsidRPr="00A31137">
        <w:t>1995, Adarand Constructors, Inc. v. Pena, No. 93-1841</w:t>
      </w:r>
    </w:p>
    <w:p w:rsidR="00A31137" w:rsidRPr="00A31137" w:rsidRDefault="00A31137" w:rsidP="00A31137">
      <w:r w:rsidRPr="00A31137">
        <w:t>JUSTICE STEVENS concurs in our view that courts should take a skeptical view of all governmental racial classifications. Post at ___. He also allows that</w:t>
      </w:r>
    </w:p>
    <w:p w:rsidR="00A31137" w:rsidRPr="00A31137" w:rsidRDefault="00A31137" w:rsidP="00A31137">
      <w:r w:rsidRPr="00A31137">
        <w:t>1995, Adarand Constructors, Inc. v. Pena, No. 93-1841</w:t>
      </w:r>
    </w:p>
    <w:p w:rsidR="00A31137" w:rsidRPr="00A31137" w:rsidRDefault="00A31137" w:rsidP="00A31137">
      <w:r w:rsidRPr="00A31137">
        <w:t>[n]othing is inherently wrong with applying a single standard to fundamentally different situations, as long as that standard takes relevant differences into account.</w:t>
      </w:r>
    </w:p>
    <w:p w:rsidR="00A31137" w:rsidRPr="00A31137" w:rsidRDefault="00A31137" w:rsidP="00A31137">
      <w:r w:rsidRPr="00A31137">
        <w:t>1995, Adarand Constructors, Inc. v. Pena, No. 93-1841</w:t>
      </w:r>
    </w:p>
    <w:p w:rsidR="00A31137" w:rsidRPr="00A31137" w:rsidRDefault="00A31137" w:rsidP="00A31137">
      <w:r w:rsidRPr="00A31137">
        <w:t>Post at ___. What he fails to recognize is that strict scrutiny does take "relevant differences" into account—indeed, that is its fundamental purpose. The point of carefully examining the interest asserted by the government in support of a racial classification, and the evidence offered to show that the classification is needed, is precisely to distinguish legitimate from illegitimate uses of race in governmental decisionmaking. See supra at ___. And JUSTICE STEVENS concedes that "some cases may be difficult to classify," post at ___, and n. 4; all the more reason, in our view, to examine all racial classifications carefully. Strict scrutiny does not "trea[t] dissimilar race-based decisions as though they were equally objectionable," post at ___; to the contrary, it evaluates carefully all governmental race-based decisions in order to decide which are constitutionally objectionable and which are not. By requiring strict scrutiny of racial classifications, we require courts to make sure that a governmental classification based on race, which "so seldom provide[s] a relevant basis for disparate treatment," Fullilove, supra, at  534 (STEVENS, J., dissenting), is legitimate, before permitting unequal treatment based on race to proceed.</w:t>
      </w:r>
    </w:p>
    <w:p w:rsidR="00A31137" w:rsidRPr="00A31137" w:rsidRDefault="00A31137" w:rsidP="00A31137">
      <w:r w:rsidRPr="00A31137">
        <w:t>1995, Adarand Constructors, Inc. v. Pena, No. 93-1841</w:t>
      </w:r>
    </w:p>
    <w:p w:rsidR="00A31137" w:rsidRPr="00A31137" w:rsidRDefault="00A31137" w:rsidP="00A31137">
      <w:r w:rsidRPr="00A31137">
        <w:t>JUSTICE STEVENS chides us for our "supposed inability to differentiate between 'invidious' and 'benign' discrimination," because it is in his view sufficient that "people understand the difference between good intentions and bad." Post at ___. But, as we have just explained, the point of strict scrutiny is to "differentiate between" permissible and impermissible governmental use of race. And JUSTICE STEVENS himself has already explained in his dissent in Fullilove why "good intentions" alone are not enough to sustain a supposedly "benign" racial classification:</w:t>
      </w:r>
    </w:p>
    <w:p w:rsidR="00A31137" w:rsidRPr="00A31137" w:rsidRDefault="00A31137" w:rsidP="00A31137">
      <w:r w:rsidRPr="00A31137">
        <w:t>1995, Adarand Constructors, Inc. v. Pena, No. 93-1841</w:t>
      </w:r>
    </w:p>
    <w:p w:rsidR="00A31137" w:rsidRPr="00A31137" w:rsidRDefault="00A31137" w:rsidP="00A31137">
      <w:r w:rsidRPr="00A31137">
        <w:t>[E]ven though it is not the actual predicate for this legislation, a statute of this kind inevitably is perceived by many as resting on an assumption that those who are granted this special preference are less qualified in some respect that is identified purely by their race. Because that perception—especially when fostered by the Congress of the United States—can only exacerbate rather than reduce racial prejudice, it will delay the time when race will become a truly irrelevant, or at least insignificant, factor. Unless Congress clearly articulates the need and basis for a racial classification, and also tailors the classification to its justification, the Court should not uphold this kind of statute.</w:t>
      </w:r>
    </w:p>
    <w:p w:rsidR="00A31137" w:rsidRPr="00A31137" w:rsidRDefault="00A31137" w:rsidP="00A31137">
      <w:r w:rsidRPr="00A31137">
        <w:t>1995, Adarand Constructors, Inc. v. Pena, No. 93-1841</w:t>
      </w:r>
    </w:p>
    <w:p w:rsidR="00A31137" w:rsidRPr="00A31137" w:rsidRDefault="00A31137" w:rsidP="00A31137">
      <w:r w:rsidRPr="00A31137">
        <w:t>Fullilove, supra at  545 (dissenting opinion) (emphasis added; footnote omitted); see also id. at  537 ("Racial classifications are simply too pernicious to permit any but the most exact connection between justification and classification"); Croson, supra at 516-517 (STEVENS, J., concurring in part and concurring in judgment) ("Although [the legislation at issue] stigmatizes the disadvantaged class with the unproven charge of past racial discrimination, it actually imposes a greater stigma on its supposed beneficiaries"); supra at ___; but cf. post at ___ (STEVENS, J., dissenting). These passages make a persuasive case for requiring strict scrutiny of congressional racial classifications.</w:t>
      </w:r>
    </w:p>
    <w:p w:rsidR="00A31137" w:rsidRPr="00A31137" w:rsidRDefault="00A31137" w:rsidP="00A31137">
      <w:r w:rsidRPr="00A31137">
        <w:t>1995, Adarand Constructors, Inc. v. Pena, No. 93-1841</w:t>
      </w:r>
    </w:p>
    <w:p w:rsidR="00A31137" w:rsidRPr="00A31137" w:rsidRDefault="00A31137" w:rsidP="00A31137">
      <w:r w:rsidRPr="00A31137">
        <w:t>Perhaps it is not the standard of strict scrutiny itself, but our use of the concepts of "consistency" and "congruence" in conjunction with it, that leads JUSTICE STEVENS to dissent. According to JUSTICE STEVENS, our view of consistency "equate[s] remedial preferences with invidious discrimination," post at ___, and ignores the difference between "an engine of oppression" and an effort "to foster equality in society," or, more colorfully, "between a 'No Trespassing' sign and a welcome mat," post at ___. It does nothing of the kind. The principle of consistency simply means that whenever the government treats any person unequally because of his or her race, that person has suffered an injury that falls squarely within the language and spirit of the Constitution's guarantee of equal protection. It says nothing about the ultimate validity of any particular law; that determination is the job of the court applying strict scrutiny. The principle of consistency explains the circumstances in which the injury requiring strict scrutiny occurs. The application of strict scrutiny, in turn, determines whether a compelling governmental interest justifies the infliction of that injury.</w:t>
      </w:r>
    </w:p>
    <w:p w:rsidR="00A31137" w:rsidRPr="00A31137" w:rsidRDefault="00A31137" w:rsidP="00A31137">
      <w:r w:rsidRPr="00A31137">
        <w:t>1995, Adarand Constructors, Inc. v. Pena, No. 93-1841</w:t>
      </w:r>
    </w:p>
    <w:p w:rsidR="00A31137" w:rsidRPr="00A31137" w:rsidRDefault="00A31137" w:rsidP="00A31137">
      <w:r w:rsidRPr="00A31137">
        <w:t>Consistency does recognize that any individual suffers an injury when he or she is disadvantaged by the government because of his or her race, whatever that race may be. This Court clearly stated that principle in Croson, see 488 U.S. at 493-494 (plurality opinion); id. at 520-521 (SCALIA, J., concurring in judgment); see also Shaw v. Reno, 509 U.S. ___, ___ (1993); Powers v. Ohio, 499 U.S. 400, 410 (1991). JUSTICE STEVENS does not explain how his views square with Croson, or with the long line of cases understanding equal protection as a personal right.</w:t>
      </w:r>
    </w:p>
    <w:p w:rsidR="00A31137" w:rsidRPr="00A31137" w:rsidRDefault="00A31137" w:rsidP="00A31137">
      <w:r w:rsidRPr="00A31137">
        <w:t>1995, Adarand Constructors, Inc. v. Pena, No. 93-1841</w:t>
      </w:r>
    </w:p>
    <w:p w:rsidR="00A31137" w:rsidRPr="00A31137" w:rsidRDefault="00A31137" w:rsidP="00A31137">
      <w:r w:rsidRPr="00A31137">
        <w:t>JUSTICE STEVENS also claims that we have ignored any difference between federal and state legislatures. But requiring that Congress, like the States, enact racial classifications only when doing so is necessary to further a "compelling interest" does not contravene any principle of appropriate respect for a coequal Branch of the Government. It is true that various Members of this Court have taken different views of the authority § 5 of the Fourteenth Amendment confers upon Congress to deal with the problem of racial discrimination, and the extent to which courts should defer to Congress' exercise of that authority. See, e.g., Metro Broadcasting, supra, at 605-606 (O'CONNOR, J., dissenting); Croson, supra at 486-493 (opinion of O'CONNOR, J., joined by REHNQUIST, C.J., and White, J.); id. at 518-519 (KENNEDY, J., concurring in part and concurring in judgment); id. at 521-524 (SCALIA, J., concurring in judgment); Fullilove, supra at 472-473 (opinion of Burger, C.J.); id. at 500-502, and nn. 2-3,  515, and n. 14 (Powell, J., concurring); id. at 526-527 (Stewart, J., dissenting). We need not, and do not, address these differences today. For now, it is enough to observe that JUSTICE STEVENS' suggestion that any Member of this Court has repudiated in this case his or her previously expressed views on the subject, post at ___, is incorrect.</w:t>
      </w:r>
    </w:p>
    <w:p w:rsidR="00A31137" w:rsidRPr="00A31137" w:rsidRDefault="00A31137" w:rsidP="00A31137">
      <w:r w:rsidRPr="00A31137">
        <w:t>C</w:t>
      </w:r>
    </w:p>
    <w:p w:rsidR="00A31137" w:rsidRPr="00A31137" w:rsidRDefault="00A31137" w:rsidP="00A31137">
      <w:r w:rsidRPr="00A31137">
        <w:t>1995, Adarand Constructors, Inc. v. Pena, No. 93-1841</w:t>
      </w:r>
    </w:p>
    <w:p w:rsidR="00A31137" w:rsidRPr="00A31137" w:rsidRDefault="00A31137" w:rsidP="00A31137">
      <w:r w:rsidRPr="00A31137">
        <w:t>Although adherence to precedent is not rigidly required in constitutional cases, any departure from the doctrine of stare decisis demands special justification.</w:t>
      </w:r>
    </w:p>
    <w:p w:rsidR="00A31137" w:rsidRPr="00A31137" w:rsidRDefault="00A31137" w:rsidP="00A31137">
      <w:r w:rsidRPr="00A31137">
        <w:t>1995, Adarand Constructors, Inc. v. Pena, No. 93-1841</w:t>
      </w:r>
    </w:p>
    <w:p w:rsidR="00A31137" w:rsidRPr="00A31137" w:rsidRDefault="00A31137" w:rsidP="00A31137">
      <w:r w:rsidRPr="00A31137">
        <w:t>Arizona v. Rumsey, 467 U.S. 203, 212 (1984). In deciding whether this case presents such justification, we recall Justice Frankfurter's admonition that</w:t>
      </w:r>
    </w:p>
    <w:p w:rsidR="00A31137" w:rsidRPr="00A31137" w:rsidRDefault="00A31137" w:rsidP="00A31137">
      <w:r w:rsidRPr="00A31137">
        <w:t>1995, Adarand Constructors, Inc. v. Pena, No. 93-1841</w:t>
      </w:r>
    </w:p>
    <w:p w:rsidR="00A31137" w:rsidRPr="00A31137" w:rsidRDefault="00A31137" w:rsidP="00A31137">
      <w:r w:rsidRPr="00A31137">
        <w:t>stare decisis is a principle of policy, and not a mechanical formula of adherence to the latest decision, however recent and questionable, when such adherence involves collision with a prior doctrine more embracing in its scope, intrinsically sounder, and verified by experience.</w:t>
      </w:r>
    </w:p>
    <w:p w:rsidR="00A31137" w:rsidRPr="00A31137" w:rsidRDefault="00A31137" w:rsidP="00A31137">
      <w:r w:rsidRPr="00A31137">
        <w:t>1995, Adarand Constructors, Inc. v. Pena, No. 93-1841</w:t>
      </w:r>
    </w:p>
    <w:p w:rsidR="00A31137" w:rsidRPr="00A31137" w:rsidRDefault="00A31137" w:rsidP="00A31137">
      <w:r w:rsidRPr="00A31137">
        <w:t>Helvering v. Hallock, 309 U.S. 106, 119 (1940). Remaining true to an "intrinsically sounder" doctrine established in prior cases better serves the values of stare decisis than would following a more recently decided case inconsistent with the decisions that came before it; the latter course would simply compound the recent error, and would likely make the unjustified break from previously established doctrine complete. In such a situation, "special justification" exists to depart from the recently decided case.</w:t>
      </w:r>
    </w:p>
    <w:p w:rsidR="00A31137" w:rsidRPr="00A31137" w:rsidRDefault="00A31137" w:rsidP="00A31137">
      <w:r w:rsidRPr="00A31137">
        <w:t>1995, Adarand Constructors, Inc. v. Pena, No. 93-1841</w:t>
      </w:r>
    </w:p>
    <w:p w:rsidR="00A31137" w:rsidRPr="00A31137" w:rsidRDefault="00A31137" w:rsidP="00A31137">
      <w:r w:rsidRPr="00A31137">
        <w:t>As we have explained, Metro Broadcasting undermined important principles of this Court's equal protection jurisprudence, established in a line of cases stretching back over fifty years, see supra at ___. Those principles together stood for an "embracing" and "intrinsically soun[d]" understanding of equal protection "verified by experience," namely, that the Constitution imposes upon federal, state, and local governmental actors the same obligation to respect the personal right to equal protection of the laws. This case therefore presents precisely the situation described by Justice Frankfurter in Helvering: we cannot adhere to our most recent decision without colliding with an accepted and established doctrine. We also note that Metro Broadcasting's application of different standards of review to federal and state racial classifications has been consistently criticized by commentators. See, e.g., Fried, Metro Broadcasting, Inc. v. FCC: Two Concepts of Equality, 104 Harv.L.Rev. 107, 113-117 (1990) (arguing that Metro Broadcasting's adoption of different standards of review for federal and state racial classifications placed the law in an "unstable condition," and advocating strict scrutiny across the board); Devins, Metro Broadcasting, Inc. v. FCC: Requiem for a Heavyweight, 69 Texas L.Rev. 125, 145-146 (1990) (same); Linder, Review of Affirmative Action After Metro Broadcasting v. FCC: The Solution Almost Nobody Wanted, 59 UMKC L.Rev. 293, 297, 316-317 (1991) (criticizing "anomalous results as exemplified by the two different standards of review"); Katz, Public Affirmative Action and the Fourteenth Amendment: The Fragmentation of Theory After Richmond v. J.A. Croson Co. and Metro Broadcasting, Inc. v. Federal Communications Commission, 17 T. Marshall L.Rev. 317, 319, 354-355, 357 (1992) (arguing that "the current fragmentation of doctrine must be seen as a dangerous and seriously flawed approach to constitutional interpretation," and advocating intermediate scrutiny across the board).</w:t>
      </w:r>
    </w:p>
    <w:p w:rsidR="00A31137" w:rsidRPr="00A31137" w:rsidRDefault="00A31137" w:rsidP="00A31137">
      <w:r w:rsidRPr="00A31137">
        <w:t>1995, Adarand Constructors, Inc. v. Pena, No. 93-1841</w:t>
      </w:r>
    </w:p>
    <w:p w:rsidR="00A31137" w:rsidRPr="00A31137" w:rsidRDefault="00A31137" w:rsidP="00A31137">
      <w:r w:rsidRPr="00A31137">
        <w:t>Our past practice in similar situations supports our action today. In United States v. Dixon, 509 U.S. ___ (1993), we overruled the recent case of Grady v. Corbin, 495 U.S. 508 (1990), because Grady "lack[ed] constitutional roots" and was "wholly inconsistent with earlier Supreme Court precedent." Dixon, supra at ___, ___. In Solorio v. United States, 483 U.S. 435 (1987), we overruled O'Callahan v. Parker, 395 U.S. 258 (1969), which had caused "confusion" and had rejected "an unbroken line of decisions from 1866 to 1960." Solorio, supra at 439-441, 450-451. And in Continental T.V., Inc. v. GTE Sylvania Inc., 433 U.S. 36 (1977), we overruled United States v. Arnold, Schwinn &amp; Co., 388 U.S. 365 (1967), which was "an abrupt and largely unexplained departure" from precedent, and of which "[t]he great weight of scholarly opinion ha[d] been critical." Continental T. V., supra at 47-48, 58. See also, e.g., Payne v. Tennessee, 501 U.S. 808,  830 (1991) (overruling Booth v. Maryland, 482 U.S. 496 (1987), and South Carolina v. Gathers, 490 U.S. 805 (1989)); Monell v. New York City Dept. of Social Services, 436 U.S. 658, 695-701 (1978) (partially overruling Monroe v. Pape, 365 U.S. 167 (1961), because Monroe was a "departure from prior practice" that had not engendered substantial reliance); Swift &amp; Co. v. Wickham, 382 U.S. 111, 128-129 (1965) (overruling Kesler v. Department of Public Safety of Utah, 369 U.S. 153 (1962), to reaffirm "pre-Kesler precedent" and restore the law to the "view…which this Court has traditionally taken" in older cases).</w:t>
      </w:r>
    </w:p>
    <w:p w:rsidR="00A31137" w:rsidRPr="00A31137" w:rsidRDefault="00A31137" w:rsidP="00A31137">
      <w:r w:rsidRPr="00A31137">
        <w:t>1995, Adarand Constructors, Inc. v. Pena, No. 93-1841</w:t>
      </w:r>
    </w:p>
    <w:p w:rsidR="00A31137" w:rsidRPr="00A31137" w:rsidRDefault="00A31137" w:rsidP="00A31137">
      <w:r w:rsidRPr="00A31137">
        <w:t>It is worth pointing out the difference between the applications of stare decisis in this case and in Planned Parenthood of Southeastern Pa. v. Casey, 505 U.S. ___ (1992). Casey explained how considerations of stare decisis inform the decision whether to overrule a long-established precedent that has become integrated into the fabric of the law. Overruling precedent of that kind naturally may have consequences for "the ideal of the rule of law," id. at ___. In addition, such precedent is likely to have engendered substantial reliance, as was true in Casey itself, id. at ___ ("[F]or two decades of economic and social developments, people have organized intimate relationships and made choices that define their views of themselves and their places in society, in reliance on the availability of abortion in the event that contraception should fail"). But in this case, as we have explained, we do not face a precedent of that kind, because Metro Broadcasting itself departed from our prior cases—and did so quite recently. By refusing to follow Metro Broadcasting, then, we do not depart from the fabric of the law; we restore it. We also note that reliance on a case that has recently departed from precedent is likely to be minimal, particularly where, as here, the rule set forth in that case is unlikely to affect primary conduct in any event. Cf. Allied-Bruce Terminix Cos. v. Dobson, 513 U.S. ___, ___ (1995) (declining to overrule Southland Corp. v. Keating, 465 U.S. 1 (1984), where "private parties have likely written contracts relying upon Southland as authority" in the ten years since Southland was decided).</w:t>
      </w:r>
    </w:p>
    <w:p w:rsidR="00A31137" w:rsidRPr="00A31137" w:rsidRDefault="00A31137" w:rsidP="00A31137">
      <w:r w:rsidRPr="00A31137">
        <w:t>1995, Adarand Constructors, Inc. v. Pena, No. 93-1841</w:t>
      </w:r>
    </w:p>
    <w:p w:rsidR="00A31137" w:rsidRPr="00A31137" w:rsidRDefault="00A31137" w:rsidP="00A31137">
      <w:r w:rsidRPr="00A31137">
        <w:t>JUSTICE STEVENS takes us to task for what he perceives to be an erroneous application of the doctrine of stare decisis. But again, he misunderstands our position. We have acknowledged that, after Croson, "some uncertainty persisted with respect to the standard of review for federal racial classifications," supra at ___, and we therefore do not say that we "merely restor[e] the status quo ante" today, post at ___. But as we have described supra at ___, we think that well settled legal principles pointed toward a conclusion different from that reached in Metro Broadcasting, and we therefore disagree with JUSTICE STEVENS that "the law at the time of that decision was entirely open to the result the Court reached," post at ___. We also disagree with JUSTICE STEVENS that Justice Stewart's dissenting opinion in Fullilove supports his "novelty" argument, see post at ___, and n. 13. Justice Stewart said that,</w:t>
      </w:r>
    </w:p>
    <w:p w:rsidR="00A31137" w:rsidRPr="00A31137" w:rsidRDefault="00A31137" w:rsidP="00A31137">
      <w:r w:rsidRPr="00A31137">
        <w:t>1995, Adarand Constructors, Inc. v. Pena, No. 93-1841</w:t>
      </w:r>
    </w:p>
    <w:p w:rsidR="00A31137" w:rsidRPr="00A31137" w:rsidRDefault="00A31137" w:rsidP="00A31137">
      <w:r w:rsidRPr="00A31137">
        <w:t>[u]nder our Constitution, any official action that treats a person differently on account of his race or ethnic origin is inherently suspect and presumptively invalid,</w:t>
      </w:r>
    </w:p>
    <w:p w:rsidR="00A31137" w:rsidRPr="00A31137" w:rsidRDefault="00A31137" w:rsidP="00A31137">
      <w:r w:rsidRPr="00A31137">
        <w:t>1995, Adarand Constructors, Inc. v. Pena, No. 93-1841</w:t>
      </w:r>
    </w:p>
    <w:p w:rsidR="00A31137" w:rsidRPr="00A31137" w:rsidRDefault="00A31137" w:rsidP="00A31137">
      <w:r w:rsidRPr="00A31137">
        <w:t>and that "'[e]qual protection analysis in the Fifth Amendment area is the same as that under the Fourteenth Amendment.'" Fullilove, supra at  523, and n. 1. He took the view that</w:t>
      </w:r>
    </w:p>
    <w:p w:rsidR="00A31137" w:rsidRPr="00A31137" w:rsidRDefault="00A31137" w:rsidP="00A31137">
      <w:r w:rsidRPr="00A31137">
        <w:t>1995, Adarand Constructors, Inc. v. Pena, No. 93-1841</w:t>
      </w:r>
    </w:p>
    <w:p w:rsidR="00A31137" w:rsidRPr="00A31137" w:rsidRDefault="00A31137" w:rsidP="00A31137">
      <w:r w:rsidRPr="00A31137">
        <w:t>[t]he hostility of the Constitution to racial classifications by government has been manifested in many cases decided by this Court,</w:t>
      </w:r>
    </w:p>
    <w:p w:rsidR="00A31137" w:rsidRPr="00A31137" w:rsidRDefault="00A31137" w:rsidP="00A31137">
      <w:r w:rsidRPr="00A31137">
        <w:t>1995, Adarand Constructors, Inc. v. Pena, No. 93-1841</w:t>
      </w:r>
    </w:p>
    <w:p w:rsidR="00A31137" w:rsidRPr="00A31137" w:rsidRDefault="00A31137" w:rsidP="00A31137">
      <w:r w:rsidRPr="00A31137">
        <w:t>and that</w:t>
      </w:r>
    </w:p>
    <w:p w:rsidR="00A31137" w:rsidRPr="00A31137" w:rsidRDefault="00A31137" w:rsidP="00A31137">
      <w:r w:rsidRPr="00A31137">
        <w:t>1995, Adarand Constructors, Inc. v. Pena, No. 93-1841</w:t>
      </w:r>
    </w:p>
    <w:p w:rsidR="00A31137" w:rsidRPr="00A31137" w:rsidRDefault="00A31137" w:rsidP="00A31137">
      <w:r w:rsidRPr="00A31137">
        <w:t>our cases have made clear that the Constitution is wholly neutral in forbidding such racial discrimination, whatever the race may be of those who are its victims.</w:t>
      </w:r>
    </w:p>
    <w:p w:rsidR="00A31137" w:rsidRPr="00A31137" w:rsidRDefault="00A31137" w:rsidP="00A31137">
      <w:r w:rsidRPr="00A31137">
        <w:t>1995, Adarand Constructors, Inc. v. Pena, No. 93-1841</w:t>
      </w:r>
    </w:p>
    <w:p w:rsidR="00A31137" w:rsidRPr="00A31137" w:rsidRDefault="00A31137" w:rsidP="00A31137">
      <w:r w:rsidRPr="00A31137">
        <w:t>Id. at  524. Justice Stewart gave no indication that he thought he was addressing a "novel" proposition, post at ___. Rather, he relied on the fact that the text of the Fourteenth Amendment extends its guarantee to "persons," and on cases like Buckley, Loving, McLaughlin, Bolling, Hirabayashi, and Korematsu, see Fullilove, supra, at 524-526, as do we today. There is nothing new about the notion that Congress, like the States, may treat people differently because of their race only for compelling reasons.</w:t>
      </w:r>
    </w:p>
    <w:p w:rsidR="00A31137" w:rsidRPr="00A31137" w:rsidRDefault="00A31137" w:rsidP="00A31137">
      <w:r w:rsidRPr="00A31137">
        <w:t>1995, Adarand Constructors, Inc. v. Pena, No. 93-1841</w:t>
      </w:r>
    </w:p>
    <w:p w:rsidR="00A31137" w:rsidRPr="00A31137" w:rsidRDefault="00A31137" w:rsidP="00A31137">
      <w:r w:rsidRPr="00A31137">
        <w:t>"The real problem," Justice Frankfurter explained, "is whether a principle shall prevail over its later misapplications." Helvering, 309 U.S. at 122. Metro Broadcasting's untenable distinction between state and federal racial classifications lacks support in our precedent, and undermines the fundamental principle of equal protection as a personal right. In this case, as between that principle and "its later misapplications," the principle must prevail.</w:t>
      </w:r>
    </w:p>
    <w:p w:rsidR="00A31137" w:rsidRPr="00A31137" w:rsidRDefault="00A31137" w:rsidP="00A31137">
      <w:r w:rsidRPr="00A31137">
        <w:t>D</w:t>
      </w:r>
    </w:p>
    <w:p w:rsidR="00A31137" w:rsidRPr="00A31137" w:rsidRDefault="00A31137" w:rsidP="00A31137">
      <w:r w:rsidRPr="00A31137">
        <w:t>1995, Adarand Constructors, Inc. v. Pena, No. 93-1841</w:t>
      </w:r>
    </w:p>
    <w:p w:rsidR="00A31137" w:rsidRPr="00A31137" w:rsidRDefault="00A31137" w:rsidP="00A31137">
      <w:r w:rsidRPr="00A31137">
        <w:t>Our action today makes explicit what Justice Powell thought implicit in the Fullilove lead opinion: federal racial classifications, like those of a State, must serve a compelling governmental interest, and must be narrowly tailored to further that interest. See Fullilove, 448 U.S. at  496 (concurring opinion). (Recall that the lead opinion in Fullilove "d[id] not adopt…the formulas of analysis articulated in such cases as [Bakke]." Id. at  492 (opinion of Burger, C.J.).) Of course, it follows that to the extent (if any) that Fullilove held federal racial classifications to be subject to a less rigorous standard, it is no longer controlling. But we need not decide today whether the program upheld in Fullilove would survive strict scrutiny as our more recent cases have defined it.</w:t>
      </w:r>
    </w:p>
    <w:p w:rsidR="00A31137" w:rsidRPr="00A31137" w:rsidRDefault="00A31137" w:rsidP="00A31137">
      <w:r w:rsidRPr="00A31137">
        <w:t>1995, Adarand Constructors, Inc. v. Pena, No. 93-1841</w:t>
      </w:r>
    </w:p>
    <w:p w:rsidR="00A31137" w:rsidRPr="00A31137" w:rsidRDefault="00A31137" w:rsidP="00A31137">
      <w:r w:rsidRPr="00A31137">
        <w:t>Some have questioned the importance of debating the proper standard of review of race-based legislation. See, e.g., post at ___ (STEVENS, J., dissenting); Croson, 488 U.S. at 514-515, and n. 5 (STEVENS, J., concurring in part and concurring in judgment); cf. Metro Broadcasting, 497 U.S. at 610 (O'CONNOR, J., dissenting) ("This dispute regarding the appropriate standard of review may strike some as a lawyers' quibble over words"). But we agree with JUSTICE STEVENS that,</w:t>
      </w:r>
    </w:p>
    <w:p w:rsidR="00A31137" w:rsidRPr="00A31137" w:rsidRDefault="00A31137" w:rsidP="00A31137">
      <w:r w:rsidRPr="00A31137">
        <w:t>1995, Adarand Constructors, Inc. v. Pena, No. 93-1841</w:t>
      </w:r>
    </w:p>
    <w:p w:rsidR="00A31137" w:rsidRPr="00A31137" w:rsidRDefault="00A31137" w:rsidP="00A31137">
      <w:r w:rsidRPr="00A31137">
        <w:t>[b]ecause racial characteristics so seldom provide a relevant basis for disparate treatment, and because classifications based on race are potentially so harmful to the entire body politic, it is especially important that the reasons for any such classification be clearly identified and unquestionably legitimate,</w:t>
      </w:r>
    </w:p>
    <w:p w:rsidR="00A31137" w:rsidRPr="00A31137" w:rsidRDefault="00A31137" w:rsidP="00A31137">
      <w:r w:rsidRPr="00A31137">
        <w:t>1995, Adarand Constructors, Inc. v. Pena, No. 93-1841</w:t>
      </w:r>
    </w:p>
    <w:p w:rsidR="00A31137" w:rsidRPr="00A31137" w:rsidRDefault="00A31137" w:rsidP="00A31137">
      <w:r w:rsidRPr="00A31137">
        <w:t>and that "[r]acial classifications are simply too pernicious to permit any but the most exact connection between justification and classification." Fullilove, supra at 533-535,  537 (dissenting opinion) (footnotes omitted). We think that requiring strict scrutiny is the best way to ensure that courts will consistently give racial classifications that kind of detailed examination, both as to ends and as to means. Korematsu demonstrates vividly that even "the most rigid scrutiny" can sometimes fail to detect an illegitimate racial classification, compare Korematsu, 323 U.S. at  223 ("To cast this case into outlines of racial prejudice, without reference to the real military dangers which were presented, merely confuses the issue. Korematsu was not excluded from the Military Area because of hostility to him or his race"), with Pub.L. 100-383, § 2(a), 102 Stat. 903-904 ("[T]hese actions [of relocating and interning civilians of Japanese ancestry] were carried out without adequate security reasons…and were motivated largely by racial prejudice, wartime hysteria, and a failure of political leadership"). Any retreat from the most searching judicial inquiry can only increase the risk of another such error occurring in the future.</w:t>
      </w:r>
    </w:p>
    <w:p w:rsidR="00A31137" w:rsidRPr="00A31137" w:rsidRDefault="00A31137" w:rsidP="00A31137">
      <w:r w:rsidRPr="00A31137">
        <w:t>1995, Adarand Constructors, Inc. v. Pena, No. 93-1841</w:t>
      </w:r>
    </w:p>
    <w:p w:rsidR="00A31137" w:rsidRPr="00A31137" w:rsidRDefault="00A31137" w:rsidP="00A31137">
      <w:r w:rsidRPr="00A31137">
        <w:t>Finally, we wish to dispel the notion that strict scrutiny is "strict in theory, but fatal in fact." Fullilove, supra at  519 (Marshall, J., concurring in judgment). The unhappy persistence of both the practice and the lingering effects of racial discrimination against minority groups in this country is an unfortunate reality, and government is not disqualified from acting in response to it. As recently as 1987, for example, every Justice of this Court agreed that the Alabama Department of Public Safety's "pervasive, systematic, and obstinate discriminatory conduct" justified a narrowly tailored race-based remedy. See United States v. Paradise, 480 U.S. at  167 (plurality opinion of Brennan, J.); id. at  190 (STEVENS, J., concurring in judgment); id. at  196 (O'CONNOR, J., dissenting). When race-based action is necessary to further a compelling interest, such action is within constitutional constraints if it satisfies the "narrow tailoring" test this Court has set out in previous cases.</w:t>
      </w:r>
    </w:p>
    <w:p w:rsidR="00A31137" w:rsidRPr="00A31137" w:rsidRDefault="00A31137" w:rsidP="00A31137">
      <w:r w:rsidRPr="00A31137">
        <w:t>IV</w:t>
      </w:r>
    </w:p>
    <w:p w:rsidR="00A31137" w:rsidRPr="00A31137" w:rsidRDefault="00A31137" w:rsidP="00A31137">
      <w:r w:rsidRPr="00A31137">
        <w:t>1995, Adarand Constructors, Inc. v. Pena, No. 93-1841</w:t>
      </w:r>
    </w:p>
    <w:p w:rsidR="00A31137" w:rsidRPr="00A31137" w:rsidRDefault="00A31137" w:rsidP="00A31137">
      <w:r w:rsidRPr="00A31137">
        <w:t>Because our decision today alters the playing field in some important respects, we think it best to remand the case to the lower courts for further consideration in light of the principles we have announced. The Court of Appeals, following Metro Broadcasting and Fullilove, analyzed the case in terms of intermediate scrutiny. It upheld the challenged statutes and regulations because it found them to be</w:t>
      </w:r>
    </w:p>
    <w:p w:rsidR="00A31137" w:rsidRPr="00A31137" w:rsidRDefault="00A31137" w:rsidP="00A31137">
      <w:r w:rsidRPr="00A31137">
        <w:t>1995, Adarand Constructors, Inc. v. Pena, No. 93-1841</w:t>
      </w:r>
    </w:p>
    <w:p w:rsidR="00A31137" w:rsidRPr="00A31137" w:rsidRDefault="00A31137" w:rsidP="00A31137">
      <w:r w:rsidRPr="00A31137">
        <w:t>narrowly tailored to achieve [their] significant governmental purpose of providing subcontracting opportunities for small disadvantaged business enterprises.</w:t>
      </w:r>
    </w:p>
    <w:p w:rsidR="00A31137" w:rsidRPr="00A31137" w:rsidRDefault="00A31137" w:rsidP="00A31137">
      <w:r w:rsidRPr="00A31137">
        <w:t>1995, Adarand Constructors, Inc. v. Pena, No. 93-1841</w:t>
      </w:r>
    </w:p>
    <w:p w:rsidR="00A31137" w:rsidRPr="00A31137" w:rsidRDefault="00A31137" w:rsidP="00A31137">
      <w:r w:rsidRPr="00A31137">
        <w:t>16 F.3d at 1547 (emphasis added). The Court of Appeals did not decide the question whether the interests served by the use of subcontractor compensation clauses are properly described as "compelling." It also did not address the question of narrow tailoring in terms of our strict scrutiny cases, by asking, for example, whether there was "any consideration of the use of race-neutral means to increase minority business participation" in government contracting, Croson, supra at  507, or whether the program was appropriately limited such that it "will not last longer than the discriminatory effects it is designed to eliminate," Fullilove, supra at  513 (Powell, J., concurring).</w:t>
      </w:r>
    </w:p>
    <w:p w:rsidR="00A31137" w:rsidRPr="00A31137" w:rsidRDefault="00A31137" w:rsidP="00A31137">
      <w:r w:rsidRPr="00A31137">
        <w:t>1995, Adarand Constructors, Inc. v. Pena, No. 93-1841</w:t>
      </w:r>
    </w:p>
    <w:p w:rsidR="00A31137" w:rsidRPr="00A31137" w:rsidRDefault="00A31137" w:rsidP="00A31137">
      <w:r w:rsidRPr="00A31137">
        <w:t>Moreover, unresolved questions remain concerning the details of the complex regulatory regimes implicated by the use of subcontractor compensation clauses. For example, the SBA's 8(a) program requires an individualized inquiry into the economic disadvantage of every participant, see 13 CFR § 124.106(a) (1994), whereas the DOT's regulations implementing STURAA § 106(c) do not require certifying authorities to make such individualized inquiries, see 49 CFR § 23.62 (1994); 49 CFR pt. 23, subpt. D, App. C (1994). And the regulations seem unclear as to whether 8(d) subcontractors must make individualized showings, or instead whether the race-based presumption applies both to social and economic disadvantage, compare 13 CFR § 124.106(b) (apparently requiring 8(d) participants to make an individualized showing), with 48 CFR § 19.703(a)(2) (1994) (apparently allowing 8(d) subcontractors to invoke the race-based presumption for social and economic disadvantage). See generally ___Part I, supra. We also note an apparent discrepancy between the definitions of which socially disadvantaged individuals qualify as economically disadvantaged for the 8(a) and 8(d) programs; the former requires a showing that such individuals' ability to compete has been impaired "as compared to others in the same or similar line of business who are not socially disadvantaged," 13 CFR § 124.106(a)(1)(i) (1994) (emphasis added), while the latter requires that showing only "as compared to others in the same or similar line of business," § 124.106(b)(1). The question whether any of the ways in which the Government uses subcontractor compensation clauses can survive strict scrutiny, and any relevance distinctions such as these may have to that question, should be addressed in the first instance by the lower courts.</w:t>
      </w:r>
    </w:p>
    <w:p w:rsidR="00A31137" w:rsidRPr="00A31137" w:rsidRDefault="00A31137" w:rsidP="00A31137">
      <w:r w:rsidRPr="00A31137">
        <w:t>1995, Adarand Constructors, Inc. v. Pena, No. 93-1841</w:t>
      </w:r>
    </w:p>
    <w:p w:rsidR="00A31137" w:rsidRPr="00A31137" w:rsidRDefault="00A31137" w:rsidP="00A31137">
      <w:r w:rsidRPr="00A31137">
        <w:t>Accordingly, the judgment of the Court of Appeals is vacated, and the case is remanded for further proceedings consistent with this opinion.</w:t>
      </w:r>
    </w:p>
    <w:p w:rsidR="00A31137" w:rsidRPr="00A31137" w:rsidRDefault="00A31137" w:rsidP="00A31137">
      <w:r w:rsidRPr="00A31137">
        <w:t>1995, Adarand Constructors, Inc. v. Pena, No. 93-1841</w:t>
      </w:r>
    </w:p>
    <w:p w:rsidR="00A31137" w:rsidRPr="00A31137" w:rsidRDefault="00A31137" w:rsidP="00A31137">
      <w:r w:rsidRPr="00A31137">
        <w:t>It is so ordered.</w:t>
      </w:r>
    </w:p>
    <w:p w:rsidR="00A31137" w:rsidRPr="00A31137" w:rsidRDefault="00A31137" w:rsidP="00A31137">
      <w:r w:rsidRPr="00A31137">
        <w:t>SCALIA, J., concurring</w:t>
      </w:r>
    </w:p>
    <w:p w:rsidR="00A31137" w:rsidRPr="00A31137" w:rsidRDefault="00A31137" w:rsidP="00A31137">
      <w:r w:rsidRPr="00A31137">
        <w:t>1995, Adarand Constructors, Inc. v. Pena, No. 93-1841</w:t>
      </w:r>
    </w:p>
    <w:p w:rsidR="00A31137" w:rsidRPr="00A31137" w:rsidRDefault="00A31137" w:rsidP="00A31137">
      <w:r w:rsidRPr="00A31137">
        <w:t>JUSTICE SCALIA, concurring in part and concurring in the judgment.</w:t>
      </w:r>
    </w:p>
    <w:p w:rsidR="00A31137" w:rsidRPr="00A31137" w:rsidRDefault="00A31137" w:rsidP="00A31137">
      <w:r w:rsidRPr="00A31137">
        <w:t>1995, Adarand Constructors, Inc. v. Pena, No. 93-1841</w:t>
      </w:r>
    </w:p>
    <w:p w:rsidR="00A31137" w:rsidRPr="00A31137" w:rsidRDefault="00A31137" w:rsidP="00A31137">
      <w:r w:rsidRPr="00A31137">
        <w:t>I join the opinion of the Court, except ___Part III-C, and except insofar as it may be inconsistent with the following: in my view, government can never have a "compelling interest" in discriminating on the basis of race in order to "make up" for past racial discrimination in the opposite direction. See Richmond v. J. A. Croson Co., 488 U.S. 469,  520 (1989) (SCALIA, J., concurring in judgment). Individuals who have been wronged by unlawful racial discrimination should be made whole, but, under our Constitution, there can be no such thing as either a creditor or a debtor race. That concept is alien to the Constitution's focus upon the individual, see Amdt. 14, § 1 ("[N]or shall any State…deny to any person" the equal protection of the laws) (emphasis added), and its rejection of dispositions based on race, see Amdt. 15, § 1 (prohibiting abridgment of the right to vote "on account of race") or based on blood, see Art. III, § 3 ("[N]o Attainder of Treason shall work Corruption of Blood"); Art. I, § 9 ("No Title of Nobility shall be granted by the United States"). To pursue the concept of racial entitlement—even for the most admirable and benign of purposes—is to reinforce and preserve for future mischief the way of thinking that produced race slavery, race privilege and race hatred. In the eyes of government, we are just one race here. It is American.</w:t>
      </w:r>
    </w:p>
    <w:p w:rsidR="00A31137" w:rsidRPr="00A31137" w:rsidRDefault="00A31137" w:rsidP="00A31137">
      <w:r w:rsidRPr="00A31137">
        <w:t>1995, Adarand Constructors, Inc. v. Pena, No. 93-1841</w:t>
      </w:r>
    </w:p>
    <w:p w:rsidR="00A31137" w:rsidRPr="00A31137" w:rsidRDefault="00A31137" w:rsidP="00A31137">
      <w:r w:rsidRPr="00A31137">
        <w:t>It is unlikely, if not impossible, that the challenged program would survive under this understanding of strict scrutiny, but I am content to leave that to be decided on remand.</w:t>
      </w:r>
    </w:p>
    <w:p w:rsidR="00A31137" w:rsidRPr="00A31137" w:rsidRDefault="00A31137" w:rsidP="00A31137">
      <w:r w:rsidRPr="00A31137">
        <w:t>THOMAS, J., concurring</w:t>
      </w:r>
    </w:p>
    <w:p w:rsidR="00A31137" w:rsidRPr="00A31137" w:rsidRDefault="00A31137" w:rsidP="00A31137">
      <w:r w:rsidRPr="00A31137">
        <w:t>1995, Adarand Constructors, Inc. v. Pena, No. 93-1841</w:t>
      </w:r>
    </w:p>
    <w:p w:rsidR="00A31137" w:rsidRPr="00A31137" w:rsidRDefault="00A31137" w:rsidP="00A31137">
      <w:r w:rsidRPr="00A31137">
        <w:t>JUSTICE THOMAS, concurring in part and concurring in the judgment.</w:t>
      </w:r>
    </w:p>
    <w:p w:rsidR="00A31137" w:rsidRPr="00A31137" w:rsidRDefault="00A31137" w:rsidP="00A31137">
      <w:r w:rsidRPr="00A31137">
        <w:t>1995, Adarand Constructors, Inc. v. Pena, No. 93-1841</w:t>
      </w:r>
    </w:p>
    <w:p w:rsidR="00A31137" w:rsidRPr="00A31137" w:rsidRDefault="00A31137" w:rsidP="00A31137">
      <w:r w:rsidRPr="00A31137">
        <w:t>I agree with the majority's conclusion that strict scrutiny applies to all government classifications based on race. I write separately, however, to express my disagreement with the premise underlying JUSTICE STEVENS' and JUSTICE GINSBURG's dissents: that there is a racial paternalism exception to the principle of equal protection. I believe that there is a "moral [and] constitutional equivalence," post at ___, (STEVENS, J., dissenting), between laws designed to subjugate a race and those that distribute benefits on the basis of race in order to foster some current notion of equality. Government cannot make us equal; it can only recognize, respect, and protect us as equal before the law.</w:t>
      </w:r>
    </w:p>
    <w:p w:rsidR="00A31137" w:rsidRPr="00A31137" w:rsidRDefault="00A31137" w:rsidP="00A31137">
      <w:r w:rsidRPr="00A31137">
        <w:t>1995, Adarand Constructors, Inc. v. Pena, No. 93-1841</w:t>
      </w:r>
    </w:p>
    <w:p w:rsidR="00A31137" w:rsidRPr="00A31137" w:rsidRDefault="00A31137" w:rsidP="00A31137">
      <w:r w:rsidRPr="00A31137">
        <w:t>That these programs may have been motivated, in part, by good intentions cannot provide refuge from the principle that under our Constitution, the government may not make distinctions on the basis of race. As far as the Constitution is concerned, it is irrelevant whether a government's racial classifications are drawn by those who wish to oppress a race or by those who have a sincere desire to help those thought to be disadvantaged. There can be no doubt that the paternalism that appears to lie at the heart of this program is at war with the principle of inherent equality that underlies and infuses our Constitution. See Declaration of Independence ("We hold these truths to be self-evident, that all men are created equal, that they are endowed by their Creator with certain unalienable Rights, that among these are Life, Liberty, and the pursuit of Happiness").</w:t>
      </w:r>
    </w:p>
    <w:p w:rsidR="00A31137" w:rsidRPr="00A31137" w:rsidRDefault="00A31137" w:rsidP="00A31137">
      <w:r w:rsidRPr="00A31137">
        <w:t>1995, Adarand Constructors, Inc. v. Pena, No. 93-1841</w:t>
      </w:r>
    </w:p>
    <w:p w:rsidR="00A31137" w:rsidRPr="00A31137" w:rsidRDefault="00A31137" w:rsidP="00A31137">
      <w:r w:rsidRPr="00A31137">
        <w:t>These programs not only raise grave constitutional questions, they also undermine the moral basis of the equal protection principle. Purchased at the price of immeasurable human suffering, the equal protection principle reflects our Nation's understanding that such classifications ultimately have a destructive impact on the individual and our society. Unquestionably, "[i]nvidious [racial] discrimination is an engine of oppression," post at ___. It is also true that "[r]emedial" racial preferences may reflect "a desire to foster equality in society," ibid. But there can be no doubt that racial paternalism and its unintended consequences can be as poisonous and pernicious as any other form of discrimination. So-called "benign" discrimination teaches many that because of chronic and apparently immutable handicaps, minorities cannot compete with them without their patronizing indulgence. Inevitably, such programs engender attitudes of superiority or, alternatively, provoke resentment among those who believe that they have been wronged by the government's use of race. These programs stamp minorities with a badge of inferiority and may cause them to develop dependencies or to adopt an attitude that they are "entitled" to preferences. Indeed, JUSTICE STEVENS once recognized the real harms stemming from seemingly "benign" discrimination. See Fullilove v. Klutznick, 448 U.S. 448,  545 (1980) (STEVENS, J., dissenting) (noting that "remedial" race legislation "is perceived by many as resting on an assumption that those who are granted this special preference are less qualified in some respect that is identified purely by their race").</w:t>
      </w:r>
    </w:p>
    <w:p w:rsidR="00A31137" w:rsidRPr="00A31137" w:rsidRDefault="00A31137" w:rsidP="00A31137">
      <w:r w:rsidRPr="00A31137">
        <w:t>1995, Adarand Constructors, Inc. v. Pena, No. 93-1841</w:t>
      </w:r>
    </w:p>
    <w:p w:rsidR="00A31137" w:rsidRPr="00A31137" w:rsidRDefault="00A31137" w:rsidP="00A31137">
      <w:r w:rsidRPr="00A31137">
        <w:t>In my mind, government-sponsored racial discrimination based on benign prejudice is just as noxious as discrimination inspired by malicious prejudice.* In each instance, it is racial discrimination, plain and simple.</w:t>
      </w:r>
    </w:p>
    <w:p w:rsidR="00A31137" w:rsidRPr="00A31137" w:rsidRDefault="00A31137" w:rsidP="00A31137">
      <w:r w:rsidRPr="00A31137">
        <w:t>STEVENS, J., dissenting</w:t>
      </w:r>
    </w:p>
    <w:p w:rsidR="00A31137" w:rsidRPr="00A31137" w:rsidRDefault="00A31137" w:rsidP="00A31137">
      <w:r w:rsidRPr="00A31137">
        <w:t>1995, Adarand Constructors, Inc. v. Pena, No. 93-1841</w:t>
      </w:r>
    </w:p>
    <w:p w:rsidR="00A31137" w:rsidRPr="00A31137" w:rsidRDefault="00A31137" w:rsidP="00A31137">
      <w:r w:rsidRPr="00A31137">
        <w:t>JUSTICE STEVENS, with whom JUSTICE GINSBURG joins, dissenting.</w:t>
      </w:r>
    </w:p>
    <w:p w:rsidR="00A31137" w:rsidRPr="00A31137" w:rsidRDefault="00A31137" w:rsidP="00A31137">
      <w:r w:rsidRPr="00A31137">
        <w:t>1995, Adarand Constructors, Inc. v. Pena, No. 93-1841</w:t>
      </w:r>
    </w:p>
    <w:p w:rsidR="00A31137" w:rsidRPr="00A31137" w:rsidRDefault="00A31137" w:rsidP="00A31137">
      <w:r w:rsidRPr="00A31137">
        <w:t>Instead of deciding this case in accordance with controlling precedent, the Court today delivers a disconcerting lecture about the evils of governmental racial classifications. For its text, the Court has selected three propositions, represented by the bywords "skepticism," "consistency," and "congruence." See ante at ___. I shall comment on each of these propositions, then add a few words about stare decisis, and finally explain why I believe this Court has a duty to affirm the judgment of the Court of Appeals.</w:t>
      </w:r>
    </w:p>
    <w:p w:rsidR="00A31137" w:rsidRPr="00A31137" w:rsidRDefault="00A31137" w:rsidP="00A31137">
      <w:r w:rsidRPr="00A31137">
        <w:t>I</w:t>
      </w:r>
    </w:p>
    <w:p w:rsidR="00A31137" w:rsidRPr="00A31137" w:rsidRDefault="00A31137" w:rsidP="00A31137">
      <w:r w:rsidRPr="00A31137">
        <w:t>1995, Adarand Constructors, Inc. v. Pena, No. 93-1841</w:t>
      </w:r>
    </w:p>
    <w:p w:rsidR="00A31137" w:rsidRPr="00A31137" w:rsidRDefault="00A31137" w:rsidP="00A31137">
      <w:r w:rsidRPr="00A31137">
        <w:t>The Court's concept of skepticism is, at least in principle, a good statement of law and of common sense. Undoubtedly, a court should be wary of a governmental decision that relies upon a racial classification.</w:t>
      </w:r>
    </w:p>
    <w:p w:rsidR="00A31137" w:rsidRPr="00A31137" w:rsidRDefault="00A31137" w:rsidP="00A31137">
      <w:r w:rsidRPr="00A31137">
        <w:t>1995, Adarand Constructors, Inc. v. Pena, No. 93-1841</w:t>
      </w:r>
    </w:p>
    <w:p w:rsidR="00A31137" w:rsidRPr="00A31137" w:rsidRDefault="00A31137" w:rsidP="00A31137">
      <w:r w:rsidRPr="00A31137">
        <w:t>Because racial characteristics so seldom provide a relevant basis for disparate treatment, and because classifications based on race are potentially so harmful to the entire body politic,</w:t>
      </w:r>
    </w:p>
    <w:p w:rsidR="00A31137" w:rsidRPr="00A31137" w:rsidRDefault="00A31137" w:rsidP="00A31137">
      <w:r w:rsidRPr="00A31137">
        <w:t>1995, Adarand Constructors, Inc. v. Pena, No. 93-1841</w:t>
      </w:r>
    </w:p>
    <w:p w:rsidR="00A31137" w:rsidRPr="00A31137" w:rsidRDefault="00A31137" w:rsidP="00A31137">
      <w:r w:rsidRPr="00A31137">
        <w:t>a reviewing court must satisfy itself that the reasons for any such classification are "clearly identified and unquestionably legitimate." Fullilove v. Klutznick, 448 U.S. 448, 533-535 (1980) (STEVENS, J., dissenting). This principle is explicit in Chief Justice Burger's opinion, id. at  480; in Justice Powell's concurrence, id. at  496; and in my dissent in Fullilove, id. at 533-534. I welcome its renewed endorsement by the Court today. But, as the opinions in Fullilove demonstrate, substantial agreement on the standard to be applied in deciding difficult cases does not necessarily lead to agreement on how those cases actually should or will be resolved. In my judgment, because uniform standards are often anything but uniform, we should evaluate the Court's comments on "consistency," "congruence," and stare decisis with the same type of skepticism that the Court advocates for the underlying issue.</w:t>
      </w:r>
    </w:p>
    <w:p w:rsidR="00A31137" w:rsidRPr="00A31137" w:rsidRDefault="00A31137" w:rsidP="00A31137">
      <w:r w:rsidRPr="00A31137">
        <w:t>II</w:t>
      </w:r>
    </w:p>
    <w:p w:rsidR="00A31137" w:rsidRPr="00A31137" w:rsidRDefault="00A31137" w:rsidP="00A31137">
      <w:r w:rsidRPr="00A31137">
        <w:t>1995, Adarand Constructors, Inc. v. Pena, No. 93-1841</w:t>
      </w:r>
    </w:p>
    <w:p w:rsidR="00A31137" w:rsidRPr="00A31137" w:rsidRDefault="00A31137" w:rsidP="00A31137">
      <w:r w:rsidRPr="00A31137">
        <w:t>The Court's concept of "consistency" assumes that there is no significant difference between a decision by the majority to impose a special burden on the members of a minority race and a decision by the majority to provide a benefit to certain members of that minority notwithstanding its incidental burden on some members of the majority. In my opinion that assumption is untenable. There is no moral or constitutional equivalence between a policy that is designed to perpetuate a caste system and one that seeks to eradicate racial subordination. Invidious discrimination is an engine of oppression, subjugating a disfavored group to enhance or maintain the power of the majority. Remedial race-based preferences reflect the opposite impulse: a desire to foster equality in society. No sensible conception of the Government's constitutional obligation to "govern impartially," Hampton v. Mow Sun Wong, 426 U.S. 88, 100 (1976), should ignore this distinction. 1</w:t>
      </w:r>
    </w:p>
    <w:p w:rsidR="00A31137" w:rsidRPr="00A31137" w:rsidRDefault="00A31137" w:rsidP="00A31137">
      <w:r w:rsidRPr="00A31137">
        <w:t>1995, Adarand Constructors, Inc. v. Pena, No. 93-1841</w:t>
      </w:r>
    </w:p>
    <w:p w:rsidR="00A31137" w:rsidRPr="00A31137" w:rsidRDefault="00A31137" w:rsidP="00A31137">
      <w:r w:rsidRPr="00A31137">
        <w:t>To illustrate the point, consider our cases addressing the Federal Government's discrimination against Japanese Americans during World War II, Hirabayashi v. United States, 320 U.S. 81 (1943), and Korematsu v. United States, 323 U.S. 214 (1944). The discrimination at issue in those cases was invidious because the Government imposed special burdens—a curfew and exclusion from certain areas on the West Coast 2—on the members of a minority class defined by racial and ethnic characteristics. Members of the same racially defined class exhibited exceptional heroism in the service of our country during that War. Now suppose Congress decided to reward that service with a federal program that gave all Japanese-American veterans an extraordinary preference in Government employment. Cf. Personnel Administrator of Mass. v. Feeney, 442 U.S. 256 (1979). If Congress had done so, the same racial characteristics that motivated the discriminatory burdens in Hirabayashi and Korematsu would have defined the preferred class of veterans. Nevertheless, "consistency" surely would not require us to describe the incidental burden on everyone else in the country as "odious" or "invidious" as those terms were used in those cases. We should reject a concept of "consistency" that would view the special preferences that the National Government has provided to Native Americans since 1834 3 as comparable to the official discrimination against African Americans that was prevalent for much of our history.</w:t>
      </w:r>
    </w:p>
    <w:p w:rsidR="00A31137" w:rsidRPr="00A31137" w:rsidRDefault="00A31137" w:rsidP="00A31137">
      <w:r w:rsidRPr="00A31137">
        <w:t>1995, Adarand Constructors, Inc. v. Pena, No. 93-1841</w:t>
      </w:r>
    </w:p>
    <w:p w:rsidR="00A31137" w:rsidRPr="00A31137" w:rsidRDefault="00A31137" w:rsidP="00A31137">
      <w:r w:rsidRPr="00A31137">
        <w:t>The consistency that the Court espouses would disregard the difference between a "No Trespassing" sign and a welcome mat. It would treat a Dixiecrat Senator's decision to vote against Thurgood Marshall's confirmation in order to keep African Americans off the Supreme Court as on a par with President Johnson's evaluation of his nominee's race as a positive factor. It would equate a law that made black citizens ineligible for military service with a program aimed at recruiting black soldiers. An attempt by the majority to exclude members of a minority race from a regulated market is fundamentally different from a subsidy that enables a relatively small group of newcomers to enter that market. An interest in "consistency" does not justify treating differences as though they were similarities.</w:t>
      </w:r>
    </w:p>
    <w:p w:rsidR="00A31137" w:rsidRPr="00A31137" w:rsidRDefault="00A31137" w:rsidP="00A31137">
      <w:r w:rsidRPr="00A31137">
        <w:t>1995, Adarand Constructors, Inc. v. Pena, No. 93-1841</w:t>
      </w:r>
    </w:p>
    <w:p w:rsidR="00A31137" w:rsidRPr="00A31137" w:rsidRDefault="00A31137" w:rsidP="00A31137">
      <w:r w:rsidRPr="00A31137">
        <w:t>The Court's explanation for treating dissimilar race-based decisions as though they were equally objectionable is a supposed inability to differentiate between "invidious" and "benign" discrimination. Ante at ___. But the term "affirmative action" is common and well understood. Its presence in everyday parlance shows that people understand the difference between good intentions and bad. As with any legal concept, some cases may be difficult to classify, 4 but our equal protection jurisprudence has identified a critical difference between state action that imposes burdens on a disfavored few and state action that benefits the few "in spite of" its adverse effects on the many. Feeney, 442 U.S. at  279.</w:t>
      </w:r>
    </w:p>
    <w:p w:rsidR="00A31137" w:rsidRPr="00A31137" w:rsidRDefault="00A31137" w:rsidP="00A31137">
      <w:r w:rsidRPr="00A31137">
        <w:t>1995, Adarand Constructors, Inc. v. Pena, No. 93-1841</w:t>
      </w:r>
    </w:p>
    <w:p w:rsidR="00A31137" w:rsidRPr="00A31137" w:rsidRDefault="00A31137" w:rsidP="00A31137">
      <w:r w:rsidRPr="00A31137">
        <w:t>Indeed, our jurisprudence has made the standard to be applied in cases of invidious discrimination turn on whether the discrimination is "intentional," or whether, by contrast, it merely has a discriminatory "effect." Washington v. Davis, 426 U.S. 229 (1976). Surely this distinction is at least as subtle, and at least as difficult to apply, see id. at 253-254 (concurring opinion), as the usually obvious distinction between a measure intended to benefit members of a particular minority race and a measure intended to burden a minority race. A state actor inclined to subvert the Constitution might easily hide bad intentions in the guise of unintended "effects"; but I should think it far more difficult to enact a law intending to preserve the majority's hegemony while casting it plausibly in the guise of affirmative action for minorities.</w:t>
      </w:r>
    </w:p>
    <w:p w:rsidR="00A31137" w:rsidRPr="00A31137" w:rsidRDefault="00A31137" w:rsidP="00A31137">
      <w:r w:rsidRPr="00A31137">
        <w:t>1995, Adarand Constructors, Inc. v. Pena, No. 93-1841</w:t>
      </w:r>
    </w:p>
    <w:p w:rsidR="00A31137" w:rsidRPr="00A31137" w:rsidRDefault="00A31137" w:rsidP="00A31137">
      <w:r w:rsidRPr="00A31137">
        <w:t>Nothing is inherently wrong with applying a single standard to fundamentally different situations, as long as that standard takes relevant differences into account. For example, if the Court in all equal protection cases were to insist that differential treatment be justified by relevant characteristics of the members of the favored and disfavored classes that provide a legitimate basis for disparate treatment, such a standard would treat dissimilar cases differently while still recognizing that there is, after all, only one Equal Protection Clause. See Cleburne v. Cleburne Living Center, Inc., 473 U.S. 432, 451-455 (1985) (STEVENS, J., concurring); San Antonio Independent School Dist. v. Rodriguez, 411 U.S. 1, 98-110 (1973) (Marshall, J., dissenting). Under such a standard, subsidies for disadvantaged businesses may be constitutional though special taxes on such businesses would be invalid. But a single standard that purports to equate remedial preferences with invidious discrimination cannot be defended in the name of "equal protection."</w:t>
      </w:r>
    </w:p>
    <w:p w:rsidR="00A31137" w:rsidRPr="00A31137" w:rsidRDefault="00A31137" w:rsidP="00A31137">
      <w:r w:rsidRPr="00A31137">
        <w:t>1995, Adarand Constructors, Inc. v. Pena, No. 93-1841</w:t>
      </w:r>
    </w:p>
    <w:p w:rsidR="00A31137" w:rsidRPr="00A31137" w:rsidRDefault="00A31137" w:rsidP="00A31137">
      <w:r w:rsidRPr="00A31137">
        <w:t>Moreover, the Court may find that its new "consistency" approach to race-based classifications is difficult to square with its insistence upon rigidly separate categories for discrimination against different classes of individuals. For example, as the law currently stands, the Court will apply "intermediate scrutiny" to cases of invidious gender discrimination and "strict scrutiny" to cases of invidious race discrimination, while applying the same standard for benign classifications as for invidious ones. If this remains the law, then today's lecture about "consistency" will produce the anomalous result that the Government can more easily enact affirmative action programs to remedy discrimination against women than it can enact affirmative action programs to remedy discrimination against African Americans-even though the primary purpose of the Equal Protection Clause was to end discrimination against the former slaves. See Associated General Contractors of Cal., Inc. v. San Francisco, 813 F.2d 922 (CA9 1987) (striking down racial preference under strict scrutiny while upholding gender preference under intermediate scrutiny). When a court becomes preoccupied with abstract standards, it risks sacrificing common sense at the altar of formal consistency.</w:t>
      </w:r>
    </w:p>
    <w:p w:rsidR="00A31137" w:rsidRPr="00A31137" w:rsidRDefault="00A31137" w:rsidP="00A31137">
      <w:r w:rsidRPr="00A31137">
        <w:t>1995, Adarand Constructors, Inc. v. Pena, No. 93-1841</w:t>
      </w:r>
    </w:p>
    <w:p w:rsidR="00A31137" w:rsidRPr="00A31137" w:rsidRDefault="00A31137" w:rsidP="00A31137">
      <w:r w:rsidRPr="00A31137">
        <w:t>As a matter of constitutional and democratic principle, a decision by representatives of the majority to discriminate against the members of a minority race is fundamentally different from those same representatives' decision to impose incidental costs on the majority of their constituents in order to provide a benefit to a disadvantaged minority. 5 Indeed, as I have previously argued, the former is virtually always repugnant to the principles of a free and democratic society, whereas the latter is, in some circumstances, entirely consistent with the ideal of equality. Wygant v. Jackson Board of Ed., 476 U.S. 267, 316-317 (1986) (STEVENS, J., dissenting). 6 By insisting on a doctrinaire notion of "consistency" in the standard applicable to all race-based governmental actions, the Court obscures this essential dichotomy.</w:t>
      </w:r>
    </w:p>
    <w:p w:rsidR="00A31137" w:rsidRPr="00A31137" w:rsidRDefault="00A31137" w:rsidP="00A31137">
      <w:r w:rsidRPr="00A31137">
        <w:t>III</w:t>
      </w:r>
    </w:p>
    <w:p w:rsidR="00A31137" w:rsidRPr="00A31137" w:rsidRDefault="00A31137" w:rsidP="00A31137">
      <w:r w:rsidRPr="00A31137">
        <w:t>1995, Adarand Constructors, Inc. v. Pena, No. 93-1841</w:t>
      </w:r>
    </w:p>
    <w:p w:rsidR="00A31137" w:rsidRPr="00A31137" w:rsidRDefault="00A31137" w:rsidP="00A31137">
      <w:r w:rsidRPr="00A31137">
        <w:t>The Court's concept of "congruence" assumes that there is no significant difference between a decision by the Congress of the United States to adopt an affirmative action program and such a decision by a State or a municipality. In my opinion, that assumption is untenable. It ignores important practical and legal differences between federal and state or local decisionmakers.</w:t>
      </w:r>
    </w:p>
    <w:p w:rsidR="00A31137" w:rsidRPr="00A31137" w:rsidRDefault="00A31137" w:rsidP="00A31137">
      <w:r w:rsidRPr="00A31137">
        <w:t>1995, Adarand Constructors, Inc. v. Pena, No. 93-1841</w:t>
      </w:r>
    </w:p>
    <w:p w:rsidR="00A31137" w:rsidRPr="00A31137" w:rsidRDefault="00A31137" w:rsidP="00A31137">
      <w:r w:rsidRPr="00A31137">
        <w:t>These differences have been identified repeatedly and consistently both in opinions of the Court and in separate opinions authored by members of today's majority. Thus, in Metro Broadcasting, Inc. v. FCC, 497 U.S. 547 (1990), in which we upheld a federal program designed to foster racial diversity in broadcasting, we identified the special "institutional competence" of our National Legislature. Id. at 563. "It is of overriding significance in these cases," we were careful to emphasize, "that the FCC's minority ownership programs have been specifically approved—indeed, mandated—by Congress." Ibid. We recalled the several opinions in Fullilove that admonished this Court to</w:t>
      </w:r>
    </w:p>
    <w:p w:rsidR="00A31137" w:rsidRPr="00A31137" w:rsidRDefault="00A31137" w:rsidP="00A31137">
      <w:r w:rsidRPr="00A31137">
        <w:t>1995, Adarand Constructors, Inc. v. Pena, No. 93-1841</w:t>
      </w:r>
    </w:p>
    <w:p w:rsidR="00A31137" w:rsidRPr="00A31137" w:rsidRDefault="00A31137" w:rsidP="00A31137">
      <w:r w:rsidRPr="00A31137">
        <w:t>"approach our task with appropriate deference to the Congress, a coequal branch charged by the Constitution with the power to 'provide for the…general Welfare of the United States' and 'to enforce, by appropriate legislation,' the equal protection guarantees of the Fourteenth Amendment." [Fullilove, 448 U.S.] at  472; see also id. at  491; id. at  510, and 515-516, n. 14 (Powell, J., concurring); id. at 517-520 (Marshall, J., concurring in judgment).</w:t>
      </w:r>
    </w:p>
    <w:p w:rsidR="00A31137" w:rsidRPr="00A31137" w:rsidRDefault="00A31137" w:rsidP="00A31137">
      <w:r w:rsidRPr="00A31137">
        <w:t>1995, Adarand Constructors, Inc. v. Pena, No. 93-1841</w:t>
      </w:r>
    </w:p>
    <w:p w:rsidR="00A31137" w:rsidRPr="00A31137" w:rsidRDefault="00A31137" w:rsidP="00A31137">
      <w:r w:rsidRPr="00A31137">
        <w:t>Id. at 563. We recalled that the opinions of Chief Justice Burger and Justice Powell in Fullilove had</w:t>
      </w:r>
    </w:p>
    <w:p w:rsidR="00A31137" w:rsidRPr="00A31137" w:rsidRDefault="00A31137" w:rsidP="00A31137">
      <w:r w:rsidRPr="00A31137">
        <w:t>1995, Adarand Constructors, Inc. v. Pena, No. 93-1841</w:t>
      </w:r>
    </w:p>
    <w:p w:rsidR="00A31137" w:rsidRPr="00A31137" w:rsidRDefault="00A31137" w:rsidP="00A31137">
      <w:r w:rsidRPr="00A31137">
        <w:t>explained that deference was appropriate in light of Congress' institutional competence as the National Legislature, as well as Congress' powers under the Commerce Clause, the Spending Clause, and the Civil War Amendments.</w:t>
      </w:r>
    </w:p>
    <w:p w:rsidR="00A31137" w:rsidRPr="00A31137" w:rsidRDefault="00A31137" w:rsidP="00A31137">
      <w:r w:rsidRPr="00A31137">
        <w:t>1995, Adarand Constructors, Inc. v. Pena, No. 93-1841</w:t>
      </w:r>
    </w:p>
    <w:p w:rsidR="00A31137" w:rsidRPr="00A31137" w:rsidRDefault="00A31137" w:rsidP="00A31137">
      <w:r w:rsidRPr="00A31137">
        <w:t>Ibid. (citations and footnote omitted).</w:t>
      </w:r>
    </w:p>
    <w:p w:rsidR="00A31137" w:rsidRPr="00A31137" w:rsidRDefault="00A31137" w:rsidP="00A31137">
      <w:r w:rsidRPr="00A31137">
        <w:t>1995, Adarand Constructors, Inc. v. Pena, No. 93-1841</w:t>
      </w:r>
    </w:p>
    <w:p w:rsidR="00A31137" w:rsidRPr="00A31137" w:rsidRDefault="00A31137" w:rsidP="00A31137">
      <w:r w:rsidRPr="00A31137">
        <w:t>The majority in Metro Broadcasting and the plurality in Fullilove were not alone in relying upon a critical distinction between federal and state programs. In his separate opinion in Richmond v. J. A. Croson Co., 488 U.S. 469, 520-524 (1989), JUSTICE SCALIA discussed the basis for this distinction. He observed that</w:t>
      </w:r>
    </w:p>
    <w:p w:rsidR="00A31137" w:rsidRPr="00A31137" w:rsidRDefault="00A31137" w:rsidP="00A31137">
      <w:r w:rsidRPr="00A31137">
        <w:t>1995, Adarand Constructors, Inc. v. Pena, No. 93-1841</w:t>
      </w:r>
    </w:p>
    <w:p w:rsidR="00A31137" w:rsidRPr="00A31137" w:rsidRDefault="00A31137" w:rsidP="00A31137">
      <w:r w:rsidRPr="00A31137">
        <w:t>it is one thing to permit racially based conduct by the Federal Government—whose legislative powers concerning matters of race were explicitly enhanced by the Fourteenth Amendment, see U.S.Const., Amdt. 14, § 5—and quite another to permit it by the precise entities against whose conduct in matters of race that Amendment was specifically directed, see Amdt. 14, § 1.</w:t>
      </w:r>
    </w:p>
    <w:p w:rsidR="00A31137" w:rsidRPr="00A31137" w:rsidRDefault="00A31137" w:rsidP="00A31137">
      <w:r w:rsidRPr="00A31137">
        <w:t>1995, Adarand Constructors, Inc. v. Pena, No. 93-1841</w:t>
      </w:r>
    </w:p>
    <w:p w:rsidR="00A31137" w:rsidRPr="00A31137" w:rsidRDefault="00A31137" w:rsidP="00A31137">
      <w:r w:rsidRPr="00A31137">
        <w:t>Id. at 521-522. Continuing, JUSTICE SCALIA explained why a</w:t>
      </w:r>
    </w:p>
    <w:p w:rsidR="00A31137" w:rsidRPr="00A31137" w:rsidRDefault="00A31137" w:rsidP="00A31137">
      <w:r w:rsidRPr="00A31137">
        <w:t>1995, Adarand Constructors, Inc. v. Pena, No. 93-1841</w:t>
      </w:r>
    </w:p>
    <w:p w:rsidR="00A31137" w:rsidRPr="00A31137" w:rsidRDefault="00A31137" w:rsidP="00A31137">
      <w:r w:rsidRPr="00A31137">
        <w:t>sound distinction between federal and state (or local) action based on race rests not only upon the substance of the Civil War Amendments, but upon social reality and governmental theory.</w:t>
      </w:r>
    </w:p>
    <w:p w:rsidR="00A31137" w:rsidRPr="00A31137" w:rsidRDefault="00A31137" w:rsidP="00A31137">
      <w:r w:rsidRPr="00A31137">
        <w:t>1995, Adarand Constructors, Inc. v. Pena, No. 93-1841</w:t>
      </w:r>
    </w:p>
    <w:p w:rsidR="00A31137" w:rsidRPr="00A31137" w:rsidRDefault="00A31137" w:rsidP="00A31137">
      <w:r w:rsidRPr="00A31137">
        <w:t>Id. at  522.</w:t>
      </w:r>
    </w:p>
    <w:p w:rsidR="00A31137" w:rsidRPr="00A31137" w:rsidRDefault="00A31137" w:rsidP="00A31137">
      <w:r w:rsidRPr="00A31137">
        <w:t>1995, Adarand Constructors, Inc. v. Pena, No. 93-1841</w:t>
      </w:r>
    </w:p>
    <w:p w:rsidR="00A31137" w:rsidRPr="00A31137" w:rsidRDefault="00A31137" w:rsidP="00A31137">
      <w:r w:rsidRPr="00A31137">
        <w:t>What the record shows, in other words, is that racial discrimination against any group finds a more ready expression at the state and local than at the federal level. To the children of the Founding Fathers, this should come as no surprise. An acute awareness of the heightened danger of oppression from political factions in small, rather than large, political units dates to the very beginning of our national history. See G. Wood, The Creation of the American Republic, 1776-1787, pp. 499-506 (1969). As James Madison observed in support of the proposed Constitution's enhancement of national powers:</w:t>
      </w:r>
    </w:p>
    <w:p w:rsidR="00A31137" w:rsidRPr="00A31137" w:rsidRDefault="00A31137" w:rsidP="00A31137">
      <w:r w:rsidRPr="00A31137">
        <w:t>1995, Adarand Constructors, Inc. v. Pena, No. 93-1841</w:t>
      </w:r>
    </w:p>
    <w:p w:rsidR="00A31137" w:rsidRPr="00A31137" w:rsidRDefault="00A31137" w:rsidP="00A31137">
      <w:r w:rsidRPr="00A31137">
        <w:t>The smaller the society, the fewer probably will be the distinct parties and interests composing it; the fewer the distinct parties and interests, the more frequently will a majority be found of the same party; and the smaller the number of individuals composing a majority, and the smaller the compass within which they are placed, the more easily will they concert and execute their plan of oppression. Extend the sphere and you take in a greater variety of parties and interests; you make it less probable that a majority of the whole will have a common motive to invade the rights of other citizens; or if such a common motive exists, it will be more difficult for all who feel it to discover their own strength and to act in unison with each other.</w:t>
      </w:r>
    </w:p>
    <w:p w:rsidR="00A31137" w:rsidRPr="00A31137" w:rsidRDefault="00A31137" w:rsidP="00A31137">
      <w:r w:rsidRPr="00A31137">
        <w:t>1995, Adarand Constructors, Inc. v. Pena, No. 93-1841</w:t>
      </w:r>
    </w:p>
    <w:p w:rsidR="00A31137" w:rsidRPr="00A31137" w:rsidRDefault="00A31137" w:rsidP="00A31137">
      <w:r w:rsidRPr="00A31137">
        <w:t>The Federalist No. 10, pp. 82-84 (C. Rossiter ed. 1961).</w:t>
      </w:r>
    </w:p>
    <w:p w:rsidR="00A31137" w:rsidRPr="00A31137" w:rsidRDefault="00A31137" w:rsidP="00A31137">
      <w:r w:rsidRPr="00A31137">
        <w:t>1995, Adarand Constructors, Inc. v. Pena, No. 93-1841</w:t>
      </w:r>
    </w:p>
    <w:p w:rsidR="00A31137" w:rsidRPr="00A31137" w:rsidRDefault="00A31137" w:rsidP="00A31137">
      <w:r w:rsidRPr="00A31137">
        <w:t>Id. at  523 (SCALIA, J., concurring in judgment).</w:t>
      </w:r>
    </w:p>
    <w:p w:rsidR="00A31137" w:rsidRPr="00A31137" w:rsidRDefault="00A31137" w:rsidP="00A31137">
      <w:r w:rsidRPr="00A31137">
        <w:t>1995, Adarand Constructors, Inc. v. Pena, No. 93-1841</w:t>
      </w:r>
    </w:p>
    <w:p w:rsidR="00A31137" w:rsidRPr="00A31137" w:rsidRDefault="00A31137" w:rsidP="00A31137">
      <w:r w:rsidRPr="00A31137">
        <w:t>In her plurality opinion in Croson, JUSTICE O'CONNOR also emphasized the importance of this distinction when she responded to the City's argument that Fullilove was controlling. She wrote:</w:t>
      </w:r>
    </w:p>
    <w:p w:rsidR="00A31137" w:rsidRPr="00A31137" w:rsidRDefault="00A31137" w:rsidP="00A31137">
      <w:r w:rsidRPr="00A31137">
        <w:t>1995, Adarand Constructors, Inc. v. Pena, No. 93-1841</w:t>
      </w:r>
    </w:p>
    <w:p w:rsidR="00A31137" w:rsidRPr="00A31137" w:rsidRDefault="00A31137" w:rsidP="00A31137">
      <w:r w:rsidRPr="00A31137">
        <w:t>What appellant ignores is that Congress, unlike any State or political subdivision, has a specific constitutional mandate to enforce the dictates of the Fourteenth Amendment. The power to "enforce" may at times also include the power to define situations which Congress determines threaten principles of equality and to adopt prophylactic rules to deal with those situations. The Civil War Amendments themselves worked a dramatic change in the balance between congressional and state power over matters of race.</w:t>
      </w:r>
      <w:r w:rsidRPr="00A31137">
        <w:cr/>
      </w:r>
    </w:p>
    <w:p w:rsidR="00A31137" w:rsidRPr="00A31137" w:rsidRDefault="00A31137" w:rsidP="00A31137">
      <w:r w:rsidRPr="00A31137">
        <w:t>1995, Adarand Constructors, Inc. v. Pena, No. 93-1841</w:t>
      </w:r>
    </w:p>
    <w:p w:rsidR="00A31137" w:rsidRPr="00A31137" w:rsidRDefault="00A31137" w:rsidP="00A31137">
      <w:r w:rsidRPr="00A31137">
        <w:t>488 U.S. at  490 (plurality opinion of O'CONNOR, J., joined by REHNQUIST, C.J., and White, J.) (citations omitted).</w:t>
      </w:r>
    </w:p>
    <w:p w:rsidR="00A31137" w:rsidRPr="00A31137" w:rsidRDefault="00A31137" w:rsidP="00A31137">
      <w:r w:rsidRPr="00A31137">
        <w:t>1995, Adarand Constructors, Inc. v. Pena, No. 93-1841</w:t>
      </w:r>
    </w:p>
    <w:p w:rsidR="00A31137" w:rsidRPr="00A31137" w:rsidRDefault="00A31137" w:rsidP="00A31137">
      <w:r w:rsidRPr="00A31137">
        <w:t>An additional reason for giving greater deference to the National Legislature than to a local law-making body is that federal affirmative action programs represent the will of our entire Nation's elected representatives, whereas a state or local program may have an impact on nonresident entities who played no part in the decision to enact it. Thus, in the state or local context, individuals who were unable to vote for the local representatives who enacted a race-conscious program may nonetheless feel the effects of that program. This difference recalls the goals of the Commerce Clause, U.S.Const., Art. I, § 8, cl. 3, which permits Congress to legislate on certain matters of national importance while denying power to the States in this area for fear of undue impact upon out-of-state residents. See Southern Pacific Co. v. Arizona ex rel. Sullivan, 325 U.S. 761, 767-768, n. 2 (1945) ("[T]o the extent that the burden of state regulation falls on interests outside the state, it is unlikely to be alleviated by the operation of those political restraints normally exerted when interests within the state are affected").</w:t>
      </w:r>
    </w:p>
    <w:p w:rsidR="00A31137" w:rsidRPr="00A31137" w:rsidRDefault="00A31137" w:rsidP="00A31137">
      <w:r w:rsidRPr="00A31137">
        <w:t>1995, Adarand Constructors, Inc. v. Pena, No. 93-1841</w:t>
      </w:r>
    </w:p>
    <w:p w:rsidR="00A31137" w:rsidRPr="00A31137" w:rsidRDefault="00A31137" w:rsidP="00A31137">
      <w:r w:rsidRPr="00A31137">
        <w:t>Ironically, after all of the time, effort, and paper this Court has expended in differentiating between federal and state affirmative action, the majority today virtually ignores the issue. See ante at ___. It provides not a word of direct explanation for its sudden and enormous departure from the reasoning in past cases. Such silence, however, cannot erase the difference between Congress' institutional competence and constitutional authority to overcome historic racial subjugation and the States' lesser power to do so.</w:t>
      </w:r>
    </w:p>
    <w:p w:rsidR="00A31137" w:rsidRPr="00A31137" w:rsidRDefault="00A31137" w:rsidP="00A31137">
      <w:r w:rsidRPr="00A31137">
        <w:t>1995, Adarand Constructors, Inc. v. Pena, No. 93-1841</w:t>
      </w:r>
    </w:p>
    <w:p w:rsidR="00A31137" w:rsidRPr="00A31137" w:rsidRDefault="00A31137" w:rsidP="00A31137">
      <w:r w:rsidRPr="00A31137">
        <w:t>Presumably, the majority is now satisfied that its theory of "congruence" between the substantive rights provided by the Fifth and Fourteenth Amendments disposes of the objection based upon divided constitutional powers. But it is one thing to say (as no one seems to dispute) that the Fifth Amendment encompasses a general guarantee of equal protection as broad as that contained within the Fourteenth Amendment. It is another thing entirely to say that Congress' institutional competence and constitutional authority entitles it to no greater deference when it enacts a program designed to foster equality than the deference due a State legislature. 7 The latter is an extraordinary proposition; and, as the foregoing discussion demonstrates, our precedents have rejected it explicitly and repeatedly. 8</w:t>
      </w:r>
    </w:p>
    <w:p w:rsidR="00A31137" w:rsidRPr="00A31137" w:rsidRDefault="00A31137" w:rsidP="00A31137">
      <w:r w:rsidRPr="00A31137">
        <w:t>1995, Adarand Constructors, Inc. v. Pena, No. 93-1841</w:t>
      </w:r>
    </w:p>
    <w:p w:rsidR="00A31137" w:rsidRPr="00A31137" w:rsidRDefault="00A31137" w:rsidP="00A31137">
      <w:r w:rsidRPr="00A31137">
        <w:t>Our opinion in Metro Broadcasting relied on several constitutional provisions to justify the greater deference we owe to Congress when it acts with respect to private individuals. 497 U.S. at 563. In the programs challenged in this case, Congress has acted both with respect to private individuals and, as in Fullilove, with respect to the States themselves. 9 When Congress does this, it draws its power directly from § 5 of the Fourteenth Amendment. 10 That section reads: "The Congress shall have power to enforce, by appropriate legislation, the provisions of this article." One of the "provisions of this article" that Congress is thus empowered to enforce reads:</w:t>
      </w:r>
    </w:p>
    <w:p w:rsidR="00A31137" w:rsidRPr="00A31137" w:rsidRDefault="00A31137" w:rsidP="00A31137">
      <w:r w:rsidRPr="00A31137">
        <w:t>1995, Adarand Constructors, Inc. v. Pena, No. 93-1841</w:t>
      </w:r>
    </w:p>
    <w:p w:rsidR="00A31137" w:rsidRPr="00A31137" w:rsidRDefault="00A31137" w:rsidP="00A31137">
      <w:r w:rsidRPr="00A31137">
        <w:t>No State shall make or enforce any law which shall abridge the privileges or immunities of citizens of the United States; nor shall any State deprive any person of life, liberty, or property, without due process of law; nor deny to any person within its jurisdiction the equal protection of the laws.</w:t>
      </w:r>
    </w:p>
    <w:p w:rsidR="00A31137" w:rsidRPr="00A31137" w:rsidRDefault="00A31137" w:rsidP="00A31137">
      <w:r w:rsidRPr="00A31137">
        <w:t>1995, Adarand Constructors, Inc. v. Pena, No. 93-1841</w:t>
      </w:r>
    </w:p>
    <w:p w:rsidR="00A31137" w:rsidRPr="00A31137" w:rsidRDefault="00A31137" w:rsidP="00A31137">
      <w:r w:rsidRPr="00A31137">
        <w:t>U.S.Const., Amdt. 14, § 1. The Fourteenth Amendment directly empowers Congress at the same time it expressly limits the States. 11 This is no accident. It represents our Nation's consensus, achieved after hard experience throughout our sorry history of race relations, that the Federal Government must be the primary defender of racial minorities against the States, some of which may be inclined to oppress such minorities. A rule of "congruence" that ignores a purposeful "incongruity" so fundamental to our system of government is unacceptable.</w:t>
      </w:r>
    </w:p>
    <w:p w:rsidR="00A31137" w:rsidRPr="00A31137" w:rsidRDefault="00A31137" w:rsidP="00A31137">
      <w:r w:rsidRPr="00A31137">
        <w:t>1995, Adarand Constructors, Inc. v. Pena, No. 93-1841</w:t>
      </w:r>
    </w:p>
    <w:p w:rsidR="00A31137" w:rsidRPr="00A31137" w:rsidRDefault="00A31137" w:rsidP="00A31137">
      <w:r w:rsidRPr="00A31137">
        <w:t>In my judgment, the Court's novel doctrine of "congruence" is seriously misguided. Congressional deliberations about a matter as important as affirmative action should be accorded far greater deference than those of a State or municipality.</w:t>
      </w:r>
    </w:p>
    <w:p w:rsidR="00A31137" w:rsidRPr="00A31137" w:rsidRDefault="00A31137" w:rsidP="00A31137">
      <w:r w:rsidRPr="00A31137">
        <w:t>IV</w:t>
      </w:r>
    </w:p>
    <w:p w:rsidR="00A31137" w:rsidRPr="00A31137" w:rsidRDefault="00A31137" w:rsidP="00A31137">
      <w:r w:rsidRPr="00A31137">
        <w:t>1995, Adarand Constructors, Inc. v. Pena, No. 93-1841</w:t>
      </w:r>
    </w:p>
    <w:p w:rsidR="00A31137" w:rsidRPr="00A31137" w:rsidRDefault="00A31137" w:rsidP="00A31137">
      <w:r w:rsidRPr="00A31137">
        <w:t>The Court's concept of stare decisis treats some of the language we have used in explaining our decisions as though it were more important than our actual holdings. In my opinion, that treatment is incorrect.</w:t>
      </w:r>
    </w:p>
    <w:p w:rsidR="00A31137" w:rsidRPr="00A31137" w:rsidRDefault="00A31137" w:rsidP="00A31137">
      <w:r w:rsidRPr="00A31137">
        <w:t>1995, Adarand Constructors, Inc. v. Pena, No. 93-1841</w:t>
      </w:r>
    </w:p>
    <w:p w:rsidR="00A31137" w:rsidRPr="00A31137" w:rsidRDefault="00A31137" w:rsidP="00A31137">
      <w:r w:rsidRPr="00A31137">
        <w:t>This is the third time in the Court's entire history that it has considered the constitutionality of a federal affirmative action program. On each of the two prior occasions, the first in 1980, Fullilove v. Klutznick, 448 U.S. 448, and the second in 1990, Metro Broadcasting, Inc. v. FCC, 497 U.S. 547, the Court upheld the program. Today the Court explicitly overrules Metro Broadcasting (at least in part), ante at ___, and undermines Fullilove by recasting the standard on which it rested and by calling even its holding into question, ante at ___. By way of explanation, JUSTICE O'CONNOR advises the federal agencies and private parties that have made countless decisions in reliance on those cases that "we do not depart from the fabric of the law; we restore it." Ante at ___. A skeptical observer might ask whether this pronouncement is a faithful application of the doctrine of stare decisis. 12 A brief comment on each of the two ailing cases may provide the answer.</w:t>
      </w:r>
    </w:p>
    <w:p w:rsidR="00A31137" w:rsidRPr="00A31137" w:rsidRDefault="00A31137" w:rsidP="00A31137">
      <w:r w:rsidRPr="00A31137">
        <w:t>1995, Adarand Constructors, Inc. v. Pena, No. 93-1841</w:t>
      </w:r>
    </w:p>
    <w:p w:rsidR="00A31137" w:rsidRPr="00A31137" w:rsidRDefault="00A31137" w:rsidP="00A31137">
      <w:r w:rsidRPr="00A31137">
        <w:t>In the Court's view, our decision in Metro Broadcasting was inconsistent with the rule announced in Richmond v. J. A. Croson Co., 488 U.S. 469 (1989). Ante at ___. But two decisive distinctions separate those two cases. First, Metro Broadcasting involved a federal program, whereas Croson involved a city ordinance. Metro Broadcasting thus drew primary support from Fullilove, which predated Croson and which Croson distinguished on the grounds of the federal-state dichotomy that the majority today discredits. Although members of today's majority trumpeted the importance of that distinction in Croson, they now reject it in the name of "congruence." It is therefore quite wrong for the Court to suggest today that overruling Metro Broadcasting merely restores the status quo ante for the law at the time of that decision was entirely open to the result the Court reached. Today's decision is an unjustified departure from settled law.</w:t>
      </w:r>
    </w:p>
    <w:p w:rsidR="00A31137" w:rsidRPr="00A31137" w:rsidRDefault="00A31137" w:rsidP="00A31137">
      <w:r w:rsidRPr="00A31137">
        <w:t>1995, Adarand Constructors, Inc. v. Pena, No. 93-1841</w:t>
      </w:r>
    </w:p>
    <w:p w:rsidR="00A31137" w:rsidRPr="00A31137" w:rsidRDefault="00A31137" w:rsidP="00A31137">
      <w:r w:rsidRPr="00A31137">
        <w:t>Second, Metro Broadcasting's holding rested on more than its application of "intermediate scrutiny." Indeed, I have always believed that, labels notwithstanding, the FCC program we upheld in that case would have satisfied any of our various standards in affirmative action cases-including the one the majority fashions today. What truly distinguishes Metro Broadcasting from our other affirmative action precedents is the distinctive goal of the federal program in that case. Instead of merely seeking to remedy past discrimination, the FCC program was intended to achieve future benefits in the form of broadcast diversity. Reliance on race as a legitimate means of achieving diversity was first endorsed by Justice Powell in Regents of Univ. of California v. Bakke, 438 U.S. 265, 311-319 (1978). Later, in Wygant v. Jackson Board of Ed., 476 U.S. 267 (1986), I also argued that race is not always irrelevant to governmental decisionmaking, see id. at 314-315 (STEVENS, J., dissenting); in response, JUSTICE O'CONNOR correctly noted that, although the School Board had relied on an interest in providing black teachers to serve as role models for black students, that interest "should not be confused with the very different goal of promoting racial diversity among the faculty." Id. at  288, n. She then added that, because the school board had not relied on an interest in diversity, it was not "necessary to discuss the magnitude of that interest or its applicability in this case." Ibid.</w:t>
      </w:r>
    </w:p>
    <w:p w:rsidR="00A31137" w:rsidRPr="00A31137" w:rsidRDefault="00A31137" w:rsidP="00A31137">
      <w:r w:rsidRPr="00A31137">
        <w:t>1995, Adarand Constructors, Inc. v. Pena, No. 93-1841</w:t>
      </w:r>
    </w:p>
    <w:p w:rsidR="00A31137" w:rsidRPr="00A31137" w:rsidRDefault="00A31137" w:rsidP="00A31137">
      <w:r w:rsidRPr="00A31137">
        <w:t>Thus, prior to Metro Broadcasting, the interest in diversity had been mentioned in a few opinions, but it is perfectly clear that the Court had not yet decided whether that interest had sufficient magnitude to justify a racial classification. Metro Broadcasting, of course, answered that question in the affirmative. The majority today overrules Metro Broadcasting only insofar as it is "inconsistent with [the] holding" that strict scrutiny applies to "benign" racial classifications promulgated by the Federal Government. Ante at ___. The proposition that fostering diversity may provide a sufficient interest to justify such a program is not inconsistent with the Court's holding today—indeed, the question is not remotely presented in this case—and I do not take the Court's opinion to diminish that aspect of our decision in Metro Broadcasting.</w:t>
      </w:r>
    </w:p>
    <w:p w:rsidR="00A31137" w:rsidRPr="00A31137" w:rsidRDefault="00A31137" w:rsidP="00A31137">
      <w:r w:rsidRPr="00A31137">
        <w:t>1995, Adarand Constructors, Inc. v. Pena, No. 93-1841</w:t>
      </w:r>
    </w:p>
    <w:p w:rsidR="00A31137" w:rsidRPr="00A31137" w:rsidRDefault="00A31137" w:rsidP="00A31137">
      <w:r w:rsidRPr="00A31137">
        <w:t>The Court's suggestion that it may be necessary in the future to overrule Fullilove in order to restore the fabric of the law, ante at ___, is even more disingenuous than its treatment of Metro Broadcasting. For the Court endorses the "strict scrutiny" standard that Justice Powell applied in Bakke, see ante at ___, and acknowledges that he applied that standard in Fullilove as well, ante at ___. Moreover, Chief Justice Burger also expressly concluded that the program we considered in Fullilove was valid under any of the tests articulated in Bakke, which of course included Justice Powell's. 448 U.S. at  492. The Court thus adopts a standard applied in Fullilove at the same time it questions that case's continued vitality and accuses it of departing from prior law. I continue to believe that the Fullilove case was incorrectly decided, see id. at 532-554 (STEVENS, J., dissenting), but neither my dissent nor that filed by Justice Stewart, id. at 522-532, contained any suggestion that the issue the Court was resolving had been decided before. 13 As was true of Metro Broadcasting, the Court in Fullilove decided an important, novel, and difficult question. Providing a different answer to a similar question today cannot fairly be characterized as merely "restoring" previously settled law.</w:t>
      </w:r>
    </w:p>
    <w:p w:rsidR="00A31137" w:rsidRPr="00A31137" w:rsidRDefault="00A31137" w:rsidP="00A31137">
      <w:r w:rsidRPr="00A31137">
        <w:t>V</w:t>
      </w:r>
    </w:p>
    <w:p w:rsidR="00A31137" w:rsidRPr="00A31137" w:rsidRDefault="00A31137" w:rsidP="00A31137">
      <w:r w:rsidRPr="00A31137">
        <w:t>1995, Adarand Constructors, Inc. v. Pena, No. 93-1841</w:t>
      </w:r>
    </w:p>
    <w:p w:rsidR="00A31137" w:rsidRPr="00A31137" w:rsidRDefault="00A31137" w:rsidP="00A31137">
      <w:r w:rsidRPr="00A31137">
        <w:t>The Court's holding in Fullilove surely governs the result in this case. The Public Works Employment Act of 1977 (1977 Act), 91 Stat. 116, which this Court upheld in Fullilove, is different in several critical respects from the portions of the Small Business Act (SBA), 72 Stat. 384, as amended, 15 U.S.C. § 631 et seq., and the Surface Transportation and Uniform Relocation Assistance Act of 1987 (STURAA), 101 Stat. 132, challenged in this case. Each of those differences makes the current program designed to provide assistance to disadvantaged business enterprises (DBE's) significantly less objectionable than the 1977 categorical grant of $400 million in exchange for a 10% set-aside in public contracts to "a class of investors defined solely by racial characteristics." Fullilove, 448 U.S. at  532 (STEVENS, J., dissenting). In no meaningful respect is the current scheme more objectionable than the 1977 Act. Thus, if the 1977 Act was constitutional, then so must be the SBA and STURAA. Indeed, even if my dissenting views in Fullilove had prevailed, this program would be valid.</w:t>
      </w:r>
    </w:p>
    <w:p w:rsidR="00A31137" w:rsidRPr="00A31137" w:rsidRDefault="00A31137" w:rsidP="00A31137">
      <w:r w:rsidRPr="00A31137">
        <w:t>1995, Adarand Constructors, Inc. v. Pena, No. 93-1841</w:t>
      </w:r>
    </w:p>
    <w:p w:rsidR="00A31137" w:rsidRPr="00A31137" w:rsidRDefault="00A31137" w:rsidP="00A31137">
      <w:r w:rsidRPr="00A31137">
        <w:t>Unlike the 1977 Act, the present statutory scheme does not make race the sole criterion of eligibility for participation in the program. Race does give rise to a rebuttable presumption of social disadvantage which at least under STURAA, 14 gives rise to a second rebuttable presumption of economic disadvantage. 49 CFR § 23.62 (1994). But a small business may qualify as a DBE, by showing that it is both socially and economically disadvantaged, even if it receives neither of these presumptions. 13 CFR §§ 124.105(c), 124.106 (1995); 48 CFR § 19.703 (1994); 49 CFR pt. 23, subpt. D., Appendixes A and C (1994). Thus, the current preference is more inclusive than the 1977 Act because it does not make race a necessary qualification.</w:t>
      </w:r>
    </w:p>
    <w:p w:rsidR="00A31137" w:rsidRPr="00A31137" w:rsidRDefault="00A31137" w:rsidP="00A31137">
      <w:r w:rsidRPr="00A31137">
        <w:t>1995, Adarand Constructors, Inc. v. Pena, No. 93-1841</w:t>
      </w:r>
    </w:p>
    <w:p w:rsidR="00A31137" w:rsidRPr="00A31137" w:rsidRDefault="00A31137" w:rsidP="00A31137">
      <w:r w:rsidRPr="00A31137">
        <w:t>More importantly, race is not a sufficient qualification. Whereas a millionaire with a long history of financial successes, who was a member of numerous social clubs and trade associations, would have qualified for a preference under the 1977 Act merely because he was an Asian American or an African American, see Fullilove, 448 U.S. at 537-538, 540, 543-544, and n. 16, 546 (STEVENS, J., dissenting), neither the SBA nor STURAA creates any such anomaly. The DBE program excludes members of minority races who are not, in fact, socially or economically disadvantaged. 15 13 CFR § 124.106(a)(ii) (1995); 49 CFR § 23.69 (1994). The presumption of social disadvantage reflects the unfortunate fact that irrational racial prejudice—along with its lingering effects—still survives. 16 The presumption of economic disadvantage embodies a recognition that success in the private sector of the economy is often attributable, in part, to social skills and relationships. Unlike the 1977 set-asides, the current preference is designed to overcome the social and economic disadvantages that are often associated with racial characteristics. If, in a particular case, these disadvantages are not present, the presumptions can be rebutted. 13 CFR §§ 124.601-124.610 (1995); 49 CFR § 23.69 (1994). The program is thus designed to allow race to play a part in the decisional process only when there is a meaningful basis for assuming its relevance. In this connection, I think it is particularly significant that the current program targets the negotiation of subcontracts between private firms. The 1977 Act applied entirely to the award of public contracts, an area of the economy in which social relationships should be irrelevant and in which proper supervision of government contracting officers should preclude any discrimination against particular bidders on account of their race. In this case, in contrast, the program seeks to overcome barriers of prejudice between private parties—specifically, between general contractors and subcontractors. The SBA and STURAA embody Congress' recognition that such barriers may actually handicap minority firms seeking business as subcontractors from established leaders in the industry that have a history of doing business with their golfing partners. Indeed, minority subcontractors may face more obstacles than direct, intentional racial prejudice: they may face particular barriers simply because they are more likely to be new in the business and less likely to know others in the business. Given such difficulties, Congress could reasonably find that a minority subcontractor is less likely to receive favors from the entrenched business persons who award subcontracts only to people with whom—or with whose friends—they have an existing relationship. This program, then, if in part a remedy for past discrimination, is most importantly a forward-looking response to practical problems faced by minority subcontractors.</w:t>
      </w:r>
    </w:p>
    <w:p w:rsidR="00A31137" w:rsidRPr="00A31137" w:rsidRDefault="00A31137" w:rsidP="00A31137">
      <w:r w:rsidRPr="00A31137">
        <w:t>1995, Adarand Constructors, Inc. v. Pena, No. 93-1841</w:t>
      </w:r>
    </w:p>
    <w:p w:rsidR="00A31137" w:rsidRPr="00A31137" w:rsidRDefault="00A31137" w:rsidP="00A31137">
      <w:r w:rsidRPr="00A31137">
        <w:t>The current program contains another forward-looking component that the 1977 set-asides did not share. Section 8(a) of the SBA provides for periodic review of the status of DBE's, 15 U.S.C. § 637(a)(B)-(C) (1988 ed., Supp. V); 13 CFR § 124.602(a) (1995), 17 and DBE status can be challenged by a competitor at any time under any of the routes to certification. 13 CFR § 124.603 (1995); 49 CFR § 23.69 (1994). Such review prevents ineligible firms from taking part in the program solely because of their minority ownership, even when those firms were once disadvantaged but have since become successful. The emphasis on review also indicates the Administration's anticipation that after their presumed disadvantages have been overcome, firms will "graduate" into a status in which they will be able to compete for business, including prime contracts, on an equal basis. 13 CFR § 124.208 (1995). As with other phases of the statutory policy of encouraging the formation and growth of small business enterprises, this program is intended to facilitate entry and increase competition in the free market.</w:t>
      </w:r>
    </w:p>
    <w:p w:rsidR="00A31137" w:rsidRPr="00A31137" w:rsidRDefault="00A31137" w:rsidP="00A31137">
      <w:r w:rsidRPr="00A31137">
        <w:t>1995, Adarand Constructors, Inc. v. Pena, No. 93-1841</w:t>
      </w:r>
    </w:p>
    <w:p w:rsidR="00A31137" w:rsidRPr="00A31137" w:rsidRDefault="00A31137" w:rsidP="00A31137">
      <w:r w:rsidRPr="00A31137">
        <w:t>Significantly, the current program, unlike the 1977 set-aside, does not establish any requirement—numerical or otherwise—that a general contractor must hire DBE subcontractors. The program we upheld in Fullilove required that 10% of the federal grant for every federally funded project be expended on minority business enterprises. In contrast, the current program contains no quota. Although it provides monetary incentives to general contractors to hire DBE subcontractors, it does not require them to hire DBE's, and they do not lose their contracts if they fail to do so. The importance of this incentive to general contractors (who always seek to offer the lowest bid) should not be underestimated; but the preference here is far less rigid, and thus more narrowly tailored, than the 1977 Act. Cf. Bakke, 438 U.S. at 319-320 (opinion of Powell, J.) (distinguishing between numerical set-asides and consideration of race as a factor).</w:t>
      </w:r>
    </w:p>
    <w:p w:rsidR="00A31137" w:rsidRPr="00A31137" w:rsidRDefault="00A31137" w:rsidP="00A31137">
      <w:r w:rsidRPr="00A31137">
        <w:t>1995, Adarand Constructors, Inc. v. Pena, No. 93-1841</w:t>
      </w:r>
    </w:p>
    <w:p w:rsidR="00A31137" w:rsidRPr="00A31137" w:rsidRDefault="00A31137" w:rsidP="00A31137">
      <w:r w:rsidRPr="00A31137">
        <w:t>Finally, the record shows a dramatic contrast between the sparse deliberations that preceded the 1977 Act, see Fullilove, 448 U.S. at 549-550 (STEVENS, J., dissenting), and the extensive hearings conducted in several Congresses before the current program was developed. 18 However we might evaluate the benefits and costs—both fiscal and social—of this or any other affirmative action program, our obligation to give deference to Congress' policy choices is much more demanding in this case than it was in Fullilove. If the 1977 program of race-based set-asides satisfied the strict scrutiny dictated by Justice Powell's vision of the Constitution—a vision the Court expressly endorses today—it must follow as night follows the day that the Court of Appeals' judgment upholding this more carefully crafted program should be affirmed.</w:t>
      </w:r>
    </w:p>
    <w:p w:rsidR="00A31137" w:rsidRPr="00A31137" w:rsidRDefault="00A31137" w:rsidP="00A31137">
      <w:r w:rsidRPr="00A31137">
        <w:t>VI</w:t>
      </w:r>
    </w:p>
    <w:p w:rsidR="00A31137" w:rsidRPr="00A31137" w:rsidRDefault="00A31137" w:rsidP="00A31137">
      <w:r w:rsidRPr="00A31137">
        <w:t>1995, Adarand Constructors, Inc. v. Pena, No. 93-1841</w:t>
      </w:r>
    </w:p>
    <w:p w:rsidR="00A31137" w:rsidRPr="00A31137" w:rsidRDefault="00A31137" w:rsidP="00A31137">
      <w:r w:rsidRPr="00A31137">
        <w:t>My skeptical scrutiny of the Court's opinion leaves me in dissent. The majority's concept of "consistency" ignores a difference, fundamental to the idea of equal protection, between oppression and assistance. The majority's concept of "congruence" ignores a difference, fundamental to our constitutional system, between the Federal Government and the States. And the majority's concept of stare decisis ignores the force of binding precedent. I would affirm the judgment of the Court of Appeals.</w:t>
      </w:r>
    </w:p>
    <w:p w:rsidR="00A31137" w:rsidRPr="00A31137" w:rsidRDefault="00A31137" w:rsidP="00A31137">
      <w:r w:rsidRPr="00A31137">
        <w:t>SOUTER, J., dissenting</w:t>
      </w:r>
    </w:p>
    <w:p w:rsidR="00A31137" w:rsidRPr="00A31137" w:rsidRDefault="00A31137" w:rsidP="00A31137">
      <w:r w:rsidRPr="00A31137">
        <w:t>1995, Adarand Constructors, Inc. v. Pena, No. 93-1841</w:t>
      </w:r>
    </w:p>
    <w:p w:rsidR="00A31137" w:rsidRPr="00A31137" w:rsidRDefault="00A31137" w:rsidP="00A31137">
      <w:r w:rsidRPr="00A31137">
        <w:t>JUSTICE SOUTER, with whom JUSTICE GINSBURG and JUSTICE BREYER join, dissenting.</w:t>
      </w:r>
    </w:p>
    <w:p w:rsidR="00A31137" w:rsidRPr="00A31137" w:rsidRDefault="00A31137" w:rsidP="00A31137">
      <w:r w:rsidRPr="00A31137">
        <w:t>1995, Adarand Constructors, Inc. v. Pena, No. 93-1841</w:t>
      </w:r>
    </w:p>
    <w:p w:rsidR="00A31137" w:rsidRPr="00A31137" w:rsidRDefault="00A31137" w:rsidP="00A31137">
      <w:r w:rsidRPr="00A31137">
        <w:t>As this case worked its way through the federal courts prior to the grant of certiorari that brought it here, petitioner Adarand Constructors, Inc. was understood to have raised only one significant claim: that before a federal agency may exceed the goals adopted by Congress in implementing a race-based remedial program, the Fifth and Fourteenth Amendments require the agency to make specific findings of discrimination, as under Richmond v. J. A. Croson Co., 488 U.S. 469 (1989), sufficient to justify surpassing the congressional objective. See 16 F.3d 1537, 1544 (CA10 1994) ("The gravamen of Adarand's argument is that the CFLHD must make particularized findings of past discrimination to justify its race-conscious SCC program under Croson because the precise goals of the challenged SCC program were fashioned and specified by an agency, and not by Congress"); Adarand Constructors, Inc. v. Skinner, 790 F.Supp. 240, 242 (Colo. 1992) ("Plaintiff's motion for summary judgment seeks a declaratory judgment and permanent injunction against the DOT, the FHA and the CFLHD until specific findings of discrimination are made by the defendants as allegedly required by City of Richmond v. Croson"); cf. Complaint ¶ 28, App. 20 (federal regulations violate the Fourteenth and Fifteenth Amendments by requiring "the use of racial and gender preferences in the award of federally financed highway construction contracts, without any findings of past discrimination in the award of such contracts").</w:t>
      </w:r>
    </w:p>
    <w:p w:rsidR="00A31137" w:rsidRPr="00A31137" w:rsidRDefault="00A31137" w:rsidP="00A31137">
      <w:r w:rsidRPr="00A31137">
        <w:t>1995, Adarand Constructors, Inc. v. Pena, No. 93-1841</w:t>
      </w:r>
    </w:p>
    <w:p w:rsidR="00A31137" w:rsidRPr="00A31137" w:rsidRDefault="00A31137" w:rsidP="00A31137">
      <w:r w:rsidRPr="00A31137">
        <w:t>Although the petition for certiorari added an antecedent question challenging the use, under the Fifth and Fourteenth Amendments, of any standard below strict scrutiny to judge the constitutionality of the statutes under which the respondents acted, I would not have entertained that question in this case. The statutory scheme must be treated as constitutional if Fullilove v. Klutznick, 448 U.S. 448 (1980), is applied, and petitioners did not identify any of the factual premises on which Fullilove rested as having disappeared since that case was decided.</w:t>
      </w:r>
    </w:p>
    <w:p w:rsidR="00A31137" w:rsidRPr="00A31137" w:rsidRDefault="00A31137" w:rsidP="00A31137">
      <w:r w:rsidRPr="00A31137">
        <w:t>1995, Adarand Constructors, Inc. v. Pena, No. 93-1841</w:t>
      </w:r>
    </w:p>
    <w:p w:rsidR="00A31137" w:rsidRPr="00A31137" w:rsidRDefault="00A31137" w:rsidP="00A31137">
      <w:r w:rsidRPr="00A31137">
        <w:t>As the Court's opinion explains in detail, the scheme in question provides financial incentives to general contractors to hire subcontractors who have been certified as disadvantaged business enterprises on the basis of certain race-based presumptions. See generally ante at ___. These statutes (or the originals, of which the current ones are reenactments) have previously been justified as providing remedies for the continuing effects of past discrimination, see, e.g., Fullilove, supra at 465-466 (citing legislative history describing SBA § 8(a) as remedial); S.Rep. No. 100-4, p. 11 (1987) (Committee Report stating that DBE provision of STURAA was "necessary to remedy the discrimination faced by socially and economically disadvantaged persons"), and the Government has so defended them in this case, Brief for Respondents 33. Since petitioner has not claimed the obsolescence of any particular fact on which the Fullilove Court upheld the statute, no issue has come up to us that might be resolved in a way that would render Fullilove inapposite. See, e.g., 16 F.3d at 1544 ("Adarand has stipulated that section 502 of the Small Business Act…satisfies the evidentiary requirements of Fullilove"); Memorandum of Points and Authorities in Support of Plaintiff's Motion for Summary Judgment in No. 90-C-1413 (D. Colo.), p. 12 (Fullilove is not applicable to the case at bar because, "[f]irst and foremost, Fullilove stands for only one proposition relevant here: the ability of the U.S. Congress, under certain limited circumstances, to adopt a race-base[d] remedy").</w:t>
      </w:r>
    </w:p>
    <w:p w:rsidR="00A31137" w:rsidRPr="00A31137" w:rsidRDefault="00A31137" w:rsidP="00A31137">
      <w:r w:rsidRPr="00A31137">
        <w:t>1995, Adarand Constructors, Inc. v. Pena, No. 93-1841</w:t>
      </w:r>
    </w:p>
    <w:p w:rsidR="00A31137" w:rsidRPr="00A31137" w:rsidRDefault="00A31137" w:rsidP="00A31137">
      <w:r w:rsidRPr="00A31137">
        <w:t>In these circumstances, I agree with JUSTICE STEVENS' conclusion that stare decisis compels the application of Fullilove. Although Fullilove did not reflect doctrinal consistency, its several opinions produced a result on shared grounds that petitioner does not attack: that discrimination in the construction industry had been subject to government acquiescence, with effects that remain and that may be addressed by some preferential treatment falling within the congressional power under § 5 of the Fourteenth Amendment. 1 Fullilove, 448 U.S. at 477-478 (opinion of Burger, C.J.); id. at  503 (Powell, J., concurring); id. at 520-521 (Marshall, J., concurring in judgment). Once Fullilove is applied, as JUSTICE STEVENS points out, it follows that the statutes in question here (which are substantially better tailored to the harm being remedied than the statute endorsed in Fullilove, see ante at ___ (STEVENS, J., dissenting)) pass muster under Fifth Amendment due process and Fourteenth Amendment equal protection.</w:t>
      </w:r>
    </w:p>
    <w:p w:rsidR="00A31137" w:rsidRPr="00A31137" w:rsidRDefault="00A31137" w:rsidP="00A31137">
      <w:r w:rsidRPr="00A31137">
        <w:t>1995, Adarand Constructors, Inc. v. Pena, No. 93-1841</w:t>
      </w:r>
    </w:p>
    <w:p w:rsidR="00A31137" w:rsidRPr="00A31137" w:rsidRDefault="00A31137" w:rsidP="00A31137">
      <w:r w:rsidRPr="00A31137">
        <w:t>The Court today, however, does not reach the application of Fullilove to the facts of this case, and, on remand, it will be incumbent on the Government and petitioner to address anew the facts upon which statutes like these must be judged on the Government's remedial theory of justification: facts about the current effects of past discrimination, the necessity for a preferential remedy, and the suitability of this particular preferential scheme. Petitioner could, of course, have raised all of these issues under the standard employed by the Fullilove plurality, and, without now trying to read the current congressional evidentiary record that may bear on resolving these issues, I have to recognize the possibility that proof of changed facts might have rendered Fullilove's conclusion obsolete as judged under the Fullilove plurality's own standard. Be that as it may, it seems fair to ask whether the statutes will meet a different fate from what Fullilove would have decreed. The answer is, quite probably not, though of course there will be some interpretive forks in the road before the significance of strict scrutiny for congressional remedial statutes becomes entirely clear.</w:t>
      </w:r>
    </w:p>
    <w:p w:rsidR="00A31137" w:rsidRPr="00A31137" w:rsidRDefault="00A31137" w:rsidP="00A31137">
      <w:r w:rsidRPr="00A31137">
        <w:t>1995, Adarand Constructors, Inc. v. Pena, No. 93-1841</w:t>
      </w:r>
    </w:p>
    <w:p w:rsidR="00A31137" w:rsidRPr="00A31137" w:rsidRDefault="00A31137" w:rsidP="00A31137">
      <w:r w:rsidRPr="00A31137">
        <w:t>The result in Fullilove was controlled by the plurality for whom Chief Justice Burger spoke in announcing the judgment. Although his opinion did not adopt any label for the standard it applied, and although it was later seen as calling for less than strict scrutiny, Metro Broadcasting, Inc. v. FCC, 497 U.S. 547, 564 (1990), none other than Justice Powell joined the plurality opinion as comporting with his own view that a strict scrutiny standard should be applied to all injurious race-based classifications. Fullilove, supra at 495-496 (Powell, J., concurring) ("Although I would place greater emphasis than the Chief Justice on the need to articulate judicial standards of review in conventional terms, I view his opinion announcing the judgment as substantially in accord with my views"). Chief Justice Burger's noncategorical approach is probably best seen not as more lenient than strict scrutiny but as reflecting his conviction that the treble-tiered scrutiny structure merely embroidered on a single standard of reasonableness whenever an equal protection challenge required a balancing of justification against probable harm. See Cleburne v. Cleburne Living Center, Inc., 473 U.S. 432,  451 (1985) (STEVENS, J., concurring, joined by Burger, C.J.). Indeed, the Court's very recognition today that strict scrutiny can be compatible with the survival of a classification so reviewed demonstrates that our concepts of equal protection enjoy a greater elasticity than the standard categories might suggest. See ante at ___ ("we wish to dispel the notion that strict scrutiny is 'strict in theory, but fatal in fact.' Fullilove, supra at  519 (Marshall, J., concurring in judgment)"); see also Missouri v. Jenkins, post at ___ (O'CONNOR, J., concurring) ("But it is not true that strict scrutiny is 'strict in theory, but fatal in fact'").</w:t>
      </w:r>
    </w:p>
    <w:p w:rsidR="00A31137" w:rsidRPr="00A31137" w:rsidRDefault="00A31137" w:rsidP="00A31137">
      <w:r w:rsidRPr="00A31137">
        <w:t>1995, Adarand Constructors, Inc. v. Pena, No. 93-1841</w:t>
      </w:r>
    </w:p>
    <w:p w:rsidR="00A31137" w:rsidRPr="00A31137" w:rsidRDefault="00A31137" w:rsidP="00A31137">
      <w:r w:rsidRPr="00A31137">
        <w:t>In assessing the degree to which today's holding portends a departure from past practice, it is also worth noting that nothing in today's opinion implies any view of Congress's § 5 power and the deference due its exercise that differs from the views expressed by the Fullilove plurality. The Court simply notes the observation in Croson</w:t>
      </w:r>
    </w:p>
    <w:p w:rsidR="00A31137" w:rsidRPr="00A31137" w:rsidRDefault="00A31137" w:rsidP="00A31137">
      <w:r w:rsidRPr="00A31137">
        <w:t>1995, Adarand Constructors, Inc. v. Pena, No. 93-1841</w:t>
      </w:r>
    </w:p>
    <w:p w:rsidR="00A31137" w:rsidRPr="00A31137" w:rsidRDefault="00A31137" w:rsidP="00A31137">
      <w:r w:rsidRPr="00A31137">
        <w:t>that the Court's "treatment of an exercise of congressional power in Fullilove cannot be dispositive here," because Croson's facts did not implicate Congress' broad power under § 5 of the Fourteenth Amendment,</w:t>
      </w:r>
    </w:p>
    <w:p w:rsidR="00A31137" w:rsidRPr="00A31137" w:rsidRDefault="00A31137" w:rsidP="00A31137">
      <w:r w:rsidRPr="00A31137">
        <w:t>1995, Adarand Constructors, Inc. v. Pena, No. 93-1841</w:t>
      </w:r>
    </w:p>
    <w:p w:rsidR="00A31137" w:rsidRPr="00A31137" w:rsidRDefault="00A31137" w:rsidP="00A31137">
      <w:r w:rsidRPr="00A31137">
        <w:t>ante at ___, and explains that there is disagreement among today's majority about the extent of the § 5 power, ante at ___. There is therefore no reason to treat the opinion as affecting one way or another the views of § 5 power, described as "broad," ante at ___, "unique," Fullilove, supra at  500 (Powell, J., concurring), and "unlike [that of] any state or political subdivision," Croson, 488 U.S. at  490 (opinion of O'CONNOR, J.). See also Jenkins, post at __ (O'CONNOR, J., concurring) ("Congress…enjoys '"discretion in determining whether and what legislation is needed to secure the guarantees of the Fourteenth Amendment,"' Croson, 488 U.S. at  490 (quoting Katzenbach v. Morgan, 384 U.S. at  651)"). Thus, today's decision should leave § 5 exactly where it is as the source of an interest of the national government sufficiently important to satisfy the corresponding requirement of the strict scrutiny test.</w:t>
      </w:r>
    </w:p>
    <w:p w:rsidR="00A31137" w:rsidRPr="00A31137" w:rsidRDefault="00A31137" w:rsidP="00A31137">
      <w:r w:rsidRPr="00A31137">
        <w:t>1995, Adarand Constructors, Inc. v. Pena, No. 93-1841</w:t>
      </w:r>
    </w:p>
    <w:p w:rsidR="00A31137" w:rsidRPr="00A31137" w:rsidRDefault="00A31137" w:rsidP="00A31137">
      <w:r w:rsidRPr="00A31137">
        <w:t>Finally, I should say that I do not understand that today's decision will necessarily have any effect on the resolution of an issue that was just as pertinent under Fullilove's unlabeled standard as it is under the standard of strict scrutiny now adopted by the Court. The Court has long accepted the view that constitutional authority to remedy past discrimination is not limited to the power to forbid its continuation, but extends to eliminating those effects that would otherwise persist and skew the operation of public systems even in the absence of current intent to practice any discrimination. See Albemarle Paper Co. v. Moody, 422 U.S. 405, 418 (1975) ("Where racial discrimination is concerned, 'the [district] court has not merely the power but the duty to render a decree which will so far as possible eliminate the discriminatory effects of the past as well as bar like discrimination in the future,'") quoting Louisiana v. United States, 380 U.S. 145,  154 (1965). This is so whether the remedial authority is exercised by a court, see ibid.; Green v. School Board of New Kent County, 391 U.S. 430,  437 (1968), the Congress, see Fullilove, 448 U.S. at  502 (Powell, J., concurring), or some other legislature, see Croson, supra at 491-492 (opinion of O'CONNOR, J.). Indeed, a majority of the Court today reiterates that there are circumstances in which Government may, consistently with the Constitution, adopt programs aimed at remedying the effects of past invidious discrimination. See, e.g., ante at __, __ (opinion of O'CONNOR, J.); id. at __ (STEVENS, J., with whom GINSBURG, J., joins, dissenting); id. at __, __ (GINSBURG, J., with whom BREYER, J. joins, dissenting); Jenkins, post at __ (O'CONNOR, J., concurring) (noting the critical difference "between unconstitutional discrimination and narrowly tailored remedial programs that legislatures may enact to further the compelling governmental interest in redressing the effects of past discrimination").</w:t>
      </w:r>
    </w:p>
    <w:p w:rsidR="00A31137" w:rsidRPr="00A31137" w:rsidRDefault="00A31137" w:rsidP="00A31137">
      <w:r w:rsidRPr="00A31137">
        <w:t>1995, Adarand Constructors, Inc. v. Pena, No. 93-1841</w:t>
      </w:r>
    </w:p>
    <w:p w:rsidR="00A31137" w:rsidRPr="00A31137" w:rsidRDefault="00A31137" w:rsidP="00A31137">
      <w:r w:rsidRPr="00A31137">
        <w:t>When the extirpation of lingering discriminatory effects is thought to require a catch-up mechanism, like the racially preferential inducement under the statutes considered here, the result may be that some members of the historically favored race are hurt by that remedial mechanism, however innocent they may be of any personal responsibility for any discriminatory conduct. When this price is considered reasonable, it is in part because it is a price to be paid only temporarily; if the justification for the preference is eliminating the effects of a past practice, the assumption is that the effects will themselves recede into the past, becoming attenuated and finally disappearing. Thus, Justice Powell wrote in his concurring opinion in Fullilove that the "temporary nature of this remedy ensures that a race-conscious program will not last longer than the discriminatory effects it is designed to eliminate." 448 U.S. at  513; ante at ___ (opinion of the Court).</w:t>
      </w:r>
    </w:p>
    <w:p w:rsidR="00A31137" w:rsidRPr="00A31137" w:rsidRDefault="00A31137" w:rsidP="00A31137">
      <w:r w:rsidRPr="00A31137">
        <w:t>1995, Adarand Constructors, Inc. v. Pena, No. 93-1841</w:t>
      </w:r>
    </w:p>
    <w:p w:rsidR="00A31137" w:rsidRPr="00A31137" w:rsidRDefault="00A31137" w:rsidP="00A31137">
      <w:r w:rsidRPr="00A31137">
        <w:t>Surely the transition from the Fullilove plurality view (in which Justice Powell joined) to today's strict scrutiny (which will presumably be applied as Justice Powell employed it) does not signal a change in the standard by which the burden of a remedial racial preference is to be judged as reasonable or not at any given time. If in the District Court Adarand had chosen to press a challenge to the reasonableness of the burden of these statutes, 2 more than a decade after Fullilove had examined such a burden, I doubt that the claim would have fared any differently from the way it will now be treated on remand from this Court.</w:t>
      </w:r>
    </w:p>
    <w:p w:rsidR="00A31137" w:rsidRPr="00A31137" w:rsidRDefault="00A31137" w:rsidP="00A31137">
      <w:r w:rsidRPr="00A31137">
        <w:t>GINSBURG, J., dissenting</w:t>
      </w:r>
    </w:p>
    <w:p w:rsidR="00A31137" w:rsidRPr="00A31137" w:rsidRDefault="00A31137" w:rsidP="00A31137">
      <w:r w:rsidRPr="00A31137">
        <w:t>1995, Adarand Constructors, Inc. v. Pena, No. 93-1841</w:t>
      </w:r>
    </w:p>
    <w:p w:rsidR="00A31137" w:rsidRPr="00A31137" w:rsidRDefault="00A31137" w:rsidP="00A31137">
      <w:r w:rsidRPr="00A31137">
        <w:t>JUSTICE GINSBURG, with whom JUSTICE BREYER joins, dissenting.</w:t>
      </w:r>
    </w:p>
    <w:p w:rsidR="00A31137" w:rsidRPr="00A31137" w:rsidRDefault="00A31137" w:rsidP="00A31137">
      <w:r w:rsidRPr="00A31137">
        <w:t>1995, Adarand Constructors, Inc. v. Pena, No. 93-1841</w:t>
      </w:r>
    </w:p>
    <w:p w:rsidR="00A31137" w:rsidRPr="00A31137" w:rsidRDefault="00A31137" w:rsidP="00A31137">
      <w:r w:rsidRPr="00A31137">
        <w:t>For the reasons stated by JUSTICE SOUTER, and in view of the attention the political branches are currently giving the matter of affirmative action, I see no compelling cause for the intervention the Court has made in this case. I further agree with JUSTICE STEVENS that, in this area, large deference is owed by the Judiciary to "Congress' institutional competence and constitutional authority to overcome historic racial subjugation." Ante at ___ (STEVENS, J., dissenting); see id. at ___. 1 I write separately to underscore not the differences the several opinions in this case display, but the considerable field of agreement-the common understandings and concerns—revealed in opinions that together speak for a majority of the Court.</w:t>
      </w:r>
    </w:p>
    <w:p w:rsidR="00A31137" w:rsidRPr="00A31137" w:rsidRDefault="00A31137" w:rsidP="00A31137">
      <w:r w:rsidRPr="00A31137">
        <w:t>I</w:t>
      </w:r>
    </w:p>
    <w:p w:rsidR="00A31137" w:rsidRPr="00A31137" w:rsidRDefault="00A31137" w:rsidP="00A31137">
      <w:r w:rsidRPr="00A31137">
        <w:t>1995, Adarand Constructors, Inc. v. Pena, No. 93-1841</w:t>
      </w:r>
    </w:p>
    <w:p w:rsidR="00A31137" w:rsidRPr="00A31137" w:rsidRDefault="00A31137" w:rsidP="00A31137">
      <w:r w:rsidRPr="00A31137">
        <w:t>The statutes and regulations at issue, as the Court indicates, were adopted by the political branches in response to an "unfortunate reality": "[t]he unhappy persistence of both the practice and the lingering effects of racial discrimination against minority groups in this country." Ante at ___ (lead opinion). The United States suffers from those lingering effects because, for most of our Nation's history, the idea that "we are just one race," ante at ___ (SCALIA, J., concurring in part and concurring in judgment), was not embraced. For generations, our lawmakers and judges were unprepared to say that there is in this land no superior race, no race inferior to any other. In Plessy v. Ferguson, 163 U.S. 537 (1896), not only did this Court endorse the oppressive practice of race segregation, but even Justice Harlan, the advocate of a "color-blind" Constitution, stated:</w:t>
      </w:r>
    </w:p>
    <w:p w:rsidR="00A31137" w:rsidRPr="00A31137" w:rsidRDefault="00A31137" w:rsidP="00A31137">
      <w:r w:rsidRPr="00A31137">
        <w:t>1995, Adarand Constructors, Inc. v. Pena, No. 93-1841</w:t>
      </w:r>
    </w:p>
    <w:p w:rsidR="00A31137" w:rsidRPr="00A31137" w:rsidRDefault="00A31137" w:rsidP="00A31137">
      <w:r w:rsidRPr="00A31137">
        <w:t>The white race deems itself to be the dominant race in this country. And so it is, in prestige, in achievements, in education, in wealth and in power. So, I doubt not, it will continue to be for all time, if it remains true to its great heritage and holds fast to the principles of constitutional liberty.</w:t>
      </w:r>
    </w:p>
    <w:p w:rsidR="00A31137" w:rsidRPr="00A31137" w:rsidRDefault="00A31137" w:rsidP="00A31137">
      <w:r w:rsidRPr="00A31137">
        <w:t>1995, Adarand Constructors, Inc. v. Pena, No. 93-1841</w:t>
      </w:r>
    </w:p>
    <w:p w:rsidR="00A31137" w:rsidRPr="00A31137" w:rsidRDefault="00A31137" w:rsidP="00A31137">
      <w:r w:rsidRPr="00A31137">
        <w:t>Id. at  559 (Harlan, J., dissenting). Not until Loving v. Virginia, 388 U.S. 1 (1967), which held unconstitutional Virginia's ban on interracial marriages, could one say with security that the Constitution and this Court would abide no measure "designed to maintain White Supremacy." Id. at  11. 2</w:t>
      </w:r>
    </w:p>
    <w:p w:rsidR="00A31137" w:rsidRPr="00A31137" w:rsidRDefault="00A31137" w:rsidP="00A31137">
      <w:r w:rsidRPr="00A31137">
        <w:t>1995, Adarand Constructors, Inc. v. Pena, No. 93-1841</w:t>
      </w:r>
    </w:p>
    <w:p w:rsidR="00A31137" w:rsidRPr="00A31137" w:rsidRDefault="00A31137" w:rsidP="00A31137">
      <w:r w:rsidRPr="00A31137">
        <w:t>The divisions in this difficult case should not obscure the Court's recognition of the persistence of racial inequality and a majority's acknowledgement of Congress' authority to act affirmatively, not only to end discrimination, but also to counteract discrimination's lingering effects. Ante at ___ (lead opinion); see also ante at ___ (SOUTER, J., dissenting). Those effects, reflective of a system of racial caste only recently ended, are evident in our workplaces, markets, and neighborhoods. Job applicants with identical resumes, qualifications, and interview styles still experience different receptions, depending on their race. 3 White and African-American consumers still encounter different deals. 4 People of color looking for housing still face discriminatory treatment by landlords, real estate agents, and mortgage lenders. 5 Minority entrepreneurs sometimes fail to gain contracts though they are the low bidders, and they are sometimes refused work even after winning contracts. 6 Bias both conscious and unconscious, reflecting traditional and unexamined habits of thought, 7 keeps up barriers that must come down if equal opportunity and nondiscrimination are ever genuinely to become this country's law and practice.</w:t>
      </w:r>
    </w:p>
    <w:p w:rsidR="00A31137" w:rsidRPr="00A31137" w:rsidRDefault="00A31137" w:rsidP="00A31137">
      <w:r w:rsidRPr="00A31137">
        <w:t>1995, Adarand Constructors, Inc. v. Pena, No. 93-1841</w:t>
      </w:r>
    </w:p>
    <w:p w:rsidR="00A31137" w:rsidRPr="00A31137" w:rsidRDefault="00A31137" w:rsidP="00A31137">
      <w:r w:rsidRPr="00A31137">
        <w:t>Given this history and its practical consequences, Congress surely can conclude that a carefully designed affirmative action program may help to realize, finally, the "equal protection of the laws" the Fourteenth Amendment has promised since 1868. 8</w:t>
      </w:r>
    </w:p>
    <w:p w:rsidR="00A31137" w:rsidRPr="00A31137" w:rsidRDefault="00A31137" w:rsidP="00A31137">
      <w:r w:rsidRPr="00A31137">
        <w:t>II</w:t>
      </w:r>
    </w:p>
    <w:p w:rsidR="00A31137" w:rsidRPr="00A31137" w:rsidRDefault="00A31137" w:rsidP="00A31137">
      <w:r w:rsidRPr="00A31137">
        <w:t>1995, Adarand Constructors, Inc. v. Pena, No. 93-1841</w:t>
      </w:r>
    </w:p>
    <w:p w:rsidR="00A31137" w:rsidRPr="00A31137" w:rsidRDefault="00A31137" w:rsidP="00A31137">
      <w:r w:rsidRPr="00A31137">
        <w:t>The lead opinion uses one term, "strict scrutiny," to describe the standard of judicial review for all governmental classifications by race. Ante at ___. But that opinion's elaboration strongly suggests that the strict standard announced is indeed "fatal" for classifications burdening groups that have suffered discrimination in our society. That seems to me, and, I believe, to the Court, the enduring lesson one should draw from Korematsu v. United States, 323 U.S. 214 (1944); for in that case, scrutiny the Court described as "most rigid," id. at  216, nonetheless yielded a pass for an odious, gravely injurious racial classification. See ante at ___ (lead opinion). A Korematsu-type classification, as I read the opinions in this case, will never again survive scrutiny: such a classification, history and precedent instruct, properly ranks as prohibited.</w:t>
      </w:r>
    </w:p>
    <w:p w:rsidR="00A31137" w:rsidRPr="00A31137" w:rsidRDefault="00A31137" w:rsidP="00A31137">
      <w:r w:rsidRPr="00A31137">
        <w:t>1995, Adarand Constructors, Inc. v. Pena, No. 93-1841</w:t>
      </w:r>
    </w:p>
    <w:p w:rsidR="00A31137" w:rsidRPr="00A31137" w:rsidRDefault="00A31137" w:rsidP="00A31137">
      <w:r w:rsidRPr="00A31137">
        <w:t>For a classification made to hasten the day when "we are just one race," ante at ___ (SCALIA, J., concurring in part and concurring in judgment), however, the lead opinion has dispelled the notion that "strict scrutiny" is "'fatal in fact.'" Ante at ___ (quoting Fullilove v. Klutznick, 448 U.S. 448,  519 (1980) (Marshall, J., concurring in judgment)). Properly, a majority of the Court calls for review that is searching, in order to ferret out classifications in reality malign, but masquerading as benign. See ante at ___ (lead opinion). The Court's once lax review of sex-based classifications demonstrates the need for such suspicion. See, e.g., Hoyt v. Florida, 368 U.S. 57, 60 (1961) (upholding women's "privilege" of automatic exemption from jury service); Goesaert v. Cleary, 335 U.S. 464 (1948) (upholding Michigan law barring women from employment as bartenders); see also Johnston &amp; Knapp, Sex Discrimination by Law: A Study in Judicial Perspective, 46 N.Y.U.L.Rev. 675 (1971). Today's decision thus usefully reiterates that the purpose of strict scrutiny "is precisely to distinguish legitimate from illegitimate uses of race in governmental decisionmaking," ante at ___ (lead opinion), "to 'differentiate between' permissible and impermissible governmental use of race," id. at ___, to distinguish "'between a "No Trespassing" sign and a welcome mat.'" Id. at ___.</w:t>
      </w:r>
    </w:p>
    <w:p w:rsidR="00A31137" w:rsidRPr="00A31137" w:rsidRDefault="00A31137" w:rsidP="00A31137">
      <w:r w:rsidRPr="00A31137">
        <w:t>1995, Adarand Constructors, Inc. v. Pena, No. 93-1841</w:t>
      </w:r>
    </w:p>
    <w:p w:rsidR="00A31137" w:rsidRPr="00A31137" w:rsidRDefault="00A31137" w:rsidP="00A31137">
      <w:r w:rsidRPr="00A31137">
        <w:t>Close review also is in order for this further reason. As JUSTICE SOUTER points out, ante at ___ (dissenting opinion), and as this very case shows, some members of the historically favored race can be hurt by catch-up mechanisms designed to cope with the lingering effects of entrenched racial subjugation. Court review can ensure that preferences are not so large as to trammel unduly upon the opportunities of others or interfere too harshly with legitimate expectations of persons in once-preferred groups. See, e.g., Bridgeport Guardians, Inc. v. Bridgeport Civil Service Comm'n, 482 F.2d 1333, 1341 (CA2 1973).</w:t>
      </w:r>
    </w:p>
    <w:p w:rsidR="00A31137" w:rsidRPr="00A31137" w:rsidRDefault="00A31137" w:rsidP="00A31137">
      <w:r w:rsidRPr="00A31137">
        <w:t>'*    *    *    *</w:t>
      </w:r>
    </w:p>
    <w:p w:rsidR="00A31137" w:rsidRPr="00A31137" w:rsidRDefault="00A31137" w:rsidP="00A31137">
      <w:r w:rsidRPr="00A31137">
        <w:t>1995, Adarand Constructors, Inc. v. Pena, No. 93-1841</w:t>
      </w:r>
    </w:p>
    <w:p w:rsidR="00A31137" w:rsidRPr="00A31137" w:rsidRDefault="00A31137" w:rsidP="00A31137">
      <w:r w:rsidRPr="00A31137">
        <w:t>While I would not disturb the programs challenged in this case, and would leave their improvement to the political branches, I see today's decision as one that allows our precedent to evolve, still to be informed by and responsive to changing conditions.</w:t>
      </w:r>
    </w:p>
    <w:p w:rsidR="00A31137" w:rsidRPr="00A31137" w:rsidRDefault="00A31137" w:rsidP="00A31137">
      <w:r w:rsidRPr="00A31137">
        <w:t>Footnotes</w:t>
      </w:r>
    </w:p>
    <w:p w:rsidR="00A31137" w:rsidRPr="00A31137" w:rsidRDefault="00A31137" w:rsidP="00A31137">
      <w:r w:rsidRPr="00A31137">
        <w:t>O'CONNOR, J., lead opinion (Footnotes)</w:t>
      </w:r>
    </w:p>
    <w:p w:rsidR="00A31137" w:rsidRPr="00A31137" w:rsidRDefault="00A31137" w:rsidP="00A31137">
      <w:r w:rsidRPr="00A31137">
        <w:t>1995, Adarand Constructors, Inc. v. Pena, No. 93-1841</w:t>
      </w:r>
    </w:p>
    <w:p w:rsidR="00A31137" w:rsidRPr="00A31137" w:rsidRDefault="00A31137" w:rsidP="00A31137">
      <w:r w:rsidRPr="00A31137">
        <w:t>* Justices Roberts, Murphy, and Jackson filed vigorous dissents; Justice Murphy argued that the challenged order "falls into the ugly abyss of racism." Korematsu, 323 U.S. at  233. Congress has recently agreed with the dissenters' position, and has attempted to make amends. See Pub.L. 100-383, § 2(a), 102 Stat. 903 ("The Congress recognizes that…a grave injustice was done to both citizens and permanent resident aliens of Japanese ancestry by the evacuation, relocation, and internment of civilians during World War II").</w:t>
      </w:r>
    </w:p>
    <w:p w:rsidR="00A31137" w:rsidRPr="00A31137" w:rsidRDefault="00A31137" w:rsidP="00A31137">
      <w:r w:rsidRPr="00A31137">
        <w:t>THOMAS, J., concurring (Footnotes)</w:t>
      </w:r>
    </w:p>
    <w:p w:rsidR="00A31137" w:rsidRPr="00A31137" w:rsidRDefault="00A31137" w:rsidP="00A31137">
      <w:r w:rsidRPr="00A31137">
        <w:t>1995, Adarand Constructors, Inc. v. Pena, No. 93-1841</w:t>
      </w:r>
    </w:p>
    <w:p w:rsidR="00A31137" w:rsidRPr="00A31137" w:rsidRDefault="00A31137" w:rsidP="00A31137">
      <w:r w:rsidRPr="00A31137">
        <w:t>* It should be obvious that every racial classification helps, in a narrow sense, some races and hurts others. As to the races benefit-ted, the classification could surely be called "benign." Accordingly, whether a law relying upon racial taxonomy is "benign" or "malign," ante at ___ (GINSBURG, J., dissenting); see also ante at ___ (STEVENS, J., dissenting) (addressing differences between "invidious" and "benign" discrimination), either turns on "'whose ox is gored,'" Regents of the Univ. of California v. Bakke, 438 U.S. 265, 295 n. 35 (1978) (Powell, J.) (quoting, A. Bickel, The Morality of Consent 133 (1975)), or on distinctions found only in the eye of the beholder.</w:t>
      </w:r>
    </w:p>
    <w:p w:rsidR="00A31137" w:rsidRPr="00A31137" w:rsidRDefault="00A31137" w:rsidP="00A31137">
      <w:r w:rsidRPr="00A31137">
        <w:t>STEVENS, J., dissenting (Footnotes)</w:t>
      </w:r>
    </w:p>
    <w:p w:rsidR="00A31137" w:rsidRPr="00A31137" w:rsidRDefault="00A31137" w:rsidP="00A31137">
      <w:r w:rsidRPr="00A31137">
        <w:t>1995, Adarand Constructors, Inc. v. Pena, No. 93-1841</w:t>
      </w:r>
    </w:p>
    <w:p w:rsidR="00A31137" w:rsidRPr="00A31137" w:rsidRDefault="00A31137" w:rsidP="00A31137">
      <w:r w:rsidRPr="00A31137">
        <w:t>1. As JUSTICE GINSBURG observes, post at ___, the majority's "flexible" approach to "strict scrutiny" may well take into account differences between benign and invidious programs. The majority specifically notes that strict scrutiny can accommodate "'relevant differences,'" ante at ___; surely the intent of a government actor and the effects of a program are relevant to its constitutionality. See Missouri v. Jenkins, ___ U.S. ___, ___ (1995) (O'CONNOR, J., concurring) ("[T]ime and again, we have recognized the ample authority legislatures possess to combat racial injustice….   It is only by applying strict scrutiny that we can distinguish between unconstitutional discrimination and narrowly tailored remedial programs that legislatures may enact to further the compelling governmental interest in redressing the effects of past discrimination").</w:t>
      </w:r>
    </w:p>
    <w:p w:rsidR="00A31137" w:rsidRPr="00A31137" w:rsidRDefault="00A31137" w:rsidP="00A31137">
      <w:r w:rsidRPr="00A31137">
        <w:t>1995, Adarand Constructors, Inc. v. Pena, No. 93-1841</w:t>
      </w:r>
    </w:p>
    <w:p w:rsidR="00A31137" w:rsidRPr="00A31137" w:rsidRDefault="00A31137" w:rsidP="00A31137">
      <w:r w:rsidRPr="00A31137">
        <w:t>Even if this is so, however, I think it is unfortunate that the majority insists on applying the label "strict scrutiny" to benign race-based programs. That label has usually been understood to spell the death of any governmental action to which a court may apply it. The Court suggests today that "strict scrutiny" means something different—something less strict—when applied to benign racial classifications. Although I agree that benign programs deserve different treatment than invidious programs, there is a danger that the fatal language of "strict scrutiny" will skew the analysis and place well-crafted benign programs at unnecessary risk.</w:t>
      </w:r>
    </w:p>
    <w:p w:rsidR="00A31137" w:rsidRPr="00A31137" w:rsidRDefault="00A31137" w:rsidP="00A31137">
      <w:r w:rsidRPr="00A31137">
        <w:t>1995, Adarand Constructors, Inc. v. Pena, No. 93-1841</w:t>
      </w:r>
    </w:p>
    <w:p w:rsidR="00A31137" w:rsidRPr="00A31137" w:rsidRDefault="00A31137" w:rsidP="00A31137">
      <w:r w:rsidRPr="00A31137">
        <w:t>2. These were, of course, neither the sole nor the most shameful burdens the Government imposed on Japanese Americans during that War. They were, however, the only such burdens this Court had occasion to address in Hirabayashi and Korematsu. See Korematsu, 323 U.S. at  223 ("Regardless of the true nature of the assembly and relocation centers…we are dealing specifically with nothing but an exclusion order").</w:t>
      </w:r>
    </w:p>
    <w:p w:rsidR="00A31137" w:rsidRPr="00A31137" w:rsidRDefault="00A31137" w:rsidP="00A31137">
      <w:r w:rsidRPr="00A31137">
        <w:t>1995, Adarand Constructors, Inc. v. Pena, No. 93-1841</w:t>
      </w:r>
    </w:p>
    <w:p w:rsidR="00A31137" w:rsidRPr="00A31137" w:rsidRDefault="00A31137" w:rsidP="00A31137">
      <w:r w:rsidRPr="00A31137">
        <w:t>3. See Morton v. Mancari, 417 U.S. 535, 541 (1974). To be eligible for the preference in 1974, an individual had to "'be one fourth or more degree Indian blood and be a member of a Federally-recognized tribe.'" Id. at 553, n. 24, quoting 44 BIAM 335, 3.1 (1972). We concluded that the classification was not "racial" because it did not encompass all Native Americans. 417 U.S. at 553-554. In upholding it, we relied in part on the plenary power of Congress to legislate on behalf of Indian tribes. Id. at 551-552. In this case the Government relies, in part, on the fact that not all members of the preferred minority groups are eligible for the preference, and on the special power to legislate on behalf of minorities granted to Congress by § 5 of the 14th Amendment.</w:t>
      </w:r>
    </w:p>
    <w:p w:rsidR="00A31137" w:rsidRPr="00A31137" w:rsidRDefault="00A31137" w:rsidP="00A31137">
      <w:r w:rsidRPr="00A31137">
        <w:t>1995, Adarand Constructors, Inc. v. Pena, No. 93-1841</w:t>
      </w:r>
    </w:p>
    <w:p w:rsidR="00A31137" w:rsidRPr="00A31137" w:rsidRDefault="00A31137" w:rsidP="00A31137">
      <w:r w:rsidRPr="00A31137">
        <w:t>4. For example, in Richmond v. J. A. Croson Co., 488 U.S. 469 (1989), a majority of the members of the city council that enacted the race-based set-aside were of the same race as its beneficiaries.</w:t>
      </w:r>
    </w:p>
    <w:p w:rsidR="00A31137" w:rsidRPr="00A31137" w:rsidRDefault="00A31137" w:rsidP="00A31137">
      <w:r w:rsidRPr="00A31137">
        <w:t>1995, Adarand Constructors, Inc. v. Pena, No. 93-1841</w:t>
      </w:r>
    </w:p>
    <w:p w:rsidR="00A31137" w:rsidRPr="00A31137" w:rsidRDefault="00A31137" w:rsidP="00A31137">
      <w:r w:rsidRPr="00A31137">
        <w:t>5. In his concurrence, JUSTICE THOMAS argues that the most significant cost associated with an affirmative action program is its adverse stigmatic effect on its intended beneficiaries. Ante at ___. Although I agree that this cost may be more significant than many people realize, see Fullilove, 448 U.S. at  545 (STEVENS, J., dissenting), I do not think it applies to the facts of this case. First, this is not an argument that petitioner Adarand, a white-owned business, has standing to advance. No beneficiaries of the specific program under attack today have challenged its constitutionality—perhaps because they do not find the preferences stigmatizing, or perhaps because their ability to opt out of the program provides them all the relief they would need. Second, even if the petitioner in this case were a minority-owned business challenging the stigmatizing effect of this program, I would not find JUSTICE THOMAS' extreme proposition—that there is a moral and constitutional equivalence between an attempt to subjugate and an attempt to redress the effects of a caste system, ante at ___—at all persuasive. It is one thing to question the wisdom of affirmative action programs: there are many responsible arguments against them, including the one based upon stigma, that Congress might find persuasive when it decides whether to enact or retain race-based preferences. It is another thing altogether to equate the many well-meaning and intelligent lawmakers and their constituents—whether members of majority or minority races—who have supported affirmative action over the years, to segregationists and bigots. Finally, although JUSTICE THOMAS is more concerned about the potential effects of these programs than the intent of those who enacted them (a proposition at odds with this Court's jurisprudence, see Washington v. Davis, 426 U.S. 229 (1976), but not without a strong element of common sense, see id. at 252-256 (STEVENS, J., concurring); id. at 256-270 (Brennan, J., dissenting)), I am not persuaded that the psychological damage brought on by affirmative action is as severe as that engendered by racial subordination. That, in any event, is a judgment the political branches can be trusted to make. In enacting affirmative action programs, a legislature intends to remove obstacles that have unfairly placed individuals of equal qualifications at a competitive disadvantage. See Fullilove, 448 U.S. at  521 (Marshall, J., concurring in judgment). I do not believe such action, whether wise or unwise, deserves such an invidious label as "racial paternalism," ante at ___ (opinion of THOMAS, J.). If the legislature is persuaded that its program is doing more harm than good to the individuals it is designed to benefit, then we can expect the legislature to remedy the problem. Significantly, this is not true of a government action based on invidious discrimination.</w:t>
      </w:r>
    </w:p>
    <w:p w:rsidR="00A31137" w:rsidRPr="00A31137" w:rsidRDefault="00A31137" w:rsidP="00A31137">
      <w:r w:rsidRPr="00A31137">
        <w:t>1995, Adarand Constructors, Inc. v. Pena, No. 93-1841</w:t>
      </w:r>
    </w:p>
    <w:p w:rsidR="00A31137" w:rsidRPr="00A31137" w:rsidRDefault="00A31137" w:rsidP="00A31137">
      <w:r w:rsidRPr="00A31137">
        <w:t>6. As I noted in Wygant:</w:t>
      </w:r>
    </w:p>
    <w:p w:rsidR="00A31137" w:rsidRPr="00A31137" w:rsidRDefault="00A31137" w:rsidP="00A31137">
      <w:r w:rsidRPr="00A31137">
        <w:t>1995, Adarand Constructors, Inc. v. Pena, No. 93-1841</w:t>
      </w:r>
    </w:p>
    <w:p w:rsidR="00A31137" w:rsidRPr="00A31137" w:rsidRDefault="00A31137" w:rsidP="00A31137">
      <w:r w:rsidRPr="00A31137">
        <w:t>There is…a critical difference between a decision to exclude a member of a minority race because of his or her skin color and a decision to include more members of the minority in a school faculty for that reason.</w:t>
      </w:r>
    </w:p>
    <w:p w:rsidR="00A31137" w:rsidRPr="00A31137" w:rsidRDefault="00A31137" w:rsidP="00A31137">
      <w:r w:rsidRPr="00A31137">
        <w:t>1995, Adarand Constructors, Inc. v. Pena, No. 93-1841</w:t>
      </w:r>
    </w:p>
    <w:p w:rsidR="00A31137" w:rsidRPr="00A31137" w:rsidRDefault="00A31137" w:rsidP="00A31137">
      <w:r w:rsidRPr="00A31137">
        <w:t>The exclusionary decision rests on the false premise that differences in race, or in the color of a person's skin, reflect real differences that are relevant to a person's right to share in the blessings of a free society. As noted, that premise is "utterly irrational," Cleburne v. Cleburne Living Center, 473 U.S. 432,  452 (1985), and repugnant to the principles of a free and democratic society. Nevertheless, the fact that persons of different races do, indeed have differently colored skin may give rise to a belief that there is some significant difference between such persons. The inclusion of minority teachers in the educational process inevitably tends to dispel that illusion, whereas their exclusion could only tend to foster it. The inclusionary decision is consistent with the principle that all men are created equal; the exclusionary decision is at war with that principle. One decision accords with the Equal Protection Clause of the Fourteenth Amendment; the other does not. Thus, consideration of whether the consciousness of race is exclusionary or inclusionary plainly distinguishes the Board's valid purpose in this case from a race-conscious decision that would reinforce assumptions of inequality.</w:t>
      </w:r>
    </w:p>
    <w:p w:rsidR="00A31137" w:rsidRPr="00A31137" w:rsidRDefault="00A31137" w:rsidP="00A31137">
      <w:r w:rsidRPr="00A31137">
        <w:t>1995, Adarand Constructors, Inc. v. Pena, No. 93-1841</w:t>
      </w:r>
    </w:p>
    <w:p w:rsidR="00A31137" w:rsidRPr="00A31137" w:rsidRDefault="00A31137" w:rsidP="00A31137">
      <w:r w:rsidRPr="00A31137">
        <w:t>476 U.S. at 316-317 (STEVENS, J., dissenting).</w:t>
      </w:r>
    </w:p>
    <w:p w:rsidR="00A31137" w:rsidRPr="00A31137" w:rsidRDefault="00A31137" w:rsidP="00A31137">
      <w:r w:rsidRPr="00A31137">
        <w:t>1995, Adarand Constructors, Inc. v. Pena, No. 93-1841</w:t>
      </w:r>
    </w:p>
    <w:p w:rsidR="00A31137" w:rsidRPr="00A31137" w:rsidRDefault="00A31137" w:rsidP="00A31137">
      <w:r w:rsidRPr="00A31137">
        <w:t>7. Despite the majority's reliance on Korematsu v. United States, 323 U.S. 214 (1944), ante at ___, that case does not stand for the proposition that federal remedial programs are subject to strict scrutiny. Instead, Korematsu specifies that "all legal restrictions which curtail the civil rights of a single racial group are immediately suspect." 323 U.S. at  216, quoted ante at ___ (emphasis added). The programs at issue in this case (as in most affirmative action cases) do not "curtail the civil rights of a single racial group"; they benefit certain racial groups and impose an indirect burden on the majority.</w:t>
      </w:r>
    </w:p>
    <w:p w:rsidR="00A31137" w:rsidRPr="00A31137" w:rsidRDefault="00A31137" w:rsidP="00A31137">
      <w:r w:rsidRPr="00A31137">
        <w:t>1995, Adarand Constructors, Inc. v. Pena, No. 93-1841</w:t>
      </w:r>
    </w:p>
    <w:p w:rsidR="00A31137" w:rsidRPr="00A31137" w:rsidRDefault="00A31137" w:rsidP="00A31137">
      <w:r w:rsidRPr="00A31137">
        <w:t>8. We have rejected this proposition outside of the affirmative action context as well. In Hampton v. Mow Sun Wong, 426 U.S. 88, 100 (1976), we held:</w:t>
      </w:r>
    </w:p>
    <w:p w:rsidR="00A31137" w:rsidRPr="00A31137" w:rsidRDefault="00A31137" w:rsidP="00A31137">
      <w:r w:rsidRPr="00A31137">
        <w:t>1995, Adarand Constructors, Inc. v. Pena, No. 93-1841</w:t>
      </w:r>
    </w:p>
    <w:p w:rsidR="00A31137" w:rsidRPr="00A31137" w:rsidRDefault="00A31137" w:rsidP="00A31137">
      <w:r w:rsidRPr="00A31137">
        <w:t>The federal sovereign, like the States, must govern impartially. The concept of equal justice under law is served by the Fifth Amendment's guarantee of due process, as well as by the Equal Protection Clause of the Fourteenth Amendment. Although both Amendments require the same type of analysis, see Buckley v. Valeo, 424 U.S. 1,  93 [(1976)], the Court of Appeals correctly stated that the two protections are not always coextensive. Not only does the language of the two Amendments differ, but more importantly, there may be overriding national interests which justify selective federal legislation that would be unacceptable for an individual State. On the other hand, when a federal rule is applicable to only a limited territory, such as the District of Columbia, or an insular possession, and when there is no special national interest involved, the Due Process Clause has been construed as having the same significance as the Equal Protection Clause.</w:t>
      </w:r>
    </w:p>
    <w:p w:rsidR="00A31137" w:rsidRPr="00A31137" w:rsidRDefault="00A31137" w:rsidP="00A31137">
      <w:r w:rsidRPr="00A31137">
        <w:t>1995, Adarand Constructors, Inc. v. Pena, No. 93-1841</w:t>
      </w:r>
    </w:p>
    <w:p w:rsidR="00A31137" w:rsidRPr="00A31137" w:rsidRDefault="00A31137" w:rsidP="00A31137">
      <w:r w:rsidRPr="00A31137">
        <w:t>9. The funding for the preferences challenged in this case comes from the Surface Transportation and Uniform Relocation Assistance Act of 1987 (STURAA), 101 Stat. 132, in which Congress has granted funds to the States in exchange for a commitment to foster subcontracting by disadvantaged business enterprises, or "DBE's." STURAA is also the source of funding for DBE preferences in federal highway contracting. Approximately 98% of STURAA's funding is allocated to the States. Brief for Respondents 38, n. 34. Moreover, under STURAA States are empowered to certify businesses as "disadvantaged" for purposes of receiving subcontracting preferences in both state and federal contracts. STURAA § 106(c)(4), 101 Stat. 146.</w:t>
      </w:r>
    </w:p>
    <w:p w:rsidR="00A31137" w:rsidRPr="00A31137" w:rsidRDefault="00A31137" w:rsidP="00A31137">
      <w:r w:rsidRPr="00A31137">
        <w:t>1995, Adarand Constructors, Inc. v. Pena, No. 93-1841</w:t>
      </w:r>
    </w:p>
    <w:p w:rsidR="00A31137" w:rsidRPr="00A31137" w:rsidRDefault="00A31137" w:rsidP="00A31137">
      <w:r w:rsidRPr="00A31137">
        <w:t>In this case, Adarand has sued only the federal officials responsible for implementing federal highway contracting policy; it has not directly challenged DBE preferences granted in state contracts funded by STURAA. It is not entirely clear, then, whether the majority's "congruence" rationale would apply to federally regulated state contracts, which may conceivably be within the majority's view of Congress' § 5 authority even if the federal contracts are not. See Metro Broadcasting, 497 U.S. at 603-604 (O'CONNOR, J., dissenting). As I read the majority's opinion, however, it draws no distinctions between direct federal preferences and federal preferences achieved through subsidies to States. The extent to which STURAA intertwines elements of direct federal regulations with elements of federal conditions on grants to the States would make such a distinction difficult to sustain.</w:t>
      </w:r>
    </w:p>
    <w:p w:rsidR="00A31137" w:rsidRPr="00A31137" w:rsidRDefault="00A31137" w:rsidP="00A31137">
      <w:r w:rsidRPr="00A31137">
        <w:t>1995, Adarand Constructors, Inc. v. Pena, No. 93-1841</w:t>
      </w:r>
    </w:p>
    <w:p w:rsidR="00A31137" w:rsidRPr="00A31137" w:rsidRDefault="00A31137" w:rsidP="00A31137">
      <w:r w:rsidRPr="00A31137">
        <w:t>10. Because Congress has acted with respect to the States in enacting STURAA, we need not revisit today the difficult question of § 5's application to pure federal regulation of individuals.</w:t>
      </w:r>
    </w:p>
    <w:p w:rsidR="00A31137" w:rsidRPr="00A31137" w:rsidRDefault="00A31137" w:rsidP="00A31137">
      <w:r w:rsidRPr="00A31137">
        <w:t>1995, Adarand Constructors, Inc. v. Pena, No. 93-1841</w:t>
      </w:r>
    </w:p>
    <w:p w:rsidR="00A31137" w:rsidRPr="00A31137" w:rsidRDefault="00A31137" w:rsidP="00A31137">
      <w:r w:rsidRPr="00A31137">
        <w:t>11. We have read § 5 as a positive grant of authority to Congress, not just to punish violations, but also to define and expand the scope of the Equal Protection Clause. Katzenbach v. Morgan, 384 U.S. 641 (1966). In Katzenbach, this meant that Congress, under § 5, could require the States to allow non-English-speaking citizens to vote, even if denying such citizens a vote would not have been an independent violation of § 1. Id. at 648-651. Congress, then, can expand the coverage of § 1 by exercising its power under § 5 when it acts to foster equality. Congress has done just that here; it has decided that granting certain preferences to minorities best serves the goals of equal protection.</w:t>
      </w:r>
    </w:p>
    <w:p w:rsidR="00A31137" w:rsidRPr="00A31137" w:rsidRDefault="00A31137" w:rsidP="00A31137">
      <w:r w:rsidRPr="00A31137">
        <w:t>1995, Adarand Constructors, Inc. v. Pena, No. 93-1841</w:t>
      </w:r>
    </w:p>
    <w:p w:rsidR="00A31137" w:rsidRPr="00A31137" w:rsidRDefault="00A31137" w:rsidP="00A31137">
      <w:r w:rsidRPr="00A31137">
        <w:t>12. Our skeptical observer might also notice that JUSTICE O'CONNOR's explanation for departing from settled precedent is joined only by JUSTICE KENNEDY. Ante at ___. Three members of the majority thus provide no explanation whatsoever for their unwillingness to adhere to the doctrine of stare decisis.</w:t>
      </w:r>
    </w:p>
    <w:p w:rsidR="00A31137" w:rsidRPr="00A31137" w:rsidRDefault="00A31137" w:rsidP="00A31137">
      <w:r w:rsidRPr="00A31137">
        <w:t>1995, Adarand Constructors, Inc. v. Pena, No. 93-1841</w:t>
      </w:r>
    </w:p>
    <w:p w:rsidR="00A31137" w:rsidRPr="00A31137" w:rsidRDefault="00A31137" w:rsidP="00A31137">
      <w:r w:rsidRPr="00A31137">
        <w:t>13. Of course, Justice Stewart believed that his view, disapproving of racial classifications of any kind, was consistent with this Court's precedents. See ante at ___, citing 448 U.S. at 523-526. But he did not claim that the question whether the Federal Government could engage in race-conscious affirmative action had been decided before Fullilove. The fact that a justice dissents from an opinion means that he disagrees with the result; it does not usually mean that he believes the decision so departs from the fabric of the law that its reasoning ought to be repudiated at the next opportunity. Much less does a dissent bind or authorize a later majority to reject a precedent with which it disagrees.</w:t>
      </w:r>
    </w:p>
    <w:p w:rsidR="00A31137" w:rsidRPr="00A31137" w:rsidRDefault="00A31137" w:rsidP="00A31137">
      <w:r w:rsidRPr="00A31137">
        <w:t>1995, Adarand Constructors, Inc. v. Pena, No. 93-1841</w:t>
      </w:r>
    </w:p>
    <w:p w:rsidR="00A31137" w:rsidRPr="00A31137" w:rsidRDefault="00A31137" w:rsidP="00A31137">
      <w:r w:rsidRPr="00A31137">
        <w:t>14. STURAA accords a rebuttable presumption of both social and economic disadvantage to members of racial minority groups. 49 CFR § 23.62 (1994). In contrast, § 8(a) of the SBA accords a presumption only of social disadvantage, 13 CFR § 124.105(b) (1995); the applicant has the burden of demonstrating economic disadvantage, id. § 124.106. Finally, § 8(d) of the SBA accords at least a presumption of social disadvantage, but it is ambiguous as to whether economic disadvantage is presumed or must be shown. See 15 U.S.C. § 637(d)(3) (1988 ed. and Supp. V); 13 CFR § 124.601 (1995).</w:t>
      </w:r>
    </w:p>
    <w:p w:rsidR="00A31137" w:rsidRPr="00A31137" w:rsidRDefault="00A31137" w:rsidP="00A31137">
      <w:r w:rsidRPr="00A31137">
        <w:t>1995, Adarand Constructors, Inc. v. Pena, No. 93-1841</w:t>
      </w:r>
    </w:p>
    <w:p w:rsidR="00A31137" w:rsidRPr="00A31137" w:rsidRDefault="00A31137" w:rsidP="00A31137">
      <w:r w:rsidRPr="00A31137">
        <w:t>15. The Government apparently takes this exclusion seriously. See Autek Systems Corp. v. United States, 835 F.Supp. 13 (DC 1993) (upholding Small Business Administration decision that minority business owner's personal income disqualified him from DBE status under § 8(a) program), aff'd, 43 F.3d 712 (CADC 1994).</w:t>
      </w:r>
    </w:p>
    <w:p w:rsidR="00A31137" w:rsidRPr="00A31137" w:rsidRDefault="00A31137" w:rsidP="00A31137">
      <w:r w:rsidRPr="00A31137">
        <w:t>1995, Adarand Constructors, Inc. v. Pena, No. 93-1841</w:t>
      </w:r>
    </w:p>
    <w:p w:rsidR="00A31137" w:rsidRPr="00A31137" w:rsidRDefault="00A31137" w:rsidP="00A31137">
      <w:r w:rsidRPr="00A31137">
        <w:t>16.</w:t>
      </w:r>
    </w:p>
    <w:p w:rsidR="00A31137" w:rsidRPr="00A31137" w:rsidRDefault="00A31137" w:rsidP="00A31137">
      <w:r w:rsidRPr="00A31137">
        <w:t>1995, Adarand Constructors, Inc. v. Pena, No. 93-1841</w:t>
      </w:r>
    </w:p>
    <w:p w:rsidR="00A31137" w:rsidRPr="00A31137" w:rsidRDefault="00A31137" w:rsidP="00A31137">
      <w:r w:rsidRPr="00A31137">
        <w:t>The unhappy persistence of both the practice and the lingering effects of racial discrimination against minority groups in this country is an unfortunate reality, and government is not disqualified from acting in response to it.</w:t>
      </w:r>
    </w:p>
    <w:p w:rsidR="00A31137" w:rsidRPr="00A31137" w:rsidRDefault="00A31137" w:rsidP="00A31137">
      <w:r w:rsidRPr="00A31137">
        <w:t>1995, Adarand Constructors, Inc. v. Pena, No. 93-1841</w:t>
      </w:r>
    </w:p>
    <w:p w:rsidR="00A31137" w:rsidRPr="00A31137" w:rsidRDefault="00A31137" w:rsidP="00A31137">
      <w:r w:rsidRPr="00A31137">
        <w:t>Ante at ___.</w:t>
      </w:r>
    </w:p>
    <w:p w:rsidR="00A31137" w:rsidRPr="00A31137" w:rsidRDefault="00A31137" w:rsidP="00A31137">
      <w:r w:rsidRPr="00A31137">
        <w:t>1995, Adarand Constructors, Inc. v. Pena, No. 93-1841</w:t>
      </w:r>
    </w:p>
    <w:p w:rsidR="00A31137" w:rsidRPr="00A31137" w:rsidRDefault="00A31137" w:rsidP="00A31137">
      <w:r w:rsidRPr="00A31137">
        <w:t>Our findings clearly state that groups such as black Americans, Hispanic Americans, and Native Americans, have been and continue to be discriminated against, and that this discrimination has led to the social disadvantagement of persons identified by society as members of those groups.</w:t>
      </w:r>
    </w:p>
    <w:p w:rsidR="00A31137" w:rsidRPr="00A31137" w:rsidRDefault="00A31137" w:rsidP="00A31137">
      <w:r w:rsidRPr="00A31137">
        <w:t>1995, Adarand Constructors, Inc. v. Pena, No. 93-1841</w:t>
      </w:r>
    </w:p>
    <w:p w:rsidR="00A31137" w:rsidRPr="00A31137" w:rsidRDefault="00A31137" w:rsidP="00A31137">
      <w:r w:rsidRPr="00A31137">
        <w:t>124 Cong. Rec. 34097 (1978)</w:t>
      </w:r>
    </w:p>
    <w:p w:rsidR="00A31137" w:rsidRPr="00A31137" w:rsidRDefault="00A31137" w:rsidP="00A31137">
      <w:r w:rsidRPr="00A31137">
        <w:t>1995, Adarand Constructors, Inc. v. Pena, No. 93-1841</w:t>
      </w:r>
    </w:p>
    <w:p w:rsidR="00A31137" w:rsidRPr="00A31137" w:rsidRDefault="00A31137" w:rsidP="00A31137">
      <w:r w:rsidRPr="00A31137">
        <w:t>17. The Department of Transportation strongly urges States to institute periodic review of businesses certified as DBE's under STURAA, 49 CFR pt. 23, subpt. D, App. A (1994), but it does not mandate such review. The Government points us to no provisions for review of § 8(d) certification, although such review may be derivative for those businesses that receive § 8(d) certification as a result of § 8(a) or STURAA certification.</w:t>
      </w:r>
    </w:p>
    <w:p w:rsidR="00A31137" w:rsidRPr="00A31137" w:rsidRDefault="00A31137" w:rsidP="00A31137">
      <w:r w:rsidRPr="00A31137">
        <w:t>1995, Adarand Constructors, Inc. v. Pena, No. 93-1841</w:t>
      </w:r>
    </w:p>
    <w:p w:rsidR="00A31137" w:rsidRPr="00A31137" w:rsidRDefault="00A31137" w:rsidP="00A31137">
      <w:r w:rsidRPr="00A31137">
        <w:t>18. The Government points us to the following legislative history: H. R. 5612, To amend the Small Business Act to Extend the current SBA 8(a) Pilot Program: Hearing on H. R. 5612 before the Senate Select Committee on Small Business, 96th Cong.,2d Sess. (1980); Small and Minority Business in the Decade of the 1980's (Part 1): Hearings before the House Committee on Small Business, 97th Cong., 1st Sess. (1981); Minority Business and Its Contribution to the U.S. Economy: Hearing Before the Senate Committee on Small Business, 97th Cong.,2d Sess. (1982); Federal Contracting Opportunities for Minority and Women-Owned Businesses—An Examination of the 8(d) Subcontracting Program: Hearings before the Senate Committee on Small Business, 98th Cong., 1st Sess. (1983); Women Entrepreneurs—Their Success and Problems: Hearing before the Senate Committee on Small Business, 98th Cong.,2d Sess. (1984); State of Hispanic Small Business in America: Hearing Before the Subcommittee on SBA and SBIC Authority, Minority Enterprise, and General Small Business Problems of the House Committee on Small Business, 99th Cong., 1st Sess. (1985); Minority Enterprise and General Small Business Problems: Hearing before the Subcommittee on SBA and SBIC Authority, Minority Enterprise, and General Small Business Problems of the House Committee on Small Business, 99th Cong.,2d Sess. (1986); Disadvantaged Business Set-Asides in Transportation Construction Projects: Hearings before the Subcommittee on Procurement, Innovation, and Minority Enterprise Development of the House Committee on Small Business, 100th Cong., 2d Sess. (1988); Barriers to Full Minority Participation in Federally Funded Highway Construction Projects: Hearing Before a Subcommittee of the House Committee on Government Operations, 100th Cong., 2d Sess. (1988); Surety Bonds and Minority Contractors: Hearing before the Subcommittee on Commerce, Consumer Protection, and Competitiveness of the House Committee on Energy and Commerce, 100th Cong., 2d Sess. (1988); Small Business Problems: Hearings before the House Committee on Small Business, 100th Cong., 1st Sess. (1987). See Brief for Respondents 9-10, n. 9.</w:t>
      </w:r>
    </w:p>
    <w:p w:rsidR="00A31137" w:rsidRPr="00A31137" w:rsidRDefault="00A31137" w:rsidP="00A31137">
      <w:r w:rsidRPr="00A31137">
        <w:t>SOUTER, J., dissenting (Footnotes)</w:t>
      </w:r>
    </w:p>
    <w:p w:rsidR="00A31137" w:rsidRPr="00A31137" w:rsidRDefault="00A31137" w:rsidP="00A31137">
      <w:r w:rsidRPr="00A31137">
        <w:t>1995, Adarand Constructors, Inc. v. Pena, No. 93-1841</w:t>
      </w:r>
    </w:p>
    <w:p w:rsidR="00A31137" w:rsidRPr="00A31137" w:rsidRDefault="00A31137" w:rsidP="00A31137">
      <w:r w:rsidRPr="00A31137">
        <w:t>1. If the statutes are within the § 5 power, they are just as enforceable when the national government makes a construction contract directly as when it funnels construction money through the states. In any event, as JUSTICE STEVENS has noted, see ante at ___, n. 5, ___, n. 6, it is not clear whether the current challenge implicates only Fifth Amendment due process or Fourteenth Amendment equal protection as well.</w:t>
      </w:r>
    </w:p>
    <w:p w:rsidR="00A31137" w:rsidRPr="00A31137" w:rsidRDefault="00A31137" w:rsidP="00A31137">
      <w:r w:rsidRPr="00A31137">
        <w:t>1995, Adarand Constructors, Inc. v. Pena, No. 93-1841</w:t>
      </w:r>
    </w:p>
    <w:p w:rsidR="00A31137" w:rsidRPr="00A31137" w:rsidRDefault="00A31137" w:rsidP="00A31137">
      <w:r w:rsidRPr="00A31137">
        <w:t>2. I say "press a challenge," because petitioner's Memorandum in Support of Summary Judgment did include an argument challenging the reasonableness of the duration of the statutory scheme; but the durational claim was not, so far as I am aware, stated elsewhere, and, in any event, was not the gravamen of the complaint.</w:t>
      </w:r>
    </w:p>
    <w:p w:rsidR="00A31137" w:rsidRPr="00A31137" w:rsidRDefault="00A31137" w:rsidP="00A31137">
      <w:r w:rsidRPr="00A31137">
        <w:t>GINSBURG, J., dissenting (Footnotes)</w:t>
      </w:r>
    </w:p>
    <w:p w:rsidR="00A31137" w:rsidRPr="00A31137" w:rsidRDefault="00A31137" w:rsidP="00A31137">
      <w:r w:rsidRPr="00A31137">
        <w:t>1995, Adarand Constructors, Inc. v. Pena, No. 93-1841</w:t>
      </w:r>
    </w:p>
    <w:p w:rsidR="00A31137" w:rsidRPr="00A31137" w:rsidRDefault="00A31137" w:rsidP="00A31137">
      <w:r w:rsidRPr="00A31137">
        <w:t>1. On congressional authority to enforce the equal protection principle, see, e.g., Heart of Atlanta Motel, Inc. v. United States, 379 U.S. 241,  286 (1964) (Douglas, J., concurring) (recognizing Congress' authority, under § 5 of the Fourteenth Amendment, to "pu[t] an end to all obstructionist strategies and allo[w] every person—whatever his race, creed, or color—to patronize all places of public accommodation without discrimination whether he travels interstate or intrastate."); id. at  291,  293 (Goldberg, J., concurring) ("primary purpose of the Civil Rights Act of 1964…is the vindication of human dignity"; "Congress clearly had authority under both § 5 of the Fourteenth Amendment and the Commerce Clause" to enact the law); G. Gunther, Constitutional Law 147-151 (12th ed. 1991).</w:t>
      </w:r>
    </w:p>
    <w:p w:rsidR="00A31137" w:rsidRPr="00A31137" w:rsidRDefault="00A31137" w:rsidP="00A31137">
      <w:r w:rsidRPr="00A31137">
        <w:t>1995, Adarand Constructors, Inc. v. Pena, No. 93-1841</w:t>
      </w:r>
    </w:p>
    <w:p w:rsidR="00A31137" w:rsidRPr="00A31137" w:rsidRDefault="00A31137" w:rsidP="00A31137">
      <w:r w:rsidRPr="00A31137">
        <w:t>2. The Court, in 1955 and 1956, refused to rule on the constitutionality of anti-miscegenation laws; it twice declined to accept appeals from the decree on which the Virginia Supreme Court of Appeals relied in Loving. See Naim v. Naim, 197 Va. 80, 87 S. E.2d 749, vacated and remanded, 350 U.S. 891 (1955), reinstated and aff'd, 197 Va. 734, 90 S. E.2d 849, app. dism'd, 350 U.S. 985 (1956). Naim expressed the state court's view of the legislative purpose served by the Virginia law: "to preserve the racial integrity of [Virginia's] citizens"; to prevent "the corruption of blood," "a mongrel breed of citizens," and "the obliteration of racial pride." 197 Va. at 90, 87 S. E.2d at 756.</w:t>
      </w:r>
    </w:p>
    <w:p w:rsidR="00A31137" w:rsidRPr="00A31137" w:rsidRDefault="00A31137" w:rsidP="00A31137">
      <w:r w:rsidRPr="00A31137">
        <w:t>1995, Adarand Constructors, Inc. v. Pena, No. 93-1841</w:t>
      </w:r>
    </w:p>
    <w:p w:rsidR="00A31137" w:rsidRPr="00A31137" w:rsidRDefault="00A31137" w:rsidP="00A31137">
      <w:r w:rsidRPr="00A31137">
        <w:t>3. See, e.g., H. Cross, et al., Employer Hiring Practices: Differential Treatment of Hispanic and Anglo Job Seekers 42 (Urban Institute Report 90-4, 1990) (e.g., Anglo applicants sent out by investigators received 52% more job offers than matched Hispanics); M. Turner, et al., Opportunities Denied, Opportunities Diminished: Racial Discrimination in Hiring xi (Urban Institute Report 91-9, 1991) ("In one out of five audits, the white applicant was able to advance farther through the hiring process than his black counterpart. In one out of eight audits, the white was offered a job although his equally qualified black partner was not. In contrast, black auditors advanced farther than their white counterparts only 7 percent of the time, and received job offers while their white partners did not in 5 percent of the audits.").</w:t>
      </w:r>
    </w:p>
    <w:p w:rsidR="00A31137" w:rsidRPr="00A31137" w:rsidRDefault="00A31137" w:rsidP="00A31137">
      <w:r w:rsidRPr="00A31137">
        <w:t>1995, Adarand Constructors, Inc. v. Pena, No. 93-1841</w:t>
      </w:r>
    </w:p>
    <w:p w:rsidR="00A31137" w:rsidRPr="00A31137" w:rsidRDefault="00A31137" w:rsidP="00A31137">
      <w:r w:rsidRPr="00A31137">
        <w:t>4. See, e.g., Ayres, Fair Driving: Gender and Race Discrimination in Retail Car Negotiations, 104 Harv. L.Rev. 817, 821-822, 819, 828 (1991) ("blacks and women simply cannot buy the same car for the same price as can white men using identical bargaining strategies"; the final offers given white female testers reflected 40 percent higher markups than those given white male testers; final offer markups for black male testers were twice as high, and for black female testers three times as high as for white male testers).</w:t>
      </w:r>
    </w:p>
    <w:p w:rsidR="00A31137" w:rsidRPr="00A31137" w:rsidRDefault="00A31137" w:rsidP="00A31137">
      <w:r w:rsidRPr="00A31137">
        <w:t>1995, Adarand Constructors, Inc. v. Pena, No. 93-1841</w:t>
      </w:r>
    </w:p>
    <w:p w:rsidR="00A31137" w:rsidRPr="00A31137" w:rsidRDefault="00A31137" w:rsidP="00A31137">
      <w:r w:rsidRPr="00A31137">
        <w:t>5. See, e.g., A Common Destiny: Blacks and American Society 50 (G. Jaynes &amp; R. Williams eds., 1989) ("[I]n many metropolitan areas one-quarter to one-half of all [housing] inquiries by blacks are met by clearly discriminatory responses."); M. Turner, et al., U.S. Department of Housing and Urban Development, Housing Discrimination Study: Synthesis i-vii (1991) (1989 audit study of housing searches in 25 metropolitan areas; over half of African-American and Hispanic testers seeking to rent or buy experienced some form of unfavorable treatment compared to paired white testers); Leahy, Are Racial Factors Important for the Allocation of Mortgage Money?, 44 Am.J.Econ. &amp; Soc. 185, 193 (1985) (controlling for socioeconomic factors, and concluding that "even when neighborhoods appear to be similar on every major mortgage lending criterion except race, mortgage lending outcomes are still unequal").</w:t>
      </w:r>
    </w:p>
    <w:p w:rsidR="00A31137" w:rsidRPr="00A31137" w:rsidRDefault="00A31137" w:rsidP="00A31137">
      <w:r w:rsidRPr="00A31137">
        <w:t>1995, Adarand Constructors, Inc. v. Pena, No. 93-1841</w:t>
      </w:r>
    </w:p>
    <w:p w:rsidR="00A31137" w:rsidRPr="00A31137" w:rsidRDefault="00A31137" w:rsidP="00A31137">
      <w:r w:rsidRPr="00A31137">
        <w:t>6. See, e.g., Associated General Contractors v. Coalition for Economic Equity, 950 F.2d 1401, 1415 (CA9 1991) (detailing examples in San Francisco).</w:t>
      </w:r>
    </w:p>
    <w:p w:rsidR="00A31137" w:rsidRPr="00A31137" w:rsidRDefault="00A31137" w:rsidP="00A31137">
      <w:r w:rsidRPr="00A31137">
        <w:t>1995, Adarand Constructors, Inc. v. Pena, No. 93-1841</w:t>
      </w:r>
    </w:p>
    <w:p w:rsidR="00A31137" w:rsidRPr="00A31137" w:rsidRDefault="00A31137" w:rsidP="00A31137">
      <w:r w:rsidRPr="00A31137">
        <w:t>7. Cf. Wygant v. Jackson Bd. of Ed., 476 U.S. 267,  318 (1986) (STEVENS, J., dissenting); Califano v. Goldfarb, 430 U.S. 199, 222-223 (1977) (STEVENS, J., concurring in judgment).</w:t>
      </w:r>
    </w:p>
    <w:p w:rsidR="00A31137" w:rsidRPr="00A31137" w:rsidRDefault="00A31137" w:rsidP="00A31137">
      <w:r w:rsidRPr="00A31137">
        <w:t>1995, Adarand Constructors, Inc. v. Pena, No. 93-1841</w:t>
      </w:r>
    </w:p>
    <w:p w:rsidR="00A31137" w:rsidRPr="00A31137" w:rsidRDefault="00A31137" w:rsidP="00A31137">
      <w:r w:rsidRPr="00A31137">
        <w:t>8. On the differences between laws designed to benefit an historically disfavored group and laws designed to burden such a group, see, e.g., Carter, When Victims Happen To Be Black, 97 Yale L.J. 420, 433-434 (1988) ("[W]hatever the source of racism, to count it the same as racialism, to say that two centuries of struggle for the most basic of civil rights have been mostly about freedom from racial categorization rather than freedom from racial oppression, is to trivialize the lives and deaths of those who have suffered under racism. To pretend…that the issue presented in Bakke was the same as the issue in Brown is to pretend that history never happened and that the present doesn't exist.").</w:t>
      </w:r>
    </w:p>
    <w:p w:rsidR="00A31137" w:rsidRPr="00A31137" w:rsidRDefault="00A31137" w:rsidP="00A31137">
      <w:r w:rsidRPr="00A31137">
        <w:t>Florida Bar v. Went For It, Inc., 1995</w:t>
      </w:r>
    </w:p>
    <w:p w:rsidR="00A31137" w:rsidRPr="00A31137" w:rsidRDefault="00A31137" w:rsidP="00A31137">
      <w:r w:rsidRPr="00A31137">
        <w:t>Title:</w:t>
      </w:r>
      <w:r w:rsidRPr="00A31137">
        <w:tab/>
        <w:t>Florida Bar v. Went For It, Inc.</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21, 1995</w:t>
      </w:r>
    </w:p>
    <w:p w:rsidR="00A31137" w:rsidRPr="00A31137" w:rsidRDefault="00A31137" w:rsidP="00A31137">
      <w:r w:rsidRPr="00A31137">
        <w:t>Source:</w:t>
      </w:r>
      <w:r w:rsidRPr="00A31137">
        <w:tab/>
        <w:t>No. 94-226 [U.S. Reports citation not yet available]</w:t>
      </w:r>
    </w:p>
    <w:p w:rsidR="00A31137" w:rsidRPr="00A31137" w:rsidRDefault="00A31137" w:rsidP="00A31137">
      <w:r w:rsidRPr="00A31137">
        <w:t>This case was argued January 11, 1995, and was decided June 21, 1995.</w:t>
      </w:r>
    </w:p>
    <w:p w:rsidR="00A31137" w:rsidRPr="00A31137" w:rsidRDefault="00A31137" w:rsidP="00A31137">
      <w:r w:rsidRPr="00A31137">
        <w:t>CERTIORARI TO THE UNITED STATES COURT OF APPEALS</w:t>
      </w:r>
    </w:p>
    <w:p w:rsidR="00A31137" w:rsidRPr="00A31137" w:rsidRDefault="00A31137" w:rsidP="00A31137">
      <w:r w:rsidRPr="00A31137">
        <w:t>FOR THE ELEVENTH CIRCUIT</w:t>
      </w:r>
    </w:p>
    <w:p w:rsidR="00A31137" w:rsidRPr="00A31137" w:rsidRDefault="00A31137" w:rsidP="00A31137">
      <w:r w:rsidRPr="00A31137">
        <w:t>Syllabus</w:t>
      </w:r>
    </w:p>
    <w:p w:rsidR="00A31137" w:rsidRPr="00A31137" w:rsidRDefault="00A31137" w:rsidP="00A31137">
      <w:r w:rsidRPr="00A31137">
        <w:t>1995, Florida Bar v. Went For It, Inc., No. 94-226</w:t>
      </w:r>
    </w:p>
    <w:p w:rsidR="00A31137" w:rsidRPr="00A31137" w:rsidRDefault="00A31137" w:rsidP="00A31137">
      <w:r w:rsidRPr="00A31137">
        <w:t>Respondent lawyer referral service and an individual Florida attorney filed this action for declaratory and injunctive relief challenging, as violative of the First and Fourteenth Amendments, Florida Bar rules prohibiting personal injury lawyers from sending targeted direct mail solicitations to victims and their relatives for 30 days following an accident or disaster. The District Court entered summary judgment for the plaintiffs, relying on Bates v. State Bar of Arizona, 433 U.S. 350, and subsequent cases. The Eleventh Circuit affirmed on similar grounds.</w:t>
      </w:r>
    </w:p>
    <w:p w:rsidR="00A31137" w:rsidRPr="00A31137" w:rsidRDefault="00A31137" w:rsidP="00A31137">
      <w:r w:rsidRPr="00A31137">
        <w:t>1995, Florida Bar v. Went For It, Inc., No. 94-226</w:t>
      </w:r>
    </w:p>
    <w:p w:rsidR="00A31137" w:rsidRPr="00A31137" w:rsidRDefault="00A31137" w:rsidP="00A31137">
      <w:r w:rsidRPr="00A31137">
        <w:t>Held: In the circumstances presented here, the Florida Bar rules do not violate the First and Fourteenth Amendments. Pp. ___.</w:t>
      </w:r>
    </w:p>
    <w:p w:rsidR="00A31137" w:rsidRPr="00A31137" w:rsidRDefault="00A31137" w:rsidP="00A31137">
      <w:r w:rsidRPr="00A31137">
        <w:t>1995, Florida Bar v. Went For It, Inc., No. 94-226</w:t>
      </w:r>
    </w:p>
    <w:p w:rsidR="00A31137" w:rsidRPr="00A31137" w:rsidRDefault="00A31137" w:rsidP="00A31137">
      <w:r w:rsidRPr="00A31137">
        <w:t>(a) Bates and its progeny establish that lawyer advertising is commercial speech and, as such, is accorded only a limited measure of First Amendment protection. Under the "intermediate" scrutiny framework set forth in Central Hudson Gas &amp; Electric Corp. v. Public Service Comm'n of N.Y., 447 U.S. 557, a restriction on commercial speech that, like the advertising at issue, does not concern unlawful activity and is not misleading is permissible if the government: (1) asserts a substantial interest in support of its regulation; (2) establishes that the restriction directly and materially advances that interest; and (3) demonstrates that the regulation is "'narrowly drawn,"' id. at 564-565. Pp. ___.</w:t>
      </w:r>
    </w:p>
    <w:p w:rsidR="00A31137" w:rsidRPr="00A31137" w:rsidRDefault="00A31137" w:rsidP="00A31137">
      <w:r w:rsidRPr="00A31137">
        <w:t>1995, Florida Bar v. Went For It, Inc., No. 94-226</w:t>
      </w:r>
    </w:p>
    <w:p w:rsidR="00A31137" w:rsidRPr="00A31137" w:rsidRDefault="00A31137" w:rsidP="00A31137">
      <w:r w:rsidRPr="00A31137">
        <w:t>(b) The Florida Bar's 30-day ban on targeted direct mail solicitation withstands Central Hudson scrutiny. First, the Bar has substantial interest both in protecting the privacy and tranquility of personal injury victims and their loved ones against invasive, unsolicited contact by lawyers and in preventing the erosion of confidence in the profession that such repeated invasions have engendered. Second, the fact that the harms targeted by the ban are quite real is demonstrated by a Bar study, effectively unrebutted by respondents below, that contains extensive statistical and anecdotal data suggesting that the Florida public views direct mail solicitations in the immediate wake of accidents as an intrusion on privacy that reflects poorly upon the profession. Edenfield v. Fane, 507 U.S. ___, ___-___; Shapero v. Kentucky Bar Assn., 486 U.S. 466, 475-476; and Bolger v. Youngs Drug Products Corp., 463 U.S. 60, 72, distinguished. Third, the ban's scope is reasonably well tailored to its stated objectives. Moreover, its duration is limited to a brief 30-day period, and there are many other ways for injured Floridians to learn about the availability of legal representation during that time.   Pp. ___.</w:t>
      </w:r>
    </w:p>
    <w:p w:rsidR="00A31137" w:rsidRPr="00A31137" w:rsidRDefault="00A31137" w:rsidP="00A31137">
      <w:r w:rsidRPr="00A31137">
        <w:t>1995, Florida Bar v. Went For It, Inc., No. 94-226</w:t>
      </w:r>
    </w:p>
    <w:p w:rsidR="00A31137" w:rsidRPr="00A31137" w:rsidRDefault="00A31137" w:rsidP="00A31137">
      <w:r w:rsidRPr="00A31137">
        <w:t>21 F.3d 1038, reversed.</w:t>
      </w:r>
    </w:p>
    <w:p w:rsidR="00A31137" w:rsidRPr="00A31137" w:rsidRDefault="00A31137" w:rsidP="00A31137">
      <w:r w:rsidRPr="00A31137">
        <w:t>1995, Florida Bar v. Went For It, Inc., No. 94-226</w:t>
      </w:r>
    </w:p>
    <w:p w:rsidR="00A31137" w:rsidRPr="00A31137" w:rsidRDefault="00A31137" w:rsidP="00A31137">
      <w:r w:rsidRPr="00A31137">
        <w:t>O'CONNOR, J., delivered the opinion of the Court, in which REHNQUIST, C.J., and SCALIA, THOMAS, and BREYER, JJ., joined. KENNEDY, J., filed a dissenting opinion, in which STEVENS, SOUTER, and GINSBURG, JJ., joined.</w:t>
      </w:r>
    </w:p>
    <w:p w:rsidR="00A31137" w:rsidRPr="00A31137" w:rsidRDefault="00A31137" w:rsidP="00A31137">
      <w:r w:rsidRPr="00A31137">
        <w:t>O'CONNOR, J., lead opinion</w:t>
      </w:r>
    </w:p>
    <w:p w:rsidR="00A31137" w:rsidRPr="00A31137" w:rsidRDefault="00A31137" w:rsidP="00A31137">
      <w:r w:rsidRPr="00A31137">
        <w:t>1995, Florida Bar v. Went For It, Inc., No. 94-226</w:t>
      </w:r>
    </w:p>
    <w:p w:rsidR="00A31137" w:rsidRPr="00A31137" w:rsidRDefault="00A31137" w:rsidP="00A31137">
      <w:r w:rsidRPr="00A31137">
        <w:t>JUSTICE O'CONNOR delivered the opinion of the Court.</w:t>
      </w:r>
    </w:p>
    <w:p w:rsidR="00A31137" w:rsidRPr="00A31137" w:rsidRDefault="00A31137" w:rsidP="00A31137">
      <w:r w:rsidRPr="00A31137">
        <w:t>1995, Florida Bar v. Went For It, Inc., No. 94-226</w:t>
      </w:r>
    </w:p>
    <w:p w:rsidR="00A31137" w:rsidRPr="00A31137" w:rsidRDefault="00A31137" w:rsidP="00A31137">
      <w:r w:rsidRPr="00A31137">
        <w:t>Rules of the Florida Bar prohibit personal injury lawyers from sending targeted direct mail solicitations to victims and their relatives for 30 days following an accident or disaster. This case asks us to consider whether such rules violate the First and Fourteenth Amendments of the Constitution. We hold that, in the circumstances presented here, they do not.</w:t>
      </w:r>
    </w:p>
    <w:p w:rsidR="00A31137" w:rsidRPr="00A31137" w:rsidRDefault="00A31137" w:rsidP="00A31137">
      <w:r w:rsidRPr="00A31137">
        <w:t>I</w:t>
      </w:r>
    </w:p>
    <w:p w:rsidR="00A31137" w:rsidRPr="00A31137" w:rsidRDefault="00A31137" w:rsidP="00A31137">
      <w:r w:rsidRPr="00A31137">
        <w:t>1995, Florida Bar v. Went For It, Inc., No. 94-226</w:t>
      </w:r>
    </w:p>
    <w:p w:rsidR="00A31137" w:rsidRPr="00A31137" w:rsidRDefault="00A31137" w:rsidP="00A31137">
      <w:r w:rsidRPr="00A31137">
        <w:t>In 1989, the Florida Bar completed a 2-year study of the effects of lawyer advertising on public opinion. After conducting hearings, commissioning surveys, and reviewing extensive public commentary, the Bar determined that several changes to its advertising rules were in order. In late 1990, the Florida Supreme Court adopted the Bar's proposed amendments with some modifications. The Florida Bar: Petition to Amend the Rules Regulating the Florida Bar—Advertising Issues, 571 So.2d 451 (Fla. 1990). Two of these amendments are at issue in this case. Rule 4-7.4(b)(1) provides that</w:t>
      </w:r>
    </w:p>
    <w:p w:rsidR="00A31137" w:rsidRPr="00A31137" w:rsidRDefault="00A31137" w:rsidP="00A31137">
      <w:r w:rsidRPr="00A31137">
        <w:t>1995, Florida Bar v. Went For It, Inc., No. 94-226</w:t>
      </w:r>
    </w:p>
    <w:p w:rsidR="00A31137" w:rsidRPr="00A31137" w:rsidRDefault="00A31137" w:rsidP="00A31137">
      <w:r w:rsidRPr="00A31137">
        <w:t>[a] lawyer shall not send, or knowingly permit to be sent,…a written communication to a prospective client for the purpose of obtaining professional employment if: (A) the written communication concerns an action for personal injury or wrongful death or otherwise relates to an accident or disaster involving the person to whom the communication is addressed or a relative of that person, unless the accident or disaster occurred more than 30 days prior to the mailing of the communication.</w:t>
      </w:r>
    </w:p>
    <w:p w:rsidR="00A31137" w:rsidRPr="00A31137" w:rsidRDefault="00A31137" w:rsidP="00A31137">
      <w:r w:rsidRPr="00A31137">
        <w:t>1995, Florida Bar v. Went For It, Inc., No. 94-226</w:t>
      </w:r>
    </w:p>
    <w:p w:rsidR="00A31137" w:rsidRPr="00A31137" w:rsidRDefault="00A31137" w:rsidP="00A31137">
      <w:r w:rsidRPr="00A31137">
        <w:t>Rule 4-7.8(a) states that</w:t>
      </w:r>
    </w:p>
    <w:p w:rsidR="00A31137" w:rsidRPr="00A31137" w:rsidRDefault="00A31137" w:rsidP="00A31137">
      <w:r w:rsidRPr="00A31137">
        <w:t>1995, Florida Bar v. Went For It, Inc., No. 94-226</w:t>
      </w:r>
    </w:p>
    <w:p w:rsidR="00A31137" w:rsidRPr="00A31137" w:rsidRDefault="00A31137" w:rsidP="00A31137">
      <w:r w:rsidRPr="00A31137">
        <w:t>[a] lawyer shall not accept referrals from a lawyer referral service unless the service: (1) engages in no communication with the public and in no direct contact with prospective clients in a manner that would violate the Rules of Professional Conduct if the communication or contact were made by the lawyer.</w:t>
      </w:r>
    </w:p>
    <w:p w:rsidR="00A31137" w:rsidRPr="00A31137" w:rsidRDefault="00A31137" w:rsidP="00A31137">
      <w:r w:rsidRPr="00A31137">
        <w:t>1995, Florida Bar v. Went For It, Inc., No. 94-226</w:t>
      </w:r>
    </w:p>
    <w:p w:rsidR="00A31137" w:rsidRPr="00A31137" w:rsidRDefault="00A31137" w:rsidP="00A31137">
      <w:r w:rsidRPr="00A31137">
        <w:t>Together, these rules create a brief 30-day blackout period after an accident during which lawyers may not, directly or indirectly, single out accident victims or their relatives in order to solicit their business.</w:t>
      </w:r>
    </w:p>
    <w:p w:rsidR="00A31137" w:rsidRPr="00A31137" w:rsidRDefault="00A31137" w:rsidP="00A31137">
      <w:r w:rsidRPr="00A31137">
        <w:t>1995, Florida Bar v. Went For It, Inc., No. 94-226</w:t>
      </w:r>
    </w:p>
    <w:p w:rsidR="00A31137" w:rsidRPr="00A31137" w:rsidRDefault="00A31137" w:rsidP="00A31137">
      <w:r w:rsidRPr="00A31137">
        <w:t>In March, 1992, G. Stewart McHenry and his wholly owned lawyer referral service, Went For It, Inc., filed this action for declaratory and injunctive relief in the United States District Court for the Middle District of Florida challenging Rules 4.7-4(b)(1) and 4.7-8 as violative of the First and Fourteenth Amendments to the Constitution. McHenry alleged that he routinely sent targeted solicitations to accident victims or their survivors within 30 days after accidents and that he wished to continue doing so in the future. Went For It, Inc. represented that it wished to contact accident victims or their survivors within 30 days of accidents and to refer potential clients to participating Florida lawyers. In October, 1992, McHenry was disbarred for reasons unrelated to this suit, The Florida Bar v. McHenry, 605 So.2d 459 (Fla. 1992). Another Florida lawyer, John T. Blakely, was substituted in his stead.</w:t>
      </w:r>
    </w:p>
    <w:p w:rsidR="00A31137" w:rsidRPr="00A31137" w:rsidRDefault="00A31137" w:rsidP="00A31137">
      <w:r w:rsidRPr="00A31137">
        <w:t>1995, Florida Bar v. Went For It, Inc., No. 94-226</w:t>
      </w:r>
    </w:p>
    <w:p w:rsidR="00A31137" w:rsidRPr="00A31137" w:rsidRDefault="00A31137" w:rsidP="00A31137">
      <w:r w:rsidRPr="00A31137">
        <w:t>The District Court referred the parties' competing summary judgment motions to a Magistrate Judge, who concluded that the Florida Bar had substantial government interests, predicated on a concern for professionalism, both in protecting the personal privacy and tranquility of recent accident victims and their relatives and in ensuring that these individuals do not fall prey to undue influence or overreaching. Citing the Florida Bar's extensive study, the Magistrate Judge found that the rules directly serve those interests and sweep no further than reasonably necessary. The Magistrate recommended that the District Court grant the Florida Bar's motion for summary judgment on the ground that the rules pass constitutional muster.</w:t>
      </w:r>
    </w:p>
    <w:p w:rsidR="00A31137" w:rsidRPr="00A31137" w:rsidRDefault="00A31137" w:rsidP="00A31137">
      <w:r w:rsidRPr="00A31137">
        <w:t>1995, Florida Bar v. Went For It, Inc., No. 94-226</w:t>
      </w:r>
    </w:p>
    <w:p w:rsidR="00A31137" w:rsidRPr="00A31137" w:rsidRDefault="00A31137" w:rsidP="00A31137">
      <w:r w:rsidRPr="00A31137">
        <w:t>The District Court rejected the Magistrate Judge's report and recommendations and entered summary judgment for the plaintiffs, 808 F.Supp. 1543 (MD Fla. 1992), relying on Bates v. State Bar of Arizona, 433 U.S. 350 (1977), and subsequent cases. The Eleventh Circuit affirmed on similar grounds, 21 F.3d 1038 (1994). The panel noted, in its conclusion, that it was "disturbed that Bates and its progeny require the decision" that it reached, 21 F.3d at 1045. We granted certiorari, 512 U.S. ___ (1994), and now reverse.</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1995, Florida Bar v. Went For It, Inc., No. 94-226</w:t>
      </w:r>
    </w:p>
    <w:p w:rsidR="00A31137" w:rsidRPr="00A31137" w:rsidRDefault="00A31137" w:rsidP="00A31137">
      <w:r w:rsidRPr="00A31137">
        <w:t>Constitutional protection for attorney advertising, and for commercial speech generally, is of recent vintage. Until the mid-1970s, we adhered to the broad rule laid out in Valentine v. Chrestensen, 316 U.S. 52,  54 (1942), that, while the First Amendment guards against government restriction of speech in most contexts, "the Constitution imposes no such restraint on government as respects purely commercial advertising." In 1976, the Court changed course. In Virginia State Bd. of Pharmacy v. Virginia Citizens Consumer Council, Inc., 425 U.S. 748, we invalidated a state statute barring pharmacists from advertising prescription drug prices. At issue was speech that involved the idea that "I will sell you the X prescription drug at the Y price." Id. at  761. Striking the ban as unconstitutional, we rejected the argument that such speech</w:t>
      </w:r>
    </w:p>
    <w:p w:rsidR="00A31137" w:rsidRPr="00A31137" w:rsidRDefault="00A31137" w:rsidP="00A31137">
      <w:r w:rsidRPr="00A31137">
        <w:t>1995, Florida Bar v. Went For It, Inc., No. 94-226</w:t>
      </w:r>
    </w:p>
    <w:p w:rsidR="00A31137" w:rsidRPr="00A31137" w:rsidRDefault="00A31137" w:rsidP="00A31137">
      <w:r w:rsidRPr="00A31137">
        <w:t>is so removed from "any exposition of ideas," and from "truth, science, morality, and arts in general, in its diffusion of liberal sentiments on the administration of Government" that it lacks all protection.</w:t>
      </w:r>
    </w:p>
    <w:p w:rsidR="00A31137" w:rsidRPr="00A31137" w:rsidRDefault="00A31137" w:rsidP="00A31137">
      <w:r w:rsidRPr="00A31137">
        <w:t>1995, Florida Bar v. Went For It, Inc., No. 94-226</w:t>
      </w:r>
    </w:p>
    <w:p w:rsidR="00A31137" w:rsidRPr="00A31137" w:rsidRDefault="00A31137" w:rsidP="00A31137">
      <w:r w:rsidRPr="00A31137">
        <w:t>Id. at  762 (citations omitted).</w:t>
      </w:r>
    </w:p>
    <w:p w:rsidR="00A31137" w:rsidRPr="00A31137" w:rsidRDefault="00A31137" w:rsidP="00A31137">
      <w:r w:rsidRPr="00A31137">
        <w:t>1995, Florida Bar v. Went For It, Inc., No. 94-226</w:t>
      </w:r>
    </w:p>
    <w:p w:rsidR="00A31137" w:rsidRPr="00A31137" w:rsidRDefault="00A31137" w:rsidP="00A31137">
      <w:r w:rsidRPr="00A31137">
        <w:t>In Virginia State Board, the Court limited its holding to advertising by pharmacists, noting that</w:t>
      </w:r>
    </w:p>
    <w:p w:rsidR="00A31137" w:rsidRPr="00A31137" w:rsidRDefault="00A31137" w:rsidP="00A31137">
      <w:r w:rsidRPr="00A31137">
        <w:t>1995, Florida Bar v. Went For It, Inc., No. 94-226</w:t>
      </w:r>
    </w:p>
    <w:p w:rsidR="00A31137" w:rsidRPr="00A31137" w:rsidRDefault="00A31137" w:rsidP="00A31137">
      <w:r w:rsidRPr="00A31137">
        <w:t>[p]hysicians and lawyers…do not dispense standardized products; they render professional services of almost infinite variety and nature, with the consequent enhanced possibility for confusion and deception if they were to undertake certain kinds of advertising.</w:t>
      </w:r>
    </w:p>
    <w:p w:rsidR="00A31137" w:rsidRPr="00A31137" w:rsidRDefault="00A31137" w:rsidP="00A31137">
      <w:r w:rsidRPr="00A31137">
        <w:t>1995, Florida Bar v. Went For It, Inc., No. 94-226</w:t>
      </w:r>
    </w:p>
    <w:p w:rsidR="00A31137" w:rsidRPr="00A31137" w:rsidRDefault="00A31137" w:rsidP="00A31137">
      <w:r w:rsidRPr="00A31137">
        <w:t>Id. at  773, n. 25. One year later, however, the Court applied the Virginia State Board principles to invalidate a state rule prohibiting lawyers from advertising in newspapers and other media. In Bates v. State Bar of Arizona, supra, the Court struck a ban on price advertising for what it deemed "routine" legal services: "the uncontested divorce, the simple adoption, the uncontested personal bankruptcy, the change of name, and the like." Id. at  372. Expressing confidence that legal advertising would only be practicable for such simple, standardized services, the Court rejected the State's proffered justifications for regulation.</w:t>
      </w:r>
    </w:p>
    <w:p w:rsidR="00A31137" w:rsidRPr="00A31137" w:rsidRDefault="00A31137" w:rsidP="00A31137">
      <w:r w:rsidRPr="00A31137">
        <w:t>1995, Florida Bar v. Went For It, Inc., No. 94-226</w:t>
      </w:r>
    </w:p>
    <w:p w:rsidR="00A31137" w:rsidRPr="00A31137" w:rsidRDefault="00A31137" w:rsidP="00A31137">
      <w:r w:rsidRPr="00A31137">
        <w:t>Nearly two decades of cases have built upon the foundation laid by Bates. It is now well established that lawyer advertising is commercial speech and, as such, is accorded a measure of First Amendment protection. See, e.g., Shapero v. Kentucky Bar Assn., 486 U.S. 466, 472 (1988); Zauderer v. Office of Disciplinary Counsel of Supreme Court of Ohio, 471 U.S. 626, 637 (1985); In re R. M. J., 455 U.S. 191, 199 (1982). Such First Amendment protection, of course, is not absolute. We have always been careful to distinguish commercial speech from speech at the First Amendment's core.</w:t>
      </w:r>
    </w:p>
    <w:p w:rsidR="00A31137" w:rsidRPr="00A31137" w:rsidRDefault="00A31137" w:rsidP="00A31137">
      <w:r w:rsidRPr="00A31137">
        <w:t>1995, Florida Bar v. Went For It, Inc., No. 94-226</w:t>
      </w:r>
    </w:p>
    <w:p w:rsidR="00A31137" w:rsidRPr="00A31137" w:rsidRDefault="00A31137" w:rsidP="00A31137">
      <w:r w:rsidRPr="00A31137">
        <w:t>"[C]ommercial speech [enjoys] a limited measure of protection, commensurate with its subordinate position in the scale of First Amendment values," and is subject to "modes of regulation that might be impermissible in the realm of noncommercial expression."</w:t>
      </w:r>
    </w:p>
    <w:p w:rsidR="00A31137" w:rsidRPr="00A31137" w:rsidRDefault="00A31137" w:rsidP="00A31137">
      <w:r w:rsidRPr="00A31137">
        <w:t>1995, Florida Bar v. Went For It, Inc., No. 94-226</w:t>
      </w:r>
    </w:p>
    <w:p w:rsidR="00A31137" w:rsidRPr="00A31137" w:rsidRDefault="00A31137" w:rsidP="00A31137">
      <w:r w:rsidRPr="00A31137">
        <w:t>Board of Trustees of State University of N. Y. v. Fox, 492 U.S. 469, 477 (1989), quoting Ohralik v. Ohio State Bar Assn., 436 U.S. 447,  456 (1978). We have observed that</w:t>
      </w:r>
    </w:p>
    <w:p w:rsidR="00A31137" w:rsidRPr="00A31137" w:rsidRDefault="00A31137" w:rsidP="00A31137">
      <w:r w:rsidRPr="00A31137">
        <w:t>1995, Florida Bar v. Went For It, Inc., No. 94-226</w:t>
      </w:r>
    </w:p>
    <w:p w:rsidR="00A31137" w:rsidRPr="00A31137" w:rsidRDefault="00A31137" w:rsidP="00A31137">
      <w:r w:rsidRPr="00A31137">
        <w:t>"[t]o require a parity of constitutional protection for commercial and noncommercial speech alike could invite dilution, simply by a leveling process, of the force of the Amendment's guarantee with respect to the latter kind of speech."</w:t>
      </w:r>
    </w:p>
    <w:p w:rsidR="00A31137" w:rsidRPr="00A31137" w:rsidRDefault="00A31137" w:rsidP="00A31137">
      <w:r w:rsidRPr="00A31137">
        <w:t>1995, Florida Bar v. Went For It, Inc., No. 94-226</w:t>
      </w:r>
    </w:p>
    <w:p w:rsidR="00A31137" w:rsidRPr="00A31137" w:rsidRDefault="00A31137" w:rsidP="00A31137">
      <w:r w:rsidRPr="00A31137">
        <w:t>492 U.S. at 481, quoting Ohralik, supra, at  456.</w:t>
      </w:r>
    </w:p>
    <w:p w:rsidR="00A31137" w:rsidRPr="00A31137" w:rsidRDefault="00A31137" w:rsidP="00A31137">
      <w:r w:rsidRPr="00A31137">
        <w:t>1995, Florida Bar v. Went For It, Inc., No. 94-226</w:t>
      </w:r>
    </w:p>
    <w:p w:rsidR="00A31137" w:rsidRPr="00A31137" w:rsidRDefault="00A31137" w:rsidP="00A31137">
      <w:r w:rsidRPr="00A31137">
        <w:t>Mindful of these concerns, we engage in "intermediate" scrutiny of restrictions on commercial speech, analyzing them under the framework set forth in Central Hudson Gas &amp; Electric Corp. v. Public Service Comm'n of N. Y., 447 U.S. 557 (1980). Under Central Hudson, the government may freely regulate commercial speech that concerns unlawful activity or is misleading. Id. at 563-564. Commercial speech that falls into neither of those categories, like the advertising at issue here, may be regulated if the government satisfies a test consisting of three related prongs: first, the government must assert a substantial interest in support of its regulation; second, the government must demonstrate that the restriction on commercial speech directly and materially advances that interest; and third, the regulation must be "'narrowly drawn,'" id. at 564-565.</w:t>
      </w:r>
    </w:p>
    <w:p w:rsidR="00A31137" w:rsidRPr="00A31137" w:rsidRDefault="00A31137" w:rsidP="00A31137">
      <w:r w:rsidRPr="00A31137">
        <w:t>B</w:t>
      </w:r>
    </w:p>
    <w:p w:rsidR="00A31137" w:rsidRPr="00A31137" w:rsidRDefault="00A31137" w:rsidP="00A31137">
      <w:r w:rsidRPr="00A31137">
        <w:t>1995, Florida Bar v. Went For It, Inc., No. 94-226</w:t>
      </w:r>
    </w:p>
    <w:p w:rsidR="00A31137" w:rsidRPr="00A31137" w:rsidRDefault="00A31137" w:rsidP="00A31137">
      <w:r w:rsidRPr="00A31137">
        <w:t>"Unlike rational basis review, the Central Hudson standard does not permit us to supplant the precise interests put forward by the State with other suppositions," Edenfield v. Fane, 507 U.S. ___, ___ (1993). The Florida Bar asserts that it has a substantial interest in protecting the privacy and tranquility of personal injury victims and their loved ones against intrusive, unsolicited contact by lawyers. See Brief for Petitioner 8, 25-27; 21 F.3d at 1043-1044. 1 This interest obviously factors into the Bar's paramount (and repeatedly professed) objective of curbing activities that "negatively affec[t] the administration of justice." The Florida Bar: Petition to Amend the Rules Regulating the Florida Bar—Advertising Issues, 571 So.2d at 455; see also Brief for Petitioner 7, 14, 24; 21 F.3d at 1043 (describing Bar's effort "to preserve the integrity of the legal profession"). Because direct mail solicitations in the wake of accidents are perceived by the public as intrusive, the Bar argues, the reputation of the legal profession in the eyes of Floridians has suffered commensurately. See Pet. for Cert. 14-15; Brief for Petitioner 28-29. The regulation, then, is an effort to protect the flagging reputations of Florida lawyers by preventing them from engaging in conduct that, the Bar maintains,</w:t>
      </w:r>
    </w:p>
    <w:p w:rsidR="00A31137" w:rsidRPr="00A31137" w:rsidRDefault="00A31137" w:rsidP="00A31137">
      <w:r w:rsidRPr="00A31137">
        <w:t>1995, Florida Bar v. Went For It, Inc., No. 94-226</w:t>
      </w:r>
    </w:p>
    <w:p w:rsidR="00A31137" w:rsidRPr="00A31137" w:rsidRDefault="00A31137" w:rsidP="00A31137">
      <w:r w:rsidRPr="00A31137">
        <w:t>"is universally regarded as deplorable and beneath common decency because of its intrusion upon the special vulnerability and private grief of victims or their families."</w:t>
      </w:r>
    </w:p>
    <w:p w:rsidR="00A31137" w:rsidRPr="00A31137" w:rsidRDefault="00A31137" w:rsidP="00A31137">
      <w:r w:rsidRPr="00A31137">
        <w:t>1995, Florida Bar v. Went For It, Inc., No. 94-226</w:t>
      </w:r>
    </w:p>
    <w:p w:rsidR="00A31137" w:rsidRPr="00A31137" w:rsidRDefault="00A31137" w:rsidP="00A31137">
      <w:r w:rsidRPr="00A31137">
        <w:t>Brief for Petitioner 28, quoting In re Anis, 126 N.J. 448, 458, 599 A.2d 1265, 1270 (1992).</w:t>
      </w:r>
    </w:p>
    <w:p w:rsidR="00A31137" w:rsidRPr="00A31137" w:rsidRDefault="00A31137" w:rsidP="00A31137">
      <w:r w:rsidRPr="00A31137">
        <w:t>1995, Florida Bar v. Went For It, Inc., No. 94-226</w:t>
      </w:r>
    </w:p>
    <w:p w:rsidR="00A31137" w:rsidRPr="00A31137" w:rsidRDefault="00A31137" w:rsidP="00A31137">
      <w:r w:rsidRPr="00A31137">
        <w:t>We have little trouble crediting the Bar's interest as substantial. On various occasions we have accepted the proposition that</w:t>
      </w:r>
    </w:p>
    <w:p w:rsidR="00A31137" w:rsidRPr="00A31137" w:rsidRDefault="00A31137" w:rsidP="00A31137">
      <w:r w:rsidRPr="00A31137">
        <w:t>1995, Florida Bar v. Went For It, Inc., No. 94-226</w:t>
      </w:r>
    </w:p>
    <w:p w:rsidR="00A31137" w:rsidRPr="00A31137" w:rsidRDefault="00A31137" w:rsidP="00A31137">
      <w:r w:rsidRPr="00A31137">
        <w:t>States have a compelling interest in the practice of professions within their boundaries, and…, as part of their power to protect the public health, safety, and other valid interests, they have broad power to establish standards for licensing practitioners and regulating the practice of professions.</w:t>
      </w:r>
    </w:p>
    <w:p w:rsidR="00A31137" w:rsidRPr="00A31137" w:rsidRDefault="00A31137" w:rsidP="00A31137">
      <w:r w:rsidRPr="00A31137">
        <w:t>1995, Florida Bar v. Went For It, Inc., No. 94-226</w:t>
      </w:r>
    </w:p>
    <w:p w:rsidR="00A31137" w:rsidRPr="00A31137" w:rsidRDefault="00A31137" w:rsidP="00A31137">
      <w:r w:rsidRPr="00A31137">
        <w:t>Goldfarb v. Virginia State Bar, 421 U.S. 773,  792 (1975); see also Ohralik, supra, at  460; Cohen v. Hurley, 366 U.S. 117, 124 (1961). Our precedents also leave no room for doubt that "the protection of potential clients' privacy is a substantial state interest." See Edenfield, supra, at ___. In other contexts, we have consistently recognized that</w:t>
      </w:r>
    </w:p>
    <w:p w:rsidR="00A31137" w:rsidRPr="00A31137" w:rsidRDefault="00A31137" w:rsidP="00A31137">
      <w:r w:rsidRPr="00A31137">
        <w:t>1995, Florida Bar v. Went For It, Inc., No. 94-226</w:t>
      </w:r>
    </w:p>
    <w:p w:rsidR="00A31137" w:rsidRPr="00A31137" w:rsidRDefault="00A31137" w:rsidP="00A31137">
      <w:r w:rsidRPr="00A31137">
        <w:t>[t]he State's interest in protecting the wellbeing, tranquility, and privacy of the home is certainly of the highest order in a free and civilized society.</w:t>
      </w:r>
    </w:p>
    <w:p w:rsidR="00A31137" w:rsidRPr="00A31137" w:rsidRDefault="00A31137" w:rsidP="00A31137">
      <w:r w:rsidRPr="00A31137">
        <w:t>1995, Florida Bar v. Went For It, Inc., No. 94-226</w:t>
      </w:r>
    </w:p>
    <w:p w:rsidR="00A31137" w:rsidRPr="00A31137" w:rsidRDefault="00A31137" w:rsidP="00A31137">
      <w:r w:rsidRPr="00A31137">
        <w:t>Carey v. Brown, 447 U.S. 455, 471 (1980). Indeed, we have noted that</w:t>
      </w:r>
    </w:p>
    <w:p w:rsidR="00A31137" w:rsidRPr="00A31137" w:rsidRDefault="00A31137" w:rsidP="00A31137">
      <w:r w:rsidRPr="00A31137">
        <w:t>1995, Florida Bar v. Went For It, Inc., No. 94-226</w:t>
      </w:r>
    </w:p>
    <w:p w:rsidR="00A31137" w:rsidRPr="00A31137" w:rsidRDefault="00A31137" w:rsidP="00A31137">
      <w:r w:rsidRPr="00A31137">
        <w:t>a special benefit of the privacy all citizens enjoy within their own walls, which the State may legislate to protect, is an ability to avoid intrusions.</w:t>
      </w:r>
    </w:p>
    <w:p w:rsidR="00A31137" w:rsidRPr="00A31137" w:rsidRDefault="00A31137" w:rsidP="00A31137">
      <w:r w:rsidRPr="00A31137">
        <w:t>1995, Florida Bar v. Went For It, Inc., No. 94-226</w:t>
      </w:r>
    </w:p>
    <w:p w:rsidR="00A31137" w:rsidRPr="00A31137" w:rsidRDefault="00A31137" w:rsidP="00A31137">
      <w:r w:rsidRPr="00A31137">
        <w:t>Frisby v. Schultz, 487 U.S. 474, 484-485 (1988).</w:t>
      </w:r>
    </w:p>
    <w:p w:rsidR="00A31137" w:rsidRPr="00A31137" w:rsidRDefault="00A31137" w:rsidP="00A31137">
      <w:r w:rsidRPr="00A31137">
        <w:t>1995, Florida Bar v. Went For It, Inc., No. 94-226</w:t>
      </w:r>
    </w:p>
    <w:p w:rsidR="00A31137" w:rsidRPr="00A31137" w:rsidRDefault="00A31137" w:rsidP="00A31137">
      <w:r w:rsidRPr="00A31137">
        <w:t>Under Central Hudson's second prong, the State must demonstrate that the challenged regulation "advances the Government's interest 'in a direct and material way.'" Rubin v. Coors Brewing Co., 514 U.S. ___, ___ (1995), quoting Edenfield, supra, at ___. That burden, we have explained,</w:t>
      </w:r>
    </w:p>
    <w:p w:rsidR="00A31137" w:rsidRPr="00A31137" w:rsidRDefault="00A31137" w:rsidP="00A31137">
      <w:r w:rsidRPr="00A31137">
        <w:t>1995, Florida Bar v. Went For It, Inc., No. 94-226</w:t>
      </w:r>
    </w:p>
    <w:p w:rsidR="00A31137" w:rsidRPr="00A31137" w:rsidRDefault="00A31137" w:rsidP="00A31137">
      <w:r w:rsidRPr="00A31137">
        <w:t>"is not satisfied by mere speculation and conjecture; rather, a governmental body seeking to sustain a restriction on commercial speech must demonstrate that the harms it recites are real, and that its restriction will, in fact, alleviate them to a material degree."</w:t>
      </w:r>
    </w:p>
    <w:p w:rsidR="00A31137" w:rsidRPr="00A31137" w:rsidRDefault="00A31137" w:rsidP="00A31137">
      <w:r w:rsidRPr="00A31137">
        <w:t>1995, Florida Bar v. Went For It, Inc., No. 94-226</w:t>
      </w:r>
    </w:p>
    <w:p w:rsidR="00A31137" w:rsidRPr="00A31137" w:rsidRDefault="00A31137" w:rsidP="00A31137">
      <w:r w:rsidRPr="00A31137">
        <w:t>514 U.S. at ___, quoting Edenfield, supra, at ___. In Edenfield, the Court invalidated a Florida ban on in-person solicitation by certified public accountants (CPAs). We observed that the State Board of Accountancy had</w:t>
      </w:r>
    </w:p>
    <w:p w:rsidR="00A31137" w:rsidRPr="00A31137" w:rsidRDefault="00A31137" w:rsidP="00A31137">
      <w:r w:rsidRPr="00A31137">
        <w:t>1995, Florida Bar v. Went For It, Inc., No. 94-226</w:t>
      </w:r>
    </w:p>
    <w:p w:rsidR="00A31137" w:rsidRPr="00A31137" w:rsidRDefault="00A31137" w:rsidP="00A31137">
      <w:r w:rsidRPr="00A31137">
        <w:t>present[ed] no studies that suggest personal solicitation of prospective business clients by CPAs creates the dangers of fraud, overreaching, or compromised independence that the Board claims to fear.</w:t>
      </w:r>
    </w:p>
    <w:p w:rsidR="00A31137" w:rsidRPr="00A31137" w:rsidRDefault="00A31137" w:rsidP="00A31137">
      <w:r w:rsidRPr="00A31137">
        <w:t>1995, Florida Bar v. Went For It, Inc., No. 94-226</w:t>
      </w:r>
    </w:p>
    <w:p w:rsidR="00A31137" w:rsidRPr="00A31137" w:rsidRDefault="00A31137" w:rsidP="00A31137">
      <w:r w:rsidRPr="00A31137">
        <w:t>Edenfield, supra, at ___ . Moreover, "[t]he record [did] not disclose any anecdotal evidence, either from Florida or another State, that validate[d] the Board's suppositions." Ibid. In fact, we concluded that the only evidence in the record tended to "contradic[t], rather than strengthe[n], the Board's submissions." Id. at ___. Finding nothing in the record to substantiate the State's allegations of harm, we invalidated the regulation.</w:t>
      </w:r>
    </w:p>
    <w:p w:rsidR="00A31137" w:rsidRPr="00A31137" w:rsidRDefault="00A31137" w:rsidP="00A31137">
      <w:r w:rsidRPr="00A31137">
        <w:t>1995, Florida Bar v. Went For It, Inc., No. 94-226</w:t>
      </w:r>
    </w:p>
    <w:p w:rsidR="00A31137" w:rsidRPr="00A31137" w:rsidRDefault="00A31137" w:rsidP="00A31137">
      <w:r w:rsidRPr="00A31137">
        <w:t>The direct mail solicitation regulation before us does not suffer from such infirmities. The Florida Bar submitted a 106-page summary of its 2-year study of lawyer advertising and solicitation to the District Court. That summary contains data—both statistical and anecdotal—supporting the Bar's contentions that the Florida public views direct mail solicitations in the immediate wake of accidents as an intrusion on privacy that reflects poorly upon the profession. As of June, 1989, lawyers mailed 700,000 direct solicitations in Florida annually, 40% of which were aimed at accident victims or their survivors. Summary of the Record in No. 74, 987 (Fla.) on Petition to Amend the Rules Regulating Lawyer Advertising (hereinafter Summary of Record), App. H, p. 2. A survey of Florida adults commissioned by the Bar indicated that Floridians "have negative feelings about those attorneys who use direct mail advertising." Magid Associates, Attitudes &amp; Opinions Toward Direct Mail Advertising by Attorneys (Dec. 1987), Summary of Record, App. C(4), p. 6. Fifty-four percent of the general population surveyed said that contacting persons concerning accidents or similar events is a violation of privacy. Id. at 7. A random sampling of persons who received direct mail advertising from lawyers in 1987 revealed that 45% believed that direct mail solicitation is "designed to take advantage of gullible or unstable people"; 34% found such tactics "annoying or irritating"; 26% found it "an invasion of your privacy"; and 24% reported that it "made you angry." Ibid. Significantly, 27% of direct mail recipients reported that their regard for the legal profession and for the judicial process as a whole was "lower" as a result of receiving the direct mail. Ibid.</w:t>
      </w:r>
    </w:p>
    <w:p w:rsidR="00A31137" w:rsidRPr="00A31137" w:rsidRDefault="00A31137" w:rsidP="00A31137">
      <w:r w:rsidRPr="00A31137">
        <w:t>1995, Florida Bar v. Went For It, Inc., No. 94-226</w:t>
      </w:r>
    </w:p>
    <w:p w:rsidR="00A31137" w:rsidRPr="00A31137" w:rsidRDefault="00A31137" w:rsidP="00A31137">
      <w:r w:rsidRPr="00A31137">
        <w:t>The anecdotal record mustered by the Bar is noteworthy for its breadth and detail. With titles like "Scavenger Lawyers" (The Miami Herald, Sept. 29, 1987) and "Solicitors Out of Bounds" (St. Petersburg Times, Oct. 26, 1987), newspaper editorial pages in Florida have burgeoned with criticism of Florida lawyers who send targeted direct mail to victims shortly after accidents. See Summary of Record, App. B, pp. 1-8 (excerpts from articles); see also Peltz, Legal Advertising—Opening Pandora's Box, 19 Stetson L.Rev. 43, 116 (1989) (listing Florida editorials critical of direct mail solicitation of accident victims in 1987, several of which are referenced in the record). The study summary also includes page upon page of excerpts from complaints of direct mail recipients. For example, a Florida citizen described how he was "'appalled and angered by the brazen attempt'" of a law firm to solicit him by letter shortly after he was injured and his fiancee was killed in an auto accident. Summary of Record, App. I(1), p. 2. Another found it "'despicable and inexcusable'" that a Pensacola lawyer wrote to his mother three days after his father's funeral. Ibid. Another described how she was "'astounded'" and then "'very angry'" when she received a solicitation following a minor accident. Id. at 3. Still another described as "'beyond comprehension'" a letter his nephew's family received the day of the nephew's funeral. Ibid. One citizen wrote,</w:t>
      </w:r>
    </w:p>
    <w:p w:rsidR="00A31137" w:rsidRPr="00A31137" w:rsidRDefault="00A31137" w:rsidP="00A31137">
      <w:r w:rsidRPr="00A31137">
        <w:t>1995, Florida Bar v. Went For It, Inc., No. 94-226</w:t>
      </w:r>
    </w:p>
    <w:p w:rsidR="00A31137" w:rsidRPr="00A31137" w:rsidRDefault="00A31137" w:rsidP="00A31137">
      <w:r w:rsidRPr="00A31137">
        <w:t>"I consider the unsolicited contact from you after my child's accident to be of the rankest form of ambulance chasing and in incredibly poor taste…. I cannot begin to express with my limited vocabulary the utter contempt in which I hold you and your kind."</w:t>
      </w:r>
    </w:p>
    <w:p w:rsidR="00A31137" w:rsidRPr="00A31137" w:rsidRDefault="00A31137" w:rsidP="00A31137">
      <w:r w:rsidRPr="00A31137">
        <w:t>1995, Florida Bar v. Went For It, Inc., No. 94-226</w:t>
      </w:r>
    </w:p>
    <w:p w:rsidR="00A31137" w:rsidRPr="00A31137" w:rsidRDefault="00A31137" w:rsidP="00A31137">
      <w:r w:rsidRPr="00A31137">
        <w:t>Ibid.</w:t>
      </w:r>
    </w:p>
    <w:p w:rsidR="00A31137" w:rsidRPr="00A31137" w:rsidRDefault="00A31137" w:rsidP="00A31137">
      <w:r w:rsidRPr="00A31137">
        <w:t>1995, Florida Bar v. Went For It, Inc., No. 94-226</w:t>
      </w:r>
    </w:p>
    <w:p w:rsidR="00A31137" w:rsidRPr="00A31137" w:rsidRDefault="00A31137" w:rsidP="00A31137">
      <w:r w:rsidRPr="00A31137">
        <w:t>In light of this showing—which respondents at no time refuted, save by the conclusory assertion that the rule lacked "any factual basis," Plaintiffs' Motion for Summary Judgment and Supplementary Memorandum of Law in No. 92-370-Civ. (MD Fla.), p. 5—we conclude that the Bar has satisfied the second prong of the Central Hudson test. In dissent, JUSTICE KENNEDY complains that we have before us few indications of the sample size or selection procedures employed by Magid Associates (a nationally renowned consulting firm) and no copies of the actual surveys employed. See post at ___. As stated, we believe the evidence adduced by the Bar is sufficient to meet the standard elaborated in Edenfield, supra. In any event, we do not read our case law to require that empirical data come to us accompanied by a surfeit of background information. Indeed, in other First Amendment contexts, we have permitted litigants to justify speech restrictions by reference to studies and anecdotes pertaining to different locales altogether, see City of Renton v. Playtime Theatres, Inc., 475 U.S. 41, 50-51 (1986); Barnes v. Glen Theatre, Inc., 501 U.S. 560, 584-585 (1991) (SOUTER, J., concurring in the judgment), or even, in a case applying strict scrutiny, to justify restrictions based solely on history, consensus, and "simple common sense," Burson v. Freeman, 504 U.S. 191, 211 (1992). Nothing in Edenfield, supra, a case in which the State offered no evidence or anecdotes in support of its restriction, requires more. After scouring the record, we are satisfied that the ban on direct mail solicitation in the immediate aftermath of accidents, unlike the rule at issue in Edenfield, targets a concrete, nonspeculative harm.</w:t>
      </w:r>
    </w:p>
    <w:p w:rsidR="00A31137" w:rsidRPr="00A31137" w:rsidRDefault="00A31137" w:rsidP="00A31137">
      <w:r w:rsidRPr="00A31137">
        <w:t>1995, Florida Bar v. Went For It, Inc., No. 94-226</w:t>
      </w:r>
    </w:p>
    <w:p w:rsidR="00A31137" w:rsidRPr="00A31137" w:rsidRDefault="00A31137" w:rsidP="00A31137">
      <w:r w:rsidRPr="00A31137">
        <w:t>In reaching a contrary conclusion, the Court of Appeals determined that this case was governed squarely by Shapero v. Kentucky Bar Assn., 486 U.S. 466 (1988). Making no mention of the Bar's study, the court concluded that</w:t>
      </w:r>
    </w:p>
    <w:p w:rsidR="00A31137" w:rsidRPr="00A31137" w:rsidRDefault="00A31137" w:rsidP="00A31137">
      <w:r w:rsidRPr="00A31137">
        <w:t>1995, Florida Bar v. Went For It, Inc., No. 94-226</w:t>
      </w:r>
    </w:p>
    <w:p w:rsidR="00A31137" w:rsidRPr="00A31137" w:rsidRDefault="00A31137" w:rsidP="00A31137">
      <w:r w:rsidRPr="00A31137">
        <w:t>"a targeted letter [does not] invade the recipient's privacy any more than does a substantively identical letter mailed at large. The invasion, if any, occurs when the lawyer discovers the recipient's legal affairs, not when he confronts the recipient with the discovery."</w:t>
      </w:r>
    </w:p>
    <w:p w:rsidR="00A31137" w:rsidRPr="00A31137" w:rsidRDefault="00A31137" w:rsidP="00A31137">
      <w:r w:rsidRPr="00A31137">
        <w:t>1995, Florida Bar v. Went For It, Inc., No. 94-226</w:t>
      </w:r>
    </w:p>
    <w:p w:rsidR="00A31137" w:rsidRPr="00A31137" w:rsidRDefault="00A31137" w:rsidP="00A31137">
      <w:r w:rsidRPr="00A31137">
        <w:t>21 F.3d at 1044, quoting Shapero, supra, at 476. In many cases, the Court of Appeals explained, "this invasion of privacy will involve no more than reading the newspaper." 21 F.3d at 1044.</w:t>
      </w:r>
    </w:p>
    <w:p w:rsidR="00A31137" w:rsidRPr="00A31137" w:rsidRDefault="00A31137" w:rsidP="00A31137">
      <w:r w:rsidRPr="00A31137">
        <w:t>1995, Florida Bar v. Went For It, Inc., No. 94-226</w:t>
      </w:r>
    </w:p>
    <w:p w:rsidR="00A31137" w:rsidRPr="00A31137" w:rsidRDefault="00A31137" w:rsidP="00A31137">
      <w:r w:rsidRPr="00A31137">
        <w:t>While some of Shapero's language might be read to support the Court of Appeals' interpretation, Shapero differs in several fundamental respects from the case before us. First and foremost, Shapero's treatment of privacy was casual. Contrary to the dissent's suggestions, post at ___, the State in Shapero did not seek to justify its regulation as a measure undertaken to prevent lawyers' invasions of privacy interests. See generally Brief for Respondent in Shapero v. Kentucky Bar Assn., O.T. 1987, No. 87-16. Rather, the State focused exclusively on the special dangers of overreaching inhering in targeted solicitations. Ibid. Second, in contrast to this case, Shapero dealt with a broad ban on all direct mail solicitations, whatever the time frame and whoever the recipient. Finally, the State in Shapero assembled no evidence attempting to demonstrate any actual harm caused by targeted direct mail. The Court rejected the State's effort to justify a prophylactic ban on the basis of blanket, untested assertions of undue influence and overreaching. 486 U.S. at 475. Because the State did not make a privacy-based argument at all, its empirical showing on that issue was similarly infirm.</w:t>
      </w:r>
    </w:p>
    <w:p w:rsidR="00A31137" w:rsidRPr="00A31137" w:rsidRDefault="00A31137" w:rsidP="00A31137">
      <w:r w:rsidRPr="00A31137">
        <w:t>1995, Florida Bar v. Went For It, Inc., No. 94-226</w:t>
      </w:r>
    </w:p>
    <w:p w:rsidR="00A31137" w:rsidRPr="00A31137" w:rsidRDefault="00A31137" w:rsidP="00A31137">
      <w:r w:rsidRPr="00A31137">
        <w:t>We find the Court's perfunctory treatment of privacy in Shapero to be of little utility in assessing this ban on targeted solicitation of victims in the immediate aftermath of accidents. While it is undoubtedly true that many people find the image of lawyers sifting through accident and police reports in pursuit of prospective clients unpalatable and invasive, this case targets a different kind of intrusion. The Florida Bar has argued, and the record reflects, that a principal purpose of the ban is</w:t>
      </w:r>
    </w:p>
    <w:p w:rsidR="00A31137" w:rsidRPr="00A31137" w:rsidRDefault="00A31137" w:rsidP="00A31137">
      <w:r w:rsidRPr="00A31137">
        <w:t>1995, Florida Bar v. Went For It, Inc., No. 94-226</w:t>
      </w:r>
    </w:p>
    <w:p w:rsidR="00A31137" w:rsidRPr="00A31137" w:rsidRDefault="00A31137" w:rsidP="00A31137">
      <w:r w:rsidRPr="00A31137">
        <w:t>protecting the personal privacy and tranquility of [Florida's] citizens from crass commercial intrusion by attorneys upon their personal grief in times of trauma.</w:t>
      </w:r>
    </w:p>
    <w:p w:rsidR="00A31137" w:rsidRPr="00A31137" w:rsidRDefault="00A31137" w:rsidP="00A31137">
      <w:r w:rsidRPr="00A31137">
        <w:t>1995, Florida Bar v. Went For It, Inc., No. 94-226</w:t>
      </w:r>
    </w:p>
    <w:p w:rsidR="00A31137" w:rsidRPr="00A31137" w:rsidRDefault="00A31137" w:rsidP="00A31137">
      <w:r w:rsidRPr="00A31137">
        <w:t>Brief for Petitioner 8; cf. Summary of Record, App. I(1) (citizen commentary describing outrage at lawyers' timing in sending solicitation letters). The intrusion targeted by the Bar's regulation stems not from the fact that a lawyer has learned about an accident or disaster (as the Court of Appeals notes, in many instances a lawyer need only read the newspaper to glean this information), but from the lawyer's confrontation of victims or relatives with such information, while wounds are still open, in order to solicit their business. In this respect, an untargeted letter mailed to society at large is different in kind from a targeted solicitation; the untargeted letter involves no willful or knowing affront to or invasion of the tranquility of bereaved or injured individuals and simply does not cause the same kind of reputational harm to the profession unearthed by the Florida Bar's study.</w:t>
      </w:r>
    </w:p>
    <w:p w:rsidR="00A31137" w:rsidRPr="00A31137" w:rsidRDefault="00A31137" w:rsidP="00A31137">
      <w:r w:rsidRPr="00A31137">
        <w:t>1995, Florida Bar v. Went For It, Inc., No. 94-226</w:t>
      </w:r>
    </w:p>
    <w:p w:rsidR="00A31137" w:rsidRPr="00A31137" w:rsidRDefault="00A31137" w:rsidP="00A31137">
      <w:r w:rsidRPr="00A31137">
        <w:t>Nor do we find Bolger v. Youngs Drug Products Corp., 463 U.S. 60 (1983), dispositive of the issue, despite any superficial resemblance. In Bolger, we rejected the Federal Government's paternalistic effort to ban potentially "offensive" and "intrusive" direct mail advertisements for contraceptives. Minimizing the Government's allegations of harm, we reasoned that</w:t>
      </w:r>
    </w:p>
    <w:p w:rsidR="00A31137" w:rsidRPr="00A31137" w:rsidRDefault="00A31137" w:rsidP="00A31137">
      <w:r w:rsidRPr="00A31137">
        <w:t>1995, Florida Bar v. Went For It, Inc., No. 94-226</w:t>
      </w:r>
    </w:p>
    <w:p w:rsidR="00A31137" w:rsidRPr="00A31137" w:rsidRDefault="00A31137" w:rsidP="00A31137">
      <w:r w:rsidRPr="00A31137">
        <w:t>[r]ecipients of objectionable mailings…may "effectively avoid further bombardment of their sensibilities simply by averting their eyes."</w:t>
      </w:r>
    </w:p>
    <w:p w:rsidR="00A31137" w:rsidRPr="00A31137" w:rsidRDefault="00A31137" w:rsidP="00A31137">
      <w:r w:rsidRPr="00A31137">
        <w:t>1995, Florida Bar v. Went For It, Inc., No. 94-226</w:t>
      </w:r>
    </w:p>
    <w:p w:rsidR="00A31137" w:rsidRPr="00A31137" w:rsidRDefault="00A31137" w:rsidP="00A31137">
      <w:r w:rsidRPr="00A31137">
        <w:t>Id. at 72, quoting Cohen v. California, 403 U.S. 15,  21 (1971). We found that the "'short, though regular, journey from mail box to trash can…is an acceptable burden at least so far as the Constitution is concerned.'" 463 U.S. at 72 (ellipses in original), quoting Lamont v. Commissioner of Motor Vehicles, 269 F.Supp. 880, 883 (SDNY), summarily aff'd, 386 F.2d 449 (CA2 1967). Concluding that citizens have at their disposal ample means of averting any substantial injury inhering in the delivery of objectionable contraceptive material, we deemed the State's intercession unnecessary and unduly restrictive.</w:t>
      </w:r>
    </w:p>
    <w:p w:rsidR="00A31137" w:rsidRPr="00A31137" w:rsidRDefault="00A31137" w:rsidP="00A31137">
      <w:r w:rsidRPr="00A31137">
        <w:t>1995, Florida Bar v. Went For It, Inc., No. 94-226</w:t>
      </w:r>
    </w:p>
    <w:p w:rsidR="00A31137" w:rsidRPr="00A31137" w:rsidRDefault="00A31137" w:rsidP="00A31137">
      <w:r w:rsidRPr="00A31137">
        <w:t>Here, in contrast, the harm targeted by the Florida Bar cannot be eliminated by a brief journey to the trash can. The purpose of the 30-day targeted direct mail ban is to forestall the outrage and irritation with the state-licensed legal profession that the practice of direct solicitation only days after accidents has engendered. The Bar is concerned not with citizens' "offense" in the abstract, see post at ___, but with the demonstrable detrimental effects that such "offense" has on the profession it regulates. See Brief for Petitioner 7, 14, 24, 28. 2 Moreover, the harm posited by the Bar is as much a function of simple receipt of targeted solicitations within days of accidents as it is a function of the letters' contents. Throwing the letter away shortly after opening it may minimize the latter intrusion, but it does little to combat the former. We see no basis in Bolger, nor in the other, similar cases cited by the dissent, post at ___, for dismissing the Florida Bar's assertions of harm, particularly given the unrefuted empirical and anecdotal basis for the Bar's conclusions.</w:t>
      </w:r>
    </w:p>
    <w:p w:rsidR="00A31137" w:rsidRPr="00A31137" w:rsidRDefault="00A31137" w:rsidP="00A31137">
      <w:r w:rsidRPr="00A31137">
        <w:t>1995, Florida Bar v. Went For It, Inc., No. 94-226</w:t>
      </w:r>
    </w:p>
    <w:p w:rsidR="00A31137" w:rsidRPr="00A31137" w:rsidRDefault="00A31137" w:rsidP="00A31137">
      <w:r w:rsidRPr="00A31137">
        <w:t>Passing to Central Hudson's third prong, we examine the relationship between the Florida Bar's interests and the means chosen to serve them. See Board of Trustees of State University of N.Y. v. Fox, 492 U.S. at 480. With respect to this prong, the differences between commercial speech and noncommercial speech are manifest. In Fox, we made clear that the "least restrictive means" test has no role in the commercial speech context. Ibid. "What our decisions require," instead,</w:t>
      </w:r>
    </w:p>
    <w:p w:rsidR="00A31137" w:rsidRPr="00A31137" w:rsidRDefault="00A31137" w:rsidP="00A31137">
      <w:r w:rsidRPr="00A31137">
        <w:t>1995, Florida Bar v. Went For It, Inc., No. 94-226</w:t>
      </w:r>
    </w:p>
    <w:p w:rsidR="00A31137" w:rsidRPr="00A31137" w:rsidRDefault="00A31137" w:rsidP="00A31137">
      <w:r w:rsidRPr="00A31137">
        <w:t>is a "fit" between the legislature's ends and the means chosen to accomplish those ends, a fit that is not necessarily perfect, but reasonable; that represents not necessarily the single best disposition but one whose scope is "in proportion to the interest served," that employs not necessarily the least restrictive means but…a means narrowly tailored to achieve the desired objective.</w:t>
      </w:r>
    </w:p>
    <w:p w:rsidR="00A31137" w:rsidRPr="00A31137" w:rsidRDefault="00A31137" w:rsidP="00A31137">
      <w:r w:rsidRPr="00A31137">
        <w:t>1995, Florida Bar v. Went For It, Inc., No. 94-226</w:t>
      </w:r>
    </w:p>
    <w:p w:rsidR="00A31137" w:rsidRPr="00A31137" w:rsidRDefault="00A31137" w:rsidP="00A31137">
      <w:r w:rsidRPr="00A31137">
        <w:t>Ibid. (citations omitted). Of course, we do not equate this test with the less rigorous obstacles of rational basis review; in Cincinnati v. Discovery Network, Inc., 507 U.S. ___, ___, n. 13 (1993), for example, we observed that the existence of</w:t>
      </w:r>
    </w:p>
    <w:p w:rsidR="00A31137" w:rsidRPr="00A31137" w:rsidRDefault="00A31137" w:rsidP="00A31137">
      <w:r w:rsidRPr="00A31137">
        <w:t>1995, Florida Bar v. Went For It, Inc., No. 94-226</w:t>
      </w:r>
    </w:p>
    <w:p w:rsidR="00A31137" w:rsidRPr="00A31137" w:rsidRDefault="00A31137" w:rsidP="00A31137">
      <w:r w:rsidRPr="00A31137">
        <w:t>numerous and obvious less-burdensome alternatives to the restriction on commercial speech…is certainly a relevant consideration in determining whether the "fit" between ends and means is reasonable.</w:t>
      </w:r>
    </w:p>
    <w:p w:rsidR="00A31137" w:rsidRPr="00A31137" w:rsidRDefault="00A31137" w:rsidP="00A31137">
      <w:r w:rsidRPr="00A31137">
        <w:t>1995, Florida Bar v. Went For It, Inc., No. 94-226</w:t>
      </w:r>
    </w:p>
    <w:p w:rsidR="00A31137" w:rsidRPr="00A31137" w:rsidRDefault="00A31137" w:rsidP="00A31137">
      <w:r w:rsidRPr="00A31137">
        <w:t>Respondents levy a great deal of criticism, echoed in the dissent, post at ___ at the scope of the Bar's restriction on targeted mail. "[B]y prohibiting written communications to all people, whatever their state of mind," respondents charge, the rule "keeps useful information from those accident victims who are ready, willing and able to utilize a lawyer's advice." Brief for Respondents 14. This criticism may be parsed into two components. First, the rule does not distinguish between victims in terms of the severity of their injuries. According to respondents, the rule is unconstitutionally overinclusive insofar as it bans targeted mailings even to citizens whose injuries or grief are relatively minor. Id. at 15. Second, the rule may prevent citizens from learning about their legal options, particularly at a time when other actors—opposing counsel and insurance adjusters—may be clamoring for victims' attentions. Any benefit arising from the Bar's regulation, respondents implicitly contend, is outweighed by these costs.</w:t>
      </w:r>
    </w:p>
    <w:p w:rsidR="00A31137" w:rsidRPr="00A31137" w:rsidRDefault="00A31137" w:rsidP="00A31137">
      <w:r w:rsidRPr="00A31137">
        <w:t>1995, Florida Bar v. Went For It, Inc., No. 94-226</w:t>
      </w:r>
    </w:p>
    <w:p w:rsidR="00A31137" w:rsidRPr="00A31137" w:rsidRDefault="00A31137" w:rsidP="00A31137">
      <w:r w:rsidRPr="00A31137">
        <w:t>We are not persuaded by respondents' allegations of constitutional infirmity. We find little deficiency in the ban's failure to distinguish among injured Floridians by the severity of their pain or the intensity of their grief. Indeed, it is hard to imagine the contours of a regulation that might satisfy respondents on this score. Rather than drawing difficult lines on the basis that some injuries are "severe" and some situations appropriate (and others, presumably, inappropriate) for grief, anger, or emotion, the Florida Bar has crafted a ban applicable to all post-accident or disaster solicitations for a brief 30-day period. Unlike respondents, we do not see "numerous and obvious less-burdensome alternatives" to Florida's short temporal ban. Cincinnati, supra, at ___, n. 13. The Bar's rule is reasonably well tailored to its stated objective of eliminating targeted mailings whose type and timing are a source of distress to Floridians, distress that has caused many of them to lose respect for the legal profession.</w:t>
      </w:r>
    </w:p>
    <w:p w:rsidR="00A31137" w:rsidRPr="00A31137" w:rsidRDefault="00A31137" w:rsidP="00A31137">
      <w:r w:rsidRPr="00A31137">
        <w:t>1995, Florida Bar v. Went For It, Inc., No. 94-226</w:t>
      </w:r>
    </w:p>
    <w:p w:rsidR="00A31137" w:rsidRPr="00A31137" w:rsidRDefault="00A31137" w:rsidP="00A31137">
      <w:r w:rsidRPr="00A31137">
        <w:t>Respondents' second point would have force if the Bar's rule were not limited to a brief period and if there were not many other ways for injured Floridians to learn about the availability of legal representation during that time. Our lawyer advertising cases have afforded lawyers a great deal of leeway to devise innovative ways to attract new business. Florida permits lawyers to advertise on prime-time television and radio as well as in newspapers and other media. They may rent space on billboards. They may send untargeted letters to the general population, or to discrete segments thereof. There are, of course, pages upon pages devoted to lawyers in the Yellow Pages of Florida telephone directories. These listings are organized alphabetically and by area of specialty. See generally Rule 4-7.2(a), Rules Regulating The Florida Bar ("[A] lawyer may advertise services through public media, such as a telephone directory, legal directory, newspaper or other periodical, billboards and other signs, radio, television, and recorded messages the public may access by dialing a telephone number, or through written communication not involving solicitation as defined in rule 4-7.4"); The Florida Bar: Petition to Amend the Rules Regulating The Florida Bar—Advertising Issues, 571 So.2d at 461. These ample alternative channels for receipt of information about the availability of legal representation during the 30-day period following accidents may explain why, despite the ample evidence, testimony, and commentary submitted by those favoring (as well as opposing) unrestricted direct mail solicitation, respondents have not pointed to—and we have not independently found—a single example of an individual case in which immediate solicitation helped to avoid, or failure to solicit within 30 days brought about, the harms that concern the dissent, see post at ___. In fact, the record contains considerable empirical survey information suggesting that Floridians have little difficulty finding lawyers when they need one. See, e.g., Summary of Record, App. C(4), p. 7; id. App. C(5), p. 8. Finding no basis to question the commonsense conclusion that the many alternative channels for communicating necessary information about attorneys are sufficient, we see no defect in Florida's regulation.</w:t>
      </w:r>
    </w:p>
    <w:p w:rsidR="00A31137" w:rsidRPr="00A31137" w:rsidRDefault="00A31137" w:rsidP="00A31137">
      <w:r w:rsidRPr="00A31137">
        <w:t>III</w:t>
      </w:r>
    </w:p>
    <w:p w:rsidR="00A31137" w:rsidRPr="00A31137" w:rsidRDefault="00A31137" w:rsidP="00A31137">
      <w:r w:rsidRPr="00A31137">
        <w:t>1995, Florida Bar v. Went For It, Inc., No. 94-226</w:t>
      </w:r>
    </w:p>
    <w:p w:rsidR="00A31137" w:rsidRPr="00A31137" w:rsidRDefault="00A31137" w:rsidP="00A31137">
      <w:r w:rsidRPr="00A31137">
        <w:t>Speech by professionals obviously has many dimensions. There are circumstances in which we will accord speech by attorneys on public issues and matters of legal representation the strongest protection our Constitution has to offer. See, e.g., Gentile v. State Bar of Nevada, 501 U.S. 1030 (1991); In re Primus, 436 U.S. 412 (1978). This case, however, concerns pure commercial advertising, for which we have always reserved a lesser degree of protection under the First Amendment. Particularly because the standards and conduct of state-licensed lawyers have traditionally been subject to extensive regulation by the States, it is all the more appropriate that we limit our scrutiny of state regulations to a level commensurate with the "'subordinate position'" of commercial speech in the scale of First Amendment values. Fox, 492 U.S. at 477, quoting Ohralik, 436 U.S. at  456.</w:t>
      </w:r>
    </w:p>
    <w:p w:rsidR="00A31137" w:rsidRPr="00A31137" w:rsidRDefault="00A31137" w:rsidP="00A31137">
      <w:r w:rsidRPr="00A31137">
        <w:t>1995, Florida Bar v. Went For It, Inc., No. 94-226</w:t>
      </w:r>
    </w:p>
    <w:p w:rsidR="00A31137" w:rsidRPr="00A31137" w:rsidRDefault="00A31137" w:rsidP="00A31137">
      <w:r w:rsidRPr="00A31137">
        <w:t>We believe that the Florida Bar's 30-day restriction on targeted direct mail solicitation of accident victims and their relatives withstands scrutiny under the three-part Central Hudson test that we have devised for this context. The Bar has substantial interest both in protecting injured Floridians from invasive conduct by lawyers and in preventing the erosion of confidence in the profession that such repeated invasions have engendered. The Bar's proffered study, unrebutted by respondents below, provides evidence indicating that the harms it targets are far from illusory. The palliative devised by the Bar to address these harms is narrow both in scope and in duration. The Constitution, in our view, requires nothing more.</w:t>
      </w:r>
    </w:p>
    <w:p w:rsidR="00A31137" w:rsidRPr="00A31137" w:rsidRDefault="00A31137" w:rsidP="00A31137">
      <w:r w:rsidRPr="00A31137">
        <w:t>1995, Florida Bar v. Went For It, Inc., No. 94-226</w:t>
      </w:r>
    </w:p>
    <w:p w:rsidR="00A31137" w:rsidRPr="00A31137" w:rsidRDefault="00A31137" w:rsidP="00A31137">
      <w:r w:rsidRPr="00A31137">
        <w:t>The judgment of the Court of Appeals, accordingly, is</w:t>
      </w:r>
    </w:p>
    <w:p w:rsidR="00A31137" w:rsidRPr="00A31137" w:rsidRDefault="00A31137" w:rsidP="00A31137">
      <w:r w:rsidRPr="00A31137">
        <w:t>1995, Florida Bar v. Went For It, Inc., No. 94-226</w:t>
      </w:r>
    </w:p>
    <w:p w:rsidR="00A31137" w:rsidRPr="00A31137" w:rsidRDefault="00A31137" w:rsidP="00A31137">
      <w:r w:rsidRPr="00A31137">
        <w:t>Reversed.</w:t>
      </w:r>
    </w:p>
    <w:p w:rsidR="00A31137" w:rsidRPr="00A31137" w:rsidRDefault="00A31137" w:rsidP="00A31137">
      <w:r w:rsidRPr="00A31137">
        <w:t>KENNEDY, J., dissenting</w:t>
      </w:r>
    </w:p>
    <w:p w:rsidR="00A31137" w:rsidRPr="00A31137" w:rsidRDefault="00A31137" w:rsidP="00A31137">
      <w:r w:rsidRPr="00A31137">
        <w:t>1995, Florida Bar v. Went For It, Inc., No. 94-226</w:t>
      </w:r>
    </w:p>
    <w:p w:rsidR="00A31137" w:rsidRPr="00A31137" w:rsidRDefault="00A31137" w:rsidP="00A31137">
      <w:r w:rsidRPr="00A31137">
        <w:t>JUSTICE KENNEDY, with whom JUSTICE STEVENS, JUSTICE SOUTER, and JUSTICE GINSBURG join, dissenting.</w:t>
      </w:r>
    </w:p>
    <w:p w:rsidR="00A31137" w:rsidRPr="00A31137" w:rsidRDefault="00A31137" w:rsidP="00A31137">
      <w:r w:rsidRPr="00A31137">
        <w:t>1995, Florida Bar v. Went For It, Inc., No. 94-226</w:t>
      </w:r>
    </w:p>
    <w:p w:rsidR="00A31137" w:rsidRPr="00A31137" w:rsidRDefault="00A31137" w:rsidP="00A31137">
      <w:r w:rsidRPr="00A31137">
        <w:t>Attorneys who communicate their willingness to assist potential clients are engaged in speech protected by the First and Fourteenth Amendments. That principle has been understood since Bates v. State Bar of Arizona, 433 U.S. 350 (1977). The Court today undercuts this guarantee in an important class of cases and unsettles leading First Amendment precedents at the expense of those victims most in need of legal assistance. With all respect for the Court, in my view, its solicitude for the privacy of victims and its concern for our profession are misplaced and self-defeating, even upon the Court's own premises.</w:t>
      </w:r>
    </w:p>
    <w:p w:rsidR="00A31137" w:rsidRPr="00A31137" w:rsidRDefault="00A31137" w:rsidP="00A31137">
      <w:r w:rsidRPr="00A31137">
        <w:t>1995, Florida Bar v. Went For It, Inc., No. 94-226</w:t>
      </w:r>
    </w:p>
    <w:p w:rsidR="00A31137" w:rsidRPr="00A31137" w:rsidRDefault="00A31137" w:rsidP="00A31137">
      <w:r w:rsidRPr="00A31137">
        <w:t>I take it to be uncontroverted that when an accident results in death or injury, it is often urgent at once to investigate the occurrence, identify witnesses, and preserve evidence. Vital interests in speech and expression are, therefore at stake when by law an attorney cannot direct a letter to the victim or the family explaining this simple fact and offering competent legal assistance. Meanwhile, represented and better informed parties, or parties who have been solicited in ways more sophisticated and indirect, may be at work. Indeed, these parties, either themselves or by their attorneys, investigators, and adjusters, are free to contact the unrepresented persons to gather evidence or offer settlement. This scheme makes little sense. As is often true when the law makes little sense, it is not first principles but their interpretation and application that have gone awry.</w:t>
      </w:r>
    </w:p>
    <w:p w:rsidR="00A31137" w:rsidRPr="00A31137" w:rsidRDefault="00A31137" w:rsidP="00A31137">
      <w:r w:rsidRPr="00A31137">
        <w:t>1995, Florida Bar v. Went For It, Inc., No. 94-226</w:t>
      </w:r>
    </w:p>
    <w:p w:rsidR="00A31137" w:rsidRPr="00A31137" w:rsidRDefault="00A31137" w:rsidP="00A31137">
      <w:r w:rsidRPr="00A31137">
        <w:t>Although I agree with the Court that the case can be resolved by following the three-part inquiry we have identified to assess restrictions on commercial speech, Central Hudson Gas &amp; Electric Corp. v. Public Service Comm'n of N.Y., 447 U.S. 557, 566 (1980), a preliminary observation is in order. Speech has the capacity to convey complex substance, yielding various insights and interpretations depending upon the identity of the listener or the reader and the context of its transmission. It would oversimplify to say that what we consider here is commercial speech and nothing more, for, in many instances, the banned communications may be vital to the recipients' right to petition the courts for redress of grievances. The complex nature of expression is one reason why even so-called commercial speech has become an essential part of the public discourse the First Amendment secures. See, e.g., Edenfield v. Fane, 507 U.S. __, __ (1993). If our commercial speech rules are to control this case, then, it is imperative to apply them with exacting care and fidelity to our precedents, for what is at stake is the suppression of information and knowledge that transcends the financial self-interests of the speaker.</w:t>
      </w:r>
    </w:p>
    <w:p w:rsidR="00A31137" w:rsidRPr="00A31137" w:rsidRDefault="00A31137" w:rsidP="00A31137">
      <w:r w:rsidRPr="00A31137">
        <w:t>I</w:t>
      </w:r>
    </w:p>
    <w:p w:rsidR="00A31137" w:rsidRPr="00A31137" w:rsidRDefault="00A31137" w:rsidP="00A31137">
      <w:r w:rsidRPr="00A31137">
        <w:t>1995, Florida Bar v. Went For It, Inc., No. 94-226</w:t>
      </w:r>
    </w:p>
    <w:p w:rsidR="00A31137" w:rsidRPr="00A31137" w:rsidRDefault="00A31137" w:rsidP="00A31137">
      <w:r w:rsidRPr="00A31137">
        <w:t>As the Court notes, the first of the Central Hudson factors to be considered is whether the interest the State pursues in enacting the speech restriction is a substantial one. Ante at ___. The State says two different interests meet this standard. The first is the interest "in protecting the personal privacy and tranquility" of the victim and his or her family. Brief for Petitioner 8. As the Court notes, that interest has recognition in our decisions as a general matter; but it does not follow that the privacy interest in the cases the majority cites is applicable here. The problem the Court confronts, and cannot overcome, is our recent decision in Shapero v. Kentucky Bar Assn., 486 U.S. 466 (1988). In assessing the importance of the interest in that solicitation case, we made an explicit distinction between direct in-person solicitations and direct mail solicitations. Shapero, like this case, involved a direct mail solicitation, and there the State recited its fears of "overreaching and undue influence." Id. at 475. We found, however, no such dangers presented by direct mail advertising. We reasoned that</w:t>
      </w:r>
    </w:p>
    <w:p w:rsidR="00A31137" w:rsidRPr="00A31137" w:rsidRDefault="00A31137" w:rsidP="00A31137">
      <w:r w:rsidRPr="00A31137">
        <w:t>1995, Florida Bar v. Went For It, Inc., No. 94-226</w:t>
      </w:r>
    </w:p>
    <w:p w:rsidR="00A31137" w:rsidRPr="00A31137" w:rsidRDefault="00A31137" w:rsidP="00A31137">
      <w:r w:rsidRPr="00A31137">
        <w:t>[a] letter, like a printed advertisement (but unlike a lawyer), can readily be put in a drawer to be considered later, ignored, or discarded.</w:t>
      </w:r>
    </w:p>
    <w:p w:rsidR="00A31137" w:rsidRPr="00A31137" w:rsidRDefault="00A31137" w:rsidP="00A31137">
      <w:r w:rsidRPr="00A31137">
        <w:t>1995, Florida Bar v. Went For It, Inc., No. 94-226</w:t>
      </w:r>
    </w:p>
    <w:p w:rsidR="00A31137" w:rsidRPr="00A31137" w:rsidRDefault="00A31137" w:rsidP="00A31137">
      <w:r w:rsidRPr="00A31137">
        <w:t>Id. at 475-476. We pointed out that</w:t>
      </w:r>
    </w:p>
    <w:p w:rsidR="00A31137" w:rsidRPr="00A31137" w:rsidRDefault="00A31137" w:rsidP="00A31137">
      <w:r w:rsidRPr="00A31137">
        <w:t>1995, Florida Bar v. Went For It, Inc., No. 94-226</w:t>
      </w:r>
    </w:p>
    <w:p w:rsidR="00A31137" w:rsidRPr="00A31137" w:rsidRDefault="00A31137" w:rsidP="00A31137">
      <w:r w:rsidRPr="00A31137">
        <w:t>[t]he relevant inquiry is not whether there exist potential clients whose "condition" makes them susceptible to undue influence, but whether the mode of communication poses a serious danger that lawyers will exploit any such susceptibility.</w:t>
      </w:r>
    </w:p>
    <w:p w:rsidR="00A31137" w:rsidRPr="00A31137" w:rsidRDefault="00A31137" w:rsidP="00A31137">
      <w:r w:rsidRPr="00A31137">
        <w:t>1995, Florida Bar v. Went For It, Inc., No. 94-226</w:t>
      </w:r>
    </w:p>
    <w:p w:rsidR="00A31137" w:rsidRPr="00A31137" w:rsidRDefault="00A31137" w:rsidP="00A31137">
      <w:r w:rsidRPr="00A31137">
        <w:t>Id. at 474. In assessing the substantiality of the evils to be prevented, we concluded that "the mode of communication makes all the difference." Id. at 475. The direct mail in Shapero did not present the justification for regulation of speech presented in Ohralik v. Ohio State Bar Assn., 436 U.S. 447 (1978) (a lawyer's direct, in-person solicitation of personal injury business may be prohibited by the State). See also Edenfield, supra, (an accountant's direct, in-person solicitation of accounting business did implicate a privacy interest, though not one permitting state suppression of speech when other factors were considered).</w:t>
      </w:r>
    </w:p>
    <w:p w:rsidR="00A31137" w:rsidRPr="00A31137" w:rsidRDefault="00A31137" w:rsidP="00A31137">
      <w:r w:rsidRPr="00A31137">
        <w:t>1995, Florida Bar v. Went For It, Inc., No. 94-226</w:t>
      </w:r>
    </w:p>
    <w:p w:rsidR="00A31137" w:rsidRPr="00A31137" w:rsidRDefault="00A31137" w:rsidP="00A31137">
      <w:r w:rsidRPr="00A31137">
        <w:t>To avoid the controlling effect of Shapero in the case before us, the Court seeks to declare that a different privacy interest is implicated. As it sees the matter, the substantial concern is that victims or their families will be offended by receiving a solicitation during their grief and trauma. But we do not allow restrictions on speech to be justified on the ground that the expression might offend the listener. On the contrary, we have said that these "are classically not justifications validating the suppression of expression protected by the First Amendment." Carey v. Population Services International, 431 U.S. 678,  701 (1977). And in Zauderer v. Office of Disciplinary Counsel of Supreme Court of Ohio, 471 U.S. 626 (1985), where we struck down a ban on attorney advertising, we held that</w:t>
      </w:r>
    </w:p>
    <w:p w:rsidR="00A31137" w:rsidRPr="00A31137" w:rsidRDefault="00A31137" w:rsidP="00A31137">
      <w:r w:rsidRPr="00A31137">
        <w:t>1995, Florida Bar v. Went For It, Inc., No. 94-226</w:t>
      </w:r>
    </w:p>
    <w:p w:rsidR="00A31137" w:rsidRPr="00A31137" w:rsidRDefault="00A31137" w:rsidP="00A31137">
      <w:r w:rsidRPr="00A31137">
        <w:t>the mere possibility that some members of the population might find advertising…offensive cannot justify suppressing it. The same must hold true for advertising that some members of the bar might find beneath their dignity.</w:t>
      </w:r>
    </w:p>
    <w:p w:rsidR="00A31137" w:rsidRPr="00A31137" w:rsidRDefault="00A31137" w:rsidP="00A31137">
      <w:r w:rsidRPr="00A31137">
        <w:t>1995, Florida Bar v. Went For It, Inc., No. 94-226</w:t>
      </w:r>
    </w:p>
    <w:p w:rsidR="00A31137" w:rsidRPr="00A31137" w:rsidRDefault="00A31137" w:rsidP="00A31137">
      <w:r w:rsidRPr="00A31137">
        <w:t>Id. at 648.</w:t>
      </w:r>
    </w:p>
    <w:p w:rsidR="00A31137" w:rsidRPr="00A31137" w:rsidRDefault="00A31137" w:rsidP="00A31137">
      <w:r w:rsidRPr="00A31137">
        <w:t>1995, Florida Bar v. Went For It, Inc., No. 94-226</w:t>
      </w:r>
    </w:p>
    <w:p w:rsidR="00A31137" w:rsidRPr="00A31137" w:rsidRDefault="00A31137" w:rsidP="00A31137">
      <w:r w:rsidRPr="00A31137">
        <w:t>We have applied this principle to direct mail cases as well as with respect to general advertising, noting that the right to use the mails is protected by the First Amendment. See Bolger v. Youngs Drug Products Corp., 463 U.S. 60, 76 (1983) (REHNQUIST, J., concurring) (citing Blount v. Rizzi, 400 U.S. 410 (1971)). In Bolger, we held that a statute designed to "shiel[d] recipients of mail from materials that they are likely to find offensive" furthered an interest of "little weight," noting that "we have consistently held that the fact that protected speech may be offensive to some does not justify its suppression." 463 U.S. at 71 (citing Carey, supra, at  701). It is only where an audience is captive that we will assure its protection from some offensive speech. See Consolidated Edison Co. of N.Y. v. Public Service Comm'n of N.Y., 447 U.S. 530, 542 (1980). Outside that context,</w:t>
      </w:r>
    </w:p>
    <w:p w:rsidR="00A31137" w:rsidRPr="00A31137" w:rsidRDefault="00A31137" w:rsidP="00A31137">
      <w:r w:rsidRPr="00A31137">
        <w:t>1995, Florida Bar v. Went For It, Inc., No. 94-226</w:t>
      </w:r>
    </w:p>
    <w:p w:rsidR="00A31137" w:rsidRPr="00A31137" w:rsidRDefault="00A31137" w:rsidP="00A31137">
      <w:r w:rsidRPr="00A31137">
        <w:t>we have never held that the Government itself can shut off the flow of mailings to protect those recipients who might potentially be offended.</w:t>
      </w:r>
    </w:p>
    <w:p w:rsidR="00A31137" w:rsidRPr="00A31137" w:rsidRDefault="00A31137" w:rsidP="00A31137">
      <w:r w:rsidRPr="00A31137">
        <w:t>1995, Florida Bar v. Went For It, Inc., No. 94-226</w:t>
      </w:r>
    </w:p>
    <w:p w:rsidR="00A31137" w:rsidRPr="00A31137" w:rsidRDefault="00A31137" w:rsidP="00A31137">
      <w:r w:rsidRPr="00A31137">
        <w:t>Bolger, supra, at 72. The occupants of a household receiving mailings are not a captive audience, ibid. and the asserted interest in preventing their offense should be no more controlling here than in our prior cases. All the recipient of objectionable mailings need do is to take "the 'short, though regular, journey from mail box to trash can.'" Ibid. (citation omitted). As we have observed, this is "an acceptable burden at least so far as the Constitution is concerned." Ibid. If these cases forbidding restrictions on speech that might be offensive are to be overruled, the Court should say so.</w:t>
      </w:r>
    </w:p>
    <w:p w:rsidR="00A31137" w:rsidRPr="00A31137" w:rsidRDefault="00A31137" w:rsidP="00A31137">
      <w:r w:rsidRPr="00A31137">
        <w:t>1995, Florida Bar v. Went For It, Inc., No. 94-226</w:t>
      </w:r>
    </w:p>
    <w:p w:rsidR="00A31137" w:rsidRPr="00A31137" w:rsidRDefault="00A31137" w:rsidP="00A31137">
      <w:r w:rsidRPr="00A31137">
        <w:t>In the face of these difficulties of logic and precedent, the State and the opinion of the Court turn to a second interest: protecting the reputation and dignity of the legal profession. The argument is, it seems fair to say, that all are demeaned by the crass behavior of a few. The argument takes a further step in the amicus brief filed by the Association of Trial Lawyers of America. There it is said that disrespect for the profession from this sort of solicitation (but presumably from no other sort of solicitation) results in lower jury verdicts. In a sense, of course, these arguments are circular. While disrespect will arise from an unethical or improper practice, the majority begs a most critical question by assuming that direct mail solicitations constitute such a practice. The fact is, however, that direct solicitation may serve vital purposes and promote the administration of justice, and to the extent the bar seeks to protect lawyers' reputations by preventing them from engaging in speech some deem offensive, the State is doing nothing more (as amicus the Association of Trial Lawyers of America is at least candid enough to admit) than manipulating the public's opinion by suppressing speech that informs us how the legal system works. The disrespect argument thus proceeds from the very assumption it tries to prove, which is to say that solicitations within 30 days serve no legitimate purpose. This, of course, is censorship pure and simple; and censorship is antithetical to the first principles of free expression.</w:t>
      </w:r>
    </w:p>
    <w:p w:rsidR="00A31137" w:rsidRPr="00A31137" w:rsidRDefault="00A31137" w:rsidP="00A31137">
      <w:r w:rsidRPr="00A31137">
        <w:t>II</w:t>
      </w:r>
    </w:p>
    <w:p w:rsidR="00A31137" w:rsidRPr="00A31137" w:rsidRDefault="00A31137" w:rsidP="00A31137">
      <w:r w:rsidRPr="00A31137">
        <w:t>1995, Florida Bar v. Went For It, Inc., No. 94-226</w:t>
      </w:r>
    </w:p>
    <w:p w:rsidR="00A31137" w:rsidRPr="00A31137" w:rsidRDefault="00A31137" w:rsidP="00A31137">
      <w:r w:rsidRPr="00A31137">
        <w:t>Even were the interests asserted substantial, the regulation here fails the second part of the Central Hudson test, which requires that the dangers the State seeks to eliminate be real and that a speech restriction or ban advance that asserted State interest in a direct and material way. Edenfield, 507 U.S. at __. The burden of demonstrating the reality of the asserted harm rests on the State. Ibid. Slight evidence in this regard does not mean there is sufficient evidence to support the claims. Here, what the State has offered falls well short of demonstrating that the harms it is trying to redress are real, let alone that the regulation directly and materially advances the State's interests. The parties and the Court have used the term "Summary of Record" to describe a document prepared by the Florida Bar, one of the adverse parties, and submitted to the District Court in this case. See ante at ___. This document includes no actual surveys, few indications of sample size or selection procedures, no explanations of methodology, and no discussion of excluded results. There is no description of the statistical universe or scientific framework that permits any productive use of the information the so-called Summary of Record contains. The majority describes this anecdotal matter as "noteworthy for its breadth and detail," ante at ___, but when examined, it is noteworthy for its incompetence. The selective synopses of unvalidated studies deal, for the most part, with television advertising and phone book listings, and not direct mail solicitations. Although there may be issues common to various kinds of attorney advertising and solicitation, it is not clear what would follow from that limited premise, unless the Court means by its decision to call into question all forms of attorney advertising. The most generous reading of this document permits identification of 34 pages on which direct mail solicitation is arguably discussed. Of these, only two are even a synopsis of a study of the attitudes of Floridians towards such solicitations. The bulk of the remaining pages include comments by lawyers about direct mail (some of them favorable), excerpts from citizen complaints about such solicitation, and a few excerpts from newspaper articles on the topic. Our cases require something more than a few pages of self-serving and unsupported statements by the State to demonstrate that a regulation directly and materially advances the elimination of a real harm when the State seeks to suppress truthful and nondeceptive speech. See, e.g., Edenfield, 507 U.S. at __.</w:t>
      </w:r>
    </w:p>
    <w:p w:rsidR="00A31137" w:rsidRPr="00A31137" w:rsidRDefault="00A31137" w:rsidP="00A31137">
      <w:r w:rsidRPr="00A31137">
        <w:t>1995, Florida Bar v. Went For It, Inc., No. 94-226</w:t>
      </w:r>
    </w:p>
    <w:p w:rsidR="00A31137" w:rsidRPr="00A31137" w:rsidRDefault="00A31137" w:rsidP="00A31137">
      <w:r w:rsidRPr="00A31137">
        <w:t>It is telling that the essential thrust of all the material adduced to justify the State's interest is devoted to the reputational concerns of the Bar. It is not at all clear that this regulation advances the interest of protecting persons who are suffering trauma and grief, and we are cited to no material in the record for that claim. Indeed, when asked at oral argument what a "typical injured plaintiff get[s] in the mail," the Bar's lawyer replied: "That's not in the record…and I don't know the answer to that question." Tr. of Oral Arg. 25. Having declared that the privacy interest is one both substantial and served by the regulation, the Court ought not to be excused from justifying its conclusion.</w:t>
      </w:r>
    </w:p>
    <w:p w:rsidR="00A31137" w:rsidRPr="00A31137" w:rsidRDefault="00A31137" w:rsidP="00A31137">
      <w:r w:rsidRPr="00A31137">
        <w:t>III</w:t>
      </w:r>
    </w:p>
    <w:p w:rsidR="00A31137" w:rsidRPr="00A31137" w:rsidRDefault="00A31137" w:rsidP="00A31137">
      <w:r w:rsidRPr="00A31137">
        <w:t>1995, Florida Bar v. Went For It, Inc., No. 94-226</w:t>
      </w:r>
    </w:p>
    <w:p w:rsidR="00A31137" w:rsidRPr="00A31137" w:rsidRDefault="00A31137" w:rsidP="00A31137">
      <w:r w:rsidRPr="00A31137">
        <w:t>The insufficiency of the regulation to advance the State's interest is reinforced by the third inquiry necessary in this analysis. Were it appropriate to reach the third part of the Central Hudson test, it would be clear that the relationship between the Bar's interests and the means chosen to serve them is not a reasonable fit. The Bar's rule creates a flat ban that prohibits far more speech than necessary to serve the purported state interest. Even assuming that interest were legitimate, there is a wild disproportion between the harm supposed and the speech ban enforced. It is a disproportion the Court does not bother to discuss, but our speech jurisprudence requires that it do so. Central Hudson, 447 U.S. at 569-571; Board of Trustees of State University of N.Y. v. Fox, 492 U.S. 469, 480 (1989).</w:t>
      </w:r>
    </w:p>
    <w:p w:rsidR="00A31137" w:rsidRPr="00A31137" w:rsidRDefault="00A31137" w:rsidP="00A31137">
      <w:r w:rsidRPr="00A31137">
        <w:t>1995, Florida Bar v. Went For It, Inc., No. 94-226</w:t>
      </w:r>
    </w:p>
    <w:p w:rsidR="00A31137" w:rsidRPr="00A31137" w:rsidRDefault="00A31137" w:rsidP="00A31137">
      <w:r w:rsidRPr="00A31137">
        <w:t>To begin with, the ban applies with respect to all accidental injuries, whatever their gravity. The Court's purported justification for the excess of regulation in this respect is the difficulty of drawing lines between severe and less serious injuries, see ante at ___, but making such distinctions is not important in this analysis. Even were it significant, the Court's assertion is unconvincing. After all, the criminal law routinely distinguishes degrees of bodily harm, see, e.g., United States Sentencing Commission, Guidelines Manual § 1B1.1, comment., n. 1(b), (h), (j) (Nov. 1994), and if that delineation is permissible and workable in the criminal context, it should not be "hard to imagine the contours of a regulation" that satisfies the reasonable fit requirement. Ante at ___.</w:t>
      </w:r>
    </w:p>
    <w:p w:rsidR="00A31137" w:rsidRPr="00A31137" w:rsidRDefault="00A31137" w:rsidP="00A31137">
      <w:r w:rsidRPr="00A31137">
        <w:t>1995, Florida Bar v. Went For It, Inc., No. 94-226</w:t>
      </w:r>
    </w:p>
    <w:p w:rsidR="00A31137" w:rsidRPr="00A31137" w:rsidRDefault="00A31137" w:rsidP="00A31137">
      <w:r w:rsidRPr="00A31137">
        <w:t>There is, moreover, simply no justification for assuming that, in all or most cases, an attorney's advice would be unwelcome or unnecessary when the survivors or the victim must at once begin assessing their legal and financial position in a rational manner. With regard to lesser injuries, there is little chance that, for any period, much less 30 days, the victims will become distraught upon hearing from an attorney. It is, in fact, more likely a real risk that some victims might think no attorney will be interested enough to help them. It is at this precise time that sound legal advice may be necessary and most urgent.</w:t>
      </w:r>
    </w:p>
    <w:p w:rsidR="00A31137" w:rsidRPr="00A31137" w:rsidRDefault="00A31137" w:rsidP="00A31137">
      <w:r w:rsidRPr="00A31137">
        <w:t>1995, Florida Bar v. Went For It, Inc., No. 94-226</w:t>
      </w:r>
    </w:p>
    <w:p w:rsidR="00A31137" w:rsidRPr="00A31137" w:rsidRDefault="00A31137" w:rsidP="00A31137">
      <w:r w:rsidRPr="00A31137">
        <w:t>Even as to more serious injuries, the State's argument fails, since it must be conceded that prompt legal representation is essential where death or injury results from accidents. The only seeming justification for the State's restriction is the one the Court itself offers, which is that attorneys can and do resort to other ways of communicating important legal information to potential clients. Quite aside from the latent protectionism for the established bar that the argument discloses, it fails for the more fundamental reason that it concedes the necessity for the very representation the attorneys solicit and the State seeks to ban. The accident victims who are prejudiced to vindicate the State's purported desire for more dignity in the legal profession will be the very persons who most need legal advice, for they are the victims who, because they lack education, linguistic ability, or familiarity with the legal system, are unable to seek out legal services. Cf. Trainmen v. Virginia ex rel. Virginia State Bar, 377 U.S. 1, 3-4 (1964).</w:t>
      </w:r>
    </w:p>
    <w:p w:rsidR="00A31137" w:rsidRPr="00A31137" w:rsidRDefault="00A31137" w:rsidP="00A31137">
      <w:r w:rsidRPr="00A31137">
        <w:t>1995, Florida Bar v. Went For It, Inc., No. 94-226</w:t>
      </w:r>
    </w:p>
    <w:p w:rsidR="00A31137" w:rsidRPr="00A31137" w:rsidRDefault="00A31137" w:rsidP="00A31137">
      <w:r w:rsidRPr="00A31137">
        <w:t>The reasonableness of the State's chosen methods for redressing perceived evils can be evaluated, in part, by a commonsense consideration of other possible means of regulation that have not been tried. Here, the Court neglects the fact that this problem is largely self-policing: potential clients will not hire lawyers who offend them. And even if a person enters into a contract with an attorney and later regrets it, Florida, like some other States, allows clients to rescind certain contracts with attorneys within a stated time after they are executed. See, e.g., Rules Regulating the Florida Bar, Rule 4-1.5 (Statement of Client's Rights) (effective Jan. 1, 1993). The State's restriction deprives accident victims of information which may be critical to their right to make a claim for compensation for injuries. The telephone book and general advertisements may serve this purpose in part; but the direct solicitation ban will fall on those who most need legal representation: for those with minor injuries, the victims too ill-informed to know an attorney may be interested in their cases; for those with serious injuries, the victims too ill-informed to know that time is of the essence if counsel is to assemble evidence and warn them not to enter into settlement negotiations or evidentiary discussions with investigators for opposing parties. One survey reports that over a recent 5-year period, 68% of the American population consulted a lawyer. N.Y. Times, June 11, 1995, section 3, p. 1, col. 1. The use of modern communication methods in a timely way is essential if clients who make up this vast demand are to be advised and informed of all of their choices and rights in selecting an attorney. The very fact that some 280,000 direct mail solicitations are sent to accident victims and their survivors in Florida each year is some indication of the efficacy of this device. Nothing in the Court's opinion demonstrates that these efforts do not serve some beneficial role. A solicitation letter is not a contract. Nothing in the record shows that these communications do not at the least serve the purpose of informing the prospective client that he or she has a number of different attorneys from whom to choose, so that the decision to select counsel, after an interview with one or more interested attorneys, can be deliberate and informed. And if these communications reveal the social costs of the tort system as a whole, then efforts can be directed to reforming the operation of that system, not to suppressing information about how the system works. The Court's approach, however, does not seem to be the proper way to begin elevating the honor of the profession.</w:t>
      </w:r>
    </w:p>
    <w:p w:rsidR="00A31137" w:rsidRPr="00A31137" w:rsidRDefault="00A31137" w:rsidP="00A31137">
      <w:r w:rsidRPr="00A31137">
        <w:t>IV</w:t>
      </w:r>
    </w:p>
    <w:p w:rsidR="00A31137" w:rsidRPr="00A31137" w:rsidRDefault="00A31137" w:rsidP="00A31137">
      <w:r w:rsidRPr="00A31137">
        <w:t>1995, Florida Bar v. Went For It, Inc., No. 94-226</w:t>
      </w:r>
    </w:p>
    <w:p w:rsidR="00A31137" w:rsidRPr="00A31137" w:rsidRDefault="00A31137" w:rsidP="00A31137">
      <w:r w:rsidRPr="00A31137">
        <w:t>It is most ironic that, for the first time since Bates v. State Bar of Arizona, the Court now orders a major retreat from the constitutional guarantees for commercial speech in order to shield its own profession from public criticism. Obscuring the financial aspect of the legal profession from public discussion through direct mail solicitation at the expense of the least sophisticated members of society, is not a laudable constitutional goal. There is no authority for the proposition that the Constitution permits the State to promote the public image of the legal profession by suppressing information about the profession's business aspects. If public respect for the profession erodes because solicitation distorts the idea of the law as most lawyers see it, it must be remembered that real progress begins with more rational speech, not less. I agree that if this amounts to mere "sermonizing," see Shapero, 486 U.S. at 490 (O'CONNOR, J., dissenting), the attempt may be futile. The guiding principle, however, is that full and rational discussion furthers sound regulation and necessary reform. The image of the profession cannot be enhanced without improving the substance of its practice. The objective of the profession is to ensure that "the ethical standards of lawyers are linked to the service and protection of clients." Ohralik, 436 U.S. at  461.</w:t>
      </w:r>
    </w:p>
    <w:p w:rsidR="00A31137" w:rsidRPr="00A31137" w:rsidRDefault="00A31137" w:rsidP="00A31137">
      <w:r w:rsidRPr="00A31137">
        <w:t>1995, Florida Bar v. Went For It, Inc., No. 94-226</w:t>
      </w:r>
    </w:p>
    <w:p w:rsidR="00A31137" w:rsidRPr="00A31137" w:rsidRDefault="00A31137" w:rsidP="00A31137">
      <w:r w:rsidRPr="00A31137">
        <w:t>Today's opinion is a serious departure, not only from our prior decisions involving attorney advertising, but also from the principles that govern the transmission of commercial speech. The Court's opinion reflects a new-found and illegitimate confidence that it, along with the Supreme Court of Florida, knows what is best for the Bar and its clients. Self-assurance has always been the hallmark of a censor. That is why under the First Amendment the public, not the State, has the right and the power to decide what ideas and information are deserving of their adherence. "[T]he general rule is that the speaker and the audience, not the government, assess the value of the information presented." Edenfield, 507 U.S. at __. By validating Florida's rule, today's majority is complicit in the Bar's censorship. For these reasons, I dissent from the opinion of the Court and from its judgment.</w:t>
      </w:r>
    </w:p>
    <w:p w:rsidR="00A31137" w:rsidRPr="00A31137" w:rsidRDefault="00A31137" w:rsidP="00A31137">
      <w:r w:rsidRPr="00A31137">
        <w:t>Footnotes</w:t>
      </w:r>
    </w:p>
    <w:p w:rsidR="00A31137" w:rsidRPr="00A31137" w:rsidRDefault="00A31137" w:rsidP="00A31137">
      <w:r w:rsidRPr="00A31137">
        <w:t>O'CONNOR, J., lead opinion (Footnotes)</w:t>
      </w:r>
    </w:p>
    <w:p w:rsidR="00A31137" w:rsidRPr="00A31137" w:rsidRDefault="00A31137" w:rsidP="00A31137">
      <w:r w:rsidRPr="00A31137">
        <w:t>1995, Florida Bar v. Went For It, Inc., No. 94-226</w:t>
      </w:r>
    </w:p>
    <w:p w:rsidR="00A31137" w:rsidRPr="00A31137" w:rsidRDefault="00A31137" w:rsidP="00A31137">
      <w:r w:rsidRPr="00A31137">
        <w:t>1. At prior stages of this litigation, the Bar asserted a different interest, in addition to that urged now, in protecting people against undue influence and overreaching. See 21 F.3d at 1042-1043; cf. Shapero v. Kentucky Bar Assn., 486 U.S. 466, 474-476 (1988); Ohralik v. State Bar Assn., 436 U.S. 447,  462 (1978). Because the Bar does not press this interest before us, we do not consider it. Of course, our precedents do not require the Bar to point to more than one interest in support of its 30-day restriction; a single substantial interest is sufficient to satisfy Central Hudson's first prong. See Rubin v. Coors Brewing Co., 514 U.S. ___, ___ (1995) (deeming only one of the government's proffered interests "substantial").</w:t>
      </w:r>
    </w:p>
    <w:p w:rsidR="00A31137" w:rsidRPr="00A31137" w:rsidRDefault="00A31137" w:rsidP="00A31137">
      <w:r w:rsidRPr="00A31137">
        <w:t>1995, Florida Bar v. Went For It, Inc., No. 94-226</w:t>
      </w:r>
    </w:p>
    <w:p w:rsidR="00A31137" w:rsidRPr="00A31137" w:rsidRDefault="00A31137" w:rsidP="00A31137">
      <w:r w:rsidRPr="00A31137">
        <w:t>2. Missing this nuance altogether, the dissent asserts apocalyptically that we are "unsettl[ing] leading First Amendment precedents," post at ___. We do no such thing. There is an obvious difference between situations in which the Government acts in its own interests, or on behalf of entities it regulates, and situations in which the Government is motivated primarily by paternalism. The cases cited by the dissent, post at ___, focus on the latter situation.</w:t>
      </w:r>
    </w:p>
    <w:p w:rsidR="00A31137" w:rsidRPr="00A31137" w:rsidRDefault="00A31137" w:rsidP="00A31137">
      <w:r w:rsidRPr="00A31137">
        <w:t>Hurley v. Irish-American Gay Group, 1995</w:t>
      </w:r>
    </w:p>
    <w:p w:rsidR="00A31137" w:rsidRPr="00A31137" w:rsidRDefault="00A31137" w:rsidP="00A31137">
      <w:r w:rsidRPr="00A31137">
        <w:t>Title:</w:t>
      </w:r>
      <w:r w:rsidRPr="00A31137">
        <w:tab/>
        <w:t>Hurley v. Irish-American Gay, Lesbian and Bisexual Group of Boston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19, 1995</w:t>
      </w:r>
    </w:p>
    <w:p w:rsidR="00A31137" w:rsidRPr="00A31137" w:rsidRDefault="00A31137" w:rsidP="00A31137">
      <w:r w:rsidRPr="00A31137">
        <w:t>Source:</w:t>
      </w:r>
      <w:r w:rsidRPr="00A31137">
        <w:tab/>
        <w:t>No. 94-749 [U.S. Reports citation not yet available]</w:t>
      </w:r>
    </w:p>
    <w:p w:rsidR="00A31137" w:rsidRPr="00A31137" w:rsidRDefault="00A31137" w:rsidP="00A31137">
      <w:r w:rsidRPr="00A31137">
        <w:t>This case was argued April 25, 1995, and was decided June 19, 1995.</w:t>
      </w:r>
    </w:p>
    <w:p w:rsidR="00A31137" w:rsidRPr="00A31137" w:rsidRDefault="00A31137" w:rsidP="00A31137">
      <w:r w:rsidRPr="00A31137">
        <w:t>CERTIORARI TO THE</w:t>
      </w:r>
    </w:p>
    <w:p w:rsidR="00A31137" w:rsidRPr="00A31137" w:rsidRDefault="00A31137" w:rsidP="00A31137">
      <w:r w:rsidRPr="00A31137">
        <w:t>SUPREME JUDICIAL COURT OF MASSACHUSETTS</w:t>
      </w:r>
    </w:p>
    <w:p w:rsidR="00A31137" w:rsidRPr="00A31137" w:rsidRDefault="00A31137" w:rsidP="00A31137">
      <w:r w:rsidRPr="00A31137">
        <w:t>Syllabus</w:t>
      </w:r>
    </w:p>
    <w:p w:rsidR="00A31137" w:rsidRPr="00A31137" w:rsidRDefault="00A31137" w:rsidP="00A31137">
      <w:r w:rsidRPr="00A31137">
        <w:t>1995, Hurley v. Irish-American Gay Group, No. 94-749</w:t>
      </w:r>
    </w:p>
    <w:p w:rsidR="00A31137" w:rsidRPr="00A31137" w:rsidRDefault="00A31137" w:rsidP="00A31137">
      <w:r w:rsidRPr="00A31137">
        <w:t>Petitioner South Boston Allied War Veterans Council, an unincorporated association of individuals elected from various veterans groups, was authorized by the city of Boston to organize and conduct the St. Patrick's Day-Evacuation Day Parade. The Council refused a place in the 1993 event to respondent GLIB, an organization formed for the purpose of marching in the parade in order to express its members' pride in their Irish heritage as openly gay, lesbian, and bisexual individuals, to show that there are such individuals in the community, and to support the like men and women who sought to march in the New York St. Patrick's Day parade. GLIB and some of its members filed this suit in state court, alleging that the denial of their application to march violated, inter alia, a state law prohibiting discrimination on account of sexual orientation in places of public accommodation. In finding such a violation and ordering the Council to include GLIB in the parade, the trial court, among other things, concluded that the parade had no common theme other than the involvement of the participants, and that, given the Council's lack of selectivity in choosing parade participants and its failure to circumscribe the marchers' messages, the parade lacked any expressive purpose, such that GLIB's inclusion therein would not violate the Council's First Amendment rights. The Supreme Judicial Court of Massachusetts affirmed.</w:t>
      </w:r>
    </w:p>
    <w:p w:rsidR="00A31137" w:rsidRPr="00A31137" w:rsidRDefault="00A31137" w:rsidP="00A31137">
      <w:r w:rsidRPr="00A31137">
        <w:t>1995, Hurley v. Irish-American Gay Group, No. 94-749</w:t>
      </w:r>
    </w:p>
    <w:p w:rsidR="00A31137" w:rsidRPr="00A31137" w:rsidRDefault="00A31137" w:rsidP="00A31137">
      <w:r w:rsidRPr="00A31137">
        <w:t>Held: The state courts' application of the Massachusetts public accommodations law to require private citizens who organize a parade to include among the marchers a group imparting a message that the organizers do not wish to convey violates the First Amendment. Pp. ___.</w:t>
      </w:r>
    </w:p>
    <w:p w:rsidR="00A31137" w:rsidRPr="00A31137" w:rsidRDefault="00A31137" w:rsidP="00A31137">
      <w:r w:rsidRPr="00A31137">
        <w:t>1995, Hurley v. Irish-American Gay Group, No. 94-749</w:t>
      </w:r>
    </w:p>
    <w:p w:rsidR="00A31137" w:rsidRPr="00A31137" w:rsidRDefault="00A31137" w:rsidP="00A31137">
      <w:r w:rsidRPr="00A31137">
        <w:t>(a) Confronted with the state courts' conclusion that the factual characteristics of petitioners' activity place it within the realm of nonexpressive conduct, this Court has a constitutional duty to conduct an independent examination of the record as a whole, without deference to those courts, to assure that their judgment does not constitute a forbidden intrusion on the field of free expression. See, e.g., New York Times Co. v. Sullivan, 376 U.S. 254,  285. Pp. ___.</w:t>
      </w:r>
    </w:p>
    <w:p w:rsidR="00A31137" w:rsidRPr="00A31137" w:rsidRDefault="00A31137" w:rsidP="00A31137">
      <w:r w:rsidRPr="00A31137">
        <w:t>1995, Hurley v. Irish-American Gay Group, No. 94-749</w:t>
      </w:r>
    </w:p>
    <w:p w:rsidR="00A31137" w:rsidRPr="00A31137" w:rsidRDefault="00A31137" w:rsidP="00A31137">
      <w:r w:rsidRPr="00A31137">
        <w:t>(b) The selection of contingents to make a parade is entitled to First Amendment protection. Parades such as petitioners' are a form of protected expression because they include marchers who are making some sort of collective point, not just to each other but to bystanders along the way. Cf., e.g., Gregory v. Chicago, 394 U.S. 111, 112. Moreover, such protection is not limited to a parade's banners and songs, but extends to symbolic acts. See, e.g., West Virginia Bd. of Ed. v. Barnette, 319 U.S. 624,  632,  642. Although the Council has been rather lenient in admitting participants to its parade, a private speaker does not forfeit constitutional protection simply by combining multifarious voices, by failing to edit their themes to isolate a specific message as the exclusive subject matter of the speech, or by failing to generate, as an original matter, each item featured in the communication. Thus, petitioners are entitled to protection under the First Amendment. GLIB's participation as a unit in the parade was equally expressive, since the organization was formed to celebrate its members' sexual identities and for related purposes. Pp. ___.</w:t>
      </w:r>
    </w:p>
    <w:p w:rsidR="00A31137" w:rsidRPr="00A31137" w:rsidRDefault="00A31137" w:rsidP="00A31137">
      <w:r w:rsidRPr="00A31137">
        <w:t>1995, Hurley v. Irish-American Gay Group, No. 94-749</w:t>
      </w:r>
    </w:p>
    <w:p w:rsidR="00A31137" w:rsidRPr="00A31137" w:rsidRDefault="00A31137" w:rsidP="00A31137">
      <w:r w:rsidRPr="00A31137">
        <w:t>(c) The Massachusetts law does not, as a general matter, violate the First or Fourteenth Amendments. Its provisions are well within a legislature's power to enact when it has reason to believe that a given group is being discriminated against. And the statute does not, on its face, target speech or discriminate on the basis of its content. Pp. ___.</w:t>
      </w:r>
    </w:p>
    <w:p w:rsidR="00A31137" w:rsidRPr="00A31137" w:rsidRDefault="00A31137" w:rsidP="00A31137">
      <w:r w:rsidRPr="00A31137">
        <w:t>1995, Hurley v. Irish-American Gay Group, No. 94-749</w:t>
      </w:r>
    </w:p>
    <w:p w:rsidR="00A31137" w:rsidRPr="00A31137" w:rsidRDefault="00A31137" w:rsidP="00A31137">
      <w:r w:rsidRPr="00A31137">
        <w:t>(d) The state court's application, however, had the effect of declaring the sponsors' speech itself to be the public accommodation. Since every participating parade unit affects the message conveyed by the private organizers, the state courts' peculiar application of the Massachusetts law essentially forced the Council to alter the parade's expressive content and thereby violated the fundamental First Amendment rule that a speaker has the autonomy to choose the content of his own message and, conversely, to decide what not to say. Petitioners' claim to the benefit of this principle is sound, since the Council selects the expressive units of the parade from potential participants and clearly decided to exclude a message it did not like from the communication it chose to make, and that is enough to invoke its right as a private speaker to shape its expression by speaking on one subject while remaining silent on another, free from state interference. The constitutional violation is not saved by Turner Broadcasting System, Inc. v. FCC, 512 U.S. ___. The Council is a speaker in its own right; a parade does not consist of individual, unrelated segments that happen to be transmitted together for individual selection by members of the audience; and there is no assertion here that some speakers will be destroyed in the absence of the Massachusetts law. Nor has any other legitimate interest been identified in support of applying that law in the way done by the state courts to expressive activity like the parade. PruneYard Shopping Center v. Robins, 447 U.S. 74,  87, and New York State Club Assn., Inc. v. City of New York, 487 U.S. 1,  13, distinguished. Pp. ___.</w:t>
      </w:r>
    </w:p>
    <w:p w:rsidR="00A31137" w:rsidRPr="00A31137" w:rsidRDefault="00A31137" w:rsidP="00A31137">
      <w:r w:rsidRPr="00A31137">
        <w:t>1995, Hurley v. Irish-American Gay Group, No. 94-749</w:t>
      </w:r>
    </w:p>
    <w:p w:rsidR="00A31137" w:rsidRPr="00A31137" w:rsidRDefault="00A31137" w:rsidP="00A31137">
      <w:r w:rsidRPr="00A31137">
        <w:t>418 Mass. 238, 636 N.E.2d 1293, reversed and remanded.</w:t>
      </w:r>
    </w:p>
    <w:p w:rsidR="00A31137" w:rsidRPr="00A31137" w:rsidRDefault="00A31137" w:rsidP="00A31137">
      <w:r w:rsidRPr="00A31137">
        <w:t>1995, Hurley v. Irish-American Gay Group, No. 94-749</w:t>
      </w:r>
    </w:p>
    <w:p w:rsidR="00A31137" w:rsidRPr="00A31137" w:rsidRDefault="00A31137" w:rsidP="00A31137">
      <w:r w:rsidRPr="00A31137">
        <w:t xml:space="preserve"> SOUTER, J., delivered the opinion for a unanimous Court.</w:t>
      </w:r>
    </w:p>
    <w:p w:rsidR="00A31137" w:rsidRPr="00A31137" w:rsidRDefault="00A31137" w:rsidP="00A31137">
      <w:r w:rsidRPr="00A31137">
        <w:t>SOUTER, J., lead opinion</w:t>
      </w:r>
    </w:p>
    <w:p w:rsidR="00A31137" w:rsidRPr="00A31137" w:rsidRDefault="00A31137" w:rsidP="00A31137">
      <w:r w:rsidRPr="00A31137">
        <w:t>1995, Hurley v. Irish-American Gay Group, No. 94-749</w:t>
      </w:r>
    </w:p>
    <w:p w:rsidR="00A31137" w:rsidRPr="00A31137" w:rsidRDefault="00A31137" w:rsidP="00A31137">
      <w:r w:rsidRPr="00A31137">
        <w:t>JUSTICE SOUTER delivered the opinion of the Court.</w:t>
      </w:r>
    </w:p>
    <w:p w:rsidR="00A31137" w:rsidRPr="00A31137" w:rsidRDefault="00A31137" w:rsidP="00A31137">
      <w:r w:rsidRPr="00A31137">
        <w:t>1995, Hurley v. Irish-American Gay Group, No. 94-749</w:t>
      </w:r>
    </w:p>
    <w:p w:rsidR="00A31137" w:rsidRPr="00A31137" w:rsidRDefault="00A31137" w:rsidP="00A31137">
      <w:r w:rsidRPr="00A31137">
        <w:t>The issue in this case is whether Massachusetts may require private citizens who organize a parade to include among the marchers a group imparting a message the organizers do not wish to convey. We hold that such a mandate violates the First Amendment.</w:t>
      </w:r>
    </w:p>
    <w:p w:rsidR="00A31137" w:rsidRPr="00A31137" w:rsidRDefault="00A31137" w:rsidP="00A31137">
      <w:r w:rsidRPr="00A31137">
        <w:t>I</w:t>
      </w:r>
    </w:p>
    <w:p w:rsidR="00A31137" w:rsidRPr="00A31137" w:rsidRDefault="00A31137" w:rsidP="00A31137">
      <w:r w:rsidRPr="00A31137">
        <w:t>1995, Hurley v. Irish-American Gay Group, No. 94-749</w:t>
      </w:r>
    </w:p>
    <w:p w:rsidR="00A31137" w:rsidRPr="00A31137" w:rsidRDefault="00A31137" w:rsidP="00A31137">
      <w:r w:rsidRPr="00A31137">
        <w:t>March 17 is set aside for two celebrations in South Boston. As early as 1737, some people in Boston observed the feast of the apostle to Ireland, and since 1776, the day has marked the evacuation of royal troops and Loyalists from the city, prompted by the guns captured at Ticonderoga and set up on Dorchester Heights under General Washington's command. Washington himself reportedly drew on the earlier tradition in choosing "St. Patrick" as the response to "Boston," the password used in the colonial lines on evacuation day. See J. Crimmins, St. Patrick's Day: Its Celebration in New York and other American Places, 1737-1845, pp. 15, 19 (1902); see generally 1 H.S. Commager &amp; R. Morris, The Spirit of 'Seventy Six 138-183 (1958); The American Book of Days 262-265 (J. Hatch ed.,3d ed. 1978). Although the General Court of Massachusetts did not officially designate March 17 as Evacuation Day until 1938, see Mass.Gen.Laws § 6:12K (1992), the City Council of Boston had previously sponsored public celebrations of Evacuation Day, including notable commemorations on the centennial in 1876, and on the 125th anniversary in 1901, with its parade, salute, concert, and fireworks display. See Celebration of the Centennial Anniversary of the Evacuation of Boston by the British Army (G. Ellis ed. 1876); Irish-American Gay, Lesbian and Bisexual Group of Boston v. City of Boston et al., Civ. Action No. 92-1516 (Super.Ct., Mass., Dec. 15, 1993), reprinted in App. to Pet. for Cert. B1, B8-B9.</w:t>
      </w:r>
    </w:p>
    <w:p w:rsidR="00A31137" w:rsidRPr="00A31137" w:rsidRDefault="00A31137" w:rsidP="00A31137">
      <w:r w:rsidRPr="00A31137">
        <w:t>1995, Hurley v. Irish-American Gay Group, No. 94-749</w:t>
      </w:r>
    </w:p>
    <w:p w:rsidR="00A31137" w:rsidRPr="00A31137" w:rsidRDefault="00A31137" w:rsidP="00A31137">
      <w:r w:rsidRPr="00A31137">
        <w:t>The tradition of formal sponsorship by the city came to an end in 1947, however, when Mayor James Michael Curley himself granted authority to organize and conduct the St. Patrick's Day-Evacuation Day Parade to the petitioner South Boston Allied War Veterans Council, an unincorporated association of individuals elected from various South Boston veterans groups. Every year since that time, the Council has applied for and received a permit for the parade, which at times has included as many as 20,000 marchers and drawn up to 1 million watchers. No other applicant has ever applied for that permit. Id. at B9. Through 1992, the city allowed the Council to use the city's official seal, and provided printing services as well as direct funding.</w:t>
      </w:r>
    </w:p>
    <w:p w:rsidR="00A31137" w:rsidRPr="00A31137" w:rsidRDefault="00A31137" w:rsidP="00A31137">
      <w:r w:rsidRPr="00A31137">
        <w:t>1995, Hurley v. Irish-American Gay Group, No. 94-749</w:t>
      </w:r>
    </w:p>
    <w:p w:rsidR="00A31137" w:rsidRPr="00A31137" w:rsidRDefault="00A31137" w:rsidP="00A31137">
      <w:r w:rsidRPr="00A31137">
        <w:t>1992 was the year that a number of gay, lesbian, and bisexual descendants of the Irish immigrants joined together with other supporters to form the respondent organization, GLIB, to march in the parade as a way to express pride in their Irish heritage as openly gay, lesbian, and bisexual individuals, to demonstrate that there are such men and women among those so descended, and to express their solidarity with like individuals who sought to march in New York's St. Patrick's Day Parade. Id. at B3; App. 51. Although the Council denied GLIB's application to take part in the 1992 parade, GLIB obtained a state-court order to include its contingent, which marched "uneventfully" among that year's 10,000 participants and 750,000 spectators. App. to Pet. for Cert. B3, and n. 4.</w:t>
      </w:r>
    </w:p>
    <w:p w:rsidR="00A31137" w:rsidRPr="00A31137" w:rsidRDefault="00A31137" w:rsidP="00A31137">
      <w:r w:rsidRPr="00A31137">
        <w:t>1995, Hurley v. Irish-American Gay Group, No. 94-749</w:t>
      </w:r>
    </w:p>
    <w:p w:rsidR="00A31137" w:rsidRPr="00A31137" w:rsidRDefault="00A31137" w:rsidP="00A31137">
      <w:r w:rsidRPr="00A31137">
        <w:t>In 1993, after the Council had again refused to admit GLIB to the upcoming parade, the organization and some of its members filed this suit against the Council, the individual petitioner John J. "Wacko" Hurley, and the City of Boston, alleging violations of the State and Federal Constitutions and of the state public accommodations law, which prohibits</w:t>
      </w:r>
    </w:p>
    <w:p w:rsidR="00A31137" w:rsidRPr="00A31137" w:rsidRDefault="00A31137" w:rsidP="00A31137">
      <w:r w:rsidRPr="00A31137">
        <w:t>1995, Hurley v. Irish-American Gay Group, No. 94-749</w:t>
      </w:r>
    </w:p>
    <w:p w:rsidR="00A31137" w:rsidRPr="00A31137" w:rsidRDefault="00A31137" w:rsidP="00A31137">
      <w:r w:rsidRPr="00A31137">
        <w:t>any distinction, discrimination or restriction on account of…sexual orientation…relative to the admission of any person to, or treatment in any place of public accommodation, resort or amusement.</w:t>
      </w:r>
    </w:p>
    <w:p w:rsidR="00A31137" w:rsidRPr="00A31137" w:rsidRDefault="00A31137" w:rsidP="00A31137">
      <w:r w:rsidRPr="00A31137">
        <w:t>1995, Hurley v. Irish-American Gay Group, No. 94-749</w:t>
      </w:r>
    </w:p>
    <w:p w:rsidR="00A31137" w:rsidRPr="00A31137" w:rsidRDefault="00A31137" w:rsidP="00A31137">
      <w:r w:rsidRPr="00A31137">
        <w:t>Mass.Gen.Laws § 272:98. After finding that,</w:t>
      </w:r>
    </w:p>
    <w:p w:rsidR="00A31137" w:rsidRPr="00A31137" w:rsidRDefault="00A31137" w:rsidP="00A31137">
      <w:r w:rsidRPr="00A31137">
        <w:t>1995, Hurley v. Irish-American Gay Group, No. 94-749</w:t>
      </w:r>
    </w:p>
    <w:p w:rsidR="00A31137" w:rsidRPr="00A31137" w:rsidRDefault="00A31137" w:rsidP="00A31137">
      <w:r w:rsidRPr="00A31137">
        <w:t>[f]or at least the past 47 years, the Parade has traveled the same basic route along the public streets of South Boston, providing entertainment, amusement, and recreation to participants and spectators alike,</w:t>
      </w:r>
    </w:p>
    <w:p w:rsidR="00A31137" w:rsidRPr="00A31137" w:rsidRDefault="00A31137" w:rsidP="00A31137">
      <w:r w:rsidRPr="00A31137">
        <w:t>1995, Hurley v. Irish-American Gay Group, No. 94-749</w:t>
      </w:r>
    </w:p>
    <w:p w:rsidR="00A31137" w:rsidRPr="00A31137" w:rsidRDefault="00A31137" w:rsidP="00A31137">
      <w:r w:rsidRPr="00A31137">
        <w:t>App. to Pet. for Cert. B5-B6, the state trial court ruled that the parade fell within the statutory definition of a public accommodation, which includes</w:t>
      </w:r>
    </w:p>
    <w:p w:rsidR="00A31137" w:rsidRPr="00A31137" w:rsidRDefault="00A31137" w:rsidP="00A31137">
      <w:r w:rsidRPr="00A31137">
        <w:t>1995, Hurley v. Irish-American Gay Group, No. 94-749</w:t>
      </w:r>
    </w:p>
    <w:p w:rsidR="00A31137" w:rsidRPr="00A31137" w:rsidRDefault="00A31137" w:rsidP="00A31137">
      <w:r w:rsidRPr="00A31137">
        <w:t>any place…which is open to and accepts or solicits the patronage of the general public and, without limiting the generality of this definition, whether or not it be…(6) a boardwalk or other public highway [or]…(8) a place of public amusement, recreation, sport, exercise or entertainment,</w:t>
      </w:r>
    </w:p>
    <w:p w:rsidR="00A31137" w:rsidRPr="00A31137" w:rsidRDefault="00A31137" w:rsidP="00A31137">
      <w:r w:rsidRPr="00A31137">
        <w:t>1995, Hurley v. Irish-American Gay Group, No. 94-749</w:t>
      </w:r>
    </w:p>
    <w:p w:rsidR="00A31137" w:rsidRPr="00A31137" w:rsidRDefault="00A31137" w:rsidP="00A31137">
      <w:r w:rsidRPr="00A31137">
        <w:t>Mass.Gen.Laws § 272:92A. The court found that the Council had no written criteria and employed no particular procedures for admission, voted on new applications in batches, had occasionally admitted groups who simply showed up at the parade without having submitted an application, and did "not generally inquire into the specific messages or views of each applicant." App. to Pet. for Cert. B8-B9. The court consequently rejected the Council's contention that the parade was "private" (in the sense of being exclusive), holding instead that "the lack of genuine selectivity in choosing participants and sponsors demonstrates that the Parade is a public event." Id. at B6. It found the parade to be "eclectic," containing a wide variety of "patriotic, commercial, political, moral, artistic, religious, athletic, public service, trade union, and eleemosynary themes," as well as conflicting messages. Id. at B24. While noting that the Council had indeed excluded the Ku Klux Klan and ROAR (an anti-busing group), id. at B7, it attributed little significance to these facts, concluding ultimately that "[t]he only common theme among the participants and sponsors is their public involvement in the Parade," id. at B24.</w:t>
      </w:r>
    </w:p>
    <w:p w:rsidR="00A31137" w:rsidRPr="00A31137" w:rsidRDefault="00A31137" w:rsidP="00A31137">
      <w:r w:rsidRPr="00A31137">
        <w:t>1995, Hurley v. Irish-American Gay Group, No. 94-749</w:t>
      </w:r>
    </w:p>
    <w:p w:rsidR="00A31137" w:rsidRPr="00A31137" w:rsidRDefault="00A31137" w:rsidP="00A31137">
      <w:r w:rsidRPr="00A31137">
        <w:t>The court rejected the Council's assertion that the exclusion of "groups with sexual themes merely formalized [the fact] that the Parade expresses traditional religious and social values," id. at B3, and found the Council's "final position [to be] that GLIB would be excluded because of its values and its message, i.e., its members' sexual orientation," id. at B4, n. 5, citing Tr. of Closing Arg. 43, 51-52 (Nov. 23, 1993). This position, in the court's view, was not only violative of the public accommodations law, but "paradoxical," as well, since "a proper celebration of St. Patrick's and Evacuation Day requires diversity and inclusiveness." App. to Pet. for Cert. B24. The court rejected the notion that GLIB's admission would trample on the Council's First Amendment rights, since the court understood that constitutional protection of any interest in expressive association would "requir[e] focus on a specific message, theme, or group" absent from the parade. Ibid. "Given the [Council's] lack of selectivity in choosing participants and failure to circumscribe the marchers' message," the court found it "impossible to discern any specific expressive purpose entitling the Parade to protection under the First Amendment." Id. at B25. It concluded that the parade is "not an exercise of [the Council's] constitutionally protected right of expressive association," but instead "an open recreational event that is subject to the public accommodations law." Id. at B27.</w:t>
      </w:r>
    </w:p>
    <w:p w:rsidR="00A31137" w:rsidRPr="00A31137" w:rsidRDefault="00A31137" w:rsidP="00A31137">
      <w:r w:rsidRPr="00A31137">
        <w:t>1995, Hurley v. Irish-American Gay Group, No. 94-749</w:t>
      </w:r>
    </w:p>
    <w:p w:rsidR="00A31137" w:rsidRPr="00A31137" w:rsidRDefault="00A31137" w:rsidP="00A31137">
      <w:r w:rsidRPr="00A31137">
        <w:t>The court held that, because the statute did not mandate inclusion of GLIB, but only prohibited discrimination based on sexual orientation, any infringement on the Council's right to expressive association was only "incidental," and "no greater than necessary to accomplish the statute's legitimate purpose" of eradicating discrimination. Id. at B25, citing Roberts v. United States Jaycees, 468 U.S. 609, 628-629 (1984). Accordingly, it ruled that "GLIB is entitled to participate in the Parade on the same terms and conditions as other participants." Id. at B27. 1</w:t>
      </w:r>
    </w:p>
    <w:p w:rsidR="00A31137" w:rsidRPr="00A31137" w:rsidRDefault="00A31137" w:rsidP="00A31137">
      <w:r w:rsidRPr="00A31137">
        <w:t>1995, Hurley v. Irish-American Gay Group, No. 94-749</w:t>
      </w:r>
    </w:p>
    <w:p w:rsidR="00A31137" w:rsidRPr="00A31137" w:rsidRDefault="00A31137" w:rsidP="00A31137">
      <w:r w:rsidRPr="00A31137">
        <w:t>The Supreme Judicial Court of Massachusetts affirmed, seeing nothing clearly erroneous in the trial judge's findings that GLIB was excluded from the parade based on the sexual orientation of its members, that it was impossible to detect an expressive purpose in the parade, that there was no state action, and that the parade was a public accommodation within the meaning of § 272:92A. Irish-American Gay, Lesbian and Bisexual Group of Boston v. Boston, 418 Mass. 238, 242-248, 636 N.E.2d 1293, 1295-1298 (1994). 2 Turning to petitioners' First Amendment claim that application of the public accommodations law to the parade violated their freedom of speech (as distinguished from their right to expressive association, raised in the trial court), the court's majority held that it need not decide on the particular First Amendment theory involved</w:t>
      </w:r>
    </w:p>
    <w:p w:rsidR="00A31137" w:rsidRPr="00A31137" w:rsidRDefault="00A31137" w:rsidP="00A31137">
      <w:r w:rsidRPr="00A31137">
        <w:t>1995, Hurley v. Irish-American Gay Group, No. 94-749</w:t>
      </w:r>
    </w:p>
    <w:p w:rsidR="00A31137" w:rsidRPr="00A31137" w:rsidRDefault="00A31137" w:rsidP="00A31137">
      <w:r w:rsidRPr="00A31137">
        <w:t>because, as the [trial] judge found, it is "impossible to discern any specific expressive purpose entitling the parade to protection under the First Amendment."</w:t>
      </w:r>
    </w:p>
    <w:p w:rsidR="00A31137" w:rsidRPr="00A31137" w:rsidRDefault="00A31137" w:rsidP="00A31137">
      <w:r w:rsidRPr="00A31137">
        <w:t>1995, Hurley v. Irish-American Gay Group, No. 94-749</w:t>
      </w:r>
    </w:p>
    <w:p w:rsidR="00A31137" w:rsidRPr="00A31137" w:rsidRDefault="00A31137" w:rsidP="00A31137">
      <w:r w:rsidRPr="00A31137">
        <w:t>Id. at 249, 636 N.E.2d at 1299 (footnote omitted). The defendants had thus failed at the trial level "to demonstrate that the parade truly was an exercise of…First Amendment rights," id. at 250, 636 N.E.2d at 1299, citing Clark v. Community for Creative Non-Violence, 468 U.S. 288, 293, n. 5 (1984), and, on appeal, nothing indicated to the majority of the Supreme Judicial Court that the trial judge's assessment of the evidence on this point was clearly erroneous, ibid. The court rejected petitioners' further challenge to the law as overbroad, holding that it does not, on its face, regulate speech, does not let public officials examine the content of speech, and would not be interpreted as reaching speech. Id. at 251-252, 636 N.E.2d at 1300. Finally, the court rejected the challenge that the public accommodations law was unconstitutionally vague, holding that this case did not present an issue of speech, and that the law gave persons of ordinary intelligence a reasonable opportunity to know what was prohibited. Id. at 252, 636 N.E.2d at 1300-1301.</w:t>
      </w:r>
    </w:p>
    <w:p w:rsidR="00A31137" w:rsidRPr="00A31137" w:rsidRDefault="00A31137" w:rsidP="00A31137">
      <w:r w:rsidRPr="00A31137">
        <w:t>1995, Hurley v. Irish-American Gay Group, No. 94-749</w:t>
      </w:r>
    </w:p>
    <w:p w:rsidR="00A31137" w:rsidRPr="00A31137" w:rsidRDefault="00A31137" w:rsidP="00A31137">
      <w:r w:rsidRPr="00A31137">
        <w:t>Justice Nolan dissented. In his view, the Council "does not need a narrow or distinct theme or message in its parade for it to be protected under the First Amendment." Id. at 256, 636 N.E.2d at 1303. First, he wrote, even if the parade had no message at all, GLIB's particular message could not be forced upon it. Id. at 257, 636 N.E.2d at 1303, citing Wooley v. Maynard, 430 U.S. 705,  717 (1977) (state requirement to display "Live Free or Die" on license plates violates First Amendment). Second, according to Justice Nolan, the trial judge clearly erred in finding the parade devoid of expressive purpose. Ibid. He would have held that the Council, like any expressive association, cannot be barred from excluding applicants who do not share the views the Council wishes to advance. Id. at 257-259, 636 N.E.2d at 1303-1304, citing Roberts v. United States Jaycees, 468 U.S. 609 (1984). Under either a pure speech or associational theory, the State's purpose of eliminating discrimination on the basis of sexual orientation, according to the dissent, could be achieved by more narrowly drawn means, such as ordering admission of individuals regardless of sexual preference, without taking the further step of prohibiting the Council from editing the views expressed in their parade. Id. at 256, 258, 636 N.E.2d at 1302, 1304. In Justice Nolan's opinion, because GLIB's message was separable from the status of its members, such a narrower order would accommodate the State's interest without the likelihood of infringing on the Council's First Amendment rights. Finally, he found clear error in the trial judge's equation of exclusion on the basis of GLIB's message with exclusion on the basis of its members' sexual orientation. To the dissent this appeared false in the light of "overwhelming evidence" that the Council objected to GLIB on account of its message and a dearth of testimony or documentation indicating that sexual orientation was the bar to admission. Id. at 260, 636 N.E.2d at 1304. The dissent accordingly concluded that the Council had not even violated the State's public accommodations law.</w:t>
      </w:r>
    </w:p>
    <w:p w:rsidR="00A31137" w:rsidRPr="00A31137" w:rsidRDefault="00A31137" w:rsidP="00A31137">
      <w:r w:rsidRPr="00A31137">
        <w:t>1995, Hurley v. Irish-American Gay Group, No. 94-749</w:t>
      </w:r>
    </w:p>
    <w:p w:rsidR="00A31137" w:rsidRPr="00A31137" w:rsidRDefault="00A31137" w:rsidP="00A31137">
      <w:r w:rsidRPr="00A31137">
        <w:t>We granted certiorari to determine whether the requirement to admit a parade contingent expressing a message not of the private organizers' own choosing violates the First Amendment. 513 U.S. ___ (1995). We hold that it does, and reverse.</w:t>
      </w:r>
    </w:p>
    <w:p w:rsidR="00A31137" w:rsidRPr="00A31137" w:rsidRDefault="00A31137" w:rsidP="00A31137">
      <w:r w:rsidRPr="00A31137">
        <w:t>II</w:t>
      </w:r>
    </w:p>
    <w:p w:rsidR="00A31137" w:rsidRPr="00A31137" w:rsidRDefault="00A31137" w:rsidP="00A31137">
      <w:r w:rsidRPr="00A31137">
        <w:t>1995, Hurley v. Irish-American Gay Group, No. 94-749</w:t>
      </w:r>
    </w:p>
    <w:p w:rsidR="00A31137" w:rsidRPr="00A31137" w:rsidRDefault="00A31137" w:rsidP="00A31137">
      <w:r w:rsidRPr="00A31137">
        <w:t>Given the scope of the issues as originally joined in this case, it is worth noting some that have fallen aside in the course of the litigation, before reaching us. Although the Council presents us with a First Amendment claim, respondents do not. Neither do they press a claim that the Council's action has denied them equal protection of the laws in violation of the Fourteenth Amendment. While the guarantees of free speech and equal protection guard only against encroachment by the government and "erec[t] no shield against merely private conduct," Shelley v. Kraemer, 334 U.S. 1, 13 (1948); see Hudgens v. NLRB, 424 U.S. 507, 513 (1976), respondents originally argued that the Council's conduct was not purely private, but had the character of state action. The trial court's review of the city's involvement led it to find otherwise, however, and although the Supreme Judicial Court did not squarely address the issue, it appears to have affirmed the trial court's decision on that point as well as the others. In any event, respondents have not brought that question up either in a cross-petition for certiorari or in their briefs filed in this Court. When asked at oral argument whether they challenged the conclusion by the Massachusetts' courts that no state action is involved in the parade, respondents' counsel answered that they "do not press that issue here." Tr. of Oral Arg. 22. In this Court, then, their claim for inclusion in the parade rests solely on the Massachusetts public accommodations law.</w:t>
      </w:r>
    </w:p>
    <w:p w:rsidR="00A31137" w:rsidRPr="00A31137" w:rsidRDefault="00A31137" w:rsidP="00A31137">
      <w:r w:rsidRPr="00A31137">
        <w:t>1995, Hurley v. Irish-American Gay Group, No. 94-749</w:t>
      </w:r>
    </w:p>
    <w:p w:rsidR="00A31137" w:rsidRPr="00A31137" w:rsidRDefault="00A31137" w:rsidP="00A31137">
      <w:r w:rsidRPr="00A31137">
        <w:t>There is no corresponding concession from the other side, however, and certainly not to the state courts' characterization of the parade as lacking the element of expression for purposes of the First Amendment. Accordingly, our review of petitioners' claim that their activity is indeed in the nature of protected speech carries with it a constitutional duty to conduct an independent examination of the record as a whole, without deference to the trial court. See Bose Corp. v. Consumers Union of United States, Inc., 466 U.S. 485, 499 (1984). The "requirement of independent appellate review…is a rule of federal constitutional law," id. at 510, which does not limit our deference to a trial court on matters of witness credibility, Harte-Hanks Communications, Inc. v. Connaughton, 491 U.S. 657, 688 (1989), but which generally requires us to</w:t>
      </w:r>
    </w:p>
    <w:p w:rsidR="00A31137" w:rsidRPr="00A31137" w:rsidRDefault="00A31137" w:rsidP="00A31137">
      <w:r w:rsidRPr="00A31137">
        <w:t>1995, Hurley v. Irish-American Gay Group, No. 94-749</w:t>
      </w:r>
    </w:p>
    <w:p w:rsidR="00A31137" w:rsidRPr="00A31137" w:rsidRDefault="00A31137" w:rsidP="00A31137">
      <w:r w:rsidRPr="00A31137">
        <w:t>review the finding of facts by a State court…where a conclusion of law as to a Federal right and a finding of fact are so intermingled as to make it necessary, in order to pass upon the Federal question, to analyze the facts,</w:t>
      </w:r>
    </w:p>
    <w:p w:rsidR="00A31137" w:rsidRPr="00A31137" w:rsidRDefault="00A31137" w:rsidP="00A31137">
      <w:r w:rsidRPr="00A31137">
        <w:t>1995, Hurley v. Irish-American Gay Group, No. 94-749</w:t>
      </w:r>
    </w:p>
    <w:p w:rsidR="00A31137" w:rsidRPr="00A31137" w:rsidRDefault="00A31137" w:rsidP="00A31137">
      <w:r w:rsidRPr="00A31137">
        <w:t>Fiske v. Kansas, 274 U.S. 380, 385-386 (1927). See also Niemotko v. Maryland, 340 U.S. 268,  271 (1951); Jacobellis v. Ohio, 378 U.S. 184,  189 (1964) (opinion of Brennan, J.). This obligation rests upon us simply because the reaches of the First Amendment are ultimately defined by the facts it is held to embrace, and we must thus decide for ourselves whether a given course of conduct falls on the near or far side of the line of constitutional protection. See Bose Corp., supra, at 503. Even where a speech case has originally been tried in a federal court, subject to the provision of Federal Rule of Civil Procedure 52(a) that "[f]indings of fact…shall not be set aside unless clearly erroneous," we are obliged to make a fresh examination of crucial facts. Hence, in this case, though we are confronted with the state courts' conclusion that the factual characteristics of petitioners' activity place it within the vast realm of nonexpressive conduct, our obligation is to</w:t>
      </w:r>
    </w:p>
    <w:p w:rsidR="00A31137" w:rsidRPr="00A31137" w:rsidRDefault="00A31137" w:rsidP="00A31137">
      <w:r w:rsidRPr="00A31137">
        <w:t>1995, Hurley v. Irish-American Gay Group, No. 94-749</w:t>
      </w:r>
    </w:p>
    <w:p w:rsidR="00A31137" w:rsidRPr="00A31137" w:rsidRDefault="00A31137" w:rsidP="00A31137">
      <w:r w:rsidRPr="00A31137">
        <w:t>"make an independent examination of the whole record,"…so as to assure ourselves that th[is] judgment does not constitute a forbidden intrusion on the field of free expression.</w:t>
      </w:r>
    </w:p>
    <w:p w:rsidR="00A31137" w:rsidRPr="00A31137" w:rsidRDefault="00A31137" w:rsidP="00A31137">
      <w:r w:rsidRPr="00A31137">
        <w:t>1995, Hurley v. Irish-American Gay Group, No. 94-749</w:t>
      </w:r>
    </w:p>
    <w:p w:rsidR="00A31137" w:rsidRPr="00A31137" w:rsidRDefault="00A31137" w:rsidP="00A31137">
      <w:r w:rsidRPr="00A31137">
        <w:t>New York Times Co. v. Sullivan, 376 U.S. 254,  285 (1964) (footnote omitted), quoting Edwards v. South Carolina, 372 U.S. 229,  235 (1963).</w:t>
      </w:r>
    </w:p>
    <w:p w:rsidR="00A31137" w:rsidRPr="00A31137" w:rsidRDefault="00A31137" w:rsidP="00A31137">
      <w:r w:rsidRPr="00A31137">
        <w:t>III</w:t>
      </w:r>
    </w:p>
    <w:p w:rsidR="00A31137" w:rsidRPr="00A31137" w:rsidRDefault="00A31137" w:rsidP="00A31137">
      <w:r w:rsidRPr="00A31137">
        <w:t>A</w:t>
      </w:r>
    </w:p>
    <w:p w:rsidR="00A31137" w:rsidRPr="00A31137" w:rsidRDefault="00A31137" w:rsidP="00A31137">
      <w:r w:rsidRPr="00A31137">
        <w:t>1995, Hurley v. Irish-American Gay Group, No. 94-749</w:t>
      </w:r>
    </w:p>
    <w:p w:rsidR="00A31137" w:rsidRPr="00A31137" w:rsidRDefault="00A31137" w:rsidP="00A31137">
      <w:r w:rsidRPr="00A31137">
        <w:t>If there were no reason for a group of people to march from here to there except to reach a destination, they could make the trip without expressing any message beyond the fact of the march itself. Some people might call such a procession a parade, but it would not be much of one. Real</w:t>
      </w:r>
    </w:p>
    <w:p w:rsidR="00A31137" w:rsidRPr="00A31137" w:rsidRDefault="00A31137" w:rsidP="00A31137">
      <w:r w:rsidRPr="00A31137">
        <w:t>1995, Hurley v. Irish-American Gay Group, No. 94-749</w:t>
      </w:r>
    </w:p>
    <w:p w:rsidR="00A31137" w:rsidRPr="00A31137" w:rsidRDefault="00A31137" w:rsidP="00A31137">
      <w:r w:rsidRPr="00A31137">
        <w:t>[p]arades are public dramas of social relations, and in them performers define who can be a social actor and what subjects and ideas are available for communication and consideration.</w:t>
      </w:r>
    </w:p>
    <w:p w:rsidR="00A31137" w:rsidRPr="00A31137" w:rsidRDefault="00A31137" w:rsidP="00A31137">
      <w:r w:rsidRPr="00A31137">
        <w:t>1995, Hurley v. Irish-American Gay Group, No. 94-749</w:t>
      </w:r>
    </w:p>
    <w:p w:rsidR="00A31137" w:rsidRPr="00A31137" w:rsidRDefault="00A31137" w:rsidP="00A31137">
      <w:r w:rsidRPr="00A31137">
        <w:t>S. Davis, Parades and Power: Street Theatre in Nineteenth-Century Philadelphia 6 (1986). Hence, we use the word "parade" to indicate marchers who are making some sort of collective point, not just to each other but to bystanders along the way. Indeed a parade's dependence on watchers is so extreme that nowadays, as with Bishop Berkeley's celebrated tree, "if a parade or demonstration receives no media coverage, it may as well not have happened." Id. at 171. Parades are thus a form of expression, not just motion, and the inherent expressiveness of marching to make a point explains our cases involving protest marches. In Gregory v. Chicago, 394 U.S. 111, 112 (1969), for example, petitioners had taken part in a procession to express their grievances to the city government, and we held that such a "march, if peaceful and orderly, falls well within the sphere of conduct protected by the First Amendment." Similarly, in Edwards v. South Carolina, 372 U.S. 229,  235 (1963), where petitioners had joined in a march of protest and pride, carrying placards and singing The Star Spangled Banner, we held that the activities "reflect an exercise of these basic constitutional rights in their most pristine and classic form." Accord, Shuttlesworth v. Birmingham, 394 U.S. 147, 152 (1969).</w:t>
      </w:r>
    </w:p>
    <w:p w:rsidR="00A31137" w:rsidRPr="00A31137" w:rsidRDefault="00A31137" w:rsidP="00A31137">
      <w:r w:rsidRPr="00A31137">
        <w:t>1995, Hurley v. Irish-American Gay Group, No. 94-749</w:t>
      </w:r>
    </w:p>
    <w:p w:rsidR="00A31137" w:rsidRPr="00A31137" w:rsidRDefault="00A31137" w:rsidP="00A31137">
      <w:r w:rsidRPr="00A31137">
        <w:t>The protected expression that inheres in a parade is not limited to its banners and songs, however, for the Constitution looks beyond written or spoken words as mediums of expression. Noting that "[s]ymbolism is a primitive but effective way of communicating ideas," West Virginia Bd. of Ed. v. Barnette, 319 U.S. 624,  632 (1943), our cases have recognized that the First Amendment shields such acts as saluting a flag (and refusing to do so), id. at  632,  642, wearing an arm band to protest a war, Tinker v. Des Moines Independent Community School Dist., 393 U.S. 503, 505-506 (1969), displaying a red flag, Stromberg v. California, 283 U.S. 359,  369 (1931), and even "[m]arching, walking or parading" in uniforms displaying the swastika, National Socialist Party of America v. Skokie, 432 U.S. 43 (1977). As some of these examples show, a narrow, succinctly articulable message is not a condition of constitutional protection, which if confined to expressions conveying a "particularized message," cf. Spence v. Washington, 418 U.S. 405,  411 (1974) (per curiam), would never reach the unquestionably shielded painting of Jackson Pollock, music of Arnold Schoenberg, or Jabberwocky verse of Lewis Carroll.</w:t>
      </w:r>
    </w:p>
    <w:p w:rsidR="00A31137" w:rsidRPr="00A31137" w:rsidRDefault="00A31137" w:rsidP="00A31137">
      <w:r w:rsidRPr="00A31137">
        <w:t>1995, Hurley v. Irish-American Gay Group, No. 94-749</w:t>
      </w:r>
    </w:p>
    <w:p w:rsidR="00A31137" w:rsidRPr="00A31137" w:rsidRDefault="00A31137" w:rsidP="00A31137">
      <w:r w:rsidRPr="00A31137">
        <w:t>Not many marches, then, are beyond the realm of expressive parades, and the South Boston celebration is not one of them. Spectators line the streets; people march in costumes and uniforms, carrying flags and banners with all sorts of messages (e.g., "England get out of Ireland," "Say no to drugs"); marching bands and pipers play, floats are pulled along, and the whole show is broadcast over Boston television. See Record, Exh. 84 (video). To be sure, we agree with the state courts that in spite of excluding some applicants, the Council is rather lenient in admitting participants. But a private speaker does not forfeit constitutional protection simply by combining multifarious voices, or by failing to edit their themes to isolate an exact message as the exclusive subject matter of the speech. Nor, under our precedent, does First Amendment protection require a speaker to generate, as an original matter, each item featured in the communication. Cable operators, for example, are engaged in protected speech activities even when they only select programming originally produced by others. Turner Broadcasting System, Inc. v. FCC, 512 U.S. ___, ___ (1994) ("Cable programmers and cable operators engage in and transmit speech, and they are entitled to the protection of the speech and press provisions of the First Amendment"). For that matter, the presentation of an edited compilation of speech generated by other persons is a staple of most newspapers' opinion pages, which, of course, fall squarely within the core of First Amendment security, Miami Herald Publishing Co. v. Tornillo, 418 U.S. 241,  258 (1974), as does even the simple selection of a paid noncommercial advertisement for inclusion in a daily paper, see New York Times, 376 U.S. at 265-266. The selection of contingents to make a parade is entitled to similar protection.</w:t>
      </w:r>
    </w:p>
    <w:p w:rsidR="00A31137" w:rsidRPr="00A31137" w:rsidRDefault="00A31137" w:rsidP="00A31137">
      <w:r w:rsidRPr="00A31137">
        <w:t>1995, Hurley v. Irish-American Gay Group, No. 94-749</w:t>
      </w:r>
    </w:p>
    <w:p w:rsidR="00A31137" w:rsidRPr="00A31137" w:rsidRDefault="00A31137" w:rsidP="00A31137">
      <w:r w:rsidRPr="00A31137">
        <w:t>Respondents' participation as a unit in the parade was equally expressive. GLIB was formed for the very purpose of marching in it, as the trial court found, in order to celebrate its members' identity as openly gay, lesbian, and bisexual descendants of the Irish immigrants, to show that there are such individuals in the community, and to support the like men and women who sought to march in the New York parade. App. to Pet. for Cert. B3. The organization distributed a fact sheet describing the members' intentions, App. A51, and the record otherwise corroborates the expressive nature of GLIB's participation, see Record, Exh. 84; App. A67 (photograph). In 1993, members of GLIB marched behind a shamrock-strewn banner with the simple inscription "Irish American Gay, Lesbian and Bisexual Group of Boston." GLIB understandably seeks to communicate its ideas as part of the existing parade, rather than staging one of its own.</w:t>
      </w:r>
    </w:p>
    <w:p w:rsidR="00A31137" w:rsidRPr="00A31137" w:rsidRDefault="00A31137" w:rsidP="00A31137">
      <w:r w:rsidRPr="00A31137">
        <w:t>B</w:t>
      </w:r>
    </w:p>
    <w:p w:rsidR="00A31137" w:rsidRPr="00A31137" w:rsidRDefault="00A31137" w:rsidP="00A31137">
      <w:r w:rsidRPr="00A31137">
        <w:t>1995, Hurley v. Irish-American Gay Group, No. 94-749</w:t>
      </w:r>
    </w:p>
    <w:p w:rsidR="00A31137" w:rsidRPr="00A31137" w:rsidRDefault="00A31137" w:rsidP="00A31137">
      <w:r w:rsidRPr="00A31137">
        <w:t>The Massachusetts public accommodations law under which respondents brought suit has a venerable history. At common law, innkeepers, smiths, and others who "made profession of a public employment," were prohibited from refusing, without good reason, to serve a customer. Lane v. Cotton, 12 Mod. 472, 484-485, 88 Eng.Rep. 1458, 1464-1465 (K.B. 1701) (Holt, C.J.); see Bell v. Maryland, 378 U.S. 226,  298, n. 17 (1964) (Goldberg, J., concurring); Lombard v. Louisiana, 373 U.S. 267,  277 (1963) (Douglas, J., concurring). As one of the 19th century English judges put it, the rule was that</w:t>
      </w:r>
    </w:p>
    <w:p w:rsidR="00A31137" w:rsidRPr="00A31137" w:rsidRDefault="00A31137" w:rsidP="00A31137">
      <w:r w:rsidRPr="00A31137">
        <w:t>1995, Hurley v. Irish-American Gay Group, No. 94-749</w:t>
      </w:r>
    </w:p>
    <w:p w:rsidR="00A31137" w:rsidRPr="00A31137" w:rsidRDefault="00A31137" w:rsidP="00A31137">
      <w:r w:rsidRPr="00A31137">
        <w:t>[t]he innkeeper is not to select his guests[;] [h]e has no right to say to one, you shall come into my inn, and to another you shall not, as every one coming and conducting himself in a proper manner has a right to be received; and for this purpose innkeepers are a sort of public servants.</w:t>
      </w:r>
    </w:p>
    <w:p w:rsidR="00A31137" w:rsidRPr="00A31137" w:rsidRDefault="00A31137" w:rsidP="00A31137">
      <w:r w:rsidRPr="00A31137">
        <w:t>1995, Hurley v. Irish-American Gay Group, No. 94-749</w:t>
      </w:r>
    </w:p>
    <w:p w:rsidR="00A31137" w:rsidRPr="00A31137" w:rsidRDefault="00A31137" w:rsidP="00A31137">
      <w:r w:rsidRPr="00A31137">
        <w:t>Rex v. Ivens, 7 Car. &amp; P. 213, 219, 173 Eng.Rep. 94, 96 (N.P. 1835); M. Konvitz &amp; T. Leskes, A Century of Civil Rights 160 (1961).</w:t>
      </w:r>
    </w:p>
    <w:p w:rsidR="00A31137" w:rsidRPr="00A31137" w:rsidRDefault="00A31137" w:rsidP="00A31137">
      <w:r w:rsidRPr="00A31137">
        <w:t>1995, Hurley v. Irish-American Gay Group, No. 94-749</w:t>
      </w:r>
    </w:p>
    <w:p w:rsidR="00A31137" w:rsidRPr="00A31137" w:rsidRDefault="00A31137" w:rsidP="00A31137">
      <w:r w:rsidRPr="00A31137">
        <w:t>After the Civil War, the Commonwealth of Massachusetts was the first State to codify this principle to ensure access to public accommodations regardless of race. See Act Forbidding Unjust Discrimination on Account of Color or Race, 1865 Mass.Acts, ch. 277 (May 16, 1865); Konvitz &amp; Leskes, supra, at 155-56; L.G. Lerman &amp; A. Sanderson, Discrimination in Access to Public Places: A Survey of State and Federal Public Accommodations Laws, 7 N.Y.U.Rev.L. &amp; Soc.Change 215, 238 (1978); F. Fox, Discrimination and Antidiscrimination in Massachusetts Law, 44 B.U.L.Rev. 30, 58 (1964). In prohibiting discrimination "in any licensed inn, in any public place of amusement, public conveyance or public meeting," 1865 Mass.Acts, ch. 277, § 1, the original statute already expanded upon the common law, which had not conferred any right of access to places of public amusement, Lerman &amp; Anderson, supra at  248. As with many public accommodations statutes across the Nation, the legislature continued to broaden the scope of legislation, to the point that the law today prohibits discrimination on the basis of "race, color, religious creed, national origin, sex, sexual orientation…, deafness, blindness or any physical or mental disability or ancestry" in "the admission of any person to, or treatment in any place of public accommodation, resort or amusement." Mass.Gen.Laws § 272:98. Provisions like these are well within the State's usual power to enact when a legislature has reason to believe that a given group is the target of discrimination, and they do not, as a general matter, violate the First or Fourteenth Amendments. See, e.g., New York State Club Assn., Inc. v. City of New York, 487 U.S. 1, 11-16 (1988); Roberts v. United States Jaycees, 468 U.S. 609, 624-626 (1984); Heart of Atlanta Motel, Inc. v. United States, 379 U.S. 241, 258-262 (1964). Nor is this statute unusual in any obvious way, since it does not, on its face, target speech or discriminate on the basis of its content, the focal point of its prohibition being rather on the act of discriminating against individuals in the provision of publicly available goods, privileges, and services on the proscribed grounds.</w:t>
      </w:r>
    </w:p>
    <w:p w:rsidR="00A31137" w:rsidRPr="00A31137" w:rsidRDefault="00A31137" w:rsidP="00A31137">
      <w:r w:rsidRPr="00A31137">
        <w:t>C</w:t>
      </w:r>
    </w:p>
    <w:p w:rsidR="00A31137" w:rsidRPr="00A31137" w:rsidRDefault="00A31137" w:rsidP="00A31137">
      <w:r w:rsidRPr="00A31137">
        <w:t>1995, Hurley v. Irish-American Gay Group, No. 94-749</w:t>
      </w:r>
    </w:p>
    <w:p w:rsidR="00A31137" w:rsidRPr="00A31137" w:rsidRDefault="00A31137" w:rsidP="00A31137">
      <w:r w:rsidRPr="00A31137">
        <w:t>In the case before us, however, the Massachusetts law has been applied in a peculiar way. Its enforcement does not address any dispute about the participation of openly gay, lesbian, or bisexual individuals in various units admitted to the parade. The petitioners disclaim any intent to exclude homosexuals as such, and no individual member of GLIB claims to have been excluded from parading as a member of any group that the Council has approved to march. Instead, the disagreement goes to the admission of GLIB as its own parade unit carrying its own banner. See App. to Pet. for Cert. B26-B27, and n. 28. Since every participating unit affects the message conveyed by the private organizers, the state courts' application of the statute produced an order essentially requiring petitioners to alter the expressive content of their parade. Although the state courts spoke of the parade as a place of public accommodation, see, e.g., 418 Mass. at 247-248, 636 N.E.2d at 1297-1298, once the expressive character of both the parade and the marching GLIB contingent is understood, it becomes apparent that the state courts' application of the statute had the effect of declaring the sponsors' speech itself to be the public accommodation. Under this approach any contingent of protected individuals with a message would have the right to participate in petitioners' speech, so that the communication produced by the private organizers would be shaped by all those protected by the law who wished to join in with some expressive demonstration of their own. But this use of the State's power violates the fundamental rule of protection under the First Amendment, that a speaker has the autonomy to choose the content of his own message.</w:t>
      </w:r>
    </w:p>
    <w:p w:rsidR="00A31137" w:rsidRPr="00A31137" w:rsidRDefault="00A31137" w:rsidP="00A31137">
      <w:r w:rsidRPr="00A31137">
        <w:t>1995, Hurley v. Irish-American Gay Group, No. 94-749</w:t>
      </w:r>
    </w:p>
    <w:p w:rsidR="00A31137" w:rsidRPr="00A31137" w:rsidRDefault="00A31137" w:rsidP="00A31137">
      <w:r w:rsidRPr="00A31137">
        <w:t>"Since all speech inherently involves choices of what to say and what to leave unsaid," Pacific Gas &amp; Electric Co. v. Public Utilities Comm'n of Cal., 475 U.S. 1, 11 (1986) (plurality opinion) (emphasis in original), one important manifestation of the principle of free speech is that one who chooses to speak may also decide "what not to say," id. at 16. Although the State may at times</w:t>
      </w:r>
    </w:p>
    <w:p w:rsidR="00A31137" w:rsidRPr="00A31137" w:rsidRDefault="00A31137" w:rsidP="00A31137">
      <w:r w:rsidRPr="00A31137">
        <w:t>1995, Hurley v. Irish-American Gay Group, No. 94-749</w:t>
      </w:r>
    </w:p>
    <w:p w:rsidR="00A31137" w:rsidRPr="00A31137" w:rsidRDefault="00A31137" w:rsidP="00A31137">
      <w:r w:rsidRPr="00A31137">
        <w:t>prescribe what shall be orthodox in commercial advertising" by requiring the dissemination of "purely factual and uncontroversial information,</w:t>
      </w:r>
    </w:p>
    <w:p w:rsidR="00A31137" w:rsidRPr="00A31137" w:rsidRDefault="00A31137" w:rsidP="00A31137">
      <w:r w:rsidRPr="00A31137">
        <w:t>1995, Hurley v. Irish-American Gay Group, No. 94-749</w:t>
      </w:r>
    </w:p>
    <w:p w:rsidR="00A31137" w:rsidRPr="00A31137" w:rsidRDefault="00A31137" w:rsidP="00A31137">
      <w:r w:rsidRPr="00A31137">
        <w:t>Zauderer v. Office of Disciplinary Counsel of Supreme Court of Ohio, 471 U.S. 626, 651 (1985); see Pittsburgh Press Co. v. Pittsburgh Comm'n on Human Relations, 413 U.S. 376, 386-387 (1973), outside that context it may not compel affirmance of a belief with which the speaker disagrees, see Barnette, 319 U.S. at  642. Indeed this general rule, that the speaker has the right to tailor the speech, applies not only to expressions of value, opinion, or endorsement, but equally to statements of fact the speaker would rather avoid, McIntyre v. Ohio Elections Comm'n, 514 U.S. ___, ___ (1995); Riley v. National Federation of Blind of N.C., Inc., 487 U.S. 781, 797-798 (1988), subject, perhaps, to the permissive law of defamation, New York Times, 376 U.S. 254; Gertz v. Robert Welch, Inc., 418 U.S. 323, 347-349 (1974); Hustler Magazine, Inc. v. Falwell, 485 U.S. 46 (1988). Nor is the rule's benefit restricted to the press, being enjoyed by business corporations generally and by ordinary people engaged in unsophisticated expression as well as by professional publishers. Its point is simply the point of all speech protection, which is to shield just those choices of content that in someone's eyes are misguided, or even hurtful. See Brandenburg v. Ohio, 395 U.S. 444 (1969); Terminiello v. Chicago, 337 U.S. 1 (1949).</w:t>
      </w:r>
    </w:p>
    <w:p w:rsidR="00A31137" w:rsidRPr="00A31137" w:rsidRDefault="00A31137" w:rsidP="00A31137">
      <w:r w:rsidRPr="00A31137">
        <w:t>1995, Hurley v. Irish-American Gay Group, No. 94-749</w:t>
      </w:r>
    </w:p>
    <w:p w:rsidR="00A31137" w:rsidRPr="00A31137" w:rsidRDefault="00A31137" w:rsidP="00A31137">
      <w:r w:rsidRPr="00A31137">
        <w:t>Petitioners' claim to the benefit of this principle of autonomy to control one's own speech is as sound as the South Boston parade is expressive. Rather like a composer, the Council selects the expressive units of the parade from potential participants, and though the score may not produce a particularized message, each contingent's expression in the Council's eyes comports with what merits celebration on that day. Even if this view gives the Council credit for a more considered judgment than it actively made, the Council clearly decided to exclude a message it did not like from the communication it chose to make, and that is enough to invoke its right as a private speaker to shape its expression by speaking on one subject while remaining silent on another. The message it disfavored is not difficult to identify. Although GLIB's point (like the Council's) is not wholly articulate, a contingent marching behind the organization's banner would at least bear witness to the fact that some Irish are gay, lesbian, or bisexual, and the presence of the organized marchers would suggest their view that people of their sexual orientations have as much claim to unqualified social acceptance as heterosexuals and indeed as members of parade units organized around other identifying characteristics. The parade's organizers may not believe these facts about Irish sexuality to be so, or they may object to unqualified social acceptance of gays and lesbians or have some other reason for wishing to keep GLIB's message out of the parade. But whatever the reason, it boils down to the choice of a speaker not to propound a particular point of view, and that choice is presumed to lie beyond the government's power to control.</w:t>
      </w:r>
    </w:p>
    <w:p w:rsidR="00A31137" w:rsidRPr="00A31137" w:rsidRDefault="00A31137" w:rsidP="00A31137">
      <w:r w:rsidRPr="00A31137">
        <w:t>1995, Hurley v. Irish-American Gay Group, No. 94-749</w:t>
      </w:r>
    </w:p>
    <w:p w:rsidR="00A31137" w:rsidRPr="00A31137" w:rsidRDefault="00A31137" w:rsidP="00A31137">
      <w:r w:rsidRPr="00A31137">
        <w:t>Respondents argue that any tension between this rule and the Massachusetts law falls short of unconstitutionality, citing the most recent of our cases on the general subject of compelled access for expressive purposes, Turner Broadcasting, 512 U.S. ___. There we reviewed regulations requiring cable operators to set aside channels for designated broadcast signals, and applied only intermediate scrutiny. Id. at ___. Respondents contend on this authority that admission of GLIB to the parade would not threaten the core principle of speaker's autonomy because the Council, like a cable operator, is merely "a conduit" for the speech of participants in the parade "rather than itself a speaker." Brief for Respondent 21. But this metaphor is not apt here, because GLIB's participation would likely be perceived as having resulted from the Council's customary determination about a unit admitted to the parade, that its message was worthy of presentation and quite possibly of support as well. A newspaper, similarly, "is more than a passive receptacle or conduit for news, comment, and advertising," and we have held that</w:t>
      </w:r>
    </w:p>
    <w:p w:rsidR="00A31137" w:rsidRPr="00A31137" w:rsidRDefault="00A31137" w:rsidP="00A31137">
      <w:r w:rsidRPr="00A31137">
        <w:t>1995, Hurley v. Irish-American Gay Group, No. 94-749</w:t>
      </w:r>
    </w:p>
    <w:p w:rsidR="00A31137" w:rsidRPr="00A31137" w:rsidRDefault="00A31137" w:rsidP="00A31137">
      <w:r w:rsidRPr="00A31137">
        <w:t>[t]he choice of material…and the decisions made as to limitations on the size and content…and treatment of public issues…—whether fair or unfair—constitute the exercise of editorial control and judgment</w:t>
      </w:r>
    </w:p>
    <w:p w:rsidR="00A31137" w:rsidRPr="00A31137" w:rsidRDefault="00A31137" w:rsidP="00A31137">
      <w:r w:rsidRPr="00A31137">
        <w:t>1995, Hurley v. Irish-American Gay Group, No. 94-749</w:t>
      </w:r>
    </w:p>
    <w:p w:rsidR="00A31137" w:rsidRPr="00A31137" w:rsidRDefault="00A31137" w:rsidP="00A31137">
      <w:r w:rsidRPr="00A31137">
        <w:t>upon which the State can not intrude. Tornillo, 418 U.S. at  258. Indeed, in Pacific Gas &amp; Electric, we invalidated coerced access to the envelope of a private utility's bill and newsletter because the utility "may be forced either to appear to agree with [the intruding leaflet] or to respond." 475 U.S. at 15 (plurality) (citation omitted). The plurality made the further point that if</w:t>
      </w:r>
    </w:p>
    <w:p w:rsidR="00A31137" w:rsidRPr="00A31137" w:rsidRDefault="00A31137" w:rsidP="00A31137">
      <w:r w:rsidRPr="00A31137">
        <w:t>1995, Hurley v. Irish-American Gay Group, No. 94-749</w:t>
      </w:r>
    </w:p>
    <w:p w:rsidR="00A31137" w:rsidRPr="00A31137" w:rsidRDefault="00A31137" w:rsidP="00A31137">
      <w:r w:rsidRPr="00A31137">
        <w:t>the government [were] freely able to compel…speakers to propound political messages with which they disagree,…protection [of a speaker's freedom] would be empty, for the government could require speakers to affirm in one breath that which they deny in the next.</w:t>
      </w:r>
    </w:p>
    <w:p w:rsidR="00A31137" w:rsidRPr="00A31137" w:rsidRDefault="00A31137" w:rsidP="00A31137">
      <w:r w:rsidRPr="00A31137">
        <w:t>1995, Hurley v. Irish-American Gay Group, No. 94-749</w:t>
      </w:r>
    </w:p>
    <w:p w:rsidR="00A31137" w:rsidRPr="00A31137" w:rsidRDefault="00A31137" w:rsidP="00A31137">
      <w:r w:rsidRPr="00A31137">
        <w:t>Id. at 16. Thus, when dissemination of a view contrary to one's own is forced upon a speaker intimately connected with the communication advanced, the speaker's right to autonomy over the message is compromised.</w:t>
      </w:r>
    </w:p>
    <w:p w:rsidR="00A31137" w:rsidRPr="00A31137" w:rsidRDefault="00A31137" w:rsidP="00A31137">
      <w:r w:rsidRPr="00A31137">
        <w:t>1995, Hurley v. Irish-American Gay Group, No. 94-749</w:t>
      </w:r>
    </w:p>
    <w:p w:rsidR="00A31137" w:rsidRPr="00A31137" w:rsidRDefault="00A31137" w:rsidP="00A31137">
      <w:r w:rsidRPr="00A31137">
        <w:t>In Turner Broadcasting, we found this problem absent in the cable context, because</w:t>
      </w:r>
    </w:p>
    <w:p w:rsidR="00A31137" w:rsidRPr="00A31137" w:rsidRDefault="00A31137" w:rsidP="00A31137">
      <w:r w:rsidRPr="00A31137">
        <w:t>1995, Hurley v. Irish-American Gay Group, No. 94-749</w:t>
      </w:r>
    </w:p>
    <w:p w:rsidR="00A31137" w:rsidRPr="00A31137" w:rsidRDefault="00A31137" w:rsidP="00A31137">
      <w:r w:rsidRPr="00A31137">
        <w:t>[g]iven cable's long history of serving as a conduit for broadcast signals, there appears little risk that cable viewers would assume that the broadcast stations carried on a cable system convey ideas or messages endorsed by the cable operator.</w:t>
      </w:r>
    </w:p>
    <w:p w:rsidR="00A31137" w:rsidRPr="00A31137" w:rsidRDefault="00A31137" w:rsidP="00A31137">
      <w:r w:rsidRPr="00A31137">
        <w:t>1995, Hurley v. Irish-American Gay Group, No. 94-749</w:t>
      </w:r>
    </w:p>
    <w:p w:rsidR="00A31137" w:rsidRPr="00A31137" w:rsidRDefault="00A31137" w:rsidP="00A31137">
      <w:r w:rsidRPr="00A31137">
        <w:t>512 U.S. at ___. We stressed that the viewer is frequently apprised of the identity of the broadcaster whose signal is being received via cable and that it is</w:t>
      </w:r>
    </w:p>
    <w:p w:rsidR="00A31137" w:rsidRPr="00A31137" w:rsidRDefault="00A31137" w:rsidP="00A31137">
      <w:r w:rsidRPr="00A31137">
        <w:t>1995, Hurley v. Irish-American Gay Group, No. 94-749</w:t>
      </w:r>
    </w:p>
    <w:p w:rsidR="00A31137" w:rsidRPr="00A31137" w:rsidRDefault="00A31137" w:rsidP="00A31137">
      <w:r w:rsidRPr="00A31137">
        <w:t>common practice for broadcasters to disclaim any identity of viewpoint between the management and the speakers who use the broadcast facility.</w:t>
      </w:r>
    </w:p>
    <w:p w:rsidR="00A31137" w:rsidRPr="00A31137" w:rsidRDefault="00A31137" w:rsidP="00A31137">
      <w:r w:rsidRPr="00A31137">
        <w:t>1995, Hurley v. Irish-American Gay Group, No. 94-749</w:t>
      </w:r>
    </w:p>
    <w:p w:rsidR="00A31137" w:rsidRPr="00A31137" w:rsidRDefault="00A31137" w:rsidP="00A31137">
      <w:r w:rsidRPr="00A31137">
        <w:t>Ibid. (citation omitted); see id. at ___ (O'CONNOR, J., concurring in part and dissenting in part) (noting that Congress "might…conceivably obligate cable operators to act as common carriers for some of their channels").</w:t>
      </w:r>
    </w:p>
    <w:p w:rsidR="00A31137" w:rsidRPr="00A31137" w:rsidRDefault="00A31137" w:rsidP="00A31137">
      <w:r w:rsidRPr="00A31137">
        <w:t>1995, Hurley v. Irish-American Gay Group, No. 94-749</w:t>
      </w:r>
    </w:p>
    <w:p w:rsidR="00A31137" w:rsidRPr="00A31137" w:rsidRDefault="00A31137" w:rsidP="00A31137">
      <w:r w:rsidRPr="00A31137">
        <w:t>Parades and demonstrations, in contrast, are not understood to be so neutrally presented or selectively viewed. Unlike the programming offered on various channels by a cable network, the parade does not consist of individual, unrelated segments that happen to be transmitted together for individual selection by members of the audience. Although each parade unit generally identifies itself, each is understood to contribute something to a common theme, and accordingly there is no customary practice whereby private sponsors disavow "any identity of viewpoint" between themselves and the selected participants. Practice follows practicability here, for such disclaimers would be quite curious in a moving parade. Cf. PruneYard Shopping Center v. Robins, 447 U.S. 74,  87 (1980) (owner of shopping mall "can expressly disavow any connection with the message by simply posting signs in the area where the speakers or handbillers stand"). Without deciding on the precise significance of the likelihood of misattribution, it nonetheless becomes clear that in the context of an expressive parade, as with a protest march, the parade's overall message is distilled from the individual presentations along the way, and each unit's expression is perceived by spectators as part of the whole.</w:t>
      </w:r>
    </w:p>
    <w:p w:rsidR="00A31137" w:rsidRPr="00A31137" w:rsidRDefault="00A31137" w:rsidP="00A31137">
      <w:r w:rsidRPr="00A31137">
        <w:t>1995, Hurley v. Irish-American Gay Group, No. 94-749</w:t>
      </w:r>
    </w:p>
    <w:p w:rsidR="00A31137" w:rsidRPr="00A31137" w:rsidRDefault="00A31137" w:rsidP="00A31137">
      <w:r w:rsidRPr="00A31137">
        <w:t>An additional distinction between Turner Broadcasting and this case points to the fundamental weakness of any attempt to justify the state court order's limitation on the Council's autonomy as a speaker. A cable is not only a conduit for speech produced by others and selected by cable operators for transmission, but a franchised channel giving monopolistic opportunity to shut out some speakers. This power gives rise to the government's interest in limiting monopolistic autonomy in order to allow for the survival of broadcasters who might otherwise be silenced and consequently destroyed. The government's interest in Turner Broadcasting was not the alteration of speech, but the survival of speakers. In thus identifying an interest going beyond abridgment of speech itself, the defenders of the law at issue in Turner Broadcasting addressed the threshold requirement of any review under the Speech Clause, whatever the ultimate level of scrutiny, that a challenged restriction on speech serve a compelling, or at least important, governmental object, see, e.g., Pacific Gas &amp; Electric, supra at 19; Turner Broadcasting, supra at ___; United States v. O'Brien, 391 U.S. 367,  377 (1968).</w:t>
      </w:r>
    </w:p>
    <w:p w:rsidR="00A31137" w:rsidRPr="00A31137" w:rsidRDefault="00A31137" w:rsidP="00A31137">
      <w:r w:rsidRPr="00A31137">
        <w:t>1995, Hurley v. Irish-American Gay Group, No. 94-749</w:t>
      </w:r>
    </w:p>
    <w:p w:rsidR="00A31137" w:rsidRPr="00A31137" w:rsidRDefault="00A31137" w:rsidP="00A31137">
      <w:r w:rsidRPr="00A31137">
        <w:t>In this case, of course, there is no assertion comparable to the Turner Broadcasting claim that some speakers will be destroyed in the absence of the challenged law. True, the size and success of petitioners' parade makes it an enviable vehicle for the dissemination of GLIB's views, but that fact, without more, would fall far short of supporting a claim that petitioners enjoy an abiding monopoly of access to spectators. See App. to Pet. for Cert. B9; Brief for Respondents 10 (citing trial court's finding that no other applicant has applied for the permit). Considering that GLIB presumably would have had a fair shot (under neutral criteria developed by the city) at obtaining a parade permit of its own, respondents have not shown that petitioners enjoy the capacity to "silence the voice of competing speakers," as cable operators do with respect to program providers who wish to reach subscribers, Turner Broadcasting, supra at ___. Nor has any other legitimate interest been identified in support of applying the Massachusetts statute in this way to expressive activity like the parade.</w:t>
      </w:r>
    </w:p>
    <w:p w:rsidR="00A31137" w:rsidRPr="00A31137" w:rsidRDefault="00A31137" w:rsidP="00A31137">
      <w:r w:rsidRPr="00A31137">
        <w:t>1995, Hurley v. Irish-American Gay Group, No. 94-749</w:t>
      </w:r>
    </w:p>
    <w:p w:rsidR="00A31137" w:rsidRPr="00A31137" w:rsidRDefault="00A31137" w:rsidP="00A31137">
      <w:r w:rsidRPr="00A31137">
        <w:t>The statute, Mass.Gen.Laws § 272:98, is a piece of protective legislation that announces no purpose beyond the object both expressed and apparent in its provisions, which is to prevent any denial of access to (or discriminatory treatment in) public accommodations on proscribed grounds, including sexual orientation. On its face, the object of the law is to ensure by statute for gays and lesbians desiring to make use of public accommodations what the old common law promised to any member of the public wanting a meal at the inn, that accepting the usual terms of service, they will not be turned away merely on the proprietor's exercise of personal preference. When the law is applied to expressive activity in the way it was done here, its apparent object is simply to require speakers to modify the content of their expression to whatever extent beneficiaries of the law choose to alter it with messages of their own. But in the absence of some further, legitimate end, this object is merely to allow exactly what the general rule of speaker's autonomy forbids.</w:t>
      </w:r>
    </w:p>
    <w:p w:rsidR="00A31137" w:rsidRPr="00A31137" w:rsidRDefault="00A31137" w:rsidP="00A31137">
      <w:r w:rsidRPr="00A31137">
        <w:t>1995, Hurley v. Irish-American Gay Group, No. 94-749</w:t>
      </w:r>
    </w:p>
    <w:p w:rsidR="00A31137" w:rsidRPr="00A31137" w:rsidRDefault="00A31137" w:rsidP="00A31137">
      <w:r w:rsidRPr="00A31137">
        <w:t>It might, of course, have been argued that a broader objective is apparent: that the ultimate point of forbidding acts of discrimination toward certain classes is to produce a society free of the corresponding biases. Requiring access to a speaker's message would thus be not an end in itself, but a means to produce speakers free of the biases, whose expressive conduct would be at least neutral toward the particular classes, obviating any future need for correction. But if this indeed is the point of applying the state law to expressive conduct, it is a decidedly fatal objective. Having availed itself of the public thoroughfares "for purposes of assembly [and] communicating thoughts between citizens," the Council is engaged in a use of the streets that has "from ancient times, been a part of the privileges, immunities, rights, and liberties of citizens." Hague v. Committee for Industrial Organization, 307 U.S. 496,  515 (1939) (opinion of Roberts, J.). Our tradition of free speech commands that a speaker who takes to the street corner to express his views in this way should be free from interference by the State based on the content of what he says. See, e.g., Police Department of Chicago v. Mosley, 408 U.S. 92, 95 (1972); cf. H. Kalven, Jr., A Worthy Tradition 6-19 (1988); O. Fiss, Free Speech and Social Structure, 71 Iowa L.Rev. 1405, 1408-1409 (1986). The very idea that a noncommercial speech restriction be used to produce thoughts and statements acceptable to some groups or, indeed, all people, grates on the First Amendment, for it amounts to nothing less than a proposal to limit speech in the service of orthodox expression. The Speech Clause has no more certain antithesis. See, e.g., Barnette, 319 U.S. at  642; Pacific Gas &amp; Electric, 475 U.S. at 20. While the law is free to promote all sorts of conduct in place of harmful behavior, it is not free to interfere with speech for no better reason than promoting an approved message or discouraging a disfavored one, however enlightened either purpose may strike the government.</w:t>
      </w:r>
    </w:p>
    <w:p w:rsidR="00A31137" w:rsidRPr="00A31137" w:rsidRDefault="00A31137" w:rsidP="00A31137">
      <w:r w:rsidRPr="00A31137">
        <w:t>1995, Hurley v. Irish-American Gay Group, No. 94-749</w:t>
      </w:r>
    </w:p>
    <w:p w:rsidR="00A31137" w:rsidRPr="00A31137" w:rsidRDefault="00A31137" w:rsidP="00A31137">
      <w:r w:rsidRPr="00A31137">
        <w:t>Far from supporting GLIB, then, Turner Broadcasting points to the reasons why the present application of the Massachusetts law can not be sustained. So do the two other principal authorities GLIB has cited. In PruneYard, 447 U.S. 74, to be sure, we sustained a state law requiring the proprietors of shopping malls to allow visitors to solicit signatures on political petitions without a showing that the shopping mall owners would otherwise prevent the beneficiaries of the law from reaching an audience. But we found in that case that the proprietors were running "a business establishment that is open to the public to come and go as they please," that the solicitations would "not likely be identified with those of the owner," and that the proprietors could "expressly disavow any connection with the message by simply posting signs in the area where the speakers or handbillers stand." Id. at  87. Also, in Pacific Gas &amp; Electric, supra at 12, we noted that PruneYard did not involve</w:t>
      </w:r>
    </w:p>
    <w:p w:rsidR="00A31137" w:rsidRPr="00A31137" w:rsidRDefault="00A31137" w:rsidP="00A31137">
      <w:r w:rsidRPr="00A31137">
        <w:t>1995, Hurley v. Irish-American Gay Group, No. 94-749</w:t>
      </w:r>
    </w:p>
    <w:p w:rsidR="00A31137" w:rsidRPr="00A31137" w:rsidRDefault="00A31137" w:rsidP="00A31137">
      <w:r w:rsidRPr="00A31137">
        <w:t>any concern that access to this area might affect the shopping center owner's exercise of his own right to speak: the owner did not even allege that he objected to the content of the pamphlets….</w:t>
      </w:r>
    </w:p>
    <w:p w:rsidR="00A31137" w:rsidRPr="00A31137" w:rsidRDefault="00A31137" w:rsidP="00A31137">
      <w:r w:rsidRPr="00A31137">
        <w:t>1995, Hurley v. Irish-American Gay Group, No. 94-749</w:t>
      </w:r>
    </w:p>
    <w:p w:rsidR="00A31137" w:rsidRPr="00A31137" w:rsidRDefault="00A31137" w:rsidP="00A31137">
      <w:r w:rsidRPr="00A31137">
        <w:t>The principle of speaker's autonomy was simply not threatened in that case.</w:t>
      </w:r>
    </w:p>
    <w:p w:rsidR="00A31137" w:rsidRPr="00A31137" w:rsidRDefault="00A31137" w:rsidP="00A31137">
      <w:r w:rsidRPr="00A31137">
        <w:t>1995, Hurley v. Irish-American Gay Group, No. 94-749</w:t>
      </w:r>
    </w:p>
    <w:p w:rsidR="00A31137" w:rsidRPr="00A31137" w:rsidRDefault="00A31137" w:rsidP="00A31137">
      <w:r w:rsidRPr="00A31137">
        <w:t>New York State Club Association is also instructive by the contrast it provides. There, we turned back a facial challenge to a state antidiscrimination statute on the assumption that the expressive associational character of a dining club with over 400 members could be sufficiently attenuated to permit application of the law even to such a private organization, but we also recognized that the State did not prohibit exclusion of those whose views were at odds with positions espoused by the general club memberships. 487 U.S. at  13; see also Roberts, 468 U.S. at  627. In other words, although the association provided public benefits to which a State could ensure equal access, it was also engaged in expressive activity; compelled access to the benefit, which was upheld, did not trespass on the organization's message itself. If we were to analyze this case strictly along those lines, GLIB would lose. Assuming the parade to be large enough and a source of benefits (apart from its expression) that would generally justify a mandated access provision, GLIB could nonetheless be refused admission as an expressive contingent with its own message just as readily as a private club could exclude an applicant whose manifest views were at odds with a position taken by the club's existing members.</w:t>
      </w:r>
    </w:p>
    <w:p w:rsidR="00A31137" w:rsidRPr="00A31137" w:rsidRDefault="00A31137" w:rsidP="00A31137">
      <w:r w:rsidRPr="00A31137">
        <w:t>IV</w:t>
      </w:r>
    </w:p>
    <w:p w:rsidR="00A31137" w:rsidRPr="00A31137" w:rsidRDefault="00A31137" w:rsidP="00A31137">
      <w:r w:rsidRPr="00A31137">
        <w:t>1995, Hurley v. Irish-American Gay Group, No. 94-749</w:t>
      </w:r>
    </w:p>
    <w:p w:rsidR="00A31137" w:rsidRPr="00A31137" w:rsidRDefault="00A31137" w:rsidP="00A31137">
      <w:r w:rsidRPr="00A31137">
        <w:t>Our holding today rests not on any particular view about the Council's message, but on the Nation's commitment to protect freedom of speech. Disapproval of a private speaker's statement does not legitimize use of the Commonwealth's power to compel the speaker to alter the message by including one more acceptable to others. Accordingly, the judgment of the Supreme Judicial Court is reversed, and the case remanded for proceedings not inconsistent with this opinion.</w:t>
      </w:r>
    </w:p>
    <w:p w:rsidR="00A31137" w:rsidRPr="00A31137" w:rsidRDefault="00A31137" w:rsidP="00A31137">
      <w:r w:rsidRPr="00A31137">
        <w:t>1995, Hurley v. Irish-American Gay Group, No. 94-749</w:t>
      </w:r>
    </w:p>
    <w:p w:rsidR="00A31137" w:rsidRPr="00A31137" w:rsidRDefault="00A31137" w:rsidP="00A31137">
      <w:r w:rsidRPr="00A31137">
        <w:t>It is so ordered.</w:t>
      </w:r>
    </w:p>
    <w:p w:rsidR="00A31137" w:rsidRPr="00A31137" w:rsidRDefault="00A31137" w:rsidP="00A31137">
      <w:r w:rsidRPr="00A31137">
        <w:t>Footnotes</w:t>
      </w:r>
    </w:p>
    <w:p w:rsidR="00A31137" w:rsidRPr="00A31137" w:rsidRDefault="00A31137" w:rsidP="00A31137">
      <w:r w:rsidRPr="00A31137">
        <w:t>SOUTER, J., lead opinion (Footnotes)</w:t>
      </w:r>
    </w:p>
    <w:p w:rsidR="00A31137" w:rsidRPr="00A31137" w:rsidRDefault="00A31137" w:rsidP="00A31137">
      <w:r w:rsidRPr="00A31137">
        <w:t>1995, Hurley v. Irish-American Gay Group, No. 94-749</w:t>
      </w:r>
    </w:p>
    <w:p w:rsidR="00A31137" w:rsidRPr="00A31137" w:rsidRDefault="00A31137" w:rsidP="00A31137">
      <w:r w:rsidRPr="00A31137">
        <w:t>1. The court dismissed the public accommodations law claim against the city because it found that the city's actions did not amount to inciting or assisting in the Council's violations of § 272:98. App. to Pet. for Cert. B12-B13. It also dismissed respondents' First and Fourteenth Amendment challenge against the Council for want of state action triggering the proscriptions of those Amendments. Id. at B14-B22. Finally, the court did not reach the state constitutional questions, since respondents had apparently assumed in their arguments that those claims, too, depended for their success upon a finding of state action and because of the court's holding that the public accommodation statutes apply to the parade. Id. at B22.</w:t>
      </w:r>
    </w:p>
    <w:p w:rsidR="00A31137" w:rsidRPr="00A31137" w:rsidRDefault="00A31137" w:rsidP="00A31137">
      <w:r w:rsidRPr="00A31137">
        <w:t>1995, Hurley v. Irish-American Gay Group, No. 94-749</w:t>
      </w:r>
    </w:p>
    <w:p w:rsidR="00A31137" w:rsidRPr="00A31137" w:rsidRDefault="00A31137" w:rsidP="00A31137">
      <w:r w:rsidRPr="00A31137">
        <w:t>2. Since respondents did not cross-appeal the dismissal of their claims against the city, the Supreme Judicial Court declined to reach those claims. 418 Mass. at 245, n. 12, 636 N.E.2d at 1297.</w:t>
      </w:r>
    </w:p>
    <w:p w:rsidR="00A31137" w:rsidRPr="00A31137" w:rsidRDefault="00A31137" w:rsidP="00A31137">
      <w:r w:rsidRPr="00A31137">
        <w:t>Rosenberger v. Rector, Univ. of Virginia, 1995</w:t>
      </w:r>
    </w:p>
    <w:p w:rsidR="00A31137" w:rsidRPr="00A31137" w:rsidRDefault="00A31137" w:rsidP="00A31137">
      <w:r w:rsidRPr="00A31137">
        <w:t>Title:</w:t>
      </w:r>
      <w:r w:rsidRPr="00A31137">
        <w:tab/>
        <w:t>Rosenberger v. Rector and Visitors of the University of Virginia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29, 1995</w:t>
      </w:r>
    </w:p>
    <w:p w:rsidR="00A31137" w:rsidRPr="00A31137" w:rsidRDefault="00A31137" w:rsidP="00A31137">
      <w:r w:rsidRPr="00A31137">
        <w:t>Source:</w:t>
      </w:r>
      <w:r w:rsidRPr="00A31137">
        <w:tab/>
        <w:t>No. 94-329 [U.S. Reports citation not yet available]</w:t>
      </w:r>
    </w:p>
    <w:p w:rsidR="00A31137" w:rsidRPr="00A31137" w:rsidRDefault="00A31137" w:rsidP="00A31137">
      <w:r w:rsidRPr="00A31137">
        <w:t>This case was argued March 1, 1995, and was decided June 29, 1995.</w:t>
      </w:r>
    </w:p>
    <w:p w:rsidR="00A31137" w:rsidRPr="00A31137" w:rsidRDefault="00A31137" w:rsidP="00A31137">
      <w:r w:rsidRPr="00A31137">
        <w:t>CERTIORARI TO THE UNITED STATES COURT OF APPEALS</w:t>
      </w:r>
    </w:p>
    <w:p w:rsidR="00A31137" w:rsidRPr="00A31137" w:rsidRDefault="00A31137" w:rsidP="00A31137">
      <w:r w:rsidRPr="00A31137">
        <w:t>FOR THE FOURTH CIRCUIT</w:t>
      </w:r>
    </w:p>
    <w:p w:rsidR="00A31137" w:rsidRPr="00A31137" w:rsidRDefault="00A31137" w:rsidP="00A31137">
      <w:r w:rsidRPr="00A31137">
        <w:t>Syllabus</w:t>
      </w:r>
    </w:p>
    <w:p w:rsidR="00A31137" w:rsidRPr="00A31137" w:rsidRDefault="00A31137" w:rsidP="00A31137">
      <w:r w:rsidRPr="00A31137">
        <w:t>1995, Rosenberger v. Rector, Univ. of Virginia, No. 94-329</w:t>
      </w:r>
    </w:p>
    <w:p w:rsidR="00A31137" w:rsidRPr="00A31137" w:rsidRDefault="00A31137" w:rsidP="00A31137">
      <w:r w:rsidRPr="00A31137">
        <w:t>Respondent University of Virginia, a state instrumentality, authorizes payments from its Student Activities Fund (SAF) to outside contractors for the printing costs of a variety of publications issued by student groups called "Contracted Independent Organizations" (CIOs). The SAF receives its money from mandatory student fees and is designed to support a broad range of extracurricular student activities related to the University's educational purpose. CIOs must include in their dealings with third parties and in all written materials a disclaimer stating that they are independent of the University and that the University is not responsible for them. The University withheld authorization for payments to a printer on behalf of petitioners' CIO, Wide Awake Productions (WAP), solely because its student newspaper, Wide Awake: A Christian Perspective at the University of Virginia, "primarily promotes or manifests a particular belie[f] in or about a deity or an ultimate reality," as prohibited by the University's SAF Guidelines. Petitioners filed this suit under 42 U.S.C. § 1983, alleging, inter alia, that the refusal to authorize payment violated their First Amendment right to freedom of speech. After the District Court granted summary judgment for the University, the Fourth Circuit affirmed, holding that the University's invocation of viewpoint discrimination to deny third-party payment violated the Speech Clause, but concluding that the discrimination was justified by the necessity of complying with the Establishment Clause.</w:t>
      </w:r>
    </w:p>
    <w:p w:rsidR="00A31137" w:rsidRPr="00A31137" w:rsidRDefault="00A31137" w:rsidP="00A31137">
      <w:r w:rsidRPr="00A31137">
        <w:t>1995, Rosenberger v. Rector, Univ. of Virginia, No. 94-329</w:t>
      </w:r>
    </w:p>
    <w:p w:rsidR="00A31137" w:rsidRPr="00A31137" w:rsidRDefault="00A31137" w:rsidP="00A31137">
      <w:r w:rsidRPr="00A31137">
        <w:t>Held:</w:t>
      </w:r>
    </w:p>
    <w:p w:rsidR="00A31137" w:rsidRPr="00A31137" w:rsidRDefault="00A31137" w:rsidP="00A31137">
      <w:r w:rsidRPr="00A31137">
        <w:t>1995, Rosenberger v. Rector, Univ. of Virginia, No. 94-329</w:t>
      </w:r>
    </w:p>
    <w:p w:rsidR="00A31137" w:rsidRPr="00A31137" w:rsidRDefault="00A31137" w:rsidP="00A31137">
      <w:r w:rsidRPr="00A31137">
        <w:t>1. The Guideline invoked to deny SAF support, both in its terms and in its application to these petitioners, is a denial of their right of free speech. Pp. ___.</w:t>
      </w:r>
    </w:p>
    <w:p w:rsidR="00A31137" w:rsidRPr="00A31137" w:rsidRDefault="00A31137" w:rsidP="00A31137">
      <w:r w:rsidRPr="00A31137">
        <w:t>1995, Rosenberger v. Rector, Univ. of Virginia, No. 94-329</w:t>
      </w:r>
    </w:p>
    <w:p w:rsidR="00A31137" w:rsidRPr="00A31137" w:rsidRDefault="00A31137" w:rsidP="00A31137">
      <w:r w:rsidRPr="00A31137">
        <w:t>(a) The Guideline violates the principles governing speech in limited public forums, which apply to the SAF under, e.g., Perry Ed. Assn. v. Perry Local Educators' Assn., 460 U.S. 37, 46-47. In determining whether a State is acting within its power to preserve the limits it has set for such a forum so that the exclusion of a class of speech there is legitimate, see, e.g., id. at  49, this Court has observed a distinction between, on the one hand, content discrimination—i.e., discrimination against speech because of its subject matter—which may be permissible if it preserves the limited forum's purposes, and, on the other hand, viewpoint discrimination—i.e., discrimination because of the speaker's specific motivating ideology, opinion, or perspective—which is presumed impermissible when directed against speech otherwise within the forum's limitations, see id. at  46. The most recent and most apposite case in this area is Lamb's Chapel v. Center Moriches Union Free School Dist., 508 U.S. __, __, in which the Court held that permitting school property to be used for the presentation of all views on an issue except those dealing with it from a religious standpoint constitutes prohibited viewpoint discrimination. Here, as in that case, the State's actions are properly interpreted as unconstitutional viewpoint discrimination, rather than permissible line-drawing based on content: By the very terms of the SAF prohibition, the University does not exclude religion as a subject matter, but selects for disfavored treatment those student journalistic efforts with religious editorial viewpoints. Pp. ___.</w:t>
      </w:r>
    </w:p>
    <w:p w:rsidR="00A31137" w:rsidRPr="00A31137" w:rsidRDefault="00A31137" w:rsidP="00A31137">
      <w:r w:rsidRPr="00A31137">
        <w:t>1995, Rosenberger v. Rector, Univ. of Virginia, No. 94-329</w:t>
      </w:r>
    </w:p>
    <w:p w:rsidR="00A31137" w:rsidRPr="00A31137" w:rsidRDefault="00A31137" w:rsidP="00A31137">
      <w:r w:rsidRPr="00A31137">
        <w:t>(b) The University's attempt to escape the consequences of Lamb's Chapel by urging that this case involves the provision of funds, rather than access to facilities, is unavailing. Although it may regulate the content of expression when it is the speaker or when it enlists private entities to convey its own message, Rust v. Sullivan, 500 U.S. 173; Widmar v. Vincent, 454 U.S. 263,  276, the University may not discriminate based on the viewpoint of private persons whose speech it subsidizes, Regan v. Taxation with Representation of Wash., 461 U.S. 540,  548. Its argument that the scarcity of public money may justify otherwise impermissible viewpoint discrimination among private speakers is simply wrong. Pp. ___.</w:t>
      </w:r>
    </w:p>
    <w:p w:rsidR="00A31137" w:rsidRPr="00A31137" w:rsidRDefault="00A31137" w:rsidP="00A31137">
      <w:r w:rsidRPr="00A31137">
        <w:t>1995, Rosenberger v. Rector, Univ. of Virginia, No. 94-329</w:t>
      </w:r>
    </w:p>
    <w:p w:rsidR="00A31137" w:rsidRPr="00A31137" w:rsidRDefault="00A31137" w:rsidP="00A31137">
      <w:r w:rsidRPr="00A31137">
        <w:t>(c) Vital First Amendment speech principles are at stake here. The Guideline at issue has a vast potential reach: the term "promotes" as used there would comprehend any writing advocating a philosophic position that rests upon a belief (or nonbelief) in a deity or ultimate reality, while the term "manifests" would bring within the prohibition any writing resting upon a premise presupposing the existence (or nonexistence) of a deity or ultimate reality. It is difficult to name renowned thinkers whose writings would be accepted, save perhaps for articles disclaiming all connection to their ultimate philosophy. Pp. ___.</w:t>
      </w:r>
    </w:p>
    <w:p w:rsidR="00A31137" w:rsidRPr="00A31137" w:rsidRDefault="00A31137" w:rsidP="00A31137">
      <w:r w:rsidRPr="00A31137">
        <w:t>1995, Rosenberger v. Rector, Univ. of Virginia, No. 94-329</w:t>
      </w:r>
    </w:p>
    <w:p w:rsidR="00A31137" w:rsidRPr="00A31137" w:rsidRDefault="00A31137" w:rsidP="00A31137">
      <w:r w:rsidRPr="00A31137">
        <w:t>2. The violation following from the University's denial of SAF support to petitioners is not excused by the necessity of complying with the Establishment Clause. Pp. ___.</w:t>
      </w:r>
    </w:p>
    <w:p w:rsidR="00A31137" w:rsidRPr="00A31137" w:rsidRDefault="00A31137" w:rsidP="00A31137">
      <w:r w:rsidRPr="00A31137">
        <w:t>1995, Rosenberger v. Rector, Univ. of Virginia, No. 94-329</w:t>
      </w:r>
    </w:p>
    <w:p w:rsidR="00A31137" w:rsidRPr="00A31137" w:rsidRDefault="00A31137" w:rsidP="00A31137">
      <w:r w:rsidRPr="00A31137">
        <w:t>(a) The governmental program at issue is neutral toward religion. Such neutrality is a significant factor in upholding programs in the face of Establishment Clause attack, and the guarantee of neutrality is not offended where, as here, the government follows neutral criteria and even-handed policies to extend benefits to recipients whose ideologies and viewpoints, including religious ones, are broad and diverse, Board of Ed. of Kiryas Joel v. Grumet, 512 U.S. __, __. There is no suggestion that the University created its program to advance religion or aid a religious cause. The SAF's purpose is to open a forum for speech and to support various student enterprises, including the publication of newspapers, in recognition of the diversity and creativity of student life. The SAF Guidelines have a separate classification for, and do not make third-party payments on behalf of, "religious organizations," and WAP did not seek a subsidy because of its Christian editorial viewpoint; it sought funding under the Guidelines as a "student…communications…grou[p]."   Neutrality is also apparent in the fact that the University has taken pains to disassociate itself from the private speech involved in this case. The program's neutrality distinguishes the student fees here from a tax levied for the direct support of a church or group of churches, which would violate the Establishment Clause. Pp. ___.</w:t>
      </w:r>
    </w:p>
    <w:p w:rsidR="00A31137" w:rsidRPr="00A31137" w:rsidRDefault="00A31137" w:rsidP="00A31137">
      <w:r w:rsidRPr="00A31137">
        <w:t>1995, Rosenberger v. Rector, Univ. of Virginia, No. 94-329</w:t>
      </w:r>
    </w:p>
    <w:p w:rsidR="00A31137" w:rsidRPr="00A31137" w:rsidRDefault="00A31137" w:rsidP="00A31137">
      <w:r w:rsidRPr="00A31137">
        <w:t>(b) This case is not controlled by the principle that special Establishment Clause dangers exist where the government makes direct money payments to sectarian institutions, see, e.g., Roemer v. Board of Public Works, 426 U.S. 736,  747, since it is undisputed that no public funds flow directly into WAP's coffers under the program at issue. A public university does not violate the Establishment Clause when it grants access to its facilities on a religion-neutral basis to a wide spectrum of student groups, even if some of those groups would use the facilities for devotional exercises. See e.g., Widmar, 474 U.S. at 269. This is so even where the upkeep, maintenance, and repair of those facilities is paid out of a student activities fund to which students are required to contribute. Id. at 265. There is no difference in logic or principle, and certainly no difference of constitutional significance, between using such funds to operate a facility to which students have access, and paying a third-party contractor to operate the facility on its behalf. That is all that is involved here: the University provides printing services to a broad spectrum of student newspapers. Were the contrary view to become law, the University could only avoid a constitutional violation by scrutinizing the content of student speech, lest it contain too great a religious message. Such censorship would be far more inconsistent with the Establishment Clause's dictates than would governmental provision of secular printing services on a religion-blind basis. Pp. ___.</w:t>
      </w:r>
    </w:p>
    <w:p w:rsidR="00A31137" w:rsidRPr="00A31137" w:rsidRDefault="00A31137" w:rsidP="00A31137">
      <w:r w:rsidRPr="00A31137">
        <w:t>1995, Rosenberger v. Rector, Univ. of Virginia, No. 94-329</w:t>
      </w:r>
    </w:p>
    <w:p w:rsidR="00A31137" w:rsidRPr="00A31137" w:rsidRDefault="00A31137" w:rsidP="00A31137">
      <w:r w:rsidRPr="00A31137">
        <w:t>18 F.3d 269, reversed.</w:t>
      </w:r>
    </w:p>
    <w:p w:rsidR="00A31137" w:rsidRPr="00A31137" w:rsidRDefault="00A31137" w:rsidP="00A31137">
      <w:r w:rsidRPr="00A31137">
        <w:t>1995, Rosenberger v. Rector, Univ. of Virginia, No. 94-329</w:t>
      </w:r>
    </w:p>
    <w:p w:rsidR="00A31137" w:rsidRPr="00A31137" w:rsidRDefault="00A31137" w:rsidP="00A31137">
      <w:r w:rsidRPr="00A31137">
        <w:t>KENNEDY, J., delivered the opinion of the Court, in which REHNQUIST, C.J., and O'CONNOR, SCALIA, and THOMAS, JJ., joined. O'CONNOR, J., and THOMAS, J., filed concurring opinions. SOUTER, J., filed a dissenting opinion, in which STEVENS, GINSBURG, and BREYER, JJ., joined.</w:t>
      </w:r>
    </w:p>
    <w:p w:rsidR="00A31137" w:rsidRPr="00A31137" w:rsidRDefault="00A31137" w:rsidP="00A31137">
      <w:r w:rsidRPr="00A31137">
        <w:t>KENNEDY, J., lead opinion</w:t>
      </w:r>
    </w:p>
    <w:p w:rsidR="00A31137" w:rsidRPr="00A31137" w:rsidRDefault="00A31137" w:rsidP="00A31137">
      <w:r w:rsidRPr="00A31137">
        <w:t>1995, Rosenberger v. Rector, Univ. of Virginia, No. 94-329</w:t>
      </w:r>
    </w:p>
    <w:p w:rsidR="00A31137" w:rsidRPr="00A31137" w:rsidRDefault="00A31137" w:rsidP="00A31137">
      <w:r w:rsidRPr="00A31137">
        <w:t>JUSTICE KENNEDY delivered the opinion of the Court.</w:t>
      </w:r>
    </w:p>
    <w:p w:rsidR="00A31137" w:rsidRPr="00A31137" w:rsidRDefault="00A31137" w:rsidP="00A31137">
      <w:r w:rsidRPr="00A31137">
        <w:t>1995, Rosenberger v. Rector, Univ. of Virginia, No. 94-329</w:t>
      </w:r>
    </w:p>
    <w:p w:rsidR="00A31137" w:rsidRPr="00A31137" w:rsidRDefault="00A31137" w:rsidP="00A31137">
      <w:r w:rsidRPr="00A31137">
        <w:t>The University of Virginia, an instrumentality of the Commonwealth for which it is named and thus bound by the First and Fourteenth Amendments, authorizes the payment of outside contractors for the printing costs of a variety of student publications. It withheld any authorization for payments on behalf of petitioners for the sole reason that their student paper "primarily promotes or manifests a particular belie[f] in or about a deity or an ultimate reality." That the paper did promote or manifest views within the defined exclusion seems plain enough. The challenge is to the University's regulation and its denial of authorization, the case raising issues under the Speech and Establishment Clauses of the First Amendment.</w:t>
      </w:r>
    </w:p>
    <w:p w:rsidR="00A31137" w:rsidRPr="00A31137" w:rsidRDefault="00A31137" w:rsidP="00A31137">
      <w:r w:rsidRPr="00A31137">
        <w:t>I</w:t>
      </w:r>
    </w:p>
    <w:p w:rsidR="00A31137" w:rsidRPr="00A31137" w:rsidRDefault="00A31137" w:rsidP="00A31137">
      <w:r w:rsidRPr="00A31137">
        <w:t>1995, Rosenberger v. Rector, Univ. of Virginia, No. 94-329</w:t>
      </w:r>
    </w:p>
    <w:p w:rsidR="00A31137" w:rsidRPr="00A31137" w:rsidRDefault="00A31137" w:rsidP="00A31137">
      <w:r w:rsidRPr="00A31137">
        <w:t>The public corporation we refer to as the "University" is denominated by state law as "the Rector and Visitors of the University of Virginia," Va.Code Ann. § 23-69 (1993), and it is responsible for governing the school, see §§ 23-69 to 23-80. Founded by Thomas Jefferson in 1819, and ranked by him, together with the authorship of the Declaration of Independence and of the Virginia Act for Religious Freedom, Va.Code Ann. § 57-1, as one of his proudest achievements, the University is among the Nation's oldest and most respected seats of higher learning. It has more than 11,000 undergraduate students, and 6,000 graduate and professional students. An understanding of the case requires a somewhat detailed description of the program the University created to support extracurricular student activities on its campus.</w:t>
      </w:r>
    </w:p>
    <w:p w:rsidR="00A31137" w:rsidRPr="00A31137" w:rsidRDefault="00A31137" w:rsidP="00A31137">
      <w:r w:rsidRPr="00A31137">
        <w:t>1995, Rosenberger v. Rector, Univ. of Virginia, No. 94-329</w:t>
      </w:r>
    </w:p>
    <w:p w:rsidR="00A31137" w:rsidRPr="00A31137" w:rsidRDefault="00A31137" w:rsidP="00A31137">
      <w:r w:rsidRPr="00A31137">
        <w:t>Before a student group is eligible to submit bills from its outside contractors for payment by the fund described below, it must become a "Contracted Independent Organization" (CIO). CIO status is available to any group the majority of whose members are students, whose managing officers are full-time students, and that complies with certain procedural requirements. App. to Pet. for Cert. 2a. A CIO must file its constitution with the University; must pledge not to discriminate in its membership; and must include in dealings with third parties and in all written materials a disclaimer, stating that the CIO is independent of the University and that the University is not responsible for the CIO. App. 27-28. CIOs enjoy access to University facilities, including meeting rooms and computer terminals. Id. at 30. A standard agreement signed between each CIO and the University provides that the benefits and opportunities afforded to CIOs</w:t>
      </w:r>
    </w:p>
    <w:p w:rsidR="00A31137" w:rsidRPr="00A31137" w:rsidRDefault="00A31137" w:rsidP="00A31137">
      <w:r w:rsidRPr="00A31137">
        <w:t>1995, Rosenberger v. Rector, Univ. of Virginia, No. 94-329</w:t>
      </w:r>
    </w:p>
    <w:p w:rsidR="00A31137" w:rsidRPr="00A31137" w:rsidRDefault="00A31137" w:rsidP="00A31137">
      <w:r w:rsidRPr="00A31137">
        <w:t>should not be misinterpreted as meaning that those organizations are part of or controlled by the University, that the University is responsible for the organizations' contracts or other acts or omissions, or that the University approves of the organizations' goals or activities.</w:t>
      </w:r>
    </w:p>
    <w:p w:rsidR="00A31137" w:rsidRPr="00A31137" w:rsidRDefault="00A31137" w:rsidP="00A31137">
      <w:r w:rsidRPr="00A31137">
        <w:t>1995, Rosenberger v. Rector, Univ. of Virginia, No. 94-329</w:t>
      </w:r>
    </w:p>
    <w:p w:rsidR="00A31137" w:rsidRPr="00A31137" w:rsidRDefault="00A31137" w:rsidP="00A31137">
      <w:r w:rsidRPr="00A31137">
        <w:t>Id. at 26.</w:t>
      </w:r>
    </w:p>
    <w:p w:rsidR="00A31137" w:rsidRPr="00A31137" w:rsidRDefault="00A31137" w:rsidP="00A31137">
      <w:r w:rsidRPr="00A31137">
        <w:t>1995, Rosenberger v. Rector, Univ. of Virginia, No. 94-329</w:t>
      </w:r>
    </w:p>
    <w:p w:rsidR="00A31137" w:rsidRPr="00A31137" w:rsidRDefault="00A31137" w:rsidP="00A31137">
      <w:r w:rsidRPr="00A31137">
        <w:t>All CIOs may exist and operate at the University, but some are also entitled to apply for funds from the Student Activities Fund (SAF). Established and governed by University Guidelines, the purpose of the SAF is to support a broad range of extracurricular student activities that "are related to the educational purpose of the University." App. to Pet. for Cert. 61a. The SAF is based on the University's "recogni[tion] that the availability of a wide range of opportunities" for its students "tends to enhance the University environment." App. 26. The Guidelines require that it be administered "in a manner consistent with the educational purpose of the University, as well as with state and federal law." App. to Pet. for Cert. 61a. The SAF receives its money from a mandatory fee of $14 per semester assessed to each full-time student. The Student Council, elected by the students, has the initial authority to disburse the funds, but its actions are subject to review by a faculty body chaired by a designee of the Vice President for Student Affairs. Cf. id. at 63a-64a.</w:t>
      </w:r>
    </w:p>
    <w:p w:rsidR="00A31137" w:rsidRPr="00A31137" w:rsidRDefault="00A31137" w:rsidP="00A31137">
      <w:r w:rsidRPr="00A31137">
        <w:t>1995, Rosenberger v. Rector, Univ. of Virginia, No. 94-329</w:t>
      </w:r>
    </w:p>
    <w:p w:rsidR="00A31137" w:rsidRPr="00A31137" w:rsidRDefault="00A31137" w:rsidP="00A31137">
      <w:r w:rsidRPr="00A31137">
        <w:t>Some, but not all, CIOs may submit disbursement requests to the SAF. The Guidelines recognize 11 categories of student groups that may seek payment to third-party contractors because they "are related to the educational purpose of the University of Virginia." Id. at 61a-62a. One of these is "student news, information, opinion, entertainment, or academic communications media groups." Id. at 61a. The Guidelines also specify, however, that the costs of certain activities of CIOs that are otherwise eligible for funding will not be reimbursed by the SAF. The student activities which are excluded from SAF support are religious activities, philanthropic contributions and activities, political activities, activities that would jeopardize the University's tax exempt status, those which involve payment of honoraria or similar fees, or social entertainment or related expenses. Id. at 62a-63a. The prohibition on "political activities" is defined so that it is limited to electioneering and lobbying. The Guidelines provide that</w:t>
      </w:r>
    </w:p>
    <w:p w:rsidR="00A31137" w:rsidRPr="00A31137" w:rsidRDefault="00A31137" w:rsidP="00A31137">
      <w:r w:rsidRPr="00A31137">
        <w:t>1995, Rosenberger v. Rector, Univ. of Virginia, No. 94-329</w:t>
      </w:r>
    </w:p>
    <w:p w:rsidR="00A31137" w:rsidRPr="00A31137" w:rsidRDefault="00A31137" w:rsidP="00A31137">
      <w:r w:rsidRPr="00A31137">
        <w:t>[t]hese restrictions on funding political activities are not intended to preclude funding of any otherwise eligible student organization which…espouses particular positions or ideological viewpoints, including those that may be unpopular or are not generally accepted.</w:t>
      </w:r>
    </w:p>
    <w:p w:rsidR="00A31137" w:rsidRPr="00A31137" w:rsidRDefault="00A31137" w:rsidP="00A31137">
      <w:r w:rsidRPr="00A31137">
        <w:t>1995, Rosenberger v. Rector, Univ. of Virginia, No. 94-329</w:t>
      </w:r>
    </w:p>
    <w:p w:rsidR="00A31137" w:rsidRPr="00A31137" w:rsidRDefault="00A31137" w:rsidP="00A31137">
      <w:r w:rsidRPr="00A31137">
        <w:t>Id. at 65a-66a. A "religious activity," by contrast, is defined as any activity that "primarily promotes or manifests a particular belie[f] in or about a deity or an ultimate reality." Id. at 66a.</w:t>
      </w:r>
    </w:p>
    <w:p w:rsidR="00A31137" w:rsidRPr="00A31137" w:rsidRDefault="00A31137" w:rsidP="00A31137">
      <w:r w:rsidRPr="00A31137">
        <w:t>1995, Rosenberger v. Rector, Univ. of Virginia, No. 94-329</w:t>
      </w:r>
    </w:p>
    <w:p w:rsidR="00A31137" w:rsidRPr="00A31137" w:rsidRDefault="00A31137" w:rsidP="00A31137">
      <w:r w:rsidRPr="00A31137">
        <w:t>The Guidelines prescribe these criteria for determining the amounts of third-party disbursements that will be allowed on behalf of each eligible student organization: the size of the group, its financial self-sufficiency, and the University-wide benefit of its activities. If an organization seeks SAF support, it must submit its bills to the Student Council, which pays the organization's creditors upon determining that the expenses are appropriate. No direct payments are made to the student groups. During the 1990-1991 academic year, 343 student groups qualified as CIOs. One hundred thirty-five of them applied for support from the SAF, and 118 received funding. Fifteen of the groups were funded as "student news, information, opinion, entertainment, or academic communications media groups."</w:t>
      </w:r>
    </w:p>
    <w:p w:rsidR="00A31137" w:rsidRPr="00A31137" w:rsidRDefault="00A31137" w:rsidP="00A31137">
      <w:r w:rsidRPr="00A31137">
        <w:t>1995, Rosenberger v. Rector, Univ. of Virginia, No. 94-329</w:t>
      </w:r>
    </w:p>
    <w:p w:rsidR="00A31137" w:rsidRPr="00A31137" w:rsidRDefault="00A31137" w:rsidP="00A31137">
      <w:r w:rsidRPr="00A31137">
        <w:t>Petitioners' organization, Wide Awake Productions (WAP), qualified as a CIO. Formed by petitioner Ronald Rosenberger and other undergraduates in 1990, WAP was established "[t]o publish a magazine of philosophical and religious expression," "[t]o facilitate discussion which fosters an atmosphere of sensitivity to and tolerance of Christian viewpoints," and "[t]o provide a unifying focus for Christians of multicultural backgrounds." App. 67. WAP publishes Wide Awake: A Christian Perspective at the University of Virginia. The paper's Christian viewpoint was evident from the first issue, in which its editors wrote that the journal "offers a Christian perspective on both personal and community issues, especially those relevant to college students at the University of Virginia." App. 45. The editors committed the paper to a two-fold mission:</w:t>
      </w:r>
    </w:p>
    <w:p w:rsidR="00A31137" w:rsidRPr="00A31137" w:rsidRDefault="00A31137" w:rsidP="00A31137">
      <w:r w:rsidRPr="00A31137">
        <w:t>1995, Rosenberger v. Rector, Univ. of Virginia, No. 94-329</w:t>
      </w:r>
    </w:p>
    <w:p w:rsidR="00A31137" w:rsidRPr="00A31137" w:rsidRDefault="00A31137" w:rsidP="00A31137">
      <w:r w:rsidRPr="00A31137">
        <w:t>to challenge Christians to live, in word and deed, according to the faith they proclaim and to encourage students to consider what a personal relationship with Jesus Christ means.</w:t>
      </w:r>
    </w:p>
    <w:p w:rsidR="00A31137" w:rsidRPr="00A31137" w:rsidRDefault="00A31137" w:rsidP="00A31137">
      <w:r w:rsidRPr="00A31137">
        <w:t>1995, Rosenberger v. Rector, Univ. of Virginia, No. 94-329</w:t>
      </w:r>
    </w:p>
    <w:p w:rsidR="00A31137" w:rsidRPr="00A31137" w:rsidRDefault="00A31137" w:rsidP="00A31137">
      <w:r w:rsidRPr="00A31137">
        <w:t>Ibid. The first issue had articles about racism, crisis pregnancy, stress, prayer, C. S. Lewis' ideas about evil and free will, and reviews of religious music. In the next two issues, Wide Awake featured stories about homosexuality, Christian missionary work, and eating disorders, as well as music reviews and interviews with University professors. Each page of Wide Awake, and the end of each article or review, is marked by a cross. The advertisements carried in Wide Awake also reveal the Christian perspective of the journal. For the most part, the advertisers are churches, centers for Christian study, or Christian bookstores. By June, 1992, WAP had distributed about 5,000 copies of Wide Awake to University students, free of charge.</w:t>
      </w:r>
    </w:p>
    <w:p w:rsidR="00A31137" w:rsidRPr="00A31137" w:rsidRDefault="00A31137" w:rsidP="00A31137">
      <w:r w:rsidRPr="00A31137">
        <w:t>1995, Rosenberger v. Rector, Univ. of Virginia, No. 94-329</w:t>
      </w:r>
    </w:p>
    <w:p w:rsidR="00A31137" w:rsidRPr="00A31137" w:rsidRDefault="00A31137" w:rsidP="00A31137">
      <w:r w:rsidRPr="00A31137">
        <w:t>WAP had acquired CIO status soon after it was organized. This is an important consideration in this case, for, had it been a "religious organization," WAP would not have been accorded CIO status. As defined by the Guidelines, a "religious organization" is "an organization whose purpose is to practice a devotion to an acknowledged ultimate reality or deity." App. to Pet. for Cert. 66a. At no stage in this controversy has the University contended that WAP is such an organization.</w:t>
      </w:r>
    </w:p>
    <w:p w:rsidR="00A31137" w:rsidRPr="00A31137" w:rsidRDefault="00A31137" w:rsidP="00A31137">
      <w:r w:rsidRPr="00A31137">
        <w:t>1995, Rosenberger v. Rector, Univ. of Virginia, No. 94-329</w:t>
      </w:r>
    </w:p>
    <w:p w:rsidR="00A31137" w:rsidRPr="00A31137" w:rsidRDefault="00A31137" w:rsidP="00A31137">
      <w:r w:rsidRPr="00A31137">
        <w:t>A few months after being given CIO status, WAP requested the SAF to pay its printer $5,862 for the costs of printing its newspaper. The Appropriations Committee of the Student Council denied WAP's request on the ground that Wide Awake was a "religious activity" within the meaning of the Guidelines, i.e., that the newspaper "promote[d] or manifest[ed] a particular belie[f] in or about a deity or an ultimate reality." Ibid. It made its determination after examining the first issue. App. 54. WAP appealed the denial to the full Student Council, contending that WAP met all the applicable Guidelines and that denial of SAF support on the basis of the magazine's religious perspective violated the Constitution. The appeal was denied without further comment, and WAP appealed to the next level, the Student Activities Committee. In a letter signed by the Dean of Students, the committee sustained the denial of funding. App. 55.</w:t>
      </w:r>
    </w:p>
    <w:p w:rsidR="00A31137" w:rsidRPr="00A31137" w:rsidRDefault="00A31137" w:rsidP="00A31137">
      <w:r w:rsidRPr="00A31137">
        <w:t>1995, Rosenberger v. Rector, Univ. of Virginia, No. 94-329</w:t>
      </w:r>
    </w:p>
    <w:p w:rsidR="00A31137" w:rsidRPr="00A31137" w:rsidRDefault="00A31137" w:rsidP="00A31137">
      <w:r w:rsidRPr="00A31137">
        <w:t>Having no further recourse within the University structure, WAP, Wide Awake, and three of its editors and members filed suit in the United States District Court for the Western District of Virginia, challenging the SAF's action as violative of Rev.Stat. § 1979, 42 U.S.C. § 1983. They alleged that refusal to authorize payment of the printing costs of the publication, solely on the basis of its religious editorial viewpoint, violated their rights to freedom of speech and press, to the free exercise of religion, and to equal protection of the law. They relied also upon Article I of the Virginia Constitution and the Virginia Act for Religious Freedom, Va.Code Ann. §§ 57-1, 57-2 (1986 and Supp. 1994), but did not pursue those theories on appeal. The suit sought damages for the costs of printing the paper, injunctive and declaratory relief, and attorney's fees.</w:t>
      </w:r>
    </w:p>
    <w:p w:rsidR="00A31137" w:rsidRPr="00A31137" w:rsidRDefault="00A31137" w:rsidP="00A31137">
      <w:r w:rsidRPr="00A31137">
        <w:t>1995, Rosenberger v. Rector, Univ. of Virginia, No. 94-329</w:t>
      </w:r>
    </w:p>
    <w:p w:rsidR="00A31137" w:rsidRPr="00A31137" w:rsidRDefault="00A31137" w:rsidP="00A31137">
      <w:r w:rsidRPr="00A31137">
        <w:t>On cross-motions for summary judgment, the District Court ruled for the University, holding that denial of SAF support was not an impermissible content or viewpoint discrimination against petitioners' speech, and that the University's Establishment Clause concern over its "religious activities" was a sufficient justification for denying payment to third-party contractors. The court did not issue a definitive ruling on whether reimbursement, had it been made here, would or would not have violated the Establishment Clause. 795 F.Supp. 175, 181-182 (WD Va. 1992).</w:t>
      </w:r>
    </w:p>
    <w:p w:rsidR="00A31137" w:rsidRPr="00A31137" w:rsidRDefault="00A31137" w:rsidP="00A31137">
      <w:r w:rsidRPr="00A31137">
        <w:t>1995, Rosenberger v. Rector, Univ. of Virginia, No. 94-329</w:t>
      </w:r>
    </w:p>
    <w:p w:rsidR="00A31137" w:rsidRPr="00A31137" w:rsidRDefault="00A31137" w:rsidP="00A31137">
      <w:r w:rsidRPr="00A31137">
        <w:t>The United States Court of Appeals for the Fourth Circuit, in disagreement with the District Court, held that the Guidelines did discriminate on the basis of content. It ruled that, while the State need not underwrite speech, there was a presumptive violation of the Speech Clause when viewpoint discrimination was invoked to deny third-party payment otherwise available to CIOs. 18 F.3d 269, 279-281 (1994). The Court of Appeals affirmed the judgment of the District Court nonetheless, concluding that the discrimination by the University was justified by the "compelling interest in maintaining strict separation of church and state." Id. at 281.</w:t>
      </w:r>
    </w:p>
    <w:p w:rsidR="00A31137" w:rsidRPr="00A31137" w:rsidRDefault="00A31137" w:rsidP="00A31137">
      <w:r w:rsidRPr="00A31137">
        <w:t>II</w:t>
      </w:r>
    </w:p>
    <w:p w:rsidR="00A31137" w:rsidRPr="00A31137" w:rsidRDefault="00A31137" w:rsidP="00A31137">
      <w:r w:rsidRPr="00A31137">
        <w:t>1995, Rosenberger v. Rector, Univ. of Virginia, No. 94-329</w:t>
      </w:r>
    </w:p>
    <w:p w:rsidR="00A31137" w:rsidRPr="00A31137" w:rsidRDefault="00A31137" w:rsidP="00A31137">
      <w:r w:rsidRPr="00A31137">
        <w:t>It is axiomatic that the government may not regulate speech based on its substantive content or the message it conveys. Police Dept. of Chicago v. Mosley, 408 U.S. 92, 96 (1972). Other principles follow from this precept. In the realm of private speech or expression, government regulation may not favor one speaker over another. City Council of Los Angeles v. Taxpayers for Vincent, 466 U.S. 789, 804 (1984). Discrimination against speech because of its message is presumed to be unconstitutional. See Turner Broadcasting System, Inc. v. FCC, 512 U.S. __, __ (1994). These rules informed our determination that the government offends the First Amendment when it imposes financial burdens on certain speakers based on the content of their expression. Simon &amp; Schuster, Inc. v. Members of N.Y. State Crime Victims Bd., 502 U.S. 105,  115 (1991). When the government targets not subject matter but particular views taken by speakers on a subject, the violation of the First Amendment is all the more blatant. See R.A.V. v. St. Paul, 505 U.S. ___ (1992). Viewpoint discrimination is thus an egregious form of content discrimination. The government must abstain from regulating speech when the specific motivating ideology or the opinion or perspective of the speaker is the rationale for the restriction. See Perry Ed. Assn. v. Perry Local Educators' Assn., 460 U.S. 37,  46 (1983).</w:t>
      </w:r>
    </w:p>
    <w:p w:rsidR="00A31137" w:rsidRPr="00A31137" w:rsidRDefault="00A31137" w:rsidP="00A31137">
      <w:r w:rsidRPr="00A31137">
        <w:t>1995, Rosenberger v. Rector, Univ. of Virginia, No. 94-329</w:t>
      </w:r>
    </w:p>
    <w:p w:rsidR="00A31137" w:rsidRPr="00A31137" w:rsidRDefault="00A31137" w:rsidP="00A31137">
      <w:r w:rsidRPr="00A31137">
        <w:t>These principles provide the framework forbidding the State from exercising viewpoint discrimination, even when the limited public forum is one of its own creation. In a case involving a school district's provision of school facilities for private uses, we declared that</w:t>
      </w:r>
    </w:p>
    <w:p w:rsidR="00A31137" w:rsidRPr="00A31137" w:rsidRDefault="00A31137" w:rsidP="00A31137">
      <w:r w:rsidRPr="00A31137">
        <w:t>1995, Rosenberger v. Rector, Univ. of Virginia, No. 94-329</w:t>
      </w:r>
    </w:p>
    <w:p w:rsidR="00A31137" w:rsidRPr="00A31137" w:rsidRDefault="00A31137" w:rsidP="00A31137">
      <w:r w:rsidRPr="00A31137">
        <w:t>[t]here is no question that the District, like the private owner of property, may legally preserve the property under its control for the use to which it is dedicated.</w:t>
      </w:r>
    </w:p>
    <w:p w:rsidR="00A31137" w:rsidRPr="00A31137" w:rsidRDefault="00A31137" w:rsidP="00A31137">
      <w:r w:rsidRPr="00A31137">
        <w:t>1995, Rosenberger v. Rector, Univ. of Virginia, No. 94-329</w:t>
      </w:r>
    </w:p>
    <w:p w:rsidR="00A31137" w:rsidRPr="00A31137" w:rsidRDefault="00A31137" w:rsidP="00A31137">
      <w:r w:rsidRPr="00A31137">
        <w:t>Lamb's Chapel v. Center Moriches Union Free School Dist., 508 U.S. __, __ (1993). The necessities of confining a forum to the limited and legitimate purposes for which it was created may justify the State in reserving it for certain groups or for the discussion of certain topics. See, e.g., Cornelius v. NAACP Legal Defense &amp; Ed. Fund, Inc., 473 U.S. 788,  806 (1985); Perry Ed. Assn., supra, at  49. Once it has opened a limited forum, however, the State must respect the lawful boundaries it has itself set. The State may not exclude speech where its distinction is not "reasonable in light of the purpose served by the forum," Cornelius, supra, at 804-806; see also Perry Ed. Assn., supra, at  46,  49, nor may it discriminate against speech on the basis of its viewpoint, Lamb's Chapel, supra, at __ ; see also Perry Ed. Assn., supra, at  46; R.A.V., supra, at ___; cf. Texas v. Johnson, 491 U.S. 397, 414-415 (1989). Thus, in determining whether the State is acting to preserve the limits of the forum it has created so that the exclusion of a class of speech is legitimate, we have observed a distinction between, on the one hand, content discrimination, which may be permissible if it preserves the purposes of that limited forum, and, on the other hand, viewpoint discrimination, which is presumed impermissible when directed against speech otherwise within the forum's limitations. See Perry Ed. Assn., supra, at  46.</w:t>
      </w:r>
    </w:p>
    <w:p w:rsidR="00A31137" w:rsidRPr="00A31137" w:rsidRDefault="00A31137" w:rsidP="00A31137">
      <w:r w:rsidRPr="00A31137">
        <w:t>1995, Rosenberger v. Rector, Univ. of Virginia, No. 94-329</w:t>
      </w:r>
    </w:p>
    <w:p w:rsidR="00A31137" w:rsidRPr="00A31137" w:rsidRDefault="00A31137" w:rsidP="00A31137">
      <w:r w:rsidRPr="00A31137">
        <w:t>The SAF is a forum more in a metaphysical than in a spatial or geographic sense, but the same principles are applicable. See, e.g., Perry Ed. Assn., supra, at 46-47 (forum analysis of a school mail system); Cornelius, supra, at  801 (forum analysis of charitable contribution program). The most recent and most apposite case is our decision in Lamb's Chapel, supra. There, a school district had opened school facilities for use after school hours by community groups for a wide variety of social, civic, and recreational purposes. The district, however, had enacted a formal policy against opening facilities to groups for religious purposes. Invoking its policy, the district rejected a request from a group desiring to show a film series addressing various childrearing questions from a "Christian perspective." There was no indication in the record in Lamb's Chapel that the request to use the school facilities was "denied for any reason other than the fact that the presentation would have been from a religious perspective." 508 U.S. at __. Our conclusion was unanimous:</w:t>
      </w:r>
    </w:p>
    <w:p w:rsidR="00A31137" w:rsidRPr="00A31137" w:rsidRDefault="00A31137" w:rsidP="00A31137">
      <w:r w:rsidRPr="00A31137">
        <w:t>1995, Rosenberger v. Rector, Univ. of Virginia, No. 94-329</w:t>
      </w:r>
    </w:p>
    <w:p w:rsidR="00A31137" w:rsidRPr="00A31137" w:rsidRDefault="00A31137" w:rsidP="00A31137">
      <w:r w:rsidRPr="00A31137">
        <w:t>[I]t discriminates on the basis of viewpoint to permit school property to be used for the presentation of all views about family issues and childrearing except those dealing with the subject matter from a religious standpoint.</w:t>
      </w:r>
    </w:p>
    <w:p w:rsidR="00A31137" w:rsidRPr="00A31137" w:rsidRDefault="00A31137" w:rsidP="00A31137">
      <w:r w:rsidRPr="00A31137">
        <w:t>1995, Rosenberger v. Rector, Univ. of Virginia, No. 94-329</w:t>
      </w:r>
    </w:p>
    <w:p w:rsidR="00A31137" w:rsidRPr="00A31137" w:rsidRDefault="00A31137" w:rsidP="00A31137">
      <w:r w:rsidRPr="00A31137">
        <w:t>Ibid.</w:t>
      </w:r>
    </w:p>
    <w:p w:rsidR="00A31137" w:rsidRPr="00A31137" w:rsidRDefault="00A31137" w:rsidP="00A31137">
      <w:r w:rsidRPr="00A31137">
        <w:t>1995, Rosenberger v. Rector, Univ. of Virginia, No. 94-329</w:t>
      </w:r>
    </w:p>
    <w:p w:rsidR="00A31137" w:rsidRPr="00A31137" w:rsidRDefault="00A31137" w:rsidP="00A31137">
      <w:r w:rsidRPr="00A31137">
        <w:t>The University does acknowledge (as it must in light of our precedents) that</w:t>
      </w:r>
    </w:p>
    <w:p w:rsidR="00A31137" w:rsidRPr="00A31137" w:rsidRDefault="00A31137" w:rsidP="00A31137">
      <w:r w:rsidRPr="00A31137">
        <w:t>1995, Rosenberger v. Rector, Univ. of Virginia, No. 94-329</w:t>
      </w:r>
    </w:p>
    <w:p w:rsidR="00A31137" w:rsidRPr="00A31137" w:rsidRDefault="00A31137" w:rsidP="00A31137">
      <w:r w:rsidRPr="00A31137">
        <w:t>ideologically driven attempts to suppress a particular point of view are presumptively unconstitutional in funding, as in other contexts,</w:t>
      </w:r>
    </w:p>
    <w:p w:rsidR="00A31137" w:rsidRPr="00A31137" w:rsidRDefault="00A31137" w:rsidP="00A31137">
      <w:r w:rsidRPr="00A31137">
        <w:t>1995, Rosenberger v. Rector, Univ. of Virginia, No. 94-329</w:t>
      </w:r>
    </w:p>
    <w:p w:rsidR="00A31137" w:rsidRPr="00A31137" w:rsidRDefault="00A31137" w:rsidP="00A31137">
      <w:r w:rsidRPr="00A31137">
        <w:t>but insists that this case does not present that issue because the Guidelines draw lines based on content, not viewpoint. Brief for Respondents 17, n. 10. As we have noted, discrimination against one set of views or ideas is but a subset or particular instance of the more general phenomenon of content discrimination. See, e.g., R.A.V., supra, at ___. And, it must be acknowledged, the distinction is not a precise one. It is, in a sense, something of an understatement to speak of religious thought and discussion as just a viewpoint, as distinct from a comprehensive body of thought. The nature of our origins and destiny and their dependence upon the existence of a divine being have been subjects of philosophic inquiry throughout human history. We conclude, nonetheless, that here, as in Lamb's Chapel, viewpoint discrimination is the proper way to interpret the University's objections to Wide Awake. By the very terms of the SAF prohibition, the University does not exclude religion as a subject matter, but selects for disfavored treatment those student journalistic efforts with religious editorial viewpoints. Religion may be a vast area of inquiry, but it also provides, as it did here, a specific premise, a perspective, a standpoint from which a variety of subjects may be discussed and considered. The prohibited perspective, not the general subject matter, resulted in the refusal to make third-party payments, for the subjects discussed were otherwise within the approved category of publications.</w:t>
      </w:r>
    </w:p>
    <w:p w:rsidR="00A31137" w:rsidRPr="00A31137" w:rsidRDefault="00A31137" w:rsidP="00A31137">
      <w:r w:rsidRPr="00A31137">
        <w:t>1995, Rosenberger v. Rector, Univ. of Virginia, No. 94-329</w:t>
      </w:r>
    </w:p>
    <w:p w:rsidR="00A31137" w:rsidRPr="00A31137" w:rsidRDefault="00A31137" w:rsidP="00A31137">
      <w:r w:rsidRPr="00A31137">
        <w:t>The dissent's assertion that no viewpoint discrimination occurs because the Guidelines discriminate against an entire class of viewpoints reflects an insupportable assumption that all debate is bipolar and that anti-religious speech is the only response to religious speech. Our understanding of the complex and multifaceted nature of public discourse has not embraced such a contrived description of the marketplace of ideas. If the topic of debate is, for example, racism, then exclusion of several views on that problem is just as offensive to the First Amendment as exclusion of only one. It is as objectionable to exclude both a theistic and an atheistic perspective on the debate as it is to exclude one, the other, or yet another political, economic, or social viewpoint. The dissent's declaration that debate is not skewed so long as multiple voices are silenced is simply wrong; the debate is skewed in multiple ways.</w:t>
      </w:r>
    </w:p>
    <w:p w:rsidR="00A31137" w:rsidRPr="00A31137" w:rsidRDefault="00A31137" w:rsidP="00A31137">
      <w:r w:rsidRPr="00A31137">
        <w:t>1995, Rosenberger v. Rector, Univ. of Virginia, No. 94-329</w:t>
      </w:r>
    </w:p>
    <w:p w:rsidR="00A31137" w:rsidRPr="00A31137" w:rsidRDefault="00A31137" w:rsidP="00A31137">
      <w:r w:rsidRPr="00A31137">
        <w:t>The University's denial of WAP's request for third-party payments in the present case is based upon viewpoint discrimination not unlike the discrimination the school district relied upon in Lamb's Chapel and that we found invalid. The church group in Lamb's Chapel would have been qualified as a social or civic organization, save for its religious purposes. Furthermore, just as the school district in Lamb's Chapel pointed to nothing but the religious views of the group as the rationale for excluding its message, so in this case the University justifies its denial of SAF participation to WAP on the ground that the contents of Wide Awake reveal an avowed religious perspective. See supra at ___. It bears only passing mention that the dissent's attempt to distinguish Lamb's Chapel is entirely without support in the law. Relying on the transcript of oral argument, the dissent seems to argue that we found viewpoint discrimination in that case because the government excluded Christian, but not atheistic, viewpoints from being expressed in the forum there. Post at ___, and n. 13. The Court relied on no such distinction in holding that discriminating against religious speech was discriminating on the basis of viewpoint. There is no indication in the opinion of the Court (which, unlike an advocate's statements at oral argument, is the law) that exclusion or inclusion of other religious or anti-religious voices from that forum had any bearing on its decision.</w:t>
      </w:r>
    </w:p>
    <w:p w:rsidR="00A31137" w:rsidRPr="00A31137" w:rsidRDefault="00A31137" w:rsidP="00A31137">
      <w:r w:rsidRPr="00A31137">
        <w:t>1995, Rosenberger v. Rector, Univ. of Virginia, No. 94-329</w:t>
      </w:r>
    </w:p>
    <w:p w:rsidR="00A31137" w:rsidRPr="00A31137" w:rsidRDefault="00A31137" w:rsidP="00A31137">
      <w:r w:rsidRPr="00A31137">
        <w:t>The University tries to escape the consequences of our holding in Lamb's Chapel by urging that this case involves the provision of funds rather than access to facilities. The University begins with the unremarkable proposition that the State must have substantial discretion in determining how to allocate scarce resources to accomplish its educational mission. Citing our decisions in Rust v. Sullivan, 500 U.S. 173 (1991), Regan v. Taxation with Representation of Wash., 461 U.S. 540 (1983), and Widmar v. Vincent, 454 U.S. 263 (1981), the University argues that content-based funding decisions are both inevitable and lawful. Were the reasoning of Lamb's Chapel to apply to funding decisions as well as to those involving access to facilities, it is urged, its holding</w:t>
      </w:r>
    </w:p>
    <w:p w:rsidR="00A31137" w:rsidRPr="00A31137" w:rsidRDefault="00A31137" w:rsidP="00A31137">
      <w:r w:rsidRPr="00A31137">
        <w:t>1995, Rosenberger v. Rector, Univ. of Virginia, No. 94-329</w:t>
      </w:r>
    </w:p>
    <w:p w:rsidR="00A31137" w:rsidRPr="00A31137" w:rsidRDefault="00A31137" w:rsidP="00A31137">
      <w:r w:rsidRPr="00A31137">
        <w:t>would become a judicial juggernaut, constitutionalizing the ubiquitous content-based decisions that schools, colleges, and other government entities routinely make in the allocation of public funds.</w:t>
      </w:r>
    </w:p>
    <w:p w:rsidR="00A31137" w:rsidRPr="00A31137" w:rsidRDefault="00A31137" w:rsidP="00A31137">
      <w:r w:rsidRPr="00A31137">
        <w:t>1995, Rosenberger v. Rector, Univ. of Virginia, No. 94-329</w:t>
      </w:r>
    </w:p>
    <w:p w:rsidR="00A31137" w:rsidRPr="00A31137" w:rsidRDefault="00A31137" w:rsidP="00A31137">
      <w:r w:rsidRPr="00A31137">
        <w:t>Brief for Respondents 16.</w:t>
      </w:r>
    </w:p>
    <w:p w:rsidR="00A31137" w:rsidRPr="00A31137" w:rsidRDefault="00A31137" w:rsidP="00A31137">
      <w:r w:rsidRPr="00A31137">
        <w:t>1995, Rosenberger v. Rector, Univ. of Virginia, No. 94-329</w:t>
      </w:r>
    </w:p>
    <w:p w:rsidR="00A31137" w:rsidRPr="00A31137" w:rsidRDefault="00A31137" w:rsidP="00A31137">
      <w:r w:rsidRPr="00A31137">
        <w:t>To this end the University relies on our assurance in Widmar v. Vincent, supra. There, in the course of striking down a public university's exclusion of religious groups from use of school facilities made available to all other student groups, we stated: "Nor do we question the right of the University to make academic judgments as to how best to allocate scarce resources." 454 U.S. at  276. The quoted language in Widmar was but a proper recognition of the principle that, when the State is the speaker, it may make content-based choices. When the University determines the content of the education it provides, it is the University speaking, and we have permitted the government to regulate the content of what is or is not expressed when it is the speaker or when it enlists private entities to convey its own message. In the same vein, in Rust v. Sullivan, supra, we upheld the government's prohibition on abortion-related advice applicable to recipients of federal funds for family planning counseling. There, the government did not create a program to encourage private speech, but instead used private speakers to transmit specific information pertaining to its own program. We recognized that when the government appropriates public funds to promote a particular policy of its own it is entitled to say what it wishes. 500 U.S. at  194. When the government disburses public funds to private entities to convey a governmental message, it may take legitimate and appropriate steps to ensure that its message is neither garbled nor distorted by the grantee. See id. at 196-200.</w:t>
      </w:r>
    </w:p>
    <w:p w:rsidR="00A31137" w:rsidRPr="00A31137" w:rsidRDefault="00A31137" w:rsidP="00A31137">
      <w:r w:rsidRPr="00A31137">
        <w:t>1995, Rosenberger v. Rector, Univ. of Virginia, No. 94-329</w:t>
      </w:r>
    </w:p>
    <w:p w:rsidR="00A31137" w:rsidRPr="00A31137" w:rsidRDefault="00A31137" w:rsidP="00A31137">
      <w:r w:rsidRPr="00A31137">
        <w:t>It does not follow, however, and we did not suggest in Widmar, that viewpoint-based restrictions are proper when the University does not itself speak or subsidize transmittal of a message it favors, but instead expends funds to encourage a diversity of views from private speakers. A holding that the University may not discriminate based on the viewpoint of private persons whose speech it facilitates does not restrict the University's own speech, which is controlled by different principles. See, e.g., Board of Ed. of Westside Community Schools (Dist. 66) v. Mergens, 496 U.S. 226,  250 (1990); Hazelwood School Dist. v. Kuhlmeier, 484 U.S. 260, 270-272 (1988). For that reason, the University's reliance on Regan v. Taxation with Representation of Wash., supra, is inapposite as well. Regan involved a challenge to Congress' choice to grant tax deductions for contributions made to veterans' groups engaged in lobbying, while denying that favorable status to other charities which pursued lobbying efforts. Although acknowledging that the Government is not required to subsidize the exercise of fundamental rights, see 461 U.S. at 545-546, we reaffirmed the requirement of viewpoint neutrality in the Government's provision of financial benefits by observing that</w:t>
      </w:r>
    </w:p>
    <w:p w:rsidR="00A31137" w:rsidRPr="00A31137" w:rsidRDefault="00A31137" w:rsidP="00A31137">
      <w:r w:rsidRPr="00A31137">
        <w:t>1995, Rosenberger v. Rector, Univ. of Virginia, No. 94-329</w:t>
      </w:r>
    </w:p>
    <w:p w:rsidR="00A31137" w:rsidRPr="00A31137" w:rsidRDefault="00A31137" w:rsidP="00A31137">
      <w:r w:rsidRPr="00A31137">
        <w:t>[t]he case would be different if Congress were to discriminate invidiously in its subsidies in such a way as to "ai[m] at the suppression of dangerous ideas,"</w:t>
      </w:r>
    </w:p>
    <w:p w:rsidR="00A31137" w:rsidRPr="00A31137" w:rsidRDefault="00A31137" w:rsidP="00A31137">
      <w:r w:rsidRPr="00A31137">
        <w:t>1995, Rosenberger v. Rector, Univ. of Virginia, No. 94-329</w:t>
      </w:r>
    </w:p>
    <w:p w:rsidR="00A31137" w:rsidRPr="00A31137" w:rsidRDefault="00A31137" w:rsidP="00A31137">
      <w:r w:rsidRPr="00A31137">
        <w:t>see id. at  548 (quoting Cammarano v. United States, 358 U.S. 498, 513 (1959), in turn quoting Speiser v. Randall, 357 U.S. 513,  519 (1958)). Regan relied on a distinction based on preferential treatment of certain speakers—veterans organizations—and not a distinction based on the content or messages of those groups' speech. 461 U.S. at  548; cf. Perry Ed. Assn., 460 U.S. at  49. The University's regulation now before us, however, has a speech-based restriction as its sole rationale and operative principle.</w:t>
      </w:r>
    </w:p>
    <w:p w:rsidR="00A31137" w:rsidRPr="00A31137" w:rsidRDefault="00A31137" w:rsidP="00A31137">
      <w:r w:rsidRPr="00A31137">
        <w:t>1995, Rosenberger v. Rector, Univ. of Virginia, No. 94-329</w:t>
      </w:r>
    </w:p>
    <w:p w:rsidR="00A31137" w:rsidRPr="00A31137" w:rsidRDefault="00A31137" w:rsidP="00A31137">
      <w:r w:rsidRPr="00A31137">
        <w:t>The distinction between the University's own favored message and the private speech of students is evident in the case before us. The University itself has taken steps to ensure the distinction in the agreement each CIO must sign. See supra at ___. The University declares that the student groups eligible for SAF support are not the University's agents, are not subject to its control, and are not its responsibility. Having offered to pay the third-party contractors on behalf of private speakers who convey their own messages, the University may not silence the expression of selected viewpoints.</w:t>
      </w:r>
    </w:p>
    <w:p w:rsidR="00A31137" w:rsidRPr="00A31137" w:rsidRDefault="00A31137" w:rsidP="00A31137">
      <w:r w:rsidRPr="00A31137">
        <w:t>1995, Rosenberger v. Rector, Univ. of Virginia, No. 94-329</w:t>
      </w:r>
    </w:p>
    <w:p w:rsidR="00A31137" w:rsidRPr="00A31137" w:rsidRDefault="00A31137" w:rsidP="00A31137">
      <w:r w:rsidRPr="00A31137">
        <w:t>The University urges that, from a constitutional standpoint, funding of speech differs from provision of access to facilities because money is scarce and physical facilities are not. Beyond the fact that, in any given case, this proposition might not be true as an empirical matter, the underlying premise that the University could discriminate based on viewpoint if demand for space exceeded its availability is wrong as well. The government cannot justify viewpoint discrimination among private speakers on the economic fact of scarcity. Had the meeting rooms in Lamb's Chapel been scarce, had the demand been greater than the supply, our decision would have been no different. It would have been incumbent on the State, of course, to ration or allocate the scarce resources on some acceptable neutral principle; but nothing in our decision indicated that scarcity would give the State the right to exercise viewpoint discrimination that is otherwise impermissible.</w:t>
      </w:r>
    </w:p>
    <w:p w:rsidR="00A31137" w:rsidRPr="00A31137" w:rsidRDefault="00A31137" w:rsidP="00A31137">
      <w:r w:rsidRPr="00A31137">
        <w:t>1995, Rosenberger v. Rector, Univ. of Virginia, No. 94-329</w:t>
      </w:r>
    </w:p>
    <w:p w:rsidR="00A31137" w:rsidRPr="00A31137" w:rsidRDefault="00A31137" w:rsidP="00A31137">
      <w:r w:rsidRPr="00A31137">
        <w:t>Vital First Amendment speech principles are at stake here. The first danger to liberty lies in granting the State the power to examine publications to determine whether or not they are based on some ultimate idea and if so for the State to classify them. The second, and corollary, danger is to speech from the chilling of individual thought and expression. That danger is especially real in the University setting, where the State acts against a background and tradition of thought and experiment that is at the center of our intellectual and philosophic tradition. See Healy v. James, 408 U.S. 169, 180-181 (1972); Keyishian v. Board of Regents, State Univ. of N.Y., 385 U.S. 589,  603 (1967); Sweezy v. New Hampshire, 354 U.S. 234,  250 (1957). In ancient Athens, and, as Europe entered into a new period of intellectual awakening, in places like Bologna, Oxford, and Paris, universities began as voluntary and spontaneous assemblages or concourses for students to speak and to write and to learn. See generally R. Palmer &amp; J. Colton, A History of the Modern World 39 (7th ed. 1992). The quality and creative power of student intellectual life to this day remains a vital measure of a school's influence and attainment. For the University, by regulation, to cast disapproval on particular viewpoints of its students risks the suppression of free speech and creative inquiry in one of the vital centers for the nation's intellectual life, its college and university campuses.</w:t>
      </w:r>
    </w:p>
    <w:p w:rsidR="00A31137" w:rsidRPr="00A31137" w:rsidRDefault="00A31137" w:rsidP="00A31137">
      <w:r w:rsidRPr="00A31137">
        <w:t>1995, Rosenberger v. Rector, Univ. of Virginia, No. 94-329</w:t>
      </w:r>
    </w:p>
    <w:p w:rsidR="00A31137" w:rsidRPr="00A31137" w:rsidRDefault="00A31137" w:rsidP="00A31137">
      <w:r w:rsidRPr="00A31137">
        <w:t>The Guideline invoked by the University to deny third-party contractor payments on behalf of WAP effects a sweeping restriction on student thought and student inquiry in the context of University sponsored publications. The prohibition on funding on behalf of publications that "primarily promot[e] or manifes[t] a particular belie[f] in or about a deity or an ultimate reality," in its ordinary and common sense meaning, has a vast potential reach. The term "promotes" as used here would comprehend any writing advocating a philosophic position that rests upon a belief in a deity or ultimate reality. See Webster's Third New International Dictionary 1815 (1961) (defining "promote" as "to contribute to the growth, enlargement, or prosperity of: further, encourage"). And the term "manifests" would bring within the scope of the prohibition any writing that is explicable as resting upon a premise which presupposes the existence of a deity or ultimate reality. See id. at 1375 (defining "manifest" as "to show plainly: make palpably evident or certain by showing or displaying"). Were the prohibition applied with much vigor at all, it would bar funding of essays by hypothetical student contributors named Plato, Spinoza, and Descartes. And if the regulation covers, as the University says it does, see Tr. of Oral Arg. 18-19, those student journalistic efforts which primarily manifest or promote a belief that there is no deity and no ultimate reality, then undergraduates named Karl Marx, Bertrand Russell, and Jean-Paul Sartre would likewise have some of their major essays excluded from student publications. If any manifestation of beliefs in first principles disqualifies the writing, as seems to be the case, it is indeed difficult to name renowned thinkers whose writings would be accepted, save perhaps for articles disclaiming all connection to their ultimate philosophy. Plato could contrive perhaps to submit an acceptable essay on making pasta or peanut butter cookies, provided he did not point out their (necessary) imperfections.</w:t>
      </w:r>
    </w:p>
    <w:p w:rsidR="00A31137" w:rsidRPr="00A31137" w:rsidRDefault="00A31137" w:rsidP="00A31137">
      <w:r w:rsidRPr="00A31137">
        <w:t>1995, Rosenberger v. Rector, Univ. of Virginia, No. 94-329</w:t>
      </w:r>
    </w:p>
    <w:p w:rsidR="00A31137" w:rsidRPr="00A31137" w:rsidRDefault="00A31137" w:rsidP="00A31137">
      <w:r w:rsidRPr="00A31137">
        <w:t>Based on the principles we have discussed, we hold that the regulation invoked to deny SAF support, both in its terms and in its application to these petitioners, is a denial of their right of free speech guaranteed by the First Amendment. It remains to be considered whether the violation following from the University's action is excused by the necessity of complying with the Constitution's prohibition against state establishment of religion. We turn to that question.</w:t>
      </w:r>
    </w:p>
    <w:p w:rsidR="00A31137" w:rsidRPr="00A31137" w:rsidRDefault="00A31137" w:rsidP="00A31137">
      <w:r w:rsidRPr="00A31137">
        <w:t>III</w:t>
      </w:r>
    </w:p>
    <w:p w:rsidR="00A31137" w:rsidRPr="00A31137" w:rsidRDefault="00A31137" w:rsidP="00A31137">
      <w:r w:rsidRPr="00A31137">
        <w:t>1995, Rosenberger v. Rector, Univ. of Virginia, No. 94-329</w:t>
      </w:r>
    </w:p>
    <w:p w:rsidR="00A31137" w:rsidRPr="00A31137" w:rsidRDefault="00A31137" w:rsidP="00A31137">
      <w:r w:rsidRPr="00A31137">
        <w:t>Before its brief on the merits in this Court, the University had argued at all stages of the litigation that inclusion of WAP's contractors in SAF funding authorization would violate the Establishment Clause. Indeed, that is the ground on which the University prevailed in the Court of Appeals. We granted certiorari on this question:</w:t>
      </w:r>
    </w:p>
    <w:p w:rsidR="00A31137" w:rsidRPr="00A31137" w:rsidRDefault="00A31137" w:rsidP="00A31137">
      <w:r w:rsidRPr="00A31137">
        <w:t>1995, Rosenberger v. Rector, Univ. of Virginia, No. 94-329</w:t>
      </w:r>
    </w:p>
    <w:p w:rsidR="00A31137" w:rsidRPr="00A31137" w:rsidRDefault="00A31137" w:rsidP="00A31137">
      <w:r w:rsidRPr="00A31137">
        <w:t>Whether the Establishment Clause compels a state university to exclude an otherwise eligible student publication from participation in the student activities fund, solely on the basis of its religious viewpoint, where such exclusion would violate the Speech and Press Clauses if the viewpoint of the publication were nonreligious.</w:t>
      </w:r>
    </w:p>
    <w:p w:rsidR="00A31137" w:rsidRPr="00A31137" w:rsidRDefault="00A31137" w:rsidP="00A31137">
      <w:r w:rsidRPr="00A31137">
        <w:t>1995, Rosenberger v. Rector, Univ. of Virginia, No. 94-329</w:t>
      </w:r>
    </w:p>
    <w:p w:rsidR="00A31137" w:rsidRPr="00A31137" w:rsidRDefault="00A31137" w:rsidP="00A31137">
      <w:r w:rsidRPr="00A31137">
        <w:t>Pet. for Cert. i. The University now seems to have abandoned this position, contending that</w:t>
      </w:r>
    </w:p>
    <w:p w:rsidR="00A31137" w:rsidRPr="00A31137" w:rsidRDefault="00A31137" w:rsidP="00A31137">
      <w:r w:rsidRPr="00A31137">
        <w:t>1995, Rosenberger v. Rector, Univ. of Virginia, No. 94-329</w:t>
      </w:r>
    </w:p>
    <w:p w:rsidR="00A31137" w:rsidRPr="00A31137" w:rsidRDefault="00A31137" w:rsidP="00A31137">
      <w:r w:rsidRPr="00A31137">
        <w:t>[t]he fundamental objection to petitioners' argument is not that it implicates the Establishment Clause, but that it would defeat the ability of public education at all levels to control the use of public funds.</w:t>
      </w:r>
    </w:p>
    <w:p w:rsidR="00A31137" w:rsidRPr="00A31137" w:rsidRDefault="00A31137" w:rsidP="00A31137">
      <w:r w:rsidRPr="00A31137">
        <w:t>1995, Rosenberger v. Rector, Univ. of Virginia, No. 94-329</w:t>
      </w:r>
    </w:p>
    <w:p w:rsidR="00A31137" w:rsidRPr="00A31137" w:rsidRDefault="00A31137" w:rsidP="00A31137">
      <w:r w:rsidRPr="00A31137">
        <w:t>Brief for Respondents 29; see id. at 27-29, and n. 17; Tr. of Oral Arg. 14. That the University itself no longer presses the Establishment Clause claim is some indication that it lacks force; but as the Court of Appeals rested its judgment on the point and our dissenting colleagues would find it determinative, it must be addressed.</w:t>
      </w:r>
    </w:p>
    <w:p w:rsidR="00A31137" w:rsidRPr="00A31137" w:rsidRDefault="00A31137" w:rsidP="00A31137">
      <w:r w:rsidRPr="00A31137">
        <w:t>1995, Rosenberger v. Rector, Univ. of Virginia, No. 94-329</w:t>
      </w:r>
    </w:p>
    <w:p w:rsidR="00A31137" w:rsidRPr="00A31137" w:rsidRDefault="00A31137" w:rsidP="00A31137">
      <w:r w:rsidRPr="00A31137">
        <w:t>The Court of Appeals ruled that withholding SAF support from Wide Awake contravened the Speech Clause of the First Amendment, but proceeded to hold that the University's action was justified by the necessity of avoiding a violation of the Establishment Clause, an interest it found compelling. 18 F.3d at 281. Recognizing that this Court has regularly</w:t>
      </w:r>
    </w:p>
    <w:p w:rsidR="00A31137" w:rsidRPr="00A31137" w:rsidRDefault="00A31137" w:rsidP="00A31137">
      <w:r w:rsidRPr="00A31137">
        <w:t>1995, Rosenberger v. Rector, Univ. of Virginia, No. 94-329</w:t>
      </w:r>
    </w:p>
    <w:p w:rsidR="00A31137" w:rsidRPr="00A31137" w:rsidRDefault="00A31137" w:rsidP="00A31137">
      <w:r w:rsidRPr="00A31137">
        <w:t>sanctioned awards of direct nonmonetary benefits to religious groups where the government has created open fora to which all similarly situated organizations are invited,</w:t>
      </w:r>
    </w:p>
    <w:p w:rsidR="00A31137" w:rsidRPr="00A31137" w:rsidRDefault="00A31137" w:rsidP="00A31137">
      <w:r w:rsidRPr="00A31137">
        <w:t>1995, Rosenberger v. Rector, Univ. of Virginia, No. 94-329</w:t>
      </w:r>
    </w:p>
    <w:p w:rsidR="00A31137" w:rsidRPr="00A31137" w:rsidRDefault="00A31137" w:rsidP="00A31137">
      <w:r w:rsidRPr="00A31137">
        <w:t>8 F.3d at 286 (citing Widmar, 454 U.S. at  277), the Fourth Circuit asserted that direct monetary subsidization of religious organizations and projects is "a beast of an entirely different color," 18 F.3d at 286. The court declared that the Establishment Clause would not permit the use of public funds to support "'a specifically religious activity in an otherwise substantially secular setting.'" Id. at  285 (quoting Hunt v. McNair, 413 U.S. 734,  743 (1973) (emphasis deleted)). It reasoned that because Wide Awake is "a journal pervasively devoted to the discussion and advancement of an avowedly Christian theological and personal philosophy," the University's provision of SAF funds for its publication would</w:t>
      </w:r>
    </w:p>
    <w:p w:rsidR="00A31137" w:rsidRPr="00A31137" w:rsidRDefault="00A31137" w:rsidP="00A31137">
      <w:r w:rsidRPr="00A31137">
        <w:t>1995, Rosenberger v. Rector, Univ. of Virginia, No. 94-329</w:t>
      </w:r>
    </w:p>
    <w:p w:rsidR="00A31137" w:rsidRPr="00A31137" w:rsidRDefault="00A31137" w:rsidP="00A31137">
      <w:r w:rsidRPr="00A31137">
        <w:t>send an unmistakably clear signal that the University of Virginia supports Christian values and wishes to promote the wide promulgation of such values.</w:t>
      </w:r>
    </w:p>
    <w:p w:rsidR="00A31137" w:rsidRPr="00A31137" w:rsidRDefault="00A31137" w:rsidP="00A31137">
      <w:r w:rsidRPr="00A31137">
        <w:t>1995, Rosenberger v. Rector, Univ. of Virginia, No. 94-329</w:t>
      </w:r>
    </w:p>
    <w:p w:rsidR="00A31137" w:rsidRPr="00A31137" w:rsidRDefault="00A31137" w:rsidP="00A31137">
      <w:r w:rsidRPr="00A31137">
        <w:t>18 F.3d at 286.</w:t>
      </w:r>
    </w:p>
    <w:p w:rsidR="00A31137" w:rsidRPr="00A31137" w:rsidRDefault="00A31137" w:rsidP="00A31137">
      <w:r w:rsidRPr="00A31137">
        <w:t>1995, Rosenberger v. Rector, Univ. of Virginia, No. 94-329</w:t>
      </w:r>
    </w:p>
    <w:p w:rsidR="00A31137" w:rsidRPr="00A31137" w:rsidRDefault="00A31137" w:rsidP="00A31137">
      <w:r w:rsidRPr="00A31137">
        <w:t>If there is to be assurance that the Establishment Clause retains its force in guarding against those governmental actions it was intended to prohibit, we must in each case inquire first into the purpose and object of the governmental action in question and then into the practical details of the program's operation. Before turning to these matters, however, we can set forth certain general principles that must bear upon our determination.</w:t>
      </w:r>
    </w:p>
    <w:p w:rsidR="00A31137" w:rsidRPr="00A31137" w:rsidRDefault="00A31137" w:rsidP="00A31137">
      <w:r w:rsidRPr="00A31137">
        <w:t>1995, Rosenberger v. Rector, Univ. of Virginia, No. 94-329</w:t>
      </w:r>
    </w:p>
    <w:p w:rsidR="00A31137" w:rsidRPr="00A31137" w:rsidRDefault="00A31137" w:rsidP="00A31137">
      <w:r w:rsidRPr="00A31137">
        <w:t>A central lesson of our decisions is that a significant factor in upholding governmental programs in the face of Establishment Clause attack is their neutrality towards religion. We have decided a series of cases addressing the receipt of government benefits where religion or religious views are implicated in some degree. The first case in our modern Establishment Clause jurisprudence was Everson v. Board of Ed. of Ewing, 330 U.S. 1 (1947). There, we cautioned that in enforcing the prohibition against laws respecting establishment of religion, we must</w:t>
      </w:r>
    </w:p>
    <w:p w:rsidR="00A31137" w:rsidRPr="00A31137" w:rsidRDefault="00A31137" w:rsidP="00A31137">
      <w:r w:rsidRPr="00A31137">
        <w:t>1995, Rosenberger v. Rector, Univ. of Virginia, No. 94-329</w:t>
      </w:r>
    </w:p>
    <w:p w:rsidR="00A31137" w:rsidRPr="00A31137" w:rsidRDefault="00A31137" w:rsidP="00A31137">
      <w:r w:rsidRPr="00A31137">
        <w:t>be sure that we do not inadvertently prohibit [the government] from extending its general state law benefits to all its citizens without regard to their religious belief.</w:t>
      </w:r>
    </w:p>
    <w:p w:rsidR="00A31137" w:rsidRPr="00A31137" w:rsidRDefault="00A31137" w:rsidP="00A31137">
      <w:r w:rsidRPr="00A31137">
        <w:t>1995, Rosenberger v. Rector, Univ. of Virginia, No. 94-329</w:t>
      </w:r>
    </w:p>
    <w:p w:rsidR="00A31137" w:rsidRPr="00A31137" w:rsidRDefault="00A31137" w:rsidP="00A31137">
      <w:r w:rsidRPr="00A31137">
        <w:t>Id. at  16. We have held that the guarantee of neutrality is respected, not offended, when the government, following neutral criteria and evenhanded policies, extends benefits to recipients whose ideologies and viewpoints, including religious ones, are broad and diverse. See Board of Ed. of Kiryas Joel Village School Dist. v. Grumet, 512 U.S. __, __ (1994) (SOUTER, J.) ("[T]he principle is well grounded in our case law [and] we have frequently relied explicitly on the general availability of any benefit provided religious groups or individuals in turning aside Establishment Clause challenges"); Witters v. Washington Dept. of Services for Blind, 474 U.S. 481, 487-488 (1986); Mueller v. Allen, 463 U.S. 388, 398-399 (1983); Widmar, 454 U.S. at 274-275. More than once have we rejected the position that the Establishment Clause even justifies, much less requires, a refusal to extend free speech rights to religious speakers who participate in broad-reaching government programs neutral in design. See Lamb's Chapel, 508 U.S. at __; Mergens, 496 U.S. at  248, 252; Widmar, supra at 274-275.</w:t>
      </w:r>
    </w:p>
    <w:p w:rsidR="00A31137" w:rsidRPr="00A31137" w:rsidRDefault="00A31137" w:rsidP="00A31137">
      <w:r w:rsidRPr="00A31137">
        <w:t>1995, Rosenberger v. Rector, Univ. of Virginia, No. 94-329</w:t>
      </w:r>
    </w:p>
    <w:p w:rsidR="00A31137" w:rsidRPr="00A31137" w:rsidRDefault="00A31137" w:rsidP="00A31137">
      <w:r w:rsidRPr="00A31137">
        <w:t>The governmental program here is neutral toward religion. There is no suggestion that the University created it to advance religion or adopted some ingenious device with the purpose of aiding a religious cause. The object of the SAF is to open a forum for speech and to support various student enterprises, including the publication of newspapers, in recognition of the diversity and creativity of student life. The University's SAF Guidelines have a separate classification for, and do not make third-party payments on behalf of, "religious organizations," which are those "whose purpose is to practice a devotion to an acknowledged ultimate reality or deity." Pet. for Cert. 66a. The category of support here is for "student news, information, opinion, entertainment, or academic communications media groups," of which Wide Awake was 1 of 15 in the 1990 school year. WAP did not seek a subsidy because of its Christian editorial viewpoint; it sought funding as a student journal, which it was.</w:t>
      </w:r>
    </w:p>
    <w:p w:rsidR="00A31137" w:rsidRPr="00A31137" w:rsidRDefault="00A31137" w:rsidP="00A31137">
      <w:r w:rsidRPr="00A31137">
        <w:t>1995, Rosenberger v. Rector, Univ. of Virginia, No. 94-329</w:t>
      </w:r>
    </w:p>
    <w:p w:rsidR="00A31137" w:rsidRPr="00A31137" w:rsidRDefault="00A31137" w:rsidP="00A31137">
      <w:r w:rsidRPr="00A31137">
        <w:t>The neutrality of the program distinguishes the student fees from a tax levied for the direct support of a church or group of churches. A tax of that sort, of course, would run contrary to Establishment Clause concerns dating from the earliest days of the Republic. The apprehensions of our predecessors involved the levying of taxes upon the public for the sole and exclusive purpose of establishing and supporting specific sects. The exaction here, by contrast, is a student activity fee designed to reflect the reality that student life in its many dimensions includes the necessity of wide-ranging speech and inquiry and that student expression is an integral part of the University's educational mission. The fee is mandatory, and we do not have before us the question whether an objecting student has the First Amendment right to demand a pro rata return to the extent the fee is expended for speech to which he or she does not subscribe. See Keller v. State Bar of California, 496 U.S. 1, 15-16 (1990); Abood v. Detroit Board of Ed., 431 U.S. 209, 235-236 (1977). We must treat it, then, as an exaction upon the students. But the $14 paid each semester by the students is not a general tax designed to raise revenue for the University. See United States v. Butler, 297 U.S. 1,  61 (1936) ("A tax, in the general understanding of the term, and as used in the Constitution, signifies an exaction for the support of the Government"); see also Head Money Cases, 112 U.S. 580, 595-596 (1884). The SAF cannot be used for unlimited purposes, much less the illegitimate purpose of supporting one religion. Much like the arrangement in Widmar, the money goes to a special fund from which any group of students with CIO status can draw for purposes consistent with the University's educational mission; and to the extent the student is interested in speech, withdrawal is permitted to cover the whole spectrum of speech, whether it manifests a religious view, an anti-religious view, or neither. Our decision, then, cannot be read as addressing an expenditure from a general tax fund. Here, the disbursements from the fund go to private contractors for the cost of printing that which is protected under the Speech Clause of the First Amendment. This is a far cry from a general public assessment designed and effected to provide financial support for a church.</w:t>
      </w:r>
    </w:p>
    <w:p w:rsidR="00A31137" w:rsidRPr="00A31137" w:rsidRDefault="00A31137" w:rsidP="00A31137">
      <w:r w:rsidRPr="00A31137">
        <w:t>1995, Rosenberger v. Rector, Univ. of Virginia, No. 94-329</w:t>
      </w:r>
    </w:p>
    <w:p w:rsidR="00A31137" w:rsidRPr="00A31137" w:rsidRDefault="00A31137" w:rsidP="00A31137">
      <w:r w:rsidRPr="00A31137">
        <w:t>Government neutrality is apparent in the State's overall scheme in a further meaningful respect. The program respects the critical difference "between government speech endorsing religion, which the Establishment Clause forbids, and private speech endorsing religion, which the Free Speech and Free Exercise Clauses protect." Mergens, supra at  250 (opinion of O'CONNOR, J.). In this case, "the government has not willfully fostered or encouraged" any mistaken impression that the student newspapers speak for the University. Capitol Square Review and Advisory Bd. v. Pinette, ante, at __. The University has taken pains to disassociate itself from the private speech involved in this case. The Court of Appeals' apparent concern that Wide Awake's religious orientation would be attributed to the University is not a plausible fear, and there is no real likelihood that the speech in question is being either endorsed or coerced by the State, see Lee v. Weisman, 505 U.S. ___, ___ (1992); Witters, supra at 489 (citing Lynch v. Donnelly, 465 U.S. 668, 688 (1984) (O'CONNOR, J., concurring)); see also Witters, supra at 493 (O'CONNOR, J., concurring in part and concurring in judgment) (citing Lynch, supra at  690 (O'CONNOR, J., concurring)).</w:t>
      </w:r>
    </w:p>
    <w:p w:rsidR="00A31137" w:rsidRPr="00A31137" w:rsidRDefault="00A31137" w:rsidP="00A31137">
      <w:r w:rsidRPr="00A31137">
        <w:t>1995, Rosenberger v. Rector, Univ. of Virginia, No. 94-329</w:t>
      </w:r>
    </w:p>
    <w:p w:rsidR="00A31137" w:rsidRPr="00A31137" w:rsidRDefault="00A31137" w:rsidP="00A31137">
      <w:r w:rsidRPr="00A31137">
        <w:t>The Court of Appeals (and the dissent) are correct to extract from our decisions the principle that we have recognized special Establishment Clause dangers where the government makes direct money payments to sectarian institutions, citing Roemer v. Board of Pub. Works of Md., 426 U.S. 736,  747 (1976); Bowen v. Kendrick, 487 U.S. 589, 614-615 (1988); Hunt v. McNair, 413 U.S. at  742; Tilton, 403 U.S. at 679-680; Board of Ed. of Central School Dist. No. 1 v. Allen, 392 U.S. 236 (1968). The error is not in identifying the principle, but in believing that it controls this case. Even assuming that WAP is no different from a church, and that its speech is the same as the religious exercises conducted in Widmar (two points much in doubt), the Court of Appeals decided a case that was, in essence, not before it, and the dissent would have us do the same. We do not confront a case where, even under a neutral program that includes nonsectarian recipients, the government is making direct money payments to an institution or group that is engaged in religious activity. Neither the Court of Appeals nor the dissent, we believe, takes sufficient cognizance of the undisputed fact that no public funds flow directly to WAP's coffers.</w:t>
      </w:r>
    </w:p>
    <w:p w:rsidR="00A31137" w:rsidRPr="00A31137" w:rsidRDefault="00A31137" w:rsidP="00A31137">
      <w:r w:rsidRPr="00A31137">
        <w:t>1995, Rosenberger v. Rector, Univ. of Virginia, No. 94-329</w:t>
      </w:r>
    </w:p>
    <w:p w:rsidR="00A31137" w:rsidRPr="00A31137" w:rsidRDefault="00A31137" w:rsidP="00A31137">
      <w:r w:rsidRPr="00A31137">
        <w:t>It does not violate the Establishment Clause for a public university to grant access to its facilities on a religion-neutral basis to a wide spectrum of student groups, including groups which use meeting rooms for sectarian activities, accompanied by some devotional exercises. See Widmar, 454 U.S. at  269; Mergens, 496 U.S. at  252. This is so even where the upkeep, maintenance, and repair of the facilities attributed to those uses is paid from a student activities fund to which students are required to contribute. Widmar, supra at  265. The government usually acts by spending money. Even the provision of a meeting room, as in Mergens and Widmar, involved governmental expenditure, if only in the form of electricity and heating or cooling costs. The error made by the Court of Appeals, as well as by the dissent, lies in focusing on the money that is undoubtedly expended by the government, rather than on the nature of the benefit received by the recipient. If the expenditure of governmental funds is prohibited whenever those funds pay for a service that is, pursuant to a religion-neutral program, used by a group for sectarian purposes, then Widmar, Mergens, and Lamb's Chapel would have to be overruled. Given our holdings in these cases, it follows that a public university may maintain its own computer facility and give student groups access to that facility, including the use of the printers, on a religion neutral, say first-come-first-served, basis. If a religious student organization obtained access on that religion-neutral basis and used a computer to compose or a printer or copy machine to print speech with a religious content or viewpoint, the State's action in providing the group with access would no more violate the Establishment Clause than would giving those groups access to an assembly hall. See Lamb's Chapel v. Center Moriches School Dist., 508 U.S. __ (1993); Widmar, supra; Mergens, supra. There is no difference in logic or principle, and no difference of constitutional significance, between a school's using its funds to operate a facility to which students have access and a school's paying a third-party contractor to operate the facility on its behalf. The latter occurs here. The University provides printing services to a broad spectrum of student newspapers qualified as CIOs by reason of their officers and membership. Any benefit to religion is incidental to the government's provision of secular services for secular purposes on a religion-neutral basis. Printing is a routine, secular, and recurring attribute of student life.</w:t>
      </w:r>
    </w:p>
    <w:p w:rsidR="00A31137" w:rsidRPr="00A31137" w:rsidRDefault="00A31137" w:rsidP="00A31137">
      <w:r w:rsidRPr="00A31137">
        <w:t>1995, Rosenberger v. Rector, Univ. of Virginia, No. 94-329</w:t>
      </w:r>
    </w:p>
    <w:p w:rsidR="00A31137" w:rsidRPr="00A31137" w:rsidRDefault="00A31137" w:rsidP="00A31137">
      <w:r w:rsidRPr="00A31137">
        <w:t>By paying outside printers, the University in fact attains a further degree of separation from the student publication, for it avoids the duties of supervision, escapes the costs of upkeep, repair, and replacement attributable to student use, and has a clear record of costs. As a result, and as in Widmar, the University can charge the SAF, and not the taxpayers as a whole, for the discrete activity in question. It would be formalistic for us to say that the University must forfeit these advantages and provide the services itself in order to comply with the Establishment Clause. It is, of course, true that, if the State pays a church's bills, it is subsidizing it, and we must guard against this abuse. That is not a danger here, based on the considerations we have advanced and for the additional reason that the student publication is not a religious institution, at least in the usual sense of that term as used in our case law, and it is not a religious organization as used in the University's own regulations. It is, instead, a publication involved in a pure forum for the expression of ideas, ideas that would be both incomplete and chilled were the Constitution to be interpreted to require that state officials and courts scan the publication to ferret out views that principally manifest a belief in a divine being.</w:t>
      </w:r>
    </w:p>
    <w:p w:rsidR="00A31137" w:rsidRPr="00A31137" w:rsidRDefault="00A31137" w:rsidP="00A31137">
      <w:r w:rsidRPr="00A31137">
        <w:t>1995, Rosenberger v. Rector, Univ. of Virginia, No. 94-329</w:t>
      </w:r>
    </w:p>
    <w:p w:rsidR="00A31137" w:rsidRPr="00A31137" w:rsidRDefault="00A31137" w:rsidP="00A31137">
      <w:r w:rsidRPr="00A31137">
        <w:t>Were the dissent's view to become law, it would require the University, in order to avoid a constitutional violation, to scrutinize the content of student speech, lest the expression in question—speech otherwise protected by the Constitution—contain too great a religious content. The dissent, in fact, anticipates such censorship as "crucial" in distinguishing between</w:t>
      </w:r>
    </w:p>
    <w:p w:rsidR="00A31137" w:rsidRPr="00A31137" w:rsidRDefault="00A31137" w:rsidP="00A31137">
      <w:r w:rsidRPr="00A31137">
        <w:t>1995, Rosenberger v. Rector, Univ. of Virginia, No. 94-329</w:t>
      </w:r>
    </w:p>
    <w:p w:rsidR="00A31137" w:rsidRPr="00A31137" w:rsidRDefault="00A31137" w:rsidP="00A31137">
      <w:r w:rsidRPr="00A31137">
        <w:t>works characterized by the evangelism of Wide Awake and writing that merely happens to express views that a given religion might approve.</w:t>
      </w:r>
    </w:p>
    <w:p w:rsidR="00A31137" w:rsidRPr="00A31137" w:rsidRDefault="00A31137" w:rsidP="00A31137">
      <w:r w:rsidRPr="00A31137">
        <w:t>1995, Rosenberger v. Rector, Univ. of Virginia, No. 94-329</w:t>
      </w:r>
    </w:p>
    <w:p w:rsidR="00A31137" w:rsidRPr="00A31137" w:rsidRDefault="00A31137" w:rsidP="00A31137">
      <w:r w:rsidRPr="00A31137">
        <w:t>Post at ___. That eventuality raises the specter of governmental censorship, to ensure that all student writings and publications meet some baseline standard of secular orthodoxy. To impose that standard on student speech at a university is to imperil the very sources of free speech and expression. As we recognized in Widmar, official censorship would be far more inconsistent with the Establishment Clause's dictates than would governmental provision of secular printing services on a religion-blind basis.</w:t>
      </w:r>
    </w:p>
    <w:p w:rsidR="00A31137" w:rsidRPr="00A31137" w:rsidRDefault="00A31137" w:rsidP="00A31137">
      <w:r w:rsidRPr="00A31137">
        <w:t>1995, Rosenberger v. Rector, Univ. of Virginia, No. 94-329</w:t>
      </w:r>
    </w:p>
    <w:p w:rsidR="00A31137" w:rsidRPr="00A31137" w:rsidRDefault="00A31137" w:rsidP="00A31137">
      <w:r w:rsidRPr="00A31137">
        <w:t>[T]he dissent fails to establish that the distinction [between "religious" speech and speech "about" religion] has intelligible content. There is no indication when "singing hymns, reading scripture, and teaching biblical principles" cease to be "singing, teaching, and reading"—all apparently forms of "speech," despite their religious subject matter—and become unprotected "worship."…</w:t>
      </w:r>
    </w:p>
    <w:p w:rsidR="00A31137" w:rsidRPr="00A31137" w:rsidRDefault="00A31137" w:rsidP="00A31137">
      <w:r w:rsidRPr="00A31137">
        <w:t>1995, Rosenberger v. Rector, Univ. of Virginia, No. 94-329</w:t>
      </w:r>
    </w:p>
    <w:p w:rsidR="00A31137" w:rsidRPr="00A31137" w:rsidRDefault="00A31137" w:rsidP="00A31137">
      <w:r w:rsidRPr="00A31137">
        <w:t>[E]ven if the distinction drew an arguably principled line, it is highly doubtful that it would lie within the judicial competence to administer. Merely to draw the distinction would require the university—and ultimately the courts—to inquire into the significance of words and practices to different religious faiths, and in varying circumstances by the same faith. Such inquiries would tend inevitably to entangle the State with religion in a manner forbidden by our cases. E.g., Walz [v. Tax Comm'n of New York City, 397 U.S. 664 (1970)].</w:t>
      </w:r>
    </w:p>
    <w:p w:rsidR="00A31137" w:rsidRPr="00A31137" w:rsidRDefault="00A31137" w:rsidP="00A31137">
      <w:r w:rsidRPr="00A31137">
        <w:t>1995, Rosenberger v. Rector, Univ. of Virginia, No. 94-329</w:t>
      </w:r>
    </w:p>
    <w:p w:rsidR="00A31137" w:rsidRPr="00A31137" w:rsidRDefault="00A31137" w:rsidP="00A31137">
      <w:r w:rsidRPr="00A31137">
        <w:t>454 U.S. at 269-270, n. 6 (citations omitted).</w:t>
      </w:r>
    </w:p>
    <w:p w:rsidR="00A31137" w:rsidRPr="00A31137" w:rsidRDefault="00A31137" w:rsidP="00A31137">
      <w:r w:rsidRPr="00A31137">
        <w:t>*    *    *    *</w:t>
      </w:r>
    </w:p>
    <w:p w:rsidR="00A31137" w:rsidRPr="00A31137" w:rsidRDefault="00A31137" w:rsidP="00A31137">
      <w:r w:rsidRPr="00A31137">
        <w:t>1995, Rosenberger v. Rector, Univ. of Virginia, No. 94-329</w:t>
      </w:r>
    </w:p>
    <w:p w:rsidR="00A31137" w:rsidRPr="00A31137" w:rsidRDefault="00A31137" w:rsidP="00A31137">
      <w:r w:rsidRPr="00A31137">
        <w:t>To obey the Establishment Clause, it was not necessary for the University to deny eligibility to student publications because of their viewpoint. The neutrality commanded of the State by the separate Clauses of the First Amendment was compromised by the University's course of action. The viewpoint discrimination inherent in the University's regulation required public officials to scan and interpret student publications to discern their underlying philosophic assumptions respecting religious theory and belief. That course of action was a denial of the right of free speech and would risk fostering a pervasive bias or hostility to religion, which could undermine the very neutrality the Establishment Clause requires. There is no Establishment Clause violation in the University's honoring its duties under the Free Speech Clause.</w:t>
      </w:r>
    </w:p>
    <w:p w:rsidR="00A31137" w:rsidRPr="00A31137" w:rsidRDefault="00A31137" w:rsidP="00A31137">
      <w:r w:rsidRPr="00A31137">
        <w:t>1995, Rosenberger v. Rector, Univ. of Virginia, No. 94-329</w:t>
      </w:r>
    </w:p>
    <w:p w:rsidR="00A31137" w:rsidRPr="00A31137" w:rsidRDefault="00A31137" w:rsidP="00A31137">
      <w:r w:rsidRPr="00A31137">
        <w:t>The judgment of the Court of Appeals must be, and is, reversed.</w:t>
      </w:r>
    </w:p>
    <w:p w:rsidR="00A31137" w:rsidRPr="00A31137" w:rsidRDefault="00A31137" w:rsidP="00A31137">
      <w:r w:rsidRPr="00A31137">
        <w:t>1995, Rosenberger v. Rector, Univ. of Virginia, No. 94-329</w:t>
      </w:r>
    </w:p>
    <w:p w:rsidR="00A31137" w:rsidRPr="00A31137" w:rsidRDefault="00A31137" w:rsidP="00A31137">
      <w:r w:rsidRPr="00A31137">
        <w:t>It is so ordered.</w:t>
      </w:r>
    </w:p>
    <w:p w:rsidR="00A31137" w:rsidRPr="00A31137" w:rsidRDefault="00A31137" w:rsidP="00A31137">
      <w:r w:rsidRPr="00A31137">
        <w:t>O'CONNOR, J., concurring</w:t>
      </w:r>
    </w:p>
    <w:p w:rsidR="00A31137" w:rsidRPr="00A31137" w:rsidRDefault="00A31137" w:rsidP="00A31137">
      <w:r w:rsidRPr="00A31137">
        <w:t>1995, Rosenberger v. Rector, Univ. of Virginia, No. 94-329</w:t>
      </w:r>
    </w:p>
    <w:p w:rsidR="00A31137" w:rsidRPr="00A31137" w:rsidRDefault="00A31137" w:rsidP="00A31137">
      <w:r w:rsidRPr="00A31137">
        <w:t>JUSTICE O'CONNOR, concurring.</w:t>
      </w:r>
    </w:p>
    <w:p w:rsidR="00A31137" w:rsidRPr="00A31137" w:rsidRDefault="00A31137" w:rsidP="00A31137">
      <w:r w:rsidRPr="00A31137">
        <w:t>1995, Rosenberger v. Rector, Univ. of Virginia, No. 94-329</w:t>
      </w:r>
    </w:p>
    <w:p w:rsidR="00A31137" w:rsidRPr="00A31137" w:rsidRDefault="00A31137" w:rsidP="00A31137">
      <w:r w:rsidRPr="00A31137">
        <w:t>We have time and again held that the government generally may not treat people differently based on the God or gods they worship, or don't worship.</w:t>
      </w:r>
    </w:p>
    <w:p w:rsidR="00A31137" w:rsidRPr="00A31137" w:rsidRDefault="00A31137" w:rsidP="00A31137">
      <w:r w:rsidRPr="00A31137">
        <w:t>1995, Rosenberger v. Rector, Univ. of Virginia, No. 94-329</w:t>
      </w:r>
    </w:p>
    <w:p w:rsidR="00A31137" w:rsidRPr="00A31137" w:rsidRDefault="00A31137" w:rsidP="00A31137">
      <w:r w:rsidRPr="00A31137">
        <w:t>Board of Ed. of Kiryas Joel Village School Dist. v. Grumet, 512 U.S. ___, ___ (1994) (O'CONNOR, J., concurring in part and concurring in judgment). This insistence on government neutrality toward religion explains why we have held that schools may not discriminate against religious groups by denying them equal access to facilities that the schools make available to all. See Lamb's Chapel v. Center Moriches Union Free School Dist., 508 U.S. ___ (1993); Widmar v. Vincent, 454 U.S. 263 (1981). Withholding access would leave an impermissible perception that religious activities are disfavored:</w:t>
      </w:r>
    </w:p>
    <w:p w:rsidR="00A31137" w:rsidRPr="00A31137" w:rsidRDefault="00A31137" w:rsidP="00A31137">
      <w:r w:rsidRPr="00A31137">
        <w:t>1995, Rosenberger v. Rector, Univ. of Virginia, No. 94-329</w:t>
      </w:r>
    </w:p>
    <w:p w:rsidR="00A31137" w:rsidRPr="00A31137" w:rsidRDefault="00A31137" w:rsidP="00A31137">
      <w:r w:rsidRPr="00A31137">
        <w:t>the message is one of neutrality, rather than endorsement; if a State refused to let religious groups use facilities open to others, then it would demonstrate not neutrality but hostility toward religion.</w:t>
      </w:r>
    </w:p>
    <w:p w:rsidR="00A31137" w:rsidRPr="00A31137" w:rsidRDefault="00A31137" w:rsidP="00A31137">
      <w:r w:rsidRPr="00A31137">
        <w:t>1995, Rosenberger v. Rector, Univ. of Virginia, No. 94-329</w:t>
      </w:r>
    </w:p>
    <w:p w:rsidR="00A31137" w:rsidRPr="00A31137" w:rsidRDefault="00A31137" w:rsidP="00A31137">
      <w:r w:rsidRPr="00A31137">
        <w:t>Board of Ed. of Westside Community Schools (Dist. 66) v. Mergens, 496 U.S. 226,  248 (1990) (plurality opinion).</w:t>
      </w:r>
    </w:p>
    <w:p w:rsidR="00A31137" w:rsidRPr="00A31137" w:rsidRDefault="00A31137" w:rsidP="00A31137">
      <w:r w:rsidRPr="00A31137">
        <w:t>1995, Rosenberger v. Rector, Univ. of Virginia, No. 94-329</w:t>
      </w:r>
    </w:p>
    <w:p w:rsidR="00A31137" w:rsidRPr="00A31137" w:rsidRDefault="00A31137" w:rsidP="00A31137">
      <w:r w:rsidRPr="00A31137">
        <w:t>The Religion Clauses prohibit the government from favoring religion, but they provide no warrant for discriminating against religion.</w:t>
      </w:r>
    </w:p>
    <w:p w:rsidR="00A31137" w:rsidRPr="00A31137" w:rsidRDefault="00A31137" w:rsidP="00A31137">
      <w:r w:rsidRPr="00A31137">
        <w:t>1995, Rosenberger v. Rector, Univ. of Virginia, No. 94-329</w:t>
      </w:r>
    </w:p>
    <w:p w:rsidR="00A31137" w:rsidRPr="00A31137" w:rsidRDefault="00A31137" w:rsidP="00A31137">
      <w:r w:rsidRPr="00A31137">
        <w:t>Kiryas Joel, supra at ___ (O'CONNOR, J.). Neutrality, in both form and effect, is one hallmark of the Establishment Clause.</w:t>
      </w:r>
    </w:p>
    <w:p w:rsidR="00A31137" w:rsidRPr="00A31137" w:rsidRDefault="00A31137" w:rsidP="00A31137">
      <w:r w:rsidRPr="00A31137">
        <w:t>1995, Rosenberger v. Rector, Univ. of Virginia, No. 94-329</w:t>
      </w:r>
    </w:p>
    <w:p w:rsidR="00A31137" w:rsidRPr="00A31137" w:rsidRDefault="00A31137" w:rsidP="00A31137">
      <w:r w:rsidRPr="00A31137">
        <w:t>As JUSTICE SOUTER demonstrates, however, post at ___, there exists another axiom in the history and precedent of the Establishment Clause. "Public funds may not be used to endorse the religious message." Bowen v. Kendrick, 487 U.S. 589,  642 (1988) (Blackmun, J., dissenting); see also id. at  622 (O'CONNOR, J., concurring). Our cases have permitted some government funding of secular functions performed by sectarian organizations. See, e.g., id. at  617 (funding for sex education); Roemer v. Board of Pub. Works of Md., 426 U.S. 736,  741 (1976) (cash grant to colleges not to be used for "sectarian purposes"); Bradfield v. Roberts, 175 U.S. 291, 299-300 (1899) (funding of health care for indigent patients). These decisions, however, provide no precedent for the use of public funds to finance religious activities.</w:t>
      </w:r>
    </w:p>
    <w:p w:rsidR="00A31137" w:rsidRPr="00A31137" w:rsidRDefault="00A31137" w:rsidP="00A31137">
      <w:r w:rsidRPr="00A31137">
        <w:t>1995, Rosenberger v. Rector, Univ. of Virginia, No. 94-329</w:t>
      </w:r>
    </w:p>
    <w:p w:rsidR="00A31137" w:rsidRPr="00A31137" w:rsidRDefault="00A31137" w:rsidP="00A31137">
      <w:r w:rsidRPr="00A31137">
        <w:t>This case lies at the intersection of the principle of government neutrality and the prohibition on state funding of religious activities. It is clear that the University has established a generally applicable program to encourage the free exchange of ideas by its students, an expressive marketplace that includes some 15 student publications with predictably divergent viewpoints. It is equally clear that petitioners' viewpoint is religious and that publication of Wide Awake is a religious activity, under both the University's regulation and a fair reading of our precedents. Not to finance Wide Awake, according to petitioners, violates the principle of neutrality by sending a message of hostility toward religion. To finance Wide Awake, argues the University, violates the prohibition on direct state funding of religious activities.</w:t>
      </w:r>
    </w:p>
    <w:p w:rsidR="00A31137" w:rsidRPr="00A31137" w:rsidRDefault="00A31137" w:rsidP="00A31137">
      <w:r w:rsidRPr="00A31137">
        <w:t>1995, Rosenberger v. Rector, Univ. of Virginia, No. 94-329</w:t>
      </w:r>
    </w:p>
    <w:p w:rsidR="00A31137" w:rsidRPr="00A31137" w:rsidRDefault="00A31137" w:rsidP="00A31137">
      <w:r w:rsidRPr="00A31137">
        <w:t>When two bedrock principles so conflict, understandably neither can provide the definitive answer. Reliance on categorical platitudes is unavailing. Resolution instead depends on the hard task of judging-sifting through the details and determining whether the challenged program offends the Establishment Clause. Such judgment requires courts to draw lines, sometimes quite fine, based on the particular facts of each case. See Lee v. Weisman, 505 U.S. ___ (1992) ("Our jurisprudence in this area is of necessity one of line-drawing"). As Justice Holmes observed in a different context:</w:t>
      </w:r>
    </w:p>
    <w:p w:rsidR="00A31137" w:rsidRPr="00A31137" w:rsidRDefault="00A31137" w:rsidP="00A31137">
      <w:r w:rsidRPr="00A31137">
        <w:t>1995, Rosenberger v. Rector, Univ. of Virginia, No. 94-329</w:t>
      </w:r>
    </w:p>
    <w:p w:rsidR="00A31137" w:rsidRPr="00A31137" w:rsidRDefault="00A31137" w:rsidP="00A31137">
      <w:r w:rsidRPr="00A31137">
        <w:t>Neither are we troubled by the question where to draw the line. That is the question in pretty much everything worth arguing in the law. Day and night, youth and age are only types.</w:t>
      </w:r>
    </w:p>
    <w:p w:rsidR="00A31137" w:rsidRPr="00A31137" w:rsidRDefault="00A31137" w:rsidP="00A31137">
      <w:r w:rsidRPr="00A31137">
        <w:t>1995, Rosenberger v. Rector, Univ. of Virginia, No. 94-329</w:t>
      </w:r>
    </w:p>
    <w:p w:rsidR="00A31137" w:rsidRPr="00A31137" w:rsidRDefault="00A31137" w:rsidP="00A31137">
      <w:r w:rsidRPr="00A31137">
        <w:t>Irwin v. Gavit, 268 U.S. 161, 168 (1925) (citation omitted).</w:t>
      </w:r>
    </w:p>
    <w:p w:rsidR="00A31137" w:rsidRPr="00A31137" w:rsidRDefault="00A31137" w:rsidP="00A31137">
      <w:r w:rsidRPr="00A31137">
        <w:t>1995, Rosenberger v. Rector, Univ. of Virginia, No. 94-329</w:t>
      </w:r>
    </w:p>
    <w:p w:rsidR="00A31137" w:rsidRPr="00A31137" w:rsidRDefault="00A31137" w:rsidP="00A31137">
      <w:r w:rsidRPr="00A31137">
        <w:t>In Witters v. Washington Dept. of Services for Blind, 474 U.S. 481 (1986), for example, we unanimously held that the State may, through a generally applicable financial aid program, pay a blind student's tuition at a sectarian theological institution. The Court so held, however, only after emphasizing that "vocational assistance provided under the Washington program is paid directly to the student, who transmits it to the educational institution of his or her choice." Id. at 487. The benefit to religion under the program, therefore, is akin to a public servant contributing her government paycheck to the church. Ibid. We thus resolved the conflict between the neutrality principle and the funding prohibition not by permitting one to trump the other, but by relying on the elements of choice peculiar to the facts of that case:</w:t>
      </w:r>
    </w:p>
    <w:p w:rsidR="00A31137" w:rsidRPr="00A31137" w:rsidRDefault="00A31137" w:rsidP="00A31137">
      <w:r w:rsidRPr="00A31137">
        <w:t>1995, Rosenberger v. Rector, Univ. of Virginia, No. 94-329</w:t>
      </w:r>
    </w:p>
    <w:p w:rsidR="00A31137" w:rsidRPr="00A31137" w:rsidRDefault="00A31137" w:rsidP="00A31137">
      <w:r w:rsidRPr="00A31137">
        <w:t>The aid to religion at issue here is the result of petitioner's private choice. No reasonable observer is likely to draw from the facts before us an inference that the State itself is endorsing a religious practice or belief.</w:t>
      </w:r>
    </w:p>
    <w:p w:rsidR="00A31137" w:rsidRPr="00A31137" w:rsidRDefault="00A31137" w:rsidP="00A31137">
      <w:r w:rsidRPr="00A31137">
        <w:t>1995, Rosenberger v. Rector, Univ. of Virginia, No. 94-329</w:t>
      </w:r>
    </w:p>
    <w:p w:rsidR="00A31137" w:rsidRPr="00A31137" w:rsidRDefault="00A31137" w:rsidP="00A31137">
      <w:r w:rsidRPr="00A31137">
        <w:t>Id. at 493 (O'CONNOR, J., concurring in part and concurring in judgment). See also Zobrest v. Catalina Foothills School Dist., 509 U.S. 1, ___ (1993).</w:t>
      </w:r>
    </w:p>
    <w:p w:rsidR="00A31137" w:rsidRPr="00A31137" w:rsidRDefault="00A31137" w:rsidP="00A31137">
      <w:r w:rsidRPr="00A31137">
        <w:t>1995, Rosenberger v. Rector, Univ. of Virginia, No. 94-329</w:t>
      </w:r>
    </w:p>
    <w:p w:rsidR="00A31137" w:rsidRPr="00A31137" w:rsidRDefault="00A31137" w:rsidP="00A31137">
      <w:r w:rsidRPr="00A31137">
        <w:t>The need for careful judgment and fine distinctions presents itself even in extreme cases. Everson v. Board of Ed. of Ewing, 330 U.S. 1 (1947), provided perhaps the strongest exposition of the no-funding principle:</w:t>
      </w:r>
    </w:p>
    <w:p w:rsidR="00A31137" w:rsidRPr="00A31137" w:rsidRDefault="00A31137" w:rsidP="00A31137">
      <w:r w:rsidRPr="00A31137">
        <w:t>1995, Rosenberger v. Rector, Univ. of Virginia, No. 94-329</w:t>
      </w:r>
    </w:p>
    <w:p w:rsidR="00A31137" w:rsidRPr="00A31137" w:rsidRDefault="00A31137" w:rsidP="00A31137">
      <w:r w:rsidRPr="00A31137">
        <w:t>No tax in any amount, large or small, can be levied to support any religious activities or institutions, whatever they may be called, or whatever form they may adopt to teach or practice religion.</w:t>
      </w:r>
    </w:p>
    <w:p w:rsidR="00A31137" w:rsidRPr="00A31137" w:rsidRDefault="00A31137" w:rsidP="00A31137">
      <w:r w:rsidRPr="00A31137">
        <w:t>1995, Rosenberger v. Rector, Univ. of Virginia, No. 94-329</w:t>
      </w:r>
    </w:p>
    <w:p w:rsidR="00A31137" w:rsidRPr="00A31137" w:rsidRDefault="00A31137" w:rsidP="00A31137">
      <w:r w:rsidRPr="00A31137">
        <w:t>Id. at  16. Yet the Court approved the use of public funds, in a general program, to reimburse parents for their children's bus fares to attend Catholic schools. Id. at 17-18. Although some would cynically dismiss the Court's disposition as inconsistent with its protestations, see id. at  19 (Jackson, J., dissenting) ("the most fitting precedent is that of Julia who, according to Byron's reports, 'whispering "I will ne'er consent,"—consented'"), the decision reflected the need to rely on careful judgment—not simple categories—when two principles, of equal historical and jurisprudential pedigree, come into unavoidable conflict.</w:t>
      </w:r>
    </w:p>
    <w:p w:rsidR="00A31137" w:rsidRPr="00A31137" w:rsidRDefault="00A31137" w:rsidP="00A31137">
      <w:r w:rsidRPr="00A31137">
        <w:t>1995, Rosenberger v. Rector, Univ. of Virginia, No. 94-329</w:t>
      </w:r>
    </w:p>
    <w:p w:rsidR="00A31137" w:rsidRPr="00A31137" w:rsidRDefault="00A31137" w:rsidP="00A31137">
      <w:r w:rsidRPr="00A31137">
        <w:t>So it is in this case. The nature of the dispute does not admit of categorical answers, nor should any be inferred from the Court's decision today, see ante at ___. Instead, certain considerations specific to the program at issue lead me to conclude that by providing the same assistance to Wide Awake that it does to other publications, the University would not be endorsing the magazine's religious perspective.</w:t>
      </w:r>
    </w:p>
    <w:p w:rsidR="00A31137" w:rsidRPr="00A31137" w:rsidRDefault="00A31137" w:rsidP="00A31137">
      <w:r w:rsidRPr="00A31137">
        <w:t>1995, Rosenberger v. Rector, Univ. of Virginia, No. 94-329</w:t>
      </w:r>
    </w:p>
    <w:p w:rsidR="00A31137" w:rsidRPr="00A31137" w:rsidRDefault="00A31137" w:rsidP="00A31137">
      <w:r w:rsidRPr="00A31137">
        <w:t>First, the student organizations, at the University's insistence, remain strictly independent of the University. The University's agreement with the Contracted Independent Organizations (CIO)—i. e., student groups—provides:</w:t>
      </w:r>
    </w:p>
    <w:p w:rsidR="00A31137" w:rsidRPr="00A31137" w:rsidRDefault="00A31137" w:rsidP="00A31137">
      <w:r w:rsidRPr="00A31137">
        <w:t>1995, Rosenberger v. Rector, Univ. of Virginia, No. 94-329</w:t>
      </w:r>
    </w:p>
    <w:p w:rsidR="00A31137" w:rsidRPr="00A31137" w:rsidRDefault="00A31137" w:rsidP="00A31137">
      <w:r w:rsidRPr="00A31137">
        <w:t>The University is a Virginia public corporation and the CIO is not part of that corporation, but rather exists and operates independently of the University…. The parties understand and agree that this Agreement is the only source of any control the University may have over the CIO or its activities….</w:t>
      </w:r>
    </w:p>
    <w:p w:rsidR="00A31137" w:rsidRPr="00A31137" w:rsidRDefault="00A31137" w:rsidP="00A31137">
      <w:r w:rsidRPr="00A31137">
        <w:t>1995, Rosenberger v. Rector, Univ. of Virginia, No. 94-329</w:t>
      </w:r>
    </w:p>
    <w:p w:rsidR="00A31137" w:rsidRPr="00A31137" w:rsidRDefault="00A31137" w:rsidP="00A31137">
      <w:r w:rsidRPr="00A31137">
        <w:t>App. 27. And the agreement requires that student organizations include in every letter, contract, publication, or other written materials the following disclaimer:</w:t>
      </w:r>
    </w:p>
    <w:p w:rsidR="00A31137" w:rsidRPr="00A31137" w:rsidRDefault="00A31137" w:rsidP="00A31137">
      <w:r w:rsidRPr="00A31137">
        <w:t>1995, Rosenberger v. Rector, Univ. of Virginia, No. 94-329</w:t>
      </w:r>
    </w:p>
    <w:p w:rsidR="00A31137" w:rsidRPr="00A31137" w:rsidRDefault="00A31137" w:rsidP="00A31137">
      <w:r w:rsidRPr="00A31137">
        <w:t>Although this organization has members who are University of Virginia students (faculty) (employees), the organization is independent of the corporation which is the University and which is not responsible for the organization's contracts, acts or omissions.</w:t>
      </w:r>
    </w:p>
    <w:p w:rsidR="00A31137" w:rsidRPr="00A31137" w:rsidRDefault="00A31137" w:rsidP="00A31137">
      <w:r w:rsidRPr="00A31137">
        <w:t>1995, Rosenberger v. Rector, Univ. of Virginia, No. 94-329</w:t>
      </w:r>
    </w:p>
    <w:p w:rsidR="00A31137" w:rsidRPr="00A31137" w:rsidRDefault="00A31137" w:rsidP="00A31137">
      <w:r w:rsidRPr="00A31137">
        <w:t>Id. at 28. Any reader of Wide Awake would be on notice of the publication's independence from the University. Cf. Widmar v. Vincent, 454 U.S. at  274, n. 14.</w:t>
      </w:r>
    </w:p>
    <w:p w:rsidR="00A31137" w:rsidRPr="00A31137" w:rsidRDefault="00A31137" w:rsidP="00A31137">
      <w:r w:rsidRPr="00A31137">
        <w:t>1995, Rosenberger v. Rector, Univ. of Virginia, No. 94-329</w:t>
      </w:r>
    </w:p>
    <w:p w:rsidR="00A31137" w:rsidRPr="00A31137" w:rsidRDefault="00A31137" w:rsidP="00A31137">
      <w:r w:rsidRPr="00A31137">
        <w:t>Second, financial assistance is distributed in a manner that ensures its use only for permissible purposes. A student organization seeking assistance must submit disbursement requests; if approved, the funds are paid directly to the third-party vendor and do not pass through the organization's coffers. This safeguard accompanying the University's financial assistance, when provided to a publication with a religious viewpoint such as Wide Awake, ensures that the funds are used only to further the University's purpose in maintaining a free and robust marketplace of ideas, from whatever perspective. This feature also makes this case analogous to a school providing equal access to a generally available printing press (or other physical facilities), ante at ___, and unlike a block grant to religious organizations.</w:t>
      </w:r>
    </w:p>
    <w:p w:rsidR="00A31137" w:rsidRPr="00A31137" w:rsidRDefault="00A31137" w:rsidP="00A31137">
      <w:r w:rsidRPr="00A31137">
        <w:t>1995, Rosenberger v. Rector, Univ. of Virginia, No. 94-329</w:t>
      </w:r>
    </w:p>
    <w:p w:rsidR="00A31137" w:rsidRPr="00A31137" w:rsidRDefault="00A31137" w:rsidP="00A31137">
      <w:r w:rsidRPr="00A31137">
        <w:t>Third, assistance is provided to the religious publication in a context that makes improbable any perception of government endorsement of the religious message. Wide Awake does not exist in a vacuum. It competes with 15 other magazines and newspapers for advertising and readership. The widely divergent viewpoints of these many purveyors of opinion, all supported on an equal basis by the University, significantly diminishes the danger that the message of any one publication is perceived as endorsed by the University. Besides the general news publications, for example, the University has provided support to The Yellow Journal, a humor magazine that has targeted Christianity as a subject of satire, and Al-Salam, a publication to "promote a better understanding of Islam to the University Community," App. 92. Given this wide array of non-religious, anti-religious and competing religious viewpoints in the forum supported by the University, any perception that the University endorses one particular viewpoint would be illogical. This is not the harder case where religious speech threatens to dominate the forum. Cf. Capitol Square Review and Advisory Bd. v. Pinette, ante at ___ (O'CONNOR, J., concurring in part and concurring in judgment); Mergens, 496 U.S. at  275.</w:t>
      </w:r>
    </w:p>
    <w:p w:rsidR="00A31137" w:rsidRPr="00A31137" w:rsidRDefault="00A31137" w:rsidP="00A31137">
      <w:r w:rsidRPr="00A31137">
        <w:t>1995, Rosenberger v. Rector, Univ. of Virginia, No. 94-329</w:t>
      </w:r>
    </w:p>
    <w:p w:rsidR="00A31137" w:rsidRPr="00A31137" w:rsidRDefault="00A31137" w:rsidP="00A31137">
      <w:r w:rsidRPr="00A31137">
        <w:t>Finally, although the question is not presented here, I note the possibility that the student fee is susceptible to a Free Speech Clause challenge by an objecting student that she should not be compelled to pay for speech with which she disagrees. See, e.g., Keller v. State Bar of California, 496 U.S. 1, 15 (1990); Abood v. Detroit Board of Education, 431 U.S. 209,  236 (1977). There currently exists a split in the lower courts as to whether such a challenge would be successful. Compare Hays County Guardian v. Supple, 969 F.2d 111, 123 (CA5 1992), cert. denied, 506 U.S. ___ (1993); Kania v. Fordham, 702 F.2d 475, 480 (CA4 1983); Good v. Associated Students of Univ. of Wash., 86 Wash.2d 94, 105-106, 542 P.2d 762, 769 (1975) (en banc), with Smith v. Regents of Univ. of Cal., 4 Cal. 4th 843, 863-864, 844 P.2d 500, 513-514, cert. denied, 510 U.S. ___ (1993). While the Court does not resolve the question here, see ante at ___, the existence of such an opt-out possibility not available to citizens generally, see Abood, supra at  259, n. 13 (Powell, J., concurring in judgment), provides a potential basis for distinguishing proceeds of the student fees in this case from proceeds of the general assessments in support of religion that lie at the core of the prohibition against religious funding, see ante at ___; post at ___ (THOMAS, J., concurring); post at ___ (SOUTER, J., dissenting), and from government funds generally. Unlike monies dispensed from state or federal treasuries, the Student Activities Fund is collected from students who themselves administer the fund and select qualifying recipients only from among those who originally paid the fee. The government neither pays into nor draws from this common pool, and a fee of this sort appears conducive to granting individual students proportional refunds. The Student Activities Fund, then, represents not government resources, whether derived from tax revenue, sales of assets, or otherwise, but a fund that simply belongs to the students.</w:t>
      </w:r>
    </w:p>
    <w:p w:rsidR="00A31137" w:rsidRPr="00A31137" w:rsidRDefault="00A31137" w:rsidP="00A31137">
      <w:r w:rsidRPr="00A31137">
        <w:t>1995, Rosenberger v. Rector, Univ. of Virginia, No. 94-329</w:t>
      </w:r>
    </w:p>
    <w:p w:rsidR="00A31137" w:rsidRPr="00A31137" w:rsidRDefault="00A31137" w:rsidP="00A31137">
      <w:r w:rsidRPr="00A31137">
        <w:t>The Court's decision today therefore neither trumpets the supremacy of the neutrality principle nor signals the demise of the funding prohibition in Establishment Clause jurisprudence. As I observed last Term, "[e]xperience proves that the Establishment Clause, like the Free Speech Clause, cannot easily be reduced to a single test." Kiryas Joel, 512 U.S. at ___ (O'CONNOR, J., concurring in part and concurring in judgment). When bedrock principles collide, they test the limits of categorical obstinacy and expose the flaws and dangers of a Grand Unified Theory that may turn out to be neither grand nor unified. The Court today does only what courts must do in many Establishment Clause cases—focus on specific features of a particular government action to ensure that it does not violate the Constitution. By withholding from Wide Awake assistance that the University provides generally to all other student publications, the University has discriminated on the basis of the magazine's religious viewpoint in violation of the Free Speech Clause. And particular features of the University's program—such as the explicit disclaimer, the disbursement of funds directly to third-party vendors, the vigorous nature of the forum at issue, and the possibility for objecting students to opt out—convince me that providing such assistance in this case would not carry the danger of impermissible use of public funds to endorse Wide Awake's religious message.</w:t>
      </w:r>
    </w:p>
    <w:p w:rsidR="00A31137" w:rsidRPr="00A31137" w:rsidRDefault="00A31137" w:rsidP="00A31137">
      <w:r w:rsidRPr="00A31137">
        <w:t>1995, Rosenberger v. Rector, Univ. of Virginia, No. 94-329</w:t>
      </w:r>
    </w:p>
    <w:p w:rsidR="00A31137" w:rsidRPr="00A31137" w:rsidRDefault="00A31137" w:rsidP="00A31137">
      <w:r w:rsidRPr="00A31137">
        <w:t>Subject to these comments, I join the opinion of the Court.</w:t>
      </w:r>
    </w:p>
    <w:p w:rsidR="00A31137" w:rsidRPr="00A31137" w:rsidRDefault="00A31137" w:rsidP="00A31137">
      <w:r w:rsidRPr="00A31137">
        <w:t>THOMAS, J., concurring</w:t>
      </w:r>
    </w:p>
    <w:p w:rsidR="00A31137" w:rsidRPr="00A31137" w:rsidRDefault="00A31137" w:rsidP="00A31137">
      <w:r w:rsidRPr="00A31137">
        <w:t>1995, Rosenberger v. Rector, Univ. of Virginia, No. 94-329</w:t>
      </w:r>
    </w:p>
    <w:p w:rsidR="00A31137" w:rsidRPr="00A31137" w:rsidRDefault="00A31137" w:rsidP="00A31137">
      <w:r w:rsidRPr="00A31137">
        <w:t>JUSTICE THOMAS, concurring.</w:t>
      </w:r>
    </w:p>
    <w:p w:rsidR="00A31137" w:rsidRPr="00A31137" w:rsidRDefault="00A31137" w:rsidP="00A31137">
      <w:r w:rsidRPr="00A31137">
        <w:t>1995, Rosenberger v. Rector, Univ. of Virginia, No. 94-329</w:t>
      </w:r>
    </w:p>
    <w:p w:rsidR="00A31137" w:rsidRPr="00A31137" w:rsidRDefault="00A31137" w:rsidP="00A31137">
      <w:r w:rsidRPr="00A31137">
        <w:t>I agree with the Court's opinion, and join it in full, but I write separately to express my disagreement with the historical analysis put forward by the dissent. Although the dissent starts down the right path in consulting the original meaning of the Establishment Clause, its misleading application of history yields a principle that is inconsistent with our Nation's long tradition of allowing religious adherents to participate on equal terms in neutral government programs.</w:t>
      </w:r>
    </w:p>
    <w:p w:rsidR="00A31137" w:rsidRPr="00A31137" w:rsidRDefault="00A31137" w:rsidP="00A31137">
      <w:r w:rsidRPr="00A31137">
        <w:t>1995, Rosenberger v. Rector, Univ. of Virginia, No. 94-329</w:t>
      </w:r>
    </w:p>
    <w:p w:rsidR="00A31137" w:rsidRPr="00A31137" w:rsidRDefault="00A31137" w:rsidP="00A31137">
      <w:r w:rsidRPr="00A31137">
        <w:t>Even assuming that the Virginia debate on the so-called "Assessment Controversy" was indicative of the principles embodied in the Establishment Clause, this incident hardly compels the dissent's conclusion that government must actively discriminate against religion. The dissent's historical discussion glosses over the fundamental characteristic of the Virginia assessment bill that sparked the controversy: the assessment was to be imposed for the support of clergy in the performance of their function of teaching religion. Thus, the "Bill Establishing a Provision for Teachers of the Christian Religion" provided for the collection of a specific tax, the proceeds of which were to be appropriated</w:t>
      </w:r>
    </w:p>
    <w:p w:rsidR="00A31137" w:rsidRPr="00A31137" w:rsidRDefault="00A31137" w:rsidP="00A31137">
      <w:r w:rsidRPr="00A31137">
        <w:t>1995, Rosenberger v. Rector, Univ. of Virginia, No. 94-329</w:t>
      </w:r>
    </w:p>
    <w:p w:rsidR="00A31137" w:rsidRPr="00A31137" w:rsidRDefault="00A31137" w:rsidP="00A31137">
      <w:r w:rsidRPr="00A31137">
        <w:t>by the Vestries, Elders, or Directors of each religious society…to a provision for a Minister or Teacher of the Gospel of their denomination, or the providing places of divine worship, and to none other use whatsoever.</w:t>
      </w:r>
    </w:p>
    <w:p w:rsidR="00A31137" w:rsidRPr="00A31137" w:rsidRDefault="00A31137" w:rsidP="00A31137">
      <w:r w:rsidRPr="00A31137">
        <w:t>1995, Rosenberger v. Rector, Univ. of Virginia, No. 94-329</w:t>
      </w:r>
    </w:p>
    <w:p w:rsidR="00A31137" w:rsidRPr="00A31137" w:rsidRDefault="00A31137" w:rsidP="00A31137">
      <w:r w:rsidRPr="00A31137">
        <w:t>See Everson v. Board of Ed. of Ewing, 330 U.S. 1,  74 (1947) (appendix to dissent of Rutledge, J.). 1</w:t>
      </w:r>
    </w:p>
    <w:p w:rsidR="00A31137" w:rsidRPr="00A31137" w:rsidRDefault="00A31137" w:rsidP="00A31137">
      <w:r w:rsidRPr="00A31137">
        <w:t>1995, Rosenberger v. Rector, Univ. of Virginia, No. 94-329</w:t>
      </w:r>
    </w:p>
    <w:p w:rsidR="00A31137" w:rsidRPr="00A31137" w:rsidRDefault="00A31137" w:rsidP="00A31137">
      <w:r w:rsidRPr="00A31137">
        <w:t>James Madison's Memorial and Remonstrance Against Religious Assessments (hereinafter Madison's Remonstrance) must be understood in this context. Contrary to the dissent's suggestion, Madison's objection to the assessment bill did not rest on the premise that religious entities may never participate on equal terms in neutral government programs. Nor did Madison embrace the argument that forms the linchpin of the dissent: that monetary subsidies are constitutionally different from other neutral benefits programs. Instead, Madison's comments are more consistent with the neutrality principle that the dissent inexplicably discards. According to Madison, the Virginia assessment was flawed because it "violate[d] that equality which ought to be the basis of every law." Madison's Remonstrance ¶ 4, reprinted in Everson, supra, at  66 (appendix to dissent of Rutledge, J.). The assessment violated the "equality" principle not because it allowed religious groups to participate in a generally available government program, but because the bill singled out religious entities for special benefits. See ibid. (arguing that the assessment violated the equality principle "by subjecting some to peculiar burdens" and "by granting to others peculiar exemptions").</w:t>
      </w:r>
    </w:p>
    <w:p w:rsidR="00A31137" w:rsidRPr="00A31137" w:rsidRDefault="00A31137" w:rsidP="00A31137">
      <w:r w:rsidRPr="00A31137">
        <w:t>1995, Rosenberger v. Rector, Univ. of Virginia, No. 94-329</w:t>
      </w:r>
    </w:p>
    <w:p w:rsidR="00A31137" w:rsidRPr="00A31137" w:rsidRDefault="00A31137" w:rsidP="00A31137">
      <w:r w:rsidRPr="00A31137">
        <w:t>Legal commentators have disagreed about the historical lesson to take from the Assessment Controversy. For some, the experience in Virginia is consistent with the view that the Framers saw the Establishment Clause simply as a prohibition on governmental preferences for some religious faiths over others. See R. Cord, Separation of Church and State: Historical Fact and Current Fiction 20-23 (1982); Smith, Getting Off on the Wrong Foot and Back on Again: A Reexamination of the History of the Framing of the Religion Clauses of the First Amendment and a Critique of the Reynolds and Everson Decisions, 20 Wake Forest L.Rev. 569, 590-591 (1984). Other commentators have rejected this view, concluding that the Establishment Clause forbids not only government preferences for some religious sects over others, but also government preferences for religion over irreligion. See, e.g., Laycock, "Nonpreferential" Aid to Religion: A False Claim About Original Intent, 27 Wm. &amp; Mary L.Rev. 875, 875 (1986).</w:t>
      </w:r>
    </w:p>
    <w:p w:rsidR="00A31137" w:rsidRPr="00A31137" w:rsidRDefault="00A31137" w:rsidP="00A31137">
      <w:r w:rsidRPr="00A31137">
        <w:t>1995, Rosenberger v. Rector, Univ. of Virginia, No. 94-329</w:t>
      </w:r>
    </w:p>
    <w:p w:rsidR="00A31137" w:rsidRPr="00A31137" w:rsidRDefault="00A31137" w:rsidP="00A31137">
      <w:r w:rsidRPr="00A31137">
        <w:t>I find much to commend the former view. Madison's focus on the preferential nature of the assessment was not restricted to the fourth paragraph of the Remonstrance discussed above. The funding provided by the Virginia assessment was to be extended only to Christian sects, and the Remonstrance seized on this defect:</w:t>
      </w:r>
    </w:p>
    <w:p w:rsidR="00A31137" w:rsidRPr="00A31137" w:rsidRDefault="00A31137" w:rsidP="00A31137">
      <w:r w:rsidRPr="00A31137">
        <w:t>1995, Rosenberger v. Rector, Univ. of Virginia, No. 94-329</w:t>
      </w:r>
    </w:p>
    <w:p w:rsidR="00A31137" w:rsidRPr="00A31137" w:rsidRDefault="00A31137" w:rsidP="00A31137">
      <w:r w:rsidRPr="00A31137">
        <w:t>Who does not see that the same authority which can establish Christianity, in exclusion of all other Religions, may establish with the same ease any particular sect of Christians, in exclusion of all other Sects.</w:t>
      </w:r>
    </w:p>
    <w:p w:rsidR="00A31137" w:rsidRPr="00A31137" w:rsidRDefault="00A31137" w:rsidP="00A31137">
      <w:r w:rsidRPr="00A31137">
        <w:t>1995, Rosenberger v. Rector, Univ. of Virginia, No. 94-329</w:t>
      </w:r>
    </w:p>
    <w:p w:rsidR="00A31137" w:rsidRPr="00A31137" w:rsidRDefault="00A31137" w:rsidP="00A31137">
      <w:r w:rsidRPr="00A31137">
        <w:t>Madison's Remonstrance ¶ 3, reprinted in Everson, supra at  65. In addition to the third and fourth paragraphs of the Remonstrance,</w:t>
      </w:r>
    </w:p>
    <w:p w:rsidR="00A31137" w:rsidRPr="00A31137" w:rsidRDefault="00A31137" w:rsidP="00A31137">
      <w:r w:rsidRPr="00A31137">
        <w:t>1995, Rosenberger v. Rector, Univ. of Virginia, No. 94-329</w:t>
      </w:r>
    </w:p>
    <w:p w:rsidR="00A31137" w:rsidRPr="00A31137" w:rsidRDefault="00A31137" w:rsidP="00A31137">
      <w:r w:rsidRPr="00A31137">
        <w:t>Madison's seventh, ninth, eleventh, and twelfth arguments all speak, in some way, to the same intolerance, bigotry, unenlightenment, and persecution that had generally resulted from previous exclusive religious establishments.</w:t>
      </w:r>
    </w:p>
    <w:p w:rsidR="00A31137" w:rsidRPr="00A31137" w:rsidRDefault="00A31137" w:rsidP="00A31137">
      <w:r w:rsidRPr="00A31137">
        <w:t>1995, Rosenberger v. Rector, Univ. of Virginia, No. 94-329</w:t>
      </w:r>
    </w:p>
    <w:p w:rsidR="00A31137" w:rsidRPr="00A31137" w:rsidRDefault="00A31137" w:rsidP="00A31137">
      <w:r w:rsidRPr="00A31137">
        <w:t>Cord, supra at 21. The conclusion that Madison saw the principle of nonestablishment as barring governmental preferences for particular religious faiths seems especially clear in light of statements he made in the more-relevant context of the House debates on the First Amendment. See Wallace v. Jaffree, 472 U.S. 38,  98 (1985) (REHNQUIST, J., dissenting) (Madison's views "as reflected by actions on the floor of the House in 1789, [indicate] that he saw the [First] Amendment as designed to prohibit the establishment of a national religion, and perhaps to prevent discrimination among sects," but not "as requiring neutrality on the part of government between religion and irreligion"). Moreover, even if more extreme notions of the separation of church and state can be attributed to Madison, many of them clearly stem from "arguments reflecting the concepts of natural law, natural rights, and the social contract between government and a civil society," Cord, supra at 22, rather than the principle of nonestablishment in the Constitution. In any event, the views of one man do not establish the original understanding of the First Amendment.</w:t>
      </w:r>
    </w:p>
    <w:p w:rsidR="00A31137" w:rsidRPr="00A31137" w:rsidRDefault="00A31137" w:rsidP="00A31137">
      <w:r w:rsidRPr="00A31137">
        <w:t>1995, Rosenberger v. Rector, Univ. of Virginia, No. 94-329</w:t>
      </w:r>
    </w:p>
    <w:p w:rsidR="00A31137" w:rsidRPr="00A31137" w:rsidRDefault="00A31137" w:rsidP="00A31137">
      <w:r w:rsidRPr="00A31137">
        <w:t>But resolution of this debate is not necessary to decide this case. Under any understanding of the Assessment Controversy, the history cited by the dissent cannot support the conclusion that the Establishment Clause "categorically condemn[s] state programs directly aiding religious activity" when that aid is part of a neutral program available to a wide array of beneficiaries. Post at ___. Even if Madison believed that the principle of nonestablishment of religion precluded government financial support for religion per se (in the sense of government benefits specifically targeting religion), there is no indication that at the time of the framing he took the dissent's extreme view that the government must discriminate against religious adherents by excluding them from more generally available financial subsidies. 2</w:t>
      </w:r>
    </w:p>
    <w:p w:rsidR="00A31137" w:rsidRPr="00A31137" w:rsidRDefault="00A31137" w:rsidP="00A31137">
      <w:r w:rsidRPr="00A31137">
        <w:t>1995, Rosenberger v. Rector, Univ. of Virginia, No. 94-329</w:t>
      </w:r>
    </w:p>
    <w:p w:rsidR="00A31137" w:rsidRPr="00A31137" w:rsidRDefault="00A31137" w:rsidP="00A31137">
      <w:r w:rsidRPr="00A31137">
        <w:t>In fact, Madison's own early legislative proposals cut against the dissent's suggestion. In 1776, when Virginia's Revolutionary Convention was drafting its Declaration of Rights, Madison prepared an amendment that would have disestablished the Anglican Church. This amendment (which went too far for the Convention, and was not adopted) is not nearly as sweeping as the dissent's version of disestablishment; Madison merely wanted the Convention to declare that "no man or class of men ought, on account of religion[,] to be invested with peculiar emoluments or privileges…. " Madison's Amendments to the Declaration of Rights (May 29-June 12, 1776), in 1 Papers of James Madison 174 (W. Hutchinson &amp; W. Rachal eds. 1962) (emphasis added). Likewise, Madison's Remonstrance stressed that "just government" is</w:t>
      </w:r>
    </w:p>
    <w:p w:rsidR="00A31137" w:rsidRPr="00A31137" w:rsidRDefault="00A31137" w:rsidP="00A31137">
      <w:r w:rsidRPr="00A31137">
        <w:t>1995, Rosenberger v. Rector, Univ. of Virginia, No. 94-329</w:t>
      </w:r>
    </w:p>
    <w:p w:rsidR="00A31137" w:rsidRPr="00A31137" w:rsidRDefault="00A31137" w:rsidP="00A31137">
      <w:r w:rsidRPr="00A31137">
        <w:t>best supported by protecting every citizen in the enjoyment of his Religion with the same equal hand which protects his person and his property; by neither invading the equal rights of any Sect, nor suffering any Sect to invade those of another.</w:t>
      </w:r>
    </w:p>
    <w:p w:rsidR="00A31137" w:rsidRPr="00A31137" w:rsidRDefault="00A31137" w:rsidP="00A31137">
      <w:r w:rsidRPr="00A31137">
        <w:t>1995, Rosenberger v. Rector, Univ. of Virginia, No. 94-329</w:t>
      </w:r>
    </w:p>
    <w:p w:rsidR="00A31137" w:rsidRPr="00A31137" w:rsidRDefault="00A31137" w:rsidP="00A31137">
      <w:r w:rsidRPr="00A31137">
        <w:t>Madison's Remonstrance ¶ 8, reprinted in Everson, supra at  68; cf. Terrett v. Taylor, 9 Cranch 43, 49 (1815) (holding that the Virginia constitution did not prevent the government from "aiding the votaries of every sect to…perform their own religious duties," or from "establishing funds for the support of ministers, for public charities, for the endowment of churches, or for the sepulture of the dead").</w:t>
      </w:r>
    </w:p>
    <w:p w:rsidR="00A31137" w:rsidRPr="00A31137" w:rsidRDefault="00A31137" w:rsidP="00A31137">
      <w:r w:rsidRPr="00A31137">
        <w:t>1995, Rosenberger v. Rector, Univ. of Virginia, No. 94-329</w:t>
      </w:r>
    </w:p>
    <w:p w:rsidR="00A31137" w:rsidRPr="00A31137" w:rsidRDefault="00A31137" w:rsidP="00A31137">
      <w:r w:rsidRPr="00A31137">
        <w:t>Stripped of its flawed historical premise, the dissent's argument is reduced to the claim that our Establishment Clause jurisprudence permits neutrality in the context of access to government facilities but requires discrimination in access to government funds. The dissent purports to locate the prohibition against "direct public funding" at the "heart" of the Establishment Clause, see post at ___, but this conclusion fails to confront historical examples of funding that date back to the time of the founding. To take but one famous example, both Houses of the First Congress elected chaplains, see S.Jour., 1st Cong., 1st Sess., 10 (1820 ed.); H.R.Jour., 1st Cong., 1st Sess., 26 (1826 ed.), and that Congress enacted legislation providing for an annual salary of $500 to be paid out of the Treasury, see Act of Sept. 22, 1789, ch. 17, § 4, 1 Stat. 70, 71. Madison himself was a member of the committee that recommended the chaplain system in the House. See H.R.Jour. at 11-12; 1 Annals of Cong. 891 (1789); Cord, supra at 25. This same system of "direct public funding" of congressional chaplains has "continued without interruption ever since that early session of Congress." Marsh v. Chambers, 463 U.S. 783,  788 (1983). 3</w:t>
      </w:r>
    </w:p>
    <w:p w:rsidR="00A31137" w:rsidRPr="00A31137" w:rsidRDefault="00A31137" w:rsidP="00A31137">
      <w:r w:rsidRPr="00A31137">
        <w:t>1995, Rosenberger v. Rector, Univ. of Virginia, No. 94-329</w:t>
      </w:r>
    </w:p>
    <w:p w:rsidR="00A31137" w:rsidRPr="00A31137" w:rsidRDefault="00A31137" w:rsidP="00A31137">
      <w:r w:rsidRPr="00A31137">
        <w:t>The historical evidence of government support for religious entities through property tax exemptions is also overwhelming. As the dissent concedes, property tax exemptions for religious bodies "have been in place for over 200 years without disruption to the interests represented by the Establishment Clause." Post at ___, n. 7 (citing Walz v. Tax Comm'n of New York City, 397 U.S. 664, 676-680 (1970)). 4 In my view, the dissent's acceptance of this tradition puts to rest the notion that the Establishment Clause bars monetary aid to religious groups even when the aid is equally available to other groups. A tax exemption in many cases is economically and functionally indistinguishable from a direct monetary subsidy. 5 In one instance, the government relieves religious entities (along with others) of a generally applicable tax; in the other, it relieves religious entities (along with others) of some or all of the burden of that tax by returning it in the form of a cash subsidy. Whether the benefit is provided at the front or back end of the taxation process, the financial aid to religious groups is undeniable. The analysis under the Establishment Clause must also be the same:</w:t>
      </w:r>
    </w:p>
    <w:p w:rsidR="00A31137" w:rsidRPr="00A31137" w:rsidRDefault="00A31137" w:rsidP="00A31137">
      <w:r w:rsidRPr="00A31137">
        <w:t>1995, Rosenberger v. Rector, Univ. of Virginia, No. 94-329</w:t>
      </w:r>
    </w:p>
    <w:p w:rsidR="00A31137" w:rsidRPr="00A31137" w:rsidRDefault="00A31137" w:rsidP="00A31137">
      <w:r w:rsidRPr="00A31137">
        <w:t>Few concepts are more deeply embedded in the fabric of our national life, beginning with pre-Revolutionary colonial times, than for the government to exercise at the very least this kind of benevolent neutrality toward churches and religious exercise….</w:t>
      </w:r>
    </w:p>
    <w:p w:rsidR="00A31137" w:rsidRPr="00A31137" w:rsidRDefault="00A31137" w:rsidP="00A31137">
      <w:r w:rsidRPr="00A31137">
        <w:t>1995, Rosenberger v. Rector, Univ. of Virginia, No. 94-329</w:t>
      </w:r>
    </w:p>
    <w:p w:rsidR="00A31137" w:rsidRPr="00A31137" w:rsidRDefault="00A31137" w:rsidP="00A31137">
      <w:r w:rsidRPr="00A31137">
        <w:t>Walz, supra, at 676-677.</w:t>
      </w:r>
    </w:p>
    <w:p w:rsidR="00A31137" w:rsidRPr="00A31137" w:rsidRDefault="00A31137" w:rsidP="00A31137">
      <w:r w:rsidRPr="00A31137">
        <w:t>1995, Rosenberger v. Rector, Univ. of Virginia, No. 94-329</w:t>
      </w:r>
    </w:p>
    <w:p w:rsidR="00A31137" w:rsidRPr="00A31137" w:rsidRDefault="00A31137" w:rsidP="00A31137">
      <w:r w:rsidRPr="00A31137">
        <w:t>Consistent application of the dissent's "no-aid" principle would require that "'a church could not be protected by the police and fire departments, or have its public sidewalk kept in repair.'" Zobrest v. Catalina Foothills School Dist., 509 U.S. ___, ___ (1993) (quoting Widmar v. Vincent, 454 U.S. 263, 274-275 (1981)). The dissent admits that "evenhandedness may become important to ensuring that religious interests are not inhibited." Post at ___, n. 5. Surely the dissent must concede, however, that the same result should obtain whether the government provides the populace with fire protection by reimbursing the costs of smoke detectors and overhead sprinkler systems or by establishing a public fire department. If churches may benefit on equal terms with other groups in the latter program—that is, if a public fire department may extinguish fires at churches—then they may also benefit on equal terms in the former program.</w:t>
      </w:r>
    </w:p>
    <w:p w:rsidR="00A31137" w:rsidRPr="00A31137" w:rsidRDefault="00A31137" w:rsidP="00A31137">
      <w:r w:rsidRPr="00A31137">
        <w:t>1995, Rosenberger v. Rector, Univ. of Virginia, No. 94-329</w:t>
      </w:r>
    </w:p>
    <w:p w:rsidR="00A31137" w:rsidRPr="00A31137" w:rsidRDefault="00A31137" w:rsidP="00A31137">
      <w:r w:rsidRPr="00A31137">
        <w:t>Though our Establishment Clause jurisprudence is in hopeless disarray, this case provides an opportunity to reaffirm one basic principle that has enjoyed an uncharacteristic degree of consensus: the Clause does not compel the exclusion of religious groups from government benefits programs that are generally available to a broad class of participants. See Lamb's Chapel v. Center Moriches Union Free School Dist., 508 U.S. ___ (1993); Zobrest, supra; Board of Ed. of Westside Community Schools (Dist. 66) v. Mergens, 496 U.S. 226 (1990); Texas Monthly, Inc. v. Bullock, 489 U.S. 1 (1989); Witters v. Washington Dept. of Services for Blind, 474 U.S. 481 (1986); Mueller v. Allen, 463 U.S. 388 (1983); Widmar, supra. Under the dissent's view, however, the University of Virginia may provide neutral access to the University's own printing press, but it may not provide the same service when the press is owned by a third party. Not surprisingly, the dissent offers no logical justification for this conclusion, and none is evident in the text or original meaning of the First Amendment.</w:t>
      </w:r>
    </w:p>
    <w:p w:rsidR="00A31137" w:rsidRPr="00A31137" w:rsidRDefault="00A31137" w:rsidP="00A31137">
      <w:r w:rsidRPr="00A31137">
        <w:t>1995, Rosenberger v. Rector, Univ. of Virginia, No. 94-329</w:t>
      </w:r>
    </w:p>
    <w:p w:rsidR="00A31137" w:rsidRPr="00A31137" w:rsidRDefault="00A31137" w:rsidP="00A31137">
      <w:r w:rsidRPr="00A31137">
        <w:t>If the Establishment Clause is offended when religious adherents benefit from neutral programs such as the University of Virginia's Student Activities Fund, it must also be offended when they receive the same benefits in the form of in-kind subsidies. The constitutional demands of the Establishment Clause may be judged against either a baseline of "neutrality" or a baseline of "no aid to religion," but the appropriate baseline surely cannot depend on the fortuitous circumstances surrounding the form of aid. The contrary rule would lead to absurd results that would jettison centuries of practice respecting the right of religious adherents to participate on neutral terms in a wide variety of government-funded programs.</w:t>
      </w:r>
    </w:p>
    <w:p w:rsidR="00A31137" w:rsidRPr="00A31137" w:rsidRDefault="00A31137" w:rsidP="00A31137">
      <w:r w:rsidRPr="00A31137">
        <w:t>1995, Rosenberger v. Rector, Univ. of Virginia, No. 94-329</w:t>
      </w:r>
    </w:p>
    <w:p w:rsidR="00A31137" w:rsidRPr="00A31137" w:rsidRDefault="00A31137" w:rsidP="00A31137">
      <w:r w:rsidRPr="00A31137">
        <w:t>Our Nation's tradition of allowing religious adherents to participate in evenhanded government programs is hardly limited to the class of "essential public benefits" identified by the dissent. See post at ___, n. 5. A broader tradition can be traced at least as far back as the First Congress, which ratified the Northwest Ordinance of 1787. See Act of Aug. 7, 1789, ch. 8, 1 Stat. 50. Article III of that famous enactment of the Confederation Congress had provided:</w:t>
      </w:r>
    </w:p>
    <w:p w:rsidR="00A31137" w:rsidRPr="00A31137" w:rsidRDefault="00A31137" w:rsidP="00A31137">
      <w:r w:rsidRPr="00A31137">
        <w:t>1995, Rosenberger v. Rector, Univ. of Virginia, No. 94-329</w:t>
      </w:r>
    </w:p>
    <w:p w:rsidR="00A31137" w:rsidRPr="00A31137" w:rsidRDefault="00A31137" w:rsidP="00A31137">
      <w:r w:rsidRPr="00A31137">
        <w:t>Religion, morality, and knowledge…being necessary to good government and the happiness of mankind, schools and the means of learning shall forever be encouraged.</w:t>
      </w:r>
    </w:p>
    <w:p w:rsidR="00A31137" w:rsidRPr="00A31137" w:rsidRDefault="00A31137" w:rsidP="00A31137">
      <w:r w:rsidRPr="00A31137">
        <w:t>1995, Rosenberger v. Rector, Univ. of Virginia, No. 94-329</w:t>
      </w:r>
    </w:p>
    <w:p w:rsidR="00A31137" w:rsidRPr="00A31137" w:rsidRDefault="00A31137" w:rsidP="00A31137">
      <w:r w:rsidRPr="00A31137">
        <w:t>Id. at 52, n. (a). Congress subsequently set aside federal lands in the Northwest Territory and other territories for the use of schools. See, e.g., Act of Mar. 3, 1803, ch. 21, § 1, 2 Stat. 225-226; Act of Mar. 26, 1804, ch. 35, § 5, 2 Stat. 279; Act of Feb. 15, 1811, ch. 14, § 10, 2 Stat. 621; Act of Apr. 18, 1818, ch. 67, § 6, 3 Stat. 430; Act of Apr. 20, 1818, ch. 126, § 2, 3 Stat. 467. Many of the schools that enjoyed the benefits of these land grants undoubtedly were church-affiliated sectarian institutions as there was no requirement that the schools be "public." See C. Antieau, A. Downey, &amp; E. Roberts, Freedom From Federal Establishment, Formation and Early History of the First Amendment Religion Clauses 163 (1964). Nevertheless, early Congresses found no problem with the provision of such neutral benefits. See also id. at 174 (noting that, "almost universally[,] Americans from 1789 to 1825 accepted and practiced governmental aid to religion and religiously oriented educational institutions").</w:t>
      </w:r>
    </w:p>
    <w:p w:rsidR="00A31137" w:rsidRPr="00A31137" w:rsidRDefault="00A31137" w:rsidP="00A31137">
      <w:r w:rsidRPr="00A31137">
        <w:t>1995, Rosenberger v. Rector, Univ. of Virginia, No. 94-329</w:t>
      </w:r>
    </w:p>
    <w:p w:rsidR="00A31137" w:rsidRPr="00A31137" w:rsidRDefault="00A31137" w:rsidP="00A31137">
      <w:r w:rsidRPr="00A31137">
        <w:t>Numerous other government benefits traditionally have been available to religious adherents on neutral terms. Several examples may be found in the work of early Congresses, including copyright protection for "the author and authors of any map, chart, book or books," Act of May 31, 1790, ch. 15, § 1, 1 Stat. 124, 124, and a privilege allowing "every printer of newspapers [to] send one paper to each and every other printer of newspapers within the United States, free of postage," Act of Feb. 20, 1792, ch. 7, § 21, 1 Stat. 232, 238. Neither of these laws made any exclusion for the numerous authors or printers who manifested a belief in or about a deity. Thus, history provides an answer for the constitutional question posed by this case, but it is not the one given by the dissent. The dissent identifies no evidence that the Framers intended to disable religious entities from participating on neutral terms in evenhanded government programs. The evidence that does exist points in the opposite direction, and provides ample support for today's decision.</w:t>
      </w:r>
    </w:p>
    <w:p w:rsidR="00A31137" w:rsidRPr="00A31137" w:rsidRDefault="00A31137" w:rsidP="00A31137">
      <w:r w:rsidRPr="00A31137">
        <w:t>SOUTER, J., dissenting</w:t>
      </w:r>
    </w:p>
    <w:p w:rsidR="00A31137" w:rsidRPr="00A31137" w:rsidRDefault="00A31137" w:rsidP="00A31137">
      <w:r w:rsidRPr="00A31137">
        <w:t>1995, Rosenberger v. Rector, Univ. of Virginia, No. 94-329</w:t>
      </w:r>
    </w:p>
    <w:p w:rsidR="00A31137" w:rsidRPr="00A31137" w:rsidRDefault="00A31137" w:rsidP="00A31137">
      <w:r w:rsidRPr="00A31137">
        <w:t>JUSTICE SOUTER, with whom JUSTICE STEVENS, JUSTICE GINSBURG and JUSTICE BREYER join, dissenting.</w:t>
      </w:r>
    </w:p>
    <w:p w:rsidR="00A31137" w:rsidRPr="00A31137" w:rsidRDefault="00A31137" w:rsidP="00A31137">
      <w:r w:rsidRPr="00A31137">
        <w:t>1995, Rosenberger v. Rector, Univ. of Virginia, No. 94-329</w:t>
      </w:r>
    </w:p>
    <w:p w:rsidR="00A31137" w:rsidRPr="00A31137" w:rsidRDefault="00A31137" w:rsidP="00A31137">
      <w:r w:rsidRPr="00A31137">
        <w:t>The Court today, for the first time, approves direct funding of core religious activities by an arm of the State. It does so, however, only after erroneous treatment of some familiar principles of law implementing the First Amendment's Establishment and Speech Clauses, and by viewing the very funds in question as beyond the reach of the Establishment Clause's funding restrictions as such. Because there is no warrant for distinguishing among public funding sources for purposes of applying the First Amendment's prohibition of religious establishment, I would hold that the University's refusal to support petitioners' religious activities is compelled by the Establishment Clause. I would therefore affirm.</w:t>
      </w:r>
    </w:p>
    <w:p w:rsidR="00A31137" w:rsidRPr="00A31137" w:rsidRDefault="00A31137" w:rsidP="00A31137">
      <w:r w:rsidRPr="00A31137">
        <w:t>I</w:t>
      </w:r>
    </w:p>
    <w:p w:rsidR="00A31137" w:rsidRPr="00A31137" w:rsidRDefault="00A31137" w:rsidP="00A31137">
      <w:r w:rsidRPr="00A31137">
        <w:t>1995, Rosenberger v. Rector, Univ. of Virginia, No. 94-329</w:t>
      </w:r>
    </w:p>
    <w:p w:rsidR="00A31137" w:rsidRPr="00A31137" w:rsidRDefault="00A31137" w:rsidP="00A31137">
      <w:r w:rsidRPr="00A31137">
        <w:t>The central question in this case is whether a grant from the Student Activities Fund to pay Wide Awake's printing expenses would violate the Establishment Clause. Although the Court does not dwell on the details of Wide Awake's message, it recognizes something sufficiently religious in the publication to demand Establishment Clause scrutiny. Although the Court places great stress on the eligibility of secular as well as religious activities for grants from the Student Activities Fund, it recognizes that such evenhanded availability is not, by itself, enough to satisfy constitutional requirements for any aid scheme that results in a benefit to religion. Ante at ___; see also ante at ___ (O'CONNOR, J., concurring). Something more is necessary to justify any religious aid. Some members of the Court at least, may think the funding permissible on a view that it is indirect, since the money goes to Wide Awake's printer, not through Wide Awake's own checking account. The Court's principal reliance, however, is on an argument that providing religion with economically valuable services is permissible on the theory that services are economically indistinguishable from religious access to governmental speech forums, which sometimes is permissible. But this reasoning would commit the Court to approving direct religious aid beyond anything justifiable for the sake of access to speaking forums. The Court implicitly recognizes this in its further attempt to circumvent the clear bar to direct governmental aid to religion. Different members of the Court seek to avoid this bar in different ways. The opinion of the Court makes the novel assumption that only direct aid financed with tax revenue is barred, and draws the erroneous conclusion that the involuntary Student Activities Fee is not a tax. I do not read JUSTICE O'CONNOR's opinion as sharing that assumption; she places this Student Activities Fund in a category of student funding enterprises from which religious activities in public universities may benefit, so long as there is no consequent endorsement of religion. The resulting decision is in unmistakable tension with the accepted law that the Court continues to avow.</w:t>
      </w:r>
    </w:p>
    <w:p w:rsidR="00A31137" w:rsidRPr="00A31137" w:rsidRDefault="00A31137" w:rsidP="00A31137">
      <w:r w:rsidRPr="00A31137">
        <w:t>A</w:t>
      </w:r>
    </w:p>
    <w:p w:rsidR="00A31137" w:rsidRPr="00A31137" w:rsidRDefault="00A31137" w:rsidP="00A31137">
      <w:r w:rsidRPr="00A31137">
        <w:t>1995, Rosenberger v. Rector, Univ. of Virginia, No. 94-329</w:t>
      </w:r>
    </w:p>
    <w:p w:rsidR="00A31137" w:rsidRPr="00A31137" w:rsidRDefault="00A31137" w:rsidP="00A31137">
      <w:r w:rsidRPr="00A31137">
        <w:t>The Court's difficulties will be all the more clear after a closer look at Wide Awake than the majority opinion affords. The character of the magazine is candidly disclosed on the opening page of the first issue, where the editor-in-chief announces Wide Awake's mission in a letter to the readership signed, "Love in Christ": it is</w:t>
      </w:r>
    </w:p>
    <w:p w:rsidR="00A31137" w:rsidRPr="00A31137" w:rsidRDefault="00A31137" w:rsidP="00A31137">
      <w:r w:rsidRPr="00A31137">
        <w:t>1995, Rosenberger v. Rector, Univ. of Virginia, No. 94-329</w:t>
      </w:r>
    </w:p>
    <w:p w:rsidR="00A31137" w:rsidRPr="00A31137" w:rsidRDefault="00A31137" w:rsidP="00A31137">
      <w:r w:rsidRPr="00A31137">
        <w:t>to challenge Christians to live, in word and deed, according to the faith they proclaim and to encourage students to consider what a personal relationship with Jesus Christ means.</w:t>
      </w:r>
    </w:p>
    <w:p w:rsidR="00A31137" w:rsidRPr="00A31137" w:rsidRDefault="00A31137" w:rsidP="00A31137">
      <w:r w:rsidRPr="00A31137">
        <w:t>1995, Rosenberger v. Rector, Univ. of Virginia, No. 94-329</w:t>
      </w:r>
    </w:p>
    <w:p w:rsidR="00A31137" w:rsidRPr="00A31137" w:rsidRDefault="00A31137" w:rsidP="00A31137">
      <w:r w:rsidRPr="00A31137">
        <w:t>App. 45. The masthead of every issue bears St. Paul's exhortation, that "[t]he hour has come for you to awake from your slumber, because our salvation is nearer now than when we first believed. Romans 13:11."</w:t>
      </w:r>
    </w:p>
    <w:p w:rsidR="00A31137" w:rsidRPr="00A31137" w:rsidRDefault="00A31137" w:rsidP="00A31137">
      <w:r w:rsidRPr="00A31137">
        <w:t>1995, Rosenberger v. Rector, Univ. of Virginia, No. 94-329</w:t>
      </w:r>
    </w:p>
    <w:p w:rsidR="00A31137" w:rsidRPr="00A31137" w:rsidRDefault="00A31137" w:rsidP="00A31137">
      <w:r w:rsidRPr="00A31137">
        <w:t>Each issue of Wide Awake contained in the record makes good on the editor's promise and echoes the Apostle's call to accept salvation:</w:t>
      </w:r>
    </w:p>
    <w:p w:rsidR="00A31137" w:rsidRPr="00A31137" w:rsidRDefault="00A31137" w:rsidP="00A31137">
      <w:r w:rsidRPr="00A31137">
        <w:t>1995, Rosenberger v. Rector, Univ. of Virginia, No. 94-329</w:t>
      </w:r>
    </w:p>
    <w:p w:rsidR="00A31137" w:rsidRPr="00A31137" w:rsidRDefault="00A31137" w:rsidP="00A31137">
      <w:r w:rsidRPr="00A31137">
        <w:t>The only way to salvation through Him is by confessing and repenting of sin. It is the Christian's duty to make sinners aware of their need for salvation. Thus, Christians must confront and condemn sin, or else they fail in their duty of love.</w:t>
      </w:r>
    </w:p>
    <w:p w:rsidR="00A31137" w:rsidRPr="00A31137" w:rsidRDefault="00A31137" w:rsidP="00A31137">
      <w:r w:rsidRPr="00A31137">
        <w:t>1995, Rosenberger v. Rector, Univ. of Virginia, No. 94-329</w:t>
      </w:r>
    </w:p>
    <w:p w:rsidR="00A31137" w:rsidRPr="00A31137" w:rsidRDefault="00A31137" w:rsidP="00A31137">
      <w:r w:rsidRPr="00A31137">
        <w:t>Mourad &amp; Prince, A Love/Hate Relationship, November/December 1990, p. 3.</w:t>
      </w:r>
    </w:p>
    <w:p w:rsidR="00A31137" w:rsidRPr="00A31137" w:rsidRDefault="00A31137" w:rsidP="00A31137">
      <w:r w:rsidRPr="00A31137">
        <w:t>1995, Rosenberger v. Rector, Univ. of Virginia, No. 94-329</w:t>
      </w:r>
    </w:p>
    <w:p w:rsidR="00A31137" w:rsidRPr="00A31137" w:rsidRDefault="00A31137" w:rsidP="00A31137">
      <w:r w:rsidRPr="00A31137">
        <w:t>When you get to the final gate, the Lord will be handing out boarding passes, and He will examine your ticket. If, in your lifetime, you did not request a seat on His Friendly Skies Flyer by trusting Him and asking Him to be your pilot, then you will not be on His list of reserved seats (and the Lord will know you not). You will not be able to buy a ticket then; no amount of money or desire will do the trick. You will be met by your chosen pilot and flown straight to Hell on an express jet (without air conditioning or toilets, of course).</w:t>
      </w:r>
    </w:p>
    <w:p w:rsidR="00A31137" w:rsidRPr="00A31137" w:rsidRDefault="00A31137" w:rsidP="00A31137">
      <w:r w:rsidRPr="00A31137">
        <w:t>1995, Rosenberger v. Rector, Univ. of Virginia, No. 94-329</w:t>
      </w:r>
    </w:p>
    <w:p w:rsidR="00A31137" w:rsidRPr="00A31137" w:rsidRDefault="00A31137" w:rsidP="00A31137">
      <w:r w:rsidRPr="00A31137">
        <w:t>Ace, The Plane Truth, id. at 3.</w:t>
      </w:r>
    </w:p>
    <w:p w:rsidR="00A31137" w:rsidRPr="00A31137" w:rsidRDefault="00A31137" w:rsidP="00A31137">
      <w:r w:rsidRPr="00A31137">
        <w:t>1995, Rosenberger v. Rector, Univ. of Virginia, No. 94-329</w:t>
      </w:r>
    </w:p>
    <w:p w:rsidR="00A31137" w:rsidRPr="00A31137" w:rsidRDefault="00A31137" w:rsidP="00A31137">
      <w:r w:rsidRPr="00A31137">
        <w:t>"Go into all the world and preach the good news to all creation." (Mark 16:15) The Great Commission is the prime directive for our lives as Christians….</w:t>
      </w:r>
    </w:p>
    <w:p w:rsidR="00A31137" w:rsidRPr="00A31137" w:rsidRDefault="00A31137" w:rsidP="00A31137">
      <w:r w:rsidRPr="00A31137">
        <w:t>1995, Rosenberger v. Rector, Univ. of Virginia, No. 94-329</w:t>
      </w:r>
    </w:p>
    <w:p w:rsidR="00A31137" w:rsidRPr="00A31137" w:rsidRDefault="00A31137" w:rsidP="00A31137">
      <w:r w:rsidRPr="00A31137">
        <w:t>Liu, Christianity and the Five-legged Stool, September/October 1991, p. 3.</w:t>
      </w:r>
    </w:p>
    <w:p w:rsidR="00A31137" w:rsidRPr="00A31137" w:rsidRDefault="00A31137" w:rsidP="00A31137">
      <w:r w:rsidRPr="00A31137">
        <w:t>1995, Rosenberger v. Rector, Univ. of Virginia, No. 94-329</w:t>
      </w:r>
    </w:p>
    <w:p w:rsidR="00A31137" w:rsidRPr="00A31137" w:rsidRDefault="00A31137" w:rsidP="00A31137">
      <w:r w:rsidRPr="00A31137">
        <w:t>The Spirit provides access to an intimate relationship with the Lord of the Universe, awakens our minds to comprehend spiritual truth and empowers us to serve as effective ambassadors for the Lord Jesus in our earthly lives.</w:t>
      </w:r>
    </w:p>
    <w:p w:rsidR="00A31137" w:rsidRPr="00A31137" w:rsidRDefault="00A31137" w:rsidP="00A31137">
      <w:r w:rsidRPr="00A31137">
        <w:t>1995, Rosenberger v. Rector, Univ. of Virginia, No. 94-329</w:t>
      </w:r>
    </w:p>
    <w:p w:rsidR="00A31137" w:rsidRPr="00A31137" w:rsidRDefault="00A31137" w:rsidP="00A31137">
      <w:r w:rsidRPr="00A31137">
        <w:t>Buterbaugh, A Spiritual Advantage, March/April 1991, p. 21.</w:t>
      </w:r>
    </w:p>
    <w:p w:rsidR="00A31137" w:rsidRPr="00A31137" w:rsidRDefault="00A31137" w:rsidP="00A31137">
      <w:r w:rsidRPr="00A31137">
        <w:t>1995, Rosenberger v. Rector, Univ. of Virginia, No. 94-329</w:t>
      </w:r>
    </w:p>
    <w:p w:rsidR="00A31137" w:rsidRPr="00A31137" w:rsidRDefault="00A31137" w:rsidP="00A31137">
      <w:r w:rsidRPr="00A31137">
        <w:t>There is no need to quote further from articles of like tenor, but one could examine such other examples as religious poetry, see Macpherson, I Have Started Searching for Angels, November/December 1990, p. 18; religious textual analysis and commentary, see Buterbaugh, Colossians 1:1-14: Abundant Life, id. at 20; Buterbaugh, John 14-16: A Spiritual Advantage, March/April, pp. 20-21; and instruction on religious practice, see Early, Thanksgiving and Prayer, November/December 1990, p. 21 (providing readers with suggested prayers and posing contemplative questions about biblical texts); Early, Hope and Spirit, March/April 1991, p. 21 (similar).</w:t>
      </w:r>
    </w:p>
    <w:p w:rsidR="00A31137" w:rsidRPr="00A31137" w:rsidRDefault="00A31137" w:rsidP="00A31137">
      <w:r w:rsidRPr="00A31137">
        <w:t>1995, Rosenberger v. Rector, Univ. of Virginia, No. 94-329</w:t>
      </w:r>
    </w:p>
    <w:p w:rsidR="00A31137" w:rsidRPr="00A31137" w:rsidRDefault="00A31137" w:rsidP="00A31137">
      <w:r w:rsidRPr="00A31137">
        <w:t>Even featured essays on facially secular topics become platforms from which to call readers to fulfill the tenets of Christianity in their lives. Although a piece on racism has some general discussion on the subject, it proceeds beyond even the analysis and interpretation of biblical texts to conclude with the counsel to take action because that is the Christian thing to do:</w:t>
      </w:r>
    </w:p>
    <w:p w:rsidR="00A31137" w:rsidRPr="00A31137" w:rsidRDefault="00A31137" w:rsidP="00A31137">
      <w:r w:rsidRPr="00A31137">
        <w:t>1995, Rosenberger v. Rector, Univ. of Virginia, No. 94-329</w:t>
      </w:r>
    </w:p>
    <w:p w:rsidR="00A31137" w:rsidRPr="00A31137" w:rsidRDefault="00A31137" w:rsidP="00A31137">
      <w:r w:rsidRPr="00A31137">
        <w:t>God calls us to take the risks of voluntarily stepping out of our comfort zones and to take joy in the whole richness of our inheritance in the body of Christ. We must take the love we receive from God and share it with all peoples of the world.</w:t>
      </w:r>
    </w:p>
    <w:p w:rsidR="00A31137" w:rsidRPr="00A31137" w:rsidRDefault="00A31137" w:rsidP="00A31137">
      <w:r w:rsidRPr="00A31137">
        <w:t>1995, Rosenberger v. Rector, Univ. of Virginia, No. 94-329</w:t>
      </w:r>
    </w:p>
    <w:p w:rsidR="00A31137" w:rsidRPr="00A31137" w:rsidRDefault="00A31137" w:rsidP="00A31137">
      <w:r w:rsidRPr="00A31137">
        <w:t>Racism is a disease of the heart, soul, and mind, and only when it is extirpated from the individual consciousness and replaced with the love and peace of God will true personal and communal healing begin.</w:t>
      </w:r>
    </w:p>
    <w:p w:rsidR="00A31137" w:rsidRPr="00A31137" w:rsidRDefault="00A31137" w:rsidP="00A31137">
      <w:r w:rsidRPr="00A31137">
        <w:t>1995, Rosenberger v. Rector, Univ. of Virginia, No. 94-329</w:t>
      </w:r>
    </w:p>
    <w:p w:rsidR="00A31137" w:rsidRPr="00A31137" w:rsidRDefault="00A31137" w:rsidP="00A31137">
      <w:r w:rsidRPr="00A31137">
        <w:t>Liu, et al., "Eracing" Mistakes, November/December 1990, p. 14. The same progression occurs in an article on eating disorders, which begins with descriptions of anorexia and bulimia and ends with this religious message:</w:t>
      </w:r>
    </w:p>
    <w:p w:rsidR="00A31137" w:rsidRPr="00A31137" w:rsidRDefault="00A31137" w:rsidP="00A31137">
      <w:r w:rsidRPr="00A31137">
        <w:t>1995, Rosenberger v. Rector, Univ. of Virginia, No. 94-329</w:t>
      </w:r>
    </w:p>
    <w:p w:rsidR="00A31137" w:rsidRPr="00A31137" w:rsidRDefault="00A31137" w:rsidP="00A31137">
      <w:r w:rsidRPr="00A31137">
        <w:t>As thinking people who profess a belief in God, we must grasp firmly the truth, the reality of who we are because of Christ. Christ is the Bread of Life (John 6:35). Through Him, we are full. He alone can provide the ultimate source of spiritual fulfillment which permeates the emotional, psychological, and physical dimensions of our lives.</w:t>
      </w:r>
    </w:p>
    <w:p w:rsidR="00A31137" w:rsidRPr="00A31137" w:rsidRDefault="00A31137" w:rsidP="00A31137">
      <w:r w:rsidRPr="00A31137">
        <w:t>1995, Rosenberger v. Rector, Univ. of Virginia, No. 94-329</w:t>
      </w:r>
    </w:p>
    <w:p w:rsidR="00A31137" w:rsidRPr="00A31137" w:rsidRDefault="00A31137" w:rsidP="00A31137">
      <w:r w:rsidRPr="00A31137">
        <w:t>Ferguson &amp; Lassiter, From Calorie to Calvary, September/October 1991, p. 14.</w:t>
      </w:r>
    </w:p>
    <w:p w:rsidR="00A31137" w:rsidRPr="00A31137" w:rsidRDefault="00A31137" w:rsidP="00A31137">
      <w:r w:rsidRPr="00A31137">
        <w:t>1995, Rosenberger v. Rector, Univ. of Virginia, No. 94-329</w:t>
      </w:r>
    </w:p>
    <w:p w:rsidR="00A31137" w:rsidRPr="00A31137" w:rsidRDefault="00A31137" w:rsidP="00A31137">
      <w:r w:rsidRPr="00A31137">
        <w:t>This writing is no merely descriptive examination of religious doctrine or even of ideal Christian practice in confronting life's social and personal problems. Nor is it merely the expression of editorial opinion that incidentally coincides with Christian ethics and reflects a Christian view of human obligation. It is straightforward exhortation to enter into a relationship with God as revealed in Jesus Christ, and to satisfy a series of moral obligations derived from the teachings of Jesus Christ. These are not the words of "student news, information, opinion, entertainment, or academic communicatio[n]…" (in the language of the University's funding criterion, App. to Pet. for Cert. 61a), but the words of "challenge [to] Christians to live, in word and deed, according to the faith they proclaim and…to consider what a personal relationship with Jesus Christ means" (in the language of Wide Awake's founder, App. 45). The subject is not the discourse of the scholar's study or the seminar room, but of the evangelist's mission station and the pulpit. It is nothing other than the preaching of the word, which (along with the sacraments) is what most branches of Christianity offer those called to the religious life.</w:t>
      </w:r>
    </w:p>
    <w:p w:rsidR="00A31137" w:rsidRPr="00A31137" w:rsidRDefault="00A31137" w:rsidP="00A31137">
      <w:r w:rsidRPr="00A31137">
        <w:t>1995, Rosenberger v. Rector, Univ. of Virginia, No. 94-329</w:t>
      </w:r>
    </w:p>
    <w:p w:rsidR="00A31137" w:rsidRPr="00A31137" w:rsidRDefault="00A31137" w:rsidP="00A31137">
      <w:r w:rsidRPr="00A31137">
        <w:t>Using public funds for the direct subsidization of preaching the word is categorically forbidden under the Establishment Clause, and if the Clause was meant to accomplish nothing else, it was meant to bar this use of public money. Evidence on the subject antedates even the Bill of Rights itself, as may be seen in the writings of Madison, whose authority on questions about the meaning of the Establishment Clause is well settled, e.g., Committee for Public Ed. &amp; Religious Liberty v. Nyquist, 413 U.S. 756,  770, n. 28 (1973); Everson v. Board of Ed. of Ewing, 330 U.S. 1,  13 (1947). Four years before the First Congress proposed the First Amendment, Madison gave his opinion on the legitimacy of using public funds for religious purposes, in the Memorial and Remonstrance Against Religious Assessments, which played the central role in ensuring the defeat of the Virginia tax assessment bill in 1786 and framed the debate upon which the Religion Clauses stand:</w:t>
      </w:r>
    </w:p>
    <w:p w:rsidR="00A31137" w:rsidRPr="00A31137" w:rsidRDefault="00A31137" w:rsidP="00A31137">
      <w:r w:rsidRPr="00A31137">
        <w:t>1995, Rosenberger v. Rector, Univ. of Virginia, No. 94-329</w:t>
      </w:r>
    </w:p>
    <w:p w:rsidR="00A31137" w:rsidRPr="00A31137" w:rsidRDefault="00A31137" w:rsidP="00A31137">
      <w:r w:rsidRPr="00A31137">
        <w:t>Who does not see that…the same authority which can force a citizen to contribute three pence only of his property for the support of any one establishment, may force him to conform to any other establishment in all cases whatsoever?</w:t>
      </w:r>
    </w:p>
    <w:p w:rsidR="00A31137" w:rsidRPr="00A31137" w:rsidRDefault="00A31137" w:rsidP="00A31137">
      <w:r w:rsidRPr="00A31137">
        <w:t>1995, Rosenberger v. Rector, Univ. of Virginia, No. 94-329</w:t>
      </w:r>
    </w:p>
    <w:p w:rsidR="00A31137" w:rsidRPr="00A31137" w:rsidRDefault="00A31137" w:rsidP="00A31137">
      <w:r w:rsidRPr="00A31137">
        <w:t>James Madison, Memorial and Remonstrance Against Religious Assessments ¶ 3 (hereinafter Madison's Remonstrance), reprinted in Everson, supra at 65-66 (appendix to dissent of Rutledge, J.).</w:t>
      </w:r>
    </w:p>
    <w:p w:rsidR="00A31137" w:rsidRPr="00A31137" w:rsidRDefault="00A31137" w:rsidP="00A31137">
      <w:r w:rsidRPr="00A31137">
        <w:t>1995, Rosenberger v. Rector, Univ. of Virginia, No. 94-329</w:t>
      </w:r>
    </w:p>
    <w:p w:rsidR="00A31137" w:rsidRPr="00A31137" w:rsidRDefault="00A31137" w:rsidP="00A31137">
      <w:r w:rsidRPr="00A31137">
        <w:t>Madison wrote against a background in which nearly every Colony had exacted a tax for church support, Everson, supra, at  10, n. 8, the practice having become "so commonplace as to shock the freedom-loving colonials into a feeling of abhorrence," 330 U.S. at  11 (footnote omitted). Madison's Remonstrance captured the colonists'</w:t>
      </w:r>
    </w:p>
    <w:p w:rsidR="00A31137" w:rsidRPr="00A31137" w:rsidRDefault="00A31137" w:rsidP="00A31137">
      <w:r w:rsidRPr="00A31137">
        <w:t>1995, Rosenberger v. Rector, Univ. of Virginia, No. 94-329</w:t>
      </w:r>
    </w:p>
    <w:p w:rsidR="00A31137" w:rsidRPr="00A31137" w:rsidRDefault="00A31137" w:rsidP="00A31137">
      <w:r w:rsidRPr="00A31137">
        <w:t>conviction that individual religious liberty could be achieved best under a government which was stripped of all power to tax, to support, or otherwise to assist any or all religions, or to interfere with the beliefs of any religious individual or group.</w:t>
      </w:r>
    </w:p>
    <w:p w:rsidR="00A31137" w:rsidRPr="00A31137" w:rsidRDefault="00A31137" w:rsidP="00A31137">
      <w:r w:rsidRPr="00A31137">
        <w:t>1995, Rosenberger v. Rector, Univ. of Virginia, No. 94-329</w:t>
      </w:r>
    </w:p>
    <w:p w:rsidR="00A31137" w:rsidRPr="00A31137" w:rsidRDefault="00A31137" w:rsidP="00A31137">
      <w:r w:rsidRPr="00A31137">
        <w:t>Ibid. 1 Their sentiment as expressed by Madison in Virginia, led not only to the defeat of Virginia's tax assessment bill, but also directly to passage of the Virginia Bill for Establishing Religious Freedom, written by Thomas Jefferson. That bill's preamble declared that</w:t>
      </w:r>
    </w:p>
    <w:p w:rsidR="00A31137" w:rsidRPr="00A31137" w:rsidRDefault="00A31137" w:rsidP="00A31137">
      <w:r w:rsidRPr="00A31137">
        <w:t>1995, Rosenberger v. Rector, Univ. of Virginia, No. 94-329</w:t>
      </w:r>
    </w:p>
    <w:p w:rsidR="00A31137" w:rsidRPr="00A31137" w:rsidRDefault="00A31137" w:rsidP="00A31137">
      <w:r w:rsidRPr="00A31137">
        <w:t>to compel a man to furnish contributions of money for the propagation of opinions which he disbelieves, is sinful and tyrannical,</w:t>
      </w:r>
    </w:p>
    <w:p w:rsidR="00A31137" w:rsidRPr="00A31137" w:rsidRDefault="00A31137" w:rsidP="00A31137">
      <w:r w:rsidRPr="00A31137">
        <w:t>1995, Rosenberger v. Rector, Univ. of Virginia, No. 94-329</w:t>
      </w:r>
    </w:p>
    <w:p w:rsidR="00A31137" w:rsidRPr="00A31137" w:rsidRDefault="00A31137" w:rsidP="00A31137">
      <w:r w:rsidRPr="00A31137">
        <w:t>Jefferson, A Bill for Establishing Religious Freedom, reprinted in 5 The Founder's Constitution 84-85 (P. Kurland &amp; R. Lerner eds. 1987), and its text provided "[t]hat no man shall be compelled to frequent or support any religious worship, place, or ministry whatsoever…. ," ibid. See generally Everson, supra, at  13. We have</w:t>
      </w:r>
    </w:p>
    <w:p w:rsidR="00A31137" w:rsidRPr="00A31137" w:rsidRDefault="00A31137" w:rsidP="00A31137">
      <w:r w:rsidRPr="00A31137">
        <w:t>1995, Rosenberger v. Rector, Univ. of Virginia, No. 94-329</w:t>
      </w:r>
    </w:p>
    <w:p w:rsidR="00A31137" w:rsidRPr="00A31137" w:rsidRDefault="00A31137" w:rsidP="00A31137">
      <w:r w:rsidRPr="00A31137">
        <w:t>previously recognized that the provisions of the First Amendment, in the drafting and adoption of which Madison and Jefferson played such leading roles, had the same objective and were intended to provide the same protection against governmental intrusion on religious liberty as the Virginia statute.</w:t>
      </w:r>
    </w:p>
    <w:p w:rsidR="00A31137" w:rsidRPr="00A31137" w:rsidRDefault="00A31137" w:rsidP="00A31137">
      <w:r w:rsidRPr="00A31137">
        <w:t>1995, Rosenberger v. Rector, Univ. of Virginia, No. 94-329</w:t>
      </w:r>
    </w:p>
    <w:p w:rsidR="00A31137" w:rsidRPr="00A31137" w:rsidRDefault="00A31137" w:rsidP="00A31137">
      <w:r w:rsidRPr="00A31137">
        <w:t>Ibid.; see also Laycock, "Nonpreferential" Aid to Religion: A False Claim About Original Intent, 27 Wm. &amp; Mary L.Rev. 875, 921, 923 (1986) ("[I]f the debates of the 1780's support any proposition, it is that the Framers opposed government financial support for religion…. They did not substitute small taxes for large taxes; three pence was as bad as any larger sum. The principle was what mattered. With respect to money, religion was to be wholly voluntary. Churches either would support themselves or they would not, but the government would neither help nor interfere") (footnote omitted); T. Curry, The First Freedoms 217 (1986) (At the time of the framing of the Bill of Rights, "[t]he belief that government assistance to religion, especially in the form of taxes, violated religious liberty had a long history"); J. Choper, Securing Religious Liberty 16 (1995) ("There is broad consensus that a central threat to the religious freedom of individuals and groups—indeed, in the judgment of many, the most serious infringement upon religious liberty—is posed by forcing them to pay taxes in support of a religious establishment or religious activities") (footnotes omitted; internal quotation marks omitted). 2</w:t>
      </w:r>
    </w:p>
    <w:p w:rsidR="00A31137" w:rsidRPr="00A31137" w:rsidRDefault="00A31137" w:rsidP="00A31137">
      <w:r w:rsidRPr="00A31137">
        <w:t>1995, Rosenberger v. Rector, Univ. of Virginia, No. 94-329</w:t>
      </w:r>
    </w:p>
    <w:p w:rsidR="00A31137" w:rsidRPr="00A31137" w:rsidRDefault="00A31137" w:rsidP="00A31137">
      <w:r w:rsidRPr="00A31137">
        <w:t>The principle against direct funding with public money is patently violated by the contested use of today's student activity fee. 3 Like today's taxes generally, the fee is Madison's threepence. The University exercises the power of the State to compel a student to pay it, see Jefferson's Preamble, supra, and the use of any part of it for the direct support of religious activity thus strikes at what we have repeatedly held to be the heart of the prohibition on establishment. Everson, 330 U.S. at 15-16 ("The 'establishment of religion clause'…means at least this….   No tax in any amount, large or small, can be levied to support any religious activities or institutions, whatever they may be called, or whatever form they may adopt to teach or practice religion"); see School Dist. of Grand Rapids v. Ball, 473 U.S. 373,  385 (1985) ("Although Establishment Clause jurisprudence is characterized by few absolutes, the Clause does absolutely prohibit government-financed or government-sponsored indoctrination into the beliefs of a particular religious faith"); Committee for Public Education v. Nyquist, 413 U.S. at  780 ("In the absence of an effective means of guaranteeing that the state aid derived from public funds will be used exclusively for secular, neutral, and nonideological purposes, it is clear from our cases that direct aid in whatever form is invalid"); id. at  772 ("Primary among those evils" against which the Establishment Clause guards "have been sponsorship, financial support, and active involvement of the sovereign in religious activity") (citations and internal quotation marks omitted); see also Lee v. Weisman, 505 U.S. ___ (1992) (SCALIA, J., dissenting) ("The coercion that was a hallmark of historical establishments of religion was coercion of religious orthodoxy and of financial support by force of law and threat of penalty") (emphasis omitted); cf. Flast v. Cohen, 392 U.S. 83, 103-104 (1968) (holding that taxpayers have an adequate stake in the outcome of Establishment Clause litigation to satisfy Article III standing requirements, after stating that "[o]ur history vividly illustrates that one of the specific evils feared by those who drafted the Establishment Clause and fought for its adoption was that the taxing and spending power would be used to favor one religion over another or to support religion in general").</w:t>
      </w:r>
    </w:p>
    <w:p w:rsidR="00A31137" w:rsidRPr="00A31137" w:rsidRDefault="00A31137" w:rsidP="00A31137">
      <w:r w:rsidRPr="00A31137">
        <w:t>1995, Rosenberger v. Rector, Univ. of Virginia, No. 94-329</w:t>
      </w:r>
    </w:p>
    <w:p w:rsidR="00A31137" w:rsidRPr="00A31137" w:rsidRDefault="00A31137" w:rsidP="00A31137">
      <w:r w:rsidRPr="00A31137">
        <w:t>The Court, accordingly, has never before upheld direct state funding of the sort of proselytizing published in Wide Awake and, in fact, has categorically condemned state programs directly aiding religious activity, School Dist. v. Ball, supra at  395 (striking programs providing secular instruction to nonpublic school students on nonpublic school premises because they are "indistinguishable from the provision of a direct cash subsidy to the religious school that is most clearly prohibited under the Establishment Clause"); Wolman v. Walter, 433 U.S. 229, 254 (1977) (striking field trip aid program because it constituted "an impermissible direct aid to sectarian education"); Meek v. Pittenger, 421 U.S. 349,  365 (1975) (striking material and equipment loan program to nonpublic schools because of the inability to "channe[l] aid to the secular without providing direct aid to the sectarian"); Committee for Public Education v. Nyquist, supra at  774 (striking aid to nonpublic schools for maintenance and repair of facilities because "[n]o attempt is made to restrict payments to those expenditures related to the upkeep of facilities used exclusively for secular purposes"); Levitt v. Committee for Public Ed. &amp; Religious Liberty, 413 U.S. 472, 480 (1973) (striking aid to nonpublic schools for state-mandated tests because the state had failed to "assure that the state-supported activity is not being used for religious indoctrination"); Tilton v. Richardson, 403 U.S. 672,  683 (1971) (plurality opinion) (striking as insufficient a 20-year limit on prohibition for religious use in federal construction program for university facilities because unrestricted use even after 20 years "is in effect a contribution of some value to a religious body"); id. at  689 (Douglas, Black, and Marshall, JJ., concurring in part and dissenting in part).</w:t>
      </w:r>
    </w:p>
    <w:p w:rsidR="00A31137" w:rsidRPr="00A31137" w:rsidRDefault="00A31137" w:rsidP="00A31137">
      <w:r w:rsidRPr="00A31137">
        <w:t>1995, Rosenberger v. Rector, Univ. of Virginia, No. 94-329</w:t>
      </w:r>
    </w:p>
    <w:p w:rsidR="00A31137" w:rsidRPr="00A31137" w:rsidRDefault="00A31137" w:rsidP="00A31137">
      <w:r w:rsidRPr="00A31137">
        <w:t>Even when the Court has upheld aid to an institution performing both secular and sectarian functions, it has always made a searching enquiry to ensure that the institution kept the secular activities separate from its sectarian ones, with any direct aid flowing only to the former and never the latter. Bowen v. Kendrick, 487 U.S. 589, 614-615 (1988) (upholding grant program for services related to premarital adolescent sexual relations on ground that funds cannot be "used by the grantees in such a way as to advance religion"); Roemer v. Board of Pub. Works of Md., 426 U.S. 736, 746-748,  755, 759-761 (1976) (plurality opinion) (upholding general aid program restricting uses of funds to secular activities only); Hunt v. McNair, 413 U.S. 734, 742-745 (1973) (upholding general revenue bond program excluding from participation facilities used for religious purposes); Tilton v. Richardson, supra at 679-682 (plurality opinion) (upholding general aid program for construction of academic facilities as "[t]here is no evidence that religion seeps into the use of any of these facilities"); see Board of Ed. of Central School Dist No. 1 v. Allen, 392 U.S. 236, 244-248 (1968) (upholding textbook loan program limited to secular books requested by individual students for secular educational purposes).</w:t>
      </w:r>
    </w:p>
    <w:p w:rsidR="00A31137" w:rsidRPr="00A31137" w:rsidRDefault="00A31137" w:rsidP="00A31137">
      <w:r w:rsidRPr="00A31137">
        <w:t>1995, Rosenberger v. Rector, Univ. of Virginia, No. 94-329</w:t>
      </w:r>
    </w:p>
    <w:p w:rsidR="00A31137" w:rsidRPr="00A31137" w:rsidRDefault="00A31137" w:rsidP="00A31137">
      <w:r w:rsidRPr="00A31137">
        <w:t>Reasonable minds may differ over whether the Court reached the correct result in each of these cases, but their common principle has never been questioned or repudiated.</w:t>
      </w:r>
    </w:p>
    <w:p w:rsidR="00A31137" w:rsidRPr="00A31137" w:rsidRDefault="00A31137" w:rsidP="00A31137">
      <w:r w:rsidRPr="00A31137">
        <w:t>1995, Rosenberger v. Rector, Univ. of Virginia, No. 94-329</w:t>
      </w:r>
    </w:p>
    <w:p w:rsidR="00A31137" w:rsidRPr="00A31137" w:rsidRDefault="00A31137" w:rsidP="00A31137">
      <w:r w:rsidRPr="00A31137">
        <w:t>Although Establishment Clause jurisprudence is characterized by few absolutes, the Clause does absolutely prohibit government-financed…indoctrination into the beliefs of a particular religious faith.</w:t>
      </w:r>
    </w:p>
    <w:p w:rsidR="00A31137" w:rsidRPr="00A31137" w:rsidRDefault="00A31137" w:rsidP="00A31137">
      <w:r w:rsidRPr="00A31137">
        <w:t>1995, Rosenberger v. Rector, Univ. of Virginia, No. 94-329</w:t>
      </w:r>
    </w:p>
    <w:p w:rsidR="00A31137" w:rsidRPr="00A31137" w:rsidRDefault="00A31137" w:rsidP="00A31137">
      <w:r w:rsidRPr="00A31137">
        <w:t>School Dist. v. Ball, 473 U.S. at  385.</w:t>
      </w:r>
    </w:p>
    <w:p w:rsidR="00A31137" w:rsidRPr="00A31137" w:rsidRDefault="00A31137" w:rsidP="00A31137">
      <w:r w:rsidRPr="00A31137">
        <w:t>B</w:t>
      </w:r>
    </w:p>
    <w:p w:rsidR="00A31137" w:rsidRPr="00A31137" w:rsidRDefault="00A31137" w:rsidP="00A31137">
      <w:r w:rsidRPr="00A31137">
        <w:t>1995, Rosenberger v. Rector, Univ. of Virginia, No. 94-329</w:t>
      </w:r>
    </w:p>
    <w:p w:rsidR="00A31137" w:rsidRPr="00A31137" w:rsidRDefault="00A31137" w:rsidP="00A31137">
      <w:r w:rsidRPr="00A31137">
        <w:t>Why does the Court not apply this clear law to these clear facts and conclude, as I do, that the funding scheme here is a clear constitutional violation?   The answer must be in part that the Court fails to confront the evidence set out in the preceding section. Throughout its opinion, the Court refers uninformatively to Wide Awake's "Christian viewpoint," ante at ___, or its "religious perspective," ante at ___, and in distinguishing funding of Wide Awake from the funding of a church, the Court maintains that "[Wide Awake] is not a religious institution at least in the usual sense," ante at ___; 4 see also ante at ___. The Court does not quote the magazine's adoption of Saint Paul's exhortation to awaken to the nearness of salvation, or any of its articles enjoining readers to accept Jesus Christ, or the religious verses, or the religious textual analyses, or the suggested prayers. And so it is easy for the Court to lose sight of what the University students and the Court of Appeals found so obvious, and to blanch the patently and frankly evangelistic character of the magazine by unrevealing allusions to religious points of view.</w:t>
      </w:r>
    </w:p>
    <w:p w:rsidR="00A31137" w:rsidRPr="00A31137" w:rsidRDefault="00A31137" w:rsidP="00A31137">
      <w:r w:rsidRPr="00A31137">
        <w:t>1995, Rosenberger v. Rector, Univ. of Virginia, No. 94-329</w:t>
      </w:r>
    </w:p>
    <w:p w:rsidR="00A31137" w:rsidRPr="00A31137" w:rsidRDefault="00A31137" w:rsidP="00A31137">
      <w:r w:rsidRPr="00A31137">
        <w:t>Nevertheless, even without the encumbrance of detail from Wide Awake's actual pages, the Court finds something sufficiently religious about the magazine to require examination under the Establishment Clause, and one may therefore ask why the unequivocal prohibition on direct funding does not lead the Court to conclude that funding would be unconstitutional. The answer is that the Court focuses on a subsidiary body of law, which it correctly states but ultimately misapplies. That subsidiary body of law accounts for the Court's substantial attention to the fact that the University's funding scheme is "neutral," in the formal sense that it makes funds available on an evenhanded basis to secular and sectarian applicants alike. Ante at ___. While this is indeed true and relevant under our cases, it does not alone satisfy the requirements of the Establishment Clause, as the Court recognizes when it says that evenhandedness is only a "significant factor" in certain Establishment Clause analysis, not a dispositive one. Ante at ___; see ante at ___; see also ante at ___ (O'CONNOR, J., concurring); id. at ___ ("Neutrality, in both form and effect, is one hallmark of the Establishment Clause"); Capitol Square Review and Advisory Board v. Pinette, ___ U.S. ___, ___ (O'CONNOR, J., concurring in part and concurring in the judgment) ("the Establishment Clause forbids a State from hiding behind the application of formally neutral criteria and remaining studiously oblivious to the effects of its actions…. [N]ot all State policies are permissible under the Religion Clauses simply because they are neutral in form"). This recognition reflects the Court's appreciation of two general rules: that whenever affirmative government aid ultimately benefits religion, the Establishment Clause requires some justification beyond evenhandedness on the government's part; and that direct public funding of core sectarian activities, even if accomplished pursuant to an evenhanded program, would be entirely inconsistent with the Establishment Clause, and would strike at the very heart of the Clause's protection. See ante at ___ ("We do not confront a case where, even under a neutral program that includes nonsectarian recipients, the government is making direct money payments to an institution or group that is engaged in religious activity"); ante at ___; see also ante at ___ (O'CONNOR, J., concurring) ("[Our] decisions…provide no precedent for the use of public funds to finance religious activities").</w:t>
      </w:r>
    </w:p>
    <w:p w:rsidR="00A31137" w:rsidRPr="00A31137" w:rsidRDefault="00A31137" w:rsidP="00A31137">
      <w:r w:rsidRPr="00A31137">
        <w:t>1995, Rosenberger v. Rector, Univ. of Virginia, No. 94-329</w:t>
      </w:r>
    </w:p>
    <w:p w:rsidR="00A31137" w:rsidRPr="00A31137" w:rsidRDefault="00A31137" w:rsidP="00A31137">
      <w:r w:rsidRPr="00A31137">
        <w:t>In order to understand how the Court thus begins with sound rules but ends with an unsound result, it is necessary to explore those rules in greater detail than the Court does.   As the foregoing quotations from the Court's opinion indicate, the relationship between the prohibition on direct aid and the requirement of evenhandedness when affirmative government aid does result in some benefit to religion reflects the relationship between basic rule and marginal criterion. At the heart of the Establishment Clause stands the prohibition against direct public funding, but that prohibition does not answer the questions that occur at the margins of the Clause's application. Is any government activity that provides any incidental benefit to religion likewise unconstitutional? Would it be wrong to put out fires in burning churches, wrong to pay the bus fares of students on the way to parochial schools, wrong to allow a grantee of special education funds to spend them at a religious college? These are the questions that call for drawing lines, and it is in drawing them that evenhandedness becomes important. However the Court may in the past have phrased its line-drawing test, the question whether such benefits are provided on an evenhanded basis has been relevant, for the question addresses one aspect of the issue whether a law is truly neutral with respect to religion (that is, whether the law either "advance[s] [or] inhibit[s] religion," Allegheny County v. Greater Pittsburgh Chapter, American Civil Liberties Union, 492 U.S. 573,  592 (1989)). In Widmar v. Vincent, 454 U.S. 263,  274 (1981), for example, we noted that "[t]he provision of benefits to [a] broad…spectrum of [religious and nonreligious] groups is an important index of secular effect." See also Board of Ed. of Kiryas Joel Village School Dist. v. Grumet, 512 U.S. ___, ___ (1994). In the doubtful cases (those not involving direct public funding), where there is initially room for argument about a law's effect, evenhandedness serves to weed out those laws that impermissibly advance religion by channelling aid to it exclusively. Evenhandedness is therefore a prerequisite to further enquiry into the constitutionality of a doubtful law, 5 but evenhandedness goes no further. It does not guarantee success under Establishment Clause scrutiny.</w:t>
      </w:r>
    </w:p>
    <w:p w:rsidR="00A31137" w:rsidRPr="00A31137" w:rsidRDefault="00A31137" w:rsidP="00A31137">
      <w:r w:rsidRPr="00A31137">
        <w:t>1995, Rosenberger v. Rector, Univ. of Virginia, No. 94-329</w:t>
      </w:r>
    </w:p>
    <w:p w:rsidR="00A31137" w:rsidRPr="00A31137" w:rsidRDefault="00A31137" w:rsidP="00A31137">
      <w:r w:rsidRPr="00A31137">
        <w:t>Three cases permitting indirect aid to religion, Mueller v. Allen, 463 U.S. 388 (1983), Witters v. Washington Dept. of Services for Blind, 474 U.S. 481 (1986), and Zobrest v. Catalina Foothills School Dist., 509 U.S. 1 (1993), are among the latest of those to illustrate this relevance of evenhandedness when advancement is not so obvious as to be patently unconstitutional. Each case involved a program in which benefits given to individuals on a religion-neutral basis ultimately were used by the individuals, in one way or another, to support religious institutions. 6 In each, the fact that aid was distributed generally and on a neutral basis was a necessary condition for upholding the program at issue. Witters, supra at 487-488; Mueller, supra at 397-399; Zobrest, supra at ___. But the significance of evenhandedness stopped there.   We did not, in any of these cases, hold that satisfying the condition was sufficient, or dispositive. Even more importantly, we never held that evenhandedness might be sufficient to render direct aid to religion constitutional. Quite the contrary. Critical to our decisions in these cases was the fact that the aid was indirect; it reached religious institutions "only as a result of the genuinely independent and private choices of aid recipients," Witters, supra at 487; see also Mueller, supra at 399-400; Zobrest, supra at ___-___. In noting and relying on this particular feature of each of the programs at issue, we in fact reaffirmed the core prohibition on direct funding of religious activities. See Zobrest, supra at ___-___; Witters, supra at 487; see also Mueller, supra at 399-400. Thus, our holdings in these cases were little more than extensions of the unremarkable proposition that</w:t>
      </w:r>
    </w:p>
    <w:p w:rsidR="00A31137" w:rsidRPr="00A31137" w:rsidRDefault="00A31137" w:rsidP="00A31137">
      <w:r w:rsidRPr="00A31137">
        <w:t>1995, Rosenberger v. Rector, Univ. of Virginia, No. 94-329</w:t>
      </w:r>
    </w:p>
    <w:p w:rsidR="00A31137" w:rsidRPr="00A31137" w:rsidRDefault="00A31137" w:rsidP="00A31137">
      <w:r w:rsidRPr="00A31137">
        <w:t>a State may issue a paycheck to one of its employees, who may then donate all or part of that paycheck to a religious institution, all without constitutional barrier….</w:t>
      </w:r>
    </w:p>
    <w:p w:rsidR="00A31137" w:rsidRPr="00A31137" w:rsidRDefault="00A31137" w:rsidP="00A31137">
      <w:r w:rsidRPr="00A31137">
        <w:t>1995, Rosenberger v. Rector, Univ. of Virginia, No. 94-329</w:t>
      </w:r>
    </w:p>
    <w:p w:rsidR="00A31137" w:rsidRPr="00A31137" w:rsidRDefault="00A31137" w:rsidP="00A31137">
      <w:r w:rsidRPr="00A31137">
        <w:t>Witters, supra at 486-487. Such "attenuated financial benefit[s], ultimately controlled by the private choices of individual[s]," we have found, are simply not within the contemplation of the Establishment Clause's broad prohibition. Mueller, supra at  400; see also Witters, supra at 493 (opinion of O'CONNOR, J.). 7</w:t>
      </w:r>
    </w:p>
    <w:p w:rsidR="00A31137" w:rsidRPr="00A31137" w:rsidRDefault="00A31137" w:rsidP="00A31137">
      <w:r w:rsidRPr="00A31137">
        <w:t>1995, Rosenberger v. Rector, Univ. of Virginia, No. 94-329</w:t>
      </w:r>
    </w:p>
    <w:p w:rsidR="00A31137" w:rsidRPr="00A31137" w:rsidRDefault="00A31137" w:rsidP="00A31137">
      <w:r w:rsidRPr="00A31137">
        <w:t>Evenhandedness as one element of a permissibly attenuated benefit is, of course, a far cry from evenhandedness as a sufficient condition of constitutionality for direct financial support of religious proselytization, and our cases have unsurprisingly repudiated any such attempt to cut the Establishment Clause down to a mere prohibition against unequal direct aid. See, e.g., Tilton v. Richardson, 403 U.S. at 682-684 (striking portion of general aid program providing grants for construction of college and university facilities to the extent program made possible the use of funds for sectarian activities); 8 Wolman v. Walter, 433 U.S. at 252-255 (striking funding of field trips for nonpublic school students, such as are "provided to public school students in the district," because of unacceptable danger that state funds would be used to foster religion). And nowhere has the Court's adherence to the preeminence of the "no direct funding" principle over the principle of evenhandedness been as clear as in Bowen v. Kendrick, 487 U.S. 589.</w:t>
      </w:r>
    </w:p>
    <w:p w:rsidR="00A31137" w:rsidRPr="00A31137" w:rsidRDefault="00A31137" w:rsidP="00A31137">
      <w:r w:rsidRPr="00A31137">
        <w:t>1995, Rosenberger v. Rector, Univ. of Virginia, No. 94-329</w:t>
      </w:r>
    </w:p>
    <w:p w:rsidR="00A31137" w:rsidRPr="00A31137" w:rsidRDefault="00A31137" w:rsidP="00A31137">
      <w:r w:rsidRPr="00A31137">
        <w:t>Bowen involved consideration of the Adolescent Family Life Act (AFLA), a federal grant program providing funds to institutions for counseling and educational services related to adolescent sexuality and pregnancy. At the time of the litigation, 141 grants had been awarded under the AFLA to a broad array of both secular and religiously affiliated institutions. Id. at  597. In an Establishment Clause challenge to the Act brought by taxpayers and other interested parties, the District Court resolved the case on a pretrial motion for summary judgment, holding the AFLA program unconstitutional both on its face and also insofar as religious institutions were involved in receiving grants under the Act. When this Court reversed on the issue of facial constitutionality under the Establishment Clause, id. at 602-618, we said that there was "no intimation in the statute that at some point, or for some grantees, religious uses are permitted." Id. at  614. On the contrary, after looking at the legislative history and applicable regulations, we found safeguards adequate to ensure that grants would not be "used by…grantees in such a way as to advance religion." Id. at  615.</w:t>
      </w:r>
    </w:p>
    <w:p w:rsidR="00A31137" w:rsidRPr="00A31137" w:rsidRDefault="00A31137" w:rsidP="00A31137">
      <w:r w:rsidRPr="00A31137">
        <w:t>1995, Rosenberger v. Rector, Univ. of Virginia, No. 94-329</w:t>
      </w:r>
    </w:p>
    <w:p w:rsidR="00A31137" w:rsidRPr="00A31137" w:rsidRDefault="00A31137" w:rsidP="00A31137">
      <w:r w:rsidRPr="00A31137">
        <w:t>With respect to the claim that the program was unconstitutional as applied, we remanded the case to the District Court</w:t>
      </w:r>
    </w:p>
    <w:p w:rsidR="00A31137" w:rsidRPr="00A31137" w:rsidRDefault="00A31137" w:rsidP="00A31137">
      <w:r w:rsidRPr="00A31137">
        <w:t>1995, Rosenberger v. Rector, Univ. of Virginia, No. 94-329</w:t>
      </w:r>
    </w:p>
    <w:p w:rsidR="00A31137" w:rsidRPr="00A31137" w:rsidRDefault="00A31137" w:rsidP="00A31137">
      <w:r w:rsidRPr="00A31137">
        <w:t>for consideration of the evidence presented by appellees insofar as it sheds light on the manner in which the statute is presently being administered.</w:t>
      </w:r>
    </w:p>
    <w:p w:rsidR="00A31137" w:rsidRPr="00A31137" w:rsidRDefault="00A31137" w:rsidP="00A31137">
      <w:r w:rsidRPr="00A31137">
        <w:t>1995, Rosenberger v. Rector, Univ. of Virginia, No. 94-329</w:t>
      </w:r>
    </w:p>
    <w:p w:rsidR="00A31137" w:rsidRPr="00A31137" w:rsidRDefault="00A31137" w:rsidP="00A31137">
      <w:r w:rsidRPr="00A31137">
        <w:t>Id. at  621. Specifically, we told the District Court, on remand, to</w:t>
      </w:r>
    </w:p>
    <w:p w:rsidR="00A31137" w:rsidRPr="00A31137" w:rsidRDefault="00A31137" w:rsidP="00A31137">
      <w:r w:rsidRPr="00A31137">
        <w:t>1995, Rosenberger v. Rector, Univ. of Virginia, No. 94-329</w:t>
      </w:r>
    </w:p>
    <w:p w:rsidR="00A31137" w:rsidRPr="00A31137" w:rsidRDefault="00A31137" w:rsidP="00A31137">
      <w:r w:rsidRPr="00A31137">
        <w:t>consider…whether in particular cases AFLA aid has been used to fund "specifically religious activit[ies] in an otherwise substantially secular setting."</w:t>
      </w:r>
    </w:p>
    <w:p w:rsidR="00A31137" w:rsidRPr="00A31137" w:rsidRDefault="00A31137" w:rsidP="00A31137">
      <w:r w:rsidRPr="00A31137">
        <w:t>1995, Rosenberger v. Rector, Univ. of Virginia, No. 94-329</w:t>
      </w:r>
    </w:p>
    <w:p w:rsidR="00A31137" w:rsidRPr="00A31137" w:rsidRDefault="00A31137" w:rsidP="00A31137">
      <w:r w:rsidRPr="00A31137">
        <w:t>Ibid. quoting Hunt v. McNair, 413 U.S. at  743. In giving additional guidance to the District Court, we suggested that application of the Act would be unconstitutional if it turned out that aid recipients were using materials "that have an explicitly religious content or are designed to inculcate the views of a particular religious faith." Ibid. At no point in our opinion did we suggest that the breadth of potential recipients, or distribution on an evenhanded basis, could have justified the use of federal funds for religious activities, a position that would have made no sense after we had pegged the Act's facial constitutionality to our conclusion that advancement of religion was not inevitable. JUSTICE O'CONNOR's separate opinion in the case underscored just this point:</w:t>
      </w:r>
    </w:p>
    <w:p w:rsidR="00A31137" w:rsidRPr="00A31137" w:rsidRDefault="00A31137" w:rsidP="00A31137">
      <w:r w:rsidRPr="00A31137">
        <w:t>1995, Rosenberger v. Rector, Univ. of Virginia, No. 94-329</w:t>
      </w:r>
    </w:p>
    <w:p w:rsidR="00A31137" w:rsidRPr="00A31137" w:rsidRDefault="00A31137" w:rsidP="00A31137">
      <w:r w:rsidRPr="00A31137">
        <w:t>I fully agree…that "[p]ublic funds may not be used to endorse the religious message." Post at  642 [(Blackmun, J., dissenting)]…. [A]ny use of public funds to promote religious doctrines violates the Establishment Clause.</w:t>
      </w:r>
    </w:p>
    <w:p w:rsidR="00A31137" w:rsidRPr="00A31137" w:rsidRDefault="00A31137" w:rsidP="00A31137">
      <w:r w:rsidRPr="00A31137">
        <w:t>1995, Rosenberger v. Rector, Univ. of Virginia, No. 94-329</w:t>
      </w:r>
    </w:p>
    <w:p w:rsidR="00A31137" w:rsidRPr="00A31137" w:rsidRDefault="00A31137" w:rsidP="00A31137">
      <w:r w:rsidRPr="00A31137">
        <w:t>Id. at 622-623 (concurring opinion) (emphasis in original).</w:t>
      </w:r>
    </w:p>
    <w:p w:rsidR="00A31137" w:rsidRPr="00A31137" w:rsidRDefault="00A31137" w:rsidP="00A31137">
      <w:r w:rsidRPr="00A31137">
        <w:t>1995, Rosenberger v. Rector, Univ. of Virginia, No. 94-329</w:t>
      </w:r>
    </w:p>
    <w:p w:rsidR="00A31137" w:rsidRPr="00A31137" w:rsidRDefault="00A31137" w:rsidP="00A31137">
      <w:r w:rsidRPr="00A31137">
        <w:t>Bowen was no sport; its pedigree was the line of Everson v. Board of Ed., 330 U.S. at 16-18, Board of Ed. v. Allen, 392 U.S. at 243-249, Tilton v. Richardson, 403 U.S. at 678-682, Hunt v. McNair, 413 U.S. at 742-745, and Roemer v. Board of Pub. Works of Md., 426 U.S. at 759-761. Each of these cases involved a general aid program that provided benefits to a broad array of secular and sectarian institutions on an evenhanded basis, but in none of them was that fact dispositive. The plurality opinion in Roemer made this point exactly:</w:t>
      </w:r>
    </w:p>
    <w:p w:rsidR="00A31137" w:rsidRPr="00A31137" w:rsidRDefault="00A31137" w:rsidP="00A31137">
      <w:r w:rsidRPr="00A31137">
        <w:t>1995, Rosenberger v. Rector, Univ. of Virginia, No. 94-329</w:t>
      </w:r>
    </w:p>
    <w:p w:rsidR="00A31137" w:rsidRPr="00A31137" w:rsidRDefault="00A31137" w:rsidP="00A31137">
      <w:r w:rsidRPr="00A31137">
        <w:t>The Court has taken the view that a secular purpose and a facial neutrality may not be enough, if in fact the State is lending direct support to a religious activity. The State may not, for example, pay for what is actually a religious education, even though it purports to be paying for a secular one, and even though it makes its aid available to secular and religious institutions alike.</w:t>
      </w:r>
    </w:p>
    <w:p w:rsidR="00A31137" w:rsidRPr="00A31137" w:rsidRDefault="00A31137" w:rsidP="00A31137">
      <w:r w:rsidRPr="00A31137">
        <w:t>1995, Rosenberger v. Rector, Univ. of Virginia, No. 94-329</w:t>
      </w:r>
    </w:p>
    <w:p w:rsidR="00A31137" w:rsidRPr="00A31137" w:rsidRDefault="00A31137" w:rsidP="00A31137">
      <w:r w:rsidRPr="00A31137">
        <w:t>426 U.S. at  747 (opinion of Blackmun, J.). Instead, the central enquiry in each of these general aid cases, as in Bowen, was whether secular activities could be separated from the sectarian ones sufficiently to ensure that aid would flow to the secular alone.</w:t>
      </w:r>
    </w:p>
    <w:p w:rsidR="00A31137" w:rsidRPr="00A31137" w:rsidRDefault="00A31137" w:rsidP="00A31137">
      <w:r w:rsidRPr="00A31137">
        <w:t>1995, Rosenberger v. Rector, Univ. of Virginia, No. 94-329</w:t>
      </w:r>
    </w:p>
    <w:p w:rsidR="00A31137" w:rsidRPr="00A31137" w:rsidRDefault="00A31137" w:rsidP="00A31137">
      <w:r w:rsidRPr="00A31137">
        <w:t>Witters, Mueller, and Zobrest expressly preserve the standard thus exhibited so often. Each of these cases explicitly distinguished the indirect aid in issue from contrasting examples in the line of cases striking down direct aid, and each thereby expressly preserved the core constitutional principle that direct aid to religion is impermissible. See Zobrest, supra at ___ (distinguishing Meek v. Pittenger, 421 U.S. 349, and School Dist. v. Ball, 473 U.S. 373, and noting that "'[t]he state may not grant aid to a religious school, whether cash or in kind, where the effect of the aid is that of a direct subsidy to the religious school'") (quoting Witters, 474 U.S. at 487); see also ibid.; Mueller, 463 U.S. at  399. It appears that the University perfectly understood the primacy of the "no direct funding" rule over the evenhandedness principle when it drew the line short of funding "any activity which primarily promotes or manifests a particular belief(s) in or about a deity or an ultimate reality." 9 App. to Pet. for Cert. 66a.</w:t>
      </w:r>
    </w:p>
    <w:p w:rsidR="00A31137" w:rsidRPr="00A31137" w:rsidRDefault="00A31137" w:rsidP="00A31137">
      <w:r w:rsidRPr="00A31137">
        <w:t>C</w:t>
      </w:r>
    </w:p>
    <w:p w:rsidR="00A31137" w:rsidRPr="00A31137" w:rsidRDefault="00A31137" w:rsidP="00A31137">
      <w:r w:rsidRPr="00A31137">
        <w:t>1995, Rosenberger v. Rector, Univ. of Virginia, No. 94-329</w:t>
      </w:r>
    </w:p>
    <w:p w:rsidR="00A31137" w:rsidRPr="00A31137" w:rsidRDefault="00A31137" w:rsidP="00A31137">
      <w:r w:rsidRPr="00A31137">
        <w:t>Since conformity with the marginal or limiting principle of evenhandedness is insufficient of itself to demonstrate the constitutionality of providing a government benefit that reaches religion, the Court must identify some further element in the funding scheme that does demonstrate its permissibility.   For one reason or another, the Court's chosen element appears to be the fact that under the University's Guidelines, funds are sent to the printer chosen by Wide Awake, rather than to Wide Awake itself. Ante at ___.</w:t>
      </w:r>
    </w:p>
    <w:p w:rsidR="00A31137" w:rsidRPr="00A31137" w:rsidRDefault="00A31137" w:rsidP="00A31137">
      <w:r w:rsidRPr="00A31137">
        <w:t>1</w:t>
      </w:r>
    </w:p>
    <w:p w:rsidR="00A31137" w:rsidRPr="00A31137" w:rsidRDefault="00A31137" w:rsidP="00A31137">
      <w:r w:rsidRPr="00A31137">
        <w:t>1995, Rosenberger v. Rector, Univ. of Virginia, No. 94-329</w:t>
      </w:r>
    </w:p>
    <w:p w:rsidR="00A31137" w:rsidRPr="00A31137" w:rsidRDefault="00A31137" w:rsidP="00A31137">
      <w:r w:rsidRPr="00A31137">
        <w:t>If the Court's suggestion is that this feature of the funding program brings this case into line with Witters, Mueller, and Zobrest (discussed supra at ___), the Court has misread those cases, which turned on the fact that the choice to benefit religion was made by a nonreligious third party standing between the government and a religious institution. See Witters, 474 U.S. at 487; see also Mueller, 463 U.S. at 399-400; Zobrest, 509 U.S. at ___-___. Here, there is no third party standing between the government and the ultimate religious beneficiary to break the circuit by its independent discretion to put state money to religious use. The printer, of course, has no option to take the money and use it to print a secular journal instead of Wide Awake. It only gets the money because of its contract to print a message of religious evangelism at the direction of Wide Awake, and it will receive payment only for doing precisely that. The formalism of distinguishing between payment to Wide Awake so it can pay an approved bill and payment of the approved bill itself cannot be the basis of a decision of Constitutional law. If this indeed were a critical distinction, the Constitution would permit a State to pay all the bills of any religious institution; 10 in fact, despite the Court's purported adherence to the "no direct funding" principle, the State could simply hand out credit cards to religious institutions and honor the monthly statements (so long as someone could devise an evenhanded umbrella to cover the whole scheme). Witters and the other cases cannot be distinguished out of existence this way.</w:t>
      </w:r>
    </w:p>
    <w:p w:rsidR="00A31137" w:rsidRPr="00A31137" w:rsidRDefault="00A31137" w:rsidP="00A31137">
      <w:r w:rsidRPr="00A31137">
        <w:t>2</w:t>
      </w:r>
    </w:p>
    <w:p w:rsidR="00A31137" w:rsidRPr="00A31137" w:rsidRDefault="00A31137" w:rsidP="00A31137">
      <w:r w:rsidRPr="00A31137">
        <w:t>1995, Rosenberger v. Rector, Univ. of Virginia, No. 94-329</w:t>
      </w:r>
    </w:p>
    <w:p w:rsidR="00A31137" w:rsidRPr="00A31137" w:rsidRDefault="00A31137" w:rsidP="00A31137">
      <w:r w:rsidRPr="00A31137">
        <w:t>It is more probable, however, that the Court's reference to the printer goes to a different attempt to justify the payment. On this purported justification, the payment to the printer is significant only as the last step in an argument resting on the assumption that a public university may give a religious group the use of any of its equipment or facilities so long as secular groups are likewise eligible. The Court starts with the cases of Widmar v. Vincent, 454 U.S. 263 (1981), Board of Ed. of Westside Community Schools v. Mergens, 496 U.S. 226 (1990), and Lamb's Chapel v. Center Moriches Union Free School Dist., 508 U.S. ___ (1993), in which religious groups were held to be entitled to access for speaking in government buildings open generally for that purpose. The Court reasons that the availability of a forum has economic value (the government built and maintained the building, while the speakers saved the rent for a hall); and that economically there is no difference between the University's provision of the value of the room and the value, say, of the University's printing equipment; and that therefore the University must be able to provide the use of the latter. Since it may do that, the argument goes, it would be unduly formalistic to draw the line at paying for an outside printer, who simply does what the magazine's publishers could have done with the University's own printing equipment. Ante at ___.</w:t>
      </w:r>
    </w:p>
    <w:p w:rsidR="00A31137" w:rsidRPr="00A31137" w:rsidRDefault="00A31137" w:rsidP="00A31137">
      <w:r w:rsidRPr="00A31137">
        <w:t>1995, Rosenberger v. Rector, Univ. of Virginia, No. 94-329</w:t>
      </w:r>
    </w:p>
    <w:p w:rsidR="00A31137" w:rsidRPr="00A31137" w:rsidRDefault="00A31137" w:rsidP="00A31137">
      <w:r w:rsidRPr="00A31137">
        <w:t>The argument is as unsound as it is simple, and the first of its troubles emerges from an examination of the cases relied upon to support it. The common factual thread running through Widmar, Mergens, and Lamb's Chapel, is that a governmental institution created a limited forum for the use of students in a school or college, or for the public at large, but sought to exclude speakers with religious messages. See generally Perry Ed. Assn. v. Perry Local Educators' Assn., 460 U.S. 37, 45-46 (1983) (forum analysis). In each case, the restriction was struck down either as an impermissible attempt to regulate the content of speech in an open forum (as in Widmar and Mergens) or to suppress a particular religious viewpoint (as in Lamb's Chapel, see infra at ___). In each case, to be sure, the religious speaker's use of the room passed muster as an incident of a plan to facilitate speech generally for a secular purpose, entailing neither secular entanglement with religion nor risk that the religious speech would be taken to be the speech of the government or that the government's endorsement of a religious message would be inferred. But each case drew ultimately on unexceptionable Speech Clause doctrine treating the evangelist, the Salvation Army, the millennialist or the Hare Krishna like any other speaker in a public forum. It was the preservation of free speech on the model of the street corner that supplied the justification going beyond the requirement of evenhandedness.</w:t>
      </w:r>
    </w:p>
    <w:p w:rsidR="00A31137" w:rsidRPr="00A31137" w:rsidRDefault="00A31137" w:rsidP="00A31137">
      <w:r w:rsidRPr="00A31137">
        <w:t>1995, Rosenberger v. Rector, Univ. of Virginia, No. 94-329</w:t>
      </w:r>
    </w:p>
    <w:p w:rsidR="00A31137" w:rsidRPr="00A31137" w:rsidRDefault="00A31137" w:rsidP="00A31137">
      <w:r w:rsidRPr="00A31137">
        <w:t>The Court's claim of support from these forum-access cases is ruled out by the very scope of their holdings. While they do indeed allow a limited benefit to religious speakers, they rest on the recognition that all speakers are entitled to use the street corner (even though the State paves the roads and provides police protection to everyone on the street) and on the analogy between the public street corner and open classroom space. Thus, the Court found it significant that the classroom speakers would engage in traditional speech activities in these forums, too, even though the rooms (like street corners) require some incidental state spending to maintain them. The analogy breaks down entirely, however, if the cases are read more broadly than the Court wrote them, to cover more than forums for literal speaking. There is no traditional street corner printing provided by the government on equal terms to all comers, and the forum cases cannot be lifted to a higher plane of generalization without admitting that new economic benefits are being extended directly to religion in clear violation of the principle barring direct aid. The argument from economic equivalence thus breaks down on recognizing that the direct state aid it would support is not mitigated by the street corner analogy in the service of free speech. Absent that, the rule against direct aid stands as a bar to printing services as well as printers.</w:t>
      </w:r>
    </w:p>
    <w:p w:rsidR="00A31137" w:rsidRPr="00A31137" w:rsidRDefault="00A31137" w:rsidP="00A31137">
      <w:r w:rsidRPr="00A31137">
        <w:t>3</w:t>
      </w:r>
    </w:p>
    <w:p w:rsidR="00A31137" w:rsidRPr="00A31137" w:rsidRDefault="00A31137" w:rsidP="00A31137">
      <w:r w:rsidRPr="00A31137">
        <w:t>1995, Rosenberger v. Rector, Univ. of Virginia, No. 94-329</w:t>
      </w:r>
    </w:p>
    <w:p w:rsidR="00A31137" w:rsidRPr="00A31137" w:rsidRDefault="00A31137" w:rsidP="00A31137">
      <w:r w:rsidRPr="00A31137">
        <w:t>It must, indeed, be a recognition of just this point that leads the Court to take a third tack, not in coming up with yet a third attempt at justification within the rules of existing case law, but in recasting the scope of the Establishment Clause in ways that make further affirmative justification unnecessary.   JUSTICE O'CONNOR makes a comprehensive analysis of the manner in which the activity fee is assessed and distributed. She concludes that the funding differs so sharply from religious funding out of governmental treasuries generally that it falls outside Establishment Clause's purview in the absence of a message of religious endorsement (which she finds not to be present). Ante at ___ (O'CONNOR, J., concurring). The opinion of the Court concludes more expansively that the activity fee is not a tax, and then proceeds to find the aid permissible on the legal assumption that the bar against direct aid applies only to aid derived from tax revenue. I have already indicated why it is fanciful to treat the fee as anything but a tax, supra at ___, and n. 3; see also ante at ___ (noting mandatory nature of the fee), and will not repeat the point again. The novelty of the assumption that the direct aid bar only extends to aid derived from taxation, however, requires some response.</w:t>
      </w:r>
    </w:p>
    <w:p w:rsidR="00A31137" w:rsidRPr="00A31137" w:rsidRDefault="00A31137" w:rsidP="00A31137">
      <w:r w:rsidRPr="00A31137">
        <w:t>1995, Rosenberger v. Rector, Univ. of Virginia, No. 94-329</w:t>
      </w:r>
    </w:p>
    <w:p w:rsidR="00A31137" w:rsidRPr="00A31137" w:rsidRDefault="00A31137" w:rsidP="00A31137">
      <w:r w:rsidRPr="00A31137">
        <w:t>Although it was a taxation scheme that moved Madison to write in the first instance, the Court has never held that government resources obtained without taxation could be used for direct religious support, and our cases on direct government aid have frequently spoken in terms in no way limited to tax revenues. E.g., School Dist. v. Ball, 473 U.S. at  385 ("Although Establishment Clause jurisprudence is characterized by few absolutes, the Clause does absolutely prohibit government-financed or government-sponsored indoctrination into the beliefs of a particular religious faith"); Nyquist, 413 U.S. at  780 ("In the absence of an effective means of guaranteeing that the state aid derived from public funds will be used exclusively for secular, neutral, and nonideological purposes, it is clear from our cases that direct aid in whatever form is invalid"); id. at  772 ("Primary among those evils" against which the Establishment Clause guards "have been sponsorship, financial support, and active involvement of the sovereign in religious activity") (citations and internal quotation marks omitted); see also T. Curry, The First Freedoms 217 (1986) (At the time of the framing of the Bill of Rights, "[t]he belief that government assistance to religion, especially in the form of taxes, violated religious liberty had a long history").</w:t>
      </w:r>
    </w:p>
    <w:p w:rsidR="00A31137" w:rsidRPr="00A31137" w:rsidRDefault="00A31137" w:rsidP="00A31137">
      <w:r w:rsidRPr="00A31137">
        <w:t>1995, Rosenberger v. Rector, Univ. of Virginia, No. 94-329</w:t>
      </w:r>
    </w:p>
    <w:p w:rsidR="00A31137" w:rsidRPr="00A31137" w:rsidRDefault="00A31137" w:rsidP="00A31137">
      <w:r w:rsidRPr="00A31137">
        <w:t>Allowing non-tax funds to be spent on religion would, in fact, fly in the face of clear principle. Leaving entirely aside the question whether public non-tax revenues could ever be used to finance religion without violating the endorsement test, see Allegheny County v. American Civil Liberties Union, 492 U.S. at 593-594, any such use of them would ignore one the dual objectives of the Establishment Clause, which was meant not only to protect individuals and their republics from the destructive consequences of mixing government and religion, but to protect religion from a corrupting dependence on support from the Government. Engel v. Vitale, 370 U.S. 421,  431 (1962) (the Establishment Clause's "first and most immediate purpose rested on the belief that a union of government and religion tends to destroy government and to degrade religion"); Everson, 330 U.S. at  53 (Rutledge, J., dissenting) ("The great condition of religious liberty is that it be maintained free from sustenance, as also from other interferences, by the state. For when it comes to rest upon that secular foundation it vanishes with the resting") (citing Madison's Remonstrance ¶¶ 7, 8, reprinted in Everson, supra at 63-72 (appendix to dissent of Rutledge, J.)); School Dist. of Abington v. Schempp, 374 U.S. 203,  259 (1963) (Brennan, J., concurring) ("It is not only the nonbeliever who fears the injection of sectarian doctrines and controversies into the civil polity, but in as high degree it is the devout believer who fears the secularization of a creed which becomes too deeply involved with and dependent upon the government") (footnote omitted); Jefferson, A Bill for Establishing Religious Freedom, reprinted in 5 The Founder's Constitution at 84-85. Since the corrupting effect of government support does not turn on whether the Government's own money comes from taxation or gift or the sale of public lands, the Establishment Clause could hardly relax its vigilance simply because tax revenue was not implicated. Accordingly, in the absence of a forthright disavowal, one can only assume that the Court does not mean to eliminate one half of the Establishment Clause's justification.</w:t>
      </w:r>
    </w:p>
    <w:p w:rsidR="00A31137" w:rsidRPr="00A31137" w:rsidRDefault="00A31137" w:rsidP="00A31137">
      <w:r w:rsidRPr="00A31137">
        <w:t>D</w:t>
      </w:r>
    </w:p>
    <w:p w:rsidR="00A31137" w:rsidRPr="00A31137" w:rsidRDefault="00A31137" w:rsidP="00A31137">
      <w:r w:rsidRPr="00A31137">
        <w:t>1995, Rosenberger v. Rector, Univ. of Virginia, No. 94-329</w:t>
      </w:r>
    </w:p>
    <w:p w:rsidR="00A31137" w:rsidRPr="00A31137" w:rsidRDefault="00A31137" w:rsidP="00A31137">
      <w:r w:rsidRPr="00A31137">
        <w:t>Nothing in the Court's opinion would lead me to end this enquiry into the application of the Establishment Clause any differently from the way I began it. The Court is ordering an instrumentality of the State to support religious evangelism with direct funding. This is a flat violation of the Establishment Clause.</w:t>
      </w:r>
    </w:p>
    <w:p w:rsidR="00A31137" w:rsidRPr="00A31137" w:rsidRDefault="00A31137" w:rsidP="00A31137">
      <w:r w:rsidRPr="00A31137">
        <w:t>II</w:t>
      </w:r>
    </w:p>
    <w:p w:rsidR="00A31137" w:rsidRPr="00A31137" w:rsidRDefault="00A31137" w:rsidP="00A31137">
      <w:r w:rsidRPr="00A31137">
        <w:t>1995, Rosenberger v. Rector, Univ. of Virginia, No. 94-329</w:t>
      </w:r>
    </w:p>
    <w:p w:rsidR="00A31137" w:rsidRPr="00A31137" w:rsidRDefault="00A31137" w:rsidP="00A31137">
      <w:r w:rsidRPr="00A31137">
        <w:t>Given the dispositive effect of the Establishment Clause's bar to funding the magazine, there should be no need to decide whether in the absence of this bar the University would violate the Free Speech Clause by limiting funding as it has done. Widmar, 454 U.S. at  271 (university's compliance with its Establishment Clause obligations can be a compelling interest justifying speech restriction). But the Court's speech analysis may have independent application, and its flaws should not pass unremarked.</w:t>
      </w:r>
    </w:p>
    <w:p w:rsidR="00A31137" w:rsidRPr="00A31137" w:rsidRDefault="00A31137" w:rsidP="00A31137">
      <w:r w:rsidRPr="00A31137">
        <w:t>1995, Rosenberger v. Rector, Univ. of Virginia, No. 94-329</w:t>
      </w:r>
    </w:p>
    <w:p w:rsidR="00A31137" w:rsidRPr="00A31137" w:rsidRDefault="00A31137" w:rsidP="00A31137">
      <w:r w:rsidRPr="00A31137">
        <w:t>The Court acknowledges, ante at ___, the necessity for a university to make judgments based on the content of what may be said or taught when it decides, in the absence of unlimited amounts of money or other resources, how to honor its educational responsibilities. Widmar, supra at  276; cf. Perry, 460 U.S. at  49 (subject matter and speaker identity distinctions "are inherent and inescapable in the process of limiting a nonpublic forum to activities compatible with the intended purpose of the property"). Nor does the Court generally question that in allocating public funds a state university enjoys spacious discretion. Cf. Rust v. Sullivan, 500 U.S. 173,  194 (1991) ("[W]hen the government appropriates public funds to establish a program it is entitled to define the limits of that program"); Regan v. Taxation with Representation of Wash., 461 U.S. 540 (1983) (upholding government subsidization decision partial to one class of speaker). 11 Accordingly, the Court recognizes that the relevant enquiry in this case is not merely whether the University bases its funding decisions on the subject matter of student speech; if there is an infirmity in the basis for the University's funding decision, it must be that the University is impermissibly distinguishing among competing viewpoints, ante at ___, citing, inter alia, Perry, supra at  46; see also Lamb's Chapel, 508 U.S. at ___ (subject matter distinctions permissible in controlling access to limited public forum if reasonable and viewpoint neutral); Cornelius v. NAACP Legal Defense &amp; Ed. Fund, Inc., 473 U.S. 788, 806 (1985) (similar); Regan, supra at 548. 12</w:t>
      </w:r>
    </w:p>
    <w:p w:rsidR="00A31137" w:rsidRPr="00A31137" w:rsidRDefault="00A31137" w:rsidP="00A31137">
      <w:r w:rsidRPr="00A31137">
        <w:t>1995, Rosenberger v. Rector, Univ. of Virginia, No. 94-329</w:t>
      </w:r>
    </w:p>
    <w:p w:rsidR="00A31137" w:rsidRPr="00A31137" w:rsidRDefault="00A31137" w:rsidP="00A31137">
      <w:r w:rsidRPr="00A31137">
        <w:t>The issue whether a distinction is based on viewpoint does not turn simply on whether a government regulation happens to be applied to a speaker who seeks to advance a particular viewpoint; the issue, of course, turns on whether the burden on speech is explained by reference to viewpoint. See Cornelius, supra at  806 ("[T]he government violates the First Amendment when it denies access to a speaker solely to suppress the point of view he espouses on an otherwise includible subject"). As when deciding whether a speech restriction is content-based or content-neutral, "[t]he government's purpose is the controlling consideration." Ward v. Rock Against Racism, 491 U.S. 781,  791 (1989); see also ibid. (content neutrality turns on, inter alia, whether a speech restriction is "justified without reference to the content of the regulated speech") (internal quotation marks and citations omitted). So, for example, a city that enforces its excessive noise ordinance by pulling the plug on a rock band using a forbidden amplification system is not guilty of viewpoint discrimination simply because the band wishes to use that equipment to espouse anti-racist views. Accord, Rock Against Racism, supra. Nor does a municipality's decision to prohibit political advertising on bus placards amount to viewpoint discrimination when in the course of applying this policy it denies space to a person who wishes to speak in favor of a particular political candidate. Accord, Lehman v. Shaker Heights, 418 U.S. 298,  304 (1974) (plurality opinion).</w:t>
      </w:r>
    </w:p>
    <w:p w:rsidR="00A31137" w:rsidRPr="00A31137" w:rsidRDefault="00A31137" w:rsidP="00A31137">
      <w:r w:rsidRPr="00A31137">
        <w:t>1995, Rosenberger v. Rector, Univ. of Virginia, No. 94-329</w:t>
      </w:r>
    </w:p>
    <w:p w:rsidR="00A31137" w:rsidRPr="00A31137" w:rsidRDefault="00A31137" w:rsidP="00A31137">
      <w:r w:rsidRPr="00A31137">
        <w:t>Accordingly, the prohibition on viewpoint discrimination serves that important purpose of the Free Speech Clause, which is to bar the government from skewing public debate. Other things being equal, viewpoint discrimination occurs when government allows one message while prohibiting the messages of those who can reasonably be expected to respond. See First Nat. Bank of Boston v. Bellotti, 435 U.S. 765, 785-786 (1978) ("Especially where…the legislature's suppression of speech suggests an attempt to give one side of a debatable public question an advantage in expressing its views to the people, the First Amendment is plainly offended") (footnote omitted); Madison Joint School Dist. No. 8 v. Wisconsin Employment Relations Comm'n, 429 U.S. 167, 175-176 (1976) ("To permit one side of a debatable public question to have a monopoly in expressing its views…is the antithesis of constitutional guarantees") (footnote omitted); United States v. Kokinda, 497 U.S. 720, 736 (1990) (viewpoint discrimination involves an "inten[t] to discourage one viewpoint and advance another") (plurality opinion) (citations and internal quotation marks omitted). It is precisely this element of taking sides in a public debate that identifies viewpoint discrimination and makes it the most pernicious of all distinctions based on content. Thus, if government assists those espousing one point of view, neutrality requires it to assist those espousing opposing points of view, as well.</w:t>
      </w:r>
    </w:p>
    <w:p w:rsidR="00A31137" w:rsidRPr="00A31137" w:rsidRDefault="00A31137" w:rsidP="00A31137">
      <w:r w:rsidRPr="00A31137">
        <w:t>1995, Rosenberger v. Rector, Univ. of Virginia, No. 94-329</w:t>
      </w:r>
    </w:p>
    <w:p w:rsidR="00A31137" w:rsidRPr="00A31137" w:rsidRDefault="00A31137" w:rsidP="00A31137">
      <w:r w:rsidRPr="00A31137">
        <w:t>There is no viewpoint discrimination in the University's application of its Guidelines to deny funding to Wide Awake. Under those Guidelines, a "religious activit[y]," which is not eligible for funding, App. to Pet. for Cert. 62a, is "an activity which primarily promotes or manifests a particular belief(s) in or about a deity or an ultimate reality," App. to Pet. for Cert. 66a. It is clear that this is the basis on which Wide Awake Productions was denied funding. Letter from Student Council to Ronald W. Rosenberger. App. 54 ("In reviewing the request by Wide Awake Productions, the Appropriations Committee determined your organization's request could not be funded as it is a religious activity"). The discussion of Wide Awake's content, supra at ___, shows beyond any question that it "primarily promotes or manifests a particular belief(s) in or about a deity…," in the very specific sense that its manifest function is to call students to repentance, to commitment to Jesus Christ, and to particular moral action because of its Christian character.</w:t>
      </w:r>
    </w:p>
    <w:p w:rsidR="00A31137" w:rsidRPr="00A31137" w:rsidRDefault="00A31137" w:rsidP="00A31137">
      <w:r w:rsidRPr="00A31137">
        <w:t>1995, Rosenberger v. Rector, Univ. of Virginia, No. 94-329</w:t>
      </w:r>
    </w:p>
    <w:p w:rsidR="00A31137" w:rsidRPr="00A31137" w:rsidRDefault="00A31137" w:rsidP="00A31137">
      <w:r w:rsidRPr="00A31137">
        <w:t>If the Guidelines were written or applied so as to limit only such Christian advocacy and no other evangelical efforts that might compete with it, the discrimination would be based on viewpoint. But that is not what the regulation authorizes; it applies to Muslim and Jewish and Buddhist advocacy as well as to Christian. And since it limits funding to activities promoting or manifesting a particular belief not only "in" but "about" a deity or ultimate reality, it applies to agnostics and atheists as well as it does to deists and theists (as the University maintained at oral argument, Tr. of Oral Arg. 18-19, and as the Court recognizes, see ante at ___). The Guidelines, and their application to Wide Awake, thus do not skew debate by funding one position but not its competitors. As understood by their application to Wide Awake, they simply deny funding for hortatory speech that "primarily promotes or manifests" any view on the merits of religion; they deny funding for the entire subject matter of religious apologetics.</w:t>
      </w:r>
    </w:p>
    <w:p w:rsidR="00A31137" w:rsidRPr="00A31137" w:rsidRDefault="00A31137" w:rsidP="00A31137">
      <w:r w:rsidRPr="00A31137">
        <w:t>1995, Rosenberger v. Rector, Univ. of Virginia, No. 94-329</w:t>
      </w:r>
    </w:p>
    <w:p w:rsidR="00A31137" w:rsidRPr="00A31137" w:rsidRDefault="00A31137" w:rsidP="00A31137">
      <w:r w:rsidRPr="00A31137">
        <w:t>The Court, of course, reads the Guidelines differently, but while I believe the Court is wrong in construing their breadth, the important point is that even on the Court's own construction the Guidelines impose no viewpoint discrimination. In attempting to demonstrate the potentially chilling effect such funding restrictions might have on learning in our nation's universities, the Court describes the Guidelines as "a sweeping restriction on student thought and student inquiry," disentitling a vast array of topics to funding. Ante at ___. As the Court reads the Guidelines to exclude "any writing that is explicable as resting upon a premise which presupposes the existence of a deity or ultimate reality," as well as "those student journalistic efforts which primarily manifest or promote a belief that there is no deity and no ultimate reality," the Court concludes that the major works of writers from Descartes to Sartre would be barred from the funding forum. Ante at ___. The Court goes so far as to suggest that the Guidelines, properly interpreted, tolerate nothing much more than essays on "making pasta or peanut butter cookies…. " Ante at ___.</w:t>
      </w:r>
    </w:p>
    <w:p w:rsidR="00A31137" w:rsidRPr="00A31137" w:rsidRDefault="00A31137" w:rsidP="00A31137">
      <w:r w:rsidRPr="00A31137">
        <w:t>1995, Rosenberger v. Rector, Univ. of Virginia, No. 94-329</w:t>
      </w:r>
    </w:p>
    <w:p w:rsidR="00A31137" w:rsidRPr="00A31137" w:rsidRDefault="00A31137" w:rsidP="00A31137">
      <w:r w:rsidRPr="00A31137">
        <w:t>Now, the regulation is not so categorically broad as the Court protests. The Court reads the word "primarily" ("primarily promotes or manifests a particular belief(s) in or about a deity or an ultimate reality") right out of the Guidelines, whereas it is obviously crucial in distinguishing between works characterized by the evangelism of Wide Awake and writing that merely happens to express views that a given religion might approve, or simply descriptive writing informing a reader about the position of a given religion. But, as I said, that is not the important point. Even if the Court were indeed correct about the funding restriction's categorical breadth, the stringency of the restriction would most certainly not work any impermissible viewpoint discrimination under any prior understanding of that species of content discrimination. If a University wished to fund no speech beyond the subjects of pasta and cookie preparation, it surely would not be discriminating on the basis of someone's viewpoint at least absent some controversial claim that pasta and cookies did not exist. The upshot would be an instructional universe without higher education, but not a universe where one viewpoint was enriched above its competitors.</w:t>
      </w:r>
    </w:p>
    <w:p w:rsidR="00A31137" w:rsidRPr="00A31137" w:rsidRDefault="00A31137" w:rsidP="00A31137">
      <w:r w:rsidRPr="00A31137">
        <w:t>1995, Rosenberger v. Rector, Univ. of Virginia, No. 94-329</w:t>
      </w:r>
    </w:p>
    <w:p w:rsidR="00A31137" w:rsidRPr="00A31137" w:rsidRDefault="00A31137" w:rsidP="00A31137">
      <w:r w:rsidRPr="00A31137">
        <w:t>The Guidelines are thus substantially different from the access restriction considered in Lamb's Chapel, the case upon which the Court heavily relies in finding a viewpoint distinction here, ante at ___. Lamb's Chapel addressed a school board's regulation prohibiting the after-hours use of school premises "by any group for religious purposes," even though the forum otherwise was open for a variety of social, civic, and recreational purposes. 508 U.S. at ___ (citation and internal quotation marks omitted). "Religious" was understood to refer to the viewpoint of a believer, and the regulation did not purport to deny access to any speaker wishing to express a nonreligious or expressly anti-religious point of view on any subject, see ibid. ("The issue in this case is whether…it violates the Free Speech Clause of the First Amendment…to deny a church access to school premises to exhibit for public viewing and for assertedly religious purposes, a film dealing with family and childrearing issues"); id. at ___, citing May v. Evansville-Vanderburgh School Corp., 787 F.2d 1105, 1114 (CA7 1986). 13</w:t>
      </w:r>
    </w:p>
    <w:p w:rsidR="00A31137" w:rsidRPr="00A31137" w:rsidRDefault="00A31137" w:rsidP="00A31137">
      <w:r w:rsidRPr="00A31137">
        <w:t>1995, Rosenberger v. Rector, Univ. of Virginia, No. 94-329</w:t>
      </w:r>
    </w:p>
    <w:p w:rsidR="00A31137" w:rsidRPr="00A31137" w:rsidRDefault="00A31137" w:rsidP="00A31137">
      <w:r w:rsidRPr="00A31137">
        <w:t>With this understanding, it was unremarkable that, in Lamb's Chapel, we unanimously determined that the access restriction, as applied to a speaker wishing to discuss family values from a Christian perspective, impermissibly distinguished between speakers on the basis of viewpoint. See Lamb's Chapel, supra at ___ (considering as-applied challenge only). Equally obvious is the distinction between that case and this one, where the regulation is being applied, not to deny funding for those who discuss issues in general from a religious viewpoint, but to those engaged in promoting or opposing religious conversion and religious observances as such. If this amounts to viewpoint discrimination, the Court has all but eviscerated the line between viewpoint and content.</w:t>
      </w:r>
    </w:p>
    <w:p w:rsidR="00A31137" w:rsidRPr="00A31137" w:rsidRDefault="00A31137" w:rsidP="00A31137">
      <w:r w:rsidRPr="00A31137">
        <w:t>1995, Rosenberger v. Rector, Univ. of Virginia, No. 94-329</w:t>
      </w:r>
    </w:p>
    <w:p w:rsidR="00A31137" w:rsidRPr="00A31137" w:rsidRDefault="00A31137" w:rsidP="00A31137">
      <w:r w:rsidRPr="00A31137">
        <w:t>To put the point another way, the Court's decision equating a categorical exclusion of both sides of the religious debate with viewpoint discrimination suggests the Court has concluded that primarily religious and anti-religious speech, grouped together, always provides an opposing (and not merely a related) viewpoint to any speech about any secular topic. Thus, the Court's reasoning requires a university that funds private publications about any primarily nonreligious topic also to fund publications primarily espousing adherence to or rejection of religion. But a university's decision to fund a magazine about racism, and not to fund publications aimed at urging repentance before God does not skew the debate either about racism or the desirability of religious conversion. The Court's contrary holding amounts to a significant reformulation of our viewpoint discrimination precedents and will significantly expand access to limited-access forums. See Greer v. Spock, 424 U.S. 828 (1976) (upholding regulation prohibiting political speeches on military base); Cornelius, 473 U.S. at  812 (exclusion from fundraising drive of political activity or advocacy groups is facially viewpoint neutral despite inclusion of charitable, health and welfare agencies); Perry, 460 U.S. at 49-50, and n. 9 (ability of teachers' bargaining representative to use internal school mail system does not require that access be provided to "any other citizen's group or community organization with a message for school personnel"); Lehman, 418 U.S. at  304 (exclusion of political messages from forum permissible despite ability of nonpolitical speakers to use the forum) (plurality opinion).</w:t>
      </w:r>
    </w:p>
    <w:p w:rsidR="00A31137" w:rsidRPr="00A31137" w:rsidRDefault="00A31137" w:rsidP="00A31137">
      <w:r w:rsidRPr="00A31137">
        <w:t>III</w:t>
      </w:r>
    </w:p>
    <w:p w:rsidR="00A31137" w:rsidRPr="00A31137" w:rsidRDefault="00A31137" w:rsidP="00A31137">
      <w:r w:rsidRPr="00A31137">
        <w:t>1995, Rosenberger v. Rector, Univ. of Virginia, No. 94-329</w:t>
      </w:r>
    </w:p>
    <w:p w:rsidR="00A31137" w:rsidRPr="00A31137" w:rsidRDefault="00A31137" w:rsidP="00A31137">
      <w:r w:rsidRPr="00A31137">
        <w:t>Since I cannot see the future I cannot tell whether today's decision portends much more than making a shambles out of student activity fees in public colleges. Still, my apprehension is whetted by Chief Justice Burger's warning in Lemon v. Kurtzman, 403 U.S. 602, 624 (1971):</w:t>
      </w:r>
    </w:p>
    <w:p w:rsidR="00A31137" w:rsidRPr="00A31137" w:rsidRDefault="00A31137" w:rsidP="00A31137">
      <w:r w:rsidRPr="00A31137">
        <w:t>1995, Rosenberger v. Rector, Univ. of Virginia, No. 94-329</w:t>
      </w:r>
    </w:p>
    <w:p w:rsidR="00A31137" w:rsidRPr="00A31137" w:rsidRDefault="00A31137" w:rsidP="00A31137">
      <w:r w:rsidRPr="00A31137">
        <w:t>in constitutional adjudication some steps, which when taken were thought to approach "the verge," have become the platform for yet further steps. A certain momentum develops in constitutional theory and it can be a "downhill thrust" easily set in motion but difficult to retard or stop.</w:t>
      </w:r>
    </w:p>
    <w:p w:rsidR="00A31137" w:rsidRPr="00A31137" w:rsidRDefault="00A31137" w:rsidP="00A31137">
      <w:r w:rsidRPr="00A31137">
        <w:t>1995, Rosenberger v. Rector, Univ. of Virginia, No. 94-329</w:t>
      </w:r>
    </w:p>
    <w:p w:rsidR="00A31137" w:rsidRPr="00A31137" w:rsidRDefault="00A31137" w:rsidP="00A31137">
      <w:r w:rsidRPr="00A31137">
        <w:t>I respectfully dissent.</w:t>
      </w:r>
    </w:p>
    <w:p w:rsidR="00A31137" w:rsidRPr="00A31137" w:rsidRDefault="00A31137" w:rsidP="00A31137">
      <w:r w:rsidRPr="00A31137">
        <w:t>Footnotes</w:t>
      </w:r>
    </w:p>
    <w:p w:rsidR="00A31137" w:rsidRPr="00A31137" w:rsidRDefault="00A31137" w:rsidP="00A31137">
      <w:r w:rsidRPr="00A31137">
        <w:t>THOMAS, J., concurring (Footnotes)</w:t>
      </w:r>
    </w:p>
    <w:p w:rsidR="00A31137" w:rsidRPr="00A31137" w:rsidRDefault="00A31137" w:rsidP="00A31137">
      <w:r w:rsidRPr="00A31137">
        <w:t>1995, Rosenberger v. Rector, Univ. of Virginia, No. 94-329</w:t>
      </w:r>
    </w:p>
    <w:p w:rsidR="00A31137" w:rsidRPr="00A31137" w:rsidRDefault="00A31137" w:rsidP="00A31137">
      <w:r w:rsidRPr="00A31137">
        <w:t>1. The dissent suggests that the assessment bill would have created a "generally available subsidy program" comparable to respondent's Student Activities Fund (SAF). See post at ___, n. 1. The dissent's characterization of the bill, however, is squarely at odds with the bill's clear purpose and effect to provide "for the support of Christian teachers." Everson, 330 U.S. at  72. Moreover, the section of the bill cited by the dissent, see post at ___, n. 1, simply indicated that funds would be "disposed of under the direction of the General Assembly, for the encouragement of seminaries of learning within the Counties whence such sums shall arise," Everson, supra at  74. This provision disposing of undesignated funds hardly transformed the "Bill Establishing a Provision for Teachers of the Christian Religion" into a truly neutral program that would benefit religious adherents as part of a large class of beneficiaries defined without reference to religion. Indeed, the only appropriation of money made by the bill would have been to promote "the general diffusion of Christian knowledge," id. at  72; any possible appropriation for "seminaries of learning" depended entirely on future legislative action.</w:t>
      </w:r>
    </w:p>
    <w:p w:rsidR="00A31137" w:rsidRPr="00A31137" w:rsidRDefault="00A31137" w:rsidP="00A31137">
      <w:r w:rsidRPr="00A31137">
        <w:t>1995, Rosenberger v. Rector, Univ. of Virginia, No. 94-329</w:t>
      </w:r>
    </w:p>
    <w:p w:rsidR="00A31137" w:rsidRPr="00A31137" w:rsidRDefault="00A31137" w:rsidP="00A31137">
      <w:r w:rsidRPr="00A31137">
        <w:t>Even assuming that future legislators would adhere to the bill's directive in appropriating the undesignated tax revenues, nothing in the bill would prevent use of those funds solely for sectarian educational institutions. To the contrary, most schools at the time of the founding were affiliated with some religious organization, see C. Antieau, A. Downey, &amp; E. Roberts, Freedom From Federal Establishment, Formation and Early History of the First Amendment Religion Clauses 163 (1964), and in fact there was no system of public education in Virginia until several decades after the assessment bill was proposed, see A. Morrison, The Beginnings of Public Education in Virginia, 1776-1860, p. 9 (1917); see also A. Johnson, The Legal Status of Church-State Relationships in the United States 4 (1982) ("In Virginia the parish institutions transported from England were the earliest educational agencies. Although much of the teaching took place in the home and with the aid of tutors, every minister had a school, and it was the duty of the vestry to see that all the poor children were taught to read and write") (footnote omitted). Further, the clearly religious tenor of the Virginia assessment would seem to point toward appropriation of residual funds to sectarian "seminaries of learning." Finally, although modern historians have focused on the opt-out provision, the dissent provides no indication that Madison viewed the Virginia assessment as an evenhanded program; in fact, several of the objections expressed in Madison's Memorial and Remonstrance Against Religious Assessments, reprinted in Everson, supra, at  63, focus clearly on the bill's violation of the principle of "equality," or evenhandedness. See infra at ___.</w:t>
      </w:r>
    </w:p>
    <w:p w:rsidR="00A31137" w:rsidRPr="00A31137" w:rsidRDefault="00A31137" w:rsidP="00A31137">
      <w:r w:rsidRPr="00A31137">
        <w:t>1995, Rosenberger v. Rector, Univ. of Virginia, No. 94-329</w:t>
      </w:r>
    </w:p>
    <w:p w:rsidR="00A31137" w:rsidRPr="00A31137" w:rsidRDefault="00A31137" w:rsidP="00A31137">
      <w:r w:rsidRPr="00A31137">
        <w:t>2. To the contrary, Madison's Remonstrance decried the fact that the assessment bill would require civil society to take "cognizance" of religion. Madison's Remonstrance ¶ 1, reprinted in Everson v. Board of Ed. of Ewing, 330 U.S. 1,  64 (1947). Respondent's exclusion of religious activities from SAF funding creates this very problem. It requires University officials to classify publications as "religious activities," and to discriminate against the publications that fall into that category. Such a policy also contravenes the principles expressed in Madison's Remonstrance by encouraging religious adherents to cleanse their speech of religious overtones, thus "degrad[ing] from the equal rank of Citizens all those whose opinions in Religion do not bend to those of the Legislative authority." Id. ¶ 9, reprinted in Everson, supra at  69.</w:t>
      </w:r>
    </w:p>
    <w:p w:rsidR="00A31137" w:rsidRPr="00A31137" w:rsidRDefault="00A31137" w:rsidP="00A31137">
      <w:r w:rsidRPr="00A31137">
        <w:t>1995, Rosenberger v. Rector, Univ. of Virginia, No. 94-329</w:t>
      </w:r>
    </w:p>
    <w:p w:rsidR="00A31137" w:rsidRPr="00A31137" w:rsidRDefault="00A31137" w:rsidP="00A31137">
      <w:r w:rsidRPr="00A31137">
        <w:t>3. A number of other, less familiar examples of what amount to direct funding appear in early Acts of Congress. See, e.g. Act of Feb. 20, 1833, ch. 42, 4 Stat. 618-619 (authorizing the State of Ohio to sell "all or any part of the lands heretofore reserved and appropriated by Congress for the support of religion within the Ohio Company's…purchases…and to invest the money arising from the sale thereof, in some productive fund; the proceeds of which shall be for ever annually applied…for the support of religion within the several townships for which said lands were originally reserved and set apart, and for no other use or purpose whatsoever"); Act of Mar. 2, 1833, ch. 86, §§ 1, 3, 6 Stat. 538 (granting to Georgetown College—a Jesuit institution—"lots in the city of Washington, to the amount, in value, of twenty-five thousand dollars," and directing the College to sell the lots and invest the proceeds, thereafter using the dividends to establish and endow such professorships as it saw fit); see also Wallace v. Jaffree, 472 U.S. 38,  103 (1985) (REHNQUIST, J., dissenting) ("As the United States moved from the 18th into the 19th century, Congress appropriated time and again public moneys in support of sectarian Indian education carried on by religious organizations").</w:t>
      </w:r>
    </w:p>
    <w:p w:rsidR="00A31137" w:rsidRPr="00A31137" w:rsidRDefault="00A31137" w:rsidP="00A31137">
      <w:r w:rsidRPr="00A31137">
        <w:t>1995, Rosenberger v. Rector, Univ. of Virginia, No. 94-329</w:t>
      </w:r>
    </w:p>
    <w:p w:rsidR="00A31137" w:rsidRPr="00A31137" w:rsidRDefault="00A31137" w:rsidP="00A31137">
      <w:r w:rsidRPr="00A31137">
        <w:t>4. The Virginia experience during the period of the Assessment Controversy itself is inconsistent with the rigid "no-aid" principle embraced by the dissent. Since at least 1777, the Virginia legislature authorized tax exemptions for property belonging to the "commonwealth, or to any county, town, college, houses for divine worship, or seminary of learning." Act of Jan. 23, 1800, ch.2, § 1, 1800 Va. Acts. And even Thomas Jefferson, respondent's founder and a champion of disestablishment in Virginia, advocated the use of public funds in Virginia for a department of theology in conjunction with other professional schools. See S. Padover, The Complete Jefferson 1067 (1943); see also id. at 958 (noting that Jefferson advocated giving "to the sectarian schools of divinity the full benefit [of] the public provisions made for instruction in the other branches of science").</w:t>
      </w:r>
    </w:p>
    <w:p w:rsidR="00A31137" w:rsidRPr="00A31137" w:rsidRDefault="00A31137" w:rsidP="00A31137">
      <w:r w:rsidRPr="00A31137">
        <w:t>1995, Rosenberger v. Rector, Univ. of Virginia, No. 94-329</w:t>
      </w:r>
    </w:p>
    <w:p w:rsidR="00A31137" w:rsidRPr="00A31137" w:rsidRDefault="00A31137" w:rsidP="00A31137">
      <w:r w:rsidRPr="00A31137">
        <w:t>5. In the tax literature, this identity is called a "tax expenditure," a concept</w:t>
      </w:r>
    </w:p>
    <w:p w:rsidR="00A31137" w:rsidRPr="00A31137" w:rsidRDefault="00A31137" w:rsidP="00A31137">
      <w:r w:rsidRPr="00A31137">
        <w:t>1995, Rosenberger v. Rector, Univ. of Virginia, No. 94-329</w:t>
      </w:r>
    </w:p>
    <w:p w:rsidR="00A31137" w:rsidRPr="00A31137" w:rsidRDefault="00A31137" w:rsidP="00A31137">
      <w:r w:rsidRPr="00A31137">
        <w:t>based upon recognition of the fact that a government can appropriate money to a particular person or group by using a special, narrowly directed tax deduction or exclusion, instead of by using its ordinary direct spending mechanisms. For example, a government with a general income tax, wanting to add $7,000 to the spendable income of a preacher whose top tax rate is 30%, has two ways of subsidizing him. The government can send the preacher a check for $10,000 and tax him on all of his income, or it can authorize him to reduce his taxable income by $23,333.33 [resulting in a tax saving of $7,000]. If the direct payment were itself taxable and did not alter his tax bracket, the preacher would receive the same benefit from the tax deduction as he would from the direct payment.</w:t>
      </w:r>
    </w:p>
    <w:p w:rsidR="00A31137" w:rsidRPr="00A31137" w:rsidRDefault="00A31137" w:rsidP="00A31137">
      <w:r w:rsidRPr="00A31137">
        <w:t>1995, Rosenberger v. Rector, Univ. of Virginia, No. 94-329</w:t>
      </w:r>
    </w:p>
    <w:p w:rsidR="00A31137" w:rsidRPr="00A31137" w:rsidRDefault="00A31137" w:rsidP="00A31137">
      <w:r w:rsidRPr="00A31137">
        <w:t>Wolfman, Tax Expenditures: From Idea to Ideology, 99 Harv.L.Rev. 491, 491-492 (1985). In fact, Congress has provided a similar "tax expenditure" in § 107 of the Internal Revenue Code by granting a "'minister of the gospel'" an unlimited exclusion for the rental value of any home furnished as part of his pay or for the rental allowance paid to him. See id. at 492, n. 6.</w:t>
      </w:r>
    </w:p>
    <w:p w:rsidR="00A31137" w:rsidRPr="00A31137" w:rsidRDefault="00A31137" w:rsidP="00A31137">
      <w:r w:rsidRPr="00A31137">
        <w:t>1995, Rosenberger v. Rector, Univ. of Virginia, No. 94-329</w:t>
      </w:r>
    </w:p>
    <w:p w:rsidR="00A31137" w:rsidRPr="00A31137" w:rsidRDefault="00A31137" w:rsidP="00A31137">
      <w:r w:rsidRPr="00A31137">
        <w:t>Although Professor Bittker is certainly a leading scholar in the tax field, the dissent's reliance on Bittker, see post at ___, n. 7, is misplaced in this context. See Adler, The Internal Revenue Code, The Constitution, and the Courts: The Use of Tax Expenditure Analysis in Judicial Decision Making, 28 Wake Forest L.Rev. 855, 862, n. 30 (1993):</w:t>
      </w:r>
    </w:p>
    <w:p w:rsidR="00A31137" w:rsidRPr="00A31137" w:rsidRDefault="00A31137" w:rsidP="00A31137">
      <w:r w:rsidRPr="00A31137">
        <w:t>1995, Rosenberger v. Rector, Univ. of Virginia, No. 94-329</w:t>
      </w:r>
    </w:p>
    <w:p w:rsidR="00A31137" w:rsidRPr="00A31137" w:rsidRDefault="00A31137" w:rsidP="00A31137">
      <w:r w:rsidRPr="00A31137">
        <w:t>Early criticism of the tax expenditure concept focused on the difficulty of drawing a dividing line between what is or is not a special provision. Professor Boris Bittker, for example, argued that since no tax is all inclusive, exemptions from any tax could not be described as the equivalent of subsidies. Boris I. Bittker, Churches, Taxes and the Constitution, 78 Yale L.J. 1285 (1969). This wholesale rejection of tax expenditure analysis was short-lived and attracted few supporters. Rather, the large body of literature about tax expenditures accepts the basic concept that special exemptions from tax function as subsidies. The current debate focuses on whether particular items are correctly identified as tax expenditures and whether incentive provisions are more efficient when structured as tax expenditures rather than direct spending programs. See generally [numerous authorities].</w:t>
      </w:r>
    </w:p>
    <w:p w:rsidR="00A31137" w:rsidRPr="00A31137" w:rsidRDefault="00A31137" w:rsidP="00A31137">
      <w:r w:rsidRPr="00A31137">
        <w:t>SOUTER, J., dissenting (Footnotes)</w:t>
      </w:r>
    </w:p>
    <w:p w:rsidR="00A31137" w:rsidRPr="00A31137" w:rsidRDefault="00A31137" w:rsidP="00A31137">
      <w:r w:rsidRPr="00A31137">
        <w:t>1995, Rosenberger v. Rector, Univ. of Virginia, No. 94-329</w:t>
      </w:r>
    </w:p>
    <w:p w:rsidR="00A31137" w:rsidRPr="00A31137" w:rsidRDefault="00A31137" w:rsidP="00A31137">
      <w:r w:rsidRPr="00A31137">
        <w:t>1. JUSTICE THOMAS suggests that Madison would have approved of the assessment bill if only it had satisfied the principle of evenhandedness. Nowhere in the Remonstrance, however, did Madison advance the view that Virginia should be able to provide financial support for religion as part of a generally available subsidy program. Indeed, while JUSTICE THOMAS claims that the "funding provided by the Virginia assessment was to be extended only to Christian sects," ante at ___, it is clear that the bill was more general in scope than this. While the bill, which is reprinted in Everson v. Board of Ed. of Ewing, 330 U.S. 1, 72-74 (1947), provided that each taxpayer could designate a religious society to which he wanted his levy paid, id. at  73, it would also have allowed a taxpayer to refuse to appropriate his levy to any religious society, in which case the legislature was to use these unappropriated sums to fund "seminaries of learning." Id. at  74 (contrary to JUSTICE THOMAS' unsupported assertion, this portion of the bill was no less obligatory than any other). While some of these seminaries undoubtedly would have been religious in character, others would not have been, as a seminary was generally understood at the time to be</w:t>
      </w:r>
    </w:p>
    <w:p w:rsidR="00A31137" w:rsidRPr="00A31137" w:rsidRDefault="00A31137" w:rsidP="00A31137">
      <w:r w:rsidRPr="00A31137">
        <w:t>1995, Rosenberger v. Rector, Univ. of Virginia, No. 94-329</w:t>
      </w:r>
    </w:p>
    <w:p w:rsidR="00A31137" w:rsidRPr="00A31137" w:rsidRDefault="00A31137" w:rsidP="00A31137">
      <w:r w:rsidRPr="00A31137">
        <w:t>any school, academy, college or university, in which young persons are instructed in the several branches of learning which may qualify them for their future employments.</w:t>
      </w:r>
    </w:p>
    <w:p w:rsidR="00A31137" w:rsidRPr="00A31137" w:rsidRDefault="00A31137" w:rsidP="00A31137">
      <w:r w:rsidRPr="00A31137">
        <w:t>1995, Rosenberger v. Rector, Univ. of Virginia, No. 94-329</w:t>
      </w:r>
    </w:p>
    <w:p w:rsidR="00A31137" w:rsidRPr="00A31137" w:rsidRDefault="00A31137" w:rsidP="00A31137">
      <w:r w:rsidRPr="00A31137">
        <w:t>N. Webster, An American Dictionary of the English Language (1st ed. 1828); see also 14 The Oxford English Dictionary 956 (2d ed. 1989). Not surprisingly, then, scholars have generally agreed that the bill would have provided funding for nonreligious schools. See, e.g., Laycock, "Nonpreferential" Aid to Religion: A False Claim About Original Intent, 27 Wm. &amp; Mary L.Rev. 875, 897 (1986) ("Any taxpayer could refuse to designate a church, with undesignated church taxes going to a fund for schools…The bill used the phrase 'seminaries of learning,' which almost certainly meant schools generally and not just schools for the training of ministers"); T. Buckley, Church and State in Revolutionary Virginia, 1776-1787, p. 133 (1977) ("The assessment had been carefully drafted to permit those who preferred to support education rather than religion to do so"); T. Curry, The First Freedoms 141 (1986) ("[T]hose taxes not designated for any specific denomination [were] allocated to education"). It is beside the point that "there was no system of public education in Virginia until several decades after the assessment bill was proposed," ante at ___, n. 1 (THOMAS, J., concurring); because the bill was never passed, the funds that it would have made available for secular, public schools never materialized. The fact that the bill, if passed, would have funded secular as well as religious instruction did nothing to soften Madison's opposition to it.</w:t>
      </w:r>
    </w:p>
    <w:p w:rsidR="00A31137" w:rsidRPr="00A31137" w:rsidRDefault="00A31137" w:rsidP="00A31137">
      <w:r w:rsidRPr="00A31137">
        <w:t>1995, Rosenberger v. Rector, Univ. of Virginia, No. 94-329</w:t>
      </w:r>
    </w:p>
    <w:p w:rsidR="00A31137" w:rsidRPr="00A31137" w:rsidRDefault="00A31137" w:rsidP="00A31137">
      <w:r w:rsidRPr="00A31137">
        <w:t>Nor is it fair to argue that Madison opposed the bill only because it treated religious groups unequally. Ante at ___ (THOMAS, J., concurring). In various paragraphs of the Remonstrance, Madison did complain about the bill's peculiar burdens and exemptions, Everson, supra at  66, but to identify this factor as the sole point of Madison's opposition to the bill is unfaithful to the Remonstrance's text. Madison strongly inveighed against the proposed aid for religion for a host of reasons (the Remonstrance numbers 15 paragraphs, each containing at least one point in opposition), and crucial here is the fact that many of those reasons would have applied whether or not the state aid was being distributed equally among sects, and whether or not the aid was going to those sects in the context of an evenhanded government program. See, e.g., Madison's Remonstrance, reprinted in Everson, 330 U.S. at  64, ¶ 1 ("[I]n matters of Religion, no man's right is abridged by the institution of Civil Society, and…Religion is wholly exempt from its cognizance"); id. at  67, ¶ 6 (arguing that State support of religion "is a contradiction to the Christian Religion itself; for every page of it disavows a dependence on the powers of this world"); ibid., ¶ 7 ("[E]xperience witnesseth that ecclesiastical establishments, instead of maintaining the purity and efficacy of Religion, have had a contrary operation"). Madison's objections were supplemented by numerous other petitions in opposition to the bill that likewise do not suggest that the lack of evenhandedness was its dispositive flaw. L. Levy, The Establishment Clause 63-67 (2d ed. 1994). For example, the petition that received the largest number of signatories was motivated by the view that religion should only be supported voluntarily. Id. at 63-64. Indeed, Madison's Remonstrance did not argue for a bill distributing aid to all sects and religions on an equal basis, and the outgrowth of the Remonstrance and the defeat of the Virginia assessment was not such a bill; rather, it was the Virginia Bill for Establishing Religious Freedom, which, as discussed in the text, proscribed the use of tax dollars for religious purposes. In attempting to recast Madison's opposition as having principally been targeted against "governmental preferences for particular religious faiths," ante at ___ (emphasis in original), JUSTICE THOMAS wishes to wage a battle that was lost long ago, for</w:t>
      </w:r>
    </w:p>
    <w:p w:rsidR="00A31137" w:rsidRPr="00A31137" w:rsidRDefault="00A31137" w:rsidP="00A31137">
      <w:r w:rsidRPr="00A31137">
        <w:t>1995, Rosenberger v. Rector, Univ. of Virginia, No. 94-329</w:t>
      </w:r>
    </w:p>
    <w:p w:rsidR="00A31137" w:rsidRPr="00A31137" w:rsidRDefault="00A31137" w:rsidP="00A31137">
      <w:r w:rsidRPr="00A31137">
        <w:t>this Court has rejected unequivocally the contention that the Establishment Clause forbids only governmental preference of one religion over another,</w:t>
      </w:r>
    </w:p>
    <w:p w:rsidR="00A31137" w:rsidRPr="00A31137" w:rsidRDefault="00A31137" w:rsidP="00A31137">
      <w:r w:rsidRPr="00A31137">
        <w:t>1995, Rosenberger v. Rector, Univ. of Virginia, No. 94-329</w:t>
      </w:r>
    </w:p>
    <w:p w:rsidR="00A31137" w:rsidRPr="00A31137" w:rsidRDefault="00A31137" w:rsidP="00A31137">
      <w:r w:rsidRPr="00A31137">
        <w:t>School Dist. of Abington v. Schempp, 374 U.S. 203,  216 (1963); see also Texas Monthly, Inc. v. Bullock, 489 U.S. 1,  17 (1989) (plurality opinion); id. at  28 (Blackmun, J., concurring in judgment); Wallace v. Jaffree, 472 U.S. 38, 52-53 (1985); Torcaso v. Watkins, 367 U.S. 488,  495 (1961); Engel v. Vitale, 370 U.S. 421,  430 (1962); Everson, supra at  15; see generally Lee v. Weisman, 505 U.S. ___ (1992) (SOUTER, J., concurring).</w:t>
      </w:r>
    </w:p>
    <w:p w:rsidR="00A31137" w:rsidRPr="00A31137" w:rsidRDefault="00A31137" w:rsidP="00A31137">
      <w:r w:rsidRPr="00A31137">
        <w:t>1995, Rosenberger v. Rector, Univ. of Virginia, No. 94-329</w:t>
      </w:r>
    </w:p>
    <w:p w:rsidR="00A31137" w:rsidRPr="00A31137" w:rsidRDefault="00A31137" w:rsidP="00A31137">
      <w:r w:rsidRPr="00A31137">
        <w:t>2. JUSTICE THOMAS attempts to cast doubt on this accepted version of Establishment Clause history by reference to historical facts that are largely inapposite. Ante at ___ (concurring opinion). As I have said elsewhere, individual Acts of Congress, especially when they are few and far between, scarcely serve as an authoritative guide to the meaning of the religion clauses, for</w:t>
      </w:r>
    </w:p>
    <w:p w:rsidR="00A31137" w:rsidRPr="00A31137" w:rsidRDefault="00A31137" w:rsidP="00A31137">
      <w:r w:rsidRPr="00A31137">
        <w:t>1995, Rosenberger v. Rector, Univ. of Virginia, No. 94-329</w:t>
      </w:r>
    </w:p>
    <w:p w:rsidR="00A31137" w:rsidRPr="00A31137" w:rsidRDefault="00A31137" w:rsidP="00A31137">
      <w:r w:rsidRPr="00A31137">
        <w:t>like other politicians, [members of the early Congresses] could raise constitutional ideals one day and turn their backs on them the next. [For example,]…[t]en years after proposing the First Amendment, Congress passed the Alien and Sedition Acts, measures patently unconstitutional by modern standards. If the early Congress's political actions were determinative, and not merely relevant, evidence of constitutional meaning, we would have to gut our current First Amendment doctrine to make room for political censorship.</w:t>
      </w:r>
    </w:p>
    <w:p w:rsidR="00A31137" w:rsidRPr="00A31137" w:rsidRDefault="00A31137" w:rsidP="00A31137">
      <w:r w:rsidRPr="00A31137">
        <w:t>1995, Rosenberger v. Rector, Univ. of Virginia, No. 94-329</w:t>
      </w:r>
    </w:p>
    <w:p w:rsidR="00A31137" w:rsidRPr="00A31137" w:rsidRDefault="00A31137" w:rsidP="00A31137">
      <w:r w:rsidRPr="00A31137">
        <w:t>Lee v. Weisman, 505 U.S. ___ (1992) (concurring opinion). The legislation cited by JUSTICE THOMAS, including the Northwest Ordinance, is no more dispositive than the Alien and Sedition Acts in interpreting the First Amendment. Even less persuasive, then, are citations to constitutionally untested Acts dating from the mid-19th century, for without some rather innovative argument, they cannot be offered as providing an authoritative gloss on the Framers' intent.JUSTICE THOMAS' references to Madison's actions as a legislator also provide little support for his cause. JUSTICE THOMAS seeks to draw a significant lesson out of the fact that, in seeking to disestablish the Anglican Church in Virginia in 1776, Madison did not inveigh against state funding of religious activities. Ante at ___ (concurring opinion). That was not the task at hand, however. Madison was acting with the specific goal of eliminating the special privileges enjoyed by Virginia Anglicans, and he made no effort to lay out the broader views of church and state that came to bear in his drafting of the First Amendment some 13 years later. That Madison did not speak in more expansive terms than necessary in 1776 was hardly surprising for, as it was, his proposal was defeated by the Virginia Convention as having gone too far. Ibid.</w:t>
      </w:r>
    </w:p>
    <w:p w:rsidR="00A31137" w:rsidRPr="00A31137" w:rsidRDefault="00A31137" w:rsidP="00A31137">
      <w:r w:rsidRPr="00A31137">
        <w:t>1995, Rosenberger v. Rector, Univ. of Virginia, No. 94-329</w:t>
      </w:r>
    </w:p>
    <w:p w:rsidR="00A31137" w:rsidRPr="00A31137" w:rsidRDefault="00A31137" w:rsidP="00A31137">
      <w:r w:rsidRPr="00A31137">
        <w:t>Similarly, the invocation of Madison's tenure on the congressional committee that approved funding for legislative chaplains provides no support for more general principles that run counter to settled Establishment Clause jurisprudence. As I have previously pointed out, Madison, upon retirement,</w:t>
      </w:r>
    </w:p>
    <w:p w:rsidR="00A31137" w:rsidRPr="00A31137" w:rsidRDefault="00A31137" w:rsidP="00A31137">
      <w:r w:rsidRPr="00A31137">
        <w:t>1995, Rosenberger v. Rector, Univ. of Virginia, No. 94-329</w:t>
      </w:r>
    </w:p>
    <w:p w:rsidR="00A31137" w:rsidRPr="00A31137" w:rsidRDefault="00A31137" w:rsidP="00A31137">
      <w:r w:rsidRPr="00A31137">
        <w:t>insisted that "it was not with my approbation, that the deviation from [the immunity of religion from civil jurisdiction] took place in Congs., when they appointed Chaplains, to be paid from the Natl. Treasury."</w:t>
      </w:r>
    </w:p>
    <w:p w:rsidR="00A31137" w:rsidRPr="00A31137" w:rsidRDefault="00A31137" w:rsidP="00A31137">
      <w:r w:rsidRPr="00A31137">
        <w:t>1995, Rosenberger v. Rector, Univ. of Virginia, No. 94-329</w:t>
      </w:r>
    </w:p>
    <w:p w:rsidR="00A31137" w:rsidRPr="00A31137" w:rsidRDefault="00A31137" w:rsidP="00A31137">
      <w:r w:rsidRPr="00A31137">
        <w:t>Lee, supra at ___, n. 6, quoting Letter from J. Madison to E. Livingston (July 10, 1822), in 5 The Founders' Constitution at 105. And when we turned our attention to deciding whether funding of legislative chaplains posed an establishment problem, we did not address the practice as one instance of a larger class of permissible government funding of religious activities. Instead, Marsh v. Chambers, 463 U.S. 783,  791 (1983), explicitly relied on the singular, 200-year pedigree of legislative chaplains, noting that "[t]his unique history" justified carving out an exception for the specific practice in question. Given that the decision upholding this practice was expressly limited to its facts, then, it would stand the Establishment Clause on its head to extract from it a broad rule permitting the funding of religious activities.</w:t>
      </w:r>
    </w:p>
    <w:p w:rsidR="00A31137" w:rsidRPr="00A31137" w:rsidRDefault="00A31137" w:rsidP="00A31137">
      <w:r w:rsidRPr="00A31137">
        <w:t>1995, Rosenberger v. Rector, Univ. of Virginia, No. 94-329</w:t>
      </w:r>
    </w:p>
    <w:p w:rsidR="00A31137" w:rsidRPr="00A31137" w:rsidRDefault="00A31137" w:rsidP="00A31137">
      <w:r w:rsidRPr="00A31137">
        <w:t>3. In the District Court, the parties agreed to the following facts:</w:t>
      </w:r>
    </w:p>
    <w:p w:rsidR="00A31137" w:rsidRPr="00A31137" w:rsidRDefault="00A31137" w:rsidP="00A31137">
      <w:r w:rsidRPr="00A31137">
        <w:t>1995, Rosenberger v. Rector, Univ. of Virginia, No. 94-329</w:t>
      </w:r>
    </w:p>
    <w:p w:rsidR="00A31137" w:rsidRPr="00A31137" w:rsidRDefault="00A31137" w:rsidP="00A31137">
      <w:r w:rsidRPr="00A31137">
        <w:t>The University of Virginia has charged at all times relevant herein and currently charges each full-time student a compulsory student activity fee of $14.00 per semester. There is no procedural or other mechanism by which a student may decline to pay the fee.</w:t>
      </w:r>
    </w:p>
    <w:p w:rsidR="00A31137" w:rsidRPr="00A31137" w:rsidRDefault="00A31137" w:rsidP="00A31137">
      <w:r w:rsidRPr="00A31137">
        <w:t>1995, Rosenberger v. Rector, Univ. of Virginia, No. 94-329</w:t>
      </w:r>
    </w:p>
    <w:p w:rsidR="00A31137" w:rsidRPr="00A31137" w:rsidRDefault="00A31137" w:rsidP="00A31137">
      <w:r w:rsidRPr="00A31137">
        <w:t>App.37; see also App. 9, 21.</w:t>
      </w:r>
    </w:p>
    <w:p w:rsidR="00A31137" w:rsidRPr="00A31137" w:rsidRDefault="00A31137" w:rsidP="00A31137">
      <w:r w:rsidRPr="00A31137">
        <w:t>1995, Rosenberger v. Rector, Univ. of Virginia, No. 94-329</w:t>
      </w:r>
    </w:p>
    <w:p w:rsidR="00A31137" w:rsidRPr="00A31137" w:rsidRDefault="00A31137" w:rsidP="00A31137">
      <w:r w:rsidRPr="00A31137">
        <w:t>4. To the extent the Court perceives some distinction between the printing and dissemination of evangelism and proselytization, and core religious activity "in [its] usual sense," ante at ___, this distinction goes entirely unexplained in the Court's opinion.</w:t>
      </w:r>
    </w:p>
    <w:p w:rsidR="00A31137" w:rsidRPr="00A31137" w:rsidRDefault="00A31137" w:rsidP="00A31137">
      <w:r w:rsidRPr="00A31137">
        <w:t>1995, Rosenberger v. Rector, Univ. of Virginia, No. 94-329</w:t>
      </w:r>
    </w:p>
    <w:p w:rsidR="00A31137" w:rsidRPr="00A31137" w:rsidRDefault="00A31137" w:rsidP="00A31137">
      <w:r w:rsidRPr="00A31137">
        <w:t>5. In a narrow band of cases at the polar extreme from direct funding cases, those involving essential public benefits commonly associated with living in an organized society (like police and fire protection, for example), evenhandedness may become important to ensuring that religious interests are not inhibited.</w:t>
      </w:r>
    </w:p>
    <w:p w:rsidR="00A31137" w:rsidRPr="00A31137" w:rsidRDefault="00A31137" w:rsidP="00A31137">
      <w:r w:rsidRPr="00A31137">
        <w:t>1995, Rosenberger v. Rector, Univ. of Virginia, No. 94-329</w:t>
      </w:r>
    </w:p>
    <w:p w:rsidR="00A31137" w:rsidRPr="00A31137" w:rsidRDefault="00A31137" w:rsidP="00A31137">
      <w:r w:rsidRPr="00A31137">
        <w:t>6. In Zobrest, a deaf student sought to have an interpreter, provided under a state Act aiding individuals with disabilities, accompany him to a Roman Catholic high school. In Witters, a blind student sought to use aid, provided under a state program for assistance to handicapped persons, to attend a private Christian college. In Mueller, parents sought to take a tax deduction, available for parents of both public and nonpublic schoolchildren, for certain expenses incurred in connection with providing education for their children in private religious schools.</w:t>
      </w:r>
    </w:p>
    <w:p w:rsidR="00A31137" w:rsidRPr="00A31137" w:rsidRDefault="00A31137" w:rsidP="00A31137">
      <w:r w:rsidRPr="00A31137">
        <w:t>1995, Rosenberger v. Rector, Univ. of Virginia, No. 94-329</w:t>
      </w:r>
    </w:p>
    <w:p w:rsidR="00A31137" w:rsidRPr="00A31137" w:rsidRDefault="00A31137" w:rsidP="00A31137">
      <w:r w:rsidRPr="00A31137">
        <w:t>7. Walz v. Tax Comm'n of New York City, 397 U.S. 664 (1970), is yet another example of a case in which the Court treated the general availability of a government benefit as a significant condition defining compliance with the Establishment Clause, but did not deem that condition sufficient. In upholding state property tax exemptions given to religious organizations in Walz, we noted that the law at issue was applicable to "a broad class of property owned by nonprofit [and] quasi-public corporations," id. at  673, but did not rest on that factor alone. Critical to our decision was the central principle that direct funding of religious activities is prohibited under the Establishment Clause.</w:t>
      </w:r>
    </w:p>
    <w:p w:rsidR="00A31137" w:rsidRPr="00A31137" w:rsidRDefault="00A31137" w:rsidP="00A31137">
      <w:r w:rsidRPr="00A31137">
        <w:t>1995, Rosenberger v. Rector, Univ. of Virginia, No. 94-329</w:t>
      </w:r>
    </w:p>
    <w:p w:rsidR="00A31137" w:rsidRPr="00A31137" w:rsidRDefault="00A31137" w:rsidP="00A31137">
      <w:r w:rsidRPr="00A31137">
        <w:t>It is sufficient to note that for the men who wrote the Religion Clauses of the First Amendment the "establishment" of a religion connoted sponsorship, financial support, and active involvement of the sovereign in religious activity.</w:t>
      </w:r>
    </w:p>
    <w:p w:rsidR="00A31137" w:rsidRPr="00A31137" w:rsidRDefault="00A31137" w:rsidP="00A31137">
      <w:r w:rsidRPr="00A31137">
        <w:t>1995, Rosenberger v. Rector, Univ. of Virginia, No. 94-329</w:t>
      </w:r>
    </w:p>
    <w:p w:rsidR="00A31137" w:rsidRPr="00A31137" w:rsidRDefault="00A31137" w:rsidP="00A31137">
      <w:r w:rsidRPr="00A31137">
        <w:t>Id. at  668. We emphasized that the tax exemptions did not involve the expenditure of government funds in support of religious activities.</w:t>
      </w:r>
    </w:p>
    <w:p w:rsidR="00A31137" w:rsidRPr="00A31137" w:rsidRDefault="00A31137" w:rsidP="00A31137">
      <w:r w:rsidRPr="00A31137">
        <w:t>1995, Rosenberger v. Rector, Univ. of Virginia, No. 94-329</w:t>
      </w:r>
    </w:p>
    <w:p w:rsidR="00A31137" w:rsidRPr="00A31137" w:rsidRDefault="00A31137" w:rsidP="00A31137">
      <w:r w:rsidRPr="00A31137">
        <w:t>The grant of a tax exemption is not sponsorship, since the government does not transfer part of its revenue to churches, but simply abstains from demanding that the church support the state.</w:t>
      </w:r>
    </w:p>
    <w:p w:rsidR="00A31137" w:rsidRPr="00A31137" w:rsidRDefault="00A31137" w:rsidP="00A31137">
      <w:r w:rsidRPr="00A31137">
        <w:t>1995, Rosenberger v. Rector, Univ. of Virginia, No. 94-329</w:t>
      </w:r>
    </w:p>
    <w:p w:rsidR="00A31137" w:rsidRPr="00A31137" w:rsidRDefault="00A31137" w:rsidP="00A31137">
      <w:r w:rsidRPr="00A31137">
        <w:t>Id. at  675. Moreover, we noted that in the property taxation context, "exemption[s] creat[e] only a minimal and remote involvement between church and state and far less than taxation of churches," and, in operation, "ten[d] to complement and reinforce the desired separation insulating" church and state, id. at  676; and that religious property tax exemptions have been in place for over 200 years without disruption to the interests represented by the Establishment Clause, id. at 676-680.</w:t>
      </w:r>
    </w:p>
    <w:p w:rsidR="00A31137" w:rsidRPr="00A31137" w:rsidRDefault="00A31137" w:rsidP="00A31137">
      <w:r w:rsidRPr="00A31137">
        <w:t>1995, Rosenberger v. Rector, Univ. of Virginia, No. 94-329</w:t>
      </w:r>
    </w:p>
    <w:p w:rsidR="00A31137" w:rsidRPr="00A31137" w:rsidRDefault="00A31137" w:rsidP="00A31137">
      <w:r w:rsidRPr="00A31137">
        <w:t>JUSTICE THOMAS' assertion, that "[a] tax exemption in many cases is economically and functionally indistinguishable from a direct monetary subsidy," ante at ___ (concurring opinion) (footnote omitted), assumes that the "natural" or "correct" tax base is so self-evident that any provision excusing a person or institution from taxes to which others are subjected must be a departure from the natural tax base, rather than part of the definition of the tax base itself. The equivalence (asserted by JUSTICE THOMAS, ante at ___) between a direct money subsidy and the tax liability avoided by an institution (because it is part of the class of institutions that defines the relevant tax base by its exclusion) was tested and dispatched long ago by Professor Bittker in Churches, Taxes and the Constitution, 78 Yale L.J. 1285 (1969). JUSTICE THOMAS' suggestion that my "reliance on Bittker…is misplaced in this context," ante at ___, n. 5, is not on point. Even granting that JUSTICE THOMAS' assertion of equivalence is reasonable, he cannot and does not deny the fact that the Court in Walz explicitly distinguished tax exemptions from direct money subsidies, 397 U.S. at  675, and rested its decision on that distinction. If JUSTICE THOMAS' assertion of equivalence should prevail then the Walz Court necessarily was wrong about a distinction critical to its holding. JUSTICE THOMAS can hardly use Walz coherently for support after removing the basis on which it relies.</w:t>
      </w:r>
    </w:p>
    <w:p w:rsidR="00A31137" w:rsidRPr="00A31137" w:rsidRDefault="00A31137" w:rsidP="00A31137">
      <w:r w:rsidRPr="00A31137">
        <w:t>1995, Rosenberger v. Rector, Univ. of Virginia, No. 94-329</w:t>
      </w:r>
    </w:p>
    <w:p w:rsidR="00A31137" w:rsidRPr="00A31137" w:rsidRDefault="00A31137" w:rsidP="00A31137">
      <w:r w:rsidRPr="00A31137">
        <w:t>8. Although the main opinion in Tilton was a plurality, the entire Court was unanimous on this point. See 403 U.S. at 682-684 (plurality opinion); id. at  692 (Douglas, J., joined by Black and Marshall, JJ., concurring in part and dissenting in part); Lemon v. Kurtzman, 403 U.S. 602, 659-661 (1971) (opinion of Brennan, J.); id. at  665, n. 1 (opinion of White, J.).</w:t>
      </w:r>
    </w:p>
    <w:p w:rsidR="00A31137" w:rsidRPr="00A31137" w:rsidRDefault="00A31137" w:rsidP="00A31137">
      <w:r w:rsidRPr="00A31137">
        <w:t>1995, Rosenberger v. Rector, Univ. of Virginia, No. 94-329</w:t>
      </w:r>
    </w:p>
    <w:p w:rsidR="00A31137" w:rsidRPr="00A31137" w:rsidRDefault="00A31137" w:rsidP="00A31137">
      <w:r w:rsidRPr="00A31137">
        <w:t>9. Congress apparently also reads our cases as the University did, for it routinely excludes religious activities from general funding programs. See, e.g., 20 U.S.C. § 1062(b) (federal grant program for institutions of higher education; "[n]o grant may be made under this chapter for any educational program, activity, or service related to sectarian instruction or religious worship, or provided by a school or department of divinity"); 20 U.S.C. § 1069c (certain grants to higher education institutions "may not be used…for a school or department of divinity or any religious worship or sectarian activity…"); 20 U.S.C. § 1132c-3(c) (1988 ed., Supp. V) (federal assistance for renovation of certain academic facilities; "[n]o loan may be made under this part for any educational program, activity or service related to sectarian instruction or religious worship or provided by a school or department of divinity or to an institution in which a substantial portion of its functions is subsumed in a religious mission"); 20 U.S.C. § 1132i(c) (grant program for educational facilities; "no project assisted with funds under this subchapter shall ever be used for religious worship or a sectarian activity or for a school or department of divinity"); 20 U.S.C. § 1213d ("No grant may be made under this chapter for any educational program, activity, or service related to sectarian instruction or religious worship, or provided by a school or department of divinity"); 25 U.S.C. § 3306(a) (1988 ed., Supp. V) (funding for Indian higher education programs; "[n]one of the funds made available under this subchapter may be used for study at any school or department of divinity or for any religious worship or sectarian activity"); 29 U.S.C. § 776(g) (grants for projects and activities for rehabilitation of handicapped persons; "[n]o funds provided under this subchapter may be used to assist in the construction of any facility which is or will be used for religious worship or any sectarian activity"); 42 U.S.C. § 3027(a)(14)(A)(iv) (requiring states seeking federal aid for construction of centers for the elderly to submit plans providing assurances that "the facilit[ies] will not be used and [are] not intended to be used for sectarian instruction or as…place[s] for religious worship"); 42 U.S.C. § 5001(a)(2) (1988 ed., Supp. V) (federal grants to support volunteer projects for the elderly, but not including "projects involving the construction, operation, or maintenance of so much of any facility used or to be used for sectarian instruction or as a place for religious worship"); 42 U.S.C. § 9858k(a) (1988 ed., Supp. V) (no child care and development block grants "shall be expended for any sectarian purpose or activity, including sectarian worship or instruction").</w:t>
      </w:r>
    </w:p>
    <w:p w:rsidR="00A31137" w:rsidRPr="00A31137" w:rsidRDefault="00A31137" w:rsidP="00A31137">
      <w:r w:rsidRPr="00A31137">
        <w:t>1995, Rosenberger v. Rector, Univ. of Virginia, No. 94-329</w:t>
      </w:r>
    </w:p>
    <w:p w:rsidR="00A31137" w:rsidRPr="00A31137" w:rsidRDefault="00A31137" w:rsidP="00A31137">
      <w:r w:rsidRPr="00A31137">
        <w:t>10. The Court acknowledges that "if the State pays a church's bills it is subsidizing it," and concedes that "we must guard against this abuse." Ante at ___. These concerns are not present here, the Court contends, because Wide Awake "is not a religious institution at least in the usual sense of that term as used in our case law." Ibid. The Court's concession suggests that its distinction between paying a religious institution and paying a religious institution's bills is not really significant. But if the Court is relying on its characterization of Wide Awake as not a religious institution, "at least in the usual sense," the Court could presumably stop right there.</w:t>
      </w:r>
    </w:p>
    <w:p w:rsidR="00A31137" w:rsidRPr="00A31137" w:rsidRDefault="00A31137" w:rsidP="00A31137">
      <w:r w:rsidRPr="00A31137">
        <w:t>1995, Rosenberger v. Rector, Univ. of Virginia, No. 94-329</w:t>
      </w:r>
    </w:p>
    <w:p w:rsidR="00A31137" w:rsidRPr="00A31137" w:rsidRDefault="00A31137" w:rsidP="00A31137">
      <w:r w:rsidRPr="00A31137">
        <w:t>11. The Court draws a distinction between a State's use of public funds to advance its own speech and the State's funding of private speech, suggesting that authority to make content-related choices is at its most powerful when the State undertakes the former. Ante at ___. I would not argue otherwise, see Hazelwood School Dist. v. Kuhlmeier, 484 U.S. 260, 270-273 (1988), but I do suggest that this case reveals the difficulties that can be encountered in drawing this distinction. There is a communicative element inherent in the very act of funding itself, cf. Buckley v. Valeo, 424 U.S. 1, 15-19 (1976) (per curiam), and although it is the student speakers who choose which particular messages to advance in the forum created by the University, the initial act of defining the boundaries of the forum is a decision attributable to the University, not the students. In any event, even assuming that private and state speech always may be separated by clean lines and that this case involves only the former, I believe the distinction is irrelevant here because, as is discussed infra, this case does not involve viewpoint discrimination.</w:t>
      </w:r>
    </w:p>
    <w:p w:rsidR="00A31137" w:rsidRPr="00A31137" w:rsidRDefault="00A31137" w:rsidP="00A31137">
      <w:r w:rsidRPr="00A31137">
        <w:t>1995, Rosenberger v. Rector, Univ. of Virginia, No. 94-329</w:t>
      </w:r>
    </w:p>
    <w:p w:rsidR="00A31137" w:rsidRPr="00A31137" w:rsidRDefault="00A31137" w:rsidP="00A31137">
      <w:r w:rsidRPr="00A31137">
        <w:t>12. I do not decide that all viewpoint discrimination in a public university's funding determinations would violate the Free Speech Clause. If, however, the determinations are made on the basis of a reasonable subject matter distinction, but not on a viewpoint distinction, there is no violation. In a limited access forum, a speech restriction must be "reasonable in light of the purpose served by the forum" as well as viewpoint-neutral. E.g., Lamb's Chapel, 508 U.S. at ___, quoting Cornelius, 473 U.S. at  806. Because petitioners have not challenged the University's Guideline as unreasonable, I express no opinion on that or on the question whether the reasonableness criterion applies in speech funding cases in the same manner that it applies in limited access forum cases.</w:t>
      </w:r>
    </w:p>
    <w:p w:rsidR="00A31137" w:rsidRPr="00A31137" w:rsidRDefault="00A31137" w:rsidP="00A31137">
      <w:r w:rsidRPr="00A31137">
        <w:t>1995, Rosenberger v. Rector, Univ. of Virginia, No. 94-329</w:t>
      </w:r>
    </w:p>
    <w:p w:rsidR="00A31137" w:rsidRPr="00A31137" w:rsidRDefault="00A31137" w:rsidP="00A31137">
      <w:r w:rsidRPr="00A31137">
        <w:t>13. See also Tr. of Oral Arg. in Lamb's Chapel v. Center Moriches Union Free School Dist., O.T. 1992, No. 91-2024, where counsel for the school district charged with enforcing the restriction unequivocally admitted that anyone with an atheistic or anti-religious message would be permitted to use school property under the rules of the forum. Id. at 47, 57-58. The complete exchange during the oral argument in Lamb's Chapel went as follows:</w:t>
      </w:r>
    </w:p>
    <w:p w:rsidR="00A31137" w:rsidRPr="00A31137" w:rsidRDefault="00A31137" w:rsidP="00A31137">
      <w:r w:rsidRPr="00A31137">
        <w:t>1995, Rosenberger v. Rector, Univ. of Virginia, No. 94-329</w:t>
      </w:r>
    </w:p>
    <w:p w:rsidR="00A31137" w:rsidRPr="00A31137" w:rsidRDefault="00A31137" w:rsidP="00A31137">
      <w:r w:rsidRPr="00A31137">
        <w:t>QUESTION: But do I understand your statement you made earlier that supposing you had a communist group that wanted to address the subject of family values and they thought there was a value in not having children waste their time going to Sunday school or church and therefore they had a point of view that was definitely anti-religious, they would be permitted, under your policy, to discuss family values in that context?</w:t>
      </w:r>
    </w:p>
    <w:p w:rsidR="00A31137" w:rsidRPr="00A31137" w:rsidRDefault="00A31137" w:rsidP="00A31137">
      <w:r w:rsidRPr="00A31137">
        <w:t>1995, Rosenberger v. Rector, Univ. of Virginia, No. 94-329</w:t>
      </w:r>
    </w:p>
    <w:p w:rsidR="00A31137" w:rsidRPr="00A31137" w:rsidRDefault="00A31137" w:rsidP="00A31137">
      <w:r w:rsidRPr="00A31137">
        <w:t>[COUNSEL]: Yes. Yes, Your Honor, that's correct.</w:t>
      </w:r>
    </w:p>
    <w:p w:rsidR="00A31137" w:rsidRPr="00A31137" w:rsidRDefault="00A31137" w:rsidP="00A31137">
      <w:r w:rsidRPr="00A31137">
        <w:t>*    *    *    *</w:t>
      </w:r>
    </w:p>
    <w:p w:rsidR="00A31137" w:rsidRPr="00A31137" w:rsidRDefault="00A31137" w:rsidP="00A31137">
      <w:r w:rsidRPr="00A31137">
        <w:t>1995, Rosenberger v. Rector, Univ. of Virginia, No. 94-329</w:t>
      </w:r>
    </w:p>
    <w:p w:rsidR="00A31137" w:rsidRPr="00A31137" w:rsidRDefault="00A31137" w:rsidP="00A31137">
      <w:r w:rsidRPr="00A31137">
        <w:t>QUESTION: Counsel, in your earlier discussions with [the Court] you indicated that communists would be able to give their perspective on family. I—I assume from that that atheists would be able to give theirs under your rules.</w:t>
      </w:r>
    </w:p>
    <w:p w:rsidR="00A31137" w:rsidRPr="00A31137" w:rsidRDefault="00A31137" w:rsidP="00A31137">
      <w:r w:rsidRPr="00A31137">
        <w:t>1995, Rosenberger v. Rector, Univ. of Virginia, No. 94-329</w:t>
      </w:r>
    </w:p>
    <w:p w:rsidR="00A31137" w:rsidRPr="00A31137" w:rsidRDefault="00A31137" w:rsidP="00A31137">
      <w:r w:rsidRPr="00A31137">
        <w:t>[COUNSEL]: Yes, Your Honor.</w:t>
      </w:r>
    </w:p>
    <w:p w:rsidR="00A31137" w:rsidRPr="00A31137" w:rsidRDefault="00A31137" w:rsidP="00A31137">
      <w:r w:rsidRPr="00A31137">
        <w:t>Capitol Square Review &amp; Advisory Bd. v. Pinette, 1995</w:t>
      </w:r>
    </w:p>
    <w:p w:rsidR="00A31137" w:rsidRPr="00A31137" w:rsidRDefault="00A31137" w:rsidP="00A31137">
      <w:r w:rsidRPr="00A31137">
        <w:t>Title:</w:t>
      </w:r>
      <w:r w:rsidRPr="00A31137">
        <w:tab/>
        <w:t>Capitol Square Review &amp; Advisory Board v. Pinette</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29, 1995</w:t>
      </w:r>
    </w:p>
    <w:p w:rsidR="00A31137" w:rsidRPr="00A31137" w:rsidRDefault="00A31137" w:rsidP="00A31137">
      <w:r w:rsidRPr="00A31137">
        <w:t>Source:</w:t>
      </w:r>
      <w:r w:rsidRPr="00A31137">
        <w:tab/>
        <w:t>No. 94-780 [U.S. Reports citation not yet available]</w:t>
      </w:r>
    </w:p>
    <w:p w:rsidR="00A31137" w:rsidRPr="00A31137" w:rsidRDefault="00A31137" w:rsidP="00A31137">
      <w:r w:rsidRPr="00A31137">
        <w:t>This case was argued April 26, 1995, and was decided June 29, 1995.</w:t>
      </w:r>
    </w:p>
    <w:p w:rsidR="00A31137" w:rsidRPr="00A31137" w:rsidRDefault="00A31137" w:rsidP="00A31137">
      <w:r w:rsidRPr="00A31137">
        <w:t>CERTIORARI TO THE UNITED STATES COURT OF APPEALS</w:t>
      </w:r>
    </w:p>
    <w:p w:rsidR="00A31137" w:rsidRPr="00A31137" w:rsidRDefault="00A31137" w:rsidP="00A31137">
      <w:r w:rsidRPr="00A31137">
        <w:t>FOR THE SIXTH CIRCUIT</w:t>
      </w:r>
    </w:p>
    <w:p w:rsidR="00A31137" w:rsidRPr="00A31137" w:rsidRDefault="00A31137" w:rsidP="00A31137">
      <w:r w:rsidRPr="00A31137">
        <w:t>Syllabus</w:t>
      </w:r>
    </w:p>
    <w:p w:rsidR="00A31137" w:rsidRPr="00A31137" w:rsidRDefault="00A31137" w:rsidP="00A31137">
      <w:r w:rsidRPr="00A31137">
        <w:t>1995, Capitol Square Review &amp; Advisory Bd. v. Pinette, No. 94-780</w:t>
      </w:r>
    </w:p>
    <w:p w:rsidR="00A31137" w:rsidRPr="00A31137" w:rsidRDefault="00A31137" w:rsidP="00A31137">
      <w:r w:rsidRPr="00A31137">
        <w:t>Ohio law makes Capitol Square, the Statehouse plaza in Columbus, a forum for discussion of public questions and for public activities, and gives petitioner Capitol Square Review and Advisory Board responsibility for regulating access to the square. To use the square, a group must simply fill out an official application form and meet several speech-neutral criteria. After the Board denied, on Establishment Clause grounds, the application of respondent Ku Klux Klan to place an unattended cross on the square during the 1993 Christmas season, the Klan filed this suit. The District Court entered an injunction requiring issuance of the requested permit, and the Board permitted the Klan to erect its cross. The Sixth Circuit affirmed the judgment, adding to a conflict among the Courts of Appeals as to whether a private, unattended display of a religious symbol in a public forum violates the Establishment Clause.</w:t>
      </w:r>
    </w:p>
    <w:p w:rsidR="00A31137" w:rsidRPr="00A31137" w:rsidRDefault="00A31137" w:rsidP="00A31137">
      <w:r w:rsidRPr="00A31137">
        <w:t>1995, Capitol Square Review &amp; Advisory Bd. v. Pinette, No. 94-780</w:t>
      </w:r>
    </w:p>
    <w:p w:rsidR="00A31137" w:rsidRPr="00A31137" w:rsidRDefault="00A31137" w:rsidP="00A31137">
      <w:r w:rsidRPr="00A31137">
        <w:t>Held: The judgment is affirmed.</w:t>
      </w:r>
    </w:p>
    <w:p w:rsidR="00A31137" w:rsidRPr="00A31137" w:rsidRDefault="00A31137" w:rsidP="00A31137">
      <w:r w:rsidRPr="00A31137">
        <w:t>1995, Capitol Square Review &amp; Advisory Bd. v. Pinette, No. 94-780</w:t>
      </w:r>
    </w:p>
    <w:p w:rsidR="00A31137" w:rsidRPr="00A31137" w:rsidRDefault="00A31137" w:rsidP="00A31137">
      <w:r w:rsidRPr="00A31137">
        <w:t>30 F.3d 675, affirmed.</w:t>
      </w:r>
    </w:p>
    <w:p w:rsidR="00A31137" w:rsidRPr="00A31137" w:rsidRDefault="00A31137" w:rsidP="00A31137">
      <w:r w:rsidRPr="00A31137">
        <w:t>1995, Capitol Square Review &amp; Advisory Bd. v. Pinette, No. 94-780</w:t>
      </w:r>
    </w:p>
    <w:p w:rsidR="00A31137" w:rsidRPr="00A31137" w:rsidRDefault="00A31137" w:rsidP="00A31137">
      <w:r w:rsidRPr="00A31137">
        <w:t>JUSTICE SCALIA delivered the opinion of the Court with respect to Parts I, II, and III, concluding that:</w:t>
      </w:r>
    </w:p>
    <w:p w:rsidR="00A31137" w:rsidRPr="00A31137" w:rsidRDefault="00A31137" w:rsidP="00A31137">
      <w:r w:rsidRPr="00A31137">
        <w:t>1995, Capitol Square Review &amp; Advisory Bd. v. Pinette, No. 94-780</w:t>
      </w:r>
    </w:p>
    <w:p w:rsidR="00A31137" w:rsidRPr="00A31137" w:rsidRDefault="00A31137" w:rsidP="00A31137">
      <w:r w:rsidRPr="00A31137">
        <w:t>1. Because the courts below addressed only the Establishment Clause issue and that is the sole question upon which certiorari was granted, this Court will not consider respondents' contention that the State's disapproval of the Klan's political views, rather than its desire to distance itself from sectarian religion, was the genuine reason for disallowing the cross display. P. ___.</w:t>
      </w:r>
    </w:p>
    <w:p w:rsidR="00A31137" w:rsidRPr="00A31137" w:rsidRDefault="00A31137" w:rsidP="00A31137">
      <w:r w:rsidRPr="00A31137">
        <w:t>1995, Capitol Square Review &amp; Advisory Bd. v. Pinette, No. 94-780</w:t>
      </w:r>
    </w:p>
    <w:p w:rsidR="00A31137" w:rsidRPr="00A31137" w:rsidRDefault="00A31137" w:rsidP="00A31137">
      <w:r w:rsidRPr="00A31137">
        <w:t>2. The display was private religious speech that is as fully protected under the Free Speech Clause as secular private expression. See, e.g., Lamb's Chapel v. Center Moriches Union Free School Dist., 508 U.S. ___. Because Capitol Square is a traditional public forum, the Board may regulate the content of the Klan's expression there only if such a restriction is necessary, and narrowly drawn, to serve a compelling state interest. Perry Ed. Assn. v. Perry Local Educators' Assn., 460 U.S. 37,  45. Pp. ___.</w:t>
      </w:r>
    </w:p>
    <w:p w:rsidR="00A31137" w:rsidRPr="00A31137" w:rsidRDefault="00A31137" w:rsidP="00A31137">
      <w:r w:rsidRPr="00A31137">
        <w:t>1995, Capitol Square Review &amp; Advisory Bd. v. Pinette, No. 94-780</w:t>
      </w:r>
    </w:p>
    <w:p w:rsidR="00A31137" w:rsidRPr="00A31137" w:rsidRDefault="00A31137" w:rsidP="00A31137">
      <w:r w:rsidRPr="00A31137">
        <w:t>3. Compliance with the Establishment Clause may be a state interest sufficiently compelling to justify content-based restrictions on speech, see, e.g., Lamb's Chapel, 508 U.S. at ___, but the conclusion that that interest is not implicated in this case is strongly suggested by the presence here of the factors the Court considered determinative in striking down state restrictions on religious content in Lamb's Chapel, id. at ___, and Widmar v. Vincent, 454 U.S. 263,  274. As in those cases, the State did not sponsor respondents' expression, the expression was made on government property that had been opened to the public for speech, and permission was requested through the same application process and on the same terms required of other private groups. Pp. ___.</w:t>
      </w:r>
    </w:p>
    <w:p w:rsidR="00A31137" w:rsidRPr="00A31137" w:rsidRDefault="00A31137" w:rsidP="00A31137">
      <w:r w:rsidRPr="00A31137">
        <w:t>1995, Capitol Square Review &amp; Advisory Bd. v. Pinette, No. 94-780</w:t>
      </w:r>
    </w:p>
    <w:p w:rsidR="00A31137" w:rsidRPr="00A31137" w:rsidRDefault="00A31137" w:rsidP="00A31137">
      <w:r w:rsidRPr="00A31137">
        <w:t>JUSTICE SCALIA, joined by The Chief JUSTICE, JUSTICE KENNEDY, and JUSTICE THOMAS, concluded in Part IV that petitioners' attempt to distinguish this case from Lamb's Chapel and Widmar is unavailing. Petitioners' argument that, because the forum's proximity to the seat of government may cause the misperception that the cross bears the State's approval, their content-based restriction is constitutional under the so-called "endorsement test" of, e.g., Allegheny County v. American Civil Liberties Union, Greater Pittsburgh Chapter, 492 U.S. 573, and Lynch v. Donnelly, 465 U.S. 668, is rejected. Their version of the test, which would attribute private religious expression to a neutrally behaving government, has no antecedent in this Court's Establishment Clause jurisprudence, which has consistently upheld neutral government policies that happen to benefit religion. Where the Court has tested for endorsement, the subject of the test was either expression by the government itself, Lynch, supra, or else government action alleged to discriminate in favor of private religious expression or activity, see, e.g., Allegheny County, supra. The difference between forbidden government speech endorsing religion and protected private speech that does so is what distinguishes Allegheny County and Lynch from Widmar and Lamb's Chapel. The distinction does not disappear when the private speech is conducted close to the symbols of government. Given a traditional or designated public forum, publicly announced and open to all on equal terms, as well as purely private sponsorship of religious expression, erroneous conclusions of state endorsement do not count. See Lamb's Chapel, supra, at ___, and Widmar, supra, at  274. Nothing prevents Ohio from requiring all private displays in the square to be identified as such, but it may not, on the claim of misperception of official endorsement, ban all private religious speech from the square, or discriminate against it by requiring religious speech alone to disclaim public sponsorship. Pp. ___.</w:t>
      </w:r>
    </w:p>
    <w:p w:rsidR="00A31137" w:rsidRPr="00A31137" w:rsidRDefault="00A31137" w:rsidP="00A31137">
      <w:r w:rsidRPr="00A31137">
        <w:t>1995, Capitol Square Review &amp; Advisory Bd. v. Pinette, No. 94-780</w:t>
      </w:r>
    </w:p>
    <w:p w:rsidR="00A31137" w:rsidRPr="00A31137" w:rsidRDefault="00A31137" w:rsidP="00A31137">
      <w:r w:rsidRPr="00A31137">
        <w:t>JUSTICE O'CONNOR, joined by JUSTICE SOUTER and JUSTICE BREYER, concluded that the State has not presented a compelling justification for denying respondents' permit. Pp. ___.</w:t>
      </w:r>
    </w:p>
    <w:p w:rsidR="00A31137" w:rsidRPr="00A31137" w:rsidRDefault="00A31137" w:rsidP="00A31137">
      <w:r w:rsidRPr="00A31137">
        <w:t>1995, Capitol Square Review &amp; Advisory Bd. v. Pinette, No. 94-780</w:t>
      </w:r>
    </w:p>
    <w:p w:rsidR="00A31137" w:rsidRPr="00A31137" w:rsidRDefault="00A31137" w:rsidP="00A31137">
      <w:r w:rsidRPr="00A31137">
        <w:t>(a) The endorsement test supplies an appropriate standard for determining whether governmental practices relating to speech on religious topics violate the Establishment Clause, even where a neutral state policy toward private religious speech in a public forum is at issue. Cf., e.g., Lamb's Chapel v. Center Moriches Union Free School Dist., 508 U.S. ___, ___. There is no necessity to carve out, as does the plurality opinion, an exception to the test for the public forum context. Pp. ___.</w:t>
      </w:r>
    </w:p>
    <w:p w:rsidR="00A31137" w:rsidRPr="00A31137" w:rsidRDefault="00A31137" w:rsidP="00A31137">
      <w:r w:rsidRPr="00A31137">
        <w:t>1995, Capitol Square Review &amp; Advisory Bd. v. Pinette, No. 94-780</w:t>
      </w:r>
    </w:p>
    <w:p w:rsidR="00A31137" w:rsidRPr="00A31137" w:rsidRDefault="00A31137" w:rsidP="00A31137">
      <w:r w:rsidRPr="00A31137">
        <w:t>(b) On the facts of this case, the reasonable observer would not fairly interpret the State's tolerance of the Klan's religious display as an endorsement of religion. See, e.g., Lamb's Chapel, supra, at ___. In this context, the "reasonable observer" is the personification of a community ideal of reasonable behavior, determined by the collective social judgment, whose knowledge is not limited to information gleaned from viewing the challenged display, but extends to the general history of the place in which the display appears. In this case, therefore, such an observer may properly be held not simply to knowledge that the cross is purely a religious symbol, that Capitol Square is owned by the State, and that the seat of state government is nearby, but also to an awareness that the square is a public space in which a multiplicity of secular and religious groups engage in expressive conduct, as well as to an ability to read and understand the disclaimer that the Klan offered to include in its display. Pp. ___.</w:t>
      </w:r>
      <w:r w:rsidRPr="00A31137">
        <w:cr/>
      </w:r>
    </w:p>
    <w:p w:rsidR="00A31137" w:rsidRPr="00A31137" w:rsidRDefault="00A31137" w:rsidP="00A31137">
      <w:r w:rsidRPr="00A31137">
        <w:t>1995, Capitol Square Review &amp; Advisory Bd. v. Pinette, No. 94-780</w:t>
      </w:r>
    </w:p>
    <w:p w:rsidR="00A31137" w:rsidRPr="00A31137" w:rsidRDefault="00A31137" w:rsidP="00A31137">
      <w:r w:rsidRPr="00A31137">
        <w:t>JUSTICE SOUTER, joined by JUSTICE O'CONNOR and JUSTICE BREYER, concluded that, given the available alternatives, the Board cannot claim that its denial of the Klan's application was a narrowly tailored response necessary to ensure that the State did not appear to take a position on questions of religious belief. Pp. ___.</w:t>
      </w:r>
    </w:p>
    <w:p w:rsidR="00A31137" w:rsidRPr="00A31137" w:rsidRDefault="00A31137" w:rsidP="00A31137">
      <w:r w:rsidRPr="00A31137">
        <w:t>1995, Capitol Square Review &amp; Advisory Bd. v. Pinette, No. 94-780</w:t>
      </w:r>
    </w:p>
    <w:p w:rsidR="00A31137" w:rsidRPr="00A31137" w:rsidRDefault="00A31137" w:rsidP="00A31137">
      <w:r w:rsidRPr="00A31137">
        <w:t>(a) The plurality's per se rule would be an exception to the endorsement test, not previously recognized and out of square with this Court's precedents. As the plurality admits, there are some circumstances in which an intelligent observer would reasonably perceive private religious expression in a public forum to imply the government's endorsement of religion. Such perceptions should be attributed to the reasonable observer of Establishment Clause analysis under the Court's decisions, see, e.g., Allegheny County v. American Civil Liberties Union, Greater Pittsburgh Chapter, 492 U.S. 573,  630, 635-636 (O'CONNOR, J., concurring in part and concurring in judgment), which have looked to the specific circumstances of the private religious speech and the public forum to determine whether there is any realistic danger that such an observer would think that the government was endorsing religion, see, e.g., Lynch v. Donnelly, 465 U.S. 668,  692,  694 (O'CONNOR, J., concurring). The plurality's per se rule would, in all but a handful of cases, make the endorsement test meaningless. Pp. ___.</w:t>
      </w:r>
    </w:p>
    <w:p w:rsidR="00A31137" w:rsidRPr="00A31137" w:rsidRDefault="00A31137" w:rsidP="00A31137">
      <w:r w:rsidRPr="00A31137">
        <w:t>1995, Capitol Square Review &amp; Advisory Bd. v. Pinette, No. 94-780</w:t>
      </w:r>
    </w:p>
    <w:p w:rsidR="00A31137" w:rsidRPr="00A31137" w:rsidRDefault="00A31137" w:rsidP="00A31137">
      <w:r w:rsidRPr="00A31137">
        <w:t>(b) Notwithstanding that there was nothing else on the Statehouse lawn suggesting a forum open to any and all private, unattended religious displays, a flat denial of the Klan's application was not the Board's only option to protect against an appearance of endorsement. Either of two possibilities would have been better suited to the requirement that the Board find its most "narrowly drawn" alternative. Perry Ed. Assn. v. Perry Local Educators' Assn., 460 U.S. 37,  45. First, the Board could have required a disclaimer sufficiently large and clear to preclude any reasonable inference that the cross demonstrated governmental endorsement. In the alternative, the Board could have instituted a policy of restricting all private, unattended displays to one area of the square, with a permanent sign marking the area as a forum for private speech carrying no state endorsement. Pp. ___.</w:t>
      </w:r>
    </w:p>
    <w:p w:rsidR="00A31137" w:rsidRPr="00A31137" w:rsidRDefault="00A31137" w:rsidP="00A31137">
      <w:r w:rsidRPr="00A31137">
        <w:t>1995, Capitol Square Review &amp; Advisory Bd. v. Pinette, No. 94-780</w:t>
      </w:r>
    </w:p>
    <w:p w:rsidR="00A31137" w:rsidRPr="00A31137" w:rsidRDefault="00A31137" w:rsidP="00A31137">
      <w:r w:rsidRPr="00A31137">
        <w:t>SCALIA, J., announced the judgment of the Court and delivered the opinion of the Court with respect to Parts I, II, and III, in which REHNQUIST, C.J., and O'CONNOR, KENNEDY, SOUTER, THOMAS, and BREYER, JJ., joined, and an opinion with respect to Part IV, in which REHNQUIST, C.J., and KENNEDY and THOMAS, JJ., joined. THOMAS, J., filed a concurring opinion. O'CONNOR, J., filed an opinion concurring in part and concurring in the judgment, in which SOUTER and BREYER, JJ., joined. SOUTER, J., filed an opinion concurring in part and concurring in the judgment, in which O'CONNOR and BREYER, JJ., joined. STEVENS, J., and GINSBURG, J., filed dissenting opinions.</w:t>
      </w:r>
    </w:p>
    <w:p w:rsidR="00A31137" w:rsidRPr="00A31137" w:rsidRDefault="00A31137" w:rsidP="00A31137">
      <w:r w:rsidRPr="00A31137">
        <w:t>SCALIA, J., lead opinion</w:t>
      </w:r>
    </w:p>
    <w:p w:rsidR="00A31137" w:rsidRPr="00A31137" w:rsidRDefault="00A31137" w:rsidP="00A31137">
      <w:r w:rsidRPr="00A31137">
        <w:t>1995, Capitol Square Review &amp; Advisory Bd. v. Pinette, No. 94-780</w:t>
      </w:r>
    </w:p>
    <w:p w:rsidR="00A31137" w:rsidRPr="00A31137" w:rsidRDefault="00A31137" w:rsidP="00A31137">
      <w:r w:rsidRPr="00A31137">
        <w:t>JUSTICE SCALIA announced the judgment of the Court and delivered the opinion of the Court with respect to Parts I, II, and III, and an opinion with respect to Part IV, in which the Chief JUSTICE, JUSTICE KENNEDY and JUSTICE THOMAS join.</w:t>
      </w:r>
    </w:p>
    <w:p w:rsidR="00A31137" w:rsidRPr="00A31137" w:rsidRDefault="00A31137" w:rsidP="00A31137">
      <w:r w:rsidRPr="00A31137">
        <w:t>1995, Capitol Square Review &amp; Advisory Bd. v. Pinette, No. 94-780</w:t>
      </w:r>
    </w:p>
    <w:p w:rsidR="00A31137" w:rsidRPr="00A31137" w:rsidRDefault="00A31137" w:rsidP="00A31137">
      <w:r w:rsidRPr="00A31137">
        <w:t>The Establishment Clause of the First Amendment, made binding upon the States through the Fourteenth Amendment, provides that government "shall make no law respecting an establishment of religion." The question in this case is whether a State violates the Establishment Clause when, pursuant to a religiously neutral state policy, it permits a private party to display an unattended religious symbol in a traditional public forum located next to its seat of government.</w:t>
      </w:r>
    </w:p>
    <w:p w:rsidR="00A31137" w:rsidRPr="00A31137" w:rsidRDefault="00A31137" w:rsidP="00A31137">
      <w:r w:rsidRPr="00A31137">
        <w:t>I</w:t>
      </w:r>
    </w:p>
    <w:p w:rsidR="00A31137" w:rsidRPr="00A31137" w:rsidRDefault="00A31137" w:rsidP="00A31137">
      <w:r w:rsidRPr="00A31137">
        <w:t>1995, Capitol Square Review &amp; Advisory Bd. v. Pinette, No. 94-780</w:t>
      </w:r>
    </w:p>
    <w:p w:rsidR="00A31137" w:rsidRPr="00A31137" w:rsidRDefault="00A31137" w:rsidP="00A31137">
      <w:r w:rsidRPr="00A31137">
        <w:t>Capitol Square is a 10-acre, state-owned plaza surrounding the Statehouse in Columbus, Ohio. For over a century, the square has been used for public speeches, gatherings, and festivals advocating and celebrating a variety of causes, both secular and religious. Ohio Admin.Code Ann. § 128-4-02(A) (1994) makes the square available "for use by the public…for free discussion of public questions, or for activities of a broad public purpose," and Ohio Rev.Code Ann. § 105.41 (1994), gives the Capitol Square Review and Advisory Board responsibility for regulating public access. To use the square, a group must simply fill out an official application form and meet several criteria, which concern primarily safety, sanitation, and noninterference with other uses of the square, and which are neutral as to the speech content of the proposed event. App. 107-110; Ohio Admin.Code § 128-4-02 (1994).</w:t>
      </w:r>
    </w:p>
    <w:p w:rsidR="00A31137" w:rsidRPr="00A31137" w:rsidRDefault="00A31137" w:rsidP="00A31137">
      <w:r w:rsidRPr="00A31137">
        <w:t>1995, Capitol Square Review &amp; Advisory Bd. v. Pinette, No. 94-780</w:t>
      </w:r>
    </w:p>
    <w:p w:rsidR="00A31137" w:rsidRPr="00A31137" w:rsidRDefault="00A31137" w:rsidP="00A31137">
      <w:r w:rsidRPr="00A31137">
        <w:t>It has been the Board's policy "to allow a broad range of speakers and other gatherings of people to conduct events on the Capitol Square." Brief for Petitioner 3-4. Such diverse groups as homosexual rights organizations, the Ku Klux Klan and the United Way have held rallies. The Board has also permitted a variety of unattended displays on Capitol Square: a State-sponsored lighted tree during the Christmas season, a privately-sponsored menorah during Chanukah, a display showing the progress of a United Way fundraising campaign, and booths and exhibits during an arts festival. Although there was some dispute in this litigation regarding the frequency of unattended displays, the District Court found, with ample justification, that there was no policy against them. 844 F.Supp. 1182, 1184 (SD Ohio 1993).</w:t>
      </w:r>
    </w:p>
    <w:p w:rsidR="00A31137" w:rsidRPr="00A31137" w:rsidRDefault="00A31137" w:rsidP="00A31137">
      <w:r w:rsidRPr="00A31137">
        <w:t>1995, Capitol Square Review &amp; Advisory Bd. v. Pinette, No. 94-780</w:t>
      </w:r>
    </w:p>
    <w:p w:rsidR="00A31137" w:rsidRPr="00A31137" w:rsidRDefault="00A31137" w:rsidP="00A31137">
      <w:r w:rsidRPr="00A31137">
        <w:t>In November 1993, after reversing an initial decision to ban unattended holiday displays from the square during December, 1993, the Board authorized the State to put up its annual Christmas tree. On November 29, 1993, the Board granted a rabbi's application to erect a menorah. That same day, the Board received an application from respondent Donnie Carr, an officer of the Ohio Ku Klux Klan, to place a cross on the square from December 8, 1993, to December 24, 1993. The Board denied that application on December 3, informing the Klan by letter that the decision to deny</w:t>
      </w:r>
    </w:p>
    <w:p w:rsidR="00A31137" w:rsidRPr="00A31137" w:rsidRDefault="00A31137" w:rsidP="00A31137">
      <w:r w:rsidRPr="00A31137">
        <w:t>1995, Capitol Square Review &amp; Advisory Bd. v. Pinette, No. 94-780</w:t>
      </w:r>
    </w:p>
    <w:p w:rsidR="00A31137" w:rsidRPr="00A31137" w:rsidRDefault="00A31137" w:rsidP="00A31137">
      <w:r w:rsidRPr="00A31137">
        <w:t>was made upon the advice of counsel, in a good faith attempt to comply with the Ohio and United States Constitutions, as they have been interpreted in relevant decisions by the Federal and State Courts.</w:t>
      </w:r>
    </w:p>
    <w:p w:rsidR="00A31137" w:rsidRPr="00A31137" w:rsidRDefault="00A31137" w:rsidP="00A31137">
      <w:r w:rsidRPr="00A31137">
        <w:t>1995, Capitol Square Review &amp; Advisory Bd. v. Pinette, No. 94-780</w:t>
      </w:r>
    </w:p>
    <w:p w:rsidR="00A31137" w:rsidRPr="00A31137" w:rsidRDefault="00A31137" w:rsidP="00A31137">
      <w:r w:rsidRPr="00A31137">
        <w:t>App. 47.</w:t>
      </w:r>
    </w:p>
    <w:p w:rsidR="00A31137" w:rsidRPr="00A31137" w:rsidRDefault="00A31137" w:rsidP="00A31137">
      <w:r w:rsidRPr="00A31137">
        <w:t>1995, Capitol Square Review &amp; Advisory Bd. v. Pinette, No. 94-780</w:t>
      </w:r>
    </w:p>
    <w:p w:rsidR="00A31137" w:rsidRPr="00A31137" w:rsidRDefault="00A31137" w:rsidP="00A31137">
      <w:r w:rsidRPr="00A31137">
        <w:t>Two weeks later, having been unsuccessful in its effort to obtain administrative relief from the Board's decision, the Ohio Klan, through its leader Vincent Pinette, filed the present suit in the United States District Court for the Southern District of Ohio, seeking an injunction requiring the Board to issue the requested permit. The Board defended on the ground that the permit would violate the Establishment Clause. The District Court determined that Capitol Square was a traditional public forum open to all without any policy against free standing displays; that the Klan's cross was entirely private expression entitled to full First Amendment protection; and that the Board had failed to show that the display of the cross could reasonably be construed as endorsement of Christianity by the State. The District Court issued the injunction and, after the Board's application for an emergency stay was denied, 510 U.S. ___ (1993) (STEVENS, J., in chambers), the Board permitted the Klan to erect its cross. The Board then received, and granted, several additional applications to erect crosses on Capitol Square during December, 1993 and January, 1994.</w:t>
      </w:r>
    </w:p>
    <w:p w:rsidR="00A31137" w:rsidRPr="00A31137" w:rsidRDefault="00A31137" w:rsidP="00A31137">
      <w:r w:rsidRPr="00A31137">
        <w:t>1995, Capitol Square Review &amp; Advisory Bd. v. Pinette, No. 94-780</w:t>
      </w:r>
    </w:p>
    <w:p w:rsidR="00A31137" w:rsidRPr="00A31137" w:rsidRDefault="00A31137" w:rsidP="00A31137">
      <w:r w:rsidRPr="00A31137">
        <w:t>On appeal by the Board, the United States Court of Appeals for the Sixth Circuit affirmed the District Court's judgment. 30 F.3d 675 (1994). That decision agrees with a ruling by the Eleventh Circuit, Chabad-Lubavitch v. Miller, 5 F.3d 1383 (1993), but disagrees with decisions of the Second and Fourth Circuits, Chabad-Lubavitch v. Burlington, 936 F.2d 109 (CA2 1991), cert. denied, 505 U.S. 1218 (1992), Kaplan v. Burlington, 891 F.2d 1024 (CA2 1989), cert. denied, 496 U.S. 926 (1990), Smith v. County of Albemarle, 895 F.2d 953 (CA4), cert. denied, 498 U.S. 823 (1990). We granted certiorari. 513 U.S. ___ (1995).</w:t>
      </w:r>
    </w:p>
    <w:p w:rsidR="00A31137" w:rsidRPr="00A31137" w:rsidRDefault="00A31137" w:rsidP="00A31137">
      <w:r w:rsidRPr="00A31137">
        <w:t>II</w:t>
      </w:r>
    </w:p>
    <w:p w:rsidR="00A31137" w:rsidRPr="00A31137" w:rsidRDefault="00A31137" w:rsidP="00A31137">
      <w:r w:rsidRPr="00A31137">
        <w:t>1995, Capitol Square Review &amp; Advisory Bd. v. Pinette, No. 94-780</w:t>
      </w:r>
    </w:p>
    <w:p w:rsidR="00A31137" w:rsidRPr="00A31137" w:rsidRDefault="00A31137" w:rsidP="00A31137">
      <w:r w:rsidRPr="00A31137">
        <w:t>First, a preliminary matter: Respondents contend that we should treat this as a case in which freedom of speech (the Klan's right to present the message of the cross display) was denied because of the State's disagreement with that message's political content, rather than because of the State's desire to distance itself from sectarian religion. They suggest in their merits brief and in their oral argument that Ohio's genuine reason for disallowing the display was disapproval of the political views of the Ku Klux Klan. Whatever the fact may be, the case was not presented and decided that way. The record facts before us and the opinions below address only the Establishment Clause issue; 1 that is the question upon which we granted certiorari; and that is the sole question before us to decide.</w:t>
      </w:r>
    </w:p>
    <w:p w:rsidR="00A31137" w:rsidRPr="00A31137" w:rsidRDefault="00A31137" w:rsidP="00A31137">
      <w:r w:rsidRPr="00A31137">
        <w:t>1995, Capitol Square Review &amp; Advisory Bd. v. Pinette, No. 94-780</w:t>
      </w:r>
    </w:p>
    <w:p w:rsidR="00A31137" w:rsidRPr="00A31137" w:rsidRDefault="00A31137" w:rsidP="00A31137">
      <w:r w:rsidRPr="00A31137">
        <w:t>Respondents' religious display in Capitol Square was private expression. Our precedent establishes that private religious speech, far from being a First Amendment orphan, is as fully protected under the Free Speech Clause as secular private expression. Lamb's Chapel v. Center Moriches Union Free School Dist., 508 U.S. ___ (1993); Board of Ed. of Westside Community Schools (Dist. 66) v. Mergens, 496 U.S. 226 (1990); Widmar v. Vincent, 454 U.S. 263 (1981); Heffron v. International Soc. for Krishna Consciousness, Inc., 452 U.S. 640 (1981). Indeed, in Anglo-American history, at least, government suppression of speech has so commonly been directed precisely at religious speech that a free speech clause without religion would be Hamlet without the prince. Accordingly, we have not excluded from free speech protections religious proselytizing, Heffron, supra, at  647, or even acts of worship, Widmar, supra, at  269, n.6. Petitioners do not dispute that respondents, in displaying their cross, were engaging in constitutionally protected expression. They do contend that the constitutional protection does not extend to the length of permitting that expression to be made on Capitol Square.</w:t>
      </w:r>
    </w:p>
    <w:p w:rsidR="00A31137" w:rsidRPr="00A31137" w:rsidRDefault="00A31137" w:rsidP="00A31137">
      <w:r w:rsidRPr="00A31137">
        <w:t>1995, Capitol Square Review &amp; Advisory Bd. v. Pinette, No. 94-780</w:t>
      </w:r>
    </w:p>
    <w:p w:rsidR="00A31137" w:rsidRPr="00A31137" w:rsidRDefault="00A31137" w:rsidP="00A31137">
      <w:r w:rsidRPr="00A31137">
        <w:t>It is undeniable, of course, that speech which is constitutionally protected against state suppression is not thereby accorded a guaranteed forum on all property owned by the State. Postal Service v. Council of Greenburgh Civic Assns., 453 U.S. 114, 129 (1981); Perry Ed. Assn. v. Perry Local Educators' Assn., 460 U.S. 37,  44 (1983). The right to use government property for one's private expression depends upon whether the property has by law or tradition been given the status of a public forum, or rather has been reserved for specific official uses. Cornelius v. NAACP Legal Defense &amp; Ed. Fund, Inc., 473 U.S. 788, 802-803 (1985). If the former, a State's right to limit protected expressive activity is sharply circumscribed: it may impose reasonable, content-neutral time, place and manner restrictions (a ban on all unattended displays, which did not exist here, might be one such), but it may regulate expressive content only if such a restriction is necessary, and narrowly drawn, to serve a compelling state interest. Perry Ed. Assn., supra, at  45. These strict standards apply here, since the District Court and the Court of Appeals found that Capitol Square was a traditional public forum. 844 F.Supp. at 1184; 30 F.3d at 678.</w:t>
      </w:r>
    </w:p>
    <w:p w:rsidR="00A31137" w:rsidRPr="00A31137" w:rsidRDefault="00A31137" w:rsidP="00A31137">
      <w:r w:rsidRPr="00A31137">
        <w:t>1995, Capitol Square Review &amp; Advisory Bd. v. Pinette, No. 94-780</w:t>
      </w:r>
    </w:p>
    <w:p w:rsidR="00A31137" w:rsidRPr="00A31137" w:rsidRDefault="00A31137" w:rsidP="00A31137">
      <w:r w:rsidRPr="00A31137">
        <w:t>Petitioners do not claim that their denial of respondents' application was based upon a content-neutral time, place, or manner restriction. To the contrary, they concede—indeed it is the essence of their case—that the Board rejected the display precisely because its content was religious. Petitioners advance a single justification for closing Capitol Square to respondents' cross: the State's interest in avoiding official endorsement of Christianity, as required by the Establishment Clause.</w:t>
      </w:r>
    </w:p>
    <w:p w:rsidR="00A31137" w:rsidRPr="00A31137" w:rsidRDefault="00A31137" w:rsidP="00A31137">
      <w:r w:rsidRPr="00A31137">
        <w:t>III</w:t>
      </w:r>
    </w:p>
    <w:p w:rsidR="00A31137" w:rsidRPr="00A31137" w:rsidRDefault="00A31137" w:rsidP="00A31137">
      <w:r w:rsidRPr="00A31137">
        <w:t>1995, Capitol Square Review &amp; Advisory Bd. v. Pinette, No. 94-780</w:t>
      </w:r>
    </w:p>
    <w:p w:rsidR="00A31137" w:rsidRPr="00A31137" w:rsidRDefault="00A31137" w:rsidP="00A31137">
      <w:r w:rsidRPr="00A31137">
        <w:t>There is no doubt that compliance with the Establishment Clause is a state interest sufficiently compelling to justify content-based restrictions on speech. See Lamb's Chapel, supra, at ___; Widmar, supra, at  271. Whether that interest is implicated here, however, is a different question. And we do not write on a blank slate in answering it. We have twice previously addressed the combination of private religious expression, a forum available for public use, content-based regulation, and a State's interest in complying with the Establishment Clause. Both times, we have struck down the restriction on religious content. Lamb's Chapel, supra; Widmar, supra.</w:t>
      </w:r>
    </w:p>
    <w:p w:rsidR="00A31137" w:rsidRPr="00A31137" w:rsidRDefault="00A31137" w:rsidP="00A31137">
      <w:r w:rsidRPr="00A31137">
        <w:t>1995, Capitol Square Review &amp; Advisory Bd. v. Pinette, No. 94-780</w:t>
      </w:r>
    </w:p>
    <w:p w:rsidR="00A31137" w:rsidRPr="00A31137" w:rsidRDefault="00A31137" w:rsidP="00A31137">
      <w:r w:rsidRPr="00A31137">
        <w:t>In Lamb's Chapel, a school district allowed private groups to use school facilities during off-hours for a variety of civic, social and recreational purposes, excluding, however, religious purposes. We held that even if school property during off-hours was not a public forum, the school district violated an applicant's free speech rights by denying it use of the facilities solely because of the religious viewpoint of the program it wished to present. 508 U.S. at ___. We rejected the district's compelling state interest Establishment Clause defense (the same made here) because the school property was open to a wide variety of uses, the district was not directly sponsoring the religious group's activity, and "any benefit to religion or to the Church would have been no more than incidental." Id. at ___. The Lamb's Chapel reasoning applies a fortiori here, where the property at issue is not a school but a full-fledged public forum.</w:t>
      </w:r>
    </w:p>
    <w:p w:rsidR="00A31137" w:rsidRPr="00A31137" w:rsidRDefault="00A31137" w:rsidP="00A31137">
      <w:r w:rsidRPr="00A31137">
        <w:t>1995, Capitol Square Review &amp; Advisory Bd. v. Pinette, No. 94-780</w:t>
      </w:r>
    </w:p>
    <w:p w:rsidR="00A31137" w:rsidRPr="00A31137" w:rsidRDefault="00A31137" w:rsidP="00A31137">
      <w:r w:rsidRPr="00A31137">
        <w:t>Lamb's Chapel followed naturally from our decision in Widmar, in which we examined a public university's exclusion of student religious groups from facilities available to other student groups. There also we addressed official discrimination against groups who wished to use a "generally open forum" for religious speech. 454 U.S. at  269. And there also the State claimed that its compelling interest in complying with the Establishment Clause justified the content-based restriction. We rejected the defense because the forum created by the State was open to a broad spectrum of groups and would provide only incidental benefit to religion. Id. at  274. We stated categorically that "an open forum in a public university does not confer any imprimatur of state approval on religious sects or practices." Ibid.</w:t>
      </w:r>
    </w:p>
    <w:p w:rsidR="00A31137" w:rsidRPr="00A31137" w:rsidRDefault="00A31137" w:rsidP="00A31137">
      <w:r w:rsidRPr="00A31137">
        <w:t>1995, Capitol Square Review &amp; Advisory Bd. v. Pinette, No. 94-780</w:t>
      </w:r>
    </w:p>
    <w:p w:rsidR="00A31137" w:rsidRPr="00A31137" w:rsidRDefault="00A31137" w:rsidP="00A31137">
      <w:r w:rsidRPr="00A31137">
        <w:t>Quite obviously, the factors that we considered determinative in Lamb's Chapel and Widmar exist here as well. The State did not sponsor respondents' expression, the expression was made on government property that had been opened to the public for speech, and permission was requested through the same application process and on the same terms required of other private groups.</w:t>
      </w:r>
    </w:p>
    <w:p w:rsidR="00A31137" w:rsidRPr="00A31137" w:rsidRDefault="00A31137" w:rsidP="00A31137">
      <w:r w:rsidRPr="00A31137">
        <w:t>IV</w:t>
      </w:r>
    </w:p>
    <w:p w:rsidR="00A31137" w:rsidRPr="00A31137" w:rsidRDefault="00A31137" w:rsidP="00A31137">
      <w:r w:rsidRPr="00A31137">
        <w:t>1995, Capitol Square Review &amp; Advisory Bd. v. Pinette, No. 94-780</w:t>
      </w:r>
    </w:p>
    <w:p w:rsidR="00A31137" w:rsidRPr="00A31137" w:rsidRDefault="00A31137" w:rsidP="00A31137">
      <w:r w:rsidRPr="00A31137">
        <w:t>Petitioners argue that one feature of the present case distinguishes it from Lamb's Chapel and Widmar: the forum's proximity to the seat of government, which, they contend, may produce the perception that the cross bears the State's approval. They urge us to apply the so-called "endorsement test," see, e.g., Allegheny County v. American Civil Liberties Union, Greater Pittsburgh Chapter, 492 U.S. 573 (1989); Lynch v. Donnelly, 465 U.S. 668 (1984), and to find that, because an observer might mistake private expression for officially endorsed religious expression, the State's content-based restriction is constitutional.</w:t>
      </w:r>
    </w:p>
    <w:p w:rsidR="00A31137" w:rsidRPr="00A31137" w:rsidRDefault="00A31137" w:rsidP="00A31137">
      <w:r w:rsidRPr="00A31137">
        <w:t>1995, Capitol Square Review &amp; Advisory Bd. v. Pinette, No. 94-780</w:t>
      </w:r>
    </w:p>
    <w:p w:rsidR="00A31137" w:rsidRPr="00A31137" w:rsidRDefault="00A31137" w:rsidP="00A31137">
      <w:r w:rsidRPr="00A31137">
        <w:t>We must note, to begin with, that it is not really an "endorsement test" of any sort, much less the "endorsement test" which appears in our more recent Establishment Clause jurisprudence, that petitioners urge upon us. "Endorsement" connotes an expression or demonstration of approval or support. The New Shorter Oxford English Dictionary 818 (1993); Webster's New Dictionary 845 (2d ed. 1950). Our cases have accordingly equated "endorsement" with "promotion" or "favoritism." Allegheny County, supra, at  593 (citing cases). We find it peculiar to say that government "promotes" or "favors" a religious display by giving it the same access to a public forum that all other displays enjoy. And as a matter of Establishment Clause jurisprudence, we have consistently held that it is no violation for government to enact neutral policies that happen to benefit religion. See, e.g., Bowen v. Kendrick, 487 U.S. 589,  608 (1988); Witters v. Washington Dept. of Services for Blind, 474 U.S. 481, 486-489 (1986); Mueller v. Allen, 463 U.S. 388 (1983); McGowan v. Maryland, 366 U.S. 420 (1961). Where we have tested for endorsement of religion, the subject of the test was either expression by the government itself, Lynch, supra, or else government action alleged to discriminate in favor of private religious expression or activity, Board of Ed. of Kiryas Joel Village School Dist. v. Grumet, 512 U.S. ___ (1994), Allegheny County, supra. The test petitioners propose, which would attribute to a neutrally behaving government private religious expression, has no antecedent in our jurisprudence, and would better be called a "transferred endorsement" test.</w:t>
      </w:r>
    </w:p>
    <w:p w:rsidR="00A31137" w:rsidRPr="00A31137" w:rsidRDefault="00A31137" w:rsidP="00A31137">
      <w:r w:rsidRPr="00A31137">
        <w:t>1995, Capitol Square Review &amp; Advisory Bd. v. Pinette, No. 94-780</w:t>
      </w:r>
    </w:p>
    <w:p w:rsidR="00A31137" w:rsidRPr="00A31137" w:rsidRDefault="00A31137" w:rsidP="00A31137">
      <w:r w:rsidRPr="00A31137">
        <w:t>Petitioners rely heavily on Allegheny County and Lynch, but each is easily distinguished. In Allegheny County, we held that the display of a privately-sponsored creche on the "Grand Staircase" of the Allegheny County Courthouse violated the Establishment Clause. That staircase was not, however, open to all on an equal basis, so the County was favoring sectarian religious expression. 492 U.S. at 599-600, and n. 50 ("[t]he Grand Staircase does not appear to be the kind of location in which all were free to place their displays"). We expressly distinguished that site from the kind of public forum at issue here, and made clear that, if the staircase were available to all on the same terms, "the presence of the creche in that location for over six weeks would then not serve to associate the government with the creche." Ibid. (emphasis added). In Lynch, we held that a city's display of a creche did not violate the Establishment Clause because, in context, the display did not endorse religion. 465 U.S. at 685-687. The opinion does assume, as petitioners contend, that the government's use of religious symbols is unconstitutional if it effectively endorses sectarian religious belief. But the case neither holds nor even remotely assumes that the government's neutral treatment of private religious expression can be unconstitutional.</w:t>
      </w:r>
    </w:p>
    <w:p w:rsidR="00A31137" w:rsidRPr="00A31137" w:rsidRDefault="00A31137" w:rsidP="00A31137">
      <w:r w:rsidRPr="00A31137">
        <w:t>1995, Capitol Square Review &amp; Advisory Bd. v. Pinette, No. 94-780</w:t>
      </w:r>
    </w:p>
    <w:p w:rsidR="00A31137" w:rsidRPr="00A31137" w:rsidRDefault="00A31137" w:rsidP="00A31137">
      <w:r w:rsidRPr="00A31137">
        <w:t>Petitioners argue that absence of perceived endorsement was material in Lamb's Chapel and Widmar. We did state in Lamb's Chapel that there was "no realistic danger that the community would think that the District was endorsing religion or any particular creed," 508 U.S. at ___. But that conclusion was not the result of empirical investigation; it followed directly, we thought, from the fact that the forum was open and the religious activity privately sponsored. See ibid. It is significant that we referred only to what would be thought by "the community"—not by outsiders or individual members of the community uninformed about the school's practice. Surely some of the latter, hearing of religious ceremonies on school premises and not knowing of the premises' availability and use for all sorts of other private activities, might leap to the erroneous conclusion of state endorsement. But, we in effect said, given an open forum and private sponsorship, erroneous conclusions do not count. So also in Widmar. Once we determined that the benefit to religious groups from the public forum was incidental and shared by other groups, we categorically rejected the State's Establishment Clause defense. 454 U.S. at  274.</w:t>
      </w:r>
    </w:p>
    <w:p w:rsidR="00A31137" w:rsidRPr="00A31137" w:rsidRDefault="00A31137" w:rsidP="00A31137">
      <w:r w:rsidRPr="00A31137">
        <w:t>1995, Capitol Square Review &amp; Advisory Bd. v. Pinette, No. 94-780</w:t>
      </w:r>
    </w:p>
    <w:p w:rsidR="00A31137" w:rsidRPr="00A31137" w:rsidRDefault="00A31137" w:rsidP="00A31137">
      <w:r w:rsidRPr="00A31137">
        <w:t>What distinguishes Allegheny County and the dictum in Lynch from Widmar and Lamb's Chapel is the difference between government speech and private speech.</w:t>
      </w:r>
    </w:p>
    <w:p w:rsidR="00A31137" w:rsidRPr="00A31137" w:rsidRDefault="00A31137" w:rsidP="00A31137">
      <w:r w:rsidRPr="00A31137">
        <w:t>1995, Capitol Square Review &amp; Advisory Bd. v. Pinette, No. 94-780</w:t>
      </w:r>
    </w:p>
    <w:p w:rsidR="00A31137" w:rsidRPr="00A31137" w:rsidRDefault="00A31137" w:rsidP="00A31137">
      <w:r w:rsidRPr="00A31137">
        <w:t>[T]here is a crucial difference between government speech endorsing religion, which the Establishment Clause forbids, and private speech endorsing religion, which the Free Speech and Free Exercise Clauses protect.</w:t>
      </w:r>
    </w:p>
    <w:p w:rsidR="00A31137" w:rsidRPr="00A31137" w:rsidRDefault="00A31137" w:rsidP="00A31137">
      <w:r w:rsidRPr="00A31137">
        <w:t>1995, Capitol Square Review &amp; Advisory Bd. v. Pinette, No. 94-780</w:t>
      </w:r>
    </w:p>
    <w:p w:rsidR="00A31137" w:rsidRPr="00A31137" w:rsidRDefault="00A31137" w:rsidP="00A31137">
      <w:r w:rsidRPr="00A31137">
        <w:t>Mergens, 496 U.S. at  250 (O'CONNOR, J., concurring). 2 Petitioners assert, in effect, that that distinction disappears when the private speech is conducted too close to the symbols of government. But that, of course, must be merely a subpart of a more general principle: that the distinction disappears whenever private speech can be mistaken for government speech. That proposition cannot be accepted at least where, as here, the government has not fostered or encouraged the mistake.</w:t>
      </w:r>
    </w:p>
    <w:p w:rsidR="00A31137" w:rsidRPr="00A31137" w:rsidRDefault="00A31137" w:rsidP="00A31137">
      <w:r w:rsidRPr="00A31137">
        <w:t>1995, Capitol Square Review &amp; Advisory Bd. v. Pinette, No. 94-780</w:t>
      </w:r>
    </w:p>
    <w:p w:rsidR="00A31137" w:rsidRPr="00A31137" w:rsidRDefault="00A31137" w:rsidP="00A31137">
      <w:r w:rsidRPr="00A31137">
        <w:t>Of course, giving sectarian religious speech preferential access to a forum close to the seat of government (or anywhere else, for that matter) would violate the Establishment Clause (as well as the Free Speech Clause, since it would involve content discrimination). And one can conceive of a case in which a governmental entity manipulates its administration of a public forum close to the seat of government (or within a government building) in such a manner that only certain religious groups take advantage of it, creating an impression of endorsement that is in fact accurate. But those situations, which involve governmental favoritism, do not exist here. Capitol Square is a genuinely public forum, is known to be a public forum, and has been widely used as a public forum for many, many years. Private religious speech cannot be subject to veto by those who see favoritism where there is none.</w:t>
      </w:r>
    </w:p>
    <w:p w:rsidR="00A31137" w:rsidRPr="00A31137" w:rsidRDefault="00A31137" w:rsidP="00A31137">
      <w:r w:rsidRPr="00A31137">
        <w:t>1995, Capitol Square Review &amp; Advisory Bd. v. Pinette, No. 94-780</w:t>
      </w:r>
    </w:p>
    <w:p w:rsidR="00A31137" w:rsidRPr="00A31137" w:rsidRDefault="00A31137" w:rsidP="00A31137">
      <w:r w:rsidRPr="00A31137">
        <w:t>The contrary view, most strongly espoused by JUSTICE STEVENS, post, at ___, but endorsed by JUSTICE SOUTER and JUSTICE O'CONNOR as well, exiles private religious speech to a realm of less-protected expression heretofore inhabited only by sexually explicit displays and commercial speech. Young v. American Mini Theatres, Inc., 427 U.S. 50,  61, 70-71 (1976); Central Hudson Gas &amp; Electric Corp. v. Public Serv. Comm'n of N.Y., 447 U.S. 557 (1980). It will be a sad day when this Court casts piety in with pornography, and finds the First Amendment more hospitable to private expletives, see Cohen v. California, 403 U.S. 15,  26 (1971), than to private prayers. This would be merely bizarre were religious speech simply as protected by the Constitution as other forms of private speech; but it is outright perverse when one considers that private religious expression receives preferential treatment under the Free Exercise Clause. It is no answer to say that the Establishment Clause tempers religious speech. By its terms, that Clause applies only to the words and acts of government. It was never meant, and has never been read by this Court, to serve as an impediment to purely private religious speech connected to the State only through its occurrence in a public forum.</w:t>
      </w:r>
    </w:p>
    <w:p w:rsidR="00A31137" w:rsidRPr="00A31137" w:rsidRDefault="00A31137" w:rsidP="00A31137">
      <w:r w:rsidRPr="00A31137">
        <w:t>1995, Capitol Square Review &amp; Advisory Bd. v. Pinette, No. 94-780</w:t>
      </w:r>
    </w:p>
    <w:p w:rsidR="00A31137" w:rsidRPr="00A31137" w:rsidRDefault="00A31137" w:rsidP="00A31137">
      <w:r w:rsidRPr="00A31137">
        <w:t>Since petitioners' "transferred endorsement" principle cannot possibly be restricted to squares in front of state capitols, the Establishment Clause regime that it would usher in is most unappealing. To require (and permit) access by a religious group in Lamb's Chapel, it was sufficient that the group's activity was not, in fact, government sponsored, that the event was open to the public, and that the benefit of the facilities was shared by various organizations. Petitioners' rule would require school districts adopting similar policies in the future to guess whether some undetermined critical mass of the community might nonetheless perceive the district to be advocating a religious viewpoint. Similarly, state universities would be forced to reassess our statement that "an open forum in a public university does not confer any imprimatur of state approval on religious sects or practices." Widmar, 454 U.S. at  274. Whether it does would henceforth depend upon immediate appearances. Policymakers would find themselves in a vise between the Establishment Clause on one side and the Free Speech and Free Exercise Clauses on the other. Every proposed act of private, religious expression in a public forum would force officials to weigh a host of imponderables. How close to government is too close? What kind of building, and in what context, symbolizes state authority? If the State guessed wrong in one direction, it would be guilty of an Establishment Clause violation; if in the other, it would be liable for suppressing free exercise or free speech (a risk not run when the State restrains only its own expression).</w:t>
      </w:r>
    </w:p>
    <w:p w:rsidR="00A31137" w:rsidRPr="00A31137" w:rsidRDefault="00A31137" w:rsidP="00A31137">
      <w:r w:rsidRPr="00A31137">
        <w:t>1995, Capitol Square Review &amp; Advisory Bd. v. Pinette, No. 94-780</w:t>
      </w:r>
    </w:p>
    <w:p w:rsidR="00A31137" w:rsidRPr="00A31137" w:rsidRDefault="00A31137" w:rsidP="00A31137">
      <w:r w:rsidRPr="00A31137">
        <w:t>The "transferred endorsement" test would also disrupt the settled principle that policies providing incidental benefits to religion do not contravene the Establishment Clause. That principle is the basis for the constitutionality of a broad range of laws, not merely those that implicate free speech issues, see, e.g., Witters, supra; Mueller, supra. It has radical implications for our public policy to suggest that neutral laws are invalid whenever hypothetical observers may—even reasonably—confuse an incidental benefit to religion with state endorsement. 3</w:t>
      </w:r>
    </w:p>
    <w:p w:rsidR="00A31137" w:rsidRPr="00A31137" w:rsidRDefault="00A31137" w:rsidP="00A31137">
      <w:r w:rsidRPr="00A31137">
        <w:t>1995, Capitol Square Review &amp; Advisory Bd. v. Pinette, No. 94-780</w:t>
      </w:r>
    </w:p>
    <w:p w:rsidR="00A31137" w:rsidRPr="00A31137" w:rsidRDefault="00A31137" w:rsidP="00A31137">
      <w:r w:rsidRPr="00A31137">
        <w:t>If Ohio is concerned about misperceptions, nothing prevents it from requiring all private displays in the Square to be identified as such. That would be a content-neutral "manner" restriction which is assuredly constitutional. See Clark v. Community for Creative Non-Violence, 468 U.S. 288, 293 (1984). But the State may not, on the claim of misperception of official endorsement, ban all private religious speech from the public square, or discriminate against it by requiring religious speech alone to disclaim public sponsorship. 4</w:t>
      </w:r>
    </w:p>
    <w:p w:rsidR="00A31137" w:rsidRPr="00A31137" w:rsidRDefault="00A31137" w:rsidP="00A31137">
      <w:r w:rsidRPr="00A31137">
        <w:t>*    *    *    *</w:t>
      </w:r>
    </w:p>
    <w:p w:rsidR="00A31137" w:rsidRPr="00A31137" w:rsidRDefault="00A31137" w:rsidP="00A31137">
      <w:r w:rsidRPr="00A31137">
        <w:t>1995, Capitol Square Review &amp; Advisory Bd. v. Pinette, No. 94-780</w:t>
      </w:r>
    </w:p>
    <w:p w:rsidR="00A31137" w:rsidRPr="00A31137" w:rsidRDefault="00A31137" w:rsidP="00A31137">
      <w:r w:rsidRPr="00A31137">
        <w:t>Religious expression cannot violate the Establishment Clause where it (1) is purely private and (2) occurs in a traditional or designated public forum, publicly announced and open to all on equal terms. Those conditions are satisfied here, and therefore the State may not bar respondents' cross from Capitol Square.</w:t>
      </w:r>
    </w:p>
    <w:p w:rsidR="00A31137" w:rsidRPr="00A31137" w:rsidRDefault="00A31137" w:rsidP="00A31137">
      <w:r w:rsidRPr="00A31137">
        <w:t>1995, Capitol Square Review &amp; Advisory Bd. v. Pinette, No. 94-780</w:t>
      </w:r>
    </w:p>
    <w:p w:rsidR="00A31137" w:rsidRPr="00A31137" w:rsidRDefault="00A31137" w:rsidP="00A31137">
      <w:r w:rsidRPr="00A31137">
        <w:t>The judgment of the Court of Appeals is</w:t>
      </w:r>
    </w:p>
    <w:p w:rsidR="00A31137" w:rsidRPr="00A31137" w:rsidRDefault="00A31137" w:rsidP="00A31137">
      <w:r w:rsidRPr="00A31137">
        <w:t>1995, Capitol Square Review &amp; Advisory Bd. v. Pinette, No. 94-780</w:t>
      </w:r>
    </w:p>
    <w:p w:rsidR="00A31137" w:rsidRPr="00A31137" w:rsidRDefault="00A31137" w:rsidP="00A31137">
      <w:r w:rsidRPr="00A31137">
        <w:t>Affirmed.</w:t>
      </w:r>
    </w:p>
    <w:p w:rsidR="00A31137" w:rsidRPr="00A31137" w:rsidRDefault="00A31137" w:rsidP="00A31137">
      <w:r w:rsidRPr="00A31137">
        <w:t>THOMAS, J., concurring</w:t>
      </w:r>
    </w:p>
    <w:p w:rsidR="00A31137" w:rsidRPr="00A31137" w:rsidRDefault="00A31137" w:rsidP="00A31137">
      <w:r w:rsidRPr="00A31137">
        <w:t>1995, Capitol Square Review &amp; Advisory Bd. v. Pinette, No. 94-780</w:t>
      </w:r>
    </w:p>
    <w:p w:rsidR="00A31137" w:rsidRPr="00A31137" w:rsidRDefault="00A31137" w:rsidP="00A31137">
      <w:r w:rsidRPr="00A31137">
        <w:t>JUSTICE THOMAS, concurring.</w:t>
      </w:r>
    </w:p>
    <w:p w:rsidR="00A31137" w:rsidRPr="00A31137" w:rsidRDefault="00A31137" w:rsidP="00A31137">
      <w:r w:rsidRPr="00A31137">
        <w:t>1995, Capitol Square Review &amp; Advisory Bd. v. Pinette, No. 94-780</w:t>
      </w:r>
    </w:p>
    <w:p w:rsidR="00A31137" w:rsidRPr="00A31137" w:rsidRDefault="00A31137" w:rsidP="00A31137">
      <w:r w:rsidRPr="00A31137">
        <w:t>I join the Court's conclusion that petitioner's exclusion of the Ku Klux Klan's cross cannot be justified on Establishment Clause grounds. But the fact that the legal issue before us involves the Establishment Clause should not lead anyone to think that a cross erected by the Ku Klux Klan is a purely religious symbol. The erection of such a cross is a political act, not a Christian one.</w:t>
      </w:r>
    </w:p>
    <w:p w:rsidR="00A31137" w:rsidRPr="00A31137" w:rsidRDefault="00A31137" w:rsidP="00A31137">
      <w:r w:rsidRPr="00A31137">
        <w:t>1995, Capitol Square Review &amp; Advisory Bd. v. Pinette, No. 94-780</w:t>
      </w:r>
    </w:p>
    <w:p w:rsidR="00A31137" w:rsidRPr="00A31137" w:rsidRDefault="00A31137" w:rsidP="00A31137">
      <w:r w:rsidRPr="00A31137">
        <w:t>There is little doubt that the Klan's main objective is to establish a racist white government in the United States. In Klan ceremony, the cross is a symbol of white supremacy and a tool for the intimidation and harassment of racial minorities, Catholics, Jews, Communists, and any other groups hated by the Klan. The cross is associated with the Klan not because of religious worship, but because of the Klan's practice of cross-burning. Cross-burning was entirely unknown to the early Ku Klux Klan, which emerged in some Southern States during Reconstruction. W. Wade, The Fiery Cross: The Ku Klux Klan in America 146 (1987). The practice appears to have been the product of Thomas Dixon, whose book The Clansman formed the story for the movie, The Birth of a Nation. See M. Newton &amp; J. Newton, The Ku Klux Klan: An Encyclopedia 145-146 (1991). In the book, cross-burning is borrowed from an "old Scottish rite" (Dixon apparently believed that the members of the Reconstruction Ku Klux Klan were the "reincarnated souls of the Clansmen of Old Scotland") that the Klan uses to celebrate the execution of a former slave. T. Dixon, The Clansman: An Historical Romance of the Ku Klux Klan 324-326 (1905). Although the cross took on some religious significance in the 1920's when the Klan became connected with certain southern white clergy, by the postwar period, it had reverted to its original function as an instrument of intimidation. Wade, supra, at 185, 279.</w:t>
      </w:r>
    </w:p>
    <w:p w:rsidR="00A31137" w:rsidRPr="00A31137" w:rsidRDefault="00A31137" w:rsidP="00A31137">
      <w:r w:rsidRPr="00A31137">
        <w:t>1995, Capitol Square Review &amp; Advisory Bd. v. Pinette, No. 94-780</w:t>
      </w:r>
    </w:p>
    <w:p w:rsidR="00A31137" w:rsidRPr="00A31137" w:rsidRDefault="00A31137" w:rsidP="00A31137">
      <w:r w:rsidRPr="00A31137">
        <w:t>To be sure, the cross appears to serve as a religious symbol of Christianity for some Klan members. The hymn "The Old Rugged Cross" is sometimes played during cross-burnings. See W. Moore, A Sheet and a Cross: A Symbolic Analysis of the Ku Klux Klan 287-288 (Ph.D. dissertation, Tulane University, 1975). But to the extent that the Klan had a message to communicate in Capitol Square, it was primarily a political one. During his testimony before the District Court, the leader of the local Klan testified that the cross was seen "as a symbol of freedom, as a symbol of trying to unite our people." App. 150. The Klan chapter wished to erect the cross because it was also "a symbol of freedom from tyranny," and because it "was also incorporated in the confederate battle flag." Ibid. Of course, the cross also had some religious connotation; the Klan leader linked the cross to what he claimed was one of the central purposes of the Klan: "to establish a Christian government in America." Id. at 142-145. But surely this message was both political and religious in nature.</w:t>
      </w:r>
    </w:p>
    <w:p w:rsidR="00A31137" w:rsidRPr="00A31137" w:rsidRDefault="00A31137" w:rsidP="00A31137">
      <w:r w:rsidRPr="00A31137">
        <w:t>1995, Capitol Square Review &amp; Advisory Bd. v. Pinette, No. 94-780</w:t>
      </w:r>
    </w:p>
    <w:p w:rsidR="00A31137" w:rsidRPr="00A31137" w:rsidRDefault="00A31137" w:rsidP="00A31137">
      <w:r w:rsidRPr="00A31137">
        <w:t>Although the Klan might have sought to convey a message with some religious component, I think that the Klan had a primarily nonreligious purpose in erecting the cross. The Klan simply has appropriated one of the most sacred of religious symbols as a symbol of hate. In my mind, this suggests that this case may not have truly involved the Establishment Clause, although I agree with the Court's disposition because of the manner in which the case has come before us. In the end, there may be much less here than meets the eye.</w:t>
      </w:r>
    </w:p>
    <w:p w:rsidR="00A31137" w:rsidRPr="00A31137" w:rsidRDefault="00A31137" w:rsidP="00A31137">
      <w:r w:rsidRPr="00A31137">
        <w:t>O'CONNOR, J., concurring</w:t>
      </w:r>
    </w:p>
    <w:p w:rsidR="00A31137" w:rsidRPr="00A31137" w:rsidRDefault="00A31137" w:rsidP="00A31137">
      <w:r w:rsidRPr="00A31137">
        <w:t>1995, Capitol Square Review &amp; Advisory Bd. v. Pinette, No. 94-780</w:t>
      </w:r>
    </w:p>
    <w:p w:rsidR="00A31137" w:rsidRPr="00A31137" w:rsidRDefault="00A31137" w:rsidP="00A31137">
      <w:r w:rsidRPr="00A31137">
        <w:t>JUSTICE O'CONNOR, with whom JUSTICE SOUTER and JUSTICE BREYER join, concurring in part and concurring in the judgment.</w:t>
      </w:r>
    </w:p>
    <w:p w:rsidR="00A31137" w:rsidRPr="00A31137" w:rsidRDefault="00A31137" w:rsidP="00A31137">
      <w:r w:rsidRPr="00A31137">
        <w:t>1995, Capitol Square Review &amp; Advisory Bd. v. Pinette, No. 94-780</w:t>
      </w:r>
    </w:p>
    <w:p w:rsidR="00A31137" w:rsidRPr="00A31137" w:rsidRDefault="00A31137" w:rsidP="00A31137">
      <w:r w:rsidRPr="00A31137">
        <w:t>I join Parts I, II, and III of the Court's opinion and concur in the judgment. Despite the messages of bigotry and racism that may be conveyed along with religious connotations by the display of a Ku Klux Klan cross, see ante at ___ (THOMAS, J., concurring) at bottom this case must be understood as it has been presented to us—as a case about private religious expression and whether the State's relationship to it violates the Establishment Clause. In my view,</w:t>
      </w:r>
    </w:p>
    <w:p w:rsidR="00A31137" w:rsidRPr="00A31137" w:rsidRDefault="00A31137" w:rsidP="00A31137">
      <w:r w:rsidRPr="00A31137">
        <w:t>1995, Capitol Square Review &amp; Advisory Bd. v. Pinette, No. 94-780</w:t>
      </w:r>
    </w:p>
    <w:p w:rsidR="00A31137" w:rsidRPr="00A31137" w:rsidRDefault="00A31137" w:rsidP="00A31137">
      <w:r w:rsidRPr="00A31137">
        <w:t>the endorsement test asks the right question about governmental practices challenged on Establishment Clause grounds, including challenged practices involving the display of religious symbols,</w:t>
      </w:r>
    </w:p>
    <w:p w:rsidR="00A31137" w:rsidRPr="00A31137" w:rsidRDefault="00A31137" w:rsidP="00A31137">
      <w:r w:rsidRPr="00A31137">
        <w:t>1995, Capitol Square Review &amp; Advisory Bd. v. Pinette, No. 94-780</w:t>
      </w:r>
    </w:p>
    <w:p w:rsidR="00A31137" w:rsidRPr="00A31137" w:rsidRDefault="00A31137" w:rsidP="00A31137">
      <w:r w:rsidRPr="00A31137">
        <w:t>Allegheny County v. American Civil Liberties Union, Greater Pittsburgh Chapter, 492 U.S. 573,  628 (1989) (O'CONNOR, J., concurring in part and concurring in judgment), even where a neutral state policy toward private religious speech in a public forum is at issue. Accordingly, I see no necessity to carve out, as the plurality opinion would today, an exception to the endorsement test for the public forum context.</w:t>
      </w:r>
    </w:p>
    <w:p w:rsidR="00A31137" w:rsidRPr="00A31137" w:rsidRDefault="00A31137" w:rsidP="00A31137">
      <w:r w:rsidRPr="00A31137">
        <w:t>1995, Capitol Square Review &amp; Advisory Bd. v. Pinette, No. 94-780</w:t>
      </w:r>
    </w:p>
    <w:p w:rsidR="00A31137" w:rsidRPr="00A31137" w:rsidRDefault="00A31137" w:rsidP="00A31137">
      <w:r w:rsidRPr="00A31137">
        <w:t>For the reasons given by JUSTICE SOUTER, whose opinion I also join, I conclude on the facts of this case that there is "no realistic danger that the community would think that the [State] was endorsing religion or any particular creed," Lamb's Chapel v. Center Moriches Union Free School Dist., 508 U.S. ___, ___ (1993), by granting respondents a permit to erect their temporary cross on Capitol Square. I write separately, however, to emphasize that, because it seeks to identify those situations in which government makes "'adherence to a religion relevant…to a person's standing in the political community,'" Allegheny, supra, at  594 (quoting Lynch v. Donnelly, 465 U.S. 668,  687 (1984) (O'CONNOR, J., concurring)), the endorsement test necessarily focuses upon the perception of a reasonable, informed observer.</w:t>
      </w:r>
    </w:p>
    <w:p w:rsidR="00A31137" w:rsidRPr="00A31137" w:rsidRDefault="00A31137" w:rsidP="00A31137">
      <w:r w:rsidRPr="00A31137">
        <w:t>I</w:t>
      </w:r>
    </w:p>
    <w:p w:rsidR="00A31137" w:rsidRPr="00A31137" w:rsidRDefault="00A31137" w:rsidP="00A31137">
      <w:r w:rsidRPr="00A31137">
        <w:t>1995, Capitol Square Review &amp; Advisory Bd. v. Pinette, No. 94-780</w:t>
      </w:r>
    </w:p>
    <w:p w:rsidR="00A31137" w:rsidRPr="00A31137" w:rsidRDefault="00A31137" w:rsidP="00A31137">
      <w:r w:rsidRPr="00A31137">
        <w:t>In recent years, we have paid particularly close attention [in Establishment Clause cases] to whether the challenged governmental practice either has the purpose or effect of "endorsing" religion, a concern that has long had a place in our Establishment Clause jurisprudence.</w:t>
      </w:r>
    </w:p>
    <w:p w:rsidR="00A31137" w:rsidRPr="00A31137" w:rsidRDefault="00A31137" w:rsidP="00A31137">
      <w:r w:rsidRPr="00A31137">
        <w:t>1995, Capitol Square Review &amp; Advisory Bd. v. Pinette, No. 94-780</w:t>
      </w:r>
    </w:p>
    <w:p w:rsidR="00A31137" w:rsidRPr="00A31137" w:rsidRDefault="00A31137" w:rsidP="00A31137">
      <w:r w:rsidRPr="00A31137">
        <w:t>Allegheny, supra, at  592. See also Lamb's Chapel, supra, at ___; School Dist. of Grand Rapids v. Ball, 473 U.S. 373,  390 (1985) (asking "whether the symbolic union of church and state effected by the challenged governmental action is sufficiently likely to be perceived by adherents of the controlling denominations as an endorsement, and by the nonadherents as a disapproval, of their individual religious choices"). A government statement "'that religion or a particular religious belief is favored or preferred,'" Allegheny, supra, at  593 (quoting Wallace v. Jaffree, 472 U.S. 38,  70 (1985) (O'CONNOR, J., concurring in judgment)), violates the prohibition against establishment of religion because such</w:t>
      </w:r>
    </w:p>
    <w:p w:rsidR="00A31137" w:rsidRPr="00A31137" w:rsidRDefault="00A31137" w:rsidP="00A31137">
      <w:r w:rsidRPr="00A31137">
        <w:t>1995, Capitol Square Review &amp; Advisory Bd. v. Pinette, No. 94-780</w:t>
      </w:r>
    </w:p>
    <w:p w:rsidR="00A31137" w:rsidRPr="00A31137" w:rsidRDefault="00A31137" w:rsidP="00A31137">
      <w:r w:rsidRPr="00A31137">
        <w:t>[e]ndorsement sends a message to nonadherents that they are outsiders, not full members of the political community, and an accompanying message to adherents that they are insiders, favored members of the political community,</w:t>
      </w:r>
    </w:p>
    <w:p w:rsidR="00A31137" w:rsidRPr="00A31137" w:rsidRDefault="00A31137" w:rsidP="00A31137">
      <w:r w:rsidRPr="00A31137">
        <w:t>1995, Capitol Square Review &amp; Advisory Bd. v. Pinette, No. 94-780</w:t>
      </w:r>
    </w:p>
    <w:p w:rsidR="00A31137" w:rsidRPr="00A31137" w:rsidRDefault="00A31137" w:rsidP="00A31137">
      <w:r w:rsidRPr="00A31137">
        <w:t>Lynch, supra, at  688 (O'CONNOR, J., concurring). See also Allegheny, supra, at  628 (O'CONNOR, J., concurring in part and concurring in judgment); Wallace, supra, at  69 (O'CONNOR, J., concurring in judgment). Although "[e]xperience proves that the Establishment Clause…cannot easily be reduced to a single test," Board of Ed. of Kiryas Joel Village School Dist. v. Grumet, 512 U.S. ___, ___ (1994) (O'CONNOR, J., concurring in part and concurring in judgment), the endorsement inquiry captures the fundamental requirement of the Establishment Clause when courts are called upon to evaluate the constitutionality of religious symbols on public property. See Allegheny, supra, at 593-594.</w:t>
      </w:r>
    </w:p>
    <w:p w:rsidR="00A31137" w:rsidRPr="00A31137" w:rsidRDefault="00A31137" w:rsidP="00A31137">
      <w:r w:rsidRPr="00A31137">
        <w:t>1995, Capitol Square Review &amp; Advisory Bd. v. Pinette, No. 94-780</w:t>
      </w:r>
    </w:p>
    <w:p w:rsidR="00A31137" w:rsidRPr="00A31137" w:rsidRDefault="00A31137" w:rsidP="00A31137">
      <w:r w:rsidRPr="00A31137">
        <w:t>While the plurality would limit application of the endorsement test to</w:t>
      </w:r>
    </w:p>
    <w:p w:rsidR="00A31137" w:rsidRPr="00A31137" w:rsidRDefault="00A31137" w:rsidP="00A31137">
      <w:r w:rsidRPr="00A31137">
        <w:t>1995, Capitol Square Review &amp; Advisory Bd. v. Pinette, No. 94-780</w:t>
      </w:r>
    </w:p>
    <w:p w:rsidR="00A31137" w:rsidRPr="00A31137" w:rsidRDefault="00A31137" w:rsidP="00A31137">
      <w:r w:rsidRPr="00A31137">
        <w:t>expression by the government itself,…or else government action alleged to discriminate in favor of private religious expression or activity,</w:t>
      </w:r>
    </w:p>
    <w:p w:rsidR="00A31137" w:rsidRPr="00A31137" w:rsidRDefault="00A31137" w:rsidP="00A31137">
      <w:r w:rsidRPr="00A31137">
        <w:t>1995, Capitol Square Review &amp; Advisory Bd. v. Pinette, No. 94-780</w:t>
      </w:r>
    </w:p>
    <w:p w:rsidR="00A31137" w:rsidRPr="00A31137" w:rsidRDefault="00A31137" w:rsidP="00A31137">
      <w:r w:rsidRPr="00A31137">
        <w:t>ante at ___, I believe that an impermissible message of endorsement can be sent in a variety of contexts, not all of which involve direct government speech or outright favoritism. See infra at ___. It is true that neither Allegheny nor Lynch, our two prior religious display cases, involved the same combination of private religious speech and a public forum that we have before us today. Nonetheless, as JUSTICE SOUTER aptly demonstrates, post at ___, we have on several occasions employed an endorsement perspective in Establishment Clause cases where private religious conduct has intersected with a neutral governmental policy providing some benefit in a manner that parallels the instant case. Thus, while I join the discussion of Lamb's Chapel and Widmar v. Vincent, 454 U.S. 263 (1981), in Part III of the Court's opinion, I do so with full recognition that the factors the Court properly identifies ultimately led in each case to the conclusion that there was no endorsement of religion by the State. Lamb's Chapel, supra, at ___; Widmar, supra, at  274. See also post at ___ (SOUTER, J., concurring in part and concurring in judgment).</w:t>
      </w:r>
    </w:p>
    <w:p w:rsidR="00A31137" w:rsidRPr="00A31137" w:rsidRDefault="00A31137" w:rsidP="00A31137">
      <w:r w:rsidRPr="00A31137">
        <w:t>1995, Capitol Square Review &amp; Advisory Bd. v. Pinette, No. 94-780</w:t>
      </w:r>
    </w:p>
    <w:p w:rsidR="00A31137" w:rsidRPr="00A31137" w:rsidRDefault="00A31137" w:rsidP="00A31137">
      <w:r w:rsidRPr="00A31137">
        <w:t>There is, as the plurality notes, ante at ___,</w:t>
      </w:r>
    </w:p>
    <w:p w:rsidR="00A31137" w:rsidRPr="00A31137" w:rsidRDefault="00A31137" w:rsidP="00A31137">
      <w:r w:rsidRPr="00A31137">
        <w:t>1995, Capitol Square Review &amp; Advisory Bd. v. Pinette, No. 94-780</w:t>
      </w:r>
    </w:p>
    <w:p w:rsidR="00A31137" w:rsidRPr="00A31137" w:rsidRDefault="00A31137" w:rsidP="00A31137">
      <w:r w:rsidRPr="00A31137">
        <w:t>a crucial difference between government speech endorsing religion, which the Establishment Clause forbids, and private speech endorsing religion, which the Free Speech and Free Exercise Clauses protect.</w:t>
      </w:r>
    </w:p>
    <w:p w:rsidR="00A31137" w:rsidRPr="00A31137" w:rsidRDefault="00A31137" w:rsidP="00A31137">
      <w:r w:rsidRPr="00A31137">
        <w:t>1995, Capitol Square Review &amp; Advisory Bd. v. Pinette, No. 94-780</w:t>
      </w:r>
    </w:p>
    <w:p w:rsidR="00A31137" w:rsidRPr="00A31137" w:rsidRDefault="00A31137" w:rsidP="00A31137">
      <w:r w:rsidRPr="00A31137">
        <w:t>Board of Ed. of Westside Community Schools (Dist. 66) v. Mergens, 496 U.S. 226,  250 (1990) (plurality opinion). But the quoted statement was made while applying the endorsement test itself; indeed, the sentence upon which the plurality relies was followed immediately by the conclusion that</w:t>
      </w:r>
    </w:p>
    <w:p w:rsidR="00A31137" w:rsidRPr="00A31137" w:rsidRDefault="00A31137" w:rsidP="00A31137">
      <w:r w:rsidRPr="00A31137">
        <w:t>1995, Capitol Square Review &amp; Advisory Bd. v. Pinette, No. 94-780</w:t>
      </w:r>
    </w:p>
    <w:p w:rsidR="00A31137" w:rsidRPr="00A31137" w:rsidRDefault="00A31137" w:rsidP="00A31137">
      <w:r w:rsidRPr="00A31137">
        <w:t>secondary school students are mature enough and are likely to understand that a school does not endorse or support student speech that it merely permits on a nondiscriminatory basis.</w:t>
      </w:r>
    </w:p>
    <w:p w:rsidR="00A31137" w:rsidRPr="00A31137" w:rsidRDefault="00A31137" w:rsidP="00A31137">
      <w:r w:rsidRPr="00A31137">
        <w:t>1995, Capitol Square Review &amp; Advisory Bd. v. Pinette, No. 94-780</w:t>
      </w:r>
    </w:p>
    <w:p w:rsidR="00A31137" w:rsidRPr="00A31137" w:rsidRDefault="00A31137" w:rsidP="00A31137">
      <w:r w:rsidRPr="00A31137">
        <w:t>Ibid. Thus, as I read the decisions JUSTICE SOUTER carefully surveys, our prior cases do not imply that the endorsement test has no place where private religious speech in a public forum is at issue. Moreover, numerous lower courts (including the Court of Appeals in this case) have applied the endorsement test in precisely the context before us today. See, e.g., Chabad-Lubavitch of Georgia v. Miller, 5 F.3d 1383 (CA11 1993) (en banc); Kreisner v. San Diego, 1 F.3d 775, 782-787 (CA9 1993), cert. denied, 510 U.S. ___ (1994); Americans United for Separation of Church and State v. Grand Rapids, 980 F.2d 1538 (CA6 1992) (en banc); Doe v. Small, 964 F.2d 611 (CA7 1992) (en banc); cf. Smith v. County of Albemarle, 895 F.2d 953 (CA4 1990), cert. denied, 498 U.S. 823 (1990); Kaplan v. Burlington, 891 F.2d 1024 (CA2 1989), cert. denied, 496 U.S. 926 (1990). Given this background, I see no necessity to draw new lines where "[r]eligious expression…(1) is purely private and (2) occurs in a traditional or designated public forum," ante at ___.</w:t>
      </w:r>
    </w:p>
    <w:p w:rsidR="00A31137" w:rsidRPr="00A31137" w:rsidRDefault="00A31137" w:rsidP="00A31137">
      <w:r w:rsidRPr="00A31137">
        <w:t>1995, Capitol Square Review &amp; Advisory Bd. v. Pinette, No. 94-780</w:t>
      </w:r>
    </w:p>
    <w:p w:rsidR="00A31137" w:rsidRPr="00A31137" w:rsidRDefault="00A31137" w:rsidP="00A31137">
      <w:r w:rsidRPr="00A31137">
        <w:t>None of this is to suggest that I would be likely to come to a different result from the plurality where truly private speech is allowed on equal terms in a vigorous public forum that the government has administered properly. That the religious display at issue here was erected by a private group in a public square available "for use by the public…for free discussion of public questions, or for activities of a broad public purpose," Ohio Admin.Code Ann. § 128-4-02(A) (1994), certainly informs the Establishment Clause inquiry under the endorsement test. Indeed, many of the factors the plurality identifies are some of those I would consider important in deciding cases like this one where religious speakers seek access to public spaces:</w:t>
      </w:r>
    </w:p>
    <w:p w:rsidR="00A31137" w:rsidRPr="00A31137" w:rsidRDefault="00A31137" w:rsidP="00A31137">
      <w:r w:rsidRPr="00A31137">
        <w:t>1995, Capitol Square Review &amp; Advisory Bd. v. Pinette, No. 94-780</w:t>
      </w:r>
    </w:p>
    <w:p w:rsidR="00A31137" w:rsidRPr="00A31137" w:rsidRDefault="00A31137" w:rsidP="00A31137">
      <w:r w:rsidRPr="00A31137">
        <w:t>The State did not sponsor respondents' expression, the expression was made on government property that had been opened to the public for speech, and permission was requested through the same application process and on the same terms required of other groups.</w:t>
      </w:r>
    </w:p>
    <w:p w:rsidR="00A31137" w:rsidRPr="00A31137" w:rsidRDefault="00A31137" w:rsidP="00A31137">
      <w:r w:rsidRPr="00A31137">
        <w:t>1995, Capitol Square Review &amp; Advisory Bd. v. Pinette, No. 94-780</w:t>
      </w:r>
    </w:p>
    <w:p w:rsidR="00A31137" w:rsidRPr="00A31137" w:rsidRDefault="00A31137" w:rsidP="00A31137">
      <w:r w:rsidRPr="00A31137">
        <w:t>Ante at ___. And, as I read the plurality opinion, a case is not governed by its proposed per se rule where such circumstances are otherwise—that is, where preferential placement of a religious symbol in a public space or government manipulation of the forum is involved. See ante at ___.</w:t>
      </w:r>
    </w:p>
    <w:p w:rsidR="00A31137" w:rsidRPr="00A31137" w:rsidRDefault="00A31137" w:rsidP="00A31137">
      <w:r w:rsidRPr="00A31137">
        <w:t>1995, Capitol Square Review &amp; Advisory Bd. v. Pinette, No. 94-780</w:t>
      </w:r>
    </w:p>
    <w:p w:rsidR="00A31137" w:rsidRPr="00A31137" w:rsidRDefault="00A31137" w:rsidP="00A31137">
      <w:r w:rsidRPr="00A31137">
        <w:t>To the plurality's consideration of the open nature of the forum and the private ownership of the display, however, I would add the presence of a sign disclaiming government sponsorship or endorsement on the Klan cross, which would make the State's role clear to the community. This factor is important because, as JUSTICE SOUTER makes clear, post at ___, certain aspects of the cross display in this case arguably intimate government approval of respondents' private religious message—particularly that the cross is an especially potent sectarian symbol which stood unattended in close proximity to official government buildings. In context, a disclaimer helps remove doubt about State approval of respondents' religious message. Cf. Widmar, 454 U.S. at  274, n. 14 ("In light of the large number of groups meeting on campus, however, we doubt students could draw any reasonable inference of University support from the mere fact of a campus meeting place. The University's student handbook already notes that the University's name will not 'be identified in any way with the aims, policies, programs, products, or opinions of any organization or its members'"). On these facts, then, "the message [of inclusion] is one of neutrality, rather than endorsement." Mergens, 496 U.S. at  248 (plurality opinion).</w:t>
      </w:r>
    </w:p>
    <w:p w:rsidR="00A31137" w:rsidRPr="00A31137" w:rsidRDefault="00A31137" w:rsidP="00A31137">
      <w:r w:rsidRPr="00A31137">
        <w:t>1995, Capitol Square Review &amp; Advisory Bd. v. Pinette, No. 94-780</w:t>
      </w:r>
    </w:p>
    <w:p w:rsidR="00A31137" w:rsidRPr="00A31137" w:rsidRDefault="00A31137" w:rsidP="00A31137">
      <w:r w:rsidRPr="00A31137">
        <w:t>Our agreement as to the outcome of this case, however, cannot mask the fact that I part company with the plurality on a fundamental point: I disagree that</w:t>
      </w:r>
    </w:p>
    <w:p w:rsidR="00A31137" w:rsidRPr="00A31137" w:rsidRDefault="00A31137" w:rsidP="00A31137">
      <w:r w:rsidRPr="00A31137">
        <w:t>1995, Capitol Square Review &amp; Advisory Bd. v. Pinette, No. 94-780</w:t>
      </w:r>
    </w:p>
    <w:p w:rsidR="00A31137" w:rsidRPr="00A31137" w:rsidRDefault="00A31137" w:rsidP="00A31137">
      <w:r w:rsidRPr="00A31137">
        <w:t>[i]t has radical implications for our public policy to suggest that neutral laws are invalid whenever hypothetical observers may—even reasonably—confuse an incidental benefit to religion with State endorsement.</w:t>
      </w:r>
    </w:p>
    <w:p w:rsidR="00A31137" w:rsidRPr="00A31137" w:rsidRDefault="00A31137" w:rsidP="00A31137">
      <w:r w:rsidRPr="00A31137">
        <w:t>1995, Capitol Square Review &amp; Advisory Bd. v. Pinette, No. 94-780</w:t>
      </w:r>
    </w:p>
    <w:p w:rsidR="00A31137" w:rsidRPr="00A31137" w:rsidRDefault="00A31137" w:rsidP="00A31137">
      <w:r w:rsidRPr="00A31137">
        <w:t>Ante at ___. On the contrary, when the reasonable observer would view a government practice as endorsing religion, I believe that it is our duty to hold the practice invalid. The plurality today takes an exceedingly narrow view of the Establishment Clause that is out of step both with the Court's prior cases and with well-established notions of what the Constitution requires. The Clause is more than a negative prohibition against certain narrowly defined forms of government favoritism, see ante at ___; it also imposes affirmative obligations that may require a State, in some situations, to take steps to avoid being perceived as supporting or endorsing a private religious message. That is, the Establishment Clause forbids a State from hiding behind the application of formally neutral criteria and remaining studiously oblivious to the effects of its actions. Governmental intent cannot control, and not all state policies are permissible under the Religion Clauses simply because they are neutral in form.</w:t>
      </w:r>
    </w:p>
    <w:p w:rsidR="00A31137" w:rsidRPr="00A31137" w:rsidRDefault="00A31137" w:rsidP="00A31137">
      <w:r w:rsidRPr="00A31137">
        <w:t>1995, Capitol Square Review &amp; Advisory Bd. v. Pinette, No. 94-780</w:t>
      </w:r>
    </w:p>
    <w:p w:rsidR="00A31137" w:rsidRPr="00A31137" w:rsidRDefault="00A31137" w:rsidP="00A31137">
      <w:r w:rsidRPr="00A31137">
        <w:t>Where the government's operation of a public forum has the effect of endorsing religion, even if the governmental actor neither intends nor actively encourages that result, see Lynch, 465 U.S. at  690 (O'CONNOR, J., concurring), the Establishment Clause is violated. This is so not because of "'transferred endorsement,'" ante at ___, or mistaken attribution of private speech to the State, but because the State's own actions (operating the forum in a particular manner and permitting the religious expression to take place therein), and their relationship to the private speech at issue, actually convey a message of endorsement. At some point, for example, a private religious group may so dominate a public forum that a formal policy of equal access is transformed into a demonstration of approval. Cf. Mergens, 454 U.S. at  275 (concluding that there was no danger of an Establishment Clause violation in a public university's allowing access by student religious groups to facilities available to others "[a]t least in the absence of empirical evidence that religious groups will dominate [the school's] open forum"). Other circumstances may produce the same effect—whether because of the fortuity of geography, the nature of the particular public space, or the character of the religious speech at issue, among others. Our Establishment Clause jurisprudence should remain flexible enough to handle such situations when they arise.</w:t>
      </w:r>
    </w:p>
    <w:p w:rsidR="00A31137" w:rsidRPr="00A31137" w:rsidRDefault="00A31137" w:rsidP="00A31137">
      <w:r w:rsidRPr="00A31137">
        <w:t>1995, Capitol Square Review &amp; Advisory Bd. v. Pinette, No. 94-780</w:t>
      </w:r>
    </w:p>
    <w:p w:rsidR="00A31137" w:rsidRPr="00A31137" w:rsidRDefault="00A31137" w:rsidP="00A31137">
      <w:r w:rsidRPr="00A31137">
        <w:t>In the end, I would recognize that the Establishment Clause inquiry cannot be distilled into a fixed, per se rule. Thus,</w:t>
      </w:r>
    </w:p>
    <w:p w:rsidR="00A31137" w:rsidRPr="00A31137" w:rsidRDefault="00A31137" w:rsidP="00A31137">
      <w:r w:rsidRPr="00A31137">
        <w:t>1995, Capitol Square Review &amp; Advisory Bd. v. Pinette, No. 94-780</w:t>
      </w:r>
    </w:p>
    <w:p w:rsidR="00A31137" w:rsidRPr="00A31137" w:rsidRDefault="00A31137" w:rsidP="00A31137">
      <w:r w:rsidRPr="00A31137">
        <w:t>[e]very government practice must be judged in its unique circumstances to determine whether it constitutes an endorsement or disapproval of religion.</w:t>
      </w:r>
    </w:p>
    <w:p w:rsidR="00A31137" w:rsidRPr="00A31137" w:rsidRDefault="00A31137" w:rsidP="00A31137">
      <w:r w:rsidRPr="00A31137">
        <w:t>1995, Capitol Square Review &amp; Advisory Bd. v. Pinette, No. 94-780</w:t>
      </w:r>
    </w:p>
    <w:p w:rsidR="00A31137" w:rsidRPr="00A31137" w:rsidRDefault="00A31137" w:rsidP="00A31137">
      <w:r w:rsidRPr="00A31137">
        <w:t>Lynch, 465 U.S. at  694 (O'CONNOR, J., concurring). And this question cannot be answered in the abstract, but instead requires courts to examine the history and administration of a particular practice to determine whether it operates as such an endorsement. I continue to believe that government practices relating to speech on religious topics "must be subjected to careful judicial scrutiny," ibid., and that the endorsement test supplies an appropriate standard for that inquiry.</w:t>
      </w:r>
    </w:p>
    <w:p w:rsidR="00A31137" w:rsidRPr="00A31137" w:rsidRDefault="00A31137" w:rsidP="00A31137">
      <w:r w:rsidRPr="00A31137">
        <w:t>II</w:t>
      </w:r>
    </w:p>
    <w:p w:rsidR="00A31137" w:rsidRPr="00A31137" w:rsidRDefault="00A31137" w:rsidP="00A31137">
      <w:r w:rsidRPr="00A31137">
        <w:t>1995, Capitol Square Review &amp; Advisory Bd. v. Pinette, No. 94-780</w:t>
      </w:r>
    </w:p>
    <w:p w:rsidR="00A31137" w:rsidRPr="00A31137" w:rsidRDefault="00A31137" w:rsidP="00A31137">
      <w:r w:rsidRPr="00A31137">
        <w:t>Conducting the review of government action required by the Establishment Clause is always a sensitive matter. Unfortunately, as I noted in Allegheny,</w:t>
      </w:r>
    </w:p>
    <w:p w:rsidR="00A31137" w:rsidRPr="00A31137" w:rsidRDefault="00A31137" w:rsidP="00A31137">
      <w:r w:rsidRPr="00A31137">
        <w:t>1995, Capitol Square Review &amp; Advisory Bd. v. Pinette, No. 94-780</w:t>
      </w:r>
    </w:p>
    <w:p w:rsidR="00A31137" w:rsidRPr="00A31137" w:rsidRDefault="00A31137" w:rsidP="00A31137">
      <w:r w:rsidRPr="00A31137">
        <w:t>even the development of articulable standards and guidelines has not always resulted in agreement among the Members of this Court on the results in individual cases.</w:t>
      </w:r>
    </w:p>
    <w:p w:rsidR="00A31137" w:rsidRPr="00A31137" w:rsidRDefault="00A31137" w:rsidP="00A31137">
      <w:r w:rsidRPr="00A31137">
        <w:t>1995, Capitol Square Review &amp; Advisory Bd. v. Pinette, No. 94-780</w:t>
      </w:r>
    </w:p>
    <w:p w:rsidR="00A31137" w:rsidRPr="00A31137" w:rsidRDefault="00A31137" w:rsidP="00A31137">
      <w:r w:rsidRPr="00A31137">
        <w:t>492 U.S. at  623. Today, JUSTICE STEVENS reaches a different conclusion regarding whether the Board's decision to allow respondents' display on Capitol Square constituted an impermissible endorsement of the cross' religious message. Yet I believe it is important to note that we have not simply arrived at divergent results after conducting the same analysis. Our fundamental point of departure, it appears, concerns the knowledge that is properly attributed to the test's "reasonable observer [who] evaluates whether a challenged governmental practice conveys a message of endorsement of religion." Id. at  630 (O'CONNOR, J., concurring in part and concurring in judgment). In my view, proper application of the endorsement test requires that the reasonable observer be deemed more informed than the casual passerby postulated by the dissent.</w:t>
      </w:r>
    </w:p>
    <w:p w:rsidR="00A31137" w:rsidRPr="00A31137" w:rsidRDefault="00A31137" w:rsidP="00A31137">
      <w:r w:rsidRPr="00A31137">
        <w:t>1995, Capitol Square Review &amp; Advisory Bd. v. Pinette, No. 94-780</w:t>
      </w:r>
    </w:p>
    <w:p w:rsidR="00A31137" w:rsidRPr="00A31137" w:rsidRDefault="00A31137" w:rsidP="00A31137">
      <w:r w:rsidRPr="00A31137">
        <w:t>Because an Establishment Clause violation must be moored in government action of some sort, and because our concern is with the political community writ large, see Allegheny, supra, at 627 (O'CONNOR, J., concurring in part and concurring in judgment); Lynch, 465 U.S. at 690, the endorsement inquiry is not about the perceptions of particular individuals or saving isolated nonadherents from the discomfort of viewing symbols of a faith to which they do not subscribe. Indeed, to avoid "entirely sweep[ing] away all government recognition and acknowledgment of the role of religion in the lives of our citizens," Allegheny, supra, at  623 (O'CONNOR, J., concurring in part and concurring in judgment), our Establishment Clause jurisprudence must seek to identify the point at which the government becomes responsible, whether due to favoritism toward or disregard for the evident effect of religious speech, for the injection of religion into the political life of the citizenry.</w:t>
      </w:r>
    </w:p>
    <w:p w:rsidR="00A31137" w:rsidRPr="00A31137" w:rsidRDefault="00A31137" w:rsidP="00A31137">
      <w:r w:rsidRPr="00A31137">
        <w:t>1995, Capitol Square Review &amp; Advisory Bd. v. Pinette, No. 94-780</w:t>
      </w:r>
    </w:p>
    <w:p w:rsidR="00A31137" w:rsidRPr="00A31137" w:rsidRDefault="00A31137" w:rsidP="00A31137">
      <w:r w:rsidRPr="00A31137">
        <w:t>I therefore disagree that the endorsement test should focus on the actual perception of individual observers, who naturally have differing degrees of knowledge. Under such an approach, a religious display is necessarily precluded so long as some passersby would perceive a governmental endorsement thereof. In my view, however, the endorsement test creates a more collective standard to gauge "the 'objective' meaning of the [government's] statement in the community," Lynch, supra, at  690 (O'CONNOR, J., concurring). In this respect, the applicable observer is similar to the "reasonable person" in tort law, who "is not to be identified with any ordinary individual, who might occasionally do unreasonable things" but is "rather a personification of a community ideal of reasonable behavior, determined by the [collective] social judgment." W. Keeton et al., Prosser and Keeton on The Law of Torts 175 (5th ed. 1984). Thus,</w:t>
      </w:r>
    </w:p>
    <w:p w:rsidR="00A31137" w:rsidRPr="00A31137" w:rsidRDefault="00A31137" w:rsidP="00A31137">
      <w:r w:rsidRPr="00A31137">
        <w:t>1995, Capitol Square Review &amp; Advisory Bd. v. Pinette, No. 94-780</w:t>
      </w:r>
    </w:p>
    <w:p w:rsidR="00A31137" w:rsidRPr="00A31137" w:rsidRDefault="00A31137" w:rsidP="00A31137">
      <w:r w:rsidRPr="00A31137">
        <w:t>we do not ask whether there is any person who could find an endorsement of religion, whether some people may be offended by the display, or whether some reasonable person might think [the State] endorses religion.</w:t>
      </w:r>
    </w:p>
    <w:p w:rsidR="00A31137" w:rsidRPr="00A31137" w:rsidRDefault="00A31137" w:rsidP="00A31137">
      <w:r w:rsidRPr="00A31137">
        <w:t>1995, Capitol Square Review &amp; Advisory Bd. v. Pinette, No. 94-780</w:t>
      </w:r>
    </w:p>
    <w:p w:rsidR="00A31137" w:rsidRPr="00A31137" w:rsidRDefault="00A31137" w:rsidP="00A31137">
      <w:r w:rsidRPr="00A31137">
        <w:t>Americans United, 980 F.2d at 1544. Saying that the endorsement inquiry should be conducted from the perspective of a hypothetical observer who is presumed to possess a certain level of information that all citizens might not share neither chooses the perceptions of the majority over those of a "reasonable nonadherent," cf. L. Tribe, American Constitutional Law 1293 (2d ed. 1988), nor invites disregard for the values the Establishment Clause was intended to protect. It simply recognizes the fundamental difficulty inherent in focusing on actual people: there is always someone who, with a particular quantum of knowledge, reasonably might perceive a particular action as an endorsement of religion. A State has not made religion relevant to standing in the political community simply because a particular viewer of a display might feel uncomfortable.</w:t>
      </w:r>
    </w:p>
    <w:p w:rsidR="00A31137" w:rsidRPr="00A31137" w:rsidRDefault="00A31137" w:rsidP="00A31137">
      <w:r w:rsidRPr="00A31137">
        <w:t>1995, Capitol Square Review &amp; Advisory Bd. v. Pinette, No. 94-780</w:t>
      </w:r>
    </w:p>
    <w:p w:rsidR="00A31137" w:rsidRPr="00A31137" w:rsidRDefault="00A31137" w:rsidP="00A31137">
      <w:r w:rsidRPr="00A31137">
        <w:t>It is for this reason that the reasonable observer in the endorsement inquiry must be deemed aware of the history and context of the community and forum in which the religious display appears. As I explained in Allegheny,</w:t>
      </w:r>
    </w:p>
    <w:p w:rsidR="00A31137" w:rsidRPr="00A31137" w:rsidRDefault="00A31137" w:rsidP="00A31137">
      <w:r w:rsidRPr="00A31137">
        <w:t>1995, Capitol Square Review &amp; Advisory Bd. v. Pinette, No. 94-780</w:t>
      </w:r>
    </w:p>
    <w:p w:rsidR="00A31137" w:rsidRPr="00A31137" w:rsidRDefault="00A31137" w:rsidP="00A31137">
      <w:r w:rsidRPr="00A31137">
        <w:t>the "history and ubiquity" of a practice is relevant because it provides part of the context in which a reasonable observer evaluates whether a challenged governmental practice conveys a message of endorsement of religion.</w:t>
      </w:r>
    </w:p>
    <w:p w:rsidR="00A31137" w:rsidRPr="00A31137" w:rsidRDefault="00A31137" w:rsidP="00A31137">
      <w:r w:rsidRPr="00A31137">
        <w:t>1995, Capitol Square Review &amp; Advisory Bd. v. Pinette, No. 94-780</w:t>
      </w:r>
    </w:p>
    <w:p w:rsidR="00A31137" w:rsidRPr="00A31137" w:rsidRDefault="00A31137" w:rsidP="00A31137">
      <w:r w:rsidRPr="00A31137">
        <w:t>492 U.S. at  630. Nor can the knowledge attributed to the reasonable observer be limited to the information gleaned simply from viewing the challenged display. Today's proponents of the endorsement test all agree that we should attribute to the observer knowledge that the cross is a religious symbol, that Capitol Square is owned by the State, and that the large building nearby is the seat of state government. See post at ___ (SOUTER, J., concurring in part and concurring in judgment); post at ___ (STEVENS, J., dissenting). In my view, our hypothetical observer also should know the general history of the place in which the cross is displayed. Indeed, the fact that Capitol Square is a public park that has been used over time by private speakers of various types is as much a part of the display's context as its proximity to the Ohio Statehouse. Cf. Allegheny, 492 U.S. at  600, n. 50 (noting that "[t]he Grand Staircase does not appear to be the kind of location in which all were free to place their displays for weeks at a time…"). This approach does not require us to assume an "'ultra-reasonable observer' who understands the vagaries of this Court's First Amendment jurisprudence," post at ___ (STEVENS, J., dissenting). An informed member of the community will know how the public space in question has been used in the past—and it is that fact, not that the space may meet the legal definition of a public forum, which is relevant to the endorsement inquiry.</w:t>
      </w:r>
    </w:p>
    <w:p w:rsidR="00A31137" w:rsidRPr="00A31137" w:rsidRDefault="00A31137" w:rsidP="00A31137">
      <w:r w:rsidRPr="00A31137">
        <w:t>1995, Capitol Square Review &amp; Advisory Bd. v. Pinette, No. 94-780</w:t>
      </w:r>
    </w:p>
    <w:p w:rsidR="00A31137" w:rsidRPr="00A31137" w:rsidRDefault="00A31137" w:rsidP="00A31137">
      <w:r w:rsidRPr="00A31137">
        <w:t>The dissent's property-based argument fails to give sufficient weight to the fact that the cross at issue here was displayed in a forum traditionally open to the public. "The very fact that a sign is installed on public property," the dissent suggests, "implies official approval of its message." Post at ___. While this may be the case where a government building and its immediate curtilage are involved, it is not necessarily so with respect to those</w:t>
      </w:r>
    </w:p>
    <w:p w:rsidR="00A31137" w:rsidRPr="00A31137" w:rsidRDefault="00A31137" w:rsidP="00A31137">
      <w:r w:rsidRPr="00A31137">
        <w:t>1995, Capitol Square Review &amp; Advisory Bd. v. Pinette, No. 94-780</w:t>
      </w:r>
    </w:p>
    <w:p w:rsidR="00A31137" w:rsidRPr="00A31137" w:rsidRDefault="00A31137" w:rsidP="00A31137">
      <w:r w:rsidRPr="00A31137">
        <w:t>places which by long tradition or by government fiat have been devoted to assembly and debate,…[particularly] streets and parks which</w:t>
      </w:r>
    </w:p>
    <w:p w:rsidR="00A31137" w:rsidRPr="00A31137" w:rsidRDefault="00A31137" w:rsidP="00A31137">
      <w:r w:rsidRPr="00A31137">
        <w:t>1995, Capitol Square Review &amp; Advisory Bd. v. Pinette, No. 94-780</w:t>
      </w:r>
    </w:p>
    <w:p w:rsidR="00A31137" w:rsidRPr="00A31137" w:rsidRDefault="00A31137" w:rsidP="00A31137">
      <w:r w:rsidRPr="00A31137">
        <w:t>have immemorially been held in trust for the use of the public and, time out of mind, have been used for purposes of assembly, communicating thoughts between citizens, and discussing public questions.</w:t>
      </w:r>
    </w:p>
    <w:p w:rsidR="00A31137" w:rsidRPr="00A31137" w:rsidRDefault="00A31137" w:rsidP="00A31137">
      <w:r w:rsidRPr="00A31137">
        <w:t>1995, Capitol Square Review &amp; Advisory Bd. v. Pinette, No. 94-780</w:t>
      </w:r>
    </w:p>
    <w:p w:rsidR="00A31137" w:rsidRPr="00A31137" w:rsidRDefault="00A31137" w:rsidP="00A31137">
      <w:r w:rsidRPr="00A31137">
        <w:t>Perry Ed. Assn. v. Perry Local Educators' Assn., 460 U.S. 37,  45 (1983) (quoting Hague v. Committee for Industrial Organization, 307 U.S. 496,  515 (1939)). To the extent there is a presumption that "structures on government property—and, in particular, in front of buildings plainly identified with the State—imply state approval of their message," post at ___ (STEVENS, J., dissenting), that presumption can be rebutted where the property at issue is a forum historically available for private expression. The reasonable observer would recognize the distinction between speech the government supports and speech that it merely allows in a place that traditionally has been open to a range of private speakers accompanied, if necessary, by an appropriate disclaimer.</w:t>
      </w:r>
    </w:p>
    <w:p w:rsidR="00A31137" w:rsidRPr="00A31137" w:rsidRDefault="00A31137" w:rsidP="00A31137">
      <w:r w:rsidRPr="00A31137">
        <w:t>1995, Capitol Square Review &amp; Advisory Bd. v. Pinette, No. 94-780</w:t>
      </w:r>
    </w:p>
    <w:p w:rsidR="00A31137" w:rsidRPr="00A31137" w:rsidRDefault="00A31137" w:rsidP="00A31137">
      <w:r w:rsidRPr="00A31137">
        <w:t>In this case, I believe, the reasonable observer would view the Klan's cross display fully aware that Capitol Square is a public space in which a multiplicity of groups, both secular and religious, engage in expressive conduct. It is precisely this type of knowledge that we presumed in Lamb's Chapel, 508 U.S. at ___, and in Mergens, 496 U.S. at  250 (plurality opinion). Moreover, this observer would certainly be able to read and understand an adequate disclaimer, which the Klan had informed the State it would include in the display at the time it applied for the permit, see App. to Pet. for Cert. A-15 to A-16; post at ___, n. 1 (SOUTER, J., concurring in part and concurring in judgment), and the content of which the Board could have defined as it deemed necessary as a condition of granting the Klan's application. Cf. American Civil Liberties Union v. Wilkinson, 895 F.2d 1098, 1104-1106 (CA6 1990). On the facts of this case, therefore, I conclude that the reasonable observer would not interpret the State's tolerance of the Klan's private religious display in Capitol Square as an endorsement of religion.</w:t>
      </w:r>
    </w:p>
    <w:p w:rsidR="00A31137" w:rsidRPr="00A31137" w:rsidRDefault="00A31137" w:rsidP="00A31137">
      <w:r w:rsidRPr="00A31137">
        <w:t>III</w:t>
      </w:r>
    </w:p>
    <w:p w:rsidR="00A31137" w:rsidRPr="00A31137" w:rsidRDefault="00A31137" w:rsidP="00A31137">
      <w:r w:rsidRPr="00A31137">
        <w:t>1995, Capitol Square Review &amp; Advisory Bd. v. Pinette, No. 94-780</w:t>
      </w:r>
    </w:p>
    <w:p w:rsidR="00A31137" w:rsidRPr="00A31137" w:rsidRDefault="00A31137" w:rsidP="00A31137">
      <w:r w:rsidRPr="00A31137">
        <w:t>To be sure, the endorsement test depends on a sensitivity to the unique circumstances and context of a particular challenged practice and, like any test that is sensitive to context, it may not always yield results with unanimous agreement at the margins.</w:t>
      </w:r>
      <w:r w:rsidRPr="00A31137">
        <w:cr/>
      </w:r>
    </w:p>
    <w:p w:rsidR="00A31137" w:rsidRPr="00A31137" w:rsidRDefault="00A31137" w:rsidP="00A31137">
      <w:r w:rsidRPr="00A31137">
        <w:t>1995, Capitol Square Review &amp; Advisory Bd. v. Pinette, No. 94-780</w:t>
      </w:r>
    </w:p>
    <w:p w:rsidR="00A31137" w:rsidRPr="00A31137" w:rsidRDefault="00A31137" w:rsidP="00A31137">
      <w:r w:rsidRPr="00A31137">
        <w:t>Allegheny, 492 U.S. at  629 (O'CONNOR, J., concurring in part and concurring in judgment). In my view, however, this flexibility is a virtue and not a vice;</w:t>
      </w:r>
    </w:p>
    <w:p w:rsidR="00A31137" w:rsidRPr="00A31137" w:rsidRDefault="00A31137" w:rsidP="00A31137">
      <w:r w:rsidRPr="00A31137">
        <w:t>1995, Capitol Square Review &amp; Advisory Bd. v. Pinette, No. 94-780</w:t>
      </w:r>
    </w:p>
    <w:p w:rsidR="00A31137" w:rsidRPr="00A31137" w:rsidRDefault="00A31137" w:rsidP="00A31137">
      <w:r w:rsidRPr="00A31137">
        <w:t>courts must keep in mind both the fundamental place held by the Establishment Clause in our constitutional scheme and the myriad, subtle ways in which Establishment Clause values can be eroded,</w:t>
      </w:r>
    </w:p>
    <w:p w:rsidR="00A31137" w:rsidRPr="00A31137" w:rsidRDefault="00A31137" w:rsidP="00A31137">
      <w:r w:rsidRPr="00A31137">
        <w:t>1995, Capitol Square Review &amp; Advisory Bd. v. Pinette, No. 94-780</w:t>
      </w:r>
    </w:p>
    <w:p w:rsidR="00A31137" w:rsidRPr="00A31137" w:rsidRDefault="00A31137" w:rsidP="00A31137">
      <w:r w:rsidRPr="00A31137">
        <w:t>Lynch, 465 U.S. at  694 (O'CONNOR, J., concurring).</w:t>
      </w:r>
    </w:p>
    <w:p w:rsidR="00A31137" w:rsidRPr="00A31137" w:rsidRDefault="00A31137" w:rsidP="00A31137">
      <w:r w:rsidRPr="00A31137">
        <w:t>1995, Capitol Square Review &amp; Advisory Bd. v. Pinette, No. 94-780</w:t>
      </w:r>
    </w:p>
    <w:p w:rsidR="00A31137" w:rsidRPr="00A31137" w:rsidRDefault="00A31137" w:rsidP="00A31137">
      <w:r w:rsidRPr="00A31137">
        <w:t>I agree that "compliance with the Establishment Clause is a state interest sufficiently compelling to justify content-based restrictions on speech." Ante at ___. The Establishment Clause</w:t>
      </w:r>
    </w:p>
    <w:p w:rsidR="00A31137" w:rsidRPr="00A31137" w:rsidRDefault="00A31137" w:rsidP="00A31137">
      <w:r w:rsidRPr="00A31137">
        <w:t>1995, Capitol Square Review &amp; Advisory Bd. v. Pinette, No. 94-780</w:t>
      </w:r>
    </w:p>
    <w:p w:rsidR="00A31137" w:rsidRPr="00A31137" w:rsidRDefault="00A31137" w:rsidP="00A31137">
      <w:r w:rsidRPr="00A31137">
        <w:t>prohibits government from appearing to take a position on questions of religious belief or from "making adherence to a religion relevant in any way to a person's standing in the political community."</w:t>
      </w:r>
    </w:p>
    <w:p w:rsidR="00A31137" w:rsidRPr="00A31137" w:rsidRDefault="00A31137" w:rsidP="00A31137">
      <w:r w:rsidRPr="00A31137">
        <w:t>1995, Capitol Square Review &amp; Advisory Bd. v. Pinette, No. 94-780</w:t>
      </w:r>
    </w:p>
    <w:p w:rsidR="00A31137" w:rsidRPr="00A31137" w:rsidRDefault="00A31137" w:rsidP="00A31137">
      <w:r w:rsidRPr="00A31137">
        <w:t>Allegheny, supra, at 593-594 (quoting Lynch, supra, at  687 (O'CONNOR, J., concurring)). Because I believe that, under the circumstances at issue here, allowing the Klan cross, along with an adequate disclaimer, to be displayed on Capitol Square presents no danger of doing so, I conclude that the State has not presented a compelling justification for denying respondents their permit.</w:t>
      </w:r>
    </w:p>
    <w:p w:rsidR="00A31137" w:rsidRPr="00A31137" w:rsidRDefault="00A31137" w:rsidP="00A31137">
      <w:r w:rsidRPr="00A31137">
        <w:t>SOUTER, J., concurring</w:t>
      </w:r>
    </w:p>
    <w:p w:rsidR="00A31137" w:rsidRPr="00A31137" w:rsidRDefault="00A31137" w:rsidP="00A31137">
      <w:r w:rsidRPr="00A31137">
        <w:t>1995, Capitol Square Review &amp; Advisory Bd. v. Pinette, No. 94-780</w:t>
      </w:r>
    </w:p>
    <w:p w:rsidR="00A31137" w:rsidRPr="00A31137" w:rsidRDefault="00A31137" w:rsidP="00A31137">
      <w:r w:rsidRPr="00A31137">
        <w:t>JUSTICE SOUTER, with whom JUSTICE O'CONNOR and JUSTICE BREYER join, concurring in part and concurring in the judgment.</w:t>
      </w:r>
    </w:p>
    <w:p w:rsidR="00A31137" w:rsidRPr="00A31137" w:rsidRDefault="00A31137" w:rsidP="00A31137">
      <w:r w:rsidRPr="00A31137">
        <w:t>1995, Capitol Square Review &amp; Advisory Bd. v. Pinette, No. 94-780</w:t>
      </w:r>
    </w:p>
    <w:p w:rsidR="00A31137" w:rsidRPr="00A31137" w:rsidRDefault="00A31137" w:rsidP="00A31137">
      <w:r w:rsidRPr="00A31137">
        <w:t>I concur in Parts I, II, and III of the Court's opinion. I also want to note specifically my agreement with the Court's suggestion that the State of Ohio could ban all unattended private displays in Capitol Square if it so desired. See ante at ___; see also post at ___ (STEVENS, J., dissenting). The fact that the Capitol lawn has been the site of public protests and gatherings, and is the location of any number of the government's own unattended displays, such as statues, does not disable the State from closing the square to all privately owned, unattended structures. A government entity may ban posters on publicly owned utility poles to eliminate visual clutter, City Council of Los Angeles v. Taxpayers for Vincent, 466 U.S. 789, 808 (1984), and may bar camping as part of a demonstration in certain public parks, Clark v. Community for Creative Non-Violence, 468 U.S. 288 (1984). It may similarly adopt a content-neutral policy prohibiting private individuals and groups from erecting unattended displays in forums around public buildings. See also Ward v. Rock Against Racism, 491 U.S. 781,  791 (1989) ("[E]ven in a public forum the government may impose reasonable restrictions on the time, place, or manner of protected speech, provided [that] the restrictions 'are justified without reference to the content of the regulated speech, that they are narrowly tailored to serve a significant governmental interest, and that they leave open ample alternative channels for communication of the information,'" quoting Clark, supra, at 293).</w:t>
      </w:r>
    </w:p>
    <w:p w:rsidR="00A31137" w:rsidRPr="00A31137" w:rsidRDefault="00A31137" w:rsidP="00A31137">
      <w:r w:rsidRPr="00A31137">
        <w:t>1995, Capitol Square Review &amp; Advisory Bd. v. Pinette, No. 94-780</w:t>
      </w:r>
    </w:p>
    <w:p w:rsidR="00A31137" w:rsidRPr="00A31137" w:rsidRDefault="00A31137" w:rsidP="00A31137">
      <w:r w:rsidRPr="00A31137">
        <w:t>Otherwise, however, I limit my concurrence to the judgment. Although I agree in the end that, in the circumstances of this case, petitioners erred in denying the Klan's application for a permit to erect a cross on Capitol Square, my analysis of the Establishment Clause issue differs from JUSTICE SCALIA's, and I vote to affirm in large part because of the possibility of affixing a sign to the cross adequately disclaiming any government sponsorship or endorsement of it.</w:t>
      </w:r>
    </w:p>
    <w:p w:rsidR="00A31137" w:rsidRPr="00A31137" w:rsidRDefault="00A31137" w:rsidP="00A31137">
      <w:r w:rsidRPr="00A31137">
        <w:t>1995, Capitol Square Review &amp; Advisory Bd. v. Pinette, No. 94-780</w:t>
      </w:r>
    </w:p>
    <w:p w:rsidR="00A31137" w:rsidRPr="00A31137" w:rsidRDefault="00A31137" w:rsidP="00A31137">
      <w:r w:rsidRPr="00A31137">
        <w:t>The plurality's opinion declines to apply the endorsement test to the Board's action, in favor of a per se rule: religious expression cannot violate the Establishment Clause where it (1) is private and (2) occurs in a public forum, even if a reasonable observer would see the expression as indicating state endorsement. Ante at ___. This per se rule would be an exception to the endorsement test, not previously recognized and out of square with our precedents.</w:t>
      </w:r>
    </w:p>
    <w:p w:rsidR="00A31137" w:rsidRPr="00A31137" w:rsidRDefault="00A31137" w:rsidP="00A31137">
      <w:r w:rsidRPr="00A31137">
        <w:t>I</w:t>
      </w:r>
    </w:p>
    <w:p w:rsidR="00A31137" w:rsidRPr="00A31137" w:rsidRDefault="00A31137" w:rsidP="00A31137">
      <w:r w:rsidRPr="00A31137">
        <w:t>1995, Capitol Square Review &amp; Advisory Bd. v. Pinette, No. 94-780</w:t>
      </w:r>
    </w:p>
    <w:p w:rsidR="00A31137" w:rsidRPr="00A31137" w:rsidRDefault="00A31137" w:rsidP="00A31137">
      <w:r w:rsidRPr="00A31137">
        <w:t>My disagreement with the plurality on the law may receive some focus from attention to a matter of straight fact that we see alike: in some circumstances an intelligent observer may mistake private, unattended religious displays in a public forum for government speech endorsing religion. See ante at ___ (acknowledging that "hypothetical observers may—even reasonably—confuse an incidental benefit to religion with state endorsement") (emphasis in original); see also ante at ___, n. 4 (noting that an observer might be "misled" by the presence of the cross in Capitol Square if the disclaimer was of insufficient size or if the observer failed to enquire whether the State had sponsored the cross). The Klan concedes this possibility as well, saying that, in its view,</w:t>
      </w:r>
    </w:p>
    <w:p w:rsidR="00A31137" w:rsidRPr="00A31137" w:rsidRDefault="00A31137" w:rsidP="00A31137">
      <w:r w:rsidRPr="00A31137">
        <w:t>1995, Capitol Square Review &amp; Advisory Bd. v. Pinette, No. 94-780</w:t>
      </w:r>
    </w:p>
    <w:p w:rsidR="00A31137" w:rsidRPr="00A31137" w:rsidRDefault="00A31137" w:rsidP="00A31137">
      <w:r w:rsidRPr="00A31137">
        <w:t>on a different set of facts, the government might be found guilty of violating the endorsement test by permitting a private religious display in a public forum.</w:t>
      </w:r>
    </w:p>
    <w:p w:rsidR="00A31137" w:rsidRPr="00A31137" w:rsidRDefault="00A31137" w:rsidP="00A31137">
      <w:r w:rsidRPr="00A31137">
        <w:t>1995, Capitol Square Review &amp; Advisory Bd. v. Pinette, No. 94-780</w:t>
      </w:r>
    </w:p>
    <w:p w:rsidR="00A31137" w:rsidRPr="00A31137" w:rsidRDefault="00A31137" w:rsidP="00A31137">
      <w:r w:rsidRPr="00A31137">
        <w:t>Brief for Respondents 43.</w:t>
      </w:r>
    </w:p>
    <w:p w:rsidR="00A31137" w:rsidRPr="00A31137" w:rsidRDefault="00A31137" w:rsidP="00A31137">
      <w:r w:rsidRPr="00A31137">
        <w:t>1995, Capitol Square Review &amp; Advisory Bd. v. Pinette, No. 94-780</w:t>
      </w:r>
    </w:p>
    <w:p w:rsidR="00A31137" w:rsidRPr="00A31137" w:rsidRDefault="00A31137" w:rsidP="00A31137">
      <w:r w:rsidRPr="00A31137">
        <w:t>An observer need not be "obtuse," Doe v. Small, 964 F.2d 611, 630 (CA7 1992) (Easterbrook, J., concurring), to presume that an unattended display on government land in a place of prominence in front of a government building either belongs to the government, represents government speech, or enjoys its location because of government endorsement of its message. Capitol Square, for example, is the site of a number of unattended displays owned or sponsored by the government, some permanent (statues), some temporary (such as the Christmas tree and a "Seasons Greetings" banner), and some in between (flags, which are, presumably, taken down and put up from time to time). See App. 59, 64-65 (photos); Appendices A &amp; B to this opinion, infra. Given the domination of the square by the government's own displays, one would not be a dimwit as a matter of law to think that an unattended religious display there was endorsed by the government, even though the square has also been the site of three privately sponsored, unattended displays over the years (a menorah, a United Way "thermometer," and some artisans' booths left overnight during an arts festival), ante at ___, cf. Allegheny County v. American Civil Liberties Union, Greater Pittsburgh Chapter, 492 U.S. 573,  600, n. 50 (1989) ("Even if the Grand Staircase occasionally was used for displays other than the creche…it remains true that any display located there fairly may be understood to express views that receive the support and endorsement of the government"), and even though the square meets the legal definition of a public forum and has been used "[f]or over a century" as the site of "speeches, gatherings, and festivals," ante at ___. When an individual speaks in a public forum, it is reasonable for an observer to attribute the speech, first and foremost, to the speaker, while an unattended display (and any message it conveys) can naturally be viewed as belonging to the owner of the land on which it stands.</w:t>
      </w:r>
    </w:p>
    <w:p w:rsidR="00A31137" w:rsidRPr="00A31137" w:rsidRDefault="00A31137" w:rsidP="00A31137">
      <w:r w:rsidRPr="00A31137">
        <w:t>1995, Capitol Square Review &amp; Advisory Bd. v. Pinette, No. 94-780</w:t>
      </w:r>
    </w:p>
    <w:p w:rsidR="00A31137" w:rsidRPr="00A31137" w:rsidRDefault="00A31137" w:rsidP="00A31137">
      <w:r w:rsidRPr="00A31137">
        <w:t>In sum, I do not understand that I am at odds with the plurality when I assume that, in some circumstances, an intelligent observer would reasonably perceive private religious expression in a public forum to imply the government's endorsement of religion. My disagreement with the plurality is simply that I would attribute these perceptions of the intelligent observer to the reasonable observer of Establishment Clause analysis under our precedents, where I believe that such reasonable perceptions matter.</w:t>
      </w:r>
    </w:p>
    <w:p w:rsidR="00A31137" w:rsidRPr="00A31137" w:rsidRDefault="00A31137" w:rsidP="00A31137">
      <w:r w:rsidRPr="00A31137">
        <w:t>II</w:t>
      </w:r>
    </w:p>
    <w:p w:rsidR="00A31137" w:rsidRPr="00A31137" w:rsidRDefault="00A31137" w:rsidP="00A31137">
      <w:r w:rsidRPr="00A31137">
        <w:t>1995, Capitol Square Review &amp; Advisory Bd. v. Pinette, No. 94-780</w:t>
      </w:r>
    </w:p>
    <w:p w:rsidR="00A31137" w:rsidRPr="00A31137" w:rsidRDefault="00A31137" w:rsidP="00A31137">
      <w:r w:rsidRPr="00A31137">
        <w:t>In Allegheny County, the Court alluded to two elements of the analytical framework supplied by Lemon v. Kurtzman, 403 U.S. 602 (1971), by asking "whether the challenged governmental practice either has the purpose or effect of 'endorsing' religion." 492 U.S. at  592. We said that</w:t>
      </w:r>
    </w:p>
    <w:p w:rsidR="00A31137" w:rsidRPr="00A31137" w:rsidRDefault="00A31137" w:rsidP="00A31137">
      <w:r w:rsidRPr="00A31137">
        <w:t>1995, Capitol Square Review &amp; Advisory Bd. v. Pinette, No. 94-780</w:t>
      </w:r>
    </w:p>
    <w:p w:rsidR="00A31137" w:rsidRPr="00A31137" w:rsidRDefault="00A31137" w:rsidP="00A31137">
      <w:r w:rsidRPr="00A31137">
        <w:t>the prohibition against governmental endorsement of religion "preclude[s] government from conveying or attempting to convey a message that religion or a particular religious belief is favored or preferred,"</w:t>
      </w:r>
    </w:p>
    <w:p w:rsidR="00A31137" w:rsidRPr="00A31137" w:rsidRDefault="00A31137" w:rsidP="00A31137">
      <w:r w:rsidRPr="00A31137">
        <w:t>1995, Capitol Square Review &amp; Advisory Bd. v. Pinette, No. 94-780</w:t>
      </w:r>
    </w:p>
    <w:p w:rsidR="00A31137" w:rsidRPr="00A31137" w:rsidRDefault="00A31137" w:rsidP="00A31137">
      <w:r w:rsidRPr="00A31137">
        <w:t>id. at  593, quoting Wallace v. Jaffree, 472 U.S. 38,  70 (1985) (O'CONNOR, J., concurring in judgment) (emphasis omitted), and held that "[t]he Establishment Clause at the very least, prohibits government from appearing to take a position on questions of religious belief," 492 U.S. at 593-594.</w:t>
      </w:r>
    </w:p>
    <w:p w:rsidR="00A31137" w:rsidRPr="00A31137" w:rsidRDefault="00A31137" w:rsidP="00A31137">
      <w:r w:rsidRPr="00A31137">
        <w:t>1995, Capitol Square Review &amp; Advisory Bd. v. Pinette, No. 94-780</w:t>
      </w:r>
    </w:p>
    <w:p w:rsidR="00A31137" w:rsidRPr="00A31137" w:rsidRDefault="00A31137" w:rsidP="00A31137">
      <w:r w:rsidRPr="00A31137">
        <w:t>Allegheny County's endorsement test cannot be dismissed, as JUSTICE SCALIA suggests, as applying only to situations in which there is an allegation that the Establishment Clause has been violated through "expression by the government itself" or "government action…discriminat[ing] in favor of private religious expression." Ante at ___. (emphasis omitted). Such a distinction would, in all but a handful of cases, make meaningless the "effect of endorsing" part of Allegheny County's test. Effects matter to the Establishment Clause, and one, principal way that we assess them is by asking whether the practice in question creates the appearance of endorsement to the reasonable observer. See Allegheny County, supra, at  630, 635-636 (O'CONNOR, J., concurring in part and concurring in judgment); Witters v. Washington Dept. of Services for Blind, 474 U.S. 481, 493 (1986) (O'CONNOR, J., concurring in part and concurring in judgment); see also Allegheny County, supra, at 593-594, 599-600 (majority opinion); Lynch v. Donnelly, 465 U.S. 668,  690 (1984) (O'CONNOR, J., concurring). If a reasonable observer would perceive a religious display in a government forum as government speech endorsing religion, then the display has made "religion relevant, in…public perception, to status in the political community." Id. at  692 (O'CONNOR, J., concurring). Unless we are to retreat entirely to government intent and abandon consideration of effects, it makes no sense to recognize a public perception of endorsement as a harm only in that subclass of cases in which the government owns the display. Indeed, the Court stated in Allegheny County that "once the judgment has been made that a particular proclamation of Christian belief, when disseminated from a particular location on government property, has the effect of demonstrating the government's endorsement of Christian faith, then it necessarily follows that the practice must be enjoined." 492 U.S. at  612. Notably, we did not say that it was only a "particular government proclamation" that could have such an unconstitutional effect, nor does the passage imply anything of the kind.</w:t>
      </w:r>
    </w:p>
    <w:p w:rsidR="00A31137" w:rsidRPr="00A31137" w:rsidRDefault="00A31137" w:rsidP="00A31137">
      <w:r w:rsidRPr="00A31137">
        <w:t>1995, Capitol Square Review &amp; Advisory Bd. v. Pinette, No. 94-780</w:t>
      </w:r>
    </w:p>
    <w:p w:rsidR="00A31137" w:rsidRPr="00A31137" w:rsidRDefault="00A31137" w:rsidP="00A31137">
      <w:r w:rsidRPr="00A31137">
        <w:t>The significance of the fact that the Court in Allegheny County did not intend to lay down a per se rule in the way suggested by the plurality today has been confirmed by subsequent cases. In Board of Ed. of Westside Community Schools (Dist. 66) v. Mergens, 496 U.S. 226 (1990), six Justices applied the endorsement test to decide whether the Establishment Clause would be violated by a public high school's application of the Equal Access Act, Pub. L. 98-377, 98 Stat. 1302, 20 U.S.C. §§ 4071-4074, to allow students to form a religious club having the same access to meeting facilities as other "noncurricular" groups organized by students. A plurality of four Justices concluded that such an equal access policy "does not convey a message of state approval or endorsement of the particular religion" espoused by the student religious group. 496 U.S. at  252 (O'CONNOR, J., joined by REHNQUIST, C.J., and White and Blackmun, JJ.). Two others concurred in the judgment in order "to emphasize the steps [the school] must take to avoid appearing to endorse the [religious] club's goals." Id. at  263 (opinion of Marshall, J., joined by Brennan, J.); see also id. at  264 ("If public schools are perceived as conferring the imprimatur of the State on religious doctrine or practice as a result of such a policy, the nominally 'neutral' character of the policy will not save it from running afoul of the Establishment Clause") (emphasis in original).</w:t>
      </w:r>
    </w:p>
    <w:p w:rsidR="00A31137" w:rsidRPr="00A31137" w:rsidRDefault="00A31137" w:rsidP="00A31137">
      <w:r w:rsidRPr="00A31137">
        <w:t>1995, Capitol Square Review &amp; Advisory Bd. v. Pinette, No. 94-780</w:t>
      </w:r>
    </w:p>
    <w:p w:rsidR="00A31137" w:rsidRPr="00A31137" w:rsidRDefault="00A31137" w:rsidP="00A31137">
      <w:r w:rsidRPr="00A31137">
        <w:t>What is important is that, even though Mergens involved private religious speech in a nondiscriminatory "'limited open forum,'" id. at  233,  247, a majority of the Court reached the conclusion in the case not by applying an irrebuttable presumption, as the plurality does today, but by making a contextual judgment taking account of the circumstances of the specific case. See id. at 250-252 (plurality opinion); id. at 264-270 (opinion of Marshall, J., joined by Brennan, J.); cf. Allegheny County, supra, at  629 (O'CONNOR, J., concurring in part and concurring in judgment) ("[T]he endorsement test depends on a sensitivity to the unique circumstances and context of a particular challenged practice"); Lynch, supra, at  694 (O'CONNOR, J., concurring) ("Every government practice must be judged in its unique circumstances to determine whether it constitutes an endorsement or disapproval of religion"). The Mergens plurality considered the nature of the likely audience, 496 U.S. at  250 ("[S]econdary school students are mature enough…to understand that a school does not endorse or support student speech that it merely permits on a nondiscriminatory basis"); the details of the particular forum, id. at  252 (noting "the broad spectrum of officially recognized student clubs" at the school, and the students' freedom "to initiate and organize additional student clubs"); the presumptively secular nature of most student organizations, ibid. ("'[I]n the absence of empirical evidence that religious groups will dominate [the]…open forum,…the advancement of religion would not be the forum's "primary effect,"'" quoting Widmar v. Vincent, 454 U.S. 263,  275 (1981)); and the school's specific action or inaction that would disassociate itself from any religious message, 496 U.S. at  251 ("[N]o school officials actively participate" in the religious group's activities). The plurality, moreover, expressly relied on the fact that the school could issue a disclaimer specific to the religious group, concluding that</w:t>
      </w:r>
    </w:p>
    <w:p w:rsidR="00A31137" w:rsidRPr="00A31137" w:rsidRDefault="00A31137" w:rsidP="00A31137">
      <w:r w:rsidRPr="00A31137">
        <w:t>1995, Capitol Square Review &amp; Advisory Bd. v. Pinette, No. 94-780</w:t>
      </w:r>
    </w:p>
    <w:p w:rsidR="00A31137" w:rsidRPr="00A31137" w:rsidRDefault="00A31137" w:rsidP="00A31137">
      <w:r w:rsidRPr="00A31137">
        <w:t>[t]o the extent a school makes clear that its recognition of [a religious student group] is not an endorsement…students will reasonably understand that the…recognition of the club evinces neutrality toward, rather than endorsement of, religious speech.</w:t>
      </w:r>
    </w:p>
    <w:p w:rsidR="00A31137" w:rsidRPr="00A31137" w:rsidRDefault="00A31137" w:rsidP="00A31137">
      <w:r w:rsidRPr="00A31137">
        <w:t>1995, Capitol Square Review &amp; Advisory Bd. v. Pinette, No. 94-780</w:t>
      </w:r>
    </w:p>
    <w:p w:rsidR="00A31137" w:rsidRPr="00A31137" w:rsidRDefault="00A31137" w:rsidP="00A31137">
      <w:r w:rsidRPr="00A31137">
        <w:t>Ibid.; see also id. at  270 (Marshall, J., concurring in judgment) (noting importance of schools "taking whatever further steps are necessary to make clear that their recognition of a religious club does not reflect their endorsement of the views of the club's participants").</w:t>
      </w:r>
    </w:p>
    <w:p w:rsidR="00A31137" w:rsidRPr="00A31137" w:rsidRDefault="00A31137" w:rsidP="00A31137">
      <w:r w:rsidRPr="00A31137">
        <w:t>1995, Capitol Square Review &amp; Advisory Bd. v. Pinette, No. 94-780</w:t>
      </w:r>
    </w:p>
    <w:p w:rsidR="00A31137" w:rsidRPr="00A31137" w:rsidRDefault="00A31137" w:rsidP="00A31137">
      <w:r w:rsidRPr="00A31137">
        <w:t>Similarly, in Lamb's Chapel v. Center Moriches Union Free School Dist., 508 U.S. ___ (1993), we held that an evangelical church, wanting to use public school property to show a series of films about childrearing with a religious perspective, could not be refused access to the premises under a policy that would open the school to other groups showing similar films from a nonreligious perspective. In reaching this conclusion, we expressly concluded that the policy would "not have the principal or primary effect of advancing or inhibiting religion." 508 U.S. at ___. Again we looked to the specific circumstances of the private religious speech and the public forum: the film would not be shown during school hours or be sponsored by the school, it would be open to the public, and the forum had been used "repeatedly" by "a wide variety" of other private speakers. Ibid. "Under these circumstances," we concluded, "there would have been no realistic danger that the community would think that the [school] was endorsing religion." Ibid. We thus expressly looked to the endorsement effects of the private religious speech at issue, notwithstanding the fact that there was no allegation that the Establishment Clause had been violated through active "expression by the government itself" or affirmative "government action…discriminat[ing] in favor of private religious expression." Ante at ___ (emphasis omitted). Indeed, the issue of whether the private religious speech in a government forum had the effect of advancing religion was central, rather than irrelevant, to our Establishment Clause enquiry. This is why I agree with the Court that "[t]he Lamb's Chapel reasoning applies a fortiori here," ante at ___.</w:t>
      </w:r>
    </w:p>
    <w:p w:rsidR="00A31137" w:rsidRPr="00A31137" w:rsidRDefault="00A31137" w:rsidP="00A31137">
      <w:r w:rsidRPr="00A31137">
        <w:t>1995, Capitol Square Review &amp; Advisory Bd. v. Pinette, No. 94-780</w:t>
      </w:r>
    </w:p>
    <w:p w:rsidR="00A31137" w:rsidRPr="00A31137" w:rsidRDefault="00A31137" w:rsidP="00A31137">
      <w:r w:rsidRPr="00A31137">
        <w:t>Widmar v. Vincent, 454 U.S. 263 (1981), is not to the contrary. Although Widmar was decided before our adoption of the endorsement test in Allegheny County, its reasoning fits with such a test and not with the per se rule announced today. There, in determining whether it would violate the Establishment Clause to allow private religious speech in a "generally open forum" at a university, 454 U.S. at  269, the Court looked to the Lemon test, 454 U.S. at  271, and focused on the "effects" prong, id. at  272, in reaching a contextual judgment. It was relevant that university students "should be able to appreciate that the University's policy is one of neutrality toward religion," that students were unlikely, as a matter of fact, to "draw any reasonable inference of University support from the mere fact of a campus meeting place," and that the University's student handbook carried a disclaimer that the University should not "'be identified in any way with the…opinions of any [student] organization.'" Id. at 274 n. 14. "In this context," id. at  273, and in the "absence of empirical evidence that religious groups [would] dominate [the] open forum," id. at  275, the Court found that the forum at issue did not "confer any imprimatur of state approval on religious sects or practices," id. at  274.</w:t>
      </w:r>
    </w:p>
    <w:p w:rsidR="00A31137" w:rsidRPr="00A31137" w:rsidRDefault="00A31137" w:rsidP="00A31137">
      <w:r w:rsidRPr="00A31137">
        <w:t>1995, Capitol Square Review &amp; Advisory Bd. v. Pinette, No. 94-780</w:t>
      </w:r>
    </w:p>
    <w:p w:rsidR="00A31137" w:rsidRPr="00A31137" w:rsidRDefault="00A31137" w:rsidP="00A31137">
      <w:r w:rsidRPr="00A31137">
        <w:t>Even if precedent and practice were otherwise, however, and there were an open question about applying the endorsement test to private speech in public forums, I would apply it in preference to the plurality's view, which creates a serious loophole in the protection provided by the endorsement test. In JUSTICE SCALIA's view, as I understand it, the Establishment Clause is violated in a public forum only when the government itself intentionally endorses religion or willfully "foster[s]" a misperception of endorsement in the forum, ante at 11, or when it "manipulates" the public forum "in such a manner that only certain religious groups take advantage of it," ibid. If the list of forbidden acts is truly this short, then governmental bodies and officials are left with generous scope to encourage a multiplicity of religious speakers to erect displays in public forums. As long as the governmental entity does not "manipulat[e]" the forum in such a way as to exclude all other speech, the plurality's opinion would seem to invite such government encouragement, even when the result will be the domination of the forum by religious displays and religious speakers. By allowing government to encourage what it can not do on its own, the proposed per se rule would tempt a public body to contract out its establishment of religion, by encouraging the private enterprise of the religious to exhibit what the government could not display itself.</w:t>
      </w:r>
    </w:p>
    <w:p w:rsidR="00A31137" w:rsidRPr="00A31137" w:rsidRDefault="00A31137" w:rsidP="00A31137">
      <w:r w:rsidRPr="00A31137">
        <w:t>1995, Capitol Square Review &amp; Advisory Bd. v. Pinette, No. 94-780</w:t>
      </w:r>
    </w:p>
    <w:p w:rsidR="00A31137" w:rsidRPr="00A31137" w:rsidRDefault="00A31137" w:rsidP="00A31137">
      <w:r w:rsidRPr="00A31137">
        <w:t>Something of the sort, in fact, may have happened here. Immediately after the District Court issued the injunction ordering petitioners to grant the Klan's permit, a local church council applied for a permit, apparently for the purpose of overwhelming the Klan's cross with other crosses. The council proposed to invite all local churches to erect crosses, and the Board granted "blanket permission" for "all churches friendly to or affiliated with" the council to do so. See Brief in Opposition RA24-RA26. The end result was that a part of the square was strewn with crosses, see Appendices A &amp; B to this opinion, infra at ___ [omitted], and while the effect in this case may have provided more embarrassment than suspicion of endorsement, the opportunity for the latter is clear.</w:t>
      </w:r>
    </w:p>
    <w:p w:rsidR="00A31137" w:rsidRPr="00A31137" w:rsidRDefault="00A31137" w:rsidP="00A31137">
      <w:r w:rsidRPr="00A31137">
        <w:t>III</w:t>
      </w:r>
    </w:p>
    <w:p w:rsidR="00A31137" w:rsidRPr="00A31137" w:rsidRDefault="00A31137" w:rsidP="00A31137">
      <w:r w:rsidRPr="00A31137">
        <w:t>1995, Capitol Square Review &amp; Advisory Bd. v. Pinette, No. 94-780</w:t>
      </w:r>
    </w:p>
    <w:p w:rsidR="00A31137" w:rsidRPr="00A31137" w:rsidRDefault="00A31137" w:rsidP="00A31137">
      <w:r w:rsidRPr="00A31137">
        <w:t>As for the specifics of this case, one must admit that a number of facts known to the Board, or reasonably anticipated, weighed in favor of upholding its denial of the permit. For example, the Latin cross the Klan sought to erect is the principal symbol of Christianity around the world, and display of the cross alone could not reasonably be taken to have any secular point. It was displayed immediately in front of the Ohio Statehouse, with the government's flags flying nearby, and the government's statues close at hand. For much of the time the cross was supposed to stand on the square, it would have been the only private display on the public plot (the menorah's permit expired several days before the cross actually went up). See Pet. for Cert. A15-A16, A31; 30 F.3d at 677. There was nothing else on the Statehouse lawn that would have suggested a forum open to any and all private, unattended religious displays.</w:t>
      </w:r>
    </w:p>
    <w:p w:rsidR="00A31137" w:rsidRPr="00A31137" w:rsidRDefault="00A31137" w:rsidP="00A31137">
      <w:r w:rsidRPr="00A31137">
        <w:t>1995, Capitol Square Review &amp; Advisory Bd. v. Pinette, No. 94-780</w:t>
      </w:r>
    </w:p>
    <w:p w:rsidR="00A31137" w:rsidRPr="00A31137" w:rsidRDefault="00A31137" w:rsidP="00A31137">
      <w:r w:rsidRPr="00A31137">
        <w:t>Based on these and other factors, the Board was understandably concerned about a possible Establishment Clause violation if it had granted the permit. But a flat denial of the Klan's application was not the Board's only option to protect against an appearance of endorsement, and the Board was required to find its most "narrowly drawn" alternative. Perry Ed. Assn. v. Perry Local Educators' Assn., 460 U.S. 37,  45 (1983), see also ante at ___. Either of two possibilities would have been better suited to this situation. In support of the Klan's application, its representative stated in a letter to the Board that the cross would be accompanied by a disclaimer, legible "from a distance," explaining that the cross was erected by private individuals "without government support." App. 118. The letter said that "the contents of the sign" were "open to negotiation." Ibid. 1 The Board, then, could have granted the application subject to the condition that the Klan attach a disclaimer sufficiently large and clear to preclude any reasonable inference that the cross was there to "demonstrat[e] the government's allegiance to, or endorsement of, Christian faith." Allegheny County, 492 U.S. at  612. 2 In the alternative, the Board could have instituted a policy of restricting all private, unattended displays to one area of the square, with a permanent sign marking the area as a forum for private speech carrying no endorsement from the State.</w:t>
      </w:r>
    </w:p>
    <w:p w:rsidR="00A31137" w:rsidRPr="00A31137" w:rsidRDefault="00A31137" w:rsidP="00A31137">
      <w:r w:rsidRPr="00A31137">
        <w:t>1995, Capitol Square Review &amp; Advisory Bd. v. Pinette, No. 94-780</w:t>
      </w:r>
    </w:p>
    <w:p w:rsidR="00A31137" w:rsidRPr="00A31137" w:rsidRDefault="00A31137" w:rsidP="00A31137">
      <w:r w:rsidRPr="00A31137">
        <w:t>With such alternatives available, the Board cannot claim that its flat denial was a narrowly tailored response to the Klan's permit application and thus cannot rely on that denial as necessary to ensure that the State did not "appea[r] to take a position on questions of religious belief." Id. at  594. For these reasons, I concur in the judgment.</w:t>
      </w:r>
    </w:p>
    <w:p w:rsidR="00A31137" w:rsidRPr="00A31137" w:rsidRDefault="00A31137" w:rsidP="00A31137">
      <w:r w:rsidRPr="00A31137">
        <w:t>STEVENS, J., dissenting</w:t>
      </w:r>
    </w:p>
    <w:p w:rsidR="00A31137" w:rsidRPr="00A31137" w:rsidRDefault="00A31137" w:rsidP="00A31137">
      <w:r w:rsidRPr="00A31137">
        <w:t>1995, Capitol Square Review &amp; Advisory Bd. v. Pinette, No. 94-780</w:t>
      </w:r>
    </w:p>
    <w:p w:rsidR="00A31137" w:rsidRPr="00A31137" w:rsidRDefault="00A31137" w:rsidP="00A31137">
      <w:r w:rsidRPr="00A31137">
        <w:t>JUSTICE STEVENS, dissenting.</w:t>
      </w:r>
    </w:p>
    <w:p w:rsidR="00A31137" w:rsidRPr="00A31137" w:rsidRDefault="00A31137" w:rsidP="00A31137">
      <w:r w:rsidRPr="00A31137">
        <w:t>1995, Capitol Square Review &amp; Advisory Bd. v. Pinette, No. 94-780</w:t>
      </w:r>
    </w:p>
    <w:p w:rsidR="00A31137" w:rsidRPr="00A31137" w:rsidRDefault="00A31137" w:rsidP="00A31137">
      <w:r w:rsidRPr="00A31137">
        <w:t>The Establishment Clause should be construed to create a strong presumption against the installation of unattended religious symbols on public property. Although the State of Ohio has allowed Capitol Square, the area around the seat of its government, to be used as a public forum, and although it has occasionally allowed private groups to erect other sectarian displays there, neither fact provides a sufficient basis for rebutting that presumption. On the contrary, the sequence of sectarian displays disclosed by the record in this case illustrates the importance of rebuilding the "wall of separation between church and State" that Jefferson envisioned. 1</w:t>
      </w:r>
    </w:p>
    <w:p w:rsidR="00A31137" w:rsidRPr="00A31137" w:rsidRDefault="00A31137" w:rsidP="00A31137">
      <w:r w:rsidRPr="00A31137">
        <w:t>I</w:t>
      </w:r>
    </w:p>
    <w:p w:rsidR="00A31137" w:rsidRPr="00A31137" w:rsidRDefault="00A31137" w:rsidP="00A31137">
      <w:r w:rsidRPr="00A31137">
        <w:t>1995, Capitol Square Review &amp; Advisory Bd. v. Pinette, No. 94-780</w:t>
      </w:r>
    </w:p>
    <w:p w:rsidR="00A31137" w:rsidRPr="00A31137" w:rsidRDefault="00A31137" w:rsidP="00A31137">
      <w:r w:rsidRPr="00A31137">
        <w:t>At issue in this case is an unadorned Latin cross, which the Ku Klux Klan placed, and left unattended, on the lawn in front of the Ohio State Capitol. The Court decides this case on the assumption that the cross was a religious symbol. I agree with that assumption notwithstanding the hybrid character of this particular object. The record indicates that the "Grand Titan of the Knights of the Ku Klux Klan for the Realm of Ohio" applied for a permit to place a cross in front of the State Capitol because "the Jews" were placing a "symbol for the Jewish belief" in the Square. App. 173. 2 Some observers, unaware of who had sponsored the cross, or unfamiliar with the history of the Klan and its reaction to the menorah, might interpret the Klan's cross as an inspirational symbol of the crucifixion and resurrection of Jesus Christ. More knowledgeable observers might regard it, given the context, as an anti-semitic symbol of bigotry and disrespect for a particular religious sect. Under the first interpretation, the cross is plainly a religious symbol. 3 Under the second, an icon of intolerance expressing an anti-clerical message should also be treated as a religious symbol because the Establishment Clause must prohibit official sponsorship of irreligious, as well as religious, messages. See Wallace v. Jaffree, 472 U.S. 38,  52 (1985). This principle is no less binding if the anti-religious message is also a bigoted message. See United States v. Ballard, 322 U.S. 78, 86-89 (1944) (government lacks power to judge truth of religious beliefs); Watson v. Jones, 13 Wall. 679, 728 (1872) ("The law knows no heresy, and is committed to the support of no dogma, the establishment of no sect").</w:t>
      </w:r>
    </w:p>
    <w:p w:rsidR="00A31137" w:rsidRPr="00A31137" w:rsidRDefault="00A31137" w:rsidP="00A31137">
      <w:r w:rsidRPr="00A31137">
        <w:t>1995, Capitol Square Review &amp; Advisory Bd. v. Pinette, No. 94-780</w:t>
      </w:r>
    </w:p>
    <w:p w:rsidR="00A31137" w:rsidRPr="00A31137" w:rsidRDefault="00A31137" w:rsidP="00A31137">
      <w:r w:rsidRPr="00A31137">
        <w:t>Thus, while this unattended, free-standing wooden cross was unquestionably a religious symbol, observers may well have received completely different messages from that symbol. Some might have perceived it as a message of love, others as a message of hate, still others as a message of exclusion—a Statehouse sign calling powerfully to mind their outsider status. In any event, it was a message that the State of Ohio may not communicate to its citizens without violating the Establishment Clause.</w:t>
      </w:r>
    </w:p>
    <w:p w:rsidR="00A31137" w:rsidRPr="00A31137" w:rsidRDefault="00A31137" w:rsidP="00A31137">
      <w:r w:rsidRPr="00A31137">
        <w:t>II</w:t>
      </w:r>
    </w:p>
    <w:p w:rsidR="00A31137" w:rsidRPr="00A31137" w:rsidRDefault="00A31137" w:rsidP="00A31137">
      <w:r w:rsidRPr="00A31137">
        <w:t>1995, Capitol Square Review &amp; Advisory Bd. v. Pinette, No. 94-780</w:t>
      </w:r>
    </w:p>
    <w:p w:rsidR="00A31137" w:rsidRPr="00A31137" w:rsidRDefault="00A31137" w:rsidP="00A31137">
      <w:r w:rsidRPr="00A31137">
        <w:t>The plurality does not disagree with the proposition that the State may not espouse a religious message. Ante at ___. It concludes, however, that the State has not sent such a message; it has merely allowed others to do so on its property. Thus, the State has provided an "incidental benefit" to religion by allowing private parties access to a traditional public forum. See ante at ___. In my judgment, neither precedent nor respect for the values protected by the Establishment Clause justifies that conclusion.</w:t>
      </w:r>
    </w:p>
    <w:p w:rsidR="00A31137" w:rsidRPr="00A31137" w:rsidRDefault="00A31137" w:rsidP="00A31137">
      <w:r w:rsidRPr="00A31137">
        <w:t>1995, Capitol Square Review &amp; Advisory Bd. v. Pinette, No. 94-780</w:t>
      </w:r>
    </w:p>
    <w:p w:rsidR="00A31137" w:rsidRPr="00A31137" w:rsidRDefault="00A31137" w:rsidP="00A31137">
      <w:r w:rsidRPr="00A31137">
        <w:t>The Establishment Clause,</w:t>
      </w:r>
    </w:p>
    <w:p w:rsidR="00A31137" w:rsidRPr="00A31137" w:rsidRDefault="00A31137" w:rsidP="00A31137">
      <w:r w:rsidRPr="00A31137">
        <w:t>1995, Capitol Square Review &amp; Advisory Bd. v. Pinette, No. 94-780</w:t>
      </w:r>
    </w:p>
    <w:p w:rsidR="00A31137" w:rsidRPr="00A31137" w:rsidRDefault="00A31137" w:rsidP="00A31137">
      <w:r w:rsidRPr="00A31137">
        <w:t>at the very least, prohibits government from appearing to take a position on questions of religious belief or from "making adherence to a religion relevant in any way to a person's standing in the political community."</w:t>
      </w:r>
    </w:p>
    <w:p w:rsidR="00A31137" w:rsidRPr="00A31137" w:rsidRDefault="00A31137" w:rsidP="00A31137">
      <w:r w:rsidRPr="00A31137">
        <w:t>1995, Capitol Square Review &amp; Advisory Bd. v. Pinette, No. 94-780</w:t>
      </w:r>
    </w:p>
    <w:p w:rsidR="00A31137" w:rsidRPr="00A31137" w:rsidRDefault="00A31137" w:rsidP="00A31137">
      <w:r w:rsidRPr="00A31137">
        <w:t>County of Allegheny v. American Civil Liberties Union, Greater Pittsburgh Chapter, 492 U.S. 573, 593-594 (1989), quoting Lynch v. Donnelly, 465 U.S. 668,  687 (1984) (O'CONNOR, J., concurring). At least when religious symbols are involved, the question of whether the state is "appearing to take a position" is best judged from the standpoint of a "reasonable observer." 4 It is especially important to take account of the perspective of a reasonable observer who may not share the particular religious belief it expresses. A paramount purpose of the Establishment Clause is to protect such a person from being made to feel like an outsider in matters of faith, and a stranger in the political community. Ibid. If a reasonable person could perceive a government endorsement of religion from a private display, then the State may not allow its property to be used as a forum for that display. No less stringent rule can adequately protect nonadherents from a well grounded perception that their sovereign supports a faith to which they do not subscribe. 5</w:t>
      </w:r>
    </w:p>
    <w:p w:rsidR="00A31137" w:rsidRPr="00A31137" w:rsidRDefault="00A31137" w:rsidP="00A31137">
      <w:r w:rsidRPr="00A31137">
        <w:t>1995, Capitol Square Review &amp; Advisory Bd. v. Pinette, No. 94-780</w:t>
      </w:r>
    </w:p>
    <w:p w:rsidR="00A31137" w:rsidRPr="00A31137" w:rsidRDefault="00A31137" w:rsidP="00A31137">
      <w:r w:rsidRPr="00A31137">
        <w:t>In determining whether the State's maintenance of the Klan's cross in front of the Statehouse conveyed a forbidden message of endorsement, we should be mindful of the power of a symbol standing alone and unexplained. Even on private property, signs and symbols are generally understood to express the owner's views. The location of the sign is a significant component of the message it conveys.</w:t>
      </w:r>
    </w:p>
    <w:p w:rsidR="00A31137" w:rsidRPr="00A31137" w:rsidRDefault="00A31137" w:rsidP="00A31137">
      <w:r w:rsidRPr="00A31137">
        <w:t>1995, Capitol Square Review &amp; Advisory Bd. v. Pinette, No. 94-780</w:t>
      </w:r>
    </w:p>
    <w:p w:rsidR="00A31137" w:rsidRPr="00A31137" w:rsidRDefault="00A31137" w:rsidP="00A31137">
      <w:r w:rsidRPr="00A31137">
        <w:t>Displaying a sign from one's own residence often carries a message quite distinct from placing the same sign someplace else, or conveying the same text or picture by other means. Precisely because of their location, such signs provide information about the identity of the "speaker." As an early and eminent student of rhetoric observed, the identity of the speaker is an important component of many attempts to persuade. A sign advocating "Peace in the Gulf" in the front lawn of a retired general or decorated war veteran may provoke a different reaction than the same sign in a 10-year-old child's bedroom window or the same message on a bumper sticker of a passing automobile. An espousal of socialism may carry different implications when displayed on the grounds of a stately mansion than when pasted on a factory wall or an ambulatory sandwich board.</w:t>
      </w:r>
    </w:p>
    <w:p w:rsidR="00A31137" w:rsidRPr="00A31137" w:rsidRDefault="00A31137" w:rsidP="00A31137">
      <w:r w:rsidRPr="00A31137">
        <w:t>1995, Capitol Square Review &amp; Advisory Bd. v. Pinette, No. 94-780</w:t>
      </w:r>
    </w:p>
    <w:p w:rsidR="00A31137" w:rsidRPr="00A31137" w:rsidRDefault="00A31137" w:rsidP="00A31137">
      <w:r w:rsidRPr="00A31137">
        <w:t>City of Ladue v. Gilleo, 512 U.S. ___, ___ (1994) (footnote omitted). Like other speakers, a person who places a sign on her own property has the autonomy to choose the content of her own message. Cf. McIntyre v. Ohio Elections Comm'n, 514 U.S. ___, ___ (1995). Thus, the location of a stationary, unattended sign generally is both a component of its message and an implicit endorsement of that message by the party with the power to decide whether it may be conveyed from that location. 6</w:t>
      </w:r>
    </w:p>
    <w:p w:rsidR="00A31137" w:rsidRPr="00A31137" w:rsidRDefault="00A31137" w:rsidP="00A31137">
      <w:r w:rsidRPr="00A31137">
        <w:t>1995, Capitol Square Review &amp; Advisory Bd. v. Pinette, No. 94-780</w:t>
      </w:r>
    </w:p>
    <w:p w:rsidR="00A31137" w:rsidRPr="00A31137" w:rsidRDefault="00A31137" w:rsidP="00A31137">
      <w:r w:rsidRPr="00A31137">
        <w:t>So it is with signs and symbols left to speak for themselves on public property. The very fact that a sign is installed on public property implies official recognition and reinforcement of its message. That implication is especially strong when the sign stands in front of the seat of the government itself. The "reasonable observer" of any symbol placed unattended in front of any capitol in the world will normally assume that the sovereign—which is not only the owner of that parcel of real estate but also the lawgiver for the surrounding territory—has sponsored and facilitated its message.</w:t>
      </w:r>
    </w:p>
    <w:p w:rsidR="00A31137" w:rsidRPr="00A31137" w:rsidRDefault="00A31137" w:rsidP="00A31137">
      <w:r w:rsidRPr="00A31137">
        <w:t>1995, Capitol Square Review &amp; Advisory Bd. v. Pinette, No. 94-780</w:t>
      </w:r>
    </w:p>
    <w:p w:rsidR="00A31137" w:rsidRPr="00A31137" w:rsidRDefault="00A31137" w:rsidP="00A31137">
      <w:r w:rsidRPr="00A31137">
        <w:t>That the State may have granted a variety of groups permission to engage in uncensored expressive activities in front of the capitol building does not, in my opinion, qualify or contradict the normal inference of endorsement that the reasonable observer would draw from the unattended, free-standing sign or symbol. Indeed, parades and demonstrations at or near the seat of government are often exercises of the right of the people to petition their government for a redress of grievances—exercises in which the government is the recipient of the message, rather than the messenger. Even when a demonstration or parade is not directed against government policy, but merely has made use of a particularly visible forum in order to reach as wide an audience as possible, there usually can be no mistake about the identity of the messengers as persons other than the State. But when a statue or some other free-standing, silent, unattended, immovable structure—regardless of its particular message—appears on the lawn of the Capitol building, the reasonable observer must identify the State either as the messenger, or at the very least, as one who has endorsed the message. Contrast, in this light, the image of the cross standing alone and unattended, see infra at ___, and the image the observer would take away were a hooded Klansman holding, or standing next to, the very same cross.</w:t>
      </w:r>
    </w:p>
    <w:p w:rsidR="00A31137" w:rsidRPr="00A31137" w:rsidRDefault="00A31137" w:rsidP="00A31137">
      <w:r w:rsidRPr="00A31137">
        <w:t>1995, Capitol Square Review &amp; Advisory Bd. v. Pinette, No. 94-780</w:t>
      </w:r>
    </w:p>
    <w:p w:rsidR="00A31137" w:rsidRPr="00A31137" w:rsidRDefault="00A31137" w:rsidP="00A31137">
      <w:r w:rsidRPr="00A31137">
        <w:t>This Court has never held that a private party has a right to place an unattended object in a public forum. 7 Today the Court correctly recognizes that a State may impose a ban on all private unattended displays in such a forum, ante at ___. This is true despite the fact that our cases have condemned a number of laws that foreclose an entire medium of expression, even in places where free speech is otherwise allowed. 8 The First Amendment affords protection to a basic liberty: "the freedom of speech" that an individual may exercise when using the public streets and parks. Hague v. Committee for Industrial Organization, 307 U.S. 496, 515-516 (1939) (opinion of Roberts, J.). The Amendment, however, does not destroy all property rights. In particular, it does not empower individuals to erect structures of any kind on public property. City Council of Los Angeles v. Taxpayers for Vincent, 466 U.S. 789, 814 (1984); 9 see also Clark v. Community for Creative Non-Violence, 468 U.S. 288 (1984). Thus, our cases protecting the individual's freedom to engage in communicative conduct on public property (whether by speaking, parading, handbilling, waving a flag, or carrying a banner), e.g., Lovell v. Griffin, 303 U.S. 444 (1938), or to send messages from her own property by placing a sign in the window of her home, City of Ladue v. Gilleo, 512 U.S. at ___, do not establish the right to implant a physical structure (whether a campaign poster, a burning cross, or a statue of Elvis Presley) on public property. I think the latter "right," which creates a far greater intrusion on government property and interferes with the Government's ability to differentiate its own message from those of public individuals, does not exist. 10</w:t>
      </w:r>
    </w:p>
    <w:p w:rsidR="00A31137" w:rsidRPr="00A31137" w:rsidRDefault="00A31137" w:rsidP="00A31137">
      <w:r w:rsidRPr="00A31137">
        <w:t>1995, Capitol Square Review &amp; Advisory Bd. v. Pinette, No. 94-780</w:t>
      </w:r>
    </w:p>
    <w:p w:rsidR="00A31137" w:rsidRPr="00A31137" w:rsidRDefault="00A31137" w:rsidP="00A31137">
      <w:r w:rsidRPr="00A31137">
        <w:t>Because structures on government property—and, in particular, in front of buildings plainly identified with the state—imply state approval of their message, the Government must have considerable leeway, outside of the religious arena, to choose what kinds of displays it will allow and what kinds it will not. Although the First Amendment requires the Government to allow leafletting or demonstrating outside its buildings, the state has greater power to exclude unattended symbols when they convey a type of message with which the state does not wish to be identified. I think it obvious, for example, that Ohio could prohibit certain categories of signs or symbols in Capitol Square—erotic exhibits, commercial advertising, and perhaps campaign posters as well—without violating the Free Speech Clause. 11 Moreover, our "public forum" cases do not foreclose public entities from enforcing prohibitions against all unattended displays in public parks, or possibly even limiting the use of such displays to the communication of noncontroversial messages. 12 Such a limitation would not inhibit any of the traditional forms of expression that have been given full constitutional protection in public fora.</w:t>
      </w:r>
    </w:p>
    <w:p w:rsidR="00A31137" w:rsidRPr="00A31137" w:rsidRDefault="00A31137" w:rsidP="00A31137">
      <w:r w:rsidRPr="00A31137">
        <w:t>1995, Capitol Square Review &amp; Advisory Bd. v. Pinette, No. 94-780</w:t>
      </w:r>
    </w:p>
    <w:p w:rsidR="00A31137" w:rsidRPr="00A31137" w:rsidRDefault="00A31137" w:rsidP="00A31137">
      <w:r w:rsidRPr="00A31137">
        <w:t>The State's general power to restrict the types of unattended displays does not alone suffice to decide this case, because Ohio did not profess to be exercising any such authority. Instead, the Capitol Square Review Board denied a permit for the cross because it believed the Establishment Clause required as much, and we cannot know whether the Board would have denied the permit on other grounds. App. 91-92, 169. Accordingly, we must evaluate the State's rationale on its own terms. But, in this case, the endorsement inquiry under the Establishment Clause follows from the State's power to exclude unattended private displays from public property. Just as the Constitution recognizes the State's interest in preventing its property from being used as a conduit for ideas it does not wish to give the appearance of ratifying, the Establishment Clause prohibits government from allowing, and thus endorsing, unattended displays that take a position on a religious issue. If the State allows such stationary displays in front of its seat of government, viewers will reasonably assume that it approves of them. As the picture appended to this opinion demonstrates, infra at ___, a reasonable observer would likely infer endorsement from the location of the cross erected by the Klan in this case. Even if the disclaimer at the foot of the cross (which stated that the cross was placed there by a private organization) were legible, that inference would remain, because a property owner's decision to allow a third party to place a sign on her property conveys the same message of endorsement as if she had erected it herself. 13</w:t>
      </w:r>
    </w:p>
    <w:p w:rsidR="00A31137" w:rsidRPr="00A31137" w:rsidRDefault="00A31137" w:rsidP="00A31137">
      <w:r w:rsidRPr="00A31137">
        <w:t>1995, Capitol Square Review &amp; Advisory Bd. v. Pinette, No. 94-780</w:t>
      </w:r>
    </w:p>
    <w:p w:rsidR="00A31137" w:rsidRPr="00A31137" w:rsidRDefault="00A31137" w:rsidP="00A31137">
      <w:r w:rsidRPr="00A31137">
        <w:t>When the message is religious in character, it is a message the state can neither send nor reinforce without violating the Establishment Clause. Accordingly, I would hold that the Constitution generally forbids the placement of a symbol of a religious character in, on, or before a seat of government.</w:t>
      </w:r>
    </w:p>
    <w:p w:rsidR="00A31137" w:rsidRPr="00A31137" w:rsidRDefault="00A31137" w:rsidP="00A31137">
      <w:r w:rsidRPr="00A31137">
        <w:t>III</w:t>
      </w:r>
    </w:p>
    <w:p w:rsidR="00A31137" w:rsidRPr="00A31137" w:rsidRDefault="00A31137" w:rsidP="00A31137">
      <w:r w:rsidRPr="00A31137">
        <w:t>1995, Capitol Square Review &amp; Advisory Bd. v. Pinette, No. 94-780</w:t>
      </w:r>
    </w:p>
    <w:p w:rsidR="00A31137" w:rsidRPr="00A31137" w:rsidRDefault="00A31137" w:rsidP="00A31137">
      <w:r w:rsidRPr="00A31137">
        <w:t>The Court correctly acknowledges that the state's duty to avoid a violation of the Establishment Clause can justify a content-based restriction on speech or expression, even when that restriction would otherwise be prohibited by the Free Speech Clause. Ante at ___; ante at ___ (opinion of O'CONNOR, J.). The plurality asserts, however, that government cannot be perceived to be endorsing a religious display when it merely accords that display "the same access to a public forum that all other displays enjoy." Ante at ___. I find this argument unpersuasive.</w:t>
      </w:r>
    </w:p>
    <w:p w:rsidR="00A31137" w:rsidRPr="00A31137" w:rsidRDefault="00A31137" w:rsidP="00A31137">
      <w:r w:rsidRPr="00A31137">
        <w:t>1995, Capitol Square Review &amp; Advisory Bd. v. Pinette, No. 94-780</w:t>
      </w:r>
    </w:p>
    <w:p w:rsidR="00A31137" w:rsidRPr="00A31137" w:rsidRDefault="00A31137" w:rsidP="00A31137">
      <w:r w:rsidRPr="00A31137">
        <w:t>The existence of a "public forum" in itself cannot dispel the message of endorsement. A contrary argument would assume an "ultra-reasonable observer" who understands the vagaries of this Court's First Amendment jurisprudence. I think it presumptuous to consider such knowledge a precondition of Establishment Clause protection. Many (probably most) reasonable people do not know the difference between a "public forum," a "limited public forum," and a "non-public forum." They do know the difference between a state capitol and a church. Reasonable people have differing degrees of knowledge; that does not make them "'obtuse,'" see 30 F.3d 675, 679 (CA6 1994) (quoting Doe v. Small, 964 F.2d 611, 630 (CA7 1992) (Easterbrook, J., concurring)); nor does it make them unworthy of constitutional protection. It merely makes them human. For a religious display to violate the Establishment Clause, I think it is enough that some reasonable observers would attribute a religious message to the State.</w:t>
      </w:r>
    </w:p>
    <w:p w:rsidR="00A31137" w:rsidRPr="00A31137" w:rsidRDefault="00A31137" w:rsidP="00A31137">
      <w:r w:rsidRPr="00A31137">
        <w:t>1995, Capitol Square Review &amp; Advisory Bd. v. Pinette, No. 94-780</w:t>
      </w:r>
    </w:p>
    <w:p w:rsidR="00A31137" w:rsidRPr="00A31137" w:rsidRDefault="00A31137" w:rsidP="00A31137">
      <w:r w:rsidRPr="00A31137">
        <w:t>The plurality appears to rely on the history of this particular public forum—specifically, it emphasizes that Ohio has in the past allowed three other private unattended displays. Even if the State could not reasonably have been understood to endorse the prior displays, I would not find this argument convincing, because it assumes that all reasonable viewers know all about the history of Capitol Square—a highly unlikely supposition. 14 But the plurality's argument fails on its own terms, because each of the three previous displays conveyed the same message of approval and endorsement that this one does.</w:t>
      </w:r>
    </w:p>
    <w:p w:rsidR="00A31137" w:rsidRPr="00A31137" w:rsidRDefault="00A31137" w:rsidP="00A31137">
      <w:r w:rsidRPr="00A31137">
        <w:t>1995, Capitol Square Review &amp; Advisory Bd. v. Pinette, No. 94-780</w:t>
      </w:r>
    </w:p>
    <w:p w:rsidR="00A31137" w:rsidRPr="00A31137" w:rsidRDefault="00A31137" w:rsidP="00A31137">
      <w:r w:rsidRPr="00A31137">
        <w:t>Most significant, of course, is the menorah that stood in Capitol Square during Chanukah. The display of that religious symbol should be governed by the same rule as the display of the cross. 15 In my opinion, both displays are equally objectionable. Moreover, the fact that the State has placed its stamp of approval on two different religions instead of one only compounds the constitutional violation. The Establishment Clause does not merely prohibit the State from favoring one religious sect over others. It also proscribes state action supporting the establishment of a number of religions, 16 as well as the official endorsement of religion in preference to nonreligion. Wallace v. Jaffree, 472 U.S. at 52-55. The State's prior approval of the pro-religious message conveyed by the menorah is fully consistent with its endorsement of one of the messages conveyed by the cross: "The State of Ohio favors religion over irreligion." This message is incompatible with the principles embodied by our Establishment Clause.</w:t>
      </w:r>
    </w:p>
    <w:p w:rsidR="00A31137" w:rsidRPr="00A31137" w:rsidRDefault="00A31137" w:rsidP="00A31137">
      <w:r w:rsidRPr="00A31137">
        <w:t>1995, Capitol Square Review &amp; Advisory Bd. v. Pinette, No. 94-780</w:t>
      </w:r>
    </w:p>
    <w:p w:rsidR="00A31137" w:rsidRPr="00A31137" w:rsidRDefault="00A31137" w:rsidP="00A31137">
      <w:r w:rsidRPr="00A31137">
        <w:t>The record identifies two other examples of free-standing displays that the State previously permitted in Capitol Square: a "United Way Campaign 'thermometer,'" and "craftsmen's booths and displays erected during an Arts Festival." 17 App. to Pet. for Cert. A-16. Both of those examples confirm the proposition that a reasonable observer should infer official approval of the message conveyed by a structure erected in front of the Statehouse. Surely the thermometer suggested that the State was encouraging passersby to contribute to the United Way. It seems equally clear that the State was endorsing the creativity of artisans and craftsmen by permitting their booths to occupy a part of the Square. Nothing about either of those freestanding displays contradicts the normal inference that the State has endorsed whatever message might be conveyed by permitting an unattended symbol to adorn the Capitol grounds. 18 Accordingly, the fact that the menorah, and later the cross, stood in an area available "'for free discussion of public questions, or for activities of a broad public purpose,'" Ohio Rev.Code Ann. § 105.41 (1994), quoted ante at ___, is fully consistent with the conclusion that the State sponsored those religious symbols. They, like the thermometer and the booths, were displayed in a context that connotes state approval.</w:t>
      </w:r>
    </w:p>
    <w:p w:rsidR="00A31137" w:rsidRPr="00A31137" w:rsidRDefault="00A31137" w:rsidP="00A31137">
      <w:r w:rsidRPr="00A31137">
        <w:t>1995, Capitol Square Review &amp; Advisory Bd. v. Pinette, No. 94-780</w:t>
      </w:r>
    </w:p>
    <w:p w:rsidR="00A31137" w:rsidRPr="00A31137" w:rsidRDefault="00A31137" w:rsidP="00A31137">
      <w:r w:rsidRPr="00A31137">
        <w:t>This case is therefore readily distinguishable from Widmar v. Vincent, 454 U.S. 263 (1981), and Lamb's Chapel v. Center Moriches Union Free School Dist., 508 U.S. ___ (1993). In both of those cases, as we made perfectly clear, there was no danger of incorrect identification of the speakers and no basis for inferring that their messages had been endorsed by any public entity. As we explained in the later case:</w:t>
      </w:r>
    </w:p>
    <w:p w:rsidR="00A31137" w:rsidRPr="00A31137" w:rsidRDefault="00A31137" w:rsidP="00A31137">
      <w:r w:rsidRPr="00A31137">
        <w:t>1995, Capitol Square Review &amp; Advisory Bd. v. Pinette, No. 94-780</w:t>
      </w:r>
    </w:p>
    <w:p w:rsidR="00A31137" w:rsidRPr="00A31137" w:rsidRDefault="00A31137" w:rsidP="00A31137">
      <w:r w:rsidRPr="00A31137">
        <w:t>Under these circumstances, as in Widmar, there would have been no realistic danger that the community would think that the District was endorsing religion or any particular creed, and any benefit to religion or to the Church would have been no more than incidental. As in Widmar, supra, at 271-272, permitting District property to be used to exhibit the film involved in this case would not have been an establishment of religion under the three-part test articulated in Lemon v. Kurtzman, 403 U.S. 602 (1971): the challenged governmental action has a secular purpose, does not have the principal or primary effect of advancing or inhibiting religion, and does not foster an excessive entanglement with religion.</w:t>
      </w:r>
    </w:p>
    <w:p w:rsidR="00A31137" w:rsidRPr="00A31137" w:rsidRDefault="00A31137" w:rsidP="00A31137">
      <w:r w:rsidRPr="00A31137">
        <w:t>1995, Capitol Square Review &amp; Advisory Bd. v. Pinette, No. 94-780</w:t>
      </w:r>
    </w:p>
    <w:p w:rsidR="00A31137" w:rsidRPr="00A31137" w:rsidRDefault="00A31137" w:rsidP="00A31137">
      <w:r w:rsidRPr="00A31137">
        <w:t>Id. at ___ (footnote omitted).</w:t>
      </w:r>
    </w:p>
    <w:p w:rsidR="00A31137" w:rsidRPr="00A31137" w:rsidRDefault="00A31137" w:rsidP="00A31137">
      <w:r w:rsidRPr="00A31137">
        <w:t>1995, Capitol Square Review &amp; Advisory Bd. v. Pinette, No. 94-780</w:t>
      </w:r>
    </w:p>
    <w:p w:rsidR="00A31137" w:rsidRPr="00A31137" w:rsidRDefault="00A31137" w:rsidP="00A31137">
      <w:r w:rsidRPr="00A31137">
        <w:t>In contrast, the installation of the religious symbols in Capitol Square quite obviously did "have the principal or primary effect of advancing or inhibiting religion"; indeed, no other effect is even suggested by the record. The primary difference is that, in this case, we are dealing with a visual display—a symbol readily associated with a religion, in a venue readily associated with the State. This clear image of endorsement was lacking in Widmar and Lamb's Chapel, in which the issue was access to government facilities. Moreover, there was no question in those cases of an unattended display; private speakers, who could be distinguished from the state, were present. See supra at ___. Endorsement might still be present in an access case if, for example, the religious group sought the use of the roof of a public building for an obviously religious ceremony, where many onlookers might witness that ceremony and connect it to the State. But no such facts were alleged in Widmar or Lamb's Chapel. The religious practices in those cases were simply less obtrusive, and less likely to send a message of endorsement, than the eye-catching symbolism at issue in this case.</w:t>
      </w:r>
    </w:p>
    <w:p w:rsidR="00A31137" w:rsidRPr="00A31137" w:rsidRDefault="00A31137" w:rsidP="00A31137">
      <w:r w:rsidRPr="00A31137">
        <w:t>1995, Capitol Square Review &amp; Advisory Bd. v. Pinette, No. 94-780</w:t>
      </w:r>
    </w:p>
    <w:p w:rsidR="00A31137" w:rsidRPr="00A31137" w:rsidRDefault="00A31137" w:rsidP="00A31137">
      <w:r w:rsidRPr="00A31137">
        <w:t>The battle over the Klan cross underscores the power of such symbolism. The menorah prompted the Klan to seek permission to erect an anti-semitic symbol, which in turn not only prompted vandalism but also motivated other sects to seek permission to place their own symbols in the Square. These facts illustrate the potential for insidious entanglement that flows from state-endorsed proselytizing. There is no reason to believe that a menorah placed in front of a synagogue would have motivated any reaction from the Klan, or that a Klan cross placed on a Klansman's front lawn would have produced the same reaction as one that enjoyed the apparent imprimatur of the State of Ohio. Nor is there any reason to believe the placement of the displays in Capitol Square had any purpose other than to connect the State—though perhaps against its will—to the religious or anti-religious beliefs of those who placed them there. The cause of the conflict is the State's apparent approval of a religious or anti-religious message. 19 Our Constitution wisely seeks to minimize such strife by forbidding state-endorsed religious activity.</w:t>
      </w:r>
    </w:p>
    <w:p w:rsidR="00A31137" w:rsidRPr="00A31137" w:rsidRDefault="00A31137" w:rsidP="00A31137">
      <w:r w:rsidRPr="00A31137">
        <w:t>IV</w:t>
      </w:r>
    </w:p>
    <w:p w:rsidR="00A31137" w:rsidRPr="00A31137" w:rsidRDefault="00A31137" w:rsidP="00A31137">
      <w:r w:rsidRPr="00A31137">
        <w:t>1995, Capitol Square Review &amp; Advisory Bd. v. Pinette, No. 94-780</w:t>
      </w:r>
    </w:p>
    <w:p w:rsidR="00A31137" w:rsidRPr="00A31137" w:rsidRDefault="00A31137" w:rsidP="00A31137">
      <w:r w:rsidRPr="00A31137">
        <w:t>Conspicuously absent from the plurality's opinion is any mention of the values served by the Establishment Clause. It therefore seems appropriate to repeat a portion of a Court opinion authored by Justice Black who, more than any other Justice in the Court's history, espoused a literal interpretation of constitutional text:</w:t>
      </w:r>
    </w:p>
    <w:p w:rsidR="00A31137" w:rsidRPr="00A31137" w:rsidRDefault="00A31137" w:rsidP="00A31137">
      <w:r w:rsidRPr="00A31137">
        <w:t>1995, Capitol Square Review &amp; Advisory Bd. v. Pinette, No. 94-780</w:t>
      </w:r>
    </w:p>
    <w:p w:rsidR="00A31137" w:rsidRPr="00A31137" w:rsidRDefault="00A31137" w:rsidP="00A31137">
      <w:r w:rsidRPr="00A31137">
        <w:t>A large proportion of the early settlers of this country came here from Europe to escape the bondage of laws which compelled them to support and attend government-favored churches. The centuries immediately before and contemporaneous with the colonization of America had been filled with turmoil, civil strife, and persecutions, generated in large part by established sects determined to maintain their absolute political and religious supremacy. With the power of government supporting them at various times and places, Catholics had persecuted Protestants, Protestants had persecuted Catholics, Protestant sects had persecuted other Protestant sects, Catholics of one shade of belief had persecuted Catholics of another shade of belief, and all of these had from time to time persecuted Jews. In efforts to force loyalty to whatever religious group happened to be on top and in league with the government of a particular time and place, men and women had been fined, cast in jail, cruelly tortured, and killed. Among the offenses for which these punishments had been inflicted were such things as speaking disrespectfully of the views of ministers of government-established churches, nonattendance at those churches, expressions of nonbelief in their doctrines, and failure to pay taxes and tithes to support them.</w:t>
      </w:r>
    </w:p>
    <w:p w:rsidR="00A31137" w:rsidRPr="00A31137" w:rsidRDefault="00A31137" w:rsidP="00A31137">
      <w:r w:rsidRPr="00A31137">
        <w:t>1995, Capitol Square Review &amp; Advisory Bd. v. Pinette, No. 94-780</w:t>
      </w:r>
    </w:p>
    <w:p w:rsidR="00A31137" w:rsidRPr="00A31137" w:rsidRDefault="00A31137" w:rsidP="00A31137">
      <w:r w:rsidRPr="00A31137">
        <w:t>These practices of the old world were transplanted to and began to thrive in the soil of the new America. The very charters granted by the English Crown to the individuals and companies designated to make the laws which would control the destinies of the colonials authorized these individuals and companies to erect religious establishments which all, whether believers or nonbelievers, would be required to support and attend. An exercise of this authority was accompanied by a repetition of many of the old-world practices and persecutions. Catholics found themselves hounded and proscribed because of their faith; Quakers who followed their conscience went to jail; Baptists were peculiarly obnoxious to certain dominant Protestant sects; men and women of varied faiths who happened to be in a minority in a particular locality were persecuted because they steadfastly persisted in worshipping God only as their own consciences dictated. And all of these dissenters were compelled to pay tithes and taxes to support government-sponsored churches whose ministers preached inflammatory sermons designed to strengthen and consolidate the established faith by generating a burning hatred against dissenters.</w:t>
      </w:r>
    </w:p>
    <w:p w:rsidR="00A31137" w:rsidRPr="00A31137" w:rsidRDefault="00A31137" w:rsidP="00A31137">
      <w:r w:rsidRPr="00A31137">
        <w:t>*    *    *    *</w:t>
      </w:r>
    </w:p>
    <w:p w:rsidR="00A31137" w:rsidRPr="00A31137" w:rsidRDefault="00A31137" w:rsidP="00A31137">
      <w:r w:rsidRPr="00A31137">
        <w:t>1995, Capitol Square Review &amp; Advisory Bd. v. Pinette, No. 94-780</w:t>
      </w:r>
    </w:p>
    <w:p w:rsidR="00A31137" w:rsidRPr="00A31137" w:rsidRDefault="00A31137" w:rsidP="00A31137">
      <w:r w:rsidRPr="00A31137">
        <w:t>The "establishment of religion" clause of the First Amendment means at least this: neither a state nor the Federal Government can set up a church. Neither can pass laws which aid one religion, aid all religions, or prefer one religion over another. Neither can force nor influence a person to go to or to remain away from church against his will or force him to profess a belief or disbelief in any religion…. Neither a state nor the Federal Government can, openly or secretly, participate in the affairs of any religious organizations or groups and vice versa. In the words of Jefferson, the clause against establishment of religion by law was intended to erect "a wall of separation between church and State."</w:t>
      </w:r>
    </w:p>
    <w:p w:rsidR="00A31137" w:rsidRPr="00A31137" w:rsidRDefault="00A31137" w:rsidP="00A31137">
      <w:r w:rsidRPr="00A31137">
        <w:t>1995, Capitol Square Review &amp; Advisory Bd. v. Pinette, No. 94-780</w:t>
      </w:r>
    </w:p>
    <w:p w:rsidR="00A31137" w:rsidRPr="00A31137" w:rsidRDefault="00A31137" w:rsidP="00A31137">
      <w:r w:rsidRPr="00A31137">
        <w:t>Everson v. Board of Ed. of Ewing, 330 U.S. 1, 8-10,  15,  16 (1947) (footnotes and citation omitted).</w:t>
      </w:r>
    </w:p>
    <w:p w:rsidR="00A31137" w:rsidRPr="00A31137" w:rsidRDefault="00A31137" w:rsidP="00A31137">
      <w:r w:rsidRPr="00A31137">
        <w:t>1995, Capitol Square Review &amp; Advisory Bd. v. Pinette, No. 94-780</w:t>
      </w:r>
    </w:p>
    <w:p w:rsidR="00A31137" w:rsidRPr="00A31137" w:rsidRDefault="00A31137" w:rsidP="00A31137">
      <w:r w:rsidRPr="00A31137">
        <w:t>In his eloquent dissent in that same case, Justice Jackson succinctly explained</w:t>
      </w:r>
    </w:p>
    <w:p w:rsidR="00A31137" w:rsidRPr="00A31137" w:rsidRDefault="00A31137" w:rsidP="00A31137">
      <w:r w:rsidRPr="00A31137">
        <w:t>1995, Capitol Square Review &amp; Advisory Bd. v. Pinette, No. 94-780</w:t>
      </w:r>
    </w:p>
    <w:p w:rsidR="00A31137" w:rsidRPr="00A31137" w:rsidRDefault="00A31137" w:rsidP="00A31137">
      <w:r w:rsidRPr="00A31137">
        <w:t>that the effect of the religious freedom Amendment to our Constitution was to take every form of propagation of religion out of the realm of things which could directly or indirectly be made public business….   It was intended not only to keep the states' hands out of religion, but to keep religion's hands off the state, and, above all, to keep bitter religious controversy out of public life….</w:t>
      </w:r>
    </w:p>
    <w:p w:rsidR="00A31137" w:rsidRPr="00A31137" w:rsidRDefault="00A31137" w:rsidP="00A31137">
      <w:r w:rsidRPr="00A31137">
        <w:t>1995, Capitol Square Review &amp; Advisory Bd. v. Pinette, No. 94-780</w:t>
      </w:r>
    </w:p>
    <w:p w:rsidR="00A31137" w:rsidRPr="00A31137" w:rsidRDefault="00A31137" w:rsidP="00A31137">
      <w:r w:rsidRPr="00A31137">
        <w:t>Id. at 26-27.</w:t>
      </w:r>
    </w:p>
    <w:p w:rsidR="00A31137" w:rsidRPr="00A31137" w:rsidRDefault="00A31137" w:rsidP="00A31137">
      <w:r w:rsidRPr="00A31137">
        <w:t>1995, Capitol Square Review &amp; Advisory Bd. v. Pinette, No. 94-780</w:t>
      </w:r>
    </w:p>
    <w:p w:rsidR="00A31137" w:rsidRPr="00A31137" w:rsidRDefault="00A31137" w:rsidP="00A31137">
      <w:r w:rsidRPr="00A31137">
        <w:t>The wrestling over the Klan cross in Capitol Square is far removed from the persecution that motivated William Penn to set sail for America, and the issue resolved in Everson is quite different from the controversy over symbols that gave rise to this litigation. 20 Nevertheless the views expressed by both the majority and the dissenters in that landmark case counsel caution before approving the order of a federal judge commanding a State to authorize the placement of free standing religious symbols in front of the seat of its government. The Court's decision today is unprecedented. It entangles two sovereigns in the propagation of religion, and it disserves the principle of tolerance that underlies the prohibition against state action "respecting an establishment of religion." 21</w:t>
      </w:r>
    </w:p>
    <w:p w:rsidR="00A31137" w:rsidRPr="00A31137" w:rsidRDefault="00A31137" w:rsidP="00A31137">
      <w:r w:rsidRPr="00A31137">
        <w:t>1995, Capitol Square Review &amp; Advisory Bd. v. Pinette, No. 94-780</w:t>
      </w:r>
    </w:p>
    <w:p w:rsidR="00A31137" w:rsidRPr="00A31137" w:rsidRDefault="00A31137" w:rsidP="00A31137">
      <w:r w:rsidRPr="00A31137">
        <w:t>I respectfully dissent.</w:t>
      </w:r>
    </w:p>
    <w:p w:rsidR="00A31137" w:rsidRPr="00A31137" w:rsidRDefault="00A31137" w:rsidP="00A31137">
      <w:r w:rsidRPr="00A31137">
        <w:t>GINSBURG, J., dissenting</w:t>
      </w:r>
    </w:p>
    <w:p w:rsidR="00A31137" w:rsidRPr="00A31137" w:rsidRDefault="00A31137" w:rsidP="00A31137">
      <w:r w:rsidRPr="00A31137">
        <w:t>1995, Capitol Square Review &amp; Advisory Bd. v. Pinette, No. 94-780</w:t>
      </w:r>
    </w:p>
    <w:p w:rsidR="00A31137" w:rsidRPr="00A31137" w:rsidRDefault="00A31137" w:rsidP="00A31137">
      <w:r w:rsidRPr="00A31137">
        <w:t>JUSTICE GINSBURG, dissenting.</w:t>
      </w:r>
    </w:p>
    <w:p w:rsidR="00A31137" w:rsidRPr="00A31137" w:rsidRDefault="00A31137" w:rsidP="00A31137">
      <w:r w:rsidRPr="00A31137">
        <w:t>1995, Capitol Square Review &amp; Advisory Bd. v. Pinette, No. 94-780</w:t>
      </w:r>
    </w:p>
    <w:p w:rsidR="00A31137" w:rsidRPr="00A31137" w:rsidRDefault="00A31137" w:rsidP="00A31137">
      <w:r w:rsidRPr="00A31137">
        <w:t>We confront here, as JUSTICES O'CONNOR and SOUTER point out, a large Latin cross that stood alone and unattended in close proximity to Ohio's Statehouse. See ante at ___ (O'CONNOR, J., concurring in part and concurring in judgment); ante at ___ (SOUTER, J., concurring in part and concurring in judgment). Near the stationary cross were the government's flags and the government's statues. No human speaker was present to disassociate the religious symbol from the State. No other private display was in sight. No plainly visible sign informed the public that the cross belonged to the Klan and that Ohio's government did not endorse the display's message.</w:t>
      </w:r>
    </w:p>
    <w:p w:rsidR="00A31137" w:rsidRPr="00A31137" w:rsidRDefault="00A31137" w:rsidP="00A31137">
      <w:r w:rsidRPr="00A31137">
        <w:t>1995, Capitol Square Review &amp; Advisory Bd. v. Pinette, No. 94-780</w:t>
      </w:r>
    </w:p>
    <w:p w:rsidR="00A31137" w:rsidRPr="00A31137" w:rsidRDefault="00A31137" w:rsidP="00A31137">
      <w:r w:rsidRPr="00A31137">
        <w:t>If the aim of the Establishment Clause is genuinely to uncouple government from church, see Everson v. Board of Ed. of Ewing, 330 U.S. 1,  16 (1947), a State may not permit, and a court may not order, a display of this character. Cf. Sullivan, Religion and Liberal Democracy, 59 U.Chi.L.Rev. 195, 197-214 (1992) (negative bar against establishment of religion implies affirmative establishment of secular public order). JUSTICE SOUTER, in the final paragraphs of his opinion, suggests two arrangements that might have distanced the State from "the principal symbol of Christianity around the world," see ante at ___; a sufficiently large and clear disclaimer, ante at ___; 1 or an area reserved for unattended displays carrying no endorsement from the State, a space plainly and permanently so marked. Ante at ___. Neither arrangement is even arguably present in this case. The District Court's order did not mandate a disclaimer. See App. to Pet. for Cert. A26 ("Plaintiffs are entitled to an injunction requiring the defendants to issue a permit to erect a cross on Capitol Square"). And the disclaimer the Klan appended to the foot of the cross 2 was unsturdy: it did not identify the Klan as sponsor; it failed to state unequivocally that Ohio did not endorse the display's message; and it was not shown to be legible from a distance. The relief ordered by the District Court thus violated the Establishment Clause.</w:t>
      </w:r>
    </w:p>
    <w:p w:rsidR="00A31137" w:rsidRPr="00A31137" w:rsidRDefault="00A31137" w:rsidP="00A31137">
      <w:r w:rsidRPr="00A31137">
        <w:t>1995, Capitol Square Review &amp; Advisory Bd. v. Pinette, No. 94-780</w:t>
      </w:r>
    </w:p>
    <w:p w:rsidR="00A31137" w:rsidRPr="00A31137" w:rsidRDefault="00A31137" w:rsidP="00A31137">
      <w:r w:rsidRPr="00A31137">
        <w:t>Whether a court order allowing display of a cross, but demanding a sturdier disclaimer, could withstand Establishment Clause analysis is a question more difficult than the one this case poses. I would reserve that question for another day and case. But I would not let the prospect of what might have been permissible control today's decision on the constitutionality of the display the District Court's order in fact authorized. See ante at ___ (appendix to dissent of STEVENS, J.) (photograph of display) [omitted].</w:t>
      </w:r>
    </w:p>
    <w:p w:rsidR="00A31137" w:rsidRPr="00A31137" w:rsidRDefault="00A31137" w:rsidP="00A31137">
      <w:r w:rsidRPr="00A31137">
        <w:t>Footnotes</w:t>
      </w:r>
    </w:p>
    <w:p w:rsidR="00A31137" w:rsidRPr="00A31137" w:rsidRDefault="00A31137" w:rsidP="00A31137">
      <w:r w:rsidRPr="00A31137">
        <w:t>SCALIA, J., lead opinion (Footnotes)</w:t>
      </w:r>
    </w:p>
    <w:p w:rsidR="00A31137" w:rsidRPr="00A31137" w:rsidRDefault="00A31137" w:rsidP="00A31137">
      <w:r w:rsidRPr="00A31137">
        <w:t>1995, Capitol Square Review &amp; Advisory Bd. v. Pinette, No. 94-780</w:t>
      </w:r>
    </w:p>
    <w:p w:rsidR="00A31137" w:rsidRPr="00A31137" w:rsidRDefault="00A31137" w:rsidP="00A31137">
      <w:r w:rsidRPr="00A31137">
        <w:t>1. Respondents claim that the Sixth Circuit's statement that "[z]ealots have First Amendment rights too" even if their views are unpopular, shows that the case is actually about discrimination against political speech. That conclusion is possible only if the statement is ripped from its context, which was this:</w:t>
      </w:r>
    </w:p>
    <w:p w:rsidR="00A31137" w:rsidRPr="00A31137" w:rsidRDefault="00A31137" w:rsidP="00A31137">
      <w:r w:rsidRPr="00A31137">
        <w:t>1995, Capitol Square Review &amp; Advisory Bd. v. Pinette, No. 94-780</w:t>
      </w:r>
    </w:p>
    <w:p w:rsidR="00A31137" w:rsidRPr="00A31137" w:rsidRDefault="00A31137" w:rsidP="00A31137">
      <w:r w:rsidRPr="00A31137">
        <w:t>The potency of religious speech is not a constitutional infirmity; the most fervently devotional and blatantly sectarian speech is protected when it is private speech in a public forum. Zealots have First Amendment rights too.</w:t>
      </w:r>
    </w:p>
    <w:p w:rsidR="00A31137" w:rsidRPr="00A31137" w:rsidRDefault="00A31137" w:rsidP="00A31137">
      <w:r w:rsidRPr="00A31137">
        <w:t>1995, Capitol Square Review &amp; Advisory Bd. v. Pinette, No. 94-780</w:t>
      </w:r>
    </w:p>
    <w:p w:rsidR="00A31137" w:rsidRPr="00A31137" w:rsidRDefault="00A31137" w:rsidP="00A31137">
      <w:r w:rsidRPr="00A31137">
        <w:t>30 F.3d 675, 680 (CA6 1994). The court was obviously addressing zealous (and unpopular) religious speech.</w:t>
      </w:r>
    </w:p>
    <w:p w:rsidR="00A31137" w:rsidRPr="00A31137" w:rsidRDefault="00A31137" w:rsidP="00A31137">
      <w:r w:rsidRPr="00A31137">
        <w:t>1995, Capitol Square Review &amp; Advisory Bd. v. Pinette, No. 94-780</w:t>
      </w:r>
    </w:p>
    <w:p w:rsidR="00A31137" w:rsidRPr="00A31137" w:rsidRDefault="00A31137" w:rsidP="00A31137">
      <w:r w:rsidRPr="00A31137">
        <w:t>2. This statement in JUSTICE O'CONNOR's Mergens concurrence is followed by the observation:</w:t>
      </w:r>
    </w:p>
    <w:p w:rsidR="00A31137" w:rsidRPr="00A31137" w:rsidRDefault="00A31137" w:rsidP="00A31137">
      <w:r w:rsidRPr="00A31137">
        <w:t>1995, Capitol Square Review &amp; Advisory Bd. v. Pinette, No. 94-780</w:t>
      </w:r>
    </w:p>
    <w:p w:rsidR="00A31137" w:rsidRPr="00A31137" w:rsidRDefault="00A31137" w:rsidP="00A31137">
      <w:r w:rsidRPr="00A31137">
        <w:t>We think that secondary school students are mature enough, and are likely to understand that a school does not endorse or support student speech that it merely permits on a nondiscriminatory basis.</w:t>
      </w:r>
    </w:p>
    <w:p w:rsidR="00A31137" w:rsidRPr="00A31137" w:rsidRDefault="00A31137" w:rsidP="00A31137">
      <w:r w:rsidRPr="00A31137">
        <w:t>1995, Capitol Square Review &amp; Advisory Bd. v. Pinette, No. 94-780</w:t>
      </w:r>
    </w:p>
    <w:p w:rsidR="00A31137" w:rsidRPr="00A31137" w:rsidRDefault="00A31137" w:rsidP="00A31137">
      <w:r w:rsidRPr="00A31137">
        <w:t>496 U.S. at  250. JUSTICE O'CONNOR today says this observation means that, even when we recognize private speech to be at issue, we must apply the endorsement test. Post, at ___. But that would cause the second sentence to contradict the first, saying in effect that the "difference between government speech…and private speech" is not "crucial."</w:t>
      </w:r>
    </w:p>
    <w:p w:rsidR="00A31137" w:rsidRPr="00A31137" w:rsidRDefault="00A31137" w:rsidP="00A31137">
      <w:r w:rsidRPr="00A31137">
        <w:t>1995, Capitol Square Review &amp; Advisory Bd. v. Pinette, No. 94-780</w:t>
      </w:r>
    </w:p>
    <w:p w:rsidR="00A31137" w:rsidRPr="00A31137" w:rsidRDefault="00A31137" w:rsidP="00A31137">
      <w:r w:rsidRPr="00A31137">
        <w:t>3. If it is true, as JUSTICE O'CONNOR suggests, post at ___, that she would not</w:t>
      </w:r>
    </w:p>
    <w:p w:rsidR="00A31137" w:rsidRPr="00A31137" w:rsidRDefault="00A31137" w:rsidP="00A31137">
      <w:r w:rsidRPr="00A31137">
        <w:t>1995, Capitol Square Review &amp; Advisory Bd. v. Pinette, No. 94-780</w:t>
      </w:r>
    </w:p>
    <w:p w:rsidR="00A31137" w:rsidRPr="00A31137" w:rsidRDefault="00A31137" w:rsidP="00A31137">
      <w:r w:rsidRPr="00A31137">
        <w:t>be likely to come to a different result from the plurality where truly private speech is allowed on equal terms in a public forum that the government has administered properly,</w:t>
      </w:r>
    </w:p>
    <w:p w:rsidR="00A31137" w:rsidRPr="00A31137" w:rsidRDefault="00A31137" w:rsidP="00A31137">
      <w:r w:rsidRPr="00A31137">
        <w:t>1995, Capitol Square Review &amp; Advisory Bd. v. Pinette, No. 94-780</w:t>
      </w:r>
    </w:p>
    <w:p w:rsidR="00A31137" w:rsidRPr="00A31137" w:rsidRDefault="00A31137" w:rsidP="00A31137">
      <w:r w:rsidRPr="00A31137">
        <w:t>then she is extending the "endorsement test" to private speech to cover an eventuality that is "not likely" to occur. Before doing that, it would seem desirable to explore the precise degree of the unlikelihood (is it perhaps 100%?)—for, as we point out in text, the extension to private speech has considerable costs. Contrary to what JUSTICE O'CONNOR, JUSTICE SOUTER, and JUSTICE STEVENS argue, the endorsement test does not supply an appropriate standard for the inquiry before us. It supplies no standard whatsoever. The lower federal courts that the concurrence identifies as having "applied the endorsement test in precisely the context before us today," post at ___, have reached precisely differing results—which is what led the Court to take this case. And if further proof of the invited chaos is required, one need only follow the debate between the concurrence and JUSTICE STEVENS' dissent as to whether the hypothetical beholder who will be the determinant of "endorsement" should be any beholder (no matter how unknowledgeable), or the average beholder, or (what JUSTICE STEVENS accuses the concurrence of favoring) the "ultra-reasonable" beholder. See post at ___ (O'CONNOR, J., concurring in judgment); post at ___ (STEVENS, J., dissenting). And, of course, even when one achieves agreement upon that question, it will be unrealistic to expect different judges (or should it be juries?) to reach consistent answers as to what any beholder, the average beholder, or the ultra-reasonable beholder (as the case may be) would think. It is irresponsible to make the Nation's legislators walk this minefield.</w:t>
      </w:r>
    </w:p>
    <w:p w:rsidR="00A31137" w:rsidRPr="00A31137" w:rsidRDefault="00A31137" w:rsidP="00A31137">
      <w:r w:rsidRPr="00A31137">
        <w:t>1995, Capitol Square Review &amp; Advisory Bd. v. Pinette, No. 94-780</w:t>
      </w:r>
    </w:p>
    <w:p w:rsidR="00A31137" w:rsidRPr="00A31137" w:rsidRDefault="00A31137" w:rsidP="00A31137">
      <w:r w:rsidRPr="00A31137">
        <w:t>4. For this reason, among others, we do not inquire into the adequacy of the identification which was attached to the cross ultimately erected in this case. The difficulties posed by such an inquiry, however, are yet another reason to reject the principle of "transferred endorsement." The only principled line for adequacy of identification would be identification that is legible at whatever distance the cross is visible. Otherwise, the uninformed viewer who does not have time or inclination to come closer to read the sign might be misled, just as (under current law) the uninformed viewer who does not have time or inclination to inquire whether speech in Capitol Square is publicly endorsed speech might be misled. Needless to say, such a rule would place considerable constraint upon religious speech, not to mention that it would be ridiculous. But if one rejects that criterion, courts would have to decide (on what basis we cannot imagine) how large an identifying sign is large enough. Our Religion Clause jurisprudence is complex enough without the addition of this highly litigable feature.</w:t>
      </w:r>
    </w:p>
    <w:p w:rsidR="00A31137" w:rsidRPr="00A31137" w:rsidRDefault="00A31137" w:rsidP="00A31137">
      <w:r w:rsidRPr="00A31137">
        <w:t>SOUTER, J., concurring (Footnotes)</w:t>
      </w:r>
    </w:p>
    <w:p w:rsidR="00A31137" w:rsidRPr="00A31137" w:rsidRDefault="00A31137" w:rsidP="00A31137">
      <w:r w:rsidRPr="00A31137">
        <w:t>1995, Capitol Square Review &amp; Advisory Bd. v. Pinette, No. 94-780</w:t>
      </w:r>
    </w:p>
    <w:p w:rsidR="00A31137" w:rsidRPr="00A31137" w:rsidRDefault="00A31137" w:rsidP="00A31137">
      <w:r w:rsidRPr="00A31137">
        <w:t>1. This description of the disclaimer, as well as the agreement to negotiate, also appeared in the Klan's District Court complaint, App. 26, and in stipulations of fact jointly filed in the District Court by both parties, id. at 100, ¶ 32. The Klan conceded before the District Court that "the state could have required…a disclaimer" like the one proposed, Memorandum in Support of Temporary Restraining Order and Preliminary Injunction in No. C2-93-1162 (SD Ohio), p. 5, and the State assumed throughout the litigation that the display would include the disclaimer, see, e.g., Memorandum of Defendants in Opposition to Plaintiffs' Motion for Temporary Restraining Order and for Preliminary Injunction in No. C2-93-1162 (SD Ohio), p. 6, 21. Both parties considered the disclaimer as an integral part of the display that the Klan desired to place on Capitol Square. Thus, the District Court's order, which did not expressly require the disclaimer in awarding the injunction, see Pet. for Cert. A26 ("Plaintiffs are entitled to an injunction requiring the defendants to issue a permit to erect a cross on Capitol Square"), cannot reasonably be read to mean that the disclaimer was unnecessary. Indeed, in both its findings of fact and conclusions of law, the District Court discussed the presence and importance of the disclaimer, see id. at A15-A16 (findings of fact), A20, A22-A23 (conclusions of law), and the Klan itself understood that the District Court's order was based on the assumption that a disclaimer would accompany the cross, since the cross the Klan put up on the basis of the District Court's command in fact carried a disclaimer, see App. 63 (photo); Appendix to Opinion of STEVENS, J., post at ___ [omitted]. Since the litigation preceded the appearance of the cross and the sign, the adequacy of the sign actually produced was not considered. The adequacy of a disclaimer, in size as well as content, is, of course, a proper subject of judicial scrutiny when placed in issue. Whether the flimsy cardboard sign attached by the Klan to the base of the cross functioned as an adequate disclaimer in this case is a question not before us.</w:t>
      </w:r>
    </w:p>
    <w:p w:rsidR="00A31137" w:rsidRPr="00A31137" w:rsidRDefault="00A31137" w:rsidP="00A31137">
      <w:r w:rsidRPr="00A31137">
        <w:t>1995, Capitol Square Review &amp; Advisory Bd. v. Pinette, No. 94-780</w:t>
      </w:r>
    </w:p>
    <w:p w:rsidR="00A31137" w:rsidRPr="00A31137" w:rsidRDefault="00A31137" w:rsidP="00A31137">
      <w:r w:rsidRPr="00A31137">
        <w:t>2. Of course the presence of a disclaimer does not always remove the possibility that a private religious display "convey[s] or attempt[s] to convey a message that religion or a particular religious belief is favored or preferred," Allegheny County, 492 U.S. at  593 (emphasis, internal quotation marks, and citation omitted), when other indicia of endorsement (e.g., objective indications that the government in fact invited the display or otherwise intended to further a religious purpose) outweigh the mitigating effect of the disclaimer, or when the disclaimer itself does not sufficiently disclaim government support. See, e.g., Stone v. Graham, 449 U.S. 39,  41 (1980); Allegheny County, supra, at 600-601; cf. ante at ___, n. 4. In this case, however, there is no reason to presume that an adequate disclaimer could not have been drafted. Cf. Parish, Private Religious Displays in Public Fora, 61 U.Chi.L.Rev. 253, 285-287 (1994).</w:t>
      </w:r>
    </w:p>
    <w:p w:rsidR="00A31137" w:rsidRPr="00A31137" w:rsidRDefault="00A31137" w:rsidP="00A31137">
      <w:r w:rsidRPr="00A31137">
        <w:t>STEVENS, J., dissenting (Footnotes)</w:t>
      </w:r>
    </w:p>
    <w:p w:rsidR="00A31137" w:rsidRPr="00A31137" w:rsidRDefault="00A31137" w:rsidP="00A31137">
      <w:r w:rsidRPr="00A31137">
        <w:t>1995, Capitol Square Review &amp; Advisory Bd. v. Pinette, No. 94-780</w:t>
      </w:r>
    </w:p>
    <w:p w:rsidR="00A31137" w:rsidRPr="00A31137" w:rsidRDefault="00A31137" w:rsidP="00A31137">
      <w:r w:rsidRPr="00A31137">
        <w:t>1. See Reynolds v. United States, 98 U.S. 145,  164 (1879).</w:t>
      </w:r>
    </w:p>
    <w:p w:rsidR="00A31137" w:rsidRPr="00A31137" w:rsidRDefault="00A31137" w:rsidP="00A31137">
      <w:r w:rsidRPr="00A31137">
        <w:t>1995, Capitol Square Review &amp; Advisory Bd. v. Pinette, No. 94-780</w:t>
      </w:r>
    </w:p>
    <w:p w:rsidR="00A31137" w:rsidRPr="00A31137" w:rsidRDefault="00A31137" w:rsidP="00A31137">
      <w:r w:rsidRPr="00A31137">
        <w:t>2. The "Grand Titan" apparently was referring to a menorah that a private group placed in the Square during the season of Chanukah. App. 98; see infra at ___. The Klan found the menorah offensive. The Klan's cross, in turn, offended a number of observers. It was vandalized the day after it was erected, and a local church group applied for, and was granted, permission to display its own crosses around the Klan's to protest the latter's presence. See Record 31.</w:t>
      </w:r>
    </w:p>
    <w:p w:rsidR="00A31137" w:rsidRPr="00A31137" w:rsidRDefault="00A31137" w:rsidP="00A31137">
      <w:r w:rsidRPr="00A31137">
        <w:t>1995, Capitol Square Review &amp; Advisory Bd. v. Pinette, No. 94-780</w:t>
      </w:r>
    </w:p>
    <w:p w:rsidR="00A31137" w:rsidRPr="00A31137" w:rsidRDefault="00A31137" w:rsidP="00A31137">
      <w:r w:rsidRPr="00A31137">
        <w:t>3. Indeed, the Latin cross is identifiable as a symbol of a particular religion, that of Christianity, and, further, as a symbol of particular denominations within Christianity. See American Civil Liberties Union v. St. Charles, 794 F.2d 265, 271 (CA7 1986) ("Such a display is not only religious, but also sectarian. This is not just because some religious Americans are not Christians. Some Protestant sects still do not display the cross….   The Greek Orthodox church uses as its symbol the Greek (equilateral) cross, not the Latin cross…. [T]he more sectarian the display, the closer it is to the original targets of the [establishment] clause, so the more strictly is the clause applied").</w:t>
      </w:r>
    </w:p>
    <w:p w:rsidR="00A31137" w:rsidRPr="00A31137" w:rsidRDefault="00A31137" w:rsidP="00A31137">
      <w:r w:rsidRPr="00A31137">
        <w:t>1995, Capitol Square Review &amp; Advisory Bd. v. Pinette, No. 94-780</w:t>
      </w:r>
    </w:p>
    <w:p w:rsidR="00A31137" w:rsidRPr="00A31137" w:rsidRDefault="00A31137" w:rsidP="00A31137">
      <w:r w:rsidRPr="00A31137">
        <w:t>4. In Allegheny, five Justices found the likely reaction of a "'reasonable observer'" relevant for purposes of determining whether an endorsement was present. 492 U.S. at  620 (opinion of Blackmun, J.); id. at 635-636 (opinion of O'CONNOR, J.); id. at 642-643 (opinion of Brennan, J., joined by Marshall and STEVENS, JJ.).</w:t>
      </w:r>
    </w:p>
    <w:p w:rsidR="00A31137" w:rsidRPr="00A31137" w:rsidRDefault="00A31137" w:rsidP="00A31137">
      <w:r w:rsidRPr="00A31137">
        <w:t>1995, Capitol Square Review &amp; Advisory Bd. v. Pinette, No. 94-780</w:t>
      </w:r>
    </w:p>
    <w:p w:rsidR="00A31137" w:rsidRPr="00A31137" w:rsidRDefault="00A31137" w:rsidP="00A31137">
      <w:r w:rsidRPr="00A31137">
        <w:t>5. JUSTICE O'CONNOR agrees that an "endorsement test" is appropriate and that we should judge endorsement from the standpoint of a reasonable observer. Ante at ___. But her reasonable observer is a legal fiction, "'a personification of a community ideal of reasonable behavior, determined by the [collective] social judgment.'" Ante at ___. The ideal human JUSTICE O'CONNOR describes knows and understands much more than meets the eye. Her "reasonable person" comes off as a well-schooled jurist, a being finer than the tort law model. With respect, I think this enhanced tort law standard is singularly out of place in the Establishment Clause context. It strips of constitutional protection every reasonable person whose knowledge happens to fall below some "'ideal'" standard. Instead of protecting only the "'ideal'" observer, then, I would extend protection to the universe of reasonable persons and ask whether some viewers of the religious display would be likely to perceive a government endorsement. JUSTICE O'CONNOR's argument that "there is always someone" who will feel excluded by any particular governmental action, ante at ___, ignores the requirement that such an apprehension be objectively reasonable. A person who views an exotic cow at the zoo as a symbol of the Government's approval of the Hindu religion cannot survive this test.</w:t>
      </w:r>
    </w:p>
    <w:p w:rsidR="00A31137" w:rsidRPr="00A31137" w:rsidRDefault="00A31137" w:rsidP="00A31137">
      <w:r w:rsidRPr="00A31137">
        <w:t>1995, Capitol Square Review &amp; Advisory Bd. v. Pinette, No. 94-780</w:t>
      </w:r>
    </w:p>
    <w:p w:rsidR="00A31137" w:rsidRPr="00A31137" w:rsidRDefault="00A31137" w:rsidP="00A31137">
      <w:r w:rsidRPr="00A31137">
        <w:t>6. I recognize there may be exceptions to this general rule. A commercial message displayed on a billboard, for example, usually will not be taken to represent the views of the billboard's owner because every reasonable observer is aware that billboards are rented as advertising space. On the other hand, the observer may reasonably infer that the owner of the billboard is not inalterably opposed to the message presented thereon; for the owner has the right to exclude messages with which he disagrees, and he might be expected to exercise that right if his disagreement is sufficiently profound.</w:t>
      </w:r>
    </w:p>
    <w:p w:rsidR="00A31137" w:rsidRPr="00A31137" w:rsidRDefault="00A31137" w:rsidP="00A31137">
      <w:r w:rsidRPr="00A31137">
        <w:t>1995, Capitol Square Review &amp; Advisory Bd. v. Pinette, No. 94-780</w:t>
      </w:r>
    </w:p>
    <w:p w:rsidR="00A31137" w:rsidRPr="00A31137" w:rsidRDefault="00A31137" w:rsidP="00A31137">
      <w:r w:rsidRPr="00A31137">
        <w:t>7. Despite the absence of any holding on this point, JUSTICE O'CONNOR assumes that a reasonable observer would not impute the content of an unattended display to the Government because that observer would know that the State is required to allow all such displays on Capitol Square. Ante at ___. JUSTICE O'CONNOR thus presumes a reasonable observer so prescient as to understand legal doctrines that this Court has not yet adopted.</w:t>
      </w:r>
    </w:p>
    <w:p w:rsidR="00A31137" w:rsidRPr="00A31137" w:rsidRDefault="00A31137" w:rsidP="00A31137">
      <w:r w:rsidRPr="00A31137">
        <w:t>1995, Capitol Square Review &amp; Advisory Bd. v. Pinette, No. 94-780</w:t>
      </w:r>
    </w:p>
    <w:p w:rsidR="00A31137" w:rsidRPr="00A31137" w:rsidRDefault="00A31137" w:rsidP="00A31137">
      <w:r w:rsidRPr="00A31137">
        <w:t>8.</w:t>
      </w:r>
    </w:p>
    <w:p w:rsidR="00A31137" w:rsidRPr="00A31137" w:rsidRDefault="00A31137" w:rsidP="00A31137">
      <w:r w:rsidRPr="00A31137">
        <w:t>1995, Capitol Square Review &amp; Advisory Bd. v. Pinette, No. 94-780</w:t>
      </w:r>
    </w:p>
    <w:p w:rsidR="00A31137" w:rsidRPr="00A31137" w:rsidRDefault="00A31137" w:rsidP="00A31137">
      <w:r w:rsidRPr="00A31137">
        <w:t>Our prior decisions have voiced particular concern with laws that foreclose an entire medium of expression. Thus, we have held invalid ordinances that completely banned the distribution of pamphlets within the municipality, Lovell v. Griffin, 303 U.S. 444, 451-452 (1938); handbills on the public streets, Jamison v. Texas, 318 U.S. 413,  416 (1943); the door-to-door distribution of literature, Martin v. Struthers, 319 U.S. 141, 145-149 (1943); Schneider v. State, 308 U.S. 147, 164-165 (1939), and live entertainment, Schad v. Mount Ephraim, 452 U.S. 61, 75-76 (1981). See also Frisby v. Schultz, 487 U.S. 474,  486 (1988) (picketing focused upon individual residence is "fundamentally different from more generally directed means of communication that may not be completely banned in residential areas"). Although prohibitions foreclosing entire media may be completely free of content or viewpoint discrimination, the danger they pose to the freedom of speech is readily apparent—by eliminating a common means of speaking, such measures can suppress too much speech.</w:t>
      </w:r>
    </w:p>
    <w:p w:rsidR="00A31137" w:rsidRPr="00A31137" w:rsidRDefault="00A31137" w:rsidP="00A31137">
      <w:r w:rsidRPr="00A31137">
        <w:t>1995, Capitol Square Review &amp; Advisory Bd. v. Pinette, No. 94-780</w:t>
      </w:r>
    </w:p>
    <w:p w:rsidR="00A31137" w:rsidRPr="00A31137" w:rsidRDefault="00A31137" w:rsidP="00A31137">
      <w:r w:rsidRPr="00A31137">
        <w:t>City of Ladue v. Gilleo, 512 U.S. ___, ___ (1994) (footnote omitted).</w:t>
      </w:r>
    </w:p>
    <w:p w:rsidR="00A31137" w:rsidRPr="00A31137" w:rsidRDefault="00A31137" w:rsidP="00A31137">
      <w:r w:rsidRPr="00A31137">
        <w:t>1995, Capitol Square Review &amp; Advisory Bd. v. Pinette, No. 94-780</w:t>
      </w:r>
    </w:p>
    <w:p w:rsidR="00A31137" w:rsidRPr="00A31137" w:rsidRDefault="00A31137" w:rsidP="00A31137">
      <w:r w:rsidRPr="00A31137">
        <w:t>9. In Vincent, we stated:</w:t>
      </w:r>
    </w:p>
    <w:p w:rsidR="00A31137" w:rsidRPr="00A31137" w:rsidRDefault="00A31137" w:rsidP="00A31137">
      <w:r w:rsidRPr="00A31137">
        <w:t>1995, Capitol Square Review &amp; Advisory Bd. v. Pinette, No. 94-780</w:t>
      </w:r>
    </w:p>
    <w:p w:rsidR="00A31137" w:rsidRPr="00A31137" w:rsidRDefault="00A31137" w:rsidP="00A31137">
      <w:r w:rsidRPr="00A31137">
        <w:t>Appellees' reliance on the public forum doctrine is misplaced. They fail to demonstrate the existence of a traditional right of access respecting such items as utility poles for purposes of their communication comparable to that recognized for public streets and parks, and it is clear that "the First Amendment does not guarantee access to government property simply because it is owned or controlled by the government." United States Postal Service v. Greenburgh Civic Assns., 453 U.S. 114, 129 (1981). Rather, the "existence of a right of access to public property and the standard by which limitations upon such a right must be evaluated differ depending on the character of the property at issue." Perry Education Assn. v. Perry Local Educators' Assn., 460 U.S. 37,  44 (1983).</w:t>
      </w:r>
    </w:p>
    <w:p w:rsidR="00A31137" w:rsidRPr="00A31137" w:rsidRDefault="00A31137" w:rsidP="00A31137">
      <w:r w:rsidRPr="00A31137">
        <w:t>1995, Capitol Square Review &amp; Advisory Bd. v. Pinette, No. 94-780</w:t>
      </w:r>
    </w:p>
    <w:p w:rsidR="00A31137" w:rsidRPr="00A31137" w:rsidRDefault="00A31137" w:rsidP="00A31137">
      <w:r w:rsidRPr="00A31137">
        <w:t>466 U.S. at 814.</w:t>
      </w:r>
    </w:p>
    <w:p w:rsidR="00A31137" w:rsidRPr="00A31137" w:rsidRDefault="00A31137" w:rsidP="00A31137">
      <w:r w:rsidRPr="00A31137">
        <w:t>1995, Capitol Square Review &amp; Advisory Bd. v. Pinette, No. 94-780</w:t>
      </w:r>
    </w:p>
    <w:p w:rsidR="00A31137" w:rsidRPr="00A31137" w:rsidRDefault="00A31137" w:rsidP="00A31137">
      <w:r w:rsidRPr="00A31137">
        <w:t>10. At least, it does not exist as a general matter. I recognize there may be cases of viewpoint discrimination (say, if the State were to allow campaign signs supporting an incumbent governor but not signs supporting his opponent) in which access cannot be discriminatorily denied.</w:t>
      </w:r>
    </w:p>
    <w:p w:rsidR="00A31137" w:rsidRPr="00A31137" w:rsidRDefault="00A31137" w:rsidP="00A31137">
      <w:r w:rsidRPr="00A31137">
        <w:t>1995, Capitol Square Review &amp; Advisory Bd. v. Pinette, No. 94-780</w:t>
      </w:r>
    </w:p>
    <w:p w:rsidR="00A31137" w:rsidRPr="00A31137" w:rsidRDefault="00A31137" w:rsidP="00A31137">
      <w:r w:rsidRPr="00A31137">
        <w:t>11. The plurality incorrectly assumes that a decision to exclude a category of speech from an inappropriate forum must rest on a judgment about the value of that speech. See ante at ___. Yet, we have upheld the exclusion of all political signs from public vehicles, Lehman v. City of Shaker Heights, 418 U.S. 298 (1974), though political expression is at the heart of the protection afforded by the First Amendment. McIntyre, 514 U.S. at ___. A view that "private prayers," ante at ___, are most appropriate in private settings is neither novel nor disrespectful to religious speech.</w:t>
      </w:r>
    </w:p>
    <w:p w:rsidR="00A31137" w:rsidRPr="00A31137" w:rsidRDefault="00A31137" w:rsidP="00A31137">
      <w:r w:rsidRPr="00A31137">
        <w:t>1995, Capitol Square Review &amp; Advisory Bd. v. Pinette, No. 94-780</w:t>
      </w:r>
    </w:p>
    <w:p w:rsidR="00A31137" w:rsidRPr="00A31137" w:rsidRDefault="00A31137" w:rsidP="00A31137">
      <w:r w:rsidRPr="00A31137">
        <w:t>12. Several scholars have commented on the malleability of our public forum precedents.</w:t>
      </w:r>
    </w:p>
    <w:p w:rsidR="00A31137" w:rsidRPr="00A31137" w:rsidRDefault="00A31137" w:rsidP="00A31137">
      <w:r w:rsidRPr="00A31137">
        <w:t>1995, Capitol Square Review &amp; Advisory Bd. v. Pinette, No. 94-780</w:t>
      </w:r>
    </w:p>
    <w:p w:rsidR="00A31137" w:rsidRPr="00A31137" w:rsidRDefault="00A31137" w:rsidP="00A31137">
      <w:r w:rsidRPr="00A31137">
        <w:t>As [an] overview of the cases strongly suggests, whether or not a given place is deemed a "public forum" is ordinarily less significant than the nature of the speech restriction—despite the Court's rhetoric. Indeed, even the rhetoric at times reveals as much.</w:t>
      </w:r>
    </w:p>
    <w:p w:rsidR="00A31137" w:rsidRPr="00A31137" w:rsidRDefault="00A31137" w:rsidP="00A31137">
      <w:r w:rsidRPr="00A31137">
        <w:t>*    *    *    *</w:t>
      </w:r>
    </w:p>
    <w:p w:rsidR="00A31137" w:rsidRPr="00A31137" w:rsidRDefault="00A31137" w:rsidP="00A31137">
      <w:r w:rsidRPr="00A31137">
        <w:t>1995, Capitol Square Review &amp; Advisory Bd. v. Pinette, No. 94-780</w:t>
      </w:r>
    </w:p>
    <w:p w:rsidR="00A31137" w:rsidRPr="00A31137" w:rsidRDefault="00A31137" w:rsidP="00A31137">
      <w:r w:rsidRPr="00A31137">
        <w:t>Beyond confusing the issues, an excessive focus on the public character of some forums, coupled with inadequate attention to the precise details of the restrictions on expression, can leave speech inadequately protected in some cases, while unduly hampering state and local authorities in others.</w:t>
      </w:r>
    </w:p>
    <w:p w:rsidR="00A31137" w:rsidRPr="00A31137" w:rsidRDefault="00A31137" w:rsidP="00A31137">
      <w:r w:rsidRPr="00A31137">
        <w:t>1995, Capitol Square Review &amp; Advisory Bd. v. Pinette, No. 94-780</w:t>
      </w:r>
    </w:p>
    <w:p w:rsidR="00A31137" w:rsidRPr="00A31137" w:rsidRDefault="00A31137" w:rsidP="00A31137">
      <w:r w:rsidRPr="00A31137">
        <w:t>L. Tribe, American Constitutional Law 992-993 (2d ed. 1988) (footnotes omitted). See also Farber &amp; Nowak, The Misleading Nature of Public Forum Analysis: Content and Context in First Amendment Adjudication, 70 Va.L.Rev. 1219, 1221-1222 (1984).</w:t>
      </w:r>
    </w:p>
    <w:p w:rsidR="00A31137" w:rsidRPr="00A31137" w:rsidRDefault="00A31137" w:rsidP="00A31137">
      <w:r w:rsidRPr="00A31137">
        <w:t>1995, Capitol Square Review &amp; Advisory Bd. v. Pinette, No. 94-780</w:t>
      </w:r>
    </w:p>
    <w:p w:rsidR="00A31137" w:rsidRPr="00A31137" w:rsidRDefault="00A31137" w:rsidP="00A31137">
      <w:r w:rsidRPr="00A31137">
        <w:t>13. Indeed, I do not think any disclaimer could dispel the message of endorsement in this case. Capitol Square's location in downtown Columbus, Ohio, makes it inevitable that countless motorists and pedestrians would immediately perceive the proximity of the cross to the Capitol without necessarily noticing any disclaimer of public sponsorship. The plurality thus correctly abjures inquiry into the possible adequacy or significance of a legend identifying the owner of the cross. See ante at ___, n. 4. JUSTICE SOUTER is of the view that an adequate disclaimer is constitutionally required, ante at ___, but he does not suggest that the attachment to the Klan's cross in this case was adequate.</w:t>
      </w:r>
    </w:p>
    <w:p w:rsidR="00A31137" w:rsidRPr="00A31137" w:rsidRDefault="00A31137" w:rsidP="00A31137">
      <w:r w:rsidRPr="00A31137">
        <w:t>1995, Capitol Square Review &amp; Advisory Bd. v. Pinette, No. 94-780</w:t>
      </w:r>
    </w:p>
    <w:p w:rsidR="00A31137" w:rsidRPr="00A31137" w:rsidRDefault="00A31137" w:rsidP="00A31137">
      <w:r w:rsidRPr="00A31137">
        <w:t>14. JUSTICE O'CONNOR apparently would not extend Establishment Clause protection to passers by who are unaware of Capitol Square's history. See ante at ___. Thus, she sees no reason to distinguish an intimate knowledge of the Square's history from the knowledge that a cross is a religious symbol or that the Statehouse is the Statehouse. Ante at ___. But passers by, including schoolchildren, traveling salesmen, and tourists as much as those who live next to the Statehouse, are members of the body politic, and they are equally entitled to be free from government endorsement of religion.</w:t>
      </w:r>
    </w:p>
    <w:p w:rsidR="00A31137" w:rsidRPr="00A31137" w:rsidRDefault="00A31137" w:rsidP="00A31137">
      <w:r w:rsidRPr="00A31137">
        <w:t>1995, Capitol Square Review &amp; Advisory Bd. v. Pinette, No. 94-780</w:t>
      </w:r>
    </w:p>
    <w:p w:rsidR="00A31137" w:rsidRPr="00A31137" w:rsidRDefault="00A31137" w:rsidP="00A31137">
      <w:r w:rsidRPr="00A31137">
        <w:t>15. A fragmented Court reached a different conclusion in County of Allegheny v. American Civil Liberties Union, Greater Pittsburgh Chapter, 492 U.S. 573 (1989). In that case, a majority of this Court decided that a creche placed by a private group inside a public building violated the Establishment Clause, id. at 598-602, but that a menorah placed alongside a Christmas tree and a "sign saluting liberty" outside that same building did not. Id. at 613-621 (opinion of Blackmun, J.); id. at 632-637 (opinion of O'CONNOR, J.); id. at 663-667 (opinion of KENNEDY, J., joined by REHNQUIST, C.J., White and SCALIA, JJ.). The two Justices who provided the decisive votes to distinguish these situations relied on the presence of the tree and the sign to find that the menorah, in context, was not a religious, but a secular, symbol of liberty. Id. at 613-621 (opinion of Blackmun, J.); id. at 632-637 (opinion of O'CONNOR, J.). It was apparently in reliance on the outcome of the Allegheny case that Ohio believed it could provide a forum for the menorah (which appeared in Capitol Square with a state-owned Christmas tree and a banner reading, "Season's Greetings"), and yet could not provide one for the cross. See App. 169. Given the state of the law at the time, Ohio's decision was hardly unreasonable; but I cannot support a view of the Establishment Clause that permits a State effectively to endorse some kinds of religious symbols, but not others. I would find that the State is powerless to place, or allow to be placed, any religious symbol—including a menorah or a cross—in front of its seat of government.</w:t>
      </w:r>
    </w:p>
    <w:p w:rsidR="00A31137" w:rsidRPr="00A31137" w:rsidRDefault="00A31137" w:rsidP="00A31137">
      <w:r w:rsidRPr="00A31137">
        <w:t>1995, Capitol Square Review &amp; Advisory Bd. v. Pinette, No. 94-780</w:t>
      </w:r>
    </w:p>
    <w:p w:rsidR="00A31137" w:rsidRPr="00A31137" w:rsidRDefault="00A31137" w:rsidP="00A31137">
      <w:r w:rsidRPr="00A31137">
        <w:t>16. See Allegheny, 492 U.S. at 647-649 (STEVENS, J., dissenting).</w:t>
      </w:r>
    </w:p>
    <w:p w:rsidR="00A31137" w:rsidRPr="00A31137" w:rsidRDefault="00A31137" w:rsidP="00A31137">
      <w:r w:rsidRPr="00A31137">
        <w:t>1995, Capitol Square Review &amp; Advisory Bd. v. Pinette, No. 94-780</w:t>
      </w:r>
    </w:p>
    <w:p w:rsidR="00A31137" w:rsidRPr="00A31137" w:rsidRDefault="00A31137" w:rsidP="00A31137">
      <w:r w:rsidRPr="00A31137">
        <w:t>17. The booths were attended during the festival itself, but were left standing overnight during the pendency of the event. App. 159.</w:t>
      </w:r>
    </w:p>
    <w:p w:rsidR="00A31137" w:rsidRPr="00A31137" w:rsidRDefault="00A31137" w:rsidP="00A31137">
      <w:r w:rsidRPr="00A31137">
        <w:t>1995, Capitol Square Review &amp; Advisory Bd. v. Pinette, No. 94-780</w:t>
      </w:r>
    </w:p>
    <w:p w:rsidR="00A31137" w:rsidRPr="00A31137" w:rsidRDefault="00A31137" w:rsidP="00A31137">
      <w:r w:rsidRPr="00A31137">
        <w:t>18. Of course, neither of these endorsements was religious in nature, and thus neither was forbidden by the Constitution.</w:t>
      </w:r>
    </w:p>
    <w:p w:rsidR="00A31137" w:rsidRPr="00A31137" w:rsidRDefault="00A31137" w:rsidP="00A31137">
      <w:r w:rsidRPr="00A31137">
        <w:t>1995, Capitol Square Review &amp; Advisory Bd. v. Pinette, No. 94-780</w:t>
      </w:r>
    </w:p>
    <w:p w:rsidR="00A31137" w:rsidRPr="00A31137" w:rsidRDefault="00A31137" w:rsidP="00A31137">
      <w:r w:rsidRPr="00A31137">
        <w:t>19. As I stated in Allegheny,</w:t>
      </w:r>
    </w:p>
    <w:p w:rsidR="00A31137" w:rsidRPr="00A31137" w:rsidRDefault="00A31137" w:rsidP="00A31137">
      <w:r w:rsidRPr="00A31137">
        <w:t>1995, Capitol Square Review &amp; Advisory Bd. v. Pinette, No. 94-780</w:t>
      </w:r>
    </w:p>
    <w:p w:rsidR="00A31137" w:rsidRPr="00A31137" w:rsidRDefault="00A31137" w:rsidP="00A31137">
      <w:r w:rsidRPr="00A31137">
        <w:t>There is always a risk that such symbols will offend nonmembers of the faith being advertised, as well as adherents who consider the particular advertisement disrespectful. Some devout Christians believe that the creche should be placed only in reverential settings, such as a church or perhaps a private home; they do not countenance its use as an aid to commercialization of Christ's birthday. In this very suit, members of the Jewish faith firmly opposed the use to which the menorah was put by the particular sect that sponsored the display at Pittsburgh's City-County Building. Even though "[p]assers-by who disagree with the message conveyed by these displays are free to ignore them, or even to turn their backs," displays of this kind inevitably have a greater tendency to emphasize sincere and deeply felt differences among individuals than to achieve an ecumenical goal. The Establishment Clause does not allow public bodies to foment such disagreement.</w:t>
      </w:r>
    </w:p>
    <w:p w:rsidR="00A31137" w:rsidRPr="00A31137" w:rsidRDefault="00A31137" w:rsidP="00A31137">
      <w:r w:rsidRPr="00A31137">
        <w:t>1995, Capitol Square Review &amp; Advisory Bd. v. Pinette, No. 94-780</w:t>
      </w:r>
    </w:p>
    <w:p w:rsidR="00A31137" w:rsidRPr="00A31137" w:rsidRDefault="00A31137" w:rsidP="00A31137">
      <w:r w:rsidRPr="00A31137">
        <w:t>492 U.S. at 650-651 (opinion concurring in part and dissenting in part) (citations omitted), quoting id. at  664 (KENNEDY, J., concurring in judgment in part and dissenting in part). In the words of Clarence Darrow:</w:t>
      </w:r>
    </w:p>
    <w:p w:rsidR="00A31137" w:rsidRPr="00A31137" w:rsidRDefault="00A31137" w:rsidP="00A31137">
      <w:r w:rsidRPr="00A31137">
        <w:t>1995, Capitol Square Review &amp; Advisory Bd. v. Pinette, No. 94-780</w:t>
      </w:r>
    </w:p>
    <w:p w:rsidR="00A31137" w:rsidRPr="00A31137" w:rsidRDefault="00A31137" w:rsidP="00A31137">
      <w:r w:rsidRPr="00A31137">
        <w:t>"The realm of religion…is where knowledge leaves off, and where faith begins, and it never has needed the arm of the State for support, and wherever it has received it, it has harmed both the public and the religion that it would pretend to serve."</w:t>
      </w:r>
    </w:p>
    <w:p w:rsidR="00A31137" w:rsidRPr="00A31137" w:rsidRDefault="00A31137" w:rsidP="00A31137">
      <w:r w:rsidRPr="00A31137">
        <w:t>1995, Capitol Square Review &amp; Advisory Bd. v. Pinette, No. 94-780</w:t>
      </w:r>
    </w:p>
    <w:p w:rsidR="00A31137" w:rsidRPr="00A31137" w:rsidRDefault="00A31137" w:rsidP="00A31137">
      <w:r w:rsidRPr="00A31137">
        <w:t>Tr. of Oral Arg. 7, Scopes v. State, 154 Tenn. 105, 289 S.W. 363 (1927), quoted in Wolman v. Walter, 433 U.S. 229, 264 (1977) (opinion of STEVENS, J.).</w:t>
      </w:r>
    </w:p>
    <w:p w:rsidR="00A31137" w:rsidRPr="00A31137" w:rsidRDefault="00A31137" w:rsidP="00A31137">
      <w:r w:rsidRPr="00A31137">
        <w:t>1995, Capitol Square Review &amp; Advisory Bd. v. Pinette, No. 94-780</w:t>
      </w:r>
    </w:p>
    <w:p w:rsidR="00A31137" w:rsidRPr="00A31137" w:rsidRDefault="00A31137" w:rsidP="00A31137">
      <w:r w:rsidRPr="00A31137">
        <w:t>20. Everson held that a school district could, as part of a larger program of reimbursing students for their transportation to and from school, also reimburse students attending Catholic schools. 330 U.S. 1 (1947).</w:t>
      </w:r>
    </w:p>
    <w:p w:rsidR="00A31137" w:rsidRPr="00A31137" w:rsidRDefault="00A31137" w:rsidP="00A31137">
      <w:r w:rsidRPr="00A31137">
        <w:t>1995, Capitol Square Review &amp; Advisory Bd. v. Pinette, No. 94-780</w:t>
      </w:r>
    </w:p>
    <w:p w:rsidR="00A31137" w:rsidRPr="00A31137" w:rsidRDefault="00A31137" w:rsidP="00A31137">
      <w:r w:rsidRPr="00A31137">
        <w:t>21. The words, "respecting an establishment of religion," were selected to emphasize the breadth and richer meaning of this fundamental command. See Allegheny, 492 U.S. at 647-649 (STEVENS, J., dissenting).</w:t>
      </w:r>
    </w:p>
    <w:p w:rsidR="00A31137" w:rsidRPr="00A31137" w:rsidRDefault="00A31137" w:rsidP="00A31137">
      <w:r w:rsidRPr="00A31137">
        <w:t>GINSBURG, J., dissenting (Footnotes)</w:t>
      </w:r>
    </w:p>
    <w:p w:rsidR="00A31137" w:rsidRPr="00A31137" w:rsidRDefault="00A31137" w:rsidP="00A31137">
      <w:r w:rsidRPr="00A31137">
        <w:t>1995, Capitol Square Review &amp; Advisory Bd. v. Pinette, No. 94-780</w:t>
      </w:r>
    </w:p>
    <w:p w:rsidR="00A31137" w:rsidRPr="00A31137" w:rsidRDefault="00A31137" w:rsidP="00A31137">
      <w:r w:rsidRPr="00A31137">
        <w:t>1. Cf. American Civil Liberties Union v. Wilkinson, 895 F.2d 1098, 1101, n. 2, 1106 (CA6 1990) (approving disclaimer ordered by District Court, which had to be "'prominently displayed immediately in front of'" the religious symbol and "'readable from an automobile passing on the street directly in front of the structure'"; the approved sign read: "'This display was not constructed with public funds and does not constitute an endorsement by the Commonwealth [of Kentucky] of any religion or religious doctrine.'") (quoting District Court); McCreary v. Stone, 739 F.2d 716, 728 (CA2 1984) (disclaimers must meet requirements of size, visibility, and message; disclaimer at issue was too small), aff'd, 471 U.S. 83 (1985) (per curiam); Parish, Private Religious Displays in Public Fora, 61 U.Chi.L.Rev. 253, 285-286 (1994) (disclaimer must not only identify the sponsor, it must say "in no uncertain language" that the government's permit "in no way connotes [government] endorsement of the display's message"; the "disclaimer's adequacy should be measured by its visibility to the average person viewing the religious display").</w:t>
      </w:r>
    </w:p>
    <w:p w:rsidR="00A31137" w:rsidRPr="00A31137" w:rsidRDefault="00A31137" w:rsidP="00A31137">
      <w:r w:rsidRPr="00A31137">
        <w:t>1995, Capitol Square Review &amp; Advisory Bd. v. Pinette, No. 94-780</w:t>
      </w:r>
    </w:p>
    <w:p w:rsidR="00A31137" w:rsidRPr="00A31137" w:rsidRDefault="00A31137" w:rsidP="00A31137">
      <w:r w:rsidRPr="00A31137">
        <w:t>2. The disclaimer stated:</w:t>
      </w:r>
    </w:p>
    <w:p w:rsidR="00A31137" w:rsidRPr="00A31137" w:rsidRDefault="00A31137" w:rsidP="00A31137">
      <w:r w:rsidRPr="00A31137">
        <w:t>1995, Capitol Square Review &amp; Advisory Bd. v. Pinette, No. 94-780</w:t>
      </w:r>
    </w:p>
    <w:p w:rsidR="00A31137" w:rsidRPr="00A31137" w:rsidRDefault="00A31137" w:rsidP="00A31137">
      <w:r w:rsidRPr="00A31137">
        <w:t>[T]his cross was erected by private individuals without government support for the purpose of expressing respect for the holiday season and to assert the right of all religious views to be expressed on an equal basis on public property.</w:t>
      </w:r>
    </w:p>
    <w:p w:rsidR="00A31137" w:rsidRPr="00A31137" w:rsidRDefault="00A31137" w:rsidP="00A31137">
      <w:r w:rsidRPr="00A31137">
        <w:t>1995, Capitol Square Review &amp; Advisory Bd. v. Pinette, No. 94-780</w:t>
      </w:r>
    </w:p>
    <w:p w:rsidR="00A31137" w:rsidRPr="00A31137" w:rsidRDefault="00A31137" w:rsidP="00A31137">
      <w:r w:rsidRPr="00A31137">
        <w:t>See App. to Pet. for Cert. A15-A16.</w:t>
      </w:r>
    </w:p>
    <w:p w:rsidR="00A31137" w:rsidRPr="00A31137" w:rsidRDefault="00A31137" w:rsidP="00A31137">
      <w:r w:rsidRPr="00A31137">
        <w:t>Clinton's Remarks on the Death of Prime Minister Rabin, November 4, 1995</w:t>
      </w:r>
    </w:p>
    <w:p w:rsidR="00A31137" w:rsidRPr="00A31137" w:rsidRDefault="00A31137" w:rsidP="00A31137">
      <w:r w:rsidRPr="00A31137">
        <w:t>Title:</w:t>
      </w:r>
      <w:r w:rsidRPr="00A31137">
        <w:tab/>
        <w:t>Clinton's Remarks on the Death of Prime Minister Rabin</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November 4, 1995</w:t>
      </w:r>
    </w:p>
    <w:p w:rsidR="00A31137" w:rsidRPr="00A31137" w:rsidRDefault="00A31137" w:rsidP="00A31137">
      <w:r w:rsidRPr="00A31137">
        <w:t>Source:</w:t>
      </w:r>
      <w:r w:rsidRPr="00A31137">
        <w:tab/>
        <w:t>Weekly Compilation of Presidential Documents, 1995, pp.1986-1987</w:t>
      </w:r>
    </w:p>
    <w:p w:rsidR="00A31137" w:rsidRPr="00A31137" w:rsidRDefault="00A31137" w:rsidP="00A31137">
      <w:r w:rsidRPr="00A31137">
        <w:t>Clinton, Death of Rabin, Nov. 4, 1995, p.1986</w:t>
      </w:r>
    </w:p>
    <w:p w:rsidR="00A31137" w:rsidRPr="00A31137" w:rsidRDefault="00A31137" w:rsidP="00A31137">
      <w:r w:rsidRPr="00A31137">
        <w:t>The world has lost one of its greatest men, a warrior for his nation's freedom and now a martyr for his nation's peace.</w:t>
      </w:r>
    </w:p>
    <w:p w:rsidR="00A31137" w:rsidRPr="00A31137" w:rsidRDefault="00A31137" w:rsidP="00A31137">
      <w:r w:rsidRPr="00A31137">
        <w:t>Clinton, Death of Rabin, Nov. 4, 1995, p.1986</w:t>
      </w:r>
    </w:p>
    <w:p w:rsidR="00A31137" w:rsidRPr="00A31137" w:rsidRDefault="00A31137" w:rsidP="00A31137">
      <w:r w:rsidRPr="00A31137">
        <w:t>To Leah Rabin and her children, Hillary and I send our love and our prayers. To the people of Israel, I want you to know that the hearts and prayers of all Americans are with you. Just as America has stood by you in moments of crisis and triumph, so now we all stand by you in this moment of grieving and loss.</w:t>
      </w:r>
    </w:p>
    <w:p w:rsidR="00A31137" w:rsidRPr="00A31137" w:rsidRDefault="00A31137" w:rsidP="00A31137">
      <w:r w:rsidRPr="00A31137">
        <w:t>Clinton, Death of Rabin, Nov. 4, 1995, p.1986</w:t>
      </w:r>
    </w:p>
    <w:p w:rsidR="00A31137" w:rsidRPr="00A31137" w:rsidRDefault="00A31137" w:rsidP="00A31137">
      <w:r w:rsidRPr="00A31137">
        <w:t>For half a century, Yitzhak Rabin risked his life to defend his country. Today, he gave his life to bring it a lasting peace. His last act, his last words were in defense of that peace he did so much to create. Peace must be and peace will be Prime Minister Rabin's lasting legacy.</w:t>
      </w:r>
    </w:p>
    <w:p w:rsidR="00A31137" w:rsidRPr="00A31137" w:rsidRDefault="00A31137" w:rsidP="00A31137">
      <w:r w:rsidRPr="00A31137">
        <w:t>Clinton, Death of Rabin, Nov. 4, 1995, p.1986</w:t>
      </w:r>
    </w:p>
    <w:p w:rsidR="00A31137" w:rsidRPr="00A31137" w:rsidRDefault="00A31137" w:rsidP="00A31137">
      <w:r w:rsidRPr="00A31137">
        <w:t xml:space="preserve">Tonight, the land for which he gave his life is in mourning. But I want the world to remember what Prime Minister Rabin said here at the White House barely one month ago, and I quote, "We should not let the land flowing with milk and honey become a land flowing with blood and tears. Don't let it happen." [p.1987] </w:t>
      </w:r>
    </w:p>
    <w:p w:rsidR="00A31137" w:rsidRPr="00A31137" w:rsidRDefault="00A31137" w:rsidP="00A31137">
      <w:r w:rsidRPr="00A31137">
        <w:t>Clinton, Death of Rabin, Nov. 4, 1995, p.1987</w:t>
      </w:r>
    </w:p>
    <w:p w:rsidR="00A31137" w:rsidRPr="00A31137" w:rsidRDefault="00A31137" w:rsidP="00A31137">
      <w:r w:rsidRPr="00A31137">
        <w:t>Now it falls to us, all those in Israel, throughout the Middle East, and around the world who yearn for and love peace to make sure it doesn't happen.</w:t>
      </w:r>
    </w:p>
    <w:p w:rsidR="00A31137" w:rsidRPr="00A31137" w:rsidRDefault="00A31137" w:rsidP="00A31137">
      <w:r w:rsidRPr="00A31137">
        <w:t>Clinton, Death of Rabin, Nov. 4, 1995, p.1987</w:t>
      </w:r>
    </w:p>
    <w:p w:rsidR="00A31137" w:rsidRPr="00A31137" w:rsidRDefault="00A31137" w:rsidP="00A31137">
      <w:r w:rsidRPr="00A31137">
        <w:t>Yitzhak Rabin was my partner and my friend. I admired him, and I loved him very much. Because words cannot express my true feelings, let me just say, shalom, chaver, goodbye, friend.</w:t>
      </w:r>
    </w:p>
    <w:p w:rsidR="00A31137" w:rsidRPr="00A31137" w:rsidRDefault="00A31137" w:rsidP="00A31137">
      <w:r w:rsidRPr="00A31137">
        <w:t>Clinton, Death of Rabin, Nov. 4, 1995, p.1987</w:t>
      </w:r>
    </w:p>
    <w:p w:rsidR="00A31137" w:rsidRPr="00A31137" w:rsidRDefault="00A31137" w:rsidP="00A31137">
      <w:r w:rsidRPr="00A31137">
        <w:t>Note: The President spoke at 5:48 p.m. in the Rose Garden at the White House. In his remarks, he referred to Prime Minister Rabin's widow, Leah.</w:t>
      </w:r>
    </w:p>
    <w:p w:rsidR="00A31137" w:rsidRPr="00A31137" w:rsidRDefault="00A31137" w:rsidP="00A31137">
      <w:r w:rsidRPr="00A31137">
        <w:t>Democratic Platform of 1996</w:t>
      </w:r>
    </w:p>
    <w:p w:rsidR="00A31137" w:rsidRPr="00A31137" w:rsidRDefault="00A31137" w:rsidP="00A31137">
      <w:r w:rsidRPr="00A31137">
        <w:t>Title:</w:t>
      </w:r>
      <w:r w:rsidRPr="00A31137">
        <w:tab/>
        <w:t>Democratic Platform of 1996</w:t>
      </w:r>
    </w:p>
    <w:p w:rsidR="00A31137" w:rsidRPr="00A31137" w:rsidRDefault="00A31137" w:rsidP="00A31137">
      <w:r w:rsidRPr="00A31137">
        <w:t>Author:</w:t>
      </w:r>
      <w:r w:rsidRPr="00A31137">
        <w:tab/>
        <w:t>Democratic Party</w:t>
      </w:r>
    </w:p>
    <w:p w:rsidR="00A31137" w:rsidRPr="00A31137" w:rsidRDefault="00A31137" w:rsidP="00A31137">
      <w:r w:rsidRPr="00A31137">
        <w:t>Date:</w:t>
      </w:r>
      <w:r w:rsidRPr="00A31137">
        <w:tab/>
        <w:t>1996</w:t>
      </w:r>
    </w:p>
    <w:p w:rsidR="00A31137" w:rsidRPr="00A31137" w:rsidRDefault="00A31137" w:rsidP="00A31137">
      <w:r w:rsidRPr="00A31137">
        <w:t>Source:</w:t>
      </w:r>
      <w:r w:rsidRPr="00A31137">
        <w:tab/>
        <w:t>1996 Democratic Party Platform Booklet</w:t>
      </w:r>
    </w:p>
    <w:p w:rsidR="00A31137" w:rsidRPr="00A31137" w:rsidRDefault="00A31137" w:rsidP="00A31137">
      <w:r w:rsidRPr="00A31137">
        <w:t>1996 Democratic National Platform</w:t>
      </w:r>
    </w:p>
    <w:p w:rsidR="00A31137" w:rsidRPr="00A31137" w:rsidRDefault="00A31137" w:rsidP="00A31137">
      <w:r w:rsidRPr="00A31137">
        <w:t>as adopted by the</w:t>
      </w:r>
    </w:p>
    <w:p w:rsidR="00A31137" w:rsidRPr="00A31137" w:rsidRDefault="00A31137" w:rsidP="00A31137">
      <w:r w:rsidRPr="00A31137">
        <w:t>Democratic National Convention</w:t>
      </w:r>
    </w:p>
    <w:p w:rsidR="00A31137" w:rsidRPr="00A31137" w:rsidRDefault="00A31137" w:rsidP="00A31137">
      <w:r w:rsidRPr="00A31137">
        <w:t>on August 27, 1996</w:t>
      </w:r>
    </w:p>
    <w:p w:rsidR="00A31137" w:rsidRPr="00A31137" w:rsidRDefault="00A31137" w:rsidP="00A31137">
      <w:r w:rsidRPr="00A31137">
        <w:t>THE 1996 DEMOCRATIC NATIONAL PLATFORM</w:t>
      </w:r>
    </w:p>
    <w:p w:rsidR="00A31137" w:rsidRPr="00A31137" w:rsidRDefault="00A31137" w:rsidP="00A31137">
      <w:r w:rsidRPr="00A31137">
        <w:t>Today's Democratic Party: Meeting America's Challenges,</w:t>
      </w:r>
    </w:p>
    <w:p w:rsidR="00A31137" w:rsidRPr="00A31137" w:rsidRDefault="00A31137" w:rsidP="00A31137">
      <w:r w:rsidRPr="00A31137">
        <w:t>Protecting America's Values</w:t>
      </w:r>
    </w:p>
    <w:p w:rsidR="00A31137" w:rsidRPr="00A31137" w:rsidRDefault="00A31137" w:rsidP="00A31137">
      <w:r w:rsidRPr="00A31137">
        <w:t>Introduction</w:t>
      </w:r>
    </w:p>
    <w:p w:rsidR="00A31137" w:rsidRPr="00A31137" w:rsidRDefault="00A31137" w:rsidP="00A31137">
      <w:r w:rsidRPr="00A31137">
        <w:t>1996 Democratic Party Platform</w:t>
      </w:r>
    </w:p>
    <w:p w:rsidR="00A31137" w:rsidRPr="00A31137" w:rsidRDefault="00A31137" w:rsidP="00A31137">
      <w:r w:rsidRPr="00A31137">
        <w:t>In 1996, America will choose the President who will lead us from the millennium which saw the birth of our nation, and into a future that has all the potential to be even greater than our magnificent past. Today's Democratic Party is ready for that future. Our vision is simple. We want an America that gives all Americans the chance to live out their dreams and achieve their God-given potential. We want an America that is still the world's strongest force for peace and freedom. And we want an America that is coming together around our enduring values, instead of drifting apart.</w:t>
      </w:r>
    </w:p>
    <w:p w:rsidR="00A31137" w:rsidRPr="00A31137" w:rsidRDefault="00A31137" w:rsidP="00A31137">
      <w:r w:rsidRPr="00A31137">
        <w:t>1996 Democratic Party Platform</w:t>
      </w:r>
    </w:p>
    <w:p w:rsidR="00A31137" w:rsidRPr="00A31137" w:rsidRDefault="00A31137" w:rsidP="00A31137">
      <w:r w:rsidRPr="00A31137">
        <w:t>Today's Democratic Party is determined to renew America's most basic bargain: Opportunity to every American, and responsibility from every American.  And today's Democratic Party is determined to reawaken the great sense of American community.</w:t>
      </w:r>
    </w:p>
    <w:p w:rsidR="00A31137" w:rsidRPr="00A31137" w:rsidRDefault="00A31137" w:rsidP="00A31137">
      <w:r w:rsidRPr="00A31137">
        <w:t>1996 Democratic Party Platform</w:t>
      </w:r>
    </w:p>
    <w:p w:rsidR="00A31137" w:rsidRPr="00A31137" w:rsidRDefault="00A31137" w:rsidP="00A31137">
      <w:r w:rsidRPr="00A31137">
        <w:t>Opportunity.  Responsibility.  Community.  These are the values that made America strong.  These are the values of the Democratic Party.  These are the values that must guide us into the future.</w:t>
      </w:r>
    </w:p>
    <w:p w:rsidR="00A31137" w:rsidRPr="00A31137" w:rsidRDefault="00A31137" w:rsidP="00A31137">
      <w:r w:rsidRPr="00A31137">
        <w:t>1996 Democratic Party Platform</w:t>
      </w:r>
    </w:p>
    <w:p w:rsidR="00A31137" w:rsidRPr="00A31137" w:rsidRDefault="00A31137" w:rsidP="00A31137">
      <w:r w:rsidRPr="00A31137">
        <w:t>Today, America is moving forward with the strong Presidential leadership it deserves.  The economy is stronger, the deficit is lower, and government is smaller.  Education is better, our environment is cleaner, families are healthier, and our streets are safer.  There is more opportunity in America, more responsibility in our homes, and more peace in the world.</w:t>
      </w:r>
    </w:p>
    <w:p w:rsidR="00A31137" w:rsidRPr="00A31137" w:rsidRDefault="00A31137" w:rsidP="00A31137">
      <w:r w:rsidRPr="00A31137">
        <w:t>1996 Democratic Party Platform</w:t>
      </w:r>
    </w:p>
    <w:p w:rsidR="00A31137" w:rsidRPr="00A31137" w:rsidRDefault="00A31137" w:rsidP="00A31137">
      <w:r w:rsidRPr="00A31137">
        <w:t>Today's Democratic Party stands proudly on the record of the last four years.  We are living in an age of enormous possibility, and we are working to make sure that all Americans can make the most of it.  America is moving in the right direction.</w:t>
      </w:r>
    </w:p>
    <w:p w:rsidR="00A31137" w:rsidRPr="00A31137" w:rsidRDefault="00A31137" w:rsidP="00A31137">
      <w:r w:rsidRPr="00A31137">
        <w:t>1996 Democratic Party Platform</w:t>
      </w:r>
    </w:p>
    <w:p w:rsidR="00A31137" w:rsidRPr="00A31137" w:rsidRDefault="00A31137" w:rsidP="00A31137">
      <w:r w:rsidRPr="00A31137">
        <w:t>Now we must move forward, and we know the course we must follow.  We need a smaller, more effective, more efficient, less bureaucratic government that reflects our time-honored values.  The American people do not want big government solutions and they do not want empty promises.  They want a government that is for them, not against them; that doesn't interfere with their lives but enhances their quality of life.  They want a course that is reasonable, help that is realistic, and solutions that can be delivered—a moderate, achievable, common-sense agenda that will improve people's daily lives and not increase the size of government.</w:t>
      </w:r>
    </w:p>
    <w:p w:rsidR="00A31137" w:rsidRPr="00A31137" w:rsidRDefault="00A31137" w:rsidP="00A31137">
      <w:r w:rsidRPr="00A31137">
        <w:t>1996 Democratic Party Platform</w:t>
      </w:r>
    </w:p>
    <w:p w:rsidR="00A31137" w:rsidRPr="00A31137" w:rsidRDefault="00A31137" w:rsidP="00A31137">
      <w:r w:rsidRPr="00A31137">
        <w:t>That is what today's Democratic Party offers: the end of the era of big government and a final rejection of the misguided call to leave our citizens to fend for themselves—and bold leadership into the future: To meet America's challenges, protect America's values, and fulfill American dreams.</w:t>
      </w:r>
    </w:p>
    <w:p w:rsidR="00A31137" w:rsidRPr="00A31137" w:rsidRDefault="00A31137" w:rsidP="00A31137">
      <w:r w:rsidRPr="00A31137">
        <w:t>Opportunity</w:t>
      </w:r>
    </w:p>
    <w:p w:rsidR="00A31137" w:rsidRPr="00A31137" w:rsidRDefault="00A31137" w:rsidP="00A31137">
      <w:r w:rsidRPr="00A31137">
        <w:t>1996 Democratic Party Platform</w:t>
      </w:r>
    </w:p>
    <w:p w:rsidR="00A31137" w:rsidRPr="00A31137" w:rsidRDefault="00A31137" w:rsidP="00A31137">
      <w:r w:rsidRPr="00A31137">
        <w:t>For 220 years, America has been defined by a single ideal: Opportunity for all who take the responsibility to seize it. The mission of the Democratic Party in 1996 is to ensure that the great American Dream of opportunity for all is within reach for all, and that it travels with us, whole and intact, as we walk together into tomorrow.</w:t>
      </w:r>
    </w:p>
    <w:p w:rsidR="00A31137" w:rsidRPr="00A31137" w:rsidRDefault="00A31137" w:rsidP="00A31137">
      <w:r w:rsidRPr="00A31137">
        <w:t>1996 Democratic Party Platform</w:t>
      </w:r>
    </w:p>
    <w:p w:rsidR="00A31137" w:rsidRPr="00A31137" w:rsidRDefault="00A31137" w:rsidP="00A31137">
      <w:r w:rsidRPr="00A31137">
        <w:t xml:space="preserve">Economic growth. Since Bill Clinton became President, America has seen an explosion of job growth, economic renewal, and opportunity.  The American people have created more than 10 million new jobs.  After trailing Japan for 14 years, America once again became the world's leading manufacturer of automobiles in 1994, and remained number one last year.  The combined rate of inflation, unemployment, and mortgage interest rates is the lowest in three decades.  Now, 4.4 million more Americans own their own home, and Americans have started a record number of new small businesses in each of the last three years. </w:t>
      </w:r>
    </w:p>
    <w:p w:rsidR="00A31137" w:rsidRPr="00A31137" w:rsidRDefault="00A31137" w:rsidP="00A31137">
      <w:r w:rsidRPr="00A31137">
        <w:t>1996 Democratic Party Platform</w:t>
      </w:r>
    </w:p>
    <w:p w:rsidR="00A31137" w:rsidRPr="00A31137" w:rsidRDefault="00A31137" w:rsidP="00A31137">
      <w:r w:rsidRPr="00A31137">
        <w:t>In the 12 years before President Clinton took office, Republicans in the White House allowed the deficit to spiral out of control, and ignored the economic interests of ordinary Americans.  Bill Clinton was determined to turn things around and move America in a new direction.  With his leadership, we put in place a comprehensive strategy for economic growth. Today's Democratic Party knows that the private sector is the engine of economic growth, and we fought to put America's economic house in order so private business could prosper. We worked to tap the full potential of a new global economy through open and fair trade.  We fought to invest in the American people so they would have the capacity to meet the demands of the new economy.  And we have invested in the roads, bridges, and highways that are the lifelines of American commerce.</w:t>
      </w:r>
    </w:p>
    <w:p w:rsidR="00A31137" w:rsidRPr="00A31137" w:rsidRDefault="00A31137" w:rsidP="00A31137">
      <w:r w:rsidRPr="00A31137">
        <w:t>1996 Democratic Party Platform</w:t>
      </w:r>
    </w:p>
    <w:p w:rsidR="00A31137" w:rsidRPr="00A31137" w:rsidRDefault="00A31137" w:rsidP="00A31137">
      <w:r w:rsidRPr="00A31137">
        <w:t>Democrats in Congress supported this course and America is better off because they did.  Republicans opposed our economic plan; America's economic growth over the last four years makes it clear that they were wrong.  Our strategy is in place, and it is working.  We are proud of our economic record over the last four years—and we know that our record is a record to build on, not to rest on.  We have to move forward, to make sure that every American willing to work hard has the opportunity to build a good life and share in the benefits of economic success.</w:t>
      </w:r>
    </w:p>
    <w:p w:rsidR="00A31137" w:rsidRPr="00A31137" w:rsidRDefault="00A31137" w:rsidP="00A31137">
      <w:r w:rsidRPr="00A31137">
        <w:t>1996 Democratic Party Platform</w:t>
      </w:r>
    </w:p>
    <w:p w:rsidR="00A31137" w:rsidRPr="00A31137" w:rsidRDefault="00A31137" w:rsidP="00A31137">
      <w:r w:rsidRPr="00A31137">
        <w:t>In the last four years we worked to get the American economy going: cutting the deficit, expanding trade, and investing in our people.  In the next four years we have to make the new economy work for all Americans: balancing the budget, creating more jobs, making sure all families can count on good health care and a secure retirement, and, most of all, expanding educational opportunities so all Americans can learn the skills they need to build the best possible future.</w:t>
      </w:r>
    </w:p>
    <w:p w:rsidR="00A31137" w:rsidRPr="00A31137" w:rsidRDefault="00A31137" w:rsidP="00A31137">
      <w:r w:rsidRPr="00A31137">
        <w:t>1996 Democratic Party Platform</w:t>
      </w:r>
    </w:p>
    <w:p w:rsidR="00A31137" w:rsidRPr="00A31137" w:rsidRDefault="00A31137" w:rsidP="00A31137">
      <w:r w:rsidRPr="00A31137">
        <w:t>Balancing the budget. For 12 years, Republicans hid behind rosy scenarios while quadrupling the national debt.  We knew this had to stop.  In 1992, we promised to cut the deficit in half over four years.  We did.  Our 1993 economic plan cut spending by over a quarter trillion dollars in five years. The only deficit left today is interest payments on the debt run up over the 12 Republican years before fiscal responsibility returned to the White House.  President Clinton is the first President to cut the deficit four years in a row since before the Civil War.</w:t>
      </w:r>
    </w:p>
    <w:p w:rsidR="00A31137" w:rsidRPr="00A31137" w:rsidRDefault="00A31137" w:rsidP="00A31137">
      <w:r w:rsidRPr="00A31137">
        <w:t>1996 Democratic Party Platform</w:t>
      </w:r>
    </w:p>
    <w:p w:rsidR="00A31137" w:rsidRPr="00A31137" w:rsidRDefault="00A31137" w:rsidP="00A31137">
      <w:r w:rsidRPr="00A31137">
        <w:t>Now the Democratic Party is determined to finish the job and balance the budget.  President Clinton has put forward a plan to balance the budget by 2002 while living up to our commitments to our elderly and our children and maintaining strong economic growth. The Republican Congress= own economists admit the President's plan will balance the budget by 2002.  It cuts hundreds of wasteful and outdated programs, but it preserves Medicare and Medicaid, it protects education and the environment, and it defends working families.  The President's plan reflects America's values.  The Republican plan does not.</w:t>
      </w:r>
    </w:p>
    <w:p w:rsidR="00A31137" w:rsidRPr="00A31137" w:rsidRDefault="00A31137" w:rsidP="00A31137">
      <w:r w:rsidRPr="00A31137">
        <w:t>1996 Democratic Party Platform</w:t>
      </w:r>
    </w:p>
    <w:p w:rsidR="00A31137" w:rsidRPr="00A31137" w:rsidRDefault="00A31137" w:rsidP="00A31137">
      <w:r w:rsidRPr="00A31137">
        <w:t>Today's Democratic Party believes we have a duty to care for our parents, so they can live their lives in dignity. That duty includes securing Medicare and Medicaid, finding savings without reducing quality or benefits, and protecting Social Security for future generations. The Republican agenda rests on massive Medicare cuts, three times bigger than the largest Medicare cuts in history, including new premium increases on seniors, and drastic changes to Medicaid that will jeopardize the health care of children and seniors.</w:t>
      </w:r>
    </w:p>
    <w:p w:rsidR="00A31137" w:rsidRPr="00A31137" w:rsidRDefault="00A31137" w:rsidP="00A31137">
      <w:r w:rsidRPr="00A31137">
        <w:t>1996 Democratic Party Platform</w:t>
      </w:r>
    </w:p>
    <w:p w:rsidR="00A31137" w:rsidRPr="00A31137" w:rsidRDefault="00A31137" w:rsidP="00A31137">
      <w:r w:rsidRPr="00A31137">
        <w:t>Today's Democratic Party believes that all children should have the opportunity and the education to make the most of their own lives.  We believe that schools should be run by teachers and principals, not by Washington.  The Republican agenda slashes college scholarships and college loans, cuts Head Start, and cuts funds to reduce class size and improve teacher standards.</w:t>
      </w:r>
    </w:p>
    <w:p w:rsidR="00A31137" w:rsidRPr="00A31137" w:rsidRDefault="00A31137" w:rsidP="00A31137">
      <w:r w:rsidRPr="00A31137">
        <w:t>1996 Democratic Party Platform</w:t>
      </w:r>
    </w:p>
    <w:p w:rsidR="00A31137" w:rsidRPr="00A31137" w:rsidRDefault="00A31137" w:rsidP="00A31137">
      <w:r w:rsidRPr="00A31137">
        <w:t>Today's Democratic Party believes we have a duty to preserve God's earth and American quality of life for future generations.  We are committed to reform, so we protect our environment but we do not trap business in a tangle of red tape.  The Republican budget guts environmental protection.</w:t>
      </w:r>
    </w:p>
    <w:p w:rsidR="00A31137" w:rsidRPr="00A31137" w:rsidRDefault="00A31137" w:rsidP="00A31137">
      <w:r w:rsidRPr="00A31137">
        <w:t>1996 Democratic Party Platform</w:t>
      </w:r>
    </w:p>
    <w:p w:rsidR="00A31137" w:rsidRPr="00A31137" w:rsidRDefault="00A31137" w:rsidP="00A31137">
      <w:r w:rsidRPr="00A31137">
        <w:t>Today's Democratic Party believes that working people should not be taxed into poverty.  The Republican budget raises taxes on millions of working families.</w:t>
      </w:r>
    </w:p>
    <w:p w:rsidR="00A31137" w:rsidRPr="00A31137" w:rsidRDefault="00A31137" w:rsidP="00A31137">
      <w:r w:rsidRPr="00A31137">
        <w:t>1996 Democratic Party Platform</w:t>
      </w:r>
    </w:p>
    <w:p w:rsidR="00A31137" w:rsidRPr="00A31137" w:rsidRDefault="00A31137" w:rsidP="00A31137">
      <w:r w:rsidRPr="00A31137">
        <w:t>Today's Democratic Party believes that America must put our families first.  The Republican budget tried to take Big Bird away from 5-year-olds, school lunches away from 10-year-olds, summer jobs away from 15-year-olds, and college loans away from 20-year-olds.</w:t>
      </w:r>
    </w:p>
    <w:p w:rsidR="00A31137" w:rsidRPr="00A31137" w:rsidRDefault="00A31137" w:rsidP="00A31137">
      <w:r w:rsidRPr="00A31137">
        <w:t>1996 Democratic Party Platform</w:t>
      </w:r>
    </w:p>
    <w:p w:rsidR="00A31137" w:rsidRPr="00A31137" w:rsidRDefault="00A31137" w:rsidP="00A31137">
      <w:r w:rsidRPr="00A31137">
        <w:t>Today's Democratic Party believes in a government that works better and costs less.  We know that government workers are good people trapped in bad systems, and we are committed to reinventing government to reform those systems.  We believe that public servants have suffered too long from unfair politically based criticism destroying their morale and hampering their ability to perform duties which the private sector will not undertake.  The Republican budget cuts government where it is needed to protect our values, and they were even willing to shut down the government altogether to force their budget on the American people.</w:t>
      </w:r>
    </w:p>
    <w:p w:rsidR="00A31137" w:rsidRPr="00A31137" w:rsidRDefault="00A31137" w:rsidP="00A31137">
      <w:r w:rsidRPr="00A31137">
        <w:t>1996 Democratic Party Platform</w:t>
      </w:r>
    </w:p>
    <w:p w:rsidR="00A31137" w:rsidRPr="00A31137" w:rsidRDefault="00A31137" w:rsidP="00A31137">
      <w:r w:rsidRPr="00A31137">
        <w:t>Tax relief for working families and small businesses.  President Clinton and Democrats in Congress expanded the Earned Income Tax Credit, cutting taxes to help 40 million Americans in 15 million working families—without a single Republican vote.  The Dole-Gingrich budget was designed to give a massive tax break to the wealthiest Americans, and pay for it by raising taxes on ordinary Americans and slashing health care for the elderly.  America cannot afford to return to the era of something-for-nothing tax cuts and smoke-and-mirrors accounting that produced a decade of exploding deficits.  Today's Democratic Party is committed to targeted tax cuts that help working Americans invest in their future, and we insist that any tax cuts are completely paid for, because we are determined to balance the budget.</w:t>
      </w:r>
    </w:p>
    <w:p w:rsidR="00A31137" w:rsidRPr="00A31137" w:rsidRDefault="00A31137" w:rsidP="00A31137">
      <w:r w:rsidRPr="00A31137">
        <w:t>1996 Democratic Party Platform</w:t>
      </w:r>
    </w:p>
    <w:p w:rsidR="00A31137" w:rsidRPr="00A31137" w:rsidRDefault="00A31137" w:rsidP="00A31137">
      <w:r w:rsidRPr="00A31137">
        <w:t>We want to strengthen middle-class families by providing a $500 tax cut for children.  We want to cut taxes to help families pay for education after high school and to guarantee the first two years of college.  We want people to be able to use their IRA=s to buy a first home, deal with a medical emergency, or provide for education.  We want to cut taxes for small businesses that invest in the future and set up pensions for their workers.  And we want to cut taxes for people who are self-employed and self-insured so their health care is more affordable.</w:t>
      </w:r>
    </w:p>
    <w:p w:rsidR="00A31137" w:rsidRPr="00A31137" w:rsidRDefault="00A31137" w:rsidP="00A31137">
      <w:r w:rsidRPr="00A31137">
        <w:t>1996 Democratic Party Platform</w:t>
      </w:r>
    </w:p>
    <w:p w:rsidR="00A31137" w:rsidRPr="00A31137" w:rsidRDefault="00A31137" w:rsidP="00A31137">
      <w:r w:rsidRPr="00A31137">
        <w:t>Technology. We know investments in technology drive economic growth, generate new knowledge, create new high-wage jobs, build new industries, and improve our quality of life.  In the face of Republican efforts to undermine America's dedication to innovation, President Clinton and the Democratic Party have fought to maintain vital investments in science and technology.  We remember that government investment in technology is responsible for the computer, for jet aircraft, and for the Internet—no investments have ever paid off better, in jobs, in opportunity, or in growth.</w:t>
      </w:r>
    </w:p>
    <w:p w:rsidR="00A31137" w:rsidRPr="00A31137" w:rsidRDefault="00A31137" w:rsidP="00A31137">
      <w:r w:rsidRPr="00A31137">
        <w:t>1996 Democratic Party Platform</w:t>
      </w:r>
    </w:p>
    <w:p w:rsidR="00A31137" w:rsidRPr="00A31137" w:rsidRDefault="00A31137" w:rsidP="00A31137">
      <w:r w:rsidRPr="00A31137">
        <w:t>We support government policies that encourage private sector investment and innovation to create a pro-growth economic climate, like a permanent research and development tax credit. We want technology to create jobs and improve the quality of life for American workers.  President Clinton and Vice President Gore fought for, and the President signed, a sweeping telecommunications reform bill that will unleash the creative power of the information industry to create millions of high-wage American jobs.  We recognize that our system of research colleges and universities is the bedrock of American leadership in science and technology.  When we invest in our research institutions we are literally investing in our future by helping to train the next brilliant generation of American scientists and engineers. As we enter the 21st century, we will continue to invest in world-class research and development, advanced technologies in transportation, information, and other industries, and agricultural and environmental research in partnership with American business.  We are working to reinvent the national laboratories and revitalize America's space program, including support for the space station.</w:t>
      </w:r>
    </w:p>
    <w:p w:rsidR="00A31137" w:rsidRPr="00A31137" w:rsidRDefault="00A31137" w:rsidP="00A31137">
      <w:r w:rsidRPr="00A31137">
        <w:t>1996 Democratic Party Platform</w:t>
      </w:r>
    </w:p>
    <w:p w:rsidR="00A31137" w:rsidRPr="00A31137" w:rsidRDefault="00A31137" w:rsidP="00A31137">
      <w:r w:rsidRPr="00A31137">
        <w:t>Creating jobs through trade. We believe that if we want the American economy to continue strong growth, we must continue to expand trade, and not retreat from the world.  America's markets are open to the world, so America has a right to demand that the world's markets are open to our products.  American products are the best in the world.  When American workers and American companies have the chance to compete around the world, we do not take second place.</w:t>
      </w:r>
    </w:p>
    <w:p w:rsidR="00A31137" w:rsidRPr="00A31137" w:rsidRDefault="00A31137" w:rsidP="00A31137">
      <w:r w:rsidRPr="00A31137">
        <w:t>1996 Democratic Party Platform</w:t>
      </w:r>
    </w:p>
    <w:p w:rsidR="00A31137" w:rsidRPr="00A31137" w:rsidRDefault="00A31137" w:rsidP="00A31137">
      <w:r w:rsidRPr="00A31137">
        <w:t>In the last four years, the Clinton-Gore Administration has signed over 200 trade agreements, including NAFTA and GATT, to open markets around the world to American products, and create more jobs for the people who make them here at home.  We have put in place the most sweeping agreements to lower foreign trade barriers of any administration in modern American history, including over 20 such agreements with Japan alone—and American exports to Japan in the sectors covered by those agreements have increased by 85 percent.  All over the world, barriers to American products have come down, exports are at an all time high—and we have created over one million high-paying export-related jobs.</w:t>
      </w:r>
    </w:p>
    <w:p w:rsidR="00A31137" w:rsidRPr="00A31137" w:rsidRDefault="00A31137" w:rsidP="00A31137">
      <w:r w:rsidRPr="00A31137">
        <w:t>1996 Democratic Party Platform</w:t>
      </w:r>
    </w:p>
    <w:p w:rsidR="00A31137" w:rsidRPr="00A31137" w:rsidRDefault="00A31137" w:rsidP="00A31137">
      <w:r w:rsidRPr="00A31137">
        <w:t>In the next four years, we must continue to work to lower foreign trade barriers; insist that foreign companies play by fair rules at home and abroad; strengthen rules that protect the global economy from fraud and dangerous instability; advance American commercial interests abroad; and ensure that the new global economy is directly beneficial to American working families.   As we work to open new markets, we must negotiate to guarantee that all trade agreements include standards to protect children, workers, public safety, and the environment.  We must ensure adequate trade adjustment assistance and education and training programs to help working families compete and win in the global economy.</w:t>
      </w:r>
    </w:p>
    <w:p w:rsidR="00A31137" w:rsidRPr="00A31137" w:rsidRDefault="00A31137" w:rsidP="00A31137">
      <w:r w:rsidRPr="00A31137">
        <w:t>1996 Democratic Party Platform</w:t>
      </w:r>
    </w:p>
    <w:p w:rsidR="00A31137" w:rsidRPr="00A31137" w:rsidRDefault="00A31137" w:rsidP="00A31137">
      <w:r w:rsidRPr="00A31137">
        <w:t xml:space="preserve">Education. Today's Democratic Party knows that education is the key to opportunity.  In the new global economy, it is more important than ever before.  Today, education is the fault line that separates those who will prosper from those who cannot. President Clinton and Democrats in Congress have spared no effort over the last four years to improve the quality of American education and expand the opportunity for all Americans to get the education they need to succeed. </w:t>
      </w:r>
    </w:p>
    <w:p w:rsidR="00A31137" w:rsidRPr="00A31137" w:rsidRDefault="00A31137" w:rsidP="00A31137">
      <w:r w:rsidRPr="00A31137">
        <w:t>1996 Democratic Party Platform</w:t>
      </w:r>
    </w:p>
    <w:p w:rsidR="00A31137" w:rsidRPr="00A31137" w:rsidRDefault="00A31137" w:rsidP="00A31137">
      <w:r w:rsidRPr="00A31137">
        <w:t>Every step of the way, we have been opposed by Republicans intent on cutting education.  Now, they want to cut education from Head Start through college scholarships.  They want to undermine our public schools and make borrowing for college more difficult for millions of students.</w:t>
      </w:r>
    </w:p>
    <w:p w:rsidR="00A31137" w:rsidRPr="00A31137" w:rsidRDefault="00A31137" w:rsidP="00A31137">
      <w:r w:rsidRPr="00A31137">
        <w:t>1996 Democratic Party Platform</w:t>
      </w:r>
    </w:p>
    <w:p w:rsidR="00A31137" w:rsidRPr="00A31137" w:rsidRDefault="00A31137" w:rsidP="00A31137">
      <w:r w:rsidRPr="00A31137">
        <w:t xml:space="preserve">Today's Democratic Party will stand firmly against the Republican assault on education.  Cutting education as we move into the 21st century would be like cutting defense spending at the height of the Cold War.  We must do more to expand educational opportunity—not less.  </w:t>
      </w:r>
    </w:p>
    <w:p w:rsidR="00A31137" w:rsidRPr="00A31137" w:rsidRDefault="00A31137" w:rsidP="00A31137">
      <w:r w:rsidRPr="00A31137">
        <w:t>1996 Democratic Party Platform</w:t>
      </w:r>
    </w:p>
    <w:p w:rsidR="00A31137" w:rsidRPr="00A31137" w:rsidRDefault="00A31137" w:rsidP="00A31137">
      <w:r w:rsidRPr="00A31137">
        <w:t>Strengthening public schools. We increased Head Start funding to expand early education for more children who need it.  We passed Goals 2000 to help schools set high standards, and find the resources they need to succeed: the best books, the brightest teachers, the most up-to-date technology.  We restructured federal education programs and eliminated federal regulations to give local schools, teachers, and principals the flexibility and help they need to meet those standards.  We've worked to make sure our children have the best teachers by expanding teacher education.  We applaud the work of state and local Democrats to develop innovative solutions to make sure our children get the best possible education.</w:t>
      </w:r>
    </w:p>
    <w:p w:rsidR="00A31137" w:rsidRPr="00A31137" w:rsidRDefault="00A31137" w:rsidP="00A31137">
      <w:r w:rsidRPr="00A31137">
        <w:t>1996 Democratic Party Platform</w:t>
      </w:r>
    </w:p>
    <w:p w:rsidR="00A31137" w:rsidRPr="00A31137" w:rsidRDefault="00A31137" w:rsidP="00A31137">
      <w:r w:rsidRPr="00A31137">
        <w:t>In the next four years, we must do even more to make sure America has the best public schools on earth.  If we want to be the best, we should expect the best: We must hold students, teachers, and schools to the highest standards.  Every child should be able to read by the end of the third grade.  Students should be required to demonstrate competency and achievement for promotion or graduation. Teachers in this country are among the most talented professionals we have. They should be required to meet high standards for professional performance and be rewarded for the good jobs they do.  For the few who don't measure up to those high standards,  there should be a fair process to get them out of the classroom and the profession. And we should get rid of the barriers that discourage talented young people from becoming teachers in the first place.  We should not bash teachers.  We should applaud them, and find ways to keep the best teachers in the classroom.  Schools should be held accountable for results.  We should redesign or overhaul schools that fail.  We should expand public school choice, but we should not take American tax dollars from public schools and give them to private schools.  We should promote public charter schools that are held to the highest standards of accountability and access.  And we should continue to ensure that America provides quality education to children with disabilities, because high-quality public education is the key to opportunity for all children.</w:t>
      </w:r>
    </w:p>
    <w:p w:rsidR="00A31137" w:rsidRPr="00A31137" w:rsidRDefault="00A31137" w:rsidP="00A31137">
      <w:r w:rsidRPr="00A31137">
        <w:t>1996 Democratic Party Platform</w:t>
      </w:r>
    </w:p>
    <w:p w:rsidR="00A31137" w:rsidRPr="00A31137" w:rsidRDefault="00A31137" w:rsidP="00A31137">
      <w:r w:rsidRPr="00A31137">
        <w:t>Teaching values in schools.  Today's Democratic Party knows our children's education is not complete unless they learn good values.  We applaud the efforts of the Clinton-Gore Administration to promote character education in our schools.  Teaching good values, strong character, and the responsibilities of citizenship must be an essential part of American education.</w:t>
      </w:r>
    </w:p>
    <w:p w:rsidR="00A31137" w:rsidRPr="00A31137" w:rsidRDefault="00A31137" w:rsidP="00A31137">
      <w:r w:rsidRPr="00A31137">
        <w:t>1996 Democratic Party Platform</w:t>
      </w:r>
    </w:p>
    <w:p w:rsidR="00A31137" w:rsidRPr="00A31137" w:rsidRDefault="00A31137" w:rsidP="00A31137">
      <w:r w:rsidRPr="00A31137">
        <w:t xml:space="preserve">Safe schools and healthy students.  If young people do not have the freedom to learn in safety, they do not have the freedom to learn at all.  Over the last four years, we have worked hard to keep schools safe and drug-free, and students healthy.  When Senator Dole and Speaker Gingrich led Republican efforts to cut school safety funding, President Clinton and Democrats in Congress wouldn't let them get away with it.   When Senator Dole and Speaker Gingrich led Republican efforts to destroy the nation's school lunch program, President Clinton and Democrats in Congress stopped them cold.  Now, we must work together at every level of government to launch a major rebuilding effort to make sure our children go to school in high-quality facilities where they can learn.  We must help schools set the highest standards for good behavior and discipline in our schools. Children cannot learn—and teachers cannot teach—without order in the classroom. </w:t>
      </w:r>
    </w:p>
    <w:p w:rsidR="00A31137" w:rsidRPr="00A31137" w:rsidRDefault="00A31137" w:rsidP="00A31137">
      <w:r w:rsidRPr="00A31137">
        <w:t>1996 Democratic Party Platform</w:t>
      </w:r>
    </w:p>
    <w:p w:rsidR="00A31137" w:rsidRPr="00A31137" w:rsidRDefault="00A31137" w:rsidP="00A31137">
      <w:r w:rsidRPr="00A31137">
        <w:t xml:space="preserve">Technology in the classroom.  We must bring the 21st century into every classroom in America.  There is a vast realm of knowledge waiting for our children to tap into.  Computers are powerful tools to teach students to read better, write better, and understand math.  President Clinton and Vice President Gore understand that technological literacy is essential to success in the new economy.  The only way to achieve that for every student is to give them all access to a computer, good software, trained teachers, and the Internet—and President Clinton and Vice President Gore have launched a partnership with high-tech companies, schools, state, and local governments to wire every classroom and library to the Information Superhighway by the year 2000. </w:t>
      </w:r>
    </w:p>
    <w:p w:rsidR="00A31137" w:rsidRPr="00A31137" w:rsidRDefault="00A31137" w:rsidP="00A31137">
      <w:r w:rsidRPr="00A31137">
        <w:t>1996 Democratic Party Platform</w:t>
      </w:r>
    </w:p>
    <w:p w:rsidR="00A31137" w:rsidRPr="00A31137" w:rsidRDefault="00A31137" w:rsidP="00A31137">
      <w:r w:rsidRPr="00A31137">
        <w:t>Preparing students for jobs.  We passed School-to-Work so young people can learn the skills they need to get and keep high wage jobs.  The Republican Congress is trying to destroy it, and we pledge to stop them.  We want to keep working with the private sector, to encourage community partnerships that build the bridge between a good education and a good job.</w:t>
      </w:r>
    </w:p>
    <w:p w:rsidR="00A31137" w:rsidRPr="00A31137" w:rsidRDefault="00A31137" w:rsidP="00A31137">
      <w:r w:rsidRPr="00A31137">
        <w:t>1996 Democratic Party Platform</w:t>
      </w:r>
    </w:p>
    <w:p w:rsidR="00A31137" w:rsidRPr="00A31137" w:rsidRDefault="00A31137" w:rsidP="00A31137">
      <w:r w:rsidRPr="00A31137">
        <w:t xml:space="preserve">Higher education for all Americans. Finally, we must make sure that every American has the opportunity to go to college.   Higher education is the key to a successful future in the 21st century.  The typical worker with a college education earns 73 percent more than one without.  America has the best higher education in the world.  We do not need to change it—we need to make it available for all Americans.  Our goal must be nothing less than to make the 13th and 14th years of education as universal as the first 12.  </w:t>
      </w:r>
    </w:p>
    <w:p w:rsidR="00A31137" w:rsidRPr="00A31137" w:rsidRDefault="00A31137" w:rsidP="00A31137">
      <w:r w:rsidRPr="00A31137">
        <w:t>1996 Democratic Party Platform</w:t>
      </w:r>
    </w:p>
    <w:p w:rsidR="00A31137" w:rsidRPr="00A31137" w:rsidRDefault="00A31137" w:rsidP="00A31137">
      <w:r w:rsidRPr="00A31137">
        <w:t>Over the last four years, the Democratic Party under President Clinton has put an unprecedented college opportunity strategy in place: We reformed the student loan program, to make college more affordable for 5.5 million students—and we saved money for the taxpayers by eliminating the middleman, cutting red tape, and cutting the cost of student loan defaults in half. We have expanded Pell Grant college scholarships for deserving students. And the President's national service program has already helped 45,000 Americans earn money for college by helping their communities.</w:t>
      </w:r>
    </w:p>
    <w:p w:rsidR="00A31137" w:rsidRPr="00A31137" w:rsidRDefault="00A31137" w:rsidP="00A31137">
      <w:r w:rsidRPr="00A31137">
        <w:t>1996 Democratic Party Platform</w:t>
      </w:r>
    </w:p>
    <w:p w:rsidR="00A31137" w:rsidRPr="00A31137" w:rsidRDefault="00A31137" w:rsidP="00A31137">
      <w:r w:rsidRPr="00A31137">
        <w:t>Tax cuts for college.  Over the next four years, we want to go even further: We should expand work-study so one million students a year can work their way through college by the year 2000. We should allow people to use money from their IRA to help pay for college. We should give a $1000 honor scholarship for the top 5 percent of graduates in every high school.  And we must make 14 years of education the standard for every American.  The Democratic Party wants to create a $10,000 tax deduction for families to help pay for education after high school. And we want to create a $1,500 tax cut for Americans, modeled after Georgia's successful HOPE scholarships, to guarantee the first year of tuition at a typical community college, and the second year if individuals earn it by maintaining a B average.  No tax cut will do more to raise American incomes than a tax cut to pay for college.</w:t>
      </w:r>
    </w:p>
    <w:p w:rsidR="00A31137" w:rsidRPr="00A31137" w:rsidRDefault="00A31137" w:rsidP="00A31137">
      <w:r w:rsidRPr="00A31137">
        <w:t>1996 Democratic Party Platform</w:t>
      </w:r>
    </w:p>
    <w:p w:rsidR="00A31137" w:rsidRPr="00A31137" w:rsidRDefault="00A31137" w:rsidP="00A31137">
      <w:r w:rsidRPr="00A31137">
        <w:t>Economic security for American families in the 21st century. In the old economy, most workers could count on one job for life.  They knew that hard work was rewarded with raises and steady jobs; they were confident the company would take care of them, their families, their health, and their retirement.  Success was tied to the success of their employer: sacrifice when times were tough and a share in the wealth when times were good.  In the new economy, the rules have changed.  We need to find new ways to help working families find economic security: better training to help workers learn skills to get new and better jobs; the security of good health care and safe pensions so they can take care of themselves and their families.  This is a challenge that American workers and managers are ready to face, and the Democratic Party will continue to tackle.</w:t>
      </w:r>
    </w:p>
    <w:p w:rsidR="00A31137" w:rsidRPr="00A31137" w:rsidRDefault="00A31137" w:rsidP="00A31137">
      <w:r w:rsidRPr="00A31137">
        <w:t>1996 Democratic Party Platform</w:t>
      </w:r>
    </w:p>
    <w:p w:rsidR="00A31137" w:rsidRPr="00A31137" w:rsidRDefault="00A31137" w:rsidP="00A31137">
      <w:r w:rsidRPr="00A31137">
        <w:t>Rewarding work.  We honor work in America.  Americans work hard, and they have a right to expect that work will pay.  We want to continue reversing the trend of the eighties, so all Americans benefit from continued economic growth and rising wages.  The President and Democrats in Congress raised the minimum wage to $5.15 an hour, after defeating fierce Republican opposition led by Senator Dole and Speaker Gingrich.  We believe the minimum wage should be a wage you can live on.  President Clinton and Congressional Democrats fought for and won the largest expansion of the Earned Income Tax Credit in history, a tax cut for 15 million working families, because no parent who takes the responsibility to work full time should have to raise children in poverty.  We want to strengthen families, and we challenge the private sector to help their workers earn enough to support a family.</w:t>
      </w:r>
    </w:p>
    <w:p w:rsidR="00A31137" w:rsidRPr="00A31137" w:rsidRDefault="00A31137" w:rsidP="00A31137">
      <w:r w:rsidRPr="00A31137">
        <w:t>1996 Democratic Party Platform</w:t>
      </w:r>
    </w:p>
    <w:p w:rsidR="00A31137" w:rsidRPr="00A31137" w:rsidRDefault="00A31137" w:rsidP="00A31137">
      <w:r w:rsidRPr="00A31137">
        <w:t>Health care. The Democratic Party is committed to ensuring that Americans have access to affordable, high-quality health care.  Because of President Clinton=s determined leadership and the tireless efforts of Democrats in Congress, we passed the Kennedy-Kassebaum health reform bill to stop insurance companies from denying coverage to families where one member has a preexisting condition, and to make sure that people can take their health insurance with them when they change jobs.  No more Americans should have to turn down a better job because they would lose their health care if they took it.  We have expanded the Women, Infants, and Children program that provides prenatal and early childhood nutrition, so that all eligible women, infants, and children will have access to the health and nutrition services they need.  We established a comprehensive effort to immunize children, after defeating Republican opposition led by Senator Dole.  Last year, the percentage of two-year-olds in America who were fully immunized reached an historic high.</w:t>
      </w:r>
    </w:p>
    <w:p w:rsidR="00A31137" w:rsidRPr="00A31137" w:rsidRDefault="00A31137" w:rsidP="00A31137">
      <w:r w:rsidRPr="00A31137">
        <w:t>1996 Democratic Party Platform</w:t>
      </w:r>
    </w:p>
    <w:p w:rsidR="00A31137" w:rsidRPr="00A31137" w:rsidRDefault="00A31137" w:rsidP="00A31137">
      <w:r w:rsidRPr="00A31137">
        <w:t>The Clinton-Gore Administration has dramatically shortened the approval process for new lifesaving drugs at the Food and Drug Administration and will continue to work to streamline the process further; and we have made AIDS research, prevention, and treatment a top priority, increasing funding by almost 40 percent, including more than doubling the Ryan White Care Act to help care for people with AIDS.  We are committed to finding a cure for AIDS, combating HIV-related discrimination, supporting HOPWA funding to help with housing for people living with AIDS, and working to ensure that all Americans living with AIDS have access to new and potentially lifesaving drugs; serious biomedical research which promises breakthroughs for so many diseases; and doing more to help all Americans live longer, healthier lives.  We recognize the enormous contribution of our teaching hospitals and medical schools—they lay the foundation for the best medical care in the world, and we will continue to promote policies that strengthen them.</w:t>
      </w:r>
    </w:p>
    <w:p w:rsidR="00A31137" w:rsidRPr="00A31137" w:rsidRDefault="00A31137" w:rsidP="00A31137">
      <w:r w:rsidRPr="00A31137">
        <w:t>1996 Democratic Party Platform</w:t>
      </w:r>
    </w:p>
    <w:p w:rsidR="00A31137" w:rsidRPr="00A31137" w:rsidRDefault="00A31137" w:rsidP="00A31137">
      <w:r w:rsidRPr="00A31137">
        <w:t>We have paid special attention to women's health issues, including a 65 percent increase for breast cancer research.  We are committed to finding a cure for breast cancer and we pledge to continue supporting funds for innovative research, and access for all women to high quality treatment and care.</w:t>
      </w:r>
    </w:p>
    <w:p w:rsidR="00A31137" w:rsidRPr="00A31137" w:rsidRDefault="00A31137" w:rsidP="00A31137">
      <w:r w:rsidRPr="00A31137">
        <w:t>1996 Democratic Party Platform</w:t>
      </w:r>
    </w:p>
    <w:p w:rsidR="00A31137" w:rsidRPr="00A31137" w:rsidRDefault="00A31137" w:rsidP="00A31137">
      <w:r w:rsidRPr="00A31137">
        <w:t>The Democratic Party is proud that we held the line against the Republicans= mean-spirited Medicare and Medicaid cuts that would risk the health care of millions of Americans, from infants to seniors.  Senator Dole voted against Medicare when it was first created, boasts about it today, and now Republican leaders want Medicare to Awither on the vine."  The Dole-Gingrich Medicare plan would put millions of our parents into a second class health care system for the first time in their lives, and we will not stand for it.  The Dole-Gingrich Medicaid plan would end the guarantee to meaningful health benefits for millions of children, older Americans, and people with disabilities. President Clinton forced Republicans to put aside their attempt to block grant Medicaid, and insisted that welfare reform protects women and children by maintaining the Medicaid guarantee.  The Democratic Party wants America to preserve and strengthen Medicare and Medicaid, so we honor our values and protect the health of our children, parents, and grandparents, ensuring they can get the health care they need, from doctors= visits to long-term care.</w:t>
      </w:r>
    </w:p>
    <w:p w:rsidR="00A31137" w:rsidRPr="00A31137" w:rsidRDefault="00A31137" w:rsidP="00A31137">
      <w:r w:rsidRPr="00A31137">
        <w:t>1996 Democratic Party Platform</w:t>
      </w:r>
    </w:p>
    <w:p w:rsidR="00A31137" w:rsidRPr="00A31137" w:rsidRDefault="00A31137" w:rsidP="00A31137">
      <w:r w:rsidRPr="00A31137">
        <w:t>In 1993—without a single Republican vote—President Clinton and Democrats in Congress extended the Medicare Trust Fund into the 21st century.  We have given 12 states more flexibility to run their Medicaid programs more efficiently and expand coverage, while maintaining the guarantee of meaningful benefits.  When these plans are implemented, two million more Americans will have health insurance because of them. We have given Medicare beneficiaries more health plan choices and increased benefits.  We have cracked down on health care waste, fraud, and abuse, saving more than $15 billion in three years.  Now we must finish the job—we can balance the budget while we preserve and strengthen Medicare and Medicaid, protecting millions of middle class families from being overwhelmed by health care costs for their parents, children, or family members with disabilities.</w:t>
      </w:r>
    </w:p>
    <w:p w:rsidR="00A31137" w:rsidRPr="00A31137" w:rsidRDefault="00A31137" w:rsidP="00A31137">
      <w:r w:rsidRPr="00A31137">
        <w:t>1996 Democratic Party Platform</w:t>
      </w:r>
    </w:p>
    <w:p w:rsidR="00A31137" w:rsidRPr="00A31137" w:rsidRDefault="00A31137" w:rsidP="00A31137">
      <w:r w:rsidRPr="00A31137">
        <w:t>In the next four years, we must take further steps to ensure that Americans have access to quality, affordable health care.  We should start by making sure that people get help paying premiums so they do not lose health care while they're looking for a new job.  We support expanded coverage of home care, hospice, adult day-care, and community-based services, so the elderly and people with disabilities of all ages can live in their own communities and as independently as possible.  We are disappointed Congress walked away from bipartisan efforts to provide mental health parity; we believe health insurance coverage for mental health care is vitally important and we support parity for mental health care.</w:t>
      </w:r>
    </w:p>
    <w:p w:rsidR="00A31137" w:rsidRPr="00A31137" w:rsidRDefault="00A31137" w:rsidP="00A31137">
      <w:r w:rsidRPr="00A31137">
        <w:t>1996 Democratic Party Platform</w:t>
      </w:r>
    </w:p>
    <w:p w:rsidR="00A31137" w:rsidRPr="00A31137" w:rsidRDefault="00A31137" w:rsidP="00A31137">
      <w:r w:rsidRPr="00A31137">
        <w:t>Retirement. Over the last four years, President Clinton took strong steps to protect the pensions of more than 40 million workers and retirees by fixing the federal pension insurance system and demanding that companies fund their retirement plans fully.  We established a nationwide retirement protection program to protect workers' 401K retirement savings from fraud and abuse.  We recognize the unique concerns of women when it comes to preparing for retirement and have worked to protect women's pension rights.</w:t>
      </w:r>
    </w:p>
    <w:p w:rsidR="00A31137" w:rsidRPr="00A31137" w:rsidRDefault="00A31137" w:rsidP="00A31137">
      <w:r w:rsidRPr="00A31137">
        <w:t>1996 Democratic Party Platform</w:t>
      </w:r>
    </w:p>
    <w:p w:rsidR="00A31137" w:rsidRPr="00A31137" w:rsidRDefault="00A31137" w:rsidP="00A31137">
      <w:r w:rsidRPr="00A31137">
        <w:t>Over the next four years, we want to take further steps to make sure that Americans who have worked hard for their whole lives can enjoy retirement in the dignity and security they have earned.  We want to make sure people can carry their pensions with them when they change jobs, protect pensions even further, and expand the number of workers with pension coverage. We will continue to support the Railroad Retirement System. Democrats created Social Security, we oppose efforts to dismantle it, and we will fight to save it.  We must ensure that it is on firm financial footing well into the next century.  We call on Republicans to put politics aside and join us in a serious bipartisan effort to make sure that Social Security will continue to provide true security for future generations, as it has done for millions of older Americans for decades.</w:t>
      </w:r>
    </w:p>
    <w:p w:rsidR="00A31137" w:rsidRPr="00A31137" w:rsidRDefault="00A31137" w:rsidP="00A31137">
      <w:r w:rsidRPr="00A31137">
        <w:t>1996 Democratic Party Platform</w:t>
      </w:r>
    </w:p>
    <w:p w:rsidR="00A31137" w:rsidRPr="00A31137" w:rsidRDefault="00A31137" w:rsidP="00A31137">
      <w:r w:rsidRPr="00A31137">
        <w:t xml:space="preserve">Training. We must do more to make sure all Americans have the skills they need to compete.  We want a G.I. Bill for Workers to transform the confusing tangle of federal training programs into a simple job-training skill grant that will go directly to unemployed workers so they will be able to get the training that is right for them.  We want to strengthen training opportunities for people with disabilities, so they can learn the skills they need to live independent, productive lives. </w:t>
      </w:r>
    </w:p>
    <w:p w:rsidR="00A31137" w:rsidRPr="00A31137" w:rsidRDefault="00A31137" w:rsidP="00A31137">
      <w:r w:rsidRPr="00A31137">
        <w:t>1996 Democratic Party Platform</w:t>
      </w:r>
    </w:p>
    <w:p w:rsidR="00A31137" w:rsidRPr="00A31137" w:rsidRDefault="00A31137" w:rsidP="00A31137">
      <w:r w:rsidRPr="00A31137">
        <w:t>Standing up for working Americans.  We nearly doubled funding for the dislocated worker program and launched special projects to help workers displaced by base closures, natural disasters, and mass layoffs.  We are reforming OSHA so it can do a better job to protect worker safety with less red tape, and we continue to oppose Republican efforts to gut it.  We beat back efforts to undermine workers' rights to form and join unions and to dismantle the enforcement powers of the National Labor Relations Board.  The Democratic Party is committed to prompt, fair, impartial, protection of workers and the traveling and shipping public by improving the speed, efficiency, authority, and efficacy of the FAA and the FRA.  We vigorously oppose Republican efforts to pass Right-to-Work legislation, and we are proud the President vetoed efforts to undermine collective bargaining through the TEAM Act.  We are working to eradicate sweatshops in the U.S. apparel industry by stepping up enforcement and public education.  We oppose the hiring of permanent workers to replace lawful economic strikers; we support the President's action to stop the government from procuring goods and services from companies that do so; and we support legislation to prohibit the permanent replacement of lawfully striking workers. We believe in equal pay for equal work and pay equity.</w:t>
      </w:r>
    </w:p>
    <w:p w:rsidR="00A31137" w:rsidRPr="00A31137" w:rsidRDefault="00A31137" w:rsidP="00A31137">
      <w:r w:rsidRPr="00A31137">
        <w:t>1996 Democratic Party Platform</w:t>
      </w:r>
    </w:p>
    <w:p w:rsidR="00A31137" w:rsidRPr="00A31137" w:rsidRDefault="00A31137" w:rsidP="00A31137">
      <w:r w:rsidRPr="00A31137">
        <w:t>Promoting economic growth and opportunity for all Americans. We know that it is good for America when small, minority, and women-owned businesses have the opportunity to grow and prosper.  These business-owners create new jobs, expand opportunities, and serve as powerful role models for young people.  Over the last four years, the President has transformed the Small Business Administration to eliminate burdensome paperwork and deliver real assistance to entrepreneurs as they work to start or expand their businesses. At the same time, since Bill Clinton became President, we have more than doubled the number of loans to small businesses, nearly tripled loans to minority businesses, and quadrupled loans to women-owned businesses.  The President ordered all federal agencies to comply with laws designed to ensure that small, minority, and women-owned businesses can compete for their fair share of procurement dollars.  We are committed to continued efforts to expand opportunity for small, minority, and women business owners.</w:t>
      </w:r>
    </w:p>
    <w:p w:rsidR="00A31137" w:rsidRPr="00A31137" w:rsidRDefault="00A31137" w:rsidP="00A31137">
      <w:r w:rsidRPr="00A31137">
        <w:t>1996 Democratic Party Platform</w:t>
      </w:r>
    </w:p>
    <w:p w:rsidR="00A31137" w:rsidRPr="00A31137" w:rsidRDefault="00A31137" w:rsidP="00A31137">
      <w:r w:rsidRPr="00A31137">
        <w:t>Clean, affordable energy. Clean, abundant, and reliable energy is essential to a strong American economy.  We support investment in research and development to spur domestic energy production and enhance efficiency.  New technologies—natural gas, energy efficiency, renewable energy—developed in partnership with American industries and scientists are increasing productivity and creating jobs.  We believe America should reduce its dependence on foreign energy sources.</w:t>
      </w:r>
    </w:p>
    <w:p w:rsidR="00A31137" w:rsidRPr="00A31137" w:rsidRDefault="00A31137" w:rsidP="00A31137">
      <w:r w:rsidRPr="00A31137">
        <w:t>1996 Democratic Party Platform</w:t>
      </w:r>
    </w:p>
    <w:p w:rsidR="00A31137" w:rsidRPr="00A31137" w:rsidRDefault="00A31137" w:rsidP="00A31137">
      <w:r w:rsidRPr="00A31137">
        <w:t>Corporate citizenship. Employers have a responsibility to do their part as well.  President Clinton and the Democratic Party stand on the side of working families.  We believe that values like loyalty, fairness, and responsibility are not inconsistent with the bottom line.  The Democratic Party insists that corporate leaders invest in the long-term, by providing workers with living wages and benefits, education and training, a safe, healthy place to work, and opportunities for greater involvement in company decision making and ownership.  Employers must make sure workers share in the benefits of the good years, as well as the burdens of the bad ones.  Employers must offer employees the opportunity to share in the profits they help create.  Employers must respect the commitment of workers to their families, and must work to provide good pensions and health care.  When CEOs put their workers and long-term success ahead of short-term gain, their workers will do better and so will they.</w:t>
      </w:r>
    </w:p>
    <w:p w:rsidR="00A31137" w:rsidRPr="00A31137" w:rsidRDefault="00A31137" w:rsidP="00A31137">
      <w:r w:rsidRPr="00A31137">
        <w:t>Responsibility</w:t>
      </w:r>
    </w:p>
    <w:p w:rsidR="00A31137" w:rsidRPr="00A31137" w:rsidRDefault="00A31137" w:rsidP="00A31137">
      <w:r w:rsidRPr="00A31137">
        <w:t>1996 Democratic Party Platform</w:t>
      </w:r>
    </w:p>
    <w:p w:rsidR="00A31137" w:rsidRPr="00A31137" w:rsidRDefault="00A31137" w:rsidP="00A31137">
      <w:r w:rsidRPr="00A31137">
        <w:t xml:space="preserve">Today's Democratic Party knows that the era of big government is over. Big bureaucracies and Washington solutions are not the real answers to today's challenges.  We need a smaller government … and we must have a larger national spirit. Government's job should be to give people the tools they need to make the most of their own lives.  Americans must take the responsibility to use them, to build good lives for themselves and their families.  Personal responsibility is the most powerful force we have to meet our challenges and shape the future we want for ourselves, for our children, and for America.  </w:t>
      </w:r>
    </w:p>
    <w:p w:rsidR="00A31137" w:rsidRPr="00A31137" w:rsidRDefault="00A31137" w:rsidP="00A31137">
      <w:r w:rsidRPr="00A31137">
        <w:t>1996 Democratic Party Platform</w:t>
      </w:r>
    </w:p>
    <w:p w:rsidR="00A31137" w:rsidRPr="00A31137" w:rsidRDefault="00A31137" w:rsidP="00A31137">
      <w:r w:rsidRPr="00A31137">
        <w:t>Fighting crime.  Today's Democratic Party believes the first responsibility of government is law and order.  Four years ago, crime in America seemed intractable.  The violent crime rate and the murder rate had climbed for seven straight years.  Drugs seemed to flow freely across our borders and into our neighborhoods.  Convicted felons could walk into any gun shop and buy a handgun.  Military-style assault weapons were sold freely.  Our people didn't feel safe in their homes, walking their streets, or even sending their children to school.  Under the thumb of special interests like the gun lobby, Republicans talked tough about crime but did nothing to fight it.</w:t>
      </w:r>
    </w:p>
    <w:p w:rsidR="00A31137" w:rsidRPr="00A31137" w:rsidRDefault="00A31137" w:rsidP="00A31137">
      <w:r w:rsidRPr="00A31137">
        <w:t>1996 Democratic Party Platform</w:t>
      </w:r>
    </w:p>
    <w:p w:rsidR="00A31137" w:rsidRPr="00A31137" w:rsidRDefault="00A31137" w:rsidP="00A31137">
      <w:r w:rsidRPr="00A31137">
        <w:t xml:space="preserve">Bill Clinton promised to turn things around, and that is exactly what he did.  After a long hard fight, President Clinton beat back fierce Republican opposition, led by Senator Dole and Speaker Gingrich, to answer the call of America's police officers and pass the toughest Crime Bill in history.  The Democratic Party under President Clinton is putting more police on the streets and tougher penalties on the books; we are taking guns off the streets and working to steer young people away from crime and gangs and drugs in the first place.  And it is making a difference.  In city after city and town after town, crime rates are finally coming down.  </w:t>
      </w:r>
    </w:p>
    <w:p w:rsidR="00A31137" w:rsidRPr="00A31137" w:rsidRDefault="00A31137" w:rsidP="00A31137">
      <w:r w:rsidRPr="00A31137">
        <w:t>1996 Democratic Party Platform</w:t>
      </w:r>
    </w:p>
    <w:p w:rsidR="00A31137" w:rsidRPr="00A31137" w:rsidRDefault="00A31137" w:rsidP="00A31137">
      <w:r w:rsidRPr="00A31137">
        <w:t>Community policing.  Nothing is more effective in the fight against crime than police officers on the beat, engaged in community policing.  The Crime Bill is putting 100,000 new police officers on the street.  We deplore cynical Republican attempts to undermine our promise to America to put 100,000 new police officers on the street.  We pledge to stand up for our communities and stand with our police officers by opposing any attempt to repeal or weaken this effort.  But we know that community policing only works when the community works with the police.  We echo the President's challenge to Americans: If 50 citizens joined each of America's 20,000 neighborhood watch groups, we would have a citizen force of one million strong to give our police forces the backup they need.</w:t>
      </w:r>
    </w:p>
    <w:p w:rsidR="00A31137" w:rsidRPr="00A31137" w:rsidRDefault="00A31137" w:rsidP="00A31137">
      <w:r w:rsidRPr="00A31137">
        <w:t>1996 Democratic Party Platform</w:t>
      </w:r>
    </w:p>
    <w:p w:rsidR="00A31137" w:rsidRPr="00A31137" w:rsidRDefault="00A31137" w:rsidP="00A31137">
      <w:r w:rsidRPr="00A31137">
        <w:t>Protecting our children, our neighborhoods, and our police from criminals with guns. Bob Dole, Newt Gingrich, and George Bush were able to hold the Brady Bill hostage for the gun lobby until Bill Clinton became President.  With his leadership, we made the Brady Bill the law of the land.  And because we did, more than 60,000 felons, fugitives, and stalkers have been stopped from buying guns.  President Clinton led the fight to ban 19 deadly assault weapons, designed for one purpose only—to kill human beings.  We oppose efforts to restrict weapons used for legitimate sporting purposes, and we are proud that not one hunter or sportsman was forced to change guns because of the assault weapons ban.  But we know that the military-style guns we banned have no place on America's streets, and we are proud of the courageous Democrats who defied the gun lobby and sacrificed their seats in Congress to make America safer.</w:t>
      </w:r>
    </w:p>
    <w:p w:rsidR="00A31137" w:rsidRPr="00A31137" w:rsidRDefault="00A31137" w:rsidP="00A31137">
      <w:r w:rsidRPr="00A31137">
        <w:t>1996 Democratic Party Platform</w:t>
      </w:r>
    </w:p>
    <w:p w:rsidR="00A31137" w:rsidRPr="00A31137" w:rsidRDefault="00A31137" w:rsidP="00A31137">
      <w:r w:rsidRPr="00A31137">
        <w:t>Today's Democratic Party stands with America's police officers.  We are proud to tell them that as long as Bill Clinton and Al Gore are in the White House, any attempt to repeal the Brady Bill or assault weapons ban will be met with a veto.  We must do everything we can to stand behind our police officers, and the first thing we should do is pass a ban on cop-killer bullets.  Any bullet that can rip through a bulletproof vest should be against the law; that is the least we can do to protect the brave police officers who risk their lives to protect us.</w:t>
      </w:r>
    </w:p>
    <w:p w:rsidR="00A31137" w:rsidRPr="00A31137" w:rsidRDefault="00A31137" w:rsidP="00A31137">
      <w:r w:rsidRPr="00A31137">
        <w:t>1996 Democratic Party Platform</w:t>
      </w:r>
    </w:p>
    <w:p w:rsidR="00A31137" w:rsidRPr="00A31137" w:rsidRDefault="00A31137" w:rsidP="00A31137">
      <w:r w:rsidRPr="00A31137">
        <w:t>Tough punishment. We believe that people who break the law should be punished, and people who commit violent crimes should be punished severely. President Clinton made three-strikes-you're-out the law of the land, to ensure that the most dangerous criminals go to jail for life, with no chance of parole.  We established the death penalty for nearly 60 violent crimes, including murder of a law enforcement officer,  and we signed a law to limit appeals.  The Democratic Party is a party of inclusion, and we respect the conscience of all Americans on this issue.</w:t>
      </w:r>
    </w:p>
    <w:p w:rsidR="00A31137" w:rsidRPr="00A31137" w:rsidRDefault="00A31137" w:rsidP="00A31137">
      <w:r w:rsidRPr="00A31137">
        <w:t>1996 Democratic Party Platform</w:t>
      </w:r>
    </w:p>
    <w:p w:rsidR="00A31137" w:rsidRPr="00A31137" w:rsidRDefault="00A31137" w:rsidP="00A31137">
      <w:r w:rsidRPr="00A31137">
        <w:t>We provided almost $8 billion in new funding to help states build new prison cells so violent offenders serve their full sentences.  We call on the states to meet the President's challenge and guarantee that serious violent criminals serve at least 85 percent of their sentence.  The American people deserve a criminal justice system in which criminals are caught, the guilty are convicted, and the convicted serve their time.</w:t>
      </w:r>
    </w:p>
    <w:p w:rsidR="00A31137" w:rsidRPr="00A31137" w:rsidRDefault="00A31137" w:rsidP="00A31137">
      <w:r w:rsidRPr="00A31137">
        <w:t>1996 Democratic Party Platform</w:t>
      </w:r>
    </w:p>
    <w:p w:rsidR="00A31137" w:rsidRPr="00A31137" w:rsidRDefault="00A31137" w:rsidP="00A31137">
      <w:r w:rsidRPr="00A31137">
        <w:t>Fighting youth violence and preventing youth crime. Nothing we do to fight crime is more important than fighting the crime and violence that threatens our children.  We have to protect them from criminals who prey on them—and we have to teach them good values and give them something to say yes to, so they stay away from crime and trouble in the first place.</w:t>
      </w:r>
    </w:p>
    <w:p w:rsidR="00A31137" w:rsidRPr="00A31137" w:rsidRDefault="00A31137" w:rsidP="00A31137">
      <w:r w:rsidRPr="00A31137">
        <w:t>1996 Democratic Party Platform</w:t>
      </w:r>
    </w:p>
    <w:p w:rsidR="00A31137" w:rsidRPr="00A31137" w:rsidRDefault="00A31137" w:rsidP="00A31137">
      <w:r w:rsidRPr="00A31137">
        <w:t>The Democratic Party understands what the police have been saying for years: The best way to fight crime is to prevent it.  That is why we fought for drug-education and gang-prevention programs in our schools.  We support well thought out, well organized, highly supervised youth programs to provide young people with a safe and healthy alternative to hanging out on the streets.  We made it a federal crime for any person under the age of 18 to possess a handgun except when supervised by an adult.  Democrats fought to pass, and President Clinton ordered states to impose, zero tolerance for guns in school, requiring schools to expel for one year any student who brings a gun to school.</w:t>
      </w:r>
    </w:p>
    <w:p w:rsidR="00A31137" w:rsidRPr="00A31137" w:rsidRDefault="00A31137" w:rsidP="00A31137">
      <w:r w:rsidRPr="00A31137">
        <w:t>1996 Democratic Party Platform</w:t>
      </w:r>
    </w:p>
    <w:p w:rsidR="00A31137" w:rsidRPr="00A31137" w:rsidRDefault="00A31137" w:rsidP="00A31137">
      <w:r w:rsidRPr="00A31137">
        <w:t>At the same time, when young people cross the line, they must be punished.  When young people commit serious violent crimes, they should be prosecuted like adults.  We established boot camps for young non-violent offenders.  If Senator Dole and the Republicans are serious about fighting juvenile crime, they should listen to America's police officers and support the steps Democrats have taken, because they are making a difference, and then they should join us as we work to do more.</w:t>
      </w:r>
    </w:p>
    <w:p w:rsidR="00A31137" w:rsidRPr="00A31137" w:rsidRDefault="00A31137" w:rsidP="00A31137">
      <w:r w:rsidRPr="00A31137">
        <w:t>1996 Democratic Party Platform</w:t>
      </w:r>
    </w:p>
    <w:p w:rsidR="00A31137" w:rsidRPr="00A31137" w:rsidRDefault="00A31137" w:rsidP="00A31137">
      <w:r w:rsidRPr="00A31137">
        <w:t xml:space="preserve">We want parents to bring order to their children's lives and teach them right from wrong, and we want to make it easier for them to take that responsibility.  We support schools that adopt school uniform policies, to promote discipline and respect.  We support community-based curfews to keep kids off the street after a certain time, so they're safe from harm and away from trouble.  We urge schools and communities to enforce truancy laws: Young people belong in school, not on the street. </w:t>
      </w:r>
    </w:p>
    <w:p w:rsidR="00A31137" w:rsidRPr="00A31137" w:rsidRDefault="00A31137" w:rsidP="00A31137">
      <w:r w:rsidRPr="00A31137">
        <w:t>1996 Democratic Party Platform</w:t>
      </w:r>
    </w:p>
    <w:p w:rsidR="00A31137" w:rsidRPr="00A31137" w:rsidRDefault="00A31137" w:rsidP="00A31137">
      <w:r w:rsidRPr="00A31137">
        <w:t>We also know that we must do everything we can to help families protect their children, especially from dangerous criminals who have made a dark habit of preying on young people. Study after study shows that sex offenders are likely to repeat their crimes again and again.  Under President Clinton, we have taken strong steps to help keep children safe.  We required every state in the country to compile a registry of sex offenders.  The President signed Megan's Law to require that states tell a community whenever a dangerous sexual predator enters its midst. We support the President's directive to the Attorney General, calling on her to work with the states and Congress to develop a national sex offender registry.  This will ensure that police officers in every state can get the information they need from any state to track sex offenders down and bring them to justice when they commit new crimes.</w:t>
      </w:r>
    </w:p>
    <w:p w:rsidR="00A31137" w:rsidRPr="00A31137" w:rsidRDefault="00A31137" w:rsidP="00A31137">
      <w:r w:rsidRPr="00A31137">
        <w:t>1996 Democratic Party Platform</w:t>
      </w:r>
    </w:p>
    <w:p w:rsidR="00A31137" w:rsidRPr="00A31137" w:rsidRDefault="00A31137" w:rsidP="00A31137">
      <w:r w:rsidRPr="00A31137">
        <w:t>Battling illegal drugs. We must keep drugs off our streets and out of our schools.  President Clinton and the Democratic Party have waged an aggressive war on drugs. The Crime Bill established the death penalty for drug kingpins.  The President signed a directive requiring drug testing of anyone arrested for a federal crime, and he challenged states to do the same for state offenders. We established innovative drug courts which force drug users to get treatment or go to jail.  We stood firm against Republican efforts to gut the Safe and Drug Free Schools effort that supports successful drug-education programs like D.A.R.E.  The Clinton Administration went to the Supreme Court to support the right of schools to test athletes for drugs. The President launched Operation Safe Home to protect the law-abiding residents of public housing from violent criminals and drug dealers who use their homes as a base for illegal activities.  We support the President's decision to tell those who commit crimes and peddle drugs in public housing: You will get no second chance to threaten your neighbors; it is one strike and you're out.  We are making progress.  Overall drug use in America is dropping; the number of Americans who use cocaine has dropped 30 percent since 1992.  Unfortunately casual drug use by young people continues to climb. We must redouble our efforts against drug abuse everywhere, especially among our children.</w:t>
      </w:r>
    </w:p>
    <w:p w:rsidR="00A31137" w:rsidRPr="00A31137" w:rsidRDefault="00A31137" w:rsidP="00A31137">
      <w:r w:rsidRPr="00A31137">
        <w:t>1996 Democratic Party Platform</w:t>
      </w:r>
    </w:p>
    <w:p w:rsidR="00A31137" w:rsidRPr="00A31137" w:rsidRDefault="00A31137" w:rsidP="00A31137">
      <w:r w:rsidRPr="00A31137">
        <w:t>Earlier this year, the President appointed General Barry McCaffrey to lead the nation's war on drugs.  General McCaffrey is implementing an aggressive four part strategy to reach young children and prevent drug use in the first place; to catch and punish drug users and dealers; to provide treatment to those who need help; and to cut drugs off at the source before they cross the border and pollute our neighborhoods.  But every adult in America must take responsibility to set a good example, and to teach children that drugs are wrong, they are illegal, and they are deadly.</w:t>
      </w:r>
    </w:p>
    <w:p w:rsidR="00A31137" w:rsidRPr="00A31137" w:rsidRDefault="00A31137" w:rsidP="00A31137">
      <w:r w:rsidRPr="00A31137">
        <w:t>1996 Democratic Party Platform</w:t>
      </w:r>
    </w:p>
    <w:p w:rsidR="00A31137" w:rsidRPr="00A31137" w:rsidRDefault="00A31137" w:rsidP="00A31137">
      <w:r w:rsidRPr="00A31137">
        <w:t>Ending domestic violence. When it strikes, nothing is a more dangerous threat to the safety of our families than domestic violence, because it is a threat from within.  Unfortunately, violence against women is no stranger to America, but a dangerous intruder we must work together to drive from our homes.  We know that domestic violence is not a "family problem" or a "women's problem."  It is America's problem, and we must all fight it.  The Violence Against Women Act in the 1994 Crime Bill helps police officers, prosecutors, and judges to understand domestic violence, recognize it when they see it, and know how to deal with it.  In February, the President launched a 24 hour, seven-day, toll-free hotline so women in trouble can find out how to get emergency help, find shelter, and report abuse to the authorities.  The number is 1 800 799-SAFE.  Everyone who knows it should pass it on to anyone who might need it.  Every American must take the responsibility to stop this terrible scourge.  As we fight it, we must remember that the victims are not to blame.  This is a crime to be punished, not a secret to be concealed.</w:t>
      </w:r>
    </w:p>
    <w:p w:rsidR="00A31137" w:rsidRPr="00A31137" w:rsidRDefault="00A31137" w:rsidP="00A31137">
      <w:r w:rsidRPr="00A31137">
        <w:t>1996 Democratic Party Platform</w:t>
      </w:r>
    </w:p>
    <w:p w:rsidR="00A31137" w:rsidRPr="00A31137" w:rsidRDefault="00A31137" w:rsidP="00A31137">
      <w:r w:rsidRPr="00A31137">
        <w:t>We must do everything we can to make sure that the victims of violent crime are treated with the respect and the dignity they deserve.  We support the President's call for a constitutional amendment to protect the rights of victims.  We believe that when a plea bargain is entered in public, a criminal is sentenced, or a defendant is let out on bail, the victims ought to know about it, and have a say.  A constitutional amendment is the only way to protect those rights in every courtroom in America.</w:t>
      </w:r>
    </w:p>
    <w:p w:rsidR="00A31137" w:rsidRPr="00A31137" w:rsidRDefault="00A31137" w:rsidP="00A31137">
      <w:r w:rsidRPr="00A31137">
        <w:t>1996 Democratic Party Platform</w:t>
      </w:r>
    </w:p>
    <w:p w:rsidR="00A31137" w:rsidRPr="00A31137" w:rsidRDefault="00A31137" w:rsidP="00A31137">
      <w:r w:rsidRPr="00A31137">
        <w:t xml:space="preserve">Immigration. Democrats remember that we are a nation of immigrants.  We recognize the extraordinary contribution of immigrants to America throughout our history.  We welcome legal immigrants to America.  We support a legal immigration policy that is pro-family, pro-work, pro-responsibility, and pro-citizenship, and we deplore those who blame immigrants for economic and social problems.  </w:t>
      </w:r>
    </w:p>
    <w:p w:rsidR="00A31137" w:rsidRPr="00A31137" w:rsidRDefault="00A31137" w:rsidP="00A31137">
      <w:r w:rsidRPr="00A31137">
        <w:t>1996 Democratic Party Platform</w:t>
      </w:r>
    </w:p>
    <w:p w:rsidR="00A31137" w:rsidRPr="00A31137" w:rsidRDefault="00A31137" w:rsidP="00A31137">
      <w:r w:rsidRPr="00A31137">
        <w:t>We know that citizenship is the cornerstone of full participation in American life.  We are proud that the President launched Citizenship USA to help eligible immigrants become United States citizens.  The Immigration and Naturalization Service is streamlining procedures, cutting red tape, and using new technology to make it easier for legal immigrants to accept the responsibilities of citizenship and truly call America their home.</w:t>
      </w:r>
    </w:p>
    <w:p w:rsidR="00A31137" w:rsidRPr="00A31137" w:rsidRDefault="00A31137" w:rsidP="00A31137">
      <w:r w:rsidRPr="00A31137">
        <w:t>1996 Democratic Party Platform</w:t>
      </w:r>
    </w:p>
    <w:p w:rsidR="00A31137" w:rsidRPr="00A31137" w:rsidRDefault="00A31137" w:rsidP="00A31137">
      <w:r w:rsidRPr="00A31137">
        <w:t>Today's Democratic Party also believes we must remain a nation of laws.  We cannot tolerate illegal immigration and we must stop it.  For years before Bill Clinton became President, Washington talked tough but failed to act.  In 1992, our borders might as well not have existed.  The border was under-patrolled, and what patrols there were, were under-equipped.  Drugs flowed freely.  Illegal immigration was rampant. Criminal immigrants, deported after committing crimes in America, returned the very next day to commit crimes again.</w:t>
      </w:r>
    </w:p>
    <w:p w:rsidR="00A31137" w:rsidRPr="00A31137" w:rsidRDefault="00A31137" w:rsidP="00A31137">
      <w:r w:rsidRPr="00A31137">
        <w:t>1996 Democratic Party Platform</w:t>
      </w:r>
    </w:p>
    <w:p w:rsidR="00A31137" w:rsidRPr="00A31137" w:rsidRDefault="00A31137" w:rsidP="00A31137">
      <w:r w:rsidRPr="00A31137">
        <w:t>President Clinton is making our border a place where the law is respected and drugs and illegal immigrants are turned away.   We have increased the Border Patrol by over 40 percent; in El Paso, our Border Patrol agents are so close together they can see each other. Last year alone, the Clinton Administration removed thousands of illegal workers from jobs across the country.  Just since January of 1995, we have arrested more than 1,700 criminal aliens and prosecuted them on federal felony charges because they returned to America after having been deported.</w:t>
      </w:r>
    </w:p>
    <w:p w:rsidR="00A31137" w:rsidRPr="00A31137" w:rsidRDefault="00A31137" w:rsidP="00A31137">
      <w:r w:rsidRPr="00A31137">
        <w:t>1996 Democratic Party Platform</w:t>
      </w:r>
    </w:p>
    <w:p w:rsidR="00A31137" w:rsidRPr="00A31137" w:rsidRDefault="00A31137" w:rsidP="00A31137">
      <w:r w:rsidRPr="00A31137">
        <w:t>However, as we work to stop illegal immigration, we call on all Americans to avoid the temptation to use this issue to divide people from each other.  We deplore those who use the need to stop illegal immigration as a pretext for discrimination.  And we applaud the wisdom of Republicans like Mayor Giuliani and Senator Domenici who oppose the mean-spirited and short-sighted effort of Republicans in Congress to bar the children of illegal immigrants from schools—it is wrong, and forcing children onto the streets is an invitation for them to join gangs and turn to crime.  Democrats want to protect American jobs by increasing criminal and civil sanctions against employers who hire illegal workers, but Republicans continue to favor inflammatory rhetoric over real action.  We will continue to enforce labor standards to protect workers in vulnerable industries.  We continue to firmly oppose welfare benefits for illegal immigrants.  We believe family members who sponsor immigrants into this country should take financial responsibility for them, and be held legally responsible for supporting them.</w:t>
      </w:r>
    </w:p>
    <w:p w:rsidR="00A31137" w:rsidRPr="00A31137" w:rsidRDefault="00A31137" w:rsidP="00A31137">
      <w:r w:rsidRPr="00A31137">
        <w:t>1996 Democratic Party Platform</w:t>
      </w:r>
    </w:p>
    <w:p w:rsidR="00A31137" w:rsidRPr="00A31137" w:rsidRDefault="00A31137" w:rsidP="00A31137">
      <w:r w:rsidRPr="00A31137">
        <w:t>Welfare reform. Today's Democratic Party knows there is no greater gap between mainstream American values and modern American government than our failed welfare system.  When Bill Clinton became President, the welfare system undermined the very values—work, family, and personal responsibility—that it should promote.  The welfare system should reflect those values: we want to help people who want to help themselves and their children.</w:t>
      </w:r>
    </w:p>
    <w:p w:rsidR="00A31137" w:rsidRPr="00A31137" w:rsidRDefault="00A31137" w:rsidP="00A31137">
      <w:r w:rsidRPr="00A31137">
        <w:t>1996 Democratic Party Platform</w:t>
      </w:r>
    </w:p>
    <w:p w:rsidR="00A31137" w:rsidRPr="00A31137" w:rsidRDefault="00A31137" w:rsidP="00A31137">
      <w:r w:rsidRPr="00A31137">
        <w:t>Over the past four years, President Clinton has dramatically transformed the welfare system.  He has freed 43 states from federal rules and regulations so they can reform their welfare systems.  The Clinton Administration has granted 77 waivers—more than twice as many waivers as granted in the Reagan-Bush years.  For 75 percent of all Americans on welfare, the rules have changed for good already, and welfare is becoming what it should be: a second chance, not a way of life.  Welfare rolls are finally coming down—there are 1.8 million fewer people on welfare today than there were when President Clinton took office in January 1993.</w:t>
      </w:r>
    </w:p>
    <w:p w:rsidR="00A31137" w:rsidRPr="00A31137" w:rsidRDefault="00A31137" w:rsidP="00A31137">
      <w:r w:rsidRPr="00A31137">
        <w:t>1996 Democratic Party Platform</w:t>
      </w:r>
    </w:p>
    <w:p w:rsidR="00A31137" w:rsidRPr="00A31137" w:rsidRDefault="00A31137" w:rsidP="00A31137">
      <w:r w:rsidRPr="00A31137">
        <w:t xml:space="preserve">Now, because of the President's leadership and with the support of a majority of the Democrats in Congress, national welfare reform is going to make work and responsibility the law of the land.  Thanks to President Clinton and the Democrats, the new welfare bill includes the health care and child care people need so they can go to work confident their children will be cared for. Thanks to President Clinton and the Democrats, the new welfare bill imposes time limits and real work requirements—so anyone who can work, does work, and so that no one who can work can stay on welfare forever.  Thanks to President Clinton and the Democrats, the new welfare bill cracks down on deadbeat parents and requires minor mothers to live at home with their parents or with another responsible adult.  </w:t>
      </w:r>
    </w:p>
    <w:p w:rsidR="00A31137" w:rsidRPr="00A31137" w:rsidRDefault="00A31137" w:rsidP="00A31137">
      <w:r w:rsidRPr="00A31137">
        <w:t>1996 Democratic Party Platform</w:t>
      </w:r>
    </w:p>
    <w:p w:rsidR="00A31137" w:rsidRPr="00A31137" w:rsidRDefault="00A31137" w:rsidP="00A31137">
      <w:r w:rsidRPr="00A31137">
        <w:t>We are proud the President forced Congressional Republicans to abandon their wrong-headed and mean-spirited efforts to punish the poor.  Republicans wanted to eliminate the guarantee of health care for the poor, the elderly, and the disabled.   They were wrong, and we stopped them.  Republicans wanted to destroy the food stamp and school lunch programs that provide basic nutrition to millions of working families and poor children.  They were wrong, and we stopped them.  Republicans wanted to gut child abuse prevention and foster care.  They were wrong, and we stopped them.  Republicans wanted to cut off young, unwed mothers—because they actually thought their children would be better off living in an orphanage.  They were dead wrong, and we stopped them.  The bill Republicans in Congress passed last year was values-backward—it was soft on work and tough on children, and we applaud the President for stopping it.</w:t>
      </w:r>
    </w:p>
    <w:p w:rsidR="00A31137" w:rsidRPr="00A31137" w:rsidRDefault="00A31137" w:rsidP="00A31137">
      <w:r w:rsidRPr="00A31137">
        <w:t>1996 Democratic Party Platform</w:t>
      </w:r>
    </w:p>
    <w:p w:rsidR="00A31137" w:rsidRPr="00A31137" w:rsidRDefault="00A31137" w:rsidP="00A31137">
      <w:r w:rsidRPr="00A31137">
        <w:t xml:space="preserve">We know the new bill passed by Congress is far from perfect—parts of it should be fixed because they go too far and have nothing to do with welfare reform.  First, Republicans cut too far into nutritional assistance for working families with children; we are committed to correcting that.  Second, Republicans insisted on using welfare reform as a vehicle to cut off help to legal immigrants.  That was wrong.  Legal immigrants work hard, pay their taxes, and serve America.  It is wrong to single them out for punishment just because they are immigrants.  We pledge to make sure that legal immigrant families with children who fall on hard times through no fault of their own can get help when they need it.  And we are committed to continuing the President's efforts to make it easier for legal immigrants who are prepared to accept the responsibilities of citizenship to do so. </w:t>
      </w:r>
    </w:p>
    <w:p w:rsidR="00A31137" w:rsidRPr="00A31137" w:rsidRDefault="00A31137" w:rsidP="00A31137">
      <w:r w:rsidRPr="00A31137">
        <w:t>1996 Democratic Party Platform</w:t>
      </w:r>
    </w:p>
    <w:p w:rsidR="00A31137" w:rsidRPr="00A31137" w:rsidRDefault="00A31137" w:rsidP="00A31137">
      <w:r w:rsidRPr="00A31137">
        <w:t>But the new welfare plan gives America an historic chance: to break the cycle of dependency for millions of Americans, and give them a real chance for an independent future. It reflects the principles the President has insisted upon since he started the process that led to welfare reform.  Our job now is to make sure this welfare reform plan succeeds, transforming a broken system that holds people down into a working system that lifts people up and gives them a real chance to build a better life. States asked for this responsibility—now we have to make sure they shoulder it. We must make sure as many people as possible move from welfare to work.  We must make sure that children are protected.  In addition to health care and nutritional assistance, states should provide in-kind vouchers to children whose parents have reached the time limit.  We challenge states to exempt battered women from time limits and other restrictions.  We challenge states to ensure that hard-earned, federal taxpayer dollars are spent effectively and fraud and abuse are prevented.  We challenge the business community to provide more of the private sector jobs people on welfare need to build good lives and strong families.  We know that passing legislation is not enough; we must make sure people get the skills they need to get jobs, and that there are jobs for them to go to so they leave welfare and stay off.  We want to make sure welfare reform will put more people to work and move them into the economic mainstream, not take jobs away from working families.</w:t>
      </w:r>
    </w:p>
    <w:p w:rsidR="00A31137" w:rsidRPr="00A31137" w:rsidRDefault="00A31137" w:rsidP="00A31137">
      <w:r w:rsidRPr="00A31137">
        <w:t>1996 Democratic Party Platform</w:t>
      </w:r>
    </w:p>
    <w:p w:rsidR="00A31137" w:rsidRPr="00A31137" w:rsidRDefault="00A31137" w:rsidP="00A31137">
      <w:r w:rsidRPr="00A31137">
        <w:t>We call on all Americans to make the most of this opportunity—never to use welfare reform as an excuse to demonize or demean people, but rather as a chance to bring all our people fully into the economic mainstream, to have a chance to share in the prosperity and the promise of American life.</w:t>
      </w:r>
    </w:p>
    <w:p w:rsidR="00A31137" w:rsidRPr="00A31137" w:rsidRDefault="00A31137" w:rsidP="00A31137">
      <w:r w:rsidRPr="00A31137">
        <w:t>1996 Democratic Party Platform</w:t>
      </w:r>
    </w:p>
    <w:p w:rsidR="00A31137" w:rsidRPr="00A31137" w:rsidRDefault="00A31137" w:rsidP="00A31137">
      <w:r w:rsidRPr="00A31137">
        <w:t xml:space="preserve">Child support. Nobody has the right to walk away from the responsibility to care for his or her children.  If you owe child support, paying it fully and promptly is just the first step in living up to your responsibility as a parent.  The Clinton Administration has made a determined effort to crack down on deadbeat parents, collecting a record $11 billion in 1995 through tough enforcement—almost a 40 percent increase over 1992.  President Clinton issued an Executive Order to track down federal workers who fail to pay child support, and force them to pay.  The Clinton Administration is working to put wanted lists of parents who owe child support in the post office and on the Internet.  President Clinton and Democrats in Congress insisted that the toughest possible child support enforcement be part of the new welfare reform plan—including the President's plan to deny drivers licenses and professional licenses to people who do not pay their child support.  We are telling deadbeats: If you neglect your responsibility to your children, we will suspend your license, garnish your wages, track you down, and make you pay. </w:t>
      </w:r>
    </w:p>
    <w:p w:rsidR="00A31137" w:rsidRPr="00A31137" w:rsidRDefault="00A31137" w:rsidP="00A31137">
      <w:r w:rsidRPr="00A31137">
        <w:t>1996 Democratic Party Platform</w:t>
      </w:r>
    </w:p>
    <w:p w:rsidR="00A31137" w:rsidRPr="00A31137" w:rsidRDefault="00A31137" w:rsidP="00A31137">
      <w:r w:rsidRPr="00A31137">
        <w:t>Teen pregnancy.  For the first time in years, the teen pregnancy rate has leveled off and begun to drop.  But we all know it is still far too high.  Government alone cannot solve this problem.  That is why President Clinton challenged community, business, and religious leaders together to form a national campaign to keep the teen pregnancy rate going down. And he expanded support for community-based prevention programs that teach abstinence and demand responsibility.  We must send the strongest possible signal to young people that it is wrong to get pregnant or father a child until they are married and ready to support that child and raise that child.</w:t>
      </w:r>
    </w:p>
    <w:p w:rsidR="00A31137" w:rsidRPr="00A31137" w:rsidRDefault="00A31137" w:rsidP="00A31137">
      <w:r w:rsidRPr="00A31137">
        <w:t>1996 Democratic Party Platform</w:t>
      </w:r>
    </w:p>
    <w:p w:rsidR="00A31137" w:rsidRPr="00A31137" w:rsidRDefault="00A31137" w:rsidP="00A31137">
      <w:r w:rsidRPr="00A31137">
        <w:t>We also know that half of all underage mothers were made pregnant by a man in his twenties, or even older.  Statutory rape is a crime, but unfortunately the laws that protect young women from it are almost never enforced.  We echo the President's call to America's prosecutors: Enforce the statutory rape laws vigorously against men who prey on underage women.</w:t>
      </w:r>
    </w:p>
    <w:p w:rsidR="00A31137" w:rsidRPr="00A31137" w:rsidRDefault="00A31137" w:rsidP="00A31137">
      <w:r w:rsidRPr="00A31137">
        <w:t>1996 Democratic Party Platform</w:t>
      </w:r>
    </w:p>
    <w:p w:rsidR="00A31137" w:rsidRPr="00A31137" w:rsidRDefault="00A31137" w:rsidP="00A31137">
      <w:r w:rsidRPr="00A31137">
        <w:t>Choice. The Democratic Party stands behind the right of every woman to choose, consistent with Roe v. Wade, and regardless of ability to pay.  President Clinton took executive action to make sure that the right to make such decisions is protected for all Americans.  Over the last four years, we have taken action to end the gag rule and ensure safety at family planning and women's health clinics.  We believe it is a fundamental constitutional liberty that individual Americans—not government—can best take responsibility for making the most difficult and intensely personal decisions regarding reproduction.</w:t>
      </w:r>
    </w:p>
    <w:p w:rsidR="00A31137" w:rsidRPr="00A31137" w:rsidRDefault="00A31137" w:rsidP="00A31137">
      <w:r w:rsidRPr="00A31137">
        <w:t>1996 Democratic Party Platform</w:t>
      </w:r>
    </w:p>
    <w:p w:rsidR="00A31137" w:rsidRPr="00A31137" w:rsidRDefault="00A31137" w:rsidP="00A31137">
      <w:r w:rsidRPr="00A31137">
        <w:t>The Democratic Party is a party of inclusion.  We respect the individual conscience of each American on this difficult issue, and we welcome all our members to participate at every level of our party.</w:t>
      </w:r>
    </w:p>
    <w:p w:rsidR="00A31137" w:rsidRPr="00A31137" w:rsidRDefault="00A31137" w:rsidP="00A31137">
      <w:r w:rsidRPr="00A31137">
        <w:t>1996 Democratic Party Platform</w:t>
      </w:r>
    </w:p>
    <w:p w:rsidR="00A31137" w:rsidRPr="00A31137" w:rsidRDefault="00A31137" w:rsidP="00A31137">
      <w:r w:rsidRPr="00A31137">
        <w:t>Our goal is to make abortion less necessary and more rare, not more difficult and more dangerous.  We support contraceptive research, family planning, comprehensive family life education, and policies that support healthy childbearing.  For four years in a row, we have increased support for family planning.  The abortion rate is dropping.  Now we must continue to support efforts to reduce unintended pregnancies, and we call on all Americans to take personal responsibility to meet this important goal.</w:t>
      </w:r>
    </w:p>
    <w:p w:rsidR="00A31137" w:rsidRPr="00A31137" w:rsidRDefault="00A31137" w:rsidP="00A31137">
      <w:r w:rsidRPr="00A31137">
        <w:t>1996 Democratic Party Platform</w:t>
      </w:r>
    </w:p>
    <w:p w:rsidR="00A31137" w:rsidRPr="00A31137" w:rsidRDefault="00A31137" w:rsidP="00A31137">
      <w:r w:rsidRPr="00A31137">
        <w:t>Reinventing government. The American people have a right to demand that responsibility is the order of the day in Washington.  The mission of today's Democratic Party is to expand opportunity, not bureaucracy.  We have worked hard over the last four years to rein in big government, slash burdensome regulations, eliminate wasteful programs, and shift problem-solving out of Washington and back to people and communities who understand their situations best.</w:t>
      </w:r>
    </w:p>
    <w:p w:rsidR="00A31137" w:rsidRPr="00A31137" w:rsidRDefault="00A31137" w:rsidP="00A31137">
      <w:r w:rsidRPr="00A31137">
        <w:t>1996 Democratic Party Platform</w:t>
      </w:r>
    </w:p>
    <w:p w:rsidR="00A31137" w:rsidRPr="00A31137" w:rsidRDefault="00A31137" w:rsidP="00A31137">
      <w:r w:rsidRPr="00A31137">
        <w:t>In the last four years, President Clinton, working with the National Performance Review chaired by Vice President Gore, has cut the federal government by almost 240,000 positions, making the smallest federal government in 30 years.  We did it the right way, treating workers with respect. The federal government is eliminating 16,000 pages of outdated and unnecessary regulations, has abolished 179 programs and projects, and saved taxpayers billions of dollars.  The President fought for and signed unfunded mandates legislation.  This stops Congress from requiring state and local governments to implement expensive policies without providing any means to pay for them, and encourages better partnerships and more balance of resources and responsibilities.  Beginning with Ulysses S. Grant, Presidents have tried to get the line-item veto and failed; President Clinton signed landmark legislation that will give him and his successors this powerful tool to cut pork-barrel spending from bills passed by Congress.</w:t>
      </w:r>
    </w:p>
    <w:p w:rsidR="00A31137" w:rsidRPr="00A31137" w:rsidRDefault="00A31137" w:rsidP="00A31137">
      <w:r w:rsidRPr="00A31137">
        <w:t>1996 Democratic Party Platform</w:t>
      </w:r>
    </w:p>
    <w:p w:rsidR="00A31137" w:rsidRPr="00A31137" w:rsidRDefault="00A31137" w:rsidP="00A31137">
      <w:r w:rsidRPr="00A31137">
        <w:t>For years, Republicans talked about making government smaller while letting it grow—Democrats are doing it.  For years, Republicans talked about cutting the deficit while letting it climb—Democrats are doing it.  For years, Republicans talked about shifting power back to states and communities—Democrats are doing it.  For years, Republicans talked about making government more businesslike and efficient—Democrats are doing it.  Democrats are bringing responsibility back to Washington.  In the last two years, Republicans under Senator Dole and Speaker Gingrich shut the federal government down in an irresponsible attempt at partisan blackmail.  Democrats under President Clinton said, and America agreed: Partisan threats are no way to run a government.  Nobody should ever shut down the government again.  The Republican shutdown cost the taxpayers $1.4 billion.  Democrats believe government should work better and cost less—not work less and cost more.</w:t>
      </w:r>
    </w:p>
    <w:p w:rsidR="00A31137" w:rsidRPr="00A31137" w:rsidRDefault="00A31137" w:rsidP="00A31137">
      <w:r w:rsidRPr="00A31137">
        <w:t>1996 Democratic Party Platform</w:t>
      </w:r>
    </w:p>
    <w:p w:rsidR="00A31137" w:rsidRPr="00A31137" w:rsidRDefault="00A31137" w:rsidP="00A31137">
      <w:r w:rsidRPr="00A31137">
        <w:t xml:space="preserve">The Republican shutdown was an affront to the hardworking public servants in our cities, towns, states, and nation who devote their lives to improving life in our country.  Thanks to them our streets are safer, our water is cleaner, and our nation is secure.  We condemn Republican tactics to sow cynicism and mistrust by scapegoating those government workers. Front-line federal workers committed to providing quality services have joined the President's efforts to make government work better for the American people.  With their help, we are saving money for the taxpayers and improving services for our people.  Those workers who are doing more with less deserve our respect and admiration. </w:t>
      </w:r>
    </w:p>
    <w:p w:rsidR="00A31137" w:rsidRPr="00A31137" w:rsidRDefault="00A31137" w:rsidP="00A31137">
      <w:r w:rsidRPr="00A31137">
        <w:t>1996 Democratic Party Platform</w:t>
      </w:r>
    </w:p>
    <w:p w:rsidR="00A31137" w:rsidRPr="00A31137" w:rsidRDefault="00A31137" w:rsidP="00A31137">
      <w:r w:rsidRPr="00A31137">
        <w:t>In the last four years, we have transformed the Federal Emergency Management Agency from an outdated bureaucracy into a swift and effective agent of relief for victims of earthquakes, floods, hurricanes, or other disasters.  Americans with life-threatening diseases like cancer and AIDS gain access to new drugs faster, because the Food and Drug Administration has streamlined its approval process, become more flexible in certifications, and eliminated unnecessary paperwork.  The Small Business Administration has eliminated half of its regulations, cut loan applications as long as 100 pages down to one, and doubled its loan volume—all helping Americans to produce record numbers of small businesses in each of the last three years.  American homebuyers are saving an average of $1,000 in closing costs because the Department of Housing and Urban Development has eliminated paperwork and other unnecessary burdens.</w:t>
      </w:r>
    </w:p>
    <w:p w:rsidR="00A31137" w:rsidRPr="00A31137" w:rsidRDefault="00A31137" w:rsidP="00A31137">
      <w:r w:rsidRPr="00A31137">
        <w:t>1996 Democratic Party Platform</w:t>
      </w:r>
    </w:p>
    <w:p w:rsidR="00A31137" w:rsidRPr="00A31137" w:rsidRDefault="00A31137" w:rsidP="00A31137">
      <w:r w:rsidRPr="00A31137">
        <w:t>Over the next four years, the Democratic Party will continue to make responsibility the rule in Washington: cutting bureaucracy further, improving customer service, demanding better performance, holding people and agencies accountable for producing the best results, ensuring all Americans have access to high quality public services, whether they reside in inner cities, suburbs, or rural communities, and forging new partnerships with the private sector including small, minority, and women-owned businesses, and with state and local governments to enhance opportunities for all Americans from technology to transportation to travel and tourism.  We concur with the unanimous findings and recommendations of the Department of Labor Task Force on Excellence in State and Local Government outlining further ways to improve the functions of government through labor-management partnerships.</w:t>
      </w:r>
    </w:p>
    <w:p w:rsidR="00A31137" w:rsidRPr="00A31137" w:rsidRDefault="00A31137" w:rsidP="00A31137">
      <w:r w:rsidRPr="00A31137">
        <w:t>1996 Democratic Party Platform</w:t>
      </w:r>
    </w:p>
    <w:p w:rsidR="00A31137" w:rsidRPr="00A31137" w:rsidRDefault="00A31137" w:rsidP="00A31137">
      <w:r w:rsidRPr="00A31137">
        <w:t>Political reform. Today's Democratic Party knows we have a responsibility to make our democracy work better for America, by limiting the influence of special interests and expanding the influence of the American people.  Special interests have too much power in the halls of government.  They often operate in secret and have special privileges ordinary Americans do not even know exist.  Elections have become so expensive that big money can sometimes drown out the voices of ordinary voters—who should always speak the loudest.</w:t>
      </w:r>
    </w:p>
    <w:p w:rsidR="00A31137" w:rsidRPr="00A31137" w:rsidRDefault="00A31137" w:rsidP="00A31137">
      <w:r w:rsidRPr="00A31137">
        <w:t>1996 Democratic Party Platform</w:t>
      </w:r>
    </w:p>
    <w:p w:rsidR="00A31137" w:rsidRPr="00A31137" w:rsidRDefault="00A31137" w:rsidP="00A31137">
      <w:r w:rsidRPr="00A31137">
        <w:t>Shortly after Bill Clinton took office, he implemented the toughest ethics code on executive officials in history: Senior appointees are barred from lobbying their own agencies for five years after they leave, and they can never lobby for foreign governments.  After years of Republican delay, Democrats passed and the President signed the Motor Voter Bill to make it easier for people to participate in our democracy and exercise their civic responsibility in the voting booth.  The President led the fight to repeal the tax loophole that let lobbyists deduct the cost of their activities, and prevailed.  In 1995, after a Republican filibuster, Congress finally answered the President's call to stop taking gifts, meals, and trips from lobbyists; to bring lobbyists out from dark rooms and into the bright light of public scrutiny by requiring full disclosure; and to apply to itself the laws that apply to the rest of the country.</w:t>
      </w:r>
    </w:p>
    <w:p w:rsidR="00A31137" w:rsidRPr="00A31137" w:rsidRDefault="00A31137" w:rsidP="00A31137">
      <w:r w:rsidRPr="00A31137">
        <w:t>1996 Democratic Party Platform</w:t>
      </w:r>
    </w:p>
    <w:p w:rsidR="00A31137" w:rsidRPr="00A31137" w:rsidRDefault="00A31137" w:rsidP="00A31137">
      <w:r w:rsidRPr="00A31137">
        <w:t>But we must take further strong action.  The President and the Democratic Party support the bipartisan McCain-Feingold campaign finance reform bill.  It will limit campaign spending, curb the influence of PACs and lobbyists, and end the soft money system.   Perhaps most important of all, this bill provides free TV time for candidates, so they can talk directly to citizens about real issues and real ideas.  Unfortunately, Republicans in Congress will not even let this bill come up for a vote.  We call on them to stop stonewalling.  It is time to take the reins of democracy away from big money and put them back in the hands of the American people, where they belong.  We applaud efforts by broadcasters and private citizens alike, to increase candidates' direct access to voters through free TV.</w:t>
      </w:r>
    </w:p>
    <w:p w:rsidR="00A31137" w:rsidRPr="00A31137" w:rsidRDefault="00A31137" w:rsidP="00A31137">
      <w:r w:rsidRPr="00A31137">
        <w:t>1996 Democratic Party Platform</w:t>
      </w:r>
    </w:p>
    <w:p w:rsidR="00A31137" w:rsidRPr="00A31137" w:rsidRDefault="00A31137" w:rsidP="00A31137">
      <w:r w:rsidRPr="00A31137">
        <w:t>Finally, we believe all Americans have a right to fair political representation—including the citizens of the District of Columbia who deserve full self-governance, political representation, and statehood. We recognize the existing status of the Commonwealth of Puerto Rico and the strong economic relationship between the people of Puerto Rico and the United States.  We pledge to support the right of the people of the Commonwealth of Puerto Rico to choose freely, and in concert with the U.S. Congress, their relationship with the United States, either as an enhanced commonwealth, a state, or an independent nation.  We support fair participation for Puerto Rico in federal programs and are committed to providing effective incentives for investment based on preserving and creating jobs in the islands.  We pledge just and fair treatment under federal policies to the peoples of American Samoa, Guam, the Northern Mariana Islands, and the Virgin Islands; we respect their right to be consulted on policies that affect them directly, and to choose freely their future political status; and we will continue to work with Guam to reach agreement on establishing a Commonwealth of Guam.</w:t>
      </w:r>
    </w:p>
    <w:p w:rsidR="00A31137" w:rsidRPr="00A31137" w:rsidRDefault="00A31137" w:rsidP="00A31137">
      <w:r w:rsidRPr="00A31137">
        <w:t>Security, Freedom, and Peace</w:t>
      </w:r>
    </w:p>
    <w:p w:rsidR="00A31137" w:rsidRPr="00A31137" w:rsidRDefault="00A31137" w:rsidP="00A31137">
      <w:r w:rsidRPr="00A31137">
        <w:t>1996 Democratic Party Platform</w:t>
      </w:r>
    </w:p>
    <w:p w:rsidR="00A31137" w:rsidRPr="00A31137" w:rsidRDefault="00A31137" w:rsidP="00A31137">
      <w:r w:rsidRPr="00A31137">
        <w:t>The firm, sustained use of American might and diplomacy helped win the greatest victory for freedom in this half of the century—the end of the Cold War.  But to meet the challenges of this new era of promise and peril, America needed leadership that was able to see the contours of the new world—and willing to act with steadiness, strength, and flexibility in the face of change to make the most of it.</w:t>
      </w:r>
    </w:p>
    <w:p w:rsidR="00A31137" w:rsidRPr="00A31137" w:rsidRDefault="00A31137" w:rsidP="00A31137">
      <w:r w:rsidRPr="00A31137">
        <w:t>1996 Democratic Party Platform</w:t>
      </w:r>
    </w:p>
    <w:p w:rsidR="00A31137" w:rsidRPr="00A31137" w:rsidRDefault="00A31137" w:rsidP="00A31137">
      <w:r w:rsidRPr="00A31137">
        <w:t>President Clinton and Vice President Gore have seized the opportunities of the post Cold War era.  Over the past four years, their leadership has made America safer, more prosperous, and more engaged in solving the challenges of a new era.</w:t>
      </w:r>
    </w:p>
    <w:p w:rsidR="00A31137" w:rsidRPr="00A31137" w:rsidRDefault="00A31137" w:rsidP="00A31137">
      <w:r w:rsidRPr="00A31137">
        <w:t>1996 Democratic Party Platform</w:t>
      </w:r>
    </w:p>
    <w:p w:rsidR="00A31137" w:rsidRPr="00A31137" w:rsidRDefault="00A31137" w:rsidP="00A31137">
      <w:r w:rsidRPr="00A31137">
        <w:t>Four years ago, thousands of  Russian nuclear weapons were aimed at American cities.  Today, not a single Russian missile points at our children, and through the START treaties, we will cut American and Russian nuclear arsenals by two-thirds from their Cold War height.</w:t>
      </w:r>
    </w:p>
    <w:p w:rsidR="00A31137" w:rsidRPr="00A31137" w:rsidRDefault="00A31137" w:rsidP="00A31137">
      <w:r w:rsidRPr="00A31137">
        <w:t>1996 Democratic Party Platform</w:t>
      </w:r>
    </w:p>
    <w:p w:rsidR="00A31137" w:rsidRPr="00A31137" w:rsidRDefault="00A31137" w:rsidP="00A31137">
      <w:r w:rsidRPr="00A31137">
        <w:t>Four years ago, the forces of reform in the former Soviet Union were embattled.  Today, U.S. initiatives are helping democracy and free markets take root throughout the region, Russian troops are out of the Baltics, and democracy has triumphed in Russia's elections.</w:t>
      </w:r>
    </w:p>
    <w:p w:rsidR="00A31137" w:rsidRPr="00A31137" w:rsidRDefault="00A31137" w:rsidP="00A31137">
      <w:r w:rsidRPr="00A31137">
        <w:t>1996 Democratic Party Platform</w:t>
      </w:r>
    </w:p>
    <w:p w:rsidR="00A31137" w:rsidRPr="00A31137" w:rsidRDefault="00A31137" w:rsidP="00A31137">
      <w:r w:rsidRPr="00A31137">
        <w:t>Four years ago, the Middle East process had not moved beyond a set of principles, and there were no signs of peace in Northern Ireland.  Today, in the Middle East we have seen real agreements toward peace, and handshakes of history, and the people of Northern Ireland have seen a 17 month cease-fire and historic negotiations among the parties.</w:t>
      </w:r>
    </w:p>
    <w:p w:rsidR="00A31137" w:rsidRPr="00A31137" w:rsidRDefault="00A31137" w:rsidP="00A31137">
      <w:r w:rsidRPr="00A31137">
        <w:t>1996 Democratic Party Platform</w:t>
      </w:r>
    </w:p>
    <w:p w:rsidR="00A31137" w:rsidRPr="00A31137" w:rsidRDefault="00A31137" w:rsidP="00A31137">
      <w:r w:rsidRPr="00A31137">
        <w:t>Four years ago, the North Koreans were operating a dangerous nuclear program. Today, that program is frozen, under international inspection, and slated to be dismantled.</w:t>
      </w:r>
    </w:p>
    <w:p w:rsidR="00A31137" w:rsidRPr="00A31137" w:rsidRDefault="00A31137" w:rsidP="00A31137">
      <w:r w:rsidRPr="00A31137">
        <w:t>1996 Democratic Party Platform</w:t>
      </w:r>
    </w:p>
    <w:p w:rsidR="00A31137" w:rsidRPr="00A31137" w:rsidRDefault="00A31137" w:rsidP="00A31137">
      <w:r w:rsidRPr="00A31137">
        <w:t>Four years ago, the North Atlantic Treaty Organization—the bulwark of Western security during the Cold War—was losing direction and support.  Today, NATO is keeping the peace in Bosnia with its Partnership for Peace allies and, as a result of American leadership, preparing to welcome new members from Central Europe.</w:t>
      </w:r>
    </w:p>
    <w:p w:rsidR="00A31137" w:rsidRPr="00A31137" w:rsidRDefault="00A31137" w:rsidP="00A31137">
      <w:r w:rsidRPr="00A31137">
        <w:t>1996 Democratic Party Platform</w:t>
      </w:r>
    </w:p>
    <w:p w:rsidR="00A31137" w:rsidRPr="00A31137" w:rsidRDefault="00A31137" w:rsidP="00A31137">
      <w:r w:rsidRPr="00A31137">
        <w:t>Four years ago, America stood aloof as war and genocide spread through the former Yugoslavia.   Today, thanks to NATO airstrikes, American diplomacy and the deployment of troops from the U.S. and other nations, the war has stopped and Bosnia has its first real chance for a lasting peace.</w:t>
      </w:r>
    </w:p>
    <w:p w:rsidR="00A31137" w:rsidRPr="00A31137" w:rsidRDefault="00A31137" w:rsidP="00A31137">
      <w:r w:rsidRPr="00A31137">
        <w:t>1996 Democratic Party Platform</w:t>
      </w:r>
    </w:p>
    <w:p w:rsidR="00A31137" w:rsidRPr="00A31137" w:rsidRDefault="00A31137" w:rsidP="00A31137">
      <w:r w:rsidRPr="00A31137">
        <w:t>Four years ago, dictators ruled in Haiti, abusing human rights and leaving thousands of its citizens desperate to flee to our shores.  Today, the dictators are gone, democracy has been restored, and Haiti's mass-exodus has stopped.</w:t>
      </w:r>
    </w:p>
    <w:p w:rsidR="00A31137" w:rsidRPr="00A31137" w:rsidRDefault="00A31137" w:rsidP="00A31137">
      <w:r w:rsidRPr="00A31137">
        <w:t>1996 Democratic Party Platform</w:t>
      </w:r>
    </w:p>
    <w:p w:rsidR="00A31137" w:rsidRPr="00A31137" w:rsidRDefault="00A31137" w:rsidP="00A31137">
      <w:r w:rsidRPr="00A31137">
        <w:t>Four years ago, South Africa was struggling under political violence associated with apartheid.  Now, following the 1994 elections—which the United States strongly supported—there is a national unity government and South Africa is free and democratic.</w:t>
      </w:r>
    </w:p>
    <w:p w:rsidR="00A31137" w:rsidRPr="00A31137" w:rsidRDefault="00A31137" w:rsidP="00A31137">
      <w:r w:rsidRPr="00A31137">
        <w:t>1996 Democratic Party Platform</w:t>
      </w:r>
    </w:p>
    <w:p w:rsidR="00A31137" w:rsidRPr="00A31137" w:rsidRDefault="00A31137" w:rsidP="00A31137">
      <w:r w:rsidRPr="00A31137">
        <w:t>Four years ago, there was good reason to worry that the world was dividing into separate, isolated, regional trading blocks.  Today, thanks to Clinton Administration efforts to find new markets for American products and strengthen our existing ties, America's relations with our trading parties around the world are stronger than ever.  We applaud efforts like the Summit of the Americas, the Asian Pacific Economic Cooperation meetings, and, especially, the extraordinary leadership of Commerce Secretary Ron Brown on behalf of American industry and workers everywhere.  Ron Brown will always be remembered with great pride and the deepest gratitude by the Democratic Party and by all Americans.</w:t>
      </w:r>
    </w:p>
    <w:p w:rsidR="00A31137" w:rsidRPr="00A31137" w:rsidRDefault="00A31137" w:rsidP="00A31137">
      <w:r w:rsidRPr="00A31137">
        <w:t>1996 Democratic Party Platform</w:t>
      </w:r>
    </w:p>
    <w:p w:rsidR="00A31137" w:rsidRPr="00A31137" w:rsidRDefault="00A31137" w:rsidP="00A31137">
      <w:r w:rsidRPr="00A31137">
        <w:t>The Clinton-Gore Administration's record of leadership has deterred America's adversaries and earned respect from our allies and partners.  The Dole-Gingrich Congress and the Republican Party have a different approach to America's security.  Too often they would force America to go it alone—or not at all.  Their shortsighted approach has cut resources for diplomacy that could strengthen our security, and reflects an inadequate understanding of the threats and opportunities of this new era.</w:t>
      </w:r>
    </w:p>
    <w:p w:rsidR="00A31137" w:rsidRPr="00A31137" w:rsidRDefault="00A31137" w:rsidP="00A31137">
      <w:r w:rsidRPr="00A31137">
        <w:t>1996 Democratic Party Platform</w:t>
      </w:r>
    </w:p>
    <w:p w:rsidR="00A31137" w:rsidRPr="00A31137" w:rsidRDefault="00A31137" w:rsidP="00A31137">
      <w:r w:rsidRPr="00A31137">
        <w:t>Today's Democratic Party is unwilling to surrender to the voices of retreat and indifference.  We believe the only way to ensure America's security and prosperity over the long run is to continue exerting American leadership across a range of military, diplomatic, and humanitarian, challenges around the world.  Led by President Clinton and Vice President Gore, today's Democratic Party has set a far reaching agenda to strengthen our security, and promote peace and freedom.</w:t>
      </w:r>
    </w:p>
    <w:p w:rsidR="00A31137" w:rsidRPr="00A31137" w:rsidRDefault="00A31137" w:rsidP="00A31137">
      <w:r w:rsidRPr="00A31137">
        <w:t>1996 Democratic Party Platform</w:t>
      </w:r>
    </w:p>
    <w:p w:rsidR="00A31137" w:rsidRPr="00A31137" w:rsidRDefault="00A31137" w:rsidP="00A31137">
      <w:r w:rsidRPr="00A31137">
        <w:t>Strengthening our security.  The highest imperative for our security is the protection of our people, our territory, and our key interests abroad. While both parties share a commitment to strong security, there is a real difference.  The Republican desire to spend more money on defense than the Pentagon requests cannot obscure their inability to recognize the challenges of a new era and build the balanced defenses we need to meet them.</w:t>
      </w:r>
    </w:p>
    <w:p w:rsidR="00A31137" w:rsidRPr="00A31137" w:rsidRDefault="00A31137" w:rsidP="00A31137">
      <w:r w:rsidRPr="00A31137">
        <w:t>1996 Democratic Party Platform</w:t>
      </w:r>
    </w:p>
    <w:p w:rsidR="00A31137" w:rsidRPr="00A31137" w:rsidRDefault="00A31137" w:rsidP="00A31137">
      <w:r w:rsidRPr="00A31137">
        <w:t>Today's Democratic Party is committed to strengthening our military and adapting it to new challenges; reducing the threat of weapons of mass destruction; and meeting new challenges to our security such as terrorism, international crime, and drug trafficking.</w:t>
      </w:r>
    </w:p>
    <w:p w:rsidR="00A31137" w:rsidRPr="00A31137" w:rsidRDefault="00A31137" w:rsidP="00A31137">
      <w:r w:rsidRPr="00A31137">
        <w:t>1996 Democratic Party Platform</w:t>
      </w:r>
    </w:p>
    <w:p w:rsidR="00A31137" w:rsidRPr="00A31137" w:rsidRDefault="00A31137" w:rsidP="00A31137">
      <w:r w:rsidRPr="00A31137">
        <w:t>Strengthening our military.  Over the past four years, the Administration has undertaken the most successful restructuring of our military forces in history.  Even as the size of our forces has decreased, their capabilities, readiness and qualitative edge have increased. The Administration has ensured that America is prepared to fight alongside others when we can, and alone when we must. We have defeated attempts to cut our defense budget irresponsibly.  Three times in three years, President Clinton has increased our defense spending plans—a total of almost $50 billion—for readiness, force modernization, and quality of life improvements.  We will continue our work to ensure that the men and women who wear American uniforms receive adequate pay and support, including: childcare, education, housing, access to quality health care for themselves and their families, and protection against sexual harassment. The Administration defense plan reverses the downward trend in procurement with a 40% real increase for weapons modernization by 2001.  At the same time, as part of its reinventing government program, the Administration has fundamentally reformed government procurement rules in order to get the most for our money.  We should also work to increase our efforts to convert unnecessary or obsolete military facilities to serve important economic needs of local communities and, while maintaining military readiness, to continue our initiatives to make our defense industrial base and products applicable to domestic commercial markets.</w:t>
      </w:r>
    </w:p>
    <w:p w:rsidR="00A31137" w:rsidRPr="00A31137" w:rsidRDefault="00A31137" w:rsidP="00A31137">
      <w:r w:rsidRPr="00A31137">
        <w:t>1996 Democratic Party Platform</w:t>
      </w:r>
    </w:p>
    <w:p w:rsidR="00A31137" w:rsidRPr="00A31137" w:rsidRDefault="00A31137" w:rsidP="00A31137">
      <w:r w:rsidRPr="00A31137">
        <w:t>Repeatedly during the past four years—from the Persian Gulf to Bosnia—our men and women in uniform have proven they are the best trained, best equipped, best prepared fighting force in the world. The Democratic Party is committed to build on this record by fully funding the Pentagon's 5-year defense plan; undertaking a second fundamental review of our defense structure; finding new ways for our service branches to work jointly to increase our war fighting capabilities; and ensuring that our troops can dominate the battlefield of the future.</w:t>
      </w:r>
    </w:p>
    <w:p w:rsidR="00A31137" w:rsidRPr="00A31137" w:rsidRDefault="00A31137" w:rsidP="00A31137">
      <w:r w:rsidRPr="00A31137">
        <w:t>1996 Democratic Party Platform</w:t>
      </w:r>
    </w:p>
    <w:p w:rsidR="00A31137" w:rsidRPr="00A31137" w:rsidRDefault="00A31137" w:rsidP="00A31137">
      <w:r w:rsidRPr="00A31137">
        <w:t xml:space="preserve">We honor America's veterans; they put their lives on the line to protect our way of life and promote our values around the world.  Today's Democratic Party will stand by America's duty to our veterans.  President Clinton and Vice President Gore have fought hard to protect veterans' benefits; to expand disability benefits for Vietnam veterans exposed to Agent Orange; aggressively responding to veterans of the Persian Gulf War suffering from undiagnosed illnesses; promoting veterans employment; and improving and strengthening the medical system of the Department of Veterans Affairs.  </w:t>
      </w:r>
    </w:p>
    <w:p w:rsidR="00A31137" w:rsidRPr="00A31137" w:rsidRDefault="00A31137" w:rsidP="00A31137">
      <w:r w:rsidRPr="00A31137">
        <w:t>1996 Democratic Party Platform</w:t>
      </w:r>
    </w:p>
    <w:p w:rsidR="00A31137" w:rsidRPr="00A31137" w:rsidRDefault="00A31137" w:rsidP="00A31137">
      <w:r w:rsidRPr="00A31137">
        <w:t xml:space="preserve">Reducing the threat of weapons of mass destruction. Strengthening our security also requires an aggressive effort against weapons of mass destruction—nuclear, chemical, and biological—and their means of delivery.  From the nuclear weapons programs in Iraq and North Korea to the Sarin gas attack in the Tokyo subway, our nation has seen that this threat is clear and present.  To meet it, we must seize the opportunities presented by the end of the Cold War to cut weapons of mass destruction stockpiles while working to prevent lethal weapons and materials from falling into the wrong hands.  </w:t>
      </w:r>
    </w:p>
    <w:p w:rsidR="00A31137" w:rsidRPr="00A31137" w:rsidRDefault="00A31137" w:rsidP="00A31137">
      <w:r w:rsidRPr="00A31137">
        <w:t>1996 Democratic Party Platform</w:t>
      </w:r>
    </w:p>
    <w:p w:rsidR="00A31137" w:rsidRPr="00A31137" w:rsidRDefault="00A31137" w:rsidP="00A31137">
      <w:r w:rsidRPr="00A31137">
        <w:t>President Clinton and Vice President Gore have pursued the most far reaching arms control and non-proliferation agenda in history.  They negotiated an agreement to end the targeting of Russian nuclear missiles on American cities and citizens. They secured ratification of START II which, along with START I, will reduce Russian and American arsenals by two-thirds.  They prevented the breakup of the Soviet Union from yielding three new nuclear weapons states, by convincing Ukraine, Belarus, and Kazakhstan to give up the nuclear weapons left on their territories when the Soviet Union collapsed.  They secured the indefinite and unconditional extension of the Nuclear Non-Proliferation Treaty.  They acted to freeze North Korea's nuclear program.</w:t>
      </w:r>
    </w:p>
    <w:p w:rsidR="00A31137" w:rsidRPr="00A31137" w:rsidRDefault="00A31137" w:rsidP="00A31137">
      <w:r w:rsidRPr="00A31137">
        <w:t>1996 Democratic Party Platform</w:t>
      </w:r>
    </w:p>
    <w:p w:rsidR="00A31137" w:rsidRPr="00A31137" w:rsidRDefault="00A31137" w:rsidP="00A31137">
      <w:r w:rsidRPr="00A31137">
        <w:t>The Democratic Party supports efforts to sign a Comprehensive Test Ban Treaty this year and to bring it into force as soon as possible.  We support immediate ratification of the Chemical Weapons Convention—delayed too long by the Dole Senate. We support full funding of the Nunn-Lugar Cooperative Threat Reduction program to eliminate former Soviet nuclear and chemical weapons and support funds to ensure that nuclear materials in the former Soviet Union are secure and do not fall into the wrong hands.  We support vigilant efforts, in cooperation with the Republic of Korea, Japan, and others, to ensure North Korea fully abides by its agreements to dismantle its nuclear program, and we support the Administration's vigorous efforts to prevent Iraq, Iran, and other dangerous states from acquiring or developing weapons of mass destruction.</w:t>
      </w:r>
    </w:p>
    <w:p w:rsidR="00A31137" w:rsidRPr="00A31137" w:rsidRDefault="00A31137" w:rsidP="00A31137">
      <w:r w:rsidRPr="00A31137">
        <w:t>1996 Democratic Party Platform</w:t>
      </w:r>
    </w:p>
    <w:p w:rsidR="00A31137" w:rsidRPr="00A31137" w:rsidRDefault="00A31137" w:rsidP="00A31137">
      <w:r w:rsidRPr="00A31137">
        <w:t>The Democratic Party is committed to a strong and balanced National Missile Defense (NMD) program.  The Administration is spending $3 billion a year on six different systems to protect our troops in the field and our allies from short and medium range missiles.  To prepare for the possibility of a long range missile attack on American soil by a rogue state, the Clinton Administration is committed to developing by the year 2000 a defensive system that could be deployed by 2003, well before the threat becomes real.  The Democratic Party opposes the Republican NMD plan—spending up to $60 billion on a revival of the Star Wars program that would force us to choose a costly system today that could be obsolete tomorrow.  The Republican plan would waste money, weaken America's defenses and violate existing arms control agreements that make us more secure.  It is the wrong way to defend America.</w:t>
      </w:r>
    </w:p>
    <w:p w:rsidR="00A31137" w:rsidRPr="00A31137" w:rsidRDefault="00A31137" w:rsidP="00A31137">
      <w:r w:rsidRPr="00A31137">
        <w:t>1996 Democratic Party Platform</w:t>
      </w:r>
    </w:p>
    <w:p w:rsidR="00A31137" w:rsidRPr="00A31137" w:rsidRDefault="00A31137" w:rsidP="00A31137">
      <w:r w:rsidRPr="00A31137">
        <w:t>Meeting new challenges. Today's Democratic Party knows that stronger security requires vigorous efforts to address the new dangers of this era.  Chief among these are the interwoven threats of terrorism, drug trafficking, and international crime.  We have seen the terrible toll they have exacted—the murder of American soldiers in their barracks in Saudi Arabia and of innocent civilians on buses in Israel; corruption and crime from the former Soviet Union to Latin America. We know these vicious criminals may come from within or without and pay no heed to borders; we have seen firsthand the awful, evil work of the forces of terror at the World Trade Center and in Oklahoma City.  And we know all too well the havoc drugs wreak when they cross our borders and flow through our neighborhoods.</w:t>
      </w:r>
    </w:p>
    <w:p w:rsidR="00A31137" w:rsidRPr="00A31137" w:rsidRDefault="00A31137" w:rsidP="00A31137">
      <w:r w:rsidRPr="00A31137">
        <w:t>1996 Democratic Party Platform</w:t>
      </w:r>
    </w:p>
    <w:p w:rsidR="00A31137" w:rsidRPr="00A31137" w:rsidRDefault="00A31137" w:rsidP="00A31137">
      <w:r w:rsidRPr="00A31137">
        <w:t>The Clinton-Gore Administration has mounted the most aggressive effort in American history to combat terrorism, drug trafficking, and international crime.  We captured and convicted the perpetrators of the World Trade Center bombing.  We enacted a strong new anti-terrorism law, in spite of foot dragging by the Republican Congress; now, President Clinton and Democrats are fighting to take further steps to protect American citizens.  We convened an historic summit of Mideast leaders at Sharm el-Sheik to coordinate anti-terrorism efforts, and made anti-terrorism a centerpiece of the 1996 G-7 summit.  We imposed or maintained strong sanctions against states that sponsor terrorism, including Iran, Iraq, Libya, and Sudan, and made clear to Syria that normal relations depend on concrete steps to end its support for groups involved with terrorism.  We opposed irresponsible cuts to U.S. intelligence programs and supported efforts to reorganize and strengthen the full range of intelligence agencies and programs. We opened FBI centers to provide anti-crime and anti-terrorism training.  We made Colombia ineligible for most American assistance after that country's leadership failed to cooperate with American anti-narcotics efforts.</w:t>
      </w:r>
    </w:p>
    <w:p w:rsidR="00A31137" w:rsidRPr="00A31137" w:rsidRDefault="00A31137" w:rsidP="00A31137">
      <w:r w:rsidRPr="00A31137">
        <w:t>1996 Democratic Party Platform</w:t>
      </w:r>
    </w:p>
    <w:p w:rsidR="00A31137" w:rsidRPr="00A31137" w:rsidRDefault="00A31137" w:rsidP="00A31137">
      <w:r w:rsidRPr="00A31137">
        <w:t>Our three front war on terrorism—abroad, through greater cooperation with our allies; at home, by giving law enforcement the most powerful tools available to fight terrorism; and in our airports and on airplanes, through tough air travel security measures—is producing results.  President Clinton asked the Vice President to chair a commission on the future of air traffic security and safety.  We will work to increase the security of our air travel system, the safety of our airplanes, and the safety and security of our air traffic control system.</w:t>
      </w:r>
    </w:p>
    <w:p w:rsidR="00A31137" w:rsidRPr="00A31137" w:rsidRDefault="00A31137" w:rsidP="00A31137">
      <w:r w:rsidRPr="00A31137">
        <w:t>1996 Democratic Party Platform</w:t>
      </w:r>
    </w:p>
    <w:p w:rsidR="00A31137" w:rsidRPr="00A31137" w:rsidRDefault="00A31137" w:rsidP="00A31137">
      <w:r w:rsidRPr="00A31137">
        <w:t>Today's Democratic Party is determined to keep the war on global terrorism, narcotics, and crime at the center of our security agenda.  We will seek increased cooperation from our allies and friends abroad in fighting these threats.  We will continue to work aggressively to shut off foreign drug flows, eradicate foreign drug crops, and assist countries that demonstrate active cooperation.</w:t>
      </w:r>
    </w:p>
    <w:p w:rsidR="00A31137" w:rsidRPr="00A31137" w:rsidRDefault="00A31137" w:rsidP="00A31137">
      <w:r w:rsidRPr="00A31137">
        <w:t>1996 Democratic Party Platform</w:t>
      </w:r>
    </w:p>
    <w:p w:rsidR="00A31137" w:rsidRPr="00A31137" w:rsidRDefault="00A31137" w:rsidP="00A31137">
      <w:r w:rsidRPr="00A31137">
        <w:t>Promoting peace and democracy. Today's Democratic Party knows that peace and democracy are products of decisive strength and active diplomacy.  That diplomacy must protect our interests while also projecting our values.  The Republican Party too often has neglected diplomatic opportunities, slashed the budgets necessary for diplomatic successes, and overlooked the importance to our own security of democracy and human rights abroad.  At its core, the Republican Party is locked in a Cold War mentality, and lacks a coherent strategy to nurture and strengthen the global progress toward peace and democracy.</w:t>
      </w:r>
    </w:p>
    <w:p w:rsidR="00A31137" w:rsidRPr="00A31137" w:rsidRDefault="00A31137" w:rsidP="00A31137">
      <w:r w:rsidRPr="00A31137">
        <w:t>1996 Democratic Party Platform</w:t>
      </w:r>
    </w:p>
    <w:p w:rsidR="00A31137" w:rsidRPr="00A31137" w:rsidRDefault="00A31137" w:rsidP="00A31137">
      <w:r w:rsidRPr="00A31137">
        <w:t>The Democratic Party believes a key to strengthening peace is stable and peaceful relations among the world's major powers.  That has been the driving force behind much of the Clinton-Gore Administration's work, from its peace initiative in Bosnia to new security agreements with Japan.  We are committed to promoting democracy in regions and countries important to America's security, and to standing with all those willing to take risks for peace, from the Middle East to Northern Ireland, where President Clinton was the first U.S. president to engage directly in the search for peace, including making an historic visit to Northern Ireland.  And we are committed to doing it with all the tools we have: with diplomacy where possible, with force where necessary, and working with others where appropriate—our allies, willing partners, the U.N. and other security organizations—to share the risks and costs of our leadership.</w:t>
      </w:r>
    </w:p>
    <w:p w:rsidR="00A31137" w:rsidRPr="00A31137" w:rsidRDefault="00A31137" w:rsidP="00A31137">
      <w:r w:rsidRPr="00A31137">
        <w:t>1996 Democratic Party Platform</w:t>
      </w:r>
    </w:p>
    <w:p w:rsidR="00A31137" w:rsidRPr="00A31137" w:rsidRDefault="00A31137" w:rsidP="00A31137">
      <w:r w:rsidRPr="00A31137">
        <w:t>Europe and the former Soviet Union.  Today's Democratic Party knows that the security of Europe remains a vital American interest, and that we must remain engaged in Europe, a region in which we have fought the two world wars and the Cold War this century.  It is our vision to see, one day, a community of free, democratic, and peaceful nations, bound by political, security, cultural, and economic ties, spanning across North America and Europe.  We applaud the Clinton-Gore Administration's efforts to foster a peaceful, democratic and undivided Europe—including expanded support for reform in former communist states; dramatically increased assistance to Ukraine; the Partnership for Peace program of military cooperation with Europe's new democracies; its steady, determined work to add new Central European members to NATO in the near future; and its efforts to resolve regional disputes such as between Greece and Turkey.  We support continued efforts to secure a just and lasting peace in Bosnia, Northern Ireland and Cyprus.  We are committed to the success of independence in Ukraine and the Baltics.  And we support the continuing evolution of a prosperous and peaceful Russia.  And as part of our effort to support we will pursue a relationship in which we seek cooperation when we can, and frankly express disagreements where they exist, such as on Chechnya.</w:t>
      </w:r>
    </w:p>
    <w:p w:rsidR="00A31137" w:rsidRPr="00A31137" w:rsidRDefault="00A31137" w:rsidP="00A31137">
      <w:r w:rsidRPr="00A31137">
        <w:t>1996 Democratic Party Platform</w:t>
      </w:r>
    </w:p>
    <w:p w:rsidR="00A31137" w:rsidRPr="00A31137" w:rsidRDefault="00A31137" w:rsidP="00A31137">
      <w:r w:rsidRPr="00A31137">
        <w:t>Asia.  We know that many of America's most pressing security challenges and most promising commercial opportunities lie in the Asia Pacific region.  The Democratic Party applauds the important new security charter with Japan, the Administration's close cooperation with the Republic of Korea toward the goal of a unified and non-nuclear peninsula, and the deployment of an American naval task force to the Taiwan Straits to ensure that China's military exercises did not imperil the security of the region.  The Party supports the Administration's policy of steady engagement to encourage a stable, secure, open and prosperous China—a China that respects human rights throughout its land and in Tibet, that joins international efforts against weapons proliferation, and that plays by the rules of free and fair trade.  Today's Democratic Party strongly supports continued American troop presence in East Asia and efforts to promote increased regional security.   And we are committed to building long-term relationships with India, Pakistan, and others in South Asia in order to advance America's diverse interests in that region, from democracy and commerce to nuclear non-proliferation.</w:t>
      </w:r>
    </w:p>
    <w:p w:rsidR="00A31137" w:rsidRPr="00A31137" w:rsidRDefault="00A31137" w:rsidP="00A31137">
      <w:r w:rsidRPr="00A31137">
        <w:t>1996 Democratic Party Platform</w:t>
      </w:r>
    </w:p>
    <w:p w:rsidR="00A31137" w:rsidRPr="00A31137" w:rsidRDefault="00A31137" w:rsidP="00A31137">
      <w:r w:rsidRPr="00A31137">
        <w:t>The Middle East. President Clinton has overseen a remarkable record of achievement toward peace and security in the Middle East—the Israeli-Palestinian accords; the peace agreement between Israel and Jordan; new regional security and investment summits; Israel's increased acceptance throughout the Middle East and the world; the dual containment of Iraq and Iran.  The Democratic Party is committed to help build on this record, knowing that peace and security are indivisible, and supports the efforts by the Clinton-Gore Administration to achieve a comprehensive and lasting peace among Israel and all its neighbors, including Lebanon and Syria.  The Democratic Party remains committed to America's long-standing special relationship with Israel, based on shared values, a mutual commitment to democracy and a strategic alliance that benefits both nations. The United States should continue to help Israel maintain its qualitative edge.  Jerusalem is the capital of  Israel and should remain an undivided city accessible to people of all faiths.  We are also committed to working with our Arab partners for peace to build a brighter, more secure and prosperous future for all the people of the Middle East.  To that end, we seek to further and enhance our close ties with states and peoples in the Arab and Islamic world committed to non-aggression and willing to take risks for peace.</w:t>
      </w:r>
    </w:p>
    <w:p w:rsidR="00A31137" w:rsidRPr="00A31137" w:rsidRDefault="00A31137" w:rsidP="00A31137">
      <w:r w:rsidRPr="00A31137">
        <w:t>1996 Democratic Party Platform</w:t>
      </w:r>
    </w:p>
    <w:p w:rsidR="00A31137" w:rsidRPr="00A31137" w:rsidRDefault="00A31137" w:rsidP="00A31137">
      <w:r w:rsidRPr="00A31137">
        <w:t>Latin America and the Caribbean. The Clinton-Gore Administration forged an historic partnership with the democracies of the Western Hemisphere, as  reflected in the 1994 Summit of the Americas. Today, every country in the Hemisphere is a democracy except Cuba.  Because democratic stability and prosperity in the countries to our south are in our interest and theirs, President Clinton took bold steps to bolster Mexico's economy when it was threatened by crisis; worked to resolve internal and border conflicts in the Hemisphere; joined with regional partners to combat narcotics trafficking; and tightened the tough sanctions against the repressive Castro regime and those who support that regime, while reaching out to the people of Cuba in their quest for democracy, human rights, and freedom.  The Democratic Party is committed to further consolidating democracy, stability, and open markets throughout the hemisphere.</w:t>
      </w:r>
    </w:p>
    <w:p w:rsidR="00A31137" w:rsidRPr="00A31137" w:rsidRDefault="00A31137" w:rsidP="00A31137">
      <w:r w:rsidRPr="00A31137">
        <w:t>1996 Democratic Party Platform</w:t>
      </w:r>
    </w:p>
    <w:p w:rsidR="00A31137" w:rsidRPr="00A31137" w:rsidRDefault="00A31137" w:rsidP="00A31137">
      <w:r w:rsidRPr="00A31137">
        <w:t>Africa. The Clinton Administration championed South Africa's democratic transition; supported Africa's many emerging democracies and led international efforts to speed the return of democracy in Nigeria; helped save countless lives in Somalia, Rwanda, and elsewhere through conflict resolution, removal of landmines, and humanitarian relief; and took steps to help sub-Saharan Africa's 700 million people develop into strong economies and markets.  The Democratic Party believes that continuing to help the people of Africa nurture their continent's extraordinary potential and address its serious problems is both the right thing to do and profoundly in America's interest.</w:t>
      </w:r>
    </w:p>
    <w:p w:rsidR="00A31137" w:rsidRPr="00A31137" w:rsidRDefault="00A31137" w:rsidP="00A31137">
      <w:r w:rsidRPr="00A31137">
        <w:t>1996 Democratic Party Platform</w:t>
      </w:r>
    </w:p>
    <w:p w:rsidR="00A31137" w:rsidRPr="00A31137" w:rsidRDefault="00A31137" w:rsidP="00A31137">
      <w:r w:rsidRPr="00A31137">
        <w:t>Promoting democracy. America remains a beacon of hope to all who cherish democracy and human rights, and America's security benefits from the enlargement of the community of market democracies.  The Clinton-Gore Administration has actively promoted the consolidation and spread of democracy and human rights: in Russia and throughout the former Soviet Union, Central Europe, Latin America, Asia and Africa.  President Clinton directed Vice President Gore to lead bi-national efforts to establish trading relationships to help promote democracy in three strategic areas: Russia, South Africa, and Egypt. The Democratic Party supports the aspirations of all those who seek to strengthen civil society and accountable governance.  To this end, we support the MacBride Principles of equal access to regional employment in Northern Ireland.  We are committed to the human rights and well-being of Jewish people and other minorities in the countries of the former Soviet Union.  We support continued funding for the National Endowment for Democracy, Radio Free Europe/Radio Liberty, the Asia Pacific Network, Radio Marti and other efforts to promote democracy and the free flow of ideas.  We recognize the Information Age offers new opportunities and responsibilities for our democracy and diplomacy that we must seize and meet.</w:t>
      </w:r>
    </w:p>
    <w:p w:rsidR="00A31137" w:rsidRPr="00A31137" w:rsidRDefault="00A31137" w:rsidP="00A31137">
      <w:r w:rsidRPr="00A31137">
        <w:t>1996 Democratic Party Platform</w:t>
      </w:r>
    </w:p>
    <w:p w:rsidR="00A31137" w:rsidRPr="00A31137" w:rsidRDefault="00A31137" w:rsidP="00A31137">
      <w:r w:rsidRPr="00A31137">
        <w:t>Resources for diplomacy.  There is a price to be paid for America's security and its leadership in world affairs—and the Republican Party now refuses to pay that price.  Even though less than one percent of the federal budget goes to foreign policy spending, the Republican Party has savaged our diplomatic readiness, defaulted on treaty obligations to pay dues to the United Nations, slashed assistance to the poorest and most vulnerable populations on earth, and pushed the United States to dead last among developed nations in the global fight against starvation, infant mortality, natural disasters and environmental degradation and other worldwide problems.  The Democratic Party is committed to resist these irresponsible cuts that undermine our security and America's ability to lead.  We are committed to strengthen our security and express our values, by strongly supporting the Clinton-Gore Administration's work to ensure adequate resources for American foreign policy.</w:t>
      </w:r>
    </w:p>
    <w:p w:rsidR="00A31137" w:rsidRPr="00A31137" w:rsidRDefault="00A31137" w:rsidP="00A31137">
      <w:r w:rsidRPr="00A31137">
        <w:t>Community</w:t>
      </w:r>
    </w:p>
    <w:p w:rsidR="00A31137" w:rsidRPr="00A31137" w:rsidRDefault="00A31137" w:rsidP="00A31137">
      <w:r w:rsidRPr="00A31137">
        <w:t>1996 Democratic Party Platform</w:t>
      </w:r>
    </w:p>
    <w:p w:rsidR="00A31137" w:rsidRPr="00A31137" w:rsidRDefault="00A31137" w:rsidP="00A31137">
      <w:r w:rsidRPr="00A31137">
        <w:t>Across America, in far too many places, the bonds of community that tie us together and remind us that we rise or fall together, have too often frayed. Today's Democratic Party believes we must reawaken the strong sense of community that has helped America to prosper for 220 years.  America is uniquely suited to lead the world into the 21st century because of our great diversity and our shared values.  We must never let our differences divide us from each other; instead we must come together on a new common ground, based on the enduring values we share.  When Americans work together—in our homes, our schools, our houses of worship, our civic groups, our businesses, labor unions and professional associations—we can meet any challenge, and realize every dream.</w:t>
      </w:r>
    </w:p>
    <w:p w:rsidR="00A31137" w:rsidRPr="00A31137" w:rsidRDefault="00A31137" w:rsidP="00A31137">
      <w:r w:rsidRPr="00A31137">
        <w:t>1996 Democratic Party Platform</w:t>
      </w:r>
    </w:p>
    <w:p w:rsidR="00A31137" w:rsidRPr="00A31137" w:rsidRDefault="00A31137" w:rsidP="00A31137">
      <w:r w:rsidRPr="00A31137">
        <w:t>Putting families first.  The first and most sacred responsibility of every parent is to cherish our children and strengthen our families.  The family is the foundation of American life.  After 12 years of all family-values-talk and no family-values-action by the Republicans, President Clinton took office determined to put families first.  We support the fundamental themes of the Families First Agenda—promoting paycheck, health care, retirement, and personal security; creating greater educational and economic opportunity; and requiring greater responsibility from individuals, businesses, and government.</w:t>
      </w:r>
    </w:p>
    <w:p w:rsidR="00A31137" w:rsidRPr="00A31137" w:rsidRDefault="00A31137" w:rsidP="00A31137">
      <w:r w:rsidRPr="00A31137">
        <w:t>1996 Democratic Party Platform</w:t>
      </w:r>
    </w:p>
    <w:p w:rsidR="00A31137" w:rsidRPr="00A31137" w:rsidRDefault="00A31137" w:rsidP="00A31137">
      <w:r w:rsidRPr="00A31137">
        <w:t>Standing up for parents. In the first month of Bill Clinton=s Presidency, the Democratic Party ended eight years of Republican gridlock and enacted the Family and Medical Leave Act. Americans blessed with a new child or troubled by a family health crisis can no longer be forced to choose between their families and their jobs.  A bipartisan panel reported that 12 million workers have already been able to live up to their family obligations without risking their jobs.  And almost 90 percent of businesses found that complying with this law cost them little or nothing.  Despite how important this is to American families, Senator Dole led Republican opposition to it and still insists it was wrong. This law is good for families, it is good for America, and it would not be the law today without the Democratic Party.  President Clinton fought for and secured tax credits to encourage adoption, and stood firm against Republican attempts to undermine adoption assistance.</w:t>
      </w:r>
    </w:p>
    <w:p w:rsidR="00A31137" w:rsidRPr="00A31137" w:rsidRDefault="00A31137" w:rsidP="00A31137">
      <w:r w:rsidRPr="00A31137">
        <w:t>1996 Democratic Party Platform</w:t>
      </w:r>
    </w:p>
    <w:p w:rsidR="00A31137" w:rsidRPr="00A31137" w:rsidRDefault="00A31137" w:rsidP="00A31137">
      <w:r w:rsidRPr="00A31137">
        <w:t>Now we want to take the next step. We believe parents should be able to take unpaid leave from work and choose flex time so they can do their job as parents: to do things like go to parent-teacher conferences or take a child to the doctor.  We challenge employers to plan and schedule work to allow parents to have time with their children and to afford employees the opportunity to see their families.</w:t>
      </w:r>
    </w:p>
    <w:p w:rsidR="00A31137" w:rsidRPr="00A31137" w:rsidRDefault="00A31137" w:rsidP="00A31137">
      <w:r w:rsidRPr="00A31137">
        <w:t>1996 Democratic Party Platform</w:t>
      </w:r>
    </w:p>
    <w:p w:rsidR="00A31137" w:rsidRPr="00A31137" w:rsidRDefault="00A31137" w:rsidP="00A31137">
      <w:r w:rsidRPr="00A31137">
        <w:t xml:space="preserve">Responsible entertainment. President Clinton and Vice President Gore have led the fight to help parents control what their children see on television. Because of their leadership, Congress passed a law requiring all new televisions to include a device called a V-chip that will block violent programs when it is activated by an adult.  Senator Dole likes to talk about TV violence, but when it came time to act, he stood with a small minority to oppose the bipartisan V-chip bill.  The President achieved a breakthrough agreement with the media and entertainment industries to develop a rating system for TV shows similar to the motion picture rating system, so parents can make informed decisions about what they want their children to watch.  When parents control the remote, it is not censorship, it is personal responsibility for their children's upbringing. </w:t>
      </w:r>
    </w:p>
    <w:p w:rsidR="00A31137" w:rsidRPr="00A31137" w:rsidRDefault="00A31137" w:rsidP="00A31137">
      <w:r w:rsidRPr="00A31137">
        <w:t>1996 Democratic Party Platform</w:t>
      </w:r>
    </w:p>
    <w:p w:rsidR="00A31137" w:rsidRPr="00A31137" w:rsidRDefault="00A31137" w:rsidP="00A31137">
      <w:r w:rsidRPr="00A31137">
        <w:t>We believe in public support for the arts, including the National Endowment for the Arts and the National Endowment for the Humanities.  Public and private investment in the arts and humanities and the institutions that support them is an investment in the education of our children, the strength of our economy, and the quality of American life.  We support high-quality, family-friendly programming. America is the leading exporter of intellectual property built on a strong foundation of artistic freedom.  We are proud to have stopped the Republican attack on the Corporation for Public Broadcasting—we want our children to watch Sesame Street, not Power Rangers.  And we echo the President's call to the entertainment industry: Work harder to develop and promote movies, music, and TV shows that are suitable—and educational—for children. President Clinton has revived and restored the Consumer Product Safety Commission as an effective guardian of children and families in and around their homes. We will continue to work with industry and consumers to protect children and other Americans from dangerous toys and hazardous products.</w:t>
      </w:r>
    </w:p>
    <w:p w:rsidR="00A31137" w:rsidRPr="00A31137" w:rsidRDefault="00A31137" w:rsidP="00A31137">
      <w:r w:rsidRPr="00A31137">
        <w:t>1996 Democratic Party Platform</w:t>
      </w:r>
    </w:p>
    <w:p w:rsidR="00A31137" w:rsidRPr="00A31137" w:rsidRDefault="00A31137" w:rsidP="00A31137">
      <w:r w:rsidRPr="00A31137">
        <w:t>Tobacco. Cigarette smoking is rapidly becoming the single greatest threat to the health of our children.  We know that 3,000 young people start smoking every day, and 1,000 of them will lead shorter lives because of it.  Despite that, Senator Dole and other Republicans continue to ignore volumes of medical research to make baffling claims that cigarettes are not addictive. They even argue with distinguished Republican experts like President Reagan=s Surgeon General C. Everett Koop. President Clinton and Vice President Gore understand that we have a responsibility to protect our children's future by cracking down on illegal sales of tobacco to minors and by curbing sophisticated advertising campaigns designed to entice kids to start smoking before they are old enough to make an informed decision.  The President has proposed measures to cut off children's access to cigarettes, crack down on those who sell tobacco to minors illegally, and curtail advertising designed to appeal to children.  Tobacco companies may market to adults if they wish, but they must take the responsibility to draw the line on children.</w:t>
      </w:r>
    </w:p>
    <w:p w:rsidR="00A31137" w:rsidRPr="00A31137" w:rsidRDefault="00A31137" w:rsidP="00A31137">
      <w:r w:rsidRPr="00A31137">
        <w:t>1996 Democratic Party Platform</w:t>
      </w:r>
    </w:p>
    <w:p w:rsidR="00A31137" w:rsidRPr="00A31137" w:rsidRDefault="00A31137" w:rsidP="00A31137">
      <w:r w:rsidRPr="00A31137">
        <w:t>Parents= responsibility. Today's Democratic Party knows that governments do not raise children, parents do.  That is why President Clinton and Vice President Gore took action to order all federal agencies to make sure everything government does for children promotes responsibility from all parents, fathers as well as mothers.  Now we challenge every parent to put their children first: to help them with their homework, to read to them, to know their teachers, and above all, to teach their children right from wrong, set the best example, and teach children how to make responsible decisions.</w:t>
      </w:r>
    </w:p>
    <w:p w:rsidR="00A31137" w:rsidRPr="00A31137" w:rsidRDefault="00A31137" w:rsidP="00A31137">
      <w:r w:rsidRPr="00A31137">
        <w:t>1996 Democratic Party Platform</w:t>
      </w:r>
    </w:p>
    <w:p w:rsidR="00A31137" w:rsidRPr="00A31137" w:rsidRDefault="00A31137" w:rsidP="00A31137">
      <w:r w:rsidRPr="00A31137">
        <w:t xml:space="preserve">Community empowerment and cities.  Today's Democratic Party understands that we cannot rebuild our poorest communities by imposing cookie-cutter solutions from Washington.  We have to give communities the tools they need to create opportunity.  Citizens, local government, the private sector, and civic groups must come together and take the responsibility to rebuild their communities from the bottom up.  </w:t>
      </w:r>
    </w:p>
    <w:p w:rsidR="00A31137" w:rsidRPr="00A31137" w:rsidRDefault="00A31137" w:rsidP="00A31137">
      <w:r w:rsidRPr="00A31137">
        <w:t>1996 Democratic Party Platform</w:t>
      </w:r>
    </w:p>
    <w:p w:rsidR="00A31137" w:rsidRPr="00A31137" w:rsidRDefault="00A31137" w:rsidP="00A31137">
      <w:r w:rsidRPr="00A31137">
        <w:t>Encouraging private sector investment, and community-based solutions.  After over a decade of sustained Republican neglect and empty Republican promises, President Clinton and Democrats in Congress launched a comprehensive strategy to unleash economic growth and restore opportunity to our distressed neighborhoods.  Without a single Republican vote, we created 105 Empowerment Zones and Enterprise Communities.  This effort, chaired by Vice President Gore, is bringing  jobs and businesses to our poorest urban and rural areas.  Thousands of new businesses have already moved into these areas, or expanded existing operations, bringing new hope and new jobs to these neighborhoods. We reformed the Community Reinvestment Act to shift the focus from process toward results; we implemented low income mortgage purchase requirements on Fannie Mae and Freddie Mac; and we created a Community Development Financial Institutions Fund.  Together, these efforts are unleashing billions of dollars in new private sector lending and investment for housing and economic development in our inner cities and poorest rural areas.  The President and Vice President have created a brownfields initiative to bring life back to abandoned and contaminated property by reforming outdated regulations and providing incentives for cleanup.</w:t>
      </w:r>
    </w:p>
    <w:p w:rsidR="00A31137" w:rsidRPr="00A31137" w:rsidRDefault="00A31137" w:rsidP="00A31137">
      <w:r w:rsidRPr="00A31137">
        <w:t>1996 Democratic Party Platform</w:t>
      </w:r>
    </w:p>
    <w:p w:rsidR="00A31137" w:rsidRPr="00A31137" w:rsidRDefault="00A31137" w:rsidP="00A31137">
      <w:r w:rsidRPr="00A31137">
        <w:t>Over the next four years, we want a second round of Empowerment Zones to bring economic growth to more American communities; a significant expansion of the Community Development Financial Institutions Fund to spur more private sector investment in local economies; and a new tax incentive to encourage further cleanup and redevelopment of brownfields.  We are committed to American cities.  We believe that vast opportunities for private investment exist in America's cities.  We want to leverage federal investment to maximize private sector investments in our urban centers and support a comprehensive approach to urban problems.  Today's Democratic Party knows that the best way to bring jobs and growth back to our poorest neighborhoods is to harness the job-creating power of the private sector.</w:t>
      </w:r>
    </w:p>
    <w:p w:rsidR="00A31137" w:rsidRPr="00A31137" w:rsidRDefault="00A31137" w:rsidP="00A31137">
      <w:r w:rsidRPr="00A31137">
        <w:t>1996 Democratic Party Platform</w:t>
      </w:r>
    </w:p>
    <w:p w:rsidR="00A31137" w:rsidRPr="00A31137" w:rsidRDefault="00A31137" w:rsidP="00A31137">
      <w:r w:rsidRPr="00A31137">
        <w:t>Helping people afford safe, secure housing.  Safe, secure housing is an essential part of strong communities and strong families.  We are proud that after four years of a Democrat in the White House, the percentage of people who own their own house climbed faster than it has in 30 years.  Bill Clinton took executive action to make it easier and cheaper for working and middle-class homebuyers to get a home loan. We pledge to stand against Republican efforts to repeal the deductibility of home mortgage interest payments.  Fulfilling his 1992 pledge, President Clinton made the low-income housing tax credit permanent, encouraging private developers to build more affordable housing.  This tax credit is making it easier for families to get housing, and we will stand against Republican attacks on it.</w:t>
      </w:r>
    </w:p>
    <w:p w:rsidR="00A31137" w:rsidRPr="00A31137" w:rsidRDefault="00A31137" w:rsidP="00A31137">
      <w:r w:rsidRPr="00A31137">
        <w:t>1996 Democratic Party Platform</w:t>
      </w:r>
    </w:p>
    <w:p w:rsidR="00A31137" w:rsidRPr="00A31137" w:rsidRDefault="00A31137" w:rsidP="00A31137">
      <w:r w:rsidRPr="00A31137">
        <w:t>The Clinton Administration has made sweeping changes to transform the nation's public housing system after decades of neglect.  In the last four years, Democrats demolished more units of unlivable public housing than Republicans did in the previous twelve years, replacing them with lower-density developments that can serve as anchors for neighborhood renewal.  In the next four years, we want to transform the worst public housing from a system that traps people in rundown, crime-ridden projects into one which gives families the freedom to choose where they live by providing vouchers to help them with housing costs.  We have dramatically increased help for the homeless, and shifted focus from temporary shelters toward permanent solutions designed to move people back into the mainstream, into jobs and a home of their own.</w:t>
      </w:r>
    </w:p>
    <w:p w:rsidR="00A31137" w:rsidRPr="00A31137" w:rsidRDefault="00A31137" w:rsidP="00A31137">
      <w:r w:rsidRPr="00A31137">
        <w:t>1996 Democratic Party Platform</w:t>
      </w:r>
    </w:p>
    <w:p w:rsidR="00A31137" w:rsidRPr="00A31137" w:rsidRDefault="00A31137" w:rsidP="00A31137">
      <w:r w:rsidRPr="00A31137">
        <w:t>Agriculture and the rural community.  America has the most abundant agricultural economy on earth, and it must be preserved and strengthened as we enter a new century.  President Clinton and the Democrats have worked hard to promote economic growth in rural areas, protect the family farm, and ensure that farmers get a fair return for their labor and investment and consumers can continue to count on safe and nutritious foods.  We support changes to the Farm Bill that would improve the safety net for family farmers.  In the face of Republican efforts to gut food safety, the Clinton Administration has revolutionized meat inspection and set a new standard of consumer protection.  President Clinton has reinvented the Agriculture Department, reducing regulations and bureaucracy and improving service.  The Clinton Administration has cracked down on food stamp fraud, and approved experiments in state after state to reform the food stamp program.  President Clinton and Democrats in Congress supported new voluntary conservation programs and saved economic development programs for rural areas through the 1996 Farm Bill.  We are committed to expanding agricultural exports by reducing unfair subsidies and trade barriers around the world and protecting our farmers from predatory trade practices.</w:t>
      </w:r>
    </w:p>
    <w:p w:rsidR="00A31137" w:rsidRPr="00A31137" w:rsidRDefault="00A31137" w:rsidP="00A31137">
      <w:r w:rsidRPr="00A31137">
        <w:t>1996 Democratic Party Platform</w:t>
      </w:r>
    </w:p>
    <w:p w:rsidR="00A31137" w:rsidRPr="00A31137" w:rsidRDefault="00A31137" w:rsidP="00A31137">
      <w:r w:rsidRPr="00A31137">
        <w:t>Protecting our environment. Today's Democratic Party wants all Americans to be able to enjoy America's magnificent natural heritage—and we want our people to know that the air they breathe is pure, the water they drink is clean, and the land they live on is safe from hazard.  We understand we have a sacred obligation to protect God's earth and preserve our quality of life for our children and our children's children.  For the 12 Republican years before Bill Clinton and Al Gore took office, protecting the environment was far from a priority.  And in the last two years, 25 years of bipartisan environmental progress—started by a Democratic Congress under a Republican President—has come under attack from the far right.  Time and again, President Clinton and the Democratic Party have stood firm against this onslaught.</w:t>
      </w:r>
    </w:p>
    <w:p w:rsidR="00A31137" w:rsidRPr="00A31137" w:rsidRDefault="00A31137" w:rsidP="00A31137">
      <w:r w:rsidRPr="00A31137">
        <w:t>1996 Democratic Party Platform</w:t>
      </w:r>
    </w:p>
    <w:p w:rsidR="00A31137" w:rsidRPr="00A31137" w:rsidRDefault="00A31137" w:rsidP="00A31137">
      <w:r w:rsidRPr="00A31137">
        <w:t>The Republican Congress, under Senator Dole and Speaker Gingrich, voted to cut environmental enforcement resources by 25 percent.  President Clinton and Democrats in Congress said no. We believe government has a responsibility to enforce the laws that help keep toxic chemicals from our water, pesticides from our food, and smog from our air.</w:t>
      </w:r>
    </w:p>
    <w:p w:rsidR="00A31137" w:rsidRPr="00A31137" w:rsidRDefault="00A31137" w:rsidP="00A31137">
      <w:r w:rsidRPr="00A31137">
        <w:t>1996 Democratic Party Platform</w:t>
      </w:r>
    </w:p>
    <w:p w:rsidR="00A31137" w:rsidRPr="00A31137" w:rsidRDefault="00A31137" w:rsidP="00A31137">
      <w:r w:rsidRPr="00A31137">
        <w:t>The Republican Congress, under Senator Dole and Speaker Gingrich, let lobbyists for the polluters write their own loopholes into bills to weaken laws that protect the health and safety of our children.  President Clinton and Democrats in Congress said no.  We believe America's elected officials have a responsibility to protect America's families from threats to their health, and that trust must never be abdicated—especially not by placing control of environmental safeguards in the hands of the very polluters those safeguards are meant to keep in line.</w:t>
      </w:r>
    </w:p>
    <w:p w:rsidR="00A31137" w:rsidRPr="00A31137" w:rsidRDefault="00A31137" w:rsidP="00A31137">
      <w:r w:rsidRPr="00A31137">
        <w:t>1996 Democratic Party Platform</w:t>
      </w:r>
    </w:p>
    <w:p w:rsidR="00A31137" w:rsidRPr="00A31137" w:rsidRDefault="00A31137" w:rsidP="00A31137">
      <w:r w:rsidRPr="00A31137">
        <w:t>The Republican Congress, under Senator Dole and Speaker Gingrich, tried to make taxpayers pick up the tab for toxic wastes, and let polluters who caused the problem and can afford to fix it off the hook.  President Clinton and Democrats in Congress said no.  We believe America should insist that toxic waste cleanup is paid for by those responsible for it in the first place—and not foisted off on the taxpayers.</w:t>
      </w:r>
    </w:p>
    <w:p w:rsidR="00A31137" w:rsidRPr="00A31137" w:rsidRDefault="00A31137" w:rsidP="00A31137">
      <w:r w:rsidRPr="00A31137">
        <w:t>1996 Democratic Party Platform</w:t>
      </w:r>
    </w:p>
    <w:p w:rsidR="00A31137" w:rsidRPr="00A31137" w:rsidRDefault="00A31137" w:rsidP="00A31137">
      <w:r w:rsidRPr="00A31137">
        <w:t>In the last four years, President Clinton and Vice President Gore have taken strong action to make our air and water cleaner. They reformed the Superfund program—in each of the last two years nearly as many toxic dumps were cleaned as in the previous decade.  They dramatically strengthened Community Right-to-Know efforts, because Americans should be informed about toxic chemicals being released into the air and water so they can take steps to protect themselves and their families.  They took measures to cut toxic air pollution from chemical plants by 90 percent, and after years of Republican neglect they cleaned up hundreds of nuclear weapons sites and are committed to finishing the job.</w:t>
      </w:r>
    </w:p>
    <w:p w:rsidR="00A31137" w:rsidRPr="00A31137" w:rsidRDefault="00A31137" w:rsidP="00A31137">
      <w:r w:rsidRPr="00A31137">
        <w:t>1996 Democratic Party Platform</w:t>
      </w:r>
    </w:p>
    <w:p w:rsidR="00A31137" w:rsidRPr="00A31137" w:rsidRDefault="00A31137" w:rsidP="00A31137">
      <w:r w:rsidRPr="00A31137">
        <w:t>Today's Democratic Party knows that we can protect the environment and expand the economy.  We believe we can create more jobs over the long run by cleaning the environment.  We want to challenge businesses and communities to take more initiative in protecting the environment, and we want to make it easier for them to do it.  President Clinton and Vice President Gore launched Project XL which tells businesses: If you can find a cheaper, more efficient way than government regulations require to meet even tougher pollution goals, do it ­­ as long as you do it right.  This new approach offers business flexibility, incentives, and accountability.</w:t>
      </w:r>
    </w:p>
    <w:p w:rsidR="00A31137" w:rsidRPr="00A31137" w:rsidRDefault="00A31137" w:rsidP="00A31137">
      <w:r w:rsidRPr="00A31137">
        <w:t>1996 Democratic Party Platform</w:t>
      </w:r>
    </w:p>
    <w:p w:rsidR="00A31137" w:rsidRPr="00A31137" w:rsidRDefault="00A31137" w:rsidP="00A31137">
      <w:r w:rsidRPr="00A31137">
        <w:t>Environmental protection should include more education on compliance for small and medium sized business, more strategies to increase compliance for all businesses, and tough enforcement—including criminal prosecution—for those who put human health and the environment at risk.</w:t>
      </w:r>
    </w:p>
    <w:p w:rsidR="00A31137" w:rsidRPr="00A31137" w:rsidRDefault="00A31137" w:rsidP="00A31137">
      <w:r w:rsidRPr="00A31137">
        <w:t>1996 Democratic Party Platform</w:t>
      </w:r>
    </w:p>
    <w:p w:rsidR="00A31137" w:rsidRPr="00A31137" w:rsidRDefault="00A31137" w:rsidP="00A31137">
      <w:r w:rsidRPr="00A31137">
        <w:t xml:space="preserve">We are committed to protecting the majestic legacy of our National Parks and enhancing recreational opportunities.  We are determined to continue working to restore the Florida Everglades, to preserve our wildlife refuges, and to fight any effort to open the Arctic National Wildlife Refuge to oil and gas drilling.  We will be good stewards of our old-growth forests, oppose new offshore oil drilling and mineral exploration and production in our nation's many environmentally critical areas, and protect our oceans from oil spills and the dumping of toxic and radioactive waste.  </w:t>
      </w:r>
    </w:p>
    <w:p w:rsidR="00A31137" w:rsidRPr="00A31137" w:rsidRDefault="00A31137" w:rsidP="00A31137">
      <w:r w:rsidRPr="00A31137">
        <w:t>1996 Democratic Party Platform</w:t>
      </w:r>
    </w:p>
    <w:p w:rsidR="00A31137" w:rsidRPr="00A31137" w:rsidRDefault="00A31137" w:rsidP="00A31137">
      <w:r w:rsidRPr="00A31137">
        <w:t>The President and Vice President announced an historic partnership with the Big Three American automakers to develop the technology to produce cars up to three times more fuel efficient than those made today—cleaner cars for a cleaner environment. We will continue to support responsible recycling, and encourage energy efficiency that makes our economy more efficient and less reliant on foreign oil.  We believe that adequate investments in better mass transit, cleaner cars, and renewable energy sources are good for the environment and good for the economy.</w:t>
      </w:r>
    </w:p>
    <w:p w:rsidR="00A31137" w:rsidRPr="00A31137" w:rsidRDefault="00A31137" w:rsidP="00A31137">
      <w:r w:rsidRPr="00A31137">
        <w:t>1996 Democratic Party Platform</w:t>
      </w:r>
    </w:p>
    <w:p w:rsidR="00A31137" w:rsidRPr="00A31137" w:rsidRDefault="00A31137" w:rsidP="00A31137">
      <w:r w:rsidRPr="00A31137">
        <w:t>After years in which Republicans neglected the global environment, the Clinton Administration has made America a leader in the fight to meet environmental challenges that transcend national borders and require global cooperation.  The Clinton-Gore Administration led the world in calling for a global ban on ocean-dumping of low-level radioactive waste and for a legally binding treaty to phase out persistent organic pollutants such as DDT and PCBs.  We will seek a strong international agreement to further reduce greenhouse gas emissions worldwide and protect our global climate.  We are committed to preserving the planet's biodiversity, repairing the depleted ozone layer, and working with other nations to stabilize population growth.</w:t>
      </w:r>
    </w:p>
    <w:p w:rsidR="00A31137" w:rsidRPr="00A31137" w:rsidRDefault="00A31137" w:rsidP="00A31137">
      <w:r w:rsidRPr="00A31137">
        <w:t>1996 Democratic Party Platform</w:t>
      </w:r>
    </w:p>
    <w:p w:rsidR="00A31137" w:rsidRPr="00A31137" w:rsidRDefault="00A31137" w:rsidP="00A31137">
      <w:r w:rsidRPr="00A31137">
        <w:t>Democrats recognize that sustainable development is the key to protecting the environment and promoting economic growth.  That is why the Clinton-Gore Administration has reformed our foreign aid programs to focus on sustainable development.  At home, Democrats know that sound economic development means sound environmental protection.</w:t>
      </w:r>
    </w:p>
    <w:p w:rsidR="00A31137" w:rsidRPr="00A31137" w:rsidRDefault="00A31137" w:rsidP="00A31137">
      <w:r w:rsidRPr="00A31137">
        <w:t>1996 Democratic Party Platform</w:t>
      </w:r>
    </w:p>
    <w:p w:rsidR="00A31137" w:rsidRPr="00A31137" w:rsidRDefault="00A31137" w:rsidP="00A31137">
      <w:r w:rsidRPr="00A31137">
        <w:t>The American community.  Today's Democratic Party knows that when America is divided we will likely fail, but when America is united we will always prevail. Americans will always have differences, and when we reach across those differences, we are stronger for it.  And we share an abiding set of values that define us as Americans.  Our task is to draw strength from both—from our great diversity and our constant values—to fashion the future we want for our children.</w:t>
      </w:r>
    </w:p>
    <w:p w:rsidR="00A31137" w:rsidRPr="00A31137" w:rsidRDefault="00A31137" w:rsidP="00A31137">
      <w:r w:rsidRPr="00A31137">
        <w:t>1996 Democratic Party Platform</w:t>
      </w:r>
    </w:p>
    <w:p w:rsidR="00A31137" w:rsidRPr="00A31137" w:rsidRDefault="00A31137" w:rsidP="00A31137">
      <w:r w:rsidRPr="00A31137">
        <w:t>Fighting discrimination and protecting civil rights.  Today's Democratic Party knows we must renew our efforts to stamp out discrimination and hatred of every kind, wherever and whenever we see it.  We deplore the recent wave of burnings that has targeted African-American churches in the South, as well as other houses of worship across the country, and we have established a special task force to help local communities catch and prosecute those responsible, prevent further arsons, and rebuild their churches.  We believe everyone in America should learn English so they can fully share in our daily life, but we strongly oppose divisive efforts like English-only legislation, designed to erect barriers between us and force people away from the culture and heritage of which they are rightly proud.  The Clinton Administration is committed to strengthening the government-to-government relationship between the federal government and the American Indian and Alaska Native tribal governments. The President will continue implementation of the Self-Governance/Self-Determination Act amendments which he signed in 1994 that will eventually open up the self-governance program to all tribal governments who wish to participate, giving these governments full control of where and how certain federal resources are spent on their reservations.  We must remember we do not have an American to waste.  We continue to lead the fight to end discrimination on the basis of race, gender, religion, age, ethnicity, disability, and sexual orientation.  The Democratic Party has always supported the Equal Rights Amendment, and we are committed to ensuring full equality for women and to vigorously enforce the Americans with Disabilities Act.  We support continued efforts, like the Employment Non-Discrimination Act, to end discrimination against gay men and lesbians and further their full inclusion in the life of the nation. Over the last four years, President Clinton and the Democrats have worked aggressively to enforce the letter and spirit of civil rights law.  The President and Vice President remain committed to an Administration that looks like America, and we are proud of the Administration's extraordinary judicial appointments—they are both more diverse and more qualified than any previous Administration. We know there is still more we can do to ensure equal opportunity for all Americans, so all people willing to work hard can build a strong future.  President Clinton is leading the way to reform affirmative action so that it works, it is improved, and promotes opportunity, but does not accidentally hold others back in the process.  Senator Dole has promised to end affirmative action.  He's wrong, and the President is right. When it comes to affirmative action, we should mend it, not end it.</w:t>
      </w:r>
    </w:p>
    <w:p w:rsidR="00A31137" w:rsidRPr="00A31137" w:rsidRDefault="00A31137" w:rsidP="00A31137">
      <w:r w:rsidRPr="00A31137">
        <w:t>1996 Democratic Party Platform</w:t>
      </w:r>
    </w:p>
    <w:p w:rsidR="00A31137" w:rsidRPr="00A31137" w:rsidRDefault="00A31137" w:rsidP="00A31137">
      <w:r w:rsidRPr="00A31137">
        <w:t>Religious freedom.  Today's Democratic Party understands that all Americans have a right to express their faith.  The Constitution prohibits the state establishment of religion, and it protects the free exercise of religion.  The President fought for and signed the Religious Freedom Restoration Act, to reaffirm the great protection the Constitution gives to religious expression, and to recognize the historic role people of faith have played in America.  Americans have a right to express their love of God in public, and we applaud the President's work to ensure that children are not denied private religious expression in school.  Whenever the religious rights of our children—or any American—are threatened, we will stand against it.</w:t>
      </w:r>
    </w:p>
    <w:p w:rsidR="00A31137" w:rsidRPr="00A31137" w:rsidRDefault="00A31137" w:rsidP="00A31137">
      <w:r w:rsidRPr="00A31137">
        <w:t>1996 Democratic Party Platform</w:t>
      </w:r>
    </w:p>
    <w:p w:rsidR="00A31137" w:rsidRPr="00A31137" w:rsidRDefault="00A31137" w:rsidP="00A31137">
      <w:r w:rsidRPr="00A31137">
        <w:t>Responsibility to our community and our country. Today's Democratic Party believes every American has a duty and a responsibility to give something back to their community and their country.  In the past three years, 45,000 Americans have performed national service as part of the AmeriCorps program President Clinton and the Democrats fought so hard to create—and we applaud those Republicans who joined a bipartisan effort to preserve AmeriCorps when Speaker Gingrich"s House tried to kill it.</w:t>
      </w:r>
    </w:p>
    <w:p w:rsidR="00A31137" w:rsidRPr="00A31137" w:rsidRDefault="00A31137" w:rsidP="00A31137">
      <w:r w:rsidRPr="00A31137">
        <w:t>1996 Democratic Party Platform</w:t>
      </w:r>
    </w:p>
    <w:p w:rsidR="00A31137" w:rsidRPr="00A31137" w:rsidRDefault="00A31137" w:rsidP="00A31137">
      <w:r w:rsidRPr="00A31137">
        <w:t>We applaud the American spirit of voluntarism and charity.  As we balance the budget, we must work even harder in our own lives to live up to the duties we owe one another.  We must shrink the government, but we cannot shrink from our challenges.  We believe every school and college in America should make service a part of its basic ethic, and we want to expand national service by helping communities give scholarships to high school students for community service.  We challenge Americans in all walks of life to make a new commitment to taking responsibility for themselves, their families, their communities, and their country.</w:t>
      </w:r>
    </w:p>
    <w:p w:rsidR="00A31137" w:rsidRPr="00A31137" w:rsidRDefault="00A31137" w:rsidP="00A31137">
      <w:r w:rsidRPr="00A31137">
        <w:t>1996 Democratic Party Platform</w:t>
      </w:r>
    </w:p>
    <w:p w:rsidR="00A31137" w:rsidRPr="00A31137" w:rsidRDefault="00A31137" w:rsidP="00A31137">
      <w:r w:rsidRPr="00A31137">
        <w:t>If we do our job, we will make the next American century as great as each one that has come before it.  We will enter the 21st century with the American Dream alive for all, with America still the world's strongest force for peace and freedom, and with the American community coming together, enriched by our diversity and stronger than ever.</w:t>
      </w:r>
    </w:p>
    <w:p w:rsidR="00A31137" w:rsidRPr="00A31137" w:rsidRDefault="00A31137" w:rsidP="00A31137">
      <w:r w:rsidRPr="00A31137">
        <w:t>1996 Democratic Party Platform</w:t>
      </w:r>
    </w:p>
    <w:p w:rsidR="00A31137" w:rsidRPr="00A31137" w:rsidRDefault="00A31137" w:rsidP="00A31137">
      <w:r w:rsidRPr="00A31137">
        <w:t>America's best days lie ahead, as we renew our historic pledge to uphold and advance the promise of America—One nation, under God, indivisible, with liberty and justice for all.</w:t>
      </w:r>
    </w:p>
    <w:p w:rsidR="00A31137" w:rsidRPr="00A31137" w:rsidRDefault="00A31137" w:rsidP="00A31137">
      <w:r w:rsidRPr="00A31137">
        <w:t>Republican Platform of 1996</w:t>
      </w:r>
    </w:p>
    <w:p w:rsidR="00A31137" w:rsidRPr="00A31137" w:rsidRDefault="00A31137" w:rsidP="00A31137">
      <w:r w:rsidRPr="00A31137">
        <w:t>Title:</w:t>
      </w:r>
      <w:r w:rsidRPr="00A31137">
        <w:tab/>
        <w:t>Republican Platform of 1996</w:t>
      </w:r>
    </w:p>
    <w:p w:rsidR="00A31137" w:rsidRPr="00A31137" w:rsidRDefault="00A31137" w:rsidP="00A31137">
      <w:r w:rsidRPr="00A31137">
        <w:t>Author:</w:t>
      </w:r>
      <w:r w:rsidRPr="00A31137">
        <w:tab/>
        <w:t>Republican Party</w:t>
      </w:r>
    </w:p>
    <w:p w:rsidR="00A31137" w:rsidRPr="00A31137" w:rsidRDefault="00A31137" w:rsidP="00A31137">
      <w:r w:rsidRPr="00A31137">
        <w:t>Date:</w:t>
      </w:r>
      <w:r w:rsidRPr="00A31137">
        <w:tab/>
        <w:t>1996</w:t>
      </w:r>
    </w:p>
    <w:p w:rsidR="00A31137" w:rsidRPr="00A31137" w:rsidRDefault="00A31137" w:rsidP="00A31137">
      <w:r w:rsidRPr="00A31137">
        <w:t>Source:</w:t>
      </w:r>
      <w:r w:rsidRPr="00A31137">
        <w:tab/>
        <w:t>1996 Republican Party Platform Booklet</w:t>
      </w:r>
    </w:p>
    <w:p w:rsidR="00A31137" w:rsidRPr="00A31137" w:rsidRDefault="00A31137" w:rsidP="00A31137">
      <w:r w:rsidRPr="00A31137">
        <w:t>The 1996 Republican Platform</w:t>
      </w:r>
    </w:p>
    <w:p w:rsidR="00A31137" w:rsidRPr="00A31137" w:rsidRDefault="00A31137" w:rsidP="00A31137">
      <w:r w:rsidRPr="00A31137">
        <w:t>Adopted August 12, 1996</w:t>
      </w:r>
    </w:p>
    <w:p w:rsidR="00A31137" w:rsidRPr="00A31137" w:rsidRDefault="00A31137" w:rsidP="00A31137">
      <w:r w:rsidRPr="00A31137">
        <w:t>The 1996 Republican Platform was adopted on August 12, 1996</w:t>
      </w:r>
    </w:p>
    <w:p w:rsidR="00A31137" w:rsidRPr="00A31137" w:rsidRDefault="00A31137" w:rsidP="00A31137">
      <w:r w:rsidRPr="00A31137">
        <w:t>by the delegates to the 1996 Republican National Convention</w:t>
      </w:r>
    </w:p>
    <w:p w:rsidR="00A31137" w:rsidRPr="00A31137" w:rsidRDefault="00A31137" w:rsidP="00A31137">
      <w:r w:rsidRPr="00A31137">
        <w:t>in San Diego, California.</w:t>
      </w:r>
    </w:p>
    <w:p w:rsidR="00A31137" w:rsidRPr="00A31137" w:rsidRDefault="00A31137" w:rsidP="00A31137">
      <w:r w:rsidRPr="00A31137">
        <w:t>Copyright © 1996, Republican National Committee</w:t>
      </w:r>
    </w:p>
    <w:p w:rsidR="00A31137" w:rsidRPr="00A31137" w:rsidRDefault="00A31137" w:rsidP="00A31137">
      <w:r w:rsidRPr="00A31137">
        <w:t>Preamble</w:t>
      </w:r>
    </w:p>
    <w:p w:rsidR="00A31137" w:rsidRPr="00A31137" w:rsidRDefault="00A31137" w:rsidP="00A31137">
      <w:r w:rsidRPr="00A31137">
        <w:t>1996 Republican Party Platform</w:t>
      </w:r>
    </w:p>
    <w:p w:rsidR="00A31137" w:rsidRPr="00A31137" w:rsidRDefault="00A31137" w:rsidP="00A31137">
      <w:r w:rsidRPr="00A31137">
        <w:t xml:space="preserve">We meet to nominate a candidate and pass a platform at a moment of measureless national opportunity. A new century beckons, and Americans are more than equal to its challenges. But there is a problem. The Clinton administration has proven unequal to the heritage of our past, the promise of our times, and the character of the American people. They require more and demand better. With them, we raise our voices and raise our sights. </w:t>
      </w:r>
    </w:p>
    <w:p w:rsidR="00A31137" w:rsidRPr="00A31137" w:rsidRDefault="00A31137" w:rsidP="00A31137">
      <w:r w:rsidRPr="00A31137">
        <w:t>1996 Republican Party Platform</w:t>
      </w:r>
    </w:p>
    <w:p w:rsidR="00A31137" w:rsidRPr="00A31137" w:rsidRDefault="00A31137" w:rsidP="00A31137">
      <w:r w:rsidRPr="00A31137">
        <w:t xml:space="preserve">We are the heirs of world leadership that was earned by bravery and sacrifice on half a thousand battlefields. We will soon nominate for the presidency a man who knew battle and so loves peace, a man who lives bravely and so walks humbly with his God and his fellow citizens. We walk with him now as he joins one more battle, every bit as crucial for our country's future as was the crusade in which he served. </w:t>
      </w:r>
    </w:p>
    <w:p w:rsidR="00A31137" w:rsidRPr="00A31137" w:rsidRDefault="00A31137" w:rsidP="00A31137">
      <w:r w:rsidRPr="00A31137">
        <w:t>1996 Republican Party Platform</w:t>
      </w:r>
    </w:p>
    <w:p w:rsidR="00A31137" w:rsidRPr="00A31137" w:rsidRDefault="00A31137" w:rsidP="00A31137">
      <w:r w:rsidRPr="00A31137">
        <w:t>Just when America should be leading the world, we have an administration squandering the international respect it did not earn and does not value. Just when America should be demonstrating anew the dynamic power of economic freedom, we have an administration working against both history and public opinion to expand the reach and burden of government. Just when Americans are reasserting their deepest values, we have an administration locked into the counterculture battles of its youth.</w:t>
      </w:r>
    </w:p>
    <w:p w:rsidR="00A31137" w:rsidRPr="00A31137" w:rsidRDefault="00A31137" w:rsidP="00A31137">
      <w:r w:rsidRPr="00A31137">
        <w:t>1996 Republican Party Platform</w:t>
      </w:r>
    </w:p>
    <w:p w:rsidR="00A31137" w:rsidRPr="00A31137" w:rsidRDefault="00A31137" w:rsidP="00A31137">
      <w:r w:rsidRPr="00A31137">
        <w:t xml:space="preserve">Americans are right to say we are on the wrong track. Our prestige in the world is declining. Economic growth here at home is anemic. Our society grows more violent and less decent. The only way the Clinton administration can magnify its questionable accomplishments is to lower our expectations. Those who lead the Democrat party call America to smaller tasks and downsized dreams. </w:t>
      </w:r>
    </w:p>
    <w:p w:rsidR="00A31137" w:rsidRPr="00A31137" w:rsidRDefault="00A31137" w:rsidP="00A31137">
      <w:r w:rsidRPr="00A31137">
        <w:t>1996 Republican Party Platform</w:t>
      </w:r>
    </w:p>
    <w:p w:rsidR="00A31137" w:rsidRPr="00A31137" w:rsidRDefault="00A31137" w:rsidP="00A31137">
      <w:r w:rsidRPr="00A31137">
        <w:t xml:space="preserve">That is not the calling of an American president. </w:t>
      </w:r>
    </w:p>
    <w:p w:rsidR="00A31137" w:rsidRPr="00A31137" w:rsidRDefault="00A31137" w:rsidP="00A31137">
      <w:r w:rsidRPr="00A31137">
        <w:t>1996 Republican Party Platform</w:t>
      </w:r>
    </w:p>
    <w:p w:rsidR="00A31137" w:rsidRPr="00A31137" w:rsidRDefault="00A31137" w:rsidP="00A31137">
      <w:r w:rsidRPr="00A31137">
        <w:t>Today's Democrat leaders do not understand leadership. They reduce principles to tactics. They talk endlessly and confront nothing. They offer, not convictions, but alibis. They are paralyzed by indecision, weakened by scandal and guided only by the perpetuation of their own power.</w:t>
      </w:r>
    </w:p>
    <w:p w:rsidR="00A31137" w:rsidRPr="00A31137" w:rsidRDefault="00A31137" w:rsidP="00A31137">
      <w:r w:rsidRPr="00A31137">
        <w:t>1996 Republican Party Platform</w:t>
      </w:r>
    </w:p>
    <w:p w:rsidR="00A31137" w:rsidRPr="00A31137" w:rsidRDefault="00A31137" w:rsidP="00A31137">
      <w:r w:rsidRPr="00A31137">
        <w:t>We asked for change. We worked for reform. We offered cooperation and consensus. Now, the asking is over. The Clinton administration cannot be reinvented, it must be replaced.</w:t>
      </w:r>
    </w:p>
    <w:p w:rsidR="00A31137" w:rsidRPr="00A31137" w:rsidRDefault="00A31137" w:rsidP="00A31137">
      <w:r w:rsidRPr="00A31137">
        <w:t>1996 Republican Party Platform</w:t>
      </w:r>
    </w:p>
    <w:p w:rsidR="00A31137" w:rsidRPr="00A31137" w:rsidRDefault="00A31137" w:rsidP="00A31137">
      <w:r w:rsidRPr="00A31137">
        <w:t>Republicans do not duplicate or fabricate or counterfeit a vision for the land we love. With our fellow citizens, we assert the present power of timeless truths.</w:t>
      </w:r>
    </w:p>
    <w:p w:rsidR="00A31137" w:rsidRPr="00A31137" w:rsidRDefault="00A31137" w:rsidP="00A31137">
      <w:r w:rsidRPr="00A31137">
        <w:t>1996 Republican Party Platform</w:t>
      </w:r>
    </w:p>
    <w:p w:rsidR="00A31137" w:rsidRPr="00A31137" w:rsidRDefault="00A31137" w:rsidP="00A31137">
      <w:r w:rsidRPr="00A31137">
        <w:t xml:space="preserve">This is what we want for America: real prosperity that reaches beyond the stock market to every family, small business and worker. An economy expanding as fast as American enterprise and creativity will carry it, free from unnecessary taxes, regulation and litigation. </w:t>
      </w:r>
    </w:p>
    <w:p w:rsidR="00A31137" w:rsidRPr="00A31137" w:rsidRDefault="00A31137" w:rsidP="00A31137">
      <w:r w:rsidRPr="00A31137">
        <w:t>1996 Republican Party Platform</w:t>
      </w:r>
    </w:p>
    <w:p w:rsidR="00A31137" w:rsidRPr="00A31137" w:rsidRDefault="00A31137" w:rsidP="00A31137">
      <w:r w:rsidRPr="00A31137">
        <w:t xml:space="preserve">This is what we want for America: the restoration of self-government by breaking Washington's monopoly on power. The American people want their country back. We will help them to regain it. </w:t>
      </w:r>
    </w:p>
    <w:p w:rsidR="00A31137" w:rsidRPr="00A31137" w:rsidRDefault="00A31137" w:rsidP="00A31137">
      <w:r w:rsidRPr="00A31137">
        <w:t>1996 Republican Party Platform</w:t>
      </w:r>
    </w:p>
    <w:p w:rsidR="00A31137" w:rsidRPr="00A31137" w:rsidRDefault="00A31137" w:rsidP="00A31137">
      <w:r w:rsidRPr="00A31137">
        <w:t>This too we want for America: moral clarity in our culture and ethical leadership in the White House. We offer America, not a harsh moralism, but our sincere conviction that the values we hold in our hearts determine the success of our lives and the shape of our society. It matters greatly that our leaders reflect and communicate those values, not undermine or mock them.</w:t>
      </w:r>
    </w:p>
    <w:p w:rsidR="00A31137" w:rsidRPr="00A31137" w:rsidRDefault="00A31137" w:rsidP="00A31137">
      <w:r w:rsidRPr="00A31137">
        <w:t>1996 Republican Party Platform</w:t>
      </w:r>
    </w:p>
    <w:p w:rsidR="00A31137" w:rsidRPr="00A31137" w:rsidRDefault="00A31137" w:rsidP="00A31137">
      <w:r w:rsidRPr="00A31137">
        <w:t>The diversity of our nation is reflected in this platform. We ask for the support and participation of all who substantially share our agenda. In one way or another, every Republican is a dissenter. At the same time, we are not morally indifferent. In this, as in many things, Lincoln is our model. At a time of great crisis, he spoke both words of healing and words of conviction. We do likewise, not for the peace of a political party, but because we citizens are bound together in a great enterprise for our children's future.</w:t>
      </w:r>
    </w:p>
    <w:p w:rsidR="00A31137" w:rsidRPr="00A31137" w:rsidRDefault="00A31137" w:rsidP="00A31137">
      <w:r w:rsidRPr="00A31137">
        <w:t>1996 Republican Party Platform</w:t>
      </w:r>
    </w:p>
    <w:p w:rsidR="00A31137" w:rsidRPr="00A31137" w:rsidRDefault="00A31137" w:rsidP="00A31137">
      <w:r w:rsidRPr="00A31137">
        <w:t>The platform that follows marshals these principles and sends them into action. We aim at nothing less than an economy of dynamic growth; a renewal of community, self-government and citizenship; and a national reaffirmation of the enduring principles on which America's greatness depends. We will count our victories, not in elections won or in economic numbers on a chart, but in the everyday achievements of the American dream: when a man or woman discovers the dignity and confidence of a job; when a child rejects drugs and embraces life; when an entrepreneur turns an idea into an industry; when a family once again feels the security of its savings and has control over the education of its children.</w:t>
      </w:r>
    </w:p>
    <w:p w:rsidR="00A31137" w:rsidRPr="00A31137" w:rsidRDefault="00A31137" w:rsidP="00A31137">
      <w:r w:rsidRPr="00A31137">
        <w:t>1996 Republican Party Platform</w:t>
      </w:r>
    </w:p>
    <w:p w:rsidR="00A31137" w:rsidRPr="00A31137" w:rsidRDefault="00A31137" w:rsidP="00A31137">
      <w:r w:rsidRPr="00A31137">
        <w:t>None of the extraordinary things about our country are gifts of government. They are the accomplishments of free people in a free society. They are achievements, not entitlements—and are sweeter for that fact. They result when men and women live in obedience to their conscience, not to the state. All our efforts as Republicans are guided by the fixed star of this single principle: that freedom always exceeds our highest expectations.</w:t>
      </w:r>
    </w:p>
    <w:p w:rsidR="00A31137" w:rsidRPr="00A31137" w:rsidRDefault="00A31137" w:rsidP="00A31137">
      <w:r w:rsidRPr="00A31137">
        <w:t>1996 Republican Party Platform</w:t>
      </w:r>
    </w:p>
    <w:p w:rsidR="00A31137" w:rsidRPr="00A31137" w:rsidRDefault="00A31137" w:rsidP="00A31137">
      <w:r w:rsidRPr="00A31137">
        <w:t>This is the greatest task before the Republican Party: to raise the bar of American expectations. Of the potential of our economy. Of the order and civility of our culture. Of what a president can be, and what the presidency must be again.</w:t>
      </w:r>
    </w:p>
    <w:p w:rsidR="00A31137" w:rsidRPr="00A31137" w:rsidRDefault="00A31137" w:rsidP="00A31137">
      <w:r w:rsidRPr="00A31137">
        <w:t>1996 Republican Party Platform</w:t>
      </w:r>
    </w:p>
    <w:p w:rsidR="00A31137" w:rsidRPr="00A31137" w:rsidRDefault="00A31137" w:rsidP="00A31137">
      <w:r w:rsidRPr="00A31137">
        <w:t xml:space="preserve">There is a continuing revolution in the yellowed parchment and faded ink of the American creed…a revolution that will long outlive us. It can carry the weight of all our hopes. It can reward every dreamer. It is the reason that America's finest hour is never a memory and always a goal. </w:t>
      </w:r>
    </w:p>
    <w:p w:rsidR="00A31137" w:rsidRPr="00A31137" w:rsidRDefault="00A31137" w:rsidP="00A31137">
      <w:r w:rsidRPr="00A31137">
        <w:t>1996 Republican Party Platform</w:t>
      </w:r>
    </w:p>
    <w:p w:rsidR="00A31137" w:rsidRPr="00A31137" w:rsidRDefault="00A31137" w:rsidP="00A31137">
      <w:r w:rsidRPr="00A31137">
        <w:t xml:space="preserve">With trust in God and in fidelity to generations past and generations to come, we respectfully submit this platform to the American people. </w:t>
      </w:r>
    </w:p>
    <w:p w:rsidR="00A31137" w:rsidRPr="00A31137" w:rsidRDefault="00A31137" w:rsidP="00A31137">
      <w:r w:rsidRPr="00A31137">
        <w:t>Principles of the 1996 Republican Platform</w:t>
      </w:r>
    </w:p>
    <w:p w:rsidR="00A31137" w:rsidRPr="00A31137" w:rsidRDefault="00A31137" w:rsidP="00A31137">
      <w:r w:rsidRPr="00A31137">
        <w:t>Introduction</w:t>
      </w:r>
    </w:p>
    <w:p w:rsidR="00A31137" w:rsidRPr="00A31137" w:rsidRDefault="00A31137" w:rsidP="00A31137">
      <w:r w:rsidRPr="00A31137">
        <w:t>1996 Republican Party Platform</w:t>
      </w:r>
    </w:p>
    <w:p w:rsidR="00A31137" w:rsidRPr="00A31137" w:rsidRDefault="00A31137" w:rsidP="00A31137">
      <w:r w:rsidRPr="00A31137">
        <w:t>Because Americans are a diverse and tolerant people, they have differences of opinion on many issues. But as a people, we share a common dream and common goals:</w:t>
      </w:r>
    </w:p>
    <w:p w:rsidR="00A31137" w:rsidRPr="00A31137" w:rsidRDefault="00A31137" w:rsidP="00A31137">
      <w:r w:rsidRPr="00A31137">
        <w:t>1996 Republican Party Platform</w:t>
      </w:r>
    </w:p>
    <w:p w:rsidR="00A31137" w:rsidRPr="00A31137" w:rsidRDefault="00A31137" w:rsidP="00A31137">
      <w:r w:rsidRPr="00A31137">
        <w:t>A strong America that protects its citizens and champions their democratic ideals throughout the world,</w:t>
      </w:r>
    </w:p>
    <w:p w:rsidR="00A31137" w:rsidRPr="00A31137" w:rsidRDefault="00A31137" w:rsidP="00A31137">
      <w:r w:rsidRPr="00A31137">
        <w:t>1996 Republican Party Platform</w:t>
      </w:r>
    </w:p>
    <w:p w:rsidR="00A31137" w:rsidRPr="00A31137" w:rsidRDefault="00A31137" w:rsidP="00A31137">
      <w:r w:rsidRPr="00A31137">
        <w:t>An America with a vibrant and growing economy that improves the standard of living for all,</w:t>
      </w:r>
    </w:p>
    <w:p w:rsidR="00A31137" w:rsidRPr="00A31137" w:rsidRDefault="00A31137" w:rsidP="00A31137">
      <w:r w:rsidRPr="00A31137">
        <w:t>1996 Republican Party Platform</w:t>
      </w:r>
    </w:p>
    <w:p w:rsidR="00A31137" w:rsidRPr="00A31137" w:rsidRDefault="00A31137" w:rsidP="00A31137">
      <w:r w:rsidRPr="00A31137">
        <w:t>An America with a smaller, more effective and less intrusive government that trusts its people to decide what is best for them,</w:t>
      </w:r>
    </w:p>
    <w:p w:rsidR="00A31137" w:rsidRPr="00A31137" w:rsidRDefault="00A31137" w:rsidP="00A31137">
      <w:r w:rsidRPr="00A31137">
        <w:t>1996 Republican Party Platform</w:t>
      </w:r>
    </w:p>
    <w:p w:rsidR="00A31137" w:rsidRPr="00A31137" w:rsidRDefault="00A31137" w:rsidP="00A31137">
      <w:r w:rsidRPr="00A31137">
        <w:t>An America whose people feel safe and secure in their homes, on their streets, and in their communities,</w:t>
      </w:r>
    </w:p>
    <w:p w:rsidR="00A31137" w:rsidRPr="00A31137" w:rsidRDefault="00A31137" w:rsidP="00A31137">
      <w:r w:rsidRPr="00A31137">
        <w:t>1996 Republican Party Platform</w:t>
      </w:r>
    </w:p>
    <w:p w:rsidR="00A31137" w:rsidRPr="00A31137" w:rsidRDefault="00A31137" w:rsidP="00A31137">
      <w:r w:rsidRPr="00A31137">
        <w:t>An America where our children receive the best education in the world and learn the values like decency and responsibility that made this country great,</w:t>
      </w:r>
    </w:p>
    <w:p w:rsidR="00A31137" w:rsidRPr="00A31137" w:rsidRDefault="00A31137" w:rsidP="00A31137">
      <w:r w:rsidRPr="00A31137">
        <w:t>1996 Republican Party Platform</w:t>
      </w:r>
    </w:p>
    <w:p w:rsidR="00A31137" w:rsidRPr="00A31137" w:rsidRDefault="00A31137" w:rsidP="00A31137">
      <w:r w:rsidRPr="00A31137">
        <w:t>And an America with the compassion to care for those who cannot care for themselves.</w:t>
      </w:r>
    </w:p>
    <w:p w:rsidR="00A31137" w:rsidRPr="00A31137" w:rsidRDefault="00A31137" w:rsidP="00A31137">
      <w:r w:rsidRPr="00A31137">
        <w:t>Principles</w:t>
      </w:r>
    </w:p>
    <w:p w:rsidR="00A31137" w:rsidRPr="00A31137" w:rsidRDefault="00A31137" w:rsidP="00A31137">
      <w:r w:rsidRPr="00A31137">
        <w:t>1996 Republican Party Platform</w:t>
      </w:r>
    </w:p>
    <w:p w:rsidR="00A31137" w:rsidRPr="00A31137" w:rsidRDefault="00A31137" w:rsidP="00A31137">
      <w:r w:rsidRPr="00A31137">
        <w:t>Because the American Dream fulfills the promise of liberty, we believe it should be attainable by all through more and secure jobs, home ownership, personal security, and education that meets the challenges of the century ahead.</w:t>
      </w:r>
    </w:p>
    <w:p w:rsidR="00A31137" w:rsidRPr="00A31137" w:rsidRDefault="00A31137" w:rsidP="00A31137">
      <w:r w:rsidRPr="00A31137">
        <w:t>1996 Republican Party Platform</w:t>
      </w:r>
    </w:p>
    <w:p w:rsidR="00A31137" w:rsidRPr="00A31137" w:rsidRDefault="00A31137" w:rsidP="00A31137">
      <w:r w:rsidRPr="00A31137">
        <w:t>Because a dynamic and growing economy is the best way to create more and better paying jobs, with greater security in the work place, we believe in lower taxes within a simpler tax system, in tandem with fair and open trade and a balanced federal budget.</w:t>
      </w:r>
    </w:p>
    <w:p w:rsidR="00A31137" w:rsidRPr="00A31137" w:rsidRDefault="00A31137" w:rsidP="00A31137">
      <w:r w:rsidRPr="00A31137">
        <w:t>1996 Republican Party Platform</w:t>
      </w:r>
    </w:p>
    <w:p w:rsidR="00A31137" w:rsidRPr="00A31137" w:rsidRDefault="00A31137" w:rsidP="00A31137">
      <w:r w:rsidRPr="00A31137">
        <w:t>Because wasteful government spending and over-regulation, fueled by higher taxes, are the greatest obstacles to job creation and economic growth, we believe in a Balanced Budget Amendment to the Constitution and a common-sense approach to government rules and red tape.</w:t>
      </w:r>
    </w:p>
    <w:p w:rsidR="00A31137" w:rsidRPr="00A31137" w:rsidRDefault="00A31137" w:rsidP="00A31137">
      <w:r w:rsidRPr="00A31137">
        <w:t>1996 Republican Party Platform</w:t>
      </w:r>
    </w:p>
    <w:p w:rsidR="00A31137" w:rsidRPr="00A31137" w:rsidRDefault="00A31137" w:rsidP="00A31137">
      <w:r w:rsidRPr="00A31137">
        <w:t>Because we recognize our obligation to foster hope and opportunity for those unable to care for themselves, we believe in welfare reform that eliminates waste, fraud and abuse; requires work from those who are capable; limits time on public assistance; discourages illegitimacy; and reduces the burden on the taxpayers.</w:t>
      </w:r>
    </w:p>
    <w:p w:rsidR="00A31137" w:rsidRPr="00A31137" w:rsidRDefault="00A31137" w:rsidP="00A31137">
      <w:r w:rsidRPr="00A31137">
        <w:t>1996 Republican Party Platform</w:t>
      </w:r>
    </w:p>
    <w:p w:rsidR="00A31137" w:rsidRPr="00A31137" w:rsidRDefault="00A31137" w:rsidP="00A31137">
      <w:r w:rsidRPr="00A31137">
        <w:t>Because all Americans have the right to be safe in their homes, on their streets, and in their communities, we believe in tough law enforcement, especially against juvenile crime and the drug traffic, with stiff penalties, no loopholes, and judges who respect the rights of law-abiding Americans.</w:t>
      </w:r>
    </w:p>
    <w:p w:rsidR="00A31137" w:rsidRPr="00A31137" w:rsidRDefault="00A31137" w:rsidP="00A31137">
      <w:r w:rsidRPr="00A31137">
        <w:t>1996 Republican Party Platform</w:t>
      </w:r>
    </w:p>
    <w:p w:rsidR="00A31137" w:rsidRPr="00A31137" w:rsidRDefault="00A31137" w:rsidP="00A31137">
      <w:r w:rsidRPr="00A31137">
        <w:t>Because institutions like the family are the backbone of a healthy society, we believe government must support the rights of the family; and recognizing within our own ranks different approaches toward our common goal, we reaffirm respect for the sanctity of human life.</w:t>
      </w:r>
    </w:p>
    <w:p w:rsidR="00A31137" w:rsidRPr="00A31137" w:rsidRDefault="00A31137" w:rsidP="00A31137">
      <w:r w:rsidRPr="00A31137">
        <w:t>1996 Republican Party Platform</w:t>
      </w:r>
    </w:p>
    <w:p w:rsidR="00A31137" w:rsidRPr="00A31137" w:rsidRDefault="00A31137" w:rsidP="00A31137">
      <w:r w:rsidRPr="00A31137">
        <w:t>Because our children need and are entitled to the best education in the world, we believe in parental involvement and family choice in schooling, teacher authority and accountability, more control to local school boards, and emphasis upon the basics of learning in safe classrooms.</w:t>
      </w:r>
    </w:p>
    <w:p w:rsidR="00A31137" w:rsidRPr="00A31137" w:rsidRDefault="00A31137" w:rsidP="00A31137">
      <w:r w:rsidRPr="00A31137">
        <w:t>1996 Republican Party Platform</w:t>
      </w:r>
    </w:p>
    <w:p w:rsidR="00A31137" w:rsidRPr="00A31137" w:rsidRDefault="00A31137" w:rsidP="00A31137">
      <w:r w:rsidRPr="00A31137">
        <w:t>Because older Americans have built our past and direct us, in wisdom and experience, toward the future, we believe we must meet our nation's commitments to them by preserving and protecting Medicare and Social Security.</w:t>
      </w:r>
    </w:p>
    <w:p w:rsidR="00A31137" w:rsidRPr="00A31137" w:rsidRDefault="00A31137" w:rsidP="00A31137">
      <w:r w:rsidRPr="00A31137">
        <w:t>1996 Republican Party Platform</w:t>
      </w:r>
    </w:p>
    <w:p w:rsidR="00A31137" w:rsidRPr="00A31137" w:rsidRDefault="00A31137" w:rsidP="00A31137">
      <w:r w:rsidRPr="00A31137">
        <w:t>Because a good society rests on an ethical foundation, we believe families, communities, and religious institutions can best teach the American values of honesty, responsibility, hard work, compassion, and mutual respect.</w:t>
      </w:r>
    </w:p>
    <w:p w:rsidR="00A31137" w:rsidRPr="00A31137" w:rsidRDefault="00A31137" w:rsidP="00A31137">
      <w:r w:rsidRPr="00A31137">
        <w:t>1996 Republican Party Platform</w:t>
      </w:r>
    </w:p>
    <w:p w:rsidR="00A31137" w:rsidRPr="00A31137" w:rsidRDefault="00A31137" w:rsidP="00A31137">
      <w:r w:rsidRPr="00A31137">
        <w:t>Because our country's greatest strength is its people, not its government, we believe today's government is too large and intrusive and does too many things the people could do better for themselves.</w:t>
      </w:r>
    </w:p>
    <w:p w:rsidR="00A31137" w:rsidRPr="00A31137" w:rsidRDefault="00A31137" w:rsidP="00A31137">
      <w:r w:rsidRPr="00A31137">
        <w:t>1996 Republican Party Platform</w:t>
      </w:r>
    </w:p>
    <w:p w:rsidR="00A31137" w:rsidRPr="00A31137" w:rsidRDefault="00A31137" w:rsidP="00A31137">
      <w:r w:rsidRPr="00A31137">
        <w:t>Because we trust our fellow Americans, rather than centralized government, we believe the people, acting through their State and local elected officials, should have control over programs like education and welfare—thereby pushing power away from official Washington and returning it to the people in their communities and states.</w:t>
      </w:r>
    </w:p>
    <w:p w:rsidR="00A31137" w:rsidRPr="00A31137" w:rsidRDefault="00A31137" w:rsidP="00A31137">
      <w:r w:rsidRPr="00A31137">
        <w:t>1996 Republican Party Platform</w:t>
      </w:r>
    </w:p>
    <w:p w:rsidR="00A31137" w:rsidRPr="00A31137" w:rsidRDefault="00A31137" w:rsidP="00A31137">
      <w:r w:rsidRPr="00A31137">
        <w:t>Because we view the careful development of our country's natural resources as stewardship of creation, we believe property rights must be honored in our efforts to restore, protect, and enhance the environment for the generations to come.</w:t>
      </w:r>
    </w:p>
    <w:p w:rsidR="00A31137" w:rsidRPr="00A31137" w:rsidRDefault="00A31137" w:rsidP="00A31137">
      <w:r w:rsidRPr="00A31137">
        <w:t>1996 Republican Party Platform</w:t>
      </w:r>
    </w:p>
    <w:p w:rsidR="00A31137" w:rsidRPr="00A31137" w:rsidRDefault="00A31137" w:rsidP="00A31137">
      <w:r w:rsidRPr="00A31137">
        <w:t>Because we are all one America, we oppose discrimination. We believe in the equality of all people before the law and that individuals should be judged by their ability rather than their race, creed, or disability.</w:t>
      </w:r>
    </w:p>
    <w:p w:rsidR="00A31137" w:rsidRPr="00A31137" w:rsidRDefault="00A31137" w:rsidP="00A31137">
      <w:r w:rsidRPr="00A31137">
        <w:t>1996 Republican Party Platform</w:t>
      </w:r>
    </w:p>
    <w:p w:rsidR="00A31137" w:rsidRPr="00A31137" w:rsidRDefault="00A31137" w:rsidP="00A31137">
      <w:r w:rsidRPr="00A31137">
        <w:t>Because this is a difficult and dangerous world, we believe that peace can be assured only through strength, that a strong national defense is necessary to protect America at home and secure its interests abroad, and that we must restore leadership and character to the presidency as the best way to restore America's leadership and credibility throughout the world.</w:t>
      </w:r>
    </w:p>
    <w:p w:rsidR="00A31137" w:rsidRPr="00A31137" w:rsidRDefault="00A31137" w:rsidP="00A31137">
      <w:r w:rsidRPr="00A31137">
        <w:t>Building a Better America</w:t>
      </w:r>
    </w:p>
    <w:p w:rsidR="00A31137" w:rsidRPr="00A31137" w:rsidRDefault="00A31137" w:rsidP="00A31137">
      <w:r w:rsidRPr="00A31137">
        <w:t>1996 Republican Party Platform</w:t>
      </w:r>
    </w:p>
    <w:p w:rsidR="00A31137" w:rsidRPr="00A31137" w:rsidRDefault="00A31137" w:rsidP="00A31137">
      <w:r w:rsidRPr="00A31137">
        <w:t>"This is no time for diminished expectations. This is no time to sell America's potential short. This is a time to let go of the 20th Century and embrace the 21st—to seize the promise of the new era by liberating the genius of the American people." Bob Dole, September 5, 1995 in Chicago, Illinois</w:t>
      </w:r>
    </w:p>
    <w:p w:rsidR="00A31137" w:rsidRPr="00A31137" w:rsidRDefault="00A31137" w:rsidP="00A31137">
      <w:r w:rsidRPr="00A31137">
        <w:t>Improving the Standard of Living</w:t>
      </w:r>
    </w:p>
    <w:p w:rsidR="00A31137" w:rsidRPr="00A31137" w:rsidRDefault="00A31137" w:rsidP="00A31137">
      <w:r w:rsidRPr="00A31137">
        <w:t>1996 Republican Party Platform</w:t>
      </w:r>
    </w:p>
    <w:p w:rsidR="00A31137" w:rsidRPr="00A31137" w:rsidRDefault="00A31137" w:rsidP="00A31137">
      <w:r w:rsidRPr="00A31137">
        <w:t>We are the party of America's earners, savers, and taxpayers—the people who work hard, take risks and build a better future for our families and our communities. Our party believes that we can best improve the standard of living in America by empowering the American people to act in their own behalf by: cutting the near-record tax burden on Americans; reducing government spending and its size, while balancing the budget. creating jobs; using the benefits of science, technology and innovations to improve both our lives and our competitiveness in the global economy; dramatically increasing the number of families who can own their own home; and unleashing the competitiveness and will to win of individual Americans on the world trade scene with free but fair trade.</w:t>
      </w:r>
    </w:p>
    <w:p w:rsidR="00A31137" w:rsidRPr="00A31137" w:rsidRDefault="00A31137" w:rsidP="00A31137">
      <w:r w:rsidRPr="00A31137">
        <w:t>1996 Republican Party Platform</w:t>
      </w:r>
    </w:p>
    <w:p w:rsidR="00A31137" w:rsidRPr="00A31137" w:rsidRDefault="00A31137" w:rsidP="00A31137">
      <w:r w:rsidRPr="00A31137">
        <w:t xml:space="preserve">That's not wishful thinking; it's what we, the American people, used to take for granted before the growth of big government began to shadow our days and smother our hopes. In the 1980s—when we cut taxes, restrained regulation, and reduced government spending as a share of the nation's economy—prosperity made a comeback. Jobs were created, incomes rose and poverty fell for seven straight years. Then the Democrat-controlled Congress forced the tax hikes of 1990 and jammed through Bill Clinton's tax bill of 1993. </w:t>
      </w:r>
    </w:p>
    <w:p w:rsidR="00A31137" w:rsidRPr="00A31137" w:rsidRDefault="00A31137" w:rsidP="00A31137">
      <w:r w:rsidRPr="00A31137">
        <w:t>1996 Republican Party Platform</w:t>
      </w:r>
    </w:p>
    <w:p w:rsidR="00A31137" w:rsidRPr="00A31137" w:rsidRDefault="00A31137" w:rsidP="00A31137">
      <w:r w:rsidRPr="00A31137">
        <w:t>Since then, Clintonomics has produced an economy that is squeezing the middle class between high taxes and low growth. The astounding fact is that we were growing 50% faster in 1992, when Bill Clinton described the economy as the worst in five decades. We've managed to avoid a recession only because the Republican Congress put the brakes on Bill Clinton's rush to ruin by substantially reducing government spending over the last two years. But we cannot go on like this. For millions of families, the American Dream is fading. Our goal is to revive it, renew it, and extend it to all who reach for it.</w:t>
      </w:r>
    </w:p>
    <w:p w:rsidR="00A31137" w:rsidRPr="00A31137" w:rsidRDefault="00A31137" w:rsidP="00A31137">
      <w:r w:rsidRPr="00A31137">
        <w:t>1996 Republican Party Platform</w:t>
      </w:r>
    </w:p>
    <w:p w:rsidR="00A31137" w:rsidRPr="00A31137" w:rsidRDefault="00A31137" w:rsidP="00A31137">
      <w:r w:rsidRPr="00A31137">
        <w:t>Our formula for growth, opportunity, and a better family life is simple: Trust the people, cut their taxes, scale back the size and scope of government, foster job creation, and get out of the way. We've done it before, we can do it again.</w:t>
      </w:r>
    </w:p>
    <w:p w:rsidR="00A31137" w:rsidRPr="00A31137" w:rsidRDefault="00A31137" w:rsidP="00A31137">
      <w:r w:rsidRPr="00A31137">
        <w:t>Tax Relief for Economic Growth</w:t>
      </w:r>
    </w:p>
    <w:p w:rsidR="00A31137" w:rsidRPr="00A31137" w:rsidRDefault="00A31137" w:rsidP="00A31137">
      <w:r w:rsidRPr="00A31137">
        <w:t>1996 Republican Party Platform</w:t>
      </w:r>
    </w:p>
    <w:p w:rsidR="00A31137" w:rsidRPr="00A31137" w:rsidRDefault="00A31137" w:rsidP="00A31137">
      <w:r w:rsidRPr="00A31137">
        <w:t>American families are suffering from the twin burdens of stagnant incomes and near-record taxes. This is the key cause of middle-class anxiety. It is why people feel they are working harder, but falling further behind; why they fear the current generation will not be as successful as the last generation; why they believe their children will be worse off; and why they feel so anxious about their own economic future.</w:t>
      </w:r>
    </w:p>
    <w:p w:rsidR="00A31137" w:rsidRPr="00A31137" w:rsidRDefault="00A31137" w:rsidP="00A31137">
      <w:r w:rsidRPr="00A31137">
        <w:t>1996 Republican Party Platform</w:t>
      </w:r>
    </w:p>
    <w:p w:rsidR="00A31137" w:rsidRPr="00A31137" w:rsidRDefault="00A31137" w:rsidP="00A31137">
      <w:r w:rsidRPr="00A31137">
        <w:t>After averaging 1.7 percent growth annually during the expansion following the 1981 tax cut, family incomes have failed to grow at all under Bill Clinton. Since 1990, families have actually lost much of the ground they gained during the low-tax, high-growth 1980s.</w:t>
      </w:r>
    </w:p>
    <w:p w:rsidR="00A31137" w:rsidRPr="00A31137" w:rsidRDefault="00A31137" w:rsidP="00A31137">
      <w:r w:rsidRPr="00A31137">
        <w:t>1996 Republican Party Platform</w:t>
      </w:r>
    </w:p>
    <w:p w:rsidR="00A31137" w:rsidRPr="00A31137" w:rsidRDefault="00A31137" w:rsidP="00A31137">
      <w:r w:rsidRPr="00A31137">
        <w:t xml:space="preserve">Anemic economic growth under Bill Clinton is largely responsible for this lost ground. The current economic expansion has not only failed to compare to the growth seen in the decade preceding his administration, it is the slowest recovery in the last 100 years. Since 1992, the economy has grown by only 2.4 percent per year, compared to 3.2 percent in the previous 10 years and 3.9 percent between 1983 and 1989. </w:t>
      </w:r>
    </w:p>
    <w:p w:rsidR="00A31137" w:rsidRPr="00A31137" w:rsidRDefault="00A31137" w:rsidP="00A31137">
      <w:r w:rsidRPr="00A31137">
        <w:t>1996 Republican Party Platform</w:t>
      </w:r>
    </w:p>
    <w:p w:rsidR="00A31137" w:rsidRPr="00A31137" w:rsidRDefault="00A31137" w:rsidP="00A31137">
      <w:r w:rsidRPr="00A31137">
        <w:t>Bill Clinton has demonstrated that he fails to understand the role excessive tax burdens play on the economy and family incomes. In the first year of his administration, he pushed through the largest tax increase in history, raising taxes on families, senior citizens, and small businesses. Confronted with Republican attempts to cut family and business taxes, he vetoed the 1995 Balanced Budget Act which included the $500 per child tax credit as well as incentives to increase savings, economic growth and job creation.</w:t>
      </w:r>
    </w:p>
    <w:p w:rsidR="00A31137" w:rsidRPr="00A31137" w:rsidRDefault="00A31137" w:rsidP="00A31137">
      <w:r w:rsidRPr="00A31137">
        <w:t>1996 Republican Party Platform</w:t>
      </w:r>
    </w:p>
    <w:p w:rsidR="00A31137" w:rsidRPr="00A31137" w:rsidRDefault="00A31137" w:rsidP="00A31137">
      <w:r w:rsidRPr="00A31137">
        <w:t xml:space="preserve">The Clinton tax increase has produced the second-highest tax burden in American history. Federal tax collections now consume more than one-fifth of our total economic output. Federal, state, and local taxes take more than 38 cents out of every dollar the American family earns. The federal tax burden alone is now approaching a record 25 percent of family income. </w:t>
      </w:r>
    </w:p>
    <w:p w:rsidR="00A31137" w:rsidRPr="00A31137" w:rsidRDefault="00A31137" w:rsidP="00A31137">
      <w:r w:rsidRPr="00A31137">
        <w:t>1996 Republican Party Platform</w:t>
      </w:r>
    </w:p>
    <w:p w:rsidR="00A31137" w:rsidRPr="00A31137" w:rsidRDefault="00A31137" w:rsidP="00A31137">
      <w:r w:rsidRPr="00A31137">
        <w:t>American families deserve better. They should be allowed to keep more of their hard-earned money so they can spend on their priorities, as opposed to sending ever-increasing amounts to Washington to be spent on the priorities of federal bureaucrats.</w:t>
      </w:r>
    </w:p>
    <w:p w:rsidR="00A31137" w:rsidRPr="00A31137" w:rsidRDefault="00A31137" w:rsidP="00A31137">
      <w:r w:rsidRPr="00A31137">
        <w:t>1996 Republican Party Platform</w:t>
      </w:r>
    </w:p>
    <w:p w:rsidR="00A31137" w:rsidRPr="00A31137" w:rsidRDefault="00A31137" w:rsidP="00A31137">
      <w:r w:rsidRPr="00A31137">
        <w:t>In response to this unprecedented burden confronting America, we support an across-the-board, 15-percent tax cut to marginal tax rates. Fifteen percent represents the total increase in the federal tax burden since Bill Clinton took office, and we believe such a cut should be the first step towards reducing overall tax burdens while promoting the economic growth that will raise family incomes and our overall standard of living.</w:t>
      </w:r>
    </w:p>
    <w:p w:rsidR="00A31137" w:rsidRPr="00A31137" w:rsidRDefault="00A31137" w:rsidP="00A31137">
      <w:r w:rsidRPr="00A31137">
        <w:t>1996 Republican Party Platform</w:t>
      </w:r>
    </w:p>
    <w:p w:rsidR="00A31137" w:rsidRPr="00A31137" w:rsidRDefault="00A31137" w:rsidP="00A31137">
      <w:r w:rsidRPr="00A31137">
        <w:t xml:space="preserve">Another drag on family finances has been government's failure to maintain the personal and dependent exemption at historic levels. If the personal and dependent exemption that was $600 in 1950 had kept pace with inflation, it would be $3,800 rather than the current $2,500. That is why Republicans have made the $500-per-child family tax credit one of the primary features of our tax cut package. </w:t>
      </w:r>
    </w:p>
    <w:p w:rsidR="00A31137" w:rsidRPr="00A31137" w:rsidRDefault="00A31137" w:rsidP="00A31137">
      <w:r w:rsidRPr="00A31137">
        <w:t>1996 Republican Party Platform</w:t>
      </w:r>
    </w:p>
    <w:p w:rsidR="00A31137" w:rsidRPr="00A31137" w:rsidRDefault="00A31137" w:rsidP="00A31137">
      <w:r w:rsidRPr="00A31137">
        <w:t xml:space="preserve">Job creation and increasing family incomes depend on economic growth, and a precondition for economic growth is a healthy rate of saving and investment. Nevertheless, Bill Clinton vetoed Republican bills to provide these incentives, including expanded and more generous IRAs—and new spousal IRAs—which could be used for health care, education, and home-buying. As a result, today's personal savings rate is less than half what it was two decades ago. Republicans support expansion of IRAs and the establishment of spousal IRAs to encourage savings and investment. </w:t>
      </w:r>
    </w:p>
    <w:p w:rsidR="00A31137" w:rsidRPr="00A31137" w:rsidRDefault="00A31137" w:rsidP="00A31137">
      <w:r w:rsidRPr="00A31137">
        <w:t>1996 Republican Party Platform</w:t>
      </w:r>
    </w:p>
    <w:p w:rsidR="00A31137" w:rsidRPr="00A31137" w:rsidRDefault="00A31137" w:rsidP="00A31137">
      <w:r w:rsidRPr="00A31137">
        <w:t xml:space="preserve">Bill Clinton also vetoed provisions to reduce the capital gains tax rate. Excessive taxes on investment cripple the American economy and kill American jobs by increasing the cost of capital, locking in resources, and stifling small business growth and entrepreneurial activity. Largely because of these excessive taxes, American businesses face a competitive disadvantage with respect to our major trading partners, hurting their ability to export products abroad and create jobs. To remove impediments to job creation and economic growth, we support reducing the top tax rate on capital gains by 50 percent. </w:t>
      </w:r>
    </w:p>
    <w:p w:rsidR="00A31137" w:rsidRPr="00A31137" w:rsidRDefault="00A31137" w:rsidP="00A31137">
      <w:r w:rsidRPr="00A31137">
        <w:t>1996 Republican Party Platform</w:t>
      </w:r>
    </w:p>
    <w:p w:rsidR="00A31137" w:rsidRPr="00A31137" w:rsidRDefault="00A31137" w:rsidP="00A31137">
      <w:r w:rsidRPr="00A31137">
        <w:t>In 1993, Bill Clinton raised taxes on millions of middle-class retirees by dramatically increasing the income tax on Social Security benefits. This targeted attack on the economic security of our elderly was unfair and misguided. Republicans believe that this Clinton initiative must be repealed.</w:t>
      </w:r>
    </w:p>
    <w:p w:rsidR="00A31137" w:rsidRPr="00A31137" w:rsidRDefault="00A31137" w:rsidP="00A31137">
      <w:r w:rsidRPr="00A31137">
        <w:t>1996 Republican Party Platform</w:t>
      </w:r>
    </w:p>
    <w:p w:rsidR="00A31137" w:rsidRPr="00A31137" w:rsidRDefault="00A31137" w:rsidP="00A31137">
      <w:r w:rsidRPr="00A31137">
        <w:t xml:space="preserve">These proposals making the current tax code fairer and less burdensome should be viewed as an interim step towards comprehensive tax reform. The current tax code is ridiculously complex and unfair. It is also an unnecessary drag on the economy. At a time when business investment plans are greatly diminished and savings rates are unacceptably low, we must reform our tax system to remove existing artificial, government-induced bias against saving and investment. </w:t>
      </w:r>
    </w:p>
    <w:p w:rsidR="00A31137" w:rsidRPr="00A31137" w:rsidRDefault="00A31137" w:rsidP="00A31137">
      <w:r w:rsidRPr="00A31137">
        <w:t>1996 Republican Party Platform</w:t>
      </w:r>
    </w:p>
    <w:p w:rsidR="00A31137" w:rsidRPr="00A31137" w:rsidRDefault="00A31137" w:rsidP="00A31137">
      <w:r w:rsidRPr="00A31137">
        <w:t>To that end, we firmly commit to a tax code for the 21st century that will raise revenue sufficient for a smaller, more effective and less wasteful government without increasing the national debt. That new tax system must be flatter, fairer, and simpler, with a minimum of exclusions from its coverage, and one set of rules applying to all. It must be simple enough to be understood by all and enforced by few, with a low-cost of compliance which replaces the current stack of endless forms with a calculation which can be performed on the back of a postcard.</w:t>
      </w:r>
    </w:p>
    <w:p w:rsidR="00A31137" w:rsidRPr="00A31137" w:rsidRDefault="00A31137" w:rsidP="00A31137">
      <w:r w:rsidRPr="00A31137">
        <w:t>1996 Republican Party Platform</w:t>
      </w:r>
    </w:p>
    <w:p w:rsidR="00A31137" w:rsidRPr="00A31137" w:rsidRDefault="00A31137" w:rsidP="00A31137">
      <w:r w:rsidRPr="00A31137">
        <w:t>It must expand the economy and increase opportunity by rewarding initiative and hard work. It must foster job creation and end bias against saving. It must promote personal freedom and innovation. It must do all this in order to boost wages and raise living standards for all of America's working families.</w:t>
      </w:r>
    </w:p>
    <w:p w:rsidR="00A31137" w:rsidRPr="00A31137" w:rsidRDefault="00A31137" w:rsidP="00A31137">
      <w:r w:rsidRPr="00A31137">
        <w:t>1996 Republican Party Platform</w:t>
      </w:r>
    </w:p>
    <w:p w:rsidR="00A31137" w:rsidRPr="00A31137" w:rsidRDefault="00A31137" w:rsidP="00A31137">
      <w:r w:rsidRPr="00A31137">
        <w:t>A simple, fair tax system that is pro-growth and pro-family will not need today's burdensome IRS. That agency has become a nightmare for law-abiding taxpayers. It must be dramatically downsized—with resources going to more important efforts like drug enforcement—and made less intrusive.</w:t>
      </w:r>
    </w:p>
    <w:p w:rsidR="00A31137" w:rsidRPr="00A31137" w:rsidRDefault="00A31137" w:rsidP="00A31137">
      <w:r w:rsidRPr="00A31137">
        <w:t>1996 Republican Party Platform</w:t>
      </w:r>
    </w:p>
    <w:p w:rsidR="00A31137" w:rsidRPr="00A31137" w:rsidRDefault="00A31137" w:rsidP="00A31137">
      <w:r w:rsidRPr="00A31137">
        <w:t>To protect the American people from those who would undo their forthcoming victory over big government, we support legislation requiring a super-majority vote in both houses of Congress to raise taxes.</w:t>
      </w:r>
    </w:p>
    <w:p w:rsidR="00A31137" w:rsidRPr="00A31137" w:rsidRDefault="00A31137" w:rsidP="00A31137">
      <w:r w:rsidRPr="00A31137">
        <w:t>1996 Republican Party Platform</w:t>
      </w:r>
    </w:p>
    <w:p w:rsidR="00A31137" w:rsidRPr="00A31137" w:rsidRDefault="00A31137" w:rsidP="00A31137">
      <w:r w:rsidRPr="00A31137">
        <w:t xml:space="preserve">We also support a government that keeps its word. Retroactive taxation, like Bill Clinton's infamous 1993 tax hike, breaks that word. We pledge a legislative or constitutional remedy to prohibit its repetition. Because of their vital role in fostering charity and patriotism, we oppose taxing religious and fraternal benefit societies. We will not tolerate attempts to impose taxes by federal judges. </w:t>
      </w:r>
    </w:p>
    <w:p w:rsidR="00A31137" w:rsidRPr="00A31137" w:rsidRDefault="00A31137" w:rsidP="00A31137">
      <w:r w:rsidRPr="00A31137">
        <w:t>Balancing the Budget and Reducing Spending</w:t>
      </w:r>
    </w:p>
    <w:p w:rsidR="00A31137" w:rsidRPr="00A31137" w:rsidRDefault="00A31137" w:rsidP="00A31137">
      <w:r w:rsidRPr="00A31137">
        <w:t>1996 Republican Party Platform</w:t>
      </w:r>
    </w:p>
    <w:p w:rsidR="00A31137" w:rsidRPr="00A31137" w:rsidRDefault="00A31137" w:rsidP="00A31137">
      <w:r w:rsidRPr="00A31137">
        <w:t>"We didn't dig ourselves into a $5 trillion debt because the American people are undertaxed. We got that $5 trillion debt because government overspends."</w:t>
      </w:r>
    </w:p>
    <w:p w:rsidR="00A31137" w:rsidRPr="00A31137" w:rsidRDefault="00A31137" w:rsidP="00A31137">
      <w:r w:rsidRPr="00A31137">
        <w:t>1996 Republican Party Platform</w:t>
      </w:r>
    </w:p>
    <w:p w:rsidR="00A31137" w:rsidRPr="00A31137" w:rsidRDefault="00A31137" w:rsidP="00A31137">
      <w:r w:rsidRPr="00A31137">
        <w:t>"The budget deficit is a 'stealth tax' that pushes up interest rates and costs the typical family $36,000 on an average home mortgage, $1,400 on an ordinary student loan, and $700 on a car loan." Bob Dole</w:t>
      </w:r>
    </w:p>
    <w:p w:rsidR="00A31137" w:rsidRPr="00A31137" w:rsidRDefault="00A31137" w:rsidP="00A31137">
      <w:r w:rsidRPr="00A31137">
        <w:t>1996 Republican Party Platform</w:t>
      </w:r>
    </w:p>
    <w:p w:rsidR="00A31137" w:rsidRPr="00A31137" w:rsidRDefault="00A31137" w:rsidP="00A31137">
      <w:r w:rsidRPr="00A31137">
        <w:t>Raising tax rates is the wrong way to balance the budget. It enables the Clinton tax addicts to wastefully spend the public's money. Republicans support a Balanced Budget Amendment to the Constitution, phased in over a short period and with appropriate safeguards for national emergencies. We passed it in the House of Representatives, but Bill Clinton and his allies—especially the Senate's somersault six, who switched their long-standing position on the issue—blocked it by a single vote. As president, Bob Dole will lead the fight for that amendment, and in the States, Republicans will finish the fight for its speedy ratification.</w:t>
      </w:r>
    </w:p>
    <w:p w:rsidR="00A31137" w:rsidRPr="00A31137" w:rsidRDefault="00A31137" w:rsidP="00A31137">
      <w:r w:rsidRPr="00A31137">
        <w:t>1996 Republican Party Platform</w:t>
      </w:r>
    </w:p>
    <w:p w:rsidR="00A31137" w:rsidRPr="00A31137" w:rsidRDefault="00A31137" w:rsidP="00A31137">
      <w:r w:rsidRPr="00A31137">
        <w:t xml:space="preserve">Once and for all, we declare: </w:t>
      </w:r>
    </w:p>
    <w:p w:rsidR="00A31137" w:rsidRPr="00A31137" w:rsidRDefault="00A31137" w:rsidP="00A31137">
      <w:r w:rsidRPr="00A31137">
        <w:t>1996 Republican Party Platform</w:t>
      </w:r>
    </w:p>
    <w:p w:rsidR="00A31137" w:rsidRPr="00A31137" w:rsidRDefault="00A31137" w:rsidP="00A31137">
      <w:r w:rsidRPr="00A31137">
        <w:t>the budget deficit and high taxes are two halves of the vise that is producing the Clinton middle class squeeze;</w:t>
      </w:r>
    </w:p>
    <w:p w:rsidR="00A31137" w:rsidRPr="00A31137" w:rsidRDefault="00A31137" w:rsidP="00A31137">
      <w:r w:rsidRPr="00A31137">
        <w:t>1996 Republican Party Platform</w:t>
      </w:r>
    </w:p>
    <w:p w:rsidR="00A31137" w:rsidRPr="00A31137" w:rsidRDefault="00A31137" w:rsidP="00A31137">
      <w:r w:rsidRPr="00A31137">
        <w:t>a balanced budget and lower taxes go hand in hand, not in separate directions;</w:t>
      </w:r>
    </w:p>
    <w:p w:rsidR="00A31137" w:rsidRPr="00A31137" w:rsidRDefault="00A31137" w:rsidP="00A31137">
      <w:r w:rsidRPr="00A31137">
        <w:t>1996 Republican Party Platform</w:t>
      </w:r>
    </w:p>
    <w:p w:rsidR="00A31137" w:rsidRPr="00A31137" w:rsidRDefault="00A31137" w:rsidP="00A31137">
      <w:r w:rsidRPr="00A31137">
        <w:t xml:space="preserve">reducing the budget deficit by shrinking government produces a fiscal dividend in stronger growth and lower interest rates; </w:t>
      </w:r>
    </w:p>
    <w:p w:rsidR="00A31137" w:rsidRPr="00A31137" w:rsidRDefault="00A31137" w:rsidP="00A31137">
      <w:r w:rsidRPr="00A31137">
        <w:t>1996 Republican Party Platform</w:t>
      </w:r>
    </w:p>
    <w:p w:rsidR="00A31137" w:rsidRPr="00A31137" w:rsidRDefault="00A31137" w:rsidP="00A31137">
      <w:r w:rsidRPr="00A31137">
        <w:t xml:space="preserve">ending that deficit will make possible a dramatic return of resources to the American people; </w:t>
      </w:r>
    </w:p>
    <w:p w:rsidR="00A31137" w:rsidRPr="00A31137" w:rsidRDefault="00A31137" w:rsidP="00A31137">
      <w:r w:rsidRPr="00A31137">
        <w:t>1996 Republican Party Platform</w:t>
      </w:r>
    </w:p>
    <w:p w:rsidR="00A31137" w:rsidRPr="00A31137" w:rsidRDefault="00A31137" w:rsidP="00A31137">
      <w:r w:rsidRPr="00A31137">
        <w:t xml:space="preserve">tax relief is the only way to return the economy to the growth rates our country enjoyed from World War II to the coming of Bill Clinton; and </w:t>
      </w:r>
    </w:p>
    <w:p w:rsidR="00A31137" w:rsidRPr="00A31137" w:rsidRDefault="00A31137" w:rsidP="00A31137">
      <w:r w:rsidRPr="00A31137">
        <w:t>1996 Republican Party Platform</w:t>
      </w:r>
    </w:p>
    <w:p w:rsidR="00A31137" w:rsidRPr="00A31137" w:rsidRDefault="00A31137" w:rsidP="00A31137">
      <w:r w:rsidRPr="00A31137">
        <w:t>we will not mortgage our children's future by incurring deficits</w:t>
      </w:r>
    </w:p>
    <w:p w:rsidR="00A31137" w:rsidRPr="00A31137" w:rsidRDefault="00A31137" w:rsidP="00A31137">
      <w:r w:rsidRPr="00A31137">
        <w:t>1996 Republican Party Platform</w:t>
      </w:r>
    </w:p>
    <w:p w:rsidR="00A31137" w:rsidRPr="00A31137" w:rsidRDefault="00A31137" w:rsidP="00A31137">
      <w:r w:rsidRPr="00A31137">
        <w:t xml:space="preserve">A president should be Commander-in-Chief in the nation's budget battle as well as in military conflicts. Bill Clinton has been AWOL—Absent Without Leadership. Congressional Republicans had to fight his Senate allies for over a year just to give him a line-item veto for appropriation bills. Instead of helping us strengthen the presidency in this way, he set an historic precedent: vetoing whole appropriation bills because they spent too little money! His vetoes essentially shut down much of the government. </w:t>
      </w:r>
    </w:p>
    <w:p w:rsidR="00A31137" w:rsidRPr="00A31137" w:rsidRDefault="00A31137" w:rsidP="00A31137">
      <w:r w:rsidRPr="00A31137">
        <w:t>1996 Republican Party Platform</w:t>
      </w:r>
    </w:p>
    <w:p w:rsidR="00A31137" w:rsidRPr="00A31137" w:rsidRDefault="00A31137" w:rsidP="00A31137">
      <w:r w:rsidRPr="00A31137">
        <w:t>We make this promise: A Republican president will veto money bills that spend too much, not too little, and will use the line-item veto to lead the charge against wasteful spending. A Republican president will build on the achievements of our Republican Congress which has cut spending in excess of $53 billion over the last two years.</w:t>
      </w:r>
    </w:p>
    <w:p w:rsidR="00A31137" w:rsidRPr="00A31137" w:rsidRDefault="00A31137" w:rsidP="00A31137">
      <w:r w:rsidRPr="00A31137">
        <w:t>1996 Republican Party Platform</w:t>
      </w:r>
    </w:p>
    <w:p w:rsidR="00A31137" w:rsidRPr="00A31137" w:rsidRDefault="00A31137" w:rsidP="00A31137">
      <w:r w:rsidRPr="00A31137">
        <w:t xml:space="preserve">The Clinton Administration's tactic of using irresponsible monetary policy to hide the effects of their bad fiscal policies leads to: </w:t>
      </w:r>
    </w:p>
    <w:p w:rsidR="00A31137" w:rsidRPr="00A31137" w:rsidRDefault="00A31137" w:rsidP="00A31137">
      <w:r w:rsidRPr="00A31137">
        <w:t>1996 Republican Party Platform</w:t>
      </w:r>
    </w:p>
    <w:p w:rsidR="00A31137" w:rsidRPr="00A31137" w:rsidRDefault="00A31137" w:rsidP="00A31137">
      <w:r w:rsidRPr="00A31137">
        <w:t>higher inflation;</w:t>
      </w:r>
    </w:p>
    <w:p w:rsidR="00A31137" w:rsidRPr="00A31137" w:rsidRDefault="00A31137" w:rsidP="00A31137">
      <w:r w:rsidRPr="00A31137">
        <w:t>1996 Republican Party Platform</w:t>
      </w:r>
    </w:p>
    <w:p w:rsidR="00A31137" w:rsidRPr="00A31137" w:rsidRDefault="00A31137" w:rsidP="00A31137">
      <w:r w:rsidRPr="00A31137">
        <w:t>lower growth;</w:t>
      </w:r>
    </w:p>
    <w:p w:rsidR="00A31137" w:rsidRPr="00A31137" w:rsidRDefault="00A31137" w:rsidP="00A31137">
      <w:r w:rsidRPr="00A31137">
        <w:t>1996 Republican Party Platform</w:t>
      </w:r>
    </w:p>
    <w:p w:rsidR="00A31137" w:rsidRPr="00A31137" w:rsidRDefault="00A31137" w:rsidP="00A31137">
      <w:r w:rsidRPr="00A31137">
        <w:t>fewer jobs; and</w:t>
      </w:r>
    </w:p>
    <w:p w:rsidR="00A31137" w:rsidRPr="00A31137" w:rsidRDefault="00A31137" w:rsidP="00A31137">
      <w:r w:rsidRPr="00A31137">
        <w:t>1996 Republican Party Platform</w:t>
      </w:r>
    </w:p>
    <w:p w:rsidR="00A31137" w:rsidRPr="00A31137" w:rsidRDefault="00A31137" w:rsidP="00A31137">
      <w:r w:rsidRPr="00A31137">
        <w:t xml:space="preserve">scarcity of capital to fund small businesses. </w:t>
      </w:r>
    </w:p>
    <w:p w:rsidR="00A31137" w:rsidRPr="00A31137" w:rsidRDefault="00A31137" w:rsidP="00A31137">
      <w:r w:rsidRPr="00A31137">
        <w:t>1996 Republican Party Platform</w:t>
      </w:r>
    </w:p>
    <w:p w:rsidR="00A31137" w:rsidRPr="00A31137" w:rsidRDefault="00A31137" w:rsidP="00A31137">
      <w:r w:rsidRPr="00A31137">
        <w:t>This is not only bad economics; it is a hidden tax against both income and savings. We pledge a non-political monetary policy to keep prices stable and maintain public confidence in the value of the dollar.</w:t>
      </w:r>
    </w:p>
    <w:p w:rsidR="00A31137" w:rsidRPr="00A31137" w:rsidRDefault="00A31137" w:rsidP="00A31137">
      <w:r w:rsidRPr="00A31137">
        <w:t>Creating Jobs for Americans</w:t>
      </w:r>
    </w:p>
    <w:p w:rsidR="00A31137" w:rsidRPr="00A31137" w:rsidRDefault="00A31137" w:rsidP="00A31137">
      <w:r w:rsidRPr="00A31137">
        <w:t>1996 Republican Party Platform</w:t>
      </w:r>
    </w:p>
    <w:p w:rsidR="00A31137" w:rsidRPr="00A31137" w:rsidRDefault="00A31137" w:rsidP="00A31137">
      <w:r w:rsidRPr="00A31137">
        <w:t>Our goal is to empower the American people by expanding employment and entrepreneurial opportunities. Fundamentally, jobs are created in the private sector.</w:t>
      </w:r>
    </w:p>
    <w:p w:rsidR="00A31137" w:rsidRPr="00A31137" w:rsidRDefault="00A31137" w:rsidP="00A31137">
      <w:r w:rsidRPr="00A31137">
        <w:t>1996 Republican Party Platform</w:t>
      </w:r>
    </w:p>
    <w:p w:rsidR="00A31137" w:rsidRPr="00A31137" w:rsidRDefault="00A31137" w:rsidP="00A31137">
      <w:r w:rsidRPr="00A31137">
        <w:t xml:space="preserve">Small businesses are the engines of growth and job creation. They generate 75 percent of new jobs and 55 percent of our gross domestic product. The Republican Party is committed to the survival, the revival, and the resurgence of small business. In addition to our overall program of lower taxes, regulatory reform, and less spending, we will: </w:t>
      </w:r>
    </w:p>
    <w:p w:rsidR="00A31137" w:rsidRPr="00A31137" w:rsidRDefault="00A31137" w:rsidP="00A31137">
      <w:r w:rsidRPr="00A31137">
        <w:t>1996 Republican Party Platform</w:t>
      </w:r>
    </w:p>
    <w:p w:rsidR="00A31137" w:rsidRPr="00A31137" w:rsidRDefault="00A31137" w:rsidP="00A31137">
      <w:r w:rsidRPr="00A31137">
        <w:t>allow small businesses to deduct the costs of their health insurance;</w:t>
      </w:r>
    </w:p>
    <w:p w:rsidR="00A31137" w:rsidRPr="00A31137" w:rsidRDefault="00A31137" w:rsidP="00A31137">
      <w:r w:rsidRPr="00A31137">
        <w:t>1996 Republican Party Platform</w:t>
      </w:r>
    </w:p>
    <w:p w:rsidR="00A31137" w:rsidRPr="00A31137" w:rsidRDefault="00A31137" w:rsidP="00A31137">
      <w:r w:rsidRPr="00A31137">
        <w:t xml:space="preserve">restore the fair home-office deduction so important to start-up businesses; </w:t>
      </w:r>
    </w:p>
    <w:p w:rsidR="00A31137" w:rsidRPr="00A31137" w:rsidRDefault="00A31137" w:rsidP="00A31137">
      <w:r w:rsidRPr="00A31137">
        <w:t>1996 Republican Party Platform</w:t>
      </w:r>
    </w:p>
    <w:p w:rsidR="00A31137" w:rsidRPr="00A31137" w:rsidRDefault="00A31137" w:rsidP="00A31137">
      <w:r w:rsidRPr="00A31137">
        <w:t xml:space="preserve">assure that no one who inherits a small business or farm has to sell it to pay inheritance taxes; </w:t>
      </w:r>
    </w:p>
    <w:p w:rsidR="00A31137" w:rsidRPr="00A31137" w:rsidRDefault="00A31137" w:rsidP="00A31137">
      <w:r w:rsidRPr="00A31137">
        <w:t>1996 Republican Party Platform</w:t>
      </w:r>
    </w:p>
    <w:p w:rsidR="00A31137" w:rsidRPr="00A31137" w:rsidRDefault="00A31137" w:rsidP="00A31137">
      <w:r w:rsidRPr="00A31137">
        <w:t xml:space="preserve">make the IRS stop its discrimination against independent contractors; </w:t>
      </w:r>
    </w:p>
    <w:p w:rsidR="00A31137" w:rsidRPr="00A31137" w:rsidRDefault="00A31137" w:rsidP="00A31137">
      <w:r w:rsidRPr="00A31137">
        <w:t>1996 Republican Party Platform</w:t>
      </w:r>
    </w:p>
    <w:p w:rsidR="00A31137" w:rsidRPr="00A31137" w:rsidRDefault="00A31137" w:rsidP="00A31137">
      <w:r w:rsidRPr="00A31137">
        <w:t>enact both legal reform and product liability legislation to shield small businesses and protect jobs from the threat of unfair litigation; and</w:t>
      </w:r>
    </w:p>
    <w:p w:rsidR="00A31137" w:rsidRPr="00A31137" w:rsidRDefault="00A31137" w:rsidP="00A31137">
      <w:r w:rsidRPr="00A31137">
        <w:t>1996 Republican Party Platform</w:t>
      </w:r>
    </w:p>
    <w:p w:rsidR="00A31137" w:rsidRPr="00A31137" w:rsidRDefault="00A31137" w:rsidP="00A31137">
      <w:r w:rsidRPr="00A31137">
        <w:t>transfer from the public sector services that can be provided by the private sector more efficiently and cost effectively.</w:t>
      </w:r>
    </w:p>
    <w:p w:rsidR="00A31137" w:rsidRPr="00A31137" w:rsidRDefault="00A31137" w:rsidP="00A31137">
      <w:r w:rsidRPr="00A31137">
        <w:t>1996 Republican Party Platform</w:t>
      </w:r>
    </w:p>
    <w:p w:rsidR="00A31137" w:rsidRPr="00A31137" w:rsidRDefault="00A31137" w:rsidP="00A31137">
      <w:r w:rsidRPr="00A31137">
        <w:t xml:space="preserve">Small business is a force for enormous progress, socially, politically, and economically. This is both an economic and a civil rights agenda. Small businesses owned by women now employ more people than all the Fortune 500 companies combined. Republican-created enterprise zones will offer dramatic opportunities to workers employed by small businesses, particularly minorities and the "Forgotten Workers." Republicans support the creation of jobs in all areas of the country, from the inner city to rural America. </w:t>
      </w:r>
    </w:p>
    <w:p w:rsidR="00A31137" w:rsidRPr="00A31137" w:rsidRDefault="00A31137" w:rsidP="00A31137">
      <w:r w:rsidRPr="00A31137">
        <w:t>1996 Republican Party Platform</w:t>
      </w:r>
    </w:p>
    <w:p w:rsidR="00A31137" w:rsidRPr="00A31137" w:rsidRDefault="00A31137" w:rsidP="00A31137">
      <w:r w:rsidRPr="00A31137">
        <w:t xml:space="preserve">We must create the workplace of the future so that it becomes a vehicle for personal liberation for those who seek a foothold on the opportunity ladder. We advocate increased access to capital for businesses to expand, export, and bring new products and technologies to market. We propose to consolidate federal training programs and to transfer their administration to the States and local governments. </w:t>
      </w:r>
    </w:p>
    <w:p w:rsidR="00A31137" w:rsidRPr="00A31137" w:rsidRDefault="00A31137" w:rsidP="00A31137">
      <w:r w:rsidRPr="00A31137">
        <w:t>1996 Republican Party Platform</w:t>
      </w:r>
    </w:p>
    <w:p w:rsidR="00A31137" w:rsidRPr="00A31137" w:rsidRDefault="00A31137" w:rsidP="00A31137">
      <w:r w:rsidRPr="00A31137">
        <w:t xml:space="preserve">Restraining the size and spending of government is only part of the job. We must transform official policies and attitudes toward productive Americans. Many of our labor laws and job training programs are out of date and out of touch with the needs of today's workers. Both the Davis-Bacon Act and the Service Contract Act, for example, have come to restrict opportunity, increase costs, and inhibit innovation. </w:t>
      </w:r>
    </w:p>
    <w:p w:rsidR="00A31137" w:rsidRPr="00A31137" w:rsidRDefault="00A31137" w:rsidP="00A31137">
      <w:r w:rsidRPr="00A31137">
        <w:t>1996 Republican Party Platform</w:t>
      </w:r>
    </w:p>
    <w:p w:rsidR="00A31137" w:rsidRPr="00A31137" w:rsidRDefault="00A31137" w:rsidP="00A31137">
      <w:r w:rsidRPr="00A31137">
        <w:t xml:space="preserve">Congressional Republicans have already launched a fight against the union bosses' ban on flex-time and comp-time in private industry. Those innovations are especially important to families with children. Government has no business forbidding America's workers to arrange their schedules to suit the needs of their own families. </w:t>
      </w:r>
    </w:p>
    <w:p w:rsidR="00A31137" w:rsidRPr="00A31137" w:rsidRDefault="00A31137" w:rsidP="00A31137">
      <w:r w:rsidRPr="00A31137">
        <w:t>1996 Republican Party Platform</w:t>
      </w:r>
    </w:p>
    <w:p w:rsidR="00A31137" w:rsidRPr="00A31137" w:rsidRDefault="00A31137" w:rsidP="00A31137">
      <w:r w:rsidRPr="00A31137">
        <w:t>In the same spirit, we will enact the TEAM Act to empower employers and employees to act as a team, rather than as adversaries, to advance their common interests. (It is opposed only by those who profit from labor conflict, for whom Bill Clinton has vetoed the bill.) Another way to replace conflict with concerted action is to transform OSHA from an adversarial agency into a pioneering advocate of safer productivity. We will mesh its activities with the work of councils formed under the TEAM Act to advance worker protection from the ground up.</w:t>
      </w:r>
    </w:p>
    <w:p w:rsidR="00A31137" w:rsidRPr="00A31137" w:rsidRDefault="00A31137" w:rsidP="00A31137">
      <w:r w:rsidRPr="00A31137">
        <w:t>1996 Republican Party Platform</w:t>
      </w:r>
    </w:p>
    <w:p w:rsidR="00A31137" w:rsidRPr="00A31137" w:rsidRDefault="00A31137" w:rsidP="00A31137">
      <w:r w:rsidRPr="00A31137">
        <w:t>In contrast, the Clinton Administration has produced no regulatory reform, no tax relief, no product liability reform, and no legal reform.</w:t>
      </w:r>
    </w:p>
    <w:p w:rsidR="00A31137" w:rsidRPr="00A31137" w:rsidRDefault="00A31137" w:rsidP="00A31137">
      <w:r w:rsidRPr="00A31137">
        <w:t>1996 Republican Party Platform</w:t>
      </w:r>
    </w:p>
    <w:p w:rsidR="00A31137" w:rsidRPr="00A31137" w:rsidRDefault="00A31137" w:rsidP="00A31137">
      <w:r w:rsidRPr="00A31137">
        <w:t xml:space="preserve">Our vision is that everyone who seeks a job will have a job. We will break the "job lock" and bring employment opportunities to all Americans. Science, Technology, and Innovation in the 21st Century </w:t>
      </w:r>
    </w:p>
    <w:p w:rsidR="00A31137" w:rsidRPr="00A31137" w:rsidRDefault="00A31137" w:rsidP="00A31137">
      <w:r w:rsidRPr="00A31137">
        <w:t>1996 Republican Party Platform</w:t>
      </w:r>
    </w:p>
    <w:p w:rsidR="00A31137" w:rsidRPr="00A31137" w:rsidRDefault="00A31137" w:rsidP="00A31137">
      <w:r w:rsidRPr="00A31137">
        <w:t xml:space="preserve">Our goal is to empower the American people by using the benefits of advanced science to improve their quality of life without undue restraint from government. Our bottom line is more jobs, better jobs, and a higher standard of living for the families of America. </w:t>
      </w:r>
    </w:p>
    <w:p w:rsidR="00A31137" w:rsidRPr="00A31137" w:rsidRDefault="00A31137" w:rsidP="00A31137">
      <w:r w:rsidRPr="00A31137">
        <w:t>1996 Republican Party Platform</w:t>
      </w:r>
    </w:p>
    <w:p w:rsidR="00A31137" w:rsidRPr="00A31137" w:rsidRDefault="00A31137" w:rsidP="00A31137">
      <w:r w:rsidRPr="00A31137">
        <w:t>As we prepare for the dawn of a new century, it is essential that our public policies keep pace with an evolving economy. Increased productivity is essential to expand the economy and improve the standard of living of all Americans. A recent report by the Office of Technology Assessment attributes at least half of all economic growth in the United States to advances in technology.</w:t>
      </w:r>
    </w:p>
    <w:p w:rsidR="00A31137" w:rsidRPr="00A31137" w:rsidRDefault="00A31137" w:rsidP="00A31137">
      <w:r w:rsidRPr="00A31137">
        <w:t>1996 Republican Party Platform</w:t>
      </w:r>
    </w:p>
    <w:p w:rsidR="00A31137" w:rsidRPr="00A31137" w:rsidRDefault="00A31137" w:rsidP="00A31137">
      <w:r w:rsidRPr="00A31137">
        <w:t>America is expanding its leadership role as a country that fosters innovation and technological advances, the essential ingredients of increased productivity. Leading these efforts are the men and women—and high technology businesses—that foster creative solutions to world problems. We must create policies that enable these thoughtful leaders to continue to invest in research and development. U.S. research and development (R&amp;D) investment has increased significantly over the past two decades and currently accounts for about 2.6 percent of the nation's gross domestic product. The private sector has been the main engine behind this growth, contributing over 60 percent of the national R&amp;D investment. Such investment has led to increased employment and high-quality jobs. Businesses that invest heavily in R&amp;D tend to create more jobs, and to employ high-skilled workers in those new jobs at above average wage levels.</w:t>
      </w:r>
    </w:p>
    <w:p w:rsidR="00A31137" w:rsidRPr="00A31137" w:rsidRDefault="00A31137" w:rsidP="00A31137">
      <w:r w:rsidRPr="00A31137">
        <w:t>1996 Republican Party Platform</w:t>
      </w:r>
    </w:p>
    <w:p w:rsidR="00A31137" w:rsidRPr="00A31137" w:rsidRDefault="00A31137" w:rsidP="00A31137">
      <w:r w:rsidRPr="00A31137">
        <w:t>Research and development is our commitment to the future. It is our investment in the future. We must design tax and regulatory policies that encourage private sector research and experimentation, while lowering the cost of such investments.</w:t>
      </w:r>
    </w:p>
    <w:p w:rsidR="00A31137" w:rsidRPr="00A31137" w:rsidRDefault="00A31137" w:rsidP="00A31137">
      <w:r w:rsidRPr="00A31137">
        <w:t>1996 Republican Party Platform</w:t>
      </w:r>
    </w:p>
    <w:p w:rsidR="00A31137" w:rsidRPr="00A31137" w:rsidRDefault="00A31137" w:rsidP="00A31137">
      <w:r w:rsidRPr="00A31137">
        <w:t xml:space="preserve">We believe the marketplace, not bureaucrats, can determine which technologies and entrepreneurs best meet the needs of the public. American companies must use the most advanced production technologies, telecommunications, and information management systems. Technological advance means economic growth, higher productivity, and more security. We therefore support private-sector funding of applied research, especially in emerging technologies, and improved education in science and engineering. American workers must have the knowledge and training to effectively utilize the capabilities of those new systems. </w:t>
      </w:r>
    </w:p>
    <w:p w:rsidR="00A31137" w:rsidRPr="00A31137" w:rsidRDefault="00A31137" w:rsidP="00A31137">
      <w:r w:rsidRPr="00A31137">
        <w:t>1996 Republican Party Platform</w:t>
      </w:r>
    </w:p>
    <w:p w:rsidR="00A31137" w:rsidRPr="00A31137" w:rsidRDefault="00A31137" w:rsidP="00A31137">
      <w:r w:rsidRPr="00A31137">
        <w:t xml:space="preserve">Federal science programs must emphasize basic research. The tax code must foster research and development. These policies will increase the pace of technological developments by de-emphasizing the role of government and strengthening the role of the private sector. We will advance the innovative ideas and pioneering spirit that make possible the impossible. </w:t>
      </w:r>
    </w:p>
    <w:p w:rsidR="00A31137" w:rsidRPr="00A31137" w:rsidRDefault="00A31137" w:rsidP="00A31137">
      <w:r w:rsidRPr="00A31137">
        <w:t>1996 Republican Party Platform</w:t>
      </w:r>
    </w:p>
    <w:p w:rsidR="00A31137" w:rsidRPr="00A31137" w:rsidRDefault="00A31137" w:rsidP="00A31137">
      <w:r w:rsidRPr="00A31137">
        <w:t xml:space="preserve">New discoveries to bolster America's international competitiveness are essential. The fruits of federally funded research led to the creation of the biotechnology industry through the Bayh-Dole Act. This is an example of innovation and risk-taking, creating 2,000 biotechnology companies employing thousands of employees and selling billions of dollars of products to keep us first and foremost in the global marketplace. </w:t>
      </w:r>
    </w:p>
    <w:p w:rsidR="00A31137" w:rsidRPr="00A31137" w:rsidRDefault="00A31137" w:rsidP="00A31137">
      <w:r w:rsidRPr="00A31137">
        <w:t>1996 Republican Party Platform</w:t>
      </w:r>
    </w:p>
    <w:p w:rsidR="00A31137" w:rsidRPr="00A31137" w:rsidRDefault="00A31137" w:rsidP="00A31137">
      <w:r w:rsidRPr="00A31137">
        <w:t xml:space="preserve">The communications revolution empowers individuals, enhances health care, opens up opportunity for rural areas, and strengthens families and institutions. A Dole-led Congress passed the Telecommunications Act of 1996 to promote the full and open competition and freedom of choice in the telecommunications marketplace. In contrast, the Clinton-Gore Administration repeatedly defended big-government regulation. This micromanagement of the Information Age is an impediment to the development of America's information superhighway. </w:t>
      </w:r>
    </w:p>
    <w:p w:rsidR="00A31137" w:rsidRPr="00A31137" w:rsidRDefault="00A31137" w:rsidP="00A31137">
      <w:r w:rsidRPr="00A31137">
        <w:t>1996 Republican Party Platform</w:t>
      </w:r>
    </w:p>
    <w:p w:rsidR="00A31137" w:rsidRPr="00A31137" w:rsidRDefault="00A31137" w:rsidP="00A31137">
      <w:r w:rsidRPr="00A31137">
        <w:t xml:space="preserve">We support the broadest access to telecommunications networks and services, based upon marketplace capabilities. The Internet today is the most staggering example of how the Information Age can and will enhance the lives of Americans everywhere. To further this explosion of new-found freedoms and opportunities, privacy, through secured communications, has never been more important. Bob Dole and the Republican Party will promote policies that ensure that the U.S. remains the world leader in science, technology, and innovation. </w:t>
      </w:r>
    </w:p>
    <w:p w:rsidR="00A31137" w:rsidRPr="00A31137" w:rsidRDefault="00A31137" w:rsidP="00A31137">
      <w:r w:rsidRPr="00A31137">
        <w:t>Homeownership</w:t>
      </w:r>
    </w:p>
    <w:p w:rsidR="00A31137" w:rsidRPr="00A31137" w:rsidRDefault="00A31137" w:rsidP="00A31137">
      <w:r w:rsidRPr="00A31137">
        <w:t>1996 Republican Party Platform</w:t>
      </w:r>
    </w:p>
    <w:p w:rsidR="00A31137" w:rsidRPr="00A31137" w:rsidRDefault="00A31137" w:rsidP="00A31137">
      <w:r w:rsidRPr="00A31137">
        <w:t>Homeownership is central to the American Dream. It is a commitment to a safe and stable community. It is not something government gives to the people, but rather something they can attain for themselves in a non-inflationary, growing economy. For most Americans, our home is our primary asset. Mortgage interest should remain deductible from the income tax.</w:t>
      </w:r>
    </w:p>
    <w:p w:rsidR="00A31137" w:rsidRPr="00A31137" w:rsidRDefault="00A31137" w:rsidP="00A31137">
      <w:r w:rsidRPr="00A31137">
        <w:t>1996 Republican Party Platform</w:t>
      </w:r>
    </w:p>
    <w:p w:rsidR="00A31137" w:rsidRPr="00A31137" w:rsidRDefault="00A31137" w:rsidP="00A31137">
      <w:r w:rsidRPr="00A31137">
        <w:t>We applaud Republican congressional efforts to pursue federal budget policies that will result in lower interest rates. Lower interest rates will open up more housing opportunities for more Americans than any program Washington could devise.</w:t>
      </w:r>
    </w:p>
    <w:p w:rsidR="00A31137" w:rsidRPr="00A31137" w:rsidRDefault="00A31137" w:rsidP="00A31137">
      <w:r w:rsidRPr="00A31137">
        <w:t>1996 Republican Party Platform</w:t>
      </w:r>
    </w:p>
    <w:p w:rsidR="00A31137" w:rsidRPr="00A31137" w:rsidRDefault="00A31137" w:rsidP="00A31137">
      <w:r w:rsidRPr="00A31137">
        <w:t>Republicans support regulatory reform efforts that make buying a house easy, understandable, and affordable.</w:t>
      </w:r>
    </w:p>
    <w:p w:rsidR="00A31137" w:rsidRPr="00A31137" w:rsidRDefault="00A31137" w:rsidP="00A31137">
      <w:r w:rsidRPr="00A31137">
        <w:t>1996 Republican Party Platform</w:t>
      </w:r>
    </w:p>
    <w:p w:rsidR="00A31137" w:rsidRPr="00A31137" w:rsidRDefault="00A31137" w:rsidP="00A31137">
      <w:r w:rsidRPr="00A31137">
        <w:t xml:space="preserve">We affirm our commitment to open housing, without quotas or controls, and we condemn the Clinton Administration's abuse of fair housing laws to harass citizens exercising their First Amendment rights. </w:t>
      </w:r>
    </w:p>
    <w:p w:rsidR="00A31137" w:rsidRPr="00A31137" w:rsidRDefault="00A31137" w:rsidP="00A31137">
      <w:r w:rsidRPr="00A31137">
        <w:t>1996 Republican Party Platform</w:t>
      </w:r>
    </w:p>
    <w:p w:rsidR="00A31137" w:rsidRPr="00A31137" w:rsidRDefault="00A31137" w:rsidP="00A31137">
      <w:r w:rsidRPr="00A31137">
        <w:t>In addition, we support transforming public housing into private housing, converting low-income families into proud homeowners. Resident management of public housing is a first step toward that goal, which includes eliminating the Department of Housing and Urban Development (HUD). HUD's core functions will be turned over to the States. Its civil rights component will be administered by the appropriate federal agency while enforcement will remain with the Department of Justice.</w:t>
      </w:r>
    </w:p>
    <w:p w:rsidR="00A31137" w:rsidRPr="00A31137" w:rsidRDefault="00A31137" w:rsidP="00A31137">
      <w:r w:rsidRPr="00A31137">
        <w:t>1996 Republican Party Platform</w:t>
      </w:r>
    </w:p>
    <w:p w:rsidR="00A31137" w:rsidRPr="00A31137" w:rsidRDefault="00A31137" w:rsidP="00A31137">
      <w:r w:rsidRPr="00A31137">
        <w:t>With the housing sector representing such a significant segment of the Nation's economy, housing policy is and should continue to be a priority. We believe in a federal role which supplements, not directs or competes with, States and localities. We believe in federal programs which augment, not displace, private sector capital and resources.</w:t>
      </w:r>
    </w:p>
    <w:p w:rsidR="00A31137" w:rsidRPr="00A31137" w:rsidRDefault="00A31137" w:rsidP="00A31137">
      <w:r w:rsidRPr="00A31137">
        <w:t>1996 Republican Party Platform</w:t>
      </w:r>
    </w:p>
    <w:p w:rsidR="00A31137" w:rsidRPr="00A31137" w:rsidRDefault="00A31137" w:rsidP="00A31137">
      <w:r w:rsidRPr="00A31137">
        <w:t>The Federal Government should not impose prescriptive solutions on State and local governments. Republicans believe that States and localities should have maximum flexibility to design programs which meet the individual needs of their communities. Washington must abandon the "one size fits all" approach and concentrate on adding value to the efforts of States, localities, private and faith-based organizations and individuals. Republicans believe we can and will accomplish this without disrupting services to the elderly, disabled and families with children.</w:t>
      </w:r>
    </w:p>
    <w:p w:rsidR="00A31137" w:rsidRPr="00A31137" w:rsidRDefault="00A31137" w:rsidP="00A31137">
      <w:r w:rsidRPr="00A31137">
        <w:t>Promoting Trade and International Prosperity</w:t>
      </w:r>
    </w:p>
    <w:p w:rsidR="00A31137" w:rsidRPr="00A31137" w:rsidRDefault="00A31137" w:rsidP="00A31137">
      <w:r w:rsidRPr="00A31137">
        <w:t>1996 Republican Party Platform</w:t>
      </w:r>
    </w:p>
    <w:p w:rsidR="00A31137" w:rsidRPr="00A31137" w:rsidRDefault="00A31137" w:rsidP="00A31137">
      <w:r w:rsidRPr="00A31137">
        <w:t>Republicans believe that the United States, as the sole superpower in the world today, has a responsibility to lead—economically, militarily, diplomatically, and morally—so that we have a peaceful and prosperous world.</w:t>
      </w:r>
    </w:p>
    <w:p w:rsidR="00A31137" w:rsidRPr="00A31137" w:rsidRDefault="00A31137" w:rsidP="00A31137">
      <w:r w:rsidRPr="00A31137">
        <w:t>1996 Republican Party Platform</w:t>
      </w:r>
    </w:p>
    <w:p w:rsidR="00A31137" w:rsidRPr="00A31137" w:rsidRDefault="00A31137" w:rsidP="00A31137">
      <w:r w:rsidRPr="00A31137">
        <w:t xml:space="preserve">Republicans support free and fair trade. In the American Century ahead, our country will lead in international trade. American workers will be the winners in any fair competition, and American technology will drive a prosperity revolution around the world. Exports already fuel our economy; their continuing expansion is essential for full employment and long-term prosperity. That is possible only within the context of expanding trade, and we can do it better without a Department of Commerce. </w:t>
      </w:r>
    </w:p>
    <w:p w:rsidR="00A31137" w:rsidRPr="00A31137" w:rsidRDefault="00A31137" w:rsidP="00A31137">
      <w:r w:rsidRPr="00A31137">
        <w:t>1996 Republican Party Platform</w:t>
      </w:r>
    </w:p>
    <w:p w:rsidR="00A31137" w:rsidRPr="00A31137" w:rsidRDefault="00A31137" w:rsidP="00A31137">
      <w:r w:rsidRPr="00A31137">
        <w:t xml:space="preserve">Our country's merchandise trade deficit exploded to $175 billion in 1995 and will likely set an all-time record in 1996, siphoning American wealth into the hands of foreigners. Trade deficits with all our major trading partners were worse in 1995 than in 1992. With China alone, the deficit more than doubled to $35 billion in the last three and a half years. With Japan, Bill Clinton announced a series of hollow agreements that have done little to improve market access. With Russia, he approved a $1 billion Export-Import Bank loan to foster competition with the American aircraft industry. With Canada, he tolerates discrimination against the United States beverage industry and focused on our lumber crisis too late to help closed logging mills. With Mexico, he ignored injury to American agriculture from massive surges in imports. </w:t>
      </w:r>
    </w:p>
    <w:p w:rsidR="00A31137" w:rsidRPr="00A31137" w:rsidRDefault="00A31137" w:rsidP="00A31137">
      <w:r w:rsidRPr="00A31137">
        <w:t>1996 Republican Party Platform</w:t>
      </w:r>
    </w:p>
    <w:p w:rsidR="00A31137" w:rsidRPr="00A31137" w:rsidRDefault="00A31137" w:rsidP="00A31137">
      <w:r w:rsidRPr="00A31137">
        <w:t>We should vigorously implement the North American Free Trade Agreement, while carefully monitoring its progress, to guarantee that its promised benefits and protections are realized by all American workers and consumers.</w:t>
      </w:r>
    </w:p>
    <w:p w:rsidR="00A31137" w:rsidRPr="00A31137" w:rsidRDefault="00A31137" w:rsidP="00A31137">
      <w:r w:rsidRPr="00A31137">
        <w:t>1996 Republican Party Platform</w:t>
      </w:r>
    </w:p>
    <w:p w:rsidR="00A31137" w:rsidRPr="00A31137" w:rsidRDefault="00A31137" w:rsidP="00A31137">
      <w:r w:rsidRPr="00A31137">
        <w:t xml:space="preserve">Republicans are for vigorous enforcement of the trade agreements we already have on the books, unlike the Clinton Administration that uses United States trade policy as a bargaining chip and as a vehicle for pursuing a host of other social agenda items. Republicans will enforce United States trade laws, including our antidumping laws, and will use the Super 301 investigations that give the President authority to challenge foreign barriers to our exports. And we will use the Export Enhancement Program to boost American farm exports. To advance economic freedom, we insist that United States foreign aid, whether bilateral or through the World Bank and International Monetary Fund, promote market reforms, limit regulation, and encourage free trade. Republicans will stop subsidizing socialism in the less developed nations. Republicans will not allow the World Trade Organization to undermine United States sovereignty and will support a World Trade Organization oversight commission. </w:t>
      </w:r>
    </w:p>
    <w:p w:rsidR="00A31137" w:rsidRPr="00A31137" w:rsidRDefault="00A31137" w:rsidP="00A31137">
      <w:r w:rsidRPr="00A31137">
        <w:t>1996 Republican Party Platform</w:t>
      </w:r>
    </w:p>
    <w:p w:rsidR="00A31137" w:rsidRPr="00A31137" w:rsidRDefault="00A31137" w:rsidP="00A31137">
      <w:r w:rsidRPr="00A31137">
        <w:t>Free market capitalism is the right model for economic development throughout the world. The Soviet model of a state-controlled economy has been discredited, and neither stage of development nor geographic location can justify economic authoritarianism. Human nature and aspirations are the same everywhere, and everywhere the family is the building block of economic and social progress. We therefore will protect the rights of families in international programs and will not fund organizations involved in abortion. The cost of turning our back on the global marketplace is the loss of opportunity and millions of jobs for United States citizens.</w:t>
      </w:r>
    </w:p>
    <w:p w:rsidR="00A31137" w:rsidRPr="00A31137" w:rsidRDefault="00A31137" w:rsidP="00A31137">
      <w:r w:rsidRPr="00A31137">
        <w:t>Changing Washington From the Ground Up</w:t>
      </w:r>
    </w:p>
    <w:p w:rsidR="00A31137" w:rsidRPr="00A31137" w:rsidRDefault="00A31137" w:rsidP="00A31137">
      <w:r w:rsidRPr="00A31137">
        <w:t>1996 Republican Party Platform</w:t>
      </w:r>
    </w:p>
    <w:p w:rsidR="00A31137" w:rsidRPr="00A31137" w:rsidRDefault="00A31137" w:rsidP="00A31137">
      <w:r w:rsidRPr="00A31137">
        <w:t>"On November 8, 1994, the American people sent a message to Washington…. Their message is my mandate: To rein in government and reconnect it to the values of the American people. That means making government a whole lot smaller, a lot less arrogant, and getting it out of matters best left to the states, cities, and families across America." Bob Dole, March 10, 1995 in Washington, D. C.</w:t>
      </w:r>
    </w:p>
    <w:p w:rsidR="00A31137" w:rsidRPr="00A31137" w:rsidRDefault="00A31137" w:rsidP="00A31137">
      <w:r w:rsidRPr="00A31137">
        <w:t>1996 Republican Party Platform</w:t>
      </w:r>
    </w:p>
    <w:p w:rsidR="00A31137" w:rsidRPr="00A31137" w:rsidRDefault="00A31137" w:rsidP="00A31137">
      <w:r w:rsidRPr="00A31137">
        <w:t xml:space="preserve">We are the party of small, responsible and efficient government, joining our neighbors in cities and counties, rather than distant bureaucrats, to build a just society and caring communities. We therefore assert the power of the American people over government, rather than the other way around. Our agenda for change, profound and permanent change in the way government behaves, is based on the Tenth Amendment to the Constitution: </w:t>
      </w:r>
    </w:p>
    <w:p w:rsidR="00A31137" w:rsidRPr="00A31137" w:rsidRDefault="00A31137" w:rsidP="00A31137">
      <w:r w:rsidRPr="00A31137">
        <w:t>1996 Republican Party Platform</w:t>
      </w:r>
    </w:p>
    <w:p w:rsidR="00A31137" w:rsidRPr="00A31137" w:rsidRDefault="00A31137" w:rsidP="00A31137">
      <w:r w:rsidRPr="00A31137">
        <w:t xml:space="preserve">The powers not delegated to the United States by the Constitution, nor prohibited by it to the States, are reserved to the States respectively, or to the people. </w:t>
      </w:r>
    </w:p>
    <w:p w:rsidR="00A31137" w:rsidRPr="00A31137" w:rsidRDefault="00A31137" w:rsidP="00A31137">
      <w:r w:rsidRPr="00A31137">
        <w:t>1996 Republican Party Platform</w:t>
      </w:r>
    </w:p>
    <w:p w:rsidR="00A31137" w:rsidRPr="00A31137" w:rsidRDefault="00A31137" w:rsidP="00A31137">
      <w:r w:rsidRPr="00A31137">
        <w:t xml:space="preserve">For more than half a century, that solemn compact has been scorned by liberal Democrats and the judicial activism of the judges they have appointed. We will restore the force of the Tenth Amendment and, in the process, renew the trust and respect which hold together a free society. As its first initiative enacted into law, the new Republican majority on Capitol Hill launched that effort early in 1995 by forbidding the imposition of new unfunded mandates upon State and local taxpayers. From now on, if official Washington promises benefits, official Washington must pay for them. We will apply that same principle to the ill-conceived Motor-Voter Act, the Democrats' costly invitation to ballot fraud. </w:t>
      </w:r>
    </w:p>
    <w:p w:rsidR="00A31137" w:rsidRPr="00A31137" w:rsidRDefault="00A31137" w:rsidP="00A31137">
      <w:r w:rsidRPr="00A31137">
        <w:t>1996 Republican Party Platform</w:t>
      </w:r>
    </w:p>
    <w:p w:rsidR="00A31137" w:rsidRPr="00A31137" w:rsidRDefault="00A31137" w:rsidP="00A31137">
      <w:r w:rsidRPr="00A31137">
        <w:t xml:space="preserve">To permanently restore balance in the federal system, States must have the proper tools to act as a counterforce to the Federal Government. Our country's founders attempted to carefully balance power between the two levels. The Tenth Amendment, as well as the ability of State legislatures to initiate constitutional amendments, and other constitutional tools given to States to protect their role in the system have now been either eroded away, given away, or rendered impossible to use. Thus, States lack the tools necessary to do their job as a counterbalance to the national government. </w:t>
      </w:r>
    </w:p>
    <w:p w:rsidR="00A31137" w:rsidRPr="00A31137" w:rsidRDefault="00A31137" w:rsidP="00A31137">
      <w:r w:rsidRPr="00A31137">
        <w:t>1996 Republican Party Platform</w:t>
      </w:r>
    </w:p>
    <w:p w:rsidR="00A31137" w:rsidRPr="00A31137" w:rsidRDefault="00A31137" w:rsidP="00A31137">
      <w:r w:rsidRPr="00A31137">
        <w:t xml:space="preserve">We call upon Congress, governors, State legislators and local leaders to adopt structural reforms that will permanently restore balance in our federal system. In this Information Era of uncertainty and rapid change, it is government close to home, controlled by neighborhood and community leaders, that can best respond to the needs and values of all citizens. </w:t>
      </w:r>
    </w:p>
    <w:p w:rsidR="00A31137" w:rsidRPr="00A31137" w:rsidRDefault="00A31137" w:rsidP="00A31137">
      <w:r w:rsidRPr="00A31137">
        <w:t>1996 Republican Party Platform</w:t>
      </w:r>
    </w:p>
    <w:p w:rsidR="00A31137" w:rsidRPr="00A31137" w:rsidRDefault="00A31137" w:rsidP="00A31137">
      <w:r w:rsidRPr="00A31137">
        <w:t>As a first step in reforming government, we support elimination of the Departments of Commerce, Housing and Urban Development, Education, and Energy, and the elimination, defunding or privatization of agencies which are obsolete, redundant, of limited value, or too regional in focus. Examples of agencies we seek to defund or to privatize are the National Endowment for the Arts, the National Endowment for the Humanities, the Corporation for Public Broadcasting, and the Legal Services Corporation.</w:t>
      </w:r>
    </w:p>
    <w:p w:rsidR="00A31137" w:rsidRPr="00A31137" w:rsidRDefault="00A31137" w:rsidP="00A31137">
      <w:r w:rsidRPr="00A31137">
        <w:t>1996 Republican Party Platform</w:t>
      </w:r>
    </w:p>
    <w:p w:rsidR="00A31137" w:rsidRPr="00A31137" w:rsidRDefault="00A31137" w:rsidP="00A31137">
      <w:r w:rsidRPr="00A31137">
        <w:t>In addition, we support Republican-sponsored legislation that would require the original sponsor of proposed federal legislation to cite specific constitutional authority for the measure.</w:t>
      </w:r>
    </w:p>
    <w:p w:rsidR="00A31137" w:rsidRPr="00A31137" w:rsidRDefault="00A31137" w:rsidP="00A31137">
      <w:r w:rsidRPr="00A31137">
        <w:t>A Citizens' Congress</w:t>
      </w:r>
    </w:p>
    <w:p w:rsidR="00A31137" w:rsidRPr="00A31137" w:rsidRDefault="00A31137" w:rsidP="00A31137">
      <w:r w:rsidRPr="00A31137">
        <w:t>1996 Republican Party Platform</w:t>
      </w:r>
    </w:p>
    <w:p w:rsidR="00A31137" w:rsidRPr="00A31137" w:rsidRDefault="00A31137" w:rsidP="00A31137">
      <w:r w:rsidRPr="00A31137">
        <w:t xml:space="preserve">Even with these structural changes, a system of government is only as good as the women and men who serve within it. When the voters of 1994 elected Republican majorities in both the House and Senate for the first time in forty years, Capitol Hill had been an institution steeped in corruption and contemptuous of reform. Congressional Republicans changed things, from the ground up. They: </w:t>
      </w:r>
    </w:p>
    <w:p w:rsidR="00A31137" w:rsidRPr="00A31137" w:rsidRDefault="00A31137" w:rsidP="00A31137">
      <w:r w:rsidRPr="00A31137">
        <w:t>1996 Republican Party Platform</w:t>
      </w:r>
    </w:p>
    <w:p w:rsidR="00A31137" w:rsidRPr="00A31137" w:rsidRDefault="00A31137" w:rsidP="00A31137">
      <w:r w:rsidRPr="00A31137">
        <w:t>applied all laws to Congress, so that those who make the rules will have to live by them;</w:t>
      </w:r>
    </w:p>
    <w:p w:rsidR="00A31137" w:rsidRPr="00A31137" w:rsidRDefault="00A31137" w:rsidP="00A31137">
      <w:r w:rsidRPr="00A31137">
        <w:t>1996 Republican Party Platform</w:t>
      </w:r>
    </w:p>
    <w:p w:rsidR="00A31137" w:rsidRPr="00A31137" w:rsidRDefault="00A31137" w:rsidP="00A31137">
      <w:r w:rsidRPr="00A31137">
        <w:t>slashed congressional spending and cut back the staff on Capitol Hill;</w:t>
      </w:r>
    </w:p>
    <w:p w:rsidR="00A31137" w:rsidRPr="00A31137" w:rsidRDefault="00A31137" w:rsidP="00A31137">
      <w:r w:rsidRPr="00A31137">
        <w:t>1996 Republican Party Platform</w:t>
      </w:r>
    </w:p>
    <w:p w:rsidR="00A31137" w:rsidRPr="00A31137" w:rsidRDefault="00A31137" w:rsidP="00A31137">
      <w:r w:rsidRPr="00A31137">
        <w:t>ordered an unprecedented audit of the House of Representatives, with devastating exposure of the Democrats' four decades of mismanagement;</w:t>
      </w:r>
    </w:p>
    <w:p w:rsidR="00A31137" w:rsidRPr="00A31137" w:rsidRDefault="00A31137" w:rsidP="00A31137">
      <w:r w:rsidRPr="00A31137">
        <w:t>1996 Republican Party Platform</w:t>
      </w:r>
    </w:p>
    <w:p w:rsidR="00A31137" w:rsidRPr="00A31137" w:rsidRDefault="00A31137" w:rsidP="00A31137">
      <w:r w:rsidRPr="00A31137">
        <w:t>streamlined legislative procedures by reducing the number of committees and subcommittees;</w:t>
      </w:r>
    </w:p>
    <w:p w:rsidR="00A31137" w:rsidRPr="00A31137" w:rsidRDefault="00A31137" w:rsidP="00A31137">
      <w:r w:rsidRPr="00A31137">
        <w:t>1996 Republican Party Platform</w:t>
      </w:r>
    </w:p>
    <w:p w:rsidR="00A31137" w:rsidRPr="00A31137" w:rsidRDefault="00A31137" w:rsidP="00A31137">
      <w:r w:rsidRPr="00A31137">
        <w:t>imposed term limits for House committee chairs and Leadership positions—something the Democrats still refuse to do;</w:t>
      </w:r>
    </w:p>
    <w:p w:rsidR="00A31137" w:rsidRPr="00A31137" w:rsidRDefault="00A31137" w:rsidP="00A31137">
      <w:r w:rsidRPr="00A31137">
        <w:t>1996 Republican Party Platform</w:t>
      </w:r>
    </w:p>
    <w:p w:rsidR="00A31137" w:rsidRPr="00A31137" w:rsidRDefault="00A31137" w:rsidP="00A31137">
      <w:r w:rsidRPr="00A31137">
        <w:t>abolished proxy voting in House committees, ending the scandal of absentee Members casting phony votes;</w:t>
      </w:r>
    </w:p>
    <w:p w:rsidR="00A31137" w:rsidRPr="00A31137" w:rsidRDefault="00A31137" w:rsidP="00A31137">
      <w:r w:rsidRPr="00A31137">
        <w:t>1996 Republican Party Platform</w:t>
      </w:r>
    </w:p>
    <w:p w:rsidR="00A31137" w:rsidRPr="00A31137" w:rsidRDefault="00A31137" w:rsidP="00A31137">
      <w:r w:rsidRPr="00A31137">
        <w:t>required any Representative charged indicted of a felony offense to relinquish positions of authority within Congress until cleared of wrongdoing;</w:t>
      </w:r>
    </w:p>
    <w:p w:rsidR="00A31137" w:rsidRPr="00A31137" w:rsidRDefault="00A31137" w:rsidP="00A31137">
      <w:r w:rsidRPr="00A31137">
        <w:t>1996 Republican Party Platform</w:t>
      </w:r>
    </w:p>
    <w:p w:rsidR="00A31137" w:rsidRPr="00A31137" w:rsidRDefault="00A31137" w:rsidP="00A31137">
      <w:r w:rsidRPr="00A31137">
        <w:t>ended the Democrats' secret sessions by opening to the press and the public all committee meetings;</w:t>
      </w:r>
    </w:p>
    <w:p w:rsidR="00A31137" w:rsidRPr="00A31137" w:rsidRDefault="00A31137" w:rsidP="00A31137">
      <w:r w:rsidRPr="00A31137">
        <w:t>1996 Republican Party Platform</w:t>
      </w:r>
    </w:p>
    <w:p w:rsidR="00A31137" w:rsidRPr="00A31137" w:rsidRDefault="00A31137" w:rsidP="00A31137">
      <w:r w:rsidRPr="00A31137">
        <w:t>brought to a vote, in both the House and Senate, a constitutional amendment to impose term limits on Members of Congress. It failed to secure the necessary two-thirds vote in the House, where 80 percent of Republicans voted for it and 80 percent of Democrats voted against it. Every Senate Republican voted to allow a vote on term limits, but the Democrats killed it by a filibuster. It will take expanded Republican majorities in the 105th Congress to send to the States a term limits constitutional amendment; and</w:t>
      </w:r>
    </w:p>
    <w:p w:rsidR="00A31137" w:rsidRPr="00A31137" w:rsidRDefault="00A31137" w:rsidP="00A31137">
      <w:r w:rsidRPr="00A31137">
        <w:t>1996 Republican Party Platform</w:t>
      </w:r>
    </w:p>
    <w:p w:rsidR="00A31137" w:rsidRPr="00A31137" w:rsidRDefault="00A31137" w:rsidP="00A31137">
      <w:r w:rsidRPr="00A31137">
        <w:t>passed historic legislation banning gifts to Members of Congress and their staff.</w:t>
      </w:r>
    </w:p>
    <w:p w:rsidR="00A31137" w:rsidRPr="00A31137" w:rsidRDefault="00A31137" w:rsidP="00A31137">
      <w:r w:rsidRPr="00A31137">
        <w:t>1996 Republican Party Platform</w:t>
      </w:r>
    </w:p>
    <w:p w:rsidR="00A31137" w:rsidRPr="00A31137" w:rsidRDefault="00A31137" w:rsidP="00A31137">
      <w:r w:rsidRPr="00A31137">
        <w:t xml:space="preserve">We will continue our fight against gerrymandered congressional districts designed to thwart majority rule. We will eliminate made-in-Washington schemes to rig the election process under the guise of campaign reform. True reform is indeed needed: ending taxpayer subsidies for campaigns, strengthening party structures to guard against rogue operations, requiring full and immediate disclosure of all contributions, and cracking down on the indirect support, or "soft money," by which special interest groups underwrite their favored candidates. </w:t>
      </w:r>
    </w:p>
    <w:p w:rsidR="00A31137" w:rsidRPr="00A31137" w:rsidRDefault="00A31137" w:rsidP="00A31137">
      <w:r w:rsidRPr="00A31137">
        <w:t>Cleaning Up Government</w:t>
      </w:r>
    </w:p>
    <w:p w:rsidR="00A31137" w:rsidRPr="00A31137" w:rsidRDefault="00A31137" w:rsidP="00A31137">
      <w:r w:rsidRPr="00A31137">
        <w:t>1996 Republican Party Platform</w:t>
      </w:r>
    </w:p>
    <w:p w:rsidR="00A31137" w:rsidRPr="00A31137" w:rsidRDefault="00A31137" w:rsidP="00A31137">
      <w:r w:rsidRPr="00A31137">
        <w:t>In 1992, Bill Clinton promised "the most ethical Administration in the history of the Republic." Instead, the Clinton Administration has been rife with scandal. An unprecedented four Independent Counsels have been appointed since the Clinton Inauguration to investigate various allegations of wrongdoing by members of this Administration. The Clinton White House has abused executive power in both the White House Travel Office firings situation and in the FBI files matter. The FBI Director said there have been "egregious violations of privacy" in the gathering of FBI files of officials who worked in the White House under Republican administrations. We believe that misuse of law enforcement authorities for partisan political ends is no trivial matter. Such abuses strike at the heart of the relationship between citizen and government and undermine the rule of law and confidence in our leaders.</w:t>
      </w:r>
    </w:p>
    <w:p w:rsidR="00A31137" w:rsidRPr="00A31137" w:rsidRDefault="00A31137" w:rsidP="00A31137">
      <w:r w:rsidRPr="00A31137">
        <w:t>1996 Republican Party Platform</w:t>
      </w:r>
    </w:p>
    <w:p w:rsidR="00A31137" w:rsidRPr="00A31137" w:rsidRDefault="00A31137" w:rsidP="00A31137">
      <w:r w:rsidRPr="00A31137">
        <w:t>Scandals in government are not limited to possible criminal violations. The public trust is violated when taxpayers money is treated as a slush fund for special interest groups who oppose urgently needed reforms. For example, the Democrats have denied school vouchers for poor children in the nation's capital at the demand of special interest unions. They have blocked urgently needed legal reforms at the command of the trial lawyers, now the biggest source of revenue for the Democrat party. They have rejected reforms to improve the workplace to please union bosses who committed $35 million to aid the Clinton reelection effort.</w:t>
      </w:r>
    </w:p>
    <w:p w:rsidR="00A31137" w:rsidRPr="00A31137" w:rsidRDefault="00A31137" w:rsidP="00A31137">
      <w:r w:rsidRPr="00A31137">
        <w:t>1996 Republican Party Platform</w:t>
      </w:r>
    </w:p>
    <w:p w:rsidR="00A31137" w:rsidRPr="00A31137" w:rsidRDefault="00A31137" w:rsidP="00A31137">
      <w:r w:rsidRPr="00A31137">
        <w:t>It is time to restore honor and integrity to government. We propose to:</w:t>
      </w:r>
    </w:p>
    <w:p w:rsidR="00A31137" w:rsidRPr="00A31137" w:rsidRDefault="00A31137" w:rsidP="00A31137">
      <w:r w:rsidRPr="00A31137">
        <w:t>1996 Republican Party Platform</w:t>
      </w:r>
    </w:p>
    <w:p w:rsidR="00A31137" w:rsidRPr="00A31137" w:rsidRDefault="00A31137" w:rsidP="00A31137">
      <w:r w:rsidRPr="00A31137">
        <w:t>revoke pension rights of public officials who have been convicted of crimes;</w:t>
      </w:r>
    </w:p>
    <w:p w:rsidR="00A31137" w:rsidRPr="00A31137" w:rsidRDefault="00A31137" w:rsidP="00A31137">
      <w:r w:rsidRPr="00A31137">
        <w:t>1996 Republican Party Platform</w:t>
      </w:r>
    </w:p>
    <w:p w:rsidR="00A31137" w:rsidRPr="00A31137" w:rsidRDefault="00A31137" w:rsidP="00A31137">
      <w:r w:rsidRPr="00A31137">
        <w:t>strengthen citizen privacy laws and reform the FBI to guard against the politicization of law enforcement that we have seen by the Clinton White House;</w:t>
      </w:r>
    </w:p>
    <w:p w:rsidR="00A31137" w:rsidRPr="00A31137" w:rsidRDefault="00A31137" w:rsidP="00A31137">
      <w:r w:rsidRPr="00A31137">
        <w:t>1996 Republican Party Platform</w:t>
      </w:r>
    </w:p>
    <w:p w:rsidR="00A31137" w:rsidRPr="00A31137" w:rsidRDefault="00A31137" w:rsidP="00A31137">
      <w:r w:rsidRPr="00A31137">
        <w:t>refuse to allow special interest groups to block innovative solutions for the poor or to block workplace or legal reforms that would help all working Americans; and</w:t>
      </w:r>
    </w:p>
    <w:p w:rsidR="00A31137" w:rsidRPr="00A31137" w:rsidRDefault="00A31137" w:rsidP="00A31137">
      <w:r w:rsidRPr="00A31137">
        <w:t>1996 Republican Party Platform</w:t>
      </w:r>
    </w:p>
    <w:p w:rsidR="00A31137" w:rsidRPr="00A31137" w:rsidRDefault="00A31137" w:rsidP="00A31137">
      <w:r w:rsidRPr="00A31137">
        <w:t>recruit for public service, at all levels, men and women of integrity and high ethical standards.</w:t>
      </w:r>
    </w:p>
    <w:p w:rsidR="00A31137" w:rsidRPr="00A31137" w:rsidRDefault="00A31137" w:rsidP="00A31137">
      <w:r w:rsidRPr="00A31137">
        <w:t>1996 Republican Party Platform</w:t>
      </w:r>
    </w:p>
    <w:p w:rsidR="00A31137" w:rsidRPr="00A31137" w:rsidRDefault="00A31137" w:rsidP="00A31137">
      <w:r w:rsidRPr="00A31137">
        <w:t xml:space="preserve">We will end welfare for lobbyists. Every year, the federal government gives away billions of dollars in grants. Much of that money goes to interest groups which engage in political activity and issue advocacy at the taxpayers' expense. This is an intolerable abuse of the public's money. A Republican Congress will enact legislation, currently blocked by Bill Clinton's congressional allies, to make groups choose between grants and lobbying. </w:t>
      </w:r>
    </w:p>
    <w:p w:rsidR="00A31137" w:rsidRPr="00A31137" w:rsidRDefault="00A31137" w:rsidP="00A31137">
      <w:r w:rsidRPr="00A31137">
        <w:t>1996 Republican Party Platform</w:t>
      </w:r>
    </w:p>
    <w:p w:rsidR="00A31137" w:rsidRPr="00A31137" w:rsidRDefault="00A31137" w:rsidP="00A31137">
      <w:r w:rsidRPr="00A31137">
        <w:t>We will establish Truth in Testimony, requiring organizations which receive government funds and testify before Congress to disclose those funds. Our "Let America Know" legislation will force public disclosure of all taxpayer subsidies and lobbying by groups seeking grants. We will permit "private attorney general" lawsuits against federal grantees to ensure better enforcement of anti-lobbying restrictions. A Republican administration will impose accountability on grantees, to reveal what the public is getting for its money, and will end the process of automatic grant renewal. We will halt the funding of frivolous and politicized research grants.</w:t>
      </w:r>
    </w:p>
    <w:p w:rsidR="00A31137" w:rsidRPr="00A31137" w:rsidRDefault="00A31137" w:rsidP="00A31137">
      <w:r w:rsidRPr="00A31137">
        <w:t>Streamlining Government</w:t>
      </w:r>
    </w:p>
    <w:p w:rsidR="00A31137" w:rsidRPr="00A31137" w:rsidRDefault="00A31137" w:rsidP="00A31137">
      <w:r w:rsidRPr="00A31137">
        <w:t>1996 Republican Party Platform</w:t>
      </w:r>
    </w:p>
    <w:p w:rsidR="00A31137" w:rsidRPr="00A31137" w:rsidRDefault="00A31137" w:rsidP="00A31137">
      <w:r w:rsidRPr="00A31137">
        <w:t>Republicans believe we can streamline government and make it more effective through competition and privatization. We applaud the Republican Congress and Republican officials across the country for initiatives to expand the use of competition and privatization in government. It is greater competition—not unchallenged government bureaucracies—that will cut the cost of government, improve the delivery of services, and ensure wise investment in infrastructure. A Dole administration will make competition a centerpiece of government, eliminating duplication and increasing efficiency.</w:t>
      </w:r>
    </w:p>
    <w:p w:rsidR="00A31137" w:rsidRPr="00A31137" w:rsidRDefault="00A31137" w:rsidP="00A31137">
      <w:r w:rsidRPr="00A31137">
        <w:t>Honest Budgets and Real Numbers</w:t>
      </w:r>
    </w:p>
    <w:p w:rsidR="00A31137" w:rsidRPr="00A31137" w:rsidRDefault="00A31137" w:rsidP="00A31137">
      <w:r w:rsidRPr="00A31137">
        <w:t>1996 Republican Party Platform</w:t>
      </w:r>
    </w:p>
    <w:p w:rsidR="00A31137" w:rsidRPr="00A31137" w:rsidRDefault="00A31137" w:rsidP="00A31137">
      <w:r w:rsidRPr="00A31137">
        <w:t xml:space="preserve">We have a moral responsibility not to leave our children a legacy of monstrous debt. Spending $1.6 trillion a year should be more than an accounting exercise. Restraining government spending, discussed elsewhere in this platform, is part of the solution. Reforming the entire budget process is the rest of it. </w:t>
      </w:r>
    </w:p>
    <w:p w:rsidR="00A31137" w:rsidRPr="00A31137" w:rsidRDefault="00A31137" w:rsidP="00A31137">
      <w:r w:rsidRPr="00A31137">
        <w:t>1996 Republican Party Platform</w:t>
      </w:r>
    </w:p>
    <w:p w:rsidR="00A31137" w:rsidRPr="00A31137" w:rsidRDefault="00A31137" w:rsidP="00A31137">
      <w:r w:rsidRPr="00A31137">
        <w:t xml:space="preserve">Our goal is clarity, simplicity, and accountability in the nation's budget. The keystone of that agenda is the enactment of a constitutional amendment to require a balanced budget which a majority of congressional Democrats have vigorously opposed. We do not take that step lightly; but then, a $5 trillion debt is no laughing matter for tomorrow's taxpayers. We vow to offer that amendment again and again, until Congress sends it to the States for ratification. </w:t>
      </w:r>
    </w:p>
    <w:p w:rsidR="00A31137" w:rsidRPr="00A31137" w:rsidRDefault="00A31137" w:rsidP="00A31137">
      <w:r w:rsidRPr="00A31137">
        <w:t>1996 Republican Party Platform</w:t>
      </w:r>
    </w:p>
    <w:p w:rsidR="00A31137" w:rsidRPr="00A31137" w:rsidRDefault="00A31137" w:rsidP="00A31137">
      <w:r w:rsidRPr="00A31137">
        <w:t xml:space="preserve">In addition, we must eliminate all built-in biases toward spending. For example, the "current service baseline" builds in automatic budget increases for inflation and other factors and works like this: If the Democrats want a $1 billion program to grow to $2 billion, they then count an increase to $1.5 billion as a half-billion dollar cut—and the media dutifully reports it as such. This is a deceptive and reprehensible shell game that must be stopped. </w:t>
      </w:r>
    </w:p>
    <w:p w:rsidR="00A31137" w:rsidRPr="00A31137" w:rsidRDefault="00A31137" w:rsidP="00A31137">
      <w:r w:rsidRPr="00A31137">
        <w:t>1996 Republican Party Platform</w:t>
      </w:r>
    </w:p>
    <w:p w:rsidR="00A31137" w:rsidRPr="00A31137" w:rsidRDefault="00A31137" w:rsidP="00A31137">
      <w:r w:rsidRPr="00A31137">
        <w:t xml:space="preserve">A Republican president will fight wasteful spending with the line-item veto which was finally enacted by congressional Republicans this year over bitter Democrat opposition, 120 years after President Grant first proposed it. </w:t>
      </w:r>
    </w:p>
    <w:p w:rsidR="00A31137" w:rsidRPr="00A31137" w:rsidRDefault="00A31137" w:rsidP="00A31137">
      <w:r w:rsidRPr="00A31137">
        <w:t>1996 Republican Party Platform</w:t>
      </w:r>
    </w:p>
    <w:p w:rsidR="00A31137" w:rsidRPr="00A31137" w:rsidRDefault="00A31137" w:rsidP="00A31137">
      <w:r w:rsidRPr="00A31137">
        <w:t xml:space="preserve">Even more important, we will stop the runaway growth of entitlement spending—the programs which automatically grow without any action required by Congress or the President. This spending has jumped 11-fold since 1970 and consumes more than half the federal budget. We will take entitlements off automatic pilot and make Congress accountable for their funding. To end outdated and wasteful programs, we will make the Government Performance and Results Act an integral part of our budget process. </w:t>
      </w:r>
    </w:p>
    <w:p w:rsidR="00A31137" w:rsidRPr="00A31137" w:rsidRDefault="00A31137" w:rsidP="00A31137">
      <w:r w:rsidRPr="00A31137">
        <w:t>Regulatory Reform</w:t>
      </w:r>
    </w:p>
    <w:p w:rsidR="00A31137" w:rsidRPr="00A31137" w:rsidRDefault="00A31137" w:rsidP="00A31137">
      <w:r w:rsidRPr="00A31137">
        <w:t>1996 Republican Party Platform</w:t>
      </w:r>
    </w:p>
    <w:p w:rsidR="00A31137" w:rsidRPr="00A31137" w:rsidRDefault="00A31137" w:rsidP="00A31137">
      <w:r w:rsidRPr="00A31137">
        <w:t xml:space="preserve">Regulatory reform is needed more than ever. Bill Clinton promised to "reinvent government," but he returned to the old mindset of controls and red tape. To make matters worse, he vetoed a comprehensive regulatory reform bill crafted by Republicans in the House and Senate. That measure will become law when Bob Dole is President. </w:t>
      </w:r>
    </w:p>
    <w:p w:rsidR="00A31137" w:rsidRPr="00A31137" w:rsidRDefault="00A31137" w:rsidP="00A31137">
      <w:r w:rsidRPr="00A31137">
        <w:t>1996 Republican Party Platform</w:t>
      </w:r>
    </w:p>
    <w:p w:rsidR="00A31137" w:rsidRPr="00A31137" w:rsidRDefault="00A31137" w:rsidP="00A31137">
      <w:r w:rsidRPr="00A31137">
        <w:t>We commend House Speaker Newt Gingrich and congressional Republicans in their innovative efforts to rescind, overturn and zero-out absurd bureaucratic red tape and rules through the process known as "Corrections Day."</w:t>
      </w:r>
    </w:p>
    <w:p w:rsidR="00A31137" w:rsidRPr="00A31137" w:rsidRDefault="00A31137" w:rsidP="00A31137">
      <w:r w:rsidRPr="00A31137">
        <w:t>1996 Republican Party Platform</w:t>
      </w:r>
    </w:p>
    <w:p w:rsidR="00A31137" w:rsidRPr="00A31137" w:rsidRDefault="00A31137" w:rsidP="00A31137">
      <w:r w:rsidRPr="00A31137">
        <w:t xml:space="preserve">A Republican administration will require periodic review of existing regulations to ensure they are effective and do away with obsolete and conflicting rules. We will encourage civil servants to find ways to reduce regulatory burdens on the public and will require federal agencies to disclose the costs of new regulations on individuals and small businesses. A new regulatory budget will reveal the total cost of regulations on the American people. </w:t>
      </w:r>
    </w:p>
    <w:p w:rsidR="00A31137" w:rsidRPr="00A31137" w:rsidRDefault="00A31137" w:rsidP="00A31137">
      <w:r w:rsidRPr="00A31137">
        <w:t>1996 Republican Party Platform</w:t>
      </w:r>
    </w:p>
    <w:p w:rsidR="00A31137" w:rsidRPr="00A31137" w:rsidRDefault="00A31137" w:rsidP="00A31137">
      <w:r w:rsidRPr="00A31137">
        <w:t xml:space="preserve">We will target resources on the most serious risks to health, safety, and the environment, rather than on politically inspired causes, and will require peer-reviewed risk assessments based on sound science. We will require agencies to conduct cost-benefit analyses of their regulations and pursue alternatives to the outdated Clinton command-and-control approach. These common-sense reforms will restore fairness and predictability to government rules and, even more important, will enable us to achieve equal or superior levels of protection for the public at lower cost. </w:t>
      </w:r>
    </w:p>
    <w:p w:rsidR="00A31137" w:rsidRPr="00A31137" w:rsidRDefault="00A31137" w:rsidP="00A31137">
      <w:r w:rsidRPr="00A31137">
        <w:t>1996 Republican Party Platform</w:t>
      </w:r>
    </w:p>
    <w:p w:rsidR="00A31137" w:rsidRPr="00A31137" w:rsidRDefault="00A31137" w:rsidP="00A31137">
      <w:r w:rsidRPr="00A31137">
        <w:t>Just as important, we recognize that all too often, in its ever-present zeal to expand into every aspect of our daily lives, the federal government intrudes into the private economy by establishing new services in direct competition with already existing private firms. We oppose the use of taxpayer funds to provide a competitive advantage for government agencies seeking to compete with private firms in the free market.</w:t>
      </w:r>
    </w:p>
    <w:p w:rsidR="00A31137" w:rsidRPr="00A31137" w:rsidRDefault="00A31137" w:rsidP="00A31137">
      <w:r w:rsidRPr="00A31137">
        <w:t>Restoring Justice to the Courts</w:t>
      </w:r>
    </w:p>
    <w:p w:rsidR="00A31137" w:rsidRPr="00A31137" w:rsidRDefault="00A31137" w:rsidP="00A31137">
      <w:r w:rsidRPr="00A31137">
        <w:t>1996 Republican Party Platform</w:t>
      </w:r>
    </w:p>
    <w:p w:rsidR="00A31137" w:rsidRPr="00A31137" w:rsidRDefault="00A31137" w:rsidP="00A31137">
      <w:r w:rsidRPr="00A31137">
        <w:t xml:space="preserve">"When I am president, only conservative judges need apply." Bob Dole, May 28, 1996, in Aurora, Colorado </w:t>
      </w:r>
    </w:p>
    <w:p w:rsidR="00A31137" w:rsidRPr="00A31137" w:rsidRDefault="00A31137" w:rsidP="00A31137">
      <w:r w:rsidRPr="00A31137">
        <w:t>1996 Republican Party Platform</w:t>
      </w:r>
    </w:p>
    <w:p w:rsidR="00A31137" w:rsidRPr="00A31137" w:rsidRDefault="00A31137" w:rsidP="00A31137">
      <w:r w:rsidRPr="00A31137">
        <w:t>The American people have lost faith in their courts, and for good reason. Some members of the federal judiciary threaten the safety, the values, and the freedom of law-abiding citizens. They make up laws and invent new rights as they go along, arrogating to themselves powers King George III never dared to exercise. They free vicious criminals, pamper felons in prison, frivolously overturn State laws enacted by citizen referenda, and abdicate the responsibility of providing meaningful review of administrative decisions.</w:t>
      </w:r>
    </w:p>
    <w:p w:rsidR="00A31137" w:rsidRPr="00A31137" w:rsidRDefault="00A31137" w:rsidP="00A31137">
      <w:r w:rsidRPr="00A31137">
        <w:t>1996 Republican Party Platform</w:t>
      </w:r>
    </w:p>
    <w:p w:rsidR="00A31137" w:rsidRPr="00A31137" w:rsidRDefault="00A31137" w:rsidP="00A31137">
      <w:r w:rsidRPr="00A31137">
        <w:t>The delicate balance of power between the respective branches of our national government and the governments of the 50 states has been eroded. The notion of judicial review has in some cases come to resemble judicial supremacy, affecting all segments of public and private endeavor. Make no mistake, the separation of powers doctrine, complete and unabridged, is the linchpin of a government of laws. A Republican Congress and president will restore true separation of powers and guarantee the American people a government of law.</w:t>
      </w:r>
    </w:p>
    <w:p w:rsidR="00A31137" w:rsidRPr="00A31137" w:rsidRDefault="00A31137" w:rsidP="00A31137">
      <w:r w:rsidRPr="00A31137">
        <w:t>1996 Republican Party Platform</w:t>
      </w:r>
    </w:p>
    <w:p w:rsidR="00A31137" w:rsidRPr="00A31137" w:rsidRDefault="00A31137" w:rsidP="00A31137">
      <w:r w:rsidRPr="00A31137">
        <w:t xml:space="preserve">The federal judiciary, including the U.S. Supreme Court, has overstepped its authority under the Constitution. It has usurped the right of citizen legislators and popularly elected executives to make law by declaring duly enacted laws to be "unconstitutional" through the misapplication of the principle of judicial review. Any other role for the judiciary, especially when personal preferences masquerade as interpreting the law, is fundamentally at odds with our system of government in which the people and their representatives decide issues great and small. </w:t>
      </w:r>
    </w:p>
    <w:p w:rsidR="00A31137" w:rsidRPr="00A31137" w:rsidRDefault="00A31137" w:rsidP="00A31137">
      <w:r w:rsidRPr="00A31137">
        <w:t>1996 Republican Party Platform</w:t>
      </w:r>
    </w:p>
    <w:p w:rsidR="00A31137" w:rsidRPr="00A31137" w:rsidRDefault="00A31137" w:rsidP="00A31137">
      <w:r w:rsidRPr="00A31137">
        <w:t>No systemic reform of the judiciary can substitute for the wise exercise of power of appointment vested in the president of the United States. A Republican president will ensure that a process is established to select for the federal judiciary nominees who understand that their task is first and foremost to be faithful to the Constitution and to the intent of those who framed it. In that process, the American Bar Association will no longer have the right to meddle in a way that distorts a nominee's credentials and advances the liberal agenda of litigious lawyers and their allies.</w:t>
      </w:r>
    </w:p>
    <w:p w:rsidR="00A31137" w:rsidRPr="00A31137" w:rsidRDefault="00A31137" w:rsidP="00A31137">
      <w:r w:rsidRPr="00A31137">
        <w:t>1996 Republican Party Platform</w:t>
      </w:r>
    </w:p>
    <w:p w:rsidR="00A31137" w:rsidRPr="00A31137" w:rsidRDefault="00A31137" w:rsidP="00A31137">
      <w:r w:rsidRPr="00A31137">
        <w:t>Justice is mocked by some of today's litigation practices, which hinder our country's competitiveness, and drain billions of dollars away from productive Americans. While we fully support the role of the judiciary in vindicating the constitutional and statutory rights of individuals and organizations, we believe the proliferation of litigation hits the consumer with higher prices and cripples the practice of medicine. Despite bipartisan congressional efforts to enact legal reforms, Bill Clinton vetoed such legislation at the behest of his financial friends: the trial lawyers. A Republican president will sign that bill, and more. We encourage State governments to adopt reforms similar to those we propose to restore fairness to the federal system:</w:t>
      </w:r>
    </w:p>
    <w:p w:rsidR="00A31137" w:rsidRPr="00A31137" w:rsidRDefault="00A31137" w:rsidP="00A31137">
      <w:r w:rsidRPr="00A31137">
        <w:t>1996 Republican Party Platform</w:t>
      </w:r>
    </w:p>
    <w:p w:rsidR="00A31137" w:rsidRPr="00A31137" w:rsidRDefault="00A31137" w:rsidP="00A31137">
      <w:r w:rsidRPr="00A31137">
        <w:t>strengthen judicial sanctions for lawsuits that are substantially without merit, thereby hitting unethical lawyers in their pocketbooks;</w:t>
      </w:r>
    </w:p>
    <w:p w:rsidR="00A31137" w:rsidRPr="00A31137" w:rsidRDefault="00A31137" w:rsidP="00A31137">
      <w:r w:rsidRPr="00A31137">
        <w:t>1996 Republican Party Platform</w:t>
      </w:r>
    </w:p>
    <w:p w:rsidR="00A31137" w:rsidRPr="00A31137" w:rsidRDefault="00A31137" w:rsidP="00A31137">
      <w:r w:rsidRPr="00A31137">
        <w:t>apply the Racketeer Influenced and Corrupt Organizations law (RICO) as originally intended, to criminal proceedings, not civil litigation;</w:t>
      </w:r>
    </w:p>
    <w:p w:rsidR="00A31137" w:rsidRPr="00A31137" w:rsidRDefault="00A31137" w:rsidP="00A31137">
      <w:r w:rsidRPr="00A31137">
        <w:t>1996 Republican Party Platform</w:t>
      </w:r>
    </w:p>
    <w:p w:rsidR="00A31137" w:rsidRPr="00A31137" w:rsidRDefault="00A31137" w:rsidP="00A31137">
      <w:r w:rsidRPr="00A31137">
        <w:t>award punitive damages on a fair and reasonable basis after clear proof of wrongdoing, with limits that discourage opportunistic litigation. Since punitive damages are intended to punish egregious wrongdoing, a substantial portion of the amount awarded should go to a crime-victim compensation fund or similar program;</w:t>
      </w:r>
    </w:p>
    <w:p w:rsidR="00A31137" w:rsidRPr="00A31137" w:rsidRDefault="00A31137" w:rsidP="00A31137">
      <w:r w:rsidRPr="00A31137">
        <w:t>1996 Republican Party Platform</w:t>
      </w:r>
    </w:p>
    <w:p w:rsidR="00A31137" w:rsidRPr="00A31137" w:rsidRDefault="00A31137" w:rsidP="00A31137">
      <w:r w:rsidRPr="00A31137">
        <w:t>restore limited liability to non-profit organizations—churches, civic and community groups, and the volunteers who sustain them—to provide protection against profit-seeking lawsuits and to encourage volunteerism;</w:t>
      </w:r>
    </w:p>
    <w:p w:rsidR="00A31137" w:rsidRPr="00A31137" w:rsidRDefault="00A31137" w:rsidP="00A31137">
      <w:r w:rsidRPr="00A31137">
        <w:t>1996 Republican Party Platform</w:t>
      </w:r>
    </w:p>
    <w:p w:rsidR="00A31137" w:rsidRPr="00A31137" w:rsidRDefault="00A31137" w:rsidP="00A31137">
      <w:r w:rsidRPr="00A31137">
        <w:t>increase sanctions for abuses of the discovery process used to intimidate opponents and drive up the costs of litigation;</w:t>
      </w:r>
    </w:p>
    <w:p w:rsidR="00A31137" w:rsidRPr="00A31137" w:rsidRDefault="00A31137" w:rsidP="00A31137">
      <w:r w:rsidRPr="00A31137">
        <w:t>1996 Republican Party Platform</w:t>
      </w:r>
    </w:p>
    <w:p w:rsidR="00A31137" w:rsidRPr="00A31137" w:rsidRDefault="00A31137" w:rsidP="00A31137">
      <w:r w:rsidRPr="00A31137">
        <w:t>reform medical malpractice to reduce health care costs and keep doctors practicing in critical areas like obstetrics;</w:t>
      </w:r>
    </w:p>
    <w:p w:rsidR="00A31137" w:rsidRPr="00A31137" w:rsidRDefault="00A31137" w:rsidP="00A31137">
      <w:r w:rsidRPr="00A31137">
        <w:t>1996 Republican Party Platform</w:t>
      </w:r>
    </w:p>
    <w:p w:rsidR="00A31137" w:rsidRPr="00A31137" w:rsidRDefault="00A31137" w:rsidP="00A31137">
      <w:r w:rsidRPr="00A31137">
        <w:t>eliminate the use of "junk science" by opportunistic attorneys by requiring courts to verify that the science of those called as expert witnesses is reasonably acceptable within the scientific community, and forbid the practice of making their fees conditional upon a favorable verdict. This action will reduce the practice of so-called hired-gun "experts" who make up theories to fit the facts of the case in which they are testifying;</w:t>
      </w:r>
    </w:p>
    <w:p w:rsidR="00A31137" w:rsidRPr="00A31137" w:rsidRDefault="00A31137" w:rsidP="00A31137">
      <w:r w:rsidRPr="00A31137">
        <w:t>1996 Republican Party Platform</w:t>
      </w:r>
    </w:p>
    <w:p w:rsidR="00A31137" w:rsidRPr="00A31137" w:rsidRDefault="00A31137" w:rsidP="00A31137">
      <w:r w:rsidRPr="00A31137">
        <w:t>eliminate joint and several liability in order to ensure that responsible parties pay their "fair share" in proportion to their degree of fault; and</w:t>
      </w:r>
    </w:p>
    <w:p w:rsidR="00A31137" w:rsidRPr="00A31137" w:rsidRDefault="00A31137" w:rsidP="00A31137">
      <w:r w:rsidRPr="00A31137">
        <w:t>1996 Republican Party Platform</w:t>
      </w:r>
    </w:p>
    <w:p w:rsidR="00A31137" w:rsidRPr="00A31137" w:rsidRDefault="00A31137" w:rsidP="00A31137">
      <w:r w:rsidRPr="00A31137">
        <w:t xml:space="preserve">guard against non-meritorious lawsuits that are designed to have a chilling effect on First Amendment rights. </w:t>
      </w:r>
    </w:p>
    <w:p w:rsidR="00A31137" w:rsidRPr="00A31137" w:rsidRDefault="00A31137" w:rsidP="00A31137">
      <w:r w:rsidRPr="00A31137">
        <w:t>1996 Republican Party Platform</w:t>
      </w:r>
    </w:p>
    <w:p w:rsidR="00A31137" w:rsidRPr="00A31137" w:rsidRDefault="00A31137" w:rsidP="00A31137">
      <w:r w:rsidRPr="00A31137">
        <w:t xml:space="preserve">A federal products liability law goes hand in hand with legal reform. Its absence not only penalizes consumers with higher costs and keeps needed products off the market, but also gives foreign nations a competitive edge over American workers. Bill Clinton doesn't mind that. He vetoed Republican reforms that would have saved the public tens of billions of dollars. </w:t>
      </w:r>
    </w:p>
    <w:p w:rsidR="00A31137" w:rsidRPr="00A31137" w:rsidRDefault="00A31137" w:rsidP="00A31137">
      <w:r w:rsidRPr="00A31137">
        <w:t>1996 Republican Party Platform</w:t>
      </w:r>
    </w:p>
    <w:p w:rsidR="00A31137" w:rsidRPr="00A31137" w:rsidRDefault="00A31137" w:rsidP="00A31137">
      <w:r w:rsidRPr="00A31137">
        <w:t xml:space="preserve">Bill Clinton even vetoed the Securities Litigation Reform Act, a Republican initiative to protect shareholders against avaricious litigation. That obstructionism was too much for even the Democrats in Congress, many of whom joined in overriding his veto. A Republican president will work with Congress to restore justice to the nation's courts and fair play to the practice of law. </w:t>
      </w:r>
    </w:p>
    <w:p w:rsidR="00A31137" w:rsidRPr="00A31137" w:rsidRDefault="00A31137" w:rsidP="00A31137">
      <w:r w:rsidRPr="00A31137">
        <w:t>The Nation's Capital</w:t>
      </w:r>
    </w:p>
    <w:p w:rsidR="00A31137" w:rsidRPr="00A31137" w:rsidRDefault="00A31137" w:rsidP="00A31137">
      <w:r w:rsidRPr="00A31137">
        <w:t>1996 Republican Party Platform</w:t>
      </w:r>
    </w:p>
    <w:p w:rsidR="00A31137" w:rsidRPr="00A31137" w:rsidRDefault="00A31137" w:rsidP="00A31137">
      <w:r w:rsidRPr="00A31137">
        <w:t xml:space="preserve">The District of Columbia should be an example for the rest of the country. Instead, decades of domination by the Democrat party has left the city bankrupt and dangerous. Its residents—and all Americans—deserve better than that. </w:t>
      </w:r>
    </w:p>
    <w:p w:rsidR="00A31137" w:rsidRPr="00A31137" w:rsidRDefault="00A31137" w:rsidP="00A31137">
      <w:r w:rsidRPr="00A31137">
        <w:t>1996 Republican Party Platform</w:t>
      </w:r>
    </w:p>
    <w:p w:rsidR="00A31137" w:rsidRPr="00A31137" w:rsidRDefault="00A31137" w:rsidP="00A31137">
      <w:r w:rsidRPr="00A31137">
        <w:t xml:space="preserve">We reaffirm the constitutional status of the District of Columbia as the seat of government of the United States and reject calls for statehood for the District. </w:t>
      </w:r>
    </w:p>
    <w:p w:rsidR="00A31137" w:rsidRPr="00A31137" w:rsidRDefault="00A31137" w:rsidP="00A31137">
      <w:r w:rsidRPr="00A31137">
        <w:t>1996 Republican Party Platform</w:t>
      </w:r>
    </w:p>
    <w:p w:rsidR="00A31137" w:rsidRPr="00A31137" w:rsidRDefault="00A31137" w:rsidP="00A31137">
      <w:r w:rsidRPr="00A31137">
        <w:t xml:space="preserve">We call for structural reform of the city's government and its education system. For both efficiency and public safety, we will transfer water and sewer management in the District to the Army Corps of Engineers or to a regional entity. </w:t>
      </w:r>
    </w:p>
    <w:p w:rsidR="00A31137" w:rsidRPr="00A31137" w:rsidRDefault="00A31137" w:rsidP="00A31137">
      <w:r w:rsidRPr="00A31137">
        <w:t>1996 Republican Party Platform</w:t>
      </w:r>
    </w:p>
    <w:p w:rsidR="00A31137" w:rsidRPr="00A31137" w:rsidRDefault="00A31137" w:rsidP="00A31137">
      <w:r w:rsidRPr="00A31137">
        <w:t>We endorse proposals by the congressional Republican Leadership for dramatic reductions in federal taxes—and the city's own outrageous marginal tax rate—within the District. Bill Clinton opposes that idea. A Republican president will make it part of a comprehensive agenda to transform the nation's capital into a renewal community, an enterprise zone leading the way for the rest of urban America to follow.</w:t>
      </w:r>
    </w:p>
    <w:p w:rsidR="00A31137" w:rsidRPr="00A31137" w:rsidRDefault="00A31137" w:rsidP="00A31137">
      <w:r w:rsidRPr="00A31137">
        <w:t>Americans in the Territories</w:t>
      </w:r>
    </w:p>
    <w:p w:rsidR="00A31137" w:rsidRPr="00A31137" w:rsidRDefault="00A31137" w:rsidP="00A31137">
      <w:r w:rsidRPr="00A31137">
        <w:t>1996 Republican Party Platform</w:t>
      </w:r>
    </w:p>
    <w:p w:rsidR="00A31137" w:rsidRPr="00A31137" w:rsidRDefault="00A31137" w:rsidP="00A31137">
      <w:r w:rsidRPr="00A31137">
        <w:t>We welcome greater participation in all aspects of the political process by Americans residing in Guam, the Virgin Islands, American Samoa, the Northern Marianas, and Puerto Rico. No single approach can meet the needs of those diverse communities. We therefore emphasize respect for their wishes regarding their relationship to the rest of the Union. We affirm their right to seek the full extension of the Constitution, with all the rights and responsibilities it entails.</w:t>
      </w:r>
    </w:p>
    <w:p w:rsidR="00A31137" w:rsidRPr="00A31137" w:rsidRDefault="00A31137" w:rsidP="00A31137">
      <w:r w:rsidRPr="00A31137">
        <w:t>1996 Republican Party Platform</w:t>
      </w:r>
    </w:p>
    <w:p w:rsidR="00A31137" w:rsidRPr="00A31137" w:rsidRDefault="00A31137" w:rsidP="00A31137">
      <w:r w:rsidRPr="00A31137">
        <w:t>We support the Native American Samoans' efforts to preserve their culture and land-tenure system, which fosters self-reliance and strong extended family values.</w:t>
      </w:r>
    </w:p>
    <w:p w:rsidR="00A31137" w:rsidRPr="00A31137" w:rsidRDefault="00A31137" w:rsidP="00A31137">
      <w:r w:rsidRPr="00A31137">
        <w:t>1996 Republican Party Platform</w:t>
      </w:r>
    </w:p>
    <w:p w:rsidR="00A31137" w:rsidRPr="00A31137" w:rsidRDefault="00A31137" w:rsidP="00A31137">
      <w:r w:rsidRPr="00A31137">
        <w:t>We recognize that the people of Guam have voted for a closer relationship with the United States of America, and we affirm our support of their right to mutually improve their political relationship through commonwealth.</w:t>
      </w:r>
    </w:p>
    <w:p w:rsidR="00A31137" w:rsidRPr="00A31137" w:rsidRDefault="00A31137" w:rsidP="00A31137">
      <w:r w:rsidRPr="00A31137">
        <w:t>1996 Republican Party Platform</w:t>
      </w:r>
    </w:p>
    <w:p w:rsidR="00A31137" w:rsidRPr="00A31137" w:rsidRDefault="00A31137" w:rsidP="00A31137">
      <w:r w:rsidRPr="00A31137">
        <w:t xml:space="preserve">We support the right of the United States citizens of Puerto Rico to be admitted to the Union as a fully sovereign state after they freely so determine. </w:t>
      </w:r>
    </w:p>
    <w:p w:rsidR="00A31137" w:rsidRPr="00A31137" w:rsidRDefault="00A31137" w:rsidP="00A31137">
      <w:r w:rsidRPr="00A31137">
        <w:t>1996 Republican Party Platform</w:t>
      </w:r>
    </w:p>
    <w:p w:rsidR="00A31137" w:rsidRPr="00A31137" w:rsidRDefault="00A31137" w:rsidP="00A31137">
      <w:r w:rsidRPr="00A31137">
        <w:t>We endorse initiatives of the congressional Republican leadership to provide for Puerto Rico's smooth transition to statehood if its citizens choose to alter their current status, or to set them on their own path to become an independent nation.</w:t>
      </w:r>
    </w:p>
    <w:p w:rsidR="00A31137" w:rsidRPr="00A31137" w:rsidRDefault="00A31137" w:rsidP="00A31137">
      <w:r w:rsidRPr="00A31137">
        <w:t>Individual Rights and Personal Safety</w:t>
      </w:r>
    </w:p>
    <w:p w:rsidR="00A31137" w:rsidRPr="00A31137" w:rsidRDefault="00A31137" w:rsidP="00A31137">
      <w:r w:rsidRPr="00A31137">
        <w:t>1996 Republican Party Platform</w:t>
      </w:r>
    </w:p>
    <w:p w:rsidR="00A31137" w:rsidRPr="00A31137" w:rsidRDefault="00A31137" w:rsidP="00A31137">
      <w:r w:rsidRPr="00A31137">
        <w:t>"We are discovering as a nation that many of our deepest social problems are problems of character and belief. We will never solve those problems until the hearts of parents are turned toward their children; until respect is restored for life and property; until a commitment is renewed to love and serve our neighbor. The common good requires that goodness be common." Bob Dole, May 23, 1996 in Philadelphia</w:t>
      </w:r>
    </w:p>
    <w:p w:rsidR="00A31137" w:rsidRPr="00A31137" w:rsidRDefault="00A31137" w:rsidP="00A31137">
      <w:r w:rsidRPr="00A31137">
        <w:t>Upholding the Rights of All</w:t>
      </w:r>
    </w:p>
    <w:p w:rsidR="00A31137" w:rsidRPr="00A31137" w:rsidRDefault="00A31137" w:rsidP="00A31137">
      <w:r w:rsidRPr="00A31137">
        <w:t>1996 Republican Party Platform</w:t>
      </w:r>
    </w:p>
    <w:p w:rsidR="00A31137" w:rsidRPr="00A31137" w:rsidRDefault="00A31137" w:rsidP="00A31137">
      <w:r w:rsidRPr="00A31137">
        <w:t xml:space="preserve">This section of our platform deals with rights and responsibilities. But it deals also with something larger: the common good, our shared sense of what makes a society decent and noble. That takes us beyond government policies and programs to what we are as a people, and what we want to be. </w:t>
      </w:r>
    </w:p>
    <w:p w:rsidR="00A31137" w:rsidRPr="00A31137" w:rsidRDefault="00A31137" w:rsidP="00A31137">
      <w:r w:rsidRPr="00A31137">
        <w:t>1996 Republican Party Platform</w:t>
      </w:r>
    </w:p>
    <w:p w:rsidR="00A31137" w:rsidRPr="00A31137" w:rsidRDefault="00A31137" w:rsidP="00A31137">
      <w:r w:rsidRPr="00A31137">
        <w:t xml:space="preserve">We are the party of the open door. As we approach the start of a new century, the Republican Party is more dedicated than ever to strengthening the social, cultural, and political ties that bind us together as a free people, the greatest force for good the world has ever seen. While our party remains steadfast in its commitment to advancing its historic principles and ideals, we also recognize that members of our party have deeply held and sometimes differing views. We view this diversity of views as a source of strength, not as a sign of weakness, and we welcome into our ranks all Americans who may hold differing positions. We are committed to resolving our differences in a spirit of civility, hope, and mutual respect. </w:t>
      </w:r>
    </w:p>
    <w:p w:rsidR="00A31137" w:rsidRPr="00A31137" w:rsidRDefault="00A31137" w:rsidP="00A31137">
      <w:r w:rsidRPr="00A31137">
        <w:t>1996 Republican Party Platform</w:t>
      </w:r>
    </w:p>
    <w:p w:rsidR="00A31137" w:rsidRPr="00A31137" w:rsidRDefault="00A31137" w:rsidP="00A31137">
      <w:r w:rsidRPr="00A31137">
        <w:t xml:space="preserve">Americans do not want to be afraid of those they pass on the street, suspicious of strangers, fearful for their children. They do not want to have to fight a constant battle against brutality and degradation in what passes for entertainment. We oppose sexual harassment in the workplace, and must ensure that no one in America is forced to choose between a job and submitting to unwelcome advances. We also oppose indoctrination in the classroom. Americans should not have to tolerate the decline of ethical standards and the collapse of behavioral norms. Most important, they should not have to doubt the truthfulness of their elected leaders. </w:t>
      </w:r>
    </w:p>
    <w:p w:rsidR="00A31137" w:rsidRPr="00A31137" w:rsidRDefault="00A31137" w:rsidP="00A31137">
      <w:r w:rsidRPr="00A31137">
        <w:t>1996 Republican Party Platform</w:t>
      </w:r>
    </w:p>
    <w:p w:rsidR="00A31137" w:rsidRPr="00A31137" w:rsidRDefault="00A31137" w:rsidP="00A31137">
      <w:r w:rsidRPr="00A31137">
        <w:t>Reversing those trends won't be easy, but our homes and our children are worth the effort. Government has a small, but vital, role. But most of the burden must be ours: as parents, as consumers, as citizens whose right of free speech empowers us to stand up for the weak and vulnerable—and speak out against the profiteers of violence and moral decay.</w:t>
      </w:r>
    </w:p>
    <w:p w:rsidR="00A31137" w:rsidRPr="00A31137" w:rsidRDefault="00A31137" w:rsidP="00A31137">
      <w:r w:rsidRPr="00A31137">
        <w:t>1996 Republican Party Platform</w:t>
      </w:r>
    </w:p>
    <w:p w:rsidR="00A31137" w:rsidRPr="00A31137" w:rsidRDefault="00A31137" w:rsidP="00A31137">
      <w:r w:rsidRPr="00A31137">
        <w:t>That needs to be done, both in our house and in the White House. Bill Clinton can't—or won't—do it. So we will do it without him, and with new national leadership of character and conscience.</w:t>
      </w:r>
    </w:p>
    <w:p w:rsidR="00A31137" w:rsidRPr="00A31137" w:rsidRDefault="00A31137" w:rsidP="00A31137">
      <w:r w:rsidRPr="00A31137">
        <w:t>1996 Republican Party Platform</w:t>
      </w:r>
    </w:p>
    <w:p w:rsidR="00A31137" w:rsidRPr="00A31137" w:rsidRDefault="00A31137" w:rsidP="00A31137">
      <w:r w:rsidRPr="00A31137">
        <w:t>We are the party of individual Americans, whose rights we protect and defend as the foundation for opportunity and security for all. Today, as at our founding in the day of Lincoln, we insist no one's rights are negotiable.</w:t>
      </w:r>
    </w:p>
    <w:p w:rsidR="00A31137" w:rsidRPr="00A31137" w:rsidRDefault="00A31137" w:rsidP="00A31137">
      <w:r w:rsidRPr="00A31137">
        <w:t>1996 Republican Party Platform</w:t>
      </w:r>
    </w:p>
    <w:p w:rsidR="00A31137" w:rsidRPr="00A31137" w:rsidRDefault="00A31137" w:rsidP="00A31137">
      <w:r w:rsidRPr="00A31137">
        <w:t xml:space="preserve">As we strive to forge a national consensus on the divisive issues of our time, we call on all Republicans and all Americans to reject the forces of hatred and bigotry. Accordingly, we denounce all who practice or promote racism, anti-Semitism, ethnic prejudice, and religious intolerance. We condemn attempts by the EEOC or any other arm of government to regulate or ban religious symbols from the work place, and we assert the right of religious leaders to speak out on public issues. We condemn the desecration of places of worship and are proud that congressional Republicans led the fight against church arsons. We believe religious institutions and schools should not be taxed. When government funds privately operated social, welfare, or educational programs, it must not discriminate against religious institutions, whose record in providing services to those in need far exceeds that of the public sector. </w:t>
      </w:r>
    </w:p>
    <w:p w:rsidR="00A31137" w:rsidRPr="00A31137" w:rsidRDefault="00A31137" w:rsidP="00A31137">
      <w:r w:rsidRPr="00A31137">
        <w:t>1996 Republican Party Platform</w:t>
      </w:r>
    </w:p>
    <w:p w:rsidR="00A31137" w:rsidRPr="00A31137" w:rsidRDefault="00A31137" w:rsidP="00A31137">
      <w:r w:rsidRPr="00A31137">
        <w:t>The sole source of equal opportunity for all is equality before the law. Therefore, we oppose discrimination based on sex, race, age, creed, or national origin and will vigorously enforce anti-discrimination statutes. We reject the distortion of those laws to cover sexual preference, and we endorse the Defense of Marriage Act to prevent states from being forced to recognize same-sex unions. Because we believe rights inhere in individuals, not in groups, we will attain our nation's goal of equal rights without quotas or other forms of preferential treatment. We scorn Bill Clinton's notion that any person should be denied a job, promotion, contract or a chance at higher education because of their race or gender. Instead, we endorse the Dole-Canady Equal Opportunity Act to end discrimination by the federal government. We likewise endorse this year's Proposition 209, the California Civil Rights Initiative, to restore to law the original meaning of civil rights.</w:t>
      </w:r>
    </w:p>
    <w:p w:rsidR="00A31137" w:rsidRPr="00A31137" w:rsidRDefault="00A31137" w:rsidP="00A31137">
      <w:r w:rsidRPr="00A31137">
        <w:t>1996 Republican Party Platform</w:t>
      </w:r>
    </w:p>
    <w:p w:rsidR="00A31137" w:rsidRPr="00A31137" w:rsidRDefault="00A31137" w:rsidP="00A31137">
      <w:r w:rsidRPr="00A31137">
        <w:t xml:space="preserve">We renew our historic Republican commitment to equal opportunity for women. In the early days of the suffragist movement, we pioneered the women's right to vote. We take pride in this year's remarkable array of Republican women serving in and running for office and their role in leadership positions in our party, in Congress, and in the states. Two women serve in our House Leadership—a record untouched by the Democrats during their 40 years in power. The full exercise of legal rights depends upon opportunity, and economic growth is the key to continuing progress for women in all fields of endeavor. Public policy must respect and accommodate women whether they are full-time homemakers or pursue a career. </w:t>
      </w:r>
    </w:p>
    <w:p w:rsidR="00A31137" w:rsidRPr="00A31137" w:rsidRDefault="00A31137" w:rsidP="00A31137">
      <w:r w:rsidRPr="00A31137">
        <w:t>1996 Republican Party Platform</w:t>
      </w:r>
    </w:p>
    <w:p w:rsidR="00A31137" w:rsidRPr="00A31137" w:rsidRDefault="00A31137" w:rsidP="00A31137">
      <w:r w:rsidRPr="00A31137">
        <w:t>Under Senator Dole's sponsorship, the Americans with Disabilities Act was enacted to ensure full participation by disabled citizens in our country's life. Republicans emphasize community integration and inclusion of persons with disabilities, both by personal example and by practical enforcement of the Individuals with Disabilities Education Act, the Air Carriers Access Act, and other laws. We will safeguard the interests of disabled persons in Medicare and Medicaid, as well as in federal work force programs. Under a Republican renewal, the abilities of all will be needed in an expanding economy, which alone can carry forward the assistive technology that offers personal progress for everyone. We support full access to the polls, and the entire political process, by disabled citizens. We oppose the non-consensual withholding of health care or treatment because of handicap, age, or infirmity, just as we oppose euthanasia and assisted suicide, which, especially for the poor and those on the margins of society, threaten the sanctity of human life.</w:t>
      </w:r>
    </w:p>
    <w:p w:rsidR="00A31137" w:rsidRPr="00A31137" w:rsidRDefault="00A31137" w:rsidP="00A31137">
      <w:r w:rsidRPr="00A31137">
        <w:t>1996 Republican Party Platform</w:t>
      </w:r>
    </w:p>
    <w:p w:rsidR="00A31137" w:rsidRPr="00A31137" w:rsidRDefault="00A31137" w:rsidP="00A31137">
      <w:r w:rsidRPr="00A31137">
        <w:t xml:space="preserve">The unborn child has a fundamental individual right to life which cannot be infringed. We support a human life amendment to the Constitution and we endorse legislation to make clear that the Fourteenth Amendment's protections apply to unborn children. Our purpose is to have legislative and judicial protection of that right against those who perform abortions. We oppose using public revenues for abortion and will not fund organizations which advocate it. We support the appointment of judges who respect traditional family values and the sanctity of innocent human life. </w:t>
      </w:r>
    </w:p>
    <w:p w:rsidR="00A31137" w:rsidRPr="00A31137" w:rsidRDefault="00A31137" w:rsidP="00A31137">
      <w:r w:rsidRPr="00A31137">
        <w:t>1996 Republican Party Platform</w:t>
      </w:r>
    </w:p>
    <w:p w:rsidR="00A31137" w:rsidRPr="00A31137" w:rsidRDefault="00A31137" w:rsidP="00A31137">
      <w:r w:rsidRPr="00A31137">
        <w:t>Our goal is to ensure that women with problem pregnancies have the kind of support, material and otherwise, they need for themselves and for their babies, not to be punitive towards those for whose difficult situation we have only compassion. We oppose abortion, but our pro-life agenda does not include punitive action against women who have an abortion. We salute those who provide alternatives to abortion and offer adoption services. Republicans in Congress took the lead in expanding assistance both for the costs of adoption and for the continuing care of adoptive children with special needs. Bill Clinton vetoed our adoption tax credit the first time around—and opposed our efforts to remove racial barriers to adoption—before joining in this long overdue measure of support for adoptive families.</w:t>
      </w:r>
    </w:p>
    <w:p w:rsidR="00A31137" w:rsidRPr="00A31137" w:rsidRDefault="00A31137" w:rsidP="00A31137">
      <w:r w:rsidRPr="00A31137">
        <w:t>1996 Republican Party Platform</w:t>
      </w:r>
    </w:p>
    <w:p w:rsidR="00A31137" w:rsidRPr="00A31137" w:rsidRDefault="00A31137" w:rsidP="00A31137">
      <w:r w:rsidRPr="00A31137">
        <w:t xml:space="preserve">Worse than that, he vetoed the ban on partial-birth abortions, a procedure denounced by a committee of the American Medical Association and rightly branded as four-fifths infanticide. We applaud Bob Dole's commitment to revoke the Clinton executive orders concerning abortion and to sign into law an end to partial-birth abortions. </w:t>
      </w:r>
    </w:p>
    <w:p w:rsidR="00A31137" w:rsidRPr="00A31137" w:rsidRDefault="00A31137" w:rsidP="00A31137">
      <w:r w:rsidRPr="00A31137">
        <w:t>1996 Republican Party Platform</w:t>
      </w:r>
    </w:p>
    <w:p w:rsidR="00A31137" w:rsidRPr="00A31137" w:rsidRDefault="00A31137" w:rsidP="00A31137">
      <w:r w:rsidRPr="00A31137">
        <w:t xml:space="preserve">We reaffirm the promise of the Fifth Amendment: "nor shall private property be taken for public use, without just compensation." This Takings Clause protects the homes and livelihood of Americans against the governmental greed and abuse of power that characterizes the Clinton Administration; we will strictly enforce it. </w:t>
      </w:r>
    </w:p>
    <w:p w:rsidR="00A31137" w:rsidRPr="00A31137" w:rsidRDefault="00A31137" w:rsidP="00A31137">
      <w:r w:rsidRPr="00A31137">
        <w:t>1996 Republican Party Platform</w:t>
      </w:r>
    </w:p>
    <w:p w:rsidR="00A31137" w:rsidRPr="00A31137" w:rsidRDefault="00A31137" w:rsidP="00A31137">
      <w:r w:rsidRPr="00A31137">
        <w:t xml:space="preserve">We defend the constitutional right to keep and bear arms. We will promote training in the safe usage of firearms, especially in programs for women and the elderly. We strongly support Bob Dole's National Instant Check Initiative, which will help keep all guns out of the hands of convicted felons. The point-of-purchase instant check has worked well in many states and now it is time to extend this system all across America. We applaud Bob Dole's commitment to have the national instant check system operational by the end of 1997. In one of the strangest actions of his tenure, Bill Clinton abolished Operation Triggerlock, the Republican initiative to jail any felon caught with a gun. We will restore that effort and will set by law minimum mandatory penalties for the use of guns in committing a crime: 5 years for possession, 10 years for brandishing, and 20 for discharge. </w:t>
      </w:r>
    </w:p>
    <w:p w:rsidR="00A31137" w:rsidRPr="00A31137" w:rsidRDefault="00A31137" w:rsidP="00A31137">
      <w:r w:rsidRPr="00A31137">
        <w:t>1996 Republican Party Platform</w:t>
      </w:r>
    </w:p>
    <w:p w:rsidR="00A31137" w:rsidRPr="00A31137" w:rsidRDefault="00A31137" w:rsidP="00A31137">
      <w:r w:rsidRPr="00A31137">
        <w:t xml:space="preserve">We affirm the right of individuals to participate in labor organizations and to bargain collectively, consistent with State laws. Because that participation should always be voluntary. we support the right of States to enact Right-to-Work laws. We will restore the original scope of the Hobbs Act, barring union officials from extortion and violence. We will vigorously implement the Supreme Court's Beck decision to ensure that workers are not compelled to subsidize political activity, like the $35 million slush fund extorted this year from rank and file members by Washington-based labor leaders. We will reverse Bill Clinton's unconscionable Executive Order that deprived workers of their right to know how their union dues are spent. </w:t>
      </w:r>
    </w:p>
    <w:p w:rsidR="00A31137" w:rsidRPr="00A31137" w:rsidRDefault="00A31137" w:rsidP="00A31137">
      <w:r w:rsidRPr="00A31137">
        <w:t>A Sensible Immigration Policy</w:t>
      </w:r>
    </w:p>
    <w:p w:rsidR="00A31137" w:rsidRPr="00A31137" w:rsidRDefault="00A31137" w:rsidP="00A31137">
      <w:r w:rsidRPr="00A31137">
        <w:t>1996 Republican Party Platform</w:t>
      </w:r>
    </w:p>
    <w:p w:rsidR="00A31137" w:rsidRPr="00A31137" w:rsidRDefault="00A31137" w:rsidP="00A31137">
      <w:r w:rsidRPr="00A31137">
        <w:t xml:space="preserve">As a nation of immigrants, we welcome those who follow our laws and come to our land to seek a better life. New Americans strengthen our economy, enrich our culture, and defend the nation in war and in peace. At the same time, we are determined to reform the system by which we welcome them to the American family. We must set immigration at manageable levels, balance the competing goals of uniting families of our citizens and admitting specially talented persons, and end asylum abuses through expedited exclusion of false claimants. </w:t>
      </w:r>
    </w:p>
    <w:p w:rsidR="00A31137" w:rsidRPr="00A31137" w:rsidRDefault="00A31137" w:rsidP="00A31137">
      <w:r w:rsidRPr="00A31137">
        <w:t>1996 Republican Party Platform</w:t>
      </w:r>
    </w:p>
    <w:p w:rsidR="00A31137" w:rsidRPr="00A31137" w:rsidRDefault="00A31137" w:rsidP="00A31137">
      <w:r w:rsidRPr="00A31137">
        <w:t>Bill Clinton's immigration record does not match his rhetoric. While talking tough on illegal immigration, he has proposed a reduction in the number of border patrol agents authorized by the Republicans in Congress, has opposed the most successful border control program in decades (Operation Hold the Line in Texas), has opposed Proposition 187 in California which 60 percent of Californians supported, and has opposed Republican efforts to ensure that non-citizens do not take advantage of expensive welfare programs. Unlike Bill Clinton, we stand with the American people on immigration policy and will continue to reform and enforce our immigration laws to ensure that they reflect America's national interest.</w:t>
      </w:r>
    </w:p>
    <w:p w:rsidR="00A31137" w:rsidRPr="00A31137" w:rsidRDefault="00A31137" w:rsidP="00A31137">
      <w:r w:rsidRPr="00A31137">
        <w:t>1996 Republican Party Platform</w:t>
      </w:r>
    </w:p>
    <w:p w:rsidR="00A31137" w:rsidRPr="00A31137" w:rsidRDefault="00A31137" w:rsidP="00A31137">
      <w:r w:rsidRPr="00A31137">
        <w:t>We also support efforts to secure our borders from the threat of illegal immigration. Illegal immigration has reached crisis proportions, with more than four million illegal aliens now present in the United States. That number, growing by 300,000 each year, burdens taxpayers, strains public services, takes jobs, and increases crime. Republicans in both the House and Senate have passed bills that tighten border enforcement, speed up deportation of criminal aliens, toughen penalties for overstaying visas, and streamline the Immigration and Naturalization Service.</w:t>
      </w:r>
    </w:p>
    <w:p w:rsidR="00A31137" w:rsidRPr="00A31137" w:rsidRDefault="00A31137" w:rsidP="00A31137">
      <w:r w:rsidRPr="00A31137">
        <w:t>1996 Republican Party Platform</w:t>
      </w:r>
    </w:p>
    <w:p w:rsidR="00A31137" w:rsidRPr="00A31137" w:rsidRDefault="00A31137" w:rsidP="00A31137">
      <w:r w:rsidRPr="00A31137">
        <w:t xml:space="preserve">Illegal aliens should not receive public benefits other than emergency aid, and those who become parents while illegally in the United States should not be qualified to claim benefits for their offspring. Legal immigrants should depend for assistance on their sponsors, who are legally responsible for their financial well-being, not the American taxpayers. Just as we require "deadbeat dads" to provide for the children they bring into the world, we should require "deadbeat sponsors" to provide for the immigrants they bring into the country. We support a constitutional amendment or constitutionally-valid legislation declaring that children born in the United States of parents who are not legally present in the United States or who are not long-term residents are not automatically citizens. </w:t>
      </w:r>
    </w:p>
    <w:p w:rsidR="00A31137" w:rsidRPr="00A31137" w:rsidRDefault="00A31137" w:rsidP="00A31137">
      <w:r w:rsidRPr="00A31137">
        <w:t>1996 Republican Party Platform</w:t>
      </w:r>
    </w:p>
    <w:p w:rsidR="00A31137" w:rsidRPr="00A31137" w:rsidRDefault="00A31137" w:rsidP="00A31137">
      <w:r w:rsidRPr="00A31137">
        <w:t xml:space="preserve">We endorse the Dole/Coverdell proposal to make crimes of domestic violence, stalking, child abuse, child neglect and child abandonment committed by aliens residing in this country deportable offenses under our immigration laws. </w:t>
      </w:r>
    </w:p>
    <w:p w:rsidR="00A31137" w:rsidRPr="00A31137" w:rsidRDefault="00A31137" w:rsidP="00A31137">
      <w:r w:rsidRPr="00A31137">
        <w:t>1996 Republican Party Platform</w:t>
      </w:r>
    </w:p>
    <w:p w:rsidR="00A31137" w:rsidRPr="00A31137" w:rsidRDefault="00A31137" w:rsidP="00A31137">
      <w:r w:rsidRPr="00A31137">
        <w:t xml:space="preserve">We call for harsh penalties against exploiters who smuggle illegal aliens and for those who profit from the production of false documents. Republicans believe that by eliminating the magnet for illegal immigration, increasing border security, enforcing our immigration laws, and producing counterfeit-proof documents, we will finally put an end to the illegal immigration crisis. We oppose the creation of any national ID card. </w:t>
      </w:r>
    </w:p>
    <w:p w:rsidR="00A31137" w:rsidRPr="00A31137" w:rsidRDefault="00A31137" w:rsidP="00A31137">
      <w:r w:rsidRPr="00A31137">
        <w:t>From Many, One</w:t>
      </w:r>
    </w:p>
    <w:p w:rsidR="00A31137" w:rsidRPr="00A31137" w:rsidRDefault="00A31137" w:rsidP="00A31137">
      <w:r w:rsidRPr="00A31137">
        <w:t>1996 Republican Party Platform</w:t>
      </w:r>
    </w:p>
    <w:p w:rsidR="00A31137" w:rsidRPr="00A31137" w:rsidRDefault="00A31137" w:rsidP="00A31137">
      <w:r w:rsidRPr="00A31137">
        <w:t>America's ethnic diversity within a shared national culture is one of our country's greatest strengths. While we benefit from our differences, we must also strengthen the ties that bind us to one another. Foremost among those is the flag. Its deliberate desecration is not "free speech," but an assault against our history and our hopes. We support a constitutional amendment that will restore to the people, through their elected representatives, their right to safeguard Old Glory. We condemn Bill Clinton's refusal, once again, to protect and preserve the most precious symbol of our Republic.</w:t>
      </w:r>
    </w:p>
    <w:p w:rsidR="00A31137" w:rsidRPr="00A31137" w:rsidRDefault="00A31137" w:rsidP="00A31137">
      <w:r w:rsidRPr="00A31137">
        <w:t>1996 Republican Party Platform</w:t>
      </w:r>
    </w:p>
    <w:p w:rsidR="00A31137" w:rsidRPr="00A31137" w:rsidRDefault="00A31137" w:rsidP="00A31137">
      <w:r w:rsidRPr="00A31137">
        <w:t>English, our common language, provides a shared foundation which has allowed people from every corner of the world to come together to build the American nation. The use of English is indispensable to all who wish to participate fully in our society and realize the American dream. As Bob Dole has said: "For more than two centuries now, English has been a force for unity, indispensable to the process of transforming untold millions of immigrants from all parts of the globe into citizens of the most open and free society the world has ever seen." For newcomers, learning the English language has always been the fastest route to the mainstream of American life. That should be the goal of bilingual education programs. We support the official recognition of English as the nation's common language. We advocate foreign language training in our schools and retention of heritage languages in homes and cultural institutions. Foreign language fluency is also an essential component of America's competitiveness in the world market.</w:t>
      </w:r>
    </w:p>
    <w:p w:rsidR="00A31137" w:rsidRPr="00A31137" w:rsidRDefault="00A31137" w:rsidP="00A31137">
      <w:r w:rsidRPr="00A31137">
        <w:t>1996 Republican Party Platform</w:t>
      </w:r>
    </w:p>
    <w:p w:rsidR="00A31137" w:rsidRPr="00A31137" w:rsidRDefault="00A31137" w:rsidP="00A31137">
      <w:r w:rsidRPr="00A31137">
        <w:t>We will strengthen Native Americans' self-determination by respecting tribal sovereignty, encouraging a pro-business and pro-development climate on reservations. We uphold the unique government-to-government relationship between the tribes and the United States, and we honor our nation's trust obligations to them. In fulfillment thereof, we will ensure that the resources, financial and otherwise, which the United States holds in trust are well-managed, audited, and protected. We second Bob Dole's call for legislation authorizing tribal governments to reorganize the Bureau of Indian Affairs and the Indian Health Service. We endorse efforts to ensure equitable participation in federal programs by Native Americans, Native Alaskans and Native Hawaiians and to preserve their culture and languages.</w:t>
      </w:r>
    </w:p>
    <w:p w:rsidR="00A31137" w:rsidRPr="00A31137" w:rsidRDefault="00A31137" w:rsidP="00A31137">
      <w:r w:rsidRPr="00A31137">
        <w:t>Getting Tough on Crime</w:t>
      </w:r>
    </w:p>
    <w:p w:rsidR="00A31137" w:rsidRPr="00A31137" w:rsidRDefault="00A31137" w:rsidP="00A31137">
      <w:r w:rsidRPr="00A31137">
        <w:t>1996 Republican Party Platform</w:t>
      </w:r>
    </w:p>
    <w:p w:rsidR="00A31137" w:rsidRPr="00A31137" w:rsidRDefault="00A31137" w:rsidP="00A31137">
      <w:r w:rsidRPr="00A31137">
        <w:t>"Women in America know better than anyone about the randomness and ruthlessness of crime. It is a shameful, national disgrace that nightfall has become synonymous with fear for so many of America's women." Bob Dole, May 28, 1996 in Aurora, Colorado</w:t>
      </w:r>
    </w:p>
    <w:p w:rsidR="00A31137" w:rsidRPr="00A31137" w:rsidRDefault="00A31137" w:rsidP="00A31137">
      <w:r w:rsidRPr="00A31137">
        <w:t>1996 Republican Party Platform</w:t>
      </w:r>
    </w:p>
    <w:p w:rsidR="00A31137" w:rsidRPr="00A31137" w:rsidRDefault="00A31137" w:rsidP="00A31137">
      <w:r w:rsidRPr="00A31137">
        <w:t xml:space="preserve">During Bill Clinton's tenure, America has become a more fearful place, especially for the elderly and for women and children. Violent crime has turned our homes into prisons, our streets and schoolyards into battlegrounds. It devours half a trillion dollars every year. Unfortunately, far worse could be coming in the near future. While we acknowledge the extraordinary efforts of single parents, we recognize that a generation of fatherless boys raises the prospect of soaring juvenile crime. </w:t>
      </w:r>
    </w:p>
    <w:p w:rsidR="00A31137" w:rsidRPr="00A31137" w:rsidRDefault="00A31137" w:rsidP="00A31137">
      <w:r w:rsidRPr="00A31137">
        <w:t>1996 Republican Party Platform</w:t>
      </w:r>
    </w:p>
    <w:p w:rsidR="00A31137" w:rsidRPr="00A31137" w:rsidRDefault="00A31137" w:rsidP="00A31137">
      <w:r w:rsidRPr="00A31137">
        <w:t>This is, in part the legacy of liberalism—in the old Democrat Congress, in the Clinton Department of Justice, and in the courts, where judges appointed by Democrat presidents continue their assault against the rights of law-abiding Americans. For too long government policy has been controlled by criminals and their defense lawyers. Democrat Congresses cared more about rights of criminals than safety for Americans. Bill Clinton arbitrarily closed off Pennsylvania Avenue, the nation's Main Street, for his protection, while his policies left the public unprotected against vicious criminals. As a symbol of our determination to restore the rule of law—in the White House as well as in our streets—we will reopen Pennsylvania Avenue.</w:t>
      </w:r>
    </w:p>
    <w:p w:rsidR="00A31137" w:rsidRPr="00A31137" w:rsidRDefault="00A31137" w:rsidP="00A31137">
      <w:r w:rsidRPr="00A31137">
        <w:t>1996 Republican Party Platform</w:t>
      </w:r>
    </w:p>
    <w:p w:rsidR="00A31137" w:rsidRPr="00A31137" w:rsidRDefault="00A31137" w:rsidP="00A31137">
      <w:r w:rsidRPr="00A31137">
        <w:t xml:space="preserve">After the elections of 1994, the new Republican majorities in the House and Senate fought back with legislation that ends frivolous, costly, and unnecessarily lengthy death-row appeals, requires criminals to pay restitution to their victims, speeds the removal of criminal aliens, and steps up the fight against terrorism. Congressional Republicans put into law a truth-in-sentencing prison grant program to provide incentives to states which enact laws requiring violent felons to serve at least 85% of their sentences and replaced a myriad of Democrat "Washington knows best" prevention programs with bloc grants to cities and counties to use to fight crime as they see fit. They put an end to federal court early-release orders for prison overcrowding and made it much harder for prisoners to file frivolous lawsuits about prison conditions. </w:t>
      </w:r>
    </w:p>
    <w:p w:rsidR="00A31137" w:rsidRPr="00A31137" w:rsidRDefault="00A31137" w:rsidP="00A31137">
      <w:r w:rsidRPr="00A31137">
        <w:t>1996 Republican Party Platform</w:t>
      </w:r>
    </w:p>
    <w:p w:rsidR="00A31137" w:rsidRPr="00A31137" w:rsidRDefault="00A31137" w:rsidP="00A31137">
      <w:r w:rsidRPr="00A31137">
        <w:t xml:space="preserve">There's more to do, once Bill Clinton's veto threats no longer block the way. We will establish no-frills prisons where prisoners are required to work productively and make the threat of jail a real deterrent to crime. Prisons should not be places of rest and relaxation. We will reform the Supreme Court's fanciful exclusionary rule, which has allowed a generation of criminals to get off on technicalities. </w:t>
      </w:r>
    </w:p>
    <w:p w:rsidR="00A31137" w:rsidRPr="00A31137" w:rsidRDefault="00A31137" w:rsidP="00A31137">
      <w:r w:rsidRPr="00A31137">
        <w:t>1996 Republican Party Platform</w:t>
      </w:r>
    </w:p>
    <w:p w:rsidR="00A31137" w:rsidRPr="00A31137" w:rsidRDefault="00A31137" w:rsidP="00A31137">
      <w:r w:rsidRPr="00A31137">
        <w:t xml:space="preserve">Juvenile crime is one of the most difficult challenges facing our nation. The juvenile justice system is broken. It fails to punish the minor crimes that lead to larger offenses, and lacks early intervention to keep delinquency from turning into violent crime. Truancy laws are not enforced, positive role models are lacking, and parental responsibility is overlooked. We will stress accountability at every step in the system and require adult trials for juveniles who commit adult crimes. </w:t>
      </w:r>
    </w:p>
    <w:p w:rsidR="00A31137" w:rsidRPr="00A31137" w:rsidRDefault="00A31137" w:rsidP="00A31137">
      <w:r w:rsidRPr="00A31137">
        <w:t>1996 Republican Party Platform</w:t>
      </w:r>
    </w:p>
    <w:p w:rsidR="00A31137" w:rsidRPr="00A31137" w:rsidRDefault="00A31137" w:rsidP="00A31137">
      <w:r w:rsidRPr="00A31137">
        <w:t xml:space="preserve">In addition, not only is juvenile crime on the rise, but unsupervised juveniles (especially at night) are most often the victims of abuse in our society. Recognizing that local jurisdictions have a clear and concise understanding of their problems, we encourage them to develop and enact innovative programs to address juvenile crime. We also encourage them to consider juvenile nocturnal curfews as an effective law enforcement tool in helping reduce juvenile crime and juvenile victimization. </w:t>
      </w:r>
    </w:p>
    <w:p w:rsidR="00A31137" w:rsidRPr="00A31137" w:rsidRDefault="00A31137" w:rsidP="00A31137">
      <w:r w:rsidRPr="00A31137">
        <w:t>1996 Republican Party Platform</w:t>
      </w:r>
    </w:p>
    <w:p w:rsidR="00A31137" w:rsidRPr="00A31137" w:rsidRDefault="00A31137" w:rsidP="00A31137">
      <w:r w:rsidRPr="00A31137">
        <w:t xml:space="preserve">Juvenile criminal proceedings should be open to victims and the public. Juvenile conviction records should not be sealed but made available to law enforcement agencies, the courts, and those who hire for sensitive work in schools and day-care centers. </w:t>
      </w:r>
    </w:p>
    <w:p w:rsidR="00A31137" w:rsidRPr="00A31137" w:rsidRDefault="00A31137" w:rsidP="00A31137">
      <w:r w:rsidRPr="00A31137">
        <w:t>1996 Republican Party Platform</w:t>
      </w:r>
    </w:p>
    <w:p w:rsidR="00A31137" w:rsidRPr="00A31137" w:rsidRDefault="00A31137" w:rsidP="00A31137">
      <w:r w:rsidRPr="00A31137">
        <w:t>Because liberal jurists keep expanding the rights of the accused, Republicans propose a Constitutional amendment to protect victims' rights: audio and visual testimony of victims kept on file for future hearings, full restitution, protection from intimidation or violence by the offender, notification of court proceedings, a chance to be heard in plea bargains, the right to remain in court during trials and hearings concerning the crimes committed against them, a voice in the sentencing proceedings, notice of the release or escape of offenders. Bill Clinton hypocritically endorsed our Victim's Rights Amendment while naming judges who opposed capital punishment, turned felons loose, and even excused murder as a form of social protest. Bob Dole, the next Republican president will end that nonsense and make our courts once again an instrument of justice.</w:t>
      </w:r>
    </w:p>
    <w:p w:rsidR="00A31137" w:rsidRPr="00A31137" w:rsidRDefault="00A31137" w:rsidP="00A31137">
      <w:r w:rsidRPr="00A31137">
        <w:t>1996 Republican Party Platform</w:t>
      </w:r>
    </w:p>
    <w:p w:rsidR="00A31137" w:rsidRPr="00A31137" w:rsidRDefault="00A31137" w:rsidP="00A31137">
      <w:r w:rsidRPr="00A31137">
        <w:t xml:space="preserve">While the federal government's role is essential, most law enforcement must remain in the hands of local communities, directed by State and local officials who are closely answerable to the people whose lives are affected by crime. In that regard, we support community policing; nothing inhibits local crime like an officer in the neighborhood. Bill Clinton promised 100,000 more police officers on the beat but, according to his own Attorney General, delivered no more than 17,000. He ignored local law enforcers by tying the program in knots of red tape and high costs. Now he is diverting millions of its dollars, appropriated by congressional Republicans to fight street crime, to state parks and environmental projects. It's time to return those anti-crime resources to communities and let them decide what works best to keep their homes, schools, and workplaces safe. This would result in far more new police officers than Bill Clinton's program and give communities additional crime fighting resources they need. </w:t>
      </w:r>
    </w:p>
    <w:p w:rsidR="00A31137" w:rsidRPr="00A31137" w:rsidRDefault="00A31137" w:rsidP="00A31137">
      <w:r w:rsidRPr="00A31137">
        <w:t>1996 Republican Party Platform</w:t>
      </w:r>
    </w:p>
    <w:p w:rsidR="00A31137" w:rsidRPr="00A31137" w:rsidRDefault="00A31137" w:rsidP="00A31137">
      <w:r w:rsidRPr="00A31137">
        <w:t xml:space="preserve">We will work with local authorities to prevent prison inmates from receiving disability or other government entitlements while incarcerated. We support efforts to allow peace officers, including qualified retirees, to assist their colleagues and protect their communities even when they are out of their home jurisdictions to the extent this is consistent with applicable state and local law. We will amend the Fair Labor Standards Act so that corrections officers can volunteer to assist local law enforcement. </w:t>
      </w:r>
    </w:p>
    <w:p w:rsidR="00A31137" w:rsidRPr="00A31137" w:rsidRDefault="00A31137" w:rsidP="00A31137">
      <w:r w:rsidRPr="00A31137">
        <w:t>1996 Republican Party Platform</w:t>
      </w:r>
    </w:p>
    <w:p w:rsidR="00A31137" w:rsidRPr="00A31137" w:rsidRDefault="00A31137" w:rsidP="00A31137">
      <w:r w:rsidRPr="00A31137">
        <w:t>Crimes against women and children demand an emphatic response. Under Bob Dole and Dick Zimmer's leadership, Republicans in Congress pushed through Megan's Law—the requirement that local communities be notified when sex offenders and kidnappers are released—in response to the growing number of violent sexual assaults and murders like the brutal murder of a little girl in New Jersey. We call for special penalties against thugs who assault or batter pregnant women and harm them or their unborn children. We endorse Bob Dole's call to bring federal penalties for child pornography in line with far tougher State penalties: ten years for a first offense, fifteen for the second, and life for a third. We believe it is time to revisit the Supreme Court's arbitrary decision of 1977 that protects even the most vicious rapists from the death penalty. Bob Dole authored a tough federal statute which provides for the admissibility of prior similar criminal acts of defendants in sexual assault cases. This important law enforcement tool should serve as a model for the states. We continue our strong support of capital punishment for those who commit heinous federal crimes; including the kingpins of the narcotics trade.</w:t>
      </w:r>
    </w:p>
    <w:p w:rsidR="00A31137" w:rsidRPr="00A31137" w:rsidRDefault="00A31137" w:rsidP="00A31137">
      <w:r w:rsidRPr="00A31137">
        <w:t>1996 Republican Party Platform</w:t>
      </w:r>
    </w:p>
    <w:p w:rsidR="00A31137" w:rsidRPr="00A31137" w:rsidRDefault="00A31137" w:rsidP="00A31137">
      <w:r w:rsidRPr="00A31137">
        <w:t>We wish to express our support and sympathy for all victims of terrorism and their families. Acts of terrorism against Americans and American interests must be stopped and those who commit them must be brought to justice. We recommend a Presidentially appointed "blue ribbon" commission to study more effective methods of prosecuting terrorists.</w:t>
      </w:r>
    </w:p>
    <w:p w:rsidR="00A31137" w:rsidRPr="00A31137" w:rsidRDefault="00A31137" w:rsidP="00A31137">
      <w:r w:rsidRPr="00A31137">
        <w:t>1996 Republican Party Platform</w:t>
      </w:r>
    </w:p>
    <w:p w:rsidR="00A31137" w:rsidRPr="00A31137" w:rsidRDefault="00A31137" w:rsidP="00A31137">
      <w:r w:rsidRPr="00A31137">
        <w:t>Only Republican resolve can prepare our nation to deal with the four deadly threats facing us in the early years of the 21st Century: violent crime, drugs, terrorism, and international organized crime. Those perils are interlocked—and all are escalating. This is no time for excuses. It's time for a change.</w:t>
      </w:r>
    </w:p>
    <w:p w:rsidR="00A31137" w:rsidRPr="00A31137" w:rsidRDefault="00A31137" w:rsidP="00A31137">
      <w:r w:rsidRPr="00A31137">
        <w:t>Solving the Drug Crisis</w:t>
      </w:r>
    </w:p>
    <w:p w:rsidR="00A31137" w:rsidRPr="00A31137" w:rsidRDefault="00A31137" w:rsidP="00A31137">
      <w:r w:rsidRPr="00A31137">
        <w:t>1996 Republican Party Platform</w:t>
      </w:r>
    </w:p>
    <w:p w:rsidR="00A31137" w:rsidRPr="00A31137" w:rsidRDefault="00A31137" w:rsidP="00A31137">
      <w:r w:rsidRPr="00A31137">
        <w:t>The verdict is in on Bill Clinton's moral leadership: after 11 years of steady decline, the use of marijuana among teens doubled in the two years after 1992. At the same time, the use of cocaine and methamphetamines dramatically increased.</w:t>
      </w:r>
    </w:p>
    <w:p w:rsidR="00A31137" w:rsidRPr="00A31137" w:rsidRDefault="00A31137" w:rsidP="00A31137">
      <w:r w:rsidRPr="00A31137">
        <w:t>1996 Republican Party Platform</w:t>
      </w:r>
    </w:p>
    <w:p w:rsidR="00A31137" w:rsidRPr="00A31137" w:rsidRDefault="00A31137" w:rsidP="00A31137">
      <w:r w:rsidRPr="00A31137">
        <w:t xml:space="preserve">That shocks but should not surprise. For in the war on drugs—an essential component of the fight against crime—today's Democratic Party has been a conscientious objector. Nowhere is the discrepancy between Bill Clinton's rhetoric and his actions more apparent. Mr. Clinton's personal record has been a betrayal of the nation's trust, sending the worst possible signal to the nation's youth. At the urging of the Secret Service, the White House had to institute a drug-testing program for Clinton staffers who were known to be recent users of illegal narcotics. At the same time, he drastically cut funding for drug interdiction. The Office of National Drug Control Policy was cut by 80 percent, and federal drug prosecutions dropped 25 percent. His Attorney General proposed to reduce mandatory minimum sentences for drug trafficking and related crimes, and his Surgeon General advocated legalization of narcotics. Hundreds of suspected drug smugglers have been allowed to go free at the border. Simultaneously, the use of marijuana, cocaine, and heroin has increased, especially among young people. Now narcotics are again fueling the acceleration of crime rates, putting the nation on a collision course with the future. </w:t>
      </w:r>
    </w:p>
    <w:p w:rsidR="00A31137" w:rsidRPr="00A31137" w:rsidRDefault="00A31137" w:rsidP="00A31137">
      <w:r w:rsidRPr="00A31137">
        <w:t>1996 Republican Party Platform</w:t>
      </w:r>
    </w:p>
    <w:p w:rsidR="00A31137" w:rsidRPr="00A31137" w:rsidRDefault="00A31137" w:rsidP="00A31137">
      <w:r w:rsidRPr="00A31137">
        <w:t>Bill Clinton's weakness in international affairs has worsened the situation here at home. One case in point: He certified that Mexico has cooperated with our drug interdiction effort when 70 percent of drugs smuggled into the U. S. come across our southern border—and when the Mexican government ignored 165 extradition orders for drug criminals. Discredited at home and abroad, he lacks both the stature and the credibility to lead us toward a drug-free America.</w:t>
      </w:r>
    </w:p>
    <w:p w:rsidR="00A31137" w:rsidRPr="00A31137" w:rsidRDefault="00A31137" w:rsidP="00A31137">
      <w:r w:rsidRPr="00A31137">
        <w:t>1996 Republican Party Platform</w:t>
      </w:r>
    </w:p>
    <w:p w:rsidR="00A31137" w:rsidRPr="00A31137" w:rsidRDefault="00A31137" w:rsidP="00A31137">
      <w:r w:rsidRPr="00A31137">
        <w:t xml:space="preserve">A war against drugs requires moral leadership now lacking in the White House. Throughout the 1980s, the Republican approach—no legalization, no tolerance, no excuses—turned the tide against drug abuse. We can do it again by emphasizing prevention, interdiction, a tough international approach, and a crack-down on users. That requires reversing one of Bill Clinton's most offensive actions: his shocking purge of every U. S. Attorney in the country shortly after he took office. This unprecedented firing destroyed our first line of defense against drug traffickers and other career criminals. Our country's most experienced and dedicated prosecutors were replaced with Clintonite liberals, some of whom have refused to prosecute major drug dealers, foreign narcotics smugglers, and child pornographers. </w:t>
      </w:r>
    </w:p>
    <w:p w:rsidR="00A31137" w:rsidRPr="00A31137" w:rsidRDefault="00A31137" w:rsidP="00A31137">
      <w:r w:rsidRPr="00A31137">
        <w:t>1996 Republican Party Platform</w:t>
      </w:r>
    </w:p>
    <w:p w:rsidR="00A31137" w:rsidRPr="00A31137" w:rsidRDefault="00A31137" w:rsidP="00A31137">
      <w:r w:rsidRPr="00A31137">
        <w:t xml:space="preserve">In a Dole Administration, U. S. Attorneys will prosecute and jail those who prey upon the innocent. We support upgrading our interdiction effort by establishing a Deputy Commissioner for Drug Enforcement within the Customs Service. We will intensify our intelligence efforts against international drug traffickers and use whatever means necessary to destroy their operations and seize their personal accounts. </w:t>
      </w:r>
    </w:p>
    <w:p w:rsidR="00A31137" w:rsidRPr="00A31137" w:rsidRDefault="00A31137" w:rsidP="00A31137">
      <w:r w:rsidRPr="00A31137">
        <w:t>1996 Republican Party Platform</w:t>
      </w:r>
    </w:p>
    <w:p w:rsidR="00A31137" w:rsidRPr="00A31137" w:rsidRDefault="00A31137" w:rsidP="00A31137">
      <w:r w:rsidRPr="00A31137">
        <w:t>We support strong penalties, including mandatory minimum sentences, for drug trafficking, distribution and drug-related crimes. Drug use is closely related to crime and recidivism. Drug testing should be made a routine feature of the criminal justice process at every stage, including the juvenile justice system. Test results should be used in deciding pretrial release, sentencing, and probation revocation.</w:t>
      </w:r>
    </w:p>
    <w:p w:rsidR="00A31137" w:rsidRPr="00A31137" w:rsidRDefault="00A31137" w:rsidP="00A31137">
      <w:r w:rsidRPr="00A31137">
        <w:t>1996 Republican Party Platform</w:t>
      </w:r>
    </w:p>
    <w:p w:rsidR="00A31137" w:rsidRPr="00A31137" w:rsidRDefault="00A31137" w:rsidP="00A31137">
      <w:r w:rsidRPr="00A31137">
        <w:t xml:space="preserve">A safer America must include highways without drunk or drug-impaired drivers. We support the toughest possible State laws to deal with drivers impaired by substance abuse and advocate federal cooperation, not compulsion, toward that end. </w:t>
      </w:r>
    </w:p>
    <w:p w:rsidR="00A31137" w:rsidRPr="00A31137" w:rsidRDefault="00A31137" w:rsidP="00A31137">
      <w:r w:rsidRPr="00A31137">
        <w:t>The Bottom Line: From The Top Down</w:t>
      </w:r>
    </w:p>
    <w:p w:rsidR="00A31137" w:rsidRPr="00A31137" w:rsidRDefault="00A31137" w:rsidP="00A31137">
      <w:r w:rsidRPr="00A31137">
        <w:t>1996 Republican Party Platform</w:t>
      </w:r>
    </w:p>
    <w:p w:rsidR="00A31137" w:rsidRPr="00A31137" w:rsidRDefault="00A31137" w:rsidP="00A31137">
      <w:r w:rsidRPr="00A31137">
        <w:t>Making America safe again will be a tremendous undertaking, in its own way as heroic as was the liberation of Europe from a different kind of criminal half a century ago. At the grassroots, that crusade already has enlisted the men and women of local law enforcement. Now they need a leader worthy of their cause—someone whose life reflects respect for the law, not evasion of it. Bill Clinton need not apply.</w:t>
      </w:r>
    </w:p>
    <w:p w:rsidR="00A31137" w:rsidRPr="00A31137" w:rsidRDefault="00A31137" w:rsidP="00A31137">
      <w:r w:rsidRPr="00A31137">
        <w:t>1996 Republican Party Platform</w:t>
      </w:r>
    </w:p>
    <w:p w:rsidR="00A31137" w:rsidRPr="00A31137" w:rsidRDefault="00A31137" w:rsidP="00A31137">
      <w:r w:rsidRPr="00A31137">
        <w:t>Bob Dole will be a president committed to the protection and safety of all Americans. However, his strength is diminished without a court system supportive of the national fight against violent crime. That is the bottom line of this year's presidential election: Who should chart the course of law enforcement for the next generation by naming as many as an additional 30 percent of our federal judges and the next several justices to the U. S. Supreme Court? Bill Clinton, the master of excuse and evasion? Or Bob Dole, whose life has been an exercise in honor and duty?</w:t>
      </w:r>
    </w:p>
    <w:p w:rsidR="00A31137" w:rsidRPr="00A31137" w:rsidRDefault="00A31137" w:rsidP="00A31137">
      <w:r w:rsidRPr="00A31137">
        <w:t>Families and Society</w:t>
      </w:r>
    </w:p>
    <w:p w:rsidR="00A31137" w:rsidRPr="00A31137" w:rsidRDefault="00A31137" w:rsidP="00A31137">
      <w:r w:rsidRPr="00A31137">
        <w:t>1996 Republican Party Platform</w:t>
      </w:r>
    </w:p>
    <w:p w:rsidR="00A31137" w:rsidRPr="00A31137" w:rsidRDefault="00A31137" w:rsidP="00A31137">
      <w:r w:rsidRPr="00A31137">
        <w:t>"The alternative to cold bureaucracy is not indifference. It is the warmth of families and neighborhoods, charities, churches, synagogues and communities. These value-shaping institutions have the tools to reclaim lives—individual responsibility, tough love, and spiritual renewal. They do more than care for the body; they restore the spirit." Bob Dole, May 23, 1996, in Philadelphia</w:t>
      </w:r>
    </w:p>
    <w:p w:rsidR="00A31137" w:rsidRPr="00A31137" w:rsidRDefault="00A31137" w:rsidP="00A31137">
      <w:r w:rsidRPr="00A31137">
        <w:t>Stronger Families</w:t>
      </w:r>
    </w:p>
    <w:p w:rsidR="00A31137" w:rsidRPr="00A31137" w:rsidRDefault="00A31137" w:rsidP="00A31137">
      <w:r w:rsidRPr="00A31137">
        <w:t>1996 Republican Party Platform</w:t>
      </w:r>
    </w:p>
    <w:p w:rsidR="00A31137" w:rsidRPr="00A31137" w:rsidRDefault="00A31137" w:rsidP="00A31137">
      <w:r w:rsidRPr="00A31137">
        <w:t xml:space="preserve">We are the party of the American family, educating children, caring for the sick, learning from the elderly, and helping the less fortunate. We believe that strengthening family life is the best way to improve the quality of life for everyone. </w:t>
      </w:r>
    </w:p>
    <w:p w:rsidR="00A31137" w:rsidRPr="00A31137" w:rsidRDefault="00A31137" w:rsidP="00A31137">
      <w:r w:rsidRPr="00A31137">
        <w:t>1996 Republican Party Platform</w:t>
      </w:r>
    </w:p>
    <w:p w:rsidR="00A31137" w:rsidRPr="00A31137" w:rsidRDefault="00A31137" w:rsidP="00A31137">
      <w:r w:rsidRPr="00A31137">
        <w:t xml:space="preserve">Families foster the virtues that make a free society strong. We rely on the home and its supportive institutions to instill honesty, self-discipline, mutual respect and the other virtues that sustain democracy. Our goal is to promote those values by respecting the rights of families and by assisting, where appropriate, the institutions which mediate between government and the home. While recognizing a role for government in dealing with social ills, we look to mediating institutions—religious and community groups, private associations of all kinds—to take the lead in tackling the social ills that some government programs have only worsened. </w:t>
      </w:r>
    </w:p>
    <w:p w:rsidR="00A31137" w:rsidRPr="00A31137" w:rsidRDefault="00A31137" w:rsidP="00A31137">
      <w:r w:rsidRPr="00A31137">
        <w:t>1996 Republican Party Platform</w:t>
      </w:r>
    </w:p>
    <w:p w:rsidR="00A31137" w:rsidRPr="00A31137" w:rsidRDefault="00A31137" w:rsidP="00A31137">
      <w:r w:rsidRPr="00A31137">
        <w:t xml:space="preserve">This is the clearest distinction between Republicans and Clinton Democrats: We believe the family is the core institution of our society. Bill Clinton thinks government should hold that place. It's little wonder, then, that today's families feel under siege. They seem to work harder with less reward for their labor. They can no longer expect that life will be better for their children than it was for them. </w:t>
      </w:r>
    </w:p>
    <w:p w:rsidR="00A31137" w:rsidRPr="00A31137" w:rsidRDefault="00A31137" w:rsidP="00A31137">
      <w:r w:rsidRPr="00A31137">
        <w:t>1996 Republican Party Platform</w:t>
      </w:r>
    </w:p>
    <w:p w:rsidR="00A31137" w:rsidRPr="00A31137" w:rsidRDefault="00A31137" w:rsidP="00A31137">
      <w:r w:rsidRPr="00A31137">
        <w:t xml:space="preserve">Their problem starts in the White House. Bill Clinton has hit families with higher taxes, vetoed their tax relief, and given their money to special interest groups. He has meddled in their schools, fought family choice in education, and promoted lifestyles inimical to their values. He repeatedly vetoed pro-family welfare reforms before surrendering to the demands of the American people. He tried to impose a ruinous government takeover of health care; led a scare campaign against Republican efforts to preserve, protect, and strengthen Medicare; and appointed to major positions in his administration social theorists whose bizarre views are alien to those of most Americans. </w:t>
      </w:r>
    </w:p>
    <w:p w:rsidR="00A31137" w:rsidRPr="00A31137" w:rsidRDefault="00A31137" w:rsidP="00A31137">
      <w:r w:rsidRPr="00A31137">
        <w:t>1996 Republican Party Platform</w:t>
      </w:r>
    </w:p>
    <w:p w:rsidR="00A31137" w:rsidRPr="00A31137" w:rsidRDefault="00A31137" w:rsidP="00A31137">
      <w:r w:rsidRPr="00A31137">
        <w:t>Republicans want to get our society back on track—toward good schools with great teachers, welfare that really helps, and health care responsive to the needs of people, not government. We want to make sure our most important programs—like Social Security and Medicare—are there when people need them. In all those cases, we start with the family as the building block of a safe and caring society.</w:t>
      </w:r>
    </w:p>
    <w:p w:rsidR="00A31137" w:rsidRPr="00A31137" w:rsidRDefault="00A31137" w:rsidP="00A31137">
      <w:r w:rsidRPr="00A31137">
        <w:t>1996 Republican Party Platform</w:t>
      </w:r>
    </w:p>
    <w:p w:rsidR="00A31137" w:rsidRPr="00A31137" w:rsidRDefault="00A31137" w:rsidP="00A31137">
      <w:r w:rsidRPr="00A31137">
        <w:t xml:space="preserve">Our agenda for more secure families runs throughout this platform. Here we take special notice of the way congressional Republicans have advanced adoption assistance, promoted foster care reform, and fought the marriage penalty in the tax code. They have worked to let parents have flex-time and comp-time in private industry, and have safeguarded family choice in child care against the Democrats' attempts to control it. They passed the Defense of Marriage Act, which defines "marriage" for purposes of federal law as the legal union of one man and one woman and prevents federal judges and bureaucrats from forcing states to recognize other living arrangements as "marriages." Further, they have advanced the Family Rights and Privacy Act—a bill of rights against the intrusions of big government and its grantees. </w:t>
      </w:r>
    </w:p>
    <w:p w:rsidR="00A31137" w:rsidRPr="00A31137" w:rsidRDefault="00A31137" w:rsidP="00A31137">
      <w:r w:rsidRPr="00A31137">
        <w:t>1996 Republican Party Platform</w:t>
      </w:r>
    </w:p>
    <w:p w:rsidR="00A31137" w:rsidRPr="00A31137" w:rsidRDefault="00A31137" w:rsidP="00A31137">
      <w:r w:rsidRPr="00A31137">
        <w:t>In the House and Senate, Republicans have championed the economic rights of the family and made a $500 per child tax credit the centerpiece of their reform agenda. But that overdue measure of relief for households with children was vetoed.</w:t>
      </w:r>
    </w:p>
    <w:p w:rsidR="00A31137" w:rsidRPr="00A31137" w:rsidRDefault="00A31137" w:rsidP="00A31137">
      <w:r w:rsidRPr="00A31137">
        <w:t>1996 Republican Party Platform</w:t>
      </w:r>
    </w:p>
    <w:p w:rsidR="00A31137" w:rsidRPr="00A31137" w:rsidRDefault="00A31137" w:rsidP="00A31137">
      <w:r w:rsidRPr="00A31137">
        <w:t xml:space="preserve">We salute parents working at the State level to ensure constitutional protection for the rights of the family. We urge State legislators to review divorce laws to foster the stability of the home and protect the economic rights of the innocent spouse and children. </w:t>
      </w:r>
    </w:p>
    <w:p w:rsidR="00A31137" w:rsidRPr="00A31137" w:rsidRDefault="00A31137" w:rsidP="00A31137">
      <w:r w:rsidRPr="00A31137">
        <w:t>Improving Education</w:t>
      </w:r>
    </w:p>
    <w:p w:rsidR="00A31137" w:rsidRPr="00A31137" w:rsidRDefault="00A31137" w:rsidP="00A31137">
      <w:r w:rsidRPr="00A31137">
        <w:t>1996 Republican Party Platform</w:t>
      </w:r>
    </w:p>
    <w:p w:rsidR="00A31137" w:rsidRPr="00A31137" w:rsidRDefault="00A31137" w:rsidP="00A31137">
      <w:r w:rsidRPr="00A31137">
        <w:t>"At the center of all that afflicts our schools is a denial of free choice. Our public schools are in trouble because they are no longer run by the public. Instead, they're controlled by narrow special interest groups who regard public education not as a public trust, but as political territory to be guarded at all costs." Bob Dole, July 17, 1996, in Minneapolis</w:t>
      </w:r>
    </w:p>
    <w:p w:rsidR="00A31137" w:rsidRPr="00A31137" w:rsidRDefault="00A31137" w:rsidP="00A31137">
      <w:r w:rsidRPr="00A31137">
        <w:t>1996 Republican Party Platform</w:t>
      </w:r>
    </w:p>
    <w:p w:rsidR="00A31137" w:rsidRPr="00A31137" w:rsidRDefault="00A31137" w:rsidP="00A31137">
      <w:r w:rsidRPr="00A31137">
        <w:t xml:space="preserve">The American people know that something is terribly wrong with our education system. The evidence is everywhere: children who cannot read, graduates who cannot reason, danger in schoolyards, indoctrination in classrooms. </w:t>
      </w:r>
    </w:p>
    <w:p w:rsidR="00A31137" w:rsidRPr="00A31137" w:rsidRDefault="00A31137" w:rsidP="00A31137">
      <w:r w:rsidRPr="00A31137">
        <w:t>1996 Republican Party Platform</w:t>
      </w:r>
    </w:p>
    <w:p w:rsidR="00A31137" w:rsidRPr="00A31137" w:rsidRDefault="00A31137" w:rsidP="00A31137">
      <w:r w:rsidRPr="00A31137">
        <w:t xml:space="preserve">To this crisis in our schools, Bill Clinton responds with the same liberal dogmas that created the mess: more federal control and more spending on all the wrong things. He opposes family rights in education and opportunity scholarships for poor children. When it comes to saving our schools, he flunks. </w:t>
      </w:r>
    </w:p>
    <w:p w:rsidR="00A31137" w:rsidRPr="00A31137" w:rsidRDefault="00A31137" w:rsidP="00A31137">
      <w:r w:rsidRPr="00A31137">
        <w:t>1996 Republican Party Platform</w:t>
      </w:r>
    </w:p>
    <w:p w:rsidR="00A31137" w:rsidRPr="00A31137" w:rsidRDefault="00A31137" w:rsidP="00A31137">
      <w:r w:rsidRPr="00A31137">
        <w:t xml:space="preserve">Americans should have the best education in the world. We spend more per pupil than any other nation, and the great majority of our teachers are dedicated and skilled educators, whose interests are ignored by political union bosses. Our goal is nothing less than a renaissance in American education, begun by returning its control to parents, teachers, local school boards and, through them, to communities and local taxpayers. </w:t>
      </w:r>
    </w:p>
    <w:p w:rsidR="00A31137" w:rsidRPr="00A31137" w:rsidRDefault="00A31137" w:rsidP="00A31137">
      <w:r w:rsidRPr="00A31137">
        <w:t>1996 Republican Party Platform</w:t>
      </w:r>
    </w:p>
    <w:p w:rsidR="00A31137" w:rsidRPr="00A31137" w:rsidRDefault="00A31137" w:rsidP="00A31137">
      <w:r w:rsidRPr="00A31137">
        <w:t>Our formula is as simple as it is sweeping: the federal government has no constitutional authority to be involved in school curricula or to control jobs in the work place. That is why we will abolish the Department of Education, end federal meddling in our schools, and promote family choice at all levels of learning. We therefore call for prompt repeal of the Goals 2000 program and the School-To-Work Act of 1994, which put new federal controls, as well as unfunded mandates, on the States. We further urge that federal attempts to impose outcome- or performance-based education on local schools be ended.</w:t>
      </w:r>
    </w:p>
    <w:p w:rsidR="00A31137" w:rsidRPr="00A31137" w:rsidRDefault="00A31137" w:rsidP="00A31137">
      <w:r w:rsidRPr="00A31137">
        <w:t>1996 Republican Party Platform</w:t>
      </w:r>
    </w:p>
    <w:p w:rsidR="00A31137" w:rsidRPr="00A31137" w:rsidRDefault="00A31137" w:rsidP="00A31137">
      <w:r w:rsidRPr="00A31137">
        <w:t xml:space="preserve">We know what works in education, and it isn't the liberal fads of the last thirty years. It's discipline, parental involvement, emphasis on basics including computer technology, phonics instead of look-say reading, and dedicated teaching. </w:t>
      </w:r>
    </w:p>
    <w:p w:rsidR="00A31137" w:rsidRPr="00A31137" w:rsidRDefault="00A31137" w:rsidP="00A31137">
      <w:r w:rsidRPr="00A31137">
        <w:t>1996 Republican Party Platform</w:t>
      </w:r>
    </w:p>
    <w:p w:rsidR="00A31137" w:rsidRPr="00A31137" w:rsidRDefault="00A31137" w:rsidP="00A31137">
      <w:r w:rsidRPr="00A31137">
        <w:t xml:space="preserve">Abstinence education in the home will lead to less need for birth control services and fewer abortions. We support educational initiatives to promote chastity until marriage as the expected standard of behavior. This education initiative is the best preventive measure to avoid the emotional trauma of sexually-transmitted diseases and teen pregnancies that are serious problems among our young people. While recognizing that something must be done to help children when parental consent or supervision is not possible, we oppose school-based clinics, which provide referrals, counseling, and related services for contraception and abortion. </w:t>
      </w:r>
    </w:p>
    <w:p w:rsidR="00A31137" w:rsidRPr="00A31137" w:rsidRDefault="00A31137" w:rsidP="00A31137">
      <w:r w:rsidRPr="00A31137">
        <w:t>1996 Republican Party Platform</w:t>
      </w:r>
    </w:p>
    <w:p w:rsidR="00A31137" w:rsidRPr="00A31137" w:rsidRDefault="00A31137" w:rsidP="00A31137">
      <w:r w:rsidRPr="00A31137">
        <w:t>We encourage a reform agenda on the local level and urge State legislators to ensure quality education for all through programs of parental choice among public, private, and religious schools. That includes the option of home schooling, and Republicans will defend the right of families to make that choice. We support and vigorously work for mechanisms, such as opportunity scholarships, block grants, school rebates, charter schools, and vouchers, to make parental choice in education a reality for all parents.</w:t>
      </w:r>
    </w:p>
    <w:p w:rsidR="00A31137" w:rsidRPr="00A31137" w:rsidRDefault="00A31137" w:rsidP="00A31137">
      <w:r w:rsidRPr="00A31137">
        <w:t>1996 Republican Party Platform</w:t>
      </w:r>
    </w:p>
    <w:p w:rsidR="00A31137" w:rsidRPr="00A31137" w:rsidRDefault="00A31137" w:rsidP="00A31137">
      <w:r w:rsidRPr="00A31137">
        <w:t xml:space="preserve">On the federal level, we endorse legislation—like the Watts-Talent Low-Income Educational Opportunity Act, which is part of the Community Renewal Act of 1996, and the Coats-Kasich Educational Choice and Equity Act—to set up model programs for empowering the families who need good schooling the most. </w:t>
      </w:r>
    </w:p>
    <w:p w:rsidR="00A31137" w:rsidRPr="00A31137" w:rsidRDefault="00A31137" w:rsidP="00A31137">
      <w:r w:rsidRPr="00A31137">
        <w:t>1996 Republican Party Platform</w:t>
      </w:r>
    </w:p>
    <w:p w:rsidR="00A31137" w:rsidRPr="00A31137" w:rsidRDefault="00A31137" w:rsidP="00A31137">
      <w:r w:rsidRPr="00A31137">
        <w:t xml:space="preserve">We will continue to work for the return of voluntary prayer to our schools and will strongly enforce the Republican legislation that guarantees equal access to school facilities by student religious groups. We encourage State legislatures to pass statutes which prohibit local school boards from adopting policies of denial regarding voluntary school prayer. </w:t>
      </w:r>
    </w:p>
    <w:p w:rsidR="00A31137" w:rsidRPr="00A31137" w:rsidRDefault="00A31137" w:rsidP="00A31137">
      <w:r w:rsidRPr="00A31137">
        <w:t>1996 Republican Party Platform</w:t>
      </w:r>
    </w:p>
    <w:p w:rsidR="00A31137" w:rsidRPr="00A31137" w:rsidRDefault="00A31137" w:rsidP="00A31137">
      <w:r w:rsidRPr="00A31137">
        <w:t>We endorse Bob Dole's pledge that all federal education policies will be guided by his Education Consumer's Warranty. The Education Consumer's Warranty says that all American children should expect to:</w:t>
      </w:r>
    </w:p>
    <w:p w:rsidR="00A31137" w:rsidRPr="00A31137" w:rsidRDefault="00A31137" w:rsidP="00A31137">
      <w:r w:rsidRPr="00A31137">
        <w:t>1996 Republican Party Platform</w:t>
      </w:r>
    </w:p>
    <w:p w:rsidR="00A31137" w:rsidRPr="00A31137" w:rsidRDefault="00A31137" w:rsidP="00A31137">
      <w:r w:rsidRPr="00A31137">
        <w:t>attend a safe school;</w:t>
      </w:r>
    </w:p>
    <w:p w:rsidR="00A31137" w:rsidRPr="00A31137" w:rsidRDefault="00A31137" w:rsidP="00A31137">
      <w:r w:rsidRPr="00A31137">
        <w:t>1996 Republican Party Platform</w:t>
      </w:r>
    </w:p>
    <w:p w:rsidR="00A31137" w:rsidRPr="00A31137" w:rsidRDefault="00A31137" w:rsidP="00A31137">
      <w:r w:rsidRPr="00A31137">
        <w:t>be free from educational malpractice at the hands of bad schools, incompetent teachers, timid principals, and intrusive bureaucrats;</w:t>
      </w:r>
    </w:p>
    <w:p w:rsidR="00A31137" w:rsidRPr="00A31137" w:rsidRDefault="00A31137" w:rsidP="00A31137">
      <w:r w:rsidRPr="00A31137">
        <w:t>1996 Republican Party Platform</w:t>
      </w:r>
    </w:p>
    <w:p w:rsidR="00A31137" w:rsidRPr="00A31137" w:rsidRDefault="00A31137" w:rsidP="00A31137">
      <w:r w:rsidRPr="00A31137">
        <w:t>find out exactly how well they and their school are doing (in terms of achievement) in relation to how well they ought to be doing;</w:t>
      </w:r>
    </w:p>
    <w:p w:rsidR="00A31137" w:rsidRPr="00A31137" w:rsidRDefault="00A31137" w:rsidP="00A31137">
      <w:r w:rsidRPr="00A31137">
        <w:t>1996 Republican Party Platform</w:t>
      </w:r>
    </w:p>
    <w:p w:rsidR="00A31137" w:rsidRPr="00A31137" w:rsidRDefault="00A31137" w:rsidP="00A31137">
      <w:r w:rsidRPr="00A31137">
        <w:t>learn the three R's through proven methods;</w:t>
      </w:r>
    </w:p>
    <w:p w:rsidR="00A31137" w:rsidRPr="00A31137" w:rsidRDefault="00A31137" w:rsidP="00A31137">
      <w:r w:rsidRPr="00A31137">
        <w:t>1996 Republican Party Platform</w:t>
      </w:r>
    </w:p>
    <w:p w:rsidR="00A31137" w:rsidRPr="00A31137" w:rsidRDefault="00A31137" w:rsidP="00A31137">
      <w:r w:rsidRPr="00A31137">
        <w:t>learn the nation's history and democratic values and study the classics of western civilization;</w:t>
      </w:r>
    </w:p>
    <w:p w:rsidR="00A31137" w:rsidRPr="00A31137" w:rsidRDefault="00A31137" w:rsidP="00A31137">
      <w:r w:rsidRPr="00A31137">
        <w:t>1996 Republican Party Platform</w:t>
      </w:r>
    </w:p>
    <w:p w:rsidR="00A31137" w:rsidRPr="00A31137" w:rsidRDefault="00A31137" w:rsidP="00A31137">
      <w:r w:rsidRPr="00A31137">
        <w:t>attend a school that is free to innovate and isn't tied down by federal red tape;</w:t>
      </w:r>
    </w:p>
    <w:p w:rsidR="00A31137" w:rsidRPr="00A31137" w:rsidRDefault="00A31137" w:rsidP="00A31137">
      <w:r w:rsidRPr="00A31137">
        <w:t>1996 Republican Party Platform</w:t>
      </w:r>
    </w:p>
    <w:p w:rsidR="00A31137" w:rsidRPr="00A31137" w:rsidRDefault="00A31137" w:rsidP="00A31137">
      <w:r w:rsidRPr="00A31137">
        <w:t>be confident that their high school diploma signifies a solid education, suitable for college or a good job;</w:t>
      </w:r>
    </w:p>
    <w:p w:rsidR="00A31137" w:rsidRPr="00A31137" w:rsidRDefault="00A31137" w:rsidP="00A31137">
      <w:r w:rsidRPr="00A31137">
        <w:t>1996 Republican Party Platform</w:t>
      </w:r>
    </w:p>
    <w:p w:rsidR="00A31137" w:rsidRPr="00A31137" w:rsidRDefault="00A31137" w:rsidP="00A31137">
      <w:r w:rsidRPr="00A31137">
        <w:t>choose the school that's right for them;</w:t>
      </w:r>
    </w:p>
    <w:p w:rsidR="00A31137" w:rsidRPr="00A31137" w:rsidRDefault="00A31137" w:rsidP="00A31137">
      <w:r w:rsidRPr="00A31137">
        <w:t>1996 Republican Party Platform</w:t>
      </w:r>
    </w:p>
    <w:p w:rsidR="00A31137" w:rsidRPr="00A31137" w:rsidRDefault="00A31137" w:rsidP="00A31137">
      <w:r w:rsidRPr="00A31137">
        <w:t>know that their tax dollars are reaching the classroom, not being siphoned off into overhead and bureaucracy; and,</w:t>
      </w:r>
    </w:p>
    <w:p w:rsidR="00A31137" w:rsidRPr="00A31137" w:rsidRDefault="00A31137" w:rsidP="00A31137">
      <w:r w:rsidRPr="00A31137">
        <w:t>1996 Republican Party Platform</w:t>
      </w:r>
    </w:p>
    <w:p w:rsidR="00A31137" w:rsidRPr="00A31137" w:rsidRDefault="00A31137" w:rsidP="00A31137">
      <w:r w:rsidRPr="00A31137">
        <w:t>count on being able to arrive at college prepared to do freshman-level work.</w:t>
      </w:r>
    </w:p>
    <w:p w:rsidR="00A31137" w:rsidRPr="00A31137" w:rsidRDefault="00A31137" w:rsidP="00A31137">
      <w:r w:rsidRPr="00A31137">
        <w:t>1996 Republican Party Platform</w:t>
      </w:r>
    </w:p>
    <w:p w:rsidR="00A31137" w:rsidRPr="00A31137" w:rsidRDefault="00A31137" w:rsidP="00A31137">
      <w:r w:rsidRPr="00A31137">
        <w:t>To reinforce our American heritage, we believe our nation's Governors, State legislators, and local school boards should support requiring our public schools to dedicate one full day each year solely to studying the Declaration of Independence and the Constitution.</w:t>
      </w:r>
    </w:p>
    <w:p w:rsidR="00A31137" w:rsidRPr="00A31137" w:rsidRDefault="00A31137" w:rsidP="00A31137">
      <w:r w:rsidRPr="00A31137">
        <w:t>1996 Republican Party Platform</w:t>
      </w:r>
    </w:p>
    <w:p w:rsidR="00A31137" w:rsidRPr="00A31137" w:rsidRDefault="00A31137" w:rsidP="00A31137">
      <w:r w:rsidRPr="00A31137">
        <w:t>America's families find themselves on a college treadmill: the more they work to pay tuition, the faster it seems to increase. Tuition has escalated far in excess of inflation, in defiance of market factors, and shows no sign of slowing down. Billions of dollars are wasted on regulations, paperwork, and "political correctness," which impedes the ability of the faculty to teach. We call for a national reassessment of the economics of higher education, to stop the treadmill and restore fiscal accountability to higher education. Congressional Republicans budgeted a 50 percent increase in student loans while fighting Bill Clinton's intrusion of Big Government into their financing. Heeding the outcry from the nation's campuses, we will end the Clinton Administration's perverse direct lending program. We support proposals to assist families to prepare for the financial strains of higher education, like the American Dream Savings Account, passed by congressional Republicans but vetoed.</w:t>
      </w:r>
    </w:p>
    <w:p w:rsidR="00A31137" w:rsidRPr="00A31137" w:rsidRDefault="00A31137" w:rsidP="00A31137">
      <w:r w:rsidRPr="00A31137">
        <w:t>1996 Republican Party Platform</w:t>
      </w:r>
    </w:p>
    <w:p w:rsidR="00A31137" w:rsidRPr="00A31137" w:rsidRDefault="00A31137" w:rsidP="00A31137">
      <w:r w:rsidRPr="00A31137">
        <w:t>To protect the nation's colleges and universities against intolerance, we will work with independent educators to create alternatives to ideological accrediting bodies. We believe meeting the higher education needs of America will require new, public and private institutions that are flexible, able to apply new technologies, willing to provide access to all those who need it, cost-effective and that place no burden on the American taxpayer.</w:t>
      </w:r>
    </w:p>
    <w:p w:rsidR="00A31137" w:rsidRPr="00A31137" w:rsidRDefault="00A31137" w:rsidP="00A31137">
      <w:r w:rsidRPr="00A31137">
        <w:t>Improving America's Health Care</w:t>
      </w:r>
    </w:p>
    <w:p w:rsidR="00A31137" w:rsidRPr="00A31137" w:rsidRDefault="00A31137" w:rsidP="00A31137">
      <w:r w:rsidRPr="00A31137">
        <w:t>1996 Republican Party Platform</w:t>
      </w:r>
    </w:p>
    <w:p w:rsidR="00A31137" w:rsidRPr="00A31137" w:rsidRDefault="00A31137" w:rsidP="00A31137">
      <w:r w:rsidRPr="00A31137">
        <w:t>Our goal is to maintain the quality of America's health care—the best in the world, bar none—while making health care and health insurance more accessible and more affordable. That means allowing health care providers to respond to consumer demand through consumer choice.</w:t>
      </w:r>
    </w:p>
    <w:p w:rsidR="00A31137" w:rsidRPr="00A31137" w:rsidRDefault="00A31137" w:rsidP="00A31137">
      <w:r w:rsidRPr="00A31137">
        <w:t>1996 Republican Party Platform</w:t>
      </w:r>
    </w:p>
    <w:p w:rsidR="00A31137" w:rsidRPr="00A31137" w:rsidRDefault="00A31137" w:rsidP="00A31137">
      <w:r w:rsidRPr="00A31137">
        <w:t xml:space="preserve">That approach stands in stark contrast to Bill Clinton's health plan of 1993. "Clintoncare" would have been a poison pill for the nation's health care system. Congressional Republicans countered with the right prescription: </w:t>
      </w:r>
    </w:p>
    <w:p w:rsidR="00A31137" w:rsidRPr="00A31137" w:rsidRDefault="00A31137" w:rsidP="00A31137">
      <w:r w:rsidRPr="00A31137">
        <w:t>1996 Republican Party Platform</w:t>
      </w:r>
    </w:p>
    <w:p w:rsidR="00A31137" w:rsidRPr="00A31137" w:rsidRDefault="00A31137" w:rsidP="00A31137">
      <w:r w:rsidRPr="00A31137">
        <w:t>make insurance portable from job to job;</w:t>
      </w:r>
    </w:p>
    <w:p w:rsidR="00A31137" w:rsidRPr="00A31137" w:rsidRDefault="00A31137" w:rsidP="00A31137">
      <w:r w:rsidRPr="00A31137">
        <w:t>1996 Republican Party Platform</w:t>
      </w:r>
    </w:p>
    <w:p w:rsidR="00A31137" w:rsidRPr="00A31137" w:rsidRDefault="00A31137" w:rsidP="00A31137">
      <w:r w:rsidRPr="00A31137">
        <w:t>ensure that persons are not denied coverage because of preexisting health conditions when changing employment;</w:t>
      </w:r>
    </w:p>
    <w:p w:rsidR="00A31137" w:rsidRPr="00A31137" w:rsidRDefault="00A31137" w:rsidP="00A31137">
      <w:r w:rsidRPr="00A31137">
        <w:t>1996 Republican Party Platform</w:t>
      </w:r>
    </w:p>
    <w:p w:rsidR="00A31137" w:rsidRPr="00A31137" w:rsidRDefault="00A31137" w:rsidP="00A31137">
      <w:r w:rsidRPr="00A31137">
        <w:t>crack down on Medicare and Medicaid fraud, while preserving the confidentiality of medical records from inappropriate scrutiny and without imposing criminal penalties for clerical errors and billing mistakes;</w:t>
      </w:r>
    </w:p>
    <w:p w:rsidR="00A31137" w:rsidRPr="00A31137" w:rsidRDefault="00A31137" w:rsidP="00A31137">
      <w:r w:rsidRPr="00A31137">
        <w:t>1996 Republican Party Platform</w:t>
      </w:r>
    </w:p>
    <w:p w:rsidR="00A31137" w:rsidRPr="00A31137" w:rsidRDefault="00A31137" w:rsidP="00A31137">
      <w:r w:rsidRPr="00A31137">
        <w:t>reform malpractice laws, to reduce the costly practice of "defensive medicine" and to make it easier for doctors to specialize in fields like obstetrics. We also recognize the vital importance of maintaining the confidentiality of the national practitioners data base;</w:t>
      </w:r>
    </w:p>
    <w:p w:rsidR="00A31137" w:rsidRPr="00A31137" w:rsidRDefault="00A31137" w:rsidP="00A31137">
      <w:r w:rsidRPr="00A31137">
        <w:t>1996 Republican Party Platform</w:t>
      </w:r>
    </w:p>
    <w:p w:rsidR="00A31137" w:rsidRPr="00A31137" w:rsidRDefault="00A31137" w:rsidP="00A31137">
      <w:r w:rsidRPr="00A31137">
        <w:t>let individuals set up tax-free Medical Savings Accounts (MSAs), so they can plan for their own medical needs instead of relying on government or insurance companies. Republicans believe that Medicare and Medicaid recipients should also have the option to utilize Medical Savings Accounts, which would result in huge savings for the American taxpayers;</w:t>
      </w:r>
    </w:p>
    <w:p w:rsidR="00A31137" w:rsidRPr="00A31137" w:rsidRDefault="00A31137" w:rsidP="00A31137">
      <w:r w:rsidRPr="00A31137">
        <w:t>1996 Republican Party Platform</w:t>
      </w:r>
    </w:p>
    <w:p w:rsidR="00A31137" w:rsidRPr="00A31137" w:rsidRDefault="00A31137" w:rsidP="00A31137">
      <w:r w:rsidRPr="00A31137">
        <w:t>overhaul the Food and Drug Administration to get better products on the market faster and at less cost to consumers;</w:t>
      </w:r>
    </w:p>
    <w:p w:rsidR="00A31137" w:rsidRPr="00A31137" w:rsidRDefault="00A31137" w:rsidP="00A31137">
      <w:r w:rsidRPr="00A31137">
        <w:t>1996 Republican Party Platform</w:t>
      </w:r>
    </w:p>
    <w:p w:rsidR="00A31137" w:rsidRPr="00A31137" w:rsidRDefault="00A31137" w:rsidP="00A31137">
      <w:r w:rsidRPr="00A31137">
        <w:t>change IRS rules that restrict coverage: let employer groups offer tax-exempt policies and make premiums 100% deductible for farmers, small businesses, and all the self-employed;</w:t>
      </w:r>
    </w:p>
    <w:p w:rsidR="00A31137" w:rsidRPr="00A31137" w:rsidRDefault="00A31137" w:rsidP="00A31137">
      <w:r w:rsidRPr="00A31137">
        <w:t>1996 Republican Party Platform</w:t>
      </w:r>
    </w:p>
    <w:p w:rsidR="00A31137" w:rsidRPr="00A31137" w:rsidRDefault="00A31137" w:rsidP="00A31137">
      <w:r w:rsidRPr="00A31137">
        <w:t>promote a private market for long-term care insurance;</w:t>
      </w:r>
    </w:p>
    <w:p w:rsidR="00A31137" w:rsidRPr="00A31137" w:rsidRDefault="00A31137" w:rsidP="00A31137">
      <w:r w:rsidRPr="00A31137">
        <w:t>1996 Republican Party Platform</w:t>
      </w:r>
    </w:p>
    <w:p w:rsidR="00A31137" w:rsidRPr="00A31137" w:rsidRDefault="00A31137" w:rsidP="00A31137">
      <w:r w:rsidRPr="00A31137">
        <w:t>reduce paperwork through electronic billing;</w:t>
      </w:r>
    </w:p>
    <w:p w:rsidR="00A31137" w:rsidRPr="00A31137" w:rsidRDefault="00A31137" w:rsidP="00A31137">
      <w:r w:rsidRPr="00A31137">
        <w:t>1996 Republican Party Platform</w:t>
      </w:r>
    </w:p>
    <w:p w:rsidR="00A31137" w:rsidRPr="00A31137" w:rsidRDefault="00A31137" w:rsidP="00A31137">
      <w:r w:rsidRPr="00A31137">
        <w:t>change anti-trust laws to let health care providers cooperate in holding down charges;</w:t>
      </w:r>
    </w:p>
    <w:p w:rsidR="00A31137" w:rsidRPr="00A31137" w:rsidRDefault="00A31137" w:rsidP="00A31137">
      <w:r w:rsidRPr="00A31137">
        <w:t>1996 Republican Party Platform</w:t>
      </w:r>
    </w:p>
    <w:p w:rsidR="00A31137" w:rsidRPr="00A31137" w:rsidRDefault="00A31137" w:rsidP="00A31137">
      <w:r w:rsidRPr="00A31137">
        <w:t>avoid mandatory coverages that make consumers pay for more insurance than they need;</w:t>
      </w:r>
    </w:p>
    <w:p w:rsidR="00A31137" w:rsidRPr="00A31137" w:rsidRDefault="00A31137" w:rsidP="00A31137">
      <w:r w:rsidRPr="00A31137">
        <w:t>1996 Republican Party Platform</w:t>
      </w:r>
    </w:p>
    <w:p w:rsidR="00A31137" w:rsidRPr="00A31137" w:rsidRDefault="00A31137" w:rsidP="00A31137">
      <w:r w:rsidRPr="00A31137">
        <w:t>allow multi-employer purchasing groups and form "risk pools" in the States to make employee health insurance more affordable;</w:t>
      </w:r>
    </w:p>
    <w:p w:rsidR="00A31137" w:rsidRPr="00A31137" w:rsidRDefault="00A31137" w:rsidP="00A31137">
      <w:r w:rsidRPr="00A31137">
        <w:t>1996 Republican Party Platform</w:t>
      </w:r>
    </w:p>
    <w:p w:rsidR="00A31137" w:rsidRPr="00A31137" w:rsidRDefault="00A31137" w:rsidP="00A31137">
      <w:r w:rsidRPr="00A31137">
        <w:t xml:space="preserve">remove regulatory barriers to the use of managed care for those who choose it. Traditionally, all Americans have had the freedom to choose their health care plans, as well as the providers who treat them. To ensure quality of care, it is imperative that patients continue to enjoy the freedoms to which they have become accustomed. Communications between providers and patients should be free and open, and allow for full discussion of the patient's medical care. Financial arrangements should not be a barrier to a patient's receiving quality medical care; </w:t>
      </w:r>
    </w:p>
    <w:p w:rsidR="00A31137" w:rsidRPr="00A31137" w:rsidRDefault="00A31137" w:rsidP="00A31137">
      <w:r w:rsidRPr="00A31137">
        <w:t>1996 Republican Party Platform</w:t>
      </w:r>
    </w:p>
    <w:p w:rsidR="00A31137" w:rsidRPr="00A31137" w:rsidRDefault="00A31137" w:rsidP="00A31137">
      <w:r w:rsidRPr="00A31137">
        <w:t xml:space="preserve">permit families with incomes up to twice the poverty level to buy into Medicaid; </w:t>
      </w:r>
    </w:p>
    <w:p w:rsidR="00A31137" w:rsidRPr="00A31137" w:rsidRDefault="00A31137" w:rsidP="00A31137">
      <w:r w:rsidRPr="00A31137">
        <w:t>1996 Republican Party Platform</w:t>
      </w:r>
    </w:p>
    <w:p w:rsidR="00A31137" w:rsidRPr="00A31137" w:rsidRDefault="00A31137" w:rsidP="00A31137">
      <w:r w:rsidRPr="00A31137">
        <w:t>promote rural health care through telecommuni-cations and emergency air transport; and</w:t>
      </w:r>
    </w:p>
    <w:p w:rsidR="00A31137" w:rsidRPr="00A31137" w:rsidRDefault="00A31137" w:rsidP="00A31137">
      <w:r w:rsidRPr="00A31137">
        <w:t>1996 Republican Party Platform</w:t>
      </w:r>
    </w:p>
    <w:p w:rsidR="00A31137" w:rsidRPr="00A31137" w:rsidRDefault="00A31137" w:rsidP="00A31137">
      <w:r w:rsidRPr="00A31137">
        <w:t>increase funding for Community and Migrant Health Centers.</w:t>
      </w:r>
    </w:p>
    <w:p w:rsidR="00A31137" w:rsidRPr="00A31137" w:rsidRDefault="00A31137" w:rsidP="00A31137">
      <w:r w:rsidRPr="00A31137">
        <w:t>1996 Republican Party Platform</w:t>
      </w:r>
    </w:p>
    <w:p w:rsidR="00A31137" w:rsidRPr="00A31137" w:rsidRDefault="00A31137" w:rsidP="00A31137">
      <w:r w:rsidRPr="00A31137">
        <w:t xml:space="preserve">Bill Clinton and most congressional Democrats opposed many of these reforms, especially Medical Savings Accounts and changes in malpractice laws. Congressional Republicans rallied the nation to win a long overdue victory for consumers and for commonsense. Three months away from the November elections, Bill Clinton caved in and promised to sign into law the Republican solution to America's health care problems. </w:t>
      </w:r>
    </w:p>
    <w:p w:rsidR="00A31137" w:rsidRPr="00A31137" w:rsidRDefault="00A31137" w:rsidP="00A31137">
      <w:r w:rsidRPr="00A31137">
        <w:t>1996 Republican Party Platform</w:t>
      </w:r>
    </w:p>
    <w:p w:rsidR="00A31137" w:rsidRPr="00A31137" w:rsidRDefault="00A31137" w:rsidP="00A31137">
      <w:r w:rsidRPr="00A31137">
        <w:t>But the Clinton Democrats are still blocking Republican efforts to preserve, protect, and strengthen Medicare. Until Medicare is financially secure again, our job is not finished. More than 38 million people depend on Medicare, which is rushing toward bankruptcy even more quickly than predicted. Bill Clinton doesn't seem to mind. Despite repeated Republican efforts to work with his administration to save Medicare, his response has been a barrage of propaganda. We proposed Medisave; he indulged in Mediscare. We say this with solemn deliberation: Bill Clinton lied about the condition of Medicare and lied about our attempts to save it.</w:t>
      </w:r>
    </w:p>
    <w:p w:rsidR="00A31137" w:rsidRPr="00A31137" w:rsidRDefault="00A31137" w:rsidP="00A31137">
      <w:r w:rsidRPr="00A31137">
        <w:t>1996 Republican Party Platform</w:t>
      </w:r>
    </w:p>
    <w:p w:rsidR="00A31137" w:rsidRPr="00A31137" w:rsidRDefault="00A31137" w:rsidP="00A31137">
      <w:r w:rsidRPr="00A31137">
        <w:t>We reaffirm our determination to protect Medicare. We will ensure a significant annual expansion in Medicare. That isn't "cutting Medicare." It's a projected average annual rate of growth of 7.1 percent a year—more than twice the rate of inflation—to ensure coverage for those who need it now and those who will need it in the future. We propose to allow unprecedented patient choice in Medicare, so that older Americans can select health care arrangements that work best for them, including provider-sponsored organizations offering quality care with strong consumer protections.</w:t>
      </w:r>
    </w:p>
    <w:p w:rsidR="00A31137" w:rsidRPr="00A31137" w:rsidRDefault="00A31137" w:rsidP="00A31137">
      <w:r w:rsidRPr="00A31137">
        <w:t>1996 Republican Party Platform</w:t>
      </w:r>
    </w:p>
    <w:p w:rsidR="00A31137" w:rsidRPr="00A31137" w:rsidRDefault="00A31137" w:rsidP="00A31137">
      <w:r w:rsidRPr="00A31137">
        <w:t>Our commitment is to protect the most vulnerable of our people: children, the elderly, the disabled. That is why we are determined to restructure Medicaid, the federal-State program of health care for the poor. Rife with fraud, poorly administered, with no incentives for patient or provider savings, Medicaid has mushroomed into the nation's biggest welfare program. Its staggering rate of growth threatens to overwhelm State budgets, while thwarting congressional progress towards a federal balanced budget. Bill Clinton's response has been to ignore the problem—and attack Republicans for trying to solve it.</w:t>
      </w:r>
    </w:p>
    <w:p w:rsidR="00A31137" w:rsidRPr="00A31137" w:rsidRDefault="00A31137" w:rsidP="00A31137">
      <w:r w:rsidRPr="00A31137">
        <w:t>1996 Republican Party Platform</w:t>
      </w:r>
    </w:p>
    <w:p w:rsidR="00A31137" w:rsidRPr="00A31137" w:rsidRDefault="00A31137" w:rsidP="00A31137">
      <w:r w:rsidRPr="00A31137">
        <w:t xml:space="preserve">We must find better ways to ensure quality health care for the poor. Medicaid should be turned over to State management with leeway for restructuring and reform. Low-income persons should have access to managed care programs and Medical Savings Accounts, just as other persons do, and State officials should have authority to weed out substandard providers and to eliminate excess costs. We endorse Republican legislation extending federal tort claim coverage to health care professionals who provide free medical services to persons who cannot afford them. </w:t>
      </w:r>
    </w:p>
    <w:p w:rsidR="00A31137" w:rsidRPr="00A31137" w:rsidRDefault="00A31137" w:rsidP="00A31137">
      <w:r w:rsidRPr="00A31137">
        <w:t>1996 Republican Party Platform</w:t>
      </w:r>
    </w:p>
    <w:p w:rsidR="00A31137" w:rsidRPr="00A31137" w:rsidRDefault="00A31137" w:rsidP="00A31137">
      <w:r w:rsidRPr="00A31137">
        <w:t>Preventive care is key to both wellness and lower medical bills, and strong families are the most powerful form of preventive care. Responsible families mean less child abuse, lower infant mortality, fewer unvaccinated youngsters, fewer teen pregnancies, and less involvement with drugs, alcohol, and tobacco. To help low-income families toward those goals, we will unify scattered federal resources into block grants.</w:t>
      </w:r>
    </w:p>
    <w:p w:rsidR="00A31137" w:rsidRPr="00A31137" w:rsidRDefault="00A31137" w:rsidP="00A31137">
      <w:r w:rsidRPr="00A31137">
        <w:t>1996 Republican Party Platform</w:t>
      </w:r>
    </w:p>
    <w:p w:rsidR="00A31137" w:rsidRPr="00A31137" w:rsidRDefault="00A31137" w:rsidP="00A31137">
      <w:r w:rsidRPr="00A31137">
        <w:t>We reaffirm our traditional support for generous funding of medical research, especially through the National Institutes of Health, and for continuing federal support for teaching hospitals and medical schools. We remain committed to, and place a high priority on, finding a cure for HIV disease. We support increased funding for research targeted at conditions that touch the families of most Americans, like Alzheimer's, breast cancer, prostate cancer, and diabetes. We call for an increased emphasis on prevention of diseases that threaten the lives of women. This requires dramatic expansion of outreach and education to expand public awareness. We call for fetal protection in biomedical research and will enforce the rights of human subjects in all federally funded studies.</w:t>
      </w:r>
    </w:p>
    <w:p w:rsidR="00A31137" w:rsidRPr="00A31137" w:rsidRDefault="00A31137" w:rsidP="00A31137">
      <w:r w:rsidRPr="00A31137">
        <w:t>1996 Republican Party Platform</w:t>
      </w:r>
    </w:p>
    <w:p w:rsidR="00A31137" w:rsidRPr="00A31137" w:rsidRDefault="00A31137" w:rsidP="00A31137">
      <w:r w:rsidRPr="00A31137">
        <w:t>The value of medical research and preventive care to wellness and lower health care spending can be highlighted by the example of diabetes. Approximately 16 million people in the U.S. have diabetes, and 50 percent of people above age 65 are at risk for developing some form of the disease. Diabetes is a leading cause of adult blindness, kidney disease, heart disease, stroke and amputations, and reduces life expectancy by up to 30 percent. As much as 25 percent of Medicare expenditures are incurred in the treatment of diabetes-related complications. Scientific discoveries, made possible by federal funding of medical research, have led to new efforts to prevent diabetes, as well as new treatment strategies to forestall the development of its debilitating and life-threatening complications. Today, people stricken with diabetes can, in concert with their health care providers, delay or prevent the serious and deadly complications of the disease. In other words, we now have the opportunity to reduce the burden of diabetes.</w:t>
      </w:r>
    </w:p>
    <w:p w:rsidR="00A31137" w:rsidRPr="00A31137" w:rsidRDefault="00A31137" w:rsidP="00A31137">
      <w:r w:rsidRPr="00A31137">
        <w:t>Renewing Hope and Opportunity</w:t>
      </w:r>
    </w:p>
    <w:p w:rsidR="00A31137" w:rsidRPr="00A31137" w:rsidRDefault="00A31137" w:rsidP="00A31137">
      <w:r w:rsidRPr="00A31137">
        <w:t>1996 Republican Party Platform</w:t>
      </w:r>
    </w:p>
    <w:p w:rsidR="00A31137" w:rsidRPr="00A31137" w:rsidRDefault="00A31137" w:rsidP="00A31137">
      <w:r w:rsidRPr="00A31137">
        <w:t>"Thirty years ago, the 'Great Society' was liberalism's greatest hope, its greatest boast. Today, it stands as its greatest shame, a grand failure that has crushed the spirit, destroyed the families, and decimated the culture of those who have become enmeshed in its web." Bob Dole, May 21, 1996, in Fond du Lac, Wisconsin</w:t>
      </w:r>
    </w:p>
    <w:p w:rsidR="00A31137" w:rsidRPr="00A31137" w:rsidRDefault="00A31137" w:rsidP="00A31137">
      <w:r w:rsidRPr="00A31137">
        <w:t>1996 Republican Party Platform</w:t>
      </w:r>
    </w:p>
    <w:p w:rsidR="00A31137" w:rsidRPr="00A31137" w:rsidRDefault="00A31137" w:rsidP="00A31137">
      <w:r w:rsidRPr="00A31137">
        <w:t>Within a few weeks, Bill Clinton will sign into law a Republican reform of welfare. With a straight face, after twice vetoing similar legislation, he will attempt to take credit for what we have accomplished.</w:t>
      </w:r>
    </w:p>
    <w:p w:rsidR="00A31137" w:rsidRPr="00A31137" w:rsidRDefault="00A31137" w:rsidP="00A31137">
      <w:r w:rsidRPr="00A31137">
        <w:t>1996 Republican Party Platform</w:t>
      </w:r>
    </w:p>
    <w:p w:rsidR="00A31137" w:rsidRPr="00A31137" w:rsidRDefault="00A31137" w:rsidP="00A31137">
      <w:r w:rsidRPr="00A31137">
        <w:t xml:space="preserve">So be it. Our cause is justice for both the taxpayers and for the poor. Our purpose in welfare reform is not to save money but to bring into the mainstream of American life those who now are on the margins of our society and our economy. We will, in the words of the Speaker of the House of Representatives Newt Gingrich, replace the welfare state with an opportunity society for all. The Clinton administration's "Reinventing Government" program to reform the welfare state bureaucracy has failed. In fact, management reforms of the Reagan years were repealed and new labor-management councils that diluted efficient management were added as additional bureaucracy and red tape. We will revoke these Clinton administration policies and oppose the liberal philosophy that bureaucracy can reform welfare. </w:t>
      </w:r>
    </w:p>
    <w:p w:rsidR="00A31137" w:rsidRPr="00A31137" w:rsidRDefault="00A31137" w:rsidP="00A31137">
      <w:r w:rsidRPr="00A31137">
        <w:t>1996 Republican Party Platform</w:t>
      </w:r>
    </w:p>
    <w:p w:rsidR="00A31137" w:rsidRPr="00A31137" w:rsidRDefault="00A31137" w:rsidP="00A31137">
      <w:r w:rsidRPr="00A31137">
        <w:t>The current welfare system has spent $5 trillion in the last thirty years and has been a catastrophic failure. Despite this massive effort, conditions in our nation's poor communities have grown measurably worse. Poverty used to be an economic problem; now it is a social pathology.</w:t>
      </w:r>
    </w:p>
    <w:p w:rsidR="00A31137" w:rsidRPr="00A31137" w:rsidRDefault="00A31137" w:rsidP="00A31137">
      <w:r w:rsidRPr="00A31137">
        <w:t>1996 Republican Party Platform</w:t>
      </w:r>
    </w:p>
    <w:p w:rsidR="00A31137" w:rsidRPr="00A31137" w:rsidRDefault="00A31137" w:rsidP="00A31137">
      <w:r w:rsidRPr="00A31137">
        <w:t xml:space="preserve">The key to welfare reform is restoring personal responsibility and encouraging two-parent households. The path to that goal lies outside of official Washington. In the hands of State and local officials, and under the eye of local taxpayers, welfare can again become a hand up instead of a handout. All able-bodied adults must be required to work, either in private sector jobs or in community work projects. Illegal aliens must be ineligible for all but emergency benefits. And a firm time limit for receipt of welfare must be enforced. </w:t>
      </w:r>
    </w:p>
    <w:p w:rsidR="00A31137" w:rsidRPr="00A31137" w:rsidRDefault="00A31137" w:rsidP="00A31137">
      <w:r w:rsidRPr="00A31137">
        <w:t>1996 Republican Party Platform</w:t>
      </w:r>
    </w:p>
    <w:p w:rsidR="00A31137" w:rsidRPr="00A31137" w:rsidRDefault="00A31137" w:rsidP="00A31137">
      <w:r w:rsidRPr="00A31137">
        <w:t>Because illegitimacy is the most serious cause of child poverty, we will encourage States to stop cash payments to unmarried teens and set a family cap on payments for additional children. When benefits of any kind are extended to teen mothers, they must be conditioned upon their attendance at school and their living at home with a parent, adult relative, or guardian. About half the children of today's teen welfare mothers were fathered in statutory rape. We echo Bob Dole's call to our nation's governors to toughen and enforce State laws in this regard, as well as those concerning enforcement of child support.</w:t>
      </w:r>
    </w:p>
    <w:p w:rsidR="00A31137" w:rsidRPr="00A31137" w:rsidRDefault="00A31137" w:rsidP="00A31137">
      <w:r w:rsidRPr="00A31137">
        <w:t>1996 Republican Party Platform</w:t>
      </w:r>
    </w:p>
    <w:p w:rsidR="00A31137" w:rsidRPr="00A31137" w:rsidRDefault="00A31137" w:rsidP="00A31137">
      <w:r w:rsidRPr="00A31137">
        <w:t>Restoring common sense to welfare programs is only one side of the Republican equation for hope and opportunity. The other side is giving low-income households the tools with which they can build their own future. We propose to do this along the lines of the American Community Renewal Act, a Republican congressional initiative that would establish throughout the nation up to 100 renewal communities where residents, businesses, and investors would have unprecedented economic freedom and incentives to create prosperity. School choice for low-income families is an integral part of that initiative.</w:t>
      </w:r>
    </w:p>
    <w:p w:rsidR="00A31137" w:rsidRPr="00A31137" w:rsidRDefault="00A31137" w:rsidP="00A31137">
      <w:r w:rsidRPr="00A31137">
        <w:t>1996 Republican Party Platform</w:t>
      </w:r>
    </w:p>
    <w:p w:rsidR="00A31137" w:rsidRPr="00A31137" w:rsidRDefault="00A31137" w:rsidP="00A31137">
      <w:r w:rsidRPr="00A31137">
        <w:t xml:space="preserve">We call for the removal of structural impediments which liberals throw in the path of poor people: over-regulation of start-up enterprises, excessive licensing requirements, needless restrictions on formation of schools and child-care centers catering to poor families, restrictions on providing public services in fields like transport and sanitation, and rigged franchises that close the opportunity door to all but a favored few. </w:t>
      </w:r>
    </w:p>
    <w:p w:rsidR="00A31137" w:rsidRPr="00A31137" w:rsidRDefault="00A31137" w:rsidP="00A31137">
      <w:r w:rsidRPr="00A31137">
        <w:t>1996 Republican Party Platform</w:t>
      </w:r>
    </w:p>
    <w:p w:rsidR="00A31137" w:rsidRPr="00A31137" w:rsidRDefault="00A31137" w:rsidP="00A31137">
      <w:r w:rsidRPr="00A31137">
        <w:t>Not everyone can make it on their own. Government at various levels has a role—and some aid programs do work well—and so do private individuals and charitable and faith-based organizations, whose record of success far outshines that of any public welfare program. To promote personal involvement with anti-poverty efforts, we call for a Charity Tax Credit that will be consistent with the fundamental changes we propose in the nation's system of taxation. To ensure that religiously affiliated institutions can fulfill their helping mission, we endorse Republican legislation to stop discrimination against them in government programs.</w:t>
      </w:r>
    </w:p>
    <w:p w:rsidR="00A31137" w:rsidRPr="00A31137" w:rsidRDefault="00A31137" w:rsidP="00A31137">
      <w:r w:rsidRPr="00A31137">
        <w:t>Older Americans</w:t>
      </w:r>
    </w:p>
    <w:p w:rsidR="00A31137" w:rsidRPr="00A31137" w:rsidRDefault="00A31137" w:rsidP="00A31137">
      <w:r w:rsidRPr="00A31137">
        <w:t>1996 Republican Party Platform</w:t>
      </w:r>
    </w:p>
    <w:p w:rsidR="00A31137" w:rsidRPr="00A31137" w:rsidRDefault="00A31137" w:rsidP="00A31137">
      <w:r w:rsidRPr="00A31137">
        <w:t xml:space="preserve">Our commitment to older Americans runs throughout this platform. It strengthens our call for tax fairness, shows in our action agenda against violent crime, and motivates our crusade to preserve, protect, and strengthen Medicare. </w:t>
      </w:r>
    </w:p>
    <w:p w:rsidR="00A31137" w:rsidRPr="00A31137" w:rsidRDefault="00A31137" w:rsidP="00A31137">
      <w:r w:rsidRPr="00A31137">
        <w:t>1996 Republican Party Platform</w:t>
      </w:r>
    </w:p>
    <w:p w:rsidR="00A31137" w:rsidRPr="00A31137" w:rsidRDefault="00A31137" w:rsidP="00A31137">
      <w:r w:rsidRPr="00A31137">
        <w:t>The Republican Party has always opposed the earnings limitation for Social Security benefits, a confiscatory tax that discourages older Americans from active engagement in all walks of life. While Bill Clinton imposed his new tax on Social Security benefits, he also initially vetoed our legislation to reform the earnings limitation, just as he vetoed our estate tax reform.</w:t>
      </w:r>
    </w:p>
    <w:p w:rsidR="00A31137" w:rsidRPr="00A31137" w:rsidRDefault="00A31137" w:rsidP="00A31137">
      <w:r w:rsidRPr="00A31137">
        <w:t>1996 Republican Party Platform</w:t>
      </w:r>
    </w:p>
    <w:p w:rsidR="00A31137" w:rsidRPr="00A31137" w:rsidRDefault="00A31137" w:rsidP="00A31137">
      <w:r w:rsidRPr="00A31137">
        <w:t xml:space="preserve">The Social Security system remains the cornerstone of personal security for millions of the elderly. In 1983, a Republican president, working with the Republican Chairman of the Senate Finance Committee—Bob Dole—saved the Social Security system from fiscal disaster. We have a legal and moral responsibility to America's seniors and will continue to do everything in our power to ensure that government honors our commitment to Social Security beneficiaries, now and in the future. We will keep it financially sound and keep politics out of its administration. We will work to ensure the integrity and solvency of the Social Security trust funds. </w:t>
      </w:r>
    </w:p>
    <w:p w:rsidR="00A31137" w:rsidRPr="00A31137" w:rsidRDefault="00A31137" w:rsidP="00A31137">
      <w:r w:rsidRPr="00A31137">
        <w:t>1996 Republican Party Platform</w:t>
      </w:r>
    </w:p>
    <w:p w:rsidR="00A31137" w:rsidRPr="00A31137" w:rsidRDefault="00A31137" w:rsidP="00A31137">
      <w:r w:rsidRPr="00A31137">
        <w:t xml:space="preserve">Those who are not older Americans now will one day be so. Our common goal is a secure economic future. To that end, public policy should encourage cooperative efforts by businesses and employees alike to expand the availability of savings vehicles for all. We want to expand retirement options so that individual choice, not government fiat, steers the decision-making process. We must increase both the amount and the portability of personal savings, especially in today's rapidly changing and unpredictable economy. We salute congressional Republicans for their landmark legislation simplifying pension law, cutting away the red tape that prevented many businesses from offering pension plans, and establishing a new pension system designed to meet the needs of workers in small businesses. </w:t>
      </w:r>
    </w:p>
    <w:p w:rsidR="00A31137" w:rsidRPr="00A31137" w:rsidRDefault="00A31137" w:rsidP="00A31137">
      <w:r w:rsidRPr="00A31137">
        <w:t>1996 Republican Party Platform</w:t>
      </w:r>
    </w:p>
    <w:p w:rsidR="00A31137" w:rsidRPr="00A31137" w:rsidRDefault="00A31137" w:rsidP="00A31137">
      <w:r w:rsidRPr="00A31137">
        <w:t>We also salute Congressional Republicans for making long-term care more affordable and more available to those who need it. Too many seniors live in fear that they one day will incur long-term care costs that will wipe out their life savings and burden their children. The Republican Congress has passed legislation giving long-term care insurance policies the same tax-preferred treatment that health insurance policies now receive. Over the years, this legislation will give millions of Americans peace of mind and the financial wherewithal to obtain nursing home care of the highest quality.</w:t>
      </w:r>
    </w:p>
    <w:p w:rsidR="00A31137" w:rsidRPr="00A31137" w:rsidRDefault="00A31137" w:rsidP="00A31137">
      <w:r w:rsidRPr="00A31137">
        <w:t>A Cleaner, Safer, Healthier America</w:t>
      </w:r>
    </w:p>
    <w:p w:rsidR="00A31137" w:rsidRPr="00A31137" w:rsidRDefault="00A31137" w:rsidP="00A31137">
      <w:r w:rsidRPr="00A31137">
        <w:t>1996 Republican Party Platform</w:t>
      </w:r>
    </w:p>
    <w:p w:rsidR="00A31137" w:rsidRPr="00A31137" w:rsidRDefault="00A31137" w:rsidP="00A31137">
      <w:r w:rsidRPr="00A31137">
        <w:t>"Those of us who grew up in rural America grew up with a common set of values, a code of living that stays with us all our lives. Love of God and country and family. Commitment to honesty, decency and personal responsibility. Self-reliance tempered by a sense of community…. Those values made us the greatest country on earth. And the secret to getting our country back on track is simply to return to them as a matter of national policy." Bob Dole, August 19, 1995, in Ames, Iowa</w:t>
      </w:r>
    </w:p>
    <w:p w:rsidR="00A31137" w:rsidRPr="00A31137" w:rsidRDefault="00A31137" w:rsidP="00A31137">
      <w:r w:rsidRPr="00A31137">
        <w:t>1996 Republican Party Platform</w:t>
      </w:r>
    </w:p>
    <w:p w:rsidR="00A31137" w:rsidRPr="00A31137" w:rsidRDefault="00A31137" w:rsidP="00A31137">
      <w:r w:rsidRPr="00A31137">
        <w:t>We are the party of America's farmers, ranchers, foresters, and all who hold the earth in stewardship with the Creator. Republican leadership established the Land Grant College System under Abraham Lincoln, the National Park System under Ulysses Grant, the National Wildlife Refuge System under Teddy Roosevelt, and today's legal protections for clean air and water in more recent decades. We reaffirm our commitment to agricultural progress, environmental improvement, and the prudent development of our natural resources.</w:t>
      </w:r>
    </w:p>
    <w:p w:rsidR="00A31137" w:rsidRPr="00A31137" w:rsidRDefault="00A31137" w:rsidP="00A31137">
      <w:r w:rsidRPr="00A31137">
        <w:t>1996 Republican Party Platform</w:t>
      </w:r>
    </w:p>
    <w:p w:rsidR="00A31137" w:rsidRPr="00A31137" w:rsidRDefault="00A31137" w:rsidP="00A31137">
      <w:r w:rsidRPr="00A31137">
        <w:t xml:space="preserve">Our goal is to continue the progress we have made to achieve a cleaner, safer, healthier environment for all Americans—and to pass on to our children and grandchildren a better environment than we have today. We must recognize the unique role our States, localities, and private sector have in improving our environment. The States and communities are the laboratories of environmental innovation. Inflexible requirements hurt the environment, add unnecessary costs, and reduce technology development. While we have made substantial environmental progress, we must reject failed approaches created by fearmongering and centralized control which will not serve our environment well in the century ahead. </w:t>
      </w:r>
    </w:p>
    <w:p w:rsidR="00A31137" w:rsidRPr="00A31137" w:rsidRDefault="00A31137" w:rsidP="00A31137">
      <w:r w:rsidRPr="00A31137">
        <w:t>1996 Republican Party Platform</w:t>
      </w:r>
    </w:p>
    <w:p w:rsidR="00A31137" w:rsidRPr="00A31137" w:rsidRDefault="00A31137" w:rsidP="00A31137">
      <w:r w:rsidRPr="00A31137">
        <w:t xml:space="preserve">The Superfund program to clean up abandoned toxic waste sites is a classic case in point. More than half of the $30 billion already spent on Superfund has gone for litigation and administration. In other words, trial lawyers have profited from the current flawed and unfair liability scheme, while toxic waste sites wait to be cleaned up. Without the opposition of Bill Clinton, we will fix the broken Superfund law. We will direct resources to clean-up sites where there are real risks, and cooperate with citizens, States, and localities who want to help, rather than harassing them with unwarranted lawsuits. </w:t>
      </w:r>
    </w:p>
    <w:p w:rsidR="00A31137" w:rsidRPr="00A31137" w:rsidRDefault="00A31137" w:rsidP="00A31137">
      <w:r w:rsidRPr="00A31137">
        <w:t>1996 Republican Party Platform</w:t>
      </w:r>
    </w:p>
    <w:p w:rsidR="00A31137" w:rsidRPr="00A31137" w:rsidRDefault="00A31137" w:rsidP="00A31137">
      <w:r w:rsidRPr="00A31137">
        <w:t xml:space="preserve">The States have been leaders in returning contaminated sites to productive use under "brownfields" programs. These programs tailor clean-up standards appropriate for expected future use, thus enabling environmental cleanup and economic development. Accordingly, as an essential component of our comprehensive Superfund reform, we will remove disincentives in current Federal law in order to allow States to expand their innovative "brownfields" programs. </w:t>
      </w:r>
    </w:p>
    <w:p w:rsidR="00A31137" w:rsidRPr="00A31137" w:rsidRDefault="00A31137" w:rsidP="00A31137">
      <w:r w:rsidRPr="00A31137">
        <w:t>1996 Republican Party Platform</w:t>
      </w:r>
    </w:p>
    <w:p w:rsidR="00A31137" w:rsidRPr="00A31137" w:rsidRDefault="00A31137" w:rsidP="00A31137">
      <w:r w:rsidRPr="00A31137">
        <w:t xml:space="preserve">Inconsistent Federal policies have created a nightmare for our Nation's ports at a critical time of growth and change in international trade. We must protect the environment while recognizing the unique situation of each port. There must be a coordination of State, local, and Federal roles in encouraging our ports to expand to meet current and future needs. </w:t>
      </w:r>
    </w:p>
    <w:p w:rsidR="00A31137" w:rsidRPr="00A31137" w:rsidRDefault="00A31137" w:rsidP="00A31137">
      <w:r w:rsidRPr="00A31137">
        <w:t>1996 Republican Party Platform</w:t>
      </w:r>
    </w:p>
    <w:p w:rsidR="00A31137" w:rsidRPr="00A31137" w:rsidRDefault="00A31137" w:rsidP="00A31137">
      <w:r w:rsidRPr="00A31137">
        <w:t>Republicans trust Americans to honor their shared desire to live and raise their children in a clean and healthy environment. For all environmental problems, we propose a common sense approach based on flexibility and consensus, that builds a better future on free enterprise, local control, sound science, and technology development. This is our positive and proactive agenda:</w:t>
      </w:r>
    </w:p>
    <w:p w:rsidR="00A31137" w:rsidRPr="00A31137" w:rsidRDefault="00A31137" w:rsidP="00A31137">
      <w:r w:rsidRPr="00A31137">
        <w:t>1996 Republican Party Platform</w:t>
      </w:r>
    </w:p>
    <w:p w:rsidR="00A31137" w:rsidRPr="00A31137" w:rsidRDefault="00A31137" w:rsidP="00A31137">
      <w:r w:rsidRPr="00A31137">
        <w:t>assure that the air and water are clean and safe for our children and future generations;</w:t>
      </w:r>
    </w:p>
    <w:p w:rsidR="00A31137" w:rsidRPr="00A31137" w:rsidRDefault="00A31137" w:rsidP="00A31137">
      <w:r w:rsidRPr="00A31137">
        <w:t>1996 Republican Party Platform</w:t>
      </w:r>
    </w:p>
    <w:p w:rsidR="00A31137" w:rsidRPr="00A31137" w:rsidRDefault="00A31137" w:rsidP="00A31137">
      <w:r w:rsidRPr="00A31137">
        <w:t>assure that everyone has access to public outdoor recreation areas; and that historic and environmentally significant wilderness and wetlands areas will be protected without compromising our commitment to the rights of property owners;</w:t>
      </w:r>
    </w:p>
    <w:p w:rsidR="00A31137" w:rsidRPr="00A31137" w:rsidRDefault="00A31137" w:rsidP="00A31137">
      <w:r w:rsidRPr="00A31137">
        <w:t>1996 Republican Party Platform</w:t>
      </w:r>
    </w:p>
    <w:p w:rsidR="00A31137" w:rsidRPr="00A31137" w:rsidRDefault="00A31137" w:rsidP="00A31137">
      <w:r w:rsidRPr="00A31137">
        <w:t>set reasonable standards for environmental improvement that incorporate flexibility, acknowledge geographic differences, and create incentives for development of new technologies;</w:t>
      </w:r>
    </w:p>
    <w:p w:rsidR="00A31137" w:rsidRPr="00A31137" w:rsidRDefault="00A31137" w:rsidP="00A31137">
      <w:r w:rsidRPr="00A31137">
        <w:t>1996 Republican Party Platform</w:t>
      </w:r>
    </w:p>
    <w:p w:rsidR="00A31137" w:rsidRPr="00A31137" w:rsidRDefault="00A31137" w:rsidP="00A31137">
      <w:r w:rsidRPr="00A31137">
        <w:t>base all government environmental decisions on the best peer-reviewed scientific evidence, while encouraging advancements in research;</w:t>
      </w:r>
    </w:p>
    <w:p w:rsidR="00A31137" w:rsidRPr="00A31137" w:rsidRDefault="00A31137" w:rsidP="00A31137">
      <w:r w:rsidRPr="00A31137">
        <w:t>1996 Republican Party Platform</w:t>
      </w:r>
    </w:p>
    <w:p w:rsidR="00A31137" w:rsidRPr="00A31137" w:rsidRDefault="00A31137" w:rsidP="00A31137">
      <w:r w:rsidRPr="00A31137">
        <w:t>achieve progress, as much as possible, through incentives rather than compulsion, and improve compliance by letting States and localities play a greater role in setting and maintaining standards. Many States have enacted environmental education and "voluntary self-audit" laws to encourage people to find and correct pollution; the Congress should remove disincentives for States to achieve these goals; and</w:t>
      </w:r>
    </w:p>
    <w:p w:rsidR="00A31137" w:rsidRPr="00A31137" w:rsidRDefault="00A31137" w:rsidP="00A31137">
      <w:r w:rsidRPr="00A31137">
        <w:t>1996 Republican Party Platform</w:t>
      </w:r>
    </w:p>
    <w:p w:rsidR="00A31137" w:rsidRPr="00A31137" w:rsidRDefault="00A31137" w:rsidP="00A31137">
      <w:r w:rsidRPr="00A31137">
        <w:t xml:space="preserve">assure private property owners of due process to protect their rights, and make environmental decisions in concert with those whose homes, businesses, and communities are directly affected. </w:t>
      </w:r>
    </w:p>
    <w:p w:rsidR="00A31137" w:rsidRPr="00A31137" w:rsidRDefault="00A31137" w:rsidP="00A31137">
      <w:r w:rsidRPr="00A31137">
        <w:t>1996 Republican Party Platform</w:t>
      </w:r>
    </w:p>
    <w:p w:rsidR="00A31137" w:rsidRPr="00A31137" w:rsidRDefault="00A31137" w:rsidP="00A31137">
      <w:r w:rsidRPr="00A31137">
        <w:t>Our commitment to an improved environment is best embodied in the recently enacted amendments to the Safe Drinking Water Act. This Republican initiative will guarantee all Americans a safe and clean source of drinking water and will grant local communities the flexibility to avoid unnecessary requirements.</w:t>
      </w:r>
    </w:p>
    <w:p w:rsidR="00A31137" w:rsidRPr="00A31137" w:rsidRDefault="00A31137" w:rsidP="00A31137">
      <w:r w:rsidRPr="00A31137">
        <w:t>National Party Platforms, 1996 Republican Party Platform</w:t>
      </w:r>
    </w:p>
    <w:p w:rsidR="00A31137" w:rsidRPr="00A31137" w:rsidRDefault="00A31137" w:rsidP="00A31137">
      <w:r w:rsidRPr="00A31137">
        <w:t xml:space="preserve">The Clinton Democrats disagree with our principles. They have increased spending by creating new bureaucratic programs, creating new paperwork requirements, and funding pet projects of their special interest friends. However, the Clinton Administration has failed to reduce regulatory burdens on States, localities, and individuals. It has failed to create incentives for environmental improvements or use sound science and cooperation to achieve environmental goals. Today, they are planning to impose scientifically unsupported, massive new regulations on ozone and particulates. These rules will impose new requirements on cities, add unnecessary costs, and destroy jobs without adequate justification. </w:t>
      </w:r>
    </w:p>
    <w:p w:rsidR="00A31137" w:rsidRPr="00A31137" w:rsidRDefault="00A31137" w:rsidP="00A31137">
      <w:r w:rsidRPr="00A31137">
        <w:t>1996 Republican Party Platform</w:t>
      </w:r>
    </w:p>
    <w:p w:rsidR="00A31137" w:rsidRPr="00A31137" w:rsidRDefault="00A31137" w:rsidP="00A31137">
      <w:r w:rsidRPr="00A31137">
        <w:t>Republicans support the ongoing efforts of the States and communities to ensure reliable and safe water supplies. As the Federal government moves away from its past role as a grant giver and direct lender in the development of water-related infrastructure, we will encourage the establishment of public-private partnerships to build and finance our nation's water infrastructure.</w:t>
      </w:r>
    </w:p>
    <w:p w:rsidR="00A31137" w:rsidRPr="00A31137" w:rsidRDefault="00A31137" w:rsidP="00A31137">
      <w:r w:rsidRPr="00A31137">
        <w:t>1996 Republican Party Platform</w:t>
      </w:r>
    </w:p>
    <w:p w:rsidR="00A31137" w:rsidRPr="00A31137" w:rsidRDefault="00A31137" w:rsidP="00A31137">
      <w:r w:rsidRPr="00A31137">
        <w:t>We recognize the Great Lakes encompass one-fifth of the fresh water supply of the entire world and we oppose any diversion of Great Lakes water.</w:t>
      </w:r>
    </w:p>
    <w:p w:rsidR="00A31137" w:rsidRPr="00A31137" w:rsidRDefault="00A31137" w:rsidP="00A31137">
      <w:r w:rsidRPr="00A31137">
        <w:t>1996 Republican Party Platform</w:t>
      </w:r>
    </w:p>
    <w:p w:rsidR="00A31137" w:rsidRPr="00A31137" w:rsidRDefault="00A31137" w:rsidP="00A31137">
      <w:r w:rsidRPr="00A31137">
        <w:t xml:space="preserve">Republicans have always advocated conserving our animal and plant resources, but we recognize the current Endangered Species Act is seriously flawed and, indeed, is often counterproductive because of its reliance on Federal command-and-control measures. The adherence of Clinton Democrats to these discredited ESA provisions has devastated the environment they pretend to protect by virtually encouraging landowners to remove habitat for marginal species to avoid government seizure of their property. We will improve the ESA by implementing an incentive-based program in cooperation with State, local, and tribal governments and private individuals to recognize the critical relationship between a healthy environment and a healthy economy founded on private property rights and responsibilities. </w:t>
      </w:r>
    </w:p>
    <w:p w:rsidR="00A31137" w:rsidRPr="00A31137" w:rsidRDefault="00A31137" w:rsidP="00A31137">
      <w:r w:rsidRPr="00A31137">
        <w:t>Securing Property Rights</w:t>
      </w:r>
    </w:p>
    <w:p w:rsidR="00A31137" w:rsidRPr="00A31137" w:rsidRDefault="00A31137" w:rsidP="00A31137">
      <w:r w:rsidRPr="00A31137">
        <w:t>1996 Republican Party Platform</w:t>
      </w:r>
    </w:p>
    <w:p w:rsidR="00A31137" w:rsidRPr="00A31137" w:rsidRDefault="00A31137" w:rsidP="00A31137">
      <w:r w:rsidRPr="00A31137">
        <w:t xml:space="preserve">Republicans consider private property rights the cornerstone of environmental progress. That lesson has been confirmed in the tragic environmental record of Communist rule and of socialist regimes in the less developed world. By safeguarding those rights—by enforcing the Takings Clause of the Fifth Amendment and by providing compensation—we not only stand true to the Constitution but advance sound environmentalism as well. Republicans, led by Senator Dole, have spearheaded efforts in Congress to protect private property rights. </w:t>
      </w:r>
    </w:p>
    <w:p w:rsidR="00A31137" w:rsidRPr="00A31137" w:rsidRDefault="00A31137" w:rsidP="00A31137">
      <w:r w:rsidRPr="00A31137">
        <w:t>Improving Public Lands</w:t>
      </w:r>
    </w:p>
    <w:p w:rsidR="00A31137" w:rsidRPr="00A31137" w:rsidRDefault="00A31137" w:rsidP="00A31137">
      <w:r w:rsidRPr="00A31137">
        <w:t>1996 Republican Party Platform</w:t>
      </w:r>
    </w:p>
    <w:p w:rsidR="00A31137" w:rsidRPr="00A31137" w:rsidRDefault="00A31137" w:rsidP="00A31137">
      <w:r w:rsidRPr="00A31137">
        <w:t xml:space="preserve">The nation's public lands—half the territory in the West—must be administered both for today's multiple uses and for tomorrow's generations. We support multiple use conducted in an environmentally and economically sustainable manner. We will preserve priority wilderness and wetlands—real wetlands of environmental significance, not the damp grounds of a bureaucrat's imagination. </w:t>
      </w:r>
    </w:p>
    <w:p w:rsidR="00A31137" w:rsidRPr="00A31137" w:rsidRDefault="00A31137" w:rsidP="00A31137">
      <w:r w:rsidRPr="00A31137">
        <w:t>1996 Republican Party Platform</w:t>
      </w:r>
    </w:p>
    <w:p w:rsidR="00A31137" w:rsidRPr="00A31137" w:rsidRDefault="00A31137" w:rsidP="00A31137">
      <w:r w:rsidRPr="00A31137">
        <w:t>We support a thorough review of the lands owned by the federal government with a goal of transferring lands that can best be managed by State, county, or municipal governments. This review should ensure that the federal government retains ownership to unique property worthy of national oversight. Properties transferred from federal control must recognize existing property and mineral rights, including water, mining claims, grazing permits, rights of access, hunting, fishing, and contracts.</w:t>
      </w:r>
    </w:p>
    <w:p w:rsidR="00A31137" w:rsidRPr="00A31137" w:rsidRDefault="00A31137" w:rsidP="00A31137">
      <w:r w:rsidRPr="00A31137">
        <w:t>1996 Republican Party Platform</w:t>
      </w:r>
    </w:p>
    <w:p w:rsidR="00A31137" w:rsidRPr="00A31137" w:rsidRDefault="00A31137" w:rsidP="00A31137">
      <w:r w:rsidRPr="00A31137">
        <w:t>We recognize the historic use of public lands for livestock production in compliance with legal requirements. Our renewable rangeland should continue to be available under conditions that ensure both expanded production of livestock and protection of the rangeland environment. We condemn the Clinton Administration's range war against this pillar of the western economy.</w:t>
      </w:r>
    </w:p>
    <w:p w:rsidR="00A31137" w:rsidRPr="00A31137" w:rsidRDefault="00A31137" w:rsidP="00A31137">
      <w:r w:rsidRPr="00A31137">
        <w:t>1996 Republican Party Platform</w:t>
      </w:r>
    </w:p>
    <w:p w:rsidR="00A31137" w:rsidRPr="00A31137" w:rsidRDefault="00A31137" w:rsidP="00A31137">
      <w:r w:rsidRPr="00A31137">
        <w:t>We recognize the need to keep our National Park System healthy and accessible to all. Our National Parks have a backlog of more than four billion dollars in maintenance and infrastructure repair projects. The nation's natural crown jewels are losing some of their luster, tarnished by neglect and indifference. Our park system needs to be rebuilt, restructured, and reinvigorated to ensure that all Americans can enjoy and be proud of their parks.</w:t>
      </w:r>
    </w:p>
    <w:p w:rsidR="00A31137" w:rsidRPr="00A31137" w:rsidRDefault="00A31137" w:rsidP="00A31137">
      <w:r w:rsidRPr="00A31137">
        <w:t>1996 Republican Party Platform</w:t>
      </w:r>
    </w:p>
    <w:p w:rsidR="00A31137" w:rsidRPr="00A31137" w:rsidRDefault="00A31137" w:rsidP="00A31137">
      <w:r w:rsidRPr="00A31137">
        <w:t xml:space="preserve">We stand for sustainable forestry to stabilize and provide continuity for our timber industry and to improve the health of the country's public forests. This requires active management practices, such as the responsible salvage harvesting of dead and diseased trees. The Democrats' hands-off approach has made our great forests vulnerable to ravaging fires, insects, and disease. </w:t>
      </w:r>
    </w:p>
    <w:p w:rsidR="00A31137" w:rsidRPr="00A31137" w:rsidRDefault="00A31137" w:rsidP="00A31137">
      <w:r w:rsidRPr="00A31137">
        <w:t>1996 Republican Party Platform</w:t>
      </w:r>
    </w:p>
    <w:p w:rsidR="00A31137" w:rsidRPr="00A31137" w:rsidRDefault="00A31137" w:rsidP="00A31137">
      <w:r w:rsidRPr="00A31137">
        <w:t>The Democrats' policies have devastated the economy of timber-dependent communities across the Pacific Northwest and in the Tongass National Forest, the Nation's largest and most productive, to please elite special interests. We join families and communities in rural America who rely on public forests for their livelihood in calling for the federal government to carefully evaluate the socioeconomic impacts of its actions and to live up to its commitments to provide an adequate timber supply to dependent communities through sustainable forest management.</w:t>
      </w:r>
    </w:p>
    <w:p w:rsidR="00A31137" w:rsidRPr="00A31137" w:rsidRDefault="00A31137" w:rsidP="00A31137">
      <w:r w:rsidRPr="00A31137">
        <w:t>1996 Republican Party Platform</w:t>
      </w:r>
    </w:p>
    <w:p w:rsidR="00A31137" w:rsidRPr="00A31137" w:rsidRDefault="00A31137" w:rsidP="00A31137">
      <w:r w:rsidRPr="00A31137">
        <w:t>We reaffirm the traditional deference by the federal government to the States in the allocation and appropriation of water. We deplore the Clinton Administration's disregard for State primacy through attempts to preempt State law with respect to water usage and watershed protection. We also recognize the need to protect adequate supplies of water for agriculture without unreasonable government mandates.</w:t>
      </w:r>
    </w:p>
    <w:p w:rsidR="00A31137" w:rsidRPr="00A31137" w:rsidRDefault="00A31137" w:rsidP="00A31137">
      <w:r w:rsidRPr="00A31137">
        <w:t>1996 Republican Party Platform</w:t>
      </w:r>
    </w:p>
    <w:p w:rsidR="00A31137" w:rsidRPr="00A31137" w:rsidRDefault="00A31137" w:rsidP="00A31137">
      <w:r w:rsidRPr="00A31137">
        <w:t>We support the original intent of the Mining Law of 1872: to provide the certainty and land tenure necessary for miners to risk tremendous capital investment on federal lands, thus preserving jobs—indeed, whole industries—and bolstering our domestic economy. We support appropriate changes to the law to ensure the taxpayer will receive a reasonable return for the value of extracted minerals. We oppose extremist attempts to shut down American mining in favor of our international competitors.</w:t>
      </w:r>
    </w:p>
    <w:p w:rsidR="00A31137" w:rsidRPr="00A31137" w:rsidRDefault="00A31137" w:rsidP="00A31137">
      <w:r w:rsidRPr="00A31137">
        <w:t>Power for Progress</w:t>
      </w:r>
    </w:p>
    <w:p w:rsidR="00A31137" w:rsidRPr="00A31137" w:rsidRDefault="00A31137" w:rsidP="00A31137">
      <w:r w:rsidRPr="00A31137">
        <w:t>1996 Republican Party Platform</w:t>
      </w:r>
    </w:p>
    <w:p w:rsidR="00A31137" w:rsidRPr="00A31137" w:rsidRDefault="00A31137" w:rsidP="00A31137">
      <w:r w:rsidRPr="00A31137">
        <w:t>Our goal is an energy supply available to all—competitively priced, secure, and clean—produced by healthy industries operating in an environmentally responsible manner using domestically available resources to the greatest extent practicable.</w:t>
      </w:r>
    </w:p>
    <w:p w:rsidR="00A31137" w:rsidRPr="00A31137" w:rsidRDefault="00A31137" w:rsidP="00A31137">
      <w:r w:rsidRPr="00A31137">
        <w:t>1996 Republican Party Platform</w:t>
      </w:r>
    </w:p>
    <w:p w:rsidR="00A31137" w:rsidRPr="00A31137" w:rsidRDefault="00A31137" w:rsidP="00A31137">
      <w:r w:rsidRPr="00A31137">
        <w:t xml:space="preserve">No one should take that for granted. Today's energy boom was hard won by Republican reforms in the 1980s, ending more than three decades of ruinous Federal meddling that drove up prices and drove down supplies. Now that progress is under attack from the same quarters that brought us energy crises, gas rationing, and dangerous dependence on unreliable supplies of foreign oil. That dependency is 50 percent today, and will be two-thirds in only a few short years. </w:t>
      </w:r>
    </w:p>
    <w:p w:rsidR="00A31137" w:rsidRPr="00A31137" w:rsidRDefault="00A31137" w:rsidP="00A31137">
      <w:r w:rsidRPr="00A31137">
        <w:t>1996 Republican Party Platform</w:t>
      </w:r>
    </w:p>
    <w:p w:rsidR="00A31137" w:rsidRPr="00A31137" w:rsidRDefault="00A31137" w:rsidP="00A31137">
      <w:r w:rsidRPr="00A31137">
        <w:t xml:space="preserve">It does not have to be this way. The Clinton Administration has learned nothing from the collapse of liberalism. It clings to outdated regulation that stifles production and drives up consumer prices. Clinton proposed a punishing BTU energy tax that would have penalized consumers and cost thousands of jobs. After Republicans derailed that bad idea, Bill Clinton championed—and congressional Democrats approved—a 4.7-cent per gallon gas tax hike, not to improve roads and bridges, but for general spending. </w:t>
      </w:r>
    </w:p>
    <w:p w:rsidR="00A31137" w:rsidRPr="00A31137" w:rsidRDefault="00A31137" w:rsidP="00A31137">
      <w:r w:rsidRPr="00A31137">
        <w:t>1996 Republican Party Platform</w:t>
      </w:r>
    </w:p>
    <w:p w:rsidR="00A31137" w:rsidRPr="00A31137" w:rsidRDefault="00A31137" w:rsidP="00A31137">
      <w:r w:rsidRPr="00A31137">
        <w:t xml:space="preserve">Now the Clinton Administration demands lighter cars and family trucks to meet its Corporate Average Fuel Economy (CAFE) goals, at the cost of thousands of lives lost every year in auto accidents—not to mention the cost in jobs lost to foreign auto makers. </w:t>
      </w:r>
    </w:p>
    <w:p w:rsidR="00A31137" w:rsidRPr="00A31137" w:rsidRDefault="00A31137" w:rsidP="00A31137">
      <w:r w:rsidRPr="00A31137">
        <w:t>1996 Republican Party Platform</w:t>
      </w:r>
    </w:p>
    <w:p w:rsidR="00A31137" w:rsidRPr="00A31137" w:rsidRDefault="00A31137" w:rsidP="00A31137">
      <w:r w:rsidRPr="00A31137">
        <w:t xml:space="preserve">Nowhere has the failure of presidential leadership been more apparent than in Clinton's position on finding a reasonable long-term solution to our Nation's nuclear waste disposal problem. We support the federal government's obligation under contract to take possession of nuclear waste and remove it from temporary storage in over 30 states across the country. At the same time, we believe that the siting and licensing of both permanent and interim storage facilities should be based on sound science and not solely upon political expediency. </w:t>
      </w:r>
    </w:p>
    <w:p w:rsidR="00A31137" w:rsidRPr="00A31137" w:rsidRDefault="00A31137" w:rsidP="00A31137">
      <w:r w:rsidRPr="00A31137">
        <w:t>1996 Republican Party Platform</w:t>
      </w:r>
    </w:p>
    <w:p w:rsidR="00A31137" w:rsidRPr="00A31137" w:rsidRDefault="00A31137" w:rsidP="00A31137">
      <w:r w:rsidRPr="00A31137">
        <w:t xml:space="preserve">The Clinton approach hobbles the nation's progress. Our program of energy renewal, on the other hand, is an essential component of broader opportunity for all. We must finish the job of preparing America's energy capacity to meet the challenges of the 21st Century. </w:t>
      </w:r>
    </w:p>
    <w:p w:rsidR="00A31137" w:rsidRPr="00A31137" w:rsidRDefault="00A31137" w:rsidP="00A31137">
      <w:r w:rsidRPr="00A31137">
        <w:t>1996 Republican Party Platform</w:t>
      </w:r>
    </w:p>
    <w:p w:rsidR="00A31137" w:rsidRPr="00A31137" w:rsidRDefault="00A31137" w:rsidP="00A31137">
      <w:r w:rsidRPr="00A31137">
        <w:t xml:space="preserve">Today, Republican Governors and the States are leading the way to true and meaningful electric utility industry deregulation and competition and lower rates for all consumers. Restructuring the electric utility industry presents both great opportunities and challenges for our Nation. We support greater competition as we move toward a market-based approach, with true and meaningful deregulation, after an appropriate and fair transition period that allows for competitive retail markets while ensuring reliability of service in a cost-effective manner for all consumers. </w:t>
      </w:r>
    </w:p>
    <w:p w:rsidR="00A31137" w:rsidRPr="00A31137" w:rsidRDefault="00A31137" w:rsidP="00A31137">
      <w:r w:rsidRPr="00A31137">
        <w:t>1996 Republican Party Platform</w:t>
      </w:r>
    </w:p>
    <w:p w:rsidR="00A31137" w:rsidRPr="00A31137" w:rsidRDefault="00A31137" w:rsidP="00A31137">
      <w:r w:rsidRPr="00A31137">
        <w:t xml:space="preserve">We support elimination of the Department of Energy to emphasize the need for greater privatization and to reduce the size of the federal government. The Department of Energy's defense concerns should be transferred to an independent agency under the Defense Department. Other necessary programs should be farmed out to other departments and offices. </w:t>
      </w:r>
    </w:p>
    <w:p w:rsidR="00A31137" w:rsidRPr="00A31137" w:rsidRDefault="00A31137" w:rsidP="00A31137">
      <w:r w:rsidRPr="00A31137">
        <w:t>1996 Republican Party Platform</w:t>
      </w:r>
    </w:p>
    <w:p w:rsidR="00A31137" w:rsidRPr="00A31137" w:rsidRDefault="00A31137" w:rsidP="00A31137">
      <w:r w:rsidRPr="00A31137">
        <w:t>We support environmentally responsible energy extraction from public and private lands. We will not tolerate poor reclamation or pollution from mining or drilling. We advocate environmentally sound oil production in the largest known onshore or offshore petroleum reserve in the Nation—the small coastal plain portion of the 19-million acre Arctic National Wildlife Refuge. Oil produced there, traveling through an existing pipeline, will bring billions of dollars in revenues to reduce the federal budget deficit. On the other hand, without ANWR coastal plain development, we will lose hundreds of thousands of potential jobs and untold billions of American dollars will be paid to foreign governments for the oil not produced from our home reserves.</w:t>
      </w:r>
    </w:p>
    <w:p w:rsidR="00A31137" w:rsidRPr="00A31137" w:rsidRDefault="00A31137" w:rsidP="00A31137">
      <w:r w:rsidRPr="00A31137">
        <w:t>1996 Republican Party Platform</w:t>
      </w:r>
    </w:p>
    <w:p w:rsidR="00A31137" w:rsidRPr="00A31137" w:rsidRDefault="00A31137" w:rsidP="00A31137">
      <w:r w:rsidRPr="00A31137">
        <w:t xml:space="preserve">We continue to support and encourage the development of our domestic natural gas industry. Natural gas is a clean, abundant, and domestically available resource, which can be provided, transported, and consumed in an environmentally responsible manner. </w:t>
      </w:r>
    </w:p>
    <w:p w:rsidR="00A31137" w:rsidRPr="00A31137" w:rsidRDefault="00A31137" w:rsidP="00A31137">
      <w:r w:rsidRPr="00A31137">
        <w:t>1996 Republican Party Platform</w:t>
      </w:r>
    </w:p>
    <w:p w:rsidR="00A31137" w:rsidRPr="00A31137" w:rsidRDefault="00A31137" w:rsidP="00A31137">
      <w:r w:rsidRPr="00A31137">
        <w:t xml:space="preserve">We will delegate management and collection of federal oil and gas royalties to the States, thereby increasing receipts both to the States and to the federal Treasury. This action will reduce bureaucratic involvement and administrative costs to the federal government. We urge the federal government to expedite and streamline the exploration, leasing, and permitting process for the domestic oil and gas industry. </w:t>
      </w:r>
    </w:p>
    <w:p w:rsidR="00A31137" w:rsidRPr="00A31137" w:rsidRDefault="00A31137" w:rsidP="00A31137">
      <w:r w:rsidRPr="00A31137">
        <w:t>1996 Republican Party Platform</w:t>
      </w:r>
    </w:p>
    <w:p w:rsidR="00A31137" w:rsidRPr="00A31137" w:rsidRDefault="00A31137" w:rsidP="00A31137">
      <w:r w:rsidRPr="00A31137">
        <w:t xml:space="preserve">The coal industry now supplies more than half of all electric generation and is vital for our entire economy. We encourage research for cleaner coal combustion technologies and will require that objective, peer-reviewed science be the basis for environmental decisions that increase costs for electric rate payers. </w:t>
      </w:r>
    </w:p>
    <w:p w:rsidR="00A31137" w:rsidRPr="00A31137" w:rsidRDefault="00A31137" w:rsidP="00A31137">
      <w:r w:rsidRPr="00A31137">
        <w:t>1996 Republican Party Platform</w:t>
      </w:r>
    </w:p>
    <w:p w:rsidR="00A31137" w:rsidRPr="00A31137" w:rsidRDefault="00A31137" w:rsidP="00A31137">
      <w:r w:rsidRPr="00A31137">
        <w:t>Because no single source of energy can reliably supply the needs of the American people, we believe in fostering alternative and renewable energy sources to assist in reducing dependence on unreliable foreign oil supplies. We anticipate the continuing development of energy from coal, oil, natural gas, agricultural products such as ethanol and biodiesel, nuclear, and hydro sources and where economically competitive, from wind, solar, and geothermal power.</w:t>
      </w:r>
    </w:p>
    <w:p w:rsidR="00A31137" w:rsidRPr="00A31137" w:rsidRDefault="00A31137" w:rsidP="00A31137">
      <w:r w:rsidRPr="00A31137">
        <w:t>1996 Republican Party Platform</w:t>
      </w:r>
    </w:p>
    <w:p w:rsidR="00A31137" w:rsidRPr="00A31137" w:rsidRDefault="00A31137" w:rsidP="00A31137">
      <w:r w:rsidRPr="00A31137">
        <w:t xml:space="preserve">The United States should continue its commitment to addressing global climate change in a prudent and effective manner that does not punish the U.S. economy. Despite scientific uncertainty about the role of human activity in climate change, the Clinton Administration has leapfrogged over reasoned scientific inquiry and now favors misdirected measures, such as binding targets and timetables, imposed only on the United States and certain other developed countries, to further reduce greenhouse gas emissions. Republicans deplore the arbitrary and premature abandonment of the previous policy of voluntary reductions of greenhouse gas emissions. We further deplore ceding U.S. sovereignty on environmental issues to international bureaucrats and our foreign economic competitors. </w:t>
      </w:r>
    </w:p>
    <w:p w:rsidR="00A31137" w:rsidRPr="00A31137" w:rsidRDefault="00A31137" w:rsidP="00A31137">
      <w:r w:rsidRPr="00A31137">
        <w:t>1996 Republican Party Platform</w:t>
      </w:r>
    </w:p>
    <w:p w:rsidR="00A31137" w:rsidRPr="00A31137" w:rsidRDefault="00A31137" w:rsidP="00A31137">
      <w:r w:rsidRPr="00A31137">
        <w:t xml:space="preserve">Energy policy and transportation policy go hand in hand. To prepare the National Highway System and the National Aviation System for the 21st Century, we will maintain the integrity of the Federal transportation trust funds and respect the call by Republican governors to ensure those funds are returned to the States with a minimum of federal red tape. Trusting the people, congressional Republicans passed the National Highway System Designation Act of 1995, returning to the States decisions about highway safety. We support reasonable speed limits, reflecting local needs and geography, and prudent personal safety measures, but we oppose Washington's one-size-fits-all approach to the mobility of the American people. </w:t>
      </w:r>
    </w:p>
    <w:p w:rsidR="00A31137" w:rsidRPr="00A31137" w:rsidRDefault="00A31137" w:rsidP="00A31137">
      <w:r w:rsidRPr="00A31137">
        <w:t>Agriculture in the 21st Century</w:t>
      </w:r>
    </w:p>
    <w:p w:rsidR="00A31137" w:rsidRPr="00A31137" w:rsidRDefault="00A31137" w:rsidP="00A31137">
      <w:r w:rsidRPr="00A31137">
        <w:t>1996 Republican Party Platform</w:t>
      </w:r>
    </w:p>
    <w:p w:rsidR="00A31137" w:rsidRPr="00A31137" w:rsidRDefault="00A31137" w:rsidP="00A31137">
      <w:r w:rsidRPr="00A31137">
        <w:t>The moral strength abundant on America's farms and rural communities has been the foundation and source of strength for our Nation since its earliest days. America's settlers built their farming communities on values like faith, hard work, dedication, and self-sacrifice.</w:t>
      </w:r>
    </w:p>
    <w:p w:rsidR="00A31137" w:rsidRPr="00A31137" w:rsidRDefault="00A31137" w:rsidP="00A31137">
      <w:r w:rsidRPr="00A31137">
        <w:t>1996 Republican Party Platform</w:t>
      </w:r>
    </w:p>
    <w:p w:rsidR="00A31137" w:rsidRPr="00A31137" w:rsidRDefault="00A31137" w:rsidP="00A31137">
      <w:r w:rsidRPr="00A31137">
        <w:t xml:space="preserve">Republicans see a very bright future for agriculture and rural America. Our program to strengthen rural America will benefit every sector of the economy and every part of the Nation. First and foremost, we will reduce the tax burden—both the estate tax and the capital gains levy—on those who produce America's food and fiber. This is essential to preserve production agriculture. Just like urban small businesses, rural producers need full deductibility of health insurance premiums and an overall tax structure that is simpler and fairer. </w:t>
      </w:r>
    </w:p>
    <w:p w:rsidR="00A31137" w:rsidRPr="00A31137" w:rsidRDefault="00A31137" w:rsidP="00A31137">
      <w:r w:rsidRPr="00A31137">
        <w:t>1996 Republican Party Platform</w:t>
      </w:r>
    </w:p>
    <w:p w:rsidR="00A31137" w:rsidRPr="00A31137" w:rsidRDefault="00A31137" w:rsidP="00A31137">
      <w:r w:rsidRPr="00A31137">
        <w:t xml:space="preserve">Deficit spending by government is death by strangulation for agriculture. Our farms are major users of capital, with over $150 billion in current borrowing. Interest payments are one of their heaviest burdens. The Republican balanced budget of last year, vetoed by Bill Clinton, would have saved farmers more than $15 billion in interest costs by the year 2002. We stand with the American farmer in demanding an end to the spending excesses in official Washington. </w:t>
      </w:r>
    </w:p>
    <w:p w:rsidR="00A31137" w:rsidRPr="00A31137" w:rsidRDefault="00A31137" w:rsidP="00A31137">
      <w:r w:rsidRPr="00A31137">
        <w:t>1996 Republican Party Platform</w:t>
      </w:r>
    </w:p>
    <w:p w:rsidR="00A31137" w:rsidRPr="00A31137" w:rsidRDefault="00A31137" w:rsidP="00A31137">
      <w:r w:rsidRPr="00A31137">
        <w:t xml:space="preserve">The elections of 1994 were a resounding victory for American agriculture. The first Republican majorities in both the House and Senate in 40 years won an historic breakthrough with the "Freedom to Farm" act. For the first time in six decades, Federal policy will allow individual farmers to grow what makes sense on their own land, not what a bureaucrat wants grown there. "Freedom to Farm" will permit them to respond to world trade opportunities for value-added exports that bring new jobs and broader prosperity to rural America. </w:t>
      </w:r>
    </w:p>
    <w:p w:rsidR="00A31137" w:rsidRPr="00A31137" w:rsidRDefault="00A31137" w:rsidP="00A31137">
      <w:r w:rsidRPr="00A31137">
        <w:t>1996 Republican Party Platform</w:t>
      </w:r>
    </w:p>
    <w:p w:rsidR="00A31137" w:rsidRPr="00A31137" w:rsidRDefault="00A31137" w:rsidP="00A31137">
      <w:r w:rsidRPr="00A31137">
        <w:t>Moreover, the Republican "Freedom to Farm" act is the most pro-environment farm bill ever. By liberating high-tech, high-yield U.S. agriculture to pursue ever greater levels of efficiency, it will enable growers to produce more from less land, saving wildlife habitat and fragile soils from the plow. The new law allows farmers to rotate crops, thereby reducing use of pesticides, herbicides, and fertilizer. It continues the Conservation and Wetland Reserve Programs and creates a new Environmental Quality Incentive Program to help farmers do what they do best—conserve the land and pass it on, enriched and enhanced, to future generations.</w:t>
      </w:r>
    </w:p>
    <w:p w:rsidR="00A31137" w:rsidRPr="00A31137" w:rsidRDefault="00A31137" w:rsidP="00A31137">
      <w:r w:rsidRPr="00A31137">
        <w:t>1996 Republican Party Platform</w:t>
      </w:r>
    </w:p>
    <w:p w:rsidR="00A31137" w:rsidRPr="00A31137" w:rsidRDefault="00A31137" w:rsidP="00A31137">
      <w:r w:rsidRPr="00A31137">
        <w:t>While promising to modernize farm programs, the Clinton Administration instead advanced failed "New Deal" policies. Throughout the ensuing debate, they fought every effort by Congress to get the hand of government out of agriculture. Finally, having agreed to "Freedom to Farm," Bill Clinton is threatening to repeal this historic legislation, undercutting long-term planning by farmers across the country.</w:t>
      </w:r>
    </w:p>
    <w:p w:rsidR="00A31137" w:rsidRPr="00A31137" w:rsidRDefault="00A31137" w:rsidP="00A31137">
      <w:r w:rsidRPr="00A31137">
        <w:t>1996 Republican Party Platform</w:t>
      </w:r>
    </w:p>
    <w:p w:rsidR="00A31137" w:rsidRPr="00A31137" w:rsidRDefault="00A31137" w:rsidP="00A31137">
      <w:r w:rsidRPr="00A31137">
        <w:t>In contrast, "Freedom to Farm" ends the command-and-control policies that have choked the entrepreneurial spirit of rural America. "Freedom to Farm" permits experimentation with new crops and new markets, just in time to meet an explosion in worldwide demand for food, fiber, fuels and industrial products. We reaffirm our historical and continuing support for the expanded use of biodiesel and ethanol to improve the rural economy and reduce our dependence on imported oil.</w:t>
      </w:r>
    </w:p>
    <w:p w:rsidR="00A31137" w:rsidRPr="00A31137" w:rsidRDefault="00A31137" w:rsidP="00A31137">
      <w:r w:rsidRPr="00A31137">
        <w:t>1996 Republican Party Platform</w:t>
      </w:r>
    </w:p>
    <w:p w:rsidR="00A31137" w:rsidRPr="00A31137" w:rsidRDefault="00A31137" w:rsidP="00A31137">
      <w:r w:rsidRPr="00A31137">
        <w:t>Experts predict the need for U.S. producers to triple their output over the next 40 years. "Freedom to Farm" positions them to meet the challenge of feeding a hungry and troubled world.</w:t>
      </w:r>
    </w:p>
    <w:p w:rsidR="00A31137" w:rsidRPr="00A31137" w:rsidRDefault="00A31137" w:rsidP="00A31137">
      <w:r w:rsidRPr="00A31137">
        <w:t>1996 Republican Party Platform</w:t>
      </w:r>
    </w:p>
    <w:p w:rsidR="00A31137" w:rsidRPr="00A31137" w:rsidRDefault="00A31137" w:rsidP="00A31137">
      <w:r w:rsidRPr="00A31137">
        <w:t>While "Freedom to Farm" greatly reduced USDA paperwork imposed on farmers, much remains to be done to reduce the regulations that add about $6,000 per farm per year to the cost of farming. Our extensive program of regulatory reform is explained elsewhere in this platform.</w:t>
      </w:r>
    </w:p>
    <w:p w:rsidR="00A31137" w:rsidRPr="00A31137" w:rsidRDefault="00A31137" w:rsidP="00A31137">
      <w:r w:rsidRPr="00A31137">
        <w:t>1996 Republican Party Platform</w:t>
      </w:r>
    </w:p>
    <w:p w:rsidR="00A31137" w:rsidRPr="00A31137" w:rsidRDefault="00A31137" w:rsidP="00A31137">
      <w:r w:rsidRPr="00A31137">
        <w:t>Republicans worked hard for and applaud the repeal of the Delaney Clause and the reform of food safety laws. These changes allow a responsible approach toward crop production and ensure the quality of the Nation's food supply, with special protections for our children.</w:t>
      </w:r>
    </w:p>
    <w:p w:rsidR="00A31137" w:rsidRPr="00A31137" w:rsidRDefault="00A31137" w:rsidP="00A31137">
      <w:r w:rsidRPr="00A31137">
        <w:t>1996 Republican Party Platform</w:t>
      </w:r>
    </w:p>
    <w:p w:rsidR="00A31137" w:rsidRPr="00A31137" w:rsidRDefault="00A31137" w:rsidP="00A31137">
      <w:r w:rsidRPr="00A31137">
        <w:t>We reaffirm the Republican Party's historic commitment to agricultural progress through research and education, starting with the system of land grant colleges established in 1862. For the new century, as in the days of Lincoln, farming must look ahead to innovation and constant improvement, especially biotechnology and precision farming techniques.</w:t>
      </w:r>
    </w:p>
    <w:p w:rsidR="00A31137" w:rsidRPr="00A31137" w:rsidRDefault="00A31137" w:rsidP="00A31137">
      <w:r w:rsidRPr="00A31137">
        <w:t>Restoring American World Leadership</w:t>
      </w:r>
    </w:p>
    <w:p w:rsidR="00A31137" w:rsidRPr="00A31137" w:rsidRDefault="00A31137" w:rsidP="00A31137">
      <w:r w:rsidRPr="00A31137">
        <w:t>1996 Republican Party Platform</w:t>
      </w:r>
    </w:p>
    <w:p w:rsidR="00A31137" w:rsidRPr="00A31137" w:rsidRDefault="00A31137" w:rsidP="00A31137">
      <w:r w:rsidRPr="00A31137">
        <w:t>"It's time to restore American leadership throughout the world. Our future security depends on American leadership that is respected, American leadership that is trusted, and when necessary, American leadership that is feared." Bob Dole</w:t>
      </w:r>
    </w:p>
    <w:p w:rsidR="00A31137" w:rsidRPr="00A31137" w:rsidRDefault="00A31137" w:rsidP="00A31137">
      <w:r w:rsidRPr="00A31137">
        <w:t>1996 Republican Party Platform</w:t>
      </w:r>
    </w:p>
    <w:p w:rsidR="00A31137" w:rsidRPr="00A31137" w:rsidRDefault="00A31137" w:rsidP="00A31137">
      <w:r w:rsidRPr="00A31137">
        <w:t>We are the party of peace through strength. Republicans put the interests of our country over those of other nations—and of the United Nations. We believe the safety and prosperity of the American home and workplace depend upon ensuring our national security in a dangerous world. This principle was proven in our long struggle against Communism, and—as recent events have tragically shown—it is still true today. The gains we made for democracy around the world under two Republican presidents are now imperiled by a rudderless foreign policy. We vigorously support restoring the promotion of democracy worldwide as a cornerstone of U.S. foreign policy. Democracy is the best guarantor of peace and will ensure greater respect for fundamental human rights and the rule of law.</w:t>
      </w:r>
    </w:p>
    <w:p w:rsidR="00A31137" w:rsidRPr="00A31137" w:rsidRDefault="00A31137" w:rsidP="00A31137">
      <w:r w:rsidRPr="00A31137">
        <w:t>1996 Republican Party Platform</w:t>
      </w:r>
    </w:p>
    <w:p w:rsidR="00A31137" w:rsidRPr="00A31137" w:rsidRDefault="00A31137" w:rsidP="00A31137">
      <w:r w:rsidRPr="00A31137">
        <w:t xml:space="preserve">The international situation—and our country's security against the purveyors of evil—has worsened over the last three and a half years. Today, Russia's democratic future is more uncertain than at any time since the hammer and sickle was torn from the Kremlin towers. With impunity, Fidel Castro has shot American citizens out of the skies over international waters. North Korea has won unprecedented concessions regarding its nuclear capability from the Clinton Administration. Much of Africa has dissolved in tragedy—Somalia, Rwanda, Burundi, Liberia. The Clinton Administration objected to lifting the arms embargo on Bosnia while it facilitated the flow of Iranian weapons to that country. Bill Clinton made tough campaign pledges on China but subsequently failed in his attempt to bluff the Chinese government—diminishing American prestige while not addressing the serious issues of human rights, regional stability, and nuclear proliferation. Bill Clinton's weakness, indecision, and double-talk, have undermined America's role as leader of the free world. </w:t>
      </w:r>
    </w:p>
    <w:p w:rsidR="00A31137" w:rsidRPr="00A31137" w:rsidRDefault="00A31137" w:rsidP="00A31137">
      <w:r w:rsidRPr="00A31137">
        <w:t>1996 Republican Party Platform</w:t>
      </w:r>
    </w:p>
    <w:p w:rsidR="00A31137" w:rsidRPr="00A31137" w:rsidRDefault="00A31137" w:rsidP="00A31137">
      <w:r w:rsidRPr="00A31137">
        <w:t xml:space="preserve">In 1996, the nation's choice is clear: either we return responsible leadership to the White House , or Bill Clinton's lack of international purpose results in catastrophe. We must keep our country strong and sovereign, and assert the interests and values of the United States in the international arena. </w:t>
      </w:r>
    </w:p>
    <w:p w:rsidR="00A31137" w:rsidRPr="00A31137" w:rsidRDefault="00A31137" w:rsidP="00A31137">
      <w:r w:rsidRPr="00A31137">
        <w:t>The Atlantic Alliance and Europe</w:t>
      </w:r>
    </w:p>
    <w:p w:rsidR="00A31137" w:rsidRPr="00A31137" w:rsidRDefault="00A31137" w:rsidP="00A31137">
      <w:r w:rsidRPr="00A31137">
        <w:t>1996 Republican Party Platform</w:t>
      </w:r>
    </w:p>
    <w:p w:rsidR="00A31137" w:rsidRPr="00A31137" w:rsidRDefault="00A31137" w:rsidP="00A31137">
      <w:r w:rsidRPr="00A31137">
        <w:t>"Let us begin by reaffirming that Europe's security is indispensable to the security of the United States, and that American leadership is absolutely indispensable to the security of Europe." —Bob Dole, June 25, 1996</w:t>
      </w:r>
    </w:p>
    <w:p w:rsidR="00A31137" w:rsidRPr="00A31137" w:rsidRDefault="00A31137" w:rsidP="00A31137">
      <w:r w:rsidRPr="00A31137">
        <w:t>1996 Republican Party Platform</w:t>
      </w:r>
    </w:p>
    <w:p w:rsidR="00A31137" w:rsidRPr="00A31137" w:rsidRDefault="00A31137" w:rsidP="00A31137">
      <w:r w:rsidRPr="00A31137">
        <w:t xml:space="preserve">The Atlantic Alliance: Our relations with the nations of Europe must continue to be based on the NATO alliance, which remains the worlds' strongest bulwark of freedom and international stability. Our policy will strive to consolidate our Cold War victory in Europe and to build a firm foundation for a new century of peace. In the same spirit that Ronald Reagan called for the integration of Spain into the NATO alliance, we call for the immediate expansion of the framework for peace to include those countries of Central Europe which demonstrate the strongest commitment to the democratic ideals NATO was created to protect. </w:t>
      </w:r>
    </w:p>
    <w:p w:rsidR="00A31137" w:rsidRPr="00A31137" w:rsidRDefault="00A31137" w:rsidP="00A31137">
      <w:r w:rsidRPr="00A31137">
        <w:t>1996 Republican Party Platform</w:t>
      </w:r>
    </w:p>
    <w:p w:rsidR="00A31137" w:rsidRPr="00A31137" w:rsidRDefault="00A31137" w:rsidP="00A31137">
      <w:r w:rsidRPr="00A31137">
        <w:t>With the people of Poland, the Czech Republic, and Hungary we have special bonds. These nations—and others—are rightfully part of the future of Europe. As Bob Dole said, "It is an outrage that the patriots who threw off the chains of Soviet bondage have been told by Bill Clinton that they must wait to join the NATO alliance." We strongly endorse Bob Dole's call for Poland, the Czech Republic, and Hungary to enter NATO by 1998.</w:t>
      </w:r>
    </w:p>
    <w:p w:rsidR="00A31137" w:rsidRPr="00A31137" w:rsidRDefault="00A31137" w:rsidP="00A31137">
      <w:r w:rsidRPr="00A31137">
        <w:t>1996 Republican Party Platform</w:t>
      </w:r>
    </w:p>
    <w:p w:rsidR="00A31137" w:rsidRPr="00A31137" w:rsidRDefault="00A31137" w:rsidP="00A31137">
      <w:r w:rsidRPr="00A31137">
        <w:t>Bosnia: We support America's men and women in uniform who are serving in Bosnia and Herzegovina. However, we did not support the ill-conceived and inconsistent policies that led to their deployment. In 1992, candidate Bill Clinton pledged to lift the arms embargo on Bosnia, but once in office he ignored his promises. For three years, Bill Clinton upheld the illegal and unjust arms embargo on Bosnia and allowed genocidal aggression to go virtually unchallenged, while Bob Dole successfully led the effort in the Congress to lift the U.S. arms embargo. Once again, Bill Clinton subordinated American national interests to the United Nations in vetoing bipartisan legislation that would have lifted the U.S. arms embargo and rendered the deployment of American forces unnecessary. At the same time Bill Clinton was opposing congressional efforts to lift the arms embargo, he made a secret decision to allow the terrorist Iranian regime to supply arms to Bosnia. This duplicitous policy has endangered U.S. and Allied forces and given Iran a foothold in Europe.</w:t>
      </w:r>
    </w:p>
    <w:p w:rsidR="00A31137" w:rsidRPr="00A31137" w:rsidRDefault="00A31137" w:rsidP="00A31137">
      <w:r w:rsidRPr="00A31137">
        <w:t>1996 Republican Party Platform</w:t>
      </w:r>
    </w:p>
    <w:p w:rsidR="00A31137" w:rsidRPr="00A31137" w:rsidRDefault="00A31137" w:rsidP="00A31137">
      <w:r w:rsidRPr="00A31137">
        <w:t>We look forward to a timely withdrawal of U.S. forces from Bosnia and recognize that providing the Bosnian Federation with adequate weapons and training is the only realistic exit strategy. We support the democratic process in Bosnia and, when conditions exist, the conduct of free and fair elections. We support bringing indicted war criminals to justice. We encourage the peoples of the region—and in particular those of Croatia, Bosnia and Herzegovina, and Serbia and Montenegro—to play a constructive role in fostering peace and stability there. We note with concern that repression and human rights abuses are escalating in Kosova and support the appointment of a U.S. special envoy to help resolve the situation there.</w:t>
      </w:r>
    </w:p>
    <w:p w:rsidR="00A31137" w:rsidRPr="00A31137" w:rsidRDefault="00A31137" w:rsidP="00A31137">
      <w:r w:rsidRPr="00A31137">
        <w:t>1996 Republican Party Platform</w:t>
      </w:r>
    </w:p>
    <w:p w:rsidR="00A31137" w:rsidRPr="00A31137" w:rsidRDefault="00A31137" w:rsidP="00A31137">
      <w:r w:rsidRPr="00A31137">
        <w:t>Russia: We salute the people of Russia in their quest for democracy and a free market economy. During this crucial period, the Clinton Administration has pursued an accommodationist and misguided policy toward Moscow. Bill Clinton's comparison of Russia's extreme brutality in Chechnya to the American Civil War is offensive. The Clinton Administration's passivity in the face of Russia's intimidation and economic blackmail against countries of the former Soviet Union has encouraged the rise of extreme nationalist and undemocratic forces. Its willingness to accept Russian changes to already agreed-to arms control treaties has undermined security. Its complacency over Russia's sale of nuclear technology to Iran and Cuba has contributed to the threat of nuclear proliferation.</w:t>
      </w:r>
    </w:p>
    <w:p w:rsidR="00A31137" w:rsidRPr="00A31137" w:rsidRDefault="00A31137" w:rsidP="00A31137">
      <w:r w:rsidRPr="00A31137">
        <w:t>1996 Republican Party Platform</w:t>
      </w:r>
    </w:p>
    <w:p w:rsidR="00A31137" w:rsidRPr="00A31137" w:rsidRDefault="00A31137" w:rsidP="00A31137">
      <w:r w:rsidRPr="00A31137">
        <w:t>Our foreign policy toward Russia should put American interests first and consolidate our Cold War victory in Europe. We have a national interest in a security relationship with a democratic Russia. Specifically, we will encourage Russia to respect the sovereignty and independence of its neighbors; support a special security arrangement between Russia and NATO—but not Moscow's veto over NATO enlargement; support Russian entry to the G-7 after its reforms have been achieved; and link U.S. assistance to Russian adherence to international treaty obligations.</w:t>
      </w:r>
    </w:p>
    <w:p w:rsidR="00A31137" w:rsidRPr="00A31137" w:rsidRDefault="00A31137" w:rsidP="00A31137">
      <w:r w:rsidRPr="00A31137">
        <w:t>1996 Republican Party Platform</w:t>
      </w:r>
    </w:p>
    <w:p w:rsidR="00A31137" w:rsidRPr="00A31137" w:rsidRDefault="00A31137" w:rsidP="00A31137">
      <w:r w:rsidRPr="00A31137">
        <w:t xml:space="preserve">Newly Independent States: We reaffirm our party's historic commitment to the independence of all former Captive Nations still recovering from the long night of Soviet Communism, especially Latvia, Lithuania, Estonia, Armenia, and Ukraine. We endorse Republican legislation to establish in Washington, D. C., funded by private contributions, an international memorial to the one hundred million victims of Communism. </w:t>
      </w:r>
    </w:p>
    <w:p w:rsidR="00A31137" w:rsidRPr="00A31137" w:rsidRDefault="00A31137" w:rsidP="00A31137">
      <w:r w:rsidRPr="00A31137">
        <w:t>1996 Republican Party Platform</w:t>
      </w:r>
    </w:p>
    <w:p w:rsidR="00A31137" w:rsidRPr="00A31137" w:rsidRDefault="00A31137" w:rsidP="00A31137">
      <w:r w:rsidRPr="00A31137">
        <w:t xml:space="preserve">Ireland: We support efforts to establish peace with justice in Northern Ireland through a peace process inclusive of all parties who reject violence. During this difficult period in Irish history, we encourage private U. S. investment in the North, fully consistent with the MacBride principles for fair employment, in order to address the systemic discriminatory practices that still exist, especially against Catholics, in the workplace and elsewhere. We call on all parties to renounce terrorism in the Northern Ireland conflict. </w:t>
      </w:r>
    </w:p>
    <w:p w:rsidR="00A31137" w:rsidRPr="00A31137" w:rsidRDefault="00A31137" w:rsidP="00A31137">
      <w:r w:rsidRPr="00A31137">
        <w:t>1996 Republican Party Platform</w:t>
      </w:r>
    </w:p>
    <w:p w:rsidR="00A31137" w:rsidRPr="00A31137" w:rsidRDefault="00A31137" w:rsidP="00A31137">
      <w:r w:rsidRPr="00A31137">
        <w:t>Cyprus: We encourage a peaceful settlement for Cyprus and respect by all parties for the wishes of the Cypriot people. Concerned about continuing tension in the Aegean Sea, we will maintain close ties to both Greece and Turkey and urge all parties to refrain from precipitous actions and assertions contrary to legally established territorial arrangements.</w:t>
      </w:r>
    </w:p>
    <w:p w:rsidR="00A31137" w:rsidRPr="00A31137" w:rsidRDefault="00A31137" w:rsidP="00A31137">
      <w:r w:rsidRPr="00A31137">
        <w:t>Defending America Against Missile Attack</w:t>
      </w:r>
    </w:p>
    <w:p w:rsidR="00A31137" w:rsidRPr="00A31137" w:rsidRDefault="00A31137" w:rsidP="00A31137">
      <w:r w:rsidRPr="00A31137">
        <w:t>1996 Republican Party Platform</w:t>
      </w:r>
    </w:p>
    <w:p w:rsidR="00A31137" w:rsidRPr="00A31137" w:rsidRDefault="00A31137" w:rsidP="00A31137">
      <w:r w:rsidRPr="00A31137">
        <w:t xml:space="preserve">We face two scandalous situations. First, most Americans do not realize our country has no defense against long-range missile attack. Second, the current occupant of the Oval Office refuses to tell them of that danger. So we will. </w:t>
      </w:r>
    </w:p>
    <w:p w:rsidR="00A31137" w:rsidRPr="00A31137" w:rsidRDefault="00A31137" w:rsidP="00A31137">
      <w:r w:rsidRPr="00A31137">
        <w:t>1996 Republican Party Platform</w:t>
      </w:r>
    </w:p>
    <w:p w:rsidR="00A31137" w:rsidRPr="00A31137" w:rsidRDefault="00A31137" w:rsidP="00A31137">
      <w:r w:rsidRPr="00A31137">
        <w:t xml:space="preserve">This is the frightening truth: The United States provided the technology to Israel to protect it from Iraqi missile attacks during the Persian Gulf War, but President Clinton refuses to provide the technology—technology that is readily available—to the American people to protect our country from the growing threat posed by long-range ballistic missiles. The Strategic Defense Initiative (SDI) of the last two Republican administrations has been dismantled by Bill Clinton, who—contrary to the national security interests of the United States—clings to the obsolete Cold War ABM Treaty. Clinton slashed the funding budgeted by past presidents for missile defense and even violates the law by slowing down critical theater missile defenses. He has pursued negotiations to actually expand the outdated ABM Treaty, further tying America's hands, and hobbling our self-defense. He now seeks new limitations that will hinder the United States from developing and deploying even theater ballistic missile defenses to protect our troops abroad. </w:t>
      </w:r>
    </w:p>
    <w:p w:rsidR="00A31137" w:rsidRPr="00A31137" w:rsidRDefault="00A31137" w:rsidP="00A31137">
      <w:r w:rsidRPr="00A31137">
        <w:t>1996 Republican Party Platform</w:t>
      </w:r>
    </w:p>
    <w:p w:rsidR="00A31137" w:rsidRPr="00A31137" w:rsidRDefault="00A31137" w:rsidP="00A31137">
      <w:r w:rsidRPr="00A31137">
        <w:t>In a peaceful world, such limitations would be imprudent. In today's world, they are immoral. The danger of a missile attack with nuclear, chemical, or biological weapons is the most serious threat to our national security. Communist China has mocked our vulnerability by threatening to attack Los Angeles if we stand by our historic commitment to the Republic of China on Taiwan. We are vulnerable to blackmail—nuclear or otherwise—from a host of terrorist states that are now trying to acquire the instruments of doom. In the face of those dangers, Bill Clinton has ignored his responsibilities. In the most egregious instance, he directed that a National Intelligence Estimate focus only on the missile threat to the continental United States, deliberately ignoring the near-term menace posed to Alaska and Hawaii by long-range missiles now being developed or otherwise acquired by the Communists who rule North Korea.</w:t>
      </w:r>
    </w:p>
    <w:p w:rsidR="00A31137" w:rsidRPr="00A31137" w:rsidRDefault="00A31137" w:rsidP="00A31137">
      <w:r w:rsidRPr="00A31137">
        <w:t>1996 Republican Party Platform</w:t>
      </w:r>
    </w:p>
    <w:p w:rsidR="00A31137" w:rsidRPr="00A31137" w:rsidRDefault="00A31137" w:rsidP="00A31137">
      <w:r w:rsidRPr="00A31137">
        <w:t>America will be increasingly threatened by long-range ballistic missiles in the near future, but there also exists today a more immediate threat from the proliferation of shorter-range, or "theater" missiles. Bill Clinton says that theater missile defense (TMD) is a top priority of his administration, yet refuses to provide adequate funding for our most promising and effective TMD programs. For example, not only has he recently cut funding by 40% for the Theater High Altitude Area Defense (THAAD) program, but he has also failed to request sufficient funds to develop and deploy the Navy Upper Tier system. Republicans will fully fund and deploy these and other TMD systems to protect American troops and vital interests abroad.</w:t>
      </w:r>
    </w:p>
    <w:p w:rsidR="00A31137" w:rsidRPr="00A31137" w:rsidRDefault="00A31137" w:rsidP="00A31137">
      <w:r w:rsidRPr="00A31137">
        <w:t>1996 Republican Party Platform</w:t>
      </w:r>
    </w:p>
    <w:p w:rsidR="00A31137" w:rsidRPr="00A31137" w:rsidRDefault="00A31137" w:rsidP="00A31137">
      <w:r w:rsidRPr="00A31137">
        <w:t xml:space="preserve">The Republican Party is committed to the protection of all Americans—including our two million citizens in Alaska and Hawaii—against missile attack. We are determined to deploy land-based and sea-based theater missile defenses as soon as possible, and a national system thereafter. We will not permit the mistakes of past diplomacy, based on the immoral concept of Mutual Assured Destruction, to imperil the safety of our nation, our Armed Forces abroad, and our allies. Arms control will be a means to enhance American national security, not an end in itself. We therefore endorse the Defend America Act of 1996, introduced by Senator Bob Dole which calls for a national missile defense system for all fifty States by the year 2003. </w:t>
      </w:r>
    </w:p>
    <w:p w:rsidR="00A31137" w:rsidRPr="00A31137" w:rsidRDefault="00A31137" w:rsidP="00A31137">
      <w:r w:rsidRPr="00A31137">
        <w:t>1996 Republican Party Platform</w:t>
      </w:r>
    </w:p>
    <w:p w:rsidR="00A31137" w:rsidRPr="00A31137" w:rsidRDefault="00A31137" w:rsidP="00A31137">
      <w:r w:rsidRPr="00A31137">
        <w:t>To cope with the threat of the proliferation of weapons of mass destruction, the United States will have to deter the threat or use of weapons of mass destruction by rogue states. This in turn will require the continuing maintenance and development of nuclear weapons and their periodic testing. The Clinton Administration's proposed Comprehensive Test Ban Treaty (CTBT) is inconsistent with American security interests.</w:t>
      </w:r>
    </w:p>
    <w:p w:rsidR="00A31137" w:rsidRPr="00A31137" w:rsidRDefault="00A31137" w:rsidP="00A31137">
      <w:r w:rsidRPr="00A31137">
        <w:t>Rebuilding America's Strength</w:t>
      </w:r>
    </w:p>
    <w:p w:rsidR="00A31137" w:rsidRPr="00A31137" w:rsidRDefault="00A31137" w:rsidP="00A31137">
      <w:r w:rsidRPr="00A31137">
        <w:t xml:space="preserve">Republicans are committed to ensuring the status of the United States as the world's preeminent military power. We must reverse the decline in what our nation spends for defense. In just three and a half years, an amateur approach to military matters and dramatic reductions in defense spending under the Clinton Administration have had a serious negative impact on the readiness and capabilities of our armed forces. In 1994, three of the Army's primary combat divisions reported unacceptably low levels of readiness, and all forward-deployed Army divisions reported below par readiness ratings. Not since the "Hollow Army" days of Jimmy Carter have Army readiness levels been so low. Funding shortfalls and shortages of spare parts and munitions are limiting training opportunities and thus the combat readiness of our forces. At the same time, Bill Clinton's peacekeeping operations and other global ventures have increased the operational demands on the limited forces available, extended the duration of their deployments, and put immense strains on service members and their families—without any discernible benefit to U.S. national security. </w:t>
      </w:r>
    </w:p>
    <w:p w:rsidR="00A31137" w:rsidRPr="00A31137" w:rsidRDefault="00A31137" w:rsidP="00A31137">
      <w:r w:rsidRPr="00A31137">
        <w:t>1996 Republican Party Platform</w:t>
      </w:r>
    </w:p>
    <w:p w:rsidR="00A31137" w:rsidRPr="00A31137" w:rsidRDefault="00A31137" w:rsidP="00A31137">
      <w:r w:rsidRPr="00A31137">
        <w:t xml:space="preserve">Republicans faced a similar situation with a deteriorating military in 1981, but then two Republican presidents turned things around and restored America's world leadership. We must do it again, and quickly. The All-Volunteer force is composed of the finest military personnel in the world today. These outstanding men and women deserve a civilian leadership committed to providing them with the resources, technology, and equipment they need to safely and successfully perform their missions. They deserve nothing but the best from the people they protect. </w:t>
      </w:r>
    </w:p>
    <w:p w:rsidR="00A31137" w:rsidRPr="00A31137" w:rsidRDefault="00A31137" w:rsidP="00A31137">
      <w:r w:rsidRPr="00A31137">
        <w:t>1996 Republican Party Platform</w:t>
      </w:r>
    </w:p>
    <w:p w:rsidR="00A31137" w:rsidRPr="00A31137" w:rsidRDefault="00A31137" w:rsidP="00A31137">
      <w:r w:rsidRPr="00A31137">
        <w:t>We recognize that today's military research and development, as well as procurement, is tomorrow's readiness. We are committed to readiness not just today, but also tomorrow. Bill Clinton has decimated our research and development effort, and slashed procurement for our armed forces. Not since 1950 have we spent so little on new weapons for our military. Fortunately, the Republican Congress has restored some of the funding Bill Clinton sought to cut for research and development and for procurement. Only a Commander-in-Chief who fully understands and respects the military can rebuild America's defense capabilities.</w:t>
      </w:r>
    </w:p>
    <w:p w:rsidR="00A31137" w:rsidRPr="00A31137" w:rsidRDefault="00A31137" w:rsidP="00A31137">
      <w:r w:rsidRPr="00A31137">
        <w:t>1996 Republican Party Platform</w:t>
      </w:r>
    </w:p>
    <w:p w:rsidR="00A31137" w:rsidRPr="00A31137" w:rsidRDefault="00A31137" w:rsidP="00A31137">
      <w:r w:rsidRPr="00A31137">
        <w:t xml:space="preserve">The Clinton Administration's own inadequate defense "strategy" has been underfunded. The mismatch between strategy, forces, and resources poses an enormous potential risk to America's military personnel and vital interests. This mismatch must be resolved now, before regional crises erupt and find our nation unprepared. A Republican president will immediately conduct a thorough review that will require resources and programs to be redirected according to goals set by the President instead by the bureaucracy. </w:t>
      </w:r>
    </w:p>
    <w:p w:rsidR="00A31137" w:rsidRPr="00A31137" w:rsidRDefault="00A31137" w:rsidP="00A31137">
      <w:r w:rsidRPr="00A31137">
        <w:t>1996 Republican Party Platform</w:t>
      </w:r>
    </w:p>
    <w:p w:rsidR="00A31137" w:rsidRPr="00A31137" w:rsidRDefault="00A31137" w:rsidP="00A31137">
      <w:r w:rsidRPr="00A31137">
        <w:t>Money alone is not the answer. It must be spent the right way, with long-term efficiencies in mind. We call for reductions in the overhead and infrastructure of the Defense Department and successful demonstrations of weapons and equipment prior to full scale purchases. Budgetary decisions must be made with an eye to preserving the nation's defense industrial base, accelerating procurement of key military and dual-use technologies, incorporating emerging technologies into military operations, and maintaining an adequate, safe and reliable capability in nuclear weapons.</w:t>
      </w:r>
    </w:p>
    <w:p w:rsidR="00A31137" w:rsidRPr="00A31137" w:rsidRDefault="00A31137" w:rsidP="00A31137">
      <w:r w:rsidRPr="00A31137">
        <w:t>1996 Republican Party Platform</w:t>
      </w:r>
    </w:p>
    <w:p w:rsidR="00A31137" w:rsidRPr="00A31137" w:rsidRDefault="00A31137" w:rsidP="00A31137">
      <w:r w:rsidRPr="00A31137">
        <w:t>Only a Republican president and a Republican Congress can fulfill these duties.</w:t>
      </w:r>
    </w:p>
    <w:p w:rsidR="00A31137" w:rsidRPr="00A31137" w:rsidRDefault="00A31137" w:rsidP="00A31137">
      <w:r w:rsidRPr="00A31137">
        <w:t>Protecting American Interests</w:t>
      </w:r>
    </w:p>
    <w:p w:rsidR="00A31137" w:rsidRPr="00A31137" w:rsidRDefault="00A31137" w:rsidP="00A31137">
      <w:r w:rsidRPr="00A31137">
        <w:t>1996 Republican Party Platform</w:t>
      </w:r>
    </w:p>
    <w:p w:rsidR="00A31137" w:rsidRPr="00A31137" w:rsidRDefault="00A31137" w:rsidP="00A31137">
      <w:r w:rsidRPr="00A31137">
        <w:t xml:space="preserve">We scorn the Clintonite view that soon "nationhood as we know it will be obsolete; all states will recognize a single global authority." This is nonsense, but it explains why the Democrat Administration has lurched from one foreign policy fiasco to the next—and why Bill Clinton vetoed the first legislative restructuring of America's diplomatic institutions in a half century. A Republican president will reform the Department of State to ensure that America's interests always come first. </w:t>
      </w:r>
    </w:p>
    <w:p w:rsidR="00A31137" w:rsidRPr="00A31137" w:rsidRDefault="00A31137" w:rsidP="00A31137">
      <w:r w:rsidRPr="00A31137">
        <w:t>1996 Republican Party Platform</w:t>
      </w:r>
    </w:p>
    <w:p w:rsidR="00A31137" w:rsidRPr="00A31137" w:rsidRDefault="00A31137" w:rsidP="00A31137">
      <w:r w:rsidRPr="00A31137">
        <w:t>Republicans will not subordinate United States sovereignty to any international authority. We oppose the commitment of American troops to U.N. "peacekeeping" operations under foreign commanders and will never compel American servicemen to wear foreign uniforms or insignia. We will insist on an end to waste, mismanagement, and fraud at the United Nations. We will ensure American interests are pursued and defended at the United Nations, will not tolerate any international taxation by the organization, nor will we permit any international court to seize, try, or punish American citizens. Before his departure from the Senate, Bob Dole introduced legislation prohibiting U.S. payments to the United Nations and any of its agencies if they attempt to implement global taxes. We support the passage of the Prohibition on United Nations Taxation Act of 1996 to preserve America's sovereignty and the American taxpayer's right to taxation with representation.</w:t>
      </w:r>
    </w:p>
    <w:p w:rsidR="00A31137" w:rsidRPr="00A31137" w:rsidRDefault="00A31137" w:rsidP="00A31137">
      <w:r w:rsidRPr="00A31137">
        <w:t>1996 Republican Party Platform</w:t>
      </w:r>
    </w:p>
    <w:p w:rsidR="00A31137" w:rsidRPr="00A31137" w:rsidRDefault="00A31137" w:rsidP="00A31137">
      <w:r w:rsidRPr="00A31137">
        <w:t>A Republican president will withdraw from Senate consideration any pending international conventions or treaties that erode the constitutional foundations of our Republic and will neither negotiate nor submit such agreements in the future. We will ensure that our future relations with international organizations not infringe upon either the sovereignty of the United States or the earnings of the American taxpayer.</w:t>
      </w:r>
    </w:p>
    <w:p w:rsidR="00A31137" w:rsidRPr="00A31137" w:rsidRDefault="00A31137" w:rsidP="00A31137">
      <w:r w:rsidRPr="00A31137">
        <w:t>1996 Republican Party Platform</w:t>
      </w:r>
    </w:p>
    <w:p w:rsidR="00A31137" w:rsidRPr="00A31137" w:rsidRDefault="00A31137" w:rsidP="00A31137">
      <w:r w:rsidRPr="00A31137">
        <w:t xml:space="preserve">American citizens must retain ownership of their private property, and must maintain full control of our national and state parks, without international interference. </w:t>
      </w:r>
    </w:p>
    <w:p w:rsidR="00A31137" w:rsidRPr="00A31137" w:rsidRDefault="00A31137" w:rsidP="00A31137">
      <w:r w:rsidRPr="00A31137">
        <w:t>International Terrorism</w:t>
      </w:r>
    </w:p>
    <w:p w:rsidR="00A31137" w:rsidRPr="00A31137" w:rsidRDefault="00A31137" w:rsidP="00A31137">
      <w:r w:rsidRPr="00A31137">
        <w:t>1996 Republican Party Platform</w:t>
      </w:r>
    </w:p>
    <w:p w:rsidR="00A31137" w:rsidRPr="00A31137" w:rsidRDefault="00A31137" w:rsidP="00A31137">
      <w:r w:rsidRPr="00A31137">
        <w:t>Terrorist states have made a comeback during Bill Clinton's Administration. He has treated their rulers with undue respect and failed to curb their acquisition of weapons of mass destruction. Although congressional Republicans passed anti-terrorism legislation earlier this year, the Clinton Administration has not implemented many key provisions of the law. It has not been used to freeze terrorists' assets, deny terrorists' visas, cut off foreign aid to supporters of terrorist states, or halt terrorist fundraising in the United States. The Clinton Administration has not implemented the anti-terrorist research program established and funded by Congress in the 1990 Aviation Security Act.</w:t>
      </w:r>
    </w:p>
    <w:p w:rsidR="00A31137" w:rsidRPr="00A31137" w:rsidRDefault="00A31137" w:rsidP="00A31137">
      <w:r w:rsidRPr="00A31137">
        <w:t>1996 Republican Party Platform</w:t>
      </w:r>
    </w:p>
    <w:p w:rsidR="00A31137" w:rsidRPr="00A31137" w:rsidRDefault="00A31137" w:rsidP="00A31137">
      <w:r w:rsidRPr="00A31137">
        <w:t>A Republican president will forcefully lead the world community to isolate and punish state sponsors of terrorism. It is vital to our security that we actively work to reverse the threat posed by these regimes—through imposition and enforcement of sanctions, banning investment, and leading our allies in effective policies. The governments of North Korea, Iran, Syria, Iraq, Libya, Sudan, and Cuba must know that America's first line of defense is not our shoreline, but their own borders. We will be proactive, not reactive, to strike the hand of terrorism before it can be raised against Americans.</w:t>
      </w:r>
    </w:p>
    <w:p w:rsidR="00A31137" w:rsidRPr="00A31137" w:rsidRDefault="00A31137" w:rsidP="00A31137">
      <w:r w:rsidRPr="00A31137">
        <w:t>1996 Republican Party Platform</w:t>
      </w:r>
    </w:p>
    <w:p w:rsidR="00A31137" w:rsidRPr="00A31137" w:rsidRDefault="00A31137" w:rsidP="00A31137">
      <w:r w:rsidRPr="00A31137">
        <w:t>We denounce terrorist attacks made on American citizens at home or abroad. We must take all legitimate steps to swiftly apprehend and severely punish persons committing terrorists acts. However, we must also denounce any attempts to deprive law-abiding citizens of their God-given, constitutionally-protected rights while fighting terrorism. To take away the liberty of the American people while fighting terrorism is repugnant to the history and character of our nation. We firmly oppose any legislation that would infringe upon the rights of American citizens to freedom of religion, speech, press, and assembly; the right to keep and bear arms; and the right to judicial due process.</w:t>
      </w:r>
    </w:p>
    <w:p w:rsidR="00A31137" w:rsidRPr="00A31137" w:rsidRDefault="00A31137" w:rsidP="00A31137">
      <w:r w:rsidRPr="00A31137">
        <w:t>Africa</w:t>
      </w:r>
    </w:p>
    <w:p w:rsidR="00A31137" w:rsidRPr="00A31137" w:rsidRDefault="00A31137" w:rsidP="00A31137">
      <w:r w:rsidRPr="00A31137">
        <w:t>1996 Republican Party Platform</w:t>
      </w:r>
    </w:p>
    <w:p w:rsidR="00A31137" w:rsidRPr="00A31137" w:rsidRDefault="00A31137" w:rsidP="00A31137">
      <w:r w:rsidRPr="00A31137">
        <w:t xml:space="preserve">We support those U. S. aid programs to Africa which have proven records of success, especially the Child Survival Program of vitamins, immunizations, sanitation, and oral rehydration. We hail the social and economic progress of those nations which have used the free market to liberate the talent and striving of their people. They deserve our attention, but our outreach must be on a case-by-case basis. Our hope for the future of South Africa, for example, stands in contrast with the military rule now imposed on Nigeria, the continent's most populous country. </w:t>
      </w:r>
    </w:p>
    <w:p w:rsidR="00A31137" w:rsidRPr="00A31137" w:rsidRDefault="00A31137" w:rsidP="00A31137">
      <w:r w:rsidRPr="00A31137">
        <w:t>1996 Republican Party Platform</w:t>
      </w:r>
    </w:p>
    <w:p w:rsidR="00A31137" w:rsidRPr="00A31137" w:rsidRDefault="00A31137" w:rsidP="00A31137">
      <w:r w:rsidRPr="00A31137">
        <w:t xml:space="preserve">The Republican Party's commitment to freedom and human rights in Africa is as old as the establishment of the Republic of Liberia. Today, the tragic fate of that small nation symbolizes the larger tragedy that has befallen much of the continent. The Clinton Administration's dismal performance in Somalia, resulting in needless American deaths, set the stage for international passivity in the face of genocide in Rwanda and Burundi. The Clinton Administration has even failed to rally the world against the slave trade sponsored by the government of the Sudan, whose persecution of Sudanese Christians and others is nothing short of genocide. A Republican president will not tolerate this unconscionable treatment of children and women. </w:t>
      </w:r>
    </w:p>
    <w:p w:rsidR="00A31137" w:rsidRPr="00A31137" w:rsidRDefault="00A31137" w:rsidP="00A31137">
      <w:r w:rsidRPr="00A31137">
        <w:t>Asia</w:t>
      </w:r>
    </w:p>
    <w:p w:rsidR="00A31137" w:rsidRPr="00A31137" w:rsidRDefault="00A31137" w:rsidP="00A31137">
      <w:r w:rsidRPr="00A31137">
        <w:t>1996 Republican Party Platform</w:t>
      </w:r>
    </w:p>
    <w:p w:rsidR="00A31137" w:rsidRPr="00A31137" w:rsidRDefault="00A31137" w:rsidP="00A31137">
      <w:r w:rsidRPr="00A31137">
        <w:t xml:space="preserve">Bill Clinton's foreign policy failures loom large in Asia. Four years ago, most of that continent was rushing toward democratic reform. Today it threatens to slip backwards into conflict and repression. A Republican Administration will keep the mutual security treaties with Japan and with the Republic of Korea as the foundation of our role in the region. We will halt Bill Clinton's efforts to appease North Korea by rewarding treaty-breaking with American taxpayer-financed oil and nuclear reactors. We will make further improvement of relations with Vietnam and North Korea contingent upon their cooperation in achieving a full and complete accounting of our POW's and MIA's from those Asian conflicts. </w:t>
      </w:r>
    </w:p>
    <w:p w:rsidR="00A31137" w:rsidRPr="00A31137" w:rsidRDefault="00A31137" w:rsidP="00A31137">
      <w:r w:rsidRPr="00A31137">
        <w:t>1996 Republican Party Platform</w:t>
      </w:r>
    </w:p>
    <w:p w:rsidR="00A31137" w:rsidRPr="00A31137" w:rsidRDefault="00A31137" w:rsidP="00A31137">
      <w:r w:rsidRPr="00A31137">
        <w:t>China and Taiwan: We support the aspiration of the Chinese people for both economic and political liberty, which includes respect for the human rights of the people of Tibet. Our relationship with the Chinese government will be based on vigilance with regard to its military potential, proliferation activities, and its attitude toward human rights, especially in Hong Kong. The Taiwan Relations Act must remain the basis for our relations with the Republic of China on Taiwan. We reaffirm our commitment to Taiwan's security and will regard any threat to alter its status by force as a threat to our own security interests. We will make available to Taiwan the material it needs for self-defense, particularly theater missile defense and coastal patrol submarines. In recognition of its growing importance in the global economy, we support a larger role for Taiwan in international organizations.</w:t>
      </w:r>
    </w:p>
    <w:p w:rsidR="00A31137" w:rsidRPr="00A31137" w:rsidRDefault="00A31137" w:rsidP="00A31137">
      <w:r w:rsidRPr="00A31137">
        <w:t>1996 Republican Party Platform</w:t>
      </w:r>
    </w:p>
    <w:p w:rsidR="00A31137" w:rsidRPr="00A31137" w:rsidRDefault="00A31137" w:rsidP="00A31137">
      <w:r w:rsidRPr="00A31137">
        <w:t xml:space="preserve">Philippines: We reaffirm our historic friendship with the Philippine people, which has endured through changing circumstances. </w:t>
      </w:r>
    </w:p>
    <w:p w:rsidR="00A31137" w:rsidRPr="00A31137" w:rsidRDefault="00A31137" w:rsidP="00A31137">
      <w:r w:rsidRPr="00A31137">
        <w:t>The Middle East</w:t>
      </w:r>
    </w:p>
    <w:p w:rsidR="00A31137" w:rsidRPr="00A31137" w:rsidRDefault="00A31137" w:rsidP="00A31137">
      <w:r w:rsidRPr="00A31137">
        <w:t>1996 Republican Party Platform</w:t>
      </w:r>
    </w:p>
    <w:p w:rsidR="00A31137" w:rsidRPr="00A31137" w:rsidRDefault="00A31137" w:rsidP="00A31137">
      <w:r w:rsidRPr="00A31137">
        <w:t>Peace through strength continues to be central in the Middle East. Saddam Hussein reminded us just five years ago of the potential for aggression by radical states in this region. Republicans understand the importance of maintaining a robust U.S. military capability in the Eastern Mediterranean and the Persian Gulf, cooperating with our allies to ensure regional stability. Republicans also understand the need to be willing to use force to deter aggression and, where deterrence fails, to defeat it. That is why Republicans were the bedrock of support for the congressional vote to authorize the use of force against Iraq's aggression in 1991, while most Democrats voted against Operation Desert Storm.</w:t>
      </w:r>
    </w:p>
    <w:p w:rsidR="00A31137" w:rsidRPr="00A31137" w:rsidRDefault="00A31137" w:rsidP="00A31137">
      <w:r w:rsidRPr="00A31137">
        <w:t>1996 Republican Party Platform</w:t>
      </w:r>
    </w:p>
    <w:p w:rsidR="00A31137" w:rsidRPr="00A31137" w:rsidRDefault="00A31137" w:rsidP="00A31137">
      <w:r w:rsidRPr="00A31137">
        <w:t>The Middle East remains a region vital to American security. Our enduring goals there are to promote freedom and stability, secure access to oil resources, and maintain the security of Israel, our one democratic ally in the region with whom we share moral bonds and common strategic interests. Most of the world's oil exports flow from the Middle East, and thus its strategic significance remains. But it is still the most volatile region in the world. Islamic radicalism, increasing terrorism, and rogue states like Iran, Iraq, Syria, and Libya threaten regional and international stability.</w:t>
      </w:r>
    </w:p>
    <w:p w:rsidR="00A31137" w:rsidRPr="00A31137" w:rsidRDefault="00A31137" w:rsidP="00A31137">
      <w:r w:rsidRPr="00A31137">
        <w:t>1996 Republican Party Platform</w:t>
      </w:r>
    </w:p>
    <w:p w:rsidR="00A31137" w:rsidRPr="00A31137" w:rsidRDefault="00A31137" w:rsidP="00A31137">
      <w:r w:rsidRPr="00A31137">
        <w:t>In this environment, Israel's demonstrated strategic importance to the U.S. as our most reliable and capable ally in this part of the world is more critical than ever. That is why Israel's security is central to U.S. interests in the region. That is why Republican Administrations initiated efforts with Israel to pre-position military equipment, to conduct joint contingency planning and joint military exercises. That is why we advocate continuing cooperation on the Arrow Missile, boost phase intercept, and the Nautilus programs. That is why we look toward the greater integration of Israel into our regional defense planning and wish to explore ways to enhance our strategic cooperation. That is why we have continued to support full funding for aid to Israel despite cuts in the foreign assistance budget, and why we applaud the country's commitment toward economic self-sufficiency.</w:t>
      </w:r>
    </w:p>
    <w:p w:rsidR="00A31137" w:rsidRPr="00A31137" w:rsidRDefault="00A31137" w:rsidP="00A31137">
      <w:r w:rsidRPr="00A31137">
        <w:t>1996 Republican Party Platform</w:t>
      </w:r>
    </w:p>
    <w:p w:rsidR="00A31137" w:rsidRPr="00A31137" w:rsidRDefault="00A31137" w:rsidP="00A31137">
      <w:r w:rsidRPr="00A31137">
        <w:t>We reaffirm that Republican commitment to maintain Israel's qualitative military advantage over any adversary or group of adversaries. While we fully support Israel's efforts to find peace and security with its neighbors, we will judge the peace process by the security it generates both for Israel and for the United States. In that context, we support Israel's right to make its own decisions regarding security and boundaries. We strongly oppose the Clinton Administration's attempts to interfere in Israel's democratic process.</w:t>
      </w:r>
    </w:p>
    <w:p w:rsidR="00A31137" w:rsidRPr="00A31137" w:rsidRDefault="00A31137" w:rsidP="00A31137">
      <w:r w:rsidRPr="00A31137">
        <w:t>1996 Republican Party Platform</w:t>
      </w:r>
    </w:p>
    <w:p w:rsidR="00A31137" w:rsidRPr="00A31137" w:rsidRDefault="00A31137" w:rsidP="00A31137">
      <w:r w:rsidRPr="00A31137">
        <w:t>We applaud the Republican Congress for enacting legislation to recognize Jerusalem as the undivided capital of Israel. A Republican administration will ensure that the U.S. Embassy is moved to Jerusalem by May 1999.</w:t>
      </w:r>
    </w:p>
    <w:p w:rsidR="00A31137" w:rsidRPr="00A31137" w:rsidRDefault="00A31137" w:rsidP="00A31137">
      <w:r w:rsidRPr="00A31137">
        <w:t>1996 Republican Party Platform</w:t>
      </w:r>
    </w:p>
    <w:p w:rsidR="00A31137" w:rsidRPr="00A31137" w:rsidRDefault="00A31137" w:rsidP="00A31137">
      <w:r w:rsidRPr="00A31137">
        <w:t xml:space="preserve">We honor the memory of Israeli Prime Minister Yitzhak Rabin, and express our support for the new government of Prime Minister Benjamin Netanyahu. We applaud those leaders in the Arab world, President Mubarak and King Hussein, who have spoken courageously and acted boldly for the cause of peace. We endorse continued assistance and support for countries which have made peace with Israel—led by Egypt and later joined by Jordan. Republican leadership will support others who follow their example, while isolating terrorist states until they are fit to rejoin the community of nations. </w:t>
      </w:r>
    </w:p>
    <w:p w:rsidR="00A31137" w:rsidRPr="00A31137" w:rsidRDefault="00A31137" w:rsidP="00A31137">
      <w:r w:rsidRPr="00A31137">
        <w:t>Western Hemisphere</w:t>
      </w:r>
    </w:p>
    <w:p w:rsidR="00A31137" w:rsidRPr="00A31137" w:rsidRDefault="00A31137" w:rsidP="00A31137">
      <w:r w:rsidRPr="00A31137">
        <w:t>1996 Republican Party Platform</w:t>
      </w:r>
    </w:p>
    <w:p w:rsidR="00A31137" w:rsidRPr="00A31137" w:rsidRDefault="00A31137" w:rsidP="00A31137">
      <w:r w:rsidRPr="00A31137">
        <w:t>The U.S. commitment to democratic institutions and market economies in the Western Hemisphere has paralleled our enduring interest in the security of the region, as laid out in the Monroe Doctrine. The success of Republican national security policies in the 1980s halted Soviet imperialism and promoted the process of economic and political reform in Latin America—defeating totalitarianism of the right and of the left. During the last decade and a half, Latin American countries have made enormous progress developing democratic institutions. We applaud their progress and offer our assistance to further expand and deepen democratic conditions in the region.</w:t>
      </w:r>
    </w:p>
    <w:p w:rsidR="00A31137" w:rsidRPr="00A31137" w:rsidRDefault="00A31137" w:rsidP="00A31137">
      <w:r w:rsidRPr="00A31137">
        <w:t>1996 Republican Party Platform</w:t>
      </w:r>
    </w:p>
    <w:p w:rsidR="00A31137" w:rsidRPr="00A31137" w:rsidRDefault="00A31137" w:rsidP="00A31137">
      <w:r w:rsidRPr="00A31137">
        <w:t>Hemispheric progress toward free and democratic societies has stalled during the Clinton Administration. A government bought and paid for by drug traffickers holds power in Colombia. Mexico—with whom we share hundreds of miles of border—is increasingly tainted by narcotics-related corruption at all levels of society. Similarly, there are signs of backsliding on democracy in Latin America, most notably in Paraguay, where a coup was narrowly averted earlier this year.</w:t>
      </w:r>
    </w:p>
    <w:p w:rsidR="00A31137" w:rsidRPr="00A31137" w:rsidRDefault="00A31137" w:rsidP="00A31137">
      <w:r w:rsidRPr="00A31137">
        <w:t>1996 Republican Party Platform</w:t>
      </w:r>
    </w:p>
    <w:p w:rsidR="00A31137" w:rsidRPr="00A31137" w:rsidRDefault="00A31137" w:rsidP="00A31137">
      <w:r w:rsidRPr="00A31137">
        <w:t>We call for a new partnership among the democratic nations of the Western Hemisphere to protect our hard-won victories against dictatorial government. This new partnership must address the most recent and dangerous threat to the hemisphere—narcotics traffickers and their trade. The emergence of the Western Hemisphere as an area—apart from Cuba—which shares our ideals of economic and political liberty must also mean close cooperation with the United States on a range of security issues. The Clinton Administration's policy of denying most Latin American nations the opportunity to replace their obsolescent military equipment, raise the professional competence of their armed forces, and cooperate fully with the United States in joint military training and exercises will be reversed by a Republican Administration.</w:t>
      </w:r>
    </w:p>
    <w:p w:rsidR="00A31137" w:rsidRPr="00A31137" w:rsidRDefault="00A31137" w:rsidP="00A31137">
      <w:r w:rsidRPr="00A31137">
        <w:t>1996 Republican Party Platform</w:t>
      </w:r>
    </w:p>
    <w:p w:rsidR="00A31137" w:rsidRPr="00A31137" w:rsidRDefault="00A31137" w:rsidP="00A31137">
      <w:r w:rsidRPr="00A31137">
        <w:t>We cherish our special relationship with the people of Mexico and Canada. In a spirit of mutual respect, we believe the forthright discussion of economic and social issues that may divide us is in the best interest of all three nations.</w:t>
      </w:r>
    </w:p>
    <w:p w:rsidR="00A31137" w:rsidRPr="00A31137" w:rsidRDefault="00A31137" w:rsidP="00A31137">
      <w:r w:rsidRPr="00A31137">
        <w:t>1996 Republican Party Platform</w:t>
      </w:r>
    </w:p>
    <w:p w:rsidR="00A31137" w:rsidRPr="00A31137" w:rsidRDefault="00A31137" w:rsidP="00A31137">
      <w:r w:rsidRPr="00A31137">
        <w:t>Bill Clinton's outreach to Castro has only delayed the emergence of "Cuba Libre," extending the duration of Communist tyranny. The Republican Party has not wavered and will not waver in its goal of a democratic Cuba. We affirm our policy of isolating the Castro regime, including full implementation of the Helms-Burton Act to penalize foreign firms which do business there.</w:t>
      </w:r>
    </w:p>
    <w:p w:rsidR="00A31137" w:rsidRPr="00A31137" w:rsidRDefault="00A31137" w:rsidP="00A31137">
      <w:r w:rsidRPr="00A31137">
        <w:t>1996 Republican Party Platform</w:t>
      </w:r>
    </w:p>
    <w:p w:rsidR="00A31137" w:rsidRPr="00A31137" w:rsidRDefault="00A31137" w:rsidP="00A31137">
      <w:r w:rsidRPr="00A31137">
        <w:t xml:space="preserve">Bill Clinton's awkward and misguided intervention in Haiti has cost American taxpayers some $3 billion and risked the lives of American military personnel for a less than vital interest. We reject Clinton administration claims of "success" in its military intervention in Haiti. Human rights abuses by government forces go unpunished, promised economic reforms have not been made, and the democratic process is deeply flawed. </w:t>
      </w:r>
    </w:p>
    <w:p w:rsidR="00A31137" w:rsidRPr="00A31137" w:rsidRDefault="00A31137" w:rsidP="00A31137">
      <w:r w:rsidRPr="00A31137">
        <w:t>Security and Foreign Assistance</w:t>
      </w:r>
    </w:p>
    <w:p w:rsidR="00A31137" w:rsidRPr="00A31137" w:rsidRDefault="00A31137" w:rsidP="00A31137">
      <w:r w:rsidRPr="00A31137">
        <w:t>1996 Republican Party Platform</w:t>
      </w:r>
    </w:p>
    <w:p w:rsidR="00A31137" w:rsidRPr="00A31137" w:rsidRDefault="00A31137" w:rsidP="00A31137">
      <w:r w:rsidRPr="00A31137">
        <w:t>America is and must remain the leader of the world. We did not win the Cold War without allies and friends, and we hope to face future challenges with them. Our country should not bear world burdens alone. Providing friendly nations with access to U.S. defense equipment can protect American security interests abroad and reduce the likelihood that American forces will have to be directly engaged in military conflict. The Clinton Administration has been blind to that wisdom.</w:t>
      </w:r>
    </w:p>
    <w:p w:rsidR="00A31137" w:rsidRPr="00A31137" w:rsidRDefault="00A31137" w:rsidP="00A31137">
      <w:r w:rsidRPr="00A31137">
        <w:t>1996 Republican Party Platform</w:t>
      </w:r>
    </w:p>
    <w:p w:rsidR="00A31137" w:rsidRPr="00A31137" w:rsidRDefault="00A31137" w:rsidP="00A31137">
      <w:r w:rsidRPr="00A31137">
        <w:t>We have seen the result in Bosnia, where American ground forces have been deployed because the Clinton Administration denied Bosnia the opportunity to acquire defense equipment in the United States.</w:t>
      </w:r>
    </w:p>
    <w:p w:rsidR="00A31137" w:rsidRPr="00A31137" w:rsidRDefault="00A31137" w:rsidP="00A31137">
      <w:r w:rsidRPr="00A31137">
        <w:t>1996 Republican Party Platform</w:t>
      </w:r>
    </w:p>
    <w:p w:rsidR="00A31137" w:rsidRPr="00A31137" w:rsidRDefault="00A31137" w:rsidP="00A31137">
      <w:r w:rsidRPr="00A31137">
        <w:t>The Clinton administration has diverted aid from our friends to support U.N. operations and social welfare spending in the Third World. Congressional Republicans have done all they could to resist this folly. Only a Republican president can put an end to it.</w:t>
      </w:r>
    </w:p>
    <w:p w:rsidR="00A31137" w:rsidRPr="00A31137" w:rsidRDefault="00A31137" w:rsidP="00A31137">
      <w:r w:rsidRPr="00A31137">
        <w:t>1996 Republican Party Platform</w:t>
      </w:r>
    </w:p>
    <w:p w:rsidR="00A31137" w:rsidRPr="00A31137" w:rsidRDefault="00A31137" w:rsidP="00A31137">
      <w:r w:rsidRPr="00A31137">
        <w:t>The Clinton administration's failure to couple American interests abroad with foreign aid has produced wasteful spending and has presented an impediment to achieving a balanced budget. A Republican administration will ensure foreign aid is cost-effective and based on its important role in directly promoting American national interests.</w:t>
      </w:r>
    </w:p>
    <w:p w:rsidR="00A31137" w:rsidRPr="00A31137" w:rsidRDefault="00A31137" w:rsidP="00A31137">
      <w:r w:rsidRPr="00A31137">
        <w:t>Protecting America's Technological Edge</w:t>
      </w:r>
    </w:p>
    <w:p w:rsidR="00A31137" w:rsidRPr="00A31137" w:rsidRDefault="00A31137" w:rsidP="00A31137">
      <w:r w:rsidRPr="00A31137">
        <w:t>1996 Republican Party Platform</w:t>
      </w:r>
    </w:p>
    <w:p w:rsidR="00A31137" w:rsidRPr="00A31137" w:rsidRDefault="00A31137" w:rsidP="00A31137">
      <w:r w:rsidRPr="00A31137">
        <w:t>American scientific and industrial leadership is one of the critical factors sustaining American security. Our technological edge is at risk not only because of the Clinton Administration's refusal to sustain an adequate investment in defense modernization, but also its virtual abandonment of national security-related export controls. Acquisition of technology by aspiring proliferators of weapons of mass destruction has been irresponsibly facilitated. A Republican Administration will protect the American technological edge. It will do so by expanding investment in defense modernization, ensuring that the Defense Department has a key role in approving exports of militarily critical technology, and restoring the effectiveness of export control regimes.</w:t>
      </w:r>
    </w:p>
    <w:p w:rsidR="00A31137" w:rsidRPr="00A31137" w:rsidRDefault="00A31137" w:rsidP="00A31137">
      <w:r w:rsidRPr="00A31137">
        <w:t>The Men and Women of Defense</w:t>
      </w:r>
    </w:p>
    <w:p w:rsidR="00A31137" w:rsidRPr="00A31137" w:rsidRDefault="00A31137" w:rsidP="00A31137">
      <w:r w:rsidRPr="00A31137">
        <w:t>1996 Republican Party Platform</w:t>
      </w:r>
    </w:p>
    <w:p w:rsidR="00A31137" w:rsidRPr="00A31137" w:rsidRDefault="00A31137" w:rsidP="00A31137">
      <w:r w:rsidRPr="00A31137">
        <w:t xml:space="preserve">As Commander-in-Chief, Bill Clinton has been out of touch with the needs of the troops under his command. Bob Dole has served in the military and will protect military families against inflation, restore appropriate funding levels for billets and family housing, and ensure an environment where promotions and awards are made on the basis of military merit. A Republican president who has been on active duty will not casually disrupt military family life by sending troops on non-military missions around the world. </w:t>
      </w:r>
    </w:p>
    <w:p w:rsidR="00A31137" w:rsidRPr="00A31137" w:rsidRDefault="00A31137" w:rsidP="00A31137">
      <w:r w:rsidRPr="00A31137">
        <w:t>1996 Republican Party Platform</w:t>
      </w:r>
    </w:p>
    <w:p w:rsidR="00A31137" w:rsidRPr="00A31137" w:rsidRDefault="00A31137" w:rsidP="00A31137">
      <w:r w:rsidRPr="00A31137">
        <w:t>We have a solemn obligation to those who fight for America. Our military personnel should not be denied a cost of living increase, as Bill Clinton proposed in his first year in office. A Republican president will ensure a high priority for the quality of life of our military personnel and their families.</w:t>
      </w:r>
    </w:p>
    <w:p w:rsidR="00A31137" w:rsidRPr="00A31137" w:rsidRDefault="00A31137" w:rsidP="00A31137">
      <w:r w:rsidRPr="00A31137">
        <w:t>1996 Republican Party Platform</w:t>
      </w:r>
    </w:p>
    <w:p w:rsidR="00A31137" w:rsidRPr="00A31137" w:rsidRDefault="00A31137" w:rsidP="00A31137">
      <w:r w:rsidRPr="00A31137">
        <w:t>We will maintain the All-Volunteer force and will resist attempts to bring back the draft, whether directly or through Democrat schemes for compulsory national service. We will maintain our Armed Forces as a meritocracy, a model for the rest of our society, without special preferences or double standards for any group.</w:t>
      </w:r>
    </w:p>
    <w:p w:rsidR="00A31137" w:rsidRPr="00A31137" w:rsidRDefault="00A31137" w:rsidP="00A31137">
      <w:r w:rsidRPr="00A31137">
        <w:t>1996 Republican Party Platform</w:t>
      </w:r>
    </w:p>
    <w:p w:rsidR="00A31137" w:rsidRPr="00A31137" w:rsidRDefault="00A31137" w:rsidP="00A31137">
      <w:r w:rsidRPr="00A31137">
        <w:t>We salute the men and women of the National Guard and Reserve, citizen soldiers who have been—and must continue to be—a tradition in America. They perform important military functions as an integral part of our warfighting capability, and provide a critical link between our national security efforts and every community in the country. Our National Guard and Reserve forces must not be treated as an afterthought.</w:t>
      </w:r>
    </w:p>
    <w:p w:rsidR="00A31137" w:rsidRPr="00A31137" w:rsidRDefault="00A31137" w:rsidP="00A31137">
      <w:r w:rsidRPr="00A31137">
        <w:t>1996 Republican Party Platform</w:t>
      </w:r>
    </w:p>
    <w:p w:rsidR="00A31137" w:rsidRPr="00A31137" w:rsidRDefault="00A31137" w:rsidP="00A31137">
      <w:r w:rsidRPr="00A31137">
        <w:t>We oppose Bill Clinton's assault on the culture and traditions of the Armed Forces, especially his attempt to lift the ban on homosexuals in the military. We affirm that homosexuality is incompatible with military service.</w:t>
      </w:r>
    </w:p>
    <w:p w:rsidR="00A31137" w:rsidRPr="00A31137" w:rsidRDefault="00A31137" w:rsidP="00A31137">
      <w:r w:rsidRPr="00A31137">
        <w:t>1996 Republican Party Platform</w:t>
      </w:r>
    </w:p>
    <w:p w:rsidR="00A31137" w:rsidRPr="00A31137" w:rsidRDefault="00A31137" w:rsidP="00A31137">
      <w:r w:rsidRPr="00A31137">
        <w:t xml:space="preserve">We support the advancement of women in the military. We reaffirm our support for the exemption of women from ground combat units and are concerned about the current policy of involuntarily assigning women to combat or near-combat units. A Republican president will continue to reevaluate and revise, as necessary, current policies in light of evidence with regard to the effect on military morale, discipline, and overall readiness. We will not tolerate sexual harassment or misconduct toward anyone in the uniform, but we oppose politically motivated witch-hunts that smear the innocent and destroy honorable careers. To promote the dignity of all members of the Armed Forces and their families, we endorse the efforts of congressional Republicans to halt the sale, in military facilities, of pornographic materials. </w:t>
      </w:r>
    </w:p>
    <w:p w:rsidR="00A31137" w:rsidRPr="00A31137" w:rsidRDefault="00A31137" w:rsidP="00A31137">
      <w:r w:rsidRPr="00A31137">
        <w:t>1996 Republican Party Platform</w:t>
      </w:r>
    </w:p>
    <w:p w:rsidR="00A31137" w:rsidRPr="00A31137" w:rsidRDefault="00A31137" w:rsidP="00A31137">
      <w:r w:rsidRPr="00A31137">
        <w:t>We deplore Bill Clinton's shameless attempt to use protections afforded active duty military personnel under the Soldiers' and Sailors' Civil Relief Act of 1940 to protect himself from a sexual harassment lawsuit. We will amend the Soldiers' and Sailors' Civil Relief Act of 1940 to make clear that its protection against civil suits while on active duty does not extend to the occupant of the Oval Office.</w:t>
      </w:r>
    </w:p>
    <w:p w:rsidR="00A31137" w:rsidRPr="00A31137" w:rsidRDefault="00A31137" w:rsidP="00A31137">
      <w:r w:rsidRPr="00A31137">
        <w:t>1996 Republican Party Platform</w:t>
      </w:r>
    </w:p>
    <w:p w:rsidR="00A31137" w:rsidRPr="00A31137" w:rsidRDefault="00A31137" w:rsidP="00A31137">
      <w:r w:rsidRPr="00A31137">
        <w:t>The Republican Party has always been the advocate of the nation's veterans and remains unequivocally committed to the faithful fulfillment of America's obligations to them. We have no greater duty than providing for the courageous men and women who have risked their lives in defense of our country, a major reason why we defeated Bill Clinton's plan to replace veterans' health care with socialized medicine. We will continue to meet the nation's promises to those who make the military their career. That is why Republicans proposed and created a separate Department of Veterans Affairs, support veterans' preference in federal employment education and retraining programs, and pledge sufficient funding for veterans' hospitals, medical care, and employment programs.</w:t>
      </w:r>
    </w:p>
    <w:p w:rsidR="00A31137" w:rsidRPr="00A31137" w:rsidRDefault="00A31137" w:rsidP="00A31137">
      <w:r w:rsidRPr="00A31137">
        <w:t>Intelligence</w:t>
      </w:r>
    </w:p>
    <w:p w:rsidR="00A31137" w:rsidRPr="00A31137" w:rsidRDefault="00A31137" w:rsidP="00A31137">
      <w:r w:rsidRPr="00A31137">
        <w:t>1996 Republican Party Platform</w:t>
      </w:r>
    </w:p>
    <w:p w:rsidR="00A31137" w:rsidRPr="00A31137" w:rsidRDefault="00A31137" w:rsidP="00A31137">
      <w:r w:rsidRPr="00A31137">
        <w:t>The intelligence community should be our first line of defense against terrorism, drug trafficking, nuclear proliferation, and foreign espionage. Bill Clinton's neglect of our country's intelligence service is one of his most serious sins of omission. He has underfunded, misutilized, and marginalized critical intelligence missions and capabilities. No wonder his first appointee as Director of Central Intelligence has endorsed Bob Dole. The nation's security—and the personal safety of our citizens—cannot be placed at risk.</w:t>
      </w:r>
    </w:p>
    <w:p w:rsidR="00A31137" w:rsidRPr="00A31137" w:rsidRDefault="00A31137" w:rsidP="00A31137">
      <w:r w:rsidRPr="00A31137">
        <w:t>1996 Republican Party Platform</w:t>
      </w:r>
    </w:p>
    <w:p w:rsidR="00A31137" w:rsidRPr="00A31137" w:rsidRDefault="00A31137" w:rsidP="00A31137">
      <w:r w:rsidRPr="00A31137">
        <w:t xml:space="preserve">Effective intelligence can be expensive. But what it costs is measured in dollars rather than lives—an important lesson of the Gulf War. A Republican Administration will reverse the decline in funding for intelligence personnel and operations while better managing the development of futuristic capabilities. We will not constrain U.S. intelligence personnel with "politically correct" standards that impede their ability to collect and act on intelligence information. We will conduct whatever intelligence operations are necessary to safeguard American lives against the terrorists who bomb our airplanes and buildings. </w:t>
      </w:r>
    </w:p>
    <w:p w:rsidR="00A31137" w:rsidRPr="00A31137" w:rsidRDefault="00A31137" w:rsidP="00A31137">
      <w:r w:rsidRPr="00A31137">
        <w:t>Space</w:t>
      </w:r>
    </w:p>
    <w:p w:rsidR="00A31137" w:rsidRPr="00A31137" w:rsidRDefault="00A31137" w:rsidP="00A31137">
      <w:r w:rsidRPr="00A31137">
        <w:t>1996 Republican Party Platform</w:t>
      </w:r>
    </w:p>
    <w:p w:rsidR="00A31137" w:rsidRPr="00A31137" w:rsidRDefault="00A31137" w:rsidP="00A31137">
      <w:r w:rsidRPr="00A31137">
        <w:t xml:space="preserve">The Republican Party led America into space and remains committed to its exploration and mastery. We consider space travel and space science a national priority with virtually unlimited benefits, in areas ranging from medicine to micro-machinery, for those on earth. Development of space will give us a growing economic resource and a source of new scientific discoveries. We look toward our country's return to the moon and to completion of the International Space Station, not just as a unique orbiting laboratory but also a framework for world cooperation in pursuit of expanding human knowledge. </w:t>
      </w:r>
    </w:p>
    <w:p w:rsidR="00A31137" w:rsidRPr="00A31137" w:rsidRDefault="00A31137" w:rsidP="00A31137">
      <w:r w:rsidRPr="00A31137">
        <w:t>1996 Republican Party Platform</w:t>
      </w:r>
    </w:p>
    <w:p w:rsidR="00A31137" w:rsidRPr="00A31137" w:rsidRDefault="00A31137" w:rsidP="00A31137">
      <w:r w:rsidRPr="00A31137">
        <w:t xml:space="preserve">Those and other ventures require leadership now lacking at the White House. The Democrat Party approaches space issues with a confined vision and misplaced appropriations, encouraging inefficient investments and pork barrel spending. Bill Clinton gives lip service to our space program but denies it crucial resources. A Republican president and a Republican Congress will work together to make space an American frontier again. We will develop the Reusable Launch Vehicle, promote markets for commercial space launch services, and push technology to its creative limits. Commercial space development holds the key to expanding our aerospace industry and strengthening our technology base, but it can be promoted only by removing unnecessary and artificial regulatory, legal, and tax barriers. </w:t>
      </w:r>
    </w:p>
    <w:p w:rsidR="00A31137" w:rsidRPr="00A31137" w:rsidRDefault="00A31137" w:rsidP="00A31137">
      <w:r w:rsidRPr="00A31137">
        <w:t>1996 Republican Party Platform</w:t>
      </w:r>
    </w:p>
    <w:p w:rsidR="00A31137" w:rsidRPr="00A31137" w:rsidRDefault="00A31137" w:rsidP="00A31137">
      <w:r w:rsidRPr="00A31137">
        <w:t xml:space="preserve">Space exploration and exploitation are a matter of national security. Our Armed Forces already rely on space assets to support their operations on earth, and space technology will rapidly become more critical to successful military operations. Space is the ocean of tomorrow, and we cannot allow its domination by another power. We must ensure that America can work and prosper there, securely and without outside influence. A new Republican team will secure the high frontier for peace on earth and for unlimited human opportunity. </w:t>
      </w:r>
    </w:p>
    <w:p w:rsidR="00A31137" w:rsidRPr="00A31137" w:rsidRDefault="00A31137" w:rsidP="00A31137">
      <w:r w:rsidRPr="00A31137">
        <w:t>The Goal is Freedom</w:t>
      </w:r>
    </w:p>
    <w:p w:rsidR="00A31137" w:rsidRPr="00A31137" w:rsidRDefault="00A31137" w:rsidP="00A31137">
      <w:r w:rsidRPr="00A31137">
        <w:t>1996 Republican Party Platform</w:t>
      </w:r>
    </w:p>
    <w:p w:rsidR="00A31137" w:rsidRPr="00A31137" w:rsidRDefault="00A31137" w:rsidP="00A31137">
      <w:r w:rsidRPr="00A31137">
        <w:t xml:space="preserve">America stands on the brink of a new century. After victory in the "long twilight struggle" against Soviet Communism, Americans can feel justifiably proud of the role they played in defeating history's most corrupt and predatory empire. The end of the Cold War has not spelled the end of history, but it has instead unleashed forces contained for nearly fifty years of superpower confrontation. Today America faces new challenges and new threats to our vital interests which can only be protected by our continued engagement in the world. Our nation must resist the temptation to turn inward and neglect the exercise of American leadership and our proper role in the world. Will the 21st Century confer new opportunities and new benefits on America, or will it prove to be an era of weakness and decline? This will depend on whether we have a strong, decisive leader like Bob Dole who will protect Americans at home and abroad and vigorously pursue the nation's interests around the globe. </w:t>
      </w:r>
    </w:p>
    <w:p w:rsidR="00A31137" w:rsidRPr="00A31137" w:rsidRDefault="00A31137" w:rsidP="00A31137">
      <w:r w:rsidRPr="00A31137">
        <w:t>1996 Republican Party Platform</w:t>
      </w:r>
    </w:p>
    <w:p w:rsidR="00A31137" w:rsidRPr="00A31137" w:rsidRDefault="00A31137" w:rsidP="00A31137">
      <w:r w:rsidRPr="00A31137">
        <w:t>The U.S. Constitution, the finest document for human governance ever devised, establishes the mission of providing for the common defense as a chief purpose of the federal government, in order to secure the blessings of liberty for ourselves and our posterity. The president's primary constitutional duty and most sacred responsibility is the role of Commander-in-Chief. Above all else, he must be able to ensure that the American people and our interests are defended. That requires strong, combat ready military forces and a sound foreign policy. If the President fails in this office, then America's freedom, independence, and prosperity will be jeopardized, and all other issues—domestic and economic—become moot.</w:t>
      </w:r>
    </w:p>
    <w:p w:rsidR="00A31137" w:rsidRPr="00A31137" w:rsidRDefault="00A31137" w:rsidP="00A31137">
      <w:r w:rsidRPr="00A31137">
        <w:t>1996 Republican Party Platform</w:t>
      </w:r>
    </w:p>
    <w:p w:rsidR="00A31137" w:rsidRPr="00A31137" w:rsidRDefault="00A31137" w:rsidP="00A31137">
      <w:r w:rsidRPr="00A31137">
        <w:t>The bravery, skill, and sacrifice of America's fighting forces; the dedication, industry, and ingenuity of the American people; the superiority of U.S. technology; and the abundance of America's wealth and resources are sufficient to overcome any foreign threat or challenge. But these gifts are cause for gratitude and humility, not complacency. And these national treasures can be used to safeguard the nation effectively in a time of volatile change only if genuine leadership, wisdom, discernment, courage, and honor are present in the Commander-in-Chief and in the officials he or she appoints to critical national security posts. With such a president at the helm, America will know a new birth of freedom, security, and prosperity. And this nation, and the benefits it has bestowed upon mankind throughout our history, shall not perish from the earth.</w:t>
      </w:r>
    </w:p>
    <w:p w:rsidR="00A31137" w:rsidRPr="00A31137" w:rsidRDefault="00A31137" w:rsidP="00A31137">
      <w:r w:rsidRPr="00A31137">
        <w:t>Conclusion</w:t>
      </w:r>
    </w:p>
    <w:p w:rsidR="00A31137" w:rsidRPr="00A31137" w:rsidRDefault="00A31137" w:rsidP="00A31137">
      <w:r w:rsidRPr="00A31137">
        <w:t>1996 Republican Party Platform</w:t>
      </w:r>
    </w:p>
    <w:p w:rsidR="00A31137" w:rsidRPr="00A31137" w:rsidRDefault="00A31137" w:rsidP="00A31137">
      <w:r w:rsidRPr="00A31137">
        <w:t>As we begin a new era and a new millennium, we deem it essential to reaffirm the truths of the Declaration of Independence:</w:t>
      </w:r>
    </w:p>
    <w:p w:rsidR="00A31137" w:rsidRPr="00A31137" w:rsidRDefault="00A31137" w:rsidP="00A31137">
      <w:r w:rsidRPr="00A31137">
        <w:t>1996 Republican Party Platform</w:t>
      </w:r>
    </w:p>
    <w:p w:rsidR="00A31137" w:rsidRPr="00A31137" w:rsidRDefault="00A31137" w:rsidP="00A31137">
      <w:r w:rsidRPr="00A31137">
        <w:t>That all men are created equal;</w:t>
      </w:r>
    </w:p>
    <w:p w:rsidR="00A31137" w:rsidRPr="00A31137" w:rsidRDefault="00A31137" w:rsidP="00A31137">
      <w:r w:rsidRPr="00A31137">
        <w:t>1996 Republican Party Platform</w:t>
      </w:r>
    </w:p>
    <w:p w:rsidR="00A31137" w:rsidRPr="00A31137" w:rsidRDefault="00A31137" w:rsidP="00A31137">
      <w:r w:rsidRPr="00A31137">
        <w:t>That they are endowed by their Creator with certain unalienable rights, among these are life, liberty, and the pursuit of happiness;</w:t>
      </w:r>
    </w:p>
    <w:p w:rsidR="00A31137" w:rsidRPr="00A31137" w:rsidRDefault="00A31137" w:rsidP="00A31137">
      <w:r w:rsidRPr="00A31137">
        <w:t>1996 Republican Party Platform</w:t>
      </w:r>
    </w:p>
    <w:p w:rsidR="00A31137" w:rsidRPr="00A31137" w:rsidRDefault="00A31137" w:rsidP="00A31137">
      <w:r w:rsidRPr="00A31137">
        <w:t>That government derives its just powers only from the consent of the governed.</w:t>
      </w:r>
    </w:p>
    <w:p w:rsidR="00A31137" w:rsidRPr="00A31137" w:rsidRDefault="00A31137" w:rsidP="00A31137">
      <w:r w:rsidRPr="00A31137">
        <w:t>1996 Republican Party Platform</w:t>
      </w:r>
    </w:p>
    <w:p w:rsidR="00A31137" w:rsidRPr="00A31137" w:rsidRDefault="00A31137" w:rsidP="00A31137">
      <w:r w:rsidRPr="00A31137">
        <w:t>We close this platform with the wisdom of our forefathers who had the courage to set their names to the Declaration of Independence as they too began a new era. Like them, we appeal to the Supreme Judge of the world for the rectitude of our intentions. With a firm reliance on the protection of Divine Providence, we pledge to each other and to the American people an unfaltering commitment to restore to America a deep respect for the values of human freedom.</w:t>
      </w:r>
    </w:p>
    <w:p w:rsidR="00A31137" w:rsidRPr="00A31137" w:rsidRDefault="00A31137" w:rsidP="00A31137">
      <w:r w:rsidRPr="00A31137">
        <w:t>Appendix I</w:t>
      </w:r>
    </w:p>
    <w:p w:rsidR="00A31137" w:rsidRPr="00A31137" w:rsidRDefault="00A31137" w:rsidP="00A31137">
      <w:r w:rsidRPr="00A31137">
        <w:t>Minority Views: Amendments Considered by the Full Committee on Resolutions</w:t>
      </w:r>
    </w:p>
    <w:p w:rsidR="00A31137" w:rsidRPr="00A31137" w:rsidRDefault="00A31137" w:rsidP="00A31137">
      <w:r w:rsidRPr="00A31137">
        <w:t>1996 Republican Party Platform</w:t>
      </w:r>
    </w:p>
    <w:p w:rsidR="00A31137" w:rsidRPr="00A31137" w:rsidRDefault="00A31137" w:rsidP="00A31137">
      <w:r w:rsidRPr="00A31137">
        <w:t>Individual Rights and Personal Safety</w:t>
      </w:r>
    </w:p>
    <w:p w:rsidR="00A31137" w:rsidRPr="00A31137" w:rsidRDefault="00A31137" w:rsidP="00A31137">
      <w:r w:rsidRPr="00A31137">
        <w:t>1996 Republican Party Platform</w:t>
      </w:r>
    </w:p>
    <w:p w:rsidR="00A31137" w:rsidRPr="00A31137" w:rsidRDefault="00A31137" w:rsidP="00A31137">
      <w:r w:rsidRPr="00A31137">
        <w:t>In this section, 33 amendments were agreed to, 6 were withdrawn and 9 were not accepted, as follows:</w:t>
      </w:r>
    </w:p>
    <w:p w:rsidR="00A31137" w:rsidRPr="00A31137" w:rsidRDefault="00A31137" w:rsidP="00A31137">
      <w:r w:rsidRPr="00A31137">
        <w:t>1996 Republican Party Platform</w:t>
      </w:r>
    </w:p>
    <w:p w:rsidR="00A31137" w:rsidRPr="00A31137" w:rsidRDefault="00A31137" w:rsidP="00A31137">
      <w:r w:rsidRPr="00A31137">
        <w:t>Page 32, strike language in the second paragraph and insert: "The Republican party believes that Republicans are people of principle on each side of the abortion issue who firmly and intractably hold those beliefs; by establishing a party position, we recognize that a resolution will not change these beliefs, but will serve to divide the party on other issues; and urge all Republicans to firmly debate these beliefs and vote their consciences in the November referendum."</w:t>
      </w:r>
    </w:p>
    <w:p w:rsidR="00A31137" w:rsidRPr="00A31137" w:rsidRDefault="00A31137" w:rsidP="00A31137">
      <w:r w:rsidRPr="00A31137">
        <w:t>1996 Republican Party Platform</w:t>
      </w:r>
    </w:p>
    <w:p w:rsidR="00A31137" w:rsidRPr="00A31137" w:rsidRDefault="00A31137" w:rsidP="00A31137">
      <w:r w:rsidRPr="00A31137">
        <w:t>Page 32, remove reference to "indoctrination in the classroom."</w:t>
      </w:r>
    </w:p>
    <w:p w:rsidR="00A31137" w:rsidRPr="00A31137" w:rsidRDefault="00A31137" w:rsidP="00A31137">
      <w:r w:rsidRPr="00A31137">
        <w:t>1996 Republican Party Platform</w:t>
      </w:r>
    </w:p>
    <w:p w:rsidR="00A31137" w:rsidRPr="00A31137" w:rsidRDefault="00A31137" w:rsidP="00A31137">
      <w:r w:rsidRPr="00A31137">
        <w:t>Page 34 and 35, replace paragraph on abortion with the following: "The Republican Party welcomes individuals on each side of the abortion issue, encourages their open discussion, solicits their active participation in the Party, and respects their positions and beliefs."</w:t>
      </w:r>
    </w:p>
    <w:p w:rsidR="00A31137" w:rsidRPr="00A31137" w:rsidRDefault="00A31137" w:rsidP="00A31137">
      <w:r w:rsidRPr="00A31137">
        <w:t>1996 Republican Party Platform</w:t>
      </w:r>
    </w:p>
    <w:p w:rsidR="00A31137" w:rsidRPr="00A31137" w:rsidRDefault="00A31137" w:rsidP="00A31137">
      <w:r w:rsidRPr="00A31137">
        <w:t xml:space="preserve">Page 34 and 35, replace paragraph on abortion with the following: "As Republicans, we share a reverence for life and a deep belief in the traditional nuclear family and in parents as the best provider to children of love, moral values, and the sense of duty and responsibility that all children need to become decent and responsible adults. </w:t>
      </w:r>
    </w:p>
    <w:p w:rsidR="00A31137" w:rsidRPr="00A31137" w:rsidRDefault="00A31137" w:rsidP="00A31137">
      <w:r w:rsidRPr="00A31137">
        <w:t>1996 Republican Party Platform</w:t>
      </w:r>
    </w:p>
    <w:p w:rsidR="00A31137" w:rsidRPr="00A31137" w:rsidRDefault="00A31137" w:rsidP="00A31137">
      <w:r w:rsidRPr="00A31137">
        <w:t xml:space="preserve">"We are committed as a party and as individuals to significantly reducing the number of abortions in America. </w:t>
      </w:r>
    </w:p>
    <w:p w:rsidR="00A31137" w:rsidRPr="00A31137" w:rsidRDefault="00A31137" w:rsidP="00A31137">
      <w:r w:rsidRPr="00A31137">
        <w:t>1996 Republican Party Platform</w:t>
      </w:r>
    </w:p>
    <w:p w:rsidR="00A31137" w:rsidRPr="00A31137" w:rsidRDefault="00A31137" w:rsidP="00A31137">
      <w:r w:rsidRPr="00A31137">
        <w:t xml:space="preserve">"We believe that the decline in abortions we seek will be far better achieved by persuasion of individuals to choose—as a matter of individual conscience—behavior that will not produce unwanted pregnancies, than by governmental mandate and invasion of privacy. </w:t>
      </w:r>
    </w:p>
    <w:p w:rsidR="00A31137" w:rsidRPr="00A31137" w:rsidRDefault="00A31137" w:rsidP="00A31137">
      <w:r w:rsidRPr="00A31137">
        <w:t>1996 Republican Party Platform</w:t>
      </w:r>
    </w:p>
    <w:p w:rsidR="00A31137" w:rsidRPr="00A31137" w:rsidRDefault="00A31137" w:rsidP="00A31137">
      <w:r w:rsidRPr="00A31137">
        <w:t xml:space="preserve">"We believe that parents—fathers and mothers who provide their children with the love, guidance and direction they need—should be the major influence in shaping their child's character, values, and conduct through teaching that love, marriage, and pre-marital abstinence are the right, moral and responsible choices. </w:t>
      </w:r>
    </w:p>
    <w:p w:rsidR="00A31137" w:rsidRPr="00A31137" w:rsidRDefault="00A31137" w:rsidP="00A31137">
      <w:r w:rsidRPr="00A31137">
        <w:t>1996 Republican Party Platform</w:t>
      </w:r>
    </w:p>
    <w:p w:rsidR="00A31137" w:rsidRPr="00A31137" w:rsidRDefault="00A31137" w:rsidP="00A31137">
      <w:r w:rsidRPr="00A31137">
        <w:t xml:space="preserve">"We believe that both men and women who do not practice abstinence, but are unwilling or unprepared to accept the heavy responsibility of parenthood, have the strongest moral obligation to take effective contraceptive measures to prevent pregnancy and thereby prevent circumstances that lead to abortions or alternatively, to the epidemic social pathology caused by tragic childhoods of abuse, neglect and fatherlessness. </w:t>
      </w:r>
    </w:p>
    <w:p w:rsidR="00A31137" w:rsidRPr="00A31137" w:rsidRDefault="00A31137" w:rsidP="00A31137">
      <w:r w:rsidRPr="00A31137">
        <w:t>1996 Republican Party Platform</w:t>
      </w:r>
    </w:p>
    <w:p w:rsidR="00A31137" w:rsidRPr="00A31137" w:rsidRDefault="00A31137" w:rsidP="00A31137">
      <w:r w:rsidRPr="00A31137">
        <w:t xml:space="preserve">"We believe that the role of government is to reinforce the teachings of parents, not replace them. Government should encourage abstinence among youth and contraception among adults unprepared for the responsibility of parenthood. We should vigorously prosecute statutory rape, vigorously enforce payment of child support, reform welfare laws that reward irresponsible behavior, and otherwise create strong disincentives for irresponsible sexual behavior on the part of men and women. </w:t>
      </w:r>
    </w:p>
    <w:p w:rsidR="00A31137" w:rsidRPr="00A31137" w:rsidRDefault="00A31137" w:rsidP="00A31137">
      <w:r w:rsidRPr="00A31137">
        <w:t>1996 Republican Party Platform</w:t>
      </w:r>
    </w:p>
    <w:p w:rsidR="00A31137" w:rsidRPr="00A31137" w:rsidRDefault="00A31137" w:rsidP="00A31137">
      <w:r w:rsidRPr="00A31137">
        <w:t xml:space="preserve">"For children who lack the love and guidance of a responsible parent in their lives, government should better promote adoption or encourage the influence of some other adult mentor in a child's life. </w:t>
      </w:r>
    </w:p>
    <w:p w:rsidR="00A31137" w:rsidRPr="00A31137" w:rsidRDefault="00A31137" w:rsidP="00A31137">
      <w:r w:rsidRPr="00A31137">
        <w:t>1996 Republican Party Platform</w:t>
      </w:r>
    </w:p>
    <w:p w:rsidR="00A31137" w:rsidRPr="00A31137" w:rsidRDefault="00A31137" w:rsidP="00A31137">
      <w:r w:rsidRPr="00A31137">
        <w:t xml:space="preserve">"Upon all foregoing points we agree as Republicans, whether conscientiously pro-life or conscientiously pro-choice. As Republicans, we acknowledge and respect the honest convictions that divide us on the question of abortion. Unlike the Democratic Party, we will not censor members of our party who hold opposing views on this issue. We are a party confident enough in our beliefs to tolerate dissent. </w:t>
      </w:r>
    </w:p>
    <w:p w:rsidR="00A31137" w:rsidRPr="00A31137" w:rsidRDefault="00A31137" w:rsidP="00A31137">
      <w:r w:rsidRPr="00A31137">
        <w:t>1996 Republican Party Platform</w:t>
      </w:r>
    </w:p>
    <w:p w:rsidR="00A31137" w:rsidRPr="00A31137" w:rsidRDefault="00A31137" w:rsidP="00A31137">
      <w:r w:rsidRPr="00A31137">
        <w:t xml:space="preserve">"And while differing on this issue, both pro-life and pro-choice Republicans are totally united in our belief that Bob Dole will provide the integrity, courage and leadership America needs to lead the free world into a 21st Century that will offer our children unparalleled individual freedom and opportunity if they meet the challenge of exercising personal responsibility." </w:t>
      </w:r>
    </w:p>
    <w:p w:rsidR="00A31137" w:rsidRPr="00A31137" w:rsidRDefault="00A31137" w:rsidP="00A31137">
      <w:r w:rsidRPr="00A31137">
        <w:t>1996 Republican Party Platform</w:t>
      </w:r>
    </w:p>
    <w:p w:rsidR="00A31137" w:rsidRPr="00A31137" w:rsidRDefault="00A31137" w:rsidP="00A31137">
      <w:r w:rsidRPr="00A31137">
        <w:t xml:space="preserve">Page 32, toward the end of the second paragraph, after the words "who may hold differing positions" add "on issues such as abortion and capital punishment." </w:t>
      </w:r>
    </w:p>
    <w:p w:rsidR="00A31137" w:rsidRPr="00A31137" w:rsidRDefault="00A31137" w:rsidP="00A31137">
      <w:r w:rsidRPr="00A31137">
        <w:t>1996 Republican Party Platform</w:t>
      </w:r>
    </w:p>
    <w:p w:rsidR="00A31137" w:rsidRPr="00A31137" w:rsidRDefault="00A31137" w:rsidP="00A31137">
      <w:r w:rsidRPr="00A31137">
        <w:t>Page 42, strike "it is time to revisit the Supreme Court's arbitrary decision of 1977 that protects even the most vicious rapists from the death penalty."</w:t>
      </w:r>
    </w:p>
    <w:p w:rsidR="00A31137" w:rsidRPr="00A31137" w:rsidRDefault="00A31137" w:rsidP="00A31137">
      <w:r w:rsidRPr="00A31137">
        <w:t>1996 Republican Party Platform</w:t>
      </w:r>
    </w:p>
    <w:p w:rsidR="00A31137" w:rsidRPr="00A31137" w:rsidRDefault="00A31137" w:rsidP="00A31137">
      <w:r w:rsidRPr="00A31137">
        <w:t>Page 42, in the same sentence strike "arbitrary."</w:t>
      </w:r>
    </w:p>
    <w:p w:rsidR="00A31137" w:rsidRPr="00A31137" w:rsidRDefault="00A31137" w:rsidP="00A31137">
      <w:r w:rsidRPr="00A31137">
        <w:t>1996 Republican Party Platform</w:t>
      </w:r>
    </w:p>
    <w:p w:rsidR="00A31137" w:rsidRPr="00A31137" w:rsidRDefault="00A31137" w:rsidP="00A31137">
      <w:r w:rsidRPr="00A31137">
        <w:t>Page 42, at the bottom insert: "Safety on college and university campuses was mandated by law, passed and signed byPresident Bush in 1990. Clinton's administration has refused to enforce the law, and crimes against students continue to increase at alarming rates. Without this enforcement, students will continue to suffer from unacceptably high rates of crime during their college careers. A Dole administration will assure maximum safety for our future leaders of this country by enforcing the 1990 Campus Security Act, and enacting the Open Police Campus Logs Act of 1995 so that crimes on campus can be detected and punished."</w:t>
      </w:r>
    </w:p>
    <w:p w:rsidR="00A31137" w:rsidRPr="00A31137" w:rsidRDefault="00A31137" w:rsidP="00A31137">
      <w:r w:rsidRPr="00A31137">
        <w:t>1996 Republican Party Platform</w:t>
      </w:r>
    </w:p>
    <w:p w:rsidR="00A31137" w:rsidRPr="00A31137" w:rsidRDefault="00A31137" w:rsidP="00A31137">
      <w:r w:rsidRPr="00A31137">
        <w:t>Page 43, add to the second paragraph the word "domestic."</w:t>
      </w:r>
    </w:p>
    <w:p w:rsidR="00A31137" w:rsidRPr="00A31137" w:rsidRDefault="00A31137" w:rsidP="00A31137">
      <w:r w:rsidRPr="00A31137">
        <w:t>1996 Republican Party Platform</w:t>
      </w:r>
    </w:p>
    <w:p w:rsidR="00A31137" w:rsidRPr="00A31137" w:rsidRDefault="00A31137" w:rsidP="00A31137">
      <w:r w:rsidRPr="00A31137">
        <w:t>Withdrawn:</w:t>
      </w:r>
    </w:p>
    <w:p w:rsidR="00A31137" w:rsidRPr="00A31137" w:rsidRDefault="00A31137" w:rsidP="00A31137">
      <w:r w:rsidRPr="00A31137">
        <w:t>1996 Republican Party Platform</w:t>
      </w:r>
    </w:p>
    <w:p w:rsidR="00A31137" w:rsidRPr="00A31137" w:rsidRDefault="00A31137" w:rsidP="00A31137">
      <w:r w:rsidRPr="00A31137">
        <w:t>Page 32, strike language in the second paragraph and insert: "As we approach the beginning of a new century, the Republican Party is more dedicated than ever to strengthening the social, cultural, and political ties that bind us together as a free people, the greatest force for good the world has ever seen. While the party remains steadfast in its commitment to advancing its historic principles and ideals, we also recognize that members of our Party have deeply-held and sometimes differing views on issues of personal conscience like abortion and capital punishment. We view this diversity of views as a source of strength, not as a sign of weakness, and we welcome into our ranks all Americans who may hold differing positions on these and other issues. Recognizing that tolerance is a virtue, we are committed to resolving our differences in a spirit of civility, hope, and mutual respect. As we struggle to forge a national consensus on the divisive issues of our time, we call on all Republicans and all Americans to reject the forces of hatred and bigotry."</w:t>
      </w:r>
    </w:p>
    <w:p w:rsidR="00A31137" w:rsidRPr="00A31137" w:rsidRDefault="00A31137" w:rsidP="00A31137">
      <w:r w:rsidRPr="00A31137">
        <w:t>1996 Republican Party Platform</w:t>
      </w:r>
    </w:p>
    <w:p w:rsidR="00A31137" w:rsidRPr="00A31137" w:rsidRDefault="00A31137" w:rsidP="00A31137">
      <w:r w:rsidRPr="00A31137">
        <w:t>Families and Society</w:t>
      </w:r>
    </w:p>
    <w:p w:rsidR="00A31137" w:rsidRPr="00A31137" w:rsidRDefault="00A31137" w:rsidP="00A31137">
      <w:r w:rsidRPr="00A31137">
        <w:t>1996 Republican Party Platform</w:t>
      </w:r>
    </w:p>
    <w:p w:rsidR="00A31137" w:rsidRPr="00A31137" w:rsidRDefault="00A31137" w:rsidP="00A31137">
      <w:r w:rsidRPr="00A31137">
        <w:t>In this section, 13 amendments were agreed to, 2 were withdrawn, 2 were not accepted, as follows:</w:t>
      </w:r>
    </w:p>
    <w:p w:rsidR="00A31137" w:rsidRPr="00A31137" w:rsidRDefault="00A31137" w:rsidP="00A31137">
      <w:r w:rsidRPr="00A31137">
        <w:t>1996 Republican Party Platform</w:t>
      </w:r>
    </w:p>
    <w:p w:rsidR="00A31137" w:rsidRPr="00A31137" w:rsidRDefault="00A31137" w:rsidP="00A31137">
      <w:r w:rsidRPr="00A31137">
        <w:t>Page 56, in the third paragraph after the words "We call for an increased emphasis on prevention of diseases that threaten the lives of women," insert "in particular of cervical cancer as the sexually transmitted disease with the greatest impact on women, and of induced abortion as the single most avoidable known risk factor for breast cancer."</w:t>
      </w:r>
    </w:p>
    <w:p w:rsidR="00A31137" w:rsidRPr="00A31137" w:rsidRDefault="00A31137" w:rsidP="00A31137">
      <w:r w:rsidRPr="00A31137">
        <w:t>1996 Republican Party Platform</w:t>
      </w:r>
    </w:p>
    <w:p w:rsidR="00A31137" w:rsidRPr="00A31137" w:rsidRDefault="00A31137" w:rsidP="00A31137">
      <w:r w:rsidRPr="00A31137">
        <w:t>Page 59, at the top insert: "We support a small business renaissance in our inner cities. We call upon city governments to cut taxes and eliminate burdensome regulations to unleash the spirit of enterprise and entrepreneurship."</w:t>
      </w:r>
    </w:p>
    <w:p w:rsidR="00A31137" w:rsidRPr="00A31137" w:rsidRDefault="00A31137" w:rsidP="00A31137">
      <w:r w:rsidRPr="00A31137">
        <w:t>1996 Republican Party Platform</w:t>
      </w:r>
    </w:p>
    <w:p w:rsidR="00A31137" w:rsidRPr="00A31137" w:rsidRDefault="00A31137" w:rsidP="00A31137">
      <w:r w:rsidRPr="00A31137">
        <w:t>Restoring American World Leadership</w:t>
      </w:r>
    </w:p>
    <w:p w:rsidR="00A31137" w:rsidRPr="00A31137" w:rsidRDefault="00A31137" w:rsidP="00A31137">
      <w:r w:rsidRPr="00A31137">
        <w:t>1996 Republican Party Platform</w:t>
      </w:r>
    </w:p>
    <w:p w:rsidR="00A31137" w:rsidRPr="00A31137" w:rsidRDefault="00A31137" w:rsidP="00A31137">
      <w:r w:rsidRPr="00A31137">
        <w:t>In this section, 9 amendments were agreed to, 1 was not accepted:</w:t>
      </w:r>
    </w:p>
    <w:p w:rsidR="00A31137" w:rsidRPr="00A31137" w:rsidRDefault="00A31137" w:rsidP="00A31137">
      <w:r w:rsidRPr="00A31137">
        <w:t>1996 Republican Party Platform</w:t>
      </w:r>
    </w:p>
    <w:p w:rsidR="00A31137" w:rsidRPr="00A31137" w:rsidRDefault="00A31137" w:rsidP="00A31137">
      <w:r w:rsidRPr="00A31137">
        <w:t>Page 81, add the following new paragraph: " Because we believe in treating tyrannies differently than other governments, we favor denying most favored nation privileges to regimes that practice religious persecution or coercive abortion or that engage in slave labor."</w:t>
      </w:r>
    </w:p>
    <w:p w:rsidR="00A31137" w:rsidRPr="00A31137" w:rsidRDefault="00A31137" w:rsidP="00A31137">
      <w:r w:rsidRPr="00A31137">
        <w:t>1996 Republican Party Platform</w:t>
      </w:r>
    </w:p>
    <w:p w:rsidR="00A31137" w:rsidRPr="00A31137" w:rsidRDefault="00A31137" w:rsidP="00A31137">
      <w:r w:rsidRPr="00A31137">
        <w:t>A Cleaner, Safer, Healthier America</w:t>
      </w:r>
    </w:p>
    <w:p w:rsidR="00A31137" w:rsidRPr="00A31137" w:rsidRDefault="00A31137" w:rsidP="00A31137">
      <w:r w:rsidRPr="00A31137">
        <w:t>1996 Republican Party Platform</w:t>
      </w:r>
    </w:p>
    <w:p w:rsidR="00A31137" w:rsidRPr="00A31137" w:rsidRDefault="00A31137" w:rsidP="00A31137">
      <w:r w:rsidRPr="00A31137">
        <w:t>In this section, 8 amendments were agreed to, 1 was withdrawn.</w:t>
      </w:r>
    </w:p>
    <w:p w:rsidR="00A31137" w:rsidRPr="00A31137" w:rsidRDefault="00A31137" w:rsidP="00A31137">
      <w:r w:rsidRPr="00A31137">
        <w:t>1996 Republican Party Platform</w:t>
      </w:r>
    </w:p>
    <w:p w:rsidR="00A31137" w:rsidRPr="00A31137" w:rsidRDefault="00A31137" w:rsidP="00A31137">
      <w:r w:rsidRPr="00A31137">
        <w:t>Changing Washington From the Ground Up</w:t>
      </w:r>
    </w:p>
    <w:p w:rsidR="00A31137" w:rsidRPr="00A31137" w:rsidRDefault="00A31137" w:rsidP="00A31137">
      <w:r w:rsidRPr="00A31137">
        <w:t>1996 Republican Party Platform</w:t>
      </w:r>
    </w:p>
    <w:p w:rsidR="00A31137" w:rsidRPr="00A31137" w:rsidRDefault="00A31137" w:rsidP="00A31137">
      <w:r w:rsidRPr="00A31137">
        <w:t>In this section, 7 amendments were agreed to.</w:t>
      </w:r>
    </w:p>
    <w:p w:rsidR="00A31137" w:rsidRPr="00A31137" w:rsidRDefault="00A31137" w:rsidP="00A31137">
      <w:r w:rsidRPr="00A31137">
        <w:t>1996 Republican Party Platform</w:t>
      </w:r>
    </w:p>
    <w:p w:rsidR="00A31137" w:rsidRPr="00A31137" w:rsidRDefault="00A31137" w:rsidP="00A31137">
      <w:r w:rsidRPr="00A31137">
        <w:t>Building a Better America</w:t>
      </w:r>
    </w:p>
    <w:p w:rsidR="00A31137" w:rsidRPr="00A31137" w:rsidRDefault="00A31137" w:rsidP="00A31137">
      <w:r w:rsidRPr="00A31137">
        <w:t>1996 Republican Party Platform</w:t>
      </w:r>
    </w:p>
    <w:p w:rsidR="00A31137" w:rsidRPr="00A31137" w:rsidRDefault="00A31137" w:rsidP="00A31137">
      <w:r w:rsidRPr="00A31137">
        <w:t>In this section, 3 amendments were agreed to.</w:t>
      </w:r>
    </w:p>
    <w:p w:rsidR="00A31137" w:rsidRPr="00A31137" w:rsidRDefault="00A31137" w:rsidP="00A31137">
      <w:r w:rsidRPr="00A31137">
        <w:t>Appendix II</w:t>
      </w:r>
    </w:p>
    <w:p w:rsidR="00A31137" w:rsidRPr="00A31137" w:rsidRDefault="00A31137" w:rsidP="00A31137">
      <w:r w:rsidRPr="00A31137">
        <w:t>1996 Republican Party Platform</w:t>
      </w:r>
    </w:p>
    <w:p w:rsidR="00A31137" w:rsidRPr="00A31137" w:rsidRDefault="00A31137" w:rsidP="00A31137">
      <w:r w:rsidRPr="00A31137">
        <w:t>Remarks by Bob Dole Republican Candidate for President of the United States Satellite Broadcast to RNC Platform Committee Washington, D.C. Tuesday, August 6, 1996</w:t>
      </w:r>
    </w:p>
    <w:p w:rsidR="00A31137" w:rsidRPr="00A31137" w:rsidRDefault="00A31137" w:rsidP="00A31137">
      <w:r w:rsidRPr="00A31137">
        <w:t>1996 Republican Party Platform</w:t>
      </w:r>
    </w:p>
    <w:p w:rsidR="00A31137" w:rsidRPr="00A31137" w:rsidRDefault="00A31137" w:rsidP="00A31137">
      <w:r w:rsidRPr="00A31137">
        <w:t>It's good to visit with you today. I'm proud of our party, and proud to be the Republican nominee. And I'm absolutely confident of victory on November fifth.</w:t>
      </w:r>
    </w:p>
    <w:p w:rsidR="00A31137" w:rsidRPr="00A31137" w:rsidRDefault="00A31137" w:rsidP="00A31137">
      <w:r w:rsidRPr="00A31137">
        <w:t>1996 Republican Party Platform</w:t>
      </w:r>
    </w:p>
    <w:p w:rsidR="00A31137" w:rsidRPr="00A31137" w:rsidRDefault="00A31137" w:rsidP="00A31137">
      <w:r w:rsidRPr="00A31137">
        <w:t>Yesterday in Chicago I outlined my economic growth plan to repeal the current tax code, to end the IRS as we know it and to get the American family's income moving up again.</w:t>
      </w:r>
    </w:p>
    <w:p w:rsidR="00A31137" w:rsidRPr="00A31137" w:rsidRDefault="00A31137" w:rsidP="00A31137">
      <w:r w:rsidRPr="00A31137">
        <w:t>1996 Republican Party Platform</w:t>
      </w:r>
    </w:p>
    <w:p w:rsidR="00A31137" w:rsidRPr="00A31137" w:rsidRDefault="00A31137" w:rsidP="00A31137">
      <w:r w:rsidRPr="00A31137">
        <w:t>Not surprisingly, the Clinton team denounced my growth plan even before they heard the details. Why? Because to them, specifics aren't important; they simply don't believe in cutting taxes. They believe in raising taxes. They don't want to control spending, they want to increase spending. The dividing line in this campaign is crystal clear: I believe Washington takes too much of your hard-earned money. Bill Clinton does not.</w:t>
      </w:r>
    </w:p>
    <w:p w:rsidR="00A31137" w:rsidRPr="00A31137" w:rsidRDefault="00A31137" w:rsidP="00A31137">
      <w:r w:rsidRPr="00A31137">
        <w:t>1996 Republican Party Platform</w:t>
      </w:r>
    </w:p>
    <w:p w:rsidR="00A31137" w:rsidRPr="00A31137" w:rsidRDefault="00A31137" w:rsidP="00A31137">
      <w:r w:rsidRPr="00A31137">
        <w:t>The Clinton team says my plan isn't realistic. But how can anyone in America believe Bill Clinton when it comes to taxes? After all, he ran for President promising middle-class tax relief, then as President hit the American people with the largest tax increase in history. Those are the facts. And as John Adams put it, "facts are stubborn things."</w:t>
      </w:r>
    </w:p>
    <w:p w:rsidR="00A31137" w:rsidRPr="00A31137" w:rsidRDefault="00A31137" w:rsidP="00A31137">
      <w:r w:rsidRPr="00A31137">
        <w:t>1996 Republican Party Platform</w:t>
      </w:r>
    </w:p>
    <w:p w:rsidR="00A31137" w:rsidRPr="00A31137" w:rsidRDefault="00A31137" w:rsidP="00A31137">
      <w:r w:rsidRPr="00A31137">
        <w:t>President Clinton suggested yesterday that my plan will cause the deficit to go up. I'm touched by his new-found concern for a balanced budget. But here again, the facts tell a different story. It was Bill Clinton, not Bob Dole, who pressured six Democrats to switch sides on the Balanced Budget Amendment, causing it to lose narrowly in the Senate. So here is my challenge to president Clinton: if you're truly worried about the deficit, sit down right now with two Democratic senators and persuade them to support the Balanced Budget Amendment. Then we can have another vote. Help us get the job done, Mr. President. Find two votes. Make the calls today. If you're so eager to balance the budget, then take this action. If you're not—if your concern is just a ploy—then the American people will know it quickly.</w:t>
      </w:r>
    </w:p>
    <w:p w:rsidR="00A31137" w:rsidRPr="00A31137" w:rsidRDefault="00A31137" w:rsidP="00A31137">
      <w:r w:rsidRPr="00A31137">
        <w:t>1996 Republican Party Platform</w:t>
      </w:r>
    </w:p>
    <w:p w:rsidR="00A31137" w:rsidRPr="00A31137" w:rsidRDefault="00A31137" w:rsidP="00A31137">
      <w:r w:rsidRPr="00A31137">
        <w:t>The issue of credibility in this campaign will come down to a contrast between words and actions—President Clinton's words, and my actions. He'll use the rhetoric of reform. I've spent my entire career fighting to balance the budget, create more opportunities for people, and prevent government from growing beyond the consent of the governed. These will be the first principles and the legacy of my presidency. My administration won't be satisfied with second, third or fourth best. America will be Number One again.</w:t>
      </w:r>
    </w:p>
    <w:p w:rsidR="00A31137" w:rsidRPr="00A31137" w:rsidRDefault="00A31137" w:rsidP="00A31137">
      <w:r w:rsidRPr="00A31137">
        <w:t>1996 Republican Party Platform</w:t>
      </w:r>
    </w:p>
    <w:p w:rsidR="00A31137" w:rsidRPr="00A31137" w:rsidRDefault="00A31137" w:rsidP="00A31137">
      <w:r w:rsidRPr="00A31137">
        <w:t>We've had many debates in our party about which should come first—tax cuts, or a balanced budget. I say it's time to get to work on both. The fact is that the budget deficit and high taxes are two halves of the vise that is producing the Clinton middle-class squeeze. High taxes pick the American family's pocket directly. Incredibly, that family now spends more on taxes than on food, clothing and shelter combined. And the budget deficit is a "stealth tax" that pushes up interest rates.</w:t>
      </w:r>
    </w:p>
    <w:p w:rsidR="00A31137" w:rsidRPr="00A31137" w:rsidRDefault="00A31137" w:rsidP="00A31137">
      <w:r w:rsidRPr="00A31137">
        <w:t>1996 Republican Party Platform</w:t>
      </w:r>
    </w:p>
    <w:p w:rsidR="00A31137" w:rsidRPr="00A31137" w:rsidRDefault="00A31137" w:rsidP="00A31137">
      <w:r w:rsidRPr="00A31137">
        <w:t>There is no magic in fixing this problem. With today's pro-growth Republican Congress, cutting taxes and balancing the budget are just a matter of presidential will. If you have it, you can do it. I have it. I will do it. I will support and work for the Balanced Budget Amendment. I will reduce the size of the federal government. I will balance the budget by the year 2002.</w:t>
      </w:r>
    </w:p>
    <w:p w:rsidR="00A31137" w:rsidRPr="00A31137" w:rsidRDefault="00A31137" w:rsidP="00A31137">
      <w:r w:rsidRPr="00A31137">
        <w:t>1996 Republican Party Platform</w:t>
      </w:r>
    </w:p>
    <w:p w:rsidR="00A31137" w:rsidRPr="00A31137" w:rsidRDefault="00A31137" w:rsidP="00A31137">
      <w:r w:rsidRPr="00A31137">
        <w:t>And my tax plan, in a nutshell, is this: I intend to lower the federal income tax bill of a family of four making $35,000 a year by 56%—cutting it by more than half. We'll have a 15 percent tax cut, across the board, that will repeal the Clinton tax hike on the middle class. In fact, it will return total taxes to where they were when Ronald Reagan left office. That's a big, big step in the right direction.</w:t>
      </w:r>
    </w:p>
    <w:p w:rsidR="00A31137" w:rsidRPr="00A31137" w:rsidRDefault="00A31137" w:rsidP="00A31137">
      <w:r w:rsidRPr="00A31137">
        <w:t>1996 Republican Party Platform</w:t>
      </w:r>
    </w:p>
    <w:p w:rsidR="00A31137" w:rsidRPr="00A31137" w:rsidRDefault="00A31137" w:rsidP="00A31137">
      <w:r w:rsidRPr="00A31137">
        <w:t>We'll give every middle-income tax-paying family a $500 per child tax credit. We'll cut the top rate of the capital gains tax in half—because the capital gains tax hits smaller and growing businesses hardest, and they're the ones who will create most of our new jobs in the decade ahead. I want those businesses to use their growing value to give people better jobs, better opportunities and better incomes—not just to pay more taxes.</w:t>
      </w:r>
    </w:p>
    <w:p w:rsidR="00A31137" w:rsidRPr="00A31137" w:rsidRDefault="00A31137" w:rsidP="00A31137">
      <w:r w:rsidRPr="00A31137">
        <w:t>1996 Republican Party Platform</w:t>
      </w:r>
    </w:p>
    <w:p w:rsidR="00A31137" w:rsidRPr="00A31137" w:rsidRDefault="00A31137" w:rsidP="00A31137">
      <w:r w:rsidRPr="00A31137">
        <w:t>I will call for expansion of Individual Retirement Accounts so people can put more away for their old age. I'll also ask for a repeal of the 1993 Clinton tax hike on Social Security benefits. And I will call for a super-majority—a 60% vote of Congress—before income tax rates can ever be raised again on the American people.</w:t>
      </w:r>
    </w:p>
    <w:p w:rsidR="00A31137" w:rsidRPr="00A31137" w:rsidRDefault="00A31137" w:rsidP="00A31137">
      <w:r w:rsidRPr="00A31137">
        <w:t>1996 Republican Party Platform</w:t>
      </w:r>
    </w:p>
    <w:p w:rsidR="00A31137" w:rsidRPr="00A31137" w:rsidRDefault="00A31137" w:rsidP="00A31137">
      <w:r w:rsidRPr="00A31137">
        <w:t>We're also going to change the IRS, which has grown to twice the size of the CIA and five times the size of the FBI. It takes the equivalent of nearly three-million people working full time—more people than serve in the U.S. Armed Forces—just to comply with our tax laws.</w:t>
      </w:r>
    </w:p>
    <w:p w:rsidR="00A31137" w:rsidRPr="00A31137" w:rsidRDefault="00A31137" w:rsidP="00A31137">
      <w:r w:rsidRPr="00A31137">
        <w:t>1996 Republican Party Platform</w:t>
      </w:r>
    </w:p>
    <w:p w:rsidR="00A31137" w:rsidRPr="00A31137" w:rsidRDefault="00A31137" w:rsidP="00A31137">
      <w:r w:rsidRPr="00A31137">
        <w:t>My plan will downsize the IRS and upsize the amount of money Americans get to keep. It will also end the Clinton Administration's exemption of the IRS from the Paperwork Reduction Act. We simply cannot put this economy back on the right track unless we change the bureaucratic culture of the IRS—and, for that matter, the rest of Washington. As President, I will insist that all regulations—both new and existing—be reviewed to determine what works, what doesn't, what's too expensive, and what's too oppressive.</w:t>
      </w:r>
    </w:p>
    <w:p w:rsidR="00A31137" w:rsidRPr="00A31137" w:rsidRDefault="00A31137" w:rsidP="00A31137">
      <w:r w:rsidRPr="00A31137">
        <w:t>1996 Republican Party Platform</w:t>
      </w:r>
    </w:p>
    <w:p w:rsidR="00A31137" w:rsidRPr="00A31137" w:rsidRDefault="00A31137" w:rsidP="00A31137">
      <w:r w:rsidRPr="00A31137">
        <w:t>We must also change the culture that has permitted a litigation explosion in this country. Our lawsuit system is out of control, it's a drag on growth, and it undermines our competitiveness. President Clinton vetoed lawsuit reform at the behest of his biggest campaign contributors, the trial lawyers. When I'm President, we'll do the right thing and fix the broken-down lawsuit system. We'll limit outrageous punitive awards. We'll promote early settlements. We'll revoke the trial lawyers' license to search for deep pockets, and ensure that most of the award money in the contingency fee system goes to those who were injured, instead of to lawyers. My administration will do the people's business, instead of doing the bidding of the trial lawyers.</w:t>
      </w:r>
    </w:p>
    <w:p w:rsidR="00A31137" w:rsidRPr="00A31137" w:rsidRDefault="00A31137" w:rsidP="00A31137">
      <w:r w:rsidRPr="00A31137">
        <w:t>1996 Republican Party Platform</w:t>
      </w:r>
    </w:p>
    <w:p w:rsidR="00A31137" w:rsidRPr="00A31137" w:rsidRDefault="00A31137" w:rsidP="00A31137">
      <w:r w:rsidRPr="00A31137">
        <w:t>No plan to strengthen the economy would be complete without education reform to make children and workers ready for the jobs of the future. The Clinton administration has placed our educational destiny in the hands of bureaucrats and the liberal ideologues of the national teachers' unions. I will do things differently. My program includes Opportunity Scholarships, to enable parents to choose the best school for their children. We'll allow low- and middle-income students and parents to deduct interest on student loans and set up tax-free "Education Investment Accounts." I will take education out of the hands of the unions and bureaucrats and put it back in the hands of parents—where it belongs.</w:t>
      </w:r>
    </w:p>
    <w:p w:rsidR="00A31137" w:rsidRPr="00A31137" w:rsidRDefault="00A31137" w:rsidP="00A31137">
      <w:r w:rsidRPr="00A31137">
        <w:t>1996 Republican Party Platform</w:t>
      </w:r>
    </w:p>
    <w:p w:rsidR="00A31137" w:rsidRPr="00A31137" w:rsidRDefault="00A31137" w:rsidP="00A31137">
      <w:r w:rsidRPr="00A31137">
        <w:t>As you can see, my plan is about much more than simply reducing taxes and balancing the budget. It's about a vision for a healthy, vigorous, growing economy where all Americans can participate, and where no one is left behind. It's about a whole range of policies that will help wage-earners, small business owners, entrepreneurs, and everyone else in America who dreams of a better life for themselves and for their children.</w:t>
      </w:r>
    </w:p>
    <w:p w:rsidR="00A31137" w:rsidRPr="00A31137" w:rsidRDefault="00A31137" w:rsidP="00A31137">
      <w:r w:rsidRPr="00A31137">
        <w:t>1996 Republican Party Platform</w:t>
      </w:r>
    </w:p>
    <w:p w:rsidR="00A31137" w:rsidRPr="00A31137" w:rsidRDefault="00A31137" w:rsidP="00A31137">
      <w:r w:rsidRPr="00A31137">
        <w:t>President Clinton is completely satisfied with the status quo. He inherited a fast-growing economy and turned it into a slow-growing economy. His own forecasters project growth through the end of this decade at an incredibly lackluster 2.3 percent. In their view, that's good enough. Well, I don't believe that. And I know you don't, either. There is so much more potential in this economy, if only we will turn loose the greatness of the American people.</w:t>
      </w:r>
    </w:p>
    <w:p w:rsidR="00A31137" w:rsidRPr="00A31137" w:rsidRDefault="00A31137" w:rsidP="00A31137">
      <w:r w:rsidRPr="00A31137">
        <w:t>1996 Republican Party Platform</w:t>
      </w:r>
    </w:p>
    <w:p w:rsidR="00A31137" w:rsidRPr="00A31137" w:rsidRDefault="00A31137" w:rsidP="00A31137">
      <w:r w:rsidRPr="00A31137">
        <w:t>So as of now, Bill Clinton and his party are the defenders of the status quo, and we are the party of change. We are the party of ideas; they are the party of excuses. And for the next three months, the debate will focus on our ideas, our growth plan, and our vision for America going into the next century.</w:t>
      </w:r>
    </w:p>
    <w:p w:rsidR="00A31137" w:rsidRPr="00A31137" w:rsidRDefault="00A31137" w:rsidP="00A31137">
      <w:r w:rsidRPr="00A31137">
        <w:t>1996 Republican Party Platform</w:t>
      </w:r>
    </w:p>
    <w:p w:rsidR="00A31137" w:rsidRPr="00A31137" w:rsidRDefault="00A31137" w:rsidP="00A31137">
      <w:r w:rsidRPr="00A31137">
        <w:t>This is the message of our campaign: we're going to lift up this country—lift up our economy, lift up our schools, lift up our families, lift up our values. We're going to make the American dream a reality for every generation that follows us here, in the greatest nation on the face of the earth.</w:t>
      </w:r>
    </w:p>
    <w:p w:rsidR="00A31137" w:rsidRPr="00A31137" w:rsidRDefault="00A31137" w:rsidP="00A31137">
      <w:r w:rsidRPr="00A31137">
        <w:t>1996 Republican Party Platform</w:t>
      </w:r>
    </w:p>
    <w:p w:rsidR="00A31137" w:rsidRPr="00A31137" w:rsidRDefault="00A31137" w:rsidP="00A31137">
      <w:r w:rsidRPr="00A31137">
        <w:t>We have some exciting days and weeks ahead of us. Thanks for listening, and thanks for all your hard work to deliver a strong, clear, confident message to the American people. God bless you all.</w:t>
      </w:r>
    </w:p>
    <w:p w:rsidR="00A31137" w:rsidRPr="00A31137" w:rsidRDefault="00A31137" w:rsidP="00A31137">
      <w:r w:rsidRPr="00A31137">
        <w:t>Clinton's Address on the State of the Union, January 23, 1996</w:t>
      </w:r>
    </w:p>
    <w:p w:rsidR="00A31137" w:rsidRPr="00A31137" w:rsidRDefault="00A31137" w:rsidP="00A31137">
      <w:r w:rsidRPr="00A31137">
        <w:t>Title:</w:t>
      </w:r>
      <w:r w:rsidRPr="00A31137">
        <w:tab/>
        <w:t>Clinton's Address on the State of the Union, 1996</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23, 1996</w:t>
      </w:r>
    </w:p>
    <w:p w:rsidR="00A31137" w:rsidRPr="00A31137" w:rsidRDefault="00A31137" w:rsidP="00A31137">
      <w:r w:rsidRPr="00A31137">
        <w:t>Source:</w:t>
      </w:r>
      <w:r w:rsidRPr="00A31137">
        <w:tab/>
        <w:t>Weekly Compilation of Presidential Documents, 1996, pp.90-98</w:t>
      </w:r>
    </w:p>
    <w:p w:rsidR="00A31137" w:rsidRPr="00A31137" w:rsidRDefault="00A31137" w:rsidP="00A31137">
      <w:r w:rsidRPr="00A31137">
        <w:t>Clinton, State of the Union Address, 1996, p.90</w:t>
      </w:r>
    </w:p>
    <w:p w:rsidR="00A31137" w:rsidRPr="00A31137" w:rsidRDefault="00A31137" w:rsidP="00A31137">
      <w:r w:rsidRPr="00A31137">
        <w:t>Thank you very much. Mr. Speaker, Mr. Vice President, Members of the 104th Congress, distinguished guests, my fellow Americans all across our land: Let me begin tonight by saying to our men and women in uniform around the world, and especially those helping peace take root in Bosnia and to their families, I thank you. America is very, very proud of you.</w:t>
      </w:r>
    </w:p>
    <w:p w:rsidR="00A31137" w:rsidRPr="00A31137" w:rsidRDefault="00A31137" w:rsidP="00A31137">
      <w:r w:rsidRPr="00A31137">
        <w:t>Clinton, State of the Union Address, 1996, p.90</w:t>
      </w:r>
    </w:p>
    <w:p w:rsidR="00A31137" w:rsidRPr="00A31137" w:rsidRDefault="00A31137" w:rsidP="00A31137">
      <w:r w:rsidRPr="00A31137">
        <w:t>My duty tonight is to report on the state of the Union, not the state of our Government but of our American community, and to set forth our responsibilities, in the words of our Founders, to form a more perfect Union.</w:t>
      </w:r>
    </w:p>
    <w:p w:rsidR="00A31137" w:rsidRPr="00A31137" w:rsidRDefault="00A31137" w:rsidP="00A31137">
      <w:r w:rsidRPr="00A31137">
        <w:t>Clinton, State of the Union Address, 1996, p.90</w:t>
      </w:r>
    </w:p>
    <w:p w:rsidR="00A31137" w:rsidRPr="00A31137" w:rsidRDefault="00A31137" w:rsidP="00A31137">
      <w:r w:rsidRPr="00A31137">
        <w:t>The state of the Union is strong. Our economy is the healthiest it has been in three decades. We have the lowest combined rates of unemployment and inflation in 27 years. We have completed—created nearly 8 million new jobs, over a million of them in basic industries like construction and automobiles. America is selling more cars than Japan for the first time since the 1970's. And for 3 years in a row, we have had a record number of new businesses started in our country.</w:t>
      </w:r>
    </w:p>
    <w:p w:rsidR="00A31137" w:rsidRPr="00A31137" w:rsidRDefault="00A31137" w:rsidP="00A31137">
      <w:r w:rsidRPr="00A31137">
        <w:t>Clinton, State of the Union Address, 1996, p.90</w:t>
      </w:r>
    </w:p>
    <w:p w:rsidR="00A31137" w:rsidRPr="00A31137" w:rsidRDefault="00A31137" w:rsidP="00A31137">
      <w:r w:rsidRPr="00A31137">
        <w:t>Our leadership in the world is also strong, bringing hope for new peace. And perhaps most important, we are gaining ground in restoring our fundamental values. The crime rate, the welfare and food stamp rolls, the poverty rate, and the teen pregnancy rate are all down. And as they go down, prospects for America's future go up.</w:t>
      </w:r>
    </w:p>
    <w:p w:rsidR="00A31137" w:rsidRPr="00A31137" w:rsidRDefault="00A31137" w:rsidP="00A31137">
      <w:r w:rsidRPr="00A31137">
        <w:t>Clinton, State of the Union Address, 1996, p.90</w:t>
      </w:r>
    </w:p>
    <w:p w:rsidR="00A31137" w:rsidRPr="00A31137" w:rsidRDefault="00A31137" w:rsidP="00A31137">
      <w:r w:rsidRPr="00A31137">
        <w:t>We live in an age of possibility. A hundred years ago we moved from farm to factory. Now we move to an age of technology, information, and global competition. These changes have opened vast new opportunities for our people, but they have also presented them with stiff challenges. While more Americans are living better, too many of our fellow citizens are working harder just to keep up, and they are rightly concerned about the security of their families.</w:t>
      </w:r>
    </w:p>
    <w:p w:rsidR="00A31137" w:rsidRPr="00A31137" w:rsidRDefault="00A31137" w:rsidP="00A31137">
      <w:r w:rsidRPr="00A31137">
        <w:t>Clinton, State of the Union Address, 1996, p.90</w:t>
      </w:r>
    </w:p>
    <w:p w:rsidR="00A31137" w:rsidRPr="00A31137" w:rsidRDefault="00A31137" w:rsidP="00A31137">
      <w:r w:rsidRPr="00A31137">
        <w:t>We must answer here three fundamental questions: First, how do we make the American dream of opportunity for all a reality for all Americans who are willing to work for it? Second, how do we preserve our old and enduring values as we move into the future? And third, how do we meet these challenges together, as one America?</w:t>
      </w:r>
    </w:p>
    <w:p w:rsidR="00A31137" w:rsidRPr="00A31137" w:rsidRDefault="00A31137" w:rsidP="00A31137">
      <w:r w:rsidRPr="00A31137">
        <w:t>Clinton, State of the Union Address, 1996, p.90</w:t>
      </w:r>
    </w:p>
    <w:p w:rsidR="00A31137" w:rsidRPr="00A31137" w:rsidRDefault="00A31137" w:rsidP="00A31137">
      <w:r w:rsidRPr="00A31137">
        <w:t>We know big Government does not have all the answers. We know there's not a program for every problem. We know, and we have worked to give the American people a smaller, less bureaucratic Government in Washington. And we have to give the American people one that lives within its means. The era of big Government is over. But we cannot go back to the time when our citizens were left to fend for themselves.</w:t>
      </w:r>
    </w:p>
    <w:p w:rsidR="00A31137" w:rsidRPr="00A31137" w:rsidRDefault="00A31137" w:rsidP="00A31137">
      <w:r w:rsidRPr="00A31137">
        <w:t>Clinton, State of the Union Address, 1996, p.90</w:t>
      </w:r>
    </w:p>
    <w:p w:rsidR="00A31137" w:rsidRPr="00A31137" w:rsidRDefault="00A31137" w:rsidP="00A31137">
      <w:r w:rsidRPr="00A31137">
        <w:t>Instead, we must go forward as one America, one nation working together to meet the challenges we face together. Self-reliance and teamwork are not opposing virtues; we must have both. I believe our new, smaller Government must work in an old-fashioned American way, together with all of our citizens through State and local governments, in the workplace, in religious, charitable, and civic associations. Our goal must be to enable all our people to make the most of their own lives, with stronger families, more educational opportunity, economic security, safer streets, a cleaner environment in a safer world.</w:t>
      </w:r>
    </w:p>
    <w:p w:rsidR="00A31137" w:rsidRPr="00A31137" w:rsidRDefault="00A31137" w:rsidP="00A31137">
      <w:r w:rsidRPr="00A31137">
        <w:t>Clinton, State of the Union Address, 1996, p.90</w:t>
      </w:r>
    </w:p>
    <w:p w:rsidR="00A31137" w:rsidRPr="00A31137" w:rsidRDefault="00A31137" w:rsidP="00A31137">
      <w:r w:rsidRPr="00A31137">
        <w:t>To improve the state of our Union, we must ask more of ourselves, we must expect more of each other, and we must face our challenges together.</w:t>
      </w:r>
    </w:p>
    <w:p w:rsidR="00A31137" w:rsidRPr="00A31137" w:rsidRDefault="00A31137" w:rsidP="00A31137">
      <w:r w:rsidRPr="00A31137">
        <w:t>Clinton, State of the Union Address, 1996, p.90</w:t>
      </w:r>
    </w:p>
    <w:p w:rsidR="00A31137" w:rsidRPr="00A31137" w:rsidRDefault="00A31137" w:rsidP="00A31137">
      <w:r w:rsidRPr="00A31137">
        <w:t>Here, in this place, our responsibility begins with balancing the budget in a way that is fair to all Americans. There is now broad bipartisan agreement that permanent deficit spending must come to an end.</w:t>
      </w:r>
    </w:p>
    <w:p w:rsidR="00A31137" w:rsidRPr="00A31137" w:rsidRDefault="00A31137" w:rsidP="00A31137">
      <w:r w:rsidRPr="00A31137">
        <w:t>Clinton, State of the Union Address, 1996, p.90</w:t>
      </w:r>
    </w:p>
    <w:p w:rsidR="00A31137" w:rsidRPr="00A31137" w:rsidRDefault="00A31137" w:rsidP="00A31137">
      <w:r w:rsidRPr="00A31137">
        <w:t>I compliment the Republican leadership and the membership for the energy and determination you have brought to this task of balancing the budget. And I thank the Democrats for passing the largest deficit reduction plan in history in 1993, which has [p.91] already cut the deficit nearly in half in 3 years.</w:t>
      </w:r>
    </w:p>
    <w:p w:rsidR="00A31137" w:rsidRPr="00A31137" w:rsidRDefault="00A31137" w:rsidP="00A31137">
      <w:r w:rsidRPr="00A31137">
        <w:t>Clinton, State of the Union Address, 1996, p.91</w:t>
      </w:r>
    </w:p>
    <w:p w:rsidR="00A31137" w:rsidRPr="00A31137" w:rsidRDefault="00A31137" w:rsidP="00A31137">
      <w:r w:rsidRPr="00A31137">
        <w:t>Since 1993, we have all begun to see the benefits of deficit reduction. Lower interest rates have made it easier for businesses to borrow and to invest and to create new jobs. Lower interest rates have brought down the cost of home mortgages, car payments, and credit card rates to ordinary citizens. Now, it is time to finish the job and balance the budget.</w:t>
      </w:r>
    </w:p>
    <w:p w:rsidR="00A31137" w:rsidRPr="00A31137" w:rsidRDefault="00A31137" w:rsidP="00A31137">
      <w:r w:rsidRPr="00A31137">
        <w:t>Clinton, State of the Union Address, 1996, p.91</w:t>
      </w:r>
    </w:p>
    <w:p w:rsidR="00A31137" w:rsidRPr="00A31137" w:rsidRDefault="00A31137" w:rsidP="00A31137">
      <w:r w:rsidRPr="00A31137">
        <w:t>Though differences remain among us which are significant, the combined total of the proposed savings that are common to both plans is more than enough, using the numbers from your Congressional Budget Office to balance the budget in 7 years and to provide a modest tax cut.</w:t>
      </w:r>
    </w:p>
    <w:p w:rsidR="00A31137" w:rsidRPr="00A31137" w:rsidRDefault="00A31137" w:rsidP="00A31137">
      <w:r w:rsidRPr="00A31137">
        <w:t>Clinton, State of the Union Address, 1996, p.91</w:t>
      </w:r>
    </w:p>
    <w:p w:rsidR="00A31137" w:rsidRPr="00A31137" w:rsidRDefault="00A31137" w:rsidP="00A31137">
      <w:r w:rsidRPr="00A31137">
        <w:t>These cuts are real. They will require sacrifice from everyone. But these cuts do not undermine our fundamental obligations to our parents, our children, and our future, by endangering Medicare or Medicaid or education or the environment or by raising taxes on working families.</w:t>
      </w:r>
    </w:p>
    <w:p w:rsidR="00A31137" w:rsidRPr="00A31137" w:rsidRDefault="00A31137" w:rsidP="00A31137">
      <w:r w:rsidRPr="00A31137">
        <w:t>Clinton, State of the Union Address, 1996, p.91</w:t>
      </w:r>
    </w:p>
    <w:p w:rsidR="00A31137" w:rsidRPr="00A31137" w:rsidRDefault="00A31137" w:rsidP="00A31137">
      <w:r w:rsidRPr="00A31137">
        <w:t>I have said before, and let me say again, many good ideas have come out of our negotiations. I have learned a lot about the way both Republicans and Democrats view the debate before us. I have learned a lot about the good ideas that each side has that we could all embrace.</w:t>
      </w:r>
    </w:p>
    <w:p w:rsidR="00A31137" w:rsidRPr="00A31137" w:rsidRDefault="00A31137" w:rsidP="00A31137">
      <w:r w:rsidRPr="00A31137">
        <w:t>Clinton, State of the Union Address, 1996, p.91</w:t>
      </w:r>
    </w:p>
    <w:p w:rsidR="00A31137" w:rsidRPr="00A31137" w:rsidRDefault="00A31137" w:rsidP="00A31137">
      <w:r w:rsidRPr="00A31137">
        <w:t>We ought to resolve our remaining differences. I am willing to work to resolve them. I am ready to meet tomorrow. But I ask you to consider that we should at least enact these savings that both plans have in common and give the American people their balanced budget, a tax cut, lower interest rates, and a brighter future. We should do that now and make permanent deficits yesterday's legacy.</w:t>
      </w:r>
    </w:p>
    <w:p w:rsidR="00A31137" w:rsidRPr="00A31137" w:rsidRDefault="00A31137" w:rsidP="00A31137">
      <w:r w:rsidRPr="00A31137">
        <w:t>Clinton, State of the Union Address, 1996, p.91</w:t>
      </w:r>
    </w:p>
    <w:p w:rsidR="00A31137" w:rsidRPr="00A31137" w:rsidRDefault="00A31137" w:rsidP="00A31137">
      <w:r w:rsidRPr="00A31137">
        <w:t>Now it is time for us to look also to the challenges of today and tomorrow, beyond the burdens of yesterday. The challenges are significant. But our Nation was built on challenges. America was built on challenges, not promises. And when we work together to meet them, we never fail. That is the key to a more perfect Union. Our individual dreams must be realized by our common efforts.</w:t>
      </w:r>
    </w:p>
    <w:p w:rsidR="00A31137" w:rsidRPr="00A31137" w:rsidRDefault="00A31137" w:rsidP="00A31137">
      <w:r w:rsidRPr="00A31137">
        <w:t>Clinton, State of the Union Address, 1996, p.91</w:t>
      </w:r>
    </w:p>
    <w:p w:rsidR="00A31137" w:rsidRPr="00A31137" w:rsidRDefault="00A31137" w:rsidP="00A31137">
      <w:r w:rsidRPr="00A31137">
        <w:t>Tonight I want to speak to you about the challenges we all face as a people. Our first challenge is to cherish our children and strengthen America's families. Family is the foundation of American life. If we have stronger families, we will have a stronger America.</w:t>
      </w:r>
    </w:p>
    <w:p w:rsidR="00A31137" w:rsidRPr="00A31137" w:rsidRDefault="00A31137" w:rsidP="00A31137">
      <w:r w:rsidRPr="00A31137">
        <w:t>Clinton, State of the Union Address, 1996, p.91</w:t>
      </w:r>
    </w:p>
    <w:p w:rsidR="00A31137" w:rsidRPr="00A31137" w:rsidRDefault="00A31137" w:rsidP="00A31137">
      <w:r w:rsidRPr="00A31137">
        <w:t>Before I go on, I'd like to take just a moment to thank my own family, and to thank the person who has taught me more than anyone else over 25 years about the importance of families and children, a wonderful wife, a magnificent mother, and a great First Lady. Thank you, Hillary.</w:t>
      </w:r>
    </w:p>
    <w:p w:rsidR="00A31137" w:rsidRPr="00A31137" w:rsidRDefault="00A31137" w:rsidP="00A31137">
      <w:r w:rsidRPr="00A31137">
        <w:t>Clinton, State of the Union Address, 1996, p.91</w:t>
      </w:r>
    </w:p>
    <w:p w:rsidR="00A31137" w:rsidRPr="00A31137" w:rsidRDefault="00A31137" w:rsidP="00A31137">
      <w:r w:rsidRPr="00A31137">
        <w:t>All strong families begin with taking more responsibility for our children. I've heard Mrs. Gore say that it's hard to be a parent today, but it's even harder to be a child. So all of us, not just as parents but all of us in our other roles—our media, our schools, our teachers, our communities, our churches and synagogues, our businesses, our governments—all of us have a responsibility to help our children to make it and to make the most of their lives and their God-given capacities.</w:t>
      </w:r>
    </w:p>
    <w:p w:rsidR="00A31137" w:rsidRPr="00A31137" w:rsidRDefault="00A31137" w:rsidP="00A31137">
      <w:r w:rsidRPr="00A31137">
        <w:t>Clinton, State of the Union Address, 1996, p.91</w:t>
      </w:r>
    </w:p>
    <w:p w:rsidR="00A31137" w:rsidRPr="00A31137" w:rsidRDefault="00A31137" w:rsidP="00A31137">
      <w:r w:rsidRPr="00A31137">
        <w:t>To the media, I say you should create movies and CD's and television shows you'd want your own children and grandchildren to enjoy.</w:t>
      </w:r>
    </w:p>
    <w:p w:rsidR="00A31137" w:rsidRPr="00A31137" w:rsidRDefault="00A31137" w:rsidP="00A31137">
      <w:r w:rsidRPr="00A31137">
        <w:t>Clinton, State of the Union Address, 1996, p.91</w:t>
      </w:r>
    </w:p>
    <w:p w:rsidR="00A31137" w:rsidRPr="00A31137" w:rsidRDefault="00A31137" w:rsidP="00A31137">
      <w:r w:rsidRPr="00A31137">
        <w:t>I call on Congress to pass the requirement for a V-chip in TV sets so that parents can screen out programs they believe are inappropriate for their children. When parents control what their young children see, that is not censorship; that is enabling parents to assume more personal responsibility for their children's upbringing. And I urge them to do it. The V-chip requirement is part of the important telecommunications bill now pending in this Congress. It has bipartisan support, and I urge you to pass it now.</w:t>
      </w:r>
    </w:p>
    <w:p w:rsidR="00A31137" w:rsidRPr="00A31137" w:rsidRDefault="00A31137" w:rsidP="00A31137">
      <w:r w:rsidRPr="00A31137">
        <w:t>Clinton, State of the Union Address, 1996, p.91</w:t>
      </w:r>
    </w:p>
    <w:p w:rsidR="00A31137" w:rsidRPr="00A31137" w:rsidRDefault="00A31137" w:rsidP="00A31137">
      <w:r w:rsidRPr="00A31137">
        <w:t>To make the V-chip work, I challenge the broadcast industry to do what movies have done, to identify your program in ways that help parents to protect their children. And I invite the leaders of major media corporations in the entertainment industry to come to the White House next month to work with us in a positive way on concrete ways to improve what our children see on television. I am ready to work with you.</w:t>
      </w:r>
    </w:p>
    <w:p w:rsidR="00A31137" w:rsidRPr="00A31137" w:rsidRDefault="00A31137" w:rsidP="00A31137">
      <w:r w:rsidRPr="00A31137">
        <w:t>Clinton, State of the Union Address, 1996, p.91</w:t>
      </w:r>
    </w:p>
    <w:p w:rsidR="00A31137" w:rsidRPr="00A31137" w:rsidRDefault="00A31137" w:rsidP="00A31137">
      <w:r w:rsidRPr="00A31137">
        <w:t>I say to those who make and market cigarettes, every year a million children take up [p.92] smoking, even though it's against the law. Three hundred thousand of them will have their lives shortened as a result. Our administration has taken steps to stop the massive marketing campaigns that appeal to our children. We are simply saying: Market your products to adults, if you wish, but draw the line on children.</w:t>
      </w:r>
    </w:p>
    <w:p w:rsidR="00A31137" w:rsidRPr="00A31137" w:rsidRDefault="00A31137" w:rsidP="00A31137">
      <w:r w:rsidRPr="00A31137">
        <w:t>Clinton, State of the Union Address, 1996, p.92</w:t>
      </w:r>
    </w:p>
    <w:p w:rsidR="00A31137" w:rsidRPr="00A31137" w:rsidRDefault="00A31137" w:rsidP="00A31137">
      <w:r w:rsidRPr="00A31137">
        <w:t>I say to those who are on welfare, and especially to those who have been trapped on welfare for a long time: For too long our welfare system has undermined the values of family and work, instead of supporting them. The Congress and I are near agreement on sweeping welfare reform. We agree on time limits, tough work requirements, and the toughest possible child support enforcement. But I believe we must also provide child care so that mothers who are required to go to work can do so without worrying about what is happening to their children.</w:t>
      </w:r>
    </w:p>
    <w:p w:rsidR="00A31137" w:rsidRPr="00A31137" w:rsidRDefault="00A31137" w:rsidP="00A31137">
      <w:r w:rsidRPr="00A31137">
        <w:t>Clinton, State of the Union Address, 1996, p.92</w:t>
      </w:r>
    </w:p>
    <w:p w:rsidR="00A31137" w:rsidRPr="00A31137" w:rsidRDefault="00A31137" w:rsidP="00A31137">
      <w:r w:rsidRPr="00A31137">
        <w:t>I challenge this Congress to send me a bipartisan welfare reform bill that will really move people from welfare to work and do the right thing by our children. I will sign it immediately.</w:t>
      </w:r>
    </w:p>
    <w:p w:rsidR="00A31137" w:rsidRPr="00A31137" w:rsidRDefault="00A31137" w:rsidP="00A31137">
      <w:r w:rsidRPr="00A31137">
        <w:t>Clinton, State of the Union Address, 1996, p.92</w:t>
      </w:r>
    </w:p>
    <w:p w:rsidR="00A31137" w:rsidRPr="00A31137" w:rsidRDefault="00A31137" w:rsidP="00A31137">
      <w:r w:rsidRPr="00A31137">
        <w:t>Let us be candid about this difficult problem. Passing a law, even the best possible law, is only a first step. The next step is to make it work. I challenge people on welfare to make the most of this opportunity for independence. I challenge American businesses to give people on welfare the chance to move into the work force. I applaud the work of religious groups and others who care for the poor. More than anyone else in our society, they know the true difficulty of the task before us, and they are in a position to help.</w:t>
      </w:r>
    </w:p>
    <w:p w:rsidR="00A31137" w:rsidRPr="00A31137" w:rsidRDefault="00A31137" w:rsidP="00A31137">
      <w:r w:rsidRPr="00A31137">
        <w:t>Clinton, State of the Union Address, 1996, p.92</w:t>
      </w:r>
    </w:p>
    <w:p w:rsidR="00A31137" w:rsidRPr="00A31137" w:rsidRDefault="00A31137" w:rsidP="00A31137">
      <w:r w:rsidRPr="00A31137">
        <w:t>Every one of us should join them. That is the only way we can make real welfare reform a reality in the lives of the American people.</w:t>
      </w:r>
    </w:p>
    <w:p w:rsidR="00A31137" w:rsidRPr="00A31137" w:rsidRDefault="00A31137" w:rsidP="00A31137">
      <w:r w:rsidRPr="00A31137">
        <w:t>Clinton, State of the Union Address, 1996, p.92</w:t>
      </w:r>
    </w:p>
    <w:p w:rsidR="00A31137" w:rsidRPr="00A31137" w:rsidRDefault="00A31137" w:rsidP="00A31137">
      <w:r w:rsidRPr="00A31137">
        <w:t>To strengthen the family we must do everything we can to keep the teen pregnancy rate going down. I am gratified, as I'm sure all Americans are, that it has dropped for 2 years in a row. But we all know it is still far too high.</w:t>
      </w:r>
    </w:p>
    <w:p w:rsidR="00A31137" w:rsidRPr="00A31137" w:rsidRDefault="00A31137" w:rsidP="00A31137">
      <w:r w:rsidRPr="00A31137">
        <w:t>Clinton, State of the Union Address, 1996, p.92</w:t>
      </w:r>
    </w:p>
    <w:p w:rsidR="00A31137" w:rsidRPr="00A31137" w:rsidRDefault="00A31137" w:rsidP="00A31137">
      <w:r w:rsidRPr="00A31137">
        <w:t>Tonight I am pleased to announce that a group of prominent Americans is responding to that challenge by forming an organization that will support grassroots community efforts all across our country in a national campaign against teen pregnancy. And I challenge all of us and every American to join their efforts.</w:t>
      </w:r>
    </w:p>
    <w:p w:rsidR="00A31137" w:rsidRPr="00A31137" w:rsidRDefault="00A31137" w:rsidP="00A31137">
      <w:r w:rsidRPr="00A31137">
        <w:t>Clinton, State of the Union Address, 1996, p.92</w:t>
      </w:r>
    </w:p>
    <w:p w:rsidR="00A31137" w:rsidRPr="00A31137" w:rsidRDefault="00A31137" w:rsidP="00A31137">
      <w:r w:rsidRPr="00A31137">
        <w:t>I call on American men and women in families to give greater respect to one another. We must end the deadly scourge of domestic violence in our country. And I challenge America's families to work harder to stay together. For families who stay together not only do better economically, their children do better as well.</w:t>
      </w:r>
    </w:p>
    <w:p w:rsidR="00A31137" w:rsidRPr="00A31137" w:rsidRDefault="00A31137" w:rsidP="00A31137">
      <w:r w:rsidRPr="00A31137">
        <w:t>Clinton, State of the Union Address, 1996, p.92</w:t>
      </w:r>
    </w:p>
    <w:p w:rsidR="00A31137" w:rsidRPr="00A31137" w:rsidRDefault="00A31137" w:rsidP="00A31137">
      <w:r w:rsidRPr="00A31137">
        <w:t>In particular, I challenge the fathers of this country to love and care for their children. If your family has separated, you must pay your child support. We're doing more than ever to make sure you do, and we're going to do more. But let's all admit something about that, too: A check will not substitute for a parent's love and guidance. And only you—only you can make the decision to help raise your children. No matter who you are, how low or high your station in life, it is the most basic human duty of every American to do that job to the best of his or her ability.</w:t>
      </w:r>
    </w:p>
    <w:p w:rsidR="00A31137" w:rsidRPr="00A31137" w:rsidRDefault="00A31137" w:rsidP="00A31137">
      <w:r w:rsidRPr="00A31137">
        <w:t>Clinton, State of the Union Address, 1996, p.92</w:t>
      </w:r>
    </w:p>
    <w:p w:rsidR="00A31137" w:rsidRPr="00A31137" w:rsidRDefault="00A31137" w:rsidP="00A31137">
      <w:r w:rsidRPr="00A31137">
        <w:t>Our second challenge is to provide Americans with the educational opportunities we'll all need for this new century. In our schools, every classroom in America must be connected to the information superhighway, with computers and good software and well-trained teachers. We are working with the telecommunications industry, educators, and parents to connect 20 percent of California's classrooms by this spring, and every classroom and every library in the entire United States by the year 2000. I ask Congress to support this education technology initiative so that we can make sure this national partnership succeeds.</w:t>
      </w:r>
    </w:p>
    <w:p w:rsidR="00A31137" w:rsidRPr="00A31137" w:rsidRDefault="00A31137" w:rsidP="00A31137">
      <w:r w:rsidRPr="00A31137">
        <w:t>Clinton, State of the Union Address, 1996, p.92</w:t>
      </w:r>
    </w:p>
    <w:p w:rsidR="00A31137" w:rsidRPr="00A31137" w:rsidRDefault="00A31137" w:rsidP="00A31137">
      <w:r w:rsidRPr="00A31137">
        <w:t xml:space="preserve">Every diploma ought to mean something. I challenge every community, every school, and every State to adopt national standards of excellence, to measure whether schools are meeting those standards, to cut bureaucratic redtape so that schools and teachers have more flexibility for grassroots reform, and to hold them accountable for results. That's what our Goals 2000 initiative is all about. I challenge every State to give all parents the right to choose which public school their children will attend, and to let teachers form new schools with a charter they can keep only if they do a good job. [p.93] </w:t>
      </w:r>
    </w:p>
    <w:p w:rsidR="00A31137" w:rsidRPr="00A31137" w:rsidRDefault="00A31137" w:rsidP="00A31137">
      <w:r w:rsidRPr="00A31137">
        <w:t>Clinton, State of the Union Address, 1996, p.93</w:t>
      </w:r>
    </w:p>
    <w:p w:rsidR="00A31137" w:rsidRPr="00A31137" w:rsidRDefault="00A31137" w:rsidP="00A31137">
      <w:r w:rsidRPr="00A31137">
        <w:t>I challenge all our schools to teach character education, to teach good values and good citizenship. And if it means that teenagers will stop killing each other over designer jackets, then our public schools should be able to require their students to wear school uniforms.</w:t>
      </w:r>
    </w:p>
    <w:p w:rsidR="00A31137" w:rsidRPr="00A31137" w:rsidRDefault="00A31137" w:rsidP="00A31137">
      <w:r w:rsidRPr="00A31137">
        <w:t>Clinton, State of the Union Address, 1996, p.93</w:t>
      </w:r>
    </w:p>
    <w:p w:rsidR="00A31137" w:rsidRPr="00A31137" w:rsidRDefault="00A31137" w:rsidP="00A31137">
      <w:r w:rsidRPr="00A31137">
        <w:t>I challenge our parents to become their children's first teachers. Turn off the TV. See that the homework is done. And visit your children's classroom. No program, no teacher, no one else can do that for you.</w:t>
      </w:r>
    </w:p>
    <w:p w:rsidR="00A31137" w:rsidRPr="00A31137" w:rsidRDefault="00A31137" w:rsidP="00A31137">
      <w:r w:rsidRPr="00A31137">
        <w:t>Clinton, State of the Union Address, 1996, p.93</w:t>
      </w:r>
    </w:p>
    <w:p w:rsidR="00A31137" w:rsidRPr="00A31137" w:rsidRDefault="00A31137" w:rsidP="00A31137">
      <w:r w:rsidRPr="00A31137">
        <w:t>My fellow Americans, higher education is more important today than ever before. We've created a new student loan program that's made it easier to borrow and repay those loans, and we have dramatically cut the student loan default rate. That's something we should all be proud of because it was unconscionably high just a few years ago.</w:t>
      </w:r>
    </w:p>
    <w:p w:rsidR="00A31137" w:rsidRPr="00A31137" w:rsidRDefault="00A31137" w:rsidP="00A31137">
      <w:r w:rsidRPr="00A31137">
        <w:t>Clinton, State of the Union Address, 1996, p.93</w:t>
      </w:r>
    </w:p>
    <w:p w:rsidR="00A31137" w:rsidRPr="00A31137" w:rsidRDefault="00A31137" w:rsidP="00A31137">
      <w:r w:rsidRPr="00A31137">
        <w:t>Through AmeriCorps, our national service program, this year 25,000 young people will earn college money by serving their local communities to improve the lives of their friends and neighbors.</w:t>
      </w:r>
    </w:p>
    <w:p w:rsidR="00A31137" w:rsidRPr="00A31137" w:rsidRDefault="00A31137" w:rsidP="00A31137">
      <w:r w:rsidRPr="00A31137">
        <w:t>Clinton, State of the Union Address, 1996, p.93</w:t>
      </w:r>
    </w:p>
    <w:p w:rsidR="00A31137" w:rsidRPr="00A31137" w:rsidRDefault="00A31137" w:rsidP="00A31137">
      <w:r w:rsidRPr="00A31137">
        <w:t>These initiatives are right for America, and we should keep them going. And we should also work hard to open the doors of college even wider. I challenge Congress to expand work-study and help one million young Americans work their way through college by the year 2000, to provide a $1,000 merit scholarship for the top 5 percent of graduates in every high school in the United States, to expand Pell Grant scholarships for deserving and needy students, and to make up to $10,000 a year of college tuition tax deductible. It's a good idea for America.</w:t>
      </w:r>
    </w:p>
    <w:p w:rsidR="00A31137" w:rsidRPr="00A31137" w:rsidRDefault="00A31137" w:rsidP="00A31137">
      <w:r w:rsidRPr="00A31137">
        <w:t>Clinton, State of the Union Address, 1996, p.93</w:t>
      </w:r>
    </w:p>
    <w:p w:rsidR="00A31137" w:rsidRPr="00A31137" w:rsidRDefault="00A31137" w:rsidP="00A31137">
      <w:r w:rsidRPr="00A31137">
        <w:t>Our third challenge is to help every American who is willing to work for it, achieve economic security in this new age. People who work hard still need support to get ahead in the new economy. They need education and training for a lifetime. They need more support for families raising children. They need retirement security. They need access to health care. More and more Americans are finding that the education of their childhood simply doesn't last a lifetime.</w:t>
      </w:r>
    </w:p>
    <w:p w:rsidR="00A31137" w:rsidRPr="00A31137" w:rsidRDefault="00A31137" w:rsidP="00A31137">
      <w:r w:rsidRPr="00A31137">
        <w:t>Clinton, State of the Union Address, 1996, p.93</w:t>
      </w:r>
    </w:p>
    <w:p w:rsidR="00A31137" w:rsidRPr="00A31137" w:rsidRDefault="00A31137" w:rsidP="00A31137">
      <w:r w:rsidRPr="00A31137">
        <w:t>So I challenge Congress to consolidate 70 overlapping, antiquated job-training programs into a simple voucher worth $2,600 for unemployed or underemployed workers to use as they please for community college tuition or other training. This is a "GI bill" for America's workers we should all be able to agree on.</w:t>
      </w:r>
    </w:p>
    <w:p w:rsidR="00A31137" w:rsidRPr="00A31137" w:rsidRDefault="00A31137" w:rsidP="00A31137">
      <w:r w:rsidRPr="00A31137">
        <w:t>Clinton, State of the Union Address, 1996, p.93</w:t>
      </w:r>
    </w:p>
    <w:p w:rsidR="00A31137" w:rsidRPr="00A31137" w:rsidRDefault="00A31137" w:rsidP="00A31137">
      <w:r w:rsidRPr="00A31137">
        <w:t>More and more Americans are working hard without a raise. Congress sets the minimum wage. Within a year, the minimum wage will fall to a 40-year low in purchasing power. Four dollars and 25 cents an hour is no longer a minimum wage, but millions of Americans and their children are trying to live on it. I challenge you to raise their minimum wage.</w:t>
      </w:r>
    </w:p>
    <w:p w:rsidR="00A31137" w:rsidRPr="00A31137" w:rsidRDefault="00A31137" w:rsidP="00A31137">
      <w:r w:rsidRPr="00A31137">
        <w:t>Clinton, State of the Union Address, 1996, p.93</w:t>
      </w:r>
    </w:p>
    <w:p w:rsidR="00A31137" w:rsidRPr="00A31137" w:rsidRDefault="00A31137" w:rsidP="00A31137">
      <w:r w:rsidRPr="00A31137">
        <w:t>In 1993, Congress cut the taxes of 15 million hard-pressed working families to make sure that no parents who work full-time would have to raise their children in poverty and to encourage people to move from welfare to work. This expanded earned-income tax credit is now worth about $1,800 a year to a family of four living on $20,000. The budget bill I vetoed would have reversed this achievement and raised taxes on nearly 8 million of these people. We should not do that. We should not do that.</w:t>
      </w:r>
    </w:p>
    <w:p w:rsidR="00A31137" w:rsidRPr="00A31137" w:rsidRDefault="00A31137" w:rsidP="00A31137">
      <w:r w:rsidRPr="00A31137">
        <w:t>Clinton, State of the Union Address, 1996, p.93</w:t>
      </w:r>
    </w:p>
    <w:p w:rsidR="00A31137" w:rsidRPr="00A31137" w:rsidRDefault="00A31137" w:rsidP="00A31137">
      <w:r w:rsidRPr="00A31137">
        <w:t>I also agree that the people who are helped under this initiative are not all those in our country who are working hard to do a good job raising their children and at work. I agree that we need a tax credit for working families with children. That's one of the things most of us in this Chamber, I hope, can agree on. I know it is strongly supported by the Republican majority. And it should be part of any final budget agreement.</w:t>
      </w:r>
    </w:p>
    <w:p w:rsidR="00A31137" w:rsidRPr="00A31137" w:rsidRDefault="00A31137" w:rsidP="00A31137">
      <w:r w:rsidRPr="00A31137">
        <w:t>Clinton, State of the Union Address, 1996, p.93</w:t>
      </w:r>
    </w:p>
    <w:p w:rsidR="00A31137" w:rsidRPr="00A31137" w:rsidRDefault="00A31137" w:rsidP="00A31137">
      <w:r w:rsidRPr="00A31137">
        <w:t>I want to challenge every business that can possibly afford it to provide pensions for your employees. And I challenge Congress to pass a proposal recommended by the White House Conference on Small Business that would make it easier for small businesses and farmers to establish their own pension plans. That is something we should all agree on.</w:t>
      </w:r>
    </w:p>
    <w:p w:rsidR="00A31137" w:rsidRPr="00A31137" w:rsidRDefault="00A31137" w:rsidP="00A31137">
      <w:r w:rsidRPr="00A31137">
        <w:t>Clinton, State of the Union Address, 1996, p.93</w:t>
      </w:r>
    </w:p>
    <w:p w:rsidR="00A31137" w:rsidRPr="00A31137" w:rsidRDefault="00A31137" w:rsidP="00A31137">
      <w:r w:rsidRPr="00A31137">
        <w:t>We should also protect existing pension plans. Two years ago, with bipartisan support that was almost unanimous on both sides of the aisle, we moved to protect the pensions of 8 million working people and to stabilize the pensions of 32 million more. Congress should not now let companies endanger those workers' pension funds.</w:t>
      </w:r>
    </w:p>
    <w:p w:rsidR="00A31137" w:rsidRPr="00A31137" w:rsidRDefault="00A31137" w:rsidP="00A31137">
      <w:r w:rsidRPr="00A31137">
        <w:t>Clinton, State of the Union Address, 1996, p.93</w:t>
      </w:r>
    </w:p>
    <w:p w:rsidR="00A31137" w:rsidRPr="00A31137" w:rsidRDefault="00A31137" w:rsidP="00A31137">
      <w:r w:rsidRPr="00A31137">
        <w:t>I know the proposal to liberalize the ability of employers to take money out of pension [p.94] funds for other purposes would raise money for the Treasury. But I believe it is false economy. I vetoed that proposal last year, and I would have to do so again.</w:t>
      </w:r>
    </w:p>
    <w:p w:rsidR="00A31137" w:rsidRPr="00A31137" w:rsidRDefault="00A31137" w:rsidP="00A31137">
      <w:r w:rsidRPr="00A31137">
        <w:t>Clinton, State of the Union Address, 1996, p.94</w:t>
      </w:r>
    </w:p>
    <w:p w:rsidR="00A31137" w:rsidRPr="00A31137" w:rsidRDefault="00A31137" w:rsidP="00A31137">
      <w:r w:rsidRPr="00A31137">
        <w:t>Finally, if our working families are going to succeed in the new economy, they must be able to buy health insurance policies that they do not lose when they change jobs or when someone in their family gets sick. Over the past 2 years, over one million Americans in working families have lost their health insurance. We have to do more to make health care available to every American. And Congress should start by passing the bipartisan bill sponsored by Senator Kennedy and Senator Kassebaum that would require insurance companies to stop dropping people when they switch jobs and stop denying coverage for preexisting conditions. Let's all do that.</w:t>
      </w:r>
    </w:p>
    <w:p w:rsidR="00A31137" w:rsidRPr="00A31137" w:rsidRDefault="00A31137" w:rsidP="00A31137">
      <w:r w:rsidRPr="00A31137">
        <w:t>Clinton, State of the Union Address, 1996, p.94</w:t>
      </w:r>
    </w:p>
    <w:p w:rsidR="00A31137" w:rsidRPr="00A31137" w:rsidRDefault="00A31137" w:rsidP="00A31137">
      <w:r w:rsidRPr="00A31137">
        <w:t>And even as we enact savings in these programs, we must have a common commitment to preserve the basic protections of Medicare and Medicaid, not just to the poor but to people in working families, including children, people with disabilities, people with AIDS, senior citizens in nursing homes.</w:t>
      </w:r>
    </w:p>
    <w:p w:rsidR="00A31137" w:rsidRPr="00A31137" w:rsidRDefault="00A31137" w:rsidP="00A31137">
      <w:r w:rsidRPr="00A31137">
        <w:t>Clinton, State of the Union Address, 1996, p.94</w:t>
      </w:r>
    </w:p>
    <w:p w:rsidR="00A31137" w:rsidRPr="00A31137" w:rsidRDefault="00A31137" w:rsidP="00A31137">
      <w:r w:rsidRPr="00A31137">
        <w:t>In the past 3 years, we've saved $15 billion just by fighting health care fraud and abuse. We have all agreed to save much more. We have all agreed to stabilize the Medicare Trust Fund. But we must not abandon our fundamental obligations to the people who need Medicare and Medicaid. America cannot become stronger if they become weaker.</w:t>
      </w:r>
    </w:p>
    <w:p w:rsidR="00A31137" w:rsidRPr="00A31137" w:rsidRDefault="00A31137" w:rsidP="00A31137">
      <w:r w:rsidRPr="00A31137">
        <w:t>Clinton, State of the Union Address, 1996, p.94</w:t>
      </w:r>
    </w:p>
    <w:p w:rsidR="00A31137" w:rsidRPr="00A31137" w:rsidRDefault="00A31137" w:rsidP="00A31137">
      <w:r w:rsidRPr="00A31137">
        <w:t>The "GI bill" for workers, tax relief for education and child rearing, pension availability and protection, access to health care, preservation of Medicare and Medicaid, these things, along with the Family and Medical Leave Act passed in 1993, these things will help responsible, hard-working American families to make the most of their own lives.</w:t>
      </w:r>
    </w:p>
    <w:p w:rsidR="00A31137" w:rsidRPr="00A31137" w:rsidRDefault="00A31137" w:rsidP="00A31137">
      <w:r w:rsidRPr="00A31137">
        <w:t>Clinton, State of the Union Address, 1996, p.94</w:t>
      </w:r>
    </w:p>
    <w:p w:rsidR="00A31137" w:rsidRPr="00A31137" w:rsidRDefault="00A31137" w:rsidP="00A31137">
      <w:r w:rsidRPr="00A31137">
        <w:t>But employers and employees must do their part, as well, as they are doing in so many of our finest companies, working together, putting the long-term prosperity ahead of the short-term gain. As workers increase their hours and their productivity, employers should make sure they get the skills they need and share the benefits of the good years, as well as the burdens of the bad ones. When companies and workers work as a team they do better, and so does America.</w:t>
      </w:r>
    </w:p>
    <w:p w:rsidR="00A31137" w:rsidRPr="00A31137" w:rsidRDefault="00A31137" w:rsidP="00A31137">
      <w:r w:rsidRPr="00A31137">
        <w:t>Clinton, State of the Union Address, 1996, p.94</w:t>
      </w:r>
    </w:p>
    <w:p w:rsidR="00A31137" w:rsidRPr="00A31137" w:rsidRDefault="00A31137" w:rsidP="00A31137">
      <w:r w:rsidRPr="00A31137">
        <w:t>Our fourth great challenge is to take our streets back from crime and gangs and drugs. At last we have begun to find a way to reduce crime, forming community partnerships with local police forces to catch criminals and prevent crime. This strategy, called community policing, is clearly working. Violent crime is coming down all across America. In New York City murders are down 25 percent, in St. Louis, 18 percent, in Seattle, 32 percent. But we still have a long way to go before our streets are safe and our people are free from fear.</w:t>
      </w:r>
    </w:p>
    <w:p w:rsidR="00A31137" w:rsidRPr="00A31137" w:rsidRDefault="00A31137" w:rsidP="00A31137">
      <w:r w:rsidRPr="00A31137">
        <w:t>Clinton, State of the Union Address, 1996, p.94</w:t>
      </w:r>
    </w:p>
    <w:p w:rsidR="00A31137" w:rsidRPr="00A31137" w:rsidRDefault="00A31137" w:rsidP="00A31137">
      <w:r w:rsidRPr="00A31137">
        <w:t>The crime bill of 1994 is critical to the success of community policing. It provides funds for 100,000 new police in communities of all sizes. We're already a third of the way there. And I challenge the Congress to finish the job. Let us stick with a strategy that's working and keep the crime rate coming down.</w:t>
      </w:r>
    </w:p>
    <w:p w:rsidR="00A31137" w:rsidRPr="00A31137" w:rsidRDefault="00A31137" w:rsidP="00A31137">
      <w:r w:rsidRPr="00A31137">
        <w:t>Clinton, State of the Union Address, 1996, p.94</w:t>
      </w:r>
    </w:p>
    <w:p w:rsidR="00A31137" w:rsidRPr="00A31137" w:rsidRDefault="00A31137" w:rsidP="00A31137">
      <w:r w:rsidRPr="00A31137">
        <w:t>Community policing also requires bonds of trust between citizens and police. I ask all Americans to respect and support our law enforcement officers. And to our police, I say, our children need you as role models and heroes. Don't let them down.</w:t>
      </w:r>
    </w:p>
    <w:p w:rsidR="00A31137" w:rsidRPr="00A31137" w:rsidRDefault="00A31137" w:rsidP="00A31137">
      <w:r w:rsidRPr="00A31137">
        <w:t>Clinton, State of the Union Address, 1996, p.94</w:t>
      </w:r>
    </w:p>
    <w:p w:rsidR="00A31137" w:rsidRPr="00A31137" w:rsidRDefault="00A31137" w:rsidP="00A31137">
      <w:r w:rsidRPr="00A31137">
        <w:t>The Brady bill has already stopped 44,000 people with criminal records from buying guns. The assault weapons ban is keeping 19 kinds of assault weapons out of the hands of violent gangs. I challenge the Congress to keep those laws on the books.</w:t>
      </w:r>
    </w:p>
    <w:p w:rsidR="00A31137" w:rsidRPr="00A31137" w:rsidRDefault="00A31137" w:rsidP="00A31137">
      <w:r w:rsidRPr="00A31137">
        <w:t>Clinton, State of the Union Address, 1996, p.94</w:t>
      </w:r>
    </w:p>
    <w:p w:rsidR="00A31137" w:rsidRPr="00A31137" w:rsidRDefault="00A31137" w:rsidP="00A31137">
      <w:r w:rsidRPr="00A31137">
        <w:t>Our next step in the fight against crime is to take on gangs the way we once took on the mob. I'm directing the FBI and other investigative agencies to target gangs that involve juveniles and violent crime, and to seek authority to prosecute as adults teenagers who maim and kill like adults.</w:t>
      </w:r>
    </w:p>
    <w:p w:rsidR="00A31137" w:rsidRPr="00A31137" w:rsidRDefault="00A31137" w:rsidP="00A31137">
      <w:r w:rsidRPr="00A31137">
        <w:t>Clinton, State of the Union Address, 1996, p.94</w:t>
      </w:r>
    </w:p>
    <w:p w:rsidR="00A31137" w:rsidRPr="00A31137" w:rsidRDefault="00A31137" w:rsidP="00A31137">
      <w:r w:rsidRPr="00A31137">
        <w:t>And I challenge local housing authorities and tenant associations: Criminal gang members and drug dealers are destroying the lives of decent tenants. From now on, the rule for residents who commit crime and pedal drugs should be one strike and you're out.</w:t>
      </w:r>
      <w:r w:rsidRPr="00A31137">
        <w:cr/>
      </w:r>
    </w:p>
    <w:p w:rsidR="00A31137" w:rsidRPr="00A31137" w:rsidRDefault="00A31137" w:rsidP="00A31137">
      <w:r w:rsidRPr="00A31137">
        <w:t>Clinton, State of the Union Address, 1996, p.94</w:t>
      </w:r>
    </w:p>
    <w:p w:rsidR="00A31137" w:rsidRPr="00A31137" w:rsidRDefault="00A31137" w:rsidP="00A31137">
      <w:r w:rsidRPr="00A31137">
        <w:t>I challenge every State to match Federal policy to assure that serious violent criminals serve at least 85 percent of their sentence.</w:t>
      </w:r>
    </w:p>
    <w:p w:rsidR="00A31137" w:rsidRPr="00A31137" w:rsidRDefault="00A31137" w:rsidP="00A31137">
      <w:r w:rsidRPr="00A31137">
        <w:t>Clinton, State of the Union Address, 1996, p.94</w:t>
      </w:r>
    </w:p>
    <w:p w:rsidR="00A31137" w:rsidRPr="00A31137" w:rsidRDefault="00A31137" w:rsidP="00A31137">
      <w:r w:rsidRPr="00A31137">
        <w:t>More police and punishment are important, but they're not enough. We have got [p.95] to keep more of our young people out of trouble, with prevention strategies not dictated by Washington but developed in communities. I challenge all of our communities, all of our adults, to give our children futures to say yes to. And I challenge Congress not to abandon the crime bill's support of these grassroots prevention efforts.</w:t>
      </w:r>
    </w:p>
    <w:p w:rsidR="00A31137" w:rsidRPr="00A31137" w:rsidRDefault="00A31137" w:rsidP="00A31137">
      <w:r w:rsidRPr="00A31137">
        <w:t>Clinton, State of the Union Address, 1996, p.95</w:t>
      </w:r>
    </w:p>
    <w:p w:rsidR="00A31137" w:rsidRPr="00A31137" w:rsidRDefault="00A31137" w:rsidP="00A31137">
      <w:r w:rsidRPr="00A31137">
        <w:t>Finally, to reduce crime and violence we have to reduce the drug problem. The challenge begins in our homes, with parents talking to their children openly and firmly. It embraces our churches and synagogues, our youth groups and our schools.</w:t>
      </w:r>
    </w:p>
    <w:p w:rsidR="00A31137" w:rsidRPr="00A31137" w:rsidRDefault="00A31137" w:rsidP="00A31137">
      <w:r w:rsidRPr="00A31137">
        <w:t>Clinton, State of the Union Address, 1996, p.95</w:t>
      </w:r>
    </w:p>
    <w:p w:rsidR="00A31137" w:rsidRPr="00A31137" w:rsidRDefault="00A31137" w:rsidP="00A31137">
      <w:r w:rsidRPr="00A31137">
        <w:t>I challenge Congress not to cut our support for drug-free schools. People like the D.A.R.E. officers are making a real impression on grade schoolchildren that will give them the strength to say no when the time comes.</w:t>
      </w:r>
    </w:p>
    <w:p w:rsidR="00A31137" w:rsidRPr="00A31137" w:rsidRDefault="00A31137" w:rsidP="00A31137">
      <w:r w:rsidRPr="00A31137">
        <w:t>Clinton, State of the Union Address, 1996, p.95</w:t>
      </w:r>
    </w:p>
    <w:p w:rsidR="00A31137" w:rsidRPr="00A31137" w:rsidRDefault="00A31137" w:rsidP="00A31137">
      <w:r w:rsidRPr="00A31137">
        <w:t>Meanwhile, we continue our efforts to cut the flow of drugs into America. For the last 2 years, one man in particular has been on the front lines of that effort. Tonight I am nominating him, a hero of the Persian Gulf War and the Commander in Chief of the United States Military Southern Command, General Barry McCaffrey, as America's new drug czar.</w:t>
      </w:r>
    </w:p>
    <w:p w:rsidR="00A31137" w:rsidRPr="00A31137" w:rsidRDefault="00A31137" w:rsidP="00A31137">
      <w:r w:rsidRPr="00A31137">
        <w:t>Clinton, State of the Union Address, 1996, p.95</w:t>
      </w:r>
    </w:p>
    <w:p w:rsidR="00A31137" w:rsidRPr="00A31137" w:rsidRDefault="00A31137" w:rsidP="00A31137">
      <w:r w:rsidRPr="00A31137">
        <w:t>General McCaffrey has earned three Purple Hearts and two Silver Stars fighting for this country. Tonight I ask that he lead our Nation's battle against drugs at home and abroad. To succeed, he needs a force far larger than he has ever commanded before. He needs all of us. Every one of us has a role to play on this team.</w:t>
      </w:r>
    </w:p>
    <w:p w:rsidR="00A31137" w:rsidRPr="00A31137" w:rsidRDefault="00A31137" w:rsidP="00A31137">
      <w:r w:rsidRPr="00A31137">
        <w:t>Clinton, State of the Union Address, 1996, p.95</w:t>
      </w:r>
    </w:p>
    <w:p w:rsidR="00A31137" w:rsidRPr="00A31137" w:rsidRDefault="00A31137" w:rsidP="00A31137">
      <w:r w:rsidRPr="00A31137">
        <w:t>Thank you, General McCaffrey, for agreeing to serve your country one more time.</w:t>
      </w:r>
    </w:p>
    <w:p w:rsidR="00A31137" w:rsidRPr="00A31137" w:rsidRDefault="00A31137" w:rsidP="00A31137">
      <w:r w:rsidRPr="00A31137">
        <w:t>Clinton, State of the Union Address, 1996, p.95</w:t>
      </w:r>
    </w:p>
    <w:p w:rsidR="00A31137" w:rsidRPr="00A31137" w:rsidRDefault="00A31137" w:rsidP="00A31137">
      <w:r w:rsidRPr="00A31137">
        <w:t>Our fifth challenge: to leave our environment safe and clean for the next generation. Because of a generation of bipartisan effort we do have cleaner water and air, lead levels in children's blood has been cut by 70 percent, toxic emissions from factories cut in half. Lake Erie was dead, and now it's a thriving resource. But 10 million children under 12 still live within 4 miles of a toxic waste dump. A third of us breathe air that endangers our health. And in too many communities the water is not safe to drink. We still have much to do.</w:t>
      </w:r>
    </w:p>
    <w:p w:rsidR="00A31137" w:rsidRPr="00A31137" w:rsidRDefault="00A31137" w:rsidP="00A31137">
      <w:r w:rsidRPr="00A31137">
        <w:t>Clinton, State of the Union Address, 1996, p.95</w:t>
      </w:r>
    </w:p>
    <w:p w:rsidR="00A31137" w:rsidRPr="00A31137" w:rsidRDefault="00A31137" w:rsidP="00A31137">
      <w:r w:rsidRPr="00A31137">
        <w:t>Yet Congress has voted to cut environmental enforcement by 25 percent. That means more toxic chemicals in our water, more smog in our air, more pesticides in our food. Lobbyists for polluters have been allowed to write their own loopholes into bills to weaken laws that protect the health and safety of our children. Some say that the taxpayer should pick up the tab for toxic waste and let polluters who can afford to fix it off the hook. I challenge Congress to reexamine those policies and to reverse them.</w:t>
      </w:r>
    </w:p>
    <w:p w:rsidR="00A31137" w:rsidRPr="00A31137" w:rsidRDefault="00A31137" w:rsidP="00A31137">
      <w:r w:rsidRPr="00A31137">
        <w:t>Clinton, State of the Union Address, 1996, p.95</w:t>
      </w:r>
    </w:p>
    <w:p w:rsidR="00A31137" w:rsidRPr="00A31137" w:rsidRDefault="00A31137" w:rsidP="00A31137">
      <w:r w:rsidRPr="00A31137">
        <w:t>This issue has not been a partisan issue. The most significant environmental gains in the last 30 years were made under a Democratic Congress and President Richard Nixon. We can work together. We have to believe some basic things. Do you believe we can expand the economy without hurting the environment? I do. Do you believe we can create more jobs over the long run by cleaning the environment up? I know we can. That should be our commitment.</w:t>
      </w:r>
    </w:p>
    <w:p w:rsidR="00A31137" w:rsidRPr="00A31137" w:rsidRDefault="00A31137" w:rsidP="00A31137">
      <w:r w:rsidRPr="00A31137">
        <w:t>Clinton, State of the Union Address, 1996, p.95</w:t>
      </w:r>
    </w:p>
    <w:p w:rsidR="00A31137" w:rsidRPr="00A31137" w:rsidRDefault="00A31137" w:rsidP="00A31137">
      <w:r w:rsidRPr="00A31137">
        <w:t>We must challenge businesses and communities to take more initiative in protecting the environment, and we have to make it easier for them to do it. To businesses this administration is saying: If you can find a cheaper, more efficient way than Government regulations require to meet tough pollution standards, do it, as long as you do it right. To communities we say: We must strengthen community right-to-know laws requiring polluters to disclose their emissions, but you have to use the information to work with business to cut pollution. People do have a right to know that their air and their water are safe.</w:t>
      </w:r>
    </w:p>
    <w:p w:rsidR="00A31137" w:rsidRPr="00A31137" w:rsidRDefault="00A31137" w:rsidP="00A31137">
      <w:r w:rsidRPr="00A31137">
        <w:t>Clinton, State of the Union Address, 1996, p.95</w:t>
      </w:r>
    </w:p>
    <w:p w:rsidR="00A31137" w:rsidRPr="00A31137" w:rsidRDefault="00A31137" w:rsidP="00A31137">
      <w:r w:rsidRPr="00A31137">
        <w:t>Our sixth challenge is to maintain America's leadership in the fight for freedom and peace throughout the world. Because of American leadership, more people than ever before live free and at peace. And Americans have known 50 years of prosperity and security.</w:t>
      </w:r>
    </w:p>
    <w:p w:rsidR="00A31137" w:rsidRPr="00A31137" w:rsidRDefault="00A31137" w:rsidP="00A31137">
      <w:r w:rsidRPr="00A31137">
        <w:t>Clinton, State of the Union Address, 1996, p.95</w:t>
      </w:r>
    </w:p>
    <w:p w:rsidR="00A31137" w:rsidRPr="00A31137" w:rsidRDefault="00A31137" w:rsidP="00A31137">
      <w:r w:rsidRPr="00A31137">
        <w:t xml:space="preserve">We owe thanks especially to our veterans of World War II. I would like to say to Senator Bob Dole and to all others in this Chamber who fought in World War II, and to all others on both sides of the aisle who have fought bravely in all our conflicts since: I salute your service and so do the American people. [p.96] </w:t>
      </w:r>
    </w:p>
    <w:p w:rsidR="00A31137" w:rsidRPr="00A31137" w:rsidRDefault="00A31137" w:rsidP="00A31137">
      <w:r w:rsidRPr="00A31137">
        <w:t>Clinton, State of the Union Address, 1996, p.96</w:t>
      </w:r>
    </w:p>
    <w:p w:rsidR="00A31137" w:rsidRPr="00A31137" w:rsidRDefault="00A31137" w:rsidP="00A31137">
      <w:r w:rsidRPr="00A31137">
        <w:t>All over the world, even after the cold war, people still look to us and trust us to help them seek the blessings of peace and freedom. But as the cold war fades into memory, voices of isolation say America should retreat from its responsibilities. I say they are wrong.</w:t>
      </w:r>
    </w:p>
    <w:p w:rsidR="00A31137" w:rsidRPr="00A31137" w:rsidRDefault="00A31137" w:rsidP="00A31137">
      <w:r w:rsidRPr="00A31137">
        <w:t>Clinton, State of the Union Address, 1996, p.96</w:t>
      </w:r>
    </w:p>
    <w:p w:rsidR="00A31137" w:rsidRPr="00A31137" w:rsidRDefault="00A31137" w:rsidP="00A31137">
      <w:r w:rsidRPr="00A31137">
        <w:t>The threats we face today as Americans respect no Nation's borders. Think of them: terrorism, the spread of weapons of mass destruction, organized crime, drug trafficking, ethnic and religious hatred, aggression by rogue states, environmental degradation. If we fail to address these threats today, we will suffer the consequences in all our tomorrows.</w:t>
      </w:r>
    </w:p>
    <w:p w:rsidR="00A31137" w:rsidRPr="00A31137" w:rsidRDefault="00A31137" w:rsidP="00A31137">
      <w:r w:rsidRPr="00A31137">
        <w:t>Clinton, State of the Union Address, 1996, p.96</w:t>
      </w:r>
    </w:p>
    <w:p w:rsidR="00A31137" w:rsidRPr="00A31137" w:rsidRDefault="00A31137" w:rsidP="00A31137">
      <w:r w:rsidRPr="00A31137">
        <w:t>Of course, we can't be everywhere. Of course, we can't do everything. But where our interests and our values are at stake, and where we can make a difference, America must lead. We must not be isolationist. We must not be the world's policeman. But we can and should be the world's very best peacemaker.</w:t>
      </w:r>
    </w:p>
    <w:p w:rsidR="00A31137" w:rsidRPr="00A31137" w:rsidRDefault="00A31137" w:rsidP="00A31137">
      <w:r w:rsidRPr="00A31137">
        <w:t>Clinton, State of the Union Address, 1996, p.96</w:t>
      </w:r>
    </w:p>
    <w:p w:rsidR="00A31137" w:rsidRPr="00A31137" w:rsidRDefault="00A31137" w:rsidP="00A31137">
      <w:r w:rsidRPr="00A31137">
        <w:t>By keeping our military strong, by using diplomacy where we can and force where we must, by working with others to share the risk and the cost of our efforts, America is making a difference for people here and around the world. For the first time since the dawn of the nuclear age—for the first time since the dawn of the nuclear age—there is not a single Russian missile pointed at America's children.</w:t>
      </w:r>
    </w:p>
    <w:p w:rsidR="00A31137" w:rsidRPr="00A31137" w:rsidRDefault="00A31137" w:rsidP="00A31137">
      <w:r w:rsidRPr="00A31137">
        <w:t>Clinton, State of the Union Address, 1996, p.96</w:t>
      </w:r>
    </w:p>
    <w:p w:rsidR="00A31137" w:rsidRPr="00A31137" w:rsidRDefault="00A31137" w:rsidP="00A31137">
      <w:r w:rsidRPr="00A31137">
        <w:t>North Korea has now frozen its dangerous nuclear weapons program. In Haiti, the dictators are gone, democracy has a new day, the flow of desperate refugees to our shores has subsided. Through tougher trade deals for America, over 80 of them, we have opened markets abroad, and now exports are at an all-time high, growing faster than imports and creating good American jobs.</w:t>
      </w:r>
    </w:p>
    <w:p w:rsidR="00A31137" w:rsidRPr="00A31137" w:rsidRDefault="00A31137" w:rsidP="00A31137">
      <w:r w:rsidRPr="00A31137">
        <w:t>Clinton, State of the Union Address, 1996, p.96</w:t>
      </w:r>
    </w:p>
    <w:p w:rsidR="00A31137" w:rsidRPr="00A31137" w:rsidRDefault="00A31137" w:rsidP="00A31137">
      <w:r w:rsidRPr="00A31137">
        <w:t>We stood with those taking risks for peace: in Northern Ireland, where Catholic and Protestant children now tell their parents, violence must never return; in the Middle East, where Arabs and Jews who once seemed destined to fight forever now share knowledge and resources and even dreams.</w:t>
      </w:r>
    </w:p>
    <w:p w:rsidR="00A31137" w:rsidRPr="00A31137" w:rsidRDefault="00A31137" w:rsidP="00A31137">
      <w:r w:rsidRPr="00A31137">
        <w:t>Clinton, State of the Union Address, 1996, p.96</w:t>
      </w:r>
    </w:p>
    <w:p w:rsidR="00A31137" w:rsidRPr="00A31137" w:rsidRDefault="00A31137" w:rsidP="00A31137">
      <w:r w:rsidRPr="00A31137">
        <w:t>And we stood up for peace in Bosnia. Remember the skeletal prisoners, the mass graves, the campaign to rape and torture, the endless lines of refugees, the threat of a spreading war. All these threats, all these horrors have now begun to give way to the promise of peace. Now our troops and a strong NATO, together with our new partners from central Europe and elsewhere, are helping that peace to take hold.</w:t>
      </w:r>
    </w:p>
    <w:p w:rsidR="00A31137" w:rsidRPr="00A31137" w:rsidRDefault="00A31137" w:rsidP="00A31137">
      <w:r w:rsidRPr="00A31137">
        <w:t>Clinton, State of the Union Address, 1996, p.96</w:t>
      </w:r>
    </w:p>
    <w:p w:rsidR="00A31137" w:rsidRPr="00A31137" w:rsidRDefault="00A31137" w:rsidP="00A31137">
      <w:r w:rsidRPr="00A31137">
        <w:t>As all of you know, I was just there with a bipartisan congressional group, and I was so proud not only of what our troops were doing but of the pride they evidenced in what they were doing. They knew what America's mission in this world is, and they were proud to be carrying it out.</w:t>
      </w:r>
    </w:p>
    <w:p w:rsidR="00A31137" w:rsidRPr="00A31137" w:rsidRDefault="00A31137" w:rsidP="00A31137">
      <w:r w:rsidRPr="00A31137">
        <w:t>Clinton, State of the Union Address, 1996, p.96</w:t>
      </w:r>
    </w:p>
    <w:p w:rsidR="00A31137" w:rsidRPr="00A31137" w:rsidRDefault="00A31137" w:rsidP="00A31137">
      <w:r w:rsidRPr="00A31137">
        <w:t>Through these efforts, we have enhanced the security of the American people, but make no mistake about it: Important challenges remain.</w:t>
      </w:r>
    </w:p>
    <w:p w:rsidR="00A31137" w:rsidRPr="00A31137" w:rsidRDefault="00A31137" w:rsidP="00A31137">
      <w:r w:rsidRPr="00A31137">
        <w:t>Clinton, State of the Union Address, 1996, p.96</w:t>
      </w:r>
    </w:p>
    <w:p w:rsidR="00A31137" w:rsidRPr="00A31137" w:rsidRDefault="00A31137" w:rsidP="00A31137">
      <w:r w:rsidRPr="00A31137">
        <w:t>The START II treaty with Russia will cut our nuclear stockpiles by another 25 percent. I urge the Senate to ratify it now. We must end the race to create new nuclear weapons by signing a truly comprehensive nuclear test ban treaty this year.</w:t>
      </w:r>
    </w:p>
    <w:p w:rsidR="00A31137" w:rsidRPr="00A31137" w:rsidRDefault="00A31137" w:rsidP="00A31137">
      <w:r w:rsidRPr="00A31137">
        <w:t>Clinton, State of the Union Address, 1996, p.96</w:t>
      </w:r>
    </w:p>
    <w:p w:rsidR="00A31137" w:rsidRPr="00A31137" w:rsidRDefault="00A31137" w:rsidP="00A31137">
      <w:r w:rsidRPr="00A31137">
        <w:t>As we remember what happened in the Japanese subway, we can outlaw poison gas forever if the Senate ratifies the Chemical Weapons Convention this year. We can intensify the fight against terrorists and organized criminals at home and abroad if Congress passes the antiterrorism legislation I proposed after the Oklahoma City bombing, now. We can help more people move from hatred to hope all across the world in our own interest if Congress gives us the means to remain the world's leader for peace.</w:t>
      </w:r>
    </w:p>
    <w:p w:rsidR="00A31137" w:rsidRPr="00A31137" w:rsidRDefault="00A31137" w:rsidP="00A31137">
      <w:r w:rsidRPr="00A31137">
        <w:t>Clinton, State of the Union Address, 1996, p.96</w:t>
      </w:r>
    </w:p>
    <w:p w:rsidR="00A31137" w:rsidRPr="00A31137" w:rsidRDefault="00A31137" w:rsidP="00A31137">
      <w:r w:rsidRPr="00A31137">
        <w:t>My fellow Americans, the six challenges I have just discussed are for all of us. Our seventh challenge is really America's challenge to those of us in this hallowed Hall tonight: to reinvent our Government and make our democracy work for them.</w:t>
      </w:r>
    </w:p>
    <w:p w:rsidR="00A31137" w:rsidRPr="00A31137" w:rsidRDefault="00A31137" w:rsidP="00A31137">
      <w:r w:rsidRPr="00A31137">
        <w:t>Clinton, State of the Union Address, 1996, p.96</w:t>
      </w:r>
    </w:p>
    <w:p w:rsidR="00A31137" w:rsidRPr="00A31137" w:rsidRDefault="00A31137" w:rsidP="00A31137">
      <w:r w:rsidRPr="00A31137">
        <w:t>Last year this Congress applied to itself the laws it applies to everyone else. This Congress banned gifts and meals from lobbyists. This Congress forced lobbyists to disclose who pays them and what legislation they are trying to pass or kill. This Congress did that, and I applaud you for it.</w:t>
      </w:r>
    </w:p>
    <w:p w:rsidR="00A31137" w:rsidRPr="00A31137" w:rsidRDefault="00A31137" w:rsidP="00A31137">
      <w:r w:rsidRPr="00A31137">
        <w:t>Clinton, State of the Union Address, 1996, p.96</w:t>
      </w:r>
    </w:p>
    <w:p w:rsidR="00A31137" w:rsidRPr="00A31137" w:rsidRDefault="00A31137" w:rsidP="00A31137">
      <w:r w:rsidRPr="00A31137">
        <w:t>Now I challenge Congress to go further, to curb special interest influence in politics by passing the first truly bipartisan campaign finance reform bill in a generation. You, Republicans and Democrats alike, can show the American people that we can limit spending [p.97] and we can open the airwaves to all candidates.</w:t>
      </w:r>
    </w:p>
    <w:p w:rsidR="00A31137" w:rsidRPr="00A31137" w:rsidRDefault="00A31137" w:rsidP="00A31137">
      <w:r w:rsidRPr="00A31137">
        <w:t>Clinton, State of the Union Address, 1996, p.97</w:t>
      </w:r>
    </w:p>
    <w:p w:rsidR="00A31137" w:rsidRPr="00A31137" w:rsidRDefault="00A31137" w:rsidP="00A31137">
      <w:r w:rsidRPr="00A31137">
        <w:t>I also appeal to Congress to pass the line-item veto you promised the American people.</w:t>
      </w:r>
    </w:p>
    <w:p w:rsidR="00A31137" w:rsidRPr="00A31137" w:rsidRDefault="00A31137" w:rsidP="00A31137">
      <w:r w:rsidRPr="00A31137">
        <w:t>Clinton, State of the Union Address, 1996, p.97</w:t>
      </w:r>
    </w:p>
    <w:p w:rsidR="00A31137" w:rsidRPr="00A31137" w:rsidRDefault="00A31137" w:rsidP="00A31137">
      <w:r w:rsidRPr="00A31137">
        <w:t>Our administration is working hard to give the American people a Government that works better and costs less. Thanks to the work of Vice President Gore, we are eliminating 16,000 pages of unnecessary rules and regulations, shifting more decisionmaking out of Washington, back to States and local communities.</w:t>
      </w:r>
    </w:p>
    <w:p w:rsidR="00A31137" w:rsidRPr="00A31137" w:rsidRDefault="00A31137" w:rsidP="00A31137">
      <w:r w:rsidRPr="00A31137">
        <w:t>Clinton, State of the Union Address, 1996, p.97</w:t>
      </w:r>
    </w:p>
    <w:p w:rsidR="00A31137" w:rsidRPr="00A31137" w:rsidRDefault="00A31137" w:rsidP="00A31137">
      <w:r w:rsidRPr="00A31137">
        <w:t>As we move into the era of balanced budgets and smaller Government, we must work in new ways to enable people to make the most of their own lives. We are helping America's communities, not with more bureaucracy but with more opportunities. Through our successful empowerment zones and community development banks, we're helping people to find jobs, to start businesses. And with tax incentives for companies that clean up abandoned industrial property, we can bring jobs back to places that desperately, desperately need them.</w:t>
      </w:r>
    </w:p>
    <w:p w:rsidR="00A31137" w:rsidRPr="00A31137" w:rsidRDefault="00A31137" w:rsidP="00A31137">
      <w:r w:rsidRPr="00A31137">
        <w:t>Clinton, State of the Union Address, 1996, p.97</w:t>
      </w:r>
    </w:p>
    <w:p w:rsidR="00A31137" w:rsidRPr="00A31137" w:rsidRDefault="00A31137" w:rsidP="00A31137">
      <w:r w:rsidRPr="00A31137">
        <w:t>But there are some areas that the Federal Government should not leave and should address and address strongly. One of these areas is the problem of illegal immigration. After years of neglect, this administration has taken a strong stand to stiffen the protection of our borders. We are increasing border controls by 50 percent. We are increasing inspections to prevent the hiring of illegal immigrants. And tonight, I announce I will sign an Executive order to deny Federal contracts to businesses that hire illegal immigrants.</w:t>
      </w:r>
    </w:p>
    <w:p w:rsidR="00A31137" w:rsidRPr="00A31137" w:rsidRDefault="00A31137" w:rsidP="00A31137">
      <w:r w:rsidRPr="00A31137">
        <w:t>Clinton, State of the Union Address, 1996, p.97</w:t>
      </w:r>
    </w:p>
    <w:p w:rsidR="00A31137" w:rsidRPr="00A31137" w:rsidRDefault="00A31137" w:rsidP="00A31137">
      <w:r w:rsidRPr="00A31137">
        <w:t>Let me be very clear about this: We are still a nation of immigrants; we should be proud of it. We should honor every legal immigrant here, working hard to be a good citizen, working hard to become a new citizen. But we are also a nation of laws.</w:t>
      </w:r>
    </w:p>
    <w:p w:rsidR="00A31137" w:rsidRPr="00A31137" w:rsidRDefault="00A31137" w:rsidP="00A31137">
      <w:r w:rsidRPr="00A31137">
        <w:t>Clinton, State of the Union Address, 1996, p.97</w:t>
      </w:r>
    </w:p>
    <w:p w:rsidR="00A31137" w:rsidRPr="00A31137" w:rsidRDefault="00A31137" w:rsidP="00A31137">
      <w:r w:rsidRPr="00A31137">
        <w:t>I want to say a special word now to those who work for our Federal Government. Today the Federal work force is 200,000 employees smaller than it was the day I took office as President. Our Federal Government today is the smallest it has been in 30 years, and it's getting smaller every day. Most of our fellow Americans probably don't know that. And there's a good reason—a good reason: The remaining Federal work force is composed of hard-working Americans who are now working harder and working smarter than ever before to make sure the quality of our services does not decline.</w:t>
      </w:r>
    </w:p>
    <w:p w:rsidR="00A31137" w:rsidRPr="00A31137" w:rsidRDefault="00A31137" w:rsidP="00A31137">
      <w:r w:rsidRPr="00A31137">
        <w:t>Clinton, State of the Union Address, 1996, p.97</w:t>
      </w:r>
    </w:p>
    <w:p w:rsidR="00A31137" w:rsidRPr="00A31137" w:rsidRDefault="00A31137" w:rsidP="00A31137">
      <w:r w:rsidRPr="00A31137">
        <w:t>I'd like to give you one example. His name is Richard Dean. He's a 49-year-old Vietnam veteran who's worked for the Social Security Administration for 22 years now. Last year he was hard at work in the Federal Building in Oklahoma City when the blast killed 169 people and brought the rubble down all around him. He reentered that building four times. He saved the lives of three women. He's here with us this evening, and I want to recognize Richard and applaud both his public service and his extraordinary personal heroism. But Richard Dean's story doesn't end there. This last November, he was forced out of his office when the Government shut down. And the second time the Government shut down he continued helping Social Security recipients, but he was working without pay.</w:t>
      </w:r>
    </w:p>
    <w:p w:rsidR="00A31137" w:rsidRPr="00A31137" w:rsidRDefault="00A31137" w:rsidP="00A31137">
      <w:r w:rsidRPr="00A31137">
        <w:t>Clinton, State of the Union Address, 1996, p.97</w:t>
      </w:r>
    </w:p>
    <w:p w:rsidR="00A31137" w:rsidRPr="00A31137" w:rsidRDefault="00A31137" w:rsidP="00A31137">
      <w:r w:rsidRPr="00A31137">
        <w:t>On behalf of Richard Dean and his family, and all the other people who are out there working every day doing a good job for the American people, I challenge all of you in this Chamber: Let's never, ever shut the Federal Government down again.</w:t>
      </w:r>
    </w:p>
    <w:p w:rsidR="00A31137" w:rsidRPr="00A31137" w:rsidRDefault="00A31137" w:rsidP="00A31137">
      <w:r w:rsidRPr="00A31137">
        <w:t>Clinton, State of the Union Address, 1996, p.97</w:t>
      </w:r>
    </w:p>
    <w:p w:rsidR="00A31137" w:rsidRPr="00A31137" w:rsidRDefault="00A31137" w:rsidP="00A31137">
      <w:r w:rsidRPr="00A31137">
        <w:t>On behalf of all Americans, especially those who need their Social Security payments at the beginning of March, I also challenge the Congress to preserve the full faith and credit of the United States, to honor the obligations of this great Nation as we have for 220 years, to rise above partisanship and pass a straightforward extension of the debt limit and show people America keeps its word.</w:t>
      </w:r>
    </w:p>
    <w:p w:rsidR="00A31137" w:rsidRPr="00A31137" w:rsidRDefault="00A31137" w:rsidP="00A31137">
      <w:r w:rsidRPr="00A31137">
        <w:t>Clinton, State of the Union Address, 1996, p.97</w:t>
      </w:r>
    </w:p>
    <w:p w:rsidR="00A31137" w:rsidRPr="00A31137" w:rsidRDefault="00A31137" w:rsidP="00A31137">
      <w:r w:rsidRPr="00A31137">
        <w:t>I know that this evening I have asked a lot of Congress and even more from America. But I am confident: When Americans work together in their homes, their schools, their churches, their synagogues, their civic groups, their workplace, they can meet any challenge.</w:t>
      </w:r>
    </w:p>
    <w:p w:rsidR="00A31137" w:rsidRPr="00A31137" w:rsidRDefault="00A31137" w:rsidP="00A31137">
      <w:r w:rsidRPr="00A31137">
        <w:t>Clinton, State of the Union Address, 1996, p.97</w:t>
      </w:r>
    </w:p>
    <w:p w:rsidR="00A31137" w:rsidRPr="00A31137" w:rsidRDefault="00A31137" w:rsidP="00A31137">
      <w:r w:rsidRPr="00A31137">
        <w:t>I say again, the era of big Government is over. But we can't go back to the era of fending for yourself. We have to go forward to the era of working together as a community, as a team, as one America, with all of us reaching across these lines that divide us—[p.98] the division, the discrimination, the rancor—we have to reach across it to find common ground. We have got to work together if we want America to work.</w:t>
      </w:r>
    </w:p>
    <w:p w:rsidR="00A31137" w:rsidRPr="00A31137" w:rsidRDefault="00A31137" w:rsidP="00A31137">
      <w:r w:rsidRPr="00A31137">
        <w:t>Clinton, State of the Union Address, 1996, p.98</w:t>
      </w:r>
    </w:p>
    <w:p w:rsidR="00A31137" w:rsidRPr="00A31137" w:rsidRDefault="00A31137" w:rsidP="00A31137">
      <w:r w:rsidRPr="00A31137">
        <w:t>I want you to meet two more people tonight who do just that. Lucius Wright is a teacher in the Jackson, Mississippi, public school system. A Vietnam veteran, he has created groups to help inner-city children turn away from gangs and build futures they can believe in. Sergeant Jennifer Rodgers is a police officer in Oklahoma City. Like Richard Dean, she helped to pull her fellow citizens out of the rubble and deal with that awful tragedy. She reminds us that in their response to that atrocity the people of Oklahoma City lifted all of us with their basic sense of decency and community.</w:t>
      </w:r>
    </w:p>
    <w:p w:rsidR="00A31137" w:rsidRPr="00A31137" w:rsidRDefault="00A31137" w:rsidP="00A31137">
      <w:r w:rsidRPr="00A31137">
        <w:t>Clinton, State of the Union Address, 1996, p.98</w:t>
      </w:r>
    </w:p>
    <w:p w:rsidR="00A31137" w:rsidRPr="00A31137" w:rsidRDefault="00A31137" w:rsidP="00A31137">
      <w:r w:rsidRPr="00A31137">
        <w:t>Lucius Wright and Jennifer Rodgers are special Americans. And I have the honor to announce tonight that they are the very first of several thousand Americans who will be chosen to carry the Olympic torch on its long journey from Los Angeles to the centennial of the modern Olympics in Atlanta this summer, not because they are star athletes but because they are star citizens, community heroes meeting America's challenges. They are our real champions.</w:t>
      </w:r>
    </w:p>
    <w:p w:rsidR="00A31137" w:rsidRPr="00A31137" w:rsidRDefault="00A31137" w:rsidP="00A31137">
      <w:r w:rsidRPr="00A31137">
        <w:t>Clinton, State of the Union Address, 1996, p.98</w:t>
      </w:r>
    </w:p>
    <w:p w:rsidR="00A31137" w:rsidRPr="00A31137" w:rsidRDefault="00A31137" w:rsidP="00A31137">
      <w:r w:rsidRPr="00A31137">
        <w:t>Please stand up. [Applause]</w:t>
      </w:r>
    </w:p>
    <w:p w:rsidR="00A31137" w:rsidRPr="00A31137" w:rsidRDefault="00A31137" w:rsidP="00A31137">
      <w:r w:rsidRPr="00A31137">
        <w:t>Clinton, State of the Union Address, 1996, p.98</w:t>
      </w:r>
    </w:p>
    <w:p w:rsidR="00A31137" w:rsidRPr="00A31137" w:rsidRDefault="00A31137" w:rsidP="00A31137">
      <w:r w:rsidRPr="00A31137">
        <w:t>Now each of us must hold high the torch of citizenship in our own lives. None of us can finish the race alone. We can only achieve our destiny together, one hand, one generation, one American connecting to another.</w:t>
      </w:r>
    </w:p>
    <w:p w:rsidR="00A31137" w:rsidRPr="00A31137" w:rsidRDefault="00A31137" w:rsidP="00A31137">
      <w:r w:rsidRPr="00A31137">
        <w:t>Clinton, State of the Union Address, 1996, p.98</w:t>
      </w:r>
    </w:p>
    <w:p w:rsidR="00A31137" w:rsidRPr="00A31137" w:rsidRDefault="00A31137" w:rsidP="00A31137">
      <w:r w:rsidRPr="00A31137">
        <w:t>There have always been things we could do together, dreams we could make real which we could never have done on our own. We Americans have forged our identity, our very Union, from the very point of view that we can accommodate every point on the planet, every different opinion. But we must be bound together by a faith more powerful than any doctrine that divides us, by our belief in progress, our love of liberty, and our relentless search for common ground.</w:t>
      </w:r>
    </w:p>
    <w:p w:rsidR="00A31137" w:rsidRPr="00A31137" w:rsidRDefault="00A31137" w:rsidP="00A31137">
      <w:r w:rsidRPr="00A31137">
        <w:t>Clinton, State of the Union Address, 1996, p.98</w:t>
      </w:r>
    </w:p>
    <w:p w:rsidR="00A31137" w:rsidRPr="00A31137" w:rsidRDefault="00A31137" w:rsidP="00A31137">
      <w:r w:rsidRPr="00A31137">
        <w:t>America has always sought and always risen to every challenge. Who would say that having come so far together, we will not go forward from here? Who would say that this age of possibility is not for all Americans?</w:t>
      </w:r>
    </w:p>
    <w:p w:rsidR="00A31137" w:rsidRPr="00A31137" w:rsidRDefault="00A31137" w:rsidP="00A31137">
      <w:r w:rsidRPr="00A31137">
        <w:t>Clinton, State of the Union Address, 1996, p.98</w:t>
      </w:r>
    </w:p>
    <w:p w:rsidR="00A31137" w:rsidRPr="00A31137" w:rsidRDefault="00A31137" w:rsidP="00A31137">
      <w:r w:rsidRPr="00A31137">
        <w:t>Our country is and always has been a great and good nation. But the best is yet to come if we all do our parts.</w:t>
      </w:r>
    </w:p>
    <w:p w:rsidR="00A31137" w:rsidRPr="00A31137" w:rsidRDefault="00A31137" w:rsidP="00A31137">
      <w:r w:rsidRPr="00A31137">
        <w:t>Clinton, State of the Union Address, 1996, p.98</w:t>
      </w:r>
    </w:p>
    <w:p w:rsidR="00A31137" w:rsidRPr="00A31137" w:rsidRDefault="00A31137" w:rsidP="00A31137">
      <w:r w:rsidRPr="00A31137">
        <w:t>Thank you. God bless you, and God bless the United States of America. Thank you.</w:t>
      </w:r>
    </w:p>
    <w:p w:rsidR="00A31137" w:rsidRPr="00A31137" w:rsidRDefault="00A31137" w:rsidP="00A31137">
      <w:r w:rsidRPr="00A31137">
        <w:t>Clinton, State of the Union Address, 1996, p.98</w:t>
      </w:r>
    </w:p>
    <w:p w:rsidR="00A31137" w:rsidRPr="00A31137" w:rsidRDefault="00A31137" w:rsidP="00A31137">
      <w:r w:rsidRPr="00A31137">
        <w:t>Note: The President spoke at 9:14 p.m. in the House Chamber of the Capitol.</w:t>
      </w:r>
    </w:p>
    <w:p w:rsidR="00A31137" w:rsidRPr="00A31137" w:rsidRDefault="00A31137" w:rsidP="00A31137">
      <w:r w:rsidRPr="00A31137">
        <w:t>Bennis v. Michigan, 1996</w:t>
      </w:r>
    </w:p>
    <w:p w:rsidR="00A31137" w:rsidRPr="00A31137" w:rsidRDefault="00A31137" w:rsidP="00A31137">
      <w:r w:rsidRPr="00A31137">
        <w:t>Title:</w:t>
      </w:r>
      <w:r w:rsidRPr="00A31137">
        <w:tab/>
        <w:t>Bennis v. Michigan</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March 4, 1996</w:t>
      </w:r>
    </w:p>
    <w:p w:rsidR="00A31137" w:rsidRPr="00A31137" w:rsidRDefault="00A31137" w:rsidP="00A31137">
      <w:r w:rsidRPr="00A31137">
        <w:t>Source:</w:t>
      </w:r>
      <w:r w:rsidRPr="00A31137">
        <w:tab/>
        <w:t>No. 94-8729 [U.S. Reports citation not yet available]</w:t>
      </w:r>
    </w:p>
    <w:p w:rsidR="00A31137" w:rsidRPr="00A31137" w:rsidRDefault="00A31137" w:rsidP="00A31137">
      <w:r w:rsidRPr="00A31137">
        <w:t>This case was argued November 29, 1995, and was decided March 4, 1996.</w:t>
      </w:r>
    </w:p>
    <w:p w:rsidR="00A31137" w:rsidRPr="00A31137" w:rsidRDefault="00A31137" w:rsidP="00A31137">
      <w:r w:rsidRPr="00A31137">
        <w:t>CERTIORARI TO THE SUPREME COURT OF MICHIGAN</w:t>
      </w:r>
    </w:p>
    <w:p w:rsidR="00A31137" w:rsidRPr="00A31137" w:rsidRDefault="00A31137" w:rsidP="00A31137">
      <w:r w:rsidRPr="00A31137">
        <w:t>Syllabus</w:t>
      </w:r>
    </w:p>
    <w:p w:rsidR="00A31137" w:rsidRPr="00A31137" w:rsidRDefault="00A31137" w:rsidP="00A31137">
      <w:r w:rsidRPr="00A31137">
        <w:t>1996, Bennis v. Michigan, No. 94-8729</w:t>
      </w:r>
    </w:p>
    <w:p w:rsidR="00A31137" w:rsidRPr="00A31137" w:rsidRDefault="00A31137" w:rsidP="00A31137">
      <w:r w:rsidRPr="00A31137">
        <w:t>Petitioner was a joint owner, with her husband, of an automobile in which her husband engaged in sexual activity with a prostitute. In declaring the automobile forfeit as a public nuisance under Michigan's statutory abatement scheme, the trial court permitted no offset for petitioner's interest, notwithstanding her lack of knowledge of her husband's activity. The Michigan Court of Appeals reversed, but was, in turn, reversed by the State Supreme Court, which concluded, inter alia, that Michigan's failure to provide an innocent owner defense was without federal constitutional consequence under this Court's decisions.</w:t>
      </w:r>
    </w:p>
    <w:p w:rsidR="00A31137" w:rsidRPr="00A31137" w:rsidRDefault="00A31137" w:rsidP="00A31137">
      <w:r w:rsidRPr="00A31137">
        <w:t>1996, Bennis v. Michigan, No. 94-8729</w:t>
      </w:r>
    </w:p>
    <w:p w:rsidR="00A31137" w:rsidRPr="00A31137" w:rsidRDefault="00A31137" w:rsidP="00A31137">
      <w:r w:rsidRPr="00A31137">
        <w:t>Held: The forfeiture order did not offend the Due Process Clause of the Fourteenth Amendment or the Takings Clause of the Fifth Amendment. Pp. ___.</w:t>
      </w:r>
    </w:p>
    <w:p w:rsidR="00A31137" w:rsidRPr="00A31137" w:rsidRDefault="00A31137" w:rsidP="00A31137">
      <w:r w:rsidRPr="00A31137">
        <w:t>1996, Bennis v. Michigan, No. 94-8729</w:t>
      </w:r>
    </w:p>
    <w:p w:rsidR="00A31137" w:rsidRPr="00A31137" w:rsidRDefault="00A31137" w:rsidP="00A31137">
      <w:r w:rsidRPr="00A31137">
        <w:t>(a) Michigan's abatement scheme has not deprived petitioner of her interest in the forfeited car without due process. Her claim that she was entitled to contest the abatement by showing that she did not know that her husband would use the car to violate state law is defeated by a long and unbroken line of cases in which this Court has held that an owner's interest in property may be forfeited by reason of the use to which the property is put even though the owner did not know that it was to be put to such use. See, e.g., Van Oster v. Kansas, 272 U.S. 465, 467-468, and Calero-Toledo v. Pearson Yacht Leasing Co., 416 U.S. 663, 668, 683; Foucha v. Louisiana, 504 U.S. 71, 80, and Austin v. United States, 509 U.S. ___, ___, distinguished. These cases are too firmly fixed in the country's punitive and remedial jurisprudence to be now displaced. Cf. J. W. Goldsmith, Jr.-Grant Co. v. United States, 254 U.S. 505, 511. Pp. ___.</w:t>
      </w:r>
    </w:p>
    <w:p w:rsidR="00A31137" w:rsidRPr="00A31137" w:rsidRDefault="00A31137" w:rsidP="00A31137">
      <w:r w:rsidRPr="00A31137">
        <w:t>1996, Bennis v. Michigan, No. 94-8729</w:t>
      </w:r>
    </w:p>
    <w:p w:rsidR="00A31137" w:rsidRPr="00A31137" w:rsidRDefault="00A31137" w:rsidP="00A31137">
      <w:r w:rsidRPr="00A31137">
        <w:t>(b) Michigan's abatement scheme has not taken petitioner's property for public use without compensation. Because the forfeiture proceeding did not violate the Fourteenth Amendment, her property in the automobile was transferred by virtue of that proceeding to the State. The government may not be required to compensate an owner for property which it has already lawfully acquired under the exercise of governmental authority other than the power of eminent domain. See, e.g., United States v. Fuller, 409 U.S. 488, 492. P. ___.</w:t>
      </w:r>
    </w:p>
    <w:p w:rsidR="00A31137" w:rsidRPr="00A31137" w:rsidRDefault="00A31137" w:rsidP="00A31137">
      <w:r w:rsidRPr="00A31137">
        <w:t>1996, Bennis v. Michigan, No. 94-8729</w:t>
      </w:r>
    </w:p>
    <w:p w:rsidR="00A31137" w:rsidRPr="00A31137" w:rsidRDefault="00A31137" w:rsidP="00A31137">
      <w:r w:rsidRPr="00A31137">
        <w:t>447 Mich. 719, 527 N.W.2d 483, affirmed.</w:t>
      </w:r>
    </w:p>
    <w:p w:rsidR="00A31137" w:rsidRPr="00A31137" w:rsidRDefault="00A31137" w:rsidP="00A31137">
      <w:r w:rsidRPr="00A31137">
        <w:t>1996, Bennis v. Michigan, No. 94-8729</w:t>
      </w:r>
    </w:p>
    <w:p w:rsidR="00A31137" w:rsidRPr="00A31137" w:rsidRDefault="00A31137" w:rsidP="00A31137">
      <w:r w:rsidRPr="00A31137">
        <w:t>REHNQUIST, C.J., delivered the opinion of the Court, in which O'CONNOR, SCALIA, THOMAS, and GINSBURG, JJ., joined. THOMAS, J., and GINSBURG, J., filed concurring opinions. STEVENS, J., filed a dissenting opinion, in which SOUTER and BREYER, JJ., joined. KENNEDY, J., filed a dissenting opinion.</w:t>
      </w:r>
    </w:p>
    <w:p w:rsidR="00A31137" w:rsidRPr="00A31137" w:rsidRDefault="00A31137" w:rsidP="00A31137">
      <w:r w:rsidRPr="00A31137">
        <w:t>REHNQUIST, J., lead opinion</w:t>
      </w:r>
    </w:p>
    <w:p w:rsidR="00A31137" w:rsidRPr="00A31137" w:rsidRDefault="00A31137" w:rsidP="00A31137">
      <w:r w:rsidRPr="00A31137">
        <w:t>1996, Bennis v. Michigan, No. 94-8729</w:t>
      </w:r>
    </w:p>
    <w:p w:rsidR="00A31137" w:rsidRPr="00A31137" w:rsidRDefault="00A31137" w:rsidP="00A31137">
      <w:r w:rsidRPr="00A31137">
        <w:t>CHIEF JUSTICE REHNQUIST delivered the opinion of the Court.</w:t>
      </w:r>
    </w:p>
    <w:p w:rsidR="00A31137" w:rsidRPr="00A31137" w:rsidRDefault="00A31137" w:rsidP="00A31137">
      <w:r w:rsidRPr="00A31137">
        <w:t>1996, Bennis v. Michigan, No. 94-8729</w:t>
      </w:r>
    </w:p>
    <w:p w:rsidR="00A31137" w:rsidRPr="00A31137" w:rsidRDefault="00A31137" w:rsidP="00A31137">
      <w:r w:rsidRPr="00A31137">
        <w:t>Petitioner was a joint owner, with her husband, of an automobile in which her husband engaged in sexual activity with a prostitute. A Michigan court ordered the automobile forfeited as a public nuisance, with no offset for her interest, notwithstanding her lack of knowledge of her husband's activity. We hold that the Michigan court order did not offend the Due Process Clause of the Fourteenth Amendment or the Takings Clause of the Fifth Amendment.</w:t>
      </w:r>
    </w:p>
    <w:p w:rsidR="00A31137" w:rsidRPr="00A31137" w:rsidRDefault="00A31137" w:rsidP="00A31137">
      <w:r w:rsidRPr="00A31137">
        <w:t>1996, Bennis v. Michigan, No. 94-8729</w:t>
      </w:r>
    </w:p>
    <w:p w:rsidR="00A31137" w:rsidRPr="00A31137" w:rsidRDefault="00A31137" w:rsidP="00A31137">
      <w:r w:rsidRPr="00A31137">
        <w:t>Detroit police arrested John Bennis after observing him engaged in a sexual act with a prostitute in the automobile while it was parked on a Detroit city street. Bennis was convicted of gross indecency. 1 The State then sued both Bennis and his wife, petitioner Tina B. Bennis, to have the car declared a public nuisance and abated as such under §§ 600.3801 2 and 600.3825 3 of Michigan's Compiled Laws.</w:t>
      </w:r>
    </w:p>
    <w:p w:rsidR="00A31137" w:rsidRPr="00A31137" w:rsidRDefault="00A31137" w:rsidP="00A31137">
      <w:r w:rsidRPr="00A31137">
        <w:t>1996, Bennis v. Michigan, No. 94-8729</w:t>
      </w:r>
    </w:p>
    <w:p w:rsidR="00A31137" w:rsidRPr="00A31137" w:rsidRDefault="00A31137" w:rsidP="00A31137">
      <w:r w:rsidRPr="00A31137">
        <w:t>Petitioner defended against the abatement of her interest in the car on the ground that, when she entrusted her husband to use the car, she did not know that he would use it to violate Michigan's indecency law. The Wayne County Circuit Court rejected this argument, declared the car a public nuisance, and ordered the car's abatement. In reaching this disposition, the trial court judge recognized the remedial discretion he had under Michigan's case law. App. 21. He took into account the couple's ownership of "another automobile," so they would not be left "without transportation." Id. at 25. He also mentioned his authority to order the payment of one-half of the sale proceeds, after the deduction of costs, to "the innocent co-title holder." Id. at 21. He declined to order such a division of sale proceeds in this case because of the age and value of the car (an 11-year-old Pontiac sedan recently purchased by John and Tina Bennis for $600); he commented in this regard: "[T]here's practically nothing left minus costs in a situation such as this." Id. at 25.</w:t>
      </w:r>
    </w:p>
    <w:p w:rsidR="00A31137" w:rsidRPr="00A31137" w:rsidRDefault="00A31137" w:rsidP="00A31137">
      <w:r w:rsidRPr="00A31137">
        <w:t>1996, Bennis v. Michigan, No. 94-8729</w:t>
      </w:r>
    </w:p>
    <w:p w:rsidR="00A31137" w:rsidRPr="00A31137" w:rsidRDefault="00A31137" w:rsidP="00A31137">
      <w:r w:rsidRPr="00A31137">
        <w:t>The Michigan Court of Appeals reversed, holding that regardless of the language of Michigan Compiled Law § 600.3815(2), 4 Michigan Supreme Court precedent interpreting this section prevented the State from abating petitioner's interest absent proof that she knew to what end the car would be used. Alternatively, the intermediate appellate court ruled that the conduct in question did not qualify as a public nuisance because only one occurrence was shown and there was no evidence of payment for the sexual act. 200 Mich. App. 670, 504 N.W.2d 731 (1993).</w:t>
      </w:r>
    </w:p>
    <w:p w:rsidR="00A31137" w:rsidRPr="00A31137" w:rsidRDefault="00A31137" w:rsidP="00A31137">
      <w:r w:rsidRPr="00A31137">
        <w:t>1996, Bennis v. Michigan, No. 94-8729</w:t>
      </w:r>
    </w:p>
    <w:p w:rsidR="00A31137" w:rsidRPr="00A31137" w:rsidRDefault="00A31137" w:rsidP="00A31137">
      <w:r w:rsidRPr="00A31137">
        <w:t>The Michigan Supreme Court reversed the Court of Appeals and reinstated the abatement in its entirety. 447 Mich. 719, 527 N.W.2d 483 (1994). It concluded as a matter of state law that the episode in the Bennis vehicle was an abatable nuisance. Rejecting the Court of Appeals' interpretation of § 600.3815(2), the court then announced that, in order to abate an owner's interest in a vehicle, Michigan does not need to prove that the owner knew or agreed that her vehicle would be used in a manner proscribed by § 600.3801 when she entrusted it to another user. Id. at 737, 527 N.W.2d at 492. The court next addressed petitioner's federal constitutional challenges to the State's abatement scheme: the court assumed that petitioner did not know of or consent to the misuse of the Bennis car, and concluded, in light of our decisions in Van Oster v. Kansas, 272 U.S. 465 (1926), and Calero-Toledo v. Pearson Yacht Leasing Co., 416 U.S. 663 (1974), that Michigan's failure to provide an innocent owner defense was "without constitutional consequence." 447 Mich. at 740-741, 527 N.W.2d at 493-494. The Michigan Supreme Court specifically noted that, in its view, an owner's interest may not be abated when "a vehicle is used without the owner's consent." Id. at 742, n. 36, 527 N.W.2d at 495, n. 36. Furthermore, the court confirmed the trial court's description of the nuisance abatement proceeding as an "equitable action," and considered it "critical" that the trial judge so comprehended the statute. Id. at 742, 527 N.W.2d at 495.</w:t>
      </w:r>
    </w:p>
    <w:p w:rsidR="00A31137" w:rsidRPr="00A31137" w:rsidRDefault="00A31137" w:rsidP="00A31137">
      <w:r w:rsidRPr="00A31137">
        <w:t>1996, Bennis v. Michigan, No. 94-8729</w:t>
      </w:r>
    </w:p>
    <w:p w:rsidR="00A31137" w:rsidRPr="00A31137" w:rsidRDefault="00A31137" w:rsidP="00A31137">
      <w:r w:rsidRPr="00A31137">
        <w:t>We granted certiorari in order to determine whether Michigan's abatement scheme has deprived petitioner of her interest in the forfeited car without due process, in violation of the Fourteenth Amendment, or has taken her interest for public use without compensation, in violation of the Fifth Amendment as incorporated by the Fourteenth Amendment. 515 U.S. ___ (1995). We affirm.</w:t>
      </w:r>
    </w:p>
    <w:p w:rsidR="00A31137" w:rsidRPr="00A31137" w:rsidRDefault="00A31137" w:rsidP="00A31137">
      <w:r w:rsidRPr="00A31137">
        <w:t>1996, Bennis v. Michigan, No. 94-8729</w:t>
      </w:r>
    </w:p>
    <w:p w:rsidR="00A31137" w:rsidRPr="00A31137" w:rsidRDefault="00A31137" w:rsidP="00A31137">
      <w:r w:rsidRPr="00A31137">
        <w:t>The gravamen of petitioner's due process claim is not that she was denied notice or an opportunity to contest the abatement of her car; she was accorded both. Compare United States v. James Daniel Good Real Property, 510 U.S. ___ (1993). Rather, she claims she was entitled to contest the abatement by showing she did not know her husband would use it to violate Michigan's indecency law. But a long and unbroken line of cases holds that an owner's interest in property may be forfeited by reason of the use to which the property is put even though the owner did not know that it was to be put to such use.</w:t>
      </w:r>
    </w:p>
    <w:p w:rsidR="00A31137" w:rsidRPr="00A31137" w:rsidRDefault="00A31137" w:rsidP="00A31137">
      <w:r w:rsidRPr="00A31137">
        <w:t>1996, Bennis v. Michigan, No. 94-8729</w:t>
      </w:r>
    </w:p>
    <w:p w:rsidR="00A31137" w:rsidRPr="00A31137" w:rsidRDefault="00A31137" w:rsidP="00A31137">
      <w:r w:rsidRPr="00A31137">
        <w:t>Our earliest opinion to this effect is Justice Story's opinion for the Court in The Palmyra, 12 Wheat. 1 (1827). The Palmyra, which had been commissioned as a privateer by the King of Spain and had attacked a United States vessel, was captured by a United States war ship and brought into Charleston, South Carolina, for adjudication. Id. at 8. On the Government's appeal from the Circuit Court's acquittal of the vessel, it was contended by the owner that the vessel could not be forfeited until he was convicted for the privateering. The Court rejected this contention, explaining: "The thing is here primarily considered as the offender, or rather the offence is attached primarily to the thing." Id. at 14. In another admiralty forfeiture decision 17 years later, Justice Story wrote for the Court that, in in rem admiralty proceedings,</w:t>
      </w:r>
    </w:p>
    <w:p w:rsidR="00A31137" w:rsidRPr="00A31137" w:rsidRDefault="00A31137" w:rsidP="00A31137">
      <w:r w:rsidRPr="00A31137">
        <w:t>1996, Bennis v. Michigan, No. 94-8729</w:t>
      </w:r>
    </w:p>
    <w:p w:rsidR="00A31137" w:rsidRPr="00A31137" w:rsidRDefault="00A31137" w:rsidP="00A31137">
      <w:r w:rsidRPr="00A31137">
        <w:t>the acts of the master and crew…bind the interest of the owner of the ship, whether he be innocent or guilty; and he impliedly submits to whatever the law denounces as a forfeiture attached to the ship by reason of their unlawful or wanton wrongs.</w:t>
      </w:r>
    </w:p>
    <w:p w:rsidR="00A31137" w:rsidRPr="00A31137" w:rsidRDefault="00A31137" w:rsidP="00A31137">
      <w:r w:rsidRPr="00A31137">
        <w:t>1996, Bennis v. Michigan, No. 94-8729</w:t>
      </w:r>
    </w:p>
    <w:p w:rsidR="00A31137" w:rsidRPr="00A31137" w:rsidRDefault="00A31137" w:rsidP="00A31137">
      <w:r w:rsidRPr="00A31137">
        <w:t>Harmony v. United States, 2 How. 210, 234 (1844) (emphasis added).</w:t>
      </w:r>
    </w:p>
    <w:p w:rsidR="00A31137" w:rsidRPr="00A31137" w:rsidRDefault="00A31137" w:rsidP="00A31137">
      <w:r w:rsidRPr="00A31137">
        <w:t>1996, Bennis v. Michigan, No. 94-8729</w:t>
      </w:r>
    </w:p>
    <w:p w:rsidR="00A31137" w:rsidRPr="00A31137" w:rsidRDefault="00A31137" w:rsidP="00A31137">
      <w:r w:rsidRPr="00A31137">
        <w:t>In Dobbins's Distillery v. United States, 96 U.S. 395, 401 (1878), this Court upheld the forfeiture of property used by a lessee in fraudulently avoiding federal alcohol taxes, observing:</w:t>
      </w:r>
    </w:p>
    <w:p w:rsidR="00A31137" w:rsidRPr="00A31137" w:rsidRDefault="00A31137" w:rsidP="00A31137">
      <w:r w:rsidRPr="00A31137">
        <w:t>1996, Bennis v. Michigan, No. 94-8729</w:t>
      </w:r>
    </w:p>
    <w:p w:rsidR="00A31137" w:rsidRPr="00A31137" w:rsidRDefault="00A31137" w:rsidP="00A31137">
      <w:r w:rsidRPr="00A31137">
        <w:t>Cases often arise where the property of the owner is forfeited on account of the fraud, neglect, or misconduct of those intrusted with its possession, care, and custody, even when the owner is otherwise without fault…, and it has always been held…that the acts of [the possessors] bind the interest of the owner…whether he be innocent or guilty.</w:t>
      </w:r>
    </w:p>
    <w:p w:rsidR="00A31137" w:rsidRPr="00A31137" w:rsidRDefault="00A31137" w:rsidP="00A31137">
      <w:r w:rsidRPr="00A31137">
        <w:t>1996, Bennis v. Michigan, No. 94-8729</w:t>
      </w:r>
    </w:p>
    <w:p w:rsidR="00A31137" w:rsidRPr="00A31137" w:rsidRDefault="00A31137" w:rsidP="00A31137">
      <w:r w:rsidRPr="00A31137">
        <w:t>In Van Oster v. Kansas, 272 U.S. 465 (1926), this Court upheld the forfeiture of a purchaser's interest in a car misused by the seller. Van Oster purchased an automobile from a dealer, but agreed that the dealer might retain possession for use in its business. The dealer allowed an associate to use the automobile, and the associate used it for the illegal transportation of intoxicating liquor. Id. at 465-466. The State brought a forfeiture action pursuant to a Kansas statute, and Van Oster defended on the ground that the transportation of the liquor in the car was without her knowledge or authority. This Court rejected Van Oster's claim:</w:t>
      </w:r>
    </w:p>
    <w:p w:rsidR="00A31137" w:rsidRPr="00A31137" w:rsidRDefault="00A31137" w:rsidP="00A31137">
      <w:r w:rsidRPr="00A31137">
        <w:t>1996, Bennis v. Michigan, No. 94-8729</w:t>
      </w:r>
    </w:p>
    <w:p w:rsidR="00A31137" w:rsidRPr="00A31137" w:rsidRDefault="00A31137" w:rsidP="00A31137">
      <w:r w:rsidRPr="00A31137">
        <w:t>It is not unknown or indeed uncommon for the law to visit upon the owner of property the unpleasant consequences of the unauthorized action of one to whom he has entrusted it. Much of the jurisdiction in admiralty, so much of the statute and common law of liens as enables a mere bailee to subject the bailed property to a lien, the power of a vendor of chattels in possession to sell and convey good title to a stranger, are familiar examples…. They suggest that certain uses of property may be regarded as so undesirable that the owner surrenders his control at his peril….</w:t>
      </w:r>
    </w:p>
    <w:p w:rsidR="00A31137" w:rsidRPr="00A31137" w:rsidRDefault="00A31137" w:rsidP="00A31137">
      <w:r w:rsidRPr="00A31137">
        <w:t>1996, Bennis v. Michigan, No. 94-8729</w:t>
      </w:r>
    </w:p>
    <w:p w:rsidR="00A31137" w:rsidRPr="00A31137" w:rsidRDefault="00A31137" w:rsidP="00A31137">
      <w:r w:rsidRPr="00A31137">
        <w:t>It has long been settled that statutory forfeitures of property entrusted by the innocent owner or lienor to another who uses it in violation of the revenue laws of the United States is not a violation of the due process clause of the Fifth Amendment.</w:t>
      </w:r>
    </w:p>
    <w:p w:rsidR="00A31137" w:rsidRPr="00A31137" w:rsidRDefault="00A31137" w:rsidP="00A31137">
      <w:r w:rsidRPr="00A31137">
        <w:t>1996, Bennis v. Michigan, No. 94-8729</w:t>
      </w:r>
    </w:p>
    <w:p w:rsidR="00A31137" w:rsidRPr="00A31137" w:rsidRDefault="00A31137" w:rsidP="00A31137">
      <w:r w:rsidRPr="00A31137">
        <w:t>Id. at 467-468.</w:t>
      </w:r>
    </w:p>
    <w:p w:rsidR="00A31137" w:rsidRPr="00A31137" w:rsidRDefault="00A31137" w:rsidP="00A31137">
      <w:r w:rsidRPr="00A31137">
        <w:t>1996, Bennis v. Michigan, No. 94-8729</w:t>
      </w:r>
    </w:p>
    <w:p w:rsidR="00A31137" w:rsidRPr="00A31137" w:rsidRDefault="00A31137" w:rsidP="00A31137">
      <w:r w:rsidRPr="00A31137">
        <w:t>The Van Oster Court relied on J. W. Goldsmith, Jr.-Grant Co. v. United States, 254 U.S. 505 (1921), in which the Court upheld the forfeiture of a seller's interest in a car misused by the purchaser. The automobile was forfeited after the purchaser transported bootleg distilled spirits in it, and the selling dealership lost the title retained as security for unpaid purchase money. Id. at 508-509. The Court discussed the arguments for and against allowing the forfeiture of the interest of an owner who was "without guilt," id. at 510, and concluded that</w:t>
      </w:r>
    </w:p>
    <w:p w:rsidR="00A31137" w:rsidRPr="00A31137" w:rsidRDefault="00A31137" w:rsidP="00A31137">
      <w:r w:rsidRPr="00A31137">
        <w:t>1996, Bennis v. Michigan, No. 94-8729</w:t>
      </w:r>
    </w:p>
    <w:p w:rsidR="00A31137" w:rsidRPr="00A31137" w:rsidRDefault="00A31137" w:rsidP="00A31137">
      <w:r w:rsidRPr="00A31137">
        <w:t>whether the reason for [the challenged forfeiture scheme] be artificial or real, it is too firmly fixed in the punitive and remedial jurisprudence of the country to be now displaced,</w:t>
      </w:r>
    </w:p>
    <w:p w:rsidR="00A31137" w:rsidRPr="00A31137" w:rsidRDefault="00A31137" w:rsidP="00A31137">
      <w:r w:rsidRPr="00A31137">
        <w:t>1996, Bennis v. Michigan, No. 94-8729</w:t>
      </w:r>
    </w:p>
    <w:p w:rsidR="00A31137" w:rsidRPr="00A31137" w:rsidRDefault="00A31137" w:rsidP="00A31137">
      <w:r w:rsidRPr="00A31137">
        <w:t>id. at 511. 5</w:t>
      </w:r>
    </w:p>
    <w:p w:rsidR="00A31137" w:rsidRPr="00A31137" w:rsidRDefault="00A31137" w:rsidP="00A31137">
      <w:r w:rsidRPr="00A31137">
        <w:t>1996, Bennis v. Michigan, No. 94-8729</w:t>
      </w:r>
    </w:p>
    <w:p w:rsidR="00A31137" w:rsidRPr="00A31137" w:rsidRDefault="00A31137" w:rsidP="00A31137">
      <w:r w:rsidRPr="00A31137">
        <w:t>In Calero-Toledo v. Pearson Yacht Leasing Co., 416 U.S. 663 (1974), the most recent decision on point, the Court reviewed the same cases discussed above, and concluded that "the innocence of the owner of property subject to forfeiture has almost uniformly been rejected as a defense." Id. at 683. Petitioner is in the same position as the various owners involved in the forfeiture cases beginning with The Palmyra in 1827. She did not know that her car would be used in an illegal activity that would subject it to forfeiture. But, under these cases, the Due Process Clause of the Fourteenth Amendment does not protect her interest against forfeiture by the government.</w:t>
      </w:r>
    </w:p>
    <w:p w:rsidR="00A31137" w:rsidRPr="00A31137" w:rsidRDefault="00A31137" w:rsidP="00A31137">
      <w:r w:rsidRPr="00A31137">
        <w:t>1996, Bennis v. Michigan, No. 94-8729</w:t>
      </w:r>
    </w:p>
    <w:p w:rsidR="00A31137" w:rsidRPr="00A31137" w:rsidRDefault="00A31137" w:rsidP="00A31137">
      <w:r w:rsidRPr="00A31137">
        <w:t>Petitioner relies on a passage from Calero-Toledo, that</w:t>
      </w:r>
    </w:p>
    <w:p w:rsidR="00A31137" w:rsidRPr="00A31137" w:rsidRDefault="00A31137" w:rsidP="00A31137">
      <w:r w:rsidRPr="00A31137">
        <w:t>1996, Bennis v. Michigan, No. 94-8729</w:t>
      </w:r>
    </w:p>
    <w:p w:rsidR="00A31137" w:rsidRPr="00A31137" w:rsidRDefault="00A31137" w:rsidP="00A31137">
      <w:r w:rsidRPr="00A31137">
        <w:t>it would be difficult to reject the constitutional claim of…an owner who proved not only that he was uninvolved in and unaware of the wrongful activity, but also that he had done all that reasonably could be expected to prevent the proscribed use of his property.</w:t>
      </w:r>
    </w:p>
    <w:p w:rsidR="00A31137" w:rsidRPr="00A31137" w:rsidRDefault="00A31137" w:rsidP="00A31137">
      <w:r w:rsidRPr="00A31137">
        <w:t>1996, Bennis v. Michigan, No. 94-8729</w:t>
      </w:r>
    </w:p>
    <w:p w:rsidR="00A31137" w:rsidRPr="00A31137" w:rsidRDefault="00A31137" w:rsidP="00A31137">
      <w:r w:rsidRPr="00A31137">
        <w:t>416 U.S. at 689. But she concedes that this comment was obiter dictum, and "[i]t is to the holdings of our cases, rather than their dicta, that we must attend." Kokkonen v. Guardian Life Ins. Co. of America, 511 U.S. ___, ___ (1994). And the holding of Calero-Toledo on this point was that the interest of a yacht rental company in one of its leased yachts could be forfeited because of its use for transportation of controlled substances, even though the company was</w:t>
      </w:r>
    </w:p>
    <w:p w:rsidR="00A31137" w:rsidRPr="00A31137" w:rsidRDefault="00A31137" w:rsidP="00A31137">
      <w:r w:rsidRPr="00A31137">
        <w:t>1996, Bennis v. Michigan, No. 94-8729</w:t>
      </w:r>
    </w:p>
    <w:p w:rsidR="00A31137" w:rsidRPr="00A31137" w:rsidRDefault="00A31137" w:rsidP="00A31137">
      <w:r w:rsidRPr="00A31137">
        <w:t>"in no way…involved in the criminal enterprise carried on by [the] lessee," and "had no knowledge that its property was being used in connection with or in violation of [Puerto Rican Law]."</w:t>
      </w:r>
    </w:p>
    <w:p w:rsidR="00A31137" w:rsidRPr="00A31137" w:rsidRDefault="00A31137" w:rsidP="00A31137">
      <w:r w:rsidRPr="00A31137">
        <w:t>1996, Bennis v. Michigan, No. 94-8729</w:t>
      </w:r>
    </w:p>
    <w:p w:rsidR="00A31137" w:rsidRPr="00A31137" w:rsidRDefault="00A31137" w:rsidP="00A31137">
      <w:r w:rsidRPr="00A31137">
        <w:t>416 U.S. at 668. Petitioner has made no showing beyond that here.</w:t>
      </w:r>
    </w:p>
    <w:p w:rsidR="00A31137" w:rsidRPr="00A31137" w:rsidRDefault="00A31137" w:rsidP="00A31137">
      <w:r w:rsidRPr="00A31137">
        <w:t>1996, Bennis v. Michigan, No. 94-8729</w:t>
      </w:r>
    </w:p>
    <w:p w:rsidR="00A31137" w:rsidRPr="00A31137" w:rsidRDefault="00A31137" w:rsidP="00A31137">
      <w:r w:rsidRPr="00A31137">
        <w:t>The dissent argues that our cases treat contraband differently from instrumentalities used to convey contraband, like cars: objects in the former class are forfeitable "however blameless or unknowing their owners may be," post at ___, but, with respect to an instrumentality in the latter class, an owner's innocence is no defense only to the "principal use being made of that property," id. at ___. However, this Court's precedent has never made the due process inquiry depend on whether the use for which the instrumentality was forfeited was the principal use. If it had, perhaps cases like Calero-Toledo, in which Justice Douglas noted in dissent that there was no showing that the "yacht had been notoriously used in smuggling drugs…and so far as we know only one marihuana cigarette was found on the yacht," 416 U.S. at 693 (opinion dissenting in part), might have been decided differently.</w:t>
      </w:r>
    </w:p>
    <w:p w:rsidR="00A31137" w:rsidRPr="00A31137" w:rsidRDefault="00A31137" w:rsidP="00A31137">
      <w:r w:rsidRPr="00A31137">
        <w:t>1996, Bennis v. Michigan, No. 94-8729</w:t>
      </w:r>
    </w:p>
    <w:p w:rsidR="00A31137" w:rsidRPr="00A31137" w:rsidRDefault="00A31137" w:rsidP="00A31137">
      <w:r w:rsidRPr="00A31137">
        <w:t>The dissent also suggests that The Palmyra line of cases "would justify the confiscation of an ocean liner just because one of its passengers sinned while on board." Post at ___. None of our cases have held that an ocean liner may be confiscated because of the activities of one passenger. We said in Goldsmith-Grant, and we repeat here, that "[w]hen such application shall be made, it will be time enough to pronounce upon it." 254 U.S. at 512.</w:t>
      </w:r>
    </w:p>
    <w:p w:rsidR="00A31137" w:rsidRPr="00A31137" w:rsidRDefault="00A31137" w:rsidP="00A31137">
      <w:r w:rsidRPr="00A31137">
        <w:t>1996, Bennis v. Michigan, No. 94-8729</w:t>
      </w:r>
    </w:p>
    <w:p w:rsidR="00A31137" w:rsidRPr="00A31137" w:rsidRDefault="00A31137" w:rsidP="00A31137">
      <w:r w:rsidRPr="00A31137">
        <w:t>Notwithstanding this well established authority rejecting the innocent owner defense, petitioner argues that we should, in effect, overrule it by importing a culpability requirement from cases having at best a tangential relation to the "innocent owner" doctrine in forfeiture cases. She cites Foucha v. Louisiana, 504 U.S. 71 (1992), for the proposition that a criminal defendant may not be punished for a crime if he is found to be not guilty. She also argues that our holding in Austin v. United States, 509 U.S. ___ (1993), that the Excessive Fines Clause 6 limits the scope of civil forfeiture judgments, "would be difficult to reconcile with any rule allowing truly innocent persons to be punished by civil forfeiture." Brief for Petitioner 18-19, n. 12.</w:t>
      </w:r>
    </w:p>
    <w:p w:rsidR="00A31137" w:rsidRPr="00A31137" w:rsidRDefault="00A31137" w:rsidP="00A31137">
      <w:r w:rsidRPr="00A31137">
        <w:t>1996, Bennis v. Michigan, No. 94-8729</w:t>
      </w:r>
    </w:p>
    <w:p w:rsidR="00A31137" w:rsidRPr="00A31137" w:rsidRDefault="00A31137" w:rsidP="00A31137">
      <w:r w:rsidRPr="00A31137">
        <w:t>In Foucha, the Court held that a defendant found not guilty by reason of insanity in a criminal trial could not be thereafter confined indefinitely by the State without a showing that he was either dangerous or mentally ill. Petitioner argues that our statement that, in those circumstances, a State has no "punitive interest" which would justify continued detention, 504 U.S. at 80, requires that Michigan demonstrate a punitive interest in depriving her of her interest in the forfeited car. But, putting aside the extent to which a forfeiture proceeding is "punishment" in the first place, Foucha did not purport to discuss, let alone overrule, The Palmyra line of cases.</w:t>
      </w:r>
    </w:p>
    <w:p w:rsidR="00A31137" w:rsidRPr="00A31137" w:rsidRDefault="00A31137" w:rsidP="00A31137">
      <w:r w:rsidRPr="00A31137">
        <w:t>1996, Bennis v. Michigan, No. 94-8729</w:t>
      </w:r>
    </w:p>
    <w:p w:rsidR="00A31137" w:rsidRPr="00A31137" w:rsidRDefault="00A31137" w:rsidP="00A31137">
      <w:r w:rsidRPr="00A31137">
        <w:t>In Austin, the Court held that because "forfeiture serves at least in part, to punish the owner," forfeiture proceedings are subject to the limitations of the Eighth Amendment's prohibition against excessive fines. 509 U.S. at ___. There was no occasion in that case to deal with the validity of the "innocent owner defense," other than to point out that if a forfeiture statute allows such a defense, the defense is additional evidence that the statute itself is "punitive" in motive. Id. at ___. In this case, however, Michigan's Supreme Court emphasized with respect to the forfeiture proceeding at issue: "It is not contested that this is an equitable action," in which the trial judge has discretion to consider "alternatives [to] abating the entire interest in the vehicle." 447 Mich. at 742, 527 N.W.2d at 495.</w:t>
      </w:r>
    </w:p>
    <w:p w:rsidR="00A31137" w:rsidRPr="00A31137" w:rsidRDefault="00A31137" w:rsidP="00A31137">
      <w:r w:rsidRPr="00A31137">
        <w:t>1996, Bennis v. Michigan, No. 94-8729</w:t>
      </w:r>
    </w:p>
    <w:p w:rsidR="00A31137" w:rsidRPr="00A31137" w:rsidRDefault="00A31137" w:rsidP="00A31137">
      <w:r w:rsidRPr="00A31137">
        <w:t>In any event, for the reasons pointed out in Calero-Toledo and Van Oster, forfeiture also serves a deterrent purpose distinct from any punitive purpose. Forfeiture of property prevents illegal uses "both by preventing further illicit use of the [property] and by imposing an economic penalty, thereby rendering illegal behavior unprofitable." Calero-Toledo, supra at 687. This deterrent mechanism is hardly unique to forfeiture. For instance, because Michigan also deters dangerous driving by making a motor vehicle owner liable for the negligent operation of the vehicle by a driver who had the owner's consent to use it, petitioner was also potentially liable for her husband's use of the car in violation of Michigan negligence law. Mich.Comp.Laws.Ann. § 257.401 (1990).</w:t>
      </w:r>
    </w:p>
    <w:p w:rsidR="00A31137" w:rsidRPr="00A31137" w:rsidRDefault="00A31137" w:rsidP="00A31137">
      <w:r w:rsidRPr="00A31137">
        <w:t>1996, Bennis v. Michigan, No. 94-8729</w:t>
      </w:r>
    </w:p>
    <w:p w:rsidR="00A31137" w:rsidRPr="00A31137" w:rsidRDefault="00A31137" w:rsidP="00A31137">
      <w:r w:rsidRPr="00A31137">
        <w:t>The law thus builds a secondary defense against a forbidden use and precludes evasions by dispensing with the necessity of judicial inquiry as to collusion between the wrongdoer and the alleged innocent owner.</w:t>
      </w:r>
    </w:p>
    <w:p w:rsidR="00A31137" w:rsidRPr="00A31137" w:rsidRDefault="00A31137" w:rsidP="00A31137">
      <w:r w:rsidRPr="00A31137">
        <w:t>1996, Bennis v. Michigan, No. 94-8729</w:t>
      </w:r>
    </w:p>
    <w:p w:rsidR="00A31137" w:rsidRPr="00A31137" w:rsidRDefault="00A31137" w:rsidP="00A31137">
      <w:r w:rsidRPr="00A31137">
        <w:t>Van Oster, 272 U.S. at 467-468.</w:t>
      </w:r>
    </w:p>
    <w:p w:rsidR="00A31137" w:rsidRPr="00A31137" w:rsidRDefault="00A31137" w:rsidP="00A31137">
      <w:r w:rsidRPr="00A31137">
        <w:t>1996, Bennis v. Michigan, No. 94-8729</w:t>
      </w:r>
    </w:p>
    <w:p w:rsidR="00A31137" w:rsidRPr="00A31137" w:rsidRDefault="00A31137" w:rsidP="00A31137">
      <w:r w:rsidRPr="00A31137">
        <w:t>Petitioner also claims that the forfeiture in this case was a taking of private property for public use in violation of the Takings Clause of the Fifth Amendment, made applicable to the States by the Fourteenth Amendment. But if the forfeiture proceeding here in question did not violate the Fourteenth Amendment, the property in the automobile was transferred by virtue of that proceeding from petitioner to the State. The government may not be required to compensate an owner for property which it has already lawfully acquired under the exercise of governmental authority other than the power of eminent domain. United States v. Fuller, 409 U.S. 488, 492 (1973); see United States v. Rands, 389 U.S. 121, 125 (1967).</w:t>
      </w:r>
    </w:p>
    <w:p w:rsidR="00A31137" w:rsidRPr="00A31137" w:rsidRDefault="00A31137" w:rsidP="00A31137">
      <w:r w:rsidRPr="00A31137">
        <w:t>1996, Bennis v. Michigan, No. 94-8729</w:t>
      </w:r>
    </w:p>
    <w:p w:rsidR="00A31137" w:rsidRPr="00A31137" w:rsidRDefault="00A31137" w:rsidP="00A31137">
      <w:r w:rsidRPr="00A31137">
        <w:t>At bottom, petitioner's claims depend on an argument that the Michigan forfeiture statute is unfair because it relieves prosecutors from the burden of separating co-owners who are complicit in the wrongful use of property from innocent co-owners. This argument, in the abstract, has considerable appeal, as we acknowledged in Goldsmith-Grant, 254 U.S. at 510. Its force is reduced in the instant case, however, by the Michigan Supreme Court's confirmation of the trial court's remedial discretion, see supra at ___, and petitioner's recognition that Michigan may forfeit her and her husband's car whether or not she is entitled to an offset for her interest in it, Tr. of Oral Arg. 7, 9.</w:t>
      </w:r>
    </w:p>
    <w:p w:rsidR="00A31137" w:rsidRPr="00A31137" w:rsidRDefault="00A31137" w:rsidP="00A31137">
      <w:r w:rsidRPr="00A31137">
        <w:t>1996, Bennis v. Michigan, No. 94-8729</w:t>
      </w:r>
    </w:p>
    <w:p w:rsidR="00A31137" w:rsidRPr="00A31137" w:rsidRDefault="00A31137" w:rsidP="00A31137">
      <w:r w:rsidRPr="00A31137">
        <w:t>We conclude today, as we concluded 75 years ago, that the cases authorizing actions of the kind at issue are "too firmly fixed in the punitive and remedial jurisprudence of the country to be now displaced." Goldsmith-Grant, supra, at 511. The State here sought to deter illegal activity that contributes to neighborhood deterioration and unsafe streets. The Bennis automobile, it is conceded, facilitated and was used in criminal activity. Both the trial court and the Michigan Supreme Court followed our longstanding practice, and the judgment of the Supreme Court of Michigan is therefore</w:t>
      </w:r>
    </w:p>
    <w:p w:rsidR="00A31137" w:rsidRPr="00A31137" w:rsidRDefault="00A31137" w:rsidP="00A31137">
      <w:r w:rsidRPr="00A31137">
        <w:t>1996, Bennis v. Michigan, No. 94-8729</w:t>
      </w:r>
    </w:p>
    <w:p w:rsidR="00A31137" w:rsidRPr="00A31137" w:rsidRDefault="00A31137" w:rsidP="00A31137">
      <w:r w:rsidRPr="00A31137">
        <w:t>Affirmed.</w:t>
      </w:r>
    </w:p>
    <w:p w:rsidR="00A31137" w:rsidRPr="00A31137" w:rsidRDefault="00A31137" w:rsidP="00A31137">
      <w:r w:rsidRPr="00A31137">
        <w:t>THOMAS, J., concurring</w:t>
      </w:r>
    </w:p>
    <w:p w:rsidR="00A31137" w:rsidRPr="00A31137" w:rsidRDefault="00A31137" w:rsidP="00A31137">
      <w:r w:rsidRPr="00A31137">
        <w:t>1996, Bennis v. Michigan, No. 94-8729</w:t>
      </w:r>
    </w:p>
    <w:p w:rsidR="00A31137" w:rsidRPr="00A31137" w:rsidRDefault="00A31137" w:rsidP="00A31137">
      <w:r w:rsidRPr="00A31137">
        <w:t>JUSTICE THOMAS, concurring.</w:t>
      </w:r>
    </w:p>
    <w:p w:rsidR="00A31137" w:rsidRPr="00A31137" w:rsidRDefault="00A31137" w:rsidP="00A31137">
      <w:r w:rsidRPr="00A31137">
        <w:t>1996, Bennis v. Michigan, No. 94-8729</w:t>
      </w:r>
    </w:p>
    <w:p w:rsidR="00A31137" w:rsidRPr="00A31137" w:rsidRDefault="00A31137" w:rsidP="00A31137">
      <w:r w:rsidRPr="00A31137">
        <w:t>I join the opinion of the Court.</w:t>
      </w:r>
    </w:p>
    <w:p w:rsidR="00A31137" w:rsidRPr="00A31137" w:rsidRDefault="00A31137" w:rsidP="00A31137">
      <w:r w:rsidRPr="00A31137">
        <w:t>1996, Bennis v. Michigan, No. 94-8729</w:t>
      </w:r>
    </w:p>
    <w:p w:rsidR="00A31137" w:rsidRPr="00A31137" w:rsidRDefault="00A31137" w:rsidP="00A31137">
      <w:r w:rsidRPr="00A31137">
        <w:t>Mrs. Bennis points out that her property was forfeited even though the State did not prove her guilty of any wrongdoing. The State responds that forfeiture of property simply because it was used in crime has been permitted time out of mind. It also says that it wants to punish, for deterrence and perhaps also for retributive purposes, persons who may have colluded or acquiesced in criminal use of their property, or who may at least have negligently entrusted their property to someone likely to use it for misfeasance. But, the State continues, it does not want to have to prove (or to refute proof regarding) collusion, acquiescence, or negligence.</w:t>
      </w:r>
    </w:p>
    <w:p w:rsidR="00A31137" w:rsidRPr="00A31137" w:rsidRDefault="00A31137" w:rsidP="00A31137">
      <w:r w:rsidRPr="00A31137">
        <w:t>1996, Bennis v. Michigan, No. 94-8729</w:t>
      </w:r>
    </w:p>
    <w:p w:rsidR="00A31137" w:rsidRPr="00A31137" w:rsidRDefault="00A31137" w:rsidP="00A31137">
      <w:r w:rsidRPr="00A31137">
        <w:t>As the Court notes, evasion of the normal requirement of proof before punishment might well seem "unfair." Ante at ___. One unaware of the history of forfeiture laws and 200 years of this Court's precedent regarding such laws might well assume that such a scheme is lawless—a violation of due process. As the Court remarked 75 years ago in ruling upon a constitutional challenge to forfeiture of the property of an innocent owner:</w:t>
      </w:r>
    </w:p>
    <w:p w:rsidR="00A31137" w:rsidRPr="00A31137" w:rsidRDefault="00A31137" w:rsidP="00A31137">
      <w:r w:rsidRPr="00A31137">
        <w:t>1996, Bennis v. Michigan, No. 94-8729</w:t>
      </w:r>
    </w:p>
    <w:p w:rsidR="00A31137" w:rsidRPr="00A31137" w:rsidRDefault="00A31137" w:rsidP="00A31137">
      <w:r w:rsidRPr="00A31137">
        <w:t>If the case were the first of its kind, it and its apparent paradoxes might compel a lengthy discussion to harmonize the [statute at issue] with the accepted tests of human conduct…. There is strength…in the contention that…[the statute at issue] seems to violate that justice which should be the foundation of the due process of law required by the Constitution.</w:t>
      </w:r>
    </w:p>
    <w:p w:rsidR="00A31137" w:rsidRPr="00A31137" w:rsidRDefault="00A31137" w:rsidP="00A31137">
      <w:r w:rsidRPr="00A31137">
        <w:t>1996, Bennis v. Michigan, No. 94-8729</w:t>
      </w:r>
    </w:p>
    <w:p w:rsidR="00A31137" w:rsidRPr="00A31137" w:rsidRDefault="00A31137" w:rsidP="00A31137">
      <w:r w:rsidRPr="00A31137">
        <w:t xml:space="preserve"> J. W. Goldsmith, Jr.-Grant Co. v. United States, 254 U.S. 505, 510 (1921). But the Court went on to uphold the statute, based upon the historical prevalence and acceptance of similar laws. Id. at 510-511.</w:t>
      </w:r>
    </w:p>
    <w:p w:rsidR="00A31137" w:rsidRPr="00A31137" w:rsidRDefault="00A31137" w:rsidP="00A31137">
      <w:r w:rsidRPr="00A31137">
        <w:t>1996, Bennis v. Michigan, No. 94-8729</w:t>
      </w:r>
    </w:p>
    <w:p w:rsidR="00A31137" w:rsidRPr="00A31137" w:rsidRDefault="00A31137" w:rsidP="00A31137">
      <w:r w:rsidRPr="00A31137">
        <w:t>This case is ultimately a reminder that the Federal Constitution does not prohibit everything that is intensely undesirable. See, e.g., Herrera v. Collins, 506 U.S. 390, 428, and n. (1993) (SCALIA, J., concurring). As detailed in the Court's opinion and the cases cited therein, forfeiture of property without proof of the owner's wrongdoing, merely because it was "used" in or was an "instrumentality" of crime has been permitted in England and this country, both before and after the adoption of the Fifth and Fourteenth Amendments. Cf. Burnham v. Superior Court of Cal., County of Marin, 495 U.S. 604, 619 (1990) (plurality opinion) (a process of law that can show the sanction of settled usage both in England and in this country must be taken to be due process of law) (citing Hurtado v. California, 110 U.S. 516, 528-529 (1884)). Indeed, 70 years ago, this Court held in Van Oster v. Kansas, 272 U.S. 465 (1926), that an automobile used in crime could be forfeited notwithstanding the absence of any proof that the criminal use occurred with "knowledge or authority" of the owner. Id. at 466. A law of forfeiture without an exception for innocent owners, the Court said, "builds a secondary defense" for the State</w:t>
      </w:r>
    </w:p>
    <w:p w:rsidR="00A31137" w:rsidRPr="00A31137" w:rsidRDefault="00A31137" w:rsidP="00A31137">
      <w:r w:rsidRPr="00A31137">
        <w:t>1996, Bennis v. Michigan, No. 94-8729</w:t>
      </w:r>
    </w:p>
    <w:p w:rsidR="00A31137" w:rsidRPr="00A31137" w:rsidRDefault="00A31137" w:rsidP="00A31137">
      <w:r w:rsidRPr="00A31137">
        <w:t>against a forbidden use and precludes evasions by dispensing with the necessity of judicial inquiry as to collusion between the wrongdoer and the alleged innocent owner.</w:t>
      </w:r>
    </w:p>
    <w:p w:rsidR="00A31137" w:rsidRPr="00A31137" w:rsidRDefault="00A31137" w:rsidP="00A31137">
      <w:r w:rsidRPr="00A31137">
        <w:t>1996, Bennis v. Michigan, No. 94-8729</w:t>
      </w:r>
    </w:p>
    <w:p w:rsidR="00A31137" w:rsidRPr="00A31137" w:rsidRDefault="00A31137" w:rsidP="00A31137">
      <w:r w:rsidRPr="00A31137">
        <w:t>Id. at 467-468.</w:t>
      </w:r>
    </w:p>
    <w:p w:rsidR="00A31137" w:rsidRPr="00A31137" w:rsidRDefault="00A31137" w:rsidP="00A31137">
      <w:r w:rsidRPr="00A31137">
        <w:t>1996, Bennis v. Michigan, No. 94-8729</w:t>
      </w:r>
    </w:p>
    <w:p w:rsidR="00A31137" w:rsidRPr="00A31137" w:rsidRDefault="00A31137" w:rsidP="00A31137">
      <w:r w:rsidRPr="00A31137">
        <w:t>The limits on what property can be forfeited as a result of what wrongdoing—for example, what it means to "use" property in crime for purposes of forfeiture law—are not clear to me. See United States v. James Daniel Good Real Property, 510 U.S. ___, ___ (1993) (THOMAS, J., concurring in part and dissenting in part). Those limits, whatever they may be, become especially significant when they are the sole restrictions on the state's ability to take property from those it merely suspects, or does not even suspect, of colluding in crime. It thus seems appropriate, where a constitutional challenge by an innocent owner is concerned, to apply those limits rather strictly, adhering to historical standards for determining whether specific property is an "instrumentality" of crime. Cf. J. W. Goldsmith, Jr.-Grant Co., supra, at 512 (describing more extreme hypothetical applications of a forfeiture law and reserving decision on the permissibility of such applications). The facts here, however, do not seem to me to be obviously distinguishable from those involved in Van Oster, and, in any event, Mrs. Bennis has not asserted that the car was not an instrumentality of her husband's crime.</w:t>
      </w:r>
    </w:p>
    <w:p w:rsidR="00A31137" w:rsidRPr="00A31137" w:rsidRDefault="00A31137" w:rsidP="00A31137">
      <w:r w:rsidRPr="00A31137">
        <w:t>1996, Bennis v. Michigan, No. 94-8729</w:t>
      </w:r>
    </w:p>
    <w:p w:rsidR="00A31137" w:rsidRPr="00A31137" w:rsidRDefault="00A31137" w:rsidP="00A31137">
      <w:r w:rsidRPr="00A31137">
        <w:t>If anything, the forfeiture in Van Oster was harder to justify than is the forfeiture here, albeit in a different respect. In this case, the trial judge apparently found that the sales price of the car would not exceed by much the "costs" to be deducted from the sale; and he took that fact into account in determining how to dispose of the proceeds of the sale of the car. The state statute has labeled the car a "nuisance" and authorized a procedure for preventing the risk of continued criminal use of it by Mr. Bennis (forfeiture and sale); under a different statutory regime, the State might have authorized the destruction of the car instead, and the State would have had a plausible argument that the order for destruction was "remedial," and thus noncompensable. That it chose to order the car sold, with virtually nothing left over for the State after "costs," may not change the "remedial" character of the State's action substantially. And if the forfeiture of the car here (and the State's refusal to remit any share of the proceeds from its sale to Mrs. Bennis) can appropriately be characterized as "remedial" action, then the more severe problems involved in punishing someone not found to have engaged in wrongdoing of any kind do not arise.*</w:t>
      </w:r>
    </w:p>
    <w:p w:rsidR="00A31137" w:rsidRPr="00A31137" w:rsidRDefault="00A31137" w:rsidP="00A31137">
      <w:r w:rsidRPr="00A31137">
        <w:t>1996, Bennis v. Michigan, No. 94-8729</w:t>
      </w:r>
    </w:p>
    <w:p w:rsidR="00A31137" w:rsidRPr="00A31137" w:rsidRDefault="00A31137" w:rsidP="00A31137">
      <w:r w:rsidRPr="00A31137">
        <w:t>Improperly used, forfeiture could become more like a roulette wheel employed to raise revenue from innocent but hapless owners whose property is unforeseeably misused, or a tool wielded to punish those who associate with criminals, than a component of a system of justice. When the property sought to be forfeited has been entrusted by its owner to one who uses it for crime, however, the Constitution apparently assigns to the States and to the political branches of the Federal Government the primary responsibility for avoiding that result.</w:t>
      </w:r>
    </w:p>
    <w:p w:rsidR="00A31137" w:rsidRPr="00A31137" w:rsidRDefault="00A31137" w:rsidP="00A31137">
      <w:r w:rsidRPr="00A31137">
        <w:t>GINSBURG, J., concurring</w:t>
      </w:r>
    </w:p>
    <w:p w:rsidR="00A31137" w:rsidRPr="00A31137" w:rsidRDefault="00A31137" w:rsidP="00A31137">
      <w:r w:rsidRPr="00A31137">
        <w:t>1996, Bennis v. Michigan, No. 94-8729</w:t>
      </w:r>
    </w:p>
    <w:p w:rsidR="00A31137" w:rsidRPr="00A31137" w:rsidRDefault="00A31137" w:rsidP="00A31137">
      <w:r w:rsidRPr="00A31137">
        <w:t>JUSTICE GINSBURG, concurring.</w:t>
      </w:r>
    </w:p>
    <w:p w:rsidR="00A31137" w:rsidRPr="00A31137" w:rsidRDefault="00A31137" w:rsidP="00A31137">
      <w:r w:rsidRPr="00A31137">
        <w:t>1996, Bennis v. Michigan, No. 94-8729</w:t>
      </w:r>
    </w:p>
    <w:p w:rsidR="00A31137" w:rsidRPr="00A31137" w:rsidRDefault="00A31137" w:rsidP="00A31137">
      <w:r w:rsidRPr="00A31137">
        <w:t>I join the opinion of the Court and highlight features of the case key to my judgment.</w:t>
      </w:r>
    </w:p>
    <w:p w:rsidR="00A31137" w:rsidRPr="00A31137" w:rsidRDefault="00A31137" w:rsidP="00A31137">
      <w:r w:rsidRPr="00A31137">
        <w:t>1996, Bennis v. Michigan, No. 94-8729</w:t>
      </w:r>
    </w:p>
    <w:p w:rsidR="00A31137" w:rsidRPr="00A31137" w:rsidRDefault="00A31137" w:rsidP="00A31137">
      <w:r w:rsidRPr="00A31137">
        <w:t>The dissenting opinions target a law scarcely resembling Michigan's "red light abatement" prescription, as interpreted by the State's courts. First, it bears emphasis that the car in question belonged to John Bennis as much as it did to Tina Bennis. At all times, he had her consent to use the car, just as she had his. See ante at ___, n. 5 (majority opinion) (noting Michigan Supreme Court's distinction between use of a vehicle without the owner's consent, and use with consent but in a manner to which the owner did not consent). And it is uncontested that Michigan may forfeit the vehicle itself. See id. at ___ (citing Tr. 7, 9). The sole question, then, is whether Tina Bennis is entitled not to the car, but to a portion of the proceeds (if any there be after deduction of police, prosecutorial, and court costs) as a matter of constitutional right.</w:t>
      </w:r>
    </w:p>
    <w:p w:rsidR="00A31137" w:rsidRPr="00A31137" w:rsidRDefault="00A31137" w:rsidP="00A31137">
      <w:r w:rsidRPr="00A31137">
        <w:t>1996, Bennis v. Michigan, No. 94-8729</w:t>
      </w:r>
    </w:p>
    <w:p w:rsidR="00A31137" w:rsidRPr="00A31137" w:rsidRDefault="00A31137" w:rsidP="00A31137">
      <w:r w:rsidRPr="00A31137">
        <w:t>Second, it was "critical" to the judgment of the Michigan Supreme Court that the nuisance abatement proceeding is an "equitable action." See ante at ___ (majority opinion) (citing Michigan ex rel. Wayne Cty. Prosecutor v. Bennis, 447 Mich. 719, 742, 527 N.W.2d 483, 495 (1994)). That means the State's Supreme Court stands ready to police exorbitant applications of the statute. It shows no respect for Michigan's high court to attribute to its members tolerance of, or insensitivity to, inequitable administration of an "equitable action."</w:t>
      </w:r>
    </w:p>
    <w:p w:rsidR="00A31137" w:rsidRPr="00A31137" w:rsidRDefault="00A31137" w:rsidP="00A31137">
      <w:r w:rsidRPr="00A31137">
        <w:t>1996, Bennis v. Michigan, No. 94-8729</w:t>
      </w:r>
    </w:p>
    <w:p w:rsidR="00A31137" w:rsidRPr="00A31137" w:rsidRDefault="00A31137" w:rsidP="00A31137">
      <w:r w:rsidRPr="00A31137">
        <w:t>Nor is it fair to charge the trial court with "blatant unfairness" in the case at hand. See post at ___, n. 14, and 16 (STEVENS, J., dissenting). That court declined to order a division of sale proceeds, as the trial judge took pains to explain, for two practical reasons: the Bennises have "another automobile," App. 25; and the age and value of the forfeited car (an 11-year-old Pontiac purchased by John and Tina Bennis for $600) left "practically nothing" to divide after subtraction of costs. See ante at ___ (majority opinion) (citing App. 25).</w:t>
      </w:r>
    </w:p>
    <w:p w:rsidR="00A31137" w:rsidRPr="00A31137" w:rsidRDefault="00A31137" w:rsidP="00A31137">
      <w:r w:rsidRPr="00A31137">
        <w:t>1996, Bennis v. Michigan, No. 94-8729</w:t>
      </w:r>
    </w:p>
    <w:p w:rsidR="00A31137" w:rsidRPr="00A31137" w:rsidRDefault="00A31137" w:rsidP="00A31137">
      <w:r w:rsidRPr="00A31137">
        <w:t>Michigan, in short, has not embarked on an experiment to punish innocent third parties. See post at ___ (STEVENS, J., dissenting). Nor do we condone any such experiment. Michigan has decided to deter Johns from using cars they own (or co-own) to contribute to neighborhood blight, and that abatement endeavor hardly warrants this Court's disapprobation.</w:t>
      </w:r>
    </w:p>
    <w:p w:rsidR="00A31137" w:rsidRPr="00A31137" w:rsidRDefault="00A31137" w:rsidP="00A31137">
      <w:r w:rsidRPr="00A31137">
        <w:t>STEVENS, J., dissenting</w:t>
      </w:r>
    </w:p>
    <w:p w:rsidR="00A31137" w:rsidRPr="00A31137" w:rsidRDefault="00A31137" w:rsidP="00A31137">
      <w:r w:rsidRPr="00A31137">
        <w:t>1996, Bennis v. Michigan, No. 94-8729</w:t>
      </w:r>
    </w:p>
    <w:p w:rsidR="00A31137" w:rsidRPr="00A31137" w:rsidRDefault="00A31137" w:rsidP="00A31137">
      <w:r w:rsidRPr="00A31137">
        <w:t>JUSTICE STEVENS, with whom JUSTICE SOUTER and JUSTICE BREYER join, dissenting.</w:t>
      </w:r>
    </w:p>
    <w:p w:rsidR="00A31137" w:rsidRPr="00A31137" w:rsidRDefault="00A31137" w:rsidP="00A31137">
      <w:r w:rsidRPr="00A31137">
        <w:t>1996, Bennis v. Michigan, No. 94-8729</w:t>
      </w:r>
    </w:p>
    <w:p w:rsidR="00A31137" w:rsidRPr="00A31137" w:rsidRDefault="00A31137" w:rsidP="00A31137">
      <w:r w:rsidRPr="00A31137">
        <w:t>For centuries, prostitutes have been plying their trade on other people's property. Assignations have occurred in palaces, luxury hotels, cruise ships, college dormitories, truck stops, back alleys and back seats. A profession of this vintage has provided governments with countless opportunities to use novel weapons to curtail its abuses. As far as I am aware, however, it was not until 1988 that any State decided to experiment with the punishment of innocent third parties by confiscating property in which, or on which, a single transaction with a prostitute has been consummated.</w:t>
      </w:r>
    </w:p>
    <w:p w:rsidR="00A31137" w:rsidRPr="00A31137" w:rsidRDefault="00A31137" w:rsidP="00A31137">
      <w:r w:rsidRPr="00A31137">
        <w:t>1996, Bennis v. Michigan, No. 94-8729</w:t>
      </w:r>
    </w:p>
    <w:p w:rsidR="00A31137" w:rsidRPr="00A31137" w:rsidRDefault="00A31137" w:rsidP="00A31137">
      <w:r w:rsidRPr="00A31137">
        <w:t>The logic of the Court's analysis would permit the States to exercise virtually unbridled power to confiscate vast amounts of property where professional criminals have engaged in illegal acts. Some airline passengers have marijuana cigarettes in their luggage; some hotel guests are thieves; some spectators at professional sports events carry concealed weapons; and some hitchhikers are prostitutes. The State surely may impose strict obligations on the owners of airlines, hotels, stadiums, and vehicles to exercise a high degree of care to prevent others from making illegal use of their property, but neither logic nor history supports the Court's apparent assumption that their complete innocence imposes no constitutional impediment to the seizure of their property simply because it provided the locus for a criminal transaction.</w:t>
      </w:r>
    </w:p>
    <w:p w:rsidR="00A31137" w:rsidRPr="00A31137" w:rsidRDefault="00A31137" w:rsidP="00A31137">
      <w:r w:rsidRPr="00A31137">
        <w:t>1996, Bennis v. Michigan, No. 94-8729</w:t>
      </w:r>
    </w:p>
    <w:p w:rsidR="00A31137" w:rsidRPr="00A31137" w:rsidRDefault="00A31137" w:rsidP="00A31137">
      <w:r w:rsidRPr="00A31137">
        <w:t>In order to emphasize the novelty of the Court's holding, I shall first comment on the tenuous connection between the property forfeited here and the illegal act that was intended to be punished, which differentiates this case from the precedent on which the Court relies. I shall then comment on the significance of the complete lack of culpability ascribable to petitioner in this case. Finally, I shall explain why I believe our recent decision in Austin v. United States, 509 U.S. ___ (1993), compels reversal.</w:t>
      </w:r>
    </w:p>
    <w:p w:rsidR="00A31137" w:rsidRPr="00A31137" w:rsidRDefault="00A31137" w:rsidP="00A31137">
      <w:r w:rsidRPr="00A31137">
        <w:t>I</w:t>
      </w:r>
    </w:p>
    <w:p w:rsidR="00A31137" w:rsidRPr="00A31137" w:rsidRDefault="00A31137" w:rsidP="00A31137">
      <w:r w:rsidRPr="00A31137">
        <w:t>1996, Bennis v. Michigan, No. 94-8729</w:t>
      </w:r>
    </w:p>
    <w:p w:rsidR="00A31137" w:rsidRPr="00A31137" w:rsidRDefault="00A31137" w:rsidP="00A31137">
      <w:r w:rsidRPr="00A31137">
        <w:t>For purposes of analysis, it is useful to identify three different categories of property that are subject to seizure: pure contraband; proceeds of criminal activity; and tools of the criminal's trade.</w:t>
      </w:r>
    </w:p>
    <w:p w:rsidR="00A31137" w:rsidRPr="00A31137" w:rsidRDefault="00A31137" w:rsidP="00A31137">
      <w:r w:rsidRPr="00A31137">
        <w:t>1996, Bennis v. Michigan, No. 94-8729</w:t>
      </w:r>
    </w:p>
    <w:p w:rsidR="00A31137" w:rsidRPr="00A31137" w:rsidRDefault="00A31137" w:rsidP="00A31137">
      <w:r w:rsidRPr="00A31137">
        <w:t>The first category—pure contraband—encompasses items such as adulterated food, sawed-off shotguns, narcotics, and smuggled goods. With respect to such "objects the possession of which, without more, constitutes a crime," One 1958 Plymouth Sedan v. Pennsylvania, 380 U.S. 693, 699 (1965), the government has an obvious remedial interest in removing the items from private circulation, however blameless or unknowing their owners may be. The States' broad and well established power to seize pure contraband is not implicated by this case, for automobiles are not contraband. See ibid.</w:t>
      </w:r>
    </w:p>
    <w:p w:rsidR="00A31137" w:rsidRPr="00A31137" w:rsidRDefault="00A31137" w:rsidP="00A31137">
      <w:r w:rsidRPr="00A31137">
        <w:t>1996, Bennis v. Michigan, No. 94-8729</w:t>
      </w:r>
    </w:p>
    <w:p w:rsidR="00A31137" w:rsidRPr="00A31137" w:rsidRDefault="00A31137" w:rsidP="00A31137">
      <w:r w:rsidRPr="00A31137">
        <w:t>The second category—proceeds—traditionally covered only stolen property, whose return to its original owner has a powerful restitutionary justification. Recent federal statutory enactments have dramatically enlarged this category to include the earnings from various illegal transactions. See United States v. Parcel of Rumson, N.J., Land, 507 U.S. 111, 121, n. 16 (1993). Because those federal statutes include protections for innocent owners, see 21 U.S.C. § 881(a)(6), cases arising out of the seizure of proceeds do not address the question whether the Constitution would provide a defense to an innocent owner in certain circumstances if the statute had not done so. The prevalence of protection for innocent owners in such legislation does, however, lend support to the conclusion that elementary notions of fairness require some attention to the impact of a seizure on the rights of innocent parties. 1</w:t>
      </w:r>
    </w:p>
    <w:p w:rsidR="00A31137" w:rsidRPr="00A31137" w:rsidRDefault="00A31137" w:rsidP="00A31137">
      <w:r w:rsidRPr="00A31137">
        <w:t>1996, Bennis v. Michigan, No. 94-8729</w:t>
      </w:r>
    </w:p>
    <w:p w:rsidR="00A31137" w:rsidRPr="00A31137" w:rsidRDefault="00A31137" w:rsidP="00A31137">
      <w:r w:rsidRPr="00A31137">
        <w:t>The third category includes tools or instrumentalities that a wrongdoer has used in the commission of a crime, also known as "derivative contraband," see One 1958 Plymouth Sedan, 380 U.S. at 699. Forfeiture is more problematic for this category of property than for the first two, both because of its potentially far broader sweep, and because the government's remedial interest in confiscation is less apparent. Many of our earliest cases arising out of these kinds of seizures involved ships that engaged in piracy on the high seas, 2 in the slave trade, 3 or in the smuggling of cargoes of goods into the United States. 4 These seizures by the sovereign were approved despite the faultlessness of the ship's owner. Because the entire mission of the ship was unlawful, admiralty law treated the vessel itself as if it were the offender. 5 Moreover, under "the maritime law of the Middle Ages the ship was not only the source, but the limit, of liability." 6</w:t>
      </w:r>
    </w:p>
    <w:p w:rsidR="00A31137" w:rsidRPr="00A31137" w:rsidRDefault="00A31137" w:rsidP="00A31137">
      <w:r w:rsidRPr="00A31137">
        <w:t>1996, Bennis v. Michigan, No. 94-8729</w:t>
      </w:r>
    </w:p>
    <w:p w:rsidR="00A31137" w:rsidRPr="00A31137" w:rsidRDefault="00A31137" w:rsidP="00A31137">
      <w:r w:rsidRPr="00A31137">
        <w:t>The early admiralty cases demonstrate that the law may reasonably presume that the owner of valuable property is aware of the principal use being made of that property. That presumption provides an adequate justification for the deprivation of one's title to real estate because of another's adverse possession for a period of years or for a seizure of such property because its principal use is unlawful. Thus, in Dobbins's Distillery v. United States, 96 U.S. 395, 399 (1878), we upheld the seizure of premises on which the lessee operated an unlawful distillery when the owner "knowingly suffer[ed] and permitt[ed] his land to be used as a site" for that distillery. And despite the faultlessness of their owners, we have upheld seizures of vehicles being used to transport bootleg liquor, or to smuggle goods into the United States in violation of our customs laws. 7</w:t>
      </w:r>
    </w:p>
    <w:p w:rsidR="00A31137" w:rsidRPr="00A31137" w:rsidRDefault="00A31137" w:rsidP="00A31137">
      <w:r w:rsidRPr="00A31137">
        <w:t>1996, Bennis v. Michigan, No. 94-8729</w:t>
      </w:r>
    </w:p>
    <w:p w:rsidR="00A31137" w:rsidRPr="00A31137" w:rsidRDefault="00A31137" w:rsidP="00A31137">
      <w:r w:rsidRPr="00A31137">
        <w:t>While our historical cases establish the propriety of seizing a freighter when its entire cargo consists of smuggled goods, none of them would justify the confiscation of an ocean liner just because one of its passengers sinned while on board. See, e.g., Phile v. Ship Anna, 1 Dall. 197, 206 (C.P.Phila.Cty. 1787) (holding that forfeiture of a ship was inappropriate if an item of contraband hidden on board was "a trifling thing, easily concealed, and which might fairly escape the notice of the captain"); J. W. Goldsmith, Jr.-Grant Co. v. United States, 254 U.S. 505, 512 (1921) (expressing doubt about expansive forfeiture applications). The principal use of the car in this case was not to provide a site for petitioner's husband to carry out forbidden trysts. Indeed, there is no evidence in the record that the car had ever previously been used for a similar purpose. An isolated misuse of a stationary vehicle should not justify the forfeiture of an innocent owner's property on the theory that it constituted an instrumentality of the crime.</w:t>
      </w:r>
    </w:p>
    <w:p w:rsidR="00A31137" w:rsidRPr="00A31137" w:rsidRDefault="00A31137" w:rsidP="00A31137">
      <w:r w:rsidRPr="00A31137">
        <w:t>1996, Bennis v. Michigan, No. 94-8729</w:t>
      </w:r>
    </w:p>
    <w:p w:rsidR="00A31137" w:rsidRPr="00A31137" w:rsidRDefault="00A31137" w:rsidP="00A31137">
      <w:r w:rsidRPr="00A31137">
        <w:t>This case differs from our historical precedents in a second, crucial way. In those cases, the vehicles or the property actually facilitated the offenses themselves. See Goldsmith-Grant Co., 254 U.S. at 513 (referring to "the adaptability of a particular form of property to an illegal purpose"); Harmony v. United States, 2 How. 210, 235 (1844). Our leading decisions on forfeited conveyances, for example, involved offenses of which transportation was an element. In Van Oster v. Kansas, 272 U.S. 465 (1926), for example, the applicable statute prohibited transportation of intoxicating liquor. See id. at 466. See also Carroll v. United States, 267 U.S. 132,  136 (1925) (car had concealed compartments for carrying liquor). In Calero-Toledo v. Pearson Yacht Leasing Co., 416 U.S. 663 (1974), similarly, a yacht was seized because it had been used "to transport, or to facilitate the transportation of" a controlled substance. See id. at 665-666. 8 Here, on the other hand, the forfeited property bore no necessary connection to the offense committed by petitioner's husband. It is true that the act occurred in the car, but it might just as well have occurred in a multitude of other locations. The mobile character of the car played a part only in the negotiation, but not in the consummation of the offense.</w:t>
      </w:r>
    </w:p>
    <w:p w:rsidR="00A31137" w:rsidRPr="00A31137" w:rsidRDefault="00A31137" w:rsidP="00A31137">
      <w:r w:rsidRPr="00A31137">
        <w:t>1996, Bennis v. Michigan, No. 94-8729</w:t>
      </w:r>
    </w:p>
    <w:p w:rsidR="00A31137" w:rsidRPr="00A31137" w:rsidRDefault="00A31137" w:rsidP="00A31137">
      <w:r w:rsidRPr="00A31137">
        <w:t>In recent years, a majority of the members of this Court has agreed that the concept of an instrumentality subject to forfeiture—also expressed as the idea of "tainted" items—must have an outer limit. In Austin, the Court rejected the argument that a mobile home and auto body shop where an illegal drug transaction occurred were forfeitable as "instruments" of the drug trade. 509 U.S. at ___. JUSTICE SCALIA agreed that a building in which an isolated drug sale happens to take place also cannot be regarded as an instrumentality of that offense. Id. at ___ (opinion concurring in part and concurring in judgment). JUSTICE THOMAS, too, has stated that it is difficult to see how real property bearing no connection to crime other than serving as the location for a drug transaction is in any way "guilty" of an offense. See United States v. James Daniel Good Real Property, 510 U.S. ___, ___ (1993) (opinion concurring in part and dissenting in part). The car in this case, however, was used as little more than an enclosure for a one-time event, effectively no different from a piece of real property. 9 By the rule laid down in our recent cases, that nexus is insufficient to support the forfeiture here.</w:t>
      </w:r>
    </w:p>
    <w:p w:rsidR="00A31137" w:rsidRPr="00A31137" w:rsidRDefault="00A31137" w:rsidP="00A31137">
      <w:r w:rsidRPr="00A31137">
        <w:t>1996, Bennis v. Michigan, No. 94-8729</w:t>
      </w:r>
    </w:p>
    <w:p w:rsidR="00A31137" w:rsidRPr="00A31137" w:rsidRDefault="00A31137" w:rsidP="00A31137">
      <w:r w:rsidRPr="00A31137">
        <w:t>The State attempts to characterize this forfeiture as serving exclusively remedial, as opposed to punitive ends, because its goal was to abate what the State termed a "nuisance." Even if the State were correct, that argument would not rebut the excessiveness of the forfeiture, which I have discussed above. But in any event, there is no serious claim that the confiscation in this case was not punitive. The majority itself concedes that "'forfeiture serves at least in part, to punish the owner.'" Ante at ___ (quoting Austin, 509 U.S. at ___). 10 At an earlier stage of this litigation, the State unequivocally argued that confiscation of automobiles in the circumstances of this case "is swift and certain 'punishment' of the voluntary vice consumer." Brief for Plaintiff-Appellant in No. 97339 (Mich.), p. 22. Therefore, the idea that this forfeiture did not punish petitioner's husband—and, a fortiori, petitioner herself—is simply not sustainable.</w:t>
      </w:r>
    </w:p>
    <w:p w:rsidR="00A31137" w:rsidRPr="00A31137" w:rsidRDefault="00A31137" w:rsidP="00A31137">
      <w:r w:rsidRPr="00A31137">
        <w:t>1996, Bennis v. Michigan, No. 94-8729</w:t>
      </w:r>
    </w:p>
    <w:p w:rsidR="00A31137" w:rsidRPr="00A31137" w:rsidRDefault="00A31137" w:rsidP="00A31137">
      <w:r w:rsidRPr="00A31137">
        <w:t>Even judged in isolation, the remedial interest in this forfeiture falls far short of that which we have found present in other cases. Forfeiture may serve remedial ends when removal of certain items (such as a burglar's tools) will prevent repeated violations of the law (such as housebreaking). See, e.g., United States v. One Assortment of 89 Firearms, 465 U.S. 354, 364 (1984) (confiscation of unregistered shotguns); see also C.J. Hendry Co. v. Moore, 318 U.S. 133 (1943) (seizure of fishing nets used in violation of state fishing laws). But confiscating petitioner's car does not disable her husband from using other venues for similar illegal rendezvous, since all that is needed to commit this offense is a place. In fact, according to testimony at trial, petitioner's husband had been sighted twice during the previous summer, without the car, soliciting prostitutes in the same neighborhood. 11 The remedial rationale is even less convincing according to the State's "nuisance" theory, for that theory treats the car as a nuisance only so long as the illegal event is occurring and only so long as the car is located in the relevant neighborhood. See n. 9, supra. The need to "abate" the car thus disappears the moment it leaves the area. In short, therefore, a remedial justification simply does not apply to a confiscation of this type. See generally Clark, Civil and Criminal Penalties and Forfeitures: A Framework for Constitutional Analysis, 60 Minn. L.Rev. 379, 479-480 (1976).</w:t>
      </w:r>
    </w:p>
    <w:p w:rsidR="00A31137" w:rsidRPr="00A31137" w:rsidRDefault="00A31137" w:rsidP="00A31137">
      <w:r w:rsidRPr="00A31137">
        <w:t>II</w:t>
      </w:r>
    </w:p>
    <w:p w:rsidR="00A31137" w:rsidRPr="00A31137" w:rsidRDefault="00A31137" w:rsidP="00A31137">
      <w:r w:rsidRPr="00A31137">
        <w:t>1996, Bennis v. Michigan, No. 94-8729</w:t>
      </w:r>
    </w:p>
    <w:p w:rsidR="00A31137" w:rsidRPr="00A31137" w:rsidRDefault="00A31137" w:rsidP="00A31137">
      <w:r w:rsidRPr="00A31137">
        <w:t>Apart from the lack of a sufficient nexus between petitioner's car and the offense her husband committed, I would reverse because petitioner is entirely without responsibility for that act. Fundamental fairness prohibits the punishment of innocent people.</w:t>
      </w:r>
      <w:r w:rsidRPr="00A31137">
        <w:cr/>
      </w:r>
    </w:p>
    <w:p w:rsidR="00A31137" w:rsidRPr="00A31137" w:rsidRDefault="00A31137" w:rsidP="00A31137">
      <w:r w:rsidRPr="00A31137">
        <w:t>1996, Bennis v. Michigan, No. 94-8729</w:t>
      </w:r>
    </w:p>
    <w:p w:rsidR="00A31137" w:rsidRPr="00A31137" w:rsidRDefault="00A31137" w:rsidP="00A31137">
      <w:r w:rsidRPr="00A31137">
        <w:t>The majority insists that it is a settled rule that the owner of property is strictly liable for wrongful uses to which that property is put. See ante at ___. Only three Terms ago, however, the Court surveyed the same historical antecedents and held that all of its forfeiture decisions rested</w:t>
      </w:r>
    </w:p>
    <w:p w:rsidR="00A31137" w:rsidRPr="00A31137" w:rsidRDefault="00A31137" w:rsidP="00A31137">
      <w:r w:rsidRPr="00A31137">
        <w:t>1996, Bennis v. Michigan, No. 94-8729</w:t>
      </w:r>
    </w:p>
    <w:p w:rsidR="00A31137" w:rsidRPr="00A31137" w:rsidRDefault="00A31137" w:rsidP="00A31137">
      <w:r w:rsidRPr="00A31137">
        <w:t>at bottom, on the notion that the owner has been negligent in allowing his property to be misused and that he is properly punished for that negligence.</w:t>
      </w:r>
    </w:p>
    <w:p w:rsidR="00A31137" w:rsidRPr="00A31137" w:rsidRDefault="00A31137" w:rsidP="00A31137">
      <w:r w:rsidRPr="00A31137">
        <w:t>1996, Bennis v. Michigan, No. 94-8729</w:t>
      </w:r>
    </w:p>
    <w:p w:rsidR="00A31137" w:rsidRPr="00A31137" w:rsidRDefault="00A31137" w:rsidP="00A31137">
      <w:r w:rsidRPr="00A31137">
        <w:t>Austin v. United States, 509 U.S. at ___ (citing Calero-Toledo, Goldsmith-Grant Co., Dobbins's Distillery, Harmony, and The Palmyra). According to Austin, even the hoary fiction that property was forfeitable because of its own guilt was based on the idea that "'"such misfortunes are in part owing to the negligence of the owner, and therefore he is properly punished by the forfeiture."'" 509 U.S. at ___, quoting Goldsmith-Grant Co., 254 U.S. at 510-511, in turn quoting 1 W. Blackstone, Commentaries *301. It is conceded that petitioner was in no way negligent in her use or entrustment of the family car. Thus, no forfeiture should have been permitted. The majority, however, simply ignores Austin's detailed analysis of our case law without explanation or comment.</w:t>
      </w:r>
    </w:p>
    <w:p w:rsidR="00A31137" w:rsidRPr="00A31137" w:rsidRDefault="00A31137" w:rsidP="00A31137">
      <w:r w:rsidRPr="00A31137">
        <w:t>1996, Bennis v. Michigan, No. 94-8729</w:t>
      </w:r>
    </w:p>
    <w:p w:rsidR="00A31137" w:rsidRPr="00A31137" w:rsidRDefault="00A31137" w:rsidP="00A31137">
      <w:r w:rsidRPr="00A31137">
        <w:t>Even assuming that strict liability applies to "innocent" owners, we have consistently recognized an exception for truly blameless individuals. The Court's opinion in Calero-Toledo v. Pearson Yacht Leasing Co., 416 U.S. at 688-690, established the proposition that the Constitution bars the punitive forfeiture of property when its owner alleges and proves that he took all reasonable steps to prevent its illegal use. Accord, Austin, 509 U.S. at ___. The majority dismisses this statement as "obiter dictum," ante at ___, but we have assumed that such a principle existed, or expressly reserved the question, in a line of cases dating back nearly 200 years. In one of its earliest decisions, the Court, speaking through Chief Justice Marshall, recognized as "unquestionably a correct legal principle" that "a forfeiture can only be applied to those cases in which the means that are prescribed for the prevention of a forfeiture may be employed." Peisch v. Ware, 4 Cranch 347, 363 (1808). 12 In other contexts, we have regarded as axiomatic that persons cannot be punished when they have done no wrong. See Southwestern Telegraph &amp; Telephone Co. v. Danaher, 238 U.S. 482, 490-491 (1915) (invalidating penalty under Due Process Clause for conduct that involved "no intentional wrongdoing; no departure from any prescribed or known standard of action, and no reckless conduct"); TXO Production Corp. v. Alliance Resources Corp., 509 U.S. 443, 454, and n. 17 (1993) (following Danaher); Bordenkircher v. Hayes, 434 U.S. 357, 363 (1978); see also Bell v. Wolfish, 441 U.S. 520, 580 (1979) (STEVENS, J., dissenting). I would hold now what we have always assumed: that the principle is required by due process.</w:t>
      </w:r>
    </w:p>
    <w:p w:rsidR="00A31137" w:rsidRPr="00A31137" w:rsidRDefault="00A31137" w:rsidP="00A31137">
      <w:r w:rsidRPr="00A31137">
        <w:t>1996, Bennis v. Michigan, No. 94-8729</w:t>
      </w:r>
    </w:p>
    <w:p w:rsidR="00A31137" w:rsidRPr="00A31137" w:rsidRDefault="00A31137" w:rsidP="00A31137">
      <w:r w:rsidRPr="00A31137">
        <w:t>The unique facts of this case demonstrate that petitioner is entitled to the protection of that rule. The subject of this forfeiture was certainly not contraband. It was not acquired with the proceeds of criminal activity and its principal use was entirely legitimate. It was an ordinary car that petitioner's husband used to commute to the steel mill where he worked. Petitioner testified that they had been married for nine years; that she had acquired her ownership interest in the vehicle by the expenditure of money that she had earned herself; that she had no knowledge of her husband's plans to do anything with the car except "come directly home from work," as he had always done before; and that she even called "Missing Persons" when he failed to return on the night in question. App. 8-10. Her testimony is not contradicted, and certainly is credible. Without knowledge that he would commit such an act in the family car, or that he had ever done so previously, surely petitioner cannot be accused of failing to take "reasonable steps" to prevent the illicit behavior. She is just as blameless as if a thief, rather than her husband, had used the car in a criminal episode.</w:t>
      </w:r>
    </w:p>
    <w:p w:rsidR="00A31137" w:rsidRPr="00A31137" w:rsidRDefault="00A31137" w:rsidP="00A31137">
      <w:r w:rsidRPr="00A31137">
        <w:t>1996, Bennis v. Michigan, No. 94-8729</w:t>
      </w:r>
    </w:p>
    <w:p w:rsidR="00A31137" w:rsidRPr="00A31137" w:rsidRDefault="00A31137" w:rsidP="00A31137">
      <w:r w:rsidRPr="00A31137">
        <w:t>While the majority admits that this forfeiture is at least partly punitive in nature, it asserts that Michigan's law also serves a "deterrent purpose distinct from any punitive purpose." See ante at ___. But that is no distinction at all; deterrence is itself one of the aims of punishment. United States v. Halper, 490 U.S. 435, 448 (1989). 13 Even on a deterrence rationale, moreover, that goal is not fairly served in the case of a person who has taken all reasonable steps to prevent an illegal act.</w:t>
      </w:r>
    </w:p>
    <w:p w:rsidR="00A31137" w:rsidRPr="00A31137" w:rsidRDefault="00A31137" w:rsidP="00A31137">
      <w:r w:rsidRPr="00A31137">
        <w:t>1996, Bennis v. Michigan, No. 94-8729</w:t>
      </w:r>
    </w:p>
    <w:p w:rsidR="00A31137" w:rsidRPr="00A31137" w:rsidRDefault="00A31137" w:rsidP="00A31137">
      <w:r w:rsidRPr="00A31137">
        <w:t>Forfeiture of an innocent owner's property that plays a central role in a criminal enterprise may be justified on reasoning comparable to the basis for imposing liability on a principal for an agent's torts. Just as the risk of respondeat superior liability encourages employers to supervise more closely their employees' conduct, see Arizona v. Evans, 514 U.S. ___, ___, n.5 (1995) (GINSBURG, J., dissenting), so the risk of forfeiture encourages owners to exercise care in entrusting their property to others. See Calero-Toledo, 416 U.S. at 687; ante at ___. But the law of agency recognizes limits on the imposition of vicarious liability in situations where no deterrent function is likely to be served; for example, it exonerates the employer when the agent strays from his intended mission and embarks on a "frolic of his own." See also United States v. Park, 421 U.S. 658, 673 (1975) (vicarious criminal liability for corporate officer based on company's conduct impermissible if officer was "'powerless' to prevent or correct the violation") (citation omitted). In this case, petitioner did not "entrust" the car to her husband on the night in question; he was entitled to use it by virtue of their joint ownership. There is no reason to think that the threat of forfeiture will deter an individual from buying a car with her husband—or from marrying him in the first place—if she neither knows nor has reason to know that he plans to use it wrongfully.</w:t>
      </w:r>
    </w:p>
    <w:p w:rsidR="00A31137" w:rsidRPr="00A31137" w:rsidRDefault="00A31137" w:rsidP="00A31137">
      <w:r w:rsidRPr="00A31137">
        <w:t>1996, Bennis v. Michigan, No. 94-8729</w:t>
      </w:r>
    </w:p>
    <w:p w:rsidR="00A31137" w:rsidRPr="00A31137" w:rsidRDefault="00A31137" w:rsidP="00A31137">
      <w:r w:rsidRPr="00A31137">
        <w:t>The same is true of the second asserted justification for strict liability, that it relieves the State of the difficulty of proving collusion, or disproving the lack thereof, by the alleged innocent owner and the wrongdoer. See ante at ___ (citing Van Oster v. Kansas, 272 U.S. 465, 467-468 (1926)). Whatever validity that interest might have in another kind of case, it has none here. It is patently clear that petitioner did not collude with her husband to carry out this offense.</w:t>
      </w:r>
    </w:p>
    <w:p w:rsidR="00A31137" w:rsidRPr="00A31137" w:rsidRDefault="00A31137" w:rsidP="00A31137">
      <w:r w:rsidRPr="00A31137">
        <w:t>1996, Bennis v. Michigan, No. 94-8729</w:t>
      </w:r>
    </w:p>
    <w:p w:rsidR="00A31137" w:rsidRPr="00A31137" w:rsidRDefault="00A31137" w:rsidP="00A31137">
      <w:r w:rsidRPr="00A31137">
        <w:t>The absence of any deterrent value reinforces the punitive nature of this forfeiture law. But petitioner has done nothing that warrants punishment. She cannot be accused of negligence or of any other dereliction in allowing her husband to use the car for the wholly legitimate purpose of transporting himself to and from his job. She affirmatively alleged and proved that she is not in any way responsible for the conduct that gave rise to the seizure. If anything, she was a victim of that conduct. In my opinion, these facts establish that the seizure constituted an arbitrary deprivation of property without due process of law. 14</w:t>
      </w:r>
    </w:p>
    <w:p w:rsidR="00A31137" w:rsidRPr="00A31137" w:rsidRDefault="00A31137" w:rsidP="00A31137">
      <w:r w:rsidRPr="00A31137">
        <w:t>III</w:t>
      </w:r>
    </w:p>
    <w:p w:rsidR="00A31137" w:rsidRPr="00A31137" w:rsidRDefault="00A31137" w:rsidP="00A31137">
      <w:r w:rsidRPr="00A31137">
        <w:t>1996, Bennis v. Michigan, No. 94-8729</w:t>
      </w:r>
    </w:p>
    <w:p w:rsidR="00A31137" w:rsidRPr="00A31137" w:rsidRDefault="00A31137" w:rsidP="00A31137">
      <w:r w:rsidRPr="00A31137">
        <w:t>The Court's holding today is dramatically at odds with our holding in Austin v. United States. We there established that when a forfeiture constitutes "payment to a sovereign as punishment for some offense"—as it undeniably does in this case—it is subject to the limitations of the Eighth Amendment's Excessive Fines Clause. For both of the reasons I have already discussed, the forfeiture of petitioner's half-interest in her car is surely a form of "excessive" punishment. For an individual who merely let her husband use her car to commute to work, even a modest penalty is out of all proportion to her blameworthiness; and when the assessment is confiscation of the entire car, simply because an illicit act took place once in the driver's seat, the punishment is plainly excessive. This penalty violates the Eighth Amendment for yet another reason. Under the Court's reasoning, the value of the car is irrelevant. A brand-new luxury sedan or a ten-year-old used car would be equally forfeitable. We have held that "dramatic variations" in the value of conveyances subject to forfeiture actions undercut any argument that the latter are reasonably tied to remedial ends. See Austin, 509 U.S. at ___; United States v. Ward, 448 U.S. 242, 254 (1980).</w:t>
      </w:r>
    </w:p>
    <w:p w:rsidR="00A31137" w:rsidRPr="00A31137" w:rsidRDefault="00A31137" w:rsidP="00A31137">
      <w:r w:rsidRPr="00A31137">
        <w:t>1996, Bennis v. Michigan, No. 94-8729</w:t>
      </w:r>
    </w:p>
    <w:p w:rsidR="00A31137" w:rsidRPr="00A31137" w:rsidRDefault="00A31137" w:rsidP="00A31137">
      <w:r w:rsidRPr="00A31137">
        <w:t>I believe the Court errs today by assuming that the power to seize property is virtually unlimited and by implying that our opinions in Calero-Toledo and Austin were misguided. Some 75 years ago, when presented with the argument that the forfeiture scheme we approved had no limit, we insisted that expansive application of the law had not yet come to pass. "When such application shall be made," we said, "it will be time enough to pronounce upon it." Goldsmith-Grant Co., 254 U.S. at 512. That time has arrived when the State forfeits a woman's car because her husband has secretly committed a misdemeanor inside it. While I am not prepared to draw a bright line that will separate the permissible and impermissible forfeitures of the property of innocent owners, I am convinced that the blatant unfairness of this seizure places it on the unconstitutional side of that line.</w:t>
      </w:r>
    </w:p>
    <w:p w:rsidR="00A31137" w:rsidRPr="00A31137" w:rsidRDefault="00A31137" w:rsidP="00A31137">
      <w:r w:rsidRPr="00A31137">
        <w:t>1996, Bennis v. Michigan, No. 94-8729</w:t>
      </w:r>
    </w:p>
    <w:p w:rsidR="00A31137" w:rsidRPr="00A31137" w:rsidRDefault="00A31137" w:rsidP="00A31137">
      <w:r w:rsidRPr="00A31137">
        <w:t>I therefore respectfully dissent.</w:t>
      </w:r>
    </w:p>
    <w:p w:rsidR="00A31137" w:rsidRPr="00A31137" w:rsidRDefault="00A31137" w:rsidP="00A31137">
      <w:r w:rsidRPr="00A31137">
        <w:t>KENNEDY, J., dissenting</w:t>
      </w:r>
    </w:p>
    <w:p w:rsidR="00A31137" w:rsidRPr="00A31137" w:rsidRDefault="00A31137" w:rsidP="00A31137">
      <w:r w:rsidRPr="00A31137">
        <w:t>1996, Bennis v. Michigan, No. 94-8729</w:t>
      </w:r>
    </w:p>
    <w:p w:rsidR="00A31137" w:rsidRPr="00A31137" w:rsidRDefault="00A31137" w:rsidP="00A31137">
      <w:r w:rsidRPr="00A31137">
        <w:t>JUSTICE KENNEDY, dissenting.</w:t>
      </w:r>
    </w:p>
    <w:p w:rsidR="00A31137" w:rsidRPr="00A31137" w:rsidRDefault="00A31137" w:rsidP="00A31137">
      <w:r w:rsidRPr="00A31137">
        <w:t>1996, Bennis v. Michigan, No. 94-8729</w:t>
      </w:r>
    </w:p>
    <w:p w:rsidR="00A31137" w:rsidRPr="00A31137" w:rsidRDefault="00A31137" w:rsidP="00A31137">
      <w:r w:rsidRPr="00A31137">
        <w:t>The forfeiture of vessels pursuant to the admiralty and maritime law has a long, well recognized tradition, evolving as it did from the necessity of finding some source of compensation for injuries done by a vessel whose responsible owners were often half a world away and beyond the practical reach of the law and its processes. See Harmony v. United States, 2 How. 210, 233 (1844); Republic Nat. Bank of Miami v. United States, 506 U.S. 80, 87-88 (1992). The prospect of deriving prompt compensation from in rem forfeiture, and the impracticality of adjudicating the innocence of the owners or their good-faith efforts in finding a diligent and trustworthy master, combined to eliminate the owner's lack of culpability as a defense. See Harmony v. United States, supra at 233. Those realities provided a better justification for forfeiture than earlier, more mechanistic rationales. Cf. Calero-Toledo v. Pearson Yacht Leasing Co., 416 U.S. 663, 680-681 (1974) (discussing deodands). The trade-off, of course, was that the owner's absolute liability was limited to the amount of the vessel and (or) its cargo. For that reason, it seems to me inaccurate, or at least not well supported, to say that the owner's personal culpability was part of the forfeiture rationale. Austin v. United States, 509 U.S. ___, ___ (1993) (SCALIA, J., concurring in part and concurring in judgment); id. at ___ (KENNEDY, J., concurring in part and concurring in judgment). As JUSTICE STEVENS observes, however, ante at ___, even the well recognized tradition of forfeiture in admiralty has not been sufficient for an unequivocal confirmation from this Court that a vessel in all instances is seizable when it is used for criminal activity without the knowledge or consent of the owner, see Calero-Toledo v. Pearson Yacht Leasing Co., supra at 688-690. Cf. The William Bagaley, 5 Wall. 377, 410-411 (1867) (discussing English cases holding knowledge or culpability relevant to the forfeiture of a cargo owner's interest).</w:t>
      </w:r>
    </w:p>
    <w:p w:rsidR="00A31137" w:rsidRPr="00A31137" w:rsidRDefault="00A31137" w:rsidP="00A31137">
      <w:r w:rsidRPr="00A31137">
        <w:t>1996, Bennis v. Michigan, No. 94-8729</w:t>
      </w:r>
    </w:p>
    <w:p w:rsidR="00A31137" w:rsidRPr="00A31137" w:rsidRDefault="00A31137" w:rsidP="00A31137">
      <w:r w:rsidRPr="00A31137">
        <w:t>We can assume the continued validity of our admiralty forfeiture cases without in every analogous instance extending them to the automobile, which is a practical necessity in modern life for so many people. At least to this point, it has not been shown that a strong presumption of negligent entrustment or criminal complicity would be insufficient to protect the government's interest where the automobile is involved in a criminal act in the tangential way that it was here. Furthermore, as JUSTICE STEVENS points out, ante at ___, the automobile in this case was not used to transport contraband, and so the seizure here goes beyond the line of cases which sustain the government's use of forfeiture to suppress traffic of that sort.</w:t>
      </w:r>
    </w:p>
    <w:p w:rsidR="00A31137" w:rsidRPr="00A31137" w:rsidRDefault="00A31137" w:rsidP="00A31137">
      <w:r w:rsidRPr="00A31137">
        <w:t>1996, Bennis v. Michigan, No. 94-8729</w:t>
      </w:r>
    </w:p>
    <w:p w:rsidR="00A31137" w:rsidRPr="00A31137" w:rsidRDefault="00A31137" w:rsidP="00A31137">
      <w:r w:rsidRPr="00A31137">
        <w:t>This forfeiture cannot meet the requirements of due process. Nothing in the rationale of the Michigan Supreme Court indicates that the forfeiture turned on the negligence or complicity of petitioner, or a presumption thereof, and nothing supports the suggestion that the value of her co-ownership is so insignificant as to be beneath the law's protection.</w:t>
      </w:r>
    </w:p>
    <w:p w:rsidR="00A31137" w:rsidRPr="00A31137" w:rsidRDefault="00A31137" w:rsidP="00A31137">
      <w:r w:rsidRPr="00A31137">
        <w:t>1996, Bennis v. Michigan, No. 94-8729</w:t>
      </w:r>
    </w:p>
    <w:p w:rsidR="00A31137" w:rsidRPr="00A31137" w:rsidRDefault="00A31137" w:rsidP="00A31137">
      <w:r w:rsidRPr="00A31137">
        <w:t>For these reasons, and with all respect, I dissent.</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1996, Bennis v. Michigan, No. 94-8729</w:t>
      </w:r>
    </w:p>
    <w:p w:rsidR="00A31137" w:rsidRPr="00A31137" w:rsidRDefault="00A31137" w:rsidP="00A31137">
      <w:r w:rsidRPr="00A31137">
        <w:t>1. Mich.Comp.Laws Ann. § 750.338b (1991).</w:t>
      </w:r>
    </w:p>
    <w:p w:rsidR="00A31137" w:rsidRPr="00A31137" w:rsidRDefault="00A31137" w:rsidP="00A31137">
      <w:r w:rsidRPr="00A31137">
        <w:t>1996, Bennis v. Michigan, No. 94-8729</w:t>
      </w:r>
    </w:p>
    <w:p w:rsidR="00A31137" w:rsidRPr="00A31137" w:rsidRDefault="00A31137" w:rsidP="00A31137">
      <w:r w:rsidRPr="00A31137">
        <w:t>2. Section 600.3801 states in pertinent part:"Any building, vehicle, boat, aircraft, or place used for the purpose of lewdness, assignation or prostitution or gambling, or used by, or kept for the use of prostitutes or other disorderly persons,…is declared a nuisance,…and all…nuisances shall be enjoined and abated as provided in this act and as provided in the court rules.Any person or his or her servant, agent, or employee who owns, leases, conducts, or maintains any building, vehicle, or place used for any of the purposes or acts set forth in this section is guilty of a nuisance." Mich.Comp.Laws Ann. § 600.3801 (Supp. 1995).</w:t>
      </w:r>
    </w:p>
    <w:p w:rsidR="00A31137" w:rsidRPr="00A31137" w:rsidRDefault="00A31137" w:rsidP="00A31137">
      <w:r w:rsidRPr="00A31137">
        <w:t>1996, Bennis v. Michigan, No. 94-8729</w:t>
      </w:r>
    </w:p>
    <w:p w:rsidR="00A31137" w:rsidRPr="00A31137" w:rsidRDefault="00A31137" w:rsidP="00A31137">
      <w:r w:rsidRPr="00A31137">
        <w:t>3. Section 600.3825 states in pertinent part:</w:t>
      </w:r>
    </w:p>
    <w:p w:rsidR="00A31137" w:rsidRPr="00A31137" w:rsidRDefault="00A31137" w:rsidP="00A31137">
      <w:r w:rsidRPr="00A31137">
        <w:t>1996, Bennis v. Michigan, No. 94-8729</w:t>
      </w:r>
    </w:p>
    <w:p w:rsidR="00A31137" w:rsidRPr="00A31137" w:rsidRDefault="00A31137" w:rsidP="00A31137">
      <w:r w:rsidRPr="00A31137">
        <w:t>(1) Order of abatement. If the existence of the nuisance is established in an action as provided in this chapter, an order of abatement shall be entered as a part of the judgment in the case, which order shall direct the removal from the building or place of all furniture, fixtures and contents therein and shall direct the sale thereof in the manner provided for the sale of chattels under execution….</w:t>
      </w:r>
    </w:p>
    <w:p w:rsidR="00A31137" w:rsidRPr="00A31137" w:rsidRDefault="00A31137" w:rsidP="00A31137">
      <w:r w:rsidRPr="00A31137">
        <w:t>1996, Bennis v. Michigan, No. 94-8729</w:t>
      </w:r>
    </w:p>
    <w:p w:rsidR="00A31137" w:rsidRPr="00A31137" w:rsidRDefault="00A31137" w:rsidP="00A31137">
      <w:r w:rsidRPr="00A31137">
        <w:t>(2) Vehicles, sale. Any vehicle, boat, or aircraft found by the court to be a nuisance within the meaning of this chapter, is subject to the same order and judgment as any furniture, fixtures and contents as herein provided.</w:t>
      </w:r>
    </w:p>
    <w:p w:rsidR="00A31137" w:rsidRPr="00A31137" w:rsidRDefault="00A31137" w:rsidP="00A31137">
      <w:r w:rsidRPr="00A31137">
        <w:t>1996, Bennis v. Michigan, No. 94-8729</w:t>
      </w:r>
    </w:p>
    <w:p w:rsidR="00A31137" w:rsidRPr="00A31137" w:rsidRDefault="00A31137" w:rsidP="00A31137">
      <w:r w:rsidRPr="00A31137">
        <w:t>(3) Sale of personalty, costs, liens, balance to state treasurer. Upon the sale of any furniture, fixture, contents, vehicle, boat or aircraft as provided in this section, the officer executing the order of the court shall, after deducting the expenses of keeping such property and costs of such sale, pay all liens according to their priorities…, and shall pay the balance to the state treasurer to be credited to the general fund of the state….</w:t>
      </w:r>
    </w:p>
    <w:p w:rsidR="00A31137" w:rsidRPr="00A31137" w:rsidRDefault="00A31137" w:rsidP="00A31137">
      <w:r w:rsidRPr="00A31137">
        <w:t>1996, Bennis v. Michigan, No. 94-8729</w:t>
      </w:r>
    </w:p>
    <w:p w:rsidR="00A31137" w:rsidRPr="00A31137" w:rsidRDefault="00A31137" w:rsidP="00A31137">
      <w:r w:rsidRPr="00A31137">
        <w:t>Mich.Comp.Laws Ann. § 600.3825 (1987).</w:t>
      </w:r>
    </w:p>
    <w:p w:rsidR="00A31137" w:rsidRPr="00A31137" w:rsidRDefault="00A31137" w:rsidP="00A31137">
      <w:r w:rsidRPr="00A31137">
        <w:t>1996, Bennis v. Michigan, No. 94-8729</w:t>
      </w:r>
    </w:p>
    <w:p w:rsidR="00A31137" w:rsidRPr="00A31137" w:rsidRDefault="00A31137" w:rsidP="00A31137">
      <w:r w:rsidRPr="00A31137">
        <w:t>4. "Proof of knowledge of the existence of the nuisance on the part of the defendants or any of them, is not required." Mich.Comp.Laws Ann. § 600.3815(2) (1987).</w:t>
      </w:r>
    </w:p>
    <w:p w:rsidR="00A31137" w:rsidRPr="00A31137" w:rsidRDefault="00A31137" w:rsidP="00A31137">
      <w:r w:rsidRPr="00A31137">
        <w:t>1996, Bennis v. Michigan, No. 94-8729</w:t>
      </w:r>
    </w:p>
    <w:p w:rsidR="00A31137" w:rsidRPr="00A31137" w:rsidRDefault="00A31137" w:rsidP="00A31137">
      <w:r w:rsidRPr="00A31137">
        <w:t>5. In Austin v. United States, 509 U.S. ___, ___ (1993), the Court observed that J. W. Goldsmith Jr.-Grant Co. v. United States, 254 U.S. 505 (1921) "expressly reserved the question whether the [guilty property] fiction could be employed to forfeit the property of a truly innocent owner." This observation is quite mistaken. The Goldsmith-Grant Court expressly reserved opinion "as to whether the section can be extended to property stolen from the owner or otherwise taken from him without his privity or consent." Id. at 512 (emphases added). In other words, the Goldsmith-Grant Court drew the very same distinction made by the Michigan Supreme Court in this case: "the distinction between the situation in which a vehicle is used without the owner's consent," and one in which, "although the owner consented to [another person's] use, [the vehicle] is used in a manner to which the owner did not consent." 447 Mich. at 742, n. 36, 527 N.W.2d at 495, n. 36. Because John Bennis co-owned the car at issue, petitioner cannot claim she was in the former situation.</w:t>
      </w:r>
    </w:p>
    <w:p w:rsidR="00A31137" w:rsidRPr="00A31137" w:rsidRDefault="00A31137" w:rsidP="00A31137">
      <w:r w:rsidRPr="00A31137">
        <w:t>1996, Bennis v. Michigan, No. 94-8729</w:t>
      </w:r>
    </w:p>
    <w:p w:rsidR="00A31137" w:rsidRPr="00A31137" w:rsidRDefault="00A31137" w:rsidP="00A31137">
      <w:r w:rsidRPr="00A31137">
        <w:t>The dissent, post at ___, and n. 9, quoting Peisch v. Ware, 4 Cranch 347, 364 (1808), seeks to enlarge the reservation in Goldsmith-Grant into a general principle that</w:t>
      </w:r>
    </w:p>
    <w:p w:rsidR="00A31137" w:rsidRPr="00A31137" w:rsidRDefault="00A31137" w:rsidP="00A31137">
      <w:r w:rsidRPr="00A31137">
        <w:t>1996, Bennis v. Michigan, No. 94-8729</w:t>
      </w:r>
    </w:p>
    <w:p w:rsidR="00A31137" w:rsidRPr="00A31137" w:rsidRDefault="00A31137" w:rsidP="00A31137">
      <w:r w:rsidRPr="00A31137">
        <w:t>"a forfeiture can only be applied to those cases in which the means that are prescribed for the prevention of a forfeiture may be employed."</w:t>
      </w:r>
    </w:p>
    <w:p w:rsidR="00A31137" w:rsidRPr="00A31137" w:rsidRDefault="00A31137" w:rsidP="00A31137">
      <w:r w:rsidRPr="00A31137">
        <w:t>1996, Bennis v. Michigan, No. 94-8729</w:t>
      </w:r>
    </w:p>
    <w:p w:rsidR="00A31137" w:rsidRPr="00A31137" w:rsidRDefault="00A31137" w:rsidP="00A31137">
      <w:r w:rsidRPr="00A31137">
        <w:t>But Peisch was dealing with the same question reserved in Goldsmith-Grant, not any broader proposition:</w:t>
      </w:r>
    </w:p>
    <w:p w:rsidR="00A31137" w:rsidRPr="00A31137" w:rsidRDefault="00A31137" w:rsidP="00A31137">
      <w:r w:rsidRPr="00A31137">
        <w:t>1996, Bennis v. Michigan, No. 94-8729</w:t>
      </w:r>
    </w:p>
    <w:p w:rsidR="00A31137" w:rsidRPr="00A31137" w:rsidRDefault="00A31137" w:rsidP="00A31137">
      <w:r w:rsidRPr="00A31137">
        <w:t>If, by private theft, or open robbery, without any fault on his part, [an owner's] property should be invaded,…the law cannot be understood to punish him with the forfeiture of that property.</w:t>
      </w:r>
    </w:p>
    <w:p w:rsidR="00A31137" w:rsidRPr="00A31137" w:rsidRDefault="00A31137" w:rsidP="00A31137">
      <w:r w:rsidRPr="00A31137">
        <w:t>1996, Bennis v. Michigan, No. 94-8729</w:t>
      </w:r>
    </w:p>
    <w:p w:rsidR="00A31137" w:rsidRPr="00A31137" w:rsidRDefault="00A31137" w:rsidP="00A31137">
      <w:r w:rsidRPr="00A31137">
        <w:t>Peisch, supra at 364.</w:t>
      </w:r>
    </w:p>
    <w:p w:rsidR="00A31137" w:rsidRPr="00A31137" w:rsidRDefault="00A31137" w:rsidP="00A31137">
      <w:r w:rsidRPr="00A31137">
        <w:t>1996, Bennis v. Michigan, No. 94-8729</w:t>
      </w:r>
    </w:p>
    <w:p w:rsidR="00A31137" w:rsidRPr="00A31137" w:rsidRDefault="00A31137" w:rsidP="00A31137">
      <w:r w:rsidRPr="00A31137">
        <w:t>6. U.S.Const., Amdt. 8.</w:t>
      </w:r>
    </w:p>
    <w:p w:rsidR="00A31137" w:rsidRPr="00A31137" w:rsidRDefault="00A31137" w:rsidP="00A31137">
      <w:r w:rsidRPr="00A31137">
        <w:t>THOMAS, J., concurring (Footnotes)</w:t>
      </w:r>
    </w:p>
    <w:p w:rsidR="00A31137" w:rsidRPr="00A31137" w:rsidRDefault="00A31137" w:rsidP="00A31137">
      <w:r w:rsidRPr="00A31137">
        <w:t>1996, Bennis v. Michigan, No. 94-8729</w:t>
      </w:r>
    </w:p>
    <w:p w:rsidR="00A31137" w:rsidRPr="00A31137" w:rsidRDefault="00A31137" w:rsidP="00A31137">
      <w:r w:rsidRPr="00A31137">
        <w:t>* This is most obviously true if, in stating that there would be little left over after "costs," the trial judge was referring to the costs of sale. The court's order indicates that he may have had other "costs" in mind as well when he made that statement, e.g., law enforcement costs. See also Mich.Comp.Laws § 600.3825(3) (1979) (costs of keeping the car to be deducted). Even if the "costs" that the trial judge believed would consume most of the sales proceeds included not simply the expected costs of sale, but also the State's costs of keeping the car and law enforcement costs related to this particular proceeding, the State would still have a plausible argument that using the sales proceeds to pay such costs was "remedial" action, rather than punishment.</w:t>
      </w:r>
    </w:p>
    <w:p w:rsidR="00A31137" w:rsidRPr="00A31137" w:rsidRDefault="00A31137" w:rsidP="00A31137">
      <w:r w:rsidRPr="00A31137">
        <w:t>STEVENS, J., dissenting (Footnotes)</w:t>
      </w:r>
    </w:p>
    <w:p w:rsidR="00A31137" w:rsidRPr="00A31137" w:rsidRDefault="00A31137" w:rsidP="00A31137">
      <w:r w:rsidRPr="00A31137">
        <w:t>1996, Bennis v. Michigan, No. 94-8729</w:t>
      </w:r>
    </w:p>
    <w:p w:rsidR="00A31137" w:rsidRPr="00A31137" w:rsidRDefault="00A31137" w:rsidP="00A31137">
      <w:r w:rsidRPr="00A31137">
        <w:t>1. Without some form of an exception for innocent owners, the potential breadth of forfeiture actions for illegal proceeds would be breathtaking indeed. It has been estimated that nearly every United States bill in circulation—some $230 billion worth—carries trace amounts of cocaine, so great is the drug trade's appetite for cash. See Range &amp; Witkin, The Drug-Money Hunt, U.S. News &amp; World Report, Aug. 21, 1989, p. 22; Heilbroner, The Law Goes on a Treasure Hunt, N.Y. Times, Dec. 11, 1994, p. 70, col. 1. Needless to say, a rule of strict liability would have catastrophic effects for the nation's economy.</w:t>
      </w:r>
    </w:p>
    <w:p w:rsidR="00A31137" w:rsidRPr="00A31137" w:rsidRDefault="00A31137" w:rsidP="00A31137">
      <w:r w:rsidRPr="00A31137">
        <w:t>1996, Bennis v. Michigan, No. 94-8729</w:t>
      </w:r>
    </w:p>
    <w:p w:rsidR="00A31137" w:rsidRPr="00A31137" w:rsidRDefault="00A31137" w:rsidP="00A31137">
      <w:r w:rsidRPr="00A31137">
        <w:t>2. See, e.g., The Palmyra, 12 Wheat. 1 (1827); Harmony v. United States, 2 How. 210 (1844). The latter case has occasionally been cited by other names, including "Malek Adhel," see O. Holmes, The Common Law 27, n. 82 (M. Howe ed. 1963), and "United States v. Brig Malek Adhel," see Austin, 509 U.S. at ___.</w:t>
      </w:r>
    </w:p>
    <w:p w:rsidR="00A31137" w:rsidRPr="00A31137" w:rsidRDefault="00A31137" w:rsidP="00A31137">
      <w:r w:rsidRPr="00A31137">
        <w:t>1996, Bennis v. Michigan, No. 94-8729</w:t>
      </w:r>
    </w:p>
    <w:p w:rsidR="00A31137" w:rsidRPr="00A31137" w:rsidRDefault="00A31137" w:rsidP="00A31137">
      <w:r w:rsidRPr="00A31137">
        <w:t>3. See, e.g., Tryphenia v. Harrison, 24 F. Cas. 252 (No. 14,209)(CC Pa. 1806) (Washington, J.).</w:t>
      </w:r>
    </w:p>
    <w:p w:rsidR="00A31137" w:rsidRPr="00A31137" w:rsidRDefault="00A31137" w:rsidP="00A31137">
      <w:r w:rsidRPr="00A31137">
        <w:t>1996, Bennis v. Michigan, No. 94-8729</w:t>
      </w:r>
    </w:p>
    <w:p w:rsidR="00A31137" w:rsidRPr="00A31137" w:rsidRDefault="00A31137" w:rsidP="00A31137">
      <w:r w:rsidRPr="00A31137">
        <w:t>4. See C.J. Hendry Co. v. Moore, 318 U.S. 133, 145-148 (1943) (collecting cases); Harmony, 2 How. at 233-234.</w:t>
      </w:r>
    </w:p>
    <w:p w:rsidR="00A31137" w:rsidRPr="00A31137" w:rsidRDefault="00A31137" w:rsidP="00A31137">
      <w:r w:rsidRPr="00A31137">
        <w:t>1996, Bennis v. Michigan, No. 94-8729</w:t>
      </w:r>
    </w:p>
    <w:p w:rsidR="00A31137" w:rsidRPr="00A31137" w:rsidRDefault="00A31137" w:rsidP="00A31137">
      <w:r w:rsidRPr="00A31137">
        <w:t>5.</w:t>
      </w:r>
    </w:p>
    <w:p w:rsidR="00A31137" w:rsidRPr="00A31137" w:rsidRDefault="00A31137" w:rsidP="00A31137">
      <w:r w:rsidRPr="00A31137">
        <w:t>1996, Bennis v. Michigan, No. 94-8729</w:t>
      </w:r>
    </w:p>
    <w:p w:rsidR="00A31137" w:rsidRPr="00A31137" w:rsidRDefault="00A31137" w:rsidP="00A31137">
      <w:r w:rsidRPr="00A31137">
        <w:t>The vessel which commits the aggression is treated as the offender, as the guilty instrument or thing to which the forfeiture attaches, without any reference whatsoever to the character or conduct of the owner.   The vessel or boat (says the act of Congress) from which such piratical aggression, &amp;c., shall have been first attempted or made shall be condemned. Nor is there any thing new in a provision of this sort. It is not an uncommon course in the admiralty, acting under the law of nations, to treat the vessel in which or by which, or by the master or crew thereof, a wrong or offence has been done as the offender, without any regard whatsoever to the personal misconduct or responsibility of the owner thereof. And this is done from the necessity of the case, as the only adequate means of suppressing the offence or wrong, or insuring an indemnity to the injured party. The doctrine also is familiarly applied to cases of smuggling and other misconduct under our revenue laws; and has been applied to other kindred cases, such as cases arising on embargo and nonintercourse acts. In short, the acts of the master and crew, in cases of this sort, bind the interest of the owner to the ship, whether he be innocent or guilty; and he impliedly submits to whatever the law denounces as a forfeiture attached to the ship by reason of their unlawful or wanton wrongs.</w:t>
      </w:r>
    </w:p>
    <w:p w:rsidR="00A31137" w:rsidRPr="00A31137" w:rsidRDefault="00A31137" w:rsidP="00A31137">
      <w:r w:rsidRPr="00A31137">
        <w:t>1996, Bennis v. Michigan, No. 94-8729</w:t>
      </w:r>
    </w:p>
    <w:p w:rsidR="00A31137" w:rsidRPr="00A31137" w:rsidRDefault="00A31137" w:rsidP="00A31137">
      <w:r w:rsidRPr="00A31137">
        <w:t>Ibid.</w:t>
      </w:r>
    </w:p>
    <w:p w:rsidR="00A31137" w:rsidRPr="00A31137" w:rsidRDefault="00A31137" w:rsidP="00A31137">
      <w:r w:rsidRPr="00A31137">
        <w:t>1996, Bennis v. Michigan, No. 94-8729</w:t>
      </w:r>
    </w:p>
    <w:p w:rsidR="00A31137" w:rsidRPr="00A31137" w:rsidRDefault="00A31137" w:rsidP="00A31137">
      <w:r w:rsidRPr="00A31137">
        <w:t>6. Holmes, The Common Law at 27.</w:t>
      </w:r>
    </w:p>
    <w:p w:rsidR="00A31137" w:rsidRPr="00A31137" w:rsidRDefault="00A31137" w:rsidP="00A31137">
      <w:r w:rsidRPr="00A31137">
        <w:t>1996, Bennis v. Michigan, No. 94-8729</w:t>
      </w:r>
    </w:p>
    <w:p w:rsidR="00A31137" w:rsidRPr="00A31137" w:rsidRDefault="00A31137" w:rsidP="00A31137">
      <w:r w:rsidRPr="00A31137">
        <w:t>7. See, e.g., Van Oster v. Kansas, 272 U.S. 465 (1926) (transportation); J. W. Goldsmith, Jr.-Grant Co. v. United States, 254 U.S. 505 (1921) (same); General Motors Acceptance Corp. v. United States, 286 U.S. 49 (1932) (importation); United States v. Commercial Credit Co., 286 U.S. 63 (1932) (same).</w:t>
      </w:r>
    </w:p>
    <w:p w:rsidR="00A31137" w:rsidRPr="00A31137" w:rsidRDefault="00A31137" w:rsidP="00A31137">
      <w:r w:rsidRPr="00A31137">
        <w:t>1996, Bennis v. Michigan, No. 94-8729</w:t>
      </w:r>
    </w:p>
    <w:p w:rsidR="00A31137" w:rsidRPr="00A31137" w:rsidRDefault="00A31137" w:rsidP="00A31137">
      <w:r w:rsidRPr="00A31137">
        <w:t>8. The majority questions whether the yacht was actually used to transport drugs, quoting Justice Douglas' dissenting statement that "'so far as we know'" only one marijuana cigarette was found on board. See ante at ___. Justice Douglas cited no source for that assertion, however, and it does not appear in the majority or concurring opinions. According to the stipulated facts of the case, the Commonwealth of Puerto Rico accused the lessee of using the yacht to "convey, transport, carry and transfer" a narcotic drug. See App. in Calero-Toledo v. Pearson Yacht Leasing Co., O.T. 1973, No. 73-157, p. 25.</w:t>
      </w:r>
    </w:p>
    <w:p w:rsidR="00A31137" w:rsidRPr="00A31137" w:rsidRDefault="00A31137" w:rsidP="00A31137">
      <w:r w:rsidRPr="00A31137">
        <w:t>1996, Bennis v. Michigan, No. 94-8729</w:t>
      </w:r>
    </w:p>
    <w:p w:rsidR="00A31137" w:rsidRPr="00A31137" w:rsidRDefault="00A31137" w:rsidP="00A31137">
      <w:r w:rsidRPr="00A31137">
        <w:t>9. In fact, the rather tenuous theory advanced by the Michigan Supreme Court to uphold this forfeiture was that the neighborhood where the offense occurred exhibited an ongoing "nuisance condition" because it had a reputation for illicit activity, and the car contributed to that "condition." 447 Mich. 719, 734, 527 N.W.2d 483, 491 (1994). On that view, the car did not constitute the nuisance of itself; only when considered as a part of the particular neighborhood did it assume that character. See id. at 745, 527 N.W.2d at 496 (Cavanagh, C.J., dissenting). One bizarre consequence of this theory, expressly endorsed by the Michigan high court, is that the very same offense, committed in the very same car, would not render the car forfeitable if it were parked in a different part of Detroit, such as the affluent Palmer Woods area. See id. at 734, n. 22, 527 N.W.2d at 491, n. 22. This construction confirms the irrelevance of the car's mobility to the forfeiture; any other stationary part of the neighborhood where such an offense could take place—a shed, for example, or an apartment—could be forfeited on the same rationale. Indeed, if petitioner's husband had taken advantage of the car's power of movement by picking up the prostitute and continuing to drive, presumably the car would not have been forfeitable at all.</w:t>
      </w:r>
    </w:p>
    <w:p w:rsidR="00A31137" w:rsidRPr="00A31137" w:rsidRDefault="00A31137" w:rsidP="00A31137">
      <w:r w:rsidRPr="00A31137">
        <w:t>1996, Bennis v. Michigan, No. 94-8729</w:t>
      </w:r>
    </w:p>
    <w:p w:rsidR="00A31137" w:rsidRPr="00A31137" w:rsidRDefault="00A31137" w:rsidP="00A31137">
      <w:r w:rsidRPr="00A31137">
        <w:t>10. We have held, furthermore, that</w:t>
      </w:r>
    </w:p>
    <w:p w:rsidR="00A31137" w:rsidRPr="00A31137" w:rsidRDefault="00A31137" w:rsidP="00A31137">
      <w:r w:rsidRPr="00A31137">
        <w:t>1996, Bennis v. Michigan, No. 94-8729</w:t>
      </w:r>
    </w:p>
    <w:p w:rsidR="00A31137" w:rsidRPr="00A31137" w:rsidRDefault="00A31137" w:rsidP="00A31137">
      <w:r w:rsidRPr="00A31137">
        <w:t>a civil sanction that cannot be said solely to serve a remedial purpose, but rather can only be explained as also serving either retributive or deterrent purposes, is punishment, as we have come to understand the term.</w:t>
      </w:r>
    </w:p>
    <w:p w:rsidR="00A31137" w:rsidRPr="00A31137" w:rsidRDefault="00A31137" w:rsidP="00A31137">
      <w:r w:rsidRPr="00A31137">
        <w:t>1996, Bennis v. Michigan, No. 94-8729</w:t>
      </w:r>
    </w:p>
    <w:p w:rsidR="00A31137" w:rsidRPr="00A31137" w:rsidRDefault="00A31137" w:rsidP="00A31137">
      <w:r w:rsidRPr="00A31137">
        <w:t>United States v. Halper, 490 U.S. 435, 448 (1989) (emphasis added).</w:t>
      </w:r>
    </w:p>
    <w:p w:rsidR="00A31137" w:rsidRPr="00A31137" w:rsidRDefault="00A31137" w:rsidP="00A31137">
      <w:r w:rsidRPr="00A31137">
        <w:t>1996, Bennis v. Michigan, No. 94-8729</w:t>
      </w:r>
    </w:p>
    <w:p w:rsidR="00A31137" w:rsidRPr="00A31137" w:rsidRDefault="00A31137" w:rsidP="00A31137">
      <w:r w:rsidRPr="00A31137">
        <w:t>11. The forfeited car was purchased in September of the same year, and thus could not have been involved in any such episodes during the preceding summer. See App. 8; 447 Mich. at 728, 527 N.W.2d at 488 (1994).</w:t>
      </w:r>
    </w:p>
    <w:p w:rsidR="00A31137" w:rsidRPr="00A31137" w:rsidRDefault="00A31137" w:rsidP="00A31137">
      <w:r w:rsidRPr="00A31137">
        <w:t>1996, Bennis v. Michigan, No. 94-8729</w:t>
      </w:r>
    </w:p>
    <w:p w:rsidR="00A31137" w:rsidRPr="00A31137" w:rsidRDefault="00A31137" w:rsidP="00A31137">
      <w:r w:rsidRPr="00A31137">
        <w:t>12. In Peisch, a ship was wrecked in Delaware Bay and its cargo unladen and carried off by salvors. The United States sought forfeiture of the cargo on several grounds, including failure to pay duties on certain distilled spirits in the cargo at the time of importation, and removal of the same from the tax collector before assessment. This Court held that forfeiture was impermissible because the ship's owners were unable to comply with the customs law regarding importation, since the crew had deserted the ship before landing, and the vessel could not be brought into port. 4 Cranch at 363. As quoted above, the Court held that forfeiture is inappropriate when the means to prevent the violation cannot be carried out.</w:t>
      </w:r>
    </w:p>
    <w:p w:rsidR="00A31137" w:rsidRPr="00A31137" w:rsidRDefault="00A31137" w:rsidP="00A31137">
      <w:r w:rsidRPr="00A31137">
        <w:t>1996, Bennis v. Michigan, No. 94-8729</w:t>
      </w:r>
    </w:p>
    <w:p w:rsidR="00A31137" w:rsidRPr="00A31137" w:rsidRDefault="00A31137" w:rsidP="00A31137">
      <w:r w:rsidRPr="00A31137">
        <w:t>As a separate reason for rejecting the forfeiture, the Court explained that the owners could not be made to suffer for actions taken by the salvors, persons over whom the owners had no control. As the Court put it, an owner should not be "punished" by the forfeiture of property taken "by private theft, or open robbery, without any fault on his part…. " Id. at 364. That rule has itself become an established part of our jurisprudence. See Austin, 509 U.S. at ___; Calero-Toledo v. Pearson Yacht Leasing Co., 416 U.S. 663, 688-690 (1974); Goldsmith-Grant Co., 254 U.S. at 512; United States v. One Ford Coupe Automobile, 272 U.S. 321, 333 (1926); Van Oster v. Kansas, 272 U.S. at 467. While both of the principles announced in Peisch arose out of the same set of facts, the majority errs when it treats them as identical. See ante at ___, n. 5. Chief Justice Marshall's opinion discussed and justified each principle independently, and either could apply in the absence of the other.</w:t>
      </w:r>
    </w:p>
    <w:p w:rsidR="00A31137" w:rsidRPr="00A31137" w:rsidRDefault="00A31137" w:rsidP="00A31137">
      <w:r w:rsidRPr="00A31137">
        <w:t>1996, Bennis v. Michigan, No. 94-8729</w:t>
      </w:r>
    </w:p>
    <w:p w:rsidR="00A31137" w:rsidRPr="00A31137" w:rsidRDefault="00A31137" w:rsidP="00A31137">
      <w:r w:rsidRPr="00A31137">
        <w:t>13. For that reason, the majority's attempt to analogize this forfeiture to the system of tort liability for automobile accidents is unpersuasive. See ante at ___. Tort law is tied to the goal of compensation (punitive damages being the notable exception), while forfeitures are concededly punitive. The fundamental difference between these two regimes has long been established.</w:t>
      </w:r>
    </w:p>
    <w:p w:rsidR="00A31137" w:rsidRPr="00A31137" w:rsidRDefault="00A31137" w:rsidP="00A31137">
      <w:r w:rsidRPr="00A31137">
        <w:t>1996, Bennis v. Michigan, No. 94-8729</w:t>
      </w:r>
    </w:p>
    <w:p w:rsidR="00A31137" w:rsidRPr="00A31137" w:rsidRDefault="00A31137" w:rsidP="00A31137">
      <w:r w:rsidRPr="00A31137">
        <w:t>The law never punishes any man criminally but for his own act, yet it frequently punishes him in his pocket, for the act of another. Thus, if a wife commits an offence, the husband is not liable to the penalties; but if she obtains the property of another by any means not felonious, he must make the payment and amends.</w:t>
      </w:r>
    </w:p>
    <w:p w:rsidR="00A31137" w:rsidRPr="00A31137" w:rsidRDefault="00A31137" w:rsidP="00A31137">
      <w:r w:rsidRPr="00A31137">
        <w:t>1996, Bennis v. Michigan, No. 94-8729</w:t>
      </w:r>
    </w:p>
    <w:p w:rsidR="00A31137" w:rsidRPr="00A31137" w:rsidRDefault="00A31137" w:rsidP="00A31137">
      <w:r w:rsidRPr="00A31137">
        <w:t>Phile v. Ship Anna, 1 Dall. 197, 207 (C.P.Phila.Cty. 1787). The converse, of course, is true as well.</w:t>
      </w:r>
    </w:p>
    <w:p w:rsidR="00A31137" w:rsidRPr="00A31137" w:rsidRDefault="00A31137" w:rsidP="00A31137">
      <w:r w:rsidRPr="00A31137">
        <w:t>1996, Bennis v. Michigan, No. 94-8729</w:t>
      </w:r>
    </w:p>
    <w:p w:rsidR="00A31137" w:rsidRPr="00A31137" w:rsidRDefault="00A31137" w:rsidP="00A31137">
      <w:r w:rsidRPr="00A31137">
        <w:t>14. JUSTICE GINSBURG argues that Michigan should not be rebuked for its efforts to deter prostitution, see ante at ___, but none of her arguments refutes the fact that the State has accomplished its ends by sacrificing the rights of an innocent person. First, the concession that the car itself may be confiscated provides no justification for the forfeiture of the co-owner's separate interest. Second, the assertion that the Michigan Supreme Court "stands ready to police exorbitant applications of the statute," ibid. has a hollow ring, because it failed to do so in this case. That court did not even mention the relevance of innocence to the trial court's exercise of its "equitable discretion." Rather, it stated flatly that "Mrs. Bennis' claim is without constitutional consequence." 447 Mich. at 741, 527 N.W.2d at 494. Third, the blatant unfairness of using petitioner's property to compensate for her husband's offense is not diminished by its modest value. It is difficult, moreover, to credit the trial court's statement that it would have awarded the proceeds of the sale to petitioner if they had been larger, for it expressly ordered that any remaining balance go to the State's coffers. See App. 28. Finally, the State's decision to deter "Johns from using cars they own (or co-own) to contribute to neighborhood blight," ante at ___ (emphasis added), surely does not justify the forfeiture of that share of the car owned by an innocent spouse.</w:t>
      </w:r>
    </w:p>
    <w:p w:rsidR="00A31137" w:rsidRPr="00A31137" w:rsidRDefault="00A31137" w:rsidP="00A31137">
      <w:r w:rsidRPr="00A31137">
        <w:t>Seminole Tribe of Florida v. Florida, 1996</w:t>
      </w:r>
    </w:p>
    <w:p w:rsidR="00A31137" w:rsidRPr="00A31137" w:rsidRDefault="00A31137" w:rsidP="00A31137">
      <w:r w:rsidRPr="00A31137">
        <w:t>Title:</w:t>
      </w:r>
      <w:r w:rsidRPr="00A31137">
        <w:tab/>
        <w:t>Seminole Tribe of Florida v. Florida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March 27, 1996</w:t>
      </w:r>
    </w:p>
    <w:p w:rsidR="00A31137" w:rsidRPr="00A31137" w:rsidRDefault="00A31137" w:rsidP="00A31137">
      <w:r w:rsidRPr="00A31137">
        <w:t>Source:</w:t>
      </w:r>
      <w:r w:rsidRPr="00A31137">
        <w:tab/>
        <w:t>No. 94-12 [U.S. Reports citation not yet available]</w:t>
      </w:r>
    </w:p>
    <w:p w:rsidR="00A31137" w:rsidRPr="00A31137" w:rsidRDefault="00A31137" w:rsidP="00A31137">
      <w:r w:rsidRPr="00A31137">
        <w:t>This case was argued October 11, 1995, and was decided March 27, 1996.</w:t>
      </w:r>
    </w:p>
    <w:p w:rsidR="00A31137" w:rsidRPr="00A31137" w:rsidRDefault="00A31137" w:rsidP="00A31137">
      <w:r w:rsidRPr="00A31137">
        <w:t>CERTIORARI TO THE UNITED STATES COURT OF APPEALS</w:t>
      </w:r>
    </w:p>
    <w:p w:rsidR="00A31137" w:rsidRPr="00A31137" w:rsidRDefault="00A31137" w:rsidP="00A31137">
      <w:r w:rsidRPr="00A31137">
        <w:t>FOR THE ELEVENTH CIRCUIT</w:t>
      </w:r>
    </w:p>
    <w:p w:rsidR="00A31137" w:rsidRPr="00A31137" w:rsidRDefault="00A31137" w:rsidP="00A31137">
      <w:r w:rsidRPr="00A31137">
        <w:t>Syllabus</w:t>
      </w:r>
    </w:p>
    <w:p w:rsidR="00A31137" w:rsidRPr="00A31137" w:rsidRDefault="00A31137" w:rsidP="00A31137">
      <w:r w:rsidRPr="00A31137">
        <w:t>1996, Seminole Tribe of Florida v. Florida, No. 94-12</w:t>
      </w:r>
    </w:p>
    <w:p w:rsidR="00A31137" w:rsidRPr="00A31137" w:rsidRDefault="00A31137" w:rsidP="00A31137">
      <w:r w:rsidRPr="00A31137">
        <w:t>The Indian Gaming Regulatory Act, passed by Congress pursuant to the Indian Commerce Clause, allows an Indian tribe to conduct certain gaming activities only in conformance with a valid compact between the tribe and the State in which the gaming activities are located. 25 U.S.C. § 2710(d)(1)(C). Under the Act, States have a duty to negotiate in good faith with a tribe toward the formation of a compact, § 2710(d)(3)(A), and a tribe may sue a State in federal court in order to compel performance of that duty, § 2710(d)(7). In this § 2710(d)(7) suit, respondents, Florida and its Governor, moved to dismiss petitioner Seminole Tribe's complaint on the ground that the suit violated Florida's sovereign immunity from suit in federal court. The District Court denied the motion, but the Court of Appeals reversed, finding that the Indian Commerce Clause did not grant Congress the power to abrogate the States' Eleventh Amendment immunity, and that Ex parte Young, 209 U.S. 123, does not permit an Indian tribe to force good faith negotiations by suing a State's Governor.</w:t>
      </w:r>
    </w:p>
    <w:p w:rsidR="00A31137" w:rsidRPr="00A31137" w:rsidRDefault="00A31137" w:rsidP="00A31137">
      <w:r w:rsidRPr="00A31137">
        <w:t>1996, Seminole Tribe of Florida v. Florida, No. 94-12</w:t>
      </w:r>
    </w:p>
    <w:p w:rsidR="00A31137" w:rsidRPr="00A31137" w:rsidRDefault="00A31137" w:rsidP="00A31137">
      <w:r w:rsidRPr="00A31137">
        <w:t>Held:</w:t>
      </w:r>
    </w:p>
    <w:p w:rsidR="00A31137" w:rsidRPr="00A31137" w:rsidRDefault="00A31137" w:rsidP="00A31137">
      <w:r w:rsidRPr="00A31137">
        <w:t>1996, Seminole Tribe of Florida v. Florida, No. 94-12</w:t>
      </w:r>
    </w:p>
    <w:p w:rsidR="00A31137" w:rsidRPr="00A31137" w:rsidRDefault="00A31137" w:rsidP="00A31137">
      <w:r w:rsidRPr="00A31137">
        <w:t>1. The Eleventh Amendment prevents Congress from authorizing suits by Indian tribes against States to enforce legislation enacted pursuant to the Indian Commerce Clause. Pp. ___.</w:t>
      </w:r>
    </w:p>
    <w:p w:rsidR="00A31137" w:rsidRPr="00A31137" w:rsidRDefault="00A31137" w:rsidP="00A31137">
      <w:r w:rsidRPr="00A31137">
        <w:t>1996, Seminole Tribe of Florida v. Florida, No. 94-12</w:t>
      </w:r>
    </w:p>
    <w:p w:rsidR="00A31137" w:rsidRPr="00A31137" w:rsidRDefault="00A31137" w:rsidP="00A31137">
      <w:r w:rsidRPr="00A31137">
        <w:t>(a) The Eleventh Amendment presupposes that each State is a sovereign entity in our federal system, and that "'[i]t is inherent in the nature of sovereignty not to be amenable to the suit of an individual without [a State's] consent.'" Hans v. Louisiana, 134 U.S. 1,  13. However, Congress may abrogate the States' sovereign immunity if it has "unequivocally expresse[d] its intent to abrogate the immunity" and has acted "pursuant to a valid exercise of power." Green v. Mansour, 474 U.S. 64, 68. Here, through the numerous references to the "State" in § 2710(d)(7)(B)'s text, Congress provided an "unmistakably clear" statement of its intent to abrogate. Pp. ___.</w:t>
      </w:r>
    </w:p>
    <w:p w:rsidR="00A31137" w:rsidRPr="00A31137" w:rsidRDefault="00A31137" w:rsidP="00A31137">
      <w:r w:rsidRPr="00A31137">
        <w:t>1996, Seminole Tribe of Florida v. Florida, No. 94-12</w:t>
      </w:r>
    </w:p>
    <w:p w:rsidR="00A31137" w:rsidRPr="00A31137" w:rsidRDefault="00A31137" w:rsidP="00A31137">
      <w:r w:rsidRPr="00A31137">
        <w:t>(b) The inquiry into whether Congress has the power to abrogate unilaterally the States' immunity from suit is narrowly focused on a single question: was the Act in question passed pursuant to a constitutional provision granting Congress such power? This Court has found authority to abrogate under only two constitutional provisions: the Fourteenth Amendment, see, e.g., Fitzpatrick v. Bitzer, 427 U.S. 445, and, in a plurality opinion, the Interstate Commerce Clause, Pennsylvania v. Union Gas Co., 491 U.S. 1. The Union Gas plurality found that Congress' power to abrogate came from the States' session of their sovereignty when they gave Congress plenary power to regulate commerce. Under the rationale of Union Gas, the Indian Commerce Clause is indistinguishable from the Interstate Commerce Clause. Pp. ___.</w:t>
      </w:r>
    </w:p>
    <w:p w:rsidR="00A31137" w:rsidRPr="00A31137" w:rsidRDefault="00A31137" w:rsidP="00A31137">
      <w:r w:rsidRPr="00A31137">
        <w:t>1996, Seminole Tribe of Florida v. Florida, No. 94-12</w:t>
      </w:r>
    </w:p>
    <w:p w:rsidR="00A31137" w:rsidRPr="00A31137" w:rsidRDefault="00A31137" w:rsidP="00A31137">
      <w:r w:rsidRPr="00A31137">
        <w:t>(c) However, in the five years since it was decided, Union Gas has proven to be a solitary departure from established law. Reconsidering that decision, none of the policies underlying stare decisis require this Court's continuing adherence to its holding. The decision has been of questionable precedential value, largely because a majority of the Court expressly disagreed with the plurality's rationale. Moreover, the deeply fractured decision has created confusion among the lower courts that have sought to understand and apply it. The plurality's rationale also deviated sharply from this Court's established federalism jurisprudence and essentially eviscerated the Court's decision in Hans, since the plurality's conclusion—that Congress could under Article I expand the scope of the federal courts' Article III jurisdiction—contradicted the fundamental notion that Article III sets forth the exclusive catalog of permissible federal court jurisdiction. Thus, Union Gas was wrongly decided, and is overruled. The Eleventh Amendment restricts the judicial power under Article III, and Article I cannot be used to circumvent the constitutional limitations placed upon federal jurisdiction. Pp. ___.</w:t>
      </w:r>
    </w:p>
    <w:p w:rsidR="00A31137" w:rsidRPr="00A31137" w:rsidRDefault="00A31137" w:rsidP="00A31137">
      <w:r w:rsidRPr="00A31137">
        <w:t>1996, Seminole Tribe of Florida v. Florida, No. 94-12</w:t>
      </w:r>
    </w:p>
    <w:p w:rsidR="00A31137" w:rsidRPr="00A31137" w:rsidRDefault="00A31137" w:rsidP="00A31137">
      <w:r w:rsidRPr="00A31137">
        <w:t>2. The doctrine of Ex parte Young may not be used to enforce § 2710(d)(3) against a state official. That doctrine allows a suit against a state official to go forward, notwithstanding the Eleventh Amendment's jurisdictional bar, where the suit seeks prospective injunctive relief in order to end a continuing federal law violation. However, where, as here, Congress has prescribed a detailed remedial scheme for the enforcement against a State of a statutorily created right, a court should hesitate before casting aside those limitations and permitting an Ex parte Young action. The intricate procedures set forth in § 2710(d)(7) show that Congress intended not only to define, but also significantly to limit, the duty imposed by § 2710(d)(3). The Act mandates only a modest set of sanctions against a State, culminating in the Secretary of the Interior prescribing gaming regulations where an agreement is not reached through negotiation or mediation. In contrast, an Ex parte Young action would expose a state official to a federal court's full remedial powers, including, presumably, contempt sanctions. Enforcement through an Ex parte Young suit would also make § 2710(d)(7) superfluous, for it is difficult to see why a tribe would suffer through § 2710(d)(7)'s intricate enforcement scheme if Ex parte Young's more complete and more immediate relief were available. The Court is not free to rewrite the statutory scheme in order to approximate what it thinks Congress might have wanted had it known that § 2710(d)(7) was beyond its authority. Pp. ___.</w:t>
      </w:r>
    </w:p>
    <w:p w:rsidR="00A31137" w:rsidRPr="00A31137" w:rsidRDefault="00A31137" w:rsidP="00A31137">
      <w:r w:rsidRPr="00A31137">
        <w:t>1996, Seminole Tribe of Florida v. Florida, No. 94-12</w:t>
      </w:r>
    </w:p>
    <w:p w:rsidR="00A31137" w:rsidRPr="00A31137" w:rsidRDefault="00A31137" w:rsidP="00A31137">
      <w:r w:rsidRPr="00A31137">
        <w:t>11 F.3d 1016, affirmed.</w:t>
      </w:r>
    </w:p>
    <w:p w:rsidR="00A31137" w:rsidRPr="00A31137" w:rsidRDefault="00A31137" w:rsidP="00A31137">
      <w:r w:rsidRPr="00A31137">
        <w:t>1996, Seminole Tribe of Florida v. Florida, No. 94-12</w:t>
      </w:r>
    </w:p>
    <w:p w:rsidR="00A31137" w:rsidRPr="00A31137" w:rsidRDefault="00A31137" w:rsidP="00A31137">
      <w:r w:rsidRPr="00A31137">
        <w:t>REHNQUIST, C.J., delivered the opinion of the Court, in which O'CONNOR, SCALIA, KENNEDY, and THOMAS, JJ., joined. STEVENS, J., filed a dissenting opinion. SOUTER, J., filed a dissenting opinion, in which GINSBURG and BREYER, JJ., joined.</w:t>
      </w:r>
    </w:p>
    <w:p w:rsidR="00A31137" w:rsidRPr="00A31137" w:rsidRDefault="00A31137" w:rsidP="00A31137">
      <w:r w:rsidRPr="00A31137">
        <w:t>REHNQUIST, J., lead opinion</w:t>
      </w:r>
    </w:p>
    <w:p w:rsidR="00A31137" w:rsidRPr="00A31137" w:rsidRDefault="00A31137" w:rsidP="00A31137">
      <w:r w:rsidRPr="00A31137">
        <w:t>1996, Seminole Tribe of Florida v. Florida, No. 94-12</w:t>
      </w:r>
    </w:p>
    <w:p w:rsidR="00A31137" w:rsidRPr="00A31137" w:rsidRDefault="00A31137" w:rsidP="00A31137">
      <w:r w:rsidRPr="00A31137">
        <w:t>CHIEF JUSTICE REHNQUIST delivered the opinion of the Court.</w:t>
      </w:r>
    </w:p>
    <w:p w:rsidR="00A31137" w:rsidRPr="00A31137" w:rsidRDefault="00A31137" w:rsidP="00A31137">
      <w:r w:rsidRPr="00A31137">
        <w:t>1996, Seminole Tribe of Florida v. Florida, No. 94-12</w:t>
      </w:r>
    </w:p>
    <w:p w:rsidR="00A31137" w:rsidRPr="00A31137" w:rsidRDefault="00A31137" w:rsidP="00A31137">
      <w:r w:rsidRPr="00A31137">
        <w:t>The Indian Gaming Regulatory Act provides that an Indian tribe may conduct certain gaming activities only in conformance with a valid compact between the tribe and the State in which the gaming activities are located. 102 Stat. 2475, 25 U.S.C. § 2710(d)(1)(C). The Act, passed by Congress under the Indian Commerce Clause, U.S.Const., Art. I, § 10, cl. 3, imposes upon the States a duty to negotiate in good faith with an Indian tribe toward the formation of a compact, § 2710(d)(3)(A), and authorizes a tribe to bring suit in federal court against a State in order to compel performance of that duty, § 2710(d)(7). We hold that, notwithstanding Congress' clear intent to abrogate the States' sovereign immunity, the Indian Commerce Clause does not grant Congress that power, and therefore § 2710(d)(7) cannot grant jurisdiction over a State that does not consent to be sued. We further hold that the doctrine of Ex parte Young, 209 U.S. 123 (1908), may not be used to enforce § 2710(d)(3) against a state official.</w:t>
      </w:r>
    </w:p>
    <w:p w:rsidR="00A31137" w:rsidRPr="00A31137" w:rsidRDefault="00A31137" w:rsidP="00A31137">
      <w:r w:rsidRPr="00A31137">
        <w:t>I</w:t>
      </w:r>
    </w:p>
    <w:p w:rsidR="00A31137" w:rsidRPr="00A31137" w:rsidRDefault="00A31137" w:rsidP="00A31137">
      <w:r w:rsidRPr="00A31137">
        <w:t>1996, Seminole Tribe of Florida v. Florida, No. 94-12</w:t>
      </w:r>
    </w:p>
    <w:p w:rsidR="00A31137" w:rsidRPr="00A31137" w:rsidRDefault="00A31137" w:rsidP="00A31137">
      <w:r w:rsidRPr="00A31137">
        <w:t>Congress passed the Indian Gaming Regulatory Act in 1988 in order to provide a statutory basis for the operation and regulation of gaming by Indian tribes. See 25 U.S.C. § 2702. The Act divides gaming on Indian lands into three classes—I, II, and III—and provides a different regulatory scheme for each class. Class III gaming—the type with which we are here concerned—is defined as "all forms of gaming that are not class I gaming or class II gaming," § 2703(8), and includes such things as slot machines, casino games, banking card games, dog racing, and lotteries. 1 It is the most heavily regulated of the three classes. The Act provides that class III gaming is lawful only where it is: (1) authorized by an ordinance or resolution that (a) is adopted by the governing body of the Indian tribe, (b) satisfies certain statutorily prescribed requirements, and (c) is approved by the National Indian Gaming Commission; (2) located in a State that permits such gaming for any purpose by any person, organization, or entity; and (3) "conducted in conformance with a Tribal-State compact entered into by the Indian tribe and the State under paragraph (3) that is in effect." § 2710(d)(1).</w:t>
      </w:r>
    </w:p>
    <w:p w:rsidR="00A31137" w:rsidRPr="00A31137" w:rsidRDefault="00A31137" w:rsidP="00A31137">
      <w:r w:rsidRPr="00A31137">
        <w:t>1996, Seminole Tribe of Florida v. Florida, No. 94-12</w:t>
      </w:r>
    </w:p>
    <w:p w:rsidR="00A31137" w:rsidRPr="00A31137" w:rsidRDefault="00A31137" w:rsidP="00A31137">
      <w:r w:rsidRPr="00A31137">
        <w:t>The "paragraph (3)" to which the last prerequisite of § 2710(d)(1) refers is § 2710(d)(3), which describes the permissible scope of a Tribal-State compact, see § 2710(d)(3)(C), and provides that the compact is effective "only when notice of approval by the Secretary [of the Interior] of such compact has been published by the Secretary in the Federal Register," § 2710(d)(3)(B). More significant for our purposes, however, is that § 2710(d)(3) describes the process by which a State and an Indian tribe begin negotiations toward a Tribal-State compact:</w:t>
      </w:r>
    </w:p>
    <w:p w:rsidR="00A31137" w:rsidRPr="00A31137" w:rsidRDefault="00A31137" w:rsidP="00A31137">
      <w:r w:rsidRPr="00A31137">
        <w:t>1996, Seminole Tribe of Florida v. Florida, No. 94-12</w:t>
      </w:r>
    </w:p>
    <w:p w:rsidR="00A31137" w:rsidRPr="00A31137" w:rsidRDefault="00A31137" w:rsidP="00A31137">
      <w:r w:rsidRPr="00A31137">
        <w:t>(A) Any Indian tribe having jurisdiction over the Indian lands upon which a class III gaming activity is being conducted, or is to be conducted, shall request the State in which such lands are located to enter into negotiations for the purpose of entering into a Tribal-State compact governing the conduct of gaming activities. Upon receiving such a request, the State shall negotiate with the Indian tribe in good faith to enter into such a compact.</w:t>
      </w:r>
    </w:p>
    <w:p w:rsidR="00A31137" w:rsidRPr="00A31137" w:rsidRDefault="00A31137" w:rsidP="00A31137">
      <w:r w:rsidRPr="00A31137">
        <w:t>1996, Seminole Tribe of Florida v. Florida, No. 94-12</w:t>
      </w:r>
    </w:p>
    <w:p w:rsidR="00A31137" w:rsidRPr="00A31137" w:rsidRDefault="00A31137" w:rsidP="00A31137">
      <w:r w:rsidRPr="00A31137">
        <w:t>The State's obligation to "negotiate with the Indian tribe in good faith," is made judicially enforceable by §§ 2710(d)(7)(A)(i) and (B)(i):</w:t>
      </w:r>
    </w:p>
    <w:p w:rsidR="00A31137" w:rsidRPr="00A31137" w:rsidRDefault="00A31137" w:rsidP="00A31137">
      <w:r w:rsidRPr="00A31137">
        <w:t>1996, Seminole Tribe of Florida v. Florida, No. 94-12</w:t>
      </w:r>
    </w:p>
    <w:p w:rsidR="00A31137" w:rsidRPr="00A31137" w:rsidRDefault="00A31137" w:rsidP="00A31137">
      <w:r w:rsidRPr="00A31137">
        <w:t>(A) The United States district courts shall have jurisdiction over—</w:t>
      </w:r>
    </w:p>
    <w:p w:rsidR="00A31137" w:rsidRPr="00A31137" w:rsidRDefault="00A31137" w:rsidP="00A31137">
      <w:r w:rsidRPr="00A31137">
        <w:t>1996, Seminole Tribe of Florida v. Florida, No. 94-12</w:t>
      </w:r>
    </w:p>
    <w:p w:rsidR="00A31137" w:rsidRPr="00A31137" w:rsidRDefault="00A31137" w:rsidP="00A31137">
      <w:r w:rsidRPr="00A31137">
        <w:t>(i) any cause of action initiated by an Indian tribe arising from the failure of a State to enter into negotiations with the Indian tribe for the purpose of entering into a Tribal-State compact under paragraph (3) or to conduct such negotiations in good faith….</w:t>
      </w:r>
    </w:p>
    <w:p w:rsidR="00A31137" w:rsidRPr="00A31137" w:rsidRDefault="00A31137" w:rsidP="00A31137">
      <w:r w:rsidRPr="00A31137">
        <w:t>1996, Seminole Tribe of Florida v. Florida, No. 94-12</w:t>
      </w:r>
    </w:p>
    <w:p w:rsidR="00A31137" w:rsidRPr="00A31137" w:rsidRDefault="00A31137" w:rsidP="00A31137">
      <w:r w:rsidRPr="00A31137">
        <w:t>(B)(i) An Indian tribe may initiate a cause of action described in subparagraph (A)(i) only after the close of the 180-day period beginning on the date on which the Indian tribe requested the State to enter into negotiations under paragraph (3)(A).</w:t>
      </w:r>
    </w:p>
    <w:p w:rsidR="00A31137" w:rsidRPr="00A31137" w:rsidRDefault="00A31137" w:rsidP="00A31137">
      <w:r w:rsidRPr="00A31137">
        <w:t>1996, Seminole Tribe of Florida v. Florida, No. 94-12</w:t>
      </w:r>
    </w:p>
    <w:p w:rsidR="00A31137" w:rsidRPr="00A31137" w:rsidRDefault="00A31137" w:rsidP="00A31137">
      <w:r w:rsidRPr="00A31137">
        <w:t>Sections 2710(d)(7)(B)(ii)-(vii) describe an elaborate remedial scheme designed to ensure the formation of a Tribal-State compact. A tribe that brings an action under § 2710(d)(7)(A)(i) must show that no Tribal-State compact has been entered and that the State failed to respond in good faith to the tribe's request to negotiate; at that point, the burden then shifts to the State to prove that it did in fact negotiate in good faith. § 2710(d)(7)(B)(ii). If the district court concludes that the State has failed to negotiate in good faith toward the formation of a Tribal-State compact, then it "shall order the State and Indian tribe to conclude such a compact within a 60-day period." § 2710(d)(7)(B)(iii). If no compact has been concluded 60 days after the court's order, then "the Indian tribe and the State shall each submit to a mediator appointed by the court a proposed compact that represents their last best offer for a compact." § 2710(d)(7)(B)(iv). The mediator chooses from between the two proposed compacts the one "which best comports with the terms of [the Act] and any other applicable Federal law and with the findings and order of the court," ibid., and submits it to the State and the Indian tribe, § 2710(d)(7)(B)(v). If the State consents to the proposed compact within 60 days of its submission by the mediator, then the proposed compact is "treated as a Tribal-State compact entered into under paragraph (3)." § 2710(d)(7)(B)(vi). If, however, the State does not consent within that 60-day period, then the Act provides that the mediator "shall notify the Secretary [of the Interior]," and that the Secretary</w:t>
      </w:r>
    </w:p>
    <w:p w:rsidR="00A31137" w:rsidRPr="00A31137" w:rsidRDefault="00A31137" w:rsidP="00A31137">
      <w:r w:rsidRPr="00A31137">
        <w:t>1996, Seminole Tribe of Florida v. Florida, No. 94-12</w:t>
      </w:r>
    </w:p>
    <w:p w:rsidR="00A31137" w:rsidRPr="00A31137" w:rsidRDefault="00A31137" w:rsidP="00A31137">
      <w:r w:rsidRPr="00A31137">
        <w:t>shall prescribe…procedures…under which class III gaming may be conducted on the Indian lands over which the Indian tribe has jurisdiction.</w:t>
      </w:r>
    </w:p>
    <w:p w:rsidR="00A31137" w:rsidRPr="00A31137" w:rsidRDefault="00A31137" w:rsidP="00A31137">
      <w:r w:rsidRPr="00A31137">
        <w:t>1996, Seminole Tribe of Florida v. Florida, No. 94-12</w:t>
      </w:r>
    </w:p>
    <w:p w:rsidR="00A31137" w:rsidRPr="00A31137" w:rsidRDefault="00A31137" w:rsidP="00A31137">
      <w:r w:rsidRPr="00A31137">
        <w:t>§ 2710(d)(7)(B)(vii). 2</w:t>
      </w:r>
    </w:p>
    <w:p w:rsidR="00A31137" w:rsidRPr="00A31137" w:rsidRDefault="00A31137" w:rsidP="00A31137">
      <w:r w:rsidRPr="00A31137">
        <w:t>1996, Seminole Tribe of Florida v. Florida, No. 94-12</w:t>
      </w:r>
    </w:p>
    <w:p w:rsidR="00A31137" w:rsidRPr="00A31137" w:rsidRDefault="00A31137" w:rsidP="00A31137">
      <w:r w:rsidRPr="00A31137">
        <w:t>In September, 1991, the Seminole Tribe of Indians, petitioner, sued the State of Florida and its Governor, Lawton Chiles, respondents. Invoking jurisdiction under 25 U.S.C. § 2710(d)(7)(A), as well as 28 U.S.C. §§ 1331 and 1362, petitioner alleged that respondents had "refused to enter into any negotiation for inclusion of [certain gaming activities] in a tribal-state compact," thereby violating the "requirement of good faith negotiation" contained in § 2710(d)(3). Petitioner's Complaint, ¶ 24, see App. 18. Respondents moved to dismiss the complaint, arguing that the suit violated the State's sovereign immunity from suit in federal court. The District Court denied respondents' motion, 801 F.Supp. 655 (SD Fla. 1992), and the respondents took an interlocutory appeal of that decision. See Puerto Rico Aqueduct and Sewer Authority v. Metcalf &amp; Eddy, Inc., 506 U.S. 139 (1993) (collateral order doctrine allows immediate appellate review of order denying claim of Eleventh Amendment immunity).</w:t>
      </w:r>
    </w:p>
    <w:p w:rsidR="00A31137" w:rsidRPr="00A31137" w:rsidRDefault="00A31137" w:rsidP="00A31137">
      <w:r w:rsidRPr="00A31137">
        <w:t>1996, Seminole Tribe of Florida v. Florida, No. 94-12</w:t>
      </w:r>
    </w:p>
    <w:p w:rsidR="00A31137" w:rsidRPr="00A31137" w:rsidRDefault="00A31137" w:rsidP="00A31137">
      <w:r w:rsidRPr="00A31137">
        <w:t>The Court of Appeals for the Eleventh Circuit reversed the decision of the District Court, holding that the Eleventh Amendment barred petitioner's suit against respondents. 3 11 F.3d 1016 (1994). The court agreed with the District Court that Congress in § 2710(d)(7) intended to abrogate the States' sovereign immunity, and also agreed that the Act had been passed pursuant to Congress' power under the Indian Commerce Clause, U.S.Const., Art. I, § 8, cl. 3. The court disagreed with the District Court, however, that the Indian Commerce Clause grants Congress the power to abrogate a State's Eleventh Amendment immunity from suit, and concluded therefore that it had no jurisdiction over petitioner's suit against Florida. The court further held that Ex parte Young, 209 U.S. 123 (1908), does not permit an Indian tribe to force good faith negotiations by suing the Governor of a State. Finding that it lacked subject matter jurisdiction, the Eleventh Circuit remanded to the District Court with directions to dismiss petitioner's suit. 4</w:t>
      </w:r>
    </w:p>
    <w:p w:rsidR="00A31137" w:rsidRPr="00A31137" w:rsidRDefault="00A31137" w:rsidP="00A31137">
      <w:r w:rsidRPr="00A31137">
        <w:t>1996, Seminole Tribe of Florida v. Florida, No. 94-12</w:t>
      </w:r>
    </w:p>
    <w:p w:rsidR="00A31137" w:rsidRPr="00A31137" w:rsidRDefault="00A31137" w:rsidP="00A31137">
      <w:r w:rsidRPr="00A31137">
        <w:t>Petitioner sought our review of the Eleventh Circuit's decision, 5 and we granted certiorari, 513 U.S. ___ (1995), in order to consider two questions: (1) Does the Eleventh Amendment prevent Congress from authorizing suits by Indian tribes against States for prospective injunctive relief to enforce legislation enacted pursuant to the Indian Commerce Clause?; and (2) Does the doctrine of Ex parte Young permit suits against a State's governor for prospective injunctive relief to enforce the good faith bargaining requirement of the Act? We answer the first question in the affirmative, the second in the negative, and we therefore affirm the Eleventh Circuit's dismissal of petitioner's suit. 6</w:t>
      </w:r>
    </w:p>
    <w:p w:rsidR="00A31137" w:rsidRPr="00A31137" w:rsidRDefault="00A31137" w:rsidP="00A31137">
      <w:r w:rsidRPr="00A31137">
        <w:t>1996, Seminole Tribe of Florida v. Florida, No. 94-12</w:t>
      </w:r>
    </w:p>
    <w:p w:rsidR="00A31137" w:rsidRPr="00A31137" w:rsidRDefault="00A31137" w:rsidP="00A31137">
      <w:r w:rsidRPr="00A31137">
        <w:t>The Eleventh Amendment provides:</w:t>
      </w:r>
    </w:p>
    <w:p w:rsidR="00A31137" w:rsidRPr="00A31137" w:rsidRDefault="00A31137" w:rsidP="00A31137">
      <w:r w:rsidRPr="00A31137">
        <w:t>1996, Seminole Tribe of Florida v. Florida, No. 94-12</w:t>
      </w:r>
    </w:p>
    <w:p w:rsidR="00A31137" w:rsidRPr="00A31137" w:rsidRDefault="00A31137" w:rsidP="00A31137">
      <w:r w:rsidRPr="00A31137">
        <w:t>The Judicial power of the United States shall not be construed to extend to any suit in law or equity, commenced or prosecuted against one of the United States by Citizens of another State, or by Citizens or Subjects of any Foreign State.</w:t>
      </w:r>
    </w:p>
    <w:p w:rsidR="00A31137" w:rsidRPr="00A31137" w:rsidRDefault="00A31137" w:rsidP="00A31137">
      <w:r w:rsidRPr="00A31137">
        <w:t>1996, Seminole Tribe of Florida v. Florida, No. 94-12</w:t>
      </w:r>
    </w:p>
    <w:p w:rsidR="00A31137" w:rsidRPr="00A31137" w:rsidRDefault="00A31137" w:rsidP="00A31137">
      <w:r w:rsidRPr="00A31137">
        <w:t>Although the text of the Amendment would appear to restrict only the Article III diversity jurisdiction of the federal courts, "we have understood the Eleventh Amendment to stand not so much for what it says, but for the presupposition…which it confirms." Blatchford v. Native Village of Noatak, 501 U.S. 775, 779 (1991). That presupposition, first observed over a century ago in Hans v. Louisiana, 134 U.S. 1 (1890), has two parts: first, that each State is a sovereign entity in our federal system; and second, that "'[i]t is inherent in the nature of sovereignty not to be amenable to the suit of an individual without its consent.'" Id. at  13 (emphasis deleted), quoting The Federalist No. 81, p. 487 (C. Rossiter ed. 1961) (A. Hamilton). See also Puerto Rico Aqueduct and Sewer Authority, supra, at 146 ("The Amendment is rooted in a recognition that the States, although a union, maintain certain attributes of sovereignty, including sovereign immunity"). For over a century, we have reaffirmed that federal jurisdiction over suits against unconsenting States "was not contemplated by the Constitution when establishing the judicial power of the United States." Hans, supra, at  15. 7</w:t>
      </w:r>
    </w:p>
    <w:p w:rsidR="00A31137" w:rsidRPr="00A31137" w:rsidRDefault="00A31137" w:rsidP="00A31137">
      <w:r w:rsidRPr="00A31137">
        <w:t>1996, Seminole Tribe of Florida v. Florida, No. 94-12</w:t>
      </w:r>
    </w:p>
    <w:p w:rsidR="00A31137" w:rsidRPr="00A31137" w:rsidRDefault="00A31137" w:rsidP="00A31137">
      <w:r w:rsidRPr="00A31137">
        <w:t>Here, petitioner has sued the State of Florida and it is undisputed that Florida has not consented to the suit. See Blatchford, supra, at 782 (States, by entering into the Constitution, did not consent to suit by Indian tribes). Petitioner nevertheless contends that its suit is not barred by state sovereign immunity. First, it argues that Congress, through the Act, abrogated the States' sovereign immunity. Alternatively, petitioner maintains that its suit against the Governor may go forward under Ex parte Young, supra. We consider each of those arguments in turn.</w:t>
      </w:r>
    </w:p>
    <w:p w:rsidR="00A31137" w:rsidRPr="00A31137" w:rsidRDefault="00A31137" w:rsidP="00A31137">
      <w:r w:rsidRPr="00A31137">
        <w:t>II</w:t>
      </w:r>
    </w:p>
    <w:p w:rsidR="00A31137" w:rsidRPr="00A31137" w:rsidRDefault="00A31137" w:rsidP="00A31137">
      <w:r w:rsidRPr="00A31137">
        <w:t>1996, Seminole Tribe of Florida v. Florida, No. 94-12</w:t>
      </w:r>
    </w:p>
    <w:p w:rsidR="00A31137" w:rsidRPr="00A31137" w:rsidRDefault="00A31137" w:rsidP="00A31137">
      <w:r w:rsidRPr="00A31137">
        <w:t>Petitioner argues that Congress, through the Act, abrogated the States' immunity from suit. In order to determine whether Congress has abrogated the States' sovereign immunity, we ask two questions: first, whether Congress has "unequivocally expresse[d] its intent to abrogate the immunity," Green v. Mansour, 474 U.S. 64, 68 (1985); and second, whether Congress has acted "pursuant to a valid exercise of power." Ibid.</w:t>
      </w:r>
    </w:p>
    <w:p w:rsidR="00A31137" w:rsidRPr="00A31137" w:rsidRDefault="00A31137" w:rsidP="00A31137">
      <w:r w:rsidRPr="00A31137">
        <w:t>A</w:t>
      </w:r>
    </w:p>
    <w:p w:rsidR="00A31137" w:rsidRPr="00A31137" w:rsidRDefault="00A31137" w:rsidP="00A31137">
      <w:r w:rsidRPr="00A31137">
        <w:t>1996, Seminole Tribe of Florida v. Florida, No. 94-12</w:t>
      </w:r>
    </w:p>
    <w:p w:rsidR="00A31137" w:rsidRPr="00A31137" w:rsidRDefault="00A31137" w:rsidP="00A31137">
      <w:r w:rsidRPr="00A31137">
        <w:t>Congress' intent to abrogate the States' immunity from suit must be obvious from "a clear legislative statement." Blatchford, 501 U.S. at 786. This rule arises from a recognition of the important role played by the Eleventh Amendment and the broader principles that it reflects. See Atascadero State Hospital v. Scanlon, 473 U.S. 234, 238-239 (1985); Quern v. Jordan, 440 U.S. 332, 345 (1979). In Atascadero, we held that</w:t>
      </w:r>
    </w:p>
    <w:p w:rsidR="00A31137" w:rsidRPr="00A31137" w:rsidRDefault="00A31137" w:rsidP="00A31137">
      <w:r w:rsidRPr="00A31137">
        <w:t>1996, Seminole Tribe of Florida v. Florida, No. 94-12</w:t>
      </w:r>
    </w:p>
    <w:p w:rsidR="00A31137" w:rsidRPr="00A31137" w:rsidRDefault="00A31137" w:rsidP="00A31137">
      <w:r w:rsidRPr="00A31137">
        <w:t>[a] general authorization for suit in federal court is not the kind of unequivocal statutory language sufficient to abrogate the Eleventh Amendment.</w:t>
      </w:r>
    </w:p>
    <w:p w:rsidR="00A31137" w:rsidRPr="00A31137" w:rsidRDefault="00A31137" w:rsidP="00A31137">
      <w:r w:rsidRPr="00A31137">
        <w:t>1996, Seminole Tribe of Florida v. Florida, No. 94-12</w:t>
      </w:r>
    </w:p>
    <w:p w:rsidR="00A31137" w:rsidRPr="00A31137" w:rsidRDefault="00A31137" w:rsidP="00A31137">
      <w:r w:rsidRPr="00A31137">
        <w:t>473 U.S. at 246; see also Blatchford, supra, at 786, n. 4 ("The fact that Congress grants jurisdiction to hear a claim does not suffice to show Congress has abrogated all defenses to that claim") (emphases deleted). Rather, as we said in Dellmuth v. Muth, 491 U.S. 223 (1989),</w:t>
      </w:r>
    </w:p>
    <w:p w:rsidR="00A31137" w:rsidRPr="00A31137" w:rsidRDefault="00A31137" w:rsidP="00A31137">
      <w:r w:rsidRPr="00A31137">
        <w:t>1996, Seminole Tribe of Florida v. Florida, No. 94-12</w:t>
      </w:r>
    </w:p>
    <w:p w:rsidR="00A31137" w:rsidRPr="00A31137" w:rsidRDefault="00A31137" w:rsidP="00A31137">
      <w:r w:rsidRPr="00A31137">
        <w:t>To temper Congress' acknowledged powers of abrogation with due concern for the Eleventh Amendment's role as an essential component of our constitutional structure, we have applied a simple but stringent test:</w:t>
      </w:r>
    </w:p>
    <w:p w:rsidR="00A31137" w:rsidRPr="00A31137" w:rsidRDefault="00A31137" w:rsidP="00A31137">
      <w:r w:rsidRPr="00A31137">
        <w:t>1996, Seminole Tribe of Florida v. Florida, No. 94-12</w:t>
      </w:r>
    </w:p>
    <w:p w:rsidR="00A31137" w:rsidRPr="00A31137" w:rsidRDefault="00A31137" w:rsidP="00A31137">
      <w:r w:rsidRPr="00A31137">
        <w:t>Congress may abrogate the States' constitutionally secured immunity from suit in federal court only by making its intention unmistakably clear in the language of the statute.</w:t>
      </w:r>
    </w:p>
    <w:p w:rsidR="00A31137" w:rsidRPr="00A31137" w:rsidRDefault="00A31137" w:rsidP="00A31137">
      <w:r w:rsidRPr="00A31137">
        <w:t>1996, Seminole Tribe of Florida v. Florida, No. 94-12</w:t>
      </w:r>
    </w:p>
    <w:p w:rsidR="00A31137" w:rsidRPr="00A31137" w:rsidRDefault="00A31137" w:rsidP="00A31137">
      <w:r w:rsidRPr="00A31137">
        <w:t>Id. at 227-228. See also Welch v. Texas Dept. of Highways and Public Transp., 483 U.S. 468, 474 (1987) (plurality opinion).</w:t>
      </w:r>
    </w:p>
    <w:p w:rsidR="00A31137" w:rsidRPr="00A31137" w:rsidRDefault="00A31137" w:rsidP="00A31137">
      <w:r w:rsidRPr="00A31137">
        <w:t>1996, Seminole Tribe of Florida v. Florida, No. 94-12</w:t>
      </w:r>
    </w:p>
    <w:p w:rsidR="00A31137" w:rsidRPr="00A31137" w:rsidRDefault="00A31137" w:rsidP="00A31137">
      <w:r w:rsidRPr="00A31137">
        <w:t>Here, we agree with the parties, with the Eleventh Circuit in the decision below, 11 F.3d at 1024, and with virtually every other court that has confronted the question 8 that Congress has in § 2710(d)(7) provided an "unmistakably clear" statement of its intent to abrogate. Section 2710(d)(7)(A)(i) vests jurisdiction in</w:t>
      </w:r>
    </w:p>
    <w:p w:rsidR="00A31137" w:rsidRPr="00A31137" w:rsidRDefault="00A31137" w:rsidP="00A31137">
      <w:r w:rsidRPr="00A31137">
        <w:t>1996, Seminole Tribe of Florida v. Florida, No. 94-12</w:t>
      </w:r>
    </w:p>
    <w:p w:rsidR="00A31137" w:rsidRPr="00A31137" w:rsidRDefault="00A31137" w:rsidP="00A31137">
      <w:r w:rsidRPr="00A31137">
        <w:t>[t]he United States district courts…over any cause of action…arising from the failure of a State to enter into negotiations…or to conduct such negotiations in good faith.</w:t>
      </w:r>
    </w:p>
    <w:p w:rsidR="00A31137" w:rsidRPr="00A31137" w:rsidRDefault="00A31137" w:rsidP="00A31137">
      <w:r w:rsidRPr="00A31137">
        <w:t>1996, Seminole Tribe of Florida v. Florida, No. 94-12</w:t>
      </w:r>
    </w:p>
    <w:p w:rsidR="00A31137" w:rsidRPr="00A31137" w:rsidRDefault="00A31137" w:rsidP="00A31137">
      <w:r w:rsidRPr="00A31137">
        <w:t>Any conceivable doubt as to the identity of the defendant in an action under § 2710(d)(7)(A)(i) is dispelled when one looks to the various provisions of § 2710(d)(7)(B), which describe the remedial scheme available to a tribe that files suit under § 2710(d)(7)(A)(i). Section 2710(d)(7)(B)(ii)(II) provides that if a suing tribe meets its burden of proof, then the "burden of proof shall be upon the State…. "; § 2710(d)(7)(B)(iii) states that if the court "finds that the State has failed to negotiate in good faith…, the court shall order the State…"; § 2710(d)(7)(B)(iv) provides that "the State shall…submit to a mediator appointed by the court," and subsection (B)(v) of § 2710(d)(7) states that the mediator "shall submit to the State." Sections 2710(d)(7)(B)(vi) and (vii) also refer to the "State" in a context that makes it clear that the State is the defendant to the suit brought by an Indian tribe under § 2710(d)(7)(A)(i). In sum, we think that the numerous references to the "State" in the text of § 2710(d)(7)(B) make it indubitable that Congress intended, through the Act, to abrogate the States' sovereign immunity from suit. 9</w:t>
      </w:r>
    </w:p>
    <w:p w:rsidR="00A31137" w:rsidRPr="00A31137" w:rsidRDefault="00A31137" w:rsidP="00A31137">
      <w:r w:rsidRPr="00A31137">
        <w:t>B</w:t>
      </w:r>
    </w:p>
    <w:p w:rsidR="00A31137" w:rsidRPr="00A31137" w:rsidRDefault="00A31137" w:rsidP="00A31137">
      <w:r w:rsidRPr="00A31137">
        <w:t>1996, Seminole Tribe of Florida v. Florida, No. 94-12</w:t>
      </w:r>
    </w:p>
    <w:p w:rsidR="00A31137" w:rsidRPr="00A31137" w:rsidRDefault="00A31137" w:rsidP="00A31137">
      <w:r w:rsidRPr="00A31137">
        <w:t>Having concluded that Congress clearly intended to abrogate the States' sovereign immunity through § 2710(d)(7), we turn now to consider whether the Act was passed "pursuant to a valid exercise of power." Green v. Mansour, 474 U.S. at 68. Before we address that question here, however, we think it necessary first to define the scope of our inquiry.</w:t>
      </w:r>
    </w:p>
    <w:p w:rsidR="00A31137" w:rsidRPr="00A31137" w:rsidRDefault="00A31137" w:rsidP="00A31137">
      <w:r w:rsidRPr="00A31137">
        <w:t>1996, Seminole Tribe of Florida v. Florida, No. 94-12</w:t>
      </w:r>
    </w:p>
    <w:p w:rsidR="00A31137" w:rsidRPr="00A31137" w:rsidRDefault="00A31137" w:rsidP="00A31137">
      <w:r w:rsidRPr="00A31137">
        <w:t>Petitioner suggests that one consideration weighing in favor of finding the power to abrogate here is that the Act authorizes only prospective injunctive relief, rather than retroactive monetary relief. But we have often made it clear that the relief sought by a plaintiff suing a State is irrelevant to the question whether the suit is barred by the Eleventh Amendment. See, e.g., Cory v. White, 457 U.S. 85, 90 (1982) ("It would be a novel proposition indeed that the Eleventh Amendment does not bar a suit to enjoin the State itself simply because no money judgment is sought"). We think it follows a fortiori from this proposition that the type of relief sought is irrelevant to whether Congress has power to abrogate States' immunity. The Eleventh Amendment does not exist solely in order to "preven[t] federal court judgments that must be paid out of a State's treasury," Hess v. Port Authority Trans-Hudson Corporation, 513 U.S. ___ (1994); it also serves to avoid "the indignity of subjecting a State to the coercive process of judicial tribunals at the instance of private parties," Puerto Rico Aqueduct and Sewer Authority, 506 U.S. at 146 (internal quotation marks omitted).</w:t>
      </w:r>
    </w:p>
    <w:p w:rsidR="00A31137" w:rsidRPr="00A31137" w:rsidRDefault="00A31137" w:rsidP="00A31137">
      <w:r w:rsidRPr="00A31137">
        <w:t>1996, Seminole Tribe of Florida v. Florida, No. 94-12</w:t>
      </w:r>
    </w:p>
    <w:p w:rsidR="00A31137" w:rsidRPr="00A31137" w:rsidRDefault="00A31137" w:rsidP="00A31137">
      <w:r w:rsidRPr="00A31137">
        <w:t>Similarly, petitioner argues that the abrogation power is validly exercised here because the Act grants the States a power that they would not otherwise have, viz., some measure of authority over gaming on Indian lands. It is true enough that the Act extends to the States a power withheld from them by the Constitution. See California v. Cabazon Band of Mission Indians, 480 U.S. 202 (1987). Nevertheless, we do not see how that consideration is relevant to the question whether Congress may abrogate state sovereign immunity. The Eleventh Amendment immunity may not be lifted by Congress unilaterally deciding that it will be replaced by grant of some other authority. Cf. Atascadero, 473 U.S. at 246-247 ("[T]he mere receipt of federal funds cannot establish that a State has consented to suit in federal court").</w:t>
      </w:r>
    </w:p>
    <w:p w:rsidR="00A31137" w:rsidRPr="00A31137" w:rsidRDefault="00A31137" w:rsidP="00A31137">
      <w:r w:rsidRPr="00A31137">
        <w:t>1996, Seminole Tribe of Florida v. Florida, No. 94-12</w:t>
      </w:r>
    </w:p>
    <w:p w:rsidR="00A31137" w:rsidRPr="00A31137" w:rsidRDefault="00A31137" w:rsidP="00A31137">
      <w:r w:rsidRPr="00A31137">
        <w:t>Thus our inquiry into whether Congress has the power to abrogate unilaterally the States' immunity from suit is narrowly focused on one question: Was the Act in question passed pursuant to a constitutional provision granting Congress the power to abrogate? See, e.g., Fitzpatrick v. Bitzer, 427 U.S. 445, 452-456 (1976). Previously, in conducting that inquiry, we have found authority to abrogate under only two provisions of the Constitution. In Fitzpatrick, we recognized that the Fourteenth Amendment, by expanding federal power at the expense of state autonomy, had fundamentally altered the balance of state and federal power struck by the Constitution. Id. at 455. We noted that § 1 of the Fourteenth Amendment contained prohibitions expressly directed at the States and that § 5 of the Amendment expressly provided that "The Congress shall have the power to enforce, by appropriate legislation, the provisions of this article." See id. at 453 (internal quotation marks omitted). We held that through the Fourteenth Amendment, federal power extended to intrude upon the province of the Eleventh Amendment and therefore that § 5 of the Fourteenth Amendment allowed Congress to abrogate the immunity from suit guaranteed by that Amendment.</w:t>
      </w:r>
    </w:p>
    <w:p w:rsidR="00A31137" w:rsidRPr="00A31137" w:rsidRDefault="00A31137" w:rsidP="00A31137">
      <w:r w:rsidRPr="00A31137">
        <w:t>1996, Seminole Tribe of Florida v. Florida, No. 94-12</w:t>
      </w:r>
    </w:p>
    <w:p w:rsidR="00A31137" w:rsidRPr="00A31137" w:rsidRDefault="00A31137" w:rsidP="00A31137">
      <w:r w:rsidRPr="00A31137">
        <w:t>In only one other case has congressional abrogation of the States' Eleventh Amendment immunity been upheld. In Pennsylvania v. Union Gas Co., 491 U.S. 1 (1989), a plurality of the Court found that the Interstate Commerce Clause, Art. I, § 8, cl. 3, granted Congress the power to abrogate state sovereign immunity, stating that the power to regulate interstate commerce would be "incomplete without the authority to render States liable in damages." Union Gas, 491 U.S. at 19-20. Justice White added the fifth vote necessary to the result in that case, but wrote separately in order to express that he "[did] not agree with much of [the plurality's] reasoning." Id. at 57 (White, J., concurring in judgment in part and dissenting in part).</w:t>
      </w:r>
    </w:p>
    <w:p w:rsidR="00A31137" w:rsidRPr="00A31137" w:rsidRDefault="00A31137" w:rsidP="00A31137">
      <w:r w:rsidRPr="00A31137">
        <w:t>1996, Seminole Tribe of Florida v. Florida, No. 94-12</w:t>
      </w:r>
    </w:p>
    <w:p w:rsidR="00A31137" w:rsidRPr="00A31137" w:rsidRDefault="00A31137" w:rsidP="00A31137">
      <w:r w:rsidRPr="00A31137">
        <w:t>In arguing that Congress, through the Act, abrogated the States' sovereign immunity, petitioner does not challenge the Eleventh Circuit's conclusion that the Act was passed pursuant to neither the Fourteenth Amendment nor the Interstate Commerce Clause. Instead, accepting the lower court's conclusion that the Act was passed pursuant to Congress' power under the Indian Commerce Clause, petitioner now asks us to consider whether that clause grants Congress the power to abrogate the States' sovereign immunity.</w:t>
      </w:r>
    </w:p>
    <w:p w:rsidR="00A31137" w:rsidRPr="00A31137" w:rsidRDefault="00A31137" w:rsidP="00A31137">
      <w:r w:rsidRPr="00A31137">
        <w:t>1996, Seminole Tribe of Florida v. Florida, No. 94-12</w:t>
      </w:r>
    </w:p>
    <w:p w:rsidR="00A31137" w:rsidRPr="00A31137" w:rsidRDefault="00A31137" w:rsidP="00A31137">
      <w:r w:rsidRPr="00A31137">
        <w:t>Petitioner begins with the plurality decision in Union Gas, and contends that</w:t>
      </w:r>
    </w:p>
    <w:p w:rsidR="00A31137" w:rsidRPr="00A31137" w:rsidRDefault="00A31137" w:rsidP="00A31137">
      <w:r w:rsidRPr="00A31137">
        <w:t>1996, Seminole Tribe of Florida v. Florida, No. 94-12</w:t>
      </w:r>
    </w:p>
    <w:p w:rsidR="00A31137" w:rsidRPr="00A31137" w:rsidRDefault="00A31137" w:rsidP="00A31137">
      <w:r w:rsidRPr="00A31137">
        <w:t>[t]here is no principled basis for finding that congressional power under the Indian Commerce Clause is less than that conferred by the Interstate Commerce Clause.</w:t>
      </w:r>
    </w:p>
    <w:p w:rsidR="00A31137" w:rsidRPr="00A31137" w:rsidRDefault="00A31137" w:rsidP="00A31137">
      <w:r w:rsidRPr="00A31137">
        <w:t>1996, Seminole Tribe of Florida v. Florida, No. 94-12</w:t>
      </w:r>
    </w:p>
    <w:p w:rsidR="00A31137" w:rsidRPr="00A31137" w:rsidRDefault="00A31137" w:rsidP="00A31137">
      <w:r w:rsidRPr="00A31137">
        <w:t>Brief for Petitioner 17. Noting that the Union Gas plurality found the power to abrogate from the "plenary" character of the grant of authority over interstate commerce, petitioner emphasizes that the Interstate Commerce Clause leaves the States with some power to regulate, see, e.g., West Lynn Creamery, Inc. v. Healy, 512 U.S. ___ (1994), whereas the Indian Commerce Clause makes "Indian relations…the exclusive province of federal law." County of Oneida v. Oneida Indian Nation of N. Y., 470 U.S. 226, 234 (1985). Contending that the Indian Commerce Clause vests the Federal Government with "the duty of protect[ing]" the tribes from "local ill feeling" and "the people of the States," United States v. Kagama, 118 U.S. 375, 383-384 (1886), petitioner argues that the abrogation power is necessary "to protect the tribes from state action denying federally guaranteed rights." Brief for Petitioner 20.</w:t>
      </w:r>
    </w:p>
    <w:p w:rsidR="00A31137" w:rsidRPr="00A31137" w:rsidRDefault="00A31137" w:rsidP="00A31137">
      <w:r w:rsidRPr="00A31137">
        <w:t>1996, Seminole Tribe of Florida v. Florida, No. 94-12</w:t>
      </w:r>
    </w:p>
    <w:p w:rsidR="00A31137" w:rsidRPr="00A31137" w:rsidRDefault="00A31137" w:rsidP="00A31137">
      <w:r w:rsidRPr="00A31137">
        <w:t>Respondents dispute the petitioner's analogy between the Indian Commerce Clause and the Interstate Commerce Clause. They note that we have recognized that "the Interstate Commerce and Indian Commerce Clauses have very different applications," Cotton Petroleum Corp. v. New Mexico, 490 U.S. 163, 192 (1989), and from that they argue that the two provisions are "wholly dissimilar." Brief for Respondents 21. Respondents contend that the Interstate Commerce Clause grants the power of abrogation only because Congress' authority to regulate interstate commerce would be "incomplete" without that "necessary" power. Id. at 23, citing Union Gas, supra, at 19-20. The Indian Commerce Clause is distinguishable, respondents contend, because it gives Congress complete authority over the Indian tribes. Therefore, the abrogation power is not "necessary" to the Congress' exercise of its power under the Indian Commerce Clause. 10</w:t>
      </w:r>
    </w:p>
    <w:p w:rsidR="00A31137" w:rsidRPr="00A31137" w:rsidRDefault="00A31137" w:rsidP="00A31137">
      <w:r w:rsidRPr="00A31137">
        <w:t>1996, Seminole Tribe of Florida v. Florida, No. 94-12</w:t>
      </w:r>
    </w:p>
    <w:p w:rsidR="00A31137" w:rsidRPr="00A31137" w:rsidRDefault="00A31137" w:rsidP="00A31137">
      <w:r w:rsidRPr="00A31137">
        <w:t>Both parties make their arguments from the plurality decision in Union Gas, and we, too, begin there. We think it clear that Justice Brennan's opinion finds Congress' power to abrogate under the Interstate Commerce Clause from the States' cession of their sovereignty when they gave Congress plenary power to regulate interstate commerce. See Union Gas, 491 U.S. at 17 ("The important point…is that the provision both expands federal power and contracts state power"). Respondents' focus elsewhere is misplaced. While the plurality decision states that Congress' power under the Interstate Commerce Clause would be incomplete without the power to abrogate, that statement is made solely in order to emphasize the broad scope of Congress' authority over interstate commerce. Id. at 19-20. Moreover, respondents' rationale would mean that where Congress has less authority, and the States have more, Congress' means for exercising that power must be greater. We read the plurality opinion to provide just the opposite. Indeed, it was in those circumstances where Congress exercised complete authority that Justice Brennan thought the power to abrogate most necessary. Id. at 20 ("Since the States may not legislate at all in [the aforementioned] situations, a conclusion that Congress may not create a cause of action for money damages against the States would mean that no one could do so. And in many situations, it is only money damages that will carry out Congress' legitimate objectives under the Commerce Clause").</w:t>
      </w:r>
    </w:p>
    <w:p w:rsidR="00A31137" w:rsidRPr="00A31137" w:rsidRDefault="00A31137" w:rsidP="00A31137">
      <w:r w:rsidRPr="00A31137">
        <w:t>1996, Seminole Tribe of Florida v. Florida, No. 94-12</w:t>
      </w:r>
    </w:p>
    <w:p w:rsidR="00A31137" w:rsidRPr="00A31137" w:rsidRDefault="00A31137" w:rsidP="00A31137">
      <w:r w:rsidRPr="00A31137">
        <w:t>Following the rationale of the Union Gas plurality, our inquiry is limited to determining whether the Indian Commerce Clause, like the Interstate Commerce Clause, is a grant of authority to the Federal Government at the expense of the States. The answer to that question is obvious. If anything, the Indian Commerce Clause accomplishes a greater transfer of power from the States to the Federal Government than does the Interstate Commerce Clause. This is clear enough from the fact that the States still exercise some authority over interstate trade but have been divested of virtually all authority over Indian commerce and Indian tribes. Under the rationale of Union Gas, if the States' partial cession of authority over a particular area includes cession of the immunity from suit, then their virtually total cession of authority over a different area must also include cession of the immunity from suit. See Union Gas, supra, at 42 (SCALIA, J., joined by REHNQUIST, C.J., and O'CONNOR and KENNEDY, JJ., dissenting) ("[I]f the Article I commerce power enables abrogation of state sovereign immunity, so do all the other Article I powers"); see Ponca Tribe of Oklahoma v. Oklahoma, 37 F.3d 1422, 1428 (CA10 1994) (Indian Commerce Clause grants power to abrogate), cert. pending, No. 94-1029; Cheyenne River Sioux Tribe v. South Dakota, 3 F.3d 273, 281 (CA8 1993) (same); cf. Chavez v. Arte Publico Press, 59 F.3d 539, 546-547 (CA5 1995) (After Union Gas, Copyright Clause, U.S.Const., Art. I, § 8, cl. 8, must grant Congress power to abrogate). We agree with the petitioner that the plurality opinion in Union Gas allows no principled distinction in favor of the States to be drawn between the Indian Commerce Clause and the Interstate Commerce Clause.</w:t>
      </w:r>
    </w:p>
    <w:p w:rsidR="00A31137" w:rsidRPr="00A31137" w:rsidRDefault="00A31137" w:rsidP="00A31137">
      <w:r w:rsidRPr="00A31137">
        <w:t>1996, Seminole Tribe of Florida v. Florida, No. 94-12</w:t>
      </w:r>
    </w:p>
    <w:p w:rsidR="00A31137" w:rsidRPr="00A31137" w:rsidRDefault="00A31137" w:rsidP="00A31137">
      <w:r w:rsidRPr="00A31137">
        <w:t>Respondents argue, however, that we need not conclude that the Indian Commerce Clause grants the power to abrogate the States' sovereign immunity. Instead, they contend that if we find the rationale of the Union Gas plurality to extend to the Indian Commerce Clause, then "Union Gas should be reconsidered and overruled." Brief for Respondents 25. Generally, the principle of stare decisis, and the interests that it serves, viz.,</w:t>
      </w:r>
    </w:p>
    <w:p w:rsidR="00A31137" w:rsidRPr="00A31137" w:rsidRDefault="00A31137" w:rsidP="00A31137">
      <w:r w:rsidRPr="00A31137">
        <w:t>1996, Seminole Tribe of Florida v. Florida, No. 94-12</w:t>
      </w:r>
    </w:p>
    <w:p w:rsidR="00A31137" w:rsidRPr="00A31137" w:rsidRDefault="00A31137" w:rsidP="00A31137">
      <w:r w:rsidRPr="00A31137">
        <w:t>the evenhanded, predictable, and consistent development of legal principles,…reliance on judicial decisions, and…the actual and perceived integrity of the judicial process,</w:t>
      </w:r>
    </w:p>
    <w:p w:rsidR="00A31137" w:rsidRPr="00A31137" w:rsidRDefault="00A31137" w:rsidP="00A31137">
      <w:r w:rsidRPr="00A31137">
        <w:t>1996, Seminole Tribe of Florida v. Florida, No. 94-12</w:t>
      </w:r>
    </w:p>
    <w:p w:rsidR="00A31137" w:rsidRPr="00A31137" w:rsidRDefault="00A31137" w:rsidP="00A31137">
      <w:r w:rsidRPr="00A31137">
        <w:t>Payne v. Tennessee, 501 U.S. 808,  827 (1991), counsel strongly against reconsideration of our precedent. Nevertheless, we always have treated stare decisis as a "principle of policy," Helvering v. Hallock, 309 U.S. 106, 119 (1940), and not as an "inexorable command," Payne, 501 U.S. at  828. "[W]hen governing decisions are unworkable or are badly reasoned, 'this Court has never felt constrained to follow precedent.'" Id. at 827 (quoting Smith v. Allwright, 321 U.S. 649,  665 (1944)). Our willingness to reconsider our earlier decisions has been "particularly true in constitutional cases, because in such cases 'correction through legislative action is practically impossible.'" Payne, supra, at  828, (quoting Burnet v. Coronado Oil &amp; Gas Co., 285 U.S. 393,  407 (1932) (Brandeis, J., dissenting)).</w:t>
      </w:r>
    </w:p>
    <w:p w:rsidR="00A31137" w:rsidRPr="00A31137" w:rsidRDefault="00A31137" w:rsidP="00A31137">
      <w:r w:rsidRPr="00A31137">
        <w:t>1996, Seminole Tribe of Florida v. Florida, No. 94-12</w:t>
      </w:r>
    </w:p>
    <w:p w:rsidR="00A31137" w:rsidRPr="00A31137" w:rsidRDefault="00A31137" w:rsidP="00A31137">
      <w:r w:rsidRPr="00A31137">
        <w:t>The Court in Union Gas reached a result without an expressed rationale agreed upon by a majority of the Court. We have already seen that Justice Brennan's opinion received the support of only three other Justices. See Union Gas, 491 U.S. at 5 (Marshall, Blackmun, and STEVENS, JJ., joined Justice Brennan). Of the other five, Justice White, who provided the fifth vote for the result, wrote separately in order to indicate his disagreement with the majority's rationale, id. at 57 (White, J., concurring in judgment and dissenting in part), and four Justices joined together in a dissent that rejected the plurality's rationale. Id. at 35-45 (SCALIA, J., dissenting, joined by REHNQUIST, C.J., and O'CONNOR and KENNEDY, JJ.). Since it was issued, Union Gas has created confusion among the lower courts that have sought to understand and apply the deeply fractured decision. See, e.g., Chavez v. Arte Publico Press, supra, at 543-545 ("Justice White's concurrence must be taken on its face to disavow" the plurality's theory); 11 F.3d at 1027 (Justice White's "vague concurrence renders the continuing validity of Union Gas in doubt").</w:t>
      </w:r>
    </w:p>
    <w:p w:rsidR="00A31137" w:rsidRPr="00A31137" w:rsidRDefault="00A31137" w:rsidP="00A31137">
      <w:r w:rsidRPr="00A31137">
        <w:t>1996, Seminole Tribe of Florida v. Florida, No. 94-12</w:t>
      </w:r>
    </w:p>
    <w:p w:rsidR="00A31137" w:rsidRPr="00A31137" w:rsidRDefault="00A31137" w:rsidP="00A31137">
      <w:r w:rsidRPr="00A31137">
        <w:t>The plurality's rationale also deviated sharply from our established federalism jurisprudence and essentially eviscerated our decision in Hans. See Union Gas, supra, at 36 ("If Hans means only that federal question suits for money damages against the States cannot be brought in federal court unless Congress clearly says so, it means nothing at all") (SCALIA, J., dissenting). It was well established in 1989, when Union Gas was decided, that the Eleventh Amendment stood for the constitutional principle that state sovereign immunity limited the federal courts' jurisdiction under Article III. The text of the Amendment itself is clear enough on this point: "The Judicial power of the United States shall not be construed to extend to any suit…. " And our decisions since Hans had been equally clear that the Eleventh Amendment reflects "the fundamental principle of sovereign immunity [that] limits the grant of judicial authority in Article III," Pennhurst State School and Hospital v. Halderman, 465 U.S. 89, 97-98 (1984); see Union Gas, supra, at 38, ("'[T]he entire judicial power granted by the Constitution does not embrace authority to entertain a suit brought by private parties against a State without consent given…. '") (SCALIA, J., dissenting) (quoting Ex parte New York, 256 U.S. 490, 497 (1921)); see also cases cited at n. 7, supra. As the dissent in Union Gas recognized, the plurality's conclusion—that Congress could, under Article I, expand the scope of the federal courts' jurisdiction under Article III—"contradict[ed] our unvarying approach to Article III as setting forth the exclusive catalog of permissible federal court jurisdiction." Union Gas, 491 U.S. at 39.</w:t>
      </w:r>
    </w:p>
    <w:p w:rsidR="00A31137" w:rsidRPr="00A31137" w:rsidRDefault="00A31137" w:rsidP="00A31137">
      <w:r w:rsidRPr="00A31137">
        <w:t>1996, Seminole Tribe of Florida v. Florida, No. 94-12</w:t>
      </w:r>
    </w:p>
    <w:p w:rsidR="00A31137" w:rsidRPr="00A31137" w:rsidRDefault="00A31137" w:rsidP="00A31137">
      <w:r w:rsidRPr="00A31137">
        <w:t>Never before the decision in Union Gas had we suggested that the bounds of Article III could be expanded by Congress operating pursuant to any constitutional provision other than the Fourteenth Amendment. Indeed, it had seemed fundamental that Congress could not expand the jurisdiction of the federal courts beyond the bounds of Article III. Marbury v. Madison, 1 Cranch. 137 (1803). The plurality's citation of prior decisions for support was based upon what we believe to be a misreading of precedent. See Union Gas, 491 U.S. at 40-41 (SCALIA, J., dissenting). The plurality claimed support for its decision from a case holding the unremarkable, and completely unrelated, proposition that the States may waive their sovereign immunity, see id. at 14-15 (citing Parden v. Terminal Railway of Ala. Docks Dept., 377 U.S. 184 (1964)), and cited as precedent propositions that had been merely assumed for the sake of argument in earlier cases, see 491 U.S. at 15 (citing Welch v. Texas Dept. of Highways and Public Transp., 483 U.S. at 475-476, and n. 5, and County of Oneida v. Oneida Indian Nation of N. Y., 470 U.S. at 252).</w:t>
      </w:r>
    </w:p>
    <w:p w:rsidR="00A31137" w:rsidRPr="00A31137" w:rsidRDefault="00A31137" w:rsidP="00A31137">
      <w:r w:rsidRPr="00A31137">
        <w:t>1996, Seminole Tribe of Florida v. Florida, No. 94-12</w:t>
      </w:r>
    </w:p>
    <w:p w:rsidR="00A31137" w:rsidRPr="00A31137" w:rsidRDefault="00A31137" w:rsidP="00A31137">
      <w:r w:rsidRPr="00A31137">
        <w:t>The plurality's extended reliance upon our decision in Fitzpatrick v. Bitzer, 427 U.S. 445 (1976), that Congress could under the Fourteenth Amendment abrogate the States' sovereign immunity was also, we believe, misplaced. Fitzpatrick was based upon a rationale wholly inapplicable to the Interstate Commerce Clause, viz., that the Fourteenth Amendment, adopted well after the adoption of the Eleventh Amendment and the ratification of the Constitution, operated to alter the preexisting balance between state and federal power achieved by Article III and the Eleventh Amendment. Id. at 454. As the dissent in Union Gas made clear, Fitzpatrick cannot be read to justify "limitation of the principle embodied in the Eleventh Amendment through appeal to antecedent provisions of the Constitution." Union Gas, 491 U.S. at 42 (SCALIA, J., dissenting).</w:t>
      </w:r>
    </w:p>
    <w:p w:rsidR="00A31137" w:rsidRPr="00A31137" w:rsidRDefault="00A31137" w:rsidP="00A31137">
      <w:r w:rsidRPr="00A31137">
        <w:t>1996, Seminole Tribe of Florida v. Florida, No. 94-12</w:t>
      </w:r>
    </w:p>
    <w:p w:rsidR="00A31137" w:rsidRPr="00A31137" w:rsidRDefault="00A31137" w:rsidP="00A31137">
      <w:r w:rsidRPr="00A31137">
        <w:t>In the five years since it was decided, Union Gas has proven to be a solitary departure from established law. See Puerto Rico Aqueduct and Sewer Authority v. Metcalf &amp; Eddy, Inc., 506 U.S. 139 (1993). Reconsidering the decision in Union Gas, we conclude that none of the policies underlying stare decisis require our continuing adherence to its holding. The decision has, since its issuance, been of questionable precedential value, largely because a majority of the Court expressly disagreed with the rationale of the plurality. See Nichols v. United States, 511 U.S. ___, ___ (1994) (the "degree of confusion following a splintered decision…is itself a reason for reexamining that decision"). The case involved the interpretation of the Constitution and therefore may be altered only by constitutional amendment or revision by this Court. Finally, both the result in Union Gas and the plurality's rationale depart from our established understanding of the Eleventh Amendment and undermine the accepted function of Article III. We feel bound to conclude that Union Gas was wrongly decided, and that it should be, and now is, overruled.</w:t>
      </w:r>
    </w:p>
    <w:p w:rsidR="00A31137" w:rsidRPr="00A31137" w:rsidRDefault="00A31137" w:rsidP="00A31137">
      <w:r w:rsidRPr="00A31137">
        <w:t>1996, Seminole Tribe of Florida v. Florida, No. 94-12</w:t>
      </w:r>
    </w:p>
    <w:p w:rsidR="00A31137" w:rsidRPr="00A31137" w:rsidRDefault="00A31137" w:rsidP="00A31137">
      <w:r w:rsidRPr="00A31137">
        <w:t>The dissent makes no effort to defend the decision in Union Gas, see post at ___, but nonetheless would find congressional power to abrogate in this case. 11 Contending that our decision is a novel extension of the Eleventh Amendment, the dissent chides us for "attend[ing]" to dicta. We adhere in this case, however, not to mere obiter dicta, but rather to the well established rationale upon which the Court based the results of its earlier decisions. When an opinion issues for the Court, it is not only the result, but also those portions of the opinion necessary to that result by which we are bound. Cf. Burnham v. Superior Court of Cal., County of Marin, 495 U.S. 604, 613 (1990) (exclusive basis of a judgment is not dicta) (plurality); Allegheny County v. American Civil Liberties Union, Greater Pittsburgh Chapter, 492 U.S. 573,  668 (1989) ("As a general rule, the principle of stare decisis directs us to adhere not only to the holdings of our prior cases, but also to their explications of the governing rules of law.") (KENNEDY, J., concurring and dissenting); Sheet Metal Workers v. EEOC, 478 U.S. 421, 490 (1986) ("Although technically dicta,…an important part of the Court's rationale for the result that it reache[s]…is entitled to greater weight…") (O'CONNOR, J., concurring). For over a century, we have grounded our decisions in the oft-repeated understanding of state sovereign immunity as an essential part of the Eleventh Amendment. In Principality of Monaco v. Mississippi, 292 U.S. 313 (1934), the Court held that the Eleventh Amendment barred a suit brought against a State by a foreign state. Chief Justice Hughes wrote for a unanimous Court:</w:t>
      </w:r>
    </w:p>
    <w:p w:rsidR="00A31137" w:rsidRPr="00A31137" w:rsidRDefault="00A31137" w:rsidP="00A31137">
      <w:r w:rsidRPr="00A31137">
        <w:t>1996, Seminole Tribe of Florida v. Florida, No. 94-12</w:t>
      </w:r>
    </w:p>
    <w:p w:rsidR="00A31137" w:rsidRPr="00A31137" w:rsidRDefault="00A31137" w:rsidP="00A31137">
      <w:r w:rsidRPr="00A31137">
        <w:t>[N]either the literal sweep of the words of Clause one of § 2 of Article III nor the absence of restriction in the letter of the Eleventh Amendment permits the conclusion that in all controversies of the sort described in Clause one, and omitted from the words of the Eleventh Amendment, a State may be sued without her consent. Thus Clause one specifically provides that the judicial power shall extend</w:t>
      </w:r>
    </w:p>
    <w:p w:rsidR="00A31137" w:rsidRPr="00A31137" w:rsidRDefault="00A31137" w:rsidP="00A31137">
      <w:r w:rsidRPr="00A31137">
        <w:t>1996, Seminole Tribe of Florida v. Florida, No. 94-12</w:t>
      </w:r>
    </w:p>
    <w:p w:rsidR="00A31137" w:rsidRPr="00A31137" w:rsidRDefault="00A31137" w:rsidP="00A31137">
      <w:r w:rsidRPr="00A31137">
        <w:t>to all Cases, in Law and Equity, arising under this Constitution, the Laws of the United States, and Treaties made, or which shall be made, under their Authority.</w:t>
      </w:r>
    </w:p>
    <w:p w:rsidR="00A31137" w:rsidRPr="00A31137" w:rsidRDefault="00A31137" w:rsidP="00A31137">
      <w:r w:rsidRPr="00A31137">
        <w:t>1996, Seminole Tribe of Florida v. Florida, No. 94-12</w:t>
      </w:r>
    </w:p>
    <w:p w:rsidR="00A31137" w:rsidRPr="00A31137" w:rsidRDefault="00A31137" w:rsidP="00A31137">
      <w:r w:rsidRPr="00A31137">
        <w:t>But, although a case may arise under the Constitution and laws of the United States, the judicial power does not extend to it if the suit is sought to be prosecuted against a State, without her consent, by one of her own citizens….</w:t>
      </w:r>
    </w:p>
    <w:p w:rsidR="00A31137" w:rsidRPr="00A31137" w:rsidRDefault="00A31137" w:rsidP="00A31137">
      <w:r w:rsidRPr="00A31137">
        <w:t>1996, Seminole Tribe of Florida v. Florida, No. 94-12</w:t>
      </w:r>
    </w:p>
    <w:p w:rsidR="00A31137" w:rsidRPr="00A31137" w:rsidRDefault="00A31137" w:rsidP="00A31137">
      <w:r w:rsidRPr="00A31137">
        <w:t>Manifestly, we cannot rest with a mere literal application of the words of § 2 of Article III, or assume that the letter of the Eleventh Amendment exhausts the restrictions upon suits against nonconsenting States. Behind the words of the constitutional provisions are postulates which limit and control. There is the essential postulate that the controversies, as contemplated, shall be found to be of a justiciable character. There is also the postulate that States of the Union, still possessing attributes of sovereignty, shall be immune from suits, without their consent, save where there has been a "surrender of this immunity in the plan of the convention."</w:t>
      </w:r>
    </w:p>
    <w:p w:rsidR="00A31137" w:rsidRPr="00A31137" w:rsidRDefault="00A31137" w:rsidP="00A31137">
      <w:r w:rsidRPr="00A31137">
        <w:t>1996, Seminole Tribe of Florida v. Florida, No. 94-12</w:t>
      </w:r>
    </w:p>
    <w:p w:rsidR="00A31137" w:rsidRPr="00A31137" w:rsidRDefault="00A31137" w:rsidP="00A31137">
      <w:r w:rsidRPr="00A31137">
        <w:t>Id. at 321-323 (citations and footnote omitted); see id. at 329-330; see also Pennhurst, 465 U.S. at 98 ("In short, the principle of sovereign immunity is a constitutional limitation on the federal judicial power established in Art. III"); Ex parte New York, 256 U.S. at 497 ("[T]he entire judicial power granted by the Constitution does not embrace authority to entertain a suit brought by private parties against a State without consent given…"). It is true that we have not had occasion previously to apply established Eleventh Amendment principles to the question whether Congress has the power to abrogate state sovereign immunity (save in Union Gas). But consideration of that question must proceed with fidelity to this century-old doctrine.</w:t>
      </w:r>
    </w:p>
    <w:p w:rsidR="00A31137" w:rsidRPr="00A31137" w:rsidRDefault="00A31137" w:rsidP="00A31137">
      <w:r w:rsidRPr="00A31137">
        <w:t>1996, Seminole Tribe of Florida v. Florida, No. 94-12</w:t>
      </w:r>
    </w:p>
    <w:p w:rsidR="00A31137" w:rsidRPr="00A31137" w:rsidRDefault="00A31137" w:rsidP="00A31137">
      <w:r w:rsidRPr="00A31137">
        <w:t>The dissent, to the contrary, disregards our case law in favor of a theory cobbled together from law review articles and its own version of historical events. The dissent cites not a single decision since Hans (other than Union Gas) that supports its view of state sovereign immunity, instead relying upon the now-discredited decision in Chisholm v. Georgia, 2 Dall. 419 (1793). See, e.g., post at ___ n. 47. Its undocumented and highly speculative extralegal explanation of the decision in Hans is a disservice to the Court's traditional method of adjudication. See post at ___.</w:t>
      </w:r>
    </w:p>
    <w:p w:rsidR="00A31137" w:rsidRPr="00A31137" w:rsidRDefault="00A31137" w:rsidP="00A31137">
      <w:r w:rsidRPr="00A31137">
        <w:t>1996, Seminole Tribe of Florida v. Florida, No. 94-12</w:t>
      </w:r>
    </w:p>
    <w:p w:rsidR="00A31137" w:rsidRPr="00A31137" w:rsidRDefault="00A31137" w:rsidP="00A31137">
      <w:r w:rsidRPr="00A31137">
        <w:t>The dissent mischaracterizes the Hans opinion. That decision found its roots not solely in the common law of England, but in the much more fundamental "'jurisprudence in all civilized nations.'" Hans, 134 U.S. at  17, quoting Beers v. Arkansas, 20 How. 527, 529 (1858); see also The Federalist No. 81, p. 487 (C. Rossiter ed. 1961) (A. Hamilton) (sovereign immunity "is the general sense and the general practice of mankind"). The dissent's proposition that the common law of England, where adopted by the States, was open to change by the legislature, is wholly unexceptionable and largely beside the point:   that common law provided the substantive rules of law rather than jurisdiction. Cf. Monaco, supra, at 323 (state sovereign immunity, like the requirement that there be a "justiciable" controversy, is a constitutionally grounded limit on federal jurisdiction). It also is noteworthy that the principle of state sovereign immunity stands distinct from other principles of the common law in that only the former prompted a specific constitutional amendment.</w:t>
      </w:r>
    </w:p>
    <w:p w:rsidR="00A31137" w:rsidRPr="00A31137" w:rsidRDefault="00A31137" w:rsidP="00A31137">
      <w:r w:rsidRPr="00A31137">
        <w:t>1996, Seminole Tribe of Florida v. Florida, No. 94-12</w:t>
      </w:r>
    </w:p>
    <w:p w:rsidR="00A31137" w:rsidRPr="00A31137" w:rsidRDefault="00A31137" w:rsidP="00A31137">
      <w:r w:rsidRPr="00A31137">
        <w:t>Hans—with a much closer vantage point than the dissent—recognized that the decision in Chisholm was contrary to the well understood meaning of the Constitution. The dissent's conclusion that the decision in Chisholm was "reasonable," post at ___, certainly would have struck the Framers of the Eleventh Amendment as quite odd: that decision created "such a shock of surprise that the Eleventh Amendment was at once proposed and adopted." Monaco, supra, at 325. The dissent's lengthy analysis of the text of the Eleventh Amendment is directed at a straw man—we long have recognized that blind reliance upon the text of the Eleventh Amendment is "'to strain the Constitution and the law to a construction never imagined or dreamed of.'" Monaco, 292 U.S. at 326, quoting Hans, 134 U.S. at  15. The text dealt in terms only with the problem presented by the decision in Chisholm; in light of the fact that the federal courts did not have federal question jurisdiction at the time the Amendment was passed (and would not have it until 1875), it seems unlikely that much thought was given to the prospect of federal question jurisdiction over the States.</w:t>
      </w:r>
    </w:p>
    <w:p w:rsidR="00A31137" w:rsidRPr="00A31137" w:rsidRDefault="00A31137" w:rsidP="00A31137">
      <w:r w:rsidRPr="00A31137">
        <w:t>1996, Seminole Tribe of Florida v. Florida, No. 94-12</w:t>
      </w:r>
    </w:p>
    <w:p w:rsidR="00A31137" w:rsidRPr="00A31137" w:rsidRDefault="00A31137" w:rsidP="00A31137">
      <w:r w:rsidRPr="00A31137">
        <w:t>That same consideration causes the dissent's criticism of the views of Marshall, Madison, and Hamilton to ring hollow. The dissent cites statements made by those three influential Framers, the most natural reading of which would preclude all federal jurisdiction over an unconsenting State. 12 Struggling against this reading, however, the dissent finds significant the absence of any contention that sovereign immunity would affect the new federal question jurisdiction. Post at ___. But the lack of any statute vesting general federal question jurisdiction in the federal courts until much later makes the dissent's demand for greater specificity about a then-dormant jurisdiction overly exacting. 13</w:t>
      </w:r>
    </w:p>
    <w:p w:rsidR="00A31137" w:rsidRPr="00A31137" w:rsidRDefault="00A31137" w:rsidP="00A31137">
      <w:r w:rsidRPr="00A31137">
        <w:t>1996, Seminole Tribe of Florida v. Florida, No. 94-12</w:t>
      </w:r>
    </w:p>
    <w:p w:rsidR="00A31137" w:rsidRPr="00A31137" w:rsidRDefault="00A31137" w:rsidP="00A31137">
      <w:r w:rsidRPr="00A31137">
        <w:t>In putting forward a new theory of state sovereign immunity, the dissent develops its own vision of the political system created by the Framers, concluding with the statement that</w:t>
      </w:r>
    </w:p>
    <w:p w:rsidR="00A31137" w:rsidRPr="00A31137" w:rsidRDefault="00A31137" w:rsidP="00A31137">
      <w:r w:rsidRPr="00A31137">
        <w:t>1996, Seminole Tribe of Florida v. Florida, No. 94-12</w:t>
      </w:r>
    </w:p>
    <w:p w:rsidR="00A31137" w:rsidRPr="00A31137" w:rsidRDefault="00A31137" w:rsidP="00A31137">
      <w:r w:rsidRPr="00A31137">
        <w:t>[t]he Framer's principal objectives in rejecting English theories of unitary sovereignty…would have been impeded if a new concept of sovereign immunity had taken its place in federal question cases, and would have been substantially thwarted if that new immunity had been held untouchable by any congressional effort to abrogate it. 14</w:t>
      </w:r>
    </w:p>
    <w:p w:rsidR="00A31137" w:rsidRPr="00A31137" w:rsidRDefault="00A31137" w:rsidP="00A31137">
      <w:r w:rsidRPr="00A31137">
        <w:t>1996, Seminole Tribe of Florida v. Florida, No. 94-12</w:t>
      </w:r>
    </w:p>
    <w:p w:rsidR="00A31137" w:rsidRPr="00A31137" w:rsidRDefault="00A31137" w:rsidP="00A31137">
      <w:r w:rsidRPr="00A31137">
        <w:t>Post at ___. This sweeping statement ignores the fact that the Nation survived for nearly two centuries without the question of the existence of such power ever being presented to this Court. And Congress itself waited nearly a century before even conferring federal question jurisdiction on the lower federal courts. 15</w:t>
      </w:r>
    </w:p>
    <w:p w:rsidR="00A31137" w:rsidRPr="00A31137" w:rsidRDefault="00A31137" w:rsidP="00A31137">
      <w:r w:rsidRPr="00A31137">
        <w:t>1996, Seminole Tribe of Florida v. Florida, No. 94-12</w:t>
      </w:r>
    </w:p>
    <w:p w:rsidR="00A31137" w:rsidRPr="00A31137" w:rsidRDefault="00A31137" w:rsidP="00A31137">
      <w:r w:rsidRPr="00A31137">
        <w:t>In overruling Union Gas today, we reconfirm that the background principle of state sovereign immunity embodied in the Eleventh Amendment is not so ephemeral as to dissipate when the subject of the suit is an area, like the regulation of Indian commerce, that is under the exclusive control of the Federal Government. Even when the Constitution vests in Congress complete lawmaking authority over a particular area, the Eleventh Amendment prevents congressional authorization of suits by private parties against unconsenting States. 16 The Eleventh Amendment restricts the judicial power under Article III, and Article I cannot be used to circumvent the constitutional limitations placed upon federal jurisdiction. Petitioner's suit against the State of Florida must be dismissed for a lack of jurisdiction.</w:t>
      </w:r>
    </w:p>
    <w:p w:rsidR="00A31137" w:rsidRPr="00A31137" w:rsidRDefault="00A31137" w:rsidP="00A31137">
      <w:r w:rsidRPr="00A31137">
        <w:t>III</w:t>
      </w:r>
    </w:p>
    <w:p w:rsidR="00A31137" w:rsidRPr="00A31137" w:rsidRDefault="00A31137" w:rsidP="00A31137">
      <w:r w:rsidRPr="00A31137">
        <w:t>1996, Seminole Tribe of Florida v. Florida, No. 94-12</w:t>
      </w:r>
    </w:p>
    <w:p w:rsidR="00A31137" w:rsidRPr="00A31137" w:rsidRDefault="00A31137" w:rsidP="00A31137">
      <w:r w:rsidRPr="00A31137">
        <w:t>Petitioner argues that we may exercise jurisdiction over its suit to enforce § 2710(d)(3) against the Governor notwithstanding the jurisdictional bar of the Eleventh Amendment. Petitioner notes that since our decision in Ex parte Young, 209 U.S. 123 (1908), we often have found federal jurisdiction over a suit against a state official when that suit seeks only prospective injunctive relief in order to "end a continuing violation of federal law." Green v. Mansour, 474 U.S. at 68. The situation presented here, however, is sufficiently different from that giving rise to the traditional Ex parte Young action so as to preclude the availability of that doctrine.</w:t>
      </w:r>
    </w:p>
    <w:p w:rsidR="00A31137" w:rsidRPr="00A31137" w:rsidRDefault="00A31137" w:rsidP="00A31137">
      <w:r w:rsidRPr="00A31137">
        <w:t>1996, Seminole Tribe of Florida v. Florida, No. 94-12</w:t>
      </w:r>
    </w:p>
    <w:p w:rsidR="00A31137" w:rsidRPr="00A31137" w:rsidRDefault="00A31137" w:rsidP="00A31137">
      <w:r w:rsidRPr="00A31137">
        <w:t xml:space="preserve"> Here, the "continuing violation of federal law" alleged by petitioner is the Governor's failure to bring the State into compliance with § 2710(d)(3). But the duty to negotiate imposed upon the State by that statutory provision does not stand alone. Rather, as we have seen, supra at ___, Congress passed § 2710(d)(3) in conjunction with the carefully crafted and intricate remedial scheme set forth in § 2710(d)(7).</w:t>
      </w:r>
    </w:p>
    <w:p w:rsidR="00A31137" w:rsidRPr="00A31137" w:rsidRDefault="00A31137" w:rsidP="00A31137">
      <w:r w:rsidRPr="00A31137">
        <w:t>1996, Seminole Tribe of Florida v. Florida, No. 94-12</w:t>
      </w:r>
    </w:p>
    <w:p w:rsidR="00A31137" w:rsidRPr="00A31137" w:rsidRDefault="00A31137" w:rsidP="00A31137">
      <w:r w:rsidRPr="00A31137">
        <w:t>Where Congress has created a remedial scheme for the enforcement of a particular federal right, we have, in suits against federal officers, refused to supplement that scheme with one created by the judiciary. Schweiker v. Chilicky, 487 U.S. 412, 423 (1988) ("When the design of a Government program suggests that Congress has provided what it considers adequate remedial mechanisms for constitutional violations that may occur in the course of its administration, we have not created additional…remedies"). Here, of course, the question is not whether a remedy should be created, but instead is whether the Eleventh Amendment bar should be lifted, as it was in Ex parte Young, in order to allow a suit against a state officer. Nevertheless, we think that the same general principle applies: therefore, where Congress has prescribed a detailed remedial scheme for the enforcement against a State of a statutorily created right, a court should hesitate before casting aside those limitations and permitting an action against a state officer based upon Ex parte Young.</w:t>
      </w:r>
    </w:p>
    <w:p w:rsidR="00A31137" w:rsidRPr="00A31137" w:rsidRDefault="00A31137" w:rsidP="00A31137">
      <w:r w:rsidRPr="00A31137">
        <w:t>1996, Seminole Tribe of Florida v. Florida, No. 94-12</w:t>
      </w:r>
    </w:p>
    <w:p w:rsidR="00A31137" w:rsidRPr="00A31137" w:rsidRDefault="00A31137" w:rsidP="00A31137">
      <w:r w:rsidRPr="00A31137">
        <w:t>Here, Congress intended § 2710(d)(3) to be enforced against the State in an action brought under § 2710(d)(7); the intricate procedures set forth in that provision show that Congress intended therein not only to define, but also significantly to limit, the duty imposed by § 2710-(d)(3). For example, where the court finds that the State has failed to negotiate in good faith, the only remedy prescribed is an order directing the State and the Indian tribe to conclude a compact within 60 days. And if the parties disregard the court's order and fail to conclude a compact within the 60-day period, the only sanction is that each party then must submit a proposed compact to a mediator who selects the one which best embodies the terms of the Act. Finally, if the State fails to accept the compact selected by the mediator, the only sanction against it is that the mediator shall notify the Secretary of the Interior, who then must prescribe regulations governing Class III gaming on the tribal lands at issue. By contrast with this quite modest set of sanctions, an action brought against a state official under Ex parte Young would expose that official to the full remedial powers of a federal court, including, presumably, contempt sanctions. If § 2710(d)(3) could be enforced in a suit under Ex parte Young, § 2710(d)(7) would have been superfluous; it is difficult to see why an Indian tribe would suffer through the intricate scheme of § 2710(d)(7) when more complete and more immediate relief would be available under Ex parte Young. 17</w:t>
      </w:r>
    </w:p>
    <w:p w:rsidR="00A31137" w:rsidRPr="00A31137" w:rsidRDefault="00A31137" w:rsidP="00A31137">
      <w:r w:rsidRPr="00A31137">
        <w:t>1996, Seminole Tribe of Florida v. Florida, No. 94-12</w:t>
      </w:r>
    </w:p>
    <w:p w:rsidR="00A31137" w:rsidRPr="00A31137" w:rsidRDefault="00A31137" w:rsidP="00A31137">
      <w:r w:rsidRPr="00A31137">
        <w:t>Here, of course, we have found that Congress does not have authority under the Constitution to make the State suable in federal court under § 2710(d)(7). Nevertheless, the fact that Congress chose to impose upon the State a liability which is significantly more limited than would be the liability imposed upon the state officer under Ex parte Young strongly indicates that Congress had no wish to create the latter under § 2710(d)(3). Nor are we free to rewrite the statutory scheme in order to approximate what we think Congress might have wanted had it known that § 2710(d)(7) was beyond its authority. If that effort is to be made, it should be made by Congress, and not by the federal courts. We hold that Ex parte Young is inapplicable to petitioner's suit against the Governor of Florida, and therefore that suit is barred by the Eleventh Amendment and must be dismissed for a lack of jurisdiction.</w:t>
      </w:r>
    </w:p>
    <w:p w:rsidR="00A31137" w:rsidRPr="00A31137" w:rsidRDefault="00A31137" w:rsidP="00A31137">
      <w:r w:rsidRPr="00A31137">
        <w:t>IV</w:t>
      </w:r>
    </w:p>
    <w:p w:rsidR="00A31137" w:rsidRPr="00A31137" w:rsidRDefault="00A31137" w:rsidP="00A31137">
      <w:r w:rsidRPr="00A31137">
        <w:t>1996, Seminole Tribe of Florida v. Florida, No. 94-12</w:t>
      </w:r>
    </w:p>
    <w:p w:rsidR="00A31137" w:rsidRPr="00A31137" w:rsidRDefault="00A31137" w:rsidP="00A31137">
      <w:r w:rsidRPr="00A31137">
        <w:t>The Eleventh Amendment prohibits Congress from making the State of Florida capable of being sued in federal court. The narrow exception to the Eleventh Amendment provided by the Ex parte Young doctrine cannot be used to enforce § 2710(d)(3) because Congress enacted a remedial scheme, § 2710(d)(7), specifically designed for the enforcement of that right. The Eleventh Circuit's dismissal of petitioner's suit is hereby affirmed. 18</w:t>
      </w:r>
    </w:p>
    <w:p w:rsidR="00A31137" w:rsidRPr="00A31137" w:rsidRDefault="00A31137" w:rsidP="00A31137">
      <w:r w:rsidRPr="00A31137">
        <w:t>1996, Seminole Tribe of Florida v. Florida, No. 94-12</w:t>
      </w:r>
    </w:p>
    <w:p w:rsidR="00A31137" w:rsidRPr="00A31137" w:rsidRDefault="00A31137" w:rsidP="00A31137">
      <w:r w:rsidRPr="00A31137">
        <w:t>It is so ordered.</w:t>
      </w:r>
    </w:p>
    <w:p w:rsidR="00A31137" w:rsidRPr="00A31137" w:rsidRDefault="00A31137" w:rsidP="00A31137">
      <w:r w:rsidRPr="00A31137">
        <w:t>STEVENS, J., dissenting</w:t>
      </w:r>
    </w:p>
    <w:p w:rsidR="00A31137" w:rsidRPr="00A31137" w:rsidRDefault="00A31137" w:rsidP="00A31137">
      <w:r w:rsidRPr="00A31137">
        <w:t>1996, Seminole Tribe of Florida v. Florida, No. 94-12</w:t>
      </w:r>
    </w:p>
    <w:p w:rsidR="00A31137" w:rsidRPr="00A31137" w:rsidRDefault="00A31137" w:rsidP="00A31137">
      <w:r w:rsidRPr="00A31137">
        <w:t>JUSTICE STEVENS, dissenting.</w:t>
      </w:r>
    </w:p>
    <w:p w:rsidR="00A31137" w:rsidRPr="00A31137" w:rsidRDefault="00A31137" w:rsidP="00A31137">
      <w:r w:rsidRPr="00A31137">
        <w:t>1996, Seminole Tribe of Florida v. Florida, No. 94-12</w:t>
      </w:r>
    </w:p>
    <w:p w:rsidR="00A31137" w:rsidRPr="00A31137" w:rsidRDefault="00A31137" w:rsidP="00A31137">
      <w:r w:rsidRPr="00A31137">
        <w:t>This case is about power—the power of the Congress of the United States to create a private federal cause of action against a State, or its Governor, for the violation of a federal right. In Chisholm v. Georgia, 2 Dall. 419 (1793), the entire Court—including Justice Iredell, whose dissent provided the blueprint for the Eleventh Amendment—assumed that Congress had such power. In Hans v. Louisiana, 134 U.S. 1 (1890)—a case the Court purports to follow today—the Court again assumed that Congress had such power. In Fitzpatrick v. Bitzer, 427 U.S. 445 (1976), and Pennsylvania v. Union Gas Co., 491 U.S. 1, 24 (1989) (STEVENS, J., concurring), the Court squarely held that Congress has such power. In a series of cases beginning with Atascadero State Hospital v. Scanlon, 473 U.S. 234, 238-239 (1985), the Court formulated a special "clear statement rule" to determine whether specific Acts of Congress contained an effective exercise of that power. Nevertheless, in a sharp break with the past, today the Court holds that, with the narrow and illogical exception of statutes enacted pursuant to the Enforcement Clause of the Fourteenth Amendment, Congress has no such power.</w:t>
      </w:r>
    </w:p>
    <w:p w:rsidR="00A31137" w:rsidRPr="00A31137" w:rsidRDefault="00A31137" w:rsidP="00A31137">
      <w:r w:rsidRPr="00A31137">
        <w:t>1996, Seminole Tribe of Florida v. Florida, No. 94-12</w:t>
      </w:r>
    </w:p>
    <w:p w:rsidR="00A31137" w:rsidRPr="00A31137" w:rsidRDefault="00A31137" w:rsidP="00A31137">
      <w:r w:rsidRPr="00A31137">
        <w:t>The importance of the majority's decision to overrule the Court's holding in Pennsylvania v. Union Gas Co. cannot be overstated. The majority's opinion does not simply preclude Congress from establishing the rather curious statutory scheme under which Indian tribes may seek the aid of a federal court to secure a State's good faith negotiations over gaming regulations.   Rather, it prevents Congress from providing a federal forum for a broad range of actions against States, from those sounding in copyright and patent law, to those concerning bankruptcy, environmental law, and the regulation of our vast national economy. 1</w:t>
      </w:r>
    </w:p>
    <w:p w:rsidR="00A31137" w:rsidRPr="00A31137" w:rsidRDefault="00A31137" w:rsidP="00A31137">
      <w:r w:rsidRPr="00A31137">
        <w:t>1996, Seminole Tribe of Florida v. Florida, No. 94-12</w:t>
      </w:r>
    </w:p>
    <w:p w:rsidR="00A31137" w:rsidRPr="00A31137" w:rsidRDefault="00A31137" w:rsidP="00A31137">
      <w:r w:rsidRPr="00A31137">
        <w:t>There may be room for debate over whether, in light of the Eleventh Amendment, Congress has the power to ensure that such a cause of action may be enforced in federal court by a citizen of another State or a foreign citizen. There can be no serious debate, however, over whether Congress has the power to ensure that such a cause of action may be brought by a citizen of the State being sued. Congress' authority in that regard is clear.</w:t>
      </w:r>
    </w:p>
    <w:p w:rsidR="00A31137" w:rsidRPr="00A31137" w:rsidRDefault="00A31137" w:rsidP="00A31137">
      <w:r w:rsidRPr="00A31137">
        <w:t>1996, Seminole Tribe of Florida v. Florida, No. 94-12</w:t>
      </w:r>
    </w:p>
    <w:p w:rsidR="00A31137" w:rsidRPr="00A31137" w:rsidRDefault="00A31137" w:rsidP="00A31137">
      <w:r w:rsidRPr="00A31137">
        <w:t>As JUSTICE SOUTER has convincingly demonstrated, the Court's contrary conclusion is profoundly misguided. Despite the thoroughness of his analysis, supported by sound reason, history, precedent, and strikingly uniform scholarly commentary, the shocking character of the majority's affront to a coequal branch of our Government merits additional comment.</w:t>
      </w:r>
    </w:p>
    <w:p w:rsidR="00A31137" w:rsidRPr="00A31137" w:rsidRDefault="00A31137" w:rsidP="00A31137">
      <w:r w:rsidRPr="00A31137">
        <w:t>I</w:t>
      </w:r>
    </w:p>
    <w:p w:rsidR="00A31137" w:rsidRPr="00A31137" w:rsidRDefault="00A31137" w:rsidP="00A31137">
      <w:r w:rsidRPr="00A31137">
        <w:t>1996, Seminole Tribe of Florida v. Florida, No. 94-12</w:t>
      </w:r>
    </w:p>
    <w:p w:rsidR="00A31137" w:rsidRPr="00A31137" w:rsidRDefault="00A31137" w:rsidP="00A31137">
      <w:r w:rsidRPr="00A31137">
        <w:t>For the purpose of deciding this case, I can readily assume that Justice Iredell's dissent in Chisholm v. Georgia, 2 Dall. at 429-450, and the Court's opinion in Hans v. Louisiana, 134 U.S. 1 (1890), correctly stated the law that should govern our decision today. As I shall explain, both of those opinions relied on an interpretation of an Act of Congress, rather than a want of congressional power to authorize a suit against the State.</w:t>
      </w:r>
    </w:p>
    <w:p w:rsidR="00A31137" w:rsidRPr="00A31137" w:rsidRDefault="00A31137" w:rsidP="00A31137">
      <w:r w:rsidRPr="00A31137">
        <w:t>1996, Seminole Tribe of Florida v. Florida, No. 94-12</w:t>
      </w:r>
    </w:p>
    <w:p w:rsidR="00A31137" w:rsidRPr="00A31137" w:rsidRDefault="00A31137" w:rsidP="00A31137">
      <w:r w:rsidRPr="00A31137">
        <w:t>In concluding that the federal courts could not entertain Chisholm's action against the State of Georgia, Justice Iredell relied on the text of the Judiciary Act of 1789, not the State's assertion that Article III did not extend the judicial power to suits against unconsenting States. Justice Iredell argued that, under Article III, federal courts possessed only such jurisdiction as Congress had provided, and that the Judiciary Act expressly limited federal court jurisdiction to that which could be exercised in accordance with "'the principles and usages of law.'" Chisholm v. Georgia, 2 Dall. at  434 (quoting § 14 of the Judiciary Act of 1789). He reasoned that the inclusion of this phrase constituted a command to the federal courts to construe their jurisdiction in light of the prevailing common law, a background legal regime which he believed incorporated the doctrine of sovereign immunity. Chisholm v. Georgia, 2 Dall. at 434-436 (Iredell, J., dissenting). 2</w:t>
      </w:r>
    </w:p>
    <w:p w:rsidR="00A31137" w:rsidRPr="00A31137" w:rsidRDefault="00A31137" w:rsidP="00A31137">
      <w:r w:rsidRPr="00A31137">
        <w:t>1996, Seminole Tribe of Florida v. Florida, No. 94-12</w:t>
      </w:r>
    </w:p>
    <w:p w:rsidR="00A31137" w:rsidRPr="00A31137" w:rsidRDefault="00A31137" w:rsidP="00A31137">
      <w:r w:rsidRPr="00A31137">
        <w:t>Because Justice Iredell believed that the expansive text of Article III did not prevent Congress from imposing this common law limitation on federal court jurisdiction, he concluded that judges had no authority to entertain a suit against an unconsenting State. 3 At the same time, although he acknowledged that the Constitution might allow Congress to extend federal court jurisdiction to such an action, he concluded that the terms of the Judiciary Act of 1789 plainly had not done so.</w:t>
      </w:r>
    </w:p>
    <w:p w:rsidR="00A31137" w:rsidRPr="00A31137" w:rsidRDefault="00A31137" w:rsidP="00A31137">
      <w:r w:rsidRPr="00A31137">
        <w:t>1996, Seminole Tribe of Florida v. Florida, No. 94-12</w:t>
      </w:r>
    </w:p>
    <w:p w:rsidR="00A31137" w:rsidRPr="00A31137" w:rsidRDefault="00A31137" w:rsidP="00A31137">
      <w:r w:rsidRPr="00A31137">
        <w:t>[Congress'] direction, I apprehend, we cannot supersede because it may appear to us not sufficiently extensive. If it be not, we must wait till other remedies are provided by the same authority. From this it is plain that the Legislature did not chuse to leave to our own discretion the path to justice, but has prescribed one of its own. In doing so, it has, I think, wisely, referred us to principles and usages of law already well known, and by their precision calculated to guard against the innovating spirit of Courts of Justice, which the Attorney-General in another case reprobated with so much warmth, and with whose sentiments in that particular I most cordially join.</w:t>
      </w:r>
    </w:p>
    <w:p w:rsidR="00A31137" w:rsidRPr="00A31137" w:rsidRDefault="00A31137" w:rsidP="00A31137">
      <w:r w:rsidRPr="00A31137">
        <w:t>1996, Seminole Tribe of Florida v. Florida, No. 94-12</w:t>
      </w:r>
    </w:p>
    <w:p w:rsidR="00A31137" w:rsidRPr="00A31137" w:rsidRDefault="00A31137" w:rsidP="00A31137">
      <w:r w:rsidRPr="00A31137">
        <w:t>Id. at  434 (emphasis added).</w:t>
      </w:r>
    </w:p>
    <w:p w:rsidR="00A31137" w:rsidRPr="00A31137" w:rsidRDefault="00A31137" w:rsidP="00A31137">
      <w:r w:rsidRPr="00A31137">
        <w:t>1996, Seminole Tribe of Florida v. Florida, No. 94-12</w:t>
      </w:r>
    </w:p>
    <w:p w:rsidR="00A31137" w:rsidRPr="00A31137" w:rsidRDefault="00A31137" w:rsidP="00A31137">
      <w:r w:rsidRPr="00A31137">
        <w:t>For Justice Iredell, then, it was enough to assume that Article III permitted Congress to impose sovereign immunity as a jurisdictional limitation; he did not proceed to resolve the further question whether the Constitution went so far as to prevent Congress from withdrawing a State's immunity. 4 Thus, it would be ironic to construe the Chisholm dissent as precedent for the conclusion that Article III limits Congress' power to determine the scope of a State's sovereign immunity in federal court.</w:t>
      </w:r>
    </w:p>
    <w:p w:rsidR="00A31137" w:rsidRPr="00A31137" w:rsidRDefault="00A31137" w:rsidP="00A31137">
      <w:r w:rsidRPr="00A31137">
        <w:t>1996, Seminole Tribe of Florida v. Florida, No. 94-12</w:t>
      </w:r>
    </w:p>
    <w:p w:rsidR="00A31137" w:rsidRPr="00A31137" w:rsidRDefault="00A31137" w:rsidP="00A31137">
      <w:r w:rsidRPr="00A31137">
        <w:t>The precise holding in Chisholm is difficult to state, because each of the Justices in the majority wrote his own opinion. They seem to have held, however, not that the Judiciary Act of 1789 precluded the defense of sovereign immunity, but that Article III of the Constitution itself required the Supreme Court to entertain original actions against unconsenting States. 5 I agree with Justice Iredell that such a construction of Article III is incorrect; that Article should not then have been construed, and should not now be construed, to prevent Congress from granting States a sovereign immunity defense in such cases. 6 That reading of Article III, however, explains why the majority's holding in Chisholm could not have been reversed by a simple statutory amendment adopting Justice Iredell's interpretation of the Judiciary Act of 1789. There is a special irony in the fact that the error committed by the Chisholm majority was its decision that this Court, rather than Congress, should define the scope of the sovereign immunity defense. That, of course, is precisely the same error the Court commits today.</w:t>
      </w:r>
    </w:p>
    <w:p w:rsidR="00A31137" w:rsidRPr="00A31137" w:rsidRDefault="00A31137" w:rsidP="00A31137">
      <w:r w:rsidRPr="00A31137">
        <w:t>1996, Seminole Tribe of Florida v. Florida, No. 94-12</w:t>
      </w:r>
    </w:p>
    <w:p w:rsidR="00A31137" w:rsidRPr="00A31137" w:rsidRDefault="00A31137" w:rsidP="00A31137">
      <w:r w:rsidRPr="00A31137">
        <w:t>In light of the nature of the disagreement between Justice Iredell and his colleagues, Chisholm's holding could have been overturned by simply amending the Constitution to restore to Congress the authority to recognize the doctrine. As it was, the plain text of the Eleventh Amendment would seem to go further and to limit the judicial power itself in a certain class of cases. In doing so, however, the Amendment's quite explicit text establishes only a partial bar to a federal court's power to entertain a suit against a State. 7</w:t>
      </w:r>
    </w:p>
    <w:p w:rsidR="00A31137" w:rsidRPr="00A31137" w:rsidRDefault="00A31137" w:rsidP="00A31137">
      <w:r w:rsidRPr="00A31137">
        <w:t>1996, Seminole Tribe of Florida v. Florida, No. 94-12</w:t>
      </w:r>
    </w:p>
    <w:p w:rsidR="00A31137" w:rsidRPr="00A31137" w:rsidRDefault="00A31137" w:rsidP="00A31137">
      <w:r w:rsidRPr="00A31137">
        <w:t>Justice Brennan has persuasively explained that the Eleventh Amendment's jurisdictional restriction is best understood to apply only to suits premised on diversity jurisdiction, see Atascadero State Hospital v. Scanlon, 473 U.S. 234, 247 (1985) (dissenting opinion), and JUSTICE SCALIA has agreed that the plain text of the Amendment cannot be read to apply to federal question cases. See Pennsylvania v. Union Gas, 491 U.S. at 31 (dissenting opinion). 8 Whatever the precise dimensions of the Amendment, its express terms plainly do not apply to all suits brought against unconsenting States. 9 The question thus becomes whether the relatively modest jurisdictional bar that the Eleventh Amendment imposes should be understood to reveal that a more general jurisdictional bar implicitly inheres in Article III.</w:t>
      </w:r>
    </w:p>
    <w:p w:rsidR="00A31137" w:rsidRPr="00A31137" w:rsidRDefault="00A31137" w:rsidP="00A31137">
      <w:r w:rsidRPr="00A31137">
        <w:t>1996, Seminole Tribe of Florida v. Florida, No. 94-12</w:t>
      </w:r>
    </w:p>
    <w:p w:rsidR="00A31137" w:rsidRPr="00A31137" w:rsidRDefault="00A31137" w:rsidP="00A31137">
      <w:r w:rsidRPr="00A31137">
        <w:t>The language of Article III certainly gives no indication that such an implicit bar exists. That provision's text specifically provides for federal court jurisdiction over all cases arising under federal law. Moreover, as I have explained, Justice Iredell's dissent argued that it was the Judiciary Act of 1789, not Article III, that prevented the federal courts from entertaining Chisholm's diversity action against Georgia. Therefore, Justice Iredell's analysis at least suggests that it was by no means a fixed view at the time of the founding that Article III prevented Congress from rendering States suable in federal court by their own citizens. In sum, little more than speculation justifies the conclusion that the Eleventh Amendment's express but partial limitation on the scope of Article III reveals that an implicit but more general one was already in place.</w:t>
      </w:r>
    </w:p>
    <w:p w:rsidR="00A31137" w:rsidRPr="00A31137" w:rsidRDefault="00A31137" w:rsidP="00A31137">
      <w:r w:rsidRPr="00A31137">
        <w:t>II</w:t>
      </w:r>
    </w:p>
    <w:p w:rsidR="00A31137" w:rsidRPr="00A31137" w:rsidRDefault="00A31137" w:rsidP="00A31137">
      <w:r w:rsidRPr="00A31137">
        <w:t>1996, Seminole Tribe of Florida v. Florida, No. 94-12</w:t>
      </w:r>
    </w:p>
    <w:p w:rsidR="00A31137" w:rsidRPr="00A31137" w:rsidRDefault="00A31137" w:rsidP="00A31137">
      <w:r w:rsidRPr="00A31137">
        <w:t>The majority appears to acknowledge that one cannot deduce from either the text of Article III or the plain terms of the Eleventh Amendment that the judicial power does not extend to a congressionally created cause of action against a State brought by one of that State's citizens. Nevertheless, the majority asserts that precedent compels that same conclusion. I disagree. The majority relies first on our decision in Hans v. Louisiana, 134 U.S. 1 (1890), which involved a suit by a citizen of Louisiana against that State for a claimed violation of the Contracts Clause. The majority suggests that by dismissing the suit, Hans effectively held that federal courts have no power to hear federal question suits brought by same-state plaintiffs.</w:t>
      </w:r>
    </w:p>
    <w:p w:rsidR="00A31137" w:rsidRPr="00A31137" w:rsidRDefault="00A31137" w:rsidP="00A31137">
      <w:r w:rsidRPr="00A31137">
        <w:t>1996, Seminole Tribe of Florida v. Florida, No. 94-12</w:t>
      </w:r>
    </w:p>
    <w:p w:rsidR="00A31137" w:rsidRPr="00A31137" w:rsidRDefault="00A31137" w:rsidP="00A31137">
      <w:r w:rsidRPr="00A31137">
        <w:t>Hans does not hold, however, that the Eleventh Amendment, or any other constitutional provision, precludes federal courts from entertaining actions brought by citizens against their own States in the face of contrary congressional direction. As I have explained before, see Pennsylvania v. Union Gas Co., 491 U.S. at 25-26 (STEVENS, J., concurring), and as JUSTICE SOUTER effectively demonstrates, Hans instead reflects, at the most, this Court's conclusion that, as a matter of federal common law, federal courts should decline to entertain suits against unconsenting States. Because Hans did not announce a constitutionally mandated jurisdictional bar, one need not overrule Hans, or even question its reasoning, in order to conclude that Congress may direct the federal courts to reject sovereign immunity in those suits not mentioned by the Eleventh Amendment. Instead, one need only follow it.</w:t>
      </w:r>
    </w:p>
    <w:p w:rsidR="00A31137" w:rsidRPr="00A31137" w:rsidRDefault="00A31137" w:rsidP="00A31137">
      <w:r w:rsidRPr="00A31137">
        <w:t>1996, Seminole Tribe of Florida v. Florida, No. 94-12</w:t>
      </w:r>
    </w:p>
    <w:p w:rsidR="00A31137" w:rsidRPr="00A31137" w:rsidRDefault="00A31137" w:rsidP="00A31137">
      <w:r w:rsidRPr="00A31137">
        <w:t>Justice Bradley's somewhat cryptic opinion for the Court in Hans relied expressly on the reasoning of Justice Iredell's dissent in Chisholm, which, of course, was premised on the view that the doctrine of state sovereign immunity was a common law rule that Congress had directed federal courts to respect, not a constitutional immunity that Congress was powerless to displace. For that reason, Justice Bradley explained that the State's immunity from suit by one of its own citizens was based not on a constitutional rule but rather on the fact that Congress had not, by legislation, attempted to overcome the common law presumption of sovereign immunity. His analysis so clearly supports the position rejected by the majority today that it is worth quoting at length.</w:t>
      </w:r>
    </w:p>
    <w:p w:rsidR="00A31137" w:rsidRPr="00A31137" w:rsidRDefault="00A31137" w:rsidP="00A31137">
      <w:r w:rsidRPr="00A31137">
        <w:t>1996, Seminole Tribe of Florida v. Florida, No. 94-12</w:t>
      </w:r>
    </w:p>
    <w:p w:rsidR="00A31137" w:rsidRPr="00A31137" w:rsidRDefault="00A31137" w:rsidP="00A31137">
      <w:r w:rsidRPr="00A31137">
        <w:t>But besides the presumption that no anomalous and unheard of proceedings or suits were intended to be raised up by the Constitution—anomalous and unheard of when the Constitution was adopted—an additional reason why the jurisdiction claimed for the Circuit Court does not exist, is the language of an act of Congress by which its jurisdiction is conferred. The words are these:</w:t>
      </w:r>
    </w:p>
    <w:p w:rsidR="00A31137" w:rsidRPr="00A31137" w:rsidRDefault="00A31137" w:rsidP="00A31137">
      <w:r w:rsidRPr="00A31137">
        <w:t>1996, Seminole Tribe of Florida v. Florida, No. 94-12</w:t>
      </w:r>
    </w:p>
    <w:p w:rsidR="00A31137" w:rsidRPr="00A31137" w:rsidRDefault="00A31137" w:rsidP="00A31137">
      <w:r w:rsidRPr="00A31137">
        <w:t>The circuit courts of the United States shall have original cognizance, concurrent with the courts of the several States, of all suits of a civil nature at common law or in equity,…arising under the Constitution or laws of the United States, or treaties,</w:t>
      </w:r>
    </w:p>
    <w:p w:rsidR="00A31137" w:rsidRPr="00A31137" w:rsidRDefault="00A31137" w:rsidP="00A31137">
      <w:r w:rsidRPr="00A31137">
        <w:t>1996, Seminole Tribe of Florida v. Florida, No. 94-12</w:t>
      </w:r>
    </w:p>
    <w:p w:rsidR="00A31137" w:rsidRPr="00A31137" w:rsidRDefault="00A31137" w:rsidP="00A31137">
      <w:r w:rsidRPr="00A31137">
        <w:t>etc.—"Concurrent with the Courts of the several States." Does not this qualification show that Congress, in legislating to carry the Constitution into effect, did not intend to invest its courts with any new and strange jurisdictions? The state courts have no power to entertain suits by individuals against a State without its consent.   Then how does the Circuit Court, having only concurrent jurisdiction, acquire any such power? It is true that the same qualification existed in the judiciary act of 1789, which was before the court in Chisholm v. Georgia, and the majority of the court did not think that it was sufficient to limit the jurisdiction of the Circuit Court. Justice Iredell thought differently. In view of the manner in which that decision was received by the country, the adoption of the Eleventh Amendment, the light of history and the reason of the thing, we think we are at liberty to prefer Justice Iredell's view in this regard. Hans v. Louisiana, 134 U.S. at 18-19.</w:t>
      </w:r>
    </w:p>
    <w:p w:rsidR="00A31137" w:rsidRPr="00A31137" w:rsidRDefault="00A31137" w:rsidP="00A31137">
      <w:r w:rsidRPr="00A31137">
        <w:t>1996, Seminole Tribe of Florida v. Florida, No. 94-12</w:t>
      </w:r>
    </w:p>
    <w:p w:rsidR="00A31137" w:rsidRPr="00A31137" w:rsidRDefault="00A31137" w:rsidP="00A31137">
      <w:r w:rsidRPr="00A31137">
        <w:t>As this passage demonstrates, Hans itself looked to see whether Congress had displaced the presumption that sovereign immunity obtains. Although the opinion did go to great lengths to establish the quite uncontroversial historical proposition that unconsenting States generally were not subject to suit, that entire discussion preceded the opinion's statutory analysis. See Hans v. Louisiana, 134 U.S. at 10-18. Thus, the opinion's thorough historical investigation served only to establish a presumption against jurisdiction that Congress must overcome, not an inviolable jurisdictional restriction that inheres in the Constitution itself.</w:t>
      </w:r>
    </w:p>
    <w:p w:rsidR="00A31137" w:rsidRPr="00A31137" w:rsidRDefault="00A31137" w:rsidP="00A31137">
      <w:r w:rsidRPr="00A31137">
        <w:t>1996, Seminole Tribe of Florida v. Florida, No. 94-12</w:t>
      </w:r>
    </w:p>
    <w:p w:rsidR="00A31137" w:rsidRPr="00A31137" w:rsidRDefault="00A31137" w:rsidP="00A31137">
      <w:r w:rsidRPr="00A31137">
        <w:t>Indeed, the very fact that the Court characterized the doctrine of sovereign immunity as a "presumption" confirms its assumption that it could be displaced. The Hans Court's inquiry into congressional intent would have been wholly inappropriate if it had believed that the doctrine of sovereign immunity was a constitutionally inviolable jurisdictional limitation. Thus, Hans provides no basis for the majority's conclusion that Congress is powerless to make States suable in cases not mentioned by the text of the Eleventh Amendment. Instead, Hans provides affirmative support for the view that Congress may create federal court jurisdiction over private causes of action against unconsenting States brought by their own citizens.</w:t>
      </w:r>
    </w:p>
    <w:p w:rsidR="00A31137" w:rsidRPr="00A31137" w:rsidRDefault="00A31137" w:rsidP="00A31137">
      <w:r w:rsidRPr="00A31137">
        <w:t>1996, Seminole Tribe of Florida v. Florida, No. 94-12</w:t>
      </w:r>
    </w:p>
    <w:p w:rsidR="00A31137" w:rsidRPr="00A31137" w:rsidRDefault="00A31137" w:rsidP="00A31137">
      <w:r w:rsidRPr="00A31137">
        <w:t>It is true that the underlying jurisdictional statute involved in this case, 28 U.S.C. § 1331, does not itself purport to direct federal courts to ignore a State's sovereign immunity any more than did the underlying jurisdictional statute discussed in Hans, the Judiciary Act of 1875. However, unlike in Hans, in this case, Congress has, by virtue of the Indian Gaming Regulation Act, affirmatively manifested its intention to "invest its courts with" jurisdiction beyond the limits set forth in the general jurisdictional statute. 134 U.S. at  18. By contrast, because Hans involved only an implied cause of action based directly on the Constitution, the Judiciary Act of 1875 constituted the sole indication as to whether Congress intended federal court jurisdiction to extend to a suit against an unconsenting State. 10</w:t>
      </w:r>
    </w:p>
    <w:p w:rsidR="00A31137" w:rsidRPr="00A31137" w:rsidRDefault="00A31137" w:rsidP="00A31137">
      <w:r w:rsidRPr="00A31137">
        <w:t>1996, Seminole Tribe of Florida v. Florida, No. 94-12</w:t>
      </w:r>
    </w:p>
    <w:p w:rsidR="00A31137" w:rsidRPr="00A31137" w:rsidRDefault="00A31137" w:rsidP="00A31137">
      <w:r w:rsidRPr="00A31137">
        <w:t>Given the nature of the cause of action involved in Hans, as well as the terms of the underlying jurisdictional statute, the Court's decision to apply the common law doctrine of sovereign immunity in that case clearly should not control the outcome here. The reasons that may support a federal court's hesitancy to construe a judicially crafted constitutional remedy narrowly out of respect for a State's sovereignty do not bear on whether Congress may preclude a State's invocation of such a defense when it expressly establishes a federal remedy for the violation of a federal right.</w:t>
      </w:r>
    </w:p>
    <w:p w:rsidR="00A31137" w:rsidRPr="00A31137" w:rsidRDefault="00A31137" w:rsidP="00A31137">
      <w:r w:rsidRPr="00A31137">
        <w:t>1996, Seminole Tribe of Florida v. Florida, No. 94-12</w:t>
      </w:r>
    </w:p>
    <w:p w:rsidR="00A31137" w:rsidRPr="00A31137" w:rsidRDefault="00A31137" w:rsidP="00A31137">
      <w:r w:rsidRPr="00A31137">
        <w:t>No one has ever suggested that Congress would be powerless to displace the other common law immunity doctrines that this Court has recognized as appropriate defenses to certain federal claims such as the judicially fashioned Bivens remedy. See Mitchell v. Forsyth, 472 U.S. 511 (1985); Harlow v. Fitzgerald, 457 U.S. 800 (1982). Similarly, our cases recognizing qualified officer immunity in § 1983 actions rest on the conclusion that, in passing that statute, Congress did not intend to displace the common law immunity that officers would have retained under suits premised solely on the general jurisdictional statute. See Tower v. Glover, 467 U.S. 914, 920 (1984). For that reason, the federal common law of officer immunity that Congress meant to incorporate, not a contrary state immunity, applies in § 1983 cases. See Martinez v. California, 444 U.S. 277, 284 (1980). There is no reason why Congress' undoubted power to displace those common law immunities should be either greater or lesser than its power to displace the common law sovereign immunity defense.</w:t>
      </w:r>
    </w:p>
    <w:p w:rsidR="00A31137" w:rsidRPr="00A31137" w:rsidRDefault="00A31137" w:rsidP="00A31137">
      <w:r w:rsidRPr="00A31137">
        <w:t>1996, Seminole Tribe of Florida v. Florida, No. 94-12</w:t>
      </w:r>
    </w:p>
    <w:p w:rsidR="00A31137" w:rsidRPr="00A31137" w:rsidRDefault="00A31137" w:rsidP="00A31137">
      <w:r w:rsidRPr="00A31137">
        <w:t>Some of our precedents do state that the sovereign immunity doctrine rests on fundamental constitutional "postulates" and partakes of jurisdictional aspects rooted in Article III. See ante at ___. Most notably, that reasoning underlies this Court's holding in Principality of Monaco v. Mississippi, 292 U.S. 313 (1934).</w:t>
      </w:r>
    </w:p>
    <w:p w:rsidR="00A31137" w:rsidRPr="00A31137" w:rsidRDefault="00A31137" w:rsidP="00A31137">
      <w:r w:rsidRPr="00A31137">
        <w:t>1996, Seminole Tribe of Florida v. Florida, No. 94-12</w:t>
      </w:r>
    </w:p>
    <w:p w:rsidR="00A31137" w:rsidRPr="00A31137" w:rsidRDefault="00A31137" w:rsidP="00A31137">
      <w:r w:rsidRPr="00A31137">
        <w:t>Monaco is a most inapt precedent for the majority's holding today. That case barred a foreign sovereign from suing a State in an equitable state law action to recover payments due on State bonds. It did not, however, involve a claim based on federal law. Instead, the case concerned a purely state law question to which the State had interposed a federal defense. Principality of Monaco v. Mississippi, 292 U.S. 313, 317 (1934). Thus, Monaco reveals little about the power of Congress to create a private federal cause of action to remedy a State's violation of federal law.</w:t>
      </w:r>
    </w:p>
    <w:p w:rsidR="00A31137" w:rsidRPr="00A31137" w:rsidRDefault="00A31137" w:rsidP="00A31137">
      <w:r w:rsidRPr="00A31137">
        <w:t>1996, Seminole Tribe of Florida v. Florida, No. 94-12</w:t>
      </w:r>
    </w:p>
    <w:p w:rsidR="00A31137" w:rsidRPr="00A31137" w:rsidRDefault="00A31137" w:rsidP="00A31137">
      <w:r w:rsidRPr="00A31137">
        <w:t>Moreover, although Monaco attributes a quasi-constitutional status to sovereign immunity, even in cases not covered by the Eleventh Amendment's plain text, that characterization does not constitute precedent for the proposition that Congress is powerless to displace a State's immunity. Our abstention doctrines have roots in both the Tenth Amendment and Article III, and thus may be said to rest on constitutional "postulates" or to partake of jurisdictional aspects. Yet it has not been thought that the Constitution would prohibit Congress from barring federal courts from abstaining. The majority offers no reason for making the federal common law rule of sovereign immunity less susceptible to congressional displacement than any other quasi-jurisdictional common law rule.</w:t>
      </w:r>
    </w:p>
    <w:p w:rsidR="00A31137" w:rsidRPr="00A31137" w:rsidRDefault="00A31137" w:rsidP="00A31137">
      <w:r w:rsidRPr="00A31137">
        <w:t>1996, Seminole Tribe of Florida v. Florida, No. 94-12</w:t>
      </w:r>
    </w:p>
    <w:p w:rsidR="00A31137" w:rsidRPr="00A31137" w:rsidRDefault="00A31137" w:rsidP="00A31137">
      <w:r w:rsidRPr="00A31137">
        <w:t>In this regard, I note that Monaco itself analogized sovereign immunity to the prudential doctrine that "controversies" identified in Article III must be "justiciable" in order to be heard by federal courts. Id. at 329. The justiciability doctrine is a prudential, rather than a jurisdictional, one, and thus Congress' clearly expressed intention to create federal jurisdiction over a particular Article III controversy necessarily strips federal courts of the authority to decline jurisdiction on justiciability grounds. See Allen v. Wright, 468 U.S. 737,  791 (1984) (STEVENS, J., dissenting); Flast v. Cohen, 392 U.S. 83, 100-101 (1968). For that reason, Monaco, by its own terms, fails to resolve the question before us. 11</w:t>
      </w:r>
    </w:p>
    <w:p w:rsidR="00A31137" w:rsidRPr="00A31137" w:rsidRDefault="00A31137" w:rsidP="00A31137">
      <w:r w:rsidRPr="00A31137">
        <w:t>1996, Seminole Tribe of Florida v. Florida, No. 94-12</w:t>
      </w:r>
    </w:p>
    <w:p w:rsidR="00A31137" w:rsidRPr="00A31137" w:rsidRDefault="00A31137" w:rsidP="00A31137">
      <w:r w:rsidRPr="00A31137">
        <w:t>More generally, it is quite startling to learn that the reasoning of Hans and Monaco (even assuming that it did not undermine the majority's view) should have a stare decisis effect on the question whether Congress possesses the authority to provide a federal forum for the vindication of a federal right by a citizen against its own State. In light of the Court's development of a "clear statement" line of jurisprudence, see, e.g., Atascadero State Hospital v. Scanlon, 473 U.S. 234, 238-239 (1985); Hoffman v. Connecticut Dept. of Income Maintenance, 492 U.S. 96 (1989), I would have thought that Hans and Monaco had at least left open the question whether Congress could permit the suit we consider here. Our clear statement cases would have been all but unintelligible if Hans and Monaco had already established that Congress lacked the constitutional power to make States suable in federal court by individuals no matter how clear its intention to do so. 12</w:t>
      </w:r>
    </w:p>
    <w:p w:rsidR="00A31137" w:rsidRPr="00A31137" w:rsidRDefault="00A31137" w:rsidP="00A31137">
      <w:r w:rsidRPr="00A31137">
        <w:t>1996, Seminole Tribe of Florida v. Florida, No. 94-12</w:t>
      </w:r>
    </w:p>
    <w:p w:rsidR="00A31137" w:rsidRPr="00A31137" w:rsidRDefault="00A31137" w:rsidP="00A31137">
      <w:r w:rsidRPr="00A31137">
        <w:t>Finally, the particular nature of the federal question involved in Hans renders the majority's reliance upon its rule even less defensible. Hans deduced its rebuttable presumption in favor of sovereign immunity largely on the basis of its extensive analysis of cases holding that the sovereign could not be forced to make good on its debts via a private suit. See Louisiana v. Jumel, 107 U.S. 711 (1883); Hagood v. Southern, 117 U.S. 52 (1886); In re Ayers, 123 U.S. 443 (1887). Because Hans, like these other cases, involved a suit that attempted to make a State honor its debt, its holding need not be read to stand even for the relatively limited proposition that there is a presumption in favor of sovereign immunity in all federal question cases. 13</w:t>
      </w:r>
    </w:p>
    <w:p w:rsidR="00A31137" w:rsidRPr="00A31137" w:rsidRDefault="00A31137" w:rsidP="00A31137">
      <w:r w:rsidRPr="00A31137">
        <w:t>1996, Seminole Tribe of Florida v. Florida, No. 94-12</w:t>
      </w:r>
    </w:p>
    <w:p w:rsidR="00A31137" w:rsidRPr="00A31137" w:rsidRDefault="00A31137" w:rsidP="00A31137">
      <w:r w:rsidRPr="00A31137">
        <w:t>In Hans, the plaintiff asserted a Contracts Clause claim against his State and thus asserted a federal right. To show that Louisiana had impaired its federal obligation, however, Hans first had to demonstrate that the State had entered into an enforceable contract as a matter of state law. That Hans chose to bring his claim in federal court as a Contract Clause action could not change the fact that he was at bottom, seeking to enforce a contract with the State. See Burnham, Taming the Eleventh Amendment Without Overruling Hans v. Louisiana, 40 Case W.Res.L.Rev. 931 (1990).</w:t>
      </w:r>
    </w:p>
    <w:p w:rsidR="00A31137" w:rsidRPr="00A31137" w:rsidRDefault="00A31137" w:rsidP="00A31137">
      <w:r w:rsidRPr="00A31137">
        <w:t>1996, Seminole Tribe of Florida v. Florida, No. 94-12</w:t>
      </w:r>
    </w:p>
    <w:p w:rsidR="00A31137" w:rsidRPr="00A31137" w:rsidRDefault="00A31137" w:rsidP="00A31137">
      <w:r w:rsidRPr="00A31137">
        <w:t>Because Hans' claimed federal right did not arise independently of state law, sovereign immunity was relevant to the threshold state law question of whether a valid contract existed. 14 Hans expressly pointed out, however, that an individual who could show that he had an enforceable contract under state law would not be barred from bringing suit in federal court to prevent the State from impairing it.</w:t>
      </w:r>
    </w:p>
    <w:p w:rsidR="00A31137" w:rsidRPr="00A31137" w:rsidRDefault="00A31137" w:rsidP="00A31137">
      <w:r w:rsidRPr="00A31137">
        <w:t>1996, Seminole Tribe of Florida v. Florida, No. 94-12</w:t>
      </w:r>
    </w:p>
    <w:p w:rsidR="00A31137" w:rsidRPr="00A31137" w:rsidRDefault="00A31137" w:rsidP="00A31137">
      <w:r w:rsidRPr="00A31137">
        <w:t>To avoid misapprehension, it may be proper to add that, although the obligations of a State rest for their performance upon its honor and good faith, and cannot be made the subject of judicial cognizance unless the State consents to be sued, or comes itself into court; yet where property or rights are enjoyed under a grant or contract made by a State, they cannot wantonly be invaded. Whilst the State cannot be compelled by suit to perform its contracts, any attempt on its part to violate property or rights acquired under its contracts, may be judicially resisted; and any law impairing the obligation of contracts under which such property or rights are held is void and powerless to effect their enjoyment.</w:t>
      </w:r>
    </w:p>
    <w:p w:rsidR="00A31137" w:rsidRPr="00A31137" w:rsidRDefault="00A31137" w:rsidP="00A31137">
      <w:r w:rsidRPr="00A31137">
        <w:t>1996, Seminole Tribe of Florida v. Florida, No. 94-12</w:t>
      </w:r>
    </w:p>
    <w:p w:rsidR="00A31137" w:rsidRPr="00A31137" w:rsidRDefault="00A31137" w:rsidP="00A31137">
      <w:r w:rsidRPr="00A31137">
        <w:t>Hans v. Louisiana, 134 U.S. at 20-21.</w:t>
      </w:r>
    </w:p>
    <w:p w:rsidR="00A31137" w:rsidRPr="00A31137" w:rsidRDefault="00A31137" w:rsidP="00A31137">
      <w:r w:rsidRPr="00A31137">
        <w:t>1996, Seminole Tribe of Florida v. Florida, No. 94-12</w:t>
      </w:r>
    </w:p>
    <w:p w:rsidR="00A31137" w:rsidRPr="00A31137" w:rsidRDefault="00A31137" w:rsidP="00A31137">
      <w:r w:rsidRPr="00A31137">
        <w:t>That conclusion casts doubt on the absolutist view that Hans definitively establishes that Article III prohibits federal courts from entertaining federal question suits brought against States by their own citizens. At the very least, Hans suggests that such suits may be brought to enjoin States from impairing existing contractual obligations.</w:t>
      </w:r>
    </w:p>
    <w:p w:rsidR="00A31137" w:rsidRPr="00A31137" w:rsidRDefault="00A31137" w:rsidP="00A31137">
      <w:r w:rsidRPr="00A31137">
        <w:t>1996, Seminole Tribe of Florida v. Florida, No. 94-12</w:t>
      </w:r>
    </w:p>
    <w:p w:rsidR="00A31137" w:rsidRPr="00A31137" w:rsidRDefault="00A31137" w:rsidP="00A31137">
      <w:r w:rsidRPr="00A31137">
        <w:t>The view that the rule of Hans is more substantive than jurisdictional comports with Hamilton's famous discussion of sovereign immunity in The Federalist Papers. Hamilton offered his view that the federal judicial power would not extend to suits against unconsenting States only in the context of his contention that no contract with a State could be enforceable against the State's desire. He did not argue that a State's immunity from suit in federal court would be absolute.</w:t>
      </w:r>
    </w:p>
    <w:p w:rsidR="00A31137" w:rsidRPr="00A31137" w:rsidRDefault="00A31137" w:rsidP="00A31137">
      <w:r w:rsidRPr="00A31137">
        <w:t>1996, Seminole Tribe of Florida v. Florida, No. 94-12</w:t>
      </w:r>
    </w:p>
    <w:p w:rsidR="00A31137" w:rsidRPr="00A31137" w:rsidRDefault="00A31137" w:rsidP="00A31137">
      <w:r w:rsidRPr="00A31137">
        <w:t>[T]here is no color to pretend that the State governments would, by the adoption of [the plan of convention], be divested of the privilege of paying their own debts in their own way, free from every constraint but that which flows from the obligations of good faith. The contracts between a nation and individuals are only binding on the conscience of the sovereign, and have no pretensions to a compulsive force. They confer no right of action independent of the sovereign will.</w:t>
      </w:r>
    </w:p>
    <w:p w:rsidR="00A31137" w:rsidRPr="00A31137" w:rsidRDefault="00A31137" w:rsidP="00A31137">
      <w:r w:rsidRPr="00A31137">
        <w:t>1996, Seminole Tribe of Florida v. Florida, No. 94-12</w:t>
      </w:r>
    </w:p>
    <w:p w:rsidR="00A31137" w:rsidRPr="00A31137" w:rsidRDefault="00A31137" w:rsidP="00A31137">
      <w:r w:rsidRPr="00A31137">
        <w:t>The Federalist No. 81, p. 488 (C. Rossiter ed. 1961).</w:t>
      </w:r>
    </w:p>
    <w:p w:rsidR="00A31137" w:rsidRPr="00A31137" w:rsidRDefault="00A31137" w:rsidP="00A31137">
      <w:r w:rsidRPr="00A31137">
        <w:t>1996, Seminole Tribe of Florida v. Florida, No. 94-12</w:t>
      </w:r>
    </w:p>
    <w:p w:rsidR="00A31137" w:rsidRPr="00A31137" w:rsidRDefault="00A31137" w:rsidP="00A31137">
      <w:r w:rsidRPr="00A31137">
        <w:t>Here, of course, no question of a State's contractual obligations is presented. The Seminole Tribe's only claim is that the State of Florida has failed to fulfill a duty to negotiate that federal statutory law alone imposes. Neither the Federalist Papers nor Hans provides support for the view that such a claim may not be heard in federal court.</w:t>
      </w:r>
    </w:p>
    <w:p w:rsidR="00A31137" w:rsidRPr="00A31137" w:rsidRDefault="00A31137" w:rsidP="00A31137">
      <w:r w:rsidRPr="00A31137">
        <w:t>III</w:t>
      </w:r>
    </w:p>
    <w:p w:rsidR="00A31137" w:rsidRPr="00A31137" w:rsidRDefault="00A31137" w:rsidP="00A31137">
      <w:r w:rsidRPr="00A31137">
        <w:t>1996, Seminole Tribe of Florida v. Florida, No. 94-12</w:t>
      </w:r>
    </w:p>
    <w:p w:rsidR="00A31137" w:rsidRPr="00A31137" w:rsidRDefault="00A31137" w:rsidP="00A31137">
      <w:r w:rsidRPr="00A31137">
        <w:t>In reaching my conclusion that the Constitution does not prevent Congress from making the State of Florida suable in federal court for violating one of its statutes, I emphasize that I agree with the majority that, in all cases to which the judicial power does not extend—either because they are not within any category defined in Article III or because they are within the category withdrawn from Article III by the Eleventh Amendment—Congress lacks the power to confer jurisdiction on the federal courts. As I have previously insisted: "A statute cannot amend the Constitution." Pennsylvania v. Union Gas Co., 491 U.S. at 24.</w:t>
      </w:r>
    </w:p>
    <w:p w:rsidR="00A31137" w:rsidRPr="00A31137" w:rsidRDefault="00A31137" w:rsidP="00A31137">
      <w:r w:rsidRPr="00A31137">
        <w:t>1996, Seminole Tribe of Florida v. Florida, No. 94-12</w:t>
      </w:r>
    </w:p>
    <w:p w:rsidR="00A31137" w:rsidRPr="00A31137" w:rsidRDefault="00A31137" w:rsidP="00A31137">
      <w:r w:rsidRPr="00A31137">
        <w:t>It was, therefore, misleading for the Court, in Fitzpatrick v. Bitzer, 427 U.S. 445 (1976), to imply that § 5 of the Fourteenth Amendment authorized Congress to confer jurisdiction over cases that had been withdrawn from Article III by the Eleventh Amendment. Because that action had been brought by Connecticut citizens against officials of the State of Connecticut, jurisdiction was not precluded by the Eleventh Amendment. As Justice Brennan pointed out in his concurrence, the congressional authority to enact the provisions at issue in the case was found in the Commerce Clause and provided a sufficient basis for refusing to allow the State to "avail itself of the nonconstitutional but ancient doctrine of sovereign immunity." Id. at 457 (opinion concurring in judgment).</w:t>
      </w:r>
    </w:p>
    <w:p w:rsidR="00A31137" w:rsidRPr="00A31137" w:rsidRDefault="00A31137" w:rsidP="00A31137">
      <w:r w:rsidRPr="00A31137">
        <w:t>1996, Seminole Tribe of Florida v. Florida, No. 94-12</w:t>
      </w:r>
    </w:p>
    <w:p w:rsidR="00A31137" w:rsidRPr="00A31137" w:rsidRDefault="00A31137" w:rsidP="00A31137">
      <w:r w:rsidRPr="00A31137">
        <w:t>In confronting the question whether a federal grant of jurisdiction is within the scope of Article III, as limited by the Eleventh Amendment, I see no reason to distinguish among statutes enacted pursuant to the power granted to Congress to regulate Commerce among the several States, and with the Indian Tribes, Art. I, § 8, cl. 3, the power to establish uniform laws on the subject of bankruptcy, Art. I, § 8, cl. 4, the power to promote the progress of science and the arts by granting exclusive rights to authors and inventors, Art. I, § 8, cl. 8, the power to enforce the provisions of the Fourteenth Amendment, § 5, or indeed any other provision of the Constitution. There is no language anywhere in the constitutional text that authorizes Congress to expand the borders of Article III jurisdiction or to limit the coverage of the Eleventh Amendment.</w:t>
      </w:r>
    </w:p>
    <w:p w:rsidR="00A31137" w:rsidRPr="00A31137" w:rsidRDefault="00A31137" w:rsidP="00A31137">
      <w:r w:rsidRPr="00A31137">
        <w:t>1996, Seminole Tribe of Florida v. Florida, No. 94-12</w:t>
      </w:r>
    </w:p>
    <w:p w:rsidR="00A31137" w:rsidRPr="00A31137" w:rsidRDefault="00A31137" w:rsidP="00A31137">
      <w:r w:rsidRPr="00A31137">
        <w:t>The Court's holdings in Fitzpatrick v. Bitzer, 427 U.S. 445 (1976), and Pennsylvania v. Union Gas Co., 491 U.S. 1 (1989), do unquestionably establish, however, that Congress has the power to deny the States and their officials the right to rely on the nonconstitutional defense of sovereign immunity in an action brought by one of their own citizens. As the opinions in the latter case demonstrate, there can be legitimate disagreement about whether Congress intended a particular statute to authorize litigation against a State. Nevertheless, the Court there squarely held that the Commerce Clause was an adequate source of authority for such a private remedy. In a rather novel rejection of the doctrine of stare decisis, the Court today demeans that holding by repeatedly describing it as a "plurality decision" because Justice White did not deem it necessary to set forth the reasons for his vote. As JUSTICE SOUTER's opinion today demonstrates, the arguments in support of Justice White's position are so patent and so powerful that his actual vote should be accorded full respect. Indeed, far more significant than the "plurality" character of the three opinions supporting the holding in Union Gas is the fact that the issue confronted today has been squarely addressed by a total of 13 Justices, 8 of whom cast their votes with the so-called "plurality". 15</w:t>
      </w:r>
    </w:p>
    <w:p w:rsidR="00A31137" w:rsidRPr="00A31137" w:rsidRDefault="00A31137" w:rsidP="00A31137">
      <w:r w:rsidRPr="00A31137">
        <w:t>1996, Seminole Tribe of Florida v. Florida, No. 94-12</w:t>
      </w:r>
    </w:p>
    <w:p w:rsidR="00A31137" w:rsidRPr="00A31137" w:rsidRDefault="00A31137" w:rsidP="00A31137">
      <w:r w:rsidRPr="00A31137">
        <w:t>The fundamental error that continues to lead the Court astray is its failure to acknowledge that its modern embodiment of the ancient doctrine of sovereign immunity "has absolutely nothing to do with the limit on judicial power contained in the Eleventh Amendment." Id. at 25 (STEVENS, J., concurring). It rests rather on concerns of federalism and comity that merit respect, but are nevertheless, in cases such as the one before us, subordinate to the plenary power of Congress.</w:t>
      </w:r>
    </w:p>
    <w:p w:rsidR="00A31137" w:rsidRPr="00A31137" w:rsidRDefault="00A31137" w:rsidP="00A31137">
      <w:r w:rsidRPr="00A31137">
        <w:t>IV</w:t>
      </w:r>
    </w:p>
    <w:p w:rsidR="00A31137" w:rsidRPr="00A31137" w:rsidRDefault="00A31137" w:rsidP="00A31137">
      <w:r w:rsidRPr="00A31137">
        <w:t>1996, Seminole Tribe of Florida v. Florida, No. 94-12</w:t>
      </w:r>
    </w:p>
    <w:p w:rsidR="00A31137" w:rsidRPr="00A31137" w:rsidRDefault="00A31137" w:rsidP="00A31137">
      <w:r w:rsidRPr="00A31137">
        <w:t>As I noted above, for the purpose of deciding this case, it is not necessary to question the wisdom of the Court's decision in Hans v. Louisiana. Given the absence of precedent for the Court's dramatic application of the sovereign immunity doctrine today, it is nevertheless appropriate to identify the questionable heritage of the doctrine and to suggest that there are valid reasons for limiting, or even rejecting that doctrine altogether, rather than expanding it.</w:t>
      </w:r>
    </w:p>
    <w:p w:rsidR="00A31137" w:rsidRPr="00A31137" w:rsidRDefault="00A31137" w:rsidP="00A31137">
      <w:r w:rsidRPr="00A31137">
        <w:t>1996, Seminole Tribe of Florida v. Florida, No. 94-12</w:t>
      </w:r>
    </w:p>
    <w:p w:rsidR="00A31137" w:rsidRPr="00A31137" w:rsidRDefault="00A31137" w:rsidP="00A31137">
      <w:r w:rsidRPr="00A31137">
        <w:t>Except insofar as it has been incorporated into the text of the Eleventh Amendment, the doctrine is entirely the product of judge-made law. Three features of its English ancestry make it particularly unsuitable for incorporation into the law of this democratic Nation.</w:t>
      </w:r>
    </w:p>
    <w:p w:rsidR="00A31137" w:rsidRPr="00A31137" w:rsidRDefault="00A31137" w:rsidP="00A31137">
      <w:r w:rsidRPr="00A31137">
        <w:t>1996, Seminole Tribe of Florida v. Florida, No. 94-12</w:t>
      </w:r>
    </w:p>
    <w:p w:rsidR="00A31137" w:rsidRPr="00A31137" w:rsidRDefault="00A31137" w:rsidP="00A31137">
      <w:r w:rsidRPr="00A31137">
        <w:t>First, the assumption that it could be supported by a belief that "the King can do no wrong" has always been absurd; the bloody path trod by English monarchs both before and after they reached the throne demonstrated the fictional character of any such assumption. Even if the fiction had been acceptable in Britain, the recitation in the Declaration of Independence of the wrongs committed by George III made that proposition unacceptable on this side of the Atlantic.</w:t>
      </w:r>
    </w:p>
    <w:p w:rsidR="00A31137" w:rsidRPr="00A31137" w:rsidRDefault="00A31137" w:rsidP="00A31137">
      <w:r w:rsidRPr="00A31137">
        <w:t>1996, Seminole Tribe of Florida v. Florida, No. 94-12</w:t>
      </w:r>
    </w:p>
    <w:p w:rsidR="00A31137" w:rsidRPr="00A31137" w:rsidRDefault="00A31137" w:rsidP="00A31137">
      <w:r w:rsidRPr="00A31137">
        <w:t>Second, centuries ago, the belief that the monarch served by divine right made it appropriate to assume that redress for wrongs committed by the sovereign should be the exclusive province of still higher authority. 16 While such a justification for a rule that immunized the sovereign from suit in a secular tribunal might have been acceptable in a jurisdiction where a particular faith is endorsed by the government, it should give rise to skepticism concerning the legitimacy of comparable rules in a society where a constitutional wall separates the State from the Church.</w:t>
      </w:r>
    </w:p>
    <w:p w:rsidR="00A31137" w:rsidRPr="00A31137" w:rsidRDefault="00A31137" w:rsidP="00A31137">
      <w:r w:rsidRPr="00A31137">
        <w:t>1996, Seminole Tribe of Florida v. Florida, No. 94-12</w:t>
      </w:r>
    </w:p>
    <w:p w:rsidR="00A31137" w:rsidRPr="00A31137" w:rsidRDefault="00A31137" w:rsidP="00A31137">
      <w:r w:rsidRPr="00A31137">
        <w:t>Third, in a society where noble birth can justify preferential treatment, it might have been unseemly to allow a commoner to hale the monarch into court. Justice Wilson explained how foreign such a justification is to this Nation's principles. See Chisholm v. Georgia, 2 Dall. at  455. Moreover, Chief Justice Marshall early on laid to rest the view that the purpose of the Eleventh Amendment was to protect a State's dignity. Cohens v. Virginia, 6 Wheat. 264, 406-407 (1821). Its purpose, he explained, was far more practical.</w:t>
      </w:r>
    </w:p>
    <w:p w:rsidR="00A31137" w:rsidRPr="00A31137" w:rsidRDefault="00A31137" w:rsidP="00A31137">
      <w:r w:rsidRPr="00A31137">
        <w:t>1996, Seminole Tribe of Florida v. Florida, No. 94-12</w:t>
      </w:r>
    </w:p>
    <w:p w:rsidR="00A31137" w:rsidRPr="00A31137" w:rsidRDefault="00A31137" w:rsidP="00A31137">
      <w:r w:rsidRPr="00A31137">
        <w:t>That its motive was not to maintain the sovereignty of a State from the degradation supposed to attend a compulsory appearance before the tribunal of the nation may be inferred from the terms of the Amendment…. We must ascribe the amendment, then, to some other cause than the dignity of a State. There is no difficulty in finding this cause. Those who were inhibited from commencing a suit against a State, or from prosecuting one which might be commenced before the adoption of the amendment, were persons who might probably be its creditors. There was not much reason to fear that foreign or sister States would be creditors to any considerable amount, and there was reason to retain the jurisdiction of the Court in those cases, because it might be essential to the preservation of peace.</w:t>
      </w:r>
    </w:p>
    <w:p w:rsidR="00A31137" w:rsidRPr="00A31137" w:rsidRDefault="00A31137" w:rsidP="00A31137">
      <w:r w:rsidRPr="00A31137">
        <w:t>1996, Seminole Tribe of Florida v. Florida, No. 94-12</w:t>
      </w:r>
    </w:p>
    <w:p w:rsidR="00A31137" w:rsidRPr="00A31137" w:rsidRDefault="00A31137" w:rsidP="00A31137">
      <w:r w:rsidRPr="00A31137">
        <w:t>Ibid. 17</w:t>
      </w:r>
    </w:p>
    <w:p w:rsidR="00A31137" w:rsidRPr="00A31137" w:rsidRDefault="00A31137" w:rsidP="00A31137">
      <w:r w:rsidRPr="00A31137">
        <w:t>1996, Seminole Tribe of Florida v. Florida, No. 94-12</w:t>
      </w:r>
    </w:p>
    <w:p w:rsidR="00A31137" w:rsidRPr="00A31137" w:rsidRDefault="00A31137" w:rsidP="00A31137">
      <w:r w:rsidRPr="00A31137">
        <w:t>Nevertheless, this Court later put forth the interest in preventing "indignity" as the "very object and purpose of the [Eleventh] Amendment." In re Ayers, 123 U.S. at 505. That, of course, is an "embarrassingly insufficient" rationale for the rule. See Puerto Rico Aqueduct and Sewer Authority v. Metcalf &amp; Eddy, Inc., 506 U.S. 139, ___ (1993) (STEVENS, J., dissenting.)</w:t>
      </w:r>
    </w:p>
    <w:p w:rsidR="00A31137" w:rsidRPr="00A31137" w:rsidRDefault="00A31137" w:rsidP="00A31137">
      <w:r w:rsidRPr="00A31137">
        <w:t>1996, Seminole Tribe of Florida v. Florida, No. 94-12</w:t>
      </w:r>
    </w:p>
    <w:p w:rsidR="00A31137" w:rsidRPr="00A31137" w:rsidRDefault="00A31137" w:rsidP="00A31137">
      <w:r w:rsidRPr="00A31137">
        <w:t>Moreover, I find unsatisfying Justice Holmes' explanation that</w:t>
      </w:r>
    </w:p>
    <w:p w:rsidR="00A31137" w:rsidRPr="00A31137" w:rsidRDefault="00A31137" w:rsidP="00A31137">
      <w:r w:rsidRPr="00A31137">
        <w:t>1996, Seminole Tribe of Florida v. Florida, No. 94-12</w:t>
      </w:r>
    </w:p>
    <w:p w:rsidR="00A31137" w:rsidRPr="00A31137" w:rsidRDefault="00A31137" w:rsidP="00A31137">
      <w:r w:rsidRPr="00A31137">
        <w:t>[a] sovereign is exempt from suit, not because of any formal conception or obsolete theory, but on the logical and practical ground that there can be no legal right as against the authority that makes the law on which the right depends.</w:t>
      </w:r>
    </w:p>
    <w:p w:rsidR="00A31137" w:rsidRPr="00A31137" w:rsidRDefault="00A31137" w:rsidP="00A31137">
      <w:r w:rsidRPr="00A31137">
        <w:t>1996, Seminole Tribe of Florida v. Florida, No. 94-12</w:t>
      </w:r>
    </w:p>
    <w:p w:rsidR="00A31137" w:rsidRPr="00A31137" w:rsidRDefault="00A31137" w:rsidP="00A31137">
      <w:r w:rsidRPr="00A31137">
        <w:t>Kawananakoa v. Polyblank, 205 U.S. 349, 353 (1907). As I have explained before, Justice Holmes' justification fails in at least two respects.</w:t>
      </w:r>
    </w:p>
    <w:p w:rsidR="00A31137" w:rsidRPr="00A31137" w:rsidRDefault="00A31137" w:rsidP="00A31137">
      <w:r w:rsidRPr="00A31137">
        <w:t>1996, Seminole Tribe of Florida v. Florida, No. 94-12</w:t>
      </w:r>
    </w:p>
    <w:p w:rsidR="00A31137" w:rsidRPr="00A31137" w:rsidRDefault="00A31137" w:rsidP="00A31137">
      <w:r w:rsidRPr="00A31137">
        <w:t>First, it is nothing more than a restatement of the obvious proposition that a citizen may not sue the sovereign unless the sovereign has violated the citizen's legal rights. It cannot explain application of the immunity defense in cases like Chisholm, in which it is assumed that the plaintiff's rights have in fact been violated-and those cases are, of course, the only ones in which the immunity defense is needed. Second, Holmes's statement does not purport to explain why a general grant of jurisdiction to federal courts should not be treated as an adequate expression of the sovereign's consent to suits against itself as well as to suits against ordinary litigants.</w:t>
      </w:r>
    </w:p>
    <w:p w:rsidR="00A31137" w:rsidRPr="00A31137" w:rsidRDefault="00A31137" w:rsidP="00A31137">
      <w:r w:rsidRPr="00A31137">
        <w:t>1996, Seminole Tribe of Florida v. Florida, No. 94-12</w:t>
      </w:r>
    </w:p>
    <w:p w:rsidR="00A31137" w:rsidRPr="00A31137" w:rsidRDefault="00A31137" w:rsidP="00A31137">
      <w:r w:rsidRPr="00A31137">
        <w:t>STEVENS, Is Justice Irrelevant?, 87 Nw.U.L.Rev. 1121, 1126 (1993).</w:t>
      </w:r>
    </w:p>
    <w:p w:rsidR="00A31137" w:rsidRPr="00A31137" w:rsidRDefault="00A31137" w:rsidP="00A31137">
      <w:r w:rsidRPr="00A31137">
        <w:t>1996, Seminole Tribe of Florida v. Florida, No. 94-12</w:t>
      </w:r>
    </w:p>
    <w:p w:rsidR="00A31137" w:rsidRPr="00A31137" w:rsidRDefault="00A31137" w:rsidP="00A31137">
      <w:r w:rsidRPr="00A31137">
        <w:t>In sum, as far as its common law ancestry is concerned, there is no better reason for the rule of sovereign immunity "than that so it was laid down in the time of Henry IV." Holmes, The Path of the Law, 10 Harv.L.Rev. 457, 469 (1897). That "reason" for the perpetuation of this ancient doctrine certainly cannot justify the majority's expansion of it.</w:t>
      </w:r>
    </w:p>
    <w:p w:rsidR="00A31137" w:rsidRPr="00A31137" w:rsidRDefault="00A31137" w:rsidP="00A31137">
      <w:r w:rsidRPr="00A31137">
        <w:t>1996, Seminole Tribe of Florida v. Florida, No. 94-12</w:t>
      </w:r>
    </w:p>
    <w:p w:rsidR="00A31137" w:rsidRPr="00A31137" w:rsidRDefault="00A31137" w:rsidP="00A31137">
      <w:r w:rsidRPr="00A31137">
        <w:t>In this country. the sovereignty of the individual States is subordinate both to the citizenry of each State and to the supreme law of the federal sovereign. For that reason, Justice Holmes' explanation for a rule that allows a State to avoid suit in its own courts does not even speak to the question whether Congress should be able to authorize a federal court to provide a private remedy for a State's violation of federal law. In my view, neither the majority's opinion today, nor any earlier opinion by any Member of the Court, has identified any acceptable reason for concluding that the absence of a State's consent to be sued in federal court should affect the power of Congress to authorize federal courts to remedy violations of federal law by States or their officials in actions not covered by the Eleventh Amendment's explicit text. 18</w:t>
      </w:r>
    </w:p>
    <w:p w:rsidR="00A31137" w:rsidRPr="00A31137" w:rsidRDefault="00A31137" w:rsidP="00A31137">
      <w:r w:rsidRPr="00A31137">
        <w:t>1996, Seminole Tribe of Florida v. Florida, No. 94-12</w:t>
      </w:r>
    </w:p>
    <w:p w:rsidR="00A31137" w:rsidRPr="00A31137" w:rsidRDefault="00A31137" w:rsidP="00A31137">
      <w:r w:rsidRPr="00A31137">
        <w:t>While I am persuaded that there is no justification for permanently enshrining the judge-made law of sovereign immunity, I recognize that federalism concerns—and even the interest in protecting the solvency of the States that was at work in Chisholm and Hans—may well justify a grant of immunity from federal litigation in certain classes of cases. Such a grant, however, should be the product of a reasoned decision by the policymaking branch of our Government. For this Court to conclude that time-worn shibboleths iterated and reiterated by judges should take precedence over the deliberations of the Congress of the United States is simply irresponsible.</w:t>
      </w:r>
    </w:p>
    <w:p w:rsidR="00A31137" w:rsidRPr="00A31137" w:rsidRDefault="00A31137" w:rsidP="00A31137">
      <w:r w:rsidRPr="00A31137">
        <w:t>V</w:t>
      </w:r>
    </w:p>
    <w:p w:rsidR="00A31137" w:rsidRPr="00A31137" w:rsidRDefault="00A31137" w:rsidP="00A31137">
      <w:r w:rsidRPr="00A31137">
        <w:t>1996, Seminole Tribe of Florida v. Florida, No. 94-12</w:t>
      </w:r>
    </w:p>
    <w:p w:rsidR="00A31137" w:rsidRPr="00A31137" w:rsidRDefault="00A31137" w:rsidP="00A31137">
      <w:r w:rsidRPr="00A31137">
        <w:t>Fortunately, and somewhat fortuitously, a jurisdictional problem that is unmentioned by the Court may deprive its opinion of precedential significance. The Indian Gaming Regulatory Act establishes a unique set of procedures for resolving the dispute between the Tribe and the State. If each adversary adamantly adheres to its understanding of the law, if the District Court determines that the State's inflexibility constitutes a failure to negotiate in good faith, and if the State thereafter continues to insist that it is acting within its rights, the maximum sanction that the Court can impose is an order that refers the controversy to a member of the Executive Branch of the Government for resolution. 25 U.S.C. § 2710(d)(7)(B). As the Court of Appeals interpreted the Act, this final disposition is available even though the action against the State and its Governor may not be maintained. 11 F.3d 1016, 1029 (CA11 1994) (The Court does not tell us whether it agrees or disagrees with that disposition.) In my judgment, it is extremely doubtful that the obviously dispensable involvement of the judiciary in the intermediate stages of a procedure that begins and ends in the Executive Branch is a proper exercise of judicial power. See Gordon v. United States, 117 U.S. Appx. 697, 702-703 (1864) (opinion of Taney, C.J.); United States v. Ferreira, 13 How. 40, 48 (1851). It may well follow that the misguided opinion of today's majority has nothing more than an advisory character. Whether or not that be so, the better reasoning in JUSTICE SOUTER's far wiser and far more scholarly opinion will surely be the law one day.</w:t>
      </w:r>
    </w:p>
    <w:p w:rsidR="00A31137" w:rsidRPr="00A31137" w:rsidRDefault="00A31137" w:rsidP="00A31137">
      <w:r w:rsidRPr="00A31137">
        <w:t>1996, Seminole Tribe of Florida v. Florida, No. 94-12</w:t>
      </w:r>
    </w:p>
    <w:p w:rsidR="00A31137" w:rsidRPr="00A31137" w:rsidRDefault="00A31137" w:rsidP="00A31137">
      <w:r w:rsidRPr="00A31137">
        <w:t>For these reasons, as well as those set forth in JUSTICE SOUTER's opinion, I respectfully dissent.</w:t>
      </w:r>
    </w:p>
    <w:p w:rsidR="00A31137" w:rsidRPr="00A31137" w:rsidRDefault="00A31137" w:rsidP="00A31137">
      <w:r w:rsidRPr="00A31137">
        <w:t>SOUTER, J., dissenting</w:t>
      </w:r>
    </w:p>
    <w:p w:rsidR="00A31137" w:rsidRPr="00A31137" w:rsidRDefault="00A31137" w:rsidP="00A31137">
      <w:r w:rsidRPr="00A31137">
        <w:t>1996, Seminole Tribe of Florida v. Florida, No. 94-12</w:t>
      </w:r>
    </w:p>
    <w:p w:rsidR="00A31137" w:rsidRPr="00A31137" w:rsidRDefault="00A31137" w:rsidP="00A31137">
      <w:r w:rsidRPr="00A31137">
        <w:t>JUSTICE SOUTER, with whom JUSTICE GINSBURG and JUSTICE BREYER join, dissenting.</w:t>
      </w:r>
    </w:p>
    <w:p w:rsidR="00A31137" w:rsidRPr="00A31137" w:rsidRDefault="00A31137" w:rsidP="00A31137">
      <w:r w:rsidRPr="00A31137">
        <w:t>1996, Seminole Tribe of Florida v. Florida, No. 94-12</w:t>
      </w:r>
    </w:p>
    <w:p w:rsidR="00A31137" w:rsidRPr="00A31137" w:rsidRDefault="00A31137" w:rsidP="00A31137">
      <w:r w:rsidRPr="00A31137">
        <w:t>In holding the State of Florida immune to suit under the Indian Gaming Regulatory Act, the Court today holds for the first time since the founding of the Republic that Congress has no authority to subject a State to the jurisdiction of a federal court at the behest of an individual asserting a federal right. Although the Court invokes the Eleventh Amendment as authority for this proposition, the only sense in which that amendment might be claimed as pertinent here was tolerantly phrased by JUSTICE STEVENS in his concurring opinion in Pennsylvania v. Union Gas, 491 U.S. 1, 23 (1989) (STEVENS, J., concurring). There, he explained how it has come about that we have two Eleventh Amendments, the one ratified in 1795, the other (so-called) invented by the Court nearly a century later in Hans v. Louisiana, 134 U.S. 1 (1890). JUSTICE STEVENS saw in that second Eleventh Amendment no bar to the exercise of congressional authority under the Commerce Clause in providing for suits on a federal question by individuals against a State, and I can only say that, after my own canvass of the matter, I believe he was entirely correct in that view, for reasons given below. His position, of course, was also the holding in Union Gas, which the Court now overrules and repudiates.</w:t>
      </w:r>
    </w:p>
    <w:p w:rsidR="00A31137" w:rsidRPr="00A31137" w:rsidRDefault="00A31137" w:rsidP="00A31137">
      <w:r w:rsidRPr="00A31137">
        <w:t>1996, Seminole Tribe of Florida v. Florida, No. 94-12</w:t>
      </w:r>
    </w:p>
    <w:p w:rsidR="00A31137" w:rsidRPr="00A31137" w:rsidRDefault="00A31137" w:rsidP="00A31137">
      <w:r w:rsidRPr="00A31137">
        <w:t>The fault I find with the majority today is not in its decision to reexamine Union Gas, for the Court in that case produced no majority for a single rationale supporting congressional authority. Instead, I part company from the Court because I am convinced that its decision is fundamentally mistaken, and for that reason I respectfully dissent.</w:t>
      </w:r>
    </w:p>
    <w:p w:rsidR="00A31137" w:rsidRPr="00A31137" w:rsidRDefault="00A31137" w:rsidP="00A31137">
      <w:r w:rsidRPr="00A31137">
        <w:t>I</w:t>
      </w:r>
    </w:p>
    <w:p w:rsidR="00A31137" w:rsidRPr="00A31137" w:rsidRDefault="00A31137" w:rsidP="00A31137">
      <w:r w:rsidRPr="00A31137">
        <w:t>1996, Seminole Tribe of Florida v. Florida, No. 94-12</w:t>
      </w:r>
    </w:p>
    <w:p w:rsidR="00A31137" w:rsidRPr="00A31137" w:rsidRDefault="00A31137" w:rsidP="00A31137">
      <w:r w:rsidRPr="00A31137">
        <w:t>It is useful to separate three questions: (1) whether the States enjoyed sovereign immunity if sued in their own courts in the period prior to ratification of the National Constitution; (2) if so, whether after ratification the States were entitled to claim some such immunity when sued in a federal court exercising jurisdiction either because the suit was between a State and a non-state litigant who was not its citizen, or because the issue in the case raised a federal question; and (3) whether any state sovereign immunity recognized in federal court may be abrogated by Congress.</w:t>
      </w:r>
    </w:p>
    <w:p w:rsidR="00A31137" w:rsidRPr="00A31137" w:rsidRDefault="00A31137" w:rsidP="00A31137">
      <w:r w:rsidRPr="00A31137">
        <w:t>1996, Seminole Tribe of Florida v. Florida, No. 94-12</w:t>
      </w:r>
    </w:p>
    <w:p w:rsidR="00A31137" w:rsidRPr="00A31137" w:rsidRDefault="00A31137" w:rsidP="00A31137">
      <w:r w:rsidRPr="00A31137">
        <w:t>The answer to the first question is not clear, although some of the Framers assumed that States did enjoy immunity in their own courts. The second question was not debated at the time of ratification, except as to citizen-state diversity jurisdiction; 1 there was no unanimity, but, in due course, the Court, in Chisholm v. Georgia, 2 Dall. 419 (1793), answered that a state defendant enjoyed no such immunity. As to federal question jurisdiction, state sovereign immunity seems not to have been debated prior to ratification, the silence probably showing a general understanding at the time that the States would have no immunity in such cases.</w:t>
      </w:r>
    </w:p>
    <w:p w:rsidR="00A31137" w:rsidRPr="00A31137" w:rsidRDefault="00A31137" w:rsidP="00A31137">
      <w:r w:rsidRPr="00A31137">
        <w:t>1996, Seminole Tribe of Florida v. Florida, No. 94-12</w:t>
      </w:r>
    </w:p>
    <w:p w:rsidR="00A31137" w:rsidRPr="00A31137" w:rsidRDefault="00A31137" w:rsidP="00A31137">
      <w:r w:rsidRPr="00A31137">
        <w:t>The adoption of the Eleventh Amendment soon changed the result in Chisholm, not by mentioning sovereign immunity, but by eliminating citizen-state diversity jurisdiction over cases with state defendants. I will explain why the Eleventh Amendment did not affect federal question jurisdiction, a notion that needs to be understood for the light it casts on the soundness of Hans' holding that States did enjoy sovereign immunity in federal question suits. The Hans Court erroneously assumed that a State could plead sovereign immunity against a noncitizen suing under federal question jurisdiction, and for that reason held that a State must enjoy the same protection in a suit by one of its citizens. The error of Hans' reasoning is underscored by its clear inconsistency with the Founders' hostility to the implicit reception of common law doctrine as federal law, and with the Founders' conception of sovereign power as divided between the States and the National Government for the sake of very practical objectives.</w:t>
      </w:r>
    </w:p>
    <w:p w:rsidR="00A31137" w:rsidRPr="00A31137" w:rsidRDefault="00A31137" w:rsidP="00A31137">
      <w:r w:rsidRPr="00A31137">
        <w:t>1996, Seminole Tribe of Florida v. Florida, No. 94-12</w:t>
      </w:r>
    </w:p>
    <w:p w:rsidR="00A31137" w:rsidRPr="00A31137" w:rsidRDefault="00A31137" w:rsidP="00A31137">
      <w:r w:rsidRPr="00A31137">
        <w:t>The Court's answer today to the third question is likewise at odds with the Founders' view that common law, when it was received into the new American legal systems, was always subject to legislative amendment. In ignoring the reasons for this pervasive understanding at the time of the ratification, and in holding that a nontextual common law rule limits a clear grant of congressional power under Article I, the Court follows a course that has brought it to grief before in our history, and promises to do so again.</w:t>
      </w:r>
    </w:p>
    <w:p w:rsidR="00A31137" w:rsidRPr="00A31137" w:rsidRDefault="00A31137" w:rsidP="00A31137">
      <w:r w:rsidRPr="00A31137">
        <w:t>1996, Seminole Tribe of Florida v. Florida, No. 94-12</w:t>
      </w:r>
    </w:p>
    <w:p w:rsidR="00A31137" w:rsidRPr="00A31137" w:rsidRDefault="00A31137" w:rsidP="00A31137">
      <w:r w:rsidRPr="00A31137">
        <w:t>Beyond this third question that elicits today's holding, there is one further issue. To reach the Court's result, it must not only hold the Hans doctrine to be outside the reach of Congress, but must also displace the doctrine of Ex parte Young, 209 U.S. 123 (1908), that an officer of the government may be ordered prospectively to follow federal law, in cases in which the government may not itself be sued directly. None of its reasons for displacing Young's jurisdictional doctrine withstand scrutiny.</w:t>
      </w:r>
    </w:p>
    <w:p w:rsidR="00A31137" w:rsidRPr="00A31137" w:rsidRDefault="00A31137" w:rsidP="00A31137">
      <w:r w:rsidRPr="00A31137">
        <w:t>A</w:t>
      </w:r>
    </w:p>
    <w:p w:rsidR="00A31137" w:rsidRPr="00A31137" w:rsidRDefault="00A31137" w:rsidP="00A31137">
      <w:r w:rsidRPr="00A31137">
        <w:t>1996, Seminole Tribe of Florida v. Florida, No. 94-12</w:t>
      </w:r>
    </w:p>
    <w:p w:rsidR="00A31137" w:rsidRPr="00A31137" w:rsidRDefault="00A31137" w:rsidP="00A31137">
      <w:r w:rsidRPr="00A31137">
        <w:t>The doctrine of sovereign immunity comprises two distinct rules, which are not always separately recognized. The one rule holds that the King or the Crown, as the font of law, is not bound by the law's provisions; the other provides that the King or Crown, as the font of justice, is not subject to suit in its own courts. See, e.g., Jaffe, Suits Against Governments and Officers: Sovereign Immunity, 77 Harv.L.Rev. 1, 3-4 (1963). 2 The one rule limits the reach of substantive law; the other, the jurisdiction of the courts. We are concerned here only with the latter rule, which took its common law form in the high middle ages. "At least as early as the thirteenth century, during the reign of Henry III (1216-1272), it was recognized that the king could not be sued in his own courts." C. Jacobs, Eleventh Amendment and Sovereign Immunity 5 (1972). See also 3 W. Blackstone, Commentaries, *244-*245; Jaffe, supra at 2 ("By the time of Bracton (1268) it was settled doctrine that the King could not be sued eo nomine in his own courts").</w:t>
      </w:r>
    </w:p>
    <w:p w:rsidR="00A31137" w:rsidRPr="00A31137" w:rsidRDefault="00A31137" w:rsidP="00A31137">
      <w:r w:rsidRPr="00A31137">
        <w:t>1996, Seminole Tribe of Florida v. Florida, No. 94-12</w:t>
      </w:r>
    </w:p>
    <w:p w:rsidR="00A31137" w:rsidRPr="00A31137" w:rsidRDefault="00A31137" w:rsidP="00A31137">
      <w:r w:rsidRPr="00A31137">
        <w:t>The significance of this doctrine in the nascent American law is less clear, however, than its early development and steady endurance in England might suggest. While some colonial governments may have enjoyed some such immunity, Jacobs, supra at 6-7, the scope (and even the existence) of this governmental immunity in pre-Revolutionary America remains disputed. See Gibbons, The Eleventh Amendment and State Sovereign Immunity: A Reinterpretation, 83 Colum. L.Rev. 1889, 1895-1899 (1983).</w:t>
      </w:r>
    </w:p>
    <w:p w:rsidR="00A31137" w:rsidRPr="00A31137" w:rsidRDefault="00A31137" w:rsidP="00A31137">
      <w:r w:rsidRPr="00A31137">
        <w:t>1996, Seminole Tribe of Florida v. Florida, No. 94-12</w:t>
      </w:r>
    </w:p>
    <w:p w:rsidR="00A31137" w:rsidRPr="00A31137" w:rsidRDefault="00A31137" w:rsidP="00A31137">
      <w:r w:rsidRPr="00A31137">
        <w:t>Whatever the scope of sovereign immunity might have been in the Colonies, however, or during the period of Confederation, the proposal to establish a National Government under the Constitution drafted in 1787 presented a prospect unknown to the common law prior to the American experience: the States would become parts of a system in which sovereignty over even domestic matters would be divided or parcelled out between the States and the Nation, the latter to be invested with its own judicial power and the right to prevail against the States whenever their respective substantive laws might be in conflict. With this prospect in mind, the 1787 Constitution might have addressed state sovereign immunity by eliminating whatever sovereign immunity the States previously had, as to any matter subject to federal law or jurisdiction; by recognizing an analogue to the old immunity in the new context of federal jurisdiction, but subject to abrogation as to any matter within that jurisdiction; or by enshrining a doctrine of inviolable state sovereign immunity in the text, thereby giving it constitutional protection in the new federal jurisdiction. See Field, The Eleventh Amendment and Other Sovereign Immunity Doctrines: Part One, 126 U.Pa.L.Rev. 515, 536-538 (1977).</w:t>
      </w:r>
    </w:p>
    <w:p w:rsidR="00A31137" w:rsidRPr="00A31137" w:rsidRDefault="00A31137" w:rsidP="00A31137">
      <w:r w:rsidRPr="00A31137">
        <w:t>1996, Seminole Tribe of Florida v. Florida, No. 94-12</w:t>
      </w:r>
    </w:p>
    <w:p w:rsidR="00A31137" w:rsidRPr="00A31137" w:rsidRDefault="00A31137" w:rsidP="00A31137">
      <w:r w:rsidRPr="00A31137">
        <w:t>The 1787 draft in fact said nothing on the subject, and it was this very silence that occasioned some, though apparently not widespread, dispute among the Framers and others over whether ratification of the Constitution would preclude a State sued in federal court from asserting sovereign immunity as it could have done on any matter of nonfederal law litigated in its own courts. As it has come down to us, the discussion gave no attention to congressional power under the proposed Article I but focused entirely on the limits of the judicial power provided in Article III. And although the jurisdictional bases together constituting the judicial power of the national courts under section 2 of Article III included questions arising under federal law and cases between States and individuals who are not citizens, 3 it was only upon the latter citizen-state diversity provisions that pre-ratification questions about state immunity from suit or liability centered. 4</w:t>
      </w:r>
    </w:p>
    <w:p w:rsidR="00A31137" w:rsidRPr="00A31137" w:rsidRDefault="00A31137" w:rsidP="00A31137">
      <w:r w:rsidRPr="00A31137">
        <w:t>1996, Seminole Tribe of Florida v. Florida, No. 94-12</w:t>
      </w:r>
    </w:p>
    <w:p w:rsidR="00A31137" w:rsidRPr="00A31137" w:rsidRDefault="00A31137" w:rsidP="00A31137">
      <w:r w:rsidRPr="00A31137">
        <w:t>Later in my discussion I will canvass the details of the debate among the Framers and other leaders of the time, see infra at ___; for now it is enough to say that there was no consensus on the issue. See Atascadero State Hospital v. Scanlon, 473 U.S. 234, 263-280 (1985) (Brennan, J., dissenting); Nevada v. Hall, 440 U.S. 410,  419 (1979); Jacobs, supra at 40 ("[T]he legislative history of the Constitution hardly warrants the conclusion drawn by some that there was a general understanding at the time of ratification, that the states would retain their sovereign immunity"). There was, on the contrary, a clear disagreement, which was left to fester during the ratification period, to be resolved only thereafter. One other point, however, was also clear: the debate addressed only the question whether ratification of the Constitution would, in diversity cases and without more, abrogate the state sovereign immunity or allow it to have some application. We have no record that anyone argued for the third option mentioned above, that the Constitution would affirmatively guarantee state sovereign immunity against any congressional action to the contrary. Nor would there have been any apparent justification for any such argument, since no clause in the proposed (and ratified) Constitution even so much as suggested such a position. It may have been reasonable to contend (as we will see that Madison, Marshall, and Hamilton did) that Article III would not alter States' preexisting common law immunity despite its unqualified grant of jurisdiction over diversity suits against States. But then, as now, there was no textual support for contending that Article III or any other provision would "constitutionalize" state sovereign immunity, and no one uttered any such contention.</w:t>
      </w:r>
    </w:p>
    <w:p w:rsidR="00A31137" w:rsidRPr="00A31137" w:rsidRDefault="00A31137" w:rsidP="00A31137">
      <w:r w:rsidRPr="00A31137">
        <w:t>B</w:t>
      </w:r>
    </w:p>
    <w:p w:rsidR="00A31137" w:rsidRPr="00A31137" w:rsidRDefault="00A31137" w:rsidP="00A31137">
      <w:r w:rsidRPr="00A31137">
        <w:t>1996, Seminole Tribe of Florida v. Florida, No. 94-12</w:t>
      </w:r>
    </w:p>
    <w:p w:rsidR="00A31137" w:rsidRPr="00A31137" w:rsidRDefault="00A31137" w:rsidP="00A31137">
      <w:r w:rsidRPr="00A31137">
        <w:t>The argument among the Framers and their friends about sovereign immunity in federal citizen-state diversity cases, in any event, was short lived and ended when this Court, in Chisholm v. Georgia, 2 Dall. 419 (1793), chose between the constitutional alternatives of abrogation and recognition of the immunity enjoyed at common law. The 4-to-1 majority adopted the reasonable (although not compelled) interpretation that the first of the two Citizen-State Diversity Clauses abrogated for purposes of federal jurisdiction any immunity the States might have enjoyed in their own courts, and Georgia was accordingly held subject to the judicial power in a common law assumpsit action by a South Carolina citizen suing to collect a debt. 5 The case also settled, by implication, any question there could possibly have been about recognizing state sovereign immunity in actions depending on the federal question (or "arising under") head of jurisdiction as well. The constitutional text on federal question jurisdiction, after all, was just as devoid of immunity language as it was on citizen-state diversity, and at the time of Chisholm any influence that general common law immunity might have had as an interpretive force in construing constitutional language would presumably have been no greater when addressing the federal question language of Article III than its Diversity Clauses. See Sherry, The Eleventh Amendment and Stare Decisis: Overruling Hans v Louisiana, 57 U.Chi.L.Rev. 1260, 1270 (1990).</w:t>
      </w:r>
    </w:p>
    <w:p w:rsidR="00A31137" w:rsidRPr="00A31137" w:rsidRDefault="00A31137" w:rsidP="00A31137">
      <w:r w:rsidRPr="00A31137">
        <w:t>1996, Seminole Tribe of Florida v. Florida, No. 94-12</w:t>
      </w:r>
    </w:p>
    <w:p w:rsidR="00A31137" w:rsidRPr="00A31137" w:rsidRDefault="00A31137" w:rsidP="00A31137">
      <w:r w:rsidRPr="00A31137">
        <w:t>Although Justice Iredell's dissent in Chisholm seems at times to reserve judgment on what I have called the third question, whether Congress could authorize suits against the States, Chisholm, supra at 434-435 (Iredell, J., dissenting), his argument is largely devoted to stating the position taken by several federalists that state sovereign immunity was cognizable under the Citizen-State Diversity Clauses, not that state immunity was somehow invisibly codified as an independent constitutional defense. As JUSTICE STEVENS persuasively explains in greater detail, ante at ___, Justice Iredell's dissent focused on the construction of the Judiciary Act of 1789, not Article III. See also Orth, The Truth About Justice Iredell's Dissent in Chisholm v. Georgia (1793), 73 N. C. L.Rev. 255 (1994). This would have been an odd focus, had he believed that Congress lacked the constitutional authority to impose liability. Instead, on Justice Iredell's view, States sued in diversity retained the common law sovereignty "where no special act of Legislation controls it, to be in force in each state, as it existed in England (unaltered by any statute) at the time of the first settlement of the country." 2 Dall. at  435. While, in at least some circumstances, States might be held liable to "the authority of the United States," id. at  436, any such liability would depend upon "laws passed under the Constitution and in conformity to it." Ibid. 6 Finding no congressional action abrogating Georgia's common law immunity, Justice Iredell concluded that the State should not be liable to suit. 7</w:t>
      </w:r>
    </w:p>
    <w:p w:rsidR="00A31137" w:rsidRPr="00A31137" w:rsidRDefault="00A31137" w:rsidP="00A31137">
      <w:r w:rsidRPr="00A31137">
        <w:t>C</w:t>
      </w:r>
    </w:p>
    <w:p w:rsidR="00A31137" w:rsidRPr="00A31137" w:rsidRDefault="00A31137" w:rsidP="00A31137">
      <w:r w:rsidRPr="00A31137">
        <w:t>1996, Seminole Tribe of Florida v. Florida, No. 94-12</w:t>
      </w:r>
    </w:p>
    <w:p w:rsidR="00A31137" w:rsidRPr="00A31137" w:rsidRDefault="00A31137" w:rsidP="00A31137">
      <w:r w:rsidRPr="00A31137">
        <w:t>The Eleventh Amendment, of course, repudiated Chisholm and clearly divested federal courts of some jurisdiction as to cases against state parties:</w:t>
      </w:r>
    </w:p>
    <w:p w:rsidR="00A31137" w:rsidRPr="00A31137" w:rsidRDefault="00A31137" w:rsidP="00A31137">
      <w:r w:rsidRPr="00A31137">
        <w:t>1996, Seminole Tribe of Florida v. Florida, No. 94-12</w:t>
      </w:r>
    </w:p>
    <w:p w:rsidR="00A31137" w:rsidRPr="00A31137" w:rsidRDefault="00A31137" w:rsidP="00A31137">
      <w:r w:rsidRPr="00A31137">
        <w:t>The Judicial power of the United States shall not be construed to extend to any suit in law or equity, commenced or prosecuted against one of the United States by Citizens of another State, or by Citizens or Subjects of any Foreign State.</w:t>
      </w:r>
    </w:p>
    <w:p w:rsidR="00A31137" w:rsidRPr="00A31137" w:rsidRDefault="00A31137" w:rsidP="00A31137">
      <w:r w:rsidRPr="00A31137">
        <w:t>1996, Seminole Tribe of Florida v. Florida, No. 94-12</w:t>
      </w:r>
    </w:p>
    <w:p w:rsidR="00A31137" w:rsidRPr="00A31137" w:rsidRDefault="00A31137" w:rsidP="00A31137">
      <w:r w:rsidRPr="00A31137">
        <w:t>There are two plausible readings of this provision's text. Under the first, it simply repeals the Citizen-State Diversity Clauses of Article III for all cases in which the State appears as a defendant. Under the second, it strips the federal courts of jurisdiction in any case in which a state defendant is sued by a citizen not its own, even if jurisdiction might otherwise rest on the existence of a federal question in the suit. Neither reading of the Amendment, of course, furnishes authority for the Court's view in today's case, but we need to choose between the competing readings for the light that will be shed on the Hans doctrine and the legitimacy of inflating that doctrine to the point of constitutional immutability as the Court has chosen to do.</w:t>
      </w:r>
    </w:p>
    <w:p w:rsidR="00A31137" w:rsidRPr="00A31137" w:rsidRDefault="00A31137" w:rsidP="00A31137">
      <w:r w:rsidRPr="00A31137">
        <w:t>1996, Seminole Tribe of Florida v. Florida, No. 94-12</w:t>
      </w:r>
    </w:p>
    <w:p w:rsidR="00A31137" w:rsidRPr="00A31137" w:rsidRDefault="00A31137" w:rsidP="00A31137">
      <w:r w:rsidRPr="00A31137">
        <w:t>The history and structure of the Eleventh Amendment convincingly show that it reaches only to suits subject to federal jurisdiction exclusively under the Citizen-State Diversity Clauses. 8 In precisely tracking the language in Article III providing for citizen-state diversity jurisdiction, the text of the Amendment does, after all, suggest to common sense that only the Diversity Clauses are being addressed. If the Framers had meant the Amendment to bar federal question suits as well, they could not only have made their intentions clearer very easily, but could simply have adopted the first post-Chisholm proposal, introduced in the House of Representatives by Theodore Sedgwick of Massachusetts on instructions from the Legislature of that Commonwealth. Its provisions would have had exactly that expansive effect:</w:t>
      </w:r>
    </w:p>
    <w:p w:rsidR="00A31137" w:rsidRPr="00A31137" w:rsidRDefault="00A31137" w:rsidP="00A31137">
      <w:r w:rsidRPr="00A31137">
        <w:t>1996, Seminole Tribe of Florida v. Florida, No. 94-12</w:t>
      </w:r>
    </w:p>
    <w:p w:rsidR="00A31137" w:rsidRPr="00A31137" w:rsidRDefault="00A31137" w:rsidP="00A31137">
      <w:r w:rsidRPr="00A31137">
        <w:t>[N]o state shall be liable to be made a party defendant, in any of the judicial courts, established, or which shall be established under the authority of the United States at the suit of any person or persons, whether a citizen or citizens, or a foreigner or foreigners, or of any body politic or corporate, whether within or without the United States.</w:t>
      </w:r>
    </w:p>
    <w:p w:rsidR="00A31137" w:rsidRPr="00A31137" w:rsidRDefault="00A31137" w:rsidP="00A31137">
      <w:r w:rsidRPr="00A31137">
        <w:t>1996, Seminole Tribe of Florida v. Florida, No. 94-12</w:t>
      </w:r>
    </w:p>
    <w:p w:rsidR="00A31137" w:rsidRPr="00A31137" w:rsidRDefault="00A31137" w:rsidP="00A31137">
      <w:r w:rsidRPr="00A31137">
        <w:t>Gazette of the United States 303 (Feb. 20, 1793).</w:t>
      </w:r>
    </w:p>
    <w:p w:rsidR="00A31137" w:rsidRPr="00A31137" w:rsidRDefault="00A31137" w:rsidP="00A31137">
      <w:r w:rsidRPr="00A31137">
        <w:t>1996, Seminole Tribe of Florida v. Florida, No. 94-12</w:t>
      </w:r>
    </w:p>
    <w:p w:rsidR="00A31137" w:rsidRPr="00A31137" w:rsidRDefault="00A31137" w:rsidP="00A31137">
      <w:r w:rsidRPr="00A31137">
        <w:t>With its references to suits by citizens as well as non-citizens, the Sedgwick amendment would necessarily have been applied beyond the Diversity Clauses, and for a reason that would have been wholly obvious to the people of the time. Sedgwick sought such a broad amendment because many of the States, including his own, owed debts subject to collection under the Treaty of Paris. Suits to collect such debts would "arise under" that Treaty, and thus be subject to federal question jurisdiction under Article III. Such a suit, indeed, was then already pending against Massachusetts, having been brought in this Court by Christopher Vassal, an erstwhile Bostonian whose move to England on the eve of revolutionary hostilities had presented his former neighbors with the irresistible temptation to confiscate his vacant mansion. 5 Documentary History of the Supreme Court of the United States, 1789-1800, pp. 352-449 (Marcus ed. 1994). 9</w:t>
      </w:r>
    </w:p>
    <w:p w:rsidR="00A31137" w:rsidRPr="00A31137" w:rsidRDefault="00A31137" w:rsidP="00A31137">
      <w:r w:rsidRPr="00A31137">
        <w:t>1996, Seminole Tribe of Florida v. Florida, No. 94-12</w:t>
      </w:r>
    </w:p>
    <w:p w:rsidR="00A31137" w:rsidRPr="00A31137" w:rsidRDefault="00A31137" w:rsidP="00A31137">
      <w:r w:rsidRPr="00A31137">
        <w:t>Congress took no action on Sedgwick's proposal, however, and the Amendment as ultimately adopted two years later could hardly have been meant to limit federal question jurisdiction, or it would never have left the states open to federal question suits by their own citizens. To be sure, the majority of state creditors were not citizens, but nothing in the Treaty would have prevented foreign creditors from selling their debt instruments (thereby assigning their claims) to citizens of the debtor State. If the Framers of the Eleventh Amendment had meant it to immunize States from federal question suits like those that might be brought to enforce the Treaty of Paris, they would surely have drafted the Amendment differently. See Fletcher, The Diversity Explanation of the Eleventh Amendment: A Reply to Critics, 56 U.Chi.L.Rev. 1261, 1280-1282 (1989).</w:t>
      </w:r>
    </w:p>
    <w:p w:rsidR="00A31137" w:rsidRPr="00A31137" w:rsidRDefault="00A31137" w:rsidP="00A31137">
      <w:r w:rsidRPr="00A31137">
        <w:t>1996, Seminole Tribe of Florida v. Florida, No. 94-12</w:t>
      </w:r>
    </w:p>
    <w:p w:rsidR="00A31137" w:rsidRPr="00A31137" w:rsidRDefault="00A31137" w:rsidP="00A31137">
      <w:r w:rsidRPr="00A31137">
        <w:t>It should accordingly come as no surprise that the weightiest commentary following the amendment's adoption described it simply as constricting the scope of the Citizen-State Diversity Clauses. In Cohens v. Virginia, 6 Wheat. 264 (1821), for instance, Chief Justice Marshall, writing for the Court, emphasized that the amendment had no effect on federal courts' jurisdiction grounded on the "arising under" provision of Article III and concluded that "a case arising under the constitution or laws of the United States, is cognizable in the Courts of the Union, whoever may be the parties to that case." Id. at  383. The point of the Eleventh Amendment, according to Cohens, was to bar jurisdiction in suits at common law by Revolutionary War debt creditors, not "to strip the government of the means of protecting, by the instrumentality of its Courts, the constitution and laws from active violation." Id. at  407.</w:t>
      </w:r>
    </w:p>
    <w:p w:rsidR="00A31137" w:rsidRPr="00A31137" w:rsidRDefault="00A31137" w:rsidP="00A31137">
      <w:r w:rsidRPr="00A31137">
        <w:t>1996, Seminole Tribe of Florida v. Florida, No. 94-12</w:t>
      </w:r>
    </w:p>
    <w:p w:rsidR="00A31137" w:rsidRPr="00A31137" w:rsidRDefault="00A31137" w:rsidP="00A31137">
      <w:r w:rsidRPr="00A31137">
        <w:t>The treatment of the amendment in Osborn v. Bank of United States, 9 Wheat. 738 (1824), was to the same effect. The Amendment was held there to be no bar to an action against the State seeking the return of an unconstitutional tax. "The eleventh amendment of the constitution has exempted a State from the suits of citizens of other States, or aliens," Marshall stated, omitting any reference to cases that arise under the Constitution or federal law. Id. at  847.</w:t>
      </w:r>
    </w:p>
    <w:p w:rsidR="00A31137" w:rsidRPr="00A31137" w:rsidRDefault="00A31137" w:rsidP="00A31137">
      <w:r w:rsidRPr="00A31137">
        <w:t>1996, Seminole Tribe of Florida v. Florida, No. 94-12</w:t>
      </w:r>
    </w:p>
    <w:p w:rsidR="00A31137" w:rsidRPr="00A31137" w:rsidRDefault="00A31137" w:rsidP="00A31137">
      <w:r w:rsidRPr="00A31137">
        <w:t>The good sense of this early construction of the Amendment as affecting the diversity jurisdiction and no more has the further virtue of making sense of this Court's repeated exercise of appellate jurisdiction in federal question suits brought against states in their own courts by out-of-staters. Exercising appellate jurisdiction in these cases would have been patent error if the Eleventh Amendment limited federal question jurisdiction, for the Amendment's unconditional language ("shall not be construed") makes no distinction between trial and appellate jurisdiction. 10 And yet, again and again we have entertained such appellate cases, even when brought against the State in its own name by a private plaintiff for money damages. See, e.g., Commonwealth Edison Co. v. Montana, 453 U.S. 609 (1981); Minneapolis Star &amp; Tribune Co. v. Minnesota Comm'r of Revenue, 460 U.S. 575 (1983). The best explanation for our practice belongs to Chief Justice Marshall: the Eleventh Amendment bars only those suits in which the sole basis for federal jurisdiction is diversity of citizenship. See Atascadero State Hospital v. Scanlon, 473 U.S. at 294 (Brennan, J., dissenting); Jackson, The Supreme Court, the Eleventh Amendment, and State Sovereign Immunity, 98 Yale L.J. 1, 44 (1988).</w:t>
      </w:r>
      <w:r w:rsidRPr="00A31137">
        <w:cr/>
      </w:r>
    </w:p>
    <w:p w:rsidR="00A31137" w:rsidRPr="00A31137" w:rsidRDefault="00A31137" w:rsidP="00A31137">
      <w:r w:rsidRPr="00A31137">
        <w:t>1996, Seminole Tribe of Florida v. Florida, No. 94-12</w:t>
      </w:r>
    </w:p>
    <w:p w:rsidR="00A31137" w:rsidRPr="00A31137" w:rsidRDefault="00A31137" w:rsidP="00A31137">
      <w:r w:rsidRPr="00A31137">
        <w:t>In sum, reading the Eleventh Amendment solely as a limit on citizen-state diversity jurisdiction has the virtue of coherence with this Court's practice, with the views of John Marshall, with the history of the Amendment's drafting, and with its allusive language. Today's majority does not appear to disagree at least insofar as the constitutional text is concerned; the Court concedes, after all, that "the text of the Amendment would appear to restrict only the Article III diversity jurisdiction of the federal courts." Ante at 8. 11</w:t>
      </w:r>
    </w:p>
    <w:p w:rsidR="00A31137" w:rsidRPr="00A31137" w:rsidRDefault="00A31137" w:rsidP="00A31137">
      <w:r w:rsidRPr="00A31137">
        <w:t>1996, Seminole Tribe of Florida v. Florida, No. 94-12</w:t>
      </w:r>
    </w:p>
    <w:p w:rsidR="00A31137" w:rsidRPr="00A31137" w:rsidRDefault="00A31137" w:rsidP="00A31137">
      <w:r w:rsidRPr="00A31137">
        <w:t>Thus, regardless of which of the two plausible readings one adopts, the further point to note here is that there is no possible argument that the Eleventh Amendment, by its terms, deprives federal courts of jurisdiction over all citizen lawsuits against the States. Not even the Court advances that proposition, and there would be no textual basis for doing so. 12 Because the plaintiffs in today's case are citizens of the State that they are suing, the Eleventh Amendment simply does not apply to them. We must therefore look elsewhere for the source of that immunity by which the Court says their suit is barred from a federal court. 13</w:t>
      </w:r>
    </w:p>
    <w:p w:rsidR="00A31137" w:rsidRPr="00A31137" w:rsidRDefault="00A31137" w:rsidP="00A31137">
      <w:r w:rsidRPr="00A31137">
        <w:t>II</w:t>
      </w:r>
    </w:p>
    <w:p w:rsidR="00A31137" w:rsidRPr="00A31137" w:rsidRDefault="00A31137" w:rsidP="00A31137">
      <w:r w:rsidRPr="00A31137">
        <w:t>1996, Seminole Tribe of Florida v. Florida, No. 94-12</w:t>
      </w:r>
    </w:p>
    <w:p w:rsidR="00A31137" w:rsidRPr="00A31137" w:rsidRDefault="00A31137" w:rsidP="00A31137">
      <w:r w:rsidRPr="00A31137">
        <w:t>The obvious place to look elsewhere, of course, is Hans v. Louisiana, 134 U.S. 1 (1890), and Hans was indeed a leap in the direction of today's holding, even though it does not take the Court all the way. The parties in Hans raised, and the Court in that case answered, only what I have called the second question, that is, whether the Constitution, without more, permits a State to plead sovereign immunity to bar the exercise of federal question jurisdiction. See id. at  9. Although the Court invoked a principle of sovereign immunity to cure what it took to be the Eleventh Amendment's anomaly of barring only those state suits brought by noncitizen plaintiffs, the Hans Court had no occasion to consider whether Congress could abrogate that background immunity by statute. Indeed (except in the special circumstance of Congress's power to enforce the Civil War Amendments), this question never came before our Court until Union Gas, and any intimations of an answer in prior cases were mere dicta. In Union Gas the Court held that the immunity recognized in Hans had no constitutional status and was subject to congressional abrogation. Today the Court overrules Union Gas and holds just the opposite. In deciding how to choose between these two positions, the place to begin is with Hans' holding that a principle of sovereign immunity derived from the common law insulates a state from federal question jurisdiction at the suit of its own citizen. A critical examination of that case will show that it was wrongly decided, as virtually every recent commentator has concluded. 14 It follows that the Court's further step today of constitutionalizing Hans' rule against abrogation by Congress compounds and immensely magnifies the century-old mistake of Hans itself and takes its place with other historic examples of textually untethered elevations of judicially derived rules to the status of inviolable constitutional law.</w:t>
      </w:r>
    </w:p>
    <w:p w:rsidR="00A31137" w:rsidRPr="00A31137" w:rsidRDefault="00A31137" w:rsidP="00A31137">
      <w:r w:rsidRPr="00A31137">
        <w:t>A</w:t>
      </w:r>
    </w:p>
    <w:p w:rsidR="00A31137" w:rsidRPr="00A31137" w:rsidRDefault="00A31137" w:rsidP="00A31137">
      <w:r w:rsidRPr="00A31137">
        <w:t>1996, Seminole Tribe of Florida v. Florida, No. 94-12</w:t>
      </w:r>
    </w:p>
    <w:p w:rsidR="00A31137" w:rsidRPr="00A31137" w:rsidRDefault="00A31137" w:rsidP="00A31137">
      <w:r w:rsidRPr="00A31137">
        <w:t>The Louisiana plaintiff in Hans held bonds issued by that State, which, like virtually all of the Southern States, had issued them in substantial amounts during the Reconstruction era to finance public improvements aimed at stimulating industrial development. E. Foner, Reconstruction: America's Unfinished Revolution 1863-1877 pp. 383-384 (1988); Gibbons, 83 Colum. L.Rev. at 1976-1977. As Reconstruction governments collapsed, however, the post-Reconstruction regimes sought to repudiate these debts, and the Hans litigation arose out of Louisiana's attempt to renege on its bond obligations.</w:t>
      </w:r>
    </w:p>
    <w:p w:rsidR="00A31137" w:rsidRPr="00A31137" w:rsidRDefault="00A31137" w:rsidP="00A31137">
      <w:r w:rsidRPr="00A31137">
        <w:t>1996, Seminole Tribe of Florida v. Florida, No. 94-12</w:t>
      </w:r>
    </w:p>
    <w:p w:rsidR="00A31137" w:rsidRPr="00A31137" w:rsidRDefault="00A31137" w:rsidP="00A31137">
      <w:r w:rsidRPr="00A31137">
        <w:t>Hans sued the State in federal court, asserting that the State's default amounted to an impairment of the obligation of its contracts in violation of the Contract Clause. This Court affirmed the dismissal of the suit, despite the fact that the case fell within the federal court's "arising under," or federal question, jurisdiction. Justice Bradley's opinion did not purport to hold that the terms either of Article III or of the Eleventh Amendment barred the suit, but that the ancient doctrine of sovereign immunity that had inspired adoption of the Eleventh Amendment applied to cases beyond the Amendment's scope and otherwise within the federal question jurisdiction. Indeed, Bradley explicitly admitted that</w:t>
      </w:r>
    </w:p>
    <w:p w:rsidR="00A31137" w:rsidRPr="00A31137" w:rsidRDefault="00A31137" w:rsidP="00A31137">
      <w:r w:rsidRPr="00A31137">
        <w:t>1996, Seminole Tribe of Florida v. Florida, No. 94-12</w:t>
      </w:r>
    </w:p>
    <w:p w:rsidR="00A31137" w:rsidRPr="00A31137" w:rsidRDefault="00A31137" w:rsidP="00A31137">
      <w:r w:rsidRPr="00A31137">
        <w:t>[i]t is true, the amendment does so read [as to permit Hans' suit], and if there were no other reason or ground for abating his suit, it might be maintainable.</w:t>
      </w:r>
    </w:p>
    <w:p w:rsidR="00A31137" w:rsidRPr="00A31137" w:rsidRDefault="00A31137" w:rsidP="00A31137">
      <w:r w:rsidRPr="00A31137">
        <w:t>1996, Seminole Tribe of Florida v. Florida, No. 94-12</w:t>
      </w:r>
    </w:p>
    <w:p w:rsidR="00A31137" w:rsidRPr="00A31137" w:rsidRDefault="00A31137" w:rsidP="00A31137">
      <w:r w:rsidRPr="00A31137">
        <w:t>Hans, 134 U.S. at  10. The Court elected, nonetheless, to recognize a broader immunity doctrine, despite the want of any textual manifestation, because of what the Court described as the anomaly that would have resulted otherwise: the Eleventh Amendment (according to the Court) would have barred a federal question suit by a noncitizen, but the State would have been subject to federal jurisdiction at its own citizen's behest. Id. at 10-11. The State was accordingly held to be free to resist suit without its consent, which it might grant or withhold as it pleased.</w:t>
      </w:r>
    </w:p>
    <w:p w:rsidR="00A31137" w:rsidRPr="00A31137" w:rsidRDefault="00A31137" w:rsidP="00A31137">
      <w:r w:rsidRPr="00A31137">
        <w:t>1996, Seminole Tribe of Florida v. Florida, No. 94-12</w:t>
      </w:r>
    </w:p>
    <w:p w:rsidR="00A31137" w:rsidRPr="00A31137" w:rsidRDefault="00A31137" w:rsidP="00A31137">
      <w:r w:rsidRPr="00A31137">
        <w:t>Hans thus addressed the issue implicated (though not directly raised) in the pre-ratification debate about the Citizen-State Diversity Clauses and implicitly settled by Chisholm: whether state sovereign immunity was cognizable by federal courts on the exercise of federal question jurisdiction. According to Hans, and contrary to Chisholm, it was. But that is all that Hans held. Because no federal legislation purporting to pierce state immunity was at issue, it cannot fairly be said that Hans held state sovereign immunity to have attained some constitutional status immunizing it from abrogation. 15</w:t>
      </w:r>
    </w:p>
    <w:p w:rsidR="00A31137" w:rsidRPr="00A31137" w:rsidRDefault="00A31137" w:rsidP="00A31137">
      <w:r w:rsidRPr="00A31137">
        <w:t>1996, Seminole Tribe of Florida v. Florida, No. 94-12</w:t>
      </w:r>
    </w:p>
    <w:p w:rsidR="00A31137" w:rsidRPr="00A31137" w:rsidRDefault="00A31137" w:rsidP="00A31137">
      <w:r w:rsidRPr="00A31137">
        <w:t>Taking Hans only as far as its holding, its vulnerability is apparent. The Court rested its opinion on avoiding the supposed anomaly of recognizing jurisdiction to entertain a citizen's federal question suit, but not one brought by a noncitizen. See Hans, supra at 10-11. There was, however, no such anomaly at all. As already explained, federal question cases are not touched by the Eleventh Amendment, which leaves a State open to federal question suits by citizens and noncitizens alike. If Hans had been from Massachusetts the Eleventh Amendment would not have barred his action against Louisiana.</w:t>
      </w:r>
    </w:p>
    <w:p w:rsidR="00A31137" w:rsidRPr="00A31137" w:rsidRDefault="00A31137" w:rsidP="00A31137">
      <w:r w:rsidRPr="00A31137">
        <w:t>1996, Seminole Tribe of Florida v. Florida, No. 94-12</w:t>
      </w:r>
    </w:p>
    <w:p w:rsidR="00A31137" w:rsidRPr="00A31137" w:rsidRDefault="00A31137" w:rsidP="00A31137">
      <w:r w:rsidRPr="00A31137">
        <w:t>Although there was thus no anomaly to be cured by Hans, the case certainly created its own anomaly in leaving federal courts entirely without jurisdiction to enforce paramount federal law at the behest of a citizen against a State that broke it. It destroyed the congruence of the judicial power under Article III with the substantive guarantees of the Constitution, and with the provisions of statutes passed by Congress in the exercise of its power under Article I: when a State injured an individual in violation of federal law no federal forum could provide direct relief. Absent an alternative process to vindicate federal law (see ___ Part IV, infra) John Marshall saw just what the consequences of this anomaly would be in the early Republic, and he took that consequence as good evidence that the Framers could never have intended such a scheme.</w:t>
      </w:r>
    </w:p>
    <w:p w:rsidR="00A31137" w:rsidRPr="00A31137" w:rsidRDefault="00A31137" w:rsidP="00A31137">
      <w:r w:rsidRPr="00A31137">
        <w:t>1996, Seminole Tribe of Florida v. Florida, No. 94-12</w:t>
      </w:r>
    </w:p>
    <w:p w:rsidR="00A31137" w:rsidRPr="00A31137" w:rsidRDefault="00A31137" w:rsidP="00A31137">
      <w:r w:rsidRPr="00A31137">
        <w:t>Different States may entertain different opinions on the true construction of the constitutional powers of Congress. We know, that at one time, the assumption of the debts contracted by the several States, during the war of our revolution, was deemed unconstitutional by some of them…. States may legislate in conformity to their opinions and may enforce those opinions by penalties. It would be hazarding too much to assert, that the judicatures of the States will be exempt from the prejudices by which the legislatures and people are influenced, and will constitute perfectly impartial tribunals. In many States the judges are dependent for office and for salary on the will of the legislature. The constitution of the United States furnishes no security against the universal adoption of this principle. When we observe the importance which that constitution attaches to the independence of judges, we are less inclined to suppose that it can have intended to leave these constitutional questions to tribunals where this independence may not exist.</w:t>
      </w:r>
    </w:p>
    <w:p w:rsidR="00A31137" w:rsidRPr="00A31137" w:rsidRDefault="00A31137" w:rsidP="00A31137">
      <w:r w:rsidRPr="00A31137">
        <w:t>1996, Seminole Tribe of Florida v. Florida, No. 94-12</w:t>
      </w:r>
    </w:p>
    <w:p w:rsidR="00A31137" w:rsidRPr="00A31137" w:rsidRDefault="00A31137" w:rsidP="00A31137">
      <w:r w:rsidRPr="00A31137">
        <w:t>Cohens v. Virginia, 6 Wheat. at 386-387. And yet that is just what Hans threatened to do.</w:t>
      </w:r>
    </w:p>
    <w:p w:rsidR="00A31137" w:rsidRPr="00A31137" w:rsidRDefault="00A31137" w:rsidP="00A31137">
      <w:r w:rsidRPr="00A31137">
        <w:t>1996, Seminole Tribe of Florida v. Florida, No. 94-12</w:t>
      </w:r>
    </w:p>
    <w:p w:rsidR="00A31137" w:rsidRPr="00A31137" w:rsidRDefault="00A31137" w:rsidP="00A31137">
      <w:r w:rsidRPr="00A31137">
        <w:t>How such a result could have been threatened on the basis of a principle not so much as mentioned in the Constitution is difficult to understand. But history provides the explanation. As I have already said, Hans was one episode in a long story of debt repudiation by the States of the former Confederacy after the end of Reconstruction. The turning point in the States' favor came with the Compromise of 1877, when the Republican party agreed effectively to end Reconstruction and to withdraw federal troops from the South in return for Southern acquiescence in the decision of the Electoral Commission that awarded the disputed 1876 presidential election to Rutherford B. Hayes. See J. Orth, Judicial Power of the United States: The Eleventh Amendment in American History 53-57 (1987); Gibbons, 83 Colum.L.Rev. at 1978-1982; see generally Foner, Reconstruction at 575-587 (describing the events of 1877 and their aftermath). The troop withdrawal, of course, left the federal judiciary "effectively without power to resist the rapidly coalescing repudiation movement." Gibbons, 83 Colum.L.Rev. at 1981. Contract Clause suits like the one brought by Hans thus presented this Court with</w:t>
      </w:r>
    </w:p>
    <w:p w:rsidR="00A31137" w:rsidRPr="00A31137" w:rsidRDefault="00A31137" w:rsidP="00A31137">
      <w:r w:rsidRPr="00A31137">
        <w:t>1996, Seminole Tribe of Florida v. Florida, No. 94-12</w:t>
      </w:r>
    </w:p>
    <w:p w:rsidR="00A31137" w:rsidRPr="00A31137" w:rsidRDefault="00A31137" w:rsidP="00A31137">
      <w:r w:rsidRPr="00A31137">
        <w:t>a draconian choice between repudiation of some of its most inviolable constitutional doctrines and the humiliation of seeing its political authority compromised as its judgments met the resistance of hostile state governments.</w:t>
      </w:r>
    </w:p>
    <w:p w:rsidR="00A31137" w:rsidRPr="00A31137" w:rsidRDefault="00A31137" w:rsidP="00A31137">
      <w:r w:rsidRPr="00A31137">
        <w:t>1996, Seminole Tribe of Florida v. Florida, No. 94-12</w:t>
      </w:r>
    </w:p>
    <w:p w:rsidR="00A31137" w:rsidRPr="00A31137" w:rsidRDefault="00A31137" w:rsidP="00A31137">
      <w:r w:rsidRPr="00A31137">
        <w:t>Id. at 1974. Indeed, Louisiana's brief in Hans unmistakably bore witness to this Court's inability to enforce a judgment against a recalcitrant State:</w:t>
      </w:r>
    </w:p>
    <w:p w:rsidR="00A31137" w:rsidRPr="00A31137" w:rsidRDefault="00A31137" w:rsidP="00A31137">
      <w:r w:rsidRPr="00A31137">
        <w:t>1996, Seminole Tribe of Florida v. Florida, No. 94-12</w:t>
      </w:r>
    </w:p>
    <w:p w:rsidR="00A31137" w:rsidRPr="00A31137" w:rsidRDefault="00A31137" w:rsidP="00A31137">
      <w:r w:rsidRPr="00A31137">
        <w:t>The solemn obligation of a government arising on its own acknowledged bond would not be enhanced by a judgment rendered on such bond. If it either could not or would not make provision for paying the bond, it is probable that it could not or would not make provision for satisfying the judgment.</w:t>
      </w:r>
    </w:p>
    <w:p w:rsidR="00A31137" w:rsidRPr="00A31137" w:rsidRDefault="00A31137" w:rsidP="00A31137">
      <w:r w:rsidRPr="00A31137">
        <w:t>1996, Seminole Tribe of Florida v. Florida, No. 94-12</w:t>
      </w:r>
    </w:p>
    <w:p w:rsidR="00A31137" w:rsidRPr="00A31137" w:rsidRDefault="00A31137" w:rsidP="00A31137">
      <w:r w:rsidRPr="00A31137">
        <w:t>Brief for Respondent in No. 4, O.T. 1889, p. 25. Given the likelihood that a judgment against the State could not be enforced, it is not wholly surprising that the Hans Court found a way to avoid the certainty of the State's contempt. 16</w:t>
      </w:r>
    </w:p>
    <w:p w:rsidR="00A31137" w:rsidRPr="00A31137" w:rsidRDefault="00A31137" w:rsidP="00A31137">
      <w:r w:rsidRPr="00A31137">
        <w:t>1996, Seminole Tribe of Florida v. Florida, No. 94-12</w:t>
      </w:r>
    </w:p>
    <w:p w:rsidR="00A31137" w:rsidRPr="00A31137" w:rsidRDefault="00A31137" w:rsidP="00A31137">
      <w:r w:rsidRPr="00A31137">
        <w:t>So it is that history explains, but does not honor, Hans. The ultimate demerit of the case centers, however, not on its politics but on the legal errors on which it rested. 17 Before considering those errors, it is necessary to address the Court's contention that subsequent cases have read into Hans what was not there to begin with, that is, a background principle of sovereign immunity that is constitutional in stature and therefore unalterable by Congress.</w:t>
      </w:r>
    </w:p>
    <w:p w:rsidR="00A31137" w:rsidRPr="00A31137" w:rsidRDefault="00A31137" w:rsidP="00A31137">
      <w:r w:rsidRPr="00A31137">
        <w:t>B</w:t>
      </w:r>
    </w:p>
    <w:p w:rsidR="00A31137" w:rsidRPr="00A31137" w:rsidRDefault="00A31137" w:rsidP="00A31137">
      <w:r w:rsidRPr="00A31137">
        <w:t>1996, Seminole Tribe of Florida v. Florida, No. 94-12</w:t>
      </w:r>
    </w:p>
    <w:p w:rsidR="00A31137" w:rsidRPr="00A31137" w:rsidRDefault="00A31137" w:rsidP="00A31137">
      <w:r w:rsidRPr="00A31137">
        <w:t>The majority does not dispute the point that Hans v. Louisiana, 134 U.S. 1 (1890), had no occasion to decide whether Congress could abrogate a State's immunity from federal question suits. The Court insists, however, that the negative answer to that question that it finds in Hans and subsequent opinions is not "mere obiter dicta, but rather…the well established rationale upon which the Court based the results of its earlier decisions." Ante at ___. The exact rationale to which the majority refers, unfortunately, is not easy to discern. The Court's opinion says, immediately after its discussion of stare decisis, that,</w:t>
      </w:r>
    </w:p>
    <w:p w:rsidR="00A31137" w:rsidRPr="00A31137" w:rsidRDefault="00A31137" w:rsidP="00A31137">
      <w:r w:rsidRPr="00A31137">
        <w:t>1996, Seminole Tribe of Florida v. Florida, No. 94-12</w:t>
      </w:r>
    </w:p>
    <w:p w:rsidR="00A31137" w:rsidRPr="00A31137" w:rsidRDefault="00A31137" w:rsidP="00A31137">
      <w:r w:rsidRPr="00A31137">
        <w:t>[f]or over a century, we have grounded our decisions in the oft-repeated understanding of state sovereign immunity as an essential part of the Eleventh Amendment.</w:t>
      </w:r>
    </w:p>
    <w:p w:rsidR="00A31137" w:rsidRPr="00A31137" w:rsidRDefault="00A31137" w:rsidP="00A31137">
      <w:r w:rsidRPr="00A31137">
        <w:t>1996, Seminole Tribe of Florida v. Florida, No. 94-12</w:t>
      </w:r>
    </w:p>
    <w:p w:rsidR="00A31137" w:rsidRPr="00A31137" w:rsidRDefault="00A31137" w:rsidP="00A31137">
      <w:r w:rsidRPr="00A31137">
        <w:t>Ante at ___. This cannot be the "rationale," though, because this Court has repeatedly acknowledged that the Eleventh Amendment standing alone cannot bar a federal question suit against a State brought by a state citizen. See, e.g., Edelman v. Jordan, 415 U.S. 651, 662 (1974) (acknowledging that "the Amendment by its terms does not bar suits against a State by its own citizens"). 18 Indeed, as I have noted, Justice Bradley's opinion in Hans conceded that Hans might successfully have pursued his claim "if there were no other reason or ground [other than the Amendment itself] for abating his suit." 134 U.S. at  10. The Hans Court, rather, held the suit barred by a nonconstitutional common law immunity. See supra at ___.</w:t>
      </w:r>
    </w:p>
    <w:p w:rsidR="00A31137" w:rsidRPr="00A31137" w:rsidRDefault="00A31137" w:rsidP="00A31137">
      <w:r w:rsidRPr="00A31137">
        <w:t>1996, Seminole Tribe of Florida v. Florida, No. 94-12</w:t>
      </w:r>
    </w:p>
    <w:p w:rsidR="00A31137" w:rsidRPr="00A31137" w:rsidRDefault="00A31137" w:rsidP="00A31137">
      <w:r w:rsidRPr="00A31137">
        <w:t>The "rationale" which the majority seeks to invoke is, I think, more nearly stated in its quotation from Principality of Monaco v. Mississippi, 292 U.S. 313, 321-323 (1934). There, the Court said that</w:t>
      </w:r>
    </w:p>
    <w:p w:rsidR="00A31137" w:rsidRPr="00A31137" w:rsidRDefault="00A31137" w:rsidP="00A31137">
      <w:r w:rsidRPr="00A31137">
        <w:t>1996, Seminole Tribe of Florida v. Florida, No. 94-12</w:t>
      </w:r>
    </w:p>
    <w:p w:rsidR="00A31137" w:rsidRPr="00A31137" w:rsidRDefault="00A31137" w:rsidP="00A31137">
      <w:r w:rsidRPr="00A31137">
        <w:t>we cannot rest with a mere literal application of the words of § 2 of Article III, or assume that the letter of the Eleventh Amendment exhausts the restrictions upon suits against nonconsenting States.</w:t>
      </w:r>
    </w:p>
    <w:p w:rsidR="00A31137" w:rsidRPr="00A31137" w:rsidRDefault="00A31137" w:rsidP="00A31137">
      <w:r w:rsidRPr="00A31137">
        <w:t>1996, Seminole Tribe of Florida v. Florida, No. 94-12</w:t>
      </w:r>
    </w:p>
    <w:p w:rsidR="00A31137" w:rsidRPr="00A31137" w:rsidRDefault="00A31137" w:rsidP="00A31137">
      <w:r w:rsidRPr="00A31137">
        <w:t>Id. at 322. 19 This statement certainly is true to Hans, which clearly recognized a preexisting principle of sovereign immunity, broader than the Eleventh Amendment itself, that will ordinarily bar federal question suits against a nonconsenting State. That was the "rationale" which was sufficient to decide Hans and all of its progeny prior to Union Gas. But leaving aside the indefensibility of that rationale, which I will address further below, that was as far as it went.</w:t>
      </w:r>
    </w:p>
    <w:p w:rsidR="00A31137" w:rsidRPr="00A31137" w:rsidRDefault="00A31137" w:rsidP="00A31137">
      <w:r w:rsidRPr="00A31137">
        <w:t>1996, Seminole Tribe of Florida v. Florida, No. 94-12</w:t>
      </w:r>
    </w:p>
    <w:p w:rsidR="00A31137" w:rsidRPr="00A31137" w:rsidRDefault="00A31137" w:rsidP="00A31137">
      <w:r w:rsidRPr="00A31137">
        <w:t>The majority, however, would read the "rationale" of Hans and its line of subsequent cases as answering the further question whether the "postulate" of sovereign immunity that "limit[s] and control[s]" the exercise of Article III jurisdiction, Monaco, supra at 322, is constitutional in stature and therefore unalterable by Congress. It is true that there are statements in the cases that point toward just this conclusion. See, e.g., Pennhurst State School and Hospital v. Halderman, 465 U.S. 89, 98 (1984) ("In short, the principle of sovereign immunity is a constitutional limitation on the federal judicial power established in Art. III"); Ex parte New York, 256 U.S. 490, 497 (1921) ("[T]he entire judicial power granted by the Constitution does not embrace authority to entertain a suit brought by private parties against a State without consent given…"). These statements, however, are dicta in the classic sense, that is, sheer speculation about what would happen in cases not before the court. 20 But this is not the only weakness of these statements, which are counterbalanced by many other opinions that have either stated the immunity principle without more, see, e.g., Dellmuth v. Muth, 491 U.S. 223, 229, n. 2 (1989) (noting that "an unconsenting State is immune from liability for damages in a suit brought in federal court by one of its own citizens," without suggesting that the immunity was unalterable by Congress), 21 or have suggested that the Hans immunity is not of constitutional stature. The very language quoted by the majority from Monaco, for example, likens state sovereign immunity to other "essential postulates" such as the rules of justiciability. 292 U.S. at 322. Many of those rules, as JUSTICE STEVENS points out, are prudential in nature and therefore not unalterable by Congress. See ante at ___. 22 More generally, the proponents of the Court's theory have repeatedly referred to state sovereign immunity as a "background principle," ante at ___, "postulate," Nevada v. Hall, 440 U.S. at  437 (REHNQUIST, J., dissenting), or "implicit limitation," Welch v. Texas Dept. of Highways and Public Transp., 483 U.S. 468, 496 (1987) (SCALIA, J., concurring in part and concurring in judgment), and as resting on the "inherent nature of sovereignty," Great Northern Life Ins. Co. v. Read, 322 U.S. 47, 51 (1944), rather than any explicit constitutional provision. 23 But whatever set of quotations one may prefer, taking heed of such jurisprudential creations in assessing the contents of federal common law is a very different thing from reading them into the Founding Document itself.</w:t>
      </w:r>
    </w:p>
    <w:p w:rsidR="00A31137" w:rsidRPr="00A31137" w:rsidRDefault="00A31137" w:rsidP="00A31137">
      <w:r w:rsidRPr="00A31137">
        <w:t>1996, Seminole Tribe of Florida v. Florida, No. 94-12</w:t>
      </w:r>
    </w:p>
    <w:p w:rsidR="00A31137" w:rsidRPr="00A31137" w:rsidRDefault="00A31137" w:rsidP="00A31137">
      <w:r w:rsidRPr="00A31137">
        <w:t>The most damning evidence for the Court's theory that Hans rests on a broad rationale of immunity unalterable by Congress, however, is the Court's proven tendency to disregard the post-Hans dicta in cases where that dicta would have mattered. 24 If it is indeed true that "private suits against States [are] not permitted under Article III (by virtue of the understanding represented by the Eleventh Amendment)," Union Gas, 491 U.S. at 40 (SCALIA, J., concurring in part and dissenting in part), then it is hard to see how a State's sovereign immunity may be waived any more than it may be abrogated by Congress. See, e.g., Atascadero State Hospital v. Scanlon, 473 U.S. at 238 (recognizing that immunity may be waived). After all, consent of a party is in all other instances wholly insufficient to create subject matter jurisdiction where it would not otherwise exist. See, e.g., Sosna v. Iowa, 419 U.S. 393, 398 (1975); see also E. Chemerinsky, Federal Jurisdiction § 7.6 at 405 (2d ed. 1994) (noting that "allowing such waivers seems inconsistent with viewing the Eleventh Amendment as a restriction on the federal courts' subject matter jurisdiction"). Likewise, the Court's broad theory of immunity runs doubly afoul of the appellate jurisdiction problem that I noted earlier in rejecting an interpretation of the Eleventh Amendment's text that would bar federal question suits. See supra at ___. If</w:t>
      </w:r>
    </w:p>
    <w:p w:rsidR="00A31137" w:rsidRPr="00A31137" w:rsidRDefault="00A31137" w:rsidP="00A31137">
      <w:r w:rsidRPr="00A31137">
        <w:t>1996, Seminole Tribe of Florida v. Florida, No. 94-12</w:t>
      </w:r>
    </w:p>
    <w:p w:rsidR="00A31137" w:rsidRPr="00A31137" w:rsidRDefault="00A31137" w:rsidP="00A31137">
      <w:r w:rsidRPr="00A31137">
        <w:t>the whole sum of the judicial power granted by the Constitution to the United States does not embrace the authority to entertain a suit brought by a citizen against his own State without its consent,</w:t>
      </w:r>
    </w:p>
    <w:p w:rsidR="00A31137" w:rsidRPr="00A31137" w:rsidRDefault="00A31137" w:rsidP="00A31137">
      <w:r w:rsidRPr="00A31137">
        <w:t>1996, Seminole Tribe of Florida v. Florida, No. 94-12</w:t>
      </w:r>
    </w:p>
    <w:p w:rsidR="00A31137" w:rsidRPr="00A31137" w:rsidRDefault="00A31137" w:rsidP="00A31137">
      <w:r w:rsidRPr="00A31137">
        <w:t>Duhne v. New Jersey, 251 U.S. 311, 313 (1920), and if consent to suit in state court is not sufficient to show consent in federal court, see Atascadero, supra at 241, then Article III would hardly permit this Court to exercise appellate jurisdiction over issues of federal law arising in lawsuits brought against the States in their own courts. We have, however, quite rightly ignored any post-Hans dicta in that sort of case and exercised the jurisdiction that the plain text of Article III provides. See, e.g., Fulton Corp. v. Faulkner, 516 U.S. ___ (1996); see also supra at ___.</w:t>
      </w:r>
    </w:p>
    <w:p w:rsidR="00A31137" w:rsidRPr="00A31137" w:rsidRDefault="00A31137" w:rsidP="00A31137">
      <w:r w:rsidRPr="00A31137">
        <w:t>1996, Seminole Tribe of Florida v. Florida, No. 94-12</w:t>
      </w:r>
    </w:p>
    <w:p w:rsidR="00A31137" w:rsidRPr="00A31137" w:rsidRDefault="00A31137" w:rsidP="00A31137">
      <w:r w:rsidRPr="00A31137">
        <w:t>If these examples were not enough to distinguish Hans' rationale of a preexisting doctrine of sovereign immunity from the post-Hans dicta indicating that this immunity is constitutional, one would need only to consider a final set of cases: those in which we have assumed, without deciding, that congressional power to abrogate state sovereign immunity exists even when § 5 of the Fourteenth Amendment has an application. A majority of this Court was willing to make that assumption in Hoffman v. Connecticut Dept. of Income Maintenance, 492 U.S. 96, 101 (1989) (plurality opinion), in Welch v. Texas Dept. of Highways and Public Transp., supra at 475 (plurality opinion), and in County of Oneida v. Oneida Indian Nation of N.Y., 470 U.S. 226, 252 (1985). 25 Although the Court in each of these cases failed to find abrogation for lack of a clear statement of congressional intent, the assumption that such power was available would hardly have been permissible if at that time, today's majority's view of the law had been firmly established. It is one thing, after all, to avoid an open constitutional question by assuming an answer and rejecting the claim on another ground; it is quite another to avoid a settled rationale (an emphatically settled one if the majority is to be taken seriously) only to reach an issue of statutory construction that the Court would otherwise not have to decide. Even worse, the Court could not have been unaware that its decision of cases like Hoffman and Welch, on the ground that the statutes at issue lacked a plain statement of intent to abrogate, would invite Congress to attempt abrogation in statutes like the Indian Gaming Regulatory Act, 25 U.S.C. § 2701 et seq. (IGRA). Such a course would have been wholly irresponsible if, as the majority now claims, the constitutionally unalterable nature of Hans immunity had been well established for a hundred years.</w:t>
      </w:r>
    </w:p>
    <w:p w:rsidR="00A31137" w:rsidRPr="00A31137" w:rsidRDefault="00A31137" w:rsidP="00A31137">
      <w:r w:rsidRPr="00A31137">
        <w:t>1996, Seminole Tribe of Florida v. Florida, No. 94-12</w:t>
      </w:r>
    </w:p>
    <w:p w:rsidR="00A31137" w:rsidRPr="00A31137" w:rsidRDefault="00A31137" w:rsidP="00A31137">
      <w:r w:rsidRPr="00A31137">
        <w:t>Hans itself recognized that an "observation [in a prior case that] was unnecessary to the decision, and in that sense extrajudicial…ought not to outweigh" present reasoning which points to a different conclusion. 134 U.S. at  20. That is good advice, which Members of today's majority have been willing to heed on other occasions. See, e.g., Kokkonen v. Guardian Life Ins. Co., 511 U.S. ___, ___ (1994) ("It is to the holdings of our cases, rather than their dicta, that we must attend"); Bennis v. Michigan, 516 U.S. ___, ___ (1996). But because the Court disregards this norm today, I must consider the soundness of Hans' original recognition of a background principle of sovereign immunity that applies even in federal question suits, and the reasons that counsel against the Court's extension of Hans' holding to the point of rendering its immunity unalterable by Congress.</w:t>
      </w:r>
    </w:p>
    <w:p w:rsidR="00A31137" w:rsidRPr="00A31137" w:rsidRDefault="00A31137" w:rsidP="00A31137">
      <w:r w:rsidRPr="00A31137">
        <w:t>III</w:t>
      </w:r>
    </w:p>
    <w:p w:rsidR="00A31137" w:rsidRPr="00A31137" w:rsidRDefault="00A31137" w:rsidP="00A31137">
      <w:r w:rsidRPr="00A31137">
        <w:t>1996, Seminole Tribe of Florida v. Florida, No. 94-12</w:t>
      </w:r>
    </w:p>
    <w:p w:rsidR="00A31137" w:rsidRPr="00A31137" w:rsidRDefault="00A31137" w:rsidP="00A31137">
      <w:r w:rsidRPr="00A31137">
        <w:t>Three critical errors in Hans weigh against constitutionalizing its holding as the majority does today. The first we have already seen: the Hans Court misread the Eleventh Amendment, see supra at ___. It also misunderstood the conditions under which common law doctrines were received or rejected at the time of the Founding, and it fundamentally mistook the very nature of sovereignty in the young Republic that was supposed to entail a State's immunity to federal question jurisdiction in a federal court. While I would not, as a matter of stare decisis, overrule Hans today, an understanding of its failings on these points will show how the Court today simply compounds already serious error in taking Hans the further step of investing its rule with constitutional inviolability against the considered judgment of Congress to abrogate it.</w:t>
      </w:r>
    </w:p>
    <w:p w:rsidR="00A31137" w:rsidRPr="00A31137" w:rsidRDefault="00A31137" w:rsidP="00A31137">
      <w:r w:rsidRPr="00A31137">
        <w:t>A</w:t>
      </w:r>
    </w:p>
    <w:p w:rsidR="00A31137" w:rsidRPr="00A31137" w:rsidRDefault="00A31137" w:rsidP="00A31137">
      <w:r w:rsidRPr="00A31137">
        <w:t>1996, Seminole Tribe of Florida v. Florida, No. 94-12</w:t>
      </w:r>
    </w:p>
    <w:p w:rsidR="00A31137" w:rsidRPr="00A31137" w:rsidRDefault="00A31137" w:rsidP="00A31137">
      <w:r w:rsidRPr="00A31137">
        <w:t>There is and could be no dispute that the doctrine of sovereign immunity that Hans purported to apply had its origins in the "familiar doctrine of the common law," The Siren, 74 U.S. 152, 153 (1869), "derived from the laws and practices of our English ancestors," United States v. Lee, 106 U.S. 196, 205 (1882). 26 Although statutes came to affect its importance in the succeeding centuries, the doctrine was never reduced to codification, and Americans took their understanding of immunity doctrine from Blackstone, see 3 W. Blackstone, Commentaries on the Laws of England ch. 17 (1768). Here, as in the mother country, it remained a common law rule. See generally Jaffe, 77 Harv. L.Rev. at 2-19; Borchard, Governmental Responsibility in Tort, VI, 36 Yale L.J. 1, 17-41 (1926).</w:t>
      </w:r>
    </w:p>
    <w:p w:rsidR="00A31137" w:rsidRPr="00A31137" w:rsidRDefault="00A31137" w:rsidP="00A31137">
      <w:r w:rsidRPr="00A31137">
        <w:t>1996, Seminole Tribe of Florida v. Florida, No. 94-12</w:t>
      </w:r>
    </w:p>
    <w:p w:rsidR="00A31137" w:rsidRPr="00A31137" w:rsidRDefault="00A31137" w:rsidP="00A31137">
      <w:r w:rsidRPr="00A31137">
        <w:t>This fact of the doctrine's common law status in the period covering the Founding and the later adoption of the Eleventh Amendment should have raised a warning flag to the Hans Court, and it should do the same for the Court today. For although the Court has persistently assumed that the common law's presence in the minds of the early Framers must have functioned as a limitation on their understanding of the new Nation's constitutional powers, this turns out not to be so at all. One of the characteristics of the Founding generation, on the contrary, was its joinder of an appreciation of its immediate and powerful common law heritage with caution in settling that inheritance on the political systems of the new Republic. It is not that the Framers failed to see themselves to be children of the common law; as one of their contemporaries put it,</w:t>
      </w:r>
    </w:p>
    <w:p w:rsidR="00A31137" w:rsidRPr="00A31137" w:rsidRDefault="00A31137" w:rsidP="00A31137">
      <w:r w:rsidRPr="00A31137">
        <w:t>1996, Seminole Tribe of Florida v. Florida, No. 94-12</w:t>
      </w:r>
    </w:p>
    <w:p w:rsidR="00A31137" w:rsidRPr="00A31137" w:rsidRDefault="00A31137" w:rsidP="00A31137">
      <w:r w:rsidRPr="00A31137">
        <w:t>[w]e live in the midst of the common law, we inhale it at every breath, imbibe it at every pore…[and] cannot learn another system of laws without learning at the same time another language.</w:t>
      </w:r>
    </w:p>
    <w:p w:rsidR="00A31137" w:rsidRPr="00A31137" w:rsidRDefault="00A31137" w:rsidP="00A31137">
      <w:r w:rsidRPr="00A31137">
        <w:t>1996, Seminole Tribe of Florida v. Florida, No. 94-12</w:t>
      </w:r>
    </w:p>
    <w:p w:rsidR="00A31137" w:rsidRPr="00A31137" w:rsidRDefault="00A31137" w:rsidP="00A31137">
      <w:r w:rsidRPr="00A31137">
        <w:t>P. Du Ponceau, A Dissertation on the Nature and Extent of Jurisdiction of Courts of the United States 91 (1824). But still it is clear that the adoption of English common law in America was not taken for granted, and that the exact manner and extent of the common law's reception were subject to careful consideration by courts and legislatures in each of the new States. 27 An examination of the States' experience with common law reception will shed light on subsequent theory and practice at the national level, and demonstrate that our history is entirely at odds with Hans' resort to a common law principle to limit the Constitution's contrary text.</w:t>
      </w:r>
    </w:p>
    <w:p w:rsidR="00A31137" w:rsidRPr="00A31137" w:rsidRDefault="00A31137" w:rsidP="00A31137">
      <w:r w:rsidRPr="00A31137">
        <w:t>1</w:t>
      </w:r>
    </w:p>
    <w:p w:rsidR="00A31137" w:rsidRPr="00A31137" w:rsidRDefault="00A31137" w:rsidP="00A31137">
      <w:r w:rsidRPr="00A31137">
        <w:t>1996, Seminole Tribe of Florida v. Florida, No. 94-12</w:t>
      </w:r>
    </w:p>
    <w:p w:rsidR="00A31137" w:rsidRPr="00A31137" w:rsidRDefault="00A31137" w:rsidP="00A31137">
      <w:r w:rsidRPr="00A31137">
        <w:t>This American reluctance to import English common law wholesale into the New World is traceable to the early colonial period. One scholar of that time has written that</w:t>
      </w:r>
    </w:p>
    <w:p w:rsidR="00A31137" w:rsidRPr="00A31137" w:rsidRDefault="00A31137" w:rsidP="00A31137">
      <w:r w:rsidRPr="00A31137">
        <w:t>1996, Seminole Tribe of Florida v. Florida, No. 94-12</w:t>
      </w:r>
    </w:p>
    <w:p w:rsidR="00A31137" w:rsidRPr="00A31137" w:rsidRDefault="00A31137" w:rsidP="00A31137">
      <w:r w:rsidRPr="00A31137">
        <w:t>[t]he process which we may call the reception of the English common law by the colonies was not so simple as the legal theory would lead us to assume. While their general legal conceptions were conditioned by, and their terminology derived from, the common law, the early colonists were far from applying it as a technical system, they often ignored it or denied its subsidiary force, and they consciously departed from many of its most essential principles.</w:t>
      </w:r>
    </w:p>
    <w:p w:rsidR="00A31137" w:rsidRPr="00A31137" w:rsidRDefault="00A31137" w:rsidP="00A31137">
      <w:r w:rsidRPr="00A31137">
        <w:t>1996, Seminole Tribe of Florida v. Florida, No. 94-12</w:t>
      </w:r>
    </w:p>
    <w:p w:rsidR="00A31137" w:rsidRPr="00A31137" w:rsidRDefault="00A31137" w:rsidP="00A31137">
      <w:r w:rsidRPr="00A31137">
        <w:t>P. Reinsch, English Common Law in the Early American Colonies 58 (1899). 28 For a variety of reasons, including the absence of trained lawyers and judges, the dearth of law books, the religious and ideological commitments of the early settlers, and the novel conditions of the New World, the colonists turned to a variety of other sources in addition to principles of common law. 29</w:t>
      </w:r>
    </w:p>
    <w:p w:rsidR="00A31137" w:rsidRPr="00A31137" w:rsidRDefault="00A31137" w:rsidP="00A31137">
      <w:r w:rsidRPr="00A31137">
        <w:t>1996, Seminole Tribe of Florida v. Florida, No. 94-12</w:t>
      </w:r>
    </w:p>
    <w:p w:rsidR="00A31137" w:rsidRPr="00A31137" w:rsidRDefault="00A31137" w:rsidP="00A31137">
      <w:r w:rsidRPr="00A31137">
        <w:t>It is true that, with the development of colonial society and the increasing sophistication of the colonial bar, English common law gained increasing acceptance in colonial practice. See Reinsch, supra at 7-8; Hall, The Common Law: An Account of Its Reception in the United States, 4 Vand. L.Rev. 791, 797 (1951). 30 But even in the late colonial period, Americans insisted that</w:t>
      </w:r>
    </w:p>
    <w:p w:rsidR="00A31137" w:rsidRPr="00A31137" w:rsidRDefault="00A31137" w:rsidP="00A31137">
      <w:r w:rsidRPr="00A31137">
        <w:t>1996, Seminole Tribe of Florida v. Florida, No. 94-12</w:t>
      </w:r>
    </w:p>
    <w:p w:rsidR="00A31137" w:rsidRPr="00A31137" w:rsidRDefault="00A31137" w:rsidP="00A31137">
      <w:r w:rsidRPr="00A31137">
        <w:t>the whole body of the common law…was not transplanted, but only so much as was applicable to the colonists in their new relations and conditions. Much of the common law related to matters which were purely local, which existed under the English political organization, or was based upon the triple relation of king, lords and commons, or those peculiar social conditions, habits and customs which have no counterpart in the New World. Such portions of the common law, not being applicable to the new conditions of the colonists, were never recognised as part of their jurisprudence.</w:t>
      </w:r>
    </w:p>
    <w:p w:rsidR="00A31137" w:rsidRPr="00A31137" w:rsidRDefault="00A31137" w:rsidP="00A31137">
      <w:r w:rsidRPr="00A31137">
        <w:t>1996, Seminole Tribe of Florida v. Florida, No. 94-12</w:t>
      </w:r>
    </w:p>
    <w:p w:rsidR="00A31137" w:rsidRPr="00A31137" w:rsidRDefault="00A31137" w:rsidP="00A31137">
      <w:r w:rsidRPr="00A31137">
        <w:t>Dale, The Adoption of the Common Law by the American Colonies, 30 Am.L.Reg. 553, 554 (1882). 31 The result was that</w:t>
      </w:r>
    </w:p>
    <w:p w:rsidR="00A31137" w:rsidRPr="00A31137" w:rsidRDefault="00A31137" w:rsidP="00A31137">
      <w:r w:rsidRPr="00A31137">
        <w:t>1996, Seminole Tribe of Florida v. Florida, No. 94-12</w:t>
      </w:r>
    </w:p>
    <w:p w:rsidR="00A31137" w:rsidRPr="00A31137" w:rsidRDefault="00A31137" w:rsidP="00A31137">
      <w:r w:rsidRPr="00A31137">
        <w:t>the increasing influx of common law principles by no means obliterated the indigenous systems which had developed during the colonial era and that there existed important differences in law in action on the two sides of the Atlantic.</w:t>
      </w:r>
    </w:p>
    <w:p w:rsidR="00A31137" w:rsidRPr="00A31137" w:rsidRDefault="00A31137" w:rsidP="00A31137">
      <w:r w:rsidRPr="00A31137">
        <w:t>1996, Seminole Tribe of Florida v. Florida, No. 94-12</w:t>
      </w:r>
    </w:p>
    <w:p w:rsidR="00A31137" w:rsidRPr="00A31137" w:rsidRDefault="00A31137" w:rsidP="00A31137">
      <w:r w:rsidRPr="00A31137">
        <w:t>Hall, supra at 797.</w:t>
      </w:r>
    </w:p>
    <w:p w:rsidR="00A31137" w:rsidRPr="00A31137" w:rsidRDefault="00A31137" w:rsidP="00A31137">
      <w:r w:rsidRPr="00A31137">
        <w:t>1996, Seminole Tribe of Florida v. Florida, No. 94-12</w:t>
      </w:r>
    </w:p>
    <w:p w:rsidR="00A31137" w:rsidRPr="00A31137" w:rsidRDefault="00A31137" w:rsidP="00A31137">
      <w:r w:rsidRPr="00A31137">
        <w:t>Understandably, even the trend toward acceptance of the common law that had developed in the late colonial period was imperiled by the Revolution and the ultimate break between the colonies and the old country. Dean Pound has observed that,</w:t>
      </w:r>
    </w:p>
    <w:p w:rsidR="00A31137" w:rsidRPr="00A31137" w:rsidRDefault="00A31137" w:rsidP="00A31137">
      <w:r w:rsidRPr="00A31137">
        <w:t>1996, Seminole Tribe of Florida v. Florida, No. 94-12</w:t>
      </w:r>
    </w:p>
    <w:p w:rsidR="00A31137" w:rsidRPr="00A31137" w:rsidRDefault="00A31137" w:rsidP="00A31137">
      <w:r w:rsidRPr="00A31137">
        <w:t>[f]or a generation after the Revolution,…political conditions gave rise to a general distrust of English law…. The books are full of illustrations of the hostility toward English law simply because it was English which prevailed at the end of the eighteenth and in the earlier years of the nineteenth century.</w:t>
      </w:r>
    </w:p>
    <w:p w:rsidR="00A31137" w:rsidRPr="00A31137" w:rsidRDefault="00A31137" w:rsidP="00A31137">
      <w:r w:rsidRPr="00A31137">
        <w:t>1996, Seminole Tribe of Florida v. Florida, No. 94-12</w:t>
      </w:r>
    </w:p>
    <w:p w:rsidR="00A31137" w:rsidRPr="00A31137" w:rsidRDefault="00A31137" w:rsidP="00A31137">
      <w:r w:rsidRPr="00A31137">
        <w:t>R. Pound, The Formative Era of American Law 7 (1938); see also C. Warren, A History of the American Bar 224-225 (1911) (noting a "prejudice against the system of English Common Law" in the years following the Revolution). James Monroe went so far as to write in 1802 that "the application of the principles of the English common law to our constitution" should be considered "good cause for impeachment." Letter from James Monroe to John Breckenridge (Jan. 15, 1802) (quoted in 3 A. Beveridge, The Life of John Marshall: Conflict and Construction 1800-1815, p. 59 (1919)). 32 Nor was anti-English sentiment the only difficulty; according to Dean Pound, "[s]ocial and geographical conditions contributed also to make the work of receiving and reshaping the common law exceptionally difficult." Pound, supra at 7.</w:t>
      </w:r>
    </w:p>
    <w:p w:rsidR="00A31137" w:rsidRPr="00A31137" w:rsidRDefault="00A31137" w:rsidP="00A31137">
      <w:r w:rsidRPr="00A31137">
        <w:t>1996, Seminole Tribe of Florida v. Florida, No. 94-12</w:t>
      </w:r>
    </w:p>
    <w:p w:rsidR="00A31137" w:rsidRPr="00A31137" w:rsidRDefault="00A31137" w:rsidP="00A31137">
      <w:r w:rsidRPr="00A31137">
        <w:t>The consequence of this anti-English hostility and awareness of changed circumstances was that the independent States continued the colonists' practice of adopting only so much of the common law as they thought applicable to their local conditions. 33 As Justice Story explained,</w:t>
      </w:r>
    </w:p>
    <w:p w:rsidR="00A31137" w:rsidRPr="00A31137" w:rsidRDefault="00A31137" w:rsidP="00A31137">
      <w:r w:rsidRPr="00A31137">
        <w:t>1996, Seminole Tribe of Florida v. Florida, No. 94-12</w:t>
      </w:r>
    </w:p>
    <w:p w:rsidR="00A31137" w:rsidRPr="00A31137" w:rsidRDefault="00A31137" w:rsidP="00A31137">
      <w:r w:rsidRPr="00A31137">
        <w:t>[t]he common law of England is not to be taken in all respects to be that of America. Our ancestors brought with them its general principles, and claimed it as their birthright; but they brought with them and adopted only that portion which was applicable to their situation.</w:t>
      </w:r>
    </w:p>
    <w:p w:rsidR="00A31137" w:rsidRPr="00A31137" w:rsidRDefault="00A31137" w:rsidP="00A31137">
      <w:r w:rsidRPr="00A31137">
        <w:t>1996, Seminole Tribe of Florida v. Florida, No. 94-12</w:t>
      </w:r>
    </w:p>
    <w:p w:rsidR="00A31137" w:rsidRPr="00A31137" w:rsidRDefault="00A31137" w:rsidP="00A31137">
      <w:r w:rsidRPr="00A31137">
        <w:t>Van Ness v. Pacard, 2 Pet. 137, 144 (1829). In 1800, John Marshall had expressed the similar view that</w:t>
      </w:r>
    </w:p>
    <w:p w:rsidR="00A31137" w:rsidRPr="00A31137" w:rsidRDefault="00A31137" w:rsidP="00A31137">
      <w:r w:rsidRPr="00A31137">
        <w:t>1996, Seminole Tribe of Florida v. Florida, No. 94-12</w:t>
      </w:r>
    </w:p>
    <w:p w:rsidR="00A31137" w:rsidRPr="00A31137" w:rsidRDefault="00A31137" w:rsidP="00A31137">
      <w:r w:rsidRPr="00A31137">
        <w:t>our ancestors brought with them the laws of England, both statute &amp; common law as existing at the settlement of each colony, so far as they were applicable to our situation.</w:t>
      </w:r>
    </w:p>
    <w:p w:rsidR="00A31137" w:rsidRPr="00A31137" w:rsidRDefault="00A31137" w:rsidP="00A31137">
      <w:r w:rsidRPr="00A31137">
        <w:t>1996, Seminole Tribe of Florida v. Florida, No. 94-12</w:t>
      </w:r>
    </w:p>
    <w:p w:rsidR="00A31137" w:rsidRPr="00A31137" w:rsidRDefault="00A31137" w:rsidP="00A31137">
      <w:r w:rsidRPr="00A31137">
        <w:t>Letter from John Marshall to St. George Tucker, Nov. 27, 1800, reprinted in Jay II, App. A at 1326, 1327. Accordingly, in the period following independence, "[l]egislatures and courts and doctrinal writers had to test the common law at every point with respect to its applicability to America." Pound, supra at 20; see also Jones 103 (observing that "suitab[ility] to local institutions and conditions" was "incomparably the most important" principle of reception in the new states).</w:t>
      </w:r>
    </w:p>
    <w:p w:rsidR="00A31137" w:rsidRPr="00A31137" w:rsidRDefault="00A31137" w:rsidP="00A31137">
      <w:r w:rsidRPr="00A31137">
        <w:t>2</w:t>
      </w:r>
    </w:p>
    <w:p w:rsidR="00A31137" w:rsidRPr="00A31137" w:rsidRDefault="00A31137" w:rsidP="00A31137">
      <w:r w:rsidRPr="00A31137">
        <w:t>1996, Seminole Tribe of Florida v. Florida, No. 94-12</w:t>
      </w:r>
    </w:p>
    <w:p w:rsidR="00A31137" w:rsidRPr="00A31137" w:rsidRDefault="00A31137" w:rsidP="00A31137">
      <w:r w:rsidRPr="00A31137">
        <w:t>While the States had limited their reception of English common law to principles appropriate to American conditions, the 1787 draft Constitution contained no provision for adopting the common law at all. This omission stood in sharp contrast to the state constitutions then extant, virtually all of which contained explicit provisions dealing with common law reception. See n. 55, infra. Since the experience in the States set the stage for thinking at the national level, see generally G. Wood, Creation of the American Republic, 1776-1787, p. 467 (1969) (Wood), this failure to address the notion of common law reception could not have been inadvertent. Instead, the Framers chose to recognize only particular common law concepts, such as the writ of habeas corpus, U.S.Const., Art. I, § 9, cl. 2, and the distinction between law and equity, U.S.Const., Amdt. VII, by specific reference in the constitutional text. See 1 J. Goebel, Oliver Wendell Holmes Devise History of the Supreme Court of the United States, Antecedents and Beginnings to 1801, pp. 229-230 (1971). 34 This approach reflected widespread agreement that ratification would not itself entail a general reception of the common law of England. See Letter from John Marshall to St. George Tucker, Nov. 27, 1800, reprinted in Jay II, App. A at 1326 ("I do not believe one man can be found" who maintains "that the common law of England has…been adopted as the common law of America by the Constitution of the United States."); Jay II at 1255 (noting that the use of the term "laws" in Article III "could not have been meant to accomplish a general reception of British common law").</w:t>
      </w:r>
    </w:p>
    <w:p w:rsidR="00A31137" w:rsidRPr="00A31137" w:rsidRDefault="00A31137" w:rsidP="00A31137">
      <w:r w:rsidRPr="00A31137">
        <w:t>1996, Seminole Tribe of Florida v. Florida, No. 94-12</w:t>
      </w:r>
    </w:p>
    <w:p w:rsidR="00A31137" w:rsidRPr="00A31137" w:rsidRDefault="00A31137" w:rsidP="00A31137">
      <w:r w:rsidRPr="00A31137">
        <w:t>Records of the ratification debates support Marshall's understanding that everyone had to know that the new constitution would not draw the common law in its train. Antifederalists like George Mason went so far as to object that under the proposed Constitution the people would not be "secured even in the enjoyment of the benefit of the common law." Mason, Objections to This Constitution of Government, in 2 Records of the Federal Convention of 1787, p. 637 (M. Farrand ed. 1911) (Farrand); see also 3 Elliot's Debates 446-449 (Patrick Henry, Virginia Convention). In particular, the Antifederalists worried about the failure of the proposed Constitution to provide for a reception of "the great rights associated with due process" such as the right to a jury trial, Jay II at 1256, and they argued that "Congress's powers to regulate the proceedings of federal courts made the fate of these common law procedural protections uncertain." Id. at 1257. 35 While Federalists met this objection by arguing that nothing in the Constitution necessarily excluded the fundamental common law protections associated with due process, see, e.g., 3 Elliot's Debates 451 (George Nicholas, Virginia Convention), they defended the decision against any general constitutional reception of the common law on the ground that constitutionalizing it would render it "immutable," see id. at 469-470 (Edmund Randolph, Virginia Convention), and not subject to revision by Congress, id. at 550 (Edmund Pendleton, Virginia Convention); see also infra at ___.</w:t>
      </w:r>
      <w:r w:rsidRPr="00A31137">
        <w:cr/>
      </w:r>
    </w:p>
    <w:p w:rsidR="00A31137" w:rsidRPr="00A31137" w:rsidRDefault="00A31137" w:rsidP="00A31137">
      <w:r w:rsidRPr="00A31137">
        <w:t>1996, Seminole Tribe of Florida v. Florida, No. 94-12</w:t>
      </w:r>
    </w:p>
    <w:p w:rsidR="00A31137" w:rsidRPr="00A31137" w:rsidRDefault="00A31137" w:rsidP="00A31137">
      <w:r w:rsidRPr="00A31137">
        <w:t>The Framers also recognized that the diverse development of the common law in the several states made a general federal reception impossible. "The common law was not the same in any two of the Colonies," Madison observed; "in some the modifications were materially and extensively different." Report on Resolutions, House of Delegates, Session of 1799-1800, Concerning Alien and Sedition Laws, in 6 Writings of James Madison 373 (G. Hunt ed. 1906) (Alien and Sedition Laws). 36 In particular, although there is little evidence regarding the immunity enjoyed by the various colonial governments prior to the Revolution, the profound differences as to the source of colonial authority between chartered colonies, royal colonies, and so on seems unlikely, wholly apart from other differences in circumstance, to have given rise to a uniform body of immunity law. There was not, then, any unified "Common Law" in America that the Federal Constitution could adopt, Jay, "Origins of Federal Common Law: Part I," 133 U.Pa.L.Rev. 1003, 1056 (1985) (Jay I); Stoebuck, 10 Wm. &amp; Mary L.Rev. at 401 ("The assumption that colonial law was essentially the same in all colonies is wholly without foundation"), and, in particular, probably no common principle of sovereign immunity, cf. Madison, supra at 376. The Framers may, as Madison, Hamilton, and Marshall argued, have contemplated that federal courts would respect state immunity law in diversity cases, but the generalized principle of immunity that today's majority would graft onto the Constitution itself may well never have developed with any common clarity and, in any event, has not been shown to have existed.</w:t>
      </w:r>
    </w:p>
    <w:p w:rsidR="00A31137" w:rsidRPr="00A31137" w:rsidRDefault="00A31137" w:rsidP="00A31137">
      <w:r w:rsidRPr="00A31137">
        <w:t>1996, Seminole Tribe of Florida v. Florida, No. 94-12</w:t>
      </w:r>
    </w:p>
    <w:p w:rsidR="00A31137" w:rsidRPr="00A31137" w:rsidRDefault="00A31137" w:rsidP="00A31137">
      <w:r w:rsidRPr="00A31137">
        <w:t>Finally, the Framers' aversion to a general federal reception of the common law is evident from the Federalists' response to the Antifederalist claim that Article III granted an unduly broad jurisdiction to the federal courts. That response was to emphasize the limited powers of the National Government. See, e.g., 3 Elliot's Debates 553 (John Marshall, Virginia Convention) ("Has the government of the United States power to make laws on every subject?…Can they make laws affecting the mode of transferring property, or contracts, or claims, between citizens of the same state? Can they go beyond the delegated powers?"); Jay II at 1260. 37 That answer assumes, of course, no generalized reception of English common law as federal law; otherwise, "arising under" jurisdiction would have extended to any subject comprehended by the general common law.</w:t>
      </w:r>
    </w:p>
    <w:p w:rsidR="00A31137" w:rsidRPr="00A31137" w:rsidRDefault="00A31137" w:rsidP="00A31137">
      <w:r w:rsidRPr="00A31137">
        <w:t>1996, Seminole Tribe of Florida v. Florida, No. 94-12</w:t>
      </w:r>
    </w:p>
    <w:p w:rsidR="00A31137" w:rsidRPr="00A31137" w:rsidRDefault="00A31137" w:rsidP="00A31137">
      <w:r w:rsidRPr="00A31137">
        <w:t>Madison made this assumption absolutely clear during the subsequent debates over the Alien and Sedition Acts, which raised the issue of whether the Framers intended to recognize a general federal jurisdiction to try common law crimes. Rejecting the idea of any federal reception, Madison insisted that</w:t>
      </w:r>
    </w:p>
    <w:p w:rsidR="00A31137" w:rsidRPr="00A31137" w:rsidRDefault="00A31137" w:rsidP="00A31137">
      <w:r w:rsidRPr="00A31137">
        <w:t>1996, Seminole Tribe of Florida v. Florida, No. 94-12</w:t>
      </w:r>
    </w:p>
    <w:p w:rsidR="00A31137" w:rsidRPr="00A31137" w:rsidRDefault="00A31137" w:rsidP="00A31137">
      <w:r w:rsidRPr="00A31137">
        <w:t>the consequence of admitting the common law as the law of the United States, on the authority of the individual States, is as obvious as it would be fatal. As this law relates to every subject of legislation, and would be paramount to the Constitutions and laws of the States, the admission of it would overwhelm the residuary sovereignty of the States, and by one constructive operation new model the whole political fabric of the country.</w:t>
      </w:r>
    </w:p>
    <w:p w:rsidR="00A31137" w:rsidRPr="00A31137" w:rsidRDefault="00A31137" w:rsidP="00A31137">
      <w:r w:rsidRPr="00A31137">
        <w:t>1996, Seminole Tribe of Florida v. Florida, No. 94-12</w:t>
      </w:r>
    </w:p>
    <w:p w:rsidR="00A31137" w:rsidRPr="00A31137" w:rsidRDefault="00A31137" w:rsidP="00A31137">
      <w:r w:rsidRPr="00A31137">
        <w:t>Alien and Sedition Laws 381. See also Goebel, Oliver Wendell Holmes Devise History of the Supreme Court of the United States at 651-655 (discussing the lack of evidence to support the proposition that the Framers intended a general reception of the English common law through the Constitution); Jay II at 1254 (arguing that "[i]t would have been untenable to maintain that the body of British common law had been adopted by the Constitution…"). Madison concluded that</w:t>
      </w:r>
    </w:p>
    <w:p w:rsidR="00A31137" w:rsidRPr="00A31137" w:rsidRDefault="00A31137" w:rsidP="00A31137">
      <w:r w:rsidRPr="00A31137">
        <w:t>1996, Seminole Tribe of Florida v. Florida, No. 94-12</w:t>
      </w:r>
    </w:p>
    <w:p w:rsidR="00A31137" w:rsidRPr="00A31137" w:rsidRDefault="00A31137" w:rsidP="00A31137">
      <w:r w:rsidRPr="00A31137">
        <w:t>[i]t is…distressing to reflect that it ever should have been made a question, whether the Constitution, on the whole face of which is seen so much labor to enumerate and define the several objects of Federal power, could intend to introduce in the lump, in an indirect manner, and by a forced construction of a few phrases, the vast and multifarious jurisdiction involved in the common law—a law filling so many ample volumes; a law overspreading the entire field of legislation; and a law that would sap the foundation of the Constitution as a system of limited and specified powers.</w:t>
      </w:r>
    </w:p>
    <w:p w:rsidR="00A31137" w:rsidRPr="00A31137" w:rsidRDefault="00A31137" w:rsidP="00A31137">
      <w:r w:rsidRPr="00A31137">
        <w:t>1996, Seminole Tribe of Florida v. Florida, No. 94-12</w:t>
      </w:r>
    </w:p>
    <w:p w:rsidR="00A31137" w:rsidRPr="00A31137" w:rsidRDefault="00A31137" w:rsidP="00A31137">
      <w:r w:rsidRPr="00A31137">
        <w:t>Alien and Sedition Laws 382.</w:t>
      </w:r>
    </w:p>
    <w:p w:rsidR="00A31137" w:rsidRPr="00A31137" w:rsidRDefault="00A31137" w:rsidP="00A31137">
      <w:r w:rsidRPr="00A31137">
        <w:t>B</w:t>
      </w:r>
    </w:p>
    <w:p w:rsidR="00A31137" w:rsidRPr="00A31137" w:rsidRDefault="00A31137" w:rsidP="00A31137">
      <w:r w:rsidRPr="00A31137">
        <w:t>1996, Seminole Tribe of Florida v. Florida, No. 94-12</w:t>
      </w:r>
    </w:p>
    <w:p w:rsidR="00A31137" w:rsidRPr="00A31137" w:rsidRDefault="00A31137" w:rsidP="00A31137">
      <w:r w:rsidRPr="00A31137">
        <w:t>Given the refusal to entertain any wholesale reception of common law, given the failure of the new Constitution to make any provision for adoption of common law as such, and given the protests already quoted that no general reception had occurred, the Hans Court and the Court today cannot reasonably argue that something like the old immunity doctrine somehow slipped in as a tacit but enforceable background principle. But see ante at ___. The evidence is even more specific, however, that there was no pervasive understanding that sovereign immunity had limited federal question jurisdiction.</w:t>
      </w:r>
    </w:p>
    <w:p w:rsidR="00A31137" w:rsidRPr="00A31137" w:rsidRDefault="00A31137" w:rsidP="00A31137">
      <w:r w:rsidRPr="00A31137">
        <w:t>1</w:t>
      </w:r>
    </w:p>
    <w:p w:rsidR="00A31137" w:rsidRPr="00A31137" w:rsidRDefault="00A31137" w:rsidP="00A31137">
      <w:r w:rsidRPr="00A31137">
        <w:t>1996, Seminole Tribe of Florida v. Florida, No. 94-12</w:t>
      </w:r>
    </w:p>
    <w:p w:rsidR="00A31137" w:rsidRPr="00A31137" w:rsidRDefault="00A31137" w:rsidP="00A31137">
      <w:r w:rsidRPr="00A31137">
        <w:t>As I have already noted briefly, see supra at ___, the Framers and their contemporaries did not agree about the place of common law state sovereign immunity even as to federal jurisdiction resting on the Citizen-State Diversity Clauses. Edmund Randolph argued in favor of ratification on the ground that the immunity would not be recognized, leaving the States subject to jurisdiction. 38 Patrick Henry opposed ratification on the basis of exactly the same reading. See 3 Elliot's Debates 543. On the other hand, James Madison, John Marshall, and Alexander Hamilton all appear to have believed that the common law immunity from suit would survive the ratification of Article III, so as to be at a State's disposal when jurisdiction would depend on diversity. This would have left the States free to enjoy a traditional immunity as defendants without barring the exercise of judicial power over them if they chose to enter the federal courts as diversity plaintiffs or to waive their immunity as diversity defendants. See id. at 533 (Madison: the Constitution "give[s] a citizen a right to be heard in the federal courts; and if a state should condescend to be a party, this court may take cognizance of it"); 39 id. at 556 (Marshall: "I see a difficulty in making a state defendant, which does not prevent its being plaintiff"). As Hamilton stated in Federalist 81,</w:t>
      </w:r>
    </w:p>
    <w:p w:rsidR="00A31137" w:rsidRPr="00A31137" w:rsidRDefault="00A31137" w:rsidP="00A31137">
      <w:r w:rsidRPr="00A31137">
        <w:t>1996, Seminole Tribe of Florida v. Florida, No. 94-12</w:t>
      </w:r>
    </w:p>
    <w:p w:rsidR="00A31137" w:rsidRPr="00A31137" w:rsidRDefault="00A31137" w:rsidP="00A31137">
      <w:r w:rsidRPr="00A31137">
        <w:t>It is inherent in the nature of sovereignty not to be amenable to the suit of an individual without its consent. This is the general sense and the general practice of mankind; and the exemption, as one of the attributes of sovereignty, is now enjoyed by the government of every state in the Union. Unless therefore, there is a surrender of this immunity in the plan of the convention, it will remain with the states, and the danger intimated must be merely ideal.</w:t>
      </w:r>
    </w:p>
    <w:p w:rsidR="00A31137" w:rsidRPr="00A31137" w:rsidRDefault="00A31137" w:rsidP="00A31137">
      <w:r w:rsidRPr="00A31137">
        <w:t>1996, Seminole Tribe of Florida v. Florida, No. 94-12</w:t>
      </w:r>
    </w:p>
    <w:p w:rsidR="00A31137" w:rsidRPr="00A31137" w:rsidRDefault="00A31137" w:rsidP="00A31137">
      <w:r w:rsidRPr="00A31137">
        <w:t>The Federalist No. 81, pp. 548-549 (J. Cooke ed. 1961). See generally Fletcher, A Historical Interpretation of the Eleventh Amendment: A Narrow Construction of an Affirmative Grant of Jurisdiction Rather than a Prohibition Against Jurisdiction, 35 Stan.L.Rev. 1033, 1045-1054 (1983) (discussing the adoption of the state-citizen diversity clause); Gibbons, 83 Colum.L.Rev. at 1902-1914. The majority sees in these statements, and chiefly in Hamilton's discussion of sovereign immunity in Federalist No. 81, an unequivocal mandate "which would preclude all federal jurisdiction over an unconsenting State." Ante at ___. But there is no such mandate to be found.</w:t>
      </w:r>
    </w:p>
    <w:p w:rsidR="00A31137" w:rsidRPr="00A31137" w:rsidRDefault="00A31137" w:rsidP="00A31137">
      <w:r w:rsidRPr="00A31137">
        <w:t>1996, Seminole Tribe of Florida v. Florida, No. 94-12</w:t>
      </w:r>
    </w:p>
    <w:p w:rsidR="00A31137" w:rsidRPr="00A31137" w:rsidRDefault="00A31137" w:rsidP="00A31137">
      <w:r w:rsidRPr="00A31137">
        <w:t>As I have already said, the immediate context of Hamilton's discussion in Federalist No. 81 has nothing to do with federal question cases. It addresses a suggestion</w:t>
      </w:r>
    </w:p>
    <w:p w:rsidR="00A31137" w:rsidRPr="00A31137" w:rsidRDefault="00A31137" w:rsidP="00A31137">
      <w:r w:rsidRPr="00A31137">
        <w:t>1996, Seminole Tribe of Florida v. Florida, No. 94-12</w:t>
      </w:r>
    </w:p>
    <w:p w:rsidR="00A31137" w:rsidRPr="00A31137" w:rsidRDefault="00A31137" w:rsidP="00A31137">
      <w:r w:rsidRPr="00A31137">
        <w:t>that an assignment of the public securities of one state to the citizens of another, would enable them to prosecute that state in the federal courts for the amount of those securities.</w:t>
      </w:r>
    </w:p>
    <w:p w:rsidR="00A31137" w:rsidRPr="00A31137" w:rsidRDefault="00A31137" w:rsidP="00A31137">
      <w:r w:rsidRPr="00A31137">
        <w:t>1996, Seminole Tribe of Florida v. Florida, No. 94-12</w:t>
      </w:r>
    </w:p>
    <w:p w:rsidR="00A31137" w:rsidRPr="00A31137" w:rsidRDefault="00A31137" w:rsidP="00A31137">
      <w:r w:rsidRPr="00A31137">
        <w:t>Federalist No. 81 at 548. Hamilton is plainly talking about a suit subject to a federal court's jurisdiction under the Citizen-State Diversity Clauses of Article III.</w:t>
      </w:r>
    </w:p>
    <w:p w:rsidR="00A31137" w:rsidRPr="00A31137" w:rsidRDefault="00A31137" w:rsidP="00A31137">
      <w:r w:rsidRPr="00A31137">
        <w:t>1996, Seminole Tribe of Florida v. Florida, No. 94-12</w:t>
      </w:r>
    </w:p>
    <w:p w:rsidR="00A31137" w:rsidRPr="00A31137" w:rsidRDefault="00A31137" w:rsidP="00A31137">
      <w:r w:rsidRPr="00A31137">
        <w:t>The general statement on sovereign immunity emphasized by the majority then follows, along with a reference back to Federalist No. 32. Ibid. What Hamilton draws from that prior paper, however, is not a general conclusion about state sovereignty but a particular point about state contracts:</w:t>
      </w:r>
    </w:p>
    <w:p w:rsidR="00A31137" w:rsidRPr="00A31137" w:rsidRDefault="00A31137" w:rsidP="00A31137">
      <w:r w:rsidRPr="00A31137">
        <w:t>1996, Seminole Tribe of Florida v. Florida, No. 94-12</w:t>
      </w:r>
    </w:p>
    <w:p w:rsidR="00A31137" w:rsidRPr="00A31137" w:rsidRDefault="00A31137" w:rsidP="00A31137">
      <w:r w:rsidRPr="00A31137">
        <w:t>A recurrence to the principles there established will satisfy us, that there is no colour to pretend that the state governments, would by the adoption of that plan, be divested of the privilege of paying their own debts in their own way, free from every constraint but that which flows from the obligations of good faith. The contracts between a nation and individuals are only binding on the conscience of the sovereign, and have no pretensions to a compulsive force. They confer no right of action independent of the sovereign will.</w:t>
      </w:r>
    </w:p>
    <w:p w:rsidR="00A31137" w:rsidRPr="00A31137" w:rsidRDefault="00A31137" w:rsidP="00A31137">
      <w:r w:rsidRPr="00A31137">
        <w:t>1996, Seminole Tribe of Florida v. Florida, No. 94-12</w:t>
      </w:r>
    </w:p>
    <w:p w:rsidR="00A31137" w:rsidRPr="00A31137" w:rsidRDefault="00A31137" w:rsidP="00A31137">
      <w:r w:rsidRPr="00A31137">
        <w:t>The Federalist No. 81 at 549.</w:t>
      </w:r>
    </w:p>
    <w:p w:rsidR="00A31137" w:rsidRPr="00A31137" w:rsidRDefault="00A31137" w:rsidP="00A31137">
      <w:r w:rsidRPr="00A31137">
        <w:t>1996, Seminole Tribe of Florida v. Florida, No. 94-12</w:t>
      </w:r>
    </w:p>
    <w:p w:rsidR="00A31137" w:rsidRPr="00A31137" w:rsidRDefault="00A31137" w:rsidP="00A31137">
      <w:r w:rsidRPr="00A31137">
        <w:t>The most that can be inferred from this is, as noted above, that, in diversity cases applying state contract law, the immunity that a State would have enjoyed in its own courts is carried into the federal court. When, therefore, the Hans Court relied in part upon Hamilton's statement, see 134 U.S. at  20, its reliance was misplaced; Hamilton was addressing diversity jurisdiction, whereas Hans involved federal question jurisdiction under the Contracts Clause. No general theory of federal question immunity can be inferred from Hamilton's discussion of immunity in contract suits. But that is only the beginning of the difficulties that accrue to the majority from reliance on Federalist No. 81.</w:t>
      </w:r>
    </w:p>
    <w:p w:rsidR="00A31137" w:rsidRPr="00A31137" w:rsidRDefault="00A31137" w:rsidP="00A31137">
      <w:r w:rsidRPr="00A31137">
        <w:t>1996, Seminole Tribe of Florida v. Florida, No. 94-12</w:t>
      </w:r>
    </w:p>
    <w:p w:rsidR="00A31137" w:rsidRPr="00A31137" w:rsidRDefault="00A31137" w:rsidP="00A31137">
      <w:r w:rsidRPr="00A31137">
        <w:t>Hamilton says that a State is "not…amenable to the suit of an individual without its consent….   [u]nless…there is a surrender of this immunity in the plan of the convention." The Federalist No. 81 at 548-549 (emphasis omitted). He immediately adds, however, that "[t]he circumstances which are necessary to produce an alienation of state sovereignty, were discussed in considering the article of taxation, and need not be repeated here." Id. at 549. The reference is to Federalist No. 32, also by Hamilton, which has this to say about the alienation of state sovereignty:</w:t>
      </w:r>
    </w:p>
    <w:p w:rsidR="00A31137" w:rsidRPr="00A31137" w:rsidRDefault="00A31137" w:rsidP="00A31137">
      <w:r w:rsidRPr="00A31137">
        <w:t>1996, Seminole Tribe of Florida v. Florida, No. 94-12</w:t>
      </w:r>
    </w:p>
    <w:p w:rsidR="00A31137" w:rsidRPr="00A31137" w:rsidRDefault="00A31137" w:rsidP="00A31137">
      <w:r w:rsidRPr="00A31137">
        <w:t>[A]s the plan of the Convention aims only at a partial Union or consolidation, the State Governments would clearly retain all the rights of sovereignty which they before had and which were not by that act exclusively delegated to the United States. This exclusive delegation or rather this alienation of State sovereignty would only exist in three cases; where the Constitution in express terms granted an exclusive authority to the Union; where it granted in one instance an authority to the Union and in another prohibited the States from exercising the like authority; and where it granted an authority to the Union, to which a similar authority in the States would be absolutely and totally contradictory and repugnant. I use these terms to distinguish this last case from another which might appear to resemble it; but which would in fact be essentially different; I mean where the exercise of a concurrent jurisdiction might be productive of occasional interferences in the policy of any branch of administration, but would not imply any direct contradiction or repugnancy in point of constitutional authority.</w:t>
      </w:r>
    </w:p>
    <w:p w:rsidR="00A31137" w:rsidRPr="00A31137" w:rsidRDefault="00A31137" w:rsidP="00A31137">
      <w:r w:rsidRPr="00A31137">
        <w:t>1996, Seminole Tribe of Florida v. Florida, No. 94-12</w:t>
      </w:r>
    </w:p>
    <w:p w:rsidR="00A31137" w:rsidRPr="00A31137" w:rsidRDefault="00A31137" w:rsidP="00A31137">
      <w:r w:rsidRPr="00A31137">
        <w:t>The Federalist No. 32 at 200 (emphasis in original). As an instance of the last case, in which exercising concurrent jurisdiction may produce interferences in "policy," Hamilton gives the example of concurrent power to tax the same subjects:</w:t>
      </w:r>
    </w:p>
    <w:p w:rsidR="00A31137" w:rsidRPr="00A31137" w:rsidRDefault="00A31137" w:rsidP="00A31137">
      <w:r w:rsidRPr="00A31137">
        <w:t>1996, Seminole Tribe of Florida v. Florida, No. 94-12</w:t>
      </w:r>
    </w:p>
    <w:p w:rsidR="00A31137" w:rsidRPr="00A31137" w:rsidRDefault="00A31137" w:rsidP="00A31137">
      <w:r w:rsidRPr="00A31137">
        <w:t>It is indeed possible that a tax might be laid on a particular article by a State which might render it inexpedient that thus a further tax should be laid on the same article by the Union; but it would not imply a constitutional inability to impose a further tax. The quantity of the imposition, the expediency or inexpediency of an increase on either side, would be mutually questions of prudence; but there would be involved no direct contradiction of power. The particular policy of the national and of the State systems of finance might now and then not exactly coincide, and might require reciprocal forbearances. It is not however a mere possibility of inconvenience in the exercise of powers, but an immediate constitutional repugnancy, that can by implication alienate and extinguish a preexisting right of sovereignty.</w:t>
      </w:r>
    </w:p>
    <w:p w:rsidR="00A31137" w:rsidRPr="00A31137" w:rsidRDefault="00A31137" w:rsidP="00A31137">
      <w:r w:rsidRPr="00A31137">
        <w:t>1996, Seminole Tribe of Florida v. Florida, No. 94-12</w:t>
      </w:r>
    </w:p>
    <w:p w:rsidR="00A31137" w:rsidRPr="00A31137" w:rsidRDefault="00A31137" w:rsidP="00A31137">
      <w:r w:rsidRPr="00A31137">
        <w:t>Id. at 202 (emphasis in original).</w:t>
      </w:r>
    </w:p>
    <w:p w:rsidR="00A31137" w:rsidRPr="00A31137" w:rsidRDefault="00A31137" w:rsidP="00A31137">
      <w:r w:rsidRPr="00A31137">
        <w:t>1996, Seminole Tribe of Florida v. Florida, No. 94-12</w:t>
      </w:r>
    </w:p>
    <w:p w:rsidR="00A31137" w:rsidRPr="00A31137" w:rsidRDefault="00A31137" w:rsidP="00A31137">
      <w:r w:rsidRPr="00A31137">
        <w:t>The first embarrassment Hamilton's discussion creates for the majority turns on the fact that the power to regulate commerce with Indian Tribes has been interpreted as making "Indian relations…the exclusive province of federal law." County of Oneida v. Oneida Indian Nation of N.Y., 470 U.S. 226, 234 (1985). 40 We have accordingly recognized that "[s]tate laws generally are not applicable to tribal Indians on an Indian reservation except where Congress has expressly provided that State laws shall apply." McClanahan v. Arizona State Tax Comm'n, 411 U.S. 164, 170-171 (1973) (internal quotation marks omitted); see also Rice v. Olson, 324 U.S. 786, 789 (1945) ("The policy of leaving Indians free from state jurisdiction and control is deeply rooted in the Nation's history"). 41 We have specifically held, moreover, that the states have no power to regulate gambling on Indian lands. California v. Cabazon Band of Mission Indians, 480 U.S. 202, 221-222 (1987). In sum, since the States have no sovereignty in the regulation of commerce with the tribes, on Hamilton's view, there is no source of sovereign immunity to assert in a suit based on congressional regulation of that commerce. If Hamilton is good authority, the majority of the Court today is wrong.</w:t>
      </w:r>
    </w:p>
    <w:p w:rsidR="00A31137" w:rsidRPr="00A31137" w:rsidRDefault="00A31137" w:rsidP="00A31137">
      <w:r w:rsidRPr="00A31137">
        <w:t>1996, Seminole Tribe of Florida v. Florida, No. 94-12</w:t>
      </w:r>
    </w:p>
    <w:p w:rsidR="00A31137" w:rsidRPr="00A31137" w:rsidRDefault="00A31137" w:rsidP="00A31137">
      <w:r w:rsidRPr="00A31137">
        <w:t>Quite apart, however, from its application to this particular act of Congress exercising the Indian Commerce power, Hamilton's sovereignty discussion quoted above places the Court in an embarrassing dilemma. Hamilton posited four categories: (a) congressional legislation on subjects committed expressly and exclusively to Congress, (b) on subjects over which state authority is expressly negated, (c) on subjects over which concurrent authority would be impossible (as "contradictory and repugnant"), and (d) on subjects over which concurrent authority is not only possible, but its exercise by both is limited only by considerations of policy (as when one taxing authority is politically deterred from adding too much to the exaction the other authority is already making). But what of those situations involving concurrent powers, like the power over interstate commerce, see e.g., Cooley v. Board of Wardens of Port of Philadelphia ex rel. Soc. for Relief of Distressed Pilots, 12 How. 299 (1851) (recognizing power of states to engage in some regulation of interstate commerce), when a congressional statute not only binds the States but even creates an affirmative obligation on the State as such, as in this case? Hamilton's discussion does not seem to cover this (quite possibly because, as a good political polemicist, he did not wish to raise it). If in fact it is fair to say that Hamilton does not cover this situation, then the Court cannot claim him as authority for the preservation of state sovereignty and consequent immunity. If, however, on what I think is an implausible reading, one were to try to shoehorn this situation into Hamilton's category (c) (on the theory that concurrent authority is impossible after passage of the congressional legislation), then any claim of sovereignty and consequent immunity is gone entirely.</w:t>
      </w:r>
    </w:p>
    <w:p w:rsidR="00A31137" w:rsidRPr="00A31137" w:rsidRDefault="00A31137" w:rsidP="00A31137">
      <w:r w:rsidRPr="00A31137">
        <w:t>1996, Seminole Tribe of Florida v. Florida, No. 94-12</w:t>
      </w:r>
    </w:p>
    <w:p w:rsidR="00A31137" w:rsidRPr="00A31137" w:rsidRDefault="00A31137" w:rsidP="00A31137">
      <w:r w:rsidRPr="00A31137">
        <w:t>In sum, either the majority reads Hamilton as I do, to say nothing about sovereignty or immunity in such a case, or it will have to read him to say something about it that bars any state immunity claim. That is the dilemma of the majority's reliance on Hamilton's Federalist No. 81, with its reference to No. 32. Either way, he is no authority for the Court's position.</w:t>
      </w:r>
    </w:p>
    <w:p w:rsidR="00A31137" w:rsidRPr="00A31137" w:rsidRDefault="00A31137" w:rsidP="00A31137">
      <w:r w:rsidRPr="00A31137">
        <w:t>1996, Seminole Tribe of Florida v. Florida, No. 94-12</w:t>
      </w:r>
    </w:p>
    <w:p w:rsidR="00A31137" w:rsidRPr="00A31137" w:rsidRDefault="00A31137" w:rsidP="00A31137">
      <w:r w:rsidRPr="00A31137">
        <w:t>Thus, the Court's attempt to convert isolated statements by the Framers into answers to questions not before them is fundamentally misguided. 42 The Court's difficulty is far more fundamental however, than inconsistency with a particular quotation, for the Court's position runs afoul of the general theory of sovereignty that gave shape to the Framers' enterprise. An enquiry into the development of that concept demonstrates that American political thought had so revolutionized the concept of sovereignty itself that calling for the immunity of a State as against the jurisdiction of the national courts would have been sheer illogic.</w:t>
      </w:r>
    </w:p>
    <w:p w:rsidR="00A31137" w:rsidRPr="00A31137" w:rsidRDefault="00A31137" w:rsidP="00A31137">
      <w:r w:rsidRPr="00A31137">
        <w:t>2</w:t>
      </w:r>
    </w:p>
    <w:p w:rsidR="00A31137" w:rsidRPr="00A31137" w:rsidRDefault="00A31137" w:rsidP="00A31137">
      <w:r w:rsidRPr="00A31137">
        <w:t>1996, Seminole Tribe of Florida v. Florida, No. 94-12</w:t>
      </w:r>
    </w:p>
    <w:p w:rsidR="00A31137" w:rsidRPr="00A31137" w:rsidRDefault="00A31137" w:rsidP="00A31137">
      <w:r w:rsidRPr="00A31137">
        <w:t>We said in Blatchford v. Native Village of Noatak, 501 U.S. 775, 779 (1991) that "the States entered the federal system with their sovereignty intact," but we surely did not mean that they entered that system with the sovereignty they would have claimed if each State had assumed independent existence in the community of nations, for even the Articles of Confederation allowed for less than that. See Articles of Confederation, Art. VI, § 1 ("No State without the consent of the United States in Congress assembled, shall send any embassy to, or receive any embassy from, or enter into any conference, agreement, alliance, or treaty, with any king, prince or state…. "). While there is no need here to calculate exactly how close the American States came to sovereignty in the classic sense prior to ratification of the Constitution, it is clear that the act of ratification affected their sovereignty in a way different from any previous political event in America or anywhere else. For the adoption of the Constitution made them members of a novel federal system that sought to balance the States' exercise of some sovereign prerogatives delegated from their own people with the principle of a limited but centralizing federal supremacy.</w:t>
      </w:r>
    </w:p>
    <w:p w:rsidR="00A31137" w:rsidRPr="00A31137" w:rsidRDefault="00A31137" w:rsidP="00A31137">
      <w:r w:rsidRPr="00A31137">
        <w:t>1996, Seminole Tribe of Florida v. Florida, No. 94-12</w:t>
      </w:r>
    </w:p>
    <w:p w:rsidR="00A31137" w:rsidRPr="00A31137" w:rsidRDefault="00A31137" w:rsidP="00A31137">
      <w:r w:rsidRPr="00A31137">
        <w:t>As a matter of political theory, this federal arrangement of dual delegated sovereign powers truly was a more revolutionary turn than the late war had been. See, e.g., U.S. Term Limits, Inc. v. Thornton, 514 U.S. ___, ___ (1995) (KENNEDY, J., concurring) ("Federalism was our Nation's own discovery. The Framers split the atom of sovereignty"). 43 Before the new federal scheme appeared, 18th-century political theorists had assumed that</w:t>
      </w:r>
    </w:p>
    <w:p w:rsidR="00A31137" w:rsidRPr="00A31137" w:rsidRDefault="00A31137" w:rsidP="00A31137">
      <w:r w:rsidRPr="00A31137">
        <w:t>1996, Seminole Tribe of Florida v. Florida, No. 94-12</w:t>
      </w:r>
    </w:p>
    <w:p w:rsidR="00A31137" w:rsidRPr="00A31137" w:rsidRDefault="00A31137" w:rsidP="00A31137">
      <w:r w:rsidRPr="00A31137">
        <w:t>there must reside somewhere in every political unit a single, undivided, final power, higher in legal authority than any other power, subject to no law, a law unto itself.</w:t>
      </w:r>
    </w:p>
    <w:p w:rsidR="00A31137" w:rsidRPr="00A31137" w:rsidRDefault="00A31137" w:rsidP="00A31137">
      <w:r w:rsidRPr="00A31137">
        <w:t>1996, Seminole Tribe of Florida v. Florida, No. 94-12</w:t>
      </w:r>
    </w:p>
    <w:p w:rsidR="00A31137" w:rsidRPr="00A31137" w:rsidRDefault="00A31137" w:rsidP="00A31137">
      <w:r w:rsidRPr="00A31137">
        <w:t>B. Bailyn, The Ideological Origins of the American Revolution 198 (1967); see also Wood 345. 44 The American development of divided sovereign powers, which "shatter[ed]…the categories of government that had dominated Western thinking for centuries," id. at 385, was made possible only by a recognition that the ultimate sovereignty rests in the people themselves. See id. at 530 (noting that because "none of these arguments about 'joint jurisdictions' and 'coequal sovereignties' convincingly refuted the Antifederalist doctrine of a supreme and indivisible sovereignty," the Federalists could succeed only by emphasizing that the supreme power "'resides in the PEOPLE, as the fountain of government'" (citing 1 Pennsylvania and the Federal Constitution, 1787-1788, p. 302 (J. McMaster &amp; F. Stone, eds. 1888) (quoting James Wilson))). 45 The people possessing this plenary bundle of specific powers were free to parcel them out to different governments and different branches of the same government as they saw fit. See McDonald, Novus Ordo Seclorum at 278. As James Wilson emphasized, the location of ultimate sovereignty in the People meant that</w:t>
      </w:r>
    </w:p>
    <w:p w:rsidR="00A31137" w:rsidRPr="00A31137" w:rsidRDefault="00A31137" w:rsidP="00A31137">
      <w:r w:rsidRPr="00A31137">
        <w:t>1996, Seminole Tribe of Florida v. Florida, No. 94-12</w:t>
      </w:r>
    </w:p>
    <w:p w:rsidR="00A31137" w:rsidRPr="00A31137" w:rsidRDefault="00A31137" w:rsidP="00A31137">
      <w:r w:rsidRPr="00A31137">
        <w:t>[t]hey can distribute one portion of power to the more contracted circle called State governments; they can also furnish another proportion to the government of the United States.</w:t>
      </w:r>
    </w:p>
    <w:p w:rsidR="00A31137" w:rsidRPr="00A31137" w:rsidRDefault="00A31137" w:rsidP="00A31137">
      <w:r w:rsidRPr="00A31137">
        <w:t>1996, Seminole Tribe of Florida v. Florida, No. 94-12</w:t>
      </w:r>
    </w:p>
    <w:p w:rsidR="00A31137" w:rsidRPr="00A31137" w:rsidRDefault="00A31137" w:rsidP="00A31137">
      <w:r w:rsidRPr="00A31137">
        <w:t>1 Pennsylvania and the Federal Constitution, 1787-1788, supra at 302. 46</w:t>
      </w:r>
    </w:p>
    <w:p w:rsidR="00A31137" w:rsidRPr="00A31137" w:rsidRDefault="00A31137" w:rsidP="00A31137">
      <w:r w:rsidRPr="00A31137">
        <w:t>1996, Seminole Tribe of Florida v. Florida, No. 94-12</w:t>
      </w:r>
    </w:p>
    <w:p w:rsidR="00A31137" w:rsidRPr="00A31137" w:rsidRDefault="00A31137" w:rsidP="00A31137">
      <w:r w:rsidRPr="00A31137">
        <w:t>Under such a scheme, Alexander Hamilton explained,</w:t>
      </w:r>
    </w:p>
    <w:p w:rsidR="00A31137" w:rsidRPr="00A31137" w:rsidRDefault="00A31137" w:rsidP="00A31137">
      <w:r w:rsidRPr="00A31137">
        <w:t>1996, Seminole Tribe of Florida v. Florida, No. 94-12</w:t>
      </w:r>
    </w:p>
    <w:p w:rsidR="00A31137" w:rsidRPr="00A31137" w:rsidRDefault="00A31137" w:rsidP="00A31137">
      <w:r w:rsidRPr="00A31137">
        <w:t>[i]t does not follow…that each of the portions of powers delegated to [the national or state government] is not sovereign with regard to its proper objects.</w:t>
      </w:r>
    </w:p>
    <w:p w:rsidR="00A31137" w:rsidRPr="00A31137" w:rsidRDefault="00A31137" w:rsidP="00A31137">
      <w:r w:rsidRPr="00A31137">
        <w:t>1996, Seminole Tribe of Florida v. Florida, No. 94-12</w:t>
      </w:r>
    </w:p>
    <w:p w:rsidR="00A31137" w:rsidRPr="00A31137" w:rsidRDefault="00A31137" w:rsidP="00A31137">
      <w:r w:rsidRPr="00A31137">
        <w:t>Hamilton, Opinion on the Constitutionality of an Act to Establish a Bank, in 8 Papers of Alexander Hamilton 98 (Syrett ed. 1965) (emphasis in original). 47 A necessary consequence of this view was that "the Government of the United States has sovereign power as to its declared purposes &amp; trusts." Ibid. Justice Iredell was to make the same observation in his Chisholm dissent, commenting that</w:t>
      </w:r>
    </w:p>
    <w:p w:rsidR="00A31137" w:rsidRPr="00A31137" w:rsidRDefault="00A31137" w:rsidP="00A31137">
      <w:r w:rsidRPr="00A31137">
        <w:t>1996, Seminole Tribe of Florida v. Florida, No. 94-12</w:t>
      </w:r>
    </w:p>
    <w:p w:rsidR="00A31137" w:rsidRPr="00A31137" w:rsidRDefault="00A31137" w:rsidP="00A31137">
      <w:r w:rsidRPr="00A31137">
        <w:t>[t]he United States are sovereign as to all the powers of government actually surrendered: each State in the Union is sovereign, as to all the powers reserved.</w:t>
      </w:r>
    </w:p>
    <w:p w:rsidR="00A31137" w:rsidRPr="00A31137" w:rsidRDefault="00A31137" w:rsidP="00A31137">
      <w:r w:rsidRPr="00A31137">
        <w:t>1996, Seminole Tribe of Florida v. Florida, No. 94-12</w:t>
      </w:r>
    </w:p>
    <w:p w:rsidR="00A31137" w:rsidRPr="00A31137" w:rsidRDefault="00A31137" w:rsidP="00A31137">
      <w:r w:rsidRPr="00A31137">
        <w:t>2 Dall. at  434. And to the same point was Chief Justice Marshall's description of the National and State Governments as "each sovereign, with respect to the objects committed to it, and neither sovereign with respect to the objects committed to the other." McCulloch v. Maryland, 4 Wheat. 316,  410 (1819).</w:t>
      </w:r>
    </w:p>
    <w:p w:rsidR="00A31137" w:rsidRPr="00A31137" w:rsidRDefault="00A31137" w:rsidP="00A31137">
      <w:r w:rsidRPr="00A31137">
        <w:t>1996, Seminole Tribe of Florida v. Florida, No. 94-12</w:t>
      </w:r>
    </w:p>
    <w:p w:rsidR="00A31137" w:rsidRPr="00A31137" w:rsidRDefault="00A31137" w:rsidP="00A31137">
      <w:r w:rsidRPr="00A31137">
        <w:t>Given this metamorphosis of the idea of sovereignty in the years leading up to 1789, the question whether the old immunity doctrine might have been received as something suitable for the new world of federal question jurisdiction is a crucial one. 48 The answer is that sovereign immunity as it would have been known to the Framers before ratification thereafter became inapplicable as a matter of logic in a federal suit raising a federal question. The old doctrine, after all, barred the involuntary subjection of a sovereign to the system of justice and law of which it was itself the font, since to do otherwise would have struck the common law mind from the Middle Ages onward as both impractical and absurd. See, e.g., Kawananakoa v. Polyblank, 205 U.S. 349, 353 (1907) (Holmes, J.) ("A sovereign is exempt from suit…on the logical and practical ground that there can be no legal right as against the authority that makes the law on which the right depends"). 49 But the ratification demonstrated that state governments were subject to a superior regime of law in a judicial system established, not by the State, but by the people through a specific delegation of their sovereign power to a National Government that was paramount within its delegated sphere. When individuals sued States to enforce federal rights, the Government that corresponded to the "sovereign" in the traditional common law sense was not the State but the National Government, and any state immunity from the jurisdiction of the Nation's courts would have required a grant from the true sovereign, the people, in their Constitution, or from the Congress that the Constitution had empowered. We made a similar point in Nevada v. Hall, 440 U.S. at  416, where we considered a suit against a State in another State's courts:</w:t>
      </w:r>
    </w:p>
    <w:p w:rsidR="00A31137" w:rsidRPr="00A31137" w:rsidRDefault="00A31137" w:rsidP="00A31137">
      <w:r w:rsidRPr="00A31137">
        <w:t>1996, Seminole Tribe of Florida v. Florida, No. 94-12</w:t>
      </w:r>
    </w:p>
    <w:p w:rsidR="00A31137" w:rsidRPr="00A31137" w:rsidRDefault="00A31137" w:rsidP="00A31137">
      <w:r w:rsidRPr="00A31137">
        <w:t>This [traditional] explanation [of sovereign immunity] adequately supports the conclusion that no sovereign may be sued in its own courts without its consent, but it affords no support for a claim of immunity in another sovereign's courts. Such a claim necessarily implicates the power and authority of a second sovereign; its source must be found either in an agreement, express or implied, between the two sovereigns, or in the voluntary decision of the second to respect the dignity of the first as a matter of comity.</w:t>
      </w:r>
    </w:p>
    <w:p w:rsidR="00A31137" w:rsidRPr="00A31137" w:rsidRDefault="00A31137" w:rsidP="00A31137">
      <w:r w:rsidRPr="00A31137">
        <w:t>1996, Seminole Tribe of Florida v. Florida, No. 94-12</w:t>
      </w:r>
    </w:p>
    <w:p w:rsidR="00A31137" w:rsidRPr="00A31137" w:rsidRDefault="00A31137" w:rsidP="00A31137">
      <w:r w:rsidRPr="00A31137">
        <w:t>Cf. United States v. Texas, 143 U.S. 621, 646 (1892) (recognizing that a suit by the National Government against a State "does no violence to the inherent nature of sovereignty"). Subjecting States to federal jurisdiction in federal question cases brought by individuals thus reflected nothing more than Professor Amar's apt summary that "[w]here governments are acting within the bounds of their delegated 'sovereign' power, they may partake of sovereign immunity; where not, not." Amar, 96 Yale L.J. at 1490-1491 n. 261.</w:t>
      </w:r>
    </w:p>
    <w:p w:rsidR="00A31137" w:rsidRPr="00A31137" w:rsidRDefault="00A31137" w:rsidP="00A31137">
      <w:r w:rsidRPr="00A31137">
        <w:t>1996, Seminole Tribe of Florida v. Florida, No. 94-12</w:t>
      </w:r>
    </w:p>
    <w:p w:rsidR="00A31137" w:rsidRPr="00A31137" w:rsidRDefault="00A31137" w:rsidP="00A31137">
      <w:r w:rsidRPr="00A31137">
        <w:t>State immunity to federal question jurisdiction would, moreover, have run up against the common understanding of the practical necessity for the new federal relationship. According to Madison, the "multiplicity," "mutability," and "injustice" of then-extant state laws were prime factors requiring the formation of a new government. 1 Farrand 318-319 (remarks of J. Madison). 50 These factors, Madison wrote to Jefferson,</w:t>
      </w:r>
    </w:p>
    <w:p w:rsidR="00A31137" w:rsidRPr="00A31137" w:rsidRDefault="00A31137" w:rsidP="00A31137">
      <w:r w:rsidRPr="00A31137">
        <w:t>1996, Seminole Tribe of Florida v. Florida, No. 94-12</w:t>
      </w:r>
    </w:p>
    <w:p w:rsidR="00A31137" w:rsidRPr="00A31137" w:rsidRDefault="00A31137" w:rsidP="00A31137">
      <w:r w:rsidRPr="00A31137">
        <w:t>contributed more to that uneasiness which produced the Convention, and prepared the Public mind for a general reform, than those which accrued to our national character and interest from the inadequacy of the Confederation to its immediate objects.</w:t>
      </w:r>
    </w:p>
    <w:p w:rsidR="00A31137" w:rsidRPr="00A31137" w:rsidRDefault="00A31137" w:rsidP="00A31137">
      <w:r w:rsidRPr="00A31137">
        <w:t>1996, Seminole Tribe of Florida v. Florida, No. 94-12</w:t>
      </w:r>
    </w:p>
    <w:p w:rsidR="00A31137" w:rsidRPr="00A31137" w:rsidRDefault="00A31137" w:rsidP="00A31137">
      <w:r w:rsidRPr="00A31137">
        <w:t>5 Writings of James Madison 27 (G. Hunt ed. 1904). These concerns ultimately found concrete expression in a number of specific limitations on state power, including provisions barring the States from enacting bills of attainder or ex post facto laws, coining money or emitting bills of credit, denying the privileges and immunities of out-of-staters, or impairing the obligation of contracts. But the proposed Constitution also dealt with the old problems affirmatively by granting the powers to Congress enumerated in Article I, § 8, and by providing through the Supremacy Clause that Congress could preempt State action in areas of concurrent state and federal authority.</w:t>
      </w:r>
    </w:p>
    <w:p w:rsidR="00A31137" w:rsidRPr="00A31137" w:rsidRDefault="00A31137" w:rsidP="00A31137">
      <w:r w:rsidRPr="00A31137">
        <w:t>1996, Seminole Tribe of Florida v. Florida, No. 94-12</w:t>
      </w:r>
    </w:p>
    <w:p w:rsidR="00A31137" w:rsidRPr="00A31137" w:rsidRDefault="00A31137" w:rsidP="00A31137">
      <w:r w:rsidRPr="00A31137">
        <w:t>Given the Framers' general concern with curbing abuses by state governments, it would be amazing if the scheme of delegated powers embodied in the Constitution had left the National Government powerless to render the States judicially accountable for violations of federal rights. And of course the Framers did not understand the scheme to leave the government powerless. In The Federalist No. 80 at 535, Hamilton observed that</w:t>
      </w:r>
    </w:p>
    <w:p w:rsidR="00A31137" w:rsidRPr="00A31137" w:rsidRDefault="00A31137" w:rsidP="00A31137">
      <w:r w:rsidRPr="00A31137">
        <w:t>1996, Seminole Tribe of Florida v. Florida, No. 94-12</w:t>
      </w:r>
    </w:p>
    <w:p w:rsidR="00A31137" w:rsidRPr="00A31137" w:rsidRDefault="00A31137" w:rsidP="00A31137">
      <w:r w:rsidRPr="00A31137">
        <w:t>[n]o man of sense will believe that such prohibitions [running against the states] would be scrupulously regarded, without some effectual power in the government to restrain or correct the infractions of them,</w:t>
      </w:r>
    </w:p>
    <w:p w:rsidR="00A31137" w:rsidRPr="00A31137" w:rsidRDefault="00A31137" w:rsidP="00A31137">
      <w:r w:rsidRPr="00A31137">
        <w:t>1996, Seminole Tribe of Florida v. Florida, No. 94-12</w:t>
      </w:r>
    </w:p>
    <w:p w:rsidR="00A31137" w:rsidRPr="00A31137" w:rsidRDefault="00A31137" w:rsidP="00A31137">
      <w:r w:rsidRPr="00A31137">
        <w:t>and that "an authority in the federal courts, to overrule such as might be in manifest contravention of the articles of union" was the Convention's preferred remedy. By speaking in the plural of an authority in the federal "courts," Hamilton made it clear that he envisioned more than this Court's exercise of appellate jurisdiction to review federal questions decided by state courts. Nor is it plausible that he was thinking merely of suits brought against States by the National Government itself, which The Federalist's authors did not describe in the paternalistic terms that would pass without an eyebrow raised today. Hamilton's power of the Government to restrain violations of citizens' rights was a power to be exercised by the federal courts at the citizens' behest. See also Marshall, 102 Harv. L.Rev. at 1367-1371 (discussing the Framers' concern with preserving as much state accountability as possible even in the course of enacting the Eleventh Amendment).</w:t>
      </w:r>
    </w:p>
    <w:p w:rsidR="00A31137" w:rsidRPr="00A31137" w:rsidRDefault="00A31137" w:rsidP="00A31137">
      <w:r w:rsidRPr="00A31137">
        <w:t>1996, Seminole Tribe of Florida v. Florida, No. 94-12</w:t>
      </w:r>
    </w:p>
    <w:p w:rsidR="00A31137" w:rsidRPr="00A31137" w:rsidRDefault="00A31137" w:rsidP="00A31137">
      <w:r w:rsidRPr="00A31137">
        <w:t>This sketch of the logic and objectives of the new federal order is confirmed by what we have previously seen of the pre-ratification debate on state sovereign immunity, which in turn becomes entirely intelligible both in what it addressed and what it ignored. It is understandable that reasonable minds differed on the applicability of the immunity doctrine in suits that made it to federal court only under the original Diversity Clauses, for their features were not wholly novel. While they were, of course, in the courts of the new and, for some purposes, paramount National Government, the law that they implicated was largely the old common law (and in any case was not federal law). It was not foolish, therefore, to ask whether the old law brought the old defenses with it. But it is equally understandable that questions seem not to have been raised about state sovereign immunity in federal question cases. The very idea of a federal question depended on the rejection of the simple concept of sovereignty from which the immunity doctrine had developed; under the English common law, the question of immunity in a system of layered sovereignty simply could not have arisen. Cf., e.g., Jay II at 1282-1284; Du Ponceau, A Dissertation on the Nature and Extent of Jurisdiction of Courts of the United States at 6-7. 51 The Framers' principal objectives in rejecting English theories of unitary sovereignty, moreover, would have been impeded if a new concept of sovereign immunity had taken its place in federal question cases, and would have been substantially thwarted if that new immunity had been held to be untouchable by any congressional effort to abrogate it. 52</w:t>
      </w:r>
    </w:p>
    <w:p w:rsidR="00A31137" w:rsidRPr="00A31137" w:rsidRDefault="00A31137" w:rsidP="00A31137">
      <w:r w:rsidRPr="00A31137">
        <w:t>1996, Seminole Tribe of Florida v. Florida, No. 94-12</w:t>
      </w:r>
    </w:p>
    <w:p w:rsidR="00A31137" w:rsidRPr="00A31137" w:rsidRDefault="00A31137" w:rsidP="00A31137">
      <w:r w:rsidRPr="00A31137">
        <w:t>Today's majority discounts this concern. Without citing a single source to the contrary, the Court dismisses the historical evidence regarding the Framers' vision of the relationship between national and state sovereignty, and reassures us that "the Nation survived for nearly two centuries without the question of the existence of [the abrogation] power ever being presented to this Court." Ante at ___. 53 But we are concerned here not with the survival of the Nation but the opportunity of its citizens to enforce federal rights in a way that Congress provides. The absence of any general federal question statute for nearly a century following ratification of Article III (with a brief exception in 1800) hardly counts against the importance of that jurisdiction either in the Framers' conception or in current reality; likewise, the fact that Congress has not often seen fit to use its power of abrogation (outside the Fourteenth Amendment context at least) does not compel a conclusion that the power is not important to the federal scheme. In the end, is it plausible to contend that the plan of the convention was meant to leave the National Government without any way to render individuals capable of enforcing their federal rights directly against an intransigent state?</w:t>
      </w:r>
    </w:p>
    <w:p w:rsidR="00A31137" w:rsidRPr="00A31137" w:rsidRDefault="00A31137" w:rsidP="00A31137">
      <w:r w:rsidRPr="00A31137">
        <w:t>C</w:t>
      </w:r>
    </w:p>
    <w:p w:rsidR="00A31137" w:rsidRPr="00A31137" w:rsidRDefault="00A31137" w:rsidP="00A31137">
      <w:r w:rsidRPr="00A31137">
        <w:t>1996, Seminole Tribe of Florida v. Florida, No. 94-12</w:t>
      </w:r>
    </w:p>
    <w:p w:rsidR="00A31137" w:rsidRPr="00A31137" w:rsidRDefault="00A31137" w:rsidP="00A31137">
      <w:r w:rsidRPr="00A31137">
        <w:t>The considerations expressed so far, based on text, Chisholm, caution in common law reception, and sovereignty theory, have pointed both to the mistakes inherent in Hans and, even more strongly, to the error of today's holding. Although, for reasons of stare decisis, I would not today disturb the century-old precedent, I surely would not extend its error by placing the common law immunity it mistakenly recognized beyond the power of Congress to abrogate. In doing just that, however, today's decision declaring state sovereign immunity itself immune from abrogation in federal question cases is open to a further set of objections peculiar to itself. For today's decision stands condemned alike by the Framers' abhorrence of any notion that such common law rules as might be received into the new legal systems would be beyond the legislative power to alter or repeal, and by its resonance with this Court's previous essays in constitutionalizing common law rules at the expense of legislative authority.</w:t>
      </w:r>
    </w:p>
    <w:p w:rsidR="00A31137" w:rsidRPr="00A31137" w:rsidRDefault="00A31137" w:rsidP="00A31137">
      <w:r w:rsidRPr="00A31137">
        <w:t>1</w:t>
      </w:r>
    </w:p>
    <w:p w:rsidR="00A31137" w:rsidRPr="00A31137" w:rsidRDefault="00A31137" w:rsidP="00A31137">
      <w:r w:rsidRPr="00A31137">
        <w:t>1996, Seminole Tribe of Florida v. Florida, No. 94-12</w:t>
      </w:r>
    </w:p>
    <w:p w:rsidR="00A31137" w:rsidRPr="00A31137" w:rsidRDefault="00A31137" w:rsidP="00A31137">
      <w:r w:rsidRPr="00A31137">
        <w:t>I have already pointed out how the views of the Framers reflected the caution of state constitutionalists and legislators over reception of common law rules, a caution that the Framers exalted to the point of vigorous resistance to any idea that English common law rules might be imported wholesale through the new Constitution. The state politicians also took pains to guarantee that once a common law rule had been received, it would always be subject to legislative alteration, and again the state experience was reflected in the Framers' thought. Indeed, the Framers' very insistence that no common law doctrine would be received by virtue of ratification was focused in their fear that elements of the common law might thereby have been placed beyond the power of Congress to alter by legislation.</w:t>
      </w:r>
    </w:p>
    <w:p w:rsidR="00A31137" w:rsidRPr="00A31137" w:rsidRDefault="00A31137" w:rsidP="00A31137">
      <w:r w:rsidRPr="00A31137">
        <w:t>1996, Seminole Tribe of Florida v. Florida, No. 94-12</w:t>
      </w:r>
    </w:p>
    <w:p w:rsidR="00A31137" w:rsidRPr="00A31137" w:rsidRDefault="00A31137" w:rsidP="00A31137">
      <w:r w:rsidRPr="00A31137">
        <w:t>The imperative of legislative control grew directly out of the Framers' revolutionary idea of popular sovereignty. According to one historian,</w:t>
      </w:r>
    </w:p>
    <w:p w:rsidR="00A31137" w:rsidRPr="00A31137" w:rsidRDefault="00A31137" w:rsidP="00A31137">
      <w:r w:rsidRPr="00A31137">
        <w:t>1996, Seminole Tribe of Florida v. Florida, No. 94-12</w:t>
      </w:r>
    </w:p>
    <w:p w:rsidR="00A31137" w:rsidRPr="00A31137" w:rsidRDefault="00A31137" w:rsidP="00A31137">
      <w:r w:rsidRPr="00A31137">
        <w:t>[s]hared ideas about the sovereignty of the people and the accountability of government to the people resulted at an early date in a new understanding of the role of legislation in the legal system…. Whereas a constitution had been seen in the colonial period as a body of vague and unidentifiable precedents and principles of common law origin that imposed ambiguous restrictions on the power of men to make or change law, after independence it came to be seen as a written charter by which the people delegated powers to various institutions of government and imposed limitations on the exercise of those powers…. [T]he power to modify or even entirely to repeal the common law…now fell explicitly within the jurisdiction of the legislature.</w:t>
      </w:r>
    </w:p>
    <w:p w:rsidR="00A31137" w:rsidRPr="00A31137" w:rsidRDefault="00A31137" w:rsidP="00A31137">
      <w:r w:rsidRPr="00A31137">
        <w:t>1996, Seminole Tribe of Florida v. Florida, No. 94-12</w:t>
      </w:r>
    </w:p>
    <w:p w:rsidR="00A31137" w:rsidRPr="00A31137" w:rsidRDefault="00A31137" w:rsidP="00A31137">
      <w:r w:rsidRPr="00A31137">
        <w:t>W. Nelson, Americanization of the Common Law 90 (1975). 54</w:t>
      </w:r>
    </w:p>
    <w:p w:rsidR="00A31137" w:rsidRPr="00A31137" w:rsidRDefault="00A31137" w:rsidP="00A31137">
      <w:r w:rsidRPr="00A31137">
        <w:t>1996, Seminole Tribe of Florida v. Florida, No. 94-12</w:t>
      </w:r>
    </w:p>
    <w:p w:rsidR="00A31137" w:rsidRPr="00A31137" w:rsidRDefault="00A31137" w:rsidP="00A31137">
      <w:r w:rsidRPr="00A31137">
        <w:t>Virtually every state reception provision, be it constitutional or statutory, explicitly provided that the common law was subject to alteration by statute. See Wood 299-300; Jones 99. The New Jersey Constitution of 1776, for instance, provided that</w:t>
      </w:r>
    </w:p>
    <w:p w:rsidR="00A31137" w:rsidRPr="00A31137" w:rsidRDefault="00A31137" w:rsidP="00A31137">
      <w:r w:rsidRPr="00A31137">
        <w:t>1996, Seminole Tribe of Florida v. Florida, No. 94-12</w:t>
      </w:r>
    </w:p>
    <w:p w:rsidR="00A31137" w:rsidRPr="00A31137" w:rsidRDefault="00A31137" w:rsidP="00A31137">
      <w:r w:rsidRPr="00A31137">
        <w:t>the common law of England, as well as so much of the statute law, as have been heretofore practised in this Colony, shall still remain in force, until they shall be altered by a future law….</w:t>
      </w:r>
    </w:p>
    <w:p w:rsidR="00A31137" w:rsidRPr="00A31137" w:rsidRDefault="00A31137" w:rsidP="00A31137">
      <w:r w:rsidRPr="00A31137">
        <w:t>1996, Seminole Tribe of Florida v. Florida, No. 94-12</w:t>
      </w:r>
    </w:p>
    <w:p w:rsidR="00A31137" w:rsidRPr="00A31137" w:rsidRDefault="00A31137" w:rsidP="00A31137">
      <w:r w:rsidRPr="00A31137">
        <w:t>N.J.Const., Art. XXII (1776), in 6 W. Swindler, Sources and Documents of United States Constitutions 452 (1976). 55 Just as the early state governments did not leave reception of the common law to implication, then, neither did they receive it as law immune to legislative alteration. 56</w:t>
      </w:r>
    </w:p>
    <w:p w:rsidR="00A31137" w:rsidRPr="00A31137" w:rsidRDefault="00A31137" w:rsidP="00A31137">
      <w:r w:rsidRPr="00A31137">
        <w:t>1996, Seminole Tribe of Florida v. Florida, No. 94-12</w:t>
      </w:r>
    </w:p>
    <w:p w:rsidR="00A31137" w:rsidRPr="00A31137" w:rsidRDefault="00A31137" w:rsidP="00A31137">
      <w:r w:rsidRPr="00A31137">
        <w:t>I have already indicated that the Framers did not forget the state law examples. When Antifederalists objected that the 1787 draft failed to make an explicit adoption of certain common law protections of the individual, part of the Federalists' answer was that a general constitutional reception of the common law would bar congressional revision. Madison was particularly concerned with the necessity for legislative control, noting in a letter to George Washington that "every State has made great inroads &amp; with great propriety on this monarchical code." Letter from James Madison to George Washington (Oct. 18, 1787), reprinted in 3 Farrand 130, App. A (emphasis in original). 57 Madison went on to insist that "[t]he Common law is nothing more than the unwritten law, and is left by all the Constitutions equally liable to legislative alterations." Ibid. 58 Indeed, Madison anticipated, and rejected, the Court's approach today when he wrote that if</w:t>
      </w:r>
    </w:p>
    <w:p w:rsidR="00A31137" w:rsidRPr="00A31137" w:rsidRDefault="00A31137" w:rsidP="00A31137">
      <w:r w:rsidRPr="00A31137">
        <w:t>1996, Seminole Tribe of Florida v. Florida, No. 94-12</w:t>
      </w:r>
    </w:p>
    <w:p w:rsidR="00A31137" w:rsidRPr="00A31137" w:rsidRDefault="00A31137" w:rsidP="00A31137">
      <w:r w:rsidRPr="00A31137">
        <w:t>the common law be admitted as…of constitutional obligation, it would confer on the judicial department a discretion little short of a legislative power…[which] would be permanent and irremediable by the Legislature.</w:t>
      </w:r>
    </w:p>
    <w:p w:rsidR="00A31137" w:rsidRPr="00A31137" w:rsidRDefault="00A31137" w:rsidP="00A31137">
      <w:r w:rsidRPr="00A31137">
        <w:t>1996, Seminole Tribe of Florida v. Florida, No. 94-12</w:t>
      </w:r>
    </w:p>
    <w:p w:rsidR="00A31137" w:rsidRPr="00A31137" w:rsidRDefault="00A31137" w:rsidP="00A31137">
      <w:r w:rsidRPr="00A31137">
        <w:t>Report on the Virginia Resolutions Concerning the Alien and Sedition Acts, in 6 Writings of James Madison 380. "A discretion of this sort," he insisted, "has always been lamented as incongruous and dangerous…. " Id. at 381. 59</w:t>
      </w:r>
    </w:p>
    <w:p w:rsidR="00A31137" w:rsidRPr="00A31137" w:rsidRDefault="00A31137" w:rsidP="00A31137">
      <w:r w:rsidRPr="00A31137">
        <w:t>2</w:t>
      </w:r>
    </w:p>
    <w:p w:rsidR="00A31137" w:rsidRPr="00A31137" w:rsidRDefault="00A31137" w:rsidP="00A31137">
      <w:r w:rsidRPr="00A31137">
        <w:t>1996, Seminole Tribe of Florida v. Florida, No. 94-12</w:t>
      </w:r>
    </w:p>
    <w:p w:rsidR="00A31137" w:rsidRPr="00A31137" w:rsidRDefault="00A31137" w:rsidP="00A31137">
      <w:r w:rsidRPr="00A31137">
        <w:t>History confirms the wisdom of Madison's abhorrence of constitutionalizing common law rules to place them beyond the reach of congressional amendment. The Framers feared judicial power over substantive policy and the ossification of law that would result from transforming common law into constitutional law, and their fears have been borne out every time the Court has ignored Madison's counsel on subjects that we generally group under economic and social policy. It is, in fact, remarkable that, as we near the end of this century, the Court should choose to open a new constitutional chapter in confining legislative judgments on these matters by resort to textually unwarranted common law rules, for it was just this practice in the century's early decades that brought this Court to the nadir of competence that we identify with Lochner v. New York, 198 U.S. 45 (1905). 60</w:t>
      </w:r>
    </w:p>
    <w:p w:rsidR="00A31137" w:rsidRPr="00A31137" w:rsidRDefault="00A31137" w:rsidP="00A31137">
      <w:r w:rsidRPr="00A31137">
        <w:t>1996, Seminole Tribe of Florida v. Florida, No. 94-12</w:t>
      </w:r>
    </w:p>
    <w:p w:rsidR="00A31137" w:rsidRPr="00A31137" w:rsidRDefault="00A31137" w:rsidP="00A31137">
      <w:r w:rsidRPr="00A31137">
        <w:t>It was the defining characteristic of the Lochner era, and its characteristic vice, that the Court treated the common law background (in those days, common law property rights and contractual autonomy) as paramount, while regarding congressional legislation to abrogate the common law on these economic matters as constitutionally suspect. See, e.g., Adkins v. Childrens Hospital of D.C., 261 U.S. 525,  557 (1923) (finding abrogation of common law freedom to contract for any wage an unconstitutional "compulsory exaction"); see generally Sunstein, Lochner's Legacy, 87 Colum. L.Rev. 873 (1987). And yet the superseding lesson that seemed clear after West Coast Hotel Co. v. Parrish, 300 U.S. 379 (1937), that action within the legislative power is not subject to greater scrutiny merely because it trenches upon the case law's ordering of economic and social relationships, seems to have been lost on the Court.</w:t>
      </w:r>
    </w:p>
    <w:p w:rsidR="00A31137" w:rsidRPr="00A31137" w:rsidRDefault="00A31137" w:rsidP="00A31137">
      <w:r w:rsidRPr="00A31137">
        <w:t>1996, Seminole Tribe of Florida v. Florida, No. 94-12</w:t>
      </w:r>
    </w:p>
    <w:p w:rsidR="00A31137" w:rsidRPr="00A31137" w:rsidRDefault="00A31137" w:rsidP="00A31137">
      <w:r w:rsidRPr="00A31137">
        <w:t>The majority today, indeed, seems to be going Lochner one better. When the Court has previously constrained the express Article I powers by resort to common law or background principles, it has done so at least in an ostensible effort to give content to some other written provision of the Constitution, like the Due Process Clause, the very object of which is to limit the exercise of governmental power. See, e.g., Adair v. United States, 208 U.S. 161 (1908). Some textual argument at least, could be made that the Court was doing no more than defining one provision that happened to be at odds with another. Today, however, the Court is not struggling to fulfill a responsibility to reconcile two arguably conflicting and Delphic constitutional provisions, nor is it struggling with any Delphic text at all. For even the Court concedes that the Constitution's grant to Congress of plenary power over relations with Indian tribes at the expense of any state claim to the contrary is unmistakably clear, and this case does not even arguably implicate a textual trump to the grant of federal question jurisdiction.</w:t>
      </w:r>
    </w:p>
    <w:p w:rsidR="00A31137" w:rsidRPr="00A31137" w:rsidRDefault="00A31137" w:rsidP="00A31137">
      <w:r w:rsidRPr="00A31137">
        <w:t>1996, Seminole Tribe of Florida v. Florida, No. 94-12</w:t>
      </w:r>
    </w:p>
    <w:p w:rsidR="00A31137" w:rsidRPr="00A31137" w:rsidRDefault="00A31137" w:rsidP="00A31137">
      <w:r w:rsidRPr="00A31137">
        <w:t>I know of only one other occasion on which the Court has spoken of extending its reach so far as to declare that the plain text of the Constitution is subordinate to judicially discoverable principles untethered to any written provision. Justice Chase once took such a position almost 200 years ago:</w:t>
      </w:r>
    </w:p>
    <w:p w:rsidR="00A31137" w:rsidRPr="00A31137" w:rsidRDefault="00A31137" w:rsidP="00A31137">
      <w:r w:rsidRPr="00A31137">
        <w:t>1996, Seminole Tribe of Florida v. Florida, No. 94-12</w:t>
      </w:r>
    </w:p>
    <w:p w:rsidR="00A31137" w:rsidRPr="00A31137" w:rsidRDefault="00A31137" w:rsidP="00A31137">
      <w:r w:rsidRPr="00A31137">
        <w:t>There are certain vital principles in our free Republican governments which will determine and overrule an apparent and flagrant abuse of legislative power…. An act of the Legislature (for I cannot call it a law) contrary to the great first principles of the social compact, cannot be considered a rightful exercise of legislative authority.</w:t>
      </w:r>
    </w:p>
    <w:p w:rsidR="00A31137" w:rsidRPr="00A31137" w:rsidRDefault="00A31137" w:rsidP="00A31137">
      <w:r w:rsidRPr="00A31137">
        <w:t>1996, Seminole Tribe of Florida v. Florida, No. 94-12</w:t>
      </w:r>
    </w:p>
    <w:p w:rsidR="00A31137" w:rsidRPr="00A31137" w:rsidRDefault="00A31137" w:rsidP="00A31137">
      <w:r w:rsidRPr="00A31137">
        <w:t>Calder v. Bull, 3 Dall. 386, 388 (1798) (emphasis deleted).</w:t>
      </w:r>
    </w:p>
    <w:p w:rsidR="00A31137" w:rsidRPr="00A31137" w:rsidRDefault="00A31137" w:rsidP="00A31137">
      <w:r w:rsidRPr="00A31137">
        <w:t>1996, Seminole Tribe of Florida v. Florida, No. 94-12</w:t>
      </w:r>
    </w:p>
    <w:p w:rsidR="00A31137" w:rsidRPr="00A31137" w:rsidRDefault="00A31137" w:rsidP="00A31137">
      <w:r w:rsidRPr="00A31137">
        <w:t>This position was no less in conflict with American constitutionalism in 1798 than it is today, being inconsistent with the Framers' view of the Constitution as fundamental law.   Justice Iredell understood this, and dissented (again) in an opinion that still answers the position that "vital" or "background" principles, without more, may be used to confine a clear constitutional provision:</w:t>
      </w:r>
    </w:p>
    <w:p w:rsidR="00A31137" w:rsidRPr="00A31137" w:rsidRDefault="00A31137" w:rsidP="00A31137">
      <w:r w:rsidRPr="00A31137">
        <w:t>1996, Seminole Tribe of Florida v. Florida, No. 94-12</w:t>
      </w:r>
    </w:p>
    <w:p w:rsidR="00A31137" w:rsidRPr="00A31137" w:rsidRDefault="00A31137" w:rsidP="00A31137">
      <w:r w:rsidRPr="00A31137">
        <w:t>[S]ome speculative jurists have held that a legislative act against natural justice must, in itself, be void; but I cannot think that, under such a government, any Court of Justice would possess a power to declare it so….</w:t>
      </w:r>
    </w:p>
    <w:p w:rsidR="00A31137" w:rsidRPr="00A31137" w:rsidRDefault="00A31137" w:rsidP="00A31137">
      <w:r w:rsidRPr="00A31137">
        <w:t>1996, Seminole Tribe of Florida v. Florida, No. 94-12</w:t>
      </w:r>
    </w:p>
    <w:p w:rsidR="00A31137" w:rsidRPr="00A31137" w:rsidRDefault="00A31137" w:rsidP="00A31137">
      <w:r w:rsidRPr="00A31137">
        <w:t>…[I]t has been the policy of the American states,…and of the people of the United States…to define with precision the objects of the legislative power, and to restrain its exercise within marked and settled boundaries. If any act of Congress, or of the Legislature of a state violates those constitutional provisions, it is unquestionably void…. If, on the other hand, the Legislature of the Union, or the Legislature of any member of the Union, shall pass a law within the general scope of their constitutional power, the Court cannot pronounce it to be void merely because it is, in their judgment, contrary to the principles of natural justice. The ideas of natural justice are regulated by no fixed standard: the ablest and the purest men have differed upon the subject, and all that the Court could properly say in such an event would be that the Legislature (possessed of an equal right of opinion) had passed an act which, in the opinion of the judges, was inconsistent with the abstract principles of natural justice.</w:t>
      </w:r>
    </w:p>
    <w:p w:rsidR="00A31137" w:rsidRPr="00A31137" w:rsidRDefault="00A31137" w:rsidP="00A31137">
      <w:r w:rsidRPr="00A31137">
        <w:t>1996, Seminole Tribe of Florida v. Florida, No. 94-12</w:t>
      </w:r>
    </w:p>
    <w:p w:rsidR="00A31137" w:rsidRPr="00A31137" w:rsidRDefault="00A31137" w:rsidP="00A31137">
      <w:r w:rsidRPr="00A31137">
        <w:t>Id. at 398-399 (emphasis deleted) (opinion dissenting in part). Later jurisprudence vindicated Justice Iredell's view, and the idea that "first principles" or concepts of "natural justice" might take precedence over the Constitution or other positive law "all but disappeared in American discourse." J. Ely, Democracy and Distrust 52 (1980). It should take more than references to "background principle[s]," ante at ___, and "implicit limitation[s]," Welch, 483 U.S. at 496 (SCALIA, J., concurring in part and concurring in judgment), to revive the judicial power to overcome clear text unopposed to any other provision, when that clear text is in harmony with an almost equally clear intent on the part of the Framers and the constitutionalists of their generation.</w:t>
      </w:r>
    </w:p>
    <w:p w:rsidR="00A31137" w:rsidRPr="00A31137" w:rsidRDefault="00A31137" w:rsidP="00A31137">
      <w:r w:rsidRPr="00A31137">
        <w:t>IV</w:t>
      </w:r>
    </w:p>
    <w:p w:rsidR="00A31137" w:rsidRPr="00A31137" w:rsidRDefault="00A31137" w:rsidP="00A31137">
      <w:r w:rsidRPr="00A31137">
        <w:t>1996, Seminole Tribe of Florida v. Florida, No. 94-12</w:t>
      </w:r>
    </w:p>
    <w:p w:rsidR="00A31137" w:rsidRPr="00A31137" w:rsidRDefault="00A31137" w:rsidP="00A31137">
      <w:r w:rsidRPr="00A31137">
        <w:t>The Court's holding that the States' Hans immunity may not be abrogated by Congress leads to the final question in this case, whether federal question jurisdiction exists to order prospective relief enforcing IGRA against a state officer, respondent Chiles, who is said to be authorized to take the action required by the federal law. Just as with the issue about authority to order the State as such, this question is entirely jurisdictional, and we need not consider here whether petitioner Seminole Tribe would have a meritorious argument for relief, or how much practical relief the requested order (to bargain in good faith) would actually provide to the Tribe. Nor, of course, does the issue turn in any way on one's views about the scope of the Eleventh Amendment or Hans and its doctrine, for we ask whether the state officer is subject to jurisdiction only on the assumption that action directly against the State is barred. The answer to this question is an easy yes, the officer is subject to suit under the rule in Ex parte Young, 209 U.S. 123 (1908), and the case could, and should, readily be decided on this point alone.</w:t>
      </w:r>
    </w:p>
    <w:p w:rsidR="00A31137" w:rsidRPr="00A31137" w:rsidRDefault="00A31137" w:rsidP="00A31137">
      <w:r w:rsidRPr="00A31137">
        <w:t>A</w:t>
      </w:r>
    </w:p>
    <w:p w:rsidR="00A31137" w:rsidRPr="00A31137" w:rsidRDefault="00A31137" w:rsidP="00A31137">
      <w:r w:rsidRPr="00A31137">
        <w:t>1996, Seminole Tribe of Florida v. Florida, No. 94-12</w:t>
      </w:r>
    </w:p>
    <w:p w:rsidR="00A31137" w:rsidRPr="00A31137" w:rsidRDefault="00A31137" w:rsidP="00A31137">
      <w:r w:rsidRPr="00A31137">
        <w:t>In Ex parte Young, this Court held that a federal court has jurisdiction in a suit against a state officer to enjoin official actions violating federal law, even though the State itself may be immune. Under Young,</w:t>
      </w:r>
    </w:p>
    <w:p w:rsidR="00A31137" w:rsidRPr="00A31137" w:rsidRDefault="00A31137" w:rsidP="00A31137">
      <w:r w:rsidRPr="00A31137">
        <w:t>1996, Seminole Tribe of Florida v. Florida, No. 94-12</w:t>
      </w:r>
    </w:p>
    <w:p w:rsidR="00A31137" w:rsidRPr="00A31137" w:rsidRDefault="00A31137" w:rsidP="00A31137">
      <w:r w:rsidRPr="00A31137">
        <w:t>a federal court, consistent with the Eleventh Amendment, may enjoin state officials to conform their future conduct to the requirements of federal law.</w:t>
      </w:r>
    </w:p>
    <w:p w:rsidR="00A31137" w:rsidRPr="00A31137" w:rsidRDefault="00A31137" w:rsidP="00A31137">
      <w:r w:rsidRPr="00A31137">
        <w:t>1996, Seminole Tribe of Florida v. Florida, No. 94-12</w:t>
      </w:r>
    </w:p>
    <w:p w:rsidR="00A31137" w:rsidRPr="00A31137" w:rsidRDefault="00A31137" w:rsidP="00A31137">
      <w:r w:rsidRPr="00A31137">
        <w:t>Quern v. Jordan, 440 U.S. 332, 337 (1979); see also Milliken v. Bradley, 433 U.S. 267,  289 (1977).</w:t>
      </w:r>
    </w:p>
    <w:p w:rsidR="00A31137" w:rsidRPr="00A31137" w:rsidRDefault="00A31137" w:rsidP="00A31137">
      <w:r w:rsidRPr="00A31137">
        <w:t>1996, Seminole Tribe of Florida v. Florida, No. 94-12</w:t>
      </w:r>
    </w:p>
    <w:p w:rsidR="00A31137" w:rsidRPr="00A31137" w:rsidRDefault="00A31137" w:rsidP="00A31137">
      <w:r w:rsidRPr="00A31137">
        <w:t>The fact, without more, that such suits may have a significant impact on state governments does not count under Young. Milliken, for example, was a suit, under the authority of Young, brought against Michigan's Governor, Attorney General, Board of Education, Superintendent of Public Instruction, and Treasurer, which resulted in an order obligating the State of Michigan to pay money from its treasury to fund an education plan. The relief requested (and obtained) by the plaintiffs effectively ran against the State: state moneys were to be removed from the state treasury, and they were to be spent to fund a remedial education program that it would be the State's obligation to implement. To take another example, Quern v. Jordan involved a court order requiring state officials to notify welfare beneficiaries of the availability of past benefits. Once again, the defendants were state officials, but it was the obligation of the State that was really at issue: the notices would be sent from the state welfare agency, to be returned to the state agency, and the state agency would pay for the notices and any ensuing awards of benefits. Indeed, in the years since Young was decided, the Court has recognized only one limitation on the scope of its doctrine: under Edelman v. Jordan, 415 U.S. 651 (1974), Young permits prospective relief only, and may not be applied to authorize suits for retrospective monetary relief.</w:t>
      </w:r>
    </w:p>
    <w:p w:rsidR="00A31137" w:rsidRPr="00A31137" w:rsidRDefault="00A31137" w:rsidP="00A31137">
      <w:r w:rsidRPr="00A31137">
        <w:t>1996, Seminole Tribe of Florida v. Florida, No. 94-12</w:t>
      </w:r>
    </w:p>
    <w:p w:rsidR="00A31137" w:rsidRPr="00A31137" w:rsidRDefault="00A31137" w:rsidP="00A31137">
      <w:r w:rsidRPr="00A31137">
        <w:t>It should be no cause for surprise that Young itself appeared when it did in the national law. It followed as a matter of course after the Hans Court's broad recognition of immunity in federal question cases, simply because</w:t>
      </w:r>
    </w:p>
    <w:p w:rsidR="00A31137" w:rsidRPr="00A31137" w:rsidRDefault="00A31137" w:rsidP="00A31137">
      <w:r w:rsidRPr="00A31137">
        <w:t>1996, Seminole Tribe of Florida v. Florida, No. 94-12</w:t>
      </w:r>
    </w:p>
    <w:p w:rsidR="00A31137" w:rsidRPr="00A31137" w:rsidRDefault="00A31137" w:rsidP="00A31137">
      <w:r w:rsidRPr="00A31137">
        <w:t>[r]emedies designed to end a continuing violation of federal law are necessary to vindicate the federal interest in assuring the supremacy of that law.</w:t>
      </w:r>
    </w:p>
    <w:p w:rsidR="00A31137" w:rsidRPr="00A31137" w:rsidRDefault="00A31137" w:rsidP="00A31137">
      <w:r w:rsidRPr="00A31137">
        <w:t>1996, Seminole Tribe of Florida v. Florida, No. 94-12</w:t>
      </w:r>
    </w:p>
    <w:p w:rsidR="00A31137" w:rsidRPr="00A31137" w:rsidRDefault="00A31137" w:rsidP="00A31137">
      <w:r w:rsidRPr="00A31137">
        <w:t>Green v. Mansour, 474 U.S. 64, 68 (1985). Young provided, as it does today, a sensible way to reconcile the Court's expansive view of immunity expressed in Hans with the principles embodied in the Supremacy Clause and Article III.</w:t>
      </w:r>
    </w:p>
    <w:p w:rsidR="00A31137" w:rsidRPr="00A31137" w:rsidRDefault="00A31137" w:rsidP="00A31137">
      <w:r w:rsidRPr="00A31137">
        <w:t>1996, Seminole Tribe of Florida v. Florida, No. 94-12</w:t>
      </w:r>
    </w:p>
    <w:p w:rsidR="00A31137" w:rsidRPr="00A31137" w:rsidRDefault="00A31137" w:rsidP="00A31137">
      <w:r w:rsidRPr="00A31137">
        <w:t>If Young may be seen as merely the natural consequence of Hans, it is equally unsurprising as an event in the longer history of sovereign immunity doctrine, for the rule we speak of under the name of Young is so far inherent in the jurisdictional limitation imposed by sovereign immunity as to have been recognized since the Middle Ages. For that long, it has been settled doctrine that suit against an officer of the Crown permitted relief against the government despite the Crown's immunity from suit in its own courts and the maxim that the king could do no wrong. See Jaffe, 77 Harv.L.Rev. at 3, 18-19; Ehrlich, No. XII: Proceedings Against the Crown (1216-1377) pp. 28-29, in 6 Oxford Studies in Social and Legal History (P. Vinogradoff ed. 1921). An early example, from "time immemorial" of a claim "affecting the Crown [that] could be pursued in the regular courts [without consent since it] did not take the form of a suit against the Crown," Jaffe, supra at 1, was recognized by the Statute of Westminster I, 1275, which established a writ of disseisin against a King's officers. When a King's officer disseised any person in the King's name, the wrongfully deprived party could seek the draconian writ of attaint against the officer, by which he would recover his land. 77 Harv.L.Rev. at 9. Following this example forward, we may see how the writ of attaint was ultimately overtaken by the more moderate common law writs of certiorari and mandamus, "operat[ing] directly on the government; [and commanding] an officer not as an individual but as a functionary." Id. at 16. Thus, the Court of King's Bench made it clear in 1701 that</w:t>
      </w:r>
    </w:p>
    <w:p w:rsidR="00A31137" w:rsidRPr="00A31137" w:rsidRDefault="00A31137" w:rsidP="00A31137">
      <w:r w:rsidRPr="00A31137">
        <w:t>1996, Seminole Tribe of Florida v. Florida, No. 94-12</w:t>
      </w:r>
    </w:p>
    <w:p w:rsidR="00A31137" w:rsidRPr="00A31137" w:rsidRDefault="00A31137" w:rsidP="00A31137">
      <w:r w:rsidRPr="00A31137">
        <w:t>wherever any new jurisdiction is erected, be it by private or public act of parliament, they are subject to the inspections of this Court by writ of error, or by certiorari and mandamus.</w:t>
      </w:r>
    </w:p>
    <w:p w:rsidR="00A31137" w:rsidRPr="00A31137" w:rsidRDefault="00A31137" w:rsidP="00A31137">
      <w:r w:rsidRPr="00A31137">
        <w:t>1996, Seminole Tribe of Florida v. Florida, No. 94-12</w:t>
      </w:r>
    </w:p>
    <w:p w:rsidR="00A31137" w:rsidRPr="00A31137" w:rsidRDefault="00A31137" w:rsidP="00A31137">
      <w:r w:rsidRPr="00A31137">
        <w:t>The Case of Cardiffe Bridge, 1 Salk. 146, 91 Eng.Rep. 135 (K.B.).</w:t>
      </w:r>
    </w:p>
    <w:p w:rsidR="00A31137" w:rsidRPr="00A31137" w:rsidRDefault="00A31137" w:rsidP="00A31137">
      <w:r w:rsidRPr="00A31137">
        <w:t>B</w:t>
      </w:r>
    </w:p>
    <w:p w:rsidR="00A31137" w:rsidRPr="00A31137" w:rsidRDefault="00A31137" w:rsidP="00A31137">
      <w:r w:rsidRPr="00A31137">
        <w:t>1996, Seminole Tribe of Florida v. Florida, No. 94-12</w:t>
      </w:r>
    </w:p>
    <w:p w:rsidR="00A31137" w:rsidRPr="00A31137" w:rsidRDefault="00A31137" w:rsidP="00A31137">
      <w:r w:rsidRPr="00A31137">
        <w:t>This history teaches that it was only a matter of course that, once the National Constitution had provided the opportunity for some recognition of state sovereign immunity, the necessity revealed through six centuries or more of history would show up in suits against state officers, just as Hans would later open the door to Ex parte Young itself. Once, then, the Eleventh Amendment was understood to forbid suit against a State eo nomine, the question arose "which suits against officers will be allowed and which will not be." Jaffe, 77 Harv.L.Rev. at 20.</w:t>
      </w:r>
    </w:p>
    <w:p w:rsidR="00A31137" w:rsidRPr="00A31137" w:rsidRDefault="00A31137" w:rsidP="00A31137">
      <w:r w:rsidRPr="00A31137">
        <w:t>1996, Seminole Tribe of Florida v. Florida, No. 94-12</w:t>
      </w:r>
    </w:p>
    <w:p w:rsidR="00A31137" w:rsidRPr="00A31137" w:rsidRDefault="00A31137" w:rsidP="00A31137">
      <w:r w:rsidRPr="00A31137">
        <w:t>It early became clear that a suit against an officer was not forbidden simply because it raised a question as to the legality of his action as an agent of the government or because it required him, as in mandamus, to perform an official duty. These as we know had been well established before the eleventh amendment as not necessarily requiring consent. To be sure, the renewed emphasis on immunity given by the eleventh amendment might conceivably have been taken so to extend the doctrine as to exclude suits against state officers even in cases where the English tradition would have allowed them. There was a running battle as to where the line would be drawn. The amendment was appealed to as an argument for generous immunity. But there was the vastly powerful counterpressure for the enforcement of constitutional limits on the states. The upshot…was to confine the amendment's prohibition more or less to the occasion which gave it birth, to-wit, the enforcement of contracts and to most (though not all) suits involving the title and disposition of a state's real and personal property.</w:t>
      </w:r>
    </w:p>
    <w:p w:rsidR="00A31137" w:rsidRPr="00A31137" w:rsidRDefault="00A31137" w:rsidP="00A31137">
      <w:r w:rsidRPr="00A31137">
        <w:t>1996, Seminole Tribe of Florida v. Florida, No. 94-12</w:t>
      </w:r>
    </w:p>
    <w:p w:rsidR="00A31137" w:rsidRPr="00A31137" w:rsidRDefault="00A31137" w:rsidP="00A31137">
      <w:r w:rsidRPr="00A31137">
        <w:t>Id. at 20-21. The earliest cases, United States v. Peters, 5 Cranch. 115 (1809), and Osborn v. Bank of United States, 9 Wheat. 738 (1824), embrace the English practice of permitting suits against officers, see Orth, Judicial Power of the United States at 34-35, 40-41, 122, by focusing almost exclusively on whether the State had been named as a defendant. Governor of Georgia v. Madrazo, 1 Pet. 110, 123-124 (1828), shifted this analysis somewhat, finding that a governor could not be sued because he was sued "not by his name, but by his title," which was thought the functional equivalent of suing the State itself. Madrazo did not, however, erase the fundamental principle of Osborn that sovereign immunity would not bar a suit against a state officer. See, e.g., Davis v. Gray, 16 Wall. 203 (1873) (applying Osborn by enjoining the Governor of Texas to interfere with the possession of land granted by the State); United States v. Lee, 106 U.S. 196 (1882) (applying Osborn in context of federal sovereign immunity).</w:t>
      </w:r>
    </w:p>
    <w:p w:rsidR="00A31137" w:rsidRPr="00A31137" w:rsidRDefault="00A31137" w:rsidP="00A31137">
      <w:r w:rsidRPr="00A31137">
        <w:t>1996, Seminole Tribe of Florida v. Florida, No. 94-12</w:t>
      </w:r>
    </w:p>
    <w:p w:rsidR="00A31137" w:rsidRPr="00A31137" w:rsidRDefault="00A31137" w:rsidP="00A31137">
      <w:r w:rsidRPr="00A31137">
        <w:t>This simple rule for recognizing sovereign immunity without gutting substantial rights was temporarily muddled in Louisiana v. Jumel, 107 U.S. 711 (1883), where the Court, although it "did not clearly say why," refused to hear a suit that would have required a state treasurer to levy taxes to pay interest on a bond. Currie, Sovereign Immunity and Suits Against Government Officers, 1984 S.Ct. Rev. 149, 152. (One recalls the circumstances of Hans itself, see supra at 20-26.) The Court, however, again applied Osborn in the Virginia Coupon Cases, 114 U.S. 269 (1885) (permitting injunctions, restitution, and damages against state officers who seized property to collect taxes already paid with interest coupons the State had agreed to accept). In re Ayers, 123 U.S. 443, 502 (1887), sought to rationalize the competing strands of doctrine on the ground that an action may be</w:t>
      </w:r>
    </w:p>
    <w:p w:rsidR="00A31137" w:rsidRPr="00A31137" w:rsidRDefault="00A31137" w:rsidP="00A31137">
      <w:r w:rsidRPr="00A31137">
        <w:t>1996, Seminole Tribe of Florida v. Florida, No. 94-12</w:t>
      </w:r>
    </w:p>
    <w:p w:rsidR="00A31137" w:rsidRPr="00A31137" w:rsidRDefault="00A31137" w:rsidP="00A31137">
      <w:r w:rsidRPr="00A31137">
        <w:t>sustained only in those instances where the act complained of, considered apart from the official authority alleged as its justification, and as the personal act of the individual defendant, constituted a violation of right for which the plaintiff was entitled to a remedy at law or in equity against the wrongdoer in his individual character.</w:t>
      </w:r>
    </w:p>
    <w:p w:rsidR="00A31137" w:rsidRPr="00A31137" w:rsidRDefault="00A31137" w:rsidP="00A31137">
      <w:r w:rsidRPr="00A31137">
        <w:t>1996, Seminole Tribe of Florida v. Florida, No. 94-12</w:t>
      </w:r>
    </w:p>
    <w:p w:rsidR="00A31137" w:rsidRPr="00A31137" w:rsidRDefault="00A31137" w:rsidP="00A31137">
      <w:r w:rsidRPr="00A31137">
        <w:t>Ex parte Young restored the old simplicity by complementing In re Ayers with the principle that state officers never have authority to violate the Constitution or federal law, so that any illegal action is stripped of state character and rendered an illegal individual act. Suits against these officials are consequently barred by neither the Eleventh Amendment nor Hans immunity. The officer's action</w:t>
      </w:r>
    </w:p>
    <w:p w:rsidR="00A31137" w:rsidRPr="00A31137" w:rsidRDefault="00A31137" w:rsidP="00A31137">
      <w:r w:rsidRPr="00A31137">
        <w:t>1996, Seminole Tribe of Florida v. Florida, No. 94-12</w:t>
      </w:r>
    </w:p>
    <w:p w:rsidR="00A31137" w:rsidRPr="00A31137" w:rsidRDefault="00A31137" w:rsidP="00A31137">
      <w:r w:rsidRPr="00A31137">
        <w:t>is simply an illegal act upon the part of a state official in attempting by the use of the name of the State to enforce a legislative enactment which is void because unconstitutional…. The State has no power to impart to him any immunity from responsibility to the supreme authority of the United States.</w:t>
      </w:r>
    </w:p>
    <w:p w:rsidR="00A31137" w:rsidRPr="00A31137" w:rsidRDefault="00A31137" w:rsidP="00A31137">
      <w:r w:rsidRPr="00A31137">
        <w:t>1996, Seminole Tribe of Florida v. Florida, No. 94-12</w:t>
      </w:r>
    </w:p>
    <w:p w:rsidR="00A31137" w:rsidRPr="00A31137" w:rsidRDefault="00A31137" w:rsidP="00A31137">
      <w:r w:rsidRPr="00A31137">
        <w:t>Ex parte Young, 209 U.S. at 159-160.</w:t>
      </w:r>
    </w:p>
    <w:p w:rsidR="00A31137" w:rsidRPr="00A31137" w:rsidRDefault="00A31137" w:rsidP="00A31137">
      <w:r w:rsidRPr="00A31137">
        <w:t>1996, Seminole Tribe of Florida v. Florida, No. 94-12</w:t>
      </w:r>
    </w:p>
    <w:p w:rsidR="00A31137" w:rsidRPr="00A31137" w:rsidRDefault="00A31137" w:rsidP="00A31137">
      <w:r w:rsidRPr="00A31137">
        <w:t>The decision in Ex parte Young, and the historic doctrine it embodies, thus play a foundational role in American constitutionalism, and while the doctrine is sometimes called a "fiction," the long history of its felt necessity shows it to be something much more estimable, as we may see by considering the facts of the case.</w:t>
      </w:r>
    </w:p>
    <w:p w:rsidR="00A31137" w:rsidRPr="00A31137" w:rsidRDefault="00A31137" w:rsidP="00A31137">
      <w:r w:rsidRPr="00A31137">
        <w:t>1996, Seminole Tribe of Florida v. Florida, No. 94-12</w:t>
      </w:r>
    </w:p>
    <w:p w:rsidR="00A31137" w:rsidRPr="00A31137" w:rsidRDefault="00A31137" w:rsidP="00A31137">
      <w:r w:rsidRPr="00A31137">
        <w:t>Young was really and truly about to damage the interest of plaintiffs. Whether what he was about to do amounted to a legal injury depended on the authority of his employer, the state. If the state could constitutionally authorize the act, then the loss suffered by plaintiffs was not a wrong for which the law provided a remedy…. If the state could not constitutionally authorize the act then, Young was not acting by its authority.</w:t>
      </w:r>
    </w:p>
    <w:p w:rsidR="00A31137" w:rsidRPr="00A31137" w:rsidRDefault="00A31137" w:rsidP="00A31137">
      <w:r w:rsidRPr="00A31137">
        <w:t>1996, Seminole Tribe of Florida v. Florida, No. 94-12</w:t>
      </w:r>
    </w:p>
    <w:p w:rsidR="00A31137" w:rsidRPr="00A31137" w:rsidRDefault="00A31137" w:rsidP="00A31137">
      <w:r w:rsidRPr="00A31137">
        <w:t>Orth, Judicial Power of the United States at 133. The doctrine we call Ex parte Young is nothing short of "indispensable to the establishment of constitutional government and the rule of law." C. Wright, Law of Federal Courts 292 (4th ed. 1983). See also E. Chemerinsky, Federal Jurisdiction 393 (2d ed. 1994).</w:t>
      </w:r>
    </w:p>
    <w:p w:rsidR="00A31137" w:rsidRPr="00A31137" w:rsidRDefault="00A31137" w:rsidP="00A31137">
      <w:r w:rsidRPr="00A31137">
        <w:t>1996, Seminole Tribe of Florida v. Florida, No. 94-12</w:t>
      </w:r>
    </w:p>
    <w:p w:rsidR="00A31137" w:rsidRPr="00A31137" w:rsidRDefault="00A31137" w:rsidP="00A31137">
      <w:r w:rsidRPr="00A31137">
        <w:t>A rule of such lineage, engendered by such necessity, should not be easily displaced, if indeed it is displaceable at all, for it marks the frontier of the enforceability of federal law against sometimes competing state policies. We have, in fact, never before inferred a congressional intent to eliminate this time-honored practice of enforcing federal law. That, of course, does not mean that the intent may never be inferred, and where, as here, the underlying right is one of statutory, rather than constitutional, dimension, I do not in theory reject the Court's assumption that Congress may bar enforcement by suit even against a state official. But because, in practice, in the real world of congressional legislation, such an intent would be exceedingly odd, it would be equally odd for this Court to recognize an intent to block the customary application of Ex parte Young without applying the rule recognized in our previous cases, which have insisted on a clear statement before assuming a congressional purpose to "affec[t] the federal balance," United States v. Bass, 404 U.S. 336, 349 (1971). See also Will v. Michigan Dept. of State Police, 491 U.S. 58, 65 (1989) ("[I]f Congress intends to alter the 'usual constitutional balance between the States and the Federal Government,' it must make its intention to do so 'unmistakably clear in the language of the statute'") (quoting Atascadero State Hospital v. Scanlon, 473 U.S. at 242); Gregory v. Ashcroft, 501 U.S. 452, 460-461 (1991). Our habitual caution makes sense for just the reason we mentioned in Dellmuth v. Muth, 491 U.S. 223, 230-231 (1989): it is</w:t>
      </w:r>
    </w:p>
    <w:p w:rsidR="00A31137" w:rsidRPr="00A31137" w:rsidRDefault="00A31137" w:rsidP="00A31137">
      <w:r w:rsidRPr="00A31137">
        <w:t>1996, Seminole Tribe of Florida v. Florida, No. 94-12</w:t>
      </w:r>
    </w:p>
    <w:p w:rsidR="00A31137" w:rsidRPr="00A31137" w:rsidRDefault="00A31137" w:rsidP="00A31137">
      <w:r w:rsidRPr="00A31137">
        <w:t>difficult to believe that…Congress, taking careful stock of the state of Eleventh Amendment law, decided it would drop coy hints but stop short of making its intention manifest.</w:t>
      </w:r>
    </w:p>
    <w:p w:rsidR="00A31137" w:rsidRPr="00A31137" w:rsidRDefault="00A31137" w:rsidP="00A31137">
      <w:r w:rsidRPr="00A31137">
        <w:t>C</w:t>
      </w:r>
    </w:p>
    <w:p w:rsidR="00A31137" w:rsidRPr="00A31137" w:rsidRDefault="00A31137" w:rsidP="00A31137">
      <w:r w:rsidRPr="00A31137">
        <w:t>1996, Seminole Tribe of Florida v. Florida, No. 94-12</w:t>
      </w:r>
    </w:p>
    <w:p w:rsidR="00A31137" w:rsidRPr="00A31137" w:rsidRDefault="00A31137" w:rsidP="00A31137">
      <w:r w:rsidRPr="00A31137">
        <w:t>There is no question that, by its own terms, Young's indispensable rule authorizes the exercise of federal jurisdiction over respondent Chiles. Since this case does not, of course, involve retrospective relief, Edelman's limit is irrelevant, and there is no other jurisdictional limitation. Obviously, for jurisdictional purposes, it makes no difference in principle whether the injunction orders an official not to act, as in Young, or requires the official to take some positive step, as in Milliken or Quern. Nothing, then, in this case renders Young unsuitable as a jurisdictional basis for determining on the merits whether the petitioners are entitled to an order against a state official under general equitable doctrine. The Court does not say otherwise, and yet it refuses to apply Young. There is no adequate reason for its refusal.</w:t>
      </w:r>
    </w:p>
    <w:p w:rsidR="00A31137" w:rsidRPr="00A31137" w:rsidRDefault="00A31137" w:rsidP="00A31137">
      <w:r w:rsidRPr="00A31137">
        <w:t>1996, Seminole Tribe of Florida v. Florida, No. 94-12</w:t>
      </w:r>
    </w:p>
    <w:p w:rsidR="00A31137" w:rsidRPr="00A31137" w:rsidRDefault="00A31137" w:rsidP="00A31137">
      <w:r w:rsidRPr="00A31137">
        <w:t>No clear statement of intent to displace the doctrine of Ex parte Young occurs in IGRA, and the Court is instead constrained to rest its effort to skirt Young on a series of suggestions thought to be apparent in Congress's provision of "intricate procedures" for enforcing a State's obligation under the Act. The procedures are said to implicate a rule against judicial creativity in devising supplementary procedures; it is said that applying Young would nullify the statutory procedures; and finally, the statutory provisions are said simply to reveal a congressional intent to preclude the application of Young.</w:t>
      </w:r>
    </w:p>
    <w:p w:rsidR="00A31137" w:rsidRPr="00A31137" w:rsidRDefault="00A31137" w:rsidP="00A31137">
      <w:r w:rsidRPr="00A31137">
        <w:t>1</w:t>
      </w:r>
    </w:p>
    <w:p w:rsidR="00A31137" w:rsidRPr="00A31137" w:rsidRDefault="00A31137" w:rsidP="00A31137">
      <w:r w:rsidRPr="00A31137">
        <w:t>1996, Seminole Tribe of Florida v. Florida, No. 94-12</w:t>
      </w:r>
    </w:p>
    <w:p w:rsidR="00A31137" w:rsidRPr="00A31137" w:rsidRDefault="00A31137" w:rsidP="00A31137">
      <w:r w:rsidRPr="00A31137">
        <w:t>The Court cites Schweiker v. Chilicky, 487 U.S. 412, 423 (1988), in support of refraining from what it seems to think would be judicial creativity in recognizing the applicability of Young. The Court quotes from Chilicky for the general proposition that when Congress has provided what it considers adequate remedial mechanisms for violations of federal law, this Court should not "creat[e]" additional remedies. Ante at ___. The Court reasons that Congress's provision in IGRA of "intricate procedures" shows that it considers its remedial provisions to be adequate, with the implication that courts as a matter of prudence should provide no "additional" remedy under Ex parte Young. Ante at ___.</w:t>
      </w:r>
    </w:p>
    <w:p w:rsidR="00A31137" w:rsidRPr="00A31137" w:rsidRDefault="00A31137" w:rsidP="00A31137">
      <w:r w:rsidRPr="00A31137">
        <w:t>1996, Seminole Tribe of Florida v. Florida, No. 94-12</w:t>
      </w:r>
    </w:p>
    <w:p w:rsidR="00A31137" w:rsidRPr="00A31137" w:rsidRDefault="00A31137" w:rsidP="00A31137">
      <w:r w:rsidRPr="00A31137">
        <w:t>Chilicky's remoteness from the point of this case is, however, apparent from its facts. In Chilicky, Congress had addressed the problem of erroneous denials of certain government benefits by creating a scheme of appeals and awards that would make a successful claimant whole for all benefits wrongly denied. The question was whether this Court should create a further remedy on the model of Bivens v. Six Unknown Fed. Narcotics Agents, 403 U.S. 388 (1971), for such harms as emotional distress, when the erroneous denial of benefits had involved a violation of procedural due process. The issue, then, was whether to create a supplemental remedy, backward-looking on the Bivens model, running against a federal official in his personal capacity, and requiring an affirmative justification (as Bivens does). See Bivens, supra; FDIC v. Meyer, 510 U.S. ___, ___ (1994).</w:t>
      </w:r>
    </w:p>
    <w:p w:rsidR="00A31137" w:rsidRPr="00A31137" w:rsidRDefault="00A31137" w:rsidP="00A31137">
      <w:r w:rsidRPr="00A31137">
        <w:t>1996, Seminole Tribe of Florida v. Florida, No. 94-12</w:t>
      </w:r>
    </w:p>
    <w:p w:rsidR="00A31137" w:rsidRPr="00A31137" w:rsidRDefault="00A31137" w:rsidP="00A31137">
      <w:r w:rsidRPr="00A31137">
        <w:t>The Bivens issue in Chilicky (and in Meyer) is different from the Young issue here in every significant respect. Young is not an example of a novel rule that a proponent has a burden to justify affirmatively on policy grounds in every context in which it might arguably be recognized; it is a general principle of federal equity jurisdiction that has been recognized throughout our history and for centuries before our own history began. Young does not provide retrospective monetary relief, but allows prospective enforcement of federal law that is entitled to prevail under the Supremacy Clause. It requires not money payments from a government employee's personal pocket, but lawful conduct by a public employee acting in his official capacity. Young would not function here to provide a merely supplementary regime of compensation to deter illegal action, but the sole jurisdictional basis for an Article III court's enforcement of a clear federal statutory obligation, without which a congressional act would be rendered a nullity in a federal court. One cannot intelligibly generalize from Chilicky's standards for imposing the burden to justify a supplementary scheme of tort law, to the displacement of Young's traditional and indispensable jurisdictional basis for ensuring official compliance with federal law when a State itself is immune from suit.</w:t>
      </w:r>
    </w:p>
    <w:p w:rsidR="00A31137" w:rsidRPr="00A31137" w:rsidRDefault="00A31137" w:rsidP="00A31137">
      <w:r w:rsidRPr="00A31137">
        <w:t>2</w:t>
      </w:r>
    </w:p>
    <w:p w:rsidR="00A31137" w:rsidRPr="00A31137" w:rsidRDefault="00A31137" w:rsidP="00A31137">
      <w:r w:rsidRPr="00A31137">
        <w:t>1996, Seminole Tribe of Florida v. Florida, No. 94-12</w:t>
      </w:r>
    </w:p>
    <w:p w:rsidR="00A31137" w:rsidRPr="00A31137" w:rsidRDefault="00A31137" w:rsidP="00A31137">
      <w:r w:rsidRPr="00A31137">
        <w:t>Next, the Court suggests that it may be justified in displacing Young because Young would allow litigants to ignore the "intricate procedures" of IGRA in favor of a menu of streamlined equity rules from which any litigant could order as he saw fit. But there is no basis in law for this suggestion, and the strongest authority to reject it. Young did not establish a new cause of action, and it does not impose any particular procedural regime in the suits it permits. It stands, instead, for a jurisdictional rule by which paramount federal law may be enforced in a federal court by substituting a non-immune party (the state officer) for an immune one (the State itself). Young does no more, and furnishes no authority for the Court's assumption that it somehow preempts procedural rules devised by Congress for particular kinds of cases that may depend on Young for federal jurisdiction. 61</w:t>
      </w:r>
    </w:p>
    <w:p w:rsidR="00A31137" w:rsidRPr="00A31137" w:rsidRDefault="00A31137" w:rsidP="00A31137">
      <w:r w:rsidRPr="00A31137">
        <w:t>1996, Seminole Tribe of Florida v. Florida, No. 94-12</w:t>
      </w:r>
    </w:p>
    <w:p w:rsidR="00A31137" w:rsidRPr="00A31137" w:rsidRDefault="00A31137" w:rsidP="00A31137">
      <w:r w:rsidRPr="00A31137">
        <w:t>If, indeed, the Court were correct in assuming that Congress may not regulate the procedure of a suit jurisdictionally dependent on Young, the consequences would be revolutionary, for example, in habeas law. It is well established that, when a habeas corpus petitioner sues a state official alleging detention in violation of federal law and seeking the prospective remedy of release from custody, it is the doctrine identified in Ex parte Young that allows the petitioner to evade the jurisdictional bar of the Eleventh Amendment (or, more properly, the Hans doctrine). See Young, 209 U.S. at 167-168; Larson v. Domestic and Foreign Commerce Corp., 337 U.S. 682, 689-690 (1949). 62 And yet Congress has imposed a number of restrictions upon the habeas remedy, see, e.g., 28 U.S.C. § 2254(b) (requiring exhaustion of state remedies prior to bringing a federal habeas petition), and this Court has articulated several more, see, e.g., McCleskey v. Zant, 499 U.S. 467 (1991) (abuse of the writ); Teague v. Lane, 489 U.S. 288 (1989) (limiting applicability of "new rules" on habeas); Brecht v. Abrahamson, 507 U.S. 619 (1993) (applying a more deferential harmless error standard on habeas review). By suggesting that Ex parte Young provides a free-standing remedy not subject to the restrictions otherwise imposed on federal remedial schemes (such as habeas corpus), the Court suggests that a state prisoner may circumvent these restrictions by ostensibly bringing his suit under Young, rather than 28 U.S.C. § 2254. The Court's view implies similar consequences under any number of similarly structured federal statutory schemes. 63</w:t>
      </w:r>
    </w:p>
    <w:p w:rsidR="00A31137" w:rsidRPr="00A31137" w:rsidRDefault="00A31137" w:rsidP="00A31137">
      <w:r w:rsidRPr="00A31137">
        <w:t>1996, Seminole Tribe of Florida v. Florida, No. 94-12</w:t>
      </w:r>
    </w:p>
    <w:p w:rsidR="00A31137" w:rsidRPr="00A31137" w:rsidRDefault="00A31137" w:rsidP="00A31137">
      <w:r w:rsidRPr="00A31137">
        <w:t>This, of course, cannot be the law, and the plausible rationale for rejecting the Court's contrary assumption is that Congress has just as much authority to regulate suits when jurisdiction depends on Young as it has to regulate when Young is out of the jurisdictional picture. If Young does not preclude Congress from requiring state exhaustion in habeas cases (and it clearly does not), then Young does not bar the application of IGRA's procedures when effective relief is sought by suing a state officer.</w:t>
      </w:r>
    </w:p>
    <w:p w:rsidR="00A31137" w:rsidRPr="00A31137" w:rsidRDefault="00A31137" w:rsidP="00A31137">
      <w:r w:rsidRPr="00A31137">
        <w:t>3</w:t>
      </w:r>
    </w:p>
    <w:p w:rsidR="00A31137" w:rsidRPr="00A31137" w:rsidRDefault="00A31137" w:rsidP="00A31137">
      <w:r w:rsidRPr="00A31137">
        <w:t>1996, Seminole Tribe of Florida v. Florida, No. 94-12</w:t>
      </w:r>
    </w:p>
    <w:p w:rsidR="00A31137" w:rsidRPr="00A31137" w:rsidRDefault="00A31137" w:rsidP="00A31137">
      <w:r w:rsidRPr="00A31137">
        <w:t>The Court's third strand of reasoning for displacing Ex parte Young is a supposed inference that Congress so intended. Since the Court rests this inference in large part on its erroneous assumption that the statute's procedural limitations would not be applied in a suit against an officer for which Young provided the jurisdictional basis, the error of that assumption is enough to show the unsoundness of any inference that Congress meant to exclude Young's application. But there are further reasons pointing to the utter implausibility of the Court's reading of the congressional mind.</w:t>
      </w:r>
    </w:p>
    <w:p w:rsidR="00A31137" w:rsidRPr="00A31137" w:rsidRDefault="00A31137" w:rsidP="00A31137">
      <w:r w:rsidRPr="00A31137">
        <w:t>1996, Seminole Tribe of Florida v. Florida, No. 94-12</w:t>
      </w:r>
    </w:p>
    <w:p w:rsidR="00A31137" w:rsidRPr="00A31137" w:rsidRDefault="00A31137" w:rsidP="00A31137">
      <w:r w:rsidRPr="00A31137">
        <w:t>IGRA's jurisdictional provision reads as though it had been drafted with the specific intent to apply to officer liability under Young. It provides that</w:t>
      </w:r>
    </w:p>
    <w:p w:rsidR="00A31137" w:rsidRPr="00A31137" w:rsidRDefault="00A31137" w:rsidP="00A31137">
      <w:r w:rsidRPr="00A31137">
        <w:t>1996, Seminole Tribe of Florida v. Florida, No. 94-12</w:t>
      </w:r>
    </w:p>
    <w:p w:rsidR="00A31137" w:rsidRPr="00A31137" w:rsidRDefault="00A31137" w:rsidP="00A31137">
      <w:r w:rsidRPr="00A31137">
        <w:t>[t]he United States district courts shall have jurisdiction over…any cause of action…arising from the failure of a State to enter into negotiations…or to conduct such negotiations in good faith.</w:t>
      </w:r>
    </w:p>
    <w:p w:rsidR="00A31137" w:rsidRPr="00A31137" w:rsidRDefault="00A31137" w:rsidP="00A31137">
      <w:r w:rsidRPr="00A31137">
        <w:t>1996, Seminole Tribe of Florida v. Florida, No. 94-12</w:t>
      </w:r>
    </w:p>
    <w:p w:rsidR="00A31137" w:rsidRPr="00A31137" w:rsidRDefault="00A31137" w:rsidP="00A31137">
      <w:r w:rsidRPr="00A31137">
        <w:t>(Emphasis added.) This language does not limit the possible defendants to States and is quite literally consistent with the possibility that a tribe could sue an appropriate state official for a State's failure to negotiate. 64 The door is so obviously just as open to jurisdiction over an officer under Young as to jurisdiction over a State directly that it is difficult to see why the statute would have been drafted as it was unless it was done in anticipation that Young might well be the jurisdictional basis for enforcement action.</w:t>
      </w:r>
    </w:p>
    <w:p w:rsidR="00A31137" w:rsidRPr="00A31137" w:rsidRDefault="00A31137" w:rsidP="00A31137">
      <w:r w:rsidRPr="00A31137">
        <w:t>1996, Seminole Tribe of Florida v. Florida, No. 94-12</w:t>
      </w:r>
    </w:p>
    <w:p w:rsidR="00A31137" w:rsidRPr="00A31137" w:rsidRDefault="00A31137" w:rsidP="00A31137">
      <w:r w:rsidRPr="00A31137">
        <w:t>But even if the jurisdictional provision had spoken narrowly of an action against the State itself (as it subsequently speaks in terms of the State's obligation), that would be no indication that Congress had rejected the application of Young. An order requiring a "State" to comply with federal law can, of course, take the form of an order directed to the State in its sovereign capacity. But as Ex parte Young and innumerable other cases show, there is nothing incongruous about a duty imposed on a "State" that Congress intended to be effectuated by an order directed to an appropriate state official. The habeas corpus statute, again, comes to mind. It has long required "the State," by "order directed to an appropriate State official," to produce the state court record where an indigent habeas petitioner argues that a state court's factual findings are not fairly supported in the record. See 28 U.S.C. § 2254(e) ("the State shall produce such part of the record and the Federal court shall direct the State to do so by order directed to an appropriate State official"). If, then, IGRA's references to "a State's" duty were not enforceable by order to a state official, it would have to be for some other reason than the placement of the statutory duty on "the State."</w:t>
      </w:r>
    </w:p>
    <w:p w:rsidR="00A31137" w:rsidRPr="00A31137" w:rsidRDefault="00A31137" w:rsidP="00A31137">
      <w:r w:rsidRPr="00A31137">
        <w:t>1996, Seminole Tribe of Florida v. Florida, No. 94-12</w:t>
      </w:r>
    </w:p>
    <w:p w:rsidR="00A31137" w:rsidRPr="00A31137" w:rsidRDefault="00A31137" w:rsidP="00A31137">
      <w:r w:rsidRPr="00A31137">
        <w:t>It may be that even the Court agrees, for it falls back to the position, see ante at ___, n. 17, that only a State, not a state officer, can enter into a compact. This is true but wholly beside the point. The issue is whether negotiation should take place as required by IGRA and an officer (indeed, only an officer) can negotiate. In fact, the only case cited by the Court, State ex rel. Stephan v. Finney, 251 Kan. 559, 836 P.2d 1169 (Kan. 1992), makes that distinction abundantly clear.</w:t>
      </w:r>
    </w:p>
    <w:p w:rsidR="00A31137" w:rsidRPr="00A31137" w:rsidRDefault="00A31137" w:rsidP="00A31137">
      <w:r w:rsidRPr="00A31137">
        <w:t>1996, Seminole Tribe of Florida v. Florida, No. 94-12</w:t>
      </w:r>
    </w:p>
    <w:p w:rsidR="00A31137" w:rsidRPr="00A31137" w:rsidRDefault="00A31137" w:rsidP="00A31137">
      <w:r w:rsidRPr="00A31137">
        <w:t>Finally, one must judge the Court's purported inference by stepping back to ask why Congress could possibly have intended to jeopardize the enforcement of the statute by excluding application of Young's traditional jurisdictional rule, when that rule would make the difference between success or failure in the federal court if state sovereign immunity was recognized. Why would Congress have wanted to go for broke on the issue of state immunity in the event the State pleaded immunity as a jurisdictional bar? Why would Congress not have wanted IGRA to be enforced by means of a traditional doctrine giving federal courts jurisdiction over state officers, in an effort to harmonize state sovereign immunity with federal law that is paramount under the Supremacy Clause? There are no plausible answers to these questions.</w:t>
      </w:r>
    </w:p>
    <w:p w:rsidR="00A31137" w:rsidRPr="00A31137" w:rsidRDefault="00A31137" w:rsidP="00A31137">
      <w:r w:rsidRPr="00A31137">
        <w:t>D</w:t>
      </w:r>
    </w:p>
    <w:p w:rsidR="00A31137" w:rsidRPr="00A31137" w:rsidRDefault="00A31137" w:rsidP="00A31137">
      <w:r w:rsidRPr="00A31137">
        <w:t>1996, Seminole Tribe of Florida v. Florida, No. 94-12</w:t>
      </w:r>
    </w:p>
    <w:p w:rsidR="00A31137" w:rsidRPr="00A31137" w:rsidRDefault="00A31137" w:rsidP="00A31137">
      <w:r w:rsidRPr="00A31137">
        <w:t>There is, finally, a response to the Court's rejection of Young that ought to go without saying. Our longstanding practice is to read ambiguous statutes to avoid constitutional infirmity, Edward J. DeBartolo Corp. v. Florida Gulf Coast Building &amp; Construction Trades Council, 485 U.S. 568, 575 (1988) ("'every reasonable construction must be resorted to, in order to save a statute from unconstitutionality'") (quoting Hooper v. California, 155 U.S. 648, 657 (1895)). This practice alone (without any need for a clear statement to displace Young) would be enough to require Young's application. So, too, would the application of another rule, requiring courts to choose any reasonable construction of a statute that would eliminate the need to confront a contested constitutional issue (in this case, the place of state sovereign immunity in federal question cases and the status of Union Gas). NLRB v. Catholic Bishop of Chicago, 440 U.S. 490, 500-501 (1979). Construing the statute to harmonize with Young, as it readily does, would have saved an act of Congress and rendered a discussion on constitutional grounds wholly unnecessary. This case should be decided on this basis alone.</w:t>
      </w:r>
    </w:p>
    <w:p w:rsidR="00A31137" w:rsidRPr="00A31137" w:rsidRDefault="00A31137" w:rsidP="00A31137">
      <w:r w:rsidRPr="00A31137">
        <w:t>V</w:t>
      </w:r>
    </w:p>
    <w:p w:rsidR="00A31137" w:rsidRPr="00A31137" w:rsidRDefault="00A31137" w:rsidP="00A31137">
      <w:r w:rsidRPr="00A31137">
        <w:t>1996, Seminole Tribe of Florida v. Florida, No. 94-12</w:t>
      </w:r>
    </w:p>
    <w:p w:rsidR="00A31137" w:rsidRPr="00A31137" w:rsidRDefault="00A31137" w:rsidP="00A31137">
      <w:r w:rsidRPr="00A31137">
        <w:t>Absent the application of Ex parte Young, I would, of course, follow Union Gas in recognizing congressional power under Article I to abrogate Hans immunity. Since the reasons for this position, as explained in Parts II-III, supra, tend to unsettle Hans as well as support Union Gas, I should add a word about my reasons for continuing to accept Hans' holding as a matter of stare decisis.</w:t>
      </w:r>
    </w:p>
    <w:p w:rsidR="00A31137" w:rsidRPr="00A31137" w:rsidRDefault="00A31137" w:rsidP="00A31137">
      <w:r w:rsidRPr="00A31137">
        <w:t>1996, Seminole Tribe of Florida v. Florida, No. 94-12</w:t>
      </w:r>
    </w:p>
    <w:p w:rsidR="00A31137" w:rsidRPr="00A31137" w:rsidRDefault="00A31137" w:rsidP="00A31137">
      <w:r w:rsidRPr="00A31137">
        <w:t>The Hans doctrine was erroneous, but it has not previously proven to be unworkable or to conflict with later doctrine or to suffer from the effects of facts developed since its decision (apart from those indicating its original errors). I would therefore treat Hans as it has always been treated in fact until today, as a doctrine of federal common law. For, as so understood, it has formed one of the strands of the federal relationship for over a century now, and the stability of that relationship is itself a value that stare decisis aims to respect.</w:t>
      </w:r>
    </w:p>
    <w:p w:rsidR="00A31137" w:rsidRPr="00A31137" w:rsidRDefault="00A31137" w:rsidP="00A31137">
      <w:r w:rsidRPr="00A31137">
        <w:t>1996, Seminole Tribe of Florida v. Florida, No. 94-12</w:t>
      </w:r>
    </w:p>
    <w:p w:rsidR="00A31137" w:rsidRPr="00A31137" w:rsidRDefault="00A31137" w:rsidP="00A31137">
      <w:r w:rsidRPr="00A31137">
        <w:t>In being ready to hold that the relationship may still be altered, not by the Court but by Congress, I would tread the course laid out elsewhere in our cases. The Court has repeatedly stated its assumption that insofar as the relative positions of States and Nation may be affected consistently with the Tenth Amendment, 65 they would not be modified without deliberately expressed intent. See Gregory v. Ashcroft, 501 U.S. at 460-461. The plain statement rule, which "assures that the legislature has in fact faced, and intended to bring into issue, the critical matters involved in the judicial decision," United States v. Bass, 404 U.S. at 349, is particularly appropriate in light of our primary reliance on "[t]he effectiveness of the federal political process in preserving the States' interests." Garcia v. San Antonio Metropolitan Transit Authority, 469 U.S. 528,  552 (1985). 66 Hence, we have required such a plain statement when Congress preempts the historic powers of the States, Rice v. Santa Fe Elevator Corp., 331 U.S. 218,  230 (1947), imposes a condition on the grant of federal moneys, South Dakota v. Dole, 483 U.S. 203,  207 (1987), or seeks to regulate a State's ability to determine the qualifications of its own officials. Gregory, supra at 464.</w:t>
      </w:r>
    </w:p>
    <w:p w:rsidR="00A31137" w:rsidRPr="00A31137" w:rsidRDefault="00A31137" w:rsidP="00A31137">
      <w:r w:rsidRPr="00A31137">
        <w:t>1996, Seminole Tribe of Florida v. Florida, No. 94-12</w:t>
      </w:r>
    </w:p>
    <w:p w:rsidR="00A31137" w:rsidRPr="00A31137" w:rsidRDefault="00A31137" w:rsidP="00A31137">
      <w:r w:rsidRPr="00A31137">
        <w:t>When judging legislation passed under unmistakable Article I powers, no further restriction could be required. Nor does the Court explain why more could be demanded. In the past, we have assumed that a plain statement requirement is sufficient to protect the States from undue federal encroachments upon their traditional immunity from suit. See, e.g., Welch v. Texas Dept. of Highways &amp; Public Transp., 483 U.S. at 475; Atascadero State Hospital v. Scanlon, 473 U.S. at 239-240. It is hard to contend that this rule has set the bar too low, for (except in Union Gas) we have never found the requirement to be met outside the context of laws passed under § 5 of the Fourteenth Amendment. The exception I would recognize today proves the rule, moreover, because the federal abrogation of state immunity comes as part of a regulatory scheme which is itself designed to invest the States with regulatory powers that Congress need not extend to them. This fact suggests to me that the political safeguards of federalism are working, that a plain statement rule is an adequate check on congressional overreaching, and that today's abandonment of that approach is wholly unwarranted.</w:t>
      </w:r>
    </w:p>
    <w:p w:rsidR="00A31137" w:rsidRPr="00A31137" w:rsidRDefault="00A31137" w:rsidP="00A31137">
      <w:r w:rsidRPr="00A31137">
        <w:t>1996, Seminole Tribe of Florida v. Florida, No. 94-12</w:t>
      </w:r>
    </w:p>
    <w:p w:rsidR="00A31137" w:rsidRPr="00A31137" w:rsidRDefault="00A31137" w:rsidP="00A31137">
      <w:r w:rsidRPr="00A31137">
        <w:t>There is an even more fundamental "clear statement" principle, however, that the Court abandons today. John Marshall recognized it over a century and a half ago in the very context of state sovereign immunity in federal question cases:</w:t>
      </w:r>
    </w:p>
    <w:p w:rsidR="00A31137" w:rsidRPr="00A31137" w:rsidRDefault="00A31137" w:rsidP="00A31137">
      <w:r w:rsidRPr="00A31137">
        <w:t>1996, Seminole Tribe of Florida v. Florida, No. 94-12</w:t>
      </w:r>
    </w:p>
    <w:p w:rsidR="00A31137" w:rsidRPr="00A31137" w:rsidRDefault="00A31137" w:rsidP="00A31137">
      <w:r w:rsidRPr="00A31137">
        <w:t>The jurisdiction of the Court, then, being extended by the letter of the constitution to all cases arising under it, or under the laws of the United States, it follows that those who would withdraw any case of this description from that jurisdiction, must sustain the exemption they claim on the spirit and true meaning of the constitution, which spirit and true meaning must be so apparent as to overrule the words which its framers have employed.</w:t>
      </w:r>
    </w:p>
    <w:p w:rsidR="00A31137" w:rsidRPr="00A31137" w:rsidRDefault="00A31137" w:rsidP="00A31137">
      <w:r w:rsidRPr="00A31137">
        <w:t>1996, Seminole Tribe of Florida v. Florida, No. 94-12</w:t>
      </w:r>
    </w:p>
    <w:p w:rsidR="00A31137" w:rsidRPr="00A31137" w:rsidRDefault="00A31137" w:rsidP="00A31137">
      <w:r w:rsidRPr="00A31137">
        <w:t>Cohens v. Virginia, 6 Wheat. at 379-380. Because neither text, precedent, nor history supports the majority's abdication of our responsibility to exercise the jurisdiction entrusted to us in Article III, I would reverse the judgment of the Court of Appeals.</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1996, Seminole Tribe of Florida v. Florida, No. 94-12</w:t>
      </w:r>
    </w:p>
    <w:p w:rsidR="00A31137" w:rsidRPr="00A31137" w:rsidRDefault="00A31137" w:rsidP="00A31137">
      <w:r w:rsidRPr="00A31137">
        <w:t>1. Class I gaming</w:t>
      </w:r>
    </w:p>
    <w:p w:rsidR="00A31137" w:rsidRPr="00A31137" w:rsidRDefault="00A31137" w:rsidP="00A31137">
      <w:r w:rsidRPr="00A31137">
        <w:t>1996, Seminole Tribe of Florida v. Florida, No. 94-12</w:t>
      </w:r>
    </w:p>
    <w:p w:rsidR="00A31137" w:rsidRPr="00A31137" w:rsidRDefault="00A31137" w:rsidP="00A31137">
      <w:r w:rsidRPr="00A31137">
        <w:t>means social games solely for prizes of minimal value or traditional forms of Indian gaming engaged in by individuals as a part of, or in connection with, tribal ceremonies or celebrations,</w:t>
      </w:r>
    </w:p>
    <w:p w:rsidR="00A31137" w:rsidRPr="00A31137" w:rsidRDefault="00A31137" w:rsidP="00A31137">
      <w:r w:rsidRPr="00A31137">
        <w:t>1996, Seminole Tribe of Florida v. Florida, No. 94-12</w:t>
      </w:r>
    </w:p>
    <w:p w:rsidR="00A31137" w:rsidRPr="00A31137" w:rsidRDefault="00A31137" w:rsidP="00A31137">
      <w:r w:rsidRPr="00A31137">
        <w:t>25 U.S.C. § 2703(6), and is left by the Act to "the exclusive jurisdiction of the Indian tribes." § 2710(a)(1). Class II gaming is more extensively defined to include bingo, games similar to bingo, nonbanking card games not illegal under the laws of the State, and card games actually operated in particular States prior to the passage of the Act. See § 2703(7). Banking card games, electronic games of chance, and slot machines are expressly excluded from the scope of class II gaming. § 2703(B). The Act allows class II gaming where the State "permits such gaming for any purpose by any person, organization or entity," and the "governing body of the Indian tribe adopts an ordinance or resolution which is approved by the Chairman" of the National Indian Gaming Commission. § 2710(b)(1). Regulation of class II gaming contemplates a federal role, but places primary emphasis on tribal self-regulation. See § 2710(c)(3)-(6).</w:t>
      </w:r>
    </w:p>
    <w:p w:rsidR="00A31137" w:rsidRPr="00A31137" w:rsidRDefault="00A31137" w:rsidP="00A31137">
      <w:r w:rsidRPr="00A31137">
        <w:t>1996, Seminole Tribe of Florida v. Florida, No. 94-12</w:t>
      </w:r>
    </w:p>
    <w:p w:rsidR="00A31137" w:rsidRPr="00A31137" w:rsidRDefault="00A31137" w:rsidP="00A31137">
      <w:r w:rsidRPr="00A31137">
        <w:t>2. Sections 2710(d)(7)(B)(ii)-(vii) provide in full:</w:t>
      </w:r>
    </w:p>
    <w:p w:rsidR="00A31137" w:rsidRPr="00A31137" w:rsidRDefault="00A31137" w:rsidP="00A31137">
      <w:r w:rsidRPr="00A31137">
        <w:t>1996, Seminole Tribe of Florida v. Florida, No. 94-12</w:t>
      </w:r>
    </w:p>
    <w:p w:rsidR="00A31137" w:rsidRPr="00A31137" w:rsidRDefault="00A31137" w:rsidP="00A31137">
      <w:r w:rsidRPr="00A31137">
        <w:t>(ii) In any action described in subparagraph (A)(i), upon the introduction of evidence by an Indian tribe that</w:t>
      </w:r>
    </w:p>
    <w:p w:rsidR="00A31137" w:rsidRPr="00A31137" w:rsidRDefault="00A31137" w:rsidP="00A31137">
      <w:r w:rsidRPr="00A31137">
        <w:t>1996, Seminole Tribe of Florida v. Florida, No. 94-12</w:t>
      </w:r>
    </w:p>
    <w:p w:rsidR="00A31137" w:rsidRPr="00A31137" w:rsidRDefault="00A31137" w:rsidP="00A31137">
      <w:r w:rsidRPr="00A31137">
        <w:t>(I) a Tribal-State compact has not been entered into under paragraph (3), and</w:t>
      </w:r>
    </w:p>
    <w:p w:rsidR="00A31137" w:rsidRPr="00A31137" w:rsidRDefault="00A31137" w:rsidP="00A31137">
      <w:r w:rsidRPr="00A31137">
        <w:t>1996, Seminole Tribe of Florida v. Florida, No. 94-12</w:t>
      </w:r>
    </w:p>
    <w:p w:rsidR="00A31137" w:rsidRPr="00A31137" w:rsidRDefault="00A31137" w:rsidP="00A31137">
      <w:r w:rsidRPr="00A31137">
        <w:t>(II) the State did not respond to the request of the Indian tribe to negotiate such a compact or did not respond to such request in good faith, the burden of proof shall be upon the State to prove that the State has negotiated with the Indian tribe in good faith to conclude a Tribal-State compact governing the conduct of gaming activities.</w:t>
      </w:r>
    </w:p>
    <w:p w:rsidR="00A31137" w:rsidRPr="00A31137" w:rsidRDefault="00A31137" w:rsidP="00A31137">
      <w:r w:rsidRPr="00A31137">
        <w:t>1996, Seminole Tribe of Florida v. Florida, No. 94-12</w:t>
      </w:r>
    </w:p>
    <w:p w:rsidR="00A31137" w:rsidRPr="00A31137" w:rsidRDefault="00A31137" w:rsidP="00A31137">
      <w:r w:rsidRPr="00A31137">
        <w:t>(iii) If, in any action described in subparagraph (A)(i), the court finds that the State has failed to negotiate in good faith with the Indian tribe to conclude a Tribal-State compact governing the conduct of gaming activities, the court shall order the State and the Indian Tribe to conclude such a compact within a 60-day period. In determining in such an action whether a State has negotiated in good faith, the court—</w:t>
      </w:r>
    </w:p>
    <w:p w:rsidR="00A31137" w:rsidRPr="00A31137" w:rsidRDefault="00A31137" w:rsidP="00A31137">
      <w:r w:rsidRPr="00A31137">
        <w:t>1996, Seminole Tribe of Florida v. Florida, No. 94-12</w:t>
      </w:r>
    </w:p>
    <w:p w:rsidR="00A31137" w:rsidRPr="00A31137" w:rsidRDefault="00A31137" w:rsidP="00A31137">
      <w:r w:rsidRPr="00A31137">
        <w:t>(I) may take into account the public interest, public safety, criminality, financial integrity, and adverse economic impacts on existing gaming activities, and</w:t>
      </w:r>
    </w:p>
    <w:p w:rsidR="00A31137" w:rsidRPr="00A31137" w:rsidRDefault="00A31137" w:rsidP="00A31137">
      <w:r w:rsidRPr="00A31137">
        <w:t>1996, Seminole Tribe of Florida v. Florida, No. 94-12</w:t>
      </w:r>
    </w:p>
    <w:p w:rsidR="00A31137" w:rsidRPr="00A31137" w:rsidRDefault="00A31137" w:rsidP="00A31137">
      <w:r w:rsidRPr="00A31137">
        <w:t>(II) shall consider any demand by the State for direct taxation of the Indian tribe or of any Indian lands as evidence that the State has not negotiated in good faith.</w:t>
      </w:r>
    </w:p>
    <w:p w:rsidR="00A31137" w:rsidRPr="00A31137" w:rsidRDefault="00A31137" w:rsidP="00A31137">
      <w:r w:rsidRPr="00A31137">
        <w:t>1996, Seminole Tribe of Florida v. Florida, No. 94-12</w:t>
      </w:r>
    </w:p>
    <w:p w:rsidR="00A31137" w:rsidRPr="00A31137" w:rsidRDefault="00A31137" w:rsidP="00A31137">
      <w:r w:rsidRPr="00A31137">
        <w:t>(iv) If a State and an Indian tribe fail to conclude a Tribal-State compact…within the 60-day period provided in the order of a court issued under clause (iii), the Indian tribe and the State shall each submit to a mediator appointed by the court a proposed compact that represents their last best offer for a compact. The mediator shall select from the two proposed compacts the one which best comports with the terms of this chapter and any other applicable Federal law and with the findings and order of the court.</w:t>
      </w:r>
    </w:p>
    <w:p w:rsidR="00A31137" w:rsidRPr="00A31137" w:rsidRDefault="00A31137" w:rsidP="00A31137">
      <w:r w:rsidRPr="00A31137">
        <w:t>1996, Seminole Tribe of Florida v. Florida, No. 94-12</w:t>
      </w:r>
    </w:p>
    <w:p w:rsidR="00A31137" w:rsidRPr="00A31137" w:rsidRDefault="00A31137" w:rsidP="00A31137">
      <w:r w:rsidRPr="00A31137">
        <w:t>(v) The mediator appointed by the court under clause (iv) shall submit to the State and the Indian tribe the compact selected by the mediator under clause (iv).</w:t>
      </w:r>
    </w:p>
    <w:p w:rsidR="00A31137" w:rsidRPr="00A31137" w:rsidRDefault="00A31137" w:rsidP="00A31137">
      <w:r w:rsidRPr="00A31137">
        <w:t>1996, Seminole Tribe of Florida v. Florida, No. 94-12</w:t>
      </w:r>
    </w:p>
    <w:p w:rsidR="00A31137" w:rsidRPr="00A31137" w:rsidRDefault="00A31137" w:rsidP="00A31137">
      <w:r w:rsidRPr="00A31137">
        <w:t>(vi) If a State consents to a proposed compact during the 60-day period beginning on the date on which the proposed compact is submitted by the mediator to the State under clause (v), the proposed compact shall be treated as a Tribal-State compact entered into under paragraph (3).</w:t>
      </w:r>
    </w:p>
    <w:p w:rsidR="00A31137" w:rsidRPr="00A31137" w:rsidRDefault="00A31137" w:rsidP="00A31137">
      <w:r w:rsidRPr="00A31137">
        <w:t>1996, Seminole Tribe of Florida v. Florida, No. 94-12</w:t>
      </w:r>
    </w:p>
    <w:p w:rsidR="00A31137" w:rsidRPr="00A31137" w:rsidRDefault="00A31137" w:rsidP="00A31137">
      <w:r w:rsidRPr="00A31137">
        <w:t>(vii) If the State does not consent during the 60-day period described in clause (vi) to a proposed compact submitted by a mediator under clause (v), the mediator shall notify the Secretary and the Secretary shall prescribe, in consultation with the Indian tribe, procedures—</w:t>
      </w:r>
    </w:p>
    <w:p w:rsidR="00A31137" w:rsidRPr="00A31137" w:rsidRDefault="00A31137" w:rsidP="00A31137">
      <w:r w:rsidRPr="00A31137">
        <w:t>1996, Seminole Tribe of Florida v. Florida, No. 94-12</w:t>
      </w:r>
    </w:p>
    <w:p w:rsidR="00A31137" w:rsidRPr="00A31137" w:rsidRDefault="00A31137" w:rsidP="00A31137">
      <w:r w:rsidRPr="00A31137">
        <w:t>(I) which are consistent with the proposed compact selected by the mediator under clause (iv), the provisions of this chapter, and the relevant provisions of the laws of the State, and</w:t>
      </w:r>
    </w:p>
    <w:p w:rsidR="00A31137" w:rsidRPr="00A31137" w:rsidRDefault="00A31137" w:rsidP="00A31137">
      <w:r w:rsidRPr="00A31137">
        <w:t>1996, Seminole Tribe of Florida v. Florida, No. 94-12</w:t>
      </w:r>
    </w:p>
    <w:p w:rsidR="00A31137" w:rsidRPr="00A31137" w:rsidRDefault="00A31137" w:rsidP="00A31137">
      <w:r w:rsidRPr="00A31137">
        <w:t>(II) under which class III gaming may be conducted on the Indian lands over which the Indian tribe has jurisdiction.</w:t>
      </w:r>
    </w:p>
    <w:p w:rsidR="00A31137" w:rsidRPr="00A31137" w:rsidRDefault="00A31137" w:rsidP="00A31137">
      <w:r w:rsidRPr="00A31137">
        <w:t>1996, Seminole Tribe of Florida v. Florida, No. 94-12</w:t>
      </w:r>
    </w:p>
    <w:p w:rsidR="00A31137" w:rsidRPr="00A31137" w:rsidRDefault="00A31137" w:rsidP="00A31137">
      <w:r w:rsidRPr="00A31137">
        <w:t>3. The Eleventh Circuit consolidated petitioner's appeal with an appeal from another suit brought under § 2710(d)(7)(A)(i) by a different Indian tribe. Although the district court in that case had granted the defendants' motions to dismiss, the legal issues presented by the two appeals were virtually identical. See Poarch Band of Creek Indians v. Alabama, 776 F.Supp. 550 (SD Ala. 1991) (Eleventh Amendment bars suit against State), and 784 F.Supp. 1549 (SD Ala. 1992) (Eleventh Amendment bars suit against Governor).</w:t>
      </w:r>
    </w:p>
    <w:p w:rsidR="00A31137" w:rsidRPr="00A31137" w:rsidRDefault="00A31137" w:rsidP="00A31137">
      <w:r w:rsidRPr="00A31137">
        <w:t>1996, Seminole Tribe of Florida v. Florida, No. 94-12</w:t>
      </w:r>
    </w:p>
    <w:p w:rsidR="00A31137" w:rsidRPr="00A31137" w:rsidRDefault="00A31137" w:rsidP="00A31137">
      <w:r w:rsidRPr="00A31137">
        <w:t>4. Following its conclusion that petitioner's suit should be dismissed, the Court of Appeals went on to consider how § 2710(d)(7) would operate in the wake of its decision. The court decided that those provisions of § 2710(d)(7) that were problematic could be severed from the rest of the section, and read the surviving provisions of § 2710(d)(7) to provide an Indian tribe with immediate recourse to the Secretary of the Interior from the dismissal of a suit against a State. 11 F.3d at 1029.</w:t>
      </w:r>
    </w:p>
    <w:p w:rsidR="00A31137" w:rsidRPr="00A31137" w:rsidRDefault="00A31137" w:rsidP="00A31137">
      <w:r w:rsidRPr="00A31137">
        <w:t>1996, Seminole Tribe of Florida v. Florida, No. 94-12</w:t>
      </w:r>
    </w:p>
    <w:p w:rsidR="00A31137" w:rsidRPr="00A31137" w:rsidRDefault="00A31137" w:rsidP="00A31137">
      <w:r w:rsidRPr="00A31137">
        <w:t>5. Respondents filed a cross-petition, No. 94-219, challenging only the Eleventh Circuit's modification of § 2710(d)(7), see n. 4, supra. That petition is still pending.</w:t>
      </w:r>
    </w:p>
    <w:p w:rsidR="00A31137" w:rsidRPr="00A31137" w:rsidRDefault="00A31137" w:rsidP="00A31137">
      <w:r w:rsidRPr="00A31137">
        <w:t>1996, Seminole Tribe of Florida v. Florida, No. 94-12</w:t>
      </w:r>
    </w:p>
    <w:p w:rsidR="00A31137" w:rsidRPr="00A31137" w:rsidRDefault="00A31137" w:rsidP="00A31137">
      <w:r w:rsidRPr="00A31137">
        <w:t>6. While the appeal was pending before the Eleventh Circuit, the District Court granted respondents' earlier-filed summary judgment motion, finding that Florida had fulfilled its obligation under the Act to negotiate in good faith. The Eleventh Circuit has stayed its review of that decision pending the disposition of this case.</w:t>
      </w:r>
    </w:p>
    <w:p w:rsidR="00A31137" w:rsidRPr="00A31137" w:rsidRDefault="00A31137" w:rsidP="00A31137">
      <w:r w:rsidRPr="00A31137">
        <w:t>1996, Seminole Tribe of Florida v. Florida, No. 94-12</w:t>
      </w:r>
    </w:p>
    <w:p w:rsidR="00A31137" w:rsidRPr="00A31137" w:rsidRDefault="00A31137" w:rsidP="00A31137">
      <w:r w:rsidRPr="00A31137">
        <w:t>7. E.g., North Carolina v. Temple, 134 U.S. 22, 30 (1890); Fitts v. McGhee, 172 U.S. 516, 524 (1899); Bell v. Mississippi, 177 U.S. 693 (1900); Smith v. Reeves, 178 U.S. 436, 446 (1900); Palmer v. Ohio, 248 U.S. 32, 34 (1918); Duhne v. New Jersey, 251 U.S. 311, 313 (1920); Ex parte New York, 256 U.S. 490, 497 (1921); Missouri v. Fiske, 290 U.S. 18, 26 (1933); Great Northern Life Ins. Co. v. Read, 322 U.S. 47, 51 (1944); Ford Motor Co. v. Department of Treasury of Ind., 323 U.S. 459, 464 (1945); Georgia Railroad &amp; Banking Co. v. Redwine, 342 U.S. 299, 304, n. 13 (1952); Parden v. Terminal Railway of Ala. Docks Dept., 377 U.S. 184, 186 (1964); United States v. Mississippi, 380 U.S. 128,  140 (1965); Employees v. Department of Public Health and Welfare of Mo., 411 U.S. 279, 280 (1973); Edelman v. Jordan, 415 U.S. 651, 662-663 (1974); Fitzpatrick v. Bitzer, 427 U.S. 445 (1976); Cory v. White, 457 U.S. 85 (1982); Pennhurst State School and Hospital v. Halderman, 465 U.S. 89, 97-100 (1984); Atascadero State Hospital v. Scanlon, 473 U.S. 234, 237-238 (1985); Welch v. Texas Dept. of Highways and Public Transp., 483 U.S. 468, 472-474 (1987) (plurality opinion); Dellmuth v. Muth, 491 U.S. 223, 227-229, and n. 2 (1989); Port Authority Trans-Hudson Corp. v. Feeney, 495 U.S. 299, 304 (1990); Blatchford v. Native Village of Noatak, 501 U.S. 775, 779 (1991); Puerto Rico Aqueduct and Sewer Authority v. Metcalf &amp; Eddy, Inc., 506 U.S. 139, ___ (1993).</w:t>
      </w:r>
    </w:p>
    <w:p w:rsidR="00A31137" w:rsidRPr="00A31137" w:rsidRDefault="00A31137" w:rsidP="00A31137">
      <w:r w:rsidRPr="00A31137">
        <w:t>1996, Seminole Tribe of Florida v. Florida, No. 94-12</w:t>
      </w:r>
    </w:p>
    <w:p w:rsidR="00A31137" w:rsidRPr="00A31137" w:rsidRDefault="00A31137" w:rsidP="00A31137">
      <w:r w:rsidRPr="00A31137">
        <w:t>8. See Ponca Tribe of Oklahoma v. Oklahoma, 37 F.3d 1422, 1427-1428 (CA10 1994), cert. pending, No. 94-1029; Spokane Tribe v. Washington, 28 F.3d 991, 994-995 (CA9 1994); Cheyenne River Sioux Tribe v. South Dakota, 3 F.3d 273, 280-281 (CA8 1993); Ponca Tribe of Oklahoma v. Oklahoma, 834 F.Supp. 1341, 1345 (WD Okla. 1993); Maxam v. Lower Sioux Indian Community of Minnesota, 829 F.Supp. 277 (D. Minn. 1993); Kickapoo Tribe of Indians v. Kansas, 818 F.Supp. 1423, 1427 (D. Kan. 1993); 801 F.Supp. 655, 658 (SD Fla. 1992) (case below); Sault Ste. Marie Tribe of Chippewa Indians v. Michigan, 800 F.Supp. 1484, 1488-1489 (WD Mich. 1992); Poarch Band of Creek Indians v. Alabama, 776 F.Supp. at 557-558.</w:t>
      </w:r>
    </w:p>
    <w:p w:rsidR="00A31137" w:rsidRPr="00A31137" w:rsidRDefault="00A31137" w:rsidP="00A31137">
      <w:r w:rsidRPr="00A31137">
        <w:t>1996, Seminole Tribe of Florida v. Florida, No. 94-12</w:t>
      </w:r>
    </w:p>
    <w:p w:rsidR="00A31137" w:rsidRPr="00A31137" w:rsidRDefault="00A31137" w:rsidP="00A31137">
      <w:r w:rsidRPr="00A31137">
        <w:t>9. The dissent argues that in order to avoid a constitutional question, we should interpret the Act to provide only a suit against state officials, rather than a suit against the State itself. Post at ___. But, in light of the plain text of § 2710(d)(7)(B), we disagree with the dissent's assertion that the Act can reasonably be read in that way. "We cannot press statutory construction 'to the point of disingenuous evasion' even to avoid a constitutional question." See United States v. Locke, 471 U.S. 84, 96 (1985), quoting George Moore Ice Cream Co. v. Rose, 289 U.S. 373, 379 (1933) (Cardozo, J.). We already have found the clear statement rule satisfied, and that finding renders the preference for avoiding a constitutional question inapplicable.</w:t>
      </w:r>
    </w:p>
    <w:p w:rsidR="00A31137" w:rsidRPr="00A31137" w:rsidRDefault="00A31137" w:rsidP="00A31137">
      <w:r w:rsidRPr="00A31137">
        <w:t>1996, Seminole Tribe of Florida v. Florida, No. 94-12</w:t>
      </w:r>
    </w:p>
    <w:p w:rsidR="00A31137" w:rsidRPr="00A31137" w:rsidRDefault="00A31137" w:rsidP="00A31137">
      <w:r w:rsidRPr="00A31137">
        <w:t>10. Respondents also contend that the Act mandates state regulation of Indian gaming and therefore violates the Tenth Amendment by allowing federal officials to avoid political accountability for those actions for which they are in fact responsible. See New York v. United States, 505 U.S. 144 (1992). This argument was not considered below by either the Eleventh Circuit or the District Court, and is not fairly within the question presented. Therefore we do not consider it here. See this Court's Rule 14.1; Yee v. Escondido, 503 U.S. 519 (1992).</w:t>
      </w:r>
    </w:p>
    <w:p w:rsidR="00A31137" w:rsidRPr="00A31137" w:rsidRDefault="00A31137" w:rsidP="00A31137">
      <w:r w:rsidRPr="00A31137">
        <w:t>1996, Seminole Tribe of Florida v. Florida, No. 94-12</w:t>
      </w:r>
    </w:p>
    <w:p w:rsidR="00A31137" w:rsidRPr="00A31137" w:rsidRDefault="00A31137" w:rsidP="00A31137">
      <w:r w:rsidRPr="00A31137">
        <w:t>11. Unless otherwise indicated, all references to the dissent are to the dissenting opinion authored by JUSTICE SOUTER.</w:t>
      </w:r>
    </w:p>
    <w:p w:rsidR="00A31137" w:rsidRPr="00A31137" w:rsidRDefault="00A31137" w:rsidP="00A31137">
      <w:r w:rsidRPr="00A31137">
        <w:t>1996, Seminole Tribe of Florida v. Florida, No. 94-12</w:t>
      </w:r>
    </w:p>
    <w:p w:rsidR="00A31137" w:rsidRPr="00A31137" w:rsidRDefault="00A31137" w:rsidP="00A31137">
      <w:r w:rsidRPr="00A31137">
        <w:t>12. We note here also that the dissent quotes selectively from the Framers' statements that it references. The dissent cites the following, for instance, as a statement made by Madison:</w:t>
      </w:r>
    </w:p>
    <w:p w:rsidR="00A31137" w:rsidRPr="00A31137" w:rsidRDefault="00A31137" w:rsidP="00A31137">
      <w:r w:rsidRPr="00A31137">
        <w:t>1996, Seminole Tribe of Florida v. Florida, No. 94-12</w:t>
      </w:r>
    </w:p>
    <w:p w:rsidR="00A31137" w:rsidRPr="00A31137" w:rsidRDefault="00A31137" w:rsidP="00A31137">
      <w:r w:rsidRPr="00A31137">
        <w:t>the Constitution "give[s] a citizen a right to be heard in the federal courts; and if a state should condescend to be a party, this court may take cognizance of it."</w:t>
      </w:r>
    </w:p>
    <w:p w:rsidR="00A31137" w:rsidRPr="00A31137" w:rsidRDefault="00A31137" w:rsidP="00A31137">
      <w:r w:rsidRPr="00A31137">
        <w:t>1996, Seminole Tribe of Florida v. Florida, No. 94-12</w:t>
      </w:r>
    </w:p>
    <w:p w:rsidR="00A31137" w:rsidRPr="00A31137" w:rsidRDefault="00A31137" w:rsidP="00A31137">
      <w:r w:rsidRPr="00A31137">
        <w:t>See post at ___. But that statement, perhaps ambiguous when read in isolation, was preceded by the following:</w:t>
      </w:r>
    </w:p>
    <w:p w:rsidR="00A31137" w:rsidRPr="00A31137" w:rsidRDefault="00A31137" w:rsidP="00A31137">
      <w:r w:rsidRPr="00A31137">
        <w:t>1996, Seminole Tribe of Florida v. Florida, No. 94-12</w:t>
      </w:r>
    </w:p>
    <w:p w:rsidR="00A31137" w:rsidRPr="00A31137" w:rsidRDefault="00A31137" w:rsidP="00A31137">
      <w:r w:rsidRPr="00A31137">
        <w:t>[J]urisdiction in controversies between a state and citizens of another state is much objected to, and perhaps without reason. It is not in the power of individuals to call any state into court. The only operation it can have, is that, if a state should wish to bring a suit against a citizen, it must be brought before the federal courts. It appears to me that this can have no operation but this.</w:t>
      </w:r>
    </w:p>
    <w:p w:rsidR="00A31137" w:rsidRPr="00A31137" w:rsidRDefault="00A31137" w:rsidP="00A31137">
      <w:r w:rsidRPr="00A31137">
        <w:t>1996, Seminole Tribe of Florida v. Florida, No. 94-12</w:t>
      </w:r>
    </w:p>
    <w:p w:rsidR="00A31137" w:rsidRPr="00A31137" w:rsidRDefault="00A31137" w:rsidP="00A31137">
      <w:r w:rsidRPr="00A31137">
        <w:t>See 3 J. Elliot, Debates on the Federal Constitution 67 (1866).</w:t>
      </w:r>
    </w:p>
    <w:p w:rsidR="00A31137" w:rsidRPr="00A31137" w:rsidRDefault="00A31137" w:rsidP="00A31137">
      <w:r w:rsidRPr="00A31137">
        <w:t>1996, Seminole Tribe of Florida v. Florida, No. 94-12</w:t>
      </w:r>
    </w:p>
    <w:p w:rsidR="00A31137" w:rsidRPr="00A31137" w:rsidRDefault="00A31137" w:rsidP="00A31137">
      <w:r w:rsidRPr="00A31137">
        <w:t>13. Although the absence of any discussion dealing with federal question jurisdiction is therefore unremarkable, what is notably lacking in the Framers' statements is any mention of Congress' power to abrogate the States' immunity. The absence of any discussion of that power is particularly striking in light of the fact that the Framers virtually always were very specific about the exception to state sovereign immunity arising from a State's consent to suit. See, e.g., The Federalist No. 81, pp. 487-488 (C. Rossiter ed. 1961) (A. Hamilton) ("It is inherent in the nature of sovereignty not to be amenable to the suit of an individual without its consent.…Unless, therefore, there is a surrender of this immunity in the plan of the convention, it will remain with the States and the danger intimated must be merely ideal.") (emphasis in the original); Madison in 3 Elliot, supra n. 11 ("It is not in the power of individuals to call any state into court…. [The Constitution] can have no operation but this:…if a state should condescend to be a party, this court may take cognizance of it").</w:t>
      </w:r>
    </w:p>
    <w:p w:rsidR="00A31137" w:rsidRPr="00A31137" w:rsidRDefault="00A31137" w:rsidP="00A31137">
      <w:r w:rsidRPr="00A31137">
        <w:t>1996, Seminole Tribe of Florida v. Florida, No. 94-12</w:t>
      </w:r>
    </w:p>
    <w:p w:rsidR="00A31137" w:rsidRPr="00A31137" w:rsidRDefault="00A31137" w:rsidP="00A31137">
      <w:r w:rsidRPr="00A31137">
        <w:t>14. This argument wholly disregards other methods of ensuring the States' compliance with federal law: the Federal Government can bring suit in federal court against a State, see, e.g., United States v. Texas, 143 U.S. 621, 644-645 (1892) (finding such power necessary to the "permanence of the Union"); an individual can bring suit against a state officer in order to ensure that the officer's conduct is in compliance with federal law, see, e.g., Ex parte Young, 209 U.S. 123 (1908); and this Court is empowered to review a question of federal law arising from a state court decision where a State has consented to suit, see, e.g., Cohens v. Virginia, 6 Wheat. 264 (1821).</w:t>
      </w:r>
    </w:p>
    <w:p w:rsidR="00A31137" w:rsidRPr="00A31137" w:rsidRDefault="00A31137" w:rsidP="00A31137">
      <w:r w:rsidRPr="00A31137">
        <w:t>1996, Seminole Tribe of Florida v. Florida, No. 94-12</w:t>
      </w:r>
    </w:p>
    <w:p w:rsidR="00A31137" w:rsidRPr="00A31137" w:rsidRDefault="00A31137" w:rsidP="00A31137">
      <w:r w:rsidRPr="00A31137">
        <w:t>15. JUSTICE STEVENS, in his dissenting opinion, makes two points that merit separate response. First, he contends that no distinction may be drawn between state sovereign immunity and the immunity enjoyed by state and federal officials. But even assuming that the latter has no constitutional foundation, the distinction is clear: the Constitution specifically recognizes the States as sovereign entities, while government officials enjoy no such constitutional recognition. Second, JUSTICE STEVENS' criticizes our prior decisions applying the "clear statement rule," suggesting that they were based upon an understanding that Article I allowed Congress to abrogate state sovereign immunity. His criticism, however, ignores the fact that many of those cases arose in the context of a statute passed under the Fourteenth Amendment, where Congress' authority to abrogate is undisputed. See, e.g., Quern v. Jordan, 440 U.S. 332 (1979). And a more fundamental flaw of the criticism is its failure to recognize that both the doctrine requiring avoidance of constitutional questions, and principles of federalism, require us always to apply the clear statement rule before we consider the constitutional question whether Congress has the power to abrogate.</w:t>
      </w:r>
    </w:p>
    <w:p w:rsidR="00A31137" w:rsidRPr="00A31137" w:rsidRDefault="00A31137" w:rsidP="00A31137">
      <w:r w:rsidRPr="00A31137">
        <w:t>1996, Seminole Tribe of Florida v. Florida, No. 94-12</w:t>
      </w:r>
    </w:p>
    <w:p w:rsidR="00A31137" w:rsidRPr="00A31137" w:rsidRDefault="00A31137" w:rsidP="00A31137">
      <w:r w:rsidRPr="00A31137">
        <w:t>16. JUSTICE STEVENS understands our opinion to prohibit federal jurisdiction over suits to enforce the bankruptcy, copyright, and antitrust laws against the States. He notes that federal jurisdiction over those statutory schemes is exclusive, and therefore concludes that there is "no remedy" for state violations of those federal statutes. Post at ___ n. 1.</w:t>
      </w:r>
    </w:p>
    <w:p w:rsidR="00A31137" w:rsidRPr="00A31137" w:rsidRDefault="00A31137" w:rsidP="00A31137">
      <w:r w:rsidRPr="00A31137">
        <w:t>1996, Seminole Tribe of Florida v. Florida, No. 94-12</w:t>
      </w:r>
    </w:p>
    <w:p w:rsidR="00A31137" w:rsidRPr="00A31137" w:rsidRDefault="00A31137" w:rsidP="00A31137">
      <w:r w:rsidRPr="00A31137">
        <w:t>That conclusion is exaggerated both in its substance and in its significance. First, JUSTICE STEVENS' statement is misleadingly overbroad. We have already seen that several avenues remain open for ensuring state compliance with federal law. See supra, at n. 13. Most notably, an individual may obtain injunctive relief under Ex parte Young in order to remedy a state officer's ongoing violation of federal law. See supra, at n. 14. Second, contrary to the implication of JUSTICE STEVENS' conclusion, it has not been widely thought that the federal antitrust, bankruptcy, or copyright statutes abrogated the States' sovereign immunity. This Court never has awarded relief against a State under any of those statutory schemes; in the decision of this Court that JUSTICE STEVENS cites (and somehow labels "incompatible" with our decision here), we specifically reserved the question whether the Eleventh Amendment would allow a suit to enforce the antitrust laws against a State. See Goldfarb v. Virginia State Bar, 421 U.S. 773, 792 n. 22 (1975). Although the copyright and bankruptcy laws have existed practically since our nation's inception, and the antitrust laws have been in force for over a century, there is no established tradition in the lower federal courts of allowing enforcement of those federal statutes against the States. Notably, both Court of Appeals decisions cited by JUSTICE STEVENS were issued last year and were based upon Union Gas. See Chavez v. Arte Publico Press, 59 F.3d 539 (CA5 1995); Matter of Merchants Grain, Inc. v. Mahern, 59 F.3d 630 (CA7 1995). Indeed, while the Court of Appeals in Chavez allowed the suit against the State to go forward, it expressly recognized that its holding was unprecedented. See Chavez, 59 F.3d at 546 ("we are aware of no case that specifically holds that laws passed pursuant to the Copyright Clause can abrogate state immunity").</w:t>
      </w:r>
    </w:p>
    <w:p w:rsidR="00A31137" w:rsidRPr="00A31137" w:rsidRDefault="00A31137" w:rsidP="00A31137">
      <w:r w:rsidRPr="00A31137">
        <w:t>1996, Seminole Tribe of Florida v. Florida, No. 94-12</w:t>
      </w:r>
    </w:p>
    <w:p w:rsidR="00A31137" w:rsidRPr="00A31137" w:rsidRDefault="00A31137" w:rsidP="00A31137">
      <w:r w:rsidRPr="00A31137">
        <w:t>17. Contrary to the claims of the dissent, we do not hold that Congress cannot authorize federal jurisdiction under Ex parte Young over a cause of action with a limited remedial scheme. We find only that Congress did not intend that result in the Indian Gaming Regulatory Act. Although one might argue that the text of § 2710(d)(7)(A)(i), taken alone, is broad enough to encompass both a suit against a State (under an abrogation theory) and a suit against a state official (under an Ex parte Young theory), subsection (A)(i) of § 2710(d)(7) cannot be read in isolation from subsections (B)(ii)-(vii), which repeatedly refers exclusively to "the State." See supra at ___. In this regard, § 2710(d)(7) stands in contrast to the statutes cited by the dissent as examples where lower courts have found that Congress implicitly authorized suit under Ex parte Young. Compare 28 U.S.C. § 2254(e) (federal court authorized to issue an "order directed to an appropriate State official"); 42 U.S.C. § 11001 (1988 ed.) (requiring "the Governor" of a State to perform certain actions and holding "the Governor" responsible for nonperformance); 33 U.S.C. § 1365(a) (authorizing a suit against "any person" who is alleged to be in violation of relevant water pollution laws). Similarly the duty imposed by the Act—to "negotiate…in good faith to enter into" a compact with another sovereign—stands distinct in that it is not of the sort likely to be performed by an individual state executive officer or even a group of officers. Cf. State ex rel Stephan v. Finney, 836 P.2d 1169, 251 Kan. 559 (1992) (Governor of Kansas may negotiate, but may not enter into compact without grant of power from legislature).</w:t>
      </w:r>
    </w:p>
    <w:p w:rsidR="00A31137" w:rsidRPr="00A31137" w:rsidRDefault="00A31137" w:rsidP="00A31137">
      <w:r w:rsidRPr="00A31137">
        <w:t>1996, Seminole Tribe of Florida v. Florida, No. 94-12</w:t>
      </w:r>
    </w:p>
    <w:p w:rsidR="00A31137" w:rsidRPr="00A31137" w:rsidRDefault="00A31137" w:rsidP="00A31137">
      <w:r w:rsidRPr="00A31137">
        <w:t>18. We do not here consider, and express no opinion upon, that portion of the decision below that provides a substitute remedy for a tribe bringing suit. See 11 F.3d 1016, 1029 (CA11 1994) (case below).</w:t>
      </w:r>
    </w:p>
    <w:p w:rsidR="00A31137" w:rsidRPr="00A31137" w:rsidRDefault="00A31137" w:rsidP="00A31137">
      <w:r w:rsidRPr="00A31137">
        <w:t>STEVENS, J., dissenting (Footnotes)</w:t>
      </w:r>
    </w:p>
    <w:p w:rsidR="00A31137" w:rsidRPr="00A31137" w:rsidRDefault="00A31137" w:rsidP="00A31137">
      <w:r w:rsidRPr="00A31137">
        <w:t>1996, Seminole Tribe of Florida v. Florida, No. 94-12</w:t>
      </w:r>
    </w:p>
    <w:p w:rsidR="00A31137" w:rsidRPr="00A31137" w:rsidRDefault="00A31137" w:rsidP="00A31137">
      <w:r w:rsidRPr="00A31137">
        <w:t>1. See, e.g., Pennsylvania v. Union Gas Co., 496 U.S. 1 (1989) (holding that a federal court may order a State to pay cleanup costs pursuant to the Comprehensive Environmental Response, Compensation, and Liability Act of 1980); In re Merchants Grain, Inc., 59 F.3d 630 (CA7 1995) (holding that the Eleventh Amendment does not bar a bankruptcy court from issuing a money judgment against a State under the Bankruptcy Code); Chavez v. Arte Publico Press, 59 F.3d 539 (CA5 1995) (holding that a state university could be sued in federal court for infringing an author's copyright). The conclusion that suits against States may not be brought in federal court is also incompatible with our cases concluding that state entities may be sued for antitrust violations. See, e.g, Goldfarb v. Virginia State Bar, 421 U.S. 773, 791-792 (1975).</w:t>
      </w:r>
    </w:p>
    <w:p w:rsidR="00A31137" w:rsidRPr="00A31137" w:rsidRDefault="00A31137" w:rsidP="00A31137">
      <w:r w:rsidRPr="00A31137">
        <w:t>1996, Seminole Tribe of Florida v. Florida, No. 94-12</w:t>
      </w:r>
    </w:p>
    <w:p w:rsidR="00A31137" w:rsidRPr="00A31137" w:rsidRDefault="00A31137" w:rsidP="00A31137">
      <w:r w:rsidRPr="00A31137">
        <w:t>As federal courts have exclusive jurisdiction over cases arising under these federal laws, the majority's conclusion that the Eleventh Amendment shields States from being sued under them in federal court suggests that persons harmed by state violations of federal copyright, bankruptcy, and antitrust laws have no remedy. See Harris &amp; Kenny, Eleventh Amendment Jurisprudence After Atascadero: The Coming Clash With Antitrust, Copyright, and Other Causes of Action Over Which the Federal Courts Have Exclusive Jurisdiction, 37 Emory L.J. 645 (1988).</w:t>
      </w:r>
    </w:p>
    <w:p w:rsidR="00A31137" w:rsidRPr="00A31137" w:rsidRDefault="00A31137" w:rsidP="00A31137">
      <w:r w:rsidRPr="00A31137">
        <w:t>1996, Seminole Tribe of Florida v. Florida, No. 94-12</w:t>
      </w:r>
    </w:p>
    <w:p w:rsidR="00A31137" w:rsidRPr="00A31137" w:rsidRDefault="00A31137" w:rsidP="00A31137">
      <w:r w:rsidRPr="00A31137">
        <w:t>2. Because Justice Iredell read the Judiciary Act of 1789 to have incorporated the common law, he did not even conclude that Congress would have to make a clear statement in order to override the common law's recognition of sovereign immunity.</w:t>
      </w:r>
    </w:p>
    <w:p w:rsidR="00A31137" w:rsidRPr="00A31137" w:rsidRDefault="00A31137" w:rsidP="00A31137">
      <w:r w:rsidRPr="00A31137">
        <w:t>1996, Seminole Tribe of Florida v. Florida, No. 94-12</w:t>
      </w:r>
    </w:p>
    <w:p w:rsidR="00A31137" w:rsidRPr="00A31137" w:rsidRDefault="00A31137" w:rsidP="00A31137">
      <w:r w:rsidRPr="00A31137">
        <w:t>3. Actually, he limited his conclusion to the narrower question whether an action of assumpsit would lie against a State, which he distinguished from the more general question whether a State can ever be sued. Chisholm v. Georgia, 2 Dall. at  430. He did so because he recognized</w:t>
      </w:r>
    </w:p>
    <w:p w:rsidR="00A31137" w:rsidRPr="00A31137" w:rsidRDefault="00A31137" w:rsidP="00A31137">
      <w:r w:rsidRPr="00A31137">
        <w:t>1996, Seminole Tribe of Florida v. Florida, No. 94-12</w:t>
      </w:r>
    </w:p>
    <w:p w:rsidR="00A31137" w:rsidRPr="00A31137" w:rsidRDefault="00A31137" w:rsidP="00A31137">
      <w:r w:rsidRPr="00A31137">
        <w:t>that in England, certain judicial proceedings not inconsistent with the sovereignty, may take place against the Crown, but that an action of assumpsit will not lie,</w:t>
      </w:r>
    </w:p>
    <w:p w:rsidR="00A31137" w:rsidRPr="00A31137" w:rsidRDefault="00A31137" w:rsidP="00A31137">
      <w:r w:rsidRPr="00A31137">
        <w:t>1996, Seminole Tribe of Florida v. Florida, No. 94-12</w:t>
      </w:r>
    </w:p>
    <w:p w:rsidR="00A31137" w:rsidRPr="00A31137" w:rsidRDefault="00A31137" w:rsidP="00A31137">
      <w:r w:rsidRPr="00A31137">
        <w:t>and because he had "often found a great deal of confusion to arise from taking too large a view at once." Ibid.</w:t>
      </w:r>
    </w:p>
    <w:p w:rsidR="00A31137" w:rsidRPr="00A31137" w:rsidRDefault="00A31137" w:rsidP="00A31137">
      <w:r w:rsidRPr="00A31137">
        <w:t>1996, Seminole Tribe of Florida v. Florida, No. 94-12</w:t>
      </w:r>
    </w:p>
    <w:p w:rsidR="00A31137" w:rsidRPr="00A31137" w:rsidRDefault="00A31137" w:rsidP="00A31137">
      <w:r w:rsidRPr="00A31137">
        <w:t>4. In two sentences at the end of his lengthy opinion, Justice Iredell stated that his then-present view was that the Constitution would not permit a "compulsive suit against a State for the recovery of money." Id. at  449. In light of Justice Iredell's express statement that the only question before the Court was the propriety of an individual's action for assumpsit against a State, an action which, of course, results in a money judgment, see n. 2, supra, this dicta should not be understood to state the general view that the Constitution bars all suits against unconsenting States. Moreover, even as to the limited question whether the Constitution permits actions for money judgments, Justice Iredell took pains to reserve ultimate judgment. Chisholm v. Georgia, 2 Dall. at  449. Thus, nothing in Justice Iredell's two sentences of dicta provides a basis for concluding that Congress lacks the power to authorize the suit for the nonmonetary relief at issue here.</w:t>
      </w:r>
    </w:p>
    <w:p w:rsidR="00A31137" w:rsidRPr="00A31137" w:rsidRDefault="00A31137" w:rsidP="00A31137">
      <w:r w:rsidRPr="00A31137">
        <w:t>1996, Seminole Tribe of Florida v. Florida, No. 94-12</w:t>
      </w:r>
    </w:p>
    <w:p w:rsidR="00A31137" w:rsidRPr="00A31137" w:rsidRDefault="00A31137" w:rsidP="00A31137">
      <w:r w:rsidRPr="00A31137">
        <w:t>5. In this respect, Chisholm v. Georgia should be understood to be of a piece with the debate over judicial power famously joined in Martin v. Hunter's Lessee, 1 Wheat. 304,  337 (1816). There, too, the argument centered on whether Congress had the power to limit the seemingly expansive jurisdictional grant that Article III had conferred, not on whether Article III itself provided the relevant limitation.</w:t>
      </w:r>
    </w:p>
    <w:p w:rsidR="00A31137" w:rsidRPr="00A31137" w:rsidRDefault="00A31137" w:rsidP="00A31137">
      <w:r w:rsidRPr="00A31137">
        <w:t>1996, Seminole Tribe of Florida v. Florida, No. 94-12</w:t>
      </w:r>
    </w:p>
    <w:p w:rsidR="00A31137" w:rsidRPr="00A31137" w:rsidRDefault="00A31137" w:rsidP="00A31137">
      <w:r w:rsidRPr="00A31137">
        <w:t>6. The contention that Article III withdrew Georgia's sovereign immunity had special force precisely because Chisholm involved an action premised on the Supreme Court's original jurisdiction. While Article III leaves it to Congress to establish the lower federal courts, and to make exceptions to the Supreme Court's appellate jurisdiction, it specifically mandates that there be a Supreme Court and that it shall be vested with original jurisdiction over those actions in which "a State shall be a party." Article III, § 2. In light of that language, the Chisholm majority's conclusion that the Supreme Court had a constitutional obligation to take jurisdiction of all suits against States was not implausible.</w:t>
      </w:r>
    </w:p>
    <w:p w:rsidR="00A31137" w:rsidRPr="00A31137" w:rsidRDefault="00A31137" w:rsidP="00A31137">
      <w:r w:rsidRPr="00A31137">
        <w:t>1996, Seminole Tribe of Florida v. Florida, No. 94-12</w:t>
      </w:r>
    </w:p>
    <w:p w:rsidR="00A31137" w:rsidRPr="00A31137" w:rsidRDefault="00A31137" w:rsidP="00A31137">
      <w:r w:rsidRPr="00A31137">
        <w:t>7. It should be remembered that at the time of Chisholm, there was a general fear of what Justice Iredell termed the "innovating spirit" of the Federal Judiciary. See, e.g., 3 A. Beveridge, The Life of John Marshall 19-30 (1919) (discussing the consternation that the federal courts' creation of common law felonies engendered). Thus, there is good reason to believe that the reaction to Chisholm reflected the popular hostility to the Federal Judiciary more than any desire to restrain the National Legislature.</w:t>
      </w:r>
    </w:p>
    <w:p w:rsidR="00A31137" w:rsidRPr="00A31137" w:rsidRDefault="00A31137" w:rsidP="00A31137">
      <w:r w:rsidRPr="00A31137">
        <w:t>1996, Seminole Tribe of Florida v. Florida, No. 94-12</w:t>
      </w:r>
    </w:p>
    <w:p w:rsidR="00A31137" w:rsidRPr="00A31137" w:rsidRDefault="00A31137" w:rsidP="00A31137">
      <w:r w:rsidRPr="00A31137">
        <w:t>8. Of course, even if the Eleventh Amendment applies to federal question cases brought by a citizen of another State, its express terms pose no bar to a federal court assuming jurisdiction in a federal question case brought by an in-state plaintiff pursuant to Congress' express authorization. As that is precisely the posture of the suit before us, and as it was also precisely the posture of the suit at issue in Pennsylvania v. Union Gas, there is no need to decide here whether Congress would be barred from authorizing out-of-state plaintiffs to enforce federal rights against States in federal court. In fact, Justice Brennan left open that question in his dissent in Atascadero State Hospital v. Scanlon, 473 U.S. 234, 288, n. 41 (1985) (Brennan, J., dissenting).</w:t>
      </w:r>
    </w:p>
    <w:p w:rsidR="00A31137" w:rsidRPr="00A31137" w:rsidRDefault="00A31137" w:rsidP="00A31137">
      <w:r w:rsidRPr="00A31137">
        <w:t>1996, Seminole Tribe of Florida v. Florida, No. 94-12</w:t>
      </w:r>
    </w:p>
    <w:p w:rsidR="00A31137" w:rsidRPr="00A31137" w:rsidRDefault="00A31137" w:rsidP="00A31137">
      <w:r w:rsidRPr="00A31137">
        <w:t>When the Court is prepared to embark on a defensible interpretation of the Eleventh Amendment consistent with its history and purposes, the question whether the Amendment bars federal question or admiralty suits by a noncitizen or alien against a State would be open.</w:t>
      </w:r>
    </w:p>
    <w:p w:rsidR="00A31137" w:rsidRPr="00A31137" w:rsidRDefault="00A31137" w:rsidP="00A31137">
      <w:r w:rsidRPr="00A31137">
        <w:t>1996, Seminole Tribe of Florida v. Florida, No. 94-12</w:t>
      </w:r>
    </w:p>
    <w:p w:rsidR="00A31137" w:rsidRPr="00A31137" w:rsidRDefault="00A31137" w:rsidP="00A31137">
      <w:r w:rsidRPr="00A31137">
        <w:t>Ibid.</w:t>
      </w:r>
    </w:p>
    <w:p w:rsidR="00A31137" w:rsidRPr="00A31137" w:rsidRDefault="00A31137" w:rsidP="00A31137">
      <w:r w:rsidRPr="00A31137">
        <w:t>1996, Seminole Tribe of Florida v. Florida, No. 94-12</w:t>
      </w:r>
    </w:p>
    <w:p w:rsidR="00A31137" w:rsidRPr="00A31137" w:rsidRDefault="00A31137" w:rsidP="00A31137">
      <w:r w:rsidRPr="00A31137">
        <w:t>9. Under the "plain text" of the Eleventh Amendment, I note that there would appear to be no more basis for the conclusion that States may consent to federal court jurisdiction in actions brought by out-of-state or foreign citizens, than there would be for the view that States should be permitted to consent to the jurisdiction of a federal court in a case that poses no federal question. See, e.g., Owen Equipment &amp; Erection Co. v. Kroger, 437 U.S. 365, 377, n. 21 (1978); Sosna v. Iowa, 419 U.S. 393, 398 (1975); California v. LaRue, 409 U.S. 109, 112-113, n. 3 (1972); American Fire &amp; Casualty Co. v. Finn, 341 U.S. 6, 17-18, and n. 17 (1951); Mitchell v. Maurer, 293 U.S. 237, 244 (1934); Jackson v. Ashton, 8 Pet. 148, 149 (1834). We have, however, construed the Amendment, despite its text, to apply only to unconsenting States. See, e.g., Clark v. Barnard, 108 U.S. 436, 447 (1883). In so doing, we of course left it for Congress to determine whether federal courts should entertain any claim against a State in federal court. A departure from the text to expand the class of plaintiffs to whom the Eleventh Amendment's bar applies would, however, limit Congress' authority to exercise its considered judgment as to the propriety of federal court jurisdiction. The absence of a textual warrant for imposing such a broad limitation on the legislative branch counsels against this Court extratextually imposing one.</w:t>
      </w:r>
    </w:p>
    <w:p w:rsidR="00A31137" w:rsidRPr="00A31137" w:rsidRDefault="00A31137" w:rsidP="00A31137">
      <w:r w:rsidRPr="00A31137">
        <w:t>1996, Seminole Tribe of Florida v. Florida, No. 94-12</w:t>
      </w:r>
    </w:p>
    <w:p w:rsidR="00A31137" w:rsidRPr="00A31137" w:rsidRDefault="00A31137" w:rsidP="00A31137">
      <w:r w:rsidRPr="00A31137">
        <w:t>10. In his dissent in Pennsylvania v. Union Gas Co., 491 U.S. at 36-37, JUSTICE SCALIA contended that the existence of the Judiciary Act of 1875 at the time of Hans requires one to accept the</w:t>
      </w:r>
    </w:p>
    <w:p w:rsidR="00A31137" w:rsidRPr="00A31137" w:rsidRDefault="00A31137" w:rsidP="00A31137">
      <w:r w:rsidRPr="00A31137">
        <w:t>1996, Seminole Tribe of Florida v. Florida, No. 94-12</w:t>
      </w:r>
    </w:p>
    <w:p w:rsidR="00A31137" w:rsidRPr="00A31137" w:rsidRDefault="00A31137" w:rsidP="00A31137">
      <w:r w:rsidRPr="00A31137">
        <w:t>gossamer distinction between cases in which Congress has assertedly sought to eliminate state sovereign immunity pursuant to its powers to create and organize courts, and cases in which it has assertedly sought to do so pursuant to some of its other powers,</w:t>
      </w:r>
    </w:p>
    <w:p w:rsidR="00A31137" w:rsidRPr="00A31137" w:rsidRDefault="00A31137" w:rsidP="00A31137">
      <w:r w:rsidRPr="00A31137">
        <w:t>1996, Seminole Tribe of Florida v. Florida, No. 94-12</w:t>
      </w:r>
    </w:p>
    <w:p w:rsidR="00A31137" w:rsidRPr="00A31137" w:rsidRDefault="00A31137" w:rsidP="00A31137">
      <w:r w:rsidRPr="00A31137">
        <w:t>in order to conclude that, in spite of Hans, Congress may authorize federal courts to hear a suit against an unconsenting State. I rely on no such "gossamer distinction" here.</w:t>
      </w:r>
    </w:p>
    <w:p w:rsidR="00A31137" w:rsidRPr="00A31137" w:rsidRDefault="00A31137" w:rsidP="00A31137">
      <w:r w:rsidRPr="00A31137">
        <w:t>1996, Seminole Tribe of Florida v. Florida, No. 94-12</w:t>
      </w:r>
    </w:p>
    <w:p w:rsidR="00A31137" w:rsidRPr="00A31137" w:rsidRDefault="00A31137" w:rsidP="00A31137">
      <w:r w:rsidRPr="00A31137">
        <w:t>Congress has the authority to withdraw sovereign immunity in cases not covered by the Eleventh Amendment under all of its various powers. Nothing in Hans is to the contrary. As the passage quoted above demonstrates, Hans merely concluded that Congress, in enacting the Judiciary Act of 1875, did not manifest a desire to withdraw state sovereign immunity with sufficient clarity to overcome the countervailing presumption. Therefore, I rely only on the distinction between a statute that clearly directs federal courts to entertain suits against States, such as the one before us here, and a statute that does not, such as the Judiciary Act of 1875. In light of our repeated application of a clear statement rule in Eleventh Amendment cases, from Hans onward, I would be surprised to learn that such a distinction is too thin to be acceptable.</w:t>
      </w:r>
    </w:p>
    <w:p w:rsidR="00A31137" w:rsidRPr="00A31137" w:rsidRDefault="00A31137" w:rsidP="00A31137">
      <w:r w:rsidRPr="00A31137">
        <w:t>1996, Seminole Tribe of Florida v. Florida, No. 94-12</w:t>
      </w:r>
    </w:p>
    <w:p w:rsidR="00A31137" w:rsidRPr="00A31137" w:rsidRDefault="00A31137" w:rsidP="00A31137">
      <w:r w:rsidRPr="00A31137">
        <w:t>11. Indeed, to the extent the reasoning of Monaco was premised on the ground that a contrary ruling might permit foreign governments and States indirectly to frustrate Congress' treaty power, Principality of Monaco v. Mississippi, 292 U.S. 313, 331 (1934), the opinion suggests that its outcome would have been quite different had Congress expressly authorized suits by foreign governments against individual States as part of its administration of foreign policy.</w:t>
      </w:r>
    </w:p>
    <w:p w:rsidR="00A31137" w:rsidRPr="00A31137" w:rsidRDefault="00A31137" w:rsidP="00A31137">
      <w:r w:rsidRPr="00A31137">
        <w:t>1996, Seminole Tribe of Florida v. Florida, No. 94-12</w:t>
      </w:r>
    </w:p>
    <w:p w:rsidR="00A31137" w:rsidRPr="00A31137" w:rsidRDefault="00A31137" w:rsidP="00A31137">
      <w:r w:rsidRPr="00A31137">
        <w:t>12. Moreover, they would have most unnecessarily burdened Congress. For example, after deciding that Congress had not made sufficiently explicit its intention to withdraw the state sovereign immunity defense in certain bankruptcy actions, see Hoffman v. Connecticut Dept. of Income Maintenance, 492 U.S. 96 (1989), Congress understandably concluded that it could correct the confusion by amending the relevant statute to make its intentions to override such a defense unmistakably clear. See In re Merchants Grain, Inc., 59 F.3d 630 (CA7 1995). Congress will no doubt be surprised to learn that its exercise in legislative clarification, which it undertook for our benefit, was for naught because the Constitution makes it so.</w:t>
      </w:r>
    </w:p>
    <w:p w:rsidR="00A31137" w:rsidRPr="00A31137" w:rsidRDefault="00A31137" w:rsidP="00A31137">
      <w:r w:rsidRPr="00A31137">
        <w:t>1996, Seminole Tribe of Florida v. Florida, No. 94-12</w:t>
      </w:r>
    </w:p>
    <w:p w:rsidR="00A31137" w:rsidRPr="00A31137" w:rsidRDefault="00A31137" w:rsidP="00A31137">
      <w:r w:rsidRPr="00A31137">
        <w:t>13. Significantly, Chief Justice Marshall understood the Eleventh Amendment's bar to have been designed primarily to protect States from being sued for their debts. See Cohens v. Virginia, 6 Wheat. 264,  406 (1821).</w:t>
      </w:r>
    </w:p>
    <w:p w:rsidR="00A31137" w:rsidRPr="00A31137" w:rsidRDefault="00A31137" w:rsidP="00A31137">
      <w:r w:rsidRPr="00A31137">
        <w:t>1996, Seminole Tribe of Florida v. Florida, No. 94-12</w:t>
      </w:r>
    </w:p>
    <w:p w:rsidR="00A31137" w:rsidRPr="00A31137" w:rsidRDefault="00A31137" w:rsidP="00A31137">
      <w:r w:rsidRPr="00A31137">
        <w:t>14. Significantly, many of the cases decided after Hans in which this Court has recognized State sovereign immunity involved claims premised on the breach of rights that were rooted in state law. See Ford Motor Co. v. Department of Treasury of Ind., 323 U.S. 459 (1945); Great Northern Life Ins. Co. v. Read, 322 U.S. 47 (1944); Smith v. Reeves, 178 U.S. 436 (1900). In such cases, the Court's application of the state law immunity appears simply to foreshadow (or follow) the rule of Erie Railroad Co. v. Tompkins, 304 U.S. 64 (1938), not to demark the limits of Article III.</w:t>
      </w:r>
    </w:p>
    <w:p w:rsidR="00A31137" w:rsidRPr="00A31137" w:rsidRDefault="00A31137" w:rsidP="00A31137">
      <w:r w:rsidRPr="00A31137">
        <w:t>1996, Seminole Tribe of Florida v. Florida, No. 94-12</w:t>
      </w:r>
    </w:p>
    <w:p w:rsidR="00A31137" w:rsidRPr="00A31137" w:rsidRDefault="00A31137" w:rsidP="00A31137">
      <w:r w:rsidRPr="00A31137">
        <w:t>15. It is significant that JUSTICE SOUTER's opinion makes it perfectly clear that JUSTICE GINSBURG, JUSTICE BREYER, and he did not consider it necessary to rely on the holding in Union Gas to support their conclusion. I find today's decision particularly unfortunate because of its failure to advance an acceptable reason for refusing to adhere to a precedent upon which the Congress, a well as the courts, should be entitled to rely.</w:t>
      </w:r>
    </w:p>
    <w:p w:rsidR="00A31137" w:rsidRPr="00A31137" w:rsidRDefault="00A31137" w:rsidP="00A31137">
      <w:r w:rsidRPr="00A31137">
        <w:t>1996, Seminole Tribe of Florida v. Florida, No. 94-12</w:t>
      </w:r>
    </w:p>
    <w:p w:rsidR="00A31137" w:rsidRPr="00A31137" w:rsidRDefault="00A31137" w:rsidP="00A31137">
      <w:r w:rsidRPr="00A31137">
        <w:t>16. See STEVENS, Is Justice Irrelevant?, 87 NW Law Rev. 1121, 1124-1125 (1993).</w:t>
      </w:r>
    </w:p>
    <w:p w:rsidR="00A31137" w:rsidRPr="00A31137" w:rsidRDefault="00A31137" w:rsidP="00A31137">
      <w:r w:rsidRPr="00A31137">
        <w:t>1996, Seminole Tribe of Florida v. Florida, No. 94-12</w:t>
      </w:r>
    </w:p>
    <w:p w:rsidR="00A31137" w:rsidRPr="00A31137" w:rsidRDefault="00A31137" w:rsidP="00A31137">
      <w:r w:rsidRPr="00A31137">
        <w:t>17. Interestingly, this passage demonstrates that the Court's application of a common law sovereign immunity defense in Principality of Monaco v. Mississippi, 292 U.S. 313 (1934), was quite probably justified. There, a foreign State sued a State as a substantial creditor, and thus implicated the very purpose of the Eleventh Amendment.</w:t>
      </w:r>
    </w:p>
    <w:p w:rsidR="00A31137" w:rsidRPr="00A31137" w:rsidRDefault="00A31137" w:rsidP="00A31137">
      <w:r w:rsidRPr="00A31137">
        <w:t>1996, Seminole Tribe of Florida v. Florida, No. 94-12</w:t>
      </w:r>
    </w:p>
    <w:p w:rsidR="00A31137" w:rsidRPr="00A31137" w:rsidRDefault="00A31137" w:rsidP="00A31137">
      <w:r w:rsidRPr="00A31137">
        <w:t>18. Because Hans v. Louisiana, 134 U.S. 1 (1890), was the first case in which the Court held that a State could not be sued in federal court by one of its citizens, this comment is of interest:</w:t>
      </w:r>
    </w:p>
    <w:p w:rsidR="00A31137" w:rsidRPr="00A31137" w:rsidRDefault="00A31137" w:rsidP="00A31137">
      <w:r w:rsidRPr="00A31137">
        <w:t>1996, Seminole Tribe of Florida v. Florida, No. 94-12</w:t>
      </w:r>
    </w:p>
    <w:p w:rsidR="00A31137" w:rsidRPr="00A31137" w:rsidRDefault="00A31137" w:rsidP="00A31137">
      <w:r w:rsidRPr="00A31137">
        <w:t>It is not necessary that we should enter upon an examination of the reason or the expediency of the rule which exempts a sovereign State from prosecution in a court of justice at the suit of individuals. This is fully discussed by writers on public law. It is enough for us to declare its existence.</w:t>
      </w:r>
    </w:p>
    <w:p w:rsidR="00A31137" w:rsidRPr="00A31137" w:rsidRDefault="00A31137" w:rsidP="00A31137">
      <w:r w:rsidRPr="00A31137">
        <w:t>1996, Seminole Tribe of Florida v. Florida, No. 94-12</w:t>
      </w:r>
    </w:p>
    <w:p w:rsidR="00A31137" w:rsidRPr="00A31137" w:rsidRDefault="00A31137" w:rsidP="00A31137">
      <w:r w:rsidRPr="00A31137">
        <w:t>Id. at  21. So it is today.</w:t>
      </w:r>
    </w:p>
    <w:p w:rsidR="00A31137" w:rsidRPr="00A31137" w:rsidRDefault="00A31137" w:rsidP="00A31137">
      <w:r w:rsidRPr="00A31137">
        <w:t>SOUTER, J., dissenting (Footnotes)</w:t>
      </w:r>
    </w:p>
    <w:p w:rsidR="00A31137" w:rsidRPr="00A31137" w:rsidRDefault="00A31137" w:rsidP="00A31137">
      <w:r w:rsidRPr="00A31137">
        <w:t>1996, Seminole Tribe of Florida v. Florida, No. 94-12</w:t>
      </w:r>
    </w:p>
    <w:p w:rsidR="00A31137" w:rsidRPr="00A31137" w:rsidRDefault="00A31137" w:rsidP="00A31137">
      <w:r w:rsidRPr="00A31137">
        <w:t>1. The two Citizen-State Diversity Clauses provide as follows:</w:t>
      </w:r>
    </w:p>
    <w:p w:rsidR="00A31137" w:rsidRPr="00A31137" w:rsidRDefault="00A31137" w:rsidP="00A31137">
      <w:r w:rsidRPr="00A31137">
        <w:t>1996, Seminole Tribe of Florida v. Florida, No. 94-12</w:t>
      </w:r>
    </w:p>
    <w:p w:rsidR="00A31137" w:rsidRPr="00A31137" w:rsidRDefault="00A31137" w:rsidP="00A31137">
      <w:r w:rsidRPr="00A31137">
        <w:t>The judicial Power shall extend…to Controversies…between a State and Citizens of another State;…and between a State, or the Citizens thereof, and foreign States, Citizens or Subjects.</w:t>
      </w:r>
    </w:p>
    <w:p w:rsidR="00A31137" w:rsidRPr="00A31137" w:rsidRDefault="00A31137" w:rsidP="00A31137">
      <w:r w:rsidRPr="00A31137">
        <w:t>1996, Seminole Tribe of Florida v. Florida, No. 94-12</w:t>
      </w:r>
    </w:p>
    <w:p w:rsidR="00A31137" w:rsidRPr="00A31137" w:rsidRDefault="00A31137" w:rsidP="00A31137">
      <w:r w:rsidRPr="00A31137">
        <w:t>U.S.Const., Art. III, § 2. In his opinion in Union Gas, JUSTICE STEVENS referred to these clauses as the "citizen-state" and "alien-state" clauses, respectively, Pennsylvania v. Union Gas Co., 491 U.S. 1, 24 (1989) (STEVENS, J., concurring). I have grouped the two as "Citizen-State Diversity Clauses" for ease in frequent repetition here.</w:t>
      </w:r>
    </w:p>
    <w:p w:rsidR="00A31137" w:rsidRPr="00A31137" w:rsidRDefault="00A31137" w:rsidP="00A31137">
      <w:r w:rsidRPr="00A31137">
        <w:t>1996, Seminole Tribe of Florida v. Florida, No. 94-12</w:t>
      </w:r>
    </w:p>
    <w:p w:rsidR="00A31137" w:rsidRPr="00A31137" w:rsidRDefault="00A31137" w:rsidP="00A31137">
      <w:r w:rsidRPr="00A31137">
        <w:t>2. The first of these notions rests on the ancient maxim that "the King can do no wrong." See, e.g., 1 W. Blackstone, Commentaries *244. Professor Jaffe has argued this expression "originally meant precisely the contrary to what it later came to mean," that is, "'it meant that the king must not, was not allowed, not entitled, to do wrong.'" Jaffe, 77 Harv. L.Rev. at 4 (quoting Ehrlich, Proceedings Against the Crown (1216-1377) p. 42, in 6 Oxford Studies in Social and Legal History (P. Vinogradoff ed. 1921) at 42); see also 1 Blackstone, supra at *246 (interpreting the maxim to mean that "the prerogative of the crown extends not to do any injury"). In any event, it is clear that the idea of the sovereign, or any part of it, being above the law in this sense has not survived in American law. See, e.g., Langford v. United States, 101 U.S. 341, 342-343 (1880); Nevada v. Hall, 440 U.S. 410,  415 (1979).</w:t>
      </w:r>
    </w:p>
    <w:p w:rsidR="00A31137" w:rsidRPr="00A31137" w:rsidRDefault="00A31137" w:rsidP="00A31137">
      <w:r w:rsidRPr="00A31137">
        <w:t>1996, Seminole Tribe of Florida v. Florida, No. 94-12</w:t>
      </w:r>
    </w:p>
    <w:p w:rsidR="00A31137" w:rsidRPr="00A31137" w:rsidRDefault="00A31137" w:rsidP="00A31137">
      <w:r w:rsidRPr="00A31137">
        <w:t>3. The text reads that</w:t>
      </w:r>
    </w:p>
    <w:p w:rsidR="00A31137" w:rsidRPr="00A31137" w:rsidRDefault="00A31137" w:rsidP="00A31137">
      <w:r w:rsidRPr="00A31137">
        <w:t>1996, Seminole Tribe of Florida v. Florida, No. 94-12</w:t>
      </w:r>
    </w:p>
    <w:p w:rsidR="00A31137" w:rsidRPr="00A31137" w:rsidRDefault="00A31137" w:rsidP="00A31137">
      <w:r w:rsidRPr="00A31137">
        <w:t>[t]he Judicial Power shall extend to all Cases, in Law and Equity, arising under this Constitution, the Laws of the United States, and Treaties made, or which shall be made, under their Authority;—to all Cases affecting Ambassadors, other public Ministers and Consuls;—to all Cases of admiralty and maritime Jurisdiction;—to Controversies to which the United States shall be a Party;—to Controversies between two or more States;—between a State and Citizens of another State;—between Citizens of different States,—between Citizens of the same State claiming Lands under Grants of different States, and between a State, or the Citizens thereof, and foreign States, Citizens or Subjects.</w:t>
      </w:r>
    </w:p>
    <w:p w:rsidR="00A31137" w:rsidRPr="00A31137" w:rsidRDefault="00A31137" w:rsidP="00A31137">
      <w:r w:rsidRPr="00A31137">
        <w:t>1996, Seminole Tribe of Florida v. Florida, No. 94-12</w:t>
      </w:r>
    </w:p>
    <w:p w:rsidR="00A31137" w:rsidRPr="00A31137" w:rsidRDefault="00A31137" w:rsidP="00A31137">
      <w:r w:rsidRPr="00A31137">
        <w:t>4. The one statement I have found on the subject of States' immunity in federal question cases was an opinion that immunity would not be applicable in these cases: James Wilson, in the Pennsylvania ratification debate, stated that the federal question clause would require States to make good on pre-Revolutionary debt owed to English merchants (the enforcement of which was promised in the Treaty of 1783) and thereby</w:t>
      </w:r>
    </w:p>
    <w:p w:rsidR="00A31137" w:rsidRPr="00A31137" w:rsidRDefault="00A31137" w:rsidP="00A31137">
      <w:r w:rsidRPr="00A31137">
        <w:t>1996, Seminole Tribe of Florida v. Florida, No. 94-12</w:t>
      </w:r>
    </w:p>
    <w:p w:rsidR="00A31137" w:rsidRPr="00A31137" w:rsidRDefault="00A31137" w:rsidP="00A31137">
      <w:r w:rsidRPr="00A31137">
        <w:t>show the world that we make the faith of the treaties a constitutional part of the character of the United States; that we secure its performance no longer nominally, for the judges of the United States will be enabled to carry it into effect, let the legislatures of the different states do what they may.</w:t>
      </w:r>
    </w:p>
    <w:p w:rsidR="00A31137" w:rsidRPr="00A31137" w:rsidRDefault="00A31137" w:rsidP="00A31137">
      <w:r w:rsidRPr="00A31137">
        <w:t>1996, Seminole Tribe of Florida v. Florida, No. 94-12</w:t>
      </w:r>
    </w:p>
    <w:p w:rsidR="00A31137" w:rsidRPr="00A31137" w:rsidRDefault="00A31137" w:rsidP="00A31137">
      <w:r w:rsidRPr="00A31137">
        <w:t>2 J. Elliot, Debates on the Federal Constitution, 490 (2d ed. 1836) (Elliot's Debates).</w:t>
      </w:r>
    </w:p>
    <w:p w:rsidR="00A31137" w:rsidRPr="00A31137" w:rsidRDefault="00A31137" w:rsidP="00A31137">
      <w:r w:rsidRPr="00A31137">
        <w:t>1996, Seminole Tribe of Florida v. Florida, No. 94-12</w:t>
      </w:r>
    </w:p>
    <w:p w:rsidR="00A31137" w:rsidRPr="00A31137" w:rsidRDefault="00A31137" w:rsidP="00A31137">
      <w:r w:rsidRPr="00A31137">
        <w:t>5. This lengthy discussion of the history of the Constitution's ratification, the Court's opinion in Chisholm v. Georgia, 2 Dall. 419 (1793), and the adoption of the Eleventh Amendment is necessary to explain why, in my view, the contentions in some of our earlier opinions that Chisholm created a great "shock of surprise" misread the history. See Principality of Monaco v. Mississippi, 292 U.S. 313 (1934). The Court's response to this historical analysis is simply to recite yet again Monaco's erroneous assertion that Chisholm created a "such a shock of surprise that the Eleventh Amendment was at once proposed and adopted," 292 U.S. at 325. See ante at ___. This response is, with respect, no response at all.Monaco's ipse dixit that Chisholm created a "shock of surprise" does not make it so. This Court's opinions frequently make assertions of historical fact, but those assertions are not authoritative as to history in the same way that our interpretations of laws are authoritative as to them. In Tucker v. Alexandroff, 183 U.S. 424, 434 (1902), which was, like Monaco, decided a century after the event it purported to recount, the Court baldly stated that,</w:t>
      </w:r>
    </w:p>
    <w:p w:rsidR="00A31137" w:rsidRPr="00A31137" w:rsidRDefault="00A31137" w:rsidP="00A31137">
      <w:r w:rsidRPr="00A31137">
        <w:t>1996, Seminole Tribe of Florida v. Florida, No. 94-12</w:t>
      </w:r>
    </w:p>
    <w:p w:rsidR="00A31137" w:rsidRPr="00A31137" w:rsidRDefault="00A31137" w:rsidP="00A31137">
      <w:r w:rsidRPr="00A31137">
        <w:t>in September, 1790, General Washington, on the advice of Mr. Adams, did refuse to permit British troops to march through the territory of the United States from Detroit to the Mississippi, apparently for the reason that the object of such movement was an attack on New Orleans and the Spanish possessions on the Mississippi.</w:t>
      </w:r>
    </w:p>
    <w:p w:rsidR="00A31137" w:rsidRPr="00A31137" w:rsidRDefault="00A31137" w:rsidP="00A31137">
      <w:r w:rsidRPr="00A31137">
        <w:t>1996, Seminole Tribe of Florida v. Florida, No. 94-12</w:t>
      </w:r>
    </w:p>
    <w:p w:rsidR="00A31137" w:rsidRPr="00A31137" w:rsidRDefault="00A31137" w:rsidP="00A31137">
      <w:r w:rsidRPr="00A31137">
        <w:t>Modern historians agree, however, that there was no such request, see J. Daly, The Use of History in the Decisions of the Supreme Court: 1900-1930 65-66 (1954); W. Manning, The Nootka Sound Controversy, in Annual Report of the American Historical Association, H.R.Doc. 429 (1905) at 415-423, and it would of course be absurd for this Court to treat the fact that Tucker asserted the existence of the request as proof that it actually occurred. Cf. Erie R. Co. v. Tompkins, 304 U.S. 64, 72-73 (1938) ("But it was the more recent research of a competent scholar, who examined the original document, which established that the construction given to [the Judiciary Act of 1789] by the Court was erroneous; and that the purpose of the section was merely to make certain that, in all matters except those in which some federal law is controlling, the federal courts exercising jurisdiction in diversity of citizenship cases would apply as their rules of decision the law of the State, unwritten as well as written").</w:t>
      </w:r>
    </w:p>
    <w:p w:rsidR="00A31137" w:rsidRPr="00A31137" w:rsidRDefault="00A31137" w:rsidP="00A31137">
      <w:r w:rsidRPr="00A31137">
        <w:t>1996, Seminole Tribe of Florida v. Florida, No. 94-12</w:t>
      </w:r>
    </w:p>
    <w:p w:rsidR="00A31137" w:rsidRPr="00A31137" w:rsidRDefault="00A31137" w:rsidP="00A31137">
      <w:r w:rsidRPr="00A31137">
        <w:t>Moreover, in this case, there is ample evidence contradicting the "shock of surprise" thesis. Contrary to Monaco's suggestion, the Eleventh Amendment was not "at once proposed and adopted." Congress was in session when Chisholm was decided, and a constitutional amendment in response was proposed two days later, but Congress never acted on it, and in fact it was not until two years after Chisholm was handed down that an amendment was ratified. See Gibbons, The Eleventh Amendment and State Sovereign Immunity: A Reinterpretation, 83 Colum.L.Rev. 1889, 1926-1927 (1983).</w:t>
      </w:r>
    </w:p>
    <w:p w:rsidR="00A31137" w:rsidRPr="00A31137" w:rsidRDefault="00A31137" w:rsidP="00A31137">
      <w:r w:rsidRPr="00A31137">
        <w:t>1996, Seminole Tribe of Florida v. Florida, No. 94-12</w:t>
      </w:r>
    </w:p>
    <w:p w:rsidR="00A31137" w:rsidRPr="00A31137" w:rsidRDefault="00A31137" w:rsidP="00A31137">
      <w:r w:rsidRPr="00A31137">
        <w:t>6. See also 2 Dall. at 435 ("[I]t is certain, that in regard to any common law principle which can influence the question before us, no alteration has been made by any statute,"); id. at  437 (if "no new remedy be provided…we have no other rule to govern us, but the principles of the preexistent laws, which must remain in force till superseded by others"); Atascadero State Hospital v. Scanlon, 473 U.S. 234, 283 (1985) (Brennan, J., dissenting). But see Justice Iredell's dicta suggesting that the Constitution would not permit suits against a State. Chisholm, supra at  449 (Iredell, J., dissenting); Atascadero, supra at 283, n. 34 (Brennan, J., dissenting).</w:t>
      </w:r>
    </w:p>
    <w:p w:rsidR="00A31137" w:rsidRPr="00A31137" w:rsidRDefault="00A31137" w:rsidP="00A31137">
      <w:r w:rsidRPr="00A31137">
        <w:t>1996, Seminole Tribe of Florida v. Florida, No. 94-12</w:t>
      </w:r>
    </w:p>
    <w:p w:rsidR="00A31137" w:rsidRPr="00A31137" w:rsidRDefault="00A31137" w:rsidP="00A31137">
      <w:r w:rsidRPr="00A31137">
        <w:t>7. Of course, even if Justice Iredell had concluded that state sovereign immunity was not subject to abrogation, it would be inappropriate to assume (as it appears the Court does today, and Hans did as well) that the Eleventh Amendment (regardless of what it says) "constitutionalized" Justice Iredell's dissent, or that it simply adopted the opposite of the holding in Chisholm. It is as odd to read the Eleventh Amendment's rejection of Chisholm (which held that States may be sued in diversity) to say that States may not be sued on a federal question as it would be to read the Twenty-Sixth Amendment's rejection of Oregon v. Mitchell, 400 U.S. 112 (1970) (which held that Congress could not require States to extend the suffrage to 18-year-olds) to permit Congress to require States to extend the suffrage to 12-year-olds.</w:t>
      </w:r>
    </w:p>
    <w:p w:rsidR="00A31137" w:rsidRPr="00A31137" w:rsidRDefault="00A31137" w:rsidP="00A31137">
      <w:r w:rsidRPr="00A31137">
        <w:t>1996, Seminole Tribe of Florida v. Florida, No. 94-12</w:t>
      </w:r>
    </w:p>
    <w:p w:rsidR="00A31137" w:rsidRPr="00A31137" w:rsidRDefault="00A31137" w:rsidP="00A31137">
      <w:r w:rsidRPr="00A31137">
        <w:t>8. The great weight of scholarly commentary agrees. See, e.g., Jackson, The Supreme Court, the Eleventh Amendment, and State Sovereign Immunity, 98 Yale L.J. 1 (1988); Amar, Of Sovereignty and Federalism, 96 Yale L.J. 1425 (1987); Fletcher, A Historical Interpretation of the Eleventh Amendment: A Narrow Construction of an Affirmative Grant of Jurisdiction, Rather than a Prohibition Against Jurisdiction, 35 Stan.L.Rev. 1033 (1983); Gibbons, The Eleventh Amendment and State Sovereign Immunity: A Reinterpretation, 83 Colum.L.Rev. 1889 (1983); Field, The Eleventh Amendment and Other Sovereign Immunity Doctrines: Congressional Imposition of Suit Upon the States, 126 U.Pa.L.Rev. 1203 (1978). While a minority has adopted the second view set out above, see, e.g., Marshall, Fighting the Words of the Eleventh Amendment, 102 Harv. L.Rev. 1342 (1989); Massey, State Sovereignty and the Tenth and Eleventh Amendments, 56 U.Chi.L.Rev. 61 (1989), and others have criticized the diversity theory, see, e.g., Marshall, The Diversity Theory of the Eleventh Amendment: A Critical Evaluation, 102 Harv.L.Rev. 1372 (1989), I have discovered no commentator affirmatively advocating the position taken by the Court today. As one scholar has observed, the literature is</w:t>
      </w:r>
    </w:p>
    <w:p w:rsidR="00A31137" w:rsidRPr="00A31137" w:rsidRDefault="00A31137" w:rsidP="00A31137">
      <w:r w:rsidRPr="00A31137">
        <w:t>1996, Seminole Tribe of Florida v. Florida, No. 94-12</w:t>
      </w:r>
    </w:p>
    <w:p w:rsidR="00A31137" w:rsidRPr="00A31137" w:rsidRDefault="00A31137" w:rsidP="00A31137">
      <w:r w:rsidRPr="00A31137">
        <w:t>remarkably consistent in its evaluation of the historical evidence and text of the amendment as not supporting a broad rule of constitutional immunity for states.</w:t>
      </w:r>
    </w:p>
    <w:p w:rsidR="00A31137" w:rsidRPr="00A31137" w:rsidRDefault="00A31137" w:rsidP="00A31137">
      <w:r w:rsidRPr="00A31137">
        <w:t>1996, Seminole Tribe of Florida v. Florida, No. 94-12</w:t>
      </w:r>
    </w:p>
    <w:p w:rsidR="00A31137" w:rsidRPr="00A31137" w:rsidRDefault="00A31137" w:rsidP="00A31137">
      <w:r w:rsidRPr="00A31137">
        <w:t>Jackson, supra at 44, n. 179.</w:t>
      </w:r>
    </w:p>
    <w:p w:rsidR="00A31137" w:rsidRPr="00A31137" w:rsidRDefault="00A31137" w:rsidP="00A31137">
      <w:r w:rsidRPr="00A31137">
        <w:t>1996, Seminole Tribe of Florida v. Florida, No. 94-12</w:t>
      </w:r>
    </w:p>
    <w:p w:rsidR="00A31137" w:rsidRPr="00A31137" w:rsidRDefault="00A31137" w:rsidP="00A31137">
      <w:r w:rsidRPr="00A31137">
        <w:t>9. Vassall initiated a suit against Massachusetts, invoking the original jurisdiction of the Supreme Court. Although the marshal for the district of Massachusetts served a subpoena on Governor John Hancock and Attorney General James Sullivan, the Commonwealth of Massachusetts did not appear by the original return date of August, 1793, and the case was continued to the February, 1794 Term. Massachusetts never did appear, and the case was "simply continued from term to term through 1796." 5 Documentary History of the Supreme Court of the United States at 369. In February, 1797, the suit was "dismissed with Costs, for reasons unknown," ibid. (internal quotation marks omitted), perhaps because "Vassall failed to prosecute it properly." Ibid.</w:t>
      </w:r>
    </w:p>
    <w:p w:rsidR="00A31137" w:rsidRPr="00A31137" w:rsidRDefault="00A31137" w:rsidP="00A31137">
      <w:r w:rsidRPr="00A31137">
        <w:t>1996, Seminole Tribe of Florida v. Florida, No. 94-12</w:t>
      </w:r>
    </w:p>
    <w:p w:rsidR="00A31137" w:rsidRPr="00A31137" w:rsidRDefault="00A31137" w:rsidP="00A31137">
      <w:r w:rsidRPr="00A31137">
        <w:t>10. We have generally rejected Eleventh Amendment challenges to our appellate jurisdiction on the specious ground that an appeal is not a "suit" for purposes of the Amendment. See, e.g., McKesson Corp. v. Division of Alcoholic Beverages and Tobacco, Fla. Dept. of Business Regulation, 496 U.S. 18, 27 (1990). Although Cohens v. Virginia, 6 Wheat. 264,  412 (1821), is cited for this proposition, that case involved a State as plaintiff. See generally Jackson, "The Supreme Court, the Eleventh Amendment, and State Sovereign Immunity," 98 Yale L.J. 1, 32-35 (1988) (rejecting the appeal/suit distinction). The appeal/suit distinction, in any case, makes no sense. Whether or not an appeal is a "suit" in its own right, it is certainly a means by which an appellate court exercises jurisdiction over a "suit" that began in the courts below. Cf. Griggs v. Provident Consumer Discount Co., 459 U.S. 56, 58 (1982) (per curiam) ("The filing of a notice of appeal is an event of jurisdictional significance—it confers jurisdiction on the court of appeals and divests the district court of its control over those aspects of the case involved in the appeal").</w:t>
      </w:r>
    </w:p>
    <w:p w:rsidR="00A31137" w:rsidRPr="00A31137" w:rsidRDefault="00A31137" w:rsidP="00A31137">
      <w:r w:rsidRPr="00A31137">
        <w:t>1996, Seminole Tribe of Florida v. Florida, No. 94-12</w:t>
      </w:r>
    </w:p>
    <w:p w:rsidR="00A31137" w:rsidRPr="00A31137" w:rsidRDefault="00A31137" w:rsidP="00A31137">
      <w:r w:rsidRPr="00A31137">
        <w:t>11. See also Pennsylvania v. Union Gas Co., supra at 31 (SCALIA, J., concurring in part and dissenting in part) ("If this text [of the Eleventh Amendment] were intended as a comprehensive description of state sovereign immunity in federal courts…, then it would unquestionably be most reasonable to interpret it as providing immunity only when the sole basis of federal jurisdiction is the diversity of citizenship that it describes (which of course tracks some of the diversity jurisdictional grants in U.S.Const., Art. III, § 2). For there is no plausible reason why one would wish to protect a State from being sued in federal court for violation of federal law…when the plaintiff is a citizen of another State or country, but to permit a State to be sued there when the plaintiff is citizen of the State itself").</w:t>
      </w:r>
    </w:p>
    <w:p w:rsidR="00A31137" w:rsidRPr="00A31137" w:rsidRDefault="00A31137" w:rsidP="00A31137">
      <w:r w:rsidRPr="00A31137">
        <w:t>1996, Seminole Tribe of Florida v. Florida, No. 94-12</w:t>
      </w:r>
    </w:p>
    <w:p w:rsidR="00A31137" w:rsidRPr="00A31137" w:rsidRDefault="00A31137" w:rsidP="00A31137">
      <w:r w:rsidRPr="00A31137">
        <w:t>12. The Court does suggest that the drafters of the Eleventh Amendment may not have had federal question jurisdiction in mind, in the apparent belief that this somehow supports its reading. Ante at ___. The possibility, however, that those who drafted the Eleventh Amendment intended to deal "only with the problem presented by the decision in Chisholm" would demonstrate, if any demonstration beyond the clear language of the Eleventh Amendment were necessary, that the Eleventh Amendment was not intended to address the broader issue of federal question suits brought by citizens.</w:t>
      </w:r>
    </w:p>
    <w:p w:rsidR="00A31137" w:rsidRPr="00A31137" w:rsidRDefault="00A31137" w:rsidP="00A31137">
      <w:r w:rsidRPr="00A31137">
        <w:t>1996, Seminole Tribe of Florida v. Florida, No. 94-12</w:t>
      </w:r>
    </w:p>
    <w:p w:rsidR="00A31137" w:rsidRPr="00A31137" w:rsidRDefault="00A31137" w:rsidP="00A31137">
      <w:r w:rsidRPr="00A31137">
        <w:t>Moreover, the Court's point is built on a faulty foundation. The Court is simply incorrect in asserting that "the federal courts did not have federal question jurisdiction at the time the Amendment was passed." Ante at ___. Article III, of course, provided for such jurisdiction, and early Congresses exercised their authority pursuant to Article III to confer jurisdiction on the federal courts to resolve various matters of federal law. E.g., Act of Apr. 10, 1790, § 5, 1 Stat. 111; Act of Feb. 21, 1793, § 6, 1 Stat. 322; Act of Mar. 23, 1792, §§ 2,3, 1 Stat. 244; see also Osborn v. Bank of United States, 9 Wheat. 738 (1824) (holding that federal statute conferred federal question jurisdiction in cases involving the Bank of the United States); see generally P. Bator, D. Meltzer, P. Mishkin, &amp; D. Shapiro, Hart &amp; Wechsler's The Federal Courts and the Federal System 960-982 (3d ed. 1988). In fact, only six years after the passage of the Eleventh Amendment, Congress enacted a statute providing for general federal question jurisdiction. Act of Feb. 13, 1801, § 11, 2 Stat. 92 ("[T]he said circuit courts respectively shall have cognizance of…all cases in law or equity, arising under the constitution and laws of the United States, and treaties made, or which shall be made, under their authority"). It is, of course, true that this statute proved short-lived (it was repealed by the Act of Mar. 8, 1802, 2 Stat. 132), and that Congress did not pass another statute conferring general federal jurisdiction until 1875, but the drafters of the Eleventh Amendment obviously could not have predicted such things. The real significance of the 1801 act is that it demonstrates the awareness among the Members of the early Congresses of the potential scope of Article III. This, in combination with the pre-Eleventh Amendment statutes that conferred federal question jurisdiction on the federal courts, cast considerable doubt on the Court's suggestion that the issue of federal question jurisdiction never occurred to the drafters of the Eleventh Amendment; on the contrary, just because these early statutes underscore the early Congresses' recognition of the availability of federal question jurisdiction, the silence of the Eleventh Amendment is all the more deafening.</w:t>
      </w:r>
    </w:p>
    <w:p w:rsidR="00A31137" w:rsidRPr="00A31137" w:rsidRDefault="00A31137" w:rsidP="00A31137">
      <w:r w:rsidRPr="00A31137">
        <w:t>1996, Seminole Tribe of Florida v. Florida, No. 94-12</w:t>
      </w:r>
    </w:p>
    <w:p w:rsidR="00A31137" w:rsidRPr="00A31137" w:rsidRDefault="00A31137" w:rsidP="00A31137">
      <w:r w:rsidRPr="00A31137">
        <w:t>13. The majority chides me that the "lengthy analysis of the text of the Eleventh Amendment is directed at a straw man," ante at ___. But plain text is the Man of Steel in a confrontation with "background principle[s]" and "'postulates which limit and control,'" ante at ___. An argument rooted in the text of a constitutional provision may not be guaranteed of carrying the day, but insubstantiality is not its failing. See, e.g., Monaghan, Our Perfect Constitution, 56 N.Y.U.L.Rev. 353, 383-384 (1981) ("For the purposes of legal reasoning, the binding quality of the constitutional text is itself incapable of, and not in need of, further demonstration"); cf. Bourjaily v. United States, 483 U.S. 171, 178 (1987) (REHNQUIST, C.J.) ("It would be extraordinary to require legislative history to confirm the plain meaning of [Fed. R. Evid.] 104"); Garcia v. United States, 469 U.S. 70, 75 (1984) (REHNQUIST, J.) ("[O]nly the most extraordinary showing of contrary intentions from [the legislative history] would justify a limitation on the 'plain meaning' of the statutory language"). This is particularly true in construing the jurisdictional provisions of Art. III, which speak with a clarity not to be found in some of the more open-textured provisions of the Constitution. See National Mutual Ins. Co. v. Tidewater Transfer Co., 337 U.S. 582, 646-647 (1949) (Frankfurter, J., dissenting); Schauer, Easy Cases, 58 S. Cal.L.Rev. 399, 424 (1985) (noting the "seemingly plain linguistic mandate" of the Eleventh Amendment). That the Court thinks otherwise is an indication of just how far it has strayed beyond the boundaries of traditional constitutional analysis.</w:t>
      </w:r>
    </w:p>
    <w:p w:rsidR="00A31137" w:rsidRPr="00A31137" w:rsidRDefault="00A31137" w:rsidP="00A31137">
      <w:r w:rsidRPr="00A31137">
        <w:t>1996, Seminole Tribe of Florida v. Florida, No. 94-12</w:t>
      </w:r>
    </w:p>
    <w:p w:rsidR="00A31137" w:rsidRPr="00A31137" w:rsidRDefault="00A31137" w:rsidP="00A31137">
      <w:r w:rsidRPr="00A31137">
        <w:t>14. Professor Jackson has noted the "remarkabl[e] consisten[cy]" of the scholarship on this point, Jackson, 98 Yale L.J. at 44, n. 179. See also n. 8, supra.</w:t>
      </w:r>
    </w:p>
    <w:p w:rsidR="00A31137" w:rsidRPr="00A31137" w:rsidRDefault="00A31137" w:rsidP="00A31137">
      <w:r w:rsidRPr="00A31137">
        <w:t>1996, Seminole Tribe of Florida v. Florida, No. 94-12</w:t>
      </w:r>
    </w:p>
    <w:p w:rsidR="00A31137" w:rsidRPr="00A31137" w:rsidRDefault="00A31137" w:rsidP="00A31137">
      <w:r w:rsidRPr="00A31137">
        <w:t>15. Indeed, as JUSTICE STEVENS suggests, there is language in Hans suggesting that the Court was really construing the Judiciary Act of 1875, rather than the Constitution. See ante at ___.</w:t>
      </w:r>
    </w:p>
    <w:p w:rsidR="00A31137" w:rsidRPr="00A31137" w:rsidRDefault="00A31137" w:rsidP="00A31137">
      <w:r w:rsidRPr="00A31137">
        <w:t>1996, Seminole Tribe of Florida v. Florida, No. 94-12</w:t>
      </w:r>
    </w:p>
    <w:p w:rsidR="00A31137" w:rsidRPr="00A31137" w:rsidRDefault="00A31137" w:rsidP="00A31137">
      <w:r w:rsidRPr="00A31137">
        <w:t>16. See Gibbons, 83 Colum.L.Rev. at 2000 ("Without weakening the contract clause, which over the next two decades the Fuller Court might need both in its fight against government regulation of business and as a weapon against defaulting local governments, the justices needed a way to let the South win the repudiation war. The means Bradley chose was to rewrite the eleventh amendment and the history of its adoption"). The commentators' contention that this Court's inability to enforce the obligation of Southern States to pay their debts influenced the result in Hans v. Louisiana, 134 U.S. 1 (1890), is substantiated by three anomalies of this Court's sovereign immunity jurisprudence during that period. First, this Court held in 1885 that Virginia's sovereign immunity did not allow it to abrogate its bonds. Virginia Coupon Cases, 114 U.S. 269 (1885). The difference from the situation in other states, however, was that Virginia had made its bond coupons receivable in payment of state taxes;</w:t>
      </w:r>
    </w:p>
    <w:p w:rsidR="00A31137" w:rsidRPr="00A31137" w:rsidRDefault="00A31137" w:rsidP="00A31137">
      <w:r w:rsidRPr="00A31137">
        <w:t>1996, Seminole Tribe of Florida v. Florida, No. 94-12</w:t>
      </w:r>
    </w:p>
    <w:p w:rsidR="00A31137" w:rsidRPr="00A31137" w:rsidRDefault="00A31137" w:rsidP="00A31137">
      <w:r w:rsidRPr="00A31137">
        <w:t>[u]nder these circumstances federal courts did not need to rely on the political branches of government to enforce their orders but could protect creditors by a judgment that their taxes had in fact been paid. In these cases the Eleventh Amendment faded into the background.</w:t>
      </w:r>
    </w:p>
    <w:p w:rsidR="00A31137" w:rsidRPr="00A31137" w:rsidRDefault="00A31137" w:rsidP="00A31137">
      <w:r w:rsidRPr="00A31137">
        <w:t>1996, Seminole Tribe of Florida v. Florida, No. 94-12</w:t>
      </w:r>
    </w:p>
    <w:p w:rsidR="00A31137" w:rsidRPr="00A31137" w:rsidRDefault="00A31137" w:rsidP="00A31137">
      <w:r w:rsidRPr="00A31137">
        <w:t>Orth, Judicial Power of the United States at 9; see generally id. at 90-109. Second at the same time that this Court was articulating broad principles of immunity for States, we refused to recognize similar immunity for municipalities and similar state political subdivisions. See, e.g., Lincoln County v. Luning, 133 U.S. 529 (1890). Professor Orth suggests that this seeming inconsistency is traceable to the enforcement difficulties arising from the withdrawal of federal troops from the South. "It just so happened," he points out,</w:t>
      </w:r>
    </w:p>
    <w:p w:rsidR="00A31137" w:rsidRPr="00A31137" w:rsidRDefault="00A31137" w:rsidP="00A31137">
      <w:r w:rsidRPr="00A31137">
        <w:t>1996, Seminole Tribe of Florida v. Florida, No. 94-12</w:t>
      </w:r>
    </w:p>
    <w:p w:rsidR="00A31137" w:rsidRPr="00A31137" w:rsidRDefault="00A31137" w:rsidP="00A31137">
      <w:r w:rsidRPr="00A31137">
        <w:t>that counties had tended to issue bonds in the West, while in the South, states had usually done the job. Property in the form of bonds could be defended in the mid-West and West, but similar property in the South had to be sacrificed to the higher politics of the Compromise of 1877.</w:t>
      </w:r>
    </w:p>
    <w:p w:rsidR="00A31137" w:rsidRPr="00A31137" w:rsidRDefault="00A31137" w:rsidP="00A31137">
      <w:r w:rsidRPr="00A31137">
        <w:t>1996, Seminole Tribe of Florida v. Florida, No. 94-12</w:t>
      </w:r>
    </w:p>
    <w:p w:rsidR="00A31137" w:rsidRPr="00A31137" w:rsidRDefault="00A31137" w:rsidP="00A31137">
      <w:r w:rsidRPr="00A31137">
        <w:t>Orth, supra at 111. Finally, Professor Orth attributes this Court's recognition (or revival) of the Ex parte Young action as a way around state sovereign immunity to the fact that, by 1908, "the problem of repudiated Southern bonds was clearly a specter from an increasingly distant past." Orth, supra at 128. See also Gibbons, supra at 2002 (arguing that the Court's unanimous revival of its power to grant equitable relief against state officers in Pennoyer v. McConnaughy, 140 U.S. 1 (1891), was made possible by the fact that the case "did not involve Southern State bonds"). I am reluctant, to be sure, to ascribe these legal developments to a single, extra-legal cause, and at least one commentator has suggested that the Southern debt crisis may not have been the only factor driving the Court's Eleventh Amendment jurisprudence during this period. See generally Collins, The Conspiracy Theory of the Eleventh Amendment, 88 Colum.L.Rev. 212 (1988) (reviewing Orth). But neither would I ignore the pattern of the cases, which tends to show that the presence or absence of enforcement difficulties significantly influenced the path of the law in this area. See id. at 243 (acknowledging that "[i]t is perfectly conceivable that Compromise-related politics exerted their influence at the margin-in doubtful cases in which the Court might have gone either way").</w:t>
      </w:r>
    </w:p>
    <w:p w:rsidR="00A31137" w:rsidRPr="00A31137" w:rsidRDefault="00A31137" w:rsidP="00A31137">
      <w:r w:rsidRPr="00A31137">
        <w:t>1996, Seminole Tribe of Florida v. Florida, No. 94-12</w:t>
      </w:r>
    </w:p>
    <w:p w:rsidR="00A31137" w:rsidRPr="00A31137" w:rsidRDefault="00A31137" w:rsidP="00A31137">
      <w:r w:rsidRPr="00A31137">
        <w:t>17. Today's majority condemns my attention to Hans' historical circumstances as "a disservice to the Court's traditional method of adjudication." Ante at ___. The point, however, is not that historical circumstance may undermine an otherwise defensible decision; on the contrary, it is just because Hans is so utterly indefensible on the merits of its legal analysis that one is forced to look elsewhere in order to understand how the Court could have gone so far wrong. Nor is there anything new or remarkable in taking such a look, for we have sought similar explanations in other cases. In Puerto Rico v. Branstad, 483 U.S. 219 (1987), for example, we suggested that the Court's holding in Kentucky v. Dennison, 24 How. 66 (1861), that</w:t>
      </w:r>
    </w:p>
    <w:p w:rsidR="00A31137" w:rsidRPr="00A31137" w:rsidRDefault="00A31137" w:rsidP="00A31137">
      <w:r w:rsidRPr="00A31137">
        <w:t>1996, Seminole Tribe of Florida v. Florida, No. 94-12</w:t>
      </w:r>
    </w:p>
    <w:p w:rsidR="00A31137" w:rsidRPr="00A31137" w:rsidRDefault="00A31137" w:rsidP="00A31137">
      <w:r w:rsidRPr="00A31137">
        <w:t>"the Federal Government, under the Constitution, has no power to impose on a State officer, as such, any duty whatever, and compel him to perform it,"</w:t>
      </w:r>
    </w:p>
    <w:p w:rsidR="00A31137" w:rsidRPr="00A31137" w:rsidRDefault="00A31137" w:rsidP="00A31137">
      <w:r w:rsidRPr="00A31137">
        <w:t>1996, Seminole Tribe of Florida v. Florida, No. 94-12</w:t>
      </w:r>
    </w:p>
    <w:p w:rsidR="00A31137" w:rsidRPr="00A31137" w:rsidRDefault="00A31137" w:rsidP="00A31137">
      <w:r w:rsidRPr="00A31137">
        <w:t>id. at  107, was influenced by "the looming shadow of a Civil War," Branstad, 483 U.S. at 227,and we ultimately determined that Dennison should be overruled. Id. at 230. The author of the Court's opinion today joined that analysis, as did the other Members of today's majority who were then on the Court. See id. at 230 (O'CONNOR, J., concurring in part and concurring in judgment) (joining the relevant portion of the majority opinion); id. at 231 (SCALIA, J., concurring in part and concurring in judgment) (same).</w:t>
      </w:r>
    </w:p>
    <w:p w:rsidR="00A31137" w:rsidRPr="00A31137" w:rsidRDefault="00A31137" w:rsidP="00A31137">
      <w:r w:rsidRPr="00A31137">
        <w:t>1996, Seminole Tribe of Florida v. Florida, No. 94-12</w:t>
      </w:r>
    </w:p>
    <w:p w:rsidR="00A31137" w:rsidRPr="00A31137" w:rsidRDefault="00A31137" w:rsidP="00A31137">
      <w:r w:rsidRPr="00A31137">
        <w:t>18. See also Georgia Railroad &amp; Banking Co. v. Redwine, 342 U.S. 299, 304 (1952) (same); Fitts v. McGhee, 172 U.S. 516, 524 (1899) (same). Even JUSTICE SCALIA's dissent in Union Gas, the reasoning of which the majority adopts today, acknowledged that its view of sovereign immunity depended upon "some other constitutional principle beyond the immediate text of the Eleventh Amendment." 491 U.S. at 31 (opinion concurring in part and dissenting in part). To the extent that our prior cases do refer to Hans immunity as part of the Eleventh Amendment, they can only be referring to JUSTICE STEVENS' "other" Eleventh Amendment. Hess v. Port Authority Trans-Hudson Corp., 513 U.S. ___, ___ (1994) (STEVENS, J., concurring); see also Pennsylvania v. Union Gas Co., supra at 23-29 (STEVENS, J., concurring) (same).</w:t>
      </w:r>
    </w:p>
    <w:p w:rsidR="00A31137" w:rsidRPr="00A31137" w:rsidRDefault="00A31137" w:rsidP="00A31137">
      <w:r w:rsidRPr="00A31137">
        <w:t>1996, Seminole Tribe of Florida v. Florida, No. 94-12</w:t>
      </w:r>
    </w:p>
    <w:p w:rsidR="00A31137" w:rsidRPr="00A31137" w:rsidRDefault="00A31137" w:rsidP="00A31137">
      <w:r w:rsidRPr="00A31137">
        <w:t>19. See also Union Gas, 491 U.S. at 31-32 (SCALIA, J., concurring in part and dissenting in part) ("What we said in Hans was, essentially, that the Eleventh Amendment was important not merely for what it said but for what it reflected: a consensus that the doctrine of sovereign immunity, for States as well as for the Federal Government, was part of the understood background against which the Constitution was adopted, and which its jurisdictional provisions did not mean to sweep away"); Nevada v. Hall, 440 U.S. at  440 (REHNQUIST, J., dissenting) (interpreting Monaco as "rel[ying] on precepts underlying but not explicit in Art. III and the Eleventh Amendment").</w:t>
      </w:r>
    </w:p>
    <w:p w:rsidR="00A31137" w:rsidRPr="00A31137" w:rsidRDefault="00A31137" w:rsidP="00A31137">
      <w:r w:rsidRPr="00A31137">
        <w:t>1996, Seminole Tribe of Florida v. Florida, No. 94-12</w:t>
      </w:r>
    </w:p>
    <w:p w:rsidR="00A31137" w:rsidRPr="00A31137" w:rsidRDefault="00A31137" w:rsidP="00A31137">
      <w:r w:rsidRPr="00A31137">
        <w:t>20. There are good reasons not to take many of these statements too seriously. Some are plainly exaggerated; for example, the suggestion in Great Northern Ins. Co. v. Read, 322 U.S. 47, 51 (1944), that "[a] state's freedom from litigation was established as a constitutional right through the Eleventh Amendment" obviously ignores a State's liability to suit by other States, see, e.g., South Dakota v. North Carolina, 192 U.S. 286 (1904), and by the National Government, see, e.g., United States v. Texas, 143 U.S. 621 (1892). See also Nevada v. Hall, supra, at  420, n. 19 (noting that "the Eleventh Amendment has not accorded the States absolute sovereign immunity in federal court actions"). Similarly, statements such as in Ex parte New York, 256 U.S. at 497, that</w:t>
      </w:r>
    </w:p>
    <w:p w:rsidR="00A31137" w:rsidRPr="00A31137" w:rsidRDefault="00A31137" w:rsidP="00A31137">
      <w:r w:rsidRPr="00A31137">
        <w:t>1996, Seminole Tribe of Florida v. Florida, No. 94-12</w:t>
      </w:r>
    </w:p>
    <w:p w:rsidR="00A31137" w:rsidRPr="00A31137" w:rsidRDefault="00A31137" w:rsidP="00A31137">
      <w:r w:rsidRPr="00A31137">
        <w:t>the entire judicial power granted by the Constitution does not embrace authority to entertain a suit brought by private parties against a State without consent given</w:t>
      </w:r>
    </w:p>
    <w:p w:rsidR="00A31137" w:rsidRPr="00A31137" w:rsidRDefault="00A31137" w:rsidP="00A31137">
      <w:r w:rsidRPr="00A31137">
        <w:t>1996, Seminole Tribe of Florida v. Florida, No. 94-12</w:t>
      </w:r>
    </w:p>
    <w:p w:rsidR="00A31137" w:rsidRPr="00A31137" w:rsidRDefault="00A31137" w:rsidP="00A31137">
      <w:r w:rsidRPr="00A31137">
        <w:t>should not necessarily be taken as affirming that Article III itself incorporated a constitutional immunity doctrine. How else to explain Justice Harlan's concurring opinion in Hans, which stated, practically in the same breath, that "a suit directly against a State by one of its own citizens is not one to which the judicial power of the United States extends," and that Chisholm "was based upon a sound interpretation of the Constitution as that instrument then was"? 134 U.S. at  21.</w:t>
      </w:r>
    </w:p>
    <w:p w:rsidR="00A31137" w:rsidRPr="00A31137" w:rsidRDefault="00A31137" w:rsidP="00A31137">
      <w:r w:rsidRPr="00A31137">
        <w:t>1996, Seminole Tribe of Florida v. Florida, No. 94-12</w:t>
      </w:r>
    </w:p>
    <w:p w:rsidR="00A31137" w:rsidRPr="00A31137" w:rsidRDefault="00A31137" w:rsidP="00A31137">
      <w:r w:rsidRPr="00A31137">
        <w:t>21. See also Georgia Railroad &amp; Banking Co. v. Redwine, 342 U.S. 299, 304 (1952); Fitts v. McGhee, 172 U.S. 516, 524-525 (1899).</w:t>
      </w:r>
    </w:p>
    <w:p w:rsidR="00A31137" w:rsidRPr="00A31137" w:rsidRDefault="00A31137" w:rsidP="00A31137">
      <w:r w:rsidRPr="00A31137">
        <w:t>1996, Seminole Tribe of Florida v. Florida, No. 94-12</w:t>
      </w:r>
    </w:p>
    <w:p w:rsidR="00A31137" w:rsidRPr="00A31137" w:rsidRDefault="00A31137" w:rsidP="00A31137">
      <w:r w:rsidRPr="00A31137">
        <w:t>22. See also Warth v. Seldin, 422 U.S. 490, 501 (1975) ("Congress may grant an express right of action to persons who otherwise would be barred by prudential standing rules"); E. Chemerinsky, Federal Jurisdiction § 2.1 at 42-43 (2d ed. 1994).</w:t>
      </w:r>
    </w:p>
    <w:p w:rsidR="00A31137" w:rsidRPr="00A31137" w:rsidRDefault="00A31137" w:rsidP="00A31137">
      <w:r w:rsidRPr="00A31137">
        <w:t>1996, Seminole Tribe of Florida v. Florida, No. 94-12</w:t>
      </w:r>
    </w:p>
    <w:p w:rsidR="00A31137" w:rsidRPr="00A31137" w:rsidRDefault="00A31137" w:rsidP="00A31137">
      <w:r w:rsidRPr="00A31137">
        <w:t>23. Indeed, The Chief Justice could hardly have been clearer in Fry v. United States, 421 U.S. 542 (1975), where he explained that</w:t>
      </w:r>
    </w:p>
    <w:p w:rsidR="00A31137" w:rsidRPr="00A31137" w:rsidRDefault="00A31137" w:rsidP="00A31137">
      <w:r w:rsidRPr="00A31137">
        <w:t>1996, Seminole Tribe of Florida v. Florida, No. 94-12</w:t>
      </w:r>
    </w:p>
    <w:p w:rsidR="00A31137" w:rsidRPr="00A31137" w:rsidRDefault="00A31137" w:rsidP="00A31137">
      <w:r w:rsidRPr="00A31137">
        <w:t>[t]he Court's decision in Hans v. Louisiana, 134 U.S. 1 (1890), offers impressive authority for the principle that the States as such were regarded by the Framers of the Constitution as partaking of many attributes of sovereignty quite apart from the provisions of the Tenth Amendment…. As it was not the Eleventh Amendment by its terms which justified the result in Hans, it is not the Tenth Amendment by its terms that prohibits congressional action which sets a mandatory ceiling on the wages of all state employees. Both Amendments are simply examples of the understanding of those who drafted and ratified the Constitution that the States were sovereign in many respects, and that although their legislative authority could be superseded by Congress in many areas where Congress was competent to act, Congress was nonetheless not free to deal with a State as if it were just another individual or business enterprise subject to regulation.</w:t>
      </w:r>
    </w:p>
    <w:p w:rsidR="00A31137" w:rsidRPr="00A31137" w:rsidRDefault="00A31137" w:rsidP="00A31137">
      <w:r w:rsidRPr="00A31137">
        <w:t>1996, Seminole Tribe of Florida v. Florida, No. 94-12</w:t>
      </w:r>
    </w:p>
    <w:p w:rsidR="00A31137" w:rsidRPr="00A31137" w:rsidRDefault="00A31137" w:rsidP="00A31137">
      <w:r w:rsidRPr="00A31137">
        <w:t>Id. at 556-557 (REHNQUIST, J., dissenting).</w:t>
      </w:r>
    </w:p>
    <w:p w:rsidR="00A31137" w:rsidRPr="00A31137" w:rsidRDefault="00A31137" w:rsidP="00A31137">
      <w:r w:rsidRPr="00A31137">
        <w:t>1996, Seminole Tribe of Florida v. Florida, No. 94-12</w:t>
      </w:r>
    </w:p>
    <w:p w:rsidR="00A31137" w:rsidRPr="00A31137" w:rsidRDefault="00A31137" w:rsidP="00A31137">
      <w:r w:rsidRPr="00A31137">
        <w:t>24. Indeed, in Nevada v. Hall, 440 U.S. at  439, The Chief Justice complained in dissent that the same statements upon which he relies today had been "dismiss[ed]…as dicta."</w:t>
      </w:r>
    </w:p>
    <w:p w:rsidR="00A31137" w:rsidRPr="00A31137" w:rsidRDefault="00A31137" w:rsidP="00A31137">
      <w:r w:rsidRPr="00A31137">
        <w:t>1996, Seminole Tribe of Florida v. Florida, No. 94-12</w:t>
      </w:r>
    </w:p>
    <w:p w:rsidR="00A31137" w:rsidRPr="00A31137" w:rsidRDefault="00A31137" w:rsidP="00A31137">
      <w:r w:rsidRPr="00A31137">
        <w:t>25. In Hoffman, one member of the four-Justice plurality expressly disavowed the plurality's assumption that Congress could abrogate the States' immunity by making its intent to do so clear. See 492 U.S. at 105 (O'CONNOR, J., concurring). The four dissenters, however, not only assumed that Congress had the power to abrogate but found that it had done so. See id. at 106 (Marshall, J., dissenting). Likewise, in Welch, the four-justice plurality was joined by four dissenters who insisted upon a congressional power of abrogation. See 483 U.S. at 519 (Brennan, J., dissenting).</w:t>
      </w:r>
    </w:p>
    <w:p w:rsidR="00A31137" w:rsidRPr="00A31137" w:rsidRDefault="00A31137" w:rsidP="00A31137">
      <w:r w:rsidRPr="00A31137">
        <w:t>1996, Seminole Tribe of Florida v. Florida, No. 94-12</w:t>
      </w:r>
    </w:p>
    <w:p w:rsidR="00A31137" w:rsidRPr="00A31137" w:rsidRDefault="00A31137" w:rsidP="00A31137">
      <w:r w:rsidRPr="00A31137">
        <w:t>26. The Court seeks to disparage the common law roots of the doctrine, and the consequences of those roots which I outline infra at ___ &amp; ___, by asserting that Hans "found its roots not solely in the common law of England, but in the much more fundamental '"jurisprudence in all civilized nations."'" Ante at ___ (quoting Hans, 134 U.S. at  17). The Hans Court, however, relied explicitly on the ground that a suit against the State by its own citizen was "not known…at the common law," and was not among the departures from the common law recognized by the Constitution. Hans, 134 U.S. at  15. Moreover, Hans explicitly adopted the reasoning of Justice Iredell's dissent in Chisholm, see 134 U.S. at 18-19, and that opinion could hardly have been clearer in relying exclusively on the common law. "The only principles of law…which can affect this case," Justice Iredell wrote,</w:t>
      </w:r>
    </w:p>
    <w:p w:rsidR="00A31137" w:rsidRPr="00A31137" w:rsidRDefault="00A31137" w:rsidP="00A31137">
      <w:r w:rsidRPr="00A31137">
        <w:t>1996, Seminole Tribe of Florida v. Florida, No. 94-12</w:t>
      </w:r>
    </w:p>
    <w:p w:rsidR="00A31137" w:rsidRPr="00A31137" w:rsidRDefault="00A31137" w:rsidP="00A31137">
      <w:r w:rsidRPr="00A31137">
        <w:t>[are] those that are derived from what is properly termed "the common law," a law which I presume is the groundwork of the laws in every State in the Union, and which I consider, so far as it is applicable to the peculiar circumstances of the country, and where no special act of Legislation controuls it, to be in force in each State, as it existed in England, (unaltered by any statute) at the time of the first settlement of the country.</w:t>
      </w:r>
    </w:p>
    <w:p w:rsidR="00A31137" w:rsidRPr="00A31137" w:rsidRDefault="00A31137" w:rsidP="00A31137">
      <w:r w:rsidRPr="00A31137">
        <w:t>1996, Seminole Tribe of Florida v. Florida, No. 94-12</w:t>
      </w:r>
    </w:p>
    <w:p w:rsidR="00A31137" w:rsidRPr="00A31137" w:rsidRDefault="00A31137" w:rsidP="00A31137">
      <w:r w:rsidRPr="00A31137">
        <w:t>2 Dall. at  435 (emphasis omitted). See also Employees of Dept. of Public Health and Welfare of Missouri v. Department of Public Health and Welfare of Missouri, 411 U.S. 279, 288 (1973) (Marshall, J., concurring in result) ("Sovereign immunity is a common law doctrine that long predates our Constitution and the Eleventh Amendment, although it has, of course, been carried forward in our jurisprudence"); R. Watkins, The State as a Party Litigant 51-52 (1927) ("It thus seems probable that the doctrine of state immunity was accepted rather as an existing fact by the people of the states, than adopted as a theory. It was a matter of universal practice, and was accepted from the mother country along with the rest of the common law of England applicable to our changed state and condition").</w:t>
      </w:r>
    </w:p>
    <w:p w:rsidR="00A31137" w:rsidRPr="00A31137" w:rsidRDefault="00A31137" w:rsidP="00A31137">
      <w:r w:rsidRPr="00A31137">
        <w:t>1996, Seminole Tribe of Florida v. Florida, No. 94-12</w:t>
      </w:r>
    </w:p>
    <w:p w:rsidR="00A31137" w:rsidRPr="00A31137" w:rsidRDefault="00A31137" w:rsidP="00A31137">
      <w:r w:rsidRPr="00A31137">
        <w:t>27. See, e.g., Hall, The Common Law: An Account of Its Reception in the United States, 4 Vand.L.Rev. 791, 796 (1951) ("Whether we emphasize the imitation by the colonists of the practices of English local courts or whether we say the early colonial judges were really applying their own common sense ideas of justice, the fact remains that there was an incomplete acceptance in America of English legal principles, and this indigenous law which developed in America remained as a significant source of law after the Revolution").</w:t>
      </w:r>
    </w:p>
    <w:p w:rsidR="00A31137" w:rsidRPr="00A31137" w:rsidRDefault="00A31137" w:rsidP="00A31137">
      <w:r w:rsidRPr="00A31137">
        <w:t>1996, Seminole Tribe of Florida v. Florida, No. 94-12</w:t>
      </w:r>
    </w:p>
    <w:p w:rsidR="00A31137" w:rsidRPr="00A31137" w:rsidRDefault="00A31137" w:rsidP="00A31137">
      <w:r w:rsidRPr="00A31137">
        <w:t>28. See also Jones, The Common Law in the United States: English Themes and American Variations, in Political Separation and Legal Continuity 95-98 (H. Jones, ed. 1976) (Jones) (acknowledging that a true common law system had not yet developed in the early colonial period); Stoebuck, Reception of English Common Law in the American Colonies, 10 Wm. &amp; Mary L.Rev. 393, 406-407 (1968) (same).</w:t>
      </w:r>
    </w:p>
    <w:p w:rsidR="00A31137" w:rsidRPr="00A31137" w:rsidRDefault="00A31137" w:rsidP="00A31137">
      <w:r w:rsidRPr="00A31137">
        <w:t>1996, Seminole Tribe of Florida v. Florida, No. 94-12</w:t>
      </w:r>
    </w:p>
    <w:p w:rsidR="00A31137" w:rsidRPr="00A31137" w:rsidRDefault="00A31137" w:rsidP="00A31137">
      <w:r w:rsidRPr="00A31137">
        <w:t>29. See, e.g., Reinsch, English Common Law in the Early American Colonies at 7 (finding that the colonists developed their own "rude, popular, summary" system of justice despite professed adhesion to the common law); C. Hilkey, Legal Development in Colonial Massachusetts, 1630-1686, p. 69 (1967) (emphasizing Biblical and indigenous sources); Radin, The Rivalry of Common Law and Civil Law Ideas in the American Colonies, in 2 Law: A Century of Progress 404, 407-411 (1937) (emphasizing natural law and Roman law); Goebel, King's Law and Local Custom in Seventeenth Century New England, 31 Colum. L.Rev. 416 (1931) (finding that the early settlers imported the law and procedure of the borough and manor courts with which they had been familiar in England).</w:t>
      </w:r>
    </w:p>
    <w:p w:rsidR="00A31137" w:rsidRPr="00A31137" w:rsidRDefault="00A31137" w:rsidP="00A31137">
      <w:r w:rsidRPr="00A31137">
        <w:t>1996, Seminole Tribe of Florida v. Florida, No. 94-12</w:t>
      </w:r>
    </w:p>
    <w:p w:rsidR="00A31137" w:rsidRPr="00A31137" w:rsidRDefault="00A31137" w:rsidP="00A31137">
      <w:r w:rsidRPr="00A31137">
        <w:t>30. See also Stoebuck, supra at 411-412 (indicating that the Colonies became significantly more receptive to the common law after 1700, in part because of a British desire to regularize colonial legal systems).</w:t>
      </w:r>
    </w:p>
    <w:p w:rsidR="00A31137" w:rsidRPr="00A31137" w:rsidRDefault="00A31137" w:rsidP="00A31137">
      <w:r w:rsidRPr="00A31137">
        <w:t>1996, Seminole Tribe of Florida v. Florida, No. 94-12</w:t>
      </w:r>
    </w:p>
    <w:p w:rsidR="00A31137" w:rsidRPr="00A31137" w:rsidRDefault="00A31137" w:rsidP="00A31137">
      <w:r w:rsidRPr="00A31137">
        <w:t>31. See also Jones 98 ("The selective nature of the reception is evident in any examination of the state of law in the colonies in the years immediately preceding the Revolution"). An example is Trott's law, adopted by South Carolina in 1712, which declared which English statutes were in force in the colony. Many laws of England, Trott conceded, were "altogether useless" in South Carolina "by reason of the different way of agriculture and the differing productions of the earth of this Province from that of England"; others were "impracticable" because of differences in institutions. L. Friedman, A History of American Law 90-93 (2d ed. 1985); see also C. Warren, History of the American Bar 122-123 (1911) (quoting North Carolina statute, passed in 1715, providing that the common law would be in force "'so far as shall be compatible with our way of living and trade'").</w:t>
      </w:r>
    </w:p>
    <w:p w:rsidR="00A31137" w:rsidRPr="00A31137" w:rsidRDefault="00A31137" w:rsidP="00A31137">
      <w:r w:rsidRPr="00A31137">
        <w:t>1996, Seminole Tribe of Florida v. Florida, No. 94-12</w:t>
      </w:r>
    </w:p>
    <w:p w:rsidR="00A31137" w:rsidRPr="00A31137" w:rsidRDefault="00A31137" w:rsidP="00A31137">
      <w:r w:rsidRPr="00A31137">
        <w:t>32. American hostility to things English was so pronounced for a time that Pennsylvania, New Jersey, and Kentucky proscribed by statute the citation of English decisions in their courts, and the New Hampshire courts promulgated a rule of court to the same effect. See Hall, 4 Vand. L.Rev. at 806; Warren, supra at 227. This hostility may appear somewhat paradoxical in view of the colonists' frequent insistence during the revolutionary crisis that they were entitled to common law rights. See, e.g., First Continental Congress Declaration and Resolves (1774), in Documents Illustrative of the Formation of the Union of the American States, H.R.Doc. No. 398, 69th Cong., 1st Sess., 1, 3 (C. Tansill, ed. 1927) ("That the respective colonies are entitled to the common law of England"). In this context, however, the colonists were referring</w:t>
      </w:r>
    </w:p>
    <w:p w:rsidR="00A31137" w:rsidRPr="00A31137" w:rsidRDefault="00A31137" w:rsidP="00A31137">
      <w:r w:rsidRPr="00A31137">
        <w:t>1996, Seminole Tribe of Florida v. Florida, No. 94-12</w:t>
      </w:r>
    </w:p>
    <w:p w:rsidR="00A31137" w:rsidRPr="00A31137" w:rsidRDefault="00A31137" w:rsidP="00A31137">
      <w:r w:rsidRPr="00A31137">
        <w:t>not to the corpus of English case law doctrine, but to such profoundly valued common law procedures as trial by jury and the subjection of governmental power to what John Locke had called the "standing laws,"</w:t>
      </w:r>
    </w:p>
    <w:p w:rsidR="00A31137" w:rsidRPr="00A31137" w:rsidRDefault="00A31137" w:rsidP="00A31137">
      <w:r w:rsidRPr="00A31137">
        <w:t>1996, Seminole Tribe of Florida v. Florida, No. 94-12</w:t>
      </w:r>
    </w:p>
    <w:p w:rsidR="00A31137" w:rsidRPr="00A31137" w:rsidRDefault="00A31137" w:rsidP="00A31137">
      <w:r w:rsidRPr="00A31137">
        <w:t>such as Magna Carta, the Petition of Right, the Bill of Rights of 1689, and the Act of Settlement of 1701. Jones 110; see also Jay, Origins of Federal Common Law: Part Two, 133 U.Pa.L.Rev. 1231, 1256 (1985) (Jay II) (noting that "Antifederalists used the term common law to mean the great rights associated with due process"). The cardinal principles of this common law vision were parliamentary supremacy and the rule of law, conceived as the axiom that "all members of society, government officials as well as private persons, are equally responsible to the law and…'equally amenable to the jurisdiction of ordinary tribunals.'" Jones 128-129 (quoting A. Dicey, Introduction to Study of the Law of Constitution 192 (9th ed. 1939)). It is hard to imagine that the doctrine of sovereign immunity, so profoundly at odds with both these cardinal principles, could have been imported to America as part of this more generalized common law vision.</w:t>
      </w:r>
    </w:p>
    <w:p w:rsidR="00A31137" w:rsidRPr="00A31137" w:rsidRDefault="00A31137" w:rsidP="00A31137">
      <w:r w:rsidRPr="00A31137">
        <w:t>1996, Seminole Tribe of Florida v. Florida, No. 94-12</w:t>
      </w:r>
    </w:p>
    <w:p w:rsidR="00A31137" w:rsidRPr="00A31137" w:rsidRDefault="00A31137" w:rsidP="00A31137">
      <w:r w:rsidRPr="00A31137">
        <w:t>33. See, e.g., Conner v. Shepherd, 15 Mass. 164 (1818) (rejecting English common law rule regarding assignment of dower rights as inapplicable to the state and condition of land in Massachusetts); Parker &amp; Edgarton v. Foote, 19 Wend. 309, 318 (N.Y. 1838) (rejecting English rule entitling a landowner to damages for the stopping of his lights; the court noted that "[i]t cannot be necessary to cite cases to prove that those portions of the common law of England which are hostile to the spirit of our institutions, or which are not adapted to the existing state of things in this country, form no part of our law"); Fitch v. Brainerd, 2 Conn. 163, 189 (1805) (accepting English common law rule barring married woman from disposing of her real estate by will, and observing that "it long since became necessary…to make [the English common law] our own, by practical adoption—with such exceptions as a diversity of circumstances, and the incipient customs of our own country, required") (emphasis in original); Martin v. Bigelow, 2 Aiken 184 (Vt. 1827) (declaring English common law as to stream rights inappropriate for conditions of Vermont waterways); Hall v. Smith, 1 Bay 330, 331 (S.C.Sup.Ct. 1793) (refusing to apply strict English rules regarding promissory notes as unsuited to the "local situation of Carolina"). See also Hall, supra at 805 ("[A] review of the cases shows that no matter what the wording of the reception statute or constitutional provision of the particular state, the rule developed, which was sooner or later to be repeated in practically every American jurisdiction, that only those principles of the common law were received which were applicable to the local situation").</w:t>
      </w:r>
    </w:p>
    <w:p w:rsidR="00A31137" w:rsidRPr="00A31137" w:rsidRDefault="00A31137" w:rsidP="00A31137">
      <w:r w:rsidRPr="00A31137">
        <w:t>1996, Seminole Tribe of Florida v. Florida, No. 94-12</w:t>
      </w:r>
    </w:p>
    <w:p w:rsidR="00A31137" w:rsidRPr="00A31137" w:rsidRDefault="00A31137" w:rsidP="00A31137">
      <w:r w:rsidRPr="00A31137">
        <w:t>34. See also Jones 123-124 (noting that the common law institutions of habeas corpus and jury trial were "not merely received as ordinary law," but rather "received by [specific textual provisions] of the Constitution itself, as part of the supreme law of the land"). Sovereign immunity, of course, was not elevated to constitutional status in this way; such immunity thus stands on the same footing as any other common law principle which the Framers refused to place beyond the reach of legislative change. That such principles were and are subject to legislative alteration is confirmed by our treatment of other forms of common law immunities, such as the immunity enjoyed under certain circumstances by public officials. Butz v. Economou, 438 U.S. 478,  508 (1978) (officer immunity is derived from the common law); Imbler v. Pachtman, 424 U.S. 409, 421 (1976) (same). In this context, "our immunity decisions have been informed by the common law" only "in the absence of explicit…congressional guidance." Nixon v. Fitzgerald, 457 U.S. 731, 747 (1982). See generally ante at ___ (STEVENS, J., dissenting); Jackson, supra at 75-104. Surely no one would deny Congress the power to abrogate those immunities if it should so choose.</w:t>
      </w:r>
    </w:p>
    <w:p w:rsidR="00A31137" w:rsidRPr="00A31137" w:rsidRDefault="00A31137" w:rsidP="00A31137">
      <w:r w:rsidRPr="00A31137">
        <w:t>1996, Seminole Tribe of Florida v. Florida, No. 94-12</w:t>
      </w:r>
    </w:p>
    <w:p w:rsidR="00A31137" w:rsidRPr="00A31137" w:rsidRDefault="00A31137" w:rsidP="00A31137">
      <w:r w:rsidRPr="00A31137">
        <w:t>35. See, e.g., 2 Elliot's Debates 400 (Thomas Tredwell, New York Convention) ("[W]e are ignorant whether [federal proceedings] shall be according to the common, civil, the Jewish, or Turkish law…. ").</w:t>
      </w:r>
    </w:p>
    <w:p w:rsidR="00A31137" w:rsidRPr="00A31137" w:rsidRDefault="00A31137" w:rsidP="00A31137">
      <w:r w:rsidRPr="00A31137">
        <w:t>1996, Seminole Tribe of Florida v. Florida, No. 94-12</w:t>
      </w:r>
    </w:p>
    <w:p w:rsidR="00A31137" w:rsidRPr="00A31137" w:rsidRDefault="00A31137" w:rsidP="00A31137">
      <w:r w:rsidRPr="00A31137">
        <w:t>36. See also Justice Jay's Charge to the Grand Jury for the District of New York (April 4, 1790) (observing that at the time the Nation was formed, "[o]ur jurisprudence varied in almost every State, and was accommodated to local, not general convenience—to partial, not national policy") (quoted in Jay, Origins of Federal Common Law: Part I, 133 U.Pa.L.Rev. 1003, 1056 n. 261 (1985)); United States v. Worrall, 28 F.Cas. 774, 779 (No. 16,766) (Chase, J.) (C.C. Pa. 1798) (noting that "[t]he common law…of one state, is not the common law of another"); 8 Annals of Cong. 2137 (1798) (statement of Rep. Albert Gallatin) (asserting that there could be no national common law because "[t]he common law of Great Britain received in each colony, had in every one received modifications arising from their situation…and now each State had a common law, in its general principles the same, but in many particulars differing from each other").</w:t>
      </w:r>
    </w:p>
    <w:p w:rsidR="00A31137" w:rsidRPr="00A31137" w:rsidRDefault="00A31137" w:rsidP="00A31137">
      <w:r w:rsidRPr="00A31137">
        <w:t>1996, Seminole Tribe of Florida v. Florida, No. 94-12</w:t>
      </w:r>
    </w:p>
    <w:p w:rsidR="00A31137" w:rsidRPr="00A31137" w:rsidRDefault="00A31137" w:rsidP="00A31137">
      <w:r w:rsidRPr="00A31137">
        <w:t>37. See also Jay II at 1241-1250 (arguing that Jeffersonian Republicans resisted the idea of a general federal reception of the common law as an incursion on States' rights); Jay I at 1111 (same). Given the roots of the Framers' resistance, the Court's reception of the English common law into the Constitution itself in the very name of state sovereignty goes beyond the limits of irony.</w:t>
      </w:r>
    </w:p>
    <w:p w:rsidR="00A31137" w:rsidRPr="00A31137" w:rsidRDefault="00A31137" w:rsidP="00A31137">
      <w:r w:rsidRPr="00A31137">
        <w:t>1996, Seminole Tribe of Florida v. Florida, No. 94-12</w:t>
      </w:r>
    </w:p>
    <w:p w:rsidR="00A31137" w:rsidRPr="00A31137" w:rsidRDefault="00A31137" w:rsidP="00A31137">
      <w:r w:rsidRPr="00A31137">
        <w:t>38. See 3 Elliot's Debates 573 (the Constitution would "render valid and effective existing claims" against the States). See also 2 id. at 491 (James Wilson, in the Pennsylvania ratification debate: "When a citizen has a controversy with another state, there ought to be a tribunal where both parties may stand on a just and equal footing"). Wilson, as I noted above, took a similar position in addressing the federal question, or arising under, clause, remarking that the effect of the clause would be to require States to honor pre-Revolutionary debt owed to English merchants, as had been promised in the Treaty of 1783. See supra at n. 4.</w:t>
      </w:r>
    </w:p>
    <w:p w:rsidR="00A31137" w:rsidRPr="00A31137" w:rsidRDefault="00A31137" w:rsidP="00A31137">
      <w:r w:rsidRPr="00A31137">
        <w:t>1996, Seminole Tribe of Florida v. Florida, No. 94-12</w:t>
      </w:r>
    </w:p>
    <w:p w:rsidR="00A31137" w:rsidRPr="00A31137" w:rsidRDefault="00A31137" w:rsidP="00A31137">
      <w:r w:rsidRPr="00A31137">
        <w:t>39. The Court accuses me of quoting this statement out of context, ante at ___, n. 12, but the additional material included by the Court makes no difference. I am conceding that Madison, Hamilton, and Marshall all agreed that Article III did not of its own force abrogate the states' preexisting common law immunity at least with respect to diversity suits. None of the statements offered by the Court, however, purports to deal with federal question jurisdiction or with the question whether Congress, acting pursuant to its Article I powers, could create a cause of action against a State. As I explain further below, the views of Madison and his allies on this more difficult question can be divined, if at all, only by reference to the more extended discussions by Hamilton in Federalist No. 32, and by Iredell in his Chisholm dissent. Both those discussions, I submit, tend to support a congressional power of abrogation.</w:t>
      </w:r>
    </w:p>
    <w:p w:rsidR="00A31137" w:rsidRPr="00A31137" w:rsidRDefault="00A31137" w:rsidP="00A31137">
      <w:r w:rsidRPr="00A31137">
        <w:t>1996, Seminole Tribe of Florida v. Florida, No. 94-12</w:t>
      </w:r>
    </w:p>
    <w:p w:rsidR="00A31137" w:rsidRPr="00A31137" w:rsidRDefault="00A31137" w:rsidP="00A31137">
      <w:r w:rsidRPr="00A31137">
        <w:t>40. See also Worcester v. Georgia, 6 Pet. 515,  561 (1832) ("The Cherokee nation…is a distinct community…in which the laws of Georgia can have no force…. The whole intercourse between the United States and this nation, is, by our constitution and laws, vested in the government of the United States"). This Court has repeatedly rejected state attempts to assert sovereignty over Indian lands. See, e.g., The New York Indians, 5 Wall. 761, 769 (1867) (rejecting state attempt to tax reservation lands); Worcester, supra at 561-563 (nullifying an attempted prosecution by the state of Georgia of a person who resided on Indian lands in violation of state law).</w:t>
      </w:r>
    </w:p>
    <w:p w:rsidR="00A31137" w:rsidRPr="00A31137" w:rsidRDefault="00A31137" w:rsidP="00A31137">
      <w:r w:rsidRPr="00A31137">
        <w:t>1996, Seminole Tribe of Florida v. Florida, No. 94-12</w:t>
      </w:r>
    </w:p>
    <w:p w:rsidR="00A31137" w:rsidRPr="00A31137" w:rsidRDefault="00A31137" w:rsidP="00A31137">
      <w:r w:rsidRPr="00A31137">
        <w:t>41. Although we have rejected a per se bar to state jurisdiction, it is clear that such jurisdiction remains the exception and not the rule. See New Mexico v. Mescalero Apache Tribe, 462 U.S. 324, 331-332 (1983) (footnotes omitted) ("[U]nder certain circumstances a State may validly assert authority over the activities of nonmembers on a reservation, and…in exceptional circumstances a State may assert jurisdiction over the on-reservation activities of tribal members").</w:t>
      </w:r>
    </w:p>
    <w:p w:rsidR="00A31137" w:rsidRPr="00A31137" w:rsidRDefault="00A31137" w:rsidP="00A31137">
      <w:r w:rsidRPr="00A31137">
        <w:t>1996, Seminole Tribe of Florida v. Florida, No. 94-12</w:t>
      </w:r>
    </w:p>
    <w:p w:rsidR="00A31137" w:rsidRPr="00A31137" w:rsidRDefault="00A31137" w:rsidP="00A31137">
      <w:r w:rsidRPr="00A31137">
        <w:t>42. See The Federalist No. 82 at 553 (A. Hamilton) (disclaiming any intent to answer all the "questions of intricacy and nicety" arising in a judicial system that must accommodate "the total or partial incorporation of a number of distinct sovereignties"); S. Elkins and E. McKitrick, The Age of Federalism 64 (1993) (suggesting that "[t]he amount of attention and discussion given to the judiciary in the Constitutional Convention was only a fraction of that devoted to the executive and legislative branches," and that the Framers deliberately left many questions open for later resolution).</w:t>
      </w:r>
    </w:p>
    <w:p w:rsidR="00A31137" w:rsidRPr="00A31137" w:rsidRDefault="00A31137" w:rsidP="00A31137">
      <w:r w:rsidRPr="00A31137">
        <w:t>1996, Seminole Tribe of Florida v. Florida, No. 94-12</w:t>
      </w:r>
    </w:p>
    <w:p w:rsidR="00A31137" w:rsidRPr="00A31137" w:rsidRDefault="00A31137" w:rsidP="00A31137">
      <w:r w:rsidRPr="00A31137">
        <w:t>43. Regardless of its other faults, Chief Justice Taney's opinion in Dred Scott v. Sandford, 19 How. 393 (1857), recognized as a structural matter that</w:t>
      </w:r>
    </w:p>
    <w:p w:rsidR="00A31137" w:rsidRPr="00A31137" w:rsidRDefault="00A31137" w:rsidP="00A31137">
      <w:r w:rsidRPr="00A31137">
        <w:t>1996, Seminole Tribe of Florida v. Florida, No. 94-12</w:t>
      </w:r>
    </w:p>
    <w:p w:rsidR="00A31137" w:rsidRPr="00A31137" w:rsidRDefault="00A31137" w:rsidP="00A31137">
      <w:r w:rsidRPr="00A31137">
        <w:t>[t]he new government was not a mere change in a dynasty, or in a form of government, leaving the nation or sovereignty the same, and clothed with all the rights, and bound by all the obligations of the preceding one.</w:t>
      </w:r>
    </w:p>
    <w:p w:rsidR="00A31137" w:rsidRPr="00A31137" w:rsidRDefault="00A31137" w:rsidP="00A31137">
      <w:r w:rsidRPr="00A31137">
        <w:t>1996, Seminole Tribe of Florida v. Florida, No. 94-12</w:t>
      </w:r>
    </w:p>
    <w:p w:rsidR="00A31137" w:rsidRPr="00A31137" w:rsidRDefault="00A31137" w:rsidP="00A31137">
      <w:r w:rsidRPr="00A31137">
        <w:t>Id. at  441. See also F. McDonald, Novus Ordo Seclorum: The Intellectual Origins of the Constitution 276 (1985) ("The constitutional reallocation of powers created a new form of government, unprecedented under the sun…"); S. Beer, To Make a Nation: The Rediscovery of American Federalism 150-151 (1993) (American view of sovereignty was "radically different" from that of British tradition).</w:t>
      </w:r>
    </w:p>
    <w:p w:rsidR="00A31137" w:rsidRPr="00A31137" w:rsidRDefault="00A31137" w:rsidP="00A31137">
      <w:r w:rsidRPr="00A31137">
        <w:t>1996, Seminole Tribe of Florida v. Florida, No. 94-12</w:t>
      </w:r>
    </w:p>
    <w:p w:rsidR="00A31137" w:rsidRPr="00A31137" w:rsidRDefault="00A31137" w:rsidP="00A31137">
      <w:r w:rsidRPr="00A31137">
        <w:t>44. Cf., e.g., 1 W. Blackstone, Commentaries 49, 160-162 (Cooper, ed., 1803). This modern notion of sovereignty is traceable to the writings of Jean Bodin in the late 16th century. See J. Bodin, Six Books of the Commonwealth, bk. 2, ch. I at 52-53 (M. Tooley, abr. &amp; trans. 1967) (1576); see also T. Hobbes, Leviathan, Part II, ch. 29, at 150-151 (N. Fuller, ed. 1952) (1651).</w:t>
      </w:r>
    </w:p>
    <w:p w:rsidR="00A31137" w:rsidRPr="00A31137" w:rsidRDefault="00A31137" w:rsidP="00A31137">
      <w:r w:rsidRPr="00A31137">
        <w:t>1996, Seminole Tribe of Florida v. Florida, No. 94-12</w:t>
      </w:r>
    </w:p>
    <w:p w:rsidR="00A31137" w:rsidRPr="00A31137" w:rsidRDefault="00A31137" w:rsidP="00A31137">
      <w:r w:rsidRPr="00A31137">
        <w:t>45. See Wood 530 (noting that James Wilson "[m]ore boldly and fully than anyone else…developed the argument that would eventually become the basis of all Federalist thinking" about sovereignty); see also The Federalist No. 22 at 146 (A. Hamilton) (acknowledging the People as "that pure original fountain of all legitimate authority"); id. No. 49 at 339 (J. Madison) ("the people are the only legitimate fountain of power").</w:t>
      </w:r>
    </w:p>
    <w:p w:rsidR="00A31137" w:rsidRPr="00A31137" w:rsidRDefault="00A31137" w:rsidP="00A31137">
      <w:r w:rsidRPr="00A31137">
        <w:t>1996, Seminole Tribe of Florida v. Florida, No. 94-12</w:t>
      </w:r>
    </w:p>
    <w:p w:rsidR="00A31137" w:rsidRPr="00A31137" w:rsidRDefault="00A31137" w:rsidP="00A31137">
      <w:r w:rsidRPr="00A31137">
        <w:t>46. See also U.S. Term Limits, Inc. v. Thornton, 514 U.S. ___, ___ (1995) (KENNEDY, J., concurring) (the Constitution "created a legal system unprecedented in form and design, establishing two orders of government, each with its own direct relationship, its own privity, its own set of mutual rights and obligations to the people who sustain it and are governed by it").</w:t>
      </w:r>
    </w:p>
    <w:p w:rsidR="00A31137" w:rsidRPr="00A31137" w:rsidRDefault="00A31137" w:rsidP="00A31137">
      <w:r w:rsidRPr="00A31137">
        <w:t>1996, Seminole Tribe of Florida v. Florida, No. 94-12</w:t>
      </w:r>
    </w:p>
    <w:p w:rsidR="00A31137" w:rsidRPr="00A31137" w:rsidRDefault="00A31137" w:rsidP="00A31137">
      <w:r w:rsidRPr="00A31137">
        <w:t>47. See Amar, 96 Yale L.J. at 1434-1435 ("The ultimate American answer [to the British notion that the sovereign was by definition above the law], in part, lay in a radical redefinition of governmental 'sovereignty.' Just as a corporation could be delegated limited sovereign privileges by the King-in-Parliament, so governments could be delegated limited powers to govern. Within the limitations of their charters, governments could be sovereign, but that sovereignty could be bounded by the terms of the delegation itself").</w:t>
      </w:r>
    </w:p>
    <w:p w:rsidR="00A31137" w:rsidRPr="00A31137" w:rsidRDefault="00A31137" w:rsidP="00A31137">
      <w:r w:rsidRPr="00A31137">
        <w:t>1996, Seminole Tribe of Florida v. Florida, No. 94-12</w:t>
      </w:r>
    </w:p>
    <w:p w:rsidR="00A31137" w:rsidRPr="00A31137" w:rsidRDefault="00A31137" w:rsidP="00A31137">
      <w:r w:rsidRPr="00A31137">
        <w:t>48. See, e.g., Amar, supra at 1436 ("By thus relocating true sovereignty in the People themselves…Americans domesticated government power and decisively repudiated British notions of 'sovereign' governmental omnipotence"). That this repudiation extended to traditional principles of sovereign immunity is clear from Justice Wilson's opinion in Chisholm, in which he blasted "the haughty notions of state independence, state sovereignty and state supremacy" as allowing "the state [to] assum[e] a supercilious preeminence above the people who have formed it." 2 Dall. at  461.</w:t>
      </w:r>
    </w:p>
    <w:p w:rsidR="00A31137" w:rsidRPr="00A31137" w:rsidRDefault="00A31137" w:rsidP="00A31137">
      <w:r w:rsidRPr="00A31137">
        <w:t>1996, Seminole Tribe of Florida v. Florida, No. 94-12</w:t>
      </w:r>
    </w:p>
    <w:p w:rsidR="00A31137" w:rsidRPr="00A31137" w:rsidRDefault="00A31137" w:rsidP="00A31137">
      <w:r w:rsidRPr="00A31137">
        <w:t>49. See also Hobbes, supra at 130 ("The sovereign of a Commonwealth, be it an assembly or one man, is not subject to the civil laws…. For he is free that can be free when he will: nor is it possible for any person to be bound to himself, because he that can bind can release; and therefore he that is bound to himself only is not bound."); Bodin, supra at 28-29 ("One may be subject to laws made by another, but it is impossible to bind oneself in any matter which is the subject of one's own free exercise of will…. It follows of necessity that the king cannot be subject to his own laws").</w:t>
      </w:r>
    </w:p>
    <w:p w:rsidR="00A31137" w:rsidRPr="00A31137" w:rsidRDefault="00A31137" w:rsidP="00A31137">
      <w:r w:rsidRPr="00A31137">
        <w:t>1996, Seminole Tribe of Florida v. Florida, No. 94-12</w:t>
      </w:r>
    </w:p>
    <w:p w:rsidR="00A31137" w:rsidRPr="00A31137" w:rsidRDefault="00A31137" w:rsidP="00A31137">
      <w:r w:rsidRPr="00A31137">
        <w:t>50. See also Wood 466 ("[O]nce men grasped, as they increasingly did in the middle [1780's], that reform of the national government was the best means of remedying the evils caused by the state governments, then the revision of the Articles of Confederation assumed an impetus and an importance that it had not had a few years earlier").</w:t>
      </w:r>
    </w:p>
    <w:p w:rsidR="00A31137" w:rsidRPr="00A31137" w:rsidRDefault="00A31137" w:rsidP="00A31137">
      <w:r w:rsidRPr="00A31137">
        <w:t>1996, Seminole Tribe of Florida v. Florida, No. 94-12</w:t>
      </w:r>
    </w:p>
    <w:p w:rsidR="00A31137" w:rsidRPr="00A31137" w:rsidRDefault="00A31137" w:rsidP="00A31137">
      <w:r w:rsidRPr="00A31137">
        <w:t>51. Cf. Jay I at 1033-1034 ("English common law might afford clues to the meaning of some terms in the Constitution, but the absence of any close federal model was recognized even at the Convention"); F. Coker, Commentary, in R. Pound, C. McIlwain, &amp; R. Nichols, Federalism as a Democratic Process 81-82 (1942).</w:t>
      </w:r>
    </w:p>
    <w:p w:rsidR="00A31137" w:rsidRPr="00A31137" w:rsidRDefault="00A31137" w:rsidP="00A31137">
      <w:r w:rsidRPr="00A31137">
        <w:t>1996, Seminole Tribe of Florida v. Florida, No. 94-12</w:t>
      </w:r>
    </w:p>
    <w:p w:rsidR="00A31137" w:rsidRPr="00A31137" w:rsidRDefault="00A31137" w:rsidP="00A31137">
      <w:r w:rsidRPr="00A31137">
        <w:t>52. See, e.g., Prout v. Starr, 188 U.S. 537, 543 (1903) (acknowledging the immunity recognized in Hans and other cases, but observing that "[i]t would, indeed, be most unfortunate if the immunity of the individual States from suits by citizens of other States, provided for in the 11th Amendment, were to be interpreted as nullifying those other provisions which confer power on Congress…all of which provisions existed before the adoption of the Eleventh Amendment, which still exist, and which would be nullified and made of no effect, if the judicial power of the United States could not be invoked to protect citizens affected by the passage of state laws disregarding these constitutional limitations…"). The majority contends that state compliance with federal law may be enforced by other means, ante at ___, n. 14 but its suggestions are all pretty cold comfort: the enforcement resources of the Federal Government itself are limited; appellate review of state court decisions is contingent upon state consent to suit in state court, and is also called into question by the majority's rationale, see supra at ___; and the Court's decision today illustrates the uncertainty that the Court will always permit enforcement of federal law by suits for prospective relief against state officers. Moreover, the majority's position ignores the importance of citizen suits to enforcement of federal law. See, e.g., Alyeska Pipeline Co. v. Wilderness Society, 421 U.S. 240,  263 (1975) (acknowledging that, in many instances, "Congress has opted to rely heavily on private enforcement to implement public policy"); see also S.Rep. No. 94-1011, p. 2 (Civil Rights Attorney's Fees Awards Act of 1976, 42 U.S.C. § 1988) (recognizing that "[a]ll of these civil rights laws depend heavily upon private enforcement"); Pennsylvania v. Delaware Valley Citizens' Council for Clean Air, 483 U.S. 711, 737 (1987) (Blackmun, J., dissenting) (noting importance of citizens' suits under federal environmental laws).</w:t>
      </w:r>
    </w:p>
    <w:p w:rsidR="00A31137" w:rsidRPr="00A31137" w:rsidRDefault="00A31137" w:rsidP="00A31137">
      <w:r w:rsidRPr="00A31137">
        <w:t>1996, Seminole Tribe of Florida v. Florida, No. 94-12</w:t>
      </w:r>
    </w:p>
    <w:p w:rsidR="00A31137" w:rsidRPr="00A31137" w:rsidRDefault="00A31137" w:rsidP="00A31137">
      <w:r w:rsidRPr="00A31137">
        <w:t>53. The Court's further assertion, that "Congress itself waited nearly a century before even conferring federal question jurisdiction on the lower federal courts," ante at ___, is simply incorrect. As I have noted, numerous early statutes conferred federal question jurisdiction on the federal courts operating under the original Judiciary Act in particular kinds of cases, and the Judiciary Act of 1800 provided for general federal question jurisdiction in the brief period before its repeal in 1801. See supra, n. 12.</w:t>
      </w:r>
    </w:p>
    <w:p w:rsidR="00A31137" w:rsidRPr="00A31137" w:rsidRDefault="00A31137" w:rsidP="00A31137">
      <w:r w:rsidRPr="00A31137">
        <w:t>1996, Seminole Tribe of Florida v. Florida, No. 94-12</w:t>
      </w:r>
    </w:p>
    <w:p w:rsidR="00A31137" w:rsidRPr="00A31137" w:rsidRDefault="00A31137" w:rsidP="00A31137">
      <w:r w:rsidRPr="00A31137">
        <w:t>54. Considering the example of Massachusetts, Professor Nelson observes that</w:t>
      </w:r>
    </w:p>
    <w:p w:rsidR="00A31137" w:rsidRPr="00A31137" w:rsidRDefault="00A31137" w:rsidP="00A31137">
      <w:r w:rsidRPr="00A31137">
        <w:t>1996, Seminole Tribe of Florida v. Florida, No. 94-12</w:t>
      </w:r>
    </w:p>
    <w:p w:rsidR="00A31137" w:rsidRPr="00A31137" w:rsidRDefault="00A31137" w:rsidP="00A31137">
      <w:r w:rsidRPr="00A31137">
        <w:t>the clearest illustration that legislation was coming to rest on the arbitrary power of a majoritarian legislature rather than on its conformity with past law and principle was the ease with which statutes altering common law rights were enacted and repealed in the 1780s in response to changing election results.</w:t>
      </w:r>
    </w:p>
    <w:p w:rsidR="00A31137" w:rsidRPr="00A31137" w:rsidRDefault="00A31137" w:rsidP="00A31137">
      <w:r w:rsidRPr="00A31137">
        <w:t>1996, Seminole Tribe of Florida v. Florida, No. 94-12</w:t>
      </w:r>
    </w:p>
    <w:p w:rsidR="00A31137" w:rsidRPr="00A31137" w:rsidRDefault="00A31137" w:rsidP="00A31137">
      <w:r w:rsidRPr="00A31137">
        <w:t>Nelson, Americanization of the Common Law at 91-92.</w:t>
      </w:r>
    </w:p>
    <w:p w:rsidR="00A31137" w:rsidRPr="00A31137" w:rsidRDefault="00A31137" w:rsidP="00A31137">
      <w:r w:rsidRPr="00A31137">
        <w:t>1996, Seminole Tribe of Florida v. Florida, No. 94-12</w:t>
      </w:r>
    </w:p>
    <w:p w:rsidR="00A31137" w:rsidRPr="00A31137" w:rsidRDefault="00A31137" w:rsidP="00A31137">
      <w:r w:rsidRPr="00A31137">
        <w:t>55. See also Del.Const. Art. 25 (1776), in 2 Swindler, Sources and Documents of United States Constitutions at 203 ("The common law of England, as well as so much of the statute law as has been heretofore adopted in practice in this State, shall remain in force, unless they shall be altered by a future law of the legislature; such parts only excepted as are repugnant to the rights and privileges contained in this constitution…"); Act of Feb. 25, 1784, in 1 First Laws of the State of Georgia 290 (1981) (declaring "the common laws of England" to be "in full force" "so far as they are not contrary to the constitution, laws and form of government now established in this State"); Mass.Const., Ch. VI, Art. VI (1780), in 5 Swindler, supra at 108 ("All the laws which have heretofore been adopted, used, and approved in the province, colony, or State of Massachusetts Bay…shall still remain and be in full force, until altered or repealed by the legislature…"); Commonwealth v. Churchill, 2 Met. 118, 123-124 (Mass. 1840) (Shaw, C.J.) (construing "laws" in this provision to include common law); N.H.Const., Part II (1784), in 6 Swindler, supra at 356 ("All the laws which have heretofore been adopted, used and approved, in the province, colony, or state of New Hampshire…shall remain and be in full force, until altered and repealed by the legislature…"); N.C.Laws 1778, Ch. V, in 1 First Laws of the State of North Carolina 353 (1984) ("[A]ll…such Parts of the Common Law, as were heretofore in Force and Use within this Territory…as are not destructive of, repugnant to, or inconsistent with the Freedom and Independence of this State, and the Form of Government therein established, and which have not been otherwise provided for,…not abrogated, repealed, expired, or become obsolete, are hereby declared to be in full Force within this State"); N.Y.Const., Art. XXXV (1777), in 7 Swindler, supra at 177-178 ("[S]uch parts of the common law of England…as together did form the law of the said colony [of New York] on [April 19, 1775], shall be and continue the law of this State, subject to such alterations and provisions as the legislature of this State shall, from time to time, make concerning the same"); R.I.Digest of 1766, quoted in 1 R. Powell &amp; P. Rohan, Powell On Real Property ¶ 62, p. 212 (1995) ("[I]n all actions, causes, matters and things whatsoever, where there is no particular law of this colony, or act of parliament…then and in such cases the laws of England shall be in force for the decision and determination of the same"); 2 T. Cooper, Statutes at Large of South Carolina 413 (1837) (Act of Dec. 12, 1712, § V) (receiving "the Common Law of England, where the same is not…inconsistent with the particular constitutions, customs and laws of this Province"); S.C.Const., Art. VII (1790), in 8 Swindler, supra at 480 ("All laws of force in this State at the passing of this constitution shall so continue, until altered or repealed by the legislature…"); W. Slade, Vermont State Papers 450 (1823) (Act of June 1782) (adopting "so much of the common law of England, as is not repugnant to the constitution or to any act of the legislature of this State"); Act of May 6, 1776, Ch. V, § VI, in First Laws of the State of Virginia 37 (1982) ("the common law of England…shall be the rule of decision, and shall be considered as in full force, until the same shall be altered by the Legislative power of this colony").</w:t>
      </w:r>
    </w:p>
    <w:p w:rsidR="00A31137" w:rsidRPr="00A31137" w:rsidRDefault="00A31137" w:rsidP="00A31137">
      <w:r w:rsidRPr="00A31137">
        <w:t>1996, Seminole Tribe of Florida v. Florida, No. 94-12</w:t>
      </w:r>
    </w:p>
    <w:p w:rsidR="00A31137" w:rsidRPr="00A31137" w:rsidRDefault="00A31137" w:rsidP="00A31137">
      <w:r w:rsidRPr="00A31137">
        <w:t>Connecticut, which did not enact any reception statute or constitutional provision, adopted the common law by judicial decision insofar as it was appropriate for local conditions. See 1 Powell &amp; Rohan, supra, ¶ 52 at 140-141, and n.77; Hall, 4 Vand.L.Rev. at 800; Fitch v. Brainerd, 2 Day 163 (Conn. 1805). Maryland's position appears to have been articulated in an oath prescribed by the Assembly in 1728 for justices of the Provincial Court. The oath required that the justices act</w:t>
      </w:r>
    </w:p>
    <w:p w:rsidR="00A31137" w:rsidRPr="00A31137" w:rsidRDefault="00A31137" w:rsidP="00A31137">
      <w:r w:rsidRPr="00A31137">
        <w:t>1996, Seminole Tribe of Florida v. Florida, No. 94-12</w:t>
      </w:r>
    </w:p>
    <w:p w:rsidR="00A31137" w:rsidRPr="00A31137" w:rsidRDefault="00A31137" w:rsidP="00A31137">
      <w:r w:rsidRPr="00A31137">
        <w:t>according to the Laws, Customs, and Directions of the Acts of Assembly of this Province; and where they are silent, according to the Laws, Statutes, and reasonable Customs of England, as have been used and practiced in this Province….</w:t>
      </w:r>
    </w:p>
    <w:p w:rsidR="00A31137" w:rsidRPr="00A31137" w:rsidRDefault="00A31137" w:rsidP="00A31137">
      <w:r w:rsidRPr="00A31137">
        <w:t>1996, Seminole Tribe of Florida v. Florida, No. 94-12</w:t>
      </w:r>
    </w:p>
    <w:p w:rsidR="00A31137" w:rsidRPr="00A31137" w:rsidRDefault="00A31137" w:rsidP="00A31137">
      <w:r w:rsidRPr="00A31137">
        <w:t>M. Andrews, History of Maryland 227 (1929). Finally, although Pennsylvania's reception statute did not state that the common law could be altered by legislative enactment in so many words, it may be read as assuming the primacy of legislative enactments, see 9 Statutes at Large of Pennsylvania 29-30 (Mitchell &amp; Flanders eds. 1903) (Act of Jan. 28, 1777) (declaring prior acts of the general assembly to still be in force, as well as "the common law and such of the statute laws of England as have heretofore been in force in the said province…"), and the state Assembly seems to have believed it had the power to depart from common law even prior to independence. See Warren, History of the American Bar at 103; cf. Kirk v. Dean, 2 Binn. 341, 345 (Pa. 1810) (interpreting the state constitution as permitting departures from common law rules where local circumstances required it).</w:t>
      </w:r>
    </w:p>
    <w:p w:rsidR="00A31137" w:rsidRPr="00A31137" w:rsidRDefault="00A31137" w:rsidP="00A31137">
      <w:r w:rsidRPr="00A31137">
        <w:t>1996, Seminole Tribe of Florida v. Florida, No. 94-12</w:t>
      </w:r>
    </w:p>
    <w:p w:rsidR="00A31137" w:rsidRPr="00A31137" w:rsidRDefault="00A31137" w:rsidP="00A31137">
      <w:r w:rsidRPr="00A31137">
        <w:t>56. It bears emphasis that, in providing for statutory alteration of the common law, the new States were in no way departing from traditional understandings. It is true that the colonial charters had generally rendered colonial legislation void to the extent that it conflicted with English common law, but this principle was simply indicative of the colonies' legal subjugation to the mother country and, in any event, seldom enforced in practice. See Stoebuck, 10 Wm. &amp; Mary L.Rev. at 396-398, 419-420. The traditional conception of the common law as it developed in England had always been that it was freely alterable by statute. T. Plucknett, A Concise History of the Common Law 336-337 (5th ed. 1956); see also T. Plucknett, Statutes and Their Interpretation in the First Half of the Fourteenth Century 26-31 (1922) (finding no historical support for the claim that common law was "fundamental" or otherwise superior to statues). Coke appears to have attempted at one time to establish a paramount common law, see, e.g., Dr. Bonham's Case, 8 Co.Rep. 107a, 118a, 77 Eng.Rep. 638, 652 (C.P. 1610), but that attempt never took root in England. See Plucknett, Concise History of the Common Law, supra at 337; Jones 130; J. Gough, Fundamental Law in English Constitutional History 202 (1955) (observing that. "[b]y the nineteenth century, the overriding authority of statute law had become the accepted principle in the courts"). And although Coke's dictum was to have a somewhat greater influence in America, that influence took the form of providing an early foundation for the idea that courts might invalidate legislation that they found inconsistent with a written constitution. See Jones 130-132; Gough, supra at 206-207 (noting that Coke's view of fundamental law came to be transformed and subsumed in American practice by treatment of the written constitution as fundamental law in the exercise of judicial review). As I demonstrate infra, the idea that legislation may be struck down based on principles of common law or natural justice not located within the constitutional text has been squarely rejected in this country. See infra at ___.</w:t>
      </w:r>
    </w:p>
    <w:p w:rsidR="00A31137" w:rsidRPr="00A31137" w:rsidRDefault="00A31137" w:rsidP="00A31137">
      <w:r w:rsidRPr="00A31137">
        <w:t>1996, Seminole Tribe of Florida v. Florida, No. 94-12</w:t>
      </w:r>
    </w:p>
    <w:p w:rsidR="00A31137" w:rsidRPr="00A31137" w:rsidRDefault="00A31137" w:rsidP="00A31137">
      <w:r w:rsidRPr="00A31137">
        <w:t>57. See also 3 Elliot's Debates 469-470 (Edmund Randolph, Virginia Convention) (arguing that constitutional incorporation of the common law would be "destructive to republican principles"). Indeed, one reason for Madison's suspicion of the common law was that it included "a thousand heterogeneous &amp; anti-republican doctrines." Letter from Madison to Washington (Oct. 18, 1787), reprinted in 3 Farrand 130, App. A. "[I]t will merit the most profound consideration," Madison was later to warn in his Report on the Virginia Resolutions Concerning the Alien and Sedition Laws, "how far an indefinite admission of the common law…might draw after it the various prerogatives making part of the unwritten law of England." Alien and Sedition Laws 380. Such an admission, Madison feared, would mean that "the whole code, with all its incongruities, barbarisms, and bloody maxims, would be inviolably saddled on the good people of the United States." Ibid. See also Amar, 96 Yale L.J. 1490 ("[The] sole basis [of absolute government immunity from all suits] is the British idea that the sovereign government, as the source of all law, cannot itself be bound by any law absent its consent…. [L]iterally every article of the Federalist Constitution and every amendment in the Bill of Rights rests on the repudiation of the British view").</w:t>
      </w:r>
    </w:p>
    <w:p w:rsidR="00A31137" w:rsidRPr="00A31137" w:rsidRDefault="00A31137" w:rsidP="00A31137">
      <w:r w:rsidRPr="00A31137">
        <w:t>1996, Seminole Tribe of Florida v. Florida, No. 94-12</w:t>
      </w:r>
    </w:p>
    <w:p w:rsidR="00A31137" w:rsidRPr="00A31137" w:rsidRDefault="00A31137" w:rsidP="00A31137">
      <w:r w:rsidRPr="00A31137">
        <w:t>58. See Wood 304, n. 75 ("To Jefferson in 1785 judicial discretion in the administration of justice was still the great evil and codification the great remedy"); G. White, The Marshall Court and Cultural Change, 1815-1835, p. 130 (1991) ("[A]n assumption of the constitutional design was that if Congress exercised [its enumerated] powers through legislation, its laws would supersede any competing ones").</w:t>
      </w:r>
    </w:p>
    <w:p w:rsidR="00A31137" w:rsidRPr="00A31137" w:rsidRDefault="00A31137" w:rsidP="00A31137">
      <w:r w:rsidRPr="00A31137">
        <w:t>1996, Seminole Tribe of Florida v. Florida, No. 94-12</w:t>
      </w:r>
    </w:p>
    <w:p w:rsidR="00A31137" w:rsidRPr="00A31137" w:rsidRDefault="00A31137" w:rsidP="00A31137">
      <w:r w:rsidRPr="00A31137">
        <w:t>59. The Court attempts to sidestep this history by distinguishing sovereign immunity as somehow different from other common law principles. Ante at ___. But see Chisholm v. Georgia, 2 Dall. at  435 (Iredell, J., dissenting) (arguing that the common law of England should control the case "so far as it is applicable to the peculiar circumstances of the country, and where no special act of Legislation controls it"). The Court cannot find solace in any distinction between "substantive rules of law" and "jurisdiction," ante at ___, however; it is abundantly clear that we have drawn both sorts of principles from the common law. See, e.g., Burnham v. Superior Court of Cal., County of Marin, 495 U.S. 604, 609 (1990) (plurality opinion of SCALIA, J.) (noting that American notion of personal jurisdiction is a "common law principle" that predates the Fourteenth Amendment). Nothing in the history, moreover, suggests that common law rules were more immutable when they were jurisdictional rather than substantive in nature. Nor is it true that</w:t>
      </w:r>
    </w:p>
    <w:p w:rsidR="00A31137" w:rsidRPr="00A31137" w:rsidRDefault="00A31137" w:rsidP="00A31137">
      <w:r w:rsidRPr="00A31137">
        <w:t>1996, Seminole Tribe of Florida v. Florida, No. 94-12</w:t>
      </w:r>
    </w:p>
    <w:p w:rsidR="00A31137" w:rsidRPr="00A31137" w:rsidRDefault="00A31137" w:rsidP="00A31137">
      <w:r w:rsidRPr="00A31137">
        <w:t>the principle of state sovereign immunity stands distinct from other principles of the common law in that only the former prompted a specific constitutional amendment.</w:t>
      </w:r>
    </w:p>
    <w:p w:rsidR="00A31137" w:rsidRPr="00A31137" w:rsidRDefault="00A31137" w:rsidP="00A31137">
      <w:r w:rsidRPr="00A31137">
        <w:t>1996, Seminole Tribe of Florida v. Florida, No. 94-12</w:t>
      </w:r>
    </w:p>
    <w:p w:rsidR="00A31137" w:rsidRPr="00A31137" w:rsidRDefault="00A31137" w:rsidP="00A31137">
      <w:r w:rsidRPr="00A31137">
        <w:t>Ante at ___. The Seventh Amendment, after all, was adopted to respond to Antifederalist concerns regarding the right to jury trial. See supra at n. 34. Indeed, that amendment vividly illustrates the distinction between provisions intended to adopt the common law (the amendment specifically mentions the "common law" and states that the common law right "shall be preserved") and those provisions, like the Eleventh Amendment, that may have been inspired by a common law right but include no language of adoption or specific reference. Finally, the Court's recourse to a vague "jurisprudence in all civilized nations," ante at ___, rather than the common law of England, is unavailing. When the Constitution has received such general principles into our law, for example, in the Admiralty Clause's adoption of the general "law of nations" or "law of the sea," those principles have always been subject to change by congressional enactment. See, e.g., Panama R. Co. v. Johnson, 264 U.S. 375, 386 (1924) (noting that although "the principles of the general maritime law, sometimes called the law of the sea" were "embodied" in Art. III, § 2 of the Constitution, they remained "subject to power in Congress to alter, qualify or supplement"); The Nereide, 9 Cranch 388, 423 (1815) (Marshall, C.J.) (stating that the Court would be "bound by the law of nations" until Congress passed a contrary enactment).</w:t>
      </w:r>
    </w:p>
    <w:p w:rsidR="00A31137" w:rsidRPr="00A31137" w:rsidRDefault="00A31137" w:rsidP="00A31137">
      <w:r w:rsidRPr="00A31137">
        <w:t>1996, Seminole Tribe of Florida v. Florida, No. 94-12</w:t>
      </w:r>
    </w:p>
    <w:p w:rsidR="00A31137" w:rsidRPr="00A31137" w:rsidRDefault="00A31137" w:rsidP="00A31137">
      <w:r w:rsidRPr="00A31137">
        <w:t>60. Cf. United States v. Lopez, 514 U.S. ___, ___ (1995) (SOUTER, J., dissenting) ("The fulcrums of judicial review in [the Lochner cases] were the notions of liberty and property characteristic of laissez faire economics, whereas the Commerce Clause cases turned on what was ostensibly a structural limit of federal power, but under each conception of judicial review the Court's character for the first third of the century showed itself in exacting judicial scrutiny of a legislature's choice of economic ends and of the legislative means selected to reach them").</w:t>
      </w:r>
    </w:p>
    <w:p w:rsidR="00A31137" w:rsidRPr="00A31137" w:rsidRDefault="00A31137" w:rsidP="00A31137">
      <w:r w:rsidRPr="00A31137">
        <w:t>1996, Seminole Tribe of Florida v. Florida, No. 94-12</w:t>
      </w:r>
    </w:p>
    <w:p w:rsidR="00A31137" w:rsidRPr="00A31137" w:rsidRDefault="00A31137" w:rsidP="00A31137">
      <w:r w:rsidRPr="00A31137">
        <w:t>61. The Court accuses me of misrepresenting its argument. Ante at ___, n. 17. The Court's claim, as I read it, is not that Congress cannot authorize federal jurisdiction under Ex parte Young over a cause of action with a limited remedial scheme, but rather that remedial limitations on the underlying cause of action do not apply to a claim based on Ex parte Young. Otherwise, the existence of those remedial limitations would provide no reason for the Court to assume that Congress did not intend to permit an action under Young; rather, the limitations would apply regardless of whether the suit was brought against the State or a state officer.</w:t>
      </w:r>
    </w:p>
    <w:p w:rsidR="00A31137" w:rsidRPr="00A31137" w:rsidRDefault="00A31137" w:rsidP="00A31137">
      <w:r w:rsidRPr="00A31137">
        <w:t>1996, Seminole Tribe of Florida v. Florida, No. 94-12</w:t>
      </w:r>
    </w:p>
    <w:p w:rsidR="00A31137" w:rsidRPr="00A31137" w:rsidRDefault="00A31137" w:rsidP="00A31137">
      <w:r w:rsidRPr="00A31137">
        <w:t>62. See also Brennan v. Stewart, 834 F.2d 1248, 1252, n.6 (CA5 1988) ("[A]lthough not usually conceptualized as Ex parte Young cases, most of the huge number of habeas claims in the federal courts under 28 U.S.C. § 2254 are effectively suits against the states. These suits pass muster under the Eleventh Amendment because the habeas theory of a civil suit against the bad jailer fits perfectly with the Ex parte Young fiction"); United States ex. rel. Elliott v. Hendricks, 213 F.2d 922, 926-928 (CA3) (exercising jurisdiction over a habeas suit despite an Eleventh Amendment challenge on the theory that the suit was against a state officer), cert. denied, 348 U.S. 851 (1954).</w:t>
      </w:r>
    </w:p>
    <w:p w:rsidR="00A31137" w:rsidRPr="00A31137" w:rsidRDefault="00A31137" w:rsidP="00A31137">
      <w:r w:rsidRPr="00A31137">
        <w:t>1996, Seminole Tribe of Florida v. Florida, No. 94-12</w:t>
      </w:r>
    </w:p>
    <w:p w:rsidR="00A31137" w:rsidRPr="00A31137" w:rsidRDefault="00A31137" w:rsidP="00A31137">
      <w:r w:rsidRPr="00A31137">
        <w:t>63. Many other federal statutes impose obligations on state officials, the enforcement of which is subject to "intricate provisions" also statutorily provided. See, e.g., Federal Water Pollution Control Act, 33 U.S.C. § 1365(a) (citizen suit provision to enforce states' obligations under federal environmental law); Emergency Planning and Community Right-to-Know Act, 42 U.S.C. § 11001 (privately enforceable requirement that states form commissions, appointed by the Governor, to generate plans for addressing hazardous material emergencies).</w:t>
      </w:r>
    </w:p>
    <w:p w:rsidR="00A31137" w:rsidRPr="00A31137" w:rsidRDefault="00A31137" w:rsidP="00A31137">
      <w:r w:rsidRPr="00A31137">
        <w:t>1996, Seminole Tribe of Florida v. Florida, No. 94-12</w:t>
      </w:r>
    </w:p>
    <w:p w:rsidR="00A31137" w:rsidRPr="00A31137" w:rsidRDefault="00A31137" w:rsidP="00A31137">
      <w:r w:rsidRPr="00A31137">
        <w:t>64. In order for any person (whether individual or entity) to be a proper defendant under § 2710(d)(7) (and in order for standing to exist, since one of its requirements is redressability), that person, of course, would need to have some connection to the State's negotiations. See Young, 209 U.S. at  157; Franklin v. Massachusetts, 505 U.S. 788, 803 (1992). The obvious candidates are the responsible state officials.</w:t>
      </w:r>
    </w:p>
    <w:p w:rsidR="00A31137" w:rsidRPr="00A31137" w:rsidRDefault="00A31137" w:rsidP="00A31137">
      <w:r w:rsidRPr="00A31137">
        <w:t>1996, Seminole Tribe of Florida v. Florida, No. 94-12</w:t>
      </w:r>
    </w:p>
    <w:p w:rsidR="00A31137" w:rsidRPr="00A31137" w:rsidRDefault="00A31137" w:rsidP="00A31137">
      <w:r w:rsidRPr="00A31137">
        <w:t>65. The scope of the Tenth Amendment's limitations of congressional power remains a subject of debate. New York v. United States, 505 U.S. 144 (1992), holds that principles of federalism are "violated by a formal command from the National Government directing the State to enact a certain policy." United States v. Lopez, 514 U.S. ___, ___ (1995) (KENNEDY, J., concurring). Some suggest that the prohibition extends further than barring the federal government from directing the creation of state law. The views I express today should not be understood to take a position on that disputed question.</w:t>
      </w:r>
    </w:p>
    <w:p w:rsidR="00A31137" w:rsidRPr="00A31137" w:rsidRDefault="00A31137" w:rsidP="00A31137">
      <w:r w:rsidRPr="00A31137">
        <w:t>1996, Seminole Tribe of Florida v. Florida, No. 94-12</w:t>
      </w:r>
    </w:p>
    <w:p w:rsidR="00A31137" w:rsidRPr="00A31137" w:rsidRDefault="00A31137" w:rsidP="00A31137">
      <w:r w:rsidRPr="00A31137">
        <w:t>66. See also The Federalist No. 46, supra at 319 (J. Madison) (explaining that the Federal Government "will partake sufficiently of the spirit [of the States], to be disinclined to invade the rights of the individual States, or the prerogatives of their governments"); Wechsler, The Political Safeguards of Federalism: The Role of the States in the Composition and Selection of the National Government, 54 Colum.L.Rev. 543 (1954).</w:t>
      </w:r>
    </w:p>
    <w:p w:rsidR="00A31137" w:rsidRPr="00A31137" w:rsidRDefault="00A31137" w:rsidP="00A31137">
      <w:r w:rsidRPr="00A31137">
        <w:t>Morse v. Republican Party of Virginia, 1996</w:t>
      </w:r>
    </w:p>
    <w:p w:rsidR="00A31137" w:rsidRPr="00A31137" w:rsidRDefault="00A31137" w:rsidP="00A31137">
      <w:r w:rsidRPr="00A31137">
        <w:t>Title:</w:t>
      </w:r>
      <w:r w:rsidRPr="00A31137">
        <w:tab/>
        <w:t>Morse v. Republican Party of Virginia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March 27, 1996</w:t>
      </w:r>
    </w:p>
    <w:p w:rsidR="00A31137" w:rsidRPr="00A31137" w:rsidRDefault="00A31137" w:rsidP="00A31137">
      <w:r w:rsidRPr="00A31137">
        <w:t>Source:</w:t>
      </w:r>
      <w:r w:rsidRPr="00A31137">
        <w:tab/>
        <w:t>No. 94-203 [U.S. Reports citation not yet available]</w:t>
      </w:r>
    </w:p>
    <w:p w:rsidR="00A31137" w:rsidRPr="00A31137" w:rsidRDefault="00A31137" w:rsidP="00A31137">
      <w:r w:rsidRPr="00A31137">
        <w:t>This case was argued October 2, 1995, and was decided March 27, 1996.</w:t>
      </w:r>
    </w:p>
    <w:p w:rsidR="00A31137" w:rsidRPr="00A31137" w:rsidRDefault="00A31137" w:rsidP="00A31137">
      <w:r w:rsidRPr="00A31137">
        <w:t>APPEAL FROM THE UNITED STATES DISTRICT COURT</w:t>
      </w:r>
    </w:p>
    <w:p w:rsidR="00A31137" w:rsidRPr="00A31137" w:rsidRDefault="00A31137" w:rsidP="00A31137">
      <w:r w:rsidRPr="00A31137">
        <w:t>FOR THE WESTERN DISTRICT OF VIRGINIA</w:t>
      </w:r>
    </w:p>
    <w:p w:rsidR="00A31137" w:rsidRPr="00A31137" w:rsidRDefault="00A31137" w:rsidP="00A31137">
      <w:r w:rsidRPr="00A31137">
        <w:t>Syllabus</w:t>
      </w:r>
    </w:p>
    <w:p w:rsidR="00A31137" w:rsidRPr="00A31137" w:rsidRDefault="00A31137" w:rsidP="00A31137">
      <w:r w:rsidRPr="00A31137">
        <w:t>1996, Morse v. Republican Party of Virginia, No. 94-203</w:t>
      </w:r>
    </w:p>
    <w:p w:rsidR="00A31137" w:rsidRPr="00A31137" w:rsidRDefault="00A31137" w:rsidP="00A31137">
      <w:r w:rsidRPr="00A31137">
        <w:t>Appellee Republican Party of Virginia (Party) invited all registered Virginia voters willing to declare their support for the Party's nominees at the 1994 general election to become delegates to a convention to nominate the Party's candidate for United States Senator upon payment of a registration fee. Appellants Bartholomew and Enderson desired, and were qualified, to become delegates, but were rejected because they refused to pay the fee; appellant Morse paid the fee with funds advanced by supporters of the eventual nominee. Alleging, inter alia, that the imposition of the fee violated §§ 5 and 10 of the Voting Rights Act of 1965, appellants filed a complaint seeking an injunction preventing the Party from imposing the fee and ordering it to return the fee paid by Morse. The three-judge District Court convened to consider the § 5 and § 10 claims granted the Party's motion to dismiss, concluding that the "general rule" that § 5 covers political parties to the extent that they are empowered to conduct primary elections is inapplicable to the selection of nominating convention delegates under a regulation promulgated by the Attorney General of the United States and under this Court's summary decision in Williams v. Democratic Party of Georgia, 409 U.S. 809; and that only the Attorney General has authority to enforce § 10.</w:t>
      </w:r>
    </w:p>
    <w:p w:rsidR="00A31137" w:rsidRPr="00A31137" w:rsidRDefault="00A31137" w:rsidP="00A31137">
      <w:r w:rsidRPr="00A31137">
        <w:t>1996, Morse v. Republican Party of Virginia, No. 94-203</w:t>
      </w:r>
    </w:p>
    <w:p w:rsidR="00A31137" w:rsidRPr="00A31137" w:rsidRDefault="00A31137" w:rsidP="00A31137">
      <w:r w:rsidRPr="00A31137">
        <w:t>Held: The judgment is reversed, and the case is remanded.</w:t>
      </w:r>
    </w:p>
    <w:p w:rsidR="00A31137" w:rsidRPr="00A31137" w:rsidRDefault="00A31137" w:rsidP="00A31137">
      <w:r w:rsidRPr="00A31137">
        <w:t>1996, Morse v. Republican Party of Virginia, No. 94-203</w:t>
      </w:r>
    </w:p>
    <w:p w:rsidR="00A31137" w:rsidRPr="00A31137" w:rsidRDefault="00A31137" w:rsidP="00A31137">
      <w:r w:rsidRPr="00A31137">
        <w:t>853 F.Supp. 212, reversed and remanded.</w:t>
      </w:r>
    </w:p>
    <w:p w:rsidR="00A31137" w:rsidRPr="00A31137" w:rsidRDefault="00A31137" w:rsidP="00A31137">
      <w:r w:rsidRPr="00A31137">
        <w:t>1996, Morse v. Republican Party of Virginia, No. 94-203</w:t>
      </w:r>
    </w:p>
    <w:p w:rsidR="00A31137" w:rsidRPr="00A31137" w:rsidRDefault="00A31137" w:rsidP="00A31137">
      <w:r w:rsidRPr="00A31137">
        <w:t>JUSTICE STEVENS, joined by JUSTICE GINSBURG, concluded:</w:t>
      </w:r>
    </w:p>
    <w:p w:rsidR="00A31137" w:rsidRPr="00A31137" w:rsidRDefault="00A31137" w:rsidP="00A31137">
      <w:r w:rsidRPr="00A31137">
        <w:t>1996, Morse v. Republican Party of Virginia, No. 94-203</w:t>
      </w:r>
    </w:p>
    <w:p w:rsidR="00A31137" w:rsidRPr="00A31137" w:rsidRDefault="00A31137" w:rsidP="00A31137">
      <w:r w:rsidRPr="00A31137">
        <w:t>1. The Party's decision to exact the registration fee was subject to § 5, which, among other things, prohibits Virginia and other covered jurisdictions from enacting or enforcing "any voting qualification or prerequisite…different from that in force…on" a specified date unless the change has been precleared by the Attorney General. Pp. ___.</w:t>
      </w:r>
    </w:p>
    <w:p w:rsidR="00A31137" w:rsidRPr="00A31137" w:rsidRDefault="00A31137" w:rsidP="00A31137">
      <w:r w:rsidRPr="00A31137">
        <w:t>1996, Morse v. Republican Party of Virginia, No. 94-203</w:t>
      </w:r>
    </w:p>
    <w:p w:rsidR="00A31137" w:rsidRPr="00A31137" w:rsidRDefault="00A31137" w:rsidP="00A31137">
      <w:r w:rsidRPr="00A31137">
        <w:t>(a) The District Court erred in its application of the Attorney General's regulation, which unambiguously requires § 5 preclearance when a political party makes a change affecting voting if, inter alia, the party is "acting under authority explicitly or implicitly granted by a covered jurisdiction." Because Virginia law provides that the nominees of the two major political parties shall automatically appear on the general election ballot, without the need to declare their candidacy or to demonstrate their support with a nominating petition, and authorizes the two parties to determine for themselves how they will select their nominees, whether by primary, nominating convention, or some other method, the Party "act[ed] under authority" of Virginia when it picked its candidate at the convention and certified the nominee for automatic placement on the general election ballot. Cf. Smith v. Allwright, 321 U.S. 649,  653, n. 6,  660,  663. Because the conclusion that the Party's activities fall directly within the regulation's scope is not contradicted, but is in fact supported, by this Court's narrow holding in Williams, supra, the District Court also erred when it based its dismissal of appellants' complaint on that case. Pp. ___.</w:t>
      </w:r>
    </w:p>
    <w:p w:rsidR="00A31137" w:rsidRPr="00A31137" w:rsidRDefault="00A31137" w:rsidP="00A31137">
      <w:r w:rsidRPr="00A31137">
        <w:t>1996, Morse v. Republican Party of Virginia, No. 94-203</w:t>
      </w:r>
    </w:p>
    <w:p w:rsidR="00A31137" w:rsidRPr="00A31137" w:rsidRDefault="00A31137" w:rsidP="00A31137">
      <w:r w:rsidRPr="00A31137">
        <w:t>(b) The Act's language and structure compel the conclusion that § 5, of its own force, covers changes such as the Party's filing fee when the electoral practice at issue is a nominating convention. This Court has consistently construed the Act to require preclearance of any change bearing on the "effectiveness" of a vote cast in a primary, special, or general election, including changes in the composition of the electorate that votes for a particular office. See, e.g., Allen v. State Bd. of Elections, 393 U.S. 544,  570. By limiting the opportunity for voters to participate in the convention, the Party's filing fee undercuts their influence on the field of candidates whose names will appear on the ballot, and thus weakens the "effectiveness" of their votes cast in the general election itself. That § 5 covers nonprimary nomination methods is also supported by Whitley v. Williams, decided with Allen, supra; by the text and legislative history of § 14, which defines the terms "vote" or "voting" to include "all action necessary to make a vote effective in any…election," including the selection of persons for "party office"; and by the text of § 2, which bans any racially discriminatory voting qualification or prerequisite if "the political processes leading to nomination or election…are not equally open to…[protected group] members." (Emphasis added.) Pp. ___.</w:t>
      </w:r>
    </w:p>
    <w:p w:rsidR="00A31137" w:rsidRPr="00A31137" w:rsidRDefault="00A31137" w:rsidP="00A31137">
      <w:r w:rsidRPr="00A31137">
        <w:t>1996, Morse v. Republican Party of Virginia, No. 94-203</w:t>
      </w:r>
    </w:p>
    <w:p w:rsidR="00A31137" w:rsidRPr="00A31137" w:rsidRDefault="00A31137" w:rsidP="00A31137">
      <w:r w:rsidRPr="00A31137">
        <w:t>(c) Consideration of the historical background which informed the 89th Congress when it passed the Act—particularly Terry v. Adams, 345 U.S. 461, and the other "White Primary Cases," in which the Court applied the Fifteenth Amendment to strike down a succession of measures by Texas authorities to exclude minority voters from their nomination processes—confirms the conclusion that § 5 applies here. None of the reasons offered to support appellees' contention that the White Primary Cases have no bearing on the Act's proper interpretation—(1) that the Party's convention did not operate in a racially discriminatory manner; (2) that, although the Act was meant to enforce the Fifteenth Amendment, the 89th Congress did not intend to legislate to that Amendment's "outer limit"; and (3) that present-day Virginia is not a one-party Commonwealth, unlike post-Reconstruction Texas—is persuasive. Pp. ___.</w:t>
      </w:r>
    </w:p>
    <w:p w:rsidR="00A31137" w:rsidRPr="00A31137" w:rsidRDefault="00A31137" w:rsidP="00A31137">
      <w:r w:rsidRPr="00A31137">
        <w:t>1996, Morse v. Republican Party of Virginia, No. 94-203</w:t>
      </w:r>
    </w:p>
    <w:p w:rsidR="00A31137" w:rsidRPr="00A31137" w:rsidRDefault="00A31137" w:rsidP="00A31137">
      <w:r w:rsidRPr="00A31137">
        <w:t>(d) None of the dissents' arguments for rejecting the foregoing construction of § 5—that a political party is not a "State or political subdivision" within § 5's literal meaning because it is not a governmental unit; that the Court should not defer to the Attorney General's regulation when construing § 5's coverage; that a major political party is not a "state actor" under the Court's decisions unless its nominees are virtually certain to win the general election; and that the construction amounts to adoption of a "blanket rule" that all political parties must preclear all of their internal procedures—is convincing. Pp. ___.</w:t>
      </w:r>
    </w:p>
    <w:p w:rsidR="00A31137" w:rsidRPr="00A31137" w:rsidRDefault="00A31137" w:rsidP="00A31137">
      <w:r w:rsidRPr="00A31137">
        <w:t>1996, Morse v. Republican Party of Virginia, No. 94-203</w:t>
      </w:r>
    </w:p>
    <w:p w:rsidR="00A31137" w:rsidRPr="00A31137" w:rsidRDefault="00A31137" w:rsidP="00A31137">
      <w:r w:rsidRPr="00A31137">
        <w:t>(e) Appellees' practical objections to the foregoing construction of § 5—(1) that it will create an administrative nightmare for political parties and the Justice Department, and (2) that it threatens to abridge First Amendment associational rights—are rejected. Pp. ___.</w:t>
      </w:r>
    </w:p>
    <w:p w:rsidR="00A31137" w:rsidRPr="00A31137" w:rsidRDefault="00A31137" w:rsidP="00A31137">
      <w:r w:rsidRPr="00A31137">
        <w:t>1996, Morse v. Republican Party of Virginia, No. 94-203</w:t>
      </w:r>
    </w:p>
    <w:p w:rsidR="00A31137" w:rsidRPr="00A31137" w:rsidRDefault="00A31137" w:rsidP="00A31137">
      <w:r w:rsidRPr="00A31137">
        <w:t>2. Section 10 of the Act—which does not expressly mention private actions when it authorizes the Attorney General to file suit against racially motivated poll taxes—does not preclude appellants from challenging the Party's registration fee as a prohibited poll tax. Evaluation of congressional action must take into account its contemporary legal context. See, e.g., Cannon v. University of Chicago, 441 U.S. 677, 698-699. Because the Act was passed against a "backdrop" of decisions in which implied causes of action were regularly found, see id. at 698, and nn. 22-23, private parties may sue to enforce § 10, just as they may enforce § 5, see Allen, supra, at  556,  557, n. 23, or § 2, see, e.g., Chisom v. Roemer, 501 U.S. 380. Appellees' argument to the contrary was rejected in Allen, supra, at  556, n. 20, and is also refuted by §§ 3 and 14(e) of the Act, both of which recognize the existence of a private § 10 right of action. Appellees' argument that a delegate registration fee is not a poll tax addresses the merits and should be considered by the District Court in the first instance. Pp. ___.</w:t>
      </w:r>
    </w:p>
    <w:p w:rsidR="00A31137" w:rsidRPr="00A31137" w:rsidRDefault="00A31137" w:rsidP="00A31137">
      <w:r w:rsidRPr="00A31137">
        <w:t>1996, Morse v. Republican Party of Virginia, No. 94-203</w:t>
      </w:r>
    </w:p>
    <w:p w:rsidR="00A31137" w:rsidRPr="00A31137" w:rsidRDefault="00A31137" w:rsidP="00A31137">
      <w:r w:rsidRPr="00A31137">
        <w:t>JUSTICE BREYER, joined by JUSTICE O'CONNOR and JUSTICE SOUTER, concluded:</w:t>
      </w:r>
    </w:p>
    <w:p w:rsidR="00A31137" w:rsidRPr="00A31137" w:rsidRDefault="00A31137" w:rsidP="00A31137">
      <w:r w:rsidRPr="00A31137">
        <w:t>1996, Morse v. Republican Party of Virginia, No. 94-203</w:t>
      </w:r>
    </w:p>
    <w:p w:rsidR="00A31137" w:rsidRPr="00A31137" w:rsidRDefault="00A31137" w:rsidP="00A31137">
      <w:r w:rsidRPr="00A31137">
        <w:t>1. In light of the legislative history demonstrating that, in 1965, Congress was well aware of the White Primary Cases, the failure of case-by-case enforcement of the Fifteenth Amendment, and Mississippi's then-recent efforts to use an "all-white" convention process to help nominate a Democratic candidate for President, and that the Act's "party office" provision was adopted to cover the latter type of situation, the Act cannot be interpreted to contain a loophole excluding all political party activity, but must be read to apply to certain convention-based practices and procedures with respect to voting. That is as far as the Court need go to answer the statutory question presented by this case. Indeed, it is as far as the Court should go, given the difficult First Amendment questions about the extent to which the Federal Government, through preclearance procedures, can regulate the workings of a political party convention, and about the limits imposed by the state action doctrine. Such questions are properly left for a case that squarely presents them. The fee imposed here, however, is within the scope of § 5, and well outside the area of greatest associational concern. Pp. ___.</w:t>
      </w:r>
    </w:p>
    <w:p w:rsidR="00A31137" w:rsidRPr="00A31137" w:rsidRDefault="00A31137" w:rsidP="00A31137">
      <w:r w:rsidRPr="00A31137">
        <w:t>1996, Morse v. Republican Party of Virginia, No. 94-203</w:t>
      </w:r>
    </w:p>
    <w:p w:rsidR="00A31137" w:rsidRPr="00A31137" w:rsidRDefault="00A31137" w:rsidP="00A31137">
      <w:r w:rsidRPr="00A31137">
        <w:t>2. Congress intended to establish a private right of action to enforce § 10, no less than it did to enforce §§ 2 and 5. See Allen v. State Bd. of Elections, 393 U.S. 544, 556-557. JUSTICE BREYER expressed no view as to the merits of the underlying § 10 claim. Pp. ___.</w:t>
      </w:r>
    </w:p>
    <w:p w:rsidR="00A31137" w:rsidRPr="00A31137" w:rsidRDefault="00A31137" w:rsidP="00A31137">
      <w:r w:rsidRPr="00A31137">
        <w:t>1996, Morse v. Republican Party of Virginia, No. 94-203</w:t>
      </w:r>
    </w:p>
    <w:p w:rsidR="00A31137" w:rsidRPr="00A31137" w:rsidRDefault="00A31137" w:rsidP="00A31137">
      <w:r w:rsidRPr="00A31137">
        <w:t>STEVENS, J., announced the judgment of the Court and delivered an opinion, in which GINSBURG, J., joined. BREYER, J., filed an opinion concurring in the judgment, in which O'CONNOR and SOUTER, JJ., joined. SCALIA, J., filed a dissenting opinion, in which THOMAS, J., joined. KENNEDY, J., filed a dissenting opinion, in which REHNQUIST, C.J., joined. THOMAS, J., filed a dissenting opinion, in which REHNQUIST, C.J., and SCALIA, J., joined, and in which KENNEDY, J., joined as to Part II.</w:t>
      </w:r>
    </w:p>
    <w:p w:rsidR="00A31137" w:rsidRPr="00A31137" w:rsidRDefault="00A31137" w:rsidP="00A31137">
      <w:r w:rsidRPr="00A31137">
        <w:t>STEVENS, J., lead opinion</w:t>
      </w:r>
    </w:p>
    <w:p w:rsidR="00A31137" w:rsidRPr="00A31137" w:rsidRDefault="00A31137" w:rsidP="00A31137">
      <w:r w:rsidRPr="00A31137">
        <w:t>1996, Morse v. Republican Party of Virginia, No. 94-203</w:t>
      </w:r>
    </w:p>
    <w:p w:rsidR="00A31137" w:rsidRPr="00A31137" w:rsidRDefault="00A31137" w:rsidP="00A31137">
      <w:r w:rsidRPr="00A31137">
        <w:t>JUSTICE STEVENS announced the judgment of the Court and delivered an opinion, in which JUSTICE GINSBURG joins.</w:t>
      </w:r>
    </w:p>
    <w:p w:rsidR="00A31137" w:rsidRPr="00A31137" w:rsidRDefault="00A31137" w:rsidP="00A31137">
      <w:r w:rsidRPr="00A31137">
        <w:t>1996, Morse v. Republican Party of Virginia, No. 94-203</w:t>
      </w:r>
    </w:p>
    <w:p w:rsidR="00A31137" w:rsidRPr="00A31137" w:rsidRDefault="00A31137" w:rsidP="00A31137">
      <w:r w:rsidRPr="00A31137">
        <w:t>In 1994, all registered voters in Virginia who were willing to declare their intent to support the Republican Party's nominees for public office at the next election could participate in the nomination of the Party's candidate for the office of United States Senator if they paid either a $35 or $45 registration fee. Appellants contend that the imposition of that fee as a condition precedent to participation in the candidate selection process was a poll tax prohibited by the Voting Rights Act of 1965. The questions we must decide are whether § 5 of the Act required preclearance of the Party's decision to exact the fee and whether appellants were permitted to challenge it as a poll tax prohibited by § 10.</w:t>
      </w:r>
    </w:p>
    <w:p w:rsidR="00A31137" w:rsidRPr="00A31137" w:rsidRDefault="00A31137" w:rsidP="00A31137">
      <w:r w:rsidRPr="00A31137">
        <w:t>I</w:t>
      </w:r>
    </w:p>
    <w:p w:rsidR="00A31137" w:rsidRPr="00A31137" w:rsidRDefault="00A31137" w:rsidP="00A31137">
      <w:r w:rsidRPr="00A31137">
        <w:t>1996, Morse v. Republican Party of Virginia, No. 94-203</w:t>
      </w:r>
    </w:p>
    <w:p w:rsidR="00A31137" w:rsidRPr="00A31137" w:rsidRDefault="00A31137" w:rsidP="00A31137">
      <w:r w:rsidRPr="00A31137">
        <w:t>On December 16, 1993, the Republican Party of Virginia (Party) issued a call for a state convention to be held on June 3, 1994, to nominate the Republican candidate for United States Senator. The call invited all registered voters in Virginia to participate in local mass meetings, canvasses, or conventions to be conducted by officials of the Party. Any voter could be certified as a delegate to the state convention by a local political committee upon payment of a registration fee of $35 or $45 depending on the date of certification. Over 14,000 voters paid the fee and took part in the convention.</w:t>
      </w:r>
    </w:p>
    <w:p w:rsidR="00A31137" w:rsidRPr="00A31137" w:rsidRDefault="00A31137" w:rsidP="00A31137">
      <w:r w:rsidRPr="00A31137">
        <w:t>1996, Morse v. Republican Party of Virginia, No. 94-203</w:t>
      </w:r>
    </w:p>
    <w:p w:rsidR="00A31137" w:rsidRPr="00A31137" w:rsidRDefault="00A31137" w:rsidP="00A31137">
      <w:r w:rsidRPr="00A31137">
        <w:t>In response to the call, appellants Bartholomew, Enderson, and Morse sought to become delegates to the convention. As a registered voter in Virginia willing to declare his or her intent to support the Party's nominee, each was eligible to participate upon payment of the registration fee. Bartholomew and Enderson refused to pay the fee, and did not become delegates; Morse paid the fee with funds advanced by supporters of the eventual nominee.</w:t>
      </w:r>
    </w:p>
    <w:p w:rsidR="00A31137" w:rsidRPr="00A31137" w:rsidRDefault="00A31137" w:rsidP="00A31137">
      <w:r w:rsidRPr="00A31137">
        <w:t>1996, Morse v. Republican Party of Virginia, No. 94-203</w:t>
      </w:r>
    </w:p>
    <w:p w:rsidR="00A31137" w:rsidRPr="00A31137" w:rsidRDefault="00A31137" w:rsidP="00A31137">
      <w:r w:rsidRPr="00A31137">
        <w:t>On May 2, 1994, appellants filed a complaint in the United States District Court for the Western District of Virginia alleging that the imposition of the registration fee violated §§ 5 and 10 of the Voting Rights Act, 79 Stat. 439, 442, as amended, 42 U.S.C. §§ 1973c 1 and 1973h (1988 ed.), as well as the Equal Protection Clause of the Fourteenth Amendment 2 and the Twenty-fourth Amendment 3 to the Constitution. They sought an injunction preventing the Party from imposing the fee and ordering it to return the fee paid by Morse. As §§ 5 and 10 require, a three-judge District Court was convened to consider the statutory claims. See Morse v. Oliver North for U.S. Senate Comm., Inc., 853 F.Supp. 212 (WD Va. 1994). That court remanded the two constitutional claims to a single-judge District Court, 4 and, after expedited briefing and argument, granted the Party's motion to dismiss the § 5 and § 10 claims.</w:t>
      </w:r>
    </w:p>
    <w:p w:rsidR="00A31137" w:rsidRPr="00A31137" w:rsidRDefault="00A31137" w:rsidP="00A31137">
      <w:r w:rsidRPr="00A31137">
        <w:t>1996, Morse v. Republican Party of Virginia, No. 94-203</w:t>
      </w:r>
    </w:p>
    <w:p w:rsidR="00A31137" w:rsidRPr="00A31137" w:rsidRDefault="00A31137" w:rsidP="00A31137">
      <w:r w:rsidRPr="00A31137">
        <w:t>After noting "a general rule" that political parties are subject to § 5 to the extent that they are empowered to conduct primary elections, the Court gave two reasons for concluding that the rule did not apply to the selection of delegates to a state nominating convention. First, it read a regulation promulgated by the Attorney General as disavowing § 5 coverage of political party activities other than the conduct of primary elections. Second, it relied on our summary affirmance of the District Court's holding in Williams v. Democratic Party of Georgia, Civ. Action No. 16286 (ND Ga., Apr. 6, 1972), that § 5 does not cover a party's decision to change its method of selecting delegates to a national convention. See 409 U.S. 809 (1972). Its dismissal of the § 10 claim rested on its view that only the Attorney General has authority to enforce that section of the Act. 853 F.Supp. at 215-217.</w:t>
      </w:r>
    </w:p>
    <w:p w:rsidR="00A31137" w:rsidRPr="00A31137" w:rsidRDefault="00A31137" w:rsidP="00A31137">
      <w:r w:rsidRPr="00A31137">
        <w:t>1996, Morse v. Republican Party of Virginia, No. 94-203</w:t>
      </w:r>
    </w:p>
    <w:p w:rsidR="00A31137" w:rsidRPr="00A31137" w:rsidRDefault="00A31137" w:rsidP="00A31137">
      <w:r w:rsidRPr="00A31137">
        <w:t>We noted probable jurisdiction, 513 U.S. ___ (1995), and now reverse.</w:t>
      </w:r>
    </w:p>
    <w:p w:rsidR="00A31137" w:rsidRPr="00A31137" w:rsidRDefault="00A31137" w:rsidP="00A31137">
      <w:r w:rsidRPr="00A31137">
        <w:t>II</w:t>
      </w:r>
    </w:p>
    <w:p w:rsidR="00A31137" w:rsidRPr="00A31137" w:rsidRDefault="00A31137" w:rsidP="00A31137">
      <w:r w:rsidRPr="00A31137">
        <w:t>1996, Morse v. Republican Party of Virginia, No. 94-203</w:t>
      </w:r>
    </w:p>
    <w:p w:rsidR="00A31137" w:rsidRPr="00A31137" w:rsidRDefault="00A31137" w:rsidP="00A31137">
      <w:r w:rsidRPr="00A31137">
        <w:t>In the Voting Rights Act of 1965, Congress enacted a complex scheme of remedies for racial discrimination in voting that were to be applied in areas where such discrimination had been most flagrant. Section 4 of the Act sets forth the formula for identifying the jurisdictions in which such discrimination had occurred, see South Carolina v. Katzenbach, 383 U.S. 301, 317-318 (1966), and § 5 prescribes the most stringent of those remedies. It prohibits the enactment or enforcement by any covered jurisdiction of voting qualifications or procedures that differ from those in effect on November 1, 1964, or two later dates, unless they have been precleared by the Attorney General or approved by the United States District Court for the District of Columbia. See Allen v. State Bd. of Elections, 393 U.S. 544, 548-550 (1969). 5 Virginia is one of the seven States to which the § 4 coverage formula was found applicable on August 7, 1965. 6 The entire Commonwealth has been subject to the preclearance obligation of § 5 ever since.</w:t>
      </w:r>
    </w:p>
    <w:p w:rsidR="00A31137" w:rsidRPr="00A31137" w:rsidRDefault="00A31137" w:rsidP="00A31137">
      <w:r w:rsidRPr="00A31137">
        <w:t>1996, Morse v. Republican Party of Virginia, No. 94-203</w:t>
      </w:r>
    </w:p>
    <w:p w:rsidR="00A31137" w:rsidRPr="00A31137" w:rsidRDefault="00A31137" w:rsidP="00A31137">
      <w:r w:rsidRPr="00A31137">
        <w:t>It is undisputed that the Republican Party's practice of charging a registration fee as a prerequisite to participation in the process of selecting a candidate for United States Senator was not in effect on November 1, 1964. It is also undisputed that, if the candidate had been selected in a primary election, the Party could not have enforced a voting qualification or procedure different from those in effect on November 1, 1964, without first preclearing it under § 5. Finally, we understand the Party to agree that if the registration fee had been mandated by state law, or by a state election official, preclearance would have been required.</w:t>
      </w:r>
    </w:p>
    <w:p w:rsidR="00A31137" w:rsidRPr="00A31137" w:rsidRDefault="00A31137" w:rsidP="00A31137">
      <w:r w:rsidRPr="00A31137">
        <w:t>1996, Morse v. Republican Party of Virginia, No. 94-203</w:t>
      </w:r>
    </w:p>
    <w:p w:rsidR="00A31137" w:rsidRPr="00A31137" w:rsidRDefault="00A31137" w:rsidP="00A31137">
      <w:r w:rsidRPr="00A31137">
        <w:t>What is in dispute is whether the coverage of § 5 encompasses the Party's voting qualifications and procedures when its nominees are chosen at a convention. In answering that question, we first note that the District Court's decision is not supported either by the Attorney General's regulation or by the narrow holding in the Williams case. We then explain why coverage is mandated by our consistent construction of the text and history of the Act. Finally, we discuss the § 10 private cause of action issue.</w:t>
      </w:r>
    </w:p>
    <w:p w:rsidR="00A31137" w:rsidRPr="00A31137" w:rsidRDefault="00A31137" w:rsidP="00A31137">
      <w:r w:rsidRPr="00A31137">
        <w:t>III</w:t>
      </w:r>
    </w:p>
    <w:p w:rsidR="00A31137" w:rsidRPr="00A31137" w:rsidRDefault="00A31137" w:rsidP="00A31137">
      <w:r w:rsidRPr="00A31137">
        <w:t>1996, Morse v. Republican Party of Virginia, No. 94-203</w:t>
      </w:r>
    </w:p>
    <w:p w:rsidR="00A31137" w:rsidRPr="00A31137" w:rsidRDefault="00A31137" w:rsidP="00A31137">
      <w:r w:rsidRPr="00A31137">
        <w:t>The Party does not question the validity of the Attorney General's regulation. That regulation unambiguously provides that when a political party makes a change affecting voting, § 5 requires preclearance if two conditions are satisfied: the change must relate to "a public electoral function of the party" and the party must be "acting under authority explicitly or implicitly granted by a covered jurisdiction." 7 The Party does not deny that the delegate fee is a change that relates to a public electoral function of the Party. It argues, instead, that the regulation did not apply when it selected its nominee for United States Senator at a convention, because it was not "acting under authority" granted by Virginia. We disagree. The District Court erred in its application of the regulation, because the Party exercised delegated state power when it certified its nominee for automatic placement on Virginia's general election ballot.</w:t>
      </w:r>
    </w:p>
    <w:p w:rsidR="00A31137" w:rsidRPr="00A31137" w:rsidRDefault="00A31137" w:rsidP="00A31137">
      <w:r w:rsidRPr="00A31137">
        <w:t>1996, Morse v. Republican Party of Virginia, No. 94-203</w:t>
      </w:r>
    </w:p>
    <w:p w:rsidR="00A31137" w:rsidRPr="00A31137" w:rsidRDefault="00A31137" w:rsidP="00A31137">
      <w:r w:rsidRPr="00A31137">
        <w:t>Virginia law creates two separate tracks for access to the ballot, depending on the affiliation of the candidate. An independent candidate for a statewide office must comply with several requirements. The candidate must file a declaration of candidacy with the State Board of Elections. He or she must also file a petition signed by a predetermined number of qualified voters. For elections to the United States Senate, that number is equal to one-half of one percent of the registered voters in the Commonwealth, with at least 200 signatures from each of the 11 congressional districts. Va.Code Ann. § 24.2-506 (1993). In 1994, the required number of signatures was 14,871. 8</w:t>
      </w:r>
    </w:p>
    <w:p w:rsidR="00A31137" w:rsidRPr="00A31137" w:rsidRDefault="00A31137" w:rsidP="00A31137">
      <w:r w:rsidRPr="00A31137">
        <w:t>1996, Morse v. Republican Party of Virginia, No. 94-203</w:t>
      </w:r>
    </w:p>
    <w:p w:rsidR="00A31137" w:rsidRPr="00A31137" w:rsidRDefault="00A31137" w:rsidP="00A31137">
      <w:r w:rsidRPr="00A31137">
        <w:t>By contrast, the election code provides that the nominees of the two major political parties 9 shall automatically appear on the general election ballot, without the need to declare their candidacy or to demonstrate their support with a nominating petition. § 24.2-511. Party nominees are listed sequentially on the ballot before independent candidates, all of whom are grouped together in a separate row or column or spaced apart from the former. 10 §§ 24.2-613, 24.2-640. Virginia law authorizes the two parties to determine for themselves how they will select their nominees—by primary, by nominating convention, or by some other method. § 24.2-509(A). 11 The Republican Party has taken advantage of these options in past elections. Its nominee has sometimes been selected by the Party's State Central Committee, sometimes by statewide convention, and sometimes by primary election. Whatever method is chosen, state law requires the Commonwealth to place the name of the nominee on the general election ballot. 12</w:t>
      </w:r>
    </w:p>
    <w:p w:rsidR="00A31137" w:rsidRPr="00A31137" w:rsidRDefault="00A31137" w:rsidP="00A31137">
      <w:r w:rsidRPr="00A31137">
        <w:t>1996, Morse v. Republican Party of Virginia, No. 94-203</w:t>
      </w:r>
    </w:p>
    <w:p w:rsidR="00A31137" w:rsidRPr="00A31137" w:rsidRDefault="00A31137" w:rsidP="00A31137">
      <w:r w:rsidRPr="00A31137">
        <w:t>In this dual regime, the parties "ac[t] under authority" of Virginia when they decide who will appear on the general election ballot. 28 CFR § 51.7 (1995). It is uncontested that Virginia has sole authority to set the qualifications for ballot access. Pursuant to that authority, the Commonwealth has prescribed stringent criteria for access with which nearly all independent candidates and political organizations must comply. But it reserves two places on its ballot—indeed, the top two positions 13—for the major parties to fill with their nominees, however chosen. Those parties are effectively granted the power to enact their own qualifications for placement of candidates on the ballot, which the Commonwealth ratifies by adopting their nominees. By holding conventions, for example, the Party does not need to assemble thousands of signatures on a petition for its nominee. In some years, as few as 550 nominators have selected the Party's candidate for United States Senate. 14 Even in 1994, when the Party convention had its largest attendance to date, fewer nominators were present than would have been necessary to meet the petition requirement. 15 In any event, state law permits the Party to allow as many or as few delegates as it sees fit to choose the Party nominee.</w:t>
      </w:r>
    </w:p>
    <w:p w:rsidR="00A31137" w:rsidRPr="00A31137" w:rsidRDefault="00A31137" w:rsidP="00A31137">
      <w:r w:rsidRPr="00A31137">
        <w:t>1996, Morse v. Republican Party of Virginia, No. 94-203</w:t>
      </w:r>
    </w:p>
    <w:p w:rsidR="00A31137" w:rsidRPr="00A31137" w:rsidRDefault="00A31137" w:rsidP="00A31137">
      <w:r w:rsidRPr="00A31137">
        <w:t>The Party is thus delegated the power to determine part of the field of candidates from which the voters must choose. Correspondingly, when Virginia incorporates the Party's selection, it "endorses, adopts and enforces" the delegate qualifications set by the Party for the right to choose that nominee. Smith v. Allwright, 321 U.S. 649,  664 (1944). The major parties have no inherent right to decide who may appear on the ballot. That is a privilege conferred by Virginia law, not natural law. If the Party chooses to avail itself of this delegated power over the electoral process, it necessarily becomes subject to the regulation. 16</w:t>
      </w:r>
    </w:p>
    <w:p w:rsidR="00A31137" w:rsidRPr="00A31137" w:rsidRDefault="00A31137" w:rsidP="00A31137">
      <w:r w:rsidRPr="00A31137">
        <w:t>1996, Morse v. Republican Party of Virginia, No. 94-203</w:t>
      </w:r>
    </w:p>
    <w:p w:rsidR="00A31137" w:rsidRPr="00A31137" w:rsidRDefault="00A31137" w:rsidP="00A31137">
      <w:r w:rsidRPr="00A31137">
        <w:t>In concluding that the regulation applies to the Party, we are guided by the reasoning of Smith v. Allwright, decided more than half a century ago. There, Texas gave automatic ballot access to the nominee of any party that polled a certain number of votes at the preceding general election, and required independent candidates to file nominating petitions. Id. at  653, n. 6,  663. We explained that "recognition of the place of the primary in the electoral scheme," rather than the degree of state control over it, made clear that "state delegation to a party of the power to fix the qualifications of primary elections is delegation of a state function that may make the party's action the action of the State." Id. at  660. The only difference here is that Virginia has not required its political parties to conduct primary elections to nominate their candidates. But the right to choose the method of nomination makes the delegation of authority in this case more expansive, not less, for the Party is granted even greater power over the selection of its nominees. See generally L. Tribe, American Constitutional Law § 13-24, p. 1121, and n. 3 (2d ed. 1988); Rotunda, Constitutional and Statutory Restrictions on Political Parties in the Wake of Cousins v. Wigoda, 53 Texas L.Rev. 935, 953-954 (1975); Developments in the Law—Elections, 88 Harv. L.Rev. 1111, 1159-1163 (1975). By the logic of Smith, therefore, the Party acted under authority of the Commonwealth. 17</w:t>
      </w:r>
    </w:p>
    <w:p w:rsidR="00A31137" w:rsidRPr="00A31137" w:rsidRDefault="00A31137" w:rsidP="00A31137">
      <w:r w:rsidRPr="00A31137">
        <w:t>1996, Morse v. Republican Party of Virginia, No. 94-203</w:t>
      </w:r>
    </w:p>
    <w:p w:rsidR="00A31137" w:rsidRPr="00A31137" w:rsidRDefault="00A31137" w:rsidP="00A31137">
      <w:r w:rsidRPr="00A31137">
        <w:t>It is true that the example set forth in the Attorney General's regulation describes changes in the conduct of primary elections. That example, however, does not purport to define the outer limits of the coverage of § 5. Moreover, both in its brief amicus curiae supporting appellants in this case and in its prior implementation of the regulation, the Department of Justice has interpreted it as applying to changes affecting voting at a party convention. 18 We are satisfied that the Department's interpretation of its own regulation is correct. See Stinson v. United States, 508 U.S. 36, 45 (1993); Bowles v. Seminole Rock &amp; Sand Co., 325 U.S. 410, 414 (1945). Accordingly, we conclude that the regulation required preclearance of the Party's delegate filing fee.</w:t>
      </w:r>
    </w:p>
    <w:p w:rsidR="00A31137" w:rsidRPr="00A31137" w:rsidRDefault="00A31137" w:rsidP="00A31137">
      <w:r w:rsidRPr="00A31137">
        <w:t>1996, Morse v. Republican Party of Virginia, No. 94-203</w:t>
      </w:r>
    </w:p>
    <w:p w:rsidR="00A31137" w:rsidRPr="00A31137" w:rsidRDefault="00A31137" w:rsidP="00A31137">
      <w:r w:rsidRPr="00A31137">
        <w:t>The decision in Williams v. Democratic Party of Georgia, upon which the District Court relied in dismissing this complaint, is not to the contrary. The fact that Virginia statutes grant the nominee of the Party a position on the general election ballot graphically distinguishes the two cases. Williams did not concern the selection of nominees for state elective office, but rather a political party's compliance with a rule promulgated by the Democratic National Party governing the selection of delegates to its national convention. According to the District Court's interpretation of Georgia law, the State exercised no control over, and played no part in, the state Party's selection of delegates to the Democratic National Convention. 19 Because the Commonwealth delegated no authority to the Party to choose the delegates, the Party did not act under the authority, implicit or explicit, of the Commonwealth.</w:t>
      </w:r>
    </w:p>
    <w:p w:rsidR="00A31137" w:rsidRPr="00A31137" w:rsidRDefault="00A31137" w:rsidP="00A31137">
      <w:r w:rsidRPr="00A31137">
        <w:t>1996, Morse v. Republican Party of Virginia, No. 94-203</w:t>
      </w:r>
    </w:p>
    <w:p w:rsidR="00A31137" w:rsidRPr="00A31137" w:rsidRDefault="00A31137" w:rsidP="00A31137">
      <w:r w:rsidRPr="00A31137">
        <w:t>If anything, the logic of Williams supports application of the preclearance requirement. The District Court stated that it was "convinced that voting rights connected with the delegate election process are the type of rights Congress intended to safeguard" by passage of the Act. Civ. Action No. 16286 at 4. It declined to require the party to preclear changes in its nominating methods only because there were no administrative procedures for submission of such changes at the time of the decision. Id. at 5. Since then, however, the Attorney General has clarified that "an appropriate official of the political party" may submit party rules affecting voting for preclearance, 28 CFR § 51.23(b) (1993), thereby eliminating this one practical obstacle. Other lower courts have subsequently required preclearance of internal party rules, even when those rules do not relate to the conduct of primary elections. 20 Indeed, if the rationale of Williams were still valid, § 5 would not cover party primaries either, for the party (by hypothesis) would likewise have no means of preclearing changes. But it is firmly established—and the Party does not dispute—that changes affecting primaries carried out by political parties must be precleared. 21</w:t>
      </w:r>
    </w:p>
    <w:p w:rsidR="00A31137" w:rsidRPr="00A31137" w:rsidRDefault="00A31137" w:rsidP="00A31137">
      <w:r w:rsidRPr="00A31137">
        <w:t>1996, Morse v. Republican Party of Virginia, No. 94-203</w:t>
      </w:r>
    </w:p>
    <w:p w:rsidR="00A31137" w:rsidRPr="00A31137" w:rsidRDefault="00A31137" w:rsidP="00A31137">
      <w:r w:rsidRPr="00A31137">
        <w:t>The District Court was therefore incorrect to base its decision on either the Attorney General's regulation or on our summary affirmance in Williams. The Party's activities fall directly within the scope of the regulation. We next conclude, based on the language and structure of the Act, and the historical background which informed the Congress that enacted it, that § 5 of its own force covers changes in electoral practices such as the Party's imposition of a filing fee for delegates to its convention.</w:t>
      </w:r>
    </w:p>
    <w:p w:rsidR="00A31137" w:rsidRPr="00A31137" w:rsidRDefault="00A31137" w:rsidP="00A31137">
      <w:r w:rsidRPr="00A31137">
        <w:t>IV</w:t>
      </w:r>
    </w:p>
    <w:p w:rsidR="00A31137" w:rsidRPr="00A31137" w:rsidRDefault="00A31137" w:rsidP="00A31137">
      <w:r w:rsidRPr="00A31137">
        <w:t>1996, Morse v. Republican Party of Virginia, No. 94-203</w:t>
      </w:r>
    </w:p>
    <w:p w:rsidR="00A31137" w:rsidRPr="00A31137" w:rsidRDefault="00A31137" w:rsidP="00A31137">
      <w:r w:rsidRPr="00A31137">
        <w:t>Section 5 of the Act requires preclearance of changes in "any voting qualification or prerequisite to voting, or standard, practice, or procedure with respect to voting." Section 14 defines the terms "vote" or "voting" to include</w:t>
      </w:r>
    </w:p>
    <w:p w:rsidR="00A31137" w:rsidRPr="00A31137" w:rsidRDefault="00A31137" w:rsidP="00A31137">
      <w:r w:rsidRPr="00A31137">
        <w:t>1996, Morse v. Republican Party of Virginia, No. 94-203</w:t>
      </w:r>
    </w:p>
    <w:p w:rsidR="00A31137" w:rsidRPr="00A31137" w:rsidRDefault="00A31137" w:rsidP="00A31137">
      <w:r w:rsidRPr="00A31137">
        <w:t>all action necessary to make a vote effective in any primary, special, or general election, including, but not limited to, registration, listing pursuant to this subchapter, or other action required by law prerequisite to voting, casting a ballot, and having such ballot counted properly and included in the appropriate totals of votes cast with respect to candidates for public or party office and propositions for which votes are received in an election.</w:t>
      </w:r>
    </w:p>
    <w:p w:rsidR="00A31137" w:rsidRPr="00A31137" w:rsidRDefault="00A31137" w:rsidP="00A31137">
      <w:r w:rsidRPr="00A31137">
        <w:t>1996, Morse v. Republican Party of Virginia, No. 94-203</w:t>
      </w:r>
    </w:p>
    <w:p w:rsidR="00A31137" w:rsidRPr="00A31137" w:rsidRDefault="00A31137" w:rsidP="00A31137">
      <w:r w:rsidRPr="00A31137">
        <w:t>42 U.S.C. § 1973l(c)(1) (1988 ed.).</w:t>
      </w:r>
    </w:p>
    <w:p w:rsidR="00A31137" w:rsidRPr="00A31137" w:rsidRDefault="00A31137" w:rsidP="00A31137">
      <w:r w:rsidRPr="00A31137">
        <w:t>1996, Morse v. Republican Party of Virginia, No. 94-203</w:t>
      </w:r>
    </w:p>
    <w:p w:rsidR="00A31137" w:rsidRPr="00A31137" w:rsidRDefault="00A31137" w:rsidP="00A31137">
      <w:r w:rsidRPr="00A31137">
        <w:t>Although a narrow reading of the text of the Voting Rights Act might have confined the coverage of § 5 to changes in election practices that limit individual voters' access to the ballot in jurisdictions having authority to register voters, see United States v. Sheffield Bd. of Comm'rs, 435 U.S. 110, 140-150 (1978) (STEVENS, J., dissenting); Holder v. Hall, 512 U.S. ___, ___ (1994) (THOMAS, J., concurring in judgment), the Court has squarely rejected that construction. Shortly after the statute was passed, the Court thoroughly reviewed its legislative history and found that Congress intended § 5 to have "the broadest possible scope" reaching "any state enactment which altered the election law of a covered State in even a minor way." Allen v. State Bd. of Elections, 393 U.S. at 566-567. Similarly, in Sheffield, the Court concluded that</w:t>
      </w:r>
    </w:p>
    <w:p w:rsidR="00A31137" w:rsidRPr="00A31137" w:rsidRDefault="00A31137" w:rsidP="00A31137">
      <w:r w:rsidRPr="00A31137">
        <w:t>1996, Morse v. Republican Party of Virginia, No. 94-203</w:t>
      </w:r>
    </w:p>
    <w:p w:rsidR="00A31137" w:rsidRPr="00A31137" w:rsidRDefault="00A31137" w:rsidP="00A31137">
      <w:r w:rsidRPr="00A31137">
        <w:t>the language of the Act does not require such a crippling interpretation, but rather is susceptible of a reading that will fully implement the congressional objectives.</w:t>
      </w:r>
    </w:p>
    <w:p w:rsidR="00A31137" w:rsidRPr="00A31137" w:rsidRDefault="00A31137" w:rsidP="00A31137">
      <w:r w:rsidRPr="00A31137">
        <w:t>1996, Morse v. Republican Party of Virginia, No. 94-203</w:t>
      </w:r>
    </w:p>
    <w:p w:rsidR="00A31137" w:rsidRPr="00A31137" w:rsidRDefault="00A31137" w:rsidP="00A31137">
      <w:r w:rsidRPr="00A31137">
        <w:t>435 U.S. at 117. We expressly held that</w:t>
      </w:r>
    </w:p>
    <w:p w:rsidR="00A31137" w:rsidRPr="00A31137" w:rsidRDefault="00A31137" w:rsidP="00A31137">
      <w:r w:rsidRPr="00A31137">
        <w:t>1996, Morse v. Republican Party of Virginia, No. 94-203</w:t>
      </w:r>
    </w:p>
    <w:p w:rsidR="00A31137" w:rsidRPr="00A31137" w:rsidRDefault="00A31137" w:rsidP="00A31137">
      <w:r w:rsidRPr="00A31137">
        <w:t>§ 5, like the constitutional provisions it is designed to implement, applies to all entities having power over any aspect of the electoral process within designated jurisdictions, not only to counties or to whatever units of state government perform the function of registering voters.</w:t>
      </w:r>
    </w:p>
    <w:p w:rsidR="00A31137" w:rsidRPr="00A31137" w:rsidRDefault="00A31137" w:rsidP="00A31137">
      <w:r w:rsidRPr="00A31137">
        <w:t>1996, Morse v. Republican Party of Virginia, No. 94-203</w:t>
      </w:r>
    </w:p>
    <w:p w:rsidR="00A31137" w:rsidRPr="00A31137" w:rsidRDefault="00A31137" w:rsidP="00A31137">
      <w:r w:rsidRPr="00A31137">
        <w:t>Id. at 118. More recently we noted that § 5 is "expansive within its sphere of operation" and "comprehends all changes to rules governing voting." Presley v. Etowah County Comm'n, 502 U.S. 491, 501 (1992).</w:t>
      </w:r>
    </w:p>
    <w:p w:rsidR="00A31137" w:rsidRPr="00A31137" w:rsidRDefault="00A31137" w:rsidP="00A31137">
      <w:r w:rsidRPr="00A31137">
        <w:t>1996, Morse v. Republican Party of Virginia, No. 94-203</w:t>
      </w:r>
    </w:p>
    <w:p w:rsidR="00A31137" w:rsidRPr="00A31137" w:rsidRDefault="00A31137" w:rsidP="00A31137">
      <w:r w:rsidRPr="00A31137">
        <w:t>We have consistently construed the Act to require preclearance of any change in procedures or practices that may bear on the "effectiveness" of a vote cast in "any primary, special, or general election." 42 U.S.C. § 1973l(c)(1). Rules concerning candidacy requirements and qualifications, we have held, fall into this category because of their potential to "undermine the effectiveness of voters who wish to elect [particular] candidates." Allen, 393 U.S. at  570; see also Dougherty County Bd. of Ed. v. White, 439 U.S. 32, 40 (1978). Changes in the composition of the electorate that votes for a particular office—that is, situations that raise the specter of vote dilution—also belong to this class because they could "nullify [voters'] ability to elect the candidate of their choice just as would prohibiting some of them from voting." 393 U.S. at  569. This nexus between the changed practice and its impact on voting in the general election has been a recurring theme in our cases interpreting the Act. See Chisom v. Roemer, 501 U.S. 380, 397 (1991) ("Any abridgment of the opportunity of members of a protected class to participate in the political process inevitably impairs their ability to influence the outcome of an election"). In its reenactments and extensions of the Act, moreover, Congress has endorsed these broad constructions of § 5. See, e.g., S.Rep. No. 97-417, pp. 6-7, and n. 8 (1982).</w:t>
      </w:r>
    </w:p>
    <w:p w:rsidR="00A31137" w:rsidRPr="00A31137" w:rsidRDefault="00A31137" w:rsidP="00A31137">
      <w:r w:rsidRPr="00A31137">
        <w:t>1996, Morse v. Republican Party of Virginia, No. 94-203</w:t>
      </w:r>
    </w:p>
    <w:p w:rsidR="00A31137" w:rsidRPr="00A31137" w:rsidRDefault="00A31137" w:rsidP="00A31137">
      <w:r w:rsidRPr="00A31137">
        <w:t>A filing fee for party delegates operates in precisely the same fashion as these covered practices. By limiting the opportunity for voters to participate in the Party's convention, the fee undercuts their influence on the field of candidates whose names will appear on the ballot, and thus weakens the "effectiveness" of their votes cast in the general election itself. As an elementary fact about our Nation's political system, the significance of the nominating convention to the outcome in the general election was recognized as long ago as Justice Pitney's concurrence in Newberry v. United States, 256 U.S. 232 (1921). Joined by Justices Brandeis and Clarke, he wrote:</w:t>
      </w:r>
    </w:p>
    <w:p w:rsidR="00A31137" w:rsidRPr="00A31137" w:rsidRDefault="00A31137" w:rsidP="00A31137">
      <w:r w:rsidRPr="00A31137">
        <w:t>1996, Morse v. Republican Party of Virginia, No. 94-203</w:t>
      </w:r>
    </w:p>
    <w:p w:rsidR="00A31137" w:rsidRPr="00A31137" w:rsidRDefault="00A31137" w:rsidP="00A31137">
      <w:r w:rsidRPr="00A31137">
        <w:t>As a practical matter, the ultimate choice of the mass of voters is predetermined when the nominations [by the major political parties] have been made.</w:t>
      </w:r>
    </w:p>
    <w:p w:rsidR="00A31137" w:rsidRPr="00A31137" w:rsidRDefault="00A31137" w:rsidP="00A31137">
      <w:r w:rsidRPr="00A31137">
        <w:t>1996, Morse v. Republican Party of Virginia, No. 94-203</w:t>
      </w:r>
    </w:p>
    <w:p w:rsidR="00A31137" w:rsidRPr="00A31137" w:rsidRDefault="00A31137" w:rsidP="00A31137">
      <w:r w:rsidRPr="00A31137">
        <w:t>Id. at 286 (opinion concurring in part). See also United States v. Classic, 313 U.S. 299,  319 (1941) (endorsing the Newberry concurrence). Just like a primary, a convention narrows the field of candidates from a potentially unwieldy number to the serious few who have a realistic chance to win the election. We have held, in fact, that the State's compelling interest in winnowing down the candidates justifies substantial restrictions on access to the ballot. American Party of Texas v. White, 415 U.S. 767, 782, and n. 14 (1974). Virginia, no doubt, would justify its own ballot access rules—including those for the major parties—on just this basis. 22</w:t>
      </w:r>
    </w:p>
    <w:p w:rsidR="00A31137" w:rsidRPr="00A31137" w:rsidRDefault="00A31137" w:rsidP="00A31137">
      <w:r w:rsidRPr="00A31137">
        <w:t>1996, Morse v. Republican Party of Virginia, No. 94-203</w:t>
      </w:r>
    </w:p>
    <w:p w:rsidR="00A31137" w:rsidRPr="00A31137" w:rsidRDefault="00A31137" w:rsidP="00A31137">
      <w:r w:rsidRPr="00A31137">
        <w:t>We have previously recognized that § 5 extends to changes affecting nomination processes other than the primary. In Whitley v. Williams, one of the companion cases decided with Allen, this Court affirmed § 5 coverage of a scheme that placed new burdens on voters who wished to nominate independent candidates by petition. The Court was unconcerned that the changes did not directly relate to the conduct of a primary, because they had an effect on the general election. See Allen, 393 U.S. at  570. One of those changes was a requirement that each nominator sign the petition personally and state his or her polling precinct and county. See id. at  551. Like the filing fee in this case, that condition made it more difficult for voters to participate in the nomination process, and therefore properly fell within § 5's scope. A fee of $45 to cast a vote for the Party nominee is, if anything, a more onerous burden than a mere obligation to include certain public information about oneself next to one's name on a nominating petition. In dissent, Justice Harlan agreed that "the nominating petition is the functional equivalent of the political primary." Id. at  592 (opinion concurring in part and dissenting in part).</w:t>
      </w:r>
    </w:p>
    <w:p w:rsidR="00A31137" w:rsidRPr="00A31137" w:rsidRDefault="00A31137" w:rsidP="00A31137">
      <w:r w:rsidRPr="00A31137">
        <w:t>1996, Morse v. Republican Party of Virginia, No. 94-203</w:t>
      </w:r>
    </w:p>
    <w:p w:rsidR="00A31137" w:rsidRPr="00A31137" w:rsidRDefault="00A31137" w:rsidP="00A31137">
      <w:r w:rsidRPr="00A31137">
        <w:t>Delegate qualifications are in fact more closely tied to the voting process than practices that may cause vote dilution, whose coverage under § 5 we have repeatedly upheld. Virginia, like most States, has effectively divided its election into two stages, the first consisting of the selection of party candidates and the second being the general election itself. See United States v. Classic, 313 U.S. at  316. Exclusion from the earlier stage, as two appellants in this case experienced, does not merely curtail their voting power, but abridges their right to vote itself. To the excluded voter who cannot cast a vote for his or her candidate, it is all the same whether the party conducts its nomination by a primary or by a convention open to all party members except those kept out by the filing fee. Each is an "integral part of the election machinery." Id. at  318.</w:t>
      </w:r>
    </w:p>
    <w:p w:rsidR="00A31137" w:rsidRPr="00A31137" w:rsidRDefault="00A31137" w:rsidP="00A31137">
      <w:r w:rsidRPr="00A31137">
        <w:t>1996, Morse v. Republican Party of Virginia, No. 94-203</w:t>
      </w:r>
    </w:p>
    <w:p w:rsidR="00A31137" w:rsidRPr="00A31137" w:rsidRDefault="00A31137" w:rsidP="00A31137">
      <w:r w:rsidRPr="00A31137">
        <w:t>The reference to "party office" in § 14, which defines the terms "vote" and "voting" as they appear throughout the Act, reinforces this construction of § 5. Section 14 specifically recognizes that the selection of persons for "party office" is one type of action that may determine the effectiveness of a vote in the general election. Delegates to a party convention are party officers. See H.R.Rep. No. 439, 89th Cong., 1st Sess., 32 (1965) ("Thus, for example, an election of delegates to a State party convention would be covered by the act"). The phrase "votes cast with respect to candidates for public or party office" in § 14 is broad enough to encompass a variety of methods of voting beyond a formal election. 23 Cf. Classic, 313 U.S. at  318. The Party itself recognizes this point, for both in its brief to this Court and in its Plan of Organization, it repeatedly characterizes its own method of selecting these delegates as an "election." 24</w:t>
      </w:r>
    </w:p>
    <w:p w:rsidR="00A31137" w:rsidRPr="00A31137" w:rsidRDefault="00A31137" w:rsidP="00A31137">
      <w:r w:rsidRPr="00A31137">
        <w:t>1996, Morse v. Republican Party of Virginia, No. 94-203</w:t>
      </w:r>
    </w:p>
    <w:p w:rsidR="00A31137" w:rsidRPr="00A31137" w:rsidRDefault="00A31137" w:rsidP="00A31137">
      <w:r w:rsidRPr="00A31137">
        <w:t>The legislative history of § 14 supports this interpretation. Representative Bingham proposed addition of the term "party office" to the language of the section for the express purpose of extending coverage of the Act to the nominating activities of political parties. See Hearings on H.R. 6400 before Subcommittee No. 5 of the House Committee on the Judiciary, 89th Cong., 1st Sess., 456-457 (1965) (proposing coverage of "political party meetings, councils, conventions, and referendums which lead to endorsement or selection of candidates who will run in primary or general elections"). Congressional concern that the Act reach the selection of party delegates was not merely speculative. On the floor of the House, Representative Bingham expressed the importance of preventing a reprise of the fiasco of the previous year, 1964,</w:t>
      </w:r>
    </w:p>
    <w:p w:rsidR="00A31137" w:rsidRPr="00A31137" w:rsidRDefault="00A31137" w:rsidP="00A31137">
      <w:r w:rsidRPr="00A31137">
        <w:t>1996, Morse v. Republican Party of Virginia, No. 94-203</w:t>
      </w:r>
    </w:p>
    <w:p w:rsidR="00A31137" w:rsidRPr="00A31137" w:rsidRDefault="00A31137" w:rsidP="00A31137">
      <w:r w:rsidRPr="00A31137">
        <w:t>when the regular Democratic delegation from Mississippi to the Democratic National Convention was chosen through a series of Party caucuses and conventions from which Negroes were excluded.</w:t>
      </w:r>
    </w:p>
    <w:p w:rsidR="00A31137" w:rsidRPr="00A31137" w:rsidRDefault="00A31137" w:rsidP="00A31137">
      <w:r w:rsidRPr="00A31137">
        <w:t>1996, Morse v. Republican Party of Virginia, No. 94-203</w:t>
      </w:r>
    </w:p>
    <w:p w:rsidR="00A31137" w:rsidRPr="00A31137" w:rsidRDefault="00A31137" w:rsidP="00A31137">
      <w:r w:rsidRPr="00A31137">
        <w:t>111 Cong.Rec. 16273 (1965); see also Hearings, supra, at 456 ("The events of 1964 demonstrate the need" to expand § 14). As he later explained, the solution that was reached to this problem was "to add to the definition of the word 'vote' in section 14(c)(1)." 111 Cong Rec. 16273. The Party's delegates to its 1994 convention were chosen through precisely the same methods Representative Bingham described: mass meetings, conventions, and canvasses. Exempting the Party from the scope of § 14 would thus defeat the purpose for which the House and eventually Congress as a whole adopted Representative Bingham's amendment. The text of § 2 also makes apparent the Act's intended coverage of nonprimary nomination methods. Section 2, which bans any "voting qualification or prerequisite" that discriminates on account of race or color, considers a violation to have occurred if</w:t>
      </w:r>
    </w:p>
    <w:p w:rsidR="00A31137" w:rsidRPr="00A31137" w:rsidRDefault="00A31137" w:rsidP="00A31137">
      <w:r w:rsidRPr="00A31137">
        <w:t>1996, Morse v. Republican Party of Virginia, No. 94-203</w:t>
      </w:r>
    </w:p>
    <w:p w:rsidR="00A31137" w:rsidRPr="00A31137" w:rsidRDefault="00A31137" w:rsidP="00A31137">
      <w:r w:rsidRPr="00A31137">
        <w:t>the political processes leading to nomination or election in the State or political subdivision are not equally open to participation by members of [groups protected by the Act] in that its members have less opportunity than other members of the electorate to participate in the political process and to elect representatives of their choice.</w:t>
      </w:r>
    </w:p>
    <w:p w:rsidR="00A31137" w:rsidRPr="00A31137" w:rsidRDefault="00A31137" w:rsidP="00A31137">
      <w:r w:rsidRPr="00A31137">
        <w:t>1996, Morse v. Republican Party of Virginia, No. 94-203</w:t>
      </w:r>
    </w:p>
    <w:p w:rsidR="00A31137" w:rsidRPr="00A31137" w:rsidRDefault="00A31137" w:rsidP="00A31137">
      <w:r w:rsidRPr="00A31137">
        <w:t>42 U.S.C. § 1973(b) (1988 ed.) (emphasis added). Under the broad sweep of this language, exclusion from a nominating convention would qualify as a violation. Section 2 "adopts the functional view of 'political process'" and applies to "any phase of the electoral process." S.Rep. 97-417, p. 30, and n. 120 (1982).</w:t>
      </w:r>
    </w:p>
    <w:p w:rsidR="00A31137" w:rsidRPr="00A31137" w:rsidRDefault="00A31137" w:rsidP="00A31137">
      <w:r w:rsidRPr="00A31137">
        <w:t>1996, Morse v. Republican Party of Virginia, No. 94-203</w:t>
      </w:r>
    </w:p>
    <w:p w:rsidR="00A31137" w:rsidRPr="00A31137" w:rsidRDefault="00A31137" w:rsidP="00A31137">
      <w:r w:rsidRPr="00A31137">
        <w:t>If such practices and procedures fall within the scope of § 2, they must also be subject to § 5. In recent cases, some Members of this Court have questioned whether § 2 is as broad as § 5, see Chisom v. Roemer, 501 U.S. at 416-417 (SCALIA, J., dissenting); Holder v. Hall, 512 U.S. at ___-___ (KENNEDY, J.); id. at ___-___ (THOMAS, J., concurring in judgment), but there has never been any doubt about the converse—that changes in practices within covered jurisdictions that would be potentially objectionable under § 2 are also covered under § 5. The purpose of preclearance is to prevent all attempts to implement discriminatory voting practices that change the status quo. If § 5 were narrower than § 2, then a covered jurisdiction would not need to preclear changes in voting practices known to be illegal. "It is unlikely that Congress intended such an anomalous result." Chisom, 501 U.S. at 402. 25</w:t>
      </w:r>
    </w:p>
    <w:p w:rsidR="00A31137" w:rsidRPr="00A31137" w:rsidRDefault="00A31137" w:rsidP="00A31137">
      <w:r w:rsidRPr="00A31137">
        <w:t>1996, Morse v. Republican Party of Virginia, No. 94-203</w:t>
      </w:r>
    </w:p>
    <w:p w:rsidR="00A31137" w:rsidRPr="00A31137" w:rsidRDefault="00A31137" w:rsidP="00A31137">
      <w:r w:rsidRPr="00A31137">
        <w:t>A fair reading of the text of § 5 unquestionably supports the conclusion that by imposing its filing fee the Party sought to administer a</w:t>
      </w:r>
    </w:p>
    <w:p w:rsidR="00A31137" w:rsidRPr="00A31137" w:rsidRDefault="00A31137" w:rsidP="00A31137">
      <w:r w:rsidRPr="00A31137">
        <w:t>1996, Morse v. Republican Party of Virginia, No. 94-203</w:t>
      </w:r>
    </w:p>
    <w:p w:rsidR="00A31137" w:rsidRPr="00A31137" w:rsidRDefault="00A31137" w:rsidP="00A31137">
      <w:r w:rsidRPr="00A31137">
        <w:t>voting qualification or prerequisite to voting, or standard, practice or procedure with respect to voting different from that in force or effect on November 1, 1968.</w:t>
      </w:r>
    </w:p>
    <w:p w:rsidR="00A31137" w:rsidRPr="00A31137" w:rsidRDefault="00A31137" w:rsidP="00A31137">
      <w:r w:rsidRPr="00A31137">
        <w:t>1996, Morse v. Republican Party of Virginia, No. 94-203</w:t>
      </w:r>
    </w:p>
    <w:p w:rsidR="00A31137" w:rsidRPr="00A31137" w:rsidRDefault="00A31137" w:rsidP="00A31137">
      <w:r w:rsidRPr="00A31137">
        <w:t>42 U.S.C. § 1973c (1988 ed.).</w:t>
      </w:r>
    </w:p>
    <w:p w:rsidR="00A31137" w:rsidRPr="00A31137" w:rsidRDefault="00A31137" w:rsidP="00A31137">
      <w:r w:rsidRPr="00A31137">
        <w:t>V</w:t>
      </w:r>
    </w:p>
    <w:p w:rsidR="00A31137" w:rsidRPr="00A31137" w:rsidRDefault="00A31137" w:rsidP="00A31137">
      <w:r w:rsidRPr="00A31137">
        <w:t>1996, Morse v. Republican Party of Virginia, No. 94-203</w:t>
      </w:r>
    </w:p>
    <w:p w:rsidR="00A31137" w:rsidRPr="00A31137" w:rsidRDefault="00A31137" w:rsidP="00A31137">
      <w:r w:rsidRPr="00A31137">
        <w:t>Consideration of the history that led to passage of the Act confirms our construction of § 5. The preamble to the statute expressly identifies the "fifteenth amendment" as the constitutional provision the Act was designed to implement. 26 Our cases dealing with the applicability of that amendment to the selection of party candidates in States that engaged in the sort of voting discrimination that § 5 was designed to remedy are therefore directly relevant. See McCain v. Lybrand, 465 U.S. 236, 246 (1984) (interpreting Act "in light of its prophylactic purpose and the historical experience which it reflects"); Dougherty County Bd. of Ed. v. White, 439 U.S. at 37 (seeking "guidance from the history and purpose of the Act"). In a series of decisions known as the White Primary Cases, this Court applied the Fifteenth and Fourteenth Amendments to strike down a succession of measures by authorities in Texas to exclude minority voters from their nomination processes. These cases demonstrate that electoral practices implemented by political parties have the potential to "den[y] or abridg[e] the right to vote on account of race or color," which § 5 prohibits. 42 U.S.C. § 1973c (1988 ed.).</w:t>
      </w:r>
    </w:p>
    <w:p w:rsidR="00A31137" w:rsidRPr="00A31137" w:rsidRDefault="00A31137" w:rsidP="00A31137">
      <w:r w:rsidRPr="00A31137">
        <w:t>1996, Morse v. Republican Party of Virginia, No. 94-203</w:t>
      </w:r>
    </w:p>
    <w:p w:rsidR="00A31137" w:rsidRPr="00A31137" w:rsidRDefault="00A31137" w:rsidP="00A31137">
      <w:r w:rsidRPr="00A31137">
        <w:t>Nixon v. Herndon, 273 U.S. 536 (1927), involved the validity of a Texas statute enacted in 1923 that flatly provided "'in no event shall a negro be eligible to participate in a Democratic party primary election held in the State of Texas,'" id. at  540. It took only a paragraph for Justice Holmes to conclude that it was</w:t>
      </w:r>
    </w:p>
    <w:p w:rsidR="00A31137" w:rsidRPr="00A31137" w:rsidRDefault="00A31137" w:rsidP="00A31137">
      <w:r w:rsidRPr="00A31137">
        <w:t>1996, Morse v. Republican Party of Virginia, No. 94-203</w:t>
      </w:r>
    </w:p>
    <w:p w:rsidR="00A31137" w:rsidRPr="00A31137" w:rsidRDefault="00A31137" w:rsidP="00A31137">
      <w:r w:rsidRPr="00A31137">
        <w:t>unnecessary to consider the Fifteenth Amendment, because it seems to us hard to imagine a more direct and obvious infringement of the Fourteenth.</w:t>
      </w:r>
    </w:p>
    <w:p w:rsidR="00A31137" w:rsidRPr="00A31137" w:rsidRDefault="00A31137" w:rsidP="00A31137">
      <w:r w:rsidRPr="00A31137">
        <w:t>1996, Morse v. Republican Party of Virginia, No. 94-203</w:t>
      </w:r>
    </w:p>
    <w:p w:rsidR="00A31137" w:rsidRPr="00A31137" w:rsidRDefault="00A31137" w:rsidP="00A31137">
      <w:r w:rsidRPr="00A31137">
        <w:t>Id. at 540-541. Promptly after the announcement of that decision, the Texas Legislature responded to what it regarded as an emergency by replacing the invalid provision with a substitute that authorized the executive committee of every political party to determine "in its own way" who shall be "qualified to vote or otherwise participate in such political party." Nixon v. Condon, 286 U.S. 73,  82 (1932). The State Executive Committee of the Democratic Party adopted a rule that only "white democrats" could participate in the party's primary elections. Pursuant to that rule, Mr. Nixon was again refused a primary ballot and again persuaded this Court that the authors of the discriminatory rule should be "classified as representatives of the State to such an extent and in such a sense that the great restraints of the Constitution set limits to their action." Id. at  89.</w:t>
      </w:r>
    </w:p>
    <w:p w:rsidR="00A31137" w:rsidRPr="00A31137" w:rsidRDefault="00A31137" w:rsidP="00A31137">
      <w:r w:rsidRPr="00A31137">
        <w:t>1996, Morse v. Republican Party of Virginia, No. 94-203</w:t>
      </w:r>
    </w:p>
    <w:p w:rsidR="00A31137" w:rsidRPr="00A31137" w:rsidRDefault="00A31137" w:rsidP="00A31137">
      <w:r w:rsidRPr="00A31137">
        <w:t>The decision in Nixon v. Condon relied on the fact that a state statute authorized the Party's Executive Committee to determine the qualifications of voters. Thereafter the Party implemented the same discriminatory policy without statutory authorization by adopting a resolution at a state convention restricting party membership to "white persons." When it first confronted the issue, the Court held that implementation of that rule was not state action. Grovey v. Townsend, 295 U.S. 45 (1935). A few years later, however, Grovey was overruled and the Court decided that the resolution adopted by the party's state convention constituted state action violative of the Fifteenth Amendment even though it was not expressly authorized by statute. Smith v. Allwright, 321 U.S. 649 (1944). We wrote:</w:t>
      </w:r>
    </w:p>
    <w:p w:rsidR="00A31137" w:rsidRPr="00A31137" w:rsidRDefault="00A31137" w:rsidP="00A31137">
      <w:r w:rsidRPr="00A31137">
        <w:t>1996, Morse v. Republican Party of Virginia, No. 94-203</w:t>
      </w:r>
    </w:p>
    <w:p w:rsidR="00A31137" w:rsidRPr="00A31137" w:rsidRDefault="00A31137" w:rsidP="00A31137">
      <w:r w:rsidRPr="00A31137">
        <w:t>The United States is a constitutional democracy. Its organic law grants to all citizens a right to participate in the choice of elected officials without restriction by any State because of race. This grant to the people of the opportunity for choice is not to be nullified by a State through casting its electoral process in a form which permits a private organization to practice racial discrimination in the election. Constitutional rights would be of little value if they could be thus indirectly denied. Lane v. Wilson, 307 U.S. 268,  275 [(1939)].</w:t>
      </w:r>
    </w:p>
    <w:p w:rsidR="00A31137" w:rsidRPr="00A31137" w:rsidRDefault="00A31137" w:rsidP="00A31137">
      <w:r w:rsidRPr="00A31137">
        <w:t>1996, Morse v. Republican Party of Virginia, No. 94-203</w:t>
      </w:r>
    </w:p>
    <w:p w:rsidR="00A31137" w:rsidRPr="00A31137" w:rsidRDefault="00A31137" w:rsidP="00A31137">
      <w:r w:rsidRPr="00A31137">
        <w:t>Id. at  664.</w:t>
      </w:r>
    </w:p>
    <w:p w:rsidR="00A31137" w:rsidRPr="00A31137" w:rsidRDefault="00A31137" w:rsidP="00A31137">
      <w:r w:rsidRPr="00A31137">
        <w:t>1996, Morse v. Republican Party of Virginia, No. 94-203</w:t>
      </w:r>
    </w:p>
    <w:p w:rsidR="00A31137" w:rsidRPr="00A31137" w:rsidRDefault="00A31137" w:rsidP="00A31137">
      <w:r w:rsidRPr="00A31137">
        <w:t>The same policy of excluding all nonwhite voters from the electoral process was thereafter implemented in certain Texas counties by a private organization known as the Jaybird Democratic Association. It conducted a so-called "Jaybird primary" at which white voters selected candidates who thereafter ran in and nearly always won the Democratic Party's primary and the general election. Although the Jaybirds had no official status, received no state funds, and conducted a purely private election, the Court readily concluded that this voluntary association's exclusion of black voters from its primaries on racial grounds was prohibited by the Fifteenth Amendment. Terry v. Adams, 345 U.S. 461 (1953). Citing our earlier cases, Justice Clark tersely noted that an "old pattern in new guise is revealed by the record." Id. at  480 (concurring opinion).</w:t>
      </w:r>
    </w:p>
    <w:p w:rsidR="00A31137" w:rsidRPr="00A31137" w:rsidRDefault="00A31137" w:rsidP="00A31137">
      <w:r w:rsidRPr="00A31137">
        <w:t>1996, Morse v. Republican Party of Virginia, No. 94-203</w:t>
      </w:r>
    </w:p>
    <w:p w:rsidR="00A31137" w:rsidRPr="00A31137" w:rsidRDefault="00A31137" w:rsidP="00A31137">
      <w:r w:rsidRPr="00A31137">
        <w:t>Congress passed the Voting Rights Act of 1964 because it concluded that case-by-case enforcement of the Fifteenth Amendment, as exemplified by the history of the white primary in Texas, had proved ineffective to stop discriminatory voting practices in certain areas of the country on account of the intransigence of officials who</w:t>
      </w:r>
    </w:p>
    <w:p w:rsidR="00A31137" w:rsidRPr="00A31137" w:rsidRDefault="00A31137" w:rsidP="00A31137">
      <w:r w:rsidRPr="00A31137">
        <w:t>1996, Morse v. Republican Party of Virginia, No. 94-203</w:t>
      </w:r>
    </w:p>
    <w:p w:rsidR="00A31137" w:rsidRPr="00A31137" w:rsidRDefault="00A31137" w:rsidP="00A31137">
      <w:r w:rsidRPr="00A31137">
        <w:t>resorted to the extraordinary stratagem of contriving new rules of various kinds for the sole purpose of perpetuating voting discrimination in the face of adverse federal court decrees.</w:t>
      </w:r>
    </w:p>
    <w:p w:rsidR="00A31137" w:rsidRPr="00A31137" w:rsidRDefault="00A31137" w:rsidP="00A31137">
      <w:r w:rsidRPr="00A31137">
        <w:t>1996, Morse v. Republican Party of Virginia, No. 94-203</w:t>
      </w:r>
    </w:p>
    <w:p w:rsidR="00A31137" w:rsidRPr="00A31137" w:rsidRDefault="00A31137" w:rsidP="00A31137">
      <w:r w:rsidRPr="00A31137">
        <w:t>South Carolina v. Katzenbach, 383 U.S. at  335 (citing H.R.Rep. No. 439 at 10-11; S.Rep. No. 162, 89th Cong., 1st Sess., pt. 3, pp. 8, 12 (1965)). The preclearance system of § 5 was designed to end this evasion once and for all. By prohibiting officials in covered jurisdictions from implementing any change in voting practices without prior approval from the District Court for the District of Columbia or the Attorney General, it sought to "shift the advantage of time and inertia from the perpetrators of the evil to its victims." South Carolina v. Katzenbach, 383 U.S. at  328. 27</w:t>
      </w:r>
    </w:p>
    <w:p w:rsidR="00A31137" w:rsidRPr="00A31137" w:rsidRDefault="00A31137" w:rsidP="00A31137">
      <w:r w:rsidRPr="00A31137">
        <w:t>1996, Morse v. Republican Party of Virginia, No. 94-203</w:t>
      </w:r>
    </w:p>
    <w:p w:rsidR="00A31137" w:rsidRPr="00A31137" w:rsidRDefault="00A31137" w:rsidP="00A31137">
      <w:r w:rsidRPr="00A31137">
        <w:t>The distinction between a primary and a nominating convention is just another variation in electoral practices that § 5 was intended to cover. The imposition of a $45 fee on the privilege of participating in the selection of the Party's nominee for the United States Senate is equally a practice or procedure relating to voting whether the selection is made by primary election or by a "convention" in which every voter willing to pay the fee is eligible to cast a vote. A primary election would not cease to be a practice relating to voting if the Party imposed such a high fee that only 14,000 voters cast ballots; nor should a "convention" performing the same electoral function as a primary avoid coverage because fewer voters participate in the process than normally vote in a primary. As was true in Sheffield,</w:t>
      </w:r>
    </w:p>
    <w:p w:rsidR="00A31137" w:rsidRPr="00A31137" w:rsidRDefault="00A31137" w:rsidP="00A31137">
      <w:r w:rsidRPr="00A31137">
        <w:t>1996, Morse v. Republican Party of Virginia, No. 94-203</w:t>
      </w:r>
    </w:p>
    <w:p w:rsidR="00A31137" w:rsidRPr="00A31137" w:rsidRDefault="00A31137" w:rsidP="00A31137">
      <w:r w:rsidRPr="00A31137">
        <w:t>the District Court's interpretation of the Act…makes § 5 coverage depend upon a factor completely irrelevant to the Act's purposes, and thereby permits precisely the kind of circumvention of congressional policy that § 5 was designed to prevent.</w:t>
      </w:r>
    </w:p>
    <w:p w:rsidR="00A31137" w:rsidRPr="00A31137" w:rsidRDefault="00A31137" w:rsidP="00A31137">
      <w:r w:rsidRPr="00A31137">
        <w:t>1996, Morse v. Republican Party of Virginia, No. 94-203</w:t>
      </w:r>
    </w:p>
    <w:p w:rsidR="00A31137" w:rsidRPr="00A31137" w:rsidRDefault="00A31137" w:rsidP="00A31137">
      <w:r w:rsidRPr="00A31137">
        <w:t>435 U.S. at 117. It would undermine the Act to permit "'[s]uch a variation in the result from so slight a change in form.'" Terry v. Adams, 345 U.S. at  465, n. 1 (quoting Smith v. Allwright, 321 U.S. at  661).</w:t>
      </w:r>
    </w:p>
    <w:p w:rsidR="00A31137" w:rsidRPr="00A31137" w:rsidRDefault="00A31137" w:rsidP="00A31137">
      <w:r w:rsidRPr="00A31137">
        <w:t>1996, Morse v. Republican Party of Virginia, No. 94-203</w:t>
      </w:r>
    </w:p>
    <w:p w:rsidR="00A31137" w:rsidRPr="00A31137" w:rsidRDefault="00A31137" w:rsidP="00A31137">
      <w:r w:rsidRPr="00A31137">
        <w:t>Section 5 coverage of nominating conventions follows directly from our decision in Terry. Although called a "primary," the Jaybird election was the equivalent of the Party's nominating convention, for it did not involve the State's electoral apparatus in even the slightest way-neither to supply election officials, nor ballots, nor polling places. See 345 U.S. at  471 (opinion of Frankfurter, J.). In fact, the Jaybirds went far beyond the Party in immunizing their nomination process from the State's control. The Jaybird nominee did not receive any form of automatic ballot access. He filed individually as a candidate in the Democratic primary, paid the filing fee, and complied with all requirements to which other candidates were subject. Id. at 486-487 (Minton, J., dissenting). No mention of the nominee's Jaybird affiliation was ever made, either on the primary or on the general election ballot. Those elections, moreover, were open to any candidate who was able to meet the filing requirements, and to black as well as white voters. If the Jaybirds' nominating process violated the Fifteenth Amendment because black voters were not permitted to participate, despite the entirely voluntary nature of the Jaybird association, then § 5—which requires preclearance of all practices with the potential to discriminate—must cover the Party's exclusion of voters from its convention. 28</w:t>
      </w:r>
    </w:p>
    <w:p w:rsidR="00A31137" w:rsidRPr="00A31137" w:rsidRDefault="00A31137" w:rsidP="00A31137">
      <w:r w:rsidRPr="00A31137">
        <w:t>1996, Morse v. Republican Party of Virginia, No. 94-203</w:t>
      </w:r>
    </w:p>
    <w:p w:rsidR="00A31137" w:rsidRPr="00A31137" w:rsidRDefault="00A31137" w:rsidP="00A31137">
      <w:r w:rsidRPr="00A31137">
        <w:t>Appellees nevertheless assert that Terry, like the other White Primary Cases, has no bearing on the proper interpretation of the Voting Rights Act. They offer three reasons for that contention: first, that their convention did not operate in a racially discriminatory manner, Brief for Appellees 37; second, that the 89th Congress did not intend to legislate to the "outer limit" of the Fifteenth Amendment, ibid.; and third, that present-day Virginia is not a one-party Commonwealth, unlike Texas after Reconstruction, id. at 36. None of these reasons is persuasive.</w:t>
      </w:r>
    </w:p>
    <w:p w:rsidR="00A31137" w:rsidRPr="00A31137" w:rsidRDefault="00A31137" w:rsidP="00A31137">
      <w:r w:rsidRPr="00A31137">
        <w:t>1996, Morse v. Republican Party of Virginia, No. 94-203</w:t>
      </w:r>
    </w:p>
    <w:p w:rsidR="00A31137" w:rsidRPr="00A31137" w:rsidRDefault="00A31137" w:rsidP="00A31137">
      <w:r w:rsidRPr="00A31137">
        <w:t>First, while it is true that the case before us today does not involve any charge of racial discrimination in voting, the decision whether discrimination has occurred or was intended to occur, as we have explained on many occasions, is for the Attorney General or the District Court for the District of Columbia to make in the first instance. NAACP v. Hampton County Election Comm'n, 470 U.S. 166, 181 (1985); McCain v. Lybrand, 465 U.S. at 250; Dougherty County Bd. of Ed. v. White, 439 U.S. at 42; Georgia v. United States, 411 U.S. 526, 534 (1973); Perkins v. Matthews, 400 U.S. 379, 383-385 (1971); Allen v. State Bd. of Elections, 393 U.S. at  570. The critical question for us, as for the District Court below, is whether "the challenged alteration has the potential for discrimination." Hampton County Election Comm'n, 470 U.S. at 181 (emphasis in original). It is not contested that the Party's filing fee had that potential. 29</w:t>
      </w:r>
    </w:p>
    <w:p w:rsidR="00A31137" w:rsidRPr="00A31137" w:rsidRDefault="00A31137" w:rsidP="00A31137">
      <w:r w:rsidRPr="00A31137">
        <w:t>1996, Morse v. Republican Party of Virginia, No. 94-203</w:t>
      </w:r>
    </w:p>
    <w:p w:rsidR="00A31137" w:rsidRPr="00A31137" w:rsidRDefault="00A31137" w:rsidP="00A31137">
      <w:r w:rsidRPr="00A31137">
        <w:t>The second argument misconceives the purpose of the preclearance system and the nature of the Act as a whole. Again, the very preamble of the Act states that its purpose is to enforce the Fifteenth Amendment. 79 Stat. 437. Section 5</w:t>
      </w:r>
    </w:p>
    <w:p w:rsidR="00A31137" w:rsidRPr="00A31137" w:rsidRDefault="00A31137" w:rsidP="00A31137">
      <w:r w:rsidRPr="00A31137">
        <w:t>1996, Morse v. Republican Party of Virginia, No. 94-203</w:t>
      </w:r>
    </w:p>
    <w:p w:rsidR="00A31137" w:rsidRPr="00A31137" w:rsidRDefault="00A31137" w:rsidP="00A31137">
      <w:r w:rsidRPr="00A31137">
        <w:t>is a means of assuring in advance the absence of all electoral illegality, not only that which violates the Voting Rights Act, but that which violates the Constitution, as well.</w:t>
      </w:r>
    </w:p>
    <w:p w:rsidR="00A31137" w:rsidRPr="00A31137" w:rsidRDefault="00A31137" w:rsidP="00A31137">
      <w:r w:rsidRPr="00A31137">
        <w:t>1996, Morse v. Republican Party of Virginia, No. 94-203</w:t>
      </w:r>
    </w:p>
    <w:p w:rsidR="00A31137" w:rsidRPr="00A31137" w:rsidRDefault="00A31137" w:rsidP="00A31137">
      <w:r w:rsidRPr="00A31137">
        <w:t>Chisom, 501 U.S. at 416 (SCALIA, J., dissenting) (emphasis added). It is beyond question, therefore, that the Act encompassed the discriminatory practices struck down in Terry and Smith, which this Court had found violative of the same constitutional guarantees. Not only were they the leading cases securing the right to vote against racial discrimination at the time of enactment, but Congress passed the Act to facilitate the enforcement effort they embodied. It strains credulity to suppose that despite Congress' professed impatience with the "case-by-case" method of enforcing voting rights, it did not mean to cover the cases that capped the struggle to end the white primary. 30</w:t>
      </w:r>
    </w:p>
    <w:p w:rsidR="00A31137" w:rsidRPr="00A31137" w:rsidRDefault="00A31137" w:rsidP="00A31137">
      <w:r w:rsidRPr="00A31137">
        <w:t>1996, Morse v. Republican Party of Virginia, No. 94-203</w:t>
      </w:r>
    </w:p>
    <w:p w:rsidR="00A31137" w:rsidRPr="00A31137" w:rsidRDefault="00A31137" w:rsidP="00A31137">
      <w:r w:rsidRPr="00A31137">
        <w:t>The final argument fares no better. We have expressly rejected the contention that the right to vote depends on the success rate of the candidates one endorses. Voting at the nomination stage is protected regardless of whether it "invariably, sometimes, or never determines the ultimate choice of the representative." United States v. Classic, 313 U.S. at  318. The operative test, we have stated repeatedly, is whether a political party exercises power over the electoral process. See United States v. Sheffield Bd. of Comm'rs, 435 U.S. at 122 ("§ 5 has to apply to all entities exercising control over the electoral processes within the covered States or subdivisions"); Dougherty County Bd. of Ed. v. White, 439 U.S. at 44-45 (§ 5 coverage depends only on the "impact of a change on the elective process"); Terry, 345 U.S. at  481 ("[A]ny 'part of the machinery for choosing officials' becomes subject to the Constitution's restraints") (quoting Smith v. Allwright, 321 U.S. at  664). That situation may arise in two-party States just as in one-party States. Indeed, the Terry concurrence summarized Smith as holding that "the Democratic Party of itself, and perforce any other political party, is prohibited by [the Fifteenth] Amendment from conducting a racially discriminatory primary election." Terry, 345 U.S. at  481 (Clark, J., concurring) (emphasis added). See also Moore v. Ogilvie, 394 U.S. 814, 818 (1969) (holding that the use of nomination petitions by independent candidates is a procedure that "must pass muster against the charges of discrimination or of abridgment of the right to vote"); Classic, 313 U.S. at  318. 31 The contrary position would make little sense. On appellees' theory, one political party could not exclude blacks from the selection of its nominee, however it chose that individual, but two parties each independently could.</w:t>
      </w:r>
    </w:p>
    <w:p w:rsidR="00A31137" w:rsidRPr="00A31137" w:rsidRDefault="00A31137" w:rsidP="00A31137">
      <w:r w:rsidRPr="00A31137">
        <w:t>1996, Morse v. Republican Party of Virginia, No. 94-203</w:t>
      </w:r>
    </w:p>
    <w:p w:rsidR="00A31137" w:rsidRPr="00A31137" w:rsidRDefault="00A31137" w:rsidP="00A31137">
      <w:r w:rsidRPr="00A31137">
        <w:t>In any event, the controlling factor for our construction of § 5 is Congress' intent. It is apparent from the legislative history that Congress did not mean to limit § 5 to political parties whose nominating procedures "foreordained" the results of the general election, see post at ___ (THOMAS, J., dissenting). The impetus behind the addition of the term "party office" to § 14 was the exclusion of blacks from the Mississippi delegation to the National Democratic Convention in 1964. See supra at ___. The activities of those delegates did not settle the result of the presidential race; Republican candidates won the general election in 1952 and 1956, and from 1968 until 1992, excluding 1976. Nevertheless, Congress insisted that the selection of those delegates must be open to all voters, black and white.</w:t>
      </w:r>
    </w:p>
    <w:p w:rsidR="00A31137" w:rsidRPr="00A31137" w:rsidRDefault="00A31137" w:rsidP="00A31137">
      <w:r w:rsidRPr="00A31137">
        <w:t>1996, Morse v. Republican Party of Virginia, No. 94-203</w:t>
      </w:r>
    </w:p>
    <w:p w:rsidR="00A31137" w:rsidRPr="00A31137" w:rsidRDefault="00A31137" w:rsidP="00A31137">
      <w:r w:rsidRPr="00A31137">
        <w:t>The imposition by an established political party—that is to say, a party authorized by state law to determine the method of selecting its candidates for elective office and also authorized to have those candidates' names automatically appear atop the general election ballot—of a new prerequisite to voting for the party's nominees is subject to § 5's preclearance requirement.</w:t>
      </w:r>
    </w:p>
    <w:p w:rsidR="00A31137" w:rsidRPr="00A31137" w:rsidRDefault="00A31137" w:rsidP="00A31137">
      <w:r w:rsidRPr="00A31137">
        <w:t>VI</w:t>
      </w:r>
    </w:p>
    <w:p w:rsidR="00A31137" w:rsidRPr="00A31137" w:rsidRDefault="00A31137" w:rsidP="00A31137">
      <w:r w:rsidRPr="00A31137">
        <w:t>1996, Morse v. Republican Party of Virginia, No. 94-203</w:t>
      </w:r>
    </w:p>
    <w:p w:rsidR="00A31137" w:rsidRPr="00A31137" w:rsidRDefault="00A31137" w:rsidP="00A31137">
      <w:r w:rsidRPr="00A31137">
        <w:t>JUSTICE KENNEDY and JUSTICE THOMAS reject our construction of § 5 for a number of reasons, none of which is convincing. They rely primarily on the argument that, under a literal reading of the statutory text, a political party is not a "State or political subdivision" within the meaning of § 5 because it is not a unit of government. See post at ___ (THOMAS, J.); post at ___ (KENNEDY, J.). The radicalism of this position should not be underestimated. It entirely rejects the distinction between primary elections and conventions that is the centerpiece of the Party's argument. On this view, even if a political party flagrantly discriminated in the selection of candidates whose names would appear on the primary election ballot or in the registration of voters in a primary election, it would not fall within the coverage of § 5. Unsurprisingly, neither the District Court nor the Party advanced this extreme argument, for it is plainly at war with the intent of Congress and with our settled interpretation of the Act. 32</w:t>
      </w:r>
    </w:p>
    <w:p w:rsidR="00A31137" w:rsidRPr="00A31137" w:rsidRDefault="00A31137" w:rsidP="00A31137">
      <w:r w:rsidRPr="00A31137">
        <w:t>1996, Morse v. Republican Party of Virginia, No. 94-203</w:t>
      </w:r>
    </w:p>
    <w:p w:rsidR="00A31137" w:rsidRPr="00A31137" w:rsidRDefault="00A31137" w:rsidP="00A31137">
      <w:r w:rsidRPr="00A31137">
        <w:t>Almost two decades ago, we held in United States v. Sheffield Bd. of Comm'rs that</w:t>
      </w:r>
    </w:p>
    <w:p w:rsidR="00A31137" w:rsidRPr="00A31137" w:rsidRDefault="00A31137" w:rsidP="00A31137">
      <w:r w:rsidRPr="00A31137">
        <w:t>1996, Morse v. Republican Party of Virginia, No. 94-203</w:t>
      </w:r>
    </w:p>
    <w:p w:rsidR="00A31137" w:rsidRPr="00A31137" w:rsidRDefault="00A31137" w:rsidP="00A31137">
      <w:r w:rsidRPr="00A31137">
        <w:t>§ 5, like the constitutional provisions it is designed to implement, applies to all entities having any power over any aspect of the electoral process within designated jurisdictions.</w:t>
      </w:r>
    </w:p>
    <w:p w:rsidR="00A31137" w:rsidRPr="00A31137" w:rsidRDefault="00A31137" w:rsidP="00A31137">
      <w:r w:rsidRPr="00A31137">
        <w:t>1996, Morse v. Republican Party of Virginia, No. 94-203</w:t>
      </w:r>
    </w:p>
    <w:p w:rsidR="00A31137" w:rsidRPr="00A31137" w:rsidRDefault="00A31137" w:rsidP="00A31137">
      <w:r w:rsidRPr="00A31137">
        <w:t>435 U.S. at 118 (emphasis added). We understood the phrase "State or political subdivision" to have a "territorial reach" that embraced "actions that are not formally those of the State." Id. at 127. The Court even invoked Terry to make its point. Ibid. JUSTICE THOMAS' efforts to confine Sheffield and our subsequent decision in Dougherty do not make sense of those cases. Dougherty held that a county school board qualifies as a "State or political subdivision" even though it is clearly neither "one of the 50 constituent States of the Union," post at ___, nor "a political subdivision" of any such State in a literal sense or as that term is defined in the statute itself. 33 Indeed, a major political party has far more power over the electoral process than a school board, which we conceded has "no nominal electoral functions." Dougherty, 439 U.S. at 44.</w:t>
      </w:r>
    </w:p>
    <w:p w:rsidR="00A31137" w:rsidRPr="00A31137" w:rsidRDefault="00A31137" w:rsidP="00A31137">
      <w:r w:rsidRPr="00A31137">
        <w:t>1996, Morse v. Republican Party of Virginia, No. 94-203</w:t>
      </w:r>
    </w:p>
    <w:p w:rsidR="00A31137" w:rsidRPr="00A31137" w:rsidRDefault="00A31137" w:rsidP="00A31137">
      <w:r w:rsidRPr="00A31137">
        <w:t>Besides the fact that it contravenes our precedents, this argument fails at the purely textual level. The Voting Rights Act uses the same word as the Fifteenth Amendment—"State"—to define the authorities bound to honor the right to vote. Long before Congress passed the Voting Rights Act, we had repeatedly held that the word "State" in the Fifteenth Amendment encompassed political parties. See Smith v. Allwright; Terry v. Adams.   How one can simultaneously concede that "State" reaches political parties under the Fifteenth Amendment, yet argue that it "plainly" excludes all such parties in § 5, is beyond our understanding. Imposing different constructions on the same word is especially perverse in light of the fact that the Act—as it states on its face—was passed to enforce that very Amendment. See United States v. CIO, 335 U.S. 106,  112 (1948) ("There is no better key to a difficult problem of statutory construction than the law from which the challenged statute emerged"). Speculations about language that might have more clearly reached political parties are beside the point. It would be a mischievous and unwise rule that Congress cannot rely on our construction of constitutional language when it seeks to exercise its enforcement power pursuant to the same provisions. 34</w:t>
      </w:r>
    </w:p>
    <w:p w:rsidR="00A31137" w:rsidRPr="00A31137" w:rsidRDefault="00A31137" w:rsidP="00A31137">
      <w:r w:rsidRPr="00A31137">
        <w:t>1996, Morse v. Republican Party of Virginia, No. 94-203</w:t>
      </w:r>
    </w:p>
    <w:p w:rsidR="00A31137" w:rsidRPr="00A31137" w:rsidRDefault="00A31137" w:rsidP="00A31137">
      <w:r w:rsidRPr="00A31137">
        <w:t>JUSTICE THOMAS makes two other arguments. First, he contends that we should not defer to the Attorney General's regulation when construing the coverage of § 5. See post at ___. The argument is surprising because our explanation of why § 5 applies to political parties places no reliance on principles of administrative deference. It is nevertheless interesting to note that the regulation has been endorsed by three successive administrations. 35</w:t>
      </w:r>
    </w:p>
    <w:p w:rsidR="00A31137" w:rsidRPr="00A31137" w:rsidRDefault="00A31137" w:rsidP="00A31137">
      <w:r w:rsidRPr="00A31137">
        <w:t>1996, Morse v. Republican Party of Virginia, No. 94-203</w:t>
      </w:r>
    </w:p>
    <w:p w:rsidR="00A31137" w:rsidRPr="00A31137" w:rsidRDefault="00A31137" w:rsidP="00A31137">
      <w:r w:rsidRPr="00A31137">
        <w:t>Second, relying principally on Jackson v. Metropolitan Edison Co., 419 U.S. 345 (1974), and Flagg Bros., Inc. v. Brooks, 436 U.S. 149 (1978), JUSTICE THOMAS argues that a major political party is not a "state actor" unless its nominees are virtually certain to win the general election. See post at ___. Thus, the Party would be a state actor if Virginia allowed only its candidates' names to appear on the ballot, but if the privilege of ballot access (or a preferred position) is reserved to two parties, neither is performing a public function when it selects its nominees. Given JUSTICE THOMAS' reliance on cases construing the reach of the Fourteenth Amendment, the argument seems to challenge both the constitutional power of Congress to prohibit discrimination in the Party's selection of its nominees for federal office and our construction of the statute.</w:t>
      </w:r>
    </w:p>
    <w:p w:rsidR="00A31137" w:rsidRPr="00A31137" w:rsidRDefault="00A31137" w:rsidP="00A31137">
      <w:r w:rsidRPr="00A31137">
        <w:t>1996, Morse v. Republican Party of Virginia, No. 94-203</w:t>
      </w:r>
    </w:p>
    <w:p w:rsidR="00A31137" w:rsidRPr="00A31137" w:rsidRDefault="00A31137" w:rsidP="00A31137">
      <w:r w:rsidRPr="00A31137">
        <w:t>To the extent the argument addresses the constitutionality of the Act, it is wholly unconvincing. Jackson held that a private utility did not act "under color of any statute…of any State" within the meaning of 42 U.S.C. § 1983 when it terminated a customer's electric service. Flagg Bros. held that a warehouseman did not violate § 1983 when it sold goods that were entrusted to it for storage. In both cases, this Court concluded that the defendants were not acting under authority explicitly or implicitly delegated by the State when they carried out the challenged actions. In this case, however, as we have already explained, supra at ___, the Party acted under the authority conferred by the Virginia election code. It was the Commonwealth of Virginia—indeed, only Virginia—that had the exclusive power to reserve one of the two special ballot positions for the Party. 36 Moreover, unlike cases such as Jackson and Flagg Bros., this is a case in which Congress has exercised the enforcement power expressly conferred to it by § 2 of the Fifteenth Amendment. That power unquestionably embraces the authority to prohibit a reincarnation of the white primaries, whether they limit the field of viable candidates to just one as in Terry, or to just two as would be permissible under JUSTICE THOMAS' construction of the Act.</w:t>
      </w:r>
    </w:p>
    <w:p w:rsidR="00A31137" w:rsidRPr="00A31137" w:rsidRDefault="00A31137" w:rsidP="00A31137">
      <w:r w:rsidRPr="00A31137">
        <w:t>1996, Morse v. Republican Party of Virginia, No. 94-203</w:t>
      </w:r>
    </w:p>
    <w:p w:rsidR="00A31137" w:rsidRPr="00A31137" w:rsidRDefault="00A31137" w:rsidP="00A31137">
      <w:r w:rsidRPr="00A31137">
        <w:t>To the extent the argument addresses the coverage of the Act, it is equally unconvincing. As we have already explained, the legislative history of the Act makes it perfectly clear that Congress did not intend to limit the application of § 5 to nominating procedures that "foreordained" the results of the general election. After the statute was enacted, the majority opinions in Jackson and Flagg Bros. included language that may limit the reach of the constitutional holdings in the White Primary Cases. Those later opinions, however, shed no light on the intent of the Congress that had already enacted the Voting Rights Act and unambiguously expressed a purpose to have it apply to the candidate selection process. While JUSTICE THOMAS would narrowly confine the coverage of the Act to practices that prevent a voter at a general election from casting a ballot and having it counted, see post at ___ (citing the concurrence in Holder v. Hall, 512 U.S. ___ (1994)), we have no doubt that Congress intended to prohibit the dominant political parties from engaging in discriminatory practices in primary elections as well as conventions of the character involved in this case.</w:t>
      </w:r>
    </w:p>
    <w:p w:rsidR="00A31137" w:rsidRPr="00A31137" w:rsidRDefault="00A31137" w:rsidP="00A31137">
      <w:r w:rsidRPr="00A31137">
        <w:t>1996, Morse v. Republican Party of Virginia, No. 94-203</w:t>
      </w:r>
    </w:p>
    <w:p w:rsidR="00A31137" w:rsidRPr="00A31137" w:rsidRDefault="00A31137" w:rsidP="00A31137">
      <w:r w:rsidRPr="00A31137">
        <w:t>In his separate dissent, JUSTICE KENNEDY accuses us of adopting a "blanket rule" that all political parties must preclear all of their "internal procedures." See post at ___. That characterization is quite inaccurate. We hold that political parties are covered under § 5 only in certain limited circumstances: here, only insofar as the Party exercises delegated power over the electoral process when it charges a fee for the right to vote for its candidates. It is JUSTICE KENNEDY who proposes the "blanket rule" that political parties are never covered under the Act, no matter what functions they perform and no matter what authority the State grants them. As we have explained, on that construction, even situations involving blatant discrimination by political parties of the kind not seen since the White Primary Cases would fail to trigger the preclearance requirement.</w:t>
      </w:r>
    </w:p>
    <w:p w:rsidR="00A31137" w:rsidRPr="00A31137" w:rsidRDefault="00A31137" w:rsidP="00A31137">
      <w:r w:rsidRPr="00A31137">
        <w:t>1996, Morse v. Republican Party of Virginia, No. 94-203</w:t>
      </w:r>
    </w:p>
    <w:p w:rsidR="00A31137" w:rsidRPr="00A31137" w:rsidRDefault="00A31137" w:rsidP="00A31137">
      <w:r w:rsidRPr="00A31137">
        <w:t>JUSTICE KENNEDY downplays the significance of this drastic limitation by arguing that voters who face electoral discrimination could sue under the Fifteenth Amendment. But lawsuits are no substitute for the preclearance requirement; if they were, § 5 would be superfluous for governmental units, too. As we have explained, the fundamental purpose of the preclearance system was to "shift the advantage of time and inertia from the perpetrators of the evil to its victims," South Carolina v. Katzenbach, 383 U.S. 301,  328 (1966), by declaring all changes in voting rules void until they are cleared by the Attorney General or by the District Court for the District of Columbia. JUSTICE KENNEDY's construction would reimpose the very burden § 5 was designed to relieve—the necessity of relying on "case-by-case litigation" to protect the right to vote. Ibid.</w:t>
      </w:r>
    </w:p>
    <w:p w:rsidR="00A31137" w:rsidRPr="00A31137" w:rsidRDefault="00A31137" w:rsidP="00A31137">
      <w:r w:rsidRPr="00A31137">
        <w:t>1996, Morse v. Republican Party of Virginia, No. 94-203</w:t>
      </w:r>
    </w:p>
    <w:p w:rsidR="00A31137" w:rsidRPr="00A31137" w:rsidRDefault="00A31137" w:rsidP="00A31137">
      <w:r w:rsidRPr="00A31137">
        <w:t>JUSTICE KENNEDY argues that this would be a "much different" case if the State "restructured its election laws in order to allow political parties the opportunity to practice unlawful discrimination in the nominating process." Post at ___. On his view, however, without any restructuring at all, the Party could now take advantage of Virginia's present election laws to perform the same discriminatory acts. It is simply inaccurate, moreover, to claim that the State had undertaken such legislative efforts in each of the White Primary Cases. The Jaybirds in Terry began discriminating against minority voters as early as 1889, and, as we have explained, they operated entirely outside the framework of Texas' electoral laws. Finally, it is highly counterintuitive to rely on cases such as Smith and Terry for the proposition that voters affected by discrimination should sue the State rather than the political party that carries it out, for those cases were actions against parties, not the State.</w:t>
      </w:r>
    </w:p>
    <w:p w:rsidR="00A31137" w:rsidRPr="00A31137" w:rsidRDefault="00A31137" w:rsidP="00A31137">
      <w:r w:rsidRPr="00A31137">
        <w:t>1996, Morse v. Republican Party of Virginia, No. 94-203</w:t>
      </w:r>
    </w:p>
    <w:p w:rsidR="00A31137" w:rsidRPr="00A31137" w:rsidRDefault="00A31137" w:rsidP="00A31137">
      <w:r w:rsidRPr="00A31137">
        <w:t>What JUSTICE KENNEDY apparently finds most objectionable in our decision is the idea that political parties must seek preclearance from the Attorney General of the United States, because she is a "political officer," post at ___. Pursuant to § 5, the Attorney General is entrusted with the statutory duty of determining whether submitted changes have the purpose or will have the effect to discriminate. The suggestion implicit in JUSTICE KENNEDY's opinion, that we should avoid our construction of § 5 because the Attorney General might subvert her legal responsibility in order to harass a political party, is quite extraordinary, and unsupported by even a shred of evidence. In any event, any political party distrustful of the Attorney General may seek preclearance under § 5 from the District Court for the District of Columbia.</w:t>
      </w:r>
    </w:p>
    <w:p w:rsidR="00A31137" w:rsidRPr="00A31137" w:rsidRDefault="00A31137" w:rsidP="00A31137">
      <w:r w:rsidRPr="00A31137">
        <w:t>VII</w:t>
      </w:r>
    </w:p>
    <w:p w:rsidR="00A31137" w:rsidRPr="00A31137" w:rsidRDefault="00A31137" w:rsidP="00A31137">
      <w:r w:rsidRPr="00A31137">
        <w:t>1996, Morse v. Republican Party of Virginia, No. 94-203</w:t>
      </w:r>
    </w:p>
    <w:p w:rsidR="00A31137" w:rsidRPr="00A31137" w:rsidRDefault="00A31137" w:rsidP="00A31137">
      <w:r w:rsidRPr="00A31137">
        <w:t>Appellees advance two practical objections to our interpretation of § 5: that it will create an administrative nightmare for political parties as well as the Department of Justice by requiring preclearance of a multitude of minor changes in party practices, and that it threatens to abridge associational rights protected by the First Amendment. Each of these objections merits a response.</w:t>
      </w:r>
    </w:p>
    <w:p w:rsidR="00A31137" w:rsidRPr="00A31137" w:rsidRDefault="00A31137" w:rsidP="00A31137">
      <w:r w:rsidRPr="00A31137">
        <w:t>1996, Morse v. Republican Party of Virginia, No. 94-203</w:t>
      </w:r>
    </w:p>
    <w:p w:rsidR="00A31137" w:rsidRPr="00A31137" w:rsidRDefault="00A31137" w:rsidP="00A31137">
      <w:r w:rsidRPr="00A31137">
        <w:t>With respect to the first, it is important to emphasize the limitations spelled out in the Attorney General's regulation. To be subject to preclearance, a change must be one "affecting voting." Examples of changes that are not covered include "changes with respect to the recruitment of party members, the conduct of political campaigns, and the drafting of party platforms." 28 CFR § 51.7 (1995). The line between changes that are covered and those that are not may be difficult to articulate in the abstract, but, given the fact that the Regulation has been in effect since 1981 and does not appear to have imposed any unmanageable burdens on covered jurisdictions, it seems likely that the administrative concerns described by the Party are more theoretical than practical. 37 Indeed, past cases in which we were required to construe the Act evoked similar protestations that the advocated construction would prove administratively unworkable. See Dougherty County Bd. of Ed. v. White, 439 U.S. at 54 (Powell, J., dissenting); United States v. Sheffield Bd. of Comm'rs, 435 U.S. at 147-148 (STEVENS, J., dissenting). Those fears were not borne out, and we think it no more likely that these will either.</w:t>
      </w:r>
    </w:p>
    <w:p w:rsidR="00A31137" w:rsidRPr="00A31137" w:rsidRDefault="00A31137" w:rsidP="00A31137">
      <w:r w:rsidRPr="00A31137">
        <w:t>1996, Morse v. Republican Party of Virginia, No. 94-203</w:t>
      </w:r>
    </w:p>
    <w:p w:rsidR="00A31137" w:rsidRPr="00A31137" w:rsidRDefault="00A31137" w:rsidP="00A31137">
      <w:r w:rsidRPr="00A31137">
        <w:t>With respect to the second argument, we wholeheartedly agree with appellees that the right of association of members of a political party "is a basic constitutional freedom," and that "governmental action that may have the effect of curtailing freedom to associate is subject to the closest scrutiny." Brief for Appellees 25 (citing Buckley v. Valeo, 424 U.S. 1 (1976), and NAACP v. Alabama ex rel. Patterson, 357 U.S. 449 (1958)). Such scrutiny, however, could not justify a major political party's decision to exclude eligible voters from the candidate selection process because of their race; the Fifteenth Amendment and our cases construing its application to political parties foreclose such a possibility. See Smith v. Allwright, 321 U.S. at  657 (rejecting argument that Democratic Party of Texas, as a private voluntary association, could exclude black voters from its primary); Eu v. San Francisco County Democratic Central Comm., 489 U.S. 214, 232 (1989) (justifying legislative "intervention" in internal party affairs where "necessary to prevent the derogation of the civil rights of party adherents") (citing Smith).</w:t>
      </w:r>
    </w:p>
    <w:p w:rsidR="00A31137" w:rsidRPr="00A31137" w:rsidRDefault="00A31137" w:rsidP="00A31137">
      <w:r w:rsidRPr="00A31137">
        <w:t>1996, Morse v. Republican Party of Virginia, No. 94-203</w:t>
      </w:r>
    </w:p>
    <w:p w:rsidR="00A31137" w:rsidRPr="00A31137" w:rsidRDefault="00A31137" w:rsidP="00A31137">
      <w:r w:rsidRPr="00A31137">
        <w:t>Moreover, appellees have not argued that the registration fee at issue in this case—which is challenged because it curtails the freedom of association of eligible voters arguably in conflict with the interests protected by the Twenty-fourth Amendment—is itself protected by the First Amendment. Rather, they have suggested that hypothetical cases unrelated to the facts of this case might implicate First Amendment concerns that would foreclose application of the preclearance requirement. It is sufficient for us now to respond that we find no constitutional impediment to enforcing § 5 in the case before us. 38 We leave consideration of hypothetical concerns for another day. 39</w:t>
      </w:r>
    </w:p>
    <w:p w:rsidR="00A31137" w:rsidRPr="00A31137" w:rsidRDefault="00A31137" w:rsidP="00A31137">
      <w:r w:rsidRPr="00A31137">
        <w:t>VIII</w:t>
      </w:r>
    </w:p>
    <w:p w:rsidR="00A31137" w:rsidRPr="00A31137" w:rsidRDefault="00A31137" w:rsidP="00A31137">
      <w:r w:rsidRPr="00A31137">
        <w:t>1996, Morse v. Republican Party of Virginia, No. 94-203</w:t>
      </w:r>
    </w:p>
    <w:p w:rsidR="00A31137" w:rsidRPr="00A31137" w:rsidRDefault="00A31137" w:rsidP="00A31137">
      <w:r w:rsidRPr="00A31137">
        <w:t>The District Court dismissed appellants' claim under § 10 of the Act because that section only authorizes enforcement proceedings brought by the Attorney General, and does not expressly mention private actions. 40 While that ruling might have been correct if the Voting Rights Act had been enacted recently, it fails to give effect to our cases holding that our evaluation of congressional action "must take into account its contemporary legal context." Cannon v. University of Chicago, 441 U.S. 677, 698-699 (1979); see also Merrill Lynch, Pierce, Fenner &amp; Smith, Inc. v. Curran, 456 U.S. 353, 381 (1982).</w:t>
      </w:r>
    </w:p>
    <w:p w:rsidR="00A31137" w:rsidRPr="00A31137" w:rsidRDefault="00A31137" w:rsidP="00A31137">
      <w:r w:rsidRPr="00A31137">
        <w:t>1996, Morse v. Republican Party of Virginia, No. 94-203</w:t>
      </w:r>
    </w:p>
    <w:p w:rsidR="00A31137" w:rsidRPr="00A31137" w:rsidRDefault="00A31137" w:rsidP="00A31137">
      <w:r w:rsidRPr="00A31137">
        <w:t>Our holding in Cannon, that Title IX of the Education Amendments of 1972 created a private right of action for victims of discrimination in education, relied heavily on the fact that, during the 1960's, the Court had consistently found such remedies notwithstanding the absence of an express direction from Congress. 441 U.S. at 698; see also id. at 718 (REHNQUIST, J., concurring). Indeed, Cannon cited and relied on our earlier decision in Allen v. State Bd. of Elections, 393 U.S. 544 (1969), holding that private parties may enforce § 5 of the Voting Rights Act, to show that Congress acted against a "backdrop" of decisions in which implied causes of action were regularly found. See 441 U.S. at 698, and nn. 22-23. The Voting Rights Act itself was passed one year after this Court's decision in J. I. Case Co. v. Borak, 377 U.S. 426 (1964), which applied a highly liberal standard for finding private remedies.</w:t>
      </w:r>
    </w:p>
    <w:p w:rsidR="00A31137" w:rsidRPr="00A31137" w:rsidRDefault="00A31137" w:rsidP="00A31137">
      <w:r w:rsidRPr="00A31137">
        <w:t>1996, Morse v. Republican Party of Virginia, No. 94-203</w:t>
      </w:r>
    </w:p>
    <w:p w:rsidR="00A31137" w:rsidRPr="00A31137" w:rsidRDefault="00A31137" w:rsidP="00A31137">
      <w:r w:rsidRPr="00A31137">
        <w:t>In Allen we made two observations about § 5 that apply as forcefully to § 10. We noted that</w:t>
      </w:r>
    </w:p>
    <w:p w:rsidR="00A31137" w:rsidRPr="00A31137" w:rsidRDefault="00A31137" w:rsidP="00A31137">
      <w:r w:rsidRPr="00A31137">
        <w:t>1996, Morse v. Republican Party of Virginia, No. 94-203</w:t>
      </w:r>
    </w:p>
    <w:p w:rsidR="00A31137" w:rsidRPr="00A31137" w:rsidRDefault="00A31137" w:rsidP="00A31137">
      <w:r w:rsidRPr="00A31137">
        <w:t>achievement of the Act's laudable goal could be severely hampered…if each citizen were required to depend solely on litigation instituted at the discretion of the Attorney General.</w:t>
      </w:r>
    </w:p>
    <w:p w:rsidR="00A31137" w:rsidRPr="00A31137" w:rsidRDefault="00A31137" w:rsidP="00A31137">
      <w:r w:rsidRPr="00A31137">
        <w:t>1996, Morse v. Republican Party of Virginia, No. 94-203</w:t>
      </w:r>
    </w:p>
    <w:p w:rsidR="00A31137" w:rsidRPr="00A31137" w:rsidRDefault="00A31137" w:rsidP="00A31137">
      <w:r w:rsidRPr="00A31137">
        <w:t>393 U.S. at  556. The same is surely true of § 10. 41 Second, we attached significance to the fact that the Attorney General had urged us to find that private litigants may enforce the Act. Id. at  557, n. 23. The United States takes the same position in this case. See Brief for United States as Amicus Curiae 25-27. 42</w:t>
      </w:r>
    </w:p>
    <w:p w:rsidR="00A31137" w:rsidRPr="00A31137" w:rsidRDefault="00A31137" w:rsidP="00A31137">
      <w:r w:rsidRPr="00A31137">
        <w:t>1996, Morse v. Republican Party of Virginia, No. 94-203</w:t>
      </w:r>
    </w:p>
    <w:p w:rsidR="00A31137" w:rsidRPr="00A31137" w:rsidRDefault="00A31137" w:rsidP="00A31137">
      <w:r w:rsidRPr="00A31137">
        <w:t>Congress has not only ratified Allen's construction of § 5 in subsequent reenactments, see H.R.Rep. No. 91-397, p. 8 (1970), but extended its logic to other provisions of the Act. Although § 2, like § 5, provides no right to sue on its face, "the existence of the private right of action under Section 2…has been clearly intended by Congress since 1965." S.Rep. No. 97-417, p. 30 (1982) (citing Allen); see also H.R.Rep. No. 97-227, p. 32 (1981). We, in turn, have entertained cases brought by private litigants to enforce § 2. See, e.g., Chisom v. Roemer, 501 U.S. 380 (1991); Johnson v. De Grandy, 512 U.S. ___ (1994). It would be anomalous, to say the least, to hold that both § 2 and § 5 are enforceable by private action but § 10 is not, when all lack the same express authorizing language.</w:t>
      </w:r>
    </w:p>
    <w:p w:rsidR="00A31137" w:rsidRPr="00A31137" w:rsidRDefault="00A31137" w:rsidP="00A31137">
      <w:r w:rsidRPr="00A31137">
        <w:t>1996, Morse v. Republican Party of Virginia, No. 94-203</w:t>
      </w:r>
    </w:p>
    <w:p w:rsidR="00A31137" w:rsidRPr="00A31137" w:rsidRDefault="00A31137" w:rsidP="00A31137">
      <w:r w:rsidRPr="00A31137">
        <w:t>Appellees argue that while § 5 creates substantive rights, § 10 merely directs the Attorney General to bring certain types of enforcement actions. Brief for Appellees 42-43. Exactly the same argument was made as to § 5 in Allen. But we held there that it was "unnecessary to reach the question" whether § 5 created new rights or only gave plaintiffs new remedies to enforce existing rights, for "[h]owever the Act is viewed, the inquiry remains whether the right or remedy has been conferred upon the private litigant." 43 393 U.S. at  556, n. 20. Even if it mattered whether § 10 created rights or remedies, the other provisions of the Act indicate that the anti-poll tax provision established a right to vote without paying a fee. 44</w:t>
      </w:r>
    </w:p>
    <w:p w:rsidR="00A31137" w:rsidRPr="00A31137" w:rsidRDefault="00A31137" w:rsidP="00A31137">
      <w:r w:rsidRPr="00A31137">
        <w:t>1996, Morse v. Republican Party of Virginia, No. 94-203</w:t>
      </w:r>
    </w:p>
    <w:p w:rsidR="00A31137" w:rsidRPr="00A31137" w:rsidRDefault="00A31137" w:rsidP="00A31137">
      <w:r w:rsidRPr="00A31137">
        <w:t>Furthermore, when Congress reenacted and extended the life of the Voting Rights Act in 1975, it recognized that private rights of action were equally available under § 10. Section 3, for example, originally provided for special procedures in any action brought "under any statute to enforce the guarantees of the fifteenth amendment" by the Attorney General. See 79 Stat. 437. In 1975, Congress amended that section to cover actions brought by "the Attorney General or an aggrieved person." 42 U.S.C. § 1973a (1988 ed.) (emphasis added). The Senate Report explained that the purpose of the change was to provide the same remedies to private parties as had formerly been available to the Attorney General alone. See S.Rep. No. 94-295, pp. 39-40 (1975). 45 Since § 10 is, by its terms, a statute designed for enforcement of the guarantees of the Fourteenth and Fifteenth Amendments, see 42 U.S.C. § 1973h(b) (1988 ed.), Congress must have intended it to provide private remedies.</w:t>
      </w:r>
    </w:p>
    <w:p w:rsidR="00A31137" w:rsidRPr="00A31137" w:rsidRDefault="00A31137" w:rsidP="00A31137">
      <w:r w:rsidRPr="00A31137">
        <w:t>1996, Morse v. Republican Party of Virginia, No. 94-203</w:t>
      </w:r>
    </w:p>
    <w:p w:rsidR="00A31137" w:rsidRPr="00A31137" w:rsidRDefault="00A31137" w:rsidP="00A31137">
      <w:r w:rsidRPr="00A31137">
        <w:t>The same logic applies to § 14(e), added in 1975, which allows attorney fees to be granted to "the prevailing party, other than the United States," in any action "to enforce the voting guarantees of the fourteenth or fifteenth amendment." 42 U.S.C. § 1973l(e) (1988 ed.) (emphasis added). Obviously, a private litigant is not the United States, and the Attorney General does not collect attorney's fees. 46 Both this section and § 3 thus recognize the existence of a private right of action under § 10. 47</w:t>
      </w:r>
    </w:p>
    <w:p w:rsidR="00A31137" w:rsidRPr="00A31137" w:rsidRDefault="00A31137" w:rsidP="00A31137">
      <w:r w:rsidRPr="00A31137">
        <w:t>1996, Morse v. Republican Party of Virginia, No. 94-203</w:t>
      </w:r>
    </w:p>
    <w:p w:rsidR="00A31137" w:rsidRPr="00A31137" w:rsidRDefault="00A31137" w:rsidP="00A31137">
      <w:r w:rsidRPr="00A31137">
        <w:t>Last, appellees argue that § 10 does not apply to the Party's nominating convention because a delegate registration fee is not a poll tax. This argument addresses the merits, rather than the right to sue. Without reaching the merits, the District Court dismissed appellants' claim because it held there was no private cause of action under § 10. Since we hold that this conclusion is incorrect, we postpone any consideration of the merits until after they have been addressed by the District Court. 48</w:t>
      </w:r>
    </w:p>
    <w:p w:rsidR="00A31137" w:rsidRPr="00A31137" w:rsidRDefault="00A31137" w:rsidP="00A31137">
      <w:r w:rsidRPr="00A31137">
        <w:t>1996, Morse v. Republican Party of Virginia, No. 94-203</w:t>
      </w:r>
    </w:p>
    <w:p w:rsidR="00A31137" w:rsidRPr="00A31137" w:rsidRDefault="00A31137" w:rsidP="00A31137">
      <w:r w:rsidRPr="00A31137">
        <w:t>The judgment of the District Court is reversed, and the case is remanded for further proceedings consistent with this opinion.</w:t>
      </w:r>
    </w:p>
    <w:p w:rsidR="00A31137" w:rsidRPr="00A31137" w:rsidRDefault="00A31137" w:rsidP="00A31137">
      <w:r w:rsidRPr="00A31137">
        <w:t>1996, Morse v. Republican Party of Virginia, No. 94-203</w:t>
      </w:r>
    </w:p>
    <w:p w:rsidR="00A31137" w:rsidRPr="00A31137" w:rsidRDefault="00A31137" w:rsidP="00A31137">
      <w:r w:rsidRPr="00A31137">
        <w:t>It is so ordered.</w:t>
      </w:r>
    </w:p>
    <w:p w:rsidR="00A31137" w:rsidRPr="00A31137" w:rsidRDefault="00A31137" w:rsidP="00A31137">
      <w:r w:rsidRPr="00A31137">
        <w:t>BREYER, J., concurring</w:t>
      </w:r>
    </w:p>
    <w:p w:rsidR="00A31137" w:rsidRPr="00A31137" w:rsidRDefault="00A31137" w:rsidP="00A31137">
      <w:r w:rsidRPr="00A31137">
        <w:t>1996, Morse v. Republican Party of Virginia, No. 94-203</w:t>
      </w:r>
    </w:p>
    <w:p w:rsidR="00A31137" w:rsidRPr="00A31137" w:rsidRDefault="00A31137" w:rsidP="00A31137">
      <w:r w:rsidRPr="00A31137">
        <w:t>JUSTICE BREYER, with whom JUSTICE O'CONNOR and Justice SOUTER join, concurring in the judgment.</w:t>
      </w:r>
    </w:p>
    <w:p w:rsidR="00A31137" w:rsidRPr="00A31137" w:rsidRDefault="00A31137" w:rsidP="00A31137">
      <w:r w:rsidRPr="00A31137">
        <w:t>1996, Morse v. Republican Party of Virginia, No. 94-203</w:t>
      </w:r>
    </w:p>
    <w:p w:rsidR="00A31137" w:rsidRPr="00A31137" w:rsidRDefault="00A31137" w:rsidP="00A31137">
      <w:r w:rsidRPr="00A31137">
        <w:t>One historical fact makes it particularly difficult for me to accept the statutory and constitutional arguments of Appellees. In 1965, to have read this Act as excluding all political party activity would have opened a loophole in the statute the size of a mountain. And everybody knew it. They knew that, despite the enactment of the Fourteenth and Fifteenth Amendments, African-Americans had been systematically deprived of the right to vote in many places and for many years. They knew, too, that States had tried to maintain that status quo through the "all-white" primary—a tactic that tried to avoid the Fifteenth Amendment by permitting white voters alone to select the "all-white" Democratic Party nominees, who were then virtually assured of victory in the general election. Once the Supreme Court held unlawful the "all-white" primary, Smith v. Allwright, 321 U.S. 649 (1944), the obvious next step would have been to substitute an "all-white" pre-primary Democratic Party nominating process for the "all-white" primary. And, indeed, that is just what happened, though the tactic failed because the Supreme Court held one version of it, the Jaybird Association straw poll, unconstitutional. Terry v. Adams, 345 U.S. 461 (1953).</w:t>
      </w:r>
    </w:p>
    <w:p w:rsidR="00A31137" w:rsidRPr="00A31137" w:rsidRDefault="00A31137" w:rsidP="00A31137">
      <w:r w:rsidRPr="00A31137">
        <w:t>1996, Morse v. Republican Party of Virginia, No. 94-203</w:t>
      </w:r>
    </w:p>
    <w:p w:rsidR="00A31137" w:rsidRPr="00A31137" w:rsidRDefault="00A31137" w:rsidP="00A31137">
      <w:r w:rsidRPr="00A31137">
        <w:t>In 1965, Congress knew this history well, see, e.g., H.R.Rep. No. 439, 89th Cong., 1st Sess., pp. 6-22 (noting White Primary Cases and discussing failure of case-by-case enforcement of Fifteenth Amendment); S.Rep. No. 162, 89th Cong., 1st Sess., pt. 3 (1965) (same); South Carolina v. Katzenbach, 383 U.S. 301, 308-315 (1966) (summarizing legislative history), and it knew more besides. It knew that Mississippi had just sent to the Democrat National Convention an "all-white" delegation, selected in a process of Party precinct meetings, caucuses, and conventions from which "Negroes" were excluded. See, e.g., Hearings on H.R. 6400 before Subcommittee No. 5 of the House Committee on the Judiciary, 89th Cong., 1st Sess., pp. 456-457 (1965) (testimony of Rep. Bingham) (hereafter H.R. 6400 Hearings). How is it possible that a Congress, knowing this obvious history, would have wanted to enact a "voting rights" law containing a major and obvious loophole that would allow such practices to continue, thereby threatening to destroy in practice the very promise of elementary fairness that the Act held out?</w:t>
      </w:r>
    </w:p>
    <w:p w:rsidR="00A31137" w:rsidRPr="00A31137" w:rsidRDefault="00A31137" w:rsidP="00A31137">
      <w:r w:rsidRPr="00A31137">
        <w:t>1996, Morse v. Republican Party of Virginia, No. 94-203</w:t>
      </w:r>
    </w:p>
    <w:p w:rsidR="00A31137" w:rsidRPr="00A31137" w:rsidRDefault="00A31137" w:rsidP="00A31137">
      <w:r w:rsidRPr="00A31137">
        <w:t>The answer is that Congress did not want to enact a statute with that loophole, and it did not do so. That is why Representative Bingham said, in offering the amendment that brought voting for "party office" within the Act, see 42 U.S.C. § 1973l(c)(1) (1988 ed.), that</w:t>
      </w:r>
    </w:p>
    <w:p w:rsidR="00A31137" w:rsidRPr="00A31137" w:rsidRDefault="00A31137" w:rsidP="00A31137">
      <w:r w:rsidRPr="00A31137">
        <w:t>1996, Morse v. Republican Party of Virginia, No. 94-203</w:t>
      </w:r>
    </w:p>
    <w:p w:rsidR="00A31137" w:rsidRPr="00A31137" w:rsidRDefault="00A31137" w:rsidP="00A31137">
      <w:r w:rsidRPr="00A31137">
        <w:t>to be most effective, [the Act] should include express coverage of party functions which directly, or indirectly, affect the primary or general elections in any State.</w:t>
      </w:r>
    </w:p>
    <w:p w:rsidR="00A31137" w:rsidRPr="00A31137" w:rsidRDefault="00A31137" w:rsidP="00A31137">
      <w:r w:rsidRPr="00A31137">
        <w:t>1996, Morse v. Republican Party of Virginia, No. 94-203</w:t>
      </w:r>
    </w:p>
    <w:p w:rsidR="00A31137" w:rsidRPr="00A31137" w:rsidRDefault="00A31137" w:rsidP="00A31137">
      <w:r w:rsidRPr="00A31137">
        <w:t>H.R. 6400 Hearings at 457. See also ibid. (explaining proposal as covering "political party meetings, councils, conventions, and referendums which lead to endorsement or selection of candidates who will run in primary or general elections"). And it is why he told the full House of Representatives (after the Committee had accepted his amendment) that his change</w:t>
      </w:r>
    </w:p>
    <w:p w:rsidR="00A31137" w:rsidRPr="00A31137" w:rsidRDefault="00A31137" w:rsidP="00A31137">
      <w:r w:rsidRPr="00A31137">
        <w:t>1996, Morse v. Republican Party of Virginia, No. 94-203</w:t>
      </w:r>
    </w:p>
    <w:p w:rsidR="00A31137" w:rsidRPr="00A31137" w:rsidRDefault="00A31137" w:rsidP="00A31137">
      <w:r w:rsidRPr="00A31137">
        <w:t>would extend the protections of the bill to the type of situation which arose last year when the regular Democratic delegation from Mississippi to the Democratic National Convention was chosen through a series of Party caucuses and conventions from which Negroes were excluded.</w:t>
      </w:r>
    </w:p>
    <w:p w:rsidR="00A31137" w:rsidRPr="00A31137" w:rsidRDefault="00A31137" w:rsidP="00A31137">
      <w:r w:rsidRPr="00A31137">
        <w:t>1996, Morse v. Republican Party of Virginia, No. 94-203</w:t>
      </w:r>
    </w:p>
    <w:p w:rsidR="00A31137" w:rsidRPr="00A31137" w:rsidRDefault="00A31137" w:rsidP="00A31137">
      <w:r w:rsidRPr="00A31137">
        <w:t>111 Cong.Rec. 16273 (1965) (remarks of Rep. Bingham). See also H.R.Rep. No. 439, supra at 32.</w:t>
      </w:r>
    </w:p>
    <w:p w:rsidR="00A31137" w:rsidRPr="00A31137" w:rsidRDefault="00A31137" w:rsidP="00A31137">
      <w:r w:rsidRPr="00A31137">
        <w:t>1996, Morse v. Republican Party of Virginia, No. 94-203</w:t>
      </w:r>
    </w:p>
    <w:p w:rsidR="00A31137" w:rsidRPr="00A31137" w:rsidRDefault="00A31137" w:rsidP="00A31137">
      <w:r w:rsidRPr="00A31137">
        <w:t>Representative Bingham's amendment, as the dissents point out, applies only to actions taken by "State or political subdivision." 42 U.S.C. § 1973c (1988 ed.) But that language did not automatically place a party's all-white evasive maneuvers beyond the statute's reach, because the Supreme Court had already held that the word "State," as it appears in the Fifteenth Amendment, could constitutionally apply to certain activities of political parties, such as nominating activities. See Smith, supra at 662-666; Terry, supra at  473 (opinion of Frankfurter, J.) ("The application of the prohibition of the Fifteenth Amendment to 'any State' is translated by legal jargon to read 'State action'"). The question before us is whether in 1965 Congress intended its words to place even a party's convention-based, all-white evasive maneuvers beyond the statute's reach, thereby ignoring even the Mississippi Democratic Party's efforts the year before to use an "all-white" convention process to help nominate a candidate for President of the United States.</w:t>
      </w:r>
    </w:p>
    <w:p w:rsidR="00A31137" w:rsidRPr="00A31137" w:rsidRDefault="00A31137" w:rsidP="00A31137">
      <w:r w:rsidRPr="00A31137">
        <w:t>1996, Morse v. Republican Party of Virginia, No. 94-203</w:t>
      </w:r>
    </w:p>
    <w:p w:rsidR="00A31137" w:rsidRPr="00A31137" w:rsidRDefault="00A31137" w:rsidP="00A31137">
      <w:r w:rsidRPr="00A31137">
        <w:t>The answer to this question must be "no." In light of history—that of Jim Crow and that of the Act—one cannot understand Congress as having intended to endorse any such evasion. And that is as far as we need go to answer the statutory question presented by this case.</w:t>
      </w:r>
    </w:p>
    <w:p w:rsidR="00A31137" w:rsidRPr="00A31137" w:rsidRDefault="00A31137" w:rsidP="00A31137">
      <w:r w:rsidRPr="00A31137">
        <w:t>1996, Morse v. Republican Party of Virginia, No. 94-203</w:t>
      </w:r>
    </w:p>
    <w:p w:rsidR="00A31137" w:rsidRPr="00A31137" w:rsidRDefault="00A31137" w:rsidP="00A31137">
      <w:r w:rsidRPr="00A31137">
        <w:t>We need not go further in determining when party activities are, in effect, substitutes for state nominating primaries because the case before us involves a nominating convention that resembles a primary about as closely as one could imagine. The convention (but for the $45 fee) was open to any voter declaring loyalty to the Party, just like a primary. The Party itself had previously selected the primary method to choose its nominee (in 1990, the year of the immediately preceding United States Senate race, the Party canceled its scheduled primary when no candidate filed to oppose the incumbent, App. 24), but changed its mind in 1994 without asking the Justice Department to "preclear" the switch. And the Party chose to avail itself of special state law preferences, in terms of ballot access and position, offered to the convention's choice. Va.Code Ann. §§ 24.2-511(A), 535, 613 (1993).</w:t>
      </w:r>
    </w:p>
    <w:p w:rsidR="00A31137" w:rsidRPr="00A31137" w:rsidRDefault="00A31137" w:rsidP="00A31137">
      <w:r w:rsidRPr="00A31137">
        <w:t>1996, Morse v. Republican Party of Virginia, No. 94-203</w:t>
      </w:r>
    </w:p>
    <w:p w:rsidR="00A31137" w:rsidRPr="00A31137" w:rsidRDefault="00A31137" w:rsidP="00A31137">
      <w:r w:rsidRPr="00A31137">
        <w:t>Nor need we go further to decide just which party nominating convention practices fall within the scope of the Act. There are already substantial limits as to which voting-related "practices and procedures" must be precleared. See Presley v. Etowah County Comm'n, 502 U.S. 491, 502-503 (1992) (gathering cases and setting out four preclearance categories: changes involving "the manner of voting[,]…candidacy requirements and qualifications[,]…the composition of the electorate that may vote[,]…[and] the creation or abolition of an elective office"). Thus, for example, the Party here states that besides nominating candidates, "other business at its conventions" includes "adoption of resolutions or platforms outlining the philosophy [of the Party]" and rules governing its internal operation. App. 24. Under Presley, these activities are very likely not subject to preclearance. See also 28 CFR § 51.7 (1995) (making clear that "changes with respect to the recruitment of party members, the conduct of political campaigns, and the drafting of party platforms are not subject to the preclearance requirement"). I would note, moreover, that the lower courts have applied § 5 only to a small subcategory of party rules. See Hawthorne v. Baker, 750 F.Supp. 1090, 1094-1095 (MD Ala. 1990) (three-judge court), vacated as moot, 499 U.S. 933 (1991); Fortune v. Kings County Democratic County Committee, 598 F.Supp. 761, 764-765 (EDNY 1984) (three-judge court) (per curiam); MacGuire v. Amos, 343 F.Supp. 119, 121 (MD Ala. 1972) (three-judge court) (per curiam).</w:t>
      </w:r>
    </w:p>
    <w:p w:rsidR="00A31137" w:rsidRPr="00A31137" w:rsidRDefault="00A31137" w:rsidP="00A31137">
      <w:r w:rsidRPr="00A31137">
        <w:t>1996, Morse v. Republican Party of Virginia, No. 94-203</w:t>
      </w:r>
    </w:p>
    <w:p w:rsidR="00A31137" w:rsidRPr="00A31137" w:rsidRDefault="00A31137" w:rsidP="00A31137">
      <w:r w:rsidRPr="00A31137">
        <w:t>While these limitations exclude much party activity—including much that takes place at an assembly of its members—I recognize that some of the First Amendment concerns raised by the dissents may render these limits yet more restrictive in the case of party conventions. But the practice challenged here—the fee—lies within the Act, and well outside the area of greatest "associational" concern. Like the more obviously evasive "all-white" devices, it is of a kind that is the subject of a specific constitutional Amendment. U.S.Const., Amdt. 24, § 1 (banning poll tax).</w:t>
      </w:r>
    </w:p>
    <w:p w:rsidR="00A31137" w:rsidRPr="00A31137" w:rsidRDefault="00A31137" w:rsidP="00A31137">
      <w:r w:rsidRPr="00A31137">
        <w:t>1996, Morse v. Republican Party of Virginia, No. 94-203</w:t>
      </w:r>
    </w:p>
    <w:p w:rsidR="00A31137" w:rsidRPr="00A31137" w:rsidRDefault="00A31137" w:rsidP="00A31137">
      <w:r w:rsidRPr="00A31137">
        <w:t>We go no further in this case because, as the dissents indicate, First Amendment questions about the extent to which the Federal Government, through preclearance procedures, can regulate the workings of a political party convention, are difficult ones, see, e.g., Eu v. San Francisco County Democratic Central Comm., 489 U.S. 214 (1989), as are those about the limits imposed by the state action cases. See Edmonson v. Leesville Concrete Co., 500 U.S. 614 (1991). Those questions, however, are properly left for a case that squarely presents them.</w:t>
      </w:r>
    </w:p>
    <w:p w:rsidR="00A31137" w:rsidRPr="00A31137" w:rsidRDefault="00A31137" w:rsidP="00A31137">
      <w:r w:rsidRPr="00A31137">
        <w:t>1996, Morse v. Republican Party of Virginia, No. 94-203</w:t>
      </w:r>
    </w:p>
    <w:p w:rsidR="00A31137" w:rsidRPr="00A31137" w:rsidRDefault="00A31137" w:rsidP="00A31137">
      <w:r w:rsidRPr="00A31137">
        <w:t>Such questions, we are satisfied, are not so difficult as to warrant interpreting this Act as containing a loophole that Congress could not have intended to create. See, e.g., Terry v. Adams, 345 U.S. 461 (1953); Smith v. Allwright, 321 U.S. 649 (1944). See also Eu, supra at 232 (recognizing that the First Amendment, while guaranteeing associational rights, does not bar "intervention…necessary to prevent the derogation of the civil rights of party adherents"); Presley, 502 U.S. at 502-503 (setting out which voting-related practices are subject to preclearance); Brief for Appellees 6-7 (agreeing § 5 reaches certain primary-related party activity).</w:t>
      </w:r>
    </w:p>
    <w:p w:rsidR="00A31137" w:rsidRPr="00A31137" w:rsidRDefault="00A31137" w:rsidP="00A31137">
      <w:r w:rsidRPr="00A31137">
        <w:t>1996, Morse v. Republican Party of Virginia, No. 94-203</w:t>
      </w:r>
    </w:p>
    <w:p w:rsidR="00A31137" w:rsidRPr="00A31137" w:rsidRDefault="00A31137" w:rsidP="00A31137">
      <w:r w:rsidRPr="00A31137">
        <w:t>An interpretation of §§ 5 and 14(c)(1), in light of the language, history, and purpose of the Act, sufficient to avoid that loophole is sufficient to answer the question presented here. In this case, I conclude that this Court has not decided the exact boundaries that the Constitution draws around the subcategory of party rules subject to § 5. Further definition should await another day.</w:t>
      </w:r>
    </w:p>
    <w:p w:rsidR="00A31137" w:rsidRPr="00A31137" w:rsidRDefault="00A31137" w:rsidP="00A31137">
      <w:r w:rsidRPr="00A31137">
        <w:t>1996, Morse v. Republican Party of Virginia, No. 94-203</w:t>
      </w:r>
    </w:p>
    <w:p w:rsidR="00A31137" w:rsidRPr="00A31137" w:rsidRDefault="00A31137" w:rsidP="00A31137">
      <w:r w:rsidRPr="00A31137">
        <w:t>Finally, I agree with JUSTICE STEVENS that Congress must be taken to have intended to authorize a private right of action to enforce § 10 of the Act, 42 U.S.C. § 1973h (1988 ed.). He explains, ante at ___, that the rationale of Allen v. State Bd. of Elections, 393 U.S. 544, 556-557 (1969) (Congress established private right of action to enforce § 5), applies with similar force not only to § 2 but also to § 10. Cf. S.Rep. No. 97-417, pt. 1, p. 30 (1982) (implied private right of action to enforce § 2 "has been clearly intended by Congress since 1965"). The differences in statutory language and structure between §§ 5 and 10 are not determinative. Ante at 47. In addition, I do not know why Congress would have wanted to treat enforcement of § 10 differently from enforcement of §§ 2 and 5, particularly after 1975. In that year, Congress focused on § 10, deleted the then-obsolete § 10(d), made technical amendments to § 10(b), and thereby indicated its belief that § 10 remained an important civil rights provision. Pub.L. 94-73, § 408, 89 Stat. 405. See also S.Rep. No. 94-295, pp. 40-41 (1975) (reiterating general importance of private enforcement of Act); H.R. Report No. 94-196, pp. 33-34 (1975) (same). For these reasons, I believe Congress intended to establish a private right of action to enforce § 10, no less than it did to enforce §§ 2 and 5. I express no view as to the merits of the underlying § 10 claim.</w:t>
      </w:r>
    </w:p>
    <w:p w:rsidR="00A31137" w:rsidRPr="00A31137" w:rsidRDefault="00A31137" w:rsidP="00A31137">
      <w:r w:rsidRPr="00A31137">
        <w:t>SCALIA, J., dissenting</w:t>
      </w:r>
    </w:p>
    <w:p w:rsidR="00A31137" w:rsidRPr="00A31137" w:rsidRDefault="00A31137" w:rsidP="00A31137">
      <w:r w:rsidRPr="00A31137">
        <w:t>1996, Morse v. Republican Party of Virginia, No. 94-203</w:t>
      </w:r>
    </w:p>
    <w:p w:rsidR="00A31137" w:rsidRPr="00A31137" w:rsidRDefault="00A31137" w:rsidP="00A31137">
      <w:r w:rsidRPr="00A31137">
        <w:t>JUSTICE SCALIA, with whom JUSTICE THOMAS joins, dissenting.</w:t>
      </w:r>
    </w:p>
    <w:p w:rsidR="00A31137" w:rsidRPr="00A31137" w:rsidRDefault="00A31137" w:rsidP="00A31137">
      <w:r w:rsidRPr="00A31137">
        <w:t>1996, Morse v. Republican Party of Virginia, No. 94-203</w:t>
      </w:r>
    </w:p>
    <w:p w:rsidR="00A31137" w:rsidRPr="00A31137" w:rsidRDefault="00A31137" w:rsidP="00A31137">
      <w:r w:rsidRPr="00A31137">
        <w:t>"Any interference with the freedom of a party is simultaneously an interference with the freedom of its adherents." Sweezy v. New Hampshire, 354 U.S. 234,  250 (1957). For that reason, we have always treated government assertion of control over the internal affairs of political parties—which, after all, are simply groups of like-minded individual voters—as a matter of the utmost constitutional consequence. See, e.g., Democratic Party of United States, v. La Follette, 450 U.S. 107, 121-122 (1981); Cousins v. Wigoda, 419 U.S. 477, 487-488 (1975); O'Brien v. Brown, 409 U.S. 1, 4-5 (1972) (per curiam). What is at issue in this case, therefore, is not merely interpretation of § 5 of the Voting Rights Act, 42 U.S.C. § 1973c, but, inextricably bound up with that interpretation, the First Amendment freedom of political association.</w:t>
      </w:r>
    </w:p>
    <w:p w:rsidR="00A31137" w:rsidRPr="00A31137" w:rsidRDefault="00A31137" w:rsidP="00A31137">
      <w:r w:rsidRPr="00A31137">
        <w:t>1996, Morse v. Republican Party of Virginia, No. 94-203</w:t>
      </w:r>
    </w:p>
    <w:p w:rsidR="00A31137" w:rsidRPr="00A31137" w:rsidRDefault="00A31137" w:rsidP="00A31137">
      <w:r w:rsidRPr="00A31137">
        <w:t>There are several respects in which both JUSTICE STEVENS' and JUSTICE BREYER's opinion constitute remarkable departures from the settled course of our First Amendment jurisprudence. The most obvious, perhaps, is their refusal to consider the present application of § 5 unconstitutional on the basis of "hypothetical cases unrelated to the facts of this case [that] might implicate First Amendment concerns." STEVENS, J. at ___. 1 Instead, they "leave consideration of hypothetical concerns for another day," id. at ___, and reserve such "difficult" questions "for a case that squarely presents them," BREYER, J. at ___. That is a luxury our precedents do not allow. It has been a constant of our free speech jurisprudence that claimants whose First Amendment rights are affected may challenge a statute, not merely on the ground that its specific application to them is unconstitutional, but also on the ground that its application is void in a substantial number of other contexts that arguably fall within its scope. This principle of "overbreadth" has been applied not only in the context of freedom of speech narrowly speaking, but also in the context of the freedom to associate for the purpose of political speech. See, e.g., United States v. Robel, 389 U.S. 258, 265-266 (1967); Elfbrandt v. Russell, 384 U.S. 11, 18-19 (1966).</w:t>
      </w:r>
    </w:p>
    <w:p w:rsidR="00A31137" w:rsidRPr="00A31137" w:rsidRDefault="00A31137" w:rsidP="00A31137">
      <w:r w:rsidRPr="00A31137">
        <w:t>1996, Morse v. Republican Party of Virginia, No. 94-203</w:t>
      </w:r>
    </w:p>
    <w:p w:rsidR="00A31137" w:rsidRPr="00A31137" w:rsidRDefault="00A31137" w:rsidP="00A31137">
      <w:r w:rsidRPr="00A31137">
        <w:t>Thus, to satisfy oneself that the particular practice challenged here lies "well outside the area of greatest 'associational' concern," BREYER, J. at ___, is to take only the first and smallest step in treating the weighty constitutional question posed by application of § 5 to political parties. In this First Amendment context, to "go no further than necessary to decide the case at hand" means going far enough to assure against overbreadth. We must do that whenever "rights of association [are] ensnared in statutes which, by their broad sweep, might result in burdening innocent associations." Broadrick v. Oklahoma, 413 U.S. 601,  612 (1973) (citing, inter alia, Keyishian v. Board of Regents of Univ. of State of N.Y., 385 U.S. 589 (1967)). JUSTICE STEVENS does not assert that applying § 5 to party activity passes First Amendment muster except "in the case before us," ante at ___, and JUSTICE BREYER acknowledges that the First Amendment may bar application of § 5 to other convention activity, see ante at ___. Yet despite these indications of overbreadth, neither opinion attempts to provide what our cases require: a "limiting construction or partial invalidation" that will "remove the seeming threat or deterrence to constitutionally protected expression," Broadrick, supra, at  613.</w:t>
      </w:r>
    </w:p>
    <w:p w:rsidR="00A31137" w:rsidRPr="00A31137" w:rsidRDefault="00A31137" w:rsidP="00A31137">
      <w:r w:rsidRPr="00A31137">
        <w:t>1996, Morse v. Republican Party of Virginia, No. 94-203</w:t>
      </w:r>
    </w:p>
    <w:p w:rsidR="00A31137" w:rsidRPr="00A31137" w:rsidRDefault="00A31137" w:rsidP="00A31137">
      <w:r w:rsidRPr="00A31137">
        <w:t>Besides flouting the doctrine of overbreadth, the opinions' refusal to provide "[f]urther definition" of § 5's application to political parties, BREYER, J. at ___, leaves political parties without guidance as to "when [their] activities are, in effect, substitutes for state nominating primaries," id. at ___, and as to "which party nominating convention practices fall within the scope of the Act," ibid. 2 Before today, this Court has not tolerated such uncertainty in rules bearing upon First Amendment activities, because it causes persons to refrain from engaging in constitutionally protected conduct for fear of violation. See, e.g., Baggett v. Bullitt, 377 U.S. 360,  372 (1964). Surely such an effect can be expected here. Party officials will at least abstain from proceeding with certain convention activities without notification; and in light of the high degree of uncertainty they may well decide to hold no conventions at all.</w:t>
      </w:r>
    </w:p>
    <w:p w:rsidR="00A31137" w:rsidRPr="00A31137" w:rsidRDefault="00A31137" w:rsidP="00A31137">
      <w:r w:rsidRPr="00A31137">
        <w:t>1996, Morse v. Republican Party of Virginia, No. 94-203</w:t>
      </w:r>
    </w:p>
    <w:p w:rsidR="00A31137" w:rsidRPr="00A31137" w:rsidRDefault="00A31137" w:rsidP="00A31137">
      <w:r w:rsidRPr="00A31137">
        <w:t>Another respect in which the Court today diverges from our free speech jurisprudence is even more astounding, if possible, than its disregard of the doctrines of overbreadth and vagueness. From reading the majority's two opinions, one would surmise that the only constitutional question at issue is whether the First Amendment permits the Federal Government to make unlawful and set aside party rule changes designed to hinder racial minorities' full participation in election-related functions. But this statute does not present only that question, any more than a statute establishing a Board of Obscenity Censors, to which films or books must be submitted for approval before publication, presents only the question whether the First Amendment permits the prohibition of obscenity. See, e.g., Freedman v. Maryland, 380 U.S. 51 (1965); Bantam Books, Inc. v. Sullivan, 372 U.S. 58 (1963). A point entirely ignored by Justices STEVENS and BREYER is that this case involves a classic prior restraint.</w:t>
      </w:r>
    </w:p>
    <w:p w:rsidR="00A31137" w:rsidRPr="00A31137" w:rsidRDefault="00A31137" w:rsidP="00A31137">
      <w:r w:rsidRPr="00A31137">
        <w:t>1996, Morse v. Republican Party of Virginia, No. 94-203</w:t>
      </w:r>
    </w:p>
    <w:p w:rsidR="00A31137" w:rsidRPr="00A31137" w:rsidRDefault="00A31137" w:rsidP="00A31137">
      <w:r w:rsidRPr="00A31137">
        <w:t>Our cases have heavily disfavored all manner of prior restraint upon the exercise of freedoms guaranteed by the First Amendment. Although most often imposed upon speech, prior restraints are no less noxious, and have been no less condemned, when directed against associational liberty (with which, we have said, freedom of speech "overlap[s] and blend[s]," Citizens Against Rent Control/Coalition for Fair Housing v. City of Berkeley, 454 U.S. 290, 300 (1981)). See Thomas v. Collins, 323 U.S. 516, 539-540 (1945); Carroll v. President and Comm'rs of Princess Anne, 393 U.S. 175, 180-185 (1968); cf. Healy v. James, 408 U.S. 169, 184 (1972). Today, however, a majority of the Court readily accepts the proposition that § 5 can subject this First Amendment freedom to a permit system, requiring its exercise to be "precleared" with the Government even when it is not being used unlawfully. The Court thus makes citizens supplicants in the exercise of their First Amendment rights.</w:t>
      </w:r>
    </w:p>
    <w:p w:rsidR="00A31137" w:rsidRPr="00A31137" w:rsidRDefault="00A31137" w:rsidP="00A31137">
      <w:r w:rsidRPr="00A31137">
        <w:t>1996, Morse v. Republican Party of Virginia, No. 94-203</w:t>
      </w:r>
    </w:p>
    <w:p w:rsidR="00A31137" w:rsidRPr="00A31137" w:rsidRDefault="00A31137" w:rsidP="00A31137">
      <w:r w:rsidRPr="00A31137">
        <w:t>As the five Justices who support the judgment of the Court choose to read this statute, a political party (or at least one that the State has awarded a place on the ballot 3) can make no change in its practices or procedures that might affect a voter's capacity to have his candidate elected—no matter how race-neutral in purpose and effect—unless it first obtains prior clearance by the Government, see STEVENS, J. at ___; BREYER, J. at ___. Any change not precleared—after a proceeding in which the burden rests on the party to show absence of discriminatory purpose and effect, see City of Rome v. United States, 446 U.S. 156, 172-173,  183, n. 18 (1980)—can be enjoined. Given that political parties are organized with the near-exclusive purpose of influencing the outcomes of elections, I think it obvious that as construed today, § 5 requires political parties to submit for prior Government approval, and bear the burden of justifying, virtually every decision of consequence regarding their internal operations. That is the most outrageous tyranny. A freedom of political association that must await the Government's favorable response to a "Mother, may I?" is no freedom of political association at all.</w:t>
      </w:r>
    </w:p>
    <w:p w:rsidR="00A31137" w:rsidRPr="00A31137" w:rsidRDefault="00A31137" w:rsidP="00A31137">
      <w:r w:rsidRPr="00A31137">
        <w:t>1996, Morse v. Republican Party of Virginia, No. 94-203</w:t>
      </w:r>
    </w:p>
    <w:p w:rsidR="00A31137" w:rsidRPr="00A31137" w:rsidRDefault="00A31137" w:rsidP="00A31137">
      <w:r w:rsidRPr="00A31137">
        <w:t>There would be reason enough for astonishment and regret if today's judgment upheld a statute clearly imposing a prior restraint upon private, First Amendment conduct. But what makes today's action astonishing and regrettable beyond belief is that this Court itself is the architect of a prior restraint that the law does not clearly express. And here is yet another respect in which today's opinions ignore established law: their total disregard of the doctrine that, where ambiguity exists, statutes should be construed to avoid substantial constitutional questions. That has been our practice because we presume that</w:t>
      </w:r>
    </w:p>
    <w:p w:rsidR="00A31137" w:rsidRPr="00A31137" w:rsidRDefault="00A31137" w:rsidP="00A31137">
      <w:r w:rsidRPr="00A31137">
        <w:t>1996, Morse v. Republican Party of Virginia, No. 94-203</w:t>
      </w:r>
    </w:p>
    <w:p w:rsidR="00A31137" w:rsidRPr="00A31137" w:rsidRDefault="00A31137" w:rsidP="00A31137">
      <w:r w:rsidRPr="00A31137">
        <w:t>Congress, which also has sworn to protect the Constitution, would intend to err on the side of fundamental constitutional liberties when its legislation implicates those liberties.</w:t>
      </w:r>
    </w:p>
    <w:p w:rsidR="00A31137" w:rsidRPr="00A31137" w:rsidRDefault="00A31137" w:rsidP="00A31137">
      <w:r w:rsidRPr="00A31137">
        <w:t>1996, Morse v. Republican Party of Virginia, No. 94-203</w:t>
      </w:r>
    </w:p>
    <w:p w:rsidR="00A31137" w:rsidRPr="00A31137" w:rsidRDefault="00A31137" w:rsidP="00A31137">
      <w:r w:rsidRPr="00A31137">
        <w:t>Regan v. Time, Inc., 468 U.S. 641, 697 (1984) (STEVENS, J., concurring in judgment in part and dissenting in part). We have in the past relied upon this canon to construe statutes narrowly, so as not to impose suspect prior restraints. For example, in Lowe v. SEC, 472 U.S. 181 (1985), we held that a statute requiring all "investment advisors" to register with the Securities and Exchange Commission, see 15 U.S.C. § 80b-3, does not extend to persons who publish "nonpersonalized" investment advice such as periodic market commentary—thereby avoiding the question whether Congress could constitutionally require such persons to register. Lowe, supra at 190, 204-205, and n. 50. How insignificant that prior restraint when compared with the requirement for preclearance of all changes in self-governance by political parties.</w:t>
      </w:r>
    </w:p>
    <w:p w:rsidR="00A31137" w:rsidRPr="00A31137" w:rsidRDefault="00A31137" w:rsidP="00A31137">
      <w:r w:rsidRPr="00A31137">
        <w:t>1996, Morse v. Republican Party of Virginia, No. 94-203</w:t>
      </w:r>
    </w:p>
    <w:p w:rsidR="00A31137" w:rsidRPr="00A31137" w:rsidRDefault="00A31137" w:rsidP="00A31137">
      <w:r w:rsidRPr="00A31137">
        <w:t>What drives the majority to find a prior restraint where the text does not demand (or even suggest) it is the notion that it "strains credulity" to think that Congress would enact a Voting Rights Act that did not reach political party activity, STEVENS, J. at ___. Congress, the majority believes, "could not have intended" such a result, BREYER, J. at ___. I doubt the validity of that perception; the assumption it rests upon—that a legislature never adopts half-way measures, never attacks the easy part of a problem without attacking the more sensitive part as well—seems to me quite false. Indeed, the "one step at a time" doctrine that we regularly employ in equal protection cases is based on precisely the opposite assumption. See, e.g., Williamson v. Lee Optical of Okla., Inc., 348 U.S. 483, 488-489 (1955).</w:t>
      </w:r>
    </w:p>
    <w:p w:rsidR="00A31137" w:rsidRPr="00A31137" w:rsidRDefault="00A31137" w:rsidP="00A31137">
      <w:r w:rsidRPr="00A31137">
        <w:t>1996, Morse v. Republican Party of Virginia, No. 94-203</w:t>
      </w:r>
    </w:p>
    <w:p w:rsidR="00A31137" w:rsidRPr="00A31137" w:rsidRDefault="00A31137" w:rsidP="00A31137">
      <w:r w:rsidRPr="00A31137">
        <w:t>Moreover, even if one were to accept the majority's question-begging assumption that Congress must have covered political party activity, and even if one were to credit the majority's sole textual support for such coverage, today's decision to impose a prior restraint upon purely private, political party activity would still be incomprehensible. The sole textual support adduced by the two opinions consists of § 14's reference to elections for "party office," and § 2's reference to "the political processes leading to nomination or election." See STEVENS, J., at ___; BREYER, J., at ___. JUSTICE THOMAS gives compelling reasons why these phrases cannot bear the meaning the majority would ascribe, see post at ___. But even accepting that they mean what the majority says, all that the phrase in § 14 shows is that some portion of the Act reaches private, political party conduct; and all that the phrase in § 2 shows is that (at least in some circumstances) § 2 does so. Nothing in the text, nor anything in the assumption that Congress must have addressed political party activity, compels the conclusion that Congress addressed political party activity in the preclearance, prior-restraint scheme of § 5, 4 which is of course the only question immediately before us. Thus, the only real credulity-strainer involved here is the notion that Congress would impose a restraint bearing a "heavy presumption against its constitutional validity," Bantam Books, 372 U.S. at 70, in such a backhanded fashion—saying simply "State[s]" and "political subdivision[s]" in § 5, but meaning political parties as well. Because I find that impossible to believe, I respectfully dissent.</w:t>
      </w:r>
    </w:p>
    <w:p w:rsidR="00A31137" w:rsidRPr="00A31137" w:rsidRDefault="00A31137" w:rsidP="00A31137">
      <w:r w:rsidRPr="00A31137">
        <w:t>KENNEDY, J., dissenting</w:t>
      </w:r>
    </w:p>
    <w:p w:rsidR="00A31137" w:rsidRPr="00A31137" w:rsidRDefault="00A31137" w:rsidP="00A31137">
      <w:r w:rsidRPr="00A31137">
        <w:t>1996, Morse v. Republican Party of Virginia, No. 94-203</w:t>
      </w:r>
    </w:p>
    <w:p w:rsidR="00A31137" w:rsidRPr="00A31137" w:rsidRDefault="00A31137" w:rsidP="00A31137">
      <w:r w:rsidRPr="00A31137">
        <w:t>JUSTICE KENNEDY, with whom THE CHIEF JUSTICE joins, dissenting.</w:t>
      </w:r>
    </w:p>
    <w:p w:rsidR="00A31137" w:rsidRPr="00A31137" w:rsidRDefault="00A31137" w:rsidP="00A31137">
      <w:r w:rsidRPr="00A31137">
        <w:t>1996, Morse v. Republican Party of Virginia, No. 94-203</w:t>
      </w:r>
    </w:p>
    <w:p w:rsidR="00A31137" w:rsidRPr="00A31137" w:rsidRDefault="00A31137" w:rsidP="00A31137">
      <w:r w:rsidRPr="00A31137">
        <w:t>I join Part II of JUSTICE THOMAS' dissent, which demonstrates that § 10 of the Voting Rights Act, 42 U.S.C. § 1973h (1988 ed.), does not create a private right of action, post at ___.</w:t>
      </w:r>
    </w:p>
    <w:p w:rsidR="00A31137" w:rsidRPr="00A31137" w:rsidRDefault="00A31137" w:rsidP="00A31137">
      <w:r w:rsidRPr="00A31137">
        <w:t>1996, Morse v. Republican Party of Virginia, No. 94-203</w:t>
      </w:r>
    </w:p>
    <w:p w:rsidR="00A31137" w:rsidRPr="00A31137" w:rsidRDefault="00A31137" w:rsidP="00A31137">
      <w:r w:rsidRPr="00A31137">
        <w:t>With respect to § 5 of the Act, § 1973c, this statutory construction case does not require us to explore the full reach of Congress' substantial power to enforce the Thirteenth, Fourteenth, and Fifteenth Amendments. Cf., e. g., Rome v. United States, 446 U.S. 156, 173-182 (1980). Nor does it present the question whether the rule of attribution we have adopted in the state action cases would, of its own force and without statutory implementation, extend the guarantees of the Equal Protection Clause to these appellants. The state action doctrine and case authorities such as Smith v. Allwright, 321 U.S. 649 (1944), and Terry v. Adams, 345 U.S. 461 (1953), may be of considerable relevance to equal protection or other constitutional challenges still pending before the District Court, see ante at ___ (opinion of STEVENS, J.), but those matters need not be discussed here. It would be unwise to do so; for, with full recognition of the vital doctrine that Smith, Terry, and kindred cases elaborate when we confront discrimination in the participatory processes that are the foundation of a democratic society, we have been cautious to preserve the line separating state action from private behavior that is beyond the Constitution's own reach.</w:t>
      </w:r>
    </w:p>
    <w:p w:rsidR="00A31137" w:rsidRPr="00A31137" w:rsidRDefault="00A31137" w:rsidP="00A31137">
      <w:r w:rsidRPr="00A31137">
        <w:t>1996, Morse v. Republican Party of Virginia, No. 94-203</w:t>
      </w:r>
    </w:p>
    <w:p w:rsidR="00A31137" w:rsidRPr="00A31137" w:rsidRDefault="00A31137" w:rsidP="00A31137">
      <w:r w:rsidRPr="00A31137">
        <w:t>"Careful adherence to the 'state action' requirement preserves an area of individual freedom by limiting the reach of federal law," and avoids the imposition of responsibility on a State for conduct it could not control.</w:t>
      </w:r>
    </w:p>
    <w:p w:rsidR="00A31137" w:rsidRPr="00A31137" w:rsidRDefault="00A31137" w:rsidP="00A31137">
      <w:r w:rsidRPr="00A31137">
        <w:t>1996, Morse v. Republican Party of Virginia, No. 94-203</w:t>
      </w:r>
    </w:p>
    <w:p w:rsidR="00A31137" w:rsidRPr="00A31137" w:rsidRDefault="00A31137" w:rsidP="00A31137">
      <w:r w:rsidRPr="00A31137">
        <w:t>National Collegiate Athletic Assn. v. Tarkanian, 488 U.S. 179, 191 (1988), quoting Lugar v. Edmondson Oil Co., 457 U.S. 922, 936-937 (1982).</w:t>
      </w:r>
    </w:p>
    <w:p w:rsidR="00A31137" w:rsidRPr="00A31137" w:rsidRDefault="00A31137" w:rsidP="00A31137">
      <w:r w:rsidRPr="00A31137">
        <w:t>1996, Morse v. Republican Party of Virginia, No. 94-203</w:t>
      </w:r>
    </w:p>
    <w:p w:rsidR="00A31137" w:rsidRPr="00A31137" w:rsidRDefault="00A31137" w:rsidP="00A31137">
      <w:r w:rsidRPr="00A31137">
        <w:t>It is "unnecessary to traverse that difficult terrain in the present case," Lebron v. National Railroad Passenger Corporation, 513 U.S. ___, ___ (1995), because § 5 of the Voting Rights Act does not reach all entities or individuals who might be considered the State for constitutional purposes. Congress was aware of the difference between the State as a political, governing body and other actors whose conduct might be subject to constitutional challenge or the congressional enforcement power, and intended § 5 to reach only the former. JUSTICE THOMAS explains why § 5, both by its terms and with the gloss placed on it in United States v. Sheffield Bd. of Comm'rs, 435 U.S. 110 (1978), does not reach the Party's actions. Post at ___. Furthermore, Congress demonstrated its ability to distinguish between the State and other actors in the text of the Act itself. Section 11 of the Act makes it unlawful for any "person acting under color of law" to "fail or refuse to permit any person to vote who is entitled to vote under" specified provisions of the Act, or to "willfully fail or refuse to tabulate, count, and report such person's vote," 42 U.S.C. § 1973i(a), and also provides that</w:t>
      </w:r>
    </w:p>
    <w:p w:rsidR="00A31137" w:rsidRPr="00A31137" w:rsidRDefault="00A31137" w:rsidP="00A31137">
      <w:r w:rsidRPr="00A31137">
        <w:t>1996, Morse v. Republican Party of Virginia, No. 94-203</w:t>
      </w:r>
    </w:p>
    <w:p w:rsidR="00A31137" w:rsidRPr="00A31137" w:rsidRDefault="00A31137" w:rsidP="00A31137">
      <w:r w:rsidRPr="00A31137">
        <w:t>[n]o person, whether acting under color of law or otherwise, shall intimidate, threaten, or coerce…any person for voting or attempting to vote,</w:t>
      </w:r>
    </w:p>
    <w:p w:rsidR="00A31137" w:rsidRPr="00A31137" w:rsidRDefault="00A31137" w:rsidP="00A31137">
      <w:r w:rsidRPr="00A31137">
        <w:t>1996, Morse v. Republican Party of Virginia, No. 94-203</w:t>
      </w:r>
    </w:p>
    <w:p w:rsidR="00A31137" w:rsidRPr="00A31137" w:rsidRDefault="00A31137" w:rsidP="00A31137">
      <w:r w:rsidRPr="00A31137">
        <w:t>§ 1973i(b).</w:t>
      </w:r>
    </w:p>
    <w:p w:rsidR="00A31137" w:rsidRPr="00A31137" w:rsidRDefault="00A31137" w:rsidP="00A31137">
      <w:r w:rsidRPr="00A31137">
        <w:t>1996, Morse v. Republican Party of Virginia, No. 94-203</w:t>
      </w:r>
    </w:p>
    <w:p w:rsidR="00A31137" w:rsidRPr="00A31137" w:rsidRDefault="00A31137" w:rsidP="00A31137">
      <w:r w:rsidRPr="00A31137">
        <w:t>In the context of the Civil Rights Act of 1871, Rev.Stat. § 1979, 42 U.S.C. § 1983 (1988 ed.), which uses similar language to describe the class of individuals subject to its reach ("[e]very person who, under color of any statute, ordinance, regulation, custom, or usage, of any State"), we have said "'under color' of law has consistently been treated as the same thing as the 'state action' required under the Fourteenth Amendment." United States v. Price, 383 U.S. 787, 794, n. 7 (1966). See also Lugar v. Edmondson Oil Co., supra at 929; Rendell-Baker v. Kohn, 457 U.S. 830,  838 (1982); West v. Atkins, 487 U.S. 42, 49 (1988); National Collegiate Athletic Assn. v. Tarkanian, supra at 182, n. 4 (1988); Hafer v. Melo, 502 U.S. 21, 28 (1991). There is no apparent reason why the "under color of law" requirement of § 11 should not also be considered coterminous with the state action requirement of the Amendment that statute enforces, and we should infer from Congress' employment of that requirement an intent to distinguish between the State and those other actors to whom governmental status must be imputed in some instances, cf. Gustafson v. Alloyd Co., 513 U.S. ___, ___ (1995) (elementary canon of statutory construction to give a term a "consistent meaning throughout the Act"). Congress knows the difference between regulating States and other actors, and in § 5 chose only to regulate the States.</w:t>
      </w:r>
    </w:p>
    <w:p w:rsidR="00A31137" w:rsidRPr="00A31137" w:rsidRDefault="00A31137" w:rsidP="00A31137">
      <w:r w:rsidRPr="00A31137">
        <w:t>1996, Morse v. Republican Party of Virginia, No. 94-203</w:t>
      </w:r>
    </w:p>
    <w:p w:rsidR="00A31137" w:rsidRPr="00A31137" w:rsidRDefault="00A31137" w:rsidP="00A31137">
      <w:r w:rsidRPr="00A31137">
        <w:t>The First Amendment questions presented by governmental intrusion into political party functions are a further reason for caution before we adopt a blanket rule that preclearance is required on the theory that, when Congress used the word "State," it also meant "political party." Sensitive consideration of the rights of speech and association counsels much restraint before finding that a political party is a state actor for purposes of all preclearance requirements. In particular, we have called for circumspection in drawing the state action line where political parties and their roles in selecting representative leaders are concerned. See Cousins v. Wigoda, 419 U.S. 477, 483, n. 4 (1975) (reserving question whether national political party's selection of delegates to nominating convention amounts to state action). See also id. at 492-494 (REHNQUIST, J., concurring in result); O'Brien v. Brown, 409 U.S. 1, 4-5 (1972) (per curiam) (staying order that political party seat certain delegates at its national convention and expressing "grave doubts" about Court of Appeals' action in case raising "[h]ighly important" state action question); Republican State Central Comm. of Ariz. v. Ripon Society Inc., 409 U.S. 1222, 1226-1227 (1972) (REHNQUIST, J., in chambers); Ripon Society, Inc. v. National Republican Party, 173 U.S.App.D.C. 350, 357-359, 525 F.2d 567, 574-576 (1975) (en banc), cert. denied, 424 U.S. 933 (1976).</w:t>
      </w:r>
    </w:p>
    <w:p w:rsidR="00A31137" w:rsidRPr="00A31137" w:rsidRDefault="00A31137" w:rsidP="00A31137">
      <w:r w:rsidRPr="00A31137">
        <w:t>1996, Morse v. Republican Party of Virginia, No. 94-203</w:t>
      </w:r>
    </w:p>
    <w:p w:rsidR="00A31137" w:rsidRPr="00A31137" w:rsidRDefault="00A31137" w:rsidP="00A31137">
      <w:r w:rsidRPr="00A31137">
        <w:t>Notwithstanding the terse dismissals of these concerns in the opinions that support today's judgment, ante at ___ (opinion of STEVENS, J.); ante at ___ (opinion of BREYER, J.), we have recognized before now the important First Amendment values that attach to a political party's "freedom to identify the people who constitute the association, and to limit the association to those people only." Democratic Party of United States v. Wisconsin ex rel. La Follette, 450 U.S. 107, 122 (1981). These concerns would provide a sound basis for construing an ambiguous reference to the term "State" to avoid constitutional difficulties. See Miller v. Johnson, 515 U.S. ___, ___-___ (1995) (refusing to defer to Attorney General's interpretation of § 5 that raised equal protection concerns). Cf. Gregory v. Ashcroft, 501 U.S. 452, 460-464 (1991) (adopting plain statement rule with respect to statutory ambiguity that implicates Tenth Amendment concerns). Given the absence of any ambiguity in the statutory text before us, there is no basis for a grasping and implausible construction of the Act that brings these constitutional problems to the fore.</w:t>
      </w:r>
    </w:p>
    <w:p w:rsidR="00A31137" w:rsidRPr="00A31137" w:rsidRDefault="00A31137" w:rsidP="00A31137">
      <w:r w:rsidRPr="00A31137">
        <w:t>1996, Morse v. Republican Party of Virginia, No. 94-203</w:t>
      </w:r>
    </w:p>
    <w:p w:rsidR="00A31137" w:rsidRPr="00A31137" w:rsidRDefault="00A31137" w:rsidP="00A31137">
      <w:r w:rsidRPr="00A31137">
        <w:t>We are well advised to remember that Congress, too, can contribute in drawing the fine distinctions required in the balancing of associational and participatory rights. Cf. United States v. Lopez, 514 U.S. ___, ___ (1995) (KENNEDY, J., concurring) ("[I]t would be mistaken and mischievous for the political branches to forget that the sworn obligation to preserve and protect the Constitution in maintaining the federal balance is their own in the first and primary instance"). No such fine distinctions were attempted, I would submit, in this statute; if anything "strains credulity," ante at ___ (opinion of STEVENS, J.), it is that Congress meant to include the Democratic and Republican Parties when it used the simple word "State" in the Voting Rights Act.</w:t>
      </w:r>
    </w:p>
    <w:p w:rsidR="00A31137" w:rsidRPr="00A31137" w:rsidRDefault="00A31137" w:rsidP="00A31137">
      <w:r w:rsidRPr="00A31137">
        <w:t>1996, Morse v. Republican Party of Virginia, No. 94-203</w:t>
      </w:r>
    </w:p>
    <w:p w:rsidR="00A31137" w:rsidRPr="00A31137" w:rsidRDefault="00A31137" w:rsidP="00A31137">
      <w:r w:rsidRPr="00A31137">
        <w:t>The opinions supporting the judgment express concern that cases like Smith and Terry would not be covered by the Voting Rights Act were the interpretation adopted today to be rejected. To begin with, of course, we should note that the Voting Rights Act was not needed to invalidate the discrimination that occurred in those cases. The Constitution of its own force did that. What we confront here, instead, is a statutory scheme in which entities seeking preclearance must ask a political officer (the Attorney General of the United States) for permission to change various internal procedures. It is a far reach to suppose that Congress required this for ordinary party processes. The White Primary Cases involved ever-increasing efforts on the part of the State itself to camouflage discrimination in the guise of party activity. See ante at ___ (opinion of STEVENS, J.). There is no claim in this case that the Commonwealth's statutory policy of allowing the Republican Party (and any other political party that receives at least 10 percent of the vote in either of two preceding elections) the option to nominate by primary or convention, Va.Code Ann. § 24.2-509 (1993), is void on account of the Commonwealth's failure to preclear that policy in accordance with the requirements of § 5. Rather, the argument embraced today is that the Party itself acted in violation of § 5 by failing to preclear the $45 registration fee. We would face a much different case if a State, without first seeking § 5 preclearance, restructured its election laws in order to allow political parties the opportunity to practice unlawful discrimination in the nominating process. If, as seems likely, such a change constituted a</w:t>
      </w:r>
    </w:p>
    <w:p w:rsidR="00A31137" w:rsidRPr="00A31137" w:rsidRDefault="00A31137" w:rsidP="00A31137">
      <w:r w:rsidRPr="00A31137">
        <w:t>1996, Morse v. Republican Party of Virginia, No. 94-203</w:t>
      </w:r>
    </w:p>
    <w:p w:rsidR="00A31137" w:rsidRPr="00A31137" w:rsidRDefault="00A31137" w:rsidP="00A31137">
      <w:r w:rsidRPr="00A31137">
        <w:t>voting qualification or prerequisite to voting, or standard, practice, or procedure with respect to voting different from that in force or effect on November 1, 1964,</w:t>
      </w:r>
    </w:p>
    <w:p w:rsidR="00A31137" w:rsidRPr="00A31137" w:rsidRDefault="00A31137" w:rsidP="00A31137">
      <w:r w:rsidRPr="00A31137">
        <w:t>1996, Morse v. Republican Party of Virginia, No. 94-203</w:t>
      </w:r>
    </w:p>
    <w:p w:rsidR="00A31137" w:rsidRPr="00A31137" w:rsidRDefault="00A31137" w:rsidP="00A31137">
      <w:r w:rsidRPr="00A31137">
        <w:t>42 U.S.C. § 1973c, § 5 would require preclearance by the State. For this reason, appellants' counsel overstated the matter by arguing that if Congress intended to reach only States qua States, and not political parties, "the Voting Rights Act would have been strangled at its birth." Tr. of Oral Arg. 12.</w:t>
      </w:r>
    </w:p>
    <w:p w:rsidR="00A31137" w:rsidRPr="00A31137" w:rsidRDefault="00A31137" w:rsidP="00A31137">
      <w:r w:rsidRPr="00A31137">
        <w:t>1996, Morse v. Republican Party of Virginia, No. 94-203</w:t>
      </w:r>
    </w:p>
    <w:p w:rsidR="00A31137" w:rsidRPr="00A31137" w:rsidRDefault="00A31137" w:rsidP="00A31137">
      <w:r w:rsidRPr="00A31137">
        <w:t>Although Congress enacted § 5 to counteract the notorious history of attempts to evade the guarantees of equal treatment in voting, South Carolina v. Katzenbach, 383 U.S. 301, 327-328 (1966), that history does not give us license to expand the Act's coverage beyond the boundaries of the statutory text, Presley v. Etowah County Comm'n, 502 U.S. 491, 509 (1992). I would adhere to that text, which reflects a decided intent on Congress' part to reach governmental, not private, entities. With respect, I dissent.</w:t>
      </w:r>
    </w:p>
    <w:p w:rsidR="00A31137" w:rsidRPr="00A31137" w:rsidRDefault="00A31137" w:rsidP="00A31137">
      <w:r w:rsidRPr="00A31137">
        <w:t>THOMAS, J., dissenting</w:t>
      </w:r>
    </w:p>
    <w:p w:rsidR="00A31137" w:rsidRPr="00A31137" w:rsidRDefault="00A31137" w:rsidP="00A31137">
      <w:r w:rsidRPr="00A31137">
        <w:t>1996, Morse v. Republican Party of Virginia, No. 94-203</w:t>
      </w:r>
    </w:p>
    <w:p w:rsidR="00A31137" w:rsidRPr="00A31137" w:rsidRDefault="00A31137" w:rsidP="00A31137">
      <w:r w:rsidRPr="00A31137">
        <w:t>JUSTICE THOMAS, with whom THE CHIEF JUSTICE and JUSTICE SCALIA join, and with whom JUSTICE KENNEDY joins in Part II, dissenting.</w:t>
      </w:r>
    </w:p>
    <w:p w:rsidR="00A31137" w:rsidRPr="00A31137" w:rsidRDefault="00A31137" w:rsidP="00A31137">
      <w:r w:rsidRPr="00A31137">
        <w:t>1996, Morse v. Republican Party of Virginia, No. 94-203</w:t>
      </w:r>
    </w:p>
    <w:p w:rsidR="00A31137" w:rsidRPr="00A31137" w:rsidRDefault="00A31137" w:rsidP="00A31137">
      <w:r w:rsidRPr="00A31137">
        <w:t>Two discrete questions of statutory interpretation control appellants' claim under § 5 of the Voting Rights Act: whether the Republican Party of Virginia is a "State or political subdivision" and, if so, whether the fee imposed upon its conventioneers constitutes a procedure "with respect to voting." 42 U.S.C. § 1973c (1988 ed.). The plain meaning of the Voting Rights Act mandates a negative answer to both of these questions. The text of the Act also forecloses the availability of a private cause of action under § 10. I therefore dissent.</w:t>
      </w:r>
    </w:p>
    <w:p w:rsidR="00A31137" w:rsidRPr="00A31137" w:rsidRDefault="00A31137" w:rsidP="00A31137">
      <w:r w:rsidRPr="00A31137">
        <w:t>I</w:t>
      </w:r>
    </w:p>
    <w:p w:rsidR="00A31137" w:rsidRPr="00A31137" w:rsidRDefault="00A31137" w:rsidP="00A31137">
      <w:r w:rsidRPr="00A31137">
        <w:t>A</w:t>
      </w:r>
    </w:p>
    <w:p w:rsidR="00A31137" w:rsidRPr="00A31137" w:rsidRDefault="00A31137" w:rsidP="00A31137">
      <w:r w:rsidRPr="00A31137">
        <w:t>1996, Morse v. Republican Party of Virginia, No. 94-203</w:t>
      </w:r>
    </w:p>
    <w:p w:rsidR="00A31137" w:rsidRPr="00A31137" w:rsidRDefault="00A31137" w:rsidP="00A31137">
      <w:r w:rsidRPr="00A31137">
        <w:t>Section 5 declares that, "[w]henever a State or political subdivision…shall enact or seek to administer" any change with respect to voting, it may not institute that change absent preclearance. 42 U.S.C. § 1973c (emphasis added). Only when a "State or political subdivision" promulgates new voting rules is § 5 even arguably implicated. See United States v. Sheffield Bd. of Comm'rs, 435 U.S. 110, 141 (1978) (STEVENS, J., dissenting) ("As a starting point, it is clear that [§ 5] applies only to actions taken by two types of political units—States or political subdivisions"). Thus, the first issue to be decided here is whether the Republican Party of Virginia is the type of entity that must comply with the preclearance requirement of § 5.</w:t>
      </w:r>
    </w:p>
    <w:p w:rsidR="00A31137" w:rsidRPr="00A31137" w:rsidRDefault="00A31137" w:rsidP="00A31137">
      <w:r w:rsidRPr="00A31137">
        <w:t>1996, Morse v. Republican Party of Virginia, No. 94-203</w:t>
      </w:r>
    </w:p>
    <w:p w:rsidR="00A31137" w:rsidRPr="00A31137" w:rsidRDefault="00A31137" w:rsidP="00A31137">
      <w:r w:rsidRPr="00A31137">
        <w:t>JUSTICE STEVENS does not directly address this threshold question of pure statutory interpretation. He begins with the Attorney General's regulation, rather than with the text of § 5 itself. Cf. Norfolk &amp; Western R. Co. v. Train Dispatchers, 499 U.S. 117, 128 (1991) ("As always, we begin with the language of the statute and ask whether Congress has spoken on the subject before us"). In my opinion, the Republican Party of Virginia is not a "State or political subdivision" within the meaning of § 5, and that statute is therefore not triggered in this case.</w:t>
      </w:r>
    </w:p>
    <w:p w:rsidR="00A31137" w:rsidRPr="00A31137" w:rsidRDefault="00A31137" w:rsidP="00A31137">
      <w:r w:rsidRPr="00A31137">
        <w:t>1</w:t>
      </w:r>
    </w:p>
    <w:p w:rsidR="00A31137" w:rsidRPr="00A31137" w:rsidRDefault="00A31137" w:rsidP="00A31137">
      <w:r w:rsidRPr="00A31137">
        <w:t>1996, Morse v. Republican Party of Virginia, No. 94-203</w:t>
      </w:r>
    </w:p>
    <w:p w:rsidR="00A31137" w:rsidRPr="00A31137" w:rsidRDefault="00A31137" w:rsidP="00A31137">
      <w:r w:rsidRPr="00A31137">
        <w:t>The Voting Rights Act provides no definition of the term "State." When words in a statute are not otherwise defined, it is fundamental that they "will be interpreted as taking their ordinary, contemporary, common meaning." Perrin v. United States, 444 U.S. 37, 42 (1979). The ordinary meaning of the word "State" does not encompass a partisan group such as the Republican Party of Virginia. Rather, that word—particularly when capitalized—is generally understood to mean one of the 50 constituent States of the Union. See Webster's New International Dictionary 82 (2d ed. 1957) (defining "State" as "any body of people occupying a definite territory and politically organized under one government, esp. one that is a sovereign, or not subject to external control;…Cf. commonwealth"). Indeed, it nearly belabors the point to explain that, in common parlance, "State" normally refers to a geographical unit of the United States, such as California or Massachusetts. Our own opinions in § 5 cases use the word in this natural fashion. See, e.g., United States v. Sheffield Bd. of Comm'rs, supra at 113 (section 5 "requires that States, like Alabama" preclear new voting rules) (emphasis added); Hadnott v. Amos, 394 U.S. 358, 365-366 (1969) (section 5 "provides that whenever States like Alabama seek to administer" voting changes, they must preclear) (emphasis added). Even JUSTICE STEVENS employs "State" in its usual sense. See ante at ___ ("Virginia is one of the seven States to which the § 4 coverage formula was found applicable….   The entire Commonwealth has been subject to the preclearance obligation in § 5 ever since") (emphasis added).</w:t>
      </w:r>
    </w:p>
    <w:p w:rsidR="00A31137" w:rsidRPr="00A31137" w:rsidRDefault="00A31137" w:rsidP="00A31137">
      <w:r w:rsidRPr="00A31137">
        <w:t>1996, Morse v. Republican Party of Virginia, No. 94-203</w:t>
      </w:r>
    </w:p>
    <w:p w:rsidR="00A31137" w:rsidRPr="00A31137" w:rsidRDefault="00A31137" w:rsidP="00A31137">
      <w:r w:rsidRPr="00A31137">
        <w:t>That the statutory term "State" should be applied in light of its ordinary meaning is reinforced by the Act's definition of the term "political subdivision." Section 14(c)(2) states that "'political subdivision' shall mean any county or parish," with certain exceptions not relevant here. 42 U.S.C. § 1973l(c)(2) (1988 ed.). As appellants' counsel explained at oral argument, the phrase "political subdivision" refers to "particular geographic regions" within a State, such as New York's Westchester County. Tr. of Oral Arg. 15-16. See also United States v. Sheffield Bd. of Comm'rs, supra at 128, n. 15 (section 14(c)(2) "obviously refer[s] to a geographic territory, and the usages of 'political subdivision' in the Act and the legislative history leave no doubt that it is in this sense that Congress used the term"). 1 Given that limited understanding of "political subdivision," it would be odd indeed if the term "State," which immediately precedes "political subdivision," did not have an analogous meaning. The terms "State" and "political subdivision" should both be construed to refer solely to the various territorial divisions within a larger unit of territorially defined government.</w:t>
      </w:r>
    </w:p>
    <w:p w:rsidR="00A31137" w:rsidRPr="00A31137" w:rsidRDefault="00A31137" w:rsidP="00A31137">
      <w:r w:rsidRPr="00A31137">
        <w:t>1996, Morse v. Republican Party of Virginia, No. 94-203</w:t>
      </w:r>
    </w:p>
    <w:p w:rsidR="00A31137" w:rsidRPr="00A31137" w:rsidRDefault="00A31137" w:rsidP="00A31137">
      <w:r w:rsidRPr="00A31137">
        <w:t>There is further statutory evidence to support this interpretation of "State." The Act elsewhere speaks of the "territory" of a State or political subdivision. See, e.g., § 1973b(a)(1)(F) (referring to "such State or political subdivision and all governmental units within its territory") (emphasis added). Political parties, of course, are made up not of land, but of people. It is nonsensical to talk of things existing "within [the] territory" of a political party. Also, the definitional section of the 1970 Extension of the Voting Rights Act, Pub. L. 91-285, 84 Stat. 316, indicates that Congress uses the word "State" in voting rights statutes to connote geographic territories, not political parties. See 42 U.S.C. § 1973aa-1(h) (defining, for purposes of § 202 of the Extension Act, "[t]he term 'State'" as "each of the several States and the District of Columbia").</w:t>
      </w:r>
    </w:p>
    <w:p w:rsidR="00A31137" w:rsidRPr="00A31137" w:rsidRDefault="00A31137" w:rsidP="00A31137">
      <w:r w:rsidRPr="00A31137">
        <w:t>1996, Morse v. Republican Party of Virginia, No. 94-203</w:t>
      </w:r>
    </w:p>
    <w:p w:rsidR="00A31137" w:rsidRPr="00A31137" w:rsidRDefault="00A31137" w:rsidP="00A31137">
      <w:r w:rsidRPr="00A31137">
        <w:t>A State, of course, cannot "enact or seek to administer" laws without resort to its governmental units. § 1973c. A State necessarily operates through its legislative, executive, and judicial bodies. When the legislature passes a law, or an administrative agency issues a policy directive, official action has unquestionably been taken in the name of the State. Accordingly, voting changes administered by such entities have been governed consistently by § 5. See, e.g., Allen v. State Bd. of Elections, 393 U.S. 544 (1969) (requiring preclearance of amendments to Mississippi Code enacted by state legislature and bulletin distributed by Virginia Board of Elections). See also United States v. Saint Landry Parish School Bd., 601 F.2d 859, 864, n. 8 (CA5 1979) ("The cases uniformly speak of § 5 as applying to 'enactments,' 'legislation,' 'regulations,' and 'laws'—all actions taken by the governmental authority of state"). Unlike the Virginia General Assembly, however, the Republican Party of Virginia is not an organ of the State through which the State must conduct its affairs, and the Party has no authority to formulate state law. The Party's promulgations thus cannot be within § 5's reach of "any state enactment which alter[s] the election law of a covered State." Allen v. State Bd. of Elections, supra at  566 (quoted ante at ___).</w:t>
      </w:r>
    </w:p>
    <w:p w:rsidR="00A31137" w:rsidRPr="00A31137" w:rsidRDefault="00A31137" w:rsidP="00A31137">
      <w:r w:rsidRPr="00A31137">
        <w:t>1996, Morse v. Republican Party of Virginia, No. 94-203</w:t>
      </w:r>
    </w:p>
    <w:p w:rsidR="00A31137" w:rsidRPr="00A31137" w:rsidRDefault="00A31137" w:rsidP="00A31137">
      <w:r w:rsidRPr="00A31137">
        <w:t>Although JUSTICE STEVENS points to past preclearance submissions as evidence that § 5 covers political parties, ante at ___, n. 18, those submissions are largely irrelevant to the meaning of § 5. It should come as no surprise that once the Attorney General promulgated a regulation expressly covering political parties, 28 CFR § 51.7 (effective Jan. 5, 1981), some of those organizations requested preclearance and the Justice Department processed their requests. Tellingly, JUSTICE STEVENS is able to cite only a handful of party submissions that predate the Attorney General's regulation. 2 This fact confirms what common sense instructs: most people who read § 5 simply would not think that the word "State" embraces political parties. This common sense understanding also explains why virtually every one of this Court's § 5 cases has involved a challenge to, or a request for approval of, action undertaken by a State or a unit of state government. 3</w:t>
      </w:r>
    </w:p>
    <w:p w:rsidR="00A31137" w:rsidRPr="00A31137" w:rsidRDefault="00A31137" w:rsidP="00A31137">
      <w:r w:rsidRPr="00A31137">
        <w:t>1996, Morse v. Republican Party of Virginia, No. 94-203</w:t>
      </w:r>
    </w:p>
    <w:p w:rsidR="00A31137" w:rsidRPr="00A31137" w:rsidRDefault="00A31137" w:rsidP="00A31137">
      <w:r w:rsidRPr="00A31137">
        <w:t>In light of the plain meaning of the phrase "State or political subdivision," I see no reason to defer to the Attorney General's regulation interpreting that statute to cover political parties. See 28 CFR § 51.7 (1995). Though the Party has not challenged the validity of the regulation, it hardly follows that this Court is bound to accept it as authoritative. We defer to the Attorney General on statutory matters within her authority "only if Congress has not expressed its intent with respect to the question, and then only if the administrative interpretation is reasonable." Presley v. Etowah County Comm'n, 502 U.S. 491, 508 (1992). As explained, § 5 on its face resolves the question whether political parties are subject to the preclearance rule of § 5: a political party is simply not a "State," regardless of the particular activity in which it might be engaging. Congress has conveyed its intent to limit § 5 to the States themselves and their political subdivisions. Accordingly, the regulation warrants no judicial deference. Cf. id. at 508-509 (declining to defer to Attorney General's construction of § 5). 4</w:t>
      </w:r>
    </w:p>
    <w:p w:rsidR="00A31137" w:rsidRPr="00A31137" w:rsidRDefault="00A31137" w:rsidP="00A31137">
      <w:r w:rsidRPr="00A31137">
        <w:t>1996, Morse v. Republican Party of Virginia, No. 94-203</w:t>
      </w:r>
    </w:p>
    <w:p w:rsidR="00A31137" w:rsidRPr="00A31137" w:rsidRDefault="00A31137" w:rsidP="00A31137">
      <w:r w:rsidRPr="00A31137">
        <w:t>My reading of § 5 is squarely supported by our only precedent on the applicability of § 5 to political parties, Williams v. Democratic Party of Georgia, Civ. Action No. 16286 (ND Ga., Apr. 6, 1972), aff'd, 409 U.S. 809 (1972). Williams held, as a matter of "statutory construction," Civ. Action No. 16286 at 5, that § 5 does not apply to political parties. The District Court stated that "[t]he Act does not refer to actions by political parties but refers to actions by a 'State or political subdivision.'" Id. at 4. Though the District Court believed, based on legislative history, that Congress probably meant to include the election of party delegates under the Act, the court felt itself bound by the fact that § 5 addresses only actions of the State. This limitation was further evidenced, in the court's view, by § 5's provision that preclearance be sought by "the chief legal officer or other appropriate official of such State or subdivision." 42 U.S.C. § 1973c (1988 ed.). The District Court concluded that the State itself had "no connection" with the delegate selection process other than providing for the public filing of the rules for selection, and that, though the action of the Party might be "state action" in the constitutional sense, § 5 could not be read so broadly. Civ. Action No. 16286 at 5. Essential to the judgment of the District Court in Williams was the holding that § 5 does not encompass political parties. The affirmance of that holding, which is entitled to precedential weight, is instructive here. 5</w:t>
      </w:r>
    </w:p>
    <w:p w:rsidR="00A31137" w:rsidRPr="00A31137" w:rsidRDefault="00A31137" w:rsidP="00A31137">
      <w:r w:rsidRPr="00A31137">
        <w:t>1996, Morse v. Republican Party of Virginia, No. 94-203</w:t>
      </w:r>
    </w:p>
    <w:p w:rsidR="00A31137" w:rsidRPr="00A31137" w:rsidRDefault="00A31137" w:rsidP="00A31137">
      <w:r w:rsidRPr="00A31137">
        <w:t>Contrary to the suggestion of JUSTICE STEVENS, United States v. Sheffield Bd. of Comm'rs, 435 U.S. 110 (1978), does not support the contention that the Republican Party of Virginia is subject to § 5. See ante at ___. The precise question presented in that case was whether § 5 required the city of Sheffield, Alabama, to preclear a voting change. The controversy arose because § 14(c)(2) of the Act defines "political subdivision" as a county or parish,</w:t>
      </w:r>
    </w:p>
    <w:p w:rsidR="00A31137" w:rsidRPr="00A31137" w:rsidRDefault="00A31137" w:rsidP="00A31137">
      <w:r w:rsidRPr="00A31137">
        <w:t>1996, Morse v. Republican Party of Virginia, No. 94-203</w:t>
      </w:r>
    </w:p>
    <w:p w:rsidR="00A31137" w:rsidRPr="00A31137" w:rsidRDefault="00A31137" w:rsidP="00A31137">
      <w:r w:rsidRPr="00A31137">
        <w:t>except that where registration for voting is not conducted under the supervision of a county or parish, the term shall include any other subdivision of a State which conducts registration for voting.</w:t>
      </w:r>
    </w:p>
    <w:p w:rsidR="00A31137" w:rsidRPr="00A31137" w:rsidRDefault="00A31137" w:rsidP="00A31137">
      <w:r w:rsidRPr="00A31137">
        <w:t>1996, Morse v. Republican Party of Virginia, No. 94-203</w:t>
      </w:r>
    </w:p>
    <w:p w:rsidR="00A31137" w:rsidRPr="00A31137" w:rsidRDefault="00A31137" w:rsidP="00A31137">
      <w:r w:rsidRPr="00A31137">
        <w:t>42 U.S.C. § 1973l(c)(2) (1988 ed.). Notwithstanding the facts that the city was not a county or parish and that it did not register voters, the Court concluded that the city was subject to the preclearance requirement of § 5. The essence of Sheffield's rationale was that, because the entire State of Alabama was designated for coverage pursuant to § 4(b), the city of Sheffield was covered by § 5 because it was a "political unit" (though not a "political subdivision") within Alabama. 435 U.S. at 127-128.</w:t>
      </w:r>
    </w:p>
    <w:p w:rsidR="00A31137" w:rsidRPr="00A31137" w:rsidRDefault="00A31137" w:rsidP="00A31137">
      <w:r w:rsidRPr="00A31137">
        <w:t>1996, Morse v. Republican Party of Virginia, No. 94-203</w:t>
      </w:r>
    </w:p>
    <w:p w:rsidR="00A31137" w:rsidRPr="00A31137" w:rsidRDefault="00A31137" w:rsidP="00A31137">
      <w:r w:rsidRPr="00A31137">
        <w:t>Whether or not Sheffield was correct as an original matter, it stands at most, for the proposition that a local unit of government, like a city, may be considered the "State" for purposes of § 5: "[Section] 5…applies territorially, and includes political units like Sheffield whether or not they conduct voter registration." Id. at 130. In accordance with that proposition, we have applied Sheffield to find coverage of other types of governmental bodies under § 5. See, e.g., Dougherty County Bd. of Ed. v. White, 439 U.S. 32, 45 (1978) (finding § 5 coverage of county school board under Sheffield and noting that "[i]f only those governmental units with official electoral obligations actuate the preclearance requirements of § 5," the purposes of the Act could be undermined) (emphasis added). But we have never applied Sheffield to find a nongovernmental organization to be within the scope of § 5. This is because Sheffield says little about the question whether a group that does not operate in the name of the State, or in the name of any governmental unit of a State, must comply with § 5. If anything, Sheffield suggests, with respect to this case, that a political party is not so obligated, because a political party is quite plainly neither a territorial division of a State nor a governmental unit acting on behalf of any such territory.</w:t>
      </w:r>
    </w:p>
    <w:p w:rsidR="00A31137" w:rsidRPr="00A31137" w:rsidRDefault="00A31137" w:rsidP="00A31137">
      <w:r w:rsidRPr="00A31137">
        <w:t>1996, Morse v. Republican Party of Virginia, No. 94-203</w:t>
      </w:r>
    </w:p>
    <w:p w:rsidR="00A31137" w:rsidRPr="00A31137" w:rsidRDefault="00A31137" w:rsidP="00A31137">
      <w:r w:rsidRPr="00A31137">
        <w:t>Undoubtedly, Sheffield speaks in broad terms when it states that § 5</w:t>
      </w:r>
    </w:p>
    <w:p w:rsidR="00A31137" w:rsidRPr="00A31137" w:rsidRDefault="00A31137" w:rsidP="00A31137">
      <w:r w:rsidRPr="00A31137">
        <w:t>1996, Morse v. Republican Party of Virginia, No. 94-203</w:t>
      </w:r>
    </w:p>
    <w:p w:rsidR="00A31137" w:rsidRPr="00A31137" w:rsidRDefault="00A31137" w:rsidP="00A31137">
      <w:r w:rsidRPr="00A31137">
        <w:t>applies to all entities having power over any aspect of the electoral process within designated jurisdictions, not only to counties or to whatever units of state government perform the function of registering voters.</w:t>
      </w:r>
    </w:p>
    <w:p w:rsidR="00A31137" w:rsidRPr="00A31137" w:rsidRDefault="00A31137" w:rsidP="00A31137">
      <w:r w:rsidRPr="00A31137">
        <w:t>1996, Morse v. Republican Party of Virginia, No. 94-203</w:t>
      </w:r>
    </w:p>
    <w:p w:rsidR="00A31137" w:rsidRPr="00A31137" w:rsidRDefault="00A31137" w:rsidP="00A31137">
      <w:r w:rsidRPr="00A31137">
        <w:t>435 U.S. at 118 (quoted ante at ___). That language must be viewed in the context of the case, however. The holding of Sheffield applies only to governmental bodies within a State—i.e., cities, counties, or municipalities, and their agencies—not to private groups with a partisan, or "political," agenda. See, e.g, Sheffield, 435 U.S. at 117 ("We first consider whether Congress intended to exclude from § 5 coverage political units, like Sheffield, which have never conducted voter registration"); id. at 124 ("Congress could not have intended § 5's duties to apply only to those cities that register voters"); ibid. ("local political entities like Sheffield" can impair minority votes in ways other than registration) (all emphases added). In the legislative history Sheffield cites as support for its holding that "political units" are covered regardless of whether they register voters, every entity mentioned is a governmental one. See id. at 133-134 (cities; school districts; city councils; precincts; county districts; and municipalities). There is no basis in Sheffield and its progeny for covering nongovernmental entities under § 5.</w:t>
      </w:r>
    </w:p>
    <w:p w:rsidR="00A31137" w:rsidRPr="00A31137" w:rsidRDefault="00A31137" w:rsidP="00A31137">
      <w:r w:rsidRPr="00A31137">
        <w:t>1996, Morse v. Republican Party of Virginia, No. 94-203</w:t>
      </w:r>
    </w:p>
    <w:p w:rsidR="00A31137" w:rsidRPr="00A31137" w:rsidRDefault="00A31137" w:rsidP="00A31137">
      <w:r w:rsidRPr="00A31137">
        <w:t>Nonetheless, there is a critical similarity between this case and Sheffield. Just as in Sheffield, the Court has inflated the phrase "State or political subdivision" to implausible proportions. The dissent in Sheffield warned that "the logistical and administrative problems inherent in reviewing all voting changes of all political units strongly suggest that Congress placed limits on the preclearance requirement." 435 U.S. at 147 (STEVENS, J., dissenting). Today, the Justices that support the judgment go much further and require all "established" political parties, ante at ___, in designated States to preclear all changes "'affecting voting.'" Ante at ___. See also ante at ___ (BREYER, J.) (suggesting that political groups that receive state law preferences in access to, and placement on, the ballot must preclear "voting-related" changes). As the Solicitor General candidly acknowledged, an "affecting voting" or "voting-related" rule cannot be limited to practices administered at conventions; it logically extends to practices at all local mass meetings that precede conventions. See Brief for United States as Amicus Curiae 20, n. 11. And almost all activity that occurs at a nominating convention theoretically affects voting; indeed, JUSTICE STEVENS is unable to articulate any principled dividing line between that which does and does not relate to voting at a convention. See ante at ___. Thus, today's decision will increase exponentially the number of preclearance requests, for even the most innocuous changes, that the Attorney General must process within a statutorily limited amount of time. See 42 U.S.C. § 1973c (1988 ed.) (60 days).</w:t>
      </w:r>
    </w:p>
    <w:p w:rsidR="00A31137" w:rsidRPr="00A31137" w:rsidRDefault="00A31137" w:rsidP="00A31137">
      <w:r w:rsidRPr="00A31137">
        <w:t>1996, Morse v. Republican Party of Virginia, No. 94-203</w:t>
      </w:r>
    </w:p>
    <w:p w:rsidR="00A31137" w:rsidRPr="00A31137" w:rsidRDefault="00A31137" w:rsidP="00A31137">
      <w:r w:rsidRPr="00A31137">
        <w:t>[I]t is certainly reasonable to believe that Congress, having placed a strict time limit on the Attorney General's consideration of submissions, also deliberately placed a limit on the number and importance of the submissions themselves. This result was achieved by restricting the reach of § 5 to enactments of either the States themselves or their political subdivisions.</w:t>
      </w:r>
    </w:p>
    <w:p w:rsidR="00A31137" w:rsidRPr="00A31137" w:rsidRDefault="00A31137" w:rsidP="00A31137">
      <w:r w:rsidRPr="00A31137">
        <w:t>1996, Morse v. Republican Party of Virginia, No. 94-203</w:t>
      </w:r>
    </w:p>
    <w:p w:rsidR="00A31137" w:rsidRPr="00A31137" w:rsidRDefault="00A31137" w:rsidP="00A31137">
      <w:r w:rsidRPr="00A31137">
        <w:t>Sheffield, 435 U.S. at 148 (STEVENS, J., dissenting). That the inclusion of political parties under § 5 demeans the preclearance regime and so drastically increases its scope substantially undermines the possibility that Congress intended parties to preclear.</w:t>
      </w:r>
    </w:p>
    <w:p w:rsidR="00A31137" w:rsidRPr="00A31137" w:rsidRDefault="00A31137" w:rsidP="00A31137">
      <w:r w:rsidRPr="00A31137">
        <w:t>1996, Morse v. Republican Party of Virginia, No. 94-203</w:t>
      </w:r>
    </w:p>
    <w:p w:rsidR="00A31137" w:rsidRPr="00A31137" w:rsidRDefault="00A31137" w:rsidP="00A31137">
      <w:r w:rsidRPr="00A31137">
        <w:t>Without so much as a nod to the explicit "State or political subdivision" limitation in § 5, JUSTICE STEVENS substitutes the administrative regulation as the analytical starting point in this case. See ante at ___. He apparently does so because the Party failed to challenge the regulation and its counsel stated at oral argument that § 5 could sometimes encompass political parties. See ante at ___, n. 32, ___, n. 35. We did not take this case to review the District Court's application of the regulation based on the facts of this case, but to decide whether "[§ ]5 of the Voting Rights Act of 1965 require[s] preclearance of a political party's decision…to impose" a fee on conventiongoers. Juris. Statement i. Consequently, appellants and the Government argued that the Party was covered as a "State" under § 5, see infra, n. 7, and the Party maintained that § 5 "requires action by a State or political subdivision." Brief for Appellees 29. See also id. at 30 ("A political party is not a subdivision or instrumentality of the government [under Sheffield]"). JUSTICE STEVENS and JUSTICE BREYER address the question presented, however, only in the course of dismissing the dissents' arguments, and after they reach their respective conclusions.</w:t>
      </w:r>
    </w:p>
    <w:p w:rsidR="00A31137" w:rsidRPr="00A31137" w:rsidRDefault="00A31137" w:rsidP="00A31137">
      <w:r w:rsidRPr="00A31137">
        <w:t>1996, Morse v. Republican Party of Virginia, No. 94-203</w:t>
      </w:r>
    </w:p>
    <w:p w:rsidR="00A31137" w:rsidRPr="00A31137" w:rsidRDefault="00A31137" w:rsidP="00A31137">
      <w:r w:rsidRPr="00A31137">
        <w:t>Furthermore, the tactical or legal error of a litigant cannot define the meaning of a federal statute. See generally Sibron v. New York, 392 U.S. 40 (1968). Our duty is to read the statute for ourselves. While the regulation may "unambiguously provid[e] that…a political party" must preclear, ante at ___, the statute does nothing of the sort, regardless of any submission by the Party. Accordingly, I would decide this case on the ground that the Republican Party of Virginia is not a "State" in the ordinary sense of the word. Its rules and policies should therefore not be subject to § 5. 6</w:t>
      </w:r>
    </w:p>
    <w:p w:rsidR="00A31137" w:rsidRPr="00A31137" w:rsidRDefault="00A31137" w:rsidP="00A31137">
      <w:r w:rsidRPr="00A31137">
        <w:t>2</w:t>
      </w:r>
    </w:p>
    <w:p w:rsidR="00A31137" w:rsidRPr="00A31137" w:rsidRDefault="00A31137" w:rsidP="00A31137">
      <w:r w:rsidRPr="00A31137">
        <w:t>1996, Morse v. Republican Party of Virginia, No. 94-203</w:t>
      </w:r>
    </w:p>
    <w:p w:rsidR="00A31137" w:rsidRPr="00A31137" w:rsidRDefault="00A31137" w:rsidP="00A31137">
      <w:r w:rsidRPr="00A31137">
        <w:t>To the limited extent that JUSTICE STEVENS and JUSTICE BREYER address the triggering language in § 5, they fail to explain adequately how it is that the Party could qualify as a "State or political subdivision" under the Act. By referring to the White Primary cases, however, they reveal the only conceivable basis in law for deeming the acts of the Party to be those of the State: the doctrine of state action, as developed under the Fourteenth and Fifteenth Amendments. 7 In attempting to establish the relevance of that constitutional doctrine to this statutory case, more by repetition than analysis, both opinions suggest that the meaning of the statutory term "State" in § 5 is necessarily coterminous with the constitutional doctrine of state action. See, ante at ___; ante at ___. I cannot agree.</w:t>
      </w:r>
    </w:p>
    <w:p w:rsidR="00A31137" w:rsidRPr="00A31137" w:rsidRDefault="00A31137" w:rsidP="00A31137">
      <w:r w:rsidRPr="00A31137">
        <w:t>1996, Morse v. Republican Party of Virginia, No. 94-203</w:t>
      </w:r>
    </w:p>
    <w:p w:rsidR="00A31137" w:rsidRPr="00A31137" w:rsidRDefault="00A31137" w:rsidP="00A31137">
      <w:r w:rsidRPr="00A31137">
        <w:t>The text of § 5 does not support this constitutional gloss. There is a marked contrast between the language of § 5 and other federal statutes that we have read to be coextensive with the constitutional doctrine of state action. Specifically, 42 U.S.C. § 1983 has been accorded a reach equivalent to that of the Fourteenth Amendment. See Lugar v. Edmondson Oil Co., 457 U.S. 922, 934-935 (1982); United States v. Price, 383 U.S. 787, 794, n. 7 (1966). That statute provides a cause of action against "[e]very person who, under color of any statute, ordinance, regulation, custom, or usage, of any State" deprives any citizen of federal constitutional or statutory rights. 42 U.S.C. § 1983 (1982 ed.). Section 1983's coverage reasonably extends beyond official enactments of the State, since it expressly provides for coverage of persons who act under authority of the State. If Congress intended to incorporate state action doctrine into § 5, one would expect § 5 to read more like § 1983. That is, it might require preclearance "whenever a State or political subdivision or any person acting under color of State law" seeks to enact voting changes. 8 But § 5 does not read like § 1983.</w:t>
      </w:r>
    </w:p>
    <w:p w:rsidR="00A31137" w:rsidRPr="00A31137" w:rsidRDefault="00A31137" w:rsidP="00A31137">
      <w:r w:rsidRPr="00A31137">
        <w:t>1996, Morse v. Republican Party of Virginia, No. 94-203</w:t>
      </w:r>
    </w:p>
    <w:p w:rsidR="00A31137" w:rsidRPr="00A31137" w:rsidRDefault="00A31137" w:rsidP="00A31137">
      <w:r w:rsidRPr="00A31137">
        <w:t>The Voting Rights Act does, in fact, contain precisely such language in a different section.</w:t>
      </w:r>
    </w:p>
    <w:p w:rsidR="00A31137" w:rsidRPr="00A31137" w:rsidRDefault="00A31137" w:rsidP="00A31137">
      <w:r w:rsidRPr="00A31137">
        <w:t>1996, Morse v. Republican Party of Virginia, No. 94-203</w:t>
      </w:r>
    </w:p>
    <w:p w:rsidR="00A31137" w:rsidRPr="00A31137" w:rsidRDefault="00A31137" w:rsidP="00A31137">
      <w:r w:rsidRPr="00A31137">
        <w:t>[W]here Congress includes particular language in one section of a statute but omits it in another section of the same Act, it is generally presumed that Congress acts intentionally and purposely in the disparate inclusion or exclusion.</w:t>
      </w:r>
    </w:p>
    <w:p w:rsidR="00A31137" w:rsidRPr="00A31137" w:rsidRDefault="00A31137" w:rsidP="00A31137">
      <w:r w:rsidRPr="00A31137">
        <w:t>1996, Morse v. Republican Party of Virginia, No. 94-203</w:t>
      </w:r>
    </w:p>
    <w:p w:rsidR="00A31137" w:rsidRPr="00A31137" w:rsidRDefault="00A31137" w:rsidP="00A31137">
      <w:r w:rsidRPr="00A31137">
        <w:t>Russello v. United States, 464 U.S. 16, 23 (1983) (internal quotation marks omitted). Section 11(a) of the Act provides that</w:t>
      </w:r>
    </w:p>
    <w:p w:rsidR="00A31137" w:rsidRPr="00A31137" w:rsidRDefault="00A31137" w:rsidP="00A31137">
      <w:r w:rsidRPr="00A31137">
        <w:t>1996, Morse v. Republican Party of Virginia, No. 94-203</w:t>
      </w:r>
    </w:p>
    <w:p w:rsidR="00A31137" w:rsidRPr="00A31137" w:rsidRDefault="00A31137" w:rsidP="00A31137">
      <w:r w:rsidRPr="00A31137">
        <w:t>[n]o person acting under color of law shall fail or refuse to permit any person to vote who is entitled to vote under any provision of [the Voting Rights Act and supplemental provisions] or is otherwise qualified to vote, or willfully fail or refuse to tabulate, count, and report such person's vote.</w:t>
      </w:r>
    </w:p>
    <w:p w:rsidR="00A31137" w:rsidRPr="00A31137" w:rsidRDefault="00A31137" w:rsidP="00A31137">
      <w:r w:rsidRPr="00A31137">
        <w:t>1996, Morse v. Republican Party of Virginia, No. 94-203</w:t>
      </w:r>
    </w:p>
    <w:p w:rsidR="00A31137" w:rsidRPr="00A31137" w:rsidRDefault="00A31137" w:rsidP="00A31137">
      <w:r w:rsidRPr="00A31137">
        <w:t>42 U.S.C. § 1973i(a) (1988 ed.) (emphasis added). See also § 1973i(b) ("No person, whether acting under color of law or otherwise, shall intimidate, threaten, or coerce, or attempt to intimidate, threaten, or coerce any person for voting or attempting to vote") (emphasis added). These provisions of the Act account for the very possibility that seems to motivate the Court's strained interpretation of § 5: that persons acting individually or as part of a group, as opposed to States or political subdivisions through their governmental bodies, will interfere with the right to vote.</w:t>
      </w:r>
    </w:p>
    <w:p w:rsidR="00A31137" w:rsidRPr="00A31137" w:rsidRDefault="00A31137" w:rsidP="00A31137">
      <w:r w:rsidRPr="00A31137">
        <w:t>1996, Morse v. Republican Party of Virginia, No. 94-203</w:t>
      </w:r>
    </w:p>
    <w:p w:rsidR="00A31137" w:rsidRPr="00A31137" w:rsidRDefault="00A31137" w:rsidP="00A31137">
      <w:r w:rsidRPr="00A31137">
        <w:t>I would not, therefore, accept the proposition that the constitutional doctrine of state action defines the breadth of the statutory term "State." Given the clarity of the word "State," together with the facts that Congress has traditionally encompassed the broad category of state action by using the phrase "under color of law," and has done so in other parts of this very Act, it is evident that Congress did not mean to incorporate state action doctrine in § 5.</w:t>
      </w:r>
    </w:p>
    <w:p w:rsidR="00A31137" w:rsidRPr="00A31137" w:rsidRDefault="00A31137" w:rsidP="00A31137">
      <w:r w:rsidRPr="00A31137">
        <w:t>3</w:t>
      </w:r>
    </w:p>
    <w:p w:rsidR="00A31137" w:rsidRPr="00A31137" w:rsidRDefault="00A31137" w:rsidP="00A31137">
      <w:r w:rsidRPr="00A31137">
        <w:t>1996, Morse v. Republican Party of Virginia, No. 94-203</w:t>
      </w:r>
    </w:p>
    <w:p w:rsidR="00A31137" w:rsidRPr="00A31137" w:rsidRDefault="00A31137" w:rsidP="00A31137">
      <w:r w:rsidRPr="00A31137">
        <w:t>Even indulging the argument that § 5's coverage extends to all activity that qualifies as state action for constitutional purposes, the Court's further assumption that the actions of the Party in this case are fairly attributable to the State is irreconcilable with our state action precedents. 9</w:t>
      </w:r>
    </w:p>
    <w:p w:rsidR="00A31137" w:rsidRPr="00A31137" w:rsidRDefault="00A31137" w:rsidP="00A31137">
      <w:r w:rsidRPr="00A31137">
        <w:t>1996, Morse v. Republican Party of Virginia, No. 94-203</w:t>
      </w:r>
    </w:p>
    <w:p w:rsidR="00A31137" w:rsidRPr="00A31137" w:rsidRDefault="00A31137" w:rsidP="00A31137">
      <w:r w:rsidRPr="00A31137">
        <w:t>JUSTICE STEVENS and JUSTICE BREYER are correct to suggest that, under the White Primary Cases—most notably Smith v. Allwright, 321 U.S. 649 (1944), and Terry v. Adams, 345 U.S. 461 (1953)—political parties may sometimes be characterized as state actors. Where they err, however, is in failing to recognize that the state action principle of those cases "does not reach to all forms of private political activity." Flagg Bros., Inc. v. Brooks, 436 U.S. 149,  158 (1978). Rather, it</w:t>
      </w:r>
    </w:p>
    <w:p w:rsidR="00A31137" w:rsidRPr="00A31137" w:rsidRDefault="00A31137" w:rsidP="00A31137">
      <w:r w:rsidRPr="00A31137">
        <w:t>1996, Morse v. Republican Party of Virginia, No. 94-203</w:t>
      </w:r>
    </w:p>
    <w:p w:rsidR="00A31137" w:rsidRPr="00A31137" w:rsidRDefault="00A31137" w:rsidP="00A31137">
      <w:r w:rsidRPr="00A31137">
        <w:t>encompasses only state-regulated elections or elections conducted by organizations which in practice produce "the uncontested choice of public officials."</w:t>
      </w:r>
    </w:p>
    <w:p w:rsidR="00A31137" w:rsidRPr="00A31137" w:rsidRDefault="00A31137" w:rsidP="00A31137">
      <w:r w:rsidRPr="00A31137">
        <w:t>1996, Morse v. Republican Party of Virginia, No. 94-203</w:t>
      </w:r>
    </w:p>
    <w:p w:rsidR="00A31137" w:rsidRPr="00A31137" w:rsidRDefault="00A31137" w:rsidP="00A31137">
      <w:r w:rsidRPr="00A31137">
        <w:t>Ibid. (quoting Terry, supra at  484 (Clark, J., concurring)). Thus, the White Primary Cases do not stand for the categorical rule that political parties are state actors, but only for the proposition that, in limited factual circumstances, a particular political party may be deemed an agent of the State.</w:t>
      </w:r>
    </w:p>
    <w:p w:rsidR="00A31137" w:rsidRPr="00A31137" w:rsidRDefault="00A31137" w:rsidP="00A31137">
      <w:r w:rsidRPr="00A31137">
        <w:t>1996, Morse v. Republican Party of Virginia, No. 94-203</w:t>
      </w:r>
    </w:p>
    <w:p w:rsidR="00A31137" w:rsidRPr="00A31137" w:rsidRDefault="00A31137" w:rsidP="00A31137">
      <w:r w:rsidRPr="00A31137">
        <w:t>This case is not governed by the state action principle enunciated in either Smith or Terry. Unlike the primary in Smith, the Republican Party of Virginia's convention was not a "'state-regulated electio[n]'" to which the doctrine of state action extends. Flagg Bros., Inc. v. Brooks, 436 U.S. at  158. As an initial matter, it is important to recognize that Smith is, on its face, limited to primary elections. That is, Smith requires a sufficient degree of state regulation that</w:t>
      </w:r>
    </w:p>
    <w:p w:rsidR="00A31137" w:rsidRPr="00A31137" w:rsidRDefault="00A31137" w:rsidP="00A31137">
      <w:r w:rsidRPr="00A31137">
        <w:t>1996, Morse v. Republican Party of Virginia, No. 94-203</w:t>
      </w:r>
    </w:p>
    <w:p w:rsidR="00A31137" w:rsidRPr="00A31137" w:rsidRDefault="00A31137" w:rsidP="00A31137">
      <w:r w:rsidRPr="00A31137">
        <w:t>the party which is required to follow these legislative directions [is made] an agency of the State insofar as it determines the participants in a primary election.</w:t>
      </w:r>
    </w:p>
    <w:p w:rsidR="00A31137" w:rsidRPr="00A31137" w:rsidRDefault="00A31137" w:rsidP="00A31137">
      <w:r w:rsidRPr="00A31137">
        <w:t>1996, Morse v. Republican Party of Virginia, No. 94-203</w:t>
      </w:r>
    </w:p>
    <w:p w:rsidR="00A31137" w:rsidRPr="00A31137" w:rsidRDefault="00A31137" w:rsidP="00A31137">
      <w:r w:rsidRPr="00A31137">
        <w:t>321 U.S. at  663 (emphasis added). In this case, the Party played no role in determining the participants in an election—whether primary, general, or special—but required persons who wished to attend its convention to pay a fee.</w:t>
      </w:r>
    </w:p>
    <w:p w:rsidR="00A31137" w:rsidRPr="00A31137" w:rsidRDefault="00A31137" w:rsidP="00A31137">
      <w:r w:rsidRPr="00A31137">
        <w:t>1996, Morse v. Republican Party of Virginia, No. 94-203</w:t>
      </w:r>
    </w:p>
    <w:p w:rsidR="00A31137" w:rsidRPr="00A31137" w:rsidRDefault="00A31137" w:rsidP="00A31137">
      <w:r w:rsidRPr="00A31137">
        <w:t>But, even assuming that the reasoning of Smith applies to conventions as well as actual elections, there is still insufficient state regulation in this case to find that "the party…[is] an agency of the State." Ibid. In Smith, the Party was compelled by statute to hold a primary and was subject to myriad laws governing the primary from start to finish. See id. at  653, n. 6, 662-663. By comparison, the amount and burden of the state regulation in this case pale. Appellants point to only two provisions of the Virginia Code that directly regulate nominating conventions. Section 24.2-510 imposes certain deadlines for the nomination of candidates by methods other than a primary. Va.Code Ann. § 24.2-510 (1993). And once a candidate is selected, § 24.2-511 requires that the party chairman certify the candidate to the State Board of Elections. Ibid. While § 24.2-509 permits parties to choose their own method of nomination, it is a purely permissive, not a mandatory, provision; the Party is not "required to follow [this] legislative directio[n]." Smith v. Allwright, 321 U.S. at  663. There exists no "statutory system for the selection of party nominees for inclusion on the general election ballot," ibid.; there are only a few relatively minor statutory requirements. In other words, when the Party holds its convention to select a candidate, it is Party, not State, machinery that is put in gear. Cf. United States v. Classic, 313 U.S. 299,  318 (1941). 10</w:t>
      </w:r>
    </w:p>
    <w:p w:rsidR="00A31137" w:rsidRPr="00A31137" w:rsidRDefault="00A31137" w:rsidP="00A31137">
      <w:r w:rsidRPr="00A31137">
        <w:t>1996, Morse v. Republican Party of Virginia, No. 94-203</w:t>
      </w:r>
    </w:p>
    <w:p w:rsidR="00A31137" w:rsidRPr="00A31137" w:rsidRDefault="00A31137" w:rsidP="00A31137">
      <w:r w:rsidRPr="00A31137">
        <w:t>Nor does coverage of the Party in this case "follo[w] directly from…Terry." Ante at ___. The three separate opinions that constituted the majority in that case contain little analysis of the state action question, and there was certainly no theory of state action upon which the majority agreed. See Flagg Bros., Inc. v. Brooks, 436 U.S. at  158, and n. 6. Consequently, the holding in Terry has since been rationalized in light of two unique factual predicates: (1) a candidate selection system that foreordained the winner of the general election; and (2) the participation of the State in the intentional evasion of the Constitution for the purpose of discrimination. See Edmonson v. Leesville Concrete Co., 500 U.S. 614, 625 (1991) ("The Jaybird candidate was certain to win the Democratic primary and the Democratic candidate was certain to win the general election"); Mobile v. Bolden, 446 U.S. 55,  64 (1980) (explaining Terry on grounds that "[t]he candidates chosen in the Jaybird primary…invariably won in the subsequent Democratic primary and in the general election" and that "there was agreement that the State was involved in the purposeful exclusion of Negroes from participation in the election process"). The nub of Terry was that the Jaybird primary was the de facto general election and that Texas consciously permitted it to serve as such; thus, the exclusion of blacks from that event violated the Fifteenth Amendment.</w:t>
      </w:r>
    </w:p>
    <w:p w:rsidR="00A31137" w:rsidRPr="00A31137" w:rsidRDefault="00A31137" w:rsidP="00A31137">
      <w:r w:rsidRPr="00A31137">
        <w:t>1996, Morse v. Republican Party of Virginia, No. 94-203</w:t>
      </w:r>
    </w:p>
    <w:p w:rsidR="00A31137" w:rsidRPr="00A31137" w:rsidRDefault="00A31137" w:rsidP="00A31137">
      <w:r w:rsidRPr="00A31137">
        <w:t>This case involves neither of the operative premises of Terry. First, there is no hint of state involvement in any purposeful evasion of the Constitution. No one—not the litigants, the Government, or the court below—has so much as suggested that the Party, in concert with the State, held a convention, rather than a primary, in order to avoid the constitutional ban on race-based discrimination. Nor has anyone implied that the Party had any intent to discriminate on the basis of race when it decided to charge a fee to cover the costs of the convention. 11 Second, it simply cannot be maintained that exclusion from the Party's 1994 convention was tantamount to exclusion from the general election. The fact that the Party's 1994 nominee for the U.S. Senate lost the general election is proof enough that the modern-day Republican Party in Virginia does not have the stranglehold on the political process that the Democratic Party of Texas had in the 1940's. 12 In short, this case is a far cry from Terry, and it does not fall within the bounds of state action delineated, albeit none too clearly, by Terry. 13</w:t>
      </w:r>
    </w:p>
    <w:p w:rsidR="00A31137" w:rsidRPr="00A31137" w:rsidRDefault="00A31137" w:rsidP="00A31137">
      <w:r w:rsidRPr="00A31137">
        <w:t>1996, Morse v. Republican Party of Virginia, No. 94-203</w:t>
      </w:r>
    </w:p>
    <w:p w:rsidR="00A31137" w:rsidRPr="00A31137" w:rsidRDefault="00A31137" w:rsidP="00A31137">
      <w:r w:rsidRPr="00A31137">
        <w:t>In any event, subsequent decisions of this Court have "carefully defined" the scope of Smith and Terry. Flagg Bros., Inc. v. Brooks, 436 U.S. at  158. As we have refined our state action jurisprudence, the White Primary Cases have come to stand for a relatively limited principle. When political parties discharge functions "traditionally performed" by and "'exclusively reserved to'" government, their actions are fairly attributable to the State. Ibid. (quoting Jackson v. Metropolitan Edison Co., 419 U.S. 345,  352 (1974)). See Edmonson v. Leesville Concrete Co., supra, at 621 (citing Terry as a case in which "the actor is performing a traditional governmental function"); Lugar v. Edmondson Oil Co., 457 U.S. at 939 (citing Terry as illustration of "the 'public function' test"). In Terry, the Jaybirds performed the traditional and exclusive state function of conducting what was, in effect, the actual election.</w:t>
      </w:r>
    </w:p>
    <w:p w:rsidR="00A31137" w:rsidRPr="00A31137" w:rsidRDefault="00A31137" w:rsidP="00A31137">
      <w:r w:rsidRPr="00A31137">
        <w:t>1996, Morse v. Republican Party of Virginia, No. 94-203</w:t>
      </w:r>
    </w:p>
    <w:p w:rsidR="00A31137" w:rsidRPr="00A31137" w:rsidRDefault="00A31137" w:rsidP="00A31137">
      <w:r w:rsidRPr="00A31137">
        <w:t>In applying the public function test, "our holdings have made clear that the relevant question is not simply whether a private group is serving a 'public function.'" Rendell-Baker v. Kohn, 457 U.S. 830,  842 (1982) (citation omitted). Instead, "[w]e have held that the question is whether the function performed has been 'traditionally the exclusive prerogative of the State.'" Ibid. As JUSTICE O'CONNOR explained the White Primary Cases, "the government functions in these cases had one thing in common: exclusivity." Edmonson v. Leesville Concrete Co., 500 U.S. at 640 (O'CONNOR, J., dissenting). Thus, in order to constitute state action under the public function test,</w:t>
      </w:r>
    </w:p>
    <w:p w:rsidR="00A31137" w:rsidRPr="00A31137" w:rsidRDefault="00A31137" w:rsidP="00A31137">
      <w:r w:rsidRPr="00A31137">
        <w:t>1996, Morse v. Republican Party of Virginia, No. 94-203</w:t>
      </w:r>
    </w:p>
    <w:p w:rsidR="00A31137" w:rsidRPr="00A31137" w:rsidRDefault="00A31137" w:rsidP="00A31137">
      <w:r w:rsidRPr="00A31137">
        <w:t>private conduct must not only comprise something that the government traditionally does, but something that only the government traditionally does.</w:t>
      </w:r>
    </w:p>
    <w:p w:rsidR="00A31137" w:rsidRPr="00A31137" w:rsidRDefault="00A31137" w:rsidP="00A31137">
      <w:r w:rsidRPr="00A31137">
        <w:t>1996, Morse v. Republican Party of Virginia, No. 94-203</w:t>
      </w:r>
    </w:p>
    <w:p w:rsidR="00A31137" w:rsidRPr="00A31137" w:rsidRDefault="00A31137" w:rsidP="00A31137">
      <w:r w:rsidRPr="00A31137">
        <w:t>Ibid.</w:t>
      </w:r>
    </w:p>
    <w:p w:rsidR="00A31137" w:rsidRPr="00A31137" w:rsidRDefault="00A31137" w:rsidP="00A31137">
      <w:r w:rsidRPr="00A31137">
        <w:t>1996, Morse v. Republican Party of Virginia, No. 94-203</w:t>
      </w:r>
    </w:p>
    <w:p w:rsidR="00A31137" w:rsidRPr="00A31137" w:rsidRDefault="00A31137" w:rsidP="00A31137">
      <w:r w:rsidRPr="00A31137">
        <w:t>The Party's selection of a candidate at the convention does not satisfy that test. As we stated in Flagg Bros., Inc. v. Brooks, "the Constitution protects private rights of association and advocacy with regard to the election of public officials," and it is only "the conduct of the elections themselves [that] is an exclusively public function." 436 U.S. at  158 (citing Terry). Thus, we have carefully distinguished the "conduct" of an election by the State from the exercise of private political rights within that state-created framework. Providing an orderly and fair process for the selection of public officers is a classic exclusive state function. As the Constitution itself evidences, the organization of the electoral process has been carried out by States since the founding:</w:t>
      </w:r>
    </w:p>
    <w:p w:rsidR="00A31137" w:rsidRPr="00A31137" w:rsidRDefault="00A31137" w:rsidP="00A31137">
      <w:r w:rsidRPr="00A31137">
        <w:t>1996, Morse v. Republican Party of Virginia, No. 94-203</w:t>
      </w:r>
    </w:p>
    <w:p w:rsidR="00A31137" w:rsidRPr="00A31137" w:rsidRDefault="00A31137" w:rsidP="00A31137">
      <w:r w:rsidRPr="00A31137">
        <w:t>The Times, Places and Manner of holding Elections for Senators and Representatives, shall be prescribed in each State by the Legislature thereof.</w:t>
      </w:r>
    </w:p>
    <w:p w:rsidR="00A31137" w:rsidRPr="00A31137" w:rsidRDefault="00A31137" w:rsidP="00A31137">
      <w:r w:rsidRPr="00A31137">
        <w:t>1996, Morse v. Republican Party of Virginia, No. 94-203</w:t>
      </w:r>
    </w:p>
    <w:p w:rsidR="00A31137" w:rsidRPr="00A31137" w:rsidRDefault="00A31137" w:rsidP="00A31137">
      <w:r w:rsidRPr="00A31137">
        <w:t>U.S.Const., Art. I, § 4, cl. 1.</w:t>
      </w:r>
    </w:p>
    <w:p w:rsidR="00A31137" w:rsidRPr="00A31137" w:rsidRDefault="00A31137" w:rsidP="00A31137">
      <w:r w:rsidRPr="00A31137">
        <w:t>1996, Morse v. Republican Party of Virginia, No. 94-203</w:t>
      </w:r>
    </w:p>
    <w:p w:rsidR="00A31137" w:rsidRPr="00A31137" w:rsidRDefault="00A31137" w:rsidP="00A31137">
      <w:r w:rsidRPr="00A31137">
        <w:t>By contrast, convening the members of a political association in order to select the person who can best represent and advance the group's goals is not, and historically never has been, the province of the State—much less its exclusive province. The selection of a party candidate is not the type of function, such as eminent domain, that is "traditionally associated with sovereignty." Jackson v. Metropolitan Edison Co., 419 U.S. at  353. Cf. San Francisco Arts &amp; Athletics, Inc. v. United States Olympic Comm., 483 U.S. 522, 545 (1987) (holding that United States Olympic Committee is not a state actor because "[n]either the conduct nor the coordination of amateur sports has been a traditional governmental function"); Blum v. Yaretsky, 457 U.S. 991, 1011-1012 (1982) (holding that nursing home is not a state actor in part because provision of nursing home services is not a traditional and exclusive sovereign function); Edmonson v. Leesville Concrete Co., 500 U.S. at 638-641 (O'CONNOR, J., dissenting) (arguing that exercise of peremptory strikes by litigants in state court is not a government function but a matter of private choice). Though States often limit ballot access to persons who are official party nominees or who meet the requirements for independent candidates, see, e.g., Storer v. Brown, 415 U.S. 724 (1974), no State to my knowledge has ever held a convention in order to designate a political party's nominee for public office. Indeed, it would subvert the very purpose of democracy if the State possessed sole control over the identification of candidates for elective office. I therefore fail to see how the selection of a party's candidate for United States Senator is a public electoral function. Cf. ante at ___. 14</w:t>
      </w:r>
    </w:p>
    <w:p w:rsidR="00A31137" w:rsidRPr="00A31137" w:rsidRDefault="00A31137" w:rsidP="00A31137">
      <w:r w:rsidRPr="00A31137">
        <w:t>1996, Morse v. Republican Party of Virginia, No. 94-203</w:t>
      </w:r>
    </w:p>
    <w:p w:rsidR="00A31137" w:rsidRPr="00A31137" w:rsidRDefault="00A31137" w:rsidP="00A31137">
      <w:r w:rsidRPr="00A31137">
        <w:t>In asking whether the Party acted under authority of the State in selecting its nominee at the convention, the Court emphasizes that Virginia automatically grants ballot access to the nominees of political parties, as defined by statute. See ante at ___; ante at ___. It does not follow from that fact, however, that "the Party exercised delegated state power when it certified its nominee for automatic placement on Virginia's general election ballot." Ante at ___. The formulation of rules for deciding which individuals enjoy sufficient public support to warrant placement on the ballot, and the actual placement of those candidates on the ballot, are indeed part of the traditional power of the States to manage elections. See Burdick v. Takushi, 504 U.S. 428, 433 (1992). But these criteria are established exclusively and definitively by the State of Virginia—not the Party—in the Virginia Code. See Va.Code Ann. §§ 24.2-101, 24.2-511 (1993) (providing ballot access for certified nominees of organizations of Virginia citizens that receive, in either of the last two statewide general elections at least 10 percent of the total votes cast). JUSTICE STEVENS is flatly wrong when he asserts that political parties in Virginia "are effectively granted the power to enact their own qualifications for placement of candidates on the ballot." Ante at ___. Also, it is the Commonwealth of Virginia, not the Party itself, that has eliminated the Party's need to present a petition in support of its candidate. Cf. ante at ___; Va.Code Ann. § 24.2-511(D) (1993) ("No further notice of candidacy or petition shall be required of a candidate once the party chairman has certified his name to the State Board [of Elections]"). The Party has no control over the qualifications that determine "who may appear on the ballot." Ante at ___.</w:t>
      </w:r>
    </w:p>
    <w:p w:rsidR="00A31137" w:rsidRPr="00A31137" w:rsidRDefault="00A31137" w:rsidP="00A31137">
      <w:r w:rsidRPr="00A31137">
        <w:t>1996, Morse v. Republican Party of Virginia, No. 94-203</w:t>
      </w:r>
    </w:p>
    <w:p w:rsidR="00A31137" w:rsidRPr="00A31137" w:rsidRDefault="00A31137" w:rsidP="00A31137">
      <w:r w:rsidRPr="00A31137">
        <w:t>What the Party does determine is something entirely distinct from the rules for ballot access, but which the Court fails to distinguish: the identity of the person who shall be entitled under state law, as the Party's nominee, to placement on the ballot by the State. In making that determination, the Party sets the "qualifications" necessary for the selection of its candidate. Though the Court conflates these two sets of criteria, the Party's standards for choosing its candidate are wholly separate from the State's standards for ballot access, as set forth in §§ 24.2-101 and 24.2-511 of the Virginia Code. When the Party picks a candidate according to its own partisan criteria, it does not act on behalf of the State. Whatever the reason the Party chooses its nominee, "it is not the government's reason." Edmonson v. Leesville Concrete Co., 500 U.S. at 638 (O'CONNOR, J., dissenting). In sum, the selection of a party nominee "forms no part of the government's responsibility" in regulating an election. Id. at 639.</w:t>
      </w:r>
    </w:p>
    <w:p w:rsidR="00A31137" w:rsidRPr="00A31137" w:rsidRDefault="00A31137" w:rsidP="00A31137">
      <w:r w:rsidRPr="00A31137">
        <w:t>1996, Morse v. Republican Party of Virginia, No. 94-203</w:t>
      </w:r>
    </w:p>
    <w:p w:rsidR="00A31137" w:rsidRPr="00A31137" w:rsidRDefault="00A31137" w:rsidP="00A31137">
      <w:r w:rsidRPr="00A31137">
        <w:t>To be sure, the Party takes advantage of favorable state law when it certifies its candidate for automatic placement on the ballot. See ante at ___, and n. 13; ante at ___. Nevertheless, according to our state action cases, that is no basis for treating the Party as the State. The State's conferral of benefits upon an entity—even so great a benefit as monopoly status—is insufficient to convert the entity into a state actor. See Jackson v. Metropolitan Edison, 419 U.S. at 351-352. 15 If appellants believe that the State has created an unfair electoral system by granting parties automatic access to the ballot, the proper course of action is to bring suit against the appropriate state official and challenge the ballot-access statute itself, see, e.g., Burdick v. Takushi, supra, not to bring a preclearance suit against the Party and contest the registration fee. If the State sought to enact or administer a law limiting ballot access to only one group, as JUSTICE STEVENS repeatedly hypothesizes, see, e.g., ante at ___, state action would most likely exist, and that law would be subject to § 5 and those provisions of the Constitution that impose restrictions on the States.</w:t>
      </w:r>
    </w:p>
    <w:p w:rsidR="00A31137" w:rsidRPr="00A31137" w:rsidRDefault="00A31137" w:rsidP="00A31137">
      <w:r w:rsidRPr="00A31137">
        <w:t>1996, Morse v. Republican Party of Virginia, No. 94-203</w:t>
      </w:r>
    </w:p>
    <w:p w:rsidR="00A31137" w:rsidRPr="00A31137" w:rsidRDefault="00A31137" w:rsidP="00A31137">
      <w:r w:rsidRPr="00A31137">
        <w:t>As for the point that Virginia allows the Party to choose its method of nomination, that fact does not warrant a finding of state action either. We have made it clear that an organization's</w:t>
      </w:r>
    </w:p>
    <w:p w:rsidR="00A31137" w:rsidRPr="00A31137" w:rsidRDefault="00A31137" w:rsidP="00A31137">
      <w:r w:rsidRPr="00A31137">
        <w:t>1996, Morse v. Republican Party of Virginia, No. 94-203</w:t>
      </w:r>
    </w:p>
    <w:p w:rsidR="00A31137" w:rsidRPr="00A31137" w:rsidRDefault="00A31137" w:rsidP="00A31137">
      <w:r w:rsidRPr="00A31137">
        <w:t>exercise of the choice allowed by state law where the initiative comes from it and not from the State, does not make its action in doing so "state action."</w:t>
      </w:r>
    </w:p>
    <w:p w:rsidR="00A31137" w:rsidRPr="00A31137" w:rsidRDefault="00A31137" w:rsidP="00A31137">
      <w:r w:rsidRPr="00A31137">
        <w:t>1996, Morse v. Republican Party of Virginia, No. 94-203</w:t>
      </w:r>
    </w:p>
    <w:p w:rsidR="00A31137" w:rsidRPr="00A31137" w:rsidRDefault="00A31137" w:rsidP="00A31137">
      <w:r w:rsidRPr="00A31137">
        <w:t>Jackson v. Metropolitan Edison, supra at  357. Thus, when the Party exercised the choice afforded it by state law and opted to hold a convention, that decision did not amount to state action. The Party did not take the initiative to make that choice in order to serve the public interest; in reality, the selection of a nomination method is an intensely political matter, as recent intra-Party disputes over that choice well illustrate. 16 Even if, as might be said here, "[t]he government erects the platform" upon which a private group acts, the government "does not thereby become responsible for all that occurs upon it." Edmonson v. Leesville Concrete Co., supra at 632 (O'CONNOR, J., dissenting). 17</w:t>
      </w:r>
    </w:p>
    <w:p w:rsidR="00A31137" w:rsidRPr="00A31137" w:rsidRDefault="00A31137" w:rsidP="00A31137">
      <w:r w:rsidRPr="00A31137">
        <w:t>1996, Morse v. Republican Party of Virginia, No. 94-203</w:t>
      </w:r>
    </w:p>
    <w:p w:rsidR="00A31137" w:rsidRPr="00A31137" w:rsidRDefault="00A31137" w:rsidP="00A31137">
      <w:r w:rsidRPr="00A31137">
        <w:t>The basis for today's decision, which subjects a political party to the requirements of § 5, can only be state action doctrine. But treating the Party as an agent of the State in this case is not only wrong as a matter of statutory interpretation, it also squarely contravenes our state action precedents. In short, there is no legal justification—statutory, constitutional, or otherwise—for the conclusion that the Party is an entity governed by § 5. 18</w:t>
      </w:r>
    </w:p>
    <w:p w:rsidR="00A31137" w:rsidRPr="00A31137" w:rsidRDefault="00A31137" w:rsidP="00A31137">
      <w:r w:rsidRPr="00A31137">
        <w:t>B</w:t>
      </w:r>
    </w:p>
    <w:p w:rsidR="00A31137" w:rsidRPr="00A31137" w:rsidRDefault="00A31137" w:rsidP="00A31137">
      <w:r w:rsidRPr="00A31137">
        <w:t>1996, Morse v. Republican Party of Virginia, No. 94-203</w:t>
      </w:r>
    </w:p>
    <w:p w:rsidR="00A31137" w:rsidRPr="00A31137" w:rsidRDefault="00A31137" w:rsidP="00A31137">
      <w:r w:rsidRPr="00A31137">
        <w:t>Assuming arguendo that the Republican Party of Virginia is a "State" within either the ordinary or the constitutional sense of the word, the question remains whether the party has sought to administer a practice or procedure with respect to "voting." Based on the statutory definition of "voting," I conclude that the registration fee is not the type of election-related change with which the Act concerns itself.</w:t>
      </w:r>
    </w:p>
    <w:p w:rsidR="00A31137" w:rsidRPr="00A31137" w:rsidRDefault="00A31137" w:rsidP="00A31137">
      <w:r w:rsidRPr="00A31137">
        <w:t>1996, Morse v. Republican Party of Virginia, No. 94-203</w:t>
      </w:r>
    </w:p>
    <w:p w:rsidR="00A31137" w:rsidRPr="00A31137" w:rsidRDefault="00A31137" w:rsidP="00A31137">
      <w:r w:rsidRPr="00A31137">
        <w:t>Section 14 of the Act defines voting as</w:t>
      </w:r>
    </w:p>
    <w:p w:rsidR="00A31137" w:rsidRPr="00A31137" w:rsidRDefault="00A31137" w:rsidP="00A31137">
      <w:r w:rsidRPr="00A31137">
        <w:t>1996, Morse v. Republican Party of Virginia, No. 94-203</w:t>
      </w:r>
    </w:p>
    <w:p w:rsidR="00A31137" w:rsidRPr="00A31137" w:rsidRDefault="00A31137" w:rsidP="00A31137">
      <w:r w:rsidRPr="00A31137">
        <w:t>all action necessary to make a vote effective in any primary, special, or general election, including, but not limited to…casting a ballot, and having such ballot counted properly and included in the appropriate totals of votes cast with respect to candidates for public or party office.</w:t>
      </w:r>
    </w:p>
    <w:p w:rsidR="00A31137" w:rsidRPr="00A31137" w:rsidRDefault="00A31137" w:rsidP="00A31137">
      <w:r w:rsidRPr="00A31137">
        <w:t>1996, Morse v. Republican Party of Virginia, No. 94-203</w:t>
      </w:r>
    </w:p>
    <w:p w:rsidR="00A31137" w:rsidRPr="00A31137" w:rsidRDefault="00A31137" w:rsidP="00A31137">
      <w:r w:rsidRPr="00A31137">
        <w:t>42 U.S.C. § 1973l(c)(1) (1988 ed.). There is no mention of conventions. Because § 14 specifically enumerates the types of elections covered, but does not include conventions, the most natural (and logical) inference is that Congress did not intend to include voting at conventions within the definition of "voting."</w:t>
      </w:r>
    </w:p>
    <w:p w:rsidR="00A31137" w:rsidRPr="00A31137" w:rsidRDefault="00A31137" w:rsidP="00A31137">
      <w:r w:rsidRPr="00A31137">
        <w:t>1996, Morse v. Republican Party of Virginia, No. 94-203</w:t>
      </w:r>
    </w:p>
    <w:p w:rsidR="00A31137" w:rsidRPr="00A31137" w:rsidRDefault="00A31137" w:rsidP="00A31137">
      <w:r w:rsidRPr="00A31137">
        <w:t>The omission of conventions from the list of elections covered in § 14 is especially revealing when compared to and contrasted with other federal election laws. The Federal Election Campaign Act of 1971 defines "election" to mean</w:t>
      </w:r>
    </w:p>
    <w:p w:rsidR="00A31137" w:rsidRPr="00A31137" w:rsidRDefault="00A31137" w:rsidP="00A31137">
      <w:r w:rsidRPr="00A31137">
        <w:t>1996, Morse v. Republican Party of Virginia, No. 94-203</w:t>
      </w:r>
    </w:p>
    <w:p w:rsidR="00A31137" w:rsidRPr="00A31137" w:rsidRDefault="00A31137" w:rsidP="00A31137">
      <w:r w:rsidRPr="00A31137">
        <w:t>(A) a general, special, primary, or runoff election; [and] (B) a convention or caucus of a political party which has authority to nominate a candidate.</w:t>
      </w:r>
    </w:p>
    <w:p w:rsidR="00A31137" w:rsidRPr="00A31137" w:rsidRDefault="00A31137" w:rsidP="00A31137">
      <w:r w:rsidRPr="00A31137">
        <w:t>1996, Morse v. Republican Party of Virginia, No. 94-203</w:t>
      </w:r>
    </w:p>
    <w:p w:rsidR="00A31137" w:rsidRPr="00A31137" w:rsidRDefault="00A31137" w:rsidP="00A31137">
      <w:r w:rsidRPr="00A31137">
        <w:t>86 Stat. 11, as amended, 2 U.S.C. § 431(1) (emphasis added). Similarly, § 600 of Title 18 criminalizes the promising of employment in exchange for political support</w:t>
      </w:r>
    </w:p>
    <w:p w:rsidR="00A31137" w:rsidRPr="00A31137" w:rsidRDefault="00A31137" w:rsidP="00A31137">
      <w:r w:rsidRPr="00A31137">
        <w:t>1996, Morse v. Republican Party of Virginia, No. 94-203</w:t>
      </w:r>
    </w:p>
    <w:p w:rsidR="00A31137" w:rsidRPr="00A31137" w:rsidRDefault="00A31137" w:rsidP="00A31137">
      <w:r w:rsidRPr="00A31137">
        <w:t>in connection with any general or special election to any political office, or in connection with any primary election or political convention or caucus held to select candidates for any political office.</w:t>
      </w:r>
    </w:p>
    <w:p w:rsidR="00A31137" w:rsidRPr="00A31137" w:rsidRDefault="00A31137" w:rsidP="00A31137">
      <w:r w:rsidRPr="00A31137">
        <w:t>1996, Morse v. Republican Party of Virginia, No. 94-203</w:t>
      </w:r>
    </w:p>
    <w:p w:rsidR="00A31137" w:rsidRPr="00A31137" w:rsidRDefault="00A31137" w:rsidP="00A31137">
      <w:r w:rsidRPr="00A31137">
        <w:t>18 U.S.C. § 600 (emphasis added). See also § 601 (defining "election" as, inter alia, "a convention or caucus of a political party held to nominate a candidate") (emphasis added). Congress obviously knows how to cover nominating conventions when it wants to. After all, if there is a field in which Congress has expertise, it is elections.</w:t>
      </w:r>
    </w:p>
    <w:p w:rsidR="00A31137" w:rsidRPr="00A31137" w:rsidRDefault="00A31137" w:rsidP="00A31137">
      <w:r w:rsidRPr="00A31137">
        <w:t>1996, Morse v. Republican Party of Virginia, No. 94-203</w:t>
      </w:r>
    </w:p>
    <w:p w:rsidR="00A31137" w:rsidRPr="00A31137" w:rsidRDefault="00A31137" w:rsidP="00A31137">
      <w:r w:rsidRPr="00A31137">
        <w:t>JUSTICE STEVENS maintains that the fee relates to "voting" because, even though it was not imposed at one of the three types of elections listed in § 14, it diminished the effectiveness of appellants' votes at the general election. See ante at ___. As I explained in Holder v. Hall, 512 U.S. ___ (1994), my view is that, "as far as the Act is concerned, an 'effective' vote is merely one that has been cast and fairly counted." Id. at ___ (THOMAS, J., concurring). Appellants do not contend that they were unable to submit a ballot in the general election or that their votes in that election were not properly registered and counted. I thus would not strain to hold, as does the majority, that appellants' votes at the general election lacked effect simply because their personal favorite for the Republican nomination was not on the ballot as the Party candidate.</w:t>
      </w:r>
    </w:p>
    <w:p w:rsidR="00A31137" w:rsidRPr="00A31137" w:rsidRDefault="00A31137" w:rsidP="00A31137">
      <w:r w:rsidRPr="00A31137">
        <w:t>1996, Morse v. Republican Party of Virginia, No. 94-203</w:t>
      </w:r>
    </w:p>
    <w:p w:rsidR="00A31137" w:rsidRPr="00A31137" w:rsidRDefault="00A31137" w:rsidP="00A31137">
      <w:r w:rsidRPr="00A31137">
        <w:t>JUSTICE STEVENS also reasons that party primaries and conventions are functionally indistinguishable. See ante at ___. Similarly, JUSTICE BREYER maintains that the convention in this case "resembles a primary about as closely as one could imagine." Ante at ___. These assertions may or may not be true as a matter of practical judgment (or imagination). One crucial difference between primaries and conventions is that in the context of the former, the Party often avails itself of a system erected, funded, and managed by the State, whereas in the latter, it generally does not. Consequently, charging the State with responsibility for voting changes that occur in a primary, where there may be actual state involvement, makes more sense than holding the State accountable for changes implemented at a party convention. Though JUSTICE BREYER lists several reasons why the Party's convention was like a primary, see ante at ___, he fails to mention the critical factor of state involvement.</w:t>
      </w:r>
    </w:p>
    <w:p w:rsidR="00A31137" w:rsidRPr="00A31137" w:rsidRDefault="00A31137" w:rsidP="00A31137">
      <w:r w:rsidRPr="00A31137">
        <w:t>1996, Morse v. Republican Party of Virginia, No. 94-203</w:t>
      </w:r>
    </w:p>
    <w:p w:rsidR="00A31137" w:rsidRPr="00A31137" w:rsidRDefault="00A31137" w:rsidP="00A31137">
      <w:r w:rsidRPr="00A31137">
        <w:t>In any event, the question whether conventions ought to be governed by the Act is at bottom, a matter of policy. And, as far as I can discern from the face of § 14, Congress made no policy determination in favor of regulating conventions under the Act. Though one might think it more sensible to include conventions in § 14, "[t]he short answer is that Congress did not write the statute that way." United States v. Naftalin, 441 U.S. 768, 773 (1979). When we examine the legislative lines that Congress has drawn, we generally do not hold Congress to exceedingly rigorous standards of logic. See e.g., FCC v. Beach Communications, Inc., 508 U.S. 307, 314 (1993) (reviewing statute for rational basis under Equal Protection Clause and noting that "'judicial intervention is generally unwarranted no matter how unwisely we may think a political branch has acted'") (quoting Vance v. Bradley, 440 U.S. 93, 97 (1979)); International Primate Protection League v. Administrators of Tulane Ed. Fund, 500 U.S. 72, 84-85 (1991) (enforcing, in statutory construction case, a distinction based on a "mere technicality" because "Congress could rationally have made such a distinction").</w:t>
      </w:r>
    </w:p>
    <w:p w:rsidR="00A31137" w:rsidRPr="00A31137" w:rsidRDefault="00A31137" w:rsidP="00A31137">
      <w:r w:rsidRPr="00A31137">
        <w:t>1996, Morse v. Republican Party of Virginia, No. 94-203</w:t>
      </w:r>
    </w:p>
    <w:p w:rsidR="00A31137" w:rsidRPr="00A31137" w:rsidRDefault="00A31137" w:rsidP="00A31137">
      <w:r w:rsidRPr="00A31137">
        <w:t>JUSTICE STEVENS is right that "we have held that § 5 applies to cases like Whitley v. Williams, which involve candidacy requirements and qualifications." Presley v. Etowah County Comm'n, 502 U.S. at 502; see ante at ___. However, those cases all involved qualifications for candidates running in either primary or general elections that are clearly within the scope of § 14. See 502 U.S. at 502. ("In Whitley v. Williams, there were changes in the requirements for independent candidates running in general elections"). See also NAACP v. Hampton County Election Comm'n, 470 U.S. 166 (1985) (change in filing deadline to run for school board in general election); Hadnott v. Amos, 394 U.S. 358 (1969) (change in filing deadline for general election); Dougherty County Bd. of Ed. v. White, 439 U.S. 32 (1978) (rule requiring school board members to take unpaid leave of absence while campaigning for office, where plaintiff ran in primary and general election). The cases holding that changes in the composition of the electorate are covered by § 5 likewise involve general elections. See Allen v. State Bd. of Elections, 393 U.S. at  550,  569 (change from district to at-large, general election). Thus, we had no occasion in any of these cases to question whether activity that occurs at a nominating convention, as opposed to a primary, special, or general election, falls under the Act's definition of "voting." Rather, the issue in these cases was whether the contested change had a sufficiently "direct relation to, or impact on, voting," Presley v. Etowah County Comm'n, 502 U.S. at 506, so as to constitute a "practice or procedure with respect to voting" subject to preclearance under § 5. See, e.g., Allen v. State Bd. of Elections, supra at  569 (holding that "the enactment in each of these cases constitutes a 'voting qualification or prerequisite to voting, or standard, practice, or procedure with respect to voting' within the meaning of § 5"). Regardless of whether Congress has ever "endorsed these broad constructions of § 5," ante at ___, they have no bearing on the meaning of § 14.</w:t>
      </w:r>
    </w:p>
    <w:p w:rsidR="00A31137" w:rsidRPr="00A31137" w:rsidRDefault="00A31137" w:rsidP="00A31137">
      <w:r w:rsidRPr="00A31137">
        <w:t>1996, Morse v. Republican Party of Virginia, No. 94-203</w:t>
      </w:r>
    </w:p>
    <w:p w:rsidR="00A31137" w:rsidRPr="00A31137" w:rsidRDefault="00A31137" w:rsidP="00A31137">
      <w:r w:rsidRPr="00A31137">
        <w:t>Nor does the reference to the election of party officials bring the convention within the ambit of § 14, as JUSTICE STEVENS and JUSTICE BREYER argue. See ante at ___; ante at ___. Section 14 does refer to "votes cast with respect to candidates for public or party office." 42 U.S.C. § 1973l(c)(1) (1988 ed.). But the Court amputates that phrase from the rest of the sentence, which provides that casting a vote at a "primary, special, or general election" for "candidates…for party office" constitutes "voting" for purposes of the Act. See ibid. (voting is "all action necessary to make a vote effective in any primary, special, or general election, including, but not limited to…casting a ballot, and having such ballot counted properly and included in the appropriate totals of votes cast with respect to candidates for public or party office"). Under § 14, then, voting does extend to casting a ballot for a party officer, but only when that ballot is cast at a primary, special, or general election. Since this is obvious on the face of the statute, I see no need to resort to the legislative history of the Bingham Amendment. Cf. ante at ___; ante at ___. Though Representative Bingham may have had every intention of covering the activities of political parties under § 5, there is no evidence that he succeeded in transforming that intention into law.</w:t>
      </w:r>
    </w:p>
    <w:p w:rsidR="00A31137" w:rsidRPr="00A31137" w:rsidRDefault="00A31137" w:rsidP="00A31137">
      <w:r w:rsidRPr="00A31137">
        <w:t>1996, Morse v. Republican Party of Virginia, No. 94-203</w:t>
      </w:r>
    </w:p>
    <w:p w:rsidR="00A31137" w:rsidRPr="00A31137" w:rsidRDefault="00A31137" w:rsidP="00A31137">
      <w:r w:rsidRPr="00A31137">
        <w:t>Finally, as JUSTICE STEVENS notes, §§ 2 and 5 would appear to be designed to work in tandem. See ante at ___. Nonetheless, there is a patent discrepancy between the broad sweep of § 2, which refers to "the political processes leading to nomination or election," and the undeniably narrower definition of voting set forth in § 14, which is limited to the context of a "primary, special, or general election." The incongruity appears to be a result of Congress' 1982 amendment of § 2 to expand its reach to pre-election political processes, see Pub. L. 97-205, § 3, 96 Stat. 134, without making any concomitant amendments to either § 5 or § 14. As long as § 5 contains the term "voting," and § 14 in turn defines that word, I think we must adhere to the specific definition provided in § 14. We cannot decline to apply that definition according to its terms simply because we think it would be preferable to harmonize §§ 2 and 5. If the 1982 amendment produced an undesirable inconsistency between §§ 2 and 5, Congress is free to harmonize them. 19</w:t>
      </w:r>
    </w:p>
    <w:p w:rsidR="00A31137" w:rsidRPr="00A31137" w:rsidRDefault="00A31137" w:rsidP="00A31137">
      <w:r w:rsidRPr="00A31137">
        <w:t>C</w:t>
      </w:r>
    </w:p>
    <w:p w:rsidR="00A31137" w:rsidRPr="00A31137" w:rsidRDefault="00A31137" w:rsidP="00A31137">
      <w:r w:rsidRPr="00A31137">
        <w:t>1996, Morse v. Republican Party of Virginia, No. 94-203</w:t>
      </w:r>
    </w:p>
    <w:p w:rsidR="00A31137" w:rsidRPr="00A31137" w:rsidRDefault="00A31137" w:rsidP="00A31137">
      <w:r w:rsidRPr="00A31137">
        <w:t>Were I otherwise willing to disregard the plain meaning of §§ 5 and 14, there is another factor counseling strongly against the Court's interpretation of the Act. Holding that the Party's convention fee must be precleared by the Government poses serious constitutional problems. Our standard practice is to avoid constructions of a statute that create such difficulties. See Edward J. DeBartolo Corp. v. Florida Gulf Coast Building &amp; Constr. Trades Council, 485 U.S. 568, 575 (1988).</w:t>
      </w:r>
    </w:p>
    <w:p w:rsidR="00A31137" w:rsidRPr="00A31137" w:rsidRDefault="00A31137" w:rsidP="00A31137">
      <w:r w:rsidRPr="00A31137">
        <w:t>1996, Morse v. Republican Party of Virginia, No. 94-203</w:t>
      </w:r>
    </w:p>
    <w:p w:rsidR="00A31137" w:rsidRPr="00A31137" w:rsidRDefault="00A31137" w:rsidP="00A31137">
      <w:r w:rsidRPr="00A31137">
        <w:t>This approach not only reflects the prudential concern that constitutional issues not be needlessly confronted, but also recognizes that Congress, like this Court, is bound by and swears an oath to uphold the Constitution. The courts will therefore not lightly assume that Congress intended to infringe constitutionally protected liberties.</w:t>
      </w:r>
    </w:p>
    <w:p w:rsidR="00A31137" w:rsidRPr="00A31137" w:rsidRDefault="00A31137" w:rsidP="00A31137">
      <w:r w:rsidRPr="00A31137">
        <w:t>1996, Morse v. Republican Party of Virginia, No. 94-203</w:t>
      </w:r>
    </w:p>
    <w:p w:rsidR="00A31137" w:rsidRPr="00A31137" w:rsidRDefault="00A31137" w:rsidP="00A31137">
      <w:r w:rsidRPr="00A31137">
        <w:t>Ibid.</w:t>
      </w:r>
    </w:p>
    <w:p w:rsidR="00A31137" w:rsidRPr="00A31137" w:rsidRDefault="00A31137" w:rsidP="00A31137">
      <w:r w:rsidRPr="00A31137">
        <w:t>1996, Morse v. Republican Party of Virginia, No. 94-203</w:t>
      </w:r>
    </w:p>
    <w:p w:rsidR="00A31137" w:rsidRPr="00A31137" w:rsidRDefault="00A31137" w:rsidP="00A31137">
      <w:r w:rsidRPr="00A31137">
        <w:t>Among the constitutional questions raised by this decision are ones relating to freedom of political association. "The First Amendment protects political association as well as political expression." Buckley v. Valeo, 424 U.S. 1,  15 (1976). Political parties, and their supporters, enjoy this constitutional right of political affiliation. Cousins v. Wigoda, 419 U.S. 477, 487 (1975). "[A]t the very heart of the freedom of assembly and association," is</w:t>
      </w:r>
    </w:p>
    <w:p w:rsidR="00A31137" w:rsidRPr="00A31137" w:rsidRDefault="00A31137" w:rsidP="00A31137">
      <w:r w:rsidRPr="00A31137">
        <w:t>1996, Morse v. Republican Party of Virginia, No. 94-203</w:t>
      </w:r>
    </w:p>
    <w:p w:rsidR="00A31137" w:rsidRPr="00A31137" w:rsidRDefault="00A31137" w:rsidP="00A31137">
      <w:r w:rsidRPr="00A31137">
        <w:t>[t]he right of members of a political party to gather in a…political convention in order to formulate proposed programs and nominate candidates for political office.</w:t>
      </w:r>
    </w:p>
    <w:p w:rsidR="00A31137" w:rsidRPr="00A31137" w:rsidRDefault="00A31137" w:rsidP="00A31137">
      <w:r w:rsidRPr="00A31137">
        <w:t>1996, Morse v. Republican Party of Virginia, No. 94-203</w:t>
      </w:r>
    </w:p>
    <w:p w:rsidR="00A31137" w:rsidRPr="00A31137" w:rsidRDefault="00A31137" w:rsidP="00A31137">
      <w:r w:rsidRPr="00A31137">
        <w:t>Id. at 491 (REHNQUIST, J., concurring in judgment). A convention to nominate a party candidate is perhaps the classic forum for individual expression of political views and for association with like-minded persons for the purpose of advancing those views.</w:t>
      </w:r>
      <w:r w:rsidRPr="00A31137">
        <w:cr/>
      </w:r>
    </w:p>
    <w:p w:rsidR="00A31137" w:rsidRPr="00A31137" w:rsidRDefault="00A31137" w:rsidP="00A31137">
      <w:r w:rsidRPr="00A31137">
        <w:t>1996, Morse v. Republican Party of Virginia, No. 94-203</w:t>
      </w:r>
    </w:p>
    <w:p w:rsidR="00A31137" w:rsidRPr="00A31137" w:rsidRDefault="00A31137" w:rsidP="00A31137">
      <w:r w:rsidRPr="00A31137">
        <w:t>We need not look beyond this case to "hypothetical," ante at ___, controversies in order to identify substantial First Amendment concerns. As applied today, § 5 burdens the rights of the Party and its members to freedom of political association. The Party has represented in this Court that it decided to charge each delegate a registration fee, rather than to fund the convention with contributions from a few major donors, in order to avoid undue influence from a small group of contributors. See Brief for Appellees 45-46. Under our precedents, the Party's choice of how to fund its statewide convention seems to be a constitutionally protected one.</w:t>
      </w:r>
    </w:p>
    <w:p w:rsidR="00A31137" w:rsidRPr="00A31137" w:rsidRDefault="00A31137" w:rsidP="00A31137">
      <w:r w:rsidRPr="00A31137">
        <w:t>1996, Morse v. Republican Party of Virginia, No. 94-203</w:t>
      </w:r>
    </w:p>
    <w:p w:rsidR="00A31137" w:rsidRPr="00A31137" w:rsidRDefault="00A31137" w:rsidP="00A31137">
      <w:r w:rsidRPr="00A31137">
        <w:t>The Party's determination of the boundaries of its own association, and of the structure which best allows it to pursue its political goals, is protected by the Constitution.</w:t>
      </w:r>
    </w:p>
    <w:p w:rsidR="00A31137" w:rsidRPr="00A31137" w:rsidRDefault="00A31137" w:rsidP="00A31137">
      <w:r w:rsidRPr="00A31137">
        <w:t>1996, Morse v. Republican Party of Virginia, No. 94-203</w:t>
      </w:r>
    </w:p>
    <w:p w:rsidR="00A31137" w:rsidRPr="00A31137" w:rsidRDefault="00A31137" w:rsidP="00A31137">
      <w:r w:rsidRPr="00A31137">
        <w:t>Tashjian v. Republican Party of Conn., 479 U.S. 208,  224 (1986). See also Democratic Party of United States v. Wisconsin ex rel. La Follette, 450 U.S. 107, 124 (1981) ("A political party's choice among the various ways of determining the makeup of a State's delegation to the party's national convention is protected by the Constitution"). As the Court of Appeals for the District of Columbia Circuit has explained,</w:t>
      </w:r>
    </w:p>
    <w:p w:rsidR="00A31137" w:rsidRPr="00A31137" w:rsidRDefault="00A31137" w:rsidP="00A31137">
      <w:r w:rsidRPr="00A31137">
        <w:t>1996, Morse v. Republican Party of Virginia, No. 94-203</w:t>
      </w:r>
    </w:p>
    <w:p w:rsidR="00A31137" w:rsidRPr="00A31137" w:rsidRDefault="00A31137" w:rsidP="00A31137">
      <w:r w:rsidRPr="00A31137">
        <w:t>a party's choice, as among various ways of governing itself, of the one which seems best calculated to strengthen the party and advance its interests, deserves the protection of the Constitution…. [T]here must be a right not only to form political associations, but to organize and direct them in the way that will make them most effective.</w:t>
      </w:r>
    </w:p>
    <w:p w:rsidR="00A31137" w:rsidRPr="00A31137" w:rsidRDefault="00A31137" w:rsidP="00A31137">
      <w:r w:rsidRPr="00A31137">
        <w:t>1996, Morse v. Republican Party of Virginia, No. 94-203</w:t>
      </w:r>
    </w:p>
    <w:p w:rsidR="00A31137" w:rsidRPr="00A31137" w:rsidRDefault="00A31137" w:rsidP="00A31137">
      <w:r w:rsidRPr="00A31137">
        <w:t>Ripon Society, Inc. v. National Republican Party, 525 F.2d 567, 585 (1975) (en banc), cert. denied, 424 U.S. 933 (1976) (emphasis deleted). By requiring the Party to seek approval from the Federal Government before it may implement rules regarding the funding of nominating conventions, the Court has burdened the Party's ability to institute the constitutionally protected choice embodied in those rules.</w:t>
      </w:r>
    </w:p>
    <w:p w:rsidR="00A31137" w:rsidRPr="00A31137" w:rsidRDefault="00A31137" w:rsidP="00A31137">
      <w:r w:rsidRPr="00A31137">
        <w:t>1996, Morse v. Republican Party of Virginia, No. 94-203</w:t>
      </w:r>
    </w:p>
    <w:p w:rsidR="00A31137" w:rsidRPr="00A31137" w:rsidRDefault="00A31137" w:rsidP="00A31137">
      <w:r w:rsidRPr="00A31137">
        <w:t>Moreover, if the Attorney General or a federal court were to refuse to preclear the registration fee, the Government would, in effect, be requiring the Party to include persons who could not, or would not, pay the registration fee for its convention. But, as we have held,</w:t>
      </w:r>
    </w:p>
    <w:p w:rsidR="00A31137" w:rsidRPr="00A31137" w:rsidRDefault="00A31137" w:rsidP="00A31137">
      <w:r w:rsidRPr="00A31137">
        <w:t>1996, Morse v. Republican Party of Virginia, No. 94-203</w:t>
      </w:r>
    </w:p>
    <w:p w:rsidR="00A31137" w:rsidRPr="00A31137" w:rsidRDefault="00A31137" w:rsidP="00A31137">
      <w:r w:rsidRPr="00A31137">
        <w:t>the freedom to associate for the "common advancement of political beliefs" necessarily presupposes the freedom to identify the people who constitute the association, and to limit the association to those people only.</w:t>
      </w:r>
    </w:p>
    <w:p w:rsidR="00A31137" w:rsidRPr="00A31137" w:rsidRDefault="00A31137" w:rsidP="00A31137">
      <w:r w:rsidRPr="00A31137">
        <w:t>1996, Morse v. Republican Party of Virginia, No. 94-203</w:t>
      </w:r>
    </w:p>
    <w:p w:rsidR="00A31137" w:rsidRPr="00A31137" w:rsidRDefault="00A31137" w:rsidP="00A31137">
      <w:r w:rsidRPr="00A31137">
        <w:t>Democratic Party of United States v. Wisconsin, 450 U.S. at 122 (citation omitted). See also Eu v. San Francisco County Democratic Central Comm., 489 U.S. 214, 224 (1989). Section 5, under the Court's novel construction, impinges upon that interest. Furthermore, the Court creates a classic prior restraint on political expression, as Justice SCALIA cogently explains. See ante at ___.</w:t>
      </w:r>
    </w:p>
    <w:p w:rsidR="00A31137" w:rsidRPr="00A31137" w:rsidRDefault="00A31137" w:rsidP="00A31137">
      <w:r w:rsidRPr="00A31137">
        <w:t>1996, Morse v. Republican Party of Virginia, No. 94-203</w:t>
      </w:r>
    </w:p>
    <w:p w:rsidR="00A31137" w:rsidRPr="00A31137" w:rsidRDefault="00A31137" w:rsidP="00A31137">
      <w:r w:rsidRPr="00A31137">
        <w:t>Legislative burdens on associational rights are subject to scrutiny under the First Amendment. See Burdick v. Takushi, 504 U.S. at 433-434 (level of scrutiny depends upon severity of the infringement); cf. Eu, supra at 225; Cousins, 419 U.S. at 489. Severe interference with protected rights of political association</w:t>
      </w:r>
    </w:p>
    <w:p w:rsidR="00A31137" w:rsidRPr="00A31137" w:rsidRDefault="00A31137" w:rsidP="00A31137">
      <w:r w:rsidRPr="00A31137">
        <w:t>1996, Morse v. Republican Party of Virginia, No. 94-203</w:t>
      </w:r>
    </w:p>
    <w:p w:rsidR="00A31137" w:rsidRPr="00A31137" w:rsidRDefault="00A31137" w:rsidP="00A31137">
      <w:r w:rsidRPr="00A31137">
        <w:t>may [only] be sustained if the [government] demonstrates a sufficiently important interest and employs means closely drawn to avoid unnecessary abridgment of associational freedoms.</w:t>
      </w:r>
    </w:p>
    <w:p w:rsidR="00A31137" w:rsidRPr="00A31137" w:rsidRDefault="00A31137" w:rsidP="00A31137">
      <w:r w:rsidRPr="00A31137">
        <w:t>1996, Morse v. Republican Party of Virginia, No. 94-203</w:t>
      </w:r>
    </w:p>
    <w:p w:rsidR="00A31137" w:rsidRPr="00A31137" w:rsidRDefault="00A31137" w:rsidP="00A31137">
      <w:r w:rsidRPr="00A31137">
        <w:t>Buckley, 424 U.S. at  25. Though JUSTICE STEVENS and JUSTICE BREYER glibly dismiss this constitutional inquiry, see ante at ___; ante at ___ ("[s]uch questions, we are satisfied, are not so difficult"), it is not equally obvious to me that § 5, as interpreted today, would survive a First Amendment challenge.</w:t>
      </w:r>
    </w:p>
    <w:p w:rsidR="00A31137" w:rsidRPr="00A31137" w:rsidRDefault="00A31137" w:rsidP="00A31137">
      <w:r w:rsidRPr="00A31137">
        <w:t>1996, Morse v. Republican Party of Virginia, No. 94-203</w:t>
      </w:r>
    </w:p>
    <w:p w:rsidR="00A31137" w:rsidRPr="00A31137" w:rsidRDefault="00A31137" w:rsidP="00A31137">
      <w:r w:rsidRPr="00A31137">
        <w:t>JUSTICE STEVENS is correct that, under the White Primary Cases, First Amendment rights of political association cede to the guarantees of the Fifteenth Amendment in certain circumstances. Ante at ___. The Court has held that when state-approved exclusion from a political group is tantamount to exclusion from the actual election, that exclusion violates the Fifteenth Amendment. See Terry v. Adams, 345 U.S. at 469-470. However, where a person is refused membership in a political organization without any involvement on the part of the State, and membership in the group is not a precondition to participation in the ultimate choice of representatives, there can logically be no state denial of the right to vote. In such a situation, there is no conflict between the First and Fifteenth Amendments.</w:t>
      </w:r>
    </w:p>
    <w:p w:rsidR="00A31137" w:rsidRPr="00A31137" w:rsidRDefault="00A31137" w:rsidP="00A31137">
      <w:r w:rsidRPr="00A31137">
        <w:t>1996, Morse v. Republican Party of Virginia, No. 94-203</w:t>
      </w:r>
    </w:p>
    <w:p w:rsidR="00A31137" w:rsidRPr="00A31137" w:rsidRDefault="00A31137" w:rsidP="00A31137">
      <w:r w:rsidRPr="00A31137">
        <w:t>Exclusion of political parties from the coverage of § 5 obviates the foregoing First Amendment problems. Cf. Miller v. Johnson, 515 U.S. ___, ___ (1995) (rejecting possible reading of § 5 because it raised constitutional problems). By letting stand a construction of § 5 that encompasses political parties, however, the Court begets these weighty First Amendment issues. Ironically, the Court generates these difficulties by contorting, rather than giving the most natural meaning to, the text of § 5.</w:t>
      </w:r>
    </w:p>
    <w:p w:rsidR="00A31137" w:rsidRPr="00A31137" w:rsidRDefault="00A31137" w:rsidP="00A31137">
      <w:r w:rsidRPr="00A31137">
        <w:t>II</w:t>
      </w:r>
    </w:p>
    <w:p w:rsidR="00A31137" w:rsidRPr="00A31137" w:rsidRDefault="00A31137" w:rsidP="00A31137">
      <w:r w:rsidRPr="00A31137">
        <w:t>1996, Morse v. Republican Party of Virginia, No. 94-203</w:t>
      </w:r>
    </w:p>
    <w:p w:rsidR="00A31137" w:rsidRPr="00A31137" w:rsidRDefault="00A31137" w:rsidP="00A31137">
      <w:r w:rsidRPr="00A31137">
        <w:t>I also disagree with the Court that § 10 of the Voting Rights Act contains an implicit cause of action for private suits against States and localities that impose poll taxes upon voters. Section 10 states that:</w:t>
      </w:r>
    </w:p>
    <w:p w:rsidR="00A31137" w:rsidRPr="00A31137" w:rsidRDefault="00A31137" w:rsidP="00A31137">
      <w:r w:rsidRPr="00A31137">
        <w:t>1996, Morse v. Republican Party of Virginia, No. 94-203</w:t>
      </w:r>
    </w:p>
    <w:p w:rsidR="00A31137" w:rsidRPr="00A31137" w:rsidRDefault="00A31137" w:rsidP="00A31137">
      <w:r w:rsidRPr="00A31137">
        <w:t>[T]he Attorney General is authorized and directed to institute forthwith in the name of the United States such actions, including actions against States or political subdivisions, for declaratory judgment or injunctive relief against the enforcement of any requirement of the payment of a poll tax as a precondition to voting, or substitute therefor enacted after November 1, 1964, as will be necessary to implement the declaration of subsection (a) of this section and the purposes of this section.</w:t>
      </w:r>
    </w:p>
    <w:p w:rsidR="00A31137" w:rsidRPr="00A31137" w:rsidRDefault="00A31137" w:rsidP="00A31137">
      <w:r w:rsidRPr="00A31137">
        <w:t>1996, Morse v. Republican Party of Virginia, No. 94-203</w:t>
      </w:r>
    </w:p>
    <w:p w:rsidR="00A31137" w:rsidRPr="00A31137" w:rsidRDefault="00A31137" w:rsidP="00A31137">
      <w:r w:rsidRPr="00A31137">
        <w:t>42 U.S.C. § 1973h(b) (1988 ed.). By its very terms, § 10 authorizes a single person to sue for relief from poll taxes: the Attorney General. The inescapable inference from this express grant of litigating authority to the Attorney General is that no other person may bring an action under § 10. Though JUSTICE STEVENS contends that implication of a private cause of action is crucial to the enforcement of voting rights, ante at ___, § 10 itself indicates otherwise. Suits instituted by the Attorney General were evidently all that Congress thought "necessary to implement…the purposes of this section." Ibid. Section 10 explicitly entrusts to the Attorney General, and to the Attorney General alone, the duty to seek relief from poll taxes under the Act.</w:t>
      </w:r>
    </w:p>
    <w:p w:rsidR="00A31137" w:rsidRPr="00A31137" w:rsidRDefault="00A31137" w:rsidP="00A31137">
      <w:r w:rsidRPr="00A31137">
        <w:t>1996, Morse v. Republican Party of Virginia, No. 94-203</w:t>
      </w:r>
    </w:p>
    <w:p w:rsidR="00A31137" w:rsidRPr="00A31137" w:rsidRDefault="00A31137" w:rsidP="00A31137">
      <w:r w:rsidRPr="00A31137">
        <w:t>Although Allen v. State Bd. of Elections, 393 U.S. 544 (1969), held that § 5 of the Voting Rights Act contains a private right of action, Allen does not require the same result under § 10. Section 5 affirmatively proclaims that "'no person shall be denied the right to vote for failure to comply with [a new state enactment covered by, but not approved under, § 5].'" Allen, 393 U.S. at  555. It was "[a]nalysis of this language" that "indicate[d] that appellants may seek a declaratory judgment that a new state enactment is governed by § 5." Ibid. A private cause of action was thought necessary to effectuate</w:t>
      </w:r>
    </w:p>
    <w:p w:rsidR="00A31137" w:rsidRPr="00A31137" w:rsidRDefault="00A31137" w:rsidP="00A31137">
      <w:r w:rsidRPr="00A31137">
        <w:t>1996, Morse v. Republican Party of Virginia, No. 94-203</w:t>
      </w:r>
    </w:p>
    <w:p w:rsidR="00A31137" w:rsidRPr="00A31137" w:rsidRDefault="00A31137" w:rsidP="00A31137">
      <w:r w:rsidRPr="00A31137">
        <w:t>[t]he guarantee of § 5 that no person shall be denied the right to vote for failure to comply with an unapproved new enactment subject to § 5.</w:t>
      </w:r>
    </w:p>
    <w:p w:rsidR="00A31137" w:rsidRPr="00A31137" w:rsidRDefault="00A31137" w:rsidP="00A31137">
      <w:r w:rsidRPr="00A31137">
        <w:t>1996, Morse v. Republican Party of Virginia, No. 94-203</w:t>
      </w:r>
    </w:p>
    <w:p w:rsidR="00A31137" w:rsidRPr="00A31137" w:rsidRDefault="00A31137" w:rsidP="00A31137">
      <w:r w:rsidRPr="00A31137">
        <w:t>Id. at 557. 20 See also Cannon v. University of Chicago, 441 U.S. 677, 690 (1979) ("[I]t was statutory language describing the special class to be benefited by § 5…that persuaded the Court that private parties within that class were implicitly authorized to seek a declaratory judgment against a covered State").</w:t>
      </w:r>
    </w:p>
    <w:p w:rsidR="00A31137" w:rsidRPr="00A31137" w:rsidRDefault="00A31137" w:rsidP="00A31137">
      <w:r w:rsidRPr="00A31137">
        <w:t>1996, Morse v. Republican Party of Virginia, No. 94-203</w:t>
      </w:r>
    </w:p>
    <w:p w:rsidR="00A31137" w:rsidRPr="00A31137" w:rsidRDefault="00A31137" w:rsidP="00A31137">
      <w:r w:rsidRPr="00A31137">
        <w:t>Unlike § 5, § 10 creates no statutory privilege in any particular class of persons to be free of poll taxes. The only possible "guarantee" created by § 10 is that the Attorney General will challenge the enforcement of poll taxes on behalf of those voters who reside in poll tax jurisdictions. What § 10 does not do, however, is actually forbid a State or political subdivision from administering poll taxes. Nor does it declare that no person shall be required to pay a poll tax. Rather, § 10 merely provides, as a "declaration of policy" prefacing the authorization for civil suits, that</w:t>
      </w:r>
    </w:p>
    <w:p w:rsidR="00A31137" w:rsidRPr="00A31137" w:rsidRDefault="00A31137" w:rsidP="00A31137">
      <w:r w:rsidRPr="00A31137">
        <w:t>1996, Morse v. Republican Party of Virginia, No. 94-203</w:t>
      </w:r>
    </w:p>
    <w:p w:rsidR="00A31137" w:rsidRPr="00A31137" w:rsidRDefault="00A31137" w:rsidP="00A31137">
      <w:r w:rsidRPr="00A31137">
        <w:t>the constitutional right of citizens to vote is denied or abridged in some areas by the requirement of the payment of a poll tax as a precondition to voting.</w:t>
      </w:r>
    </w:p>
    <w:p w:rsidR="00A31137" w:rsidRPr="00A31137" w:rsidRDefault="00A31137" w:rsidP="00A31137">
      <w:r w:rsidRPr="00A31137">
        <w:t>1996, Morse v. Republican Party of Virginia, No. 94-203</w:t>
      </w:r>
    </w:p>
    <w:p w:rsidR="00A31137" w:rsidRPr="00A31137" w:rsidRDefault="00A31137" w:rsidP="00A31137">
      <w:r w:rsidRPr="00A31137">
        <w:t>42 U.S.C. § 1973h(a) (1988 ed.). It further provides that, when a jurisdiction administers a poll tax, the Attorney General may prevent its enforcement by bringing suit in accordance with certain procedural requirements, including a three-judge district court and direct appeal to this Court. See § 1973h(c). Section 10 creates no ban on the imposition of poll taxes, whereas § 5, Allen said, guaranteed that no person would be subject to unapproved voting changes. Thus, § 10 confers no rights upon individuals, and its remedial scheme is limited to suits by the Attorney General. Cf. ante at ___.</w:t>
      </w:r>
    </w:p>
    <w:p w:rsidR="00A31137" w:rsidRPr="00A31137" w:rsidRDefault="00A31137" w:rsidP="00A31137">
      <w:r w:rsidRPr="00A31137">
        <w:t>1996, Morse v. Republican Party of Virginia, No. 94-203</w:t>
      </w:r>
    </w:p>
    <w:p w:rsidR="00A31137" w:rsidRPr="00A31137" w:rsidRDefault="00A31137" w:rsidP="00A31137">
      <w:r w:rsidRPr="00A31137">
        <w:t>I am unpersuaded by the maxim that Congress is presumed to legislate against the backdrop of our "implied cause of action" jurisprudence. See Cannon v. University of Chicago, supra at 698-699; ante at ___. That maxim is relevant to but one of the three factors that were established for determining the existence of private rights of action in Cort v. Ash, 422 U.S. 66 (1975), and that were applied in Cannon. See Cannon v. University of Chicago, supra at 699 (considering "contemporary legal context" of statute to assess the third Cort factor, whether the legislative history reveals an intent to create a cause of action). Though we may thus look to this presumption for guidance in evaluating the history of a statute's enactment, "what must ultimately be determined is whether Congress intended to create the private remedy asserted."   Transamerica Mortgage Advisors, Inc. v. Lewis, 444 U.S. 11, 15-16 (1979). See also Touche Ross &amp; Co. v. Redington, 442 U.S. 560, 575 (1979). We do this by "begin[ning] with the language of the statute itself." Transamerica Mortgage Advisors, Inc. v. Lewis, supra at 16. In my view, § 10—which authorizes only the Attorney General to sue for relief and creates no enforceable right in any person to be free from poll taxes—precludes the inference that Congress intended the availability of implied causes of action under that section. 21</w:t>
      </w:r>
    </w:p>
    <w:p w:rsidR="00A31137" w:rsidRPr="00A31137" w:rsidRDefault="00A31137" w:rsidP="00A31137">
      <w:r w:rsidRPr="00A31137">
        <w:t>1996, Morse v. Republican Party of Virginia, No. 94-203</w:t>
      </w:r>
    </w:p>
    <w:p w:rsidR="00A31137" w:rsidRPr="00A31137" w:rsidRDefault="00A31137" w:rsidP="00A31137">
      <w:r w:rsidRPr="00A31137">
        <w:t>Finally, the 1975 amendments to the Voting Rights Act do not justify the judicial creation of a private cause of action under § 10. See ante at ___. Section 3 is a generalized section of the Act, providing three-judge district courts with special authority in adjudicating Voting Rights Act claims. See 42 U.S.C. § 1973a (1988 ed.). As appellants accurately state, § 3 "explicitly recognizes that private individuals can sue under the [Act]." Brief for Appellants 41. Section 3 does not, however, identify any of the provisions under which private plaintiffs may sue. The most logical deduction from the inclusion of "aggrieved person" in § 1973a is that Congress meant to address those cases brought pursuant to the private right of action that this Court had recognized as of 1975, i.e., suits under § 5, as well as any rights of action that we might recognize in the future. Section 14(e), which provides for attorney's fees to "the prevailing party, other than the United States," is likewise a general reference to private rights of action. Like § 3, § 14(e) fails to address the availability of a private right to sue under § 10. § 1973l(e) (1988 ed.). 22</w:t>
      </w:r>
    </w:p>
    <w:p w:rsidR="00A31137" w:rsidRPr="00A31137" w:rsidRDefault="00A31137" w:rsidP="00A31137">
      <w:r w:rsidRPr="00A31137">
        <w:t>1996, Morse v. Republican Party of Virginia, No. 94-203</w:t>
      </w:r>
    </w:p>
    <w:p w:rsidR="00A31137" w:rsidRPr="00A31137" w:rsidRDefault="00A31137" w:rsidP="00A31137">
      <w:r w:rsidRPr="00A31137">
        <w:t>At bottom, appellants complain that, unless a private cause of action exists under § 10, private plaintiffs will be forced to challenge poll taxes by bringing constitutional claims in single-judge district courts. This, they contend, "is directly contrary to the special procedures for adjudicating poll tax claims established by Congress in section 10." Brief for Appellants 38. It is appellants' claim, however, that flatly contravenes § 10. The only "special procedure" for litigating poll tax challenges that Congress created in § 10 is an action by the Attorney General on behalf of the United States.</w:t>
      </w:r>
    </w:p>
    <w:p w:rsidR="00A31137" w:rsidRPr="00A31137" w:rsidRDefault="00A31137" w:rsidP="00A31137">
      <w:r w:rsidRPr="00A31137">
        <w:t>*    *    *    *</w:t>
      </w:r>
    </w:p>
    <w:p w:rsidR="00A31137" w:rsidRPr="00A31137" w:rsidRDefault="00A31137" w:rsidP="00A31137">
      <w:r w:rsidRPr="00A31137">
        <w:t>1996, Morse v. Republican Party of Virginia, No. 94-203</w:t>
      </w:r>
    </w:p>
    <w:p w:rsidR="00A31137" w:rsidRPr="00A31137" w:rsidRDefault="00A31137" w:rsidP="00A31137">
      <w:r w:rsidRPr="00A31137">
        <w:t>To conclude, I would decide this controversy on the ground that the Republican Party of Virginia is not a "State or political subdivision" for purposes of § 5. This is true whether one invokes the ordinary meaning of the term "State" or even, as the Court erroneously does, the state action theory of our constitutional precedents. Even if the Party were a "State" or a state actor, the registration fee does not relate to "voting," as defined by § 14. Because the argument for the applicability of § 5 in this case fails at each step, I would not require the Party to preclear its convention registration fee under § 5. Nor would I imply a private right of action under § 10.</w:t>
      </w:r>
    </w:p>
    <w:p w:rsidR="00A31137" w:rsidRPr="00A31137" w:rsidRDefault="00A31137" w:rsidP="00A31137">
      <w:r w:rsidRPr="00A31137">
        <w:t>1996, Morse v. Republican Party of Virginia, No. 94-203</w:t>
      </w:r>
    </w:p>
    <w:p w:rsidR="00A31137" w:rsidRPr="00A31137" w:rsidRDefault="00A31137" w:rsidP="00A31137">
      <w:r w:rsidRPr="00A31137">
        <w:t>Today, the Court cuts § 5 loose from its explicit textual moorings regarding both the types of entities and the kinds of changes that it governs. JUSTICE BREYER, writing for three Members of the Court, does so without attempting to define the limits of § 5's applicability to political parties and their practices. See ante at ___ ("We need not…determin[e] when party activities are, in effect, substitutes for state nominating primaries"); ibid. ("Nor need we go further to decide just which party nominating convention practices fall within the scope of the Act"). Indeed, JUSTICE BREYER expends much ink evading inevitable questions about the Court's decision. See ante at ___ ("We go no further in this case because, as the dissents indicate, First Amendment questions about the extent to which the Federal Government, through preclearance procedures, can regulate the workings of a political party convention, are difficult ones, as are those about the limits imposed by the state action cases") (citations omitted). This is not reassuring, and it will not do. Eventually, the Court will be forced to come to grips with the untenable and constitutionally-flawed interpretation of § 5 that it has wrought in this case. That encounter, which could easily have been averted today, will involve yet another Voting Rights Act conundrum of our own making. 23</w:t>
      </w:r>
    </w:p>
    <w:p w:rsidR="00A31137" w:rsidRPr="00A31137" w:rsidRDefault="00A31137" w:rsidP="00A31137">
      <w:r w:rsidRPr="00A31137">
        <w:t>1996, Morse v. Republican Party of Virginia, No. 94-203</w:t>
      </w:r>
    </w:p>
    <w:p w:rsidR="00A31137" w:rsidRPr="00A31137" w:rsidRDefault="00A31137" w:rsidP="00A31137">
      <w:r w:rsidRPr="00A31137">
        <w:t>When leveled against wholly private partisan organizations with respect to their internal affairs, § 5's potential for use as an instrument of political harassment should be obvious to all. I have no doubt that § 5 was never intended for such purposes. Rather, that section was aimed at preventing covered States from intentionally and systematically evading the guarantees of the Voting Rights Act by simply recasting their election laws. This suit, along with the ones certain to follow, trivializes that goal. I respectfully dissent.</w:t>
      </w:r>
    </w:p>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1996, Morse v. Republican Party of Virginia, No. 94-203</w:t>
      </w:r>
    </w:p>
    <w:p w:rsidR="00A31137" w:rsidRPr="00A31137" w:rsidRDefault="00A31137" w:rsidP="00A31137">
      <w:r w:rsidRPr="00A31137">
        <w:t>1. As originally enacted, § 5 provided:</w:t>
      </w:r>
    </w:p>
    <w:p w:rsidR="00A31137" w:rsidRPr="00A31137" w:rsidRDefault="00A31137" w:rsidP="00A31137">
      <w:r w:rsidRPr="00A31137">
        <w:t>1996, Morse v. Republican Party of Virginia, No. 94-203</w:t>
      </w:r>
    </w:p>
    <w:p w:rsidR="00A31137" w:rsidRPr="00A31137" w:rsidRDefault="00A31137" w:rsidP="00A31137">
      <w:r w:rsidRPr="00A31137">
        <w:t>Sec. 5. Whenever a State or political subdivision with respect to which the prohibitions set forth in section 4(a) are in effect shall enact or seek to administer any voting qualification or prerequisite to voting, or standard, practice, or procedure with respect to voting different from that in force or effect on November 1, 1964, such State or subdivision may institute an action in the United States District Court for the District of Columbia for a declaratory judgment that such qualification, prerequisite, standard, practice, or procedure does not have the purpose and will not have the effect of denying or abridging the right to vote on account of race or color, and unless and until the court enters such judgment no person shall be denied the right to vote for failure to comply with such qualification prerequisite, standard, practice, or procedure: Provided, That such qualification, prerequisite, standard, practice, or procedure may be enforced without such proceeding if the qualification, prerequisite, standard, practice, or procedure has been submitted by the chief legal officer or other appropriate official of such State or subdivision to the Attorney General and the Attorney General has not interposed an objection within sixty days after such submission, except that neither the Attorney General's failure to object nor a declaratory judgment entered under this section shall bar a subsequent action to enjoin enforcement of such qualification, prerequisite, standard, practice, or procedure. Any action under this section shall be heard and determined by a court of three judges in accordance with the provisions of section 2284 of title 28 of the United States Code and any appeal shall lie to the Supreme Court.</w:t>
      </w:r>
    </w:p>
    <w:p w:rsidR="00A31137" w:rsidRPr="00A31137" w:rsidRDefault="00A31137" w:rsidP="00A31137">
      <w:r w:rsidRPr="00A31137">
        <w:t>1996, Morse v. Republican Party of Virginia, No. 94-203</w:t>
      </w:r>
    </w:p>
    <w:p w:rsidR="00A31137" w:rsidRPr="00A31137" w:rsidRDefault="00A31137" w:rsidP="00A31137">
      <w:r w:rsidRPr="00A31137">
        <w:t>79 Stat. 437.</w:t>
      </w:r>
    </w:p>
    <w:p w:rsidR="00A31137" w:rsidRPr="00A31137" w:rsidRDefault="00A31137" w:rsidP="00A31137">
      <w:r w:rsidRPr="00A31137">
        <w:t>1996, Morse v. Republican Party of Virginia, No. 94-203</w:t>
      </w:r>
    </w:p>
    <w:p w:rsidR="00A31137" w:rsidRPr="00A31137" w:rsidRDefault="00A31137" w:rsidP="00A31137">
      <w:r w:rsidRPr="00A31137">
        <w:t>2. "No State shall…deny to any person within its jurisdiction the equal protection of the laws." U.S.Const., Amdt. 14.</w:t>
      </w:r>
    </w:p>
    <w:p w:rsidR="00A31137" w:rsidRPr="00A31137" w:rsidRDefault="00A31137" w:rsidP="00A31137">
      <w:r w:rsidRPr="00A31137">
        <w:t>1996, Morse v. Republican Party of Virginia, No. 94-203</w:t>
      </w:r>
    </w:p>
    <w:p w:rsidR="00A31137" w:rsidRPr="00A31137" w:rsidRDefault="00A31137" w:rsidP="00A31137">
      <w:r w:rsidRPr="00A31137">
        <w:t>3.</w:t>
      </w:r>
    </w:p>
    <w:p w:rsidR="00A31137" w:rsidRPr="00A31137" w:rsidRDefault="00A31137" w:rsidP="00A31137">
      <w:r w:rsidRPr="00A31137">
        <w:t>1996, Morse v. Republican Party of Virginia, No. 94-203</w:t>
      </w:r>
    </w:p>
    <w:p w:rsidR="00A31137" w:rsidRPr="00A31137" w:rsidRDefault="00A31137" w:rsidP="00A31137">
      <w:r w:rsidRPr="00A31137">
        <w:t>Section 1. The right of citizens of the United States to vote in any primary or other election for President or Vice President, for electors for President or Vice President, or for Senator or Representative in Congress, shall not be denied or abridged by the United States or any State by reason of failure to pay any poll tax or other tax.</w:t>
      </w:r>
    </w:p>
    <w:p w:rsidR="00A31137" w:rsidRPr="00A31137" w:rsidRDefault="00A31137" w:rsidP="00A31137">
      <w:r w:rsidRPr="00A31137">
        <w:t>1996, Morse v. Republican Party of Virginia, No. 94-203</w:t>
      </w:r>
    </w:p>
    <w:p w:rsidR="00A31137" w:rsidRPr="00A31137" w:rsidRDefault="00A31137" w:rsidP="00A31137">
      <w:r w:rsidRPr="00A31137">
        <w:t>Section 2. The Congress shall have power to enforce this article by appropriate legislation.</w:t>
      </w:r>
    </w:p>
    <w:p w:rsidR="00A31137" w:rsidRPr="00A31137" w:rsidRDefault="00A31137" w:rsidP="00A31137">
      <w:r w:rsidRPr="00A31137">
        <w:t>1996, Morse v. Republican Party of Virginia, No. 94-203</w:t>
      </w:r>
    </w:p>
    <w:p w:rsidR="00A31137" w:rsidRPr="00A31137" w:rsidRDefault="00A31137" w:rsidP="00A31137">
      <w:r w:rsidRPr="00A31137">
        <w:t>U.S.Const., Amdt. 24.</w:t>
      </w:r>
    </w:p>
    <w:p w:rsidR="00A31137" w:rsidRPr="00A31137" w:rsidRDefault="00A31137" w:rsidP="00A31137">
      <w:r w:rsidRPr="00A31137">
        <w:t>1996, Morse v. Republican Party of Virginia, No. 94-203</w:t>
      </w:r>
    </w:p>
    <w:p w:rsidR="00A31137" w:rsidRPr="00A31137" w:rsidRDefault="00A31137" w:rsidP="00A31137">
      <w:r w:rsidRPr="00A31137">
        <w:t>4. A separate statutory claim alleging that the loan to appellant Morse violated § 11(c) of the Act, 42 U.S.C. § 1973i(c) (1988 ed.), was also remanded to the single-judge District Court. Neither that claim nor either of the constitutional claims is before us.</w:t>
      </w:r>
    </w:p>
    <w:p w:rsidR="00A31137" w:rsidRPr="00A31137" w:rsidRDefault="00A31137" w:rsidP="00A31137">
      <w:r w:rsidRPr="00A31137">
        <w:t>1996, Morse v. Republican Party of Virginia, No. 94-203</w:t>
      </w:r>
    </w:p>
    <w:p w:rsidR="00A31137" w:rsidRPr="00A31137" w:rsidRDefault="00A31137" w:rsidP="00A31137">
      <w:r w:rsidRPr="00A31137">
        <w:t>5. In order to obtain preclearance, the covered jurisdiction must demonstrate that its new procedure</w:t>
      </w:r>
    </w:p>
    <w:p w:rsidR="00A31137" w:rsidRPr="00A31137" w:rsidRDefault="00A31137" w:rsidP="00A31137">
      <w:r w:rsidRPr="00A31137">
        <w:t>1996, Morse v. Republican Party of Virginia, No. 94-203</w:t>
      </w:r>
    </w:p>
    <w:p w:rsidR="00A31137" w:rsidRPr="00A31137" w:rsidRDefault="00A31137" w:rsidP="00A31137">
      <w:r w:rsidRPr="00A31137">
        <w:t>does not have the purpose and will not have the effect of denying or abridging the right to vote on account of race or color or [membership in a language minority group],</w:t>
      </w:r>
    </w:p>
    <w:p w:rsidR="00A31137" w:rsidRPr="00A31137" w:rsidRDefault="00A31137" w:rsidP="00A31137">
      <w:r w:rsidRPr="00A31137">
        <w:t>1996, Morse v. Republican Party of Virginia, No. 94-203</w:t>
      </w:r>
    </w:p>
    <w:p w:rsidR="00A31137" w:rsidRPr="00A31137" w:rsidRDefault="00A31137" w:rsidP="00A31137">
      <w:r w:rsidRPr="00A31137">
        <w:t>42 U.S.C. § 1973c. The fact that such a showing could have been made, but was not, will not excuse the failure to follow the statutory preclearance procedure. "Failure to obtain either judicial or administrative preclearance 'renders the change unenforceable.'" Clark v. Roemer, 500 U.S. 646, 652 (1991) (quoting Hathorn v. Lovorn, 457 U.S. 255, 269 (1982)).</w:t>
      </w:r>
    </w:p>
    <w:p w:rsidR="00A31137" w:rsidRPr="00A31137" w:rsidRDefault="00A31137" w:rsidP="00A31137">
      <w:r w:rsidRPr="00A31137">
        <w:t>1996, Morse v. Republican Party of Virginia, No. 94-203</w:t>
      </w:r>
    </w:p>
    <w:p w:rsidR="00A31137" w:rsidRPr="00A31137" w:rsidRDefault="00A31137" w:rsidP="00A31137">
      <w:r w:rsidRPr="00A31137">
        <w:t>6. 30 Fed.Reg. 9897 (1965). The others were Alabama, Alaska, Georgia, Louisiana, Mississippi, and South Carolina. Ibid. In addition, portions of North Carolina, Arizona, Hawaii, and Idaho were designated then or shortly thereafter. See 30 Fed.Reg. 14505 (1965).</w:t>
      </w:r>
    </w:p>
    <w:p w:rsidR="00A31137" w:rsidRPr="00A31137" w:rsidRDefault="00A31137" w:rsidP="00A31137">
      <w:r w:rsidRPr="00A31137">
        <w:t>1996, Morse v. Republican Party of Virginia, No. 94-203</w:t>
      </w:r>
    </w:p>
    <w:p w:rsidR="00A31137" w:rsidRPr="00A31137" w:rsidRDefault="00A31137" w:rsidP="00A31137">
      <w:r w:rsidRPr="00A31137">
        <w:t>7. The regulation, which was adopted in 1981, provides:</w:t>
      </w:r>
    </w:p>
    <w:p w:rsidR="00A31137" w:rsidRPr="00A31137" w:rsidRDefault="00A31137" w:rsidP="00A31137">
      <w:r w:rsidRPr="00A31137">
        <w:t>1996, Morse v. Republican Party of Virginia, No. 94-203</w:t>
      </w:r>
    </w:p>
    <w:p w:rsidR="00A31137" w:rsidRPr="00A31137" w:rsidRDefault="00A31137" w:rsidP="00A31137">
      <w:r w:rsidRPr="00A31137">
        <w:t>Political parties. Certain activities of political parties are subject to the preclearance requirement of section 5. A change affecting voting effected by a political party is subject to the preclearance requirement: (a) If the change relates to a public electoral function of the party and (b) if the party is acting under authority explicitly or implicitly granted by a covered jurisdiction or political subunit subject to the preclearance requirement of section 5. For example, changes with respect to the recruitment of party members, the conduct of political campaigns, and the drafting of party platforms are not subject to the preclearance requirement. Changes with respect to the conduct of primary elections at which party nominees, delegates to party conventions, or party officials are chosen are subject to the preclearance requirement of section 5. Where appropriate the term "jurisdiction" (but not "covered jurisdiction") includes political parties.</w:t>
      </w:r>
    </w:p>
    <w:p w:rsidR="00A31137" w:rsidRPr="00A31137" w:rsidRDefault="00A31137" w:rsidP="00A31137">
      <w:r w:rsidRPr="00A31137">
        <w:t>1996, Morse v. Republican Party of Virginia, No. 94-203</w:t>
      </w:r>
    </w:p>
    <w:p w:rsidR="00A31137" w:rsidRPr="00A31137" w:rsidRDefault="00A31137" w:rsidP="00A31137">
      <w:r w:rsidRPr="00A31137">
        <w:t>28 CFR § 51.7 (1995).</w:t>
      </w:r>
    </w:p>
    <w:p w:rsidR="00A31137" w:rsidRPr="00A31137" w:rsidRDefault="00A31137" w:rsidP="00A31137">
      <w:r w:rsidRPr="00A31137">
        <w:t>1996, Morse v. Republican Party of Virginia, No. 94-203</w:t>
      </w:r>
    </w:p>
    <w:p w:rsidR="00A31137" w:rsidRPr="00A31137" w:rsidRDefault="00A31137" w:rsidP="00A31137">
      <w:r w:rsidRPr="00A31137">
        <w:t>8. Virginia had 2,974,149 registered voters on January 1, 1994. See State Bd. of Elections, Commonwealth of Virginia, Number of Precincts and Registered Voters as of January 1, 1994, p. 4 (rev. Jan. 10, 1994). One-half of one percent of that figure is 14,871.</w:t>
      </w:r>
    </w:p>
    <w:p w:rsidR="00A31137" w:rsidRPr="00A31137" w:rsidRDefault="00A31137" w:rsidP="00A31137">
      <w:r w:rsidRPr="00A31137">
        <w:t>1996, Morse v. Republican Party of Virginia, No. 94-203</w:t>
      </w:r>
    </w:p>
    <w:p w:rsidR="00A31137" w:rsidRPr="00A31137" w:rsidRDefault="00A31137" w:rsidP="00A31137">
      <w:r w:rsidRPr="00A31137">
        <w:t>9. Virginia law defines the term "political party" to include an organization of Virginia citizens</w:t>
      </w:r>
    </w:p>
    <w:p w:rsidR="00A31137" w:rsidRPr="00A31137" w:rsidRDefault="00A31137" w:rsidP="00A31137">
      <w:r w:rsidRPr="00A31137">
        <w:t>1996, Morse v. Republican Party of Virginia, No. 94-203</w:t>
      </w:r>
    </w:p>
    <w:p w:rsidR="00A31137" w:rsidRPr="00A31137" w:rsidRDefault="00A31137" w:rsidP="00A31137">
      <w:r w:rsidRPr="00A31137">
        <w:t>which at either of the two preceding statewide general elections, received at least ten percent of the total vote cast for any statewide office filled in that election.</w:t>
      </w:r>
    </w:p>
    <w:p w:rsidR="00A31137" w:rsidRPr="00A31137" w:rsidRDefault="00A31137" w:rsidP="00A31137">
      <w:r w:rsidRPr="00A31137">
        <w:t>1996, Morse v. Republican Party of Virginia, No. 94-203</w:t>
      </w:r>
    </w:p>
    <w:p w:rsidR="00A31137" w:rsidRPr="00A31137" w:rsidRDefault="00A31137" w:rsidP="00A31137">
      <w:r w:rsidRPr="00A31137">
        <w:t>Va.Code Ann. § 24.2-101 (1993). The Democratic Party of Virginia and the Republican Party of Virginia are the only organizations that satisfy that definition.</w:t>
      </w:r>
    </w:p>
    <w:p w:rsidR="00A31137" w:rsidRPr="00A31137" w:rsidRDefault="00A31137" w:rsidP="00A31137">
      <w:r w:rsidRPr="00A31137">
        <w:t>1996, Morse v. Republican Party of Virginia, No. 94-203</w:t>
      </w:r>
    </w:p>
    <w:p w:rsidR="00A31137" w:rsidRPr="00A31137" w:rsidRDefault="00A31137" w:rsidP="00A31137">
      <w:r w:rsidRPr="00A31137">
        <w:t>The definition has not been set in stone, however. Before 1991, the term "political party" included only parties that polled 10 percent of the vote at the last preceding statewide election. The Democratic Party, however, did not field a candidate for the 1990 Senate race, and thus would have lost its automatic ballot access for the next election. See 29 Council of State Governments, Book of the States 260 (1992-1993 ed.). Rather than allow that outcome, the Virginia Legislature amended the definition to qualify parties that polled the requisite number of votes at either of the two preceding elections, and provided that the amendment would apply retroactively. See 1991 Va.Acts, ch. 12, § 1(7).</w:t>
      </w:r>
    </w:p>
    <w:p w:rsidR="00A31137" w:rsidRPr="00A31137" w:rsidRDefault="00A31137" w:rsidP="00A31137">
      <w:r w:rsidRPr="00A31137">
        <w:t>1996, Morse v. Republican Party of Virginia, No. 94-203</w:t>
      </w:r>
    </w:p>
    <w:p w:rsidR="00A31137" w:rsidRPr="00A31137" w:rsidRDefault="00A31137" w:rsidP="00A31137">
      <w:r w:rsidRPr="00A31137">
        <w:t>10. Virginia law also allows the major political parties to substitute a new nominee should the chosen nominee die, withdraw, or have his or her nomination set aside. In that circumstance, other parties and independent candidates are also permitted to make nominations, but the triggering event occurs only when a party nominee cannot run. The statute thus ensures that the major parties will always have a candidate on the ballot. See Va.Code Ann. §§ 24.2-539, 24.2-540 (1993).</w:t>
      </w:r>
    </w:p>
    <w:p w:rsidR="00A31137" w:rsidRPr="00A31137" w:rsidRDefault="00A31137" w:rsidP="00A31137">
      <w:r w:rsidRPr="00A31137">
        <w:t>1996, Morse v. Republican Party of Virginia, No. 94-203</w:t>
      </w:r>
    </w:p>
    <w:p w:rsidR="00A31137" w:rsidRPr="00A31137" w:rsidRDefault="00A31137" w:rsidP="00A31137">
      <w:r w:rsidRPr="00A31137">
        <w:t>11. In some circumstances, a primary election is required unless the incumbent officeholder from that party consents to a different method of nomination. Va.Code Ann. § 24.2-509(B) (1993). In its brief, the Party suggested that this one exception to plenary party control over the method of nomination is unconstitutional. See Brief for Appellees 31. While it appeared that the Party might bring suit before the 1996 election to try to have the provision struck down, see Whitley, Republicans Wrestle with Primary Issue, Richmond Times-Dispatch, Oct. 25, 1995, p. B1, it relented after the Attorney General of Virginia determined that the law was probably valid. See Va.Op.Atty.Gen. (Nov. 22, 1995). In any event, because the incumbent United States Senator was a Democrat in 1994, the Party was authorized to follow any method it chose, so long as it named its candidate within the time period prescribed by the statute.</w:t>
      </w:r>
    </w:p>
    <w:p w:rsidR="00A31137" w:rsidRPr="00A31137" w:rsidRDefault="00A31137" w:rsidP="00A31137">
      <w:r w:rsidRPr="00A31137">
        <w:t>1996, Morse v. Republican Party of Virginia, No. 94-203</w:t>
      </w:r>
    </w:p>
    <w:p w:rsidR="00A31137" w:rsidRPr="00A31137" w:rsidRDefault="00A31137" w:rsidP="00A31137">
      <w:r w:rsidRPr="00A31137">
        <w:t>12. The Secretary of the Party is required to certify the name of the nominee to the State Board of Elections. If certification is not timely, however, the Board will declare the chosen candidate to be the nominee and treat his or her name as if certified. Va.Code Ann. § 24.2-511 (1993).</w:t>
      </w:r>
    </w:p>
    <w:p w:rsidR="00A31137" w:rsidRPr="00A31137" w:rsidRDefault="00A31137" w:rsidP="00A31137">
      <w:r w:rsidRPr="00A31137">
        <w:t>1996, Morse v. Republican Party of Virginia, No. 94-203</w:t>
      </w:r>
    </w:p>
    <w:p w:rsidR="00A31137" w:rsidRPr="00A31137" w:rsidRDefault="00A31137" w:rsidP="00A31137">
      <w:r w:rsidRPr="00A31137">
        <w:t>13. Research has shown that placement at the top of a ballot often confers an advantage to candidates so positioned. The classic study of the phenomenon is H. Bain &amp; D. Hecock, Ballot Position and Voter's Choice: The Arrangement of Names on the Ballot and its Effect on the Voter (1957). See also Note, California Ballot Position Statutes: An Unconstitutional Advantage to Incumbents, 45 S.Cal.L.Rev. 365 (1972) (listing other studies); Note, Constitutional Problems with Statutes Regulating Ballot Position, 23 Tulsa L.J. 123 (1987). Some studies have suggested that the effect of favorable placement varies by type of election, visibility of the race, and even the use of voting machines. See id. at 127. While the research is not conclusive, it is reasonable to assume that candidates would prefer positions at the top of the ballot if given a choice.</w:t>
      </w:r>
    </w:p>
    <w:p w:rsidR="00A31137" w:rsidRPr="00A31137" w:rsidRDefault="00A31137" w:rsidP="00A31137">
      <w:r w:rsidRPr="00A31137">
        <w:t>1996, Morse v. Republican Party of Virginia, No. 94-203</w:t>
      </w:r>
    </w:p>
    <w:p w:rsidR="00A31137" w:rsidRPr="00A31137" w:rsidRDefault="00A31137" w:rsidP="00A31137">
      <w:r w:rsidRPr="00A31137">
        <w:t>14. App. 24 (affidavit of David S. Johnson, Exec. Dir. of Republican Party of Virginia ¶ 12).</w:t>
      </w:r>
    </w:p>
    <w:p w:rsidR="00A31137" w:rsidRPr="00A31137" w:rsidRDefault="00A31137" w:rsidP="00A31137">
      <w:r w:rsidRPr="00A31137">
        <w:t>1996, Morse v. Republican Party of Virginia, No. 94-203</w:t>
      </w:r>
    </w:p>
    <w:p w:rsidR="00A31137" w:rsidRPr="00A31137" w:rsidRDefault="00A31137" w:rsidP="00A31137">
      <w:r w:rsidRPr="00A31137">
        <w:t>15. According to the Party, 14,614 voters attended the 1994 convention. Ibid. A total of 14,871 signatures were required to qualify as an independent candidate. See n. 8, supra.</w:t>
      </w:r>
    </w:p>
    <w:p w:rsidR="00A31137" w:rsidRPr="00A31137" w:rsidRDefault="00A31137" w:rsidP="00A31137">
      <w:r w:rsidRPr="00A31137">
        <w:t>1996, Morse v. Republican Party of Virginia, No. 94-203</w:t>
      </w:r>
    </w:p>
    <w:p w:rsidR="00A31137" w:rsidRPr="00A31137" w:rsidRDefault="00A31137" w:rsidP="00A31137">
      <w:r w:rsidRPr="00A31137">
        <w:t>16. The Party argues that automatic ballot access is merely a "practical accommodation to political reality" because the major parties have shown, through their performance in previous elections, significant levels of voter support. Brief for Appellees 32. According to the Party, the Party nominee need not demonstrate personal support, because he or she is credited with the Party's showing. Id. at 33 (citing Weisburd, Candidate-Making and the Constitution: Constitutional Restraints on and Protections of Party Nominating Methods, 57 S.Cal.L.Rev. 213, 242 (1984)).</w:t>
      </w:r>
    </w:p>
    <w:p w:rsidR="00A31137" w:rsidRPr="00A31137" w:rsidRDefault="00A31137" w:rsidP="00A31137">
      <w:r w:rsidRPr="00A31137">
        <w:t>1996, Morse v. Republican Party of Virginia, No. 94-203</w:t>
      </w:r>
    </w:p>
    <w:p w:rsidR="00A31137" w:rsidRPr="00A31137" w:rsidRDefault="00A31137" w:rsidP="00A31137">
      <w:r w:rsidRPr="00A31137">
        <w:t>Such "crediting" does not answer the question why the Party nominee should receive automatic ballot access. The fact that the Party has polled well in previous elections does not logically entail any conclusion about the success of its present candidate—especially when that nominee is chosen at a convention attended by limited numbers of Party members, rather than a primary. Furthermore, ballot access for all other candidates is predicated on a showing of individual electability. The Commonwealth certainly may choose to recognize the Party's selection of a nominee, but such recognition is not mandated by any right of the Party to demand placement on the ballot. Contrary to appellees, cases such as Williams v. Rhodes, 393 U.S. 23 (1968), Jenness v. Fortson, 403 U.S. 431 (1971), and American Party of Texas v. White, 415 U.S. 767 (1974), establish only that political parties with at least a modicum of public support must be provided a reasonable method of ballot access. They do not establish that they are entitled to choose the method itself.</w:t>
      </w:r>
    </w:p>
    <w:p w:rsidR="00A31137" w:rsidRPr="00A31137" w:rsidRDefault="00A31137" w:rsidP="00A31137">
      <w:r w:rsidRPr="00A31137">
        <w:t>1996, Morse v. Republican Party of Virginia, No. 94-203</w:t>
      </w:r>
    </w:p>
    <w:p w:rsidR="00A31137" w:rsidRPr="00A31137" w:rsidRDefault="00A31137" w:rsidP="00A31137">
      <w:r w:rsidRPr="00A31137">
        <w:t>According to JUSTICE THOMAS, the Party merely "takes advantage of favorable state law" when it certifies its nominee for automatic placement on the ballot. Post at ___. On that theory, the requirements of 28 CFR § 51.7 (1995) would not be met even if Virginia let only the two major parties place their candidates on the ballot, and no one else. For the same reasons we give below, see infra at ___, it is implausible to think the regulation was meant to apply only in one-party States.</w:t>
      </w:r>
    </w:p>
    <w:p w:rsidR="00A31137" w:rsidRPr="00A31137" w:rsidRDefault="00A31137" w:rsidP="00A31137">
      <w:r w:rsidRPr="00A31137">
        <w:t>1996, Morse v. Republican Party of Virginia, No. 94-203</w:t>
      </w:r>
    </w:p>
    <w:p w:rsidR="00A31137" w:rsidRPr="00A31137" w:rsidRDefault="00A31137" w:rsidP="00A31137">
      <w:r w:rsidRPr="00A31137">
        <w:t>17. JUSTICE THOMAS argues that our decision in Smith v. Allwright, 321 U.S. 649 (1944), depended on the State's regulation of the Party's activities. Post at ___. While it is true that political parties in Smith were subject to extensive regulation, nothing in our decision turned on that factor. Only nine years before Smith, the Court had surveyed the same statutory regime in Grovey v. Townsend, 295 U.S. 45, 50 (1935), and concluded that primary elections were private voluntary activity. What changed was not the extent of state regulation, but the Court's understanding, based on its intervening decision in United States v. Classic, 313 U.S. 299 (1941), that primaries were "a part of the machinery for choosing officials." 321 U.S. at  664. On that basis, the Court overruled Grovey, even though the objectionable practice there of excluding blacks from membership in the party was undertaken by a private, unregulated entity.</w:t>
      </w:r>
    </w:p>
    <w:p w:rsidR="00A31137" w:rsidRPr="00A31137" w:rsidRDefault="00A31137" w:rsidP="00A31137">
      <w:r w:rsidRPr="00A31137">
        <w:t>1996, Morse v. Republican Party of Virginia, No. 94-203</w:t>
      </w:r>
    </w:p>
    <w:p w:rsidR="00A31137" w:rsidRPr="00A31137" w:rsidRDefault="00A31137" w:rsidP="00A31137">
      <w:r w:rsidRPr="00A31137">
        <w:t>The irrelevance of state regulation was confirmed in two cases decided after Smith. Subsequent to Smith, South Carolina repealed all of its laws regulating political primaries. The Democratic primary was thereafter conducted under rules prescribed by the Democratic Party alone, which included rules restricting the primary to white persons. The Fourth Circuit struck down those practices, reasoning that</w:t>
      </w:r>
    </w:p>
    <w:p w:rsidR="00A31137" w:rsidRPr="00A31137" w:rsidRDefault="00A31137" w:rsidP="00A31137">
      <w:r w:rsidRPr="00A31137">
        <w:t>1996, Morse v. Republican Party of Virginia, No. 94-203</w:t>
      </w:r>
    </w:p>
    <w:p w:rsidR="00A31137" w:rsidRPr="00A31137" w:rsidRDefault="00A31137" w:rsidP="00A31137">
      <w:r w:rsidRPr="00A31137">
        <w:t>[s]tate law relating to the general election gives effect to what is done in the primary and makes it just as much a part of the election machinery of the state by which the people choose their officers as if it were regulated by law, as formerly.</w:t>
      </w:r>
    </w:p>
    <w:p w:rsidR="00A31137" w:rsidRPr="00A31137" w:rsidRDefault="00A31137" w:rsidP="00A31137">
      <w:r w:rsidRPr="00A31137">
        <w:t>1996, Morse v. Republican Party of Virginia, No. 94-203</w:t>
      </w:r>
    </w:p>
    <w:p w:rsidR="00A31137" w:rsidRPr="00A31137" w:rsidRDefault="00A31137" w:rsidP="00A31137">
      <w:r w:rsidRPr="00A31137">
        <w:t>Rice v. Elmore, 165 F.2d 387, 390-391 (1947) (emphasis added); accord, Baskin v. Brown, 174 F.2d 391 (1949). The principal opinion in Terry v. Adams, 345 U.S. 461 (1953), declared that these cases were "in accord with the commands of the Fifteenth Amendment and the laws passed pursuant to it." Id. at  466 (opinion of Black, J.).</w:t>
      </w:r>
    </w:p>
    <w:p w:rsidR="00A31137" w:rsidRPr="00A31137" w:rsidRDefault="00A31137" w:rsidP="00A31137">
      <w:r w:rsidRPr="00A31137">
        <w:t>1996, Morse v. Republican Party of Virginia, No. 94-203</w:t>
      </w:r>
    </w:p>
    <w:p w:rsidR="00A31137" w:rsidRPr="00A31137" w:rsidRDefault="00A31137" w:rsidP="00A31137">
      <w:r w:rsidRPr="00A31137">
        <w:t>18. See Brief for United States as Amicus Curiae 11-13. Since 1981, when the regulation was promulgated, there have been nearly 2,000 preclearance submissions involving more than 16,000 proposed changes by political parties in covered jurisdictions. See letter from Drew S. Days III, Solicitor General, to William K. Suter, Clerk of the Supreme Court, dated Oct. 4, 1995 (lodged with Clerk of this Court). Of particular note, on April 12, 1982, the Attorney General precleared changes in the delegate selection plan adopted by the Democratic Party of Virginia for its senatorial nominating convention. See Brief for United States as Amicus Curiae, 12, n. 7; letter from Wm. Bradford Reynolds, Assistant Attorney General, Civil Rights Div., to Russel Rosen, Executive Director, Democratic Party of Va., dated Apr. 12, 1982 (lodged with Clerk of this Court).</w:t>
      </w:r>
    </w:p>
    <w:p w:rsidR="00A31137" w:rsidRPr="00A31137" w:rsidRDefault="00A31137" w:rsidP="00A31137">
      <w:r w:rsidRPr="00A31137">
        <w:t>1996, Morse v. Republican Party of Virginia, No. 94-203</w:t>
      </w:r>
    </w:p>
    <w:p w:rsidR="00A31137" w:rsidRPr="00A31137" w:rsidRDefault="00A31137" w:rsidP="00A31137">
      <w:r w:rsidRPr="00A31137">
        <w:t>Political parties submitted changes in their rules for preclearance, and the Department of Justice interposed objections to those changes, long before 1981. For example: the Sumter County, Alabama, Democratic Executive Committee submitted changes in 1974, and the Democratic Party of New York City submitted changes in 1975. See Extension of the Voting Rights Act: Hearings before the Subcommittee on Civil and Constitutional Rights of the House Committee on the Judiciary, 97th Cong., 1st Sess., pt. 3, pp. 2246, 2265 (1981) (appendix to letter from James P. Turner, Acting Ass't Attorney General, to Rep. Edwards dated Apr. 9, 1981). Parties from New York, North Carolina, and Alabama submitted changes in 1972. See D. Hunter, Federal Review of Voting Changes 69, n. 30 (1974), reprinted in Hearings before the Subcommittee on Civil and Constitutional Rights of the House Committee on the Judiciary, 94th Cong., 1st Sess., 1541 (1975). In MacGuire v. Amos, 343 F.Supp. 119, 121 (MD Ala. 1972), a three-judge court held that rules promulgated by the Alabama Democratic and Republican Parties governing election of national delegates required preclearance, despite the fact that the rules were not passed by "the State's legislature or by a political subdivision of the State." As a result of this decision, the Democratic Party of Alabama sought judicial preclearance under § 5. See Vance v. United States, Civ. Action No. 1529-72 (DDC Nov. 30, 1972), cited in Hunter Federal Review of Voting Changes at 69, n. 30.</w:t>
      </w:r>
    </w:p>
    <w:p w:rsidR="00A31137" w:rsidRPr="00A31137" w:rsidRDefault="00A31137" w:rsidP="00A31137">
      <w:r w:rsidRPr="00A31137">
        <w:t>1996, Morse v. Republican Party of Virginia, No. 94-203</w:t>
      </w:r>
    </w:p>
    <w:p w:rsidR="00A31137" w:rsidRPr="00A31137" w:rsidRDefault="00A31137" w:rsidP="00A31137">
      <w:r w:rsidRPr="00A31137">
        <w:t>19.</w:t>
      </w:r>
    </w:p>
    <w:p w:rsidR="00A31137" w:rsidRPr="00A31137" w:rsidRDefault="00A31137" w:rsidP="00A31137">
      <w:r w:rsidRPr="00A31137">
        <w:t>1996, Morse v. Republican Party of Virginia, No. 94-203</w:t>
      </w:r>
    </w:p>
    <w:p w:rsidR="00A31137" w:rsidRPr="00A31137" w:rsidRDefault="00A31137" w:rsidP="00A31137">
      <w:r w:rsidRPr="00A31137">
        <w:t>The State has no connection with the delegate selection process or State Party's rules and regulations other than allowing the rules and regulations to be filed under Ga. Code Ann. § 34-902. The purpose of such filing is merely to provide a place for public inspection of the State Party's rules and regulations.</w:t>
      </w:r>
    </w:p>
    <w:p w:rsidR="00A31137" w:rsidRPr="00A31137" w:rsidRDefault="00A31137" w:rsidP="00A31137">
      <w:r w:rsidRPr="00A31137">
        <w:t>1996, Morse v. Republican Party of Virginia, No. 94-203</w:t>
      </w:r>
    </w:p>
    <w:p w:rsidR="00A31137" w:rsidRPr="00A31137" w:rsidRDefault="00A31137" w:rsidP="00A31137">
      <w:r w:rsidRPr="00A31137">
        <w:t>Williams v. Democratic Party of Georgia, Civ. Action No. 16286 (ND Ga., Apr. 6, 1972), pp. 4-5. In their motion to affirm in that case, the appellees noted that the Secretary of State of Georgia was obligated to approve a political party's rules applicable to the selection of candidates for public office by convention but had no authority to review the rules and regulations promulgated by the National Democratic Party governing the selection of delegates to its national convention. Under the Attorney General's regulation that is now in effect, preclearance of the National Democratic Party's Rule change would not have been required if the District Court's interpretation of Georgia law was correct. Our summary affirmance no doubt accepted that Court's view of the relevant state law. Cf. Bishop v. Wood, 426 U.S. 341, 345-346 (1976).</w:t>
      </w:r>
    </w:p>
    <w:p w:rsidR="00A31137" w:rsidRPr="00A31137" w:rsidRDefault="00A31137" w:rsidP="00A31137">
      <w:r w:rsidRPr="00A31137">
        <w:t>1996, Morse v. Republican Party of Virginia, No. 94-203</w:t>
      </w:r>
    </w:p>
    <w:p w:rsidR="00A31137" w:rsidRPr="00A31137" w:rsidRDefault="00A31137" w:rsidP="00A31137">
      <w:r w:rsidRPr="00A31137">
        <w:t>20. See, e.g., Fortune v. Kings County Democratic Comm., 598 F.Supp. 761, 764 (EDNY 1984) (requiring preclearance of change in voting membership of county party executive committee, because those members performed a "public electoral function" in filling vacancies in nominations for state office).</w:t>
      </w:r>
    </w:p>
    <w:p w:rsidR="00A31137" w:rsidRPr="00A31137" w:rsidRDefault="00A31137" w:rsidP="00A31137">
      <w:r w:rsidRPr="00A31137">
        <w:t>1996, Morse v. Republican Party of Virginia, No. 94-203</w:t>
      </w:r>
    </w:p>
    <w:p w:rsidR="00A31137" w:rsidRPr="00A31137" w:rsidRDefault="00A31137" w:rsidP="00A31137">
      <w:r w:rsidRPr="00A31137">
        <w:t>21. We also note that a summary affirmance by this Court is a "rather slender reed" on which to rest future decisions. Anderson v. Celebrezze, 460 U.S. 780, 784-785, n. 5 (1983).</w:t>
      </w:r>
    </w:p>
    <w:p w:rsidR="00A31137" w:rsidRPr="00A31137" w:rsidRDefault="00A31137" w:rsidP="00A31137">
      <w:r w:rsidRPr="00A31137">
        <w:t>1996, Morse v. Republican Party of Virginia, No. 94-203</w:t>
      </w:r>
    </w:p>
    <w:p w:rsidR="00A31137" w:rsidRPr="00A31137" w:rsidRDefault="00A31137" w:rsidP="00A31137">
      <w:r w:rsidRPr="00A31137">
        <w:t>A summary disposition affirms only the judgment of the court below, and no more may be read into our action than was essential to sustain that judgment.</w:t>
      </w:r>
    </w:p>
    <w:p w:rsidR="00A31137" w:rsidRPr="00A31137" w:rsidRDefault="00A31137" w:rsidP="00A31137">
      <w:r w:rsidRPr="00A31137">
        <w:t>1996, Morse v. Republican Party of Virginia, No. 94-203</w:t>
      </w:r>
    </w:p>
    <w:p w:rsidR="00A31137" w:rsidRPr="00A31137" w:rsidRDefault="00A31137" w:rsidP="00A31137">
      <w:r w:rsidRPr="00A31137">
        <w:t>Ibid. Either of the two grounds discussed above—the State's noninvolvement or the absence of suitable administrative procedures for submission—would have sufficed for our affirmance.</w:t>
      </w:r>
    </w:p>
    <w:p w:rsidR="00A31137" w:rsidRPr="00A31137" w:rsidRDefault="00A31137" w:rsidP="00A31137">
      <w:r w:rsidRPr="00A31137">
        <w:t>1996, Morse v. Republican Party of Virginia, No. 94-203</w:t>
      </w:r>
    </w:p>
    <w:p w:rsidR="00A31137" w:rsidRPr="00A31137" w:rsidRDefault="00A31137" w:rsidP="00A31137">
      <w:r w:rsidRPr="00A31137">
        <w:t>22. Virginia created its first signature requirement for self-nominated candidates in 1936. See Va. Code Ann., Tit. 6, § 154 (1936) (requiring petition signed by 250 qualified voters of the Commonwealth). Although the Commonwealth maintains limited legislative history records, contemporary news accounts reported that the provision was designed to "discourage cranks and persons who for personal glorification take advantage of the very liberal terms of the election code." New Qualification, The Richmond News Leader, Mar. 6, 1936, p. 8. Then as now, political parties were exempt from the signature requirement.</w:t>
      </w:r>
    </w:p>
    <w:p w:rsidR="00A31137" w:rsidRPr="00A31137" w:rsidRDefault="00A31137" w:rsidP="00A31137">
      <w:r w:rsidRPr="00A31137">
        <w:t>1996, Morse v. Republican Party of Virginia, No. 94-203</w:t>
      </w:r>
    </w:p>
    <w:p w:rsidR="00A31137" w:rsidRPr="00A31137" w:rsidRDefault="00A31137" w:rsidP="00A31137">
      <w:r w:rsidRPr="00A31137">
        <w:t>23. Quoting this very language, we have observed that candidates are nominated, not elected. Chisom v. Roemer, 501 U.S. 380, 400 (1991). It is not anomalous, therefore, to hold that § 5 applies regardless of the means of nomination.</w:t>
      </w:r>
    </w:p>
    <w:p w:rsidR="00A31137" w:rsidRPr="00A31137" w:rsidRDefault="00A31137" w:rsidP="00A31137">
      <w:r w:rsidRPr="00A31137">
        <w:t>1996, Morse v. Republican Party of Virginia, No. 94-203</w:t>
      </w:r>
    </w:p>
    <w:p w:rsidR="00A31137" w:rsidRPr="00A31137" w:rsidRDefault="00A31137" w:rsidP="00A31137">
      <w:r w:rsidRPr="00A31137">
        <w:t>24. See Brief for Appellees 2; App. 32 (Republican Party Plan, Art. II, ¶ 22) (defining "Party Canvass" as "a method of electing…delegates to Conventions"); id. at 52 (Plan, Art. VIII, § A, ¶ 3) (referring to "any election by a Mass Meeting, Party Canvass, or Convention"); id. at 56 (Plan, Art. VIII, § H, ¶ 4); id. at 23 (affidavit of David S. Johnson, Executive Dir. of Republican Party of Virginia, ¶¶ 5,8). The call for the state convention itself, to which appellants responded, stated:</w:t>
      </w:r>
    </w:p>
    <w:p w:rsidR="00A31137" w:rsidRPr="00A31137" w:rsidRDefault="00A31137" w:rsidP="00A31137">
      <w:r w:rsidRPr="00A31137">
        <w:t>1996, Morse v. Republican Party of Virginia, No. 94-203</w:t>
      </w:r>
    </w:p>
    <w:p w:rsidR="00A31137" w:rsidRPr="00A31137" w:rsidRDefault="00A31137" w:rsidP="00A31137">
      <w:r w:rsidRPr="00A31137">
        <w:t>The delegates and alternates shall be elected in county and city Mass Meetings, Conventions, or Party Canvasses that shall be held between March 1, 1994 and April 1, 1994.</w:t>
      </w:r>
    </w:p>
    <w:p w:rsidR="00A31137" w:rsidRPr="00A31137" w:rsidRDefault="00A31137" w:rsidP="00A31137">
      <w:r w:rsidRPr="00A31137">
        <w:t>1996, Morse v. Republican Party of Virginia, No. 94-203</w:t>
      </w:r>
    </w:p>
    <w:p w:rsidR="00A31137" w:rsidRPr="00A31137" w:rsidRDefault="00A31137" w:rsidP="00A31137">
      <w:r w:rsidRPr="00A31137">
        <w:t>Id. at 62.</w:t>
      </w:r>
    </w:p>
    <w:p w:rsidR="00A31137" w:rsidRPr="00A31137" w:rsidRDefault="00A31137" w:rsidP="00A31137">
      <w:r w:rsidRPr="00A31137">
        <w:t>1996, Morse v. Republican Party of Virginia, No. 94-203</w:t>
      </w:r>
    </w:p>
    <w:p w:rsidR="00A31137" w:rsidRPr="00A31137" w:rsidRDefault="00A31137" w:rsidP="00A31137">
      <w:r w:rsidRPr="00A31137">
        <w:t>25. In fact, it did not. The 1981 House Report states that</w:t>
      </w:r>
    </w:p>
    <w:p w:rsidR="00A31137" w:rsidRPr="00A31137" w:rsidRDefault="00A31137" w:rsidP="00A31137">
      <w:r w:rsidRPr="00A31137">
        <w:t>1996, Morse v. Republican Party of Virginia, No. 94-203</w:t>
      </w:r>
    </w:p>
    <w:p w:rsidR="00A31137" w:rsidRPr="00A31137" w:rsidRDefault="00A31137" w:rsidP="00A31137">
      <w:r w:rsidRPr="00A31137">
        <w:t>whether a discriminatory practice or procedure is of recent origin affects only the mechanism that triggers relief, i.e., litigation or preclearance.</w:t>
      </w:r>
    </w:p>
    <w:p w:rsidR="00A31137" w:rsidRPr="00A31137" w:rsidRDefault="00A31137" w:rsidP="00A31137">
      <w:r w:rsidRPr="00A31137">
        <w:t>1996, Morse v. Republican Party of Virginia, No. 94-203</w:t>
      </w:r>
    </w:p>
    <w:p w:rsidR="00A31137" w:rsidRPr="00A31137" w:rsidRDefault="00A31137" w:rsidP="00A31137">
      <w:r w:rsidRPr="00A31137">
        <w:t>H.R.Rep. No. 97-227, p. 28. That statement indicates that the substantive standards for § 2 and § 5 violations are the same, so long as the challenged practice represents a change from 1965 conditions, as the filing fee did here. Even more explicitly, the 1982 Senate Report states that "a section 5 objection also follow[s] if a new voting procedure itself so discriminates as to violate section 2." S.Rep. No. 97-417, p. 12, n. 31 (1982). The Report refers to voting procedures that dilute minority voting strength. See id. at 10. We have recognized that measures undertaken by both "'State legislatures and political party committees'" have had just such dilutive effects, through devices that included</w:t>
      </w:r>
    </w:p>
    <w:p w:rsidR="00A31137" w:rsidRPr="00A31137" w:rsidRDefault="00A31137" w:rsidP="00A31137">
      <w:r w:rsidRPr="00A31137">
        <w:t>1996, Morse v. Republican Party of Virginia, No. 94-203</w:t>
      </w:r>
    </w:p>
    <w:p w:rsidR="00A31137" w:rsidRPr="00A31137" w:rsidRDefault="00A31137" w:rsidP="00A31137">
      <w:r w:rsidRPr="00A31137">
        <w:t>"switching to at-large elections where Negro voting strength is concentrated in particular election districts, facilitating the consolidation of predominantly Negro and predominantly white counties, and redrawing the lines of districts to divide concentrations of Negro voting strength."</w:t>
      </w:r>
    </w:p>
    <w:p w:rsidR="00A31137" w:rsidRPr="00A31137" w:rsidRDefault="00A31137" w:rsidP="00A31137">
      <w:r w:rsidRPr="00A31137">
        <w:t>1996, Morse v. Republican Party of Virginia, No. 94-203</w:t>
      </w:r>
    </w:p>
    <w:p w:rsidR="00A31137" w:rsidRPr="00A31137" w:rsidRDefault="00A31137" w:rsidP="00A31137">
      <w:r w:rsidRPr="00A31137">
        <w:t>Perkins v. Matthews, 400 U.S. 379,  389 (1971) (quoting Hearings on Voting Rights Act Extension before Subcommittee No. 5 of the House Committee on the Judiciary, 91st Cong., 1st Sess., 17 (1969) (remarks of Mr. Glickstein)) (emphasis added). See also n. 27, infra. Contrary to JUSTICE THOMAS, therefore, Congress has already "harmonize[d]" §§ 2 and 5, see post at ___; it is he who seeks to sunder them.</w:t>
      </w:r>
    </w:p>
    <w:p w:rsidR="00A31137" w:rsidRPr="00A31137" w:rsidRDefault="00A31137" w:rsidP="00A31137">
      <w:r w:rsidRPr="00A31137">
        <w:t>1996, Morse v. Republican Party of Virginia, No. 94-203</w:t>
      </w:r>
    </w:p>
    <w:p w:rsidR="00A31137" w:rsidRPr="00A31137" w:rsidRDefault="00A31137" w:rsidP="00A31137">
      <w:r w:rsidRPr="00A31137">
        <w:t>26. "To enforce the fifteenth amendment to the Constitution of the United States, and for other purposes." 79 Stat. 437.</w:t>
      </w:r>
    </w:p>
    <w:p w:rsidR="00A31137" w:rsidRPr="00A31137" w:rsidRDefault="00A31137" w:rsidP="00A31137">
      <w:r w:rsidRPr="00A31137">
        <w:t>1996, Morse v. Republican Party of Virginia, No. 94-203</w:t>
      </w:r>
    </w:p>
    <w:p w:rsidR="00A31137" w:rsidRPr="00A31137" w:rsidRDefault="00A31137" w:rsidP="00A31137">
      <w:r w:rsidRPr="00A31137">
        <w:t>27. Congress was plainly aware of the power of political parties to carry out discriminatory electoral practices as a supplement to or a substitute for voting discrimination by government officials. Of course, the White Primary Cases supplied the primary historical examples of such practices. See H.R.Rep. No. 439, 89th Cong., 1st Sess., 8 (1965). In addition, during the 1970 extension of the Act, Congress heard testimony from the Director of the United States Civil Rights Commission wherein he reiterated the influence political parties continued to exercise over the electoral process in jurisdictions designated under the Act. He testified that</w:t>
      </w:r>
    </w:p>
    <w:p w:rsidR="00A31137" w:rsidRPr="00A31137" w:rsidRDefault="00A31137" w:rsidP="00A31137">
      <w:r w:rsidRPr="00A31137">
        <w:t>1996, Morse v. Republican Party of Virginia, No. 94-203</w:t>
      </w:r>
    </w:p>
    <w:p w:rsidR="00A31137" w:rsidRPr="00A31137" w:rsidRDefault="00A31137" w:rsidP="00A31137">
      <w:r w:rsidRPr="00A31137">
        <w:t>[s]tate legislatures and political party committees in Alabama and Mississippi have adopted laws or rules since the passage of the act which have had the purpose or effect of diluting the votes of newly enfranchised Negro voters.</w:t>
      </w:r>
    </w:p>
    <w:p w:rsidR="00A31137" w:rsidRPr="00A31137" w:rsidRDefault="00A31137" w:rsidP="00A31137">
      <w:r w:rsidRPr="00A31137">
        <w:t>1996, Morse v. Republican Party of Virginia, No. 94-203</w:t>
      </w:r>
    </w:p>
    <w:p w:rsidR="00A31137" w:rsidRPr="00A31137" w:rsidRDefault="00A31137" w:rsidP="00A31137">
      <w:r w:rsidRPr="00A31137">
        <w:t>Hearings on Voting Rights Act Extension before Subcommittee No. 5 of the House Committee on the Judiciary, 91st Cong., 1st Sess., 17 (1969) (remarks of Mr. Glickstein), quoted in Perkins v. Matthews, 400 U.S. at  389. As examples, he introduced evidence that in 1968 the Mississippi Democratic Party persisted in its "pattern of exclusion of and discrimination against Negroes at precinct meetings, county conventions and the State convention," id. at 18-19; that other officials "withheld information from black party members about party precinct meetings and conventions or have prevented them from participating fully," id. at 18, 43; that the Alabama Democratic Party raised candidate filing fees for some of its primaries tenfold after blacks began voting in large numbers, id. at 18, 27; and that various party executive committees refused to count votes by blacks who were not on the registration books, even if they were listed by the Federal Examiner, id. at 46, engaged in discriminatory purges of black voters, id. at 48, and misled black candidates about the requirements for running in primary elections or did not notify them of their failure to qualify until after deadlines had passed, id. at 46-47.</w:t>
      </w:r>
    </w:p>
    <w:p w:rsidR="00A31137" w:rsidRPr="00A31137" w:rsidRDefault="00A31137" w:rsidP="00A31137">
      <w:r w:rsidRPr="00A31137">
        <w:t>1996, Morse v. Republican Party of Virginia, No. 94-203</w:t>
      </w:r>
    </w:p>
    <w:p w:rsidR="00A31137" w:rsidRPr="00A31137" w:rsidRDefault="00A31137" w:rsidP="00A31137">
      <w:r w:rsidRPr="00A31137">
        <w:t>In his testimony, Director Glickstein summarized the more extensive findings about discriminatory electoral practices carried out by the established political parties that were set forth in a report prepared by the United States Commission on Civil Rights pursuant to congressional directive. See id. at 17-18. It concluded that, three years after passage of the Act,</w:t>
      </w:r>
    </w:p>
    <w:p w:rsidR="00A31137" w:rsidRPr="00A31137" w:rsidRDefault="00A31137" w:rsidP="00A31137">
      <w:r w:rsidRPr="00A31137">
        <w:t>1996, Morse v. Republican Party of Virginia, No. 94-203</w:t>
      </w:r>
    </w:p>
    <w:p w:rsidR="00A31137" w:rsidRPr="00A31137" w:rsidRDefault="00A31137" w:rsidP="00A31137">
      <w:r w:rsidRPr="00A31137">
        <w:t>in some areas, there has been little or no progress in the entry and participation by Negroes in political party affairs—the key to meaningful participation in the electoral process. Some of the practices found are reminiscent of those which existed at an earlier time during Reconstruction when fear of "Negro government" gave rise to intimidation and a number of election contrivances which finally led to disenfranchisement of the Negro citizen.</w:t>
      </w:r>
    </w:p>
    <w:p w:rsidR="00A31137" w:rsidRPr="00A31137" w:rsidRDefault="00A31137" w:rsidP="00A31137">
      <w:r w:rsidRPr="00A31137">
        <w:t>1996, Morse v. Republican Party of Virginia, No. 94-203</w:t>
      </w:r>
    </w:p>
    <w:p w:rsidR="00A31137" w:rsidRPr="00A31137" w:rsidRDefault="00A31137" w:rsidP="00A31137">
      <w:r w:rsidRPr="00A31137">
        <w:t>U.S. Commission on Civil Rights, Political Participation 178 (May 1968).</w:t>
      </w:r>
    </w:p>
    <w:p w:rsidR="00A31137" w:rsidRPr="00A31137" w:rsidRDefault="00A31137" w:rsidP="00A31137">
      <w:r w:rsidRPr="00A31137">
        <w:t>1996, Morse v. Republican Party of Virginia, No. 94-203</w:t>
      </w:r>
    </w:p>
    <w:p w:rsidR="00A31137" w:rsidRPr="00A31137" w:rsidRDefault="00A31137" w:rsidP="00A31137">
      <w:r w:rsidRPr="00A31137">
        <w:t>28. The analogy is even closer, for the Jaybirds originally performed their nominations in mass meetings. See 345 U.S. at  470 (opinion of Frankfurter, J.); id. at  480 (Clark, J., concurring). Nothing in any of the opinions suggests—and it would be perverse to suppose—that the Jaybirds' nominating activities only became unconstitutional when they switched to balloting methods.</w:t>
      </w:r>
    </w:p>
    <w:p w:rsidR="00A31137" w:rsidRPr="00A31137" w:rsidRDefault="00A31137" w:rsidP="00A31137">
      <w:r w:rsidRPr="00A31137">
        <w:t>1996, Morse v. Republican Party of Virginia, No. 94-203</w:t>
      </w:r>
    </w:p>
    <w:p w:rsidR="00A31137" w:rsidRPr="00A31137" w:rsidRDefault="00A31137" w:rsidP="00A31137">
      <w:r w:rsidRPr="00A31137">
        <w:t>29. JUSTICE THOMAS' claim that there has been no purposeful evasion of the Constitution, see post at ___, is therefore irrelevant.</w:t>
      </w:r>
    </w:p>
    <w:p w:rsidR="00A31137" w:rsidRPr="00A31137" w:rsidRDefault="00A31137" w:rsidP="00A31137">
      <w:r w:rsidRPr="00A31137">
        <w:t>1996, Morse v. Republican Party of Virginia, No. 94-203</w:t>
      </w:r>
    </w:p>
    <w:p w:rsidR="00A31137" w:rsidRPr="00A31137" w:rsidRDefault="00A31137" w:rsidP="00A31137">
      <w:r w:rsidRPr="00A31137">
        <w:t>30. Appellees' theory is particularly unpersuasive in light of the fact that other parts of the Voting Rights Act reach beyond the scope of § 1 of the Fifteenth Amendment. For example, the Act created a per se ban on literacy tests despite this Court's decision that facially fair tests are not themselves unconstitutional. Lassiter v. Northampton County Bd. of Elections, 360 U.S. 45 (1959). We upheld this exercise of Congress' power under § 2 of the Amendment without overruling Lassiter. South Carolina v. Katzenbach, 383 U.S. 301,  334 (1966); see also City of Rome v. United States, 446 U.S. 156, 173-178 (1980). Congress again legislated beyond the reach of the Fifteenth Amendment when it amended § 2 of the Act to reject the "intent test" propounded in Mobile v. Bolden, 446 U.S. 55 (1980). See S.Rep. No. 97-417 at 39-43.</w:t>
      </w:r>
    </w:p>
    <w:p w:rsidR="00A31137" w:rsidRPr="00A31137" w:rsidRDefault="00A31137" w:rsidP="00A31137">
      <w:r w:rsidRPr="00A31137">
        <w:t>1996, Morse v. Republican Party of Virginia, No. 94-203</w:t>
      </w:r>
    </w:p>
    <w:p w:rsidR="00A31137" w:rsidRPr="00A31137" w:rsidRDefault="00A31137" w:rsidP="00A31137">
      <w:r w:rsidRPr="00A31137">
        <w:t>31. JUSTICE THOMAS contends that United States v. Classic is inapplicable because Party nominating conventions are not "'by law made an integral part of the election machinery.'" Post at ___, n. 12. Moore v. Ogilvie, 394 U.S. 814 (1969), shows that this view is incorrect. The Court in Moore held that the use of nominating petitions by independent candidates was an "'integral part of the election process,'" even though a nominating petition obviously is not a primary, and that procedure plainly was not "merged by law," post at ___, n. 12, into the State's election apparatus. See 394 U.S. at 818 (citing Classic and Smith); MacDougall v. Green, 335 U.S. 281, 288 (1948) (Douglas, J., dissenting). See also Hearings on H.R. 6400 before Subcommittee No. 5 of the House Committee on the Judiciary, 89th Cong., 1st Sess., 457 (1965) (statement of Rep. Bingham) ("It is clear that political party meetings, councils, conventions, and referendums which lead to endorsement or selection of candidates who will run in primary or general elections are, in most instances, a vital part of the election process") (citing Smith and Terry).</w:t>
      </w:r>
    </w:p>
    <w:p w:rsidR="00A31137" w:rsidRPr="00A31137" w:rsidRDefault="00A31137" w:rsidP="00A31137">
      <w:r w:rsidRPr="00A31137">
        <w:t>1996, Morse v. Republican Party of Virginia, No. 94-203</w:t>
      </w:r>
    </w:p>
    <w:p w:rsidR="00A31137" w:rsidRPr="00A31137" w:rsidRDefault="00A31137" w:rsidP="00A31137">
      <w:r w:rsidRPr="00A31137">
        <w:t>32. The Party makes passing reference to the idea in its brief, but the surrounding argument makes clear that it only challenges application of the regulation to its nominating activities. See Brief for Appellees 30-40. At oral argument, moreover, the Party confirmed that it believed § 5 could encompass the activities of political parties. See Tr. Oral Arg. 28-30.</w:t>
      </w:r>
    </w:p>
    <w:p w:rsidR="00A31137" w:rsidRPr="00A31137" w:rsidRDefault="00A31137" w:rsidP="00A31137">
      <w:r w:rsidRPr="00A31137">
        <w:t>1996, Morse v. Republican Party of Virginia, No. 94-203</w:t>
      </w:r>
    </w:p>
    <w:p w:rsidR="00A31137" w:rsidRPr="00A31137" w:rsidRDefault="00A31137" w:rsidP="00A31137">
      <w:r w:rsidRPr="00A31137">
        <w:t>33. The statute defines "political subdivision" as a unit of government that registers voters. 42 U.S.C. § 1973l(c)(2) (1988 ed.).</w:t>
      </w:r>
    </w:p>
    <w:p w:rsidR="00A31137" w:rsidRPr="00A31137" w:rsidRDefault="00A31137" w:rsidP="00A31137">
      <w:r w:rsidRPr="00A31137">
        <w:t>1996, Morse v. Republican Party of Virginia, No. 94-203</w:t>
      </w:r>
    </w:p>
    <w:p w:rsidR="00A31137" w:rsidRPr="00A31137" w:rsidRDefault="00A31137" w:rsidP="00A31137">
      <w:r w:rsidRPr="00A31137">
        <w:t>34. JUSTICE KENNEDY and JUSTICE THOMAS nevertheless argue that Congress should have borrowed language from 42 U.S.C. § 1983 if it had intended § 5 to cover political parties. To bolster the point, they cite the "Prohibited acts" provision of the Act, § 11(a), which forbids any "person acting under color of law" to interfere with the exercise of the right to vote. See 42 U.S.C. § 1973i(a) (1988 ed.). It is quite natural, however, that Congress would draw on § 1983 when it sought to draft provisions that established individual liability for persons who violate civil rights such as the right to vote. Section 1983 was designed "to give a remedy to parties deprived of constitutional rights, privileges and immunities by an official's abuse of his position." Monroe v. Pape, 365 U.S. 167,  172 (1961). Section 11(a) served exactly the same end, and therefore used similar language.</w:t>
      </w:r>
    </w:p>
    <w:p w:rsidR="00A31137" w:rsidRPr="00A31137" w:rsidRDefault="00A31137" w:rsidP="00A31137">
      <w:r w:rsidRPr="00A31137">
        <w:t>1996, Morse v. Republican Party of Virginia, No. 94-203</w:t>
      </w:r>
    </w:p>
    <w:p w:rsidR="00A31137" w:rsidRPr="00A31137" w:rsidRDefault="00A31137" w:rsidP="00A31137">
      <w:r w:rsidRPr="00A31137">
        <w:t>By contrast, Congress would not have looked to § 1983 to supply language for § 5 for the simple reason that § 1983 does not reach the one type of entity Congress most desired § 5 to cover: the States themselves. See Will v. Michigan Dept. of State Police, 491 U.S. 58 (1989). JUSTICE THOMAS tries to avoid this problem by proposing a new, disjunctive statutory phrase that is supposedly clearer than the present § 5: "'State or political subdivision or any person acting under color of State law.'" Post at ___ (emphasis deleted). That concatenation of elements, however, appears in no statute ever enacted, so it is unclear why it is preferable to language that had already been construed by this Court. Furthermore, the "person acting under color of state law" locution would be simultaneously too broad and too narrow in that context. Section 5 focuses not on actions that individuals carry out, but on voting practices that organizations enact or implement. Ordinary "persons" do not create and implement voting practices. At the same time, the "plain meaning" of the word "person" does not include political parties. While "person" can be read more broadly, so can "State," as our precedents show. Finally, if "person" reached non-natural entities, it would become partly redundant with the word "State," which the dissent itself concedes encompasses political units smaller than States. See Sheffield; Dougherty. In short, it is hardly surprising that Congress opted for the language of the Constitution rather than JUSTICE THOMAS' concocted phrase.</w:t>
      </w:r>
    </w:p>
    <w:p w:rsidR="00A31137" w:rsidRPr="00A31137" w:rsidRDefault="00A31137" w:rsidP="00A31137">
      <w:r w:rsidRPr="00A31137">
        <w:t>1996, Morse v. Republican Party of Virginia, No. 94-203</w:t>
      </w:r>
    </w:p>
    <w:p w:rsidR="00A31137" w:rsidRPr="00A31137" w:rsidRDefault="00A31137" w:rsidP="00A31137">
      <w:r w:rsidRPr="00A31137">
        <w:t>35. JUSTICE THOMAS is unwilling to accept our representation as to the reasoning underlying our decision; he goes on at great length about our treatment of the regulation, claiming that we "displac[e]" § 5 with it, post at ___, n. 4; that we "substitut[e]" it as the "analytical starting point" of the case, post at ___; and that, by considering it, we somehow prejudge the question presented, post at ___. None of these assertions is accurate. We begin our discussion of the case by analyzing the regulation for the simple reason that the District Court rested its decision on that ground, and the Party argues that the regulation supports its position.</w:t>
      </w:r>
    </w:p>
    <w:p w:rsidR="00A31137" w:rsidRPr="00A31137" w:rsidRDefault="00A31137" w:rsidP="00A31137">
      <w:r w:rsidRPr="00A31137">
        <w:t>1996, Morse v. Republican Party of Virginia, No. 94-203</w:t>
      </w:r>
    </w:p>
    <w:p w:rsidR="00A31137" w:rsidRPr="00A31137" w:rsidRDefault="00A31137" w:rsidP="00A31137">
      <w:r w:rsidRPr="00A31137">
        <w:t>36. While JUSTICE THOMAS relies heavily on JUSTICE O'CONNOR's dissenting opinion in Edmonson v. Leesville Concrete Co., 500 U.S. 614 (1991), he overlooks the fact that the Court's holding in that case makes it clear that state delegation of selection powers to two adversaries, instead of just one state actor, does not preclude a finding of state action. The Edmonson dissent argued that, since peremptory strikes are available to both opposing sides in a lawsuit, the State cannot simultaneously advance each party's use. The dissent reasoned, therefore, that the State is "neutral" as to their use, and not "'responsible'" for it. Id. at 643 (opinion of O'CONNOR, J.). Virginia, on the other hand, grants automatic ballot access to only two entities, and requires everyone else to comply with more onerous requirements. As we have shown, Virginia gives a host of special privileges to the major parties, including automatic access, preferential placement, choice of nominating method, and the power to replace disqualified candidates. See supra at ___, and nn. 10-13. It is perfectly natural, therefore, to hold that Virginia seeks to advance the ends of both the major parties.</w:t>
      </w:r>
    </w:p>
    <w:p w:rsidR="00A31137" w:rsidRPr="00A31137" w:rsidRDefault="00A31137" w:rsidP="00A31137">
      <w:r w:rsidRPr="00A31137">
        <w:t>1996, Morse v. Republican Party of Virginia, No. 94-203</w:t>
      </w:r>
    </w:p>
    <w:p w:rsidR="00A31137" w:rsidRPr="00A31137" w:rsidRDefault="00A31137" w:rsidP="00A31137">
      <w:r w:rsidRPr="00A31137">
        <w:t>37. This conclusion is buttressed by the fact that in most covered jurisdictions party candidates are selected in primary elections which are admittedly subject to the preclearance requirement. Apparently, Alabama and Virginia are the only two States covered by the Act that authorize the use of conventions to nominate candidates for statewide office. See Council of State Governments, Book of the States 217-218 (1994-1995 ed.).</w:t>
      </w:r>
    </w:p>
    <w:p w:rsidR="00A31137" w:rsidRPr="00A31137" w:rsidRDefault="00A31137" w:rsidP="00A31137">
      <w:r w:rsidRPr="00A31137">
        <w:t>1996, Morse v. Republican Party of Virginia, No. 94-203</w:t>
      </w:r>
    </w:p>
    <w:p w:rsidR="00A31137" w:rsidRPr="00A31137" w:rsidRDefault="00A31137" w:rsidP="00A31137">
      <w:r w:rsidRPr="00A31137">
        <w:t>We also note that States may remove themselves from the special provisions of the Act, such as preclearance, by means of the bailout mechanisms provided in § 4. Several States and political subdivisions initially designated for coverage have successfully availed themselves of these procedures. See, e.g., S.Rep. No. 94-295, p. 35 (1975) (citing bailouts by Alaska; Wake County, North Carolina; Elmore County, Idaho; and Apache, Navajo, and Coconino Counties, Arizona).</w:t>
      </w:r>
    </w:p>
    <w:p w:rsidR="00A31137" w:rsidRPr="00A31137" w:rsidRDefault="00A31137" w:rsidP="00A31137">
      <w:r w:rsidRPr="00A31137">
        <w:t>1996, Morse v. Republican Party of Virginia, No. 94-203</w:t>
      </w:r>
    </w:p>
    <w:p w:rsidR="00A31137" w:rsidRPr="00A31137" w:rsidRDefault="00A31137" w:rsidP="00A31137">
      <w:r w:rsidRPr="00A31137">
        <w:t>38. We recognize that there is a narrow category of exceptional cases in which litigants</w:t>
      </w:r>
    </w:p>
    <w:p w:rsidR="00A31137" w:rsidRPr="00A31137" w:rsidRDefault="00A31137" w:rsidP="00A31137">
      <w:r w:rsidRPr="00A31137">
        <w:t>1996, Morse v. Republican Party of Virginia, No. 94-203</w:t>
      </w:r>
    </w:p>
    <w:p w:rsidR="00A31137" w:rsidRPr="00A31137" w:rsidRDefault="00A31137" w:rsidP="00A31137">
      <w:r w:rsidRPr="00A31137">
        <w:t>are permitted to challenge a statute not because their own rights are violated, but because of a judicial prediction or assumption that the statute's very existence may cause others not before the court to refrain from constitutionally protected speech or expression.</w:t>
      </w:r>
    </w:p>
    <w:p w:rsidR="00A31137" w:rsidRPr="00A31137" w:rsidRDefault="00A31137" w:rsidP="00A31137">
      <w:r w:rsidRPr="00A31137">
        <w:t>1996, Morse v. Republican Party of Virginia, No. 94-203</w:t>
      </w:r>
    </w:p>
    <w:p w:rsidR="00A31137" w:rsidRPr="00A31137" w:rsidRDefault="00A31137" w:rsidP="00A31137">
      <w:r w:rsidRPr="00A31137">
        <w:t>Broadrick v. Oklahoma, 413 U.S. 601,  612 (1973). Because a claim of facial overbreadth, if successful, is such "strong medicine," the doctrine "has been employed by the Court sparingly and only as a last resort." Id. at  613. Specifically, as is the case with § 5 of the Voting Rights Act,</w:t>
      </w:r>
    </w:p>
    <w:p w:rsidR="00A31137" w:rsidRPr="00A31137" w:rsidRDefault="00A31137" w:rsidP="00A31137">
      <w:r w:rsidRPr="00A31137">
        <w:t>1996, Morse v. Republican Party of Virginia, No. 94-203</w:t>
      </w:r>
    </w:p>
    <w:p w:rsidR="00A31137" w:rsidRPr="00A31137" w:rsidRDefault="00A31137" w:rsidP="00A31137">
      <w:r w:rsidRPr="00A31137">
        <w:t>where conduct and not merely speech is involved, we believe that the overbreadth of a statute must not only be real, but substantial as well, judged by the statute's plainly legitimate sweep.</w:t>
      </w:r>
    </w:p>
    <w:p w:rsidR="00A31137" w:rsidRPr="00A31137" w:rsidRDefault="00A31137" w:rsidP="00A31137">
      <w:r w:rsidRPr="00A31137">
        <w:t>1996, Morse v. Republican Party of Virginia, No. 94-203</w:t>
      </w:r>
    </w:p>
    <w:p w:rsidR="00A31137" w:rsidRPr="00A31137" w:rsidRDefault="00A31137" w:rsidP="00A31137">
      <w:r w:rsidRPr="00A31137">
        <w:t>Id. at  615. The breadth and importance of the legitimate sweep of § 5 have been demonstrated in a long and unbroken line of decisions applying its preclearance requirements to covered jurisdictions. Even among political parties, it is undisputed that the right of associative freedom would not provide a defense to many practices condemned by § 5. See Smith, 321 U.S. at  657; Eu, 489 U.S. at 232. Cf. Tashjian v. Republican Party of Conn., 479 U.S. 208,  237 (1986) (SCALIA, J., dissenting) (the State "may lawfully require that significant elements of the democratic election process be democratic—whether the Party wants that or not"). Presumably that is why appellees have not argued that § 5 is invalid on its face. Unlike Justice SCALIA, we do not believe that the possibility that some future application of the statute might violate the First Amendment justifies a departure from our "traditional rules governing constitutional adjudication." 413 U.S. at  610.</w:t>
      </w:r>
    </w:p>
    <w:p w:rsidR="00A31137" w:rsidRPr="00A31137" w:rsidRDefault="00A31137" w:rsidP="00A31137">
      <w:r w:rsidRPr="00A31137">
        <w:t>1996, Morse v. Republican Party of Virginia, No. 94-203</w:t>
      </w:r>
    </w:p>
    <w:p w:rsidR="00A31137" w:rsidRPr="00A31137" w:rsidRDefault="00A31137" w:rsidP="00A31137">
      <w:r w:rsidRPr="00A31137">
        <w:t>We also disagree with his assertion that the requirement that the party preclear a change in practices that imposes a registration fee on voters seeking to participate in the nomination process is a "classic prior restraint." It imposes no restraint at all on speech. Given the past history of discrimination that gave rise to the preclearance remedy imposed by § 5, the minimal burden on the right of association implicated in this case is unquestionably justified.</w:t>
      </w:r>
    </w:p>
    <w:p w:rsidR="00A31137" w:rsidRPr="00A31137" w:rsidRDefault="00A31137" w:rsidP="00A31137">
      <w:r w:rsidRPr="00A31137">
        <w:t>1996, Morse v. Republican Party of Virginia, No. 94-203</w:t>
      </w:r>
    </w:p>
    <w:p w:rsidR="00A31137" w:rsidRPr="00A31137" w:rsidRDefault="00A31137" w:rsidP="00A31137">
      <w:r w:rsidRPr="00A31137">
        <w:t>39. Relying on statements in appellees' brief, rather than anything in the record, JUSTICE THOMAS suggests that the registration fee was intended to avoid the danger that funding the convention with contributions from a few major donors would enable a small group of contributors to exercise undue influence over the candidate selection process. See post at ___. The argument is ironic, to say the least, given the evidence that the supporters of the successful candidate for the Party's nomination were willing to pay a delegate's registration fee in return for that delegate's vote. See App. 7-8 (Complaint ¶¶ 21-34).</w:t>
      </w:r>
    </w:p>
    <w:p w:rsidR="00A31137" w:rsidRPr="00A31137" w:rsidRDefault="00A31137" w:rsidP="00A31137">
      <w:r w:rsidRPr="00A31137">
        <w:t>1996, Morse v. Republican Party of Virginia, No. 94-203</w:t>
      </w:r>
    </w:p>
    <w:p w:rsidR="00A31137" w:rsidRPr="00A31137" w:rsidRDefault="00A31137" w:rsidP="00A31137">
      <w:r w:rsidRPr="00A31137">
        <w:t>40. As originally enacted, § 10 provided, in part:</w:t>
      </w:r>
    </w:p>
    <w:p w:rsidR="00A31137" w:rsidRPr="00A31137" w:rsidRDefault="00A31137" w:rsidP="00A31137">
      <w:r w:rsidRPr="00A31137">
        <w:t>1996, Morse v. Republican Party of Virginia, No. 94-203</w:t>
      </w:r>
    </w:p>
    <w:p w:rsidR="00A31137" w:rsidRPr="00A31137" w:rsidRDefault="00A31137" w:rsidP="00A31137">
      <w:r w:rsidRPr="00A31137">
        <w:t>Sec. 10. (a) The Congress finds that the requirement of the payment of a poll tax as a precondition to voting (i) precludes persons of limited means from voting or imposes unreasonable financial hardship upon such persons as a precondition to their exercise of the franchise, (ii) does not bear a reasonable relationship to any legitimate State interest in the conduct of elections, and (iii) in some areas has the purpose or effect of denying persons the right to vote because of race or color. Upon the basis of these findings, Congress declares that the constitutional right of citizens to vote is denied or abridged in some areas by the requirement of the payment of a poll tax as a precondition to voting.</w:t>
      </w:r>
    </w:p>
    <w:p w:rsidR="00A31137" w:rsidRPr="00A31137" w:rsidRDefault="00A31137" w:rsidP="00A31137">
      <w:r w:rsidRPr="00A31137">
        <w:t>1996, Morse v. Republican Party of Virginia, No. 94-203</w:t>
      </w:r>
    </w:p>
    <w:p w:rsidR="00A31137" w:rsidRPr="00A31137" w:rsidRDefault="00A31137" w:rsidP="00A31137">
      <w:r w:rsidRPr="00A31137">
        <w:t>(b) In the exercise of the powers of Congress under section 5 of the fourteenth amendment and section 2 of the fifteenth amendment, the Attorney General is authorized and directed to institute forthwith in the name of the United States such actions, including actions against States or political subdivisions, for declaratory judgment or injunctive relief against the enforcement of any requirement of the payment of a poll tax as a precondition to voting, or substitute therefor enacted after November 1, 1964, as will be necessary to implement the declaration of subsection (a) and the purposes of this section.</w:t>
      </w:r>
    </w:p>
    <w:p w:rsidR="00A31137" w:rsidRPr="00A31137" w:rsidRDefault="00A31137" w:rsidP="00A31137">
      <w:r w:rsidRPr="00A31137">
        <w:t>1996, Morse v. Republican Party of Virginia, No. 94-203</w:t>
      </w:r>
    </w:p>
    <w:p w:rsidR="00A31137" w:rsidRPr="00A31137" w:rsidRDefault="00A31137" w:rsidP="00A31137">
      <w:r w:rsidRPr="00A31137">
        <w:t>(c) The district courts of the United States shall have jurisdiction of such actions which shall be heard and determined by a court of three judges in accordance with the provisions of section 2284 of title 28 of the United States Code and any appeal shall lie to the Supreme Court. It shall be the duty of the judges designated to hear the case to assign the case for hearing at the earliest practicable date, to participate in the hearing and determination thereof, and to cause the case to be in every way expedited.</w:t>
      </w:r>
    </w:p>
    <w:p w:rsidR="00A31137" w:rsidRPr="00A31137" w:rsidRDefault="00A31137" w:rsidP="00A31137">
      <w:r w:rsidRPr="00A31137">
        <w:t>1996, Morse v. Republican Party of Virginia, No. 94-203</w:t>
      </w:r>
    </w:p>
    <w:p w:rsidR="00A31137" w:rsidRPr="00A31137" w:rsidRDefault="00A31137" w:rsidP="00A31137">
      <w:r w:rsidRPr="00A31137">
        <w:t>79 Stat. 442.</w:t>
      </w:r>
    </w:p>
    <w:p w:rsidR="00A31137" w:rsidRPr="00A31137" w:rsidRDefault="00A31137" w:rsidP="00A31137">
      <w:r w:rsidRPr="00A31137">
        <w:t>1996, Morse v. Republican Party of Virginia, No. 94-203</w:t>
      </w:r>
    </w:p>
    <w:p w:rsidR="00A31137" w:rsidRPr="00A31137" w:rsidRDefault="00A31137" w:rsidP="00A31137">
      <w:r w:rsidRPr="00A31137">
        <w:t>41. In a footnote we observed that a private litigant could always bring suit under the Fifteenth Amendment, but it was the inadequacy of just those suits for securing the right to vote that prompted Congress to enact the statute. See 393 U.S. at  556, n. 21. Similarly with respect to a poll tax, the fact that a suit might be brought directly under the Twenty-fourth Amendment is not a reason for declining to find a statutory remedy.</w:t>
      </w:r>
    </w:p>
    <w:p w:rsidR="00A31137" w:rsidRPr="00A31137" w:rsidRDefault="00A31137" w:rsidP="00A31137">
      <w:r w:rsidRPr="00A31137">
        <w:t>1996, Morse v. Republican Party of Virginia, No. 94-203</w:t>
      </w:r>
    </w:p>
    <w:p w:rsidR="00A31137" w:rsidRPr="00A31137" w:rsidRDefault="00A31137" w:rsidP="00A31137">
      <w:r w:rsidRPr="00A31137">
        <w:t>42. JUSTICE THOMAS attempts to distinguish § 5 and § 10 by arguing that the former describes a "particular class of persons" to be benefited while the latter does not. See post at ___. JUSTICE THOMAS has it backwards. Section 5 states generically that "no person shall be denied the right to vote" by unprecleared changes. With far greater specificity, § 10 states that poll taxes preclude "persons of limited means" from voting or impose unreasonable financial hardships on them and "in some areas ha[ve] the purpose or effect of denying persons the right to vote because of race or color." 42 U.S.C. § 1973h(a). It also declares that</w:t>
      </w:r>
    </w:p>
    <w:p w:rsidR="00A31137" w:rsidRPr="00A31137" w:rsidRDefault="00A31137" w:rsidP="00A31137">
      <w:r w:rsidRPr="00A31137">
        <w:t>1996, Morse v. Republican Party of Virginia, No. 94-203</w:t>
      </w:r>
    </w:p>
    <w:p w:rsidR="00A31137" w:rsidRPr="00A31137" w:rsidRDefault="00A31137" w:rsidP="00A31137">
      <w:r w:rsidRPr="00A31137">
        <w:t>the constitutional right of citizens to vote is denied or abridged in some areas by the requirement of the payment of a poll tax as a precondition to voting.</w:t>
      </w:r>
    </w:p>
    <w:p w:rsidR="00A31137" w:rsidRPr="00A31137" w:rsidRDefault="00A31137" w:rsidP="00A31137">
      <w:r w:rsidRPr="00A31137">
        <w:t>1996, Morse v. Republican Party of Virginia, No. 94-203</w:t>
      </w:r>
    </w:p>
    <w:p w:rsidR="00A31137" w:rsidRPr="00A31137" w:rsidRDefault="00A31137" w:rsidP="00A31137">
      <w:r w:rsidRPr="00A31137">
        <w:t>Ibid. Section 10 was clearly designed to benefit a limited class of individuals.</w:t>
      </w:r>
    </w:p>
    <w:p w:rsidR="00A31137" w:rsidRPr="00A31137" w:rsidRDefault="00A31137" w:rsidP="00A31137">
      <w:r w:rsidRPr="00A31137">
        <w:t>1996, Morse v. Republican Party of Virginia, No. 94-203</w:t>
      </w:r>
    </w:p>
    <w:p w:rsidR="00A31137" w:rsidRPr="00A31137" w:rsidRDefault="00A31137" w:rsidP="00A31137">
      <w:r w:rsidRPr="00A31137">
        <w:t>43. We do not know, therefore, what JUSTICE THOMAS means when he describes § 5 as conferring a "statutory privilege" on a group of individuals. See post at ___. If that phrase refers to a "right," then JUSTICE THOMAS is flatly wrong, for Allen itself denies reaching that question. The "guarantee of § 5" to which Allen refers is simply its holding that individuals can sue under § 5. It is circular to rely on that conclusion to distinguish § 5 from § 10, for the question presented here is precisely whether this Court should apply the same logic to § 10.</w:t>
      </w:r>
    </w:p>
    <w:p w:rsidR="00A31137" w:rsidRPr="00A31137" w:rsidRDefault="00A31137" w:rsidP="00A31137">
      <w:r w:rsidRPr="00A31137">
        <w:t>1996, Morse v. Republican Party of Virginia, No. 94-203</w:t>
      </w:r>
    </w:p>
    <w:p w:rsidR="00A31137" w:rsidRPr="00A31137" w:rsidRDefault="00A31137" w:rsidP="00A31137">
      <w:r w:rsidRPr="00A31137">
        <w:t>44. See § 12(a) (prescribing sanctions for any deprivation or attempted deprivation of "any right secured by section…1973h [§ 10]"), 42 U.S.C. § 1973j(a) (1988 ed.) (emphasis added); § 12(c) (prescribing sanctions for any conspiracy to interfere with "any right secured by section…1973h [§ 10]"), 42 U.S.C. § 1973j(c) (1988 ed.) (emphasis added).</w:t>
      </w:r>
    </w:p>
    <w:p w:rsidR="00A31137" w:rsidRPr="00A31137" w:rsidRDefault="00A31137" w:rsidP="00A31137">
      <w:r w:rsidRPr="00A31137">
        <w:t>1996, Morse v. Republican Party of Virginia, No. 94-203</w:t>
      </w:r>
    </w:p>
    <w:p w:rsidR="00A31137" w:rsidRPr="00A31137" w:rsidRDefault="00A31137" w:rsidP="00A31137">
      <w:r w:rsidRPr="00A31137">
        <w:t>45. The Senate Report went on to explain more generally:</w:t>
      </w:r>
    </w:p>
    <w:p w:rsidR="00A31137" w:rsidRPr="00A31137" w:rsidRDefault="00A31137" w:rsidP="00A31137">
      <w:r w:rsidRPr="00A31137">
        <w:t>1996, Morse v. Republican Party of Virginia, No. 94-203</w:t>
      </w:r>
    </w:p>
    <w:p w:rsidR="00A31137" w:rsidRPr="00A31137" w:rsidRDefault="00A31137" w:rsidP="00A31137">
      <w:r w:rsidRPr="00A31137">
        <w:t>In enacting remedial legislation, Congress has regularly established a dual enforcement mechanism. It has, on the one hand, given enforcement responsibility to a governmental agency, and on the other, has also provided remedies to private persons acting as a class or on their own behalf. The Committee concludes that it is sound policy to authorize private remedies to assist the process of enforcing voting rights.</w:t>
      </w:r>
    </w:p>
    <w:p w:rsidR="00A31137" w:rsidRPr="00A31137" w:rsidRDefault="00A31137" w:rsidP="00A31137">
      <w:r w:rsidRPr="00A31137">
        <w:t>1996, Morse v. Republican Party of Virginia, No. 94-203</w:t>
      </w:r>
    </w:p>
    <w:p w:rsidR="00A31137" w:rsidRPr="00A31137" w:rsidRDefault="00A31137" w:rsidP="00A31137">
      <w:r w:rsidRPr="00A31137">
        <w:t>S.Rep. No. 94-295 at 40.</w:t>
      </w:r>
    </w:p>
    <w:p w:rsidR="00A31137" w:rsidRPr="00A31137" w:rsidRDefault="00A31137" w:rsidP="00A31137">
      <w:r w:rsidRPr="00A31137">
        <w:t>1996, Morse v. Republican Party of Virginia, No. 94-203</w:t>
      </w:r>
    </w:p>
    <w:p w:rsidR="00A31137" w:rsidRPr="00A31137" w:rsidRDefault="00A31137" w:rsidP="00A31137">
      <w:r w:rsidRPr="00A31137">
        <w:t>46. The Senate Report states:</w:t>
      </w:r>
    </w:p>
    <w:p w:rsidR="00A31137" w:rsidRPr="00A31137" w:rsidRDefault="00A31137" w:rsidP="00A31137">
      <w:r w:rsidRPr="00A31137">
        <w:t>1996, Morse v. Republican Party of Virginia, No. 94-203</w:t>
      </w:r>
    </w:p>
    <w:p w:rsidR="00A31137" w:rsidRPr="00A31137" w:rsidRDefault="00A31137" w:rsidP="00A31137">
      <w:r w:rsidRPr="00A31137">
        <w:t>Such a provision is appropriate in voting rights cases because there, as in employment and public accomodations [sic] cases, and other civil rights cases, Congress depends heavily upon private citizens to enforce the fundamental rights involved. Fee awards are a necessary means of enabling private citizens to vindicate these Federal rights.</w:t>
      </w:r>
    </w:p>
    <w:p w:rsidR="00A31137" w:rsidRPr="00A31137" w:rsidRDefault="00A31137" w:rsidP="00A31137">
      <w:r w:rsidRPr="00A31137">
        <w:t>1996, Morse v. Republican Party of Virginia, No. 94-203</w:t>
      </w:r>
    </w:p>
    <w:p w:rsidR="00A31137" w:rsidRPr="00A31137" w:rsidRDefault="00A31137" w:rsidP="00A31137">
      <w:r w:rsidRPr="00A31137">
        <w:t>Ibid.</w:t>
      </w:r>
    </w:p>
    <w:p w:rsidR="00A31137" w:rsidRPr="00A31137" w:rsidRDefault="00A31137" w:rsidP="00A31137">
      <w:r w:rsidRPr="00A31137">
        <w:t>1996, Morse v. Republican Party of Virginia, No. 94-203</w:t>
      </w:r>
    </w:p>
    <w:p w:rsidR="00A31137" w:rsidRPr="00A31137" w:rsidRDefault="00A31137" w:rsidP="00A31137">
      <w:r w:rsidRPr="00A31137">
        <w:t>47. Appellees argue that any congressional action taken in 1975 cannot support the existence of an implied private right of action because this Court began applying a stricter test for implied rights in Cort v. Ash, 422 U.S. 66 (1975). We note that Cort was decided on June 17, 1975, while the amendments to the Act were passed on August 6 of the same year. Pub.L. 94-73, 89 Stat. 400. Seven weeks—in the context of a bill that was first proposed more than a year earlier—is scarcely enough time for Congress to take account of a change in the "contemporary legal context," especially one whose nature and impact were the subject of some dispute at the time. See Cannon v. University of Chicago, 441 U.S. 677, 739-743 (1979) (Powell, J., dissenting) (arguing that Cort relaxed the standards for finding implied rights of action).</w:t>
      </w:r>
    </w:p>
    <w:p w:rsidR="00A31137" w:rsidRPr="00A31137" w:rsidRDefault="00A31137" w:rsidP="00A31137">
      <w:r w:rsidRPr="00A31137">
        <w:t>1996, Morse v. Republican Party of Virginia, No. 94-203</w:t>
      </w:r>
    </w:p>
    <w:p w:rsidR="00A31137" w:rsidRPr="00A31137" w:rsidRDefault="00A31137" w:rsidP="00A31137">
      <w:r w:rsidRPr="00A31137">
        <w:t>48. Appellees make one final argument that this case is moot because the 1994 convention has already been held. We note, however, that the Party has not disavowed the practice of imposing a delegate filing fee for its nominating convention, nor has it returned the $45 collected from appellant Morse. Indeed, the Party has required fees as far back as 1964, and continues to assert that they are necessary to finance its conventions. Like other cases challenging electoral practices, therefore, this controversy is not moot because it is "capable of repetition, yet evading review." Anderson v. Celebrezze, 460 U.S. 780, 784, n. 3 (1983); Storer v. Brown, 415 U.S. 724, 737, n. 8 (1974); Moore v. Ogilvie, 394 U.S. 814, 816 (1969).</w:t>
      </w:r>
    </w:p>
    <w:p w:rsidR="00A31137" w:rsidRPr="00A31137" w:rsidRDefault="00A31137" w:rsidP="00A31137">
      <w:r w:rsidRPr="00A31137">
        <w:t>SCALIA, J., dissenting (Footnotes)</w:t>
      </w:r>
    </w:p>
    <w:p w:rsidR="00A31137" w:rsidRPr="00A31137" w:rsidRDefault="00A31137" w:rsidP="00A31137">
      <w:r w:rsidRPr="00A31137">
        <w:t>1996, Morse v. Republican Party of Virginia, No. 94-203</w:t>
      </w:r>
    </w:p>
    <w:p w:rsidR="00A31137" w:rsidRPr="00A31137" w:rsidRDefault="00A31137" w:rsidP="00A31137">
      <w:r w:rsidRPr="00A31137">
        <w:t>1. For brevity's sake, I cite each of today's opinions by the name of its author.</w:t>
      </w:r>
    </w:p>
    <w:p w:rsidR="00A31137" w:rsidRPr="00A31137" w:rsidRDefault="00A31137" w:rsidP="00A31137">
      <w:r w:rsidRPr="00A31137">
        <w:t>1996, Morse v. Republican Party of Virginia, No. 94-203</w:t>
      </w:r>
    </w:p>
    <w:p w:rsidR="00A31137" w:rsidRPr="00A31137" w:rsidRDefault="00A31137" w:rsidP="00A31137">
      <w:r w:rsidRPr="00A31137">
        <w:t>2. JUSTICE BREYER apparently thinks that the First Amendment concerns raised by appellees are minimal because many activities engaged in by a party at its convention "are very likely not subject to preclearance." Ante at ___. Of course, a mere "very likelihood" that failure to preclear a particular activity will not result in nullification of the work of the convention is hardly sufficient to induce a party organizer to take the chance. In any event, I find curious the proposition that certain subsidiary determinations of the convention, such as "'adoption of resolutions or platforms outlining the philosophy [of the party],'" ibid. are not subject to Government oversight, whereas the determination of who may attend the convention—upon which all else depends—is subject to Government oversight. That is a good bargain for the tyrant.</w:t>
      </w:r>
    </w:p>
    <w:p w:rsidR="00A31137" w:rsidRPr="00A31137" w:rsidRDefault="00A31137" w:rsidP="00A31137">
      <w:r w:rsidRPr="00A31137">
        <w:t>1996, Morse v. Republican Party of Virginia, No. 94-203</w:t>
      </w:r>
    </w:p>
    <w:p w:rsidR="00A31137" w:rsidRPr="00A31137" w:rsidRDefault="00A31137" w:rsidP="00A31137">
      <w:r w:rsidRPr="00A31137">
        <w:t>3. JUSTICE STEVENS makes much of the fact that the nominee selected by the Republican Party of Virginia, by reason of the outcome of prior elections, had automatically been given a place on the primary ballot, see ante at ___, but he also explains his interpretation of § 5 as "follow[ing] directly from our decision in Terry [v. Adams, 345 U.S. 461 (1953)]," ante at ___, a case in which the private party's nominating election "did not involve the State's electoral apparatus in even the slightest way," ibid. JUSTICE BREYER alludes to Virginia's election laws, see ante at ___, but they are plainly incidental to his analysis, see ante at ___. So one must assume that what the Court today holds for parties whose nominees are automatically listed is true for other parties as well.</w:t>
      </w:r>
    </w:p>
    <w:p w:rsidR="00A31137" w:rsidRPr="00A31137" w:rsidRDefault="00A31137" w:rsidP="00A31137">
      <w:r w:rsidRPr="00A31137">
        <w:t>1996, Morse v. Republican Party of Virginia, No. 94-203</w:t>
      </w:r>
    </w:p>
    <w:p w:rsidR="00A31137" w:rsidRPr="00A31137" w:rsidRDefault="00A31137" w:rsidP="00A31137">
      <w:r w:rsidRPr="00A31137">
        <w:t>4. The Court majority would respond, perhaps, that the phrase "State or political subdivision" in § 5 should be read to have the same meaning that it has in § 2. Of course, it normally should. But if the majority fancies itself confronted with the choice between departing from that general rule of construction (which, like all rules of construction, can be overcome by other indication of statutory intent, see, e.g., Helvering v. Stockholms Enskilda Bank, 293 U.S. 84, 86-88 (1934)), and violating the inflexible principle that courts should not needlessly interpret a statute to impose a prior restraint upon private political activity, it is not debatable where the outcome must lie. Of course, the imagined conflict between the rule and the principle disappears if "State or political subdivision" is given its natural meaning in both § 5 and § 2, subjecting political parties to neither.</w:t>
      </w:r>
    </w:p>
    <w:p w:rsidR="00A31137" w:rsidRPr="00A31137" w:rsidRDefault="00A31137" w:rsidP="00A31137">
      <w:r w:rsidRPr="00A31137">
        <w:t>THOMAS, J., dissenting (Footnotes)</w:t>
      </w:r>
    </w:p>
    <w:p w:rsidR="00A31137" w:rsidRPr="00A31137" w:rsidRDefault="00A31137" w:rsidP="00A31137">
      <w:r w:rsidRPr="00A31137">
        <w:t>1996, Morse v. Republican Party of Virginia, No. 94-203</w:t>
      </w:r>
    </w:p>
    <w:p w:rsidR="00A31137" w:rsidRPr="00A31137" w:rsidRDefault="00A31137" w:rsidP="00A31137">
      <w:r w:rsidRPr="00A31137">
        <w:t>1. There is thus no colorable argument in this case that the Party is a "political subdivision" within the meaning of § 14(c)(2); it is not a geographic territory, such as a "county or parish," within a State. Appellants assert no such claim, apparently in recognition of the weakness of the argument. If the Party falls under § 5, it could only be because it is a "State" or state actor, as appellants and the United States maintain. See infra at ___.</w:t>
      </w:r>
    </w:p>
    <w:p w:rsidR="00A31137" w:rsidRPr="00A31137" w:rsidRDefault="00A31137" w:rsidP="00A31137">
      <w:r w:rsidRPr="00A31137">
        <w:t>1996, Morse v. Republican Party of Virginia, No. 94-203</w:t>
      </w:r>
    </w:p>
    <w:p w:rsidR="00A31137" w:rsidRPr="00A31137" w:rsidRDefault="00A31137" w:rsidP="00A31137">
      <w:r w:rsidRPr="00A31137">
        <w:t>2. JUSTICE STEVENS has discovered five instances of such party submissions. See ante, ___, n. 18. Per year, however at least several thousand preclearance requests are sent to the Attorney General. See, e.g., Annual Report of the Attorney General 161 (1982) ("During the year, over 2,800 submissions involving more than 13,300 voting-related changes were submitted to the Attorney General under Section 5"); Annual Report of the Attorney General 131 (1986) ("During the fiscal year 1986, over 3,700 submissions involving more than 20,000 changes were submitted to the Attorney General under Section 5").</w:t>
      </w:r>
    </w:p>
    <w:p w:rsidR="00A31137" w:rsidRPr="00A31137" w:rsidRDefault="00A31137" w:rsidP="00A31137">
      <w:r w:rsidRPr="00A31137">
        <w:t>1996, Morse v. Republican Party of Virginia, No. 94-203</w:t>
      </w:r>
    </w:p>
    <w:p w:rsidR="00A31137" w:rsidRPr="00A31137" w:rsidRDefault="00A31137" w:rsidP="00A31137">
      <w:r w:rsidRPr="00A31137">
        <w:t>3. See Presley v. Etowah County Comm'n, 502 U.S. 491 (1992); Clark v. Roemer, 500 U.S. 646 (1991); Pleasant Grove v. United States, 479 U.S. 462 (1987); McCain v. Lybrand, 465 U.S. 236 (1984); NAACP v. Hampton County Election Comm'n, 470 U.S. 166 (1985); City of Lockhart v. United States, 460 U.S. 125 (1983); Port Arthur v. United States, 459 U.S. 159 (1982); Hathorn v. Lovorn, 457 U.S. 255 (1982); Blanding v. DuBose, 454 U.S. 393 (1982); McDaniel v. Sanchez, 452 U.S. 130 (1981); Rome v. United States, 446 U.S. 156 (1980); Dougherty County Bd. of Ed. v. White, 439 U.S. 32 (1978); Berry v. Doles, 438 U.S. 190 (1978); United States v. Sheffield Bd. of Comm'rs, 435 U.S. 110 (1978); Morris v. Gressette, 432 U.S. 491 (1977); United States v. Board of Supervisors of Warren Cty., 429 U.S. 642 (1977); Beer v. United States, 425 U.S. 130 (1976); Richmond v. United States, 422 U.S. 358 (1975); Connor v. Waller, 421 U.S. 656 (1975); Georgia v. United States, 411 U.S. 526 (1973); Perkins v. Matthews, 400 U.S. 379 (1971); Hadnott v. Amos, 394 U.S. 358 (1969); Allen v. State Bd. of Elections, 393 U.S. 544 (1969). See also Arizona v. Reno, 887 F.Supp. 318 (DDC), app. dism'd, 516 U.S. ___ (1996).</w:t>
      </w:r>
    </w:p>
    <w:p w:rsidR="00A31137" w:rsidRPr="00A31137" w:rsidRDefault="00A31137" w:rsidP="00A31137">
      <w:r w:rsidRPr="00A31137">
        <w:t>1996, Morse v. Republican Party of Virginia, No. 94-203</w:t>
      </w:r>
    </w:p>
    <w:p w:rsidR="00A31137" w:rsidRPr="00A31137" w:rsidRDefault="00A31137" w:rsidP="00A31137">
      <w:r w:rsidRPr="00A31137">
        <w:t>Over the last 30 years, we have entertained only two § 5 cases brought against political parties. We vacated one when it became moot on appeal, State Democratic Executive Committee of Alabama v. Hawthorne, 499 U.S. 933 (1991), and summarily affirmed the denial of relief in the other. Williams v. Democratic Party of Georgia, Civ. Action No. 16286 (ND Ga., Apr. 6, 1972), aff'd, 409 U.S. 809 (1972).</w:t>
      </w:r>
    </w:p>
    <w:p w:rsidR="00A31137" w:rsidRPr="00A31137" w:rsidRDefault="00A31137" w:rsidP="00A31137">
      <w:r w:rsidRPr="00A31137">
        <w:t>1996, Morse v. Republican Party of Virginia, No. 94-203</w:t>
      </w:r>
    </w:p>
    <w:p w:rsidR="00A31137" w:rsidRPr="00A31137" w:rsidRDefault="00A31137" w:rsidP="00A31137">
      <w:r w:rsidRPr="00A31137">
        <w:t>4. JUSTICE STEVENS contends that the foregoing discussion is "surprising because [his] explanation of why § 5 applies to political parties places no reliance on principles of administrative deference." Ante at ___. By presupposing that the regulation is a valid interpretation of § 5, however, JUSTICE STEVENS simply assumes that § 5 could cover political parties. Thus, he does not just defer to the Attorney General's reading of § 5, but displaces § 5 with the regulation. Cf. Presley v. Etowah County Comm'n, 502 U.S. at 508 ("Deference does not mean acquiescence"). For the reasons given above, I would not do the same.</w:t>
      </w:r>
    </w:p>
    <w:p w:rsidR="00A31137" w:rsidRPr="00A31137" w:rsidRDefault="00A31137" w:rsidP="00A31137">
      <w:r w:rsidRPr="00A31137">
        <w:t>1996, Morse v. Republican Party of Virginia, No. 94-203</w:t>
      </w:r>
    </w:p>
    <w:p w:rsidR="00A31137" w:rsidRPr="00A31137" w:rsidRDefault="00A31137" w:rsidP="00A31137">
      <w:r w:rsidRPr="00A31137">
        <w:t>5. JUSTICE STEVENS' attempt to distinguish, and even to draw support from, Williams is unpersuasive. See ante at ___. The fact that Virginia grants ballot access to the Party's nominee in this case does not establish state involvement in the nominating convention. In holding its convention, the Party exercised no state-delegated power. See infra at ___. Further, JUSTICE STEVENS mischaracterizes Williams when he declares that the "only" reason that the District Court did not require preclearance was because no adequate administrative procedures existed; the Williams court noted that the lack of such procedures buttressed its premise that § 5 applies only to States and political subdivisions. Civ. Action No. 16286 at 4. Finally, 28 CFR § 51.23(b) (1995), which now provides that party officials may submit rules for preclearance, cannot change the language of § 5, which is still limited, as it was at the time Williams was decided, to States and political subdivisions.</w:t>
      </w:r>
    </w:p>
    <w:p w:rsidR="00A31137" w:rsidRPr="00A31137" w:rsidRDefault="00A31137" w:rsidP="00A31137">
      <w:r w:rsidRPr="00A31137">
        <w:t>1996, Morse v. Republican Party of Virginia, No. 94-203</w:t>
      </w:r>
    </w:p>
    <w:p w:rsidR="00A31137" w:rsidRPr="00A31137" w:rsidRDefault="00A31137" w:rsidP="00A31137">
      <w:r w:rsidRPr="00A31137">
        <w:t>6. JUSTICE STEVENS rejects this reading of § 5 as being "at war with the intent of Congress and with our settled interpretation of the Act." Ante at ___. First, as explained supra at ___ and n. 3, ___, there is no precedent for the application of § 5 to nongovernmental units; the issue is anything but "settled." JUSTICE STEVENS errs when he states that "[t]he operative test, we have stated repeatedly, is whether a political party exercises power over the electoral process." Ante at ___. We have never made any such statement, because we have never before addressed the question whether political parties are subject to § 5. Second, JUSTICE STEVENS cites only legislative history as evidence of Congress' "unambiguously expressed…purpose" that § 5 should apply to the "candidate selection process." Ante at ___. Section 5, of course, could apply in the context of the "candidate selection process," if the State itself enacted or sought to administer the contested change. But JUSTICE STEVENS points to nothing in § 5, or even in that statute's legislative history, that expresses any intent to include political parties within the meaning of "State or political subdivision." Finally, it is perfectly reasonable to suppose that the term "State" has a different meaning in § 5 than it does in the Fifteenth Amendment. Cf. ante, at ___. This Court has affirmed in other contexts that statutory language does not necessarily mean the same thing as parallel language in the Constitution. For instance,</w:t>
      </w:r>
    </w:p>
    <w:p w:rsidR="00A31137" w:rsidRPr="00A31137" w:rsidRDefault="00A31137" w:rsidP="00A31137">
      <w:r w:rsidRPr="00A31137">
        <w:t>1996, Morse v. Republican Party of Virginia, No. 94-203</w:t>
      </w:r>
    </w:p>
    <w:p w:rsidR="00A31137" w:rsidRPr="00A31137" w:rsidRDefault="00A31137" w:rsidP="00A31137">
      <w:r w:rsidRPr="00A31137">
        <w:t>[a]lthough the language of [28 U.S.C. § 1331 (1982 ed.)] parallels that of the "Arising Under" Clause of Article III, this Court never has held that statutory "arising under" jurisdiction is identical to Art. III "arising under" jurisdiction.</w:t>
      </w:r>
    </w:p>
    <w:p w:rsidR="00A31137" w:rsidRPr="00A31137" w:rsidRDefault="00A31137" w:rsidP="00A31137">
      <w:r w:rsidRPr="00A31137">
        <w:t>1996, Morse v. Republican Party of Virginia, No. 94-203</w:t>
      </w:r>
    </w:p>
    <w:p w:rsidR="00A31137" w:rsidRPr="00A31137" w:rsidRDefault="00A31137" w:rsidP="00A31137">
      <w:r w:rsidRPr="00A31137">
        <w:t>Verlinden B.V. v. Central Bank of Nigeria, 461 U.S. 480, 494 (1983). Here, the ordinary meaning rule of statutory construction, which governs the interpretation of § 5, explains why political parties could be covered under the Fifteenth Amendment, but not under § 5: the common sense definition of "State" is very different from the complex doctrine of state action that this Court has developed as a matter of constitutional law.</w:t>
      </w:r>
    </w:p>
    <w:p w:rsidR="00A31137" w:rsidRPr="00A31137" w:rsidRDefault="00A31137" w:rsidP="00A31137">
      <w:r w:rsidRPr="00A31137">
        <w:t>1996, Morse v. Republican Party of Virginia, No. 94-203</w:t>
      </w:r>
    </w:p>
    <w:p w:rsidR="00A31137" w:rsidRPr="00A31137" w:rsidRDefault="00A31137" w:rsidP="00A31137">
      <w:r w:rsidRPr="00A31137">
        <w:t>7. In fact, the Government identified our state action cases under the Fifteenth Amendment as the justification for the Attorney General's regulation on which JUSTICE STEVENS bases his judgment. Brief for United States as Amicus Curiae 10-11. Review of the regulation confirms that it is premised upon the notion that the Party's activities can sometimes be treated as those of the State. See 28 CFR § 51.7 (1995) (referring to "public electoral function" carried out by parties and to parties "acting under authority explicitly or implicitly granted by a covered jurisdiction"). Likewise, appellants relied solely on state action theory as their rationale for bringing the Party within § 5. See Brief for Appellants 14-20, 24-25.</w:t>
      </w:r>
    </w:p>
    <w:p w:rsidR="00A31137" w:rsidRPr="00A31137" w:rsidRDefault="00A31137" w:rsidP="00A31137">
      <w:r w:rsidRPr="00A31137">
        <w:t>1996, Morse v. Republican Party of Virginia, No. 94-203</w:t>
      </w:r>
    </w:p>
    <w:p w:rsidR="00A31137" w:rsidRPr="00A31137" w:rsidRDefault="00A31137" w:rsidP="00A31137">
      <w:r w:rsidRPr="00A31137">
        <w:t>8. JUSTICE STEVENS argues that this example does not by its terms cover political parties. See ante at ___, n. 34. The criticism is beside the point, however, because the example is not intended to demonstrate how Congress could have covered political parties as such; that, of course, could be easily achieved by inserting "political parties" in the opening clause of § 5. Instead, the example is meant to emphasize that there is no textual basis for the conclusion that Congress imported the constitutional doctrine of state action into § 5. Because there is no evidence that Congress did so, JUSTICE STEVENS, as well as JUSTICE BREYER, is wrong to use state action doctrine as license to read "State" to mean "political party."</w:t>
      </w:r>
    </w:p>
    <w:p w:rsidR="00A31137" w:rsidRPr="00A31137" w:rsidRDefault="00A31137" w:rsidP="00A31137">
      <w:r w:rsidRPr="00A31137">
        <w:t>1996, Morse v. Republican Party of Virginia, No. 94-203</w:t>
      </w:r>
    </w:p>
    <w:p w:rsidR="00A31137" w:rsidRPr="00A31137" w:rsidRDefault="00A31137" w:rsidP="00A31137">
      <w:r w:rsidRPr="00A31137">
        <w:t>9. Although JUSTICE STEVENS and JUSTICE BREYER never expressly acknowledge their reliance on state action theory, each finds it necessary to look to that case law for support. See ante at ___; ante at ___. Indeed, JUSTICE STEVENS' discussion of whether the Party acted under the Commonwealth of Virginia's authority in holding the convention is virtually indistinguishable from state action analysis. See ante at ___.</w:t>
      </w:r>
    </w:p>
    <w:p w:rsidR="00A31137" w:rsidRPr="00A31137" w:rsidRDefault="00A31137" w:rsidP="00A31137">
      <w:r w:rsidRPr="00A31137">
        <w:t>1996, Morse v. Republican Party of Virginia, No. 94-203</w:t>
      </w:r>
    </w:p>
    <w:p w:rsidR="00A31137" w:rsidRPr="00A31137" w:rsidRDefault="00A31137" w:rsidP="00A31137">
      <w:r w:rsidRPr="00A31137">
        <w:t>10. While JUSTICE STEVENS believes that the decision in Smith did not depend at all upon state regulation of primaries, ante at ___, and n. 17, Smith is, by its terms, premised upon the existence of a "statutory system." See Smith v. Allwright, 321 U.S. 649, 662-664 (1944) (detailing state law relating to primaries and concluding that the "statutory system" in Texas for the selection of party nominees "makes the party which is required to follow these legislative directions an agency of the State"). See also Terry v. Adams, 345 U.S. 461,  462 (1953) ("While no state law directed [the] exclusion [of blacks from the party's primary], our decision [in Smith] pointed out that many party activities were subject to considerable statutory control").</w:t>
      </w:r>
    </w:p>
    <w:p w:rsidR="00A31137" w:rsidRPr="00A31137" w:rsidRDefault="00A31137" w:rsidP="00A31137">
      <w:r w:rsidRPr="00A31137">
        <w:t>1996, Morse v. Republican Party of Virginia, No. 94-203</w:t>
      </w:r>
    </w:p>
    <w:p w:rsidR="00A31137" w:rsidRPr="00A31137" w:rsidRDefault="00A31137" w:rsidP="00A31137">
      <w:r w:rsidRPr="00A31137">
        <w:t>11. It is true, as JUSTICE STEVENS states, that potential for discrimination is the prevailing test for preclearance under § 5. See ante at ___, and n. 29. But that is a different question from whether the Party's conduct rises to the level of state action under Terry, the issue I address here.</w:t>
      </w:r>
    </w:p>
    <w:p w:rsidR="00A31137" w:rsidRPr="00A31137" w:rsidRDefault="00A31137" w:rsidP="00A31137">
      <w:r w:rsidRPr="00A31137">
        <w:t>1996, Morse v. Republican Party of Virginia, No. 94-203</w:t>
      </w:r>
    </w:p>
    <w:p w:rsidR="00A31137" w:rsidRPr="00A31137" w:rsidRDefault="00A31137" w:rsidP="00A31137">
      <w:r w:rsidRPr="00A31137">
        <w:t>12. JUSTICE STEVENS claims that, under United States v. Classic, 313 U.S. 299 (1941),</w:t>
      </w:r>
    </w:p>
    <w:p w:rsidR="00A31137" w:rsidRPr="00A31137" w:rsidRDefault="00A31137" w:rsidP="00A31137">
      <w:r w:rsidRPr="00A31137">
        <w:t>1996, Morse v. Republican Party of Virginia, No. 94-203</w:t>
      </w:r>
    </w:p>
    <w:p w:rsidR="00A31137" w:rsidRPr="00A31137" w:rsidRDefault="00A31137" w:rsidP="00A31137">
      <w:r w:rsidRPr="00A31137">
        <w:t>[v]oting at the nomination stage is protected regardless of whether it "invariably, sometimes, or never determines the ultimate choice of the representative."</w:t>
      </w:r>
    </w:p>
    <w:p w:rsidR="00A31137" w:rsidRPr="00A31137" w:rsidRDefault="00A31137" w:rsidP="00A31137">
      <w:r w:rsidRPr="00A31137">
        <w:t>1996, Morse v. Republican Party of Virginia, No. 94-203</w:t>
      </w:r>
    </w:p>
    <w:p w:rsidR="00A31137" w:rsidRPr="00A31137" w:rsidRDefault="00A31137" w:rsidP="00A31137">
      <w:r w:rsidRPr="00A31137">
        <w:t>Ante at ___. Classic did not so hold. Even assuming that Classic applies to conventions as well as primaries, that case merely stated, in dicta, that "where the primary is by law made an integral part of the election machinery," 313 U.S. at  318, the right to participate in a primary does not turn upon the dispositive nature of the primary. Party nominating conventions in Virginia have not been merged by law with the election machinery of the State. See supra at ___. Contrary to what JUSTICE STEVENS says, ante at ___, n. 31, the petition procedure at issue in Moore v. Ogilvie, 394 U.S. 814 (1969), was by law made a part of the state's electoral system: it was expressly mandated by state statute. See id. at 815 (citing Ill.Rev.Stat., c. 46, § 10-3 (1967)).</w:t>
      </w:r>
    </w:p>
    <w:p w:rsidR="00A31137" w:rsidRPr="00A31137" w:rsidRDefault="00A31137" w:rsidP="00A31137">
      <w:r w:rsidRPr="00A31137">
        <w:t>1996, Morse v. Republican Party of Virginia, No. 94-203</w:t>
      </w:r>
    </w:p>
    <w:p w:rsidR="00A31137" w:rsidRPr="00A31137" w:rsidRDefault="00A31137" w:rsidP="00A31137">
      <w:r w:rsidRPr="00A31137">
        <w:t>13. In light of Smith and Terry, JUSTICE BREYER concludes that the word "State" does not "automatically place a party's all-white evasive maneuvers beyond [§ 5's] reach." Ante at ___ (emphasis deleted). That, however, is not this case. As discussed above, there is no basis in fact for inferring that the Party charged the fee as a strategy for producing an "'all-white' convention process" or as a method of evading the Constitution. Ibid. And the record in no way suggests that the three law students challenging the fee are black.</w:t>
      </w:r>
    </w:p>
    <w:p w:rsidR="00A31137" w:rsidRPr="00A31137" w:rsidRDefault="00A31137" w:rsidP="00A31137">
      <w:r w:rsidRPr="00A31137">
        <w:t>1996, Morse v. Republican Party of Virginia, No. 94-203</w:t>
      </w:r>
    </w:p>
    <w:p w:rsidR="00A31137" w:rsidRPr="00A31137" w:rsidRDefault="00A31137" w:rsidP="00A31137">
      <w:r w:rsidRPr="00A31137">
        <w:t>14. Contrary to the representation of JUSTICE STEVENS, ante at ___, the Party explicitly denies that it engaged in any public electoral function. See Brief for Appellees 30 ("The Virginia statutes cited by the law students do not show the exercise of public electoral functions…by the Party").</w:t>
      </w:r>
    </w:p>
    <w:p w:rsidR="00A31137" w:rsidRPr="00A31137" w:rsidRDefault="00A31137" w:rsidP="00A31137">
      <w:r w:rsidRPr="00A31137">
        <w:t>1996, Morse v. Republican Party of Virginia, No. 94-203</w:t>
      </w:r>
    </w:p>
    <w:p w:rsidR="00A31137" w:rsidRPr="00A31137" w:rsidRDefault="00A31137" w:rsidP="00A31137">
      <w:r w:rsidRPr="00A31137">
        <w:t>15. On JUSTICE STEVENS' and JUSTICE BREYER's view of the relationship between automatic ballot placement and state action, many private corporations in Virginia would qualify as state actors. Virginia corporations are, like most corporations, substantially advantaged by various provisions of state law. See, e.g., Va.Code Ann.§§ 13.1-692.1, 13.1-870.1 (1993) (creating a limitation on liability for corporate officers and directors). I doubt seriously, however, that even the Members of today's majority would hold that when a corporation takes the necessary steps to invoke these statutory benefits, it thereby becomes a state actor; yet this is the logical result of the suggestion that the Party is a state actor because Virginia automatically places its nominee on the ballot. Such a conclusion would run head-first into our case law, in which we have stated unequivocally that privately owned corporations, absent some symbiotic relationship with the State, are purely private actors. See Jackson v. Metropolitan Edison, 419 U.S. at 357-358; Blum v. Yaretsky, 457 U.S. 991, 1011 (1982).</w:t>
      </w:r>
    </w:p>
    <w:p w:rsidR="00A31137" w:rsidRPr="00A31137" w:rsidRDefault="00A31137" w:rsidP="00A31137">
      <w:r w:rsidRPr="00A31137">
        <w:t>1996, Morse v. Republican Party of Virginia, No. 94-203</w:t>
      </w:r>
    </w:p>
    <w:p w:rsidR="00A31137" w:rsidRPr="00A31137" w:rsidRDefault="00A31137" w:rsidP="00A31137">
      <w:r w:rsidRPr="00A31137">
        <w:t>16. See Editorial Richmond Times, Primarily Primaries, Dispatch, Nov. 28, 1995, p. A-8 (describing contentious debate between supporters of the incumbent Virginia Senator and those of his Republican challenger over nomination methods, and noting that "[i]t is only human for sides to favor the means—convention or primary—perceived to give their candidate an edge").</w:t>
      </w:r>
    </w:p>
    <w:p w:rsidR="00A31137" w:rsidRPr="00A31137" w:rsidRDefault="00A31137" w:rsidP="00A31137">
      <w:r w:rsidRPr="00A31137">
        <w:t>1996, Morse v. Republican Party of Virginia, No. 94-203</w:t>
      </w:r>
    </w:p>
    <w:p w:rsidR="00A31137" w:rsidRPr="00A31137" w:rsidRDefault="00A31137" w:rsidP="00A31137">
      <w:r w:rsidRPr="00A31137">
        <w:t>17. With respect to Congress' power to prohibit discrimination in party affairs, see ante at ___, it is enough for purposes of this case to note that it is well established that Congress may not regulate purely private behavior pursuant to its enforcement power under the Fourteenth and Fifteenth Amendments. See James v. Bowman, 190 U.S. 127, 139 (1903) ("[A] statute which purports to punish purely individual action cannot be sustained as an appropriate exercise of the power conferred by the Fifteenth Amendment upon Congress to prevent action by the State through some one or more of its official representatives"); Civil Rights Cases, 109 U.S. 3 (1883).</w:t>
      </w:r>
    </w:p>
    <w:p w:rsidR="00A31137" w:rsidRPr="00A31137" w:rsidRDefault="00A31137" w:rsidP="00A31137">
      <w:r w:rsidRPr="00A31137">
        <w:t>1996, Morse v. Republican Party of Virginia, No. 94-203</w:t>
      </w:r>
    </w:p>
    <w:p w:rsidR="00A31137" w:rsidRPr="00A31137" w:rsidRDefault="00A31137" w:rsidP="00A31137">
      <w:r w:rsidRPr="00A31137">
        <w:t>18. Indeed, JUSTICE BREYER's concurring opinion is founded on little more than sheer disbelief that Congress passed a statute that does not go as far in terms of coverage as he thinks, in light of the history of voting rights, the statute should. See ante at ___ ("How is it possible that a Congress, knowing this obvious history, would have wanted to enact a 'voting rights' law containing a major and obvious loophole…?"). We are not free to construe statutes by wondering about what Congress "would have wanted to enact." There are myriad reasons why measures that "a Congress"—I assume JUSTICE BREYER means a majority of the members of that institution—might "wan[t] to enact" never become law. We must look to the extant text of the statute, and see what Congress has in fact, and not in theory, enacted.</w:t>
      </w:r>
    </w:p>
    <w:p w:rsidR="00A31137" w:rsidRPr="00A31137" w:rsidRDefault="00A31137" w:rsidP="00A31137">
      <w:r w:rsidRPr="00A31137">
        <w:t>1996, Morse v. Republican Party of Virginia, No. 94-203</w:t>
      </w:r>
    </w:p>
    <w:p w:rsidR="00A31137" w:rsidRPr="00A31137" w:rsidRDefault="00A31137" w:rsidP="00A31137">
      <w:r w:rsidRPr="00A31137">
        <w:t>In contrast to JUSTICE BREYER's imaginary statute, which covers all actors that might discriminate in the electoral process, § 5 is, in reality, limited to States and political subdivisions. Thus, the question in this case is not whether we should "read this Act as excluding all political party activity…[and] ope[n] a loophole in the statute," ante at ___, but whether we should read § 5 to include such activity in the first place. If there is any "loophole" in § 5 here, it results from the fact that Congress simply did not cover political parties in the preclearance provision. JUSTICE BREYER's argument thus boils down to the curious notion that, when Congress passes a statute that covers certain actors, it thereby establishes a "loophole" for all others. Moreover, while Congress was surely aware of the history of discrimination in the political process when it passed the Act, I presume it was also cognizant of the prohibitions of the First Amendment, see infra at ___, as well as the constraints on its legislative powers under the Fifteenth Amendment, not the least of which is the state action requirement. See n. 14, supra. Both of these constitutional limits on Congress' powers are sufficient reason to curb speculation and to think it "possible" (if the lack of textual evidence were not enough) that Congress did not intend to cover political parties under § 5.</w:t>
      </w:r>
    </w:p>
    <w:p w:rsidR="00A31137" w:rsidRPr="00A31137" w:rsidRDefault="00A31137" w:rsidP="00A31137">
      <w:r w:rsidRPr="00A31137">
        <w:t>1996, Morse v. Republican Party of Virginia, No. 94-203</w:t>
      </w:r>
    </w:p>
    <w:p w:rsidR="00A31137" w:rsidRPr="00A31137" w:rsidRDefault="00A31137" w:rsidP="00A31137">
      <w:r w:rsidRPr="00A31137">
        <w:t>19. Legislative history is insufficient to bridge this gap in coverage that is apparent on the face of the statutes, as JUSTICE STEVENS would have it. See ante at ___, n. 25. In any case, the legislative history cited by JUSTICE STEVENS is wholly nonresponsive to the issue of which types of entities must submit their rules for preclearance under § 5. That is, the legislative history discusses certain kinds of changes that must be precleared, without suggesting that the entities that must comply with the preclearance requirement are anything other than States and political subdivisions. The part of the Senate Report cited by JUSTICE STEVENS addresses the need to preclear statewide redistricting plans. Reapportionment plans, of course, are usually enacted by state or local legislative bodies. See, e.g., Beer v. United States, 425 U.S. 130 (1976) (reapportionment plan adopted by city council). The passage in the House Report states that a voting practice that is outside the scope of the preclearance provision (either because it was in existence before 1965 or is implemented in a noncovered jurisdiction) may nonetheless be challenged in a lawsuit under § 2; hence the distinction between preclearance and litigation. The Report thus supports precisely the opposite proposition for which JUSTICE STEVENS cites it: It expressly states that not every action that can be brought under § 2 falls within the scope of § 5.</w:t>
      </w:r>
    </w:p>
    <w:p w:rsidR="00A31137" w:rsidRPr="00A31137" w:rsidRDefault="00A31137" w:rsidP="00A31137">
      <w:r w:rsidRPr="00A31137">
        <w:t>1996, Morse v. Republican Party of Virginia, No. 94-203</w:t>
      </w:r>
    </w:p>
    <w:p w:rsidR="00A31137" w:rsidRPr="00A31137" w:rsidRDefault="00A31137" w:rsidP="00A31137">
      <w:r w:rsidRPr="00A31137">
        <w:t>20. This language makes clear that the "guarantee" described in Allen was not, as JUSTICE STEVENS asserts, "simply its holding that individuals can sue under § 5." Ante at ___, n. 43.</w:t>
      </w:r>
    </w:p>
    <w:p w:rsidR="00A31137" w:rsidRPr="00A31137" w:rsidRDefault="00A31137" w:rsidP="00A31137">
      <w:r w:rsidRPr="00A31137">
        <w:t>1996, Morse v. Republican Party of Virginia, No. 94-203</w:t>
      </w:r>
    </w:p>
    <w:p w:rsidR="00A31137" w:rsidRPr="00A31137" w:rsidRDefault="00A31137" w:rsidP="00A31137">
      <w:r w:rsidRPr="00A31137">
        <w:t>21. Nor do I think that we should imply a cause of action under § 10 simply because we have heard and decided challenges by private plaintiffs under § 2. See ante at ___; ante at ___. We ought not base our decision in this case on the fact that we have inadvertently, and perhaps incorrectly, allowed private suits to proceed under other sections of the Act.</w:t>
      </w:r>
    </w:p>
    <w:p w:rsidR="00A31137" w:rsidRPr="00A31137" w:rsidRDefault="00A31137" w:rsidP="00A31137">
      <w:r w:rsidRPr="00A31137">
        <w:t>1996, Morse v. Republican Party of Virginia, No. 94-203</w:t>
      </w:r>
    </w:p>
    <w:p w:rsidR="00A31137" w:rsidRPr="00A31137" w:rsidRDefault="00A31137" w:rsidP="00A31137">
      <w:r w:rsidRPr="00A31137">
        <w:t>22. It does not follow from Congress' technical amendment of § 10 in 1975, which JUSTICE BREYER takes as an indication "that § 10 remained an important civil rights provision," ante at ___, that we should imply a cause of action thereunder. A statute outlawing a class of voting practices and authorizing the Attorney General of the United States to sue jurisdictions that engage in such practices is surely an "important" provision, even if not privately enforceable.</w:t>
      </w:r>
    </w:p>
    <w:p w:rsidR="00A31137" w:rsidRPr="00A31137" w:rsidRDefault="00A31137" w:rsidP="00A31137">
      <w:r w:rsidRPr="00A31137">
        <w:t>1996, Morse v. Republican Party of Virginia, No. 94-203</w:t>
      </w:r>
    </w:p>
    <w:p w:rsidR="00A31137" w:rsidRPr="00A31137" w:rsidRDefault="00A31137" w:rsidP="00A31137">
      <w:r w:rsidRPr="00A31137">
        <w:t>23. Apart from the preclearance issues that the Court leaves unresolved, the Court's judgment raises additional questions under the Voting Rights Act, since the phrase "State or political subdivision" is used in several other key provisions. For instance, may political parties bring a declaratory judgment action under § 5 as an alternative to preclearance? See 42 U.S.C. § 1973c (1988 ed.). May political parties bring a "bailout suit" for exclusion from the category of covered jurisdictions? See id. § 1973b(a). Are political parties subject to suit under § 2? See id. § 1973(a). Can a three-judge district court authorize the appointment of federal examiners to monitor a political party's activities during the pendency of, and as part of a final judgment in, a voting rights suit? See id. § 1973a(a). Quite apparently, the Court has not stopped to consider the ramifications of its decision.</w:t>
      </w:r>
    </w:p>
    <w:p w:rsidR="00A31137" w:rsidRPr="00A31137" w:rsidRDefault="00A31137" w:rsidP="00A31137">
      <w:r w:rsidRPr="00A31137">
        <w:t>Clinton's Statement on Signing the Line Item Veto Act, April 9, 1996</w:t>
      </w:r>
    </w:p>
    <w:p w:rsidR="00A31137" w:rsidRPr="00A31137" w:rsidRDefault="00A31137" w:rsidP="00A31137">
      <w:r w:rsidRPr="00A31137">
        <w:t>Title:</w:t>
      </w:r>
      <w:r w:rsidRPr="00A31137">
        <w:tab/>
        <w:t>Clinton's Statement on Signing the Line Item Veto Act</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April 9, 1996</w:t>
      </w:r>
    </w:p>
    <w:p w:rsidR="00A31137" w:rsidRPr="00A31137" w:rsidRDefault="00A31137" w:rsidP="00A31137">
      <w:r w:rsidRPr="00A31137">
        <w:t>Source:</w:t>
      </w:r>
      <w:r w:rsidRPr="00A31137">
        <w:tab/>
        <w:t>Weekly Compilation of Presidential Documents, 1996, pp.637-638</w:t>
      </w:r>
    </w:p>
    <w:p w:rsidR="00A31137" w:rsidRPr="00A31137" w:rsidRDefault="00A31137" w:rsidP="00A31137">
      <w:r w:rsidRPr="00A31137">
        <w:t>Clinton, Line Item Veto Act, April 9, 1996, p.637</w:t>
      </w:r>
    </w:p>
    <w:p w:rsidR="00A31137" w:rsidRPr="00A31137" w:rsidRDefault="00A31137" w:rsidP="00A31137">
      <w:r w:rsidRPr="00A31137">
        <w:t>Today I am very pleased to sign into law S. 4, the Line Item Veto Act.</w:t>
      </w:r>
    </w:p>
    <w:p w:rsidR="00A31137" w:rsidRPr="00A31137" w:rsidRDefault="00A31137" w:rsidP="00A31137">
      <w:r w:rsidRPr="00A31137">
        <w:t>Clinton, Line Item Veto Act, April 9, 1996, p.637</w:t>
      </w:r>
    </w:p>
    <w:p w:rsidR="00A31137" w:rsidRPr="00A31137" w:rsidRDefault="00A31137" w:rsidP="00A31137">
      <w:r w:rsidRPr="00A31137">
        <w:t>This new law shows what we can achieve when we put our partisan differences aside and work together for the Nation. Members of both parties have fought for this legislation because they believed that no matter which party has control of the White House or the Congress, the line item veto would be good for the country.</w:t>
      </w:r>
    </w:p>
    <w:p w:rsidR="00A31137" w:rsidRPr="00A31137" w:rsidRDefault="00A31137" w:rsidP="00A31137">
      <w:r w:rsidRPr="00A31137">
        <w:t>Clinton, Line Item Veto Act, April 9, 1996, p.637</w:t>
      </w:r>
    </w:p>
    <w:p w:rsidR="00A31137" w:rsidRPr="00A31137" w:rsidRDefault="00A31137" w:rsidP="00A31137">
      <w:r w:rsidRPr="00A31137">
        <w:t>I have consistently supported a Presidential line item veto as a Governor, as a candidate for President in 1992, and as President the last 3 years.</w:t>
      </w:r>
    </w:p>
    <w:p w:rsidR="00A31137" w:rsidRPr="00A31137" w:rsidRDefault="00A31137" w:rsidP="00A31137">
      <w:r w:rsidRPr="00A31137">
        <w:t>Clinton, Line Item Veto Act, April 9, 1996, p.637</w:t>
      </w:r>
    </w:p>
    <w:p w:rsidR="00A31137" w:rsidRPr="00A31137" w:rsidRDefault="00A31137" w:rsidP="00A31137">
      <w:r w:rsidRPr="00A31137">
        <w:t>Starting with Ulysses S. Grant, Presidents of both parties have sought the line item veto so they could eliminate waste in the Federal budget. Most recently, Presidents Reagan and Bush called for its passage, as did many Members of Congress.</w:t>
      </w:r>
    </w:p>
    <w:p w:rsidR="00A31137" w:rsidRPr="00A31137" w:rsidRDefault="00A31137" w:rsidP="00A31137">
      <w:r w:rsidRPr="00A31137">
        <w:t>Clinton, Line Item Veto Act, April 9, 1996, p.637</w:t>
      </w:r>
    </w:p>
    <w:p w:rsidR="00A31137" w:rsidRPr="00A31137" w:rsidRDefault="00A31137" w:rsidP="00A31137">
      <w:r w:rsidRPr="00A31137">
        <w:t xml:space="preserve">With this authority, Presidents will have a valuable new tool to ensure that the Federal Government is spending public resources as wisely as possible. It will permit the President to cancel discretionary spending, new entitlement authority, and tax provisions that benefit special interests at the expense of the public interest. [p.638] </w:t>
      </w:r>
    </w:p>
    <w:p w:rsidR="00A31137" w:rsidRPr="00A31137" w:rsidRDefault="00A31137" w:rsidP="00A31137">
      <w:r w:rsidRPr="00A31137">
        <w:t>Clinton, Line Item Veto Act, April 9, 1996, p.638</w:t>
      </w:r>
    </w:p>
    <w:p w:rsidR="00A31137" w:rsidRPr="00A31137" w:rsidRDefault="00A31137" w:rsidP="00A31137">
      <w:r w:rsidRPr="00A31137">
        <w:t>This carefully defined authority is also a practical and principled means of serving the constitutional balance of powers. The modern congressional practice of presenting the President with omnibus legislation reduces the President's ability to play the role in enacting laws that the Constitution intended. This new authority brings us closer to the Founders' view of an effective executive role in the legislative process. The President will be able to prevent the Congress from enacting special interest provisions under the cloak of a 500- or 1,000-page bill. Special interest provisions that do not serve the national interest will no longer escape proper scrutiny.</w:t>
      </w:r>
    </w:p>
    <w:p w:rsidR="00A31137" w:rsidRPr="00A31137" w:rsidRDefault="00A31137" w:rsidP="00A31137">
      <w:r w:rsidRPr="00A31137">
        <w:t>Clinton, Line Item Veto Act, April 9, 1996, p.638</w:t>
      </w:r>
    </w:p>
    <w:p w:rsidR="00A31137" w:rsidRPr="00A31137" w:rsidRDefault="00A31137" w:rsidP="00A31137">
      <w:r w:rsidRPr="00A31137">
        <w:t>No one, of course, believes the line item veto is a cure-all for the budget deficit. Indeed, even without the line item veto, we are already cutting the deficit in half—as I had promised to do when I ran for President. But the line item veto will provide added discipline by ensuring that as tight budgets increasingly squeeze our resources, we will put our public funds to the best possible uses.</w:t>
      </w:r>
    </w:p>
    <w:p w:rsidR="00A31137" w:rsidRPr="00A31137" w:rsidRDefault="00A31137" w:rsidP="00A31137">
      <w:r w:rsidRPr="00A31137">
        <w:t>Clinton, Line Item Veto Act, April 9, 1996, p.638</w:t>
      </w:r>
    </w:p>
    <w:p w:rsidR="00A31137" w:rsidRPr="00A31137" w:rsidRDefault="00A31137" w:rsidP="00A31137">
      <w:r w:rsidRPr="00A31137">
        <w:t>I call on the leaders of the Congress, in the spirit of bipartisanship reflected in today's bill signing, to join me in continuing to make progress. We should move ahead by reaching an agreement to balance the budget by 2002.</w:t>
      </w:r>
    </w:p>
    <w:p w:rsidR="00A31137" w:rsidRPr="00A31137" w:rsidRDefault="00A31137" w:rsidP="00A31137">
      <w:r w:rsidRPr="00A31137">
        <w:t>Clinton, Line Item Veto Act, April 9, 1996, p.638</w:t>
      </w:r>
    </w:p>
    <w:p w:rsidR="00A31137" w:rsidRPr="00A31137" w:rsidRDefault="00A31137" w:rsidP="00A31137">
      <w:r w:rsidRPr="00A31137">
        <w:t>Over the last several months, I have worked closely with congressional leaders to reach such an agreement. In fact, we have about $700 billion in common savings. We should finish our work this year.</w:t>
      </w:r>
    </w:p>
    <w:p w:rsidR="00A31137" w:rsidRPr="00A31137" w:rsidRDefault="00A31137" w:rsidP="00A31137">
      <w:r w:rsidRPr="00A31137">
        <w:t>Clinton, Line Item Veto Act, April 9, 1996, p.638</w:t>
      </w:r>
    </w:p>
    <w:p w:rsidR="00A31137" w:rsidRPr="00A31137" w:rsidRDefault="00A31137" w:rsidP="00A31137">
      <w:r w:rsidRPr="00A31137">
        <w:t>William J. Clinton</w:t>
      </w:r>
    </w:p>
    <w:p w:rsidR="00A31137" w:rsidRPr="00A31137" w:rsidRDefault="00A31137" w:rsidP="00A31137">
      <w:r w:rsidRPr="00A31137">
        <w:t>The White House,</w:t>
      </w:r>
    </w:p>
    <w:p w:rsidR="00A31137" w:rsidRPr="00A31137" w:rsidRDefault="00A31137" w:rsidP="00A31137">
      <w:r w:rsidRPr="00A31137">
        <w:t>April 9, 1996.</w:t>
      </w:r>
    </w:p>
    <w:p w:rsidR="00A31137" w:rsidRPr="00A31137" w:rsidRDefault="00A31137" w:rsidP="00A31137">
      <w:r w:rsidRPr="00A31137">
        <w:t>Clinton, Line Item Veto Act, April 9, 1996, p.638</w:t>
      </w:r>
    </w:p>
    <w:p w:rsidR="00A31137" w:rsidRPr="00A31137" w:rsidRDefault="00A31137" w:rsidP="00A31137">
      <w:r w:rsidRPr="00A31137">
        <w:t>Note: S. 4, approved April 9, was assigned Public Law No. 104-130.</w:t>
      </w:r>
    </w:p>
    <w:p w:rsidR="00A31137" w:rsidRPr="00A31137" w:rsidRDefault="00A31137" w:rsidP="00A31137">
      <w:r w:rsidRPr="00A31137">
        <w:t>Liquormart, Inc. v. Rhode Island, 1996</w:t>
      </w:r>
    </w:p>
    <w:p w:rsidR="00A31137" w:rsidRPr="00A31137" w:rsidRDefault="00A31137" w:rsidP="00A31137">
      <w:r w:rsidRPr="00A31137">
        <w:t>Title:</w:t>
      </w:r>
      <w:r w:rsidRPr="00A31137">
        <w:tab/>
        <w:t>Liquormart, Inc. v. Rhode Island</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May 13, 1996</w:t>
      </w:r>
    </w:p>
    <w:p w:rsidR="00A31137" w:rsidRPr="00A31137" w:rsidRDefault="00A31137" w:rsidP="00A31137">
      <w:r w:rsidRPr="00A31137">
        <w:t>Source:</w:t>
      </w:r>
      <w:r w:rsidRPr="00A31137">
        <w:tab/>
        <w:t>No. 94-1140 [U.S. Reports citation not yet available]</w:t>
      </w:r>
    </w:p>
    <w:p w:rsidR="00A31137" w:rsidRPr="00A31137" w:rsidRDefault="00A31137" w:rsidP="00A31137">
      <w:r w:rsidRPr="00A31137">
        <w:t>This case was argued November 1, 1995, and was decided May 13, 1996.</w:t>
      </w:r>
    </w:p>
    <w:p w:rsidR="00A31137" w:rsidRPr="00A31137" w:rsidRDefault="00A31137" w:rsidP="00A31137">
      <w:r w:rsidRPr="00A31137">
        <w:t>CERTIORARI TO THE UNITED STATES COURT OF APPEALS</w:t>
      </w:r>
    </w:p>
    <w:p w:rsidR="00A31137" w:rsidRPr="00A31137" w:rsidRDefault="00A31137" w:rsidP="00A31137">
      <w:r w:rsidRPr="00A31137">
        <w:t>FOR THE FIRST CIRCUIT</w:t>
      </w:r>
    </w:p>
    <w:p w:rsidR="00A31137" w:rsidRPr="00A31137" w:rsidRDefault="00A31137" w:rsidP="00A31137">
      <w:r w:rsidRPr="00A31137">
        <w:t>Syllabus</w:t>
      </w:r>
    </w:p>
    <w:p w:rsidR="00A31137" w:rsidRPr="00A31137" w:rsidRDefault="00A31137" w:rsidP="00A31137">
      <w:r w:rsidRPr="00A31137">
        <w:t>1996, Liquormart, Inc. v. Rhode Island, No. 94-1140</w:t>
      </w:r>
    </w:p>
    <w:p w:rsidR="00A31137" w:rsidRPr="00A31137" w:rsidRDefault="00A31137" w:rsidP="00A31137">
      <w:r w:rsidRPr="00A31137">
        <w:t>Petitioners, a licensed Rhode Island liquor retailer and a licensed Massachusetts liquor retailer patronized by Rhode Island residents, filed this action seeking a declaratory judgment that Rhode Island laws banning the advertisement of retail liquor prices except at the place of sale violate the First Amendment. In concluding that the ban was unconstitutional because it did not directly advance the State's asserted interest in the promotion of temperance and was more extensive than necessary to serve that interest, the District Court reasoned that the party seeking to uphold a restriction on commercial speech carries the burden of justifying it, and that the Twenty-first Amendment did not shift or diminish that burden. In reversing, the Court of Appeals, inter alia, found "inherent merit" in the State's submission that competitive price advertising would ultimately increase sales, and agreed with it that the Twenty-first Amendment gave its advertising ban an added presumption of validity.</w:t>
      </w:r>
    </w:p>
    <w:p w:rsidR="00A31137" w:rsidRPr="00A31137" w:rsidRDefault="00A31137" w:rsidP="00A31137">
      <w:r w:rsidRPr="00A31137">
        <w:t>1996, Liquormart, Inc. v. Rhode Island, No. 94-1140</w:t>
      </w:r>
    </w:p>
    <w:p w:rsidR="00A31137" w:rsidRPr="00A31137" w:rsidRDefault="00A31137" w:rsidP="00A31137">
      <w:r w:rsidRPr="00A31137">
        <w:t>Held: The judgment is reversed.</w:t>
      </w:r>
    </w:p>
    <w:p w:rsidR="00A31137" w:rsidRPr="00A31137" w:rsidRDefault="00A31137" w:rsidP="00A31137">
      <w:r w:rsidRPr="00A31137">
        <w:t>1996, Liquormart, Inc. v. Rhode Island, No. 94-1140</w:t>
      </w:r>
    </w:p>
    <w:p w:rsidR="00A31137" w:rsidRPr="00A31137" w:rsidRDefault="00A31137" w:rsidP="00A31137">
      <w:r w:rsidRPr="00A31137">
        <w:t>39 F.3d 5, reversed.</w:t>
      </w:r>
    </w:p>
    <w:p w:rsidR="00A31137" w:rsidRPr="00A31137" w:rsidRDefault="00A31137" w:rsidP="00A31137">
      <w:r w:rsidRPr="00A31137">
        <w:t>1996, Liquormart, Inc. v. Rhode Island, No. 94-1140</w:t>
      </w:r>
    </w:p>
    <w:p w:rsidR="00A31137" w:rsidRPr="00A31137" w:rsidRDefault="00A31137" w:rsidP="00A31137">
      <w:r w:rsidRPr="00A31137">
        <w:t>JUSTICE STEVENS delivered the opinion of the Court with respect to Parts I, II, VII, and VIII, concluding:</w:t>
      </w:r>
    </w:p>
    <w:p w:rsidR="00A31137" w:rsidRPr="00A31137" w:rsidRDefault="00A31137" w:rsidP="00A31137">
      <w:r w:rsidRPr="00A31137">
        <w:t>1996, Liquormart, Inc. v. Rhode Island, No. 94-1140</w:t>
      </w:r>
    </w:p>
    <w:p w:rsidR="00A31137" w:rsidRPr="00A31137" w:rsidRDefault="00A31137" w:rsidP="00A31137">
      <w:r w:rsidRPr="00A31137">
        <w:t>1. The Twenty-first Amendment cannot save Rhode Island's price advertising ban, because that Amendment does not qualify the First Amendment's prohibition against laws abridging the freedom of speech. Although the Twenty-first Amendment—which repealed Prohibition and gave the States the power to prohibit commerce in, or the use of, alcoholic beverages—limits the dormant Commerce Clause's effect on a State's regulatory power over the delivery or use of liquor within its borders, the Amendment does not license the States to ignore their obligations under other constitutional provisions. See, e.g., Capital Cities Cable, Inc. v. Crisp, 467 U.S. 691, 712. California v. LaRue, 409 U.S. 109, 118-119, disavowed. Because the First Amendment must be included among those other provisions, the Twenty-first Amendment does not shield the advertising ban from constitutional scrutiny. Pp. ___.</w:t>
      </w:r>
    </w:p>
    <w:p w:rsidR="00A31137" w:rsidRPr="00A31137" w:rsidRDefault="00A31137" w:rsidP="00A31137">
      <w:r w:rsidRPr="00A31137">
        <w:t>1996, Liquormart, Inc. v. Rhode Island, No. 94-1140</w:t>
      </w:r>
    </w:p>
    <w:p w:rsidR="00A31137" w:rsidRPr="00A31137" w:rsidRDefault="00A31137" w:rsidP="00A31137">
      <w:r w:rsidRPr="00A31137">
        <w:t>2. Because Rhode Island has failed to carry its heavy burden of justifying its complete ban on price advertising, that ban is invalid. P. ___.</w:t>
      </w:r>
    </w:p>
    <w:p w:rsidR="00A31137" w:rsidRPr="00A31137" w:rsidRDefault="00A31137" w:rsidP="00A31137">
      <w:r w:rsidRPr="00A31137">
        <w:t>1996, Liquormart, Inc. v. Rhode Island, No. 94-1140</w:t>
      </w:r>
    </w:p>
    <w:p w:rsidR="00A31137" w:rsidRPr="00A31137" w:rsidRDefault="00A31137" w:rsidP="00A31137">
      <w:r w:rsidRPr="00A31137">
        <w:t>JUSTICE STEVENS delivered the principal opinion with respect to Parts III-VI, concluding that Rhode Island's ban on advertisements that provide the public with accurate information about retail liquor prices is an unconstitutional abridgment of the freedom of speech. Pp. ___.</w:t>
      </w:r>
    </w:p>
    <w:p w:rsidR="00A31137" w:rsidRPr="00A31137" w:rsidRDefault="00A31137" w:rsidP="00A31137">
      <w:r w:rsidRPr="00A31137">
        <w:t>1996, Liquormart, Inc. v. Rhode Island, No. 94-1140</w:t>
      </w:r>
    </w:p>
    <w:p w:rsidR="00A31137" w:rsidRPr="00A31137" w:rsidRDefault="00A31137" w:rsidP="00A31137">
      <w:r w:rsidRPr="00A31137">
        <w:t xml:space="preserve"> (a) JUSTICE STEVENS, joined by Justice KENNEDY, JUSTICE SOUTER, and JUSTICE GINSBURG, concluded in Part III that, although the First Amendment protects the dissemination of truthful and nonmisleading commercial messages about lawful products and services in order to ensure that consumers receive accurate information, see, e.g., Virginia Bd. of Pharmacy v. Virginia Citizens Consumer Council, Inc., 425 U.S. 748,  765, the special nature of commercial speech, including its "greater objectivity" and "greater hardiness," authorizes the State to regulate potentially deceptive or overreaching advertising more freely than other forms of protected speech, see, e.g., id. at 771-772, n. 24, and requires less than strict review of such regulations, Central Hudson Gas &amp; Elec. Corp. v. Public Serv. Comm'n of N.Y., 447 U.S. 557, 566, n. 9. However, regulations that entirely suppress commercial speech in order to pursue a policy not related to consumer protection must be reviewed with "special care," and such blanket bans should not be approved unless the speech itself was flawed in some way, either because it was deceptive or related to unlawful activity. See ibid. Pp. ___.</w:t>
      </w:r>
    </w:p>
    <w:p w:rsidR="00A31137" w:rsidRPr="00A31137" w:rsidRDefault="00A31137" w:rsidP="00A31137">
      <w:r w:rsidRPr="00A31137">
        <w:t>1996, Liquormart, Inc. v. Rhode Island, No. 94-1140</w:t>
      </w:r>
    </w:p>
    <w:p w:rsidR="00A31137" w:rsidRPr="00A31137" w:rsidRDefault="00A31137" w:rsidP="00A31137">
      <w:r w:rsidRPr="00A31137">
        <w:t xml:space="preserve"> (b) JUSTICE STEVENS, joined by JUSTICE KENNEDY and JUSTICE GINSBURG, concluded in Part IV that a review of the case law reveals that commercial speech regulations are not all subject to a similar form of constitutional review simply because they target a similar category of expression. When a State regulates commercial messages to protect consumers from misleading, deceptive, or aggressive sales practices, or requires the disclosure of beneficial consumer information, the regulation's purpose is consistent with the reasons for according constitutional protection to commercial speech and therefore justifies less than strict review. However, where a State entirely prohibits the dissemination of truthful, nonmisleading commercial messages for reasons unrelated to the preservation of a fair bargaining process, there is far less reason to depart from the rigorous review that the First Amendment generally demands. The special dangers that attend such complete bans—including, most obviously, the fact that they all but foreclose alternative channels of communication—present sound reasons that justify more careful review. Pp. ___.</w:t>
      </w:r>
    </w:p>
    <w:p w:rsidR="00A31137" w:rsidRPr="00A31137" w:rsidRDefault="00A31137" w:rsidP="00A31137">
      <w:r w:rsidRPr="00A31137">
        <w:t>1996, Liquormart, Inc. v. Rhode Island, No. 94-1140</w:t>
      </w:r>
    </w:p>
    <w:p w:rsidR="00A31137" w:rsidRPr="00A31137" w:rsidRDefault="00A31137" w:rsidP="00A31137">
      <w:r w:rsidRPr="00A31137">
        <w:t xml:space="preserve"> (c) JUSTICE STEVENS, joined by JUSTICE KENNEDY, JUSTICE SOUTER, and JUSTICE GINSBURG, concluded in Part V that because Rhode Island's advertising ban constitutes a blanket prohibition against truthful, nonmisleading speech about a lawful product, and serves an end unrelated to consumer protection, it must be reviewed with "special care" under Central Hudson, 447 U.S. at 566, n. 9. It cannot survive that review, because it does not satisfy even the less than strict standard that generally applies in commercial speech cases under Central Hudson, id. at 566. First, the advertising ban does not directly advance the State's substantial interest in promoting temperance. See ibid. Because a commercial speech regulation may not be sustained if it provides only ineffective or remote support for the government's purpose, id. at 564, the State bears the burden of showing not merely that its regulation will advance its interest, but also that it will do so "to a material degree," see, e.g., Edenfield v. Fane, 507 U.S. 761, 767. In this case, therefore, the State must show that the ban will significantly reduce alcohol consumption, but has presented no evidence to suggest a significant reduction. Second, the ban is more extensive than necessary to serve its stated interest, see 447 U.S. at 566, since alternative forms of regulation that would not involve any speech restrictions—e.g., the maintenance of higher prices either by direct regulation or by increased taxation, the rationing of per capita purchases, or the use of educational campaigns focused on drinking problems—would be more likely to achieve the goal of promoting temperance. Thus, the State has failed to establish the requisite "reasonable fit" between its regulation and its goal. See, e.g., Board of Trustees, State Univ. of N.Y. v. Fox, 492 U.S. 469, 480. Pp. ___.</w:t>
      </w:r>
    </w:p>
    <w:p w:rsidR="00A31137" w:rsidRPr="00A31137" w:rsidRDefault="00A31137" w:rsidP="00A31137">
      <w:r w:rsidRPr="00A31137">
        <w:t>1996, Liquormart, Inc. v. Rhode Island, No. 94-1140</w:t>
      </w:r>
    </w:p>
    <w:p w:rsidR="00A31137" w:rsidRPr="00A31137" w:rsidRDefault="00A31137" w:rsidP="00A31137">
      <w:r w:rsidRPr="00A31137">
        <w:t xml:space="preserve"> (d) JUSTICE STEVENS, joined by JUSTICE KENNEDY, JUSTICE THOMAS, and JUSTICE GINSBURG, concluded in Part VI that the State's arguments in support of its claim that it merely exercised appropriate "legislative judgment" in determining that a price advertising ban would best promote temperance—i.e., (1) that, because expert opinions as to the effectiveness of the ban "go both ways," the Court of Appeals correctly concluded that the ban constituted a "reasonable choice" by the legislature; (2) that precedent requires that particular deference be accorded that legislative choice, because the State could, if it chose, ban the sale of alcoholic beverages outright; and (3) that deference is appropriate because alcoholic beverages are so-called "vice" products—must be rejected. See Rubin, 514 U.S. at ___, n. 2. United States v. Edge Broadcasting, 509 U.S. 418, distinguished; Posadas de Puerto Rico Associates v. Tourism Co. of P.R., 478 U.S. 328, distinguished and disavowed in part. Pp. ___.</w:t>
      </w:r>
    </w:p>
    <w:p w:rsidR="00A31137" w:rsidRPr="00A31137" w:rsidRDefault="00A31137" w:rsidP="00A31137">
      <w:r w:rsidRPr="00A31137">
        <w:t>1996, Liquormart, Inc. v. Rhode Island, No. 94-1140</w:t>
      </w:r>
    </w:p>
    <w:p w:rsidR="00A31137" w:rsidRPr="00A31137" w:rsidRDefault="00A31137" w:rsidP="00A31137">
      <w:r w:rsidRPr="00A31137">
        <w:t>JUSTICE SCALIA concluded that guidance as to what the First Amendment forbids where the core offense of suppressing particular political ideas is not at issue must be taken from the long accepted practices of the American people. See McIntyre v. Ohio Elections Commission, 514 U.S. ___, ___ (SCALIA, J., dissenting). Since, however, the Court has before it no evidence as to state legislative practices regarding regulation of commercial speech when the First and Fourteenth Amendments were adopted, or even as to any national consensus on the subject later developed, he would simply adhere to the Court's existing jurisprudence, which renders the Rhode Island regulation invalid. Pp. ___.</w:t>
      </w:r>
    </w:p>
    <w:p w:rsidR="00A31137" w:rsidRPr="00A31137" w:rsidRDefault="00A31137" w:rsidP="00A31137">
      <w:r w:rsidRPr="00A31137">
        <w:t>1996, Liquormart, Inc. v. Rhode Island, No. 94-1140</w:t>
      </w:r>
    </w:p>
    <w:p w:rsidR="00A31137" w:rsidRPr="00A31137" w:rsidRDefault="00A31137" w:rsidP="00A31137">
      <w:r w:rsidRPr="00A31137">
        <w:t>JUSTICE THOMAS concluded that, in cases such as this, in which the government's asserted interest is to keep legal users of a product or service ignorant in order to manipulate their choices in the marketplace, the Central Hudson balancing test should not be applied. Rather, such an "interest" is per se illegitimate, cf., e.g., Virginia Bd. of Pharmacy v. Virginia Citizens Consumer Council, Inc., 425 U.S. 748, 768-770, and can no more justify regulation of "commercial" speech than it can justify regulation of "noncommercial" speech. Pp. ___.</w:t>
      </w:r>
    </w:p>
    <w:p w:rsidR="00A31137" w:rsidRPr="00A31137" w:rsidRDefault="00A31137" w:rsidP="00A31137">
      <w:r w:rsidRPr="00A31137">
        <w:t>1996, Liquormart, Inc. v. Rhode Island, No. 94-1140</w:t>
      </w:r>
    </w:p>
    <w:p w:rsidR="00A31137" w:rsidRPr="00A31137" w:rsidRDefault="00A31137" w:rsidP="00A31137">
      <w:r w:rsidRPr="00A31137">
        <w:t>JUSTICE O'CONNOR, joined by THE CHIEF JUSTICE, JUSTICE SOUTER, and JUSTICE BREYER, agreed with the principal opinion that Rhode Island's prohibition on alcohol price advertising is invalid and cannot be saved by the Twenty-first Amendment, but concluded that the First Amendment question must be resolved more narrowly by applying the test established in Central Hudson Gas &amp; Elec. Corp. v. Public Serv. Comm'n of N.Y., 447 U.S. 557, 566. Assuming that the prohibition satisfies the test's first three prongs—i.e., that (1) the speech at issue concerns lawful activity and is not misleading, (2) the asserted governmental interest is substantial, and (3) the regulation directly advances the governmental interest—Rhode Island's regulation fails the final fourth prong because its ban is more extensive than necessary to serve its stated interest. Rhode Island justifies its ban on price advertising on the grounds that the ban is intended to keep alcohol prices high as a way to keep consumption low. In order for a speech restriction to pass muster under the fourth prong, there must be a reasonable fit between the legislature's goal and method. Board of Trustees of State Univ. of N.Y. v. Fox, 492 U.S. 469, 480. The fit here is not reasonable, since the State has other methods at its disposal—e.g., establishing minimum prices and/or increasing sales taxes on alcoholic beverages—that would more directly accomplish its stated goal without intruding on sellers' ability to provide truthful, nonmisleading information to customers. Posadas de Puerto Rico Associates v. Tourism Co. of P.R., 478 U.S. 328, 341-344, distinguished. The principal opinion errs in adopting a new analysis for the evaluation of commercial speech regulation. Pp. ___.</w:t>
      </w:r>
    </w:p>
    <w:p w:rsidR="00A31137" w:rsidRPr="00A31137" w:rsidRDefault="00A31137" w:rsidP="00A31137">
      <w:r w:rsidRPr="00A31137">
        <w:t>1996, Liquormart, Inc. v. Rhode Island, No. 94-1140</w:t>
      </w:r>
    </w:p>
    <w:p w:rsidR="00A31137" w:rsidRPr="00A31137" w:rsidRDefault="00A31137" w:rsidP="00A31137">
      <w:r w:rsidRPr="00A31137">
        <w:t>STEVENS, J., announced the judgment of the Court, and delivered the opinion of the Court with respects to Parts I, II, and VII, in which SCALIA, KENNEDY, SOUTER, THOMAS, and GINSBURG, JJ., joined, the opinion of the Court with respect to Part VIII, in which SCALIA, KENNEDY, SOUTER, and GINSBURG, JJ., joined, an opinion with respect to Parts III and V, in which KENNEDY, SOUTER, and GINSBURG, JJ., joined, an opinion with respect to Part VI, in which KENNEDY, THOMAS, and GINSBURG, JJ., joined, and an opinion with respect to Part IV, in which KENNEDY and GINSBURG, JJ., joined. SCALIA, J., and THOMAS, J., filed opinions concurring in part and concurring in the judgment. O'CONNOR, J., filed an opinion concurring in the judgment, in which REHNQUIST, C.J., and SOUTER and BREYER, JJ., joined.</w:t>
      </w:r>
    </w:p>
    <w:p w:rsidR="00A31137" w:rsidRPr="00A31137" w:rsidRDefault="00A31137" w:rsidP="00A31137">
      <w:r w:rsidRPr="00A31137">
        <w:t>STEVENS, J., lead opinion</w:t>
      </w:r>
    </w:p>
    <w:p w:rsidR="00A31137" w:rsidRPr="00A31137" w:rsidRDefault="00A31137" w:rsidP="00A31137">
      <w:r w:rsidRPr="00A31137">
        <w:t>1996, Liquormart, Inc. v. Rhode Island, No. 94-1140</w:t>
      </w:r>
    </w:p>
    <w:p w:rsidR="00A31137" w:rsidRPr="00A31137" w:rsidRDefault="00A31137" w:rsidP="00A31137">
      <w:r w:rsidRPr="00A31137">
        <w:t>JUSTICE STEVENS announced the judgment of the Court and delivered the opinion of the Court with respect to Parts I, II, VII, and VIII, an opinion with respect to Parts III and V, in which JUSTICE KENNEDY, JUSTICE SOUTER, and JUSTICE GINSBURG join, an opinion with respect to Part VI, in which JUSTICE KENNEDY, JUSTICE THOMAS, and JUSTICE GINSBURG join, and an opinion with respect to Part IV, in which JUSTICE KENNEDY and JUSTICE GINSBURG join.</w:t>
      </w:r>
    </w:p>
    <w:p w:rsidR="00A31137" w:rsidRPr="00A31137" w:rsidRDefault="00A31137" w:rsidP="00A31137">
      <w:r w:rsidRPr="00A31137">
        <w:t>1996, Liquormart, Inc. v. Rhode Island, No. 94-1140</w:t>
      </w:r>
    </w:p>
    <w:p w:rsidR="00A31137" w:rsidRPr="00A31137" w:rsidRDefault="00A31137" w:rsidP="00A31137">
      <w:r w:rsidRPr="00A31137">
        <w:t>Last Term, we held that a federal law abridging a brewer's right to provide the public with accurate information about the alcoholic content of malt beverages is unconstitutional. Rubin v. Coors Brewing Co., 514 U.S. ___, ___ (1995). We now hold that Rhode Island's statutory prohibition against advertisements that provide the public with accurate information about retail prices of alcoholic beverages is also invalid. Our holding rests on the conclusion that such an advertising ban is an abridgment of speech protected by the First Amendment, and that it is not shielded from constitutional scrutiny by the Twenty-first Amendment. 1</w:t>
      </w:r>
    </w:p>
    <w:p w:rsidR="00A31137" w:rsidRPr="00A31137" w:rsidRDefault="00A31137" w:rsidP="00A31137">
      <w:r w:rsidRPr="00A31137">
        <w:t>I</w:t>
      </w:r>
    </w:p>
    <w:p w:rsidR="00A31137" w:rsidRPr="00A31137" w:rsidRDefault="00A31137" w:rsidP="00A31137">
      <w:r w:rsidRPr="00A31137">
        <w:t>1996, Liquormart, Inc. v. Rhode Island, No. 94-1140</w:t>
      </w:r>
    </w:p>
    <w:p w:rsidR="00A31137" w:rsidRPr="00A31137" w:rsidRDefault="00A31137" w:rsidP="00A31137">
      <w:r w:rsidRPr="00A31137">
        <w:t>In 1956, the Rhode Island Legislature enacted two separate prohibitions against advertising the retail price of alcoholic beverages. The first applies to vendors licensed in Rhode Island as well as to out-of-state manufacturers, wholesalers, and shippers. It prohibits them from "advertising in any manner whatsoever" the price of any alcoholic beverage offered for sale in the State; the only exception is for price tags or signs displayed with the merchandise within licensed premises and not visible from the street. 2 The second statute applies to the Rhode Island news media. It contains a categorical prohibition against the publication or broadcast of any advertisements—even those referring to sales in other States—that "make reference to the price of any alcoholic beverages." 3</w:t>
      </w:r>
    </w:p>
    <w:p w:rsidR="00A31137" w:rsidRPr="00A31137" w:rsidRDefault="00A31137" w:rsidP="00A31137">
      <w:r w:rsidRPr="00A31137">
        <w:t>1996, Liquormart, Inc. v. Rhode Island, No. 94-1140</w:t>
      </w:r>
    </w:p>
    <w:p w:rsidR="00A31137" w:rsidRPr="00A31137" w:rsidRDefault="00A31137" w:rsidP="00A31137">
      <w:r w:rsidRPr="00A31137">
        <w:t>In two cases decided in 1985, the Rhode Island Supreme Court reviewed the constitutionality of these two statutes. In S&amp;S Liquor Mart, Inc. v. Pastore, 497 A.2d 729 (R.I.), a liquor retailer located in Westerly, Rhode Island, a town that borders the State of Connecticut, having been advised that his license would be revoked if he advertised his prices in a Connecticut paper, sought to enjoin enforcement of the first statute. Over the dissent of one Justice, the court upheld the statute. It concluded that the statute served the substantial state interest in "'the promotion of temperance.'" 4 Id. at 737. Because the plaintiff failed to prove that the statute did not serve that interest, the court held that he had not carried his burden of establishing a violation of the First Amendment. In response to the dissent's argument that the court had placed the burden on the wrong party, the majority reasoned that the Twenty-first Amendment gave the statute "'an added presumption [of] validity.'" S&amp;S Liquor Mart, Inc. v. Pastore, 497 A.2d at 732. Although that presumption had not been overcome in that case, the State Supreme Court assumed that, in a future case, the record might "support the proposition that these advertising restrictions do not further temperance objectives." Id. at 734.</w:t>
      </w:r>
    </w:p>
    <w:p w:rsidR="00A31137" w:rsidRPr="00A31137" w:rsidRDefault="00A31137" w:rsidP="00A31137">
      <w:r w:rsidRPr="00A31137">
        <w:t>1996, Liquormart, Inc. v. Rhode Island, No. 94-1140</w:t>
      </w:r>
    </w:p>
    <w:p w:rsidR="00A31137" w:rsidRPr="00A31137" w:rsidRDefault="00A31137" w:rsidP="00A31137">
      <w:r w:rsidRPr="00A31137">
        <w:t>In Rhode Island Liquor Stores Assn. v. Evening Call Pub. Co., 497 A.2d 331 (R.I. 1985), the plaintiff association 5 sought to enjoin the publisher of the local newspaper in Woonsocket, Rhode Island, from accepting advertisements disclosing the retail price of alcoholic beverages being sold across the state line in Millville, Massachusetts. In upholding the injunction, the State Supreme Court adhered to its reasoning in the Pastore case and rejected the argument that the statute neither "directly advanced" the state interest in promoting temperance nor was "more extensive than necessary to serve that interest" as required by this Court's decision in Central Hudson Gas &amp; Elec. Corp. v. Public Serv. Comm'n of N.Y., 447 U.S. 557, 563 (1980). It assumed the existence of other, "perhaps more effective means" of achieving the State's "goal of temperance", but concluded that it was "not unreasonable for the State of Rhode Island to believe that price advertising will result in increased sales of alcoholic beverages generally." Rhode Island Liquor Stores Assn. v. Evening Call Pub. Co., 497 A.2d at 336.</w:t>
      </w:r>
    </w:p>
    <w:p w:rsidR="00A31137" w:rsidRPr="00A31137" w:rsidRDefault="00A31137" w:rsidP="00A31137">
      <w:r w:rsidRPr="00A31137">
        <w:t>II</w:t>
      </w:r>
    </w:p>
    <w:p w:rsidR="00A31137" w:rsidRPr="00A31137" w:rsidRDefault="00A31137" w:rsidP="00A31137">
      <w:r w:rsidRPr="00A31137">
        <w:t>1996, Liquormart, Inc. v. Rhode Island, No. 94-1140</w:t>
      </w:r>
    </w:p>
    <w:p w:rsidR="00A31137" w:rsidRPr="00A31137" w:rsidRDefault="00A31137" w:rsidP="00A31137">
      <w:r w:rsidRPr="00A31137">
        <w:t>Petitioners 44 Liquormart, Inc. (44 Liquormart), and Peoples Super Liquor Stores, Inc. (Peoples), are licensed retailers of alcoholic beverages. Petitioner 44 Liquormart operates a store in Rhode Island, and petitioner Peoples operates several stores in Massachusetts that are patronized by Rhode Island residents. Peoples uses alcohol price advertising extensively in Massachusetts, where such advertising is permitted, but Rhode Island newspapers and other media outlets have refused to accept such ads.</w:t>
      </w:r>
    </w:p>
    <w:p w:rsidR="00A31137" w:rsidRPr="00A31137" w:rsidRDefault="00A31137" w:rsidP="00A31137">
      <w:r w:rsidRPr="00A31137">
        <w:t>1996, Liquormart, Inc. v. Rhode Island, No. 94-1140</w:t>
      </w:r>
    </w:p>
    <w:p w:rsidR="00A31137" w:rsidRPr="00A31137" w:rsidRDefault="00A31137" w:rsidP="00A31137">
      <w:r w:rsidRPr="00A31137">
        <w:t>Complaints from competitors about an advertisement placed by 44 Liquormart in a Rhode Island newspaper in 1991 generated enforcement proceedings that, in turn, led to the initiation of this litigation. The advertisement did not state the price of any alcoholic beverages. Indeed, it noted that "State law prohibits advertising liquor prices." The ad did, however, state the low prices at which peanuts, potato chips, and Schweppes mixers were being offered, identify various brands of packaged liquor, and include the word "WOW" in large letters next to pictures of vodka and rum bottles. Based on the conclusion that the implied reference to bargain prices for liquor violated the statutory ban on price advertising, the Rhode Island Liquor Control Administrator assessed a $400 fine.</w:t>
      </w:r>
    </w:p>
    <w:p w:rsidR="00A31137" w:rsidRPr="00A31137" w:rsidRDefault="00A31137" w:rsidP="00A31137">
      <w:r w:rsidRPr="00A31137">
        <w:t>1996, Liquormart, Inc. v. Rhode Island, No. 94-1140</w:t>
      </w:r>
    </w:p>
    <w:p w:rsidR="00A31137" w:rsidRPr="00A31137" w:rsidRDefault="00A31137" w:rsidP="00A31137">
      <w:r w:rsidRPr="00A31137">
        <w:t>After paying the fine, 44 Liquormart, joined by Peoples, filed this action against the administrator in the Federal District Court seeking a declaratory judgment that the two statutes and the administrator's implementing regulations violate the First Amendment and other provisions of federal law. The Rhode Island Liquor Stores Association was allowed to intervene as a defendant and, in due course, the State of Rhode Island replaced the administrator as the principal defendant. The parties stipulated that the price advertising ban is vigorously enforced, that Rhode Island permits "all advertising of alcoholic beverages excepting references to price outside the licensed premises," and that petitioners' proposed ads do not concern an illegal activity, and presumably would not be false or misleading. 44 Liquour Mart, Inc. v. Racine, 829 F.Supp. 543, 545 (R.I. 1993). The parties disagreed, however, about the impact of the ban on the promotion of temperance in Rhode Island. On that question, the District Court heard conflicting expert testimony and reviewed a number of studies.</w:t>
      </w:r>
    </w:p>
    <w:p w:rsidR="00A31137" w:rsidRPr="00A31137" w:rsidRDefault="00A31137" w:rsidP="00A31137">
      <w:r w:rsidRPr="00A31137">
        <w:t>1996, Liquormart, Inc. v. Rhode Island, No. 94-1140</w:t>
      </w:r>
    </w:p>
    <w:p w:rsidR="00A31137" w:rsidRPr="00A31137" w:rsidRDefault="00A31137" w:rsidP="00A31137">
      <w:r w:rsidRPr="00A31137">
        <w:t>In his findings of fact, the District Judge first noted that there was a pronounced lack of unanimity among researchers who have studied the impact of advertising on the level of consumption of alcoholic beverages. He referred to a 1985 Federal Trade Commission study that found no evidence that alcohol advertising significantly affects alcohol abuse. Another study indicated that Rhode Island ranks in the upper 30% of States in per capita consumption of alcoholic beverages; alcohol consumption is lower in other States that allow price advertising. After summarizing the testimony of the expert witnesses for both parties, he found</w:t>
      </w:r>
    </w:p>
    <w:p w:rsidR="00A31137" w:rsidRPr="00A31137" w:rsidRDefault="00A31137" w:rsidP="00A31137">
      <w:r w:rsidRPr="00A31137">
        <w:t>1996, Liquormart, Inc. v. Rhode Island, No. 94-1140</w:t>
      </w:r>
    </w:p>
    <w:p w:rsidR="00A31137" w:rsidRPr="00A31137" w:rsidRDefault="00A31137" w:rsidP="00A31137">
      <w:r w:rsidRPr="00A31137">
        <w:t>as a fact that Rhode Island's off-premises liquor price advertising ban has no significant impact on levels of alcohol consumption in Rhode Island.</w:t>
      </w:r>
    </w:p>
    <w:p w:rsidR="00A31137" w:rsidRPr="00A31137" w:rsidRDefault="00A31137" w:rsidP="00A31137">
      <w:r w:rsidRPr="00A31137">
        <w:t>1996, Liquormart, Inc. v. Rhode Island, No. 94-1140</w:t>
      </w:r>
    </w:p>
    <w:p w:rsidR="00A31137" w:rsidRPr="00A31137" w:rsidRDefault="00A31137" w:rsidP="00A31137">
      <w:r w:rsidRPr="00A31137">
        <w:t>Id. at 549.</w:t>
      </w:r>
    </w:p>
    <w:p w:rsidR="00A31137" w:rsidRPr="00A31137" w:rsidRDefault="00A31137" w:rsidP="00A31137">
      <w:r w:rsidRPr="00A31137">
        <w:t>1996, Liquormart, Inc. v. Rhode Island, No. 94-1140</w:t>
      </w:r>
    </w:p>
    <w:p w:rsidR="00A31137" w:rsidRPr="00A31137" w:rsidRDefault="00A31137" w:rsidP="00A31137">
      <w:r w:rsidRPr="00A31137">
        <w:t>As a matter of law, he concluded that the price advertising ban was unconstitutional because it did not "directly advance" the State's interest in reducing alcohol consumption, and was "more extensive than necessary to serve that interest." Id. at 555. He reasoned that the party seeking to uphold a restriction on commercial speech carries the burden of justifying it, and that the Twenty-first Amendment did not shift or diminish that burden. Acknowledging that it might have been reasonable for the state legislature to "assume a correlation between the price advertising ban and reduced consumption," he held that more than a rational basis was required to justify the speech restriction, and that the State had failed to demonstrate a reasonable "'fit'" between its policy objectives and its chosen means. Ibid.</w:t>
      </w:r>
    </w:p>
    <w:p w:rsidR="00A31137" w:rsidRPr="00A31137" w:rsidRDefault="00A31137" w:rsidP="00A31137">
      <w:r w:rsidRPr="00A31137">
        <w:t>1996, Liquormart, Inc. v. Rhode Island, No. 94-1140</w:t>
      </w:r>
    </w:p>
    <w:p w:rsidR="00A31137" w:rsidRPr="00A31137" w:rsidRDefault="00A31137" w:rsidP="00A31137">
      <w:r w:rsidRPr="00A31137">
        <w:t>The Court of Appeals reversed. It found "inherent merit" in the State's submission that competitive price advertising would lower prices and that lower prices would produce more sales. 39 F.3d 5, 7 (CA1 1994). Moreover, it agreed with the reasoning of the Rhode Island Supreme Court that the Twenty-first Amendment gave the statutes an added presumption of validity. Id. at 8. Alternatively, it concluded that reversal was compelled by this Court's summary action in Queensgate Investment Co. v. Liquor Control Comm'n of Ohio, 459 U.S. 807 (1982). See 39 F.3d at 8. In that case, the Court dismissed the appeal from a decision of the Ohio Supreme Court upholding a prohibition against off-premises advertising of the prices of alcoholic beverages sold by the drink. See Queensgate Investment Co. v. Liquor Control Comm'n of Ohio, 69 Ohio St.2d 361, 433 N. E.2d 138 (1982).</w:t>
      </w:r>
    </w:p>
    <w:p w:rsidR="00A31137" w:rsidRPr="00A31137" w:rsidRDefault="00A31137" w:rsidP="00A31137">
      <w:r w:rsidRPr="00A31137">
        <w:t>1996, Liquormart, Inc. v. Rhode Island, No. 94-1140</w:t>
      </w:r>
    </w:p>
    <w:p w:rsidR="00A31137" w:rsidRPr="00A31137" w:rsidRDefault="00A31137" w:rsidP="00A31137">
      <w:r w:rsidRPr="00A31137">
        <w:t>Queensgate has been both followed and distinguished in subsequent cases reviewing the validity of similar advertising bans. 6 We are now persuaded that the importance of the First Amendment issue, as well the suggested relevance of the Twenty-first Amendment, merits more thorough analysis than it received when we refused to accept jurisdiction of the Queensgate appeal. We therefore granted certiorari. 514 U.S. ___ (1995).</w:t>
      </w:r>
    </w:p>
    <w:p w:rsidR="00A31137" w:rsidRPr="00A31137" w:rsidRDefault="00A31137" w:rsidP="00A31137">
      <w:r w:rsidRPr="00A31137">
        <w:t>III</w:t>
      </w:r>
    </w:p>
    <w:p w:rsidR="00A31137" w:rsidRPr="00A31137" w:rsidRDefault="00A31137" w:rsidP="00A31137">
      <w:r w:rsidRPr="00A31137">
        <w:t>1996, Liquormart, Inc. v. Rhode Island, No. 94-1140</w:t>
      </w:r>
    </w:p>
    <w:p w:rsidR="00A31137" w:rsidRPr="00A31137" w:rsidRDefault="00A31137" w:rsidP="00A31137">
      <w:r w:rsidRPr="00A31137">
        <w:t>Advertising has been a part of our culture throughout our history. Even in colonial days, the public relied on "commercial speech" for vital information about the market. Early newspapers displayed advertisements for goods and services on their front pages, and town criers called out prices in public squares. See J. Wood, The Story of Advertising 21, 45-69, 85 (1958); J. Smith, Printers and Press Freedom 49 (1988). Indeed, commercial messages played such a central role in public life prior to the Founding that Benjamin Franklin authored his early defense of a free press in support of his decision to print, of all things, an advertisement for voyages to Barbados. Franklin, An Apology for Printers, June 10, 1731, reprinted in 2 Writings of Benjamin Franklin 172 (1907).</w:t>
      </w:r>
    </w:p>
    <w:p w:rsidR="00A31137" w:rsidRPr="00A31137" w:rsidRDefault="00A31137" w:rsidP="00A31137">
      <w:r w:rsidRPr="00A31137">
        <w:t>1996, Liquormart, Inc. v. Rhode Island, No. 94-1140</w:t>
      </w:r>
    </w:p>
    <w:p w:rsidR="00A31137" w:rsidRPr="00A31137" w:rsidRDefault="00A31137" w:rsidP="00A31137">
      <w:r w:rsidRPr="00A31137">
        <w:t>In accord with the role that commercial messages have long played, the law has developed to ensure that advertising provides consumers with accurate information about the availability of goods and services. In the early years, the common law, and later, statutes, served the consumers' interest in the receipt of accurate information in the commercial market by prohibiting fraudulent and misleading advertising. It was not until the 1970's, however, that this Court held that the First Amendment protected the dissemination of truthful and nonmisleading commercial messages about lawful products and services. See generally Kozinski &amp; Banner, The Anti-History and Pre-History of Commercial Speech, 71 Texas L.Rev. 747 (1993).</w:t>
      </w:r>
    </w:p>
    <w:p w:rsidR="00A31137" w:rsidRPr="00A31137" w:rsidRDefault="00A31137" w:rsidP="00A31137">
      <w:r w:rsidRPr="00A31137">
        <w:t>1996, Liquormart, Inc. v. Rhode Island, No. 94-1140</w:t>
      </w:r>
    </w:p>
    <w:p w:rsidR="00A31137" w:rsidRPr="00A31137" w:rsidRDefault="00A31137" w:rsidP="00A31137">
      <w:r w:rsidRPr="00A31137">
        <w:t>In Bigelow v. Virginia, 421 U.S. 809 (1975), we held that it was error to assume that commercial speech was entitled to no First Amendment protection or that it was without value in the marketplace of ideas. Id. at 825-826. The following Term, in Virginia Bd. of Pharmacy v. Virginia Citizens Consumer Council, Inc., 425 U.S. 748 (1976), we expanded on our holding in Bigelow and held that the State's blanket ban on advertising the price of prescription drugs violated the First Amendment.</w:t>
      </w:r>
    </w:p>
    <w:p w:rsidR="00A31137" w:rsidRPr="00A31137" w:rsidRDefault="00A31137" w:rsidP="00A31137">
      <w:r w:rsidRPr="00A31137">
        <w:t>1996, Liquormart, Inc. v. Rhode Island, No. 94-1140</w:t>
      </w:r>
    </w:p>
    <w:p w:rsidR="00A31137" w:rsidRPr="00A31137" w:rsidRDefault="00A31137" w:rsidP="00A31137">
      <w:r w:rsidRPr="00A31137">
        <w:t>Virginia Pharmacy Bd. reflected the conclusion that the same interest that supports regulation of potentially misleading advertising, namely the public's interest in receiving accurate commercial information, also supports an interpretation of the First Amendment that provides constitutional protection for the dissemination of accurate and nonmisleading commercial messages. We explained:</w:t>
      </w:r>
    </w:p>
    <w:p w:rsidR="00A31137" w:rsidRPr="00A31137" w:rsidRDefault="00A31137" w:rsidP="00A31137">
      <w:r w:rsidRPr="00A31137">
        <w:t>1996, Liquormart, Inc. v. Rhode Island, No. 94-1140</w:t>
      </w:r>
    </w:p>
    <w:p w:rsidR="00A31137" w:rsidRPr="00A31137" w:rsidRDefault="00A31137" w:rsidP="00A31137">
      <w:r w:rsidRPr="00A31137">
        <w:t>Advertising, however tasteless and excessive it sometimes may seem, is nonetheless dissemination of information as to who is producing and selling what product, for what reason, and at what price. So long as we preserve a predominantly free enterprise economy, the allocation of our resources in large measure will be made through numerous private economic decisions. It is a matter of public interest that those decisions, in the aggregate, be intelligent and well informed. To this end, the free flow of commercial information is indispensable.</w:t>
      </w:r>
    </w:p>
    <w:p w:rsidR="00A31137" w:rsidRPr="00A31137" w:rsidRDefault="00A31137" w:rsidP="00A31137">
      <w:r w:rsidRPr="00A31137">
        <w:t>1996, Liquormart, Inc. v. Rhode Island, No. 94-1140</w:t>
      </w:r>
    </w:p>
    <w:p w:rsidR="00A31137" w:rsidRPr="00A31137" w:rsidRDefault="00A31137" w:rsidP="00A31137">
      <w:r w:rsidRPr="00A31137">
        <w:t>Id. at  765. 7 The opinion further explained that a State's paternalistic assumption that the public will use truthful, nonmisleading commercial information unwisely cannot justify a decision to suppress it:</w:t>
      </w:r>
    </w:p>
    <w:p w:rsidR="00A31137" w:rsidRPr="00A31137" w:rsidRDefault="00A31137" w:rsidP="00A31137">
      <w:r w:rsidRPr="00A31137">
        <w:t>1996, Liquormart, Inc. v. Rhode Island, No. 94-1140</w:t>
      </w:r>
    </w:p>
    <w:p w:rsidR="00A31137" w:rsidRPr="00A31137" w:rsidRDefault="00A31137" w:rsidP="00A31137">
      <w:r w:rsidRPr="00A31137">
        <w:t>There is, of course, an alternative to this highly paternalistic approach. That alternative is to assume that this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us.</w:t>
      </w:r>
    </w:p>
    <w:p w:rsidR="00A31137" w:rsidRPr="00A31137" w:rsidRDefault="00A31137" w:rsidP="00A31137">
      <w:r w:rsidRPr="00A31137">
        <w:t>1996, Liquormart, Inc. v. Rhode Island, No. 94-1140</w:t>
      </w:r>
    </w:p>
    <w:p w:rsidR="00A31137" w:rsidRPr="00A31137" w:rsidRDefault="00A31137" w:rsidP="00A31137">
      <w:r w:rsidRPr="00A31137">
        <w:t xml:space="preserve"> Id. at  770.</w:t>
      </w:r>
    </w:p>
    <w:p w:rsidR="00A31137" w:rsidRPr="00A31137" w:rsidRDefault="00A31137" w:rsidP="00A31137">
      <w:r w:rsidRPr="00A31137">
        <w:t>1996, Liquormart, Inc. v. Rhode Island, No. 94-1140</w:t>
      </w:r>
    </w:p>
    <w:p w:rsidR="00A31137" w:rsidRPr="00A31137" w:rsidRDefault="00A31137" w:rsidP="00A31137">
      <w:r w:rsidRPr="00A31137">
        <w:t>On the basis of these principles, our early cases uniformly struck down several broadly based bans on truthful, nonmisleading commercial speech, each of which served ends unrelated to consumer protection. 8 Indeed, one of those cases expressly likened the rationale that Virginia Pharmacy Bd. employed to the one that Justice Brandeis adopted in his concurrence in Whitney v. California, 274 U.S. 357 (1927). See Linmark Associates, Inc. v. Willingboro, 431 U.S. 85,  97 (1977). There, Justice Brandeis wrote, in explaining his objection to a prohibition of political speech, that "the remedy to be applied is more speech, not enforced silence. Only an emergency can justify repression." Whitney, 274 U.S. at  377; see also Carey v. Population Services Int'l, 431 U.S. 678,  701 (1977) (applying test for suppressing political speech set forth in Brandenburg v. Ohio, 395 U.S. 444,  447 (1969)).</w:t>
      </w:r>
    </w:p>
    <w:p w:rsidR="00A31137" w:rsidRPr="00A31137" w:rsidRDefault="00A31137" w:rsidP="00A31137">
      <w:r w:rsidRPr="00A31137">
        <w:t>1996, Liquormart, Inc. v. Rhode Island, No. 94-1140</w:t>
      </w:r>
    </w:p>
    <w:p w:rsidR="00A31137" w:rsidRPr="00A31137" w:rsidRDefault="00A31137" w:rsidP="00A31137">
      <w:r w:rsidRPr="00A31137">
        <w:t>At the same time, our early cases recognized that the State may regulate some types of commercial advertising more freely than other forms of protected speech. Specifically, we explained that the State may require commercial messages to "appear in such a form, or include such additional information, warnings, and disclaimers, as are necessary to prevent its being deceptive," Virginia Pharmacy Bd., 425 U.S. at  772, n. 24, and that it may restrict some forms of aggressive sales practices that have the potential to exert "undue influence" over consumers. See Bates v. State Bar of Ariz., 433 U.S. 350,  366 (1977).</w:t>
      </w:r>
    </w:p>
    <w:p w:rsidR="00A31137" w:rsidRPr="00A31137" w:rsidRDefault="00A31137" w:rsidP="00A31137">
      <w:r w:rsidRPr="00A31137">
        <w:t>1996, Liquormart, Inc. v. Rhode Island, No. 94-1140</w:t>
      </w:r>
    </w:p>
    <w:p w:rsidR="00A31137" w:rsidRPr="00A31137" w:rsidRDefault="00A31137" w:rsidP="00A31137">
      <w:r w:rsidRPr="00A31137">
        <w:t>Virginia Pharmacy Bd. attributed the State's authority to impose these regulations in part to certain "common sense differences" that exist between commercial messages and other types of protected expression. 425 U.S. at  771, n. 24. Our opinion noted that the greater "objectivity" of commercial speech justifies affording the State more freedom to distinguish false commercial advertisements from true ones, ibid., and that the greater "hardiness" of commercial speech, inspired as it is by the profit motive, likely diminishes the chilling effect that may attend its regulation, ibid.</w:t>
      </w:r>
    </w:p>
    <w:p w:rsidR="00A31137" w:rsidRPr="00A31137" w:rsidRDefault="00A31137" w:rsidP="00A31137">
      <w:r w:rsidRPr="00A31137">
        <w:t>1996, Liquormart, Inc. v. Rhode Island, No. 94-1140</w:t>
      </w:r>
    </w:p>
    <w:p w:rsidR="00A31137" w:rsidRPr="00A31137" w:rsidRDefault="00A31137" w:rsidP="00A31137">
      <w:r w:rsidRPr="00A31137">
        <w:t>Subsequent cases explained that the State's power to regulate commercial transactions justifies its concomitant power to regulate commercial speech that is "linked inextricably" to those transactions. Friedman v. Rogers, 440 U.S. 1, 10, n. 9 (1979); Ohralik v. Ohio State Bar Assn., 436 U.S. 447,  456 (1978) (commercial speech "occurs in an area traditionally subject to government regulation…"). As one commentator has explained:</w:t>
      </w:r>
    </w:p>
    <w:p w:rsidR="00A31137" w:rsidRPr="00A31137" w:rsidRDefault="00A31137" w:rsidP="00A31137">
      <w:r w:rsidRPr="00A31137">
        <w:t>1996, Liquormart, Inc. v. Rhode Island, No. 94-1140</w:t>
      </w:r>
    </w:p>
    <w:p w:rsidR="00A31137" w:rsidRPr="00A31137" w:rsidRDefault="00A31137" w:rsidP="00A31137">
      <w:r w:rsidRPr="00A31137">
        <w:t>The entire commercial speech doctrine, after all, represents an accommodation between the right to speak and hear expression about goods and services and the right of government to regulate the sales of such goods and services.</w:t>
      </w:r>
    </w:p>
    <w:p w:rsidR="00A31137" w:rsidRPr="00A31137" w:rsidRDefault="00A31137" w:rsidP="00A31137">
      <w:r w:rsidRPr="00A31137">
        <w:t>1996, Liquormart, Inc. v. Rhode Island, No. 94-1140</w:t>
      </w:r>
    </w:p>
    <w:p w:rsidR="00A31137" w:rsidRPr="00A31137" w:rsidRDefault="00A31137" w:rsidP="00A31137">
      <w:r w:rsidRPr="00A31137">
        <w:t>L. Tribe, American Constitutional Law § 12-15, p. 903 (2d ed. 1988). Nevertheless, as we explained in Linmark, the State retains less regulatory authority when its commercial speech restrictions strike at "the substance of the information communicated," rather than the "commercial aspect of [it]—with offerors communicating offers to offerees." See Linmark 431 U.S. at  96; Carey v. Population Services Int'l, 431 U.S. 678,  701, n. 28 (1977).</w:t>
      </w:r>
    </w:p>
    <w:p w:rsidR="00A31137" w:rsidRPr="00A31137" w:rsidRDefault="00A31137" w:rsidP="00A31137">
      <w:r w:rsidRPr="00A31137">
        <w:t>1996, Liquormart, Inc. v. Rhode Island, No. 94-1140</w:t>
      </w:r>
    </w:p>
    <w:p w:rsidR="00A31137" w:rsidRPr="00A31137" w:rsidRDefault="00A31137" w:rsidP="00A31137">
      <w:r w:rsidRPr="00A31137">
        <w:t>In Central Hudson Gas &amp; Elec. Corp. v. Public Serv. Comm'n of N.Y., 447 U.S. 557 (1980), we took stock of our developing commercial speech jurisprudence. In that case, we considered a regulation "completely" banning all promotional advertising by electric utilities. Ibid. Our decision acknowledged the special features of commercial speech, but identified the serious First Amendment concerns that attend blanket advertising prohibitions that do not protect consumers from commercial harms.</w:t>
      </w:r>
    </w:p>
    <w:p w:rsidR="00A31137" w:rsidRPr="00A31137" w:rsidRDefault="00A31137" w:rsidP="00A31137">
      <w:r w:rsidRPr="00A31137">
        <w:t>1996, Liquormart, Inc. v. Rhode Island, No. 94-1140</w:t>
      </w:r>
    </w:p>
    <w:p w:rsidR="00A31137" w:rsidRPr="00A31137" w:rsidRDefault="00A31137" w:rsidP="00A31137">
      <w:r w:rsidRPr="00A31137">
        <w:t>Five Members of the Court recognized that the state interest in the conservation of energy was substantial, and that there was "an immediate connection between advertising and demand for electricity." Id. at 569. Nevertheless, they concluded that the regulation was invalid because the Commission had failed to make a showing that a more limited speech regulation would not have adequately served the State's interest. Id. at 571. 9</w:t>
      </w:r>
    </w:p>
    <w:p w:rsidR="00A31137" w:rsidRPr="00A31137" w:rsidRDefault="00A31137" w:rsidP="00A31137">
      <w:r w:rsidRPr="00A31137">
        <w:t>1996, Liquormart, Inc. v. Rhode Island, No. 94-1140</w:t>
      </w:r>
    </w:p>
    <w:p w:rsidR="00A31137" w:rsidRPr="00A31137" w:rsidRDefault="00A31137" w:rsidP="00A31137">
      <w:r w:rsidRPr="00A31137">
        <w:t>In reaching its conclusion, the majority explained that, although the special nature of commercial speech may require less than strict review of its regulation, special concerns arise from "regulations that entirely suppress commercial speech in order to pursue a nonspeech-related policy." Id. at 566, n. 9. In those circumstances, "a ban on speech could screen from public view the underlying governmental policy." Ibid. As a result, the Court concluded that "special care" should attend the review of such blanket bans, and it pointedly remarked that,</w:t>
      </w:r>
    </w:p>
    <w:p w:rsidR="00A31137" w:rsidRPr="00A31137" w:rsidRDefault="00A31137" w:rsidP="00A31137">
      <w:r w:rsidRPr="00A31137">
        <w:t>1996, Liquormart, Inc. v. Rhode Island, No. 94-1140</w:t>
      </w:r>
    </w:p>
    <w:p w:rsidR="00A31137" w:rsidRPr="00A31137" w:rsidRDefault="00A31137" w:rsidP="00A31137">
      <w:r w:rsidRPr="00A31137">
        <w:t>in recent years, this Court has not approved a blanket ban on commercial speech unless the speech itself was flawed in some way, either because it was deceptive or related to unlawful activity.</w:t>
      </w:r>
    </w:p>
    <w:p w:rsidR="00A31137" w:rsidRPr="00A31137" w:rsidRDefault="00A31137" w:rsidP="00A31137">
      <w:r w:rsidRPr="00A31137">
        <w:t>1996, Liquormart, Inc. v. Rhode Island, No. 94-1140</w:t>
      </w:r>
    </w:p>
    <w:p w:rsidR="00A31137" w:rsidRPr="00A31137" w:rsidRDefault="00A31137" w:rsidP="00A31137">
      <w:r w:rsidRPr="00A31137">
        <w:t xml:space="preserve"> Ibid. 10</w:t>
      </w:r>
    </w:p>
    <w:p w:rsidR="00A31137" w:rsidRPr="00A31137" w:rsidRDefault="00A31137" w:rsidP="00A31137">
      <w:r w:rsidRPr="00A31137">
        <w:t>IV</w:t>
      </w:r>
    </w:p>
    <w:p w:rsidR="00A31137" w:rsidRPr="00A31137" w:rsidRDefault="00A31137" w:rsidP="00A31137">
      <w:r w:rsidRPr="00A31137">
        <w:t>1996, Liquormart, Inc. v. Rhode Island, No. 94-1140</w:t>
      </w:r>
    </w:p>
    <w:p w:rsidR="00A31137" w:rsidRPr="00A31137" w:rsidRDefault="00A31137" w:rsidP="00A31137">
      <w:r w:rsidRPr="00A31137">
        <w:t>As our review of the case law reveals, Rhode Island errs in concluding that all commercial speech regulations are subject to a similar form of constitutional review simply because they target a similar category of expression. The mere fact that messages propose commercial transactions does not, in and of itself, dictate the constitutional analysis that should apply to decisions to suppress them. See Rubin v. Coors Brewing Co., 514 U.S. at ___-___ (STEVENS, J., concurring in judgment).</w:t>
      </w:r>
    </w:p>
    <w:p w:rsidR="00A31137" w:rsidRPr="00A31137" w:rsidRDefault="00A31137" w:rsidP="00A31137">
      <w:r w:rsidRPr="00A31137">
        <w:t>1996, Liquormart, Inc. v. Rhode Island, No. 94-1140</w:t>
      </w:r>
    </w:p>
    <w:p w:rsidR="00A31137" w:rsidRPr="00A31137" w:rsidRDefault="00A31137" w:rsidP="00A31137">
      <w:r w:rsidRPr="00A31137">
        <w:t>When a State regulates commercial messages to protect consumers from misleading, deceptive, or aggressive sales practices, or requires the disclosure of beneficial consumer information, the purpose of its regulation is consistent with the reasons for according constitutional protection to commercial speech and therefore justifies less than strict review. However, when a State entirely prohibits the dissemination of truthful, nonmisleading commercial messages for reasons unrelated to the preservation of a fair bargaining process, there is far less reason to depart from the rigorous review that the First Amendment generally demands.</w:t>
      </w:r>
    </w:p>
    <w:p w:rsidR="00A31137" w:rsidRPr="00A31137" w:rsidRDefault="00A31137" w:rsidP="00A31137">
      <w:r w:rsidRPr="00A31137">
        <w:t>1996, Liquormart, Inc. v. Rhode Island, No. 94-1140</w:t>
      </w:r>
    </w:p>
    <w:p w:rsidR="00A31137" w:rsidRPr="00A31137" w:rsidRDefault="00A31137" w:rsidP="00A31137">
      <w:r w:rsidRPr="00A31137">
        <w:t>Sound reasons justify reviewing the latter type of commercial speech regulation more carefully. Most obviously, complete speech bans, unlike content-neutral restrictions on the time, place, or manner of expression, see Kovacs v. Cooper, 336 U.S. 77,  89 (1949), are particularly dangerous because they all but foreclose alternative means of disseminating certain information.</w:t>
      </w:r>
    </w:p>
    <w:p w:rsidR="00A31137" w:rsidRPr="00A31137" w:rsidRDefault="00A31137" w:rsidP="00A31137">
      <w:r w:rsidRPr="00A31137">
        <w:t>1996, Liquormart, Inc. v. Rhode Island, No. 94-1140</w:t>
      </w:r>
    </w:p>
    <w:p w:rsidR="00A31137" w:rsidRPr="00A31137" w:rsidRDefault="00A31137" w:rsidP="00A31137">
      <w:r w:rsidRPr="00A31137">
        <w:t xml:space="preserve"> Our commercial speech cases have recognized the dangers that attend governmental attempts to single out certain messages for suppression. For example, in Linmark, 431 U.S. at 92-94, we concluded that a ban on "For Sale" signs was "content-based" and failed to leave open "satisfactory" alternative channels of communication; see also Virginia Pharmacy Bd., 425 U.S. at  771. Moreover, last Term, we upheld a 30-day prohibition against a certain form of legal solicitation largely because it left so many channels of communication open to Florida lawyers. Florida Bar v. Went For It, Inc., 515 U.S. ___, ___-___ (1995). 11</w:t>
      </w:r>
    </w:p>
    <w:p w:rsidR="00A31137" w:rsidRPr="00A31137" w:rsidRDefault="00A31137" w:rsidP="00A31137">
      <w:r w:rsidRPr="00A31137">
        <w:t>1996, Liquormart, Inc. v. Rhode Island, No. 94-1140</w:t>
      </w:r>
    </w:p>
    <w:p w:rsidR="00A31137" w:rsidRPr="00A31137" w:rsidRDefault="00A31137" w:rsidP="00A31137">
      <w:r w:rsidRPr="00A31137">
        <w:t>The special dangers that attend complete bans on truthful, nonmisleading commercial speech cannot be explained away by appeals to the "commonsense distinctions" that exist between commercial and noncommercial speech. Virginia Pharmacy Bd., 425 U.S. at  771, n. 24. Regulations that suppress the truth are no less troubling because they target objectively verifiable information, nor are they less effective because they aim at durable messages. As a result, neither the "greater objectivity" nor the "greater hardiness" of truthful, nonmisleading commercial speech justifies reviewing its complete suppression with added deference. Ibid.</w:t>
      </w:r>
    </w:p>
    <w:p w:rsidR="00A31137" w:rsidRPr="00A31137" w:rsidRDefault="00A31137" w:rsidP="00A31137">
      <w:r w:rsidRPr="00A31137">
        <w:t>1996, Liquormart, Inc. v. Rhode Island, No. 94-1140</w:t>
      </w:r>
    </w:p>
    <w:p w:rsidR="00A31137" w:rsidRPr="00A31137" w:rsidRDefault="00A31137" w:rsidP="00A31137">
      <w:r w:rsidRPr="00A31137">
        <w:t>It is the State's interest in protecting consumers from "commercial harms" that provides "the typical reason why commercial speech can be subject to greater governmental regulation than noncommercial speech." Cincinnati v. Discovery Network, Inc., 507 U.S. 410, 426 (1993). Yet bans that target truthful, nonmisleading commercial messages rarely protect consumers from such harms. 12 Instead, such bans often serve only to obscure an "underlying governmental policy" that could be implemented without regulating speech. Central Hudson, 447 U.S. at 566, n. 9. In this way, these commercial speech bans not only hinder consumer choice, but also impede debate over central issues of public policy. See id. at 575 (Blackmun, J., concurring in judgment). 13</w:t>
      </w:r>
    </w:p>
    <w:p w:rsidR="00A31137" w:rsidRPr="00A31137" w:rsidRDefault="00A31137" w:rsidP="00A31137">
      <w:r w:rsidRPr="00A31137">
        <w:t>1996, Liquormart, Inc. v. Rhode Island, No. 94-1140</w:t>
      </w:r>
    </w:p>
    <w:p w:rsidR="00A31137" w:rsidRPr="00A31137" w:rsidRDefault="00A31137" w:rsidP="00A31137">
      <w:r w:rsidRPr="00A31137">
        <w:t>Precisely because bans against truthful, nonmisleading commercial speech rarely seek to protect consumers from either deception or overreaching, they usually rest solely on the offensive assumption that the public will respond "irrationally" to the truth.   Linmark, 431 U.S. at  96. The First Amendment directs us to be especially skeptical of regulations that seek to keep people in the dark for what the government perceives to be their own good. That teaching applies equally to state attempts to deprive consumers of accurate information about their chosen products:</w:t>
      </w:r>
    </w:p>
    <w:p w:rsidR="00A31137" w:rsidRPr="00A31137" w:rsidRDefault="00A31137" w:rsidP="00A31137">
      <w:r w:rsidRPr="00A31137">
        <w:t>1996, Liquormart, Inc. v. Rhode Island, No. 94-1140</w:t>
      </w:r>
    </w:p>
    <w:p w:rsidR="00A31137" w:rsidRPr="00A31137" w:rsidRDefault="00A31137" w:rsidP="00A31137">
      <w:r w:rsidRPr="00A31137">
        <w:t>The commercial marketplace, like other spheres of our social and cultural life, provides a forum where ideas and information flourish. Some of the ideas and information are vital, some of slight worth. But the general rule is that the speaker and the audience, not the government, assess the value of the information presented. Thus, even a communication that does no more than propose a commercial transaction is entitled to the coverage of the First Amendment. See Virginia State Bd. of Pharmacy, supra, at  762.</w:t>
      </w:r>
    </w:p>
    <w:p w:rsidR="00A31137" w:rsidRPr="00A31137" w:rsidRDefault="00A31137" w:rsidP="00A31137">
      <w:r w:rsidRPr="00A31137">
        <w:t>1996, Liquormart, Inc. v. Rhode Island, No. 94-1140</w:t>
      </w:r>
    </w:p>
    <w:p w:rsidR="00A31137" w:rsidRPr="00A31137" w:rsidRDefault="00A31137" w:rsidP="00A31137">
      <w:r w:rsidRPr="00A31137">
        <w:t>Edenfield v. Fane, 507 U.S. 761, 767 (1993). See also Linmark, 431 U.S. at  96 (1977); Rubin v. Coors Brewing Co., 514 U.S. at ___ (STEVENS, J., concurring in judgment); Tribe, American Constitutional Law § 12-2 at 790, and n. 11.</w:t>
      </w:r>
    </w:p>
    <w:p w:rsidR="00A31137" w:rsidRPr="00A31137" w:rsidRDefault="00A31137" w:rsidP="00A31137">
      <w:r w:rsidRPr="00A31137">
        <w:t>V</w:t>
      </w:r>
    </w:p>
    <w:p w:rsidR="00A31137" w:rsidRPr="00A31137" w:rsidRDefault="00A31137" w:rsidP="00A31137">
      <w:r w:rsidRPr="00A31137">
        <w:t>1996, Liquormart, Inc. v. Rhode Island, No. 94-1140</w:t>
      </w:r>
    </w:p>
    <w:p w:rsidR="00A31137" w:rsidRPr="00A31137" w:rsidRDefault="00A31137" w:rsidP="00A31137">
      <w:r w:rsidRPr="00A31137">
        <w:t>In this case, there is no question that Rhode Island's price advertising ban constitutes a blanket prohibition against truthful, nonmisleading speech about a lawful product. There is also no question that the ban serves an end unrelated to consumer protection. Accordingly, we must review the price advertising ban with "special care," Central Hudson, 447 U.S. at 566, n. 9, mindful that speech prohibitions of this type rarely survive constitutional review. Ibid.</w:t>
      </w:r>
    </w:p>
    <w:p w:rsidR="00A31137" w:rsidRPr="00A31137" w:rsidRDefault="00A31137" w:rsidP="00A31137">
      <w:r w:rsidRPr="00A31137">
        <w:t>1996, Liquormart, Inc. v. Rhode Island, No. 94-1140</w:t>
      </w:r>
    </w:p>
    <w:p w:rsidR="00A31137" w:rsidRPr="00A31137" w:rsidRDefault="00A31137" w:rsidP="00A31137">
      <w:r w:rsidRPr="00A31137">
        <w:t>The State argues that the price advertising prohibition should nevertheless be upheld because it directly advances the State's substantial interest in promoting temperance, and because it is no more extensive than necessary. Cf. Central Hudson, 447 U.S. at 566. Although there is some confusion as to what Rhode Island means by temperance, we assume that the State asserts an interest in reducing alcohol consumption. 14</w:t>
      </w:r>
    </w:p>
    <w:p w:rsidR="00A31137" w:rsidRPr="00A31137" w:rsidRDefault="00A31137" w:rsidP="00A31137">
      <w:r w:rsidRPr="00A31137">
        <w:t>1996, Liquormart, Inc. v. Rhode Island, No. 94-1140</w:t>
      </w:r>
    </w:p>
    <w:p w:rsidR="00A31137" w:rsidRPr="00A31137" w:rsidRDefault="00A31137" w:rsidP="00A31137">
      <w:r w:rsidRPr="00A31137">
        <w:t>In evaluating the ban's effectiveness in advancing the State's interest, we note that a commercial speech regulation "may not be sustained if it provides only ineffective or remote support for the government's purpose." Central Hudson, 447 U.S. at 564. For that reason, the State bears the burden of showing not merely that its regulation will advance its interest, but also that it will do so "to a material degree." Edenfield, 507 U.S. at 771; see also Rubin v. Coors Brewing Co., 514 U.S. at ___. The need for the State to make such a showing is particularly great given the drastic nature of its chosen means—the wholesale suppression of truthful, nonmisleading information. Accordingly, we must determine whether the State has shown that the price advertising ban will significantly reduce alcohol consumption.</w:t>
      </w:r>
    </w:p>
    <w:p w:rsidR="00A31137" w:rsidRPr="00A31137" w:rsidRDefault="00A31137" w:rsidP="00A31137">
      <w:r w:rsidRPr="00A31137">
        <w:t>1996, Liquormart, Inc. v. Rhode Island, No. 94-1140</w:t>
      </w:r>
    </w:p>
    <w:p w:rsidR="00A31137" w:rsidRPr="00A31137" w:rsidRDefault="00A31137" w:rsidP="00A31137">
      <w:r w:rsidRPr="00A31137">
        <w:t>We can agree that common sense supports the conclusion that a prohibition against price advertising, like a collusive agreement among competitors to refrain from such advertising, 15 will tend to mitigate competition and maintain prices at a higher level than would prevail in a completely free market. Despite the absence of proof on the point, we can even agree with the State's contention that it is reasonable to assume that demand, and hence consumption throughout the market, is somewhat lower whenever a higher, noncompetitive price level prevails. However, without any findings of fact, or indeed any evidentiary support whatsoever, we cannot agree with the assertion that the price advertising ban will significantly advance the State's interest in promoting temperance.</w:t>
      </w:r>
    </w:p>
    <w:p w:rsidR="00A31137" w:rsidRPr="00A31137" w:rsidRDefault="00A31137" w:rsidP="00A31137">
      <w:r w:rsidRPr="00A31137">
        <w:t>1996, Liquormart, Inc. v. Rhode Island, No. 94-1140</w:t>
      </w:r>
    </w:p>
    <w:p w:rsidR="00A31137" w:rsidRPr="00A31137" w:rsidRDefault="00A31137" w:rsidP="00A31137">
      <w:r w:rsidRPr="00A31137">
        <w:t>Although the record suggests that the price advertising ban may have some impact on the purchasing patterns of temperate drinkers of modest means, 829 F.Supp. at 546, the State has presented no evidence to suggest that its speech prohibition will significantly reduce marketwide consumption. 16 Indeed, the District Court's considered and uncontradicted finding on this point is directly to the contrary. Id. at 549. 17 Moreover, the evidence suggests that the abusive drinker will probably not be deterred by a marginal price increase, and that the true alcoholic may simply reduce his purchases of other necessities.</w:t>
      </w:r>
    </w:p>
    <w:p w:rsidR="00A31137" w:rsidRPr="00A31137" w:rsidRDefault="00A31137" w:rsidP="00A31137">
      <w:r w:rsidRPr="00A31137">
        <w:t>1996, Liquormart, Inc. v. Rhode Island, No. 94-1140</w:t>
      </w:r>
    </w:p>
    <w:p w:rsidR="00A31137" w:rsidRPr="00A31137" w:rsidRDefault="00A31137" w:rsidP="00A31137">
      <w:r w:rsidRPr="00A31137">
        <w:t>In addition, as the District Court noted, the State has not identified what price level would lead to a significant reduction in alcohol consumption, nor has it identified the amount that it believes prices would decrease without the ban. Ibid. Thus, the State's own showing reveals that any connection between the ban and a significant change in alcohol consumption would be purely fortuitous.</w:t>
      </w:r>
    </w:p>
    <w:p w:rsidR="00A31137" w:rsidRPr="00A31137" w:rsidRDefault="00A31137" w:rsidP="00A31137">
      <w:r w:rsidRPr="00A31137">
        <w:t>1996, Liquormart, Inc. v. Rhode Island, No. 94-1140</w:t>
      </w:r>
    </w:p>
    <w:p w:rsidR="00A31137" w:rsidRPr="00A31137" w:rsidRDefault="00A31137" w:rsidP="00A31137">
      <w:r w:rsidRPr="00A31137">
        <w:t>As is evident, any conclusion that elimination of the ban would significantly increase alcohol consumption would require us to engage in the sort of "speculation or conjecture" that is an unacceptable means of demonstrating that a restriction on commercial speech directly advances the State's asserted interest. Edenfield, 507 U.S. at 770. 18 Such speculation certainly does not suffice when the State takes aim at accurate commercial information for paternalistic ends.</w:t>
      </w:r>
    </w:p>
    <w:p w:rsidR="00A31137" w:rsidRPr="00A31137" w:rsidRDefault="00A31137" w:rsidP="00A31137">
      <w:r w:rsidRPr="00A31137">
        <w:t>1996, Liquormart, Inc. v. Rhode Island, No. 94-1140</w:t>
      </w:r>
    </w:p>
    <w:p w:rsidR="00A31137" w:rsidRPr="00A31137" w:rsidRDefault="00A31137" w:rsidP="00A31137">
      <w:r w:rsidRPr="00A31137">
        <w:t>The State also cannot satisfy the requirement that its restriction on speech be no more extensive than necessary. It is perfectly obvious that alternative forms of regulation that would not involve any restriction on speech would be more likely to achieve the State's goal of promoting temperance. As the State's own expert conceded, higher prices can be maintained either by direct regulation or by increased taxation. 829 F.Supp. at 549. Per capita purchases could be limited as is the case with prescription drugs. Even educational campaigns focused on the problems of excessive, or even moderate, drinking might prove to be more effective.</w:t>
      </w:r>
    </w:p>
    <w:p w:rsidR="00A31137" w:rsidRPr="00A31137" w:rsidRDefault="00A31137" w:rsidP="00A31137">
      <w:r w:rsidRPr="00A31137">
        <w:t>1996, Liquormart, Inc. v. Rhode Island, No. 94-1140</w:t>
      </w:r>
    </w:p>
    <w:p w:rsidR="00A31137" w:rsidRPr="00A31137" w:rsidRDefault="00A31137" w:rsidP="00A31137">
      <w:r w:rsidRPr="00A31137">
        <w:t>As a result, even under the less than strict standard that generally applies in commercial speech cases, the State has failed to establish a "reasonable fit" between its abridgment of speech and its temperance goal. Board of Trustees, State Univ. of N.Y. v. Fox, 492 U.S. 469, 480 (1989); see also Rubin v. Coors Brewing Co., 514 U.S. at ___ (explaining that defects in a federal ban on alcohol advertising are "further highlighted by the availability of alternatives that would prove less intrusive to the First Amendment's protections for commercial speech"); Linmark, 431 U.S. at  97 (suggesting that the State use financial incentives or counterspeech, rather than speech restrictions, to advance its interests). It necessarily follows that the price advertising ban cannot survive the more stringent constitutional review that Central Hudson itself concluded was appropriate for the complete suppression of truthful, nonmisleading commercial speech. Central Hudson, 447 U.S. at 566, n. 9.</w:t>
      </w:r>
    </w:p>
    <w:p w:rsidR="00A31137" w:rsidRPr="00A31137" w:rsidRDefault="00A31137" w:rsidP="00A31137">
      <w:r w:rsidRPr="00A31137">
        <w:t>VI</w:t>
      </w:r>
    </w:p>
    <w:p w:rsidR="00A31137" w:rsidRPr="00A31137" w:rsidRDefault="00A31137" w:rsidP="00A31137">
      <w:r w:rsidRPr="00A31137">
        <w:t>1996, Liquormart, Inc. v. Rhode Island, No. 94-1140</w:t>
      </w:r>
    </w:p>
    <w:p w:rsidR="00A31137" w:rsidRPr="00A31137" w:rsidRDefault="00A31137" w:rsidP="00A31137">
      <w:r w:rsidRPr="00A31137">
        <w:t>The State responds by arguing that it merely exercised appropriate "legislative judgment" in determining that a price advertising ban would best promote temperance. Relying on the Central Hudson analysis set forth in Posadas de Puerto Rico Associates v. Tourism Co. of P.R., 478 U.S. 328 (1986), and United States v. Edge Broadcasting Co., 509 U.S. ___ (1993), Rhode Island first argues that, because expert opinions as to the effectiveness of the price advertising ban "go both ways," the Court of Appeals correctly concluded that the ban constituted a "reasonable choice" by the legislature. 39 F.3d at 7. The State next contends that precedent requires us to give particular deference to that legislative choice, because the State could, if it chose, ban the sale of alcoholic beverages outright. See Posadas, 478 U.S. at 345-346. Finally, the State argues that deference is appropriate because alcoholic beverages are so-called "vice" products. See Edge, 509 U.S. ___; Posadas, 478 U.S. at 346-347. We consider each of these contentions in turn.</w:t>
      </w:r>
    </w:p>
    <w:p w:rsidR="00A31137" w:rsidRPr="00A31137" w:rsidRDefault="00A31137" w:rsidP="00A31137">
      <w:r w:rsidRPr="00A31137">
        <w:t>1996, Liquormart, Inc. v. Rhode Island, No. 94-1140</w:t>
      </w:r>
    </w:p>
    <w:p w:rsidR="00A31137" w:rsidRPr="00A31137" w:rsidRDefault="00A31137" w:rsidP="00A31137">
      <w:r w:rsidRPr="00A31137">
        <w:t>The State's first argument fails to justify the speech prohibition at issue. Our commercial speech cases recognize some room for the exercise of legislative judgment. See Metromedia, Inc. v. San Diego, 453 U.S. 490, 507-508 (1981). However, Rhode Island errs in concluding that Edge and Posadas establish the degree of deference that its decision to impose a price advertising ban warrants.</w:t>
      </w:r>
    </w:p>
    <w:p w:rsidR="00A31137" w:rsidRPr="00A31137" w:rsidRDefault="00A31137" w:rsidP="00A31137">
      <w:r w:rsidRPr="00A31137">
        <w:t>1996, Liquormart, Inc. v. Rhode Island, No. 94-1140</w:t>
      </w:r>
    </w:p>
    <w:p w:rsidR="00A31137" w:rsidRPr="00A31137" w:rsidRDefault="00A31137" w:rsidP="00A31137">
      <w:r w:rsidRPr="00A31137">
        <w:t>In Edge, we upheld a federal statute that permitted only those broadcasters located in States that had legalized lotteries to air lottery advertising. The statute was designed to regulate advertising about an activity that had been deemed illegal in the jurisdiction in which the broadcaster was located. 509 U.S. at ___. Here, by contrast, the commercial speech ban targets information about entirely lawful behavior.</w:t>
      </w:r>
    </w:p>
    <w:p w:rsidR="00A31137" w:rsidRPr="00A31137" w:rsidRDefault="00A31137" w:rsidP="00A31137">
      <w:r w:rsidRPr="00A31137">
        <w:t>1996, Liquormart, Inc. v. Rhode Island, No. 94-1140</w:t>
      </w:r>
    </w:p>
    <w:p w:rsidR="00A31137" w:rsidRPr="00A31137" w:rsidRDefault="00A31137" w:rsidP="00A31137">
      <w:r w:rsidRPr="00A31137">
        <w:t>Posadas is more directly relevant. There, a five-Member majority held that, under the Central Hudson test, it was "up to the legislature" to choose to reduce gambling by suppressing in-state casino advertising, rather than engaging in educational speech. Posadas, 478 U.S. at 344. Rhode Island argues that this logic demonstrates the constitutionality of its own decision to ban price advertising in lieu of raising taxes or employing some other less speech-restrictive means of promoting temperance.</w:t>
      </w:r>
    </w:p>
    <w:p w:rsidR="00A31137" w:rsidRPr="00A31137" w:rsidRDefault="00A31137" w:rsidP="00A31137">
      <w:r w:rsidRPr="00A31137">
        <w:t>1996, Liquormart, Inc. v. Rhode Island, No. 94-1140</w:t>
      </w:r>
    </w:p>
    <w:p w:rsidR="00A31137" w:rsidRPr="00A31137" w:rsidRDefault="00A31137" w:rsidP="00A31137">
      <w:r w:rsidRPr="00A31137">
        <w:t>The reasoning in Posadas does support the State's argument, but, on reflection, we are now persuaded that Posadas erroneously performed the First Amendment analysis. The casino advertising ban was designed to keep truthful, nonmisleading speech from members of the public for fear that they would be more likely to gamble if they received it. As a result, the advertising ban served to shield the State's anti-gambling policy from the public scrutiny that more direct, nonspeech regulation would draw. See Posadas, 478 U.S. at 351 (Brennan, J., dissenting).</w:t>
      </w:r>
    </w:p>
    <w:p w:rsidR="00A31137" w:rsidRPr="00A31137" w:rsidRDefault="00A31137" w:rsidP="00A31137">
      <w:r w:rsidRPr="00A31137">
        <w:t>1996, Liquormart, Inc. v. Rhode Island, No. 94-1140</w:t>
      </w:r>
    </w:p>
    <w:p w:rsidR="00A31137" w:rsidRPr="00A31137" w:rsidRDefault="00A31137" w:rsidP="00A31137">
      <w:r w:rsidRPr="00A31137">
        <w:t>Given our longstanding hostility to commercial speech regulation of this type, Posadas clearly erred in concluding that it was "up to the legislature" to choose suppression over a less speech-restrictive policy. The Posadas majority's conclusion on that point cannot be reconciled with the unbroken line of prior cases striking down similarly broad regulations on truthful, nonmisleading advertising when nonspeech-related alternatives were available. See Posadas, 478 U.S. at 350 (Brennan, J., dissenting) (listing cases); Kurland, Posadas de Puerto Rico v. Tourism Company: "'Twas Strange, 'Twas Passing Strange; 'Twas Pitiful, 'Twas Wondrous Pitiful," 1986 S.Ct.Rev. 1, 12-15.</w:t>
      </w:r>
    </w:p>
    <w:p w:rsidR="00A31137" w:rsidRPr="00A31137" w:rsidRDefault="00A31137" w:rsidP="00A31137">
      <w:r w:rsidRPr="00A31137">
        <w:t>1996, Liquormart, Inc. v. Rhode Island, No. 94-1140</w:t>
      </w:r>
    </w:p>
    <w:p w:rsidR="00A31137" w:rsidRPr="00A31137" w:rsidRDefault="00A31137" w:rsidP="00A31137">
      <w:r w:rsidRPr="00A31137">
        <w:t>Because the 5-to-4 decision in Posadas marked such a sharp break from our prior precedent, and because it concerned a constitutional question about which this Court is the final arbiter, we decline to give force to its highly deferential approach. Instead, in keeping with our prior holdings, we conclude that a state legislature does not have the broad discretion to suppress truthful, nonmisleading information for paternalistic purposes that the Posadas majority was willing to tolerate. As we explained in Virginia Pharmacy Bd.,</w:t>
      </w:r>
    </w:p>
    <w:p w:rsidR="00A31137" w:rsidRPr="00A31137" w:rsidRDefault="00A31137" w:rsidP="00A31137">
      <w:r w:rsidRPr="00A31137">
        <w:t>1996, Liquormart, Inc. v. Rhode Island, No. 94-1140</w:t>
      </w:r>
    </w:p>
    <w:p w:rsidR="00A31137" w:rsidRPr="00A31137" w:rsidRDefault="00A31137" w:rsidP="00A31137">
      <w:r w:rsidRPr="00A31137">
        <w:t>[i]t is precisely this kind of choice, between the dangers of suppressing information and the dangers of its misuse if it is freely available, that the First Amendment makes for us.</w:t>
      </w:r>
    </w:p>
    <w:p w:rsidR="00A31137" w:rsidRPr="00A31137" w:rsidRDefault="00A31137" w:rsidP="00A31137">
      <w:r w:rsidRPr="00A31137">
        <w:t>1996, Liquormart, Inc. v. Rhode Island, No. 94-1140</w:t>
      </w:r>
    </w:p>
    <w:p w:rsidR="00A31137" w:rsidRPr="00A31137" w:rsidRDefault="00A31137" w:rsidP="00A31137">
      <w:r w:rsidRPr="00A31137">
        <w:t>425 U.S. at  770.</w:t>
      </w:r>
    </w:p>
    <w:p w:rsidR="00A31137" w:rsidRPr="00A31137" w:rsidRDefault="00A31137" w:rsidP="00A31137">
      <w:r w:rsidRPr="00A31137">
        <w:t>1996, Liquormart, Inc. v. Rhode Island, No. 94-1140</w:t>
      </w:r>
    </w:p>
    <w:p w:rsidR="00A31137" w:rsidRPr="00A31137" w:rsidRDefault="00A31137" w:rsidP="00A31137">
      <w:r w:rsidRPr="00A31137">
        <w:t>We also cannot accept the State's second contention, which is premised entirely on the "greater includes the lesser" reasoning endorsed toward the end of the majority's opinion in Posadas. There, the majority stated that "the greater power to completely ban casino gambling necessarily includes the lesser power to ban advertising of casino gambling." 478 U.S. at 345-346. It went on to state that,</w:t>
      </w:r>
    </w:p>
    <w:p w:rsidR="00A31137" w:rsidRPr="00A31137" w:rsidRDefault="00A31137" w:rsidP="00A31137">
      <w:r w:rsidRPr="00A31137">
        <w:t>1996, Liquormart, Inc. v. Rhode Island, No. 94-1140</w:t>
      </w:r>
    </w:p>
    <w:p w:rsidR="00A31137" w:rsidRPr="00A31137" w:rsidRDefault="00A31137" w:rsidP="00A31137">
      <w:r w:rsidRPr="00A31137">
        <w:t>because the government could have enacted a wholesale prohibition of [casino gambling], it is permissible for the government to take the less intrusive step of allowing the conduct, but reducing the demand through restrictions on advertising.</w:t>
      </w:r>
    </w:p>
    <w:p w:rsidR="00A31137" w:rsidRPr="00A31137" w:rsidRDefault="00A31137" w:rsidP="00A31137">
      <w:r w:rsidRPr="00A31137">
        <w:t>1996, Liquormart, Inc. v. Rhode Island, No. 94-1140</w:t>
      </w:r>
    </w:p>
    <w:p w:rsidR="00A31137" w:rsidRPr="00A31137" w:rsidRDefault="00A31137" w:rsidP="00A31137">
      <w:r w:rsidRPr="00A31137">
        <w:t xml:space="preserve"> Id. at 346. The majority concluded that it would</w:t>
      </w:r>
    </w:p>
    <w:p w:rsidR="00A31137" w:rsidRPr="00A31137" w:rsidRDefault="00A31137" w:rsidP="00A31137">
      <w:r w:rsidRPr="00A31137">
        <w:t>1996, Liquormart, Inc. v. Rhode Island, No. 94-1140</w:t>
      </w:r>
    </w:p>
    <w:p w:rsidR="00A31137" w:rsidRPr="00A31137" w:rsidRDefault="00A31137" w:rsidP="00A31137">
      <w:r w:rsidRPr="00A31137">
        <w:t>surely be a strange constitutional doctrine which would concede to the legislature the authority to totally ban a product or activity, but deny to the legislature the authority to forbid the stimulation of demand for the product or activity through advertising on behalf of those who would profit from such increased demand.</w:t>
      </w:r>
    </w:p>
    <w:p w:rsidR="00A31137" w:rsidRPr="00A31137" w:rsidRDefault="00A31137" w:rsidP="00A31137">
      <w:r w:rsidRPr="00A31137">
        <w:t>1996, Liquormart, Inc. v. Rhode Island, No. 94-1140</w:t>
      </w:r>
    </w:p>
    <w:p w:rsidR="00A31137" w:rsidRPr="00A31137" w:rsidRDefault="00A31137" w:rsidP="00A31137">
      <w:r w:rsidRPr="00A31137">
        <w:t>Ibid. On the basis of these statements, the State reasons that its undisputed authority to ban alcoholic beverages must include the power to restrict advertisements offering them for sale.</w:t>
      </w:r>
    </w:p>
    <w:p w:rsidR="00A31137" w:rsidRPr="00A31137" w:rsidRDefault="00A31137" w:rsidP="00A31137">
      <w:r w:rsidRPr="00A31137">
        <w:t>1996, Liquormart, Inc. v. Rhode Island, No. 94-1140</w:t>
      </w:r>
    </w:p>
    <w:p w:rsidR="00A31137" w:rsidRPr="00A31137" w:rsidRDefault="00A31137" w:rsidP="00A31137">
      <w:r w:rsidRPr="00A31137">
        <w:t>In Rubin v. Coors Brewing Co., 514 U.S. ___ (1995), the United States advanced a similar argument as a basis for supporting a statutory prohibition against revealing the alcoholic content of malt beverages on product labels. We rejected the argument, noting that the statement in the Posadas opinion was made only after the majority had concluded that the Puerto Rican regulation "survived the Central Hudson test." 514 U.S. at ___, n. 2. Further consideration persuades us that the "greater includes the lesser" argument should be rejected for the additional and more important reason that it is inconsistent with both logic and well settled doctrine.</w:t>
      </w:r>
    </w:p>
    <w:p w:rsidR="00A31137" w:rsidRPr="00A31137" w:rsidRDefault="00A31137" w:rsidP="00A31137">
      <w:r w:rsidRPr="00A31137">
        <w:t>1996, Liquormart, Inc. v. Rhode Island, No. 94-1140</w:t>
      </w:r>
    </w:p>
    <w:p w:rsidR="00A31137" w:rsidRPr="00A31137" w:rsidRDefault="00A31137" w:rsidP="00A31137">
      <w:r w:rsidRPr="00A31137">
        <w:t>Although we do not dispute the proposition that greater powers include lesser ones, we fail to see how that syllogism requires the conclusion that the State's power to regulate commercial activity is "greater" than its power to ban truthful, nonmisleading commercial speech. Contrary to the assumption made in Posadas, we think it quite clear that banning speech may sometimes prove far more intrusive than banning conduct. As a venerable proverb teaches, it may prove more injurious to prevent people from teaching others how to fish than to prevent fish from being sold. 19 Similarly, a local ordinance banning bicycle lessons may curtail freedom far more than one that prohibits bicycle riding within city limits. In short, we reject the assumption that words are necessarily less vital to freedom than actions, or that logic somehow proves that the power to prohibit an activity is necessarily "greater" than the power to suppress speech about it.</w:t>
      </w:r>
    </w:p>
    <w:p w:rsidR="00A31137" w:rsidRPr="00A31137" w:rsidRDefault="00A31137" w:rsidP="00A31137">
      <w:r w:rsidRPr="00A31137">
        <w:t>1996, Liquormart, Inc. v. Rhode Island, No. 94-1140</w:t>
      </w:r>
    </w:p>
    <w:p w:rsidR="00A31137" w:rsidRPr="00A31137" w:rsidRDefault="00A31137" w:rsidP="00A31137">
      <w:r w:rsidRPr="00A31137">
        <w:t>As a matter of First Amendment doctrine, the Posadas syllogism is even less defensible. The text of the First Amendment makes clear that the Constitution presumes that attempts to regulate speech are more dangerous than attempts to regulate conduct. That presumption accords with the essential role that the free flow of information plays in a democratic society. As a result, the First Amendment directs that government may not suppress speech as easily as it may suppress conduct, and that speech restrictions cannot be treated as simply another means that the government may use to achieve its ends.</w:t>
      </w:r>
    </w:p>
    <w:p w:rsidR="00A31137" w:rsidRPr="00A31137" w:rsidRDefault="00A31137" w:rsidP="00A31137">
      <w:r w:rsidRPr="00A31137">
        <w:t>1996, Liquormart, Inc. v. Rhode Island, No. 94-1140</w:t>
      </w:r>
    </w:p>
    <w:p w:rsidR="00A31137" w:rsidRPr="00A31137" w:rsidRDefault="00A31137" w:rsidP="00A31137">
      <w:r w:rsidRPr="00A31137">
        <w:t>These basic First Amendment principles clearly apply to commercial speech; indeed, the Posadas majority impliedly conceded as much by applying the Central Hudson test. Thus, it is no answer that commercial speech concerns products and services that the government may freely regulate. Our decisions from Virginia Pharmacy Bd. on have made plain that a State's regulation of the sale of goods differs in kind from a State's regulation of accurate information about those goods. The distinction that our cases have consistently drawn between these two types of governmental action is fundamentally incompatible with the absolutist view that the State may ban commercial speech simply because it may constitutionally prohibit the underlying conduct. 20</w:t>
      </w:r>
    </w:p>
    <w:p w:rsidR="00A31137" w:rsidRPr="00A31137" w:rsidRDefault="00A31137" w:rsidP="00A31137">
      <w:r w:rsidRPr="00A31137">
        <w:t>1996, Liquormart, Inc. v. Rhode Island, No. 94-1140</w:t>
      </w:r>
    </w:p>
    <w:p w:rsidR="00A31137" w:rsidRPr="00A31137" w:rsidRDefault="00A31137" w:rsidP="00A31137">
      <w:r w:rsidRPr="00A31137">
        <w:t>That the State has chosen to license its liquor retailers does not change the analysis. Even though government is under no obligation to provide a person, or the public, a particular benefit, it does not follow that conferral of the benefit may be conditioned on the surrender of a constitutional right. See, e.g., Frost &amp; Frost Trucking Co. v. Railroad Comm'n of Cal., 271 U.S. 583, 594 (1926). In Perry v. Sindermann, 408 U.S. 593 (1972), relying on a host of cases applying that principle during the preceding quarter-century, the Court explained that government</w:t>
      </w:r>
    </w:p>
    <w:p w:rsidR="00A31137" w:rsidRPr="00A31137" w:rsidRDefault="00A31137" w:rsidP="00A31137">
      <w:r w:rsidRPr="00A31137">
        <w:t>1996, Liquormart, Inc. v. Rhode Island, No. 94-1140</w:t>
      </w:r>
    </w:p>
    <w:p w:rsidR="00A31137" w:rsidRPr="00A31137" w:rsidRDefault="00A31137" w:rsidP="00A31137">
      <w:r w:rsidRPr="00A31137">
        <w:t>may not deny a benefit to a person on a basis that infringes his constitutionally protected interests—especially his interest in freedom of speech.</w:t>
      </w:r>
    </w:p>
    <w:p w:rsidR="00A31137" w:rsidRPr="00A31137" w:rsidRDefault="00A31137" w:rsidP="00A31137">
      <w:r w:rsidRPr="00A31137">
        <w:t>1996, Liquormart, Inc. v. Rhode Island, No. 94-1140</w:t>
      </w:r>
    </w:p>
    <w:p w:rsidR="00A31137" w:rsidRPr="00A31137" w:rsidRDefault="00A31137" w:rsidP="00A31137">
      <w:r w:rsidRPr="00A31137">
        <w:t>Id. at  597. That teaching clearly applies to state attempts to regulate commercial speech, as our cases striking down bans on truthful, nonmisleading speech by licensed professionals attest. See, e.g., Bates v. State Bar of Ariz., 433 U.S. at  355; Virginia Bd. of Pharmacy v. Virginia Citizens Consumer Council, Inc., 425 U.S. 748 (1976).</w:t>
      </w:r>
    </w:p>
    <w:p w:rsidR="00A31137" w:rsidRPr="00A31137" w:rsidRDefault="00A31137" w:rsidP="00A31137">
      <w:r w:rsidRPr="00A31137">
        <w:t>1996, Liquormart, Inc. v. Rhode Island, No. 94-1140</w:t>
      </w:r>
    </w:p>
    <w:p w:rsidR="00A31137" w:rsidRPr="00A31137" w:rsidRDefault="00A31137" w:rsidP="00A31137">
      <w:r w:rsidRPr="00A31137">
        <w:t>Thus, just as it is perfectly clear that Rhode Island could not ban all obscene liquor ads except those that advocated temperance, we think it equally clear that its power to ban the sale of liquor entirely does not include a power to censor all advertisements that contain accurate and nonmisleading information about the price of the product. As the entire Court apparently now agrees, the statements in the Posadas opinion on which Rhode Island relies are no longer persuasive.</w:t>
      </w:r>
    </w:p>
    <w:p w:rsidR="00A31137" w:rsidRPr="00A31137" w:rsidRDefault="00A31137" w:rsidP="00A31137">
      <w:r w:rsidRPr="00A31137">
        <w:t>1996, Liquormart, Inc. v. Rhode Island, No. 94-1140</w:t>
      </w:r>
    </w:p>
    <w:p w:rsidR="00A31137" w:rsidRPr="00A31137" w:rsidRDefault="00A31137" w:rsidP="00A31137">
      <w:r w:rsidRPr="00A31137">
        <w:t>Finally, we find unpersuasive the State's contention that, under Posadas and Edge, the price advertising ban should be upheld because it targets commercial speech that pertains to a "vice" activity. The appellees premise their request for a so-called "vice" exception to our commercial speech doctrine on language in Edge which characterized gambling as a "vice". Edge, 507 U.S. at ___ (slip op. at ___); see also Posadas, 478 U.S. at 346-347. The respondents misread our precedent. Our decision last Term striking down an alcohol-related advertising restriction effectively rejected the very contention respondents now make. See Rubin v. Coors Brewing Co., 514 U.S. at ___, ___, n. 2.</w:t>
      </w:r>
    </w:p>
    <w:p w:rsidR="00A31137" w:rsidRPr="00A31137" w:rsidRDefault="00A31137" w:rsidP="00A31137">
      <w:r w:rsidRPr="00A31137">
        <w:t>1996, Liquormart, Inc. v. Rhode Island, No. 94-1140</w:t>
      </w:r>
    </w:p>
    <w:p w:rsidR="00A31137" w:rsidRPr="00A31137" w:rsidRDefault="00A31137" w:rsidP="00A31137">
      <w:r w:rsidRPr="00A31137">
        <w:t>Moreover, the scope of any "vice" exception to the protection afforded by the First Amendment would be difficult, if not impossible, to define. Almost any product that poses some threat to public health or public morals might reasonably be characterized by a state legislature as relating to "vice activity". Such characterization, however, is anomalous when applied to products such as alcoholic beverages, lottery tickets, or playing cards, that may be lawfully purchased on the open market. The recognition of such an exception would also have the unfortunate consequence of either allowing state legislatures to justify censorship by the simple expedient of placing the "vice" label on selected lawful activities, or requiring the federal courts to establish a federal common law of vice. See Kurland, 1986 S.Ct.Rev. at 15. For these reasons, a "vice" label that is unaccompanied by a corresponding prohibition against the commercial behavior at issue fails to provide a principled justification for the regulation of commercial speech about that activity.</w:t>
      </w:r>
    </w:p>
    <w:p w:rsidR="00A31137" w:rsidRPr="00A31137" w:rsidRDefault="00A31137" w:rsidP="00A31137">
      <w:r w:rsidRPr="00A31137">
        <w:t>VII</w:t>
      </w:r>
    </w:p>
    <w:p w:rsidR="00A31137" w:rsidRPr="00A31137" w:rsidRDefault="00A31137" w:rsidP="00A31137">
      <w:r w:rsidRPr="00A31137">
        <w:t>1996, Liquormart, Inc. v. Rhode Island, No. 94-1140</w:t>
      </w:r>
    </w:p>
    <w:p w:rsidR="00A31137" w:rsidRPr="00A31137" w:rsidRDefault="00A31137" w:rsidP="00A31137">
      <w:r w:rsidRPr="00A31137">
        <w:t>From 1919 until 1933, the Eighteenth Amendment to the Constitution totally prohibited "the manufacture, sale, or transportation of intoxicating liquors" in the United States and its territories. Section 1 of the Twenty-first Amendment repealed that prohibition, and § 2 delegated to the several States the power to prohibit commerce in, or the use of, alcoholic beverages. 21 The States' regulatory power over this segment of commerce is therefore largely "unfettered by the Commerce Clause." Ziffrin, Inc. v. Reeves, 308 U.S. 132, 138 (1939).</w:t>
      </w:r>
    </w:p>
    <w:p w:rsidR="00A31137" w:rsidRPr="00A31137" w:rsidRDefault="00A31137" w:rsidP="00A31137">
      <w:r w:rsidRPr="00A31137">
        <w:t>1996, Liquormart, Inc. v. Rhode Island, No. 94-1140</w:t>
      </w:r>
    </w:p>
    <w:p w:rsidR="00A31137" w:rsidRPr="00A31137" w:rsidRDefault="00A31137" w:rsidP="00A31137">
      <w:r w:rsidRPr="00A31137">
        <w:t>As is clear, the text of the Twenty-first Amendment supports the view that, while it grants the States authority over commerce that might otherwise be reserved to the Federal Government, it places no limit whatsoever on other constitutional provisions. Nevertheless, Rhode Island argues, and the Court of Appeals agreed, that in this case the Twenty-first Amendment tilts the First Amendment analysis in the State's favor. See 39 F.3d at 7-8.</w:t>
      </w:r>
    </w:p>
    <w:p w:rsidR="00A31137" w:rsidRPr="00A31137" w:rsidRDefault="00A31137" w:rsidP="00A31137">
      <w:r w:rsidRPr="00A31137">
        <w:t>1996, Liquormart, Inc. v. Rhode Island, No. 94-1140</w:t>
      </w:r>
    </w:p>
    <w:p w:rsidR="00A31137" w:rsidRPr="00A31137" w:rsidRDefault="00A31137" w:rsidP="00A31137">
      <w:r w:rsidRPr="00A31137">
        <w:t>In reaching its conclusion, the Court of Appeals relied on our decision in California v. LaRue, 409 U.S. 109 (1972). 22 In LaRue, five Members of the Court relied on the Twenty-first Amendment to buttress the conclusion that the First Amendment did not invalidate California's prohibition of certain grossly sexual exhibitions in premises licensed to serve alcoholic beverages. Specifically, the opinion stated that the Twenty-first Amendment required that the prohibition be given an added presumption in favor of its validity. See id. at 118-119. We are now persuaded that the Court's analysis in LaRue would have led to precisely the same result if it had placed no reliance on the Twenty-first Amendment.</w:t>
      </w:r>
    </w:p>
    <w:p w:rsidR="00A31137" w:rsidRPr="00A31137" w:rsidRDefault="00A31137" w:rsidP="00A31137">
      <w:r w:rsidRPr="00A31137">
        <w:t>1996, Liquormart, Inc. v. Rhode Island, No. 94-1140</w:t>
      </w:r>
    </w:p>
    <w:p w:rsidR="00A31137" w:rsidRPr="00A31137" w:rsidRDefault="00A31137" w:rsidP="00A31137">
      <w:r w:rsidRPr="00A31137">
        <w:t>Entirely apart from the Twenty-first Amendment, the State has ample power to prohibit the sale of alcoholic beverages in inappropriate locations. Moreover, in subsequent cases, the Court has recognized that the States' inherent police powers provide ample authority to restrict the kind of "bacchanalian revelries" described in the LaRue opinion, regardless of whether alcoholic beverages are involved. Id. at 118; see, e.g., Young v. American Mini Theatres, Inc., 427 U.S. 50 (1976); Barnes v. Glen Theatre, Inc., 501 U.S. 560 (1991). As we recently noted:</w:t>
      </w:r>
    </w:p>
    <w:p w:rsidR="00A31137" w:rsidRPr="00A31137" w:rsidRDefault="00A31137" w:rsidP="00A31137">
      <w:r w:rsidRPr="00A31137">
        <w:t>1996, Liquormart, Inc. v. Rhode Island, No. 94-1140</w:t>
      </w:r>
    </w:p>
    <w:p w:rsidR="00A31137" w:rsidRPr="00A31137" w:rsidRDefault="00A31137" w:rsidP="00A31137">
      <w:r w:rsidRPr="00A31137">
        <w:t>LaRue did not involve commercial speech about alcohol, but instead concerned the regulation of nude dancing in places where alcohol was served.</w:t>
      </w:r>
    </w:p>
    <w:p w:rsidR="00A31137" w:rsidRPr="00A31137" w:rsidRDefault="00A31137" w:rsidP="00A31137">
      <w:r w:rsidRPr="00A31137">
        <w:t>1996, Liquormart, Inc. v. Rhode Island, No. 94-1140</w:t>
      </w:r>
    </w:p>
    <w:p w:rsidR="00A31137" w:rsidRPr="00A31137" w:rsidRDefault="00A31137" w:rsidP="00A31137">
      <w:r w:rsidRPr="00A31137">
        <w:t>Rubin v. Coors Brewing Co., 514 U.S. at ___, n. 2.</w:t>
      </w:r>
    </w:p>
    <w:p w:rsidR="00A31137" w:rsidRPr="00A31137" w:rsidRDefault="00A31137" w:rsidP="00A31137">
      <w:r w:rsidRPr="00A31137">
        <w:t>1996, Liquormart, Inc. v. Rhode Island, No. 94-1140</w:t>
      </w:r>
    </w:p>
    <w:p w:rsidR="00A31137" w:rsidRPr="00A31137" w:rsidRDefault="00A31137" w:rsidP="00A31137">
      <w:r w:rsidRPr="00A31137">
        <w:t>Without questioning the holding in LaRue, we now disavow its reasoning insofar as it relied on the Twenty-first Amendment. As we explained in a case decided more than a decade after LaRue, although the Twenty-first Amendment limits the effect of the dormant Commerce Clause on a State's regulatory power over the delivery or use of intoxicating beverages within its borders, "the Amendment does not license the States to ignore their obligations under other provisions of the Constitution." Capital Cities Cable, Inc. v. Crisp, 467 U.S. 691, 712 (1984). That general conclusion reflects our specific holdings that the Twenty-first Amendment does not in any way diminish the force of the Supremacy Clause, id. at 712; California Retail Liquor Dealers Assn. v. Midcal Aluminum, Inc., 445 U.S. 97, 112-114 (1980), the Establishment Clause, Larkin v. Grendel's Den, Inc., 459 U.S. 116,  122, n. 5 (1982), or the Equal Protection Clause, Craig v. Boren, 429 U.S. 190,  209 (1976). We see no reason why the First Amendment should not also be included in that list. Accordingly, we now hold that the Twenty-first Amendment does not qualify the constitutional prohibition against laws abridging the freedom of speech embodied in the First Amendment. The Twenty-first Amendment, therefore, cannot save Rhode Island's ban on liquor price advertising.</w:t>
      </w:r>
    </w:p>
    <w:p w:rsidR="00A31137" w:rsidRPr="00A31137" w:rsidRDefault="00A31137" w:rsidP="00A31137">
      <w:r w:rsidRPr="00A31137">
        <w:t>VIII</w:t>
      </w:r>
    </w:p>
    <w:p w:rsidR="00A31137" w:rsidRPr="00A31137" w:rsidRDefault="00A31137" w:rsidP="00A31137">
      <w:r w:rsidRPr="00A31137">
        <w:t>1996, Liquormart, Inc. v. Rhode Island, No. 94-1140</w:t>
      </w:r>
    </w:p>
    <w:p w:rsidR="00A31137" w:rsidRPr="00A31137" w:rsidRDefault="00A31137" w:rsidP="00A31137">
      <w:r w:rsidRPr="00A31137">
        <w:t>Because Rhode Island has failed to carry its heavy burden of justifying its complete ban on price advertising, we conclude that R.I.Gen.Laws §§ 3-8-7 and 3-8-8.1, as well as Regulation 32 of the Rhode Island Liquor Control Administration, abridge speech in violation of the First Amendment as made applicable to the States by the Due Process Clause of the Fourteenth Amendment. The judgment of the Court of Appeals is therefore reversed.</w:t>
      </w:r>
    </w:p>
    <w:p w:rsidR="00A31137" w:rsidRPr="00A31137" w:rsidRDefault="00A31137" w:rsidP="00A31137">
      <w:r w:rsidRPr="00A31137">
        <w:t>1996, Liquormart, Inc. v. Rhode Island, No. 94-1140</w:t>
      </w:r>
    </w:p>
    <w:p w:rsidR="00A31137" w:rsidRPr="00A31137" w:rsidRDefault="00A31137" w:rsidP="00A31137">
      <w:r w:rsidRPr="00A31137">
        <w:t>It is so ordered.</w:t>
      </w:r>
    </w:p>
    <w:p w:rsidR="00A31137" w:rsidRPr="00A31137" w:rsidRDefault="00A31137" w:rsidP="00A31137">
      <w:r w:rsidRPr="00A31137">
        <w:t>SCALIA, J., concurring</w:t>
      </w:r>
    </w:p>
    <w:p w:rsidR="00A31137" w:rsidRPr="00A31137" w:rsidRDefault="00A31137" w:rsidP="00A31137">
      <w:r w:rsidRPr="00A31137">
        <w:t>1996, Liquormart, Inc. v. Rhode Island, No. 94-1140</w:t>
      </w:r>
    </w:p>
    <w:p w:rsidR="00A31137" w:rsidRPr="00A31137" w:rsidRDefault="00A31137" w:rsidP="00A31137">
      <w:r w:rsidRPr="00A31137">
        <w:t>JUSTICE SCALIA, concurring in part and concurring in the judgment.</w:t>
      </w:r>
    </w:p>
    <w:p w:rsidR="00A31137" w:rsidRPr="00A31137" w:rsidRDefault="00A31137" w:rsidP="00A31137">
      <w:r w:rsidRPr="00A31137">
        <w:t>1996, Liquormart, Inc. v. Rhode Island, No. 94-1140</w:t>
      </w:r>
    </w:p>
    <w:p w:rsidR="00A31137" w:rsidRPr="00A31137" w:rsidRDefault="00A31137" w:rsidP="00A31137">
      <w:r w:rsidRPr="00A31137">
        <w:t>I share JUSTICE THOMAS' discomfort with the Central Hudson test, which seems to me to have nothing more than policy intuition to support it. I also share JUSTICE STEVENS' aversion towards paternalistic governmental policies that prevent men and women from hearing facts that might not be good for them. On the other hand, it would also be paternalism for us to prevent the people of the States from enacting laws that we consider paternalistic, unless we have good reason to believe that the Constitution itself forbids them. I will take my guidance as to what the Constitution forbids, with regard to a text as indeterminate as the First Amendment's preservation of "the freedom of speech," and where the core offense of suppressing particular political ideas is not at issue, from the long accepted practices of the American people. See McIntyre v. Ohio Elections Comm'n, 514 U.S. ___, ___ (1995) (SCALIA, J., dissenting).</w:t>
      </w:r>
    </w:p>
    <w:p w:rsidR="00A31137" w:rsidRPr="00A31137" w:rsidRDefault="00A31137" w:rsidP="00A31137">
      <w:r w:rsidRPr="00A31137">
        <w:t>1996, Liquormart, Inc. v. Rhode Island, No. 94-1140</w:t>
      </w:r>
    </w:p>
    <w:p w:rsidR="00A31137" w:rsidRPr="00A31137" w:rsidRDefault="00A31137" w:rsidP="00A31137">
      <w:r w:rsidRPr="00A31137">
        <w:t>The briefs and arguments of the parties in the present case provide no illumination on that point; understandably so, since both sides accepted Central Hudson. The amicus brief on behalf of the American Advertising Federation et al. did examine various expressions of view at the time the First Amendment was adopted; they are consistent with First Amendment protection for commercial speech, but certainly not dispositive. I consider more relevant the state legislative practices prevalent at the time the First Amendment was adopted, since almost all of the States had free speech constitutional guarantees of their own, whose meaning was not likely to have been different from the federal constitutional provision derived from them. Perhaps more relevant still are the state legislative practices at the time the Fourteenth Amendment was adopted, since it is most improbable that that adoption was meant to overturn any existing national consensus regarding free speech. Indeed, it is rare that any nationwide practice would develop contrary to a proper understanding of the First Amendment itself—for which reason, I think also relevant any national consensus that had formed regarding state regulation of advertising after the Fourteenth Amendment, and before this Court's entry into the field. The parties and their amici provide no evidence on these points.</w:t>
      </w:r>
    </w:p>
    <w:p w:rsidR="00A31137" w:rsidRPr="00A31137" w:rsidRDefault="00A31137" w:rsidP="00A31137">
      <w:r w:rsidRPr="00A31137">
        <w:t>1996, Liquormart, Inc. v. Rhode Island, No. 94-1140</w:t>
      </w:r>
    </w:p>
    <w:p w:rsidR="00A31137" w:rsidRPr="00A31137" w:rsidRDefault="00A31137" w:rsidP="00A31137">
      <w:r w:rsidRPr="00A31137">
        <w:t>Since I do not believe we have before us the wherewithal to declare Central Hudson wrong—or at least the wherewithal to say what ought to replace it—I must resolve this case in accord with our existing jurisprudence, which all except JUSTICE THOMAS agree would prohibit the challenged regulation. I am not disposed to develop new law, or reinforce old, on this issue, and, accordingly, I merely concur in the judgment of the Court. I believe, however, that JUSTICE STEVENS' treatment of the application of the Twenty-First Amendment to this case is correct, and accordingly join Parts I, II, VII, and VIII of JUSTICE STEVENS' opinion.</w:t>
      </w:r>
    </w:p>
    <w:p w:rsidR="00A31137" w:rsidRPr="00A31137" w:rsidRDefault="00A31137" w:rsidP="00A31137">
      <w:r w:rsidRPr="00A31137">
        <w:t>THOMAS, J., concurring</w:t>
      </w:r>
    </w:p>
    <w:p w:rsidR="00A31137" w:rsidRPr="00A31137" w:rsidRDefault="00A31137" w:rsidP="00A31137">
      <w:r w:rsidRPr="00A31137">
        <w:t>1996, Liquormart, Inc. v. Rhode Island, No. 94-1140</w:t>
      </w:r>
    </w:p>
    <w:p w:rsidR="00A31137" w:rsidRPr="00A31137" w:rsidRDefault="00A31137" w:rsidP="00A31137">
      <w:r w:rsidRPr="00A31137">
        <w:t>JUSTICE THOMAS, concurring in Parts I, II, VI, and VII, and concurring in the judgment.</w:t>
      </w:r>
    </w:p>
    <w:p w:rsidR="00A31137" w:rsidRPr="00A31137" w:rsidRDefault="00A31137" w:rsidP="00A31137">
      <w:r w:rsidRPr="00A31137">
        <w:t>1996, Liquormart, Inc. v. Rhode Island, No. 94-1140</w:t>
      </w:r>
    </w:p>
    <w:p w:rsidR="00A31137" w:rsidRPr="00A31137" w:rsidRDefault="00A31137" w:rsidP="00A31137">
      <w:r w:rsidRPr="00A31137">
        <w:t>In cases such as this, in which the government's asserted interest is to keep legal users of a product or service ignorant in order to manipulate their choices in the marketplace, the balancing test adopted in Central Hudson Gas &amp; Elec. Corp. v. Public Serv. Comm'n of N.Y., 447 U.S. 557 (1980), should not be applied, in my view. Rather, such an "interest" is per se illegitimate, and can no more justify regulation of "commercial" speech than it can justify regulation of "noncommercial" speech.</w:t>
      </w:r>
    </w:p>
    <w:p w:rsidR="00A31137" w:rsidRPr="00A31137" w:rsidRDefault="00A31137" w:rsidP="00A31137">
      <w:r w:rsidRPr="00A31137">
        <w:t>I</w:t>
      </w:r>
    </w:p>
    <w:p w:rsidR="00A31137" w:rsidRPr="00A31137" w:rsidRDefault="00A31137" w:rsidP="00A31137">
      <w:r w:rsidRPr="00A31137">
        <w:t>1996, Liquormart, Inc. v. Rhode Island, No. 94-1140</w:t>
      </w:r>
    </w:p>
    <w:p w:rsidR="00A31137" w:rsidRPr="00A31137" w:rsidRDefault="00A31137" w:rsidP="00A31137">
      <w:r w:rsidRPr="00A31137">
        <w:t>In Virginia State Bd. of Pharmacy v. Virginia Citizens Consumer Council, Inc., 425 U.S. 748,  762 (1976), this Court held that speech that does "'no more than propose a commercial transaction'" was protected by the First Amendment, and struck down a ban on price advertising regarding prescription drugs. The Court asserted that a "particular consumer's interest in the free flow of commercial information" may be as keen as, or keener than, his interest in "the day's most urgent political debate," id. at  763, and that "the proper allocation of resources" in our free enterprise system requires that consumer decisions be "intelligent and well informed." Id. at  765. The Court also explained that, unless consumers are kept informed about the operations of the free market system, they cannot form "intelligent opinions as to how that system ought to be regulated or altered." Ibid. See also id. at 765-766, nn. 19-20. 1 The Court sharply rebuffed the State's argument that consumers would make irresponsible choices if they were able to choose between higher priced but higher quality pharmaceuticals accompanied by high quality prescription monitoring services resulting from a "stable pharmacist-customer relationshi[p]," id. at  768, on the one hand, and cheaper but lower quality pharmaceuticals unaccompanied by such services, on the other:</w:t>
      </w:r>
    </w:p>
    <w:p w:rsidR="00A31137" w:rsidRPr="00A31137" w:rsidRDefault="00A31137" w:rsidP="00A31137">
      <w:r w:rsidRPr="00A31137">
        <w:t>1996, Liquormart, Inc. v. Rhode Island, No. 94-1140</w:t>
      </w:r>
    </w:p>
    <w:p w:rsidR="00A31137" w:rsidRPr="00A31137" w:rsidRDefault="00A31137" w:rsidP="00A31137">
      <w:r w:rsidRPr="00A31137">
        <w:t>[T]he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w:t>
      </w:r>
    </w:p>
    <w:p w:rsidR="00A31137" w:rsidRPr="00A31137" w:rsidRDefault="00A31137" w:rsidP="00A31137">
      <w:r w:rsidRPr="00A31137">
        <w:t>*    *    *    *</w:t>
      </w:r>
    </w:p>
    <w:p w:rsidR="00A31137" w:rsidRPr="00A31137" w:rsidRDefault="00A31137" w:rsidP="00A31137">
      <w:r w:rsidRPr="00A31137">
        <w:t>1996, Liquormart, Inc. v. Rhode Island, No. 94-1140</w:t>
      </w:r>
    </w:p>
    <w:p w:rsidR="00A31137" w:rsidRPr="00A31137" w:rsidRDefault="00A31137" w:rsidP="00A31137">
      <w:r w:rsidRPr="00A31137">
        <w:t>There is, of course, an alternative to this highly paternalistic approach. That alternative is to assume that information is not in itself harmful, that people will perceive their own best interests, if only they are well enough informed, and that the best means to that end is to open the channels of communication, rather than to close them…. It is precisely this kind of choice, between the dangers of suppressing information and the dangers of its misuse if it is freely available, that the First Amendment makes for us…. Virginia is free to require whatever professional standards it wishes of its pharmacists; it may subsidize them or protect them from competition in other ways. But it may not do so by keeping the public in ignorance of the entirely lawful terms that competing pharmacists are offering. In this sense, the justifications Virginia has offered for suppressing the flow of prescription drug price information, far from persuading us that the flow is not protected by the First Amendment, have reinforced our view that it is.</w:t>
      </w:r>
    </w:p>
    <w:p w:rsidR="00A31137" w:rsidRPr="00A31137" w:rsidRDefault="00A31137" w:rsidP="00A31137">
      <w:r w:rsidRPr="00A31137">
        <w:t>1996, Liquormart, Inc. v. Rhode Island, No. 94-1140</w:t>
      </w:r>
    </w:p>
    <w:p w:rsidR="00A31137" w:rsidRPr="00A31137" w:rsidRDefault="00A31137" w:rsidP="00A31137">
      <w:r w:rsidRPr="00A31137">
        <w:t>Id. at 769-770 (citation omitted).</w:t>
      </w:r>
    </w:p>
    <w:p w:rsidR="00A31137" w:rsidRPr="00A31137" w:rsidRDefault="00A31137" w:rsidP="00A31137">
      <w:r w:rsidRPr="00A31137">
        <w:t>1996, Liquormart, Inc. v. Rhode Island, No. 94-1140</w:t>
      </w:r>
    </w:p>
    <w:p w:rsidR="00A31137" w:rsidRPr="00A31137" w:rsidRDefault="00A31137" w:rsidP="00A31137">
      <w:r w:rsidRPr="00A31137">
        <w:t>The Court opined that false or misleading advertising was not protected, on the grounds that the accuracy of advertising claims may be more readily verifiable than is the accuracy of political or other claims, and that "commercial" speech is made more durable by its profit motive. Id. at  771, and n. 24. The Court also made clear that it did not envision protection for advertising that proposes an illegal transaction. Id. at 772-773 (distinguishing Pittsburgh Press Co. v. Human Relations Comm'n, 413 U.S. 376 (1973)).</w:t>
      </w:r>
    </w:p>
    <w:p w:rsidR="00A31137" w:rsidRPr="00A31137" w:rsidRDefault="00A31137" w:rsidP="00A31137">
      <w:r w:rsidRPr="00A31137">
        <w:t>1996, Liquormart, Inc. v. Rhode Island, No. 94-1140</w:t>
      </w:r>
    </w:p>
    <w:p w:rsidR="00A31137" w:rsidRPr="00A31137" w:rsidRDefault="00A31137" w:rsidP="00A31137">
      <w:r w:rsidRPr="00A31137">
        <w:t>In case after case following Virginia Pharmacy Bd., the Court, and individual Members of the Court, have continued to stress the importance of free dissemination of information about commercial choices in a market economy; the anti-paternalistic premises of the First Amendment; the impropriety of manipulating consumer choices or public opinion through the suppression of accurate "commercial" information; the near impossibility of severing "commercial" speech from speech necessary to democratic decisionmaking; and the dangers of permitting the government to do covertly what it might not have been able to muster the political support to do openly. 2</w:t>
      </w:r>
    </w:p>
    <w:p w:rsidR="00A31137" w:rsidRPr="00A31137" w:rsidRDefault="00A31137" w:rsidP="00A31137">
      <w:r w:rsidRPr="00A31137">
        <w:t>1996, Liquormart, Inc. v. Rhode Island, No. 94-1140</w:t>
      </w:r>
    </w:p>
    <w:p w:rsidR="00A31137" w:rsidRPr="00A31137" w:rsidRDefault="00A31137" w:rsidP="00A31137">
      <w:r w:rsidRPr="00A31137">
        <w:t>In other decisions, however, the Court has appeared to accept the legitimacy of laws that suppress information in order to manipulate the choices of consumers-so long as the government could show that the manipulation was in fact successful. Central Hudson Gas &amp; Elec. Corp. v. Public Serv. Comm'n of N.Y., 447 U.S. 557 (1980), was the first decision to clearly embrace this position, although the Court applied a very strict overbreadth analysis to strike down the advertising ban at issue. 3 In two other decisions, Posadas de Puerto Rico Associates v. Tourism Co. of P.R., 478 U.S. 328 (1986), and United States v. Edge Broadcasting, 509 U.S. 418 (1963), the Court simply presumed that advertising of a product or service leads to increased consumption; since, as in Central Hudson, the Court saw nothing impermissible in the government's suppressing information in order to discourage consumption, it upheld the advertising restrictions in those cases. Posadas, supra, at 341-342; Edge, supra, at 425, 433-434.</w:t>
      </w:r>
    </w:p>
    <w:p w:rsidR="00A31137" w:rsidRPr="00A31137" w:rsidRDefault="00A31137" w:rsidP="00A31137">
      <w:r w:rsidRPr="00A31137">
        <w:t>1996, Liquormart, Inc. v. Rhode Island, No. 94-1140</w:t>
      </w:r>
    </w:p>
    <w:p w:rsidR="00A31137" w:rsidRPr="00A31137" w:rsidRDefault="00A31137" w:rsidP="00A31137">
      <w:r w:rsidRPr="00A31137">
        <w:t>The Court has at times appeared to assume that "commercial" speech could be censored in a variety of ways for any of a variety of reasons because, as was said without clear rationale in some post-Virginia Pharmacy Bd. cases, such speech was in a "subordinate position in the scale of First Amendment values," Ohralik v. Ohio State Bar Assn., 436 U.S. 447,  456 (1978); Board of Trustees of State Univ. of N.Y. v. Fox, 492 U.S. 469, 478 (1989); Florida Bar v. Went For It, Inc., 515 U.S. ___, ___ (1995), or of "less constitutional moment," Central Hudson, supra, at 562-563, n. 5. But see Cincinnati v. Discovery Network, Inc., 507 U.S. 410, 418-419 (1993) (rejecting this assertion); id. at 431 (Blackmun, J., concurring) (same). I do not see a philosophical or historical basis for asserting that "commercial" speech is of "lower value" than "noncommercial" speech. Indeed, some historical materials suggest to the contrary. See, e.g., ante at ___ (citing Franklin's Apology for Printers); Ex parte Jackson, 96 U.S. 727,  733 (1878) (dictum that Congress could not, consistent with freedom of the press, prevent the circulation of lottery advertising through methods other than the United States mail); see also In re Rapier, 143 U.S. 110, 134-135 (1892) (continuing to assume that freedom of the press prevents Congress from prohibiting circulation of newspapers containing lottery advertisements); Lewis Publishing Co. v. Morgan, 229 U.S. 288, 315 (1913) (same); see generally Brief for American Advertising Federation et al. as Amici Curiae 12-24 (citing authorities for propositions that commercial activity and advertising were integral to life in colonial America and that Framers' political philosophy equated liberty and property, and did not distinguish between commercial and noncommercial messages).   Nor do I believe that the only explanations that the Court has ever advanced for treating "commercial" speech differently from other speech can justify restricting "commercial" speech in order to keep information from legal purchasers so as to thwart what would otherwise be their choices in the marketplace. 4</w:t>
      </w:r>
    </w:p>
    <w:p w:rsidR="00A31137" w:rsidRPr="00A31137" w:rsidRDefault="00A31137" w:rsidP="00A31137">
      <w:r w:rsidRPr="00A31137">
        <w:t>II</w:t>
      </w:r>
    </w:p>
    <w:p w:rsidR="00A31137" w:rsidRPr="00A31137" w:rsidRDefault="00A31137" w:rsidP="00A31137">
      <w:r w:rsidRPr="00A31137">
        <w:t>1996, Liquormart, Inc. v. Rhode Island, No. 94-1140</w:t>
      </w:r>
    </w:p>
    <w:p w:rsidR="00A31137" w:rsidRPr="00A31137" w:rsidRDefault="00A31137" w:rsidP="00A31137">
      <w:r w:rsidRPr="00A31137">
        <w:t>I do not join the principal opinion's application of the Central Hudson balancing test, because I do not believe that such a test should be applied to a restriction of "commercial" speech, at least when, as here, the asserted interest is one that is to be achieved through keeping would-be recipients of the speech in the dark. 5 Application of the "advancement of state interest" prong of Central Hudson makes little sense to me in such circumstances. Faulting the State for failing to show that its price advertising ban decreases alcohol consumption "significantly," as JUSTICE STEVENS does, ante, at ___ (emphasis omitted), seems to imply that if the State had been more successful at keeping consumers ignorant, and thereby decreasing their consumption, then the restriction might have been upheld.   This contradicts Virginia Pharmacy Bd.'s rationale for protecting "commercial" speech in the first instance.</w:t>
      </w:r>
    </w:p>
    <w:p w:rsidR="00A31137" w:rsidRPr="00A31137" w:rsidRDefault="00A31137" w:rsidP="00A31137">
      <w:r w:rsidRPr="00A31137">
        <w:t>1996, Liquormart, Inc. v. Rhode Island, No. 94-1140</w:t>
      </w:r>
    </w:p>
    <w:p w:rsidR="00A31137" w:rsidRPr="00A31137" w:rsidRDefault="00A31137" w:rsidP="00A31137">
      <w:r w:rsidRPr="00A31137">
        <w:t>Both JUSTICE STEVENS and JUSTICE O'CONNOR appear to adopt a stricter, more categorical interpretation of the fourth prong of Central Hudson than that suggested in some of our other opinions, 6 one that could, as a practical matter, go a long way toward the position I take. The State argues that keeping information about lower-priced alcohol from consumers will tend to raise the total price of alcohol to consumers (defined as money price plus the costs of searching out lower priced alcohol, see Brief for Respondents 23), thus discouraging alcohol consumption. In their application of the fourth prong, both JUSTICE STEVENS and JUSTICE O'CONNOR hold that, because the State can ban the sale of lower-priced alcohol altogether by instituting minimum prices or levying taxes, it cannot ban advertising regarding lower-priced liquor. Although the tenor of JUSTICE O'CONNOR's opinion (and, to a lesser extent, that of JUSTICE STEVENS' opinion) might suggest that this is just another routine case-by-case application of Central Hudson's fourth prong, the Court's holding will, in fact, be quite sweeping if applied consistently in future cases. The opinions would appear to commit the courts to striking down restrictions on speech whenever a direct regulation (i.e., a regulation involving no restriction on speech regarding lawful activity at all) would be an equally effective method of dampening demand by legal users. But it would seem that directly banning a product (or rationing it, taxing it, controlling its price, or otherwise restricting its sale in specific ways) would virtually always be at least as effective in discouraging consumption as merely restricting advertising regarding the product would be, and thus virtually all restrictions with such a purpose would fail the fourth prong of the Central Hudson test. This would be so even if the direct regulation is, in one sense, more restrictive of conduct generally. In this case, for example, adoption of minimum prices or taxes will mean that those who, under the current legal system, would have happened across cheap liquor or would have sought it out, will be forced to pay more. Similarly, a State seeking to discourage liquor sales would have to ban sales by convenience stores, rather than banning convenience store liquor advertising; it would have to ban liquor sales after midnight, rather than banning advertising by late-night liquor sellers, and so on.</w:t>
      </w:r>
    </w:p>
    <w:p w:rsidR="00A31137" w:rsidRPr="00A31137" w:rsidRDefault="00A31137" w:rsidP="00A31137">
      <w:r w:rsidRPr="00A31137">
        <w:t>1996, Liquormart, Inc. v. Rhode Island, No. 94-1140</w:t>
      </w:r>
    </w:p>
    <w:p w:rsidR="00A31137" w:rsidRPr="00A31137" w:rsidRDefault="00A31137" w:rsidP="00A31137">
      <w:r w:rsidRPr="00A31137">
        <w:t>The upshot of the application of the fourth prong in the opinions of JUSTICE STEVENS and of JUSTICE O'CONNOR seems to be that the government may not, for the purpose of keeping would-be consumers ignorant and thus decreasing demand, restrict advertising regarding commercial transactions—or at least that it may not restrict advertising regarding commercial transactions except to the extent that it outlaws or otherwise directly restricts the same transactions within its own borders. 7 I welcome this outcome, but, rather than "applying" the fourth prong of Central Hudson to reach the inevitable result that all or most such advertising restrictions must be struck down, I would adhere to the doctrine adopted in Virginia Pharmacy Bd. and in Justice Blackmun's Central Hudson concurrence that all attempts to dissuade legal choices by citizens by keeping them ignorant are impermissible.</w:t>
      </w:r>
    </w:p>
    <w:p w:rsidR="00A31137" w:rsidRPr="00A31137" w:rsidRDefault="00A31137" w:rsidP="00A31137">
      <w:r w:rsidRPr="00A31137">
        <w:t>III</w:t>
      </w:r>
    </w:p>
    <w:p w:rsidR="00A31137" w:rsidRPr="00A31137" w:rsidRDefault="00A31137" w:rsidP="00A31137">
      <w:r w:rsidRPr="00A31137">
        <w:t>1996, Liquormart, Inc. v. Rhode Island, No. 94-1140</w:t>
      </w:r>
    </w:p>
    <w:p w:rsidR="00A31137" w:rsidRPr="00A31137" w:rsidRDefault="00A31137" w:rsidP="00A31137">
      <w:r w:rsidRPr="00A31137">
        <w:t>Although the Court took a sudden turn away from Virginia Pharmacy Bd. in Central Hudson, it has never explained why manipulating the choices of consumers by keeping them ignorant is more legitimate when the ignorance is maintained through suppression of "commercial" speech than when the same ignorance is maintained through suppression of "noncommercial" speech. The courts, including this Court, have found the Central Hudson "test" to be, as a general matter, very difficult to apply with any uniformity. 8 This may result in part from the inherently nondeterminative nature of a case-by-case balancing "test" unaccompanied by any categorical rules, and the consequent likelihood that individual judicial preferences will govern application of the test. 9 Moreover, the second prong of Central Hudson, as applied to the facts of that case and to those here, apparently requires judges to delineate those situations in which citizens cannot be trusted with information, and invites judges to decide whether they themselves think that consumption of a product is harmful enough that it should be discouraged. 10 In my view, the Central Hudson test asks the courts to weigh incommensurables—the value of knowledge versus the value of ignorance—and to apply contradictory premises—that informed adults are the best judges of their own interests and that they are not. Rather than continuing to apply a test that makes no sense to me when the asserted state interest is of the type involved here, I would return to the reasoning and holding of Virginia Pharmacy Bd. Under that decision, these restrictions fall.</w:t>
      </w:r>
    </w:p>
    <w:p w:rsidR="00A31137" w:rsidRPr="00A31137" w:rsidRDefault="00A31137" w:rsidP="00A31137">
      <w:r w:rsidRPr="00A31137">
        <w:t>O'CONNOR, J., concurring</w:t>
      </w:r>
    </w:p>
    <w:p w:rsidR="00A31137" w:rsidRPr="00A31137" w:rsidRDefault="00A31137" w:rsidP="00A31137">
      <w:r w:rsidRPr="00A31137">
        <w:t>1996, Liquormart, Inc. v. Rhode Island, No. 94-1140</w:t>
      </w:r>
    </w:p>
    <w:p w:rsidR="00A31137" w:rsidRPr="00A31137" w:rsidRDefault="00A31137" w:rsidP="00A31137">
      <w:r w:rsidRPr="00A31137">
        <w:t>JUSTICE O'CONNOR, with whom THE CHIEF JUSTICE, JUSTICE SOUTER, and JUSTICE BREYER join, concurring in the judgment.</w:t>
      </w:r>
    </w:p>
    <w:p w:rsidR="00A31137" w:rsidRPr="00A31137" w:rsidRDefault="00A31137" w:rsidP="00A31137">
      <w:r w:rsidRPr="00A31137">
        <w:t>1996, Liquormart, Inc. v. Rhode Island, No. 94-1140</w:t>
      </w:r>
    </w:p>
    <w:p w:rsidR="00A31137" w:rsidRPr="00A31137" w:rsidRDefault="00A31137" w:rsidP="00A31137">
      <w:r w:rsidRPr="00A31137">
        <w:t>Rhode Island prohibits advertisement of the retail price of alcoholic beverages except at the place of sale. The State's only asserted justification for this ban is that it promotes temperance by increasing the cost of alcoholic beverages. Brief for Respondent State of Rhode Island 22. I agree with the Court that Rhode Island's price advertising ban is invalid. I would resolve this case more narrowly, however, by applying our established Central Hudson test to determine whether this commercial speech regulation survives First Amendment scrutiny.</w:t>
      </w:r>
    </w:p>
    <w:p w:rsidR="00A31137" w:rsidRPr="00A31137" w:rsidRDefault="00A31137" w:rsidP="00A31137">
      <w:r w:rsidRPr="00A31137">
        <w:t>1996, Liquormart, Inc. v. Rhode Island, No. 94-1140</w:t>
      </w:r>
    </w:p>
    <w:p w:rsidR="00A31137" w:rsidRPr="00A31137" w:rsidRDefault="00A31137" w:rsidP="00A31137">
      <w:r w:rsidRPr="00A31137">
        <w:t>Under that test, we first determine whether the speech at issue concerns lawful activity and is not misleading, and whether the asserted governmental interest is substantial. If both these conditions are met, we must decide whether the regulation "directly advances the governmental interest asserted, and whether it is not more extensive than is necessary to serve that interest." Central Hudson Gas &amp; Elec. Corp. v. Public Serv. Comm'n of N.Y., 447 U.S. 557, 566 (1980).</w:t>
      </w:r>
    </w:p>
    <w:p w:rsidR="00A31137" w:rsidRPr="00A31137" w:rsidRDefault="00A31137" w:rsidP="00A31137">
      <w:r w:rsidRPr="00A31137">
        <w:t>1996, Liquormart, Inc. v. Rhode Island, No. 94-1140</w:t>
      </w:r>
    </w:p>
    <w:p w:rsidR="00A31137" w:rsidRPr="00A31137" w:rsidRDefault="00A31137" w:rsidP="00A31137">
      <w:r w:rsidRPr="00A31137">
        <w:t>Given the means by which this regulation purportedly serves the State's interest, our conclusion is plain: Rhode Island's regulation fails First Amendment scrutiny.</w:t>
      </w:r>
    </w:p>
    <w:p w:rsidR="00A31137" w:rsidRPr="00A31137" w:rsidRDefault="00A31137" w:rsidP="00A31137">
      <w:r w:rsidRPr="00A31137">
        <w:t>1996, Liquormart, Inc. v. Rhode Island, No. 94-1140</w:t>
      </w:r>
    </w:p>
    <w:p w:rsidR="00A31137" w:rsidRPr="00A31137" w:rsidRDefault="00A31137" w:rsidP="00A31137">
      <w:r w:rsidRPr="00A31137">
        <w:t>Both parties agree that the first two prongs of the Central Hudson test are met. Even if we assume arguendo that Rhode Island's regulation also satisfies the requirement that it directly advance the governmental interest, Rhode Island's regulation fails the final prong—that is, its ban is more extensive than necessary to serve the State's interest.</w:t>
      </w:r>
    </w:p>
    <w:p w:rsidR="00A31137" w:rsidRPr="00A31137" w:rsidRDefault="00A31137" w:rsidP="00A31137">
      <w:r w:rsidRPr="00A31137">
        <w:t>1996, Liquormart, Inc. v. Rhode Island, No. 94-1140</w:t>
      </w:r>
    </w:p>
    <w:p w:rsidR="00A31137" w:rsidRPr="00A31137" w:rsidRDefault="00A31137" w:rsidP="00A31137">
      <w:r w:rsidRPr="00A31137">
        <w:t>As we have explained, in order for a speech restriction to pass muster under the final prong, there must be a fit between the legislature's goal and method,</w:t>
      </w:r>
    </w:p>
    <w:p w:rsidR="00A31137" w:rsidRPr="00A31137" w:rsidRDefault="00A31137" w:rsidP="00A31137">
      <w:r w:rsidRPr="00A31137">
        <w:t>1996, Liquormart, Inc. v. Rhode Island, No. 94-1140</w:t>
      </w:r>
    </w:p>
    <w:p w:rsidR="00A31137" w:rsidRPr="00A31137" w:rsidRDefault="00A31137" w:rsidP="00A31137">
      <w:r w:rsidRPr="00A31137">
        <w:t>a fit that is not necessarily perfect, but reasonable; that represents not necessarily the single best disposition but one whose scope is in proportion to the interest served.</w:t>
      </w:r>
    </w:p>
    <w:p w:rsidR="00A31137" w:rsidRPr="00A31137" w:rsidRDefault="00A31137" w:rsidP="00A31137">
      <w:r w:rsidRPr="00A31137">
        <w:t>1996, Liquormart, Inc. v. Rhode Island, No. 94-1140</w:t>
      </w:r>
    </w:p>
    <w:p w:rsidR="00A31137" w:rsidRPr="00A31137" w:rsidRDefault="00A31137" w:rsidP="00A31137">
      <w:r w:rsidRPr="00A31137">
        <w:t>Board of Trustees of State Univ. of N.Y. v. Fox, 492 U.S. 469, 480 (1989) (internal quotation marks omitted). While the State need not employ the least restrictive means to accomplish its goal, the fit between means and ends must be "narrowly tailored." Id. at 480. The scope of the restriction on speech must be reasonably, though it need not be perfectly, targeted to address the harm intended to be regulated. See Florida Bar v. Went For It, Inc., 515 U.S. ___, ___ (1995). The State's regulation must indicate a "carefu[l] calculat[ion of] the costs and benefits associated with the burden on speech imposed by its prohibition." Cincinnati v. Discovery Network, Inc., 507 U.S. 410, 417 (1993) (internal quotation marks omitted). The availability of less burdensome alternatives to reach the stated goal signals that the fit between the legislature's ends and the means chosen to accomplish those ends may be too imprecise to withstand First Amendment scrutiny. See Rubin v. Coors Brewing Co., 514 U.S. ___, ___ (1995); Cincinnati, supra, at 417, n. 13. If alternative channels permit communication of the restricted speech, the regulation is more likely to be considered reasonable. See Florida Bar, supra, at ___-___.</w:t>
      </w:r>
    </w:p>
    <w:p w:rsidR="00A31137" w:rsidRPr="00A31137" w:rsidRDefault="00A31137" w:rsidP="00A31137">
      <w:r w:rsidRPr="00A31137">
        <w:t>1996, Liquormart, Inc. v. Rhode Island, No. 94-1140</w:t>
      </w:r>
    </w:p>
    <w:p w:rsidR="00A31137" w:rsidRPr="00A31137" w:rsidRDefault="00A31137" w:rsidP="00A31137">
      <w:r w:rsidRPr="00A31137">
        <w:t>Rhode Island offers one, and only one, justification for its ban on price advertising. Rhode Island says that the ban is intended to keep alcohol prices high as a way to keep consumption low. By preventing sellers from informing customers of prices, the regulation prevents competition from driving prices down and requires consumers to spend more time to find the best price for alcohol. Brief for Respondent State of Rhode Island 22. The higher cost of obtaining alcohol, Rhode Island argues, will lead to reduced consumption.</w:t>
      </w:r>
    </w:p>
    <w:p w:rsidR="00A31137" w:rsidRPr="00A31137" w:rsidRDefault="00A31137" w:rsidP="00A31137">
      <w:r w:rsidRPr="00A31137">
        <w:t>1996, Liquormart, Inc. v. Rhode Island, No. 94-1140</w:t>
      </w:r>
    </w:p>
    <w:p w:rsidR="00A31137" w:rsidRPr="00A31137" w:rsidRDefault="00A31137" w:rsidP="00A31137">
      <w:r w:rsidRPr="00A31137">
        <w:t>The fit between Rhode Island's method and this particular goal is not reasonable. If the target is simply higher prices generally to discourage consumption, the regulation imposes too great, and unnecessary, a prohibition on speech in order to achieve it. The State has other methods at its disposal—methods that would more directly accomplish this stated goal without intruding on sellers' ability to provide truthful, nonmisleading information to customers. Indeed, Rhode Island's own expert conceded that</w:t>
      </w:r>
    </w:p>
    <w:p w:rsidR="00A31137" w:rsidRPr="00A31137" w:rsidRDefault="00A31137" w:rsidP="00A31137">
      <w:r w:rsidRPr="00A31137">
        <w:t>1996, Liquormart, Inc. v. Rhode Island, No. 94-1140</w:t>
      </w:r>
    </w:p>
    <w:p w:rsidR="00A31137" w:rsidRPr="00A31137" w:rsidRDefault="00A31137" w:rsidP="00A31137">
      <w:r w:rsidRPr="00A31137">
        <w:t>"the objective of lowering consumption of alcohol by banning price advertising could be accomplished by establishing minimum prices and/or by increasing sales taxes on alcoholic beverages."</w:t>
      </w:r>
    </w:p>
    <w:p w:rsidR="00A31137" w:rsidRPr="00A31137" w:rsidRDefault="00A31137" w:rsidP="00A31137">
      <w:r w:rsidRPr="00A31137">
        <w:t>1996, Liquormart, Inc. v. Rhode Island, No. 94-1140</w:t>
      </w:r>
    </w:p>
    <w:p w:rsidR="00A31137" w:rsidRPr="00A31137" w:rsidRDefault="00A31137" w:rsidP="00A31137">
      <w:r w:rsidRPr="00A31137">
        <w:t>39 F.3d 5, 7 (CA1 1994). A tax, for example, is not normally very difficult to administer and would have a far more certain and direct effect on prices, without any restriction on speech. The principal opinion suggests further alternatives, such as limiting per capita purchases or conducting an educational campaign about the dangers of alcohol consumption. Ante at ___. The ready availability of such alternatives—at least some of which would far more effectively achieve Rhode Island's only professed goal at comparatively small additional administrative cost—demonstrates that the fit between ends and means is not narrowly tailored. Too, this regulation prevents sellers of alcohol from communicating price information anywhere but at the point of purchase. No channels exist at all to permit them to publicize the price of their products.</w:t>
      </w:r>
    </w:p>
    <w:p w:rsidR="00A31137" w:rsidRPr="00A31137" w:rsidRDefault="00A31137" w:rsidP="00A31137">
      <w:r w:rsidRPr="00A31137">
        <w:t>1996, Liquormart, Inc. v. Rhode Island, No. 94-1140</w:t>
      </w:r>
    </w:p>
    <w:p w:rsidR="00A31137" w:rsidRPr="00A31137" w:rsidRDefault="00A31137" w:rsidP="00A31137">
      <w:r w:rsidRPr="00A31137">
        <w:t>Respondents point for support to Posadas de Puerto Rico Associates v. Tourism Co. of P.R., 478 U.S. 328 (1986), where, applying the Central Hudson test, we upheld the constitutionality of a Puerto Rico law that prohibited the advertising of casino gambling aimed at residents of Puerto Rico, but permitted such advertising aimed at tourists.</w:t>
      </w:r>
    </w:p>
    <w:p w:rsidR="00A31137" w:rsidRPr="00A31137" w:rsidRDefault="00A31137" w:rsidP="00A31137">
      <w:r w:rsidRPr="00A31137">
        <w:t>1996, Liquormart, Inc. v. Rhode Island, No. 94-1140</w:t>
      </w:r>
    </w:p>
    <w:p w:rsidR="00A31137" w:rsidRPr="00A31137" w:rsidRDefault="00A31137" w:rsidP="00A31137">
      <w:r w:rsidRPr="00A31137">
        <w:t>The Court there accepted as reasonable the legislature's belief that the regulation would be effective, and concluded that, because the restriction affected only advertising of casino gambling aimed at residents of Puerto Rico, not that aimed at tourists, the restriction was narrowly tailored to serve Puerto Rico's interest. 478 U.S. at 341-344. The Court accepted without question Puerto Rico's account of the effectiveness and reasonableness of its speech restriction. Respondents ask us to make a similar presumption here to uphold the validity of Rhode Island's law.</w:t>
      </w:r>
    </w:p>
    <w:p w:rsidR="00A31137" w:rsidRPr="00A31137" w:rsidRDefault="00A31137" w:rsidP="00A31137">
      <w:r w:rsidRPr="00A31137">
        <w:t>1996, Liquormart, Inc. v. Rhode Island, No. 94-1140</w:t>
      </w:r>
    </w:p>
    <w:p w:rsidR="00A31137" w:rsidRPr="00A31137" w:rsidRDefault="00A31137" w:rsidP="00A31137">
      <w:r w:rsidRPr="00A31137">
        <w:t>It is true that Posadas accepted as reasonable, without further inquiry, Puerto Rico's assertions that the regulations furthered the government's interest and were no more extensive than necessary to serve that interest. Since Posadas, however, this Court has examined more searchingly the State's professed goal, and the speech restriction put into place to further it, before accepting a State's claim that the speech restriction satisfies First Amendment scrutiny. See, e.g., Florida Bar v. Went For It, Inc., 515 U.S. ___; Rubin v. Coors Brewing Co., 514 U.S. ___ (1995); Ibanez v. Florida Dept. of Business and Professional Regulation, Bd. of Accountancy, 512 U.S. ___ (1994); Edenfield v. Fane, 507 U.S. 761 (1993); Cincinnati v. Discovery Network, Inc., 507 U.S. 410 (1993). In each of these cases, we declined to accept at face value the proffered justification for the State's regulation, but examined carefully the relationship between the asserted goal and the speech restriction used to reach that goal. The closer look that we have required since Posadas comports better with the purpose of the analysis set out in Central Hudson, by requiring the State to show that the speech restriction directly advances its interest and is narrowly tailored. Under such a closer look, Rhode Island's price advertising ban clearly fails to pass muster.</w:t>
      </w:r>
    </w:p>
    <w:p w:rsidR="00A31137" w:rsidRPr="00A31137" w:rsidRDefault="00A31137" w:rsidP="00A31137">
      <w:r w:rsidRPr="00A31137">
        <w:t>1996, Liquormart, Inc. v. Rhode Island, No. 94-1140</w:t>
      </w:r>
    </w:p>
    <w:p w:rsidR="00A31137" w:rsidRPr="00A31137" w:rsidRDefault="00A31137" w:rsidP="00A31137">
      <w:r w:rsidRPr="00A31137">
        <w:t>Because Rhode Island's regulation fails even the less stringent standard set out in Central Hudson, nothing here requires adoption of a new analysis for the evaluation of commercial speech regulation. The principal opinion acknowledges that,</w:t>
      </w:r>
    </w:p>
    <w:p w:rsidR="00A31137" w:rsidRPr="00A31137" w:rsidRDefault="00A31137" w:rsidP="00A31137">
      <w:r w:rsidRPr="00A31137">
        <w:t>1996, Liquormart, Inc. v. Rhode Island, No. 94-1140</w:t>
      </w:r>
    </w:p>
    <w:p w:rsidR="00A31137" w:rsidRPr="00A31137" w:rsidRDefault="00A31137" w:rsidP="00A31137">
      <w:r w:rsidRPr="00A31137">
        <w:t>even under the less than strict standard that generally applies in commercial speech cases, the State has failed to establish a reasonable fit between its abridgement of speech and its temperance goal.</w:t>
      </w:r>
    </w:p>
    <w:p w:rsidR="00A31137" w:rsidRPr="00A31137" w:rsidRDefault="00A31137" w:rsidP="00A31137">
      <w:r w:rsidRPr="00A31137">
        <w:t>1996, Liquormart, Inc. v. Rhode Island, No. 94-1140</w:t>
      </w:r>
    </w:p>
    <w:p w:rsidR="00A31137" w:rsidRPr="00A31137" w:rsidRDefault="00A31137" w:rsidP="00A31137">
      <w:r w:rsidRPr="00A31137">
        <w:t>Ante at ___ (internal quotation marks omitted). Because we need go no further, I would not here undertake the question whether the test we have employed since Central Hudson should be displaced.</w:t>
      </w:r>
    </w:p>
    <w:p w:rsidR="00A31137" w:rsidRPr="00A31137" w:rsidRDefault="00A31137" w:rsidP="00A31137">
      <w:r w:rsidRPr="00A31137">
        <w:t>1996, Liquormart, Inc. v. Rhode Island, No. 94-1140</w:t>
      </w:r>
    </w:p>
    <w:p w:rsidR="00A31137" w:rsidRPr="00A31137" w:rsidRDefault="00A31137" w:rsidP="00A31137">
      <w:r w:rsidRPr="00A31137">
        <w:t>Respondents argue that an additional factor, the Twenty-first Amendment, tips the First Amendment analysis in Rhode Island's favor.</w:t>
      </w:r>
    </w:p>
    <w:p w:rsidR="00A31137" w:rsidRPr="00A31137" w:rsidRDefault="00A31137" w:rsidP="00A31137">
      <w:r w:rsidRPr="00A31137">
        <w:t>1996, Liquormart, Inc. v. Rhode Island, No. 94-1140</w:t>
      </w:r>
    </w:p>
    <w:p w:rsidR="00A31137" w:rsidRPr="00A31137" w:rsidRDefault="00A31137" w:rsidP="00A31137">
      <w:r w:rsidRPr="00A31137">
        <w:t>The Twenty-first Amendment repealed the prohibition on the manufacture, sale, or transportation of intoxicating liquors that had been established by the 18th Amendment. Section 2 of the Twenty-first Amendment created an exception to the normal operation of the Commerce Clause, to permit States to prohibit commerce in, or the use of, alcoholic beverages. Craig v. Boren, 429 U.S. 190,  206 (1976).</w:t>
      </w:r>
    </w:p>
    <w:p w:rsidR="00A31137" w:rsidRPr="00A31137" w:rsidRDefault="00A31137" w:rsidP="00A31137">
      <w:r w:rsidRPr="00A31137">
        <w:t>1996, Liquormart, Inc. v. Rhode Island, No. 94-1140</w:t>
      </w:r>
    </w:p>
    <w:p w:rsidR="00A31137" w:rsidRPr="00A31137" w:rsidRDefault="00A31137" w:rsidP="00A31137">
      <w:r w:rsidRPr="00A31137">
        <w:t>In its examination of Rhode Island's statute, the Court of Appeals erroneously concluded that the Twenty-first Amendment provided an "added presumption in favor of the validity of the state regulation." 39 F.3d 7-9 (internal quotation marks omitted). The Twenty-first Amendment cannot save an otherwise invalid restriction on speech.</w:t>
      </w:r>
    </w:p>
    <w:p w:rsidR="00A31137" w:rsidRPr="00A31137" w:rsidRDefault="00A31137" w:rsidP="00A31137">
      <w:r w:rsidRPr="00A31137">
        <w:t>1996, Liquormart, Inc. v. Rhode Island, No. 94-1140</w:t>
      </w:r>
    </w:p>
    <w:p w:rsidR="00A31137" w:rsidRPr="00A31137" w:rsidRDefault="00A31137" w:rsidP="00A31137">
      <w:r w:rsidRPr="00A31137">
        <w:t>Nothing in the Amendment's text or history justifies its use to alter the application of the First Amendment.</w:t>
      </w:r>
    </w:p>
    <w:p w:rsidR="00A31137" w:rsidRPr="00A31137" w:rsidRDefault="00A31137" w:rsidP="00A31137">
      <w:r w:rsidRPr="00A31137">
        <w:t>1996, Liquormart, Inc. v. Rhode Island, No. 94-1140</w:t>
      </w:r>
    </w:p>
    <w:p w:rsidR="00A31137" w:rsidRPr="00A31137" w:rsidRDefault="00A31137" w:rsidP="00A31137">
      <w:r w:rsidRPr="00A31137">
        <w:t>[O]ur prior cases have made clear that the [Twenty-first] Amendment does not license the States to ignore their obligations under other provisions of the Constitution.</w:t>
      </w:r>
    </w:p>
    <w:p w:rsidR="00A31137" w:rsidRPr="00A31137" w:rsidRDefault="00A31137" w:rsidP="00A31137">
      <w:r w:rsidRPr="00A31137">
        <w:t>1996, Liquormart, Inc. v. Rhode Island, No. 94-1140</w:t>
      </w:r>
    </w:p>
    <w:p w:rsidR="00A31137" w:rsidRPr="00A31137" w:rsidRDefault="00A31137" w:rsidP="00A31137">
      <w:r w:rsidRPr="00A31137">
        <w:t xml:space="preserve"> Capital Cities Cable, Inc. v. Crisp, 467 U.S. 691, 712 (1984). See also Larkin v. Grendel's Den, Inc., 459 U.S. 116,  122, n. 5 (1982) ("The State may not exercise its power under the Twenty-first Amendment in a way which impinges upon the Establishment Clause of the First Amendment"); Craig, supra, at  206 ("Neither the text nor the history of the Twenty-first Amendment suggests that it qualifies individual rights protected by the Bill of Rights and the Fourteenth Amendment where the sale or use of liquor is concerned" (internal quotation marks omitted)). The Twenty-first Amendment does not trump First Amendment rights or add a presumption of validity to a regulation that cannot otherwise satisfy First Amendment requirements.</w:t>
      </w:r>
    </w:p>
    <w:p w:rsidR="00A31137" w:rsidRPr="00A31137" w:rsidRDefault="00A31137" w:rsidP="00A31137">
      <w:r w:rsidRPr="00A31137">
        <w:t>1996, Liquormart, Inc. v. Rhode Island, No. 94-1140</w:t>
      </w:r>
    </w:p>
    <w:p w:rsidR="00A31137" w:rsidRPr="00A31137" w:rsidRDefault="00A31137" w:rsidP="00A31137">
      <w:r w:rsidRPr="00A31137">
        <w:t>The Court of Appeals relied on California v. LaRue, 409 U.S. 109, 118-119 (1972), for its determination that the Twenty-first Amendment provided an "added presumption" of the regulation's validity. There, this Court upheld a State's regulations prohibiting establishments licensed to sell liquor by the drink from offering explicitly sexual entertainment. As we recently explained in Coors,</w:t>
      </w:r>
    </w:p>
    <w:p w:rsidR="00A31137" w:rsidRPr="00A31137" w:rsidRDefault="00A31137" w:rsidP="00A31137">
      <w:r w:rsidRPr="00A31137">
        <w:t>1996, Liquormart, Inc. v. Rhode Island, No. 94-1140</w:t>
      </w:r>
    </w:p>
    <w:p w:rsidR="00A31137" w:rsidRPr="00A31137" w:rsidRDefault="00A31137" w:rsidP="00A31137">
      <w:r w:rsidRPr="00A31137">
        <w:t>LaRue did not involve commercial speech about alcohol, but instead concerned the regulation of nude dancing in places where alcohol was served.</w:t>
      </w:r>
    </w:p>
    <w:p w:rsidR="00A31137" w:rsidRPr="00A31137" w:rsidRDefault="00A31137" w:rsidP="00A31137">
      <w:r w:rsidRPr="00A31137">
        <w:t>1996, Liquormart, Inc. v. Rhode Island, No. 94-1140</w:t>
      </w:r>
    </w:p>
    <w:p w:rsidR="00A31137" w:rsidRPr="00A31137" w:rsidRDefault="00A31137" w:rsidP="00A31137">
      <w:r w:rsidRPr="00A31137">
        <w:t>514 U.S. at ___, n. 2. The cases following LaRue similarly involved the regulation of nude or nearly nude dancing in establishments licensed to serve alcohol. New York State Liquor Authority v. Bellanca, 452 U.S. 714 (1981) (per curiam); Newport v. Iacobucci, 479 U.S. 92 (1986) (per curiam). Nothing in LaRue suggested that the Twenty-first Amendment would permit a State to prohibit the kind of speech at issue here, and, as discussed above, the text and history of the Twenty-first Amendment clearly indicate that the Amendment was not intended to supplant the general application of constitutional provisions, except for its limited exception to the Commerce Clause's normal operation. Indeed, LaRue notes that prior decisions</w:t>
      </w:r>
    </w:p>
    <w:p w:rsidR="00A31137" w:rsidRPr="00A31137" w:rsidRDefault="00A31137" w:rsidP="00A31137">
      <w:r w:rsidRPr="00A31137">
        <w:t>1996, Liquormart, Inc. v. Rhode Island, No. 94-1140</w:t>
      </w:r>
    </w:p>
    <w:p w:rsidR="00A31137" w:rsidRPr="00A31137" w:rsidRDefault="00A31137" w:rsidP="00A31137">
      <w:r w:rsidRPr="00A31137">
        <w:t>did not go so far as to hold or say that the Twenty-first Amendment supersedes all other provisions of the United States Constitution in the area of liquor regulations,</w:t>
      </w:r>
    </w:p>
    <w:p w:rsidR="00A31137" w:rsidRPr="00A31137" w:rsidRDefault="00A31137" w:rsidP="00A31137">
      <w:r w:rsidRPr="00A31137">
        <w:t>1996, Liquormart, Inc. v. Rhode Island, No. 94-1140</w:t>
      </w:r>
    </w:p>
    <w:p w:rsidR="00A31137" w:rsidRPr="00A31137" w:rsidRDefault="00A31137" w:rsidP="00A31137">
      <w:r w:rsidRPr="00A31137">
        <w:t>409 U.S. at 115, and LaRue certainly does not stand for that proposition. The Court of Appeals' reliance on LaRue was misplaced.</w:t>
      </w:r>
    </w:p>
    <w:p w:rsidR="00A31137" w:rsidRPr="00A31137" w:rsidRDefault="00A31137" w:rsidP="00A31137">
      <w:r w:rsidRPr="00A31137">
        <w:t>1996, Liquormart, Inc. v. Rhode Island, No. 94-1140</w:t>
      </w:r>
    </w:p>
    <w:p w:rsidR="00A31137" w:rsidRPr="00A31137" w:rsidRDefault="00A31137" w:rsidP="00A31137">
      <w:r w:rsidRPr="00A31137">
        <w:t>Rhode Island's prohibition on alcohol price advertising, as a means to keep alcohol prices high and consumption low, cannot survive First Amendment scrutiny. The Twenty-first Amendment cannot save this otherwise invalid regulation. While I agree with the Court's finding that the regulation is invalid, I would decide that issue on narrower grounds. I therefore concur in the judgment.</w:t>
      </w:r>
    </w:p>
    <w:p w:rsidR="00A31137" w:rsidRPr="00A31137" w:rsidRDefault="00A31137" w:rsidP="00A31137">
      <w:r w:rsidRPr="00A31137">
        <w:t>1996, Liquormart, Inc. v. Rhode Island, No. 94-1140</w:t>
      </w:r>
    </w:p>
    <w:p w:rsidR="00A31137" w:rsidRPr="00A31137" w:rsidRDefault="00A31137" w:rsidP="00A31137"/>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1996, Liquormart, Inc. v. Rhode Island, No. 94-1140</w:t>
      </w:r>
    </w:p>
    <w:p w:rsidR="00A31137" w:rsidRPr="00A31137" w:rsidRDefault="00A31137" w:rsidP="00A31137">
      <w:r w:rsidRPr="00A31137">
        <w:t>1. Although the text of the First Amendment states that "Congress shall make no law…abridging the freedom of speech, or of the press," the Amendment applies to the States under the Due Process Clause of the Fourteenth Amendment. See Board of Ed., Island Trees Union Free School Dist. No. 26 v. Pico, 457 U.S. 853,  855, n. 1 (1982); Grosjean v. American Press Co., 297 U.S. 233,  244 (1936); Gitlow v. New York, 268 U.S. 652,  666 (1925).</w:t>
      </w:r>
    </w:p>
    <w:p w:rsidR="00A31137" w:rsidRPr="00A31137" w:rsidRDefault="00A31137" w:rsidP="00A31137">
      <w:r w:rsidRPr="00A31137">
        <w:t>1996, Liquormart, Inc. v. Rhode Island, No. 94-1140</w:t>
      </w:r>
    </w:p>
    <w:p w:rsidR="00A31137" w:rsidRPr="00A31137" w:rsidRDefault="00A31137" w:rsidP="00A31137">
      <w:r w:rsidRPr="00A31137">
        <w:t>2. Rhode Island Gen.Laws § 3-8-7 (1987) provides:</w:t>
      </w:r>
    </w:p>
    <w:p w:rsidR="00A31137" w:rsidRPr="00A31137" w:rsidRDefault="00A31137" w:rsidP="00A31137">
      <w:r w:rsidRPr="00A31137">
        <w:t>1996, Liquormart, Inc. v. Rhode Island, No. 94-1140</w:t>
      </w:r>
    </w:p>
    <w:p w:rsidR="00A31137" w:rsidRPr="00A31137" w:rsidRDefault="00A31137" w:rsidP="00A31137">
      <w:r w:rsidRPr="00A31137">
        <w:t>Advertising price of malt beverages, cordials, wine or distilled liquor.—No manufacturer, wholesaler, or shipper from without this state and no holder of a license issued under the provisions of this title and chapter shall cause or permit the advertising in any manner whatsoever of the price of any malt beverage, cordials, wine or distilled liquor offered for sale in this state; provided, however, that the provisions of this section shall not apply to price signs or tags attached to or placed on merchandise for sale within the licensed premises in accordance with rules and regulations of the department.</w:t>
      </w:r>
    </w:p>
    <w:p w:rsidR="00A31137" w:rsidRPr="00A31137" w:rsidRDefault="00A31137" w:rsidP="00A31137">
      <w:r w:rsidRPr="00A31137">
        <w:t>1996, Liquormart, Inc. v. Rhode Island, No. 94-1140</w:t>
      </w:r>
    </w:p>
    <w:p w:rsidR="00A31137" w:rsidRPr="00A31137" w:rsidRDefault="00A31137" w:rsidP="00A31137">
      <w:r w:rsidRPr="00A31137">
        <w:t>Regulation 32 of the Rules and Regulations of the Liquor Control Administrator provides that no placard or sign that is visible from the exterior of a package store may make any reference to the price of any alcoholic beverage. App. 2 to Brief for Petitioners.</w:t>
      </w:r>
    </w:p>
    <w:p w:rsidR="00A31137" w:rsidRPr="00A31137" w:rsidRDefault="00A31137" w:rsidP="00A31137">
      <w:r w:rsidRPr="00A31137">
        <w:t>1996, Liquormart, Inc. v. Rhode Island, No. 94-1140</w:t>
      </w:r>
    </w:p>
    <w:p w:rsidR="00A31137" w:rsidRPr="00A31137" w:rsidRDefault="00A31137" w:rsidP="00A31137">
      <w:r w:rsidRPr="00A31137">
        <w:t>3. Rhode Island Gen.Laws § 3-8-8.1 (1987) provides:</w:t>
      </w:r>
    </w:p>
    <w:p w:rsidR="00A31137" w:rsidRPr="00A31137" w:rsidRDefault="00A31137" w:rsidP="00A31137">
      <w:r w:rsidRPr="00A31137">
        <w:t>1996, Liquormart, Inc. v. Rhode Island, No. 94-1140</w:t>
      </w:r>
    </w:p>
    <w:p w:rsidR="00A31137" w:rsidRPr="00A31137" w:rsidRDefault="00A31137" w:rsidP="00A31137">
      <w:r w:rsidRPr="00A31137">
        <w:t>Price advertising by media or advertising companies unlawful.—No newspaper, periodical, radio or television broadcaster or broadcasting company or any other person, firm or corporation with a principal place of business in the state of Rhode Island which is engaged in the business of advertising or selling advertising time or space shall accept, publish, or broadcast any advertisement in this state of the price or make reference to the price of any alcoholic beverages. Any person who shall violate any of the provisions of this section shall be guilty of a misdemeanor….</w:t>
      </w:r>
    </w:p>
    <w:p w:rsidR="00A31137" w:rsidRPr="00A31137" w:rsidRDefault="00A31137" w:rsidP="00A31137">
      <w:r w:rsidRPr="00A31137">
        <w:t>1996, Liquormart, Inc. v. Rhode Island, No. 94-1140</w:t>
      </w:r>
    </w:p>
    <w:p w:rsidR="00A31137" w:rsidRPr="00A31137" w:rsidRDefault="00A31137" w:rsidP="00A31137">
      <w:r w:rsidRPr="00A31137">
        <w:t>The statute authorizes the liquor control administrator to exempt trade journals from its coverage. Ibid.</w:t>
      </w:r>
    </w:p>
    <w:p w:rsidR="00A31137" w:rsidRPr="00A31137" w:rsidRDefault="00A31137" w:rsidP="00A31137">
      <w:r w:rsidRPr="00A31137">
        <w:t>1996, Liquormart, Inc. v. Rhode Island, No. 94-1140</w:t>
      </w:r>
    </w:p>
    <w:p w:rsidR="00A31137" w:rsidRPr="00A31137" w:rsidRDefault="00A31137" w:rsidP="00A31137">
      <w:r w:rsidRPr="00A31137">
        <w:t>4.</w:t>
      </w:r>
    </w:p>
    <w:p w:rsidR="00A31137" w:rsidRPr="00A31137" w:rsidRDefault="00A31137" w:rsidP="00A31137">
      <w:r w:rsidRPr="00A31137">
        <w:t>1996, Liquormart, Inc. v. Rhode Island, No. 94-1140</w:t>
      </w:r>
    </w:p>
    <w:p w:rsidR="00A31137" w:rsidRPr="00A31137" w:rsidRDefault="00A31137" w:rsidP="00A31137">
      <w:r w:rsidRPr="00A31137">
        <w:t>We also have little difficulty in finding that the asserted governmental interests, herein described as the promotion of temperance and the reasonable control of the traffic in alcoholic beverages, are substantial. We note, parenthetically, that the word "temperance" is oftentimes mistaken as a synonym for "abstinence." It is not. Webster's Third New International Dictionary (1961) defines "temperance" as "moderation in or abstinence from the use of intoxicating drink." The Rhode Island Legislature has the authority, derived from the state's inherent police power, to enact a variety of laws designed to suppress intemperance or to minimize the acknowledged evils of liquor traffic. Thus, there can be no question that these asserted interests are indeed substantial. Oklahoma Telecasters Association v. Crisp, 699 F.2d at 500.</w:t>
      </w:r>
    </w:p>
    <w:p w:rsidR="00A31137" w:rsidRPr="00A31137" w:rsidRDefault="00A31137" w:rsidP="00A31137">
      <w:r w:rsidRPr="00A31137">
        <w:t>1996, Liquormart, Inc. v. Rhode Island, No. 94-1140</w:t>
      </w:r>
    </w:p>
    <w:p w:rsidR="00A31137" w:rsidRPr="00A31137" w:rsidRDefault="00A31137" w:rsidP="00A31137">
      <w:r w:rsidRPr="00A31137">
        <w:t>S&amp;S Liquor Mart, Inc. v. Pastore, 497 A.2d at 733-734. In her dissent in Rhode Island Liquor Stores Assn. v. Evening Call Pub. Co., 497 A.2d 331 (R.I. 1985), Justice Murray suggested that the advertising ban was motivated at least in part, by an interest in protecting small retailers from price competition. Id. at 342, n. 10. This suggestion is consistent with the position taken by respondent Rhode Island Liquor Stores Association in this case. We, however, accept the State Supreme Court's identification of the relevant state interest served by the legislation.</w:t>
      </w:r>
    </w:p>
    <w:p w:rsidR="00A31137" w:rsidRPr="00A31137" w:rsidRDefault="00A31137" w:rsidP="00A31137">
      <w:r w:rsidRPr="00A31137">
        <w:t>1996, Liquormart, Inc. v. Rhode Island, No. 94-1140</w:t>
      </w:r>
    </w:p>
    <w:p w:rsidR="00A31137" w:rsidRPr="00A31137" w:rsidRDefault="00A31137" w:rsidP="00A31137">
      <w:r w:rsidRPr="00A31137">
        <w:t>5. The plaintiff in that case is a respondent in this case and has filed other actions enforcing the price advertising ban. See id. at 333.</w:t>
      </w:r>
    </w:p>
    <w:p w:rsidR="00A31137" w:rsidRPr="00A31137" w:rsidRDefault="00A31137" w:rsidP="00A31137">
      <w:r w:rsidRPr="00A31137">
        <w:t>1996, Liquormart, Inc. v. Rhode Island, No. 94-1140</w:t>
      </w:r>
    </w:p>
    <w:p w:rsidR="00A31137" w:rsidRPr="00A31137" w:rsidRDefault="00A31137" w:rsidP="00A31137">
      <w:r w:rsidRPr="00A31137">
        <w:t>6. In Dunagin v. Oxford, 718 F.2d 738 (CA5 1983), the Fifth Circuit distinguished our summary action in Queensgate in considering the constitutionality of a sweeping state restriction on outdoor liquor advertising. The Court explained that Queensgate did not control because it involved a far narrower alcohol advertising regulation. Id. at 745-746. By contrast, in Oklahoma Telecasters Assn. v. Crisp, 699 F.2d 490, 495-497 (CA10 1983), rev'd on other grounds sub nom. Capital Cities Cable, Inc. v. Crisp, 467 U.S. 691, 697 (1984), the Tenth Circuit relied on Queensgate in considering a prohibition against broadcasting alcohol advertisements. The Court of Appeals concluded that Queensgate stood for the proposition that the Twenty-first Amendment gives the State greater authority to regulate liquor advertising than the First Amendment would otherwise allow. 699 F.2d at 495-497.</w:t>
      </w:r>
    </w:p>
    <w:p w:rsidR="00A31137" w:rsidRPr="00A31137" w:rsidRDefault="00A31137" w:rsidP="00A31137">
      <w:r w:rsidRPr="00A31137">
        <w:t>1996, Liquormart, Inc. v. Rhode Island, No. 94-1140</w:t>
      </w:r>
    </w:p>
    <w:p w:rsidR="00A31137" w:rsidRPr="00A31137" w:rsidRDefault="00A31137" w:rsidP="00A31137">
      <w:r w:rsidRPr="00A31137">
        <w:t>Other than the two Rhode Island Supreme Court decisions upholding the constitutionality of the statutes at issue in this case, only one published state court opinion has considered our summary action in Queensgate in passing on a liquor advertising restriction. See Michigan Beer &amp; Wine Wholesalers Assn. v. Attorney General, 142 Mich. App. 294, 370 N.W.2d 328 (1985). There, the Michigan Court of Appeals concluded that Queensgate did not control because it involved a far narrower restriction on liquor advertising than the one that Michigan had imposed. 142 Mich.App. at 304-305, 370 N.W.2d at 333-335.</w:t>
      </w:r>
    </w:p>
    <w:p w:rsidR="00A31137" w:rsidRPr="00A31137" w:rsidRDefault="00A31137" w:rsidP="00A31137">
      <w:r w:rsidRPr="00A31137">
        <w:t>1996, Liquormart, Inc. v. Rhode Island, No. 94-1140</w:t>
      </w:r>
    </w:p>
    <w:p w:rsidR="00A31137" w:rsidRPr="00A31137" w:rsidRDefault="00A31137" w:rsidP="00A31137">
      <w:r w:rsidRPr="00A31137">
        <w:t>7. By contrast, the First Amendment does not protect commercial speech about unlawful activities. See Pittsburgh Press Co. v. Pittsburgh Comm'n on Human Relations, 413 U.S. 376 (1973).</w:t>
      </w:r>
    </w:p>
    <w:p w:rsidR="00A31137" w:rsidRPr="00A31137" w:rsidRDefault="00A31137" w:rsidP="00A31137">
      <w:r w:rsidRPr="00A31137">
        <w:t>1996, Liquormart, Inc. v. Rhode Island, No. 94-1140</w:t>
      </w:r>
    </w:p>
    <w:p w:rsidR="00A31137" w:rsidRPr="00A31137" w:rsidRDefault="00A31137" w:rsidP="00A31137">
      <w:r w:rsidRPr="00A31137">
        <w:t>8. See Bates v. State Bar of Ariz., 433 U.S. 350,  355 (1977) (ban on lawyer advertising); Carey v. Population Services Int'l, 431 U.S. 678,  700 (1977) (ban on contraceptive advertising); Linmark Associates, Inc. v. Willingboro, 431 U.S. 85, 92-94 (1977) (ban on "For Sale" signs); Virginia Bd. of Pharmacy v. Virginia Citizens Consumer Council, Inc., 425 U.S. 748 (1976) (ban on prescription drug prices); Bigelow v. Virginia, 421 U.S. 809,  825 (1975) (ban on abortion advertising). Although Linmark involved a prohibition against a particular means of advertising the sale of one's home, we treated the restriction as if it were a complete ban because it did not leave open "satisfactory" alternative channels of communication. 431 U.S. at 92-94.</w:t>
      </w:r>
    </w:p>
    <w:p w:rsidR="00A31137" w:rsidRPr="00A31137" w:rsidRDefault="00A31137" w:rsidP="00A31137">
      <w:r w:rsidRPr="00A31137">
        <w:t>1996, Liquormart, Inc. v. Rhode Island, No. 94-1140</w:t>
      </w:r>
    </w:p>
    <w:p w:rsidR="00A31137" w:rsidRPr="00A31137" w:rsidRDefault="00A31137" w:rsidP="00A31137">
      <w:r w:rsidRPr="00A31137">
        <w:t>9. In other words, the regulation failed the fourth step in the four-part inquiry that the majority announced in its opinion. It wrote:</w:t>
      </w:r>
    </w:p>
    <w:p w:rsidR="00A31137" w:rsidRPr="00A31137" w:rsidRDefault="00A31137" w:rsidP="00A31137">
      <w:r w:rsidRPr="00A31137">
        <w:t>1996, Liquormart, Inc. v. Rhode Island, No. 94-1140</w:t>
      </w:r>
    </w:p>
    <w:p w:rsidR="00A31137" w:rsidRPr="00A31137" w:rsidRDefault="00A31137" w:rsidP="00A31137">
      <w:r w:rsidRPr="00A31137">
        <w:t>In commercial speech cases, then, a four-part analysis has developed. 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w:t>
      </w:r>
    </w:p>
    <w:p w:rsidR="00A31137" w:rsidRPr="00A31137" w:rsidRDefault="00A31137" w:rsidP="00A31137">
      <w:r w:rsidRPr="00A31137">
        <w:t>1996, Liquormart, Inc. v. Rhode Island, No. 94-1140</w:t>
      </w:r>
    </w:p>
    <w:p w:rsidR="00A31137" w:rsidRPr="00A31137" w:rsidRDefault="00A31137" w:rsidP="00A31137">
      <w:r w:rsidRPr="00A31137">
        <w:t>Central Hudson, 447 U.S. at 566.</w:t>
      </w:r>
    </w:p>
    <w:p w:rsidR="00A31137" w:rsidRPr="00A31137" w:rsidRDefault="00A31137" w:rsidP="00A31137">
      <w:r w:rsidRPr="00A31137">
        <w:t>1996, Liquormart, Inc. v. Rhode Island, No. 94-1140</w:t>
      </w:r>
    </w:p>
    <w:p w:rsidR="00A31137" w:rsidRPr="00A31137" w:rsidRDefault="00A31137" w:rsidP="00A31137">
      <w:r w:rsidRPr="00A31137">
        <w:t>10. The Justices concurring in the judgment adopted a somewhat broader view. They expressed</w:t>
      </w:r>
    </w:p>
    <w:p w:rsidR="00A31137" w:rsidRPr="00A31137" w:rsidRDefault="00A31137" w:rsidP="00A31137">
      <w:r w:rsidRPr="00A31137">
        <w:t>1996, Liquormart, Inc. v. Rhode Island, No. 94-1140</w:t>
      </w:r>
    </w:p>
    <w:p w:rsidR="00A31137" w:rsidRPr="00A31137" w:rsidRDefault="00A31137" w:rsidP="00A31137">
      <w:r w:rsidRPr="00A31137">
        <w:t>doubt whether suppression of information concerning the availability and price of a legally offered product is ever a permissible way for the State to "dampen" the demand for or use of the product.</w:t>
      </w:r>
    </w:p>
    <w:p w:rsidR="00A31137" w:rsidRPr="00A31137" w:rsidRDefault="00A31137" w:rsidP="00A31137">
      <w:r w:rsidRPr="00A31137">
        <w:t>1996, Liquormart, Inc. v. Rhode Island, No. 94-1140</w:t>
      </w:r>
    </w:p>
    <w:p w:rsidR="00A31137" w:rsidRPr="00A31137" w:rsidRDefault="00A31137" w:rsidP="00A31137">
      <w:r w:rsidRPr="00A31137">
        <w:t>Id. at 574. Indeed, Justice Blackmun believed that, even"though 'commercial' speech is involved, such a regulation strikes at the heart of the First Amendment." Ibid.</w:t>
      </w:r>
    </w:p>
    <w:p w:rsidR="00A31137" w:rsidRPr="00A31137" w:rsidRDefault="00A31137" w:rsidP="00A31137">
      <w:r w:rsidRPr="00A31137">
        <w:t>1996, Liquormart, Inc. v. Rhode Island, No. 94-1140</w:t>
      </w:r>
    </w:p>
    <w:p w:rsidR="00A31137" w:rsidRPr="00A31137" w:rsidRDefault="00A31137" w:rsidP="00A31137">
      <w:r w:rsidRPr="00A31137">
        <w:t>11.</w:t>
      </w:r>
    </w:p>
    <w:p w:rsidR="00A31137" w:rsidRPr="00A31137" w:rsidRDefault="00A31137" w:rsidP="00A31137">
      <w:r w:rsidRPr="00A31137">
        <w:t>1996, Liquormart, Inc. v. Rhode Island, No. 94-1140</w:t>
      </w:r>
    </w:p>
    <w:p w:rsidR="00A31137" w:rsidRPr="00A31137" w:rsidRDefault="00A31137" w:rsidP="00A31137">
      <w:r w:rsidRPr="00A31137">
        <w:t>Florida permits lawyers to advertise on prime-time television and radio, as well as in newspapers and other media. They may rent space on billboards. They may send untargeted letters to the general population, or to discrete segments thereof. There are, of course, pages upon pages devoted to lawyers in the Yellow Pages of Florida telephone directories. These listings are organized alphabetically and by area of specialty. See generally Rule 4-7.2(a), Rules Regulating The Florida Bar ("[A] lawyer may advertise services through public media, such as a telephone directory, legal directory, newspaper or other periodical, billboards, and other signs, radio, television, and recorded messages the public may access by dialing a telephone number, or through written communication not involving solicitation as defined in rule 4-7.4"); The Florida Bar: Petition to Amend the Rules Regulating The Florida Bar—Advertising Issues, 571 So.2d at 461." Florida Bar v. Went For It, Inc., 515 U.S. at ___.</w:t>
      </w:r>
    </w:p>
    <w:p w:rsidR="00A31137" w:rsidRPr="00A31137" w:rsidRDefault="00A31137" w:rsidP="00A31137">
      <w:r w:rsidRPr="00A31137">
        <w:t>1996, Liquormart, Inc. v. Rhode Island, No. 94-1140</w:t>
      </w:r>
    </w:p>
    <w:p w:rsidR="00A31137" w:rsidRPr="00A31137" w:rsidRDefault="00A31137" w:rsidP="00A31137">
      <w:r w:rsidRPr="00A31137">
        <w:t>12. In Discovery Network, we held that the city's categorical ban on commercial newsracks attached too much importance to the distinction between commercial and noncommercial speech. After concluding that the aesthetic and safety interests served by the newsrack ban bore no relationship whatsoever to the prevention of commercial harms, we rejected the State's attempt to justify its ban on the sole ground that it targeted commercial speech. See 507 U.S. at 428.</w:t>
      </w:r>
    </w:p>
    <w:p w:rsidR="00A31137" w:rsidRPr="00A31137" w:rsidRDefault="00A31137" w:rsidP="00A31137">
      <w:r w:rsidRPr="00A31137">
        <w:t>1996, Liquormart, Inc. v. Rhode Island, No. 94-1140</w:t>
      </w:r>
    </w:p>
    <w:p w:rsidR="00A31137" w:rsidRPr="00A31137" w:rsidRDefault="00A31137" w:rsidP="00A31137">
      <w:r w:rsidRPr="00A31137">
        <w:t>13. This case bears out the point. Rhode Island seeks to reduce alcohol consumption by increasing alcohol price; yet its means of achieving that goal deprives the public of their chief source of information about the reigning price level of alcohol. As a result, the State's price advertising ban keeps the public ignorant of the key barometer of the ban's effectiveness: the alcohol beverages' prices.</w:t>
      </w:r>
    </w:p>
    <w:p w:rsidR="00A31137" w:rsidRPr="00A31137" w:rsidRDefault="00A31137" w:rsidP="00A31137">
      <w:r w:rsidRPr="00A31137">
        <w:t>1996, Liquormart, Inc. v. Rhode Island, No. 94-1140</w:t>
      </w:r>
    </w:p>
    <w:p w:rsidR="00A31137" w:rsidRPr="00A31137" w:rsidRDefault="00A31137" w:rsidP="00A31137">
      <w:r w:rsidRPr="00A31137">
        <w:t>14. Before the District Court, the State argued that it sought to reduce consumption among irresponsible drinkers. App. 67. In its brief to this Court, it equates its interest in promoting temperance with an interest in reducing alcohol consumption among all drinkers. See, e.g., Brief for Respondents 28. The Rhode Island Supreme Court has characterized the State's interest in "promoting temperance" as both "the state's interest in reducing the consumption of liquor," S&amp;S Liquormart, Inc. v. Pastore, 497 A.2d 729, 734 (1985), and the State's interest in discouraging "excessive consumption of alcoholic beverages." Id. at 735. A state statute declares the ban's purpose to be "the promotion of temperance and for the reasonable control of the traffic in alcoholic beverages." R.I.Gen.Laws § 3-1-5 (1987).</w:t>
      </w:r>
    </w:p>
    <w:p w:rsidR="00A31137" w:rsidRPr="00A31137" w:rsidRDefault="00A31137" w:rsidP="00A31137">
      <w:r w:rsidRPr="00A31137">
        <w:t>1996, Liquormart, Inc. v. Rhode Island, No. 94-1140</w:t>
      </w:r>
    </w:p>
    <w:p w:rsidR="00A31137" w:rsidRPr="00A31137" w:rsidRDefault="00A31137" w:rsidP="00A31137">
      <w:r w:rsidRPr="00A31137">
        <w:t>15. See, e.g., Business Electronics Corp. v. Sharp Electronics Corp., 485 U.S. 717, 735 (1988) (considering restriction on price advertising as evidence of Sherman Act violation); United States v. Sealy, Inc., 388 U.S. 350, 355 (1967) (same); Blackburn v. Sweeney, 53 F.3d 825, 828 (CA7 1995) (considering restrictions on the location of advertising as evidence of Sherman Act violation).</w:t>
      </w:r>
    </w:p>
    <w:p w:rsidR="00A31137" w:rsidRPr="00A31137" w:rsidRDefault="00A31137" w:rsidP="00A31137">
      <w:r w:rsidRPr="00A31137">
        <w:t>1996, Liquormart, Inc. v. Rhode Island, No. 94-1140</w:t>
      </w:r>
    </w:p>
    <w:p w:rsidR="00A31137" w:rsidRPr="00A31137" w:rsidRDefault="00A31137" w:rsidP="00A31137">
      <w:r w:rsidRPr="00A31137">
        <w:t>16. The appellants' stipulation that they each expect to realize a $100,000 benefit per year if the ban is lifted is not to the contrary. App. 47. The stipulation shows only that the appellants believe they will be able to compete more effectively for existing alcohol consumers if there is no ban on price advertising. It does not show that they believe either the number of alcohol consumers, or the number of purchases by those consumers, will increase in the ban's absence. Indeed, the State's own expert conceded that</w:t>
      </w:r>
    </w:p>
    <w:p w:rsidR="00A31137" w:rsidRPr="00A31137" w:rsidRDefault="00A31137" w:rsidP="00A31137">
      <w:r w:rsidRPr="00A31137">
        <w:t>1996, Liquormart, Inc. v. Rhode Island, No. 94-1140</w:t>
      </w:r>
    </w:p>
    <w:p w:rsidR="00A31137" w:rsidRPr="00A31137" w:rsidRDefault="00A31137" w:rsidP="00A31137">
      <w:r w:rsidRPr="00A31137">
        <w:t>plaintiffs' expectation of realizing additional profits through price advertising has no necessary relationship to increased overall consumption.</w:t>
      </w:r>
    </w:p>
    <w:p w:rsidR="00A31137" w:rsidRPr="00A31137" w:rsidRDefault="00A31137" w:rsidP="00A31137">
      <w:r w:rsidRPr="00A31137">
        <w:t>1996, Liquormart, Inc. v. Rhode Island, No. 94-1140</w:t>
      </w:r>
    </w:p>
    <w:p w:rsidR="00A31137" w:rsidRPr="00A31137" w:rsidRDefault="00A31137" w:rsidP="00A31137">
      <w:r w:rsidRPr="00A31137">
        <w:t>829 F.Supp. at 549.</w:t>
      </w:r>
    </w:p>
    <w:p w:rsidR="00A31137" w:rsidRPr="00A31137" w:rsidRDefault="00A31137" w:rsidP="00A31137">
      <w:r w:rsidRPr="00A31137">
        <w:t>1996, Liquormart, Inc. v. Rhode Island, No. 94-1140</w:t>
      </w:r>
    </w:p>
    <w:p w:rsidR="00A31137" w:rsidRPr="00A31137" w:rsidRDefault="00A31137" w:rsidP="00A31137">
      <w:r w:rsidRPr="00A31137">
        <w:t>Moreover, we attach little significance to the fact that some studies suggest that people budget the amount of money that they will spend on alcohol. 39 F.3d 5, 7 (CA1 1994). These studies show only that, in a competitive market, people will tend to search for the cheapest product in order to meet their budgets. The studies do not suggest that the amount of money budgeted for alcohol consumption will remain fixed in the face of a marketwide price increase.</w:t>
      </w:r>
    </w:p>
    <w:p w:rsidR="00A31137" w:rsidRPr="00A31137" w:rsidRDefault="00A31137" w:rsidP="00A31137">
      <w:r w:rsidRPr="00A31137">
        <w:t>1996, Liquormart, Inc. v. Rhode Island, No. 94-1140</w:t>
      </w:r>
    </w:p>
    <w:p w:rsidR="00A31137" w:rsidRPr="00A31137" w:rsidRDefault="00A31137" w:rsidP="00A31137">
      <w:r w:rsidRPr="00A31137">
        <w:t>17. Although the Court of Appeals concluded that the regulation directly advanced the State's interest, it did not dispute the District Court's conclusion that the evidence suggested that, at most, a price advertising ban would have a marginal impact on overall alcohol consumption. Id. at 7-8; cf. Michigan Beer &amp; Wine Wholesalers Assn. v. Attorney General, 142 Mich. App. at 311, 370 N.W.2d at 336 (explaining that "any additional impact on the level of consumption attributable to the absence of price advertisements would be negligible").</w:t>
      </w:r>
    </w:p>
    <w:p w:rsidR="00A31137" w:rsidRPr="00A31137" w:rsidRDefault="00A31137" w:rsidP="00A31137">
      <w:r w:rsidRPr="00A31137">
        <w:t>1996, Liquormart, Inc. v. Rhode Island, No. 94-1140</w:t>
      </w:r>
    </w:p>
    <w:p w:rsidR="00A31137" w:rsidRPr="00A31137" w:rsidRDefault="00A31137" w:rsidP="00A31137">
      <w:r w:rsidRPr="00A31137">
        <w:t>18. Outside the First Amendment context, we have refused to uphold alcohol advertising bans premised on similarly speculative assertions about their impact on consumption. See Capital Cities Cable, Inc. v. Crisp, 467 U.S. 691, 715-716 (1984) (holding ban preempted by Federal Communications Commission regulations); California Retail Liquor Dealers Assn. v. Midcal Aluminum, Inc., 445 U.S. 97 (1980) (holding ban violated the Sherman Act). It would be anomalous if the First Amendment were more tolerant of speech bans than federal regulations and statutes.</w:t>
      </w:r>
    </w:p>
    <w:p w:rsidR="00A31137" w:rsidRPr="00A31137" w:rsidRDefault="00A31137" w:rsidP="00A31137">
      <w:r w:rsidRPr="00A31137">
        <w:t>1996, Liquormart, Inc. v. Rhode Island, No. 94-1140</w:t>
      </w:r>
    </w:p>
    <w:p w:rsidR="00A31137" w:rsidRPr="00A31137" w:rsidRDefault="00A31137" w:rsidP="00A31137">
      <w:r w:rsidRPr="00A31137">
        <w:t>19. "Give a man a fish, and you feed him for a day. Teach a man to fish, and you feed him for a lifetime." The International Thesaurus of Quotations 646 (compiled by R. Tripp 1970).</w:t>
      </w:r>
    </w:p>
    <w:p w:rsidR="00A31137" w:rsidRPr="00A31137" w:rsidRDefault="00A31137" w:rsidP="00A31137">
      <w:r w:rsidRPr="00A31137">
        <w:t>1996, Liquormart, Inc. v. Rhode Island, No. 94-1140</w:t>
      </w:r>
    </w:p>
    <w:p w:rsidR="00A31137" w:rsidRPr="00A31137" w:rsidRDefault="00A31137" w:rsidP="00A31137">
      <w:r w:rsidRPr="00A31137">
        <w:t>20. It is also no answer to say that it would be "strange" if the First Amendment tolerated a seemingly "greater" regulatory measure while forbidding a "lesser" one. We recently held that, although the government had the power to proscribe an entire category of speech, such as obscenity or so-called fighting words, it could not limit the scope of its ban to obscene or fighting words that expressed a point of view with which the government disagrees. R.A.V. v. St. Paul, 505 U.S. 377 (1992). Similarly, in Cincinnati v. Discovery Network, Inc., 507 U.S. 410 (1993), we assumed that States could prevent all newsracks from being placed on public sidewalks, but nevertheless concluded that they could not ban only those newsracks that contained certain commercial publications. Id. at 428.</w:t>
      </w:r>
    </w:p>
    <w:p w:rsidR="00A31137" w:rsidRPr="00A31137" w:rsidRDefault="00A31137" w:rsidP="00A31137">
      <w:r w:rsidRPr="00A31137">
        <w:t>1996, Liquormart, Inc. v. Rhode Island, No. 94-1140</w:t>
      </w:r>
    </w:p>
    <w:p w:rsidR="00A31137" w:rsidRPr="00A31137" w:rsidRDefault="00A31137" w:rsidP="00A31137">
      <w:r w:rsidRPr="00A31137">
        <w:t>21.</w:t>
      </w:r>
    </w:p>
    <w:p w:rsidR="00A31137" w:rsidRPr="00A31137" w:rsidRDefault="00A31137" w:rsidP="00A31137">
      <w:r w:rsidRPr="00A31137">
        <w:t>1996, Liquormart, Inc. v. Rhode Island, No. 94-1140</w:t>
      </w:r>
    </w:p>
    <w:p w:rsidR="00A31137" w:rsidRPr="00A31137" w:rsidRDefault="00A31137" w:rsidP="00A31137">
      <w:r w:rsidRPr="00A31137">
        <w:t>Section 2. The transportation or importation into any State, Territory, or possession of the United States for delivery or use therein of intoxicating liquors, in violation of the laws thereof is hereby prohibited.</w:t>
      </w:r>
    </w:p>
    <w:p w:rsidR="00A31137" w:rsidRPr="00A31137" w:rsidRDefault="00A31137" w:rsidP="00A31137">
      <w:r w:rsidRPr="00A31137">
        <w:t>1996, Liquormart, Inc. v. Rhode Island, No. 94-1140</w:t>
      </w:r>
    </w:p>
    <w:p w:rsidR="00A31137" w:rsidRPr="00A31137" w:rsidRDefault="00A31137" w:rsidP="00A31137">
      <w:r w:rsidRPr="00A31137">
        <w:t>U.S.Const., Amdt. 21, § 2.</w:t>
      </w:r>
    </w:p>
    <w:p w:rsidR="00A31137" w:rsidRPr="00A31137" w:rsidRDefault="00A31137" w:rsidP="00A31137">
      <w:r w:rsidRPr="00A31137">
        <w:t>1996, Liquormart, Inc. v. Rhode Island, No. 94-1140</w:t>
      </w:r>
    </w:p>
    <w:p w:rsidR="00A31137" w:rsidRPr="00A31137" w:rsidRDefault="00A31137" w:rsidP="00A31137">
      <w:r w:rsidRPr="00A31137">
        <w:t>22. The State also relies on two per curiam opinions that followed the 21st Amendment analysis set forth in Larue. See New York State Liquor Authority v. Bellanca, 452 U.S. 714 (1981), and Newport v. Iacobucci, 479 U.S. 92 (1986).</w:t>
      </w:r>
    </w:p>
    <w:p w:rsidR="00A31137" w:rsidRPr="00A31137" w:rsidRDefault="00A31137" w:rsidP="00A31137">
      <w:r w:rsidRPr="00A31137">
        <w:t>THOMAS, J., concurring (Footnotes)</w:t>
      </w:r>
    </w:p>
    <w:p w:rsidR="00A31137" w:rsidRPr="00A31137" w:rsidRDefault="00A31137" w:rsidP="00A31137">
      <w:r w:rsidRPr="00A31137">
        <w:t>1996, Liquormart, Inc. v. Rhode Island, No. 94-1140</w:t>
      </w:r>
    </w:p>
    <w:p w:rsidR="00A31137" w:rsidRPr="00A31137" w:rsidRDefault="00A31137" w:rsidP="00A31137">
      <w:r w:rsidRPr="00A31137">
        <w:t>1. Accord, Virginia Pharmacy Bd., 425 U.S. at  780, n. 8 (Stewart, J., concurring) (information about price and products conveyed by advertising may stimulate thought and debate about political questions).</w:t>
      </w:r>
    </w:p>
    <w:p w:rsidR="00A31137" w:rsidRPr="00A31137" w:rsidRDefault="00A31137" w:rsidP="00A31137">
      <w:r w:rsidRPr="00A31137">
        <w:t>1996, Liquormart, Inc. v. Rhode Island, No. 94-1140</w:t>
      </w:r>
    </w:p>
    <w:p w:rsidR="00A31137" w:rsidRPr="00A31137" w:rsidRDefault="00A31137" w:rsidP="00A31137">
      <w:r w:rsidRPr="00A31137">
        <w:t>2. See Linmark Associates, Inc. v. Township of Willingboro, 431 U.S. 85, 96-97 (1977); Bates v. State Bar of Ariz., 433 U.S. 350, 364-365, 368-369, 374-375, 376-377 (1977); Friedman v. Rogers, 440 U.S. 1, 8-9 (1979); id. at 23-24 (Blackmun, J., for two Justices, concurring in part and dissenting in part); Central Hudson Gas &amp; Elec. Corp. v. Public Serv. Comm'n of N.Y., 447 U.S. 557, 561-562 (1980); id. at 566, n. 9; id. at 575 (Blackmun, J., joined by Brennan, J., concurring in judgment); id. at 581 (STEVENS, J., also joined by Brennan, J., concurring in judgment); Bolger v. Youngs Drug Products Corp., 463 U.S. 60, 79 (1983) (REHNQUIST, J., for two Justices, concurring in judgment); Zauderer v. Office of Disciplinary Counsel of Supreme Court of Ohio, 471 U.S. 626, 646 (1985); Posadas de Puerto Rico Associates v. Tourism Co. of P.R., 478 U.S. 328, 350-351, 358 (1986) (Brennan, J., for three Justices, dissenting); Cincinnati v. Discovery Network, Inc., 507 U.S. 410, 421-422, n. 17 (1993); id. at 432 (Blackmun, J., concurring); Edenfield v. Fane, 507 U.S. 761, 767, 770 (1993); United States v. Edge Broadcasting Co., 509 U.S. 418, 437-439, and nn. 1, 3, 4 (1993) (STEVENS, J., for two Justices, dissenting); Ibanez v. Florida Dept. of Business and Professional Regulation, Bd. of Accountancy, 512 U.S. ___, ___ (1994); Rubin v. Coors Brewing Co., 514 U.S. ___ (1995); id. at ___, ___ (STEVENS, J., concurring in judgment); Florida Bar v. Went For It, Inc., 515 U.S. ___ (1995) (KENNEDY, J., for four Justices, dissenting).</w:t>
      </w:r>
    </w:p>
    <w:p w:rsidR="00A31137" w:rsidRPr="00A31137" w:rsidRDefault="00A31137" w:rsidP="00A31137">
      <w:r w:rsidRPr="00A31137">
        <w:t>1996, Liquormart, Inc. v. Rhode Island, No. 94-1140</w:t>
      </w:r>
    </w:p>
    <w:p w:rsidR="00A31137" w:rsidRPr="00A31137" w:rsidRDefault="00A31137" w:rsidP="00A31137">
      <w:r w:rsidRPr="00A31137">
        <w:t>3. The Court found that, although the total effect of the advertising ban would be to decrease consumption, the advertising ban impermissibly extended to some advertising that itself might not increase consumption. Central Hudson, supra, at 569-571.</w:t>
      </w:r>
    </w:p>
    <w:p w:rsidR="00A31137" w:rsidRPr="00A31137" w:rsidRDefault="00A31137" w:rsidP="00A31137">
      <w:r w:rsidRPr="00A31137">
        <w:t>1996, Liquormart, Inc. v. Rhode Island, No. 94-1140</w:t>
      </w:r>
    </w:p>
    <w:p w:rsidR="00A31137" w:rsidRPr="00A31137" w:rsidRDefault="00A31137" w:rsidP="00A31137">
      <w:r w:rsidRPr="00A31137">
        <w:t>4. As noted above, the asserted rationales for differentiating "commercial" speech from other speech are (1) that the truth of "commercial" speech is supposedly more verifiable, and (2) that "commercial speech, the offspring of economic self-interest" is supposedly a "hardy breed of expression that is not particularly susceptible to being crushed by overbroad regulation." Central Hudson, supra, at 564, n. 6 (internal quotation marks omitted). The degree to which these rationales truly justify treating "commercial" speech differently from other speech (or indeed, whether the requisite distinction can even be drawn) is open to question, in my view. See Kozinski &amp; Banner, Who's Afraid of Commercial Speech, 76 Va.L.Rev. 627, 634-638 (1990) (questioning basis for drawing distinction); id. at 638-650 (questioning coherence of distinction). In any event, neither of these rationales provides any basis for permitting government to keep citizens ignorant as a means of manipulating their choices in the commercial or political marketplace.</w:t>
      </w:r>
    </w:p>
    <w:p w:rsidR="00A31137" w:rsidRPr="00A31137" w:rsidRDefault="00A31137" w:rsidP="00A31137">
      <w:r w:rsidRPr="00A31137">
        <w:t>1996, Liquormart, Inc. v. Rhode Island, No. 94-1140</w:t>
      </w:r>
    </w:p>
    <w:p w:rsidR="00A31137" w:rsidRPr="00A31137" w:rsidRDefault="00A31137" w:rsidP="00A31137">
      <w:r w:rsidRPr="00A31137">
        <w:t>5. In other words, I do not believe that a Central Hudson-type balancing test should apply when the asserted purpose is like the one put forth by the government in Central Hudson itself. Whether some type of balancing test is warranted when the asserted state interest is of a different kind is a question that I do not consider here.</w:t>
      </w:r>
    </w:p>
    <w:p w:rsidR="00A31137" w:rsidRPr="00A31137" w:rsidRDefault="00A31137" w:rsidP="00A31137">
      <w:r w:rsidRPr="00A31137">
        <w:t>1996, Liquormart, Inc. v. Rhode Island, No. 94-1140</w:t>
      </w:r>
    </w:p>
    <w:p w:rsidR="00A31137" w:rsidRPr="00A31137" w:rsidRDefault="00A31137" w:rsidP="00A31137">
      <w:r w:rsidRPr="00A31137">
        <w:t>6. E.g., Cincinnati v. Discovery Network, 507 U.S. at 417, n. 13 (commercial speech restrictions impermissible if alternatives are "numerous" and obvious).</w:t>
      </w:r>
    </w:p>
    <w:p w:rsidR="00A31137" w:rsidRPr="00A31137" w:rsidRDefault="00A31137" w:rsidP="00A31137">
      <w:r w:rsidRPr="00A31137">
        <w:t>1996, Liquormart, Inc. v. Rhode Island, No. 94-1140</w:t>
      </w:r>
    </w:p>
    <w:p w:rsidR="00A31137" w:rsidRPr="00A31137" w:rsidRDefault="00A31137" w:rsidP="00A31137">
      <w:r w:rsidRPr="00A31137">
        <w:t>7. The two most obvious situations in which no equally effective direct regulation will be available for discouraging consumption (and thus, the two situations in which the Court and I might differ on the outcome) are: (1) When a law directly regulating conduct would violate the Constitution (e.g., because the item is constitutionally protected), or (2) when the sale is to occur outside the State's borders.</w:t>
      </w:r>
    </w:p>
    <w:p w:rsidR="00A31137" w:rsidRPr="00A31137" w:rsidRDefault="00A31137" w:rsidP="00A31137">
      <w:r w:rsidRPr="00A31137">
        <w:t>1996, Liquormart, Inc. v. Rhode Island, No. 94-1140</w:t>
      </w:r>
    </w:p>
    <w:p w:rsidR="00A31137" w:rsidRPr="00A31137" w:rsidRDefault="00A31137" w:rsidP="00A31137">
      <w:r w:rsidRPr="00A31137">
        <w:t>As to the first situation: Although the Court's application of the fourth prong today does not specifically foreclose regulations or bans of advertising regarding items that cannot constitutionally be banned, it would seem strange to hold that the government's power to interfere with transmission of information regarding these items, in order to dampen demand for them, is more extensive than its power to restrict, for the same purpose, advertising of items that are not constitutionally protected. Cf. Bigelow v. Virginia, 421 U.S. 809,  822 (1975).</w:t>
      </w:r>
    </w:p>
    <w:p w:rsidR="00A31137" w:rsidRPr="00A31137" w:rsidRDefault="00A31137" w:rsidP="00A31137">
      <w:r w:rsidRPr="00A31137">
        <w:t>1996, Liquormart, Inc. v. Rhode Island, No. 94-1140</w:t>
      </w:r>
    </w:p>
    <w:p w:rsidR="00A31137" w:rsidRPr="00A31137" w:rsidRDefault="00A31137" w:rsidP="00A31137">
      <w:r w:rsidRPr="00A31137">
        <w:t>As to the second situation: When a State seeks to dampen consumption by its citizens of products or services outside its borders, it does not have the option of direct regulation. Here, respondent correctly points out that alternatives such as taxes will not be effective in discouraging sales to Rhode Island residents of lower priced alcohol outside the State, see Brief for Respondent Rhode Island Liquor Stores Association 27; yet the Court strikes down the ban against price advertising even as applied to out-of-state liquor sellers such as petitioner Peoples Super Liquor Stores. Perhaps JUSTICE STEVENS and JUSTICE O'CONNOR would distinguish a situation in which a State had actually banned sales of lower-priced alcohol within the State and had then, through a ban of advertising by out-of-state sellers, sought to keep residents ignorant of the fact that lower priced alcohol was legally available in other States. Cf. Edge, supra. See ante at ___.</w:t>
      </w:r>
    </w:p>
    <w:p w:rsidR="00A31137" w:rsidRPr="00A31137" w:rsidRDefault="00A31137" w:rsidP="00A31137">
      <w:r w:rsidRPr="00A31137">
        <w:t>1996, Liquormart, Inc. v. Rhode Island, No. 94-1140</w:t>
      </w:r>
    </w:p>
    <w:p w:rsidR="00A31137" w:rsidRPr="00A31137" w:rsidRDefault="00A31137" w:rsidP="00A31137">
      <w:r w:rsidRPr="00A31137">
        <w:t>The outcome in Edge may well be in conflict with the principles espoused in Virginia Pharmacy Bd. and ratified by me today. See Edge, 509 U.S. at 436-439 (STEVENS, J., dissenting). (In Edge, respondent did not put forth the broader principles adopted in Virginia Pharmacy Bd., but rather argued that the advertising restriction did not have a sufficiently close fit under Central Hudson.) Because the issue of restrictions on advertising of products or services to be purchased legally outside a State that has itself banned or regulated the same purchases within the State is not squarely presented in this case, I will not address here whether the decision in Edge can be reconciled with the position I take today.</w:t>
      </w:r>
    </w:p>
    <w:p w:rsidR="00A31137" w:rsidRPr="00A31137" w:rsidRDefault="00A31137" w:rsidP="00A31137">
      <w:r w:rsidRPr="00A31137">
        <w:t>1996, Liquormart, Inc. v. Rhode Island, No. 94-1140</w:t>
      </w:r>
    </w:p>
    <w:p w:rsidR="00A31137" w:rsidRPr="00A31137" w:rsidRDefault="00A31137" w:rsidP="00A31137">
      <w:r w:rsidRPr="00A31137">
        <w:t>8. See, e.g., Kozinski &amp; Banner, 76 Va.L.Rev. at 630-631 (citing cases); Wright, Freedom and Culture: Why We Should Not Buy Commercial Speech, 72 Denv.U.L.Rev. 137, 162-166 (1994) (citing cases); Kaskove, New York State Association of Realtors, Inc. v. Shaffer: When the Second Circuit Chooses Between Free Speech and Fair Housing, Who Wins?, 61 Brooklyn L.Rev. 397, 409-410, and nn. 71, 73, 418 (1995); Note, Dunagin v. City of Oxford: Mississippi's Suppression of Liquor Advertising, 63 Detroit L.Rev. 175, 184-187 (1985); Faille, Spinning the Roulette Wheel: Commercial Speech and Philosophical Cogency, Fed. B.N. &amp; J. (1994), pp. 58, 60-62; Margulies, Connecticut's Free Speech Clauses: A Framework and an Agenda, 65 Conn.Bar J. 437, 440, n. 20 (1991) (citing cases).</w:t>
      </w:r>
    </w:p>
    <w:p w:rsidR="00A31137" w:rsidRPr="00A31137" w:rsidRDefault="00A31137" w:rsidP="00A31137">
      <w:r w:rsidRPr="00A31137">
        <w:t>1996, Liquormart, Inc. v. Rhode Island, No. 94-1140</w:t>
      </w:r>
    </w:p>
    <w:p w:rsidR="00A31137" w:rsidRPr="00A31137" w:rsidRDefault="00A31137" w:rsidP="00A31137">
      <w:r w:rsidRPr="00A31137">
        <w:t>9. The third prong of Central Hudson is far from a mechanical one. In Posadas, Edge, and other cases, the Court has presumed that advertising bans decrease consumption. Here, by contrast, the principal opinion demands proof of a "significant" decrease in consumption, and finds it lacking. But petitioners' own expert testified at one point that, taking into account disposable income, price was a "potent" influence on alcohol consumption, see App. 79, and the American Medical Association had apparently concluded that advertising of alcohol in general increased total alcohol consumption sufficiently to make a ban on advertising worthwhile, see 44 Liquor Mart, Inc. v. Racine, 829 F.Supp. 543, 548 (D.R.I. 1993). A court more inclined to uphold the ban here could have pointed to these facts in support.</w:t>
      </w:r>
    </w:p>
    <w:p w:rsidR="00A31137" w:rsidRPr="00A31137" w:rsidRDefault="00A31137" w:rsidP="00A31137">
      <w:r w:rsidRPr="00A31137">
        <w:t>1996, Liquormart, Inc. v. Rhode Island, No. 94-1140</w:t>
      </w:r>
    </w:p>
    <w:p w:rsidR="00A31137" w:rsidRPr="00A31137" w:rsidRDefault="00A31137" w:rsidP="00A31137">
      <w:r w:rsidRPr="00A31137">
        <w:t>The courts have also had difficulty applying the fourth prong because the outcome has depended upon the level of generality with which the interest was described. See Faille, supra, at 58, 60. If today's strict application of the fourth prong survives, it will clarify the prong's application in a large number of cases, since, as noted above, it will simply invalidate most restrictions in which the government attempts to manipulate consumption through enforced ignorance rather than through direct regulation.</w:t>
      </w:r>
    </w:p>
    <w:p w:rsidR="00A31137" w:rsidRPr="00A31137" w:rsidRDefault="00A31137" w:rsidP="00A31137">
      <w:r w:rsidRPr="00A31137">
        <w:t>1996, Liquormart, Inc. v. Rhode Island, No. 94-1140</w:t>
      </w:r>
    </w:p>
    <w:p w:rsidR="00A31137" w:rsidRPr="00A31137" w:rsidRDefault="00A31137" w:rsidP="00A31137">
      <w:r w:rsidRPr="00A31137">
        <w:t>10. See ante at ___ (noting that scope of any "vice" category of products would be difficult to define).</w:t>
      </w:r>
    </w:p>
    <w:p w:rsidR="00A31137" w:rsidRPr="00A31137" w:rsidRDefault="00A31137" w:rsidP="00A31137">
      <w:r w:rsidRPr="00A31137">
        <w:t>Romer v. Evans, 1996</w:t>
      </w:r>
    </w:p>
    <w:p w:rsidR="00A31137" w:rsidRPr="00A31137" w:rsidRDefault="00A31137" w:rsidP="00A31137">
      <w:r w:rsidRPr="00A31137">
        <w:t>Title:</w:t>
      </w:r>
      <w:r w:rsidRPr="00A31137">
        <w:tab/>
        <w:t>Romer v. Evans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May 20, 1996</w:t>
      </w:r>
    </w:p>
    <w:p w:rsidR="00A31137" w:rsidRPr="00A31137" w:rsidRDefault="00A31137" w:rsidP="00A31137">
      <w:r w:rsidRPr="00A31137">
        <w:t>Source:</w:t>
      </w:r>
      <w:r w:rsidRPr="00A31137">
        <w:tab/>
        <w:t>No. 94-1039 [U.S. Reports citation not yet available]</w:t>
      </w:r>
    </w:p>
    <w:p w:rsidR="00A31137" w:rsidRPr="00A31137" w:rsidRDefault="00A31137" w:rsidP="00A31137">
      <w:r w:rsidRPr="00A31137">
        <w:t>This case was argued October 10, 1995, and was decided May 20, 1996.</w:t>
      </w:r>
    </w:p>
    <w:p w:rsidR="00A31137" w:rsidRPr="00A31137" w:rsidRDefault="00A31137" w:rsidP="00A31137">
      <w:r w:rsidRPr="00A31137">
        <w:t>CERTIORARI TO THE SUPREME COURT OF COLORADO</w:t>
      </w:r>
    </w:p>
    <w:p w:rsidR="00A31137" w:rsidRPr="00A31137" w:rsidRDefault="00A31137" w:rsidP="00A31137">
      <w:r w:rsidRPr="00A31137">
        <w:t>Syllabus</w:t>
      </w:r>
    </w:p>
    <w:p w:rsidR="00A31137" w:rsidRPr="00A31137" w:rsidRDefault="00A31137" w:rsidP="00A31137">
      <w:r w:rsidRPr="00A31137">
        <w:t>1996, Romer v. Evans, No. 94-1039</w:t>
      </w:r>
    </w:p>
    <w:p w:rsidR="00A31137" w:rsidRPr="00A31137" w:rsidRDefault="00A31137" w:rsidP="00A31137">
      <w:r w:rsidRPr="00A31137">
        <w:t>After various Colorado municipalities passed ordinances banning discrimination based on sexual orientation in housing, employment, education, public accommodations, health and welfare services, and other transactions and activities, Colorado voters adopted by statewide referendum "Amendment 2" to the State Constitution, which precludes all legislative, executive, or judicial action at any level of state or local government designed to protect the status of persons based on their "homosexual, lesbian or bisexual orientation, conduct, practices or relationships." Respondents, who include aggrieved homosexuals and municipalities, commenced this litigation in state court against petitioner state parties to declare Amendment 2 invalid and enjoin its enforcement. The trial court's grant of a preliminary injunction was sustained by the Colorado Supreme Court, which held that Amendment 2 was subject to strict scrutiny under the Equal Protection Clause of the Fourteenth Amendment because it infringed the fundamental right of gays and lesbians to participate in the political process. On remand, the trial court found that the Amendment failed to satisfy strict scrutiny. It enjoined Amendment 2's enforcement, and the State Supreme Court affirmed.</w:t>
      </w:r>
    </w:p>
    <w:p w:rsidR="00A31137" w:rsidRPr="00A31137" w:rsidRDefault="00A31137" w:rsidP="00A31137">
      <w:r w:rsidRPr="00A31137">
        <w:t>1996, Romer v. Evans, No. 94-1039</w:t>
      </w:r>
    </w:p>
    <w:p w:rsidR="00A31137" w:rsidRPr="00A31137" w:rsidRDefault="00A31137" w:rsidP="00A31137">
      <w:r w:rsidRPr="00A31137">
        <w:t>Held: Amendment 2 violates the Equal Protection Clause. Pp. ___.</w:t>
      </w:r>
    </w:p>
    <w:p w:rsidR="00A31137" w:rsidRPr="00A31137" w:rsidRDefault="00A31137" w:rsidP="00A31137">
      <w:r w:rsidRPr="00A31137">
        <w:t>1996, Romer v. Evans, No. 94-1039</w:t>
      </w:r>
    </w:p>
    <w:p w:rsidR="00A31137" w:rsidRPr="00A31137" w:rsidRDefault="00A31137" w:rsidP="00A31137">
      <w:r w:rsidRPr="00A31137">
        <w:t>(a) The State's principal argument that Amendment 2 puts gays and lesbians in the same position as all other persons by denying them special rights is rejected as implausible. The extent of the change in legal status effected by this law is evident from the authoritative construction of Colorado's Supreme Court—which establishes that the amendment's immediate effect is to repeal all existing statutes, regulations, ordinances, and policies of state and local entities barring discrimination based on sexual orientation, and that its ultimate effect is to prohibit any governmental entity from adopting similar, or more protective, measures in the future absent state constitutional amendment—and from a review of the terms, structure, and operation of the ordinances that would be repealed and prohibited by Amendment 2. Even if, as the State contends, homosexuals can find protection in laws and policies of general application, Amendment 2 goes well beyond merely depriving them of special rights. It imposes a broad disability upon those persons alone, forbidding them, but no others, to seek specific legal protection from injuries caused by discrimination in a wide range of public and private transactions. Pp. ___.</w:t>
      </w:r>
    </w:p>
    <w:p w:rsidR="00A31137" w:rsidRPr="00A31137" w:rsidRDefault="00A31137" w:rsidP="00A31137">
      <w:r w:rsidRPr="00A31137">
        <w:t>1996, Romer v. Evans, No. 94-1039</w:t>
      </w:r>
    </w:p>
    <w:p w:rsidR="00A31137" w:rsidRPr="00A31137" w:rsidRDefault="00A31137" w:rsidP="00A31137">
      <w:r w:rsidRPr="00A31137">
        <w:t>(b) In order to reconcile the Fourteenth Amendment's promise that no person shall be denied equal protection with the practical reality that most legislation classifies for one purpose or another, the Court has stated that it will uphold a law that neither burdens a fundamental right nor targets a suspect class so long as the legislative classification bears a rational relation to some independent and legitimate legislative end. See, e.g., Heller v. Doe, 509 U.S. 312, 319-320. Amendment 2 fails, indeed defies, even this conventional inquiry. First, the amendment is at once too narrow and too broad, identifying persons by a single trait and then denying them the possibility of protection across the board. This disqualification of a class of persons from the right to obtain specific protection from the law is unprecedented, and is itself a denial of equal protection in the most literal sense. Second, the sheer breadth of Amendment 2, which makes a general announcement that gays and lesbians shall not have any particular protections from the law, is so far removed from the reasons offered for it, i.e., respect for other citizens' freedom of association, particularly landlords or employers who have personal or religious objections to homosexuality, and the State's interest in conserving resources to fight discrimination against other groups, that the amendment cannot be explained by reference to those reasons; the Amendment raises the inevitable inference that it is born of animosity toward the class that it affects. Amendment 2 cannot be said to be directed to an identifiable legitimate purpose or discrete objective. It is a status-based classification of persons undertaken for its own sake, something the Equal Protection Clause does not permit. Pp. ___.</w:t>
      </w:r>
    </w:p>
    <w:p w:rsidR="00A31137" w:rsidRPr="00A31137" w:rsidRDefault="00A31137" w:rsidP="00A31137">
      <w:r w:rsidRPr="00A31137">
        <w:t>1996, Romer v. Evans, No. 94-1039</w:t>
      </w:r>
    </w:p>
    <w:p w:rsidR="00A31137" w:rsidRPr="00A31137" w:rsidRDefault="00A31137" w:rsidP="00A31137">
      <w:r w:rsidRPr="00A31137">
        <w:t>882 P.2d 1335, affirmed.</w:t>
      </w:r>
    </w:p>
    <w:p w:rsidR="00A31137" w:rsidRPr="00A31137" w:rsidRDefault="00A31137" w:rsidP="00A31137">
      <w:r w:rsidRPr="00A31137">
        <w:t>1996, Romer v. Evans, No. 94-1039</w:t>
      </w:r>
    </w:p>
    <w:p w:rsidR="00A31137" w:rsidRPr="00A31137" w:rsidRDefault="00A31137" w:rsidP="00A31137">
      <w:r w:rsidRPr="00A31137">
        <w:t>KENNEDY, J., delivered the opinion of the Court, in which STEVENS, O'CONNOR, SOUTER, GINSBURG, and BREYER, JJ., joined. SCALIA, J., filed a dissenting opinion, in which REHNQUIST, C.J., and THOMAS, J., joined.</w:t>
      </w:r>
    </w:p>
    <w:p w:rsidR="00A31137" w:rsidRPr="00A31137" w:rsidRDefault="00A31137" w:rsidP="00A31137">
      <w:r w:rsidRPr="00A31137">
        <w:t>KENNEDY, J., lead opinion</w:t>
      </w:r>
    </w:p>
    <w:p w:rsidR="00A31137" w:rsidRPr="00A31137" w:rsidRDefault="00A31137" w:rsidP="00A31137">
      <w:r w:rsidRPr="00A31137">
        <w:t>1996, Romer v. Evans, No. 94-1039</w:t>
      </w:r>
    </w:p>
    <w:p w:rsidR="00A31137" w:rsidRPr="00A31137" w:rsidRDefault="00A31137" w:rsidP="00A31137">
      <w:r w:rsidRPr="00A31137">
        <w:t>JUSTICE KENNEDY delivered the opinion of the Court.</w:t>
      </w:r>
    </w:p>
    <w:p w:rsidR="00A31137" w:rsidRPr="00A31137" w:rsidRDefault="00A31137" w:rsidP="00A31137">
      <w:r w:rsidRPr="00A31137">
        <w:t>1996, Romer v. Evans, No. 94-1039</w:t>
      </w:r>
    </w:p>
    <w:p w:rsidR="00A31137" w:rsidRPr="00A31137" w:rsidRDefault="00A31137" w:rsidP="00A31137">
      <w:r w:rsidRPr="00A31137">
        <w:t>One century ago, the first Justice Harlan admonished this Court that the Constitution "neither knows nor tolerates classes among citizens." Plessy v. Ferguson, 163 U.S. 537,  559 (1896) (dissenting opinion). Unheeded then, those words now are understood to state a commitment to the law's neutrality where the rights of persons are at stake. The Equal Protection Clause enforces this principle and today requires us to hold invalid a provision of Colorado's Constitution.</w:t>
      </w:r>
    </w:p>
    <w:p w:rsidR="00A31137" w:rsidRPr="00A31137" w:rsidRDefault="00A31137" w:rsidP="00A31137">
      <w:r w:rsidRPr="00A31137">
        <w:t>I</w:t>
      </w:r>
    </w:p>
    <w:p w:rsidR="00A31137" w:rsidRPr="00A31137" w:rsidRDefault="00A31137" w:rsidP="00A31137">
      <w:r w:rsidRPr="00A31137">
        <w:t>1996, Romer v. Evans, No. 94-1039</w:t>
      </w:r>
    </w:p>
    <w:p w:rsidR="00A31137" w:rsidRPr="00A31137" w:rsidRDefault="00A31137" w:rsidP="00A31137">
      <w:r w:rsidRPr="00A31137">
        <w:t>The enactment challenged in this case is an amendment to the Constitution of the State of Colorado, adopted in a 1992 statewide referendum. The parties and the state courts refer to it as "Amendment 2," its designation when submitted to the voters. The impetus for the amendment and the contentious campaign that preceded its adoption came in large part from ordinances that had been passed in various Colorado municipalities. For example, the cities of Aspen and Boulder and the City and County of Denver each had enacted ordinances which banned discrimination in many transactions and activities, including housing, employment, education, public accommodations, and health and welfare services. Denver Rev.Municipal Code, Art. IV §§ 28-91 to 28-116 (1991); Aspen Municipal Code § 13-98 (1977); Boulder Rev.Code §§ 12-1-1 to 12-1-11 (1987). What gave rise to the statewide controversy was the protection the ordinances afforded to persons discriminated against by reason of their sexual orientation. See Boulder Rev.Code § 12-1-1 (defining "sexual orientation" as "the choice of sexual partners, i.e., bisexual, homosexual or heterosexual"); Denver Rev.Municipal Code, Art. IV § 28-92 (defining "sexual orientation" as "[t]he status of an individual as to his or her heterosexuality, homosexuality or bisexuality"). Amendment 2 repeals these ordinances to the extent they prohibit discrimination on the basis of "homosexual, lesbian or bisexual orientation, conduct, practices or relationships." Colo.Const., Art. II, § 30b.</w:t>
      </w:r>
    </w:p>
    <w:p w:rsidR="00A31137" w:rsidRPr="00A31137" w:rsidRDefault="00A31137" w:rsidP="00A31137">
      <w:r w:rsidRPr="00A31137">
        <w:t>1996, Romer v. Evans, No. 94-1039</w:t>
      </w:r>
    </w:p>
    <w:p w:rsidR="00A31137" w:rsidRPr="00A31137" w:rsidRDefault="00A31137" w:rsidP="00A31137">
      <w:r w:rsidRPr="00A31137">
        <w:t>Yet Amendment 2, in explicit terms, does more than repeal or rescind these provisions. It prohibits all legislative, executive or judicial action at any level of state or local government designed to protect the named class, a class we shall refer to as homosexual persons or gays and lesbians. The amendment reads:</w:t>
      </w:r>
    </w:p>
    <w:p w:rsidR="00A31137" w:rsidRPr="00A31137" w:rsidRDefault="00A31137" w:rsidP="00A31137">
      <w:r w:rsidRPr="00A31137">
        <w:t>1996, Romer v. Evans, No. 94-1039</w:t>
      </w:r>
    </w:p>
    <w:p w:rsidR="00A31137" w:rsidRPr="00A31137" w:rsidRDefault="00A31137" w:rsidP="00A31137">
      <w:r w:rsidRPr="00A31137">
        <w:t>No Protected Status Based on Homosexual, Lesbian, or Bisexual Orientation. Neither the State of Colorado, through any of its branches or departments, nor any of its agencies, political subdivisions, municipalities or school districts, shall enact, adopt or enforce any statute, regulation, ordinance or policy whereby homosexual, lesbian or bisexual orientation, conduct, practices or relationships shall constitute or otherwise be the basis of or entitle any person or class of persons to have or claim any minority status, quota preferences, protected status or claim of discrimination. This Section of the Constitution shall be in all respects self-executing.</w:t>
      </w:r>
    </w:p>
    <w:p w:rsidR="00A31137" w:rsidRPr="00A31137" w:rsidRDefault="00A31137" w:rsidP="00A31137">
      <w:r w:rsidRPr="00A31137">
        <w:t>1996, Romer v. Evans, No. 94-1039</w:t>
      </w:r>
    </w:p>
    <w:p w:rsidR="00A31137" w:rsidRPr="00A31137" w:rsidRDefault="00A31137" w:rsidP="00A31137">
      <w:r w:rsidRPr="00A31137">
        <w:t>Ibid.</w:t>
      </w:r>
    </w:p>
    <w:p w:rsidR="00A31137" w:rsidRPr="00A31137" w:rsidRDefault="00A31137" w:rsidP="00A31137">
      <w:r w:rsidRPr="00A31137">
        <w:t>1996, Romer v. Evans, No. 94-1039</w:t>
      </w:r>
    </w:p>
    <w:p w:rsidR="00A31137" w:rsidRPr="00A31137" w:rsidRDefault="00A31137" w:rsidP="00A31137">
      <w:r w:rsidRPr="00A31137">
        <w:t>Soon after Amendment 2 was adopted, this litigation to declare its invalidity and enjoin its enforcement was commenced in the District Court for the City and County of Denver. Among the plaintiffs (respondents here) were homosexual persons, some of them government employees. They alleged that enforcement of Amendment 2 would subject them to immediate and substantial risk of discrimination on the basis of their sexual orientation. Other plaintiffs (also respondents here) included the three municipalities whose ordinances we have cited and certain other governmental entities which had acted earlier to protect homosexuals from discrimination but would be prevented by Amendment 2 from continuing to do so. Although Governor Romer had been on record opposing the adoption of Amendment 2, he was named in his official capacity as a defendant, together with the Colorado Attorney General and the State of Colorado.</w:t>
      </w:r>
    </w:p>
    <w:p w:rsidR="00A31137" w:rsidRPr="00A31137" w:rsidRDefault="00A31137" w:rsidP="00A31137">
      <w:r w:rsidRPr="00A31137">
        <w:t>1996, Romer v. Evans, No. 94-1039</w:t>
      </w:r>
    </w:p>
    <w:p w:rsidR="00A31137" w:rsidRPr="00A31137" w:rsidRDefault="00A31137" w:rsidP="00A31137">
      <w:r w:rsidRPr="00A31137">
        <w:t>The trial court granted a preliminary injunction to stay enforcement of Amendment 2, and an appeal was taken to the Supreme Court of Colorado. Sustaining the interim injunction and remanding the case for further proceedings, the State Supreme Court held that Amendment 2 was subject to strict scrutiny under the Fourteenth Amendment because it infringed the fundamental right of gays and lesbians to participate in the political process. Evans v. Romer, 854 P.2d 1270 (Colo. 1993) (Evans I). To reach this conclusion, the state court relied on our voting rights cases, e.g., Reynolds v. Sims, 377 U.S. 533 (1964); Carrington v. Rash, 380 U.S. 89 (1965); Harper v. Virginia Bd. of Elections, 383 U.S. 663 (1966); Williams v. Rhodes, 393 U.S. 23 (1968), and on our precedents involving discriminatory restructuring of governmental decisionmaking, see, e.g., Hunter v. Erickson, 393 U.S. 385 (1969); Reitman v. Mulkey, 387 U.S. 369 (1967); Washington v. Seattle School Dist. No. 1, 458 U.S. 457 (1982); Gordon v. Lance, 403 U.S. 1 (1971). On remand, the State advanced various arguments in an effort to show that Amendment 2 was narrowly tailored to serve compelling interests, but the trial court found none sufficient. It enjoined enforcement of Amendment 2, and the Supreme Court of Colorado, in a second opinion, affirmed the ruling. Evans v. Romer, 882 P.2d 1335 (Colo. 1994) (Evans II). We granted certiorari and now affirm the judgment, but on a rationale different from that adopted by the State Supreme Court.</w:t>
      </w:r>
    </w:p>
    <w:p w:rsidR="00A31137" w:rsidRPr="00A31137" w:rsidRDefault="00A31137" w:rsidP="00A31137">
      <w:r w:rsidRPr="00A31137">
        <w:t>II</w:t>
      </w:r>
    </w:p>
    <w:p w:rsidR="00A31137" w:rsidRPr="00A31137" w:rsidRDefault="00A31137" w:rsidP="00A31137">
      <w:r w:rsidRPr="00A31137">
        <w:t>1996, Romer v. Evans, No. 94-1039</w:t>
      </w:r>
    </w:p>
    <w:p w:rsidR="00A31137" w:rsidRPr="00A31137" w:rsidRDefault="00A31137" w:rsidP="00A31137">
      <w:r w:rsidRPr="00A31137">
        <w:t>The State's principal argument in defense of Amendment 2 is that it puts gays and lesbians in the same position as all other persons. So, the State says, the measure does no more than deny homosexuals special rights. This reading of the amendment's language is implausible. We rely not upon our own interpretation of the amendment, but upon the authoritative construction of Colorado's Supreme Court. The state court, deeming it unnecessary to determine the full extent of the amendment's reach, found it invalid even on a modest reading of its implications. The critical discussion of the amendment, set out in Evans I, is as follows:</w:t>
      </w:r>
    </w:p>
    <w:p w:rsidR="00A31137" w:rsidRPr="00A31137" w:rsidRDefault="00A31137" w:rsidP="00A31137">
      <w:r w:rsidRPr="00A31137">
        <w:t>1996, Romer v. Evans, No. 94-1039</w:t>
      </w:r>
    </w:p>
    <w:p w:rsidR="00A31137" w:rsidRPr="00A31137" w:rsidRDefault="00A31137" w:rsidP="00A31137">
      <w:r w:rsidRPr="00A31137">
        <w:t>The immediate objective of Amendment 2 is, at a minimum, to repeal existing statutes, regulations, ordinances, and policies of state and local entities that barred discrimination based on sexual orientation. See Aspen, Colo., Mun.Code § 13-98 (1977) (prohibiting discrimination in employment, housing and public accommodations on the basis of sexual orientation); Boulder, Colo., Rev.Code §§ 12-1-2 to -4 (1987) (same); Denver, Colo., Rev.Mun.Code art. IV, §§ 28-91 to -116 (1991) (same); Executive Order No. D0035 (December 10, 1990) (prohibiting employment discrimination for 'all state employees, classified and exempt' on the basis of sexual orientation); Colorado Insurance Code, § 10-3-1104, 4A C.R.S. (1992 Supp.) (forbidding health insurance providers from determining insurability and premiums based on an applicant's, a beneficiary's, or an insured's sexual orientation); and various provisions prohibiting discrimination based on sexual orientation at state colleges.</w:t>
      </w:r>
    </w:p>
    <w:p w:rsidR="00A31137" w:rsidRPr="00A31137" w:rsidRDefault="00A31137" w:rsidP="00A31137">
      <w:r w:rsidRPr="00A31137">
        <w:t>1996, Romer v. Evans, No. 94-1039</w:t>
      </w:r>
    </w:p>
    <w:p w:rsidR="00A31137" w:rsidRPr="00A31137" w:rsidRDefault="00A31137" w:rsidP="00A31137">
      <w:r w:rsidRPr="00A31137">
        <w:t>Metropolitan State College of Denver prohibits college sponsored social clubs from discriminating in membership on the basis of sexual orientation and Colorado State University has an antidiscrimination policy which encompasses sexual orientation.</w:t>
      </w:r>
    </w:p>
    <w:p w:rsidR="00A31137" w:rsidRPr="00A31137" w:rsidRDefault="00A31137" w:rsidP="00A31137">
      <w:r w:rsidRPr="00A31137">
        <w:t>1996, Romer v. Evans, No. 94-1039</w:t>
      </w:r>
    </w:p>
    <w:p w:rsidR="00A31137" w:rsidRPr="00A31137" w:rsidRDefault="00A31137" w:rsidP="00A31137">
      <w:r w:rsidRPr="00A31137">
        <w:t>The "ultimate effect" of Amendment 2 is to prohibit any governmental entity from adopting similar, or more protective statutes, regulations, ordinances, or policies in the future unless the state constitution is first amended to permit such measures.</w:t>
      </w:r>
    </w:p>
    <w:p w:rsidR="00A31137" w:rsidRPr="00A31137" w:rsidRDefault="00A31137" w:rsidP="00A31137">
      <w:r w:rsidRPr="00A31137">
        <w:t>1996, Romer v. Evans, No. 94-1039</w:t>
      </w:r>
    </w:p>
    <w:p w:rsidR="00A31137" w:rsidRPr="00A31137" w:rsidRDefault="00A31137" w:rsidP="00A31137">
      <w:r w:rsidRPr="00A31137">
        <w:t>854 P.2d at 1284-1285, and n. 26.</w:t>
      </w:r>
    </w:p>
    <w:p w:rsidR="00A31137" w:rsidRPr="00A31137" w:rsidRDefault="00A31137" w:rsidP="00A31137">
      <w:r w:rsidRPr="00A31137">
        <w:t>1996, Romer v. Evans, No. 94-1039</w:t>
      </w:r>
    </w:p>
    <w:p w:rsidR="00A31137" w:rsidRPr="00A31137" w:rsidRDefault="00A31137" w:rsidP="00A31137">
      <w:r w:rsidRPr="00A31137">
        <w:t>Sweeping and comprehensive is the change in legal status effected by this law. So much is evident from the ordinances that the Colorado Supreme Court declared would be void by operation of Amendment 2. Homosexuals, by state decree, are put in a solitary class with respect to transactions and relations in both the private and governmental spheres. The amendment withdraws from homosexuals, but no others, specific legal protection from the injuries caused by discrimination, and it forbids reinstatement of these laws and policies.</w:t>
      </w:r>
    </w:p>
    <w:p w:rsidR="00A31137" w:rsidRPr="00A31137" w:rsidRDefault="00A31137" w:rsidP="00A31137">
      <w:r w:rsidRPr="00A31137">
        <w:t>1996, Romer v. Evans, No. 94-1039</w:t>
      </w:r>
    </w:p>
    <w:p w:rsidR="00A31137" w:rsidRPr="00A31137" w:rsidRDefault="00A31137" w:rsidP="00A31137">
      <w:r w:rsidRPr="00A31137">
        <w:t>The change that Amendment 2 works in the legal status of gays and lesbians in the private sphere is far-reaching, both on its own terms and when considered in light of the structure and operation of modern antidiscrimination laws. That structure is well illustrated by contemporary statutes and ordinances prohibiting discrimination by providers of public accommodations.</w:t>
      </w:r>
    </w:p>
    <w:p w:rsidR="00A31137" w:rsidRPr="00A31137" w:rsidRDefault="00A31137" w:rsidP="00A31137">
      <w:r w:rsidRPr="00A31137">
        <w:t>1996, Romer v. Evans, No. 94-1039</w:t>
      </w:r>
    </w:p>
    <w:p w:rsidR="00A31137" w:rsidRPr="00A31137" w:rsidRDefault="00A31137" w:rsidP="00A31137">
      <w:r w:rsidRPr="00A31137">
        <w:t>At common law, innkeepers, smiths, and others who "made profession of a public employment" were prohibited from refusing, without good reason, to serve a customer.</w:t>
      </w:r>
    </w:p>
    <w:p w:rsidR="00A31137" w:rsidRPr="00A31137" w:rsidRDefault="00A31137" w:rsidP="00A31137">
      <w:r w:rsidRPr="00A31137">
        <w:t>1996, Romer v. Evans, No. 94-1039</w:t>
      </w:r>
    </w:p>
    <w:p w:rsidR="00A31137" w:rsidRPr="00A31137" w:rsidRDefault="00A31137" w:rsidP="00A31137">
      <w:r w:rsidRPr="00A31137">
        <w:t>Hurley v. Irish-American Gay, Lesbian and Bisexual Group of Boston, Inc., 515 U.S. ___, ___ (1995). The duty was a general one and did not specify protection for particular groups. The common law rules, however, proved insufficient in many instances, and it was settled early that the Fourteenth Amendment did not give Congress a general power to prohibit discrimination in public accommodations, Civil Rights Cases, 109 U.S. 3,  25 (1883). In consequence, most States have chosen to counter discrimination by enacting detailed statutory schemes. See, e.g., S.D.Codified Laws §§ 20-13-10, 20-13-22, 20-13-23 (1995); Iowa Code §§ 216.6-216.8 (1994); Okla.Stat., Tit. 25, §§ 1302, 1402 (1987); 43 Pa.Cons.Stat. §§ 953, 955 (Supp. 1995); N.J.Stat.Ann. §§ 10:5-3, 10:5-4 (West Supp. 1995); N.H.Rev.Stat.Ann. § 354-A:7, 354-A:10, 354-A:17 (1995); Minn.Stat. § 363.03 (1991 and Supp. 1995).</w:t>
      </w:r>
    </w:p>
    <w:p w:rsidR="00A31137" w:rsidRPr="00A31137" w:rsidRDefault="00A31137" w:rsidP="00A31137">
      <w:r w:rsidRPr="00A31137">
        <w:t>1996, Romer v. Evans, No. 94-1039</w:t>
      </w:r>
    </w:p>
    <w:p w:rsidR="00A31137" w:rsidRPr="00A31137" w:rsidRDefault="00A31137" w:rsidP="00A31137">
      <w:r w:rsidRPr="00A31137">
        <w:t>Colorado's state and municipal laws typify this emerging tradition of statutory protection and follow a consistent pattern. The laws first enumerate the persons or entities subject to a duty not to discriminate. The list goes well beyond the entities covered by the common law. The Boulder ordinance, for example, has a comprehensive definition of entities deemed places of "public accommodation." They include</w:t>
      </w:r>
    </w:p>
    <w:p w:rsidR="00A31137" w:rsidRPr="00A31137" w:rsidRDefault="00A31137" w:rsidP="00A31137">
      <w:r w:rsidRPr="00A31137">
        <w:t>1996, Romer v. Evans, No. 94-1039</w:t>
      </w:r>
    </w:p>
    <w:p w:rsidR="00A31137" w:rsidRPr="00A31137" w:rsidRDefault="00A31137" w:rsidP="00A31137">
      <w:r w:rsidRPr="00A31137">
        <w:t>any place of business engaged in any sales to the general public and any place that offers services, facilities, privileges, or advantages to the general public or that receives financial support through solicitation of the general public or through governmental subsidy of any kind.</w:t>
      </w:r>
    </w:p>
    <w:p w:rsidR="00A31137" w:rsidRPr="00A31137" w:rsidRDefault="00A31137" w:rsidP="00A31137">
      <w:r w:rsidRPr="00A31137">
        <w:t>1996, Romer v. Evans, No. 94-1039</w:t>
      </w:r>
    </w:p>
    <w:p w:rsidR="00A31137" w:rsidRPr="00A31137" w:rsidRDefault="00A31137" w:rsidP="00A31137">
      <w:r w:rsidRPr="00A31137">
        <w:t>Boulder Rev.Code § 12-1-1(j) (1987). The Denver ordinance is of similar breadth, applying, for example, to hotels, restaurants, hospitals, dental clinics, theaters, banks, common carriers, travel and insurance agencies, and "shops and stores dealing with goods or services of any kind," Denver Rev.Municipal Code, Art. IV, § 28-92.</w:t>
      </w:r>
    </w:p>
    <w:p w:rsidR="00A31137" w:rsidRPr="00A31137" w:rsidRDefault="00A31137" w:rsidP="00A31137">
      <w:r w:rsidRPr="00A31137">
        <w:t>1996, Romer v. Evans, No. 94-1039</w:t>
      </w:r>
    </w:p>
    <w:p w:rsidR="00A31137" w:rsidRPr="00A31137" w:rsidRDefault="00A31137" w:rsidP="00A31137">
      <w:r w:rsidRPr="00A31137">
        <w:t>These statutes and ordinances also depart from the common law by enumerating the groups or persons within their ambit of protection. Enumeration is the essential device used to make the duty not to discriminate concrete and to provide guidance for those who must comply. In following this approach, Colorado's state and local governments have not limited antidiscrimination laws to groups that have so far been given the protection of heightened equal protection scrutiny under our cases. See, e.g., J. E. B. v. Alabama ex rel. T. B., 511 U.S. __, __ (1994) (sex); Lalli v. Lalli, 439 U.S. 259, 265 (1978) (illegitimacy); McLaughlin v. Florida, 379 U.S. 184, 191-192 (1964) (race); Oyama v. California, 332 U.S. 633 (1948) (ancestry). Rather, they set forth an extensive catalogue of traits which cannot be the basis for discrimination, including age, military status, marital status, pregnancy, parenthood, custody of a minor child, political affiliation, physical or mental disability of an individual or of his or her associates—and, in recent times, sexual orientation. Aspen Municipal Code § 13-98(a)(1) (1977); Boulder Rev.Code §§ 12-1-1 to 12-1-4 (1987); Denver Rev.Municipal Code, Art. IV, §§ 28-92 to 28-119 (1991); Colo.Rev.Stat. §§ 24-34-401 to 24-34-707 (1988 and Supp. 1995).</w:t>
      </w:r>
    </w:p>
    <w:p w:rsidR="00A31137" w:rsidRPr="00A31137" w:rsidRDefault="00A31137" w:rsidP="00A31137">
      <w:r w:rsidRPr="00A31137">
        <w:t>1996, Romer v. Evans, No. 94-1039</w:t>
      </w:r>
    </w:p>
    <w:p w:rsidR="00A31137" w:rsidRPr="00A31137" w:rsidRDefault="00A31137" w:rsidP="00A31137">
      <w:r w:rsidRPr="00A31137">
        <w:t>Amendment 2 bars homosexuals from securing protection against the injuries that these public-accommodations laws address. That in itself is a severe consequence, but there is more. Amendment 2, in addition, nullifies specific legal protections for this targeted class in all transactions in housing, sale of real estate, insurance, health and welfare services, private education, and employment. See, e.g., Aspen Municipal Code §§ 13-98(b), (c) (1977); Boulder Rev.Code §§ 12-1-2, 12-1-3 (1987); Denver Rev.Municipal Code, Art. IV §§ 28-93 to 28-95, § 28-97 (1991).</w:t>
      </w:r>
    </w:p>
    <w:p w:rsidR="00A31137" w:rsidRPr="00A31137" w:rsidRDefault="00A31137" w:rsidP="00A31137">
      <w:r w:rsidRPr="00A31137">
        <w:t>1996, Romer v. Evans, No. 94-1039</w:t>
      </w:r>
    </w:p>
    <w:p w:rsidR="00A31137" w:rsidRPr="00A31137" w:rsidRDefault="00A31137" w:rsidP="00A31137">
      <w:r w:rsidRPr="00A31137">
        <w:t>Not confined to the private sphere, Amendment 2 also operates to repeal and forbid all laws or policies providing specific protection for gays or lesbians from discrimination by every level of Colorado government. The State Supreme Court cited two examples of protections in the governmental sphere that are now rescinded and may not be reintroduced. The first is Colorado Executive Order D0035 (1990), which forbids employment discrimination against "'all state employees, classified and exempt' on the basis of sexual orientation." 854 P.2d at 1284. Also repealed, and now forbidden, are "various provisions prohibiting discrimination based on sexual orientation at state colleges." Id. at 1284, 1285. The repeal of these measures and the prohibition against their future reenactment demonstrates that Amendment 2 has the same force and effect in Colorado's governmental sector as it does elsewhere and that it applies to policies as well as ordinary legislation.</w:t>
      </w:r>
    </w:p>
    <w:p w:rsidR="00A31137" w:rsidRPr="00A31137" w:rsidRDefault="00A31137" w:rsidP="00A31137">
      <w:r w:rsidRPr="00A31137">
        <w:t>1996, Romer v. Evans, No. 94-1039</w:t>
      </w:r>
    </w:p>
    <w:p w:rsidR="00A31137" w:rsidRPr="00A31137" w:rsidRDefault="00A31137" w:rsidP="00A31137">
      <w:r w:rsidRPr="00A31137">
        <w:t>Amendment 2's reach may not be limited to specific laws passed for the benefit of gays and lesbians. It is a fair, if not necessary, inference from the broad language of the amendment that it deprives gays and lesbians even of the protection of general laws and policies that prohibit arbitrary discrimination in governmental and private settings. See, e.g., Colo.Rev.Stat. § 24-4-106(7) (1988) (agency action subject to judicial review under arbitrary and capricious standard); § 18-8-405 (making it a criminal offense for a public servant knowingly, arbitrarily or capriciously to refrain from performing a duty imposed on him by law); § 10-3-1104(1)(f) (prohibiting "unfair discrimination" in insurance); 4 Colo.Code of Regulations 801-1, Policy 11-1 (1983) (prohibiting discrimination in state employment on grounds of specified traits or "other nonmerit factor"). At some point in the systematic administration of these laws, an official must determine whether homosexuality is an arbitrary and thus forbidden basis for decision. Yet a decision to that effect would itself amount to a policy prohibiting discrimination on the basis of homosexuality, and so would appear to be no more valid under Amendment 2 than the specific prohibitions against discrimination the state court held invalid.</w:t>
      </w:r>
    </w:p>
    <w:p w:rsidR="00A31137" w:rsidRPr="00A31137" w:rsidRDefault="00A31137" w:rsidP="00A31137">
      <w:r w:rsidRPr="00A31137">
        <w:t>1996, Romer v. Evans, No. 94-1039</w:t>
      </w:r>
    </w:p>
    <w:p w:rsidR="00A31137" w:rsidRPr="00A31137" w:rsidRDefault="00A31137" w:rsidP="00A31137">
      <w:r w:rsidRPr="00A31137">
        <w:t>If this consequence follows from Amendment 2, as its broad language suggests, it would compound the constitutional difficulties the law creates. The state court did not decide whether the amendment has this effect, however, and neither need we. In the course of rejecting the argument that Amendment 2 is intended to conserve resources to fight discrimination against suspect classes, the Colorado Supreme Court made the limited observation that the amendment is not intended to affect many antidiscrimination laws protecting nonsuspect classes, Romer II, 882 P.2d at 1346, n. 9. In our view that does not resolve the issue. In any event, even if, as we doubt, homosexuals could find some safe harbor in laws of general application, we cannot accept the view that Amendment 2's prohibition on specific legal protections does no more than deprive homosexuals of special rights. To the contrary, the amendment imposes a special disability upon those persons alone. Homosexuals are forbidden the safeguards that others enjoy or may seek without constraint. They can obtain specific protection against discrimination only by enlisting the citizenry of Colorado to amend the state constitution or perhaps, on the State's view, by trying to pass helpful laws of general applicability. This is so no matter how local or discrete the harm, no matter how public and widespread the injury. We find nothing special in the protections Amendment 2 withholds. These are protections taken for granted by most people either because they already have them or do not need them; these are protections against exclusion from an almost limitless number of transactions and endeavors that constitute ordinary civic life in a free society.</w:t>
      </w:r>
    </w:p>
    <w:p w:rsidR="00A31137" w:rsidRPr="00A31137" w:rsidRDefault="00A31137" w:rsidP="00A31137">
      <w:r w:rsidRPr="00A31137">
        <w:t>III</w:t>
      </w:r>
    </w:p>
    <w:p w:rsidR="00A31137" w:rsidRPr="00A31137" w:rsidRDefault="00A31137" w:rsidP="00A31137">
      <w:r w:rsidRPr="00A31137">
        <w:t>1996, Romer v. Evans, No. 94-1039</w:t>
      </w:r>
    </w:p>
    <w:p w:rsidR="00A31137" w:rsidRPr="00A31137" w:rsidRDefault="00A31137" w:rsidP="00A31137">
      <w:r w:rsidRPr="00A31137">
        <w:t>The Fourteenth Amendment's promise that no person shall be denied the equal protection of the laws must coexist with the practical necessity that most legislation classifies for one purpose or another, with resulting disadvantage to various groups or persons. Personnel Administrator of Mass. v. Feeney, 442 U.S. 256,  271-272 (1979); F. S. Royster Guano Co. v. Virginia, 253 U.S. 412,  415 (1920). We have attempted to reconcile the principle with the reality by stating that, if a law neither burdens a fundamental right nor targets a suspect class, we will uphold the legislative classification so long as it bears a rational relation to some legitimate end. See, e.g., Heller v. Doe, 509 U.S. ___, ___ (1993).</w:t>
      </w:r>
    </w:p>
    <w:p w:rsidR="00A31137" w:rsidRPr="00A31137" w:rsidRDefault="00A31137" w:rsidP="00A31137">
      <w:r w:rsidRPr="00A31137">
        <w:t>1996, Romer v. Evans, No. 94-1039</w:t>
      </w:r>
    </w:p>
    <w:p w:rsidR="00A31137" w:rsidRPr="00A31137" w:rsidRDefault="00A31137" w:rsidP="00A31137">
      <w:r w:rsidRPr="00A31137">
        <w:t>Amendment 2 fails, indeed defies, even this conventional inquiry. First, the amendment has the peculiar property of imposing a broad and undifferentiated disability on a single named group, an exceptional and, as we shall explain, invalid form of legislation. Second, its sheer breadth is so discontinuous with the reasons offered for it that the amendment seems inexplicable by anything but animus toward the class that it affects; it lacks a rational relationship to legitimate state interests.</w:t>
      </w:r>
    </w:p>
    <w:p w:rsidR="00A31137" w:rsidRPr="00A31137" w:rsidRDefault="00A31137" w:rsidP="00A31137">
      <w:r w:rsidRPr="00A31137">
        <w:t>1996, Romer v. Evans, No. 94-1039</w:t>
      </w:r>
    </w:p>
    <w:p w:rsidR="00A31137" w:rsidRPr="00A31137" w:rsidRDefault="00A31137" w:rsidP="00A31137">
      <w:r w:rsidRPr="00A31137">
        <w:t>Taking the first point, even in the ordinary equal protection case calling for the most deferential of standards, we insist on knowing the relation between the classification adopted and the object to be attained. The search for the link between classification and objective gives substance to the Equal Protection Clause; it provides guidance and discipline for the legislature, which is entitled to know what sorts of laws it can pass; and it marks the limits of our own authority. In the ordinary case, a law will be sustained if it can be said to advance a legitimate government interest, even if the law seems unwise or works to the disadvantage of a particular group, or if the rationale for it seems tenuous. See New Orleans v. Dukes, 427 U.S. 297 (1976) (tourism benefits justified classification favoring pushcart vendors of certain longevity); Williamson v. Lee Optical of Okla., Inc., 348 U.S. 483 (1955) (assumed health concerns justified law favoring optometrists over opticians); Railway Express Agency, Inc. v. New York, 336 U.S. 106 (1949) (potential traffic hazards justified exemption of vehicles advertising the owner's products from general advertising ban); Kotch v. Board of River Port Pilot Comm'rs for Port of New Orleans, 330 U.S. 552 (1947) (licensing scheme that disfavored persons unrelated to current river boat pilots justified by possible efficiency and safety benefits of a closely knit pilotage system). The laws challenged in the cases just cited were narrow enough in scope and grounded in a sufficient factual context for us to ascertain that there existed some relation between the classification and the purpose it served. By requiring that the classification bear a rational relationship to an independent and legitimate legislative end, we ensure that classifications are not drawn for the purpose of disadvantaging the group burdened by the law. See United States Railroad Retirement Bd. v. Fritz, 449 U.S. 166,  181 (1980) (STEVENS, J., concurring) ("If the adverse impact on the disfavored class is an apparent aim of the legislature, its impartiality would be suspect.").</w:t>
      </w:r>
    </w:p>
    <w:p w:rsidR="00A31137" w:rsidRPr="00A31137" w:rsidRDefault="00A31137" w:rsidP="00A31137">
      <w:r w:rsidRPr="00A31137">
        <w:t>1996, Romer v. Evans, No. 94-1039</w:t>
      </w:r>
    </w:p>
    <w:p w:rsidR="00A31137" w:rsidRPr="00A31137" w:rsidRDefault="00A31137" w:rsidP="00A31137">
      <w:r w:rsidRPr="00A31137">
        <w:t>Amendment 2 confounds this normal process of judicial review. It is at once too narrow and too broad. It identifies persons by a single trait and then denies them protection across the board. The resulting disqualification of a class of persons from the right to seek specific protection from the law is unprecedented in our jurisprudence. The absence of precedent for Amendment 2 is itself instructive;</w:t>
      </w:r>
    </w:p>
    <w:p w:rsidR="00A31137" w:rsidRPr="00A31137" w:rsidRDefault="00A31137" w:rsidP="00A31137">
      <w:r w:rsidRPr="00A31137">
        <w:t>1996, Romer v. Evans, No. 94-1039</w:t>
      </w:r>
    </w:p>
    <w:p w:rsidR="00A31137" w:rsidRPr="00A31137" w:rsidRDefault="00A31137" w:rsidP="00A31137">
      <w:r w:rsidRPr="00A31137">
        <w:t>[d]iscriminations of an unusual character especially suggest careful consideration to determine whether they are obnoxious to the constitutional provision.</w:t>
      </w:r>
    </w:p>
    <w:p w:rsidR="00A31137" w:rsidRPr="00A31137" w:rsidRDefault="00A31137" w:rsidP="00A31137">
      <w:r w:rsidRPr="00A31137">
        <w:t>1996, Romer v. Evans, No. 94-1039</w:t>
      </w:r>
    </w:p>
    <w:p w:rsidR="00A31137" w:rsidRPr="00A31137" w:rsidRDefault="00A31137" w:rsidP="00A31137">
      <w:r w:rsidRPr="00A31137">
        <w:t>Louisville Gas &amp; Elec. Co. v. Coleman, 277 U.S. 32, 37-38 (1928).</w:t>
      </w:r>
    </w:p>
    <w:p w:rsidR="00A31137" w:rsidRPr="00A31137" w:rsidRDefault="00A31137" w:rsidP="00A31137">
      <w:r w:rsidRPr="00A31137">
        <w:t>1996, Romer v. Evans, No. 94-1039</w:t>
      </w:r>
    </w:p>
    <w:p w:rsidR="00A31137" w:rsidRPr="00A31137" w:rsidRDefault="00A31137" w:rsidP="00A31137">
      <w:r w:rsidRPr="00A31137">
        <w:t>It is not within our constitutional tradition to enact laws of this sort. Central both to the idea of the rule of law and to our own Constitution's guarantee of equal protection is the principle that government and each of its parts remain open on impartial terms to all who seek its assistance. "'Equal protection of the laws is not achieved through indiscriminate imposition of inequalities.'" Sweatt v. Painter, 339 U.S. 629,  635 (1950) (quoting Shelley v. Kraemer, 334 U.S. 1,  22 (1948)). Respect for this principle explains why laws singling out a certain class of citizens for disfavored legal status or general hardships are rare. A law declaring that in general it shall be more difficult for one group of citizens than for all others to seek aid from the government is itself a denial of equal protection of the laws in the most literal sense. "The guaranty of 'equal protection of the laws is a pledge of the protection of equal laws.'" Skinner v. Oklahoma ex rel. Williamson, 316 U.S. 535,  541 (1942) (quoting Yick Wo v. Hopkins, 118 U.S. 356,  369 (1886)).</w:t>
      </w:r>
    </w:p>
    <w:p w:rsidR="00A31137" w:rsidRPr="00A31137" w:rsidRDefault="00A31137" w:rsidP="00A31137">
      <w:r w:rsidRPr="00A31137">
        <w:t>1996, Romer v. Evans, No. 94-1039</w:t>
      </w:r>
    </w:p>
    <w:p w:rsidR="00A31137" w:rsidRPr="00A31137" w:rsidRDefault="00A31137" w:rsidP="00A31137">
      <w:r w:rsidRPr="00A31137">
        <w:t>Davis v. Beason, 133 U.S. 333 (1890), not cited by the parties but relied upon by the dissent, is not evidence that Amendment 2 is within our constitutional tradition, and any reliance upon it as authority for sustaining the amendment is misplaced. In Davis, the Court approved an Idaho territorial statute denying Mormons, polygamists, and advocates of polygamy the right to vote and to hold office because, as the Court construed the statute, it</w:t>
      </w:r>
    </w:p>
    <w:p w:rsidR="00A31137" w:rsidRPr="00A31137" w:rsidRDefault="00A31137" w:rsidP="00A31137">
      <w:r w:rsidRPr="00A31137">
        <w:t>1996, Romer v. Evans, No. 94-1039</w:t>
      </w:r>
    </w:p>
    <w:p w:rsidR="00A31137" w:rsidRPr="00A31137" w:rsidRDefault="00A31137" w:rsidP="00A31137">
      <w:r w:rsidRPr="00A31137">
        <w:t>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w:t>
      </w:r>
    </w:p>
    <w:p w:rsidR="00A31137" w:rsidRPr="00A31137" w:rsidRDefault="00A31137" w:rsidP="00A31137">
      <w:r w:rsidRPr="00A31137">
        <w:t>1996, Romer v. Evans, No. 94-1039</w:t>
      </w:r>
    </w:p>
    <w:p w:rsidR="00A31137" w:rsidRPr="00A31137" w:rsidRDefault="00A31137" w:rsidP="00A31137">
      <w:r w:rsidRPr="00A31137">
        <w:t>Id. at 347. To the extent Davis held that persons advocating a certain practice may be denied the right to vote, it is no longer good law. Brandenburg v. Ohio, 395 U.S. 444 (1969) (per curiam). To the extent it held that the groups designated in the statute may be deprived of the right to vote because of their status, its ruling could not stand without surviving strict scrutiny, a most doubtful outcome. Dunn v. Blumstein, 405 U.S. 330,  337 (1972); cf. United States v. Brown, 381 U.S. 437 (1965); United States v. Robel, 389 U.S. 258 (1967). To the extent Davis held that a convicted felon may be denied the right to vote, its holding is not implicated by our decision and is unexceptionable. See Richardson v. Ramirez, 418 U.S. 24 (1974).</w:t>
      </w:r>
    </w:p>
    <w:p w:rsidR="00A31137" w:rsidRPr="00A31137" w:rsidRDefault="00A31137" w:rsidP="00A31137">
      <w:r w:rsidRPr="00A31137">
        <w:t>1996, Romer v. Evans, No. 94-1039</w:t>
      </w:r>
    </w:p>
    <w:p w:rsidR="00A31137" w:rsidRPr="00A31137" w:rsidRDefault="00A31137" w:rsidP="00A31137">
      <w:r w:rsidRPr="00A31137">
        <w:t>A second and related point is that laws of the kind now before us raise the inevitable inference that the disadvantage imposed is born of animosity toward the class of persons affected.</w:t>
      </w:r>
    </w:p>
    <w:p w:rsidR="00A31137" w:rsidRPr="00A31137" w:rsidRDefault="00A31137" w:rsidP="00A31137">
      <w:r w:rsidRPr="00A31137">
        <w:t>1996, Romer v. Evans, No. 94-1039</w:t>
      </w:r>
    </w:p>
    <w:p w:rsidR="00A31137" w:rsidRPr="00A31137" w:rsidRDefault="00A31137" w:rsidP="00A31137">
      <w:r w:rsidRPr="00A31137">
        <w:t>[I]f the constitutional conception of "equal protection of the laws" means anything, it must at the very least mean that a bare…desire to harm a politically unpopular group cannot constitute a legitimate governmental interest.</w:t>
      </w:r>
    </w:p>
    <w:p w:rsidR="00A31137" w:rsidRPr="00A31137" w:rsidRDefault="00A31137" w:rsidP="00A31137">
      <w:r w:rsidRPr="00A31137">
        <w:t>1996, Romer v. Evans, No. 94-1039</w:t>
      </w:r>
    </w:p>
    <w:p w:rsidR="00A31137" w:rsidRPr="00A31137" w:rsidRDefault="00A31137" w:rsidP="00A31137">
      <w:r w:rsidRPr="00A31137">
        <w:t>Department of Agriculture v. Moreno, 413 U.S. 528, 534 (1973). Even laws enacted for broad and ambitious purposes often can be explained by reference to legitimate public policies which justify the incidental disadvantages they impose on certain persons. Amendment 2, however, in making a general announcement that gays and lesbians shall not have any particular protections from the law, inflicts on them immediate, continuing, and real injuries that outrun and belie any legitimate justifications that may be claimed for it. We conclude that, in addition to the far-reaching deficiencies of Amendment 2 that we have noted, the principles it offends, in another sense, are conventional and venerable; a law must bear a rational relationship to a legitimate governmental purpose, Kadrmas v. Dickinson Public Schools, 487 U.S. 450, 462 (1988), and Amendment 2 does not.</w:t>
      </w:r>
    </w:p>
    <w:p w:rsidR="00A31137" w:rsidRPr="00A31137" w:rsidRDefault="00A31137" w:rsidP="00A31137">
      <w:r w:rsidRPr="00A31137">
        <w:t>1996, Romer v. Evans, No. 94-1039</w:t>
      </w:r>
    </w:p>
    <w:p w:rsidR="00A31137" w:rsidRPr="00A31137" w:rsidRDefault="00A31137" w:rsidP="00A31137">
      <w:r w:rsidRPr="00A31137">
        <w:t>The primary rationale the State offers for Amendment 2 is respect for other citizens' freedom of association, and in particular the liberties of landlords or employers who have personal or religious objections to homosexuality. Colorado also cites its interest in conserving resources to fight discrimination against other groups. The breadth of the Amendment is so far removed from these particular justifications that we find it impossible to credit them. We cannot say that Amendment 2 is directed to any identifiable legitimate purpose or discrete objective. It is a status-based enactment divorced from any factual context from which we could discern a relationship to legitimate state interests; it is a classification of persons undertaken for its own sake, something the Equal Protection Clause does not permit. "[C]lass legislation…[is] obnoxious to the prohibitions of the Fourteenth Amendment…. " Civil Rights Cases, 109 U.S. at  24.</w:t>
      </w:r>
    </w:p>
    <w:p w:rsidR="00A31137" w:rsidRPr="00A31137" w:rsidRDefault="00A31137" w:rsidP="00A31137">
      <w:r w:rsidRPr="00A31137">
        <w:t>1996, Romer v. Evans, No. 94-1039</w:t>
      </w:r>
    </w:p>
    <w:p w:rsidR="00A31137" w:rsidRPr="00A31137" w:rsidRDefault="00A31137" w:rsidP="00A31137">
      <w:r w:rsidRPr="00A31137">
        <w:t>We must conclude that Amendment 2 classifies homosexuals not to further a proper legislative end, but to make them unequal to everyone else. This Colorado cannot do. A State cannot so deem a class of persons a stranger to its laws. Amendment 2 violates the Equal Protection Clause, and the judgment of the Supreme Court of Colorado is affirmed.</w:t>
      </w:r>
    </w:p>
    <w:p w:rsidR="00A31137" w:rsidRPr="00A31137" w:rsidRDefault="00A31137" w:rsidP="00A31137">
      <w:r w:rsidRPr="00A31137">
        <w:t>1996, Romer v. Evans, No. 94-1039</w:t>
      </w:r>
    </w:p>
    <w:p w:rsidR="00A31137" w:rsidRPr="00A31137" w:rsidRDefault="00A31137" w:rsidP="00A31137">
      <w:r w:rsidRPr="00A31137">
        <w:t>It is so ordered.</w:t>
      </w:r>
    </w:p>
    <w:p w:rsidR="00A31137" w:rsidRPr="00A31137" w:rsidRDefault="00A31137" w:rsidP="00A31137">
      <w:r w:rsidRPr="00A31137">
        <w:t>SCALIA, J., dissenting</w:t>
      </w:r>
    </w:p>
    <w:p w:rsidR="00A31137" w:rsidRPr="00A31137" w:rsidRDefault="00A31137" w:rsidP="00A31137">
      <w:r w:rsidRPr="00A31137">
        <w:t>1996, Romer v. Evans, No. 94-1039</w:t>
      </w:r>
    </w:p>
    <w:p w:rsidR="00A31137" w:rsidRPr="00A31137" w:rsidRDefault="00A31137" w:rsidP="00A31137">
      <w:r w:rsidRPr="00A31137">
        <w:t>JUSTICE SCALIA, with whom THE CHIEF JUSTICE and JUSTICE THOMAS join, dissenting.</w:t>
      </w:r>
    </w:p>
    <w:p w:rsidR="00A31137" w:rsidRPr="00A31137" w:rsidRDefault="00A31137" w:rsidP="00A31137">
      <w:r w:rsidRPr="00A31137">
        <w:t>1996, Romer v. Evans, No. 94-1039</w:t>
      </w:r>
    </w:p>
    <w:p w:rsidR="00A31137" w:rsidRPr="00A31137" w:rsidRDefault="00A31137" w:rsidP="00A31137">
      <w:r w:rsidRPr="00A31137">
        <w:t>The Court has mistaken a Kulturkampf for a fit of spite. The constitutional amendment before us here is not the manifestation of a "'bare…desire to harm'" homosexuals, ante at ___, but is rather a modest attempt by seemingly tolerant Coloradans to preserve traditional sexual mores against the efforts of a politically powerful minority to revise those mores through use of the laws. That objective, and the means chosen to achieve it, are not only unimpeachable under any constitutional doctrine hitherto pronounced (hence the opinion's heavy reliance upon principles of righteousness, rather than judicial holdings); they have been specifically approved by the Congress of the United States and by this Court.</w:t>
      </w:r>
    </w:p>
    <w:p w:rsidR="00A31137" w:rsidRPr="00A31137" w:rsidRDefault="00A31137" w:rsidP="00A31137">
      <w:r w:rsidRPr="00A31137">
        <w:t>1996, Romer v. Evans, No. 94-1039</w:t>
      </w:r>
    </w:p>
    <w:p w:rsidR="00A31137" w:rsidRPr="00A31137" w:rsidRDefault="00A31137" w:rsidP="00A31137">
      <w:r w:rsidRPr="00A31137">
        <w:t>In holding that homosexuality cannot be singled out for disfavorable treatment, the Court contradicts a decision, unchallenged here, pronounced only 10 years ago, see Bowers v. Hardwick, 478 U.S. 186 (1986), and places the prestige of this institution behind the proposition that opposition to homosexuality is as reprehensible as racial or religious bias. Whether it is or not is precisely the cultural debate that gave rise to the Colorado constitutional amendment (and to the preferential laws against which the amendment was directed). Since the Constitution of the United States says nothing about this subject, it is left to be resolved by normal democratic means, including the democratic adoption of provisions in state constitutions. This Court has no business imposing upon all Americans the resolution favored by the elite class from which the Members of this institution are selected, pronouncing that "animosity" toward homosexuality, ante at ___, is evil. I vigorously dissent.</w:t>
      </w:r>
    </w:p>
    <w:p w:rsidR="00A31137" w:rsidRPr="00A31137" w:rsidRDefault="00A31137" w:rsidP="00A31137">
      <w:r w:rsidRPr="00A31137">
        <w:t>I</w:t>
      </w:r>
    </w:p>
    <w:p w:rsidR="00A31137" w:rsidRPr="00A31137" w:rsidRDefault="00A31137" w:rsidP="00A31137">
      <w:r w:rsidRPr="00A31137">
        <w:t>1996, Romer v. Evans, No. 94-1039</w:t>
      </w:r>
    </w:p>
    <w:p w:rsidR="00A31137" w:rsidRPr="00A31137" w:rsidRDefault="00A31137" w:rsidP="00A31137">
      <w:r w:rsidRPr="00A31137">
        <w:t>Let me first discuss Part II of the Court's opinion, its longest section, which is devoted to rejecting the State's arguments that Amendment 2 "puts gays and lesbians in the same position as all other persons," and "does no more than deny homosexuals special rights," ante at ___. The Court concludes that this reading of Amendment 2's language is "implausible" under the "authoritative construction" given Amendment 2 by the Supreme Court of Colorado. Ibid.</w:t>
      </w:r>
    </w:p>
    <w:p w:rsidR="00A31137" w:rsidRPr="00A31137" w:rsidRDefault="00A31137" w:rsidP="00A31137">
      <w:r w:rsidRPr="00A31137">
        <w:t>1996, Romer v. Evans, No. 94-1039</w:t>
      </w:r>
    </w:p>
    <w:p w:rsidR="00A31137" w:rsidRPr="00A31137" w:rsidRDefault="00A31137" w:rsidP="00A31137">
      <w:r w:rsidRPr="00A31137">
        <w:t>In reaching this conclusion, the Court considers it unnecessary to decide the validity of the State's argument that Amendment 2 does not deprive homosexuals of the "protection [afforded by] general laws and policies that prohibit arbitrary discrimination in governmental and private settings." Ante at ___. I agree that we need not resolve that dispute, because the Supreme Court of Colorado has resolved it for us. In Evans v. Romer, 882 P.2d 1335 (1994), the Colorado court stated:</w:t>
      </w:r>
    </w:p>
    <w:p w:rsidR="00A31137" w:rsidRPr="00A31137" w:rsidRDefault="00A31137" w:rsidP="00A31137">
      <w:r w:rsidRPr="00A31137">
        <w:t>1996, Romer v. Evans, No. 94-1039</w:t>
      </w:r>
    </w:p>
    <w:p w:rsidR="00A31137" w:rsidRPr="00A31137" w:rsidRDefault="00A31137" w:rsidP="00A31137">
      <w:r w:rsidRPr="00A31137">
        <w:t>[I]t is significant to note that Colorado law currently proscribes discrimination against persons who are not suspect classes, including discrimination based on age, § 24-34-402(1)(a), 10A C.R.S. (1994 Supp.); marital or family status, § 24-34-502(1)(a), 10A C.R.S. (1994 Supp.); veterans' status, § 28-3-506, 11B C.R.S. (1989); and for any legal, off-duty conduct such as smoking tobacco, § 24-34-402.5, 10A C.R.S. (1994 Supp.). Of course Amendment 2 is not intended to have any effect on this legislation, but seeks only to prevent the adoption of antidiscrimination laws intended to protect gays, lesbians, and bisexuals.</w:t>
      </w:r>
    </w:p>
    <w:p w:rsidR="00A31137" w:rsidRPr="00A31137" w:rsidRDefault="00A31137" w:rsidP="00A31137">
      <w:r w:rsidRPr="00A31137">
        <w:t>1996, Romer v. Evans, No. 94-1039</w:t>
      </w:r>
    </w:p>
    <w:p w:rsidR="00A31137" w:rsidRPr="00A31137" w:rsidRDefault="00A31137" w:rsidP="00A31137">
      <w:r w:rsidRPr="00A31137">
        <w:t>Id. at 1346, n. 9 (emphasis added).The Court utterly fails to distinguish this portion of the Colorado court's opinion. Colorado Rev.Stat. § 24-34-402.5 (Supp. 1995), which this passage authoritatively declares not to be affected by Amendment 2, was respondents' primary example of a generally applicable law whose protections would be unavailable to homosexuals under Amendment 2. See Brief for Respondents Evans et al. 11-12. The clear import of the Colorado court's conclusion that it is not affected is that "general laws and policies that prohibit arbitrary discrimination" would continue to prohibit discrimination on the basis of homosexual conduct as well. This analysis, which is fully in accord with (indeed, follows inescapably from) the text of the constitutional provision, lays to rest such horribles, raised in the course of oral argument, as the prospect that assaults upon homosexuals could not be prosecuted. The amendment prohibits special treatment of homosexuals, and nothing more. It would not affect, for example, a requirement of state law that pensions be paid to all retiring state employees with a certain length of service; homosexual employees, as well as others, would be entitled to that benefit. But it would prevent the State or any municipality from making death benefit payments to the "life partner" of a homosexual when it does not make such payments to the long-time roommate of a nonhomosexual employee. Or again, it does not affect the requirement of the State's general insurance laws that customers be afforded coverage without discrimination unrelated to anticipated risk. Thus, homosexuals could not be denied coverage, or charged a greater premium, with respect to auto collision insurance; but neither the State nor any municipality could require that distinctive health insurance risks associated with homosexuality (if there are any) be ignored.</w:t>
      </w:r>
    </w:p>
    <w:p w:rsidR="00A31137" w:rsidRPr="00A31137" w:rsidRDefault="00A31137" w:rsidP="00A31137">
      <w:r w:rsidRPr="00A31137">
        <w:t>1996, Romer v. Evans, No. 94-1039</w:t>
      </w:r>
    </w:p>
    <w:p w:rsidR="00A31137" w:rsidRPr="00A31137" w:rsidRDefault="00A31137" w:rsidP="00A31137">
      <w:r w:rsidRPr="00A31137">
        <w:t>Despite all of its handwringing about the potential effect of Amendment 2 on general antidiscrimination laws, the Court's opinion ultimately does not dispute all this, but assumes it to be true. See ante at ___. The only denial of equal treatment it contends homosexuals have suffered is this: they may not obtain preferential treatment without amending the state constitution. That is to say, the principle underlying the Court's opinion is that one who is accorded equal treatment under the laws, but cannot as readily as others obtain preferential treatment under the laws, has been denied equal protection of the laws. If merely stating this alleged "equal protection" violation does not suffice to refute it, our constitutional jurisprudence has achieved terminal silliness.</w:t>
      </w:r>
    </w:p>
    <w:p w:rsidR="00A31137" w:rsidRPr="00A31137" w:rsidRDefault="00A31137" w:rsidP="00A31137">
      <w:r w:rsidRPr="00A31137">
        <w:t>1996, Romer v. Evans, No. 94-1039</w:t>
      </w:r>
    </w:p>
    <w:p w:rsidR="00A31137" w:rsidRPr="00A31137" w:rsidRDefault="00A31137" w:rsidP="00A31137">
      <w:r w:rsidRPr="00A31137">
        <w:t>The central thesis of the Court's reasoning is that any group is denied equal protection when, to obtain advantage (or, presumably, to avoid disadvantage), it must have recourse to a more general and hence more difficult level of political decisionmaking than others. The world has never heard of such a principle, which is why the Court's opinion is so long on emotive utterance and so short on relevant legal citation. And it seems to me most unlikely that any multilevel democracy can function under such a principle. For whenever a disadvantage is imposed, or conferral of a benefit is prohibited at one of the higher levels of democratic decisionmaking (i.e., by the state legislature, rather than local government, or by the people at large in the state constitution rather than the legislature), the affected group has (under this theory) been denied equal protection. To take the simplest of examples, consider a state law prohibiting the award of municipal contracts to relatives of mayors or city councilmen. Once such a law is passed, the group composed of such relatives must, in order to get the benefit of city contracts, persuade the state legislature—unlike all other citizens, who need only persuade the municipality. It is ridiculous to consider this a denial of equal protection, which is why the Court's theory is unheard-of.</w:t>
      </w:r>
    </w:p>
    <w:p w:rsidR="00A31137" w:rsidRPr="00A31137" w:rsidRDefault="00A31137" w:rsidP="00A31137">
      <w:r w:rsidRPr="00A31137">
        <w:t>1996, Romer v. Evans, No. 94-1039</w:t>
      </w:r>
    </w:p>
    <w:p w:rsidR="00A31137" w:rsidRPr="00A31137" w:rsidRDefault="00A31137" w:rsidP="00A31137">
      <w:r w:rsidRPr="00A31137">
        <w:t>The Court might reply that the example I have given is not a denial of equal protection only because the same "rational basis" (avoidance of corruption) which renders constitutional the substantive discrimination against relatives (i.e., the fact that they alone cannot obtain city contracts) also automatically suffices to sustain what might be called the electoral procedural discrimination against them (i.e., the fact that they must go to the state level to get this changed). This is, of course, a perfectly reasonable response, and would explain why "electoral procedural discrimination" has not hitherto been heard of: a law that is valid in its substance is automatically valid in its level of enactment. But the Court cannot afford to make this argument, for, as I shall discuss next, there is no doubt of a rational basis for the substance of the prohibition at issue here. The Court's entire novel theory rests upon the proposition that there is something special—something that cannot be justified by normal "rational basis" analysis—in making a disadvantaged group (or a nonpreferred group) resort to a higher decisionmaking level. That proposition finds no support in law or logic.</w:t>
      </w:r>
    </w:p>
    <w:p w:rsidR="00A31137" w:rsidRPr="00A31137" w:rsidRDefault="00A31137" w:rsidP="00A31137">
      <w:r w:rsidRPr="00A31137">
        <w:t>II</w:t>
      </w:r>
    </w:p>
    <w:p w:rsidR="00A31137" w:rsidRPr="00A31137" w:rsidRDefault="00A31137" w:rsidP="00A31137">
      <w:r w:rsidRPr="00A31137">
        <w:t>1996, Romer v. Evans, No. 94-1039</w:t>
      </w:r>
    </w:p>
    <w:p w:rsidR="00A31137" w:rsidRPr="00A31137" w:rsidRDefault="00A31137" w:rsidP="00A31137">
      <w:r w:rsidRPr="00A31137">
        <w:t>I turn next to whether there was a legitimate rational basis for the substance of the constitutional amendment—for the prohibition of special protection for homosexuals. 1 It is unsurprising that the Court avoids discussion of this question, since the answer is so obviously yes. The case most relevant to the issue before us today is not even mentioned in the Court's opinion: In Bowers v. Hardwick, 478 U.S. 186 (1986), we held that the Constitution does not prohibit what virtually all States had done from the founding of the Republic until very recent years-making homosexual conduct a crime. That holding is unassailable, except by those who think that the Constitution changes to suit current fashions. But in any event it is a given in the present case: Respondents' briefs did not urge overruling Bowers, and at oral argument respondents' counsel expressly disavowed any intent to seek such overruling, Tr. of Oral Arg. 53. If it is constitutionally permissible for a State to make homosexual conduct criminal, surely it is constitutionally permissible for a State to enact other laws merely disfavoring homosexual conduct. (As the Court of Appeals for the District of Columbia Circuit has aptly put it:</w:t>
      </w:r>
    </w:p>
    <w:p w:rsidR="00A31137" w:rsidRPr="00A31137" w:rsidRDefault="00A31137" w:rsidP="00A31137">
      <w:r w:rsidRPr="00A31137">
        <w:t>1996, Romer v. Evans, No. 94-1039</w:t>
      </w:r>
    </w:p>
    <w:p w:rsidR="00A31137" w:rsidRPr="00A31137" w:rsidRDefault="00A31137" w:rsidP="00A31137">
      <w:r w:rsidRPr="00A31137">
        <w:t>If the Court [in Bowers] was unwilling to object to state laws that criminalize the behavior that defines the class, it is hardly open…to conclude that state sponsored discrimination against the class is invidious. After all, there can hardly be more palpable discrimination against a class than making the conduct that defines the class criminal.</w:t>
      </w:r>
    </w:p>
    <w:p w:rsidR="00A31137" w:rsidRPr="00A31137" w:rsidRDefault="00A31137" w:rsidP="00A31137">
      <w:r w:rsidRPr="00A31137">
        <w:t>1996, Romer v. Evans, No. 94-1039</w:t>
      </w:r>
    </w:p>
    <w:p w:rsidR="00A31137" w:rsidRPr="00A31137" w:rsidRDefault="00A31137" w:rsidP="00A31137">
      <w:r w:rsidRPr="00A31137">
        <w:t>Padula v. Webster, 822 F.2d 97, 103 (1987).) And a fortiori it is constitutionally permissible for a State to adopt a provision not even disfavoring homosexual conduct, but merely prohibiting all levels of state government from bestowing special protections upon homosexual conduct. Respondents (who, unlike the Court, cannot afford the luxury of ignoring inconvenient precedent) counter Bowers with the argument that a "greater includes the lesser" rationale cannot justify Amendment 2's application to individuals who do not engage in homosexual acts, but are merely of homosexual "orientation." Some courts of appeals have concluded that, with respect to laws of this sort at least, that is a distinction without a difference. See Equality Foundation of Greater Cincinnati, Inc. v. Cincinnati, 54 F.3d 261, 267 (CA6 1995) ("[F]or purposes of these proceedings, it is virtually impossible to distinguish or separate individuals of a particular orientation which predisposes them toward a particular sexual conduct from those who actually engage in that particular type of sexual conduct"); Steffan v. Perry, 41 F.3d 677, 689-690 (CADC 1994). The Supreme Court of Colorado itself appears to be of this view. See 882 P.2d at 1349-1350 ("Amendment 2 targets this class of persons based on four characteristics: sexual orientation; conduct; practices; and relationships. Each characteristic provides a potentially different way of identifying that class of persons who are gay, lesbian, or bisexual. These four characteristics are not truly severable from one another because each provides nothing more than a different way of identifying the same class of persons") (emphasis added).</w:t>
      </w:r>
    </w:p>
    <w:p w:rsidR="00A31137" w:rsidRPr="00A31137" w:rsidRDefault="00A31137" w:rsidP="00A31137">
      <w:r w:rsidRPr="00A31137">
        <w:t>1996, Romer v. Evans, No. 94-1039</w:t>
      </w:r>
    </w:p>
    <w:p w:rsidR="00A31137" w:rsidRPr="00A31137" w:rsidRDefault="00A31137" w:rsidP="00A31137">
      <w:r w:rsidRPr="00A31137">
        <w:t>But assuming that, in Amendment 2, a person of homosexual "orientation" is someone who does not engage in homosexual conduct but merely has a tendency or desire to do so, Bowers still suffices to establish a rational basis for the provision. If it is rational to criminalize the conduct, surely it is rational to deny special favor and protection to those with a self-avowed tendency or desire to engage in the conduct. Indeed, where criminal sanctions are not involved, homosexual "orientation" is an acceptable stand-in for homosexual conduct. A State "does not violate the Equal Protection Clause merely because the classifications made by its laws are imperfect," Dandridge v. Williams, 397 U.S. 471,  485 (1970). Just as a policy barring the hiring of methadone users as transit employees does not violate equal protection simply because some methadone users pose no threat to passenger safety, see New York City Transit Authority v. Beazer, 440 U.S. 568 (1979), and just as a mandatory retirement age of 50 for police officers does not violate equal protection even though it prematurely ends the careers of many policemen over 50 who still have the capacity to do the job, see Massachusetts Bd. of Retirement v. Murgia, 427 U.S. 307 (1976) (per curiam), Amendment 2 is not constitutionally invalid simply because it could have been drawn more precisely so as to withdraw special antidiscrimination protections only from those of homosexual "orientation" who actually engage in homosexual conduct. As JUSTICE KENNEDY wrote, when he was on the Court of Appeals, in a case involving discharge of homosexuals from the Navy:</w:t>
      </w:r>
    </w:p>
    <w:p w:rsidR="00A31137" w:rsidRPr="00A31137" w:rsidRDefault="00A31137" w:rsidP="00A31137">
      <w:r w:rsidRPr="00A31137">
        <w:t>1996, Romer v. Evans, No. 94-1039</w:t>
      </w:r>
    </w:p>
    <w:p w:rsidR="00A31137" w:rsidRPr="00A31137" w:rsidRDefault="00A31137" w:rsidP="00A31137">
      <w:r w:rsidRPr="00A31137">
        <w:t>"Nearly any statute which classifies people may be irrational as applied in particular cases. Discharge of the particular plaintiffs before us would be rational, under minimal scrutiny, not because their particular cases present the dangers which justify Navy policy, but instead because the general policy of discharging all homosexuals is rational.</w:t>
      </w:r>
    </w:p>
    <w:p w:rsidR="00A31137" w:rsidRPr="00A31137" w:rsidRDefault="00A31137" w:rsidP="00A31137">
      <w:r w:rsidRPr="00A31137">
        <w:t>1996, Romer v. Evans, No. 94-1039</w:t>
      </w:r>
    </w:p>
    <w:p w:rsidR="00A31137" w:rsidRPr="00A31137" w:rsidRDefault="00A31137" w:rsidP="00A31137">
      <w:r w:rsidRPr="00A31137">
        <w:t>Beller v. Middendorf, 632 F.2d 788, 808-809, n. 20 (CA9 1980) (citation omitted). See also Ben-Shalom v. Marsh, 881 F.2d 454, 464 (CA7 1989), cert. denied, 494 U.S. 1004 (1990).</w:t>
      </w:r>
    </w:p>
    <w:p w:rsidR="00A31137" w:rsidRPr="00A31137" w:rsidRDefault="00A31137" w:rsidP="00A31137">
      <w:r w:rsidRPr="00A31137">
        <w:t>1996, Romer v. Evans, No. 94-1039</w:t>
      </w:r>
    </w:p>
    <w:p w:rsidR="00A31137" w:rsidRPr="00A31137" w:rsidRDefault="00A31137" w:rsidP="00A31137">
      <w:r w:rsidRPr="00A31137">
        <w:t>Moreover, even if the provision regarding homosexual "orientation" were invalid, respondents' challenge to Amendment 2—which is a facial challenge—must fail.</w:t>
      </w:r>
    </w:p>
    <w:p w:rsidR="00A31137" w:rsidRPr="00A31137" w:rsidRDefault="00A31137" w:rsidP="00A31137">
      <w:r w:rsidRPr="00A31137">
        <w:t>1996, Romer v. Evans, No. 94-1039</w:t>
      </w:r>
    </w:p>
    <w:p w:rsidR="00A31137" w:rsidRPr="00A31137" w:rsidRDefault="00A31137" w:rsidP="00A31137">
      <w:r w:rsidRPr="00A31137">
        <w:t>A facial challenge to a legislative Act is, of course, the most difficult challenge to mount successfully, since the challenger must establish that no set of circumstances exists under which the Act would be valid.</w:t>
      </w:r>
    </w:p>
    <w:p w:rsidR="00A31137" w:rsidRPr="00A31137" w:rsidRDefault="00A31137" w:rsidP="00A31137">
      <w:r w:rsidRPr="00A31137">
        <w:t>1996, Romer v. Evans, No. 94-1039</w:t>
      </w:r>
    </w:p>
    <w:p w:rsidR="00A31137" w:rsidRPr="00A31137" w:rsidRDefault="00A31137" w:rsidP="00A31137">
      <w:r w:rsidRPr="00A31137">
        <w:t>United States v. Salerno, 481 U.S. 739, 745 (1987). It would not be enough for respondents to establish (if they could) that Amendment 2 is unconstitutional as applied to those of homosexual "orientation"; since, under Bowers, Amendment 2 is unquestionably constitutional as applied to those who engage in homosexual conduct, the facial challenge cannot succeed. Some individuals of homosexual "orientation" who do not engage in homosexual acts might successfully bring an as-applied challenge to Amendment 2, but, so far as the record indicates, none of the respondents is such a person. See App. 4-5 (complaint describing each of the individual respondents as either "a gay man" or "a lesbian"). 2</w:t>
      </w:r>
    </w:p>
    <w:p w:rsidR="00A31137" w:rsidRPr="00A31137" w:rsidRDefault="00A31137" w:rsidP="00A31137">
      <w:r w:rsidRPr="00A31137">
        <w:t>III</w:t>
      </w:r>
    </w:p>
    <w:p w:rsidR="00A31137" w:rsidRPr="00A31137" w:rsidRDefault="00A31137" w:rsidP="00A31137">
      <w:r w:rsidRPr="00A31137">
        <w:t>1996, Romer v. Evans, No. 94-1039</w:t>
      </w:r>
    </w:p>
    <w:p w:rsidR="00A31137" w:rsidRPr="00A31137" w:rsidRDefault="00A31137" w:rsidP="00A31137">
      <w:r w:rsidRPr="00A31137">
        <w:t>The foregoing suffices to establish what the Court's failure to cite any case remotely in point would lead one to suspect: no principle set forth in the Constitution, nor even any imagined by this Court in the past 200 years, prohibits what Colorado has done here. But the case for Colorado is much stronger than that. What it has done is not only unprohibited, but eminently reasonable, with close, congressionally approved precedent in earlier constitutional practice.</w:t>
      </w:r>
    </w:p>
    <w:p w:rsidR="00A31137" w:rsidRPr="00A31137" w:rsidRDefault="00A31137" w:rsidP="00A31137">
      <w:r w:rsidRPr="00A31137">
        <w:t>1996, Romer v. Evans, No. 94-1039</w:t>
      </w:r>
    </w:p>
    <w:p w:rsidR="00A31137" w:rsidRPr="00A31137" w:rsidRDefault="00A31137" w:rsidP="00A31137">
      <w:r w:rsidRPr="00A31137">
        <w:t>First, as to its eminent reasonableness. The Court's opinion contains grim, disapproving hints that Coloradans have been guilty of "animus" or "animosity" toward homosexuality, as though that has been established as Unamerican. Of course it is our moral heritage that one should not hate any human being or class of human beings. But I had thought that one could consider certain conduct reprehensible—murder, for example, or polygamy, or cruelty to animals—and could exhibit even "animus" toward such conduct. Surely that is the only sort of "animus" at issue here: moral disapproval of homosexual conduct, the same sort of moral disapproval that produced the centuries-old criminal laws that we held constitutional in Bowers. The Colorado amendment does not, to speak entirely precisely, prohibit giving favored status to people who are homosexuals; they can be favored for many reasons—for example, because they are senior citizens or members of racial minorities. But it prohibits giving them favored status because of their homosexual conduct—that is, it prohibits favored status for homosexuality.</w:t>
      </w:r>
    </w:p>
    <w:p w:rsidR="00A31137" w:rsidRPr="00A31137" w:rsidRDefault="00A31137" w:rsidP="00A31137">
      <w:r w:rsidRPr="00A31137">
        <w:t>1996, Romer v. Evans, No. 94-1039</w:t>
      </w:r>
    </w:p>
    <w:p w:rsidR="00A31137" w:rsidRPr="00A31137" w:rsidRDefault="00A31137" w:rsidP="00A31137">
      <w:r w:rsidRPr="00A31137">
        <w:t>But though Coloradans are, as I say, entitled to be hostile toward homosexual conduct, the fact is that the degree of hostility reflected by Amendment 2 is the smallest conceivable. The Court's portrayal of Coloradans as a society fallen victim to pointless, hate-filled "gay-bashing" is so false as to be comical. Colorado not only is one of the 25 States that have repealed their anti-sodomy laws, but was among the first to do so. See 1971 Colo.Sess. Laws, ch. 121, § 1. But the society that eliminates criminal punishment for homosexual acts does not necessarily abandon the view that homosexuality is morally wrong and socially harmful; often, abolition simply reflects the view that enforcement of such criminal laws involves unseemly intrusion into the intimate lives of citizens. Cf. Brief for Lambda Legal Defense and Education Fund, Inc., et al. as Amici Curiae in Bowers v. Hardwick, O.T. 1985, No. 85-140, p. 25, n. 21 (anti-sodomy statutes are "unenforceable by any but the most offensive snooping and wasteful allocation of law enforcement resources"); Kadish, The Crisis of Overcriminalization, 374 The Annals of the American Academy of Political and Social Science 157, 161 (1967) ("To obtain evidence [in sodomy cases], police are obliged to resort to behavior which tends to degrade and demean both themselves personally and law enforcement as an institution").</w:t>
      </w:r>
    </w:p>
    <w:p w:rsidR="00A31137" w:rsidRPr="00A31137" w:rsidRDefault="00A31137" w:rsidP="00A31137">
      <w:r w:rsidRPr="00A31137">
        <w:t>1996, Romer v. Evans, No. 94-1039</w:t>
      </w:r>
    </w:p>
    <w:p w:rsidR="00A31137" w:rsidRPr="00A31137" w:rsidRDefault="00A31137" w:rsidP="00A31137">
      <w:r w:rsidRPr="00A31137">
        <w:t>There is a problem, however, which arises when criminal sanction of homosexuality is eliminated but moral and social disapprobation of homosexuality is meant to be retained. The Court cannot be unaware of that problem; it is evident in many cities of the country, and occasionally bubbles to the surface of the news, in heated political disputes over such matters as the introduction into local schools of books teaching that homosexuality is an optional and fully acceptable "alternate life style." The problem (a problem, that is, for those who wish to retain social disapprobation of homosexuality) is that, because those who engage in homosexual conduct tend to reside in disproportionate numbers in certain communities, see Record, Exh. MMM, have high disposable income, see ibid.; App. 254 (affidavit of Prof. James Hunter), and of course care about homosexual rights issues much more ardently than the public at large, they possess political power much greater than their numbers, both locally and statewide. Quite understandably, they devote this political power to achieving not merely a grudging social toleration, but full social acceptance, of homosexuality. See, e.g., Jacobs, The Rhetorical Construction of Rights: The Case of the Gay Rights Movement, 1969-1991, 72 Neb.L.Rev.723, 724 (1993) ("[T]he task of gay rights proponents is to move the center of public discourse along a continuum from the rhetoric of disapprobation, to rhetoric of tolerance, and finally to affirmation").</w:t>
      </w:r>
    </w:p>
    <w:p w:rsidR="00A31137" w:rsidRPr="00A31137" w:rsidRDefault="00A31137" w:rsidP="00A31137">
      <w:r w:rsidRPr="00A31137">
        <w:t>1996, Romer v. Evans, No. 94-1039</w:t>
      </w:r>
    </w:p>
    <w:p w:rsidR="00A31137" w:rsidRPr="00A31137" w:rsidRDefault="00A31137" w:rsidP="00A31137">
      <w:r w:rsidRPr="00A31137">
        <w:t>By the time Coloradans were asked to vote on Amendment 2, their exposure to homosexuals' quest for social endorsement was not limited to newspaper accounts of happenings in places such as New York, Los Angeles, San Francisco, and Key West. Three Colorado cities—Aspen, Boulder, and Denver—had enacted ordinances that listed "sexual orientation" as an impermissible ground for discrimination, equating the moral disapproval of homosexual conduct with racial and religious bigotry. See Aspen Municipal Code § 13-98 (1977); Boulder Rev.Municipal Code §§ 12-1-1 to 12-1-11 (1987); Denver Rev.Municipal Code, Art. IV §§ 28-91 to 28-116 (1991). The phenomenon had even appeared statewide: the Governor of Colorado had signed an executive order pronouncing that, "in the State of Colorado we recognize the diversity in our pluralistic society and strive to bring an end to discrimination in any form," and directing state agency heads to "ensure nondiscrimination" in hiring and promotion based on, among other things, "sexual orientation." Executive Order No. D0035 (Dec. 10, 1990). I do not mean to be critical of these legislative successes; homosexuals are as entitled to use the legal system for reinforcement of their moral sentiments as are the rest of society. But they are subject to being countered by lawful, democratic countermeasures as well.</w:t>
      </w:r>
    </w:p>
    <w:p w:rsidR="00A31137" w:rsidRPr="00A31137" w:rsidRDefault="00A31137" w:rsidP="00A31137">
      <w:r w:rsidRPr="00A31137">
        <w:t>1996, Romer v. Evans, No. 94-1039</w:t>
      </w:r>
    </w:p>
    <w:p w:rsidR="00A31137" w:rsidRPr="00A31137" w:rsidRDefault="00A31137" w:rsidP="00A31137">
      <w:r w:rsidRPr="00A31137">
        <w:t>That is where Amendment 2 came in. It sought to counter both the geographic concentration and the disproportionate political power of homosexuals by (1) resolving the controversy at the statewide level, and (2) making the election a single issue contest for both sides. It put directly, to all the citizens of the State, the question: should homosexuality be given special protection? They answered no. The Court today asserts that this most democratic of procedures is unconstitutional. Lacking any cases to establish that facially absurd proposition, it simply asserts that it must be unconstitutional, because it has never happened before.</w:t>
      </w:r>
    </w:p>
    <w:p w:rsidR="00A31137" w:rsidRPr="00A31137" w:rsidRDefault="00A31137" w:rsidP="00A31137">
      <w:r w:rsidRPr="00A31137">
        <w:t>1996, Romer v. Evans, No. 94-1039</w:t>
      </w:r>
    </w:p>
    <w:p w:rsidR="00A31137" w:rsidRPr="00A31137" w:rsidRDefault="00A31137" w:rsidP="00A31137">
      <w:r w:rsidRPr="00A31137">
        <w:t>[Amendment 2] identifies persons by a single trait and then denies them protection across the board. The resulting disqualification of a class of persons from the right to seek specific protection from the law is unprecedented in our jurisprudence. The absence of precedent for Amendment 2 is itself instructive….</w:t>
      </w:r>
    </w:p>
    <w:p w:rsidR="00A31137" w:rsidRPr="00A31137" w:rsidRDefault="00A31137" w:rsidP="00A31137">
      <w:r w:rsidRPr="00A31137">
        <w:t>1996, Romer v. Evans, No. 94-1039</w:t>
      </w:r>
    </w:p>
    <w:p w:rsidR="00A31137" w:rsidRPr="00A31137" w:rsidRDefault="00A31137" w:rsidP="00A31137">
      <w:r w:rsidRPr="00A31137">
        <w:t>It is not within our constitutional tradition to enact laws of this sort. Central both to the idea of the rule of law and to our own Constitution's guarantee of equal protection is the principle that government and each of its parts remain open on impartial terms to all who seek its assistance.</w:t>
      </w:r>
    </w:p>
    <w:p w:rsidR="00A31137" w:rsidRPr="00A31137" w:rsidRDefault="00A31137" w:rsidP="00A31137">
      <w:r w:rsidRPr="00A31137">
        <w:t>1996, Romer v. Evans, No. 94-1039</w:t>
      </w:r>
    </w:p>
    <w:p w:rsidR="00A31137" w:rsidRPr="00A31137" w:rsidRDefault="00A31137" w:rsidP="00A31137">
      <w:r w:rsidRPr="00A31137">
        <w:t>Ante at ___. As I have noted above, this is proved false every time a state law prohibiting or disfavoring certain conduct is passed, because such a law prevents the adversely affected group—whether drug addicts, or smokers, or gun owners, or motorcyclists—from changing the policy thus established in "each of [the] parts" of the State. What the Court says is even demonstrably false at the constitutional level. The Eighteenth Amendment to the Federal Constitution, for example, deprived those who drank alcohol not only of the power to alter the policy of prohibition locally or through state legislation, but even of the power to alter it through state constitutional amendment or federal legislation. The Establishment Clause of the First Amendment prevents theocrats from having their way by converting their fellow citizens at the local, state, or federal statutory level; as does the Republican Form of Government Clause prevent monarchists.</w:t>
      </w:r>
    </w:p>
    <w:p w:rsidR="00A31137" w:rsidRPr="00A31137" w:rsidRDefault="00A31137" w:rsidP="00A31137">
      <w:r w:rsidRPr="00A31137">
        <w:t>1996, Romer v. Evans, No. 94-1039</w:t>
      </w:r>
    </w:p>
    <w:p w:rsidR="00A31137" w:rsidRPr="00A31137" w:rsidRDefault="00A31137" w:rsidP="00A31137">
      <w:r w:rsidRPr="00A31137">
        <w:t>But there is a much closer analogy, one that involves precisely the effort by the majority of citizens to preserve its view of sexual morality statewide, against the efforts of a geographically concentrated and politically powerful minority to undermine it. The constitutions of the States of Arizona, Idaho, New Mexico, Oklahoma, and Utah to this day contain provisions stating that polygamy is "forever prohibited." See Ariz.Const., Art. XX, par. 2; Idaho Const., Art. I, § 4; N. M.Const., Art. XXI, § 1; Okla.Const., Art. I, § 2; Utah Const., Art. III, § 1. Polygamists, and those who have a polygamous "orientation," have been "singled out" by these provisions for much more severe treatment than merely denial of favored status; and that treatment can only be changed by achieving amendment of the state constitutions. The Court's disposition today suggests that these provisions are unconstitutional, and that polygamy must be permitted in these States on a state-legislated, or perhaps even local-option, basis—unless, of course, polygamists for some reason have fewer constitutional rights than homosexuals.</w:t>
      </w:r>
    </w:p>
    <w:p w:rsidR="00A31137" w:rsidRPr="00A31137" w:rsidRDefault="00A31137" w:rsidP="00A31137">
      <w:r w:rsidRPr="00A31137">
        <w:t>1996, Romer v. Evans, No. 94-1039</w:t>
      </w:r>
    </w:p>
    <w:p w:rsidR="00A31137" w:rsidRPr="00A31137" w:rsidRDefault="00A31137" w:rsidP="00A31137">
      <w:r w:rsidRPr="00A31137">
        <w:t>The United States Congress, by the way, required the inclusion of these anti-polygamy provisions in the constitutions of Arizona, New Mexico, Oklahoma, and Utah, as a condition of their admission to statehood. See Arizona Enabling Act, 36 Stat. 569; New Mexico Enabling Act, 36 Stat. 558; Oklahoma Enabling Act, 34 Stat. 269; Utah Enabling Act, 28 Stat. 108. (For Arizona, New Mexico, and Utah, moreover, the Enabling Acts required that the anti-polygamy provisions be "irrevocable without the consent of the United States and the people of said State"—so that not only were "each of [the] parts" of these States not "open on impartial terms" to polygamists, but even the States as a whole were not; polygamists would have to persuade the whole country to their way of thinking.) Idaho adopted the constitutional provision on its own, but the 51st Congress, which admitted Idaho into the Union, found its constitution to be "republican in form and…in conformity with the Constitution of the United States." Act of Admission of Idaho, 26 Stat. 215 (emphasis added). Thus, this "singling out" of the sexual practices of a single group for statewide, democratic vote—so utterly alien to our constitutional system, the Court would have us believe—has not only happened, but has received the explicit approval of the United States Congress.</w:t>
      </w:r>
    </w:p>
    <w:p w:rsidR="00A31137" w:rsidRPr="00A31137" w:rsidRDefault="00A31137" w:rsidP="00A31137">
      <w:r w:rsidRPr="00A31137">
        <w:t>1996, Romer v. Evans, No. 94-1039</w:t>
      </w:r>
    </w:p>
    <w:p w:rsidR="00A31137" w:rsidRPr="00A31137" w:rsidRDefault="00A31137" w:rsidP="00A31137">
      <w:r w:rsidRPr="00A31137">
        <w:t>I cannot say that this Court has explicitly approved any of these state constitutional provisions, but it has approved a territorial statutory provision that went even further, depriving polygamists of the ability even to achieve a constitutional amendment, by depriving them of the power to vote. In Davis v. Beason, 133 U.S. 333 (1890), Justice Field wrote for a unanimous Court:</w:t>
      </w:r>
    </w:p>
    <w:p w:rsidR="00A31137" w:rsidRPr="00A31137" w:rsidRDefault="00A31137" w:rsidP="00A31137">
      <w:r w:rsidRPr="00A31137">
        <w:t>1996, Romer v. Evans, No. 94-1039</w:t>
      </w:r>
    </w:p>
    <w:p w:rsidR="00A31137" w:rsidRPr="00A31137" w:rsidRDefault="00A31137" w:rsidP="00A31137">
      <w:r w:rsidRPr="00A31137">
        <w:t>In our judgment, § 501 of the Revised Statutes of Idaho Territory, which provides that "no person…who is a bigamist or polygamist or who teaches, advises, counsels, or encourages any person or persons to become bigamists or polygamists, or to commit any other crime defined by law, or to enter into what is known as plural or celestial marriage, or who is a member of any order, organization or association which teaches, advises, counsels, or encourages its members or devotees or any other persons to commit the crime of bigamy or polygamy, or any other crime defined by law…is permitted to vote at any election, or to hold any position or office of honor, trust, or profit within this Territory," is not open to any constitutional or legal objection.</w:t>
      </w:r>
    </w:p>
    <w:p w:rsidR="00A31137" w:rsidRPr="00A31137" w:rsidRDefault="00A31137" w:rsidP="00A31137">
      <w:r w:rsidRPr="00A31137">
        <w:t>1996, Romer v. Evans, No. 94-1039</w:t>
      </w:r>
    </w:p>
    <w:p w:rsidR="00A31137" w:rsidRPr="00A31137" w:rsidRDefault="00A31137" w:rsidP="00A31137">
      <w:r w:rsidRPr="00A31137">
        <w:t>Id. at 346-347 (emphasis added). To the extent, if any, that this opinion permits the imposition of adverse consequences upon mere abstract advocacy of polygamy, it has, of course, been overruled by later cases. See Brandenburg v. Ohio, 395 U.S. 444 (1969) (per curiam). But the proposition that polygamy can be criminalized, and those engaging in that crime deprived of the vote, remains good law. See Richardson v. Ramirez, 418 U.S. 24, 53 (1974). Beason rejected the argument that "such discrimination is a denial of the equal protection of the laws." Brief for Appellant in Davis v. Beason, O.T. 1889, No. 1261, p. 41. Among the Justices joining in that rejection were the two whose views in other cases the Court today treats as equal protection lodestars—Justice Harlan, who was to proclaim in Plessy v. Ferguson, 163 U.S. 537,  559 (1896) (dissenting opinion), that the Constitution "neither knows nor tolerates classes among citizens," quoted ante at ___, and Justice Bradley, who had earlier declared that "class legislation…[is] obnoxious to the prohibitions of the Fourteenth Amendment," Civil Rights Cases, 109 U.S. 3, 24 (1883), quoted ante at ___. 3</w:t>
      </w:r>
    </w:p>
    <w:p w:rsidR="00A31137" w:rsidRPr="00A31137" w:rsidRDefault="00A31137" w:rsidP="00A31137">
      <w:r w:rsidRPr="00A31137">
        <w:t>1996, Romer v. Evans, No. 94-1039</w:t>
      </w:r>
    </w:p>
    <w:p w:rsidR="00A31137" w:rsidRPr="00A31137" w:rsidRDefault="00A31137" w:rsidP="00A31137">
      <w:r w:rsidRPr="00A31137">
        <w:t>This Court cited Beason with approval as recently as 1993, in an opinion authored by the same Justice who writes for the Court today. That opinion said:</w:t>
      </w:r>
    </w:p>
    <w:p w:rsidR="00A31137" w:rsidRPr="00A31137" w:rsidRDefault="00A31137" w:rsidP="00A31137">
      <w:r w:rsidRPr="00A31137">
        <w:t>1996, Romer v. Evans, No. 94-1039</w:t>
      </w:r>
    </w:p>
    <w:p w:rsidR="00A31137" w:rsidRPr="00A31137" w:rsidRDefault="00A31137" w:rsidP="00A31137">
      <w:r w:rsidRPr="00A31137">
        <w:t>[A]dverse impact will not always lead to a finding of impermissible targeting. For example, a social harm may have been a legitimate concern of government for reasons quite apart from discrimination…. See, e.g.,…Davis v. Beason, 133 U.S. 333 (1890).</w:t>
      </w:r>
    </w:p>
    <w:p w:rsidR="00A31137" w:rsidRPr="00A31137" w:rsidRDefault="00A31137" w:rsidP="00A31137">
      <w:r w:rsidRPr="00A31137">
        <w:t>1996, Romer v. Evans, No. 94-1039</w:t>
      </w:r>
    </w:p>
    <w:p w:rsidR="00A31137" w:rsidRPr="00A31137" w:rsidRDefault="00A31137" w:rsidP="00A31137">
      <w:r w:rsidRPr="00A31137">
        <w:t xml:space="preserve"> Church of Lukumi Babalu Aye, Inc. v. Hialeah, 508 U.S. 520,  535 (1993). It remains to be explained how § 501 of the Idaho Revised Statutes was not an "impermissible targeting" of polygamists, but (the much more mild) Amendment 2 is an "impermissible targeting" of homosexuals. Has the Court concluded that the perceived social harm of polygamy is a "legitimate concern of government," and the perceived social harm of homosexuality is not?</w:t>
      </w:r>
    </w:p>
    <w:p w:rsidR="00A31137" w:rsidRPr="00A31137" w:rsidRDefault="00A31137" w:rsidP="00A31137">
      <w:r w:rsidRPr="00A31137">
        <w:t>IV</w:t>
      </w:r>
    </w:p>
    <w:p w:rsidR="00A31137" w:rsidRPr="00A31137" w:rsidRDefault="00A31137" w:rsidP="00A31137">
      <w:r w:rsidRPr="00A31137">
        <w:t>1996, Romer v. Evans, No. 94-1039</w:t>
      </w:r>
    </w:p>
    <w:p w:rsidR="00A31137" w:rsidRPr="00A31137" w:rsidRDefault="00A31137" w:rsidP="00A31137">
      <w:r w:rsidRPr="00A31137">
        <w:t>I strongly suspect that the answer to the last question is yes, which leads me to the last point I wish to make: the Court today, announcing that Amendment 2 "defies…conventional [constitutional] inquiry," ante at ___, and "confounds [the] normal process of judicial review," ante at ___, employs a constitutional theory heretofore unknown to frustrate Colorado's reasonable effort to preserve traditional American moral values. The Court's stern disapproval of "animosity" towards homosexuality might be compared with what an earlier Court (including the revered Justices Harlan and Bradley) said in Murphy v. Ramsey, 114 U.S. 15 (1885), rejecting a constitutional challenge to a United States statute that denied the franchise in federal territories to those who engaged in polygamous cohabitation:</w:t>
      </w:r>
    </w:p>
    <w:p w:rsidR="00A31137" w:rsidRPr="00A31137" w:rsidRDefault="00A31137" w:rsidP="00A31137">
      <w:r w:rsidRPr="00A31137">
        <w:t>1996, Romer v. Evans, No. 94-1039</w:t>
      </w:r>
    </w:p>
    <w:p w:rsidR="00A31137" w:rsidRPr="00A31137" w:rsidRDefault="00A31137" w:rsidP="00A31137">
      <w:r w:rsidRPr="00A31137">
        <w:t>[C]ertainly no legislation can be supposed more wholesome and necessary in the founding of a free, self-governing commonwealth, fit to take rank as one of the coordinate States of the Union, than that which seeks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w:t>
      </w:r>
    </w:p>
    <w:p w:rsidR="00A31137" w:rsidRPr="00A31137" w:rsidRDefault="00A31137" w:rsidP="00A31137">
      <w:r w:rsidRPr="00A31137">
        <w:t>1996, Romer v. Evans, No. 94-1039</w:t>
      </w:r>
    </w:p>
    <w:p w:rsidR="00A31137" w:rsidRPr="00A31137" w:rsidRDefault="00A31137" w:rsidP="00A31137">
      <w:r w:rsidRPr="00A31137">
        <w:t>Id. at 45. I would not myself indulge in such official praise for heterosexual monogamy, because I think it no business of the courts (as opposed to the political branches) to take sides in this culture war.</w:t>
      </w:r>
    </w:p>
    <w:p w:rsidR="00A31137" w:rsidRPr="00A31137" w:rsidRDefault="00A31137" w:rsidP="00A31137">
      <w:r w:rsidRPr="00A31137">
        <w:t>1996, Romer v. Evans, No. 94-1039</w:t>
      </w:r>
    </w:p>
    <w:p w:rsidR="00A31137" w:rsidRPr="00A31137" w:rsidRDefault="00A31137" w:rsidP="00A31137">
      <w:r w:rsidRPr="00A31137">
        <w:t>But the Court today has done so, not only by inventing a novel and extravagant constitutional doctrine to take the victory away from traditional forces, but even by verbally disparaging as bigotry adherence to traditional attitudes. To suggest, for example, that this constitutional amendment springs from nothing more than "'a bare…desire to harm a politically unpopular group,'" ante at ___, quoting Department of Agriculture v. Moreno, 413 U.S. 528, 534 (1973), is nothing short of insulting. (It is also nothing short of preposterous to call "politically unpopular" a group which enjoys enormous influence in American media and politics, and which, as the trial court here noted, though composing no more than 4% of the population, had the support of 46% of the voters on Amendment 2, see App. to Pet. for Cert. C-18.)</w:t>
      </w:r>
    </w:p>
    <w:p w:rsidR="00A31137" w:rsidRPr="00A31137" w:rsidRDefault="00A31137" w:rsidP="00A31137">
      <w:r w:rsidRPr="00A31137">
        <w:t>1996, Romer v. Evans, No. 94-1039</w:t>
      </w:r>
    </w:p>
    <w:p w:rsidR="00A31137" w:rsidRPr="00A31137" w:rsidRDefault="00A31137" w:rsidP="00A31137">
      <w:r w:rsidRPr="00A31137">
        <w:t>When the Court takes sides in the culture wars, it tends to be with the knights rather than the villeins—and more specifically with the Templars—reflecting the views and values of the lawyer class from which the Court's Members are drawn. How that class feels about homosexuality will be evident to anyone who wishes to interview job applicants at virtually any of the Nation's law schools. The interviewer may refuse to offer a job because the applicant is a Republican; because he is an adulterer; because he went to the wrong prep school or belongs to the wrong country club; because he eats snails; because he is a womanizer; because she wears real animal fur; or even because he hates the Chicago Cubs. But if the interviewer should wish not to be an associate or partner of an applicant because he disapproves of the applicant's homosexuality, then he will have violated the pledge which the Association of American Law Schools requires all its member schools to exact from job interviewers: "assurance of the employer's willingness" to hire homosexuals. Bylaws of the Association of American Law Schools, Inc. § 6-4(b); Executive Committee Regulations of the Association of American Law Schools § 6.19, in 1995 Handbook, Association of American Law Schools. This law school view of what "prejudices" must be stamped out may be contrasted with the more plebeian attitudes that apparently still prevail in the United States Congress, which has been unresponsive to repeated attempts to extend to homosexuals the protections of federal civil rights laws, see, e.g., Employment Non-Discrimination Act of 1994, S. 2238, 103d Cong.,2d Sess. (1994); Civil Rights Amendments of 1975, H.R. 5452, 94th Cong., 1st Sess. (1975), and which took the pains to exclude them specifically from the Americans With Disabilities Act of 1990, see 42 U.S.C. § 12211(a) (1988 ed., Supp. V).</w:t>
      </w:r>
    </w:p>
    <w:p w:rsidR="00A31137" w:rsidRPr="00A31137" w:rsidRDefault="00A31137" w:rsidP="00A31137">
      <w:r w:rsidRPr="00A31137">
        <w:t>1996, Romer v. Evans, No. 94-1039</w:t>
      </w:r>
    </w:p>
    <w:p w:rsidR="00A31137" w:rsidRPr="00A31137" w:rsidRDefault="00A31137" w:rsidP="00A31137">
      <w:r w:rsidRPr="00A31137">
        <w:t>*    *    *    *</w:t>
      </w:r>
    </w:p>
    <w:p w:rsidR="00A31137" w:rsidRPr="00A31137" w:rsidRDefault="00A31137" w:rsidP="00A31137">
      <w:r w:rsidRPr="00A31137">
        <w:t>1996, Romer v. Evans, No. 94-1039</w:t>
      </w:r>
    </w:p>
    <w:p w:rsidR="00A31137" w:rsidRPr="00A31137" w:rsidRDefault="00A31137" w:rsidP="00A31137">
      <w:r w:rsidRPr="00A31137">
        <w:t>Today's opinion has no foundation in American constitutional law, and barely pretends to. The people of Colorado have adopted an entirely reasonable provision which does not even disfavor homosexuals in any substantive sense, but merely denies them preferential treatment. Amendment 2 is designed to prevent piecemeal deterioration of the sexual morality favored by a majority of Coloradans, and is not only an appropriate means to that legitimate end, but a means that Americans have employed before. Striking it down is an act not of judicial judgment, but of political will. I dissent.</w:t>
      </w:r>
    </w:p>
    <w:p w:rsidR="00A31137" w:rsidRPr="00A31137" w:rsidRDefault="00A31137" w:rsidP="00A31137">
      <w:r w:rsidRPr="00A31137">
        <w:t>Footnotes</w:t>
      </w:r>
    </w:p>
    <w:p w:rsidR="00A31137" w:rsidRPr="00A31137" w:rsidRDefault="00A31137" w:rsidP="00A31137">
      <w:r w:rsidRPr="00A31137">
        <w:t>SCALIA, J., dissenting (Footnotes)</w:t>
      </w:r>
    </w:p>
    <w:p w:rsidR="00A31137" w:rsidRPr="00A31137" w:rsidRDefault="00A31137" w:rsidP="00A31137">
      <w:r w:rsidRPr="00A31137">
        <w:t>1996, Romer v. Evans, No. 94-1039</w:t>
      </w:r>
    </w:p>
    <w:p w:rsidR="00A31137" w:rsidRPr="00A31137" w:rsidRDefault="00A31137" w:rsidP="00A31137">
      <w:r w:rsidRPr="00A31137">
        <w:t>1. The Court evidently agrees that "rational basis"—the normal test for compliance with the Equal Protection Clause—is the governing standard. The trial court rejected respondents' argument that homosexuals constitute a "suspect" or "quasi-suspect" class, and respondents elected not to appeal that ruling to the Supreme Court of Colorado. See Evans v. Romer, 882 P.2d 1335, 1341, n. 3 (1994). And the Court implicitly rejects the Supreme Court of Colorado's holding, see Evans v. Romer, 854 P.2d 1270, 1282 (1993), that Amendment 2 infringes upon a "fundamental right" of "independently identifiable class[es]" to "participate equally in the political process." Ante at ___.</w:t>
      </w:r>
    </w:p>
    <w:p w:rsidR="00A31137" w:rsidRPr="00A31137" w:rsidRDefault="00A31137" w:rsidP="00A31137">
      <w:r w:rsidRPr="00A31137">
        <w:t>1996, Romer v. Evans, No. 94-1039</w:t>
      </w:r>
    </w:p>
    <w:p w:rsidR="00A31137" w:rsidRPr="00A31137" w:rsidRDefault="00A31137" w:rsidP="00A31137">
      <w:r w:rsidRPr="00A31137">
        <w:t>2. The Supreme Court of Colorado stated:</w:t>
      </w:r>
    </w:p>
    <w:p w:rsidR="00A31137" w:rsidRPr="00A31137" w:rsidRDefault="00A31137" w:rsidP="00A31137">
      <w:r w:rsidRPr="00A31137">
        <w:t>1996, Romer v. Evans, No. 94-1039</w:t>
      </w:r>
    </w:p>
    <w:p w:rsidR="00A31137" w:rsidRPr="00A31137" w:rsidRDefault="00A31137" w:rsidP="00A31137">
      <w:r w:rsidRPr="00A31137">
        <w:t>We hold that the portions of Amendment 2 that would remain if only the provision concerning sexual orientation were stricken are not autonomous and thus, not severable,</w:t>
      </w:r>
    </w:p>
    <w:p w:rsidR="00A31137" w:rsidRPr="00A31137" w:rsidRDefault="00A31137" w:rsidP="00A31137">
      <w:r w:rsidRPr="00A31137">
        <w:t>1996, Romer v. Evans, No. 94-1039</w:t>
      </w:r>
    </w:p>
    <w:p w:rsidR="00A31137" w:rsidRPr="00A31137" w:rsidRDefault="00A31137" w:rsidP="00A31137">
      <w:r w:rsidRPr="00A31137">
        <w:t>882 P.2d at 1349. That statement was premised, however, on the proposition that</w:t>
      </w:r>
    </w:p>
    <w:p w:rsidR="00A31137" w:rsidRPr="00A31137" w:rsidRDefault="00A31137" w:rsidP="00A31137">
      <w:r w:rsidRPr="00A31137">
        <w:t>1996, Romer v. Evans, No. 94-1039</w:t>
      </w:r>
    </w:p>
    <w:p w:rsidR="00A31137" w:rsidRPr="00A31137" w:rsidRDefault="00A31137" w:rsidP="00A31137">
      <w:r w:rsidRPr="00A31137">
        <w:t>[the] four characteristics [described in the Amendment—sexual orientation, conduct, practices, and relationships] are not truly severable from one another, because each provides nothing more than a different way of identifying the same class of persons.</w:t>
      </w:r>
    </w:p>
    <w:p w:rsidR="00A31137" w:rsidRPr="00A31137" w:rsidRDefault="00A31137" w:rsidP="00A31137">
      <w:r w:rsidRPr="00A31137">
        <w:t>1996, Romer v. Evans, No. 94-1039</w:t>
      </w:r>
    </w:p>
    <w:p w:rsidR="00A31137" w:rsidRPr="00A31137" w:rsidRDefault="00A31137" w:rsidP="00A31137">
      <w:r w:rsidRPr="00A31137">
        <w:t>Id. at 1349-1350 (emphasis added). As I have discussed above, if that premise is true—if the entire class affected by the Amendment takes part in homosexual conduct, practices and relationships—Bowers alone suffices to answer all constitutional objections. Separate consideration of persons of homosexual "orientation" is necessary only if one believes (as the Supreme Court of Colorado did not) that that is a distinct class.</w:t>
      </w:r>
    </w:p>
    <w:p w:rsidR="00A31137" w:rsidRPr="00A31137" w:rsidRDefault="00A31137" w:rsidP="00A31137">
      <w:r w:rsidRPr="00A31137">
        <w:t>1996, Romer v. Evans, No. 94-1039</w:t>
      </w:r>
    </w:p>
    <w:p w:rsidR="00A31137" w:rsidRPr="00A31137" w:rsidRDefault="00A31137" w:rsidP="00A31137">
      <w:r w:rsidRPr="00A31137">
        <w:t>3. The Court labors mightily to get around Beason, see ante at ___, but cannot escape the central fact that this Court found the statute at issue—which went much further than Amendment 2, denying polygamists not merely special treatment but the right to vote—"not open to any constitutional or legal objection," rejecting the appellant's argument (much like the argument of respondents today) that the statute impermissibly "single[d] him out," Brief for Appellant in Davis v. Beason, O.T. 1889, No. 1261, p. 41. The Court adopts my conclusions that (a) insofar as Beason permits the imposition of adverse consequences based upon mere advocacy, it has been overruled by subsequent cases, and (b) insofar as Beason holds that convicted felons may be denied the right to vote, it remains good law. To these conclusions it adds something new: the claim that,</w:t>
      </w:r>
    </w:p>
    <w:p w:rsidR="00A31137" w:rsidRPr="00A31137" w:rsidRDefault="00A31137" w:rsidP="00A31137">
      <w:r w:rsidRPr="00A31137">
        <w:t>1996, Romer v. Evans, No. 94-1039</w:t>
      </w:r>
    </w:p>
    <w:p w:rsidR="00A31137" w:rsidRPr="00A31137" w:rsidRDefault="00A31137" w:rsidP="00A31137">
      <w:r w:rsidRPr="00A31137">
        <w:t>[t]o the extent [Beason] held that the groups designated in the statute may be deprived of the right to vote because of their status, its ruling could not stand without surviving strict scrutiny, a most doubtful outcome.</w:t>
      </w:r>
    </w:p>
    <w:p w:rsidR="00A31137" w:rsidRPr="00A31137" w:rsidRDefault="00A31137" w:rsidP="00A31137">
      <w:r w:rsidRPr="00A31137">
        <w:t>1996, Romer v. Evans, No. 94-1039</w:t>
      </w:r>
    </w:p>
    <w:p w:rsidR="00A31137" w:rsidRPr="00A31137" w:rsidRDefault="00A31137" w:rsidP="00A31137">
      <w:r w:rsidRPr="00A31137">
        <w:t>Ante at ___. But if that is so, it is only because we have declared the right to vote to be a "fundamental political right," see, e.g., Dunn v. Blumstein, 405 U.S. 330,  336 (1972), deprivation of which triggers strict scrutiny. Amendment 2,of course, does not deny the fundamental right to vote, and the Court rejects the Colorado court's view that there exists a fundamental right to participate in the political process. Strict scrutiny is thus not in play here. See ante at ___. Finally, the Court's suggestion that § 501 of the Revised Statutes of Idaho, and Amendment 2, deny rights on account of "status" (rather than conduct) opens up a broader debate involving the significance of Bowers to this case, a debate which the Court is otherwise unwilling to join, see supra, at ___.</w:t>
      </w:r>
    </w:p>
    <w:p w:rsidR="00A31137" w:rsidRPr="00A31137" w:rsidRDefault="00A31137" w:rsidP="00A31137">
      <w:r w:rsidRPr="00A31137">
        <w:t>BMW of North America, Inc. v. Gore, 1996</w:t>
      </w:r>
    </w:p>
    <w:p w:rsidR="00A31137" w:rsidRPr="00A31137" w:rsidRDefault="00A31137" w:rsidP="00A31137">
      <w:r w:rsidRPr="00A31137">
        <w:t>Title:</w:t>
      </w:r>
      <w:r w:rsidRPr="00A31137">
        <w:tab/>
        <w:t>BMW of North America, Inc. v. Gore</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May 20, 1996</w:t>
      </w:r>
    </w:p>
    <w:p w:rsidR="00A31137" w:rsidRPr="00A31137" w:rsidRDefault="00A31137" w:rsidP="00A31137">
      <w:r w:rsidRPr="00A31137">
        <w:t>Source:</w:t>
      </w:r>
      <w:r w:rsidRPr="00A31137">
        <w:tab/>
        <w:t>No. 94-896 [U.S. Reports citation not yet available]</w:t>
      </w:r>
    </w:p>
    <w:p w:rsidR="00A31137" w:rsidRPr="00A31137" w:rsidRDefault="00A31137" w:rsidP="00A31137">
      <w:r w:rsidRPr="00A31137">
        <w:t>This case was argued October 11, 1995, and was decided May 20, 1996.</w:t>
      </w:r>
    </w:p>
    <w:p w:rsidR="00A31137" w:rsidRPr="00A31137" w:rsidRDefault="00A31137" w:rsidP="00A31137">
      <w:r w:rsidRPr="00A31137">
        <w:t>CERTIORARI TO THE SUPREME COURT OF ALABAMA</w:t>
      </w:r>
    </w:p>
    <w:p w:rsidR="00A31137" w:rsidRPr="00A31137" w:rsidRDefault="00A31137" w:rsidP="00A31137">
      <w:r w:rsidRPr="00A31137">
        <w:t>Syllabus</w:t>
      </w:r>
    </w:p>
    <w:p w:rsidR="00A31137" w:rsidRPr="00A31137" w:rsidRDefault="00A31137" w:rsidP="00A31137">
      <w:r w:rsidRPr="00A31137">
        <w:t>1996, BMW of North America, Inc. v. Gore, No. 94-896</w:t>
      </w:r>
    </w:p>
    <w:p w:rsidR="00A31137" w:rsidRPr="00A31137" w:rsidRDefault="00A31137" w:rsidP="00A31137">
      <w:r w:rsidRPr="00A31137">
        <w:t>After respondent Gore purchased a new BMW automobile from an authorized Alabama dealer, he discovered that the car had been repainted. He brought this suit for compensatory and punitive damages against petitioner, the American distributor of BMW's, alleging, inter alia, that the failure to disclose the repainting constituted fraud under Alabama law. At trial, BMW acknowledged that it followed a nationwide policy of not advising its dealers, and hence their customers, of predelivery damage to new cars when the cost of repair did not exceed 3 percent of the car's suggested retail price. Gore's vehicle fell into that category. The jury returned a verdict finding BMW liable for compensatory damages of $4,000, and assessing $4 million in punitive damages. The trial judge denied BMW's post-trial motion to set aside the punitive damages award, holding, among other things, that the award was not "grossly excessive," and thus did not violate the Due Process Clause of the Fourteenth Amendment. See, e.g., TXO Production Corp. v. Alliance Resources Corp., 509 U.S. 443, 454. The Alabama Supreme Court agreed, but reduced the award to $2 million on the ground that, in computing the amount, the jury had improperly multiplied Gore's compensatory damages by the number of similar sales in all States, not just those in Alabama.</w:t>
      </w:r>
    </w:p>
    <w:p w:rsidR="00A31137" w:rsidRPr="00A31137" w:rsidRDefault="00A31137" w:rsidP="00A31137">
      <w:r w:rsidRPr="00A31137">
        <w:t>1996, BMW of North America, Inc. v. Gore, No. 94-896</w:t>
      </w:r>
    </w:p>
    <w:p w:rsidR="00A31137" w:rsidRPr="00A31137" w:rsidRDefault="00A31137" w:rsidP="00A31137">
      <w:r w:rsidRPr="00A31137">
        <w:t>Held: The $2 million punitive damages award is grossly excessive, and therefore exceeds the constitutional limit. Pp. ___.</w:t>
      </w:r>
    </w:p>
    <w:p w:rsidR="00A31137" w:rsidRPr="00A31137" w:rsidRDefault="00A31137" w:rsidP="00A31137">
      <w:r w:rsidRPr="00A31137">
        <w:t>1996, BMW of North America, Inc. v. Gore, No. 94-896</w:t>
      </w:r>
    </w:p>
    <w:p w:rsidR="00A31137" w:rsidRPr="00A31137" w:rsidRDefault="00A31137" w:rsidP="00A31137">
      <w:r w:rsidRPr="00A31137">
        <w:t>(a) Because such an award violates due process only when it can fairly be categorized as "grossly excessive" in relation to the State's legitimate interests in punishing unlawful conduct and deterring its repetition, cf. TXO, 509 U.S. at 456, the federal excessiveness inquiry appropriately begins with an identification of the state interests that such an award is designed to serve. Principles of state sovereignty and comity forbid a State to enact policies for the entire Nation, or to impose its own policy choice on neighboring States. See e.g., Healy v. Beer Institute, 491 U.S. 324, 335-336. Accordingly, the economic penalties that a State inflicts on those who transgress its laws, whether the penalties are legislatively authorized fines or judicially imposed punitive damages, must be supported by the State's interest in protecting its own consumers and economy, rather than those of other States or the entire Nation. Gore's award must therefore be analyzed in the light of conduct that occurred solely within Alabama, with consideration being given only to the interests of Alabama consumers. Pp. ___.</w:t>
      </w:r>
    </w:p>
    <w:p w:rsidR="00A31137" w:rsidRPr="00A31137" w:rsidRDefault="00A31137" w:rsidP="00A31137">
      <w:r w:rsidRPr="00A31137">
        <w:t>1996, BMW of North America, Inc. v. Gore, No. 94-896</w:t>
      </w:r>
    </w:p>
    <w:p w:rsidR="00A31137" w:rsidRPr="00A31137" w:rsidRDefault="00A31137" w:rsidP="00A31137">
      <w:r w:rsidRPr="00A31137">
        <w:t>(b) Elementary notions of fairness enshrined in this Court's constitutional jurisprudence dictate that a person receive fair notice not only of the conduct that will subject him to punishment, but also of the severity of the penalty that a State may impose. Three guideposts, each of which indicates that BMW did not receive adequate notice of the magnitude of the sanction that Alabama might impose, lead to the conclusion that the $2 million award is grossly excessive. Pp. ___.</w:t>
      </w:r>
    </w:p>
    <w:p w:rsidR="00A31137" w:rsidRPr="00A31137" w:rsidRDefault="00A31137" w:rsidP="00A31137">
      <w:r w:rsidRPr="00A31137">
        <w:t>1996, BMW of North America, Inc. v. Gore, No. 94-896</w:t>
      </w:r>
    </w:p>
    <w:p w:rsidR="00A31137" w:rsidRPr="00A31137" w:rsidRDefault="00A31137" w:rsidP="00A31137">
      <w:r w:rsidRPr="00A31137">
        <w:t>(c) None of the aggravating factors associated with the first (and perhaps most important) indicium of a punitive damages award's excessiveness—the degree of reprehensibility of the defendant's conduct, see e.g., Day v. Woodworth, 13 How. 363, 371—is present here. The harm BMW inflicted on Gore was purely economic; the presale repainting had no effect on the car's performance, safety features, or appearance; and BMW's conduct evinced no indifference to or reckless disregard for the health and safety of others. Gore's contention that BMW's nondisclosure was particularly reprehensible because it formed part of a nationwide pattern of tortious conduct is rejected, because a corporate executive could reasonably have interpreted the relevant state statutes as establishing safe harbors for nondisclosure of presumptively minor repairs, and because there is no evidence either that BMW acted in bad faith when it sought to establish the appropriate line between minor damage and damage requiring disclosure to purchasers, or that it persisted in its course of conduct after it had been adjudged unlawful. Finally, there is no evidence that BMW engaged in deliberate false statements, acts of affirmative misconduct, or concealment of evidence of improper motive. Pp. ___.</w:t>
      </w:r>
    </w:p>
    <w:p w:rsidR="00A31137" w:rsidRPr="00A31137" w:rsidRDefault="00A31137" w:rsidP="00A31137">
      <w:r w:rsidRPr="00A31137">
        <w:t>1996, BMW of North America, Inc. v. Gore, No. 94-896</w:t>
      </w:r>
    </w:p>
    <w:p w:rsidR="00A31137" w:rsidRPr="00A31137" w:rsidRDefault="00A31137" w:rsidP="00A31137">
      <w:r w:rsidRPr="00A31137">
        <w:t>(d) The second (and perhaps most commonly cited) indicium of excessiveness—the ratio between the plaintiff's compensatory damages and the amount of the punitive damages, see, e.g., TXO, 509 U.S. at 459—also weighs against Gore, because his $2 million award is 500 times the amount of his actual harm as determined by the jury, and there is no suggestion that he or any other BMW purchaser was threatened with any additional potential harm by BMW's nondisclosure policy. Although it is not possible to draw a mathematical bright line between the constitutionally acceptable and the constitutionally unacceptable that would fit every case, see, e.g., id. at 458, the ratio here is clearly outside the acceptable range. Pp. ___.</w:t>
      </w:r>
    </w:p>
    <w:p w:rsidR="00A31137" w:rsidRPr="00A31137" w:rsidRDefault="00A31137" w:rsidP="00A31137">
      <w:r w:rsidRPr="00A31137">
        <w:t>1996, BMW of North America, Inc. v. Gore, No. 94-896</w:t>
      </w:r>
    </w:p>
    <w:p w:rsidR="00A31137" w:rsidRPr="00A31137" w:rsidRDefault="00A31137" w:rsidP="00A31137">
      <w:r w:rsidRPr="00A31137">
        <w:t>(e) Gore's punitive damages award is not saved by the third relevant indicium of excessiveness—the difference between it and the civil or criminal sanctions that could be imposed for comparable misconduct, see, e.g., Pacific Mut. Life Ins. Co. v. Haslip, 499 U.S. 1, 23—because $2 million is substantially greater than Alabama's applicable $2,000 fine and the penalties imposed in other States for similar malfeasance, and because none of the pertinent statutes or interpretive decisions would have put an out-of-state distributor on notice that it might be subject to a multimillion dollar sanction. Moreover, in the absence of a BMW history of noncompliance with known statutory requirements, there is no basis for assuming that a more modest sanction would not have been sufficient. Pp. ___.</w:t>
      </w:r>
    </w:p>
    <w:p w:rsidR="00A31137" w:rsidRPr="00A31137" w:rsidRDefault="00A31137" w:rsidP="00A31137">
      <w:r w:rsidRPr="00A31137">
        <w:t>1996, BMW of North America, Inc. v. Gore, No. 94-896</w:t>
      </w:r>
    </w:p>
    <w:p w:rsidR="00A31137" w:rsidRPr="00A31137" w:rsidRDefault="00A31137" w:rsidP="00A31137">
      <w:r w:rsidRPr="00A31137">
        <w:t>(f) Thus, BMW's conduct was not sufficiently egregious to justify the severe punitive sanction imposed against it. Whether the appropriate remedy requires a new trial or merely an independent determination by the Alabama Supreme Court of the award necessary to vindicate Alabama consumers' economic interests is a matter for that court to address in the first instance. Pp. ___.</w:t>
      </w:r>
    </w:p>
    <w:p w:rsidR="00A31137" w:rsidRPr="00A31137" w:rsidRDefault="00A31137" w:rsidP="00A31137">
      <w:r w:rsidRPr="00A31137">
        <w:t>1996, BMW of North America, Inc. v. Gore, No. 94-896</w:t>
      </w:r>
    </w:p>
    <w:p w:rsidR="00A31137" w:rsidRPr="00A31137" w:rsidRDefault="00A31137" w:rsidP="00A31137">
      <w:r w:rsidRPr="00A31137">
        <w:t>646 So.2d 619, reversed and remanded.</w:t>
      </w:r>
    </w:p>
    <w:p w:rsidR="00A31137" w:rsidRPr="00A31137" w:rsidRDefault="00A31137" w:rsidP="00A31137">
      <w:r w:rsidRPr="00A31137">
        <w:t>1996, BMW of North America, Inc. v. Gore, No. 94-896</w:t>
      </w:r>
    </w:p>
    <w:p w:rsidR="00A31137" w:rsidRPr="00A31137" w:rsidRDefault="00A31137" w:rsidP="00A31137">
      <w:r w:rsidRPr="00A31137">
        <w:t>STEVENS, J., delivered the opinion of the Court, in which O'CONNOR, KENNEDY, SOUTER, and BREYER, JJ., joined. BREYER, J., filed a concurring opinion, in which O'CONNOR and SOUTER, JJ., joined. SCALIA, J., filed a dissenting opinion, in which THOMAS, J., joined. GINSBURG, J., filed a dissenting opinion, in which REHNQUIST, C.J., joined.</w:t>
      </w:r>
    </w:p>
    <w:p w:rsidR="00A31137" w:rsidRPr="00A31137" w:rsidRDefault="00A31137" w:rsidP="00A31137">
      <w:r w:rsidRPr="00A31137">
        <w:t>STEVENS, J., lead opinion</w:t>
      </w:r>
    </w:p>
    <w:p w:rsidR="00A31137" w:rsidRPr="00A31137" w:rsidRDefault="00A31137" w:rsidP="00A31137">
      <w:r w:rsidRPr="00A31137">
        <w:t>1996, BMW of North America, Inc. v. Gore, No. 94-896</w:t>
      </w:r>
    </w:p>
    <w:p w:rsidR="00A31137" w:rsidRPr="00A31137" w:rsidRDefault="00A31137" w:rsidP="00A31137">
      <w:r w:rsidRPr="00A31137">
        <w:t>JUSTICE STEVENS delivered the opinion of the Court.</w:t>
      </w:r>
    </w:p>
    <w:p w:rsidR="00A31137" w:rsidRPr="00A31137" w:rsidRDefault="00A31137" w:rsidP="00A31137">
      <w:r w:rsidRPr="00A31137">
        <w:t>1996, BMW of North America, Inc. v. Gore, No. 94-896</w:t>
      </w:r>
    </w:p>
    <w:p w:rsidR="00A31137" w:rsidRPr="00A31137" w:rsidRDefault="00A31137" w:rsidP="00A31137">
      <w:r w:rsidRPr="00A31137">
        <w:t>The Due Process Clause of the Fourteenth Amendment prohibits a State from imposing a "'grossly excessive'" punishment on a tortfeasor. TXO Production Corp. v. Alliance Resources Corp., 509 U.S. 443, 454 (1993) (and cases cited). The wrongdoing involved in this case was the decision by a national distributor of automobiles not to advise its dealers, and hence their customers, of predelivery damage to new cars when the cost of repair amounted to less than 3 percent of the car's suggested retail price. The question presented is whether a $2 million punitive damages award to the purchaser of one of these cars exceeds the constitutional limit.</w:t>
      </w:r>
    </w:p>
    <w:p w:rsidR="00A31137" w:rsidRPr="00A31137" w:rsidRDefault="00A31137" w:rsidP="00A31137">
      <w:r w:rsidRPr="00A31137">
        <w:t>I</w:t>
      </w:r>
    </w:p>
    <w:p w:rsidR="00A31137" w:rsidRPr="00A31137" w:rsidRDefault="00A31137" w:rsidP="00A31137">
      <w:r w:rsidRPr="00A31137">
        <w:t>1996, BMW of North America, Inc. v. Gore, No. 94-896</w:t>
      </w:r>
    </w:p>
    <w:p w:rsidR="00A31137" w:rsidRPr="00A31137" w:rsidRDefault="00A31137" w:rsidP="00A31137">
      <w:r w:rsidRPr="00A31137">
        <w:t>In January, 1990, Dr. Ira Gore, Jr. (respondent), purchased a black BMW sports sedan for $40,750.88 from an authorized BMW dealer in Birmingham, Alabama. After driving the car for approximately nine months, and without noticing any flaws in its appearance, Dr. Gore took the car to "Slick Finish," an independent detailer, to make it look "'snazzier than it normally would appear.'" 646 So.2d 619, 621 (Ala. 1994). Mr. Slick, the proprietor, detected evidence that the car had been repainted. 1 Convinced that he had been cheated, Dr. Gore brought suit against petitioner BMW of North America (BMW), the American distributor of BMW automobiles. 2 Dr. Gore alleged, inter alia, that the failure to disclose that the car had been repainted constituted suppression of a material fact. 3 The complaint prayed for $500,000 in compensatory and punitive damages, and costs.</w:t>
      </w:r>
    </w:p>
    <w:p w:rsidR="00A31137" w:rsidRPr="00A31137" w:rsidRDefault="00A31137" w:rsidP="00A31137">
      <w:r w:rsidRPr="00A31137">
        <w:t>1996, BMW of North America, Inc. v. Gore, No. 94-896</w:t>
      </w:r>
    </w:p>
    <w:p w:rsidR="00A31137" w:rsidRPr="00A31137" w:rsidRDefault="00A31137" w:rsidP="00A31137">
      <w:r w:rsidRPr="00A31137">
        <w:t>At trial, BMW acknowledged that it had adopted a nationwide policy in 1983 concerning cars that were damaged in the course of manufacture or transportation. If the cost of repairing the damage exceeded 3 percent of the car's suggested retail price, the car was placed in company service for a period of time and then sold as used. If the repair cost did not exceed 3 percent of the suggested retail price, however, the car was sold as new without advising the dealer that any repairs had been made. Because the $601.37 cost of repainting Dr. Gore's car was only about 1.5 percent of its suggested retail price, BMW did not disclose the damage or repair to the Birmingham dealer.</w:t>
      </w:r>
    </w:p>
    <w:p w:rsidR="00A31137" w:rsidRPr="00A31137" w:rsidRDefault="00A31137" w:rsidP="00A31137">
      <w:r w:rsidRPr="00A31137">
        <w:t>1996, BMW of North America, Inc. v. Gore, No. 94-896</w:t>
      </w:r>
    </w:p>
    <w:p w:rsidR="00A31137" w:rsidRPr="00A31137" w:rsidRDefault="00A31137" w:rsidP="00A31137">
      <w:r w:rsidRPr="00A31137">
        <w:t>Dr. Gore asserted that his repainted car was worth less than a car that had not been refinished. To prove his actual damages of $4,000, he relied on the testimony of a former BMW dealer, who estimated that the value of a repainted BMW was approximately 10 percent less than the value of a new car that had not been damaged and repaired. 4 To support his claim for punitive damages, Dr. Gore introduced evidence that, since 1983, BMW had sold 983 refinished cars as new, including 14 in Alabama, without disclosing that the cars had been repainted before sale at a cost of more than $300 per vehicle. 5 Using the actual damage estimate of $4,000 per vehicle, Dr. Gore argued that a punitive award of $4 million would provide an appropriate penalty for selling approximately 1,000 cars for more than they were worth.</w:t>
      </w:r>
    </w:p>
    <w:p w:rsidR="00A31137" w:rsidRPr="00A31137" w:rsidRDefault="00A31137" w:rsidP="00A31137">
      <w:r w:rsidRPr="00A31137">
        <w:t>1996, BMW of North America, Inc. v. Gore, No. 94-896</w:t>
      </w:r>
    </w:p>
    <w:p w:rsidR="00A31137" w:rsidRPr="00A31137" w:rsidRDefault="00A31137" w:rsidP="00A31137">
      <w:r w:rsidRPr="00A31137">
        <w:t>In defense of its disclosure policy, BMW argued that it was under no obligation to disclose repairs of minor damage to new cars, and that Dr. Gore's car was as good as a car with the original factory finish. It disputed Dr. Gore's assertion that the value of the car was impaired by the repainting and argued that this good faith belief made a punitive award inappropriate. BMW also maintained that transactions in jurisdictions other than Alabama had no relevance to Dr. Gore's claim.</w:t>
      </w:r>
    </w:p>
    <w:p w:rsidR="00A31137" w:rsidRPr="00A31137" w:rsidRDefault="00A31137" w:rsidP="00A31137">
      <w:r w:rsidRPr="00A31137">
        <w:t>1996, BMW of North America, Inc. v. Gore, No. 94-896</w:t>
      </w:r>
    </w:p>
    <w:p w:rsidR="00A31137" w:rsidRPr="00A31137" w:rsidRDefault="00A31137" w:rsidP="00A31137">
      <w:r w:rsidRPr="00A31137">
        <w:t>The jury returned a verdict finding BMW liable for compensatory damages of $4,000. In addition, the jury assessed $4 million in punitive damages, based on a determination that the nondisclosure policy constituted "gross, oppressive or malicious" fraud. 6 See Ala.Code §§ 6-11-20, 6-11-21 (1993).</w:t>
      </w:r>
    </w:p>
    <w:p w:rsidR="00A31137" w:rsidRPr="00A31137" w:rsidRDefault="00A31137" w:rsidP="00A31137">
      <w:r w:rsidRPr="00A31137">
        <w:t>1996, BMW of North America, Inc. v. Gore, No. 94-896</w:t>
      </w:r>
    </w:p>
    <w:p w:rsidR="00A31137" w:rsidRPr="00A31137" w:rsidRDefault="00A31137" w:rsidP="00A31137">
      <w:r w:rsidRPr="00A31137">
        <w:t>BMW filed a post-trial motion to set aside the punitive damages award. The company introduced evidence to establish that its nondisclosure policy was consistent with the laws of roughly 25 States defining the disclosure obligations of automobile manufacturers, distributors, and dealers. The most stringent of these statutes required disclosure of repairs costing more than 3 percent of the suggested retail price; none mandated disclosure of less costly repairs. 7 Relying on these statutes, BMW contended that its conduct was lawful in these States and therefore could not provide the basis for an award of punitive damages.</w:t>
      </w:r>
    </w:p>
    <w:p w:rsidR="00A31137" w:rsidRPr="00A31137" w:rsidRDefault="00A31137" w:rsidP="00A31137">
      <w:r w:rsidRPr="00A31137">
        <w:t>1996, BMW of North America, Inc. v. Gore, No. 94-896</w:t>
      </w:r>
    </w:p>
    <w:p w:rsidR="00A31137" w:rsidRPr="00A31137" w:rsidRDefault="00A31137" w:rsidP="00A31137">
      <w:r w:rsidRPr="00A31137">
        <w:t>BMW also drew the court's attention to the fact that its nondisclosure policy had never been adjudged unlawful before this action was filed. Just months before Dr. Gore's case went to trial, the jury in a similar lawsuit filed by another Alabama BMW purchaser found that BMW's failure to disclose paint repair constituted fraud. Yates v. BMW of North America, Inc., 642 So.2d 937 (Ala. 1993). 8 Before the judgment in this case, BMW changed its policy by taking steps to avoid the sale of any refinished vehicles in Alabama and two other States. When the $4 million verdict was returned in this case, BMW promptly instituted a nationwide policy of full disclosure of all repairs, no matter how minor.</w:t>
      </w:r>
    </w:p>
    <w:p w:rsidR="00A31137" w:rsidRPr="00A31137" w:rsidRDefault="00A31137" w:rsidP="00A31137">
      <w:r w:rsidRPr="00A31137">
        <w:t>1996, BMW of North America, Inc. v. Gore, No. 94-896</w:t>
      </w:r>
    </w:p>
    <w:p w:rsidR="00A31137" w:rsidRPr="00A31137" w:rsidRDefault="00A31137" w:rsidP="00A31137">
      <w:r w:rsidRPr="00A31137">
        <w:t>In response to BMW's arguments, Dr. Gore asserted that the policy change demonstrated the efficacy of the punitive damages award. He noted that while no jury had held the policy unlawful, BMW had received a number of customer complaints relating to undisclosed repairs and had settled some lawsuits. 9 Finally, he maintained that the disclosure statutes of other States were irrelevant because BMW had failed to offer any evidence that the disclosure statutes supplanted, rather than supplemented, existing causes of action for common law fraud.</w:t>
      </w:r>
    </w:p>
    <w:p w:rsidR="00A31137" w:rsidRPr="00A31137" w:rsidRDefault="00A31137" w:rsidP="00A31137">
      <w:r w:rsidRPr="00A31137">
        <w:t>1996, BMW of North America, Inc. v. Gore, No. 94-896</w:t>
      </w:r>
    </w:p>
    <w:p w:rsidR="00A31137" w:rsidRPr="00A31137" w:rsidRDefault="00A31137" w:rsidP="00A31137">
      <w:r w:rsidRPr="00A31137">
        <w:t>The trial judge denied BMW's post-trial motion, holding, inter alia, that the award was not excessive. On appeal, the Alabama Supreme Court also rejected BMW's claim that the award exceeded the constitutionally permissible amount. 646 So.2d 619 (1994). The court's excessiveness inquiry applied the factors articulated in Green Oil Co. v. Hornsby, 539 So.2d 218, 223-224 (Ala. 1989), and approved in Pacific Mut. Life Ins. Co. v. Haslip, 499 U.S. 1, 21-22 (1991). 646 So.2d at 624-625. Based on its analysis, the court concluded that BMW's conduct was "reprehensible"; the nondisclosure was profitable for the company; the judgment "would not have a substantial impact upon [BMW's] financial position"; the litigation had been expensive; no criminal sanctions had been imposed on BMW for the same conduct; the award of no punitive damages in Yates reflected "the inherent uncertainty of the trial process"; and the punitive award bore a "reasonable relationship" to "the harm that was likely to occur from [BMW's] conduct as well as…the harm that actually occurred." Id. at 625-627.</w:t>
      </w:r>
    </w:p>
    <w:p w:rsidR="00A31137" w:rsidRPr="00A31137" w:rsidRDefault="00A31137" w:rsidP="00A31137">
      <w:r w:rsidRPr="00A31137">
        <w:t>1996, BMW of North America, Inc. v. Gore, No. 94-896</w:t>
      </w:r>
    </w:p>
    <w:p w:rsidR="00A31137" w:rsidRPr="00A31137" w:rsidRDefault="00A31137" w:rsidP="00A31137">
      <w:r w:rsidRPr="00A31137">
        <w:t>The Alabama Supreme Court did, however, rule in BMW's favor on one critical point: the court found that the jury improperly computed the amount of punitive damages by multiplying Dr. Gore's compensatory damages by the number of similar sales in other jurisdictions. Id. at 627. Having found the verdict tainted, the court held that "a constitutionally reasonable punitive damages award in this case is $2,000,000," id. at 629, and therefore ordered a remittitur in that amount. 10 The court's discussion of the amount of its remitted award expressly disclaimed any reliance on "acts that occurred in other jurisdictions"; instead, the court explained that it had used a "comparative analysis" that considered Alabama cases,</w:t>
      </w:r>
    </w:p>
    <w:p w:rsidR="00A31137" w:rsidRPr="00A31137" w:rsidRDefault="00A31137" w:rsidP="00A31137">
      <w:r w:rsidRPr="00A31137">
        <w:t>1996, BMW of North America, Inc. v. Gore, No. 94-896</w:t>
      </w:r>
    </w:p>
    <w:p w:rsidR="00A31137" w:rsidRPr="00A31137" w:rsidRDefault="00A31137" w:rsidP="00A31137">
      <w:r w:rsidRPr="00A31137">
        <w:t>along with cases from other jurisdictions, involving the sale of an automobile where the seller misrepresented the condition of the vehicle and the jury awarded punitive damages to the purchaser. 11</w:t>
      </w:r>
    </w:p>
    <w:p w:rsidR="00A31137" w:rsidRPr="00A31137" w:rsidRDefault="00A31137" w:rsidP="00A31137">
      <w:r w:rsidRPr="00A31137">
        <w:t>1996, BMW of North America, Inc. v. Gore, No. 94-896</w:t>
      </w:r>
    </w:p>
    <w:p w:rsidR="00A31137" w:rsidRPr="00A31137" w:rsidRDefault="00A31137" w:rsidP="00A31137">
      <w:r w:rsidRPr="00A31137">
        <w:t>Id. at 628.</w:t>
      </w:r>
    </w:p>
    <w:p w:rsidR="00A31137" w:rsidRPr="00A31137" w:rsidRDefault="00A31137" w:rsidP="00A31137">
      <w:r w:rsidRPr="00A31137">
        <w:t>1996, BMW of North America, Inc. v. Gore, No. 94-896</w:t>
      </w:r>
    </w:p>
    <w:p w:rsidR="00A31137" w:rsidRPr="00A31137" w:rsidRDefault="00A31137" w:rsidP="00A31137">
      <w:r w:rsidRPr="00A31137">
        <w:t>Because we believed that a review of this case would help to illuminate "the character of the standard that will identify constitutionally excessive awards" of punitive damages, see Honda Motor Co. v. Oberg, 512 U.S. ___, ___ (1994), we granted certiorari, 513 U.S. ___ (1995).</w:t>
      </w:r>
    </w:p>
    <w:p w:rsidR="00A31137" w:rsidRPr="00A31137" w:rsidRDefault="00A31137" w:rsidP="00A31137">
      <w:r w:rsidRPr="00A31137">
        <w:t>II</w:t>
      </w:r>
    </w:p>
    <w:p w:rsidR="00A31137" w:rsidRPr="00A31137" w:rsidRDefault="00A31137" w:rsidP="00A31137">
      <w:r w:rsidRPr="00A31137">
        <w:t>1996, BMW of North America, Inc. v. Gore, No. 94-896</w:t>
      </w:r>
    </w:p>
    <w:p w:rsidR="00A31137" w:rsidRPr="00A31137" w:rsidRDefault="00A31137" w:rsidP="00A31137">
      <w:r w:rsidRPr="00A31137">
        <w:t>Punitive damages may properly be imposed to further a State's legitimate interests in punishing unlawful conduct and deterring its repetition. Gertz v. Robert Welch, Inc., 418 U.S. 323,  350 (1974); Newport v. Fact Concerts, Inc., 453 U.S. 247, 266-267 (1981); Haslip, 499 U.S. at 22. In our federal system, States necessarily have considerable flexibility in determining the level of punitive damages that they will allow in different classes of cases and in any particular case. Most States that authorize exemplary damages afford the jury similar latitude, requiring only that the damages awarded be reasonably necessary to vindicate the State's legitimate interests in punishment and deterrence. See TXO, 509 U.S. at 456; Haslip, 499 U.S. at 21, 22. Only when an award can fairly be categorized as "grossly excessive" in relation to these interests does it enter the zone of arbitrariness that violates the Due Process Clause of the Fourteenth Amendment. Cf. TXO, 509 U.S. at 456. For that reason, the federal excessiveness inquiry appropriately begins with an identification of the state interests that a punitive award is designed to serve. We therefore focus our attention first on the scope of Alabama's legitimate interests in punishing BMW and deterring it from future misconduct.</w:t>
      </w:r>
    </w:p>
    <w:p w:rsidR="00A31137" w:rsidRPr="00A31137" w:rsidRDefault="00A31137" w:rsidP="00A31137">
      <w:r w:rsidRPr="00A31137">
        <w:t>1996, BMW of North America, Inc. v. Gore, No. 94-896</w:t>
      </w:r>
    </w:p>
    <w:p w:rsidR="00A31137" w:rsidRPr="00A31137" w:rsidRDefault="00A31137" w:rsidP="00A31137">
      <w:r w:rsidRPr="00A31137">
        <w:t>No one doubts that a State may protect its citizens by prohibiting deceptive trade practices and by requiring automobile distributors to disclose presale repairs that affect the value of a new car. But the States need not, and in fact do not, provide such protection in a uniform manner. Some States rely on the judicial process to formulate and enforce an appropriate disclosure requirement by applying principles of contract and tort law. 12 Other States have enacted various forms of legislation that define the disclosure obligations of automobile manufacturers, distributors, and dealers. 13 The result is a patchwork of rules representing the diverse policy judgments of lawmakers in 50 States.</w:t>
      </w:r>
    </w:p>
    <w:p w:rsidR="00A31137" w:rsidRPr="00A31137" w:rsidRDefault="00A31137" w:rsidP="00A31137">
      <w:r w:rsidRPr="00A31137">
        <w:t>1996, BMW of North America, Inc. v. Gore, No. 94-896</w:t>
      </w:r>
    </w:p>
    <w:p w:rsidR="00A31137" w:rsidRPr="00A31137" w:rsidRDefault="00A31137" w:rsidP="00A31137">
      <w:r w:rsidRPr="00A31137">
        <w:t>That diversity demonstrates that reasonable people may disagree about the value of a full disclosure requirement. Some legislatures may conclude that affirmative disclosure requirements are unnecessary because the self-interest of those involved in the automobile trade in developing and maintaining the goodwill of their customers will motivate them to make voluntary disclosures or to refrain from selling cars that do not comply with self-imposed standards. Those legislatures that do adopt affirmative disclosure obligations may take into account the cost of government regulation, choosing to draw a line exempting minor repairs from such a requirement. In formulating a disclosure standard, States may also consider other goals, such as providing a "safe harbor" for automobile manufacturers, distributors, and dealers against lawsuits over minor repairs. 14</w:t>
      </w:r>
    </w:p>
    <w:p w:rsidR="00A31137" w:rsidRPr="00A31137" w:rsidRDefault="00A31137" w:rsidP="00A31137">
      <w:r w:rsidRPr="00A31137">
        <w:t>1996, BMW of North America, Inc. v. Gore, No. 94-896</w:t>
      </w:r>
    </w:p>
    <w:p w:rsidR="00A31137" w:rsidRPr="00A31137" w:rsidRDefault="00A31137" w:rsidP="00A31137">
      <w:r w:rsidRPr="00A31137">
        <w:t>We may assume, arguendo, that it would be wise for every State to adopt Dr. Gore's preferred rule, requiring full disclosure of every presale repair to a car, no matter how trivial and regardless of its actual impact on the value of the car. But while we do not doubt that Congress has ample authority to enact such a policy for the entire Nation, 15 it is clear that no single State could do so, or even impose its own policy choice on neighboring States. See Bonaparte v. Tax Court, 104 U.S. 592, 594 (1881) ("No State can legislate except with reference to its own jurisdiction…. Each State is independent of all the others in this particular"). 16 Similarly, one State's power to impose burdens on the interstate market for automobiles is not only subordinate to the federal power over interstate commerce, Gibbons v. Ogden, 9 Wheat. 1, 194-196 (1824), but is also constrained by the need to respect the interests of other States, see, e.g., Healy v. Beer Institute, 491 U.S. 324, 335-336 (1989) (the Constitution has a "special concern both with the maintenance of a national economic union unfettered by state-imposed limitations on interstate commerce and with the autonomy of the individual States within their respective spheres" (footnote omitted)); Edgar v. MITE Corp., 457 U.S. 624,  643 (1982).</w:t>
      </w:r>
    </w:p>
    <w:p w:rsidR="00A31137" w:rsidRPr="00A31137" w:rsidRDefault="00A31137" w:rsidP="00A31137">
      <w:r w:rsidRPr="00A31137">
        <w:t>1996, BMW of North America, Inc. v. Gore, No. 94-896</w:t>
      </w:r>
    </w:p>
    <w:p w:rsidR="00A31137" w:rsidRPr="00A31137" w:rsidRDefault="00A31137" w:rsidP="00A31137">
      <w:r w:rsidRPr="00A31137">
        <w:t>We think it follows from these principles of state sovereignty and comity that a State may not impose economic sanctions on violators of its laws with the intent of changing the tortfeasors' lawful conduct in other States. 17 Before this Court Dr. Gore argued that the large punitive damages award was necessary to induce BMW to change the nationwide policy that it adopted in 1983. 18 But by attempting to alter BMW's nationwide policy, Alabama would be infringing on the policy choices of other States. To avoid such encroachment, the economic penalties that a State such as Alabama inflicts on those who transgress its laws, whether the penalties take the form of legislatively authorized fines or judicially imposed punitive damages, must be supported by the State's interest in protecting its own consumers and its own economy. Alabama may insist that BMW adhere to a particular disclosure policy in that State. Alabama does not have the power, however, to punish BMW for conduct that was lawful where it occurred and that had no impact on Alabama or its residents. 19 Nor may Alabama impose sanctions on BMW in order to deter conduct that is lawful in other jurisdictions.</w:t>
      </w:r>
    </w:p>
    <w:p w:rsidR="00A31137" w:rsidRPr="00A31137" w:rsidRDefault="00A31137" w:rsidP="00A31137">
      <w:r w:rsidRPr="00A31137">
        <w:t>1996, BMW of North America, Inc. v. Gore, No. 94-896</w:t>
      </w:r>
    </w:p>
    <w:p w:rsidR="00A31137" w:rsidRPr="00A31137" w:rsidRDefault="00A31137" w:rsidP="00A31137">
      <w:r w:rsidRPr="00A31137">
        <w:t>In this case, we accept the Alabama Supreme Court's interpretation of the jury verdict as reflecting a computation of the amount of punitive damages "based in large part on conduct that happened in other jurisdictions." 646 So.2d at 627. As the Alabama Supreme Court noted, neither the jury nor the trial court was presented with evidence that any of BMW's out-of-state conduct was unlawful.</w:t>
      </w:r>
    </w:p>
    <w:p w:rsidR="00A31137" w:rsidRPr="00A31137" w:rsidRDefault="00A31137" w:rsidP="00A31137">
      <w:r w:rsidRPr="00A31137">
        <w:t>1996, BMW of North America, Inc. v. Gore, No. 94-896</w:t>
      </w:r>
    </w:p>
    <w:p w:rsidR="00A31137" w:rsidRPr="00A31137" w:rsidRDefault="00A31137" w:rsidP="00A31137">
      <w:r w:rsidRPr="00A31137">
        <w:t>The only testimony touching the issue showed that approximately 60% of the vehicles that were refinished were sold in states where failure to disclose the repair was not an unfair trade practice.</w:t>
      </w:r>
    </w:p>
    <w:p w:rsidR="00A31137" w:rsidRPr="00A31137" w:rsidRDefault="00A31137" w:rsidP="00A31137">
      <w:r w:rsidRPr="00A31137">
        <w:t>1996, BMW of North America, Inc. v. Gore, No. 94-896</w:t>
      </w:r>
    </w:p>
    <w:p w:rsidR="00A31137" w:rsidRPr="00A31137" w:rsidRDefault="00A31137" w:rsidP="00A31137">
      <w:r w:rsidRPr="00A31137">
        <w:t>Id. at 627, n. 6. 20 The Alabama Supreme Court therefore properly eschewed reliance on BMW's out-of-state conduct, id. at 628, and based its remitted award solely on conduct that occurred within Alabama. 21 The award must be analyzed in the light of the same conduct, with consideration given only to the interests of Alabama consumers, rather than those of the entire Nation. When the scope of the interest in punishment and deterrence that an Alabama court may appropriately consider is properly limited, it is apparent—for reasons that we shall now address—that this award is grossly excessive.</w:t>
      </w:r>
    </w:p>
    <w:p w:rsidR="00A31137" w:rsidRPr="00A31137" w:rsidRDefault="00A31137" w:rsidP="00A31137">
      <w:r w:rsidRPr="00A31137">
        <w:t>III</w:t>
      </w:r>
    </w:p>
    <w:p w:rsidR="00A31137" w:rsidRPr="00A31137" w:rsidRDefault="00A31137" w:rsidP="00A31137">
      <w:r w:rsidRPr="00A31137">
        <w:t>1996, BMW of North America, Inc. v. Gore, No. 94-896</w:t>
      </w:r>
    </w:p>
    <w:p w:rsidR="00A31137" w:rsidRPr="00A31137" w:rsidRDefault="00A31137" w:rsidP="00A31137">
      <w:r w:rsidRPr="00A31137">
        <w:t>Elementary notions of fairness enshrined in our constitutional jurisprudence dictate that a person receive fair notice not only of the conduct that will subject him to punishment, but also of the severity of the penalty that a State may impose. 22 Three guideposts, each of which indicates that BMW did not receive adequate notice of the magnitude of the sanction that Alabama might impose for adhering to the nondisclosure policy adopted in 1983, lead us to the conclusion that the $2 million award against BMW is grossly excessive: the degree of reprehensibility of the nondisclosure; the disparity between the harm or potential harm suffered by Dr. Gore and his punitive damages award; and the difference between this remedy and the civil penalties authorized or imposed in comparable cases. We discuss these considerations in turn.</w:t>
      </w:r>
    </w:p>
    <w:p w:rsidR="00A31137" w:rsidRPr="00A31137" w:rsidRDefault="00A31137" w:rsidP="00A31137">
      <w:r w:rsidRPr="00A31137">
        <w:t>1996, BMW of North America, Inc. v. Gore, No. 94-896</w:t>
      </w:r>
    </w:p>
    <w:p w:rsidR="00A31137" w:rsidRPr="00A31137" w:rsidRDefault="00A31137" w:rsidP="00A31137">
      <w:r w:rsidRPr="00A31137">
        <w:t>Degree of Reprehensibility</w:t>
      </w:r>
    </w:p>
    <w:p w:rsidR="00A31137" w:rsidRPr="00A31137" w:rsidRDefault="00A31137" w:rsidP="00A31137">
      <w:r w:rsidRPr="00A31137">
        <w:t>1996, BMW of North America, Inc. v. Gore, No. 94-896</w:t>
      </w:r>
    </w:p>
    <w:p w:rsidR="00A31137" w:rsidRPr="00A31137" w:rsidRDefault="00A31137" w:rsidP="00A31137">
      <w:r w:rsidRPr="00A31137">
        <w:t>Perhaps the most important indicium of the reasonableness of a punitive damages award is the degree of reprehensibility of the defendant's conduct. 23 As the Court stated nearly 150 years ago, exemplary damages imposed on a defendant should reflect "the enormity of his offense." Day v. Woodworth, 13 How. 363, 371 (1852). See also St. Louis, I. M. &amp; S. R. Co. v. Williams, 251 U.S. 63, 66-67 (1919) (punitive award may not be "wholly disproportioned to the offense"); Browning-Ferris Industries of Vt., Inc. v. Kelco Disposal, Inc., 492 U.S. 257, 301 (1989) (O'CONNOR, J., concurring in part and dissenting in part) (reviewing court "should examine the gravity of the defendant's conduct and the harshness of the award of punitive damages"). 24 This principle reflects the accepted view that some wrongs are more blameworthy than others. Thus, we have said that "nonviolent crimes are less serious than crimes marked by violence or the threat of violence." Solem v. Helm, 463 U.S. 277, 292-293 (1983). Similarly, "trickery and deceit", TXO, 509 U.S. at 462, are more reprehensible than negligence. In TXO, both the West Virginia Supreme Court and the Justices of this Court placed special emphasis on the principle that punitive damages may not be "grossly out of proportion to the severity of the offense." 25 Id. at 453, 462. Indeed, for JUSTICE KENNEDY, the defendant's intentional malice was the decisive element in a "close and difficult" case. Id. at 468. 26</w:t>
      </w:r>
    </w:p>
    <w:p w:rsidR="00A31137" w:rsidRPr="00A31137" w:rsidRDefault="00A31137" w:rsidP="00A31137">
      <w:r w:rsidRPr="00A31137">
        <w:t>1996, BMW of North America, Inc. v. Gore, No. 94-896</w:t>
      </w:r>
    </w:p>
    <w:p w:rsidR="00A31137" w:rsidRPr="00A31137" w:rsidRDefault="00A31137" w:rsidP="00A31137">
      <w:r w:rsidRPr="00A31137">
        <w:t>In this case, none of the aggravating factors associated with particularly reprehensible conduct is present. The harm BMW inflicted on Dr. Gore was purely economic in nature. The presale refinishing of the car had no effect on its performance or safety features, or even its appearance for at least nine months after his purchase. BMW's conduct evinced no indifference to or reckless disregard for the health and safety of others. To be sure, infliction of economic injury, especially when done intentionally through affirmative acts of misconduct, id. at 453, or when the target is financially vulnerable, can warrant a substantial penalty. But this observation does not convert all acts that cause economic harm into torts that are sufficiently reprehensible to justify a significant sanction in addition to compensatory damages.</w:t>
      </w:r>
    </w:p>
    <w:p w:rsidR="00A31137" w:rsidRPr="00A31137" w:rsidRDefault="00A31137" w:rsidP="00A31137">
      <w:r w:rsidRPr="00A31137">
        <w:t>1996, BMW of North America, Inc. v. Gore, No. 94-896</w:t>
      </w:r>
    </w:p>
    <w:p w:rsidR="00A31137" w:rsidRPr="00A31137" w:rsidRDefault="00A31137" w:rsidP="00A31137">
      <w:r w:rsidRPr="00A31137">
        <w:t>Dr. Gore contends that BMW's conduct was particularly reprehensible because nondisclosure of the repairs to his car formed part of a nationwide pattern of tortious conduct. Certainly, evidence that a defendant has repeatedly engaged in prohibited conduct while knowing or suspecting that it was unlawful would provide relevant support for an argument that strong medicine is required to cure the defendant's disrespect for the law. See id. at 462, n. 28. Our holdings that a recidivist may be punished more severely than a first offender recognize that repeated misconduct is more reprehensible than an individual instance of malfeasance. See Gryger v. Burke, 334 U.S. 728, 732 (1948).</w:t>
      </w:r>
    </w:p>
    <w:p w:rsidR="00A31137" w:rsidRPr="00A31137" w:rsidRDefault="00A31137" w:rsidP="00A31137">
      <w:r w:rsidRPr="00A31137">
        <w:t>1996, BMW of North America, Inc. v. Gore, No. 94-896</w:t>
      </w:r>
    </w:p>
    <w:p w:rsidR="00A31137" w:rsidRPr="00A31137" w:rsidRDefault="00A31137" w:rsidP="00A31137">
      <w:r w:rsidRPr="00A31137">
        <w:t>In support of his thesis, Dr. Gore advances two arguments. First, he asserts that the state disclosure statutes supplement, rather than supplant, existing remedies for breach of contract and common law fraud. Thus, according to Dr. Gore, the statutes may not properly be viewed as immunizing from liability the nondisclosure of repairs costing less than the applicable statutory threshold. Brief for Respondent 18-19. Second, Dr. Gore maintains that BMW should have anticipated that its failure to disclose similar repair work could expose it to liability for fraud. Id. at 4-5.</w:t>
      </w:r>
    </w:p>
    <w:p w:rsidR="00A31137" w:rsidRPr="00A31137" w:rsidRDefault="00A31137" w:rsidP="00A31137">
      <w:r w:rsidRPr="00A31137">
        <w:t>1996, BMW of North America, Inc. v. Gore, No. 94-896</w:t>
      </w:r>
    </w:p>
    <w:p w:rsidR="00A31137" w:rsidRPr="00A31137" w:rsidRDefault="00A31137" w:rsidP="00A31137">
      <w:r w:rsidRPr="00A31137">
        <w:t>We recognize, of course, that only state courts may authoritatively construe state statutes. As far as we are aware at the time this action was commenced no state court had explicitly addressed whether its State's disclosure statute provides a safe harbor for nondisclosure of presumptively minor repairs or should be construed instead as supplementing common law duties. 27 A review of the text of the statutes, however, persuades us that in the absence of a state court determination to the contrary, a corporate executive could reasonably interpret the disclosure requirements as establishing safe harbors. In California, for example, the disclosure statute defines "material" damage to a motor vehicle as damage requiring repairs costing in excess of 3 percent of the suggested retail price or $500, whichever is greater. Cal.Veh.Code Ann. § 9990 (West Supp. 1996). The Illinois statute states that in cases in which disclosure is not required, "nondisclosure does not constitute a misrepresentation or omission of fact." Ill.Comp.Stat., ch. 815, § 710/5 (1994). 28 Perhaps the statutes may also be interpreted in another way. We simply emphasize that the record contains no evidence that BMW's decision to follow a disclosure policy that coincided with the strictest extant state statute was sufficiently reprehensible to justify a $2 million award of punitive damages.</w:t>
      </w:r>
    </w:p>
    <w:p w:rsidR="00A31137" w:rsidRPr="00A31137" w:rsidRDefault="00A31137" w:rsidP="00A31137">
      <w:r w:rsidRPr="00A31137">
        <w:t>1996, BMW of North America, Inc. v. Gore, No. 94-896</w:t>
      </w:r>
    </w:p>
    <w:p w:rsidR="00A31137" w:rsidRPr="00A31137" w:rsidRDefault="00A31137" w:rsidP="00A31137">
      <w:r w:rsidRPr="00A31137">
        <w:t>Dr. Gore's second argument for treating BMW as a recidivist is that the company should have anticipated that its actions would be considered fraudulent in some, if not all, jurisdictions. This contention overlooks the fact that actionable fraud requires a material misrepresentation or omission. 29 This qualifier invites line drawing of just the sort engaged in by States with disclosure statutes and by BMW. We do not think it can be disputed that there may exist minor imperfections in the finish of a new car that can be repaired (or indeed, left unrepaired) without materially affecting the car's value. 30 There is no evidence that BMW acted in bad faith when it sought to establish the appropriate line between presumptively minor damage and damage requiring disclosure to purchasers. For this purpose, BMW could reasonably rely on state disclosure statutes for guidance. In this regard, it is also significant that there is no evidence that BMW persisted in a course of conduct after it had been adjudged unlawful on even one occasion, let alone repeated occasions. 31</w:t>
      </w:r>
    </w:p>
    <w:p w:rsidR="00A31137" w:rsidRPr="00A31137" w:rsidRDefault="00A31137" w:rsidP="00A31137">
      <w:r w:rsidRPr="00A31137">
        <w:t>1996, BMW of North America, Inc. v. Gore, No. 94-896</w:t>
      </w:r>
    </w:p>
    <w:p w:rsidR="00A31137" w:rsidRPr="00A31137" w:rsidRDefault="00A31137" w:rsidP="00A31137">
      <w:r w:rsidRPr="00A31137">
        <w:t>Finally, the record in this case discloses no deliberate false statements, acts of affirmative misconduct, or concealment of evidence of improper motive, such as were present in Haslip and TXO. Haslip, 499 U.S. at 5, TXO, 509 U.S. at 453. We accept, of course, the jury's finding that BMW suppressed a material fact which Alabama law obligated it to communicate to prospective purchasers of repainted cars in that State. But the omission of a material fact may be less reprehensible than a deliberate false statement, particularly when there is a good faith basis for believing that no duty to disclose exists.</w:t>
      </w:r>
    </w:p>
    <w:p w:rsidR="00A31137" w:rsidRPr="00A31137" w:rsidRDefault="00A31137" w:rsidP="00A31137">
      <w:r w:rsidRPr="00A31137">
        <w:t>1996, BMW of North America, Inc. v. Gore, No. 94-896</w:t>
      </w:r>
    </w:p>
    <w:p w:rsidR="00A31137" w:rsidRPr="00A31137" w:rsidRDefault="00A31137" w:rsidP="00A31137">
      <w:r w:rsidRPr="00A31137">
        <w:t>That conduct is sufficiently reprehensible to give rise to tort liability, and even a modest award of exemplary damages, does not establish the high degree of culpability that warrants a substantial punitive damages award. Because this case exhibits none of the circumstances ordinarily associated with egregiously improper conduct, we are persuaded that BMW's conduct was not sufficiently reprehensible to warrant imposition of a $2 million exemplary damages award.</w:t>
      </w:r>
    </w:p>
    <w:p w:rsidR="00A31137" w:rsidRPr="00A31137" w:rsidRDefault="00A31137" w:rsidP="00A31137">
      <w:r w:rsidRPr="00A31137">
        <w:t>1996, BMW of North America, Inc. v. Gore, No. 94-896</w:t>
      </w:r>
    </w:p>
    <w:p w:rsidR="00A31137" w:rsidRPr="00A31137" w:rsidRDefault="00A31137" w:rsidP="00A31137">
      <w:r w:rsidRPr="00A31137">
        <w:t>Ratio</w:t>
      </w:r>
    </w:p>
    <w:p w:rsidR="00A31137" w:rsidRPr="00A31137" w:rsidRDefault="00A31137" w:rsidP="00A31137">
      <w:r w:rsidRPr="00A31137">
        <w:t>1996, BMW of North America, Inc. v. Gore, No. 94-896</w:t>
      </w:r>
    </w:p>
    <w:p w:rsidR="00A31137" w:rsidRPr="00A31137" w:rsidRDefault="00A31137" w:rsidP="00A31137">
      <w:r w:rsidRPr="00A31137">
        <w:t>The second and perhaps most commonly cited indicium of an unreasonable or excessive punitive damages award is its ratio to the actual harm inflicted on the plaintiff. See TXO, 509 U.S. at 459; Haslip, 499 U.S. at 23. The principle that exemplary damages must bear a "reasonable relationship" to compensatory damages has a long pedigree. 32 Scholars have identified a number of early English statutes authorizing the award of multiple damages for particular wrongs. Some 65 different enactments during the period between 1275 and 1753 provided for double, treble, or quadruple damages. 33 Our decisions in both Haslip and TXO endorsed the proposition that a comparison between the compensatory award and the punitive award is significant.</w:t>
      </w:r>
    </w:p>
    <w:p w:rsidR="00A31137" w:rsidRPr="00A31137" w:rsidRDefault="00A31137" w:rsidP="00A31137">
      <w:r w:rsidRPr="00A31137">
        <w:t>1996, BMW of North America, Inc. v. Gore, No. 94-896</w:t>
      </w:r>
    </w:p>
    <w:p w:rsidR="00A31137" w:rsidRPr="00A31137" w:rsidRDefault="00A31137" w:rsidP="00A31137">
      <w:r w:rsidRPr="00A31137">
        <w:t>In Haslip we concluded that even though a punitive damages award of "more than 4 times the amount of compensatory damages," might be "close to the line," it did not "cross the line into the area of constitutional impropriety." Haslip, 499 U.S. at 23-24. TXO, following dicta in Haslip, refined this analysis by confirming that the proper inquiry is</w:t>
      </w:r>
    </w:p>
    <w:p w:rsidR="00A31137" w:rsidRPr="00A31137" w:rsidRDefault="00A31137" w:rsidP="00A31137">
      <w:r w:rsidRPr="00A31137">
        <w:t>1996, BMW of North America, Inc. v. Gore, No. 94-896</w:t>
      </w:r>
    </w:p>
    <w:p w:rsidR="00A31137" w:rsidRPr="00A31137" w:rsidRDefault="00A31137" w:rsidP="00A31137">
      <w:r w:rsidRPr="00A31137">
        <w:t>"whether there is a reasonable relationship between the punitive damages award and the harm likely to result from the defendant's conduct as well as the harm that actually has occurred."</w:t>
      </w:r>
    </w:p>
    <w:p w:rsidR="00A31137" w:rsidRPr="00A31137" w:rsidRDefault="00A31137" w:rsidP="00A31137">
      <w:r w:rsidRPr="00A31137">
        <w:t>1996, BMW of North America, Inc. v. Gore, No. 94-896</w:t>
      </w:r>
    </w:p>
    <w:p w:rsidR="00A31137" w:rsidRPr="00A31137" w:rsidRDefault="00A31137" w:rsidP="00A31137">
      <w:r w:rsidRPr="00A31137">
        <w:t>TXO, 509 U.S. at 460 (emphasis in original), quoting Haslip, 499 U.S. at 21. Thus, in upholding the $10 million award in TXO, we relied on the difference between that figure and the harm to the victim that would have ensued if the tortious plan had succeeded. That difference suggested that the relevant ratio was not more than 10 to 1. 34</w:t>
      </w:r>
    </w:p>
    <w:p w:rsidR="00A31137" w:rsidRPr="00A31137" w:rsidRDefault="00A31137" w:rsidP="00A31137">
      <w:r w:rsidRPr="00A31137">
        <w:t>1996, BMW of North America, Inc. v. Gore, No. 94-896</w:t>
      </w:r>
    </w:p>
    <w:p w:rsidR="00A31137" w:rsidRPr="00A31137" w:rsidRDefault="00A31137" w:rsidP="00A31137">
      <w:r w:rsidRPr="00A31137">
        <w:t>The $2 million in punitive damages awarded to Dr. Gore by the Alabama Supreme Court is 500 times the amount of his actual harm as determined by the jury. 35 Moreover, there is no suggestion that Dr. Gore or any other BMW purchaser was threatened with any additional potential harm by BMW's nondisclosure policy. The disparity in this case is thus dramatically greater than those considered in Haslip and TXO. 36</w:t>
      </w:r>
    </w:p>
    <w:p w:rsidR="00A31137" w:rsidRPr="00A31137" w:rsidRDefault="00A31137" w:rsidP="00A31137">
      <w:r w:rsidRPr="00A31137">
        <w:t>1996, BMW of North America, Inc. v. Gore, No. 94-896</w:t>
      </w:r>
    </w:p>
    <w:p w:rsidR="00A31137" w:rsidRPr="00A31137" w:rsidRDefault="00A31137" w:rsidP="00A31137">
      <w:r w:rsidRPr="00A31137">
        <w:t>Of course, we have consistently rejected the notion that the constitutional line is marked by a simple mathematical formula, even one that compares actual and potential damages to the punitive award. TXO, 509 U.S. at 458. 37 Indeed, low awards of compensatory damages may properly support a higher ratio than high compensatory awards, if, for example, a particularly egregious act has resulted in only a small amount of economic damages. A higher ratio may also be justified in cases in which the injury is hard to detect or the monetary value of noneconomic harm might have been difficult to determine. It is appropriate, therefore, to reiterate our rejection of a categorical approach. Once again,</w:t>
      </w:r>
    </w:p>
    <w:p w:rsidR="00A31137" w:rsidRPr="00A31137" w:rsidRDefault="00A31137" w:rsidP="00A31137">
      <w:r w:rsidRPr="00A31137">
        <w:t>1996, BMW of North America, Inc. v. Gore, No. 94-896</w:t>
      </w:r>
    </w:p>
    <w:p w:rsidR="00A31137" w:rsidRPr="00A31137" w:rsidRDefault="00A31137" w:rsidP="00A31137">
      <w:r w:rsidRPr="00A31137">
        <w:t>we return to what we said…in Haslip: "We need not, and indeed we cannot, draw a mathematical bright line between the constitutionally acceptable and the constitutionally unacceptable that would fit every case. We can say, however, that [a] general concer[n] of reasonableness…properly enter[s] into the constitutional calculus.</w:t>
      </w:r>
    </w:p>
    <w:p w:rsidR="00A31137" w:rsidRPr="00A31137" w:rsidRDefault="00A31137" w:rsidP="00A31137">
      <w:r w:rsidRPr="00A31137">
        <w:t>1996, BMW of North America, Inc. v. Gore, No. 94-896</w:t>
      </w:r>
    </w:p>
    <w:p w:rsidR="00A31137" w:rsidRPr="00A31137" w:rsidRDefault="00A31137" w:rsidP="00A31137">
      <w:r w:rsidRPr="00A31137">
        <w:t>TXO, 509 U.S. at 458 (quoting Haslip, 499 U.S. at 18). In most cases, the ratio will be within a constitutionally acceptable range, and remittitur will not be justified on this basis. When the ratio is a breathtaking 500 to 1, however, the award must surely "raise a suspicious judicial eyebrow." TXO, 509 U.S. at 482 (O'CONNOR, J., dissenting).</w:t>
      </w:r>
    </w:p>
    <w:p w:rsidR="00A31137" w:rsidRPr="00A31137" w:rsidRDefault="00A31137" w:rsidP="00A31137">
      <w:r w:rsidRPr="00A31137">
        <w:t>1996, BMW of North America, Inc. v. Gore, No. 94-896</w:t>
      </w:r>
    </w:p>
    <w:p w:rsidR="00A31137" w:rsidRPr="00A31137" w:rsidRDefault="00A31137" w:rsidP="00A31137">
      <w:r w:rsidRPr="00A31137">
        <w:t>Sanctions for Comparable Misconduct</w:t>
      </w:r>
    </w:p>
    <w:p w:rsidR="00A31137" w:rsidRPr="00A31137" w:rsidRDefault="00A31137" w:rsidP="00A31137">
      <w:r w:rsidRPr="00A31137">
        <w:t>1996, BMW of North America, Inc. v. Gore, No. 94-896</w:t>
      </w:r>
    </w:p>
    <w:p w:rsidR="00A31137" w:rsidRPr="00A31137" w:rsidRDefault="00A31137" w:rsidP="00A31137">
      <w:r w:rsidRPr="00A31137">
        <w:t>Comparing the punitive damages award and the civil or criminal penalties that could be imposed for comparable misconduct provides a third indicium of excessiveness. As JUSTICE O'CONNOR has correctly observed, a reviewing court engaged in determining whether an award of punitive damages is excessive should "accord 'substantial deference' to legislative judgments concerning appropriate sanctions for the conduct at issue." Browning-Ferris Industries of Vt., Inc. v. Kelco Disposal, Inc., 492 U.S. at 301 (O'CONNOR, J., concurring in part and dissenting in part). In Haslip, 499 U.S. at 23, the Court noted that, although the exemplary award was "much in excess of the fine that could be imposed," imprisonment was also authorized in the criminal context. 38 In this case, the $2 million economic sanction imposed on BMW is substantially greater than the statutory fines available in Alabama and elsewhere for similar malfeasance.</w:t>
      </w:r>
    </w:p>
    <w:p w:rsidR="00A31137" w:rsidRPr="00A31137" w:rsidRDefault="00A31137" w:rsidP="00A31137">
      <w:r w:rsidRPr="00A31137">
        <w:t>1996, BMW of North America, Inc. v. Gore, No. 94-896</w:t>
      </w:r>
    </w:p>
    <w:p w:rsidR="00A31137" w:rsidRPr="00A31137" w:rsidRDefault="00A31137" w:rsidP="00A31137">
      <w:r w:rsidRPr="00A31137">
        <w:t>The maximum civil penalty authorized by the Alabama Legislature for a violation of its Deceptive Trade Practices Act is $2,000; 39 other States authorize more severe sanctions, with the maxima ranging from $5,000 to $10,000. 40 Significantly, some statutes draw a distinction between first offenders and recidivists; thus, in New York the penalty is $50 for a first offense and $250 for subsequent offenses. None of these statutes would provide an out-of-state distributor with fair notice that the first violation—or, indeed the first 14 violations—of its provisions might subject an offender to a multimillion dollar penalty. Moreover at the time BMW's policy was first challenged, there does not appear to have been any judicial decision in Alabama or elsewhere indicating that application of that policy might give rise to such severe punishment.</w:t>
      </w:r>
    </w:p>
    <w:p w:rsidR="00A31137" w:rsidRPr="00A31137" w:rsidRDefault="00A31137" w:rsidP="00A31137">
      <w:r w:rsidRPr="00A31137">
        <w:t>1996, BMW of North America, Inc. v. Gore, No. 94-896</w:t>
      </w:r>
    </w:p>
    <w:p w:rsidR="00A31137" w:rsidRPr="00A31137" w:rsidRDefault="00A31137" w:rsidP="00A31137">
      <w:r w:rsidRPr="00A31137">
        <w:t>The sanction imposed in this case cannot be justified on the ground that it was necessary to deter future misconduct without considering whether less drastic remedies could be expected to achieve that goal. The fact that a multimillion dollar penalty prompted a change in policy sheds no light on the question whether a lesser deterrent would have adequately protected the interests of Alabama consumers. In the absence of a history of noncompliance with known statutory requirements, there is no basis for assuming that a more modest sanction would not have been sufficient to motivate full compliance with the disclosure requirement imposed by the Alabama Supreme Court in this case.</w:t>
      </w:r>
    </w:p>
    <w:p w:rsidR="00A31137" w:rsidRPr="00A31137" w:rsidRDefault="00A31137" w:rsidP="00A31137">
      <w:r w:rsidRPr="00A31137">
        <w:t>IV</w:t>
      </w:r>
    </w:p>
    <w:p w:rsidR="00A31137" w:rsidRPr="00A31137" w:rsidRDefault="00A31137" w:rsidP="00A31137">
      <w:r w:rsidRPr="00A31137">
        <w:t>1996, BMW of North America, Inc. v. Gore, No. 94-896</w:t>
      </w:r>
    </w:p>
    <w:p w:rsidR="00A31137" w:rsidRPr="00A31137" w:rsidRDefault="00A31137" w:rsidP="00A31137">
      <w:r w:rsidRPr="00A31137">
        <w:t>We assume, as the juries in this case and in the Yates case found, that the undisclosed damage to the new BMW's affected their actual value. Notwithstanding the evidence adduced by BMW in an effort to prove that the repainted cars conformed to the same quality standards as its other cars, we also assume that it knew, or should have known, that as time passed the repainted cars would lose their attractive appearance more rapidly than other BMW's. Moreover, we of course accept the Alabama courts' view that the state interest in protecting its citizens from deceptive trade practices justifies a sanction in addition to the recovery of compensatory damages. We cannot, however, accept the conclusion of the Alabama Supreme Court that BMW's conduct was sufficiently egregious to justify a punitive sanction that is tantamount to a severe criminal penalty.</w:t>
      </w:r>
    </w:p>
    <w:p w:rsidR="00A31137" w:rsidRPr="00A31137" w:rsidRDefault="00A31137" w:rsidP="00A31137">
      <w:r w:rsidRPr="00A31137">
        <w:t>1996, BMW of North America, Inc. v. Gore, No. 94-896</w:t>
      </w:r>
    </w:p>
    <w:p w:rsidR="00A31137" w:rsidRPr="00A31137" w:rsidRDefault="00A31137" w:rsidP="00A31137">
      <w:r w:rsidRPr="00A31137">
        <w:t>The fact that BMW is a large corporation, rather than an impecunious individual, does not diminish its entitlement to fair notice of the demands that the several States impose on the conduct of its business. Indeed, its status as an active participant in the national economy implicates the federal interest in preventing individual States from imposing undue burdens on interstate commerce. While each State has ample power to protect its own consumers, none may use the punitive damages deterrent as a means of imposing its regulatory policies on the entire Nation.</w:t>
      </w:r>
    </w:p>
    <w:p w:rsidR="00A31137" w:rsidRPr="00A31137" w:rsidRDefault="00A31137" w:rsidP="00A31137">
      <w:r w:rsidRPr="00A31137">
        <w:t>1996, BMW of North America, Inc. v. Gore, No. 94-896</w:t>
      </w:r>
    </w:p>
    <w:p w:rsidR="00A31137" w:rsidRPr="00A31137" w:rsidRDefault="00A31137" w:rsidP="00A31137">
      <w:r w:rsidRPr="00A31137">
        <w:t>As in Haslip, we are not prepared to draw a bright line marking the limits of a constitutionally acceptable punitive damages award. Unlike that case, however, we are fully convinced that the grossly excessive award imposed in this case transcends the constitutional limit. 41 Whether the appropriate remedy requires a new trial or merely an independent determination by the Alabama Supreme Court of the award necessary to vindicate the economic interests of Alabama consumers is a matter that should be addressed by the state court in the first instance.</w:t>
      </w:r>
    </w:p>
    <w:p w:rsidR="00A31137" w:rsidRPr="00A31137" w:rsidRDefault="00A31137" w:rsidP="00A31137">
      <w:r w:rsidRPr="00A31137">
        <w:t>1996, BMW of North America, Inc. v. Gore, No. 94-896</w:t>
      </w:r>
    </w:p>
    <w:p w:rsidR="00A31137" w:rsidRPr="00A31137" w:rsidRDefault="00A31137" w:rsidP="00A31137">
      <w:r w:rsidRPr="00A31137">
        <w:t>The judgment is reversed, and the case is remanded for further proceedings not inconsistent with this opinion.</w:t>
      </w:r>
    </w:p>
    <w:p w:rsidR="00A31137" w:rsidRPr="00A31137" w:rsidRDefault="00A31137" w:rsidP="00A31137">
      <w:r w:rsidRPr="00A31137">
        <w:t>1996, BMW of North America, Inc. v. Gore, No. 94-896</w:t>
      </w:r>
    </w:p>
    <w:p w:rsidR="00A31137" w:rsidRPr="00A31137" w:rsidRDefault="00A31137" w:rsidP="00A31137">
      <w:r w:rsidRPr="00A31137">
        <w:t>It is so ordered.</w:t>
      </w:r>
    </w:p>
    <w:p w:rsidR="00A31137" w:rsidRPr="00A31137" w:rsidRDefault="00A31137" w:rsidP="00A31137">
      <w:r w:rsidRPr="00A31137">
        <w:t>BREYER, J., concurring</w:t>
      </w:r>
    </w:p>
    <w:p w:rsidR="00A31137" w:rsidRPr="00A31137" w:rsidRDefault="00A31137" w:rsidP="00A31137">
      <w:r w:rsidRPr="00A31137">
        <w:t>1996, BMW of North America, Inc. v. Gore, No. 94-896</w:t>
      </w:r>
    </w:p>
    <w:p w:rsidR="00A31137" w:rsidRPr="00A31137" w:rsidRDefault="00A31137" w:rsidP="00A31137">
      <w:r w:rsidRPr="00A31137">
        <w:t>JUSTICE BREYER, with whom JUSTICE O'CONNOR and JUSTICE SOUTER join, concurring.</w:t>
      </w:r>
    </w:p>
    <w:p w:rsidR="00A31137" w:rsidRPr="00A31137" w:rsidRDefault="00A31137" w:rsidP="00A31137">
      <w:r w:rsidRPr="00A31137">
        <w:t>1996, BMW of North America, Inc. v. Gore, No. 94-896</w:t>
      </w:r>
    </w:p>
    <w:p w:rsidR="00A31137" w:rsidRPr="00A31137" w:rsidRDefault="00A31137" w:rsidP="00A31137">
      <w:r w:rsidRPr="00A31137">
        <w:t>The Alabama state courts have assessed the defendant $2 million in "punitive damages" for having knowingly failed to tell a BMW automobile buyer that at a cost of $600, it had repainted portions of his new $40,000 car, thereby lowering its potential resale value by about 10%. The Court's opinion, which I join, explains why we have concluded that this award, in this case, was "grossly excessive" in relation to legitimate punitive damages objectives, and hence an arbitrary deprivation of life, liberty, or property in violation of the Due Process Clause. See TXO Production Corp. v. Alliance Resources Corp., 509 U.S. 443, 453, 454 (1993) (A "grossly excessive" punitive award amounts to an "arbitrary deprivation of property without due process of law") (plurality opinion). Members of this Court have generally thought, however, that if "fair procedures were followed, a judgment that is a product of that process is entitled to a strong presumption of validity." Id. at 457. See also Pacific Mut. Life Ins. Co. v. Haslip, 499 U.S. 1, 40-42 (1991) (KENNEDY, J., concurring in judgment). And the Court also has found that punitive damages procedures very similar to those followed here were not, by themselves, fundamentally unfair. Id. at 15-24. Thus, I believe it important to explain why this presumption of validity is overcome in this instance.</w:t>
      </w:r>
    </w:p>
    <w:p w:rsidR="00A31137" w:rsidRPr="00A31137" w:rsidRDefault="00A31137" w:rsidP="00A31137">
      <w:r w:rsidRPr="00A31137">
        <w:t>1996, BMW of North America, Inc. v. Gore, No. 94-896</w:t>
      </w:r>
    </w:p>
    <w:p w:rsidR="00A31137" w:rsidRPr="00A31137" w:rsidRDefault="00A31137" w:rsidP="00A31137">
      <w:r w:rsidRPr="00A31137">
        <w:t>The reason flows from the Court's emphasis in Haslip upon the constitutional importance of legal standards that provide "reasonable constraints" within which "discretion is exercised," that assure "meaningful and adequate review by the trial court whenever a jury has fixed the punitive damages," and permit</w:t>
      </w:r>
    </w:p>
    <w:p w:rsidR="00A31137" w:rsidRPr="00A31137" w:rsidRDefault="00A31137" w:rsidP="00A31137">
      <w:r w:rsidRPr="00A31137">
        <w:t>1996, BMW of North America, Inc. v. Gore, No. 94-896</w:t>
      </w:r>
    </w:p>
    <w:p w:rsidR="00A31137" w:rsidRPr="00A31137" w:rsidRDefault="00A31137" w:rsidP="00A31137">
      <w:r w:rsidRPr="00A31137">
        <w:t>appellate review [that] makes certain that the punitive damages are reasonable in their amount and rational in light of their purpose to punish what has occurred and to deter its repetition.</w:t>
      </w:r>
    </w:p>
    <w:p w:rsidR="00A31137" w:rsidRPr="00A31137" w:rsidRDefault="00A31137" w:rsidP="00A31137">
      <w:r w:rsidRPr="00A31137">
        <w:t>1996, BMW of North America, Inc. v. Gore, No. 94-896</w:t>
      </w:r>
    </w:p>
    <w:p w:rsidR="00A31137" w:rsidRPr="00A31137" w:rsidRDefault="00A31137" w:rsidP="00A31137">
      <w:r w:rsidRPr="00A31137">
        <w:t>Id. at 20-21. See also id. at 18 ("[U]nlimited jury discretion—or unlimited judicial discretion for that matter—in the fixing of punitive damages may invite extreme results that jar one's constitutional sensibilities").</w:t>
      </w:r>
    </w:p>
    <w:p w:rsidR="00A31137" w:rsidRPr="00A31137" w:rsidRDefault="00A31137" w:rsidP="00A31137">
      <w:r w:rsidRPr="00A31137">
        <w:t>1996, BMW of North America, Inc. v. Gore, No. 94-896</w:t>
      </w:r>
    </w:p>
    <w:p w:rsidR="00A31137" w:rsidRPr="00A31137" w:rsidRDefault="00A31137" w:rsidP="00A31137">
      <w:r w:rsidRPr="00A31137">
        <w:t>This constitutional concern, itself harkening back to the Magna Carta, arises out of the basic unfairness of depriving citizens of life, liberty, or property, through the application, not of law and legal processes, but of arbitrary coercion. Daniels v. Williams, 474 U.S. 327,  331 (1986); Dent v. West Virginia, 129 U.S. 114,  123 (1889). Requiring the application of law, rather than a decisionmaker's caprice, does more than simply provide citizens notice of what actions may subject them to punishment; it also helps to assure the uniform general treatment of similarly situated persons that is the essence of law itself. See Railway Express Agency, Inc. v. New York, 336 U.S. 106,  112 (1949) (Jackson, J., concurring) ("[T]here is no more effective practical guaranty against arbitrary and unreasonable government than to require that the principles of law which officials would impose upon a minority must be imposed generally").</w:t>
      </w:r>
    </w:p>
    <w:p w:rsidR="00A31137" w:rsidRPr="00A31137" w:rsidRDefault="00A31137" w:rsidP="00A31137">
      <w:r w:rsidRPr="00A31137">
        <w:t>1996, BMW of North America, Inc. v. Gore, No. 94-896</w:t>
      </w:r>
    </w:p>
    <w:p w:rsidR="00A31137" w:rsidRPr="00A31137" w:rsidRDefault="00A31137" w:rsidP="00A31137">
      <w:r w:rsidRPr="00A31137">
        <w:t>Legal standards need not be precise in order to satisfy this constitutional concern. See Haslip, supra, at 20 (comparing punitive damages standards to such legal standards as "reasonable care," "due diligence," and "best interests of the child") (internal quotation marks omitted). But they must offer some kind of constraint upon a jury or court's discretion, and thus protection against purely arbitrary behavior. The standards the Alabama courts applied here are vague and open-ended to the point where they risk arbitrary results. In my view, although the vagueness of those standards does not, by itself, violate due process, see Haslip, supra, it does invite the kind of scrutiny the Court has given the particular verdict before us. See id. at 18 ("[C]oncerns of…adequate guidance from the court when the case is tried to a jury properly enter into the constitutional calculus"); TXO, supra, at 475 ("[I]t cannot be denied that the lack of clear guidance heightens the risk that arbitrariness, passion, or bias will replace dispassionate deliberation as the basis for the jury's verdict") (O'CONNOR, J., dissenting). This is because the standards, as the Alabama Supreme Court authoritatively interpreted them here, provided no significant constraints or protection against arbitrary results.</w:t>
      </w:r>
    </w:p>
    <w:p w:rsidR="00A31137" w:rsidRPr="00A31137" w:rsidRDefault="00A31137" w:rsidP="00A31137">
      <w:r w:rsidRPr="00A31137">
        <w:t>1996, BMW of North America, Inc. v. Gore, No. 94-896</w:t>
      </w:r>
    </w:p>
    <w:p w:rsidR="00A31137" w:rsidRPr="00A31137" w:rsidRDefault="00A31137" w:rsidP="00A31137">
      <w:r w:rsidRPr="00A31137">
        <w:t>First, the Alabama statute that permits punitive damages does not itself contain a standard that readily distinguishes between conduct warranting very small, and conduct warranting very large, punitive damages awards. That statute permits punitive damages in cases of "oppression, fraud, wantonness, or malice." Ala.Code § 6-11-20(a) (1993). But the statute goes on to define those terms broadly, to encompass far more than the egregious conduct that those terms at first reading, might seem to imply. An intentional misrepresentation, made through a statement or silence, can easily amount to "fraud" sufficient to warrant punitive damages. See § 6-11-20(b)(1) ("Fraud" includes "intentional…concealment of a material fact the concealing party had a duty to disclose, which was gross, oppressive, or malicious and committed with the intention…of thereby depriving a person or entity of property") (emphasis added); § 6-11-20(b)(2)("Malice" includes any "wrongful act without just cause or excuse…[w]ith an intent to injure the…property of another") (emphasis added); § 6-11-20(b)(5) ("Oppression" includes "[s]ubjecting a person to…unjust hardship in conscious disregard of that person's rights"). The statute thereby authorizes punitive damages for the most serious kinds of misrepresentations, say, tricking the elderly out of their life savings, for much less serious conduct, such as the failure to disclose repainting a car at issue here, and for a vast range of conduct in between.</w:t>
      </w:r>
    </w:p>
    <w:p w:rsidR="00A31137" w:rsidRPr="00A31137" w:rsidRDefault="00A31137" w:rsidP="00A31137">
      <w:r w:rsidRPr="00A31137">
        <w:t>1996, BMW of North America, Inc. v. Gore, No. 94-896</w:t>
      </w:r>
    </w:p>
    <w:p w:rsidR="00A31137" w:rsidRPr="00A31137" w:rsidRDefault="00A31137" w:rsidP="00A31137">
      <w:r w:rsidRPr="00A31137">
        <w:t>Second, the Alabama courts, in this case, have applied the "factors" intended to constrain punitive damages awards, in a way that belies that purpose. Green Oil Co. v. Hornsby, 539 So.2d 218 (Ala. 1989), sets forth seven factors that appellate courts use to determine whether or not a jury award was "grossly excessive" and which, in principle, might make up for the lack of significant constraint in the statute. But, as the Alabama courts have authoritatively interpreted them, and as their application in this case illustrates, they impose little actual constraint.</w:t>
      </w:r>
    </w:p>
    <w:p w:rsidR="00A31137" w:rsidRPr="00A31137" w:rsidRDefault="00A31137" w:rsidP="00A31137">
      <w:r w:rsidRPr="00A31137">
        <w:t>1996, BMW of North America, Inc. v. Gore, No. 94-896</w:t>
      </w:r>
    </w:p>
    <w:p w:rsidR="00A31137" w:rsidRPr="00A31137" w:rsidRDefault="00A31137" w:rsidP="00A31137">
      <w:r w:rsidRPr="00A31137">
        <w:t>(a) Green Oil requires that a punitive damages award "bear a reasonable relationship to the harm that is likely to occur from the defendant's conduct as well as to the harm that actually has occurred." Id. at 223. But this standard does little to guide a determination of what counts as a "reasonable" relationship, as this case illustrates. The record evidence of past, present, or likely future harm consists of (a) $4,000 of harm to Dr. Gore's BMW; (b) 13 other similar Alabama instances; and (c) references to about 1,000 similar instances in other States. The Alabama Supreme Court, disregarding BMW's failure to make relevant objection to the out-of-state instances at trial (as was the court's right), held that the last mentioned, out-of-state instances did not count as relevant harm. It went on to find "a reasonable relationship" between the harm and the $2 million punitive damages award without "consider[ing] those acts that occurred in other jurisdictions." 646 So.2d 619, 628 (1995) (emphasis added). For reasons explored by the majority in greater depth, see ante at ___, the relationship between this award and the underlying conduct seems well beyond the bounds of the "reasonable." To find a "reasonable relationship" between purely economic harm totaling $56,000, without significant evidence of future repetition, and a punitive award of $2 million is to empty the "reasonable relationship" test of meaningful content. As thus construed, it does not set forth a legal standard that could have significantly constrained the discretion of Alabama factfinders. (b) Green Oil's second factor is the "degree of reprehensibility" of the defendant's conduct. Green Oil, supra, at 223. Like the "reasonable relationship" test, this factor provides little guidance on how to relate culpability to the size of an award. The Alabama court, in considering this factor, found "reprehensible" that BMW followed a conscious policy of not disclosing repairs to new cars when the cost of repairs amounted to less than 3% of the car's value. Of course, any conscious policy of not disclosing a repair—where one knows the nondisclosure might cost the customer resale value—is "reprehensible" to some degree. But, for the reasons discussed by the majority, ante at ___, I do not see how the Alabama courts could find conduct that (they assumed) caused $56,000 of relevant economic harm especially or unusually reprehensible enough to warrant $2 million in punitive damages, or a significant portion of that award. To find to the contrary, as the Alabama courts did, is not simply unreasonable; it is to make "reprehensibility" a concept without constraining force, i.e., to deprive the concept of its constraining power to protect against serious and capricious deprivations.</w:t>
      </w:r>
    </w:p>
    <w:p w:rsidR="00A31137" w:rsidRPr="00A31137" w:rsidRDefault="00A31137" w:rsidP="00A31137">
      <w:r w:rsidRPr="00A31137">
        <w:t>1996, BMW of North America, Inc. v. Gore, No. 94-896</w:t>
      </w:r>
    </w:p>
    <w:p w:rsidR="00A31137" w:rsidRPr="00A31137" w:rsidRDefault="00A31137" w:rsidP="00A31137">
      <w:r w:rsidRPr="00A31137">
        <w:t>(c) Green Oil's third factor requires "punitive damages" to "remove the profit" of the illegal activity and "be in excess of the profit, so that the defendant recognizes a loss." Green Oil, supra, at 223. This factor has the ability to limit awards to a fixed, rational amount. But as applied, that concept's potential was not realized, for the court did not limit the award to anywhere near the $56,000 in profits evidenced in the record. Given the record's description of the conduct and its prevalence, this factor could not justify much of the $2 million award.</w:t>
      </w:r>
    </w:p>
    <w:p w:rsidR="00A31137" w:rsidRPr="00A31137" w:rsidRDefault="00A31137" w:rsidP="00A31137">
      <w:r w:rsidRPr="00A31137">
        <w:t>1996, BMW of North America, Inc. v. Gore, No. 94-896</w:t>
      </w:r>
    </w:p>
    <w:p w:rsidR="00A31137" w:rsidRPr="00A31137" w:rsidRDefault="00A31137" w:rsidP="00A31137">
      <w:r w:rsidRPr="00A31137">
        <w:t>(d) Green Oil's fourth factor is the "financial position" of the defendant. Ibid. Since a fixed dollar award will punish a poor person more than a wealthy one, one can understand the relevance of this factor to the state's interest in retribution (though not necessarily to its interest in deterrence, given the more distant relation between a defendant's wealth and its responses to economic incentives). See TXO, 509 U.S. at 462, and n. 28 (plurality opinion); id. at 469 (KENNEDY, J., concurring in part and concurring in judgment); Haslip, 499 U.S. at 21-22; Browning-Ferris Industries of Vt., Inc. v. Kelco Disposal, Inc., 492 U.S. 257, 300 (1989) (O'CONNOR, J., concurring in part, dissenting in part). This factor, however, is not necessarily intended to act as a significant constraint on punitive awards. Rather, it provides an open-ended basis for inflating awards when the defendant is wealthy, as this case may illustrate. That does not make its use unlawful or inappropriate; it simply means that this factor cannot make up for the failure of other factors, such as "reprehensibility," to constrain significantly an award that purports to punish a defendant's conduct.</w:t>
      </w:r>
    </w:p>
    <w:p w:rsidR="00A31137" w:rsidRPr="00A31137" w:rsidRDefault="00A31137" w:rsidP="00A31137">
      <w:r w:rsidRPr="00A31137">
        <w:t>1996, BMW of North America, Inc. v. Gore, No. 94-896</w:t>
      </w:r>
    </w:p>
    <w:p w:rsidR="00A31137" w:rsidRPr="00A31137" w:rsidRDefault="00A31137" w:rsidP="00A31137">
      <w:r w:rsidRPr="00A31137">
        <w:t>(e) Green Oil's fifth factor is the "costs of litigation" and the State's desire "to encourage plaintiffs to bring wrongdoers to trial." 539 So.2d at 223. This standard provides meaningful constraint to the extent that the enhancement it authorized is linked to a fixed, ascertainable amount approximating actual costs, even when defined generously to reflect the contingent nature of plaintiffs' victories. But as this case shows, the factor cannot operate as a constraint when an award much in excess of costs is approved for other reasons. An additional aspect of the standard—the need to "encourage plaintiffs to bring wrongdoers to trial"—is a factor that does not constrain, but enhances, discretionary power—especially when unsupported by evidence of a special need to encourage litigation (which the Alabama courts here did not mention).</w:t>
      </w:r>
    </w:p>
    <w:p w:rsidR="00A31137" w:rsidRPr="00A31137" w:rsidRDefault="00A31137" w:rsidP="00A31137">
      <w:r w:rsidRPr="00A31137">
        <w:t>1996, BMW of North America, Inc. v. Gore, No. 94-896</w:t>
      </w:r>
    </w:p>
    <w:p w:rsidR="00A31137" w:rsidRPr="00A31137" w:rsidRDefault="00A31137" w:rsidP="00A31137">
      <w:r w:rsidRPr="00A31137">
        <w:t>(f) Green Oil's sixth factor is whether or not "criminal sanctions have been imposed on the defendant for his conduct." Ibid. This factor did not apply here.</w:t>
      </w:r>
    </w:p>
    <w:p w:rsidR="00A31137" w:rsidRPr="00A31137" w:rsidRDefault="00A31137" w:rsidP="00A31137">
      <w:r w:rsidRPr="00A31137">
        <w:t>1996, BMW of North America, Inc. v. Gore, No. 94-896</w:t>
      </w:r>
    </w:p>
    <w:p w:rsidR="00A31137" w:rsidRPr="00A31137" w:rsidRDefault="00A31137" w:rsidP="00A31137">
      <w:r w:rsidRPr="00A31137">
        <w:t>(g) Green Oil's seventh factor requires that "other civil actions" filed "against the same defendant, based on the same conduct" be considered in mitigation. Id. at 224. That factor did not apply here.</w:t>
      </w:r>
    </w:p>
    <w:p w:rsidR="00A31137" w:rsidRPr="00A31137" w:rsidRDefault="00A31137" w:rsidP="00A31137">
      <w:r w:rsidRPr="00A31137">
        <w:t>1996, BMW of North America, Inc. v. Gore, No. 94-896</w:t>
      </w:r>
    </w:p>
    <w:p w:rsidR="00A31137" w:rsidRPr="00A31137" w:rsidRDefault="00A31137" w:rsidP="00A31137">
      <w:r w:rsidRPr="00A31137">
        <w:t>Thus, the first, second, and third Green Oil factors, in principle, might sometimes act as constraints on arbitrary behavior. But as the Alabama courts interpreted those standards in this case, even taking those three factors together, they could not have significantly constrained the court system's ability to impose "grossly excessive" awards.</w:t>
      </w:r>
    </w:p>
    <w:p w:rsidR="00A31137" w:rsidRPr="00A31137" w:rsidRDefault="00A31137" w:rsidP="00A31137">
      <w:r w:rsidRPr="00A31137">
        <w:t>1996, BMW of North America, Inc. v. Gore, No. 94-896</w:t>
      </w:r>
    </w:p>
    <w:p w:rsidR="00A31137" w:rsidRPr="00A31137" w:rsidRDefault="00A31137" w:rsidP="00A31137">
      <w:r w:rsidRPr="00A31137">
        <w:t>Third, the state courts neither referred to, nor made any effort to find, nor enunciated any other standard, that either directly, or indirectly as background, might have supplied the constraining legal force that the statute and Green Oil standards (as interpreted here) lack. Dr. Gore did argue to the jury an economic theory based on the need to offset the totality of the harm that the defendant's conduct caused. Some theory of that general kind might have provided a significant constraint on arbitrary awards (at least where confined to the relevant harm-causing conduct, see ante at ___). Some economists, for example, have argued for a standard that would deter illegal activity causing solely economic harm through the use of punitive damages awards that, as a whole, would take from a wrongdoer the total cost of the harm caused. See, e.g., S. Shavell, Economic Analysis of Accident Law 162 (1987) ("If liability equals losses caused multiplied by…the inverse of the probability of suit, injurers will act optimally under liability rules despite the chance that they will escape suit"); Cooter, Punitive Damages for Deterrence: When and How Much, 40 Ala.L.Rev. 1143, 1146-1148 (1989). My understanding of the intuitive essence of some of those theories, which I put in crude form (leaving out various qualifications), is that they could permit juries to calculate punitive damages by making a rough estimate of global harm, dividing that estimate by a similarly rough estimate of the number of successful lawsuits that would likely be brought, and adding generous attorneys fees and other costs. Smaller damages would not sufficiently discourage firms from engaging in the harmful conduct, while larger damages would "over-deter" by leading potential defendants to spend more to prevent the activity that causes the economic harm, say, through employee training, than the cost of the harm itself. See Galligan, Augmented Awards: The Efficient Evolution of Punitive Damages, 51 La.L.Rev. 3, 17-20, 28-30 (1990). Larger damages might also "double count" by including in the punitive damages award some of the compensatory, or punitive, damages that subsequent plaintiffs would also recover. The record before us, however, contains nothing suggesting that the Alabama Supreme Court, when determining the allowable award, applied any "economic" theory that might explain the $2 million recovery. Cf. Browning-Ferris, supra, at 300 (noting that the Constitution "does not incorporate the views of the Law and Economics School," nor does it "'require the States to subscribe to any particular economic theory'") (O'CONNOR, J., concurring in part and dissenting in part) (quoting CTS Corp. v. Dynamics Corp. of America, 481 U.S. 69,  92 (1987)). And courts properly tend to judge the rationality of judicial actions in terms of the reasons that were given, and the facts that were before the court, cf. TXO, 509 U.S. at 468 (KENNEDY, J., concurring in part and concurring in judgment), not those that might have been given on the basis of some conceivable set of facts (unlike the rationality of economic statutes enacted by legislatures subject to the public's control through the ballot box, see, e.g., FCC v. Beach Communications, Inc., 508 U.S. 307, 315 (1993)). Therefore, reference to a constraining "economic" theory, which might have counseled more deferential review by this Court, is lacking in this case.</w:t>
      </w:r>
    </w:p>
    <w:p w:rsidR="00A31137" w:rsidRPr="00A31137" w:rsidRDefault="00A31137" w:rsidP="00A31137">
      <w:r w:rsidRPr="00A31137">
        <w:t>1996, BMW of North America, Inc. v. Gore, No. 94-896</w:t>
      </w:r>
    </w:p>
    <w:p w:rsidR="00A31137" w:rsidRPr="00A31137" w:rsidRDefault="00A31137" w:rsidP="00A31137">
      <w:r w:rsidRPr="00A31137">
        <w:t>Fourth, I cannot find any community understanding or historic practice that this award might exemplify and which, therefore, would provide background standards constraining arbitrary behavior and excessive awards. A punitive damages award of $2 million for intentional misrepresentation causing $56,000 of harm is extraordinary by historical standards, and, as far as I am aware, finds no analogue until relatively recent times. Amici for Dr. Gore attempt to show that this is not true, pointing to various historical cases which, according to their calculations, represented roughly equivalent punitive awards for similarly culpable conduct. See Brief for James D. A. Boyle et al. as Amici Curiae 4-5 (hereinafter Legal Historians' Brief). Among others, they cite Wilkes v. Wood, Lofft 1, 98 Eng.Rep. 489 (C.P. 1763) (£ 1,000 said to be equivalent of $1.5 million, for warrantless search of papers); Huckle v. Money, 2 Wills. 205, 95 Eng.Rep. 768 (K.B. 1763) (£ 300, said to be $450,000, for 6-hour false imprisonment); Hewlett v. Cruchley, 5 Taunt. 277, 128 Eng.Rep. 696 (C.P. 1813) (£ 2,000, said to be $680,000, for malicious prosecution); Merest v. Harvey, 5 Taunt. 442, 128 Eng.Rep. 761 (C.P. 1814) (£ 500, said to be $165,000, for poaching). But amici apparently base their conversions on a mathematical assumption, namely that inflation has progressed at a constant 3% rate of inflation. See Legal Historians' Brief 4. In fact, consistent, cumulative inflation is a modern phenomenon. See McCusker, How Much Is That in Real Money? A Historical Price Index for Use as a Deflator of Money Values in the Economy of the United States, 101 Proceedings of American Antiquarian Society 297, 310, 323-332 (1992). Estimates based on historical rates of valuation, while highly approximate, suggest that the ancient extraordinary awards are small compared to the $2 million here at issue, or other modern punitive damages figures. See Appendix to this opinion, infra at ___ (suggesting that the modern equivalent of the awards in the above cases is something like $150,000, $45,000, $100,000, and $25,000 respectively). And, as the majority opinion makes clear, the record contains nothing to suggest that the extraordinary size of the award in this case is explained by the extraordinary wrongfulness of the defendant's behavior, measured by historical or community standards, rather than arbitrariness or caprice.</w:t>
      </w:r>
    </w:p>
    <w:p w:rsidR="00A31137" w:rsidRPr="00A31137" w:rsidRDefault="00A31137" w:rsidP="00A31137">
      <w:r w:rsidRPr="00A31137">
        <w:t>1996, BMW of North America, Inc. v. Gore, No. 94-896</w:t>
      </w:r>
    </w:p>
    <w:p w:rsidR="00A31137" w:rsidRPr="00A31137" w:rsidRDefault="00A31137" w:rsidP="00A31137">
      <w:r w:rsidRPr="00A31137">
        <w:t>Fifth, there are no other legislative enactments here that classify awards and impose quantitative limits that would significantly cabin the fairly unbounded discretion created by the absence of constraining legal standards. Cf., e.g., Tex.Civ.Prac. &amp; Rem.Code Ann. § 41.008 (Supp. 1996) (punitive damages generally limited to greater of double damages, or $200,000, except cap does not apply to suits arising from certain serious criminal acts enumerated in the statute); Conn.Gen.Stat. § 52-240b (1995) (punitive damages may not exceed double compensatory damages in product liability cases); Fla.Stat. § 768.73(1) (Supp. 1993) (punitive damages in certain actions limited to treble compensatory damages); Ga.Code.Ann. § 51-12-5.1(g) (Supp. 1995) ($250,000 cap in certain actions).</w:t>
      </w:r>
    </w:p>
    <w:p w:rsidR="00A31137" w:rsidRPr="00A31137" w:rsidRDefault="00A31137" w:rsidP="00A31137">
      <w:r w:rsidRPr="00A31137">
        <w:t>1996, BMW of North America, Inc. v. Gore, No. 94-896</w:t>
      </w:r>
    </w:p>
    <w:p w:rsidR="00A31137" w:rsidRPr="00A31137" w:rsidRDefault="00A31137" w:rsidP="00A31137">
      <w:r w:rsidRPr="00A31137">
        <w:t>The upshot is that the rules that purport to channel discretion in this kind of case, here did not do so in fact. That means that the award in this case was both (a) the product of a system of standards that did not significantly constrain a court's, and hence a jury's, discretion in making that award; and (b) was grossly excessive in light of the State's legitimate punitive damages objectives.</w:t>
      </w:r>
    </w:p>
    <w:p w:rsidR="00A31137" w:rsidRPr="00A31137" w:rsidRDefault="00A31137" w:rsidP="00A31137">
      <w:r w:rsidRPr="00A31137">
        <w:t>1996, BMW of North America, Inc. v. Gore, No. 94-896</w:t>
      </w:r>
    </w:p>
    <w:p w:rsidR="00A31137" w:rsidRPr="00A31137" w:rsidRDefault="00A31137" w:rsidP="00A31137">
      <w:r w:rsidRPr="00A31137">
        <w:t>The first of these reasons has special importance where courts review a jury-determined punitive damages award. That is because one cannot expect to direct jurors like legislators through the ballot box; nor can one expect those jurors to interpret law like judges, who work within a discipline and hierarchical organization that normally promotes roughly uniform interpretation and application of the law. Yet here Alabama expects jurors to act at least a little, like legislators or judges, for it permits them, to a certain extent, to create public policy and to apply that policy, not to compensate a victim, but to achieve a policy-related objective outside the confines of the particular case.</w:t>
      </w:r>
    </w:p>
    <w:p w:rsidR="00A31137" w:rsidRPr="00A31137" w:rsidRDefault="00A31137" w:rsidP="00A31137">
      <w:r w:rsidRPr="00A31137">
        <w:t>1996, BMW of North America, Inc. v. Gore, No. 94-896</w:t>
      </w:r>
    </w:p>
    <w:p w:rsidR="00A31137" w:rsidRPr="00A31137" w:rsidRDefault="00A31137" w:rsidP="00A31137">
      <w:r w:rsidRPr="00A31137">
        <w:t>To the extent that neither clear legal principles, nor fairly obvious historical or community-based standards (defining, say, especially egregious behavior) significantly constrain punitive damages awards, is there not a substantial risk of outcomes so arbitrary that they become difficult to square with the Constitution's assurance, to every citizen, of the law's protection? The standards here, as authoritatively interpreted, in my view, make this threat real and not theoretical. And, in these unusual circumstances, where legal standards offer virtually no constraint, I believe that this lack of constraining standards warrants this Court's detailed examination of the award.</w:t>
      </w:r>
    </w:p>
    <w:p w:rsidR="00A31137" w:rsidRPr="00A31137" w:rsidRDefault="00A31137" w:rsidP="00A31137">
      <w:r w:rsidRPr="00A31137">
        <w:t>1996, BMW of North America, Inc. v. Gore, No. 94-896</w:t>
      </w:r>
    </w:p>
    <w:p w:rsidR="00A31137" w:rsidRPr="00A31137" w:rsidRDefault="00A31137" w:rsidP="00A31137">
      <w:r w:rsidRPr="00A31137">
        <w:t>The second reason—the severe disproportionality between the award and the legitimate punitive damages objectives—reflects a judgment about a matter of degree. I recognize that it is often difficult to determine just when a punitive award exceeds an amount reasonably related to a State's legitimate interests, or when that excess is so great as to amount to a matter of constitutional concern. Yet whatever the difficulties of drawing a precise line, once we examine the award in this case, it is not difficult to say that this award lies on the line's far side. The severe lack of proportionality between the size of the award and the underlying punitive damages objectives shows that the award falls into the category of "gross excessiveness" set forth in this Court's prior cases.conclude that the award in this unusual case violates the basic guarantee of nonarbitrary governmental behavior that the Due Process Clause provides.</w:t>
      </w:r>
    </w:p>
    <w:p w:rsidR="00A31137" w:rsidRPr="00A31137" w:rsidRDefault="00A31137" w:rsidP="00A31137">
      <w:r w:rsidRPr="00A31137">
        <w:t>APPENDIX TO OPINION OF BREYER, J.</w:t>
      </w:r>
    </w:p>
    <w:p w:rsidR="00A31137" w:rsidRPr="00A31137" w:rsidRDefault="00A31137" w:rsidP="00A31137">
      <w:r w:rsidRPr="00A31137">
        <w:t>1996, BMW of North America, Inc. v. Gore, No. 94-896</w:t>
      </w:r>
    </w:p>
    <w:p w:rsidR="00A31137" w:rsidRPr="00A31137" w:rsidRDefault="00A31137" w:rsidP="00A31137">
      <w:r w:rsidRPr="00A31137">
        <w:t xml:space="preserve"> Although I recognize that all estimates of historic rates of inflation are subject to dispute, including, I assume, the sources below, those sources suggest that the value of the eighteenth and nineteenth century judgments cited by amici is much less than the figures amici arrived at under their presumption of a constant 3% rate of inflation.</w:t>
      </w:r>
    </w:p>
    <w:p w:rsidR="00A31137" w:rsidRPr="00A31137" w:rsidRDefault="00A31137" w:rsidP="00A31137">
      <w:r w:rsidRPr="00A31137">
        <w:t>1996, BMW of North America, Inc. v. Gore, No. 94-896</w:t>
      </w:r>
    </w:p>
    <w:p w:rsidR="00A31137" w:rsidRPr="00A31137" w:rsidRDefault="00A31137" w:rsidP="00A31137">
      <w:r w:rsidRPr="00A31137">
        <w:t xml:space="preserve"> In 1763, £ 1 (Eng.) was worth £ 1.73 Pennsylvania currency. See U.S. Bureau of the Census, Historical Statistics of the United States: Colonial Times to 1970, Series Z-585, p. 1198 (Bicentennial ed. 1975). For the period 1766-1772, £ 1 (Penn.) was worth $45.99 (U.S. 1991). See McCusker, How Much Is That in Real Money? A Historical Price Index for Use as a Deflator of Money Values in the Economy of the United States, 101 American Antiquarian Society 297, 333 (1992). Thus, £ 1 (Eng. 1763) is worth about $79.56 (U.S. 1991). Accounting for the 12% inflation of the U.S. dollar between 1991 and 1995 (when amici filed their brief), see Economic Indicators, 104th Cong.,2d Sess., p. 23 (Feb. 1996), £ 1 (Eng. 1763) is worth about $89.11 (U.S. 1995).</w:t>
      </w:r>
    </w:p>
    <w:p w:rsidR="00A31137" w:rsidRPr="00A31137" w:rsidRDefault="00A31137" w:rsidP="00A31137">
      <w:r w:rsidRPr="00A31137">
        <w:t>1996, BMW of North America, Inc. v. Gore, No. 94-896</w:t>
      </w:r>
    </w:p>
    <w:p w:rsidR="00A31137" w:rsidRPr="00A31137" w:rsidRDefault="00A31137" w:rsidP="00A31137">
      <w:r w:rsidRPr="00A31137">
        <w:t xml:space="preserve"> Calculated another way, £ 1 (Eng. 1763) is worth about £ 72.84 (Eng. 1991). See McCusker, supra, at 312, 342, 350. And £ 1 (Eng. 1991) is worth $1.77 (U.S. 1991). See 78 Fed.Reserve Bulletin A68 (Feb. 1992). Thus, £ 1 (Eng. 1763) amounts to about $128.93 (U.S. 1991). Again, accounting for inflation between 1991 and 1995, this amounts to about $144.40 (U.S. 1995).</w:t>
      </w:r>
    </w:p>
    <w:p w:rsidR="00A31137" w:rsidRPr="00A31137" w:rsidRDefault="00A31137" w:rsidP="00A31137">
      <w:r w:rsidRPr="00A31137">
        <w:t>1996, BMW of North America, Inc. v. Gore, No. 94-896</w:t>
      </w:r>
    </w:p>
    <w:p w:rsidR="00A31137" w:rsidRPr="00A31137" w:rsidRDefault="00A31137" w:rsidP="00A31137">
      <w:r w:rsidRPr="00A31137">
        <w:t xml:space="preserve"> Thus, the above sources suggest that the £ 1,000 award in Wilkes in 1763 roughly amounts to between $89,110 and $144,440 today, not $1.5 million. And the £ 300 award in Huckle that same year would seem to be worth between $26,733 and $43,320 today, not $450,000.</w:t>
      </w:r>
    </w:p>
    <w:p w:rsidR="00A31137" w:rsidRPr="00A31137" w:rsidRDefault="00A31137" w:rsidP="00A31137">
      <w:r w:rsidRPr="00A31137">
        <w:t>1996, BMW of North America, Inc. v. Gore, No. 94-896</w:t>
      </w:r>
    </w:p>
    <w:p w:rsidR="00A31137" w:rsidRPr="00A31137" w:rsidRDefault="00A31137" w:rsidP="00A31137">
      <w:r w:rsidRPr="00A31137">
        <w:t>For the period of the Hewlett and Merest decisions, £ 1 (Eng. 1813) is worth about £ 25.3 (Eng. 1991). See McCusker, supra, at 344, 350. Using the 1991 exchange rate, £ 1 (Eng. 1813) is worth about $44.78 (U.S. 1991). Accounting for inflation between 1991 and 1995, this amounts to about $50.16 (U.S. 1995).</w:t>
      </w:r>
    </w:p>
    <w:p w:rsidR="00A31137" w:rsidRPr="00A31137" w:rsidRDefault="00A31137" w:rsidP="00A31137">
      <w:r w:rsidRPr="00A31137">
        <w:t>1996, BMW of North America, Inc. v. Gore, No. 94-896</w:t>
      </w:r>
    </w:p>
    <w:p w:rsidR="00A31137" w:rsidRPr="00A31137" w:rsidRDefault="00A31137" w:rsidP="00A31137">
      <w:r w:rsidRPr="00A31137">
        <w:t xml:space="preserve"> Thus, the £ 2,000 and £ 500 awards in Hewlett and Merest would seem to be closer to $100,320 and $25,080, respectively, than to amici's estimates of $680,000 and $165,000.</w:t>
      </w:r>
    </w:p>
    <w:p w:rsidR="00A31137" w:rsidRPr="00A31137" w:rsidRDefault="00A31137" w:rsidP="00A31137">
      <w:r w:rsidRPr="00A31137">
        <w:t>SCALIA, J., dissenting</w:t>
      </w:r>
    </w:p>
    <w:p w:rsidR="00A31137" w:rsidRPr="00A31137" w:rsidRDefault="00A31137" w:rsidP="00A31137">
      <w:r w:rsidRPr="00A31137">
        <w:t>1996, BMW of North America, Inc. v. Gore, No. 94-896</w:t>
      </w:r>
    </w:p>
    <w:p w:rsidR="00A31137" w:rsidRPr="00A31137" w:rsidRDefault="00A31137" w:rsidP="00A31137">
      <w:r w:rsidRPr="00A31137">
        <w:t>JUSTICE SCALIA, with whom JUSTICE THOMAS joins, dissenting.</w:t>
      </w:r>
    </w:p>
    <w:p w:rsidR="00A31137" w:rsidRPr="00A31137" w:rsidRDefault="00A31137" w:rsidP="00A31137">
      <w:r w:rsidRPr="00A31137">
        <w:t>1996, BMW of North America, Inc. v. Gore, No. 94-896</w:t>
      </w:r>
    </w:p>
    <w:p w:rsidR="00A31137" w:rsidRPr="00A31137" w:rsidRDefault="00A31137" w:rsidP="00A31137">
      <w:r w:rsidRPr="00A31137">
        <w:t>Today we see the latest manifestation of this Court's recent and increasingly insistent "concern about punitive damages that 'run wild.'" Pacific Mut. Life Ins. Co. v. Haslip, 499 U.S. 1, 18 (1991). Since the Constitution does not make that concern any of our business, the Court's activities in this area are an unjustified incursion into the province of state governments.</w:t>
      </w:r>
    </w:p>
    <w:p w:rsidR="00A31137" w:rsidRPr="00A31137" w:rsidRDefault="00A31137" w:rsidP="00A31137">
      <w:r w:rsidRPr="00A31137">
        <w:t>1996, BMW of North America, Inc. v. Gore, No. 94-896</w:t>
      </w:r>
    </w:p>
    <w:p w:rsidR="00A31137" w:rsidRPr="00A31137" w:rsidRDefault="00A31137" w:rsidP="00A31137">
      <w:r w:rsidRPr="00A31137">
        <w:t>In earlier cases that were the prelude to this decision, I set forth my view that a state trial procedure that commits the decision whether to impose punitive damages, and the amount, to the discretion of the jury, subject to some judicial review for "reasonableness," furnishes a defendant with all the process that is "due." See TXO Production Corp. v. Alliance Resources Corp., 509 U.S. 443, 470 (1993) (SCALIA, J., concurring in judgment); Haslip, supra, at 25-28 (SCALIA, J., concurring in judgment); cf. Honda Motor Co. v. Oberg, 512 U.S. ___, ___ (1994) (SCALIA, J., concurring). I do not regard the Fourteenth Amendment's Due Process Clause as a secret repository of substantive guarantees against "unfairness"—neither the unfairness of an excessive civil compensatory award nor the unfairness of an "unreasonable" punitive award. What the Fourteenth Amendment's procedural guarantee assures is an opportunity to contest the reasonableness of a damages judgment in state court; but there is no federal guarantee a damages award actually be reasonable. See TXO, supra, at 471 (SCALIA, J., concurring in judgment).</w:t>
      </w:r>
    </w:p>
    <w:p w:rsidR="00A31137" w:rsidRPr="00A31137" w:rsidRDefault="00A31137" w:rsidP="00A31137">
      <w:r w:rsidRPr="00A31137">
        <w:t>1996, BMW of North America, Inc. v. Gore, No. 94-896</w:t>
      </w:r>
    </w:p>
    <w:p w:rsidR="00A31137" w:rsidRPr="00A31137" w:rsidRDefault="00A31137" w:rsidP="00A31137">
      <w:r w:rsidRPr="00A31137">
        <w:t>This view, which adheres to the text of the Due Process Clause, has not prevailed in our punitive damages cases. See TXO Production Corp. v. Alliance Resources Corp., 509 U.S. at 453-462 (plurality opinion); id. at 478-481 (O'CONNOR, J., dissenting); Haslip, supra, at 18. When, however, a constitutional doctrine adopted by the Court is not only mistaken but also insusceptible of principled application, I do not feel bound to give it stare decisis effect—indeed, I do not feel justified in doing so. See, e.g., Witte v. United States, 515 U.S. ___, ___ (1995) (SCALIA, J., concurring in judgment); Walton v. Arizona, 497 U.S. 639, 673 (1990) (SCALIA, J., concurring in judgment in part and dissenting in part). Our punitive damages jurisprudence compels such a response. The Constitution provides no warrant for federalizing yet another aspect of our Nation's legal culture (no matter how much in need of correction it may be), and the application of the Court's new rule of constitutional law is constrained by no principle other than the Justices' subjective assessment of the "reasonableness" of the award in relation to the conduct for which it was assessed.</w:t>
      </w:r>
    </w:p>
    <w:p w:rsidR="00A31137" w:rsidRPr="00A31137" w:rsidRDefault="00A31137" w:rsidP="00A31137">
      <w:r w:rsidRPr="00A31137">
        <w:t>1996, BMW of North America, Inc. v. Gore, No. 94-896</w:t>
      </w:r>
    </w:p>
    <w:p w:rsidR="00A31137" w:rsidRPr="00A31137" w:rsidRDefault="00A31137" w:rsidP="00A31137">
      <w:r w:rsidRPr="00A31137">
        <w:t>Because today's judgment represents the first instance of this Court's invalidation of a state court punitive assessment as simply unreasonably large, I think it a proper occasion to discuss these points at some length.</w:t>
      </w:r>
    </w:p>
    <w:p w:rsidR="00A31137" w:rsidRPr="00A31137" w:rsidRDefault="00A31137" w:rsidP="00A31137">
      <w:r w:rsidRPr="00A31137">
        <w:t>I</w:t>
      </w:r>
    </w:p>
    <w:p w:rsidR="00A31137" w:rsidRPr="00A31137" w:rsidRDefault="00A31137" w:rsidP="00A31137">
      <w:r w:rsidRPr="00A31137">
        <w:t>1996, BMW of North America, Inc. v. Gore, No. 94-896</w:t>
      </w:r>
    </w:p>
    <w:p w:rsidR="00A31137" w:rsidRPr="00A31137" w:rsidRDefault="00A31137" w:rsidP="00A31137">
      <w:r w:rsidRPr="00A31137">
        <w:t>The most significant aspects of today's decision—the identification of a "substantive due process" right against a "grossly excessive" award, and the concomitant assumption of ultimate authority to decide anew a matter of "reasonableness" resolved in lower court proceedings—are, of course, not new. Haslip and TXO revived the notion, moribund since its appearance in the first years of this century, that the measure of civil punishment poses a question of constitutional dimension to be answered by this Court. Neither of those cases, however, nor any of the precedents upon which they relied, actually took the step of declaring a punitive award unconstitutional simply because it was "too big." At the time of adoption of the Fourteenth Amendment, it was well understood that punitive damages represent the assessment by the jury, as the voice of the community, of the measure of punishment the defendant deserved. See, e.g., Barry v. Edmunds, 116 U.S. 550, 565 (1886); Missouri Pacific R. Co. v. Humes, 115 U.S. 512, 521 (1885); Day v. Woodworth, 13 How. 363, 371 (1852). See generally Haslip, supra, at 25-27 (SCALIA, J., concurring in judgment). Today's decision, though dressed up as a legal opinion, is really no more than a disagreement with the community's sense of indignation or outrage expressed in the punitive award of the Alabama jury, as reduced by the State Supreme Court. It reflects not merely, as the concurrence candidly acknowledges, "a judgment about a matter of degree," ante at ___; but a judgment about the appropriate degree of indignation or outrage, which is hardly an analytical determination.</w:t>
      </w:r>
    </w:p>
    <w:p w:rsidR="00A31137" w:rsidRPr="00A31137" w:rsidRDefault="00A31137" w:rsidP="00A31137">
      <w:r w:rsidRPr="00A31137">
        <w:t>1996, BMW of North America, Inc. v. Gore, No. 94-896</w:t>
      </w:r>
    </w:p>
    <w:p w:rsidR="00A31137" w:rsidRPr="00A31137" w:rsidRDefault="00A31137" w:rsidP="00A31137">
      <w:r w:rsidRPr="00A31137">
        <w:t>There is no precedential warrant for giving our judgment priority over the judgment of state courts and juries on this matter. The only support for the Court's position is to be found in a handful of errant federal cases, bunched within a few years of one other, which invented the notion that an unfairly severe civil sanction amounts to a violation of constitutional liberties. These were the decisions upon which the TXO plurality relied in pronouncing that the Due Process Clause "imposes substantive limits 'beyond which penalties may not go,'" 509 U.S. at 454 (quoting Seaboard Air Line R. Co. v. Seegers, 207 U.S. 73, 78 (1907)); see also 509 U.S. at 478-481 (O'CONNOR, J., dissenting); Haslip, 499 U.S. at 18. Although they are our precedents, they are themselves too shallowly rooted to justify the Court's recent undertaking. The only case relied upon in which the Court actually invalidated a civil sanction does not even support constitutional review for excessiveness, since it really concerned the validity, as a matter of procedural due process, of state legislation that imposed a significant penalty on a common carrier which lacked the means of determining the legality of its actions before the penalty was imposed. See Southwestern Telegraph &amp; Telephone Co. v. Danaher, 238 U.S. 482, 489-491 (1915). The amount of the penalty was not a subject of independent scrutiny. As for the remaining cases, while the opinions do consider arguments that statutory penalties can, by reason of their excessiveness, violate due process, not a single one of these judgments invalidates a damages award. See Seaboard, supra, at 78-79; Waters-Pierce Oil Co. v. Texas (No. 1), 212 U.S. 86, 111-112 (1909); Standard Oil Co. of Ind. v. Missouri, 224 U.S. 270, 286, 290 (1912); St. Louis, I. M. &amp; S. R. Co. v. Williams, 251 U.S. 63, 66-67 (1919).</w:t>
      </w:r>
    </w:p>
    <w:p w:rsidR="00A31137" w:rsidRPr="00A31137" w:rsidRDefault="00A31137" w:rsidP="00A31137">
      <w:r w:rsidRPr="00A31137">
        <w:t>1996, BMW of North America, Inc. v. Gore, No. 94-896</w:t>
      </w:r>
    </w:p>
    <w:p w:rsidR="00A31137" w:rsidRPr="00A31137" w:rsidRDefault="00A31137" w:rsidP="00A31137">
      <w:r w:rsidRPr="00A31137">
        <w:t>More importantly, this latter group of cases—which again are the sole precedential foundation put forward for the rule of constitutional law espoused by today's Court—simply fabricated the "substantive due process" right at issue. Seaboard assigned no precedent to its bald assertion that the Constitution imposes "limits beyond which penalties may not go," 207 U.S. at 78. Waters-Pierce cited only Coffey v. County of Harlan, 204 U.S. 659 (1907), a case which inquired into the constitutionality of state procedure, id. at 662-663. Standard Oil simply cited Waters-Pierce, and St. Louis, I. M. &amp; S. R. Co. offered in addition to these cases only Collins v. Johnston, 237 U.S. 502 (1915), which said nothing to support the notion of a "substantive due process" right against excessive civil penalties, but, to the contrary, asserted that the prescribing and imposing of criminal punishment were "functions peculiarly belonging to the several States," id. at 509-510. Thus, the only authority for the Court's position is simply not authoritative. These cases fall far short of what is needed to supplant this country's longstanding practice regarding exemplary awards, see, e.g., Haslip, 499 U.S. at 15-18; id. at 25-28 (SCALIA, J., concurring in judgment).</w:t>
      </w:r>
    </w:p>
    <w:p w:rsidR="00A31137" w:rsidRPr="00A31137" w:rsidRDefault="00A31137" w:rsidP="00A31137">
      <w:r w:rsidRPr="00A31137">
        <w:t>II</w:t>
      </w:r>
    </w:p>
    <w:p w:rsidR="00A31137" w:rsidRPr="00A31137" w:rsidRDefault="00A31137" w:rsidP="00A31137">
      <w:r w:rsidRPr="00A31137">
        <w:t>1996, BMW of North America, Inc. v. Gore, No. 94-896</w:t>
      </w:r>
    </w:p>
    <w:p w:rsidR="00A31137" w:rsidRPr="00A31137" w:rsidRDefault="00A31137" w:rsidP="00A31137">
      <w:r w:rsidRPr="00A31137">
        <w:t>One might understand the Court's eagerness to enter this field, rather than leave it with the state legislatures, if it had something useful to say. In fact, however, its opinion provides virtually no guidance to legislatures, and to state and federal courts, as to what a "constitutionally proper" level of punitive damages might be.</w:t>
      </w:r>
    </w:p>
    <w:p w:rsidR="00A31137" w:rsidRPr="00A31137" w:rsidRDefault="00A31137" w:rsidP="00A31137">
      <w:r w:rsidRPr="00A31137">
        <w:t>1996, BMW of North America, Inc. v. Gore, No. 94-896</w:t>
      </w:r>
    </w:p>
    <w:p w:rsidR="00A31137" w:rsidRPr="00A31137" w:rsidRDefault="00A31137" w:rsidP="00A31137">
      <w:r w:rsidRPr="00A31137">
        <w:t>We are instructed at the outset of ___Part II of the Court's opinion—the beginning of its substantive analysis—that "the federal excessiveness inquiry…begins with an identification of the state interests that a punitive award is designed to serve." Ante at ___. On first reading this, one is faced with the prospect that federal punitive damages law (the new field created by today's decision) will be beset by the sort of "interest analysis" that has laid waste the formerly comprehensible field of conflict of laws. The thought that each assessment of punitive damages, as to each offense, must be examined to determine the precise "state interests" pursued, is most unsettling. Moreover, if those "interests" are the most fundamental determinant of an award, one would think that due process would require the assessing jury to be instructed about them.</w:t>
      </w:r>
    </w:p>
    <w:p w:rsidR="00A31137" w:rsidRPr="00A31137" w:rsidRDefault="00A31137" w:rsidP="00A31137">
      <w:r w:rsidRPr="00A31137">
        <w:t>1996, BMW of North America, Inc. v. Gore, No. 94-896</w:t>
      </w:r>
    </w:p>
    <w:p w:rsidR="00A31137" w:rsidRPr="00A31137" w:rsidRDefault="00A31137" w:rsidP="00A31137">
      <w:r w:rsidRPr="00A31137">
        <w:t>It appears, however (and I certainly hope), that all this is a false alarm. As Part II of the Court's opinion unfolds, it turns out to be directed not to the question "How much punishment is too much?," but rather to the question "Which acts can be punished?" "Alabama does not have the power," the Court says, "to punish BMW for conduct that was lawful where it occurred and that had no impact on Alabama or its residents." Ante at ___. That may be true, though only in the narrow sense that a person cannot be held liable to be punished on the basis of a lawful act. But if a person has been held subject to punishment because he committed an unlawful act, the degree of his punishment assuredly can be increased on the basis of any other conduct of his that displays his wickedness, unlawful or not. Criminal sentences can be computed, we have said, on the basis of "information concerning every aspect of a defendant's life," Williams v. New York, 337 U.S. 241, 250-252 (1949). The Court at one point seems to acknowledge this, observing that, although a sentencing court "[cannot] properly punish lawful conduct," it may in assessing the penalty "consider…lawful conduct that bears on the defendant's character." Ante at ___, n. 19. That concession is quite incompatible, however, with the later assertion that, since "neither the jury nor the trial court was presented with evidence that any of BMW's out-of-state conduct was unlawful," the Alabama Supreme Court "therefore properly eschewed reliance on BMW's out-of-state conduct,…and based its remitted award solely on conduct that occurred within Alabama." Ante at ___. Why could the Supreme Court of Alabama not consider lawful (but disreputable) conduct, both inside and outside Alabama, for the purpose of assessing just how bad an actor BMW was?</w:t>
      </w:r>
    </w:p>
    <w:p w:rsidR="00A31137" w:rsidRPr="00A31137" w:rsidRDefault="00A31137" w:rsidP="00A31137">
      <w:r w:rsidRPr="00A31137">
        <w:t>1996, BMW of North America, Inc. v. Gore, No. 94-896</w:t>
      </w:r>
    </w:p>
    <w:p w:rsidR="00A31137" w:rsidRPr="00A31137" w:rsidRDefault="00A31137" w:rsidP="00A31137">
      <w:r w:rsidRPr="00A31137">
        <w:t>The Court follows up its statement that "Alabama does not have the power…to punish BMW for conduct that was lawful where it occurred" with the statement: "Nor may Alabama impose sanctions on BMW in order to deter conduct that is lawful in other jurisdictions." Ante at ___. The Court provides us no citation of authority to support this proposition—other than the barely analogous cases cited earlier in the opinion, see ante at ___—and I know of none.</w:t>
      </w:r>
    </w:p>
    <w:p w:rsidR="00A31137" w:rsidRPr="00A31137" w:rsidRDefault="00A31137" w:rsidP="00A31137">
      <w:r w:rsidRPr="00A31137">
        <w:t>1996, BMW of North America, Inc. v. Gore, No. 94-896</w:t>
      </w:r>
    </w:p>
    <w:p w:rsidR="00A31137" w:rsidRPr="00A31137" w:rsidRDefault="00A31137" w:rsidP="00A31137">
      <w:r w:rsidRPr="00A31137">
        <w:t>These significant issues pronounced upon by the Court are not remotely presented for resolution in the present case. There is no basis for believing that Alabama has sought to control conduct elsewhere. The statutes at issue merely permit civil juries to treat conduct such as petitioner's as fraud, and authorize an award of appropriate punitive damages in the event the fraud is found to be "gross, oppressive, or malicious," Ala.Code § 6-11-20(b)(1) (1993). To be sure, respondent did invite the jury to consider out-of-state conduct in its calculation of damages, but any increase in the jury's initial award based on that consideration is not a component of the remitted judgment before us. As the Court several times recognizes, in computing the amount of the remitted award the Alabama Supreme Court—whether it was constitutionally required to or not—"expressly disclaimed any reliance on acts that occurred in other jurisdictions." Ante at ___ (internal quotation marks omitted); see also ante at 13.* Thus, the only question presented by this case is whether that award, limited to petitioner's Alabama conduct and viewed in light of the factors identified as properly informing the inquiry, is excessive. The Court's sweeping (and largely unsupported) statements regarding the relationship of punitive awards to lawful or unlawful out-of-state conduct are the purest dicta.</w:t>
      </w:r>
    </w:p>
    <w:p w:rsidR="00A31137" w:rsidRPr="00A31137" w:rsidRDefault="00A31137" w:rsidP="00A31137">
      <w:r w:rsidRPr="00A31137">
        <w:t>III</w:t>
      </w:r>
    </w:p>
    <w:p w:rsidR="00A31137" w:rsidRPr="00A31137" w:rsidRDefault="00A31137" w:rsidP="00A31137">
      <w:r w:rsidRPr="00A31137">
        <w:t>1996, BMW of North America, Inc. v. Gore, No. 94-896</w:t>
      </w:r>
    </w:p>
    <w:p w:rsidR="00A31137" w:rsidRPr="00A31137" w:rsidRDefault="00A31137" w:rsidP="00A31137">
      <w:r w:rsidRPr="00A31137">
        <w:t>In Part III of its opinion, the Court identifies "[t]hree guideposts" that lead it to the conclusion that the award in this case is excessive: degree of reprehensibility, ratio between punitive award and plaintiff's actual harm, and legislative sanctions provided for comparable misconduct. Ante at ___. The legal significance of these "guideposts" is nowhere explored, but their necessary effect is to establish federal standards governing the hitherto exclusively state law of damages. Apparently (though it is by no means clear) all three federal "guideposts" can be overridden if "necessary to deter future misconduct," ante at ___—a loophole that will encourage state reviewing courts to uphold awards as necessary for the "adequat[e] protect[ion]" of state consumers, ibid. By effectively requiring state reviewing courts to concoct rationalizations—whether within the "guideposts" or through the loophole-to justify the intuitive punitive reactions of state juries, the Court accords neither category of institution the respect it deserves.</w:t>
      </w:r>
    </w:p>
    <w:p w:rsidR="00A31137" w:rsidRPr="00A31137" w:rsidRDefault="00A31137" w:rsidP="00A31137">
      <w:r w:rsidRPr="00A31137">
        <w:t>1996, BMW of North America, Inc. v. Gore, No. 94-896</w:t>
      </w:r>
    </w:p>
    <w:p w:rsidR="00A31137" w:rsidRPr="00A31137" w:rsidRDefault="00A31137" w:rsidP="00A31137">
      <w:r w:rsidRPr="00A31137">
        <w:t>Of course it will not be easy for the States to comply with this new federal law of damages, no matter how willing they are to do so. In truth, the "guideposts" mark a road to nowhere; they provide no real guidance at all. As to "degree of reprehensibility" of the defendant's conduct, we learn that "'nonviolent crimes are less serious than crimes marked by violence or the threat of violence,'" ante at ___ (quoting Solem v. Helm, 463 U.S. 277, 292-293 (1983)), and that "'trickery and deceit'" are "more reprehensible than negligence," ante at ___. As to the ratio of punitive to compensatory damages, we are told that a "'general concer[n] of reasonableness…enter[s] into the constitutional calculus,'" ante at ___ (quoting TXO, supra, at 458)—though even "a breathtaking 500 to 1" will not necessarily do anything more than "'raise a suspicious judicial eyebrow,'" ante at ___ (quoting TXO, supra, at 481 (O'CONNOR, J., dissenting), an opinion which, when confronted with that "breathtaking" ratio, approved it). And as to legislative sanctions provided for comparable misconduct, they should be accorded "'substantial deference,'" ibid. (quoting Browning-Ferris Industries of Vt., Inc. v. Kelco Disposal, Inc., 492 U.S. 257, 301 (O'CONNOR, J., concurring in part and dissenting in part)). One expects the Court to conclude: "To thine own self be true."</w:t>
      </w:r>
    </w:p>
    <w:p w:rsidR="00A31137" w:rsidRPr="00A31137" w:rsidRDefault="00A31137" w:rsidP="00A31137">
      <w:r w:rsidRPr="00A31137">
        <w:t>1996, BMW of North America, Inc. v. Gore, No. 94-896</w:t>
      </w:r>
    </w:p>
    <w:p w:rsidR="00A31137" w:rsidRPr="00A31137" w:rsidRDefault="00A31137" w:rsidP="00A31137">
      <w:r w:rsidRPr="00A31137">
        <w:t>These criss-crossing platitudes yield no real answers in no real cases. And it must be noted that the Court nowhere says that these three "guideposts" are the only guideposts; indeed, it makes very clear that they are not-explaining away the earlier opinions that do not really follow these "guideposts" on the basis of additional factors, thereby "reiterat[ing] our rejection of a categorical approach." Ante at ___. In other words, even these utter platitudes, if they should ever happen to produce an answer, may be overridden by other unnamed considerations. The Court has constructed a framework that does not genuinely constrain, that does not inform state legislatures and lower courts—that does nothing at all except confer an artificial air of doctrinal analysis upon its essentially ad hoc determination that this particular award of punitive damages was not "fair."</w:t>
      </w:r>
    </w:p>
    <w:p w:rsidR="00A31137" w:rsidRPr="00A31137" w:rsidRDefault="00A31137" w:rsidP="00A31137">
      <w:r w:rsidRPr="00A31137">
        <w:t>1996, BMW of North America, Inc. v. Gore, No. 94-896</w:t>
      </w:r>
    </w:p>
    <w:p w:rsidR="00A31137" w:rsidRPr="00A31137" w:rsidRDefault="00A31137" w:rsidP="00A31137">
      <w:r w:rsidRPr="00A31137">
        <w:t>The Court distinguishes today's result from Haslip and TXO partly on the ground that</w:t>
      </w:r>
    </w:p>
    <w:p w:rsidR="00A31137" w:rsidRPr="00A31137" w:rsidRDefault="00A31137" w:rsidP="00A31137">
      <w:r w:rsidRPr="00A31137">
        <w:t>1996, BMW of North America, Inc. v. Gore, No. 94-896</w:t>
      </w:r>
    </w:p>
    <w:p w:rsidR="00A31137" w:rsidRPr="00A31137" w:rsidRDefault="00A31137" w:rsidP="00A31137">
      <w:r w:rsidRPr="00A31137">
        <w:t>the record in this case discloses no deliberate false statements, acts of affirmative misconduct, or concealment of evidence of improper motive, such as were present in Haslip and TXO.</w:t>
      </w:r>
    </w:p>
    <w:p w:rsidR="00A31137" w:rsidRPr="00A31137" w:rsidRDefault="00A31137" w:rsidP="00A31137">
      <w:r w:rsidRPr="00A31137">
        <w:t>1996, BMW of North America, Inc. v. Gore, No. 94-896</w:t>
      </w:r>
    </w:p>
    <w:p w:rsidR="00A31137" w:rsidRPr="00A31137" w:rsidRDefault="00A31137" w:rsidP="00A31137">
      <w:r w:rsidRPr="00A31137">
        <w:t>Ante at ___. This seemingly rejects the findings necessarily made by the jury—that petitioner had committed a fraud that was "gross, oppressive, or malicious," Ala.Code § 6-11-20(b)(1) (1996). Perhaps that rejection is intentional; the Court does not say.</w:t>
      </w:r>
      <w:r w:rsidRPr="00A31137">
        <w:cr/>
      </w:r>
    </w:p>
    <w:p w:rsidR="00A31137" w:rsidRPr="00A31137" w:rsidRDefault="00A31137" w:rsidP="00A31137">
      <w:r w:rsidRPr="00A31137">
        <w:t>1996, BMW of North America, Inc. v. Gore, No. 94-896</w:t>
      </w:r>
    </w:p>
    <w:p w:rsidR="00A31137" w:rsidRPr="00A31137" w:rsidRDefault="00A31137" w:rsidP="00A31137">
      <w:r w:rsidRPr="00A31137">
        <w:t>The relationship between judicial application of the new "guideposts" and jury findings poses a real problem for the Court, since as a matter of logic there is no more justification for ignoring the jury's determination as to how reprehensible petitioner's conduct was (i.e., how much it deserves to be punished), than there is for ignoring its determination that it was reprehensible at all (i.e., that the wrong was willful and punitive damages are therefore recoverable). That the issue has been framed in terms of a constitutional right against unreasonably excessive awards should not obscure the fact that the logical and necessary consequence of the Court's approach is the recognition of a constitutional right against unreasonably imposed awards as well. The elevation of "fairness" in punishment to a principle of "substantive due process" means that every punitive award unreasonably imposed is unconstitutional; such an award is by definition excessive, since it attaches a penalty to conduct undeserving of punishment. Indeed, if the Court is correct, it must be that every claim that a state jury's award of compensatory damages is "unreasonable" (because not supported by the evidence) amounts to an assertion of constitutional injury. See TXO, supra, at 471 (SCALIA, J. concurring in judgment). And the same would be true for determinations of liability. By today's logic, every dispute as to evidentiary sufficiency in a state civil suit poses a question of constitutional moment, subject to review in this Court. That is a stupefying proposition.</w:t>
      </w:r>
    </w:p>
    <w:p w:rsidR="00A31137" w:rsidRPr="00A31137" w:rsidRDefault="00A31137" w:rsidP="00A31137">
      <w:r w:rsidRPr="00A31137">
        <w:t>1996, BMW of North America, Inc. v. Gore, No. 94-896</w:t>
      </w:r>
    </w:p>
    <w:p w:rsidR="00A31137" w:rsidRPr="00A31137" w:rsidRDefault="00A31137" w:rsidP="00A31137">
      <w:r w:rsidRPr="00A31137">
        <w:t>For the foregoing reasons, I respectfully dissent.</w:t>
      </w:r>
    </w:p>
    <w:p w:rsidR="00A31137" w:rsidRPr="00A31137" w:rsidRDefault="00A31137" w:rsidP="00A31137">
      <w:r w:rsidRPr="00A31137">
        <w:t>GINSBURG, J., dissenting</w:t>
      </w:r>
    </w:p>
    <w:p w:rsidR="00A31137" w:rsidRPr="00A31137" w:rsidRDefault="00A31137" w:rsidP="00A31137">
      <w:r w:rsidRPr="00A31137">
        <w:t>1996, BMW of North America, Inc. v. Gore, No. 94-896</w:t>
      </w:r>
    </w:p>
    <w:p w:rsidR="00A31137" w:rsidRPr="00A31137" w:rsidRDefault="00A31137" w:rsidP="00A31137">
      <w:r w:rsidRPr="00A31137">
        <w:t>JUSTICE GINSBURG, with whom THE CHIEF JUSTICE joins, dissenting.</w:t>
      </w:r>
    </w:p>
    <w:p w:rsidR="00A31137" w:rsidRPr="00A31137" w:rsidRDefault="00A31137" w:rsidP="00A31137">
      <w:r w:rsidRPr="00A31137">
        <w:t>1996, BMW of North America, Inc. v. Gore, No. 94-896</w:t>
      </w:r>
    </w:p>
    <w:p w:rsidR="00A31137" w:rsidRPr="00A31137" w:rsidRDefault="00A31137" w:rsidP="00A31137">
      <w:r w:rsidRPr="00A31137">
        <w:t>The Court, I am convinced, unnecessarily and unwisely ventures into territory traditionally within the States' domain, and does so in the face of reform measures recently adopted or currently under consideration in legislative arenas. The Alabama Supreme Court, in this case, endeavored to follow this Court's prior instructions; and, more recently, Alabama's highest court has installed further controls on awards of punitive damages (see infra at ___, n. 6). I would therefore leave the state court's judgment undisturbed, and resist unnecessary intrusion into an area dominantly of state concern.</w:t>
      </w:r>
    </w:p>
    <w:p w:rsidR="00A31137" w:rsidRPr="00A31137" w:rsidRDefault="00A31137" w:rsidP="00A31137">
      <w:r w:rsidRPr="00A31137">
        <w:t>I</w:t>
      </w:r>
    </w:p>
    <w:p w:rsidR="00A31137" w:rsidRPr="00A31137" w:rsidRDefault="00A31137" w:rsidP="00A31137">
      <w:r w:rsidRPr="00A31137">
        <w:t>1996, BMW of North America, Inc. v. Gore, No. 94-896</w:t>
      </w:r>
    </w:p>
    <w:p w:rsidR="00A31137" w:rsidRPr="00A31137" w:rsidRDefault="00A31137" w:rsidP="00A31137">
      <w:r w:rsidRPr="00A31137">
        <w:t>The respect due the Alabama Supreme Court requires that we strip from this case a false issue: no impermissible "extraterritoriality" infects the judgment before us; the excessiveness of the award is the sole issue genuinely presented. The Court ultimately so recognizes, see ante at ___, but further clarification is in order.</w:t>
      </w:r>
    </w:p>
    <w:p w:rsidR="00A31137" w:rsidRPr="00A31137" w:rsidRDefault="00A31137" w:rsidP="00A31137">
      <w:r w:rsidRPr="00A31137">
        <w:t>1996, BMW of North America, Inc. v. Gore, No. 94-896</w:t>
      </w:r>
    </w:p>
    <w:p w:rsidR="00A31137" w:rsidRPr="00A31137" w:rsidRDefault="00A31137" w:rsidP="00A31137">
      <w:r w:rsidRPr="00A31137">
        <w:t>Dr. Gore's experience was not unprecedented among customers who bought BMW vehicles sold as flawless and brand-new. In addition to his own encounter, Gore showed, through paint repair orders introduced at trial, that on 983 other occasions since 1983, BMW had shipped new vehicles to dealers without disclosing paint repairs costing at least $300, Tr. 585-586; at least 14 of the repainted vehicles, the evidence also showed, were sold as new and undamaged to consumers in Alabama. 646 So.2d 619, 623 (Ala. 1994). Sales nationwide, Alabama's Supreme Court said, were admissible "as to the issue of a 'pattern and practice' of such acts." Id. at 627. There was "no error," the court reiterated, "in the admission of the evidence that showed how pervasive the nondisclosure policy was and the intent behind BMW NA's adoption of it." Id. at 628. That determination comports with this Court's expositions. See TXO Production Corp. v. Alliance Resources Corp., 509 U.S. 443, 462, and n. 28 (1993) (characterizing as "well settled" the admissibility of "evidence of [defendant's] alleged wrongdoing in other parts of the country" and of defendant's "wealth"); see also Brief for Petitioner 22 (recognizing that similar acts, out-of-state, traditionally have been considered relevant "for the limited purpose of determining that the conduct before the [c]ourt was reprehensible because it was part of a pattern rather than an isolated incident").</w:t>
      </w:r>
    </w:p>
    <w:p w:rsidR="00A31137" w:rsidRPr="00A31137" w:rsidRDefault="00A31137" w:rsidP="00A31137">
      <w:r w:rsidRPr="00A31137">
        <w:t>1996, BMW of North America, Inc. v. Gore, No. 94-896</w:t>
      </w:r>
    </w:p>
    <w:p w:rsidR="00A31137" w:rsidRPr="00A31137" w:rsidRDefault="00A31137" w:rsidP="00A31137">
      <w:r w:rsidRPr="00A31137">
        <w:t>Alabama's highest court next declared that the</w:t>
      </w:r>
    </w:p>
    <w:p w:rsidR="00A31137" w:rsidRPr="00A31137" w:rsidRDefault="00A31137" w:rsidP="00A31137">
      <w:r w:rsidRPr="00A31137">
        <w:t>1996, BMW of North America, Inc. v. Gore, No. 94-896</w:t>
      </w:r>
    </w:p>
    <w:p w:rsidR="00A31137" w:rsidRPr="00A31137" w:rsidRDefault="00A31137" w:rsidP="00A31137">
      <w:r w:rsidRPr="00A31137">
        <w:t>jury could not use the number of similar acts that a defendant has committed in other jurisdictions as a multiplier when determining the dollar amount of a punitive damages award. Such evidence may not be considered in setting the size of the civil penalty, because neither the jury nor the trial court had evidence before it showing in which states the conduct was wrongful.</w:t>
      </w:r>
    </w:p>
    <w:p w:rsidR="00A31137" w:rsidRPr="00A31137" w:rsidRDefault="00A31137" w:rsidP="00A31137">
      <w:r w:rsidRPr="00A31137">
        <w:t>1996, BMW of North America, Inc. v. Gore, No. 94-896</w:t>
      </w:r>
    </w:p>
    <w:p w:rsidR="00A31137" w:rsidRPr="00A31137" w:rsidRDefault="00A31137" w:rsidP="00A31137">
      <w:r w:rsidRPr="00A31137">
        <w:t>646 So.2d at 627 (emphasis in original) (footnote omitted).   Because the Alabama Supreme Court provided this clear statement of the State's law, the multiplier problem encountered in Gore's case is not likely to occur again. Now, as a matter of Alabama law, it is plainly impermissible to assess punitive damages by multiplication based on out-of-state events not shown to be unlawful. See, e.g., Independent Life and Accident Ins. Co. v. Harrington, 658 So.2d 892, 902-903 (Ala. 1994) (under BMW v. Gore, trial court erred in relying on defendant insurance company's out-of-state insurance policies in determining harm caused by defendant's unlawful actions).</w:t>
      </w:r>
    </w:p>
    <w:p w:rsidR="00A31137" w:rsidRPr="00A31137" w:rsidRDefault="00A31137" w:rsidP="00A31137">
      <w:r w:rsidRPr="00A31137">
        <w:t>1996, BMW of North America, Inc. v. Gore, No. 94-896</w:t>
      </w:r>
    </w:p>
    <w:p w:rsidR="00A31137" w:rsidRPr="00A31137" w:rsidRDefault="00A31137" w:rsidP="00A31137">
      <w:r w:rsidRPr="00A31137">
        <w:t>No Alabama authority, it bears emphasis—no statute, judicial decision, or trial judge instruction—ever countenanced the jury's multiplication of the $4,000 diminution in value estimated for each refinished car by the number of such cars (approximately 1,000) shown to have been sold nationwide. The sole prompt to the jury to use nationwide sales as a multiplier came from Gore's lawyer during summation. App. 31, Tr. 812-813. Notably, counsel for BMW failed to object to Gore's multiplication suggestion, even though BMW's counsel interrupted to make unrelated objections four other times during Gore's closing statement. Tr. 810-811, 854-855, 858, 870-871. Nor did BMW's counsel request a charge instructing the jury not to consider out-of-state sales in calculating the punitive damages award. See Record 513-529 (listing all charges requested by counsel).</w:t>
      </w:r>
    </w:p>
    <w:p w:rsidR="00A31137" w:rsidRPr="00A31137" w:rsidRDefault="00A31137" w:rsidP="00A31137">
      <w:r w:rsidRPr="00A31137">
        <w:t>1996, BMW of North America, Inc. v. Gore, No. 94-896</w:t>
      </w:r>
    </w:p>
    <w:p w:rsidR="00A31137" w:rsidRPr="00A31137" w:rsidRDefault="00A31137" w:rsidP="00A31137">
      <w:r w:rsidRPr="00A31137">
        <w:t>Following the verdict, BMW's counsel challenged the admission of the paint repair orders, but not, alternately, the jury's apparent use of the orders in a multiplication exercise. Curiously, during post-verdict argument, BMW's counsel urged that if the repair orders were indeed admissible, then Gore would have a "full right" to suggest a multiplier-based disgorgement. Tr. 932.</w:t>
      </w:r>
    </w:p>
    <w:p w:rsidR="00A31137" w:rsidRPr="00A31137" w:rsidRDefault="00A31137" w:rsidP="00A31137">
      <w:r w:rsidRPr="00A31137">
        <w:t>1996, BMW of North America, Inc. v. Gore, No. 94-896</w:t>
      </w:r>
    </w:p>
    <w:p w:rsidR="00A31137" w:rsidRPr="00A31137" w:rsidRDefault="00A31137" w:rsidP="00A31137">
      <w:r w:rsidRPr="00A31137">
        <w:t>In brief, Gore's case is idiosyncratic. The jury's improper multiplication, tardily featured by petitioner, is unlikely to recur in Alabama and does not call for error correction by this Court.</w:t>
      </w:r>
    </w:p>
    <w:p w:rsidR="00A31137" w:rsidRPr="00A31137" w:rsidRDefault="00A31137" w:rsidP="00A31137">
      <w:r w:rsidRPr="00A31137">
        <w:t>1996, BMW of North America, Inc. v. Gore, No. 94-896</w:t>
      </w:r>
    </w:p>
    <w:p w:rsidR="00A31137" w:rsidRPr="00A31137" w:rsidRDefault="00A31137" w:rsidP="00A31137">
      <w:r w:rsidRPr="00A31137">
        <w:t>Because the jury apparently (and erroneously) had used acts in other states as a multiplier to arrive at a $4 million sum for punitive damages, the Alabama Supreme Court itself determined "'the maximum amount that a properly functioning jury could have awarded.'" 646 So.2d at 630 (Houston, J., concurring specially) (quoting Big B, Inc. v. Cottingham, 634 So.2d 999, 1006 (Ala. 1993)). The per curiam opinion emphasized that, in arriving at $2 million as "the amount of punitive damages to be awarded in this case, [the court did] not consider those acts that occurred in other jurisdictions." 646 So.2d at 628 (emphasis in original). As this Court recognizes, the Alabama high court "properly eschewed reliance on BMW's out-of-state conduct and based its remitted award solely on conduct that occurred within Alabama." Ante at ___ (citation omitted). In sum, the Alabama Supreme Court left standing the jury's decision that the facts warranted an award of punitive damages—a determination not contested in this Court—and the state court concluded that, considering only acts in Alabama, $2 million was "a constitutionally reasonable punitive damages award." 646 So.2d at 629.</w:t>
      </w:r>
    </w:p>
    <w:p w:rsidR="00A31137" w:rsidRPr="00A31137" w:rsidRDefault="00A31137" w:rsidP="00A31137">
      <w:r w:rsidRPr="00A31137">
        <w:t>II</w:t>
      </w:r>
    </w:p>
    <w:p w:rsidR="00A31137" w:rsidRPr="00A31137" w:rsidRDefault="00A31137" w:rsidP="00A31137">
      <w:r w:rsidRPr="00A31137">
        <w:t>A</w:t>
      </w:r>
    </w:p>
    <w:p w:rsidR="00A31137" w:rsidRPr="00A31137" w:rsidRDefault="00A31137" w:rsidP="00A31137">
      <w:r w:rsidRPr="00A31137">
        <w:t>1996, BMW of North America, Inc. v. Gore, No. 94-896</w:t>
      </w:r>
    </w:p>
    <w:p w:rsidR="00A31137" w:rsidRPr="00A31137" w:rsidRDefault="00A31137" w:rsidP="00A31137">
      <w:r w:rsidRPr="00A31137">
        <w:t>Alabama's Supreme Court reports that it "thoroughly and painstakingly" reviewed the jury's award, ibid. according to principles set out in its own pathmarking decisions and in this Court's opinions in TXO and Pacific Mut. Life Ins. Co. v. Haslip, 499 U.S. 1, 21 (1991). 646 So.2d at 621. The Alabama court said it gave weight to several factors, including BMW's deliberate ("reprehensible") presentation of refinished cars as new and undamaged, without disclosing that the value of those cars had been reduced by an estimated 10%, 1 the financial position of the defendant, and the costs of litigation. Id. at 625-626. These standards, we previously held, "impos[e] a sufficiently definite and meaningful constraint on the discretion of Alabama factfinders in awarding punitive damages." Haslip, 499 U.S. at 22; see also TXO, 509 U.S. at 462, n. 28. Alabama's highest court could have displayed its labor pains more visibly, 2 but its judgment is nonetheless entitled to a presumption of legitimacy. See Rowan v. Runnels, 5 How. 134, 139 (1847) ("[T]his court will always feel itself bound to respect the decisions of the State courts, and from the time they are made will regard them as conclusive in all cases upon the construction of their own constitution and laws.").</w:t>
      </w:r>
    </w:p>
    <w:p w:rsidR="00A31137" w:rsidRPr="00A31137" w:rsidRDefault="00A31137" w:rsidP="00A31137">
      <w:r w:rsidRPr="00A31137">
        <w:t>1996, BMW of North America, Inc. v. Gore, No. 94-896</w:t>
      </w:r>
    </w:p>
    <w:p w:rsidR="00A31137" w:rsidRPr="00A31137" w:rsidRDefault="00A31137" w:rsidP="00A31137">
      <w:r w:rsidRPr="00A31137">
        <w:t>We accept, of course, that Alabama's Supreme Court applied the State's own law correctly. Under that law, the State's objectives—"punishment and deterrence"-guide punitive damages awards. See Birmingham v. Benson, 631 So.2d 902, 904 (Ala. 1994). Nor should we be quick to find a constitutional infirmity when the highest state court endeavored a corrective for one counsel's slip and the other's oversight—counsel for plaintiff's excess in summation, unobjected to by counsel for defendant, see supra at 3—and when the state court did so intending to follow the process approved in our Haslip and TXO decisions.</w:t>
      </w:r>
    </w:p>
    <w:p w:rsidR="00A31137" w:rsidRPr="00A31137" w:rsidRDefault="00A31137" w:rsidP="00A31137">
      <w:r w:rsidRPr="00A31137">
        <w:t>B</w:t>
      </w:r>
    </w:p>
    <w:p w:rsidR="00A31137" w:rsidRPr="00A31137" w:rsidRDefault="00A31137" w:rsidP="00A31137">
      <w:r w:rsidRPr="00A31137">
        <w:t>1996, BMW of North America, Inc. v. Gore, No. 94-896</w:t>
      </w:r>
    </w:p>
    <w:p w:rsidR="00A31137" w:rsidRPr="00A31137" w:rsidRDefault="00A31137" w:rsidP="00A31137">
      <w:r w:rsidRPr="00A31137">
        <w:t>The Court finds Alabama's $2 million award not simply excessive, but grossly so, and therefore unconstitutional. The decision leads us further into territory traditionally within the States' domain, 3 and commits the Court, now and again, to correct "misapplication of a properly stated rule of law." But cf. S.Ct.Rule 10 ("A petition for a writ of certiorari is rarely granted when the asserted error consists of erroneous factual findings or the misapplication of a properly stated rule of law."). 4 The Court is not well equipped for this mission. Tellingly, the Court repeats that it brings to the task no "mathematical formula," ante at ___, no "categorical approach," ante at ___, no "bright line," ante at ___. It has only a vague concept of substantive due process, a "raised eyebrow" test, see ante at ___, as its ultimate guide. 5</w:t>
      </w:r>
    </w:p>
    <w:p w:rsidR="00A31137" w:rsidRPr="00A31137" w:rsidRDefault="00A31137" w:rsidP="00A31137">
      <w:r w:rsidRPr="00A31137">
        <w:t>1996, BMW of North America, Inc. v. Gore, No. 94-896</w:t>
      </w:r>
    </w:p>
    <w:p w:rsidR="00A31137" w:rsidRPr="00A31137" w:rsidRDefault="00A31137" w:rsidP="00A31137">
      <w:r w:rsidRPr="00A31137">
        <w:t>In contrast to habeas corpus review under 28 U.S.C. § 2254, the Court will work at this business alone. It will not be aided by the federal district courts and courts of appeals. It will be the only federal court policing the area. The Court's readiness to superintend state court punitive damages awards is all the more puzzling in view of the Court's longstanding reluctance to countenance review, even by courts of appeals, of the size of verdicts returned by juries in federal district court proceedings. See generally 11 C. Wright, A. Miller, &amp; M. Kane, Federal Practice and Procedure § 2820 (2d ed. 1995). And the reexamination prominent in state courts 6 and in legislative arenas, see Appendix, infra at ___, serves to underscore why the Court's enterprise is undue.</w:t>
      </w:r>
    </w:p>
    <w:p w:rsidR="00A31137" w:rsidRPr="00A31137" w:rsidRDefault="00A31137" w:rsidP="00A31137">
      <w:r w:rsidRPr="00A31137">
        <w:t>1996, BMW of North America, Inc. v. Gore, No. 94-896</w:t>
      </w:r>
    </w:p>
    <w:p w:rsidR="00A31137" w:rsidRPr="00A31137" w:rsidRDefault="00A31137" w:rsidP="00A31137">
      <w:r w:rsidRPr="00A31137">
        <w:t>For the reasons stated, I dissent from this Court's disturbance of the judgment the Alabama Supreme Court has made.</w:t>
      </w:r>
    </w:p>
    <w:p w:rsidR="00A31137" w:rsidRPr="00A31137" w:rsidRDefault="00A31137" w:rsidP="00A31137">
      <w:r w:rsidRPr="00A31137">
        <w:t>APPENDIX TO DISSENTING OPINION OF GINSBURG, J.</w:t>
      </w:r>
    </w:p>
    <w:p w:rsidR="00A31137" w:rsidRPr="00A31137" w:rsidRDefault="00A31137" w:rsidP="00A31137">
      <w:r w:rsidRPr="00A31137">
        <w:t>State Legislative Activity Regarding Punitive Damages</w:t>
      </w:r>
    </w:p>
    <w:p w:rsidR="00A31137" w:rsidRPr="00A31137" w:rsidRDefault="00A31137" w:rsidP="00A31137">
      <w:r w:rsidRPr="00A31137">
        <w:t>1996, BMW of North America, Inc. v. Gore, No. 94-896</w:t>
      </w:r>
    </w:p>
    <w:p w:rsidR="00A31137" w:rsidRPr="00A31137" w:rsidRDefault="00A31137" w:rsidP="00A31137">
      <w:r w:rsidRPr="00A31137">
        <w:t>State legislatures have in the hopper or have enacted a variety of measures to curtail awards of punitive damages. At least one state legislature has prohibited punitive damages altogether, unless explicitly provided by statute. See N. H.Rev.Stat.Ann. § 507:16 (1994). We set out in this appendix some of the several controls enacted or under consideration in the States. The measures surveyed are: (1) caps on awards; (2) provisions for payment of sums to state agencies rather than to plaintiffs; and (3) mandatory bifurcated trials with separate proceedings for punitive damages determinations.</w:t>
      </w:r>
    </w:p>
    <w:p w:rsidR="00A31137" w:rsidRPr="00A31137" w:rsidRDefault="00A31137" w:rsidP="00A31137">
      <w:r w:rsidRPr="00A31137">
        <w:t>I. Caps on Punitive Damages Awards</w:t>
      </w:r>
    </w:p>
    <w:p w:rsidR="00A31137" w:rsidRPr="00A31137" w:rsidRDefault="00A31137" w:rsidP="00A31137">
      <w:r w:rsidRPr="00A31137">
        <w:t>1996, BMW of North America, Inc. v. Gore, No. 94-896</w:t>
      </w:r>
    </w:p>
    <w:p w:rsidR="00A31137" w:rsidRPr="00A31137" w:rsidRDefault="00A31137" w:rsidP="00A31137">
      <w:r w:rsidRPr="00A31137">
        <w:t>Colorado—Colo.Rev.Stat. §§ 13-21-102(1)(a) and (3) (1987) (as a main rule, caps punitive damages at amount of actual damages).</w:t>
      </w:r>
    </w:p>
    <w:p w:rsidR="00A31137" w:rsidRPr="00A31137" w:rsidRDefault="00A31137" w:rsidP="00A31137">
      <w:r w:rsidRPr="00A31137">
        <w:t>1996, BMW of North America, Inc. v. Gore, No. 94-896</w:t>
      </w:r>
    </w:p>
    <w:p w:rsidR="00A31137" w:rsidRPr="00A31137" w:rsidRDefault="00A31137" w:rsidP="00A31137">
      <w:r w:rsidRPr="00A31137">
        <w:t>Connecticut—Conn.Gen.Stat. § 52-240b (1995) (caps punitive damages at twice compensatory damages in products liability cases).</w:t>
      </w:r>
    </w:p>
    <w:p w:rsidR="00A31137" w:rsidRPr="00A31137" w:rsidRDefault="00A31137" w:rsidP="00A31137">
      <w:r w:rsidRPr="00A31137">
        <w:t>1996, BMW of North America, Inc. v. Gore, No. 94-896</w:t>
      </w:r>
    </w:p>
    <w:p w:rsidR="00A31137" w:rsidRPr="00A31137" w:rsidRDefault="00A31137" w:rsidP="00A31137">
      <w:r w:rsidRPr="00A31137">
        <w:t>Delaware—H. R. 237, 138th Gen.Ass. (introduced May 17, 1995) (would cap punitive damages at greater of three times compensatory damages, or $250,000).</w:t>
      </w:r>
    </w:p>
    <w:p w:rsidR="00A31137" w:rsidRPr="00A31137" w:rsidRDefault="00A31137" w:rsidP="00A31137">
      <w:r w:rsidRPr="00A31137">
        <w:t>1996, BMW of North America, Inc. v. Gore, No. 94-896</w:t>
      </w:r>
    </w:p>
    <w:p w:rsidR="00A31137" w:rsidRPr="00A31137" w:rsidRDefault="00A31137" w:rsidP="00A31137">
      <w:r w:rsidRPr="00A31137">
        <w:t>Florida—Fla.Stat. §§ 768.73(1)(a) and (b) (Supp. 1992) (in general, caps punitive damages at three times compensatory damages).</w:t>
      </w:r>
    </w:p>
    <w:p w:rsidR="00A31137" w:rsidRPr="00A31137" w:rsidRDefault="00A31137" w:rsidP="00A31137">
      <w:r w:rsidRPr="00A31137">
        <w:t>1996, BMW of North America, Inc. v. Gore, No. 94-896</w:t>
      </w:r>
    </w:p>
    <w:p w:rsidR="00A31137" w:rsidRPr="00A31137" w:rsidRDefault="00A31137" w:rsidP="00A31137">
      <w:r w:rsidRPr="00A31137">
        <w:t>Georgia—Ga.Code Ann. § 51-12-5.1 (Supp. 1995) (caps punitive damages at $250,000 in some tort actions; prohibits multiple awards stemming from the same predicate conduct in products liability actions).</w:t>
      </w:r>
    </w:p>
    <w:p w:rsidR="00A31137" w:rsidRPr="00A31137" w:rsidRDefault="00A31137" w:rsidP="00A31137">
      <w:r w:rsidRPr="00A31137">
        <w:t>1996, BMW of North America, Inc. v. Gore, No. 94-896</w:t>
      </w:r>
    </w:p>
    <w:p w:rsidR="00A31137" w:rsidRPr="00A31137" w:rsidRDefault="00A31137" w:rsidP="00A31137">
      <w:r w:rsidRPr="00A31137">
        <w:t>Illinois—H. 20, 89th Gen.Ass. 1995-1996 Reg. Sess. (enacted Mar. 9, 1995) (caps punitive damages at three times economic damages).</w:t>
      </w:r>
    </w:p>
    <w:p w:rsidR="00A31137" w:rsidRPr="00A31137" w:rsidRDefault="00A31137" w:rsidP="00A31137">
      <w:r w:rsidRPr="00A31137">
        <w:t>1996, BMW of North America, Inc. v. Gore, No. 94-896</w:t>
      </w:r>
    </w:p>
    <w:p w:rsidR="00A31137" w:rsidRPr="00A31137" w:rsidRDefault="00A31137" w:rsidP="00A31137">
      <w:r w:rsidRPr="00A31137">
        <w:t>Indiana—H. 1741, 109th Reg.Sess. (enacted Apr. 26, 1995) (caps punitive damages at greater of three times compensatory damages, or $50,000).</w:t>
      </w:r>
    </w:p>
    <w:p w:rsidR="00A31137" w:rsidRPr="00A31137" w:rsidRDefault="00A31137" w:rsidP="00A31137">
      <w:r w:rsidRPr="00A31137">
        <w:t>1996, BMW of North America, Inc. v. Gore, No. 94-896</w:t>
      </w:r>
    </w:p>
    <w:p w:rsidR="00A31137" w:rsidRPr="00A31137" w:rsidRDefault="00A31137" w:rsidP="00A31137">
      <w:r w:rsidRPr="00A31137">
        <w:t>Kansas—Kan.Stat.Ann. §§ 60-3701(e) and (f) (1994) (in general, caps punitive damages at lesser of defendant's annual gross income, or $5 million).</w:t>
      </w:r>
    </w:p>
    <w:p w:rsidR="00A31137" w:rsidRPr="00A31137" w:rsidRDefault="00A31137" w:rsidP="00A31137">
      <w:r w:rsidRPr="00A31137">
        <w:t>1996, BMW of North America, Inc. v. Gore, No. 94-896</w:t>
      </w:r>
    </w:p>
    <w:p w:rsidR="00A31137" w:rsidRPr="00A31137" w:rsidRDefault="00A31137" w:rsidP="00A31137">
      <w:r w:rsidRPr="00A31137">
        <w:t>Maryland—S. 187, 1995 Leg.Sess. (introduced Jan. 27, 1995) (in general, would cap punitive damages at four times compensatory damages).</w:t>
      </w:r>
    </w:p>
    <w:p w:rsidR="00A31137" w:rsidRPr="00A31137" w:rsidRDefault="00A31137" w:rsidP="00A31137">
      <w:r w:rsidRPr="00A31137">
        <w:t>1996, BMW of North America, Inc. v. Gore, No. 94-896</w:t>
      </w:r>
    </w:p>
    <w:p w:rsidR="00A31137" w:rsidRPr="00A31137" w:rsidRDefault="00A31137" w:rsidP="00A31137">
      <w:r w:rsidRPr="00A31137">
        <w:t>Minnesota—S. 489, 79th Leg.Sess., 1995 Reg.Sess. (introduced Feb. 16, 1995) (would require reasonable relationship between compensatory and punitive damages).</w:t>
      </w:r>
    </w:p>
    <w:p w:rsidR="00A31137" w:rsidRPr="00A31137" w:rsidRDefault="00A31137" w:rsidP="00A31137">
      <w:r w:rsidRPr="00A31137">
        <w:t>1996, BMW of North America, Inc. v. Gore, No. 94-896</w:t>
      </w:r>
    </w:p>
    <w:p w:rsidR="00A31137" w:rsidRPr="00A31137" w:rsidRDefault="00A31137" w:rsidP="00A31137">
      <w:r w:rsidRPr="00A31137">
        <w:t>Nevada—Nev.Rev.Stat. § 42.005(1) (1993) (caps punitive damages at three times compensatory damages if compensatory damages equal $100,000 or more, and at $300,000 if the compensatory damages are less than $100,000).</w:t>
      </w:r>
    </w:p>
    <w:p w:rsidR="00A31137" w:rsidRPr="00A31137" w:rsidRDefault="00A31137" w:rsidP="00A31137">
      <w:r w:rsidRPr="00A31137">
        <w:t>1996, BMW of North America, Inc. v. Gore, No. 94-896</w:t>
      </w:r>
    </w:p>
    <w:p w:rsidR="00A31137" w:rsidRPr="00A31137" w:rsidRDefault="00A31137" w:rsidP="00A31137">
      <w:r w:rsidRPr="00A31137">
        <w:t>New Jersey—S. 1496, 206th Leg.,2d Ann.Sess. (1995) (caps punitive damages at greater of five times compensatory damages, or $350,000, in certain tort cases).</w:t>
      </w:r>
    </w:p>
    <w:p w:rsidR="00A31137" w:rsidRPr="00A31137" w:rsidRDefault="00A31137" w:rsidP="00A31137">
      <w:r w:rsidRPr="00A31137">
        <w:t>1996, BMW of North America, Inc. v. Gore, No. 94-896</w:t>
      </w:r>
    </w:p>
    <w:p w:rsidR="00A31137" w:rsidRPr="00A31137" w:rsidRDefault="00A31137" w:rsidP="00A31137">
      <w:r w:rsidRPr="00A31137">
        <w:t>North Dakota—N.D.Cent.Code § 32-03.2-11(4) (Supp. 1995) (caps punitive damages at greater of two times compensatory damages, or $250,000).</w:t>
      </w:r>
    </w:p>
    <w:p w:rsidR="00A31137" w:rsidRPr="00A31137" w:rsidRDefault="00A31137" w:rsidP="00A31137">
      <w:r w:rsidRPr="00A31137">
        <w:t>1996, BMW of North America, Inc. v. Gore, No. 94-896</w:t>
      </w:r>
    </w:p>
    <w:p w:rsidR="00A31137" w:rsidRPr="00A31137" w:rsidRDefault="00A31137" w:rsidP="00A31137">
      <w:r w:rsidRPr="00A31137">
        <w:t>Oklahoma—Okla Stat., Tit. 23, §§ 9.1(B)-(D) (Supp. 1996) (caps punitive damages at greater of $100,000, or actual damages, if jury finds defendant guilty of reckless disregard; and at greatest of $500,000, twice actual damages, or the benefit accruing to defendant from the injury-causing conduct, if jury finds that defendant has acted intentionally and maliciously).</w:t>
      </w:r>
    </w:p>
    <w:p w:rsidR="00A31137" w:rsidRPr="00A31137" w:rsidRDefault="00A31137" w:rsidP="00A31137">
      <w:r w:rsidRPr="00A31137">
        <w:t>1996, BMW of North America, Inc. v. Gore, No. 94-896</w:t>
      </w:r>
    </w:p>
    <w:p w:rsidR="00A31137" w:rsidRPr="00A31137" w:rsidRDefault="00A31137" w:rsidP="00A31137">
      <w:r w:rsidRPr="00A31137">
        <w:t>Texas—S. 25, 74th Reg.Sess. (enacted Apr. 20, 1995) (caps punitive damages at twice economic damages, plus up to $750,000 additional noneconomic damages).</w:t>
      </w:r>
    </w:p>
    <w:p w:rsidR="00A31137" w:rsidRPr="00A31137" w:rsidRDefault="00A31137" w:rsidP="00A31137">
      <w:r w:rsidRPr="00A31137">
        <w:t>1996, BMW of North America, Inc. v. Gore, No. 94-896</w:t>
      </w:r>
    </w:p>
    <w:p w:rsidR="00A31137" w:rsidRPr="00A31137" w:rsidRDefault="00A31137" w:rsidP="00A31137">
      <w:r w:rsidRPr="00A31137">
        <w:t>Virginia—Va.Code Ann. § 8.01-38.1 (1992) (caps punitive damages at $350,000).</w:t>
      </w:r>
    </w:p>
    <w:p w:rsidR="00A31137" w:rsidRPr="00A31137" w:rsidRDefault="00A31137" w:rsidP="00A31137">
      <w:r w:rsidRPr="00A31137">
        <w:t>II. Allocation of Punitive Damages to State Agencies</w:t>
      </w:r>
    </w:p>
    <w:p w:rsidR="00A31137" w:rsidRPr="00A31137" w:rsidRDefault="00A31137" w:rsidP="00A31137">
      <w:r w:rsidRPr="00A31137">
        <w:t>1996, BMW of North America, Inc. v. Gore, No. 94-896</w:t>
      </w:r>
    </w:p>
    <w:p w:rsidR="00A31137" w:rsidRPr="00A31137" w:rsidRDefault="00A31137" w:rsidP="00A31137">
      <w:r w:rsidRPr="00A31137">
        <w:t>Arizona—H. R. 2279, 42d Leg., 1st Reg.Sess. (introduced Jan. 12, 1995) (would allocate punitive damages to a victims' assistance fund, in specified circumstances).</w:t>
      </w:r>
    </w:p>
    <w:p w:rsidR="00A31137" w:rsidRPr="00A31137" w:rsidRDefault="00A31137" w:rsidP="00A31137">
      <w:r w:rsidRPr="00A31137">
        <w:t>1996, BMW of North America, Inc. v. Gore, No. 94-896</w:t>
      </w:r>
    </w:p>
    <w:p w:rsidR="00A31137" w:rsidRPr="00A31137" w:rsidRDefault="00A31137" w:rsidP="00A31137">
      <w:r w:rsidRPr="00A31137">
        <w:t>Florida—Fla.Stat. §§ 768.73(2)(a)-(b) (Supp. 1992) (allocates 35% of punitive damages to General Revenue Fund or Public Medical Assistance Trust Fund); see Gordon v. State, 585 So.2d 1033, 1035-1038 (Fla.App. 1991), aff'd, 608 So.2d 800 (Fla. 1992) (upholding provision against due process challenge).</w:t>
      </w:r>
    </w:p>
    <w:p w:rsidR="00A31137" w:rsidRPr="00A31137" w:rsidRDefault="00A31137" w:rsidP="00A31137">
      <w:r w:rsidRPr="00A31137">
        <w:t>1996, BMW of North America, Inc. v. Gore, No. 94-896</w:t>
      </w:r>
    </w:p>
    <w:p w:rsidR="00A31137" w:rsidRPr="00A31137" w:rsidRDefault="00A31137" w:rsidP="00A31137">
      <w:r w:rsidRPr="00A31137">
        <w:t>Georgia—Ga.Code Ann. § 51-12-5.1(e)(2) (Supp. 1995) (allocates 75% of punitive damages, less a proportionate part of litigation costs, including counsel fees, to state treasury); see Mack Trucks, Inc. v. Conkle, 263 Ga. 539, 540-543, 436 S.E.2d 635, 637-639 (Ga. 1993) (upholding provision against constitutional challenge).</w:t>
      </w:r>
    </w:p>
    <w:p w:rsidR="00A31137" w:rsidRPr="00A31137" w:rsidRDefault="00A31137" w:rsidP="00A31137">
      <w:r w:rsidRPr="00A31137">
        <w:t>1996, BMW of North America, Inc. v. Gore, No. 94-896</w:t>
      </w:r>
    </w:p>
    <w:p w:rsidR="00A31137" w:rsidRPr="00A31137" w:rsidRDefault="00A31137" w:rsidP="00A31137">
      <w:r w:rsidRPr="00A31137">
        <w:t>Illinois—Ill.Comp.Stat. ch. 735, § 5/2-1207 (1994) (permits court to apportion punitive damages among plaintiff, plaintiff's attorney, and Illinois Department of Rehabilitation Services).</w:t>
      </w:r>
    </w:p>
    <w:p w:rsidR="00A31137" w:rsidRPr="00A31137" w:rsidRDefault="00A31137" w:rsidP="00A31137">
      <w:r w:rsidRPr="00A31137">
        <w:t>1996, BMW of North America, Inc. v. Gore, No. 94-896</w:t>
      </w:r>
    </w:p>
    <w:p w:rsidR="00A31137" w:rsidRPr="00A31137" w:rsidRDefault="00A31137" w:rsidP="00A31137">
      <w:r w:rsidRPr="00A31137">
        <w:t>Indiana—H. 1741, 109th Reg.Sess. (enacted Apr. 26, 1995) (subject to statutory exceptions, allocates 75% of punitive damages to a compensation fund for violent crime victims).</w:t>
      </w:r>
    </w:p>
    <w:p w:rsidR="00A31137" w:rsidRPr="00A31137" w:rsidRDefault="00A31137" w:rsidP="00A31137">
      <w:r w:rsidRPr="00A31137">
        <w:t>1996, BMW of North America, Inc. v. Gore, No. 94-896</w:t>
      </w:r>
    </w:p>
    <w:p w:rsidR="00A31137" w:rsidRPr="00A31137" w:rsidRDefault="00A31137" w:rsidP="00A31137">
      <w:r w:rsidRPr="00A31137">
        <w:t>Iowa—Iowa Code § 668A.1(2)(b) (1987) (in described circumstances, allocates 75% of punitive damages, after payment of costs and counsel fees, to a civil reparations trust fund); see Shepherd Components, Inc. v. Brice Petrides-Donohue &amp; Assoc., Inc., 473 N.W.2d 612, 619 (Iowa 1991) (upholding provision against constitutional challenge).</w:t>
      </w:r>
    </w:p>
    <w:p w:rsidR="00A31137" w:rsidRPr="00A31137" w:rsidRDefault="00A31137" w:rsidP="00A31137">
      <w:r w:rsidRPr="00A31137">
        <w:t>1996, BMW of North America, Inc. v. Gore, No. 94-896</w:t>
      </w:r>
    </w:p>
    <w:p w:rsidR="00A31137" w:rsidRPr="00A31137" w:rsidRDefault="00A31137" w:rsidP="00A31137">
      <w:r w:rsidRPr="00A31137">
        <w:t>Kansas—Kan.Stat.Ann. § 60-3402(e) (1994) (allocates 50% of punitive damages in medical malpractice cases to state treasury).</w:t>
      </w:r>
    </w:p>
    <w:p w:rsidR="00A31137" w:rsidRPr="00A31137" w:rsidRDefault="00A31137" w:rsidP="00A31137">
      <w:r w:rsidRPr="00A31137">
        <w:t>1996, BMW of North America, Inc. v. Gore, No. 94-896</w:t>
      </w:r>
    </w:p>
    <w:p w:rsidR="00A31137" w:rsidRPr="00A31137" w:rsidRDefault="00A31137" w:rsidP="00A31137">
      <w:r w:rsidRPr="00A31137">
        <w:t>Missouri—Mo.Rev.Stat. § 537.675 (1994) (allocates 50% of punitive damages, after payment of expenses and counsel fees, to Tort Victims' Compensation Fund).</w:t>
      </w:r>
    </w:p>
    <w:p w:rsidR="00A31137" w:rsidRPr="00A31137" w:rsidRDefault="00A31137" w:rsidP="00A31137">
      <w:r w:rsidRPr="00A31137">
        <w:t>1996, BMW of North America, Inc. v. Gore, No. 94-896</w:t>
      </w:r>
    </w:p>
    <w:p w:rsidR="00A31137" w:rsidRPr="00A31137" w:rsidRDefault="00A31137" w:rsidP="00A31137">
      <w:r w:rsidRPr="00A31137">
        <w:t>Montana—H. 71, 54th Leg.Sess. (introduced Jan. 2, 1995) (would allocate 48% of punitive damages to state university system and 12% to school for the deaf and blind).</w:t>
      </w:r>
    </w:p>
    <w:p w:rsidR="00A31137" w:rsidRPr="00A31137" w:rsidRDefault="00A31137" w:rsidP="00A31137">
      <w:r w:rsidRPr="00A31137">
        <w:t>1996, BMW of North America, Inc. v. Gore, No. 94-896</w:t>
      </w:r>
    </w:p>
    <w:p w:rsidR="00A31137" w:rsidRPr="00A31137" w:rsidRDefault="00A31137" w:rsidP="00A31137">
      <w:r w:rsidRPr="00A31137">
        <w:t>New Jersey—S. 291, 206th Leg., 1994-1995 1st Reg.Sess. (introduced Jan. 18, 1994); A. 148, 206th Leg., 1994-1995 1st Reg.Sess. (introduced Jan. 11, 1994) (would allocate 75% of punitive damages to New Jersey Health Care Trust Fund).</w:t>
      </w:r>
    </w:p>
    <w:p w:rsidR="00A31137" w:rsidRPr="00A31137" w:rsidRDefault="00A31137" w:rsidP="00A31137">
      <w:r w:rsidRPr="00A31137">
        <w:t>1996, BMW of North America, Inc. v. Gore, No. 94-896</w:t>
      </w:r>
    </w:p>
    <w:p w:rsidR="00A31137" w:rsidRPr="00A31137" w:rsidRDefault="00A31137" w:rsidP="00A31137">
      <w:r w:rsidRPr="00A31137">
        <w:t>New Mexico—H. 1017, 42d Leg., 1st Sess. (introduced Feb. 16, 1995) (would allocate punitive damages to Low-Income Attorney Services Fund).</w:t>
      </w:r>
    </w:p>
    <w:p w:rsidR="00A31137" w:rsidRPr="00A31137" w:rsidRDefault="00A31137" w:rsidP="00A31137">
      <w:r w:rsidRPr="00A31137">
        <w:t>1996, BMW of North America, Inc. v. Gore, No. 94-896</w:t>
      </w:r>
    </w:p>
    <w:p w:rsidR="00A31137" w:rsidRPr="00A31137" w:rsidRDefault="00A31137" w:rsidP="00A31137">
      <w:r w:rsidRPr="00A31137">
        <w:t>Oregon—S. 482, 68th Leg. Ass. (enacted July 19, 1995) (amending Ore.Rev.Stat. §§ 18.540 and 30.925, and repealing Ore.Rev.Stat. § 41.315) (allocates 60% of punitive damages to Criminal Injuries Compensation Account).</w:t>
      </w:r>
    </w:p>
    <w:p w:rsidR="00A31137" w:rsidRPr="00A31137" w:rsidRDefault="00A31137" w:rsidP="00A31137">
      <w:r w:rsidRPr="00A31137">
        <w:t>1996, BMW of North America, Inc. v. Gore, No. 94-896</w:t>
      </w:r>
    </w:p>
    <w:p w:rsidR="00A31137" w:rsidRPr="00A31137" w:rsidRDefault="00A31137" w:rsidP="00A31137">
      <w:r w:rsidRPr="00A31137">
        <w:t>Utah—Utah Code Ann. § 78-18-1(3) (1992) (allocates 50% of punitive damages in excess of $20,000 to state treasury).</w:t>
      </w:r>
    </w:p>
    <w:p w:rsidR="00A31137" w:rsidRPr="00A31137" w:rsidRDefault="00A31137" w:rsidP="00A31137">
      <w:r w:rsidRPr="00A31137">
        <w:t>III. Mandatory Bifurcation of Liability and</w:t>
      </w:r>
    </w:p>
    <w:p w:rsidR="00A31137" w:rsidRPr="00A31137" w:rsidRDefault="00A31137" w:rsidP="00A31137">
      <w:r w:rsidRPr="00A31137">
        <w:t>Punitive Damages Determinations</w:t>
      </w:r>
    </w:p>
    <w:p w:rsidR="00A31137" w:rsidRPr="00A31137" w:rsidRDefault="00A31137" w:rsidP="00A31137">
      <w:r w:rsidRPr="00A31137">
        <w:t>1996, BMW of North America, Inc. v. Gore, No. 94-896</w:t>
      </w:r>
    </w:p>
    <w:p w:rsidR="00A31137" w:rsidRPr="00A31137" w:rsidRDefault="00A31137" w:rsidP="00A31137">
      <w:r w:rsidRPr="00A31137">
        <w:t>California—Cal. Civ.Code Ann. § 3295(d) (West Supp. 1995) (requires bifurcation, on application of defendant, of liability and damages phases of trials in which punitive damages are requested).</w:t>
      </w:r>
    </w:p>
    <w:p w:rsidR="00A31137" w:rsidRPr="00A31137" w:rsidRDefault="00A31137" w:rsidP="00A31137">
      <w:r w:rsidRPr="00A31137">
        <w:t>1996, BMW of North America, Inc. v. Gore, No. 94-896</w:t>
      </w:r>
    </w:p>
    <w:p w:rsidR="00A31137" w:rsidRPr="00A31137" w:rsidRDefault="00A31137" w:rsidP="00A31137">
      <w:r w:rsidRPr="00A31137">
        <w:t>Delaware—H. R. 237, 138th Gen.Ass. (introduced May 17, 1995) (would require at request of any party, a separate proceeding for determination of punitive damages).</w:t>
      </w:r>
    </w:p>
    <w:p w:rsidR="00A31137" w:rsidRPr="00A31137" w:rsidRDefault="00A31137" w:rsidP="00A31137">
      <w:r w:rsidRPr="00A31137">
        <w:t>1996, BMW of North America, Inc. v. Gore, No. 94-896</w:t>
      </w:r>
    </w:p>
    <w:p w:rsidR="00A31137" w:rsidRPr="00A31137" w:rsidRDefault="00A31137" w:rsidP="00A31137">
      <w:r w:rsidRPr="00A31137">
        <w:t>Georgia—Ga.Code Ann. § 51-12-5.1(d) (Supp. 1995) (in all cases in which punitive damages are claimed, liability for punitive damages is tried first, then amount of punitive damages).</w:t>
      </w:r>
    </w:p>
    <w:p w:rsidR="00A31137" w:rsidRPr="00A31137" w:rsidRDefault="00A31137" w:rsidP="00A31137">
      <w:r w:rsidRPr="00A31137">
        <w:t>1996, BMW of North America, Inc. v. Gore, No. 94-896</w:t>
      </w:r>
    </w:p>
    <w:p w:rsidR="00A31137" w:rsidRPr="00A31137" w:rsidRDefault="00A31137" w:rsidP="00A31137">
      <w:r w:rsidRPr="00A31137">
        <w:t>Illinois—H. 20, 89th Gen. Assembly, 1995-1996 Reg.Sess. (enacted Mar. 9, 1995) (mandates, upon defendant's request, separate proceeding for determination of punitive damages).</w:t>
      </w:r>
    </w:p>
    <w:p w:rsidR="00A31137" w:rsidRPr="00A31137" w:rsidRDefault="00A31137" w:rsidP="00A31137">
      <w:r w:rsidRPr="00A31137">
        <w:t>1996, BMW of North America, Inc. v. Gore, No. 94-896</w:t>
      </w:r>
    </w:p>
    <w:p w:rsidR="00A31137" w:rsidRPr="00A31137" w:rsidRDefault="00A31137" w:rsidP="00A31137">
      <w:r w:rsidRPr="00A31137">
        <w:t>Kansas—Kan.Stat.Ann. § 60-3701(a)-(b) (1994) (trier of fact determines defendant's liability for punitive damages, then court determines amount of such damages).</w:t>
      </w:r>
    </w:p>
    <w:p w:rsidR="00A31137" w:rsidRPr="00A31137" w:rsidRDefault="00A31137" w:rsidP="00A31137">
      <w:r w:rsidRPr="00A31137">
        <w:t>1996, BMW of North America, Inc. v. Gore, No. 94-896</w:t>
      </w:r>
    </w:p>
    <w:p w:rsidR="00A31137" w:rsidRPr="00A31137" w:rsidRDefault="00A31137" w:rsidP="00A31137">
      <w:r w:rsidRPr="00A31137">
        <w:t>Missouri—Mo.Rev.Stat. §§ 510.263(1) and (3) (1994) (mandates bifurcated proceedings, on request of any party, for jury to determine first whether defendant is liable for punitive damages, then amount of punitive damages).</w:t>
      </w:r>
    </w:p>
    <w:p w:rsidR="00A31137" w:rsidRPr="00A31137" w:rsidRDefault="00A31137" w:rsidP="00A31137">
      <w:r w:rsidRPr="00A31137">
        <w:t>1996, BMW of North America, Inc. v. Gore, No. 94-896</w:t>
      </w:r>
    </w:p>
    <w:p w:rsidR="00A31137" w:rsidRPr="00A31137" w:rsidRDefault="00A31137" w:rsidP="00A31137">
      <w:r w:rsidRPr="00A31137">
        <w:t>Montana—Mont.Code Ann. § 27-1-221(7) (1995) (upon finding defendant liable for punitive damages, jury determines the amount in separate proceeding).</w:t>
      </w:r>
    </w:p>
    <w:p w:rsidR="00A31137" w:rsidRPr="00A31137" w:rsidRDefault="00A31137" w:rsidP="00A31137">
      <w:r w:rsidRPr="00A31137">
        <w:t>1996, BMW of North America, Inc. v. Gore, No. 94-896</w:t>
      </w:r>
    </w:p>
    <w:p w:rsidR="00A31137" w:rsidRPr="00A31137" w:rsidRDefault="00A31137" w:rsidP="00A31137">
      <w:r w:rsidRPr="00A31137">
        <w:t>Nevada—Nev.Rev.Stat. § 42.005(3) (1993) (if jury determines that punitive damages will be awarded, jury then determines amount in separate proceeding).</w:t>
      </w:r>
    </w:p>
    <w:p w:rsidR="00A31137" w:rsidRPr="00A31137" w:rsidRDefault="00A31137" w:rsidP="00A31137">
      <w:r w:rsidRPr="00A31137">
        <w:t>1996, BMW of North America, Inc. v. Gore, No. 94-896</w:t>
      </w:r>
    </w:p>
    <w:p w:rsidR="00A31137" w:rsidRPr="00A31137" w:rsidRDefault="00A31137" w:rsidP="00A31137">
      <w:r w:rsidRPr="00A31137">
        <w:t>New Jersey—N.J.Stat.Ann. §§ 2A:58C-5(b) and (d) (West 1987) (mandates separate proceedings for determination of compensatory and punitive damages).</w:t>
      </w:r>
    </w:p>
    <w:p w:rsidR="00A31137" w:rsidRPr="00A31137" w:rsidRDefault="00A31137" w:rsidP="00A31137">
      <w:r w:rsidRPr="00A31137">
        <w:t>1996, BMW of North America, Inc. v. Gore, No. 94-896</w:t>
      </w:r>
    </w:p>
    <w:p w:rsidR="00A31137" w:rsidRPr="00A31137" w:rsidRDefault="00A31137" w:rsidP="00A31137">
      <w:r w:rsidRPr="00A31137">
        <w:t>North Dakota—N. D. Cent.Code § 32.03.2-11(2) (Supp. 1995) (upon request of either party, trier of fact determines whether compensatory damages will be awarded before determining punitive damages liability and amount).</w:t>
      </w:r>
    </w:p>
    <w:p w:rsidR="00A31137" w:rsidRPr="00A31137" w:rsidRDefault="00A31137" w:rsidP="00A31137">
      <w:r w:rsidRPr="00A31137">
        <w:t>1996, BMW of North America, Inc. v. Gore, No. 94-896</w:t>
      </w:r>
    </w:p>
    <w:p w:rsidR="00A31137" w:rsidRPr="00A31137" w:rsidRDefault="00A31137" w:rsidP="00A31137">
      <w:r w:rsidRPr="00A31137">
        <w:t>Ohio—Ohio Rev.Code Ann. § 2315.21(C)(2) (1995) (if trier of fact determines that defendant is liable for punitive damages, court determines the amount of those damages).</w:t>
      </w:r>
    </w:p>
    <w:p w:rsidR="00A31137" w:rsidRPr="00A31137" w:rsidRDefault="00A31137" w:rsidP="00A31137">
      <w:r w:rsidRPr="00A31137">
        <w:t>1996, BMW of North America, Inc. v. Gore, No. 94-896</w:t>
      </w:r>
    </w:p>
    <w:p w:rsidR="00A31137" w:rsidRPr="00A31137" w:rsidRDefault="00A31137" w:rsidP="00A31137">
      <w:r w:rsidRPr="00A31137">
        <w:t>Oklahoma—Okla.Stat., Tit. 23, §§ 9.1(B)-(D) (Supp. 1995-1996) (requires separate jury proceedings for punitive damages); S. 443, 45th Leg., 1st Reg.Sess. (introduced Jan. 31, 1995) (would require courts to strike requests for punitive damages before trial, unless plaintiff presents prima facie evidence at least 30 days before trial to sustain such damages; provide for bifurcated jury trial on request of defendant; and permit punitive damages only if compensatory damages are awarded).</w:t>
      </w:r>
    </w:p>
    <w:p w:rsidR="00A31137" w:rsidRPr="00A31137" w:rsidRDefault="00A31137" w:rsidP="00A31137">
      <w:r w:rsidRPr="00A31137">
        <w:t>1996, BMW of North America, Inc. v. Gore, No. 94-896</w:t>
      </w:r>
    </w:p>
    <w:p w:rsidR="00A31137" w:rsidRPr="00A31137" w:rsidRDefault="00A31137" w:rsidP="00A31137">
      <w:r w:rsidRPr="00A31137">
        <w:t>Virginia—H. 1070, 1994-1995 Reg.Sess. (introduced Jan. 25, 1994) (would require separate proceedings in which court determines that punitive damages are appropriate and trier of fact determines amount of punitive damages).</w:t>
      </w:r>
    </w:p>
    <w:p w:rsidR="00A31137" w:rsidRPr="00A31137" w:rsidRDefault="00A31137" w:rsidP="00A31137">
      <w:r w:rsidRPr="00A31137">
        <w:t>Footnotes</w:t>
      </w:r>
    </w:p>
    <w:p w:rsidR="00A31137" w:rsidRPr="00A31137" w:rsidRDefault="00A31137" w:rsidP="00A31137">
      <w:r w:rsidRPr="00A31137">
        <w:t>STEVENS, J., lead opinion (Footnotes)</w:t>
      </w:r>
    </w:p>
    <w:p w:rsidR="00A31137" w:rsidRPr="00A31137" w:rsidRDefault="00A31137" w:rsidP="00A31137">
      <w:r w:rsidRPr="00A31137">
        <w:t>1996, BMW of North America, Inc. v. Gore, No. 94-896</w:t>
      </w:r>
    </w:p>
    <w:p w:rsidR="00A31137" w:rsidRPr="00A31137" w:rsidRDefault="00A31137" w:rsidP="00A31137">
      <w:r w:rsidRPr="00A31137">
        <w:t>1. The top, hood, trunk, and quarter panels of Dr. Gore's car were repainted at BMW's vehicle preparation center in Brunswick, Georgia. The parties presumed that the damage was caused by exposure to acid rain during transit between the manufacturing plant in Germany and the preparation center.</w:t>
      </w:r>
    </w:p>
    <w:p w:rsidR="00A31137" w:rsidRPr="00A31137" w:rsidRDefault="00A31137" w:rsidP="00A31137">
      <w:r w:rsidRPr="00A31137">
        <w:t>1996, BMW of North America, Inc. v. Gore, No. 94-896</w:t>
      </w:r>
    </w:p>
    <w:p w:rsidR="00A31137" w:rsidRPr="00A31137" w:rsidRDefault="00A31137" w:rsidP="00A31137">
      <w:r w:rsidRPr="00A31137">
        <w:t>2. Dr. Gore also named the German manufacturer and the Birmingham dealership as defendants.</w:t>
      </w:r>
    </w:p>
    <w:p w:rsidR="00A31137" w:rsidRPr="00A31137" w:rsidRDefault="00A31137" w:rsidP="00A31137">
      <w:r w:rsidRPr="00A31137">
        <w:t>1996, BMW of North America, Inc. v. Gore, No. 94-896</w:t>
      </w:r>
    </w:p>
    <w:p w:rsidR="00A31137" w:rsidRPr="00A31137" w:rsidRDefault="00A31137" w:rsidP="00A31137">
      <w:r w:rsidRPr="00A31137">
        <w:t>3. Alabama codified its common law cause of action for fraud in a 1907 statute that is still in effect. Hackmeyer v. Hackmeyer, 268 Ala. 329, 333, 106 So.2d 245, 249 (Ala. 1958). The statute provides:</w:t>
      </w:r>
    </w:p>
    <w:p w:rsidR="00A31137" w:rsidRPr="00A31137" w:rsidRDefault="00A31137" w:rsidP="00A31137">
      <w:r w:rsidRPr="00A31137">
        <w:t>1996, BMW of North America, Inc. v. Gore, No. 94-896</w:t>
      </w:r>
    </w:p>
    <w:p w:rsidR="00A31137" w:rsidRPr="00A31137" w:rsidRDefault="00A31137" w:rsidP="00A31137">
      <w:r w:rsidRPr="00A31137">
        <w:t>Suppression of a material fact which the party is under an obligation to communicate constitutes fraud. The obligation to communicate may arise from the confidential relations of the parties or from the particular circumstances of the case.</w:t>
      </w:r>
    </w:p>
    <w:p w:rsidR="00A31137" w:rsidRPr="00A31137" w:rsidRDefault="00A31137" w:rsidP="00A31137">
      <w:r w:rsidRPr="00A31137">
        <w:t>1996, BMW of North America, Inc. v. Gore, No. 94-896</w:t>
      </w:r>
    </w:p>
    <w:p w:rsidR="00A31137" w:rsidRPr="00A31137" w:rsidRDefault="00A31137" w:rsidP="00A31137">
      <w:r w:rsidRPr="00A31137">
        <w:t>Ala.Code § 6-5-102 (1993); see Ala.Code § 4299 (1907).</w:t>
      </w:r>
    </w:p>
    <w:p w:rsidR="00A31137" w:rsidRPr="00A31137" w:rsidRDefault="00A31137" w:rsidP="00A31137">
      <w:r w:rsidRPr="00A31137">
        <w:t>1996, BMW of North America, Inc. v. Gore, No. 94-896</w:t>
      </w:r>
    </w:p>
    <w:p w:rsidR="00A31137" w:rsidRPr="00A31137" w:rsidRDefault="00A31137" w:rsidP="00A31137">
      <w:r w:rsidRPr="00A31137">
        <w:t>4. The dealer who testified to the reduction in value is the former owner of the Birmingham dealership sued in this action. He sold the dealership approximately one year before the trial.</w:t>
      </w:r>
    </w:p>
    <w:p w:rsidR="00A31137" w:rsidRPr="00A31137" w:rsidRDefault="00A31137" w:rsidP="00A31137">
      <w:r w:rsidRPr="00A31137">
        <w:t>1996, BMW of North America, Inc. v. Gore, No. 94-896</w:t>
      </w:r>
    </w:p>
    <w:p w:rsidR="00A31137" w:rsidRPr="00A31137" w:rsidRDefault="00A31137" w:rsidP="00A31137">
      <w:r w:rsidRPr="00A31137">
        <w:t>5. Dr. Gore did not explain the significance of the $300 cut-off.</w:t>
      </w:r>
    </w:p>
    <w:p w:rsidR="00A31137" w:rsidRPr="00A31137" w:rsidRDefault="00A31137" w:rsidP="00A31137">
      <w:r w:rsidRPr="00A31137">
        <w:t>1996, BMW of North America, Inc. v. Gore, No. 94-896</w:t>
      </w:r>
    </w:p>
    <w:p w:rsidR="00A31137" w:rsidRPr="00A31137" w:rsidRDefault="00A31137" w:rsidP="00A31137">
      <w:r w:rsidRPr="00A31137">
        <w:t>6. The jury also found the Birmingham dealership liable for Dr. Gore's compensatory damages and the German manufacturer liable for both the compensatory and punitive damages. The dealership did not appeal the judgment against it. The Alabama Supreme Court held that the trial court did not have jurisdiction over the German manufacturer and therefore reversed the judgment against that defendant.</w:t>
      </w:r>
    </w:p>
    <w:p w:rsidR="00A31137" w:rsidRPr="00A31137" w:rsidRDefault="00A31137" w:rsidP="00A31137">
      <w:r w:rsidRPr="00A31137">
        <w:t>1996, BMW of North America, Inc. v. Gore, No. 94-896</w:t>
      </w:r>
    </w:p>
    <w:p w:rsidR="00A31137" w:rsidRPr="00A31137" w:rsidRDefault="00A31137" w:rsidP="00A31137">
      <w:r w:rsidRPr="00A31137">
        <w:t>7. BMW acknowledged that a Georgia statute enacted after Dr. Gore purchased his car would require disclosure of similar repairs to a car before it was sold in Georgia. Ga.Code Ann. §§ 40-1-5(b)-(e) (1994).</w:t>
      </w:r>
    </w:p>
    <w:p w:rsidR="00A31137" w:rsidRPr="00A31137" w:rsidRDefault="00A31137" w:rsidP="00A31137">
      <w:r w:rsidRPr="00A31137">
        <w:t>1996, BMW of North America, Inc. v. Gore, No. 94-896</w:t>
      </w:r>
    </w:p>
    <w:p w:rsidR="00A31137" w:rsidRPr="00A31137" w:rsidRDefault="00A31137" w:rsidP="00A31137">
      <w:r w:rsidRPr="00A31137">
        <w:t>8. While awarding a comparable amount of compensatory damages, the Yates jury awarded no punitive damages at all. In Yates, the plaintiff also relied on the 1983 nondisclosure policy, but instead of offering evidence of 983 repairs costing more than $300 each, he introduced a bulk exhibit containing 5,856 repair bills to show that petitioner had sold over 5,800 new BMW vehicles without disclosing that they had been repaired.</w:t>
      </w:r>
    </w:p>
    <w:p w:rsidR="00A31137" w:rsidRPr="00A31137" w:rsidRDefault="00A31137" w:rsidP="00A31137">
      <w:r w:rsidRPr="00A31137">
        <w:t>1996, BMW of North America, Inc. v. Gore, No. 94-896</w:t>
      </w:r>
    </w:p>
    <w:p w:rsidR="00A31137" w:rsidRPr="00A31137" w:rsidRDefault="00A31137" w:rsidP="00A31137">
      <w:r w:rsidRPr="00A31137">
        <w:t>9. Prior to the lawsuits filed by Dr. Yates and Dr. Gore, BMW and various BMW dealers had been sued 14 times concerning presale paint or damage repair. According to the testimony of BMW's in-house counsel at the postjudgment hearing on damages, only one of the suits concerned a car repainted by BMW.</w:t>
      </w:r>
    </w:p>
    <w:p w:rsidR="00A31137" w:rsidRPr="00A31137" w:rsidRDefault="00A31137" w:rsidP="00A31137">
      <w:r w:rsidRPr="00A31137">
        <w:t>1996, BMW of North America, Inc. v. Gore, No. 94-896</w:t>
      </w:r>
    </w:p>
    <w:p w:rsidR="00A31137" w:rsidRPr="00A31137" w:rsidRDefault="00A31137" w:rsidP="00A31137">
      <w:r w:rsidRPr="00A31137">
        <w:t>10. The Alabama Supreme Court did not indicate whether the $2 million figure represented the court's independent assessment of the appropriate level of punitive damages, or its determination of the maximum amount that the jury could have awarded consistent with the Due Process Clause.</w:t>
      </w:r>
    </w:p>
    <w:p w:rsidR="00A31137" w:rsidRPr="00A31137" w:rsidRDefault="00A31137" w:rsidP="00A31137">
      <w:r w:rsidRPr="00A31137">
        <w:t>1996, BMW of North America, Inc. v. Gore, No. 94-896</w:t>
      </w:r>
    </w:p>
    <w:p w:rsidR="00A31137" w:rsidRPr="00A31137" w:rsidRDefault="00A31137" w:rsidP="00A31137">
      <w:r w:rsidRPr="00A31137">
        <w:t>11. Other than Yates v. BMW of North America, Inc., 642 So.2d 937 (Ala. 1993), in which no punitive damages were awarded, the Alabama Supreme Court cited no such cases. In another portion of its opinion, 646 So.2d at 629, the court did cite five Alabama cases, none of which involved either a dispute arising out of the purchase of an automobile or an award of punitive damages. G. M. Mosley Contractors, Inc. v. Phillips, 487 So.2d 876, 879 (Ala. 1986); Hollis v. Wyrosdick, 508 So.2d 704 (Ala. 1987); Campbell v. Burns, 512 So.2d 1341, 1343 (Ala. 1987); Ashbee v. Brock, 510 So.2d 214 (Ala. 1987); and Jawad v. Granade, 497 So.2d 471 (Ala. 1986). All of these cases support the proposition that appellate courts in Alabama presume that jury verdicts are correct. In light of the Alabama Supreme Court's conclusion that (1) the jury had computed its award by multiplying $4,000 by the number of refinished vehicles sold in the United States and (2) that the award should have been based on Alabama conduct, respect for the error-free portion of the jury verdict would seem to produce an award of $56,000 ($4,000 multiplied by 14, the number of repainted vehicles sold in Alabama).</w:t>
      </w:r>
    </w:p>
    <w:p w:rsidR="00A31137" w:rsidRPr="00A31137" w:rsidRDefault="00A31137" w:rsidP="00A31137">
      <w:r w:rsidRPr="00A31137">
        <w:t>1996, BMW of North America, Inc. v. Gore, No. 94-896</w:t>
      </w:r>
    </w:p>
    <w:p w:rsidR="00A31137" w:rsidRPr="00A31137" w:rsidRDefault="00A31137" w:rsidP="00A31137">
      <w:r w:rsidRPr="00A31137">
        <w:t>12. See, e.g., Rivers v. BMW of North America, Inc., 214 Ga.App. 880, 449 S. E.2d 337 (1994) (nondisclosure of presale paint repairs that occurred before state disclosure statute enacted); Wedmore v. Jordan Motors, Inc., 589 N.E.2d 1180 (Ind.App. 1992) (same).</w:t>
      </w:r>
    </w:p>
    <w:p w:rsidR="00A31137" w:rsidRPr="00A31137" w:rsidRDefault="00A31137" w:rsidP="00A31137">
      <w:r w:rsidRPr="00A31137">
        <w:t>1996, BMW of North America, Inc. v. Gore, No. 94-896</w:t>
      </w:r>
    </w:p>
    <w:p w:rsidR="00A31137" w:rsidRPr="00A31137" w:rsidRDefault="00A31137" w:rsidP="00A31137">
      <w:r w:rsidRPr="00A31137">
        <w:t>13. Four States require disclosure of vehicle repairs costing more than 3 percent of suggested retail price. Ariz.Rev.Stat.Ann. § 28-1304.03 (1989); N.C.Gen.Stat. § 20-305.1(d)(5a) (1995); S.C.Code § 56-32-20 (Supp. 1995); Va.Code Ann. § 46.2-1571(D) (Supp. 1995). An additional three States mandate disclosure when the cost of repairs exceeds 3 percent or $500, whichever is greater. Ala.Code § 8-19-5(22)(c) (1993); Cal.Veh.Code Ann. §§ 9990-9991 (West Supp. 1996); Okla.Stat., Tit. 47, § 1112.1 (1991). Indiana imposes a 4 percent disclosure threshold. Ind.Code §§ 9-23-4-4, 9-23-4-5 (1993). Minnesota requires disclosure of repairs costing more than 4 percent of suggested retail price or $500, whichever is greater. Minn.Stat. § 325F.664 (1994). New York requires disclosure when the cost of repairs exceeds 5 percent of suggested retail price. N.Y.Gen.Bus.Law §§ 396-p(5)(a), (d) (McKinney Supp. 1996). Vermont imposes a 5 percent disclosure threshold for the first $10,000 in repair costs and 2 percent thereafter. Vt.Stat.Ann., Tit. 9, § 4087(d) (1993). Eleven States mandate disclosure only of damage costing more than 6 percent of retail value to repair. Ark.Code Ann. § 23-112-705 (1992); Idaho Code § 49-1624 (1994); Ill.Comp.Stat., ch. 815, § 710/5 (1994); Ky.Rev.Stat.Ann. § 190.0491(5) (Baldwin 1988); La.Rev.Stat.Ann. § 32:1260 (Supp. 1995); Miss.Motor Vehicle Comm'n, Regulation No. 1 (1992); N.H.Rev.Stat.Ann.§ 357-C:5(III)(d) (1995); Ohio Rev.Code Ann. § 4517.61 (1994); R. I. Gen. Laws §§ 31-5.1-18(d), (f) (1995); Wis.Stat. § 218.01(2d)(a) (1994); Wyo.Stat. § 31-16-115 (1994). Two States require disclosure of repairs costing $3,000 or more. See Iowa Code Ann. § 321.69 (Supp. 1996); N.D.Admin.Code § 37-09-01-01 (1992). Georgia mandates disclosure of paint damage that costs more than $500 to repair. Ga.Code Ann. §§ 40-1-5(b)-(e) (1994) (enacted after respondent purchased his car). Florida requires dealers to disclose paint repair costing more than $100 of which they have actual knowledge. Fla.Stat. § 320.27(9)(n) (1992). Oregon requires manufacturers to disclose all "post-manufacturing" damage and repairs. It is unclear whether this mandate would apply to repairs such as those at issue here. Ore.Rev.Stat. § 650.155 (1991).Many, but not all, of the statutes exclude from the computation of repair cost the value of certain components—typically items such as glass, tires, wheels and bumpers—when they are replaced with identical manufacturer's original equipment. E.g., Cal.Veh.Code Ann. §§ 9990-9991 (West Supp. 1996); Ga.Code Ann. §§ 40-1-5(b)-(e) (1994); Ill.Comp.Stat., ch. 815, § 710/5 (1994); Ky.Rev.Stat.Ann. § 190.0491(5) (Baldwin 1988); Okla.Stat., Tit. 47, § 1112.1 (1991); Va.Code Ann. § 46.2-1571(D) (Supp. 1995); Vt.Stat.Ann., Tit. 9, § 4087(d) (1993).</w:t>
      </w:r>
    </w:p>
    <w:p w:rsidR="00A31137" w:rsidRPr="00A31137" w:rsidRDefault="00A31137" w:rsidP="00A31137">
      <w:r w:rsidRPr="00A31137">
        <w:t>1996, BMW of North America, Inc. v. Gore, No. 94-896</w:t>
      </w:r>
    </w:p>
    <w:p w:rsidR="00A31137" w:rsidRPr="00A31137" w:rsidRDefault="00A31137" w:rsidP="00A31137">
      <w:r w:rsidRPr="00A31137">
        <w:t>14. Also, a state legislature might plausibly conclude that the administrative costs associated with full disclosure would have the effect of raising car prices to the State's residents.</w:t>
      </w:r>
    </w:p>
    <w:p w:rsidR="00A31137" w:rsidRPr="00A31137" w:rsidRDefault="00A31137" w:rsidP="00A31137">
      <w:r w:rsidRPr="00A31137">
        <w:t>1996, BMW of North America, Inc. v. Gore, No. 94-896</w:t>
      </w:r>
    </w:p>
    <w:p w:rsidR="00A31137" w:rsidRPr="00A31137" w:rsidRDefault="00A31137" w:rsidP="00A31137">
      <w:r w:rsidRPr="00A31137">
        <w:t>15. Federal disclosure requirements are, of course, a familiar part of our law. See, e.g., the Federal Food, Drug, and Cosmetic Act, as added by the Nutrition Labeling and Education Act of 1990, 104 Stat. 2353, 21 U.S.C. § 343; the Truth In Lending Act, 82 Stat. 148, as amended, 15 U.S.C. § 1604; the Securities and Exchange Act of 1934, 48 Stat. 892, 894, as amended, 15 U.S.C. §§ 78l-78m; Federal Cigarette Labeling and Advertising Act, 79 Stat. 283, as amended, 15 U.S.C. § 1333; Alcoholic Beverage Labeling Act of 1988, 102 Stat. 4519, 27 U.S.C. § 215.</w:t>
      </w:r>
    </w:p>
    <w:p w:rsidR="00A31137" w:rsidRPr="00A31137" w:rsidRDefault="00A31137" w:rsidP="00A31137">
      <w:r w:rsidRPr="00A31137">
        <w:t>1996, BMW of North America, Inc. v. Gore, No. 94-896</w:t>
      </w:r>
    </w:p>
    <w:p w:rsidR="00A31137" w:rsidRPr="00A31137" w:rsidRDefault="00A31137" w:rsidP="00A31137">
      <w:r w:rsidRPr="00A31137">
        <w:t>16. See also Bigelow v. Virginia, 421 U.S. 809,  824 (1975) ("A State does not acquire power or supervision over the internal affairs of another State merely because the welfare and health of its own citizens may be affected when they travel to that State"); New York Life Ins. Co. v. Head, 234 U.S. 149, 161 (1914) ("[I]t would be impossible to permit the statutes of Missouri to operate beyond the jurisdiction of that State…without throwing down the constitutional barriers by which all the States are restricted within the orbits of their lawful authority and upon the preservation of which the Government under the Constitution depends. This is so obviously the necessary result of the Constitution that it has rarely been called in question and hence authorities directly dealing with it do not abound"); Huntington v. Attrill, 146 U.S. 657, 669 (1892) ("Laws have no force of themselves beyond the jurisdiction of the State which enacts them, and can have extraterritorial effect only by the comity of other States").</w:t>
      </w:r>
    </w:p>
    <w:p w:rsidR="00A31137" w:rsidRPr="00A31137" w:rsidRDefault="00A31137" w:rsidP="00A31137">
      <w:r w:rsidRPr="00A31137">
        <w:t>1996, BMW of North America, Inc. v. Gore, No. 94-896</w:t>
      </w:r>
    </w:p>
    <w:p w:rsidR="00A31137" w:rsidRPr="00A31137" w:rsidRDefault="00A31137" w:rsidP="00A31137">
      <w:r w:rsidRPr="00A31137">
        <w:t>17. State power may be exercised as much by a jury's application of a state rule of law in a civil lawsuit as by a statute. See New York Co. Times v. Sullivan, 376 U.S. 254,  265 (1964) ("The test is not the form in which state power has been applied but, whatever the form, whether such power has in fact been exercised"); San Diego Building Trades Council v. Garmon, 359 U.S. 236,  247 (1959) ("regulation can be as effectively exerted through an award of damages as through some form of preventive relief").</w:t>
      </w:r>
    </w:p>
    <w:p w:rsidR="00A31137" w:rsidRPr="00A31137" w:rsidRDefault="00A31137" w:rsidP="00A31137">
      <w:r w:rsidRPr="00A31137">
        <w:t>1996, BMW of North America, Inc. v. Gore, No. 94-896</w:t>
      </w:r>
    </w:p>
    <w:p w:rsidR="00A31137" w:rsidRPr="00A31137" w:rsidRDefault="00A31137" w:rsidP="00A31137">
      <w:r w:rsidRPr="00A31137">
        <w:t>18. Brief for Respondent 11-12, 23, 27-28; Tr. of Oral Arg. 50-54. Dr. Gore's interest in altering the nationwide policy stems from his concern that BMW would not (or could not) discontinue the policy in Alabama alone. Id. at 11.</w:t>
      </w:r>
    </w:p>
    <w:p w:rsidR="00A31137" w:rsidRPr="00A31137" w:rsidRDefault="00A31137" w:rsidP="00A31137">
      <w:r w:rsidRPr="00A31137">
        <w:t>1996, BMW of North America, Inc. v. Gore, No. 94-896</w:t>
      </w:r>
    </w:p>
    <w:p w:rsidR="00A31137" w:rsidRPr="00A31137" w:rsidRDefault="00A31137" w:rsidP="00A31137">
      <w:r w:rsidRPr="00A31137">
        <w:t>If Alabama were limited to imposing punitive damages based only on BMW's gain from fraudulent sales in Alabama, the resulting award would have no prospect of protecting Alabama consumers from fraud, as it would provide no incentive for BMW to alter the unitary, national policy of nondisclosure which yielded BMW millions of dollars in profits.</w:t>
      </w:r>
    </w:p>
    <w:p w:rsidR="00A31137" w:rsidRPr="00A31137" w:rsidRDefault="00A31137" w:rsidP="00A31137">
      <w:r w:rsidRPr="00A31137">
        <w:t>1996, BMW of North America, Inc. v. Gore, No. 94-896</w:t>
      </w:r>
    </w:p>
    <w:p w:rsidR="00A31137" w:rsidRPr="00A31137" w:rsidRDefault="00A31137" w:rsidP="00A31137">
      <w:r w:rsidRPr="00A31137">
        <w:t>Id. at 23. The record discloses no basis for Dr. Gore's contention that BMW could not comply with Alabama's law without changing its nationwide policy.</w:t>
      </w:r>
    </w:p>
    <w:p w:rsidR="00A31137" w:rsidRPr="00A31137" w:rsidRDefault="00A31137" w:rsidP="00A31137">
      <w:r w:rsidRPr="00A31137">
        <w:t>1996, BMW of North America, Inc. v. Gore, No. 94-896</w:t>
      </w:r>
    </w:p>
    <w:p w:rsidR="00A31137" w:rsidRPr="00A31137" w:rsidRDefault="00A31137" w:rsidP="00A31137">
      <w:r w:rsidRPr="00A31137">
        <w:t>19. See Bordenkircher v. Hayes, 434 U.S. 357, 363 (1978) ("To punish a person because he has done what the law plainly allows him to do is a due process violation of the most basic sort"). Our cases concerning recidivist statutes are not to the contrary. Habitual offender statutes permit the sentencing court to enhance a defendant's punishment for a crime in light of prior convictions, including convictions in foreign jurisdictions. See e.g., Ala.Code § 13A-5-9 (1994); Cal.Penal Code Ann. §§ 667.5(f), 668 (West Supp. 1996); Ill.Comp.Stat., ch. 720, § 5/33B-1 (1994); N.Y.Penal Law §§ 70.04, 70.06, 70.08, 70.10 (McKinney 1987 and Supp. 1996); Tex.Penal Code Ann. § 12.42 (1994 and Supp. 1995-1996). A sentencing judge may even consider past criminal behavior which did not result in a conviction and lawful conduct that bears on the defendant's character and prospects for rehabilitation. Williams v. New York, 337 U.S. 241 (1949). But we have never held that a sentencing court could properly punish lawful conduct. This distinction is precisely the one we draw here. See n. 21, infra.</w:t>
      </w:r>
    </w:p>
    <w:p w:rsidR="00A31137" w:rsidRPr="00A31137" w:rsidRDefault="00A31137" w:rsidP="00A31137">
      <w:r w:rsidRPr="00A31137">
        <w:t>1996, BMW of North America, Inc. v. Gore, No. 94-896</w:t>
      </w:r>
    </w:p>
    <w:p w:rsidR="00A31137" w:rsidRPr="00A31137" w:rsidRDefault="00A31137" w:rsidP="00A31137">
      <w:r w:rsidRPr="00A31137">
        <w:t>20. Given that the verdict was based in part on out-of-state conduct that was lawful where it occurred, we need not consider whether one State may properly attempt to change a tortfeasors' unlawful conduct in another State.</w:t>
      </w:r>
    </w:p>
    <w:p w:rsidR="00A31137" w:rsidRPr="00A31137" w:rsidRDefault="00A31137" w:rsidP="00A31137">
      <w:r w:rsidRPr="00A31137">
        <w:t>1996, BMW of North America, Inc. v. Gore, No. 94-896</w:t>
      </w:r>
    </w:p>
    <w:p w:rsidR="00A31137" w:rsidRPr="00A31137" w:rsidRDefault="00A31137" w:rsidP="00A31137">
      <w:r w:rsidRPr="00A31137">
        <w:t>21. Of course, the fact that the Alabama Supreme Court correctly concluded that it was error for the jury to use the number of sales in other States as a multiplier in computing the amount of its punitive sanction does not mean that evidence describing out-of-state transactions is irrelevant in a case of this kind. To the contrary, as we stated in TXO Production Corp. v. Alliance Resources Corp., 509 U.S. 443, 462, n. 28 (1993), and discuss more fully infra, at 16-19, such evidence is relevant to the determination of the degree of reprehensibility of the defendant's conduct.</w:t>
      </w:r>
    </w:p>
    <w:p w:rsidR="00A31137" w:rsidRPr="00A31137" w:rsidRDefault="00A31137" w:rsidP="00A31137">
      <w:r w:rsidRPr="00A31137">
        <w:t>1996, BMW of North America, Inc. v. Gore, No. 94-896</w:t>
      </w:r>
    </w:p>
    <w:p w:rsidR="00A31137" w:rsidRPr="00A31137" w:rsidRDefault="00A31137" w:rsidP="00A31137">
      <w:r w:rsidRPr="00A31137">
        <w:t>22. See Miller v. Florida, 482 U.S. 423 (1987) (Ex Post Facto Clause violated by retroactive imposition of revised sentencing guidelines that provided longer sentence for defendant's crime); Bouie v. City of Columbia, 378 U.S. 347 (1964) (retroactive application of new construction of statute violated due process); id. at 350-355 (citing cases); Lankford v. Idaho, 500 U.S. 110 (1991) (due process violated because defendant and his counsel did not have adequate notice that judge might impose death sentence). The strict constitutional safeguards afforded to criminal defendants are not applicable to civil cases, but the basic protection against "judgments without notice" afforded by the Due Process Clause, Shaffer v. Heitner, 433 U.S. 186,  217 (1977) (STEVENS, J., concurring in judgment), is implicated by civil penalties.</w:t>
      </w:r>
    </w:p>
    <w:p w:rsidR="00A31137" w:rsidRPr="00A31137" w:rsidRDefault="00A31137" w:rsidP="00A31137">
      <w:r w:rsidRPr="00A31137">
        <w:t>1996, BMW of North America, Inc. v. Gore, No. 94-896</w:t>
      </w:r>
    </w:p>
    <w:p w:rsidR="00A31137" w:rsidRPr="00A31137" w:rsidRDefault="00A31137" w:rsidP="00A31137">
      <w:r w:rsidRPr="00A31137">
        <w:t>23. "The flagrancy of the misconduct is thought to be the primary consideration in determining the amount of punitive damages." Owen, A Punitive Damages Overview: Functions, Problems and Reform, 39 Vill.L.Rev. 363, 387 (1994).</w:t>
      </w:r>
    </w:p>
    <w:p w:rsidR="00A31137" w:rsidRPr="00A31137" w:rsidRDefault="00A31137" w:rsidP="00A31137">
      <w:r w:rsidRPr="00A31137">
        <w:t>1996, BMW of North America, Inc. v. Gore, No. 94-896</w:t>
      </w:r>
    </w:p>
    <w:p w:rsidR="00A31137" w:rsidRPr="00A31137" w:rsidRDefault="00A31137" w:rsidP="00A31137">
      <w:r w:rsidRPr="00A31137">
        <w:t>24. The principle that punishment should fit the crime "is deeply rooted and frequently repeated in common law jurisprudence." Solem v. Helm, 463 U.S. 277, 284 (1983). See Burkett v. Lanata, 15 La.Ann. 337, 339 (1860) (punitive damages should be "commensurate to the nature of the offence"); Blanchard v. Morris, 15 Ill. 35, 36 (1853) ("[W]e cannot say [the exemplary damages] are excessive under the circumstances; for the proofs show that threats, violence, and imprisonment, were accompanied by mental fear, torture, and agony of mind"); Louisville &amp; Northern R. Co. v. Brown, 127 Ky. 732, 749, 106 S.W. 795, 799 (1908) ("We are not aware of any case in which the court has sustained a verdict as large as this one unless the injuries were permanent").</w:t>
      </w:r>
    </w:p>
    <w:p w:rsidR="00A31137" w:rsidRPr="00A31137" w:rsidRDefault="00A31137" w:rsidP="00A31137">
      <w:r w:rsidRPr="00A31137">
        <w:t>1996, BMW of North America, Inc. v. Gore, No. 94-896</w:t>
      </w:r>
    </w:p>
    <w:p w:rsidR="00A31137" w:rsidRPr="00A31137" w:rsidRDefault="00A31137" w:rsidP="00A31137">
      <w:r w:rsidRPr="00A31137">
        <w:t>25. Pacific Mut. Life Ins. Co. v. Haslip, 499 U.S. 1, 22 (1991).</w:t>
      </w:r>
    </w:p>
    <w:p w:rsidR="00A31137" w:rsidRPr="00A31137" w:rsidRDefault="00A31137" w:rsidP="00A31137">
      <w:r w:rsidRPr="00A31137">
        <w:t>1996, BMW of North America, Inc. v. Gore, No. 94-896</w:t>
      </w:r>
    </w:p>
    <w:p w:rsidR="00A31137" w:rsidRPr="00A31137" w:rsidRDefault="00A31137" w:rsidP="00A31137">
      <w:r w:rsidRPr="00A31137">
        <w:t>26. The dissenters also recognized that "TXO's conduct was clearly wrongful, calculated, and improper…. " TXO, 509 U.S. at 482 (O'CONNOR, J., dissenting).</w:t>
      </w:r>
    </w:p>
    <w:p w:rsidR="00A31137" w:rsidRPr="00A31137" w:rsidRDefault="00A31137" w:rsidP="00A31137">
      <w:r w:rsidRPr="00A31137">
        <w:t>1996, BMW of North America, Inc. v. Gore, No. 94-896</w:t>
      </w:r>
    </w:p>
    <w:p w:rsidR="00A31137" w:rsidRPr="00A31137" w:rsidRDefault="00A31137" w:rsidP="00A31137">
      <w:r w:rsidRPr="00A31137">
        <w:t>27. In Jeter v. M &amp; M Dodge, Inc., 634 So.2d 1383 (La.App. 1994), a Louisiana court of appeals suggested that the Louisiana disclosure statute functions as a safe harbor. Finding that the cost of repairing presale damage to the plaintiff's car exceeded the statutory disclosure threshold, the court held that the disclosure statute did not provide a defense to the action. Id. at 1384.</w:t>
      </w:r>
    </w:p>
    <w:p w:rsidR="00A31137" w:rsidRPr="00A31137" w:rsidRDefault="00A31137" w:rsidP="00A31137">
      <w:r w:rsidRPr="00A31137">
        <w:t>1996, BMW of North America, Inc. v. Gore, No. 94-896</w:t>
      </w:r>
    </w:p>
    <w:p w:rsidR="00A31137" w:rsidRPr="00A31137" w:rsidRDefault="00A31137" w:rsidP="00A31137">
      <w:r w:rsidRPr="00A31137">
        <w:t>During the pendency of this litigation, Alabama enacted a disclosure statute which defines "material" damage to a new car as damage requiring repairs costing in excess of 3 percent of suggested retail price or $500, whichever is greater. Ala.Code § 8-19-5(22) (1993). After its decision in this case, the Alabama Supreme Court stated in dicta that the remedies available under this section of its Deceptive Trade Practices Act did not displace or alter preexisting remedies available under either the common law or other statutes. Hines v. Riverside Chevrolet-Olds, Inc., 655 So.2d 909, 917, n. 2 (Ala. 1994). It refused, however, to</w:t>
      </w:r>
    </w:p>
    <w:p w:rsidR="00A31137" w:rsidRPr="00A31137" w:rsidRDefault="00A31137" w:rsidP="00A31137">
      <w:r w:rsidRPr="00A31137">
        <w:t>1996, BMW of North America, Inc. v. Gore, No. 94-896</w:t>
      </w:r>
    </w:p>
    <w:p w:rsidR="00A31137" w:rsidRPr="00A31137" w:rsidRDefault="00A31137" w:rsidP="00A31137">
      <w:r w:rsidRPr="00A31137">
        <w:t>recognize, or impose on automobile manufacturers, a general duty to disclose every repair of damage, however slight, incurred during the manufacturing process.</w:t>
      </w:r>
    </w:p>
    <w:p w:rsidR="00A31137" w:rsidRPr="00A31137" w:rsidRDefault="00A31137" w:rsidP="00A31137">
      <w:r w:rsidRPr="00A31137">
        <w:t>1996, BMW of North America, Inc. v. Gore, No. 94-896</w:t>
      </w:r>
    </w:p>
    <w:p w:rsidR="00A31137" w:rsidRPr="00A31137" w:rsidRDefault="00A31137" w:rsidP="00A31137">
      <w:r w:rsidRPr="00A31137">
        <w:t>Id. at 921. Instead, it held that whether a defendant has a duty to disclose is a question of fact "for the jury to determine."  Id. at 918. In reaching that conclusion, it overruled two earlier decisions that seemed to indicate that as a matter of law there was no disclosure obligation in cases comparable to this one. Id. at 920 (overruling Century 21-Reeves Realty, Inc. v. McConnell Cadillac, Inc., 626 So.2d 1273 (Ala. 1993), and Cobb v. Southeast Toyota Distributors, Inc., 569 So.2d 395 (Ala. 1990)).</w:t>
      </w:r>
    </w:p>
    <w:p w:rsidR="00A31137" w:rsidRPr="00A31137" w:rsidRDefault="00A31137" w:rsidP="00A31137">
      <w:r w:rsidRPr="00A31137">
        <w:t>1996, BMW of North America, Inc. v. Gore, No. 94-896</w:t>
      </w:r>
    </w:p>
    <w:p w:rsidR="00A31137" w:rsidRPr="00A31137" w:rsidRDefault="00A31137" w:rsidP="00A31137">
      <w:r w:rsidRPr="00A31137">
        <w:t>28. See also Ariz.Rev.Stat.Ann. § 28-1304.03 (1989) ("[I]f disclosure is not required under this section, a purchaser may not revoke or rescind a sales contract due solely to the fact that the new motor vehicle was damaged and repaired prior to completion of the sale"); Ind.Code § 9-23-4-5 (1993) (providing that "[r]epaired damage to a customer-ordered new motor vehicle not exceeding four percent (4%) of the manufacturer's suggested retail price does not need to be disclosed at the time of sale"); N.C.Gen.Stat. § 20-305.1(e) (1993) (requiring disclosure of repairs costing more than 5 percent of suggested retail price and prohibiting revocation or rescission of sales contract on the basis of less costly repairs); Okla.Stat., Tit. 47, § 1112.1 (1991) (defining "material" damage to a car as damage requiring repairs costing in excess of 3 percent of suggested retail price or $500, whichever is greater).</w:t>
      </w:r>
    </w:p>
    <w:p w:rsidR="00A31137" w:rsidRPr="00A31137" w:rsidRDefault="00A31137" w:rsidP="00A31137">
      <w:r w:rsidRPr="00A31137">
        <w:t>1996, BMW of North America, Inc. v. Gore, No. 94-896</w:t>
      </w:r>
    </w:p>
    <w:p w:rsidR="00A31137" w:rsidRPr="00A31137" w:rsidRDefault="00A31137" w:rsidP="00A31137">
      <w:r w:rsidRPr="00A31137">
        <w:t>29. Restatement (Second) of Torts § 538 (1977); W. Keeton, D. Dobbs, R. Keeton, &amp; D. Owen, Prosser and Keeton on Law of Torts § 108 (5th ed. 1984).</w:t>
      </w:r>
    </w:p>
    <w:p w:rsidR="00A31137" w:rsidRPr="00A31137" w:rsidRDefault="00A31137" w:rsidP="00A31137">
      <w:r w:rsidRPr="00A31137">
        <w:t>1996, BMW of North America, Inc. v. Gore, No. 94-896</w:t>
      </w:r>
    </w:p>
    <w:p w:rsidR="00A31137" w:rsidRPr="00A31137" w:rsidRDefault="00A31137" w:rsidP="00A31137">
      <w:r w:rsidRPr="00A31137">
        <w:t>30. The Alabama Supreme Court has held that a car may be considered "new" as a matter of law even if its finish contains minor cosmetic flaws. Wilburn v. Larry Savage Chevrolet, Inc., 477 So.2d 384 (Ala. 1985). We note also that at trial respondent only introduced evidence of undisclosed paint damage to new cars repaired at a cost of $300 or more. This decision suggests that respondent believed that the jury might consider some repairs too de minimis to warrant disclosure.</w:t>
      </w:r>
    </w:p>
    <w:p w:rsidR="00A31137" w:rsidRPr="00A31137" w:rsidRDefault="00A31137" w:rsidP="00A31137">
      <w:r w:rsidRPr="00A31137">
        <w:t>1996, BMW of North America, Inc. v. Gore, No. 94-896</w:t>
      </w:r>
    </w:p>
    <w:p w:rsidR="00A31137" w:rsidRPr="00A31137" w:rsidRDefault="00A31137" w:rsidP="00A31137">
      <w:r w:rsidRPr="00A31137">
        <w:t>31. Before the verdict in this case, BMW had changed its policy with respect to Alabama and two other States. Five days after the jury award, BMW altered its nationwide policy to one of full disclosure.</w:t>
      </w:r>
    </w:p>
    <w:p w:rsidR="00A31137" w:rsidRPr="00A31137" w:rsidRDefault="00A31137" w:rsidP="00A31137">
      <w:r w:rsidRPr="00A31137">
        <w:t>1996, BMW of North America, Inc. v. Gore, No. 94-896</w:t>
      </w:r>
    </w:p>
    <w:p w:rsidR="00A31137" w:rsidRPr="00A31137" w:rsidRDefault="00A31137" w:rsidP="00A31137">
      <w:r w:rsidRPr="00A31137">
        <w:t>32. See, e.g., Grant v. McDonogh, 7 La.Ann. 447, 448 (1852) ("[E]xemplary damages allowed should bear some proportion to the real damage sustained"); Saunders v. Mullen, 66 Iowa 728, 729, 24 N. W. 529 (1885) ("When the actual damages are so small, the amount allowed as exemplary damages should not be so large"); Flannery v. Baltimore &amp; Ohio R. Co., 15 D.C. 111, 125 (1885) (when punitive damages award "is out of all proportion to the injuries received, we feel it our duty to interfere"); Houston &amp; Texas Central R. Co. v. Nichols, 9 Am. &amp; Eng.R.R.Cas. 361, 365 (Tex. 1882) ("Exemplary damages, when allowed, should bear proportion to the actual damages sustained"); McCarthy v. Niskern, 22 Minn. 90, 91-92 (1875) (punitive damages "enormously in excess of what may justly be regarded as compensation" for the injury must be set aside "to prevent injustice").</w:t>
      </w:r>
    </w:p>
    <w:p w:rsidR="00A31137" w:rsidRPr="00A31137" w:rsidRDefault="00A31137" w:rsidP="00A31137">
      <w:r w:rsidRPr="00A31137">
        <w:t>1996, BMW of North America, Inc. v. Gore, No. 94-896</w:t>
      </w:r>
    </w:p>
    <w:p w:rsidR="00A31137" w:rsidRPr="00A31137" w:rsidRDefault="00A31137" w:rsidP="00A31137">
      <w:r w:rsidRPr="00A31137">
        <w:t>33. Owen, supra n. 23 at 368, and n. 23. One English statute, for example, provides that officers arresting persons out of their jurisdiction shall pay double damages. 3 Edw. I., ch. 35. Another directs that in an action for forcible entry or detainer, the plaintiff shall recover treble damages. 8 Hen. VI, ch. 9, § 6.</w:t>
      </w:r>
    </w:p>
    <w:p w:rsidR="00A31137" w:rsidRPr="00A31137" w:rsidRDefault="00A31137" w:rsidP="00A31137">
      <w:r w:rsidRPr="00A31137">
        <w:t>1996, BMW of North America, Inc. v. Gore, No. 94-896</w:t>
      </w:r>
    </w:p>
    <w:p w:rsidR="00A31137" w:rsidRPr="00A31137" w:rsidRDefault="00A31137" w:rsidP="00A31137">
      <w:r w:rsidRPr="00A31137">
        <w:t>Present-day federal law allows or mandates imposition of multiple damages for a wide assortment of offenses, including violations of the antitrust laws, see § 4 of the Clayton Act, 38 Stat. 731, as amended, 15 U.S.C. § 15, and the Racketeer Influenced and Corrupt Organizations Act, see 18 U.S.C. § 1964, and certain breaches of the trademark laws, see § 35 of the Trademark Act of 1946, 60 Stat. 439, as amended, 15 U.S.C. § 1117, and the patent laws, see 66 Stat. 813, 35 U.S.C. § 284.</w:t>
      </w:r>
    </w:p>
    <w:p w:rsidR="00A31137" w:rsidRPr="00A31137" w:rsidRDefault="00A31137" w:rsidP="00A31137">
      <w:r w:rsidRPr="00A31137">
        <w:t>1996, BMW of North America, Inc. v. Gore, No. 94-896</w:t>
      </w:r>
    </w:p>
    <w:p w:rsidR="00A31137" w:rsidRPr="00A31137" w:rsidRDefault="00A31137" w:rsidP="00A31137">
      <w:r w:rsidRPr="00A31137">
        <w:t>34.</w:t>
      </w:r>
    </w:p>
    <w:p w:rsidR="00A31137" w:rsidRPr="00A31137" w:rsidRDefault="00A31137" w:rsidP="00A31137">
      <w:r w:rsidRPr="00A31137">
        <w:t>1996, BMW of North America, Inc. v. Gore, No. 94-896</w:t>
      </w:r>
    </w:p>
    <w:p w:rsidR="00A31137" w:rsidRPr="00A31137" w:rsidRDefault="00A31137" w:rsidP="00A31137">
      <w:r w:rsidRPr="00A31137">
        <w:t>While petitioner stresses the shocking disparity between the punitive award and the compensatory award, that shock dissipates when one considers the potential loss to respondents, in terms of reduced or eliminated royalties payments, had petitioner succeeded in its illicit scheme. Thus, even if the actual value of the "potential harm" to respondents is not between $5 million and $8.3 million, but is closer to $4 million, or $2 million, or even $1 million, the disparity between the punitive award and the potential harm does not, in our view, "jar one's constitutional sensibilities."</w:t>
      </w:r>
    </w:p>
    <w:p w:rsidR="00A31137" w:rsidRPr="00A31137" w:rsidRDefault="00A31137" w:rsidP="00A31137">
      <w:r w:rsidRPr="00A31137">
        <w:t>1996, BMW of North America, Inc. v. Gore, No. 94-896</w:t>
      </w:r>
    </w:p>
    <w:p w:rsidR="00A31137" w:rsidRPr="00A31137" w:rsidRDefault="00A31137" w:rsidP="00A31137">
      <w:r w:rsidRPr="00A31137">
        <w:t>TXO, 509 U.S. at 462, quoting Pacific Mut. Life Ins. Co. v. Haslip, 499 U.S. at 18.</w:t>
      </w:r>
    </w:p>
    <w:p w:rsidR="00A31137" w:rsidRPr="00A31137" w:rsidRDefault="00A31137" w:rsidP="00A31137">
      <w:r w:rsidRPr="00A31137">
        <w:t>1996, BMW of North America, Inc. v. Gore, No. 94-896</w:t>
      </w:r>
    </w:p>
    <w:p w:rsidR="00A31137" w:rsidRPr="00A31137" w:rsidRDefault="00A31137" w:rsidP="00A31137">
      <w:r w:rsidRPr="00A31137">
        <w:t>35. Even assuming each repainted BMW suffers a diminution in value of approximately $4,000, the award is 35 times greater than the total damages of all 14 Alabama consumers who purchased repainted BMW's.</w:t>
      </w:r>
    </w:p>
    <w:p w:rsidR="00A31137" w:rsidRPr="00A31137" w:rsidRDefault="00A31137" w:rsidP="00A31137">
      <w:r w:rsidRPr="00A31137">
        <w:t>1996, BMW of North America, Inc. v. Gore, No. 94-896</w:t>
      </w:r>
    </w:p>
    <w:p w:rsidR="00A31137" w:rsidRPr="00A31137" w:rsidRDefault="00A31137" w:rsidP="00A31137">
      <w:r w:rsidRPr="00A31137">
        <w:t>36. The ratio here is also dramatically greater than any award that would be permissible under the statutes and proposed statutes summarized in the appendix to JUSTICE GINSBURG's dissenting opinion. Post at ___.</w:t>
      </w:r>
    </w:p>
    <w:p w:rsidR="00A31137" w:rsidRPr="00A31137" w:rsidRDefault="00A31137" w:rsidP="00A31137">
      <w:r w:rsidRPr="00A31137">
        <w:t>1996, BMW of North America, Inc. v. Gore, No. 94-896</w:t>
      </w:r>
    </w:p>
    <w:p w:rsidR="00A31137" w:rsidRPr="00A31137" w:rsidRDefault="00A31137" w:rsidP="00A31137">
      <w:r w:rsidRPr="00A31137">
        <w:t>37. Conceivably the Alabama Supreme Court's selection of a 500 to 1 ratio was an application of JUSTICE SCALIA's identification of one possible reading of the plurality opinion in TXO: any future due process challenge to a punitive damages award could be disposed of with the simple observation that "this is no worse than TXO." 509 U.S. at 472 (SCALIA, J., concurring in judgment). As we explain in the text, this award is significantly worse than the award in TXO.</w:t>
      </w:r>
    </w:p>
    <w:p w:rsidR="00A31137" w:rsidRPr="00A31137" w:rsidRDefault="00A31137" w:rsidP="00A31137">
      <w:r w:rsidRPr="00A31137">
        <w:t>1996, BMW of North America, Inc. v. Gore, No. 94-896</w:t>
      </w:r>
    </w:p>
    <w:p w:rsidR="00A31137" w:rsidRPr="00A31137" w:rsidRDefault="00A31137" w:rsidP="00A31137">
      <w:r w:rsidRPr="00A31137">
        <w:t>38. Although the Court did not address the size of the punitive damages award in Silkwood v. Kerr-McGee Corp., 464 U.S. 238 (1984), the dissenters commented on its excessive character, noting that the</w:t>
      </w:r>
    </w:p>
    <w:p w:rsidR="00A31137" w:rsidRPr="00A31137" w:rsidRDefault="00A31137" w:rsidP="00A31137">
      <w:r w:rsidRPr="00A31137">
        <w:t>1996, BMW of North America, Inc. v. Gore, No. 94-896</w:t>
      </w:r>
    </w:p>
    <w:p w:rsidR="00A31137" w:rsidRPr="00A31137" w:rsidRDefault="00A31137" w:rsidP="00A31137">
      <w:r w:rsidRPr="00A31137">
        <w:t>$10 million [punitive damages award] that the jury imposed is 100 times greater than the maximum fine that may be imposed…for a single violation of federal standards,</w:t>
      </w:r>
    </w:p>
    <w:p w:rsidR="00A31137" w:rsidRPr="00A31137" w:rsidRDefault="00A31137" w:rsidP="00A31137">
      <w:r w:rsidRPr="00A31137">
        <w:t>1996, BMW of North America, Inc. v. Gore, No. 94-896</w:t>
      </w:r>
    </w:p>
    <w:p w:rsidR="00A31137" w:rsidRPr="00A31137" w:rsidRDefault="00A31137" w:rsidP="00A31137">
      <w:r w:rsidRPr="00A31137">
        <w:t>and "more than 10 times greater than the largest single fine that the Commission has ever imposed." Id. at 263 (Blackmun, J., dissenting). In New York Times Co. v. Sullivan, 376 U.S. 254 (1964), the Court observed that the punitive award for libel was "one thousand times greater than the maximum fine provided by the Alabama criminal statute," and concluded that the</w:t>
      </w:r>
    </w:p>
    <w:p w:rsidR="00A31137" w:rsidRPr="00A31137" w:rsidRDefault="00A31137" w:rsidP="00A31137">
      <w:r w:rsidRPr="00A31137">
        <w:t>1996, BMW of North America, Inc. v. Gore, No. 94-896</w:t>
      </w:r>
    </w:p>
    <w:p w:rsidR="00A31137" w:rsidRPr="00A31137" w:rsidRDefault="00A31137" w:rsidP="00A31137">
      <w:r w:rsidRPr="00A31137">
        <w:t>fear of damage awards under a rule such as that invoked by the Alabama courts here may be markedly more inhibiting than the fear of prosecution under a criminal statute.</w:t>
      </w:r>
    </w:p>
    <w:p w:rsidR="00A31137" w:rsidRPr="00A31137" w:rsidRDefault="00A31137" w:rsidP="00A31137">
      <w:r w:rsidRPr="00A31137">
        <w:t>1996, BMW of North America, Inc. v. Gore, No. 94-896</w:t>
      </w:r>
    </w:p>
    <w:p w:rsidR="00A31137" w:rsidRPr="00A31137" w:rsidRDefault="00A31137" w:rsidP="00A31137">
      <w:r w:rsidRPr="00A31137">
        <w:t>Id. at  277.</w:t>
      </w:r>
    </w:p>
    <w:p w:rsidR="00A31137" w:rsidRPr="00A31137" w:rsidRDefault="00A31137" w:rsidP="00A31137">
      <w:r w:rsidRPr="00A31137">
        <w:t>1996, BMW of North America, Inc. v. Gore, No. 94-896</w:t>
      </w:r>
    </w:p>
    <w:p w:rsidR="00A31137" w:rsidRPr="00A31137" w:rsidRDefault="00A31137" w:rsidP="00A31137">
      <w:r w:rsidRPr="00A31137">
        <w:t>39. Ala.Code § 8-19-11(b) (1993).</w:t>
      </w:r>
    </w:p>
    <w:p w:rsidR="00A31137" w:rsidRPr="00A31137" w:rsidRDefault="00A31137" w:rsidP="00A31137">
      <w:r w:rsidRPr="00A31137">
        <w:t>1996, BMW of North America, Inc. v. Gore, No. 94-896</w:t>
      </w:r>
    </w:p>
    <w:p w:rsidR="00A31137" w:rsidRPr="00A31137" w:rsidRDefault="00A31137" w:rsidP="00A31137">
      <w:r w:rsidRPr="00A31137">
        <w:t>40. See, e.g., Ark.Code Ann. § 23-112-309(b) (1992) (up to $5,000 for violation of state Motor Vehicle Commission Act that would allow suspension of dealer's license; up to $10,000 for violation of Act that would allow revocation of dealer's license); Fla.Stat. § 320.27(12) (1992) (up to $1,000); Ga.Code Ann. §§ 40-1-5(g), 10-1-397(a) (1994 and Supp. 1996) (up to $2,000 administratively; up to $5,000 in superior court); Ind.Code Ann. § 9-23-6-4 (1993) ($50 to $1,000); N.H.Rev.Stat.Ann. §§ 357-C:15, 651:2 (1995 and Supp. 1995) (corporate fine of up to $20,000); N.Y.Gen.Bus.Law § 396-p(6) (McKinney Supp. 1995) ($50 for first offense; $250 for subsequent offenses).</w:t>
      </w:r>
    </w:p>
    <w:p w:rsidR="00A31137" w:rsidRPr="00A31137" w:rsidRDefault="00A31137" w:rsidP="00A31137">
      <w:r w:rsidRPr="00A31137">
        <w:t>1996, BMW of North America, Inc. v. Gore, No. 94-896</w:t>
      </w:r>
    </w:p>
    <w:p w:rsidR="00A31137" w:rsidRPr="00A31137" w:rsidRDefault="00A31137" w:rsidP="00A31137">
      <w:r w:rsidRPr="00A31137">
        <w:t>41. JUSTICE GINSBURG expresses concern that we are "the only federal court policing" this limit. Post, at ___. The small number of punitive damages questions that we have reviewed in recent years, together with the fact that this is the first case in decades in which we have found that a punitive damages award exceeds the constitutional limit, indicates that this concern is at best premature. In any event, this consideration surely does not justify an abdication of our responsibility to enforce constitutional protections in an extraordinary case such as this one.</w:t>
      </w:r>
    </w:p>
    <w:p w:rsidR="00A31137" w:rsidRPr="00A31137" w:rsidRDefault="00A31137" w:rsidP="00A31137">
      <w:r w:rsidRPr="00A31137">
        <w:t>SCALIA, J., dissenting (Footnotes)</w:t>
      </w:r>
    </w:p>
    <w:p w:rsidR="00A31137" w:rsidRPr="00A31137" w:rsidRDefault="00A31137" w:rsidP="00A31137">
      <w:r w:rsidRPr="00A31137">
        <w:t>1996, BMW of North America, Inc. v. Gore, No. 94-896</w:t>
      </w:r>
    </w:p>
    <w:p w:rsidR="00A31137" w:rsidRPr="00A31137" w:rsidRDefault="00A31137" w:rsidP="00A31137">
      <w:r w:rsidRPr="00A31137">
        <w:t>* The Alabama Supreme Court said:</w:t>
      </w:r>
    </w:p>
    <w:p w:rsidR="00A31137" w:rsidRPr="00A31137" w:rsidRDefault="00A31137" w:rsidP="00A31137">
      <w:r w:rsidRPr="00A31137">
        <w:t>1996, BMW of North America, Inc. v. Gore, No. 94-896</w:t>
      </w:r>
    </w:p>
    <w:p w:rsidR="00A31137" w:rsidRPr="00A31137" w:rsidRDefault="00A31137" w:rsidP="00A31137">
      <w:r w:rsidRPr="00A31137">
        <w:t>[W]e must conclude that the award of punitive damages was based in large part on conduct that happened in other jurisdictions…. Although evidence of similar acts in other jurisdictions is admissible as to the issue of "pattern and practice" of such acts,…this jury could not use the number of similar acts that a defendant has committed in other jurisdictions as a multiplier when determining the dollar amount of a punitive damages award. Such evidence may not be considered in setting the size of the civil penalty, because neither the jury nor the trial court had evidence before it showing in which states the conduct was wrongful.</w:t>
      </w:r>
    </w:p>
    <w:p w:rsidR="00A31137" w:rsidRPr="00A31137" w:rsidRDefault="00A31137" w:rsidP="00A31137">
      <w:r w:rsidRPr="00A31137">
        <w:t>1996, BMW of North America, Inc. v. Gore, No. 94-896</w:t>
      </w:r>
    </w:p>
    <w:p w:rsidR="00A31137" w:rsidRPr="00A31137" w:rsidRDefault="00A31137" w:rsidP="00A31137">
      <w:r w:rsidRPr="00A31137">
        <w:t>646 So.2d 619, 627 (1994).</w:t>
      </w:r>
    </w:p>
    <w:p w:rsidR="00A31137" w:rsidRPr="00A31137" w:rsidRDefault="00A31137" w:rsidP="00A31137">
      <w:r w:rsidRPr="00A31137">
        <w:t>GINSBURG, J., dissenting (Footnotes)</w:t>
      </w:r>
    </w:p>
    <w:p w:rsidR="00A31137" w:rsidRPr="00A31137" w:rsidRDefault="00A31137" w:rsidP="00A31137">
      <w:r w:rsidRPr="00A31137">
        <w:t>1996, BMW of North America, Inc. v. Gore, No. 94-896</w:t>
      </w:r>
    </w:p>
    <w:p w:rsidR="00A31137" w:rsidRPr="00A31137" w:rsidRDefault="00A31137" w:rsidP="00A31137">
      <w:r w:rsidRPr="00A31137">
        <w:t>1. According to trial testimony, in late May 1992, BMW began redirecting refinished cars out of Alabama and two other States. Tr. 964. The jury returned its verdict in favor of Gore on June 12, 1992. Five days later, BMW changed its national policy to one of full disclosure. Id. at 1026.</w:t>
      </w:r>
    </w:p>
    <w:p w:rsidR="00A31137" w:rsidRPr="00A31137" w:rsidRDefault="00A31137" w:rsidP="00A31137">
      <w:r w:rsidRPr="00A31137">
        <w:t>1996, BMW of North America, Inc. v. Gore, No. 94-896</w:t>
      </w:r>
    </w:p>
    <w:p w:rsidR="00A31137" w:rsidRPr="00A31137" w:rsidRDefault="00A31137" w:rsidP="00A31137">
      <w:r w:rsidRPr="00A31137">
        <w:t>2. See, e.g., Brief for Law and Economics Scholars, et al. as Amici Curiae 6-28 (economic analysis demonstrates that Alabama Supreme Court's judgment was not unreasonable); W. Landes &amp; R. Posner, Economic Structure of Tort Law 160-163 (1987) (economic model for assessing propriety of punitive damages in certain tort cases).</w:t>
      </w:r>
    </w:p>
    <w:p w:rsidR="00A31137" w:rsidRPr="00A31137" w:rsidRDefault="00A31137" w:rsidP="00A31137">
      <w:r w:rsidRPr="00A31137">
        <w:t>1996, BMW of North America, Inc. v. Gore, No. 94-896</w:t>
      </w:r>
    </w:p>
    <w:p w:rsidR="00A31137" w:rsidRPr="00A31137" w:rsidRDefault="00A31137" w:rsidP="00A31137">
      <w:r w:rsidRPr="00A31137">
        <w:t>3. See ante at ___ ("In our federal system, States necessarily have considerable flexibility in determining the level of punitive damages that they will allow in different classes of cases and in any particular case."); Browning-Ferris Industries of Vt., Inc. v. Kelco Disposal, Inc., 492 U.S. 257, 278 (1989) (In any "lawsuit where state law provides the basis of decision, the propriety of an award of punitive damages for the conduct in question, and the factors the jury may consider in determining their amount, are questions of state law."); Silkwood v. Kerr-McGee Corp., 464 U.S. 238, 255 (1984) ("Punitive damages have long been a part of traditional state tort law.").</w:t>
      </w:r>
    </w:p>
    <w:p w:rsidR="00A31137" w:rsidRPr="00A31137" w:rsidRDefault="00A31137" w:rsidP="00A31137">
      <w:r w:rsidRPr="00A31137">
        <w:t>1996, BMW of North America, Inc. v. Gore, No. 94-896</w:t>
      </w:r>
    </w:p>
    <w:p w:rsidR="00A31137" w:rsidRPr="00A31137" w:rsidRDefault="00A31137" w:rsidP="00A31137">
      <w:r w:rsidRPr="00A31137">
        <w:t>4. Petitioner invites the Court to address the question of multiple punitive damages awards stemming from the same alleged misconduct. The Court does not take up the invitation, and rightly so, in my judgment, for this case does not present the issue. For three reasons, the question of multiple awards is hypothetical, not real, in Gore's case. First, the punitive damages award in favor of Gore is the only such award yet entered against BMW on account of its nondisclosure policy. Second, BMW did not raise the issue of multiple punitives below. Indeed, in its reply brief before the Alabama Supreme Court, BMW stated:</w:t>
      </w:r>
    </w:p>
    <w:p w:rsidR="00A31137" w:rsidRPr="00A31137" w:rsidRDefault="00A31137" w:rsidP="00A31137">
      <w:r w:rsidRPr="00A31137">
        <w:t>1996, BMW of North America, Inc. v. Gore, No. 94-896</w:t>
      </w:r>
    </w:p>
    <w:p w:rsidR="00A31137" w:rsidRPr="00A31137" w:rsidRDefault="00A31137" w:rsidP="00A31137">
      <w:r w:rsidRPr="00A31137">
        <w:t>Gore confuses our point about fairness among plaintiffs. He treats this point as a premature "multiple punitive damages" argument. But, contrary to Gore's assertion, we are not asking this Court to hold, as a matter of law, that a "constitutional violation occurs when a defendant is subjected to punitive damages in two separate cases.</w:t>
      </w:r>
    </w:p>
    <w:p w:rsidR="00A31137" w:rsidRPr="00A31137" w:rsidRDefault="00A31137" w:rsidP="00A31137">
      <w:r w:rsidRPr="00A31137">
        <w:t>1996, BMW of North America, Inc. v. Gore, No. 94-896</w:t>
      </w:r>
    </w:p>
    <w:p w:rsidR="00A31137" w:rsidRPr="00A31137" w:rsidRDefault="00A31137" w:rsidP="00A31137">
      <w:r w:rsidRPr="00A31137">
        <w:t>Reply Brief for Appellant in Nos. 1920324, 1920325 (Ala.Sup.Ct.), p. 48 (internal citations omitted). Third, if BMW had already suffered a punitive damages judgment in connection with its nondisclosure policy, Alabama's highest court presumably would have taken that fact into consideration. In reviewing punitive damages awards attacked as excessive, the Alabama Supreme Court considers whether "there have been other civil actions against the same defendant, based on the same conduct." 646 So.2d 619, 624 (1994) (quoting Green Oil Co. v. Hornsby, 539 So.2d 218, 224 (Ala. 1989)). If so, "this should be taken into account in mitigation of the punitive damages award." Ibid. The Alabama court accordingly observed that Gore's counsel had filed 24 other actions against BMW in Alabama and Georgia, but that no other punitive damages award had so far resulted. Id. at 626.</w:t>
      </w:r>
    </w:p>
    <w:p w:rsidR="00A31137" w:rsidRPr="00A31137" w:rsidRDefault="00A31137" w:rsidP="00A31137">
      <w:r w:rsidRPr="00A31137">
        <w:t>1996, BMW of North America, Inc. v. Gore, No. 94-896</w:t>
      </w:r>
    </w:p>
    <w:p w:rsidR="00A31137" w:rsidRPr="00A31137" w:rsidRDefault="00A31137" w:rsidP="00A31137">
      <w:r w:rsidRPr="00A31137">
        <w:t>5. JUSTICE BREYER's concurring opinion offers nothing more solid. Under Haslip, he acknowledges, Alabama's standards for punitive damages, standing alone, do not violate due process. Ante at ___. But they "invit[e] the kind of scrutiny the Court has given the particular verdict before us." Ibid. Pursuing that invitation, JUSTICE BREYER concludes that, matching the particular facts of this case to Alabama's "legitimate punitive damages objectives," ante at ___, the award was "grossly excessive." Ibid. The exercise is engaging, but ultimately tells us only this: too big will be judged unfair. What is the Court's measure of too big? Not a cap of the kind a legislature could order, or a mathematical test this Court can divine and impose. Too big is, in the end, the amount at which five Members of the Court bridle.</w:t>
      </w:r>
    </w:p>
    <w:p w:rsidR="00A31137" w:rsidRPr="00A31137" w:rsidRDefault="00A31137" w:rsidP="00A31137">
      <w:r w:rsidRPr="00A31137">
        <w:t>1996, BMW of North America, Inc. v. Gore, No. 94-896</w:t>
      </w:r>
    </w:p>
    <w:p w:rsidR="00A31137" w:rsidRPr="00A31137" w:rsidRDefault="00A31137" w:rsidP="00A31137">
      <w:r w:rsidRPr="00A31137">
        <w:t>6. See, e.g., Distinctive Printing and Packaging Co. v. Cox, 232 Neb. 846, 857, 443 N.W.2d 566, 574 (1989) (per curiam) ("[P]unitive, vindictive, or exemplary damages contravene Neb. Const. art. VII, § 5, and thus are not allowed in this jurisdiction."); Santana v. Registrars of Voters of Worcester, 398 Mass. 862, 502 N.E.2d 132 (1986) (punitive damages are not permitted, unless expressly authorized by statute); Fisher Properties, Inc. v. Arden-Mayfair, Inc., 106 Wash.2d 826, 852, 726 P.2d 8, 23 (1986) (en banc) (same). In Life Ins. Co. of Georgia v. Johnson, No. 1940357 (Nov. 17, 1995), the Alabama Supreme Court revised the State's regime for assessments of punitive damages. Henceforth, trials will be bifurcated. Initially, juries will be instructed to determine liability and the amount of compensatory damages, if any; also, the jury is to return a special verdict on the question whether a punitive damages award is warranted. If the jury answers yes to the punitive damages question, the trial will be resumed for the presentation of evidence and instructions relevant to the amount appropriate to award as punitive damages. After post-verdict trial court review and subsequent appellate review, the amount of the final punitive damages judgment will be paid into the trial court. The trial court will then order payment of litigation expenses, including the plaintiff's attorney fees, and instruct the clerk to divide the remainder equally between the plaintiff and the State General Fund. The provision for payment to the State General Fund is applicable to all judgments not yet satisfied, and therefore would apply to the judgment in Gore's case.</w:t>
      </w:r>
    </w:p>
    <w:p w:rsidR="00A31137" w:rsidRPr="00A31137" w:rsidRDefault="00A31137" w:rsidP="00A31137">
      <w:r w:rsidRPr="00A31137">
        <w:t>Bush v. Vera, 1996</w:t>
      </w:r>
    </w:p>
    <w:p w:rsidR="00A31137" w:rsidRPr="00A31137" w:rsidRDefault="00A31137" w:rsidP="00A31137">
      <w:r w:rsidRPr="00A31137">
        <w:t>Title:</w:t>
      </w:r>
      <w:r w:rsidRPr="00A31137">
        <w:tab/>
        <w:t>Bush v. Vera</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13, 1996</w:t>
      </w:r>
    </w:p>
    <w:p w:rsidR="00A31137" w:rsidRPr="00A31137" w:rsidRDefault="00A31137" w:rsidP="00A31137">
      <w:r w:rsidRPr="00A31137">
        <w:t>Source:</w:t>
      </w:r>
      <w:r w:rsidRPr="00A31137">
        <w:tab/>
        <w:t>No. 94-805 [U.S. Reports citation not yet available]</w:t>
      </w:r>
    </w:p>
    <w:p w:rsidR="00A31137" w:rsidRPr="00A31137" w:rsidRDefault="00A31137" w:rsidP="00A31137">
      <w:r w:rsidRPr="00A31137">
        <w:t>This case was argued December 5, 1995, and was decided June 13, 1996, together with No. 94-806, Lawson et al. v. Vera et al., and No. 94-988, United States v. Vera et al., also on appeal from the same court.</w:t>
      </w:r>
    </w:p>
    <w:p w:rsidR="00A31137" w:rsidRPr="00A31137" w:rsidRDefault="00A31137" w:rsidP="00A31137">
      <w:r w:rsidRPr="00A31137">
        <w:t>APPEAL FROM THE DISTRICT COURT</w:t>
      </w:r>
    </w:p>
    <w:p w:rsidR="00A31137" w:rsidRPr="00A31137" w:rsidRDefault="00A31137" w:rsidP="00A31137">
      <w:r w:rsidRPr="00A31137">
        <w:t>FOR THE SOUTHERN DISTRICT OF TEXAS</w:t>
      </w:r>
    </w:p>
    <w:p w:rsidR="00A31137" w:rsidRPr="00A31137" w:rsidRDefault="00A31137" w:rsidP="00A31137">
      <w:r w:rsidRPr="00A31137">
        <w:t>Syllabus</w:t>
      </w:r>
    </w:p>
    <w:p w:rsidR="00A31137" w:rsidRPr="00A31137" w:rsidRDefault="00A31137" w:rsidP="00A31137">
      <w:r w:rsidRPr="00A31137">
        <w:t>1996, Bush v. Vera, No. 94-805</w:t>
      </w:r>
    </w:p>
    <w:p w:rsidR="00A31137" w:rsidRPr="00A31137" w:rsidRDefault="00A31137" w:rsidP="00A31137">
      <w:r w:rsidRPr="00A31137">
        <w:t>Because the 1990 census revealed a population increase entitling Texas to three additional congressional seats, and in an attempt to comply with the Voting Rights Act of 1965 (VRA), the Texas Legislature promulgated a redistricting plan that, among other things, created District 30 as a new majority African American district in Dallas County and District 29 as a new majority Hispanic district in Harris County, and reconfigured District 18, which is adjacent to District 29, as a majority African American district. After the Department of Justice precleared the plan under VRA § 5, the plaintiffs, six Texas voters, filed this challenge alleging that 24 of the State's 30 congressional districts constitute racial gerrymanders in violation of the Fourteenth Amendment. The three-judge District Court held Districts 18, 29, and 30 unconstitutional. The Governor of Texas, private intervenors, and the United States (as intervenor) appeal.</w:t>
      </w:r>
    </w:p>
    <w:p w:rsidR="00A31137" w:rsidRPr="00A31137" w:rsidRDefault="00A31137" w:rsidP="00A31137">
      <w:r w:rsidRPr="00A31137">
        <w:t>1996, Bush v. Vera, No. 94-805</w:t>
      </w:r>
    </w:p>
    <w:p w:rsidR="00A31137" w:rsidRPr="00A31137" w:rsidRDefault="00A31137" w:rsidP="00A31137">
      <w:r w:rsidRPr="00A31137">
        <w:t>Held: The judgment is affirmed.</w:t>
      </w:r>
    </w:p>
    <w:p w:rsidR="00A31137" w:rsidRPr="00A31137" w:rsidRDefault="00A31137" w:rsidP="00A31137">
      <w:r w:rsidRPr="00A31137">
        <w:t>1996, Bush v. Vera, No. 94-805</w:t>
      </w:r>
    </w:p>
    <w:p w:rsidR="00A31137" w:rsidRPr="00A31137" w:rsidRDefault="00A31137" w:rsidP="00A31137">
      <w:r w:rsidRPr="00A31137">
        <w:t>861 F.Supp. 1304, affirmed.</w:t>
      </w:r>
    </w:p>
    <w:p w:rsidR="00A31137" w:rsidRPr="00A31137" w:rsidRDefault="00A31137" w:rsidP="00A31137">
      <w:r w:rsidRPr="00A31137">
        <w:t>1996, Bush v. Vera, No. 94-805</w:t>
      </w:r>
    </w:p>
    <w:p w:rsidR="00A31137" w:rsidRPr="00A31137" w:rsidRDefault="00A31137" w:rsidP="00A31137">
      <w:r w:rsidRPr="00A31137">
        <w:t>JUSTICE O'CONNOR, joined by THE CHIEF JUSTICE and JUSTICE KENNEDY, concluded:</w:t>
      </w:r>
    </w:p>
    <w:p w:rsidR="00A31137" w:rsidRPr="00A31137" w:rsidRDefault="00A31137" w:rsidP="00A31137">
      <w:r w:rsidRPr="00A31137">
        <w:t>1996, Bush v. Vera, No. 94-805</w:t>
      </w:r>
    </w:p>
    <w:p w:rsidR="00A31137" w:rsidRPr="00A31137" w:rsidRDefault="00A31137" w:rsidP="00A31137">
      <w:r w:rsidRPr="00A31137">
        <w:t>1. Plaintiff Chen, who resides in District 25 and has not alleged any specific facts showing that he personally has been subjected to any racial classification, lacks standing under United States v. Hays, 515 U.S. ___, ___. But plaintiffs Blum and Powers, who reside in District 18, plaintiffs Thomas and Vera, who reside in District 29, and plaintiff Orcutt, who resides in District 30, have standing to challenge Districts 18, 29, and 30. See, e.g., id. at ___. Pp. ___.</w:t>
      </w:r>
    </w:p>
    <w:p w:rsidR="00A31137" w:rsidRPr="00A31137" w:rsidRDefault="00A31137" w:rsidP="00A31137">
      <w:r w:rsidRPr="00A31137">
        <w:t>1996, Bush v. Vera, No. 94-805</w:t>
      </w:r>
    </w:p>
    <w:p w:rsidR="00A31137" w:rsidRPr="00A31137" w:rsidRDefault="00A31137" w:rsidP="00A31137">
      <w:r w:rsidRPr="00A31137">
        <w:t>2. Districts 18, 29, and 30 are subject to strict scrutiny under this Court's precedents. Pp. 3-22.</w:t>
      </w:r>
    </w:p>
    <w:p w:rsidR="00A31137" w:rsidRPr="00A31137" w:rsidRDefault="00A31137" w:rsidP="00A31137">
      <w:r w:rsidRPr="00A31137">
        <w:t>1996, Bush v. Vera, No. 94-805</w:t>
      </w:r>
    </w:p>
    <w:p w:rsidR="00A31137" w:rsidRPr="00A31137" w:rsidRDefault="00A31137" w:rsidP="00A31137">
      <w:r w:rsidRPr="00A31137">
        <w:t>(a) Strict scrutiny applies where race was "the predominant factor" motivating the drawing of district lines, see, e.g., Miller v. Johnson, 515 U.S. ___, ___ (emphasis added), and traditional, race-neutral districting principles were subordinated to race, see id. at ___. This is a mixed motive case, and a careful review is therefore necessary to determine whether the districts at issue are subject to such scrutiny. Findings that Texas substantially neglected traditional districting criteria such as compactness, that it was committed from the outset to creating majority minority districts, and that it manipulated district lines to exploit unprecedentedly detailed racial data, taken together, weigh in favor of the application of strict scrutiny. However, because factors other than race, particularly incumbency protection, clearly influenced the legislature, each of the challenged districts must be scrutinized to determine whether the District Court's conclusion that race predominated can be sustained. Pp. ___.</w:t>
      </w:r>
      <w:r w:rsidRPr="00A31137">
        <w:cr/>
      </w:r>
    </w:p>
    <w:p w:rsidR="00A31137" w:rsidRPr="00A31137" w:rsidRDefault="00A31137" w:rsidP="00A31137">
      <w:r w:rsidRPr="00A31137">
        <w:t>1996, Bush v. Vera, No. 94-805</w:t>
      </w:r>
    </w:p>
    <w:p w:rsidR="00A31137" w:rsidRPr="00A31137" w:rsidRDefault="00A31137" w:rsidP="00A31137">
      <w:r w:rsidRPr="00A31137">
        <w:t>(b) District 30 is subject to strict scrutiny. Appellants do not deny that the district shows substantial disregard for the traditional districting principles of compactness and regularity, or that the redistricters pursued unwaveringly the objective of creating a majority African American district. Their argument that the district's bizarre shape is explained by efforts to unite communities of interest, as manifested by the district's consistently urban character and its shared media sources and major transportation lines to Dallas, must be rejected. The record contains no basis for displacing the District Court's conclusion that race predominated over the latter factors, particularly in light of the court's findings that the State's supporting data were largely unavailable to the legislature before the district was created and that the factors do not differentiate the district from surrounding areas with the same degree of correlation to district lines that racial data exhibit. Appellants' more substantial claim that incumbency protection rivaled race in determining the district's shape is also unavailing. The evidence amply supports the District Court's conclusions that racially motivated gerrymandering had a qualitatively greater influence on the drawing of district lines than politically motivated gerrymandering, which is not subject to strict scrutiny, see Davis v. Bandemer, 478 U.S. 109,  132 (White, J., plurality opinion); and that political gerrymandering was accomplished in large part by the use of race as a proxy for political characteristics, which is subject to such scrutiny, cf. Powers v. Ohio, 499 U.S. 400, 410. Pp. ___.</w:t>
      </w:r>
    </w:p>
    <w:p w:rsidR="00A31137" w:rsidRPr="00A31137" w:rsidRDefault="00A31137" w:rsidP="00A31137">
      <w:r w:rsidRPr="00A31137">
        <w:t>1996, Bush v. Vera, No. 94-805</w:t>
      </w:r>
    </w:p>
    <w:p w:rsidR="00A31137" w:rsidRPr="00A31137" w:rsidRDefault="00A31137" w:rsidP="00A31137">
      <w:r w:rsidRPr="00A31137">
        <w:t>(c) Interlocking Districts 18 and 29 are also subject to strict scrutiny. Those districts' shapes are bizarre, and their utter disregard of city limits, local election precincts, and voter tabulation district lines has caused a severe disruption of traditional forms of political activity and created administrative headaches for local election officials. Although appellants adduced evidence that incumbency protection played a role in determining the bizarre district lines, the District Court's conclusion that the districts' shapes are unexplainable on grounds other than race and, as such, are the product of presumptively unconstitutional racial gerrymandering is inescapably corroborated by the evidence. Pp. ___.</w:t>
      </w:r>
    </w:p>
    <w:p w:rsidR="00A31137" w:rsidRPr="00A31137" w:rsidRDefault="00A31137" w:rsidP="00A31137">
      <w:r w:rsidRPr="00A31137">
        <w:t>1996, Bush v. Vera, No. 94-805</w:t>
      </w:r>
    </w:p>
    <w:p w:rsidR="00A31137" w:rsidRPr="00A31137" w:rsidRDefault="00A31137" w:rsidP="00A31137">
      <w:r w:rsidRPr="00A31137">
        <w:t>3. Districts 18, 29, and 30 are not narrowly tailored to serve a compelling state interest. Pp. ___.</w:t>
      </w:r>
    </w:p>
    <w:p w:rsidR="00A31137" w:rsidRPr="00A31137" w:rsidRDefault="00A31137" w:rsidP="00A31137">
      <w:r w:rsidRPr="00A31137">
        <w:t>1996, Bush v. Vera, No. 94-805</w:t>
      </w:r>
    </w:p>
    <w:p w:rsidR="00A31137" w:rsidRPr="00A31137" w:rsidRDefault="00A31137" w:rsidP="00A31137">
      <w:r w:rsidRPr="00A31137">
        <w:t>(a) Creation of the three districts was not justified by a compelling state interest in complying with the "results" test of VRA § 2(b). It may be assumed without deciding that such compliance can be a compelling state interest. See, e.g., Shaw v. Hunt, ante at ___ (Shaw II). States attempting to comply with § 2 retain discretion to apply traditional districting principles and are entitled to a limited degree of leeway. But a district drawn in order to satisfy § 2 must not subordinate traditional districting principles to race substantially more than is reasonably necessary. The districts at issue fail this test, since all three are bizarrely shaped and far from compact, and those characteristics are predominantly attributable to gerrymandering that was racially motivated and/or achieved by the use of race as a proxy. Appellants Lawson et al. misinterpret Miller, 515 U.S. at ___, when they argue that bizarre shaping and noncompactness go only to motive and are irrelevant to the narrow tailoring inquiry. Also unavailing is the United States' contention that insofar as bizarreness and noncompactness are necessary to achieve the State's compelling interest in compliance with § 2 while simultaneously achieving other legitimate redistricting goals, the narrow tailoring requirement is satisfied. The bizarre shaping and noncompactness of the districts in question were predominantly attributable to racial, not political, manipulation, while the Government's argument addresses the case of an otherwise compact majority minority district that is misshapen by predominantly nonracial political manipulation. Pp. ___.</w:t>
      </w:r>
    </w:p>
    <w:p w:rsidR="00A31137" w:rsidRPr="00A31137" w:rsidRDefault="00A31137" w:rsidP="00A31137">
      <w:r w:rsidRPr="00A31137">
        <w:t>1996, Bush v. Vera, No. 94-805</w:t>
      </w:r>
    </w:p>
    <w:p w:rsidR="00A31137" w:rsidRPr="00A31137" w:rsidRDefault="00A31137" w:rsidP="00A31137">
      <w:r w:rsidRPr="00A31137">
        <w:t>(b) The district lines at issue are not justified by a compelling state interest in ameliorating the effects of racially polarized voting attributable to Texas' long history of discrimination against minorities in electoral processes. Among the conditions that must be satisfied to render an interest in remedying discrimination compelling is the requirement that the discrimination be specific and "identified." Shaw II, ante at ___. Here, the only current problem that appellants cite as in need of remediation is alleged vote dilution as a consequence of racial bloc voting, the same concern that underlies their VRA § 2 compliance defense. Once the correct standard is applied, the fact that these districts are not narrowly tailored to comply with § 2 forecloses this line of defense. Pp. ___.</w:t>
      </w:r>
    </w:p>
    <w:p w:rsidR="00A31137" w:rsidRPr="00A31137" w:rsidRDefault="00A31137" w:rsidP="00A31137">
      <w:r w:rsidRPr="00A31137">
        <w:t>1996, Bush v. Vera, No. 94-805</w:t>
      </w:r>
    </w:p>
    <w:p w:rsidR="00A31137" w:rsidRPr="00A31137" w:rsidRDefault="00A31137" w:rsidP="00A31137">
      <w:r w:rsidRPr="00A31137">
        <w:t>(c) Creation of District 18 (only) was not justified by a compelling state interest in complying with VRA § 5, which seeks to prevent voting procedure changes leading to a retrogression in the position of racial minorities with respect to their effective exercise of the electoral franchise. See, e.g., Miller, supra, at ___.   The problem with appellants' contention that this "nonretrogression" principle applies because Harris County previously contained a congressional district in which African American voters always succeeded in selecting African American representatives is that it seeks to justify not maintenance, but substantial augmentation, of the African American population percentage, which has grown from 40.8% in the previous district to 50.9% in District 18. Nonretrogression is not a license for the State to do whatever it deems necessary to insure continued electoral success; it merely mandates that the minority's opportunity to elect representatives of its choice not be diminished, directly or indirectly, by the State's actions. District 18 is not narrowly tailored to the avoidance of § 5 liability. See Shaw v. Reno, 509 U.S. 630,  655. Pp. ___.</w:t>
      </w:r>
    </w:p>
    <w:p w:rsidR="00A31137" w:rsidRPr="00A31137" w:rsidRDefault="00A31137" w:rsidP="00A31137">
      <w:r w:rsidRPr="00A31137">
        <w:t>1996, Bush v. Vera, No. 94-805</w:t>
      </w:r>
    </w:p>
    <w:p w:rsidR="00A31137" w:rsidRPr="00A31137" w:rsidRDefault="00A31137" w:rsidP="00A31137">
      <w:r w:rsidRPr="00A31137">
        <w:t>4. Various of the dissents' arguments, none of which address the specifics of this case, and which have been rebutted in other decisions, must be rejected. Pp. ___.</w:t>
      </w:r>
    </w:p>
    <w:p w:rsidR="00A31137" w:rsidRPr="00A31137" w:rsidRDefault="00A31137" w:rsidP="00A31137">
      <w:r w:rsidRPr="00A31137">
        <w:t>1996, Bush v. Vera, No. 94-805</w:t>
      </w:r>
    </w:p>
    <w:p w:rsidR="00A31137" w:rsidRPr="00A31137" w:rsidRDefault="00A31137" w:rsidP="00A31137">
      <w:r w:rsidRPr="00A31137">
        <w:t>JUSTICE THOMAS, joined by JUSTICE SCALIA, concluded that application of strict scrutiny in this case was never a close question, since this Court's decisions have effectively resolved that the intentional creation of majority minority districts, by itself, is sufficient to invoke such scrutiny. See, e.g., Adarand Constructors, Inc. v. Pena, 515 U.S. ___, ___ (strict scrutiny applies to all government classifications based on race); Miller v. Johnson, 515 U.S. ___ , ___ (Georgia's concession that it intentionally created majority minority districts was sufficient to show that race was a predominant, motivating factor in its redistricting). DeWitt v. Wilson, 515 U.S. ___, distinguished. Application of strict scrutiny is required here because Texas has readily admitted that it intentionally created majority minority districts and that those districts would not have existed but for its affirmative use of racial demographics. Assuming that the State has asserted a compelling state interest, its redistricting attempts were not narrowly tailored to achieve that interest. Pp. ___.</w:t>
      </w:r>
    </w:p>
    <w:p w:rsidR="00A31137" w:rsidRPr="00A31137" w:rsidRDefault="00A31137" w:rsidP="00A31137">
      <w:r w:rsidRPr="00A31137">
        <w:t>1996, Bush v. Vera, No. 94-805</w:t>
      </w:r>
    </w:p>
    <w:p w:rsidR="00A31137" w:rsidRPr="00A31137" w:rsidRDefault="00A31137" w:rsidP="00A31137">
      <w:r w:rsidRPr="00A31137">
        <w:t>O'CONNOR, J., announced the judgment of the Court and delivered an opinion, in which REHNQUIST, C.J., and KENNEDY, J., joined. O'CONNOR, J., also filed a separate concurring opinion. KENNEDY, J., filed a concurring opinion. THOMAS, J., filed an opinion concurring in the judgment, in which SCALIA, J., joined. STEVENS, J., filed a dissenting opinion, in which GINSBURG and BREYER, JJ., joined. SOUTER, J., filed a dissenting opinion, in which GINSBURG and BREYER, JJ., joined.</w:t>
      </w:r>
    </w:p>
    <w:p w:rsidR="00A31137" w:rsidRPr="00A31137" w:rsidRDefault="00A31137" w:rsidP="00A31137">
      <w:r w:rsidRPr="00A31137">
        <w:t>O'CONNOR, J., lead opinion</w:t>
      </w:r>
    </w:p>
    <w:p w:rsidR="00A31137" w:rsidRPr="00A31137" w:rsidRDefault="00A31137" w:rsidP="00A31137">
      <w:r w:rsidRPr="00A31137">
        <w:t>1996, Bush v. Vera, No. 94-805</w:t>
      </w:r>
    </w:p>
    <w:p w:rsidR="00A31137" w:rsidRPr="00A31137" w:rsidRDefault="00A31137" w:rsidP="00A31137">
      <w:r w:rsidRPr="00A31137">
        <w:t>JUSTICE O'CONNOR announced the judgment of the Court and delivered an opinion, in which THE CHIEF JUSTICE and JUSTICE KENNEDY join.</w:t>
      </w:r>
    </w:p>
    <w:p w:rsidR="00A31137" w:rsidRPr="00A31137" w:rsidRDefault="00A31137" w:rsidP="00A31137">
      <w:r w:rsidRPr="00A31137">
        <w:t>1996, Bush v. Vera, No. 94-805</w:t>
      </w:r>
    </w:p>
    <w:p w:rsidR="00A31137" w:rsidRPr="00A31137" w:rsidRDefault="00A31137" w:rsidP="00A31137">
      <w:r w:rsidRPr="00A31137">
        <w:t>This is the latest in a series of appeals involving racial gerrymandering challenges to state redistricting efforts in the wake of the 1990 census. See Shaw v. Hunt, ante, p. ___ (Shaw II); United States v. Hays, 515 U.S. ___ (1995); Miller v. Johnson, 515 U.S. ___ (1995); Shaw v. Reno, 509 U.S. 630 (1993) (Shaw I). That census revealed a population increase, largely in urban minority populations, that entitled Texas to three additional congressional seats. In response, and with a view to complying with the Voting Rights Act of 1965 (VRA), 79 Stat. 437, as amended, 42 U.S.C. § 1973 et seq., the Texas Legislature promulgated a redistricting plan that, among other things: created District 30, a new majority African American district in Dallas County; created District 29, a new majority Hispanic district in and around Houston in Harris County; and reconfigured District 18, which is adjacent to District 29, to make it a majority African American district. The Department of Justice precleared that plan under VRA § 5 in 1991, and it was used in the 1992 congressional elections.</w:t>
      </w:r>
    </w:p>
    <w:p w:rsidR="00A31137" w:rsidRPr="00A31137" w:rsidRDefault="00A31137" w:rsidP="00A31137">
      <w:r w:rsidRPr="00A31137">
        <w:t>1996, Bush v. Vera, No. 94-805</w:t>
      </w:r>
    </w:p>
    <w:p w:rsidR="00A31137" w:rsidRPr="00A31137" w:rsidRDefault="00A31137" w:rsidP="00A31137">
      <w:r w:rsidRPr="00A31137">
        <w:t>The plaintiffs, six Texas voters, challenged the plan, alleging that 24 of Texas' 30 congressional districts constitute racial gerrymanders in violation of the Fourteenth Amendment. The three-judge United States District Court for the Southern District of Texas held Districts 18, 29, and 30 unconstitutional. Vera v. Richards, 861 F.Supp. 1304 (1994). The Governor of Texas, private intervenors, and the United States (as intervenor) now appeal. Finding that, under this Court's decisions in Shaw I and Miller, the district lines at issue are subject to strict scrutiny, and that they are not narrowly tailored to serve a compelling state interest, we affirm.</w:t>
      </w:r>
    </w:p>
    <w:p w:rsidR="00A31137" w:rsidRPr="00A31137" w:rsidRDefault="00A31137" w:rsidP="00A31137">
      <w:r w:rsidRPr="00A31137">
        <w:t>I</w:t>
      </w:r>
    </w:p>
    <w:p w:rsidR="00A31137" w:rsidRPr="00A31137" w:rsidRDefault="00A31137" w:rsidP="00A31137">
      <w:r w:rsidRPr="00A31137">
        <w:t>1996, Bush v. Vera, No. 94-805</w:t>
      </w:r>
    </w:p>
    <w:p w:rsidR="00A31137" w:rsidRPr="00A31137" w:rsidRDefault="00A31137" w:rsidP="00A31137">
      <w:r w:rsidRPr="00A31137">
        <w:t>As a preliminary matter, the State and private appellants contest the plaintiffs' standing to challenge these districts. Plaintiff Chen resides in Texas congressional District 25, and has not alleged any specific facts showing that he personally has been subjected to any racial classification. Under our decision in Hays, he lacks standing. See Hays, supra, at ___. But plaintiffs Blum and Powers are residents of District 18, plaintiffs Thomas and Vera are residents of District 29, and plaintiff Orcutt is a resident of District 30. We stated in Hays that,</w:t>
      </w:r>
    </w:p>
    <w:p w:rsidR="00A31137" w:rsidRPr="00A31137" w:rsidRDefault="00A31137" w:rsidP="00A31137">
      <w:r w:rsidRPr="00A31137">
        <w:t>1996, Bush v. Vera, No. 94-805</w:t>
      </w:r>
    </w:p>
    <w:p w:rsidR="00A31137" w:rsidRPr="00A31137" w:rsidRDefault="00A31137" w:rsidP="00A31137">
      <w:r w:rsidRPr="00A31137">
        <w:t>[w]here a plaintiff resides in a racially gerrymandered district,…the plaintiff has been denied equal treatment because of the legislature's reliance on racial criteria, and therefore has standing to challenge the legislature's action.</w:t>
      </w:r>
    </w:p>
    <w:p w:rsidR="00A31137" w:rsidRPr="00A31137" w:rsidRDefault="00A31137" w:rsidP="00A31137">
      <w:r w:rsidRPr="00A31137">
        <w:t>1996, Bush v. Vera, No. 94-805</w:t>
      </w:r>
    </w:p>
    <w:p w:rsidR="00A31137" w:rsidRPr="00A31137" w:rsidRDefault="00A31137" w:rsidP="00A31137">
      <w:r w:rsidRPr="00A31137">
        <w:t>Hays, supra, at ___; accord, Miller, supra, at ___. Under this rule, these plaintiffs have standing to challenge Districts 18, 29, and 30.</w:t>
      </w:r>
    </w:p>
    <w:p w:rsidR="00A31137" w:rsidRPr="00A31137" w:rsidRDefault="00A31137" w:rsidP="00A31137">
      <w:r w:rsidRPr="00A31137">
        <w:t>II</w:t>
      </w:r>
    </w:p>
    <w:p w:rsidR="00A31137" w:rsidRPr="00A31137" w:rsidRDefault="00A31137" w:rsidP="00A31137">
      <w:r w:rsidRPr="00A31137">
        <w:t>1996, Bush v. Vera, No. 94-805</w:t>
      </w:r>
    </w:p>
    <w:p w:rsidR="00A31137" w:rsidRPr="00A31137" w:rsidRDefault="00A31137" w:rsidP="00A31137">
      <w:r w:rsidRPr="00A31137">
        <w:t>We must now determine whether those districts are subject to strict scrutiny. Our precedents have used a variety of formulations to describe the threshold for the application of strict scrutiny. Strict scrutiny applies where</w:t>
      </w:r>
    </w:p>
    <w:p w:rsidR="00A31137" w:rsidRPr="00A31137" w:rsidRDefault="00A31137" w:rsidP="00A31137">
      <w:r w:rsidRPr="00A31137">
        <w:t>1996, Bush v. Vera, No. 94-805</w:t>
      </w:r>
    </w:p>
    <w:p w:rsidR="00A31137" w:rsidRPr="00A31137" w:rsidRDefault="00A31137" w:rsidP="00A31137">
      <w:r w:rsidRPr="00A31137">
        <w:t>redistricting legislation…is so extremely irregular on its face that it rationally can be viewed only as an effort to segregate the races for purposes of voting, without regard for traditional districting principles,</w:t>
      </w:r>
    </w:p>
    <w:p w:rsidR="00A31137" w:rsidRPr="00A31137" w:rsidRDefault="00A31137" w:rsidP="00A31137">
      <w:r w:rsidRPr="00A31137">
        <w:t>1996, Bush v. Vera, No. 94-805</w:t>
      </w:r>
    </w:p>
    <w:p w:rsidR="00A31137" w:rsidRPr="00A31137" w:rsidRDefault="00A31137" w:rsidP="00A31137">
      <w:r w:rsidRPr="00A31137">
        <w:t>Shaw I, 509 U.S. at  642, or where "race for its own sake, and not other districting principles, was the legislature's dominant and controlling rationale in drawing its district lines," Miller, 515 U.S. at ___, and "the legislature subordinated traditional race-neutral districting principles…to racial considerations," id. at ___. See also id. at ___ (O'CONNOR, J., concurring) (strict scrutiny only applies where "the State has relied on race in substantial disregard of customary and traditional districting practices").</w:t>
      </w:r>
    </w:p>
    <w:p w:rsidR="00A31137" w:rsidRPr="00A31137" w:rsidRDefault="00A31137" w:rsidP="00A31137">
      <w:r w:rsidRPr="00A31137">
        <w:t>1996, Bush v. Vera, No. 94-805</w:t>
      </w:r>
    </w:p>
    <w:p w:rsidR="00A31137" w:rsidRPr="00A31137" w:rsidRDefault="00A31137" w:rsidP="00A31137">
      <w:r w:rsidRPr="00A31137">
        <w:t>Strict scrutiny does not apply merely because redistricting is performed with consciousness of race. See Shaw I, supra, at  646. Nor does it apply to all cases of intentional creation of majority minority districts. See DeWitt v. Wilson, 856 F.Supp. 1409 (ED Cal. 1994) (strict scrutiny did not apply to an intentionally created compact majority minority district), summarily aff'd, 515 U.S. ___ (1995); cf. Shaw I, 509 U.S. at  649 (reserving this question). Electoral district lines are "facially race neutral," so a more searching inquiry is necessary before strict scrutiny can be found applicable in redistricting cases than in cases of "classifications based explicitly on race." See Adarand Constructors, Inc. v. Pena, 515 U.S. ___, ___ (1995); compare post at ___ (THOMAS, J.,, concurring in judgment) (assimilating our redistricting cases to Adarand). For strict scrutiny to apply, the plaintiffs must prove that other, legitimate districting principles were "subordinated" to race. Miller, 515 U.S. at ___. By that, we mean that race must be "the predominant factor motivating the legislature's [redistricting] decision."  Ibid. (emphasis added). We thus differ from JUSTICE THOMAS, who would apparently hold that it suffices that racial considerations be a motivation for the drawing of a majority minority district. See post at ___.</w:t>
      </w:r>
    </w:p>
    <w:p w:rsidR="00A31137" w:rsidRPr="00A31137" w:rsidRDefault="00A31137" w:rsidP="00A31137">
      <w:r w:rsidRPr="00A31137">
        <w:t>1996, Bush v. Vera, No. 94-805</w:t>
      </w:r>
    </w:p>
    <w:p w:rsidR="00A31137" w:rsidRPr="00A31137" w:rsidRDefault="00A31137" w:rsidP="00A31137">
      <w:r w:rsidRPr="00A31137">
        <w:t>The present case is a mixed motive case. The appellants concede that one of Texas' goals in creating the three districts at issue was to produce majority minority districts, but they also cite evidence that other goals, particularly incumbency protection (including protection of "functional incumbents," i.e., sitting members of the Texas Legislature who had declared an intention to run for open congressional seats), also played a role in the drawing of the district lines. The record does not reflect a history of "purely race-based" districting revisions. Cf. Miller, supra, at ___ (emphasis added). A careful review is, therefore, necessary to determine whether these districts are subject to strict scrutiny. But review of the District Court's findings of primary fact and the record convinces us that the District Court's determination that race was the "predominant factor" in the drawing of each of the districts must be sustained.</w:t>
      </w:r>
    </w:p>
    <w:p w:rsidR="00A31137" w:rsidRPr="00A31137" w:rsidRDefault="00A31137" w:rsidP="00A31137">
      <w:r w:rsidRPr="00A31137">
        <w:t>1996, Bush v. Vera, No. 94-805</w:t>
      </w:r>
    </w:p>
    <w:p w:rsidR="00A31137" w:rsidRPr="00A31137" w:rsidRDefault="00A31137" w:rsidP="00A31137">
      <w:r w:rsidRPr="00A31137">
        <w:t>We begin with general findings and evidence regarding the redistricting plan's respect for traditional districting principles, the legislators' expressed motivations, and the methods used in the redistricting process. The District Court began its analysis by rejecting the factual basis for appellants' claim that Texas' challenged "districts cannot be unconstitutionally bizarre in shape because Texas does not have and never has used traditional redistricting principles such as natural geographical boundaries, contiguity, compactness, and conformity to political subdivisions." 861 F.Supp. at 1333. The court instead found that "generally, Texas has not intentionally disregarded traditional districting criteria," and that only one pre-1991 congressional district in Texas was comparable in its irregularity and noncompactness to the three challenged districts. Id. at 1334. The court also noted that "compactness as measured by an 'eyeball' approach was much less important," id. at 1313, n. 9, in the 1991 plan, App. 144, than in its predecessor, the 1980 Texas congressional districting plan, id. at 138, and that districts were especially irregular in shape in the Dallas and Harris County areas where the challenged districts are located, see 861 F.Supp. at 1313, n. 9.</w:t>
      </w:r>
      <w:r w:rsidRPr="00A31137">
        <w:cr/>
      </w:r>
    </w:p>
    <w:p w:rsidR="00A31137" w:rsidRPr="00A31137" w:rsidRDefault="00A31137" w:rsidP="00A31137">
      <w:r w:rsidRPr="00A31137">
        <w:t>1996, Bush v. Vera, No. 94-805</w:t>
      </w:r>
    </w:p>
    <w:p w:rsidR="00A31137" w:rsidRPr="00A31137" w:rsidRDefault="00A31137" w:rsidP="00A31137">
      <w:r w:rsidRPr="00A31137">
        <w:t>These findings comport with the conclusions of an instructive study that attempted to determine the relative compactness of districts nationwide in objective, numerical terms. That study gave Texas' 1980 districting plan a roughly average score for the compactness and regularity of its district shapes, but ranked its 1991 plan among the worst in the Nation. See Pildes &amp; Niemi, Expressive Harms, "Bizarre Districts," and Voting Rights: Evaluating Election District Appearances After Shaw v. Reno, 92 Mich.L.Rev. 483, 571-573, table 6 (1993). The same study ranked Districts 18, 29, and 30 among the 28 least regular congressional districts nationwide. See id. at 565, table 3. Our own review gives us no reason to disagree with the District Court that the districts at issue "have no integrity in terms of traditional, neutral redistricting criteria," 861 F.Supp. at 1339.</w:t>
      </w:r>
    </w:p>
    <w:p w:rsidR="00A31137" w:rsidRPr="00A31137" w:rsidRDefault="00A31137" w:rsidP="00A31137">
      <w:r w:rsidRPr="00A31137">
        <w:t>1996, Bush v. Vera, No. 94-805</w:t>
      </w:r>
    </w:p>
    <w:p w:rsidR="00A31137" w:rsidRPr="00A31137" w:rsidRDefault="00A31137" w:rsidP="00A31137">
      <w:r w:rsidRPr="00A31137">
        <w:t>The District Court also found substantial direct evidence of the legislature's racial motivations. The State's submission to the Department of Justice for preclearance under VRA § 5 reports a consensus within the legislature that the three new congressional districts</w:t>
      </w:r>
    </w:p>
    <w:p w:rsidR="00A31137" w:rsidRPr="00A31137" w:rsidRDefault="00A31137" w:rsidP="00A31137">
      <w:r w:rsidRPr="00A31137">
        <w:t>1996, Bush v. Vera, No. 94-805</w:t>
      </w:r>
    </w:p>
    <w:p w:rsidR="00A31137" w:rsidRPr="00A31137" w:rsidRDefault="00A31137" w:rsidP="00A31137">
      <w:r w:rsidRPr="00A31137">
        <w:t>"should be configured in such a way as to allow members of racial, ethnic, and language minorities to elect Congressional representatives. Accordingly, the three new districts include a predominantly black district drawn in the Dallas County area [district 30] and predominantly Hispanic districts in the Harris County area [district 29] and in the South Texas region. In addition to creating the three new minority districts, the proposed Congressional redistricting plan increases the black voting strength of the current District 18 (Harris County) by increasing the population to assure that the black community may continue to elect a candidate of its choice."</w:t>
      </w:r>
    </w:p>
    <w:p w:rsidR="00A31137" w:rsidRPr="00A31137" w:rsidRDefault="00A31137" w:rsidP="00A31137">
      <w:r w:rsidRPr="00A31137">
        <w:t>1996, Bush v. Vera, No. 94-805</w:t>
      </w:r>
    </w:p>
    <w:p w:rsidR="00A31137" w:rsidRPr="00A31137" w:rsidRDefault="00A31137" w:rsidP="00A31137">
      <w:r w:rsidRPr="00A31137">
        <w:t>Id. at 1315 (quoting Narrative of Voting Rights Act Considerations in Affected Districts, reprinted in App. 104-105). The appellants also conceded in this litigation that the three districts at issue "were created for the purpose of enhancing the opportunity of minority voters to elect minority representatives to Congress." 861 F.Supp. at 1337. And testimony of individual state officials confirmed that the decision to create the districts now challenged as majority minority districts was made at the outset of the process and never seriously questioned.</w:t>
      </w:r>
    </w:p>
    <w:p w:rsidR="00A31137" w:rsidRPr="00A31137" w:rsidRDefault="00A31137" w:rsidP="00A31137">
      <w:r w:rsidRPr="00A31137">
        <w:t>1996, Bush v. Vera, No. 94-805</w:t>
      </w:r>
    </w:p>
    <w:p w:rsidR="00A31137" w:rsidRPr="00A31137" w:rsidRDefault="00A31137" w:rsidP="00A31137">
      <w:r w:rsidRPr="00A31137">
        <w:t>The means that Texas used to make its redistricting decisions provides further evidence of the importance of race. The primary tool used in drawing district lines was a computer program called "REDAPPL." REDAPPL permitted redistricters to manipulate district lines on computer maps, on which racial and other socioeconomic data were superimposed. At each change in configuration of the district lines being drafted, REDAPPL displayed updated racial composition statistics for the district as drawn. REDAPPL contained racial data at the block-by-block level, whereas other data, such as party registration and past voting statistics, were only available at the level of voter tabulation districts (which approximate election precincts). The availability and use of block-by-block racial data was unprecedented; before the 1990 census, data were not broken down beyond the census tract level. See App. 123. By providing uniquely detailed racial data, REDAPPL enabled districters to make more intricate refinements on the basis of race than on the basis of other demographic information. The District Court found that the districters availed themselves fully of that opportunity:</w:t>
      </w:r>
    </w:p>
    <w:p w:rsidR="00A31137" w:rsidRPr="00A31137" w:rsidRDefault="00A31137" w:rsidP="00A31137">
      <w:r w:rsidRPr="00A31137">
        <w:t>1996, Bush v. Vera, No. 94-805</w:t>
      </w:r>
    </w:p>
    <w:p w:rsidR="00A31137" w:rsidRPr="00A31137" w:rsidRDefault="00A31137" w:rsidP="00A31137">
      <w:r w:rsidRPr="00A31137">
        <w:t>In numerous instances, the correlation between race and district boundaries is nearly perfect…. The borders of Districts 18, 29, and 30 change from block to block, from one side of the street to the other, and traverse streets, bodies of water, and commercially developed areas in seemingly arbitrary fashion until one realizes that those corridors connect minority populations.</w:t>
      </w:r>
    </w:p>
    <w:p w:rsidR="00A31137" w:rsidRPr="00A31137" w:rsidRDefault="00A31137" w:rsidP="00A31137">
      <w:r w:rsidRPr="00A31137">
        <w:t>1996, Bush v. Vera, No. 94-805</w:t>
      </w:r>
    </w:p>
    <w:p w:rsidR="00A31137" w:rsidRPr="00A31137" w:rsidRDefault="00A31137" w:rsidP="00A31137">
      <w:r w:rsidRPr="00A31137">
        <w:t>861 F.Supp. at 1336.</w:t>
      </w:r>
    </w:p>
    <w:p w:rsidR="00A31137" w:rsidRPr="00A31137" w:rsidRDefault="00A31137" w:rsidP="00A31137">
      <w:r w:rsidRPr="00A31137">
        <w:t>1996, Bush v. Vera, No. 94-805</w:t>
      </w:r>
    </w:p>
    <w:p w:rsidR="00A31137" w:rsidRPr="00A31137" w:rsidRDefault="00A31137" w:rsidP="00A31137">
      <w:r w:rsidRPr="00A31137">
        <w:t>These findings—that the State substantially neglected traditional districting criteria such as compactness, that it was committed from the outset to creating majority minority districts, and that it manipulated district lines to exploit unprecedentedly detailed racial data—together weigh in favor of the application of strict scrutiny. We do not hold that any one of these factors is independently sufficient to require strict scrutiny. The Constitution does not mandate regularity of district shape, see Shaw I, 509 U.S. at  647, and the neglect of traditional districting criteria is merely necessary, not sufficient. For strict scrutiny to apply, traditional districting criteria must be subordinated to race. Miller, 515 U.S. at ___. Nor, as we have emphasized, is the decision to create a majority minority district objectionable in and of itself. The direct evidence of that decision is not, as JUSTICE STEVENS suggests, post at ___, "the real key" to our decision; it is merely one of several essential ingredients. Nor do we "condemn state legislation merely because it was based on accurate information." Post at ___, n. 27. The use of sophisticated technology and detailed information in the drawing of majority minority districts is no more objectionable than it is in the drawing of majority majority districts. But, as the District Court explained, the direct evidence of racial considerations, coupled with the fact that the computer program used was significantly more sophisticated with respect to race than with respect to other demographic data, provides substantial evidence that it was race that led to the neglect of traditional districting criteria here. We must therefore consider what role other factors played in order to determine whether race predominated.</w:t>
      </w:r>
    </w:p>
    <w:p w:rsidR="00A31137" w:rsidRPr="00A31137" w:rsidRDefault="00A31137" w:rsidP="00A31137">
      <w:r w:rsidRPr="00A31137">
        <w:t>1996, Bush v. Vera, No. 94-805</w:t>
      </w:r>
    </w:p>
    <w:p w:rsidR="00A31137" w:rsidRPr="00A31137" w:rsidRDefault="00A31137" w:rsidP="00A31137">
      <w:r w:rsidRPr="00A31137">
        <w:t>Several factors other than race were at work in the drawing of the districts. Traditional districting criteria were not entirely neglected: Districts 18 and 29 maintain the integrity of county lines; each of the three districts takes its character from a principal city and the surrounding urban area; and none of the districts is as widely dispersed as the North Carolina district held unconstitutional in Shaw II, ante, p. ___. (These characteristics are, however, unremarkable in the context of large, densely populated urban counties.) More significantly, the District Court found that incumbency protection influenced the redistricting plan to an unprecedented extent:</w:t>
      </w:r>
    </w:p>
    <w:p w:rsidR="00A31137" w:rsidRPr="00A31137" w:rsidRDefault="00A31137" w:rsidP="00A31137">
      <w:r w:rsidRPr="00A31137">
        <w:t>1996, Bush v. Vera, No. 94-805</w:t>
      </w:r>
    </w:p>
    <w:p w:rsidR="00A31137" w:rsidRPr="00A31137" w:rsidRDefault="00A31137" w:rsidP="00A31137">
      <w:r w:rsidRPr="00A31137">
        <w:t>[A]s enacted in Texas in 1991, many incumbent protection boundaries sabotaged traditional redistricting principles as they routinely divided counties, cities, neighborhoods, and regions. For the sake of maintaining or winning seats in the House of Representatives, Congressmen or would-be Congressmen shed hostile groups and potential opponents by fencing them out of their districts. The Legislature obligingly carved out districts of apparent supporters of incumbents, as suggested by the incumbents, and then added appendages to connect their residences to those districts. The final result seems not one in which the people select their representatives, but in which the representatives have selected the people.</w:t>
      </w:r>
    </w:p>
    <w:p w:rsidR="00A31137" w:rsidRPr="00A31137" w:rsidRDefault="00A31137" w:rsidP="00A31137">
      <w:r w:rsidRPr="00A31137">
        <w:t>1996, Bush v. Vera, No. 94-805</w:t>
      </w:r>
    </w:p>
    <w:p w:rsidR="00A31137" w:rsidRPr="00A31137" w:rsidRDefault="00A31137" w:rsidP="00A31137">
      <w:r w:rsidRPr="00A31137">
        <w:t>861 F.Supp. at 1334 (citations and footnotes omitted). See also id. at 1317-1318 (describing specific evidence of incumbency protection efforts statewide). This finding receives inferential support from the fact that all but one of Texas' 27 incumbents won in the 1992 elections. See id. at 1318. And the appellants point to evidence that in many cases, race correlates strongly with manifestations of community of interest (for example, shared broadcast and print media, public transport infrastructure, and institutions such as schools and churches) and with the political data that is vital to incumbency protection efforts, raising the possibility that correlations between racial demographics and district lines may be explicable in terms of nonracial motivations. For example, a finding by a district court that district lines were drawn in part on the basis of evidence (other than racial data) of where communities of interest existed might weaken a plaintiff's claim that race predominated in the drawing of district lines. Cf. post at ___ (SOUTER, J., dissenting) (recognizing the legitimate role of communities of interest in our system of representative democracy).</w:t>
      </w:r>
    </w:p>
    <w:p w:rsidR="00A31137" w:rsidRPr="00A31137" w:rsidRDefault="00A31137" w:rsidP="00A31137">
      <w:r w:rsidRPr="00A31137">
        <w:t>1996, Bush v. Vera, No. 94-805</w:t>
      </w:r>
    </w:p>
    <w:p w:rsidR="00A31137" w:rsidRPr="00A31137" w:rsidRDefault="00A31137" w:rsidP="00A31137">
      <w:r w:rsidRPr="00A31137">
        <w:t>Strict scrutiny would not be appropriate if race-neutral, traditional districting considerations predominated over racial ones. We have not subjected political gerrymandering to strict scrutiny. See Davis v. Bandemer, 478 U.S. 109,  132 (1986) (White, J., plurality opinion) ("[U]nconstitutional discrimination occurs only when the electoral system is arranged in a manner that will consistently degrade a voter's or a group of voters' influence on the political process as a whole"); id. at  147 (O'CONNOR, J., concurring in judgment) ("[P]urely political gerrymandering claims" are not justiciable). And we have recognized incumbency protection at least in the limited form of "avoiding contests between incumbent[s]," as a legitimate state goal. See Karcher v. Daggett, 462 U.S. 725, 740 (1983); White v. Weiser, 412 U.S. 783, 797 (1973); Burns v. Richardson, 384 U.S. 73, 89, n. 16 (1966); cf. Gaffney v. Cummings, 412 U.S. 735, 751-754, and 752, n. 18 (1973) (State may draw irregular district lines in order to allocate seats proportionately to major political parties). Because it is clear that race was not the only factor that motivated the legislature to draw irregular district lines, we must scrutinize each challenged district to determine whether the District Court's conclusion that race predominated over legitimate districting considerations, including incumbency, can be sustained.</w:t>
      </w:r>
    </w:p>
    <w:p w:rsidR="00A31137" w:rsidRPr="00A31137" w:rsidRDefault="00A31137" w:rsidP="00A31137">
      <w:r w:rsidRPr="00A31137">
        <w:t>A</w:t>
      </w:r>
    </w:p>
    <w:p w:rsidR="00A31137" w:rsidRPr="00A31137" w:rsidRDefault="00A31137" w:rsidP="00A31137">
      <w:r w:rsidRPr="00A31137">
        <w:t>1996, Bush v. Vera, No. 94-805</w:t>
      </w:r>
    </w:p>
    <w:p w:rsidR="00A31137" w:rsidRPr="00A31137" w:rsidRDefault="00A31137" w:rsidP="00A31137">
      <w:r w:rsidRPr="00A31137">
        <w:t>The population of District 30 is 50% African American and 17.1% Hispanic. Fifty percent of the district's population is located in a compact, albeit irregularly shaped, core in south Dallas, which is 69% African American. But the remainder of the district consists of narrow and bizarrely shaped tentacles—the State identifies seven "segments"—extending primarily to the north and west. See App. 335; see also M. Barone &amp; G. Ujifusa, Almanac of American Politics 1996, p. 1277 (1995) (describing the district). Over 98% of the district's population is within Dallas County, see App. 118, but it crosses two county lines at its western and northern extremities. Its western excursion into Tarrant County grabs a small community that is 61.9% African American, id. at 331; its northern excursion into Collin County occupies a hook-like shape mapping exactly onto the only area in the southern half of that county with a combined African American and Hispanic percentage population in excess of 50%, id. at 153. The District Court's description of the district as a whole bears repeating:</w:t>
      </w:r>
    </w:p>
    <w:p w:rsidR="00A31137" w:rsidRPr="00A31137" w:rsidRDefault="00A31137" w:rsidP="00A31137">
      <w:r w:rsidRPr="00A31137">
        <w:t>1996, Bush v. Vera, No. 94-805</w:t>
      </w:r>
    </w:p>
    <w:p w:rsidR="00A31137" w:rsidRPr="00A31137" w:rsidRDefault="00A31137" w:rsidP="00A31137">
      <w:r w:rsidRPr="00A31137">
        <w:t>The district sprawls throughout Dallas County, deliberately excludes the wealthy white neighborhoods of Highland Park and University Park, and extends fingers into Collin County, which include the outermost suburbs of Dallas. In Collin County, the district picks up a small African American neighborhood. The district extends into Tarrant County only to pick up a small border area with a high African American concentration. It also reaches out to claim Hamilton Park, an affluent African American neighborhood surrounded by whites. Part of the district runs along Trinity River bottom, using it to connect dispersed minority population. Numerous [voter tabulation districts] were split in order to achieve the population mix required for the district…. It is at least 25 miles wide and 30 miles long.</w:t>
      </w:r>
    </w:p>
    <w:p w:rsidR="00A31137" w:rsidRPr="00A31137" w:rsidRDefault="00A31137" w:rsidP="00A31137">
      <w:r w:rsidRPr="00A31137">
        <w:t>1996, Bush v. Vera, No. 94-805</w:t>
      </w:r>
    </w:p>
    <w:p w:rsidR="00A31137" w:rsidRPr="00A31137" w:rsidRDefault="00A31137" w:rsidP="00A31137">
      <w:r w:rsidRPr="00A31137">
        <w:t>861 F.Supp. at 1337-1338; see also Appendix A to this opinion (outline of District 30) [omitted—see printed edition].</w:t>
      </w:r>
    </w:p>
    <w:p w:rsidR="00A31137" w:rsidRPr="00A31137" w:rsidRDefault="00A31137" w:rsidP="00A31137">
      <w:r w:rsidRPr="00A31137">
        <w:t>1996, Bush v. Vera, No. 94-805</w:t>
      </w:r>
    </w:p>
    <w:p w:rsidR="00A31137" w:rsidRPr="00A31137" w:rsidRDefault="00A31137" w:rsidP="00A31137">
      <w:r w:rsidRPr="00A31137">
        <w:t>Appellants do not deny that District 30 shows substantial disregard for the traditional districting principles of compactness and regularity, or that the redistricters pursued unwaveringly the objective of creating a majority African American district. But they argue that its bizarre shape is explained by efforts to unite communities of interest in a single district and, especially, to protect incumbents.</w:t>
      </w:r>
    </w:p>
    <w:p w:rsidR="00A31137" w:rsidRPr="00A31137" w:rsidRDefault="00A31137" w:rsidP="00A31137">
      <w:r w:rsidRPr="00A31137">
        <w:t>1996, Bush v. Vera, No. 94-805</w:t>
      </w:r>
    </w:p>
    <w:p w:rsidR="00A31137" w:rsidRPr="00A31137" w:rsidRDefault="00A31137" w:rsidP="00A31137">
      <w:r w:rsidRPr="00A31137">
        <w:t>Appellants highlight the facts that the district has a consistently urban character and has common media sources throughout, and that its tentacles include several major transportation lines into the city of Dallas. These factors, which implicate traditional districting principles, do correlate to some extent with the district's layout. But we see no basis in the record for displacing the District Court's conclusion that race predominated over them, particularly in light of the court's findings that the State's supporting data were not "available to the Legislature in any organized fashion before District 30 was created," 861 F.Supp. at 1338, and that they do not "differentiate the district from surrounding areas," ibid. with the same degree of correlation to district lines that racial data exhibit, see App. 150. In reaching that conclusion, we do not, as JUSTICE STEVENS fears, require States engaged in redistricting to compile "a comprehensive administrative record," post at ___ (STEVENS, J., dissenting), and we do not dismiss facts not explicitly mentioned in the redistricting plan's legislative history as "irrelevant," id. at ___. If, as may commonly happen, traditional districting principles are substantially followed without much conscious thought, they cannot be said to have been "subordinated to race." In considering whether race was the "predominant factor motivating the legislatur[e]," it is, however, evidentially significant that at the time of the redistricting, the State had compiled detailed racial data for use in redistricting, but made no apparent attempt to compile, and did not refer specifically to, equivalent data regarding communities of interest.</w:t>
      </w:r>
    </w:p>
    <w:p w:rsidR="00A31137" w:rsidRPr="00A31137" w:rsidRDefault="00A31137" w:rsidP="00A31137">
      <w:r w:rsidRPr="00A31137">
        <w:t>1996, Bush v. Vera, No. 94-805</w:t>
      </w:r>
    </w:p>
    <w:p w:rsidR="00A31137" w:rsidRPr="00A31137" w:rsidRDefault="00A31137" w:rsidP="00A31137">
      <w:r w:rsidRPr="00A31137">
        <w:t>Appellants present a more substantial case for their claim that incumbency protection rivaled race in determining the district's shape. Representative Johnson was the principal architect of District 30, which was designed in part to create a safe Democratic seat for her. At an early stage in the redistricting process, Johnson submitted to the state legislature a plan for Dallas County with a relatively compact 44% African American district that did not violate the integrity of any voter tabulation district or county lines. See App. 139; 861 F.Supp. at 1338. The District Court found that "[w]hile minority voters did not object" to it, id. at 1330, "[t]hat plan drew much opposition from incumbents and was quickly abandoned." Id. at 1321, n. 22. "[F]ive other congressmen would have been thrown into districts other than the ones they currently represent." Id. at 1330-1331. Appellants also point to testimony from Johnson and others to the effect that the incumbents of the adjacent Democratic Districts 5 and 24 exerted strong and partly successful efforts to retain predominantly African American Democratic voters in their districts. (There was evidence that 97% of African American voters in and around the city of Dallas vote Democrat.) See generally id. at 1321-1322.</w:t>
      </w:r>
    </w:p>
    <w:p w:rsidR="00A31137" w:rsidRPr="00A31137" w:rsidRDefault="00A31137" w:rsidP="00A31137">
      <w:r w:rsidRPr="00A31137">
        <w:t>1996, Bush v. Vera, No. 94-805</w:t>
      </w:r>
    </w:p>
    <w:p w:rsidR="00A31137" w:rsidRPr="00A31137" w:rsidRDefault="00A31137" w:rsidP="00A31137">
      <w:r w:rsidRPr="00A31137">
        <w:t>In some circumstances, incumbency protection might explain as well as, or better than, race a State's decision to depart from other traditional districting principles, such as compactness, in the drawing of bizarre district lines. And the fact that, "[a]s it happens,…many of the voters being fought over [by the neighboring Democratic incumbents] were African American," id. at 1338, would not, in and of itself, convert a political gerrymander into a racial gerrymander, no matter how conscious redistricters were of the correlation between race and party affiliation. See Shaw I, 509 U.S. at  646. If district lines merely correlate with race because they are drawn on the basis of political affiliation, which correlates with race, there is no racial classification to justify, just as racial disproportions in the level of prosecutions for a particular crime may be unobjectionable if they merely reflect racial disproportions in the commission of that crime, cf. post at ___, n. 30 (STEVENS, J., dissenting) (discussing United States v. Armstrong, 517 U.S. ___, ___ (1996)).</w:t>
      </w:r>
    </w:p>
    <w:p w:rsidR="00A31137" w:rsidRPr="00A31137" w:rsidRDefault="00A31137" w:rsidP="00A31137">
      <w:r w:rsidRPr="00A31137">
        <w:t>1996, Bush v. Vera, No. 94-805</w:t>
      </w:r>
    </w:p>
    <w:p w:rsidR="00A31137" w:rsidRPr="00A31137" w:rsidRDefault="00A31137" w:rsidP="00A31137">
      <w:r w:rsidRPr="00A31137">
        <w:t>If the State's goal is otherwise constitutional political gerrymandering, it is free to use the kind of political data on which JUSTICE STEVENS focuses—precinct general election voting patterns, post at ___, precinct primary voting patterns, post at ___, and legislators' experience, post at ___—to achieve that goal regardless of its awareness of its racial implications and regardless of the fact that it does so in the context of a majority minority district. To the extent that the District Court suggested the contrary, it erred. But to the extent that race is used as a proxy for political characteristics, a racial stereotype requiring strict scrutiny is in operation. Cf. Powers v. Ohio, 499 U.S. 400, 410 (1991) ("Race cannot be a proxy for determining juror bias or competence"). We cannot agree with the dissenters, see post at ___ (STEVENS, J., dissenting); post at ___, n. 5 (SOUTER, J., dissenting); see also Shaw II, ante at ___, n. 4 (STEVENS, J., dissenting), that racial stereotyping that we have scrutinized closely in the context of jury service can pass without justification in the context of voting. If the promise of the Reconstruction Amendments, that our Nation is to be free of state-sponsored discrimination, is to be upheld, we cannot pick and choose between the basic forms of political participation in our efforts to eliminate unjustified racial stereotyping by government actors.</w:t>
      </w:r>
    </w:p>
    <w:p w:rsidR="00A31137" w:rsidRPr="00A31137" w:rsidRDefault="00A31137" w:rsidP="00A31137">
      <w:r w:rsidRPr="00A31137">
        <w:t>1996, Bush v. Vera, No. 94-805</w:t>
      </w:r>
    </w:p>
    <w:p w:rsidR="00A31137" w:rsidRPr="00A31137" w:rsidRDefault="00A31137" w:rsidP="00A31137">
      <w:r w:rsidRPr="00A31137">
        <w:t>Here, the District Court had ample bases on which to conclude both that racially motivated gerrymandering had a qualitatively greater influence on the drawing of district lines than politically motivated gerrymandering, and that political gerrymandering was accomplished in large part by the use of race as a proxy. The State's own VRA § 5 submission explains the drawing of District 30, and the rejection of Johnson's more compact plan, in exclusively racial terms:</w:t>
      </w:r>
    </w:p>
    <w:p w:rsidR="00A31137" w:rsidRPr="00A31137" w:rsidRDefault="00A31137" w:rsidP="00A31137">
      <w:r w:rsidRPr="00A31137">
        <w:t>1996, Bush v. Vera, No. 94-805</w:t>
      </w:r>
    </w:p>
    <w:p w:rsidR="00A31137" w:rsidRPr="00A31137" w:rsidRDefault="00A31137" w:rsidP="00A31137">
      <w:r w:rsidRPr="00A31137">
        <w:t>Throughout the course of the Congressional redistricting process, the lines of the proposed District 30 were constantly reconfigured in an attempt to maximize the voting strength for this black community in Dallas County…. While the legislature was in agreement that a safe black district should be drawn in the Dallas County area, the real dispute involved the composition, configuration and quality of that district. The community insisted that [a] "safe" black district be drawn that had a total black population of at least 50%….</w:t>
      </w:r>
    </w:p>
    <w:p w:rsidR="00A31137" w:rsidRPr="00A31137" w:rsidRDefault="00A31137" w:rsidP="00A31137">
      <w:r w:rsidRPr="00A31137">
        <w:t>1996, Bush v. Vera, No. 94-805</w:t>
      </w:r>
    </w:p>
    <w:p w:rsidR="00A31137" w:rsidRPr="00A31137" w:rsidRDefault="00A31137" w:rsidP="00A31137">
      <w:r w:rsidRPr="00A31137">
        <w:t>Although some [alternative] proposals showed a more compact configuration, none of them reached the threshold 50% total black population which the community felt was necessary to assure its ability to elect its own Congressional representative without having to form coalitions with other minority groups.</w:t>
      </w:r>
    </w:p>
    <w:p w:rsidR="00A31137" w:rsidRPr="00A31137" w:rsidRDefault="00A31137" w:rsidP="00A31137">
      <w:r w:rsidRPr="00A31137">
        <w:t>*    *    *    *</w:t>
      </w:r>
    </w:p>
    <w:p w:rsidR="00A31137" w:rsidRPr="00A31137" w:rsidRDefault="00A31137" w:rsidP="00A31137">
      <w:r w:rsidRPr="00A31137">
        <w:t>1996, Bush v. Vera, No. 94-805</w:t>
      </w:r>
    </w:p>
    <w:p w:rsidR="00A31137" w:rsidRPr="00A31137" w:rsidRDefault="00A31137" w:rsidP="00A31137">
      <w:r w:rsidRPr="00A31137">
        <w:t>The goal was to not only create a district that would maximize the opportunity for the black community to elect a Congressional candidate of its choice in 1992, but also one that included some of the major black growth areas which will assure continued electoral and economic opportunities over the next decades.</w:t>
      </w:r>
    </w:p>
    <w:p w:rsidR="00A31137" w:rsidRPr="00A31137" w:rsidRDefault="00A31137" w:rsidP="00A31137">
      <w:r w:rsidRPr="00A31137">
        <w:t>1996, Bush v. Vera, No. 94-805</w:t>
      </w:r>
    </w:p>
    <w:p w:rsidR="00A31137" w:rsidRPr="00A31137" w:rsidRDefault="00A31137" w:rsidP="00A31137">
      <w:r w:rsidRPr="00A31137">
        <w:t>App. 106-107.   As the District Court noted, testimony of state officials in earlier litigation (in which District 30 was challenged as a political gerrymander) contradicted part of their testimony here, and affirmed that "race was the primary consideration in the construction of District 30." 861 F.Supp. at 1338; see also id. at 1319-1321. And Johnson explained in a letter to the Department of Justice written at the end of the redistricting process that incumbency protection had been achieved by using race as a proxy:</w:t>
      </w:r>
    </w:p>
    <w:p w:rsidR="00A31137" w:rsidRPr="00A31137" w:rsidRDefault="00A31137" w:rsidP="00A31137">
      <w:r w:rsidRPr="00A31137">
        <w:t>1996, Bush v. Vera, No. 94-805</w:t>
      </w:r>
    </w:p>
    <w:p w:rsidR="00A31137" w:rsidRPr="00A31137" w:rsidRDefault="00A31137" w:rsidP="00A31137">
      <w:r w:rsidRPr="00A31137">
        <w:t>"Throughout the course of the Congressional redistricting process, the lines were continuously reconfigured to assist in protecting the Democratic incumbents in the Dallas/Fort Worth metroplex area by spreading the Black population to increase the Democratic party index in those areas."</w:t>
      </w:r>
    </w:p>
    <w:p w:rsidR="00A31137" w:rsidRPr="00A31137" w:rsidRDefault="00A31137" w:rsidP="00A31137">
      <w:r w:rsidRPr="00A31137">
        <w:t>1996, Bush v. Vera, No. 94-805</w:t>
      </w:r>
    </w:p>
    <w:p w:rsidR="00A31137" w:rsidRPr="00A31137" w:rsidRDefault="00A31137" w:rsidP="00A31137">
      <w:r w:rsidRPr="00A31137">
        <w:t>861 F.Supp. at 1322 (quoting Plaintiff Exh. 6E6). This is not to say that the direct evidence of the districters' intent showed race to be the sole factor considered. As JUSTICE STEVENS notes, post at ___, nn. ___, State officials' claims have changed as their interests have changed. In the prior political gerrymandering suit and to the Department of Justice, they asserted that race predominated. In this suit, their testimony was that political considerations predominated. These inconsistent statements must be viewed in light of their adversarial context. But such questions of credibility are matters for the District Court, and we simply differ from the dissenters in our reading of the record when they find insupportable the District Court's reliance on the State's own statements indicating the importance of race, see post at ___, nn. ___, 34, n. 31 (STEVENS, J., dissenting).</w:t>
      </w:r>
    </w:p>
    <w:p w:rsidR="00A31137" w:rsidRPr="00A31137" w:rsidRDefault="00A31137" w:rsidP="00A31137">
      <w:r w:rsidRPr="00A31137">
        <w:t>1996, Bush v. Vera, No. 94-805</w:t>
      </w:r>
    </w:p>
    <w:p w:rsidR="00A31137" w:rsidRPr="00A31137" w:rsidRDefault="00A31137" w:rsidP="00A31137">
      <w:r w:rsidRPr="00A31137">
        <w:t>Finally, and most significantly, the objective evidence provided by the district plans and demographic maps suggests strongly the predominance of race. Given that the districting software used by the State provided only racial data at the block-by-block level, the fact that District 30, unlike Johnson's original proposal, splits voter tabulation districts and even individual streets in many places, see App. 150; 861 F.Supp. at 1339, suggests that racial criteria predominated over other districting criteria in determining the district's boundaries. And, despite the strong correlation between race and political affiliation, the maps reveal that political considerations were subordinated to racial classification in the drawing of many of the most extreme and bizarre district lines. For example, the northernmost hook of the district, where it ventures into Collin County, is tailored perfectly to maximize minority population, see App. 153 (all whole and parts of 1992 voter tabulation districts within District 30's Collin County hook have a combined African American and Hispanic population in excess of 50%, with an average African American population of 19.8%, id. at 331, while the combined African American and Hispanic population in all surrounding voter tabulation districts, and the other parts of split districts, in Collin County is less than 25%), whereas it is far from the shape that would be necessary to maximize the Democratic vote in that area, see id. at 196 (showing a Republican majority, based on 1990 voting patterns in seven of the eight 1990 voter tabulation districts wholly or partly included in District 30 in Collin County).*</w:t>
      </w:r>
    </w:p>
    <w:p w:rsidR="00A31137" w:rsidRPr="00A31137" w:rsidRDefault="00A31137" w:rsidP="00A31137">
      <w:r w:rsidRPr="00A31137">
        <w:t>1996, Bush v. Vera, No. 94-805</w:t>
      </w:r>
    </w:p>
    <w:p w:rsidR="00A31137" w:rsidRPr="00A31137" w:rsidRDefault="00A31137" w:rsidP="00A31137">
      <w:r w:rsidRPr="00A31137">
        <w:t>The combination of these factors compels us to agree with the District Court that "the contours of Congressional District 30 are unexplainable in terms other than race." 861 F.Supp. at 1339. It is true that District 30 does not evince a consistent, single-minded effort to "segregate" voters on the basis of race, post at ___ (STEVENS, J., dissenting), and does not represent "apartheid," post at ___ (SOUTER, J., dissenting). But the fact that racial data were used in complex ways, and for multiple objectives, does not mean that race did not predominate over other considerations. The record discloses intensive and pervasive use of race both as a proxy to protect the political fortunes of adjacent incumbents, and for its own sake in maximizing the minority population of District 30 regardless of traditional districting principles. District 30's combination of a bizarre, noncompact shape and overwhelming evidence that that shape was essentially dictated by racial considerations of one form or another is exceptional; Texas Congressional District 6, for example, which JUSTICE STEVENS discusses in detail, post at ___, has only the former characteristic. That combination of characteristics leads us to conclude that District 30 is subject to strict scrutiny.</w:t>
      </w:r>
    </w:p>
    <w:p w:rsidR="00A31137" w:rsidRPr="00A31137" w:rsidRDefault="00A31137" w:rsidP="00A31137">
      <w:r w:rsidRPr="00A31137">
        <w:t>B</w:t>
      </w:r>
    </w:p>
    <w:p w:rsidR="00A31137" w:rsidRPr="00A31137" w:rsidRDefault="00A31137" w:rsidP="00A31137">
      <w:r w:rsidRPr="00A31137">
        <w:t>1996, Bush v. Vera, No. 94-805</w:t>
      </w:r>
    </w:p>
    <w:p w:rsidR="00A31137" w:rsidRPr="00A31137" w:rsidRDefault="00A31137" w:rsidP="00A31137">
      <w:r w:rsidRPr="00A31137">
        <w:t>In Harris County, centered on the city of Houston, Districts 18 and 29 interlock "like a jigsaw puzzle…in which it might be impossible to get the pieces apart." Barone &amp; Ujifusa, The Almanac of American Politics 1996 at 1307-1308; see also Appendices B and C to this opinion (outlines of Districts 18, 29) [omitted—see printed edition]. As the District Court noted, "these districts are so finely 'crafted' that one cannot visualize their exact boundaries without looking at a map at least three feet square." 861 F.Supp. at 1323. According to the leading statistical study of relative district compactness and regularity, they are two of the three least regular districts in the country. See Pildes &amp; Niemi, 92 Mich.L.Rev. at 565.</w:t>
      </w:r>
    </w:p>
    <w:p w:rsidR="00A31137" w:rsidRPr="00A31137" w:rsidRDefault="00A31137" w:rsidP="00A31137">
      <w:r w:rsidRPr="00A31137">
        <w:t>1996, Bush v. Vera, No. 94-805</w:t>
      </w:r>
    </w:p>
    <w:p w:rsidR="00A31137" w:rsidRPr="00A31137" w:rsidRDefault="00A31137" w:rsidP="00A31137">
      <w:r w:rsidRPr="00A31137">
        <w:t>District 18's population is 51% African American and 15% Hispanic. App. 110. It</w:t>
      </w:r>
    </w:p>
    <w:p w:rsidR="00A31137" w:rsidRPr="00A31137" w:rsidRDefault="00A31137" w:rsidP="00A31137">
      <w:r w:rsidRPr="00A31137">
        <w:t>1996, Bush v. Vera, No. 94-805</w:t>
      </w:r>
    </w:p>
    <w:p w:rsidR="00A31137" w:rsidRPr="00A31137" w:rsidRDefault="00A31137" w:rsidP="00A31137">
      <w:r w:rsidRPr="00A31137">
        <w:t>has some of the most irregular boundaries of any congressional district in the country[,]…boundaries that squiggle north toward Intercontinental Airport and northwest out radial highways, then spurt south on one side toward the port and on the other toward the Astrodome.</w:t>
      </w:r>
    </w:p>
    <w:p w:rsidR="00A31137" w:rsidRPr="00A31137" w:rsidRDefault="00A31137" w:rsidP="00A31137">
      <w:r w:rsidRPr="00A31137">
        <w:t>1996, Bush v. Vera, No. 94-805</w:t>
      </w:r>
    </w:p>
    <w:p w:rsidR="00A31137" w:rsidRPr="00A31137" w:rsidRDefault="00A31137" w:rsidP="00A31137">
      <w:r w:rsidRPr="00A31137">
        <w:t>Barone &amp; Ujifusa, supra, at 1307. Its "many narrow corridors, wings, or fingers…reach out to enclose black voters, while excluding nearby Hispanic residents." Pildes &amp; Niemi, supra, at 556.</w:t>
      </w:r>
    </w:p>
    <w:p w:rsidR="00A31137" w:rsidRPr="00A31137" w:rsidRDefault="00A31137" w:rsidP="00A31137">
      <w:r w:rsidRPr="00A31137">
        <w:t>1996, Bush v. Vera, No. 94-805</w:t>
      </w:r>
    </w:p>
    <w:p w:rsidR="00A31137" w:rsidRPr="00A31137" w:rsidRDefault="00A31137" w:rsidP="00A31137">
      <w:r w:rsidRPr="00A31137">
        <w:t>District 29 has a 61% Hispanic and 10% African American population. App. 110. It resembles</w:t>
      </w:r>
    </w:p>
    <w:p w:rsidR="00A31137" w:rsidRPr="00A31137" w:rsidRDefault="00A31137" w:rsidP="00A31137">
      <w:r w:rsidRPr="00A31137">
        <w:t>1996, Bush v. Vera, No. 94-805</w:t>
      </w:r>
    </w:p>
    <w:p w:rsidR="00A31137" w:rsidRPr="00A31137" w:rsidRDefault="00A31137" w:rsidP="00A31137">
      <w:r w:rsidRPr="00A31137">
        <w:t>a sacred Mayan bird, with its body running eastward along the Ship Channel from downtown Houston until the tail terminates in Baytown. Spindly legs reach south to Hobby Airport, while the plumed head rises northward almost to Intercontinental. In the western extremity of the district, an open beak appears to be searching for worms in Spring Branch. Here and there, ruffled feathers jut out at odd angles.</w:t>
      </w:r>
    </w:p>
    <w:p w:rsidR="00A31137" w:rsidRPr="00A31137" w:rsidRDefault="00A31137" w:rsidP="00A31137">
      <w:r w:rsidRPr="00A31137">
        <w:t>1996, Bush v. Vera, No. 94-805</w:t>
      </w:r>
    </w:p>
    <w:p w:rsidR="00A31137" w:rsidRPr="00A31137" w:rsidRDefault="00A31137" w:rsidP="00A31137">
      <w:r w:rsidRPr="00A31137">
        <w:t>Barone &amp; Ujifusa, supra, at 1335. Not only are the shapes of the districts bizarre; they also exhibit utter disregard of city limits, local election precincts, and voter tabulation district lines. See, e.g., 861 F.Supp. at 1340 (60% of District 18 and District 29 residents live in split precincts). This caused a severe disruption of traditional forms of political activity. Campaigners seeking to visit their constituents "had to carry a map to identify the district lines, because so often the borders would move from block to block"; voters "did not know the candidates running for office" because they did not know which district they lived in. Ibid. In light of Texas' requirement that voting be arranged by precinct, with each precinct representing a community which shares local, state, and federal representatives, it also created administrative headaches for local election officials:</w:t>
      </w:r>
    </w:p>
    <w:p w:rsidR="00A31137" w:rsidRPr="00A31137" w:rsidRDefault="00A31137" w:rsidP="00A31137">
      <w:r w:rsidRPr="00A31137">
        <w:t>1996, Bush v. Vera, No. 94-805</w:t>
      </w:r>
    </w:p>
    <w:p w:rsidR="00A31137" w:rsidRPr="00A31137" w:rsidRDefault="00A31137" w:rsidP="00A31137">
      <w:r w:rsidRPr="00A31137">
        <w:t>The effect of splitting dozens of [voter tabulation districts] to create Districts 18 and 29 was an electoral nightmare. Harris County estimated that it must increase its number of precincts from 672 to 1,225 to accommodate the new Congressional boundaries. Polling places, ballot forms, and the number of election employees are correspondingly multiplied. Voters were thrust into new and unfamiliar precinct alignments, a few with populations as low as 20 voters.</w:t>
      </w:r>
    </w:p>
    <w:p w:rsidR="00A31137" w:rsidRPr="00A31137" w:rsidRDefault="00A31137" w:rsidP="00A31137">
      <w:r w:rsidRPr="00A31137">
        <w:t>1996, Bush v. Vera, No. 94-805</w:t>
      </w:r>
    </w:p>
    <w:p w:rsidR="00A31137" w:rsidRPr="00A31137" w:rsidRDefault="00A31137" w:rsidP="00A31137">
      <w:r w:rsidRPr="00A31137">
        <w:t>Id. at 1325. See also App. 119-127 (letter from local official setting forth administrative problems and conflict with local districting traditions); id. at 147 (map showing splitting of city limits); id. at 128, Plaintiffs' Exh. 6E1, Attachment A (map illustrating splitting of voting precincts).</w:t>
      </w:r>
    </w:p>
    <w:p w:rsidR="00A31137" w:rsidRPr="00A31137" w:rsidRDefault="00A31137" w:rsidP="00A31137">
      <w:r w:rsidRPr="00A31137">
        <w:t>1996, Bush v. Vera, No. 94-805</w:t>
      </w:r>
    </w:p>
    <w:p w:rsidR="00A31137" w:rsidRPr="00A31137" w:rsidRDefault="00A31137" w:rsidP="00A31137">
      <w:r w:rsidRPr="00A31137">
        <w:t>As with District 30, appellants adduced evidence that incumbency protection played a role in determining the bizarre district lines. The District Court found that one constraint on the shape of District 29 was the rival ambitions of its two "functional incumbents," who distorted its boundaries in an effort to include larger areas of their existing state legislative constituencies. 861 F.Supp. at 1340. But the District Court's findings amply demonstrate that such influences were overwhelmed in the determination of the districts' bizarre shapes by the State's efforts to maximize racial divisions. The State's VRA § 5 submission explains that the bizarre configuration of Districts 18 and 29 "result[s] in the maximization of minority voting strength" in Harris County, App. 110, corroborating the District Court's finding that,</w:t>
      </w:r>
    </w:p>
    <w:p w:rsidR="00A31137" w:rsidRPr="00A31137" w:rsidRDefault="00A31137" w:rsidP="00A31137">
      <w:r w:rsidRPr="00A31137">
        <w:t>1996, Bush v. Vera, No. 94-805</w:t>
      </w:r>
    </w:p>
    <w:p w:rsidR="00A31137" w:rsidRPr="00A31137" w:rsidRDefault="00A31137" w:rsidP="00A31137">
      <w:r w:rsidRPr="00A31137">
        <w:t>[i]n the earliest stages of the Congressional redistricting process, state Democratic and Republican leaders rallied behind the idea of creating a new Hispanic safe seat in Harris County while preserving the safe African American seat in District 18.</w:t>
      </w:r>
    </w:p>
    <w:p w:rsidR="00A31137" w:rsidRPr="00A31137" w:rsidRDefault="00A31137" w:rsidP="00A31137">
      <w:r w:rsidRPr="00A31137">
        <w:t>1996, Bush v. Vera, No. 94-805</w:t>
      </w:r>
    </w:p>
    <w:p w:rsidR="00A31137" w:rsidRPr="00A31137" w:rsidRDefault="00A31137" w:rsidP="00A31137">
      <w:r w:rsidRPr="00A31137">
        <w:t>861 F.Supp. at 1324. State officials testified that "it was particularly necessary to split [voter tabulation districts] in order to capture pockets of Hispanic residents" for District 29, and that a 61% Hispanic population in that district—not a mere majority was insisted upon. Id. at 1340-1341. The record evidence of the racial demographics and voting patterns of Harris County residents belies any suggestion that party politics could explain the dividing lines between the two districts: the district lines correlate almost perfectly with race, see App. 151-152, while both districts are similarly solidly Democratic, see id. at 194. And, even more than in District 30, the intricacy of the lines drawn, separating Hispanic voters from African American voters on a block-by-block basis, betrays the critical impact of the block-by-block racial data available on the REDAPPL program. The District Court's conclusion is, therefore, inescapable:</w:t>
      </w:r>
    </w:p>
    <w:p w:rsidR="00A31137" w:rsidRPr="00A31137" w:rsidRDefault="00A31137" w:rsidP="00A31137">
      <w:r w:rsidRPr="00A31137">
        <w:t>1996, Bush v. Vera, No. 94-805</w:t>
      </w:r>
    </w:p>
    <w:p w:rsidR="00A31137" w:rsidRPr="00A31137" w:rsidRDefault="00A31137" w:rsidP="00A31137">
      <w:r w:rsidRPr="00A31137">
        <w:t>Because Districts 18 and 29 are formed in utter disregard for traditional redistricting criteria and because their shapes are ultimately unexplainable on grounds other than the racial quotas established for those districts, they are the product of [presumptively] unconstitutional racial gerrymandering.</w:t>
      </w:r>
    </w:p>
    <w:p w:rsidR="00A31137" w:rsidRPr="00A31137" w:rsidRDefault="00A31137" w:rsidP="00A31137">
      <w:r w:rsidRPr="00A31137">
        <w:t>1996, Bush v. Vera, No. 94-805</w:t>
      </w:r>
    </w:p>
    <w:p w:rsidR="00A31137" w:rsidRPr="00A31137" w:rsidRDefault="00A31137" w:rsidP="00A31137">
      <w:r w:rsidRPr="00A31137">
        <w:t>861 F.Supp. at 1341.</w:t>
      </w:r>
    </w:p>
    <w:p w:rsidR="00A31137" w:rsidRPr="00A31137" w:rsidRDefault="00A31137" w:rsidP="00A31137">
      <w:r w:rsidRPr="00A31137">
        <w:t>III</w:t>
      </w:r>
    </w:p>
    <w:p w:rsidR="00A31137" w:rsidRPr="00A31137" w:rsidRDefault="00A31137" w:rsidP="00A31137">
      <w:r w:rsidRPr="00A31137">
        <w:t>1996, Bush v. Vera, No. 94-805</w:t>
      </w:r>
    </w:p>
    <w:p w:rsidR="00A31137" w:rsidRPr="00A31137" w:rsidRDefault="00A31137" w:rsidP="00A31137">
      <w:r w:rsidRPr="00A31137">
        <w:t>Having concluded that strict scrutiny applies, we must determine whether the racial classifications embodied in any of the three districts are narrowly tailored to further a compelling state interest. Appellants point to three compelling interests: the interest in avoiding liability under the "results" test of VRA § 2(b), the interest in remedying past and present racial discrimination, and the "nonretrogression" principle of VRA § 5 (for District 18 only). We consider them in turn.</w:t>
      </w:r>
    </w:p>
    <w:p w:rsidR="00A31137" w:rsidRPr="00A31137" w:rsidRDefault="00A31137" w:rsidP="00A31137">
      <w:r w:rsidRPr="00A31137">
        <w:t>A</w:t>
      </w:r>
    </w:p>
    <w:p w:rsidR="00A31137" w:rsidRPr="00A31137" w:rsidRDefault="00A31137" w:rsidP="00A31137">
      <w:r w:rsidRPr="00A31137">
        <w:t>1996, Bush v. Vera, No. 94-805</w:t>
      </w:r>
    </w:p>
    <w:p w:rsidR="00A31137" w:rsidRPr="00A31137" w:rsidRDefault="00A31137" w:rsidP="00A31137">
      <w:r w:rsidRPr="00A31137">
        <w:t>Section 2(a) of the VRA prohibits the imposition of any electoral practice or procedure that "results in a denial or abridgement of the right of any citizen…to vote on account of race or color." In 1982, Congress amended the VRA by changing the language of § 2(a) and adding § 2(b), which provides a "results" test for violation of § 2(a). A violation exists if,</w:t>
      </w:r>
    </w:p>
    <w:p w:rsidR="00A31137" w:rsidRPr="00A31137" w:rsidRDefault="00A31137" w:rsidP="00A31137">
      <w:r w:rsidRPr="00A31137">
        <w:t>1996, Bush v. Vera, No. 94-805</w:t>
      </w:r>
    </w:p>
    <w:p w:rsidR="00A31137" w:rsidRPr="00A31137" w:rsidRDefault="00A31137" w:rsidP="00A31137">
      <w:r w:rsidRPr="00A31137">
        <w:t>based on the totality of circumstances, it is shown that the political processes leading to nomination or election in the State or political subdivision are not equally open to participation by members of a class of citizens protected by subsection (a) of this section in that its members have less opportunity than other members of the electorate to participate in the political process and to elect representatives of their choice.</w:t>
      </w:r>
    </w:p>
    <w:p w:rsidR="00A31137" w:rsidRPr="00A31137" w:rsidRDefault="00A31137" w:rsidP="00A31137">
      <w:r w:rsidRPr="00A31137">
        <w:t>1996, Bush v. Vera, No. 94-805</w:t>
      </w:r>
    </w:p>
    <w:p w:rsidR="00A31137" w:rsidRPr="00A31137" w:rsidRDefault="00A31137" w:rsidP="00A31137">
      <w:r w:rsidRPr="00A31137">
        <w:t>42 U.S.C. § 1973(b). Appellants contend that creation of each of the three majority minority districts at issue was justified by Texas' compelling state interest in complying with this results test.</w:t>
      </w:r>
    </w:p>
    <w:p w:rsidR="00A31137" w:rsidRPr="00A31137" w:rsidRDefault="00A31137" w:rsidP="00A31137">
      <w:r w:rsidRPr="00A31137">
        <w:t>1996, Bush v. Vera, No. 94-805</w:t>
      </w:r>
    </w:p>
    <w:p w:rsidR="00A31137" w:rsidRPr="00A31137" w:rsidRDefault="00A31137" w:rsidP="00A31137">
      <w:r w:rsidRPr="00A31137">
        <w:t>As we have done in each of our previous cases in which this argument has been raised as a defense to charges of racial gerrymandering, we assume without deciding that compliance with the results test, as interpreted by our precedents, see, e.g., Growe v. Emison, 507 U.S. 25, 37-42 (1993), can be a compelling state interest. See Shaw II, ante at ___; Miller, 515 U.S. at ___. We also reaffirm that the "narrow tailoring" requirement of strict scrutiny allows the States a limited degree of leeway in furthering such interests. If the State has a "strong basis in evidence," Shaw I, 509 U.S. at  656 (internal quotation marks omitted), for concluding that creation of a majority minority district is reasonably necessary to comply with § 2, and the districting that is based on race "substantially addresses the § 2 violation," Shaw II, ante at ___, it satisfies strict scrutiny. We thus reject, as impossibly stringent, the District Court's view of the narrow tailoring requirement, that "a district must have the least possible amount of irregularity in shape, making allowances for traditional districting criteria." 861 F.Supp. at 1343. Cf. Wygant v. Jackson Bd. of Ed., 476 U.S. 267,  291 (1986) (O'CONNOR, J., concurring in part and concurring in judgment) (state actors should not be "trapped between the competing hazards of liability" by the imposition of unattainable requirements under the rubric of strict scrutiny).</w:t>
      </w:r>
    </w:p>
    <w:p w:rsidR="00A31137" w:rsidRPr="00A31137" w:rsidRDefault="00A31137" w:rsidP="00A31137">
      <w:r w:rsidRPr="00A31137">
        <w:t>1996, Bush v. Vera, No. 94-805</w:t>
      </w:r>
    </w:p>
    <w:p w:rsidR="00A31137" w:rsidRPr="00A31137" w:rsidRDefault="00A31137" w:rsidP="00A31137">
      <w:r w:rsidRPr="00A31137">
        <w:t>A § 2 district that is reasonably compact and regular, taking into account traditional districting principles such as maintaining communities of interest and traditional boundaries, may pass strict scrutiny without having to defeat rival compact districts designed by plaintiffs' experts in endless "beauty contests." The dissenters misread us when they make the leap from our disagreement about the facts of this case to the conclusion that we are creating a "stalemate" by requiring the States to "get things just right," post at ___ (SOUTER, J., dissenting), or to draw "the precise compact district that a court would impose in a successful § 2 challenge," post at ___ (STEVENS, J., dissenting); see also Shaw II, ante at ___ (STEVENS, J., dissenting). Rather, we adhere to our longstanding recognition of the importance in our federal system of each State's sovereign interest in implementing its redistricting plan. See Voinovich v. Quilter, 507 U.S. 147, 156 (1993) ("[I]t is the domain of the States, and not the federal courts, to conduct apportionment in the first place"); Miller, supra, at ___ ("It is well settled that reapportionment is primarily the duty and responsibility of the State") (internal quotation marks omitted). Under our cases, the States retain a flexibility that federal courts enforcing § 2 lack, both insofar as they may avoid strict scrutiny altogether by respecting their own traditional districting principles, and insofar as deference is due to their reasonable fears of, and to their reasonable efforts to avoid, § 2 liability. And nothing that we say today should be read as limiting "a State's discretion to apply traditional districting principles," post at ___ (SOUTER, J., dissenting), in majority minority, as in other, districts. The constitutional problem arises only from the subordination of those principles to race.</w:t>
      </w:r>
    </w:p>
    <w:p w:rsidR="00A31137" w:rsidRPr="00A31137" w:rsidRDefault="00A31137" w:rsidP="00A31137">
      <w:r w:rsidRPr="00A31137">
        <w:t>1996, Bush v. Vera, No. 94-805</w:t>
      </w:r>
    </w:p>
    <w:p w:rsidR="00A31137" w:rsidRPr="00A31137" w:rsidRDefault="00A31137" w:rsidP="00A31137">
      <w:r w:rsidRPr="00A31137">
        <w:t>Strict scrutiny remains, nonetheless, strict. The State must have a "strong basis in evidence" for finding that the threshold conditions for § 2 liability are present:</w:t>
      </w:r>
    </w:p>
    <w:p w:rsidR="00A31137" w:rsidRPr="00A31137" w:rsidRDefault="00A31137" w:rsidP="00A31137">
      <w:r w:rsidRPr="00A31137">
        <w:t>1996, Bush v. Vera, No. 94-805</w:t>
      </w:r>
    </w:p>
    <w:p w:rsidR="00A31137" w:rsidRPr="00A31137" w:rsidRDefault="00A31137" w:rsidP="00A31137">
      <w:r w:rsidRPr="00A31137">
        <w:t>first, "that [the minority group] is sufficiently large and geographically compact to constitute a majority in a single member district;" second, "that it is politically cohesive;" and third, "that the white majority votes sufficiently as a bloc to enable it…usually to defeat the minority's preferred candidate."</w:t>
      </w:r>
    </w:p>
    <w:p w:rsidR="00A31137" w:rsidRPr="00A31137" w:rsidRDefault="00A31137" w:rsidP="00A31137">
      <w:r w:rsidRPr="00A31137">
        <w:t>1996, Bush v. Vera, No. 94-805</w:t>
      </w:r>
    </w:p>
    <w:p w:rsidR="00A31137" w:rsidRPr="00A31137" w:rsidRDefault="00A31137" w:rsidP="00A31137">
      <w:r w:rsidRPr="00A31137">
        <w:t>Growe, supra, at 40 (emphasis added) (quoting Thornburg v. Gingles, 478 U.S. 30, 50-51 (1986)). And, as we have noted above, the district drawn in order to satisfy § 2 must not subordinate traditional districting principles to race substantially more than is "reasonably necessary" to avoid § 2 liability. Districts 18, 29, and 30 fail to meet these requirements.</w:t>
      </w:r>
    </w:p>
    <w:p w:rsidR="00A31137" w:rsidRPr="00A31137" w:rsidRDefault="00A31137" w:rsidP="00A31137">
      <w:r w:rsidRPr="00A31137">
        <w:t>1996, Bush v. Vera, No. 94-805</w:t>
      </w:r>
    </w:p>
    <w:p w:rsidR="00A31137" w:rsidRPr="00A31137" w:rsidRDefault="00A31137" w:rsidP="00A31137">
      <w:r w:rsidRPr="00A31137">
        <w:t>We assume, without deciding, that the State had a "strong basis in evidence" for finding the second and third threshold conditions for § 2 liability to be present. We have, however, already found that all three districts are bizarrely shaped and far from compact, and that those characteristics are predominantly attributable to gerrymandering that was racially motivated and/or achieved by the use of race as a proxy. See ___Part II, supra. District 30, for example, reaches out to grab small and apparently isolated minority communities which, based on the evidence presented, could not possibly form part of a compact majority minority district, and does so in order to make up for minority populations closer to its core that it shed in a further suspect use of race as a proxy to further neighboring incumbents' interests. See supra at ___.</w:t>
      </w:r>
    </w:p>
    <w:p w:rsidR="00A31137" w:rsidRPr="00A31137" w:rsidRDefault="00A31137" w:rsidP="00A31137">
      <w:r w:rsidRPr="00A31137">
        <w:t>1996, Bush v. Vera, No. 94-805</w:t>
      </w:r>
    </w:p>
    <w:p w:rsidR="00A31137" w:rsidRPr="00A31137" w:rsidRDefault="00A31137" w:rsidP="00A31137">
      <w:r w:rsidRPr="00A31137">
        <w:t>These characteristics defeat any claim that the districts are narrowly tailored to serve the State's interest in avoiding liability under § 2, because § 2 does not require a State to create, on predominantly racial lines, a district that is not "reasonably compact." See Johnson v. De Grandy, 512 U.S. ___, ___ (1994). If, because of the dispersion of the minority population, a reasonably compact majority minority district cannot be created, § 2 does not require a majority minority district; if a reasonably compact district can be created, nothing in § 2 requires the race-based creation of a district that is far from compact.</w:t>
      </w:r>
    </w:p>
    <w:p w:rsidR="00A31137" w:rsidRPr="00A31137" w:rsidRDefault="00A31137" w:rsidP="00A31137">
      <w:r w:rsidRPr="00A31137">
        <w:t>1996, Bush v. Vera, No. 94-805</w:t>
      </w:r>
    </w:p>
    <w:p w:rsidR="00A31137" w:rsidRPr="00A31137" w:rsidRDefault="00A31137" w:rsidP="00A31137">
      <w:r w:rsidRPr="00A31137">
        <w:t>Appellants argue that bizarre shaping and noncompactness do not raise narrow tailoring concerns. Appellants Lawson et al. claim that, under Shaw I and Miller, "[s]hape is relevant only as evidence of an improper motive." Brief for Appellants Lawson et al. 56. They rely on our statement in Miller:</w:t>
      </w:r>
    </w:p>
    <w:p w:rsidR="00A31137" w:rsidRPr="00A31137" w:rsidRDefault="00A31137" w:rsidP="00A31137">
      <w:r w:rsidRPr="00A31137">
        <w:t>1996, Bush v. Vera, No. 94-805</w:t>
      </w:r>
    </w:p>
    <w:p w:rsidR="00A31137" w:rsidRPr="00A31137" w:rsidRDefault="00A31137" w:rsidP="00A31137">
      <w:r w:rsidRPr="00A31137">
        <w:t>Shape is relevant not because bizarreness is a necessary element of the constitutional wrong or a threshold requirement of proof, but because it may be persuasive circumstantial evidence that race for its own sake, and not other districting principles, was the legislature's dominant and controlling rationale in drawing its district lines.</w:t>
      </w:r>
    </w:p>
    <w:p w:rsidR="00A31137" w:rsidRPr="00A31137" w:rsidRDefault="00A31137" w:rsidP="00A31137">
      <w:r w:rsidRPr="00A31137">
        <w:t>1996, Bush v. Vera, No. 94-805</w:t>
      </w:r>
    </w:p>
    <w:p w:rsidR="00A31137" w:rsidRPr="00A31137" w:rsidRDefault="00A31137" w:rsidP="00A31137">
      <w:r w:rsidRPr="00A31137">
        <w:t>515 U.S. at ___. The United States takes a more moderate position, accepting that in the context of narrow tailoring, "consideration must be given to the extent to which the districts drawn by a State substantially depart from its customary redistricting practices," Brief 36, but asserting that insofar as bizarreness and noncompactness are necessary to achieve the State's compelling interest in compliance with § 2 "while simultaneously achieving other legitimate redistricting goals," id. at 37, such as incumbency protection, the narrowly tailoring requirement is satisfied. Similarly, JUSTICE STEVENS' dissent argues that "noncompact districts should…be a permissible method of avoiding violations of [§ 2]." Post at ___.</w:t>
      </w:r>
    </w:p>
    <w:p w:rsidR="00A31137" w:rsidRPr="00A31137" w:rsidRDefault="00A31137" w:rsidP="00A31137">
      <w:r w:rsidRPr="00A31137">
        <w:t>1996, Bush v. Vera, No. 94-805</w:t>
      </w:r>
    </w:p>
    <w:p w:rsidR="00A31137" w:rsidRPr="00A31137" w:rsidRDefault="00A31137" w:rsidP="00A31137">
      <w:r w:rsidRPr="00A31137">
        <w:t>These arguments cannot save the districts before us. The Lawson appellants misinterpret Miller: district shape is not irrelevant to the narrow tailoring inquiry. Our discussion in Miller served only to emphasize that the ultimate constitutional values at stake involve the harms caused by the use of unjustified racial classifications, and that bizarreness is not necessary to trigger strict scrutiny. See Miller, 515 U.S. at ___. Significant deviations from traditional districting principles, such as the bizarre shape and noncompactness demonstrated by the districts here, cause constitutional harm insofar as they convey the message that political identity is, or should be, predominantly racial. For example, the bizarre shaping of Districts 18 and 29, cutting across preexisting precinct lines and other natural or traditional divisions, is not merely evidentially significant; it is part of the constitutional problem insofar as it disrupts nonracial bases of political identity and thus intensifies the emphasis on race.</w:t>
      </w:r>
    </w:p>
    <w:p w:rsidR="00A31137" w:rsidRPr="00A31137" w:rsidRDefault="00A31137" w:rsidP="00A31137">
      <w:r w:rsidRPr="00A31137">
        <w:t>1996, Bush v. Vera, No. 94-805</w:t>
      </w:r>
    </w:p>
    <w:p w:rsidR="00A31137" w:rsidRPr="00A31137" w:rsidRDefault="00A31137" w:rsidP="00A31137">
      <w:r w:rsidRPr="00A31137">
        <w:t>Nor is the United States' argument availing here. In determining that strict scrutiny applies here, we agreed with the District Court that in fact the bizarre shaping and noncompactness of these districts were predominantly attributable to racial, not political, manipulation. The United States' argument, and that of the dissent, post at ___ (STEVENS, J., dissenting), address the case of an otherwise compact majority minority district that is misshapen by predominantly nonracial, political manipulation. See also post at ___ (SOUTER, J., dissenting) (raising "the possibility that a State could create a majority minority district that does not coincide with the Gingles shape so long as racial data is not overused"). We disagree with the factual premise of JUSTICE STEVENS' dissent, that these districts were drawn using "racial considerations only in a way reasonably designed" to avoid a § 2 violation, post at ___. The districts before us exhibit a level of racial manipulation that exceeds what § 2 could justify.</w:t>
      </w:r>
      <w:r w:rsidRPr="00A31137">
        <w:cr/>
      </w:r>
    </w:p>
    <w:p w:rsidR="00A31137" w:rsidRPr="00A31137" w:rsidRDefault="00A31137" w:rsidP="00A31137">
      <w:r w:rsidRPr="00A31137">
        <w:t>B</w:t>
      </w:r>
    </w:p>
    <w:p w:rsidR="00A31137" w:rsidRPr="00A31137" w:rsidRDefault="00A31137" w:rsidP="00A31137">
      <w:r w:rsidRPr="00A31137">
        <w:t>1996, Bush v. Vera, No. 94-805</w:t>
      </w:r>
    </w:p>
    <w:p w:rsidR="00A31137" w:rsidRPr="00A31137" w:rsidRDefault="00A31137" w:rsidP="00A31137">
      <w:r w:rsidRPr="00A31137">
        <w:t>The United States and the State next contend that the district lines at issue are justified by the State's compelling interest in "ameliorating the effects of racially polarized voting attributable to past and present racial discrimination." Brief for United States 32; Brief for Appellants Bush et al. 24-25. In support of that contention, they cite Texas' long history of discrimination against minorities in electoral processes, stretching from the Reconstruction to modern times, including violations of the Constitution and of the VRA. See, e.g., Williams v. Dallas, 734 F.Supp. 1317 (ND Tex. 1990); White v. Regester, 412 U.S. 755 (1973); Terry v. Adams, 345 U.S. 461 (1953); Smith v. Allwright, 321 U.S. 649 (1944); Nixon v. Condon, 286 U.S. 73 (1932); Nixon v. Herndon, 273 U.S. 536 (1927); see also 861 F.Supp. at 1317 (because of its history of official discrimination, Texas became a covered jurisdiction under VRA § 5 in 1975, and the Department of Justice has since "frequently interposed objections against the State and its subdivisions"). Appellants attempt to link that history to evidence that in recent elections in majority minority districts, "Anglos usually bloc voted against" Hispanic and African American candidates. Ibid.</w:t>
      </w:r>
    </w:p>
    <w:p w:rsidR="00A31137" w:rsidRPr="00A31137" w:rsidRDefault="00A31137" w:rsidP="00A31137">
      <w:r w:rsidRPr="00A31137">
        <w:t>1996, Bush v. Vera, No. 94-805</w:t>
      </w:r>
    </w:p>
    <w:p w:rsidR="00A31137" w:rsidRPr="00A31137" w:rsidRDefault="00A31137" w:rsidP="00A31137">
      <w:r w:rsidRPr="00A31137">
        <w:t>A State's interest in remedying discrimination is compelling when two conditions are satisfied. First, the discrimination that the State seeks to remedy must be specific, "identified discrimination"; second, the State</w:t>
      </w:r>
    </w:p>
    <w:p w:rsidR="00A31137" w:rsidRPr="00A31137" w:rsidRDefault="00A31137" w:rsidP="00A31137">
      <w:r w:rsidRPr="00A31137">
        <w:t>1996, Bush v. Vera, No. 94-805</w:t>
      </w:r>
    </w:p>
    <w:p w:rsidR="00A31137" w:rsidRPr="00A31137" w:rsidRDefault="00A31137" w:rsidP="00A31137">
      <w:r w:rsidRPr="00A31137">
        <w:t>must have had a "strong basis in evidence" to conclude that remedial action was necessary, "before it embarks on an affirmative action program."</w:t>
      </w:r>
    </w:p>
    <w:p w:rsidR="00A31137" w:rsidRPr="00A31137" w:rsidRDefault="00A31137" w:rsidP="00A31137">
      <w:r w:rsidRPr="00A31137">
        <w:t>1996, Bush v. Vera, No. 94-805</w:t>
      </w:r>
    </w:p>
    <w:p w:rsidR="00A31137" w:rsidRPr="00A31137" w:rsidRDefault="00A31137" w:rsidP="00A31137">
      <w:r w:rsidRPr="00A31137">
        <w:t>Shaw II, ante at ___ (citations omitted). Here, the only current problem that appellants cite as in need of remediation is alleged vote dilution as a consequence of racial bloc voting, the same concern that underlies their VRA § 2 compliance defense, which we have assumed to be valid for purposes of this opinion. We have indicated that such problems will not justify race-based districting unless</w:t>
      </w:r>
    </w:p>
    <w:p w:rsidR="00A31137" w:rsidRPr="00A31137" w:rsidRDefault="00A31137" w:rsidP="00A31137">
      <w:r w:rsidRPr="00A31137">
        <w:t>1996, Bush v. Vera, No. 94-805</w:t>
      </w:r>
    </w:p>
    <w:p w:rsidR="00A31137" w:rsidRPr="00A31137" w:rsidRDefault="00A31137" w:rsidP="00A31137">
      <w:r w:rsidRPr="00A31137">
        <w:t>the State employ[s] sound districting principles, and…the affected racial group's residential patterns afford the opportunity of creating districts in which they will be in the majority.</w:t>
      </w:r>
    </w:p>
    <w:p w:rsidR="00A31137" w:rsidRPr="00A31137" w:rsidRDefault="00A31137" w:rsidP="00A31137">
      <w:r w:rsidRPr="00A31137">
        <w:t>1996, Bush v. Vera, No. 94-805</w:t>
      </w:r>
    </w:p>
    <w:p w:rsidR="00A31137" w:rsidRPr="00A31137" w:rsidRDefault="00A31137" w:rsidP="00A31137">
      <w:r w:rsidRPr="00A31137">
        <w:t>Shaw I, 509 U.S. at  657 (internal quotation marks omitted). Once that standard is applied, our agreement with the District Court's finding that these districts are not narrowly tailored to comply with § 2 forecloses this line of defense.</w:t>
      </w:r>
    </w:p>
    <w:p w:rsidR="00A31137" w:rsidRPr="00A31137" w:rsidRDefault="00A31137" w:rsidP="00A31137">
      <w:r w:rsidRPr="00A31137">
        <w:t>C</w:t>
      </w:r>
    </w:p>
    <w:p w:rsidR="00A31137" w:rsidRPr="00A31137" w:rsidRDefault="00A31137" w:rsidP="00A31137">
      <w:r w:rsidRPr="00A31137">
        <w:t>1996, Bush v. Vera, No. 94-805</w:t>
      </w:r>
    </w:p>
    <w:p w:rsidR="00A31137" w:rsidRPr="00A31137" w:rsidRDefault="00A31137" w:rsidP="00A31137">
      <w:r w:rsidRPr="00A31137">
        <w:t>The final contention offered by the State and private appellants is that creation of District 18 (only) was justified by a compelling state interest in complying with VRA § 5. We have made clear that § 5 has a limited substantive goal:</w:t>
      </w:r>
    </w:p>
    <w:p w:rsidR="00A31137" w:rsidRPr="00A31137" w:rsidRDefault="00A31137" w:rsidP="00A31137">
      <w:r w:rsidRPr="00A31137">
        <w:t>1996, Bush v. Vera, No. 94-805</w:t>
      </w:r>
    </w:p>
    <w:p w:rsidR="00A31137" w:rsidRPr="00A31137" w:rsidRDefault="00A31137" w:rsidP="00A31137">
      <w:r w:rsidRPr="00A31137">
        <w:t>"to insure that no voting procedure changes would be made that would lead to a retrogression in the position of racial minorities with respect to their effective exercise of the electoral franchise."</w:t>
      </w:r>
    </w:p>
    <w:p w:rsidR="00A31137" w:rsidRPr="00A31137" w:rsidRDefault="00A31137" w:rsidP="00A31137">
      <w:r w:rsidRPr="00A31137">
        <w:t>1996, Bush v. Vera, No. 94-805</w:t>
      </w:r>
    </w:p>
    <w:p w:rsidR="00A31137" w:rsidRPr="00A31137" w:rsidRDefault="00A31137" w:rsidP="00A31137">
      <w:r w:rsidRPr="00A31137">
        <w:t>Miller, 515 U.S. at ___ (quoting Beer v. United States, 425 U.S. 130, 141 (1976)). Appellants contend that this "nonretrogression" principle is implicated because Harris County had, for two decades, contained a congressional district in which African American voters had succeeded in selecting representatives of their choice, all of whom were African Americans.</w:t>
      </w:r>
    </w:p>
    <w:p w:rsidR="00A31137" w:rsidRPr="00A31137" w:rsidRDefault="00A31137" w:rsidP="00A31137">
      <w:r w:rsidRPr="00A31137">
        <w:t>1996, Bush v. Vera, No. 94-805</w:t>
      </w:r>
    </w:p>
    <w:p w:rsidR="00A31137" w:rsidRPr="00A31137" w:rsidRDefault="00A31137" w:rsidP="00A31137">
      <w:r w:rsidRPr="00A31137">
        <w:t>The problem with the State's argument is that it seeks to justify not maintenance, but substantial augmentation, of the African American population percentage in District 18. At the previous redistricting, in 1980, District 18's population was 40.8% African American. Plaintiffs' Exh. 13B, p. 55. As a result of Hispanic population increases and African American emigration from the district, its population had reached 35.1% African American and 42.2% Hispanic at the time of the 1990 census. The State has shown no basis for concluding that the increase to a 50.9% African American population in 1991 was necessary to insure nonretrogression. Nonretrogression is not a license for the State to do whatever it deems necessary to insure continued electoral success; it merely mandates that the minority's opportunity to elect representatives of its choice not be diminished, directly or indirectly, by the State's actions. We anticipated this problem in Shaw I, 509 U.S. at  655:</w:t>
      </w:r>
    </w:p>
    <w:p w:rsidR="00A31137" w:rsidRPr="00A31137" w:rsidRDefault="00A31137" w:rsidP="00A31137">
      <w:r w:rsidRPr="00A31137">
        <w:t>1996, Bush v. Vera, No. 94-805</w:t>
      </w:r>
    </w:p>
    <w:p w:rsidR="00A31137" w:rsidRPr="00A31137" w:rsidRDefault="00A31137" w:rsidP="00A31137">
      <w:r w:rsidRPr="00A31137">
        <w:t>A reapportionment plan would not be narrowly tailored to the goal of avoiding retrogression if the State went beyond what was reasonably necessary to avoid retrogression.</w:t>
      </w:r>
    </w:p>
    <w:p w:rsidR="00A31137" w:rsidRPr="00A31137" w:rsidRDefault="00A31137" w:rsidP="00A31137">
      <w:r w:rsidRPr="00A31137">
        <w:t>1996, Bush v. Vera, No. 94-805</w:t>
      </w:r>
    </w:p>
    <w:p w:rsidR="00A31137" w:rsidRPr="00A31137" w:rsidRDefault="00A31137" w:rsidP="00A31137">
      <w:r w:rsidRPr="00A31137">
        <w:t>Applying that principle, it is clear that District 18 is not narrowly tailored to the avoidance of § 5 liability.</w:t>
      </w:r>
    </w:p>
    <w:p w:rsidR="00A31137" w:rsidRPr="00A31137" w:rsidRDefault="00A31137" w:rsidP="00A31137">
      <w:r w:rsidRPr="00A31137">
        <w:t>IV</w:t>
      </w:r>
    </w:p>
    <w:p w:rsidR="00A31137" w:rsidRPr="00A31137" w:rsidRDefault="00A31137" w:rsidP="00A31137">
      <w:r w:rsidRPr="00A31137">
        <w:t>1996, Bush v. Vera, No. 94-805</w:t>
      </w:r>
    </w:p>
    <w:p w:rsidR="00A31137" w:rsidRPr="00A31137" w:rsidRDefault="00A31137" w:rsidP="00A31137">
      <w:r w:rsidRPr="00A31137">
        <w:t>The dissents make several further arguments against today's decision, none of which address the specifics of this case. We have responded to these points previously. JUSTICE SOUTER, for example, reiterates his contention from Shaw I that because districts created with a view to satisfying § 2 do not involve "racial subjugation," post at ___, and may in a sense be "'benign[ly]'" motivated, Shaw I, 509 U.S. at  685 (SOUTER, J., dissenting), strict scrutiny should not apply to them. We rejected that argument in Shaw I, and we reject it now. As we explained then, see id. at  653, we subject racial classifications to strict scrutiny precisely because that scrutiny is necessary to determine whether they are benign—as JUSTICE STEVENS' hypothetical of a targeted outreach program to protect victims of sickle cell anemia, see post at ___, would, no doubt, be—or whether they misuse race and foster harmful and divisive stereotypes without a compelling justification. We see no need to revisit our prior debates.</w:t>
      </w:r>
    </w:p>
    <w:p w:rsidR="00A31137" w:rsidRPr="00A31137" w:rsidRDefault="00A31137" w:rsidP="00A31137">
      <w:r w:rsidRPr="00A31137">
        <w:t>1996, Bush v. Vera, No. 94-805</w:t>
      </w:r>
    </w:p>
    <w:p w:rsidR="00A31137" w:rsidRPr="00A31137" w:rsidRDefault="00A31137" w:rsidP="00A31137">
      <w:r w:rsidRPr="00A31137">
        <w:t>Both dissents contend that the recognition of the Shaw I cause of action threatens public respect for, and the independence of, the federal judiciary by inserting the courts deep into the districting process. We believe that the dissents both exaggerate the dangers involved, and fail to recognize the implications of their suggested retreat from Shaw I.</w:t>
      </w:r>
    </w:p>
    <w:p w:rsidR="00A31137" w:rsidRPr="00A31137" w:rsidRDefault="00A31137" w:rsidP="00A31137">
      <w:r w:rsidRPr="00A31137">
        <w:t>1996, Bush v. Vera, No. 94-805</w:t>
      </w:r>
    </w:p>
    <w:p w:rsidR="00A31137" w:rsidRPr="00A31137" w:rsidRDefault="00A31137" w:rsidP="00A31137">
      <w:r w:rsidRPr="00A31137">
        <w:t>As to the dangers of judicial entanglement, the principal dissent makes much of cases stemming from State districting plans originally drawn up before Shaw I, in which problems have arisen from the uncertainty in the law prior to and during its gradual clarification in Shaw I, Miller, and today's cases. See post at ___ (STEVENS, J., dissenting). We are aware of the difficulties faced by the States, and by the district courts, in confronting new constitutional precedents, and we also know that the nature of the expressive harms with which we are dealing, and the complexity of the districting process, are such that brightline rules are not available. But we believe that today's decisions, which both illustrate the defects that offend the principles of Shaw I and reemphasize the importance of the States' discretion in the redistricting process, see supra at ___, will serve to clarify the States' responsibilities. The States have traditionally guarded their sovereign districting prerogatives jealously, and we are confident that they can fulfill that requirement, leaving the courts to their customary and appropriate backstop role.</w:t>
      </w:r>
    </w:p>
    <w:p w:rsidR="00A31137" w:rsidRPr="00A31137" w:rsidRDefault="00A31137" w:rsidP="00A31137">
      <w:r w:rsidRPr="00A31137">
        <w:t>1996, Bush v. Vera, No. 94-805</w:t>
      </w:r>
    </w:p>
    <w:p w:rsidR="00A31137" w:rsidRPr="00A31137" w:rsidRDefault="00A31137" w:rsidP="00A31137">
      <w:r w:rsidRPr="00A31137">
        <w:t>This Court has now rendered decisions after plenary consideration in five cases applying the Shaw I doctrine (Shaw I, Miller, Hays, Shaw II, and this case). The dissenters would have us abandon those precedents, suggesting that fundamental concerns relating to the judicial role are at stake. See post at ___ (STEVENS, J., dissenting); post at ___ &amp; n. 2, ___ (SOUTER, J., dissenting); Shaw II, ante at ___ &amp; n. 3, ___ (STEVENS, J., dissenting); but see id. at ___ (noting that the judicial task of distinguishing race-based from non-race-based action in Shaw I cases is far from unique). While we agree that those concerns are implicated here, we believe they point the other way. Our legitimacy requires, above all, that we adhere to stare decisis, especially in such sensitive political contexts as the present, where partisan controversy abounds. Legislators and district courts nationwide have modified their practices—or, rather, reembraced the traditional districting practices that were almost universally followed before the 1990 census—in response to Shaw I. Those practices and our precedents, which acknowledge voters as more than mere racial statistics, play an important role in defining the political identity of the American voter. Our Fourteenth Amendment jurisprudence evinces a commitment to eliminate unnecessary and excessive governmental use and reinforcement of racial stereotypes. See, e.g., Georgia v. McCollum, 505 U.S. 42, 59 (1992) ("the exercise of a peremptory challenge must not be based on either the race of the juror or the racial stereotypes held by the party"); Edmonson v. Leesville Concrete Co., 500 U.S. 614, 630-631 (1991) ("If our society is to continue to progress as a multiracial democracy, it must recognize that the automatic invocation of race stereotypes retards that progress and causes continued hurt and injury"); Powers, 499 U.S. at 410 ("We may not accept as a defense to racial discrimination the very stereotype the law condemns"); Holland v. Illinois, 493 U.S. 474, 484, n. 2 (1990) ("[A] prosecutor's 'assumption that a black juror may be presumed to be partial simply because he is black'…violates the Equal Protection Clause"); Batson v. Kentucky, 476 U.S. 79,  104 (1986) ("the Equal Protection Clause prohibits a State from taking any action based on crude, inaccurate racial stereotypes"). We decline to retreat from that commitment today.</w:t>
      </w:r>
    </w:p>
    <w:p w:rsidR="00A31137" w:rsidRPr="00A31137" w:rsidRDefault="00A31137" w:rsidP="00A31137">
      <w:r w:rsidRPr="00A31137">
        <w:t>*    *    *    *</w:t>
      </w:r>
    </w:p>
    <w:p w:rsidR="00A31137" w:rsidRPr="00A31137" w:rsidRDefault="00A31137" w:rsidP="00A31137">
      <w:r w:rsidRPr="00A31137">
        <w:t>1996, Bush v. Vera, No. 94-805</w:t>
      </w:r>
    </w:p>
    <w:p w:rsidR="00A31137" w:rsidRPr="00A31137" w:rsidRDefault="00A31137" w:rsidP="00A31137">
      <w:r w:rsidRPr="00A31137">
        <w:t>The judgment of the District Court is</w:t>
      </w:r>
    </w:p>
    <w:p w:rsidR="00A31137" w:rsidRPr="00A31137" w:rsidRDefault="00A31137" w:rsidP="00A31137">
      <w:r w:rsidRPr="00A31137">
        <w:t>1996, Bush v. Vera, No. 94-805</w:t>
      </w:r>
    </w:p>
    <w:p w:rsidR="00A31137" w:rsidRPr="00A31137" w:rsidRDefault="00A31137" w:rsidP="00A31137">
      <w:r w:rsidRPr="00A31137">
        <w:t>Affirmed.</w:t>
      </w:r>
    </w:p>
    <w:p w:rsidR="00A31137" w:rsidRPr="00A31137" w:rsidRDefault="00A31137" w:rsidP="00A31137">
      <w:r w:rsidRPr="00A31137">
        <w:t>O'CONNOR, J., concurring</w:t>
      </w:r>
    </w:p>
    <w:p w:rsidR="00A31137" w:rsidRPr="00A31137" w:rsidRDefault="00A31137" w:rsidP="00A31137">
      <w:r w:rsidRPr="00A31137">
        <w:t>1996, Bush v. Vera, No. 94-805</w:t>
      </w:r>
    </w:p>
    <w:p w:rsidR="00A31137" w:rsidRPr="00A31137" w:rsidRDefault="00A31137" w:rsidP="00A31137">
      <w:r w:rsidRPr="00A31137">
        <w:t>JUSTICE O'CONNOR, concurring.</w:t>
      </w:r>
    </w:p>
    <w:p w:rsidR="00A31137" w:rsidRPr="00A31137" w:rsidRDefault="00A31137" w:rsidP="00A31137">
      <w:r w:rsidRPr="00A31137">
        <w:t>1996, Bush v. Vera, No. 94-805</w:t>
      </w:r>
    </w:p>
    <w:p w:rsidR="00A31137" w:rsidRPr="00A31137" w:rsidRDefault="00A31137" w:rsidP="00A31137">
      <w:r w:rsidRPr="00A31137">
        <w:t>I write separately to express my view on two points. First, compliance with the results test of § 2 of the Voting Rights Act (VRA) is a compelling state interest. Second, that test can coexist in principle and in practice with Shaw v. Reno, 509 U.S. 630 (1993), and its progeny, as elaborated in today's opinions.</w:t>
      </w:r>
    </w:p>
    <w:p w:rsidR="00A31137" w:rsidRPr="00A31137" w:rsidRDefault="00A31137" w:rsidP="00A31137">
      <w:r w:rsidRPr="00A31137">
        <w:t>I</w:t>
      </w:r>
    </w:p>
    <w:p w:rsidR="00A31137" w:rsidRPr="00A31137" w:rsidRDefault="00A31137" w:rsidP="00A31137">
      <w:r w:rsidRPr="00A31137">
        <w:t>1996, Bush v. Vera, No. 94-805</w:t>
      </w:r>
    </w:p>
    <w:p w:rsidR="00A31137" w:rsidRPr="00A31137" w:rsidRDefault="00A31137" w:rsidP="00A31137">
      <w:r w:rsidRPr="00A31137">
        <w:t>As stated in the plurality opinion, ante at ___ (O'CONNOR, J., joined by REHNQUIST, C.J., and KENNEDY J.), this Court has thus far assumed without deciding that compliance with the results test of VRA § 2(b) is a compelling state interest. See Shaw v. Hunt, ___ U.S. ___, ___ (1996) (Shaw II); Miller v. Johnson, 515 U.S. ___, ___-___ (1995). Although that assumption is not determinative of the Court's decisions today, I believe that States and lower courts are entitled to more definite guidance as they toil with the twin demands of the Fourteenth Amendment and the Voting Rights Act.</w:t>
      </w:r>
    </w:p>
    <w:p w:rsidR="00A31137" w:rsidRPr="00A31137" w:rsidRDefault="00A31137" w:rsidP="00A31137">
      <w:r w:rsidRPr="00A31137">
        <w:t>1996, Bush v. Vera, No. 94-805</w:t>
      </w:r>
    </w:p>
    <w:p w:rsidR="00A31137" w:rsidRPr="00A31137" w:rsidRDefault="00A31137" w:rsidP="00A31137">
      <w:r w:rsidRPr="00A31137">
        <w:t>The results test is violated if,</w:t>
      </w:r>
    </w:p>
    <w:p w:rsidR="00A31137" w:rsidRPr="00A31137" w:rsidRDefault="00A31137" w:rsidP="00A31137">
      <w:r w:rsidRPr="00A31137">
        <w:t>1996, Bush v. Vera, No. 94-805</w:t>
      </w:r>
    </w:p>
    <w:p w:rsidR="00A31137" w:rsidRPr="00A31137" w:rsidRDefault="00A31137" w:rsidP="00A31137">
      <w:r w:rsidRPr="00A31137">
        <w:t>based on the totality of circumstances, it is shown that the political processes leading to nomination or election in the State or political subdivision are not equally open to participation by members of [e.g., a racial minority group] in that its members have less opportunity than other members of the electorate to participate in the political process and to elect representatives of their choice.</w:t>
      </w:r>
    </w:p>
    <w:p w:rsidR="00A31137" w:rsidRPr="00A31137" w:rsidRDefault="00A31137" w:rsidP="00A31137">
      <w:r w:rsidRPr="00A31137">
        <w:t>1996, Bush v. Vera, No. 94-805</w:t>
      </w:r>
    </w:p>
    <w:p w:rsidR="00A31137" w:rsidRPr="00A31137" w:rsidRDefault="00A31137" w:rsidP="00A31137">
      <w:r w:rsidRPr="00A31137">
        <w:t>42 U.S.C. § 1973(b).</w:t>
      </w:r>
    </w:p>
    <w:p w:rsidR="00A31137" w:rsidRPr="00A31137" w:rsidRDefault="00A31137" w:rsidP="00A31137">
      <w:r w:rsidRPr="00A31137">
        <w:t>1996, Bush v. Vera, No. 94-805</w:t>
      </w:r>
    </w:p>
    <w:p w:rsidR="00A31137" w:rsidRPr="00A31137" w:rsidRDefault="00A31137" w:rsidP="00A31137">
      <w:r w:rsidRPr="00A31137">
        <w:t>In the 14 years since the enactment of § 2(b), we have interpreted and enforced the obligations that it places on States in a succession of cases, assuming but never directly addressing its constitutionality. See Johnson v. De Grandy, 512 U.S. ___ (1994); Holder v. Hall, 512 U.S. ___ (1994); Voinovich v. Quilter, 507 U.S. 146 (1993); Growe v. Emison, 507 U.S. 25, 37-42 (1993); Chisom v. Roemer, 501 U.S. 380 (1991); Thornburg v. Gingles, 478 U.S. 30 (1986); cf. Chisom, supra, at 418 (KENNEDY, J., dissenting) (noting that a constitutional challenge to the statute was not before the Court). Meanwhile, lower courts have unanimously affirmed its constitutionality. See United States v. Marengo County Comm'n, 731 F.2d 1546, 1556-1563 (CA11), cert. denied, 469 U.S. 976 (1984); Jones v. Lubbock, 727 F.2d 364, 372-375 (CA5 1984); Shaw v. Hunt, 861 F.Supp. 408, 438 (EDNC 1994), aff'd, Shaw II, ante, p. ___; Prosser v. Elections Bd., 793 F.Supp. 859, 869 (WD Wis. 1992); Wesley v. Collins, 605 F.Supp. 802, 808 (MD Tenn. 1985), aff'd, 791 F.2d 1255 (CA6 1986); Jordan v. Winter, 604 F.Supp. 807, 811 (ND Miss.), aff'd sub nom Allain v. Brooks, 469 U.S. 1002 (1984); Sierra v. El Paso Independent School Dist., 591 F.Supp. 802, 806 (WD Tex. 1984); Major v. Treen, 574 F.Supp. 325, 342-349 (ED La. 1983); accord, Hartman, Racial Vote Dilution and Separation of Powers: An Exploration of the Conflict Between the Judicial "Intent" and the Legislative "Results" Standards, 50 Geo.Wash.L.Rev. 689, 739-752 (1982). Cf. South Carolina v. Katzenbach, 383 U.S. 301 (1966) (upholding the original VRA as a valid exercise of Congress' power under § 2 of the Fifteenth Amendment); Fullilove v. Klutznick, 448 U.S. 448,  477 (1980) (Katzenbach and its successors interpreting § 2 of the Fifteenth Amendment "confirm that congressional authority extends beyond the prohibition of purposeful discrimination to encompass state action that has discriminatory impact perpetuating the effects of past discrimination"); White v. Alabama, 867 F.Supp. 1519, 1549 (MD Ala. 1994) (the results test "has not been held unconstitutional and complying with it remains a strong state interest"), vacated and remanded on other grounds, 74 F.3d 1058, 1069 (CA11 1996) (noting that "Section 2 was enacted to enforce the Fifteenth Amendment's prohibition against denying a citizen the right to vote 'on account of race'").</w:t>
      </w:r>
    </w:p>
    <w:p w:rsidR="00A31137" w:rsidRPr="00A31137" w:rsidRDefault="00A31137" w:rsidP="00A31137">
      <w:r w:rsidRPr="00A31137">
        <w:t>1996, Bush v. Vera, No. 94-805</w:t>
      </w:r>
    </w:p>
    <w:p w:rsidR="00A31137" w:rsidRPr="00A31137" w:rsidRDefault="00A31137" w:rsidP="00A31137">
      <w:r w:rsidRPr="00A31137">
        <w:t>Against this background, it would be irresponsible for a State to disregard the § 2 results test. The Supremacy Clause obliges the States to comply with all constitutional exercises of Congress' power. See U.S.Const., Art. VI, cl. 2. Statutes are presumed constitutional, see, e.g., Fairbank v. United States, 181 U.S. 283, 285 (1901), and that presumption appears strong here in light of the weight of authority affirming the results test's constitutionality. In addition, fundamental concerns of federalism mandate that States be given some leeway so that they are not "trapped between the competing hazards of liability." Wygant v. Jackson Bd. of Ed., 476 U.S. 267,  291 (1986) (O'CONNOR, J., concurring). We should allow States to assume the constitutionality of § 2 of the Voting Rights Act, including the 1982 amendments.</w:t>
      </w:r>
    </w:p>
    <w:p w:rsidR="00A31137" w:rsidRPr="00A31137" w:rsidRDefault="00A31137" w:rsidP="00A31137">
      <w:r w:rsidRPr="00A31137">
        <w:t>1996, Bush v. Vera, No. 94-805</w:t>
      </w:r>
    </w:p>
    <w:p w:rsidR="00A31137" w:rsidRPr="00A31137" w:rsidRDefault="00A31137" w:rsidP="00A31137">
      <w:r w:rsidRPr="00A31137">
        <w:t>This conclusion is bolstered by concerns of respect for the authority of Congress under the Reconstruction Amendments. See Rome v. United States, 446 U.S. 156,  179 (1980). The results test of § 2 is an important part of the apparatus chosen by Congress to effectuate this Nation's commitment "to confront its conscience and fulfill the guarantee of the Constitution" with respect to equality in voting. S.Rep. No. 97-417, p. 4 (1982). Congress considered the test "necessary and appropriate to ensure full protection of the Fourteenth and Fifteenth Amendments rights." Id. at 27. It believed that without the results test, nothing could be done about "overwhelming evidence of unequal access to the electoral system," id. at 26, or about "voting practices and procedures [that] perpetuate the effects of past purposeful discrimination," id. at 40. And it founded those beliefs on the sad reality that "there still are some communities in our Nation where racial politics do dominate the electoral process." Id. at 33. Respect for those legislative conclusions mandates that the § 2 results test be accepted and applied unless and until current lower court precedent is reversed and it is held unconstitutional.</w:t>
      </w:r>
    </w:p>
    <w:p w:rsidR="00A31137" w:rsidRPr="00A31137" w:rsidRDefault="00A31137" w:rsidP="00A31137">
      <w:r w:rsidRPr="00A31137">
        <w:t>1996, Bush v. Vera, No. 94-805</w:t>
      </w:r>
    </w:p>
    <w:p w:rsidR="00A31137" w:rsidRPr="00A31137" w:rsidRDefault="00A31137" w:rsidP="00A31137">
      <w:r w:rsidRPr="00A31137">
        <w:t>In my view, therefore, the States have a compelling interest in complying with the results test as this Court has interpreted it.</w:t>
      </w:r>
    </w:p>
    <w:p w:rsidR="00A31137" w:rsidRPr="00A31137" w:rsidRDefault="00A31137" w:rsidP="00A31137">
      <w:r w:rsidRPr="00A31137">
        <w:t>II</w:t>
      </w:r>
    </w:p>
    <w:p w:rsidR="00A31137" w:rsidRPr="00A31137" w:rsidRDefault="00A31137" w:rsidP="00A31137">
      <w:r w:rsidRPr="00A31137">
        <w:t>1996, Bush v. Vera, No. 94-805</w:t>
      </w:r>
    </w:p>
    <w:p w:rsidR="00A31137" w:rsidRPr="00A31137" w:rsidRDefault="00A31137" w:rsidP="00A31137">
      <w:r w:rsidRPr="00A31137">
        <w:t>Although I agree with the dissenters about § 2's role as part of our national commitment to racial equality, I differ from them in my belief that that commitment can and must be reconciled with the complementary commitment of our Fourteenth Amendment jurisprudence to eliminate the unjustified use of racial stereotypes. At the same time that we combat the symptoms of racial polarization in politics, we must strive to eliminate unnecessary race-based state action that appears to endorse the disease.</w:t>
      </w:r>
    </w:p>
    <w:p w:rsidR="00A31137" w:rsidRPr="00A31137" w:rsidRDefault="00A31137" w:rsidP="00A31137">
      <w:r w:rsidRPr="00A31137">
        <w:t>1996, Bush v. Vera, No. 94-805</w:t>
      </w:r>
    </w:p>
    <w:p w:rsidR="00A31137" w:rsidRPr="00A31137" w:rsidRDefault="00A31137" w:rsidP="00A31137">
      <w:r w:rsidRPr="00A31137">
        <w:t>Today's decisions, in conjunction with the recognition of the compelling state interest in compliance with the reasonably perceived requirements of § 2, present a workable framework for the achievement of these twin goals. I would summarize that framework, and the rules governing the States' consideration of race in the districting process, as follows.</w:t>
      </w:r>
    </w:p>
    <w:p w:rsidR="00A31137" w:rsidRPr="00A31137" w:rsidRDefault="00A31137" w:rsidP="00A31137">
      <w:r w:rsidRPr="00A31137">
        <w:t>1996, Bush v. Vera, No. 94-805</w:t>
      </w:r>
    </w:p>
    <w:p w:rsidR="00A31137" w:rsidRPr="00A31137" w:rsidRDefault="00A31137" w:rsidP="00A31137">
      <w:r w:rsidRPr="00A31137">
        <w:t>First, so long as they do not subordinate traditional districting criteria to the use of race for its own sake or as a proxy, States may intentionally create majority minority districts, and may otherwise take race into consideration, without coming under strict scrutiny. See ante at ___ (plurality opinion); post at ___ &amp; n. 8, ___ (STEVENS, J., dissenting); post at ___ (SOUTER, J., dissenting). Only if traditional districting criteria are neglected and that neglect is predominantly due to the misuse of race does strict scrutiny apply. Ante at ___ (plurality opinion).</w:t>
      </w:r>
    </w:p>
    <w:p w:rsidR="00A31137" w:rsidRPr="00A31137" w:rsidRDefault="00A31137" w:rsidP="00A31137">
      <w:r w:rsidRPr="00A31137">
        <w:t>1996, Bush v. Vera, No. 94-805</w:t>
      </w:r>
    </w:p>
    <w:p w:rsidR="00A31137" w:rsidRPr="00A31137" w:rsidRDefault="00A31137" w:rsidP="00A31137">
      <w:r w:rsidRPr="00A31137">
        <w:t>Second, where voting is racially polarized, § 2 prohibits States from adopting districting schemes that would have the effect that minority voters "have less opportunity than other members of the electorate to…elect representatives of their choice." § 2(b). That principle may require a State to create a majority minority district where the three Gingles factors are present-viz., (i) the minority group "is sufficiently large and geographically compact to constitute a majority in a single-member district," (ii) "it is politically cohesive," and (iii) "the white majority votes sufficiently as a bloc to enable it…usually to defeat the minority's preferred candidate," Thornburg v. Gingles, 478 U.S. at 50-51.</w:t>
      </w:r>
    </w:p>
    <w:p w:rsidR="00A31137" w:rsidRPr="00A31137" w:rsidRDefault="00A31137" w:rsidP="00A31137">
      <w:r w:rsidRPr="00A31137">
        <w:t>1996, Bush v. Vera, No. 94-805</w:t>
      </w:r>
    </w:p>
    <w:p w:rsidR="00A31137" w:rsidRPr="00A31137" w:rsidRDefault="00A31137" w:rsidP="00A31137">
      <w:r w:rsidRPr="00A31137">
        <w:t>Third, the state interest in avoiding liability under VRA § 2 is compelling. See supra at ; post at ___ (STEVENS, J., dissenting); post at ___ (SOUTER, J., dissenting). If a State has a strong basis in evidence for concluding that the Gingles factors are present, it may create a majority minority district without awaiting judicial findings. Its "strong basis in evidence" need not take any particular form, although it cannot simply rely on generalized assumptions about the prevalence of racial bloc voting.</w:t>
      </w:r>
    </w:p>
    <w:p w:rsidR="00A31137" w:rsidRPr="00A31137" w:rsidRDefault="00A31137" w:rsidP="00A31137">
      <w:r w:rsidRPr="00A31137">
        <w:t>1996, Bush v. Vera, No. 94-805</w:t>
      </w:r>
    </w:p>
    <w:p w:rsidR="00A31137" w:rsidRPr="00A31137" w:rsidRDefault="00A31137" w:rsidP="00A31137">
      <w:r w:rsidRPr="00A31137">
        <w:t>Fourth, if a State pursues that compelling interest by creating a district that "substantially addresses" the potential liability, Shaw II, ante at ___, and does not deviate substantially from a hypothetical court-drawn § 2 district for predominantly racial reasons, cf. ante at ___ (plurality opinion) (explaining how District 30 fails to satisfy these criteria), its districting plan will be deemed narrowly tailored. Cf. ante at ___ (plurality opinion) (acknowledging this possibility); post at ___ (SOUTER, J., dissenting) (same); post at ___ (STEVENS, J., dissenting) (contending that it is applicable here).</w:t>
      </w:r>
    </w:p>
    <w:p w:rsidR="00A31137" w:rsidRPr="00A31137" w:rsidRDefault="00A31137" w:rsidP="00A31137">
      <w:r w:rsidRPr="00A31137">
        <w:t>1996, Bush v. Vera, No. 94-805</w:t>
      </w:r>
    </w:p>
    <w:p w:rsidR="00A31137" w:rsidRPr="00A31137" w:rsidRDefault="00A31137" w:rsidP="00A31137">
      <w:r w:rsidRPr="00A31137">
        <w:t>Finally, however, districts that are bizarrely shaped and noncompact, and that otherwise neglect traditional districting principles and deviate substantially from the hypothetical court-drawn district, for predominantly racial reasons, are unconstitutional. See ante at ___ (plurality opinion).</w:t>
      </w:r>
    </w:p>
    <w:p w:rsidR="00A31137" w:rsidRPr="00A31137" w:rsidRDefault="00A31137" w:rsidP="00A31137">
      <w:r w:rsidRPr="00A31137">
        <w:t>1996, Bush v. Vera, No. 94-805</w:t>
      </w:r>
    </w:p>
    <w:p w:rsidR="00A31137" w:rsidRPr="00A31137" w:rsidRDefault="00A31137" w:rsidP="00A31137">
      <w:r w:rsidRPr="00A31137">
        <w:t>District 30 illustrates the application of these principles. Dallas County has a history of racially polarized voting. See, e.g., White v. Regester, 412 U.S. 755, 765-767 (1973); Lipscomb v. Wise, 399 F.Supp. 782, 785-786 (ND Tex. 1975), rev'd, 551 F.2d 1043 (CA5 1977), rev'd, 437 U.S. 535 (1978). One year before the redistricting at issue here, a district court invalidated under § 2 the Dallas City Council election scheme, finding racial polarization and that candidates preferred by African American voters were consistently defeated. See Williams v. Dallas, 734 F.Supp. 1317, 1387-1394 (ND Tex. 1990). Expert testimony in this litigation also confirmed the existence of racially polarized voting in and around Dallas County. 4 Tr. 187; see also App. 227. With respect to geographical compactness, the record contains two quite different possible designs for District 30, the original Johnson Plan, id. at 139, and the Owens-Pate Plan, id. at 141, that are reasonably compact and include, respectively, 44% and 45.6% African American populations. This evidence provided a strong basis for Texas' belief that the creation of a majority minority district was appropriate. But Texas allowed race to dominate the drawing of District 30 to the almost total exclusion of nonracial districting considerations, and ultimately produced a district that, because of the misuse of race as a proxy in addition to legitimate efforts to satisfy § 2, is bizarrely shaped and far from compact. See ante at ___ &amp; n., ___ (plurality opinion); compare post at ___ (STEVENS, J., dissenting). It thus came under strict scrutiny and failed the narrow tailoring test.</w:t>
      </w:r>
    </w:p>
    <w:p w:rsidR="00A31137" w:rsidRPr="00A31137" w:rsidRDefault="00A31137" w:rsidP="00A31137">
      <w:r w:rsidRPr="00A31137">
        <w:t>1996, Bush v. Vera, No. 94-805</w:t>
      </w:r>
    </w:p>
    <w:p w:rsidR="00A31137" w:rsidRPr="00A31137" w:rsidRDefault="00A31137" w:rsidP="00A31137">
      <w:r w:rsidRPr="00A31137">
        <w:t>As the disagreement among Members of this Court over District 30 shows, the application of the principles that I have outlined sometimes requires difficult exercises of judgment. That difficulty is inevitable. The Voting Rights Act requires the States and the courts to take action to remedy the reality of racial inequality in our political system, sometimes necessitating race-based action, while the Fourteenth Amendment requires us to look with suspicion on the excessive use of racial considerations by the government. But I believe that the States, playing a primary role, and the courts, in their secondary role, are capable of distinguishing the appropriate and reasonably necessary uses of race from its unjustified and excessive uses.</w:t>
      </w:r>
    </w:p>
    <w:p w:rsidR="00A31137" w:rsidRPr="00A31137" w:rsidRDefault="00A31137" w:rsidP="00A31137">
      <w:r w:rsidRPr="00A31137">
        <w:t>KENNEDY, J., concurring</w:t>
      </w:r>
    </w:p>
    <w:p w:rsidR="00A31137" w:rsidRPr="00A31137" w:rsidRDefault="00A31137" w:rsidP="00A31137">
      <w:r w:rsidRPr="00A31137">
        <w:t>1996, Bush v. Vera, No. 94-805</w:t>
      </w:r>
    </w:p>
    <w:p w:rsidR="00A31137" w:rsidRPr="00A31137" w:rsidRDefault="00A31137" w:rsidP="00A31137">
      <w:r w:rsidRPr="00A31137">
        <w:t>JUSTICE KENNEDY, concurring.</w:t>
      </w:r>
    </w:p>
    <w:p w:rsidR="00A31137" w:rsidRPr="00A31137" w:rsidRDefault="00A31137" w:rsidP="00A31137">
      <w:r w:rsidRPr="00A31137">
        <w:t>1996, Bush v. Vera, No. 94-805</w:t>
      </w:r>
    </w:p>
    <w:p w:rsidR="00A31137" w:rsidRPr="00A31137" w:rsidRDefault="00A31137" w:rsidP="00A31137">
      <w:r w:rsidRPr="00A31137">
        <w:t>I join the plurality opinion, but the statements in Part II of the opinion that strict scrutiny would not apply to all cases of intentional creation of majority minority districts, ante at ___, require comment. Those statements are unnecessary to our decision, for strict scrutiny applies here. I do not consider these dicta to commit me to any position on the question whether race is predominant whenever a State, in redistricting, foreordains that one race be the majority in a certain number of districts or in a certain part of the State. In my view, we would no doubt apply strict scrutiny if a State decreed that certain districts had to be at least 50 percent white, and our analysis should be no different if the State so favors minority races.</w:t>
      </w:r>
    </w:p>
    <w:p w:rsidR="00A31137" w:rsidRPr="00A31137" w:rsidRDefault="00A31137" w:rsidP="00A31137">
      <w:r w:rsidRPr="00A31137">
        <w:t>1996, Bush v. Vera, No. 94-805</w:t>
      </w:r>
    </w:p>
    <w:p w:rsidR="00A31137" w:rsidRPr="00A31137" w:rsidRDefault="00A31137" w:rsidP="00A31137">
      <w:r w:rsidRPr="00A31137">
        <w:t>We need not answer this question here, for there is ample evidence that otherwise demonstrates the predominance of race in Texas' redistricting, as the plurality shows, ante at ___. And this question was not at issue in DeWitt v. Wilson, 856 F.Supp. 1409 (ED Cal. 1994), summarily aff'd in part and dism'd in part, 515 U.S. ___ (1995). (I note that our summary affirmance in DeWitt stands for no proposition other than that the districts reviewed there were constitutional. We do not endorse the reasoning of the district court when we order summary affirmance of the judgment. Mandel v. Bradley, 432 U.S. 173, 176 (1977) (per curiam); Edelman v. Jordan, 415 U.S. 651, 671 (1974).)</w:t>
      </w:r>
    </w:p>
    <w:p w:rsidR="00A31137" w:rsidRPr="00A31137" w:rsidRDefault="00A31137" w:rsidP="00A31137">
      <w:r w:rsidRPr="00A31137">
        <w:t>1996, Bush v. Vera, No. 94-805</w:t>
      </w:r>
    </w:p>
    <w:p w:rsidR="00A31137" w:rsidRPr="00A31137" w:rsidRDefault="00A31137" w:rsidP="00A31137">
      <w:r w:rsidRPr="00A31137">
        <w:t>On the narrow tailoring issue, I agree that the districts challenged here were not reasonably necessary to serve the assumed compelling state interest in complying with § 2 of the Voting Rights Act of 1965, 42 U.S.C. § 1973. As the plurality opinion indicates, ante at ___, in order for compliance with § 2 to be a compelling interest, the State must have a strong basis in the evidence for believing that all three of the threshold conditions for a § 2 claim are met:</w:t>
      </w:r>
    </w:p>
    <w:p w:rsidR="00A31137" w:rsidRPr="00A31137" w:rsidRDefault="00A31137" w:rsidP="00A31137">
      <w:r w:rsidRPr="00A31137">
        <w:t>1996, Bush v. Vera, No. 94-805</w:t>
      </w:r>
    </w:p>
    <w:p w:rsidR="00A31137" w:rsidRPr="00A31137" w:rsidRDefault="00A31137" w:rsidP="00A31137">
      <w:r w:rsidRPr="00A31137">
        <w:t>[F]irst, "that [the minority group] is sufficiently large and geographically compact to constitute a majority in a single-member district;" second, "that it is politically cohesive;" and third, "that the white majority votes sufficiently as a bloc to enable it…usually to defeat the minority's preferred candidate."</w:t>
      </w:r>
    </w:p>
    <w:p w:rsidR="00A31137" w:rsidRPr="00A31137" w:rsidRDefault="00A31137" w:rsidP="00A31137">
      <w:r w:rsidRPr="00A31137">
        <w:t>1996, Bush v. Vera, No. 94-805</w:t>
      </w:r>
    </w:p>
    <w:p w:rsidR="00A31137" w:rsidRPr="00A31137" w:rsidRDefault="00A31137" w:rsidP="00A31137">
      <w:r w:rsidRPr="00A31137">
        <w:t>Growe v. Emison, 507 U.S. 25, 40 (1993), quoting Thornburg v. Gingles, 478 U.S. 30, 50-51 (1986). The first Gingles condition refers to the compactness of the minority population, not to the compactness of the contested district. As the plurality observes,</w:t>
      </w:r>
    </w:p>
    <w:p w:rsidR="00A31137" w:rsidRPr="00A31137" w:rsidRDefault="00A31137" w:rsidP="00A31137">
      <w:r w:rsidRPr="00A31137">
        <w:t>1996, Bush v. Vera, No. 94-805</w:t>
      </w:r>
    </w:p>
    <w:p w:rsidR="00A31137" w:rsidRPr="00A31137" w:rsidRDefault="00A31137" w:rsidP="00A31137">
      <w:r w:rsidRPr="00A31137">
        <w:t>[i]f, because of the dispersion of the minority population, a reasonably compact majority minority district cannot be created, § 2 does not require a majority minority district….</w:t>
      </w:r>
    </w:p>
    <w:p w:rsidR="00A31137" w:rsidRPr="00A31137" w:rsidRDefault="00A31137" w:rsidP="00A31137">
      <w:r w:rsidRPr="00A31137">
        <w:t>1996, Bush v. Vera, No. 94-805</w:t>
      </w:r>
    </w:p>
    <w:p w:rsidR="00A31137" w:rsidRPr="00A31137" w:rsidRDefault="00A31137" w:rsidP="00A31137">
      <w:r w:rsidRPr="00A31137">
        <w:t>Ante at ___. We may assume, as the plurality does expressly, ibid. that there was sufficient evidence of racial polarization to fulfill the second and third Gingles conditions, and we may assume, as must be done to reach the narrow tailoring question, that the African American and Hispanic populations in Harris County and the African American population in Dallas County were each concentrated enough to form a majority in a reasonably compact district, thereby meeting the first Gingles condition.</w:t>
      </w:r>
    </w:p>
    <w:p w:rsidR="00A31137" w:rsidRPr="00A31137" w:rsidRDefault="00A31137" w:rsidP="00A31137">
      <w:r w:rsidRPr="00A31137">
        <w:t>1996, Bush v. Vera, No. 94-805</w:t>
      </w:r>
    </w:p>
    <w:p w:rsidR="00A31137" w:rsidRPr="00A31137" w:rsidRDefault="00A31137" w:rsidP="00A31137">
      <w:r w:rsidRPr="00A31137">
        <w:t>If a State has the assumed compelling interest in avoiding § 2 liability, it still must tailor its districts narrowly to serve that interest. "[T]he districting that is based on race [must] 'substantially addres[s] the § 2 violation.'" Ante at ___ (quoting Shaw v. Hunt, ante at ___ (Shaw II)). The State may not engage in districting based on race except as reasonably necessary to cure the anticipated § 2 violation, nor may it use race as a proxy to serve other interests. Ante at ___. The plurality gives as an example of the former the fact that "District 30…reaches out to grab small and apparently isolated minority communities which, based on the evidence presented, could not possibly form part of a compact majority minority district." Ibid. (referring to tentacles of District 30 that coil around outlying African American communities in Collin and Tarrant Counties, ante at ___). And, as the plurality further holds in a portion of its predominant-factor analysis that is central to the narrow tailoring inquiry, District 30 also involved the illicit use of race as a proxy when legislators shifted blocs of African American voters to districts of incumbent Democrats in order to promote partisan interests. See ante at ___.</w:t>
      </w:r>
    </w:p>
    <w:p w:rsidR="00A31137" w:rsidRPr="00A31137" w:rsidRDefault="00A31137" w:rsidP="00A31137">
      <w:r w:rsidRPr="00A31137">
        <w:t>1996, Bush v. Vera, No. 94-805</w:t>
      </w:r>
    </w:p>
    <w:p w:rsidR="00A31137" w:rsidRPr="00A31137" w:rsidRDefault="00A31137" w:rsidP="00A31137">
      <w:r w:rsidRPr="00A31137">
        <w:t>Narrow tailoring is absent in Districts 18 and 29 as well. Although the State could have drawn either a majority African American or majority Hispanic district in Harris County without difficulty, there is no evidence that two reasonably compact majority minority districts could have been drawn there. Of the major alternative plans considered below, only the Owens-Pate plan drew majority African American and majority Hispanic districts in Harris County, App. 142, but those districts were not compact. Section 2 does not require the State to create two noncompact majority minority districts just because a compact district could be drawn for either minority independently. See ante at ___ ("§ 2 does not require a State to create, on predominantly racial lines, a district that is not 'reasonably compact'"); Johnson v. De Grandy, 512 U.S. __, __ (1994) (affirming, upon a finding of no vote dilution, district court decision not to give § 2 remedies to both African Americans and Hispanics because population overlap made the remedies mutually exclusive). The race-based districting that the State performed in drawing Districts 18, 29, and 30 was not justified by § 2, or indeed by any other compelling interest, either real or assumed. That itself suffices to defeat the State's claim that those three districts were narrowly tailored. Shaw II, ante at ___. (In this respect, I disagree with the apparent suggestion in JUSTICE O'CONNOR's separate concurrence that a court should conduct a second predominant-factor inquiry in deciding whether a district was narrowly tailored, see ante at 6. There is nothing in the plurality opinion or any opinion of the Court to support that proposition. The simple question is whether the race-based districting was reasonably necessary to serve a compelling interest.)</w:t>
      </w:r>
    </w:p>
    <w:p w:rsidR="00A31137" w:rsidRPr="00A31137" w:rsidRDefault="00A31137" w:rsidP="00A31137">
      <w:r w:rsidRPr="00A31137">
        <w:t>1996, Bush v. Vera, No. 94-805</w:t>
      </w:r>
    </w:p>
    <w:p w:rsidR="00A31137" w:rsidRPr="00A31137" w:rsidRDefault="00A31137" w:rsidP="00A31137">
      <w:r w:rsidRPr="00A31137">
        <w:t>While § 2 does not require a noncompact majority minority district, neither does it forbid it, provided that the rationale for creating it is proper in the first instance. Districts not drawn for impermissible reasons or according to impermissible criteria may take any shape, even a bizarre one. States are not prevented from taking into account race-neutral factors in drawing permissible majority minority districts. If, however, the bizarre shape of the district is attributable to race-based districting unjustified by a compelling interest (e.g., gratuitous race-based districting or use of race as a proxy for other interests), such districts may "cause constitutional harm insofar as they convey the message that political identity is, or should be, predominantly racial," ante at ___. While districts "may pass strict scrutiny without having to defeat rival compact districts designed by plaintiffs' experts in endless 'beauty contests,'" ante at ___, the District Court was right to declare unconstitutional the egregious, unjustified race-based districting that occurred here.</w:t>
      </w:r>
    </w:p>
    <w:p w:rsidR="00A31137" w:rsidRPr="00A31137" w:rsidRDefault="00A31137" w:rsidP="00A31137">
      <w:r w:rsidRPr="00A31137">
        <w:t>THOMAS, J., concurring</w:t>
      </w:r>
    </w:p>
    <w:p w:rsidR="00A31137" w:rsidRPr="00A31137" w:rsidRDefault="00A31137" w:rsidP="00A31137">
      <w:r w:rsidRPr="00A31137">
        <w:t>1996, Bush v. Vera, No. 94-805</w:t>
      </w:r>
    </w:p>
    <w:p w:rsidR="00A31137" w:rsidRPr="00A31137" w:rsidRDefault="00A31137" w:rsidP="00A31137">
      <w:r w:rsidRPr="00A31137">
        <w:t>JUSTICE THOMAS, with whom JUSTICE SCALIA joins, concurring in the judgment.</w:t>
      </w:r>
    </w:p>
    <w:p w:rsidR="00A31137" w:rsidRPr="00A31137" w:rsidRDefault="00A31137" w:rsidP="00A31137">
      <w:r w:rsidRPr="00A31137">
        <w:t>1996, Bush v. Vera, No. 94-805</w:t>
      </w:r>
    </w:p>
    <w:p w:rsidR="00A31137" w:rsidRPr="00A31137" w:rsidRDefault="00A31137" w:rsidP="00A31137">
      <w:r w:rsidRPr="00A31137">
        <w:t>In my view, application of strict scrutiny in this case was never a close question. I cannot agree with JUSTICE O'CONNOR's assertion that strict scrutiny is not invoked by the intentional creation of majority minority districts. See ante at ___. Though Shaw v. Reno, 509 U.S. 630,  649 (1993) (Shaw I), expressly reserved that question, we effectively resolved it in subsequent cases. Only last Term, in Adarand Constructors, Inc. v. Pena, 515 U.S. __, __ (1995), we vigorously asserted that all governmental racial classifications must be strictly scrutinized. 1 And in Miller v. Johnson, 515 U.S. __ (1995), Georgia's concession that it intentionally created majority minority districts was sufficient to show that race was a predominant, motivating factor in its redistricting. Id. at __.</w:t>
      </w:r>
    </w:p>
    <w:p w:rsidR="00A31137" w:rsidRPr="00A31137" w:rsidRDefault="00A31137" w:rsidP="00A31137">
      <w:r w:rsidRPr="00A31137">
        <w:t>1996, Bush v. Vera, No. 94-805</w:t>
      </w:r>
    </w:p>
    <w:p w:rsidR="00A31137" w:rsidRPr="00A31137" w:rsidRDefault="00A31137" w:rsidP="00A31137">
      <w:r w:rsidRPr="00A31137">
        <w:t>Strict scrutiny applies to all governmental classifications based on race, and we have expressly held that there is no exception for race-based redistricting. Id. at __; Shaw I, supra, at 643-647. While we have recognized the evidentiary difficulty of proving that a redistricting plan is, in fact, a racial gerrymander, see Miller, supra, at __; Shaw I, 509 U.S. at 646-647, we have never suggested that a racial gerrymander is subject to anything less than strict scrutiny. See id. at  646 ("The difficulty of proof, of course, does not mean that a racial gerrymander, once established, should receive less scrutiny under the Equal Protection Clause than other state legislation classifying citizens by race").</w:t>
      </w:r>
    </w:p>
    <w:p w:rsidR="00A31137" w:rsidRPr="00A31137" w:rsidRDefault="00A31137" w:rsidP="00A31137">
      <w:r w:rsidRPr="00A31137">
        <w:t>1996, Bush v. Vera, No. 94-805</w:t>
      </w:r>
    </w:p>
    <w:p w:rsidR="00A31137" w:rsidRPr="00A31137" w:rsidRDefault="00A31137" w:rsidP="00A31137">
      <w:r w:rsidRPr="00A31137">
        <w:t>In Shaw I, we noted that proving a racial gerrymander "sometimes will not be difficult at all," ibid. and suggested that evidence of a highly irregular shape or disregard for traditional race-neutral districting principles could suffice to invoke strict scrutiny. We clarified in Miller that a plaintiff may rely on both circumstantial and direct evidence and said that a plaintiff "must prove that the legislature subordinated traditional race-neutral districting principles…to racial considerations." 515 U.S. at __. The shape of Georgia's Eleventh District was itself "quite compelling" evidence of a racial gerrymander, but there was other evidence that showed that the legislature was motivated by a "predominant, overriding desire" to create a third majority black district. That evidence was the State's own concession that the legislature had intentionally created an additional majority black district. See id. at __. On that record, we found that the district court could not have "reached any conclusion other than that race was the predominant factor in drawing Georgia's Eleventh District." Id. at __.</w:t>
      </w:r>
    </w:p>
    <w:p w:rsidR="00A31137" w:rsidRPr="00A31137" w:rsidRDefault="00A31137" w:rsidP="00A31137">
      <w:r w:rsidRPr="00A31137">
        <w:t>1996, Bush v. Vera, No. 94-805</w:t>
      </w:r>
    </w:p>
    <w:p w:rsidR="00A31137" w:rsidRPr="00A31137" w:rsidRDefault="00A31137" w:rsidP="00A31137">
      <w:r w:rsidRPr="00A31137">
        <w:t>We have said that impermissible racial classifications do not follow inevitably from a legislature's mere awareness of racial demographics. See id. at __; Shaw I, supra, at  646. But the intentional creation of a majority minority district certainly means more than mere awareness that application of traditional, race-neutral districting principles will result in the creation of a district in which a majority of the district's residents are members of a particular minority group. See Personnel Administrator of Mass. v. Feeney, 442 U.S. 256,  279 (1979) (distinguishing discriminatory intent from "intent as volition" or "intent as awareness of consequences"). In my view, it means that the legislature affirmatively undertakes to create a majority minority district that would not have existed but for the express use of racial classifications—in other words, that a majority minority district is created "because of," and not merely "in spite of," racial demographics. See ibid. When that occurs, traditional race-neutral districting principles are necessarily subordinated (and race necessarily predominates), and the legislature has classified persons on the basis of race. The resulting redistricting must be viewed as a racial gerrymander.</w:t>
      </w:r>
    </w:p>
    <w:p w:rsidR="00A31137" w:rsidRPr="00A31137" w:rsidRDefault="00A31137" w:rsidP="00A31137">
      <w:r w:rsidRPr="00A31137">
        <w:t>1996, Bush v. Vera, No. 94-805</w:t>
      </w:r>
    </w:p>
    <w:p w:rsidR="00A31137" w:rsidRPr="00A31137" w:rsidRDefault="00A31137" w:rsidP="00A31137">
      <w:r w:rsidRPr="00A31137">
        <w:t>Our summary affirmance of DeWitt v. Wilson, 856 F.Supp. 1409 (ED Cal. 1994), summarily aff'd in part and dism'd in part, 515 U.S. __ (1995), cannot justify exempting intentional race-based redistricting from our well established Fourteenth Amendment standard.</w:t>
      </w:r>
    </w:p>
    <w:p w:rsidR="00A31137" w:rsidRPr="00A31137" w:rsidRDefault="00A31137" w:rsidP="00A31137">
      <w:r w:rsidRPr="00A31137">
        <w:t>1996, Bush v. Vera, No. 94-805</w:t>
      </w:r>
    </w:p>
    <w:p w:rsidR="00A31137" w:rsidRPr="00A31137" w:rsidRDefault="00A31137" w:rsidP="00A31137">
      <w:r w:rsidRPr="00A31137">
        <w:t>When we summarily affirm, without opinion, the judgment of a three-judge district court we affirm the judgment but not necessarily the reasoning by which it was reached. An unexplicated summary affirmance settles the issues for the parties, and is not to be read as a renunciation by this Court of doctrines previously announced in our opinions after full argument.</w:t>
      </w:r>
    </w:p>
    <w:p w:rsidR="00A31137" w:rsidRPr="00A31137" w:rsidRDefault="00A31137" w:rsidP="00A31137">
      <w:r w:rsidRPr="00A31137">
        <w:t>1996, Bush v. Vera, No. 94-805</w:t>
      </w:r>
    </w:p>
    <w:p w:rsidR="00A31137" w:rsidRPr="00A31137" w:rsidRDefault="00A31137" w:rsidP="00A31137">
      <w:r w:rsidRPr="00A31137">
        <w:t>Fusari v. Steinberg, 419 U.S. 379, 391-392 (1975) (Burger, C.J., concurring) (footnote omitted). I would not read our summary affirmance of DeWitt to eviscerate the explicit holding of Adarand or to undermine the force of our discussion of Georgia's concessions in Miller.</w:t>
      </w:r>
    </w:p>
    <w:p w:rsidR="00A31137" w:rsidRPr="00A31137" w:rsidRDefault="00A31137" w:rsidP="00A31137">
      <w:r w:rsidRPr="00A31137">
        <w:t>1996, Bush v. Vera, No. 94-805</w:t>
      </w:r>
    </w:p>
    <w:p w:rsidR="00A31137" w:rsidRPr="00A31137" w:rsidRDefault="00A31137" w:rsidP="00A31137">
      <w:r w:rsidRPr="00A31137">
        <w:t>In this case, Texas readily admits that it intentionally created majority minority districts and that those districts would not have existed but for its affirmative use of racial demographics. As the State concedes in its brief:</w:t>
      </w:r>
    </w:p>
    <w:p w:rsidR="00A31137" w:rsidRPr="00A31137" w:rsidRDefault="00A31137" w:rsidP="00A31137">
      <w:r w:rsidRPr="00A31137">
        <w:t>1996, Bush v. Vera, No. 94-805</w:t>
      </w:r>
    </w:p>
    <w:p w:rsidR="00A31137" w:rsidRPr="00A31137" w:rsidRDefault="00A31137" w:rsidP="00A31137">
      <w:r w:rsidRPr="00A31137">
        <w:t>Texas intentionally maintained [District] 18 as an African American opportunity district and intentionally created [Districts] 29 and 30 as minority opportunity districts in order to comply voluntarily with its reasonable belief, based upon strong evidence, that it was required to do so by the Voting Rights Act, and because it desired to insure that minorities who have historically been excluded from the electoral process in Texas had a reasonable opportunity to elect candidates of their choice.</w:t>
      </w:r>
    </w:p>
    <w:p w:rsidR="00A31137" w:rsidRPr="00A31137" w:rsidRDefault="00A31137" w:rsidP="00A31137">
      <w:r w:rsidRPr="00A31137">
        <w:t>1996, Bush v. Vera, No. 94-805</w:t>
      </w:r>
    </w:p>
    <w:p w:rsidR="00A31137" w:rsidRPr="00A31137" w:rsidRDefault="00A31137" w:rsidP="00A31137">
      <w:r w:rsidRPr="00A31137">
        <w:t>Brief for State Appellants 25. See also ante at ___ (reciting similar concessions by Texas). That is enough to require application of strict scrutiny in this case. 2 I am content to reaffirm our holding in Adarand that all racial classifications by government must be strictly scrutinized and, even in the sensitive area of state legislative redistricting, I would make no exceptions.</w:t>
      </w:r>
    </w:p>
    <w:p w:rsidR="00A31137" w:rsidRPr="00A31137" w:rsidRDefault="00A31137" w:rsidP="00A31137">
      <w:r w:rsidRPr="00A31137">
        <w:t>1996, Bush v. Vera, No. 94-805</w:t>
      </w:r>
    </w:p>
    <w:p w:rsidR="00A31137" w:rsidRPr="00A31137" w:rsidRDefault="00A31137" w:rsidP="00A31137">
      <w:r w:rsidRPr="00A31137">
        <w:t>I am willing to assume without deciding that the State has asserted a compelling state interest. Given that assumption, I agree that the State's redistricting attempts were not narrowly tailored to achieve its asserted interest. I concur in the judgment.</w:t>
      </w:r>
    </w:p>
    <w:p w:rsidR="00A31137" w:rsidRPr="00A31137" w:rsidRDefault="00A31137" w:rsidP="00A31137">
      <w:r w:rsidRPr="00A31137">
        <w:t>STEVENS, J., dissenting</w:t>
      </w:r>
    </w:p>
    <w:p w:rsidR="00A31137" w:rsidRPr="00A31137" w:rsidRDefault="00A31137" w:rsidP="00A31137">
      <w:r w:rsidRPr="00A31137">
        <w:t>1996, Bush v. Vera, No. 94-805</w:t>
      </w:r>
    </w:p>
    <w:p w:rsidR="00A31137" w:rsidRPr="00A31137" w:rsidRDefault="00A31137" w:rsidP="00A31137">
      <w:r w:rsidRPr="00A31137">
        <w:t>JUSTICE STEVENS, with whom JUSTICE GINSBURG and JUSTICE BREYER join, dissenting.</w:t>
      </w:r>
    </w:p>
    <w:p w:rsidR="00A31137" w:rsidRPr="00A31137" w:rsidRDefault="00A31137" w:rsidP="00A31137">
      <w:r w:rsidRPr="00A31137">
        <w:t>1996, Bush v. Vera, No. 94-805</w:t>
      </w:r>
    </w:p>
    <w:p w:rsidR="00A31137" w:rsidRPr="00A31137" w:rsidRDefault="00A31137" w:rsidP="00A31137">
      <w:r w:rsidRPr="00A31137">
        <w:t>The 1990 census revealed that Texas' population had grown, over the past decade, almost twice as fast as the population of the country as a whole. As a result, Texas was entitled to elect three additional Representatives to the United States Congress, enlarging its delegation from 27 to 30. Because Texas' growth was concentrated in South Texas and the cities of Dallas and Houston, the state legislature concluded that the new congressional districts should be carved out of existing districts in those areas. The consequences of the political battle that produced the new map are some of the most oddly shaped congressional districts in the United States.</w:t>
      </w:r>
    </w:p>
    <w:p w:rsidR="00A31137" w:rsidRPr="00A31137" w:rsidRDefault="00A31137" w:rsidP="00A31137">
      <w:r w:rsidRPr="00A31137">
        <w:t>1996, Bush v. Vera, No. 94-805</w:t>
      </w:r>
    </w:p>
    <w:p w:rsidR="00A31137" w:rsidRPr="00A31137" w:rsidRDefault="00A31137" w:rsidP="00A31137">
      <w:r w:rsidRPr="00A31137">
        <w:t>Today, the Court strikes down three of Texas' majority minority districts, concluding, inter alia, that their odd shapes reveal that the State impermissibly relied on predominantly racial reasons when it drew the districts as it did. For two reasons, I believe that the Court errs in striking down those districts.</w:t>
      </w:r>
    </w:p>
    <w:p w:rsidR="00A31137" w:rsidRPr="00A31137" w:rsidRDefault="00A31137" w:rsidP="00A31137">
      <w:r w:rsidRPr="00A31137">
        <w:t>1996, Bush v. Vera, No. 94-805</w:t>
      </w:r>
    </w:p>
    <w:p w:rsidR="00A31137" w:rsidRPr="00A31137" w:rsidRDefault="00A31137" w:rsidP="00A31137">
      <w:r w:rsidRPr="00A31137">
        <w:t>First, I believe that the Court has misapplied its own tests for racial gerrymandering, both by applying strict scrutiny to all three of these districts, and then by concluding that none can meet that scrutiny. In asking whether strict scrutiny should apply, the Court improperly ignores the "complex interplay" of political and geographical considerations that went into the creation of Texas' new congressional districts, Miller v. Johnson, 515 U.S. ___, ___ (1995), and focuses exclusively on the role that race played in the State's decisions to adjust the shape of its districts. A quick comparison of the unconstitutional majority minority districts with three equally bizarre majority Anglo districts, compare ante at Appendix A-C, with infra at Appendix A-C [omitted—see printed edition], demonstrates that race was not necessarily the predominant factor contorting the district lines. I would follow the fair implications of the District Court's findings, 1 and conclude that Texas' entire map is a political, not a racial, gerrymander. 2 See ___Part IV, infra.</w:t>
      </w:r>
    </w:p>
    <w:p w:rsidR="00A31137" w:rsidRPr="00A31137" w:rsidRDefault="00A31137" w:rsidP="00A31137">
      <w:r w:rsidRPr="00A31137">
        <w:t>1996, Bush v. Vera, No. 94-805</w:t>
      </w:r>
    </w:p>
    <w:p w:rsidR="00A31137" w:rsidRPr="00A31137" w:rsidRDefault="00A31137" w:rsidP="00A31137">
      <w:r w:rsidRPr="00A31137">
        <w:t>Even if strict scrutiny applies, I would find these districts constitutional, for each considers race only to the extent necessary to comply with the State's responsibilities under the Voting Rights Act while achieving other race-neutral political and geographical requirements. The plurality's finding to the contrary unnecessarily restricts the ability of States to conform their behavior to the Voting Rights Act while simultaneously complying with other race-neutral goals. See ___Part V, infra.</w:t>
      </w:r>
    </w:p>
    <w:p w:rsidR="00A31137" w:rsidRPr="00A31137" w:rsidRDefault="00A31137" w:rsidP="00A31137">
      <w:r w:rsidRPr="00A31137">
        <w:t>1996, Bush v. Vera, No. 94-805</w:t>
      </w:r>
    </w:p>
    <w:p w:rsidR="00A31137" w:rsidRPr="00A31137" w:rsidRDefault="00A31137" w:rsidP="00A31137">
      <w:r w:rsidRPr="00A31137">
        <w:t>Second, even if I concluded that these districts failed an appropriate application of this still-developing law to appropriately read facts, I would not uphold the District Court decision. The decisions issued today serve merely to reinforce my conviction that the Court has, with its "analytically distinct" jurisprudence of racial gerrymandering, Shaw v. Reno (Shaw I), 509 U.S. 630,  652 (1993), struck out into a jurisprudential wilderness that lacks a definable constitutional core and threatens to create harms more significant than any suffered by the individual plaintiffs challenging these districts. See Parts ___VI-VII, infra; Shaw v. Hunt (Shaw II), ante at ___ (STEVENS, J., dissenting). Though we travel ever farther from it with each passing decision, I would return to the well traveled path that we left in Shaw I.</w:t>
      </w:r>
    </w:p>
    <w:p w:rsidR="00A31137" w:rsidRPr="00A31137" w:rsidRDefault="00A31137" w:rsidP="00A31137">
      <w:r w:rsidRPr="00A31137">
        <w:t>I</w:t>
      </w:r>
    </w:p>
    <w:p w:rsidR="00A31137" w:rsidRPr="00A31137" w:rsidRDefault="00A31137" w:rsidP="00A31137">
      <w:r w:rsidRPr="00A31137">
        <w:t>1996, Bush v. Vera, No. 94-805</w:t>
      </w:r>
    </w:p>
    <w:p w:rsidR="00A31137" w:rsidRPr="00A31137" w:rsidRDefault="00A31137" w:rsidP="00A31137">
      <w:r w:rsidRPr="00A31137">
        <w:t>The factors motivating Texas' redistricting plan are clearly revealed in the results of the 1992 elections. Both before and immediately after the 1990 census, the Democratic Party was in control of the Texas Legislature. Under the new map in 1992, more than two-thirds of the Districts—including each of the new ones—elected Democrats, even though Texas voters are arguably more likely to vote Republican than Democrat. 3 Incumbents of both parties were just as successful: 26 of the 27 incumbents were reelected, while each of the three new districts elected a state legislator who had essentially acted as an incumbent in the districting process, 4 giving "incumbents" a 97 percent success rate.</w:t>
      </w:r>
    </w:p>
    <w:p w:rsidR="00A31137" w:rsidRPr="00A31137" w:rsidRDefault="00A31137" w:rsidP="00A31137">
      <w:r w:rsidRPr="00A31137">
        <w:t>1996, Bush v. Vera, No. 94-805</w:t>
      </w:r>
    </w:p>
    <w:p w:rsidR="00A31137" w:rsidRPr="00A31137" w:rsidRDefault="00A31137" w:rsidP="00A31137">
      <w:r w:rsidRPr="00A31137">
        <w:t>It was not easy for the State to achieve these results while simultaneously guaranteeing that each district enclosed the residence of its incumbent, contained the same number of people, and complied with other federal and state districting requirements. Much of Dallas and Houston, for example, was already represented in Congress by Democrats, and creating new Democratic districts in each city while ensuring politically safe seats for sitting Representatives required significant political gerrymandering. This task was aided by technological and informational advances that allowed the State to adjust lines on the scale of city blocks, thereby guaranteeing twists and turns that would have been essentially impossible in any earlier redistricting. 5 "[T]he result of the Legislature's efforts," the District Court concluded, was "a crazy-quilt of districts" that bore little resemblance to "the work of public-spirited representatives." Vera v. Richards, 861 F.Supp. 1304, 1309 (SD Tex. 1994); see, e.g., Appendix A-D [omitted—see printed edition].</w:t>
      </w:r>
    </w:p>
    <w:p w:rsidR="00A31137" w:rsidRPr="00A31137" w:rsidRDefault="00A31137" w:rsidP="00A31137">
      <w:r w:rsidRPr="00A31137">
        <w:t>1996, Bush v. Vera, No. 94-805</w:t>
      </w:r>
    </w:p>
    <w:p w:rsidR="00A31137" w:rsidRPr="00A31137" w:rsidRDefault="00A31137" w:rsidP="00A31137">
      <w:r w:rsidRPr="00A31137">
        <w:t>It is clear that race also played a role in Texas' redistricting decisions. According to the 1990 Census, Texas contained 16,986,510 residents, of whom 22.5% were of Hispanic origin, and 11.6% were non-Hispanic African American. 861 F.Supp. at 1311. Under the pre-1990 districting scheme, Texas' 27-member delegation included four Hispanics and one African American. In Harris County, a concentrated Hispanic community was divided among several majority Anglo districts as well as the majority minority District 18. In Dallas County, the majority black community in South Dallas was split down the middle between two majority Anglo districts. The legislature was well aware, after the 1990 census, that the minority communities in each county were disproportionately responsible for the growth in population that gained three representatives for the State. Given the omnipresence of § 2 of the Voting Rights Act, 42 U.S.C. § 1973 (1994), the demographics of the two communities, and the pressure from leaders of the minority communities in those cities, it was not unreasonable—and certainly not invidious discrimination of any sort—for the State to accede to calls for the creation of majority minority districts in both cities. 6</w:t>
      </w:r>
    </w:p>
    <w:p w:rsidR="00A31137" w:rsidRPr="00A31137" w:rsidRDefault="00A31137" w:rsidP="00A31137">
      <w:r w:rsidRPr="00A31137">
        <w:t>1996, Bush v. Vera, No. 94-805</w:t>
      </w:r>
    </w:p>
    <w:p w:rsidR="00A31137" w:rsidRPr="00A31137" w:rsidRDefault="00A31137" w:rsidP="00A31137">
      <w:r w:rsidRPr="00A31137">
        <w:t>While complying with a multitude of other political and legal requirements, then, Texas created three new majority minority congressional districts and significantly reconfigured one preexisting district. The District Court concluded that the State impermissibly emphasized race over nonracial factors when it drew two of these new districts (District 30 in Dallas and District 29 in Houston) and the reconfigured District 18 in Houston. To determine whether the Court correctly affirms that decision, I begin, as does the plurality, by asking whether "strict scrutiny" should be applied to the State's consideration of race in the creation of these majority minority districts.</w:t>
      </w:r>
    </w:p>
    <w:p w:rsidR="00A31137" w:rsidRPr="00A31137" w:rsidRDefault="00A31137" w:rsidP="00A31137">
      <w:r w:rsidRPr="00A31137">
        <w:t>II</w:t>
      </w:r>
    </w:p>
    <w:p w:rsidR="00A31137" w:rsidRPr="00A31137" w:rsidRDefault="00A31137" w:rsidP="00A31137">
      <w:r w:rsidRPr="00A31137">
        <w:t>1996, Bush v. Vera, No. 94-805</w:t>
      </w:r>
    </w:p>
    <w:p w:rsidR="00A31137" w:rsidRPr="00A31137" w:rsidRDefault="00A31137" w:rsidP="00A31137">
      <w:r w:rsidRPr="00A31137">
        <w:t>We have traditionally applied strict scrutiny to state action that discriminates on the basis of race. Prior to Shaw I, however, we did so only in cases in which that discrimination harmed an individual or set of individuals because of their race. In contrast, the harm identified in Shaw I and its progeny is much more diffuse. See Shaw II, ante at ___ (STEVENS, J., dissenting). Racial gerrymandering of the sort being addressed in these cases is "discrimination" only in the sense that the lines are drawn based on race, not in the sense that harm is imposed on a given person on account of their race. Id. at ___.</w:t>
      </w:r>
    </w:p>
    <w:p w:rsidR="00A31137" w:rsidRPr="00A31137" w:rsidRDefault="00A31137" w:rsidP="00A31137">
      <w:r w:rsidRPr="00A31137">
        <w:t>1996, Bush v. Vera, No. 94-805</w:t>
      </w:r>
    </w:p>
    <w:p w:rsidR="00A31137" w:rsidRPr="00A31137" w:rsidRDefault="00A31137" w:rsidP="00A31137">
      <w:r w:rsidRPr="00A31137">
        <w:t>Aware of this distinction, a majority of this Court has endorsed a position crucial to a proper evaluation of Texas' congressional districts: neither the Equal Protection Clause nor any other provision of the Constitution was offended merely because the legislature considered race when it deliberately created three majority minority districts. 7 The plurality's statement that strict scrutiny "does [not] apply to all cases of intentional creation of majority minority districts," ante at ___, merely caps a long line of discussions, stretching from Shaw I to Shaw II, which have both expressly and implicitly set forth precisely that conclusion. 8</w:t>
      </w:r>
    </w:p>
    <w:p w:rsidR="00A31137" w:rsidRPr="00A31137" w:rsidRDefault="00A31137" w:rsidP="00A31137">
      <w:r w:rsidRPr="00A31137">
        <w:t>1996, Bush v. Vera, No. 94-805</w:t>
      </w:r>
    </w:p>
    <w:p w:rsidR="00A31137" w:rsidRPr="00A31137" w:rsidRDefault="00A31137" w:rsidP="00A31137">
      <w:r w:rsidRPr="00A31137">
        <w:t>The conclusion that race-conscious districting should not always be subject to strict scrutiny merely recognizes that our equal protection jurisprudence can sometimes mislead us with its rigid characterization of suspect classes and levels of scrutiny. As I have previously noted, all equal protection jurisprudence might be described as a form of rational basis scrutiny; we apply "strict scrutiny" more to describe the likelihood of success than the character of the test to be applied. See Cleburne v. Cleburne Living Center, Inc., 473 U.S. 432, 452-453 (1985) (STEVENS, J., concurring). Because race has rarely been a legitimate basis for state classifications, and more typically an irrational and invidious ground for discrimination, a "virtually automatic invalidation of racial classifications" has been the natural result of the application of our equal protection jurisprudence. Id. at  453. In certain circumstances, however, when the state action (i) has neither the intent nor effect of harming any particular group, (ii) is not designed to give effect to irrational prejudices held by its citizens but to break them down, and (iii) uses race as a classification because race is "relevant" to the benign goal of the classification, id. at  454, we need not view the action with the typically fatal skepticism that we have used to strike down the most pernicious forms of state behavior. See Wygant v. Jackson Bd. of Ed., 476 U.S. 267, 316-317 (1986) (STEVENS, J., dissenting); Regents of Univ. of Cal. v. Bakke, 438 U.S. 265,  320 (1978). While the Court insisted in Shaw I that racial classifications of this sort injure the Nation (though not necessarily any particular group) in myriad ways, see 509 U.S. at 647-648, redistricting that complies with the three factors I outline above simply is not the sort of despicable practice that has been taken in the past to exclude minorities from the electoral process. See Shaw II, ante at ___ (STEVENS, J., dissenting); Shaw I, 509 U.S. at 682-685 (SOUTER, J., dissenting); cf., e.g., Gomillion v. Lightfoot, 364 U.S. 339 (1960); Terry v. Adams, 345 U.S. 461 (1953). While any racial classification may risk some stereotyping, the risk of true "discrimination" in this case is extremely tenuous in light of the remedial purpose the classification is intended to achieve and the long history of resistance to giving minorities a full voice in the political process. Given the balancing of subtle harms and strong remedies—a balancing best left to the political process, not to our own well developed but rigid jurisprudence—the plurality reasonably concludes that race-conscious redistricting is not always a form of "discrimination" to which we should direct our most skeptical eye.</w:t>
      </w:r>
    </w:p>
    <w:p w:rsidR="00A31137" w:rsidRPr="00A31137" w:rsidRDefault="00A31137" w:rsidP="00A31137">
      <w:r w:rsidRPr="00A31137">
        <w:t>III</w:t>
      </w:r>
    </w:p>
    <w:p w:rsidR="00A31137" w:rsidRPr="00A31137" w:rsidRDefault="00A31137" w:rsidP="00A31137">
      <w:r w:rsidRPr="00A31137">
        <w:t>1996, Bush v. Vera, No. 94-805</w:t>
      </w:r>
    </w:p>
    <w:p w:rsidR="00A31137" w:rsidRPr="00A31137" w:rsidRDefault="00A31137" w:rsidP="00A31137">
      <w:r w:rsidRPr="00A31137">
        <w:t>While the Court has agreed that race can, to a point, govern the drawing of district lines, it nonetheless suggests that at a certain point, when the State uses race "too much," illegitimate racial stereotypes threaten to overrun and contaminate an otherwise legitimate redistricting process. In Miller, the Court concluded that this point was reached when "race for its own sake, and not other districting principles, was the…dominant and controlling rationale" behind the shape of the district. 515 U.S. at ___. For strict scrutiny to apply, therefore, the plaintiff must demonstrate that</w:t>
      </w:r>
    </w:p>
    <w:p w:rsidR="00A31137" w:rsidRPr="00A31137" w:rsidRDefault="00A31137" w:rsidP="00A31137">
      <w:r w:rsidRPr="00A31137">
        <w:t>1996, Bush v. Vera, No. 94-805</w:t>
      </w:r>
    </w:p>
    <w:p w:rsidR="00A31137" w:rsidRPr="00A31137" w:rsidRDefault="00A31137" w:rsidP="00A31137">
      <w:r w:rsidRPr="00A31137">
        <w:t>the legislature subordinated traditional race-neutral districting principles, including but not limited to compactness, contiguity, [and] respect for political subdivisions…to racial considerations.</w:t>
      </w:r>
    </w:p>
    <w:p w:rsidR="00A31137" w:rsidRPr="00A31137" w:rsidRDefault="00A31137" w:rsidP="00A31137">
      <w:r w:rsidRPr="00A31137">
        <w:t>1996, Bush v. Vera, No. 94-805</w:t>
      </w:r>
    </w:p>
    <w:p w:rsidR="00A31137" w:rsidRPr="00A31137" w:rsidRDefault="00A31137" w:rsidP="00A31137">
      <w:r w:rsidRPr="00A31137">
        <w:t>Id. at ___; see also id. at ___ (O'CONNOR, J., concurring) (strict scrutiny should be applied only if State emphasized race in "substantial disregard" for traditional districting principles); ante at ___ (opinion of O'CONNOR, J.).</w:t>
      </w:r>
    </w:p>
    <w:p w:rsidR="00A31137" w:rsidRPr="00A31137" w:rsidRDefault="00A31137" w:rsidP="00A31137">
      <w:r w:rsidRPr="00A31137">
        <w:t>1996, Bush v. Vera, No. 94-805</w:t>
      </w:r>
    </w:p>
    <w:p w:rsidR="00A31137" w:rsidRPr="00A31137" w:rsidRDefault="00A31137" w:rsidP="00A31137">
      <w:r w:rsidRPr="00A31137">
        <w:t>Of course, determining the "predominant" motive of the Texas Legislature, id. at ___ (citing Miller, 515 U.S. at ___) is not a simple matter. 9 The members of that body faced many unrelenting pressures when they negotiated the creation of the contested districts. They had to ensure that there was no deviation in population from district to district. 10 They reasonably believed that they had to create districts that would comply with the Voting Rights Act. See supra at ___. If the redistricting legislation was to be enacted, they had to secure the support of incumbent Congressmen of both parties by drawing districts that would ensure their election. And all of these desires had to be achieved within a single contiguous district. Every time a district line was shifted from one place to another, each of these considerations was implicated, and additional, compensating shifts were necessary to ensure that all competing goals were simultaneously accomplished. In such a constrained environment, there will rarely be one "dominant and controlling" influence. Nowhere is this better illustrated than in Dallas' District 30 where at the very least, it is clear that race was not such an overriding factor.</w:t>
      </w:r>
    </w:p>
    <w:p w:rsidR="00A31137" w:rsidRPr="00A31137" w:rsidRDefault="00A31137" w:rsidP="00A31137">
      <w:r w:rsidRPr="00A31137">
        <w:t>IV</w:t>
      </w:r>
    </w:p>
    <w:p w:rsidR="00A31137" w:rsidRPr="00A31137" w:rsidRDefault="00A31137" w:rsidP="00A31137">
      <w:r w:rsidRPr="00A31137">
        <w:t>1996, Bush v. Vera, No. 94-805</w:t>
      </w:r>
    </w:p>
    <w:p w:rsidR="00A31137" w:rsidRPr="00A31137" w:rsidRDefault="00A31137" w:rsidP="00A31137">
      <w:r w:rsidRPr="00A31137">
        <w:t>The Court lists several considerations which, when taken in combination, lead it to conclude that race, and no other cause, was the predominant factor influencing District 30's configuration. First, there is the shape itself. Second, there is evidence that the districts were intentionally drawn with consciousness of race in an effort to comply with the Voting Rights Act. Third, the Court dismisses two race-neutral considerations (communities of interest and incumbency protection) that petitioners advanced as race-neutral considerations that led to the odd shape of the districts. Finally, the plurality concludes that race was impermissibly used as a proxy for political affiliation during the course of redistricting. In my opinion, an appropriate reading of the record demonstrates that none of these factors—either singly or in combination—suggests that racial considerations "subordinated" race-neutral districting principles. I discuss each in turn.</w:t>
      </w:r>
    </w:p>
    <w:p w:rsidR="00A31137" w:rsidRPr="00A31137" w:rsidRDefault="00A31137" w:rsidP="00A31137">
      <w:r w:rsidRPr="00A31137">
        <w:t>1996, Bush v. Vera, No. 94-805</w:t>
      </w:r>
    </w:p>
    <w:p w:rsidR="00A31137" w:rsidRPr="00A31137" w:rsidRDefault="00A31137" w:rsidP="00A31137">
      <w:r w:rsidRPr="00A31137">
        <w:t>Bizarre Shape</w:t>
      </w:r>
    </w:p>
    <w:p w:rsidR="00A31137" w:rsidRPr="00A31137" w:rsidRDefault="00A31137" w:rsidP="00A31137">
      <w:r w:rsidRPr="00A31137">
        <w:t>1996, Bush v. Vera, No. 94-805</w:t>
      </w:r>
    </w:p>
    <w:p w:rsidR="00A31137" w:rsidRPr="00A31137" w:rsidRDefault="00A31137" w:rsidP="00A31137">
      <w:r w:rsidRPr="00A31137">
        <w:t>As noted, supra at 1, and n. 6, Texas' Legislature concluded that it would add a new district to Dallas County that would incorporate the rapidly growing minority communities in South Dallas. To do so, the new district would have to fit into the existing districts: Before redistricting, most of southern Dallas County (including the African American communities in South Dallas) was divided between Districts 5 and 24, represented by Democratic Representatives Bryant and Frost, respectively. The middle of the northern section of the county was divided between Districts 3 and 26, both represented by Republicans.</w:t>
      </w:r>
    </w:p>
    <w:p w:rsidR="00A31137" w:rsidRPr="00A31137" w:rsidRDefault="00A31137" w:rsidP="00A31137">
      <w:r w:rsidRPr="00A31137">
        <w:t>1996, Bush v. Vera, No. 94-805</w:t>
      </w:r>
    </w:p>
    <w:p w:rsidR="00A31137" w:rsidRPr="00A31137" w:rsidRDefault="00A31137" w:rsidP="00A31137">
      <w:r w:rsidRPr="00A31137">
        <w:t>Then-State Senator Johnson began the redistricting process by proposing a compact, Democratic, majority minority district encompassing all of South Dallas. See App. 139; 861 F.Supp. at 1321, n. 22. Representatives Bryant and Frost objected, however, because the proposed district included not only Johnson's residence, but their own homes, located within only 10 miles of each other on opposite sides of the city. Furthermore, Johnson's plan transferred many of Frost and Bryant's most reliable Democratic supporters into the proposed district. Rather than acquiesce to the creation of this compact majority minority district, Frost and Bryant insisted that the new district avoid both their own homes and many of the communities that had been loyal to them. Johnson's plan was, therefore, "quickly abandoned." Ibid.</w:t>
      </w:r>
    </w:p>
    <w:p w:rsidR="00A31137" w:rsidRPr="00A31137" w:rsidRDefault="00A31137" w:rsidP="00A31137">
      <w:r w:rsidRPr="00A31137">
        <w:t>1996, Bush v. Vera, No. 94-805</w:t>
      </w:r>
    </w:p>
    <w:p w:rsidR="00A31137" w:rsidRPr="00A31137" w:rsidRDefault="00A31137" w:rsidP="00A31137">
      <w:r w:rsidRPr="00A31137">
        <w:t>To accommodate the incumbents' desires, District 30 required geographical adjustments that had telling effects on its shape. First, two notches carefully avoiding the residences of and neighborhoods surrounding Frost and Bryant were carved out of District 30's side. See Appendix D, infra. 11 [Omitted—see printed edition.] Furthermore, Frost and Bryant retained several communities—many majority black—along the southern and eastern sides of the proposed district. See generally 861 F.Supp. at 1321-1322. 12</w:t>
      </w:r>
    </w:p>
    <w:p w:rsidR="00A31137" w:rsidRPr="00A31137" w:rsidRDefault="00A31137" w:rsidP="00A31137">
      <w:r w:rsidRPr="00A31137">
        <w:t>1996, Bush v. Vera, No. 94-805</w:t>
      </w:r>
    </w:p>
    <w:p w:rsidR="00A31137" w:rsidRPr="00A31137" w:rsidRDefault="00A31137" w:rsidP="00A31137">
      <w:r w:rsidRPr="00A31137">
        <w:t>Had these communities been retained by District 30, it would have been much more compact. By giving up these voters to Frost and Bryant, however, District 30 was forced to seek out population and Democratic voters elsewhere. The Democratic incumbents had blocked its way to the south and east; north (and, to a lesser extent, west) was the only way it could go. 13</w:t>
      </w:r>
    </w:p>
    <w:p w:rsidR="00A31137" w:rsidRPr="00A31137" w:rsidRDefault="00A31137" w:rsidP="00A31137">
      <w:r w:rsidRPr="00A31137">
        <w:t>1996, Bush v. Vera, No. 94-805</w:t>
      </w:r>
    </w:p>
    <w:p w:rsidR="00A31137" w:rsidRPr="00A31137" w:rsidRDefault="00A31137" w:rsidP="00A31137">
      <w:r w:rsidRPr="00A31137">
        <w:t>It would not have helped the prospects of a Democratic candidate in the new District 30 had it simply plowed directly north to pick up additional population. Immediately north of the city of Dallas are the "Park Cities," which include a population that has voted strongly Republican throughout recent elections. See State's Exhs. 9A and 9B (depicting one index of political affiliation in 1990 and 1992 elections). Rather than dilute the Democratic vote (and threaten the Republican incumbents) in this manner, District 30 skirted these communities on the west, and then curved east, picking up communities on either side of the region's major interstate freeways. 14</w:t>
      </w:r>
    </w:p>
    <w:p w:rsidR="00A31137" w:rsidRPr="00A31137" w:rsidRDefault="00A31137" w:rsidP="00A31137">
      <w:r w:rsidRPr="00A31137">
        <w:t>1996, Bush v. Vera, No. 94-805</w:t>
      </w:r>
    </w:p>
    <w:p w:rsidR="00A31137" w:rsidRPr="00A31137" w:rsidRDefault="00A31137" w:rsidP="00A31137">
      <w:r w:rsidRPr="00A31137">
        <w:t>As the process of extracting Democratic voters out of the core of the Republican districts in North Dallas progressed, the distinction between Democratic and Republican voters moved from the precinct level (the smallest level at which political affiliation data was immediately available in the redistricting programs) down to the smaller census block level (the smallest level at which demographic and socioeconomic data was available). 15 In an effort to further identify which census blocks were likely to support their candidacy, the incumbents used not only census data, but their own long experience as local representatives as well as the experiences of staffers and supporters. See 3 Tr. 177-179, 181-182 (describing methods, such as simply driving through neighborhoods, that staff members and candidates for office used to develop block-specific information regarding the likely political affiliation of voters). 16</w:t>
      </w:r>
    </w:p>
    <w:p w:rsidR="00A31137" w:rsidRPr="00A31137" w:rsidRDefault="00A31137" w:rsidP="00A31137">
      <w:r w:rsidRPr="00A31137">
        <w:t>1996, Bush v. Vera, No. 94-805</w:t>
      </w:r>
    </w:p>
    <w:p w:rsidR="00A31137" w:rsidRPr="00A31137" w:rsidRDefault="00A31137" w:rsidP="00A31137">
      <w:r w:rsidRPr="00A31137">
        <w:t>In addition, although information about political affiliation was not available at the block level through the computer program, legislators and staffers were able to get relatively precise information about voter preferences through a system, developed by the Democratic Party, which allowed candidates to determine in which party primary voters had participated. Id. at 179-180. By examining this information, legislators were able to further fine-tune district lines to include likely supporters and exclude those who would probably support their opponents. Cf. Gaffney v. Cummings, 412 U.S. 735, 753 (1973) ("[W]hen [political profiles are] overlaid on a census map, it requires no special genius to recognize the political consequences of drawing a district line along one street rather than another"). 17</w:t>
      </w:r>
    </w:p>
    <w:p w:rsidR="00A31137" w:rsidRPr="00A31137" w:rsidRDefault="00A31137" w:rsidP="00A31137">
      <w:r w:rsidRPr="00A31137">
        <w:t>1996, Bush v. Vera, No. 94-805</w:t>
      </w:r>
    </w:p>
    <w:p w:rsidR="00A31137" w:rsidRPr="00A31137" w:rsidRDefault="00A31137" w:rsidP="00A31137">
      <w:r w:rsidRPr="00A31137">
        <w:t>The careful gerrymandering conducted by the Texas Legislature under the watchful eye of Johnson and her staff was a success not only on a districtwide level (Johnson was elected with over 70% of the vote in both 1992 and 1994), but on a precinct level. While the pre-1990 precincts in the heavily Republican North Dallas gave little reason for a Democratic incumbent to hope for much support, see State's Exh. 9B (maps of Dallas and Collin Counties with 1990 election index results showing only a few Democrat-leaning precincts in North Dallas), the gerrymandering that occurred in 1991 resulted in smaller precincts that, by all indications, gathered concentrations of Democratic voters into District 30 while leaving concentrations of Republican voters in surrounding Districts 3 and 26. See State's Exh. 9A (maps of Dallas and Collin Counties with 1992 election index results showing many more Democrat-leaning precincts in the North Dallas sections of District 30).</w:t>
      </w:r>
    </w:p>
    <w:p w:rsidR="00A31137" w:rsidRPr="00A31137" w:rsidRDefault="00A31137" w:rsidP="00A31137">
      <w:r w:rsidRPr="00A31137">
        <w:t>1996, Bush v. Vera, No. 94-805</w:t>
      </w:r>
    </w:p>
    <w:p w:rsidR="00A31137" w:rsidRPr="00A31137" w:rsidRDefault="00A31137" w:rsidP="00A31137">
      <w:r w:rsidRPr="00A31137">
        <w:t>Presumably relying on Shaw I's statement that</w:t>
      </w:r>
    </w:p>
    <w:p w:rsidR="00A31137" w:rsidRPr="00A31137" w:rsidRDefault="00A31137" w:rsidP="00A31137">
      <w:r w:rsidRPr="00A31137">
        <w:t>1996, Bush v. Vera, No. 94-805</w:t>
      </w:r>
    </w:p>
    <w:p w:rsidR="00A31137" w:rsidRPr="00A31137" w:rsidRDefault="00A31137" w:rsidP="00A31137">
      <w:r w:rsidRPr="00A31137">
        <w:t>a reapportionment plan may be so highly irregular that, on its face, it rationally cannot be understood as anything other than an effort to "segregat[e] voters" on the basis of race,</w:t>
      </w:r>
    </w:p>
    <w:p w:rsidR="00A31137" w:rsidRPr="00A31137" w:rsidRDefault="00A31137" w:rsidP="00A31137">
      <w:r w:rsidRPr="00A31137">
        <w:t>1996, Bush v. Vera, No. 94-805</w:t>
      </w:r>
    </w:p>
    <w:p w:rsidR="00A31137" w:rsidRPr="00A31137" w:rsidRDefault="00A31137" w:rsidP="00A31137">
      <w:r w:rsidRPr="00A31137">
        <w:t>509 U.S. at 646-647, the plurality offers mathematical proof that District 30 is one of the most bizarre districts in the Nation, see ante at ___, and relates the now-obligatory florid description of the district's shape, ante at ___; see also ante at ___ (describing District 29). As the maps appended to this opinion demonstrate, neither District 30 nor the Houston districts have a monopoly on either of these characteristics. Three other majority white districts are ranked along with the majority minority districts as among the oddest in the Nation. See Pildes &amp; Niemi, Expressive Harms, "Bizarre Districts," and Voting Rights: Evaluating Election-District Appearances After Shaw v. Reno, 92 Mich.L.Rev. 483, 565 (1993). Perhaps the clearest example of partisan gerrymandering outside of the context of majority minority districts is District 6, a majority Anglo district represented by a Republican. 18</w:t>
      </w:r>
    </w:p>
    <w:p w:rsidR="00A31137" w:rsidRPr="00A31137" w:rsidRDefault="00A31137" w:rsidP="00A31137">
      <w:r w:rsidRPr="00A31137">
        <w:t>1996, Bush v. Vera, No. 94-805</w:t>
      </w:r>
    </w:p>
    <w:p w:rsidR="00A31137" w:rsidRPr="00A31137" w:rsidRDefault="00A31137" w:rsidP="00A31137">
      <w:r w:rsidRPr="00A31137">
        <w:t>For every geographic atrocity committed by District 30, District 6 commits its own and more. District 30 split precincts to gerrymander Democratic voters out of Republican precincts; District 6 did the same. See State's Exh. 9B (Tarrant County, showing District 6 cuts). District 30 travels down a river bed; District 6 follows the boundaries of a lake. District 30 combines various unrelated communities of interest within Dallas and its suburbs; District 6 combines rural, urban, and suburban communities. District 30 sends tentacles nearly 20 miles out from its core; District 6 is a tentacle, hundreds of miles long (as the candidate walks), and it has no core.</w:t>
      </w:r>
    </w:p>
    <w:p w:rsidR="00A31137" w:rsidRPr="00A31137" w:rsidRDefault="00A31137" w:rsidP="00A31137">
      <w:r w:rsidRPr="00A31137">
        <w:t>1996, Bush v. Vera, No. 94-805</w:t>
      </w:r>
    </w:p>
    <w:p w:rsidR="00A31137" w:rsidRPr="00A31137" w:rsidRDefault="00A31137" w:rsidP="00A31137">
      <w:r w:rsidRPr="00A31137">
        <w:t>The existence of the equally bizarre majority white District 6 makes the plurality's discussion of District 30's odd shape largely irrelevant. If anything, the similarities between Districts 6 and 30 suggest that it is more likely than not that the incumbency considerations that led to the mutation of District 6 were the same considerations that forced District 30 to twist and turn its way through North Dallas. 19</w:t>
      </w:r>
    </w:p>
    <w:p w:rsidR="00A31137" w:rsidRPr="00A31137" w:rsidRDefault="00A31137" w:rsidP="00A31137">
      <w:r w:rsidRPr="00A31137">
        <w:t>1996, Bush v. Vera, No. 94-805</w:t>
      </w:r>
    </w:p>
    <w:p w:rsidR="00A31137" w:rsidRPr="00A31137" w:rsidRDefault="00A31137" w:rsidP="00A31137">
      <w:r w:rsidRPr="00A31137">
        <w:t>The political, rather than the racial, nature of District 30's gerrymander is even more starkly highlighted by comparing it with the districts struck down in Shaw II and Miller. District 30's black population is, for instance, far more concentrated than the minority population in North Carolina's District 12. And in Miller, the Court made it clear that the odd shape of Georgia's Eleventh District was the result of a conscious effort to increase its proportion of minority populations: It was, the Court found,</w:t>
      </w:r>
    </w:p>
    <w:p w:rsidR="00A31137" w:rsidRPr="00A31137" w:rsidRDefault="00A31137" w:rsidP="00A31137">
      <w:r w:rsidRPr="00A31137">
        <w:t>1996, Bush v. Vera, No. 94-805</w:t>
      </w:r>
    </w:p>
    <w:p w:rsidR="00A31137" w:rsidRPr="00A31137" w:rsidRDefault="00A31137" w:rsidP="00A31137">
      <w:r w:rsidRPr="00A31137">
        <w:t>"exceedingly obvious" from the shape of the Eleventh District, together with the racial demographics, that the drawing of narrow land bridges to incorporate within the District outlying appendages containing nearly 80% of the district's total black population was a deliberate attempt to bring black populations into the district.</w:t>
      </w:r>
    </w:p>
    <w:p w:rsidR="00A31137" w:rsidRPr="00A31137" w:rsidRDefault="00A31137" w:rsidP="00A31137">
      <w:r w:rsidRPr="00A31137">
        <w:t>1996, Bush v. Vera, No. 94-805</w:t>
      </w:r>
    </w:p>
    <w:p w:rsidR="00A31137" w:rsidRPr="00A31137" w:rsidRDefault="00A31137" w:rsidP="00A31137">
      <w:r w:rsidRPr="00A31137">
        <w:t>Miller, 515 U.S. at ___ (emphasis added, citation omitted).</w:t>
      </w:r>
    </w:p>
    <w:p w:rsidR="00A31137" w:rsidRPr="00A31137" w:rsidRDefault="00A31137" w:rsidP="00A31137">
      <w:r w:rsidRPr="00A31137">
        <w:t>1996, Bush v. Vera, No. 94-805</w:t>
      </w:r>
    </w:p>
    <w:p w:rsidR="00A31137" w:rsidRPr="00A31137" w:rsidRDefault="00A31137" w:rsidP="00A31137">
      <w:r w:rsidRPr="00A31137">
        <w:t>District 30 is the precise demographic converse of the district struck down in Miller. District 30, for example, has a compact core in South Dallas which contains 50% of the district population and nearly 70% of the district's total black population. Compare ibid. Unlike the appendages to Georgia's District 11, the tentacles stretching north and west from District 30 add progressively less in the way of population, and, more important for purposes of this inquiry, they actually reduce the proportional share of minorities in the district. See State's Exh. 33.</w:t>
      </w:r>
    </w:p>
    <w:p w:rsidR="00A31137" w:rsidRPr="00A31137" w:rsidRDefault="00A31137" w:rsidP="00A31137">
      <w:r w:rsidRPr="00A31137">
        <w:t>1996, Bush v. Vera, No. 94-805</w:t>
      </w:r>
    </w:p>
    <w:p w:rsidR="00A31137" w:rsidRPr="00A31137" w:rsidRDefault="00A31137" w:rsidP="00A31137">
      <w:r w:rsidRPr="00A31137">
        <w:t>For example: The worst offender, in the trained eye of the Court, may be the northern arm of the district that winds around the Park Cities and then up into Collin County. But that arm, which contains 22 percent of the population, is only 21 percent black, ibid.—a proportion essentially identical to the proportion of African Americans in Dallas County as a whole. 20</w:t>
      </w:r>
    </w:p>
    <w:p w:rsidR="00A31137" w:rsidRPr="00A31137" w:rsidRDefault="00A31137" w:rsidP="00A31137">
      <w:r w:rsidRPr="00A31137">
        <w:t>1996, Bush v. Vera, No. 94-805</w:t>
      </w:r>
    </w:p>
    <w:p w:rsidR="00A31137" w:rsidRPr="00A31137" w:rsidRDefault="00A31137" w:rsidP="00A31137">
      <w:r w:rsidRPr="00A31137">
        <w:t>The plurality is certainly correct in pointing out that District 30's outlying reaches encompass some communities with high concentrations of minorities. 21 It is implausible to suggest, however, that an effort to "segregate" voters drove District 30 to collect those populations. After all, even the District Court noted that African American voters immediately adjacent to the core of District 30 were intentionally excluded from the district "in order to protect incumbents." 861 F.Supp. at 1339 (emphasis added). Forced into Republican territory to collect Democratic votes, the district intentionally picked up some minority communities (though far more majority white communities). If it had not, the goal of creating a majority black district would have been sacrificed to incumbency protection (the very sort of "predominance" of race over race-neutral factors that the Court discredits). But unlike Georgia's District 11 and North Carolina's District 12, the reason that the district was there in the first place was not to collect minority communities, but to collect population-preferably Democrats. It would, therefore, be fanciful to assert that the "several appendages" to District 30 were "drawn for the obvious," let alone the predominant, "purpose of putting black populations into the district." Miller, 515 U.S. at ___. 22</w:t>
      </w:r>
    </w:p>
    <w:p w:rsidR="00A31137" w:rsidRPr="00A31137" w:rsidRDefault="00A31137" w:rsidP="00A31137">
      <w:r w:rsidRPr="00A31137">
        <w:t>1996, Bush v. Vera, No. 94-805</w:t>
      </w:r>
    </w:p>
    <w:p w:rsidR="00A31137" w:rsidRPr="00A31137" w:rsidRDefault="00A31137" w:rsidP="00A31137">
      <w:r w:rsidRPr="00A31137">
        <w:t>In sum, a fair analysis of the shape of District 30, like the equally bizarre shape of District 6, belies the notion that its shape was determined by racial considerations.</w:t>
      </w:r>
    </w:p>
    <w:p w:rsidR="00A31137" w:rsidRPr="00A31137" w:rsidRDefault="00A31137" w:rsidP="00A31137">
      <w:r w:rsidRPr="00A31137">
        <w:t>1996, Bush v. Vera, No. 94-805</w:t>
      </w:r>
    </w:p>
    <w:p w:rsidR="00A31137" w:rsidRPr="00A31137" w:rsidRDefault="00A31137" w:rsidP="00A31137">
      <w:r w:rsidRPr="00A31137">
        <w:t>Intent</w:t>
      </w:r>
    </w:p>
    <w:p w:rsidR="00A31137" w:rsidRPr="00A31137" w:rsidRDefault="00A31137" w:rsidP="00A31137">
      <w:r w:rsidRPr="00A31137">
        <w:t>1996, Bush v. Vera, No. 94-805</w:t>
      </w:r>
    </w:p>
    <w:p w:rsidR="00A31137" w:rsidRPr="00A31137" w:rsidRDefault="00A31137" w:rsidP="00A31137">
      <w:r w:rsidRPr="00A31137">
        <w:t>Perhaps conscious that noncompact congressional districts are the rule rather than the exception in Texas, the plurality suggests, ante at ___, that the real key is the direct evidence, particularly in the form of Texas' § 5 Voting Rights Act submissions and the person of then-State Senator Johnson, that the State expressed an intent to create these districts with a given "minimum percentage of the favored minority." 861 F.Supp. at 1309. Even if it were appropriate to rest this test of dominance on an examination of the subjective motivation of individual legislators, 23 or on testimony given in a legal proceeding designed to prove a conflicting conclusion, 24 this information does little more than confirm that the State believed it necessary to comply with the Voting Rights Act. Given its reasonable understanding of its legal responsibilities, see supra at ___, the legislature acted to ensure that its goal of creating a majority black district in Dallas County was not undermined by the changes made to accommodate District 30 to other, race-neutral districting principles. As the plurality admits, see ante at ___, the intent to create majority minority districts does not in itself trigger strict scrutiny; these admissions prove nothing more than that. See also Shaw II, ante, at ___ (STEVENS, J., dissenting).</w:t>
      </w:r>
    </w:p>
    <w:p w:rsidR="00A31137" w:rsidRPr="00A31137" w:rsidRDefault="00A31137" w:rsidP="00A31137">
      <w:r w:rsidRPr="00A31137">
        <w:t>1996, Bush v. Vera, No. 94-805</w:t>
      </w:r>
    </w:p>
    <w:p w:rsidR="00A31137" w:rsidRPr="00A31137" w:rsidRDefault="00A31137" w:rsidP="00A31137">
      <w:r w:rsidRPr="00A31137">
        <w:t>Nonracial Factors: Community</w:t>
      </w:r>
    </w:p>
    <w:p w:rsidR="00A31137" w:rsidRPr="00A31137" w:rsidRDefault="00A31137" w:rsidP="00A31137">
      <w:r w:rsidRPr="00A31137">
        <w:t>1996, Bush v. Vera, No. 94-805</w:t>
      </w:r>
    </w:p>
    <w:p w:rsidR="00A31137" w:rsidRPr="00A31137" w:rsidRDefault="00A31137" w:rsidP="00A31137">
      <w:r w:rsidRPr="00A31137">
        <w:t>In an effort to provide a definitive explanation for the odd shape of the district, the State emphasized two factors: the presence of communities of interest tying together the populations of the district, and the role of incumbency protection. The District Court and the plurality improperly dismissed these considerations as ultimately irrelevant to the shape of the districts.</w:t>
      </w:r>
    </w:p>
    <w:p w:rsidR="00A31137" w:rsidRPr="00A31137" w:rsidRDefault="00A31137" w:rsidP="00A31137">
      <w:r w:rsidRPr="00A31137">
        <w:t>1996, Bush v. Vera, No. 94-805</w:t>
      </w:r>
    </w:p>
    <w:p w:rsidR="00A31137" w:rsidRPr="00A31137" w:rsidRDefault="00A31137" w:rsidP="00A31137">
      <w:r w:rsidRPr="00A31137">
        <w:t>First, the appellants presented testimony that the districts were drawn to align with certain communities of interest, such as land use, family demographics, and transportation corridors. See 861 F.Supp. at 1322-1323. Although the District Court recognized that these community characteristics amounted to accurate descriptions of District 30, id. at 1323, it dismissed them as irrelevant to the districting process, concluding that there was no evidence that "the Legislature had these particular 'communities of interest' in mind when drawing the boundaries of District 30." Ibid. The plurality concludes that petitioners present no reason to displace that conclusion. Ante at ___.</w:t>
      </w:r>
    </w:p>
    <w:p w:rsidR="00A31137" w:rsidRPr="00A31137" w:rsidRDefault="00A31137" w:rsidP="00A31137">
      <w:r w:rsidRPr="00A31137">
        <w:t>1996, Bush v. Vera, No. 94-805</w:t>
      </w:r>
    </w:p>
    <w:p w:rsidR="00A31137" w:rsidRPr="00A31137" w:rsidRDefault="00A31137" w:rsidP="00A31137">
      <w:r w:rsidRPr="00A31137">
        <w:t>I do not understand why we should require such evidence ever to exist. It is entirely reasonable for the legislature to rely on the experience of its members when drawing particular boundaries rather than on clearly identifiable "evidence" presented by demographers and political scientists. Most of these representatives have been members of their communities for years. Unless the Court intends to interfere in state political processes even more than it has already expressed an intent to do, I presume that it does not intend to require States to create a comprehensive administrative record in support of their redistricting process. State legislators should be able to rely on their own experience, not only prepared reports. To the extent that the presence of obvious communities of interest among members of a district explicitly or implicitly guided the shape of District 30, it amounts to an entirely legitimate nonracial consideration. 25</w:t>
      </w:r>
    </w:p>
    <w:p w:rsidR="00A31137" w:rsidRPr="00A31137" w:rsidRDefault="00A31137" w:rsidP="00A31137">
      <w:r w:rsidRPr="00A31137">
        <w:t>1996, Bush v. Vera, No. 94-805</w:t>
      </w:r>
    </w:p>
    <w:p w:rsidR="00A31137" w:rsidRPr="00A31137" w:rsidRDefault="00A31137" w:rsidP="00A31137">
      <w:r w:rsidRPr="00A31137">
        <w:t>Nonracial Factors: Incumbency</w:t>
      </w:r>
    </w:p>
    <w:p w:rsidR="00A31137" w:rsidRPr="00A31137" w:rsidRDefault="00A31137" w:rsidP="00A31137">
      <w:r w:rsidRPr="00A31137">
        <w:t>1996, Bush v. Vera, No. 94-805</w:t>
      </w:r>
    </w:p>
    <w:p w:rsidR="00A31137" w:rsidRPr="00A31137" w:rsidRDefault="00A31137" w:rsidP="00A31137">
      <w:r w:rsidRPr="00A31137">
        <w:t>The plurality admits that the appellants "present a…substantial case for their claim that incumbency protection rivalled race in determining the district's shape." Ante at ___. Every individual who participated in the redistricting process knew that incumbency protection was a critical factor in producing the bizarre lines and, as the plurality points out, ante at ___, even the District Court recognized that this nearly exclusive focus on the creation of "safe" districts for incumbents was intimately related to the bizarre shape of district lines throughout the State.</w:t>
      </w:r>
    </w:p>
    <w:p w:rsidR="00A31137" w:rsidRPr="00A31137" w:rsidRDefault="00A31137" w:rsidP="00A31137">
      <w:r w:rsidRPr="00A31137">
        <w:t>1996, Bush v. Vera, No. 94-805</w:t>
      </w:r>
    </w:p>
    <w:p w:rsidR="00A31137" w:rsidRPr="00A31137" w:rsidRDefault="00A31137" w:rsidP="00A31137">
      <w:r w:rsidRPr="00A31137">
        <w:t>[I]n Texas in 1991, many incumbent protection boundaries sabotaged traditional redistricting principles as they routinely divided counties, cities, neighborhoods, and regions. For the sake of maintaining or winning seats in the House of Representatives, Congressmen or would-be Congressmen shed hostile groups and potential opponents by fencing them out of their districts. The Legislature obligingly carved out districts of apparent supporters of incumbents,…and then added appendages to connect their residences to those districts. The final result seems not one in which the people select their representatives, but in which the representatives have selected the people.</w:t>
      </w:r>
    </w:p>
    <w:p w:rsidR="00A31137" w:rsidRPr="00A31137" w:rsidRDefault="00A31137" w:rsidP="00A31137">
      <w:r w:rsidRPr="00A31137">
        <w:t>1996, Bush v. Vera, No. 94-805</w:t>
      </w:r>
    </w:p>
    <w:p w:rsidR="00A31137" w:rsidRPr="00A31137" w:rsidRDefault="00A31137" w:rsidP="00A31137">
      <w:r w:rsidRPr="00A31137">
        <w:t>861 F.Supp. at 1334 (citations and footnotes omitted). See also id. at 1335, n. 43. Despite this overwhelming evidence that incumbency protection was the critical motivating factor in the creation of the bizarre Texas districts, the District Court reached the stunning conclusion that because the process was so "different in degree" from the "generalized, and legitimate, goal of incumbent and seniority protection" that this Court has previously recognized, it could not serve as a legitimate explanation for the bizarre boundaries of the congressional districts. Id. at 1334-1335. In dismissing incumbency protection once and for all, the District Court stated that "[i]ncumbent protection is a valid state interest only to the extent that it is not a pretext for unconstitutional racial gerrymandering." Id. at 1336.</w:t>
      </w:r>
    </w:p>
    <w:p w:rsidR="00A31137" w:rsidRPr="00A31137" w:rsidRDefault="00A31137" w:rsidP="00A31137">
      <w:r w:rsidRPr="00A31137">
        <w:t>1996, Bush v. Vera, No. 94-805</w:t>
      </w:r>
    </w:p>
    <w:p w:rsidR="00A31137" w:rsidRPr="00A31137" w:rsidRDefault="00A31137" w:rsidP="00A31137">
      <w:r w:rsidRPr="00A31137">
        <w:t>It is difficult to know where to begin to attack the misperceptions reflected in these conclusions, 26 and the plurality's failure to do so seriously taints its evaluation of the relative importance of nonracial considerations in the creation of District 30. The initial problem, of course, is that under the Court's threshold test as set forth in Miller, one must consider the role of incumbency protection before determining whether there is an "unconstitutional racial gerrymander." And because the ultimate focus in these gerrymandering cases is the claim that race was the "dominant and controlling rationale in drawing [the] district lines," 515 U.S. at ___, a court must, in applying that test, consider a State's claim that a given race-neutral rationale controlled the creation of those lines. See id. at ___ ("Where [compactness, contiguity,] or other race-neutral considerations are the basis for redistricting legislation, and are not subordinated to race, a State can 'defeat a claim that a district has been gerrymandered on racial lines'"). Although a court may not like the State's explanation, that is no excuse for ignoring it.</w:t>
      </w:r>
    </w:p>
    <w:p w:rsidR="00A31137" w:rsidRPr="00A31137" w:rsidRDefault="00A31137" w:rsidP="00A31137">
      <w:r w:rsidRPr="00A31137">
        <w:t>1996, Bush v. Vera, No. 94-805</w:t>
      </w:r>
    </w:p>
    <w:p w:rsidR="00A31137" w:rsidRPr="00A31137" w:rsidRDefault="00A31137" w:rsidP="00A31137">
      <w:r w:rsidRPr="00A31137">
        <w:t>If some independent bar prevented the use of that race-neutral criterion, then the District Court might be in a position to object to the State's use of it. We have, however, affirmed that a State has an interest in incumbency protection, see, e.g., ante at ___ (opinion of O'CONNOR, J.); White v. Weiser, 412 U.S. 783, 791, 797 (1973), and also assured States that the Constitution does not require compactness, contiguity, or respect for political borders, see Shaw I, 509 U.S. at  647. While egregious political gerrymandering may not be particularly praiseworthy, see infra at ___, it may nonetheless provide the race-neutral explanation necessary for a State to avoid strict scrutiny of the district lines where gerrymandering is the "dominant and controlling" explanation for the odd district shapes. 27</w:t>
      </w:r>
    </w:p>
    <w:p w:rsidR="00A31137" w:rsidRPr="00A31137" w:rsidRDefault="00A31137" w:rsidP="00A31137">
      <w:r w:rsidRPr="00A31137">
        <w:t>1996, Bush v. Vera, No. 94-805</w:t>
      </w:r>
    </w:p>
    <w:p w:rsidR="00A31137" w:rsidRPr="00A31137" w:rsidRDefault="00A31137" w:rsidP="00A31137">
      <w:r w:rsidRPr="00A31137">
        <w:t>The District Court's error had an apparently dispositive effect on its assessment of whether strict scrutiny should apply at all. Although aspects of our dispute with the plurality are "largely factual," ante at 17, n. *, they arise not out of our disagreement with the District Court's credibility assessments, but out of that court's erroneous conclusion that the state's overwhelming reliance on this race-neutral factor was illegitimate and irrelevant to its evaluation of the factors involved in the shifting of this District's lines. A fair evaluation of the record made in light of appropriate legal standards requires a conclusion very different from the District Court's. By following the District Court down its misdirected path, the Court itself goes astray.</w:t>
      </w:r>
    </w:p>
    <w:p w:rsidR="00A31137" w:rsidRPr="00A31137" w:rsidRDefault="00A31137" w:rsidP="00A31137">
      <w:r w:rsidRPr="00A31137">
        <w:t>1996, Bush v. Vera, No. 94-805</w:t>
      </w:r>
    </w:p>
    <w:p w:rsidR="00A31137" w:rsidRPr="00A31137" w:rsidRDefault="00A31137" w:rsidP="00A31137">
      <w:r w:rsidRPr="00A31137">
        <w:t>Race as a Proxy</w:t>
      </w:r>
    </w:p>
    <w:p w:rsidR="00A31137" w:rsidRPr="00A31137" w:rsidRDefault="00A31137" w:rsidP="00A31137">
      <w:r w:rsidRPr="00A31137">
        <w:t>1996, Bush v. Vera, No. 94-805</w:t>
      </w:r>
    </w:p>
    <w:p w:rsidR="00A31137" w:rsidRPr="00A31137" w:rsidRDefault="00A31137" w:rsidP="00A31137">
      <w:r w:rsidRPr="00A31137">
        <w:t>Faced with all this evidence that politics, not race, was the predominant factor shaping the district lines, the plurality ultimately makes little effort to contradict appellants' assertions that incumbency protection was far more important in the placement of District 30's lines than race. See ante at ___. Instead, it adopts a fall-back position based on an argument far removed from even the "analytically distinct" claim set forth in Shaw I, 509 U.S. at  652. In it, the Court suggests that even if the predominant reason for the bizarre features of the majority minority districts was incumbency protection, the State impermissibly used race as a proxy for determining the likely political affiliation of blocks of voters. See ante at ___ (opinion of O'CONNOR, J.).</w:t>
      </w:r>
    </w:p>
    <w:p w:rsidR="00A31137" w:rsidRPr="00A31137" w:rsidRDefault="00A31137" w:rsidP="00A31137">
      <w:r w:rsidRPr="00A31137">
        <w:t>1996, Bush v. Vera, No. 94-805</w:t>
      </w:r>
    </w:p>
    <w:p w:rsidR="00A31137" w:rsidRPr="00A31137" w:rsidRDefault="00A31137" w:rsidP="00A31137">
      <w:r w:rsidRPr="00A31137">
        <w:t>The effect of this process, in all likelihood, was relatively unimportant to the overall shape of the district. A comparison of the 1992 precinct results with a depiction of the proportion of black population in each census block reveals that Democratic-leaning precincts cover a far greater area than majority black census blocks. Compare State's Exh. 9A with State's Exh. 45. One would expect the opposite effect if the single-minded goal of those drawing the districts was racial composition rather than political affiliation. At the very least, the maps suggest that the drawing of boundaries involves a demographic calculus far more complex than simple racial stereotyping.</w:t>
      </w:r>
    </w:p>
    <w:p w:rsidR="00A31137" w:rsidRPr="00A31137" w:rsidRDefault="00A31137" w:rsidP="00A31137">
      <w:r w:rsidRPr="00A31137">
        <w:t>1996, Bush v. Vera, No. 94-805</w:t>
      </w:r>
    </w:p>
    <w:p w:rsidR="00A31137" w:rsidRPr="00A31137" w:rsidRDefault="00A31137" w:rsidP="00A31137">
      <w:r w:rsidRPr="00A31137">
        <w:t>Furthermore, to the extent that race served as a proxy at all, it did so merely as a means of "fine tuning" borders that were already in particular locations for primarily political reasons. This "fine tuning" through the use of race is, of course, little different from the kind of fine tuning that could have legitimately occurred around the edges of a compact majority minority district. 28 I perceive no reason why a legitimate process—choosing minority voters for inclusion in a majority minority district—should become suspect once nonracial considerations force district lines away from its core.</w:t>
      </w:r>
    </w:p>
    <w:p w:rsidR="00A31137" w:rsidRPr="00A31137" w:rsidRDefault="00A31137" w:rsidP="00A31137">
      <w:r w:rsidRPr="00A31137">
        <w:t>1996, Bush v. Vera, No. 94-805</w:t>
      </w:r>
    </w:p>
    <w:p w:rsidR="00A31137" w:rsidRPr="00A31137" w:rsidRDefault="00A31137" w:rsidP="00A31137">
      <w:r w:rsidRPr="00A31137">
        <w:t>Finally, I note that in most contexts racial classifications are invidious because they are irrational. For example, it is irrational to assume that a person is not qualified to vote or to serve as a juror simply because she has brown hair or brown skin. It is neither irrational, nor invidious, however, to assume that a black resident of a particular community is a Democrat if reliable statistical evidence discloses that 97% of the blacks in that community vote in Democratic primary elections. See Brief for United States 44. For that reason, the fact that the architects of the Texas plan sometimes appear to have used racial data as a proxy for making political judgments seems to me to be no more "unjustified," ante at ___ (opinion of O'CONNOR, J.), and to have no more constitutional significance, than an assumption that wealthy suburbanites, whether black or white, are more likely to be Republicans than communists. 29 Requiring the State to ignore the association between race and party affiliation would be no more logical, and potentially as harmful, as it would be to prohibit the Public Health Service from targeting African American communities in an effort to increase awareness regarding sickle-cell anemia. 30</w:t>
      </w:r>
    </w:p>
    <w:p w:rsidR="00A31137" w:rsidRPr="00A31137" w:rsidRDefault="00A31137" w:rsidP="00A31137">
      <w:r w:rsidRPr="00A31137">
        <w:t>1996, Bush v. Vera, No. 94-805</w:t>
      </w:r>
    </w:p>
    <w:p w:rsidR="00A31137" w:rsidRPr="00A31137" w:rsidRDefault="00A31137" w:rsidP="00A31137">
      <w:r w:rsidRPr="00A31137">
        <w:t>Despite all the efforts by the plurality and the District Court, then, the evidence demonstrates that race was not, in all likelihood, the "predominant" goal leading to the creation of District 30. The most reasonable interpretation of the record evidence instead demonstrates that political considerations were. In accord with the presumption against interference with a legislature's consideration of complex and competing factors, see n. 9, supra, I would conclude that the configuration of District 30 does not require strict scrutiny.</w:t>
      </w:r>
    </w:p>
    <w:p w:rsidR="00A31137" w:rsidRPr="00A31137" w:rsidRDefault="00A31137" w:rsidP="00A31137">
      <w:r w:rsidRPr="00A31137">
        <w:t>V</w:t>
      </w:r>
    </w:p>
    <w:p w:rsidR="00A31137" w:rsidRPr="00A31137" w:rsidRDefault="00A31137" w:rsidP="00A31137">
      <w:r w:rsidRPr="00A31137">
        <w:t>1996, Bush v. Vera, No. 94-805</w:t>
      </w:r>
    </w:p>
    <w:p w:rsidR="00A31137" w:rsidRPr="00A31137" w:rsidRDefault="00A31137" w:rsidP="00A31137">
      <w:r w:rsidRPr="00A31137">
        <w:t>The Houston districts present a closer question on the application of strict scrutiny. There is evidence that many of the same race-neutral factors motivating the zigzags of District 30 were present at the creation (or recreation) of Districts 29 and 18. In contrast to District 30, however, there is also evidence that the interlocking shapes of the Houston districts were specifically, and almost exclusively, the result of an effort to create, out of largely integrated communities, both a majority black and a majority Hispanic district. For purposes of this opinion, then, I am willing to accept arguendo the Court's conclusion that the Houston districts should be examined with strict scrutiny. 31 Even so, the Court errs by concluding that these districts would fail that test.</w:t>
      </w:r>
    </w:p>
    <w:p w:rsidR="00A31137" w:rsidRPr="00A31137" w:rsidRDefault="00A31137" w:rsidP="00A31137">
      <w:r w:rsidRPr="00A31137">
        <w:t>1996, Bush v. Vera, No. 94-805</w:t>
      </w:r>
    </w:p>
    <w:p w:rsidR="00A31137" w:rsidRPr="00A31137" w:rsidRDefault="00A31137" w:rsidP="00A31137">
      <w:r w:rsidRPr="00A31137">
        <w:t>The plurality begins with the perfectly obvious assumptions that a State has a compelling interest in complying with § 2 of the Voting Rights Act and that Texas had a strong basis for believing that it would have violated that Act in 1991 if it did not create three new majority minority districts. 32 The plurality goes on to conclude, however, that because the final shape of these districts is not coextensive with the community that would form the core of a § 2 violation, these districts would not be "narrowly tailored" to further that state interest. Ante at ___. I respectfully disagree.</w:t>
      </w:r>
    </w:p>
    <w:p w:rsidR="00A31137" w:rsidRPr="00A31137" w:rsidRDefault="00A31137" w:rsidP="00A31137">
      <w:r w:rsidRPr="00A31137">
        <w:t>1996, Bush v. Vera, No. 94-805</w:t>
      </w:r>
    </w:p>
    <w:p w:rsidR="00A31137" w:rsidRPr="00A31137" w:rsidRDefault="00A31137" w:rsidP="00A31137">
      <w:r w:rsidRPr="00A31137">
        <w:t>Neither evidence nor insinuation suggests that the State in the redistricting process considered race for any reason other than as a means of accomplishing its compelling interest of creating majority minority districts in accord with the Voting Rights Act. The goal was, by all accounts, achieved, for these districts would certainly avoid liability under § 2 of the Voting Rights Act. 33 For reasons that continue to escape me, however, the Court simply insists that the lack of compactness in the districts prevent them from being "narrowly tailored" solutions to the State's interests.</w:t>
      </w:r>
    </w:p>
    <w:p w:rsidR="00A31137" w:rsidRPr="00A31137" w:rsidRDefault="00A31137" w:rsidP="00A31137">
      <w:r w:rsidRPr="00A31137">
        <w:t>1996, Bush v. Vera, No. 94-805</w:t>
      </w:r>
    </w:p>
    <w:p w:rsidR="00A31137" w:rsidRPr="00A31137" w:rsidRDefault="00A31137" w:rsidP="00A31137">
      <w:r w:rsidRPr="00A31137">
        <w:t>The Court uses two premises to reach its conclusion that compactness is required to meet the "narrow tailoring" requirement: (i) § 2 would not have been violated unless a reasonably compact majority minority district could have been created; and, (ii) nothing in § 2 requires the creation of a noncompact district. I have no quarrel with either proposition, but each falls far short of mandating the conclusion that the Court draws from it. While a State can be liable for a § 2 violation only if it could have drawn a compact district and failed to do so, it does not follow that creating such a district is the only way to avoid a § 2 violation. See generally Shaw II, ante at ___ (STEVENS, J., dissenting). The plurality admits that a State retains "a limited degree of leeway" in drawing a district to alleviate fears of § 2 liability, ante at 23, but if there is no independent constitutional duty to create compact districts in the first place, and the Court suggests none, there is no reason why noncompact districts should not be a permissible method of avoiding violations of law. The fact that they might be unacceptable judicial remedies does not speak to the question whether they may be acceptable when adopted by a state legislature. Because these districts satisfy the State's compelling interest and do so in a manner that uses racial considerations only in a way reasonably designed to ensure such a satisfaction, I conclude that the Districts are narrowly tailored.</w:t>
      </w:r>
    </w:p>
    <w:p w:rsidR="00A31137" w:rsidRPr="00A31137" w:rsidRDefault="00A31137" w:rsidP="00A31137">
      <w:r w:rsidRPr="00A31137">
        <w:t>VI</w:t>
      </w:r>
    </w:p>
    <w:p w:rsidR="00A31137" w:rsidRPr="00A31137" w:rsidRDefault="00A31137" w:rsidP="00A31137">
      <w:r w:rsidRPr="00A31137">
        <w:t>1996, Bush v. Vera, No. 94-805</w:t>
      </w:r>
    </w:p>
    <w:p w:rsidR="00A31137" w:rsidRPr="00A31137" w:rsidRDefault="00A31137" w:rsidP="00A31137">
      <w:r w:rsidRPr="00A31137">
        <w:t>I cannot profess to know how the Court's developing jurisprudence of racial gerrymandering will alter the political and racial landscape in this Nation-although it certainly will alter that landscape. As the Court's law in this area has developed, it has become ever more apparent to me that the Court's approach to these cases creates certain perverse incentives and (I presume) unanticipated effects that serve to highlight the essentially unknown territory into which it strides. Because I believe that the social and political risks created by the Court's decisions are not required by the Constitution, my first choice would be to avoid the preceding analysis altogether, and leave these considerations to the political branches of our Government.</w:t>
      </w:r>
    </w:p>
    <w:p w:rsidR="00A31137" w:rsidRPr="00A31137" w:rsidRDefault="00A31137" w:rsidP="00A31137">
      <w:r w:rsidRPr="00A31137">
        <w:t>1996, Bush v. Vera, No. 94-805</w:t>
      </w:r>
    </w:p>
    <w:p w:rsidR="00A31137" w:rsidRPr="00A31137" w:rsidRDefault="00A31137" w:rsidP="00A31137">
      <w:r w:rsidRPr="00A31137">
        <w:t>The first unintended outcome of the legal reasoning in Shaw II and Bush is the very result that those decisions seek to avoid: The predominance of race in the districting process, over all other principles of importance. Given the Court's unwillingness to recognize the role that race-neutral districting principles played in the creation of the bizarrely shaped districts in both this case and Shaw II, it now seems clear that the only way that a State can both create a majority minority district and avoid a racial gerrymander is by drawing, "without much conscious thought," ante at ___ (opinion of O'CONNOR, J.), and within the "limited degree of leeway" granted by the Court, id. at ___, the precise compact district that a court would impose in a successful § 2 challenge. See post at ___ (SOUTER, J., dissenting). After the Court's decisions today, therefore, minority voters can make up a majority only in compact districts, whether intentionally or accidentally drawn, while white voters can be placed into districts as bizarre as the State desires.</w:t>
      </w:r>
    </w:p>
    <w:p w:rsidR="00A31137" w:rsidRPr="00A31137" w:rsidRDefault="00A31137" w:rsidP="00A31137">
      <w:r w:rsidRPr="00A31137">
        <w:t>1996, Bush v. Vera, No. 94-805</w:t>
      </w:r>
    </w:p>
    <w:p w:rsidR="00A31137" w:rsidRPr="00A31137" w:rsidRDefault="00A31137" w:rsidP="00A31137">
      <w:r w:rsidRPr="00A31137">
        <w:t>The great irony, of course, is that by requiring the State to place the majority minority district in a particular place and with a particular shape, the district may stand out as a stark, placid island in a sea of oddly shaped majority white neighbors. See Karlan, Still Hazy After All These Years: Voting Rights in the Post-Shaw Era, 26 Cumberland L.Rev. 287, 309 (1995-1996). The inviolable sanctity of the § 2-eligible districts will signal in a manner more blatant than the most egregious of these racial gerrymanders that "a minority community sits here: Interfere with it not." The Court-imposed barriers limiting the shape of the district will interfere more directly with the ability of minority voters to participate in the political process than did the oddly shaped districts that the Court has struck down in recent cases. Unaffected by the new racial jurisprudence, majority white communities will be able to participate in the districting process by requesting that they be placed into certain districts, divided between districts in an effort to maximize representation, or grouped with more distant communities that might nonetheless match their interests better than communities next door. By contrast, none of this political maneuvering will be permissible for majority minority districts, thereby segregating and balkanizing them far more effectively than the Districts at issue here, in which they were manipulated in the political process as easily as white voters. This result, it seems to me, involves "discrimination" in a far more concrete manner than did the odd shapes that so offended the Court's sensibilities in Miller, Shaw II, and Bush.</w:t>
      </w:r>
    </w:p>
    <w:p w:rsidR="00A31137" w:rsidRPr="00A31137" w:rsidRDefault="00A31137" w:rsidP="00A31137">
      <w:r w:rsidRPr="00A31137">
        <w:t>1996, Bush v. Vera, No. 94-805</w:t>
      </w:r>
    </w:p>
    <w:p w:rsidR="00A31137" w:rsidRPr="00A31137" w:rsidRDefault="00A31137" w:rsidP="00A31137">
      <w:r w:rsidRPr="00A31137">
        <w:t>In light of this Court's recent work extolling the importance of state sovereignty in our federal scheme, cf. Seminole Tribe of Fla. v. Florida, 517 U.S. ___ (1996), I would have expected the Court's sensibilities to steer a course rather more deferential to the States than the one that it charts with its decisions today. As we have previously noted, "[e]lectoral districting is a most difficult subject for legislatures, and so the States must have discretion to exercise the political judgment necessary to balance competing interests." Miller, 515 U.S. at ___; see also post at ___ (SOUTER, J., dissenting). The record in this case evidences the "complex interplay of forces that enter a legislature's redistricting calculus," ibid. and the Court's failure to respect those forces demonstrates even less respect for the legislative process than I would have expected after the decision in Miller.</w:t>
      </w:r>
    </w:p>
    <w:p w:rsidR="00A31137" w:rsidRPr="00A31137" w:rsidRDefault="00A31137" w:rsidP="00A31137">
      <w:r w:rsidRPr="00A31137">
        <w:t>1996, Bush v. Vera, No. 94-805</w:t>
      </w:r>
    </w:p>
    <w:p w:rsidR="00A31137" w:rsidRPr="00A31137" w:rsidRDefault="00A31137" w:rsidP="00A31137">
      <w:r w:rsidRPr="00A31137">
        <w:t>The results are not inconsequential. After Miller and today's decisions, States may find it extremely difficult to avoid litigation flowing from decennial redistricting. On one hand, States will risk violating the Voting Rights Act if they fail to create majority minority districts. If they create those districts, however, they may open themselves to liability under Shaw and its progeny. See Miller, 515 U.S. at ___ (GINSBURG, J., dissenting). Perhaps States will simply avoid the problem by abandoning voluntary compliance with § 2 of the Voting Rights Act altogether. See Shaw I, 509 U.S. at ___ (White, J., dissenting); post at ___ (SOUTER, J., dissenting). 34 This result would not necessarily bring peace to redistricting, for there is no guarantee that districts created by court order to comply with § 2 will be immune from attack under Shaw; in both Florida and Illinois, for instance, that very sort of schizophrenic second-guessing has already occurred. See King v. State Bd. of Elections, No. 95-C-827, 1996 WL 130439 (ND Ill., Mar. 15, 1996); Johnson v. Mortham, No. 94-40025, 1996 WL 189235 (ND Fla., Apr. 17, 1996). Given the difficulty of reconciling these competing legal responsibilities, the political realities of redistricting, and the cost of ongoing litigation, some States may simply step out of the redistricting business altogether, citing either frustration or hopes of getting a federal court to resolve the issues definitively in a single proceeding. See, e.g., Johnson v. Miller, No. CV 94-008, 1995 WL 783038, *1 (SD Ga., Dec. 13, 1995) (after remand from Miller, Georgia legislature abdicated its redistricting responsibilities to federal district court); post at ___ (SOUTER, J., dissenting) (noting the likely "vacuum of responsibility at the state level").</w:t>
      </w:r>
    </w:p>
    <w:p w:rsidR="00A31137" w:rsidRPr="00A31137" w:rsidRDefault="00A31137" w:rsidP="00A31137">
      <w:r w:rsidRPr="00A31137">
        <w:t>1996, Bush v. Vera, No. 94-805</w:t>
      </w:r>
    </w:p>
    <w:p w:rsidR="00A31137" w:rsidRPr="00A31137" w:rsidRDefault="00A31137" w:rsidP="00A31137">
      <w:r w:rsidRPr="00A31137">
        <w:t>Regardless of the route taken by the States, the Court has guaranteed that federal courts will have a hand—and perhaps the only hand—in the "abrasive task of drawing district lines." Wells v. Rockefeller, 394 U.S. 542, 553 (1969) (White, J., dissenting). Given the uniquely political nature of the redistricting process, I fear the impact this new role will have on the public's perception of the impartiality of the federal judiciary. I can only reiterate the Court's cautionary admonition, issued over two decades ago, that,</w:t>
      </w:r>
    </w:p>
    <w:p w:rsidR="00A31137" w:rsidRPr="00A31137" w:rsidRDefault="00A31137" w:rsidP="00A31137">
      <w:r w:rsidRPr="00A31137">
        <w:t>1996, Bush v. Vera, No. 94-805</w:t>
      </w:r>
    </w:p>
    <w:p w:rsidR="00A31137" w:rsidRPr="00A31137" w:rsidRDefault="00A31137" w:rsidP="00A31137">
      <w:r w:rsidRPr="00A31137">
        <w:t>[i]n fashioning a reapportionment plan or in choosing among plans, a district court should not preempt the legislative task nor "intrude upon state policy any more than necessary."</w:t>
      </w:r>
    </w:p>
    <w:p w:rsidR="00A31137" w:rsidRPr="00A31137" w:rsidRDefault="00A31137" w:rsidP="00A31137">
      <w:r w:rsidRPr="00A31137">
        <w:t>1996, Bush v. Vera, No. 94-805</w:t>
      </w:r>
    </w:p>
    <w:p w:rsidR="00A31137" w:rsidRPr="00A31137" w:rsidRDefault="00A31137" w:rsidP="00A31137">
      <w:r w:rsidRPr="00A31137">
        <w:t>White v. Weiser, 412 U.S. at 795 (citing Whitcomb v. Chavis, 403 U.S. 124, 160 (1971)).</w:t>
      </w:r>
    </w:p>
    <w:p w:rsidR="00A31137" w:rsidRPr="00A31137" w:rsidRDefault="00A31137" w:rsidP="00A31137">
      <w:r w:rsidRPr="00A31137">
        <w:t>1996, Bush v. Vera, No. 94-805</w:t>
      </w:r>
    </w:p>
    <w:p w:rsidR="00A31137" w:rsidRPr="00A31137" w:rsidRDefault="00A31137" w:rsidP="00A31137">
      <w:r w:rsidRPr="00A31137">
        <w:t>I do not wish to leave the impression that decisions of the Court from Shaw I to the present are focusing on entirely nonexistent problems. I merely believe that the Court has entirely misapprehended the nature of the harm that flows from this sort of gerrymandering. Rather than attach blameworthiness to a decision by the majority to share political power with the victims of past discriminatory practices, the Court's real concern should be with the more significant harms that flow from legislative decisions that "serve no purpose other than to favor one segment—whether racial, ethnic, religious, economic, or political—that may occupy a position of strength at a particular point in time, or to disadvantage a politically weak segment of the community." Karcher v. Daggett, 462 U.S. 725, 748 (1983) (STEVENS, J., concurring). This case is as good an illustration of such self-serving behavior on the part of legislators as any-but not with respect to racial gerrymandering. The real problem is the politically motivated gerrymandering that occurred in Texas. Many of the oddest twists and turns of the Texas districts would never have been created if the Legislature had not been so intent on protecting party and incumbents. See also Shaw II, ante, at ___ (STEVENS, J., dissenting) (noting the same influences behind the bizarre shape of North Carolina's District 12).</w:t>
      </w:r>
    </w:p>
    <w:p w:rsidR="00A31137" w:rsidRPr="00A31137" w:rsidRDefault="00A31137" w:rsidP="00A31137">
      <w:r w:rsidRPr="00A31137">
        <w:t>1996, Bush v. Vera, No. 94-805</w:t>
      </w:r>
    </w:p>
    <w:p w:rsidR="00A31137" w:rsidRPr="00A31137" w:rsidRDefault="00A31137" w:rsidP="00A31137">
      <w:r w:rsidRPr="00A31137">
        <w:t>By minimizing the critical role that political motives played in the creation of these districts, I fear that the Court may inadvertently encourage this more objectionable use of power in the redistricting process. 35 Legislatures and elected representatives have a responsibility to behave in a way that incorporates the "elements of legitimacy and neutrality that must always characterize the performance of the sovereign's duty to govern impartially." Cleburne, 473 U.S. at  452. That responsibility is not discharged when legislatures permit and even encourage incumbents to use their positions as public servants to protect themselves and their parties rather than the interests of their constituents. See Karcher v. Daggett, 462 U.S. at 748, 754 (STEVENS, J., concurring). If any lines in Texas are worth straightening, it is those that were twisted to exclude, not those altered to include. 36</w:t>
      </w:r>
    </w:p>
    <w:p w:rsidR="00A31137" w:rsidRPr="00A31137" w:rsidRDefault="00A31137" w:rsidP="00A31137">
      <w:r w:rsidRPr="00A31137">
        <w:t>VII</w:t>
      </w:r>
    </w:p>
    <w:p w:rsidR="00A31137" w:rsidRPr="00A31137" w:rsidRDefault="00A31137" w:rsidP="00A31137">
      <w:r w:rsidRPr="00A31137">
        <w:t>1996, Bush v. Vera, No. 94-805</w:t>
      </w:r>
    </w:p>
    <w:p w:rsidR="00A31137" w:rsidRPr="00A31137" w:rsidRDefault="00A31137" w:rsidP="00A31137">
      <w:r w:rsidRPr="00A31137">
        <w:t>The history of race relations in Texas and throughout the South demonstrates overt evidence of discriminatory voting practices lasting through the 1970's. Brischetto, Richards, Davidson, &amp; Grofman, Texas, in Quiet Revolution in the South: The Impact of the Voting Rights Act, 1965-1990, pp. 233-248 (C. Davidson &amp; B. Grofman eds. 1994). Even in recent years, Texans have elected only two black candidates to statewide office; majority white Texas districts have never elected a minority to either the State Senate or the United States Congress. Brief for Petitioners in No. 94-806, p. 53. One recent study suggests that majority white districts throughout the South remain suspiciously unlikely to elect black representatives. Davidson &amp; Grofman, The Effect of Municipal Election Structure on Black Representation in Eight Southern States, in Quiet Revolution in the South at 344. And nationwide, fewer than 15 of the hundreds of legislators that have passed through Congress since 1950 have been black legislators elected from majority white districts. 37 In 1994, for example, 36 of the Nation's 39 black Representatives were elected from majority-minority districts, while only three were elected from majority white districts. 38 See post at ___, (SOUTER, J., dissenting).</w:t>
      </w:r>
    </w:p>
    <w:p w:rsidR="00A31137" w:rsidRPr="00A31137" w:rsidRDefault="00A31137" w:rsidP="00A31137">
      <w:r w:rsidRPr="00A31137">
        <w:t>1996, Bush v. Vera, No. 94-805</w:t>
      </w:r>
    </w:p>
    <w:p w:rsidR="00A31137" w:rsidRPr="00A31137" w:rsidRDefault="00A31137" w:rsidP="00A31137">
      <w:r w:rsidRPr="00A31137">
        <w:t>Perhaps the state of race relations in Texas and, for that matter, the Nation, is more optimistic than might be expected in light of these facts. If so, it may be that the plurality's exercise in redistricting will be successful. Perhaps minority candidates, forced to run in majority white districts, will be able to overcome the long history of stereotyping and discrimination that has heretofore led the vast majority of majority white districts to reject minority candidacies. Perhaps not. I am certain only that bodies of elected federal and state officials are in a far better position than anyone on this Court to assess whether the Nation's long history of discrimination has been overcome, and that nothing in the Constitution requires this unnecessary intrusion into the ability of States to negotiate solutions to political differences while providing long-excluded groups the opportunity to participate effectively in the democratic process. I respectfully dissent. '94-805, 94-806 &amp; 94-988</w:t>
      </w:r>
    </w:p>
    <w:p w:rsidR="00A31137" w:rsidRPr="00A31137" w:rsidRDefault="00A31137" w:rsidP="00A31137">
      <w:r w:rsidRPr="00A31137">
        <w:t>SOUTER, J., dissenting</w:t>
      </w:r>
    </w:p>
    <w:p w:rsidR="00A31137" w:rsidRPr="00A31137" w:rsidRDefault="00A31137" w:rsidP="00A31137">
      <w:r w:rsidRPr="00A31137">
        <w:t>1996, Bush v. Vera, No. 94-805</w:t>
      </w:r>
    </w:p>
    <w:p w:rsidR="00A31137" w:rsidRPr="00A31137" w:rsidRDefault="00A31137" w:rsidP="00A31137">
      <w:r w:rsidRPr="00A31137">
        <w:t>JUSTICE SOUTER, with whom JUSTICE GINSBURG and JUSTICE BREYER join, dissenting.</w:t>
      </w:r>
    </w:p>
    <w:p w:rsidR="00A31137" w:rsidRPr="00A31137" w:rsidRDefault="00A31137" w:rsidP="00A31137">
      <w:r w:rsidRPr="00A31137">
        <w:t>1996, Bush v. Vera, No. 94-805</w:t>
      </w:r>
    </w:p>
    <w:p w:rsidR="00A31137" w:rsidRPr="00A31137" w:rsidRDefault="00A31137" w:rsidP="00A31137">
      <w:r w:rsidRPr="00A31137">
        <w:t>When the Court devises a new cause of action to enforce a constitutional provision, it ought to identify an injury distinguishable from the consequences of concededly constitutional conduct, and it should describe the elements necessary and sufficient to make out such a claim. Nothing less can give notice to those whose conduct may give rise to liability or provide standards for courts charged with enforcing the Constitution. Those principles of justification, fair notice, and guidance, have never been satisfied in the instance of the action announced three Terms ago in Shaw v. Reno, 509 U.S. 630 (1993) (Shaw I), when a majority of this Court decided that a State violates the Fourteenth Amendment's Equal Protection Clause by excessive consideration of race in drawing the boundaries of voting districts, even when the resulting plan does not dilute the voting strength of any voters and so would not otherwise give rise to liability under the Fourteenth or Fifteenth Amendments, or under the Voting Rights Act.</w:t>
      </w:r>
    </w:p>
    <w:p w:rsidR="00A31137" w:rsidRPr="00A31137" w:rsidRDefault="00A31137" w:rsidP="00A31137">
      <w:r w:rsidRPr="00A31137">
        <w:t>1996, Bush v. Vera, No. 94-805</w:t>
      </w:r>
    </w:p>
    <w:p w:rsidR="00A31137" w:rsidRPr="00A31137" w:rsidRDefault="00A31137" w:rsidP="00A31137">
      <w:r w:rsidRPr="00A31137">
        <w:t>Far from addressing any injury to members of a class subjected to differential treatment, the standard presupposition of an equal protection violation, Shaw I addressed a putative harm subject to complaint by any voter objecting to an untoward consideration of race in the political process. Although the Court has repeatedly disclaimed any intent to go as far as to outlaw all conscious consideration of race in districting, after three rounds of appellate litigation seeking to describe the elements and define the contours of the Shaw cause of action, a helpful statement of a Shaw claim still eludes this Court. This is so for reasons that go to the conceptual bone.</w:t>
      </w:r>
    </w:p>
    <w:p w:rsidR="00A31137" w:rsidRPr="00A31137" w:rsidRDefault="00A31137" w:rsidP="00A31137">
      <w:r w:rsidRPr="00A31137">
        <w:t>1996, Bush v. Vera, No. 94-805</w:t>
      </w:r>
    </w:p>
    <w:p w:rsidR="00A31137" w:rsidRPr="00A31137" w:rsidRDefault="00A31137" w:rsidP="00A31137">
      <w:r w:rsidRPr="00A31137">
        <w:t>The result of this failure to provide a practical standard for distinguishing between the lawful and unlawful use of race has not only been inevitable confusion in state houses and courthouses, but a consequent shift in responsibility for setting district boundaries from the state legislatures, which are invested with front-line authority by Article I of the Constitution, to the courts, and truly to this Court, which is left to superintend the drawing of every legislative district in the land.</w:t>
      </w:r>
    </w:p>
    <w:p w:rsidR="00A31137" w:rsidRPr="00A31137" w:rsidRDefault="00A31137" w:rsidP="00A31137">
      <w:r w:rsidRPr="00A31137">
        <w:t>1996, Bush v. Vera, No. 94-805</w:t>
      </w:r>
    </w:p>
    <w:p w:rsidR="00A31137" w:rsidRPr="00A31137" w:rsidRDefault="00A31137" w:rsidP="00A31137">
      <w:r w:rsidRPr="00A31137">
        <w:t>Today's opinions do little to solve Shaw's puzzles or return districting responsibility to the States. To say this is not to denigrate the importance of JUSTICE O'CONNOR's position in her separate opinion, ante at ___, that compliance with § 2 of the Voting Rights Act is a compelling state interest; her statement takes a very significant step toward alleviating apprehension that Shaw is at odds with the Voting Rights Act. It is still true, however, that the combined plurality, minority, and Court opinions do not ultimately leave the law dealing with a Shaw claim appreciably clearer or more manageable than Shaw I itself did. And to the extent that some clarity follows from the knowledge that race may be considered when reasonably necessary to conform to the Voting Rights Act, today's opinions raise the specter that this ostensible progress may come with a heavy constitutional price. The price of Shaw I, indeed, may turn out to be the practical elimination of a State's discretion to apply traditional districting principles, widely accepted in States without racial districting issues as well as in States confronting them.</w:t>
      </w:r>
    </w:p>
    <w:p w:rsidR="00A31137" w:rsidRPr="00A31137" w:rsidRDefault="00A31137" w:rsidP="00A31137">
      <w:r w:rsidRPr="00A31137">
        <w:t>1996, Bush v. Vera, No. 94-805</w:t>
      </w:r>
    </w:p>
    <w:p w:rsidR="00A31137" w:rsidRPr="00A31137" w:rsidRDefault="00A31137" w:rsidP="00A31137">
      <w:r w:rsidRPr="00A31137">
        <w:t>As the flaws of Shaw I persist, and as the burdens placed on the States and the courts by Shaw litigation loom larger with the approach of a new census and a new round of redistricting, the Court has to recognize that Shaw's problems result from a basic misconception about the relation between race and districting principles, a mistake that no amount of case-by-case tinkering can eliminate. There is, therefore, no reason for confidence that the Court will eventually bring much order out of the confusion created by Shaw I, and because it has not, in any case, done so yet, I respectfully dissent.</w:t>
      </w:r>
    </w:p>
    <w:p w:rsidR="00A31137" w:rsidRPr="00A31137" w:rsidRDefault="00A31137" w:rsidP="00A31137">
      <w:r w:rsidRPr="00A31137">
        <w:t>I</w:t>
      </w:r>
    </w:p>
    <w:p w:rsidR="00A31137" w:rsidRPr="00A31137" w:rsidRDefault="00A31137" w:rsidP="00A31137">
      <w:r w:rsidRPr="00A31137">
        <w:t>1996, Bush v. Vera, No. 94-805</w:t>
      </w:r>
    </w:p>
    <w:p w:rsidR="00A31137" w:rsidRPr="00A31137" w:rsidRDefault="00A31137" w:rsidP="00A31137">
      <w:r w:rsidRPr="00A31137">
        <w:t>As its text indicates and our cases have necessarily and repeatedly recognized, 1 Article I of the Constitution places responsibility for drawing voting districts on the States in the first instance. See Art. I, § 2, cl. 1 ("The House of Representatives shall be composed of Members chosen every second Year by the People of the several States, and the Electors in each State shall have the Qualifications requisite for Electors of the most numerous Branch of the State Legislature"); Art. I, § 4, cl. 1 ("The Times, Places and Manner of holding Elections for Senators and Representatives, shall be prescribed in each State by the Legislature thereof; but the Congress may at any time by Law make or alter such Regulations"). The Court has nonetheless recognized limits on state districting autonomy when it could discern a strong constitutional justification and a reasonably definite standard for doing so, as, for example, in announcing the numerical requirement of one person, one vote, see Reynolds v. Sims, 377 U.S. 533 (1964). 2 But the Court has never ignored the Constitution's commitment of districting responsibility to the political branches of the States and has accordingly assumed over the years that traditional districting principles widely accepted among States represented an informal baseline of acceptable districting practices. We have thus accorded substantial respect to such traditional principles (as those, for example, meant to preserve the integrity of neighborhood communities, to protect incumbents, to follow existing political boundaries, to recognize communities of interest, and to achieve compactness and contiguity); we have seen these objectives as entirely consistent with the Fourteenth and Fifteenth Amendments' demands. See, e.g., id. at  578 ("A State may legitimately desire to maintain the integrity of various political subdivisions, insofar as possible, and provide for compact districts of contiguous territory in designing a legislative apportionment scheme"); White v. Weiser, 412 U.S. 783, 797 (1973) ("[T]he District Court did not suggest or hold that the legislative policy of districting so as to preserve the constituencies of congressional incumbents was unconstitutional or even undesirable"); Voinovich v. Quilter, 507 U.S. 146, 156 (1993) ("Because the States…derive their reapportionment authority…from independent provisions of state and federal law, the federal courts are bound to respect the States' apportionment choices unless those choices contravene federal requirements") (internal quotation marks omitted; citation omitted).</w:t>
      </w:r>
    </w:p>
    <w:p w:rsidR="00A31137" w:rsidRPr="00A31137" w:rsidRDefault="00A31137" w:rsidP="00A31137">
      <w:r w:rsidRPr="00A31137">
        <w:t>1996, Bush v. Vera, No. 94-805</w:t>
      </w:r>
    </w:p>
    <w:p w:rsidR="00A31137" w:rsidRPr="00A31137" w:rsidRDefault="00A31137" w:rsidP="00A31137">
      <w:r w:rsidRPr="00A31137">
        <w:t>The fundamental tenet underlying most of these constitutionally unobjectionable principles (respect for communities of interest or neighborhoods, say) is that voting is more than an atomistic exercise. 3 Although it is the law of the Constitution that representatives represent people, not places or things or particular interests, Reynolds, supra at  562, the notion of representative democracy within the federalist framework presumes that States may group individual voters together in a way that will let them choose a representative not only acceptable to individuals but ready to represent widely shared interests within a district. Aleinikoff &amp; Issacharoff, Race and Redistricting: Drawing Constitutional Lines After Shaw v. Reno, 92 Mich.L.Rev. 588, 601 (1993) ("It is only as collective partisans of the same political preference—whether that preference is defined by party or race or any other measure—that voters can assert their right to meaningful participation in the political process"). Hence, in respecting the States' implementation of their own, traditional districting criteria, the Court has recognized the basically associational character of voting rights in a representative democracy.</w:t>
      </w:r>
    </w:p>
    <w:p w:rsidR="00A31137" w:rsidRPr="00A31137" w:rsidRDefault="00A31137" w:rsidP="00A31137">
      <w:r w:rsidRPr="00A31137">
        <w:t>A</w:t>
      </w:r>
    </w:p>
    <w:p w:rsidR="00A31137" w:rsidRPr="00A31137" w:rsidRDefault="00A31137" w:rsidP="00A31137">
      <w:r w:rsidRPr="00A31137">
        <w:t>1996, Bush v. Vera, No. 94-805</w:t>
      </w:r>
    </w:p>
    <w:p w:rsidR="00A31137" w:rsidRPr="00A31137" w:rsidRDefault="00A31137" w:rsidP="00A31137">
      <w:r w:rsidRPr="00A31137">
        <w:t>Accordingly, before Shaw I, the Court required evidence of substantial harm to an identifiable group of voters to justify any judicial displacement of these traditional districting principles. Such evidence existed in Reynolds v. Sims, 377 U.S. 533 (1964), when the disparate weighting of votes was held unconstitutional, and it was present again when the Court recognized the unconstitutional consequences of vote dilution, see Whitcomb v. Chavis, 403 U.S. 124 (1971); White v. Regester, 412 U.S. 755 (1973). In the one case, the harm was mathematically identifiable; in the other, the arithmetic provided powerful circumstantial evidence of the impossibility of political success for the chosen candidate of a racial and numerical minority in an area with pervasive racial bloc voting. In both cases, the complainants were from an easily identified group of voters; and even in cases of racial vote dilution claims, which were conceptually more difficult to state than the principle of one person, one vote, there were readily recognized examples of the harm in question. Indeed, even when one acknowledged that voters would be served by a representative not of their own race and that the Constitution guaranteed no right to pick a winner, see Whitcomb, supra at 153-155, it was impossible to see mere happenstance in the facts that the American voting-age population was 10.5% black, but the Congress that assembled in 1981 had only 17 black representatives out of 435 and no black senator. Statistical Abstract of the United States, 1982-83, p. 490 (103d ed. 1982) (Table 802); Black Americans: A Statistical Sourcebook 142 (L. Hornor ed. 1995) (Table 4.02); see also Parker, The Damaging Consequences of the Rehnquist Court's Commitment to Color Blindness Versus Racial Justice, 45 Am.U.L.Rev. 763, 770-771 (1996) (observing that "[p]rior to the latest round of redistricting after the 1990 Census…[b]lacks, who constitute 11.1% of the nation's voting age population, made up only 4.9% of the members of Congress"). The conclusion was inescapable that what we know of as intentional vote dilution accounted for this astonishing fact, 4 just as it is equally inescapable that remedies for vote dilution (and hedges against its reappearance) in the form of majority minority districts account for the fact that the 104th Congress showed an increase of 39 black members over the 1981 total. Minorities in Congress, 52 Cong.Q., Supplement to No. 44, p. 10 (Nov. 12, 1994); see also Parker, supra at 771 (noting "a fifty percent increase in the number of black members of Congress"). 5</w:t>
      </w:r>
    </w:p>
    <w:p w:rsidR="00A31137" w:rsidRPr="00A31137" w:rsidRDefault="00A31137" w:rsidP="00A31137">
      <w:r w:rsidRPr="00A31137">
        <w:t>1996, Bush v. Vera, No. 94-805</w:t>
      </w:r>
    </w:p>
    <w:p w:rsidR="00A31137" w:rsidRPr="00A31137" w:rsidRDefault="00A31137" w:rsidP="00A31137">
      <w:r w:rsidRPr="00A31137">
        <w:t>Before Shaw I, we not only thus limited judicial interference with state districting efforts to cases of readily demonstrable harm to an identifiable class of voters, but we also confined our concern with districting to cases in which we were capable of providing a manageable standard for courts to apply and for legislators to follow. Within two years of holding in Baker v. Carr, 369 U.S. 186 (1962), that malapportionment was a justiciable issue,</w:t>
      </w:r>
    </w:p>
    <w:p w:rsidR="00A31137" w:rsidRPr="00A31137" w:rsidRDefault="00A31137" w:rsidP="00A31137">
      <w:r w:rsidRPr="00A31137">
        <w:t>1996, Bush v. Vera, No. 94-805</w:t>
      </w:r>
    </w:p>
    <w:p w:rsidR="00A31137" w:rsidRPr="00A31137" w:rsidRDefault="00A31137" w:rsidP="00A31137">
      <w:r w:rsidRPr="00A31137">
        <w:t>the Court recognized that its general equal protection jurisprudence was insufficient for the task and announced an increasingly rigid, simple to apply, voting-specific mandate of equipopulousity.</w:t>
      </w:r>
    </w:p>
    <w:p w:rsidR="00A31137" w:rsidRPr="00A31137" w:rsidRDefault="00A31137" w:rsidP="00A31137">
      <w:r w:rsidRPr="00A31137">
        <w:t>1996, Bush v. Vera, No. 94-805</w:t>
      </w:r>
    </w:p>
    <w:p w:rsidR="00A31137" w:rsidRPr="00A31137" w:rsidRDefault="00A31137" w:rsidP="00A31137">
      <w:r w:rsidRPr="00A31137">
        <w:t>Karlan, Still Hazy After All These Years: Voting Rights in the Post-Shaw Era, 26 Cumberland L.Rev. 287, 299 (1996) (Karlan, Post-Shaw Era). Likewise, although it is quite true that the common definition of a racial vote-dilution injury ("less opportunity…to participate in the political process and to elect representatives…," 42 U.S.C. § 1973(b)), is no model of concrete description, the Court has identified categories of readily comprehensible evidence bearing on the likelihood of such an injury, including facts about size of minority population, quantifiable indications of political cohesiveness and bloc voting, historical patterns of success or failure of favored candidates, and so on. See, e.g., Thornburg v. Gingles, 478 U.S. 30 (1986); White v. Regester, 412 U.S. at 766-770. The particularity of this evidence goes far to separate victims of political "inequality" from those who just happened to support losing candidates.</w:t>
      </w:r>
    </w:p>
    <w:p w:rsidR="00A31137" w:rsidRPr="00A31137" w:rsidRDefault="00A31137" w:rsidP="00A31137">
      <w:r w:rsidRPr="00A31137">
        <w:t>B</w:t>
      </w:r>
    </w:p>
    <w:p w:rsidR="00A31137" w:rsidRPr="00A31137" w:rsidRDefault="00A31137" w:rsidP="00A31137">
      <w:r w:rsidRPr="00A31137">
        <w:t>1996, Bush v. Vera, No. 94-805</w:t>
      </w:r>
    </w:p>
    <w:p w:rsidR="00A31137" w:rsidRPr="00A31137" w:rsidRDefault="00A31137" w:rsidP="00A31137">
      <w:r w:rsidRPr="00A31137">
        <w:t>Shaw I, however, broke abruptly with these standards, including the very understanding of equal protection as a practical guarantee against harm to some class singled out for disparate treatment. Whereas malapportionment measurably reduces the influence of voters in more populous districts, and vote dilution predestines members of a racial minority to perpetual frustration as political losers, what Shaw I spoke of as harm is not confined to any identifiable class singled out for disadvantage. See Shaw II, ante, at ___ (STEVENS, J., dissenting) (noting the absence of a customary disadvantaged class and describing the Shaw I cause of action as a substantive due process, rather than an equal protection, claim). If, indeed, what Shaw I calls harm is identifiable at all in a practical sense, it would seem to play no favorites, but to fall on every citizen and every representative alike. The Court in Shaw I explained this conception of injury by saying that the forbidden use of race</w:t>
      </w:r>
    </w:p>
    <w:p w:rsidR="00A31137" w:rsidRPr="00A31137" w:rsidRDefault="00A31137" w:rsidP="00A31137">
      <w:r w:rsidRPr="00A31137">
        <w:t>1996, Bush v. Vera, No. 94-805</w:t>
      </w:r>
    </w:p>
    <w:p w:rsidR="00A31137" w:rsidRPr="00A31137" w:rsidRDefault="00A31137" w:rsidP="00A31137">
      <w:r w:rsidRPr="00A31137">
        <w:t>reinforces the perception that members of the same racial group…think alike, share the same political interests, and will prefer the same candidates at the polls,</w:t>
      </w:r>
    </w:p>
    <w:p w:rsidR="00A31137" w:rsidRPr="00A31137" w:rsidRDefault="00A31137" w:rsidP="00A31137">
      <w:r w:rsidRPr="00A31137">
        <w:t>1996, Bush v. Vera, No. 94-805</w:t>
      </w:r>
    </w:p>
    <w:p w:rsidR="00A31137" w:rsidRPr="00A31137" w:rsidRDefault="00A31137" w:rsidP="00A31137">
      <w:r w:rsidRPr="00A31137">
        <w:t>and that it leads elected officials "to believe that their primary obligation is to represent only the members of that group, rather than their constituency as a whole." Shaw I, 509 U.S. at 647-648. This injury is probably best understood as an "expressive harm," that is, one that "results from the idea or attitudes expressed through a governmental action, rather than from the more tangible or material consequences the action brings about." Pildes &amp; Niemi, Expressive Harms, "Bizarre Districts," and Voting Rights: Evaluating Election District Appearances after Shaw v. Reno, 92 Mich.L.Rev. 483, 506-507 (1993); see also id. at 493 ("The theory of voting rights [that Shaw I] endorses centers on the perceived legitimacy of structures of political representation, rather than on the distribution of actual political power between racial or political groups"). To the extent that racial considerations do express such notions, their shadows fall on majorities as well as minorities, whites as well as blacks, the politically dominant as well as the politically impotent. Thus, as an injury supposed to be barred by the Equal Protection Clause, this subject of the "analytically distinct" cause of action created by Shaw I, supra at  652, bears virtually no resemblance to the only types of claims for gerrymandering we had deemed actionable following Davis v. Bandemer, 478 U.S. 109 (1986), those involving districting decisions that removed an identifiable class of disfavored voters from effective political participation. See, e.g., Gomillion v. Lightfoot, 364 U.S. 339 (1960); Thornburg v. Gingles, 478 U.S. 30 (1986). 6</w:t>
      </w:r>
    </w:p>
    <w:p w:rsidR="00A31137" w:rsidRPr="00A31137" w:rsidRDefault="00A31137" w:rsidP="00A31137">
      <w:r w:rsidRPr="00A31137">
        <w:t>1996, Bush v. Vera, No. 94-805</w:t>
      </w:r>
    </w:p>
    <w:p w:rsidR="00A31137" w:rsidRPr="00A31137" w:rsidRDefault="00A31137" w:rsidP="00A31137">
      <w:r w:rsidRPr="00A31137">
        <w:t>Just as the logic of traditional equal protection analysis is at odds with Shaw's concept of injury, so the Court's rhetoric of racially motivated injury is inapposite to describe the consideration of race that it thinks unreasonable. Although the Court used the metaphor of "political apartheid" as if to refer to the segregation of a minority group to eliminate its association with a majority that opposed integration, Shaw I, supra at  647, talk of this sort of racial separation is not on point here. The de jure segregation that the term "political apartheid" brings to mind is unconstitutional because it emphatically implies the inferiority of one race. See Brown v. Board of Education, 347 U.S. 483,  494 (1954) ("[t]o separate [minority children] from others of similar age and qualifications solely because of their race generates a feeling of inferiority as to their status in the community"). Shaw I, in contrast, vindicated the complaint of a white voter who objected not to segregation but to the particular racial proportions of the district. See Karlan, Our Separatism? Voting Rights as an American Nationalities Policy, 1995 U.Chi.Legal Forum 83, 94 (hereinafter Karlan, Our Separatism) (noting the irony that the term "apartheid" is used to describe what are "among the most integrated districts in the country"). Whatever this district may have symbolized, it was not "apartheid." Nor did the proportion of its racial mixture reflect any purpose of racial subjugation, the district in question having been created in an effort to give a racial minority the same opportunity to achieve a measure of political power that voters in general, and white voters and members of ethnic minorities in particular, have enjoyed as a matter of course. In light of a majority minority district's purpose to allow previously submerged members of racial minorities into the active political process, this use of race cannot plausibly be said to affect any individual or group in any sense comparable to the injury inflicted by de jure segregation. It obviously conveys no message about the inferiority or outsider status of members of the white majority excluded from a district. And because the condition addressed by creating such a district is a function of numbers, the plan implies nothing about the capacity or value of the minority to which it gives the chance of electoral success.</w:t>
      </w:r>
    </w:p>
    <w:p w:rsidR="00A31137" w:rsidRPr="00A31137" w:rsidRDefault="00A31137" w:rsidP="00A31137">
      <w:r w:rsidRPr="00A31137">
        <w:t>1996, Bush v. Vera, No. 94-805</w:t>
      </w:r>
    </w:p>
    <w:p w:rsidR="00A31137" w:rsidRPr="00A31137" w:rsidRDefault="00A31137" w:rsidP="00A31137">
      <w:r w:rsidRPr="00A31137">
        <w:t>Added to the anomalies of Shaw I's idea of equal protection injury and the rhetoric of its descriptions, there is a further conceptual inadequacy in Shaw I. Whereas it defines injury as the reinforcement of the notion that members of a racial group will prefer the same candidates at the polls, the immediate object of the constitutional prohibition against the intentional dilution of minority voting strength is to protect the right of minority voters to make just such a preference effective. There would, for example, be no vote dilution by virtue of racial bloc voting unless voters of a racial minority would themselves tend to stick together in voting for a given candidate (perhaps, though not necessarily, of their own race, as well). Indeed, if there were no correlation between race and candidate preference, it would make no sense to say that minority voters had less opportunity than others to elect whom they would; they would be part of the mainstream and the winners would be their own choices. When voting is thus racially polarized, it is just because of this polarization that majority minority districts provide the only practical means of avoiding dilution or remedying the dilution injury that has occurred already. Shaw I has thus placed those who choose to avoid the long-recognized constitutional harm of vote dilution at risk by casting doubt on the legitimacy of its classic remedy; the creation of a majority minority district "reinforces" the notion that there is a correlation between race and voting, for that correlation is the very condition on which the success of the court-ordered remedy depends. So it is that the Court's definition of injury is so broad as to cover constitutionally necessary efforts to prevent or remedy a violation of the Fourteenth and Fifteenth Amendments and of § 2 of the Voting Rights Act.</w:t>
      </w:r>
    </w:p>
    <w:p w:rsidR="00A31137" w:rsidRPr="00A31137" w:rsidRDefault="00A31137" w:rsidP="00A31137">
      <w:r w:rsidRPr="00A31137">
        <w:t>1996, Bush v. Vera, No. 94-805</w:t>
      </w:r>
    </w:p>
    <w:p w:rsidR="00A31137" w:rsidRPr="00A31137" w:rsidRDefault="00A31137" w:rsidP="00A31137">
      <w:r w:rsidRPr="00A31137">
        <w:t>One way to temper the overreach of the Court's concept of injury (though it would not avoid the difficulty that there is no equal protection injury in the usual sense, discussed above, see supra at ___) would be simply to exclude by definition from Shaw I injury a use of race in districting that is reasonably necessary to remedy or avoid dilution; the Court's move at least in this direction, see infra at ___, is a sound one, as is its continuing recognition (despite its broad definition of harm) that not every intentional creation of a majority minority district requires strict scrutiny. See ante at ___; ante at ___ (O'CONNOR, J., concurring); cf. Miller, 515 U.S. at ___ (O'CONNOR, J., concurring). But the suggested qualification would fall short of eliminating the difficulty caused by the existing definition, for the uses of race to remedy past dilution or to hedge against future dilution are not the only legitimate uses of race that are covered, and threatened, by the overbreadth of the Shaw injury. This will become clear in examining the Court's efforts to solve its definitional problems by relying upon the degree to which race is used in defining the injury it discerns.</w:t>
      </w:r>
    </w:p>
    <w:p w:rsidR="00A31137" w:rsidRPr="00A31137" w:rsidRDefault="00A31137" w:rsidP="00A31137">
      <w:r w:rsidRPr="00A31137">
        <w:t>C</w:t>
      </w:r>
    </w:p>
    <w:p w:rsidR="00A31137" w:rsidRPr="00A31137" w:rsidRDefault="00A31137" w:rsidP="00A31137">
      <w:r w:rsidRPr="00A31137">
        <w:t>1996, Bush v. Vera, No. 94-805</w:t>
      </w:r>
    </w:p>
    <w:p w:rsidR="00A31137" w:rsidRPr="00A31137" w:rsidRDefault="00A31137" w:rsidP="00A31137">
      <w:r w:rsidRPr="00A31137">
        <w:t>The Court's failure to devise a concept of Shaw harm that distinguishes those who are injured from those who are not, or to differentiate violation from remedy, is matched by its inability to provide any manageable standard to distinguish forbidden districting conduct from the application of traditional state districting principles and the plans that they produce. This failure, while regrettable, need not have occurred, for when the Court spoke in Shaw I of a district shape so "bizarre" as to be an unequivocal indication that race had influenced the districting decision to an unreasonable degree, Shaw I could have been pointing to some workable criterion of shape translatable into objective standards. Leaving Shaw's theoretical inadequacies aside, it would have been possible to devise a cause of action that rested on the expressive character of a district's shape, and created a safe harbor in the notion of a compact district objectively quantified in terms of dispersion, perimeter, and population. See Pildes &amp; Niemi, 92 Mich.L.Rev. at 553-575. Had the Court followed this course, the districts whose grotesque shapes provoke the sharpest reaction would have been eliminated in racially mixed States, which would have known how to avoid Shaw violations and, thus, federal judicial intrusion. Shaw would have been left a doctrinal incongruity, but not an unmanageable one.</w:t>
      </w:r>
    </w:p>
    <w:p w:rsidR="00A31137" w:rsidRPr="00A31137" w:rsidRDefault="00A31137" w:rsidP="00A31137">
      <w:r w:rsidRPr="00A31137">
        <w:t>1996, Bush v. Vera, No. 94-805</w:t>
      </w:r>
    </w:p>
    <w:p w:rsidR="00A31137" w:rsidRPr="00A31137" w:rsidRDefault="00A31137" w:rsidP="00A31137">
      <w:r w:rsidRPr="00A31137">
        <w:t>The Court, however, rejected this opportunity last Term in Miller v. Johnson, supra, when it declined to contain Shaw by any standard sufficiently quantifiable to guide the decisions of state legislators or to inform and limit review of districting decisions by the courts. The Court rejected shape as a sufficient condition for finding a Shaw violation, or even a necessary one. 515 U.S. at ___. See also Issacharoff, The Constitutional Contours of Race and Politics, 1995 S.Ct.Rev. 45, 56 ("Miller is rather categorical in its refusal to limit the application of the equal protection clause to bizarre districts alone") (Issacharoff, Constitutional Contours). Instead, it recharacterized the cause of action in terms devised in other cases addressing essentially different problems, by proscribing the consideration of race when it is the "predominant factor motivating the legislatur[e]," 515 U.S. at ___, or when the use of race is "in substantial disregard of customary and traditional districting practices," id. at ___ (O'CONNOR, J., concurring).</w:t>
      </w:r>
    </w:p>
    <w:p w:rsidR="00A31137" w:rsidRPr="00A31137" w:rsidRDefault="00A31137" w:rsidP="00A31137">
      <w:r w:rsidRPr="00A31137">
        <w:t>1996, Bush v. Vera, No. 94-805</w:t>
      </w:r>
    </w:p>
    <w:p w:rsidR="00A31137" w:rsidRPr="00A31137" w:rsidRDefault="00A31137" w:rsidP="00A31137">
      <w:r w:rsidRPr="00A31137">
        <w:t>As a standard addressed to the untidy world of politics, neither "predominant factor" nor "substantial disregard" inspires much hope. 7 It is true of course that the law rests certain other liability decisions on the feasibility of untangling mixed motives, and courts and juries manage to do the untangling. See, e.g., Mt. Healthy City Bd. of Ed. v. Doyle, 429 U.S. 274,  287 (1977) (employee's burden to show that constitutionally protected conduct is a "substantial factor" in decision not to rehire him; employer's burden to show that it would have made same decision "even in the absence of the protected conduct"); Hunter v. Underwood, 471 U.S. 222,  228 (1985) ("Once racial discrimination is shown to have been a 'substantial' or 'motivating' factor behind the enactment of the law, the burden shifts to the law's defenders to demonstrate that the law would have been enacted without this factor"); but see Arlington Heights v. Metropolitan Housing Development Corp., 429 U.S. 252,  265 (1977) ("Rarely can it be said that a legislature or administrative body operating under a broad mandate made a decision motivated solely by a single concern, or even that a particular purpose was the 'dominant' or 'primary' one"). At first glance, then, it may not seem entirely out of the question for courts to sort out the strands in Shaw cases. But even this cool comfort would be misplaced.</w:t>
      </w:r>
    </w:p>
    <w:p w:rsidR="00A31137" w:rsidRPr="00A31137" w:rsidRDefault="00A31137" w:rsidP="00A31137">
      <w:r w:rsidRPr="00A31137">
        <w:t>1996, Bush v. Vera, No. 94-805</w:t>
      </w:r>
    </w:p>
    <w:p w:rsidR="00A31137" w:rsidRPr="00A31137" w:rsidRDefault="00A31137" w:rsidP="00A31137">
      <w:r w:rsidRPr="00A31137">
        <w:t>While a court may be entitled to some confidence that in most cases it will be able, for example, to distinguish the relative strength of an employer's dissatisfaction with an employee's job performance from his displeasure over a worker's union membership, see NLRB v. Transportation Management Corp., 462 U.S. 393, 403-405 (1983), such confidence would be unwarranted in the districting context. It is not merely that the very nature of districting decisions makes it difficult to identify whether any particular consideration, racial or otherwise, was the "predominant motive," though that is certainly true:</w:t>
      </w:r>
    </w:p>
    <w:p w:rsidR="00A31137" w:rsidRPr="00A31137" w:rsidRDefault="00A31137" w:rsidP="00A31137">
      <w:r w:rsidRPr="00A31137">
        <w:t>1996, Bush v. Vera, No. 94-805</w:t>
      </w:r>
    </w:p>
    <w:p w:rsidR="00A31137" w:rsidRPr="00A31137" w:rsidRDefault="00A31137" w:rsidP="00A31137">
      <w:r w:rsidRPr="00A31137">
        <w:t>Districting plans are integrated bundles of compromises, deals and principles. To ask about the reason behind the design of any one particular district is typically to implicate the entire pattern of purposes and trade-offs behind a districting plan as a whole. Searching for "the reason" or "the dominant reason" behind a particular district's shape is often like asking why one year's federal budget is at one level rather than another. Moreover, to require a coherent explanation for the specific shape of even one district is to impose a model of legalistic decisionmaking on the one political process that least resembles that model.</w:t>
      </w:r>
    </w:p>
    <w:p w:rsidR="00A31137" w:rsidRPr="00A31137" w:rsidRDefault="00A31137" w:rsidP="00A31137">
      <w:r w:rsidRPr="00A31137">
        <w:t>1996, Bush v. Vera, No. 94-805</w:t>
      </w:r>
    </w:p>
    <w:p w:rsidR="00A31137" w:rsidRPr="00A31137" w:rsidRDefault="00A31137" w:rsidP="00A31137">
      <w:r w:rsidRPr="00A31137">
        <w:t>Pildes &amp; Niemi, supra at 585-586 (footnote omitted).</w:t>
      </w:r>
    </w:p>
    <w:p w:rsidR="00A31137" w:rsidRPr="00A31137" w:rsidRDefault="00A31137" w:rsidP="00A31137">
      <w:r w:rsidRPr="00A31137">
        <w:t>1996, Bush v. Vera, No. 94-805</w:t>
      </w:r>
    </w:p>
    <w:p w:rsidR="00A31137" w:rsidRPr="00A31137" w:rsidRDefault="00A31137" w:rsidP="00A31137">
      <w:r w:rsidRPr="00A31137">
        <w:t>The reason that use of the predominant motive standard in reviewing a districting decision is bound to fail is more fundamental than that: in the political environment in which race can affect election results, many of these traditional districting principles cannot be applied without taking race into account and are thus, as a practical matter, inseparable from the supposedly illegitimate racial considerations. See Pildes &amp; Niemi, supra, at 578 ("[R]ace frequently correlates with other socioeconomic factors. In evaluating oddly shaped districts, this correlation will require courts to attempt to untangle legitimate communities of interest from the now-illegitimate one of race. If blacks as blacks cannot be grouped into a 'highly irregular' district, but urban residents or the poor can, how will courts distinguish these contexts, and under what mixed-motive standard?"); Issacharoff, Constitutional Contours 58 ("Given the palpability of racial concerns in the political arena, [Miller's causation standard could]…either doom all attempts to distribute political power in multi-ethnic communities or…fail to provide a basis for distinguishing proper from improper considerations in redistricting").</w:t>
      </w:r>
    </w:p>
    <w:p w:rsidR="00A31137" w:rsidRPr="00A31137" w:rsidRDefault="00A31137" w:rsidP="00A31137">
      <w:r w:rsidRPr="00A31137">
        <w:t>1996, Bush v. Vera, No. 94-805</w:t>
      </w:r>
    </w:p>
    <w:p w:rsidR="00A31137" w:rsidRPr="00A31137" w:rsidRDefault="00A31137" w:rsidP="00A31137">
      <w:r w:rsidRPr="00A31137">
        <w:t>If, for example, a legislature may draw district lines to preserve the integrity of a given community, leaving it intact so that all of its members are served by one representative, this objective is inseparable from preserving the community's racial identity when the community is characterized, or even self-defined, by the race of the majority of those who live there. This is an old truth, having been recognized every time the political process produced an Irish or Italian or Polish ward.</w:t>
      </w:r>
    </w:p>
    <w:p w:rsidR="00A31137" w:rsidRPr="00A31137" w:rsidRDefault="00A31137" w:rsidP="00A31137">
      <w:r w:rsidRPr="00A31137">
        <w:t>1996, Bush v. Vera, No. 94-805</w:t>
      </w:r>
    </w:p>
    <w:p w:rsidR="00A31137" w:rsidRPr="00A31137" w:rsidRDefault="00A31137" w:rsidP="00A31137">
      <w:r w:rsidRPr="00A31137">
        <w:t>[E]thnicity itself can tie people together, as volumes of social science literature have documented—even people with divergent economic interests. For this reason, ethnicity is a significant force in political life….</w:t>
      </w:r>
    </w:p>
    <w:p w:rsidR="00A31137" w:rsidRPr="00A31137" w:rsidRDefault="00A31137" w:rsidP="00A31137">
      <w:r w:rsidRPr="00A31137">
        <w:t>*    *    *    *</w:t>
      </w:r>
    </w:p>
    <w:p w:rsidR="00A31137" w:rsidRPr="00A31137" w:rsidRDefault="00A31137" w:rsidP="00A31137">
      <w:r w:rsidRPr="00A31137">
        <w:t>1996, Bush v. Vera, No. 94-805</w:t>
      </w:r>
    </w:p>
    <w:p w:rsidR="00A31137" w:rsidRPr="00A31137" w:rsidRDefault="00A31137" w:rsidP="00A31137">
      <w:r w:rsidRPr="00A31137">
        <w:t>…The creation of ethnic districts reflecting felt identity is not ordinarily viewed as offensive or demeaning to those included in the delineation.</w:t>
      </w:r>
    </w:p>
    <w:p w:rsidR="00A31137" w:rsidRPr="00A31137" w:rsidRDefault="00A31137" w:rsidP="00A31137">
      <w:r w:rsidRPr="00A31137">
        <w:t>1996, Bush v. Vera, No. 94-805</w:t>
      </w:r>
    </w:p>
    <w:p w:rsidR="00A31137" w:rsidRPr="00A31137" w:rsidRDefault="00A31137" w:rsidP="00A31137">
      <w:r w:rsidRPr="00A31137">
        <w:t>Miller v. Johnson, 515 U.S. at ___ (GINSBURG, J., dissenting).</w:t>
      </w:r>
    </w:p>
    <w:p w:rsidR="00A31137" w:rsidRPr="00A31137" w:rsidRDefault="00A31137" w:rsidP="00A31137">
      <w:r w:rsidRPr="00A31137">
        <w:t>1996, Bush v. Vera, No. 94-805</w:t>
      </w:r>
    </w:p>
    <w:p w:rsidR="00A31137" w:rsidRPr="00A31137" w:rsidRDefault="00A31137" w:rsidP="00A31137">
      <w:r w:rsidRPr="00A31137">
        <w:t>Or take the traditional principle of providing protection for incumbents. The plurality seems to assume that incumbents may always be protected by drawing lines on the basis of data about political parties. Cf. ante at ___. But what if the incumbent has drawn support largely for racial reasons? What, indeed, if the incumbent was elected in a majority minority district created to remedy vote dilution that resulted from racial bloc voting? It would be sheer fantasy to assume that consideration of race in these circumstances is somehow separable from application of the traditional principle of incumbency protection, and sheer incoherence to think that the consideration of race that is constitutionally required to remedy Fourteenth and Fifteenth Amendment vote dilution somehow becomes unconstitutional when aimed at protecting the incumbent the next time the census requires redistricting.</w:t>
      </w:r>
    </w:p>
    <w:p w:rsidR="00A31137" w:rsidRPr="00A31137" w:rsidRDefault="00A31137" w:rsidP="00A31137">
      <w:r w:rsidRPr="00A31137">
        <w:t>1996, Bush v. Vera, No. 94-805</w:t>
      </w:r>
    </w:p>
    <w:p w:rsidR="00A31137" w:rsidRPr="00A31137" w:rsidRDefault="00A31137" w:rsidP="00A31137">
      <w:r w:rsidRPr="00A31137">
        <w:t>Thus, it is as impossible in theory as in practice to untangle racial consideration from the application of traditional districting principles in a society plagued by racial-bloc voting 8 with a racial minority population of political significance, or at least the unrealized potential for achieving it. And it is for just this fundamental reason that a test turning on predominant purpose is incapable of producing any answer when traditional districting principles are applied in the political environment in which Shaw I actions are brought.</w:t>
      </w:r>
    </w:p>
    <w:p w:rsidR="00A31137" w:rsidRPr="00A31137" w:rsidRDefault="00A31137" w:rsidP="00A31137">
      <w:r w:rsidRPr="00A31137">
        <w:t>II</w:t>
      </w:r>
    </w:p>
    <w:p w:rsidR="00A31137" w:rsidRPr="00A31137" w:rsidRDefault="00A31137" w:rsidP="00A31137">
      <w:r w:rsidRPr="00A31137">
        <w:t>1996, Bush v. Vera, No. 94-805</w:t>
      </w:r>
    </w:p>
    <w:p w:rsidR="00A31137" w:rsidRPr="00A31137" w:rsidRDefault="00A31137" w:rsidP="00A31137">
      <w:r w:rsidRPr="00A31137">
        <w:t>Shaw I's recognition of a misuse of race in districting even when no vote dilution results thus rests upon two basic deficiencies: first, the failure to provide a coherent concept of equal protection injury, there being no separably injured class and no concept of harm that would not condemn a constitutionally required remedy for past dilution as well as many of the districting practices that the Court is seeking to preserve; second, the failure to provide a coherent test for distinguishing a "predominant" racial consideration from the application of traditional districting principles in a society whose racial mixture is politically significant and where racial-bloc voting exists. The necessary consequence of these shortcomings is arbitrariness; it is impossible to distinguish what is valid from what is not, or to decide how far members of racial minorities may engage "in the same sort of pluralist electoral politics that every other bloc of voters enjoys." Karlan, Our Separatism 103. Indeed, if one needed further proof of this arbitrariness, one need go no further than JUSTICE STEVENS' dissent in this case. The plurality effectively concedes that JUSTICE STEVENS has not unfairly applied the principles governing the Shaw cause of action, cf. ante at ___, n. (noting that "[i]n the application of our precedents to District 30, our disagreement with JUSTICE STEVENS' dissent, [ante] at ___, is largely factual"); in my judgment he has faithfully applied those principles in the spirit intended by the plurality. And yet the conclusions that the two sides reach after applying precisely the same test could not be more different.</w:t>
      </w:r>
    </w:p>
    <w:p w:rsidR="00A31137" w:rsidRPr="00A31137" w:rsidRDefault="00A31137" w:rsidP="00A31137">
      <w:r w:rsidRPr="00A31137">
        <w:t>1996, Bush v. Vera, No. 94-805</w:t>
      </w:r>
    </w:p>
    <w:p w:rsidR="00A31137" w:rsidRPr="00A31137" w:rsidRDefault="00A31137" w:rsidP="00A31137">
      <w:r w:rsidRPr="00A31137">
        <w:t>Along with this endemic unpredictability has come the destruction of any clear incentive for the States with substantial minority populations to take action to avoid vote dilution. Before Shaw, state politicians who recognized that minority vote dilution had occurred, or was likely to occur without redistricting aimed at preventing it, could not only urge their colleagues to do the right thing under the Fourteenth Amendment, but counsel them in terrorem that losing a dilution case would bring liability for counsel fees under 42 U.S.C. § 1988(b) or 42 U.S.C. § 1973l(e). See Issacharoff, Constitutional Contours 48 ("Minority political actors could leverage not only their political power but the enforcement provisions of Section 5 of the Voting Rights Act, and the threat of suit under Section 2 of the Act against adverse districting decisions"); cf. Hastert v. Illinois State Bd. of Election Commr's, 28 F.3d 1430, 1444 (CA7 1993) (awarding fees to the prevailing parties in a case in which the state legislature failed to draw congressional districts, over the Board of Elections' objection that it had "no interest in the eventual outcome except that there be an outcome" for it to implement) (emphasis in original). But this argument is blunted now, perhaps eliminated in practice, by the risk of counsel fees in a Shaw I action. States seeking to comply in good faith with the requirements of federal civil rights laws</w:t>
      </w:r>
    </w:p>
    <w:p w:rsidR="00A31137" w:rsidRPr="00A31137" w:rsidRDefault="00A31137" w:rsidP="00A31137">
      <w:r w:rsidRPr="00A31137">
        <w:t>1996, Bush v. Vera, No. 94-805</w:t>
      </w:r>
    </w:p>
    <w:p w:rsidR="00A31137" w:rsidRPr="00A31137" w:rsidRDefault="00A31137" w:rsidP="00A31137">
      <w:r w:rsidRPr="00A31137">
        <w:t>now find themselves walking a tightrope: if they draw majority black districts they face lawsuits under the equal protection clause; if they do not, they face both objections under section 5 of the Voting Rights Act and lawsuits under section 2.</w:t>
      </w:r>
    </w:p>
    <w:p w:rsidR="00A31137" w:rsidRPr="00A31137" w:rsidRDefault="00A31137" w:rsidP="00A31137">
      <w:r w:rsidRPr="00A31137">
        <w:t>1996, Bush v. Vera, No. 94-805</w:t>
      </w:r>
    </w:p>
    <w:p w:rsidR="00A31137" w:rsidRPr="00A31137" w:rsidRDefault="00A31137" w:rsidP="00A31137">
      <w:r w:rsidRPr="00A31137">
        <w:t>Karlan, Post-Shaw Era 289. See ante at ___ (STEVENS, J., dissenting) ("On one hand, States will risk violating the Voting Rights Act if they fail to create majority minority districts. If they create those districts, however, they may open themselves to liability under Shaw and its progeny."). The States, in short, have been told to get things just right, no dilution and no predominant consideration of race short of dilution, without being told how to do it. The tendency of these conflicting incentives is toward a stalemate, and neither the moral force of the Constitution nor the mercenary threat of liability can operate effectively in this obscurity.</w:t>
      </w:r>
    </w:p>
    <w:p w:rsidR="00A31137" w:rsidRPr="00A31137" w:rsidRDefault="00A31137" w:rsidP="00A31137">
      <w:r w:rsidRPr="00A31137">
        <w:t>1996, Bush v. Vera, No. 94-805</w:t>
      </w:r>
    </w:p>
    <w:p w:rsidR="00A31137" w:rsidRPr="00A31137" w:rsidRDefault="00A31137" w:rsidP="00A31137">
      <w:r w:rsidRPr="00A31137">
        <w:t>As a consequence, where once comprehensible districting obligations confronted the legislators and governors of the States, there is now a vacuum of responsibility in any State with the mixed population from which Shaw suits come. We can no longer say with the old assurance that such States have a duty to comply with federal requirements in districting, since a State, like an individual, can hardly be blamed for failing to fulfill an obligation that has never been explained. It is true, of course, that a State may suffer consequences if the ultimate arbiter decides on a result different from the one the State has put in place, but that bad luck does not change the fact that a State cannot be said to be obliged to apply a standard that has not been revealed. Because the responsibility for the result can only be said to rest with the final arbiter, the practical responsibility over districting has simply shifted from the political branches of the States with mixed populations to the courts, and to this Court in particular.</w:t>
      </w:r>
    </w:p>
    <w:p w:rsidR="00A31137" w:rsidRPr="00A31137" w:rsidRDefault="00A31137" w:rsidP="00A31137">
      <w:r w:rsidRPr="00A31137">
        <w:t>1996, Bush v. Vera, No. 94-805</w:t>
      </w:r>
    </w:p>
    <w:p w:rsidR="00A31137" w:rsidRPr="00A31137" w:rsidRDefault="00A31137" w:rsidP="00A31137">
      <w:r w:rsidRPr="00A31137">
        <w:t>The Court has apparently set itself upon a course of…reviewing challenged districts one by one and issuing opinions that depend so idiosyncratically on the unique facts of each case that they provide no real guidance to either lower courts or legislatures.</w:t>
      </w:r>
    </w:p>
    <w:p w:rsidR="00A31137" w:rsidRPr="00A31137" w:rsidRDefault="00A31137" w:rsidP="00A31137">
      <w:r w:rsidRPr="00A31137">
        <w:t>1996, Bush v. Vera, No. 94-805</w:t>
      </w:r>
    </w:p>
    <w:p w:rsidR="00A31137" w:rsidRPr="00A31137" w:rsidRDefault="00A31137" w:rsidP="00A31137">
      <w:r w:rsidRPr="00A31137">
        <w:t>Karlan, Post-Shaw Era 288. The tragedy in this shift of political responsibility lies not only in the fact of its occurrence in this instance, but in the absence of coherent or persuasive justifications for causing it to occur.</w:t>
      </w:r>
    </w:p>
    <w:p w:rsidR="00A31137" w:rsidRPr="00A31137" w:rsidRDefault="00A31137" w:rsidP="00A31137">
      <w:r w:rsidRPr="00A31137">
        <w:t>III</w:t>
      </w:r>
    </w:p>
    <w:p w:rsidR="00A31137" w:rsidRPr="00A31137" w:rsidRDefault="00A31137" w:rsidP="00A31137">
      <w:r w:rsidRPr="00A31137">
        <w:t>1996, Bush v. Vera, No. 94-805</w:t>
      </w:r>
    </w:p>
    <w:p w:rsidR="00A31137" w:rsidRPr="00A31137" w:rsidRDefault="00A31137" w:rsidP="00A31137">
      <w:r w:rsidRPr="00A31137">
        <w:t>Although today's cases do not address the uncertainties that stem from Shaw's underlying incoherence, they do aim to mitigate its inscrutability with some specific rules.</w:t>
      </w:r>
    </w:p>
    <w:p w:rsidR="00A31137" w:rsidRPr="00A31137" w:rsidRDefault="00A31137" w:rsidP="00A31137">
      <w:r w:rsidRPr="00A31137">
        <w:t>A</w:t>
      </w:r>
    </w:p>
    <w:p w:rsidR="00A31137" w:rsidRPr="00A31137" w:rsidRDefault="00A31137" w:rsidP="00A31137">
      <w:r w:rsidRPr="00A31137">
        <w:t>1996, Bush v. Vera, No. 94-805</w:t>
      </w:r>
    </w:p>
    <w:p w:rsidR="00A31137" w:rsidRPr="00A31137" w:rsidRDefault="00A31137" w:rsidP="00A31137">
      <w:r w:rsidRPr="00A31137">
        <w:t>In each of today's cases, the Court expressly assumes that avoiding a violation of the Voting Rights Act qualifies as a sufficiently compelling government interest to satisfy the requirements of strict scrutiny. See ante at ___ ("As we have done in each of our three previous cases…we assume without deciding that compliance with the results test [of section 2 of the Voting Rights Act]…can be a compelling state interest"); Shaw II, ante, at ___ ("We assume, arguendo, for the purpose of resolving this case, that compliance with § 2 could be a compelling interest"). While the Court's decision to assume this important point arguendo is no holding, see Seminole Tribe of Fla. v. Florida, 517 U.S. ___, ___ (1996) (SOUTER, J., dissenting), the assumption itself is encouraging because it confirms the view that the intentional creation of majority minority districts is not necessarily a violation of Shaw I, ante, at ___ (strict scrutiny does not "apply to all cases of intentional creation of majority minority districts"), and it indicates that the Court does not intend to bring the Shaw cause of action to what would be the cruelly ironic point of finding in the Voting Rights Act of 1965 (as amended) a violation of the Fourteenth Amendment's equal protection guarantee. Cf. Pildes &amp; Niemi, 92 Mich.L.Rev. at 498 (observing that "[i]f the Court believed there were serious constitutional questions with the fundamental structure of this scheme, the Court had numerous means to avoid permitting an unconstitutionally composed legislature to assume power," and seeing the reservation of this question in Voinovich v. Quilter, 507 U.S. at 157, as "evidence that a majority of the Court is not prepared to find a general ban on race-conscious districting in the Constitution"). JUSTICE O'CONNOR's separate opinion, ante at ___, bears on each of these points all the more emphatically, for her view that compliance with § 2 is (not just arguendo) a compelling state interest and her statement of that position virtually insulate the Voting Rights Act from jeopardy under Shaw as such.</w:t>
      </w:r>
    </w:p>
    <w:p w:rsidR="00A31137" w:rsidRPr="00A31137" w:rsidRDefault="00A31137" w:rsidP="00A31137">
      <w:r w:rsidRPr="00A31137">
        <w:t>B</w:t>
      </w:r>
    </w:p>
    <w:p w:rsidR="00A31137" w:rsidRPr="00A31137" w:rsidRDefault="00A31137" w:rsidP="00A31137">
      <w:r w:rsidRPr="00A31137">
        <w:t>1996, Bush v. Vera, No. 94-805</w:t>
      </w:r>
    </w:p>
    <w:p w:rsidR="00A31137" w:rsidRPr="00A31137" w:rsidRDefault="00A31137" w:rsidP="00A31137">
      <w:r w:rsidRPr="00A31137">
        <w:t>The second point of reference to come out of today's cases is the rule that if a State begins its map-drawing efforts with a compact majority minority district required by Gingles, the State may not rely too heavily on racial data in adjusting that district to serve traditional districting principles. While this rule may indeed provide useful guidance to state legislatures, its inherent weakness is clear from what was said above, supra at ___: it is in theory and in fact impossible to apply "traditional districting principles" in areas with substantial minority populations without considering race. As to some of those principles, to be sure, the ban on the overuse of racial data may not have much significance; racially identified communities can be identified in other ways and will be, after today. But protecting a minority incumbent may be another matter, since we cannot assume, as the plurality does, that reliance on information about "party affiliation" will serve to protect a minority incumbent, and we cannot tell when use of racial data will go too far on the plurality's view, ante at ___. It therefore may well be that loss of the capacity to protect minority incumbency is the price of the rule limiting States' use of racial data. If so, it will be an exceedingly odd result, when the whole point of creating yesterday's majority minority district was to remedy prior dilution, thus permitting the election of the minority incumbent who (the Court now seems to declare) cannot be protected as any other incumbent could be.</w:t>
      </w:r>
    </w:p>
    <w:p w:rsidR="00A31137" w:rsidRPr="00A31137" w:rsidRDefault="00A31137" w:rsidP="00A31137">
      <w:r w:rsidRPr="00A31137">
        <w:t>C</w:t>
      </w:r>
    </w:p>
    <w:p w:rsidR="00A31137" w:rsidRPr="00A31137" w:rsidRDefault="00A31137" w:rsidP="00A31137">
      <w:r w:rsidRPr="00A31137">
        <w:t>1996, Bush v. Vera, No. 94-805</w:t>
      </w:r>
    </w:p>
    <w:p w:rsidR="00A31137" w:rsidRPr="00A31137" w:rsidRDefault="00A31137" w:rsidP="00A31137">
      <w:r w:rsidRPr="00A31137">
        <w:t>The third point of reference attributable to today's cases is as yet only a possibility; a suggestion in the discussions of the narrow tailoring test that States seeking to avoid violating § 2 of the Voting Rights Act may draw the district that the Voting Rights Act compels, and this district alone. See Shaw II, ante, at ___ (rejecting North Carolina's District 12 because it does not sufficiently coincide with the assumed Gingles district); ante at ___ (STEVENS, J., dissenting) ("It now seems clear that the only way that a State can both create a majority minority district and avoid a racial gerrymander is by drawing…within the 'limited degree of leeway' granted by the Court…the precise compact district that a court would impose in a successful § 2 challenge"). If the Court were to say that a district drawn to avoid dilution must respond to the dilution threat in some geographically exact way, but see Shaw II, ante, at ___, n. 8 (suggesting that States may have flexibility in complying with § 2 of the Voting Rights Act); ante at ___ (STEVENS, J., dissenting) (noting that States traditionally have enjoyed a broader discretion in drawing district lines), then presumably a district drawn in a race-conscious fashion could survive only if it was as compact as the Gingles district hypothesized for purposes of stating a vote-dilution claim, and positioned where the hypothetical district would be.</w:t>
      </w:r>
    </w:p>
    <w:p w:rsidR="00A31137" w:rsidRPr="00A31137" w:rsidRDefault="00A31137" w:rsidP="00A31137">
      <w:r w:rsidRPr="00A31137">
        <w:t>1996, Bush v. Vera, No. 94-805</w:t>
      </w:r>
    </w:p>
    <w:p w:rsidR="00A31137" w:rsidRPr="00A31137" w:rsidRDefault="00A31137" w:rsidP="00A31137">
      <w:r w:rsidRPr="00A31137">
        <w:t>If the Court ultimately were to reach such a conclusion, it would in one respect be taking a step back toward Shaw I and its suggestion that a district's shape might play an important, if not determinative role in establishing a cause of action. Such a step would, however, do much more than return to Shaw I, which suggested that a compact district would be a safe haven, but not that the district hypothesized under Gingles was the only haven. See, e.g., Shaw I, 509 U.S. at  646 ("The district lines may be drawn, for example, to provide for compact districts of contiguous territory, or to maintain the integrity of political subdivisions")</w:t>
      </w:r>
    </w:p>
    <w:p w:rsidR="00A31137" w:rsidRPr="00A31137" w:rsidRDefault="00A31137" w:rsidP="00A31137">
      <w:r w:rsidRPr="00A31137">
        <w:t>1996, Bush v. Vera, No. 94-805</w:t>
      </w:r>
    </w:p>
    <w:p w:rsidR="00A31137" w:rsidRPr="00A31137" w:rsidRDefault="00A31137" w:rsidP="00A31137">
      <w:r w:rsidRPr="00A31137">
        <w:t>I refer to this step as a "possibility" deliberately. The Court in Shaw II does not go beyond an intimation to this effect, and Bush raises doubt that the Court would go so far. See ante at ___ (rejecting the argument made by JUSTICE STEVENS); see also ante at ___ ("the States retain flexibility that federal courts enforcing § 2 lack….   And nothing that we say today should be read as limiting 'a State's discretion to apply traditional districting principles'"); but see ante at ___ (O'CONNOR, J., concurring) ("if a State pursues that compelling interest by creating a district that 'substantially addresses' the potential liability, and does not deviate substantially from a hypothetical court-drawn § 2 district for predominantly racial reasons, its districting plan will be deemed narrowly tailored" (citations omitted)); but see also ante at ___ ("We also reaffirm that the 'narrow tailoring' requirement of strict scrutiny allows the States a limited degree of leeway in furthering such interests…. We thus reject, as impossibly stringent, the District Court's view of the narrow tailoring requirement, that 'a district must have the least possible amount of irregularity in shape, making allowances for traditional districting criteria'" (citation omitted)). Indeed, Bush leaves open the possibility that a State could create a majority minority district that does not coincide with the Gingles shape so long as racial data is not overused, ante at ___, and it does not suggest that a Shaw claim could be premised solely on a deviation from a Gingles district.</w:t>
      </w:r>
    </w:p>
    <w:p w:rsidR="00A31137" w:rsidRPr="00A31137" w:rsidRDefault="00A31137" w:rsidP="00A31137">
      <w:r w:rsidRPr="00A31137">
        <w:t>1996, Bush v. Vera, No. 94-805</w:t>
      </w:r>
    </w:p>
    <w:p w:rsidR="00A31137" w:rsidRPr="00A31137" w:rsidRDefault="00A31137" w:rsidP="00A31137">
      <w:r w:rsidRPr="00A31137">
        <w:t>Suffice it to say for now that if the Court were to try to render Shaw more definite by imposing any such limitations on shape and placement, the added measure of clarity would either be elusive or it would come at an exorbitant price from States seeking to comply with the Voting Rights Act and the Fourteenth and Fifteenth Amendments. It would be elusive if the Court meant that race could be considered in alleviating racial dilution but not in applying any traditional districting principle: we have already seen that race is inextricably intertwined with some common districting principles when applied in a multiracial society. See supra at ___. Or it would come at an exorbitant price, because no other districting principle would be allowed to affect the compactness or placement that would be required for purposes of Gingles. The Court would thus be cutting back on a State's power to vary district shape through its application of the very districting principles that are supposed to predominate in importance over racial consideration. That is, the Court would be reducing the discretion of a State seeking to avoid or correct dilution to the scope of a federal court's discretion when devising a remedy for dilution. There could, of course, be no justification for taking any such step. While there is good reason to limit a federal court's discretion to interfere in a State's political process when it employs its remedial power in dilution cases, cf. Voinovich v. Quilter, 507 U.S. at 156 ("Federal courts are barred from intervening in state apportionment in the absence of a violation of federal law precisely because it is the domain of the States…to conduct apportionment"), there is no apparent reason to impose the same limitations upon the discretion accorded to a State subject to an independent constitutional duty to make apportionment decisions, see ibid. ("Because the States…derive their reapportionment authority…from independent provisions of state and federal law,…the federal courts are bound to respect the States' apportionment choices unless those choices contravene federal requirements") (internal quotation marks omitted). The principles of federalism that we have tried to follow strongly counsel against imposing any such limitations.</w:t>
      </w:r>
    </w:p>
    <w:p w:rsidR="00A31137" w:rsidRPr="00A31137" w:rsidRDefault="00A31137" w:rsidP="00A31137">
      <w:r w:rsidRPr="00A31137">
        <w:t>D</w:t>
      </w:r>
    </w:p>
    <w:p w:rsidR="00A31137" w:rsidRPr="00A31137" w:rsidRDefault="00A31137" w:rsidP="00A31137">
      <w:r w:rsidRPr="00A31137">
        <w:t>1996, Bush v. Vera, No. 94-805</w:t>
      </w:r>
    </w:p>
    <w:p w:rsidR="00A31137" w:rsidRPr="00A31137" w:rsidRDefault="00A31137" w:rsidP="00A31137">
      <w:r w:rsidRPr="00A31137">
        <w:t>In sum, the three steps the Court takes today toward a more definite cause of action either fail to answer the objections to Shaw I or prompt objections of their own. Recognition of a State's interest in complying with the Voting Rights Act does not address the practical impossibility courts will encounter in identifying a predominant use of race, as distinguished from some lesser, reasonable consideration of it, when a State applies its customary districting principles. The limitation on the use of racial data is unlikely to make much difference in practice except to jeopardize minority incumbency protection. And the possibility that the Court will require Gingles districts (or districts substantially close to them) when compliance with § 2 of the Voting Rights Act is an object of districting would render a State's districting obligation more definite only by eliminating its ability to apply the very districting principles traditionally considered to be important enough to furnish a theoretical baseline of reasonable districting practices.</w:t>
      </w:r>
    </w:p>
    <w:p w:rsidR="00A31137" w:rsidRPr="00A31137" w:rsidRDefault="00A31137" w:rsidP="00A31137">
      <w:r w:rsidRPr="00A31137">
        <w:t>IV</w:t>
      </w:r>
    </w:p>
    <w:p w:rsidR="00A31137" w:rsidRPr="00A31137" w:rsidRDefault="00A31137" w:rsidP="00A31137">
      <w:r w:rsidRPr="00A31137">
        <w:t>1996, Bush v. Vera, No. 94-805</w:t>
      </w:r>
    </w:p>
    <w:p w:rsidR="00A31137" w:rsidRPr="00A31137" w:rsidRDefault="00A31137" w:rsidP="00A31137">
      <w:r w:rsidRPr="00A31137">
        <w:t>If today's developments fall short of curing Shaw's unworkability, it must be said that options for addressing them are few. Assuming that Shaw is not to be overruled as a flawed experiment, the Court may select from two alternatives, depending on whether its weightier concern is to preserve traditional districting principles or to cure the anomalies created by Miller's "predominant purpose" criterion.</w:t>
      </w:r>
    </w:p>
    <w:p w:rsidR="00A31137" w:rsidRPr="00A31137" w:rsidRDefault="00A31137" w:rsidP="00A31137">
      <w:r w:rsidRPr="00A31137">
        <w:t>1996, Bush v. Vera, No. 94-805</w:t>
      </w:r>
    </w:p>
    <w:p w:rsidR="00A31137" w:rsidRPr="00A31137" w:rsidRDefault="00A31137" w:rsidP="00A31137">
      <w:r w:rsidRPr="00A31137">
        <w:t>If the Court's first choice is to preserve Shaw in some guise with the least revolutionary effect on districting principles and practice, the Court could give primacy to the principle of compactness and define the limits of tolerance for unorthodox district shape by imposing a measurable limitation on the bizarre, presumably chosen by reference to historical practice (adjusted to eliminate the influence of any dilution that very practice may have caused in the past, cf. Pildes &amp; Niemi, 92 Mich.L.Rev. at 573-574, n. 246 (discussing the egregious racial gerrymanders of the 19th century)) and calculated on the basis of a district's dispersion, perimeter, and population. See id. at 553-575. This alternative would be true to Shaw I in maintaining that a point can be reached when the initially lawful consideration of race becomes unreasonable and in identifying appearance as the expression of undue consideration; and it would eliminate Miller's impossible obligation to untangle racial considerations from so-called "race-neutral" objectives (such as according respect to community integrity and protecting the seats of incumbents) when the racial composition of a district and voter behavior bar any practical chance of separating them. The incongruities of Shaw's concept of injury when considered in light of our customary equal protection analysis, our remedial practice, and traditional respect for state districting discretion would, of course, persist, but if Shaw were defined by measures that identified forbidden shape as the manifestation of unreasonable racial emphasis, we would at least provide the notice and guidance that are missing from the law today.</w:t>
      </w:r>
    </w:p>
    <w:p w:rsidR="00A31137" w:rsidRPr="00A31137" w:rsidRDefault="00A31137" w:rsidP="00A31137">
      <w:r w:rsidRPr="00A31137">
        <w:t>1996, Bush v. Vera, No. 94-805</w:t>
      </w:r>
    </w:p>
    <w:p w:rsidR="00A31137" w:rsidRPr="00A31137" w:rsidRDefault="00A31137" w:rsidP="00A31137">
      <w:r w:rsidRPr="00A31137">
        <w:t>The other alternative for retaining a Shaw cause of action in some guise would be to accept the fact that, in the kind of polarized multiracial societies that will generate Shaw actions as presently understood, racial considerations are inseparable from many traditional districting objectives, making it impossible to speak of race as predominating. The consequence of facing this reality is that if some consideration of race is to be forbidden as supposedly unreasonable in degree, then the use of districting principles that implicate the use of race must be forbidden. That is, traditional districting practices must be eliminated. Such a result would, of course, be consistent with Shaw I's concept of injury as affecting voters of whatever race. But cf. Valley Forge Christian College v. Americans United for Separation of Church and State, Inc., 454 U.S. 464, 489 (1982) (fact that some expressive harms are insufficient to satisfy Article III standing requirements does not allow for relaxation of those requirements). The result, in short, would be color blindness in determining the manner of choosing representatives, either by eliminating the practice of districting entirely, or by replacing it with districting on some principle of randomness that would not account for race in any way.</w:t>
      </w:r>
    </w:p>
    <w:p w:rsidR="00A31137" w:rsidRPr="00A31137" w:rsidRDefault="00A31137" w:rsidP="00A31137">
      <w:r w:rsidRPr="00A31137">
        <w:t>1996, Bush v. Vera, No. 94-805</w:t>
      </w:r>
    </w:p>
    <w:p w:rsidR="00A31137" w:rsidRPr="00A31137" w:rsidRDefault="00A31137" w:rsidP="00A31137">
      <w:r w:rsidRPr="00A31137">
        <w:t>While such is the direction in which Shaw and Miller together point, the objections to following any such course seem insurmountable. The first is the irony that the price of imposing a principle of color blindness in the name of the Fourteenth Amendment would be submerging the votes of those whom the Fourteenth and Fifteenth Amendments were adopted to protect, precisely the problem that necessitated our recognition of vote dilution as a constitutional violation in the first place. Eliminating districting in the name of color blindness would produce total submersion; random submersion (or packing) would result from districting by some computerized process of color blind randomness. Thus, unless the attitudes that produce racial bloc voting were eliminated along with traditional districting principles, dilution would once again become the norm. While dilution as an intentional constitutional violation would be eliminated by a randomly districted system, this theoretical nicety would be overshadowed by the concrete reality that the result of such a decision would almost inevitably be a so-called "representative" Congress with something like 17 black members. See supra at ___. In any event, the submergence would violate the prohibition of even nonintentional dilution found in § 2 of the Voting Rights Act. The only way to avoid this conflict would be to declare the Voting Rights Act unconstitutional, a prospect hardly in harmony with the Court's readiness to assume today that compliance with the Voting Rights Act qualifies as a compelling state interest for purposes of litigating a Shaw claim.</w:t>
      </w:r>
    </w:p>
    <w:p w:rsidR="00A31137" w:rsidRPr="00A31137" w:rsidRDefault="00A31137" w:rsidP="00A31137">
      <w:r w:rsidRPr="00A31137">
        <w:t>1996, Bush v. Vera, No. 94-805</w:t>
      </w:r>
    </w:p>
    <w:p w:rsidR="00A31137" w:rsidRPr="00A31137" w:rsidRDefault="00A31137" w:rsidP="00A31137">
      <w:r w:rsidRPr="00A31137">
        <w:t>The second objection is equally clear. Whatever may be the implications of what I have called Shaw's failings, the Court has repeatedly made it plain that Shaw was in no way intended to effect a revolution by eliminating traditional districting practice for the sake of color blindness. Shaw I, 509 U.S. at  642 ("Despite their invocation of the ideal of a "color blind" Constitution, see Plessy v. Ferguson, 163 U.S. 537,  559 (1896) (Harlan, J., dissenting), appellants appear to concede that race-conscious districting is not always unconstitutional…. That concession is wise: this Court never has held that race-conscious state decisionmaking is impermissible in all circumstances"); cf. Richmond v. J.A. Croson Co., 488 U.S. 469, 520-521 (1989) (SCALIA, J., concurring in judgment) (criticizing the majority for rejecting a strict principle of color blindness). Indeed, the very fear that led to the creation of the Shaw cause of action was that racial concerns were taking too heavy a toll on districting practices that had evolved over the years through the political process. Shaw I, 509 U.S. at 644-649. JUSTICE O'CONNOR, moreover, has made it obvious that race has a legitimate place in districting, Shaw I, supra at  642 ("race-conscious redistricting is not always unconstitutional"); Miller, 515 U.S. at ___ (O'CONNOR, J., concurring); ante at ___ (O'CONNOR, J., concurring), that the intentional creation of majority minority districts is not forbidden by Shaw, Miller, 515 U.S. at ___ (O'CONNOR, J., concurring) (districts may be permissible "even though race may well have been considered in the redistricting process"); ante at ___ (O'CONNOR, J., concurring), and that Shaw was aimed at only the exceptional district, 515 U.S. at ___ ("Application of the Court's standard does not throw into doubt the vast majority of the Nation's 435 congressional districts"). Of the present Court majority, only Justices SCALIA and THOMAS are on record as concluding that any intentional creation of a majority minority district is a forbidden racial gerrymander. Ante at ___ (THOMAS, J., concurring in judgment).</w:t>
      </w:r>
    </w:p>
    <w:p w:rsidR="00A31137" w:rsidRPr="00A31137" w:rsidRDefault="00A31137" w:rsidP="00A31137">
      <w:r w:rsidRPr="00A31137">
        <w:t>1996, Bush v. Vera, No. 94-805</w:t>
      </w:r>
    </w:p>
    <w:p w:rsidR="00A31137" w:rsidRPr="00A31137" w:rsidRDefault="00A31137" w:rsidP="00A31137">
      <w:r w:rsidRPr="00A31137">
        <w:t>Since a radical transformation of the political selection process in the name of color blindness is out of the question, the Court's options for dealing with Shaw's unworkability are in truth only these: to confine the cause of action by adopting a quantifiable shape test or to eliminate the cause of action entirely. Because even a truncated Shaw would rest on the untenable foundation I have described, and the supposed, expressive harm Shaw seeks to remedy is unlikely to justify the disruption that even a modified Shaw would invite, there is presently no good reason that the Court's withdrawal from the presently untenable state of the law should not be complete. While I take the commands of stare decisis very seriously, the problems with Shaw and its progeny are themselves very serious. The Court has been unable to provide workable standards, the chronic uncertainty has begotten no discernible reliance, and the costs of persisting doubt about the limits of state discretion and state responsibility are high.</w:t>
      </w:r>
    </w:p>
    <w:p w:rsidR="00A31137" w:rsidRPr="00A31137" w:rsidRDefault="00A31137" w:rsidP="00A31137">
      <w:r w:rsidRPr="00A31137">
        <w:t>1996, Bush v. Vera, No. 94-805</w:t>
      </w:r>
    </w:p>
    <w:p w:rsidR="00A31137" w:rsidRPr="00A31137" w:rsidRDefault="00A31137" w:rsidP="00A31137">
      <w:r w:rsidRPr="00A31137">
        <w:t>There is, indeed, an added reason to admit Shaw's failure in providing a manageable constitutional standard and to allow for some faith in the political process. That process not only evolved the very traditional districting principles that the Court has pledged to preserve, but has applied them in the past to deal with ethnicity in a way that should influence our thinking about the prospects for race. It is difficult to see how the consideration of race that Shaw condemns (but cannot avoid) is essentially different from the consideration of ethnicity that entered American politics from the moment that immigration began to temper regional homogeneity. Recognition of the ethnic character of neighborhoods and incumbents, through the application of just those districting principles we now view as traditional, allowed ethnically identified voters and their preferred candidates to enter the mainstream of American politics, see Miller, supra at ___ (GINSBURG, J., dissenting); D. Judd, The Politics of American Cities: Private Power and Public Policy 70 (3d ed. 1988); see generally S. Erie, Rainbow's End: Irish Americans and the Dilemmas of Urban Machine Politics, 1840-1985 (1988), and to attain a level of political power in American democracy. The result has been not a state regime of ethnic apartheid, but ethnic participation and even a moderation of ethnicity's divisive effect in political practice. For although consciousness of ethnicity has not disappeared from the American electorate, its talismanic force does appear to have cooled over time. 9 It took Boston Irish voters, for example, to elect Thomas Menino mayor in 1993. 10</w:t>
      </w:r>
    </w:p>
    <w:p w:rsidR="00A31137" w:rsidRPr="00A31137" w:rsidRDefault="00A31137" w:rsidP="00A31137">
      <w:r w:rsidRPr="00A31137">
        <w:t>1996, Bush v. Vera, No. 94-805</w:t>
      </w:r>
    </w:p>
    <w:p w:rsidR="00A31137" w:rsidRPr="00A31137" w:rsidRDefault="00A31137" w:rsidP="00A31137">
      <w:r w:rsidRPr="00A31137">
        <w:t>There is, then, some reason to hope that if vote dilution is attacked at the same time that race is given the recognition that ethnicity has historically received in American politics, the force of race in politics will also moderate in time. There are even signs that such hope may be vindicated, even if the evidence is necessarily tentative as yet. See U.S. Comm'n on Civil Rights, The Voting Rights Act: Ten Years After, p. 155 (Jan. 1975) ("In many areas the great increase in minority registration and voting since the passage of the Voting Rights Act in 1965 has meant that politicians can no longer afford to ignore minority voters. This has brought about a significant decline in racial appeals by candidates and has made incumbents and candidates more responsive to minority needs"); Carsey, The Contextual Effects of Race on White Voter Behavior: The 1989 New York City Mayoral Election, 57 J. of Politics 221, 228 (1995) (reporting, in 1994, that "the contextual effects of race may not be so different from the contextual effects of factors like partisanship, ethnicity, or social class as we might have believed"); Sigelman, Sigelman, Walkosz, &amp; Nitz, Black Candidates, White Voters: Understanding Racial Bias in Political Perceptions, 39 Am.J. of Political Science 243, 244 (1995) ("Over the years, white Americans have expressed increasing willingness to vote for black candidates"); Peirce, Fresh Air in City Hall, Baltimore Sun, Nov. 8, 1993, p. 7A ("In contest after contest, victory has gone to mayoral candidates who eschew talk of race"); see also Gingles, 478 U.S. at 56 (noting that crossover voting in favor of minority candidates is more common when minority incumbents stand for reelection); Collins v. Norfolk, 883 F.2d 1232, 1243 (CA4 1989) (same). This possibility that racial politics, too, may grow wiser so long as minority votes are rescued from submergence should be considered in determining how far the Fourteenth and Fifteenth Amendments require us to devise constitutional common law to supplant the democratic process with litigation in federal courts. It counsels against accepting the profession that Shaw has yet evolved into a manageable constitutional standard, and from that case's invocation again today I respectfully dissent.</w:t>
      </w:r>
    </w:p>
    <w:p w:rsidR="00A31137" w:rsidRPr="00A31137" w:rsidRDefault="00A31137" w:rsidP="00A31137">
      <w:r w:rsidRPr="00A31137">
        <w:t>Footnotes</w:t>
      </w:r>
    </w:p>
    <w:p w:rsidR="00A31137" w:rsidRPr="00A31137" w:rsidRDefault="00A31137" w:rsidP="00A31137">
      <w:r w:rsidRPr="00A31137">
        <w:t>O'CONNOR, J., lead opinion (Footnotes)</w:t>
      </w:r>
    </w:p>
    <w:p w:rsidR="00A31137" w:rsidRPr="00A31137" w:rsidRDefault="00A31137" w:rsidP="00A31137">
      <w:r w:rsidRPr="00A31137">
        <w:t>1996, Bush v. Vera, No. 94-805</w:t>
      </w:r>
    </w:p>
    <w:p w:rsidR="00A31137" w:rsidRPr="00A31137" w:rsidRDefault="00A31137" w:rsidP="00A31137">
      <w:r w:rsidRPr="00A31137">
        <w:t>* In the application of our precedents to District 30, our disagreement with JUSTICE STEVENS' dissent, post at ___, is largely factual. In reviewing the District Court's findings of primary fact, we cannot ignore the reality that the District Court heard several days of testimony and argument and became significantly more familiar with the factual details of this case than this Court can be. We therefore believe that the dissent errs in second-guessing the District Court's assessment of the witnesses' testimony, see post at ___, n. 24, and in dismissing as mere "fine-tuning," post at ___, the practice of using race as a proxy that the District Court found, based on ample evidence, to be pervasive, see Vera v. Richards, 861 F. Supp 1304, 1322 (SD Tex. 1994).</w:t>
      </w:r>
      <w:r w:rsidRPr="00A31137">
        <w:cr/>
      </w:r>
    </w:p>
    <w:p w:rsidR="00A31137" w:rsidRPr="00A31137" w:rsidRDefault="00A31137" w:rsidP="00A31137">
      <w:r w:rsidRPr="00A31137">
        <w:t>1996, Bush v. Vera, No. 94-805</w:t>
      </w:r>
    </w:p>
    <w:p w:rsidR="00A31137" w:rsidRPr="00A31137" w:rsidRDefault="00A31137" w:rsidP="00A31137">
      <w:r w:rsidRPr="00A31137">
        <w:t>For the same reason, we decline to debate the dissent on every factual nuance on which it diverges from the District Court's, and our, view. But two of its specific claims about District 30 merit a response. First, the dissent asserts that</w:t>
      </w:r>
    </w:p>
    <w:p w:rsidR="00A31137" w:rsidRPr="00A31137" w:rsidRDefault="00A31137" w:rsidP="00A31137">
      <w:r w:rsidRPr="00A31137">
        <w:t>1996, Bush v. Vera, No. 94-805</w:t>
      </w:r>
    </w:p>
    <w:p w:rsidR="00A31137" w:rsidRPr="00A31137" w:rsidRDefault="00A31137" w:rsidP="00A31137">
      <w:r w:rsidRPr="00A31137">
        <w:t>[a] comparison of the 1992 precinct results with a depiction of the proportion of black population in each census block reveals that Democratic-leaning precincts cover a far greater area [of District 30] than majority black census blocks.</w:t>
      </w:r>
    </w:p>
    <w:p w:rsidR="00A31137" w:rsidRPr="00A31137" w:rsidRDefault="00A31137" w:rsidP="00A31137">
      <w:r w:rsidRPr="00A31137">
        <w:t>1996, Bush v. Vera, No. 94-805</w:t>
      </w:r>
    </w:p>
    <w:p w:rsidR="00A31137" w:rsidRPr="00A31137" w:rsidRDefault="00A31137" w:rsidP="00A31137">
      <w:r w:rsidRPr="00A31137">
        <w:t>Post at ___ (emphasis added). While that may be true, the dissent's reliance on 1992 election results is misplaced. Those results were not before the legislature when it drew the district lines in 1991, and may well reflect the popularity and campaign success of Representative Johnson more than the party political predispositions of the District's residents. (The same error infects the dissent's discussion of the Collin County hook, post at ___, n. 19 (relying on 1992 election results).) And looking at totals, rather than at the difference between areas just inside and just outside the district lines, is misleading: race may predominate in the drawing of district lines because those lines are finely drawn to maximize the minority composition of the district, notwithstanding that in an overwhelmingly Democratic area, the total of Democrats in the district far exceeds its total minority population.</w:t>
      </w:r>
    </w:p>
    <w:p w:rsidR="00A31137" w:rsidRPr="00A31137" w:rsidRDefault="00A31137" w:rsidP="00A31137">
      <w:r w:rsidRPr="00A31137">
        <w:t>1996, Bush v. Vera, No. 94-805</w:t>
      </w:r>
    </w:p>
    <w:p w:rsidR="00A31137" w:rsidRPr="00A31137" w:rsidRDefault="00A31137" w:rsidP="00A31137">
      <w:r w:rsidRPr="00A31137">
        <w:t>Second, the dissent suggests that strict scrutiny should not apply because District 30's compact core has a higher African American population percentage than its wayward tentacles. Post at ___. In doing so, it again ignores the necessity of determining whether race predominated in the redistricters' actions in light of what they had to work with. Once various adjacent majority minority populations had been carved away from it by the use of race as a proxy to enhance the electoral chances of neighboring incumbents, the core of District 30 was substantially too small to form an entire district. The principal question faced by the redistricters was, therefore, what territory to add to the core out of the remainder of the Dallas area, which remainder has an average African American population substantially below the 21% county average. In answering that question, as the District Court explained and the maps bear witness, the redistricters created bizarre, far-reaching tentacles that intricately and consistently maximize the available remaining African American population.</w:t>
      </w:r>
    </w:p>
    <w:p w:rsidR="00A31137" w:rsidRPr="00A31137" w:rsidRDefault="00A31137" w:rsidP="00A31137">
      <w:r w:rsidRPr="00A31137">
        <w:t>THOMAS, J., concurring (Footnotes)</w:t>
      </w:r>
    </w:p>
    <w:p w:rsidR="00A31137" w:rsidRPr="00A31137" w:rsidRDefault="00A31137" w:rsidP="00A31137">
      <w:r w:rsidRPr="00A31137">
        <w:t>1996, Bush v. Vera, No. 94-805</w:t>
      </w:r>
    </w:p>
    <w:p w:rsidR="00A31137" w:rsidRPr="00A31137" w:rsidRDefault="00A31137" w:rsidP="00A31137">
      <w:r w:rsidRPr="00A31137">
        <w:t>1. In Adarand, we overruled Metro Broadcasting, Inc. v. FCC, 497 U.S. 547 (1990), and held that strict scrutiny applies to racial classifications by the Federal Government as well as to those by the States. For quite some time, however, we have consistently held that race-based classifications by the States must be strictly scrutinized. See, e.g., Richmond v. J. A. Croson Co., 488 U.S. 469, 493-494 (1989) (plurality opinion); id. at  520 (SCALIA, J., concurring in judgment); Wygant v. Jackson Board of Ed., 476 U.S. 267,  273 (1986) (plurality opinion); id. at  285 (O'CONNOR, J., concurring in part and concurring in judgment).</w:t>
      </w:r>
    </w:p>
    <w:p w:rsidR="00A31137" w:rsidRPr="00A31137" w:rsidRDefault="00A31137" w:rsidP="00A31137">
      <w:r w:rsidRPr="00A31137">
        <w:t>1996, Bush v. Vera, No. 94-805</w:t>
      </w:r>
    </w:p>
    <w:p w:rsidR="00A31137" w:rsidRPr="00A31137" w:rsidRDefault="00A31137" w:rsidP="00A31137">
      <w:r w:rsidRPr="00A31137">
        <w:t>2. It is unnecessary to parse in detail the contours of each challenged district. See ante at ___. I agree that the geographic evidence is itself sufficient to invoke strict scrutiny, but once the State directly conceded that it intentionally used racial classifications to create majority minority districts, there was no need to rely on circumstantial evidence.</w:t>
      </w:r>
    </w:p>
    <w:p w:rsidR="00A31137" w:rsidRPr="00A31137" w:rsidRDefault="00A31137" w:rsidP="00A31137">
      <w:r w:rsidRPr="00A31137">
        <w:t>STEVENS, J., dissenting (Footnotes)</w:t>
      </w:r>
    </w:p>
    <w:p w:rsidR="00A31137" w:rsidRPr="00A31137" w:rsidRDefault="00A31137" w:rsidP="00A31137">
      <w:r w:rsidRPr="00A31137">
        <w:t>1996, Bush v. Vera, No. 94-805</w:t>
      </w:r>
    </w:p>
    <w:p w:rsidR="00A31137" w:rsidRPr="00A31137" w:rsidRDefault="00A31137" w:rsidP="00A31137">
      <w:r w:rsidRPr="00A31137">
        <w:t>1. The District Court recognized, but erroneously ignored, the overwhelming weight of evidence demonstrating that political considerations dominated the shaping of Texas' congressional districts. See Vera v. Richards, 861 F.Supp. 1304, 1331, 1334-1336 (SD Tex. 1994); infra at ___.</w:t>
      </w:r>
    </w:p>
    <w:p w:rsidR="00A31137" w:rsidRPr="00A31137" w:rsidRDefault="00A31137" w:rsidP="00A31137">
      <w:r w:rsidRPr="00A31137">
        <w:t>1996, Bush v. Vera, No. 94-805</w:t>
      </w:r>
    </w:p>
    <w:p w:rsidR="00A31137" w:rsidRPr="00A31137" w:rsidRDefault="00A31137" w:rsidP="00A31137">
      <w:r w:rsidRPr="00A31137">
        <w:t>2. Because I believe that political gerrymanders are more objectionable than the "racial gerrymanders" perceived by the Court in recent cases, see Karcher v. Daggett, 462 U.S. 725, 748 (1983) (STEVENS, J., concurring); Davis v. Bandemer, 478 U.S. 109, 161-162,  166 (1985) (Powell, J., concurring in part and dissenting in part), I am not entirely unsympathetic to the Court's holding. I believe, however, that the evils of political gerrymandering should be confronted directly, rather than through the race-specific approach that the Court has taken in recent years. See also infra at ___.</w:t>
      </w:r>
    </w:p>
    <w:p w:rsidR="00A31137" w:rsidRPr="00A31137" w:rsidRDefault="00A31137" w:rsidP="00A31137">
      <w:r w:rsidRPr="00A31137">
        <w:t>1996, Bush v. Vera, No. 94-805</w:t>
      </w:r>
    </w:p>
    <w:p w:rsidR="00A31137" w:rsidRPr="00A31137" w:rsidRDefault="00A31137" w:rsidP="00A31137">
      <w:r w:rsidRPr="00A31137">
        <w:t>3. In elections since 1980, the State has elected a Democrat in only two of four gubernatorial races, and in only two of six races for the United States Senate. America Votes 21: A Handbook of Contemporary American Election Statistics 417 (R. Scammon &amp; A. McGillivray). Furthermore, in 1994, Republican candidates received a total of 550,000 more votes than Democratic candidates in Texas' 30 races for the United States House of Representatives, id. at 4, while in 1992, Democratic House candidates outpolled Republicans by only 147,000 votes (despite winning 27 of 30 districts). America Votes 20: A Handbook of Contemporary American Election Statistics 474 (R. Scammon &amp; A. McGillivray eds. 1993).</w:t>
      </w:r>
    </w:p>
    <w:p w:rsidR="00A31137" w:rsidRPr="00A31137" w:rsidRDefault="00A31137" w:rsidP="00A31137">
      <w:r w:rsidRPr="00A31137">
        <w:t>1996, Bush v. Vera, No. 94-805</w:t>
      </w:r>
    </w:p>
    <w:p w:rsidR="00A31137" w:rsidRPr="00A31137" w:rsidRDefault="00A31137" w:rsidP="00A31137">
      <w:r w:rsidRPr="00A31137">
        <w:t>4. Then-State Senator from Dallas, Eddie Bernice Johnson, who was chair of the Senate Subcommittee on Congressional Districts, maneuvered to construct District 30 in a manner that would ensure her election. 861 F.Supp. at 1313; Politics in America 1994: The 103rd Congress 1536 (1993) ("This is the District Eddie Bernice Johnson drew"). Vice-Chair of the same committee, Frank Tejeda, also "attempted to draw a district [District 28] that would facilitate his potential candidacy." 861 F.Supp. at 1326. And State Senator Gene Green and State Representative Roman Martinez, both Houston-area officials with designs on Congress, competed in an effort to design District 29 in a way that would guarantee their own election. Id. at 1324, n. 27. (Martinez later dropped out of the congressional race to run for State Senate.) Because the role that these legislators played in the redistricting process was largely identical to that played by sitting incumbents, my references to the role of "incumbents" in the redistricting process generally refer to these individuals as well.</w:t>
      </w:r>
    </w:p>
    <w:p w:rsidR="00A31137" w:rsidRPr="00A31137" w:rsidRDefault="00A31137" w:rsidP="00A31137">
      <w:r w:rsidRPr="00A31137">
        <w:t>1996, Bush v. Vera, No. 94-805</w:t>
      </w:r>
    </w:p>
    <w:p w:rsidR="00A31137" w:rsidRPr="00A31137" w:rsidRDefault="00A31137" w:rsidP="00A31137">
      <w:r w:rsidRPr="00A31137">
        <w:t>5. As did many other States, Texas kept track of the shapes of its post-1990 districts with a computer districting program loaded with 1990 census information and geographic information at scales ranging from statewide to that of a city block. See generally Shaw v. Hunt, 861 F.Supp. 408, 457 (EDNC 1994) (describing computer programs); 861 F.Supp. at 1318-1319. The dramatic increase in bizarrely shaped districts after 1990 can be traced at least in part, to the fact that computers allowed legislators to achieve their political goals geographically in a manner far more precise than heretofore possible. See Pildes &amp; Niemi, Expressive Harms, "Bizarre Districts," and Voting Rights: Evaluating Election-District Appearances After Shaw v. Reno, 92 Mich.L.Rev. 483, 574 (1993); Note, The Illegitimacy of the Incumbent Gerrymander, 74 Texas L.Rev. 913, 924 (1996).</w:t>
      </w:r>
    </w:p>
    <w:p w:rsidR="00A31137" w:rsidRPr="00A31137" w:rsidRDefault="00A31137" w:rsidP="00A31137">
      <w:r w:rsidRPr="00A31137">
        <w:t>1996, Bush v. Vera, No. 94-805</w:t>
      </w:r>
    </w:p>
    <w:p w:rsidR="00A31137" w:rsidRPr="00A31137" w:rsidRDefault="00A31137" w:rsidP="00A31137">
      <w:r w:rsidRPr="00A31137">
        <w:t>6. The State added District 28 (a majority Hispanic district in South Texas), District 29 (a majority Hispanic district in Houston), and District 30 (a majority black district in Dallas). In addition, the state reconfigured Houston's District 18. That district had elected African American Representatives to Congress since the early 1970s and remained majority minority in 1990, although a plurality of its population was by then Hispanic. To create District 29, the legislature altered the shape of District 18 to move parts of its Hispanic population into that neighboring district while retaining a majority black population. To the extent that the precise shape of these districts relied on race, rather than other factors, that racial gerrymandering was somewhat less effective than the political gerrymandering had been: District 29, created as a majority Hispanic district, elected an Anglo, former State Senator Green, in 1992, and reelected him in 1994. America Votes 21 at 437. Given his substantial role in crafting the district to meet his electoral needs, see supra, n. 4, Green's success suggests the power of incumbency over race.</w:t>
      </w:r>
    </w:p>
    <w:p w:rsidR="00A31137" w:rsidRPr="00A31137" w:rsidRDefault="00A31137" w:rsidP="00A31137">
      <w:r w:rsidRPr="00A31137">
        <w:t>1996, Bush v. Vera, No. 94-805</w:t>
      </w:r>
    </w:p>
    <w:p w:rsidR="00A31137" w:rsidRPr="00A31137" w:rsidRDefault="00A31137" w:rsidP="00A31137">
      <w:r w:rsidRPr="00A31137">
        <w:t>7. I do not agree with the Court's approach to these cases. Nonetheless, given that the Court seems settled in its conclusion that racial gerrymandering claims such as these may be pursued, I endorse this proposition.</w:t>
      </w:r>
    </w:p>
    <w:p w:rsidR="00A31137" w:rsidRPr="00A31137" w:rsidRDefault="00A31137" w:rsidP="00A31137">
      <w:r w:rsidRPr="00A31137">
        <w:t>1996, Bush v. Vera, No. 94-805</w:t>
      </w:r>
    </w:p>
    <w:p w:rsidR="00A31137" w:rsidRPr="00A31137" w:rsidRDefault="00A31137" w:rsidP="00A31137">
      <w:r w:rsidRPr="00A31137">
        <w:t>8. Though expressly reserving the issue in Shaw I, we noted there that petitioners wisely conceded that while "race-conscious redistricting is not always unconstitutional…This Court has never held that race-conscious state decisionmaking is impermissible in all circumstances." 509 U.S. at  642 (emphasis in original). The threshold test for the application of strict scrutiny as set forth in Miller implicitly accepts this as true, concluding that strict scrutiny applies not when race merely influences the districting process, but only when "the legislature subordinated traditional race-neutral districting principles…to racial considerations." Miller v. Johnson, 515 U.S. ___, ___ (1995) (emphasis added); see also id. at ___ (O'CONNOR, J., concurring) (test does not "throw into doubt the vast majority of the Nation's 435 congressional districts…even though race may well have been considered in the redistricting process"). Shaw II similarly recognizes that intent does not trigger strict scrutiny: Although the District Court concluded that the state "deliberately drew" the district in question to ensure that it included a majority of African American citizens, see Shaw, 861 F.Supp. at 473; Shaw II, ante at ___, the Court reviews the District Court's findings regarding the demographics of the district to determine whether the strict scrutiny was appropriately applied. See ante at ___; cf. ante at ___ (THOMAS, J., concurring in judgment) (where state intends to create majority minority district, application of strict scrutiny not even a "close question"). JUSTICE THOMAS takes a strong view on this matter, arguing that a majority minority district should escape strict scrutiny only when it is created "in spite of," not "because of," the race of its population. Ante at ___. But because minorities are, by definition, minorities in the population, it will be rare indeed for a State to stumble across a district in which the minority population is both large enough and segregated enough to allow majority minority districts to be created with at most a "mere awareness" that the placement of the lines will create such a district. See ibid. Indeed, I doubt that any such district exists in the entire Nation; the creation of even the most compact majority minority district will generally require a conscious decision to draw its lines "just so" to ensure that the group is not a minority in the district population. It appears, however, that even when a district is placed "just so" in order to include a traditional community in which race does correlate with community interests (consider, for example, New York District 15, which is centered on Harlem), JUSTICE THOMAS would review that district with the same presumption of invidiousness with which we viewed the district in Gomillion v. Lightfoot, 364 U.S. 339 (1960). Cf. Miller, 515 U.S. at ___ (GINSBURG, J., dissenting) (noting that "ethnicity itself can tie people together" in communities of interest). Because the creation of such a district threatens neither the harms of Gomillion nor, I believe, any harms against which the Fourteenth Amendment was intended to protect, I cannot accept his conclusion.</w:t>
      </w:r>
    </w:p>
    <w:p w:rsidR="00A31137" w:rsidRPr="00A31137" w:rsidRDefault="00A31137" w:rsidP="00A31137">
      <w:r w:rsidRPr="00A31137">
        <w:t>1996, Bush v. Vera, No. 94-805</w:t>
      </w:r>
    </w:p>
    <w:p w:rsidR="00A31137" w:rsidRPr="00A31137" w:rsidRDefault="00A31137" w:rsidP="00A31137">
      <w:r w:rsidRPr="00A31137">
        <w:t>9. Because the Court's approach to cases of this kind seeks to identify the "predominant" motive of the legislature, it is worth pointing out, as we have on so many prior occasions, that it is often "difficult or impossible for any court to determine the 'sole' or 'dominant' motivation behind the choices of a group of legislators." Palmer v. Thompson, 403 U.S. 217,  225 (1971). As in every other legislative body, each of the members of Texas' Legislature has his or her own agenda and interests-particularly in the "complicated process" of redistricting, in which every decision "inevitably has sharp political impact." White v. Weiser, 412 U.S. 783, 795-796 (1973). In these circumstances,</w:t>
      </w:r>
    </w:p>
    <w:p w:rsidR="00A31137" w:rsidRPr="00A31137" w:rsidRDefault="00A31137" w:rsidP="00A31137">
      <w:r w:rsidRPr="00A31137">
        <w:t>1996, Bush v. Vera, No. 94-805</w:t>
      </w:r>
    </w:p>
    <w:p w:rsidR="00A31137" w:rsidRPr="00A31137" w:rsidRDefault="00A31137" w:rsidP="00A31137">
      <w:r w:rsidRPr="00A31137">
        <w:t>[r]arely can it be said that a legislature…operating under a broad mandate made a decision motivated solely by a single concern, or even that one particular purpose was the "dominant" or "primary" one. In fact, it is because legislators…are properly concerned with balancing competing considerations that courts refrain from reviewing the merits of their decisions, absent a showing of arbitrariness or irrationality.</w:t>
      </w:r>
    </w:p>
    <w:p w:rsidR="00A31137" w:rsidRPr="00A31137" w:rsidRDefault="00A31137" w:rsidP="00A31137">
      <w:r w:rsidRPr="00A31137">
        <w:t>1996, Bush v. Vera, No. 94-805</w:t>
      </w:r>
    </w:p>
    <w:p w:rsidR="00A31137" w:rsidRPr="00A31137" w:rsidRDefault="00A31137" w:rsidP="00A31137">
      <w:r w:rsidRPr="00A31137">
        <w:t>Arlington Heights v. Metropolitan Housing Development Corp., 429 U.S. 252,  265 (1977); see also Edwards v. Aguillard, 482 U.S. 578, 636-639 (1987) (SCALIA, J., dissenting); Shaw II, ante at ___ (STEVENS, J., dissenting).</w:t>
      </w:r>
    </w:p>
    <w:p w:rsidR="00A31137" w:rsidRPr="00A31137" w:rsidRDefault="00A31137" w:rsidP="00A31137">
      <w:r w:rsidRPr="00A31137">
        <w:t>1996, Bush v. Vera, No. 94-805</w:t>
      </w:r>
    </w:p>
    <w:p w:rsidR="00A31137" w:rsidRPr="00A31137" w:rsidRDefault="00A31137" w:rsidP="00A31137">
      <w:r w:rsidRPr="00A31137">
        <w:t>Not only is this a case in which a legislature is operating under a "broad mandate," but other factors weigh in favor of deference as well. First, the inherently political process of redistricting is as much at the core of state sovereignty as any other. Second, the "motive" with which we are concerned is not per se impermissible. (For that reason, this case is very different from Price Waterhouse v. Hopkins, 490 U.S. 228 (1989), and Arlington Heights v. Metropolitan Housing Development Corp., 429 U.S. 252 (1977), in which the plaintiffs alleged that the defendant's action was motivated by an intent to harm individuals because of their status as members of a particular group. Where there is "proof that a discriminatory purpose has been a motivating factor in the decision," the "judicial deference" due to the legislative process is no longer justified. Id. at 265-266.) Finally, those that are injured by the allegedly discriminatory districts can alleviate their injury through the democratic process: those in the district could elect a representative who is not a part of their racial group, while the population at large could elect a legislature that refused to rely on racial considerations in the drawing of districts. In such circumstances we should take particular care in questioning the legislature's motives and, if in doubt, presume that the legislature has acted appropriately. See post at ___ (SOUTER, J., dissenting).</w:t>
      </w:r>
    </w:p>
    <w:p w:rsidR="00A31137" w:rsidRPr="00A31137" w:rsidRDefault="00A31137" w:rsidP="00A31137">
      <w:r w:rsidRPr="00A31137">
        <w:t>1996, Bush v. Vera, No. 94-805</w:t>
      </w:r>
    </w:p>
    <w:p w:rsidR="00A31137" w:rsidRPr="00A31137" w:rsidRDefault="00A31137" w:rsidP="00A31137">
      <w:r w:rsidRPr="00A31137">
        <w:t>10. We require state legislatures to ensure that populations, from district to district, are "as mathematically equal as reasonably possible," with de minimis exceptions permissible only in "unavoidable" instances. White v. Weiser, 412 U.S. at 790; see also Karcher, 462 U.S. at 734-735. Population variances are not permissible even</w:t>
      </w:r>
    </w:p>
    <w:p w:rsidR="00A31137" w:rsidRPr="00A31137" w:rsidRDefault="00A31137" w:rsidP="00A31137">
      <w:r w:rsidRPr="00A31137">
        <w:t>1996, Bush v. Vera, No. 94-805</w:t>
      </w:r>
    </w:p>
    <w:p w:rsidR="00A31137" w:rsidRPr="00A31137" w:rsidRDefault="00A31137" w:rsidP="00A31137">
      <w:r w:rsidRPr="00A31137">
        <w:t>"if they necessarily result from a State's attempt to avoid fragmenting political subdivisions by drawing congressional district lines along existing…political subdivision boundaries."</w:t>
      </w:r>
    </w:p>
    <w:p w:rsidR="00A31137" w:rsidRPr="00A31137" w:rsidRDefault="00A31137" w:rsidP="00A31137">
      <w:r w:rsidRPr="00A31137">
        <w:t>1996, Bush v. Vera, No. 94-805</w:t>
      </w:r>
    </w:p>
    <w:p w:rsidR="00A31137" w:rsidRPr="00A31137" w:rsidRDefault="00A31137" w:rsidP="00A31137">
      <w:r w:rsidRPr="00A31137">
        <w:t>White, 412 U.S. at 791 (citing Kirkpatrick v. Preisler, 394 U.S. 526, 533-534 (1969)). The legislature, therefore, understandably felt compelled to achieve mathematical equality regardless of other concerns. Rather surprisingly, they were able to do so: every one of Texas' 30 congressional districts contains precisely 566,217 persons. Of course, this precision could not have been accomplished without breaking apart counties, cities, neighborhoods, and even preexisting voting precincts.</w:t>
      </w:r>
    </w:p>
    <w:p w:rsidR="00A31137" w:rsidRPr="00A31137" w:rsidRDefault="00A31137" w:rsidP="00A31137">
      <w:r w:rsidRPr="00A31137">
        <w:t>1996, Bush v. Vera, No. 94-805</w:t>
      </w:r>
    </w:p>
    <w:p w:rsidR="00A31137" w:rsidRPr="00A31137" w:rsidRDefault="00A31137" w:rsidP="00A31137">
      <w:r w:rsidRPr="00A31137">
        <w:t>11. This phenomenon is not unique to Dallas County: throughout the State, "incumbent residences repeatedly fall just along district lines." 861 F.Supp. at 1318 (giving examples); see State's Exhs. 10A and 10B (showing incumbent residences). District 6, for instance, changed from a rural district stretching far to the southeast of Dallas to a more suburban district wrapping around Fort Worth. As it did so, however, the district pivoted around the home of incumbent Representative Joe Barton, whose residence sits at the extreme southeastern end of a district stretching in a 100-mile-long loop around Fort Worth. See Appendix D, infra. [Omitted—see printed edition.]</w:t>
      </w:r>
    </w:p>
    <w:p w:rsidR="00A31137" w:rsidRPr="00A31137" w:rsidRDefault="00A31137" w:rsidP="00A31137">
      <w:r w:rsidRPr="00A31137">
        <w:t>1996, Bush v. Vera, No. 94-805</w:t>
      </w:r>
    </w:p>
    <w:p w:rsidR="00A31137" w:rsidRPr="00A31137" w:rsidRDefault="00A31137" w:rsidP="00A31137">
      <w:r w:rsidRPr="00A31137">
        <w:t>12. The plurality suggests that these communities were shed from District 30 in a "suspect use of race as a proxy to further neighboring incumbents' interests." Ante at ___; see also id. at ___, n. *. I had thought, however, that the Court's concern in these cases was the "resemblance to political apartheid" involved in the creation of majority minority districts. Shaw I, 509 U.S. at  647. I do not see how the decision to include minority communities in a neighboring majority white district bears any resemblance to such "apartheid" or, for that matter, how it has any relevance to the validity of the creation of a district from which those minority communities have been excluded. See also infra at ___.</w:t>
      </w:r>
    </w:p>
    <w:p w:rsidR="00A31137" w:rsidRPr="00A31137" w:rsidRDefault="00A31137" w:rsidP="00A31137">
      <w:r w:rsidRPr="00A31137">
        <w:t>1996, Bush v. Vera, No. 94-805</w:t>
      </w:r>
    </w:p>
    <w:p w:rsidR="00A31137" w:rsidRPr="00A31137" w:rsidRDefault="00A31137" w:rsidP="00A31137">
      <w:r w:rsidRPr="00A31137">
        <w:t>13. See, e.g., 3 Tr. 187 (testimony of Christopher Sharman: "[A]ny time you took part of a district away on one end, you would usually squeeze or push the district out on another end; and in this case, most of the time the district would get pushed to the north").</w:t>
      </w:r>
    </w:p>
    <w:p w:rsidR="00A31137" w:rsidRPr="00A31137" w:rsidRDefault="00A31137" w:rsidP="00A31137">
      <w:r w:rsidRPr="00A31137">
        <w:t>1996, Bush v. Vera, No. 94-805</w:t>
      </w:r>
    </w:p>
    <w:p w:rsidR="00A31137" w:rsidRPr="00A31137" w:rsidRDefault="00A31137" w:rsidP="00A31137">
      <w:r w:rsidRPr="00A31137">
        <w:t>14. The author of the District Court opinion was herself aware of these political realities. See id. at 194 (Jones, J., noting that Johnson didn't want anything to do with the Park Cities because she "[d]idn't want competition from Ross Perot"). In light of this recognition, it is difficult to understand why the District Court described District 30's efforts to avoid that community as a contributing factor to the allegedly race-based bizarreness of the district borders. See 861 F.Supp. at 1337; ante at ___.</w:t>
      </w:r>
    </w:p>
    <w:p w:rsidR="00A31137" w:rsidRPr="00A31137" w:rsidRDefault="00A31137" w:rsidP="00A31137">
      <w:r w:rsidRPr="00A31137">
        <w:t>1996, Bush v. Vera, No. 94-805</w:t>
      </w:r>
    </w:p>
    <w:p w:rsidR="00A31137" w:rsidRPr="00A31137" w:rsidRDefault="00A31137" w:rsidP="00A31137">
      <w:r w:rsidRPr="00A31137">
        <w:t>15. Because political boundaries are more closely packed in urban than in rural areas, drawing lines based on such boundaries will almost always require tighter twists and turns in urban districts than in rural districts. Significantly, the three districts struck down by the District Court are the only three districts in the entire State with population densities of over 2,000 persons per square mile. See U.S. Dept. of Commerce, Bureau of the Census, Population and Housing Characteristics for Congressional Districts of the 103d Congress: Texas 40-44 (Feb. 1993). If enough empty land were added to these districts that they matched the sparse densities of rural districts (such as District 28, which was upheld by the District Court), their turns would not appear so sharp, and the open space, without its demographic implications, could smooth the deepest of the districts' notches.</w:t>
      </w:r>
    </w:p>
    <w:p w:rsidR="00A31137" w:rsidRPr="00A31137" w:rsidRDefault="00A31137" w:rsidP="00A31137">
      <w:r w:rsidRPr="00A31137">
        <w:t>1996, Bush v. Vera, No. 94-805</w:t>
      </w:r>
    </w:p>
    <w:p w:rsidR="00A31137" w:rsidRPr="00A31137" w:rsidRDefault="00A31137" w:rsidP="00A31137">
      <w:r w:rsidRPr="00A31137">
        <w:t>16. As Democratic communities were identified, they had to be connected with the core of the district. Although Texas has no state statutory or constitutional requirement to that effect, state legislators agreed that each of the 30 districts should be entirely contiguous, permitting any candidate, map in hand, to visit every residence in her district without leaving it.</w:t>
      </w:r>
    </w:p>
    <w:p w:rsidR="00A31137" w:rsidRPr="00A31137" w:rsidRDefault="00A31137" w:rsidP="00A31137">
      <w:r w:rsidRPr="00A31137">
        <w:t>1996, Bush v. Vera, No. 94-805</w:t>
      </w:r>
    </w:p>
    <w:p w:rsidR="00A31137" w:rsidRPr="00A31137" w:rsidRDefault="00A31137" w:rsidP="00A31137">
      <w:r w:rsidRPr="00A31137">
        <w:t>17. Incumbents influenced the shape of districts in other ways. Both District 30 and District 29, for instance, detoured to include portions of the state legislative districts that were being represented by the state legislators who hoped to run for Congress. See, e.g., State's Exh. 31 (showing that portion of Tarrant County included in District 30 had been part of Johnson's State Senate district). In some cases, legislators drew districts to avoid the residences of potential primary challengers. See 3 Tr. 192-193; 4 id. at 46. Incumbents also sought to include communities that they expected (or knew) to contain particularly active supporters; this interest in "active" voters often trumped any desire to ensure a particular racial makeup. See 3 id. at 190; 4 id. at 40-41; 861 F.Supp. at 1320.</w:t>
      </w:r>
    </w:p>
    <w:p w:rsidR="00A31137" w:rsidRPr="00A31137" w:rsidRDefault="00A31137" w:rsidP="00A31137">
      <w:r w:rsidRPr="00A31137">
        <w:t>1996, Bush v. Vera, No. 94-805</w:t>
      </w:r>
    </w:p>
    <w:p w:rsidR="00A31137" w:rsidRPr="00A31137" w:rsidRDefault="00A31137" w:rsidP="00A31137">
      <w:r w:rsidRPr="00A31137">
        <w:t>18. While two extremely noncompact majority Anglo districts in Texas (Districts 3 and 25) might be able to blame part (though by no means all) of their contortions on their contiguity with the majority minority districts, District 6 has little excuse. Although it shares a border with District 30 for a short distance, that stretch is one of the straightest in either of the districts, running almost entirely along the county line through the Dallas-Fort Worth International Airport. See Appendix D, infra. [Omitted—see printed edition.]</w:t>
      </w:r>
    </w:p>
    <w:p w:rsidR="00A31137" w:rsidRPr="00A31137" w:rsidRDefault="00A31137" w:rsidP="00A31137">
      <w:r w:rsidRPr="00A31137">
        <w:t>1996, Bush v. Vera, No. 94-805</w:t>
      </w:r>
    </w:p>
    <w:p w:rsidR="00A31137" w:rsidRPr="00A31137" w:rsidRDefault="00A31137" w:rsidP="00A31137">
      <w:r w:rsidRPr="00A31137">
        <w:t>As for the obligatory florid description: District 6 has far less of an identifiable core than any of the majority minority districts struck down by the District Court. To the extent that it "begins" anywhere, it is probably near the home of incumbent Rep. Barton in Ennis, located almost 40 miles southwest of Downtown Dallas. From there, the district winds across predominantly rural sections of Ellis County, finally crossing into Tarrant County, the home of Fort Worth. It skips across two arms of Joe Pool Lake, noses its way into Dallas County, and then travels through predominantly Republican suburbs of Fort Worth. Nearing the central city, the borders dart into the downtown area, then retreat to curl around the city's northern edge, picking up the airport and growing suburbs north of town. Worn from its travels into the far northwestern corner of the county (almost 70 miles, as the crow flies, from Ennis), the district lines plunge south into Eagle Mountain Lake, traveling along the waterline for miles, with occasional detours to collect voters that have built homes along its shores. Refreshed, the district rediscovers its roots in rural Parker County, then flows back toward Fort Worth from the southwest for another bite at Republican voters near the heart of that city. As it does so, the district narrows in places to not much more than a football field in width. Finally, it heads back into the rural regions of its fifth county—Johnson—where it finally exhausts itself only 50 miles from its origin, but hundreds of "miles apart in distance and worlds apart in culture." Miller, 515 U.S. at ___ (describing a similar combined rural/urban district).</w:t>
      </w:r>
    </w:p>
    <w:p w:rsidR="00A31137" w:rsidRPr="00A31137" w:rsidRDefault="00A31137" w:rsidP="00A31137">
      <w:r w:rsidRPr="00A31137">
        <w:t>1996, Bush v. Vera, No. 94-805</w:t>
      </w:r>
    </w:p>
    <w:p w:rsidR="00A31137" w:rsidRPr="00A31137" w:rsidRDefault="00A31137" w:rsidP="00A31137">
      <w:r w:rsidRPr="00A31137">
        <w:t>19. Seeking specific examples, the plurality makes much hay over a portion of Collin County located just over the county line north of Dallas. See ante at ___. There, District 30 excludes a portion of a precinct that voted Democratic in 1990, and maps "exactly onto the only area in the southern half of th[e] county with a [minority] percentage population in excess of 50%." Ante at ___.</w:t>
      </w:r>
    </w:p>
    <w:p w:rsidR="00A31137" w:rsidRPr="00A31137" w:rsidRDefault="00A31137" w:rsidP="00A31137">
      <w:r w:rsidRPr="00A31137">
        <w:t>1996, Bush v. Vera, No. 94-805</w:t>
      </w:r>
    </w:p>
    <w:p w:rsidR="00A31137" w:rsidRPr="00A31137" w:rsidRDefault="00A31137" w:rsidP="00A31137">
      <w:r w:rsidRPr="00A31137">
        <w:t>The map to which the plurality refers, however, groups the minority percentage by precinct, and since precincts are defined by the district boundaries, it is no surprise that the district maps "exactly" onto the precinct. See App. 153. (One might similarly argue that "District 30 maps exactly onto the only area in all of North Texas that is 50% black," but such a statement reveals little about the underlying demographics of specific sections of the district.) The more telling maps are the census block maps, which demonstrate that the Collin County section of District 30 contains many more census blocks of less than 25% minority population than it does blocks that are more than 50% minority. See State's Exhibits 45 and 46 (exhibit 45 is reproduced, in part, as Appendix D, infra). [Omitted—see printed edition.] Even if those majority white blocks have relatively small populations, they were nonetheless included, suggesting that the creation of the district was not as single-mindedly focused on race as the Court and the District Court assume.Even more significant is the fact that the new precinct leaned overwhelmingly Democratic in the 1992 election, while the portion of the precinct that was not included in District 30 voted overwhelmingly Republican. See State's Exh. 9B (Collin County). While the excluded portion of the 1990 precinct may have been dropped, in part, to help comply with the State's goals under the Voting Rights Act, it also involved a successful effort to maximize Democratic votes while avoiding Republican votes.</w:t>
      </w:r>
    </w:p>
    <w:p w:rsidR="00A31137" w:rsidRPr="00A31137" w:rsidRDefault="00A31137" w:rsidP="00A31137">
      <w:r w:rsidRPr="00A31137">
        <w:t>1996, Bush v. Vera, No. 94-805</w:t>
      </w:r>
    </w:p>
    <w:p w:rsidR="00A31137" w:rsidRPr="00A31137" w:rsidRDefault="00A31137" w:rsidP="00A31137">
      <w:r w:rsidRPr="00A31137">
        <w:t>20. See 861 F.Supp. at 1312 (Black population in Dallas County is 362,130); Bureau of Census, Population and Housing Unit Counts 185 (Oct. 1993) (total population of Dallas County is 1,852,810).</w:t>
      </w:r>
    </w:p>
    <w:p w:rsidR="00A31137" w:rsidRPr="00A31137" w:rsidRDefault="00A31137" w:rsidP="00A31137">
      <w:r w:rsidRPr="00A31137">
        <w:t>1996, Bush v. Vera, No. 94-805</w:t>
      </w:r>
    </w:p>
    <w:p w:rsidR="00A31137" w:rsidRPr="00A31137" w:rsidRDefault="00A31137" w:rsidP="00A31137">
      <w:r w:rsidRPr="00A31137">
        <w:t>21. Several responses to the plurality's specific examples are worth making, however. In Collin County, the plurality relies on the fact that the "combined African American and Hispanic" population in the Collin County extremity of the northern appendage to District 30 is in excess of 50%. Ante at ___. But District 30 was created with an eye to a majority black population, rather than a majority minority population, so the more relevant facts are that (i) African Americans make up only 19.8 percent of the Collin County appendage, App. 331, (ii) those African Americans consist of only two-tenths of one percent of the entire population in the District, ibid. and (iii) this appendage contains more majority white census blocks than it does majority minority census blocks, see State's Exh. 45.</w:t>
      </w:r>
    </w:p>
    <w:p w:rsidR="00A31137" w:rsidRPr="00A31137" w:rsidRDefault="00A31137" w:rsidP="00A31137">
      <w:r w:rsidRPr="00A31137">
        <w:t>1996, Bush v. Vera, No. 94-805</w:t>
      </w:r>
    </w:p>
    <w:p w:rsidR="00A31137" w:rsidRPr="00A31137" w:rsidRDefault="00A31137" w:rsidP="00A31137">
      <w:r w:rsidRPr="00A31137">
        <w:t>The plurality also points out that a small portion of one of the tentacles—the one that extends west into Tarrant County—contains an African American majority.  Ante at ___. It would be implausible to claim, however, that race was the "predominant" reason that this community was included in District 30. First, the community had been part of Senator Johnson's state legislative district, see n. 17, supra; second, it also includes majority white census blocks; and third, the total population in that portion of the district is less than 2,000 people. App. 331. Finally, and more important, the population of the entire western tentacle (at the tip of which is the Tarrant County community) is only 29% black, see State's Exh. 33—less than half the proportion of minorities in the core of the district.</w:t>
      </w:r>
    </w:p>
    <w:p w:rsidR="00A31137" w:rsidRPr="00A31137" w:rsidRDefault="00A31137" w:rsidP="00A31137">
      <w:r w:rsidRPr="00A31137">
        <w:t>1996, Bush v. Vera, No. 94-805</w:t>
      </w:r>
    </w:p>
    <w:p w:rsidR="00A31137" w:rsidRPr="00A31137" w:rsidRDefault="00A31137" w:rsidP="00A31137">
      <w:r w:rsidRPr="00A31137">
        <w:t>22. Indeed, if the "appendages" to District 30 reaching into neighboring counties were cut off, the proportion of African Americans in the resulting District would actually increase. See App. 331. As presently constituted, District 30 includes 566,217 people, of which 283,225 (or 50.02%) are African American. If the Tarrant County and Collin County portions of the district were removed, the resulting district would have 557,218 people, of which 280,620 (or 50.36%) would be African American. While the resulting District would not include the "zero deviation" necessary under Reynolds v. Sims and its progeny, see n. 10, supra, the missing population could easily be acquired in majority black census blocks adjacent to District 30's southern and eastern edge, thereby increasing the proportion of black population still further. Because the alleged racial goals of the District could be achieved more effectively by making the District more compact, I simply do not comprehend how the Court can conclude that the effort to create a majority minority district "predominated" over other, race-neutral goals.</w:t>
      </w:r>
    </w:p>
    <w:p w:rsidR="00A31137" w:rsidRPr="00A31137" w:rsidRDefault="00A31137" w:rsidP="00A31137">
      <w:r w:rsidRPr="00A31137">
        <w:t>1996, Bush v. Vera, No. 94-805</w:t>
      </w:r>
    </w:p>
    <w:p w:rsidR="00A31137" w:rsidRPr="00A31137" w:rsidRDefault="00A31137" w:rsidP="00A31137">
      <w:r w:rsidRPr="00A31137">
        <w:t>23. Testimony by individuals is relevant, but hardly dispositive evidence of collective motivations. See n. 9, supra. It may be true that the most important concern motivating Senator Johnson, the Chairman of the Senate Districting Committee, was her desire to create the first Congressional District in the history of the State in which African Americans were in the majority. Johnson never testified, however, that racial considerations were the sole concern motivating the changes to the shapes of the districts. See, e.g., App. 454-456 (certain areas that were minority communities were assigned to Anglo incumbents because of incumbent power), id. at 459 ("just as 30 went looking for friendly territory as well regardless of color, [the incumbents] went looking for friendly territory regardless of color"). Since this testimony was not only irrelevant to the § 2 proceedings but arguably harmful to her claim there that racial considerations had been taken into account, these admissions are particularly telling.</w:t>
      </w:r>
    </w:p>
    <w:p w:rsidR="00A31137" w:rsidRPr="00A31137" w:rsidRDefault="00A31137" w:rsidP="00A31137">
      <w:r w:rsidRPr="00A31137">
        <w:t>1996, Bush v. Vera, No. 94-805</w:t>
      </w:r>
    </w:p>
    <w:p w:rsidR="00A31137" w:rsidRPr="00A31137" w:rsidRDefault="00A31137" w:rsidP="00A31137">
      <w:r w:rsidRPr="00A31137">
        <w:t>To the extent that testimony of individual legislators is relevant, the following statements from the floor of the Texas House confirm that many legislators viewed these districts as political, not racial, gerrymanders:</w:t>
      </w:r>
    </w:p>
    <w:p w:rsidR="00A31137" w:rsidRPr="00A31137" w:rsidRDefault="00A31137" w:rsidP="00A31137">
      <w:r w:rsidRPr="00A31137">
        <w:t>1996, Bush v. Vera, No. 94-805</w:t>
      </w:r>
    </w:p>
    <w:p w:rsidR="00A31137" w:rsidRPr="00A31137" w:rsidRDefault="00A31137" w:rsidP="00A31137">
      <w:r w:rsidRPr="00A31137">
        <w:t>This plan was drawn to protect incumbents…. [I]n order to protect an incumbent Dallas congressman and an incumbent Houston congressman, county lines were not respected, urban boundaries were not respected, precinct boundaries were not respected.</w:t>
      </w:r>
    </w:p>
    <w:p w:rsidR="00A31137" w:rsidRPr="00A31137" w:rsidRDefault="00A31137" w:rsidP="00A31137">
      <w:r w:rsidRPr="00A31137">
        <w:t>1996, Bush v. Vera, No. 94-805</w:t>
      </w:r>
    </w:p>
    <w:p w:rsidR="00A31137" w:rsidRPr="00A31137" w:rsidRDefault="00A31137" w:rsidP="00A31137">
      <w:r w:rsidRPr="00A31137">
        <w:t>Id. at 374-375 (statement of Rep. Ogden).</w:t>
      </w:r>
    </w:p>
    <w:p w:rsidR="00A31137" w:rsidRPr="00A31137" w:rsidRDefault="00A31137" w:rsidP="00A31137">
      <w:r w:rsidRPr="00A31137">
        <w:t>1996, Bush v. Vera, No. 94-805</w:t>
      </w:r>
    </w:p>
    <w:p w:rsidR="00A31137" w:rsidRPr="00A31137" w:rsidRDefault="00A31137" w:rsidP="00A31137">
      <w:r w:rsidRPr="00A31137">
        <w:t>With the adoption of this plan, you will have 8 Republican Congressmen out of 30. That's de facto regression, and provides for less Republican representation in Washington, D.C.</w:t>
      </w:r>
    </w:p>
    <w:p w:rsidR="00A31137" w:rsidRPr="00A31137" w:rsidRDefault="00A31137" w:rsidP="00A31137">
      <w:r w:rsidRPr="00A31137">
        <w:t>1996, Bush v. Vera, No. 94-805</w:t>
      </w:r>
    </w:p>
    <w:p w:rsidR="00A31137" w:rsidRPr="00A31137" w:rsidRDefault="00A31137" w:rsidP="00A31137">
      <w:r w:rsidRPr="00A31137">
        <w:t>Communities throughout the State are surgically split in what appears to be illogical, irrational and erratic pattern[s]. But if you look at election data throughout the State, you'll find that these lines are very logical and very rational. The lines have been drawn, dissecting communities very creatively in order to pack Republicans and maximize Democratic representation.</w:t>
      </w:r>
    </w:p>
    <w:p w:rsidR="00A31137" w:rsidRPr="00A31137" w:rsidRDefault="00A31137" w:rsidP="00A31137">
      <w:r w:rsidRPr="00A31137">
        <w:t>1996, Bush v. Vera, No. 94-805</w:t>
      </w:r>
    </w:p>
    <w:p w:rsidR="00A31137" w:rsidRPr="00A31137" w:rsidRDefault="00A31137" w:rsidP="00A31137">
      <w:r w:rsidRPr="00A31137">
        <w:t>Id. at 376 (statement of Rep. Gusendorf). See also id. at 377-380 (statement of Rep. Gusendorf illustrating the gerrymandering process by reference to District 6, not a majority minority district). These gerrymanders</w:t>
      </w:r>
    </w:p>
    <w:p w:rsidR="00A31137" w:rsidRPr="00A31137" w:rsidRDefault="00A31137" w:rsidP="00A31137">
      <w:r w:rsidRPr="00A31137">
        <w:t>1996, Bush v. Vera, No. 94-805</w:t>
      </w:r>
    </w:p>
    <w:p w:rsidR="00A31137" w:rsidRPr="00A31137" w:rsidRDefault="00A31137" w:rsidP="00A31137">
      <w:r w:rsidRPr="00A31137">
        <w:t>d[o] not have to happen. It has nothing to do with fairness. It has nothing to do with minority representation, because if we were really concerned about minority representation, we would have drawn this map in such a way that the minorities were considered, and not simply to elect Democrats.</w:t>
      </w:r>
    </w:p>
    <w:p w:rsidR="00A31137" w:rsidRPr="00A31137" w:rsidRDefault="00A31137" w:rsidP="00A31137">
      <w:r w:rsidRPr="00A31137">
        <w:t>1996, Bush v. Vera, No. 94-805</w:t>
      </w:r>
    </w:p>
    <w:p w:rsidR="00A31137" w:rsidRPr="00A31137" w:rsidRDefault="00A31137" w:rsidP="00A31137">
      <w:r w:rsidRPr="00A31137">
        <w:t>Id. at 384 (statement of Rep. Hill).</w:t>
      </w:r>
    </w:p>
    <w:p w:rsidR="00A31137" w:rsidRPr="00A31137" w:rsidRDefault="00A31137" w:rsidP="00A31137">
      <w:r w:rsidRPr="00A31137">
        <w:t>1996, Bush v. Vera, No. 94-805</w:t>
      </w:r>
    </w:p>
    <w:p w:rsidR="00A31137" w:rsidRPr="00A31137" w:rsidRDefault="00A31137" w:rsidP="00A31137">
      <w:r w:rsidRPr="00A31137">
        <w:t>24. It is ironic and slightly unfair for the plurality and District Court to use the State's § 5 submission and Congresswoman Johnson's testimony in a § 2 challenge to the congressional district as evidence against them in this case. See, e.g., 861 F.Supp. at 1319-1321, 1338-1339; ante at ___. Both of those proceedings required the State to assure the Attorney General and a federal court, respectively, that the State had adequately considered the interests of minority voters in the 1991 redistricting process. Under such circumstances, it is not at all surprising that the relevant declarant would limit his or her comments to the role that race played in the redistricting process, for other considerations were largely irrelevant (the District Court's opinion to the contrary notwithstanding, see 861 F.Supp. at 1339).</w:t>
      </w:r>
    </w:p>
    <w:p w:rsidR="00A31137" w:rsidRPr="00A31137" w:rsidRDefault="00A31137" w:rsidP="00A31137">
      <w:r w:rsidRPr="00A31137">
        <w:t>1996, Bush v. Vera, No. 94-805</w:t>
      </w:r>
    </w:p>
    <w:p w:rsidR="00A31137" w:rsidRPr="00A31137" w:rsidRDefault="00A31137" w:rsidP="00A31137">
      <w:r w:rsidRPr="00A31137">
        <w:t>25. As JUSTICE GINSBURG noted in her dissent in Miller, "ethnicity itself can tie people together" in communities of interest. Miller, 515 U.S. at ___; see also Rogers v. Lodge, 458 U.S. 613, 651 (1982) (STEVENS, J., dissenting) ("Whenever identifiable groups in our society are disadvantaged, they will share common political interests and tend to vote as a 'bloc'"). Furthermore, it may be that the very fact of racial block voting, a prerequisite to § 2 liability, see Thornburgh v. Gingles, 478 U.S. 30, 51 (1986), (and, under the Court's recent jurisprudence, to the voluntary formation of a majority minority district), demonstrates the presence of a minority community. While communities based on race may merit a more skeptical review to ensure that a bond, rather than mere stereotyping, ties the community, see 861 F.Supp. at 1338, recognition of such a community in an electoral district certainly could, in certain circumstances, serve as a legitimate race-neutral explanation for particularly odd district shapes. By suggesting the contrary, I believe that the District Court erred. See ibid; post at ___ (SOUTER, J., dissenting).</w:t>
      </w:r>
    </w:p>
    <w:p w:rsidR="00A31137" w:rsidRPr="00A31137" w:rsidRDefault="00A31137" w:rsidP="00A31137">
      <w:r w:rsidRPr="00A31137">
        <w:t>1996, Bush v. Vera, No. 94-805</w:t>
      </w:r>
    </w:p>
    <w:p w:rsidR="00A31137" w:rsidRPr="00A31137" w:rsidRDefault="00A31137" w:rsidP="00A31137">
      <w:r w:rsidRPr="00A31137">
        <w:t>26. The District Court's legal analysis was probably flawed in part because its decision was issued before this Court announced its opinion in Miller.</w:t>
      </w:r>
    </w:p>
    <w:p w:rsidR="00A31137" w:rsidRPr="00A31137" w:rsidRDefault="00A31137" w:rsidP="00A31137">
      <w:r w:rsidRPr="00A31137">
        <w:t>1996, Bush v. Vera, No. 94-805</w:t>
      </w:r>
    </w:p>
    <w:p w:rsidR="00A31137" w:rsidRPr="00A31137" w:rsidRDefault="00A31137" w:rsidP="00A31137">
      <w:r w:rsidRPr="00A31137">
        <w:t>27. While it may be that the political gerrymandering in this case is "different in degree" from that previously recognized, 861 F.Supp. at 1334, I do not believe that the reference in Shaw I and Miller to "traditional" districting principles, see Shaw I, 509 U.S. at  642; Miller, 515 U.S. at ___, was intended to prohibit a State from changing the process or policies underlying the complex negotiating process that is modern redistricting.</w:t>
      </w:r>
    </w:p>
    <w:p w:rsidR="00A31137" w:rsidRPr="00A31137" w:rsidRDefault="00A31137" w:rsidP="00A31137">
      <w:r w:rsidRPr="00A31137">
        <w:t>1996, Bush v. Vera, No. 94-805</w:t>
      </w:r>
    </w:p>
    <w:p w:rsidR="00A31137" w:rsidRPr="00A31137" w:rsidRDefault="00A31137" w:rsidP="00A31137">
      <w:r w:rsidRPr="00A31137">
        <w:t>28. The plurality expresses particular concern over the use of computer programs, particularly the availability of block-by-block racial data, and argues that the State's effort to "compile[] detailed racial data," ante at ___, is evidence of the controlling role of race in the computer-dominated process of redistricting. See ante at ___; 861 F.Supp. at 1318-1319. It is worth noting, however, that the State made no particular "effort" to gather this data; it was included, along with similarly detailed information about sex, age, and income levels, in the data set provided by the Census Bureau and imported wholesale into the State's redistricting computers. Cf. Shaw, 861 F.Supp. at 457. Furthermore, even if the computer was used to fine tune the district lines to ensure that minority communities were included in District 30 (rather than individualized requests from candidates and their staffers on the basis of block-level data, see supra at ___), such a technique amounts to little more than the use of a particularly efficient and accurate means of ensuring that the intended nature of the district was not undermined as incumbency protection forced it out of a compact district. I do not suggest that the end can always justify the means, but if those means are no more invidious than the end itself, I do not understand why their use should affect the analysis. I would not condemn state legislation merely because it was based on accurate information.</w:t>
      </w:r>
    </w:p>
    <w:p w:rsidR="00A31137" w:rsidRPr="00A31137" w:rsidRDefault="00A31137" w:rsidP="00A31137">
      <w:r w:rsidRPr="00A31137">
        <w:t>1996, Bush v. Vera, No. 94-805</w:t>
      </w:r>
    </w:p>
    <w:p w:rsidR="00A31137" w:rsidRPr="00A31137" w:rsidRDefault="00A31137" w:rsidP="00A31137">
      <w:r w:rsidRPr="00A31137">
        <w:t>29.</w:t>
      </w:r>
    </w:p>
    <w:p w:rsidR="00A31137" w:rsidRPr="00A31137" w:rsidRDefault="00A31137" w:rsidP="00A31137">
      <w:r w:rsidRPr="00A31137">
        <w:t>1996, Bush v. Vera, No. 94-805</w:t>
      </w:r>
    </w:p>
    <w:p w:rsidR="00A31137" w:rsidRPr="00A31137" w:rsidRDefault="00A31137" w:rsidP="00A31137">
      <w:r w:rsidRPr="00A31137">
        <w:t>A prediction based on a racial characteristics is not necessarily more reliable than a prediction based on some other group characteristic. Nor, since a legislator's ultimate purpose in making the prediction is political in character, is it necessarily more invidious or benign than a prediction based on other group characteristics. In the line-drawing process, racial, religious, ethnic, and economic gerrymanders are all species of political gerrymanders.</w:t>
      </w:r>
    </w:p>
    <w:p w:rsidR="00A31137" w:rsidRPr="00A31137" w:rsidRDefault="00A31137" w:rsidP="00A31137">
      <w:r w:rsidRPr="00A31137">
        <w:t>1996, Bush v. Vera, No. 94-805</w:t>
      </w:r>
    </w:p>
    <w:p w:rsidR="00A31137" w:rsidRPr="00A31137" w:rsidRDefault="00A31137" w:rsidP="00A31137">
      <w:r w:rsidRPr="00A31137">
        <w:t>Mobile v. Bolden, 446 U.S. 55,  88 (1980) (STEVENS, J., concurring in judgment) (footnote omitted).</w:t>
      </w:r>
    </w:p>
    <w:p w:rsidR="00A31137" w:rsidRPr="00A31137" w:rsidRDefault="00A31137" w:rsidP="00A31137">
      <w:r w:rsidRPr="00A31137">
        <w:t>1996, Bush v. Vera, No. 94-805</w:t>
      </w:r>
    </w:p>
    <w:p w:rsidR="00A31137" w:rsidRPr="00A31137" w:rsidRDefault="00A31137" w:rsidP="00A31137">
      <w:r w:rsidRPr="00A31137">
        <w:t>To the extent that a political prediction based on race is incorrect, the voters have an entirely obvious way to ensure that such irrationality is not relied upon in the future: vote for a different party. A legislator relying on racial demographics to ensure his or her election will learn a swift lesson if the presumptions upon which that reliance was based are incorrect.</w:t>
      </w:r>
    </w:p>
    <w:p w:rsidR="00A31137" w:rsidRPr="00A31137" w:rsidRDefault="00A31137" w:rsidP="00A31137">
      <w:r w:rsidRPr="00A31137">
        <w:t>1996, Bush v. Vera, No. 94-805</w:t>
      </w:r>
    </w:p>
    <w:p w:rsidR="00A31137" w:rsidRPr="00A31137" w:rsidRDefault="00A31137" w:rsidP="00A31137">
      <w:r w:rsidRPr="00A31137">
        <w:t>30. I find it particularly ironic that the Court considers the use of race verboten in this benign context, while the Court just recently, on the basis of evidence that, inter alia, "[m]ore than 90% of the persons sentenced in 1994 for crack cocaine trafficking were black," dismissed out-of-hand the Ninth Circuit's assumption that "people of all races commit all types of crimes." United States v. Armstrong, 517 U.S. ___, ___ (1996). The Ninth Circuit's conclusion, it seems to me, is a model of the sort of race-neutral decisionmaking that this Court insists should be a part of constitutional decisionmaking processes.</w:t>
      </w:r>
    </w:p>
    <w:p w:rsidR="00A31137" w:rsidRPr="00A31137" w:rsidRDefault="00A31137" w:rsidP="00A31137">
      <w:r w:rsidRPr="00A31137">
        <w:t>1996, Bush v. Vera, No. 94-805</w:t>
      </w:r>
    </w:p>
    <w:p w:rsidR="00A31137" w:rsidRPr="00A31137" w:rsidRDefault="00A31137" w:rsidP="00A31137">
      <w:r w:rsidRPr="00A31137">
        <w:t>31. Although I conclude that no reasonable interpretation of the record would require the application of strict scrutiny to District 30, I believe for the reasons that follow that it, too, would survive strict scrutiny if it were to be subject to that level of review.</w:t>
      </w:r>
    </w:p>
    <w:p w:rsidR="00A31137" w:rsidRPr="00A31137" w:rsidRDefault="00A31137" w:rsidP="00A31137">
      <w:r w:rsidRPr="00A31137">
        <w:t>1996, Bush v. Vera, No. 94-805</w:t>
      </w:r>
    </w:p>
    <w:p w:rsidR="00A31137" w:rsidRPr="00A31137" w:rsidRDefault="00A31137" w:rsidP="00A31137">
      <w:r w:rsidRPr="00A31137">
        <w:t>32. While I believe that the evidence supporting the State's conclusions in this regard is stronger than that suggested by the plurality or JUSTICE KENNEDY in his concurring opinion, I will simply assume arguendo, as the plurality does, that the State had a reasonable fear of liability under § 2. See also supra at ___.</w:t>
      </w:r>
    </w:p>
    <w:p w:rsidR="00A31137" w:rsidRPr="00A31137" w:rsidRDefault="00A31137" w:rsidP="00A31137">
      <w:r w:rsidRPr="00A31137">
        <w:t>1996, Bush v. Vera, No. 94-805</w:t>
      </w:r>
    </w:p>
    <w:p w:rsidR="00A31137" w:rsidRPr="00A31137" w:rsidRDefault="00A31137" w:rsidP="00A31137">
      <w:r w:rsidRPr="00A31137">
        <w:t>33. Even if the Court in Shaw II is correct in asserting that North Carolina's District 12 would not have allowed the State to avoid liability under § 2, see ante at ___, no such plausible argument could be made in this case. The core of District 30, for instance, contains more than half of all the African American population in the District, and coincides precisely with the heart of the compact community that the State reasonably believes would give rise to a § 2 violation were it not placed in a majority minority district. The same facts are true with respect to the Houston districts.</w:t>
      </w:r>
    </w:p>
    <w:p w:rsidR="00A31137" w:rsidRPr="00A31137" w:rsidRDefault="00A31137" w:rsidP="00A31137">
      <w:r w:rsidRPr="00A31137">
        <w:t>1996, Bush v. Vera, No. 94-805</w:t>
      </w:r>
    </w:p>
    <w:p w:rsidR="00A31137" w:rsidRPr="00A31137" w:rsidRDefault="00A31137" w:rsidP="00A31137">
      <w:r w:rsidRPr="00A31137">
        <w:t>34. The difficulty of balancing between these competing legal requirements will only be exacerbated by the ability of litigants (and courts) to use evidence proffered in defense by the State or its actors in one context as evidence against the State in another. See n. 24, supra. While there is nothing wrong with using prior inconsistent statements (to the extent that they really are inconsistent), States will be all the more unwilling to enter into the process at all, given the certainty that they will be subject to suits in which evidence offered in one as defense will be fodder for the plaintiffs in another.</w:t>
      </w:r>
    </w:p>
    <w:p w:rsidR="00A31137" w:rsidRPr="00A31137" w:rsidRDefault="00A31137" w:rsidP="00A31137">
      <w:r w:rsidRPr="00A31137">
        <w:t>1996, Bush v. Vera, No. 94-805</w:t>
      </w:r>
    </w:p>
    <w:p w:rsidR="00A31137" w:rsidRPr="00A31137" w:rsidRDefault="00A31137" w:rsidP="00A31137">
      <w:r w:rsidRPr="00A31137">
        <w:t>35. The contrary is also possible, of course. Perhaps the burgeoning role of federal courts in this process, along with their relative isolation from the political pressures that motivate legislatures to bend district lines, will mean that there will actually be fewer politically gerrymandered districts. Regardless of whether political gerrymanders are more or less prevalent after our decisions today, my point is the same: the Court has its heirarchy of values upside-down.</w:t>
      </w:r>
    </w:p>
    <w:p w:rsidR="00A31137" w:rsidRPr="00A31137" w:rsidRDefault="00A31137" w:rsidP="00A31137">
      <w:r w:rsidRPr="00A31137">
        <w:t>1996, Bush v. Vera, No. 94-805</w:t>
      </w:r>
    </w:p>
    <w:p w:rsidR="00A31137" w:rsidRPr="00A31137" w:rsidRDefault="00A31137" w:rsidP="00A31137">
      <w:r w:rsidRPr="00A31137">
        <w:t>36. My view that a State may act unconstitutionally by gerrymandering to minimize the influence of a group on the political process is consistent with the belief that there is no constitutional error in the drawing of district lines based on benign racial considerations. As Justice Powell noted in his opinion in Davis v. Bandemer, 478 U.S. at  165, there is a sharp distinction between "gerrymandering in the 'loose' sense" (i.e., the drawing of district lines to advance general political and social goals), and "gerrymandering that amounts to unconstitutional discrimination" (i.e., the drawing of district lines for the sole purpose of "'occupy[ing] a position of strength at a particular time, or to disadvantage a politically weak segment of the community'"), id. at  164 (citing Karcher, 462 U.S. at 748 (STEVENS, J., concurring)). See also 478 U.S. at  125, n. 9 ("[A] preference for nonpartisan as opposed to partisan gerrymanders…. merely recognizes that nonpartisan gerrymanders in fact are aimed at guaranteeing rather than infringing fair group representation"). While I believe that allegations of discriminatory intent and impact, if proved, should give rise to a constitutional violation, Shaw, Miller, and this case, all involve allegations of both impact and intent that are far more diffuse than the allegations to which we have traditionally directed our most rigorous review. See Shaw II, ante, at ___ (STEVENS, J., dissenting); cf. Gomillion v. Lightfoot, 364 U.S. 339 (1960). Limiting the constitutional ban on gerrymandering to those claims alleging that a specific group (as opposed to every group) has been harmed would be far more consistent with prior precedent than the Court's still-developing jurisprudence of racial gerrymandering.</w:t>
      </w:r>
    </w:p>
    <w:p w:rsidR="00A31137" w:rsidRPr="00A31137" w:rsidRDefault="00A31137" w:rsidP="00A31137">
      <w:r w:rsidRPr="00A31137">
        <w:t>1996, Bush v. Vera, No. 94-805</w:t>
      </w:r>
    </w:p>
    <w:p w:rsidR="00A31137" w:rsidRPr="00A31137" w:rsidRDefault="00A31137" w:rsidP="00A31137">
      <w:r w:rsidRPr="00A31137">
        <w:t>37. Compare 51 Congressional Quarterly 10 (1993) (list of African Americans who have served in Congress through the end of 1992) and Supplement to 52 Congressional Quarterly 10 (Nov. 12, 1994) (listing minorities in the 104th Congress), with bi-yearly publications of The Almanac of American Politics (published 1975-present).</w:t>
      </w:r>
    </w:p>
    <w:p w:rsidR="00A31137" w:rsidRPr="00A31137" w:rsidRDefault="00A31137" w:rsidP="00A31137">
      <w:r w:rsidRPr="00A31137">
        <w:t>1996, Bush v. Vera, No. 94-805</w:t>
      </w:r>
    </w:p>
    <w:p w:rsidR="00A31137" w:rsidRPr="00A31137" w:rsidRDefault="00A31137" w:rsidP="00A31137">
      <w:r w:rsidRPr="00A31137">
        <w:t>38. D. Bositis, Joint Center for Political and Economic Studies, African Americans &amp; the 1994 Midterms, 22 (rev. May 1995). Fifteen black candidates ran for office in majority white districts. Ibid.</w:t>
      </w:r>
    </w:p>
    <w:p w:rsidR="00A31137" w:rsidRPr="00A31137" w:rsidRDefault="00A31137" w:rsidP="00A31137">
      <w:r w:rsidRPr="00A31137">
        <w:t>SOUTER, J., dissenting (Footnotes)</w:t>
      </w:r>
    </w:p>
    <w:p w:rsidR="00A31137" w:rsidRPr="00A31137" w:rsidRDefault="00A31137" w:rsidP="00A31137">
      <w:r w:rsidRPr="00A31137">
        <w:t>1996, Bush v. Vera, No. 94-805</w:t>
      </w:r>
    </w:p>
    <w:p w:rsidR="00A31137" w:rsidRPr="00A31137" w:rsidRDefault="00A31137" w:rsidP="00A31137">
      <w:r w:rsidRPr="00A31137">
        <w:t>1. See, e.g., Growe v. Emison, 507 U.S. 25, 34 (1993) ("the Constitution leaves with the States primary responsibility for apportionment of their federal congressional and state legislative districts") (citing U.S.Const., Art. I, § 2); Voinovich v. Quilter, 507 U.S. 146, 156 (1993); Reynolds v. Sims, 377 U.S. 533,  586 (1964).</w:t>
      </w:r>
    </w:p>
    <w:p w:rsidR="00A31137" w:rsidRPr="00A31137" w:rsidRDefault="00A31137" w:rsidP="00A31137">
      <w:r w:rsidRPr="00A31137">
        <w:t>1996, Bush v. Vera, No. 94-805</w:t>
      </w:r>
    </w:p>
    <w:p w:rsidR="00A31137" w:rsidRPr="00A31137" w:rsidRDefault="00A31137" w:rsidP="00A31137">
      <w:r w:rsidRPr="00A31137">
        <w:t>2. Even in the no longer controversial instance of the one-person, one-vote rule, the adequacy of justification and standard was subject to sharp dispute, and some of the Court's best minds expressed principled hesitation to go even this far into what has been called the political thicket, see Reynolds, supra at  615 (Harlan, J., dissenting) ("The Court's elaboration of its new 'constitutional' doctrine indicates how far-and how unwisely-it has strayed from the appropriate bounds of its authority. The consequence of today's decision is that in all but the handful of States which may already satisfy the new requirements the local District Court or, it may be, the state courts, are given blanket authority and the constitutional duty to supervise apportionment of the State Legislatures. It is difficult to imagine a more intolerable and inappropriate interference by the judiciary with the independent legislatures of the States"); Baker v. Carr, 369 U.S. 186,  267 (1962) (Frankfurter, J., dissenting) ("The Court's authority—possessed of neither the purse nor the sword—ultimately rests on sustained public confidence in its moral sanction. Such feeling must be nourished by the Court's complete detachment, in fact and in appearance, from political entanglements and by abstention from injecting itself into the clash of political forces in political settlements").</w:t>
      </w:r>
    </w:p>
    <w:p w:rsidR="00A31137" w:rsidRPr="00A31137" w:rsidRDefault="00A31137" w:rsidP="00A31137">
      <w:r w:rsidRPr="00A31137">
        <w:t>1996, Bush v. Vera, No. 94-805</w:t>
      </w:r>
    </w:p>
    <w:p w:rsidR="00A31137" w:rsidRPr="00A31137" w:rsidRDefault="00A31137" w:rsidP="00A31137">
      <w:r w:rsidRPr="00A31137">
        <w:t>3. As Professor Issacharoff notes, our vote-dilution cases acknowledged that</w:t>
      </w:r>
    </w:p>
    <w:p w:rsidR="00A31137" w:rsidRPr="00A31137" w:rsidRDefault="00A31137" w:rsidP="00A31137">
      <w:r w:rsidRPr="00A31137">
        <w:t>1996, Bush v. Vera, No. 94-805</w:t>
      </w:r>
    </w:p>
    <w:p w:rsidR="00A31137" w:rsidRPr="00A31137" w:rsidRDefault="00A31137" w:rsidP="00A31137">
      <w:r w:rsidRPr="00A31137">
        <w:t>the right to cast an effective ballot implied more than simply the equal weighting of all votes….   To be effective, a voter's ballot must stand a meaningful chance of effective aggregation with those of like-minded voters to claim a just share of electoral results. For this reason, a sophisticated right to genuinely meaningful electoral participation must be evaluated and measured as a group right….</w:t>
      </w:r>
    </w:p>
    <w:p w:rsidR="00A31137" w:rsidRPr="00A31137" w:rsidRDefault="00A31137" w:rsidP="00A31137">
      <w:r w:rsidRPr="00A31137">
        <w:t>1996, Bush v. Vera, No. 94-805</w:t>
      </w:r>
    </w:p>
    <w:p w:rsidR="00A31137" w:rsidRPr="00A31137" w:rsidRDefault="00A31137" w:rsidP="00A31137">
      <w:r w:rsidRPr="00A31137">
        <w:t>Issacharoff, Groups and the Right to Vote, 44 Emory L.J. 869, 883 (1995); see also Davidson, The Recent Revolution in Voting Rights Law Affecting Racial and Language Minorities, in Quiet Revolution in the South: The Impact of the Voting Rights Act, 1965-1990, p. 23 (C. Davidson &amp; B. Grofman eds. 1994) ("Ethnic or racial vote dilution takes place when a majority of voters, by bloc voting for its candidates in a series of elections, systematically prevents an ethnic minority from electing most or all of its preferred candidates….   Vote dilution not only can deprive minority voters of the important symbolic achievement of being represented by preferred members of their own group, it can deprive them of a committed advocate in councils of government…[and] of the substantial benefits that government bestows…").</w:t>
      </w:r>
    </w:p>
    <w:p w:rsidR="00A31137" w:rsidRPr="00A31137" w:rsidRDefault="00A31137" w:rsidP="00A31137">
      <w:r w:rsidRPr="00A31137">
        <w:t>1996, Bush v. Vera, No. 94-805</w:t>
      </w:r>
    </w:p>
    <w:p w:rsidR="00A31137" w:rsidRPr="00A31137" w:rsidRDefault="00A31137" w:rsidP="00A31137">
      <w:r w:rsidRPr="00A31137">
        <w:t>4. See Pildes, The Politics of Race, 108 Harv.L.Rev. 1359, 1369 (1995) (reviewing Quiet Revolution in the South: The Impact of the Voting Rights Act, 1965-1990 (C. Davidson &amp; B. Grofman eds. 1994)) (noting that studies of southern States demonstrate that, as a result of racial bloc voting, "the probability of a district's electing a Black representative was less than 1% regardless of a district's median family income, its percentage of high school graduates; its proportion of residents who were elderly, urban, foreign-born, or who had been residents of the state for more than five years; or the region of the country in which the district was located"); id. at 1375 (finding similar results nationwide). There is, of course, reason to hope that conditions are improving. See infra at ___ (discussing elections in which crossover voting favors minority incumbents and in which racial issues have not played a significant role in the outcome). As I discuss in detail in ___Part IV, infra, I believe that these improvements may be attributed in large part to the effect of the Voting Rights Act, and thus to our willingness to allow race-conscious districting in certain situations.</w:t>
      </w:r>
    </w:p>
    <w:p w:rsidR="00A31137" w:rsidRPr="00A31137" w:rsidRDefault="00A31137" w:rsidP="00A31137">
      <w:r w:rsidRPr="00A31137">
        <w:t>1996, Bush v. Vera, No. 94-805</w:t>
      </w:r>
    </w:p>
    <w:p w:rsidR="00A31137" w:rsidRPr="00A31137" w:rsidRDefault="00A31137" w:rsidP="00A31137">
      <w:r w:rsidRPr="00A31137">
        <w:t>5. I recognize, of course, that elsewhere we have imposed prohibitions on the consideration of race, but contexts are crucial in determining how we define "equal opportunity." Consider our decisions on preemptory jury challenges. There, as in politics, one race may not have had a fair shake from the other. But the differences between jury decisionmaking and political decisionmaking are, I believe, important ones. Politics includes choices between different sets of social values, choices that may ultimately turn on the ability of a particular group to enforce its demands through the ballot box. Jury decisionmaking is defined as a neutral process, the impartial application of law to a set of objectively discovered facts. To require racial balance in jury selection would risk redefining the jury's role. Without denying the possibility that race, especially as an imperfect proxy for experience, makes a difference injury decisionmaking (and, in some cases, legitimately so), it seems to me that the better course is to ensure a fair shake by denying each side the right to make race-based selections. The cost of the alternative is simply too great. It is an entirely different matter, however, to recognize that racial groups, like all other groups, play a real and legitimate role in political decisionmaking. It involves nothing more than an acknowledgement of the reality that our concepts of common interest, geography, and personal allegiances are in many places simply too bound up with race to deny some room for a theory of representative democracy allowing for the consideration of racially conceived interests. A majority of the Court has never disagreed in principle with this position. See, e.g., Shaw I, 509 U.S. 630,  642 (1993) (noting that race-conscious redistricting is not always unconstitutional); Miller v. Johnson, 515 U.S. ___, ___ (1995) (O'CONNOR, J., concurring) (consideration of race in the redistricting process does not always violate the Constitution); ante at ___ (noting that strict scrutiny does "not apply merely because redistricting is performed with consciousness of race").</w:t>
      </w:r>
    </w:p>
    <w:p w:rsidR="00A31137" w:rsidRPr="00A31137" w:rsidRDefault="00A31137" w:rsidP="00A31137">
      <w:r w:rsidRPr="00A31137">
        <w:t>1996, Bush v. Vera, No. 94-805</w:t>
      </w:r>
    </w:p>
    <w:p w:rsidR="00A31137" w:rsidRPr="00A31137" w:rsidRDefault="00A31137" w:rsidP="00A31137">
      <w:r w:rsidRPr="00A31137">
        <w:t>6. Leaving aside the question whether such a catholic injury can be a violation of the Equal Protection Clause, there still might be a use of race that harms all district voters because it is used to an unreasonable degree. But see Valley Forge Christian College v. Americans United for Separation of Church and State, Inc., 454 U.S. 464, 489 (1982). But the Court has never succeeded in identifying how much is too much, having adopted a "predominant purpose" test that amounts to a practical repudiation of any hope of devising a workable standard. See ___Part I-C, infra.</w:t>
      </w:r>
    </w:p>
    <w:p w:rsidR="00A31137" w:rsidRPr="00A31137" w:rsidRDefault="00A31137" w:rsidP="00A31137">
      <w:r w:rsidRPr="00A31137">
        <w:t>1996, Bush v. Vera, No. 94-805</w:t>
      </w:r>
    </w:p>
    <w:p w:rsidR="00A31137" w:rsidRPr="00A31137" w:rsidRDefault="00A31137" w:rsidP="00A31137">
      <w:r w:rsidRPr="00A31137">
        <w:t>7. See Cannon v. North Carolina State Bd. of Ed., 917 F. Supp 387, 391 (EDNC 1996) (describing this "difficult area of the law" and predicting that it will "gain better definition by reason of an imminent decision by the Supreme Court of the United States [in Shaw II]"); Briffault, Race and Representation After Miller v. Johnson, 1995 U.Chi.Legal Forum 23, 50 (1995) ("[I]t is unclear what work the adjectives 'predominant' and 'overriding' do in the Supreme Court's test"); Karlan, Post-Shaw Era 287 (Miller "further unsettled the already unclear roadmap" of Shaw I); Issacharoff, Constitutional Contours 60 ("the Court's facile reliance on standards of causation vaguely reminiscent of tort law does nothing to defer confronting the hard issue of acceptable standards of conduct").</w:t>
      </w:r>
    </w:p>
    <w:p w:rsidR="00A31137" w:rsidRPr="00A31137" w:rsidRDefault="00A31137" w:rsidP="00A31137">
      <w:r w:rsidRPr="00A31137">
        <w:t>1996, Bush v. Vera, No. 94-805</w:t>
      </w:r>
    </w:p>
    <w:p w:rsidR="00A31137" w:rsidRPr="00A31137" w:rsidRDefault="00A31137" w:rsidP="00A31137">
      <w:r w:rsidRPr="00A31137">
        <w:t>8. Even in areas where there is no racial bloc voting, the application of certain traditional districting principles may involve a legitimate consideration of race.</w:t>
      </w:r>
    </w:p>
    <w:p w:rsidR="00A31137" w:rsidRPr="00A31137" w:rsidRDefault="00A31137" w:rsidP="00A31137">
      <w:r w:rsidRPr="00A31137">
        <w:t>1996, Bush v. Vera, No. 94-805</w:t>
      </w:r>
    </w:p>
    <w:p w:rsidR="00A31137" w:rsidRPr="00A31137" w:rsidRDefault="00A31137" w:rsidP="00A31137">
      <w:r w:rsidRPr="00A31137">
        <w:t>9. See Karst, Paths to Belonging: The Constitution and Cultural Identity, 64 N.C.L.Rev. 303, 347, 350 (1986) ("[T]he surest path to assimilation is participation in the larger society's activities and institutions. Voting is not just an expression of political preferences; it is an assertion of belonging to a political community…. " "When legislative districts are defined in ways that exclude the possibility of significant minority representation, potential minority voters see that their votes are not worth casting. Yet electoral mobilization is vital…to the group members' perceptions that they belong to the community"); Walzer, Pluralism in Political Perspective, in The Politics of Ethnicity 1, 18 (S. Thernstrom, A. Orlov, &amp; O. Handlin eds. 1982) ("political life is in principle open, and this openness has served to diffuse the most radical forms of ethnic competition"); Kantowicz, Voting and Parties, in The Politics of Ethnicity, supra at 29, 45 (noting that political successes and recognition made members of an ethnic group "feel that it belonged in the wider society…[and brought] them inside the political system"); Mintz, Ethnicity and Leadership: An Afterword, in Ethnic Leadership in America 198 (J. Higham ed. 1978) (concluding after reviewing several studies of ethnic politics that "we ignore at our peril the need to understand those processes by which being short-changed…politically can became any group's motto or battle standard"); cf. Karlan, Our Separatism 102 ("two generations of communist suppression and ethnic and religious tension in Yugoslavia did little to ensure stability, tolerance, or integration").</w:t>
      </w:r>
    </w:p>
    <w:p w:rsidR="00A31137" w:rsidRPr="00A31137" w:rsidRDefault="00A31137" w:rsidP="00A31137">
      <w:r w:rsidRPr="00A31137">
        <w:t>1996, Bush v. Vera, No. 94-805</w:t>
      </w:r>
    </w:p>
    <w:p w:rsidR="00A31137" w:rsidRPr="00A31137" w:rsidRDefault="00A31137" w:rsidP="00A31137">
      <w:r w:rsidRPr="00A31137">
        <w:t>10. See, e.g., Nolan, Boston Mayoral Race Could Break Dominance of Ethnicity, Boston Globe, Apr. 9, 1993, p. 40 ("When Boston finishes choosing a new mayor, the city may discover that after centuries of immigration, ethnicity is no longer the dominant factor in its politics"); Black, Once-Solid Voting Blocks are Splitting in Boston, Boston Globe, Nov. 1, 1993, p. 1 (commenting that voters consider Menino's Italian descent "little more than a historical footnote" and observing that "ethnic voting has faded…[a]s various groups enter the American economic and social mainstream…[and] gain some semblance of [political] power"); D'Innocenzo, Gulotta Can't Count on Ethnicity, Newsday, Oct. 19, 1993, p. 97(noting that "[t]he vowel at the end of Tom Gulotta's name may not matter in this year's county executive election as it once did" because "Italian Americans in Nassau County are likely to go to the polls with more than ethnic favoritism in mind"; attributing the decline in ethnicity-based voting to the fact that "Nassau Italian Americans feel less marginali[zed] as an ethnic group").</w:t>
      </w:r>
    </w:p>
    <w:p w:rsidR="00A31137" w:rsidRPr="00A31137" w:rsidRDefault="00A31137" w:rsidP="00A31137">
      <w:r w:rsidRPr="00A31137">
        <w:t>Shaw v. Hunt, 1995</w:t>
      </w:r>
    </w:p>
    <w:p w:rsidR="00A31137" w:rsidRPr="00A31137" w:rsidRDefault="00A31137" w:rsidP="00A31137">
      <w:r w:rsidRPr="00A31137">
        <w:t>Title:</w:t>
      </w:r>
      <w:r w:rsidRPr="00A31137">
        <w:tab/>
        <w:t>Shaw v. Hunt</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June 13, 1996</w:t>
      </w:r>
    </w:p>
    <w:p w:rsidR="00A31137" w:rsidRPr="00A31137" w:rsidRDefault="00A31137" w:rsidP="00A31137">
      <w:r w:rsidRPr="00A31137">
        <w:t>Source:</w:t>
      </w:r>
      <w:r w:rsidRPr="00A31137">
        <w:tab/>
        <w:t>No. 94-923 [U.S. Reports citation not yet available]</w:t>
      </w:r>
    </w:p>
    <w:p w:rsidR="00A31137" w:rsidRPr="00A31137" w:rsidRDefault="00A31137" w:rsidP="00A31137">
      <w:r w:rsidRPr="00A31137">
        <w:t>This case was argued December 5, 1995, and decided June 13, 1996, together with No. 94-924, Pope et al. v. Hunt, Governor of North Carolina, et al., also on appeal from the same court.</w:t>
      </w:r>
    </w:p>
    <w:p w:rsidR="00A31137" w:rsidRPr="00A31137" w:rsidRDefault="00A31137" w:rsidP="00A31137">
      <w:r w:rsidRPr="00A31137">
        <w:t>APPEAL FROM THE DISTRICT COURT FOR THE</w:t>
      </w:r>
    </w:p>
    <w:p w:rsidR="00A31137" w:rsidRPr="00A31137" w:rsidRDefault="00A31137" w:rsidP="00A31137">
      <w:r w:rsidRPr="00A31137">
        <w:t>EASTERN DISTRICT OF NORTH CAROLINA</w:t>
      </w:r>
    </w:p>
    <w:p w:rsidR="00A31137" w:rsidRPr="00A31137" w:rsidRDefault="00A31137" w:rsidP="00A31137">
      <w:r w:rsidRPr="00A31137">
        <w:t>Syllabus</w:t>
      </w:r>
    </w:p>
    <w:p w:rsidR="00A31137" w:rsidRPr="00A31137" w:rsidRDefault="00A31137" w:rsidP="00A31137">
      <w:r w:rsidRPr="00A31137">
        <w:t>1996, Shaw v. Hunt, No. 94-923</w:t>
      </w:r>
    </w:p>
    <w:p w:rsidR="00A31137" w:rsidRPr="00A31137" w:rsidRDefault="00A31137" w:rsidP="00A31137">
      <w:r w:rsidRPr="00A31137">
        <w:t>Earlier in this case, in Shaw v. Reno, 509 U.S. ___, this Court held that appellants, whose complaint alleged that North Carolina had deliberately segregated voters by race when it created two bizarre-looking majority black congressional districts, Districts 1 and 12, had stated a claim for relief under the Equal Protection Clause of the Fourteenth Amendment. The Court remanded for further consideration by the District Court, which held that, although the North Carolina redistricting plan did classify voters by race, the classification survived strict scrutiny, and therefore was constitutional because it was narrowly tailored to further the State's compelling interests in complying with §§ 2 and 5 of the Voting Rights Act of 1965.</w:t>
      </w:r>
    </w:p>
    <w:p w:rsidR="00A31137" w:rsidRPr="00A31137" w:rsidRDefault="00A31137" w:rsidP="00A31137">
      <w:r w:rsidRPr="00A31137">
        <w:t>1996, Shaw v. Hunt, No. 94-923</w:t>
      </w:r>
    </w:p>
    <w:p w:rsidR="00A31137" w:rsidRPr="00A31137" w:rsidRDefault="00A31137" w:rsidP="00A31137">
      <w:r w:rsidRPr="00A31137">
        <w:t>Held:</w:t>
      </w:r>
    </w:p>
    <w:p w:rsidR="00A31137" w:rsidRPr="00A31137" w:rsidRDefault="00A31137" w:rsidP="00A31137">
      <w:r w:rsidRPr="00A31137">
        <w:t>1996, Shaw v. Hunt, No. 94-923</w:t>
      </w:r>
    </w:p>
    <w:p w:rsidR="00A31137" w:rsidRPr="00A31137" w:rsidRDefault="00A31137" w:rsidP="00A31137">
      <w:r w:rsidRPr="00A31137">
        <w:t>1. Only the two appellants who live in District 12 have standing to continue this lawsuit, and only with respect to that district. The remaining appellants, who do not reside in either of the challenged districts and have not provided specific evidence that they personally were assigned to their voting districts on the basis of race, lack standing. See United States v. Hays, 515 U.S. ___. Pp. ___.</w:t>
      </w:r>
    </w:p>
    <w:p w:rsidR="00A31137" w:rsidRPr="00A31137" w:rsidRDefault="00A31137" w:rsidP="00A31137">
      <w:r w:rsidRPr="00A31137">
        <w:t>1996, Shaw v. Hunt, No. 94-923</w:t>
      </w:r>
    </w:p>
    <w:p w:rsidR="00A31137" w:rsidRPr="00A31137" w:rsidRDefault="00A31137" w:rsidP="00A31137">
      <w:r w:rsidRPr="00A31137">
        <w:t>2. The North Carolina plan violates the Equal Protection Clause because the State's reapportionment scheme is not narrowly tailored to serve a compelling state interest. Pp. ___.</w:t>
      </w:r>
    </w:p>
    <w:p w:rsidR="00A31137" w:rsidRPr="00A31137" w:rsidRDefault="00A31137" w:rsidP="00A31137">
      <w:r w:rsidRPr="00A31137">
        <w:t>1996, Shaw v. Hunt, No. 94-923</w:t>
      </w:r>
    </w:p>
    <w:p w:rsidR="00A31137" w:rsidRPr="00A31137" w:rsidRDefault="00A31137" w:rsidP="00A31137">
      <w:r w:rsidRPr="00A31137">
        <w:t>(a) Strict scrutiny applies when race is the "predominant" consideration in drawing district lines such that "the legislature subordinates race-neutral districting principles…to racial considerations." Miller v. Johnson, 515 U.S. ___, ___. The District Court's finding that the North Carolina General Assembly "deliberately drew" District 12 so that it would have an effective voting majority of black citizens, when read in the light of the evidence as to the district's shape and demographics and the legislature's objective, comports with the Miller standard. In order to justify its redistricting plan, therefore, the State must show not only that the plan was in pursuit of a compelling state interest, but also that it was narrowly tailored to achieve that interest. Id. at ___. Pp. 4-8.</w:t>
      </w:r>
    </w:p>
    <w:p w:rsidR="00A31137" w:rsidRPr="00A31137" w:rsidRDefault="00A31137" w:rsidP="00A31137">
      <w:r w:rsidRPr="00A31137">
        <w:t>1996, Shaw v. Hunt, No. 94-923</w:t>
      </w:r>
    </w:p>
    <w:p w:rsidR="00A31137" w:rsidRPr="00A31137" w:rsidRDefault="00A31137" w:rsidP="00A31137">
      <w:r w:rsidRPr="00A31137">
        <w:t>(b) None of the three separate "compelling interests" to which appellees point suffices to sustain District 12. First, the District Court found that the State's claimed interest in eradicating the effects of past discrimination did not actually precipitate the use of race in the redistricting plan, and the record does not establish that that finding was clearly erroneous. Second, the asserted interest in complying with § 5 of the Voting Rights Act did not justify redistricting here, since creating an additional majority black district, as urged by the Justice Department before it granted preclearance, was not required under a correct reading of § 5. See Miller, 515 U.S. at ___ - ___. This Court again rejects the Department's expansive reading of § 5 and of its own authority thereunder as requiring States to maximize the number of majority-minority districts wherever possible. See, e.g., id. at ___. Third, District 12, as drawn, is not a remedy narrowly tailored to the State's professed interest in avoiding liability under § 2 of the Act, which, inter alia, prohibits dilution of the voting strength of members of a minority group. District 12 could not remedy any potential § 2 violation, since the minority group must be shown to be "geographically compact" to establish § 2 liability, see, e.g., Thornburg v. Gingles, 478 U.S. 30, 50, and it cannot reasonably be suggested that District 12 contains a "geographically compact" population of any race. Appellees are singularly unpersuasive when they argue that a majority-minority district may be drawn anywhere if there is a strong basis in evidence for concluding that a § 2 violation exists somewhere in the State. A district so drawn could not avoid § 2 liability, which targets vote dilution injury to individuals in a particular area, not to the minority as a group. Just as in Miller, this Court does not here reach the question whether compliance with the Act, on its own, can be a compelling state interest under the proper circumstances. Pp. ___.</w:t>
      </w:r>
    </w:p>
    <w:p w:rsidR="00A31137" w:rsidRPr="00A31137" w:rsidRDefault="00A31137" w:rsidP="00A31137">
      <w:r w:rsidRPr="00A31137">
        <w:t>1996, Shaw v. Hunt, No. 94-923</w:t>
      </w:r>
    </w:p>
    <w:p w:rsidR="00A31137" w:rsidRPr="00A31137" w:rsidRDefault="00A31137" w:rsidP="00A31137">
      <w:r w:rsidRPr="00A31137">
        <w:t>861 F.Supp. 408, reversed.</w:t>
      </w:r>
    </w:p>
    <w:p w:rsidR="00A31137" w:rsidRPr="00A31137" w:rsidRDefault="00A31137" w:rsidP="00A31137">
      <w:r w:rsidRPr="00A31137">
        <w:t>1996, Shaw v. Hunt, No. 94-923</w:t>
      </w:r>
    </w:p>
    <w:p w:rsidR="00A31137" w:rsidRPr="00A31137" w:rsidRDefault="00A31137" w:rsidP="00A31137">
      <w:r w:rsidRPr="00A31137">
        <w:t>REHNQUIST, C.J., delivered the opinion of the Court, in which O'CONNOR, SCALIA, KENNEDY, and THOMAS, JJ., joined. STEVENS, J., filed a dissenting opinion, in which GINSBURG and BREYER, JJ., joined as to Parts II, III, IV, and V. SOUTER, J., filed a dissenting opinion, in which GINSBURG and BREYER, JJ., joined.</w:t>
      </w:r>
    </w:p>
    <w:p w:rsidR="00A31137" w:rsidRPr="00A31137" w:rsidRDefault="00A31137" w:rsidP="00A31137">
      <w:r w:rsidRPr="00A31137">
        <w:t>REHNQUIST, J., lead opinion</w:t>
      </w:r>
    </w:p>
    <w:p w:rsidR="00A31137" w:rsidRPr="00A31137" w:rsidRDefault="00A31137" w:rsidP="00A31137">
      <w:r w:rsidRPr="00A31137">
        <w:t>1996, Shaw v. Hunt, No. 94-923</w:t>
      </w:r>
    </w:p>
    <w:p w:rsidR="00A31137" w:rsidRPr="00A31137" w:rsidRDefault="00A31137" w:rsidP="00A31137">
      <w:r w:rsidRPr="00A31137">
        <w:t>CHIEF JUSTICE REHNQUIST delivered the opinion of the Court.</w:t>
      </w:r>
    </w:p>
    <w:p w:rsidR="00A31137" w:rsidRPr="00A31137" w:rsidRDefault="00A31137" w:rsidP="00A31137">
      <w:r w:rsidRPr="00A31137">
        <w:t>1996, Shaw v. Hunt, No. 94-923</w:t>
      </w:r>
    </w:p>
    <w:p w:rsidR="00A31137" w:rsidRPr="00A31137" w:rsidRDefault="00A31137" w:rsidP="00A31137">
      <w:r w:rsidRPr="00A31137">
        <w:t>This case is here for a second time. In Shaw v. Reno, 509 U.S. ___ (1993) (Shaw I), we held that plaintiffs whose complaint alleged that the deliberate segregation of voters into separate and bizarre-looking districts on the basis of race stated a claim for relief under the Equal Protection Clause of the Fourteenth Amendment. We remanded the case for further consideration by the District Court. That court held that the North Carolina redistricting plan did classify voters by race, but that the classification survived strict scrutiny, and therefore did not offend the Constitution. We now hold that the North Carolina plan does violate the Equal Protection Clause because the State's reapportionment scheme is not narrowly tailored to serve a compelling state interest.</w:t>
      </w:r>
    </w:p>
    <w:p w:rsidR="00A31137" w:rsidRPr="00A31137" w:rsidRDefault="00A31137" w:rsidP="00A31137">
      <w:r w:rsidRPr="00A31137">
        <w:t>1996, Shaw v. Hunt, No. 94-923</w:t>
      </w:r>
    </w:p>
    <w:p w:rsidR="00A31137" w:rsidRPr="00A31137" w:rsidRDefault="00A31137" w:rsidP="00A31137">
      <w:r w:rsidRPr="00A31137">
        <w:t>The facts are set out in detail in our prior opinion, and we shall only summarize them here. After the 1990 census, North Carolina's congressional delegation increased from 11 to 12 members. The State General Assembly adopted a reapportionment plan, Chapter 601, that included one majority black district, District 1, located in the northeastern region of the State. 1991 N.C.Sess.Laws, ch. 601. The legislature then submitted the plan to the Attorney General of the United States for preclearance under § 5 of the Voting Rights Act of 1965, 79 Stat. 439, as amended, 42 U.S.C. § 1973c (1988 ed.). The Assistant Attorney General for Civil Rights, acting on the Attorney General's behalf, objected to the proposed plan because it failed "to give effect to black and Native American voting strength" in "the south-central to southeastern part of the state" and opined that the State's reasons for not creating a second majority-minority district appeared "to be pretextual." App. 151-153. Duly chastened, the legislature revised its districting scheme to include a second majority black district. 1991 N.C.Extra Sess.Laws, ch. 7. The new plan, Chapter 7, located the minority district, District 12, in the north-central or Piedmont region, not in the south-central or southeastern region identified in the Justice Department's objection letter. The Attorney General nonetheless precleared the revised plan.</w:t>
      </w:r>
    </w:p>
    <w:p w:rsidR="00A31137" w:rsidRPr="00A31137" w:rsidRDefault="00A31137" w:rsidP="00A31137">
      <w:r w:rsidRPr="00A31137">
        <w:t>1996, Shaw v. Hunt, No. 94-923</w:t>
      </w:r>
    </w:p>
    <w:p w:rsidR="00A31137" w:rsidRPr="00A31137" w:rsidRDefault="00A31137" w:rsidP="00A31137">
      <w:r w:rsidRPr="00A31137">
        <w:t>By anyone's measure, the boundary lines of Districts 1 and 12 are unconventional. A map portrays the districts' deviance far better than words, see the Appendix to the opinion of the Court in Shaw I, supra, but our prior opinion describes them as follows:</w:t>
      </w:r>
      <w:r w:rsidRPr="00A31137">
        <w:cr/>
      </w:r>
    </w:p>
    <w:p w:rsidR="00A31137" w:rsidRPr="00A31137" w:rsidRDefault="00A31137" w:rsidP="00A31137">
      <w:r w:rsidRPr="00A31137">
        <w:t>1996, Shaw v. Hunt, No. 94-923</w:t>
      </w:r>
    </w:p>
    <w:p w:rsidR="00A31137" w:rsidRPr="00A31137" w:rsidRDefault="00A31137" w:rsidP="00A31137">
      <w:r w:rsidRPr="00A31137">
        <w:t>The first of the two majority black districts…is somewhat hook-shaped. Centered in the northeast portion of the State, it moves southward until it tapers to a narrow band; then, with finger-like extensions, it reaches far into the southernmost part of the State near the South Carolina border….</w:t>
      </w:r>
    </w:p>
    <w:p w:rsidR="00A31137" w:rsidRPr="00A31137" w:rsidRDefault="00A31137" w:rsidP="00A31137">
      <w:r w:rsidRPr="00A31137">
        <w:t>1996, Shaw v. Hunt, No. 94-923</w:t>
      </w:r>
    </w:p>
    <w:p w:rsidR="00A31137" w:rsidRPr="00A31137" w:rsidRDefault="00A31137" w:rsidP="00A31137">
      <w:r w:rsidRPr="00A31137">
        <w:t>The second majority black district, District 12, is even more unusually shaped. It is approximately 160 miles long and, for much of its length, no wider than the [Interstate]-85 corridor. It winds in snake-like fashion through tobacco country, financial centers, and manufacturing areas "until it gobbles in enough enclaves of black neighborhoods."</w:t>
      </w:r>
    </w:p>
    <w:p w:rsidR="00A31137" w:rsidRPr="00A31137" w:rsidRDefault="00A31137" w:rsidP="00A31137">
      <w:r w:rsidRPr="00A31137">
        <w:t>1996, Shaw v. Hunt, No. 94-923</w:t>
      </w:r>
    </w:p>
    <w:p w:rsidR="00A31137" w:rsidRPr="00A31137" w:rsidRDefault="00A31137" w:rsidP="00A31137">
      <w:r w:rsidRPr="00A31137">
        <w:t>Shaw I, supra, at ___ (citation omitted).</w:t>
      </w:r>
    </w:p>
    <w:p w:rsidR="00A31137" w:rsidRPr="00A31137" w:rsidRDefault="00A31137" w:rsidP="00A31137">
      <w:r w:rsidRPr="00A31137">
        <w:t>1996, Shaw v. Hunt, No. 94-923</w:t>
      </w:r>
    </w:p>
    <w:p w:rsidR="00A31137" w:rsidRPr="00A31137" w:rsidRDefault="00A31137" w:rsidP="00A31137">
      <w:r w:rsidRPr="00A31137">
        <w:t>Five North Carolinians commenced the present action in the United States District Court for the Eastern District of North Carolina against various state officials. 1 Following our reversal of the District Court's dismissal of their complaint in Shaw I, the District Court allowed a number of individuals to intervene, 11 on behalf of the plaintiffs and 22 for the defendants. After a 6-day trial, the District Court unanimously found "that the Plan's lines were deliberately drawn to produce one or more districts of a certain racial composition." 861 F.Supp. 408, 417, 473-474 (1994). A majority of the court held that the plan was constitutional, nonetheless, because it was narrowly tailored to further the State's compelling interests in complying with §§ 2 and 5 of the Voting Rights Act, 42 U.S.C. §§ 1973, 1973c. 861 F.Supp. at 474. The dissenting judge disagreed with that portion of the judgment. We noted probable jurisdiction. 515 U.S. ___ (1995).</w:t>
      </w:r>
    </w:p>
    <w:p w:rsidR="00A31137" w:rsidRPr="00A31137" w:rsidRDefault="00A31137" w:rsidP="00A31137">
      <w:r w:rsidRPr="00A31137">
        <w:t>1996, Shaw v. Hunt, No. 94-923</w:t>
      </w:r>
    </w:p>
    <w:p w:rsidR="00A31137" w:rsidRPr="00A31137" w:rsidRDefault="00A31137" w:rsidP="00A31137">
      <w:r w:rsidRPr="00A31137">
        <w:t>As a preliminary matter, appellees challenge appellants' standing to continue this lawsuit. In United States v. Hays, 515 U.S. ___ (1995), we recognized that a plaintiff who resides in a district which is the subject of a racial gerrymander claim has standing to challenge the legislation which created that district, but that a plaintiff from outside that district lacks standing absent specific evidence that he personally has been subjected to a racial classification. Two appellants, Ruth Shaw and Melvin Shimm, live in District 12, and thus have standing to challenge that part of Chapter 7 which defines District 12. See Miller v. Johnson, 515 U.S. ___, ___ (1995). The remaining appellants do not reside in District 1, however, and they have not provided specific evidence that they personally were assigned to their voting districts on the basis of race. Therefore, we conclude that only Shaw and Shimm have standing and only with respect to District 12. 2</w:t>
      </w:r>
    </w:p>
    <w:p w:rsidR="00A31137" w:rsidRPr="00A31137" w:rsidRDefault="00A31137" w:rsidP="00A31137">
      <w:r w:rsidRPr="00A31137">
        <w:t>1996, Shaw v. Hunt, No. 94-923</w:t>
      </w:r>
    </w:p>
    <w:p w:rsidR="00A31137" w:rsidRPr="00A31137" w:rsidRDefault="00A31137" w:rsidP="00A31137">
      <w:r w:rsidRPr="00A31137">
        <w:t>We explained in Miller v. Johnson that a racially gerrymandered districting scheme, like all laws that classify citizens on the basis of race, is constitutionally suspect. Id. at ____; see also Shaw I, 509 U.S. at ___; Adarand Constructors, Inc. v. Pena, 515 U.S. ___ (1995). This is true whether or not the reason for the racial classification is benign or the purpose remedial. Shaw I, supra, at ___; Adarand, supra, at ___. Applying traditional equal protection principles in the voting rights context is "a most delicate task," Miller, supra, at ___, however, because a legislature may be conscious of the voters' races without using race as a basis for assigning voters to districts. Shaw I, supra, at ____; Miller, 515 U.S. at ___ . The constitutional wrong occurs when race becomes the "dominant and controlling" consideration. Id. at ___.</w:t>
      </w:r>
    </w:p>
    <w:p w:rsidR="00A31137" w:rsidRPr="00A31137" w:rsidRDefault="00A31137" w:rsidP="00A31137">
      <w:r w:rsidRPr="00A31137">
        <w:t>1996, Shaw v. Hunt, No. 94-923</w:t>
      </w:r>
    </w:p>
    <w:p w:rsidR="00A31137" w:rsidRPr="00A31137" w:rsidRDefault="00A31137" w:rsidP="00A31137">
      <w:r w:rsidRPr="00A31137">
        <w:t>The plaintiff bears the burden of proving the race-based motive and may do so either through "circumstantial evidence of a district's shape and demographics" or through "more direct evidence going to legislative purpose." Miller, supra, at ___. After a detailed account of the process that led to enactment of the challenged plan, the District Court found that the General Assembly of North Carolina "deliberately drew" District 12 so that it would have an effective voting majority of black citizens. 861 F.Supp. at 473.</w:t>
      </w:r>
    </w:p>
    <w:p w:rsidR="00A31137" w:rsidRPr="00A31137" w:rsidRDefault="00A31137" w:rsidP="00A31137">
      <w:r w:rsidRPr="00A31137">
        <w:t>1996, Shaw v. Hunt, No. 94-923</w:t>
      </w:r>
    </w:p>
    <w:p w:rsidR="00A31137" w:rsidRPr="00A31137" w:rsidRDefault="00A31137" w:rsidP="00A31137">
      <w:r w:rsidRPr="00A31137">
        <w:t>Appellees urge upon us their view that this finding is not phrased in the same language that we used in our opinion in Miller v. Johnson, supra, where we said that a plaintiff must show "that race was the predominant factor motivating the legislature's decision to place a significant number of voters within or without a particular district." Id. at ___.</w:t>
      </w:r>
    </w:p>
    <w:p w:rsidR="00A31137" w:rsidRPr="00A31137" w:rsidRDefault="00A31137" w:rsidP="00A31137">
      <w:r w:rsidRPr="00A31137">
        <w:t>1996, Shaw v. Hunt, No. 94-923</w:t>
      </w:r>
    </w:p>
    <w:p w:rsidR="00A31137" w:rsidRPr="00A31137" w:rsidRDefault="00A31137" w:rsidP="00A31137">
      <w:r w:rsidRPr="00A31137">
        <w:t>The District Court, of course, did not have the benefit of our opinion in Miller at the time it wrote its opinion. While it would have been preferable for the court to have analyzed the case in terms of the standard laid down in Miller, that was not possible. This circumstance has no consequence here because we think that the District Court's findings, read in the light of the evidence that it had before it, comport with the Miller standard.</w:t>
      </w:r>
    </w:p>
    <w:p w:rsidR="00A31137" w:rsidRPr="00A31137" w:rsidRDefault="00A31137" w:rsidP="00A31137">
      <w:r w:rsidRPr="00A31137">
        <w:t>1996, Shaw v. Hunt, No. 94-923</w:t>
      </w:r>
    </w:p>
    <w:p w:rsidR="00A31137" w:rsidRPr="00A31137" w:rsidRDefault="00A31137" w:rsidP="00A31137">
      <w:r w:rsidRPr="00A31137">
        <w:t>First, the District Court had evidence of the district's shape and demographics. The court observed "the obvious fact" that the district's shape is "highly irregular and geographically noncompact by any objective standard that can be conceived." 861 F.Supp. at 469. In fact, the serpentine district has been dubbed the least geographically compact district in the Nation. App. 332.</w:t>
      </w:r>
    </w:p>
    <w:p w:rsidR="00A31137" w:rsidRPr="00A31137" w:rsidRDefault="00A31137" w:rsidP="00A31137">
      <w:r w:rsidRPr="00A31137">
        <w:t>1996, Shaw v. Hunt, No. 94-923</w:t>
      </w:r>
    </w:p>
    <w:p w:rsidR="00A31137" w:rsidRPr="00A31137" w:rsidRDefault="00A31137" w:rsidP="00A31137">
      <w:r w:rsidRPr="00A31137">
        <w:t>The District Court also had direct evidence of the legislature's objective. The State's submission for preclearance expressly acknowledged that the Chapter 7's</w:t>
      </w:r>
    </w:p>
    <w:p w:rsidR="00A31137" w:rsidRPr="00A31137" w:rsidRDefault="00A31137" w:rsidP="00A31137">
      <w:r w:rsidRPr="00A31137">
        <w:t>1996, Shaw v. Hunt, No. 94-923</w:t>
      </w:r>
    </w:p>
    <w:p w:rsidR="00A31137" w:rsidRPr="00A31137" w:rsidRDefault="00A31137" w:rsidP="00A31137">
      <w:r w:rsidRPr="00A31137">
        <w:t>overriding purpose was to comply with the dictates of the Attorney General's December 18, 1991, letter and to create two congressional districts with effective black voting majorities.</w:t>
      </w:r>
    </w:p>
    <w:p w:rsidR="00A31137" w:rsidRPr="00A31137" w:rsidRDefault="00A31137" w:rsidP="00A31137">
      <w:r w:rsidRPr="00A31137">
        <w:t>1996, Shaw v. Hunt, No. 94-923</w:t>
      </w:r>
    </w:p>
    <w:p w:rsidR="00A31137" w:rsidRPr="00A31137" w:rsidRDefault="00A31137" w:rsidP="00A31137">
      <w:r w:rsidRPr="00A31137">
        <w:t>App. 162 (emphasis added). This admission was confirmed by Gerry Cohen, the plan's principal draftsman, who testified that creating two majority black districts was the "principal reason" for Districts 1 and 12. Id. at 675; Tr. 514. Indeed, appellees in their first appearance before the District Court "formally concede[d] that the state legislature deliberately created the two districts in a way to assure black-vote majorities," Shaw v. Barr, 808 F.Supp. 461, 470 (EDNC 1992), and that concession again was credited by the District Court on remand, 861 F.Supp. at 473-474. See also Shaw I, supra, at ___ (White, J., dissenting) ("The State has made no mystery of its intent, which was to respond to the Attorney General's objections by improving the minority group's prospects of electing a candidate of its choice" (citation omitted)). Here, as in Miller,</w:t>
      </w:r>
    </w:p>
    <w:p w:rsidR="00A31137" w:rsidRPr="00A31137" w:rsidRDefault="00A31137" w:rsidP="00A31137">
      <w:r w:rsidRPr="00A31137">
        <w:t>1996, Shaw v. Hunt, No. 94-923</w:t>
      </w:r>
    </w:p>
    <w:p w:rsidR="00A31137" w:rsidRPr="00A31137" w:rsidRDefault="00A31137" w:rsidP="00A31137">
      <w:r w:rsidRPr="00A31137">
        <w:t>we fail to see how the District Court could have reached any conclusion other than that race was the predominant factor in drawing [the challenged district].</w:t>
      </w:r>
    </w:p>
    <w:p w:rsidR="00A31137" w:rsidRPr="00A31137" w:rsidRDefault="00A31137" w:rsidP="00A31137">
      <w:r w:rsidRPr="00A31137">
        <w:t>1996, Shaw v. Hunt, No. 94-923</w:t>
      </w:r>
    </w:p>
    <w:p w:rsidR="00A31137" w:rsidRPr="00A31137" w:rsidRDefault="00A31137" w:rsidP="00A31137">
      <w:r w:rsidRPr="00A31137">
        <w:t>Miller, supra, at ___.</w:t>
      </w:r>
    </w:p>
    <w:p w:rsidR="00A31137" w:rsidRPr="00A31137" w:rsidRDefault="00A31137" w:rsidP="00A31137">
      <w:r w:rsidRPr="00A31137">
        <w:t>1996, Shaw v. Hunt, No. 94-923</w:t>
      </w:r>
    </w:p>
    <w:p w:rsidR="00A31137" w:rsidRPr="00A31137" w:rsidRDefault="00A31137" w:rsidP="00A31137">
      <w:r w:rsidRPr="00A31137">
        <w:t>In his dissent, JUSTICE STEVENS argues that strict scrutiny does not apply where a State "respects" or "compl[ies] with traditional districting principles." Post at ___ ("race-based districting which respects traditional districting principles does not give rise to constitutional suspicion"), ___ ("Miller demonstrates that, although States may avoid strict scrutiny by complying with traditional districting principles…"). That, however, is not the standard announced and applied in Miller, 3 where we held that strict scrutiny applies when race is the "predominant" consideration in drawing the district lines such that "the legislature subordinate[s] race-neutral districting principles…to racial considerations." Miller, supra, at ___. (JUSTICE STEVENS articulates the correct standard in his dissent, post at ___, but he fails to properly apply it.) The Miller standard is quite different from the one that JUSTICE STEVENS advances, as an examination of the dissent's reasoning demonstrates. The dissent explains that "two race-neutral, traditional districting criteria" were at work in determining the shape and placement of District 12, and from this suggests that strict scrutiny should not apply. Post at ___. We do not quarrel with the dissent's claims that, in shaping District 12, the State effectuated its interest in creating one rural and one urban district, and that partisan politicking was actively at work in the districting process. That the legislature addressed these interests does not in any way refute the fact that race was the legislature's predominant consideration. Race was the criterion that, in the State's view, could not be compromised; respecting communities of interest and protecting Democratic incumbents came into play only after the race-based decision had been made.</w:t>
      </w:r>
    </w:p>
    <w:p w:rsidR="00A31137" w:rsidRPr="00A31137" w:rsidRDefault="00A31137" w:rsidP="00A31137">
      <w:r w:rsidRPr="00A31137">
        <w:t>1996, Shaw v. Hunt, No. 94-923</w:t>
      </w:r>
    </w:p>
    <w:p w:rsidR="00A31137" w:rsidRPr="00A31137" w:rsidRDefault="00A31137" w:rsidP="00A31137">
      <w:r w:rsidRPr="00A31137">
        <w:t>Racial classifications are antithetical to the Fourteenth Amendment, whose "central purpose" was "to eliminate racial discrimination emanating from official sources in the States." McLaughlin v. Florida, 379 U.S. 184,  192 (1964); Richmond v. J. A. Croson Co., 488 U.S. 469,  491 (1989) (opinion of O'CONNOR, J.) ("[T]he Framers of the Fourteenth Amendment…desired to place clear limits on the States' use of race as a criterion for legislative action, and to have the federal courts enforce those limitations"). While appreciating that a racial classification causes "fundamental injury" to the "individual rights of a person," Goodman v. Lukens Steel Co., 482 U.S. 656, 661 (1987), we have recognized that, under certain circumstances, drawing racial distinctions is permissible where a governmental body is pursuing a "compelling state interest." A State, however, is constrained in how it may pursue that end: "[T]he means chosen to accomplish the State's asserted purpose must be specifically and narrowly framed to accomplish that purpose." Wygant v. Jackson Bd. of Ed., 476 U.S. 267,  280 (1986) (opinion of Powell, J.). North Carolina, therefore, must show not only that its redistricting plan was in pursuit of a compelling state interest, but also that "its districting legislation is narrowly tailored to achieve [that] compelling interest." Miller, 515 U.S. at ___.</w:t>
      </w:r>
    </w:p>
    <w:p w:rsidR="00A31137" w:rsidRPr="00A31137" w:rsidRDefault="00A31137" w:rsidP="00A31137">
      <w:r w:rsidRPr="00A31137">
        <w:t>1996, Shaw v. Hunt, No. 94-923</w:t>
      </w:r>
    </w:p>
    <w:p w:rsidR="00A31137" w:rsidRPr="00A31137" w:rsidRDefault="00A31137" w:rsidP="00A31137">
      <w:r w:rsidRPr="00A31137">
        <w:t>Appellees point to three separate compelling interests to sustain District 12: to eradicate the effects of past and present discrimination; to comply with § 5 of the Voting Rights Act; and to comply with § 2 of that Act. We address each in turn. 4</w:t>
      </w:r>
    </w:p>
    <w:p w:rsidR="00A31137" w:rsidRPr="00A31137" w:rsidRDefault="00A31137" w:rsidP="00A31137">
      <w:r w:rsidRPr="00A31137">
        <w:t>1996, Shaw v. Hunt, No. 94-923</w:t>
      </w:r>
    </w:p>
    <w:p w:rsidR="00A31137" w:rsidRPr="00A31137" w:rsidRDefault="00A31137" w:rsidP="00A31137">
      <w:r w:rsidRPr="00A31137">
        <w:t>A State's interest in remedying the effects of past or present racial discrimination may in the proper case justify a government's use of racial distinctions. Croson, 488 U.S. at 498-506. For that interest to rise to the level of a compelling state interest, it must satisfy two conditions. First, the discrimination must be "'identified discrimination.'" Id. at  499,  500,  505,  507,  509. "While the States and their subdivisions may take remedial action when they possess evidence" of past or present discrimination, "they must identify that discrimination, public or private, with some specificity before they may use race-conscious relief." Id. at  504. A generalized assertion of past discrimination in a particular industry or region is not adequate because it "provides no guidance for a legislative body to determine the precise scope of the injury it seeks to remedy." Id. at  498 (opinion of O'CONNOR, J.). Accordingly, an effort to alleviate the effects of societal discrimination is not a compelling interest. Wygant, supra, at 274-275,  276, 288. 5 Second, the institution that makes the racial distinction must have had a "strong basis in evidence" to conclude that remedial action was necessary, "before it embarks on an affirmative action program," 476 U.S. at  277 (plurality opinion) (emphasis added).</w:t>
      </w:r>
    </w:p>
    <w:p w:rsidR="00A31137" w:rsidRPr="00A31137" w:rsidRDefault="00A31137" w:rsidP="00A31137">
      <w:r w:rsidRPr="00A31137">
        <w:t>1996, Shaw v. Hunt, No. 94-923</w:t>
      </w:r>
    </w:p>
    <w:p w:rsidR="00A31137" w:rsidRPr="00A31137" w:rsidRDefault="00A31137" w:rsidP="00A31137">
      <w:r w:rsidRPr="00A31137">
        <w:t>In this case, the District Court found that an interest in ameliorating past discrimination did not actually precipitate the use of race in the redistricting plan. While some legislators invoked the State's history of discrimination as an argument for creating a second majority black district, the court found that these members did not have enough voting power to have caused the creation of the second district on that basis alone. 861 F.Supp. at 471.</w:t>
      </w:r>
    </w:p>
    <w:p w:rsidR="00A31137" w:rsidRPr="00A31137" w:rsidRDefault="00A31137" w:rsidP="00A31137">
      <w:r w:rsidRPr="00A31137">
        <w:t>1996, Shaw v. Hunt, No. 94-923</w:t>
      </w:r>
    </w:p>
    <w:p w:rsidR="00A31137" w:rsidRPr="00A31137" w:rsidRDefault="00A31137" w:rsidP="00A31137">
      <w:r w:rsidRPr="00A31137">
        <w:t>Appellees, to support their claim that the plan was drawn to remedy past discrimination, rely on passages from two reports prepared for this litigation by an historian and a social scientist. Brief for Appellees Gingles et al. 40-44, citing H. Watson, Race and Politics in North Carolina, 1865-1994, App. 610-624 (excerpts) and J. Kousser, After 120 Years: Redistricting and Racial Discrimination in North Carolina, id. at 602-609 (excerpts). Obviously these reports, both dated March, 1994, were not before the General Assembly when it enacted Chapter 7. And there is little to suggest that the legislature considered the historical events and social science data that the reports recount, beyond what individual members may have recalled from personal experience. We certainly cannot say on the basis of these reports that the District Court's findings on this point were clearly erroneous.</w:t>
      </w:r>
    </w:p>
    <w:p w:rsidR="00A31137" w:rsidRPr="00A31137" w:rsidRDefault="00A31137" w:rsidP="00A31137">
      <w:r w:rsidRPr="00A31137">
        <w:t>1996, Shaw v. Hunt, No. 94-923</w:t>
      </w:r>
    </w:p>
    <w:p w:rsidR="00A31137" w:rsidRPr="00A31137" w:rsidRDefault="00A31137" w:rsidP="00A31137">
      <w:r w:rsidRPr="00A31137">
        <w:t>Appellees devote most of their efforts to arguing that the race-based redistricting was constitutionally justified by the State's duty to comply with the Voting Rights Act. The District Court agreed, and held that compliance with §§ 2 and 5 of the Act could be, and in this case was, a compelling state interest. 861 F.Supp. at 437. In Miller, we expressly left open the question whether, under the proper circumstances, compliance with the Voting Rights Act, on its own, could be a compelling interest. Miller, 515 U.S. at ___ ("Whether or not in some cases compliance with the Voting Rights Act, standing alone, can provide a compelling interest independent of any interest in remedying past discrimination…"). Here, once again, we do not reach that question, because we find that creating an additional majority black district was not required under a correct reading of § 5, and that District 12, as drawn, is not a remedy narrowly tailored to the State's professed interest in avoiding § 2 liability.</w:t>
      </w:r>
    </w:p>
    <w:p w:rsidR="00A31137" w:rsidRPr="00A31137" w:rsidRDefault="00A31137" w:rsidP="00A31137">
      <w:r w:rsidRPr="00A31137">
        <w:t>1996, Shaw v. Hunt, No. 94-923</w:t>
      </w:r>
    </w:p>
    <w:p w:rsidR="00A31137" w:rsidRPr="00A31137" w:rsidRDefault="00A31137" w:rsidP="00A31137">
      <w:r w:rsidRPr="00A31137">
        <w:t>With respect to § 5 of the Voting Rights Act, we believe our decision in Miller forecloses the argument, adopted by the District Court, that failure to engage in the race-based districting would have violated that section. In Miller, we considered an equal protection challenge to Georgia's Eleventh Congressional District. As appellees do here, Georgia contended that its redistricting plan was necessary to meet the Justice Department's preclearance demands. The Justice Department had interposed an objection to a prior plan that created only two majority-minority districts. We held that the challenged congressional plan was not required by a correct reading of § 5, and therefore compliance with that law could not justify race-based districting. Miller, supra, at ___ ("[C]ompliance with federal antidiscrimination laws cannot justify race-based districting where the challenged district was not reasonably necessary under a constitutional reading and application of those laws").</w:t>
      </w:r>
    </w:p>
    <w:p w:rsidR="00A31137" w:rsidRPr="00A31137" w:rsidRDefault="00A31137" w:rsidP="00A31137">
      <w:r w:rsidRPr="00A31137">
        <w:t>1996, Shaw v. Hunt, No. 94-923</w:t>
      </w:r>
    </w:p>
    <w:p w:rsidR="00A31137" w:rsidRPr="00A31137" w:rsidRDefault="00A31137" w:rsidP="00A31137">
      <w:r w:rsidRPr="00A31137">
        <w:t>We believe the same conclusion must be drawn here. North Carolina's first plan, Chapter 601, indisputably was ameliorative, having created the first majority black district in recent history. Thus, that plan, "'even if [it] fall[s] short of what might be accomplished in terms of increasing minority representation,'" "'cannot violate § 5 unless the new apportionment itself so discriminates on the basis of race or color as to violate the Constitution.'" Miller, supra, at ___, quoting Days, Section 5 and the Role of the Justice Department, in B. Grofman &amp; C. Davidson, Controversies in Minority Voting 56 (1992), and Beer v. United States, 425 U.S. 130, 141 (1976).</w:t>
      </w:r>
    </w:p>
    <w:p w:rsidR="00A31137" w:rsidRPr="00A31137" w:rsidRDefault="00A31137" w:rsidP="00A31137">
      <w:r w:rsidRPr="00A31137">
        <w:t>1996, Shaw v. Hunt, No. 94-923</w:t>
      </w:r>
    </w:p>
    <w:p w:rsidR="00A31137" w:rsidRPr="00A31137" w:rsidRDefault="00A31137" w:rsidP="00A31137">
      <w:r w:rsidRPr="00A31137">
        <w:t>As in Miller, the United States relies on the purpose prong of § 5 to explain the Department's preclearance objections, alleging that North Carolina, for pretextual reasons, did not create a second majority-minority district. Brief for United States as Amicus Curiae 24. We again find the Government's position "insupportable." Miller, supra, at ___. The General Assembly, in its submission filed with Chapter 601, explained why it did not create a second minority district; among its goals were</w:t>
      </w:r>
    </w:p>
    <w:p w:rsidR="00A31137" w:rsidRPr="00A31137" w:rsidRDefault="00A31137" w:rsidP="00A31137">
      <w:r w:rsidRPr="00A31137">
        <w:t>1996, Shaw v. Hunt, No. 94-923</w:t>
      </w:r>
    </w:p>
    <w:p w:rsidR="00A31137" w:rsidRPr="00A31137" w:rsidRDefault="00A31137" w:rsidP="00A31137">
      <w:r w:rsidRPr="00A31137">
        <w:t>to keep precincts whole, to avoid dividing counties into more than two districts, and to give black voters a fair amount of influence by creating at least one district that was majority black in voter registration and by creating a substantial number of other districts in which black voters would exercise a significant influence over the choice of congressmen.</w:t>
      </w:r>
    </w:p>
    <w:p w:rsidR="00A31137" w:rsidRPr="00A31137" w:rsidRDefault="00A31137" w:rsidP="00A31137">
      <w:r w:rsidRPr="00A31137">
        <w:t>1996, Shaw v. Hunt, No. 94-923</w:t>
      </w:r>
    </w:p>
    <w:p w:rsidR="00A31137" w:rsidRPr="00A31137" w:rsidRDefault="00A31137" w:rsidP="00A31137">
      <w:r w:rsidRPr="00A31137">
        <w:t>App. 142. The submission also explained in detail the disadvantages of other proposed plans. See, e.g. id. at 139, 140, 143 (Balmer Congress 6.2 Plan's "[s]econd 'minority' district did not have effective minority voting majority" because it "depended on the cohesion of black and Native American voters, and no such pattern was evident" and "this plan dramatically decreased black influence" in four other districts). A memorandum, sent to the Department of Justice on behalf of the legislators in charge of the redistricting process, provided still further reasons for the State's decision not to draw two minority districts as urged by various interested parties. App. 94-138; 861 F.Supp. at 480-481, n. 9 (Voorhees, C.J., dissenting). We have recognized that a</w:t>
      </w:r>
    </w:p>
    <w:p w:rsidR="00A31137" w:rsidRPr="00A31137" w:rsidRDefault="00A31137" w:rsidP="00A31137">
      <w:r w:rsidRPr="00A31137">
        <w:t>1996, Shaw v. Hunt, No. 94-923</w:t>
      </w:r>
    </w:p>
    <w:p w:rsidR="00A31137" w:rsidRPr="00A31137" w:rsidRDefault="00A31137" w:rsidP="00A31137">
      <w:r w:rsidRPr="00A31137">
        <w:t>State's policy of adhering to other districting principles instead of creating as many majority-minority districts as possible does not support an inference that the plan "so discriminates on the basis of race or color as to violate the Constitution," and thus cannot provide any basis under § 5 for the Justice Department's objection.</w:t>
      </w:r>
    </w:p>
    <w:p w:rsidR="00A31137" w:rsidRPr="00A31137" w:rsidRDefault="00A31137" w:rsidP="00A31137">
      <w:r w:rsidRPr="00A31137">
        <w:t>1996, Shaw v. Hunt, No. 94-923</w:t>
      </w:r>
    </w:p>
    <w:p w:rsidR="00A31137" w:rsidRPr="00A31137" w:rsidRDefault="00A31137" w:rsidP="00A31137">
      <w:r w:rsidRPr="00A31137">
        <w:t>Miller, supra, at ___ (citations omitted).</w:t>
      </w:r>
    </w:p>
    <w:p w:rsidR="00A31137" w:rsidRPr="00A31137" w:rsidRDefault="00A31137" w:rsidP="00A31137">
      <w:r w:rsidRPr="00A31137">
        <w:t>1996, Shaw v. Hunt, No. 94-923</w:t>
      </w:r>
    </w:p>
    <w:p w:rsidR="00A31137" w:rsidRPr="00A31137" w:rsidRDefault="00A31137" w:rsidP="00A31137">
      <w:r w:rsidRPr="00A31137">
        <w:t>It appears that the Justice Department was pursuing in North Carolina the same policy of maximizing the number of majority black districts that it pursued in Georgia. See Miller, supra, at ___, and n.. The two States underwent the preclearance processes during the same time period and the objection letters they received from the Civil Rights Division were substantially alike. App. in Miller v. Johnson, O.T. 1994, No. 94-631, pp. 99-107. A North Carolina legislator recalled being told by the Assistant Attorney General that</w:t>
      </w:r>
    </w:p>
    <w:p w:rsidR="00A31137" w:rsidRPr="00A31137" w:rsidRDefault="00A31137" w:rsidP="00A31137">
      <w:r w:rsidRPr="00A31137">
        <w:t>1996, Shaw v. Hunt, No. 94-923</w:t>
      </w:r>
    </w:p>
    <w:p w:rsidR="00A31137" w:rsidRPr="00A31137" w:rsidRDefault="00A31137" w:rsidP="00A31137">
      <w:r w:rsidRPr="00A31137">
        <w:t>you have twenty-two percent black people in this State, you must have as close to twenty-two percent black Congressmen, or black Congressional Districts in this State.</w:t>
      </w:r>
    </w:p>
    <w:p w:rsidR="00A31137" w:rsidRPr="00A31137" w:rsidRDefault="00A31137" w:rsidP="00A31137">
      <w:r w:rsidRPr="00A31137">
        <w:t>1996, Shaw v. Hunt, No. 94-923</w:t>
      </w:r>
    </w:p>
    <w:p w:rsidR="00A31137" w:rsidRPr="00A31137" w:rsidRDefault="00A31137" w:rsidP="00A31137">
      <w:r w:rsidRPr="00A31137">
        <w:t>App. 201. See also Deposition of Senator Dennis Winner, id. at 698. We explained in Miller that this maximization policy is not properly grounded in § 5 and the Department's authority thereunder. Miller, 515 U.S. at ___ ("In utilizing § 5 to require States to create majority-minority districts wherever possible, the Department of Justice expanded its authority under the statute beyond what Congress intended and we have upheld"). We again reject the Department's expansive interpretation of § 5. Id. at ___. Cf. Johnson v. De Grandy, 512 U.S. ___ (1994) ("Failure to maximize cannot be the measure of § 2"). 6</w:t>
      </w:r>
    </w:p>
    <w:p w:rsidR="00A31137" w:rsidRPr="00A31137" w:rsidRDefault="00A31137" w:rsidP="00A31137">
      <w:r w:rsidRPr="00A31137">
        <w:t>1996, Shaw v. Hunt, No. 94-923</w:t>
      </w:r>
    </w:p>
    <w:p w:rsidR="00A31137" w:rsidRPr="00A31137" w:rsidRDefault="00A31137" w:rsidP="00A31137">
      <w:r w:rsidRPr="00A31137">
        <w:t>With respect to § 2, appellees contend, and the District Court found, that failure to enact a plan with a second majority black district would have left the State vulnerable to a lawsuit under this section. Our precedent establishes that a plaintiff may allege a § 2 violation in a single-member district if the manipulation of districting lines fragments politically cohesive minority voters among several districts or packs them into one district or a small number of districts, and thereby dilutes the voting strength of members of the minority population. De Grandy, supra, at ___. To prevail on such a claim, a plaintiff must prove that the minority group "is sufficiently large and geographically compact to constitute a majority in a single-member district"; that the minority group "is politically cohesive"; and that "the white majority votes sufficiently as a bloc to enable it…usually to defeat the minority's preferred candidate." Thornburg v. Gingles, 478 U.S. 30, 50-51 (1986); Growe v. Emison, 507 U.S. 25 (1993) (recognizing that the three Gingles preconditions would apply to a § 2 challenge to a single-member district). A court must also consider all other relevant circumstances and must ultimately find based on the totality of those circumstances that members of a protected class "have less opportunity than other members of the electorate to participate in the political process and to elect representatives of their choice." 42 U.S.C. § 1973(b). See De Grandy, supra, at ___.</w:t>
      </w:r>
    </w:p>
    <w:p w:rsidR="00A31137" w:rsidRPr="00A31137" w:rsidRDefault="00A31137" w:rsidP="00A31137">
      <w:r w:rsidRPr="00A31137">
        <w:t>1996, Shaw v. Hunt, No. 94-923</w:t>
      </w:r>
    </w:p>
    <w:p w:rsidR="00A31137" w:rsidRPr="00A31137" w:rsidRDefault="00A31137" w:rsidP="00A31137">
      <w:r w:rsidRPr="00A31137">
        <w:t>We assume, arguendo, for the purpose of resolving this case, that compliance with § 2 could be a compelling interest, and we likewise assume, arguendo, that the General Assembly believed a second majority-minority district was needed in order not to violate § 2, and that the legislature, at the time it acted, had a strong basis in evidence to support that conclusion. We hold that, even with the benefit of these assumptions, the North Carolina plan does not survive strict scrutiny, because the remedy—the creation of District 12—is not narrowly tailored to the asserted end.</w:t>
      </w:r>
    </w:p>
    <w:p w:rsidR="00A31137" w:rsidRPr="00A31137" w:rsidRDefault="00A31137" w:rsidP="00A31137">
      <w:r w:rsidRPr="00A31137">
        <w:t>1996, Shaw v. Hunt, No. 94-923</w:t>
      </w:r>
    </w:p>
    <w:p w:rsidR="00A31137" w:rsidRPr="00A31137" w:rsidRDefault="00A31137" w:rsidP="00A31137">
      <w:r w:rsidRPr="00A31137">
        <w:t>Although we have not always provided precise guidance on how closely the means (the racial classification) must serve the end (the justification or compelling interest), we have always expected that the legislative action would substantially address, if not achieve, the avowed purpose. See Miller, supra, at ___ ("[T]he judiciary retains an independent obligation…to ensure that the State's actions are narrowly tailored to achieve a compelling interest"); Wygant, 476 U.S. at  280 (opinion of Powell, J.) ("[T]he means chosen to accomplish the State's asserted purpose must be specifically and narrowly framed to accomplish that purpose") id. at  278, n. 5 (opinion of Powell, J.) (race-based state action must be remedial); Shaw I, 509 U.S. at ___ ("A reapportionment plan would not be narrowly tailored to the goal of avoiding retrogression if the State went beyond what was reasonably necessary to avoid retrogression"). Cf. Missouri v. Jenkins, 515 U.S. ___, ___ (1995) (With regard to the remedial authority of a federal court: "the remedy must…be related to 'the condition alleged to offend the Constitution…. '" and must be "remedial in nature, that is, it must be designed as nearly as possible 'to restore the victims of discriminatory conduct to the position they would have occupied in the absence of such conduct'"). Where, as here, we assume avoidance of § 2 liability to be a compelling state interest, we think that the racial classification would have to realize that goal; the legislative action must at a minimum, remedy the anticipated violation or achieve compliance to be narrowly tailored. 7</w:t>
      </w:r>
    </w:p>
    <w:p w:rsidR="00A31137" w:rsidRPr="00A31137" w:rsidRDefault="00A31137" w:rsidP="00A31137">
      <w:r w:rsidRPr="00A31137">
        <w:t>1996, Shaw v. Hunt, No. 94-923</w:t>
      </w:r>
    </w:p>
    <w:p w:rsidR="00A31137" w:rsidRPr="00A31137" w:rsidRDefault="00A31137" w:rsidP="00A31137">
      <w:r w:rsidRPr="00A31137">
        <w:t>District 12 could not remedy any potential § 2 violation. As discussed above, a plaintiff must show that the minority group is "geographically compact" to establish § 2 liability. No one looking at District 12 could reasonably suggest that the district contains a "geographically compact" population of any race. See 861 F.Supp. at 469. Therefore where that district sits, "there neither has been a wrong nor can be a remedy." Growe, supra, at 41. 8</w:t>
      </w:r>
    </w:p>
    <w:p w:rsidR="00A31137" w:rsidRPr="00A31137" w:rsidRDefault="00A31137" w:rsidP="00A31137">
      <w:r w:rsidRPr="00A31137">
        <w:t>1996, Shaw v. Hunt, No. 94-923</w:t>
      </w:r>
    </w:p>
    <w:p w:rsidR="00A31137" w:rsidRPr="00A31137" w:rsidRDefault="00A31137" w:rsidP="00A31137">
      <w:r w:rsidRPr="00A31137">
        <w:t>Appellees do not defend District 12 by arguing that the district is geographically compact, however. Rather they contend, and a majority of the District Court agreed, 861 F.Supp. at 454-454, n. 50, that once a legislature has a strong basis in evidence for concluding that a § 2 violation exists in the State, it may draw a majority-minority district anywhere, even if the district is in no way coincident with the compact Gingles district, as long as racially polarized voting exists where the district is ultimately drawn. Tr. of Oral Arg. 50-51, 54-56.</w:t>
      </w:r>
    </w:p>
    <w:p w:rsidR="00A31137" w:rsidRPr="00A31137" w:rsidRDefault="00A31137" w:rsidP="00A31137">
      <w:r w:rsidRPr="00A31137">
        <w:t>1996, Shaw v. Hunt, No. 94-923</w:t>
      </w:r>
    </w:p>
    <w:p w:rsidR="00A31137" w:rsidRPr="00A31137" w:rsidRDefault="00A31137" w:rsidP="00A31137">
      <w:r w:rsidRPr="00A31137">
        <w:t>We find this position singularly unpersuasive. We do not see how a district so drawn would avoid § 2 liability. If a § 2 violation is proven for a particular area, it flows from the fact that individuals in this area</w:t>
      </w:r>
    </w:p>
    <w:p w:rsidR="00A31137" w:rsidRPr="00A31137" w:rsidRDefault="00A31137" w:rsidP="00A31137">
      <w:r w:rsidRPr="00A31137">
        <w:t>1996, Shaw v. Hunt, No. 94-923</w:t>
      </w:r>
    </w:p>
    <w:p w:rsidR="00A31137" w:rsidRPr="00A31137" w:rsidRDefault="00A31137" w:rsidP="00A31137">
      <w:r w:rsidRPr="00A31137">
        <w:t>have less opportunity than other members of the electorate to participate in the political process and to elect representatives of their choice.</w:t>
      </w:r>
    </w:p>
    <w:p w:rsidR="00A31137" w:rsidRPr="00A31137" w:rsidRDefault="00A31137" w:rsidP="00A31137">
      <w:r w:rsidRPr="00A31137">
        <w:t>1996, Shaw v. Hunt, No. 94-923</w:t>
      </w:r>
    </w:p>
    <w:p w:rsidR="00A31137" w:rsidRPr="00A31137" w:rsidRDefault="00A31137" w:rsidP="00A31137">
      <w:r w:rsidRPr="00A31137">
        <w:t>42 U.S.C. § 1973(b). The vote dilution injuries suffered by these persons are not remedied by creating a safe majority black district somewhere else in the State. For example, if a geographically compact, cohesive minority population lives in south-central to southeastern North Carolina, as the Justice Department's objection letter suggested, District 12 which spans the Piedmont Crescent would not address that § 2 violation. The black voters of the south-central to southeastern region would still be suffering precisely the same injury that they suffered before District 12 was drawn. District 12 would not address the professed interest of relieving the vote dilution, much less be narrowly tailored to accomplish the goal.</w:t>
      </w:r>
    </w:p>
    <w:p w:rsidR="00A31137" w:rsidRPr="00A31137" w:rsidRDefault="00A31137" w:rsidP="00A31137">
      <w:r w:rsidRPr="00A31137">
        <w:t>1996, Shaw v. Hunt, No. 94-923</w:t>
      </w:r>
    </w:p>
    <w:p w:rsidR="00A31137" w:rsidRPr="00A31137" w:rsidRDefault="00A31137" w:rsidP="00A31137">
      <w:r w:rsidRPr="00A31137">
        <w:t>Arguing, as appellees do and the District Court did, that the State may draw the district anywhere derives from a misconception of the vote dilution claim. To accept that the district may be placed anywhere implies that the claim, and hence the coordinate right to an undiluted vote (to cast a ballot equal among voters), belongs to the minority as a group and not to its individual members. It does not. See 42 U.S.C. § 1973 ("the right of any citizen"). 9</w:t>
      </w:r>
    </w:p>
    <w:p w:rsidR="00A31137" w:rsidRPr="00A31137" w:rsidRDefault="00A31137" w:rsidP="00A31137">
      <w:r w:rsidRPr="00A31137">
        <w:t>1996, Shaw v. Hunt, No. 94-923</w:t>
      </w:r>
    </w:p>
    <w:p w:rsidR="00A31137" w:rsidRPr="00A31137" w:rsidRDefault="00A31137" w:rsidP="00A31137">
      <w:r w:rsidRPr="00A31137">
        <w:t>The United States submits that District 12 does, in fact, incorporate a "substantial portio[n]" of the concentration of minority voters that would have given rise to a § 2 claim. Brief for United States as Amicus Curiae 27. Specifically, the Government claims that</w:t>
      </w:r>
    </w:p>
    <w:p w:rsidR="00A31137" w:rsidRPr="00A31137" w:rsidRDefault="00A31137" w:rsidP="00A31137">
      <w:r w:rsidRPr="00A31137">
        <w:t>1996, Shaw v. Hunt, No. 94-923</w:t>
      </w:r>
    </w:p>
    <w:p w:rsidR="00A31137" w:rsidRPr="00A31137" w:rsidRDefault="00A31137" w:rsidP="00A31137">
      <w:r w:rsidRPr="00A31137">
        <w:t>District 12…contains the heavy concentration of African Americans in Mecklenburg County, the same urban component included in the second minority opportunity district in some of the alternative plans.</w:t>
      </w:r>
    </w:p>
    <w:p w:rsidR="00A31137" w:rsidRPr="00A31137" w:rsidRDefault="00A31137" w:rsidP="00A31137">
      <w:r w:rsidRPr="00A31137">
        <w:t>1996, Shaw v. Hunt, No. 94-923</w:t>
      </w:r>
    </w:p>
    <w:p w:rsidR="00A31137" w:rsidRPr="00A31137" w:rsidRDefault="00A31137" w:rsidP="00A31137">
      <w:r w:rsidRPr="00A31137">
        <w:t>Ibid. The portion of District 12 that lies in Mecklenburg County covers not more than 20% of the district. See Exhibit 301 of Plaintiff-Intervenors, Map A, Map 9B. We do not think that this degree of incorporation could mean that District 12 substantially addresses the § 2 violation. We hold, therefore, that District 12 is not narrowly tailored to the State's asserted interest in complying with § 2 of the Voting Rights Act.</w:t>
      </w:r>
    </w:p>
    <w:p w:rsidR="00A31137" w:rsidRPr="00A31137" w:rsidRDefault="00A31137" w:rsidP="00A31137">
      <w:r w:rsidRPr="00A31137">
        <w:t>1996, Shaw v. Hunt, No. 94-923</w:t>
      </w:r>
    </w:p>
    <w:p w:rsidR="00A31137" w:rsidRPr="00A31137" w:rsidRDefault="00A31137" w:rsidP="00A31137">
      <w:r w:rsidRPr="00A31137">
        <w:t>For the foregoing reasons, the judgment of the District Court is</w:t>
      </w:r>
    </w:p>
    <w:p w:rsidR="00A31137" w:rsidRPr="00A31137" w:rsidRDefault="00A31137" w:rsidP="00A31137">
      <w:r w:rsidRPr="00A31137">
        <w:t>1996, Shaw v. Hunt, No. 94-923</w:t>
      </w:r>
    </w:p>
    <w:p w:rsidR="00A31137" w:rsidRPr="00A31137" w:rsidRDefault="00A31137" w:rsidP="00A31137">
      <w:r w:rsidRPr="00A31137">
        <w:t>Reversed.</w:t>
      </w:r>
    </w:p>
    <w:p w:rsidR="00A31137" w:rsidRPr="00A31137" w:rsidRDefault="00A31137" w:rsidP="00A31137">
      <w:r w:rsidRPr="00A31137">
        <w:t>STEVENS, J., dissenting</w:t>
      </w:r>
    </w:p>
    <w:p w:rsidR="00A31137" w:rsidRPr="00A31137" w:rsidRDefault="00A31137" w:rsidP="00A31137">
      <w:r w:rsidRPr="00A31137">
        <w:t>1996, Shaw v. Hunt, No. 94-923</w:t>
      </w:r>
    </w:p>
    <w:p w:rsidR="00A31137" w:rsidRPr="00A31137" w:rsidRDefault="00A31137" w:rsidP="00A31137">
      <w:r w:rsidRPr="00A31137">
        <w:t>JUSTICE STEVENS, with whom JUSTICE GINSBURG and JUSTICE BREYER join as to Parts II-V, dissenting.</w:t>
      </w:r>
    </w:p>
    <w:p w:rsidR="00A31137" w:rsidRPr="00A31137" w:rsidRDefault="00A31137" w:rsidP="00A31137">
      <w:r w:rsidRPr="00A31137">
        <w:t>1996, Shaw v. Hunt, No. 94-923</w:t>
      </w:r>
    </w:p>
    <w:p w:rsidR="00A31137" w:rsidRPr="00A31137" w:rsidRDefault="00A31137" w:rsidP="00A31137">
      <w:r w:rsidRPr="00A31137">
        <w:t>As I have explained on prior occasions, I am convinced that the Court's aggressive supervision of state action designed to accommodate the political concerns of historically disadvantaged minority groups is seriously misguided. A majority's attempt to enable the minority to participate more effectively in the process of democratic government should not be viewed with the same hostility that is appropriate for oppressive and exclusionary abuses of political power. See, e.g., Adarand Constructors, Inc. v. Pena, 515 U.S. ___, ___-___ (1995) (STEVENS, J., dissenting); Miller v. Johnson, 515 U.S. ___, ___-___ (1995) (STEVENS, J., dissenting); Shaw v. Reno 509 U.S. 630, 634-635 (1993) (Shaw I) (STEVENS, J., dissenting); Wygant v. Jackson Bd. of Ed., 476 U.S. 267, 316-317 (1986) (STEVENS, J., dissenting); Cousins v. City Council of Chicago, 466 F.2d 830, 852 (CA7 1972) (STEVENS, J., dissenting). But even if we accept the Court's refusal to recognize any distinction between two vastly different kinds of situations, we should affirm the judgment of the District Court in this case.</w:t>
      </w:r>
    </w:p>
    <w:p w:rsidR="00A31137" w:rsidRPr="00A31137" w:rsidRDefault="00A31137" w:rsidP="00A31137">
      <w:r w:rsidRPr="00A31137">
        <w:t>1996, Shaw v. Hunt, No. 94-923</w:t>
      </w:r>
    </w:p>
    <w:p w:rsidR="00A31137" w:rsidRPr="00A31137" w:rsidRDefault="00A31137" w:rsidP="00A31137">
      <w:r w:rsidRPr="00A31137">
        <w:t>As the Court analyzes the case, it raises three distinct questions: (1) Should North Carolina's decision to create two congressional districts in which a majority of the voters are African American be subject to strict constitutional scrutiny?; (2) If so, did North Carolina have a compelling interest in creating such districts?; and (3) If so, was the creation of those districts "narrowly tailored" to further the asserted compelling interest? The Court inadequately explains its answer to the first question, and it avoids answering the second because it concludes that its answer to the third disposes of the case. In my estimation, the Court's disposition of all three questions is most unsatisfactory.</w:t>
      </w:r>
    </w:p>
    <w:p w:rsidR="00A31137" w:rsidRPr="00A31137" w:rsidRDefault="00A31137" w:rsidP="00A31137">
      <w:r w:rsidRPr="00A31137">
        <w:t>1996, Shaw v. Hunt, No. 94-923</w:t>
      </w:r>
    </w:p>
    <w:p w:rsidR="00A31137" w:rsidRPr="00A31137" w:rsidRDefault="00A31137" w:rsidP="00A31137">
      <w:r w:rsidRPr="00A31137">
        <w:t>After commenting on the majority's treatment of the threshold jurisdictional issue, I shall discuss separately the three questions outlined above. In doing so, I do not mean to imply that I endorse the majority's effort to apply in rigid fashion the strict scrutiny analysis developed for cases of a far different type. I mean only to show that, even on its own terms, the majority's analysis fails to convince.</w:t>
      </w:r>
    </w:p>
    <w:p w:rsidR="00A31137" w:rsidRPr="00A31137" w:rsidRDefault="00A31137" w:rsidP="00A31137">
      <w:r w:rsidRPr="00A31137">
        <w:t>I</w:t>
      </w:r>
    </w:p>
    <w:p w:rsidR="00A31137" w:rsidRPr="00A31137" w:rsidRDefault="00A31137" w:rsidP="00A31137">
      <w:r w:rsidRPr="00A31137">
        <w:t>1996, Shaw v. Hunt, No. 94-923</w:t>
      </w:r>
    </w:p>
    <w:p w:rsidR="00A31137" w:rsidRPr="00A31137" w:rsidRDefault="00A31137" w:rsidP="00A31137">
      <w:r w:rsidRPr="00A31137">
        <w:t>I have explained previously why I believe that the Court has failed to supply a coherent theory of standing to justify its emerging and misguided race-based districting jurisprudence. See Miller v. Johnson, 515 U.S. at ___-___ (STEVENS, J., dissenting); United States v. Hays, 515 U.S. ___, ___-___ (1995) (STEVENS, J., concurring in judgment). The Court's analysis of the standing question in this case is similarly unsatisfactory, and, in my view, reflects the fact that the so-called Shaw claim seeks to employ the federal courts to impose a particular form of electoral process, rather than to redress any racially discriminatory treatment that the electoral process has imposed. In this instance, therefore, I shall consider the standing question in light of the majority's assertions about the nature of the underlying constitutional challenge.</w:t>
      </w:r>
    </w:p>
    <w:p w:rsidR="00A31137" w:rsidRPr="00A31137" w:rsidRDefault="00A31137" w:rsidP="00A31137">
      <w:r w:rsidRPr="00A31137">
        <w:t>1996, Shaw v. Hunt, No. 94-923</w:t>
      </w:r>
    </w:p>
    <w:p w:rsidR="00A31137" w:rsidRPr="00A31137" w:rsidRDefault="00A31137" w:rsidP="00A31137">
      <w:r w:rsidRPr="00A31137">
        <w:t>I begin by noting that this case reveals the Shaw claim to be useful less as a tool for protecting against racial discrimination than as a means by which state residents may second-guess legislative districting in federal court for partisan ends. The plaintiff-intervenors in this case are Republicans. It is apparent from the record that their real grievance is that they are represented in Congress by Democrats when they would prefer to be represented by members of their own party. They do not suggest that the racial identity of their representatives is a matter of concern, but it is obvious that their political identity is critical. See Pope v. Blue, 809 F.Supp. 392 (WDNC 1992).</w:t>
      </w:r>
    </w:p>
    <w:p w:rsidR="00A31137" w:rsidRPr="00A31137" w:rsidRDefault="00A31137" w:rsidP="00A31137">
      <w:r w:rsidRPr="00A31137">
        <w:t>1996, Shaw v. Hunt, No. 94-923</w:t>
      </w:r>
    </w:p>
    <w:p w:rsidR="00A31137" w:rsidRPr="00A31137" w:rsidRDefault="00A31137" w:rsidP="00A31137">
      <w:r w:rsidRPr="00A31137">
        <w:t>Significantly, from the outset of the legislative deliberations, the Republican Party did not oppose the creation of more than one majority-minority district. Indeed, several plans proposed by the Republicans in the state legislature provided two such districts. 861 F.Supp. 408, 460 (EDNC 1994). However, now that the State has created a district that is designed to preserve Democratic incumbents, and now that the plaintiff-intervenors' partisan gerrymandering suit has been dismissed for failure to state a claim, these intervenors have joined this racial gerrymandering challenge.</w:t>
      </w:r>
    </w:p>
    <w:p w:rsidR="00A31137" w:rsidRPr="00A31137" w:rsidRDefault="00A31137" w:rsidP="00A31137">
      <w:r w:rsidRPr="00A31137">
        <w:t>1996, Shaw v. Hunt, No. 94-923</w:t>
      </w:r>
    </w:p>
    <w:p w:rsidR="00A31137" w:rsidRPr="00A31137" w:rsidRDefault="00A31137" w:rsidP="00A31137">
      <w:r w:rsidRPr="00A31137">
        <w:t>It is plain that these intervenors are using their allegations of impermissibly race-based districting to achieve the same substantive result that their previous, less emotionally charged partisan gerrymandering challenge failed to secure. In light of the amorphous nature of the race discrimination claim recognized in Shaw I, it is inevitable that allegations of racial gerrymandering will become a standard means by which unsuccessful majority race candidates, and their parties, will seek to obtain judicially what they could not obtain electorally.</w:t>
      </w:r>
    </w:p>
    <w:p w:rsidR="00A31137" w:rsidRPr="00A31137" w:rsidRDefault="00A31137" w:rsidP="00A31137">
      <w:r w:rsidRPr="00A31137">
        <w:t>1996, Shaw v. Hunt, No. 94-923</w:t>
      </w:r>
    </w:p>
    <w:p w:rsidR="00A31137" w:rsidRPr="00A31137" w:rsidRDefault="00A31137" w:rsidP="00A31137">
      <w:r w:rsidRPr="00A31137">
        <w:t>Even if the other plaintiffs to this litigation do object to the use of race in the districting process for reasons other than partisan political advantage, the majority fails to explain adequately the nature of their constitutional challenge, or why it should be cognizable under the Equal Protection Clause. Not surprisingly, therefore, the majority's explanation of why these plaintiffs have standing to bring this challenge is unconvincing.</w:t>
      </w:r>
    </w:p>
    <w:p w:rsidR="00A31137" w:rsidRPr="00A31137" w:rsidRDefault="00A31137" w:rsidP="00A31137">
      <w:r w:rsidRPr="00A31137">
        <w:t>1996, Shaw v. Hunt, No. 94-923</w:t>
      </w:r>
    </w:p>
    <w:p w:rsidR="00A31137" w:rsidRPr="00A31137" w:rsidRDefault="00A31137" w:rsidP="00A31137">
      <w:r w:rsidRPr="00A31137">
        <w:t>It is important to point out what these plaintiffs do not claim. Counsel for appellees put the matter succinctly when he stated that this case is not Gomillion v. Lightfoot, 364 U.S. 339 (1960). 1 There, the plaintiffs had been prohibited from voting in municipal elections; here, all voters remain free to select representatives to Congress. Thus, while the plaintiffs purport to be challenging an unconstitutional racial gerrymander, they do not claim that they have been shut out of the electoral process on account of race, or that their voting power has been diluted as a consequence of race-based districting. Shaw I, 509 U.S. at  641.</w:t>
      </w:r>
    </w:p>
    <w:p w:rsidR="00A31137" w:rsidRPr="00A31137" w:rsidRDefault="00A31137" w:rsidP="00A31137">
      <w:r w:rsidRPr="00A31137">
        <w:t>1996, Shaw v. Hunt, No. 94-923</w:t>
      </w:r>
    </w:p>
    <w:p w:rsidR="00A31137" w:rsidRPr="00A31137" w:rsidRDefault="00A31137" w:rsidP="00A31137">
      <w:r w:rsidRPr="00A31137">
        <w:t>What then is the wrong that these plaintiffs have suffered that entitles them to call upon a federal court for redress? In Shaw I, the majority construed the plaintiffs' claim to be that the Equal Protection Clause forbids race-based districting designed solely to "separate" voters by race, and that North Carolina's districting process violated the prohibition. Ibid. Even if that were the claim before us, these plaintiffs should not have standing to bring it. The record shows that North Carolina's districting plan served to require these plaintiffs to share a district with voters of a different race. Thus, the injury that these plaintiffs have suffered, to the extent that there has been injury at all, stems from the integrative rather than the segregative effects of the State's redistricting plan.</w:t>
      </w:r>
    </w:p>
    <w:p w:rsidR="00A31137" w:rsidRPr="00A31137" w:rsidRDefault="00A31137" w:rsidP="00A31137">
      <w:r w:rsidRPr="00A31137">
        <w:t>1996, Shaw v. Hunt, No. 94-923</w:t>
      </w:r>
    </w:p>
    <w:p w:rsidR="00A31137" w:rsidRPr="00A31137" w:rsidRDefault="00A31137" w:rsidP="00A31137">
      <w:r w:rsidRPr="00A31137">
        <w:t>Perhaps cognizant of this incongruity, counsel for plaintiffs asserted a rather more abstract objection to race-based districting at oral argument. He suggested that the plaintiffs objected to the use of race in the districting process not because of any adverse consequence that these plaintiffs, on account of their race, had suffered more than other persons, but rather because the State's failure to obey a constitutional command to legislate in a color blind manner conveyed a message to voters across the State that "there are two black districts and ten white districts." 2</w:t>
      </w:r>
    </w:p>
    <w:p w:rsidR="00A31137" w:rsidRPr="00A31137" w:rsidRDefault="00A31137" w:rsidP="00A31137">
      <w:r w:rsidRPr="00A31137">
        <w:t>1996, Shaw v. Hunt, No. 94-923</w:t>
      </w:r>
    </w:p>
    <w:p w:rsidR="00A31137" w:rsidRPr="00A31137" w:rsidRDefault="00A31137" w:rsidP="00A31137">
      <w:r w:rsidRPr="00A31137">
        <w:t>Such a challenge calls to mind Justice Frankfurter's memorable characterization of the suit brought in Colegrove v. Green, 328 U.S. 549,  552 (1946).</w:t>
      </w:r>
    </w:p>
    <w:p w:rsidR="00A31137" w:rsidRPr="00A31137" w:rsidRDefault="00A31137" w:rsidP="00A31137">
      <w:r w:rsidRPr="00A31137">
        <w:t>1996, Shaw v. Hunt, No. 94-923</w:t>
      </w:r>
    </w:p>
    <w:p w:rsidR="00A31137" w:rsidRPr="00A31137" w:rsidRDefault="00A31137" w:rsidP="00A31137">
      <w:r w:rsidRPr="00A31137">
        <w:t>This is not an action to recover for damage because of the discriminatory exclusion of a plaintiff from rights enjoyed by other citizens,</w:t>
      </w:r>
    </w:p>
    <w:p w:rsidR="00A31137" w:rsidRPr="00A31137" w:rsidRDefault="00A31137" w:rsidP="00A31137">
      <w:r w:rsidRPr="00A31137">
        <w:t>1996, Shaw v. Hunt, No. 94-923</w:t>
      </w:r>
    </w:p>
    <w:p w:rsidR="00A31137" w:rsidRPr="00A31137" w:rsidRDefault="00A31137" w:rsidP="00A31137">
      <w:r w:rsidRPr="00A31137">
        <w:t>he explained. "The basis for the suit is not a private wrong, but a wrong suffered by Illinois as a polity." Ibid. Suits of this type necessarily press the boundaries of federal court jurisdiction, if they do not surpass it. When a federal court is called upon, as it is here, to parse among varying legislative choices about the political structure of a State, and when the litigant's claim ultimately rests on "a difference of opinion as to the function of representative government," rather than a claim of discriminatory exclusion, Baker v. Carr, 369 U.S. 186,  333 (1962) (Harlan, J., dissenting), there is reason for pause. Cf. Lujan v. Defenders of Wildlife, 504 U.S. 555, 573-574 (1992). 3</w:t>
      </w:r>
    </w:p>
    <w:p w:rsidR="00A31137" w:rsidRPr="00A31137" w:rsidRDefault="00A31137" w:rsidP="00A31137">
      <w:r w:rsidRPr="00A31137">
        <w:t>1996, Shaw v. Hunt, No. 94-923</w:t>
      </w:r>
    </w:p>
    <w:p w:rsidR="00A31137" w:rsidRPr="00A31137" w:rsidRDefault="00A31137" w:rsidP="00A31137">
      <w:r w:rsidRPr="00A31137">
        <w:t>Even if an objection to a State's decision to forego color blind districting is cognizable under some constitutional provision, I do not understand why that provision should be the Equal Protection Clause. In Reynolds v. Sims, 377 U.S. 533,  561 (1964), we were careful to point out that "[a] predominant consideration in determining whether a State's legislative apportionment scheme constitutes an invidious discrimination violative of rights asserted under the Equal Protection Clause is that the rights allegedly impaired are individual and personal in nature." In addition, in Palmer v. Thompson, 403 U.S. 217,  225 (1971), we explained that racially motivated legislation violates the Equal Protection Clause only when the challenged legislation "affect[s] blacks differently from whites."</w:t>
      </w:r>
    </w:p>
    <w:p w:rsidR="00A31137" w:rsidRPr="00A31137" w:rsidRDefault="00A31137" w:rsidP="00A31137">
      <w:r w:rsidRPr="00A31137">
        <w:t>1996, Shaw v. Hunt, No. 94-923</w:t>
      </w:r>
    </w:p>
    <w:p w:rsidR="00A31137" w:rsidRPr="00A31137" w:rsidRDefault="00A31137" w:rsidP="00A31137">
      <w:r w:rsidRPr="00A31137">
        <w:t>To be sure, as some commentators have noted, we have permitted generalized claims of harm resulting from State-sponsored messages to secure standing under the Establishment Clause. Pildes &amp; Niemi, Expressive Harms, "Bizarre Districts," and Voting Rights: Evaluating Election District Appearances After Shaw v. Reno, 92 Mich.L.Rev. 483, 499-524 (1993). It would be quite strange, however, to confer similarly broad standing under the Equal Protection Clause because that Clause protects against wrongs which by definition burden some persons but not others.</w:t>
      </w:r>
    </w:p>
    <w:p w:rsidR="00A31137" w:rsidRPr="00A31137" w:rsidRDefault="00A31137" w:rsidP="00A31137">
      <w:r w:rsidRPr="00A31137">
        <w:t>1996, Shaw v. Hunt, No. 94-923</w:t>
      </w:r>
    </w:p>
    <w:p w:rsidR="00A31137" w:rsidRPr="00A31137" w:rsidRDefault="00A31137" w:rsidP="00A31137">
      <w:r w:rsidRPr="00A31137">
        <w:t xml:space="preserve"> Here, of course, it appears that no individual has been burdened more than any other. The supposedly insidious messages that Shaw I contends will follow from extremely irregular race-based districting will presumably be received in equal measure by all State residents. For that reason, the claimed violation of a shared right to a color blind districting process would not seem to implicate the Equal Protection Clause at all precisely because it rests neither on a challenge to the State's decision to distribute burdens and benefits unequally, nor on a claim that the State's formally equal treatment of its citizens in fact stamps persons of one race with a badge of inferiority. See Bush v. Vera, post at ___ (SOUTER, J., dissenting).</w:t>
      </w:r>
    </w:p>
    <w:p w:rsidR="00A31137" w:rsidRPr="00A31137" w:rsidRDefault="00A31137" w:rsidP="00A31137">
      <w:r w:rsidRPr="00A31137">
        <w:t>1996, Shaw v. Hunt, No. 94-923</w:t>
      </w:r>
    </w:p>
    <w:p w:rsidR="00A31137" w:rsidRPr="00A31137" w:rsidRDefault="00A31137" w:rsidP="00A31137">
      <w:r w:rsidRPr="00A31137">
        <w:t>Indeed, to the extent that any person has been burdened more than any other by the State's districting plan, geography, rather than race, would seem to be to blame. The State has not chosen to subject only persons of a particular race to race-based districting. Rather, the State has selected certain geographical regions in which all voters—both white and black—have been assigned to race-based districts. Thus, what distinguishes those residents who have received a "color blind" districting process from those who have not is geography, rather than racial identity. Not surprisingly, therefore, Shaw I emphasizes that the race of the members of the plaintiff class is irrelevant. Shaw I, 509 U.S. at  641. Given the absence of any showing, or, indeed, any allegation, that any person has been harmed more than any other on account of race, the Court's decision to entertain the claim of these plaintiffs would seem to emanate less from the Equal Protection Clause's bar against racial discrimination than from the Court's unarticulated recognition of a new substantive due process right to "color blind" districting itself. See Shaw I, 509 U.S. at 641-642. 4 Revealed for what it is, the constitutional claim before us ultimately depends for its success on little more than speculative judicial suppositions about the societal message that is to be gleaned from race-based districting. I know of no workable constitutional principle, however, that can discern whether the message conveyed is a distressing endorsement of racial separatism, or an inspiring call to integrate the political process. As a result, I know of no basis for recognizing the right to color blind districting that has been asserted here.</w:t>
      </w:r>
    </w:p>
    <w:p w:rsidR="00A31137" w:rsidRPr="00A31137" w:rsidRDefault="00A31137" w:rsidP="00A31137">
      <w:r w:rsidRPr="00A31137">
        <w:t>1996, Shaw v. Hunt, No. 94-923</w:t>
      </w:r>
    </w:p>
    <w:p w:rsidR="00A31137" w:rsidRPr="00A31137" w:rsidRDefault="00A31137" w:rsidP="00A31137">
      <w:r w:rsidRPr="00A31137">
        <w:t>Even if there were some merit to the constitutional claim, it is at least clear that it requires the recognition of a new constitutional right. For that very reason, the Court's suggestion that pre-Shaw, race discrimination precedent somehow compels the application of strict scrutiny is disingenuous. The fact that our Equal Protection jurisprudence requires strict scrutiny of a claim that the State has used race as a criterion for imposing burdens on some persons, but not others, does not mean that the Constitution demands that a similar level of review obtain for a claim that the State has used race to impose equal burdens on the polity as a whole, or upon some nonracially defined portion thereof. As to the latter claim, the State may well deserve more deference when it determines that racial considerations are legitimate in a context that results in no race-based, unequal treatment.</w:t>
      </w:r>
    </w:p>
    <w:p w:rsidR="00A31137" w:rsidRPr="00A31137" w:rsidRDefault="00A31137" w:rsidP="00A31137">
      <w:r w:rsidRPr="00A31137">
        <w:t>1996, Shaw v. Hunt, No. 94-923</w:t>
      </w:r>
    </w:p>
    <w:p w:rsidR="00A31137" w:rsidRPr="00A31137" w:rsidRDefault="00A31137" w:rsidP="00A31137">
      <w:r w:rsidRPr="00A31137">
        <w:t>To take but one example, I do not believe that it would make sense to apply strict scrutiny to the Federal Government's decision to require citizens to identify their race on census forms, even though that requirement would force citizens to classify themselves racially, and even though such a requirement would arguably convey an insidious message about the Government's continuing belief that race remains relevant to the formulation of public policy. Of course, if the Federal Government required only those persons residing in the Midwest to identify their race on the census form, I do not doubt that only persons living in States in that region who filled out the forms would have standing to bring the constitutional challenge. I do doubt, however, whether our Equal Protection jurisprudence would require a federal court to evaluate the claim itself under strict scrutiny. In such a case, the only unequal treatment would have resulted from the State's decision to discriminate on the basis of geography, a race-neutral selection criterion that has not generally been thought to necessitate close judicial review.</w:t>
      </w:r>
    </w:p>
    <w:p w:rsidR="00A31137" w:rsidRPr="00A31137" w:rsidRDefault="00A31137" w:rsidP="00A31137">
      <w:r w:rsidRPr="00A31137">
        <w:t>1996, Shaw v. Hunt, No. 94-923</w:t>
      </w:r>
    </w:p>
    <w:p w:rsidR="00A31137" w:rsidRPr="00A31137" w:rsidRDefault="00A31137" w:rsidP="00A31137">
      <w:r w:rsidRPr="00A31137">
        <w:t>The majority ignores these concerns, and simply applies the standing test set forth in United States v. Hays, 515 U.S. ___ (1995), on the apparent assumption that this test adequately identifies those who have been personally denied "equal treatment" on account of race. Id. at ___. In Hays, the Court held that a plaintiff has standing to challenge a State's use of race in districting for Shaw claims if he (1) lives in a district that allegedly constitutes a racial gerrymander or (2) shows that, although he resides outside such a district, he has been personally subject to a racial classification. Ante at ___. On this basis, the Court concludes that none of the plaintiffs in this action has standing to challenge District 1, but that two of them have standing to challenge District 12. Ante at ___.</w:t>
      </w:r>
    </w:p>
    <w:p w:rsidR="00A31137" w:rsidRPr="00A31137" w:rsidRDefault="00A31137" w:rsidP="00A31137">
      <w:r w:rsidRPr="00A31137">
        <w:t>1996, Shaw v. Hunt, No. 94-923</w:t>
      </w:r>
    </w:p>
    <w:p w:rsidR="00A31137" w:rsidRPr="00A31137" w:rsidRDefault="00A31137" w:rsidP="00A31137">
      <w:r w:rsidRPr="00A31137">
        <w:t>As I understand it, the distinction drawn in Hays between those who live within a district and those who do not is thought to be relevant because voters who live in the "gerrymandered" district will have suffered the "personal" injuries inflicted by race-based districting more than other state residents. 5 Those injuries are said to be "representational" harms in the sense that race-based districting may cause officeholders to represent only those of the majority race in their district, or "stigmatic" harms, in the sense that the race-based linedrawing may promote racial hostility. United States v. Hays, 515 U.S. at ___; Shaw I, 509 U.S. at 646-649.</w:t>
      </w:r>
    </w:p>
    <w:p w:rsidR="00A31137" w:rsidRPr="00A31137" w:rsidRDefault="00A31137" w:rsidP="00A31137">
      <w:r w:rsidRPr="00A31137">
        <w:t>1996, Shaw v. Hunt, No. 94-923</w:t>
      </w:r>
    </w:p>
    <w:p w:rsidR="00A31137" w:rsidRPr="00A31137" w:rsidRDefault="00A31137" w:rsidP="00A31137">
      <w:r w:rsidRPr="00A31137">
        <w:t>Even if I were to accept the flawed assumption that the Hays test serves to identify any voter who has been burdened more than any other as a consequence of his race, I would still find it a most puzzling inquiry. What the Court fails to explain, as it failed to explain in Hays, is why evidence showing either that one lives in an allegedly racially gerrymandered district or that one's district assignment directly resulted from a racial classification should suffice to distinguish those who have suffered the representational and stigmatic harms that supposedly follow from race-based districting from those who have not.</w:t>
      </w:r>
    </w:p>
    <w:p w:rsidR="00A31137" w:rsidRPr="00A31137" w:rsidRDefault="00A31137" w:rsidP="00A31137">
      <w:r w:rsidRPr="00A31137">
        <w:t>1996, Shaw v. Hunt, No. 94-923</w:t>
      </w:r>
    </w:p>
    <w:p w:rsidR="00A31137" w:rsidRPr="00A31137" w:rsidRDefault="00A31137" w:rsidP="00A31137">
      <w:r w:rsidRPr="00A31137">
        <w:t>If representational injuries are what one must show to secure standing under Hays, then a demonstration that a voter's race led to his assignment to a particular district would perhaps be relevant to the jurisdictional inquiry, but surely not sufficient to satisfy it. There is no necessary correlation between race-based districting assignments and inadequate representation. See Davis v. Bandemer, 478 U.S. 109,  132 (1986) (opinion of White, J.). Indeed, any assumption that such a correlation exists could only be based on a stereotypical assumption about the kind of representation that politicians elected by minority voters are capable of providing. See Miller v. Johnson, 515 U.S. at ___-___ (STEVENS, J., dissenting).</w:t>
      </w:r>
    </w:p>
    <w:p w:rsidR="00A31137" w:rsidRPr="00A31137" w:rsidRDefault="00A31137" w:rsidP="00A31137">
      <w:r w:rsidRPr="00A31137">
        <w:t>1996, Shaw v. Hunt, No. 94-923</w:t>
      </w:r>
    </w:p>
    <w:p w:rsidR="00A31137" w:rsidRPr="00A31137" w:rsidRDefault="00A31137" w:rsidP="00A31137">
      <w:r w:rsidRPr="00A31137">
        <w:t>To prove the representational harms that Hays holds are needed to establish standing to assert a Shaw claim, one would think that plaintiffs should be required to put forth evidence that demonstrates that their political representatives are actually unlikely to provide effective representation to those voters whose interests are not aligned with those of the majority race in their district. Here, as the record reveals, no plaintiff has made such a showing. See 861 F.Supp. at 424-425, 471, n. 59. Given our general reluctance to hear claims founded on speculative assertions of injury, I do not understand why the majority concludes that the speculative possibility that race-based districting "may" cause these plaintiffs to receive less than complete representation suffices to create a cognizable case or controversy. United States v. Hays, 515 U.S. at ___.</w:t>
      </w:r>
    </w:p>
    <w:p w:rsidR="00A31137" w:rsidRPr="00A31137" w:rsidRDefault="00A31137" w:rsidP="00A31137">
      <w:r w:rsidRPr="00A31137">
        <w:t>1996, Shaw v. Hunt, No. 94-923</w:t>
      </w:r>
    </w:p>
    <w:p w:rsidR="00A31137" w:rsidRPr="00A31137" w:rsidRDefault="00A31137" w:rsidP="00A31137">
      <w:r w:rsidRPr="00A31137">
        <w:t>If, under Hays, the so-called "stigmatic" harms which result from extreme race-based districting suffice to secure standing, then I fail to see why it matters whether the litigants live within the "gerrymandered" district or were placed in a district as a result of their race. As I have pointed out, all voters in North Carolina would seem to be equally affected by the messages of "balkanization" or "racial apartheid" that racially gerrymandered maps supposedly convey, cf. Davis, 478 U.S. at  153 (O'CONNOR, J., concurring in judgment).</w:t>
      </w:r>
    </w:p>
    <w:p w:rsidR="00A31137" w:rsidRPr="00A31137" w:rsidRDefault="00A31137" w:rsidP="00A31137">
      <w:r w:rsidRPr="00A31137">
        <w:t>1996, Shaw v. Hunt, No. 94-923</w:t>
      </w:r>
    </w:p>
    <w:p w:rsidR="00A31137" w:rsidRPr="00A31137" w:rsidRDefault="00A31137" w:rsidP="00A31137">
      <w:r w:rsidRPr="00A31137">
        <w:t>Even if race-based districting could be said to impose more personal harms than the so-called "stigmatic" harms that Hays itself identified, I do not understand why any voter's reputation or dignity should be presumed to have been harmed simply because he resides in a highly integrated, majority-minority voting district that the legislature has deliberately created. Certainly the background social facts are not such that we should presume that the "stigmatic harm" described in Hays and Shaw I amounts to that found cognizable under the Equal Protection Clause in Brown v. Board of Education, 347 U.S. 483,  495 (1954), where state-sponsored school segregation caused some students, but not others, to be stamped with a badge of inferiority on account of their race. See Shaw I, 509 U.S. at  682, n. 4 (SOUTER, J., dissenting).</w:t>
      </w:r>
    </w:p>
    <w:p w:rsidR="00A31137" w:rsidRPr="00A31137" w:rsidRDefault="00A31137" w:rsidP="00A31137">
      <w:r w:rsidRPr="00A31137">
        <w:t>1996, Shaw v. Hunt, No. 94-923</w:t>
      </w:r>
    </w:p>
    <w:p w:rsidR="00A31137" w:rsidRPr="00A31137" w:rsidRDefault="00A31137" w:rsidP="00A31137">
      <w:r w:rsidRPr="00A31137">
        <w:t>In sum, even if it could be assumed that the plaintiffs in this case asserted the personalized injuries recognized in Hays at the time of Shaw I by virtue of their bare allegations of racial gerrymandering, they have surely failed to prove the existence of such injuries to the degree that we normally require at this stage of the litigation. See Lujan v. Defenders of Wildlife, 504 U.S. 555 (1992). Thus, so long as the Court insists on treating this type of suit as a traditional Equal Protection claim, it must either mean to take a broader view of the power of federal courts to entertain challenges to race-based governmental action than it has heretofore adopted, see Allen v. Wright, 468 U.S. 737 (1984); cf. Palmer, 403 U.S. at 224-225, or to create a special exception to general jurisdictional limitations for plaintiffs such as those before us here. Suffice it to say, I charitably assume the former to be the case, and proceed to consider the merits on the assumption that Shaw I was correctly decided.</w:t>
      </w:r>
    </w:p>
    <w:p w:rsidR="00A31137" w:rsidRPr="00A31137" w:rsidRDefault="00A31137" w:rsidP="00A31137">
      <w:r w:rsidRPr="00A31137">
        <w:t>II</w:t>
      </w:r>
    </w:p>
    <w:p w:rsidR="00A31137" w:rsidRPr="00A31137" w:rsidRDefault="00A31137" w:rsidP="00A31137">
      <w:r w:rsidRPr="00A31137">
        <w:t>1996, Shaw v. Hunt, No. 94-923</w:t>
      </w:r>
    </w:p>
    <w:p w:rsidR="00A31137" w:rsidRPr="00A31137" w:rsidRDefault="00A31137" w:rsidP="00A31137">
      <w:r w:rsidRPr="00A31137">
        <w:t>The District Court concluded that Shaw I required the application of strict scrutiny in any case containing proof that</w:t>
      </w:r>
    </w:p>
    <w:p w:rsidR="00A31137" w:rsidRPr="00A31137" w:rsidRDefault="00A31137" w:rsidP="00A31137">
      <w:r w:rsidRPr="00A31137">
        <w:t>1996, Shaw v. Hunt, No. 94-923</w:t>
      </w:r>
    </w:p>
    <w:p w:rsidR="00A31137" w:rsidRPr="00A31137" w:rsidRDefault="00A31137" w:rsidP="00A31137">
      <w:r w:rsidRPr="00A31137">
        <w:t>racial considerations played a "substantial" or "motivating" role in the linedrawing process, even if they were not the only factor that influenced that process.</w:t>
      </w:r>
    </w:p>
    <w:p w:rsidR="00A31137" w:rsidRPr="00A31137" w:rsidRDefault="00A31137" w:rsidP="00A31137">
      <w:r w:rsidRPr="00A31137">
        <w:t>1996, Shaw v. Hunt, No. 94-923</w:t>
      </w:r>
    </w:p>
    <w:p w:rsidR="00A31137" w:rsidRPr="00A31137" w:rsidRDefault="00A31137" w:rsidP="00A31137">
      <w:r w:rsidRPr="00A31137">
        <w:t>861 F.Supp. at 431. The court acknowledged that under this standard any deliberate effort to draw majority-minority districts in conformity with the Voting Rights Act would attract the strictest constitutional review, regardless of whether race-neutral districting criteria were also considered. Id. at 429. As a consequence, it applied strict scrutiny in this case solely on the basis of North Carolina's concession that it sought to draw two majority-minority districts in order to comply with the Voting Rights Act, and without performing any inquiry into whether North Carolina had considered race-neutral districting criteria in drawing District 12's boundaries.</w:t>
      </w:r>
    </w:p>
    <w:p w:rsidR="00A31137" w:rsidRPr="00A31137" w:rsidRDefault="00A31137" w:rsidP="00A31137">
      <w:r w:rsidRPr="00A31137">
        <w:t>1996, Shaw v. Hunt, No. 94-923</w:t>
      </w:r>
    </w:p>
    <w:p w:rsidR="00A31137" w:rsidRPr="00A31137" w:rsidRDefault="00A31137" w:rsidP="00A31137">
      <w:r w:rsidRPr="00A31137">
        <w:t>As the majority concludes, the District Court's test for triggering strict scrutiny set too low a threshold for subjecting a State's districting effort to rigorous, if not fatal, constitutional review. Ante at ___. In my view, therefore, the Court should at the very least remand the case to allow the District Court, which possesses an obvious familiarity with the record and a superior understanding of local dynamics, 6 to make the fact-intensive inquiry into legislative purpose that the proper test for triggering strict scrutiny requires. Although I do not share the majority's willingness to divine on my own the degree to which race determined the precise contours of District 12, if forced to decide the matter on this record, I would reject the majority's conclusion that a fair application of precedent dictates that North Carolina's redistricting effort should be subject to strict scrutiny.</w:t>
      </w:r>
    </w:p>
    <w:p w:rsidR="00A31137" w:rsidRPr="00A31137" w:rsidRDefault="00A31137" w:rsidP="00A31137">
      <w:r w:rsidRPr="00A31137">
        <w:t>1996, Shaw v. Hunt, No. 94-923</w:t>
      </w:r>
    </w:p>
    <w:p w:rsidR="00A31137" w:rsidRPr="00A31137" w:rsidRDefault="00A31137" w:rsidP="00A31137">
      <w:r w:rsidRPr="00A31137">
        <w:t>Subsequent to the District Court's decision, we handed down Miller v. Johnson, 515 U.S. ___ (1995), and issued our summary affirmance in DeWitt v. Wilson, 515 U.S. ___ (1995). As I understand the Miller test, and as it was applied in DeWitt, state legislatures may take racial and ethnic characteristics of voters into account when they are drawing district boundaries without triggering strict scrutiny so long as race is not the "predominant" consideration guiding their deliberations. Miller v. Johnson, 515 U.S. at ___. To show that race has been "predominant," a plaintiff must show that "the legislature subordinated traditional race-neutral districting principles…to racial considerations" in drawing that district. Id. at ___; see also id. at ___ (O'CONNOR, J., concurring) ("To invoke strict scrutiny, a plaintiff must show that the State has relied on race in substantial disregard of customary and traditional districting practices"); DeWitt v. Wilson, 856 F.Supp. 1409, 1412 (ED Cal. 1994), aff'd in part, dism'd in part, 515 U.S. ___ (1995) (declining to apply strict scrutiny because State complied with traditional districting principles).</w:t>
      </w:r>
    </w:p>
    <w:p w:rsidR="00A31137" w:rsidRPr="00A31137" w:rsidRDefault="00A31137" w:rsidP="00A31137">
      <w:r w:rsidRPr="00A31137">
        <w:t>1996, Shaw v. Hunt, No. 94-923</w:t>
      </w:r>
    </w:p>
    <w:p w:rsidR="00A31137" w:rsidRPr="00A31137" w:rsidRDefault="00A31137" w:rsidP="00A31137">
      <w:r w:rsidRPr="00A31137">
        <w:t>Indeed, the principal opinion in Bush v. Vera, post, p. ___, issued this same day, makes clear that the deliberate consideration of race in drawing district lines does not in and of itself invite constitutional suspicion. As the opinion there explains, our precedents do not require the application of strict scrutiny "to all cases of intentional creation of majority-minority districts." Bush, post at ___. Rather, strict scrutiny should apply only upon a demonstration that "'race for its own sake, and not other districting principles, was the legislature's dominant and controlling rationale in drawing its district lines.'" Ibid. (quoting Miller, 515 U.S. at ___).</w:t>
      </w:r>
    </w:p>
    <w:p w:rsidR="00A31137" w:rsidRPr="00A31137" w:rsidRDefault="00A31137" w:rsidP="00A31137">
      <w:r w:rsidRPr="00A31137">
        <w:t>1996, Shaw v. Hunt, No. 94-923</w:t>
      </w:r>
    </w:p>
    <w:p w:rsidR="00A31137" w:rsidRPr="00A31137" w:rsidRDefault="00A31137" w:rsidP="00A31137">
      <w:r w:rsidRPr="00A31137">
        <w:t>Because "the legitimate consideration of race in a districting decision is usually inevitable under the Voting Rights Act when communities are racially mixed," Shaw I, 509 U.S. at  683 (SOUTER, J., dissenting), our decisions in Miller, DeWitt, and Bush have quite properly declined to deem all race-based districting subject to strict scrutiny. Unlike many situations in which the consideration of race itself necessarily gives rise to constitutional suspicion, see, e.g., Batson v. Kentucky, 476 U.S. 79 (1986), Adarand Constructors, Inc. v. Pena, 515 U.S. ___ (1995), our precedents have sensibly recognized that in the context of redistricting a plaintiff must demonstrate that race had been used in a particularly determinative manner before strict constitutional scrutiny should obtain. Cf. Regents of Univ. of Cal. v. Bakke, 438 U.S. 265 (1978). This higher threshold for triggering strict scrutiny comports with the fact that the shared representational and stigmatic harms that Shaw purports to guard against are likely to occur only when the State subordinates race-neutral districting principles to a racial goal. See Shaw I, 509 U.S. at 646-649; 861 F.Supp. at 476-478 (Voorhees, C.J., dissenting); Pildes &amp; Niemi 92 Mich. L.Rev. at 499-524.</w:t>
      </w:r>
    </w:p>
    <w:p w:rsidR="00A31137" w:rsidRPr="00A31137" w:rsidRDefault="00A31137" w:rsidP="00A31137">
      <w:r w:rsidRPr="00A31137">
        <w:t>1996, Shaw v. Hunt, No. 94-923</w:t>
      </w:r>
    </w:p>
    <w:p w:rsidR="00A31137" w:rsidRPr="00A31137" w:rsidRDefault="00A31137" w:rsidP="00A31137">
      <w:r w:rsidRPr="00A31137">
        <w:t>Shaw I is entirely consistent with our holdings that race-based districting which respects traditional districting principles does not give rise to constitutional suspicion. As the District Court noted, Shaw I expressly reserved the question whether "'the intentional creation of majority-minority districts, without more,' always gives rise to an equal protection claim." 861 F.Supp. at 429 (quoting Shaw I, 509 U.S. at  649). Shaw I held only that an equal protection claim could lie as a result of allegations suggesting that the State's districting was</w:t>
      </w:r>
    </w:p>
    <w:p w:rsidR="00A31137" w:rsidRPr="00A31137" w:rsidRDefault="00A31137" w:rsidP="00A31137">
      <w:r w:rsidRPr="00A31137">
        <w:t>1996, Shaw v. Hunt, No. 94-923</w:t>
      </w:r>
    </w:p>
    <w:p w:rsidR="00A31137" w:rsidRPr="00A31137" w:rsidRDefault="00A31137" w:rsidP="00A31137">
      <w:r w:rsidRPr="00A31137">
        <w:t>so extremely irregular on its face that it rationally can be viewed only as an effort to segregate the races for purposes of voting, without regard for traditional districting principles[.]</w:t>
      </w:r>
    </w:p>
    <w:p w:rsidR="00A31137" w:rsidRPr="00A31137" w:rsidRDefault="00A31137" w:rsidP="00A31137">
      <w:r w:rsidRPr="00A31137">
        <w:t>1996, Shaw v. Hunt, No. 94-923</w:t>
      </w:r>
    </w:p>
    <w:p w:rsidR="00A31137" w:rsidRPr="00A31137" w:rsidRDefault="00A31137" w:rsidP="00A31137">
      <w:r w:rsidRPr="00A31137">
        <w:t>Id. at  642 (emphasis added).</w:t>
      </w:r>
    </w:p>
    <w:p w:rsidR="00A31137" w:rsidRPr="00A31137" w:rsidRDefault="00A31137" w:rsidP="00A31137">
      <w:r w:rsidRPr="00A31137">
        <w:t>1996, Shaw v. Hunt, No. 94-923</w:t>
      </w:r>
    </w:p>
    <w:p w:rsidR="00A31137" w:rsidRPr="00A31137" w:rsidRDefault="00A31137" w:rsidP="00A31137">
      <w:r w:rsidRPr="00A31137">
        <w:t>Moreover, Miller belies the conclusion that strict scrutiny must apply to all deliberate attempts to draw majority-minority districts if the Equal Protection Clause is to provide any practical limitation on a State's power to engage in race-based districting. Although Georgia argued that it had complied with traditional districting principles, the Miller majority had little difficulty concluding that the State's race-neutral explanations were implausible. Miller v. Johnson, 515 U.S. ___ (1995). 7 Thus, Miller demonstrates that, although States may avoid strict scrutiny by complying with traditional districting principles, they may not do so by proffering pretextual, race-neutral explanations for their maps.</w:t>
      </w:r>
    </w:p>
    <w:p w:rsidR="00A31137" w:rsidRPr="00A31137" w:rsidRDefault="00A31137" w:rsidP="00A31137">
      <w:r w:rsidRPr="00A31137">
        <w:t>1996, Shaw v. Hunt, No. 94-923</w:t>
      </w:r>
    </w:p>
    <w:p w:rsidR="00A31137" w:rsidRPr="00A31137" w:rsidRDefault="00A31137" w:rsidP="00A31137">
      <w:r w:rsidRPr="00A31137">
        <w:t>The notion that conscientious federal judges will be able to distinguish race-neutral explanations from pretextual ones is hardly foreign to our race discrimination jurisprudence. In a variety of contexts, from employment to juror selection, we have required plaintiffs to demonstrate not only that a defendant's action could be understood as impermissibly race-based, but also that the defendant's assertedly race-neutral explanation for that action was in fact a pretext for racial discrimination. Purkett v. Elem, 514 U.S. ___, ___ (1995); St. Mary's Honor Center v. Hicks, 509 U.S. 502, 518-519 (1993). Similarly, I understand Shaw I, Miller, DeWitt, and Bush to require plaintiffs to prove that the State did not respect traditional districting principles in drawing majority-minority districts. See Bush, post at ___.</w:t>
      </w:r>
    </w:p>
    <w:p w:rsidR="00A31137" w:rsidRPr="00A31137" w:rsidRDefault="00A31137" w:rsidP="00A31137">
      <w:r w:rsidRPr="00A31137">
        <w:t>1996, Shaw v. Hunt, No. 94-923</w:t>
      </w:r>
    </w:p>
    <w:p w:rsidR="00A31137" w:rsidRPr="00A31137" w:rsidRDefault="00A31137" w:rsidP="00A31137">
      <w:r w:rsidRPr="00A31137">
        <w:t>In holding that the present record shows race to have been the "predominant" consideration in the creation of District 12, the Court relies on two pieces of evidence: the State's admission that its "overriding" purpose was to "'create two congressional districts with effective black voting majorities,'" ante at ___; and the "'geographically noncompact'" shape of District 12, ante at ___. In my view, this evidence does not suffice to trigger strict scrutiny under the "demanding" test that Miller establishes. Miller v. Johnson, 515 U.S. at ___ (O'CONNOR, J., concurring). 8</w:t>
      </w:r>
    </w:p>
    <w:p w:rsidR="00A31137" w:rsidRPr="00A31137" w:rsidRDefault="00A31137" w:rsidP="00A31137">
      <w:r w:rsidRPr="00A31137">
        <w:t>1996, Shaw v. Hunt, No. 94-923</w:t>
      </w:r>
    </w:p>
    <w:p w:rsidR="00A31137" w:rsidRPr="00A31137" w:rsidRDefault="00A31137" w:rsidP="00A31137">
      <w:r w:rsidRPr="00A31137">
        <w:t>North Carolina's admission reveals that it intended to create a second majority-minority district. 9 That says nothing about whether it subordinated traditional districting principles in drawing District 12. States which conclude that federal law requires majority-minority districts have little choice but to give "overriding" weight to that concern. Indeed, in Voinovich v. Quilter, 507 U.S. 146, 159 (1993), we explained that evidence which showed that Ohio's chief mapmaker preferred</w:t>
      </w:r>
    </w:p>
    <w:p w:rsidR="00A31137" w:rsidRPr="00A31137" w:rsidRDefault="00A31137" w:rsidP="00A31137">
      <w:r w:rsidRPr="00A31137">
        <w:t>1996, Shaw v. Hunt, No. 94-923</w:t>
      </w:r>
    </w:p>
    <w:p w:rsidR="00A31137" w:rsidRPr="00A31137" w:rsidRDefault="00A31137" w:rsidP="00A31137">
      <w:r w:rsidRPr="00A31137">
        <w:t>federal over state law when he believed the two in conflict does not raise an inference of intentional discrimination; it demonstrates obedience to the Supremacy Clause of the United States Constitution.</w:t>
      </w:r>
    </w:p>
    <w:p w:rsidR="00A31137" w:rsidRPr="00A31137" w:rsidRDefault="00A31137" w:rsidP="00A31137">
      <w:r w:rsidRPr="00A31137">
        <w:t>1996, Shaw v. Hunt, No. 94-923</w:t>
      </w:r>
    </w:p>
    <w:p w:rsidR="00A31137" w:rsidRPr="00A31137" w:rsidRDefault="00A31137" w:rsidP="00A31137">
      <w:r w:rsidRPr="00A31137">
        <w:t>For that reason, we have not previously held that concessions such as North Carolina's suffice to trigger strict scrutiny. Cf. Bush, post at ___. 10 Thus, the State's concession is of little significance.</w:t>
      </w:r>
    </w:p>
    <w:p w:rsidR="00A31137" w:rsidRPr="00A31137" w:rsidRDefault="00A31137" w:rsidP="00A31137">
      <w:r w:rsidRPr="00A31137">
        <w:t>1996, Shaw v. Hunt, No. 94-923</w:t>
      </w:r>
    </w:p>
    <w:p w:rsidR="00A31137" w:rsidRPr="00A31137" w:rsidRDefault="00A31137" w:rsidP="00A31137">
      <w:r w:rsidRPr="00A31137">
        <w:t>District 12's noncompact appearance also fails to show that North Carolina engaged in suspect race-based districting. There is no federal statutory or constitutional requirement that state electoral boundaries conform to any particular ideal of geographic compactness. In addition, although the North Carolina Constitution requires electoral districts for state elective office to be contiguous, it does not require them to be geographically compact. 11 N.C.Const., Art. II, §§ 2, 5 (1984). Given that numerous States have written geographical compactness requirements into their state constitutions, North Carolina's omission on this score is noteworthy. See Grofman, Criteria for Districting: A Social Science Perspective, 33 UCLA L.Rev. 77, 84 (1985). It reveals that North Carolina's creation of a geographically noncompact district does not itself mark a deviation from any prevailing state districting principle. 12 Thus, while the serpentine character of District 12 may give rise to an inference that traditional districting principles were subordinated to race in determining its boundaries, it cannot fairly be said to prove that conclusion in light of the clear evidence demonstrating race-neutral explanations for the district's tortured shape. See infra.</w:t>
      </w:r>
    </w:p>
    <w:p w:rsidR="00A31137" w:rsidRPr="00A31137" w:rsidRDefault="00A31137" w:rsidP="00A31137">
      <w:r w:rsidRPr="00A31137">
        <w:t>1996, Shaw v. Hunt, No. 94-923</w:t>
      </w:r>
    </w:p>
    <w:p w:rsidR="00A31137" w:rsidRPr="00A31137" w:rsidRDefault="00A31137" w:rsidP="00A31137">
      <w:r w:rsidRPr="00A31137">
        <w:t>There is a more fundamental flaw in the majority's conclusion that racial concerns predominantly explain the creation of District 12. The evidence of shape and intent relied on by the majority cannot overcome the basic fact that North Carolina did not have to draw Districts 1 and 12 in order to comply with the Justice Department's finding that federal law required the creation of two majority-minority districts. That goal could have been more straightforwardly accomplished by simply adopting the Attorney General's recommendation to draw a geographically compact district in the southeastern portion of the State in addition to the majority-minority district that had already been drawn in the northeastern and Piedmont regions. See Shaw I, 509 U.S. at 634-635; 861 F.Supp. at 460, 461-462, 464.</w:t>
      </w:r>
    </w:p>
    <w:p w:rsidR="00A31137" w:rsidRPr="00A31137" w:rsidRDefault="00A31137" w:rsidP="00A31137">
      <w:r w:rsidRPr="00A31137">
        <w:t>1996, Shaw v. Hunt, No. 94-923</w:t>
      </w:r>
    </w:p>
    <w:p w:rsidR="00A31137" w:rsidRPr="00A31137" w:rsidRDefault="00A31137" w:rsidP="00A31137">
      <w:r w:rsidRPr="00A31137">
        <w:t xml:space="preserve"> That the legislature chose to draw Districts 1 and 12 instead surely suggests that something more than the desire to create a majority-minority district took precedence. For that reason, this case would seem to present a version of the very hypothetical that the principal opinion in Bush suggests should pose no constitutional problem-"an otherwise compact majority-minority district that is misshapen by nonracial, political manipulation." Bush, post at ___.</w:t>
      </w:r>
    </w:p>
    <w:p w:rsidR="00A31137" w:rsidRPr="00A31137" w:rsidRDefault="00A31137" w:rsidP="00A31137">
      <w:r w:rsidRPr="00A31137">
        <w:t>1996, Shaw v. Hunt, No. 94-923</w:t>
      </w:r>
    </w:p>
    <w:p w:rsidR="00A31137" w:rsidRPr="00A31137" w:rsidRDefault="00A31137" w:rsidP="00A31137">
      <w:r w:rsidRPr="00A31137">
        <w:t>Here, no evidence suggests that race played any role in the legislature's decision to choose the winding contours of District 12 over the more cartographically pleasant boundaries proposed by the Attorney General. 13 Rather, the record reveals that two race-neutral, traditional districting criteria determined District 12's shape: the interest in ensuring that incumbents would remain residents of the districts they have previously represented; and the interest in placing predominantly rural voters in one district and predominantly urban voters in another. 861 F.Supp. at 466-472; see also Miller v. Johnson, 515 U.S. ___ (1995) (considering whether communities of interest were preserved); White v. Weiser, 412 U.S. 783, 793-797 (1973) (establishing incumbency protection as a legitimate districting principle).</w:t>
      </w:r>
    </w:p>
    <w:p w:rsidR="00A31137" w:rsidRPr="00A31137" w:rsidRDefault="00A31137" w:rsidP="00A31137">
      <w:r w:rsidRPr="00A31137">
        <w:t>1996, Shaw v. Hunt, No. 94-923</w:t>
      </w:r>
    </w:p>
    <w:p w:rsidR="00A31137" w:rsidRPr="00A31137" w:rsidRDefault="00A31137" w:rsidP="00A31137">
      <w:r w:rsidRPr="00A31137">
        <w:t>Unlike most States, North Carolina has not given its chief executive any power to veto enactments of its legislature. Thus, even though the voters had elected a Republican Governor, the Democratic majority in the legislature was in control of the districting process. It was the Democrats who first decided to adopt the 11-white-district plan that arguably would have violated § 2 of the Voting Rights Act and gave rise to the Attorney General's objection under § 5. It was also the Democrats who rejected Republican Party maps which contained two majority-minority districts because they created too many districts in which a majority of the residents were registered Republicans. 861 F.Supp. at 460.</w:t>
      </w:r>
    </w:p>
    <w:p w:rsidR="00A31137" w:rsidRPr="00A31137" w:rsidRDefault="00A31137" w:rsidP="00A31137">
      <w:r w:rsidRPr="00A31137">
        <w:t>1996, Shaw v. Hunt, No. 94-923</w:t>
      </w:r>
    </w:p>
    <w:p w:rsidR="00A31137" w:rsidRPr="00A31137" w:rsidRDefault="00A31137" w:rsidP="00A31137">
      <w:r w:rsidRPr="00A31137">
        <w:t>If race rather than incumbency protection had been the dominant consideration, it seems highly unlikely that the Democrats would have drawn this bizarre district rather than accepting more compact options that were clearly available. If race, rather than politics, had been the "predominant" consideration for the Democrats, they could have accepted the Republican Plan, thereby satisfying the Attorney General and avoiding any significant risk of liability as well as the attack mounted by the plaintiffs in this case. Instead, as the detailed findings of the District Court demonstrate, the legislature deliberately crafted a districting plan that would accommodate the needs of Democratic incumbents. Id. at 466-467. 14</w:t>
      </w:r>
    </w:p>
    <w:p w:rsidR="00A31137" w:rsidRPr="00A31137" w:rsidRDefault="00A31137" w:rsidP="00A31137">
      <w:r w:rsidRPr="00A31137">
        <w:t>1996, Shaw v. Hunt, No. 94-923</w:t>
      </w:r>
    </w:p>
    <w:p w:rsidR="00A31137" w:rsidRPr="00A31137" w:rsidRDefault="00A31137" w:rsidP="00A31137">
      <w:r w:rsidRPr="00A31137">
        <w:t>If the Democrats remain in control of the districting process after the remand in this case, it will be interesting to see whether they will be willing to sacrifice one or more Democratic-majority districts in order to create at least two districts with effective minority voting majorities. My review of the history revealed in the findings of the District Court persuades me that political considerations will probably take priority over racial considerations in the immediate future, just as they surely did during the process of rejecting the Republican plan and ultimately adopting the plan challenged in this case. 15</w:t>
      </w:r>
    </w:p>
    <w:p w:rsidR="00A31137" w:rsidRPr="00A31137" w:rsidRDefault="00A31137" w:rsidP="00A31137">
      <w:r w:rsidRPr="00A31137">
        <w:t>1996, Shaw v. Hunt, No. 94-923</w:t>
      </w:r>
    </w:p>
    <w:p w:rsidR="00A31137" w:rsidRPr="00A31137" w:rsidRDefault="00A31137" w:rsidP="00A31137">
      <w:r w:rsidRPr="00A31137">
        <w:t>A deliberate effort to consolidate urban voters in one district and rural voters in another also explains District 12's highly irregular shape. Before District 12 had been drawn, members of the public as well as legislators had urged that</w:t>
      </w:r>
    </w:p>
    <w:p w:rsidR="00A31137" w:rsidRPr="00A31137" w:rsidRDefault="00A31137" w:rsidP="00A31137">
      <w:r w:rsidRPr="00A31137">
        <w:t>1996, Shaw v. Hunt, No. 94-923</w:t>
      </w:r>
    </w:p>
    <w:p w:rsidR="00A31137" w:rsidRPr="00A31137" w:rsidRDefault="00A31137" w:rsidP="00A31137">
      <w:r w:rsidRPr="00A31137">
        <w:t>the observance of distinctive urban and rural communities of interest should be a prime consideration in the general redistricting process.</w:t>
      </w:r>
    </w:p>
    <w:p w:rsidR="00A31137" w:rsidRPr="00A31137" w:rsidRDefault="00A31137" w:rsidP="00A31137">
      <w:r w:rsidRPr="00A31137">
        <w:t>1996, Shaw v. Hunt, No. 94-923</w:t>
      </w:r>
    </w:p>
    <w:p w:rsidR="00A31137" w:rsidRPr="00A31137" w:rsidRDefault="00A31137" w:rsidP="00A31137">
      <w:r w:rsidRPr="00A31137">
        <w:t>Id. at 466. As a result, the legislature was naturally attracted to a plan that, although less than aesthetically pleasing, included both District 12, which links the State's major urban centers, and District 1, which has a population that predominantly lives in cities with populations of less than 20,000. Id. at 467.</w:t>
      </w:r>
    </w:p>
    <w:p w:rsidR="00A31137" w:rsidRPr="00A31137" w:rsidRDefault="00A31137" w:rsidP="00A31137">
      <w:r w:rsidRPr="00A31137">
        <w:t>1996, Shaw v. Hunt, No. 94-923</w:t>
      </w:r>
    </w:p>
    <w:p w:rsidR="00A31137" w:rsidRPr="00A31137" w:rsidRDefault="00A31137" w:rsidP="00A31137">
      <w:r w:rsidRPr="00A31137">
        <w:t>Moreover, the record reveals that District 12's lines were drawn in order to unite an African American community whose political tradition was quite distinct from the one that defines African American voters in the Coastal Plain, which District 1 surrounds. Ibid. Indeed, two other majority-minority-district plans with less torturous boundaries were thought unsatisfactory precisely because they did not unite communities of interest. 861 F.Supp. at 465-466; Tr. 481. Significantly, the irregular contours of District 12 track the State's main interstate highway and are located entirely within the culturally distinct Piedmont Crescent region. 861 F.Supp. at 466. Clearly, then, District 12 was drawn around a community "defined by actual shared interests" rather than racial demography. Miller v. Johnson, 515 U.S. at ___; see also Shaw I, 509 U.S. at 647-648; DeWitt v. Wilson, 856 F.Supp. at 1412, 1413-1414 (recognizing that districts were "functionally" compact because they surrounded "communit[ies] of interest").</w:t>
      </w:r>
    </w:p>
    <w:p w:rsidR="00A31137" w:rsidRPr="00A31137" w:rsidRDefault="00A31137" w:rsidP="00A31137">
      <w:r w:rsidRPr="00A31137">
        <w:t>1996, Shaw v. Hunt, No. 94-923</w:t>
      </w:r>
    </w:p>
    <w:p w:rsidR="00A31137" w:rsidRPr="00A31137" w:rsidRDefault="00A31137" w:rsidP="00A31137">
      <w:r w:rsidRPr="00A31137">
        <w:t>In light of the majority's decision not to remand for proper application of the Miller test, I do not understand how it can condemn the drawing of District 12 given these two race-neutral justifications for its shape. To be sure, in choosing a district that snakes rather than sits, North Carolina did not put a premium on geographical compactness. But I do not understand why that should matter in light of the evidence which shows that other race-neutral districting considerations were determinative. 16</w:t>
      </w:r>
    </w:p>
    <w:p w:rsidR="00A31137" w:rsidRPr="00A31137" w:rsidRDefault="00A31137" w:rsidP="00A31137">
      <w:r w:rsidRPr="00A31137">
        <w:t>III</w:t>
      </w:r>
    </w:p>
    <w:p w:rsidR="00A31137" w:rsidRPr="00A31137" w:rsidRDefault="00A31137" w:rsidP="00A31137">
      <w:r w:rsidRPr="00A31137">
        <w:t>1996, Shaw v. Hunt, No. 94-923</w:t>
      </w:r>
    </w:p>
    <w:p w:rsidR="00A31137" w:rsidRPr="00A31137" w:rsidRDefault="00A31137" w:rsidP="00A31137">
      <w:r w:rsidRPr="00A31137">
        <w:t>As the foregoing discussion illustrates, legislative decisions are often the product of compromise and mixed motives. For that reason, I have always been skeptical about the value of motivational analysis as a basis for constitutional adjudication. See, e.g., Washington v. Davis, 426 U.S. 229, 253-254 (1976) (STEVENS, J., concurring). I am particularly skeptical of such an inquiry in a case of this type, as mixed motivations would seem to be endemic to the endeavor of political districting. See, e.g, Bush, post at ___ ("The present case is a mixed-motive case").</w:t>
      </w:r>
    </w:p>
    <w:p w:rsidR="00A31137" w:rsidRPr="00A31137" w:rsidRDefault="00A31137" w:rsidP="00A31137">
      <w:r w:rsidRPr="00A31137">
        <w:t>1996, Shaw v. Hunt, No. 94-923</w:t>
      </w:r>
    </w:p>
    <w:p w:rsidR="00A31137" w:rsidRPr="00A31137" w:rsidRDefault="00A31137" w:rsidP="00A31137">
      <w:r w:rsidRPr="00A31137">
        <w:t>The majority's analysis of the "compelling interest" issue nicely demonstrates the problem with parsing legislative motive in this context. The majority posits that the legislature's compelling interest in drawing District 12 was its desire to avoid liability under § 2 of the Voting Rights Act. Yet it addresses the question whether North Carolina had a compelling interest only because it first concludes that a racial purpose dominated the State's districting effort.</w:t>
      </w:r>
    </w:p>
    <w:p w:rsidR="00A31137" w:rsidRPr="00A31137" w:rsidRDefault="00A31137" w:rsidP="00A31137">
      <w:r w:rsidRPr="00A31137">
        <w:t>1996, Shaw v. Hunt, No. 94-923</w:t>
      </w:r>
    </w:p>
    <w:p w:rsidR="00A31137" w:rsidRPr="00A31137" w:rsidRDefault="00A31137" w:rsidP="00A31137">
      <w:r w:rsidRPr="00A31137">
        <w:t>It seems to me that if the State's true purpose were to serve its compelling interest in staving off costly litigation by complying with federal law, then it cannot be correct to say that a racially discriminatory purpose controlled its linedrawing. A more accurate conclusion would be that the State took race into account only to the extent necessary to meet the requirements of a carefully thought out federal statute. See Voinovich v. Quilter, 507 U.S. at 159. The majority's implicit equation of the intentional consideration of race in order to comply with the Voting Rights Act with intentional racial discrimination reveals the inadequacy of the framework it adopts for considering the constitutionality of race-based districting.</w:t>
      </w:r>
    </w:p>
    <w:p w:rsidR="00A31137" w:rsidRPr="00A31137" w:rsidRDefault="00A31137" w:rsidP="00A31137">
      <w:r w:rsidRPr="00A31137">
        <w:t>1996, Shaw v. Hunt, No. 94-923</w:t>
      </w:r>
    </w:p>
    <w:p w:rsidR="00A31137" w:rsidRPr="00A31137" w:rsidRDefault="00A31137" w:rsidP="00A31137">
      <w:r w:rsidRPr="00A31137">
        <w:t>However, even if I were to assume that strict scrutiny applies, and thus that it makes sense to consider the question, I would not share the majority's hesitancy in concluding that North Carolina had a "compelling interest" in drawing District 12. In my view, the record identifies not merely one, but at least three acceptable reasons that may have motivated legislators to favor the creation of two such districts. Those three reasons easily satisfy the judicially created requirement that the state legislature's decision be supported by a "compelling state interest," particularly in a case in which the alleged injury to the disadvantaged class—i.e., the majority of voters who are white—is so tenuous.</w:t>
      </w:r>
    </w:p>
    <w:p w:rsidR="00A31137" w:rsidRPr="00A31137" w:rsidRDefault="00A31137" w:rsidP="00A31137">
      <w:r w:rsidRPr="00A31137">
        <w:t>1996, Shaw v. Hunt, No. 94-923</w:t>
      </w:r>
    </w:p>
    <w:p w:rsidR="00A31137" w:rsidRPr="00A31137" w:rsidRDefault="00A31137" w:rsidP="00A31137">
      <w:r w:rsidRPr="00A31137">
        <w:t>First, some legislators felt that the sorry history of race relations in North Carolina in past decades was a sufficient reason for making it easier for more black leaders to participate in the legislative process and to represent the State in the Congress of the United States. 861 F.Supp. at 462-463. Even if that history does not provide the kind of precise guidance that will justify certain specific affirmative action programs in particular industries, see ante at ___, it surely provides an adequate basis for a decision to facilitate the election of representatives of the previously disadvantaged minority.</w:t>
      </w:r>
    </w:p>
    <w:p w:rsidR="00A31137" w:rsidRPr="00A31137" w:rsidRDefault="00A31137" w:rsidP="00A31137">
      <w:r w:rsidRPr="00A31137">
        <w:t>1996, Shaw v. Hunt, No. 94-923</w:t>
      </w:r>
    </w:p>
    <w:p w:rsidR="00A31137" w:rsidRPr="00A31137" w:rsidRDefault="00A31137" w:rsidP="00A31137">
      <w:r w:rsidRPr="00A31137">
        <w:t>As a class, state legislators are far more likely to be familiar with the role that race plays in electoral politics than they are with the role that it plays in hiring decisions within discrete industries. Moreover, given the North Carolina Legislature's own recent experience with voting rights litigation, see Thornburg v. Gingles, 478 U.S. 30 (1986), as well as the fact that 40 of the State's districts are so-called covered jurisdictions which the Attorney General directly monitors as a result of prior discriminatory practices, see 42 U.S.C. § 1973c (1988 ed.), there is less reason to assume that the state legislative judgments under review here are based on unwarranted generalizations than may be true in other contexts. Thus, even if a desire to correct past discrimination did not itself drive the legislative decision to draw two majority-minority districts, it plainly constituted a legitimate and significant additional factor supporting the decision to do so. 861 F.Supp. at 472-473.</w:t>
      </w:r>
    </w:p>
    <w:p w:rsidR="00A31137" w:rsidRPr="00A31137" w:rsidRDefault="00A31137" w:rsidP="00A31137">
      <w:r w:rsidRPr="00A31137">
        <w:t>1996, Shaw v. Hunt, No. 94-923</w:t>
      </w:r>
    </w:p>
    <w:p w:rsidR="00A31137" w:rsidRPr="00A31137" w:rsidRDefault="00A31137" w:rsidP="00A31137">
      <w:r w:rsidRPr="00A31137">
        <w:t>Second, regardless of whether § 5 of the Act was actually violated, I believe the State's interest in avoiding the litigation that would have been necessary to overcome the Attorney General's objection to the original plan provides an acceptable reason for creating a second majority-minority district. It is entirely proper for a State whose past practices have subjected it to the preclearance obligation set forth in § 5 to presume that the Attorney General's construction of the Act is correct, and to take corrective action rather than challenging him 17 in Court.</w:t>
      </w:r>
    </w:p>
    <w:p w:rsidR="00A31137" w:rsidRPr="00A31137" w:rsidRDefault="00A31137" w:rsidP="00A31137">
      <w:r w:rsidRPr="00A31137">
        <w:t>1996, Shaw v. Hunt, No. 94-923</w:t>
      </w:r>
    </w:p>
    <w:p w:rsidR="00A31137" w:rsidRPr="00A31137" w:rsidRDefault="00A31137" w:rsidP="00A31137">
      <w:r w:rsidRPr="00A31137">
        <w:t>Moreover, even if the State's interest in avoiding a court challenge that might have succeeded does not constitute a sufficient justification for its decision to draw a majority-minority district, the State plainly had an interest in complying with a finding by the Attorney General that it reasonably believed could not have been successfully challenged in court. The majority disagrees, relying on our analysis in Miller v. Johnson, 515 U.S. at ___-___. That reliance is misplaced.</w:t>
      </w:r>
    </w:p>
    <w:p w:rsidR="00A31137" w:rsidRPr="00A31137" w:rsidRDefault="00A31137" w:rsidP="00A31137">
      <w:r w:rsidRPr="00A31137">
        <w:t>1996, Shaw v. Hunt, No. 94-923</w:t>
      </w:r>
    </w:p>
    <w:p w:rsidR="00A31137" w:rsidRPr="00A31137" w:rsidRDefault="00A31137" w:rsidP="00A31137">
      <w:r w:rsidRPr="00A31137">
        <w:t xml:space="preserve"> In Miller, the Court concluded that Georgia had simply acceded to the Attorney General's unreasonable construction of § 5 without performing any independent assessment of its validity. Ibid. By contrast, the District Court here found as a factual matter that the legislature's independent assessment of the reasons for the Attorney General's denial of preclearance led it to the reasonable conclusion that its 11-white district plan would violate the purpose prong of § 5. 861 F.Supp. at 474. As a result, I do not accept the Court's conclusion that it was unreasonable for the State to believe that its decision to draw 1 majority-minority district out of 12 would have been subject to a successful attack under the purpose prong of § 5. Ante at ___.</w:t>
      </w:r>
    </w:p>
    <w:p w:rsidR="00A31137" w:rsidRPr="00A31137" w:rsidRDefault="00A31137" w:rsidP="00A31137">
      <w:r w:rsidRPr="00A31137">
        <w:t>1996, Shaw v. Hunt, No. 94-923</w:t>
      </w:r>
    </w:p>
    <w:p w:rsidR="00A31137" w:rsidRPr="00A31137" w:rsidRDefault="00A31137" w:rsidP="00A31137">
      <w:r w:rsidRPr="00A31137">
        <w:t>I acknowledge that when North Carolina sought preclearance it asserted nondiscriminatory reasons for deciding not to draw a second majority-minority district. See 861 F.Supp. at 480, n. 9 (Vorhees, C.J., dissenting). On careful reflection, however, the legislature concluded that those reasons would not likely suffice in a federal action to challenge the Attorney General's ruling. The District Court found that conclusion to be reasonable. Id. at 474. I am mystified as to why this finding does not deserve our acceptance. Nor do I understand the Court's willingness to credit the State's declarations of nondiscriminatory purpose in this context, ante at ___, in light of its unwillingness to accept any of North Carolina's race-neutral explanations for its decision to draw District 12, ante at ___.</w:t>
      </w:r>
    </w:p>
    <w:p w:rsidR="00A31137" w:rsidRPr="00A31137" w:rsidRDefault="00A31137" w:rsidP="00A31137">
      <w:r w:rsidRPr="00A31137">
        <w:t>1996, Shaw v. Hunt, No. 94-923</w:t>
      </w:r>
    </w:p>
    <w:p w:rsidR="00A31137" w:rsidRPr="00A31137" w:rsidRDefault="00A31137" w:rsidP="00A31137">
      <w:r w:rsidRPr="00A31137">
        <w:t>Third, regardless of the possible outcome of litigation alleging that § 2 of the Voting Rights Act would be violated by a plan that ensured the election of white legislators in 11 of the State's 12 congressional districts, the interest in avoiding the expense and unpleasantness of such litigation was certainly legitimate and substantial. That the legislature reasonably feared the possibility of a successful § 2 challenge cannot be credibly denied. 18</w:t>
      </w:r>
    </w:p>
    <w:p w:rsidR="00A31137" w:rsidRPr="00A31137" w:rsidRDefault="00A31137" w:rsidP="00A31137">
      <w:r w:rsidRPr="00A31137">
        <w:t>1996, Shaw v. Hunt, No. 94-923</w:t>
      </w:r>
    </w:p>
    <w:p w:rsidR="00A31137" w:rsidRPr="00A31137" w:rsidRDefault="00A31137" w:rsidP="00A31137">
      <w:r w:rsidRPr="00A31137">
        <w:t>In the course of the redistricting debate, numerous maps had been presented showing that blacks could constitute more than 50 percent of the population in two districts. 861 F.Supp. at 460-461, 474. The District Court found that these plans had demonstrated that "the state's African American population was sufficiently large and geographically compact to constitute a majority in two congressional districts." Id. at 464.</w:t>
      </w:r>
    </w:p>
    <w:p w:rsidR="00A31137" w:rsidRPr="00A31137" w:rsidRDefault="00A31137" w:rsidP="00A31137">
      <w:r w:rsidRPr="00A31137">
        <w:t>1996, Shaw v. Hunt, No. 94-923</w:t>
      </w:r>
    </w:p>
    <w:p w:rsidR="00A31137" w:rsidRPr="00A31137" w:rsidRDefault="00A31137" w:rsidP="00A31137">
      <w:r w:rsidRPr="00A31137">
        <w:t xml:space="preserve"> Moreover, the Attorney General denied preclearance on the ground that North Carolina could have created a second majority-minority district that was, under any reasonable standard, geographically compact. Id. at 461-462; Shaw I, 509 U.S. at  635. Maps prepared by the plaintiff-intervenors for this litigation conclusively demonstrate that two compact, majority-minority districts could indeed have been drawn. 866 F.Supp. at 464-465; Plaintiff-Intervenors' Exh. 301, A2-A3.</w:t>
      </w:r>
    </w:p>
    <w:p w:rsidR="00A31137" w:rsidRPr="00A31137" w:rsidRDefault="00A31137" w:rsidP="00A31137">
      <w:r w:rsidRPr="00A31137">
        <w:t>1996, Shaw v. Hunt, No. 94-923</w:t>
      </w:r>
    </w:p>
    <w:p w:rsidR="00A31137" w:rsidRPr="00A31137" w:rsidRDefault="00A31137" w:rsidP="00A31137">
      <w:r w:rsidRPr="00A31137">
        <w:t>Even if many of the maps proposing two majority-African American districts were not particularly compact, the legislature reasonably concluded that a federal court might have determined that some of them could have provided the basis for a viable vote dilution suit pursuant to Thornburg v. Gingles, 478 U.S. at 50-51. 861 F.Supp. at 474. That conclusion is particularly reasonable in light of the fact that Gingles was a case fresh in the minds of many of North Carolina's state legislators, id. at 463. There, the State challenged the plaintiffs' § 2 claim by pointing to the oddly configured lines that defined their proposed majority-minority districts. See Gingles v. Edmisten, 590 F.Supp. 345, 373 (EDNC 1984). As we know, North Carolina's defense to § 2 liability proved unsuccessful in that instance, even though the district court acknowledged that the "single-member district specifically suggested by the plaintiffs as a viable one is obviously not a model of aesthetic tidiness." Id. at 374. 19</w:t>
      </w:r>
    </w:p>
    <w:p w:rsidR="00A31137" w:rsidRPr="00A31137" w:rsidRDefault="00A31137" w:rsidP="00A31137">
      <w:r w:rsidRPr="00A31137">
        <w:t>1996, Shaw v. Hunt, No. 94-923</w:t>
      </w:r>
    </w:p>
    <w:p w:rsidR="00A31137" w:rsidRPr="00A31137" w:rsidRDefault="00A31137" w:rsidP="00A31137">
      <w:r w:rsidRPr="00A31137">
        <w:t>Finally, even if the record shows that African American voters would not have comprised more than 50 percent of the population in any plan containing two compact, majority-minority districts, the record reveals that it would have been possible to have drawn a map containing one compact district in which African Americans would have comprised more than 50 percent of the population and another compact district in which African Americans, by reason of the large presence of Native Americans, would have by far constituted the largest racial group. Plaintiff-Intervenors' Exh. 301, A2-A3. Given our recent emphasis on considering the totality of the circumstances in § 2 cases, we are in no position to rebuke a State for concluding that a 40-plus percent African American district could provide a defense to a viable Gingles challenge as surely as could one with a 50.1 percent African American population. See Johnson v. De Grandy, 512 U.S. ___, ___ (1994); Voinovich v. Quilter, 507 U.S. 146 (1993); Rural West Tennessee African American Affairs Council, Inc. v. McWherter, 877 F. Supp 1096 (WD Tenn. 1995), aff'd, 516 U.S. ___ (1995). 20</w:t>
      </w:r>
    </w:p>
    <w:p w:rsidR="00A31137" w:rsidRPr="00A31137" w:rsidRDefault="00A31137" w:rsidP="00A31137">
      <w:r w:rsidRPr="00A31137">
        <w:t>1996, Shaw v. Hunt, No. 94-923</w:t>
      </w:r>
    </w:p>
    <w:p w:rsidR="00A31137" w:rsidRPr="00A31137" w:rsidRDefault="00A31137" w:rsidP="00A31137"/>
    <w:p w:rsidR="00A31137" w:rsidRPr="00A31137" w:rsidRDefault="00A31137" w:rsidP="00A31137">
      <w:r w:rsidRPr="00A31137">
        <w:t>IV</w:t>
      </w:r>
    </w:p>
    <w:p w:rsidR="00A31137" w:rsidRPr="00A31137" w:rsidRDefault="00A31137" w:rsidP="00A31137">
      <w:r w:rsidRPr="00A31137">
        <w:t>1996, Shaw v. Hunt, No. 94-923</w:t>
      </w:r>
    </w:p>
    <w:p w:rsidR="00A31137" w:rsidRPr="00A31137" w:rsidRDefault="00A31137" w:rsidP="00A31137">
      <w:r w:rsidRPr="00A31137">
        <w:t>Although the Court assumes that North Carolina had a compelling interest in "avoiding liability" under § 2, ante at ___, it avoids conclusively resolving that question because it holds that District 12 was not a "narrowly tailored" means of achieving that end. The majority reaches this conclusion by determining that District 12 did not "remedy" any potential violation of § 2 that may have occurred. Ante at ___.</w:t>
      </w:r>
    </w:p>
    <w:p w:rsidR="00A31137" w:rsidRPr="00A31137" w:rsidRDefault="00A31137" w:rsidP="00A31137">
      <w:r w:rsidRPr="00A31137">
        <w:t>1996, Shaw v. Hunt, No. 94-923</w:t>
      </w:r>
    </w:p>
    <w:p w:rsidR="00A31137" w:rsidRPr="00A31137" w:rsidRDefault="00A31137" w:rsidP="00A31137">
      <w:r w:rsidRPr="00A31137">
        <w:t>In my judgment, if a State's new plan successfully avoids the potential litigation entirely, there is no reason why it must also take the form of a "remedy" for an unproven violation. Thus, the fact that no § 2 violation has been proven in the territory that comprises District 12 does not show that the district fails to serve a compelling state interest. It shows only that a federal court, which is constrained by Article III, would not have had the power to require North Carolina to draw that district. It is axiomatic that a State should have more authority to institute a districting plan than would a federal court. Voinovich v. Quilter, 507 U.S. at 156-157.</w:t>
      </w:r>
    </w:p>
    <w:p w:rsidR="00A31137" w:rsidRPr="00A31137" w:rsidRDefault="00A31137" w:rsidP="00A31137">
      <w:r w:rsidRPr="00A31137">
        <w:t>1996, Shaw v. Hunt, No. 94-923</w:t>
      </w:r>
    </w:p>
    <w:p w:rsidR="00A31137" w:rsidRPr="00A31137" w:rsidRDefault="00A31137" w:rsidP="00A31137">
      <w:r w:rsidRPr="00A31137">
        <w:t>That District 12 will protect North Carolina from liability seems clear. The record gives no indication that any of the potential § 2 claimants is interested in challenging the plan that contains District 12. Moreover, as a legal matter, North Carolina is in a stronger position to defend against a § 2 lawsuit with District 12 than without it.</w:t>
      </w:r>
    </w:p>
    <w:p w:rsidR="00A31137" w:rsidRPr="00A31137" w:rsidRDefault="00A31137" w:rsidP="00A31137">
      <w:r w:rsidRPr="00A31137">
        <w:t>1996, Shaw v. Hunt, No. 94-923</w:t>
      </w:r>
    </w:p>
    <w:p w:rsidR="00A31137" w:rsidRPr="00A31137" w:rsidRDefault="00A31137" w:rsidP="00A31137">
      <w:r w:rsidRPr="00A31137">
        <w:t>Johnson v. De Grandy expressly states that at least in the context of single-member districting plans, a plaintiff cannot make out a prima facie case of vote dilution under § 2 unless he can demonstrate that his proposed map contains more majority-minority districts than the State's. 512 U.S. at ___. By creating a plan with two majority-minority districts here, the State would seem to have precluded potential litigants from satisfying that precondition. 21</w:t>
      </w:r>
    </w:p>
    <w:p w:rsidR="00A31137" w:rsidRPr="00A31137" w:rsidRDefault="00A31137" w:rsidP="00A31137">
      <w:r w:rsidRPr="00A31137">
        <w:t>1996, Shaw v. Hunt, No. 94-923</w:t>
      </w:r>
    </w:p>
    <w:p w:rsidR="00A31137" w:rsidRPr="00A31137" w:rsidRDefault="00A31137" w:rsidP="00A31137">
      <w:r w:rsidRPr="00A31137">
        <w:t>In addition, satisfaction of the so-called Gingles preconditions does not entitle an individual minority voter to inclusion in a majority-minority district. A court may conclude that a State must create such a district only after it considers the totality of the circumstances. A court would be remiss if it failed to take into account that the State had drawn majority-minority districts proportional to its minority population which include portions of the very minority community in which an individual minority plaintiff resides. Indeed, our recent decisions compel courts to perform just such a calculus. See Johnson v. De Grandy, 512 U.S. at ___; Voinovich v. Quilter, 507 U.S. 146 (1993); see also African American Voting Rights Legal Defense Fund, Inc., v. Villa, 54 F.3d 1345, 1355-1357 (CA8 1995).</w:t>
      </w:r>
    </w:p>
    <w:p w:rsidR="00A31137" w:rsidRPr="00A31137" w:rsidRDefault="00A31137" w:rsidP="00A31137">
      <w:r w:rsidRPr="00A31137">
        <w:t>1996, Shaw v. Hunt, No. 94-923</w:t>
      </w:r>
    </w:p>
    <w:p w:rsidR="00A31137" w:rsidRPr="00A31137" w:rsidRDefault="00A31137" w:rsidP="00A31137">
      <w:r w:rsidRPr="00A31137">
        <w:t>Finally, North Carolina's chosen means of avoiding liability will impose none of the burdens on third parties that have made the Court wary of voluntary, race-based state action in the past. No white employees or applicants stand to lose jobs on account of their race as a result of North Carolina's actions. In fact, no white voters risk having their votes unlawfully diluted. At most, North Carolina's chosen means will require that some people of both races will be placed in districts other than those to which they would have otherwise been assigned. Even assuming that "burden" is more onerous when it results from racial considerations, it does not rise to a level of injury that justifies a federal court intruding on the State's discretion to formulate a plan that complies with the Voting Rights Act.</w:t>
      </w:r>
    </w:p>
    <w:p w:rsidR="00A31137" w:rsidRPr="00A31137" w:rsidRDefault="00A31137" w:rsidP="00A31137">
      <w:r w:rsidRPr="00A31137">
        <w:t>1996, Shaw v. Hunt, No. 94-923</w:t>
      </w:r>
    </w:p>
    <w:p w:rsidR="00A31137" w:rsidRPr="00A31137" w:rsidRDefault="00A31137" w:rsidP="00A31137">
      <w:r w:rsidRPr="00A31137">
        <w:t>In fact, to the extent that plaintiffs in these cases premise their standing on the "representational" harms that they suffer, see supra, at ___, a State's decision to locate a majority-minority district outside the area that suffers from acute, racial bloc voting would seem to diminish the likelihood that representatives in majority-minority districts will serve only the interests of minority voters. After all, a representative of a majority-minority district that does not suffer from racial bloc voting cannot safely ignore the interests of voters of either race. In this respect, the majority's narrow tailoring requirement, by forcing States to remedy perceived § 2 violations only by drawing the district around the area in which the Gingles preconditions have been satisfied, has the perverse consequence of requiring States to inflict the very harm that supposedly renders racial gerrymandering challenges constitutionally cognizable. 22</w:t>
      </w:r>
    </w:p>
    <w:p w:rsidR="00A31137" w:rsidRPr="00A31137" w:rsidRDefault="00A31137" w:rsidP="00A31137">
      <w:r w:rsidRPr="00A31137">
        <w:t>1996, Shaw v. Hunt, No. 94-923</w:t>
      </w:r>
    </w:p>
    <w:p w:rsidR="00A31137" w:rsidRPr="00A31137" w:rsidRDefault="00A31137" w:rsidP="00A31137">
      <w:r w:rsidRPr="00A31137">
        <w:t>Although I do not believe a judicial inquiry into "narrow tailoring" is either necessary or appropriate in this case, the foregoing discussion reveals that the "narrow tailoring" requirement that the Court has fashioned is a pure judicial invention that unfairly deprives the legislature of a sovereign state of its traditional discretion in determining the boundaries of its electoral districts. 23 The Court's analysis gives rise to the unfortunate suggestion that a State which fears a § 2 lawsuit must draw the precise district that it believes a federal court would have the power to impose. Such a proposition confounds basic principles of federalism, and forces States to imagine the legally "correct" outcome of a lawsuit that has not even been filed.</w:t>
      </w:r>
    </w:p>
    <w:p w:rsidR="00A31137" w:rsidRPr="00A31137" w:rsidRDefault="00A31137" w:rsidP="00A31137">
      <w:r w:rsidRPr="00A31137">
        <w:t>1996, Shaw v. Hunt, No. 94-923</w:t>
      </w:r>
    </w:p>
    <w:p w:rsidR="00A31137" w:rsidRPr="00A31137" w:rsidRDefault="00A31137" w:rsidP="00A31137">
      <w:r w:rsidRPr="00A31137">
        <w:t>The proposition is also at odds with the course of the litigation that led to Gingles itself. In that case, the plaintiffs proposed a number of oddly configured majority-minority districts to prove their vote dilution claim. In implementing a remedy for the § 2 violation, the federal court wisely permitted North Carolina to propose its own remedial districts, many of which were highly irregular in dimension. Indeed, so peculiar were some of the shapes concocted by the State that the Gingles plaintiffs challenged them on the grounds that they constituted racial gerrymanders which failed to remedy the very violations that had given rise to the need for their creation, and that they reflected only grudging responses designed to protect incumbent officeholders. Gingles v. Edmisten, 590 F.Supp. at 381.</w:t>
      </w:r>
    </w:p>
    <w:p w:rsidR="00A31137" w:rsidRPr="00A31137" w:rsidRDefault="00A31137" w:rsidP="00A31137">
      <w:r w:rsidRPr="00A31137">
        <w:t>1996, Shaw v. Hunt, No. 94-923</w:t>
      </w:r>
    </w:p>
    <w:p w:rsidR="00A31137" w:rsidRPr="00A31137" w:rsidRDefault="00A31137" w:rsidP="00A31137">
      <w:r w:rsidRPr="00A31137">
        <w:t>Although the District Court in Gingles acknowledged that the State's plan was not the one that it would have implemented, it nonetheless concluded that the plan constituted a reasonable exercise of state legislative judgment.</w:t>
      </w:r>
    </w:p>
    <w:p w:rsidR="00A31137" w:rsidRPr="00A31137" w:rsidRDefault="00A31137" w:rsidP="00A31137">
      <w:r w:rsidRPr="00A31137">
        <w:t>1996, Shaw v. Hunt, No. 94-923</w:t>
      </w:r>
    </w:p>
    <w:p w:rsidR="00A31137" w:rsidRPr="00A31137" w:rsidRDefault="00A31137" w:rsidP="00A31137">
      <w:r w:rsidRPr="00A31137">
        <w:t>[A] state legislature's primary jurisdiction for legislative apportionment and redistricting must include the right, free of judicial rejection, to implement state policies that may fail to remedy to the fullest extent possible the voting rights violations originally found.</w:t>
      </w:r>
    </w:p>
    <w:p w:rsidR="00A31137" w:rsidRPr="00A31137" w:rsidRDefault="00A31137" w:rsidP="00A31137">
      <w:r w:rsidRPr="00A31137">
        <w:t>1996, Shaw v. Hunt, No. 94-923</w:t>
      </w:r>
    </w:p>
    <w:p w:rsidR="00A31137" w:rsidRPr="00A31137" w:rsidRDefault="00A31137" w:rsidP="00A31137">
      <w:r w:rsidRPr="00A31137">
        <w:t>Id. at 382.</w:t>
      </w:r>
    </w:p>
    <w:p w:rsidR="00A31137" w:rsidRPr="00A31137" w:rsidRDefault="00A31137" w:rsidP="00A31137">
      <w:r w:rsidRPr="00A31137">
        <w:t>1996, Shaw v. Hunt, No. 94-923</w:t>
      </w:r>
    </w:p>
    <w:p w:rsidR="00A31137" w:rsidRPr="00A31137" w:rsidRDefault="00A31137" w:rsidP="00A31137">
      <w:r w:rsidRPr="00A31137">
        <w:t>In dramatic contrast, the Court today rejects North Carolina's plan because it does not provide the precise remedy that might have been ordered by a federal court, even though it satisfies potential plaintiffs, furthers such race-neutral legislative ends as incumbency protection and the preservation of distinct communities of interest, and essentially serves to insulate the State from a successful statutory challenge. There is no small irony in the fact that the Court's decision to intrude into the State's districting process comes in response to a lawsuit brought on behalf of white voters who have suffered no history of exclusion from North Carolina's political process, and whose only claims of harm are at best rooted in speculative and stereotypical assumptions about the kind of representation they are likely to receive from the candidates that their neighbors have chosen.</w:t>
      </w:r>
    </w:p>
    <w:p w:rsidR="00A31137" w:rsidRPr="00A31137" w:rsidRDefault="00A31137" w:rsidP="00A31137">
      <w:r w:rsidRPr="00A31137">
        <w:t>V</w:t>
      </w:r>
    </w:p>
    <w:p w:rsidR="00A31137" w:rsidRPr="00A31137" w:rsidRDefault="00A31137" w:rsidP="00A31137">
      <w:r w:rsidRPr="00A31137">
        <w:t>1996, Shaw v. Hunt, No. 94-923</w:t>
      </w:r>
    </w:p>
    <w:p w:rsidR="00A31137" w:rsidRPr="00A31137" w:rsidRDefault="00A31137" w:rsidP="00A31137">
      <w:r w:rsidRPr="00A31137">
        <w:t>It is, of course, irrelevant whether we, as judges, deem it wise policy to create majority-minority districts as a means of assuring fair and effective representation to minority voters. We have a duty to respect Congress' considered judgment that such a policy may serve to effectuate the ends of the constitutional Amendment that it is charged with enforcing. We should also respect North Carolina's conscientious effort to conform to that congressional determination. Absent some demonstration that voters are being denied fair and effective representation as a result of their race, I find no basis for this Court's intervention into a process by which federal and state actors, both black and white, are jointly attempting to resolve difficult questions of politics and race that have long plagued North Carolina. Nor do I see how our constitutional tradition can countenance the suggestion that a State may draw unsightly lines to favor farmers or city dwellers, but not to create districts that benefit the very group whose history inspired the Amendment that the Voting Rights Act was designed to implement.</w:t>
      </w:r>
    </w:p>
    <w:p w:rsidR="00A31137" w:rsidRPr="00A31137" w:rsidRDefault="00A31137" w:rsidP="00A31137">
      <w:r w:rsidRPr="00A31137">
        <w:t>1996, Shaw v. Hunt, No. 94-923</w:t>
      </w:r>
    </w:p>
    <w:p w:rsidR="00A31137" w:rsidRPr="00A31137" w:rsidRDefault="00A31137" w:rsidP="00A31137">
      <w:r w:rsidRPr="00A31137">
        <w:t>Because I have no hesitation in concluding that North Carolina's decision to adopt a plan in which white voters were in the majority in only 10 of the State's 12 districts did not violate the Equal Protection Clause, I respectfully dissent.</w:t>
      </w:r>
    </w:p>
    <w:p w:rsidR="00A31137" w:rsidRPr="00A31137" w:rsidRDefault="00A31137" w:rsidP="00A31137">
      <w:r w:rsidRPr="00A31137">
        <w:t>SOUTER, J., dissenting</w:t>
      </w:r>
    </w:p>
    <w:p w:rsidR="00A31137" w:rsidRPr="00A31137" w:rsidRDefault="00A31137" w:rsidP="00A31137">
      <w:r w:rsidRPr="00A31137">
        <w:t>1996, Shaw v. Hunt, No. 94-923</w:t>
      </w:r>
    </w:p>
    <w:p w:rsidR="00A31137" w:rsidRPr="00A31137" w:rsidRDefault="00A31137" w:rsidP="00A31137">
      <w:r w:rsidRPr="00A31137">
        <w:t>JUSTICE SOUTER, with whom JUSTICE GINSBURG and JUSTICE BREYER join, dissenting.</w:t>
      </w:r>
    </w:p>
    <w:p w:rsidR="00A31137" w:rsidRPr="00A31137" w:rsidRDefault="00A31137" w:rsidP="00A31137">
      <w:r w:rsidRPr="00A31137">
        <w:t>1996, Shaw v. Hunt, No. 94-923</w:t>
      </w:r>
    </w:p>
    <w:p w:rsidR="00A31137" w:rsidRPr="00A31137" w:rsidRDefault="00A31137" w:rsidP="00A31137">
      <w:r w:rsidRPr="00A31137">
        <w:t>My views on this case are substantially expressed in my dissent to Bush v. Vera, post, p. ___.</w:t>
      </w:r>
    </w:p>
    <w:p w:rsidR="00A31137" w:rsidRPr="00A31137" w:rsidRDefault="00A31137" w:rsidP="00A31137">
      <w:r w:rsidRPr="00A31137">
        <w:t>Footnotes</w:t>
      </w:r>
    </w:p>
    <w:p w:rsidR="00A31137" w:rsidRPr="00A31137" w:rsidRDefault="00A31137" w:rsidP="00A31137">
      <w:r w:rsidRPr="00A31137">
        <w:t>REHNQUIST, J., lead opinion (Footnotes)</w:t>
      </w:r>
    </w:p>
    <w:p w:rsidR="00A31137" w:rsidRPr="00A31137" w:rsidRDefault="00A31137" w:rsidP="00A31137">
      <w:r w:rsidRPr="00A31137">
        <w:t>1996, Shaw v. Hunt, No. 94-923</w:t>
      </w:r>
    </w:p>
    <w:p w:rsidR="00A31137" w:rsidRPr="00A31137" w:rsidRDefault="00A31137" w:rsidP="00A31137">
      <w:r w:rsidRPr="00A31137">
        <w:t>1. The complaint also named the Attorney General of the United States and the Assistant Attorney General for the Civil Rights Division as defendants. The District Court granted the federal officials' motion to dismiss, Shaw v. Barr, 808 F.Supp. 461 (EDNC 1992), and that judgment was not appealed.</w:t>
      </w:r>
    </w:p>
    <w:p w:rsidR="00A31137" w:rsidRPr="00A31137" w:rsidRDefault="00A31137" w:rsidP="00A31137">
      <w:r w:rsidRPr="00A31137">
        <w:t>1996, Shaw v. Hunt, No. 94-923</w:t>
      </w:r>
    </w:p>
    <w:p w:rsidR="00A31137" w:rsidRPr="00A31137" w:rsidRDefault="00A31137" w:rsidP="00A31137">
      <w:r w:rsidRPr="00A31137">
        <w:t>2. JUSTICE STEVENS would dismiss the complaint for a lack of standing. Post at ___. Here, as in other places in his dissent, JUSTICE STEVENS' disagreement is more with the Court's prior decisions in Shaw I, supra, United States v. Hays, 515 U.S. ___ (1995), and Miller v. Johnson, 515 U.S. ___ (1995), than with this decision. JUSTICE STEVENS challenged the Court's standing analysis and its finding of cognizable injury in both Hays, supra, at ___ (STEVENS, J., concurring in judgment) and Miller, supra, at ___ (STEVENS, J., dissenting), and both Justice White and JUSTICE SOUTER advanced many of the same arguments in Shaw I. See Shaw I, supra, at ___ (White, J., dissenting); id. at ___ (SOUTER, J., dissenting). Their position has been repeatedly rejected by the Court. See Shaw I, supra, at ___, Miller, supra, at ___, and Hays, supra, at ___.</w:t>
      </w:r>
    </w:p>
    <w:p w:rsidR="00A31137" w:rsidRPr="00A31137" w:rsidRDefault="00A31137" w:rsidP="00A31137">
      <w:r w:rsidRPr="00A31137">
        <w:t>1996, Shaw v. Hunt, No. 94-923</w:t>
      </w:r>
    </w:p>
    <w:p w:rsidR="00A31137" w:rsidRPr="00A31137" w:rsidRDefault="00A31137" w:rsidP="00A31137">
      <w:r w:rsidRPr="00A31137">
        <w:t>3. The dissent incorrectly reads Miller as demonstrating that "although States may avoid strict scrutiny by complying with traditional districting principles, they may not do so by proffering pretextual, race-neutral explanations." Post at ___. Miller plainly states that, although</w:t>
      </w:r>
    </w:p>
    <w:p w:rsidR="00A31137" w:rsidRPr="00A31137" w:rsidRDefault="00A31137" w:rsidP="00A31137">
      <w:r w:rsidRPr="00A31137">
        <w:t>1996, Shaw v. Hunt, No. 94-923</w:t>
      </w:r>
    </w:p>
    <w:p w:rsidR="00A31137" w:rsidRPr="00A31137" w:rsidRDefault="00A31137" w:rsidP="00A31137">
      <w:r w:rsidRPr="00A31137">
        <w:t>compliance with "traditional districting principles such as compactness, contiguity, and respect for political subdivisions" may well suffice to refute a claim of racial gerrymandering,</w:t>
      </w:r>
    </w:p>
    <w:p w:rsidR="00A31137" w:rsidRPr="00A31137" w:rsidRDefault="00A31137" w:rsidP="00A31137">
      <w:r w:rsidRPr="00A31137">
        <w:t>1996, Shaw v. Hunt, No. 94-923</w:t>
      </w:r>
    </w:p>
    <w:p w:rsidR="00A31137" w:rsidRPr="00A31137" w:rsidRDefault="00A31137" w:rsidP="00A31137">
      <w:r w:rsidRPr="00A31137">
        <w:t>a State cannot make such a refutation where "those factors were subordinated to racial objectives." Miller, 515 U.S. at ___ (citation omitted) (emphasis added).</w:t>
      </w:r>
    </w:p>
    <w:p w:rsidR="00A31137" w:rsidRPr="00A31137" w:rsidRDefault="00A31137" w:rsidP="00A31137">
      <w:r w:rsidRPr="00A31137">
        <w:t>1996, Shaw v. Hunt, No. 94-923</w:t>
      </w:r>
    </w:p>
    <w:p w:rsidR="00A31137" w:rsidRPr="00A31137" w:rsidRDefault="00A31137" w:rsidP="00A31137">
      <w:r w:rsidRPr="00A31137">
        <w:t>4. JUSTICE STEVENS discerns three reasons which he believes "may have motivated" the legislators to favor the creation of the two minority districts and which he believes together amount to a compelling state interest. Post at ___. As we explain below, a racial classification cannot withstand strict scrutiny based upon speculation about what "may have motivated" the legislature. To be a compelling interest, the State must show that the alleged objective was the legislature's "actual purpose" for the discriminatory classification, see Mississippi Univ. for Women v. Hogan, 458 U.S. 718,  730 and n. 16 (1982), and the legislature must have had a strong basis in evidence to support that justification before it implements the classification. See infra at ___. Even if the proper factual basis existed, we believe that the three reasons JUSTICE STEVENS proffers, separately or combined, would not amount to a compelling interest. First, the dissent seems to acknowledge that its initial reason—the "sorry history of race relations in North Carolina," post at ___—did not itself drive the decision to create the minority districts, presumably for the reasons we discuss infra at ___. The dissent contends next that an "acceptable reason for creating a second majority-minority district" was the "State's interest in avoiding the litigation that would have been necessary to overcome the Attorney General's objection" under § 5. Post at ___. If this were true, however, Miller v. Johnson would have been wrongly decided, because there the Court rejected the contention that complying with the Justice Department's preclearance objection could be a compelling interest. Miller, supra, at ___. It necessarily follows that avoiding the litigation required to overcome the Department's objection could not be a compelling interest. The dissent's final reason—"the interest in avoiding the expense and unpleasantness of [§ 2] litigation" "regardless of the possible outcome of [that] litigation," post at ___—sweeps too broadly. We assume, arguendo, that a State may have a compelling interest in complying with the properly interpreted Voting Rights Act. Infra at ___. But a State must also have a "strong basis in evidence," see Shaw I, supra, at ___ (quoting Richmond v. J. A. Croson Co., 488 U.S. 469,  500 (1989)), for believing that it is violating the Act. It has no such interest in avoiding meritless lawsuits.</w:t>
      </w:r>
    </w:p>
    <w:p w:rsidR="00A31137" w:rsidRPr="00A31137" w:rsidRDefault="00A31137" w:rsidP="00A31137">
      <w:r w:rsidRPr="00A31137">
        <w:t>1996, Shaw v. Hunt, No. 94-923</w:t>
      </w:r>
    </w:p>
    <w:p w:rsidR="00A31137" w:rsidRPr="00A31137" w:rsidRDefault="00A31137" w:rsidP="00A31137">
      <w:r w:rsidRPr="00A31137">
        <w:t>5. For examples of this limitation in application see Wygant, 476 U.S. at 274-276 (where a plurality of the Court concluded that remedying societal discrimination and promoting role models for students was not a compelling interest); Richmond v. J. A. Croson Co., 488 U.S. 469, 498-506 (1989).</w:t>
      </w:r>
    </w:p>
    <w:p w:rsidR="00A31137" w:rsidRPr="00A31137" w:rsidRDefault="00A31137" w:rsidP="00A31137">
      <w:r w:rsidRPr="00A31137">
        <w:t>1996, Shaw v. Hunt, No. 94-923</w:t>
      </w:r>
    </w:p>
    <w:p w:rsidR="00A31137" w:rsidRPr="00A31137" w:rsidRDefault="00A31137" w:rsidP="00A31137">
      <w:r w:rsidRPr="00A31137">
        <w:t>6. The United States attempts to distinguish this case from Miller by relying on the District Court's finding that North Carolina conducted "its own independent reassessment" of Chapter 601 and found "the Department's objection was legally and factually supportable." Brief for United States as Amicus Curiae 25; 861 F.Supp. 408, 474 (1994) (case below). The "reassessment" was the legislature's determination that it may be susceptible to a § 2 challenge. Id. at 464-465. Even if the General Assembly properly reached that conclusion, we doubt that a showing of discriminatory effect under § 2, alone, could support a claim of discriminatory purpose under § 5. Even if discriminatory purpose could be shown, the means of avoiding such a violation could be race-neutral, and so we also doubt that the prospect of violating the purpose prong of § 5 could justify a race-based redistricting plan such as the one implemented by North Carolina.</w:t>
      </w:r>
    </w:p>
    <w:p w:rsidR="00A31137" w:rsidRPr="00A31137" w:rsidRDefault="00A31137" w:rsidP="00A31137">
      <w:r w:rsidRPr="00A31137">
        <w:t>1996, Shaw v. Hunt, No. 94-923</w:t>
      </w:r>
    </w:p>
    <w:p w:rsidR="00A31137" w:rsidRPr="00A31137" w:rsidRDefault="00A31137" w:rsidP="00A31137">
      <w:r w:rsidRPr="00A31137">
        <w:t>7. We do not suggest that where the governmental interest is eradicating the effects of past discrimination the race-based action necessarily would have to achieve fully its task to be narrowly tailored.</w:t>
      </w:r>
    </w:p>
    <w:p w:rsidR="00A31137" w:rsidRPr="00A31137" w:rsidRDefault="00A31137" w:rsidP="00A31137">
      <w:r w:rsidRPr="00A31137">
        <w:t>1996, Shaw v. Hunt, No. 94-923</w:t>
      </w:r>
    </w:p>
    <w:p w:rsidR="00A31137" w:rsidRPr="00A31137" w:rsidRDefault="00A31137" w:rsidP="00A31137">
      <w:r w:rsidRPr="00A31137">
        <w:t>8. JUSTICE STEVENS in dissent argues that it does not matter that District 12 could not possibly remedy a § 2 violation, because he believes the State's plan would avoid § 2 liability. Post at ___. As support, JUSTICE STEVENS relies on our decision in Johnson v. De Grandy, 512 U.S. ___ (1994), which he reads to say that "a plaintiff cannot make out a prima facie case of vote dilution under § 2 unless he can demonstrate that his proposed plan contains more majority-minority districts than the State's." Id. (citing De Grandy, supra, at ___). The dissent's reading is flawed by its omission. In De Grandy, we presumed that the minority districts drawn in the State's plan were lawfully drawn and, indeed, we expressly stated that a vote dilution claim under § 2 "requires the possibility of creating more than the existing number of reasonably compact districts with a sufficiently large minority population to elect candidates of its choice." De Grandy, supra, at ___ (emphasis added).</w:t>
      </w:r>
    </w:p>
    <w:p w:rsidR="00A31137" w:rsidRPr="00A31137" w:rsidRDefault="00A31137" w:rsidP="00A31137">
      <w:r w:rsidRPr="00A31137">
        <w:t>1996, Shaw v. Hunt, No. 94-923</w:t>
      </w:r>
    </w:p>
    <w:p w:rsidR="00A31137" w:rsidRPr="00A31137" w:rsidRDefault="00A31137" w:rsidP="00A31137">
      <w:r w:rsidRPr="00A31137">
        <w:t>9. This does not mean that a § 2 plaintiff has the right to be placed in a majority-minority district once a violation of the statute is shown. States retain broad discretion in drawing districts to comply with the mandate of § 2. Voinovich v. Quilter, 507 U.S. 146, 156-157 (1993); Growe v. Emison, 507 U.S. 25, 32-37 (1993).</w:t>
      </w:r>
    </w:p>
    <w:p w:rsidR="00A31137" w:rsidRPr="00A31137" w:rsidRDefault="00A31137" w:rsidP="00A31137">
      <w:r w:rsidRPr="00A31137">
        <w:t>STEVENS, J., dissenting (Footnotes)</w:t>
      </w:r>
    </w:p>
    <w:p w:rsidR="00A31137" w:rsidRPr="00A31137" w:rsidRDefault="00A31137" w:rsidP="00A31137">
      <w:r w:rsidRPr="00A31137">
        <w:t>1996, Shaw v. Hunt, No. 94-923</w:t>
      </w:r>
    </w:p>
    <w:p w:rsidR="00A31137" w:rsidRPr="00A31137" w:rsidRDefault="00A31137" w:rsidP="00A31137">
      <w:r w:rsidRPr="00A31137">
        <w:t>1. Tr. of Oral Arg. 58.</w:t>
      </w:r>
    </w:p>
    <w:p w:rsidR="00A31137" w:rsidRPr="00A31137" w:rsidRDefault="00A31137" w:rsidP="00A31137">
      <w:r w:rsidRPr="00A31137">
        <w:t>1996, Shaw v. Hunt, No. 94-923</w:t>
      </w:r>
    </w:p>
    <w:p w:rsidR="00A31137" w:rsidRPr="00A31137" w:rsidRDefault="00A31137" w:rsidP="00A31137">
      <w:r w:rsidRPr="00A31137">
        <w:t>2. Counsel went so far as to liken the State's districting plan to State-run water fountains that are available to citizens of all races but are nevertheless labeled "Black" and "White." He argued that the State's race-based redistricting map constituted an unlawful racial classification in the same way that the signs above the fountains would. Although neither racial classification would deprive any person of a tangible benefit—water from both fountains and effective political representation would remain equally available to persons of all races—each would be unconstitutional because of the very fact that the State had espoused a racial classification publicly. Id. at 5-6.</w:t>
      </w:r>
    </w:p>
    <w:p w:rsidR="00A31137" w:rsidRPr="00A31137" w:rsidRDefault="00A31137" w:rsidP="00A31137">
      <w:r w:rsidRPr="00A31137">
        <w:t>1996, Shaw v. Hunt, No. 94-923</w:t>
      </w:r>
    </w:p>
    <w:p w:rsidR="00A31137" w:rsidRPr="00A31137" w:rsidRDefault="00A31137" w:rsidP="00A31137">
      <w:r w:rsidRPr="00A31137">
        <w:t>3. There, a majority of the Court stated that</w:t>
      </w:r>
    </w:p>
    <w:p w:rsidR="00A31137" w:rsidRPr="00A31137" w:rsidRDefault="00A31137" w:rsidP="00A31137">
      <w:r w:rsidRPr="00A31137">
        <w:t>1996, Shaw v. Hunt, No. 94-923</w:t>
      </w:r>
    </w:p>
    <w:p w:rsidR="00A31137" w:rsidRPr="00A31137" w:rsidRDefault="00A31137" w:rsidP="00A31137">
      <w:r w:rsidRPr="00A31137">
        <w:t>[w]e have consistently held that a plaintiff raising only a generally available grievance about government—claiming only harm to his and every citizen's interest in proper application of the Constitution and laws, and seeking relief that no more directly and tangibly benefits him than it does the public at large—does not state an Article III case or controversy.</w:t>
      </w:r>
    </w:p>
    <w:p w:rsidR="00A31137" w:rsidRPr="00A31137" w:rsidRDefault="00A31137" w:rsidP="00A31137">
      <w:r w:rsidRPr="00A31137">
        <w:t>1996, Shaw v. Hunt, No. 94-923</w:t>
      </w:r>
    </w:p>
    <w:p w:rsidR="00A31137" w:rsidRPr="00A31137" w:rsidRDefault="00A31137" w:rsidP="00A31137">
      <w:r w:rsidRPr="00A31137">
        <w:t>Lujan v. Defenders of Wildlife, 504 U.S. at 573-574.</w:t>
      </w:r>
    </w:p>
    <w:p w:rsidR="00A31137" w:rsidRPr="00A31137" w:rsidRDefault="00A31137" w:rsidP="00A31137">
      <w:r w:rsidRPr="00A31137">
        <w:t>1996, Shaw v. Hunt, No. 94-923</w:t>
      </w:r>
    </w:p>
    <w:p w:rsidR="00A31137" w:rsidRPr="00A31137" w:rsidRDefault="00A31137" w:rsidP="00A31137">
      <w:r w:rsidRPr="00A31137">
        <w:t>4. The Court's decision in Powers v. Ohio, 499 U.S. 400 (1991), and Batson v. Kentucky, 476 U.S. 79 (1986), are not to the contrary. There, we have held that defendants have third-party standing, no matter what their race, to assert the rights of jurors, who have been deprived because of their race of a benefit available to all others. No voter in this litigation has shown either that he has uniquely been denied an otherwise generally available benefit on account of race, or that anyone else has.</w:t>
      </w:r>
    </w:p>
    <w:p w:rsidR="00A31137" w:rsidRPr="00A31137" w:rsidRDefault="00A31137" w:rsidP="00A31137">
      <w:r w:rsidRPr="00A31137">
        <w:t>1996, Shaw v. Hunt, No. 94-923</w:t>
      </w:r>
    </w:p>
    <w:p w:rsidR="00A31137" w:rsidRPr="00A31137" w:rsidRDefault="00A31137" w:rsidP="00A31137">
      <w:r w:rsidRPr="00A31137">
        <w:t>5. As I have explained, even if the Hays test showed that much, it would still only demonstrate that the State had used geography, rather than race, to select the citizens who would be deprived of a color blind districting process.</w:t>
      </w:r>
    </w:p>
    <w:p w:rsidR="00A31137" w:rsidRPr="00A31137" w:rsidRDefault="00A31137" w:rsidP="00A31137">
      <w:r w:rsidRPr="00A31137">
        <w:t>1996, Shaw v. Hunt, No. 94-923</w:t>
      </w:r>
    </w:p>
    <w:p w:rsidR="00A31137" w:rsidRPr="00A31137" w:rsidRDefault="00A31137" w:rsidP="00A31137">
      <w:r w:rsidRPr="00A31137">
        <w:t>6. That is particularly true here because the author of the District Court opinion was also the author of the District Court opinion in Gingles v. Edmisten, 590 F.Supp. 345 (EDNC 1984), aff'd in part, rev'd in part, Thornburg v. Gingles, 478 U.S. 30 (1986).</w:t>
      </w:r>
    </w:p>
    <w:p w:rsidR="00A31137" w:rsidRPr="00A31137" w:rsidRDefault="00A31137" w:rsidP="00A31137">
      <w:r w:rsidRPr="00A31137">
        <w:t>1996, Shaw v. Hunt, No. 94-923</w:t>
      </w:r>
    </w:p>
    <w:p w:rsidR="00A31137" w:rsidRPr="00A31137" w:rsidRDefault="00A31137" w:rsidP="00A31137">
      <w:r w:rsidRPr="00A31137">
        <w:t>7. For example, the State argued that it drew the majority-minority district under review so that it would follow precinct lines, but the Court found that precinct lines had been relied on only because they happened to facilitate the State's effort to achieve a particular racial makeup. Similarly, the State argued that District 11 was drawn in order to ensure that communities of interest would be kept within a single district, but the Court found that no such communities could be found within the district's boundaries. See Miller v. Johnson, 515 U.S. at ___-___.</w:t>
      </w:r>
    </w:p>
    <w:p w:rsidR="00A31137" w:rsidRPr="00A31137" w:rsidRDefault="00A31137" w:rsidP="00A31137">
      <w:r w:rsidRPr="00A31137">
        <w:t>1996, Shaw v. Hunt, No. 94-923</w:t>
      </w:r>
    </w:p>
    <w:p w:rsidR="00A31137" w:rsidRPr="00A31137" w:rsidRDefault="00A31137" w:rsidP="00A31137">
      <w:r w:rsidRPr="00A31137">
        <w:t>8. It is unclear whether the majority believes that it is the combination of these two pieces of evidence that satisfies Miller, or whether either one would suffice.</w:t>
      </w:r>
    </w:p>
    <w:p w:rsidR="00A31137" w:rsidRPr="00A31137" w:rsidRDefault="00A31137" w:rsidP="00A31137">
      <w:r w:rsidRPr="00A31137">
        <w:t>1996, Shaw v. Hunt, No. 94-923</w:t>
      </w:r>
    </w:p>
    <w:p w:rsidR="00A31137" w:rsidRPr="00A31137" w:rsidRDefault="00A31137" w:rsidP="00A31137">
      <w:r w:rsidRPr="00A31137">
        <w:t>9. Citing to trial and deposition testimony, the majority also relies on a statement by North Carolina's chief mapmaker, Gerry Cohen, that the creation of a majority-minority district was the "'principal reason'" for the configurations of District 1 and District 12. Ante at ___. Mr. Cohen's more complete explanation of the "'principal reason'" was to create "two majority black districts that had communities of interest within each one." Tr. 514. What Mr. Cohen admitted, therefore, was only that the State intentionally drew a majority-minority district that would respect traditional districting principles. Moreover, Mr. Cohen's "admission" in his deposition only pertained to District 1. App. 675. Finally, he explained in his deposition that "other reasons" also explained that District's configuration. Ibid. Absent a showing that those "other reasons" were race-based, Mr. Cohen's admission does not show that North Carolina subordinated race-neutral districting criteria in drawing District 1; it shows only that the need to comply with federal law was critical.</w:t>
      </w:r>
    </w:p>
    <w:p w:rsidR="00A31137" w:rsidRPr="00A31137" w:rsidRDefault="00A31137" w:rsidP="00A31137">
      <w:r w:rsidRPr="00A31137">
        <w:t>1996, Shaw v. Hunt, No. 94-923</w:t>
      </w:r>
    </w:p>
    <w:p w:rsidR="00A31137" w:rsidRPr="00A31137" w:rsidRDefault="00A31137" w:rsidP="00A31137">
      <w:r w:rsidRPr="00A31137">
        <w:t>10. In DeWitt v. Wilson, 856 F.Supp. 1409 (ED Cal. 1994), for example, the State conceded that compliance with § 5 of the Voting Rights Act constituted the one unavoidable limitation on its redistricting process. Id. at 1410. Nevertheless, we affirmed the District Court's conclusion that strict scrutiny did not apply because the State gave significant weight to several race-natural considerations in meeting that goal. Id. at 1415. Moreover, in Miller v. Johnson, the Court applied strict scrutiny only after it concluded that the State considered only race in adding African American voters to District 11; it did not hold that Georgia's general admissions about its desire to comply with federal law themselves sufficed. 515 U.S. at ___-___.</w:t>
      </w:r>
    </w:p>
    <w:p w:rsidR="00A31137" w:rsidRPr="00A31137" w:rsidRDefault="00A31137" w:rsidP="00A31137">
      <w:r w:rsidRPr="00A31137">
        <w:t>1996, Shaw v. Hunt, No. 94-923</w:t>
      </w:r>
    </w:p>
    <w:p w:rsidR="00A31137" w:rsidRPr="00A31137" w:rsidRDefault="00A31137" w:rsidP="00A31137">
      <w:r w:rsidRPr="00A31137">
        <w:t>11. The State Constitution sets forth no limitation on districting for federal offices. Moreover, the state-prepared 1991 Legislator's Guide to North Carolina Legislative and Congressional Redistricting points out that the state law prohibition against dividing counties in formulating state electoral districts was eliminated in the 1980's. See Legislator's Guide to North Carolina Legislative and Congressional Redistricting 12 (Feb. 1991).</w:t>
      </w:r>
    </w:p>
    <w:p w:rsidR="00A31137" w:rsidRPr="00A31137" w:rsidRDefault="00A31137" w:rsidP="00A31137">
      <w:r w:rsidRPr="00A31137">
        <w:t>1996, Shaw v. Hunt, No. 94-923</w:t>
      </w:r>
    </w:p>
    <w:p w:rsidR="00A31137" w:rsidRPr="00A31137" w:rsidRDefault="00A31137" w:rsidP="00A31137">
      <w:r w:rsidRPr="00A31137">
        <w:t>12. Indeed, the State's guide to redistricting specifically informed state legislators that compactness was of little legal significance.</w:t>
      </w:r>
    </w:p>
    <w:p w:rsidR="00A31137" w:rsidRPr="00A31137" w:rsidRDefault="00A31137" w:rsidP="00A31137">
      <w:r w:rsidRPr="00A31137">
        <w:t>1996, Shaw v. Hunt, No. 94-923</w:t>
      </w:r>
    </w:p>
    <w:p w:rsidR="00A31137" w:rsidRPr="00A31137" w:rsidRDefault="00A31137" w:rsidP="00A31137">
      <w:r w:rsidRPr="00A31137">
        <w:t>Neither the State nor federal constitution requires districts to be compact. Critics often refer to the lack of compactness of a particular district or group of districts as a sign of gerrymandering, but no court has ever struck down a plan merely on the basis that it did not appear to be compact. Although there are geometric methods for measuring the compactness of an area, these methods have not been recognized as judicial standards for evaluating the compactness of districts. The recent decision in Davis v. Bandemer…mentions irregularly-shaped districts as a possible sign of gerrymandering, but makes clear that irregular shapes alone do not invalidate a redistricting plan.</w:t>
      </w:r>
    </w:p>
    <w:p w:rsidR="00A31137" w:rsidRPr="00A31137" w:rsidRDefault="00A31137" w:rsidP="00A31137">
      <w:r w:rsidRPr="00A31137">
        <w:t>1996, Shaw v. Hunt, No. 94-923</w:t>
      </w:r>
    </w:p>
    <w:p w:rsidR="00A31137" w:rsidRPr="00A31137" w:rsidRDefault="00A31137" w:rsidP="00A31137">
      <w:r w:rsidRPr="00A31137">
        <w:t>Ibid.</w:t>
      </w:r>
    </w:p>
    <w:p w:rsidR="00A31137" w:rsidRPr="00A31137" w:rsidRDefault="00A31137" w:rsidP="00A31137">
      <w:r w:rsidRPr="00A31137">
        <w:t>1996, Shaw v. Hunt, No. 94-923</w:t>
      </w:r>
    </w:p>
    <w:p w:rsidR="00A31137" w:rsidRPr="00A31137" w:rsidRDefault="00A31137" w:rsidP="00A31137">
      <w:r w:rsidRPr="00A31137">
        <w:t>13. The State's decision to give little weight to how the district would look on a map is entirely justifiable. Although a voter clearly has an interest in being in a district whose members share similar interests and concerns, that interest need not, and often is not, vindicated by drawing districts with attractive shapes.</w:t>
      </w:r>
    </w:p>
    <w:p w:rsidR="00A31137" w:rsidRPr="00A31137" w:rsidRDefault="00A31137" w:rsidP="00A31137">
      <w:r w:rsidRPr="00A31137">
        <w:t>1996, Shaw v. Hunt, No. 94-923</w:t>
      </w:r>
    </w:p>
    <w:p w:rsidR="00A31137" w:rsidRPr="00A31137" w:rsidRDefault="00A31137" w:rsidP="00A31137">
      <w:r w:rsidRPr="00A31137">
        <w:t>[The Districts] perceived "ugliness"—their extreme irregularity of shape—is entirely a function of an artificial perspective unrelated to the common goings and comings of the citizen-voter. From the mapmaker's wholly imaginary vertical perspective of 1:25,000 or so range, a citizen may well find his district's one-dimensional, featureless shape aesthetically "bizarre," "grotesque," or "ugly." But back down at ground or eye-level, viewing things from his normal closely-bound horizontal perspective, the irregularity of outline or exact volume of the district in which he resides surely is not a matter of any great practical consequence to his conduct as a citizen-voter.</w:t>
      </w:r>
    </w:p>
    <w:p w:rsidR="00A31137" w:rsidRPr="00A31137" w:rsidRDefault="00A31137" w:rsidP="00A31137">
      <w:r w:rsidRPr="00A31137">
        <w:t>1996, Shaw v. Hunt, No. 94-923</w:t>
      </w:r>
    </w:p>
    <w:p w:rsidR="00A31137" w:rsidRPr="00A31137" w:rsidRDefault="00A31137" w:rsidP="00A31137">
      <w:r w:rsidRPr="00A31137">
        <w:t>861 F.Supp. 408, 472, n. 60 (EDNC 1994). In the same vein, I doubt that residents of hook-shaped Massachusetts receive less effective representation than their counterparts in perfectly rectangular Wyoming, or that the voting power of residents of Hawaii is in any way impaired by virtue of the fact that their State is not even contiguous.</w:t>
      </w:r>
    </w:p>
    <w:p w:rsidR="00A31137" w:rsidRPr="00A31137" w:rsidRDefault="00A31137" w:rsidP="00A31137">
      <w:r w:rsidRPr="00A31137">
        <w:t>1996, Shaw v. Hunt, No. 94-923</w:t>
      </w:r>
    </w:p>
    <w:p w:rsidR="00A31137" w:rsidRPr="00A31137" w:rsidRDefault="00A31137" w:rsidP="00A31137">
      <w:r w:rsidRPr="00A31137">
        <w:t>14. It is ironic that despite the clear indications that party politics explain the district's odd shape, the Court affirmed the district court's dismissal of the plaintiffs' partisan gerrymandering claim. See Pope v. Blue, 506 U.S. 801 (1992).</w:t>
      </w:r>
    </w:p>
    <w:p w:rsidR="00A31137" w:rsidRPr="00A31137" w:rsidRDefault="00A31137" w:rsidP="00A31137">
      <w:r w:rsidRPr="00A31137">
        <w:t>1996, Shaw v. Hunt, No. 94-923</w:t>
      </w:r>
    </w:p>
    <w:p w:rsidR="00A31137" w:rsidRPr="00A31137" w:rsidRDefault="00A31137" w:rsidP="00A31137">
      <w:r w:rsidRPr="00A31137">
        <w:t>15. Interestingly, the Justice Department concluded that it was the State's impermissible desire to favor white incumbents over African American voters that explained North Carolina's refusal to create a second district and thus gave rise to a violation of the purpose prong of § 5 of the Voting Rights Act. See Shaw I, 509 U.S. 630, ___ (1993). Of course, the white plaintiffs before us here have no standing to object to District 12 on similar grounds.</w:t>
      </w:r>
    </w:p>
    <w:p w:rsidR="00A31137" w:rsidRPr="00A31137" w:rsidRDefault="00A31137" w:rsidP="00A31137">
      <w:r w:rsidRPr="00A31137">
        <w:t>1996, Shaw v. Hunt, No. 94-923</w:t>
      </w:r>
    </w:p>
    <w:p w:rsidR="00A31137" w:rsidRPr="00A31137" w:rsidRDefault="00A31137" w:rsidP="00A31137">
      <w:r w:rsidRPr="00A31137">
        <w:t>16. Although the majority asserts that North Carolina "subordinated" traditional districting principles to racial concerns because "[r]ace was the criterion that, in the State's view, could not be compromised," ante at ___, no evidence suggests that North Carolina would have sacrificed traditional districting principles in order to draw a second majority-minority district. Rather, the record reveals that the State chose District 12 over other options so that its plan would remain faithful to traditional, race-neutral districting criteria. If strict scrutiny applies even when a State draws a majority-minority district that respects traditional districting principles, then I do not see how a State can ever create a majority-minority district in order to fulfill its obligations under the Voting Rights Act without inviting constitutional suspicion. I had thought that the "demanding" standard Miller established, Miller v. Johnson, 515 U.S. at ___ (O'CONNOR, J., concurring), as well as our summary affirmance in DeWitt, reflected our determination that States should not be so constrained.</w:t>
      </w:r>
    </w:p>
    <w:p w:rsidR="00A31137" w:rsidRPr="00A31137" w:rsidRDefault="00A31137" w:rsidP="00A31137">
      <w:r w:rsidRPr="00A31137">
        <w:t>1996, Shaw v. Hunt, No. 94-923</w:t>
      </w:r>
    </w:p>
    <w:p w:rsidR="00A31137" w:rsidRPr="00A31137" w:rsidRDefault="00A31137" w:rsidP="00A31137">
      <w:r w:rsidRPr="00A31137">
        <w:t>17. Although Attorney General Reno has endorsed the position taken by the Republican administration in 1991, it was her male predecessor who refused to preclear the State's original plan.</w:t>
      </w:r>
    </w:p>
    <w:p w:rsidR="00A31137" w:rsidRPr="00A31137" w:rsidRDefault="00A31137" w:rsidP="00A31137">
      <w:r w:rsidRPr="00A31137">
        <w:t>1996, Shaw v. Hunt, No. 94-923</w:t>
      </w:r>
    </w:p>
    <w:p w:rsidR="00A31137" w:rsidRPr="00A31137" w:rsidRDefault="00A31137" w:rsidP="00A31137">
      <w:r w:rsidRPr="00A31137">
        <w:t>18. While the majority is surely correct in stating that the threat of a lawsuit, however unlikely to succeed, does not constitute a compelling interest, ante at ___, n. 4, it does not follow that a State has no compelling interest in avoiding litigation over a substantial challenge. Here, of course, the District Court found that North Carolina premised its decision to draw a second-majority minority district on its reasonable conclusion that it would otherwise be subject to a successful § 2 challenge, not a "meritless" one. Ibid.</w:t>
      </w:r>
    </w:p>
    <w:p w:rsidR="00A31137" w:rsidRPr="00A31137" w:rsidRDefault="00A31137" w:rsidP="00A31137">
      <w:r w:rsidRPr="00A31137">
        <w:t>1996, Shaw v. Hunt, No. 94-923</w:t>
      </w:r>
    </w:p>
    <w:p w:rsidR="00A31137" w:rsidRPr="00A31137" w:rsidRDefault="00A31137" w:rsidP="00A31137">
      <w:r w:rsidRPr="00A31137">
        <w:t>19. Interestingly, although this Court in Thornburg v. Gingles held that § 2 plaintiffs must demonstrate that they live in "compact" majority-minority districts, we affirmed the district court which had found that the plaintiffs' proposed districts were contiguous but not compact. 478 U.S. at 38. Arguably, therefore, the State could have reasonably concluded that the maps proposing District 12 would have themselves provided the foundation for a viable § 2 suit. For a discussion of how compact "compact" districts must be, see Karlan, Maps and Misreadings: The Role of Geographic Compactness in Racial Vote Dilution Litigation, 24 Harv.Civ.Rights-Civ.Lib.L.Rev. 173, 199-213 (1989). See also Dillard v. Baldwin County Bd. of Ed., 686 F.Supp. 1459, 1465-1466 (MD Ala. 1988); Houston v. Lafayette County, Miss., 56 F.3d 606, 611 (CA5 1995).</w:t>
      </w:r>
    </w:p>
    <w:p w:rsidR="00A31137" w:rsidRPr="00A31137" w:rsidRDefault="00A31137" w:rsidP="00A31137">
      <w:r w:rsidRPr="00A31137">
        <w:t>1996, Shaw v. Hunt, No. 94-923</w:t>
      </w:r>
    </w:p>
    <w:p w:rsidR="00A31137" w:rsidRPr="00A31137" w:rsidRDefault="00A31137" w:rsidP="00A31137">
      <w:r w:rsidRPr="00A31137">
        <w:t>20. Moreover, Mr. Cohen, the State's chief mapmaker, testified at trial that in statewide elections, Native Americans and African Americans in the southeastern portion of North Carolina had voted for the same candidates. Tr. 411-412.</w:t>
      </w:r>
    </w:p>
    <w:p w:rsidR="00A31137" w:rsidRPr="00A31137" w:rsidRDefault="00A31137" w:rsidP="00A31137">
      <w:r w:rsidRPr="00A31137">
        <w:t>1996, Shaw v. Hunt, No. 94-923</w:t>
      </w:r>
    </w:p>
    <w:p w:rsidR="00A31137" w:rsidRPr="00A31137" w:rsidRDefault="00A31137" w:rsidP="00A31137">
      <w:r w:rsidRPr="00A31137">
        <w:t>21. The majority's assertion that De Grandy only requires a plaintiff to show that more "reasonably compact" majority-minority districts could have been drawn would seem to expand dramatically a State's potential liability under § 2. Ante at ___, n. 8. I would have thought that a State that had drawn three majority-minority districts, one of which was "reasonably compact" and two of which straggled in order to preserve certain distinctive communities of interest, would at the very least be immune to a challenge by a single African American plaintiff bearing a map proposing to draw but two compact majority-minority districts. The Court's expansive notion of § 2 liability, combined with its apparent eagerness to subject all legislative attempts to comply with that Act to strict scrutiny, will place many States in the untenable position of facing substantial litigation no matter how they draw their maps. See Miller v. Johnson, 515 U.S. at ___ (GINSBURG, J., dissenting). Of course, a State that unfairly "packs" African American voters into a limited number of districts may be subject to a § 2 challenge on the ground that it failed to create so-called "influence" districts, and perhaps the majority means to endorse that proposition as well. I note here, however, that there is no indication that such a challenge could be successfully brought against North Carolina's two majority-minority district plan, which creates districts with only bare African American majorities.</w:t>
      </w:r>
    </w:p>
    <w:p w:rsidR="00A31137" w:rsidRPr="00A31137" w:rsidRDefault="00A31137" w:rsidP="00A31137">
      <w:r w:rsidRPr="00A31137">
        <w:t>1996, Shaw v. Hunt, No. 94-923</w:t>
      </w:r>
    </w:p>
    <w:p w:rsidR="00A31137" w:rsidRPr="00A31137" w:rsidRDefault="00A31137" w:rsidP="00A31137">
      <w:r w:rsidRPr="00A31137">
        <w:t>22. The Court's strict analysis in this case is in some tension with the more reasonable approach endorsed by JUSTICE O'CONNOR this same day. On her view, state legislatures seeking to comply with the Voting Right Act clearly possess more freedom to draw majority-minority districts than do federal courts attempting to enforce it. Bush, post at ___ (O'CONNOR, J., concurring).</w:t>
      </w:r>
    </w:p>
    <w:p w:rsidR="00A31137" w:rsidRPr="00A31137" w:rsidRDefault="00A31137" w:rsidP="00A31137">
      <w:r w:rsidRPr="00A31137">
        <w:t>1996, Shaw v. Hunt, No. 94-923</w:t>
      </w:r>
    </w:p>
    <w:p w:rsidR="00A31137" w:rsidRPr="00A31137" w:rsidRDefault="00A31137" w:rsidP="00A31137">
      <w:r w:rsidRPr="00A31137">
        <w:t>23. That judicial creativity rather than constitutional principle defines the narrowing tailoring requirement in this area of our law is clear from Bush's quite different analysis of the same question. See Bush, post at ___.</w:t>
      </w:r>
    </w:p>
    <w:p w:rsidR="00A31137" w:rsidRPr="00A31137" w:rsidRDefault="00A31137" w:rsidP="00A31137">
      <w:r w:rsidRPr="00A31137">
        <w:t>Clinton's Establishment of the Grand Staircase-Escalante National Monument at Grand Canyon National Park, Arizona, September 18, 1996</w:t>
      </w:r>
    </w:p>
    <w:p w:rsidR="00A31137" w:rsidRPr="00A31137" w:rsidRDefault="00A31137" w:rsidP="00A31137">
      <w:r w:rsidRPr="00A31137">
        <w:t>Title:</w:t>
      </w:r>
      <w:r w:rsidRPr="00A31137">
        <w:tab/>
        <w:t>Clinton's Establishment of the Grand Staircase-Escalante National Monument at Grand Canyon National Park, Arizona</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September 18, 1996</w:t>
      </w:r>
    </w:p>
    <w:p w:rsidR="00A31137" w:rsidRPr="00A31137" w:rsidRDefault="00A31137" w:rsidP="00A31137">
      <w:r w:rsidRPr="00A31137">
        <w:t>Source:</w:t>
      </w:r>
      <w:r w:rsidRPr="00A31137">
        <w:tab/>
        <w:t>Weekly Compilation of Presidential Documents, 1996, pp.1785-1788</w:t>
      </w:r>
    </w:p>
    <w:p w:rsidR="00A31137" w:rsidRPr="00A31137" w:rsidRDefault="00A31137" w:rsidP="00A31137">
      <w:r w:rsidRPr="00A31137">
        <w:t>Clinton, Grand Staircase-Escalante National Monument, Sept. 18, 1996, p.1785</w:t>
      </w:r>
    </w:p>
    <w:p w:rsidR="00A31137" w:rsidRPr="00A31137" w:rsidRDefault="00A31137" w:rsidP="00A31137">
      <w:r w:rsidRPr="00A31137">
        <w:t>Thank you very much, ladies and gentlemen. Thank you for being here and for being in such good spirits. Thank you, God, for letting the Sun come out. This is a sunny day—we ought to have a sunny day for a sunny day.</w:t>
      </w:r>
    </w:p>
    <w:p w:rsidR="00A31137" w:rsidRPr="00A31137" w:rsidRDefault="00A31137" w:rsidP="00A31137">
      <w:r w:rsidRPr="00A31137">
        <w:t>Clinton, Grand Staircase-Escalante National Monument, Sept. 18, 1996, p.1785</w:t>
      </w:r>
    </w:p>
    <w:p w:rsidR="00A31137" w:rsidRPr="00A31137" w:rsidRDefault="00A31137" w:rsidP="00A31137">
      <w:r w:rsidRPr="00A31137">
        <w:t>Thank you, Rob Arnberger, for the work you do here at Grand Canyon National Park and for your participation; to all of our distinguished guests. I want to say a special word [p.1786] of thanks to my good friend Governor Roy Romer from Colorado. And thank you, Secretary Bruce Babbitt, for your long, consistent, devoted efforts on behalf of America's natural heritage.</w:t>
      </w:r>
    </w:p>
    <w:p w:rsidR="00A31137" w:rsidRPr="00A31137" w:rsidRDefault="00A31137" w:rsidP="00A31137">
      <w:r w:rsidRPr="00A31137">
        <w:t>Clinton, Grand Staircase-Escalante National Monument, Sept. 18, 1996, p.1786</w:t>
      </w:r>
    </w:p>
    <w:p w:rsidR="00A31137" w:rsidRPr="00A31137" w:rsidRDefault="00A31137" w:rsidP="00A31137">
      <w:r w:rsidRPr="00A31137">
        <w:t>I also want to thank the Harvey High School choir and the students and the faculty from the Grand Canyon Unified School who are here. Where are you all? Thank you. I think this ought to qualify as an excused absence—[laughter]—or maybe even a field trip.</w:t>
      </w:r>
    </w:p>
    <w:p w:rsidR="00A31137" w:rsidRPr="00A31137" w:rsidRDefault="00A31137" w:rsidP="00A31137">
      <w:r w:rsidRPr="00A31137">
        <w:t>Clinton, Grand Staircase-Escalante National Monument, Sept. 18, 1996, p.1786</w:t>
      </w:r>
    </w:p>
    <w:p w:rsidR="00A31137" w:rsidRPr="00A31137" w:rsidRDefault="00A31137" w:rsidP="00A31137">
      <w:r w:rsidRPr="00A31137">
        <w:t>I want to thank all of our tribal leaders who are here and, indeed, all of the Native Americans who are here. We are following in your footsteps and honoring your ethic today.</w:t>
      </w:r>
    </w:p>
    <w:p w:rsidR="00A31137" w:rsidRPr="00A31137" w:rsidRDefault="00A31137" w:rsidP="00A31137">
      <w:r w:rsidRPr="00A31137">
        <w:t>Clinton, Grand Staircase-Escalante National Monument, Sept. 18, 1996, p.1786</w:t>
      </w:r>
    </w:p>
    <w:p w:rsidR="00A31137" w:rsidRPr="00A31137" w:rsidRDefault="00A31137" w:rsidP="00A31137">
      <w:r w:rsidRPr="00A31137">
        <w:t>I want to say a special word of thanks to my longtime friend Norma Matheson. Norma and her late husband, Scott, became great friends of Hillary's and mine when we served together as Governors. After Scott passed away, Norma honored me by asking me to come to Utah to speak at a dinner in his honor for a foundation set up in his memory. I never was with Scott Matheson, I never even talked to him on the phone that I did not feel I was in the presence of a great man. Both of them are truly wonderful human beings. And I am very grateful for her presence here today and for her commitment.</w:t>
      </w:r>
    </w:p>
    <w:p w:rsidR="00A31137" w:rsidRPr="00A31137" w:rsidRDefault="00A31137" w:rsidP="00A31137">
      <w:r w:rsidRPr="00A31137">
        <w:t>Clinton, Grand Staircase-Escalante National Monument, Sept. 18, 1996, p.1786</w:t>
      </w:r>
    </w:p>
    <w:p w:rsidR="00A31137" w:rsidRPr="00A31137" w:rsidRDefault="00A31137" w:rsidP="00A31137">
      <w:r w:rsidRPr="00A31137">
        <w:t>And finally, I want to thank, more strongly than I can ever convey to you, the Vice President for his passion, his commitment, his vision, and his sheer knowledge of environmental and natural heritage issues. It has become a treasure for the United States, and I have mined it frequently for 4 years.</w:t>
      </w:r>
    </w:p>
    <w:p w:rsidR="00A31137" w:rsidRPr="00A31137" w:rsidRDefault="00A31137" w:rsidP="00A31137">
      <w:r w:rsidRPr="00A31137">
        <w:t>Clinton, Grand Staircase-Escalante National Monument, Sept. 18, 1996, p.1786</w:t>
      </w:r>
    </w:p>
    <w:p w:rsidR="00A31137" w:rsidRPr="00A31137" w:rsidRDefault="00A31137" w:rsidP="00A31137">
      <w:r w:rsidRPr="00A31137">
        <w:t>I remember when I was trying to decide what sort of person I wanted to ask to run with me for Vice President, and I made up my mind I wanted somebody who was smarter than I was—that left a large field to pick from—[laughter]—someone who was philosophically in tune with me, someone who would work like crazy, and someone who knew things I didn't know. And I read "Earth in the Balance," and I realized it was a profoundly important book by someone who knew things I wanted to learn. And we have learned a lot and done a lot together over the last 4 years. Very few things we have done will have a more positive, lasting effect than this, and it will always have Al Gore's signature on it as well. And I thank him for what he has done.</w:t>
      </w:r>
    </w:p>
    <w:p w:rsidR="00A31137" w:rsidRPr="00A31137" w:rsidRDefault="00A31137" w:rsidP="00A31137">
      <w:r w:rsidRPr="00A31137">
        <w:t>Clinton, Grand Staircase-Escalante National Monument, Sept. 18, 1996, p.1786</w:t>
      </w:r>
    </w:p>
    <w:p w:rsidR="00A31137" w:rsidRPr="00A31137" w:rsidRDefault="00A31137" w:rsidP="00A31137">
      <w:r w:rsidRPr="00A31137">
        <w:t>Ladies and gentlemen, the first time I ever came to the Grand Canyon was also in 1971 in the summer. And one of the happiest memories of my entire life was when, for some fluky reason, even in the summertime, I found a place on a rock overlooking the Grand Canyon where I was all alone. And for 2 hours I sat, and I lay down on that rock, and I watched the sunset. And I watched the colors change layer after layer after layer for 2 hours. I could have sat there for 2 days if the Sun had just taken a little longer to set. [Laughter] And even today, 25 years later, in hectic, crazy times, in lonely, painful times, my mind drifts back to those 2 hours that I was alone on that rock watching the sunset over this Canyon. And it will be with me till the day I die. I want more of those sights to be with all Americans for all time to come.</w:t>
      </w:r>
    </w:p>
    <w:p w:rsidR="00A31137" w:rsidRPr="00A31137" w:rsidRDefault="00A31137" w:rsidP="00A31137">
      <w:r w:rsidRPr="00A31137">
        <w:t>Clinton, Grand Staircase-Escalante National Monument, Sept. 18, 1996, p.1786</w:t>
      </w:r>
    </w:p>
    <w:p w:rsidR="00A31137" w:rsidRPr="00A31137" w:rsidRDefault="00A31137" w:rsidP="00A31137">
      <w:r w:rsidRPr="00A31137">
        <w:t>As all of you know, today we are keeping faith with the future. I'm about to sign a proclamation that will establish the Grand Staircase-Escalante National Monument. Why are we doing this? Well, if you look at the Grand Canyon behind me, it seems impossible to think that anyone would want to touch it. But in the past there have been those who wanted to build on the Canyon, to blast it, to dam it. Fortunately, these plans were stopped by far-sighted Americans who saw that the Grand Canyon was a national treasure, a gift from God that could not be improved upon.</w:t>
      </w:r>
    </w:p>
    <w:p w:rsidR="00A31137" w:rsidRPr="00A31137" w:rsidRDefault="00A31137" w:rsidP="00A31137">
      <w:r w:rsidRPr="00A31137">
        <w:t>Clinton, Grand Staircase-Escalante National Monument, Sept. 18, 1996, p.1786</w:t>
      </w:r>
    </w:p>
    <w:p w:rsidR="00A31137" w:rsidRPr="00A31137" w:rsidRDefault="00A31137" w:rsidP="00A31137">
      <w:r w:rsidRPr="00A31137">
        <w:t>The fact that we stand here is due, in large part, to the Antiquities Act of 1906. The law gives the President the authority to protect Federal lands of extraordinary cultural, historic, and scientific value, and in 1908 that's just what Theodore Roosevelt did when he protected the Grand Canyon.</w:t>
      </w:r>
    </w:p>
    <w:p w:rsidR="00A31137" w:rsidRPr="00A31137" w:rsidRDefault="00A31137" w:rsidP="00A31137">
      <w:r w:rsidRPr="00A31137">
        <w:t>Clinton, Grand Staircase-Escalante National Monument, Sept. 18, 1996, p.1786</w:t>
      </w:r>
    </w:p>
    <w:p w:rsidR="00A31137" w:rsidRPr="00A31137" w:rsidRDefault="00A31137" w:rsidP="00A31137">
      <w:r w:rsidRPr="00A31137">
        <w:t>Since then, several Presidents of both parties, Republicans and Democrats, have worked to preserve places that we now take for granted as part of our own unchanging heritage: Bryce Canyon, Zion, Glacier Bay, Olympic, Grand Teton. These places many of you have been to, and I've been to many of them myself. I thank goodness that the [p.1787] Antiquities Act was on the books and that Presidents, without regard to party, used it to protect them for all of us and for generations to come.</w:t>
      </w:r>
    </w:p>
    <w:p w:rsidR="00A31137" w:rsidRPr="00A31137" w:rsidRDefault="00A31137" w:rsidP="00A31137">
      <w:r w:rsidRPr="00A31137">
        <w:t>Clinton, Grand Staircase-Escalante National Monument, Sept. 18, 1996, p.1787</w:t>
      </w:r>
    </w:p>
    <w:p w:rsidR="00A31137" w:rsidRPr="00A31137" w:rsidRDefault="00A31137" w:rsidP="00A31137">
      <w:r w:rsidRPr="00A31137">
        <w:t>Today we add a new name to that list: the Grand Staircase-Escalante National Monument. Seventy miles to the north of here in Utah lies some of the most remarkable land in the world. We will set aside 1.7 million acres of it.</w:t>
      </w:r>
    </w:p>
    <w:p w:rsidR="00A31137" w:rsidRPr="00A31137" w:rsidRDefault="00A31137" w:rsidP="00A31137">
      <w:r w:rsidRPr="00A31137">
        <w:t>Clinton, Grand Staircase-Escalante National Monument, Sept. 18, 1996, p.1787</w:t>
      </w:r>
    </w:p>
    <w:p w:rsidR="00A31137" w:rsidRPr="00A31137" w:rsidRDefault="00A31137" w:rsidP="00A31137">
      <w:r w:rsidRPr="00A31137">
        <w:t>On this site, on this remarkable site, God's handiwork is everywhere in the natural beauty of the Escalante Canyons and in the Kaiparowits Plateau, in the rock formations that show layer by layer billions of years of geology, in the fossil record of dinosaurs and other prehistoric life, in the remains of ancient American civilizations like the Anasazi Indians.</w:t>
      </w:r>
    </w:p>
    <w:p w:rsidR="00A31137" w:rsidRPr="00A31137" w:rsidRDefault="00A31137" w:rsidP="00A31137">
      <w:r w:rsidRPr="00A31137">
        <w:t>Clinton, Grand Staircase-Escalante National Monument, Sept. 18, 1996, p.1787</w:t>
      </w:r>
    </w:p>
    <w:p w:rsidR="00A31137" w:rsidRPr="00A31137" w:rsidRDefault="00A31137" w:rsidP="00A31137">
      <w:r w:rsidRPr="00A31137">
        <w:t>Though the United States has changed and Utah has grown, prospered, and diversified, the land in the Utah monument remains much as it did when Mormon pioneers made their way through the Red Canyons in the high desert in the late 1800's. Its uniquely American landscape is now one of the most isolated places in the lower 48 States. In protecting it, we live up to our obligation to preserve our natural heritage. We are saying very simply, "Our parents and grandparents saved the Grand Canyon for us; today, we will save the Grand Escalante Canyons and the Kaiparowits Plateaus of Utah for our children."</w:t>
      </w:r>
    </w:p>
    <w:p w:rsidR="00A31137" w:rsidRPr="00A31137" w:rsidRDefault="00A31137" w:rsidP="00A31137">
      <w:r w:rsidRPr="00A31137">
        <w:t>Clinton, Grand Staircase-Escalante National Monument, Sept. 18, 1996, p.1787</w:t>
      </w:r>
    </w:p>
    <w:p w:rsidR="00A31137" w:rsidRPr="00A31137" w:rsidRDefault="00A31137" w:rsidP="00A31137">
      <w:r w:rsidRPr="00A31137">
        <w:t>Sometimes progress is measured in mastering frontiers, but sometimes we must measure progress in protecting frontiers for our children and all children to come. Let me make a few things about this proclamation clear: First, it applies only to Federal lands, lands that belong already to the American people. Second, under the proclamation, families will be able to use this canyon as they always have: The land will remain open for multiple uses including hunting, fishing, hiking, camping, and grazing. Third, the proclamation makes no Federal water rights claims. Fourth, while the Grand Staircase-Escalante will be open for many activities, I am concerned about a large coal mine proposed for the area. Mining jobs are good jobs, and mining is important to our national economy and to our national security. But we can't have mines everywhere, and we shouldn't have mines that threaten our national treasures.</w:t>
      </w:r>
    </w:p>
    <w:p w:rsidR="00A31137" w:rsidRPr="00A31137" w:rsidRDefault="00A31137" w:rsidP="00A31137">
      <w:r w:rsidRPr="00A31137">
        <w:t>Clinton, Grand Staircase-Escalante National Monument, Sept. 18, 1996, p.1787</w:t>
      </w:r>
    </w:p>
    <w:p w:rsidR="00A31137" w:rsidRPr="00A31137" w:rsidRDefault="00A31137" w:rsidP="00A31137">
      <w:r w:rsidRPr="00A31137">
        <w:t>That is why I am so pleased that PacifiCorp has followed the example set by Crown Butte New World Mine in Yellowstone. PacifiCorp has agreed to trade its lease to mine coal on these lands for better, more appropriate sites outside the monument area. I hope that Andalex, a foreign company, will follow PacifiCorp's example and work with us to find a way to pursue its mining operations elsewhere.</w:t>
      </w:r>
    </w:p>
    <w:p w:rsidR="00A31137" w:rsidRPr="00A31137" w:rsidRDefault="00A31137" w:rsidP="00A31137">
      <w:r w:rsidRPr="00A31137">
        <w:t>Clinton, Grand Staircase-Escalante National Monument, Sept. 18, 1996, p.1787</w:t>
      </w:r>
    </w:p>
    <w:p w:rsidR="00A31137" w:rsidRPr="00A31137" w:rsidRDefault="00A31137" w:rsidP="00A31137">
      <w:r w:rsidRPr="00A31137">
        <w:t>Now, let me also say a word to the people of Utah. Mining revenues from Federal and State lands help to support your schools. I know the children of Utah have a big stake in school lands located within the boundaries of the monument that I am designating today. In the past these scattered school lands have never generated significant revenues for the Utah school trust. That's why Governor Scott Matheson, one of the greatest public figures in the history of Utah, asked the Congress to authorize the exchange of nonrevenue-producing lands for other Federal lands that can actually provide revenue for the school trust.</w:t>
      </w:r>
    </w:p>
    <w:p w:rsidR="00A31137" w:rsidRPr="00A31137" w:rsidRDefault="00A31137" w:rsidP="00A31137">
      <w:r w:rsidRPr="00A31137">
        <w:t>Clinton, Grand Staircase-Escalante National Monument, Sept. 18, 1996, p.1787</w:t>
      </w:r>
    </w:p>
    <w:p w:rsidR="00A31137" w:rsidRPr="00A31137" w:rsidRDefault="00A31137" w:rsidP="00A31137">
      <w:r w:rsidRPr="00A31137">
        <w:t>Finally, I was able to sign legislation to accomplish that goal in 1993. And I will now use my office to accelerate the exchange process. I have directed Secretary Babbitt to consult with Governor Leavitt, Congressman Orton, Senators Bennett and Hatch to form an exchange working group to respond promptly to all exchange requests and other issues submitted by the State and to resolve reasonable differences in valuation in favor of the school trust. By taking these steps, we can both protect the natural heritage of Utah's children and ensure them a quality educational heritage.</w:t>
      </w:r>
    </w:p>
    <w:p w:rsidR="00A31137" w:rsidRPr="00A31137" w:rsidRDefault="00A31137" w:rsidP="00A31137">
      <w:r w:rsidRPr="00A31137">
        <w:t>Clinton, Grand Staircase-Escalante National Monument, Sept. 18, 1996, p.1787</w:t>
      </w:r>
    </w:p>
    <w:p w:rsidR="00A31137" w:rsidRPr="00A31137" w:rsidRDefault="00A31137" w:rsidP="00A31137">
      <w:r w:rsidRPr="00A31137">
        <w:t>I will say again, creating this national monument should not and will not come at the expense of Utah's children. Today is also the beginning of a unique 3-year process during which the Bureau of Land Management will work with State and local governments, Congressman Orton, and the Senators and other interests to set up a land management process that will be good for the people of Utah and good for Americans. And I know [p.1788] a lot of you will want to be involved in that and to be heard as well.</w:t>
      </w:r>
    </w:p>
    <w:p w:rsidR="00A31137" w:rsidRPr="00A31137" w:rsidRDefault="00A31137" w:rsidP="00A31137">
      <w:r w:rsidRPr="00A31137">
        <w:t>Clinton, Grand Staircase-Escalante National Monument, Sept. 18, 1996, p.1788</w:t>
      </w:r>
    </w:p>
    <w:p w:rsidR="00A31137" w:rsidRPr="00A31137" w:rsidRDefault="00A31137" w:rsidP="00A31137">
      <w:r w:rsidRPr="00A31137">
        <w:t>Let us always remember, the Grand Staircase-Escalante is for our children. For our children we have worked hard to make sure that we have a clean and safe environment, as the Vice President said. I appreciate what he said about the Yellowstone, the Mojave Desert, the Everglades, the work we have done all across this country to try to preserve our natural heritage and clean up our environment. I hope that we can once again pursue that as an American priority without regard to party or politics or election seasons. We all have the same stake in our common future.</w:t>
      </w:r>
    </w:p>
    <w:p w:rsidR="00A31137" w:rsidRPr="00A31137" w:rsidRDefault="00A31137" w:rsidP="00A31137">
      <w:r w:rsidRPr="00A31137">
        <w:t>Clinton, Grand Staircase-Escalante National Monument, Sept. 18, 1996, p.1788</w:t>
      </w:r>
    </w:p>
    <w:p w:rsidR="00A31137" w:rsidRPr="00A31137" w:rsidRDefault="00A31137" w:rsidP="00A31137">
      <w:r w:rsidRPr="00A31137">
        <w:t>If you'll permit me a personal note, another one, it was 63 years ago that a great Democrat first proposed that we create a national monument in Utah's Canyonlands. His name was Harold Ickes. He was Franklin Roosevelt's Interior Secretary. And I'm sorry he never got a chance to see that his dream would become a reality, but I'm very glad that his son and namesake is my Deputy Chief of Staff and is here today.</w:t>
      </w:r>
    </w:p>
    <w:p w:rsidR="00A31137" w:rsidRPr="00A31137" w:rsidRDefault="00A31137" w:rsidP="00A31137">
      <w:r w:rsidRPr="00A31137">
        <w:t>Clinton, Grand Staircase-Escalante National Monument, Sept. 18, 1996, p.1788</w:t>
      </w:r>
    </w:p>
    <w:p w:rsidR="00A31137" w:rsidRPr="00A31137" w:rsidRDefault="00A31137" w:rsidP="00A31137">
      <w:r w:rsidRPr="00A31137">
        <w:t>And it was 30 years before that, 93 years ago, that a great Republican President, Theodore Roosevelt, said we should make the Grand Canyon a national monument. In 1903, Teddy Roosevelt came to this place and said a few words from the rim of the Canyon I'd like to share with you as we close today:</w:t>
      </w:r>
    </w:p>
    <w:p w:rsidR="00A31137" w:rsidRPr="00A31137" w:rsidRDefault="00A31137" w:rsidP="00A31137">
      <w:r w:rsidRPr="00A31137">
        <w:t>Clinton, Grand Staircase-Escalante National Monument, Sept. 18, 1996, p.1788</w:t>
      </w:r>
    </w:p>
    <w:p w:rsidR="00A31137" w:rsidRPr="00A31137" w:rsidRDefault="00A31137" w:rsidP="00A31137">
      <w:r w:rsidRPr="00A31137">
        <w:t>"Leave the Grand Canyon as it is. You cannot improve upon it. What you can do is keep it for your children, your children's children, all who come after you. We have gotten past the stage when we are pardoned if we treat any part of our country as something to be skinned for. The use of the present generation, whether it is the forest, the water, the scenery, whatever it is, handle it so that your children's children will get the benefit of it."</w:t>
      </w:r>
    </w:p>
    <w:p w:rsidR="00A31137" w:rsidRPr="00A31137" w:rsidRDefault="00A31137" w:rsidP="00A31137">
      <w:r w:rsidRPr="00A31137">
        <w:t>Clinton, Grand Staircase-Escalante National Monument, Sept. 18, 1996, p.1788</w:t>
      </w:r>
    </w:p>
    <w:p w:rsidR="00A31137" w:rsidRPr="00A31137" w:rsidRDefault="00A31137" w:rsidP="00A31137">
      <w:r w:rsidRPr="00A31137">
        <w:t>It was President Roosevelt's wisdom and vision that launched the Progressive Era and prepared our Nation for the 20th century. Today we must do the same for the 21st century. I have talked a lot about building a bridge of possibility to that 21st century, by meeting our challenges and protecting our values. Today the Grand Staircase-Escalante National Monument becomes a great pillar in our bridge to tomorrow.</w:t>
      </w:r>
    </w:p>
    <w:p w:rsidR="00A31137" w:rsidRPr="00A31137" w:rsidRDefault="00A31137" w:rsidP="00A31137">
      <w:r w:rsidRPr="00A31137">
        <w:t>Clinton, Grand Staircase-Escalante National Monument, Sept. 18, 1996, p.1788</w:t>
      </w:r>
    </w:p>
    <w:p w:rsidR="00A31137" w:rsidRPr="00A31137" w:rsidRDefault="00A31137" w:rsidP="00A31137">
      <w:r w:rsidRPr="00A31137">
        <w:t>Thank you, and God bless you all.</w:t>
      </w:r>
    </w:p>
    <w:p w:rsidR="00A31137" w:rsidRPr="00A31137" w:rsidRDefault="00A31137" w:rsidP="00A31137">
      <w:r w:rsidRPr="00A31137">
        <w:t>Clinton, Grand Staircase-Escalante National Monument, Sept. 18, 1996, p.1788</w:t>
      </w:r>
    </w:p>
    <w:p w:rsidR="00A31137" w:rsidRPr="00A31137" w:rsidRDefault="00A31137" w:rsidP="00A31137">
      <w:r w:rsidRPr="00A31137">
        <w:t>Note: The President spoke at 12:10 p.m. outside El Tovar Lodge. In his remarks, he referred to Rob Arnberger, Superintendent, Grand Canyon National Park; Norma Matheson, widow of former Utah Gov. Scott Matheson; and Gov. Michael O. Leavitt of Utah.</w:t>
      </w:r>
    </w:p>
    <w:p w:rsidR="00A31137" w:rsidRPr="00A31137" w:rsidRDefault="00A31137" w:rsidP="00A31137">
      <w:r w:rsidRPr="00A31137">
        <w:t>Clinton's Remarks at a Victory Celebration in Little Rock, Arkansas, November 5, 1996</w:t>
      </w:r>
    </w:p>
    <w:p w:rsidR="00A31137" w:rsidRPr="00A31137" w:rsidRDefault="00A31137" w:rsidP="00A31137">
      <w:r w:rsidRPr="00A31137">
        <w:t>Title:</w:t>
      </w:r>
      <w:r w:rsidRPr="00A31137">
        <w:tab/>
        <w:t>Clinton's Remarks at a Victory Celebration in Little Rock, Arkansas</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November 5, 1996</w:t>
      </w:r>
    </w:p>
    <w:p w:rsidR="00A31137" w:rsidRPr="00A31137" w:rsidRDefault="00A31137" w:rsidP="00A31137">
      <w:r w:rsidRPr="00A31137">
        <w:t>Source:</w:t>
      </w:r>
      <w:r w:rsidRPr="00A31137">
        <w:tab/>
        <w:t>Weekly Compilation of Presidential Documents, 1996, pp.2343-2346</w:t>
      </w:r>
    </w:p>
    <w:p w:rsidR="00A31137" w:rsidRPr="00A31137" w:rsidRDefault="00A31137" w:rsidP="00A31137">
      <w:r w:rsidRPr="00A31137">
        <w:t>Clinton, Victory Celebration in Little Rock, Nov. 5, 1996, p.2343</w:t>
      </w:r>
    </w:p>
    <w:p w:rsidR="00A31137" w:rsidRPr="00A31137" w:rsidRDefault="00A31137" w:rsidP="00A31137">
      <w:r w:rsidRPr="00A31137">
        <w:t>My fellow Americans, thank you for being here. Just 4 years from now we will enter a new century of great challenge and unlimited possibility. Now, we've got a bridge to build, and I'm ready if you are.</w:t>
      </w:r>
    </w:p>
    <w:p w:rsidR="00A31137" w:rsidRPr="00A31137" w:rsidRDefault="00A31137" w:rsidP="00A31137">
      <w:r w:rsidRPr="00A31137">
        <w:t>Clinton, Victory Celebration in Little Rock, Nov. 5, 1996, p.2343</w:t>
      </w:r>
    </w:p>
    <w:p w:rsidR="00A31137" w:rsidRPr="00A31137" w:rsidRDefault="00A31137" w:rsidP="00A31137">
      <w:r w:rsidRPr="00A31137">
        <w:t>Today the American people have spoken. They have affirmed our course. They have told us to go forward. America has told every one of us, Democrats, Republicans, and independents, loud and clear, it is time to put politics aside, join together, and get the job done for America's future. In the last 4 years we've made remarkable progress, but in our schools, our families, our workplaces, and our communities, our journey is not done. My fellow Americans, we have work to do, and that's what this election was all about.</w:t>
      </w:r>
    </w:p>
    <w:p w:rsidR="00A31137" w:rsidRPr="00A31137" w:rsidRDefault="00A31137" w:rsidP="00A31137">
      <w:r w:rsidRPr="00A31137">
        <w:t>Clinton, Victory Celebration in Little Rock, Nov. 5, 1996, p.2343</w:t>
      </w:r>
    </w:p>
    <w:p w:rsidR="00A31137" w:rsidRPr="00A31137" w:rsidRDefault="00A31137" w:rsidP="00A31137">
      <w:r w:rsidRPr="00A31137">
        <w:t>I want to say to all of you here and to all of the American people, no words can convey the gratitude I feel tonight for the honor that has been given to me. It is an honor that belongs to many: first to my family, to my wonderful wife of 21 years, who from the day I first met her began teaching me that it does take a village to raise our children and build our future; to our daughter, Chelsea, for understanding the work we have done together, the burdens it has imposed. Today I went down to the train station to vote in the last election in which I will appear on the ballot. And as I have done in every year since she was born, I took Chelsea to the ballot with me. And as we looked at the ballot together and discussed the issues there, I thanked God that I was born an American.</w:t>
      </w:r>
    </w:p>
    <w:p w:rsidR="00A31137" w:rsidRPr="00A31137" w:rsidRDefault="00A31137" w:rsidP="00A31137">
      <w:r w:rsidRPr="00A31137">
        <w:t>Clinton, Victory Celebration in Little Rock, Nov. 5, 1996, p.2343</w:t>
      </w:r>
    </w:p>
    <w:p w:rsidR="00A31137" w:rsidRPr="00A31137" w:rsidRDefault="00A31137" w:rsidP="00A31137">
      <w:r w:rsidRPr="00A31137">
        <w:t>I thank the members of my wonderful family who are here, my stepfather Dick Kelley, my wonderful mother-in-law, Dorothy Rodham, and all the others. And I thank my beloved mother who is smiling up there and said, "I never had a doubt, I always knew it would be this way."</w:t>
      </w:r>
    </w:p>
    <w:p w:rsidR="00A31137" w:rsidRPr="00A31137" w:rsidRDefault="00A31137" w:rsidP="00A31137">
      <w:r w:rsidRPr="00A31137">
        <w:t>Clinton, Victory Celebration in Little Rock, Nov. 5, 1996, p.2343</w:t>
      </w:r>
    </w:p>
    <w:p w:rsidR="00A31137" w:rsidRPr="00A31137" w:rsidRDefault="00A31137" w:rsidP="00A31137">
      <w:r w:rsidRPr="00A31137">
        <w:t>I thank the friends of my lifetime. There are people who have stood with me through thick and thin, who started with me in grade school, in junior and senior high school, in college, and all across the years since, friends who knew me and knew my dreams and stood as a powerful force against those who sought to stop America's progress with the politics of personal destruction. Thank you, my friends. Thank you for what you did for America.</w:t>
      </w:r>
    </w:p>
    <w:p w:rsidR="00A31137" w:rsidRPr="00A31137" w:rsidRDefault="00A31137" w:rsidP="00A31137">
      <w:r w:rsidRPr="00A31137">
        <w:t>Clinton, Victory Celebration in Little Rock, Nov. 5, 1996, p.2343</w:t>
      </w:r>
    </w:p>
    <w:p w:rsidR="00A31137" w:rsidRPr="00A31137" w:rsidRDefault="00A31137" w:rsidP="00A31137">
      <w:r w:rsidRPr="00A31137">
        <w:t>I thank the people of my beloved native State. I would not be anywhere else in the world tonight. In front of this wonderful old capitol that has seen so much of my</w:t>
      </w:r>
    </w:p>
    <w:p w:rsidR="00A31137" w:rsidRPr="00A31137" w:rsidRDefault="00A31137" w:rsidP="00A31137">
      <w:r w:rsidRPr="00A31137">
        <w:t>Clinton, Victory Celebration in Little Rock, Nov. 5, 1996, p.2343</w:t>
      </w:r>
    </w:p>
    <w:p w:rsidR="00A31137" w:rsidRPr="00A31137" w:rsidRDefault="00A31137" w:rsidP="00A31137">
      <w:r w:rsidRPr="00A31137">
        <w:t>own life and our State's history, I thank you for staying with me so long, for never giving up, for always knowing that we could do better.</w:t>
      </w:r>
    </w:p>
    <w:p w:rsidR="00A31137" w:rsidRPr="00A31137" w:rsidRDefault="00A31137" w:rsidP="00A31137">
      <w:r w:rsidRPr="00A31137">
        <w:t>Clinton, Victory Celebration in Little Rock, Nov. 5, 1996, p.2343</w:t>
      </w:r>
    </w:p>
    <w:p w:rsidR="00A31137" w:rsidRPr="00A31137" w:rsidRDefault="00A31137" w:rsidP="00A31137">
      <w:r w:rsidRPr="00A31137">
        <w:t>I thank the finest Vice President this country has ever seen. Because of Al Gore, we have a stronger and more secure relationship with a democratic Russia; we are exploring the wonders of new technologies for the benefit of America; we are protecting our environment; and we have reinvented America's Government so that it does more with less, thanks to his leadership. It is a legacy unique in the history of this Republic.</w:t>
      </w:r>
    </w:p>
    <w:p w:rsidR="00A31137" w:rsidRPr="00A31137" w:rsidRDefault="00A31137" w:rsidP="00A31137">
      <w:r w:rsidRPr="00A31137">
        <w:t>Clinton, Victory Celebration in Little Rock, Nov. 5, 1996, p.2343</w:t>
      </w:r>
    </w:p>
    <w:p w:rsidR="00A31137" w:rsidRPr="00A31137" w:rsidRDefault="00A31137" w:rsidP="00A31137">
      <w:r w:rsidRPr="00A31137">
        <w:t>I thank Tipper for her friendship, for her crusades on behalf of our children and the mental health of the American people, and for always standing with us, along with her children and her family.</w:t>
      </w:r>
    </w:p>
    <w:p w:rsidR="00A31137" w:rsidRPr="00A31137" w:rsidRDefault="00A31137" w:rsidP="00A31137">
      <w:r w:rsidRPr="00A31137">
        <w:t>Clinton, Victory Celebration in Little Rock, Nov. 5, 1996, p.2343</w:t>
      </w:r>
    </w:p>
    <w:p w:rsidR="00A31137" w:rsidRPr="00A31137" w:rsidRDefault="00A31137" w:rsidP="00A31137">
      <w:r w:rsidRPr="00A31137">
        <w:t>I thank the members of our administration, the Cabinet members, the members of the White House staff. I thank all those who are part of the permanent service to the President at the White House, the medical staff. I thank especially my Secret Service detail that has been so challenged by a President determined not to be isolated from the American people.</w:t>
      </w:r>
    </w:p>
    <w:p w:rsidR="00A31137" w:rsidRPr="00A31137" w:rsidRDefault="00A31137" w:rsidP="00A31137">
      <w:r w:rsidRPr="00A31137">
        <w:t>Clinton, Victory Celebration in Little Rock, Nov. 5, 1996, p.2343</w:t>
      </w:r>
    </w:p>
    <w:p w:rsidR="00A31137" w:rsidRPr="00A31137" w:rsidRDefault="00A31137" w:rsidP="00A31137">
      <w:r w:rsidRPr="00A31137">
        <w:t>I thank the members of our campaign staff, all those who have served in this election and the work you have done. I thank the leaders of our party in the Congress, in the statehouses. I thank all those who stood for what we believe in in these elections today, those who won and those who did not. You did a service to America by raising the [p.2344] things in which we believe. And I thank you all and wish you Godspeed.</w:t>
      </w:r>
    </w:p>
    <w:p w:rsidR="00A31137" w:rsidRPr="00A31137" w:rsidRDefault="00A31137" w:rsidP="00A31137">
      <w:r w:rsidRPr="00A31137">
        <w:t>Clinton, Victory Celebration in Little Rock, Nov. 5, 1996, p.2344</w:t>
      </w:r>
    </w:p>
    <w:p w:rsidR="00A31137" w:rsidRPr="00A31137" w:rsidRDefault="00A31137" w:rsidP="00A31137">
      <w:r w:rsidRPr="00A31137">
        <w:t>I want to thank the employees of the Nation's Government. They have had to do a remarkable job. We have reduced the size of our Government to its smallest point since President Kennedy served, and yet they have continued to serve the people better year-in and year-out. They had to do it in the face of enormous challenges and outright hatred for momentary periods. They have had to live with the horror of Oklahoma City and the difficulties that came along the way. But the people who served us deserve our thanks, and I thank them.</w:t>
      </w:r>
    </w:p>
    <w:p w:rsidR="00A31137" w:rsidRPr="00A31137" w:rsidRDefault="00A31137" w:rsidP="00A31137">
      <w:r w:rsidRPr="00A31137">
        <w:t>Clinton, Victory Celebration in Little Rock, Nov. 5, 1996, p.2344</w:t>
      </w:r>
    </w:p>
    <w:p w:rsidR="00A31137" w:rsidRPr="00A31137" w:rsidRDefault="00A31137" w:rsidP="00A31137">
      <w:r w:rsidRPr="00A31137">
        <w:t>I thank those who served this administration and our cause who are no longer here tonight. And one especially I must thank, my friend and brother, Ron Brown. You're looking down on us, and I know you're smiling, too.</w:t>
      </w:r>
    </w:p>
    <w:p w:rsidR="00A31137" w:rsidRPr="00A31137" w:rsidRDefault="00A31137" w:rsidP="00A31137">
      <w:r w:rsidRPr="00A31137">
        <w:t>Clinton, Victory Celebration in Little Rock, Nov. 5, 1996, p.2344</w:t>
      </w:r>
    </w:p>
    <w:p w:rsidR="00A31137" w:rsidRPr="00A31137" w:rsidRDefault="00A31137" w:rsidP="00A31137">
      <w:r w:rsidRPr="00A31137">
        <w:t>On a purely personal note, I must thank my pastor, Rex Horne, who prayed with me before I came out here tonight, and all the ministers and people of God who prayed for me and with me over these last 4 years. There were a few especially, and they know who they are, who came to the White House time after time, in good times and bad. When the times were bad they reminded me that God gave St. Paul a thorn in his flesh so he would not become exalted in his own eyes and that certainly was not a problem for me in the bad times. [Laughter] When the times were good, they reminded me that humility is always in order in the Presidency, for in this life we see through a glass darkly, and we cannot know the whole truth of our circumstances or the motives of those who oppose us. I thank them all for bringing me closer to God and to the eternal wisdom without which a President cannot serve.</w:t>
      </w:r>
    </w:p>
    <w:p w:rsidR="00A31137" w:rsidRPr="00A31137" w:rsidRDefault="00A31137" w:rsidP="00A31137">
      <w:r w:rsidRPr="00A31137">
        <w:t>Clinton, Victory Celebration in Little Rock, Nov. 5, 1996, p.2344</w:t>
      </w:r>
    </w:p>
    <w:p w:rsidR="00A31137" w:rsidRPr="00A31137" w:rsidRDefault="00A31137" w:rsidP="00A31137">
      <w:r w:rsidRPr="00A31137">
        <w:t>I would like to say a special word of thanks to Senator Dole. And I ask you to join me in applause for his lifetime of service to the United States. [Applause]</w:t>
      </w:r>
    </w:p>
    <w:p w:rsidR="00A31137" w:rsidRPr="00A31137" w:rsidRDefault="00A31137" w:rsidP="00A31137">
      <w:r w:rsidRPr="00A31137">
        <w:t>Clinton, Victory Celebration in Little Rock, Nov. 5, 1996, p.2344</w:t>
      </w:r>
    </w:p>
    <w:p w:rsidR="00A31137" w:rsidRPr="00A31137" w:rsidRDefault="00A31137" w:rsidP="00A31137">
      <w:r w:rsidRPr="00A31137">
        <w:t>And I thank Jack Kemp for his service to America and his devotion to the proposition that this is a country in which</w:t>
      </w:r>
    </w:p>
    <w:p w:rsidR="00A31137" w:rsidRPr="00A31137" w:rsidRDefault="00A31137" w:rsidP="00A31137">
      <w:r w:rsidRPr="00A31137">
        <w:t>Clinton, Victory Celebration in Little Rock, Nov. 5, 1996, p.2344</w:t>
      </w:r>
    </w:p>
    <w:p w:rsidR="00A31137" w:rsidRPr="00A31137" w:rsidRDefault="00A31137" w:rsidP="00A31137">
      <w:r w:rsidRPr="00A31137">
        <w:t>everyone should have a chance to live free and equal and to have a chance at success.</w:t>
      </w:r>
    </w:p>
    <w:p w:rsidR="00A31137" w:rsidRPr="00A31137" w:rsidRDefault="00A31137" w:rsidP="00A31137">
      <w:r w:rsidRPr="00A31137">
        <w:t>Clinton, Victory Celebration in Little Rock, Nov. 5, 1996, p.2344</w:t>
      </w:r>
    </w:p>
    <w:p w:rsidR="00A31137" w:rsidRPr="00A31137" w:rsidRDefault="00A31137" w:rsidP="00A31137">
      <w:r w:rsidRPr="00A31137">
        <w:t>Let me say, I had a good visit with Senator Dole not too long before he went out to speak. I thanked him for his love of our country, for his years of service. I applauded the campaign that he fought so bravely to the very last minute. I thanked him for the work we did together to advance the common cause of America. And on behalf of all Americans, I wish him well and Godspeed.</w:t>
      </w:r>
    </w:p>
    <w:p w:rsidR="00A31137" w:rsidRPr="00A31137" w:rsidRDefault="00A31137" w:rsidP="00A31137">
      <w:r w:rsidRPr="00A31137">
        <w:t>Clinton, Victory Celebration in Little Rock, Nov. 5, 1996, p.2344</w:t>
      </w:r>
    </w:p>
    <w:p w:rsidR="00A31137" w:rsidRPr="00A31137" w:rsidRDefault="00A31137" w:rsidP="00A31137">
      <w:r w:rsidRPr="00A31137">
        <w:t>Four years ago, on these very steps, we set forth on a journey to change the course of America for the better, to keep the American dream alive for everyone willing to work for it, to keep America the world's strongest force for peace and freedom and prosperity, to come together as one American community. The time was one of widespread frustration and doubt about our economic and social problems, about our ability to deal with the vast sweep of change that was all around us. The scope and pace of those changes were threatening to many, and our values seemed to be under attack on all sides. But together, you and I vowed to turn our country around, with a strategy to meet our challenges and protect our values: opportunity for all, responsibility from all, an American community of all Americans.</w:t>
      </w:r>
    </w:p>
    <w:p w:rsidR="00A31137" w:rsidRPr="00A31137" w:rsidRDefault="00A31137" w:rsidP="00A31137">
      <w:r w:rsidRPr="00A31137">
        <w:t>Clinton, Victory Celebration in Little Rock, Nov. 5, 1996, p.2344</w:t>
      </w:r>
    </w:p>
    <w:p w:rsidR="00A31137" w:rsidRPr="00A31137" w:rsidRDefault="00A31137" w:rsidP="00A31137">
      <w:r w:rsidRPr="00A31137">
        <w:t>We have worked hard to end the politics of who's to blame and instead to ask, what are we going to do to make America better? Tonight we proclaim that the vital American center is alive and well. It is the common ground on which we have made our progress. Today our economy is stronger, our streets are safer, our environment is cleaner, the world is more secure, and thank God, our Nation is more united.</w:t>
      </w:r>
    </w:p>
    <w:p w:rsidR="00A31137" w:rsidRPr="00A31137" w:rsidRDefault="00A31137" w:rsidP="00A31137">
      <w:r w:rsidRPr="00A31137">
        <w:t>Clinton, Victory Celebration in Little Rock, Nov. 5, 1996, p.2344</w:t>
      </w:r>
    </w:p>
    <w:p w:rsidR="00A31137" w:rsidRPr="00A31137" w:rsidRDefault="00A31137" w:rsidP="00A31137">
      <w:r w:rsidRPr="00A31137">
        <w:t>To all the men and women across this country who have created our jobs, taught our children, patrolled our streets, and kept America safe throughout our world, I say America's success is your success; this victory is your victory. I thank you from the bottom of my heart.</w:t>
      </w:r>
    </w:p>
    <w:p w:rsidR="00A31137" w:rsidRPr="00A31137" w:rsidRDefault="00A31137" w:rsidP="00A31137">
      <w:r w:rsidRPr="00A31137">
        <w:t>Clinton, Victory Celebration in Little Rock, Nov. 5, 1996, p.2344</w:t>
      </w:r>
    </w:p>
    <w:p w:rsidR="00A31137" w:rsidRPr="00A31137" w:rsidRDefault="00A31137" w:rsidP="00A31137">
      <w:r w:rsidRPr="00A31137">
        <w:t xml:space="preserve">Now, my fellow Americans, a vast new century lies before us. It will be a time more full of opportunity for people to live out their dreams than any in human history. We have committed this night to continuing our journey, to doing the hard work that will build our bridge to the 21st century, to give the young people here and those all across America the America they deserve and their children and their children's children. [p.2345] </w:t>
      </w:r>
    </w:p>
    <w:p w:rsidR="00A31137" w:rsidRPr="00A31137" w:rsidRDefault="00A31137" w:rsidP="00A31137">
      <w:r w:rsidRPr="00A31137">
        <w:t>Clinton, Victory Celebration in Little Rock, Nov. 5, 1996, p.2345</w:t>
      </w:r>
    </w:p>
    <w:p w:rsidR="00A31137" w:rsidRPr="00A31137" w:rsidRDefault="00A31137" w:rsidP="00A31137">
      <w:r w:rsidRPr="00A31137">
        <w:t>But we have work to do. We have work to do to keep our economy growing steady and strong, by balancing the budget while we honor our duties to our families, our parents, and our children, and our duty to pass on to our children the Earth God gave us. We have work to do to give all of our children the gift of an education, to make sure every 8-year-old can read; every 12-year-old can log on to the Internet; and yes, every single 18-year-old in this country willing to work for it can have a college education.</w:t>
      </w:r>
    </w:p>
    <w:p w:rsidR="00A31137" w:rsidRPr="00A31137" w:rsidRDefault="00A31137" w:rsidP="00A31137">
      <w:r w:rsidRPr="00A31137">
        <w:t>Clinton, Victory Celebration in Little Rock, Nov. 5, 1996, p.2345</w:t>
      </w:r>
    </w:p>
    <w:p w:rsidR="00A31137" w:rsidRPr="00A31137" w:rsidRDefault="00A31137" w:rsidP="00A31137">
      <w:r w:rsidRPr="00A31137">
        <w:t>We have work to do to make the permanent under class in this country a thing of the past, to lift our fellow citizens who are poor from the degradation of welfare dependency to the pride and dignity of work. We have work to do to strengthen our families; to help our parents succeed at home and at work; to keep our children safe from harm in their schools, their streets, their homes, and their communities; to clean up our environment so that our children can grow up next to parks, not poison; to tell them that drugs are wrong and illegal and they can kill them; to teach them right from wrong.</w:t>
      </w:r>
    </w:p>
    <w:p w:rsidR="00A31137" w:rsidRPr="00A31137" w:rsidRDefault="00A31137" w:rsidP="00A31137">
      <w:r w:rsidRPr="00A31137">
        <w:t>Clinton, Victory Celebration in Little Rock, Nov. 5, 1996, p.2345</w:t>
      </w:r>
    </w:p>
    <w:p w:rsidR="00A31137" w:rsidRPr="00A31137" w:rsidRDefault="00A31137" w:rsidP="00A31137">
      <w:r w:rsidRPr="00A31137">
        <w:t>My fellow Americans, I will do all I can to advance these causes. But all our citizens must do their part to continue the upsurge of personal responsibility that in the last 4 years has brought crime to a 10-year low, child support collections to an all-time high, and reduced the welfare reform. Will you help me do that? [Applause] We must do it together.</w:t>
      </w:r>
    </w:p>
    <w:p w:rsidR="00A31137" w:rsidRPr="00A31137" w:rsidRDefault="00A31137" w:rsidP="00A31137">
      <w:r w:rsidRPr="00A31137">
        <w:t>Clinton, Victory Celebration in Little Rock, Nov. 5, 1996, p.2345</w:t>
      </w:r>
    </w:p>
    <w:p w:rsidR="00A31137" w:rsidRPr="00A31137" w:rsidRDefault="00A31137" w:rsidP="00A31137">
      <w:r w:rsidRPr="00A31137">
        <w:t>We must make our democracy stronger by enacting real, bipartisan campaign finance reform. Talk is no longer enough; we must act and act now. And the American people will be watching the leaders of both parties to see who is willing not just to talk but to act. I am willing to act, and I ask others to join me.</w:t>
      </w:r>
    </w:p>
    <w:p w:rsidR="00A31137" w:rsidRPr="00A31137" w:rsidRDefault="00A31137" w:rsidP="00A31137">
      <w:r w:rsidRPr="00A31137">
        <w:t>Clinton, Victory Celebration in Little Rock, Nov. 5, 1996, p.2345</w:t>
      </w:r>
    </w:p>
    <w:p w:rsidR="00A31137" w:rsidRPr="00A31137" w:rsidRDefault="00A31137" w:rsidP="00A31137">
      <w:r w:rsidRPr="00A31137">
        <w:t>And we must keep America the world's indispensable nation, finishing the unfinished business of the cold war, meeting the new threats to our security through terrorism and the proliferation of dangerous weapons and seizing these extraordinary opportunities to extend our values of peace and democracy and prosperity.</w:t>
      </w:r>
    </w:p>
    <w:p w:rsidR="00A31137" w:rsidRPr="00A31137" w:rsidRDefault="00A31137" w:rsidP="00A31137">
      <w:r w:rsidRPr="00A31137">
        <w:t>Clinton, Victory Celebration in Little Rock, Nov. 5, 1996, p.2345</w:t>
      </w:r>
    </w:p>
    <w:p w:rsidR="00A31137" w:rsidRPr="00A31137" w:rsidRDefault="00A31137" w:rsidP="00A31137">
      <w:r w:rsidRPr="00A31137">
        <w:t>Every American here tonight and every American within the sound of my voice can take pride in the fact that in these last few years, for the first time in all of human history, a majority of the human beings living on this globe live under democracies where the people rule.</w:t>
      </w:r>
    </w:p>
    <w:p w:rsidR="00A31137" w:rsidRPr="00A31137" w:rsidRDefault="00A31137" w:rsidP="00A31137">
      <w:r w:rsidRPr="00A31137">
        <w:t>Clinton, Victory Celebration in Little Rock, Nov. 5, 1996, p.2345</w:t>
      </w:r>
    </w:p>
    <w:p w:rsidR="00A31137" w:rsidRPr="00A31137" w:rsidRDefault="00A31137" w:rsidP="00A31137">
      <w:r w:rsidRPr="00A31137">
        <w:t>The challenges we face, they're not Democratic or Republican challenges, they're American challenges. What we know from the budget battles of the last 2 years and from the remarkable success of the last few weeks of this Congress is the lesson we have learned for the last 220 years: what we have achieved as Americans of lasting good, we have achieved by working together.</w:t>
      </w:r>
    </w:p>
    <w:p w:rsidR="00A31137" w:rsidRPr="00A31137" w:rsidRDefault="00A31137" w:rsidP="00A31137">
      <w:r w:rsidRPr="00A31137">
        <w:t>Clinton, Victory Celebration in Little Rock, Nov. 5, 1996, p.2345</w:t>
      </w:r>
    </w:p>
    <w:p w:rsidR="00A31137" w:rsidRPr="00A31137" w:rsidRDefault="00A31137" w:rsidP="00A31137">
      <w:r w:rsidRPr="00A31137">
        <w:t>So let me say to the leaders of my Democratic Party and the leaders of the Republican Party, it is time to put country ahead of party. We do not know the final outcome of the congressional elections, but we know this: the races are close; the American people have been closely divided; the Congress, whatever happens, will be closely divided. They are sending us a message: work together, meet our challenges, put aside the politics of division, and build America's community together.</w:t>
      </w:r>
    </w:p>
    <w:p w:rsidR="00A31137" w:rsidRPr="00A31137" w:rsidRDefault="00A31137" w:rsidP="00A31137">
      <w:r w:rsidRPr="00A31137">
        <w:t>Clinton, Victory Celebration in Little Rock, Nov. 5, 1996, p.2345</w:t>
      </w:r>
    </w:p>
    <w:p w:rsidR="00A31137" w:rsidRPr="00A31137" w:rsidRDefault="00A31137" w:rsidP="00A31137">
      <w:r w:rsidRPr="00A31137">
        <w:t>On this beautiful night, when we have shared so much joy and so much music and so much laughter and so much pride, it is hard for me to believe that it was 23 years ago when I first began to go to the people of Arkansas to ask for their support. The most lasting and important thing that I have learned in all those 23 fleeting years is this: When we are divided we defeat ourselves, but when we join our hands and build our families and our communities and our country, America always wins. What we need to do is to do the work of America the way we seek to do the work of raising our children and doing our work and supporting our religious institutions and our community institutions. If we would simply be Americans, the way we seek to live in all of our other roles, there is no stopping America. Our best days are still ahead.</w:t>
      </w:r>
    </w:p>
    <w:p w:rsidR="00A31137" w:rsidRPr="00A31137" w:rsidRDefault="00A31137" w:rsidP="00A31137">
      <w:r w:rsidRPr="00A31137">
        <w:t>Clinton, Victory Celebration in Little Rock, Nov. 5, 1996, p.2345</w:t>
      </w:r>
    </w:p>
    <w:p w:rsidR="00A31137" w:rsidRPr="00A31137" w:rsidRDefault="00A31137" w:rsidP="00A31137">
      <w:r w:rsidRPr="00A31137">
        <w:t>And so I say, when we look into our hearts and simply ask what is right for the American people and the future of our children, when we set aside our differences and build on our shared values of faith and family and work, when we roll up our sleeves and work together, America always wins. And my fellow [p.2346] Americans, America is going to keep winning these next 4 years.</w:t>
      </w:r>
    </w:p>
    <w:p w:rsidR="00A31137" w:rsidRPr="00A31137" w:rsidRDefault="00A31137" w:rsidP="00A31137">
      <w:r w:rsidRPr="00A31137">
        <w:t>Clinton, Victory Celebration in Little Rock, Nov. 5, 1996, p.2346</w:t>
      </w:r>
    </w:p>
    <w:p w:rsidR="00A31137" w:rsidRPr="00A31137" w:rsidRDefault="00A31137" w:rsidP="00A31137">
      <w:r w:rsidRPr="00A31137">
        <w:t>Let me say that, as all of you here from my native State know, I believe this and I have tried to live by it because there is no person in America who has been given more gifts than I have; there is no person in America tonight who feels more</w:t>
      </w:r>
    </w:p>
    <w:p w:rsidR="00A31137" w:rsidRPr="00A31137" w:rsidRDefault="00A31137" w:rsidP="00A31137">
      <w:r w:rsidRPr="00A31137">
        <w:t>Clinton, Victory Celebration in Little Rock, Nov. 5, 1996, p.2346</w:t>
      </w:r>
    </w:p>
    <w:p w:rsidR="00A31137" w:rsidRPr="00A31137" w:rsidRDefault="00A31137" w:rsidP="00A31137">
      <w:r w:rsidRPr="00A31137">
        <w:t>humble in the face of this victory than I do. Fifty years ago, when I was born in a summer storm to a widowed mother in a small town in the southwest part of our State, it was unimaginable that someone like me could have ever become President of the greatest country in human history. It has been, for me, a remarkable journey, not free of failure but full of adventure and wonder and grace. I have worked hard to serve, but I did not get here on my own.</w:t>
      </w:r>
    </w:p>
    <w:p w:rsidR="00A31137" w:rsidRPr="00A31137" w:rsidRDefault="00A31137" w:rsidP="00A31137">
      <w:r w:rsidRPr="00A31137">
        <w:t>Clinton, Victory Celebration in Little Rock, Nov. 5, 1996, p.2346</w:t>
      </w:r>
    </w:p>
    <w:p w:rsidR="00A31137" w:rsidRPr="00A31137" w:rsidRDefault="00A31137" w:rsidP="00A31137">
      <w:r w:rsidRPr="00A31137">
        <w:t>Every step along the way, for these last 23 years and long before, there was a teacher, a doctor, a neighbor, a parent, a friend, a wife, a daughter who always had time to care, who always tried to give me instruction and encouragement, and who never gave up. I got here tonight, my fellow Americans, because America gave me a chance.</w:t>
      </w:r>
    </w:p>
    <w:p w:rsidR="00A31137" w:rsidRPr="00A31137" w:rsidRDefault="00A31137" w:rsidP="00A31137">
      <w:r w:rsidRPr="00A31137">
        <w:t>Clinton, Victory Celebration in Little Rock, Nov. 5, 1996, p.2346</w:t>
      </w:r>
    </w:p>
    <w:p w:rsidR="00A31137" w:rsidRPr="00A31137" w:rsidRDefault="00A31137" w:rsidP="00A31137">
      <w:r w:rsidRPr="00A31137">
        <w:t>That is what all the children of America deserve. Our people have to give them the tools to give them not a guarantee, but that real chance to live up to their God-given potential. And I ask you to join me in that commitment. Every child deserves the main chance that I was given.</w:t>
      </w:r>
    </w:p>
    <w:p w:rsidR="00A31137" w:rsidRPr="00A31137" w:rsidRDefault="00A31137" w:rsidP="00A31137">
      <w:r w:rsidRPr="00A31137">
        <w:t>Clinton, Victory Celebration in Little Rock, Nov. 5, 1996, p.2346</w:t>
      </w:r>
    </w:p>
    <w:p w:rsidR="00A31137" w:rsidRPr="00A31137" w:rsidRDefault="00A31137" w:rsidP="00A31137">
      <w:r w:rsidRPr="00A31137">
        <w:t>And so I say, again, let us resolve to run our country the way we try to run our lives. Whether you are the party of Thomas Jefferson or the party of Abraham Lincoln, whether you're an independent or unaffiliated, remember that we all belong to the greatest Nation in history. To us much has been given and much is still expected. We must rise to the challenge of building that bridge to the 21st century.</w:t>
      </w:r>
    </w:p>
    <w:p w:rsidR="00A31137" w:rsidRPr="00A31137" w:rsidRDefault="00A31137" w:rsidP="00A31137">
      <w:r w:rsidRPr="00A31137">
        <w:t>Clinton, Victory Celebration in Little Rock, Nov. 5, 1996, p.2346</w:t>
      </w:r>
    </w:p>
    <w:p w:rsidR="00A31137" w:rsidRPr="00A31137" w:rsidRDefault="00A31137" w:rsidP="00A31137">
      <w:r w:rsidRPr="00A31137">
        <w:t>Tonight is a night for joy not just for us here but for all Americans. For the 53d time in our history our people have made their quiet and deliberate decision. They have come together with their powerful voice and expressed their will. Tonight we celebrate the miracle of America. Tomorrow we greet the dawn and begin our work anew.</w:t>
      </w:r>
    </w:p>
    <w:p w:rsidR="00A31137" w:rsidRPr="00A31137" w:rsidRDefault="00A31137" w:rsidP="00A31137">
      <w:r w:rsidRPr="00A31137">
        <w:t>Clinton, Victory Celebration in Little Rock, Nov. 5, 1996, p.2346</w:t>
      </w:r>
    </w:p>
    <w:p w:rsidR="00A31137" w:rsidRPr="00A31137" w:rsidRDefault="00A31137" w:rsidP="00A31137">
      <w:r w:rsidRPr="00A31137">
        <w:t>I am more grateful than I can say. You have given me an opportunity and a responsibility that comes to few people. I will do my best. And together, we will—we will—build that bridge to the 21st century.</w:t>
      </w:r>
    </w:p>
    <w:p w:rsidR="00A31137" w:rsidRPr="00A31137" w:rsidRDefault="00A31137" w:rsidP="00A31137">
      <w:r w:rsidRPr="00A31137">
        <w:t>Clinton, Victory Celebration in Little Rock, Nov. 5, 1996, p.2346</w:t>
      </w:r>
    </w:p>
    <w:p w:rsidR="00A31137" w:rsidRPr="00A31137" w:rsidRDefault="00A31137" w:rsidP="00A31137">
      <w:r w:rsidRPr="00A31137">
        <w:t>Thank you. Good night, and God bless America. Thanks.</w:t>
      </w:r>
    </w:p>
    <w:p w:rsidR="00A31137" w:rsidRPr="00A31137" w:rsidRDefault="00A31137" w:rsidP="00A31137">
      <w:r w:rsidRPr="00A31137">
        <w:t>Clinton, Victory Celebration in Little Rock, Nov. 5, 1996, p.2346</w:t>
      </w:r>
    </w:p>
    <w:p w:rsidR="00A31137" w:rsidRPr="00A31137" w:rsidRDefault="00A31137" w:rsidP="00A31137">
      <w:r w:rsidRPr="00A31137">
        <w:t>Note: The President spoke at 11:10 p.m. on the steps of the Old State House. A tape was not available for verification of the content of these remarks.</w:t>
      </w:r>
    </w:p>
    <w:p w:rsidR="00A31137" w:rsidRPr="00A31137" w:rsidRDefault="00A31137" w:rsidP="00A31137">
      <w:r w:rsidRPr="00A31137">
        <w:t>M.L.B. v. S.L.J., 1996</w:t>
      </w:r>
    </w:p>
    <w:p w:rsidR="00A31137" w:rsidRPr="00A31137" w:rsidRDefault="00A31137" w:rsidP="00A31137">
      <w:r w:rsidRPr="00A31137">
        <w:t>Title:</w:t>
      </w:r>
      <w:r w:rsidRPr="00A31137">
        <w:tab/>
        <w:t>M.L.B. v. S.L.J.</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December 16, 1996</w:t>
      </w:r>
    </w:p>
    <w:p w:rsidR="00A31137" w:rsidRPr="00A31137" w:rsidRDefault="00A31137" w:rsidP="00A31137">
      <w:r w:rsidRPr="00A31137">
        <w:t>Source:</w:t>
      </w:r>
      <w:r w:rsidRPr="00A31137">
        <w:tab/>
        <w:t>No. 95-853 [U.S. Reports citation not yet available]</w:t>
      </w:r>
    </w:p>
    <w:p w:rsidR="00A31137" w:rsidRPr="00A31137" w:rsidRDefault="00A31137" w:rsidP="00A31137">
      <w:r w:rsidRPr="00A31137">
        <w:t>This case was argued October 7, 1996, and was decided December 16, 1996.</w:t>
      </w:r>
    </w:p>
    <w:p w:rsidR="00A31137" w:rsidRPr="00A31137" w:rsidRDefault="00A31137" w:rsidP="00A31137">
      <w:r w:rsidRPr="00A31137">
        <w:t>CERTIORARI TO THE SUPREME COURT OF MISSISSIPPI</w:t>
      </w:r>
    </w:p>
    <w:p w:rsidR="00A31137" w:rsidRPr="00A31137" w:rsidRDefault="00A31137" w:rsidP="00A31137">
      <w:r w:rsidRPr="00A31137">
        <w:t>Syllabus</w:t>
      </w:r>
    </w:p>
    <w:p w:rsidR="00A31137" w:rsidRPr="00A31137" w:rsidRDefault="00A31137" w:rsidP="00A31137">
      <w:r w:rsidRPr="00A31137">
        <w:t>1996, M.L.B. v. S.L.J., No. 95-853</w:t>
      </w:r>
    </w:p>
    <w:p w:rsidR="00A31137" w:rsidRPr="00A31137" w:rsidRDefault="00A31137" w:rsidP="00A31137">
      <w:r w:rsidRPr="00A31137">
        <w:t>In a decree forever terminating petitioner M.L.B.'s parental rights to her two minor children, a Mississippi Chancery Court recited a segment of the governing Mississippi statute and stated, without elaboration, that respondents, the children's natural father and his second wife, had met their burden of proof by "clear and convincing evidence." The Chancery Court, however, neither described the evidence nor otherwise revealed precisely why M.L.B. was decreed a stranger to her children. M.L.B. filed a timely appeal from the termination decree, but Mississippi law conditioned her right to appeal on prepayment of record preparation fees estimated at $2,352.36. Lacking funds to pay the fees, M.L.B. sought leave to appeal in forma pauperis. The Supreme Court of Mississippi denied her application on the ground that, under its precedent, there is no right to proceed in forma pauperis in civil appeals. Urging that the size of her pocketbook should not be dispositive when "an interest far more precious than any property right" is at stake, Santosky v. Kramer, 455 U.S. 745, 758-759, M.L.B. contends in this Court that a State may not, consistent with the Due Process and Equal Protection Clauses of the Fourteenth Amendment, condition appeals from trial court decrees terminating parental rights on the affected parent's ability to pay record preparation fees.</w:t>
      </w:r>
    </w:p>
    <w:p w:rsidR="00A31137" w:rsidRPr="00A31137" w:rsidRDefault="00A31137" w:rsidP="00A31137">
      <w:r w:rsidRPr="00A31137">
        <w:t>1996, M.L.B. v. S.L.J., No. 95-853</w:t>
      </w:r>
    </w:p>
    <w:p w:rsidR="00A31137" w:rsidRPr="00A31137" w:rsidRDefault="00A31137" w:rsidP="00A31137">
      <w:r w:rsidRPr="00A31137">
        <w:t>Held: Just as a State may not block an indigent petty offender's access to an appeal afforded others, see Mayer v. Chicago, 404 U.S. 189, 195-196, so Mississippi may not deny M.L.B., because of her poverty, appellate review of the sufficiency of the evidence on which the trial court based its parental termination decree. Pp. ___.</w:t>
      </w:r>
    </w:p>
    <w:p w:rsidR="00A31137" w:rsidRPr="00A31137" w:rsidRDefault="00A31137" w:rsidP="00A31137">
      <w:r w:rsidRPr="00A31137">
        <w:t>1996, M.L.B. v. S.L.J., No. 95-853</w:t>
      </w:r>
    </w:p>
    <w:p w:rsidR="00A31137" w:rsidRPr="00A31137" w:rsidRDefault="00A31137" w:rsidP="00A31137">
      <w:r w:rsidRPr="00A31137">
        <w:t>(a) The foundation case in the relevant line of decisions is Griffin v. Illinois, 351 U.S. 12, in which the Court struck down an Illinois rule that effectively conditioned thoroughgoing appeals from criminal convictions on the defendant's procurement of a transcript of trial proceedings. The Illinois rule challenged in Griffin deprived most defendants lacking the means to pay for a transcript of any access to appellate review.   Although the Federal Constitution guarantees no right to appellate review, id. at  18 (plurality opinion), once a State affords that right, Griffin held, the State may not "bolt the door to equal justice," id. at  24 (Frankfurter, J., concurring in judgment). The Griffin plurality drew support for its decision from the Due Process and Equal Protection Clauses, id. at  13,  18, while Justice Frankfurter emphasized and explained the decision's equal protection underpinning, id. at  23.   Of prime relevance to the question presented by M.L.B., Griffin's principle has not been confined to cases in which imprisonment is at stake, but extends to appeals from convictions of petty offenses, involving conduct "quasi-criminal" in nature. Mayer, 404 U.S. at 196-197. In contrast, an indigent defendant's right to counsel at state expense does not extend to nonfelony trials if no term of imprisonment is actually imposed. Scott v. Illinois, 440 U.S. 367, 373-374. Pp. ___.</w:t>
      </w:r>
    </w:p>
    <w:p w:rsidR="00A31137" w:rsidRPr="00A31137" w:rsidRDefault="00A31137" w:rsidP="00A31137">
      <w:r w:rsidRPr="00A31137">
        <w:t>1996, M.L.B. v. S.L.J., No. 95-853</w:t>
      </w:r>
    </w:p>
    <w:p w:rsidR="00A31137" w:rsidRPr="00A31137" w:rsidRDefault="00A31137" w:rsidP="00A31137">
      <w:r w:rsidRPr="00A31137">
        <w:t>(b) This Court has also recognized a narrow category of civil cases in which the State must provide access to its judicial processes without regard to a party's ability to pay court fees. See, e.g., Boddie v. Connecticut, 401 U.S. 371,  374 (divorce proceedings). Making clear, however, that a constitutional requirement to waive court fees in civil cases is the exception, not the general rule, the Court has refused to extend Griffin to the broad array of civil cases. See United States v. Kras, 409 U.S. 434,  445; Ortwein v. Schwab, 410 U.S. 656, 661 (per curiam). But the Court has consistently set apart from the mine run of civil cases those involving state controls or intrusions on family relationships. In that domain, to guard against undue official intrusion, the Court has examined closely and contextually the importance of the governmental interest advanced in defense of the intrusion. Pp. ___.</w:t>
      </w:r>
    </w:p>
    <w:p w:rsidR="00A31137" w:rsidRPr="00A31137" w:rsidRDefault="00A31137" w:rsidP="00A31137">
      <w:r w:rsidRPr="00A31137">
        <w:t>1996, M.L.B. v. S.L.J., No. 95-853</w:t>
      </w:r>
    </w:p>
    <w:p w:rsidR="00A31137" w:rsidRPr="00A31137" w:rsidRDefault="00A31137" w:rsidP="00A31137">
      <w:r w:rsidRPr="00A31137">
        <w:t>(c) M.L.B.'s case, involving the State's authority to sever permanently a parent-child bond, demands the close consideration the Court has long required when a family association "of basic importance in our society" is at stake. Boddie, 401 U.S. at  376. The Court approaches M.L.B.'s petition mindful of the gravity of the sanction imposed on her and in light of two prior decisions most immediately in point: Lassiter v. Department of Social Servs. of Durham Cty., 452 U.S. 18 (appointment of counsel for indigent defendants in parental status termination proceedings is not routinely required by the Constitution, but should be determined on a case-by-case basis), and Santosky v. Kramer, 455 U.S. 745 ("clear and convincing" proof standard is constitutionally required in parental termination proceedings). Although both Lassiter and Santosky yielded divided opinions, the Court was unanimously of the view that</w:t>
      </w:r>
    </w:p>
    <w:p w:rsidR="00A31137" w:rsidRPr="00A31137" w:rsidRDefault="00A31137" w:rsidP="00A31137">
      <w:r w:rsidRPr="00A31137">
        <w:t>1996, M.L.B. v. S.L.J., No. 95-853</w:t>
      </w:r>
    </w:p>
    <w:p w:rsidR="00A31137" w:rsidRPr="00A31137" w:rsidRDefault="00A31137" w:rsidP="00A31137">
      <w:r w:rsidRPr="00A31137">
        <w:t>the interest of parents in their relationship with their children is sufficiently fundamental to come within the finite class of liberty interests protected by the Fourteenth Amendment,</w:t>
      </w:r>
    </w:p>
    <w:p w:rsidR="00A31137" w:rsidRPr="00A31137" w:rsidRDefault="00A31137" w:rsidP="00A31137">
      <w:r w:rsidRPr="00A31137">
        <w:t>1996, M.L.B. v. S.L.J., No. 95-853</w:t>
      </w:r>
    </w:p>
    <w:p w:rsidR="00A31137" w:rsidRPr="00A31137" w:rsidRDefault="00A31137" w:rsidP="00A31137">
      <w:r w:rsidRPr="00A31137">
        <w:t>Santosky, 455 U.S. at 774 (REHNQUIST, J., dissenting), and that "[f]ew consequences of judicial action are so grave as the severance of natural family ties," id. at 787. Pp. ___.</w:t>
      </w:r>
    </w:p>
    <w:p w:rsidR="00A31137" w:rsidRPr="00A31137" w:rsidRDefault="00A31137" w:rsidP="00A31137">
      <w:r w:rsidRPr="00A31137">
        <w:t>1996, M.L.B. v. S.L.J., No. 95-853</w:t>
      </w:r>
    </w:p>
    <w:p w:rsidR="00A31137" w:rsidRPr="00A31137" w:rsidRDefault="00A31137" w:rsidP="00A31137">
      <w:r w:rsidRPr="00A31137">
        <w:t>(d) Guided by Lassiter, Santosky, and other decisions acknowledging the primacy of the parent-child relationship, the Court agrees with M.L.B. that Mayer points to the disposition proper in this case: her parental termination appeal must be treated as the Court has treated petty offense appeals, and Mississippi may not withhold the transcript she needs to gain review of the order ending her parental status. The Court's decisions concerning access to judicial processes, commencing with Griffin and running through Mayer, reflect both equal protection and due process concerns. See Ross v. Moffitt, 417 U.S. 600, 608-609. In these cases, "[d]ue process and equal protection principles converge." Bearden v. Georgia, 461 U.S. 660, 665. A "precise rationale" has not been composed, Ross, 417 U.S. at 608, because cases of this order "cannot be resolved by resort to easy slogans or pigeonhole analysis," Bearden, 461 U.S. at 666. Nevertheless, "[m]ost decisions in this area," the Court has recognized, "res[t] on an equal protection framework," id. at 665, as M.L.B.'s plea heavily does, for due process does not independently require that the State provide a right to appeal. Placing this case within the framework established by the Court's past decisions in this area, the Court inspects the character and intensity of the individual interest at stake, on the one hand, and the State's justification for its exaction, on the other. See id. at 666-667.</w:t>
      </w:r>
    </w:p>
    <w:p w:rsidR="00A31137" w:rsidRPr="00A31137" w:rsidRDefault="00A31137" w:rsidP="00A31137">
      <w:r w:rsidRPr="00A31137">
        <w:t>1996, M.L.B. v. S.L.J., No. 95-853</w:t>
      </w:r>
    </w:p>
    <w:p w:rsidR="00A31137" w:rsidRPr="00A31137" w:rsidRDefault="00A31137" w:rsidP="00A31137">
      <w:r w:rsidRPr="00A31137">
        <w:t>As in the case of the indigent petty offender charged in Mayer, the stakes for M.L.B. are large. Parental status termination is "irretrievabl[y] destructi[ve]" of the most fundamental family relationship. Santosky, 455 U.S. at 753. And the risk of error, Mississippi's experience shows, is considerable. Mississippi has, consistent with Santosky, adopted a "clear and convincing proof" standard for parental status termination cases, but the Chancellor's order in this case simply recites statutory language; it describes no evidence, and otherwise details no reasons for finding M.L.B. "clear[ly] and convincing[ly]" unfit to be a parent. Only a transcript can reveal the sufficiency, or insufficiency, of the evidence to support that stern judgment. Mississippi's countervailing interest in offsetting the costs of its court system is unimpressive when measured against the stakes for M.L.B. The record discloses that, in the tightly circumscribed category of parental status termination cases, appeals are few, and not likely to impose an undue burden on the State. Moreover, it would be anomalous to recognize a right to a transcript needed to appeal a misdemeanor conviction—though trial counsel may be flatly denied such a defendant—but hold at the same time that a transcript need not be prepared for M.L.B.—though were her defense sufficiently complex, state-paid counsel, as Lassiter instructs, would be designated for her. While the Court does not question the general rule, stated in Ortwein, 410 U.S. at 660, that fee requirements ordinarily are examined only for rationality, the Court's cases solidly establish two exceptions to that rule. The basic right to participate in political processes as voters and candidates cannot be limited to those who can pay for a license. See, e.g., Harper v. Virginia Bd. of Elections, 383 U.S. 663. Nor may access to judicial processes in cases criminal or "quasi-criminal" in nature, Mayer, 404 U.S. at 196, turn on ability to pay. The Court places decrees forever terminating parental rights in the category of cases in which the State may not "bolt the door to equal justice." Griffin, 351 U.S. at  24 (Frankfurter, J., concurring in judgment). Pp. ___.</w:t>
      </w:r>
    </w:p>
    <w:p w:rsidR="00A31137" w:rsidRPr="00A31137" w:rsidRDefault="00A31137" w:rsidP="00A31137">
      <w:r w:rsidRPr="00A31137">
        <w:t>1996, M.L.B. v. S.L.J., No. 95-853</w:t>
      </w:r>
    </w:p>
    <w:p w:rsidR="00A31137" w:rsidRPr="00A31137" w:rsidRDefault="00A31137" w:rsidP="00A31137">
      <w:r w:rsidRPr="00A31137">
        <w:t>(e) Contrary to respondents' contention, cases in which the Court has held that government need not provide funds so that people can exercise even fundamental rights, see, e.g., Lyng v. Automobile Workers, 485 U.S. 360, 363, n. 2, 370-374, are inapposite here. Complainants in those cases sought state aid to subsidize their privately initiated action or to alleviate the consequences of differences in economic circumstances that existed apart from state action. M.L.B.'s complaint is of a different order. She is endeavoring to defend against the State's destruction of her family bonds, and to resist the brand associated with a parental unfitness adjudication. Like a defendant resisting criminal conviction, she seeks to be spared from the State's devastatingly adverse action. That is the very reason this Court has paired her case with Mayer, not with Ortwein or Kras. Also rejected is respondents' suggestion that Washington v. Davis, 426 U.S. 229,  242, effectively overruled the Griffin line of cases in 1976 by rejecting the notion</w:t>
      </w:r>
    </w:p>
    <w:p w:rsidR="00A31137" w:rsidRPr="00A31137" w:rsidRDefault="00A31137" w:rsidP="00A31137">
      <w:r w:rsidRPr="00A31137">
        <w:t>1996, M.L.B. v. S.L.J., No. 95-853</w:t>
      </w:r>
    </w:p>
    <w:p w:rsidR="00A31137" w:rsidRPr="00A31137" w:rsidRDefault="00A31137" w:rsidP="00A31137">
      <w:r w:rsidRPr="00A31137">
        <w:t>that a law, neutral on its face and serving ends otherwise within the power of government to pursue, is invalid under the Equal Protection Clause simply because it may affect a greater proportion of one race than of another.</w:t>
      </w:r>
    </w:p>
    <w:p w:rsidR="00A31137" w:rsidRPr="00A31137" w:rsidRDefault="00A31137" w:rsidP="00A31137">
      <w:r w:rsidRPr="00A31137">
        <w:t>1996, M.L.B. v. S.L.J., No. 95-853</w:t>
      </w:r>
    </w:p>
    <w:p w:rsidR="00A31137" w:rsidRPr="00A31137" w:rsidRDefault="00A31137" w:rsidP="00A31137">
      <w:r w:rsidRPr="00A31137">
        <w:t>That this Court has not so conceived the meaning and effect of Washington v. Davis is demonstrated by Bearden, 461 U.S. at 664-665, in which the Court adhered in 1983 to "Griffin's principle of 'equal justice.'" The Court recognized in Griffin that "a law nondiscriminatory on its face may be grossly discriminatory in operation," 351 U.S. at  17, n. 11, and explained in Williams v. Illinois, 399 U.S. 235, 242, that an Illinois statute it found unconstitutional in that case "in operative effect expose[d] only indigents to the risk of imprisonment beyond the statutory maximum." Like the sanction in Williams, the Mississippi prescription here at issue is not merely disproportionate in impact, but wholly contingent on one's ability to pay, thereby "visit[ing] different consequences on two categories of persons." Ibid. A failure rigidly to restrict Griffin to cases typed "criminal" will not result in the opening of judicial floodgates, as respondents urge. This Court has repeatedly distinguished parental status termination decrees from mine run civil actions on the basis of the unique deprivation termination decrees work: permanent destruction of all legal recognition of the parental relationship. Lassiter and Santosky have not served as precedent in other areas, and the Court is satisfied that the label "civil" should not entice it to leave undisturbed the Mississippi courts' disposition of this case. Cf. In re Gault, 387 U.S. at  50. Pp. ___.</w:t>
      </w:r>
    </w:p>
    <w:p w:rsidR="00A31137" w:rsidRPr="00A31137" w:rsidRDefault="00A31137" w:rsidP="00A31137">
      <w:r w:rsidRPr="00A31137">
        <w:t>1996, M.L.B. v. S.L.J., No. 95-853</w:t>
      </w:r>
    </w:p>
    <w:p w:rsidR="00A31137" w:rsidRPr="00A31137" w:rsidRDefault="00A31137" w:rsidP="00A31137">
      <w:r w:rsidRPr="00A31137">
        <w:t>(f) Thus, Mississippi may not withhold from M.L.B. "a 'record of sufficient completeness' to permit proper [appellate] consideration of [her] claims." Mayer, supra, at 198. P. ___.</w:t>
      </w:r>
    </w:p>
    <w:p w:rsidR="00A31137" w:rsidRPr="00A31137" w:rsidRDefault="00A31137" w:rsidP="00A31137">
      <w:r w:rsidRPr="00A31137">
        <w:t>1996, M.L.B. v. S.L.J., No. 95-853</w:t>
      </w:r>
    </w:p>
    <w:p w:rsidR="00A31137" w:rsidRPr="00A31137" w:rsidRDefault="00A31137" w:rsidP="00A31137">
      <w:r w:rsidRPr="00A31137">
        <w:t>Reversed and remanded.</w:t>
      </w:r>
    </w:p>
    <w:p w:rsidR="00A31137" w:rsidRPr="00A31137" w:rsidRDefault="00A31137" w:rsidP="00A31137">
      <w:r w:rsidRPr="00A31137">
        <w:t>1996, M.L.B. v. S.L.J., No. 95-853</w:t>
      </w:r>
    </w:p>
    <w:p w:rsidR="00A31137" w:rsidRPr="00A31137" w:rsidRDefault="00A31137" w:rsidP="00A31137">
      <w:r w:rsidRPr="00A31137">
        <w:t>GINSBURG, J., delivered the opinion of the Court, in which STEVENS, O'CONNOR, SOUTER, and BREYER, JJ., joined. KENNEDY, J., filed an opinion concurring in the judgment. REHNQUIST, C.J., filed a dissenting opinion. THOMAS, J., filed a dissenting opinion, in which SCALIA, J., joined, and in which REHNQUIST, C.J., joined, except as to Part II.</w:t>
      </w:r>
    </w:p>
    <w:p w:rsidR="00A31137" w:rsidRPr="00A31137" w:rsidRDefault="00A31137" w:rsidP="00A31137">
      <w:r w:rsidRPr="00A31137">
        <w:t>GINSBURG, J., lead opinion</w:t>
      </w:r>
    </w:p>
    <w:p w:rsidR="00A31137" w:rsidRPr="00A31137" w:rsidRDefault="00A31137" w:rsidP="00A31137">
      <w:r w:rsidRPr="00A31137">
        <w:t>1996, M.L.B. v. S.L.J., No. 95-853</w:t>
      </w:r>
    </w:p>
    <w:p w:rsidR="00A31137" w:rsidRPr="00A31137" w:rsidRDefault="00A31137" w:rsidP="00A31137">
      <w:r w:rsidRPr="00A31137">
        <w:t>JUSTICE GINSBURG delivered the opinion of the Court.</w:t>
      </w:r>
    </w:p>
    <w:p w:rsidR="00A31137" w:rsidRPr="00A31137" w:rsidRDefault="00A31137" w:rsidP="00A31137">
      <w:r w:rsidRPr="00A31137">
        <w:t>1996, M.L.B. v. S.L.J., No. 95-853</w:t>
      </w:r>
    </w:p>
    <w:p w:rsidR="00A31137" w:rsidRPr="00A31137" w:rsidRDefault="00A31137" w:rsidP="00A31137">
      <w:r w:rsidRPr="00A31137">
        <w:t>By order of a Mississippi Chancery Court, petitioner M.L.B.'s parental rights to her two minor children were forever terminated. M.L.B. sought to appeal from the termination decree, but Mississippi required that she pay in advance record preparation fees estimated at $2,352.36. Because M.L.B. lacked funds to pay the fees, her appeal was dismissed.</w:t>
      </w:r>
    </w:p>
    <w:p w:rsidR="00A31137" w:rsidRPr="00A31137" w:rsidRDefault="00A31137" w:rsidP="00A31137">
      <w:r w:rsidRPr="00A31137">
        <w:t>1996, M.L.B. v. S.L.J., No. 95-853</w:t>
      </w:r>
    </w:p>
    <w:p w:rsidR="00A31137" w:rsidRPr="00A31137" w:rsidRDefault="00A31137" w:rsidP="00A31137">
      <w:r w:rsidRPr="00A31137">
        <w:t>Urging that the size of her pocketbook should not be dispositive when "an interest far more precious than any property right" is at stake, Santosky v. Kramer, 455 U.S. 745, 758-759 (1982), M.L.B. tenders this question, which we agreed to hear and decide: may a State, consistent with the Due Process and Equal Protection Clauses of the Fourteenth Amendment, condition appeals from trial court decrees terminating parental rights on the affected parent's ability to pay record preparation fees? We hold that, just as a State may not block an indigent petty offender's access to an appeal afforded others, see Mayer v. Chicago, 404 U.S. 189, 195-196 (1971), so Mississippi may not deny M.L.B., because of her poverty, appellate review of the sufficiency of the evidence on which the trial court found her unfit to remain a parent.</w:t>
      </w:r>
    </w:p>
    <w:p w:rsidR="00A31137" w:rsidRPr="00A31137" w:rsidRDefault="00A31137" w:rsidP="00A31137">
      <w:r w:rsidRPr="00A31137">
        <w:t>I</w:t>
      </w:r>
    </w:p>
    <w:p w:rsidR="00A31137" w:rsidRPr="00A31137" w:rsidRDefault="00A31137" w:rsidP="00A31137">
      <w:r w:rsidRPr="00A31137">
        <w:t>1996, M.L.B. v. S.L.J., No. 95-853</w:t>
      </w:r>
    </w:p>
    <w:p w:rsidR="00A31137" w:rsidRPr="00A31137" w:rsidRDefault="00A31137" w:rsidP="00A31137">
      <w:r w:rsidRPr="00A31137">
        <w:t>Petitioner M.L.B. and respondent S.L.J. are, respectively, the biological mother and father of two children, a boy born in April, 1985, and a girl born in February, 1987. In June, 1992, after a marriage that endured nearly eight years, M.L.B. and S.L.J. were divorced. The children remained in their father's custody, as M.L.B. and S.L.J. had agreed at the time of the divorce.</w:t>
      </w:r>
    </w:p>
    <w:p w:rsidR="00A31137" w:rsidRPr="00A31137" w:rsidRDefault="00A31137" w:rsidP="00A31137">
      <w:r w:rsidRPr="00A31137">
        <w:t>1996, M.L.B. v. S.L.J., No. 95-853</w:t>
      </w:r>
    </w:p>
    <w:p w:rsidR="00A31137" w:rsidRPr="00A31137" w:rsidRDefault="00A31137" w:rsidP="00A31137">
      <w:r w:rsidRPr="00A31137">
        <w:t>S.L.J. married respondent J.P.J. in September, 1992. In November of the following year, S.L.J. and J.P.J. filed suit in Chancery Court in Mississippi, seeking to terminate the parental rights of M.L.B. and to gain court approval for adoption of the children by their stepmother, J.P.J. The complaint alleged that M.L.B. had not maintained reasonable visitation, and was in arrears on child support payments. M.L.B. counterclaimed, seeking primary custody of both children and contending that S.L.J. had not permitted her reasonable visitation, despite a provision in the divorce decree that he do so.</w:t>
      </w:r>
    </w:p>
    <w:p w:rsidR="00A31137" w:rsidRPr="00A31137" w:rsidRDefault="00A31137" w:rsidP="00A31137">
      <w:r w:rsidRPr="00A31137">
        <w:t>1996, M.L.B. v. S.L.J., No. 95-853</w:t>
      </w:r>
    </w:p>
    <w:p w:rsidR="00A31137" w:rsidRPr="00A31137" w:rsidRDefault="00A31137" w:rsidP="00A31137">
      <w:r w:rsidRPr="00A31137">
        <w:t>After taking evidence on August 18, November 2, and December 12, 1994, the Chancellor, in a decree filed December 14, 1994, terminated all parental rights of the natural mother, approved the adoption, and ordered that J.P.J., the adopting parent, be shown as the mother of the children on their birth certificates. Twice reciting a segment of the governing Mississippi statute, Miss.Code Ann. § 93-15-103(3)(e) (1994), the Chancellor declared that there had been a "substantial erosion of the relationship between the natural mother, [M.L.B.], and the minor children," which had been caused "at least in part by [M.L.B.'s] serious neglect, abuse, prolonged and unreasonable absence or unreasonable failure to visit or communicate with her minor children." App. to Pet. for Cert. 9, 10. 1</w:t>
      </w:r>
    </w:p>
    <w:p w:rsidR="00A31137" w:rsidRPr="00A31137" w:rsidRDefault="00A31137" w:rsidP="00A31137">
      <w:r w:rsidRPr="00A31137">
        <w:t>1996, M.L.B. v. S.L.J., No. 95-853</w:t>
      </w:r>
    </w:p>
    <w:p w:rsidR="00A31137" w:rsidRPr="00A31137" w:rsidRDefault="00A31137" w:rsidP="00A31137">
      <w:r w:rsidRPr="00A31137">
        <w:t>The Chancellor stated, without elaboration, that the natural father and his second wife had met their burden of proof by "clear and convincing evidence." Id. at 10. Nothing in the Chancellor's order describes the evidence, however, or otherwise reveals precisely why M.L.B. was decreed, forevermore, a stranger to her children.</w:t>
      </w:r>
    </w:p>
    <w:p w:rsidR="00A31137" w:rsidRPr="00A31137" w:rsidRDefault="00A31137" w:rsidP="00A31137">
      <w:r w:rsidRPr="00A31137">
        <w:t>1996, M.L.B. v. S.L.J., No. 95-853</w:t>
      </w:r>
    </w:p>
    <w:p w:rsidR="00A31137" w:rsidRPr="00A31137" w:rsidRDefault="00A31137" w:rsidP="00A31137">
      <w:r w:rsidRPr="00A31137">
        <w:t>In January, 1995, M.L.B. filed a timely appeal and paid the $100 filing fee. The Clerk of the Chancery Court, several days later, estimated the costs for preparing and transmitting the record: $1,900 for the transcript (950 pages at $2 per page); $438 for other documents in the record (219 pages at $2 per page); $4.36 for binders; and $10 for mailing. Id. at 15.</w:t>
      </w:r>
    </w:p>
    <w:p w:rsidR="00A31137" w:rsidRPr="00A31137" w:rsidRDefault="00A31137" w:rsidP="00A31137">
      <w:r w:rsidRPr="00A31137">
        <w:t>1996, M.L.B. v. S.L.J., No. 95-853</w:t>
      </w:r>
    </w:p>
    <w:p w:rsidR="00A31137" w:rsidRPr="00A31137" w:rsidRDefault="00A31137" w:rsidP="00A31137">
      <w:r w:rsidRPr="00A31137">
        <w:t>Mississippi grants civil litigants a right to appeal, but conditions that right on prepayment of costs. Miss.Code Ann. §§ 11-51-3, 11-51-29 (Supp. 1996). Relevant portions of a transcript must be ordered, and its preparation costs advanced by the appellant, if the appellant "intends to urge on appeal," as M.L.B. did, "that a finding or conclusion is unsupported by the evidence or is contrary to the evidence." Miss.Rule of App. Proc. 10(b)(2) (1995); see also Miss.Code Ann. § 11-51-29 (Supp. 1996).</w:t>
      </w:r>
    </w:p>
    <w:p w:rsidR="00A31137" w:rsidRPr="00A31137" w:rsidRDefault="00A31137" w:rsidP="00A31137">
      <w:r w:rsidRPr="00A31137">
        <w:t>1996, M.L.B. v. S.L.J., No. 95-853</w:t>
      </w:r>
    </w:p>
    <w:p w:rsidR="00A31137" w:rsidRPr="00A31137" w:rsidRDefault="00A31137" w:rsidP="00A31137">
      <w:r w:rsidRPr="00A31137">
        <w:t>Unable to pay $2,352.36, M.L.B. sought leave to appeal in forma pauperis. The Supreme Court of Mississippi denied her application in August, 1995. Under its precedent, the court said, "[t]he right to proceed in forma pauperis in civil cases exists only at the trial level." App. to Pet. for Cert. 3. 2</w:t>
      </w:r>
    </w:p>
    <w:p w:rsidR="00A31137" w:rsidRPr="00A31137" w:rsidRDefault="00A31137" w:rsidP="00A31137">
      <w:r w:rsidRPr="00A31137">
        <w:t>1996, M.L.B. v. S.L.J., No. 95-853</w:t>
      </w:r>
    </w:p>
    <w:p w:rsidR="00A31137" w:rsidRPr="00A31137" w:rsidRDefault="00A31137" w:rsidP="00A31137">
      <w:r w:rsidRPr="00A31137">
        <w:t>M.L.B. had urged in Chancery Court and in the Supreme Court of Mississippi, and now urges in this Court, that,</w:t>
      </w:r>
    </w:p>
    <w:p w:rsidR="00A31137" w:rsidRPr="00A31137" w:rsidRDefault="00A31137" w:rsidP="00A31137">
      <w:r w:rsidRPr="00A31137">
        <w:t>1996, M.L.B. v. S.L.J., No. 95-853</w:t>
      </w:r>
    </w:p>
    <w:p w:rsidR="00A31137" w:rsidRPr="00A31137" w:rsidRDefault="00A31137" w:rsidP="00A31137">
      <w:r w:rsidRPr="00A31137">
        <w:t>where the State's judicial processes are invoked to secure so severe an alteration of a litigant's fundamental rights—the termination of the parental relationship with one's natural child—basic notions of fairness [and] of equal protection under the law,…guaranteed by [the Mississippi and Federal Constitutions], require that a person be afforded the right of appellate review though one is unable to pay the costs of such review in advance.</w:t>
      </w:r>
    </w:p>
    <w:p w:rsidR="00A31137" w:rsidRPr="00A31137" w:rsidRDefault="00A31137" w:rsidP="00A31137">
      <w:r w:rsidRPr="00A31137">
        <w:t>1996, M.L.B. v. S.L.J., No. 95-853</w:t>
      </w:r>
    </w:p>
    <w:p w:rsidR="00A31137" w:rsidRPr="00A31137" w:rsidRDefault="00A31137" w:rsidP="00A31137">
      <w:r w:rsidRPr="00A31137">
        <w:t>Id. at 18. 3</w:t>
      </w:r>
    </w:p>
    <w:p w:rsidR="00A31137" w:rsidRPr="00A31137" w:rsidRDefault="00A31137" w:rsidP="00A31137">
      <w:r w:rsidRPr="00A31137">
        <w:t>II</w:t>
      </w:r>
    </w:p>
    <w:p w:rsidR="00A31137" w:rsidRPr="00A31137" w:rsidRDefault="00A31137" w:rsidP="00A31137">
      <w:r w:rsidRPr="00A31137">
        <w:t>1996, M.L.B. v. S.L.J., No. 95-853</w:t>
      </w:r>
    </w:p>
    <w:p w:rsidR="00A31137" w:rsidRPr="00A31137" w:rsidRDefault="00A31137" w:rsidP="00A31137">
      <w:r w:rsidRPr="00A31137">
        <w:t>Courts have confronted, in diverse settings, the "age-old problem" of "[p]roviding equal justice for poor and rich, weak and powerful alike." Griffin v. Illinois, 351 U.S. 12,  16 (1956). Concerning access to appeal in general, and transcripts needed to pursue appeals in particular, Griffin is the foundation case.</w:t>
      </w:r>
    </w:p>
    <w:p w:rsidR="00A31137" w:rsidRPr="00A31137" w:rsidRDefault="00A31137" w:rsidP="00A31137">
      <w:r w:rsidRPr="00A31137">
        <w:t>1996, M.L.B. v. S.L.J., No. 95-853</w:t>
      </w:r>
    </w:p>
    <w:p w:rsidR="00A31137" w:rsidRPr="00A31137" w:rsidRDefault="00A31137" w:rsidP="00A31137">
      <w:r w:rsidRPr="00A31137">
        <w:t>Griffin involved an Illinois rule that effectively conditioned thoroughgoing appeals from criminal convictions on the defendant's procurement of a transcript of trial proceedings. See id. at 13-14, and nn. 2, 3 (noting, inter alia, that "mandatory record," which an indigent defendant could obtain free of charge, did not afford the defendant an opportunity to seek review of trial errors). Indigent defendants, other than those sentenced to death, were not excepted from the rule, so, in most cases, defendants without means to pay for a transcript had no access to appellate review at all. Although the Federal Constitution guarantees no right to appellate review, id. at  18, once a State affords that right, Griffin held, the State may not "bolt the door to equal justice," id. at  24 (Frankfurter, J., concurring in judgment).</w:t>
      </w:r>
    </w:p>
    <w:p w:rsidR="00A31137" w:rsidRPr="00A31137" w:rsidRDefault="00A31137" w:rsidP="00A31137">
      <w:r w:rsidRPr="00A31137">
        <w:t>1996, M.L.B. v. S.L.J., No. 95-853</w:t>
      </w:r>
    </w:p>
    <w:p w:rsidR="00A31137" w:rsidRPr="00A31137" w:rsidRDefault="00A31137" w:rsidP="00A31137">
      <w:r w:rsidRPr="00A31137">
        <w:t>The plurality in Griffin recognized "the importance of appellate review to a correct adjudication of guilt or innocence." Id. at  18. "[T]o deny adequate review to the poor," the plurality observed, "means that many of them may lose their life, liberty or property because of unjust convictions which appellate courts would set aside." Id. at  19. Judging the Illinois rule inconsonant with the Fourteenth Amendment, the Griffin plurality drew support from the Due Process and Equal Protection Clauses. Id. at  13,  18.</w:t>
      </w:r>
    </w:p>
    <w:p w:rsidR="00A31137" w:rsidRPr="00A31137" w:rsidRDefault="00A31137" w:rsidP="00A31137">
      <w:r w:rsidRPr="00A31137">
        <w:t>1996, M.L.B. v. S.L.J., No. 95-853</w:t>
      </w:r>
    </w:p>
    <w:p w:rsidR="00A31137" w:rsidRPr="00A31137" w:rsidRDefault="00A31137" w:rsidP="00A31137">
      <w:r w:rsidRPr="00A31137">
        <w:t>Justice Frankfurter, concurring in the judgment in Griffin, emphasized and explained the decision's equal protection underpinning:</w:t>
      </w:r>
    </w:p>
    <w:p w:rsidR="00A31137" w:rsidRPr="00A31137" w:rsidRDefault="00A31137" w:rsidP="00A31137">
      <w:r w:rsidRPr="00A31137">
        <w:t>1996, M.L.B. v. S.L.J., No. 95-853</w:t>
      </w:r>
    </w:p>
    <w:p w:rsidR="00A31137" w:rsidRPr="00A31137" w:rsidRDefault="00A31137" w:rsidP="00A31137">
      <w:r w:rsidRPr="00A31137">
        <w:t>Of course, a State need not equalize economic conditions…. But when a State deems it wise and just that convictions be susceptible to review by an appellate court, it cannot, by force of its exactions, draw a line which precludes convicted indigent persons, forsooth erroneously convicted, from securing such a review….</w:t>
      </w:r>
    </w:p>
    <w:p w:rsidR="00A31137" w:rsidRPr="00A31137" w:rsidRDefault="00A31137" w:rsidP="00A31137">
      <w:r w:rsidRPr="00A31137">
        <w:t>1996, M.L.B. v. S.L.J., No. 95-853</w:t>
      </w:r>
    </w:p>
    <w:p w:rsidR="00A31137" w:rsidRPr="00A31137" w:rsidRDefault="00A31137" w:rsidP="00A31137">
      <w:r w:rsidRPr="00A31137">
        <w:t>Id. at  23. See also Ross v. Moffitt, 417 U.S. 600, 607 (1974) (Griffin and succeeding decisions "stand for the proposition that a State cannot arbitrarily cut off appeal rights for indigents while leaving open avenues of appeal for more affluent persons."). Summarizing the Griffin line of decisions regarding an indigent defendant's access to appellate review of a conviction, 4 we said in Rinaldi v. Yeager, 384 U.S. 305, 310 (1966):</w:t>
      </w:r>
    </w:p>
    <w:p w:rsidR="00A31137" w:rsidRPr="00A31137" w:rsidRDefault="00A31137" w:rsidP="00A31137">
      <w:r w:rsidRPr="00A31137">
        <w:t>1996, M.L.B. v. S.L.J., No. 95-853</w:t>
      </w:r>
    </w:p>
    <w:p w:rsidR="00A31137" w:rsidRPr="00A31137" w:rsidRDefault="00A31137" w:rsidP="00A31137">
      <w:r w:rsidRPr="00A31137">
        <w:t>This Court has never held that the States are required to establish avenues of appellate review, but it is now fundamental that, once established, these avenues must be kept free of unreasoned distinctions that can only impede open and equal access to the courts.</w:t>
      </w:r>
    </w:p>
    <w:p w:rsidR="00A31137" w:rsidRPr="00A31137" w:rsidRDefault="00A31137" w:rsidP="00A31137">
      <w:r w:rsidRPr="00A31137">
        <w:t>1996, M.L.B. v. S.L.J., No. 95-853</w:t>
      </w:r>
    </w:p>
    <w:p w:rsidR="00A31137" w:rsidRPr="00A31137" w:rsidRDefault="00A31137" w:rsidP="00A31137">
      <w:r w:rsidRPr="00A31137">
        <w:t>Of prime relevance to the question presented by M.L.B.'s petition, Griffin's principle has not been confined to cases in which imprisonment is at stake. The key case is Mayer v. Chicago, 404 U.S. 189 (1971). Mayer involved an indigent defendant convicted on nonfelony charges of violating two city ordinances. Fined $250 for each offense, the defendant petitioned for a transcript to support his appeal. He alleged prosecutorial misconduct and insufficient evidence to convict. The State provided free transcripts for indigent appellants in felony cases only. We declined to limit Griffin to cases in which the defendant faced incarceration. "The invidiousness of the discrimination that exists when criminal procedures are made available only to those who can pay," the Court said in Mayer, "is not erased by any differences in the sentences that may be imposed." 404 U.S. at 197. Petty offenses could entail serious collateral consequences, the Mayer Court noted. Ibid. The Griffin principle, Mayer underscored, "is a flat prohibition," 404 U.S. at 196, against "making access to appellate processes from even [the State's] most inferior courts depend upon the [convicted] defendant's ability to pay," id. at 197. An impecunious party, the Court ruled, whether found guilty of a felony or conduct only "quasi-criminal in nature," id. at 196, "cannot be denied a record of sufficient completeness to permit proper [appellate] consideration of his claims," id. at 198 (internal quotation marks omitted). 5</w:t>
      </w:r>
    </w:p>
    <w:p w:rsidR="00A31137" w:rsidRPr="00A31137" w:rsidRDefault="00A31137" w:rsidP="00A31137">
      <w:r w:rsidRPr="00A31137">
        <w:t>1996, M.L.B. v. S.L.J., No. 95-853</w:t>
      </w:r>
    </w:p>
    <w:p w:rsidR="00A31137" w:rsidRPr="00A31137" w:rsidRDefault="00A31137" w:rsidP="00A31137">
      <w:r w:rsidRPr="00A31137">
        <w:t>In contrast to the "flat prohibition" of "bolted doors" that the Griffin line of cases securely established, the right to counsel at state expense, as delineated in our decisions, is less encompassing. A State must provide trial counsel for an indigent defendant charged with a felony, Gideon v. Wainwright, 372 U.S. 335,  339 (1963), but that right does not extend to nonfelony trials if no term of imprisonment is actually imposed, Scott v. Illinois, 440 U.S. 367, 373-374 (1979). A State's obligation to provide appellate counsel to poor defendants faced with incarceration applies to appeals of right. Douglas v. California, 372 U.S. 353,  357 (1963). In Ross v. Moffitt, however, we held that neither the Due Process Clause nor the Equal Protection Clause requires a State to provide counsel at state expense to an indigent prisoner pursuing a discretionary appeal in the state system or petitioning for review in this Court. 417 U.S. at 610, 612, 616-618.</w:t>
      </w:r>
    </w:p>
    <w:p w:rsidR="00A31137" w:rsidRPr="00A31137" w:rsidRDefault="00A31137" w:rsidP="00A31137">
      <w:r w:rsidRPr="00A31137">
        <w:t>III</w:t>
      </w:r>
    </w:p>
    <w:p w:rsidR="00A31137" w:rsidRPr="00A31137" w:rsidRDefault="00A31137" w:rsidP="00A31137">
      <w:r w:rsidRPr="00A31137">
        <w:t>1996, M.L.B. v. S.L.J., No. 95-853</w:t>
      </w:r>
    </w:p>
    <w:p w:rsidR="00A31137" w:rsidRPr="00A31137" w:rsidRDefault="00A31137" w:rsidP="00A31137">
      <w:r w:rsidRPr="00A31137">
        <w:t>We have also recognized a narrow category of civil cases in which the State must provide access to its judicial processes without regard to a party's ability to pay court fees. In Boddie v. Connecticut, 401 U.S. 371 (1971), we held that the State could not deny a divorce to a married couple based on their inability to pay approximately $60 in court costs. Crucial to our decision in Boddie was the fundamental interest at stake.</w:t>
      </w:r>
    </w:p>
    <w:p w:rsidR="00A31137" w:rsidRPr="00A31137" w:rsidRDefault="00A31137" w:rsidP="00A31137">
      <w:r w:rsidRPr="00A31137">
        <w:t>1996, M.L.B. v. S.L.J., No. 95-853</w:t>
      </w:r>
    </w:p>
    <w:p w:rsidR="00A31137" w:rsidRPr="00A31137" w:rsidRDefault="00A31137" w:rsidP="00A31137">
      <w:r w:rsidRPr="00A31137">
        <w:t>[G]iven the basic position of the marriage relationship in this society's hierarchy of values and the concomitant state monopolization of the means for legally dissolving this relationship,</w:t>
      </w:r>
    </w:p>
    <w:p w:rsidR="00A31137" w:rsidRPr="00A31137" w:rsidRDefault="00A31137" w:rsidP="00A31137">
      <w:r w:rsidRPr="00A31137">
        <w:t>1996, M.L.B. v. S.L.J., No. 95-853</w:t>
      </w:r>
    </w:p>
    <w:p w:rsidR="00A31137" w:rsidRPr="00A31137" w:rsidRDefault="00A31137" w:rsidP="00A31137">
      <w:r w:rsidRPr="00A31137">
        <w:t>we said, due process</w:t>
      </w:r>
    </w:p>
    <w:p w:rsidR="00A31137" w:rsidRPr="00A31137" w:rsidRDefault="00A31137" w:rsidP="00A31137">
      <w:r w:rsidRPr="00A31137">
        <w:t>1996, M.L.B. v. S.L.J., No. 95-853</w:t>
      </w:r>
    </w:p>
    <w:p w:rsidR="00A31137" w:rsidRPr="00A31137" w:rsidRDefault="00A31137" w:rsidP="00A31137">
      <w:r w:rsidRPr="00A31137">
        <w:t>prohibit[s] a State from denying, solely because of inability to pay, access to its courts to individuals who seek judicial dissolution of their marriages.</w:t>
      </w:r>
    </w:p>
    <w:p w:rsidR="00A31137" w:rsidRPr="00A31137" w:rsidRDefault="00A31137" w:rsidP="00A31137">
      <w:r w:rsidRPr="00A31137">
        <w:t>1996, M.L.B. v. S.L.J., No. 95-853</w:t>
      </w:r>
    </w:p>
    <w:p w:rsidR="00A31137" w:rsidRPr="00A31137" w:rsidRDefault="00A31137" w:rsidP="00A31137">
      <w:r w:rsidRPr="00A31137">
        <w:t>Id. at  374; see also Little v. Streater, 452 U.S. 1, 13-17 (1981) (State must pay for blood grouping tests sought by an indigent defendant to enable him to contest a paternity suit).</w:t>
      </w:r>
    </w:p>
    <w:p w:rsidR="00A31137" w:rsidRPr="00A31137" w:rsidRDefault="00A31137" w:rsidP="00A31137">
      <w:r w:rsidRPr="00A31137">
        <w:t>1996, M.L.B. v. S.L.J., No. 95-853</w:t>
      </w:r>
    </w:p>
    <w:p w:rsidR="00A31137" w:rsidRPr="00A31137" w:rsidRDefault="00A31137" w:rsidP="00A31137">
      <w:r w:rsidRPr="00A31137">
        <w:t>Soon after Boddie, in Lindsey v. Normet, 405 U.S. 56 (1972), the Court confronted a double-bond requirement imposed by Oregon law only on tenants seeking to appeal adverse decisions in eviction actions. We referred first to precedent recognizing that,</w:t>
      </w:r>
    </w:p>
    <w:p w:rsidR="00A31137" w:rsidRPr="00A31137" w:rsidRDefault="00A31137" w:rsidP="00A31137">
      <w:r w:rsidRPr="00A31137">
        <w:t>1996, M.L.B. v. S.L.J., No. 95-853</w:t>
      </w:r>
    </w:p>
    <w:p w:rsidR="00A31137" w:rsidRPr="00A31137" w:rsidRDefault="00A31137" w:rsidP="00A31137">
      <w:r w:rsidRPr="00A31137">
        <w:t>if a full and fair trial on the merits is provided, the Due Process Clause of the Fourteenth Amendment does not require a State to provide appellate review.</w:t>
      </w:r>
    </w:p>
    <w:p w:rsidR="00A31137" w:rsidRPr="00A31137" w:rsidRDefault="00A31137" w:rsidP="00A31137">
      <w:r w:rsidRPr="00A31137">
        <w:t>1996, M.L.B. v. S.L.J., No. 95-853</w:t>
      </w:r>
    </w:p>
    <w:p w:rsidR="00A31137" w:rsidRPr="00A31137" w:rsidRDefault="00A31137" w:rsidP="00A31137">
      <w:r w:rsidRPr="00A31137">
        <w:t>Id. at 77. We next stated, however, that,</w:t>
      </w:r>
    </w:p>
    <w:p w:rsidR="00A31137" w:rsidRPr="00A31137" w:rsidRDefault="00A31137" w:rsidP="00A31137">
      <w:r w:rsidRPr="00A31137">
        <w:t>1996, M.L.B. v. S.L.J., No. 95-853</w:t>
      </w:r>
    </w:p>
    <w:p w:rsidR="00A31137" w:rsidRPr="00A31137" w:rsidRDefault="00A31137" w:rsidP="00A31137">
      <w:r w:rsidRPr="00A31137">
        <w:t>[w]hen an appeal is afforded,…it cannot be granted to some litigants and capriciously or arbitrarily denied to others without violating the Equal Protection Clause.</w:t>
      </w:r>
    </w:p>
    <w:p w:rsidR="00A31137" w:rsidRPr="00A31137" w:rsidRDefault="00A31137" w:rsidP="00A31137">
      <w:r w:rsidRPr="00A31137">
        <w:t>1996, M.L.B. v. S.L.J., No. 95-853</w:t>
      </w:r>
    </w:p>
    <w:p w:rsidR="00A31137" w:rsidRPr="00A31137" w:rsidRDefault="00A31137" w:rsidP="00A31137">
      <w:r w:rsidRPr="00A31137">
        <w:t>Ibid. Oregon's double-bond requirement failed equal protection measurement, we concluded, because it raised a substantial barrier to appeal for a particular class of litigants—tenants facing eviction—a barrier "faced by no other civil litigant in Oregon." Id. at 79. The Court pointed out in Lindsey that the classification there at issue disadvantaged nonindigent, as well as indigent, appellants, ibid.; the Lindsey decision, therefore, does not guide our inquiry here.</w:t>
      </w:r>
    </w:p>
    <w:p w:rsidR="00A31137" w:rsidRPr="00A31137" w:rsidRDefault="00A31137" w:rsidP="00A31137">
      <w:r w:rsidRPr="00A31137">
        <w:t>1996, M.L.B. v. S.L.J., No. 95-853</w:t>
      </w:r>
    </w:p>
    <w:p w:rsidR="00A31137" w:rsidRPr="00A31137" w:rsidRDefault="00A31137" w:rsidP="00A31137">
      <w:r w:rsidRPr="00A31137">
        <w:t>The following year, in United States v. Kras, 409 U.S. 434 (1973), the Court clarified that a constitutional requirement to waive court fees in civil cases is the exception, not the general rule. Kras concerned fees, totaling $50, required to secure a discharge in bankruptcy. Id. at  436. The Court recalled in Kras that, "[o]n many occasions, we have recognized the fundamental importance…under our Constitution" of "the associational interests that surround the establishment and dissolution of th[e] [marital] relationship." Id. at  444. 6 But bankruptcy discharge entails no "fundamental interest," we said. Id. at  445. Although "obtaining [a] desired new start in life [is] important," that interest, the Court explained, "does not rise to the same constitutional level" as the interest in establishing or dissolving a marriage. Ibid. 7 Nor is resort to court the sole path to securing debt forgiveness, we stressed; in contrast, termination of a marriage, we reiterated, requires access to the State's judicial machinery. Id. at 445-446; see Boddie, 401 U.S. at  376.</w:t>
      </w:r>
    </w:p>
    <w:p w:rsidR="00A31137" w:rsidRPr="00A31137" w:rsidRDefault="00A31137" w:rsidP="00A31137">
      <w:r w:rsidRPr="00A31137">
        <w:t>1996, M.L.B. v. S.L.J., No. 95-853</w:t>
      </w:r>
    </w:p>
    <w:p w:rsidR="00A31137" w:rsidRPr="00A31137" w:rsidRDefault="00A31137" w:rsidP="00A31137">
      <w:r w:rsidRPr="00A31137">
        <w:t>In Ortwein v. Schwab, 410 U.S. 656 (1973) (per curiam), the Court adhered to the line drawn in Kras. The appellants in Ortwein sought court review of agency determinations reducing their welfare benefits. Alleging poverty, they challenged, as applied to them, an Oregon statute requiring appellants in civil cases to pay a $25 fee. We summarily affirmed the Oregon Supreme Court's judgment rejecting appellants' challenge. As in Kras, the Court saw no "'fundamental interest…gained or lost depending on the availability' of the relief sought by [the complainants]." 410 U.S. at 659 (quoting Kras, 409 U.S. at  445). Absent a fundamental interest or classification attracting heightened scrutiny, we said, the applicable equal protection standard "is that of rational justification," a requirement we found satisfied by Oregon's need for revenue to offset the expenses of its court system. 410 U.S. at 660. We expressly rejected the Ortwein appellants' argument that a fee waiver was required for all civil appeals simply because the State chose to permit in forma pauperis filings in special classes of civil appeals, including appeals from terminations of parental rights. Id. at 661.</w:t>
      </w:r>
    </w:p>
    <w:p w:rsidR="00A31137" w:rsidRPr="00A31137" w:rsidRDefault="00A31137" w:rsidP="00A31137">
      <w:r w:rsidRPr="00A31137">
        <w:t>1996, M.L.B. v. S.L.J., No. 95-853</w:t>
      </w:r>
    </w:p>
    <w:p w:rsidR="00A31137" w:rsidRPr="00A31137" w:rsidRDefault="00A31137" w:rsidP="00A31137">
      <w:r w:rsidRPr="00A31137">
        <w:t>In sum, as Ortwein underscored, this Court has not extended Griffin to the broad array of civil cases. But, tellingly, the Court has consistently set apart from the mine run of cases those involving state controls or intrusions on family relationships. In that domain, to guard against undue official intrusion, the Court has examined closely and contextually the importance of the governmental interest advanced in defense of the intrusion. Cf. Moore v. East Cleveland, 431 U.S. 494 (1977).</w:t>
      </w:r>
    </w:p>
    <w:p w:rsidR="00A31137" w:rsidRPr="00A31137" w:rsidRDefault="00A31137" w:rsidP="00A31137">
      <w:r w:rsidRPr="00A31137">
        <w:t>IV</w:t>
      </w:r>
    </w:p>
    <w:p w:rsidR="00A31137" w:rsidRPr="00A31137" w:rsidRDefault="00A31137" w:rsidP="00A31137">
      <w:r w:rsidRPr="00A31137">
        <w:t>1996, M.L.B. v. S.L.J., No. 95-853</w:t>
      </w:r>
    </w:p>
    <w:p w:rsidR="00A31137" w:rsidRPr="00A31137" w:rsidRDefault="00A31137" w:rsidP="00A31137">
      <w:r w:rsidRPr="00A31137">
        <w:t>Choices about marriage, family life, and the upbringing of children are among associational rights this Court has ranked as "of basic importance in our society," Boddie, 401 U.S. at  376, rights sheltered by the Fourteenth Amendment against the State's unwarranted usurpation, disregard, or disrespect. See, for example, Turner v. Safley, 482 U.S. 78 (1987), Zablocki v. Redhail, 434 U.S. 374 (1978), and Loving v. Virginia, 388 U.S. 1 (1967) (marriage); Skinner v. Oklahoma ex rel. Williamson, 316 U.S. 535 (1942) (procreation); Pierce v. Society of Sisters, 268 U.S. 510 (1925), and Meyer v. Nebraska, 262 U.S. 390 (1923) (raising children). M.L.B.'s case, involving the State's authority to sever permanently a parent-child bond, 8 demands the close consideration the Court has long required when a family association so undeniably important is at stake. We approach M.L.B.'s petition mindful of the gravity of the sanction imposed on her and in light of two prior decisions most immediately in point: Lassiter v. Department of Social Servs. of Durham Cty., 452 U.S. 18 (1981), and Santosky v. Kramer, 455 U.S. 745 (1982).</w:t>
      </w:r>
    </w:p>
    <w:p w:rsidR="00A31137" w:rsidRPr="00A31137" w:rsidRDefault="00A31137" w:rsidP="00A31137">
      <w:r w:rsidRPr="00A31137">
        <w:t>1996, M.L.B. v. S.L.J., No. 95-853</w:t>
      </w:r>
    </w:p>
    <w:p w:rsidR="00A31137" w:rsidRPr="00A31137" w:rsidRDefault="00A31137" w:rsidP="00A31137">
      <w:r w:rsidRPr="00A31137">
        <w:t>Lassiter concerned the appointment of counsel for indigent persons seeking to defend against the State's termination of their parental status. The Court held that appointed counsel was not routinely required to assure a fair adjudication; instead, a case-by-case determination of the need for counsel would suffice, an assessment to be made "in the first instance by the trial court, subject…to appellate review." 452 U.S. at 32.</w:t>
      </w:r>
    </w:p>
    <w:p w:rsidR="00A31137" w:rsidRPr="00A31137" w:rsidRDefault="00A31137" w:rsidP="00A31137">
      <w:r w:rsidRPr="00A31137">
        <w:t>1996, M.L.B. v. S.L.J., No. 95-853</w:t>
      </w:r>
    </w:p>
    <w:p w:rsidR="00A31137" w:rsidRPr="00A31137" w:rsidRDefault="00A31137" w:rsidP="00A31137">
      <w:r w:rsidRPr="00A31137">
        <w:t>For probation-revocation hearings where loss of conditional liberty is at issue, the Lassiter Court observed, our precedent is not doctrinaire; due process is provided, we have held, when the decision whether counsel should be appointed is made on a case-by-case basis. See Gagnon v. Scarpelli, 411 U.S. 778, 790 (1973). In criminal prosecutions that do not lead to the defendant's incarceration, however, our precedent recognizes no right to appointed counsel. See Scott v. Illinois, 440 U.S. at 373-374. Parental termination cases, the Lassiter Court concluded, are most appropriately ranked with probation-revocation hearings: While the Court declined to recognize an automatic right to appointed counsel, it said that an appointment would be due when warranted by the character and difficulty of the case. See Lassiter, 452 U.S. at 31-32. 9</w:t>
      </w:r>
    </w:p>
    <w:p w:rsidR="00A31137" w:rsidRPr="00A31137" w:rsidRDefault="00A31137" w:rsidP="00A31137">
      <w:r w:rsidRPr="00A31137">
        <w:t>1996, M.L.B. v. S.L.J., No. 95-853</w:t>
      </w:r>
    </w:p>
    <w:p w:rsidR="00A31137" w:rsidRPr="00A31137" w:rsidRDefault="00A31137" w:rsidP="00A31137">
      <w:r w:rsidRPr="00A31137">
        <w:t>Significant to the disposition of M.L.B.'s case, the Lassiter Court considered it</w:t>
      </w:r>
    </w:p>
    <w:p w:rsidR="00A31137" w:rsidRPr="00A31137" w:rsidRDefault="00A31137" w:rsidP="00A31137">
      <w:r w:rsidRPr="00A31137">
        <w:t>1996, M.L.B. v. S.L.J., No. 95-853</w:t>
      </w:r>
    </w:p>
    <w:p w:rsidR="00A31137" w:rsidRPr="00A31137" w:rsidRDefault="00A31137" w:rsidP="00A31137">
      <w:r w:rsidRPr="00A31137">
        <w:t>plain…that a parent's desire for and right to "the companionship, care, custody, and management of his or her children" is an important interest,</w:t>
      </w:r>
    </w:p>
    <w:p w:rsidR="00A31137" w:rsidRPr="00A31137" w:rsidRDefault="00A31137" w:rsidP="00A31137">
      <w:r w:rsidRPr="00A31137">
        <w:t>1996, M.L.B. v. S.L.J., No. 95-853</w:t>
      </w:r>
    </w:p>
    <w:p w:rsidR="00A31137" w:rsidRPr="00A31137" w:rsidRDefault="00A31137" w:rsidP="00A31137">
      <w:r w:rsidRPr="00A31137">
        <w:t>one that "'undeniably warrants deference and, absent a powerful countervailing interest, protection.'" Id. at 27 (quoting Stanley v. Illinois, 405 U.S. 645, 651 (1972)). The object of the proceeding is "not simply to infringe upon [the parent's] interest," the Court recognized, "but to end it"; thus, a decision against the parent "work[s] a unique kind of deprivation." Lassiter, 452 U.S. at 27. For that reason, "[a] parent's interest in the accuracy and justice of the decision…is…a commanding one." Ibid.; see also id. at 39 (Blackmun, J., dissenting) ("A termination of parental rights is both total and irrevocable. Unlike other custody proceedings, it leaves the parent with no right to visit or communicate with the child…. " (footnote omitted)).</w:t>
      </w:r>
    </w:p>
    <w:p w:rsidR="00A31137" w:rsidRPr="00A31137" w:rsidRDefault="00A31137" w:rsidP="00A31137">
      <w:r w:rsidRPr="00A31137">
        <w:t>1996, M.L.B. v. S.L.J., No. 95-853</w:t>
      </w:r>
    </w:p>
    <w:p w:rsidR="00A31137" w:rsidRPr="00A31137" w:rsidRDefault="00A31137" w:rsidP="00A31137">
      <w:r w:rsidRPr="00A31137">
        <w:t>Santosky held that a "clear and convincing" proof standard is constitutionally required in parental termination proceedings. 455 U.S. at 769-770. 10 In so ruling, the Court again emphasized that a termination decree is "final and irrevocable." Id. at 759 (emphasis in original). "Few forms of state action," the Court said, "are both so severe and so irreversible." Ibid. 11 As in Lassiter, the Court characterized the parent's interest as "commanding," indeed, "far more precious than any property right." 455 U.S. at 758-759.</w:t>
      </w:r>
    </w:p>
    <w:p w:rsidR="00A31137" w:rsidRPr="00A31137" w:rsidRDefault="00A31137" w:rsidP="00A31137">
      <w:r w:rsidRPr="00A31137">
        <w:t>1996, M.L.B. v. S.L.J., No. 95-853</w:t>
      </w:r>
    </w:p>
    <w:p w:rsidR="00A31137" w:rsidRPr="00A31137" w:rsidRDefault="00A31137" w:rsidP="00A31137">
      <w:r w:rsidRPr="00A31137">
        <w:t>Although both Lassiter and Santosky yielded divided opinions, the Court was unanimously of the view that "the interest of parents in their relationship with their children is sufficiently fundamental to come within the finite class of liberty interests protected by the Fourteenth Amendment." 455 U.S. at 774 (REHNQUIST, J., dissenting). It was also the Court's unanimous view that "[f]ew consequences of judicial action are so grave as the severance of natural family ties." Id. at 787.</w:t>
      </w:r>
    </w:p>
    <w:p w:rsidR="00A31137" w:rsidRPr="00A31137" w:rsidRDefault="00A31137" w:rsidP="00A31137">
      <w:r w:rsidRPr="00A31137">
        <w:t>V</w:t>
      </w:r>
    </w:p>
    <w:p w:rsidR="00A31137" w:rsidRPr="00A31137" w:rsidRDefault="00A31137" w:rsidP="00A31137">
      <w:r w:rsidRPr="00A31137">
        <w:t>1996, M.L.B. v. S.L.J., No. 95-853</w:t>
      </w:r>
    </w:p>
    <w:p w:rsidR="00A31137" w:rsidRPr="00A31137" w:rsidRDefault="00A31137" w:rsidP="00A31137">
      <w:r w:rsidRPr="00A31137">
        <w:t>Guided by this Court's precedent on an indigent's access to judicial processes in criminal and civil cases, and on proceedings to terminate parental status, we turn to the classification question this case presents: does the Fourteenth Amendment require Mississippi to accord M.L.B. access to an appeal—available but for her inability to advance required costs—before she is forever branded unfit for affiliation with her children? Respondents urge us to classify M.L.B.'s case with the generality of civil cases, in which indigent persons have no constitutional right to proceed in forma pauperis. See supra at ___. M.L.B., on the other hand, maintains that the accusatory state action she is trying to fend off 12 is barely distinguishable from criminal condemnation in view of the magnitude and permanence of the loss she faces. Cf. In re Gault, 387 U.S. 1,  50,  55 (1967) (resisting "feeble enticement of the 'civil' label-of-convenience," and holding that Fifth Amendment's safeguard against self-incrimination applies in juvenile proceedings). See also Santosky, 455 U.S. at 756, 760 (recognizing stigmatic effect of parental status termination decree: "[I]t entails a judicial determination that [a parent is] unfit to raise [her] own children."). For the purpose at hand, M.L.B. asks us to treat her parental termination appeal as we have treated petty offense appeals; she urges us to adhere to the reasoning in Mayer v. Chicago, 404 U.S. 189 (1971), see supra at ___, and rule that Mississippi may not withhold the transcript M.L.B. needs to gain review of the order ending her parental status. Guided by Lassiter and Santosky, and other decisions acknowledging the primacy of the parent-child relationship, e.g., Stanley v. Illinois, 405 U.S. at 651; Meyer v. Nebraska, 262 U.S. at  399, we agree that the Mayer decision points to the disposition proper in this case.</w:t>
      </w:r>
    </w:p>
    <w:p w:rsidR="00A31137" w:rsidRPr="00A31137" w:rsidRDefault="00A31137" w:rsidP="00A31137">
      <w:r w:rsidRPr="00A31137">
        <w:t>1996, M.L.B. v. S.L.J., No. 95-853</w:t>
      </w:r>
    </w:p>
    <w:p w:rsidR="00A31137" w:rsidRPr="00A31137" w:rsidRDefault="00A31137" w:rsidP="00A31137">
      <w:r w:rsidRPr="00A31137">
        <w:t>We observe first that the Court's decisions concerning access to judicial processes, commencing with Griffin and running through Mayer, reflect both equal protection and due process concerns. See Ross v. Moffitt, 417 U.S. at 608-609. As we said in Bearden v. Georgia, 461 U.S. 660, 665 (1983), in the Court's Griffin-line cases, "[d]ue process and equal protection principles converge." The equal protection concern relates to the legitimacy of fencing out would-be appellants based solely on their inability to pay core costs. See Griffin, 351 U.S. at  23 (Frankfurter, J., concurring in judgment) (cited supra, at ___). The due process concern homes in on the essential fairness of the state-ordered proceedings anterior to adverse state action. See Ross, 417 U.S. at 609. A "precise rationale" has not been composed, id. at 608, because cases of this order "cannot be resolved by resort to easy slogans or pigeonhole analysis," Bearden, 461 U.S. at 666. Nevertheless, "[m]ost decisions in this area," we have recognized, "res[t] on an equal protection framework," id. at 665, as M.L.B.'s plea heavily does, for, as we earlier observed, see supra at ___, due process does not independently require that the State provide a right to appeal. We place this case within the framework established by our past decisions in this area. In line with those decisions, we inspect the character and intensity of the individual interest at stake, on the one hand, and the State's justification for its exaction, on the other. See Bearden, 461 U.S. at 666-667.</w:t>
      </w:r>
    </w:p>
    <w:p w:rsidR="00A31137" w:rsidRPr="00A31137" w:rsidRDefault="00A31137" w:rsidP="00A31137">
      <w:r w:rsidRPr="00A31137">
        <w:t>1996, M.L.B. v. S.L.J., No. 95-853</w:t>
      </w:r>
    </w:p>
    <w:p w:rsidR="00A31137" w:rsidRPr="00A31137" w:rsidRDefault="00A31137" w:rsidP="00A31137">
      <w:r w:rsidRPr="00A31137">
        <w:t>We now focus on Mayer and the considerations linking that decision to M.L.B.'s case. Mayer, described supra at ___, applied Griffin to a petty offender, fined a total of $500, who sought to appeal from the trial court's judgment. See Mayer, 404 U.S. at 190. An "impecunious medical student," id. at 197, the defendant in Mayer could not pay for a transcript. We held that the State must afford him a record complete enough to allow fair appellate consideration of his claims. The defendant in Mayer faced no term of confinement, but the conviction, we observed, could affect his professional prospects and, possibly, even bar him from the practice of medicine. Ibid. The State's pocketbook interest in advance payment for a transcript, we concluded, was unimpressive when measured against the stakes for the defendant. Ibid.</w:t>
      </w:r>
    </w:p>
    <w:p w:rsidR="00A31137" w:rsidRPr="00A31137" w:rsidRDefault="00A31137" w:rsidP="00A31137">
      <w:r w:rsidRPr="00A31137">
        <w:t>1996, M.L.B. v. S.L.J., No. 95-853</w:t>
      </w:r>
    </w:p>
    <w:p w:rsidR="00A31137" w:rsidRPr="00A31137" w:rsidRDefault="00A31137" w:rsidP="00A31137">
      <w:r w:rsidRPr="00A31137">
        <w:t>Similarly here, the stakes for petitioner M.L.B.—forced dissolution of her parental rights—are large, "'more substantial than mere loss of money.'" Santosky, 455 U.S. at 756 (quoting Addington v. Texas, 441 U.S. 418, 424 (1979)). In contrast to loss of custody, which does not sever the parent-child bond, parental status termination is "irretrievabl[y] destructi[ve]" of the most fundamental family relationship. Santosky, 455 U.S. at 753. And the risk of error, Mississippi's experience shows, is considerable. See supra at ___, n. 3.</w:t>
      </w:r>
    </w:p>
    <w:p w:rsidR="00A31137" w:rsidRPr="00A31137" w:rsidRDefault="00A31137" w:rsidP="00A31137">
      <w:r w:rsidRPr="00A31137">
        <w:t>1996, M.L.B. v. S.L.J., No. 95-853</w:t>
      </w:r>
    </w:p>
    <w:p w:rsidR="00A31137" w:rsidRPr="00A31137" w:rsidRDefault="00A31137" w:rsidP="00A31137">
      <w:r w:rsidRPr="00A31137">
        <w:t>Consistent with Santosky, Mississippi has, by statute, adopted a "clear and convincing proof" standard for parental status termination cases. Miss.Code Ann. § 93-15-109 (Supp. 1996). Nevertheless, the Chancellor's termination order in this case simply recites statutory language; it describes no evidence, and otherwise details no reasons for finding M.L.B. "clear[ly] and convincing[ly]" unfit to be a parent. See supra at ___. Only a transcript can reveal to judicial minds other than the Chancellor's the sufficiency, or insufficiency, of the evidence to support his stern judgment.</w:t>
      </w:r>
    </w:p>
    <w:p w:rsidR="00A31137" w:rsidRPr="00A31137" w:rsidRDefault="00A31137" w:rsidP="00A31137">
      <w:r w:rsidRPr="00A31137">
        <w:t>1996, M.L.B. v. S.L.J., No. 95-853</w:t>
      </w:r>
    </w:p>
    <w:p w:rsidR="00A31137" w:rsidRPr="00A31137" w:rsidRDefault="00A31137" w:rsidP="00A31137">
      <w:r w:rsidRPr="00A31137">
        <w:t>The countervailing government interest, as in Mayer, is financial. Mississippi urges, as the justification for its appeal cost prepayment requirement, the State's legitimate interest in offsetting the costs of its court system. Brief for Respondent 4, 8, n. 1, 27-30. But in the tightly circumscribed category of parental status termination cases, cf. supra at ___, n. 11, appeals are few, and not likely to impose an undue burden on the State. See Brief for Petitioner 20, 25 (observing that only 16 reported appeals in Mississippi from 1980 until 1996 referred to the State's termination statute, and only 12 of those decisions addressed the merits of the grant or denial of parental rights); cf. Brief for Respondents 28 (of 63,765 civil actions filed in Mississippi Chancery Courts in 1995, 194 involved termination of parental rights; of cases decided on appeal in Mississippi in 1995 (including Court of Appeals and Supreme Court cases), 492 were first appeals of criminal convictions, 67 involved domestic relations, 16 involved child custody). Mississippi's experience with criminal appeals is noteworthy in this regard. In 1995, the Mississippi Court of Appeals disposed of 298 first appeals from criminal convictions, Sup.Ct. of Miss.Ann.Rep. 42 (1995); of those appeals, only seven were appeals from misdemeanor convictions, ibid. notwithstanding our holding in Mayer requiring in forma pauperis transcript access in petty offense prosecutions. 13</w:t>
      </w:r>
    </w:p>
    <w:p w:rsidR="00A31137" w:rsidRPr="00A31137" w:rsidRDefault="00A31137" w:rsidP="00A31137">
      <w:r w:rsidRPr="00A31137">
        <w:t>1996, M.L.B. v. S.L.J., No. 95-853</w:t>
      </w:r>
    </w:p>
    <w:p w:rsidR="00A31137" w:rsidRPr="00A31137" w:rsidRDefault="00A31137" w:rsidP="00A31137">
      <w:r w:rsidRPr="00A31137">
        <w:t>In States providing criminal appeals, as we earlier recounted, an indigent's access to appeal, through a transcript of relevant trial proceedings, is secure under our precedent. See supra at ___. That equal access right holds for petty offenses as well as for felonies. But counsel at state expense, we have held, is a constitutional requirement, even in the first instance, only when the defendant faces time in confinement. See supra at ___. When deprivation of parental status is at stake, however, counsel is sometimes part of the process that is due. See Lassiter, 452 U.S. at 31-32. It would be anomalous to recognize a right to a transcript needed to appeal a misdemeanor conviction—though trial counsel may be flatly denied—but hold at the same time, that a transcript need not be prepared for M.L.B.—though were her defense sufficiently complex, State-paid counsel, as Lassiter instructs, would be designated for her.</w:t>
      </w:r>
    </w:p>
    <w:p w:rsidR="00A31137" w:rsidRPr="00A31137" w:rsidRDefault="00A31137" w:rsidP="00A31137">
      <w:r w:rsidRPr="00A31137">
        <w:t>1996, M.L.B. v. S.L.J., No. 95-853</w:t>
      </w:r>
    </w:p>
    <w:p w:rsidR="00A31137" w:rsidRPr="00A31137" w:rsidRDefault="00A31137" w:rsidP="00A31137">
      <w:r w:rsidRPr="00A31137">
        <w:t>In aligning M.L.B.'s case and Mayer—parental status termination decrees and criminal convictions that carry no jail time—for appeal access purposes, we do not question the general rule, stated in Ortwein, that fee requirements ordinarily are examined only for rationality. See supra at ___. The State's need for revenue to offset costs, in the mine run of cases, satisfies the rationality requirement, see Ortwein, 410 U.S. at 660; States are not forced by the Constitution to adjust all tolls to account for "disparity in material circumstances." Griffin, 351 U.S. at  23 (Frankfurter, J., concurring in judgment).</w:t>
      </w:r>
    </w:p>
    <w:p w:rsidR="00A31137" w:rsidRPr="00A31137" w:rsidRDefault="00A31137" w:rsidP="00A31137">
      <w:r w:rsidRPr="00A31137">
        <w:t>1996, M.L.B. v. S.L.J., No. 95-853</w:t>
      </w:r>
    </w:p>
    <w:p w:rsidR="00A31137" w:rsidRPr="00A31137" w:rsidRDefault="00A31137" w:rsidP="00A31137">
      <w:r w:rsidRPr="00A31137">
        <w:t>But our cases solidly establish two exceptions to that general rule. The basic right to participate in political processes as voters and candidates cannot be limited to those who can pay for a license. 14 Nor may access to judicial processes in cases criminal or "quasi-criminal in nature," Mayer, 404 U.S. at 196 (citation and internal quotation marks omitted), turn on ability to pay. In accord with the substance and sense of our decisions in Lassiter and Santosky, see supra at ___, we place decrees forever terminating parental rights in the category of cases in which the State may not "bolt the door to equal justice," Griffin, 351 U.S. at  24 (Frankfurter, J., concurring in judgment); see supra at ___.</w:t>
      </w:r>
    </w:p>
    <w:p w:rsidR="00A31137" w:rsidRPr="00A31137" w:rsidRDefault="00A31137" w:rsidP="00A31137">
      <w:r w:rsidRPr="00A31137">
        <w:t>VI</w:t>
      </w:r>
    </w:p>
    <w:p w:rsidR="00A31137" w:rsidRPr="00A31137" w:rsidRDefault="00A31137" w:rsidP="00A31137">
      <w:r w:rsidRPr="00A31137">
        <w:t>1996, M.L.B. v. S.L.J., No. 95-853</w:t>
      </w:r>
    </w:p>
    <w:p w:rsidR="00A31137" w:rsidRPr="00A31137" w:rsidRDefault="00A31137" w:rsidP="00A31137">
      <w:r w:rsidRPr="00A31137">
        <w:t>In numerous cases, respondents point out, the Court has held that government "need not provide funds so that people can exercise even fundamental rights." Brief for Respondents 12; see, e.g., Lyng v. Automobile Workers, 485 U.S. 360, 363, n. 2, 370-374 (1988) (rejecting equal protection attack on amendment to Food Stamp Act providing that no household could become eligible for benefits while a household member was on strike); Regan v. Taxation with Representation of Wash., 461 U.S. 540, 543-544, 550-551 (1983) (rejecting nonprofit organization's claims of free speech and equal protection rights to receive tax deductible contributions to support its lobbying activity); Harris v. McRae, 448 U.S. 297, 321-326 (1980) (Medicaid funding need not be provided for women seeking medically necessary abortions). A decision for M.L.B., respondents contend, would dishonor our cases recognizing that the Constitution</w:t>
      </w:r>
    </w:p>
    <w:p w:rsidR="00A31137" w:rsidRPr="00A31137" w:rsidRDefault="00A31137" w:rsidP="00A31137">
      <w:r w:rsidRPr="00A31137">
        <w:t>1996, M.L.B. v. S.L.J., No. 95-853</w:t>
      </w:r>
    </w:p>
    <w:p w:rsidR="00A31137" w:rsidRPr="00A31137" w:rsidRDefault="00A31137" w:rsidP="00A31137">
      <w:r w:rsidRPr="00A31137">
        <w:t>generally confer[s] no affirmative right to governmental aid, even where such aid may be necessary to secure life, liberty, or property interests of which the government itself may not deprive the individual.</w:t>
      </w:r>
    </w:p>
    <w:p w:rsidR="00A31137" w:rsidRPr="00A31137" w:rsidRDefault="00A31137" w:rsidP="00A31137">
      <w:r w:rsidRPr="00A31137">
        <w:t>1996, M.L.B. v. S.L.J., No. 95-853</w:t>
      </w:r>
    </w:p>
    <w:p w:rsidR="00A31137" w:rsidRPr="00A31137" w:rsidRDefault="00A31137" w:rsidP="00A31137">
      <w:r w:rsidRPr="00A31137">
        <w:t>DeShaney v. Winnebago County Dept. of Social Servs., 489 U.S. 189,  196 (1989).</w:t>
      </w:r>
    </w:p>
    <w:p w:rsidR="00A31137" w:rsidRPr="00A31137" w:rsidRDefault="00A31137" w:rsidP="00A31137">
      <w:r w:rsidRPr="00A31137">
        <w:t>1996, M.L.B. v. S.L.J., No. 95-853</w:t>
      </w:r>
    </w:p>
    <w:p w:rsidR="00A31137" w:rsidRPr="00A31137" w:rsidRDefault="00A31137" w:rsidP="00A31137">
      <w:r w:rsidRPr="00A31137">
        <w:t>Complainants in the cases on which respondents rely sought state aid to subsidize their privately initiated action or to alleviate the consequences of differences in economic circumstances that existed apart from state action. M.L.B.'s complaint is of a different order. She is endeavoring to defend against the State's destruction of her family bonds, and to resist the brand associated with a parental unfitness adjudication. Like a defendant resisting criminal conviction, she seeks to be spared from the State's devastatingly adverse action. That is the very reason we have paired her case with Mayer, not with Ortwein or Kras, discussed supra at ___.</w:t>
      </w:r>
    </w:p>
    <w:p w:rsidR="00A31137" w:rsidRPr="00A31137" w:rsidRDefault="00A31137" w:rsidP="00A31137">
      <w:r w:rsidRPr="00A31137">
        <w:t>1996, M.L.B. v. S.L.J., No. 95-853</w:t>
      </w:r>
    </w:p>
    <w:p w:rsidR="00A31137" w:rsidRPr="00A31137" w:rsidRDefault="00A31137" w:rsidP="00A31137">
      <w:r w:rsidRPr="00A31137">
        <w:t>Respondents also suggest that Washington v. Davis, 426 U.S. 229 (1976), is instructive because it rejects the notion</w:t>
      </w:r>
    </w:p>
    <w:p w:rsidR="00A31137" w:rsidRPr="00A31137" w:rsidRDefault="00A31137" w:rsidP="00A31137">
      <w:r w:rsidRPr="00A31137">
        <w:t>1996, M.L.B. v. S.L.J., No. 95-853</w:t>
      </w:r>
    </w:p>
    <w:p w:rsidR="00A31137" w:rsidRPr="00A31137" w:rsidRDefault="00A31137" w:rsidP="00A31137">
      <w:r w:rsidRPr="00A31137">
        <w:t>that a law, neutral on its face and serving ends otherwise within the power of government to pursue, is invalid under the Equal Protection Clause simply because it may affect a greater proportion of one race than of another,</w:t>
      </w:r>
    </w:p>
    <w:p w:rsidR="00A31137" w:rsidRPr="00A31137" w:rsidRDefault="00A31137" w:rsidP="00A31137">
      <w:r w:rsidRPr="00A31137">
        <w:t>1996, M.L.B. v. S.L.J., No. 95-853</w:t>
      </w:r>
    </w:p>
    <w:p w:rsidR="00A31137" w:rsidRPr="00A31137" w:rsidRDefault="00A31137" w:rsidP="00A31137">
      <w:r w:rsidRPr="00A31137">
        <w:t>id. at  242. "This must be all the more true," respondents urge, "with respect to an allegedly disparate impact on a class [here, the poor] that, unlike race, is not suspect." Brief for Respondent 31.</w:t>
      </w:r>
    </w:p>
    <w:p w:rsidR="00A31137" w:rsidRPr="00A31137" w:rsidRDefault="00A31137" w:rsidP="00A31137">
      <w:r w:rsidRPr="00A31137">
        <w:t>1996, M.L.B. v. S.L.J., No. 95-853</w:t>
      </w:r>
    </w:p>
    <w:p w:rsidR="00A31137" w:rsidRPr="00A31137" w:rsidRDefault="00A31137" w:rsidP="00A31137">
      <w:r w:rsidRPr="00A31137">
        <w:t>Washington v. Davis, however, does not have the sweeping effect respondents attribute to it. That case involved a verbal skill test administered to prospective Government employees. "[A] far greater proportion of blacks—four times as many—failed the test than did whites." 426 U.S. at  237. But the successful test takers included members of both races, as did the unsuccessful examinees. Disproportionate impact, standing alone, the Court held, was insufficient to prove unconstitutional racial discrimination. Were it otherwise, a host of laws would be called into question,</w:t>
      </w:r>
    </w:p>
    <w:p w:rsidR="00A31137" w:rsidRPr="00A31137" w:rsidRDefault="00A31137" w:rsidP="00A31137">
      <w:r w:rsidRPr="00A31137">
        <w:t>1996, M.L.B. v. S.L.J., No. 95-853</w:t>
      </w:r>
    </w:p>
    <w:p w:rsidR="00A31137" w:rsidRPr="00A31137" w:rsidRDefault="00A31137" w:rsidP="00A31137">
      <w:r w:rsidRPr="00A31137">
        <w:t>a whole range of tax, welfare, public service, regulatory, and licensing statutes that may be more burdensome to the poor and to the average black than to the more affluent white.</w:t>
      </w:r>
    </w:p>
    <w:p w:rsidR="00A31137" w:rsidRPr="00A31137" w:rsidRDefault="00A31137" w:rsidP="00A31137">
      <w:r w:rsidRPr="00A31137">
        <w:t>1996, M.L.B. v. S.L.J., No. 95-853</w:t>
      </w:r>
    </w:p>
    <w:p w:rsidR="00A31137" w:rsidRPr="00A31137" w:rsidRDefault="00A31137" w:rsidP="00A31137">
      <w:r w:rsidRPr="00A31137">
        <w:t>Id. at  248.</w:t>
      </w:r>
    </w:p>
    <w:p w:rsidR="00A31137" w:rsidRPr="00A31137" w:rsidRDefault="00A31137" w:rsidP="00A31137">
      <w:r w:rsidRPr="00A31137">
        <w:t>1996, M.L.B. v. S.L.J., No. 95-853</w:t>
      </w:r>
    </w:p>
    <w:p w:rsidR="00A31137" w:rsidRPr="00A31137" w:rsidRDefault="00A31137" w:rsidP="00A31137">
      <w:r w:rsidRPr="00A31137">
        <w:t>To comprehend the difference between the case at hand and cases controlled by Washington v. Davis, 15 one need look no further than this Court's opinion in Williams v. Illinois, 399 U.S. 235 (1970). Williams held unconstitutional an Illinois law under which an indigent offender could be continued in confinement beyond the maximum prison term specified by statute if his indigency prevented him from satisfying the monetary portion of the sentence. The Court described that law as "'nondiscriminatory on its face,'" and recalled that the law found incompatible with the Constitution in Griffin had been so characterized. 399 U.S. at 242 (quoting Griffin, 351 U.S. at  17, n. 11); see Griffin, 351 U.S. at  17, n. 11 ("[A] law nondiscriminatory on its face may be grossly discriminatory in its operation."). But the Williams Court went on to explain that "the Illinois statute in operative effect exposes only indigents to the risk of imprisonment beyond the statutory maximum." Williams, 399 U.S. at 242 (emphasis added). Sanctions of the Williams genre, like the Mississippi prescription here at issue, are not merely disproportionate in impact. Rather, they are wholly contingent on one's ability to pay, and thus "visi[t] different consequences on two categories of persons," ibid.; they apply to all indigents, and do not reach anyone outside that class.</w:t>
      </w:r>
    </w:p>
    <w:p w:rsidR="00A31137" w:rsidRPr="00A31137" w:rsidRDefault="00A31137" w:rsidP="00A31137">
      <w:r w:rsidRPr="00A31137">
        <w:t>1996, M.L.B. v. S.L.J., No. 95-853</w:t>
      </w:r>
    </w:p>
    <w:p w:rsidR="00A31137" w:rsidRPr="00A31137" w:rsidRDefault="00A31137" w:rsidP="00A31137">
      <w:r w:rsidRPr="00A31137">
        <w:t>In sum, under respondents' reading of Washington v. Davis, our overruling of the Griffin line of cases would be two decades overdue. It suffices to point out that this Court has not so conceived the meaning and effect of our 1976 "disproportionate impact" precedent. See Bearden v. Georgia, 461 U.S. at 664-665 (adhering in 1983 to "Griffin's principle of 'equal justice'"). 16</w:t>
      </w:r>
    </w:p>
    <w:p w:rsidR="00A31137" w:rsidRPr="00A31137" w:rsidRDefault="00A31137" w:rsidP="00A31137">
      <w:r w:rsidRPr="00A31137">
        <w:t>1996, M.L.B. v. S.L.J., No. 95-853</w:t>
      </w:r>
    </w:p>
    <w:p w:rsidR="00A31137" w:rsidRPr="00A31137" w:rsidRDefault="00A31137" w:rsidP="00A31137">
      <w:r w:rsidRPr="00A31137">
        <w:t>Respondents and the dissenters urge that we will open floodgates if we do not rigidly restrict Griffin to cases typed "criminal." See post at ___ (THOMAS, J., dissenting); Brief for Respondents 27-28. But we have repeatedly noticed what sets parental status termination decrees apart from mine run civil actions, even from other domestic relations matters such as divorce, paternity, and child custody. See supra at ___, and n. 11. To recapitulate, termination decrees "wor[k] a unique kind of deprivation." Lassiter, 452 U.S. at 27. In contrast to matters modifiable at the parties' will or based on changed circumstances, termination adjudications involve the awesome authority of the State "to destroy permanently all legal recognition of the parental relationship." Rivera, 483 U.S. at 580. Our Lassiter and Santosky decisions, recognizing that parental termination decrees are among the most severe forms of state action, Santosky, 455 U.S. at 759, have not served as precedent in other areas. See supra at ___, n. 11. We are therefore satisfied that the label "civil" should not entice us to leave undisturbed the Mississippi courts' disposition of this case. Cf. In re Gault, 387 U.S. at  50.</w:t>
      </w:r>
    </w:p>
    <w:p w:rsidR="00A31137" w:rsidRPr="00A31137" w:rsidRDefault="00A31137" w:rsidP="00A31137">
      <w:r w:rsidRPr="00A31137">
        <w:t>*    *    *    *</w:t>
      </w:r>
    </w:p>
    <w:p w:rsidR="00A31137" w:rsidRPr="00A31137" w:rsidRDefault="00A31137" w:rsidP="00A31137">
      <w:r w:rsidRPr="00A31137">
        <w:t>1996, M.L.B. v. S.L.J., No. 95-853</w:t>
      </w:r>
    </w:p>
    <w:p w:rsidR="00A31137" w:rsidRPr="00A31137" w:rsidRDefault="00A31137" w:rsidP="00A31137">
      <w:r w:rsidRPr="00A31137">
        <w:t>For the reasons stated, we hold that Mississippi may not withhold from M.L.B. "a 'record of sufficient completeness' to permit proper [appellate] consideration of [her] claims." Mayer, 404 U.S. at 198. Accordingly, we reverse the judgment of the Supreme Court of Mississippi and remand the case for further proceedings not inconsistent with this opinion.</w:t>
      </w:r>
    </w:p>
    <w:p w:rsidR="00A31137" w:rsidRPr="00A31137" w:rsidRDefault="00A31137" w:rsidP="00A31137">
      <w:r w:rsidRPr="00A31137">
        <w:t>1996, M.L.B. v. S.L.J., No. 95-853</w:t>
      </w:r>
    </w:p>
    <w:p w:rsidR="00A31137" w:rsidRPr="00A31137" w:rsidRDefault="00A31137" w:rsidP="00A31137">
      <w:r w:rsidRPr="00A31137">
        <w:t>It is so ordered.</w:t>
      </w:r>
    </w:p>
    <w:p w:rsidR="00A31137" w:rsidRPr="00A31137" w:rsidRDefault="00A31137" w:rsidP="00A31137">
      <w:r w:rsidRPr="00A31137">
        <w:t>KENNEDY, J., concurring</w:t>
      </w:r>
    </w:p>
    <w:p w:rsidR="00A31137" w:rsidRPr="00A31137" w:rsidRDefault="00A31137" w:rsidP="00A31137">
      <w:r w:rsidRPr="00A31137">
        <w:t>1996, M.L.B. v. S.L.J., No. 95-853</w:t>
      </w:r>
    </w:p>
    <w:p w:rsidR="00A31137" w:rsidRPr="00A31137" w:rsidRDefault="00A31137" w:rsidP="00A31137">
      <w:r w:rsidRPr="00A31137">
        <w:t>JUSTICE KENNEDY, concurring in the judgment.</w:t>
      </w:r>
    </w:p>
    <w:p w:rsidR="00A31137" w:rsidRPr="00A31137" w:rsidRDefault="00A31137" w:rsidP="00A31137">
      <w:r w:rsidRPr="00A31137">
        <w:t>1996, M.L.B. v. S.L.J., No. 95-853</w:t>
      </w:r>
    </w:p>
    <w:p w:rsidR="00A31137" w:rsidRPr="00A31137" w:rsidRDefault="00A31137" w:rsidP="00A31137">
      <w:r w:rsidRPr="00A31137">
        <w:t>The Court gives a most careful and comprehensive recitation of the precedents from Griffin v. Illinois, 351 U.S. 12 (1956), through Mayer v. Chicago, 404 U.S. 189 (1971), and beyond, a line of decisions which invokes both equal protection and due process principles. The duality, as the Court notes, stems from Griffin itself, which produced no opinion for the Court and invoked strands of both constitutional doctrines.</w:t>
      </w:r>
    </w:p>
    <w:p w:rsidR="00A31137" w:rsidRPr="00A31137" w:rsidRDefault="00A31137" w:rsidP="00A31137">
      <w:r w:rsidRPr="00A31137">
        <w:t>1996, M.L.B. v. S.L.J., No. 95-853</w:t>
      </w:r>
    </w:p>
    <w:p w:rsidR="00A31137" w:rsidRPr="00A31137" w:rsidRDefault="00A31137" w:rsidP="00A31137">
      <w:r w:rsidRPr="00A31137">
        <w:t>In my view, the cases most on point, and the ones which persuade me we must reverse the judgment now reviewed, are the decisions addressing procedures involving the rights and privileges inherent in family and personal relations. These are Boddie v. Connecticut, 401 U.S. 371 (1971); Lassiter v. Department of Social Servs. of Durham Cty., 452 U.S. 18 (1981); and Santosky v. Kramer, 455 U.S. 745 (1982), all cases resting exclusively upon the Due Process Clause. Here, due process is quite a sufficient basis for our holding.</w:t>
      </w:r>
    </w:p>
    <w:p w:rsidR="00A31137" w:rsidRPr="00A31137" w:rsidRDefault="00A31137" w:rsidP="00A31137">
      <w:r w:rsidRPr="00A31137">
        <w:t>1996, M.L.B. v. S.L.J., No. 95-853</w:t>
      </w:r>
    </w:p>
    <w:p w:rsidR="00A31137" w:rsidRPr="00A31137" w:rsidRDefault="00A31137" w:rsidP="00A31137">
      <w:r w:rsidRPr="00A31137">
        <w:t>I acknowledge the authorities do not hold that an appeal is required, even in a criminal case; but, given the existing appellate structure in Mississippi, the realities of the litigation process, and the fundamental interests at stake in this particular proceeding, the State may not erect a bar in the form of transcript and filing costs beyond this petitioner's means. The Court well describes the fundamental interests the petitioner has in ensuring that the order which terminated all her parental ties was based upon a fair assessment of the facts and the law. See Mathews v. Eldridge, 424 U.S. 319, 335 (1976). With these observations, I concur in the judgment.</w:t>
      </w:r>
    </w:p>
    <w:p w:rsidR="00A31137" w:rsidRPr="00A31137" w:rsidRDefault="00A31137" w:rsidP="00A31137">
      <w:r w:rsidRPr="00A31137">
        <w:t>REHNQUIST, J., dissenting</w:t>
      </w:r>
    </w:p>
    <w:p w:rsidR="00A31137" w:rsidRPr="00A31137" w:rsidRDefault="00A31137" w:rsidP="00A31137">
      <w:r w:rsidRPr="00A31137">
        <w:t>1996, M.L.B. v. S.L.J., No. 95-853</w:t>
      </w:r>
    </w:p>
    <w:p w:rsidR="00A31137" w:rsidRPr="00A31137" w:rsidRDefault="00A31137" w:rsidP="00A31137">
      <w:r w:rsidRPr="00A31137">
        <w:t>CHIEF JUSTICE REHNQUIST, dissenting.</w:t>
      </w:r>
    </w:p>
    <w:p w:rsidR="00A31137" w:rsidRPr="00A31137" w:rsidRDefault="00A31137" w:rsidP="00A31137">
      <w:r w:rsidRPr="00A31137">
        <w:t>1996, M.L.B. v. S.L.J., No. 95-853</w:t>
      </w:r>
    </w:p>
    <w:p w:rsidR="00A31137" w:rsidRPr="00A31137" w:rsidRDefault="00A31137" w:rsidP="00A31137">
      <w:r w:rsidRPr="00A31137">
        <w:t>I join all but Part II of JUSTICE THOMAS' dissenting opinion. For the reasons stated in that opinion, I would not extend the Griffin-Mayer line of cases to invalidate Mississippi's refusal to pay for petitioner's transcript on appeal in this case.</w:t>
      </w:r>
    </w:p>
    <w:p w:rsidR="00A31137" w:rsidRPr="00A31137" w:rsidRDefault="00A31137" w:rsidP="00A31137">
      <w:r w:rsidRPr="00A31137">
        <w:t>THOMAS, J., dissenting</w:t>
      </w:r>
    </w:p>
    <w:p w:rsidR="00A31137" w:rsidRPr="00A31137" w:rsidRDefault="00A31137" w:rsidP="00A31137">
      <w:r w:rsidRPr="00A31137">
        <w:t>1996, M.L.B. v. S.L.J., No. 95-853</w:t>
      </w:r>
    </w:p>
    <w:p w:rsidR="00A31137" w:rsidRPr="00A31137" w:rsidRDefault="00A31137" w:rsidP="00A31137">
      <w:r w:rsidRPr="00A31137">
        <w:t>JUSTICE THOMAS, with whom JUSTICE SCALIA joins, and with whom MR. CHIEF JUSTICE joins except as to Part II, dissenting.</w:t>
      </w:r>
    </w:p>
    <w:p w:rsidR="00A31137" w:rsidRPr="00A31137" w:rsidRDefault="00A31137" w:rsidP="00A31137">
      <w:r w:rsidRPr="00A31137">
        <w:t>1996, M.L.B. v. S.L.J., No. 95-853</w:t>
      </w:r>
    </w:p>
    <w:p w:rsidR="00A31137" w:rsidRPr="00A31137" w:rsidRDefault="00A31137" w:rsidP="00A31137">
      <w:r w:rsidRPr="00A31137">
        <w:t>Today the majority holds that the Fourteenth Amendment requires Mississippi to afford petitioner a free transcript because her civil case involves a "fundamental" right. The majority seeks to limit the reach of its holding to the type of case we confront here, one involving the termination of parental rights. I do not think, however, that the new-found constitutional right to free transcripts in civil appeals can be effectively restricted to this case. The inevitable consequence will be greater demands on the States to provide free assistance to would-be appellants in all manner of civil cases involving interests that cannot, based on the test established by the majority, be distinguished from the admittedly important interest at issue here. The cases on which the majority relies, primarily cases requiring appellate assistance for indigent criminal defendants, were questionable when decided, and have, in my view, been undermined since. Even accepting those cases, however, I am of the view that the majority takes them too far. I therefore dissent.</w:t>
      </w:r>
    </w:p>
    <w:p w:rsidR="00A31137" w:rsidRPr="00A31137" w:rsidRDefault="00A31137" w:rsidP="00A31137">
      <w:r w:rsidRPr="00A31137">
        <w:t>I</w:t>
      </w:r>
    </w:p>
    <w:p w:rsidR="00A31137" w:rsidRPr="00A31137" w:rsidRDefault="00A31137" w:rsidP="00A31137">
      <w:r w:rsidRPr="00A31137">
        <w:t>1996, M.L.B. v. S.L.J., No. 95-853</w:t>
      </w:r>
    </w:p>
    <w:p w:rsidR="00A31137" w:rsidRPr="00A31137" w:rsidRDefault="00A31137" w:rsidP="00A31137">
      <w:r w:rsidRPr="00A31137">
        <w:t>Petitioner requests relief under both the Due Process and Equal Protection Clauses, though she does not specify how either clause affords it. The majority accedes to petitioner's request. But, carrying forward the ambiguity in the cases on which it relies, the majority does not specify the source of the relief it grants. Those decisions are said to "reflect both equal protection and due process concerns." Ante at ___. And, while we are told that "cases of this order 'cannot be resolved by resort to easy slogans or pigeonhole analysis,'" ibid. (quoting Bearden v. Georgia, 461 U.S. 660, 666 (1983)), the majority nonetheless acknowledges that "'[m]ost decisions in this area…res[t] on an equal protection framework.'" Ante at ___ (quoting Bearden, supra at 665). It then purports to "place this case within the framework established by our past decisions in this area." Ante at ___. It is not clear to me whether the majority disavows any due process support for its holding. (Despite the murky disclaimer, the majority discusses numerous cases which squarely relied on due process considerations.) I therefore analyze petitioner's claim under both the Due Process and Equal Protection Clauses. If neither Clause affords petitioner the right to a free, civil appeal transcript, I assume that no amalgam of the two does.</w:t>
      </w:r>
    </w:p>
    <w:p w:rsidR="00A31137" w:rsidRPr="00A31137" w:rsidRDefault="00A31137" w:rsidP="00A31137">
      <w:r w:rsidRPr="00A31137">
        <w:t>A</w:t>
      </w:r>
    </w:p>
    <w:p w:rsidR="00A31137" w:rsidRPr="00A31137" w:rsidRDefault="00A31137" w:rsidP="00A31137">
      <w:r w:rsidRPr="00A31137">
        <w:t>1996, M.L.B. v. S.L.J., No. 95-853</w:t>
      </w:r>
    </w:p>
    <w:p w:rsidR="00A31137" w:rsidRPr="00A31137" w:rsidRDefault="00A31137" w:rsidP="00A31137">
      <w:r w:rsidRPr="00A31137">
        <w:t>We have indicated on several occasions in this century that the interest of parents in maintaining their relationships with their children is "an important interest that 'undeniably warrants deference and, absent a powerful countervailing interest, protection.'" Lassiter v. Department of Social Servs. of Durham Cty., 452 U.S. 18, 27 (1981) (quoting Stanley v. Illinois, 405 U.S. 645, 651 (1972)). Assuming that petitioner's interest may not be impinged without due process of law, I do not think that the Due Process Clause requires the result the majority reaches.</w:t>
      </w:r>
    </w:p>
    <w:p w:rsidR="00A31137" w:rsidRPr="00A31137" w:rsidRDefault="00A31137" w:rsidP="00A31137">
      <w:r w:rsidRPr="00A31137">
        <w:t>1996, M.L.B. v. S.L.J., No. 95-853</w:t>
      </w:r>
    </w:p>
    <w:p w:rsidR="00A31137" w:rsidRPr="00A31137" w:rsidRDefault="00A31137" w:rsidP="00A31137">
      <w:r w:rsidRPr="00A31137">
        <w:t>Petitioner's largest obstacle to a due process appeal gratis is our oft-affirmed view that due process does not oblige States to provide for any appeal, even from a criminal conviction. See, e.g., Griffin v. Illinois, 351 U.S. 12,  18 (1956) (plurality opinion) (noting that "a State is not required by the Federal Constitution to provide appellate courts or a right to appellate review at all") (citation omitted); McKane v. Durston, 153 U.S. 684, 687 (1894) ("A review by an appellate court of the final judgment in a criminal case, however grave the offence of which the accused is convicted, was not at common law and is not now a necessary element of due process of law. It is wholly within the discretion of the State to allow or not to allow such a review. A citation of authorities upon the point is unnecessary"). To be sure, we have indicated, beginning with Griffin v. Illinois, that where an appeal is provided, States may be prohibited from erecting barriers to those unable to pay. As I described last Term in my concurring opinion in Lewis v. Casey, 518 U.S. ___ (1996), however, I believe that these cases are best understood as grounded in equal protection analysis, and thus make no inroads on our longstanding rule that States that accord due process in a hearing-level tribunal need not provide further review.</w:t>
      </w:r>
    </w:p>
    <w:p w:rsidR="00A31137" w:rsidRPr="00A31137" w:rsidRDefault="00A31137" w:rsidP="00A31137">
      <w:r w:rsidRPr="00A31137">
        <w:t>1996, M.L.B. v. S.L.J., No. 95-853</w:t>
      </w:r>
    </w:p>
    <w:p w:rsidR="00A31137" w:rsidRPr="00A31137" w:rsidRDefault="00A31137" w:rsidP="00A31137">
      <w:r w:rsidRPr="00A31137">
        <w:t>The majority reaffirms that due process does not require an appeal. Ante at ___. Indeed, as I noted above, it is not clear that the majority relies on the Due Process Clause at all. The majority does discuss, however, one case in which the Court stated its holding in terms of due process: Boddie v. Connecticut, 401 U.S. 371 (1971). In Boddie, the Court held violative of due process a Connecticut statute that exacted fees averaging $60 from persons seeking marital dissolution. Citing the importance of the interest in ending a marriage, and the State's monopoly over the mechanisms to accomplish it, we explained that, "at a minimum" and</w:t>
      </w:r>
    </w:p>
    <w:p w:rsidR="00A31137" w:rsidRPr="00A31137" w:rsidRDefault="00A31137" w:rsidP="00A31137">
      <w:r w:rsidRPr="00A31137">
        <w:t>1996, M.L.B. v. S.L.J., No. 95-853</w:t>
      </w:r>
    </w:p>
    <w:p w:rsidR="00A31137" w:rsidRPr="00A31137" w:rsidRDefault="00A31137" w:rsidP="00A31137">
      <w:r w:rsidRPr="00A31137">
        <w:t>absent a countervailing state interest of overriding significance, persons forced to settle their claims of right and duty through the judicial process must be given a meaningful opportunity to be heard.</w:t>
      </w:r>
    </w:p>
    <w:p w:rsidR="00A31137" w:rsidRPr="00A31137" w:rsidRDefault="00A31137" w:rsidP="00A31137">
      <w:r w:rsidRPr="00A31137">
        <w:t>1996, M.L.B. v. S.L.J., No. 95-853</w:t>
      </w:r>
    </w:p>
    <w:p w:rsidR="00A31137" w:rsidRPr="00A31137" w:rsidRDefault="00A31137" w:rsidP="00A31137">
      <w:r w:rsidRPr="00A31137">
        <w:t>Id. at  377. Boddie has little to do with this case. It, "of course, was not concerned with post-hearing review." Ortwein v. Schwab, 410 U.S. 656, 659 (1973). Rather, the concern in Boddie was that indigent persons were deprived of "fundamental rights" with no hearing whatsoever. Petitioner, in contrast, received not merely a hearing, but in fact enjoyed procedural protections above and beyond what our parental termination cases have required. She received both notice and a hearing before a neutral, legally trained decisionmaker. She was represented by counsel—even though due process does not in every case require the appointment of counsel. See Lassiter, supra, at 24. Through her attorney, petitioner was able to confront the evidence and witnesses against her. And, in accordance with Santosky v. Kramer, 455 U.S. 745, 769 (1982), the Chancery Court was required to find that petitioner's parental unfitness was proved by clear and convincing evidence. Indeed, petitioner points to no hearing-level process to which she was entitled that she did not receive.</w:t>
      </w:r>
    </w:p>
    <w:p w:rsidR="00A31137" w:rsidRPr="00A31137" w:rsidRDefault="00A31137" w:rsidP="00A31137">
      <w:r w:rsidRPr="00A31137">
        <w:t>1996, M.L.B. v. S.L.J., No. 95-853</w:t>
      </w:r>
    </w:p>
    <w:p w:rsidR="00A31137" w:rsidRPr="00A31137" w:rsidRDefault="00A31137" w:rsidP="00A31137">
      <w:r w:rsidRPr="00A31137">
        <w:t>Given the many procedural protections afforded petitioner, I have little difficulty concluding that "due process has…been accorded in the tribunal of first instance." Ohio ex rel. Bryant v. Akron Metropolitan Park Dist., 281 U.S. 74, 80 (1930). Due process has never compelled an appeal where, as here, its rigors are satisfied by an adequate hearing.   Those cases in which the Court has required States to alleviate financial obstacles to process beyond a hearing—though sometimes couched in due process terms—have been based on the equal protection proposition that if the State chooses to provide for appellate review, it "'can no more discriminate on account of poverty than on account of religion, race, or color.'" Lewis v. Casey, supra at ___ (THOMAS, J., concurring) (quoting Griffin v. Illinois, supra at  17 (plurality opinion)) (footnote omitted). There seems, then, no place in the Due Process Clause—certainly as an original matter, and even as construed by this Court—for the constitutional "right" crafted by the majority today. I turn now to the other possible source: the Equal Protection Clause.</w:t>
      </w:r>
    </w:p>
    <w:p w:rsidR="00A31137" w:rsidRPr="00A31137" w:rsidRDefault="00A31137" w:rsidP="00A31137">
      <w:r w:rsidRPr="00A31137">
        <w:t>B</w:t>
      </w:r>
    </w:p>
    <w:p w:rsidR="00A31137" w:rsidRPr="00A31137" w:rsidRDefault="00A31137" w:rsidP="00A31137">
      <w:r w:rsidRPr="00A31137">
        <w:t>1996, M.L.B. v. S.L.J., No. 95-853</w:t>
      </w:r>
    </w:p>
    <w:p w:rsidR="00A31137" w:rsidRPr="00A31137" w:rsidRDefault="00A31137" w:rsidP="00A31137">
      <w:r w:rsidRPr="00A31137">
        <w:t>As I stated last Term in Lewis v. Casey, I do not think that the equal protection theory underlying the Griffin line of cases remains viable. See 518 U.S. at ___. There, I expressed serious reservations as to the continuing vitality of Bounds v. Smith, 430 U.S. 817 (1977) (requiring prison authorities to provide prisoners with adequate law libraries or legal assistance). As it did in Bounds, the Court today not only adopts the equal protection theory of Griffin v. Illinois—which was dubious ab initio and which has been undermined since—but extends it. Thus, much of what I said in Lewis v. Casey bears repeating here.</w:t>
      </w:r>
    </w:p>
    <w:p w:rsidR="00A31137" w:rsidRPr="00A31137" w:rsidRDefault="00A31137" w:rsidP="00A31137">
      <w:r w:rsidRPr="00A31137">
        <w:t>1996, M.L.B. v. S.L.J., No. 95-853</w:t>
      </w:r>
    </w:p>
    <w:p w:rsidR="00A31137" w:rsidRPr="00A31137" w:rsidRDefault="00A31137" w:rsidP="00A31137">
      <w:r w:rsidRPr="00A31137">
        <w:t>In Griffin, the State of Illinois required all criminal appellants whose claims on appeal required review of a trial transcript to obtain it themselves. The plurality thought that this "discriminate[d] against some convicted defendants on account of their poverty," Griffin v. Illinois, 351 U.S. at  18 (plurality opinion). Justice Harlan, in dissent, perceived a troubling shift in this Court's equal protection jurisprudence. The Court, he noted, did not</w:t>
      </w:r>
    </w:p>
    <w:p w:rsidR="00A31137" w:rsidRPr="00A31137" w:rsidRDefault="00A31137" w:rsidP="00A31137">
      <w:r w:rsidRPr="00A31137">
        <w:t>1996, M.L.B. v. S.L.J., No. 95-853</w:t>
      </w:r>
    </w:p>
    <w:p w:rsidR="00A31137" w:rsidRPr="00A31137" w:rsidRDefault="00A31137" w:rsidP="00A31137">
      <w:r w:rsidRPr="00A31137">
        <w:t>dispute either the necessity for a bill of exceptions or the reasonableness of the general requirement that the trial transcript, if used in its preparation, be paid for by the appealing party.</w:t>
      </w:r>
    </w:p>
    <w:p w:rsidR="00A31137" w:rsidRPr="00A31137" w:rsidRDefault="00A31137" w:rsidP="00A31137">
      <w:r w:rsidRPr="00A31137">
        <w:t>1996, M.L.B. v. S.L.J., No. 95-853</w:t>
      </w:r>
    </w:p>
    <w:p w:rsidR="00A31137" w:rsidRPr="00A31137" w:rsidRDefault="00A31137" w:rsidP="00A31137">
      <w:r w:rsidRPr="00A31137">
        <w:t>Id. at  35. But, because requiring each would-be appellant to bear the costs of appeal hit the poor harder, the majority divined "an invidious classification between the 'rich' and the 'poor.'" Ibid. Disputing this early manifestation of the "disparate impact" theory of equal protection, Justice Harlan argued:</w:t>
      </w:r>
    </w:p>
    <w:p w:rsidR="00A31137" w:rsidRPr="00A31137" w:rsidRDefault="00A31137" w:rsidP="00A31137">
      <w:r w:rsidRPr="00A31137">
        <w:t>1996, M.L.B. v. S.L.J., No. 95-853</w:t>
      </w:r>
    </w:p>
    <w:p w:rsidR="00A31137" w:rsidRPr="00A31137" w:rsidRDefault="00A31137" w:rsidP="00A31137">
      <w:r w:rsidRPr="00A31137">
        <w:t>[N]o economic burden attendant upon the exercise of a privilege bears equally upon all, and in other circumstances the resulting differentiation is not treated as an invidious classification by the State, even though discrimination against 'indigents' by name would be unconstitutional.</w:t>
      </w:r>
    </w:p>
    <w:p w:rsidR="00A31137" w:rsidRPr="00A31137" w:rsidRDefault="00A31137" w:rsidP="00A31137">
      <w:r w:rsidRPr="00A31137">
        <w:t>1996, M.L.B. v. S.L.J., No. 95-853</w:t>
      </w:r>
    </w:p>
    <w:p w:rsidR="00A31137" w:rsidRPr="00A31137" w:rsidRDefault="00A31137" w:rsidP="00A31137">
      <w:r w:rsidRPr="00A31137">
        <w:t>Ibid. Justice Harlan offered the example of a state university that conditions an education on the payment of tuition. If charging tuition did not create a discriminatory classification, then, Justice Harlan wondered, how did any other reasonable exaction by a State for a service it provides?</w:t>
      </w:r>
    </w:p>
    <w:p w:rsidR="00A31137" w:rsidRPr="00A31137" w:rsidRDefault="00A31137" w:rsidP="00A31137">
      <w:r w:rsidRPr="00A31137">
        <w:t>1996, M.L.B. v. S.L.J., No. 95-853</w:t>
      </w:r>
    </w:p>
    <w:p w:rsidR="00A31137" w:rsidRPr="00A31137" w:rsidRDefault="00A31137" w:rsidP="00A31137">
      <w:r w:rsidRPr="00A31137">
        <w:t>The resulting classification would be invidious in all cases, and an invidious classification offends equal protection regardless of the seriousness of the consequences.</w:t>
      </w:r>
    </w:p>
    <w:p w:rsidR="00A31137" w:rsidRPr="00A31137" w:rsidRDefault="00A31137" w:rsidP="00A31137">
      <w:r w:rsidRPr="00A31137">
        <w:t>1996, M.L.B. v. S.L.J., No. 95-853</w:t>
      </w:r>
    </w:p>
    <w:p w:rsidR="00A31137" w:rsidRPr="00A31137" w:rsidRDefault="00A31137" w:rsidP="00A31137">
      <w:r w:rsidRPr="00A31137">
        <w:t xml:space="preserve"> Ibid. (emphasis deleted). The issue in Griffin was not whether Illinois had made a reasonable classification, but whether the State acted reasonably in failing to remove disabilities that existed wholly independently of state action. To Justice Harlan this was not an inquiry typically posed under the Equal Protection Clause.</w:t>
      </w:r>
    </w:p>
    <w:p w:rsidR="00A31137" w:rsidRPr="00A31137" w:rsidRDefault="00A31137" w:rsidP="00A31137">
      <w:r w:rsidRPr="00A31137">
        <w:t>1996, M.L.B. v. S.L.J., No. 95-853</w:t>
      </w:r>
    </w:p>
    <w:p w:rsidR="00A31137" w:rsidRPr="00A31137" w:rsidRDefault="00A31137" w:rsidP="00A31137">
      <w:r w:rsidRPr="00A31137">
        <w:t>In Douglas v. California, 372 U.S. 353 (1963), Justice Harlan again confronted what Justice Clark termed the Court's "fetish for indigency," id. at  359 (dissenting opinion). Regarding a law limiting the appointment of appellate counsel for indigents, Justice Harlan pointed out that</w:t>
      </w:r>
    </w:p>
    <w:p w:rsidR="00A31137" w:rsidRPr="00A31137" w:rsidRDefault="00A31137" w:rsidP="00A31137">
      <w:r w:rsidRPr="00A31137">
        <w:t>1996, M.L.B. v. S.L.J., No. 95-853</w:t>
      </w:r>
    </w:p>
    <w:p w:rsidR="00A31137" w:rsidRPr="00A31137" w:rsidRDefault="00A31137" w:rsidP="00A31137">
      <w:r w:rsidRPr="00A31137">
        <w:t>[l]aws such as these do not deny equal protection to the less fortunate for one essential reason: the Equal Protection Clause does not impose on the States "an affirmative duty to lift the handicaps flowing from differences in economic circumstances."</w:t>
      </w:r>
    </w:p>
    <w:p w:rsidR="00A31137" w:rsidRPr="00A31137" w:rsidRDefault="00A31137" w:rsidP="00A31137">
      <w:r w:rsidRPr="00A31137">
        <w:t>1996, M.L.B. v. S.L.J., No. 95-853</w:t>
      </w:r>
    </w:p>
    <w:p w:rsidR="00A31137" w:rsidRPr="00A31137" w:rsidRDefault="00A31137" w:rsidP="00A31137">
      <w:r w:rsidRPr="00A31137">
        <w:t>Id. at  362 (dissenting opinion) (footnote omitted).</w:t>
      </w:r>
    </w:p>
    <w:p w:rsidR="00A31137" w:rsidRPr="00A31137" w:rsidRDefault="00A31137" w:rsidP="00A31137">
      <w:r w:rsidRPr="00A31137">
        <w:t>1996, M.L.B. v. S.L.J., No. 95-853</w:t>
      </w:r>
    </w:p>
    <w:p w:rsidR="00A31137" w:rsidRPr="00A31137" w:rsidRDefault="00A31137" w:rsidP="00A31137">
      <w:r w:rsidRPr="00A31137">
        <w:t>Justice Harlan's views were accepted by the Court in Washington v. Davis, 426 U.S. 229 (1976), in which "[w]e rejected a disparate impact theory of the Equal Protection Clause altogether." Lewis v. Casey, supra at ___ (concurring opinion). We spurned the claim that</w:t>
      </w:r>
    </w:p>
    <w:p w:rsidR="00A31137" w:rsidRPr="00A31137" w:rsidRDefault="00A31137" w:rsidP="00A31137">
      <w:r w:rsidRPr="00A31137">
        <w:t>1996, M.L.B. v. S.L.J., No. 95-853</w:t>
      </w:r>
    </w:p>
    <w:p w:rsidR="00A31137" w:rsidRPr="00A31137" w:rsidRDefault="00A31137" w:rsidP="00A31137">
      <w:r w:rsidRPr="00A31137">
        <w:t>a law, neutral on its face and serving ends otherwise within the power of government to pursue, is invalid under the Equal Protection Clause simply because it may affect a greater proportion of one race than of another.</w:t>
      </w:r>
    </w:p>
    <w:p w:rsidR="00A31137" w:rsidRPr="00A31137" w:rsidRDefault="00A31137" w:rsidP="00A31137">
      <w:r w:rsidRPr="00A31137">
        <w:t>1996, M.L.B. v. S.L.J., No. 95-853</w:t>
      </w:r>
    </w:p>
    <w:p w:rsidR="00A31137" w:rsidRPr="00A31137" w:rsidRDefault="00A31137" w:rsidP="00A31137">
      <w:r w:rsidRPr="00A31137">
        <w:t>426 U.S. at  242. Absent proof of discriminatory purpose, official action did not violate the Fourteenth Amendment "solely because it has a racially disparate impact." Id. at  239 (emphasis in original). Hearkening back to Justice Harlan's dissents in Griffin and Douglas, we recognized that</w:t>
      </w:r>
    </w:p>
    <w:p w:rsidR="00A31137" w:rsidRPr="00A31137" w:rsidRDefault="00A31137" w:rsidP="00A31137">
      <w:r w:rsidRPr="00A31137">
        <w:t>1996, M.L.B. v. S.L.J., No. 95-853</w:t>
      </w:r>
    </w:p>
    <w:p w:rsidR="00A31137" w:rsidRPr="00A31137" w:rsidRDefault="00A31137" w:rsidP="00A31137">
      <w:r w:rsidRPr="00A31137">
        <w:t>[a] rule that a statute designed to serve neutral ends is nevertheless invalid, absent compelling justification, if in practice it benefits or burdens one race more than another would be far reaching and would raise serious questions about, and perhaps invalidate, a whole range of tax, welfare, public service, regulatory, and licensing statutes that may be more burdensome to the poor and to the average black than to the more affluent white.</w:t>
      </w:r>
    </w:p>
    <w:p w:rsidR="00A31137" w:rsidRPr="00A31137" w:rsidRDefault="00A31137" w:rsidP="00A31137">
      <w:r w:rsidRPr="00A31137">
        <w:t>1996, M.L.B. v. S.L.J., No. 95-853</w:t>
      </w:r>
    </w:p>
    <w:p w:rsidR="00A31137" w:rsidRPr="00A31137" w:rsidRDefault="00A31137" w:rsidP="00A31137">
      <w:r w:rsidRPr="00A31137">
        <w:t>426 U.S. at  248 (footnote omitted). The lesson of Davis is that the Equal Protection Clause shields only against purposeful discrimination: a disparate impact, even upon members of a racial minority, the classification of which we have been most suspect, does not violate equal protection. The Clause is not a panacea for perceived social or economic inequity; it seeks to "guarante[e] equal laws, not equal results." Personnel Administrator of Mass. v. Feeney, 442 U.S. 256,  273 (1979).</w:t>
      </w:r>
    </w:p>
    <w:p w:rsidR="00A31137" w:rsidRPr="00A31137" w:rsidRDefault="00A31137" w:rsidP="00A31137">
      <w:r w:rsidRPr="00A31137">
        <w:t>1996, M.L.B. v. S.L.J., No. 95-853</w:t>
      </w:r>
    </w:p>
    <w:p w:rsidR="00A31137" w:rsidRPr="00A31137" w:rsidRDefault="00A31137" w:rsidP="00A31137">
      <w:r w:rsidRPr="00A31137">
        <w:t>Since Davis, we have regularly required more of an equal protection claimant than a showing that state action has a harsher effect on him or her than on others. See, e.g., Harris v. McRae, 448 U.S. 297,  324, n. 26 (1980) ("The equal protection component of the Fifth Amendment prohibits only purposeful discrimination, and when a facially neutral federal statute is challenged on equal protection grounds, it is incumbent upon the challenger to prove that Congress selected or reaffirmed a particular course of action at least in part because of, not merely in spite of, its adverse effects upon an identifiable group.") (internal quotations and citations omitted); see also Lewis v. Casey, 518 U.S. at ___ (concurring opinion) (citing cases). Our frequent pronouncements that the Fourteenth Amendment is not violated by disparate impact have spanned challenges to statutes alleged to affect disproportionately members of one race, Washington v. Davis, supra; members of one sex, Personnel Administrator v. Feeney, supra; and poor persons seeking to exercise protected rights, Harris v. McRae, supra; Maher v. Roe, 432 U.S. 464, 470-471 (1977).</w:t>
      </w:r>
    </w:p>
    <w:p w:rsidR="00A31137" w:rsidRPr="00A31137" w:rsidRDefault="00A31137" w:rsidP="00A31137">
      <w:r w:rsidRPr="00A31137">
        <w:t>1996, M.L.B. v. S.L.J., No. 95-853</w:t>
      </w:r>
    </w:p>
    <w:p w:rsidR="00A31137" w:rsidRPr="00A31137" w:rsidRDefault="00A31137" w:rsidP="00A31137">
      <w:r w:rsidRPr="00A31137">
        <w:t>The majority attempts to avoid what I regard as the irresistible force of the Davis line of cases, but I am unconvinced by the effort. The majority states that persons in cases like those cited above</w:t>
      </w:r>
    </w:p>
    <w:p w:rsidR="00A31137" w:rsidRPr="00A31137" w:rsidRDefault="00A31137" w:rsidP="00A31137">
      <w:r w:rsidRPr="00A31137">
        <w:t>1996, M.L.B. v. S.L.J., No. 95-853</w:t>
      </w:r>
    </w:p>
    <w:p w:rsidR="00A31137" w:rsidRPr="00A31137" w:rsidRDefault="00A31137" w:rsidP="00A31137">
      <w:r w:rsidRPr="00A31137">
        <w:t>sought state aid to subsidize their privately initiated action or to alleviate the consequences of differences in economic circumstances that existed apart from state action.</w:t>
      </w:r>
    </w:p>
    <w:p w:rsidR="00A31137" w:rsidRPr="00A31137" w:rsidRDefault="00A31137" w:rsidP="00A31137">
      <w:r w:rsidRPr="00A31137">
        <w:t>1996, M.L.B. v. S.L.J., No. 95-853</w:t>
      </w:r>
    </w:p>
    <w:p w:rsidR="00A31137" w:rsidRPr="00A31137" w:rsidRDefault="00A31137" w:rsidP="00A31137">
      <w:r w:rsidRPr="00A31137">
        <w:t>Ante at ___. Petitioner, in apparent contrast,</w:t>
      </w:r>
    </w:p>
    <w:p w:rsidR="00A31137" w:rsidRPr="00A31137" w:rsidRDefault="00A31137" w:rsidP="00A31137">
      <w:r w:rsidRPr="00A31137">
        <w:t>1996, M.L.B. v. S.L.J., No. 95-853</w:t>
      </w:r>
    </w:p>
    <w:p w:rsidR="00A31137" w:rsidRPr="00A31137" w:rsidRDefault="00A31137" w:rsidP="00A31137">
      <w:r w:rsidRPr="00A31137">
        <w:t>is endeavoring to defend against the State's destruction of her family bonds, and to resist the brand associated with a parental unfitness adjudication.</w:t>
      </w:r>
    </w:p>
    <w:p w:rsidR="00A31137" w:rsidRPr="00A31137" w:rsidRDefault="00A31137" w:rsidP="00A31137">
      <w:r w:rsidRPr="00A31137">
        <w:t>1996, M.L.B. v. S.L.J., No. 95-853</w:t>
      </w:r>
    </w:p>
    <w:p w:rsidR="00A31137" w:rsidRPr="00A31137" w:rsidRDefault="00A31137" w:rsidP="00A31137">
      <w:r w:rsidRPr="00A31137">
        <w:t>Ante at ___. She, "[l]ike a defendant resisting criminal conviction…seeks to be spared from the State's devastatingly adverse action." Ante at ___. But, also like a defendant resisting criminal conviction, petitioner is not constitutionally entitled to post-trial process. See ante at ___. She defended against the "destruction of her family bonds" in the Chancery Court hearing at which she was accorded all the process this Court has required of the States in parental termination cases. She now desires "state aid to subsidize [her] privately initiated" appeal—an appeal that neither petitioner nor the majority claims Mississippi is required to provide—to overturn the determination that resulted from that hearing. I see no principled difference between a facially neutral rule that serves in some cases to prevent persons from availing themselves of state employment, or a state-funded education, or a state-funded abortion—each of which the State may, but is not required to, provide—and a facially neutral rule that prevents a person from taking an appeal that is available only because the State chooses to provide it.</w:t>
      </w:r>
    </w:p>
    <w:p w:rsidR="00A31137" w:rsidRPr="00A31137" w:rsidRDefault="00A31137" w:rsidP="00A31137">
      <w:r w:rsidRPr="00A31137">
        <w:t>1996, M.L.B. v. S.L.J., No. 95-853</w:t>
      </w:r>
    </w:p>
    <w:p w:rsidR="00A31137" w:rsidRPr="00A31137" w:rsidRDefault="00A31137" w:rsidP="00A31137">
      <w:r w:rsidRPr="00A31137">
        <w:t>Nor does Williams v. Illinois, 399 U.S. 235 (1970), a case decided six years earlier, operate to limit Washington v. Davis. Williams was yet another manifestation of the "equalizing" notion of equal protection that this Court began to question in Davis. See Williams, supra at 260 (Harlan, J., concurring in result). To the extent its reasoning survives Davis, I think that Williams is distinguishable. Petitioner Williams was incarcerated beyond the maximum statutory sentence because he was unable to pay the fine imposed as part of his sentence. We found the law that permitted prisoners to avoid extrastatutory imprisonment only by paying their fines to violate the Equal Protection Clause. Even though it was "'nondiscriminatory on its face,'" the law "work[ed] an invidious discrimination" as to Williams and all other indigents because they could not afford to pay their fines. 399 U.S. at 242. The majority concludes that the sanctions involved in Williams are analogous to "the Mississippi prescription here at issue," in that both do not have merely a disparate impact, "they apply to all indigents and do not reach anyone outside that class." Ante at ___. Even assuming that Williams' imprisonment gave rise to an equal protection violation, however, M.L.B.'s circumstances are not comparable. M.L.B.'s parental rights were terminated—the analog to Williams' extended imprisonment—because the Chancery Court found, after a hearing, that she was unfit to remain her children's mother, not because she was indigent. Her indigency only prevented her from taking advantage of procedures above and beyond those required by the Constitution—in the same way that indigency frequently prevents persons from availing themselves of a variety of state services. 1</w:t>
      </w:r>
    </w:p>
    <w:p w:rsidR="00A31137" w:rsidRPr="00A31137" w:rsidRDefault="00A31137" w:rsidP="00A31137">
      <w:r w:rsidRPr="00A31137">
        <w:t>1996, M.L.B. v. S.L.J., No. 95-853</w:t>
      </w:r>
    </w:p>
    <w:p w:rsidR="00A31137" w:rsidRPr="00A31137" w:rsidRDefault="00A31137" w:rsidP="00A31137">
      <w:r w:rsidRPr="00A31137">
        <w:t>The Griffin line of cases ascribed to—one might say announced—an equalizing notion of the Equal Protection Clause that would, I think, have startled the Fourteenth Amendment's Framers. In those cases, the Court did not find, nor did it seek, any purposeful discrimination on the part of the state defendants. That their statutes had disproportionate effect on poor persons was sufficient for us to find a constitutional violation. In Davis, among other cases, we began to recognize the potential mischief of a disparate impact theory writ large, and endeavored to contain it. In this case, I would continue that enterprise. Mississippi's requirement of prepaid transcripts in civil appeals seeking to contest the sufficiency of the evidence adduced at trial is facially neutral; it creates no classification. The transcript rule reasonably obliges would-be appellants to bear the costs of availing themselves of a service that the State chooses, but is not constitutionally required, to provide. 2 Any adverse impact that the transcript requirement has on any person seeking to appeal arises not out of the State's action, but out of factors entirely unrelated to it.</w:t>
      </w:r>
    </w:p>
    <w:p w:rsidR="00A31137" w:rsidRPr="00A31137" w:rsidRDefault="00A31137" w:rsidP="00A31137">
      <w:r w:rsidRPr="00A31137">
        <w:t>II</w:t>
      </w:r>
    </w:p>
    <w:p w:rsidR="00A31137" w:rsidRPr="00A31137" w:rsidRDefault="00A31137" w:rsidP="00A31137">
      <w:r w:rsidRPr="00A31137">
        <w:t>1996, M.L.B. v. S.L.J., No. 95-853</w:t>
      </w:r>
    </w:p>
    <w:p w:rsidR="00A31137" w:rsidRPr="00A31137" w:rsidRDefault="00A31137" w:rsidP="00A31137">
      <w:r w:rsidRPr="00A31137">
        <w:t>If this case squarely presented the question, I would be inclined to vote to overrule Griffin and its progeny. Even were I convinced that the cases on which the majority today relies ought to be retained, I could not agree with the majority's extension of them.</w:t>
      </w:r>
    </w:p>
    <w:p w:rsidR="00A31137" w:rsidRPr="00A31137" w:rsidRDefault="00A31137" w:rsidP="00A31137">
      <w:r w:rsidRPr="00A31137">
        <w:t>1996, M.L.B. v. S.L.J., No. 95-853</w:t>
      </w:r>
    </w:p>
    <w:p w:rsidR="00A31137" w:rsidRPr="00A31137" w:rsidRDefault="00A31137" w:rsidP="00A31137">
      <w:r w:rsidRPr="00A31137">
        <w:t>The interest at stake in this case differs in several important respects from that at issue in cases such as Griffin. Petitioner's interest in maintaining a relationship with her children is the subject of a civil, not criminal, action. While certain civil suits may tend at the margin toward criminal cases, and criminal cases may likewise drift toward civil suits, the basic distinction between the two finds root in the Constitution and has largely retained its vitality in our jurisprudence. In dissent in Boddie v. Connecticut, Justice Black stated that,</w:t>
      </w:r>
    </w:p>
    <w:p w:rsidR="00A31137" w:rsidRPr="00A31137" w:rsidRDefault="00A31137" w:rsidP="00A31137">
      <w:r w:rsidRPr="00A31137">
        <w:t>1996, M.L.B. v. S.L.J., No. 95-853</w:t>
      </w:r>
    </w:p>
    <w:p w:rsidR="00A31137" w:rsidRPr="00A31137" w:rsidRDefault="00A31137" w:rsidP="00A31137">
      <w:r w:rsidRPr="00A31137">
        <w:t>in Griffin the Court studiously and carefully refrained from saying one word or one sentence suggesting that the rule there announced to control rights of criminal defendants would control in the quite different field of civil cases.</w:t>
      </w:r>
    </w:p>
    <w:p w:rsidR="00A31137" w:rsidRPr="00A31137" w:rsidRDefault="00A31137" w:rsidP="00A31137">
      <w:r w:rsidRPr="00A31137">
        <w:t>1996, M.L.B. v. S.L.J., No. 95-853</w:t>
      </w:r>
    </w:p>
    <w:p w:rsidR="00A31137" w:rsidRPr="00A31137" w:rsidRDefault="00A31137" w:rsidP="00A31137">
      <w:r w:rsidRPr="00A31137">
        <w:t>401 U.S. at  390. The Constitution provides for a series of protections of the unadorned liberty interest at stake in criminal proceedings. These express protections include the Fifth Amendment's guarantee of grand jury indictment, and protection against double jeopardy and self-incrimination; the Sixth Amendment's guarantees of a speedy and public jury trial, of the ability to confront witnesses, and of compulsory process and assistance of counsel; and the Eighth Amendment's protections against excessive bail and fines, and against cruel and unusual punishment. This Court has given content to these textual protections, and has identified others contained in the Due Process Clause. These protections are not available to the typical civil litigant. Even where the interest in a civil suit has been labeled "fundamental," as with the interest in parental termination suits, the protections extended pale by comparison. A party whose parental rights are subject to termination is entitled to appointed counsel, but only in certain circumstances. See Lassiter, 452 U.S. at 31-32. His or her rights cannot be terminated unless the evidence meets a standard higher than the preponderance standard applied in the typical civil suit, but the standard is still lower than that required before a guilty verdict. See Santosky v. Kramer, 455 U.S. at 769-770.</w:t>
      </w:r>
    </w:p>
    <w:p w:rsidR="00A31137" w:rsidRPr="00A31137" w:rsidRDefault="00A31137" w:rsidP="00A31137">
      <w:r w:rsidRPr="00A31137">
        <w:t>1996, M.L.B. v. S.L.J., No. 95-853</w:t>
      </w:r>
    </w:p>
    <w:p w:rsidR="00A31137" w:rsidRPr="00A31137" w:rsidRDefault="00A31137" w:rsidP="00A31137">
      <w:r w:rsidRPr="00A31137">
        <w:t>That said, it is true enough that civil and criminal cases do not always stand in bold relief to one another. Mayer v. Chicago, 404 U.S. 189 (1971), marks a particularly discomfiting point along the border between the civil and criminal areas. Based on Griffin, the Court determined there that an indigent defendant had a constitutional right to a free transcript in aid of appealing his conviction for violating city ordinances, which resulted in a $500 fine and no imprisonment. In Scott v. Illinois, 440 U.S. 367 (1979), we concluded that an indigent defendant charged with a crime that was not punishable by imprisonment was not entitled to appointed counsel. And yet, in Lassiter, supra, we held that, in some cases, due process required provision of assistance of counsel before the termination of parental rights. The assertion that civil litigants have no right to the free transcripts that all criminal defendants enjoy is difficult to sustain in the face of our holding that some civil litigants are entitled to the assistance of counsel to which some criminal defendants are not. It is at this unsettled (and unsettling) place that the majority lays the foundation of its holding. See ante at ___.   The majority's solution to the "anamol[y]" that a misdemeanant receives a free transcript but no trial counsel, while a parental rights terminee receives (sometimes) trial counsel, but no transcript, works an extension of Mayer. I would answer the conundrum differently: even if the Griffin line were sound, Mayer was an unjustified extension that should be limited to its facts, if not overruled.</w:t>
      </w:r>
    </w:p>
    <w:p w:rsidR="00A31137" w:rsidRPr="00A31137" w:rsidRDefault="00A31137" w:rsidP="00A31137">
      <w:r w:rsidRPr="00A31137">
        <w:t>1996, M.L.B. v. S.L.J., No. 95-853</w:t>
      </w:r>
    </w:p>
    <w:p w:rsidR="00A31137" w:rsidRPr="00A31137" w:rsidRDefault="00A31137" w:rsidP="00A31137">
      <w:r w:rsidRPr="00A31137">
        <w:t>Unlike in Scott and Lassiter, the Court gave short shrift in Mayer to the distinction, as old as our Constitution, between crimes punishable by imprisonment and crimes punishable merely by fines. See Lassiter, supra at 26-27; Scott, supra at 373. Even though specific text-based constitutional protections have been withheld in cases not involving the prospect of imprisonment, the Court found the difference of no moment in Mayer. The Court reasoned that</w:t>
      </w:r>
    </w:p>
    <w:p w:rsidR="00A31137" w:rsidRPr="00A31137" w:rsidRDefault="00A31137" w:rsidP="00A31137">
      <w:r w:rsidRPr="00A31137">
        <w:t>1996, M.L.B. v. S.L.J., No. 95-853</w:t>
      </w:r>
    </w:p>
    <w:p w:rsidR="00A31137" w:rsidRPr="00A31137" w:rsidRDefault="00A31137" w:rsidP="00A31137">
      <w:r w:rsidRPr="00A31137">
        <w:t>[t]he invidiousness of the discrimination that exists when criminal procedures are made available only to those who can pay is not erased by any differences in the sentences that may be imposed.</w:t>
      </w:r>
    </w:p>
    <w:p w:rsidR="00A31137" w:rsidRPr="00A31137" w:rsidRDefault="00A31137" w:rsidP="00A31137">
      <w:r w:rsidRPr="00A31137">
        <w:t>1996, M.L.B. v. S.L.J., No. 95-853</w:t>
      </w:r>
    </w:p>
    <w:p w:rsidR="00A31137" w:rsidRPr="00A31137" w:rsidRDefault="00A31137" w:rsidP="00A31137">
      <w:r w:rsidRPr="00A31137">
        <w:t>404 U.S. at 197. We reap today what we sowed then. If requiring payment for procedures (e.g., appeals) that are not themselves required is invidious discrimination no matter what sentence results, it is difficult to imagine why it is not invidious discrimination no matter what results and no matter whether the procedures involve a criminal or civil case. See supra at ___. To me, this points up the difficulty underlying the entire Griffin line. Taking the Griffin line as a given, however, and in the absence of any obvious limiting principle, I would restrict it to the criminal appeals to which its authors, see Boddie v. Connecticut, 401 U.S. at  389 (Black, J., dissenting), sought to limit it.</w:t>
      </w:r>
    </w:p>
    <w:p w:rsidR="00A31137" w:rsidRPr="00A31137" w:rsidRDefault="00A31137" w:rsidP="00A31137">
      <w:r w:rsidRPr="00A31137">
        <w:t>1996, M.L.B. v. S.L.J., No. 95-853</w:t>
      </w:r>
    </w:p>
    <w:p w:rsidR="00A31137" w:rsidRPr="00A31137" w:rsidRDefault="00A31137" w:rsidP="00A31137">
      <w:r w:rsidRPr="00A31137">
        <w:t>The distinction between criminal and civil cases—if blurred at the margins—has persisted throughout the law. The distinction that the majority seeks to draw between the case we confront today and the other civil cases that we will surely face tomorrow is far more ephemeral. If all that is required to trigger the right to a free appellate transcript is that the interest at stake appear to us to be as fundamental as the interest of a convicted misdemeanant, several kinds of civil suits involving interests that seem fundamental enough leap to mind. Will the Court, for example, now extend the right to a free transcript to an indigent seeking to appeal the outcome of a paternity suit? 3 To those who wish to appeal custody determinations? 4 How about persons against whom divorce decrees are entered? 5 Civil suits that arise out of challenges to zoning ordinances with an impact on families? 6 Why not foreclosure actions—or at least foreclosure actions seeking to oust persons from their homes of many years? 7</w:t>
      </w:r>
    </w:p>
    <w:p w:rsidR="00A31137" w:rsidRPr="00A31137" w:rsidRDefault="00A31137" w:rsidP="00A31137">
      <w:r w:rsidRPr="00A31137">
        <w:t>1996, M.L.B. v. S.L.J., No. 95-853</w:t>
      </w:r>
    </w:p>
    <w:p w:rsidR="00A31137" w:rsidRPr="00A31137" w:rsidRDefault="00A31137" w:rsidP="00A31137">
      <w:r w:rsidRPr="00A31137">
        <w:t>The majority seeks to provide assurances that its holding will not extend beyond parental termination suits. The holdings of Santosky and Lassiter—both of which involved parental termination—have not, we are told, been applied to other areas of law. Ante at ___. This is not comforting. Both Santosky and Lassiter are cases that determined the requirements of due process (not equal protection) in the parental rights termination area. As the Court has said countless times, the requirements of due process vary considerably with the interest involved and the action to which it is subject. It is little wonder, then, that the specific due process requirements for one sort of action are not readily transferable to others. I have my doubts that today's opinion will be so confined. In the first place, it is not clear whether it is an equal protection or a due process opinion. Moreover, the principle on which it appears to rest hardly seems capable of stemming the tide. Petitioner is permitted a free appellate transcript because the interest that underlies her civil claim compares favorably to the interest of the misdemeanant facing a $500 fine and unknown professional difficulties in Mayer v. Illinois. Under the rule announced today, I do not see how a civil litigant could constitutionally be denied a free transcript in any case that involves an interest that is arguably as important as the interest in Mayer (which would appear to include all the types of cases that I mention above, and perhaps many others). 8 What is more, it must be remembered that Griffin did not merely invent the free transcript right for criminal appellants; it was also the launching pad for the discovery of a host of other rights. See, e.g., Bounds, 430 U.S. at 822 (right to prison law libraries or legal assistance); Douglas, 372 U.S. at  356 (right to free appellate counsel). I fear that the growth of Griffin in the criminal area may be mirrored in the civil area.</w:t>
      </w:r>
    </w:p>
    <w:p w:rsidR="00A31137" w:rsidRPr="00A31137" w:rsidRDefault="00A31137" w:rsidP="00A31137">
      <w:r w:rsidRPr="00A31137">
        <w:t>1996, M.L.B. v. S.L.J., No. 95-853</w:t>
      </w:r>
    </w:p>
    <w:p w:rsidR="00A31137" w:rsidRPr="00A31137" w:rsidRDefault="00A31137" w:rsidP="00A31137">
      <w:r w:rsidRPr="00A31137">
        <w:t>In brushing aside the distinction between criminal and civil cases—the distinction that has constrained Griffin for 40 years—the Court has eliminated the last meaningful limit on the free-floating right to appellate assistance. From Mayer, an unfortunate outlier in the Griffin line, has sprung the M.L.B. line, and I have no confidence that the majority's assurances that the line starts and ends with this case will hold true.</w:t>
      </w:r>
    </w:p>
    <w:p w:rsidR="00A31137" w:rsidRPr="00A31137" w:rsidRDefault="00A31137" w:rsidP="00A31137">
      <w:r w:rsidRPr="00A31137">
        <w:t>III</w:t>
      </w:r>
    </w:p>
    <w:p w:rsidR="00A31137" w:rsidRPr="00A31137" w:rsidRDefault="00A31137" w:rsidP="00A31137">
      <w:r w:rsidRPr="00A31137">
        <w:t>1996, M.L.B. v. S.L.J., No. 95-853</w:t>
      </w:r>
    </w:p>
    <w:p w:rsidR="00A31137" w:rsidRPr="00A31137" w:rsidRDefault="00A31137" w:rsidP="00A31137">
      <w:r w:rsidRPr="00A31137">
        <w:t>As the majority points out, many States already provide for in forma pauperis civil appeals, with some making special allowances for parental termination cases. I do not dispute the wisdom or charity of these heretofore voluntary allocations of the various States' scarce resources. I agree that, for many—if not most—parents, the termination of their right to raise their children would be an exaction more dear than any other. It seems perfectly reasonable for States to choose to provide extraconstitutional procedures to ensure that any such termination is undertaken with care. I do not agree, however, that a State that has taken the step, not required by the Constitution, of permitting appeals from termination decisions somehow violates the Constitution when it charges reasonable fees of all would-be appellants. I respectfully dissent.</w:t>
      </w:r>
    </w:p>
    <w:p w:rsidR="00A31137" w:rsidRPr="00A31137" w:rsidRDefault="00A31137" w:rsidP="00A31137">
      <w:r w:rsidRPr="00A31137">
        <w:t>Footnotes</w:t>
      </w:r>
    </w:p>
    <w:p w:rsidR="00A31137" w:rsidRPr="00A31137" w:rsidRDefault="00A31137" w:rsidP="00A31137">
      <w:r w:rsidRPr="00A31137">
        <w:t>GINSBURG, J., lead opinion (Footnotes)</w:t>
      </w:r>
    </w:p>
    <w:p w:rsidR="00A31137" w:rsidRPr="00A31137" w:rsidRDefault="00A31137" w:rsidP="00A31137">
      <w:r w:rsidRPr="00A31137">
        <w:t>1996, M.L.B. v. S.L.J., No. 95-853</w:t>
      </w:r>
    </w:p>
    <w:p w:rsidR="00A31137" w:rsidRPr="00A31137" w:rsidRDefault="00A31137" w:rsidP="00A31137">
      <w:r w:rsidRPr="00A31137">
        <w:t>1. Miss.Code Ann. § 93-15-103(3) (1994) sets forth several grounds for termination of parental rights, including, in subsection (3)(e),</w:t>
      </w:r>
    </w:p>
    <w:p w:rsidR="00A31137" w:rsidRPr="00A31137" w:rsidRDefault="00A31137" w:rsidP="00A31137">
      <w:r w:rsidRPr="00A31137">
        <w:t>1996, M.L.B. v. S.L.J., No. 95-853</w:t>
      </w:r>
    </w:p>
    <w:p w:rsidR="00A31137" w:rsidRPr="00A31137" w:rsidRDefault="00A31137" w:rsidP="00A31137">
      <w:r w:rsidRPr="00A31137">
        <w:t>when there is [a] substantial erosion of the relationship between the parent and child which was caused at least in part by the parent's serious neglect, abuse, prolonged and unreasonable absence, unreasonable failure to visit or communicate, or prolonged imprisonment.</w:t>
      </w:r>
    </w:p>
    <w:p w:rsidR="00A31137" w:rsidRPr="00A31137" w:rsidRDefault="00A31137" w:rsidP="00A31137">
      <w:r w:rsidRPr="00A31137">
        <w:t>1996, M.L.B. v. S.L.J., No. 95-853</w:t>
      </w:r>
    </w:p>
    <w:p w:rsidR="00A31137" w:rsidRPr="00A31137" w:rsidRDefault="00A31137" w:rsidP="00A31137">
      <w:r w:rsidRPr="00A31137">
        <w:t>M.L.B. notes that, "in repeating the catch-all language of [the statute], the Chancellor said that [she] was guilty of 'serious…abuse.'" Reply Brief 6, n. 1. "However," M.L.B. adds, "there was no allegation of abuse in the complaint in this case or at any other stage of the proceedings." Ibid.</w:t>
      </w:r>
    </w:p>
    <w:p w:rsidR="00A31137" w:rsidRPr="00A31137" w:rsidRDefault="00A31137" w:rsidP="00A31137">
      <w:r w:rsidRPr="00A31137">
        <w:t>1996, M.L.B. v. S.L.J., No. 95-853</w:t>
      </w:r>
    </w:p>
    <w:p w:rsidR="00A31137" w:rsidRPr="00A31137" w:rsidRDefault="00A31137" w:rsidP="00A31137">
      <w:r w:rsidRPr="00A31137">
        <w:t>2. In fact, Mississippi, by statute, provides for coverage of transcript fees and other costs for indigents in civil commitment appeals. Miss.Code Ann. § 41-21-83 (Supp. 1996) (record on appeal shall include transcript of commitment hearing); § 41-21-85 (1972) (all costs of hearing or appeal shall be borne by state board of mental health when patient is indigent).</w:t>
      </w:r>
    </w:p>
    <w:p w:rsidR="00A31137" w:rsidRPr="00A31137" w:rsidRDefault="00A31137" w:rsidP="00A31137">
      <w:r w:rsidRPr="00A31137">
        <w:t>1996, M.L.B. v. S.L.J., No. 95-853</w:t>
      </w:r>
    </w:p>
    <w:p w:rsidR="00A31137" w:rsidRPr="00A31137" w:rsidRDefault="00A31137" w:rsidP="00A31137">
      <w:r w:rsidRPr="00A31137">
        <w:t>3. On the efficacy of appellate review in parental status termination cases, M.L.B. notes that of the eight reported appellate challenges to Mississippi trial court termination orders from 1980 through May 1996, three were reversed by the Mississippi Supreme Court for failure to meet the "clear and convincing" proof standard. Brief for Petitioner 20; see also Reply Brief 6 ("[I]n civil cases generally, the Mississippi Court of Appeals reversed or vacated nearly 39% of the trial court decisions it reviewed in 1995 and the Mississippi Supreme Court reversed or vacated nearly 37%. Supreme Court of Mississippi, 1995 Annual Report, pp. 22, 41.").</w:t>
      </w:r>
    </w:p>
    <w:p w:rsidR="00A31137" w:rsidRPr="00A31137" w:rsidRDefault="00A31137" w:rsidP="00A31137">
      <w:r w:rsidRPr="00A31137">
        <w:t>1996, M.L.B. v. S.L.J., No. 95-853</w:t>
      </w:r>
    </w:p>
    <w:p w:rsidR="00A31137" w:rsidRPr="00A31137" w:rsidRDefault="00A31137" w:rsidP="00A31137">
      <w:r w:rsidRPr="00A31137">
        <w:t>4. See, e.g., Williams v. Oklahoma City, 395 U.S. 458, 458-459 (1969) (per curiam) (transcript needed to perfect appeal must be furnished at state expense to indigent defendant sentenced to 90 days in jail and a $50 fine for drunk driving); Long v. District Court of Iowa, Lee Cty., 385 U.S. 192, 192-194 (1966) (per curiam) (transcript must be furnished at state expense to enable indigent state habeas corpus petitioner to appeal denial of relief); Smith v. Bennett, 365 U.S. 708, 708-709 (1961) (filing fee to process state habeas corpus application must be waived for indigent prisoner); Burns v. Ohio, 360 U.S. 252, 253, 257-258 (1959) (filing fee for motion for leave to appeal from judgment of intermediate appellate court to State Supreme Court must be waived when defendant is indigent).</w:t>
      </w:r>
    </w:p>
    <w:p w:rsidR="00A31137" w:rsidRPr="00A31137" w:rsidRDefault="00A31137" w:rsidP="00A31137">
      <w:r w:rsidRPr="00A31137">
        <w:t>1996, M.L.B. v. S.L.J., No. 95-853</w:t>
      </w:r>
    </w:p>
    <w:p w:rsidR="00A31137" w:rsidRPr="00A31137" w:rsidRDefault="00A31137" w:rsidP="00A31137">
      <w:r w:rsidRPr="00A31137">
        <w:t>5. Griffin did not impose an inflexible requirement that a State provide a full trial transcript to an indigent defendant pursuing an appeal. See Griffin v. Illinois, 351 U.S. 12,  20 (1956) (State need not purchase a stenographer's transcript in every case where an indigent defendant cannot buy it; State "Supreme Court may find other means of affording adequate and effective appellate review to indigent defendants."). In Draper v. Washington, 372 U.S. 487 (1963), we invalidated a state rule that tied an indigent defendant's ability to obtain a transcript at public expense to the trial judge's finding that the defendant's appeal was not frivolous. Id. at 498-500. We emphasized, however, that the Griffin requirement is not rigid. "Alternative methods of reporting trial proceedings," we observed,</w:t>
      </w:r>
    </w:p>
    <w:p w:rsidR="00A31137" w:rsidRPr="00A31137" w:rsidRDefault="00A31137" w:rsidP="00A31137">
      <w:r w:rsidRPr="00A31137">
        <w:t>1996, M.L.B. v. S.L.J., No. 95-853</w:t>
      </w:r>
    </w:p>
    <w:p w:rsidR="00A31137" w:rsidRPr="00A31137" w:rsidRDefault="00A31137" w:rsidP="00A31137">
      <w:r w:rsidRPr="00A31137">
        <w:t>are permissible if they place before the appellate court an equivalent report of the events at trial from which the appellant's contentions arise.</w:t>
      </w:r>
    </w:p>
    <w:p w:rsidR="00A31137" w:rsidRPr="00A31137" w:rsidRDefault="00A31137" w:rsidP="00A31137">
      <w:r w:rsidRPr="00A31137">
        <w:t>1996, M.L.B. v. S.L.J., No. 95-853</w:t>
      </w:r>
    </w:p>
    <w:p w:rsidR="00A31137" w:rsidRPr="00A31137" w:rsidRDefault="00A31137" w:rsidP="00A31137">
      <w:r w:rsidRPr="00A31137">
        <w:t>372 U.S. at  495. Moreover, we held, an indigent defendant is entitled only to those parts of the trial record that are "germane to consideration of the appeal." Ibid.; see also Mayer v. Chicago, 404 U.S. 189, 194 (1971) ("A record of sufficient completeness does not translate automatically into a complete verbatim transcript." (internal quotation marks omitted)).</w:t>
      </w:r>
    </w:p>
    <w:p w:rsidR="00A31137" w:rsidRPr="00A31137" w:rsidRDefault="00A31137" w:rsidP="00A31137">
      <w:r w:rsidRPr="00A31137">
        <w:t>1996, M.L.B. v. S.L.J., No. 95-853</w:t>
      </w:r>
    </w:p>
    <w:p w:rsidR="00A31137" w:rsidRPr="00A31137" w:rsidRDefault="00A31137" w:rsidP="00A31137">
      <w:r w:rsidRPr="00A31137">
        <w:t>6. As examples, the Court listed: Eisenstadt v. Baird, 405 U.S. 438,  453 (1972) (right to be free from government interference in deciding whether to bear or beget a child is "fundamenta[l]," and may not be burdened based upon marital status); Loving v. Virginia, 388 U.S. 1,  12 (1967) ("Marriage is [a] 'basic civil righ[t],'" and cannot be denied based on a racial classification. (citations omitted)); Griswold v. Connecticut, 381 U.S. 479, 485-486 (1965) (marital relationship "is an association that promotes a way of life,…a harmony in living,…a bilateral loyalty," and the use of contraception within marriage is protected against government intrusion); Skinner v. Oklahoma ex rel. Williamson, 316 U.S. 535,  541 (1942) (Because the power to sterilize affects "a basic liberty[,]…strict scrutiny of the classification which a State makes in a sterilization law is essential."); Meyer v. Nebraska, 262 U.S. 390,  399 (1923) (recognizing liberty interest in raising children). See Kras, 409 U.S. at 444.</w:t>
      </w:r>
    </w:p>
    <w:p w:rsidR="00A31137" w:rsidRPr="00A31137" w:rsidRDefault="00A31137" w:rsidP="00A31137">
      <w:r w:rsidRPr="00A31137">
        <w:t>1996, M.L.B. v. S.L.J., No. 95-853</w:t>
      </w:r>
    </w:p>
    <w:p w:rsidR="00A31137" w:rsidRPr="00A31137" w:rsidRDefault="00A31137" w:rsidP="00A31137">
      <w:r w:rsidRPr="00A31137">
        <w:t>7. The Court ranked the prescription in Kras with economic and social welfare legislation generally, and cited among examples: Jefferson v. Hackney, 406 U.S. 535, 546 (1972) (Texas scheme for allocating limited welfare benefits is a rational legislative "effor[t] to tackle the problems of the poor and the needy."); Richardson v. Belcher, 404 U.S. 78 (1971) (federal statute mandating reductions in Social Security benefits to reflect workers' compensation payments is social welfare regulation that survives rational basis review); Dandridge v. Williams, 397 U.S. 471,  483,  487 (1970) (Maryland "maximum grant regulation" limiting family welfare benefits is economic, social welfare regulation that is "rationally based and free from invidious discrimination."); Flemming v. Nestor, 363 U.S. 603,  606,  611 (1960) (The right to receive benefits under the Social Security Act is not "an accrued property right," but Congress may not take away benefits arbitrarily.). See Kras, 409 U.S. at 445-446.</w:t>
      </w:r>
    </w:p>
    <w:p w:rsidR="00A31137" w:rsidRPr="00A31137" w:rsidRDefault="00A31137" w:rsidP="00A31137">
      <w:r w:rsidRPr="00A31137">
        <w:t>1996, M.L.B. v. S.L.J., No. 95-853</w:t>
      </w:r>
    </w:p>
    <w:p w:rsidR="00A31137" w:rsidRPr="00A31137" w:rsidRDefault="00A31137" w:rsidP="00A31137">
      <w:r w:rsidRPr="00A31137">
        <w:t>8. Although the termination proceeding in this case was initiated by private parties as a prelude to an adoption petition, rather than by a state agency, the challenged state action remains essentially the same: M.L.B. resists the imposition of an official decree extinguishing, as no power other than the State can, her parent-child relationships.</w:t>
      </w:r>
    </w:p>
    <w:p w:rsidR="00A31137" w:rsidRPr="00A31137" w:rsidRDefault="00A31137" w:rsidP="00A31137">
      <w:r w:rsidRPr="00A31137">
        <w:t>1996, M.L.B. v. S.L.J., No. 95-853</w:t>
      </w:r>
    </w:p>
    <w:p w:rsidR="00A31137" w:rsidRPr="00A31137" w:rsidRDefault="00A31137" w:rsidP="00A31137">
      <w:r w:rsidRPr="00A31137">
        <w:t>9. The Court noted, among other considerations, that petitions to terminate parental rights may charge criminal activity and that "[p]arents so accused may need legal counsel to guide them in understanding the problems such petitions may create." Lassiter, 452 U.S. at 27, n. 3.</w:t>
      </w:r>
    </w:p>
    <w:p w:rsidR="00A31137" w:rsidRPr="00A31137" w:rsidRDefault="00A31137" w:rsidP="00A31137">
      <w:r w:rsidRPr="00A31137">
        <w:t>1996, M.L.B. v. S.L.J., No. 95-853</w:t>
      </w:r>
    </w:p>
    <w:p w:rsidR="00A31137" w:rsidRPr="00A31137" w:rsidRDefault="00A31137" w:rsidP="00A31137">
      <w:r w:rsidRPr="00A31137">
        <w:t>10. Earlier, in Addington v. Texas, 441 U.S. 418, 431-432 (1979), the Court concluded that the Fourteenth Amendment requires a "clear and convincing" standard of proof in civil commitment proceedings.</w:t>
      </w:r>
    </w:p>
    <w:p w:rsidR="00A31137" w:rsidRPr="00A31137" w:rsidRDefault="00A31137" w:rsidP="00A31137">
      <w:r w:rsidRPr="00A31137">
        <w:t>1996, M.L.B. v. S.L.J., No. 95-853</w:t>
      </w:r>
    </w:p>
    <w:p w:rsidR="00A31137" w:rsidRPr="00A31137" w:rsidRDefault="00A31137" w:rsidP="00A31137">
      <w:r w:rsidRPr="00A31137">
        <w:t>11. In Rivera v. Minnich, 483 U.S. 574 (1987), the Court declined to extend Santosky to paternity proceedings. The Court distinguished the State's imposition of the legal obligations attending a biological relationship between parent and child from the State's termination of a fully existing parent-child relationship. See Rivera, 483 U.S. at 579-582. In drawing this distinction, the Court found it enlightening that state legislatures had similarly separated the two proceedings: most jurisdictions applied a "preponderance of the evidence" standard in paternity cases, while 38 jurisdictions, at the time Santosky was decided, required a higher standard of proof in proceedings to terminate parental rights. See Rivera, 483 U.S. at 578-579 (citing Santosky, 455 U.S. at 749-750).</w:t>
      </w:r>
    </w:p>
    <w:p w:rsidR="00A31137" w:rsidRPr="00A31137" w:rsidRDefault="00A31137" w:rsidP="00A31137">
      <w:r w:rsidRPr="00A31137">
        <w:t>1996, M.L.B. v. S.L.J., No. 95-853</w:t>
      </w:r>
    </w:p>
    <w:p w:rsidR="00A31137" w:rsidRPr="00A31137" w:rsidRDefault="00A31137" w:rsidP="00A31137">
      <w:r w:rsidRPr="00A31137">
        <w:t>12. See supra at ___, n. 8.</w:t>
      </w:r>
    </w:p>
    <w:p w:rsidR="00A31137" w:rsidRPr="00A31137" w:rsidRDefault="00A31137" w:rsidP="00A31137">
      <w:r w:rsidRPr="00A31137">
        <w:t>1996, M.L.B. v. S.L.J., No. 95-853</w:t>
      </w:r>
    </w:p>
    <w:p w:rsidR="00A31137" w:rsidRPr="00A31137" w:rsidRDefault="00A31137" w:rsidP="00A31137">
      <w:r w:rsidRPr="00A31137">
        <w:t>13. Many States provide for in forma pauperis appeals, including transcripts, in civil cases generally. See, e.g., Alaska Rule App.Proc. 209(a)(3) (1996); Conn.Rule App.Proc. 4017 (1996); D. C. Code Ann. § 15-712 (1995); Idaho Code § 31-3220(5) (1996); Ill.Ann.Stat., ch. 735, § 5/5-105.5(b) (Supp. 1996); Ky.Rev.Stat.Ann. § 453.190 (Baldwin 1991); La.Code Civ.Proc. Ann., Art. 5185 (Supp. 1996); Me.Rule Civ.Proc. 91(f) (1996); Minn.Stat. § 563.01, subd. 7 (1994); Mo.Rev.Stat. § 512.150 (1994); Neb.Rev.Stat. § 25-2306 (1995); Nev.Rev.Stat. § 12.015.2 (1995); N.M.Stat.Ann. § 39-3-12 (1991); N.Y.Civ.Prac.Law § 1102(b) (McKinney 1976); Ore.Rev.Stat. § 21.605(3)(a) (1991); Pa.Rule Jud.Admin. 5000.2(h) (1996); Tex.Rule App.Proc. 53(j)(1) (1996); Vt.Rule App.Proc. 10(b)(4)(1996); Wash.Rule App.Proc. 15.4(d) (1996); W.Va.Code § 59-2-1(a) (Supp. 1996); State ex rel. Girouard v. Circuit Court for Jackson County, 155 Wis.2d 148, 454 N.W.2d 792 (1990). Several States deal discretely with in forma pauperis appeals, including transcripts, in parental status termination cases. See, e.g., In re Appeal in Pima County v. Howard, 112 Ariz. 170, 540 P.2d 642 (1975); Cal.Family Code Ann. § 7895(c) (West 1994); Colo.Rev.Stat. § 19-3-609 (Supp. 1996); Nix v. Department of Human Resources, 236 Ga. 794, 225 S.E.2d 306 (1976); In re Chambers, 261 Iowa 31, 152 N.W.2d 818 (1967); Kan.Stat.Ann. § 38-1593 (1986); In re Karren, 280 Minn. 377, 159 N.W.2d 402 (1968); Mich.Rule P.Ct. 5.974(H)(3) (1996); In re Dotson, 72 N.J. 112, 367 A.2d 1160 (1976); State ex rel. Heller v. Miller, 61 Ohio St.2d 6, 399 N.E.2d 66 (1980); Ex parte Cauthen, 291 S.C. 465, 354 S.E.2d 381 (1987).</w:t>
      </w:r>
    </w:p>
    <w:p w:rsidR="00A31137" w:rsidRPr="00A31137" w:rsidRDefault="00A31137" w:rsidP="00A31137">
      <w:r w:rsidRPr="00A31137">
        <w:t>1996, M.L.B. v. S.L.J., No. 95-853</w:t>
      </w:r>
    </w:p>
    <w:p w:rsidR="00A31137" w:rsidRPr="00A31137" w:rsidRDefault="00A31137" w:rsidP="00A31137">
      <w:r w:rsidRPr="00A31137">
        <w:t>14. The pathmarking voting and ballot access decisions are Harper v. Virginia Bd. of Elections, 383 U.S. 663,  664,  666 (1966) (invalidating, as a denial of equal protection, an annual $1.50 poll tax imposed by Virginia on all residents over 21); Bullock v. Carter, 405 U.S. 134, 135, 145, 149 (1972) (invalidating Texas scheme under which candidates for local office had to pay fees as high as $8,900 to get on the ballot); Lubin v. Panish, 415 U.S. 709, 710, 718 (1974) (invalidating California statute requiring payment of a ballot-access fee fixed at a percentage of the salary for the office sought). Notably, the Court in Harper recognized that "a State may exact fees from citizens for many different kinds of licenses." 383 U.S. at  668. For example, the State "can demand from all an equal fee for a driver's license." Ibid. But voting cannot hinge on ability to pay, the Court explained, for it is a "'fundamental political right…preservative of all rights.'" Id. at  667 (quoting Yick Wo v. Hopkins, 118 U.S. 356,  370 (1886)). Bullock rejected as justifications for excluding impecunious persons, the State's concern about unwieldy ballots and its interest in financing elections. 405 U.S. at 144-149. Lubin reaffirmed that a State may not require from an indigent candidate "fees he cannot pay." 415 U.S. at 718.</w:t>
      </w:r>
    </w:p>
    <w:p w:rsidR="00A31137" w:rsidRPr="00A31137" w:rsidRDefault="00A31137" w:rsidP="00A31137">
      <w:r w:rsidRPr="00A31137">
        <w:t>1996, M.L.B. v. S.L.J., No. 95-853</w:t>
      </w:r>
    </w:p>
    <w:p w:rsidR="00A31137" w:rsidRPr="00A31137" w:rsidRDefault="00A31137" w:rsidP="00A31137">
      <w:r w:rsidRPr="00A31137">
        <w:t>15. See Personnel Administrator of Mass. v. Feeney, 442 U.S. 256 (1979); Arlington Heights v. Metropolitan Housing Development Corp., 429 U.S. 252 (1977).</w:t>
      </w:r>
    </w:p>
    <w:p w:rsidR="00A31137" w:rsidRPr="00A31137" w:rsidRDefault="00A31137" w:rsidP="00A31137">
      <w:r w:rsidRPr="00A31137">
        <w:t>1996, M.L.B. v. S.L.J., No. 95-853</w:t>
      </w:r>
    </w:p>
    <w:p w:rsidR="00A31137" w:rsidRPr="00A31137" w:rsidRDefault="00A31137" w:rsidP="00A31137">
      <w:r w:rsidRPr="00A31137">
        <w:t>16. Six of the seven Justices in the majority in Washington v. Davis, 426 U.S. 229 (1976), had two Terms before Davis read our decisions in Griffin and related cases to hold that</w:t>
      </w:r>
    </w:p>
    <w:p w:rsidR="00A31137" w:rsidRPr="00A31137" w:rsidRDefault="00A31137" w:rsidP="00A31137">
      <w:r w:rsidRPr="00A31137">
        <w:t>1996, M.L.B. v. S.L.J., No. 95-853</w:t>
      </w:r>
    </w:p>
    <w:p w:rsidR="00A31137" w:rsidRPr="00A31137" w:rsidRDefault="00A31137" w:rsidP="00A31137">
      <w:r w:rsidRPr="00A31137">
        <w:t>[t]he State cannot adopt procedures which leave an indigent defendant "entirely cut off from any appeal at all," by virtue of his indigency, or extend to such indigent defendants merely a "meaningless ritual" while others in better economic circumstances have a "meaningful appeal."</w:t>
      </w:r>
    </w:p>
    <w:p w:rsidR="00A31137" w:rsidRPr="00A31137" w:rsidRDefault="00A31137" w:rsidP="00A31137">
      <w:r w:rsidRPr="00A31137">
        <w:t>1996, M.L.B. v. S.L.J., No. 95-853</w:t>
      </w:r>
    </w:p>
    <w:p w:rsidR="00A31137" w:rsidRPr="00A31137" w:rsidRDefault="00A31137" w:rsidP="00A31137">
      <w:r w:rsidRPr="00A31137">
        <w:t>Ross v. Moffitt, 417 U.S. 600, 612 (1974) (opinion of the Court by REHNQUIST, J.) (citations omitted).</w:t>
      </w:r>
    </w:p>
    <w:p w:rsidR="00A31137" w:rsidRPr="00A31137" w:rsidRDefault="00A31137" w:rsidP="00A31137">
      <w:r w:rsidRPr="00A31137">
        <w:t>THOMAS, J., dissenting (Footnotes)</w:t>
      </w:r>
    </w:p>
    <w:p w:rsidR="00A31137" w:rsidRPr="00A31137" w:rsidRDefault="00A31137" w:rsidP="00A31137">
      <w:r w:rsidRPr="00A31137">
        <w:t>1996, M.L.B. v. S.L.J., No. 95-853</w:t>
      </w:r>
    </w:p>
    <w:p w:rsidR="00A31137" w:rsidRPr="00A31137" w:rsidRDefault="00A31137" w:rsidP="00A31137">
      <w:r w:rsidRPr="00A31137">
        <w:t>1. Similarly, Harper v. Virginia Bd. of Elections, 383 U.S. 663 (1966), struck down a poll tax that directly restricted the exercise of a right found in that case to be fundamental—the right to vote in state elections. The fee that M.L.B. is unable to pay does not prevent the exercise of a fundamental right directly: The fundamental interest identified by the majority is not the right to a civil appeal, it is rather the right to maintain the parental relationship.</w:t>
      </w:r>
    </w:p>
    <w:p w:rsidR="00A31137" w:rsidRPr="00A31137" w:rsidRDefault="00A31137" w:rsidP="00A31137">
      <w:r w:rsidRPr="00A31137">
        <w:t>1996, M.L.B. v. S.L.J., No. 95-853</w:t>
      </w:r>
    </w:p>
    <w:p w:rsidR="00A31137" w:rsidRPr="00A31137" w:rsidRDefault="00A31137" w:rsidP="00A31137">
      <w:r w:rsidRPr="00A31137">
        <w:t>2. Petitioner suggests that Mississippi's $2 per page charge exceeds the actual cost of transcription. See Reply Brief for Petitioner 8. She stops short of asserting that the charge is unreasonable or irrational. While not conclusive, I note that Mississippi's transcript charge falls comfortably within the range of charges throughout the Nation. See, e.g., Ariz.Rev.Stat.Ann. § 12-224(B) (1992) ($2.50/page); Idaho Code § 1-1105(2) (1990) ($2.00/page); Mass.Gen.Laws § 221:88 (1994) ($3.00/page); Mo.Rev.Stat. § 485.100 (1994) ($1.50/page); N.M.Stat.Ann. § 34-6-20(C) (1996) ($1.65/page); R.I.Gen.Laws § 8-5-5 (Supp. 1995) (family court transcripts, $3.00/page); S.C.App.Ct.Rule 508 ($2.00/page).</w:t>
      </w:r>
    </w:p>
    <w:p w:rsidR="00A31137" w:rsidRPr="00A31137" w:rsidRDefault="00A31137" w:rsidP="00A31137">
      <w:r w:rsidRPr="00A31137">
        <w:t>1996, M.L.B. v. S.L.J., No. 95-853</w:t>
      </w:r>
    </w:p>
    <w:p w:rsidR="00A31137" w:rsidRPr="00A31137" w:rsidRDefault="00A31137" w:rsidP="00A31137">
      <w:r w:rsidRPr="00A31137">
        <w:t>3. In Little v. Streater, 452 U.S. 1 (1981), we held that the Due Process Clause required the States to provide a free blood grouping test to an indigent defendant in a paternity action. The Court observed that,</w:t>
      </w:r>
    </w:p>
    <w:p w:rsidR="00A31137" w:rsidRPr="00A31137" w:rsidRDefault="00A31137" w:rsidP="00A31137">
      <w:r w:rsidRPr="00A31137">
        <w:t>1996, M.L.B. v. S.L.J., No. 95-853</w:t>
      </w:r>
    </w:p>
    <w:p w:rsidR="00A31137" w:rsidRPr="00A31137" w:rsidRDefault="00A31137" w:rsidP="00A31137">
      <w:r w:rsidRPr="00A31137">
        <w:t>[a]part from the putative father's pecuniary interest in avoiding a substantial support obligation and liberty interest threatened by the possible sanctions for noncompliance at issue is the creation of a parent-child relationship. This Court frequently has stressed the importance of familial bonds, whether or not legitimized by marriage, and accorded them constitutional protection. Just as the termination of such bonds demands procedural fairness, so too does their imposition.</w:t>
      </w:r>
    </w:p>
    <w:p w:rsidR="00A31137" w:rsidRPr="00A31137" w:rsidRDefault="00A31137" w:rsidP="00A31137">
      <w:r w:rsidRPr="00A31137">
        <w:t>1996, M.L.B. v. S.L.J., No. 95-853</w:t>
      </w:r>
    </w:p>
    <w:p w:rsidR="00A31137" w:rsidRPr="00A31137" w:rsidRDefault="00A31137" w:rsidP="00A31137">
      <w:r w:rsidRPr="00A31137">
        <w:t>Id. at 13 (citations omitted). Little's description of the interest at stake in a paternity suit seems to place it on par with the interest here. Justice Blackmun, dissenting in Lassiter, recognized as much:</w:t>
      </w:r>
    </w:p>
    <w:p w:rsidR="00A31137" w:rsidRPr="00A31137" w:rsidRDefault="00A31137" w:rsidP="00A31137">
      <w:r w:rsidRPr="00A31137">
        <w:t>1996, M.L.B. v. S.L.J., No. 95-853</w:t>
      </w:r>
    </w:p>
    <w:p w:rsidR="00A31137" w:rsidRPr="00A31137" w:rsidRDefault="00A31137" w:rsidP="00A31137">
      <w:r w:rsidRPr="00A31137">
        <w:t>I deem it not a little ironic that the Court on this very day grants, on due process grounds, an indigent putative father's claim for state-paid blood grouping tests in the interest of according him a meaningful opportunity to disprove his paternity, [Little v. Streater, supra,] but in the present case rejects, on due process grounds, an indigent mother's claim for state-paid legal assistance when the State seeks to take her own child away from her in a termination proceeding.</w:t>
      </w:r>
    </w:p>
    <w:p w:rsidR="00A31137" w:rsidRPr="00A31137" w:rsidRDefault="00A31137" w:rsidP="00A31137">
      <w:r w:rsidRPr="00A31137">
        <w:t>1996, M.L.B. v. S.L.J., No. 95-853</w:t>
      </w:r>
    </w:p>
    <w:p w:rsidR="00A31137" w:rsidRPr="00A31137" w:rsidRDefault="00A31137" w:rsidP="00A31137">
      <w:r w:rsidRPr="00A31137">
        <w:t>Lassiter v. Department of Social Servs. of Durham Cty., 452 U.S. 18, 58 (dissenting opinion) (citation and emphasis omitted). As the majority indicates, ante at ___, n. 11, we have distinguished—in my view, unpersuasively—between the requirements of due process in paternity suits and in termination suits. See Rivera v. Minnich, 483 U.S. 574 (1987). Whether we will distinguish between paternity appellants and misdemeanor appellants remains to be seen.</w:t>
      </w:r>
    </w:p>
    <w:p w:rsidR="00A31137" w:rsidRPr="00A31137" w:rsidRDefault="00A31137" w:rsidP="00A31137">
      <w:r w:rsidRPr="00A31137">
        <w:t>1996, M.L.B. v. S.L.J., No. 95-853</w:t>
      </w:r>
    </w:p>
    <w:p w:rsidR="00A31137" w:rsidRPr="00A31137" w:rsidRDefault="00A31137" w:rsidP="00A31137">
      <w:r w:rsidRPr="00A31137">
        <w:t>4. See, e.g., Zakrewski v. Fox, 87 F.3d 1011, 1013-1014 (CA8 1996) (father's "fundamental" "liberty interest in the care, custody and management of his son has been substantially reduced by the terms of the divorce decree and Nebraska law").</w:t>
      </w:r>
    </w:p>
    <w:p w:rsidR="00A31137" w:rsidRPr="00A31137" w:rsidRDefault="00A31137" w:rsidP="00A31137">
      <w:r w:rsidRPr="00A31137">
        <w:t>1996, M.L.B. v. S.L.J., No. 95-853</w:t>
      </w:r>
    </w:p>
    <w:p w:rsidR="00A31137" w:rsidRPr="00A31137" w:rsidRDefault="00A31137" w:rsidP="00A31137">
      <w:r w:rsidRPr="00A31137">
        <w:t>5. In Boddie v. Connecticut, 401 U.S. 371 (1971), we referred to a divorce as the "adjustment of a fundamental human relationship."   Id. at 382-383.</w:t>
      </w:r>
    </w:p>
    <w:p w:rsidR="00A31137" w:rsidRPr="00A31137" w:rsidRDefault="00A31137" w:rsidP="00A31137">
      <w:r w:rsidRPr="00A31137">
        <w:t>1996, M.L.B. v. S.L.J., No. 95-853</w:t>
      </w:r>
    </w:p>
    <w:p w:rsidR="00A31137" w:rsidRPr="00A31137" w:rsidRDefault="00A31137" w:rsidP="00A31137">
      <w:r w:rsidRPr="00A31137">
        <w:t>6. See, e.g., Moore v. East Cleveland, 431 U.S. 494 (1977).</w:t>
      </w:r>
    </w:p>
    <w:p w:rsidR="00A31137" w:rsidRPr="00A31137" w:rsidRDefault="00A31137" w:rsidP="00A31137">
      <w:r w:rsidRPr="00A31137">
        <w:t>1996, M.L.B. v. S.L.J., No. 95-853</w:t>
      </w:r>
    </w:p>
    <w:p w:rsidR="00A31137" w:rsidRPr="00A31137" w:rsidRDefault="00A31137" w:rsidP="00A31137">
      <w:r w:rsidRPr="00A31137">
        <w:t>7. Cf. Lindsey v. Normet, 405 U.S. 56, 89-90 (1972) (Douglas, J., dissenting in part) ("[W]here the right is so fundamental as the tenant's claim to his home, the requirements of due process should be more embracing").</w:t>
      </w:r>
    </w:p>
    <w:p w:rsidR="00A31137" w:rsidRPr="00A31137" w:rsidRDefault="00A31137" w:rsidP="00A31137">
      <w:r w:rsidRPr="00A31137">
        <w:t>1996, M.L.B. v. S.L.J., No. 95-853</w:t>
      </w:r>
    </w:p>
    <w:p w:rsidR="00A31137" w:rsidRPr="00A31137" w:rsidRDefault="00A31137" w:rsidP="00A31137">
      <w:r w:rsidRPr="00A31137">
        <w:t>8. Accordingly, Mississippi will no doubt find little solace in the fact that, as the majority notes, of 63,765 civil actions filed in Mississippi Chancery Court in 1995, 194 were parental termination cases. Ante at ___. Mississippi pointed out in its brief that of these civil actions, "39,475 were domestic relations cases," "1027 involved custody or visitation, and 6080 were paternity cases." Brief for Respondents 28.</w:t>
      </w:r>
    </w:p>
    <w:p w:rsidR="00A31137" w:rsidRPr="00A31137" w:rsidRDefault="00A31137" w:rsidP="00A31137">
      <w:r w:rsidRPr="00A31137">
        <w:t>United States v. Watts, 1997</w:t>
      </w:r>
    </w:p>
    <w:p w:rsidR="00A31137" w:rsidRPr="00A31137" w:rsidRDefault="00A31137" w:rsidP="00A31137">
      <w:r w:rsidRPr="00A31137">
        <w:t>Title:</w:t>
      </w:r>
      <w:r w:rsidRPr="00A31137">
        <w:tab/>
        <w:t>United States v. Watts</w:t>
      </w:r>
    </w:p>
    <w:p w:rsidR="00A31137" w:rsidRPr="00A31137" w:rsidRDefault="00A31137" w:rsidP="00A31137">
      <w:r w:rsidRPr="00A31137">
        <w:t>Author:</w:t>
      </w:r>
      <w:r w:rsidRPr="00A31137">
        <w:tab/>
        <w:t>U.S. Supreme Court</w:t>
      </w:r>
    </w:p>
    <w:p w:rsidR="00A31137" w:rsidRPr="00A31137" w:rsidRDefault="00A31137" w:rsidP="00A31137">
      <w:r w:rsidRPr="00A31137">
        <w:t>Date:</w:t>
      </w:r>
      <w:r w:rsidRPr="00A31137">
        <w:tab/>
        <w:t>January 6, 1997</w:t>
      </w:r>
    </w:p>
    <w:p w:rsidR="00A31137" w:rsidRPr="00A31137" w:rsidRDefault="00A31137" w:rsidP="00A31137">
      <w:r w:rsidRPr="00A31137">
        <w:t>Source:</w:t>
      </w:r>
      <w:r w:rsidRPr="00A31137">
        <w:tab/>
        <w:t>Docket No. 95-1906 [U.S. Reports citation not yet available]</w:t>
      </w:r>
    </w:p>
    <w:p w:rsidR="00A31137" w:rsidRPr="00A31137" w:rsidRDefault="00A31137" w:rsidP="00A31137">
      <w:r w:rsidRPr="00A31137">
        <w:t>CERTIORARI TO THE UNITED STATES COURT OF APPEALS</w:t>
      </w:r>
    </w:p>
    <w:p w:rsidR="00A31137" w:rsidRPr="00A31137" w:rsidRDefault="00A31137" w:rsidP="00A31137">
      <w:r w:rsidRPr="00A31137">
        <w:t>FOR THE NINTH CIRCUIT</w:t>
      </w:r>
    </w:p>
    <w:p w:rsidR="00A31137" w:rsidRPr="00A31137" w:rsidRDefault="00A31137" w:rsidP="00A31137">
      <w:r w:rsidRPr="00A31137">
        <w:t>Per curiam opinion.</w:t>
      </w:r>
    </w:p>
    <w:p w:rsidR="00A31137" w:rsidRPr="00A31137" w:rsidRDefault="00A31137" w:rsidP="00A31137">
      <w:r w:rsidRPr="00A31137">
        <w:t>1997, United States v. Watts, No. 95-1906</w:t>
      </w:r>
    </w:p>
    <w:p w:rsidR="00A31137" w:rsidRPr="00A31137" w:rsidRDefault="00A31137" w:rsidP="00A31137">
      <w:r w:rsidRPr="00A31137">
        <w:t>PER CURIAM.</w:t>
      </w:r>
    </w:p>
    <w:p w:rsidR="00A31137" w:rsidRPr="00A31137" w:rsidRDefault="00A31137" w:rsidP="00A31137">
      <w:r w:rsidRPr="00A31137">
        <w:t>1997, United States v. Watts, No. 95-1906</w:t>
      </w:r>
    </w:p>
    <w:p w:rsidR="00A31137" w:rsidRPr="00A31137" w:rsidRDefault="00A31137" w:rsidP="00A31137">
      <w:r w:rsidRPr="00A31137">
        <w:t>In these two cases, two panels of the Court of Appeals for the Ninth Circuit held that sentencing courts could not consider conduct of the defendants underlying charges of which they had been acquitted. United States v. Watts, 67 F.3d 790 (CA9 1995) ("Watts"); United States v. Putra, 78 F.3d 1386 (CA9 1996) ("Putra"). Every other Court of Appeals has held that a sentencing court may do so if the Government establishes that conduct by a preponderance of the evidence. 1 The Government filed a single petition for certiorari seeking review of both cases, pursuant to this Court's Rule 12.4, to resolve this split. Because the panels' holdings conflict with the clear implications of 18 U.S.C. § 3661, the Sentencing Guidelines, and this Court's decisions, particularly Witte v. United States, 515 U.S. ___ (1995), we grant the petition and reverse in both cases.</w:t>
      </w:r>
    </w:p>
    <w:p w:rsidR="00A31137" w:rsidRPr="00A31137" w:rsidRDefault="00A31137" w:rsidP="00A31137">
      <w:r w:rsidRPr="00A31137">
        <w:t>1997, United States v. Watts, No. 95-1906</w:t>
      </w:r>
    </w:p>
    <w:p w:rsidR="00A31137" w:rsidRPr="00A31137" w:rsidRDefault="00A31137" w:rsidP="00A31137">
      <w:r w:rsidRPr="00A31137">
        <w:t>In Watts, police discovered cocaine base in a kitchen cabinet and two loaded guns and ammunition hidden in a bedroom closet of Watts' house. A jury convicted Watts of possessing cocaine base with intent to distribute, in violation of 21 U.S.C. § 841(a)(1), but acquitted him of using a firearm in relation to a drug offense, in violation of 18 U.S.C. § 924(c). Despite Watts' acquittal on the firearms count, the District Court found by a preponderance of the evidence that Watts had possessed the guns in connection with the drug offense. In calculating Watts' sentence, the court therefore added two points to his base offense level under United States Sentencing Commission, Guidelines Manual § 2D1.1(b)(1) (Nov. 1995) (USSG). The Court of Appeals vacated the sentence, holding that "a sentencing judge may not, 'under any standard of proof,' rely on facts of which the defendant was acquitted." 67 F.3d at 797 (quoting United States v. Brady, 928 F.2d 844, 851, and n. 12 (CA9 1991), abrogated on other grounds, Nichols v. United States, 511 U.S. 738 (1994)) (emphasis added in Watts). The Government argued that the District Court could have enhanced Watts' sentence without considering facts "necessarily rejected" by the jury's acquittal on the § 924(c) charge because the sentencing enhancement did not require a connection between the firearm and the predicate offense, whereas § 924(c) did. The court rejected this argument, stated that both the enhancement and § 924(c) involved such a connection, and held that the District Court had impermissibly "reconsider[ed] facts that the jury necessarily rejected by its acquittal of the defendant on another count." 67 F.3d at 796.</w:t>
      </w:r>
    </w:p>
    <w:p w:rsidR="00A31137" w:rsidRPr="00A31137" w:rsidRDefault="00A31137" w:rsidP="00A31137">
      <w:r w:rsidRPr="00A31137">
        <w:t>1997, United States v. Watts, No. 95-1906</w:t>
      </w:r>
    </w:p>
    <w:p w:rsidR="00A31137" w:rsidRPr="00A31137" w:rsidRDefault="00A31137" w:rsidP="00A31137">
      <w:r w:rsidRPr="00A31137">
        <w:t>In Putra, authorities had videotaped two transactions in which Putra and a codefendant (a major drug dealer) sold cocaine to a government informant. The indictment charged Putra with, among other things, one count of aiding and abetting possession with intent to distribute one ounce of cocaine on May 8, 1992, and a second count of aiding and abetting possession with intent to distribute five ounces of cocaine on May 9, 1992, both in violation of 21 U.S.C. § 841(a)(1) and 18 U.S.C. § 2. The jury convicted Putra on the first count, but acquitted her on the second. At sentencing, however, the District Court found by a preponderance of the evidence that Putra had indeed been involved in the May 9 transaction. The District Court explained that the second sale was relevant conduct under USSG § 1B1.3, and it therefore calculated Putra's base offense level under the Guidelines by aggregating the amounts of both sales. As in Watts, the Court of Appeals vacated and remanded for resentencing. Reasoning that the jury's verdict of acquittal manifested an "explicit rejection" of Putra's involvement in the May 9 transaction, the Court of Appeals held that "allowing an increase in Putra's sentence would be effectively punishing her for an offense for which she has been acquitted." 78 F.3d at 1389. The panel explained that it was imposing "a judicial limitation on the facts the district court may consider at sentencing, beyond any limitation imposed by the Guidelines." Ibid. Then-Chief Judge Wallace dissented, arguing that the panel's</w:t>
      </w:r>
    </w:p>
    <w:p w:rsidR="00A31137" w:rsidRPr="00A31137" w:rsidRDefault="00A31137" w:rsidP="00A31137">
      <w:r w:rsidRPr="00A31137">
        <w:t>1997, United States v. Watts, No. 95-1906</w:t>
      </w:r>
    </w:p>
    <w:p w:rsidR="00A31137" w:rsidRPr="00A31137" w:rsidRDefault="00A31137" w:rsidP="00A31137">
      <w:r w:rsidRPr="00A31137">
        <w:t>sweeping language contradicts the Guidelines, our practice prior to enactment of the Guidelines, decisions of other circuits, and recent Supreme Court authority.</w:t>
      </w:r>
    </w:p>
    <w:p w:rsidR="00A31137" w:rsidRPr="00A31137" w:rsidRDefault="00A31137" w:rsidP="00A31137">
      <w:r w:rsidRPr="00A31137">
        <w:t>1997, United States v. Watts, No. 95-1906</w:t>
      </w:r>
    </w:p>
    <w:p w:rsidR="00A31137" w:rsidRPr="00A31137" w:rsidRDefault="00A31137" w:rsidP="00A31137">
      <w:r w:rsidRPr="00A31137">
        <w:t>Id. at 1390.</w:t>
      </w:r>
    </w:p>
    <w:p w:rsidR="00A31137" w:rsidRPr="00A31137" w:rsidRDefault="00A31137" w:rsidP="00A31137">
      <w:r w:rsidRPr="00A31137">
        <w:t>1997, United States v. Watts, No. 95-1906</w:t>
      </w:r>
    </w:p>
    <w:p w:rsidR="00A31137" w:rsidRPr="00A31137" w:rsidRDefault="00A31137" w:rsidP="00A31137">
      <w:r w:rsidRPr="00A31137">
        <w:t>We begin our analysis with 18 U.S.C. § 3661, which codifies the longstanding principle that sentencing courts have broad discretion to consider various kinds of information. The statute states:</w:t>
      </w:r>
    </w:p>
    <w:p w:rsidR="00A31137" w:rsidRPr="00A31137" w:rsidRDefault="00A31137" w:rsidP="00A31137">
      <w:r w:rsidRPr="00A31137">
        <w:t>1997, United States v. Watts, No. 95-1906</w:t>
      </w:r>
    </w:p>
    <w:p w:rsidR="00A31137" w:rsidRPr="00A31137" w:rsidRDefault="00A31137" w:rsidP="00A31137">
      <w:r w:rsidRPr="00A31137">
        <w:t>No limitation shall be placed on the information concerning the background, character, and conduct of a person convicted of an offense which a court of the United States may receive and consider for the purpose of imposing an appropriate sentence.</w:t>
      </w:r>
    </w:p>
    <w:p w:rsidR="00A31137" w:rsidRPr="00A31137" w:rsidRDefault="00A31137" w:rsidP="00A31137">
      <w:r w:rsidRPr="00A31137">
        <w:t>1997, United States v. Watts, No. 95-1906</w:t>
      </w:r>
    </w:p>
    <w:p w:rsidR="00A31137" w:rsidRPr="00A31137" w:rsidRDefault="00A31137" w:rsidP="00A31137">
      <w:r w:rsidRPr="00A31137">
        <w:t>We reiterated this principle in Williams v. New York, 337 U.S. 241 (1949), in which a defendant convicted of murder and sentenced to death challenged the sentencing court's reliance on information that the defendant had been involved in 30 burglaries of which he had not been convicted. We contrasted the different limitations on presentation of evidence at trial and at sentencing:</w:t>
      </w:r>
    </w:p>
    <w:p w:rsidR="00A31137" w:rsidRPr="00A31137" w:rsidRDefault="00A31137" w:rsidP="00A31137">
      <w:r w:rsidRPr="00A31137">
        <w:t>1997, United States v. Watts, No. 95-1906</w:t>
      </w:r>
    </w:p>
    <w:p w:rsidR="00A31137" w:rsidRPr="00A31137" w:rsidRDefault="00A31137" w:rsidP="00A31137">
      <w:r w:rsidRPr="00A31137">
        <w:t>Highly relevant—if not essential—to [the judge's] selection of an appropriate sentence is the possession of the fullest information possible concerning the defendant's life and characteristics.</w:t>
      </w:r>
    </w:p>
    <w:p w:rsidR="00A31137" w:rsidRPr="00A31137" w:rsidRDefault="00A31137" w:rsidP="00A31137">
      <w:r w:rsidRPr="00A31137">
        <w:t>1997, United States v. Watts, No. 95-1906</w:t>
      </w:r>
    </w:p>
    <w:p w:rsidR="00A31137" w:rsidRPr="00A31137" w:rsidRDefault="00A31137" w:rsidP="00A31137">
      <w:r w:rsidRPr="00A31137">
        <w:t>Id. at  247 (footnote omitted); see Nichols, supra, at 747 (noting that sentencing courts have traditionally and constitutionally "considered a defendant's past criminal behavior, even if no conviction resulted from that behavior") (citing Williams, supra); BMW of North America, Inc. v. Gore, 517 U.S. ___, ___ n. 19 (1996) ("A sentencing judge may even consider past criminal behavior which did not result in a conviction") (citing Williams, supra). Neither the broad language of § 3661 nor our holding in Williams suggests any basis for the courts to invent a blanket prohibition against considering certain types of evidence at sentencing. Indeed, under the pre-Guidelines sentencing regime, it was</w:t>
      </w:r>
    </w:p>
    <w:p w:rsidR="00A31137" w:rsidRPr="00A31137" w:rsidRDefault="00A31137" w:rsidP="00A31137">
      <w:r w:rsidRPr="00A31137">
        <w:t>1997, United States v. Watts, No. 95-1906</w:t>
      </w:r>
    </w:p>
    <w:p w:rsidR="00A31137" w:rsidRPr="00A31137" w:rsidRDefault="00A31137" w:rsidP="00A31137">
      <w:r w:rsidRPr="00A31137">
        <w:t>well established that a sentencing judge may take into account facts introduced at trial relating to other charges, even ones of which the defendant has been acquitted.</w:t>
      </w:r>
    </w:p>
    <w:p w:rsidR="00A31137" w:rsidRPr="00A31137" w:rsidRDefault="00A31137" w:rsidP="00A31137">
      <w:r w:rsidRPr="00A31137">
        <w:t>1997, United States v. Watts, No. 95-1906</w:t>
      </w:r>
    </w:p>
    <w:p w:rsidR="00A31137" w:rsidRPr="00A31137" w:rsidRDefault="00A31137" w:rsidP="00A31137">
      <w:r w:rsidRPr="00A31137">
        <w:t>United States v. Donelson, 695 F.2d 583, 590 (CADC 1982) (SCALIA, J.).</w:t>
      </w:r>
    </w:p>
    <w:p w:rsidR="00A31137" w:rsidRPr="00A31137" w:rsidRDefault="00A31137" w:rsidP="00A31137">
      <w:r w:rsidRPr="00A31137">
        <w:t>1997, United States v. Watts, No. 95-1906</w:t>
      </w:r>
    </w:p>
    <w:p w:rsidR="00A31137" w:rsidRPr="00A31137" w:rsidRDefault="00A31137" w:rsidP="00A31137">
      <w:r w:rsidRPr="00A31137">
        <w:t>The Guidelines did not alter this aspect of the sentencing court's discretion</w:t>
      </w:r>
    </w:p>
    <w:p w:rsidR="00A31137" w:rsidRPr="00A31137" w:rsidRDefault="00A31137" w:rsidP="00A31137">
      <w:r w:rsidRPr="00A31137">
        <w:t>1997, United States v. Watts, No. 95-1906</w:t>
      </w:r>
    </w:p>
    <w:p w:rsidR="00A31137" w:rsidRPr="00A31137" w:rsidRDefault="00A31137" w:rsidP="00A31137">
      <w:r w:rsidRPr="00A31137">
        <w:t>"[V]ery roughly speaking, [relevant conduct] corresponds to those actions and circumstances that courts typically took into account when sentencing prior to the Guidelines' enactment."</w:t>
      </w:r>
    </w:p>
    <w:p w:rsidR="00A31137" w:rsidRPr="00A31137" w:rsidRDefault="00A31137" w:rsidP="00A31137">
      <w:r w:rsidRPr="00A31137">
        <w:t>1997, United States v. Watts, No. 95-1906</w:t>
      </w:r>
    </w:p>
    <w:p w:rsidR="00A31137" w:rsidRPr="00A31137" w:rsidRDefault="00A31137" w:rsidP="00A31137">
      <w:r w:rsidRPr="00A31137">
        <w:t>Witte, supra, at ___ (quoting United States v. Wright, 873 F.2d 437, 441 (CA1 1989) (BREYER, J.)). Section 1B1.4 of the Guidelines reflects the policy set forth in 18 U.S.C. § 3661:</w:t>
      </w:r>
    </w:p>
    <w:p w:rsidR="00A31137" w:rsidRPr="00A31137" w:rsidRDefault="00A31137" w:rsidP="00A31137">
      <w:r w:rsidRPr="00A31137">
        <w:t>1997, United States v. Watts, No. 95-1906</w:t>
      </w:r>
    </w:p>
    <w:p w:rsidR="00A31137" w:rsidRPr="00A31137" w:rsidRDefault="00A31137" w:rsidP="00A31137">
      <w:r w:rsidRPr="00A31137">
        <w:t>In determining the sentence to impose within the guideline range, or whether a departure from the guidelines is warranted, the court may consider, without limitation, any information concerning the background, character and conduct of the defendant, unless otherwise prohibited by law. See 18 U.S.C. § 3661.</w:t>
      </w:r>
    </w:p>
    <w:p w:rsidR="00A31137" w:rsidRPr="00A31137" w:rsidRDefault="00A31137" w:rsidP="00A31137">
      <w:r w:rsidRPr="00A31137">
        <w:t>1997, United States v. Watts, No. 95-1906</w:t>
      </w:r>
    </w:p>
    <w:p w:rsidR="00A31137" w:rsidRPr="00A31137" w:rsidRDefault="00A31137" w:rsidP="00A31137">
      <w:r w:rsidRPr="00A31137">
        <w:t>Section 1B1.3, in turn, describes in sweeping language the conduct that a sentencing court may consider in determining the applicable guideline range. The commentary to that section states:</w:t>
      </w:r>
    </w:p>
    <w:p w:rsidR="00A31137" w:rsidRPr="00A31137" w:rsidRDefault="00A31137" w:rsidP="00A31137">
      <w:r w:rsidRPr="00A31137">
        <w:t>1997, United States v. Watts, No. 95-1906</w:t>
      </w:r>
    </w:p>
    <w:p w:rsidR="00A31137" w:rsidRPr="00A31137" w:rsidRDefault="00A31137" w:rsidP="00A31137">
      <w:r w:rsidRPr="00A31137">
        <w:t>Conduct that is not formally charged or is not an element of the offense of conviction may enter into the determination of the applicable guideline sentencing range.</w:t>
      </w:r>
    </w:p>
    <w:p w:rsidR="00A31137" w:rsidRPr="00A31137" w:rsidRDefault="00A31137" w:rsidP="00A31137">
      <w:r w:rsidRPr="00A31137">
        <w:t>1997, United States v. Watts, No. 95-1906</w:t>
      </w:r>
    </w:p>
    <w:p w:rsidR="00A31137" w:rsidRPr="00A31137" w:rsidRDefault="00A31137" w:rsidP="00A31137">
      <w:r w:rsidRPr="00A31137">
        <w:t>USSG § 1B1.3 comment., backg'd. With respect to certain offenses, such as Putra's drug conviction, USSG § 1B1.3(a)(2) requires the sentencing court to consider "all acts and omissions…that were part of the same course of conduct or common scheme or plan as the offense of conviction." Application Note 3 explains that "[a]pplication of this provision does not require the defendant, in fact, to have been convicted of multiple counts." The Note also gives the following example:</w:t>
      </w:r>
    </w:p>
    <w:p w:rsidR="00A31137" w:rsidRPr="00A31137" w:rsidRDefault="00A31137" w:rsidP="00A31137">
      <w:r w:rsidRPr="00A31137">
        <w:t>1997, United States v. Watts, No. 95-1906</w:t>
      </w:r>
    </w:p>
    <w:p w:rsidR="00A31137" w:rsidRPr="00A31137" w:rsidRDefault="00A31137" w:rsidP="00A31137">
      <w:r w:rsidRPr="00A31137">
        <w:t>[W]here the defendant engaged in three drug sales of 10, 15, and 20 grams of cocaine, as part of the same course of conduct or common scheme or plan, subsection (a)(2) provides that the total quantity of cocaine involved (45 grams) is to be used to determine the offense level even if the defendant is convicted of a single count charging only one of the sales.</w:t>
      </w:r>
    </w:p>
    <w:p w:rsidR="00A31137" w:rsidRPr="00A31137" w:rsidRDefault="00A31137" w:rsidP="00A31137">
      <w:r w:rsidRPr="00A31137">
        <w:t>1997, United States v. Watts, No. 95-1906</w:t>
      </w:r>
    </w:p>
    <w:p w:rsidR="00A31137" w:rsidRPr="00A31137" w:rsidRDefault="00A31137" w:rsidP="00A31137">
      <w:r w:rsidRPr="00A31137">
        <w:t>Accordingly, the Guidelines conclude that</w:t>
      </w:r>
    </w:p>
    <w:p w:rsidR="00A31137" w:rsidRPr="00A31137" w:rsidRDefault="00A31137" w:rsidP="00A31137">
      <w:r w:rsidRPr="00A31137">
        <w:t>1997, United States v. Watts, No. 95-1906</w:t>
      </w:r>
    </w:p>
    <w:p w:rsidR="00A31137" w:rsidRPr="00A31137" w:rsidRDefault="00A31137" w:rsidP="00A31137">
      <w:r w:rsidRPr="00A31137">
        <w:t>[r]elying on the entire range of conduct, regardless of the number of counts that are alleged or on which a conviction is obtained, appears to be the most reasonable approach to writing workable guidelines for these offenses.</w:t>
      </w:r>
    </w:p>
    <w:p w:rsidR="00A31137" w:rsidRPr="00A31137" w:rsidRDefault="00A31137" w:rsidP="00A31137">
      <w:r w:rsidRPr="00A31137">
        <w:t>1997, United States v. Watts, No. 95-1906</w:t>
      </w:r>
    </w:p>
    <w:p w:rsidR="00A31137" w:rsidRPr="00A31137" w:rsidRDefault="00A31137" w:rsidP="00A31137">
      <w:r w:rsidRPr="00A31137">
        <w:t>USSG § 1B1.3 comment., backg'd (emphasis added).</w:t>
      </w:r>
    </w:p>
    <w:p w:rsidR="00A31137" w:rsidRPr="00A31137" w:rsidRDefault="00A31137" w:rsidP="00A31137">
      <w:r w:rsidRPr="00A31137">
        <w:t>1997, United States v. Watts, No. 95-1906</w:t>
      </w:r>
    </w:p>
    <w:p w:rsidR="00A31137" w:rsidRPr="00A31137" w:rsidRDefault="00A31137" w:rsidP="00A31137">
      <w:r w:rsidRPr="00A31137">
        <w:t>Although the dissent concedes that a district court may properly consider "evidence adduced in a trial that resulted in an acquittal" when choosing a particular sentence within a guideline range, it argues that the court must close its eyes to acquitted conduct at earlier stages of the sentencing process because the "broadly inclusive language of § 3661" is incorporated only into § 1B1.4 of the Guidelines. This argument ignores § 1B1.3 which, as we have noted, directs sentencing courts to consider all other related conduct, whether or not it resulted in a conviction. The dissent also contends that because Congress instructed the Sentencing Commission, in 28 U.S.C. § 994(l), to ensure that the Guidelines provide incremental punishment for a defendant who is convicted of multiple offenses, it could not have meant for the Guidelines to increase a sentence based on offenses of which a defendant has been acquitted. Post at ___. The statute is not, however, "cast in restrictive or exclusive terms." United States v. Ebbole, 917 F.2d 1495, 1501 (CA7 1990). Far from limiting a sentencing court's power to consider uncharged or acquitted conduct, § 994(l) simply ensures that at a minimum, the Guidelines provide additional penalties when defendants are convicted of multiple offenses. Ibid. If we accepted the dissent's logic, § 944(l) would prohibit a district court from considering acquitted conduct for any sentencing purposes, whether for setting the guidelines range or for choosing a sentence within that range—a novel proposition that the dissent itself does not defend. Post at ___. In short, we are convinced that a sentencing court may consider conduct of which a defendant has been acquitted.</w:t>
      </w:r>
    </w:p>
    <w:p w:rsidR="00A31137" w:rsidRPr="00A31137" w:rsidRDefault="00A31137" w:rsidP="00A31137">
      <w:r w:rsidRPr="00A31137">
        <w:t>1997, United States v. Watts, No. 95-1906</w:t>
      </w:r>
    </w:p>
    <w:p w:rsidR="00A31137" w:rsidRPr="00A31137" w:rsidRDefault="00A31137" w:rsidP="00A31137">
      <w:r w:rsidRPr="00A31137">
        <w:t>The Court of Appeals' position to the contrary not only conflicts with the implications of the Guidelines, but it also seems to be based on erroneous views of our double jeopardy jurisprudence. The Court of Appeals asserted that, when a sentencing court considers facts underlying a charge on which the jury returned a verdict of not guilty, the defendant "'suffer[s] punishment for a criminal charge for which he or she was acquitted.'" Watts, 67 F.3d. at 797 (quoting Brady, 928 F.2d at 851). As we explained in Witte, however, sentencing enhancements do not punish a defendant for crimes of which he was not convicted, but rather increase his sentence because of the manner in which he committed the crime of conviction. 515 U.S. at ___. In Witte, we held that a sentencing court could, consistent with the Double Jeopardy Clause, consider uncharged cocaine importation in imposing a sentence on marijuana charges that was within the statutory range, without precluding the defendant's subsequent prosecution for the cocaine offense. We concluded that</w:t>
      </w:r>
    </w:p>
    <w:p w:rsidR="00A31137" w:rsidRPr="00A31137" w:rsidRDefault="00A31137" w:rsidP="00A31137">
      <w:r w:rsidRPr="00A31137">
        <w:t>1997, United States v. Watts, No. 95-1906</w:t>
      </w:r>
    </w:p>
    <w:p w:rsidR="00A31137" w:rsidRPr="00A31137" w:rsidRDefault="00A31137" w:rsidP="00A31137">
      <w:r w:rsidRPr="00A31137">
        <w:t>consideration of information about the defendant's character and conduct at sentencing does not result in "punishment" for any offense other than the one of which the defendant was convicted.</w:t>
      </w:r>
    </w:p>
    <w:p w:rsidR="00A31137" w:rsidRPr="00A31137" w:rsidRDefault="00A31137" w:rsidP="00A31137">
      <w:r w:rsidRPr="00A31137">
        <w:t>1997, United States v. Watts, No. 95-1906</w:t>
      </w:r>
    </w:p>
    <w:p w:rsidR="00A31137" w:rsidRPr="00A31137" w:rsidRDefault="00A31137" w:rsidP="00A31137">
      <w:r w:rsidRPr="00A31137">
        <w:t>Id. at ___. Rather, the defendant is "punished only for the fact that the present offense was carried out in a manner that warrants increased punishment…. " Id. at ___; see also Nichols, 511 U.S. at 747.</w:t>
      </w:r>
    </w:p>
    <w:p w:rsidR="00A31137" w:rsidRPr="00A31137" w:rsidRDefault="00A31137" w:rsidP="00A31137">
      <w:r w:rsidRPr="00A31137">
        <w:t>1997, United States v. Watts, No. 95-1906</w:t>
      </w:r>
    </w:p>
    <w:p w:rsidR="00A31137" w:rsidRPr="00A31137" w:rsidRDefault="00A31137" w:rsidP="00A31137">
      <w:r w:rsidRPr="00A31137">
        <w:t>The Court of Appeals likewise misunderstood the preclusive effect of an acquittal, when it asserted that a jury "rejects" some facts when it returns a general verdict of not guilty. Putra, 78 F.3d at 1389 (quoting Brady, supra at 851). The Court of Appeals failed to appreciate the significance of the different standards of proof that govern at trial and sentencing. We have explained that "acquittal on criminal charges does not prove that the defendant is innocent; it merely proves the existence of a reasonable doubt as to his guilt." United States v. One Assortment of 89 Firearms, 465 U.S. 354, 361 (1984). As then-Chief Judge Wallace pointed out in his dissent in Putra, it is impossible to know exactly why a jury found a defendant not guilty on a certain charge.</w:t>
      </w:r>
    </w:p>
    <w:p w:rsidR="00A31137" w:rsidRPr="00A31137" w:rsidRDefault="00A31137" w:rsidP="00A31137">
      <w:r w:rsidRPr="00A31137">
        <w:t>1997, United States v. Watts, No. 95-1906</w:t>
      </w:r>
    </w:p>
    <w:p w:rsidR="00A31137" w:rsidRPr="00A31137" w:rsidRDefault="00A31137" w:rsidP="00A31137">
      <w:r w:rsidRPr="00A31137">
        <w:t>[A]n acquittal is not a finding of any fact. An acquittal can only be an acknowledgment that the government failed to prove an essential element of the offense beyond a reasonable doubt. Without specific jury findings, no one can logically or realistically draw any factual finding inferences….</w:t>
      </w:r>
    </w:p>
    <w:p w:rsidR="00A31137" w:rsidRPr="00A31137" w:rsidRDefault="00A31137" w:rsidP="00A31137">
      <w:r w:rsidRPr="00A31137">
        <w:t>1997, United States v. Watts, No. 95-1906</w:t>
      </w:r>
    </w:p>
    <w:p w:rsidR="00A31137" w:rsidRPr="00A31137" w:rsidRDefault="00A31137" w:rsidP="00A31137">
      <w:r w:rsidRPr="00A31137">
        <w:t>78 F.3d at 1394. Thus, contrary to the Court of Appeals' assertion in Brady, supra, at 851, the jury cannot be said to have "necessarily rejected" any facts when it returns a general verdict of not guilty.</w:t>
      </w:r>
    </w:p>
    <w:p w:rsidR="00A31137" w:rsidRPr="00A31137" w:rsidRDefault="00A31137" w:rsidP="00A31137">
      <w:r w:rsidRPr="00A31137">
        <w:t>1997, United States v. Watts, No. 95-1906</w:t>
      </w:r>
    </w:p>
    <w:p w:rsidR="00A31137" w:rsidRPr="00A31137" w:rsidRDefault="00A31137" w:rsidP="00A31137">
      <w:r w:rsidRPr="00A31137">
        <w:t>For these reasons,</w:t>
      </w:r>
    </w:p>
    <w:p w:rsidR="00A31137" w:rsidRPr="00A31137" w:rsidRDefault="00A31137" w:rsidP="00A31137">
      <w:r w:rsidRPr="00A31137">
        <w:t>1997, United States v. Watts, No. 95-1906</w:t>
      </w:r>
    </w:p>
    <w:p w:rsidR="00A31137" w:rsidRPr="00A31137" w:rsidRDefault="00A31137" w:rsidP="00A31137">
      <w:r w:rsidRPr="00A31137">
        <w:t>an acquittal in a criminal case does not preclude the Government from relitigating an issue when it is presented in a subsequent action governed by a lower standard of proof.</w:t>
      </w:r>
    </w:p>
    <w:p w:rsidR="00A31137" w:rsidRPr="00A31137" w:rsidRDefault="00A31137" w:rsidP="00A31137">
      <w:r w:rsidRPr="00A31137">
        <w:t>1997, United States v. Watts, No. 95-1906</w:t>
      </w:r>
    </w:p>
    <w:p w:rsidR="00A31137" w:rsidRPr="00A31137" w:rsidRDefault="00A31137" w:rsidP="00A31137">
      <w:r w:rsidRPr="00A31137">
        <w:t>Dowling v. United States, 493 U.S. 342, 349 (1990). The Guidelines state that it is "appropriate" that facts relevant to sentencing be proved by a preponderance of the evidence, USSG § 6A1.3 comment., and we have held that application of the preponderance standard at sentencing generally satisfies due process. McMillan v. Pennsylvania, 477 U.S. 79, 91-92 (1986); Nichols, supra at 747-748. We acknowledge a divergence of opinion among the Circuits as to whether, in extreme circumstances, relevant conduct that would dramatically increase the sentence must be based on clear and convincing evidence. 2 The cases before us today do not present such exceptional circumstances, and we therefore do not address that issue. We therefore hold that a jury's verdict of acquittal does not prevent the sentencing court from considering conduct underlying the acquitted charge, so long as that conduct has been proved by a preponderance of the evidence.</w:t>
      </w:r>
    </w:p>
    <w:p w:rsidR="00A31137" w:rsidRPr="00A31137" w:rsidRDefault="00A31137" w:rsidP="00A31137">
      <w:r w:rsidRPr="00A31137">
        <w:t>1997, United States v. Watts, No. 95-1906</w:t>
      </w:r>
    </w:p>
    <w:p w:rsidR="00A31137" w:rsidRPr="00A31137" w:rsidRDefault="00A31137" w:rsidP="00A31137">
      <w:r w:rsidRPr="00A31137">
        <w:t>Accordingly, the Court of Appeals erred in both cases before us today. In Putra, the jury simply found that the prosecution had not proved the defendant's complicity in the May 9 sale beyond a reasonable doubt. The acquittal sheds no light on whether a preponderance of the evidence established Putra's participation in that transaction. Likewise, in Watts, the jury acquitted the defendant of using or carrying a firearm during or in relation to the drug offense. That verdict does not preclude a finding by a preponderance of the evidence that the defendant did, in fact, use or carry such a weapon, much less that he simply possessed the weapon in connection with a drug offense.</w:t>
      </w:r>
    </w:p>
    <w:p w:rsidR="00A31137" w:rsidRPr="00A31137" w:rsidRDefault="00A31137" w:rsidP="00A31137">
      <w:r w:rsidRPr="00A31137">
        <w:t>1997, United States v. Watts, No. 95-1906</w:t>
      </w:r>
    </w:p>
    <w:p w:rsidR="00A31137" w:rsidRPr="00A31137" w:rsidRDefault="00A31137" w:rsidP="00A31137">
      <w:r w:rsidRPr="00A31137">
        <w:t>The petition for certiorari is granted, the judgments of the Court of Appeals are reversed, and the cases are remanded for further proceedings consistent with this opinion. Respondent Putra's motion to proceed in forma pauperis is granted. The motion of Morris L. Whitman for leave to file a brief as amicus curiae is granted.</w:t>
      </w:r>
    </w:p>
    <w:p w:rsidR="00A31137" w:rsidRPr="00A31137" w:rsidRDefault="00A31137" w:rsidP="00A31137">
      <w:r w:rsidRPr="00A31137">
        <w:t>1997, United States v. Watts, No. 95-1906</w:t>
      </w:r>
    </w:p>
    <w:p w:rsidR="00A31137" w:rsidRPr="00A31137" w:rsidRDefault="00A31137" w:rsidP="00A31137">
      <w:r w:rsidRPr="00A31137">
        <w:t>It is so ordered.</w:t>
      </w:r>
    </w:p>
    <w:p w:rsidR="00A31137" w:rsidRPr="00A31137" w:rsidRDefault="00A31137" w:rsidP="00A31137">
      <w:r w:rsidRPr="00A31137">
        <w:t>SCALIA, J., concurring</w:t>
      </w:r>
    </w:p>
    <w:p w:rsidR="00A31137" w:rsidRPr="00A31137" w:rsidRDefault="00A31137" w:rsidP="00A31137">
      <w:r w:rsidRPr="00A31137">
        <w:t>1997, United States v. Watts, No. 95-1906</w:t>
      </w:r>
    </w:p>
    <w:p w:rsidR="00A31137" w:rsidRPr="00A31137" w:rsidRDefault="00A31137" w:rsidP="00A31137">
      <w:r w:rsidRPr="00A31137">
        <w:t>JUSTICE SCALIA, concurring.</w:t>
      </w:r>
    </w:p>
    <w:p w:rsidR="00A31137" w:rsidRPr="00A31137" w:rsidRDefault="00A31137" w:rsidP="00A31137">
      <w:r w:rsidRPr="00A31137">
        <w:t>1997, United States v. Watts, No. 95-1906</w:t>
      </w:r>
    </w:p>
    <w:p w:rsidR="00A31137" w:rsidRPr="00A31137" w:rsidRDefault="00A31137" w:rsidP="00A31137">
      <w:r w:rsidRPr="00A31137">
        <w:t>I do not agree with the assertion in JUSTICE BREYER's concurrence that there is no obstacle to the Commission's reversing today's outcome by mandating disregard of the information we today hold it proper to consider. Title 28 U.S.C. § 994(b)(1) requires the Guidelines to be "consistent with all pertinent provisions of title 18, United States Code." In turn, 18 U.S.C. § 3661 provides that</w:t>
      </w:r>
    </w:p>
    <w:p w:rsidR="00A31137" w:rsidRPr="00A31137" w:rsidRDefault="00A31137" w:rsidP="00A31137">
      <w:r w:rsidRPr="00A31137">
        <w:t>1997, United States v. Watts, No. 95-1906</w:t>
      </w:r>
    </w:p>
    <w:p w:rsidR="00A31137" w:rsidRPr="00A31137" w:rsidRDefault="00A31137" w:rsidP="00A31137">
      <w:r w:rsidRPr="00A31137">
        <w:t>[n]o limitation shall be placed on the information concerning the background, character, and conduct of a person convicted of an offense which a court of the United States may receive and consider for the purpose of imposing an appropriate sentence.</w:t>
      </w:r>
    </w:p>
    <w:p w:rsidR="00A31137" w:rsidRPr="00A31137" w:rsidRDefault="00A31137" w:rsidP="00A31137">
      <w:r w:rsidRPr="00A31137">
        <w:t>1997, United States v. Watts, No. 95-1906</w:t>
      </w:r>
    </w:p>
    <w:p w:rsidR="00A31137" w:rsidRPr="00A31137" w:rsidRDefault="00A31137" w:rsidP="00A31137">
      <w:r w:rsidRPr="00A31137">
        <w:t>In my view, neither the Commission nor the courts have authority to decree that information which would otherwise justify enhancement of sentence or upward departure from the Guidelines, may not be considered for that purpose (or may be considered only after passing some higher standard of probative worth than the Constitution and laws require) if it pertains to acquitted conduct. If the Commission believes that the rules of evidence and proof established by the Constitution and laws are inadequate, it may of course recommend changes to the Congress, cf. 28 U.S.C. § 994(w).</w:t>
      </w:r>
    </w:p>
    <w:p w:rsidR="00A31137" w:rsidRPr="00A31137" w:rsidRDefault="00A31137" w:rsidP="00A31137">
      <w:r w:rsidRPr="00A31137">
        <w:t>BREYER, J., concurring</w:t>
      </w:r>
    </w:p>
    <w:p w:rsidR="00A31137" w:rsidRPr="00A31137" w:rsidRDefault="00A31137" w:rsidP="00A31137">
      <w:r w:rsidRPr="00A31137">
        <w:t>1997, United States v. Watts, No. 95-1906</w:t>
      </w:r>
    </w:p>
    <w:p w:rsidR="00A31137" w:rsidRPr="00A31137" w:rsidRDefault="00A31137" w:rsidP="00A31137">
      <w:r w:rsidRPr="00A31137">
        <w:t>JUSTICE BREYER, concurring.</w:t>
      </w:r>
    </w:p>
    <w:p w:rsidR="00A31137" w:rsidRPr="00A31137" w:rsidRDefault="00A31137" w:rsidP="00A31137">
      <w:r w:rsidRPr="00A31137">
        <w:t>1997, United States v. Watts, No. 95-1906</w:t>
      </w:r>
    </w:p>
    <w:p w:rsidR="00A31137" w:rsidRPr="00A31137" w:rsidRDefault="00A31137" w:rsidP="00A31137">
      <w:r w:rsidRPr="00A31137">
        <w:t>I join the Court's per curiam opinion while noting that it poses no obstacle to the Commission itself deciding whether or not to enhance a sentence on the basis of conduct that a sentencing judge concludes did take place, but in respect to which a jury acquitted the defendant.</w:t>
      </w:r>
    </w:p>
    <w:p w:rsidR="00A31137" w:rsidRPr="00A31137" w:rsidRDefault="00A31137" w:rsidP="00A31137">
      <w:r w:rsidRPr="00A31137">
        <w:t>1997, United States v. Watts, No. 95-1906</w:t>
      </w:r>
    </w:p>
    <w:p w:rsidR="00A31137" w:rsidRPr="00A31137" w:rsidRDefault="00A31137" w:rsidP="00A31137">
      <w:r w:rsidRPr="00A31137">
        <w:t>In telling judges in ordinary cases to consider "all acts and omissions…that were part of the same course of conduct or common scheme or plan as the offense of conviction," United States Sentencing Commission, Guidelines Manual § 1B1.3(a)(2)(Nov. 1995)(USSG), the Guidelines recognize the fact that, before their creation, sentencing judges often took account not only of the precise conduct that made up the offense of conviction, but of certain related conduct as well. And I agree with the Court that the Guidelines, as presently written, do not make an exception for related conduct that was the basis for a different charge of which a jury acquitted that defendant. To that extent, the Guidelines' policy rests upon the logical possibility that a sentencing judge and a jury, applying different evidentiary standards, could reach different factual conclusions.</w:t>
      </w:r>
    </w:p>
    <w:p w:rsidR="00A31137" w:rsidRPr="00A31137" w:rsidRDefault="00A31137" w:rsidP="00A31137">
      <w:r w:rsidRPr="00A31137">
        <w:t>1997, United States v. Watts, No. 95-1906</w:t>
      </w:r>
    </w:p>
    <w:p w:rsidR="00A31137" w:rsidRPr="00A31137" w:rsidRDefault="00A31137" w:rsidP="00A31137">
      <w:r w:rsidRPr="00A31137">
        <w:t>This truth of logic, however, is not the only pertinent policy consideration. The Commission, in the past, has considered whether the Guidelines should contain a specific exception to their ordinary "relevant conduct" rules that would instruct the sentencing judge not to base a sentence enhancement upon acquitted conduct. United States Sentencing Commission, Sentencing Guidelines for United States Courts, 57 Fed.Reg. 62832 (1992) (proposed USSG § 1B1.3(c)). Given the role that juries and acquittals play in our system, the Commission could decide to revisit this matter in the future. For this reason, I think it important to specify that, as far as today's decision is concerned, the power to accept or reject such a proposal remains in the Commission's hands.</w:t>
      </w:r>
    </w:p>
    <w:p w:rsidR="00A31137" w:rsidRPr="00A31137" w:rsidRDefault="00A31137" w:rsidP="00A31137">
      <w:r w:rsidRPr="00A31137">
        <w:t>STEVENS, J., dissenting</w:t>
      </w:r>
    </w:p>
    <w:p w:rsidR="00A31137" w:rsidRPr="00A31137" w:rsidRDefault="00A31137" w:rsidP="00A31137">
      <w:r w:rsidRPr="00A31137">
        <w:t>1997, United States v. Watts, No. 95-1906</w:t>
      </w:r>
    </w:p>
    <w:p w:rsidR="00A31137" w:rsidRPr="00A31137" w:rsidRDefault="00A31137" w:rsidP="00A31137">
      <w:r w:rsidRPr="00A31137">
        <w:t>JUSTICE STEVENS, dissenting.</w:t>
      </w:r>
    </w:p>
    <w:p w:rsidR="00A31137" w:rsidRPr="00A31137" w:rsidRDefault="00A31137" w:rsidP="00A31137">
      <w:r w:rsidRPr="00A31137">
        <w:t>1997, United States v. Watts, No. 95-1906</w:t>
      </w:r>
    </w:p>
    <w:p w:rsidR="00A31137" w:rsidRPr="00A31137" w:rsidRDefault="00A31137" w:rsidP="00A31137">
      <w:r w:rsidRPr="00A31137">
        <w:t>"The Sentencing Reform Act of 1984 revolutionized the manner in which district courts sentence persons convicted of federal crimes." Burns v. United States, 501 U.S. 129, 132 (1991). The goals of rehabilitation and fairness served by individualized sentencing that formerly justified vesting judges with virtually unreviewable sentencing discretion have been replaced by the impersonal interest in uniformity and retribution. 1 Strict mandatory rules have dramatically confined the exercise of judgment based on a totality of the circumstances.</w:t>
      </w:r>
    </w:p>
    <w:p w:rsidR="00A31137" w:rsidRPr="00A31137" w:rsidRDefault="00A31137" w:rsidP="00A31137">
      <w:r w:rsidRPr="00A31137">
        <w:t>1997, United States v. Watts, No. 95-1906</w:t>
      </w:r>
    </w:p>
    <w:p w:rsidR="00A31137" w:rsidRPr="00A31137" w:rsidRDefault="00A31137" w:rsidP="00A31137">
      <w:r w:rsidRPr="00A31137">
        <w:t>While the products of the Sentencing Commission's labors have been given the modest name "Guidelines,"…they have the force and effect of laws, prescribing the sentences criminal defendants are to receive. A judge who disregards them will be reversed.</w:t>
      </w:r>
    </w:p>
    <w:p w:rsidR="00A31137" w:rsidRPr="00A31137" w:rsidRDefault="00A31137" w:rsidP="00A31137">
      <w:r w:rsidRPr="00A31137">
        <w:t>1997, United States v. Watts, No. 95-1906</w:t>
      </w:r>
    </w:p>
    <w:p w:rsidR="00A31137" w:rsidRPr="00A31137" w:rsidRDefault="00A31137" w:rsidP="00A31137">
      <w:r w:rsidRPr="00A31137">
        <w:t>Mistretta v. United States, 488 U.S. 361,  413 (1989) (SCALIA, J., dissenting).</w:t>
      </w:r>
    </w:p>
    <w:p w:rsidR="00A31137" w:rsidRPr="00A31137" w:rsidRDefault="00A31137" w:rsidP="00A31137">
      <w:r w:rsidRPr="00A31137">
        <w:t>1997, United States v. Watts, No. 95-1906</w:t>
      </w:r>
    </w:p>
    <w:p w:rsidR="00A31137" w:rsidRPr="00A31137" w:rsidRDefault="00A31137" w:rsidP="00A31137">
      <w:r w:rsidRPr="00A31137">
        <w:t xml:space="preserve"> 'I</w:t>
      </w:r>
    </w:p>
    <w:p w:rsidR="00A31137" w:rsidRPr="00A31137" w:rsidRDefault="00A31137" w:rsidP="00A31137">
      <w:r w:rsidRPr="00A31137">
        <w:t>1997, United States v. Watts, No. 95-1906</w:t>
      </w:r>
    </w:p>
    <w:p w:rsidR="00A31137" w:rsidRPr="00A31137" w:rsidRDefault="00A31137" w:rsidP="00A31137">
      <w:r w:rsidRPr="00A31137">
        <w:t>In 1970, during the era of individualized sentencing, Congress enacted the statute now codified as 18 U.S.C. § 3661 to make it clear that otherwise inadmissible evidence could be considered by judges in the exercise of their sentencing discretion. The statute, however, did not tell the judge how to weigh the significance of any of that evidence. The judge was free to rely on any information that might shed light on a decision to grant probation, to impose the statutory maximum, or to determine the precise sentence within those extremes. Wisdom and experience enabled the judge to give appropriate weight to uncorroborated hearsay or to evidence of criminal conduct that had not resulted in a conviction. Even if convinced that a jury had erroneously acquitted a defendant, the judge was not required to ignore the evidence of guilt. At the same time, however, he or she was free to discount the significance of that evidence if mitigating circumstances—perhaps the same facts that persuaded the jury that an acquittal was appropriate—were present. Like a jury in a capital case, the judge could exercise discretion "to dispense mercy on the basis of factors too intangible to write into a statute," Gregg v. Georgia, 428 U.S. 153,  222 (1976) (White, J., concurring in judgment).</w:t>
      </w:r>
    </w:p>
    <w:p w:rsidR="00A31137" w:rsidRPr="00A31137" w:rsidRDefault="00A31137" w:rsidP="00A31137">
      <w:r w:rsidRPr="00A31137">
        <w:t>1997, United States v. Watts, No. 95-1906</w:t>
      </w:r>
    </w:p>
    <w:p w:rsidR="00A31137" w:rsidRPr="00A31137" w:rsidRDefault="00A31137" w:rsidP="00A31137">
      <w:r w:rsidRPr="00A31137">
        <w:t>Although the Sentencing Reform Act of 1984 has cabined the discretion of sentencing judges, the 1970 statute remains on the books. As was true when it was enacted, § 3661 does not speak to questions concerning the relevance or the weight of any item of evidence. That statute is not offended by provisions in the Guidelines that proscribe reliance on evidence of economic hardship, drug or alcohol dependence, or lack of guidance as a youth, in making certain sentencing decisions. See Koon v. United States, 518 U.S. ___. Conversely, that statute does not command that any particular weight—or, indeed, that any weight at all—be given to evidence that a defendant may have committed an offense that the prosecutor failed to prove beyond a reasonable doubt. In short, while the statute that introduces the Court's analysis of these cases, ante at ___, does support its narrow holding that sentencing courts may sometimes "consider conduct of the defendants underlying other charges of which they had been acquitted," ante at ___, it sheds no light on whether the district judges' application of the Guidelines in the manner presented in these cases was authorized by Congress, or is allowed by the Constitution.</w:t>
      </w:r>
    </w:p>
    <w:p w:rsidR="00A31137" w:rsidRPr="00A31137" w:rsidRDefault="00A31137" w:rsidP="00A31137">
      <w:r w:rsidRPr="00A31137">
        <w:t>1997, United States v. Watts, No. 95-1906</w:t>
      </w:r>
    </w:p>
    <w:p w:rsidR="00A31137" w:rsidRPr="00A31137" w:rsidRDefault="00A31137" w:rsidP="00A31137">
      <w:r w:rsidRPr="00A31137">
        <w:t>A closer examination of the interaction among § 3661, the other provisions of the Sentencing Reform Act, and the Guidelines demonstrates that the role played by § 3661 is of a narrower scope than the Court's opinion suggests. The Sentencing Reform Act was enacted primarily to address Congress' concern that similar offenders convicted of similar offenses were receiving "an unjustifiably wide range of sentences." S.Rep. No. 98-225, p. 38 (1983). It therefore created the Sentencing Commission (or Commission) and directed it to draft Guidelines that would cabin the discretion of all judges—those who were too harsh as well as those who were too lenient. See 28 U.S.C. § 991(b)(1)(B). While the abolition of parole indicates that the new rules were generally intended to increase the minimum levels of punishment, see 18 U.S.C. §§ 3624(a) and (b), they also confined the judges' authority to impose the maximum sentences authorized by statute. The central mechanism that Congress promulgated to avoid disparate sentencing in typical cases is a requirement that, for any sentence of imprisonment in the Guidelines,</w:t>
      </w:r>
    </w:p>
    <w:p w:rsidR="00A31137" w:rsidRPr="00A31137" w:rsidRDefault="00A31137" w:rsidP="00A31137">
      <w:r w:rsidRPr="00A31137">
        <w:t>1997, United States v. Watts, No. 95-1906</w:t>
      </w:r>
    </w:p>
    <w:p w:rsidR="00A31137" w:rsidRPr="00A31137" w:rsidRDefault="00A31137" w:rsidP="00A31137">
      <w:r w:rsidRPr="00A31137">
        <w:t>the maximum of the range established for such a term shall not exceed the minimum of that range by more than the greater of 25 percent or 6 months,</w:t>
      </w:r>
    </w:p>
    <w:p w:rsidR="00A31137" w:rsidRPr="00A31137" w:rsidRDefault="00A31137" w:rsidP="00A31137">
      <w:r w:rsidRPr="00A31137">
        <w:t>1997, United States v. Watts, No. 95-1906</w:t>
      </w:r>
    </w:p>
    <w:p w:rsidR="00A31137" w:rsidRPr="00A31137" w:rsidRDefault="00A31137" w:rsidP="00A31137">
      <w:r w:rsidRPr="00A31137">
        <w:t>28 U.S.C. § 994(b)(2). The determination of which of these narrow ranges a particular sentence should fall into is made by operation of mandatory rules, but within the particular range, the judge retains broad discretion to set a particular sentence.</w:t>
      </w:r>
    </w:p>
    <w:p w:rsidR="00A31137" w:rsidRPr="00A31137" w:rsidRDefault="00A31137" w:rsidP="00A31137">
      <w:r w:rsidRPr="00A31137">
        <w:t>1997, United States v. Watts, No. 95-1906</w:t>
      </w:r>
    </w:p>
    <w:p w:rsidR="00A31137" w:rsidRPr="00A31137" w:rsidRDefault="00A31137" w:rsidP="00A31137">
      <w:r w:rsidRPr="00A31137">
        <w:t>By their own terms, the Guidelines incorporate the broadly inclusive language of § 3661 only into those portions of the sentencing decision in which the judge retains discretion.</w:t>
      </w:r>
    </w:p>
    <w:p w:rsidR="00A31137" w:rsidRPr="00A31137" w:rsidRDefault="00A31137" w:rsidP="00A31137">
      <w:r w:rsidRPr="00A31137">
        <w:t>1997, United States v. Watts, No. 95-1906</w:t>
      </w:r>
    </w:p>
    <w:p w:rsidR="00A31137" w:rsidRPr="00A31137" w:rsidRDefault="00A31137" w:rsidP="00A31137">
      <w:r w:rsidRPr="00A31137">
        <w:t>United States Sentencing Commission, Guidelines Manual § 1B1.4 (Nov. 1995) provides:</w:t>
      </w:r>
    </w:p>
    <w:p w:rsidR="00A31137" w:rsidRPr="00A31137" w:rsidRDefault="00A31137" w:rsidP="00A31137">
      <w:r w:rsidRPr="00A31137">
        <w:t>1997, United States v. Watts, No. 95-1906</w:t>
      </w:r>
    </w:p>
    <w:p w:rsidR="00A31137" w:rsidRPr="00A31137" w:rsidRDefault="00A31137" w:rsidP="00A31137">
      <w:r w:rsidRPr="00A31137">
        <w:t>In determining the sentence to impose within the guideline range, or whether a departure from the guidelines is warranted, the court may consider, without limitation, any information concerning the background, character and conduct of the defendant, unless otherwise prohibited by law. See 18 U.S.C. § 3661.</w:t>
      </w:r>
    </w:p>
    <w:p w:rsidR="00A31137" w:rsidRPr="00A31137" w:rsidRDefault="00A31137" w:rsidP="00A31137">
      <w:r w:rsidRPr="00A31137">
        <w:t>1997, United States v. Watts, No. 95-1906</w:t>
      </w:r>
    </w:p>
    <w:p w:rsidR="00A31137" w:rsidRPr="00A31137" w:rsidRDefault="00A31137" w:rsidP="00A31137">
      <w:r w:rsidRPr="00A31137">
        <w:t>Thus, as in the pre-Guidelines sentencing regime, it is in the area in which the judge exercises discretion that § 3661 authorizes unlimited access to information concerning the background, character, and conduct of the defendant. When the judge is exercising such discretion, I agree that he may consider otherwise inadmissible evidence, including evidence adduced in a trial that resulted in an acquittal. But that practice, enshrined in § 3661 and USSG § 1B1.4, sheds little, if any, light on the appropriateness of the District Courts' application of USSG § 1B1.3, which defines relevant conduct for the purposes of determining the Guidelines range within which a sentence can be imposed.</w:t>
      </w:r>
    </w:p>
    <w:p w:rsidR="00A31137" w:rsidRPr="00A31137" w:rsidRDefault="00A31137" w:rsidP="00A31137">
      <w:r w:rsidRPr="00A31137">
        <w:t>II</w:t>
      </w:r>
    </w:p>
    <w:p w:rsidR="00A31137" w:rsidRPr="00A31137" w:rsidRDefault="00A31137" w:rsidP="00A31137">
      <w:r w:rsidRPr="00A31137">
        <w:t>1997, United States v. Watts, No. 95-1906</w:t>
      </w:r>
    </w:p>
    <w:p w:rsidR="00A31137" w:rsidRPr="00A31137" w:rsidRDefault="00A31137" w:rsidP="00A31137">
      <w:r w:rsidRPr="00A31137">
        <w:t>The issue of law raised by the sentencing of Cheryl Putra involved the identification of the offense level that determined the range within which the judge could exercise discretion. Because she was a first offender with no criminal history, that range was based entirely on the offense or offenses for which she was to be punished. She was found guilty of aiding and abetting the intended distribution of one ounce of cocaine on May 8, 1992, but not guilty of participating in a similar transaction involving five ounces of cocaine on May 9, 1992. United States v. Putra, 78 F.3d 1386, 1387 (CA9 1996). If the guilty verdict provided the only basis for imposing punishment on Ms. Putra, the Guidelines would have required the judge to impose a sentence of no less than 15 months in prison and would have prohibited him from imposing a sentence longer than 21 months.</w:t>
      </w:r>
    </w:p>
    <w:p w:rsidR="00A31137" w:rsidRPr="00A31137" w:rsidRDefault="00A31137" w:rsidP="00A31137">
      <w:r w:rsidRPr="00A31137">
        <w:t>1997, United States v. Watts, No. 95-1906</w:t>
      </w:r>
    </w:p>
    <w:p w:rsidR="00A31137" w:rsidRPr="00A31137" w:rsidRDefault="00A31137" w:rsidP="00A31137">
      <w:r w:rsidRPr="00A31137">
        <w:t>If Putra had been found guilty of also participating in the 5 ounce transaction on May 9, 1992, the Guidelines would have required that both the minimum and the maximum sentences be increased; the range would have been between 27 and 33 months. As the District Court applied the Guidelines, precisely the same range resulted from the acquittal as would have been dictated by a conviction. Notwithstanding the absence of sufficient evidence to prove guilt beyond a reasonable doubt, the alleged offense on May 9 led to the imposition of a sentence six months longer than the maximum permitted for the only crime that provided any basis for punishment. 2</w:t>
      </w:r>
    </w:p>
    <w:p w:rsidR="00A31137" w:rsidRPr="00A31137" w:rsidRDefault="00A31137" w:rsidP="00A31137">
      <w:r w:rsidRPr="00A31137">
        <w:t>1997, United States v. Watts, No. 95-1906</w:t>
      </w:r>
    </w:p>
    <w:p w:rsidR="00A31137" w:rsidRPr="00A31137" w:rsidRDefault="00A31137" w:rsidP="00A31137">
      <w:r w:rsidRPr="00A31137">
        <w:t>In my judgment, neither our prior cases nor the text of the statute warrants this perverse result. And the vigor of the debate among judges in the courts of appeals on this basic issue belies the ease with which the Court addresses it, without hearing oral argument or allowing the parties to fully brief the issues. 3</w:t>
      </w:r>
    </w:p>
    <w:p w:rsidR="00A31137" w:rsidRPr="00A31137" w:rsidRDefault="00A31137" w:rsidP="00A31137">
      <w:r w:rsidRPr="00A31137">
        <w:t>III</w:t>
      </w:r>
    </w:p>
    <w:p w:rsidR="00A31137" w:rsidRPr="00A31137" w:rsidRDefault="00A31137" w:rsidP="00A31137">
      <w:r w:rsidRPr="00A31137">
        <w:t>1997, United States v. Watts, No. 95-1906</w:t>
      </w:r>
    </w:p>
    <w:p w:rsidR="00A31137" w:rsidRPr="00A31137" w:rsidRDefault="00A31137" w:rsidP="00A31137">
      <w:r w:rsidRPr="00A31137">
        <w:t>The Court relies principally on three cases—Williams v. New York, 337 U.S. 241 (1949); McMillan v. Pennsylvania, 477 U.S. 79 (1986); and Witte v. United States, 515 U.S. (1995)—to justify its outcome. In each instance, the reliance is misplaced.</w:t>
      </w:r>
    </w:p>
    <w:p w:rsidR="00A31137" w:rsidRPr="00A31137" w:rsidRDefault="00A31137" w:rsidP="00A31137">
      <w:r w:rsidRPr="00A31137">
        <w:t>1997, United States v. Watts, No. 95-1906</w:t>
      </w:r>
    </w:p>
    <w:p w:rsidR="00A31137" w:rsidRPr="00A31137" w:rsidRDefault="00A31137" w:rsidP="00A31137">
      <w:r w:rsidRPr="00A31137">
        <w:t>For three reasons, Williams cannot support the result in these cases. First, it dealt with the exercise of the sentencing judge's discretion within the range authorized by law, rather than with rules defining the range within which discretion may be exercised. Second,</w:t>
      </w:r>
    </w:p>
    <w:p w:rsidR="00A31137" w:rsidRPr="00A31137" w:rsidRDefault="00A31137" w:rsidP="00A31137">
      <w:r w:rsidRPr="00A31137">
        <w:t>1997, United States v. Watts, No. 95-1906</w:t>
      </w:r>
    </w:p>
    <w:p w:rsidR="00A31137" w:rsidRPr="00A31137" w:rsidRDefault="00A31137" w:rsidP="00A31137">
      <w:r w:rsidRPr="00A31137">
        <w:t>[t]he accuracy of the statements made by the judge as to appellant's background and past practices was not challenged by appellant or his counsel, nor was the judge asked to disregard any of them or to afford appellant a chance to refute or discredit any of them by cross-examination or otherwise.</w:t>
      </w:r>
    </w:p>
    <w:p w:rsidR="00A31137" w:rsidRPr="00A31137" w:rsidRDefault="00A31137" w:rsidP="00A31137">
      <w:r w:rsidRPr="00A31137">
        <w:t>1997, United States v. Watts, No. 95-1906</w:t>
      </w:r>
    </w:p>
    <w:p w:rsidR="00A31137" w:rsidRPr="00A31137" w:rsidRDefault="00A31137" w:rsidP="00A31137">
      <w:r w:rsidRPr="00A31137">
        <w:t>Williams, 337 U.S. at  244. The precise question here—the burden of proof applicable to sentencing facts—was thus not before the Court in that case. Third, its rationale depended largely on agreement with an individualized sentencing regime that is significantly different from the Guidelines system.</w:t>
      </w:r>
    </w:p>
    <w:p w:rsidR="00A31137" w:rsidRPr="00A31137" w:rsidRDefault="00A31137" w:rsidP="00A31137">
      <w:r w:rsidRPr="00A31137">
        <w:t>1997, United States v. Watts, No. 95-1906</w:t>
      </w:r>
    </w:p>
    <w:p w:rsidR="00A31137" w:rsidRPr="00A31137" w:rsidRDefault="00A31137" w:rsidP="00A31137">
      <w:r w:rsidRPr="00A31137">
        <w:t>Williams was decided in the context of a sentencing "system that focuse[d] on subjective assessments of rehabilitative potential…. " Saltzburg, [Sentencing Procedures: Where Does Responsibility Lie?, 4 Fed. Sent. Rep. 248, 250 (1992)].</w:t>
      </w:r>
    </w:p>
    <w:p w:rsidR="00A31137" w:rsidRPr="00A31137" w:rsidRDefault="00A31137" w:rsidP="00A31137">
      <w:r w:rsidRPr="00A31137">
        <w:t>1997, United States v. Watts, No. 95-1906</w:t>
      </w:r>
    </w:p>
    <w:p w:rsidR="00A31137" w:rsidRPr="00A31137" w:rsidRDefault="00A31137" w:rsidP="00A31137">
      <w:r w:rsidRPr="00A31137">
        <w:t>United States v. Wise, 976 F.2d 393, 409 (CA 1992) (Arnold, C.J., concurring in part and dissenting in part). As this Court has acknowledged, see Burns, 501 U.S. at 132, the Guidelines wrought a dramatic change in sentencing processes, replacing the very system that justified Williams with a rigid system in which "[f]or most defendants in the federal courts, sentencing is what the case is really about." Wise, 976 F.2d at 409.</w:t>
      </w:r>
    </w:p>
    <w:p w:rsidR="00A31137" w:rsidRPr="00A31137" w:rsidRDefault="00A31137" w:rsidP="00A31137">
      <w:r w:rsidRPr="00A31137">
        <w:t>1997, United States v. Watts, No. 95-1906</w:t>
      </w:r>
    </w:p>
    <w:p w:rsidR="00A31137" w:rsidRPr="00A31137" w:rsidRDefault="00A31137" w:rsidP="00A31137">
      <w:r w:rsidRPr="00A31137">
        <w:t>Even more than Williams, this Court, like all of the Circuits that have adopted the same approach as the District Courts in these cases, relies primarily on the misguided five-to-four decision in McMillan v. Pennsylvania, 477 U.S. 79 (1986). For the reasons stated in my dissent in that case, id. at 95-104, I continue to believe that it was incorrectly decided, and that its holding should be reconsidered. Even accepting its holding that the Constitution does not require proof beyond a reasonable doubt to establish a sentencing factor that increases the minimum sentence without altering the maximum, however, there are at least two reasons why McMillan does not dictate the outcome of these cases.</w:t>
      </w:r>
    </w:p>
    <w:p w:rsidR="00A31137" w:rsidRPr="00A31137" w:rsidRDefault="00A31137" w:rsidP="00A31137">
      <w:r w:rsidRPr="00A31137">
        <w:t>1997, United States v. Watts, No. 95-1906</w:t>
      </w:r>
    </w:p>
    <w:p w:rsidR="00A31137" w:rsidRPr="00A31137" w:rsidRDefault="00A31137" w:rsidP="00A31137">
      <w:r w:rsidRPr="00A31137">
        <w:t>In McMillan, as in these cases, the defendant's minimum sentence was enhanced on the basis of a fact proved by a preponderance of the evidence. But, in McMillan, the maximum was unchanged; the sentence actually imposed was within the range that would have been available to the judge even if the enhancing factor had not been proved. In these cases, however, the sentences actually imposed were higher than the Guidelines would have allowed without evidence of the additional offenses. The McMillan opinion pointedly noted that the Pennsylvania statute had not altered "the maximum penalty for the crime committed," and operated</w:t>
      </w:r>
    </w:p>
    <w:p w:rsidR="00A31137" w:rsidRPr="00A31137" w:rsidRDefault="00A31137" w:rsidP="00A31137">
      <w:r w:rsidRPr="00A31137">
        <w:t>1997, United States v. Watts, No. 95-1906</w:t>
      </w:r>
    </w:p>
    <w:p w:rsidR="00A31137" w:rsidRPr="00A31137" w:rsidRDefault="00A31137" w:rsidP="00A31137">
      <w:r w:rsidRPr="00A31137">
        <w:t>solely to limit the sentencing courts' discretion in selecting a penalty within the range already available to it without the special finding of visible possession of a firearm.</w:t>
      </w:r>
    </w:p>
    <w:p w:rsidR="00A31137" w:rsidRPr="00A31137" w:rsidRDefault="00A31137" w:rsidP="00A31137">
      <w:r w:rsidRPr="00A31137">
        <w:t>1997, United States v. Watts, No. 95-1906</w:t>
      </w:r>
    </w:p>
    <w:p w:rsidR="00A31137" w:rsidRPr="00A31137" w:rsidRDefault="00A31137" w:rsidP="00A31137">
      <w:r w:rsidRPr="00A31137">
        <w:t>Id. at 87-88. Given the Court's acknowledged "inability to lay down any 'bright line' test" that would define the limits of its holding, id. at 91, and its apparent assumption that a sentencing factor should not be allowed to serve as a "tail which wags the dog of the substantive offense," id. at 88, see also ante at ___, n. 2, the holding should not be extended to allow a fact proved by only a preponderance to increase the entire range of penalties within which the sentencing judge may lawfully exercise discretion. 4</w:t>
      </w:r>
    </w:p>
    <w:p w:rsidR="00A31137" w:rsidRPr="00A31137" w:rsidRDefault="00A31137" w:rsidP="00A31137">
      <w:r w:rsidRPr="00A31137">
        <w:t>1997, United States v. Watts, No. 95-1906</w:t>
      </w:r>
    </w:p>
    <w:p w:rsidR="00A31137" w:rsidRPr="00A31137" w:rsidRDefault="00A31137" w:rsidP="00A31137">
      <w:r w:rsidRPr="00A31137">
        <w:t>Moreover, McMillan addressed only the constitutionality of a statute the meaning of which was perfectly clear. Nothing in the text of the Sentencing Reform Act of 1984 even arguably mandates the result that the District Courts reached in these cases. Indeed, as JUSTICE BREYER points out in his separate concurrence, ante at ___, the Sentencing Commission unquestionably has the authority to disallow the consideration of acquitted conduct. Similarly, the Commission could have chosen to set the burden of proof for sentencing proceedings at beyond a reasonable doubt without running afoul of the enabling legislation. Given the lack of a contrary command in the statute itself, as well as the complete absence of any pre-1984 precedent for establishing the range of a permissible sentence on the basis of a fact proved only by a preponderance of the evidence, the McMillan opinion which was announced in 1986 can shed no light on the meaning of the 1984 Act.</w:t>
      </w:r>
    </w:p>
    <w:p w:rsidR="00A31137" w:rsidRPr="00A31137" w:rsidRDefault="00A31137" w:rsidP="00A31137">
      <w:r w:rsidRPr="00A31137">
        <w:t>1997, United States v. Watts, No. 95-1906</w:t>
      </w:r>
    </w:p>
    <w:p w:rsidR="00A31137" w:rsidRPr="00A31137" w:rsidRDefault="00A31137" w:rsidP="00A31137">
      <w:r w:rsidRPr="00A31137">
        <w:t>Nor does the Court's decision in Witte v. United States, 515 U.S. ___ (1995), dictate the answer to the question presented by these cases. I continue to disagree with the conclusion reached by the Court in Witte, that the Double Jeopardy Clause does not prohibit convicting and sentencing an individual for conduct that has been decisive in determining the individual's offense level for a previous conviction. But that is a different issue from the one here. The opinion in Witte, carefully and repeatedly, confined the Court's holding to the double jeopardy context. Id. at ___ (defendant in this case "is punished, for double jeopardy purposes, only for the offense of which the defendant is convicted"); id. at ___ (disputed practice is not "punishment for that conduct within the meaning of the Double Jeopardy Clause"); id. at ___ (practice "constitutes punishment only for the offense of conviction for purposes of the double jeopardy inquiry"). What is at issue in these cases is not whether a defendant is being twice punished or prosecuted for the same conduct, but whether her initial punishment has been imposed pursuant to rules that are authorized by the statute and consistent with the Constitution.</w:t>
      </w:r>
    </w:p>
    <w:p w:rsidR="00A31137" w:rsidRPr="00A31137" w:rsidRDefault="00A31137" w:rsidP="00A31137">
      <w:r w:rsidRPr="00A31137">
        <w:t>IV</w:t>
      </w:r>
    </w:p>
    <w:p w:rsidR="00A31137" w:rsidRPr="00A31137" w:rsidRDefault="00A31137" w:rsidP="00A31137">
      <w:r w:rsidRPr="00A31137">
        <w:t>1997, United States v. Watts, No. 95-1906</w:t>
      </w:r>
    </w:p>
    <w:p w:rsidR="00A31137" w:rsidRPr="00A31137" w:rsidRDefault="00A31137" w:rsidP="00A31137">
      <w:r w:rsidRPr="00A31137">
        <w:t>Putra's case involves "multiple offenses." She was charged with several offenses and received a sentence that was based on the judge's conclusion that she was guilty of each of these multiple offenses even though she had in fact been found guilty of only one offense. It is therefore appropriate to consider what the Sentencing Reform Act has to say about "multiple offenses."</w:t>
      </w:r>
    </w:p>
    <w:p w:rsidR="00A31137" w:rsidRPr="00A31137" w:rsidRDefault="00A31137" w:rsidP="00A31137">
      <w:r w:rsidRPr="00A31137">
        <w:t>1997, United States v. Watts, No. 95-1906</w:t>
      </w:r>
    </w:p>
    <w:p w:rsidR="00A31137" w:rsidRPr="00A31137" w:rsidRDefault="00A31137" w:rsidP="00A31137">
      <w:r w:rsidRPr="00A31137">
        <w:t>In 28 U.S.C. § 994(l), Congress specifically directed the Commission to ensure that the Guidelines included incremental sentences for multiple offenses. That subsection provides:</w:t>
      </w:r>
    </w:p>
    <w:p w:rsidR="00A31137" w:rsidRPr="00A31137" w:rsidRDefault="00A31137" w:rsidP="00A31137">
      <w:r w:rsidRPr="00A31137">
        <w:t>1997, United States v. Watts, No. 95-1906</w:t>
      </w:r>
    </w:p>
    <w:p w:rsidR="00A31137" w:rsidRPr="00A31137" w:rsidRDefault="00A31137" w:rsidP="00A31137">
      <w:r w:rsidRPr="00A31137">
        <w:t>The Commission shall insure that the Guidelines promulgated…reflect—</w:t>
      </w:r>
    </w:p>
    <w:p w:rsidR="00A31137" w:rsidRPr="00A31137" w:rsidRDefault="00A31137" w:rsidP="00A31137">
      <w:r w:rsidRPr="00A31137">
        <w:t>1997, United States v. Watts, No. 95-1906</w:t>
      </w:r>
    </w:p>
    <w:p w:rsidR="00A31137" w:rsidRPr="00A31137" w:rsidRDefault="00A31137" w:rsidP="00A31137">
      <w:r w:rsidRPr="00A31137">
        <w:t>(1) the appropriateness of imposing an incremental penalty for each offense in a case in which a defendant is convicted of—</w:t>
      </w:r>
    </w:p>
    <w:p w:rsidR="00A31137" w:rsidRPr="00A31137" w:rsidRDefault="00A31137" w:rsidP="00A31137">
      <w:r w:rsidRPr="00A31137">
        <w:t>1997, United States v. Watts, No. 95-1906</w:t>
      </w:r>
    </w:p>
    <w:p w:rsidR="00A31137" w:rsidRPr="00A31137" w:rsidRDefault="00A31137" w:rsidP="00A31137">
      <w:r w:rsidRPr="00A31137">
        <w:t>(A) multiple offenses committed in the same course of conduct…. ; and</w:t>
      </w:r>
    </w:p>
    <w:p w:rsidR="00A31137" w:rsidRPr="00A31137" w:rsidRDefault="00A31137" w:rsidP="00A31137">
      <w:r w:rsidRPr="00A31137">
        <w:t>1997, United States v. Watts, No. 95-1906</w:t>
      </w:r>
    </w:p>
    <w:p w:rsidR="00A31137" w:rsidRPr="00A31137" w:rsidRDefault="00A31137" w:rsidP="00A31137">
      <w:r w:rsidRPr="00A31137">
        <w:t>(B) multiple offenses committed at different times….</w:t>
      </w:r>
    </w:p>
    <w:p w:rsidR="00A31137" w:rsidRPr="00A31137" w:rsidRDefault="00A31137" w:rsidP="00A31137">
      <w:r w:rsidRPr="00A31137">
        <w:t>1997, United States v. Watts, No. 95-1906</w:t>
      </w:r>
    </w:p>
    <w:p w:rsidR="00A31137" w:rsidRPr="00A31137" w:rsidRDefault="00A31137" w:rsidP="00A31137">
      <w:r w:rsidRPr="00A31137">
        <w:t>(Emphasis added.) It is difficult to square this explicit statutory command to impose incremental punishment for each of the "multiple offenses" of which a defendant "is convicted" with the conclusion that Congress intended incremental punishment for each offense of which the defendant has been acquitted. 5 The Court, however, appears willing to read the statute's treatment of multiple offenses as though it authorized an incremental penalty for each offense for which the defendant was indicted if she is convicted of at least one such offense. The fact that the text of the statute expressly authorizes such incremental punishment "for each offense" only when a "defendant is convicted of…multiple offenses" conveys a far different message to thoughtful judges. 6</w:t>
      </w:r>
    </w:p>
    <w:p w:rsidR="00A31137" w:rsidRPr="00A31137" w:rsidRDefault="00A31137" w:rsidP="00A31137">
      <w:r w:rsidRPr="00A31137">
        <w:t>1997, United States v. Watts, No. 95-1906</w:t>
      </w:r>
    </w:p>
    <w:p w:rsidR="00A31137" w:rsidRPr="00A31137" w:rsidRDefault="00A31137" w:rsidP="00A31137">
      <w:r w:rsidRPr="00A31137">
        <w:t>In my opinion, the statute should be construed in the light of the traditional requirement that criminal charges must be sustained by proof beyond a reasonable doubt. That requirement has always applied to charges involving multiple offenses, as well as a single offense. Whether an allegation of criminal conduct is the sole basis for punishment or merely one of several bases for punishment, we should presume that Congress intended the new sentencing Guidelines that it authorized in 1984 to adhere to longstanding procedural requirements enshrined in our constitutional jurisprudence. The notion that a charge that cannot be sustained by proof beyond a reasonable doubt may give rise to the same punishment as if it had been so proved is repugnant to that jurisprudence.</w:t>
      </w:r>
    </w:p>
    <w:p w:rsidR="00A31137" w:rsidRPr="00A31137" w:rsidRDefault="00A31137" w:rsidP="00A31137">
      <w:r w:rsidRPr="00A31137">
        <w:t>1997, United States v. Watts, No. 95-1906</w:t>
      </w:r>
    </w:p>
    <w:p w:rsidR="00A31137" w:rsidRPr="00A31137" w:rsidRDefault="00A31137" w:rsidP="00A31137">
      <w:r w:rsidRPr="00A31137">
        <w:t>I respectfully dissent.</w:t>
      </w:r>
    </w:p>
    <w:p w:rsidR="00A31137" w:rsidRPr="00A31137" w:rsidRDefault="00A31137" w:rsidP="00A31137">
      <w:r w:rsidRPr="00A31137">
        <w:t>KENNEDY, J., dissenting</w:t>
      </w:r>
    </w:p>
    <w:p w:rsidR="00A31137" w:rsidRPr="00A31137" w:rsidRDefault="00A31137" w:rsidP="00A31137">
      <w:r w:rsidRPr="00A31137">
        <w:t>1997, United States v. Watts, No. 95-1906</w:t>
      </w:r>
    </w:p>
    <w:p w:rsidR="00A31137" w:rsidRPr="00A31137" w:rsidRDefault="00A31137" w:rsidP="00A31137">
      <w:r w:rsidRPr="00A31137">
        <w:t>JUSTICE KENNEDY, dissenting.</w:t>
      </w:r>
    </w:p>
    <w:p w:rsidR="00A31137" w:rsidRPr="00A31137" w:rsidRDefault="00A31137" w:rsidP="00A31137">
      <w:r w:rsidRPr="00A31137">
        <w:t>1997, United States v. Watts, No. 95-1906</w:t>
      </w:r>
    </w:p>
    <w:p w:rsidR="00A31137" w:rsidRPr="00A31137" w:rsidRDefault="00A31137" w:rsidP="00A31137">
      <w:r w:rsidRPr="00A31137">
        <w:t>A case can be made for summary reversal here, based on such factors as the conflict between the rationale of the Court of Appeals for the Ninth Circuit and the rationale of this Court in Williams v. New York, 337 U.S. 241 (1949), and, to a lesser extent, in Witte v. United States, 515 U.S. ___ (1995); the conflict the Ninth Circuit created, without considering en banc its departure from the rule followed in all other circuits; and the lack of any clear authority to constrain the sentencing judge as the Court of Appeals seeks to do.</w:t>
      </w:r>
    </w:p>
    <w:p w:rsidR="00A31137" w:rsidRPr="00A31137" w:rsidRDefault="00A31137" w:rsidP="00A31137">
      <w:r w:rsidRPr="00A31137">
        <w:t>1997, United States v. Watts, No. 95-1906</w:t>
      </w:r>
    </w:p>
    <w:p w:rsidR="00A31137" w:rsidRPr="00A31137" w:rsidRDefault="00A31137" w:rsidP="00A31137">
      <w:r w:rsidRPr="00A31137">
        <w:t>On the other hand, it must be noted the case raises a question of recurrent importance in hundreds of sentencing proceedings in the federal criminal system. We have not decided a case on this precise issue, for it involves not just prior criminal history but conduct underlying a charge for which the defendant was acquitted. At several points, the per curiam opinion shows hesitation in confronting the distinction between uncharged conduct and conduct related to a charge for which the defendant was acquitted. The distinction ought to be confronted by a reasoned course of argument, not by shrugging it off.</w:t>
      </w:r>
    </w:p>
    <w:p w:rsidR="00A31137" w:rsidRPr="00A31137" w:rsidRDefault="00A31137" w:rsidP="00A31137">
      <w:r w:rsidRPr="00A31137">
        <w:t>1997, United States v. Watts, No. 95-1906</w:t>
      </w:r>
    </w:p>
    <w:p w:rsidR="00A31137" w:rsidRPr="00A31137" w:rsidRDefault="00A31137" w:rsidP="00A31137">
      <w:r w:rsidRPr="00A31137">
        <w:t>At the least, it ought to be said that to increase a sentence based on conduct underlying a charge for which the defendant was acquitted does raise concerns about undercutting the verdict of acquittal, concerns noted by JUSTICE STEVENS and the other federal judges to whom he refers in his dissent. If there is no clear answer but to acknowledge a theoretical contradiction from which we cannot escape because of overriding practical considerations at least we ought to say so. Finally, as JUSTICE STEVENS further points out, the effect of the Sentencing Reform Act of 1984 on this question deserves careful exploration. This is illustrated by the fact that JUSTICES SCALIA and BREYER each find it necessary to issue separate opinions setting forth differing views on the role of the Sentencing Commission.</w:t>
      </w:r>
    </w:p>
    <w:p w:rsidR="00A31137" w:rsidRPr="00A31137" w:rsidRDefault="00A31137" w:rsidP="00A31137">
      <w:r w:rsidRPr="00A31137">
        <w:t>1997, United States v. Watts, No. 95-1906</w:t>
      </w:r>
    </w:p>
    <w:p w:rsidR="00A31137" w:rsidRPr="00A31137" w:rsidRDefault="00A31137" w:rsidP="00A31137">
      <w:r w:rsidRPr="00A31137">
        <w:t>For these reasons, the case should have been set for full briefing and consideration on the oral argument calendar. From the Court's failure to do so, I dissent.</w:t>
      </w:r>
    </w:p>
    <w:p w:rsidR="00A31137" w:rsidRPr="00A31137" w:rsidRDefault="00A31137" w:rsidP="00A31137">
      <w:r w:rsidRPr="00A31137">
        <w:t>Footnotes</w:t>
      </w:r>
    </w:p>
    <w:p w:rsidR="00A31137" w:rsidRPr="00A31137" w:rsidRDefault="00A31137" w:rsidP="00A31137">
      <w:r w:rsidRPr="00A31137">
        <w:t>Per curiam opinion. (Footnotes)</w:t>
      </w:r>
    </w:p>
    <w:p w:rsidR="00A31137" w:rsidRPr="00A31137" w:rsidRDefault="00A31137" w:rsidP="00A31137">
      <w:r w:rsidRPr="00A31137">
        <w:t>1997, United States v. Watts, No. 95-1906</w:t>
      </w:r>
    </w:p>
    <w:p w:rsidR="00A31137" w:rsidRPr="00A31137" w:rsidRDefault="00A31137" w:rsidP="00A31137">
      <w:r w:rsidRPr="00A31137">
        <w:t>1. United States v. Boney, 977 F.2d 624, 635-636 (CADC 1992); United States v. Mocciola, 891 F.2d 13, 16-17 (CA1 1989) (criticized in dicta in United States v. Lanoue, 71 F.3d 966, 984 (CA1 1995)); United States v. Rodriguez-Gonzalez, 899 F.2d 177, 180-182 (CA2), cert. denied, 498 U.S. 844 (1990); United States v. Ryan, 866 F.2d 604, 608-609 (CA3 1989); United States v. Isom, 886 F.2d 736, 738-739 (CA4 1989); United States v. Juarez-Ortega, 866 F.2d 747, 748-749 (CA5 1989) (per curiam); United States v. Milton, 27 F.3d 203, 208-209 (CA6 1994), cert. denied, 513 U.S. ___ (1995); United States v. Fonner, 920 F.2d 1330, 1332-1333 (CA7 1990); United States v. Dawn, 897 F.2d 1444, 1449-1450 (CA8), cert. denied, 498 U.S. 960 (1990); United States v. Coleman, 947 F.2d 1424, 1428-1429 (CA10 1991), cert. denied, 503 U.S. 972 (1992); United States v. Averi, 922 F.2d 765, 765-766 (CA11 1991) (per curiam).</w:t>
      </w:r>
    </w:p>
    <w:p w:rsidR="00A31137" w:rsidRPr="00A31137" w:rsidRDefault="00A31137" w:rsidP="00A31137">
      <w:r w:rsidRPr="00A31137">
        <w:t>1997, United States v. Watts, No. 95-1906</w:t>
      </w:r>
    </w:p>
    <w:p w:rsidR="00A31137" w:rsidRPr="00A31137" w:rsidRDefault="00A31137" w:rsidP="00A31137">
      <w:r w:rsidRPr="00A31137">
        <w:t>2. See McMillan, 477 U.S. at 88 (upholding use of preponderance standard where there was no allegation that the sentencing enhancement was "a tail which wags the dog of the substantive offense"); Kinder v. United States, 504 U.S. 946, 948-949 (1992) (White, J., dissenting from denial of certiorari) (acknowledging split); United States v. Kikumura, 918 F.2d 1084, 1102 (CA3 1990) (holding that clear and convincing standard is implicit in 18 U.S.C. § 3553(b), which requires a sentencing court to "find" certain facts in order to justify certain large upward departures; not reaching the due process issue); United States v. Gigante, 39 F.3d 42, 48 (CA2 1994), as amended, 94 F.3d 53, 56 (1996) (not reaching due process issue; "In our view, the preponderance standard is no more than a threshold basis for adjustments and departures, and the weight of the evidence at some point along a continuum of sentence severity, should be considered with regard to both upward adjustments and upward departures…. Where a higher standard, appropriate to a substantially enhanced sentence range, is not met, the court should depart downwardly"); United States v. Lombard, 72 F.3d 170, 186-187 (CA1 1995) (authorizing downward departure in "an unusual and perhaps a singular case" that may have "exceeded" constitutional limits, where acquitted conduct calling for a "enormous" sentence enhancement "is itself very serious conduct," "where the ultimate sentence is itself enormous, and where the judge is seemingly mandated to impose that sentence"); see also United States v. Townley, 929 F.2d 365, 369 (CA8 1991) ("At the very least, McMillan allows for the possibility that the preponderance standard the Court approved for garden variety sentencing determinations may fail to comport with due process where, as here, a sentencing enhancement factor becomes 'a tail which wags the dog of the substantive offense'") (quoting McMillan, supra at 88); United States v. Restrepo, 946 F.2d 654, 656, n. 1 (CA9 1991) (en banc) (suggesting that clear and convincing evidence might be required for extraordinary upward adjustments or departures), cert. denied, 503 U.S. 961 (1992); United States v. Lam Kwong-Wah, 966 F.2d 682, 688 (CADC) (same), cert. denied, 506 U.S. 901 (1992); United States v. Trujillo, 959 F.2d 1377, 1382 (CA7) (same), cert. denied, 506 U.S. 897 (1992). But see United States v. Washington, 11 F.3d 1510, 1516 (CA10 1993) ("At least as concerns making guideline calculations the issue of a higher than a preponderance standard is foreclosed in this circuit"), cert. denied, 511 U.S. 1020 (1994).</w:t>
      </w:r>
    </w:p>
    <w:p w:rsidR="00A31137" w:rsidRPr="00A31137" w:rsidRDefault="00A31137" w:rsidP="00A31137">
      <w:r w:rsidRPr="00A31137">
        <w:t>STEVENS, J., dissenting (Footnotes)</w:t>
      </w:r>
    </w:p>
    <w:p w:rsidR="00A31137" w:rsidRPr="00A31137" w:rsidRDefault="00A31137" w:rsidP="00A31137">
      <w:r w:rsidRPr="00A31137">
        <w:t>1997, United States v. Watts, No. 95-1906</w:t>
      </w:r>
    </w:p>
    <w:p w:rsidR="00A31137" w:rsidRPr="00A31137" w:rsidRDefault="00A31137" w:rsidP="00A31137">
      <w:r w:rsidRPr="00A31137">
        <w:t>1. Compare Williams v. New York, 337 U.S. 241, 247-248 (1949) ("Reformation and rehabilitation of offenders have become important goals of criminal jurisprudence"), with 28 U.S.C. § 994(k) (rejecting rehabilitation as a goal of imprisonment) and 18 U.S.C. § 3553(a)(2) (stating that punishment should serve retributive, deterrent, educational and incapacitative goals).</w:t>
      </w:r>
    </w:p>
    <w:p w:rsidR="00A31137" w:rsidRPr="00A31137" w:rsidRDefault="00A31137" w:rsidP="00A31137">
      <w:r w:rsidRPr="00A31137">
        <w:t>1997, United States v. Watts, No. 95-1906</w:t>
      </w:r>
    </w:p>
    <w:p w:rsidR="00A31137" w:rsidRPr="00A31137" w:rsidRDefault="00A31137" w:rsidP="00A31137">
      <w:r w:rsidRPr="00A31137">
        <w:t>2. The circumstances surrounding Vernon Watts' sentencing were somewhat different from those involved in Putra's sentencing. Watts was acquitted of the crime of using a firearm in relation to a drug offense, in violation of 18 U.S.C. § 924(c), but was found guilty of certain drug crimes. United States v. Watts, 67 F.3d 790, 793 (CA9 1995). The sentencing judge enhanced Watts' base offense level by two points, pursuant to USSG § 2D1.1(b)(1), after concluding that the defendant's "possession" of the firearm in connection with the crime had been proved by a preponderance of the evidence. 67 F.3d at 797-798. Because the "use" of a firearm and its "possession" are not identical, the judge may not have relied on facts necessarily rejected by the jury in concluding that the sentencing enhancement was appropriate. I nevertheless believe that the enhancement was inappropriate because it was based on conduct that the judge found only by a preponderance of the evidence. Since Watts' base offense level was increased by this evidence, I believe it should have been proved beyond a reasonable doubt.</w:t>
      </w:r>
    </w:p>
    <w:p w:rsidR="00A31137" w:rsidRPr="00A31137" w:rsidRDefault="00A31137" w:rsidP="00A31137">
      <w:r w:rsidRPr="00A31137">
        <w:t>1997, United States v. Watts, No. 95-1906</w:t>
      </w:r>
    </w:p>
    <w:p w:rsidR="00A31137" w:rsidRPr="00A31137" w:rsidRDefault="00A31137" w:rsidP="00A31137">
      <w:r w:rsidRPr="00A31137">
        <w:t>3. Although the Court's decision suggests that the approach taken by the Ninth Circuit in these cases breaks from settled law in every other Circuit, the opinion ignores the fact that respected jurists all over the country have been critical of the interaction between the Sentencing Guidelines' mechanical approach and the application of a preponderance of the evidence standard to so-called relevant conduct. See, e.g, United States v. Silverman, 976 F.2d 1502, 1519, 1527 (CA6 1992) (Merritt, C.J., dissenting); Id. at 1533 (Martin, J., dissenting); United States v. Concepcion, 983 F.2d 369, 389, 396 (CA2 1992) (Newman, C.J., concurring) ("A just system of criminal sentencing cannot fail to distinguish between an allegation of conduct resulting in a conviction and an allegation of conduct resulting in an acquittal"); United States v. Galloway, 976 F.2d 414, 436 (CA8 1992) (Bright, J. dissenting, joined by Arnold, C.J., Lay, J., and McMillian, J.); United States v. Restrepo, 946 F.2d 654, 663 (CA9 1991) (Pregerson, J., dissenting, joined by Hug, J.); Id. at 664 (Norris, J., dissenting, joined by Hug, J., Pregerson, J., and D. W. Nelson, J.). Cf. United States v. Lanoue, 71 F.3d 966, 984 (CA1 1995) ("Although it makes no difference in this case, we believe that a defendant's Fifth and Sixth Amendment right to have a jury determine his guilt beyond a reasonable doubt is trampled when he is imprisoned (for any length of time) on the basis of conduct of which a jury has necessarily acquitted him"). See also Martin, The Cornerstone Has No Foundation: Relevant Conduct in Sentencing and the Requirements of Due Process, 3 Const.L.J. 25, 34-36 (1993); Beale, Procedural Issues Raised by Guidelines Sentencing: The Constitutional Significance of the "Elements of the Sentence," 35 Wm. &amp; Mary L.Rev. 147, 157-158 (1993); Herman, The Tail that Wagged the Dog: Bifurcated Fact-Finding under the Federal Sentencing Guidelines and the Limits of Due Process, 66 S. Cal. L.Rev. 289 (1992); Heaney, The Reality of Guidelines Sentencing: No End to Disparity, 28 Am.Crim.L.Rev. 161, 208-220 (1991).</w:t>
      </w:r>
    </w:p>
    <w:p w:rsidR="00A31137" w:rsidRPr="00A31137" w:rsidRDefault="00A31137" w:rsidP="00A31137">
      <w:r w:rsidRPr="00A31137">
        <w:t>1997, United States v. Watts, No. 95-1906</w:t>
      </w:r>
    </w:p>
    <w:p w:rsidR="00A31137" w:rsidRPr="00A31137" w:rsidRDefault="00A31137" w:rsidP="00A31137">
      <w:r w:rsidRPr="00A31137">
        <w:t>4. I recognize that the shift from one Guideline range to a higher range does not produce a sentence beyond the statutory maximum. It does, however, mandate a sentence that is above the maximum that the judge would have had the legal authority to impose absent consideration of the "relevant conduct."</w:t>
      </w:r>
    </w:p>
    <w:p w:rsidR="00A31137" w:rsidRPr="00A31137" w:rsidRDefault="00A31137" w:rsidP="00A31137">
      <w:r w:rsidRPr="00A31137">
        <w:t>1997, United States v. Watts, No. 95-1906</w:t>
      </w:r>
    </w:p>
    <w:p w:rsidR="00A31137" w:rsidRPr="00A31137" w:rsidRDefault="00A31137" w:rsidP="00A31137">
      <w:r w:rsidRPr="00A31137">
        <w:t>5. Courts upholding the Guidelines' relevant conduct provisions and their application in cases such as these have tended to focus their attention exclusively on those provisions in the statute that direct courts and the Commission to consider the "nature and circumstances of the offense" in determining an appropriate sentence. 18 U.S.C. § 3553(a)(1); see also 28 U.S.C. § 994(d). In § 994(d), Congress granted the Sentencing Commission the authority to "consider whether [certain enumerated factors], among others, have any relevance," in establishing Guidelines for offenses. Some courts have concluded that the inclusion of the qualifier "among others" in this provision indicated that Congress intended the Commission to include anything it felt was relevant to the sentencing decision. See, e.g., United States v. Galloway, 976 F.2d at 420-421; United States v. Thomas, 932 F.2d 1085, 1089 (CA5 1991), cert. denied sub nom. Pullock v. United States, 502 U.S. 895, and Samuels v. United States, 502 U.S. 962 (1992). But this provision cannot be read separately from the rest of the statute. The clear congressional directive concerning sentencing for "multiple offenses" must be read as an important limit on the "othe[r]" factors that can be considered relevant to determination of an offense level.</w:t>
      </w:r>
    </w:p>
    <w:p w:rsidR="00A31137" w:rsidRPr="00A31137" w:rsidRDefault="00A31137" w:rsidP="00A31137">
      <w:r w:rsidRPr="00A31137">
        <w:t>1997, United States v. Watts, No. 95-1906</w:t>
      </w:r>
    </w:p>
    <w:p w:rsidR="00A31137" w:rsidRPr="00A31137" w:rsidRDefault="00A31137" w:rsidP="00A31137">
      <w:r w:rsidRPr="00A31137">
        <w:t>6. Some judges have concluded, in large part because of this provision, that the Guidelines' relevant conduct rules are outside the scope of the authority Congress granted to the Commission. See Galloway, 976 F.2d at 430-431 (Beam, J., dissenting); United States v. Davern, 970 F.2d 1490, 1507 (CA6 1992) (Merritt, C.J. dissenting).</w:t>
      </w:r>
    </w:p>
    <w:p w:rsidR="00A31137" w:rsidRPr="00A31137" w:rsidRDefault="00A31137" w:rsidP="00A31137">
      <w:r w:rsidRPr="00A31137">
        <w:t>William J. Clinton's Second Inaugural Address, 1997</w:t>
      </w:r>
    </w:p>
    <w:p w:rsidR="00A31137" w:rsidRPr="00A31137" w:rsidRDefault="00A31137" w:rsidP="00A31137">
      <w:r w:rsidRPr="00A31137">
        <w:t>Title:</w:t>
      </w:r>
      <w:r w:rsidRPr="00A31137">
        <w:tab/>
        <w:t>William J. Clinton's Second Inaugural Address</w:t>
      </w:r>
    </w:p>
    <w:p w:rsidR="00A31137" w:rsidRPr="00A31137" w:rsidRDefault="00A31137" w:rsidP="00A31137">
      <w:r w:rsidRPr="00A31137">
        <w:t>Author:</w:t>
      </w:r>
      <w:r w:rsidRPr="00A31137">
        <w:tab/>
        <w:t>Bill Clinton</w:t>
      </w:r>
    </w:p>
    <w:p w:rsidR="00A31137" w:rsidRPr="00A31137" w:rsidRDefault="00A31137" w:rsidP="00A31137">
      <w:r w:rsidRPr="00A31137">
        <w:t>Date:</w:t>
      </w:r>
      <w:r w:rsidRPr="00A31137">
        <w:tab/>
        <w:t>January 20, 1997</w:t>
      </w:r>
    </w:p>
    <w:p w:rsidR="00A31137" w:rsidRPr="00A31137" w:rsidRDefault="00A31137" w:rsidP="00A31137">
      <w:r w:rsidRPr="00A31137">
        <w:t>Source:</w:t>
      </w:r>
      <w:r w:rsidRPr="00A31137">
        <w:tab/>
        <w:t>The White House</w:t>
      </w:r>
    </w:p>
    <w:p w:rsidR="00A31137" w:rsidRPr="00A31137" w:rsidRDefault="00A31137" w:rsidP="00A31137">
      <w:r w:rsidRPr="00A31137">
        <w:t>Clinton, Second Inaugural Address, Jan. 20, 1997</w:t>
      </w:r>
    </w:p>
    <w:p w:rsidR="00A31137" w:rsidRPr="00A31137" w:rsidRDefault="00A31137" w:rsidP="00A31137">
      <w:r w:rsidRPr="00A31137">
        <w:t>The White House</w:t>
      </w:r>
    </w:p>
    <w:p w:rsidR="00A31137" w:rsidRPr="00A31137" w:rsidRDefault="00A31137" w:rsidP="00A31137">
      <w:r w:rsidRPr="00A31137">
        <w:t>Office of the Press Secretary</w:t>
      </w:r>
    </w:p>
    <w:p w:rsidR="00A31137" w:rsidRPr="00A31137" w:rsidRDefault="00A31137" w:rsidP="00A31137">
      <w:r w:rsidRPr="00A31137">
        <w:t>For Immediate Release</w:t>
      </w:r>
    </w:p>
    <w:p w:rsidR="00A31137" w:rsidRPr="00A31137" w:rsidRDefault="00A31137" w:rsidP="00A31137">
      <w:r w:rsidRPr="00A31137">
        <w:t>January 20, 1997</w:t>
      </w:r>
    </w:p>
    <w:p w:rsidR="00A31137" w:rsidRPr="00A31137" w:rsidRDefault="00A31137" w:rsidP="00A31137">
      <w:r w:rsidRPr="00A31137">
        <w:t>Inaugural Address Of</w:t>
      </w:r>
    </w:p>
    <w:p w:rsidR="00A31137" w:rsidRPr="00A31137" w:rsidRDefault="00A31137" w:rsidP="00A31137">
      <w:r w:rsidRPr="00A31137">
        <w:t>President William J. Clinton</w:t>
      </w:r>
    </w:p>
    <w:p w:rsidR="00A31137" w:rsidRPr="00A31137" w:rsidRDefault="00A31137" w:rsidP="00A31137">
      <w:r w:rsidRPr="00A31137">
        <w:t>U.S. Capitol</w:t>
      </w:r>
    </w:p>
    <w:p w:rsidR="00A31137" w:rsidRPr="00A31137" w:rsidRDefault="00A31137" w:rsidP="00A31137">
      <w:r w:rsidRPr="00A31137">
        <w:t>12:05 P.M. EST</w:t>
      </w:r>
    </w:p>
    <w:p w:rsidR="00A31137" w:rsidRPr="00A31137" w:rsidRDefault="00A31137" w:rsidP="00A31137">
      <w:r w:rsidRPr="00A31137">
        <w:t>Clinton, Second Inaugural Address, Jan. 20, 1997</w:t>
      </w:r>
    </w:p>
    <w:p w:rsidR="00A31137" w:rsidRPr="00A31137" w:rsidRDefault="00A31137" w:rsidP="00A31137">
      <w:r w:rsidRPr="00A31137">
        <w:t>My fellow citizens:</w:t>
      </w:r>
    </w:p>
    <w:p w:rsidR="00A31137" w:rsidRPr="00A31137" w:rsidRDefault="00A31137" w:rsidP="00A31137">
      <w:r w:rsidRPr="00A31137">
        <w:t>Clinton, Second Inaugural Address, Jan. 20, 1997</w:t>
      </w:r>
    </w:p>
    <w:p w:rsidR="00A31137" w:rsidRPr="00A31137" w:rsidRDefault="00A31137" w:rsidP="00A31137">
      <w:r w:rsidRPr="00A31137">
        <w:t>At this last presidential inauguration of the 20th century, let us lift our eyes toward the challenges that await us in the next century. It is our great good fortune that time and chance have put us not only at the edge of a new century, in a new millennium, but on the edge of a bright new prospect in human affairs—a moment that will define our course, and our character, for decades to come. We must keep our old democracy forever young. Guided by the ancient vision of a promised land, let us set our sights upon a land of new promise.</w:t>
      </w:r>
    </w:p>
    <w:p w:rsidR="00A31137" w:rsidRPr="00A31137" w:rsidRDefault="00A31137" w:rsidP="00A31137">
      <w:r w:rsidRPr="00A31137">
        <w:t>Clinton, Second Inaugural Address, Jan. 20, 1997</w:t>
      </w:r>
    </w:p>
    <w:p w:rsidR="00A31137" w:rsidRPr="00A31137" w:rsidRDefault="00A31137" w:rsidP="00A31137">
      <w:r w:rsidRPr="00A31137">
        <w:t>The promise of America was born in the 18th century out of the bold conviction that we are all created equal. It was extended and preserved in the 19th century, when our nation spread across the continent, saved the union, and abolished the awful scourge of slavery.</w:t>
      </w:r>
    </w:p>
    <w:p w:rsidR="00A31137" w:rsidRPr="00A31137" w:rsidRDefault="00A31137" w:rsidP="00A31137">
      <w:r w:rsidRPr="00A31137">
        <w:t>Clinton, Second Inaugural Address, Jan. 20, 1997</w:t>
      </w:r>
    </w:p>
    <w:p w:rsidR="00A31137" w:rsidRPr="00A31137" w:rsidRDefault="00A31137" w:rsidP="00A31137">
      <w:r w:rsidRPr="00A31137">
        <w:t>Then, in turmoil and triumph, that promise exploded onto the world stage to make this the American Century.</w:t>
      </w:r>
    </w:p>
    <w:p w:rsidR="00A31137" w:rsidRPr="00A31137" w:rsidRDefault="00A31137" w:rsidP="00A31137">
      <w:r w:rsidRPr="00A31137">
        <w:t>Clinton, Second Inaugural Address, Jan. 20, 1997</w:t>
      </w:r>
    </w:p>
    <w:p w:rsidR="00A31137" w:rsidRPr="00A31137" w:rsidRDefault="00A31137" w:rsidP="00A31137">
      <w:r w:rsidRPr="00A31137">
        <w:t xml:space="preserve">And what a century it has been. America became the world's mightiest industrial power; saved the world from tyranny in two world wars and a long cold war; and time and again, reached out across the globe to millions who, like us, longed for the blessings of liberty. </w:t>
      </w:r>
    </w:p>
    <w:p w:rsidR="00A31137" w:rsidRPr="00A31137" w:rsidRDefault="00A31137" w:rsidP="00A31137">
      <w:r w:rsidRPr="00A31137">
        <w:t>Clinton, Second Inaugural Address, Jan. 20, 1997</w:t>
      </w:r>
    </w:p>
    <w:p w:rsidR="00A31137" w:rsidRPr="00A31137" w:rsidRDefault="00A31137" w:rsidP="00A31137">
      <w:r w:rsidRPr="00A31137">
        <w:t>Along the way, Americans produced a great middle class and security in old age; built unrivaled centers of learning and opened public schools to all; split the atom and explored the heavens; invented the computer and the microchip; and deepened the wellspring of justice by making a revolution in civil rights for African Americans and all minorities, and extending the circle of citizenship, opportunity and dignity to women.</w:t>
      </w:r>
    </w:p>
    <w:p w:rsidR="00A31137" w:rsidRPr="00A31137" w:rsidRDefault="00A31137" w:rsidP="00A31137">
      <w:r w:rsidRPr="00A31137">
        <w:t>Clinton, Second Inaugural Address, Jan. 20, 1997</w:t>
      </w:r>
    </w:p>
    <w:p w:rsidR="00A31137" w:rsidRPr="00A31137" w:rsidRDefault="00A31137" w:rsidP="00A31137">
      <w:r w:rsidRPr="00A31137">
        <w:t>Now, for the third time, a new century is upon us, and another time to choose. We began the 19th century with a choice, to spread our nation from coast to coast. We began the 20th century with a choice, to harness the Industrial Revolution to our values of free enterprise, conservation, and human decency. Those choices made all the difference. At the dawn of the 21st century a free people must now choose to shape the forces of the Information Age and the global society, to unleash the limitless potential of all our people, and, yes, to form a more perfect union.</w:t>
      </w:r>
    </w:p>
    <w:p w:rsidR="00A31137" w:rsidRPr="00A31137" w:rsidRDefault="00A31137" w:rsidP="00A31137">
      <w:r w:rsidRPr="00A31137">
        <w:t>Clinton, Second Inaugural Address, Jan. 20, 1997</w:t>
      </w:r>
    </w:p>
    <w:p w:rsidR="00A31137" w:rsidRPr="00A31137" w:rsidRDefault="00A31137" w:rsidP="00A31137">
      <w:r w:rsidRPr="00A31137">
        <w:t>When last we gathered, our march to this new future seemed less certain than it does today. We vowed then to set a clear course to renew our nation.</w:t>
      </w:r>
    </w:p>
    <w:p w:rsidR="00A31137" w:rsidRPr="00A31137" w:rsidRDefault="00A31137" w:rsidP="00A31137">
      <w:r w:rsidRPr="00A31137">
        <w:t>Clinton, Second Inaugural Address, Jan. 20, 1997</w:t>
      </w:r>
    </w:p>
    <w:p w:rsidR="00A31137" w:rsidRPr="00A31137" w:rsidRDefault="00A31137" w:rsidP="00A31137">
      <w:r w:rsidRPr="00A31137">
        <w:t>In these four years, we have been touched by tragedy, exhilarated by challenge, strengthened by achievement. America stands alone as the world's indispensable nation. Once again, our economy is the strongest on Earth. Once again, we are building stronger families, thriving communities, better educational opportunities, a cleaner environment. Problems that once seemed destined to deepen now bend to our efforts: our streets are safer and record numbers of our fellow citizens have moved from welfare to work.</w:t>
      </w:r>
    </w:p>
    <w:p w:rsidR="00A31137" w:rsidRPr="00A31137" w:rsidRDefault="00A31137" w:rsidP="00A31137">
      <w:r w:rsidRPr="00A31137">
        <w:t>Clinton, Second Inaugural Address, Jan. 20, 1997</w:t>
      </w:r>
    </w:p>
    <w:p w:rsidR="00A31137" w:rsidRPr="00A31137" w:rsidRDefault="00A31137" w:rsidP="00A31137">
      <w:r w:rsidRPr="00A31137">
        <w:t>And once again, we have resolved for our time a great debate over the role of government. Today we can declare: Government is not the problem, and government is not the solution. We—the American people—we are the solution. (Applause.) Our founders understood that well and gave us a democracy strong enough to endure for centuries, flexible enough to face our common challenges and advance our common dreams in each new day.</w:t>
      </w:r>
    </w:p>
    <w:p w:rsidR="00A31137" w:rsidRPr="00A31137" w:rsidRDefault="00A31137" w:rsidP="00A31137">
      <w:r w:rsidRPr="00A31137">
        <w:t>Clinton, Second Inaugural Address, Jan. 20, 1997</w:t>
      </w:r>
    </w:p>
    <w:p w:rsidR="00A31137" w:rsidRPr="00A31137" w:rsidRDefault="00A31137" w:rsidP="00A31137">
      <w:r w:rsidRPr="00A31137">
        <w:t>As times change, so government must change. We need a new government for a new century—humble enough not to try to solve all our problems for us, but strong enough to give us the tools to solve our problems for ourselves; a government that is smaller, lives within its means, and does more with less. Yet where it can stand up for our values and interests in the world, and where it can give Americans the power to make a real difference in their everyday lives, government should do more, not less. The preeminent mission of our new government is to give all Americans an opportunity—not a guarantee, but a real opportunity—to build better lives. (Applause.)</w:t>
      </w:r>
    </w:p>
    <w:p w:rsidR="00A31137" w:rsidRPr="00A31137" w:rsidRDefault="00A31137" w:rsidP="00A31137">
      <w:r w:rsidRPr="00A31137">
        <w:t>Clinton, Second Inaugural Address, Jan. 20, 1997</w:t>
      </w:r>
    </w:p>
    <w:p w:rsidR="00A31137" w:rsidRPr="00A31137" w:rsidRDefault="00A31137" w:rsidP="00A31137">
      <w:r w:rsidRPr="00A31137">
        <w:t>Beyond that, my fellow citizens, the future is up to us. Our founders taught us that the preservation of our liberty and our union depends upon responsible citizenship. And we need a new sense of responsibility for a new century. There is work to do, work that government alone cannot do: teaching children to read; hiring people off welfare rolls; coming out from behind locked doors and shuttered windows to help reclaim our streets from drugs and gangs and crime; taking time out of our own lives to serve others.</w:t>
      </w:r>
    </w:p>
    <w:p w:rsidR="00A31137" w:rsidRPr="00A31137" w:rsidRDefault="00A31137" w:rsidP="00A31137">
      <w:r w:rsidRPr="00A31137">
        <w:t>Clinton, Second Inaugural Address, Jan. 20, 1997</w:t>
      </w:r>
    </w:p>
    <w:p w:rsidR="00A31137" w:rsidRPr="00A31137" w:rsidRDefault="00A31137" w:rsidP="00A31137">
      <w:r w:rsidRPr="00A31137">
        <w:t>Each and every one of us, in our own way, must assume personal responsibility—not only for ourselves and our families, but for our neighbors and our nation. (Applause.) Our greatest responsibility is to embrace a new spirit of community for a new century. For any one of us to succeed, we must succeed as one America.</w:t>
      </w:r>
    </w:p>
    <w:p w:rsidR="00A31137" w:rsidRPr="00A31137" w:rsidRDefault="00A31137" w:rsidP="00A31137">
      <w:r w:rsidRPr="00A31137">
        <w:t>Clinton, Second Inaugural Address, Jan. 20, 1997</w:t>
      </w:r>
    </w:p>
    <w:p w:rsidR="00A31137" w:rsidRPr="00A31137" w:rsidRDefault="00A31137" w:rsidP="00A31137">
      <w:r w:rsidRPr="00A31137">
        <w:t>The challenge of our past remains the challenge of our future—will we be one nation, one people, with one common destiny, or not? Will we all come together, or come apart?</w:t>
      </w:r>
    </w:p>
    <w:p w:rsidR="00A31137" w:rsidRPr="00A31137" w:rsidRDefault="00A31137" w:rsidP="00A31137">
      <w:r w:rsidRPr="00A31137">
        <w:t>Clinton, Second Inaugural Address, Jan. 20, 1997</w:t>
      </w:r>
    </w:p>
    <w:p w:rsidR="00A31137" w:rsidRPr="00A31137" w:rsidRDefault="00A31137" w:rsidP="00A31137">
      <w:r w:rsidRPr="00A31137">
        <w:t>The divide of race has been America's constant curse. And each new wave of immigrants gives new targets to old prejudices. Prejudice and contempt, cloaked in the pretense of religious or political conviction are no different. (Applause.) These forces have nearly destroyed our nation in the past. They plague us still. They fuel the fanaticism of terror. And they torment the lives of millions in fractured nations all around the world.</w:t>
      </w:r>
    </w:p>
    <w:p w:rsidR="00A31137" w:rsidRPr="00A31137" w:rsidRDefault="00A31137" w:rsidP="00A31137">
      <w:r w:rsidRPr="00A31137">
        <w:t>Clinton, Second Inaugural Address, Jan. 20, 1997</w:t>
      </w:r>
    </w:p>
    <w:p w:rsidR="00A31137" w:rsidRPr="00A31137" w:rsidRDefault="00A31137" w:rsidP="00A31137">
      <w:r w:rsidRPr="00A31137">
        <w:t>These obsessions cripple both those who hate and, of course, those who are hated, robbing both of what they might become. We cannot, we will not, succumb to the dark impulses that lurk in the far regions of the soul everywhere. We shall overcome them. (Applause.) And we shall replace them with the generous spirit of a people who feel at home with one another.</w:t>
      </w:r>
    </w:p>
    <w:p w:rsidR="00A31137" w:rsidRPr="00A31137" w:rsidRDefault="00A31137" w:rsidP="00A31137">
      <w:r w:rsidRPr="00A31137">
        <w:t>Clinton, Second Inaugural Address, Jan. 20, 1997</w:t>
      </w:r>
    </w:p>
    <w:p w:rsidR="00A31137" w:rsidRPr="00A31137" w:rsidRDefault="00A31137" w:rsidP="00A31137">
      <w:r w:rsidRPr="00A31137">
        <w:t>Our rich texture of racial, religious and political diversity will be a Godsend in the 21st century. Great rewards will come to those who can live together, learn together, work together, forge new ties that bind together.</w:t>
      </w:r>
    </w:p>
    <w:p w:rsidR="00A31137" w:rsidRPr="00A31137" w:rsidRDefault="00A31137" w:rsidP="00A31137">
      <w:r w:rsidRPr="00A31137">
        <w:t>Clinton, Second Inaugural Address, Jan. 20, 1997</w:t>
      </w:r>
    </w:p>
    <w:p w:rsidR="00A31137" w:rsidRPr="00A31137" w:rsidRDefault="00A31137" w:rsidP="00A31137">
      <w:r w:rsidRPr="00A31137">
        <w:t>As this new era approaches we can already see its broad outlines. Ten years ago, the Internet was the mystical province of physicists; today, it is a commonplace encyclopedia for millions of schoolchildren. Scientists now are decoding the blueprint of human life. Cures for our most feared illnesses seem close at hand.</w:t>
      </w:r>
    </w:p>
    <w:p w:rsidR="00A31137" w:rsidRPr="00A31137" w:rsidRDefault="00A31137" w:rsidP="00A31137">
      <w:r w:rsidRPr="00A31137">
        <w:t>Clinton, Second Inaugural Address, Jan. 20, 1997</w:t>
      </w:r>
    </w:p>
    <w:p w:rsidR="00A31137" w:rsidRPr="00A31137" w:rsidRDefault="00A31137" w:rsidP="00A31137">
      <w:r w:rsidRPr="00A31137">
        <w:t>The world is no longer divided into two hostile camps. Instead, now we are building bonds with nations that once were our adversaries. Growing connections of commerce and culture give us a chance to lift the fortunes and spirits of people the world over. And for the very first time in all of history, more people on this planet live under democracy than dictatorship. (Applause.)</w:t>
      </w:r>
    </w:p>
    <w:p w:rsidR="00A31137" w:rsidRPr="00A31137" w:rsidRDefault="00A31137" w:rsidP="00A31137">
      <w:r w:rsidRPr="00A31137">
        <w:t>Clinton, Second Inaugural Address, Jan. 20, 1997</w:t>
      </w:r>
    </w:p>
    <w:p w:rsidR="00A31137" w:rsidRPr="00A31137" w:rsidRDefault="00A31137" w:rsidP="00A31137">
      <w:r w:rsidRPr="00A31137">
        <w:t>My fellow Americans, as we look back at this remarkable century, we may ask, can we hope not just to follow, but even to surpass the achievements of the 20th century in America and to avoid the awful bloodshed that stained its legacy? To that question, every American here and every American in our land today must answer a resounding "Yes." (Applause.)</w:t>
      </w:r>
    </w:p>
    <w:p w:rsidR="00A31137" w:rsidRPr="00A31137" w:rsidRDefault="00A31137" w:rsidP="00A31137">
      <w:r w:rsidRPr="00A31137">
        <w:t>Clinton, Second Inaugural Address, Jan. 20, 1997</w:t>
      </w:r>
    </w:p>
    <w:p w:rsidR="00A31137" w:rsidRPr="00A31137" w:rsidRDefault="00A31137" w:rsidP="00A31137">
      <w:r w:rsidRPr="00A31137">
        <w:t xml:space="preserve">This is the heart of our task. With a new vision of government, a new sense of responsibility, a new spirit of community, we will sustain America's journey. The promise we sought in a new land we will find again in a land of new promise. (Applause.) </w:t>
      </w:r>
    </w:p>
    <w:p w:rsidR="00A31137" w:rsidRPr="00A31137" w:rsidRDefault="00A31137" w:rsidP="00A31137">
      <w:r w:rsidRPr="00A31137">
        <w:t>Clinton, Second Inaugural Address, Jan. 20, 1997</w:t>
      </w:r>
    </w:p>
    <w:p w:rsidR="00A31137" w:rsidRPr="00A31137" w:rsidRDefault="00A31137" w:rsidP="00A31137">
      <w:r w:rsidRPr="00A31137">
        <w:t>In this new land, education will be every citizen's most prized possession. Our schools will have the highest standards in the world, igniting the spark of possibility in the eyes of every girl and every boy. And the doors of higher education will be open to all. The knowledge and power of the Information Age will be within reach not just of the few, but of every classroom, every library, every child. Parents and children will have time not only to work, but to read and play together. And the plans they make at their kitchen table will be those of a better home, a better job, the certain chance to go to college.</w:t>
      </w:r>
    </w:p>
    <w:p w:rsidR="00A31137" w:rsidRPr="00A31137" w:rsidRDefault="00A31137" w:rsidP="00A31137">
      <w:r w:rsidRPr="00A31137">
        <w:t>Clinton, Second Inaugural Address, Jan. 20, 1997</w:t>
      </w:r>
    </w:p>
    <w:p w:rsidR="00A31137" w:rsidRPr="00A31137" w:rsidRDefault="00A31137" w:rsidP="00A31137">
      <w:r w:rsidRPr="00A31137">
        <w:t>Our streets will echo again with the laughter of our children, because no one will try to shoot them or sell them drugs anymore. Everyone who can work, will work, with today's permanent under class part of tomorrow's growing middle class. New miracles of medicine at last will reach not only those who can claim care now, but the children and hardworking families too long denied.</w:t>
      </w:r>
    </w:p>
    <w:p w:rsidR="00A31137" w:rsidRPr="00A31137" w:rsidRDefault="00A31137" w:rsidP="00A31137">
      <w:r w:rsidRPr="00A31137">
        <w:t>Clinton, Second Inaugural Address, Jan. 20, 1997</w:t>
      </w:r>
    </w:p>
    <w:p w:rsidR="00A31137" w:rsidRPr="00A31137" w:rsidRDefault="00A31137" w:rsidP="00A31137">
      <w:r w:rsidRPr="00A31137">
        <w:t>We will stand mighty for peace and freedom, and maintain a strong defense against terror and destruction. Our children will sleep free from the threat of nuclear, chemical or biological weapons. Ports and airports, farms and factories will thrive with trade and innovation and ideas. And the world's greatest democracy will lead a whole world of democracies.</w:t>
      </w:r>
    </w:p>
    <w:p w:rsidR="00A31137" w:rsidRPr="00A31137" w:rsidRDefault="00A31137" w:rsidP="00A31137">
      <w:r w:rsidRPr="00A31137">
        <w:t>Clinton, Second Inaugural Address, Jan. 20, 1997</w:t>
      </w:r>
    </w:p>
    <w:p w:rsidR="00A31137" w:rsidRPr="00A31137" w:rsidRDefault="00A31137" w:rsidP="00A31137">
      <w:r w:rsidRPr="00A31137">
        <w:t>Our land of new promise will be a nation that meets its obligations—a nation that balances its budget, but never loses the balance of its values. (Applause.) A nation where our grandparents have secure retirement and health care, and their grandchildren know we have made the reforms necessary to sustain those benefits for their time. (Applause.) A nation that fortifies the world's most productive economy even as it protects the great natural bounty of our water, air, and majestic land.</w:t>
      </w:r>
    </w:p>
    <w:p w:rsidR="00A31137" w:rsidRPr="00A31137" w:rsidRDefault="00A31137" w:rsidP="00A31137">
      <w:r w:rsidRPr="00A31137">
        <w:t>Clinton, Second Inaugural Address, Jan. 20, 1997</w:t>
      </w:r>
    </w:p>
    <w:p w:rsidR="00A31137" w:rsidRPr="00A31137" w:rsidRDefault="00A31137" w:rsidP="00A31137">
      <w:r w:rsidRPr="00A31137">
        <w:t>And in this land of new promise, we will have reformed our politics so that the voice of the people will always speak louder than the din of narrow interests—regaining the participation and deserving the trust of all Americans. (Applause.)</w:t>
      </w:r>
    </w:p>
    <w:p w:rsidR="00A31137" w:rsidRPr="00A31137" w:rsidRDefault="00A31137" w:rsidP="00A31137">
      <w:r w:rsidRPr="00A31137">
        <w:t>Clinton, Second Inaugural Address, Jan. 20, 1997</w:t>
      </w:r>
    </w:p>
    <w:p w:rsidR="00A31137" w:rsidRPr="00A31137" w:rsidRDefault="00A31137" w:rsidP="00A31137">
      <w:r w:rsidRPr="00A31137">
        <w:t>Fellow citizens, let us build that America, a nation ever moving forward toward realizing the full potential of all its citizens. Prosperity and power—yes, they are important, and we must maintain them. But let us never forget: The greatest progress we have made, and the greatest progress we have yet to make, is in the human heart. In the end, all the world's wealth and a thousand armies are no match for the strength and decency of the human spirit. (Applause.)</w:t>
      </w:r>
    </w:p>
    <w:p w:rsidR="00A31137" w:rsidRPr="00A31137" w:rsidRDefault="00A31137" w:rsidP="00A31137">
      <w:r w:rsidRPr="00A31137">
        <w:t>Clinton, Second Inaugural Address, Jan. 20, 1997</w:t>
      </w:r>
    </w:p>
    <w:p w:rsidR="00A31137" w:rsidRPr="00A31137" w:rsidRDefault="00A31137" w:rsidP="00A31137">
      <w:r w:rsidRPr="00A31137">
        <w:t xml:space="preserve">Thirty-four years ago, the man whose life we celebrate today spoke to us down there, at the other end of this Mall, in words that moved the conscience of a nation. Like a prophet of old, he told of his dream that one day America would rise up and treat all its citizens as equals before the law and in the heart. Martin Luther King's dream was the American Dream. His quest is our quest: the ceaseless striving to live out our true creed. Our history has been built on such dreams and labors. And by our dreams and labors we will redeem the promise of America in the 21st century. </w:t>
      </w:r>
    </w:p>
    <w:p w:rsidR="00A31137" w:rsidRPr="00A31137" w:rsidRDefault="00A31137" w:rsidP="00A31137">
      <w:r w:rsidRPr="00A31137">
        <w:t>Clinton, Second Inaugural Address, Jan. 20, 1997</w:t>
      </w:r>
    </w:p>
    <w:p w:rsidR="00A31137" w:rsidRPr="00A31137" w:rsidRDefault="00A31137" w:rsidP="00A31137">
      <w:r w:rsidRPr="00A31137">
        <w:t>To that effort I pledge all my strength and every power of my office. I ask the members of Congress here to join in that pledge. The American people returned to office a President of one party and a Congress of another. Surely, they did not do this to advance the politics of petty bickering and extreme partisanship they plainly deplore. (Applause.) No, they call on us instead to be repairers of the breach, and to move on with America's mission.</w:t>
      </w:r>
    </w:p>
    <w:p w:rsidR="00A31137" w:rsidRPr="00A31137" w:rsidRDefault="00A31137" w:rsidP="00A31137">
      <w:r w:rsidRPr="00A31137">
        <w:t>Clinton, Second Inaugural Address, Jan. 20, 1997</w:t>
      </w:r>
    </w:p>
    <w:p w:rsidR="00A31137" w:rsidRPr="00A31137" w:rsidRDefault="00A31137" w:rsidP="00A31137">
      <w:r w:rsidRPr="00A31137">
        <w:t>America demands and deserves big things from us—and nothing big ever came from being small. (Applause.) Let us remember the timeless wisdom of Cardinal Bernardin, when facing the end of his own life. He said: "It is wrong to waste the precious gift of time, on acrimony and division."</w:t>
      </w:r>
    </w:p>
    <w:p w:rsidR="00A31137" w:rsidRPr="00A31137" w:rsidRDefault="00A31137" w:rsidP="00A31137">
      <w:r w:rsidRPr="00A31137">
        <w:t>Clinton, Second Inaugural Address, Jan. 20, 1997</w:t>
      </w:r>
    </w:p>
    <w:p w:rsidR="00A31137" w:rsidRPr="00A31137" w:rsidRDefault="00A31137" w:rsidP="00A31137">
      <w:r w:rsidRPr="00A31137">
        <w:t>Fellow citizens, we must not waste the precious gift of this time. For all of us are on that same journey of our lives, and our journey, too, will come to an end. But the journey of our America must go on.</w:t>
      </w:r>
    </w:p>
    <w:p w:rsidR="00A31137" w:rsidRPr="00A31137" w:rsidRDefault="00A31137" w:rsidP="00A31137">
      <w:r w:rsidRPr="00A31137">
        <w:t>Clinton, Second Inaugural Address, Jan. 20, 1997</w:t>
      </w:r>
    </w:p>
    <w:p w:rsidR="00A31137" w:rsidRPr="00A31137" w:rsidRDefault="00A31137" w:rsidP="00A31137">
      <w:r w:rsidRPr="00A31137">
        <w:t>And so, my fellow Americans, we must be strong, for there is much to dare. The demands of our time are great and they are different. Let us meet them with faith and courage, with patience and a grateful and happy heart. Let us shape the hope of this day into the noblest chapter in our history. Yes, let us build our bridge. (Applause.) A bridge wide enough and strong enough for every American to cross over to a blessed land of new promise.</w:t>
      </w:r>
    </w:p>
    <w:p w:rsidR="00A31137" w:rsidRPr="00A31137" w:rsidRDefault="00A31137" w:rsidP="00A31137">
      <w:r w:rsidRPr="00A31137">
        <w:t>Clinton, Second Inaugural Address, Jan. 20, 1997</w:t>
      </w:r>
    </w:p>
    <w:p w:rsidR="00A31137" w:rsidRPr="00A31137" w:rsidRDefault="00A31137" w:rsidP="00A31137">
      <w:r w:rsidRPr="00A31137">
        <w:t>May those generations whose faces we cannot yet see, whose names we may never know, say of us here that we led our beloved land into a new century with the American Dream alive for all her children; with the American promise of a more perfect union a reality for all her people; with America's bright flame of freedom spreading throughout all the world.</w:t>
      </w:r>
    </w:p>
    <w:p w:rsidR="00A31137" w:rsidRPr="00A31137" w:rsidRDefault="00A31137" w:rsidP="00A31137">
      <w:r w:rsidRPr="00A31137">
        <w:t>Clinton, Second Inaugural Address, Jan. 20, 1997</w:t>
      </w:r>
    </w:p>
    <w:p w:rsidR="00A31137" w:rsidRPr="00A31137" w:rsidRDefault="00A31137" w:rsidP="00A31137">
      <w:r w:rsidRPr="00A31137">
        <w:t>From the height of this place and the summit of this century, let us go forth. May God strengthen our hands for the good work ahead—and always, always bless our America. (Applause.)</w:t>
      </w:r>
    </w:p>
    <w:p w:rsidR="00A31137" w:rsidRPr="00A31137" w:rsidRDefault="00A31137" w:rsidP="00A31137">
      <w:r w:rsidRPr="00A31137">
        <w:t>Clinton's Address on the State of the Union, February 4, 1997</w:t>
      </w:r>
    </w:p>
    <w:p w:rsidR="00A31137" w:rsidRPr="00A31137" w:rsidRDefault="00A31137" w:rsidP="00A31137">
      <w:r w:rsidRPr="00A31137">
        <w:t>Title:</w:t>
      </w:r>
      <w:r w:rsidRPr="00A31137">
        <w:tab/>
        <w:t>Clinton's Address on the State of the Union, 1997</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February 4, 1997</w:t>
      </w:r>
    </w:p>
    <w:p w:rsidR="00A31137" w:rsidRPr="00A31137" w:rsidRDefault="00A31137" w:rsidP="00A31137">
      <w:r w:rsidRPr="00A31137">
        <w:t>Source:</w:t>
      </w:r>
      <w:r w:rsidRPr="00A31137">
        <w:tab/>
        <w:t>Weekly Compilation of Presidential Documents, 1997, pp.136-145</w:t>
      </w:r>
    </w:p>
    <w:p w:rsidR="00A31137" w:rsidRPr="00A31137" w:rsidRDefault="00A31137" w:rsidP="00A31137">
      <w:r w:rsidRPr="00A31137">
        <w:t>Clinton, State of the Union Address, 1997, p.136</w:t>
      </w:r>
    </w:p>
    <w:p w:rsidR="00A31137" w:rsidRPr="00A31137" w:rsidRDefault="00A31137" w:rsidP="00A31137">
      <w:r w:rsidRPr="00A31137">
        <w:t>Mr. Speaker, Mr. Vice President, Members of the 105th Congress, distinguished guests, and my fellow Americans. I think I should start by saying, thanks for inviting me back. I come before you tonight with a challenge as great as any in our peacetime history and a plan of action to meet that challenge, to prepare our people for the bold new world of the 21st century.</w:t>
      </w:r>
    </w:p>
    <w:p w:rsidR="00A31137" w:rsidRPr="00A31137" w:rsidRDefault="00A31137" w:rsidP="00A31137">
      <w:r w:rsidRPr="00A31137">
        <w:t>Clinton, State of the Union Address, 1997, p.136</w:t>
      </w:r>
    </w:p>
    <w:p w:rsidR="00A31137" w:rsidRPr="00A31137" w:rsidRDefault="00A31137" w:rsidP="00A31137">
      <w:r w:rsidRPr="00A31137">
        <w:t>We have much to be thankful for. With 4 years of growth, we have won back the basic strength of our economy. With crime and welfare rolls declining, we are winning back our optimism, the enduring faith that we can master any difficulty. With the cold war receding and global commerce at record levels, we are helping to win an unrivaled peace and prosperity all across the world.</w:t>
      </w:r>
    </w:p>
    <w:p w:rsidR="00A31137" w:rsidRPr="00A31137" w:rsidRDefault="00A31137" w:rsidP="00A31137">
      <w:r w:rsidRPr="00A31137">
        <w:t>Clinton, State of the Union Address, 1997, p.136</w:t>
      </w:r>
    </w:p>
    <w:p w:rsidR="00A31137" w:rsidRPr="00A31137" w:rsidRDefault="00A31137" w:rsidP="00A31137">
      <w:r w:rsidRPr="00A31137">
        <w:t>My fellow Americans, the state of our Union is strong. But now we must rise to the decisive moment, to make a nation and a world better than any we have ever known. The new promise of the global economy, the information age, unimagined new work, life-enhancing technology, all these are ours to seize. That is our honor and our challenge. We must be shapers of events, not observers. For if we do not act, the moment will pass, and we will lose the best possibilities of our future.</w:t>
      </w:r>
    </w:p>
    <w:p w:rsidR="00A31137" w:rsidRPr="00A31137" w:rsidRDefault="00A31137" w:rsidP="00A31137">
      <w:r w:rsidRPr="00A31137">
        <w:t>Clinton, State of the Union Address, 1997, p.136</w:t>
      </w:r>
    </w:p>
    <w:p w:rsidR="00A31137" w:rsidRPr="00A31137" w:rsidRDefault="00A31137" w:rsidP="00A31137">
      <w:r w:rsidRPr="00A31137">
        <w:t>We face no imminent threat, but we do have an enemy. The enemy of our time is inaction. So tonight I issue a call to action: action by this Congress, action by our States, by our people, to prepare America for the 21st century; action to keep our economy and our democracy strong and working for all our people; action to strengthen education and harness the forces of technology and science; action to build stronger families and stronger communities and a safer environment; action to keep America the world's strongest force for peace, freedom, and prosperity; and above all, action to build a more perfect Union here at home.</w:t>
      </w:r>
    </w:p>
    <w:p w:rsidR="00A31137" w:rsidRPr="00A31137" w:rsidRDefault="00A31137" w:rsidP="00A31137">
      <w:r w:rsidRPr="00A31137">
        <w:t>Clinton, State of the Union Address, 1997, p.136</w:t>
      </w:r>
    </w:p>
    <w:p w:rsidR="00A31137" w:rsidRPr="00A31137" w:rsidRDefault="00A31137" w:rsidP="00A31137">
      <w:r w:rsidRPr="00A31137">
        <w:t>The spirit we bring to our work will make all the difference. We must be committed to the pursuit of opportunity for all Americans, responsibility from all Americans, in a community of all Americans. And we must be committed to a new kind of Government, not to solve all our problems for us but to give our people, all our people, the tools they need to make the most of their own lives.</w:t>
      </w:r>
    </w:p>
    <w:p w:rsidR="00A31137" w:rsidRPr="00A31137" w:rsidRDefault="00A31137" w:rsidP="00A31137">
      <w:r w:rsidRPr="00A31137">
        <w:t>Clinton, State of the Union Address, 1997, p.136</w:t>
      </w:r>
    </w:p>
    <w:p w:rsidR="00A31137" w:rsidRPr="00A31137" w:rsidRDefault="00A31137" w:rsidP="00A31137">
      <w:r w:rsidRPr="00A31137">
        <w:t>And we must work together. The people of this Nation elected us all. They want us to be partners, not partisans. They put us all right here in the same boat, they gave us all oars, and they told us to row. Now, here is the direction I believe we should take.</w:t>
      </w:r>
    </w:p>
    <w:p w:rsidR="00A31137" w:rsidRPr="00A31137" w:rsidRDefault="00A31137" w:rsidP="00A31137">
      <w:r w:rsidRPr="00A31137">
        <w:t>Clinton, State of the Union Address, 1997, p.136</w:t>
      </w:r>
    </w:p>
    <w:p w:rsidR="00A31137" w:rsidRPr="00A31137" w:rsidRDefault="00A31137" w:rsidP="00A31137">
      <w:r w:rsidRPr="00A31137">
        <w:t>First, we must move quickly to complete the unfinished business of our country, to balance the budget, renew our democracy, and finish the job of welfare reform.</w:t>
      </w:r>
    </w:p>
    <w:p w:rsidR="00A31137" w:rsidRPr="00A31137" w:rsidRDefault="00A31137" w:rsidP="00A31137">
      <w:r w:rsidRPr="00A31137">
        <w:t>Clinton, State of the Union Address, 1997, p.136</w:t>
      </w:r>
    </w:p>
    <w:p w:rsidR="00A31137" w:rsidRPr="00A31137" w:rsidRDefault="00A31137" w:rsidP="00A31137">
      <w:r w:rsidRPr="00A31137">
        <w:t>Over the last 4 years, we have brought new economic growth by investing in our people, expanding our exports, cutting our deficits, creating over 11 million new jobs, a 4-year record. Now we must keep our economy the strongest in the world. We here tonight have an historic opportunity. Let this Congress be the Congress that finally balances the budget. [Applause] Thank you.</w:t>
      </w:r>
    </w:p>
    <w:p w:rsidR="00A31137" w:rsidRPr="00A31137" w:rsidRDefault="00A31137" w:rsidP="00A31137">
      <w:r w:rsidRPr="00A31137">
        <w:t>Clinton, State of the Union Address, 1997, p.136</w:t>
      </w:r>
    </w:p>
    <w:p w:rsidR="00A31137" w:rsidRPr="00A31137" w:rsidRDefault="00A31137" w:rsidP="00A31137">
      <w:r w:rsidRPr="00A31137">
        <w:t>In 2 days, I will propose a detailed plan to balance the budget by 2002. This plan will balance the budget and invest in our people while protecting Medicare, Medicaid, education, and the environment. It will balance the budget and build on the Vice President's efforts to make our Government work better, even as it costs less. It will balance the budget and provide middle class tax relief to pay for education and health care, to help to raise a child, to buy and sell a home.</w:t>
      </w:r>
    </w:p>
    <w:p w:rsidR="00A31137" w:rsidRPr="00A31137" w:rsidRDefault="00A31137" w:rsidP="00A31137">
      <w:r w:rsidRPr="00A31137">
        <w:t>Clinton, State of the Union Address, 1997, p.136</w:t>
      </w:r>
    </w:p>
    <w:p w:rsidR="00A31137" w:rsidRPr="00A31137" w:rsidRDefault="00A31137" w:rsidP="00A31137">
      <w:r w:rsidRPr="00A31137">
        <w:t>Balancing the budget requires only your vote and my signature. It does not require us to rewrite our Constitution. I believe it is both unnecessary and unwise to adopt a balanced budget amendment that could cripple our country in time of economic crisis and force unwanted results, such as judges halting Social Security checks or increasing taxes. Let us at least agree, we should not [p.137] pass any measure—no measure should be passed that threatens Social Security. Whatever your view on that, we all must concede: We don't need a constitutional amendment; we need action.</w:t>
      </w:r>
    </w:p>
    <w:p w:rsidR="00A31137" w:rsidRPr="00A31137" w:rsidRDefault="00A31137" w:rsidP="00A31137">
      <w:r w:rsidRPr="00A31137">
        <w:t>Clinton, State of the Union Address, 1997, p.137</w:t>
      </w:r>
    </w:p>
    <w:p w:rsidR="00A31137" w:rsidRPr="00A31137" w:rsidRDefault="00A31137" w:rsidP="00A31137">
      <w:r w:rsidRPr="00A31137">
        <w:t>Whatever our differences, we should balance the budget now. And then, for the long-term health of our society, we must agree to a bipartisan process to preserve Social Security and reform Medicare for the long run, so that these fundamental programs will be as strong for our children as they are for our parents.</w:t>
      </w:r>
    </w:p>
    <w:p w:rsidR="00A31137" w:rsidRPr="00A31137" w:rsidRDefault="00A31137" w:rsidP="00A31137">
      <w:r w:rsidRPr="00A31137">
        <w:t>Clinton, State of the Union Address, 1997, p.137</w:t>
      </w:r>
    </w:p>
    <w:p w:rsidR="00A31137" w:rsidRPr="00A31137" w:rsidRDefault="00A31137" w:rsidP="00A31137">
      <w:r w:rsidRPr="00A31137">
        <w:t>And let me say something that's not in my script tonight. I know this is not going to be easy. But I really believe one of the reasons the American people gave me a second term was to take the tough decisions in the next 4 years that will carry our country through the next 50 years. I know it is easier for me than for you to say or do. But another reason I was elected is to support all of you, without regard to party, to give you what is necessary to join in these decisions. We owe it to our country and to our future.</w:t>
      </w:r>
    </w:p>
    <w:p w:rsidR="00A31137" w:rsidRPr="00A31137" w:rsidRDefault="00A31137" w:rsidP="00A31137">
      <w:r w:rsidRPr="00A31137">
        <w:t>Clinton, State of the Union Address, 1997, p.137</w:t>
      </w:r>
    </w:p>
    <w:p w:rsidR="00A31137" w:rsidRPr="00A31137" w:rsidRDefault="00A31137" w:rsidP="00A31137">
      <w:r w:rsidRPr="00A31137">
        <w:t>Our second piece of unfinished business requires us to commit ourselves tonight, before the eyes of America, to finally enacting bipartisan campaign finance reform. Now, Senators McCain and Feingold, Representatives Shays and Meehan, have reached across party lines here to craft tough and fair reform. Their proposal would curb spending, reduce the role of special interests, create a level playing field between challengers and incumbents, and ban contributions from noncitizens, all corporate sources, and the other large soft money contributions that both parties receive.</w:t>
      </w:r>
    </w:p>
    <w:p w:rsidR="00A31137" w:rsidRPr="00A31137" w:rsidRDefault="00A31137" w:rsidP="00A31137">
      <w:r w:rsidRPr="00A31137">
        <w:t>Clinton, State of the Union Address, 1997, p.137</w:t>
      </w:r>
    </w:p>
    <w:p w:rsidR="00A31137" w:rsidRPr="00A31137" w:rsidRDefault="00A31137" w:rsidP="00A31137">
      <w:r w:rsidRPr="00A31137">
        <w:t>You know and I know that this can be delayed. And you know and I know the delay will mean the death of reform. So let's set our own deadline. Let's work together to write bipartisan campaign finance reform into law and pass McCain-Feingold by the day we celebrate the birth of our democracy, July the Fourth.</w:t>
      </w:r>
    </w:p>
    <w:p w:rsidR="00A31137" w:rsidRPr="00A31137" w:rsidRDefault="00A31137" w:rsidP="00A31137">
      <w:r w:rsidRPr="00A31137">
        <w:t>Clinton, State of the Union Address, 1997, p.137</w:t>
      </w:r>
    </w:p>
    <w:p w:rsidR="00A31137" w:rsidRPr="00A31137" w:rsidRDefault="00A31137" w:rsidP="00A31137">
      <w:r w:rsidRPr="00A31137">
        <w:t>There is a third piece of unfinished business. Over the last 4 years, we moved a record 2¼ million people off the welfare rolls. Then last year, Congress enacted landmark welfare reform legislation, demanding that all able-bodied recipients assume the responsibility of moving from welfare to work. Now each and every one of us has to fulfill our responsibility, indeed, our moral obligation, to make sure that people who now must work, can work.</w:t>
      </w:r>
    </w:p>
    <w:p w:rsidR="00A31137" w:rsidRPr="00A31137" w:rsidRDefault="00A31137" w:rsidP="00A31137">
      <w:r w:rsidRPr="00A31137">
        <w:t>Clinton, State of the Union Address, 1997, p.137</w:t>
      </w:r>
    </w:p>
    <w:p w:rsidR="00A31137" w:rsidRPr="00A31137" w:rsidRDefault="00A31137" w:rsidP="00A31137">
      <w:r w:rsidRPr="00A31137">
        <w:t>Now we must act to meet a new goal: 2 million more people off the welfare rolls by the year 2000. Here is my plan: Tax credits and other incentives for businesses that hire people off welfare; incentives for job placement firms and States to create more jobs for welfare recipients; training, transportation, and child care to help people go to work.</w:t>
      </w:r>
    </w:p>
    <w:p w:rsidR="00A31137" w:rsidRPr="00A31137" w:rsidRDefault="00A31137" w:rsidP="00A31137">
      <w:r w:rsidRPr="00A31137">
        <w:t>Clinton, State of the Union Address, 1997, p.137</w:t>
      </w:r>
    </w:p>
    <w:p w:rsidR="00A31137" w:rsidRPr="00A31137" w:rsidRDefault="00A31137" w:rsidP="00A31137">
      <w:r w:rsidRPr="00A31137">
        <w:t>Now I challenge every State: Turn those welfare checks into private sector paychecks. I challenge every religious congregation, every community nonprofit, every business to hire someone off welfare. And I'd like to say especially to every employer in our country who ever criticized the old welfare system, you can't blame that old system anymore. We have torn it down. Now do your part. Give someone on welfare the chance to go to work.</w:t>
      </w:r>
    </w:p>
    <w:p w:rsidR="00A31137" w:rsidRPr="00A31137" w:rsidRDefault="00A31137" w:rsidP="00A31137">
      <w:r w:rsidRPr="00A31137">
        <w:t>Clinton, State of the Union Address, 1997, p.137</w:t>
      </w:r>
    </w:p>
    <w:p w:rsidR="00A31137" w:rsidRPr="00A31137" w:rsidRDefault="00A31137" w:rsidP="00A31137">
      <w:r w:rsidRPr="00A31137">
        <w:t>Tonight I am pleased to announce that five major corporations, Sprint, Monsanto, UPS, Burger King, and United Airlines, will be the first to join in a new national effort to marshal America's businesses, large and small, to create jobs so that people can move from welfare to work.</w:t>
      </w:r>
    </w:p>
    <w:p w:rsidR="00A31137" w:rsidRPr="00A31137" w:rsidRDefault="00A31137" w:rsidP="00A31137">
      <w:r w:rsidRPr="00A31137">
        <w:t>Clinton, State of the Union Address, 1997, p.137</w:t>
      </w:r>
    </w:p>
    <w:p w:rsidR="00A31137" w:rsidRPr="00A31137" w:rsidRDefault="00A31137" w:rsidP="00A31137">
      <w:r w:rsidRPr="00A31137">
        <w:t>We passed welfare reform. All of you know I believe we were right to do it. But no one can walk out of this Chamber with a clear conscience unless you are prepared to finish the job.</w:t>
      </w:r>
    </w:p>
    <w:p w:rsidR="00A31137" w:rsidRPr="00A31137" w:rsidRDefault="00A31137" w:rsidP="00A31137">
      <w:r w:rsidRPr="00A31137">
        <w:t>Clinton, State of the Union Address, 1997, p.137</w:t>
      </w:r>
    </w:p>
    <w:p w:rsidR="00A31137" w:rsidRPr="00A31137" w:rsidRDefault="00A31137" w:rsidP="00A31137">
      <w:r w:rsidRPr="00A31137">
        <w:t>And we must join together to do something else, too, something both Republican and Democratic Governors have asked us to do, to restore basic health and disability benefits when misfortune strikes immigrants who came to this country legally, who work hard, pay taxes, and obey the law. To do otherwise is simply unworthy of a great nation of immigrants.</w:t>
      </w:r>
    </w:p>
    <w:p w:rsidR="00A31137" w:rsidRPr="00A31137" w:rsidRDefault="00A31137" w:rsidP="00A31137">
      <w:r w:rsidRPr="00A31137">
        <w:t>Clinton, State of the Union Address, 1997, p.137</w:t>
      </w:r>
    </w:p>
    <w:p w:rsidR="00A31137" w:rsidRPr="00A31137" w:rsidRDefault="00A31137" w:rsidP="00A31137">
      <w:r w:rsidRPr="00A31137">
        <w:t>Now, looking ahead, the greatest step of all, the high threshold of the future we must now cross, and my number one priority for the next 4 years is to ensure that all Americans have the best education in the world.</w:t>
      </w:r>
    </w:p>
    <w:p w:rsidR="00A31137" w:rsidRPr="00A31137" w:rsidRDefault="00A31137" w:rsidP="00A31137">
      <w:r w:rsidRPr="00A31137">
        <w:t>Clinton, State of the Union Address, 1997, p.137</w:t>
      </w:r>
    </w:p>
    <w:p w:rsidR="00A31137" w:rsidRPr="00A31137" w:rsidRDefault="00A31137" w:rsidP="00A31137">
      <w:r w:rsidRPr="00A31137">
        <w:t>Let's work together to meet these three goals: Every 8-year-old must be able to read; [p.138] every 12-year-old must be able to log on to the Internet; every 18-year-old must be able to go to college; and every adult American must be able to keep on learning for a lifetime.</w:t>
      </w:r>
    </w:p>
    <w:p w:rsidR="00A31137" w:rsidRPr="00A31137" w:rsidRDefault="00A31137" w:rsidP="00A31137">
      <w:r w:rsidRPr="00A31137">
        <w:t>Clinton, State of the Union Address, 1997, p.138</w:t>
      </w:r>
    </w:p>
    <w:p w:rsidR="00A31137" w:rsidRPr="00A31137" w:rsidRDefault="00A31137" w:rsidP="00A31137">
      <w:r w:rsidRPr="00A31137">
        <w:t>My balanced budget makes an unprecedented commitment to these goals, $51 billion next year. But far more than money is required. I have a plan, a call to action for American education, based on these 10 principles:</w:t>
      </w:r>
    </w:p>
    <w:p w:rsidR="00A31137" w:rsidRPr="00A31137" w:rsidRDefault="00A31137" w:rsidP="00A31137">
      <w:r w:rsidRPr="00A31137">
        <w:t>Clinton, State of the Union Address, 1997, p.138</w:t>
      </w:r>
    </w:p>
    <w:p w:rsidR="00A31137" w:rsidRPr="00A31137" w:rsidRDefault="00A31137" w:rsidP="00A31137">
      <w:r w:rsidRPr="00A31137">
        <w:t>First, a national crusade for education standards, not Federal Government standards but national standards, representing what all our students must know to succeed in the knowledge economy of the 21st century. Every State and school must shape the curriculum to reflect these standards and train teachers to lift students up to them. To help schools meet the standards and measure their progress, we will lead an effort over the next 2 years to develop national tests of student achievement in reading and math. Tonight I issue a challenge to the Nation: Every State should adopt high national standards, and by 1999, every State should test every fourth grader in reading and every eighth grader in math to make sure these standards are met.</w:t>
      </w:r>
    </w:p>
    <w:p w:rsidR="00A31137" w:rsidRPr="00A31137" w:rsidRDefault="00A31137" w:rsidP="00A31137">
      <w:r w:rsidRPr="00A31137">
        <w:t>Clinton, State of the Union Address, 1997, p.138</w:t>
      </w:r>
    </w:p>
    <w:p w:rsidR="00A31137" w:rsidRPr="00A31137" w:rsidRDefault="00A31137" w:rsidP="00A31137">
      <w:r w:rsidRPr="00A31137">
        <w:t>Raising standards will not be easy, and some of our children will not be able to meet them at first. The point is not to put our children down but to lift them up. Good tests will show us who needs help, what changes in teaching to make, and which schools need to improve. They can help us end social promotions, for no child should move from grade school to junior high or junior high to high school until he or she is ready.</w:t>
      </w:r>
    </w:p>
    <w:p w:rsidR="00A31137" w:rsidRPr="00A31137" w:rsidRDefault="00A31137" w:rsidP="00A31137">
      <w:r w:rsidRPr="00A31137">
        <w:t>Clinton, State of the Union Address, 1997, p.138</w:t>
      </w:r>
    </w:p>
    <w:p w:rsidR="00A31137" w:rsidRPr="00A31137" w:rsidRDefault="00A31137" w:rsidP="00A31137">
      <w:r w:rsidRPr="00A31137">
        <w:t>Last month, our Secretary of Education Dick Riley and I visited Northern Illinois, where eighth grade students from 20 school districts, in a project aptly called First in the World, took the Third International Math and Science Study. That's a test that reflects the world-class standards our children must meet for the new era. And those students in Illinois tied for first in the world in science and came in second in math. Two of them, Kristen Tanner and Chris Getsler, are here tonight, along with their teacher Sue Winski. They're up there with the First Lady. And they prove that when we aim high and challenge our students, they will be the best in the world. Let's give them a hand. Stand up, please. [Applause]</w:t>
      </w:r>
    </w:p>
    <w:p w:rsidR="00A31137" w:rsidRPr="00A31137" w:rsidRDefault="00A31137" w:rsidP="00A31137">
      <w:r w:rsidRPr="00A31137">
        <w:t>Clinton, State of the Union Address, 1997, p.138</w:t>
      </w:r>
    </w:p>
    <w:p w:rsidR="00A31137" w:rsidRPr="00A31137" w:rsidRDefault="00A31137" w:rsidP="00A31137">
      <w:r w:rsidRPr="00A31137">
        <w:t>Second, to have the best schools, we must have the best teachers. Most of us in this Chamber would not be here tonight without the help of those teachers. I know that I wouldn't be here. For years, many of our educators, led by North Carolina's Governor Jim Hunt and the National Board for Professional Teaching Standards, have worked very hard to establish nationally accepted credentials for excellence in teaching. Just 500 of these teachers have been certified since 1995. My budget will enable 100,000 more to seek national certification as master teachers. We should reward and recognize our best teachers. And as we reward them, we should quickly and fairly remove those few who don't measure up, and we should challenge more of our finest young people to consider teaching as a career.</w:t>
      </w:r>
    </w:p>
    <w:p w:rsidR="00A31137" w:rsidRPr="00A31137" w:rsidRDefault="00A31137" w:rsidP="00A31137">
      <w:r w:rsidRPr="00A31137">
        <w:t>Clinton, State of the Union Address, 1997, p.138</w:t>
      </w:r>
    </w:p>
    <w:p w:rsidR="00A31137" w:rsidRPr="00A31137" w:rsidRDefault="00A31137" w:rsidP="00A31137">
      <w:r w:rsidRPr="00A31137">
        <w:t>Third, we must do more to help all our children read. Forty percent—40 percent—of our 8-year-olds cannot read on their own. That's why we have just launched the America Reads initiative, to build a citizen army of one million volunteer tutors to make sure every child can read independently by the end of the third grade. We will use thousands of AmeriCorps volunteers to mobilize this citizen army. We want at least 100,000 college students to help. And tonight I am pleased that 60 college presidents have answered my call, pledging that thousands of their work-study students will serve for one year as reading tutors. This is also a challenge to every teacher and every principal. You must use these tutors to help students read. And it is especially a challenge to our parents. You must read with your children every night.</w:t>
      </w:r>
    </w:p>
    <w:p w:rsidR="00A31137" w:rsidRPr="00A31137" w:rsidRDefault="00A31137" w:rsidP="00A31137">
      <w:r w:rsidRPr="00A31137">
        <w:t>Clinton, State of the Union Address, 1997, p.138</w:t>
      </w:r>
    </w:p>
    <w:p w:rsidR="00A31137" w:rsidRPr="00A31137" w:rsidRDefault="00A31137" w:rsidP="00A31137">
      <w:r w:rsidRPr="00A31137">
        <w:t>This leads to the fourth principle: Learning begins in the first days of life. Scientists are now discovering how young children develop emotionally and intellectually from their very first days and how important it is for parents to begin immediately talking, singing, even reading to their infants. The First Lady has spent years writing about this issue, studying it. And she and I are going to convene a White House conference on early learning and the brain this spring, to [p.139] explore how parents and educators can best use these startling new findings.</w:t>
      </w:r>
    </w:p>
    <w:p w:rsidR="00A31137" w:rsidRPr="00A31137" w:rsidRDefault="00A31137" w:rsidP="00A31137">
      <w:r w:rsidRPr="00A31137">
        <w:t>Clinton, State of the Union Address, 1997, p.139</w:t>
      </w:r>
    </w:p>
    <w:p w:rsidR="00A31137" w:rsidRPr="00A31137" w:rsidRDefault="00A31137" w:rsidP="00A31137">
      <w:r w:rsidRPr="00A31137">
        <w:t>We already know we should start teaching children before they start school. That's why this balanced budget expands Head Start to one million children by 2002. And that is why the Vice President and Mrs. Gore will host their annual family conference this June on what we can do to make sure that parents are an active part of their children's learning all the way through school.</w:t>
      </w:r>
    </w:p>
    <w:p w:rsidR="00A31137" w:rsidRPr="00A31137" w:rsidRDefault="00A31137" w:rsidP="00A31137">
      <w:r w:rsidRPr="00A31137">
        <w:t>Clinton, State of the Union Address, 1997, p.139</w:t>
      </w:r>
    </w:p>
    <w:p w:rsidR="00A31137" w:rsidRPr="00A31137" w:rsidRDefault="00A31137" w:rsidP="00A31137">
      <w:r w:rsidRPr="00A31137">
        <w:t>They've done a great deal to highlight the importance of family in our life, and now they're turning their attention to getting more parents involved in their children's learning all the way through school. And I thank you, Mr. Vice President, and I thank you especially, Tipper, for what you do.</w:t>
      </w:r>
    </w:p>
    <w:p w:rsidR="00A31137" w:rsidRPr="00A31137" w:rsidRDefault="00A31137" w:rsidP="00A31137">
      <w:r w:rsidRPr="00A31137">
        <w:t>Clinton, State of the Union Address, 1997, p.139</w:t>
      </w:r>
    </w:p>
    <w:p w:rsidR="00A31137" w:rsidRPr="00A31137" w:rsidRDefault="00A31137" w:rsidP="00A31137">
      <w:r w:rsidRPr="00A31137">
        <w:t>Fifth, every State should give parents the power to choose the right public school for their children. Their right to choose will foster competition and innovation that can make public schools better. We should also make it possible for more parents and teachers to start charter schools, schools that set and meet the highest standards and exist only as long as they do. Our plan will help America to create 3,000 of these charter schools by the next century, nearly 7 times as there are in the country today, so that parents will have even more choices in sending their children to the best schools.</w:t>
      </w:r>
    </w:p>
    <w:p w:rsidR="00A31137" w:rsidRPr="00A31137" w:rsidRDefault="00A31137" w:rsidP="00A31137">
      <w:r w:rsidRPr="00A31137">
        <w:t>Clinton, State of the Union Address, 1997, p.139</w:t>
      </w:r>
    </w:p>
    <w:p w:rsidR="00A31137" w:rsidRPr="00A31137" w:rsidRDefault="00A31137" w:rsidP="00A31137">
      <w:r w:rsidRPr="00A31137">
        <w:t>Sixth, character education must be taught in our schools. We must teach our children to be good citizens. And we must continue to promote order and discipline, supporting communities that introduce school uniforms, impose curfews, enforce truancy laws, remove disruptive students from the classroom, and have zero tolerance for guns and drugs in school.</w:t>
      </w:r>
    </w:p>
    <w:p w:rsidR="00A31137" w:rsidRPr="00A31137" w:rsidRDefault="00A31137" w:rsidP="00A31137">
      <w:r w:rsidRPr="00A31137">
        <w:t>Clinton, State of the Union Address, 1997, p.139</w:t>
      </w:r>
    </w:p>
    <w:p w:rsidR="00A31137" w:rsidRPr="00A31137" w:rsidRDefault="00A31137" w:rsidP="00A31137">
      <w:r w:rsidRPr="00A31137">
        <w:t>Seventh, we cannot expect our children to raise themselves up in schools that are literally falling down. With the student population at an all-time high and record numbers of school buildings falling into disrepair, this has now become a serious national concern. Therefore, my budget includes a new initiative, $5 billion to help communities finance $20 billion in school construction over the next 4 years.</w:t>
      </w:r>
    </w:p>
    <w:p w:rsidR="00A31137" w:rsidRPr="00A31137" w:rsidRDefault="00A31137" w:rsidP="00A31137">
      <w:r w:rsidRPr="00A31137">
        <w:t>Clinton, State of the Union Address, 1997, p.139</w:t>
      </w:r>
    </w:p>
    <w:p w:rsidR="00A31137" w:rsidRPr="00A31137" w:rsidRDefault="00A31137" w:rsidP="00A31137">
      <w:r w:rsidRPr="00A31137">
        <w:t>Eighth, we must make the 13th and 14th years of education, at least 2 years of college, just as universal in America by the 21st century as a high school education is today, and we must open the doors of college to all Americans. To do that, I propose America's HOPE scholarship, based on Georgia's pioneering program: 2 years of a $1,500 tax credit for college tuition, enough to pay for the typical community college. I also propose a tax deduction of up to $10,000 a year for all tuition after high school, an expanded IRA you can withdraw from tax free for education, and the largest increase in Pell grant scholarships in 20 years. Now, this plan will give most families the ability to pay no taxes on money they save for college tuition. I ask you to pass it and give every American who works hard the chance to go to college.</w:t>
      </w:r>
    </w:p>
    <w:p w:rsidR="00A31137" w:rsidRPr="00A31137" w:rsidRDefault="00A31137" w:rsidP="00A31137">
      <w:r w:rsidRPr="00A31137">
        <w:t>Clinton, State of the Union Address, 1997, p.139</w:t>
      </w:r>
    </w:p>
    <w:p w:rsidR="00A31137" w:rsidRPr="00A31137" w:rsidRDefault="00A31137" w:rsidP="00A31137">
      <w:r w:rsidRPr="00A31137">
        <w:t>Ninth, in the 21st century, we must expand the frontiers of learning across a lifetime. All our people, of whatever age, must have the chance to learn new skills. Most Americans live near a community college. The roads that take them there can be paths to a better future. My "GI bill" for America's workers will transform the confusing tangle of Federal training programs into a simple skill grant to go directly into eligible workers' hands. For too long, this bill has been sitting on that desk there without action. I ask you to pass it now. Let's give more of our workers the ability to learn and to earn for a lifetime.</w:t>
      </w:r>
    </w:p>
    <w:p w:rsidR="00A31137" w:rsidRPr="00A31137" w:rsidRDefault="00A31137" w:rsidP="00A31137">
      <w:r w:rsidRPr="00A31137">
        <w:t>Clinton, State of the Union Address, 1997, p.139</w:t>
      </w:r>
    </w:p>
    <w:p w:rsidR="00A31137" w:rsidRPr="00A31137" w:rsidRDefault="00A31137" w:rsidP="00A31137">
      <w:r w:rsidRPr="00A31137">
        <w:t>Tenth, we must bring the power of the information age into all our schools. Last year, I challenged America to connect every classroom and library to the Internet by the year 2000, so that, for the first time in our history, children in the most isolated rural towns, the most comfortable suburbs, the poorest inner-city schools, will have the same access to the same universe of knowledge.</w:t>
      </w:r>
    </w:p>
    <w:p w:rsidR="00A31137" w:rsidRPr="00A31137" w:rsidRDefault="00A31137" w:rsidP="00A31137">
      <w:r w:rsidRPr="00A31137">
        <w:t>Clinton, State of the Union Address, 1997, p.139</w:t>
      </w:r>
    </w:p>
    <w:p w:rsidR="00A31137" w:rsidRPr="00A31137" w:rsidRDefault="00A31137" w:rsidP="00A31137">
      <w:r w:rsidRPr="00A31137">
        <w:t>That is my plan, a call to action for American education. Some may say that it is unusual for a President to pay this kind of attention to education. Some may say it is simply because the President and his wonderful wife have been obsessed with this subject for more years than they can recall. That is not what is driving these proposals.</w:t>
      </w:r>
    </w:p>
    <w:p w:rsidR="00A31137" w:rsidRPr="00A31137" w:rsidRDefault="00A31137" w:rsidP="00A31137">
      <w:r w:rsidRPr="00A31137">
        <w:t>Clinton, State of the Union Address, 1997, p.139</w:t>
      </w:r>
    </w:p>
    <w:p w:rsidR="00A31137" w:rsidRPr="00A31137" w:rsidRDefault="00A31137" w:rsidP="00A31137">
      <w:r w:rsidRPr="00A31137">
        <w:t>We must understand the significance of this endeavor: One of the greatest sources of our strength throughout the cold war was a bipartisan foreign policy; because our future was at stake, politics stopped at the wa [p.140] ter's edge. Now I ask you and I ask all our Nation's Governors; I ask parents, teachers, and citizens all across America for a new nonpartisan commitment to education because education is a critical national security issue for our future, and politics must stop at the schoolhouse door.</w:t>
      </w:r>
    </w:p>
    <w:p w:rsidR="00A31137" w:rsidRPr="00A31137" w:rsidRDefault="00A31137" w:rsidP="00A31137">
      <w:r w:rsidRPr="00A31137">
        <w:t>Clinton, State of the Union Address, 1997, p.140</w:t>
      </w:r>
    </w:p>
    <w:p w:rsidR="00A31137" w:rsidRPr="00A31137" w:rsidRDefault="00A31137" w:rsidP="00A31137">
      <w:r w:rsidRPr="00A31137">
        <w:t>To prepare America for the 21st century, we must harness the powerful forces of science and technology to benefit all Americans. This is the first State of the Union carried live in video over the Internet. But we've only begun to spread the benefits of a technology revolution that should become the modern birthright of every citizen.</w:t>
      </w:r>
    </w:p>
    <w:p w:rsidR="00A31137" w:rsidRPr="00A31137" w:rsidRDefault="00A31137" w:rsidP="00A31137">
      <w:r w:rsidRPr="00A31137">
        <w:t>Clinton, State of the Union Address, 1997, p.140</w:t>
      </w:r>
    </w:p>
    <w:p w:rsidR="00A31137" w:rsidRPr="00A31137" w:rsidRDefault="00A31137" w:rsidP="00A31137">
      <w:r w:rsidRPr="00A31137">
        <w:t>Our effort to connect every classroom is just the beginning. Now we should connect every hospital to the Internet, so that doctors can instantly share data about their patients with the best specialists in the field. And I challenge the private sector tonight to start by connecting every children's hospital as soon as possible, so that a child in bed can stay in touch with school, family, and friends. A sick child need no longer be a child alone.</w:t>
      </w:r>
    </w:p>
    <w:p w:rsidR="00A31137" w:rsidRPr="00A31137" w:rsidRDefault="00A31137" w:rsidP="00A31137">
      <w:r w:rsidRPr="00A31137">
        <w:t>Clinton, State of the Union Address, 1997, p.140</w:t>
      </w:r>
    </w:p>
    <w:p w:rsidR="00A31137" w:rsidRPr="00A31137" w:rsidRDefault="00A31137" w:rsidP="00A31137">
      <w:r w:rsidRPr="00A31137">
        <w:t>We must build the second generation of the Internet so that our leading universities and national laboratories can communicate in speeds 1,000 times faster than today, to develop new medical treatments, new sources of energy, new ways of working together.</w:t>
      </w:r>
      <w:r w:rsidRPr="00A31137">
        <w:cr/>
      </w:r>
    </w:p>
    <w:p w:rsidR="00A31137" w:rsidRPr="00A31137" w:rsidRDefault="00A31137" w:rsidP="00A31137">
      <w:r w:rsidRPr="00A31137">
        <w:t>Clinton, State of the Union Address, 1997, p.140</w:t>
      </w:r>
    </w:p>
    <w:p w:rsidR="00A31137" w:rsidRPr="00A31137" w:rsidRDefault="00A31137" w:rsidP="00A31137">
      <w:r w:rsidRPr="00A31137">
        <w:t>But we cannot stop there. As the Internet becomes our new town square, a computer in every home, a teacher of all subjects, a connection to all cultures, this will no longer be a dream but a necessity. And over the next decade, that must be our goal.</w:t>
      </w:r>
    </w:p>
    <w:p w:rsidR="00A31137" w:rsidRPr="00A31137" w:rsidRDefault="00A31137" w:rsidP="00A31137">
      <w:r w:rsidRPr="00A31137">
        <w:t>Clinton, State of the Union Address, 1997, p.140</w:t>
      </w:r>
    </w:p>
    <w:p w:rsidR="00A31137" w:rsidRPr="00A31137" w:rsidRDefault="00A31137" w:rsidP="00A31137">
      <w:r w:rsidRPr="00A31137">
        <w:t>We must continue to explore the heavens, pressing on with the Mars probes and the international space station, both of which will have practical applications for our everyday living.</w:t>
      </w:r>
    </w:p>
    <w:p w:rsidR="00A31137" w:rsidRPr="00A31137" w:rsidRDefault="00A31137" w:rsidP="00A31137">
      <w:r w:rsidRPr="00A31137">
        <w:t>Clinton, State of the Union Address, 1997, p.140</w:t>
      </w:r>
    </w:p>
    <w:p w:rsidR="00A31137" w:rsidRPr="00A31137" w:rsidRDefault="00A31137" w:rsidP="00A31137">
      <w:r w:rsidRPr="00A31137">
        <w:t>We must speed the remarkable advances in medical science. The human genome project is now decoding the genetic mysteries of life. American scientists have discovered genes linked to breast cancer and ovarian cancer and medication that stops a stroke in progress and begins to reverse its effects and treatments that dramatically lengthen the lives of people with HIV and AIDS.</w:t>
      </w:r>
    </w:p>
    <w:p w:rsidR="00A31137" w:rsidRPr="00A31137" w:rsidRDefault="00A31137" w:rsidP="00A31137">
      <w:r w:rsidRPr="00A31137">
        <w:t>Clinton, State of the Union Address, 1997, p.140</w:t>
      </w:r>
    </w:p>
    <w:p w:rsidR="00A31137" w:rsidRPr="00A31137" w:rsidRDefault="00A31137" w:rsidP="00A31137">
      <w:r w:rsidRPr="00A31137">
        <w:t>Since I took office, funding for AIDS research at the National Institutes of Health has increased dramatically to $1.5 billion. With new resources, NIH will now become the most powerful discovery engine for an AIDS vaccine, working with other scientists to finally end the threat of AIDS. Remember that every year—every year we move up the discovery of an AIDS vaccine will save millions of lives around the world. We must reinforce our commitment to medical science.</w:t>
      </w:r>
    </w:p>
    <w:p w:rsidR="00A31137" w:rsidRPr="00A31137" w:rsidRDefault="00A31137" w:rsidP="00A31137">
      <w:r w:rsidRPr="00A31137">
        <w:t>Clinton, State of the Union Address, 1997, p.140</w:t>
      </w:r>
    </w:p>
    <w:p w:rsidR="00A31137" w:rsidRPr="00A31137" w:rsidRDefault="00A31137" w:rsidP="00A31137">
      <w:r w:rsidRPr="00A31137">
        <w:t>To prepare America for the 21st century, we must build stronger families. Over the past 4 years, the family and medical leave law has helped millions of Americans to take time off to be with their families. With new pressures on people in the way they work and live, I believe we must expand family leave so that workers can take time off for teacher conferences and a child's medical checkup. We should pass flex-time, so workers can choose to be paid for overtime in income or trade it in for time off to be with their families.</w:t>
      </w:r>
    </w:p>
    <w:p w:rsidR="00A31137" w:rsidRPr="00A31137" w:rsidRDefault="00A31137" w:rsidP="00A31137">
      <w:r w:rsidRPr="00A31137">
        <w:t>Clinton, State of the Union Address, 1997, p.140</w:t>
      </w:r>
    </w:p>
    <w:p w:rsidR="00A31137" w:rsidRPr="00A31137" w:rsidRDefault="00A31137" w:rsidP="00A31137">
      <w:r w:rsidRPr="00A31137">
        <w:t>We must continue, step by step, to give more families access to affordable, quality health care. Forty million Americans still lack health insurance. Ten million children still lack health insurance; 80 percent of them have working parents who pay taxes. That is wrong. My balanced budget will extend health coverage to up to 5 million of those children. Since nearly half of all children who lose their insurance do so because their parents lose or change a job, my budget will also ensure that people who temporarily lose their jobs can still afford to keep their health insurance. No child should be without a doctor just because a parent is without a job.</w:t>
      </w:r>
    </w:p>
    <w:p w:rsidR="00A31137" w:rsidRPr="00A31137" w:rsidRDefault="00A31137" w:rsidP="00A31137">
      <w:r w:rsidRPr="00A31137">
        <w:t>Clinton, State of the Union Address, 1997, p.140</w:t>
      </w:r>
    </w:p>
    <w:p w:rsidR="00A31137" w:rsidRPr="00A31137" w:rsidRDefault="00A31137" w:rsidP="00A31137">
      <w:r w:rsidRPr="00A31137">
        <w:t>My Medicare plan modernizes Medicare, increases the life of the Trust Fund to 10 years, provides support for respite care for the many families with loved ones afflicted with Alzheimer's, and for the first time, it would fully pay for annual mammograms.</w:t>
      </w:r>
    </w:p>
    <w:p w:rsidR="00A31137" w:rsidRPr="00A31137" w:rsidRDefault="00A31137" w:rsidP="00A31137">
      <w:r w:rsidRPr="00A31137">
        <w:t>Clinton, State of the Union Address, 1997, p.140</w:t>
      </w:r>
    </w:p>
    <w:p w:rsidR="00A31137" w:rsidRPr="00A31137" w:rsidRDefault="00A31137" w:rsidP="00A31137">
      <w:r w:rsidRPr="00A31137">
        <w:t xml:space="preserve">Just as we ended drive-through deliveries of babies last year, we must now end the dangerous and demeaning practice of forcing women home from the hospital only hours after a mastectomy. I ask your support for bipartisan legislation to guarantee that a woman can stay in the hospital for 48 hours after a mastectomy. With us tonight is Dr. [p.141] </w:t>
      </w:r>
    </w:p>
    <w:p w:rsidR="00A31137" w:rsidRPr="00A31137" w:rsidRDefault="00A31137" w:rsidP="00A31137">
      <w:r w:rsidRPr="00A31137">
        <w:t>Clinton, State of the Union Address, 1997, p.141</w:t>
      </w:r>
    </w:p>
    <w:p w:rsidR="00A31137" w:rsidRPr="00A31137" w:rsidRDefault="00A31137" w:rsidP="00A31137">
      <w:r w:rsidRPr="00A31137">
        <w:t>Kristen Zarfos, a Connecticut surgeon whose outrage at this practice spurred a national movement and inspired this legislation. I'd like her to stand so we can thank her for her efforts. Dr. Zarfos, thank you. [Applause]</w:t>
      </w:r>
    </w:p>
    <w:p w:rsidR="00A31137" w:rsidRPr="00A31137" w:rsidRDefault="00A31137" w:rsidP="00A31137">
      <w:r w:rsidRPr="00A31137">
        <w:t>Clinton, State of the Union Address, 1997, p.141</w:t>
      </w:r>
    </w:p>
    <w:p w:rsidR="00A31137" w:rsidRPr="00A31137" w:rsidRDefault="00A31137" w:rsidP="00A31137">
      <w:r w:rsidRPr="00A31137">
        <w:t>In the last 4 years, we have increased child support collections by 50 percent. Now we should go further and do better by making it a felony for any parent to cross a State line in an attempt to flee from this, his or her most sacred obligation.</w:t>
      </w:r>
    </w:p>
    <w:p w:rsidR="00A31137" w:rsidRPr="00A31137" w:rsidRDefault="00A31137" w:rsidP="00A31137">
      <w:r w:rsidRPr="00A31137">
        <w:t>Clinton, State of the Union Address, 1997, p.141</w:t>
      </w:r>
    </w:p>
    <w:p w:rsidR="00A31137" w:rsidRPr="00A31137" w:rsidRDefault="00A31137" w:rsidP="00A31137">
      <w:r w:rsidRPr="00A31137">
        <w:t>Finally, we must also protect our children by standing firm in our determination to ban the advertising and marketing of cigarettes that endanger their lives.</w:t>
      </w:r>
    </w:p>
    <w:p w:rsidR="00A31137" w:rsidRPr="00A31137" w:rsidRDefault="00A31137" w:rsidP="00A31137">
      <w:r w:rsidRPr="00A31137">
        <w:t>Clinton, State of the Union Address, 1997, p.141</w:t>
      </w:r>
    </w:p>
    <w:p w:rsidR="00A31137" w:rsidRPr="00A31137" w:rsidRDefault="00A31137" w:rsidP="00A31137">
      <w:r w:rsidRPr="00A31137">
        <w:t>To prepare America for the 21st century, we must build stronger communities. We should start with safe streets. Serious crime has dropped 5 years in a row. The key has been community policing. We must finish the job of putting 100,000 community police on the streets of the United States. We should pass the victims' rights amendment to the Constitution. And I ask you to mount a full-scale assault on juvenile crime, with legislation that declares war on gangs, with new prosecutors and tougher penalties; extends the Brady bill so violent teen criminals will not be able to buy handguns; requires child safety locks on handguns to prevent unauthorized use; and helps to keep our schools open after hours, on weekends, and in the summer, so our young people will have someplace to go and something to say yes to.</w:t>
      </w:r>
    </w:p>
    <w:p w:rsidR="00A31137" w:rsidRPr="00A31137" w:rsidRDefault="00A31137" w:rsidP="00A31137">
      <w:r w:rsidRPr="00A31137">
        <w:t>Clinton, State of the Union Address, 1997, p.141</w:t>
      </w:r>
    </w:p>
    <w:p w:rsidR="00A31137" w:rsidRPr="00A31137" w:rsidRDefault="00A31137" w:rsidP="00A31137">
      <w:r w:rsidRPr="00A31137">
        <w:t>This balanced budget includes the largest antidrug effort ever, to stop drugs at their source, punish those who push them, and teach our young people that drugs are wrong, drugs are illegal, and drugs will kill them. I hope you will support it.</w:t>
      </w:r>
    </w:p>
    <w:p w:rsidR="00A31137" w:rsidRPr="00A31137" w:rsidRDefault="00A31137" w:rsidP="00A31137">
      <w:r w:rsidRPr="00A31137">
        <w:t>Clinton, State of the Union Address, 1997, p.141</w:t>
      </w:r>
    </w:p>
    <w:p w:rsidR="00A31137" w:rsidRPr="00A31137" w:rsidRDefault="00A31137" w:rsidP="00A31137">
      <w:r w:rsidRPr="00A31137">
        <w:t>Our growing economy has helped to revive poor urban and rural neighborhoods. But we must do more to empower them to create the conditions in which all families can flourish and to create jobs through investment by business and loans by banks. We should double the number of empowerment zones. They've already brought so much hope to communities like Detroit, where the unemployment rate has been cut in half in 4 years. We should restore contaminated urban land and buildings to productive use. We should expand the network of community development banks. And together we must pledge tonight that we will use this empowerment approach, including private-sector tax incentives, to renew our Capital City, so that Washington is a great place to work and live and once again the proud face America shows the world.</w:t>
      </w:r>
    </w:p>
    <w:p w:rsidR="00A31137" w:rsidRPr="00A31137" w:rsidRDefault="00A31137" w:rsidP="00A31137">
      <w:r w:rsidRPr="00A31137">
        <w:t>Clinton, State of the Union Address, 1997, p.141</w:t>
      </w:r>
    </w:p>
    <w:p w:rsidR="00A31137" w:rsidRPr="00A31137" w:rsidRDefault="00A31137" w:rsidP="00A31137">
      <w:r w:rsidRPr="00A31137">
        <w:t>We must protect our environment in every community. In the last 4 years, we cleaned up 250 toxic waste sites, as many as in the previous 12. Now we should clean up 500 more, so that our children grow up next to parks, not poison. I urge you to pass my proposal to make big polluters live by a simple rule: If you pollute our environment, you should pay to clean it up.</w:t>
      </w:r>
    </w:p>
    <w:p w:rsidR="00A31137" w:rsidRPr="00A31137" w:rsidRDefault="00A31137" w:rsidP="00A31137">
      <w:r w:rsidRPr="00A31137">
        <w:t>Clinton, State of the Union Address, 1997, p.141</w:t>
      </w:r>
    </w:p>
    <w:p w:rsidR="00A31137" w:rsidRPr="00A31137" w:rsidRDefault="00A31137" w:rsidP="00A31137">
      <w:r w:rsidRPr="00A31137">
        <w:t>In the last 4 years, we strengthened our Nation's safe food and clean drinking water laws; we protected some of America's rarest, most beautiful land in Utah's Red Rocks region, created three new national parks in the California desert, and began to restore the Florida Everglades. Now we must be as vigilant with our rivers as we are with our lands. Tonight, I announce that this year I will designate 10 American Heritage Rivers, to help communities alongside them revitalize their waterfronts and clean up pollution in the rivers, proving once again that we can grow the economy as we protect the environment.</w:t>
      </w:r>
    </w:p>
    <w:p w:rsidR="00A31137" w:rsidRPr="00A31137" w:rsidRDefault="00A31137" w:rsidP="00A31137">
      <w:r w:rsidRPr="00A31137">
        <w:t>Clinton, State of the Union Address, 1997, p.141</w:t>
      </w:r>
    </w:p>
    <w:p w:rsidR="00A31137" w:rsidRPr="00A31137" w:rsidRDefault="00A31137" w:rsidP="00A31137">
      <w:r w:rsidRPr="00A31137">
        <w:t>We must also protect our global environment, working to ban the worst toxic chemicals and to reduce the greenhouse gases that challenge our health even as they change our climate.</w:t>
      </w:r>
    </w:p>
    <w:p w:rsidR="00A31137" w:rsidRPr="00A31137" w:rsidRDefault="00A31137" w:rsidP="00A31137">
      <w:r w:rsidRPr="00A31137">
        <w:t>Clinton, State of the Union Address, 1997, p.141</w:t>
      </w:r>
    </w:p>
    <w:p w:rsidR="00A31137" w:rsidRPr="00A31137" w:rsidRDefault="00A31137" w:rsidP="00A31137">
      <w:r w:rsidRPr="00A31137">
        <w:t>Now, we all know that in all of our communities, some of our children simply don't have what they need to grow and learn in their own homes or schools or neighborhoods. And that means the rest of us must do more, for they are our children, too. That's why President Bush, General Colin Powell, former Housing Secretary Henry Cisneros will join the Vice President and me to lead the President's summit of service in Philadelphia in April.</w:t>
      </w:r>
    </w:p>
    <w:p w:rsidR="00A31137" w:rsidRPr="00A31137" w:rsidRDefault="00A31137" w:rsidP="00A31137">
      <w:r w:rsidRPr="00A31137">
        <w:t>Clinton, State of the Union Address, 1997, p.141</w:t>
      </w:r>
    </w:p>
    <w:p w:rsidR="00A31137" w:rsidRPr="00A31137" w:rsidRDefault="00A31137" w:rsidP="00A31137">
      <w:r w:rsidRPr="00A31137">
        <w:t>Our national service program, AmeriCorps, has already helped 70,000 young people to work their way through college as they serve America. Now we intend to mobilize millions of Americans to serve in thousands of ways. Citizen service is an [p.142] American responsibility which all Americans should embrace, and I ask your support for that endeavor.</w:t>
      </w:r>
    </w:p>
    <w:p w:rsidR="00A31137" w:rsidRPr="00A31137" w:rsidRDefault="00A31137" w:rsidP="00A31137">
      <w:r w:rsidRPr="00A31137">
        <w:t>Clinton, State of the Union Address, 1997, p.142</w:t>
      </w:r>
    </w:p>
    <w:p w:rsidR="00A31137" w:rsidRPr="00A31137" w:rsidRDefault="00A31137" w:rsidP="00A31137">
      <w:r w:rsidRPr="00A31137">
        <w:t>I'd like to make just one last point about our national community. Our economy is measured in numbers and statistics, and it's very important. But the enduring worth of our Nation lies in our shared values and our soaring spirit. So instead of cutting back on our modest efforts to support the arts and humanities, I believe we should stand by them and challenge our artists, musicians, and writers, challenge our museums, libraries, and theaters. We should challenge all Americans in the arts and humanities to join with our fellow citizens to make the year 2000 a national celebration of the American spirit in every community, a celebration of our common culture in the century that has passed and in the new one to come in the new millennium, so that we can remain in the world's beacon not only of liberty but of creativity, long after the fireworks have faded.</w:t>
      </w:r>
    </w:p>
    <w:p w:rsidR="00A31137" w:rsidRPr="00A31137" w:rsidRDefault="00A31137" w:rsidP="00A31137">
      <w:r w:rsidRPr="00A31137">
        <w:t>Clinton, State of the Union Address, 1997, p.142</w:t>
      </w:r>
    </w:p>
    <w:p w:rsidR="00A31137" w:rsidRPr="00A31137" w:rsidRDefault="00A31137" w:rsidP="00A31137">
      <w:r w:rsidRPr="00A31137">
        <w:t>To prepare America for the 21st century, we must master the forces of change in the world and keep American leadership strong and sure for an uncharted time.</w:t>
      </w:r>
    </w:p>
    <w:p w:rsidR="00A31137" w:rsidRPr="00A31137" w:rsidRDefault="00A31137" w:rsidP="00A31137">
      <w:r w:rsidRPr="00A31137">
        <w:t>Clinton, State of the Union Address, 1997, p.142</w:t>
      </w:r>
    </w:p>
    <w:p w:rsidR="00A31137" w:rsidRPr="00A31137" w:rsidRDefault="00A31137" w:rsidP="00A31137">
      <w:r w:rsidRPr="00A31137">
        <w:t>Fifty years ago, a farsighted America led in creating the institutions that secured victory in the cold war and built a growing world economy. As a result, today more people than ever embrace our ideals and share our interests. Already we have dismantled many of the blocs and barriers that divided our parents' world. For the first time, more people live under democracy than dictatorship, including every nation in our own hemisphere but one, and its day, too, will come.</w:t>
      </w:r>
    </w:p>
    <w:p w:rsidR="00A31137" w:rsidRPr="00A31137" w:rsidRDefault="00A31137" w:rsidP="00A31137">
      <w:r w:rsidRPr="00A31137">
        <w:t>Clinton, State of the Union Address, 1997, p.142</w:t>
      </w:r>
    </w:p>
    <w:p w:rsidR="00A31137" w:rsidRPr="00A31137" w:rsidRDefault="00A31137" w:rsidP="00A31137">
      <w:r w:rsidRPr="00A31137">
        <w:t>Now, we stand at another moment of change and choice and another time to be farsighted, to bring America 50 more years of security and prosperity. In this endeavor, our first task is to help to build, for the very first time, an undivided, democratic Europe. When Europe is stable, prosperous, and at peace, America is more secure. To that end, we must expand NATO by 1999, so that countries that were once our adversaries can become our allies. At the special NATO summit this summer, that is what we will begin to do. We must strengthen NATO's Partnership For Peace with non-member allies. And we must build a stable partnership between NATO and a democratic Russia. An expanded NATO is good for America; and a Europe in which all democracies define their future not in terms of what they can do to each other but in terms of what they can do together for the good of all—that kind of Europe is good for America.</w:t>
      </w:r>
    </w:p>
    <w:p w:rsidR="00A31137" w:rsidRPr="00A31137" w:rsidRDefault="00A31137" w:rsidP="00A31137">
      <w:r w:rsidRPr="00A31137">
        <w:t>Clinton, State of the Union Address, 1997, p.142</w:t>
      </w:r>
    </w:p>
    <w:p w:rsidR="00A31137" w:rsidRPr="00A31137" w:rsidRDefault="00A31137" w:rsidP="00A31137">
      <w:r w:rsidRPr="00A31137">
        <w:t>Second, America must look to the East no less than to the West. Our security demands it. Americans fought three wars in Asia in this century. Our prosperity requires it. More than 2 million American jobs depend upon trade with Asia.</w:t>
      </w:r>
    </w:p>
    <w:p w:rsidR="00A31137" w:rsidRPr="00A31137" w:rsidRDefault="00A31137" w:rsidP="00A31137">
      <w:r w:rsidRPr="00A31137">
        <w:t>Clinton, State of the Union Address, 1997, p.142</w:t>
      </w:r>
    </w:p>
    <w:p w:rsidR="00A31137" w:rsidRPr="00A31137" w:rsidRDefault="00A31137" w:rsidP="00A31137">
      <w:r w:rsidRPr="00A31137">
        <w:t>There, too, we are helping to shape an Asia-Pacific community of cooperation, not conflict. Let our progress there not mask the peril that remains. Together with South Korea, we must advance peace talks with North Korea and bridge the cold war's last divide. And I call on Congress to fund our share of the agreement under which North Korea must continue to freeze and then dismantle its nuclear weapons program.</w:t>
      </w:r>
    </w:p>
    <w:p w:rsidR="00A31137" w:rsidRPr="00A31137" w:rsidRDefault="00A31137" w:rsidP="00A31137">
      <w:r w:rsidRPr="00A31137">
        <w:t>Clinton, State of the Union Address, 1997, p.142</w:t>
      </w:r>
    </w:p>
    <w:p w:rsidR="00A31137" w:rsidRPr="00A31137" w:rsidRDefault="00A31137" w:rsidP="00A31137">
      <w:r w:rsidRPr="00A31137">
        <w:t>We must pursue a deeper dialog with China for the sake of our interests and our ideals. An isolated China is not good for America; a China playing its proper role in the world is. I will go to China, and I have invited China's President to come here, not because we agree on everything but because engaging China is the best way to work on our common challenges like ending nuclear testing and to deal frankly with our fundamental differences like human rights.</w:t>
      </w:r>
    </w:p>
    <w:p w:rsidR="00A31137" w:rsidRPr="00A31137" w:rsidRDefault="00A31137" w:rsidP="00A31137">
      <w:r w:rsidRPr="00A31137">
        <w:t>Clinton, State of the Union Address, 1997, p.142</w:t>
      </w:r>
    </w:p>
    <w:p w:rsidR="00A31137" w:rsidRPr="00A31137" w:rsidRDefault="00A31137" w:rsidP="00A31137">
      <w:r w:rsidRPr="00A31137">
        <w:t>The American people must prosper in the global economy. We've worked hard to tear down trade barriers abroad so that we can create good jobs at home. I am proud to say that today America is once again the most competitive nation and the number one exporter in the world.</w:t>
      </w:r>
    </w:p>
    <w:p w:rsidR="00A31137" w:rsidRPr="00A31137" w:rsidRDefault="00A31137" w:rsidP="00A31137">
      <w:r w:rsidRPr="00A31137">
        <w:t>Clinton, State of the Union Address, 1997, p.142</w:t>
      </w:r>
    </w:p>
    <w:p w:rsidR="00A31137" w:rsidRPr="00A31137" w:rsidRDefault="00A31137" w:rsidP="00A31137">
      <w:r w:rsidRPr="00A31137">
        <w:t>Now we must act to expand our exports, especially to Asia and Latin America, two of the fastest growing regions on Earth, or be left behind as these emerging economies forge new ties with other nations. That is why we need the authority now to conclude new trade agreements that open markets to our goods and services even as we preserve our values.</w:t>
      </w:r>
    </w:p>
    <w:p w:rsidR="00A31137" w:rsidRPr="00A31137" w:rsidRDefault="00A31137" w:rsidP="00A31137">
      <w:r w:rsidRPr="00A31137">
        <w:t>Clinton, State of the Union Address, 1997, p.142</w:t>
      </w:r>
    </w:p>
    <w:p w:rsidR="00A31137" w:rsidRPr="00A31137" w:rsidRDefault="00A31137" w:rsidP="00A31137">
      <w:r w:rsidRPr="00A31137">
        <w:t>We need not shrink from the challenge of the global economy. After all, we have the [p.143] best workers and the best products. In a truly open market, we can out-compete anyone, anywhere on Earth.</w:t>
      </w:r>
    </w:p>
    <w:p w:rsidR="00A31137" w:rsidRPr="00A31137" w:rsidRDefault="00A31137" w:rsidP="00A31137">
      <w:r w:rsidRPr="00A31137">
        <w:t>Clinton, State of the Union Address, 1997, p.143</w:t>
      </w:r>
    </w:p>
    <w:p w:rsidR="00A31137" w:rsidRPr="00A31137" w:rsidRDefault="00A31137" w:rsidP="00A31137">
      <w:r w:rsidRPr="00A31137">
        <w:t>But this is about more than economics. By expanding trade, we can advance the cause of freedom and democracy around the world. There is no better example of this truth than Latin America where democracy and open markets are on the march together. That is why I will visit there in the spring to reinforce our important tie.</w:t>
      </w:r>
    </w:p>
    <w:p w:rsidR="00A31137" w:rsidRPr="00A31137" w:rsidRDefault="00A31137" w:rsidP="00A31137">
      <w:r w:rsidRPr="00A31137">
        <w:t>Clinton, State of the Union Address, 1997, p.143</w:t>
      </w:r>
    </w:p>
    <w:p w:rsidR="00A31137" w:rsidRPr="00A31137" w:rsidRDefault="00A31137" w:rsidP="00A31137">
      <w:r w:rsidRPr="00A31137">
        <w:t>We should all be proud that America led the effort to rescue our neighbor Mexico from its economic crises. And we should all be proud that last month Mexico repaid the United States, 3 full years ahead of schedule, with half a billion dollar profit to us.</w:t>
      </w:r>
      <w:r w:rsidRPr="00A31137">
        <w:cr/>
      </w:r>
    </w:p>
    <w:p w:rsidR="00A31137" w:rsidRPr="00A31137" w:rsidRDefault="00A31137" w:rsidP="00A31137">
      <w:r w:rsidRPr="00A31137">
        <w:t>Clinton, State of the Union Address, 1997, p.143</w:t>
      </w:r>
    </w:p>
    <w:p w:rsidR="00A31137" w:rsidRPr="00A31137" w:rsidRDefault="00A31137" w:rsidP="00A31137">
      <w:r w:rsidRPr="00A31137">
        <w:t>America must continue to be an unrelenting force for peace from the Middle East to Haiti, from Northern Ireland to Africa. Taking reasonable risks for peace keeps us from being drawn into far more costly conflicts later.</w:t>
      </w:r>
    </w:p>
    <w:p w:rsidR="00A31137" w:rsidRPr="00A31137" w:rsidRDefault="00A31137" w:rsidP="00A31137">
      <w:r w:rsidRPr="00A31137">
        <w:t>Clinton, State of the Union Address, 1997, p.143</w:t>
      </w:r>
    </w:p>
    <w:p w:rsidR="00A31137" w:rsidRPr="00A31137" w:rsidRDefault="00A31137" w:rsidP="00A31137">
      <w:r w:rsidRPr="00A31137">
        <w:t>With American leadership, the killing has stopped in Bosnia. Now the habits of peace must take hold. The new NATO force will allow reconstruction and reconciliation to accelerate. Tonight I ask Congress to continue its strong support of our troops. They are doing a remarkable job there for America, and America must do right by them.</w:t>
      </w:r>
    </w:p>
    <w:p w:rsidR="00A31137" w:rsidRPr="00A31137" w:rsidRDefault="00A31137" w:rsidP="00A31137">
      <w:r w:rsidRPr="00A31137">
        <w:t>Clinton, State of the Union Address, 1997, p.143</w:t>
      </w:r>
    </w:p>
    <w:p w:rsidR="00A31137" w:rsidRPr="00A31137" w:rsidRDefault="00A31137" w:rsidP="00A31137">
      <w:r w:rsidRPr="00A31137">
        <w:t>Fifth, we must move strongly against new threats to our security. In the past 4 years, we agreed to ban—we led the way to a worldwide agreement to ban nuclear testing. With Russia, we dramatically cut nuclear arsenals, and we stopped targeting each others citizens. We are acting to prevent nuclear materials from falling into the wrong hands and to rid the world of landmines. We are working with other nations with renewed intensity to fight drug traffickers and to stop terrorists before they act and hold them fully accountable if they do.</w:t>
      </w:r>
    </w:p>
    <w:p w:rsidR="00A31137" w:rsidRPr="00A31137" w:rsidRDefault="00A31137" w:rsidP="00A31137">
      <w:r w:rsidRPr="00A31137">
        <w:t>Clinton, State of the Union Address, 1997, p.143</w:t>
      </w:r>
    </w:p>
    <w:p w:rsidR="00A31137" w:rsidRPr="00A31137" w:rsidRDefault="00A31137" w:rsidP="00A31137">
      <w:r w:rsidRPr="00A31137">
        <w:t>Now we must rise to a new test of leadership, ratifying the Chemical Weapons Convention. Make no mistake about it, it will make our troops safer from chemical attack; it will help us to fight terrorism. We have no more important obligations, especially in the wake of what we now know about the Gulf war. This treaty has been bipartisan from the beginning, supported by Republican and Democratic administrations and Republican and Democratic Members of Congress and already approved by 68 nations.</w:t>
      </w:r>
    </w:p>
    <w:p w:rsidR="00A31137" w:rsidRPr="00A31137" w:rsidRDefault="00A31137" w:rsidP="00A31137">
      <w:r w:rsidRPr="00A31137">
        <w:t>Clinton, State of the Union Address, 1997, p.143</w:t>
      </w:r>
    </w:p>
    <w:p w:rsidR="00A31137" w:rsidRPr="00A31137" w:rsidRDefault="00A31137" w:rsidP="00A31137">
      <w:r w:rsidRPr="00A31137">
        <w:t>But if we do not act by April 29th, when this convention goes into force with or without us, we will lose the chance to have Americans leading and enforcing this effort. Together we must make the Chemical Weapons Convention law, so that at last we can begin to outlaw poison gas from the Earth.</w:t>
      </w:r>
    </w:p>
    <w:p w:rsidR="00A31137" w:rsidRPr="00A31137" w:rsidRDefault="00A31137" w:rsidP="00A31137">
      <w:r w:rsidRPr="00A31137">
        <w:t>Clinton, State of the Union Address, 1997, p.143</w:t>
      </w:r>
    </w:p>
    <w:p w:rsidR="00A31137" w:rsidRPr="00A31137" w:rsidRDefault="00A31137" w:rsidP="00A31137">
      <w:r w:rsidRPr="00A31137">
        <w:t>Finally, we must have the tools to meet all these challenges. We must maintain a strong and ready military. We must increase funding for weapons modernization by the year 2000, and we must take good care of our men and women in uniform. They are the world's finest.</w:t>
      </w:r>
    </w:p>
    <w:p w:rsidR="00A31137" w:rsidRPr="00A31137" w:rsidRDefault="00A31137" w:rsidP="00A31137">
      <w:r w:rsidRPr="00A31137">
        <w:t>Clinton, State of the Union Address, 1997, p.143</w:t>
      </w:r>
    </w:p>
    <w:p w:rsidR="00A31137" w:rsidRPr="00A31137" w:rsidRDefault="00A31137" w:rsidP="00A31137">
      <w:r w:rsidRPr="00A31137">
        <w:t>We must also renew our commitment to America's diplomacy and pay our debts and dues to international financial institutions like the World Bank and to a reforming United Nations. Every dollar we devote to preventing conflicts, to promoting democracy, to stopping the spread of disease and starvation, brings a sure return in security and savings. Yet international-affairs spending today is just one percent of the Federal budget, a small fraction of what America invested in diplomacy to choose leadership over escapism at the start of the cold war. If America is to continue to lead the world, we here who lead America simply must find the will to pay our way.</w:t>
      </w:r>
    </w:p>
    <w:p w:rsidR="00A31137" w:rsidRPr="00A31137" w:rsidRDefault="00A31137" w:rsidP="00A31137">
      <w:r w:rsidRPr="00A31137">
        <w:t>Clinton, State of the Union Address, 1997, p.143</w:t>
      </w:r>
    </w:p>
    <w:p w:rsidR="00A31137" w:rsidRPr="00A31137" w:rsidRDefault="00A31137" w:rsidP="00A31137">
      <w:r w:rsidRPr="00A31137">
        <w:t>A farsighted America moved the world to a better place over these last 50 years. And so it can be for another 50 years. But a shortsighted America will soon find its words falling on deaf ears all around the world.</w:t>
      </w:r>
    </w:p>
    <w:p w:rsidR="00A31137" w:rsidRPr="00A31137" w:rsidRDefault="00A31137" w:rsidP="00A31137">
      <w:r w:rsidRPr="00A31137">
        <w:t>Clinton, State of the Union Address, 1997, p.143</w:t>
      </w:r>
    </w:p>
    <w:p w:rsidR="00A31137" w:rsidRPr="00A31137" w:rsidRDefault="00A31137" w:rsidP="00A31137">
      <w:r w:rsidRPr="00A31137">
        <w:t>Almost exactly 50 years ago, in the first winter of the cold war, President Truman stood before a Republican Congress and called upon our country to meet its responsibilities of leadership. This was his warning; he said, "If we falter, we may endanger the peace of the world, and we shall surely endanger the welfare of this Nation." That Congress, led by Republicans like Senator Arthur Vandenberg, answered President Truman's call. Together, they made the commitments that strengthened our country for 50 years. Now let us do the same. Let us do what it takes to remain the indispensable nation, to [p.144] keep America strong, secure, and prosperous for another 50 years.</w:t>
      </w:r>
    </w:p>
    <w:p w:rsidR="00A31137" w:rsidRPr="00A31137" w:rsidRDefault="00A31137" w:rsidP="00A31137">
      <w:r w:rsidRPr="00A31137">
        <w:t>Clinton, State of the Union Address, 1997, p.144</w:t>
      </w:r>
    </w:p>
    <w:p w:rsidR="00A31137" w:rsidRPr="00A31137" w:rsidRDefault="00A31137" w:rsidP="00A31137">
      <w:r w:rsidRPr="00A31137">
        <w:t>In the end, more than anything else, our world leadership grows out of the power of our example here at home, out of our ability to remain strong as one America.</w:t>
      </w:r>
    </w:p>
    <w:p w:rsidR="00A31137" w:rsidRPr="00A31137" w:rsidRDefault="00A31137" w:rsidP="00A31137">
      <w:r w:rsidRPr="00A31137">
        <w:t>Clinton, State of the Union Address, 1997, p.144</w:t>
      </w:r>
    </w:p>
    <w:p w:rsidR="00A31137" w:rsidRPr="00A31137" w:rsidRDefault="00A31137" w:rsidP="00A31137">
      <w:r w:rsidRPr="00A31137">
        <w:t>All over the world, people are being torn asunder by racial, ethnic, and religious conflicts that fuel fanaticism and terror. We are the world's most diverse democracy, and the world looks to us to show that it is possible to live and advance together across those kinds of differences.</w:t>
      </w:r>
    </w:p>
    <w:p w:rsidR="00A31137" w:rsidRPr="00A31137" w:rsidRDefault="00A31137" w:rsidP="00A31137">
      <w:r w:rsidRPr="00A31137">
        <w:t>Clinton, State of the Union Address, 1997, p.144</w:t>
      </w:r>
    </w:p>
    <w:p w:rsidR="00A31137" w:rsidRPr="00A31137" w:rsidRDefault="00A31137" w:rsidP="00A31137">
      <w:r w:rsidRPr="00A31137">
        <w:t>America has always been a nation of immigrants. From the start, a steady stream of people in search of freedom and opportunity have left their own lands to make this land their home. We started as an experiment in democracy fueled by Europeans. We have grown into an experiment in democratic diversity fueled by openness and promise.</w:t>
      </w:r>
    </w:p>
    <w:p w:rsidR="00A31137" w:rsidRPr="00A31137" w:rsidRDefault="00A31137" w:rsidP="00A31137">
      <w:r w:rsidRPr="00A31137">
        <w:t>Clinton, State of the Union Address, 1997, p.144</w:t>
      </w:r>
    </w:p>
    <w:p w:rsidR="00A31137" w:rsidRPr="00A31137" w:rsidRDefault="00A31137" w:rsidP="00A31137">
      <w:r w:rsidRPr="00A31137">
        <w:t>My fellow Americans, we must never, ever believe that our diversity is a weakness. It is our greatest strength. Americans speak every language, know every country. People on every continent can look to us and see the reflection of their own great potential, and they always will, as long as we strive to give all of our citizens, whatever their background, an opportunity to achieve their own greatness.</w:t>
      </w:r>
    </w:p>
    <w:p w:rsidR="00A31137" w:rsidRPr="00A31137" w:rsidRDefault="00A31137" w:rsidP="00A31137">
      <w:r w:rsidRPr="00A31137">
        <w:t>Clinton, State of the Union Address, 1997, p.144</w:t>
      </w:r>
    </w:p>
    <w:p w:rsidR="00A31137" w:rsidRPr="00A31137" w:rsidRDefault="00A31137" w:rsidP="00A31137">
      <w:r w:rsidRPr="00A31137">
        <w:t>We're not there yet. We still see evidence of abiding bigotry and intolerance in ugly words and awful violence, in burned churches and bombed buildings. We must fight against this, in our country and in our hearts.</w:t>
      </w:r>
    </w:p>
    <w:p w:rsidR="00A31137" w:rsidRPr="00A31137" w:rsidRDefault="00A31137" w:rsidP="00A31137">
      <w:r w:rsidRPr="00A31137">
        <w:t>Clinton, State of the Union Address, 1997, p.144</w:t>
      </w:r>
    </w:p>
    <w:p w:rsidR="00A31137" w:rsidRPr="00A31137" w:rsidRDefault="00A31137" w:rsidP="00A31137">
      <w:r w:rsidRPr="00A31137">
        <w:t>Just a few days before my second Inauguration, one of our country's best known pastors, Reverend Robert Schuller, suggested that I read Isaiah 58:12. Here's what it says: "Thou shalt raise up the foundations of many generations, and thou shalt be called the repairer of the breach, the restorer of paths to dwell in." I placed my hand on that verse when I took the oath of office, on behalf of all Americans, for no matter what our differences in our faiths, our backgrounds, our politics, we must all be repairers of the breach.</w:t>
      </w:r>
    </w:p>
    <w:p w:rsidR="00A31137" w:rsidRPr="00A31137" w:rsidRDefault="00A31137" w:rsidP="00A31137">
      <w:r w:rsidRPr="00A31137">
        <w:t>Clinton, State of the Union Address, 1997, p.144</w:t>
      </w:r>
    </w:p>
    <w:p w:rsidR="00A31137" w:rsidRPr="00A31137" w:rsidRDefault="00A31137" w:rsidP="00A31137">
      <w:r w:rsidRPr="00A31137">
        <w:t>I want to say a word about two other Americans who show us how. Congressman Frank Tejeda was buried yesterday, a proud American whose family came from Mexico. He was only 51 years old. He was awarded the Silver Star, the Bronze Star, and the Purple Heart fighting for his country in Vietnam. And he went on to serve Texas and America fighting for our future here in this Chamber. We are grateful for his service and honored that his mother, Lillie Tejeda, and his sister, Mary Alice, have come from Texas to be with us here tonight. And we welcome you.</w:t>
      </w:r>
    </w:p>
    <w:p w:rsidR="00A31137" w:rsidRPr="00A31137" w:rsidRDefault="00A31137" w:rsidP="00A31137">
      <w:r w:rsidRPr="00A31137">
        <w:t>Clinton, State of the Union Address, 1997, p.144</w:t>
      </w:r>
    </w:p>
    <w:p w:rsidR="00A31137" w:rsidRPr="00A31137" w:rsidRDefault="00A31137" w:rsidP="00A31137">
      <w:r w:rsidRPr="00A31137">
        <w:t>Gary Locke, the newly elected Governor of Washington State, is the first Chinese-American Governor in the history of our country. He's the proud son of two of the millions of Asian-American immigrants who have strengthened America with their hard work, family values, and good citizenship. He represents the future we can all achieve. Thank you, Governor, for being here. Please stand up. [Applause]</w:t>
      </w:r>
    </w:p>
    <w:p w:rsidR="00A31137" w:rsidRPr="00A31137" w:rsidRDefault="00A31137" w:rsidP="00A31137">
      <w:r w:rsidRPr="00A31137">
        <w:t>Clinton, State of the Union Address, 1997, p.144</w:t>
      </w:r>
    </w:p>
    <w:p w:rsidR="00A31137" w:rsidRPr="00A31137" w:rsidRDefault="00A31137" w:rsidP="00A31137">
      <w:r w:rsidRPr="00A31137">
        <w:t>Reverend Schuller, Congressman Tejeda, Governor Locke, along with Kristen Tanner and Chris Getsler, Sue Winski and Dr. Kristen Zarfos, they're all Americans from different roots whose lives reflect the best of what we can become when we are one America. We may not share a common past, but we surely do share a common future. Building one America is our most important mission, the foundation for many generations of every other strength we must build for this new century. Money cannot buy it. Power cannot compel it. Technology cannot create it. It can only come from the human spirit.</w:t>
      </w:r>
    </w:p>
    <w:p w:rsidR="00A31137" w:rsidRPr="00A31137" w:rsidRDefault="00A31137" w:rsidP="00A31137">
      <w:r w:rsidRPr="00A31137">
        <w:t>Clinton, State of the Union Address, 1997, p.144</w:t>
      </w:r>
    </w:p>
    <w:p w:rsidR="00A31137" w:rsidRPr="00A31137" w:rsidRDefault="00A31137" w:rsidP="00A31137">
      <w:r w:rsidRPr="00A31137">
        <w:t>America is far more than a place. It is an idea, the most powerful idea in the history of nations. And all of us in this Chamber, we are now the bearers of that idea, leading a great people into a new world. A child born tonight will have almost no memory of the 20th century. Everything that child will know about America will be because of what we do now to build a new century.</w:t>
      </w:r>
    </w:p>
    <w:p w:rsidR="00A31137" w:rsidRPr="00A31137" w:rsidRDefault="00A31137" w:rsidP="00A31137">
      <w:r w:rsidRPr="00A31137">
        <w:t>Clinton, State of the Union Address, 1997, p.144</w:t>
      </w:r>
    </w:p>
    <w:p w:rsidR="00A31137" w:rsidRPr="00A31137" w:rsidRDefault="00A31137" w:rsidP="00A31137">
      <w:r w:rsidRPr="00A31137">
        <w:t>We don't have a moment to waste. Tomorrow there will be just over 1,000 days until the year 2000; 1,000 days to prepare our people; 1,000 days to work together; 1,000 days to build a bridge to a land of new promise. My fellow Americans, we have work to do. Let us seize those days and the century.</w:t>
      </w:r>
    </w:p>
    <w:p w:rsidR="00A31137" w:rsidRPr="00A31137" w:rsidRDefault="00A31137" w:rsidP="00A31137">
      <w:r w:rsidRPr="00A31137">
        <w:t>Clinton, State of the Union Address, 1997, p.144</w:t>
      </w:r>
    </w:p>
    <w:p w:rsidR="00A31137" w:rsidRPr="00A31137" w:rsidRDefault="00A31137" w:rsidP="00A31137">
      <w:r w:rsidRPr="00A31137">
        <w:t xml:space="preserve">Thank you, God bless you, and God bless America. [p.145] </w:t>
      </w:r>
    </w:p>
    <w:p w:rsidR="00A31137" w:rsidRPr="00A31137" w:rsidRDefault="00A31137" w:rsidP="00A31137">
      <w:r w:rsidRPr="00A31137">
        <w:t>Clinton, State of the Union Address, 1997, p.145</w:t>
      </w:r>
    </w:p>
    <w:p w:rsidR="00A31137" w:rsidRPr="00A31137" w:rsidRDefault="00A31137" w:rsidP="00A31137">
      <w:r w:rsidRPr="00A31137">
        <w:t>Note: The President spoke at 9:15 p.m. in the House Chamber of the Capitol.</w:t>
      </w:r>
    </w:p>
    <w:p w:rsidR="00A31137" w:rsidRPr="00A31137" w:rsidRDefault="00A31137" w:rsidP="00A31137">
      <w:r w:rsidRPr="00A31137">
        <w:t>Declaration of San Jose, May 8, 1997</w:t>
      </w:r>
    </w:p>
    <w:p w:rsidR="00A31137" w:rsidRPr="00A31137" w:rsidRDefault="00A31137" w:rsidP="00A31137">
      <w:r w:rsidRPr="00A31137">
        <w:t>Title:</w:t>
      </w:r>
      <w:r w:rsidRPr="00A31137">
        <w:tab/>
        <w:t>Declaration of San Jose</w:t>
      </w:r>
    </w:p>
    <w:p w:rsidR="00A31137" w:rsidRPr="00A31137" w:rsidRDefault="00A31137" w:rsidP="00A31137">
      <w:r w:rsidRPr="00A31137">
        <w:t>Author:</w:t>
      </w:r>
      <w:r w:rsidRPr="00A31137">
        <w:tab/>
        <w:t>Belize, Costa Rica, Dominican Republic, El Salvador, Guatemala, Honduras, Nicaragua, and the United States</w:t>
      </w:r>
    </w:p>
    <w:p w:rsidR="00A31137" w:rsidRPr="00A31137" w:rsidRDefault="00A31137" w:rsidP="00A31137">
      <w:r w:rsidRPr="00A31137">
        <w:t>Date:</w:t>
      </w:r>
      <w:r w:rsidRPr="00A31137">
        <w:tab/>
        <w:t>May 8, 1997</w:t>
      </w:r>
    </w:p>
    <w:p w:rsidR="00A31137" w:rsidRPr="00A31137" w:rsidRDefault="00A31137" w:rsidP="00A31137">
      <w:r w:rsidRPr="00A31137">
        <w:t>Source:</w:t>
      </w:r>
      <w:r w:rsidRPr="00A31137">
        <w:tab/>
        <w:t>Weekly Compilation of Presidential Documents, 1997, pp.682-686</w:t>
      </w:r>
    </w:p>
    <w:p w:rsidR="00A31137" w:rsidRPr="00A31137" w:rsidRDefault="00A31137" w:rsidP="00A31137">
      <w:r w:rsidRPr="00A31137">
        <w:t>Declaration of San Jose, May 8, 1997, p.682</w:t>
      </w:r>
    </w:p>
    <w:p w:rsidR="00A31137" w:rsidRPr="00A31137" w:rsidRDefault="00A31137" w:rsidP="00A31137">
      <w:r w:rsidRPr="00A31137">
        <w:t>We, the Presidents of Costa Rica, El Salvador, the United States of America, Guatemala, Honduras, Nicaragua, the Dominican Republic and the Prime Minister of Belize, meeting in San Jose, Costa Rica on May 8, 1997, hereby reaffirm the remarkable democratic transformation in Central America. Central America is now a region of peace, liberty and democracy, profoundly committed to a process of integration, in which a spirit of harmony, cooperation, pluralism and respect for human rights prevails. This spirit marks an unprecedented era of stability in Central America's history.</w:t>
      </w:r>
    </w:p>
    <w:p w:rsidR="00A31137" w:rsidRPr="00A31137" w:rsidRDefault="00A31137" w:rsidP="00A31137">
      <w:r w:rsidRPr="00A31137">
        <w:t>Declaration of San Jose, May 8, 1997, p.682</w:t>
      </w:r>
    </w:p>
    <w:p w:rsidR="00A31137" w:rsidRPr="00A31137" w:rsidRDefault="00A31137" w:rsidP="00A31137">
      <w:r w:rsidRPr="00A31137">
        <w:t>We hold the conviction that the resources and potential of Central America and the Dominican Republic can now be focussed so as to ensure that our peoples are able to develop to their full potential within the framework of just and democratic societies. We are determined to march toward the future in a partnership based on friendship, understanding and ever stronger cooperation. This meeting marks the inauguration of a new stage in our relations, based on mutual respect and reciprocity which will give our nations greater advantages with which to successfully meet the challenges of the next millennium.</w:t>
      </w:r>
    </w:p>
    <w:p w:rsidR="00A31137" w:rsidRPr="00A31137" w:rsidRDefault="00A31137" w:rsidP="00A31137">
      <w:r w:rsidRPr="00A31137">
        <w:t>Declaration of San Jose, May 8, 1997, p.682</w:t>
      </w:r>
    </w:p>
    <w:p w:rsidR="00A31137" w:rsidRPr="00A31137" w:rsidRDefault="00A31137" w:rsidP="00A31137">
      <w:r w:rsidRPr="00A31137">
        <w:t>We recognize that there are great challenges that we must jointly assume and that there are many opportunities which favor the creation of a great region of shared prosperity among Central America, the Dominican Republic and the United States, as well as the creation of a visionary and creative association among our nations.</w:t>
      </w:r>
    </w:p>
    <w:p w:rsidR="00A31137" w:rsidRPr="00A31137" w:rsidRDefault="00A31137" w:rsidP="00A31137">
      <w:r w:rsidRPr="00A31137">
        <w:t>Declaration of San Jose, May 8, 1997, p.682</w:t>
      </w:r>
    </w:p>
    <w:p w:rsidR="00A31137" w:rsidRPr="00A31137" w:rsidRDefault="00A31137" w:rsidP="00A31137">
      <w:r w:rsidRPr="00A31137">
        <w:t>Inspired by the principles and goals of the Summit of the Americas and guided by the Central American Alliance for Sustainable Development, we recognize as the cornerstones of this renewed relationship the promotion of prosperity through the strengthening of democracy and good governance; dialogue on immigration and illegal migrant trafficking; economic integration and free trade; the continued development of just and equitable societies that provide opportunities for all people; and the</w:t>
      </w:r>
    </w:p>
    <w:p w:rsidR="00A31137" w:rsidRPr="00A31137" w:rsidRDefault="00A31137" w:rsidP="00A31137">
      <w:r w:rsidRPr="00A31137">
        <w:t>Declaration of San Jose, May 8, 1997, p.682</w:t>
      </w:r>
    </w:p>
    <w:p w:rsidR="00A31137" w:rsidRPr="00A31137" w:rsidRDefault="00A31137" w:rsidP="00A31137">
      <w:r w:rsidRPr="00A31137">
        <w:t>development of responsible environmental policies as an integral element of sustainable development; all of which must be undertaken within a framework of mutual cooperation.</w:t>
      </w:r>
    </w:p>
    <w:p w:rsidR="00A31137" w:rsidRPr="00A31137" w:rsidRDefault="00A31137" w:rsidP="00A31137">
      <w:r w:rsidRPr="00A31137">
        <w:t>Declaration of San Jose, May 8, 1997, p.682</w:t>
      </w:r>
    </w:p>
    <w:p w:rsidR="00A31137" w:rsidRPr="00A31137" w:rsidRDefault="00A31137" w:rsidP="00A31137">
      <w:r w:rsidRPr="00A31137">
        <w:t>Strengthening of Democracy and Good Governance</w:t>
      </w:r>
    </w:p>
    <w:p w:rsidR="00A31137" w:rsidRPr="00A31137" w:rsidRDefault="00A31137" w:rsidP="00A31137">
      <w:r w:rsidRPr="00A31137">
        <w:t>Declaration of San Jose, May 8, 1997, p.682</w:t>
      </w:r>
    </w:p>
    <w:p w:rsidR="00A31137" w:rsidRPr="00A31137" w:rsidRDefault="00A31137" w:rsidP="00A31137">
      <w:r w:rsidRPr="00A31137">
        <w:t xml:space="preserve">We reaffirm our profound conviction that only democratically elected governments can guarantee the full existence of the rule of law, an indispensable prerequisite for the preservation of peace and harmony. [p.683] </w:t>
      </w:r>
    </w:p>
    <w:p w:rsidR="00A31137" w:rsidRPr="00A31137" w:rsidRDefault="00A31137" w:rsidP="00A31137">
      <w:r w:rsidRPr="00A31137">
        <w:t>Declaration of San Jose, May 8, 1997, p.683</w:t>
      </w:r>
    </w:p>
    <w:p w:rsidR="00A31137" w:rsidRPr="00A31137" w:rsidRDefault="00A31137" w:rsidP="00A31137">
      <w:r w:rsidRPr="00A31137">
        <w:t>We reaffirm our belief in the dignity of our people and our commitment to the rule of law. We maintain that crime is one of the principal threats to the democracy, public security and social stability of our countries. For this reason, we will redouble our efforts to combat crime and improve security for our people. Consistent with our constitutional provisions and recognizing the independence of our legislative and judicial branches, we are committed to the modernization of extradition treaties and their vigorous application to help ensure that criminals are brought to justice where the effect of their crime is felt most severely.</w:t>
      </w:r>
    </w:p>
    <w:p w:rsidR="00A31137" w:rsidRPr="00A31137" w:rsidRDefault="00A31137" w:rsidP="00A31137">
      <w:r w:rsidRPr="00A31137">
        <w:t>Declaration of San Jose, May 8, 1997, p.683</w:t>
      </w:r>
    </w:p>
    <w:p w:rsidR="00A31137" w:rsidRPr="00A31137" w:rsidRDefault="00A31137" w:rsidP="00A31137">
      <w:r w:rsidRPr="00A31137">
        <w:t>We resolve to intensify our national efforts and to increase bilateral, multilateral and regional cooperation to combat drug consumption, drug trafficking, money laundering and illegal drug activity in all its manifestations. We reaffirm our commitment to fight corruption through mutual cooperation and the strengthening of oversight institutions and we agree to seek ratification of the Organization of American States' Interamerican Convention Against Corruption. We instruct our Ministers responsible for public security and law enforcement, and other appropriate authorities, to work together to develop a plan of action this year to combat these threats to the welfare of our people.</w:t>
      </w:r>
    </w:p>
    <w:p w:rsidR="00A31137" w:rsidRPr="00A31137" w:rsidRDefault="00A31137" w:rsidP="00A31137">
      <w:r w:rsidRPr="00A31137">
        <w:t>Declaration of San Jose, May 8, 1997, p.683</w:t>
      </w:r>
    </w:p>
    <w:p w:rsidR="00A31137" w:rsidRPr="00A31137" w:rsidRDefault="00A31137" w:rsidP="00A31137">
      <w:r w:rsidRPr="00A31137">
        <w:t>The Presidents of the United States and the Dominican Republic, and the Prime Minister of Belize express their support for the progress achieved by the Central American Presidents in redefining regional security within a framework of the rule of law, the enhancement of democratic institutions by strengthening civilian authority, the limiting of the role of the armed forces and public security forces to their constitutional</w:t>
      </w:r>
    </w:p>
    <w:p w:rsidR="00A31137" w:rsidRPr="00A31137" w:rsidRDefault="00A31137" w:rsidP="00A31137">
      <w:r w:rsidRPr="00A31137">
        <w:t>Declaration of San Jose, May 8, 1997, p.683</w:t>
      </w:r>
    </w:p>
    <w:p w:rsidR="00A31137" w:rsidRPr="00A31137" w:rsidRDefault="00A31137" w:rsidP="00A31137">
      <w:r w:rsidRPr="00A31137">
        <w:t>mandates, and the fostering of a culture of peace, dialogue, understanding and tolerance based on common democratic values. The strong commitment to these principles serves as an important example to other parts of the world seeking transparency and mutual confidence in their relations.</w:t>
      </w:r>
    </w:p>
    <w:p w:rsidR="00A31137" w:rsidRPr="00A31137" w:rsidRDefault="00A31137" w:rsidP="00A31137">
      <w:r w:rsidRPr="00A31137">
        <w:t>Declaration of San Jose, May 8, 1997, p.683</w:t>
      </w:r>
    </w:p>
    <w:p w:rsidR="00A31137" w:rsidRPr="00A31137" w:rsidRDefault="00A31137" w:rsidP="00A31137">
      <w:r w:rsidRPr="00A31137">
        <w:t>Dialogue on Immigration and Illegal Migrant Trafficking</w:t>
      </w:r>
    </w:p>
    <w:p w:rsidR="00A31137" w:rsidRPr="00A31137" w:rsidRDefault="00A31137" w:rsidP="00A31137">
      <w:r w:rsidRPr="00A31137">
        <w:t>Declaration of San Jose, May 8, 1997, p.683</w:t>
      </w:r>
    </w:p>
    <w:p w:rsidR="00A31137" w:rsidRPr="00A31137" w:rsidRDefault="00A31137" w:rsidP="00A31137">
      <w:r w:rsidRPr="00A31137">
        <w:t>We are aware of the serious impact of new immigration provisions on groups that come from the region and who live and have roots in the United States. We therefore undertake to maintain an open, ongoing dialogue at the highest levels to find humane and adequate solutions to address the complexities of the immigration situation, and to ensure that each person's case is evaluated individually and fairly, taking into account his or her valuable contribution to the host country.</w:t>
      </w:r>
    </w:p>
    <w:p w:rsidR="00A31137" w:rsidRPr="00A31137" w:rsidRDefault="00A31137" w:rsidP="00A31137">
      <w:r w:rsidRPr="00A31137">
        <w:t>Declaration of San Jose, May 8, 1997, p.683</w:t>
      </w:r>
    </w:p>
    <w:p w:rsidR="00A31137" w:rsidRPr="00A31137" w:rsidRDefault="00A31137" w:rsidP="00A31137">
      <w:r w:rsidRPr="00A31137">
        <w:t>Having expressed their concerns to the President of the United States, the Presidents of Central America, the Dominican Republic and the Prime Minister of Belize welcome the United States Government's initiation of consultations with its Congress on the scope, implementation and consequences of the recent immigration legislation approved by the United States, and are confident that the dignity and human rights of the individuals it may affect will be fully respected.</w:t>
      </w:r>
    </w:p>
    <w:p w:rsidR="00A31137" w:rsidRPr="00A31137" w:rsidRDefault="00A31137" w:rsidP="00A31137">
      <w:r w:rsidRPr="00A31137">
        <w:t>Declaration of San Jose, May 8, 1997, p.683</w:t>
      </w:r>
    </w:p>
    <w:p w:rsidR="00A31137" w:rsidRPr="00A31137" w:rsidRDefault="00A31137" w:rsidP="00A31137">
      <w:r w:rsidRPr="00A31137">
        <w:t>We believe trafficking in migrants is an affront to human dignity and we are committed to increase cooperation to combat this degrading practice.</w:t>
      </w:r>
    </w:p>
    <w:p w:rsidR="00A31137" w:rsidRPr="00A31137" w:rsidRDefault="00A31137" w:rsidP="00A31137">
      <w:r w:rsidRPr="00A31137">
        <w:t>Declaration of San Jose, May 8, 1997, p.683</w:t>
      </w:r>
    </w:p>
    <w:p w:rsidR="00A31137" w:rsidRPr="00A31137" w:rsidRDefault="00A31137" w:rsidP="00A31137">
      <w:r w:rsidRPr="00A31137">
        <w:t>Promotion of Prosperity through Economic Integration, Free Trade and Investment</w:t>
      </w:r>
    </w:p>
    <w:p w:rsidR="00A31137" w:rsidRPr="00A31137" w:rsidRDefault="00A31137" w:rsidP="00A31137">
      <w:r w:rsidRPr="00A31137">
        <w:t>Declaration of San Jose, May 8, 1997, p.683</w:t>
      </w:r>
    </w:p>
    <w:p w:rsidR="00A31137" w:rsidRPr="00A31137" w:rsidRDefault="00A31137" w:rsidP="00A31137">
      <w:r w:rsidRPr="00A31137">
        <w:t>At the Summit of the Americas, we decided to move toward a hemisphere united through free trade by the year 2005. We reiterate our resolve to take all necessary actions to make this "spirit of Miami" a reality. With this in mind, we call for the commencement of negotiations at the Santiago Summit of the Americas that will lead to the establishment of the Free Trade Area of the Americas (FTAA). We reiterate our intention to work cooperatively throughout these negotiations.</w:t>
      </w:r>
    </w:p>
    <w:p w:rsidR="00A31137" w:rsidRPr="00A31137" w:rsidRDefault="00A31137" w:rsidP="00A31137">
      <w:r w:rsidRPr="00A31137">
        <w:t>Declaration of San Jose, May 8, 1997, p.683</w:t>
      </w:r>
    </w:p>
    <w:p w:rsidR="00A31137" w:rsidRPr="00A31137" w:rsidRDefault="00A31137" w:rsidP="00A31137">
      <w:r w:rsidRPr="00A31137">
        <w:t xml:space="preserve">The Presidents of Central America, the Dominican Republic and the Prime Minister of Belize welcome the decision of the Government of the United States to support the expeditious passage of a bill which enhances the benefits granted under the Caribbean Basin Initiative. We recognize that unilateral concessions have been of great importance in the initial phases of the process of economic liberalization. We now believe that it is necessary to move toward a commercial relationship which offers all parties mutually beneficial conditions. [p.684] </w:t>
      </w:r>
    </w:p>
    <w:p w:rsidR="00A31137" w:rsidRPr="00A31137" w:rsidRDefault="00A31137" w:rsidP="00A31137">
      <w:r w:rsidRPr="00A31137">
        <w:t>Declaration of San Jose, May 8, 1997, p.684</w:t>
      </w:r>
    </w:p>
    <w:p w:rsidR="00A31137" w:rsidRPr="00A31137" w:rsidRDefault="00A31137" w:rsidP="00A31137">
      <w:r w:rsidRPr="00A31137">
        <w:t>We are convinced that to promote and maintain democratic stability and to contribute to our joint prosperity it is necessary to have sound and dynamic economies. With this in mind and recognizing the advances that Central America has made in economic liberalization, we have resolved to deepen our economic and commercial relations. We will work jointly and expeditiously, consistent with the World Trade Organization  (WTO) agreements and the FTAA process, to identify specific steps, including bilateral, multilateral and regional reciprocal trade agreements, that will intensify the economic relationships among our nations. To achieve these common trade objectives, we instruct our Ministers of Trade to constitute themselves as a Trade and Investment Council with a mandate to make specific recommendations. In support of these goals, our governments will continue efforts to conclude bilateral investment treaties and intellectual property rights agreements. In addition, under the aegis of the WTO, we will seek to liberalize our telecommunications, information technology and financial services sectors.</w:t>
      </w:r>
    </w:p>
    <w:p w:rsidR="00A31137" w:rsidRPr="00A31137" w:rsidRDefault="00A31137" w:rsidP="00A31137">
      <w:r w:rsidRPr="00A31137">
        <w:t>Declaration of San Jose, May 8, 1997, p.684</w:t>
      </w:r>
    </w:p>
    <w:p w:rsidR="00A31137" w:rsidRPr="00A31137" w:rsidRDefault="00A31137" w:rsidP="00A31137">
      <w:r w:rsidRPr="00A31137">
        <w:t>The signing of Open Skies Agreements between the United States and Costa Rica, El Salvador, Guatemala, Honduras and Nicaragua during our meeting in San Jose is a significant manifestation of this commitment and these agreements will serve to enhance our commercial relations and tourism among our people and productive sectors. In this regard, it is necessary to undertake additional actions that will strengthen and broaden technical cooperation in aviation matters.</w:t>
      </w:r>
    </w:p>
    <w:p w:rsidR="00A31137" w:rsidRPr="00A31137" w:rsidRDefault="00A31137" w:rsidP="00A31137">
      <w:r w:rsidRPr="00A31137">
        <w:t>Declaration of San Jose, May 8, 1997, p.684</w:t>
      </w:r>
    </w:p>
    <w:p w:rsidR="00A31137" w:rsidRPr="00A31137" w:rsidRDefault="00A31137" w:rsidP="00A31137">
      <w:r w:rsidRPr="00A31137">
        <w:t>We underscore the importance of free market economies and private sector initiatives as a source of prosperity for our people and we reaffirm our goal of promoting business events and other complementary activities that expand trade and investment relations between the private sectors of our countries.</w:t>
      </w:r>
    </w:p>
    <w:p w:rsidR="00A31137" w:rsidRPr="00A31137" w:rsidRDefault="00A31137" w:rsidP="00A31137">
      <w:r w:rsidRPr="00A31137">
        <w:t>Declaration of San Jose, May 8, 1997, p.684</w:t>
      </w:r>
    </w:p>
    <w:p w:rsidR="00A31137" w:rsidRPr="00A31137" w:rsidRDefault="00A31137" w:rsidP="00A31137">
      <w:r w:rsidRPr="00A31137">
        <w:t>We recognize that there are important challenges in this process that we must face to maintain suitable conditions for our economic and social growth, taking into account the particular circumstances of each country. Among these challenges are the need to maintain open markets for trade and investment, to ensure the participation of all our people in the benefits of economic growth, and to maintain a stable macroeconomy and financial system. Within the framework of a market economy, the use of debt can supplement scarce domestic savings and support high rates of investment and growth. With this in mind, we declare our intention to utilize more fully modalities that allow for better management of debt burdens and the cost of external debt.</w:t>
      </w:r>
    </w:p>
    <w:p w:rsidR="00A31137" w:rsidRPr="00A31137" w:rsidRDefault="00A31137" w:rsidP="00A31137">
      <w:r w:rsidRPr="00A31137">
        <w:t>Declaration of San Jose, May 8, 1997, p.684</w:t>
      </w:r>
    </w:p>
    <w:p w:rsidR="00A31137" w:rsidRPr="00A31137" w:rsidRDefault="00A31137" w:rsidP="00A31137">
      <w:r w:rsidRPr="00A31137">
        <w:t>Continued Development of Just and Equitable Societies that Provide Opportunities for All People</w:t>
      </w:r>
    </w:p>
    <w:p w:rsidR="00A31137" w:rsidRPr="00A31137" w:rsidRDefault="00A31137" w:rsidP="00A31137">
      <w:r w:rsidRPr="00A31137">
        <w:t>Declaration of San Jose, May 8, 1997, p.684</w:t>
      </w:r>
    </w:p>
    <w:p w:rsidR="00A31137" w:rsidRPr="00A31137" w:rsidRDefault="00A31137" w:rsidP="00A31137">
      <w:r w:rsidRPr="00A31137">
        <w:t>We express our determination to continue making necessary social investments in order to improve the quality of life in our countries. We are convinced that the training of our labor forces, combined with access to health, education and basic housing services improves the well-being of our societies, while at the same time increasing the productivity and competitiveness of our economies. We are committed to share ideas, human resources and programs within mutually agreed guidelines to promote development and democracy.</w:t>
      </w:r>
    </w:p>
    <w:p w:rsidR="00A31137" w:rsidRPr="00A31137" w:rsidRDefault="00A31137" w:rsidP="00A31137">
      <w:r w:rsidRPr="00A31137">
        <w:t>Declaration of San Jose, May 8, 1997, p.684</w:t>
      </w:r>
    </w:p>
    <w:p w:rsidR="00A31137" w:rsidRPr="00A31137" w:rsidRDefault="00A31137" w:rsidP="00A31137">
      <w:r w:rsidRPr="00A31137">
        <w:t>We underscore the importance of placing greater emphasis on the full participation of women in all political, social and economic spheres of development, especially in areas such as access to credit, community organization, and in the commercial sector and decision-making bodies.</w:t>
      </w:r>
    </w:p>
    <w:p w:rsidR="00A31137" w:rsidRPr="00A31137" w:rsidRDefault="00A31137" w:rsidP="00A31137">
      <w:r w:rsidRPr="00A31137">
        <w:t>Declaration of San Jose, May 8, 1997, p.684</w:t>
      </w:r>
    </w:p>
    <w:p w:rsidR="00A31137" w:rsidRPr="00A31137" w:rsidRDefault="00A31137" w:rsidP="00A31137">
      <w:r w:rsidRPr="00A31137">
        <w:t>We reaffirm our commitment to human rights as stipulated in the Universal Declaration and to international and interamerican human rights instruments, to which we are parties, respectively. In particular, we recognize the importance of economic, social and cultural rights, and within these we underscore the rights of workers, and reaffirm our commitment to ensure compliance with the Constitution and Conventions of the International Labor Organization, as respectively ratified by our governments. We welcome the input of the labor sector in the hemispheric economic integration process.</w:t>
      </w:r>
    </w:p>
    <w:p w:rsidR="00A31137" w:rsidRPr="00A31137" w:rsidRDefault="00A31137" w:rsidP="00A31137">
      <w:r w:rsidRPr="00A31137">
        <w:t>Declaration of San Jose, May 8, 1997, p.684</w:t>
      </w:r>
    </w:p>
    <w:p w:rsidR="00A31137" w:rsidRPr="00A31137" w:rsidRDefault="00A31137" w:rsidP="00A31137">
      <w:r w:rsidRPr="00A31137">
        <w:t>We recognize the efforts by interested parties such as employers and workers organizations to work together to promote respect for workers rights and enhance working con [p.685] ditions. We have asked our Labor Ministers to meet to exchange ideas with interested parties on this issue.</w:t>
      </w:r>
    </w:p>
    <w:p w:rsidR="00A31137" w:rsidRPr="00A31137" w:rsidRDefault="00A31137" w:rsidP="00A31137">
      <w:r w:rsidRPr="00A31137">
        <w:t>Declaration of San Jose, May 8, 1997, p.685</w:t>
      </w:r>
    </w:p>
    <w:p w:rsidR="00A31137" w:rsidRPr="00A31137" w:rsidRDefault="00A31137" w:rsidP="00A31137">
      <w:r w:rsidRPr="00A31137">
        <w:t>The Presidents of Central America and the Dominican Republic and the Prime Minister of Belize note with interest the recent announcement by the President of the United States of the Apparel Industry Partnership.</w:t>
      </w:r>
    </w:p>
    <w:p w:rsidR="00A31137" w:rsidRPr="00A31137" w:rsidRDefault="00A31137" w:rsidP="00A31137">
      <w:r w:rsidRPr="00A31137">
        <w:t>Declaration of San Jose, May 8, 1997, p.685</w:t>
      </w:r>
    </w:p>
    <w:p w:rsidR="00A31137" w:rsidRPr="00A31137" w:rsidRDefault="00A31137" w:rsidP="00A31137">
      <w:r w:rsidRPr="00A31137">
        <w:t>We agree that micro-, small- and medium-sized businesses are important for the social development of our countries. These entrepreneurial undertakings make it possible for a wide range of social sectors to expand productively and make a decisive contribution to the democratization of capital and the equitable distribution of wealth. We will broaden our efforts to promote such businesses and to increase their capabilities. We also request that the Interamerican Development Bank, the World Bank and other institutions and donors continue and strengthen their support of these activities.</w:t>
      </w:r>
    </w:p>
    <w:p w:rsidR="00A31137" w:rsidRPr="00A31137" w:rsidRDefault="00A31137" w:rsidP="00A31137">
      <w:r w:rsidRPr="00A31137">
        <w:t>Declaration of San Jose, May 8, 1997, p.685</w:t>
      </w:r>
    </w:p>
    <w:p w:rsidR="00A31137" w:rsidRPr="00A31137" w:rsidRDefault="00A31137" w:rsidP="00A31137">
      <w:r w:rsidRPr="00A31137">
        <w:t>The Development of Responsible Environmental Policies as an Integral Element of Sustainable Development</w:t>
      </w:r>
    </w:p>
    <w:p w:rsidR="00A31137" w:rsidRPr="00A31137" w:rsidRDefault="00A31137" w:rsidP="00A31137">
      <w:r w:rsidRPr="00A31137">
        <w:t>Declaration of San Jose, May 8, 1997, p.685</w:t>
      </w:r>
    </w:p>
    <w:p w:rsidR="00A31137" w:rsidRPr="00A31137" w:rsidRDefault="00A31137" w:rsidP="00A31137">
      <w:r w:rsidRPr="00A31137">
        <w:t>We renew our commitment to the promotion of the environmental principles and objectives of the Alliance for Sustainable Development, which inspired the signing of the Joint Central American-United States Declaration (CONCAUSA) and influenced the Conference on Sustainable Development in Santa Cruz de la Sierra. Within this framework, we recognize the goals we have reached, the support we have received and are in agreement on the need to expand cooperation to new areas of action.</w:t>
      </w:r>
    </w:p>
    <w:p w:rsidR="00A31137" w:rsidRPr="00A31137" w:rsidRDefault="00A31137" w:rsidP="00A31137">
      <w:r w:rsidRPr="00A31137">
        <w:t>Declaration of San Jose, May 8, 1997, p.685</w:t>
      </w:r>
    </w:p>
    <w:p w:rsidR="00A31137" w:rsidRPr="00A31137" w:rsidRDefault="00A31137" w:rsidP="00A31137">
      <w:r w:rsidRPr="00A31137">
        <w:t>We recognize the leadership of Central America in the protection of the environment and the preservation of biodiversity, in particular, the recovery and beneficial use of ancestral knowledge from our indigenous cultures, as well as innovative use of public-private sector joint ventures. In this context, we will renew our efforts to protect endangered species and make sustainable use of flora and fauna.</w:t>
      </w:r>
    </w:p>
    <w:p w:rsidR="00A31137" w:rsidRPr="00A31137" w:rsidRDefault="00A31137" w:rsidP="00A31137">
      <w:r w:rsidRPr="00A31137">
        <w:t>Declaration of San Jose, May 8, 1997, p.685</w:t>
      </w:r>
    </w:p>
    <w:p w:rsidR="00A31137" w:rsidRPr="00A31137" w:rsidRDefault="00A31137" w:rsidP="00A31137">
      <w:r w:rsidRPr="00A31137">
        <w:t>We note actions already underway in Central America in the area of climate change, especially those which include the participation of our private sectors and will grant credit for Joint Implementation projects and other initiatives to limit and reduce greenhouse gas emissions. In this regard, we urge the parties to the UN Framework Convention on Climate Change to make a determined effort to address these issues during the Third Conference.</w:t>
      </w:r>
    </w:p>
    <w:p w:rsidR="00A31137" w:rsidRPr="00A31137" w:rsidRDefault="00A31137" w:rsidP="00A31137">
      <w:r w:rsidRPr="00A31137">
        <w:t>Declaration of San Jose, May 8, 1997, p.685</w:t>
      </w:r>
    </w:p>
    <w:p w:rsidR="00A31137" w:rsidRPr="00A31137" w:rsidRDefault="00A31137" w:rsidP="00A31137">
      <w:r w:rsidRPr="00A31137">
        <w:t>In this spirit, we resolve to support the promotion of investment in environmental projects such as ecotourism, the development of renewable energy sources, recycling, the transfer of clean technologies on terms mutually agreed by all parties, and trade in organic products, among others. In particular, we highlight the importance of our joint efforts in the sustainable generation and use of energy in projects which, by combining our efforts with those of other nations, allow for taking greater advantage of our resources while at the same time fostering regional integration.</w:t>
      </w:r>
    </w:p>
    <w:p w:rsidR="00A31137" w:rsidRPr="00A31137" w:rsidRDefault="00A31137" w:rsidP="00A31137">
      <w:r w:rsidRPr="00A31137">
        <w:t>Declaration of San Jose, May 8, 1997, p.685</w:t>
      </w:r>
    </w:p>
    <w:p w:rsidR="00A31137" w:rsidRPr="00A31137" w:rsidRDefault="00A31137" w:rsidP="00A31137">
      <w:r w:rsidRPr="00A31137">
        <w:t>Follow-Up Mechanisms</w:t>
      </w:r>
    </w:p>
    <w:p w:rsidR="00A31137" w:rsidRPr="00A31137" w:rsidRDefault="00A31137" w:rsidP="00A31137">
      <w:r w:rsidRPr="00A31137">
        <w:t>Declaration of San Jose, May 8, 1997, p.685</w:t>
      </w:r>
    </w:p>
    <w:p w:rsidR="00A31137" w:rsidRPr="00A31137" w:rsidRDefault="00A31137" w:rsidP="00A31137">
      <w:r w:rsidRPr="00A31137">
        <w:t>In order to strengthen our relations as friends, neighbors and partners and to ensure an increasing and effective level of communication, coordination and follow-up among our governments, we have resolved to establish a consultative mechanism which will include periodic meetings at the highest level; an actual meeting of our Foreign Ministers, who will meet next during the October 1997 regular session of the United Nations General Assembly; a ministerial-level Trade and Investment Council, which will hold its inaugural session in Washington, D.C.; and an ongoing dialogue on immigration issues at the highest level.</w:t>
      </w:r>
    </w:p>
    <w:p w:rsidR="00A31137" w:rsidRPr="00A31137" w:rsidRDefault="00A31137" w:rsidP="00A31137">
      <w:r w:rsidRPr="00A31137">
        <w:t>Declaration of San Jose, May 8, 1997, p.685</w:t>
      </w:r>
    </w:p>
    <w:p w:rsidR="00A31137" w:rsidRPr="00A31137" w:rsidRDefault="00A31137" w:rsidP="00A31137">
      <w:r w:rsidRPr="00A31137">
        <w:t xml:space="preserve">In addition, our Ministers responsible for public security and law enforcement and our Ministers of Labor will convene meetings in their respective areas this year. [p.686] </w:t>
      </w:r>
    </w:p>
    <w:p w:rsidR="00A31137" w:rsidRPr="00A31137" w:rsidRDefault="00A31137" w:rsidP="00A31137">
      <w:r w:rsidRPr="00A31137">
        <w:t>Declaration of San Jose, May 8, 1997, p.686</w:t>
      </w:r>
    </w:p>
    <w:p w:rsidR="00A31137" w:rsidRPr="00A31137" w:rsidRDefault="00A31137" w:rsidP="00A31137">
      <w:r w:rsidRPr="00A31137">
        <w:t>Jose Maria Figueres Olsen</w:t>
      </w:r>
      <w:r w:rsidRPr="00A31137">
        <w:tab/>
        <w:t>Armando Calderon Sol</w:t>
      </w:r>
    </w:p>
    <w:p w:rsidR="00A31137" w:rsidRPr="00A31137" w:rsidRDefault="00A31137" w:rsidP="00A31137">
      <w:r w:rsidRPr="00A31137">
        <w:t>President</w:t>
      </w:r>
      <w:r w:rsidRPr="00A31137">
        <w:tab/>
        <w:t>President</w:t>
      </w:r>
    </w:p>
    <w:p w:rsidR="00A31137" w:rsidRPr="00A31137" w:rsidRDefault="00A31137" w:rsidP="00A31137">
      <w:r w:rsidRPr="00A31137">
        <w:t>Republic of Costa Rica</w:t>
      </w:r>
      <w:r w:rsidRPr="00A31137">
        <w:tab/>
        <w:t>Republic of El Salvador</w:t>
      </w:r>
    </w:p>
    <w:p w:rsidR="00A31137" w:rsidRPr="00A31137" w:rsidRDefault="00A31137" w:rsidP="00A31137">
      <w:r w:rsidRPr="00A31137">
        <w:t>Declaration of San Jose, May 8, 1997, p.686</w:t>
      </w:r>
    </w:p>
    <w:p w:rsidR="00A31137" w:rsidRPr="00A31137" w:rsidRDefault="00A31137" w:rsidP="00A31137">
      <w:r w:rsidRPr="00A31137">
        <w:t>William J. Clinton</w:t>
      </w:r>
      <w:r w:rsidRPr="00A31137">
        <w:tab/>
        <w:t>Alvaro Arzu Irigoyen</w:t>
      </w:r>
    </w:p>
    <w:p w:rsidR="00A31137" w:rsidRPr="00A31137" w:rsidRDefault="00A31137" w:rsidP="00A31137">
      <w:r w:rsidRPr="00A31137">
        <w:t>President</w:t>
      </w:r>
      <w:r w:rsidRPr="00A31137">
        <w:tab/>
        <w:t>President</w:t>
      </w:r>
    </w:p>
    <w:p w:rsidR="00A31137" w:rsidRPr="00A31137" w:rsidRDefault="00A31137" w:rsidP="00A31137">
      <w:r w:rsidRPr="00A31137">
        <w:t>The United States of America</w:t>
      </w:r>
      <w:r w:rsidRPr="00A31137">
        <w:tab/>
        <w:t>Republic of Guatemala</w:t>
      </w:r>
    </w:p>
    <w:p w:rsidR="00A31137" w:rsidRPr="00A31137" w:rsidRDefault="00A31137" w:rsidP="00A31137">
      <w:r w:rsidRPr="00A31137">
        <w:t>Declaration of San Jose, May 8, 1997, p.686</w:t>
      </w:r>
    </w:p>
    <w:p w:rsidR="00A31137" w:rsidRPr="00A31137" w:rsidRDefault="00A31137" w:rsidP="00A31137">
      <w:r w:rsidRPr="00A31137">
        <w:t>Carlos Roberto Reina Idiaquez</w:t>
      </w:r>
      <w:r w:rsidRPr="00A31137">
        <w:tab/>
        <w:t>Arnoldo Aleman Lacayo</w:t>
      </w:r>
    </w:p>
    <w:p w:rsidR="00A31137" w:rsidRPr="00A31137" w:rsidRDefault="00A31137" w:rsidP="00A31137">
      <w:r w:rsidRPr="00A31137">
        <w:t>President</w:t>
      </w:r>
      <w:r w:rsidRPr="00A31137">
        <w:tab/>
        <w:t>President</w:t>
      </w:r>
    </w:p>
    <w:p w:rsidR="00A31137" w:rsidRPr="00A31137" w:rsidRDefault="00A31137" w:rsidP="00A31137">
      <w:r w:rsidRPr="00A31137">
        <w:t>Republic of Honduras</w:t>
      </w:r>
      <w:r w:rsidRPr="00A31137">
        <w:tab/>
        <w:t>Republic of Nicaragua</w:t>
      </w:r>
    </w:p>
    <w:p w:rsidR="00A31137" w:rsidRPr="00A31137" w:rsidRDefault="00A31137" w:rsidP="00A31137">
      <w:r w:rsidRPr="00A31137">
        <w:t>Declaration of San Jose, May 8, 1997, p.686</w:t>
      </w:r>
    </w:p>
    <w:p w:rsidR="00A31137" w:rsidRPr="00A31137" w:rsidRDefault="00A31137" w:rsidP="00A31137">
      <w:r w:rsidRPr="00A31137">
        <w:t>Leonel Fernandez Reyna</w:t>
      </w:r>
      <w:r w:rsidRPr="00A31137">
        <w:tab/>
        <w:t>Manuel Esquivel</w:t>
      </w:r>
    </w:p>
    <w:p w:rsidR="00A31137" w:rsidRPr="00A31137" w:rsidRDefault="00A31137" w:rsidP="00A31137">
      <w:r w:rsidRPr="00A31137">
        <w:t>President</w:t>
      </w:r>
      <w:r w:rsidRPr="00A31137">
        <w:tab/>
        <w:t>Prime Minister</w:t>
      </w:r>
    </w:p>
    <w:p w:rsidR="00A31137" w:rsidRPr="00A31137" w:rsidRDefault="00A31137" w:rsidP="00A31137">
      <w:r w:rsidRPr="00A31137">
        <w:t>Dominican Republic</w:t>
      </w:r>
      <w:r w:rsidRPr="00A31137">
        <w:tab/>
        <w:t>Belize</w:t>
      </w:r>
    </w:p>
    <w:p w:rsidR="00A31137" w:rsidRPr="00A31137" w:rsidRDefault="00A31137" w:rsidP="00A31137">
      <w:r w:rsidRPr="00A31137">
        <w:t>Declaration of San Jose, May 8, 1997, p.686</w:t>
      </w:r>
    </w:p>
    <w:p w:rsidR="00A31137" w:rsidRPr="00A31137" w:rsidRDefault="00A31137" w:rsidP="00A31137">
      <w:r w:rsidRPr="00A31137">
        <w:t>Note: An original was not available for verification of the content of this joint statement.</w:t>
      </w:r>
    </w:p>
    <w:p w:rsidR="00A31137" w:rsidRPr="00A31137" w:rsidRDefault="00A31137" w:rsidP="00A31137">
      <w:r w:rsidRPr="00A31137">
        <w:t>Clinton's Statement on Signing the Balanced Budget Act of 1997</w:t>
      </w:r>
    </w:p>
    <w:p w:rsidR="00A31137" w:rsidRPr="00A31137" w:rsidRDefault="00A31137" w:rsidP="00A31137">
      <w:r w:rsidRPr="00A31137">
        <w:t>Title:</w:t>
      </w:r>
      <w:r w:rsidRPr="00A31137">
        <w:tab/>
        <w:t>Clinton's Statement on Signing the Balanced Budget Act of 1997</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August 5, 1997</w:t>
      </w:r>
    </w:p>
    <w:p w:rsidR="00A31137" w:rsidRPr="00A31137" w:rsidRDefault="00A31137" w:rsidP="00A31137">
      <w:r w:rsidRPr="00A31137">
        <w:t>Source:</w:t>
      </w:r>
      <w:r w:rsidRPr="00A31137">
        <w:tab/>
        <w:t>Weekly Compilation of Presidential Documents, 1997, pp.1190-1192</w:t>
      </w:r>
    </w:p>
    <w:p w:rsidR="00A31137" w:rsidRPr="00A31137" w:rsidRDefault="00A31137" w:rsidP="00A31137">
      <w:r w:rsidRPr="00A31137">
        <w:t>Clinton, Balanced Budget Act of 1997, Aug. 5, 1997, p.1190</w:t>
      </w:r>
    </w:p>
    <w:p w:rsidR="00A31137" w:rsidRPr="00A31137" w:rsidRDefault="00A31137" w:rsidP="00A31137">
      <w:r w:rsidRPr="00A31137">
        <w:t>It is with great pleasure that I have signed into law today H.R. 2015, the "Balanced Budget Act of 1997." This Act, together with the tax cut legislation that I have also signed today, implements an historic agreement that will benefit generations of Americans.</w:t>
      </w:r>
    </w:p>
    <w:p w:rsidR="00A31137" w:rsidRPr="00A31137" w:rsidRDefault="00A31137" w:rsidP="00A31137">
      <w:r w:rsidRPr="00A31137">
        <w:t>Clinton, Balanced Budget Act of 1997, Aug. 5, 1997, p.1190</w:t>
      </w:r>
    </w:p>
    <w:p w:rsidR="00A31137" w:rsidRPr="00A31137" w:rsidRDefault="00A31137" w:rsidP="00A31137">
      <w:r w:rsidRPr="00A31137">
        <w:t>These bills will balance the budget in a way that honors our values, invests in our people, and cuts taxes for middle-class families. They are a victory for all parents who want a good education for their children and for all families working to build a secure future. This package is the best investment we can make in America's future, and it prepares our Nation for the 21st century. After decades of deficits, we have put America's fiscal house in order again.</w:t>
      </w:r>
    </w:p>
    <w:p w:rsidR="00A31137" w:rsidRPr="00A31137" w:rsidRDefault="00A31137" w:rsidP="00A31137">
      <w:r w:rsidRPr="00A31137">
        <w:t>Clinton, Balanced Budget Act of 1997, Aug. 5, 1997, p.1190</w:t>
      </w:r>
    </w:p>
    <w:p w:rsidR="00A31137" w:rsidRPr="00A31137" w:rsidRDefault="00A31137" w:rsidP="00A31137">
      <w:r w:rsidRPr="00A31137">
        <w:t>The Balanced Budget Act of 1997 is a balanced package of spending provisions that includes targeted program cuts while it invests in America's future. It includes the following noteworthy features.</w:t>
      </w:r>
    </w:p>
    <w:p w:rsidR="00A31137" w:rsidRPr="00A31137" w:rsidRDefault="00A31137" w:rsidP="00A31137">
      <w:r w:rsidRPr="00A31137">
        <w:t>Clinton, Balanced Budget Act of 1997, Aug. 5, 1997, p.1190</w:t>
      </w:r>
    </w:p>
    <w:p w:rsidR="00A31137" w:rsidRPr="00A31137" w:rsidRDefault="00A31137" w:rsidP="00A31137">
      <w:r w:rsidRPr="00A31137">
        <w:t>First, it strengthens our families by extending health insurance coverage to up to 5 million children. By investing $24 billion, we will be able to provide quality medical care for these children—everything from regular check-ups to major surgery. I want every child in America to grow up healthy and strong, and this investment takes a major step toward that goal. I am also pleased that the Congress agreed to pay for this investment in our Nation's children in part with a 15-cents-a-pack tax increase on cigarettes. Not only will this new revenue help to pay for health care, it will help prevent children from taking up smoking in the first place.</w:t>
      </w:r>
    </w:p>
    <w:p w:rsidR="00A31137" w:rsidRPr="00A31137" w:rsidRDefault="00A31137" w:rsidP="00A31137">
      <w:r w:rsidRPr="00A31137">
        <w:t>Clinton, Balanced Budget Act of 1997, Aug. 5, 1997, p.1190</w:t>
      </w:r>
    </w:p>
    <w:p w:rsidR="00A31137" w:rsidRPr="00A31137" w:rsidRDefault="00A31137" w:rsidP="00A31137">
      <w:r w:rsidRPr="00A31137">
        <w:t>Second, the bill helps finish the job of welfare reform, providing $3 billion to move welfare [p.1191] recipients to private sector jobs and $1.5 billion in Food Stamp assistance for people who want to work, but cannot find a job. In addition, it keeps my promise to provide $12 billion to restore disability and health benefits for 350,000 legal immigrants.</w:t>
      </w:r>
    </w:p>
    <w:p w:rsidR="00A31137" w:rsidRPr="00A31137" w:rsidRDefault="00A31137" w:rsidP="00A31137">
      <w:r w:rsidRPr="00A31137">
        <w:t>Clinton, Balanced Budget Act of 1997, Aug. 5, 1997, p.1191</w:t>
      </w:r>
    </w:p>
    <w:p w:rsidR="00A31137" w:rsidRPr="00A31137" w:rsidRDefault="00A31137" w:rsidP="00A31137">
      <w:r w:rsidRPr="00A31137">
        <w:t>Third, H.R. 2015 honors our commitment to our parents by extending the life of the Medicare Trust Fund for a decade. It also provides structural reforms that will give Medicare beneficiaries more informed choices among competing health plans, authorizes a number of new anti-fraud provisions, and establishes a wide array of new preventative benefits.</w:t>
      </w:r>
    </w:p>
    <w:p w:rsidR="00A31137" w:rsidRPr="00A31137" w:rsidRDefault="00A31137" w:rsidP="00A31137">
      <w:r w:rsidRPr="00A31137">
        <w:t>Clinton, Balanced Budget Act of 1997, Aug. 5, 1997, p.1191</w:t>
      </w:r>
    </w:p>
    <w:p w:rsidR="00A31137" w:rsidRPr="00A31137" w:rsidRDefault="00A31137" w:rsidP="00A31137">
      <w:r w:rsidRPr="00A31137">
        <w:t>The bill includes proposals to revitalize the District of Columbia. It includes my proposals to assume financial and administrative responsibility for certain District pension plans and to increase the Federal contribution to the District's Medicaid program. The revitalization measures will benefit the city and the region by reducing the city's financial burdens and improving the delivery of city services. The Federal assumption of these State-like responsibilities will enable the District Government to focus more intensively on local issues, such as education and law enforcement.</w:t>
      </w:r>
    </w:p>
    <w:p w:rsidR="00A31137" w:rsidRPr="00A31137" w:rsidRDefault="00A31137" w:rsidP="00A31137">
      <w:r w:rsidRPr="00A31137">
        <w:t>Clinton, Balanced Budget Act of 1997, Aug. 5, 1997, p.1191</w:t>
      </w:r>
    </w:p>
    <w:p w:rsidR="00A31137" w:rsidRPr="00A31137" w:rsidRDefault="00A31137" w:rsidP="00A31137">
      <w:r w:rsidRPr="00A31137">
        <w:t>The bill also establishes a sentencing commission made up of District and Federal representatives charged with developing a Truth-in-Sentencing system. The bill also provides for the Federal Government to assume the costs and responsibilities of the District of Columbia's courts, public defender, and pretrial services systems as well as for felony offender incarceration, supervision, and parole. This assistance will strengthen the District's criminal justice system and improve public safety. Unfortunately, the Act fails to guarantee that the Justice Department's Bureau of Prisons will have the time, management flexibility, and resources needed to achieve a safe transition of responsibility for District of Columbia inmates. I look forward to working with the Congress to rectify these problems.</w:t>
      </w:r>
    </w:p>
    <w:p w:rsidR="00A31137" w:rsidRPr="00A31137" w:rsidRDefault="00A31137" w:rsidP="00A31137">
      <w:r w:rsidRPr="00A31137">
        <w:t>Clinton, Balanced Budget Act of 1997, Aug. 5, 1997, p.1191</w:t>
      </w:r>
    </w:p>
    <w:p w:rsidR="00A31137" w:rsidRPr="00A31137" w:rsidRDefault="00A31137" w:rsidP="00A31137">
      <w:r w:rsidRPr="00A31137">
        <w:t>I am also pleased that the bill responds in part to my proposal to narrow the gap between the treatment of insular areas and States with respect to Medicaid payments, and I look forward to working with the Congress to provide more equitable funding for children's health care in the insular areas.</w:t>
      </w:r>
    </w:p>
    <w:p w:rsidR="00A31137" w:rsidRPr="00A31137" w:rsidRDefault="00A31137" w:rsidP="00A31137">
      <w:r w:rsidRPr="00A31137">
        <w:t>Clinton, Balanced Budget Act of 1997, Aug. 5, 1997, p.1191</w:t>
      </w:r>
    </w:p>
    <w:p w:rsidR="00A31137" w:rsidRPr="00A31137" w:rsidRDefault="00A31137" w:rsidP="00A31137">
      <w:r w:rsidRPr="00A31137">
        <w:t>The Department of Justice has identified a number of Establishment Clause constitutional concerns with respect to section 4454 of H.R. 2015, entitled "Coverage of Services in Religious Nonmedical Health Care Institutions Under the Medicare and Medicaid Programs," and with respect to section 4001, concerning the Medicare Plus program and treatment of religious fraternal benefit society plans. The Department of Health and Human Services will consult with the Department of Justice regarding how best to address these concerns.</w:t>
      </w:r>
    </w:p>
    <w:p w:rsidR="00A31137" w:rsidRPr="00A31137" w:rsidRDefault="00A31137" w:rsidP="00A31137">
      <w:r w:rsidRPr="00A31137">
        <w:t>Clinton, Balanced Budget Act of 1997, Aug. 5, 1997, p.1191</w:t>
      </w:r>
    </w:p>
    <w:p w:rsidR="00A31137" w:rsidRPr="00A31137" w:rsidRDefault="00A31137" w:rsidP="00A31137">
      <w:r w:rsidRPr="00A31137">
        <w:t>Section 4422 of the bill purports to require the Secretary of Health and Human Services, to develop a legislative proposal for establishing a case-mix adjusted prospective payment system for payment of long-term care hospitals under the Medicare program. I will construe this provision in light of my constitutional duty and authority to recommend to the Congress such legislative measures as I judge necessary and expedient, and to supervise and guide my subordinates, including the review of their proposed communications to the Congress.</w:t>
      </w:r>
    </w:p>
    <w:p w:rsidR="00A31137" w:rsidRPr="00A31137" w:rsidRDefault="00A31137" w:rsidP="00A31137">
      <w:r w:rsidRPr="00A31137">
        <w:t>Clinton, Balanced Budget Act of 1997, Aug. 5, 1997, p.1191</w:t>
      </w:r>
    </w:p>
    <w:p w:rsidR="00A31137" w:rsidRPr="00A31137" w:rsidRDefault="00A31137" w:rsidP="00A31137">
      <w:r w:rsidRPr="00A31137">
        <w:t>The bill also broadens and extends the Federal Communications Commission's authority to auction the right to use the radio and television spectrum. This authority has been a successful means of streamlining the spectrum licensing process and for facilitating the deployment of new and innovative information technologies into the market place. I remain concerned, however, about the lack of a firm date for the termination of analog broadcasting, which made it necessary to find alternative and troubling savings from the universal service fund. I am also concerned about the waiver of media concentration rules.</w:t>
      </w:r>
    </w:p>
    <w:p w:rsidR="00A31137" w:rsidRPr="00A31137" w:rsidRDefault="00A31137" w:rsidP="00A31137">
      <w:r w:rsidRPr="00A31137">
        <w:t>Clinton, Balanced Budget Act of 1997, Aug. 5, 1997, p.1191</w:t>
      </w:r>
    </w:p>
    <w:p w:rsidR="00A31137" w:rsidRPr="00A31137" w:rsidRDefault="00A31137" w:rsidP="00A31137">
      <w:r w:rsidRPr="00A31137">
        <w:t>This legislation represents an historic compromise. Together with its companion tax cut legislation, H.R. 2015 is a monument to the progress that people of goodwill can make when they put aside partisan interests to work together for the common good and our common future. It reflects the values and aspirations of all Americans.</w:t>
      </w:r>
    </w:p>
    <w:p w:rsidR="00A31137" w:rsidRPr="00A31137" w:rsidRDefault="00A31137" w:rsidP="00A31137">
      <w:r w:rsidRPr="00A31137">
        <w:t>Clinton, Balanced Budget Act of 1997, Aug. 5, 1997, p.1191</w:t>
      </w:r>
    </w:p>
    <w:p w:rsidR="00A31137" w:rsidRPr="00A31137" w:rsidRDefault="00A31137" w:rsidP="00A31137">
      <w:r w:rsidRPr="00A31137">
        <w:t>This summer, we had an historic opportunity to strengthen America for the 21st [p.1192] century—and we have seized it. Now our Nation can move forward stronger, more vibrant, and more united than ever. For that, I am profoundly grateful.</w:t>
      </w:r>
    </w:p>
    <w:p w:rsidR="00A31137" w:rsidRPr="00A31137" w:rsidRDefault="00A31137" w:rsidP="00A31137">
      <w:r w:rsidRPr="00A31137">
        <w:t>Clinton, Balanced Budget Act of 1997, Aug. 5, 1997, p.1192</w:t>
      </w:r>
    </w:p>
    <w:p w:rsidR="00A31137" w:rsidRPr="00A31137" w:rsidRDefault="00A31137" w:rsidP="00A31137">
      <w:r w:rsidRPr="00A31137">
        <w:t>William J. Clinton</w:t>
      </w:r>
    </w:p>
    <w:p w:rsidR="00A31137" w:rsidRPr="00A31137" w:rsidRDefault="00A31137" w:rsidP="00A31137">
      <w:r w:rsidRPr="00A31137">
        <w:t>The White House,</w:t>
      </w:r>
    </w:p>
    <w:p w:rsidR="00A31137" w:rsidRPr="00A31137" w:rsidRDefault="00A31137" w:rsidP="00A31137">
      <w:r w:rsidRPr="00A31137">
        <w:t>August 5, 1997.</w:t>
      </w:r>
    </w:p>
    <w:p w:rsidR="00A31137" w:rsidRPr="00A31137" w:rsidRDefault="00A31137" w:rsidP="00A31137">
      <w:r w:rsidRPr="00A31137">
        <w:t>Clinton, Balanced Budget Act of 1997, Aug. 5, 1997, p.1192</w:t>
      </w:r>
    </w:p>
    <w:p w:rsidR="00A31137" w:rsidRPr="00A31137" w:rsidRDefault="00A31137" w:rsidP="00A31137">
      <w:r w:rsidRPr="00A31137">
        <w:t>Note: H.R. 2015, approved August 5, was assigned Public Law No. 105-33.</w:t>
      </w:r>
    </w:p>
    <w:p w:rsidR="00A31137" w:rsidRPr="00A31137" w:rsidRDefault="00A31137" w:rsidP="00A31137">
      <w:r w:rsidRPr="00A31137">
        <w:t>Clinton's Statement on National Education Standards, January 8, 1998</w:t>
      </w:r>
    </w:p>
    <w:p w:rsidR="00A31137" w:rsidRPr="00A31137" w:rsidRDefault="00A31137" w:rsidP="00A31137">
      <w:r w:rsidRPr="00A31137">
        <w:t>Title:</w:t>
      </w:r>
      <w:r w:rsidRPr="00A31137">
        <w:tab/>
        <w:t>Clinton's Statement on National Education Standards</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8, 1998</w:t>
      </w:r>
    </w:p>
    <w:p w:rsidR="00A31137" w:rsidRPr="00A31137" w:rsidRDefault="00A31137" w:rsidP="00A31137">
      <w:r w:rsidRPr="00A31137">
        <w:t>Source:</w:t>
      </w:r>
      <w:r w:rsidRPr="00A31137">
        <w:tab/>
        <w:t>Weekly Compilation of Presidential Documents, 1998, pp.20-21</w:t>
      </w:r>
    </w:p>
    <w:p w:rsidR="00A31137" w:rsidRPr="00A31137" w:rsidRDefault="00A31137" w:rsidP="00A31137">
      <w:r w:rsidRPr="00A31137">
        <w:t>Clinton, National Education Standards, Jan. 8, 1998, p.20</w:t>
      </w:r>
    </w:p>
    <w:p w:rsidR="00A31137" w:rsidRPr="00A31137" w:rsidRDefault="00A31137" w:rsidP="00A31137">
      <w:r w:rsidRPr="00A31137">
        <w:t>This week, an independent report showed that more than half the students in our Nation's city schools are failing to master the basics in reading, math, and science—the building blocks of all the skills they will need to succeed in the 21st century. And while some city school * systems are making progress, all too many are clearly failing our children. [p.21] As a nation, we have a responsibility to all of our children and especially to those in our most vulnerable communities. That is why I have fought for high national standards and national tests to help our children reach their highest potential.</w:t>
      </w:r>
    </w:p>
    <w:p w:rsidR="00A31137" w:rsidRPr="00A31137" w:rsidRDefault="00A31137" w:rsidP="00A31137">
      <w:r w:rsidRPr="00A31137">
        <w:t>Clinton, National Education Standards, Jan. 8, 1998, p.21</w:t>
      </w:r>
    </w:p>
    <w:p w:rsidR="00A31137" w:rsidRPr="00A31137" w:rsidRDefault="00A31137" w:rsidP="00A31137">
      <w:r w:rsidRPr="00A31137">
        <w:t>Since I called for national standards, I am proud to say that 15 major city school systems have stepped forward to accept my challenge. But we must not rest until every school system in the Nation commits to adopting high standards—and helping their students to meet them.</w:t>
      </w:r>
    </w:p>
    <w:p w:rsidR="00A31137" w:rsidRPr="00A31137" w:rsidRDefault="00A31137" w:rsidP="00A31137">
      <w:r w:rsidRPr="00A31137">
        <w:t>Clinton, National Education Standards, Jan. 8, 1998, p.21</w:t>
      </w:r>
    </w:p>
    <w:p w:rsidR="00A31137" w:rsidRPr="00A31137" w:rsidRDefault="00A31137" w:rsidP="00A31137">
      <w:r w:rsidRPr="00A31137">
        <w:t>If we are going to go strong into the 21st century, we must continue to expand opportunity for all of our people, and when it comes to our children's education, that means continuing to expect and demand the very best from our schools, our teachers, and above all, from our students. That is why I have fought for excellence, competition, and accountability in our Nation's public schools, with more parental involvement, greater choice, better teaching, and an end to social promotion. We cannot afford to let our children down when they need us the most.</w:t>
      </w:r>
    </w:p>
    <w:p w:rsidR="00A31137" w:rsidRPr="00A31137" w:rsidRDefault="00A31137" w:rsidP="00A31137">
      <w:r w:rsidRPr="00A31137">
        <w:t>Clinton's Remarks on the After-School Child Care Initiative, January 26, 1998</w:t>
      </w:r>
    </w:p>
    <w:p w:rsidR="00A31137" w:rsidRPr="00A31137" w:rsidRDefault="00A31137" w:rsidP="00A31137">
      <w:r w:rsidRPr="00A31137">
        <w:t>Title:</w:t>
      </w:r>
      <w:r w:rsidRPr="00A31137">
        <w:tab/>
        <w:t>Clinton's Remarks on the After-School Child Care Initiative</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26, 1998</w:t>
      </w:r>
    </w:p>
    <w:p w:rsidR="00A31137" w:rsidRPr="00A31137" w:rsidRDefault="00A31137" w:rsidP="00A31137">
      <w:r w:rsidRPr="00A31137">
        <w:t>Source:</w:t>
      </w:r>
      <w:r w:rsidRPr="00A31137">
        <w:tab/>
        <w:t>Weekly Compilation of Presidential Documents, 1998, pp.128-129</w:t>
      </w:r>
    </w:p>
    <w:p w:rsidR="00A31137" w:rsidRPr="00A31137" w:rsidRDefault="00A31137" w:rsidP="00A31137">
      <w:r w:rsidRPr="00A31137">
        <w:t>Clinton, After-School Child Care Initiative, Jan. 26, 1998, p.128</w:t>
      </w:r>
    </w:p>
    <w:p w:rsidR="00A31137" w:rsidRPr="00A31137" w:rsidRDefault="00A31137" w:rsidP="00A31137">
      <w:r w:rsidRPr="00A31137">
        <w:t>Thank you very much. First, let me thank all of you who are here. Many of us have been working together now for 20 years on a lot of these issues, and this is a very happy day for us.</w:t>
      </w:r>
    </w:p>
    <w:p w:rsidR="00A31137" w:rsidRPr="00A31137" w:rsidRDefault="00A31137" w:rsidP="00A31137">
      <w:r w:rsidRPr="00A31137">
        <w:t>Clinton, After-School Child Care Initiative, Jan. 26, 1998, p.128</w:t>
      </w:r>
    </w:p>
    <w:p w:rsidR="00A31137" w:rsidRPr="00A31137" w:rsidRDefault="00A31137" w:rsidP="00A31137">
      <w:r w:rsidRPr="00A31137">
        <w:t>I thank the First Lady for all she has done on this issue, for as long as I have known her. I thank the Vice President and Mrs. Gore for their family conference and the light it has shed on the announcement we're here to emphasize today. Thank you, Secretary Riley, for the community learning centers, and I'm very proud of what we've done there.</w:t>
      </w:r>
    </w:p>
    <w:p w:rsidR="00A31137" w:rsidRPr="00A31137" w:rsidRDefault="00A31137" w:rsidP="00A31137">
      <w:r w:rsidRPr="00A31137">
        <w:t>Clinton, After-School Child Care Initiative, Jan. 26, 1998, p.128</w:t>
      </w:r>
    </w:p>
    <w:p w:rsidR="00A31137" w:rsidRPr="00A31137" w:rsidRDefault="00A31137" w:rsidP="00A31137">
      <w:r w:rsidRPr="00A31137">
        <w:t>Thank you, Bill White. I'll talk more about your contribution in a moment, but it is truly remarkable. And I thank Rand and Debra Bass for giving us a living, breathing example of the best of America—parents who are working hard to do their jobs, but also determined to do their most important job very well with their children. I thank Senator Feinstein, Senator Dodd, and Senator Boxer for being here.</w:t>
      </w:r>
    </w:p>
    <w:p w:rsidR="00A31137" w:rsidRPr="00A31137" w:rsidRDefault="00A31137" w:rsidP="00A31137">
      <w:r w:rsidRPr="00A31137">
        <w:t>Clinton, After-School Child Care Initiative, Jan. 26, 1998, p.128</w:t>
      </w:r>
    </w:p>
    <w:p w:rsidR="00A31137" w:rsidRPr="00A31137" w:rsidRDefault="00A31137" w:rsidP="00A31137">
      <w:r w:rsidRPr="00A31137">
        <w:t>Tomorrow, in the State of the Union Address, I will spell out what we seek to do on behalf of our children to prepare them for the 21st century. But I want to talk a little bit about education today and about this announcement in that context.</w:t>
      </w:r>
    </w:p>
    <w:p w:rsidR="00A31137" w:rsidRPr="00A31137" w:rsidRDefault="00A31137" w:rsidP="00A31137">
      <w:r w:rsidRPr="00A31137">
        <w:t>Clinton, After-School Child Care Initiative, Jan. 26, 1998, p.128</w:t>
      </w:r>
    </w:p>
    <w:p w:rsidR="00A31137" w:rsidRPr="00A31137" w:rsidRDefault="00A31137" w:rsidP="00A31137">
      <w:r w:rsidRPr="00A31137">
        <w:t>Education must be our Nation's highest priority. Last year, in the State of the Union Address, I set out a 10-point plan to move us forward and urged the American people to make sure that politics stops at the schoolhouse door. Well, we've made a lot of progress on that 10-point plan: a remarkable—a remarkable—array of initiatives to open the doors of college to every American who's willing to work for it; strong progress toward high national standards in the basics, the America Reads challenge to teach every 8-year-old to read; continued progress in the Vice President's program to hook up all of our classrooms and libraries to the Internet by the year 2000.</w:t>
      </w:r>
    </w:p>
    <w:p w:rsidR="00A31137" w:rsidRPr="00A31137" w:rsidRDefault="00A31137" w:rsidP="00A31137">
      <w:r w:rsidRPr="00A31137">
        <w:t>Clinton, After-School Child Care Initiative, Jan. 26, 1998, p.128</w:t>
      </w:r>
    </w:p>
    <w:p w:rsidR="00A31137" w:rsidRPr="00A31137" w:rsidRDefault="00A31137" w:rsidP="00A31137">
      <w:r w:rsidRPr="00A31137">
        <w:t>This has been the most important year in a generation for education reform. Tomorrow I'll set out the next steps on our continuing road.</w:t>
      </w:r>
    </w:p>
    <w:p w:rsidR="00A31137" w:rsidRPr="00A31137" w:rsidRDefault="00A31137" w:rsidP="00A31137">
      <w:r w:rsidRPr="00A31137">
        <w:t>Clinton, After-School Child Care Initiative, Jan. 26, 1998, p.128</w:t>
      </w:r>
    </w:p>
    <w:p w:rsidR="00A31137" w:rsidRPr="00A31137" w:rsidRDefault="00A31137" w:rsidP="00A31137">
      <w:r w:rsidRPr="00A31137">
        <w:t>First, I will propose the first-ever national effort to reduce class size in the early grades. Hillary and I worked very hard 15 years ago now to have very strict class sizes at home in the early grades, and it was quite controversial and I think enormously beneficial when we did it. Our balanced budget will help to hire 100,000 teachers who must pass State competency tests but who will be able to reduce class size in the first, second, and third grades to an average of 18 nationwide.</w:t>
      </w:r>
    </w:p>
    <w:p w:rsidR="00A31137" w:rsidRPr="00A31137" w:rsidRDefault="00A31137" w:rsidP="00A31137">
      <w:r w:rsidRPr="00A31137">
        <w:t>Clinton, After-School Child Care Initiative, Jan. 26, 1998, p.128</w:t>
      </w:r>
    </w:p>
    <w:p w:rsidR="00A31137" w:rsidRPr="00A31137" w:rsidRDefault="00A31137" w:rsidP="00A31137">
      <w:r w:rsidRPr="00A31137">
        <w:t>Second, since there are more students and there will be more teachers, there must be more classrooms. So I will propose a school construction tax cut to help communities modernize and build new schools.</w:t>
      </w:r>
    </w:p>
    <w:p w:rsidR="00A31137" w:rsidRPr="00A31137" w:rsidRDefault="00A31137" w:rsidP="00A31137">
      <w:r w:rsidRPr="00A31137">
        <w:t>Clinton, After-School Child Care Initiative, Jan. 26, 1998, p.128</w:t>
      </w:r>
    </w:p>
    <w:p w:rsidR="00A31137" w:rsidRPr="00A31137" w:rsidRDefault="00A31137" w:rsidP="00A31137">
      <w:r w:rsidRPr="00A31137">
        <w:t>Third, I will promote a national effort to help schools that follow the lead of the Chicago system in ending social promotion but helping students with summer school and other programs to give them the tools they need to get ahead.</w:t>
      </w:r>
    </w:p>
    <w:p w:rsidR="00A31137" w:rsidRPr="00A31137" w:rsidRDefault="00A31137" w:rsidP="00A31137">
      <w:r w:rsidRPr="00A31137">
        <w:t>Clinton, After-School Child Care Initiative, Jan. 26, 1998, p.128</w:t>
      </w:r>
    </w:p>
    <w:p w:rsidR="00A31137" w:rsidRPr="00A31137" w:rsidRDefault="00A31137" w:rsidP="00A31137">
      <w:r w:rsidRPr="00A31137">
        <w:t>All these steps will help our children get the future they deserve. And that's why what we're announcing here is so important as well.</w:t>
      </w:r>
    </w:p>
    <w:p w:rsidR="00A31137" w:rsidRPr="00A31137" w:rsidRDefault="00A31137" w:rsidP="00A31137">
      <w:r w:rsidRPr="00A31137">
        <w:t>Clinton, After-School Child Care Initiative, Jan. 26, 1998, p.128</w:t>
      </w:r>
    </w:p>
    <w:p w:rsidR="00A31137" w:rsidRPr="00A31137" w:rsidRDefault="00A31137" w:rsidP="00A31137">
      <w:r w:rsidRPr="00A31137">
        <w:t>Every child needs someplace to go after school. With after-school programs, we can not only keep our kids healthy and happy and safe, we can help to teach them to say no to drugs, alcohol, and crime, yes to reading, sports, and computers. My balanced budget plan includes a national initiative to spark private sector and local community efforts to provide after-school care, as the Secretary of Education said, to half a million more children.</w:t>
      </w:r>
    </w:p>
    <w:p w:rsidR="00A31137" w:rsidRPr="00A31137" w:rsidRDefault="00A31137" w:rsidP="00A31137">
      <w:r w:rsidRPr="00A31137">
        <w:t>Clinton, After-School Child Care Initiative, Jan. 26, 1998, p.128</w:t>
      </w:r>
    </w:p>
    <w:p w:rsidR="00A31137" w:rsidRPr="00A31137" w:rsidRDefault="00A31137" w:rsidP="00A31137">
      <w:r w:rsidRPr="00A31137">
        <w:t>Now, let me say, in addition to all the positive benefits, I think it's important to point out that the hours between 3 and 7 at night [p.129] are the most vulnerable hours for young people to get in trouble, for juvenile crime. There is this sort of assumption that everybody that gets in trouble when they're young has just already been abandoned. That's not true. Most of the kids that get in trouble get in trouble after school closes and before their parents get home from work. So in the adolescent years, in the later years, it is profoundly important to try to give kids something to say yes to and something positive to do.</w:t>
      </w:r>
    </w:p>
    <w:p w:rsidR="00A31137" w:rsidRPr="00A31137" w:rsidRDefault="00A31137" w:rsidP="00A31137">
      <w:r w:rsidRPr="00A31137">
        <w:t>Clinton, After-School Child Care Initiative, Jan. 26, 1998, p.129</w:t>
      </w:r>
    </w:p>
    <w:p w:rsidR="00A31137" w:rsidRPr="00A31137" w:rsidRDefault="00A31137" w:rsidP="00A31137">
      <w:r w:rsidRPr="00A31137">
        <w:t>But we can't do it alone. As I said, our plan involves a public-private partnership. So it has fallen to me to announce that our distinguished guest from the Mott Foundation of Flint, Michigan, has pledged up to $55 million to help ensure that after-school programs supported by Federal funds are of the highest quality. That is an astonishing gift. Thank you, Bill White. Thank you.</w:t>
      </w:r>
    </w:p>
    <w:p w:rsidR="00A31137" w:rsidRPr="00A31137" w:rsidRDefault="00A31137" w:rsidP="00A31137">
      <w:r w:rsidRPr="00A31137">
        <w:t>Clinton, After-School Child Care Initiative, Jan. 26, 1998, p.129</w:t>
      </w:r>
    </w:p>
    <w:p w:rsidR="00A31137" w:rsidRPr="00A31137" w:rsidRDefault="00A31137" w:rsidP="00A31137">
      <w:r w:rsidRPr="00A31137">
        <w:t>We are determined to help Americans succeed in the workplace, to raise well-educated, healthy kids, and to help Americans succeed at the toughest job of all, that of being a parent. And the Mott Foundation has gone a long way toward helping us. I thank them.</w:t>
      </w:r>
    </w:p>
    <w:p w:rsidR="00A31137" w:rsidRPr="00A31137" w:rsidRDefault="00A31137" w:rsidP="00A31137">
      <w:r w:rsidRPr="00A31137">
        <w:t>Clinton, After-School Child Care Initiative, Jan. 26, 1998, p.129</w:t>
      </w:r>
    </w:p>
    <w:p w:rsidR="00A31137" w:rsidRPr="00A31137" w:rsidRDefault="00A31137" w:rsidP="00A31137">
      <w:r w:rsidRPr="00A31137">
        <w:t>Now, I have to go back to work on my State of the Union speech. And I worked on it until pretty late last night. But I want to say one thing to the American people. I want you to listen to me. I'm going to say this again. I did not have sexual relations with that woman, Miss Lewinsky. I never told anybody to lie, not a single time—never. These allegations are false. And I need to go back to work for the American people.</w:t>
      </w:r>
    </w:p>
    <w:p w:rsidR="00A31137" w:rsidRPr="00A31137" w:rsidRDefault="00A31137" w:rsidP="00A31137">
      <w:r w:rsidRPr="00A31137">
        <w:t>Clinton, After-School Child Care Initiative, Jan. 26, 1998, p.129</w:t>
      </w:r>
    </w:p>
    <w:p w:rsidR="00A31137" w:rsidRPr="00A31137" w:rsidRDefault="00A31137" w:rsidP="00A31137">
      <w:r w:rsidRPr="00A31137">
        <w:t>Thank you.</w:t>
      </w:r>
    </w:p>
    <w:p w:rsidR="00A31137" w:rsidRPr="00A31137" w:rsidRDefault="00A31137" w:rsidP="00A31137">
      <w:r w:rsidRPr="00A31137">
        <w:t>Clinton, After-School Child Care Initiative, Jan. 26, 1998, p.129</w:t>
      </w:r>
    </w:p>
    <w:p w:rsidR="00A31137" w:rsidRPr="00A31137" w:rsidRDefault="00A31137" w:rsidP="00A31137">
      <w:r w:rsidRPr="00A31137">
        <w:t>Note: The President spoke at 10:37 a.m. in the Roosevelt Room at the White House. In his remarks, he referred to Bill White, president and chief executive officer, Charles Stewart Mott Foundation; and Rand and Debra Bass, parents whose children attend an after-school child care program at Barcroft Elementary School, Arlington, VA.</w:t>
      </w:r>
    </w:p>
    <w:p w:rsidR="00A31137" w:rsidRPr="00A31137" w:rsidRDefault="00A31137" w:rsidP="00A31137">
      <w:r w:rsidRPr="00A31137">
        <w:t>Clinton's Address on the State of the Union, January 27, 1998</w:t>
      </w:r>
    </w:p>
    <w:p w:rsidR="00A31137" w:rsidRPr="00A31137" w:rsidRDefault="00A31137" w:rsidP="00A31137">
      <w:r w:rsidRPr="00A31137">
        <w:t>Title:</w:t>
      </w:r>
      <w:r w:rsidRPr="00A31137">
        <w:tab/>
        <w:t>Clinton's Address on the State of the Union, 1998</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27, 1998</w:t>
      </w:r>
    </w:p>
    <w:p w:rsidR="00A31137" w:rsidRPr="00A31137" w:rsidRDefault="00A31137" w:rsidP="00A31137">
      <w:r w:rsidRPr="00A31137">
        <w:t>Source:</w:t>
      </w:r>
      <w:r w:rsidRPr="00A31137">
        <w:tab/>
        <w:t>Weekly Compilation of Presidential Documents, 1998, pp.129-139</w:t>
      </w:r>
    </w:p>
    <w:p w:rsidR="00A31137" w:rsidRPr="00A31137" w:rsidRDefault="00A31137" w:rsidP="00A31137">
      <w:r w:rsidRPr="00A31137">
        <w:t>Clinton, State of the Union Address, 1998, p.129</w:t>
      </w:r>
    </w:p>
    <w:p w:rsidR="00A31137" w:rsidRPr="00A31137" w:rsidRDefault="00A31137" w:rsidP="00A31137">
      <w:r w:rsidRPr="00A31137">
        <w:t xml:space="preserve">Mr. Speaker, Mr. Vice President, Members of the 105th Congress, distinguished guests, my fellow Americans: Since the last time we met in this Chamber, America has lost two patriots and fine public servants. Though they sat on opposite sides of the aisle, Representatives Walter Capps and Sonny Bono shared a deep love for this House and an unshakable commitment to improving the lives of all our people. In the past few weeks they've both been eulogized. Tonight I think we should begin by sending a message to their families and their friends that we celebrate their lives and give thanks for their service to our Nation. [p.130] </w:t>
      </w:r>
    </w:p>
    <w:p w:rsidR="00A31137" w:rsidRPr="00A31137" w:rsidRDefault="00A31137" w:rsidP="00A31137">
      <w:r w:rsidRPr="00A31137">
        <w:t>Clinton, State of the Union Address, 1998, p.130</w:t>
      </w:r>
    </w:p>
    <w:p w:rsidR="00A31137" w:rsidRPr="00A31137" w:rsidRDefault="00A31137" w:rsidP="00A31137">
      <w:r w:rsidRPr="00A31137">
        <w:t>For 209 years it has been the President's duty to report to you on the state of the Union. Because of the hard work and high purpose of the American people, these are good times for America. We have more than 14 million new jobs, the lowest unemployment in 24 years, the lowest core inflation in 30 years; incomes are rising; and we have the highest homeownership in history. Crime has dropped for a record 5 years in a row, and the welfare rolls are at their lowest levels in 27 years. Our leadership in the world is unrivaled. Ladies and gentlemen, the state of our Union is strong.</w:t>
      </w:r>
    </w:p>
    <w:p w:rsidR="00A31137" w:rsidRPr="00A31137" w:rsidRDefault="00A31137" w:rsidP="00A31137">
      <w:r w:rsidRPr="00A31137">
        <w:t>Clinton, State of the Union Address, 1998, p.130</w:t>
      </w:r>
    </w:p>
    <w:p w:rsidR="00A31137" w:rsidRPr="00A31137" w:rsidRDefault="00A31137" w:rsidP="00A31137">
      <w:r w:rsidRPr="00A31137">
        <w:t>But with barely 700 days left in the 20th century, this is not a time to rest. It is a time to build, to build the America within reach, an America where everybody has a chance to get ahead with hard work; where every citizen can live in a safe community; where families are strong, schools are good, and all our young people can go on to college; an America where scientists find cures for diseases, from diabetes to Alzheimer's to AIDS; an America where every child can stretch a hand across a keyboard and reach every book ever written, every painting ever painted, every symphony ever composed; where government provides opportunity and citizens honor the responsibility to give something back to their communities; an America which leads the world to new heights of peace and prosperity. This is the America we have begun to build; this is the America we can leave to our children if we join together to finish the work at hand. Let us strengthen our Nation for the 21st century.</w:t>
      </w:r>
    </w:p>
    <w:p w:rsidR="00A31137" w:rsidRPr="00A31137" w:rsidRDefault="00A31137" w:rsidP="00A31137">
      <w:r w:rsidRPr="00A31137">
        <w:t>Clinton, State of the Union Address, 1998, p.130</w:t>
      </w:r>
    </w:p>
    <w:p w:rsidR="00A31137" w:rsidRPr="00A31137" w:rsidRDefault="00A31137" w:rsidP="00A31137">
      <w:r w:rsidRPr="00A31137">
        <w:t>Rarely have Americans lived through so much change in so many ways in so short a time. Quietly, but with gathering force, the ground has shifted beneath our feet as we have moved into an information age, a global economy, a truly new world. For 5 years now, we have met the challenge of these changes, as Americans have at every turning point in our history, by renewing the very idea of America: widening the circle of opportunity, deepening the meaning of our freedom, forging a more perfect Union.</w:t>
      </w:r>
    </w:p>
    <w:p w:rsidR="00A31137" w:rsidRPr="00A31137" w:rsidRDefault="00A31137" w:rsidP="00A31137">
      <w:r w:rsidRPr="00A31137">
        <w:t>Clinton, State of the Union Address, 1998, p.130</w:t>
      </w:r>
    </w:p>
    <w:p w:rsidR="00A31137" w:rsidRPr="00A31137" w:rsidRDefault="00A31137" w:rsidP="00A31137">
      <w:r w:rsidRPr="00A31137">
        <w:t>We shaped a new kind of Government for the information age. I thank the Vice President for his leadership and the Congress for its support in building a Government that is leaner, more flexible, a catalyst for new ideas, and most of all, a Government that gives the American people the tools they need to make the most of their own lives.</w:t>
      </w:r>
    </w:p>
    <w:p w:rsidR="00A31137" w:rsidRPr="00A31137" w:rsidRDefault="00A31137" w:rsidP="00A31137">
      <w:r w:rsidRPr="00A31137">
        <w:t>Clinton, State of the Union Address, 1998, p.130</w:t>
      </w:r>
    </w:p>
    <w:p w:rsidR="00A31137" w:rsidRPr="00A31137" w:rsidRDefault="00A31137" w:rsidP="00A31137">
      <w:r w:rsidRPr="00A31137">
        <w:t>We have moved past the sterile debate between those who say government is the enemy and those who say government is the answer. My fellow Americans, we have found a third way. We have the smallest Government in 35 years, but a more progressive one. We have a smaller Government, but a stronger Nation. We are moving steadily toward an even stronger America in the 21st century: an economy that offers opportunity, a society rooted in responsibility, and a nation that lives as a community.</w:t>
      </w:r>
    </w:p>
    <w:p w:rsidR="00A31137" w:rsidRPr="00A31137" w:rsidRDefault="00A31137" w:rsidP="00A31137">
      <w:r w:rsidRPr="00A31137">
        <w:t>Clinton, State of the Union Address, 1998, p.130</w:t>
      </w:r>
    </w:p>
    <w:p w:rsidR="00A31137" w:rsidRPr="00A31137" w:rsidRDefault="00A31137" w:rsidP="00A31137">
      <w:r w:rsidRPr="00A31137">
        <w:t>First, Americans in this Chamber and across our Nation have pursued a new strategy for prosperity: fiscal discipline to cut interest rates and spur growth; investments in education and skills, in science and technology and transportation, to prepare our people for the new economy; new markets for American products and American workers.</w:t>
      </w:r>
    </w:p>
    <w:p w:rsidR="00A31137" w:rsidRPr="00A31137" w:rsidRDefault="00A31137" w:rsidP="00A31137">
      <w:r w:rsidRPr="00A31137">
        <w:t>Clinton, State of the Union Address, 1998, p.130</w:t>
      </w:r>
    </w:p>
    <w:p w:rsidR="00A31137" w:rsidRPr="00A31137" w:rsidRDefault="00A31137" w:rsidP="00A31137">
      <w:r w:rsidRPr="00A31137">
        <w:t>When I took office, the deficit for 1998 was projected to be $357 billion and heading higher. This year, our deficit is projected to be $10 billion and heading lower. For three decades, six Presidents have come before you to warn of the damage deficits pose to our Nation. Tonight I come before you to announce that the Federal deficit, once so incomprehensibly large that it had 11 zeros, will be, simply, zero. I will submit to Congress for 1999 the first balanced budget in 30 years. And if we hold fast to fiscal discipline, we may balance the budget this year—4 years ahead of schedule.</w:t>
      </w:r>
    </w:p>
    <w:p w:rsidR="00A31137" w:rsidRPr="00A31137" w:rsidRDefault="00A31137" w:rsidP="00A31137">
      <w:r w:rsidRPr="00A31137">
        <w:t>Clinton, State of the Union Address, 1998, p.130</w:t>
      </w:r>
    </w:p>
    <w:p w:rsidR="00A31137" w:rsidRPr="00A31137" w:rsidRDefault="00A31137" w:rsidP="00A31137">
      <w:r w:rsidRPr="00A31137">
        <w:t>You can all be proud of that, because turning a sea of red ink into black is no miracle. It is the product of hard work by the American people and of two visionary actions in Congress: the courageous vote in 1993 that led to a cut in the deficit of 90 percent, and the truly historic bipartisan balanced budget agreement passed by this Congress. Here's the really good news: If we maintain our resolve, we will produce balanced budgets as far as the eye can see.</w:t>
      </w:r>
    </w:p>
    <w:p w:rsidR="00A31137" w:rsidRPr="00A31137" w:rsidRDefault="00A31137" w:rsidP="00A31137">
      <w:r w:rsidRPr="00A31137">
        <w:t>Clinton, State of the Union Address, 1998, p.130</w:t>
      </w:r>
    </w:p>
    <w:p w:rsidR="00A31137" w:rsidRPr="00A31137" w:rsidRDefault="00A31137" w:rsidP="00A31137">
      <w:r w:rsidRPr="00A31137">
        <w:t>We must not go back to unwise spending or untargeted tax cuts that risk reopening the [p.131] deficit. Last year, together, we enacted targeted tax cuts so that the typical middle class family will now have the lowest tax rates in 20 years. My plan to balance the budget next year includes both new investments and new tax cuts targeted to the needs of working families, for education, for child care, for the environment.</w:t>
      </w:r>
    </w:p>
    <w:p w:rsidR="00A31137" w:rsidRPr="00A31137" w:rsidRDefault="00A31137" w:rsidP="00A31137">
      <w:r w:rsidRPr="00A31137">
        <w:t>Clinton, State of the Union Address, 1998, p.131</w:t>
      </w:r>
    </w:p>
    <w:p w:rsidR="00A31137" w:rsidRPr="00A31137" w:rsidRDefault="00A31137" w:rsidP="00A31137">
      <w:r w:rsidRPr="00A31137">
        <w:t>But whether the issue is tax cuts or spending, I ask all of you to meet this test: Approve only those priorities that can actually be accomplished without adding a dime to the deficit.</w:t>
      </w:r>
    </w:p>
    <w:p w:rsidR="00A31137" w:rsidRPr="00A31137" w:rsidRDefault="00A31137" w:rsidP="00A31137">
      <w:r w:rsidRPr="00A31137">
        <w:t>Clinton, State of the Union Address, 1998, p.131</w:t>
      </w:r>
    </w:p>
    <w:p w:rsidR="00A31137" w:rsidRPr="00A31137" w:rsidRDefault="00A31137" w:rsidP="00A31137">
      <w:r w:rsidRPr="00A31137">
        <w:t>Now, if we balance the budget for next year, it is projected that we'll then have a sizable surplus in the years that immediately follow. What should we do with this projected surplus? I have a simple four-word answer: Save Social Security first. [Applause] Thank you.</w:t>
      </w:r>
    </w:p>
    <w:p w:rsidR="00A31137" w:rsidRPr="00A31137" w:rsidRDefault="00A31137" w:rsidP="00A31137">
      <w:r w:rsidRPr="00A31137">
        <w:t>Clinton, State of the Union Address, 1998, p.131</w:t>
      </w:r>
    </w:p>
    <w:p w:rsidR="00A31137" w:rsidRPr="00A31137" w:rsidRDefault="00A31137" w:rsidP="00A31137">
      <w:r w:rsidRPr="00A31137">
        <w:t>Tonight I propose that we reserve 100 percent of the surplus—that's every penny of any surplus—until we have taken all the necessary measures to strengthen the Social Security system for the 21st century. Let us say to all Americans watching tonight—whether you're 70 or 50, or whether you just started paying into the system—Social Security will be there when you need it. Let us make this commitment: Social Security first. Let's do that together.</w:t>
      </w:r>
    </w:p>
    <w:p w:rsidR="00A31137" w:rsidRPr="00A31137" w:rsidRDefault="00A31137" w:rsidP="00A31137">
      <w:r w:rsidRPr="00A31137">
        <w:t>Clinton, State of the Union Address, 1998, p.131</w:t>
      </w:r>
    </w:p>
    <w:p w:rsidR="00A31137" w:rsidRPr="00A31137" w:rsidRDefault="00A31137" w:rsidP="00A31137">
      <w:r w:rsidRPr="00A31137">
        <w:t>I also want to say that all the American people who are watching us tonight should be invited to join in this discussion, in facing these issues squarely and forming a true consensus on how we should proceed. We'll start by conducting nonpartisan forums in every region of the country, and I hope that lawmakers of both parties will participate. We'll hold a White House conference on Social Security in December. And one year from now I will convene the leaders of Congress to craft historic, bipartisan legislation to achieve a landmark for our generation: a Social Security system that is strong in the 21st century. [Applause] Thank you.</w:t>
      </w:r>
    </w:p>
    <w:p w:rsidR="00A31137" w:rsidRPr="00A31137" w:rsidRDefault="00A31137" w:rsidP="00A31137">
      <w:r w:rsidRPr="00A31137">
        <w:t>Clinton, State of the Union Address, 1998, p.131</w:t>
      </w:r>
    </w:p>
    <w:p w:rsidR="00A31137" w:rsidRPr="00A31137" w:rsidRDefault="00A31137" w:rsidP="00A31137">
      <w:r w:rsidRPr="00A31137">
        <w:t>In an economy that honors opportunity, all Americans must be able to reap the rewards of prosperity. Because these times are good, we can afford to take one simple, sensible step to help millions of workers struggling to provide for their families: We should raise the minimum wage.</w:t>
      </w:r>
    </w:p>
    <w:p w:rsidR="00A31137" w:rsidRPr="00A31137" w:rsidRDefault="00A31137" w:rsidP="00A31137">
      <w:r w:rsidRPr="00A31137">
        <w:t>Clinton, State of the Union Address, 1998, p.131</w:t>
      </w:r>
    </w:p>
    <w:p w:rsidR="00A31137" w:rsidRPr="00A31137" w:rsidRDefault="00A31137" w:rsidP="00A31137">
      <w:r w:rsidRPr="00A31137">
        <w:t>The information age is, first and foremost, an education age, in which education must start at birth and continue throughout a lifetime. Last year, from this podium, I said that education has to be our highest priority. I laid out a 10-point plan to move us forward and urged all of us to let politics stop at the schoolhouse door. Since then, this Congress—across party lines—and the American people have responded, in the most important year for education in a generation, expanding public school choice, opening the way to 3,000 new charter schools, working to connect every classroom in the country to the information superhighway, committing to expand Head Start to a million children, launching America Reads, sending literally thousands of college students into our elementary schools to make sure all our 8-year-olds can read.</w:t>
      </w:r>
    </w:p>
    <w:p w:rsidR="00A31137" w:rsidRPr="00A31137" w:rsidRDefault="00A31137" w:rsidP="00A31137">
      <w:r w:rsidRPr="00A31137">
        <w:t>Clinton, State of the Union Address, 1998, p.131</w:t>
      </w:r>
    </w:p>
    <w:p w:rsidR="00A31137" w:rsidRPr="00A31137" w:rsidRDefault="00A31137" w:rsidP="00A31137">
      <w:r w:rsidRPr="00A31137">
        <w:t>Last year I proposed and you passed 220,000 new Pell grant scholarships for deserving students. Student loans, already less expensive and easier to repay—now you get to deduct the interest. Families all over America now can put their savings into new tax-free education IRA's. And this year, for the first 2 years of college, families will get a $1,500 tax credit—a HOPE scholarship that will cover the cost of most community college tuition. And for junior and senior year, graduate school, and job training, there is a lifetime learning credit. You did that, and you should be very proud of it.</w:t>
      </w:r>
    </w:p>
    <w:p w:rsidR="00A31137" w:rsidRPr="00A31137" w:rsidRDefault="00A31137" w:rsidP="00A31137">
      <w:r w:rsidRPr="00A31137">
        <w:t>Clinton, State of the Union Address, 1998, p.131</w:t>
      </w:r>
    </w:p>
    <w:p w:rsidR="00A31137" w:rsidRPr="00A31137" w:rsidRDefault="00A31137" w:rsidP="00A31137">
      <w:r w:rsidRPr="00A31137">
        <w:t xml:space="preserve">And because of these actions, I have something to say to every family listening to us tonight: Your children can go on to college. If you know a child from a poor family, tell her not to give up; she can go on to college. If you know a young couple struggling with bills, worried they won't be able to send their children to college, tell them not to give up; their children can go on to college. If you know somebody who's caught in a dead-end job and afraid he can't afford the classes necessary to get better jobs for the rest of his life, tell him not to give up; he can go on to college. Because of the things that have been done, we can make college as universal in the 21st century as high school is today. And my friends, that will change the face and future of America. [p.132] </w:t>
      </w:r>
    </w:p>
    <w:p w:rsidR="00A31137" w:rsidRPr="00A31137" w:rsidRDefault="00A31137" w:rsidP="00A31137">
      <w:r w:rsidRPr="00A31137">
        <w:t>Clinton, State of the Union Address, 1998, p.132</w:t>
      </w:r>
    </w:p>
    <w:p w:rsidR="00A31137" w:rsidRPr="00A31137" w:rsidRDefault="00A31137" w:rsidP="00A31137">
      <w:r w:rsidRPr="00A31137">
        <w:t>We have opened wide the doors of the world's best system of higher education. Now we must make our public elementary and secondary schools the world's best as well by raising standards, raising expectations, and raising accountability. Thanks to the actions of this Congress last year, we will soon have, for the very first time, a voluntary national test based on national standards in fourth grade reading and eighth grade math. Parents have a right to know whether their children are mastering the basics. And every parent already knows the key: good teachers and small classes.</w:t>
      </w:r>
    </w:p>
    <w:p w:rsidR="00A31137" w:rsidRPr="00A31137" w:rsidRDefault="00A31137" w:rsidP="00A31137">
      <w:r w:rsidRPr="00A31137">
        <w:t>Clinton, State of the Union Address, 1998, p.132</w:t>
      </w:r>
    </w:p>
    <w:p w:rsidR="00A31137" w:rsidRPr="00A31137" w:rsidRDefault="00A31137" w:rsidP="00A31137">
      <w:r w:rsidRPr="00A31137">
        <w:t>Tonight I propose the first ever national effort to reduce class size in the early grades. [Applause] Thank you. My balanced budget will help to hire 100,000 new teachers who've passed a State competency test. Now, with these teachers—listen—with these teachers, we will actually be able to reduce class size in the first, second, and third grades to an average of 18 students a class, all across America.</w:t>
      </w:r>
    </w:p>
    <w:p w:rsidR="00A31137" w:rsidRPr="00A31137" w:rsidRDefault="00A31137" w:rsidP="00A31137">
      <w:r w:rsidRPr="00A31137">
        <w:t>Clinton, State of the Union Address, 1998, p.132</w:t>
      </w:r>
    </w:p>
    <w:p w:rsidR="00A31137" w:rsidRPr="00A31137" w:rsidRDefault="00A31137" w:rsidP="00A31137">
      <w:r w:rsidRPr="00A31137">
        <w:t>If I've got the math right, more teachers teaching smaller classes requires more classrooms. So I also propose a school construction tax cut to help communities modernize or build 5,000 schools.</w:t>
      </w:r>
    </w:p>
    <w:p w:rsidR="00A31137" w:rsidRPr="00A31137" w:rsidRDefault="00A31137" w:rsidP="00A31137">
      <w:r w:rsidRPr="00A31137">
        <w:t>Clinton, State of the Union Address, 1998, p.132</w:t>
      </w:r>
    </w:p>
    <w:p w:rsidR="00A31137" w:rsidRPr="00A31137" w:rsidRDefault="00A31137" w:rsidP="00A31137">
      <w:r w:rsidRPr="00A31137">
        <w:t>We must also demand greater accountability. When we promote a child from grade to grade who hasn't mastered the work, we don't do that child any favors. It is time to end social promotion in America's schools. Last year, in Chicago, they made that decision—not to hold our children back but to lift them up. Chicago stopped social promotion and started mandatory summer school to help students who are behind to catch up. I propose to help other communities follow Chicago's lead. Let's say to them: Stop promoting children who don't learn, and we will give you the tools to make sure they do.</w:t>
      </w:r>
    </w:p>
    <w:p w:rsidR="00A31137" w:rsidRPr="00A31137" w:rsidRDefault="00A31137" w:rsidP="00A31137">
      <w:r w:rsidRPr="00A31137">
        <w:t>Clinton, State of the Union Address, 1998, p.132</w:t>
      </w:r>
    </w:p>
    <w:p w:rsidR="00A31137" w:rsidRPr="00A31137" w:rsidRDefault="00A31137" w:rsidP="00A31137">
      <w:r w:rsidRPr="00A31137">
        <w:t>I also ask this Congress to support our efforts to enlist colleges and universities to reach out to disadvantaged children, starting in the sixth grade, so that they can get the guidance and hope they need so they can know that they, too, will be able to go on to college.</w:t>
      </w:r>
    </w:p>
    <w:p w:rsidR="00A31137" w:rsidRPr="00A31137" w:rsidRDefault="00A31137" w:rsidP="00A31137">
      <w:r w:rsidRPr="00A31137">
        <w:t>Clinton, State of the Union Address, 1998, p.132</w:t>
      </w:r>
    </w:p>
    <w:p w:rsidR="00A31137" w:rsidRPr="00A31137" w:rsidRDefault="00A31137" w:rsidP="00A31137">
      <w:r w:rsidRPr="00A31137">
        <w:t>As we enter the 21st century, the global economy requires us to seek opportunity not just at home but in all the markets of the world. We must shape this global economy, not shrink from it. In the last 5 years, we have led the way in opening new markets, with 240 trade agreements that remove foreign barriers to products bearing the proud stamp "Made in the USA." Today, record high exports account for fully one-third of our economic growth. I want to keep them going, because that's the way to keep America growing and to advance a safer, more stable world.</w:t>
      </w:r>
    </w:p>
    <w:p w:rsidR="00A31137" w:rsidRPr="00A31137" w:rsidRDefault="00A31137" w:rsidP="00A31137">
      <w:r w:rsidRPr="00A31137">
        <w:t>Clinton, State of the Union Address, 1998, p.132</w:t>
      </w:r>
    </w:p>
    <w:p w:rsidR="00A31137" w:rsidRPr="00A31137" w:rsidRDefault="00A31137" w:rsidP="00A31137">
      <w:r w:rsidRPr="00A31137">
        <w:t>All of you know, whatever your views are, that I think this is a great opportunity for America. I know there is opposition to more comprehensive trade agreements. I have listened carefully, and I believe that the opposition is rooted in two fears: first, that our trading partners will have lower environmental and labor standards which will give them an unfair advantage in our market and do their own people no favors, even if there's more business; and, second, that if we have more trade, more of our workers will lose their jobs and have to start over. I think we should seek to advance worker and environmental standards around the world. I have made it abundantly clear that it should be a part of our trade agenda. But we cannot influence other countries' decisions if we send them a message that we're backing away from trade with them.</w:t>
      </w:r>
    </w:p>
    <w:p w:rsidR="00A31137" w:rsidRPr="00A31137" w:rsidRDefault="00A31137" w:rsidP="00A31137">
      <w:r w:rsidRPr="00A31137">
        <w:t>Clinton, State of the Union Address, 1998, p.132</w:t>
      </w:r>
    </w:p>
    <w:p w:rsidR="00A31137" w:rsidRPr="00A31137" w:rsidRDefault="00A31137" w:rsidP="00A31137">
      <w:r w:rsidRPr="00A31137">
        <w:t>This year I will send legislation to Congress, and ask other nations to join us, to fight the most intolerable labor practice of all: abusive child labor. We should also offer help and hope to those Americans temporarily left behind by the global marketplace or by the march of technology, which may have nothing to do with trade. That's why we have more than doubled funding for training dislocated workers since 1993. And if my new budget is adopted, we will triple funding. That's why we must do more, and more quickly, to help workers who lose their jobs for whatever reason.</w:t>
      </w:r>
    </w:p>
    <w:p w:rsidR="00A31137" w:rsidRPr="00A31137" w:rsidRDefault="00A31137" w:rsidP="00A31137">
      <w:r w:rsidRPr="00A31137">
        <w:t>Clinton, State of the Union Address, 1998, p.132</w:t>
      </w:r>
    </w:p>
    <w:p w:rsidR="00A31137" w:rsidRPr="00A31137" w:rsidRDefault="00A31137" w:rsidP="00A31137">
      <w:r w:rsidRPr="00A31137">
        <w:t>You know, we help communities in a special way when their military base closes; we ought to help them in the same way if their factory closes. Again, I ask the Congress to continue its bipartisan work to consolidate the tangle of training programs we have today into one single "GI bill" for workers, [p.133] a simple skills grant so people can, on their own, move quickly to new jobs, to higher incomes, and brighter futures.</w:t>
      </w:r>
    </w:p>
    <w:p w:rsidR="00A31137" w:rsidRPr="00A31137" w:rsidRDefault="00A31137" w:rsidP="00A31137">
      <w:r w:rsidRPr="00A31137">
        <w:t>Clinton, State of the Union Address, 1998, p.133</w:t>
      </w:r>
    </w:p>
    <w:p w:rsidR="00A31137" w:rsidRPr="00A31137" w:rsidRDefault="00A31137" w:rsidP="00A31137">
      <w:r w:rsidRPr="00A31137">
        <w:t>We all know, in every way in life, change is not always easy, but we have to decide whether we're going to try to hold it back and hide from it or reap its benefits. And remember the big picture here: While we've been entering into hundreds of new trade agreements, we've been creating millions of new jobs.</w:t>
      </w:r>
    </w:p>
    <w:p w:rsidR="00A31137" w:rsidRPr="00A31137" w:rsidRDefault="00A31137" w:rsidP="00A31137">
      <w:r w:rsidRPr="00A31137">
        <w:t>Clinton, State of the Union Address, 1998, p.133</w:t>
      </w:r>
    </w:p>
    <w:p w:rsidR="00A31137" w:rsidRPr="00A31137" w:rsidRDefault="00A31137" w:rsidP="00A31137">
      <w:r w:rsidRPr="00A31137">
        <w:t>So this year we will forge new partnerships with Latin America, Asia, and Europe. And we should pass the new "African Trade Act"; it has bipartisan support. I will also renew my request for the fast-track negotiating authority necessary to open more new markets, create more new jobs, which every President has had for two decades.</w:t>
      </w:r>
    </w:p>
    <w:p w:rsidR="00A31137" w:rsidRPr="00A31137" w:rsidRDefault="00A31137" w:rsidP="00A31137">
      <w:r w:rsidRPr="00A31137">
        <w:t>Clinton, State of the Union Address, 1998, p.133</w:t>
      </w:r>
    </w:p>
    <w:p w:rsidR="00A31137" w:rsidRPr="00A31137" w:rsidRDefault="00A31137" w:rsidP="00A31137">
      <w:r w:rsidRPr="00A31137">
        <w:t>You know, whether we like it or not, in ways that are mostly positive, the world's economies are more and more interconnected and interdependent. Today, an economic crisis anywhere can affect economies everywhere. Recent months have brought serious financial problems to Thailand, Indonesia, South Korea, and beyond.</w:t>
      </w:r>
    </w:p>
    <w:p w:rsidR="00A31137" w:rsidRPr="00A31137" w:rsidRDefault="00A31137" w:rsidP="00A31137">
      <w:r w:rsidRPr="00A31137">
        <w:t>Clinton, State of the Union Address, 1998, p.133</w:t>
      </w:r>
    </w:p>
    <w:p w:rsidR="00A31137" w:rsidRPr="00A31137" w:rsidRDefault="00A31137" w:rsidP="00A31137">
      <w:r w:rsidRPr="00A31137">
        <w:t>Now, why should Americans be concerned about this? First, these countries are our customers. If they sink into recession, they won't be able to buy the goods we'd like to sell them. Second, they're also our competitors. So if their currencies lose their value and go down, then the price of their goods will drop, flooding our market and others with much cheaper goods, which makes it a lot tougher for our people to compete. And finally, they are our strategic partners. Their stability bolsters our security.</w:t>
      </w:r>
    </w:p>
    <w:p w:rsidR="00A31137" w:rsidRPr="00A31137" w:rsidRDefault="00A31137" w:rsidP="00A31137">
      <w:r w:rsidRPr="00A31137">
        <w:t>Clinton, State of the Union Address, 1998, p.133</w:t>
      </w:r>
    </w:p>
    <w:p w:rsidR="00A31137" w:rsidRPr="00A31137" w:rsidRDefault="00A31137" w:rsidP="00A31137">
      <w:r w:rsidRPr="00A31137">
        <w:t>The American economy remains sound and strong, and I want to keep it that way. But because the turmoil in Asia will have an impact on all the world's economies, including ours, making that negative impact as small as possible is the right thing to do for America and the right thing to do for a safer world.</w:t>
      </w:r>
    </w:p>
    <w:p w:rsidR="00A31137" w:rsidRPr="00A31137" w:rsidRDefault="00A31137" w:rsidP="00A31137">
      <w:r w:rsidRPr="00A31137">
        <w:t>Clinton, State of the Union Address, 1998, p.133</w:t>
      </w:r>
    </w:p>
    <w:p w:rsidR="00A31137" w:rsidRPr="00A31137" w:rsidRDefault="00A31137" w:rsidP="00A31137">
      <w:r w:rsidRPr="00A31137">
        <w:t>Our policy is clear: No nation can recover if it does not reform itself. But when nations are willing to undertake serious economic reform, we should help them do it. So I call on Congress to renew America's commitment to the International Monetary Fund. And I think we should say to all the people we're trying to represent here that preparing for a far-off storm that may reach our shores is far wiser than ignoring the thunder till the clouds are just overhead.</w:t>
      </w:r>
    </w:p>
    <w:p w:rsidR="00A31137" w:rsidRPr="00A31137" w:rsidRDefault="00A31137" w:rsidP="00A31137">
      <w:r w:rsidRPr="00A31137">
        <w:t>Clinton, State of the Union Address, 1998, p.133</w:t>
      </w:r>
    </w:p>
    <w:p w:rsidR="00A31137" w:rsidRPr="00A31137" w:rsidRDefault="00A31137" w:rsidP="00A31137">
      <w:r w:rsidRPr="00A31137">
        <w:t>A strong nation rests on the rock of responsibility. A society rooted in responsibility must first promote the value of work, not welfare. We can be proud that after decades of finger-pointing and failure, together we ended the old welfare system. And we're now replacing welfare checks with paychecks.</w:t>
      </w:r>
    </w:p>
    <w:p w:rsidR="00A31137" w:rsidRPr="00A31137" w:rsidRDefault="00A31137" w:rsidP="00A31137">
      <w:r w:rsidRPr="00A31137">
        <w:t>Clinton, State of the Union Address, 1998, p.133</w:t>
      </w:r>
    </w:p>
    <w:p w:rsidR="00A31137" w:rsidRPr="00A31137" w:rsidRDefault="00A31137" w:rsidP="00A31137">
      <w:r w:rsidRPr="00A31137">
        <w:t>Last year, after a record 4-year decline in welfare rolls, I challenged our Nation to move 2 million more Americans off welfare by the year 2000. I'm pleased to report we have also met that goal, 2 full years ahead of schedule.</w:t>
      </w:r>
    </w:p>
    <w:p w:rsidR="00A31137" w:rsidRPr="00A31137" w:rsidRDefault="00A31137" w:rsidP="00A31137">
      <w:r w:rsidRPr="00A31137">
        <w:t>Clinton, State of the Union Address, 1998, p.133</w:t>
      </w:r>
    </w:p>
    <w:p w:rsidR="00A31137" w:rsidRPr="00A31137" w:rsidRDefault="00A31137" w:rsidP="00A31137">
      <w:r w:rsidRPr="00A31137">
        <w:t>This is a grand achievement, the sum of many acts of individual courage, persistence, and hope. For 13 years, Elaine Kinslow of Indianapolis, Indiana, was on and off welfare. Today, she's a dispatcher with a van company. She's saved enough money to move her family into a good neighborhood, and she's helping other welfare recipients go to work. Elaine Kinslow and all those like her are the real heroes of the welfare revolution. There are millions like her all across America. And I'm happy she could join the First Lady tonight. Elaine, we're very proud of you. Please stand up. [Applause]</w:t>
      </w:r>
    </w:p>
    <w:p w:rsidR="00A31137" w:rsidRPr="00A31137" w:rsidRDefault="00A31137" w:rsidP="00A31137">
      <w:r w:rsidRPr="00A31137">
        <w:t>Clinton, State of the Union Address, 1998, p.133</w:t>
      </w:r>
    </w:p>
    <w:p w:rsidR="00A31137" w:rsidRPr="00A31137" w:rsidRDefault="00A31137" w:rsidP="00A31137">
      <w:r w:rsidRPr="00A31137">
        <w:t>We still have a lot more to do, all of us, to make welfare reform a success—providing child care, helping families move closer to available jobs, challenging more companies to join our welfare-to-work partnership, increasing child support collections from deadbeat parents who have a duty to support their own children. I also want to thank Congress for restoring some of the benefits to immigrants who are here legally and working hard, and I hope you will finish that job this year.</w:t>
      </w:r>
    </w:p>
    <w:p w:rsidR="00A31137" w:rsidRPr="00A31137" w:rsidRDefault="00A31137" w:rsidP="00A31137">
      <w:r w:rsidRPr="00A31137">
        <w:t>Clinton, State of the Union Address, 1998, p.133</w:t>
      </w:r>
    </w:p>
    <w:p w:rsidR="00A31137" w:rsidRPr="00A31137" w:rsidRDefault="00A31137" w:rsidP="00A31137">
      <w:r w:rsidRPr="00A31137">
        <w:t>We have to make it possible for all hard-working families to meet their most important responsibilities. Two years ago we helped guarantee that Americans can keep their health insurance when they change jobs. Last year we extended health care to up to 5 million children. This year, I challenge Congress to take the next historic steps.</w:t>
      </w:r>
    </w:p>
    <w:p w:rsidR="00A31137" w:rsidRPr="00A31137" w:rsidRDefault="00A31137" w:rsidP="00A31137">
      <w:r w:rsidRPr="00A31137">
        <w:t>Clinton, State of the Union Address, 1998, p.133</w:t>
      </w:r>
    </w:p>
    <w:p w:rsidR="00A31137" w:rsidRPr="00A31137" w:rsidRDefault="00A31137" w:rsidP="00A31137">
      <w:r w:rsidRPr="00A31137">
        <w:t>A hundred and sixty million of our fellow citizens are in managed care plans. These [p.134] plans save money, and they can improve care. But medical decisions ought to be made by medical doctors, not insurance company accountants. I urge this Congress to reach across the aisle and write into law a consumer bill of rights that says this: You have the right to know all your medical options, not just the cheapest. You have the right to choose the doctor you want for the care you need. You have the right to emergency room care, wherever and whenever you need it. You have the right to keep your medical records confidential. Traditional care or managed care, every American deserves quality care.</w:t>
      </w:r>
    </w:p>
    <w:p w:rsidR="00A31137" w:rsidRPr="00A31137" w:rsidRDefault="00A31137" w:rsidP="00A31137">
      <w:r w:rsidRPr="00A31137">
        <w:t>Clinton, State of the Union Address, 1998, p.134</w:t>
      </w:r>
    </w:p>
    <w:p w:rsidR="00A31137" w:rsidRPr="00A31137" w:rsidRDefault="00A31137" w:rsidP="00A31137">
      <w:r w:rsidRPr="00A31137">
        <w:t>Millions of Americans between the ages of 55 and 65 have lost their health insurance. Some are retired; some are laid off; some lose their coverage when their spouses retire. After a lifetime of work, they are left with nowhere to turn. So I ask the Congress, let these hard-working Americans buy into the Medicare system. It won't add a dime to the deficit, but the peace of mind it will provide will be priceless.</w:t>
      </w:r>
    </w:p>
    <w:p w:rsidR="00A31137" w:rsidRPr="00A31137" w:rsidRDefault="00A31137" w:rsidP="00A31137">
      <w:r w:rsidRPr="00A31137">
        <w:t>Clinton, State of the Union Address, 1998, p.134</w:t>
      </w:r>
    </w:p>
    <w:p w:rsidR="00A31137" w:rsidRPr="00A31137" w:rsidRDefault="00A31137" w:rsidP="00A31137">
      <w:r w:rsidRPr="00A31137">
        <w:t>Next, we must help parents protect their children from the gravest health threat that they face: an epidemic of teen smoking, spread by multimillion-dollar marketing campaigns. I challenge Congress: Let's pass bipartisan, comprehensive legislation that will improve public health, protect our tobacco farmers, and change the way tobacco companies do business forever. Let's do what it takes to bring teen smoking down. Let's raise the price of cigarettes by up to a dollar and a half a pack over the next 10 years, with penalties on the tobacco industry if it keeps marketing to our children. Tomorrow, like every day, 3,000 children will start smoking, and 1,000 will die early as a result. Let this Congress be remembered as the Congress that saved their lives.</w:t>
      </w:r>
    </w:p>
    <w:p w:rsidR="00A31137" w:rsidRPr="00A31137" w:rsidRDefault="00A31137" w:rsidP="00A31137">
      <w:r w:rsidRPr="00A31137">
        <w:t>Clinton, State of the Union Address, 1998, p.134</w:t>
      </w:r>
    </w:p>
    <w:p w:rsidR="00A31137" w:rsidRPr="00A31137" w:rsidRDefault="00A31137" w:rsidP="00A31137">
      <w:r w:rsidRPr="00A31137">
        <w:t>In the new economy, most parents work harder than ever. They face a constant struggle to balance their obligations to be good workers and their even more important obligations to be good parents. The Family and Medical Leave Act was the very first bill I was privileged to sign into law as President in 1993. Since then, about 15 million people have taken advantage of it, and I've met a lot of them all across this country. I ask you to extend that law to cover 10 million more workers and to give parents time off when they have to go see their children's teachers or take them to the doctor.</w:t>
      </w:r>
    </w:p>
    <w:p w:rsidR="00A31137" w:rsidRPr="00A31137" w:rsidRDefault="00A31137" w:rsidP="00A31137">
      <w:r w:rsidRPr="00A31137">
        <w:t>Clinton, State of the Union Address, 1998, p.134</w:t>
      </w:r>
    </w:p>
    <w:p w:rsidR="00A31137" w:rsidRPr="00A31137" w:rsidRDefault="00A31137" w:rsidP="00A31137">
      <w:r w:rsidRPr="00A31137">
        <w:t>Child care is the next frontier we must face to enable people to succeed at home and at work. Last year I cohosted the very first White House Conference on Child Care with one of our foremost experts, America's First Lady. From all corners of America, we heard the same message, without regard to region or income or political affiliation: We've got to raise the quality of child care. We've got to make it safer. We've got to make it more affordable.</w:t>
      </w:r>
    </w:p>
    <w:p w:rsidR="00A31137" w:rsidRPr="00A31137" w:rsidRDefault="00A31137" w:rsidP="00A31137">
      <w:r w:rsidRPr="00A31137">
        <w:t>Clinton, State of the Union Address, 1998, p.134</w:t>
      </w:r>
    </w:p>
    <w:p w:rsidR="00A31137" w:rsidRPr="00A31137" w:rsidRDefault="00A31137" w:rsidP="00A31137">
      <w:r w:rsidRPr="00A31137">
        <w:t>So here's my plan: Help families to pay for child care for a million more children; scholarships and background checks for child care workers, and a new emphasis on early learning; tax credits for businesses that provide child care for their employees; and a larger child care tax credit for working families. Now, if you pass my plan, what this means is that a family of four with an income of $35,000 and high child care costs will no longer pay a single penny of Federal income tax.</w:t>
      </w:r>
    </w:p>
    <w:p w:rsidR="00A31137" w:rsidRPr="00A31137" w:rsidRDefault="00A31137" w:rsidP="00A31137">
      <w:r w:rsidRPr="00A31137">
        <w:t>Clinton, State of the Union Address, 1998, p.134</w:t>
      </w:r>
    </w:p>
    <w:p w:rsidR="00A31137" w:rsidRPr="00A31137" w:rsidRDefault="00A31137" w:rsidP="00A31137">
      <w:r w:rsidRPr="00A31137">
        <w:t>I think this is such a big issue with me because of my own personal experience. I have often wondered how my mother, when she was a young widow, would have been able to go away to school and get an education and come back and support me if my grandparents hadn't been able to take care of me. She and I were really very lucky. How many other families have never had that same opportunity? The truth is, we don't know the answer to that question. But we do know what the answer should be: Not a single American family should ever have to choose between the job they need and the child they love.</w:t>
      </w:r>
    </w:p>
    <w:p w:rsidR="00A31137" w:rsidRPr="00A31137" w:rsidRDefault="00A31137" w:rsidP="00A31137">
      <w:r w:rsidRPr="00A31137">
        <w:t>Clinton, State of the Union Address, 1998, p.134</w:t>
      </w:r>
    </w:p>
    <w:p w:rsidR="00A31137" w:rsidRPr="00A31137" w:rsidRDefault="00A31137" w:rsidP="00A31137">
      <w:r w:rsidRPr="00A31137">
        <w:t>A society rooted in responsibility must provide safe streets, safe schools, and safe neighborhoods. We pursued a strategy of more police, tougher punishment, smarter prevention, with crimefighting partnerships with local law enforcement and citizen groups, where the rubber hits the road. I can report to you tonight that it's working. Violent crime is down; robbery is down; assault is down; burglary is down—for 5 years in a row, all across America. We need to finish the job [p.135] of putting 100,000 more police on our streets.</w:t>
      </w:r>
    </w:p>
    <w:p w:rsidR="00A31137" w:rsidRPr="00A31137" w:rsidRDefault="00A31137" w:rsidP="00A31137">
      <w:r w:rsidRPr="00A31137">
        <w:t>Clinton, State of the Union Address, 1998, p.135</w:t>
      </w:r>
    </w:p>
    <w:p w:rsidR="00A31137" w:rsidRPr="00A31137" w:rsidRDefault="00A31137" w:rsidP="00A31137">
      <w:r w:rsidRPr="00A31137">
        <w:t>Again, I ask Congress to pass a juvenile crime bill that provides more prosecutors and probation officers, to crack down on gangs and guns and drugs, and bar violent juveniles from buying guns for life. And I ask you to dramatically expand our support for after-school programs. I think every American should know that most juvenile crime is committed between the hours of 3 in the afternoon and 8 at night. We can keep so many of our children out of trouble in the first place if we give them someplace to go other than the streets, and we ought to do it.</w:t>
      </w:r>
    </w:p>
    <w:p w:rsidR="00A31137" w:rsidRPr="00A31137" w:rsidRDefault="00A31137" w:rsidP="00A31137">
      <w:r w:rsidRPr="00A31137">
        <w:t>Clinton, State of the Union Address, 1998, p.135</w:t>
      </w:r>
    </w:p>
    <w:p w:rsidR="00A31137" w:rsidRPr="00A31137" w:rsidRDefault="00A31137" w:rsidP="00A31137">
      <w:r w:rsidRPr="00A31137">
        <w:t>Drug use is on the decline. I thank General McCaffrey for his leadership, and I thank this Congress for passing the largest antidrug budget in history. Now I ask you to join me in a groundbreaking effort to hire 1,000 new Border Patrol agents and to deploy the most sophisticated available new technologies to help close the door on drugs at our borders.</w:t>
      </w:r>
    </w:p>
    <w:p w:rsidR="00A31137" w:rsidRPr="00A31137" w:rsidRDefault="00A31137" w:rsidP="00A31137">
      <w:r w:rsidRPr="00A31137">
        <w:t>Clinton, State of the Union Address, 1998, p.135</w:t>
      </w:r>
    </w:p>
    <w:p w:rsidR="00A31137" w:rsidRPr="00A31137" w:rsidRDefault="00A31137" w:rsidP="00A31137">
      <w:r w:rsidRPr="00A31137">
        <w:t>Police, prosecutors, and prevention programs, as good as they are, they can't work if our court system doesn't work. Today there are large number of vacancies in the Federal courts. Here is what the Chief Justice of the United States wrote: "Judicial vacancies cannot remain at such high levels indefinitely without eroding the quality of justice." I simply ask the United States Senate to heed this plea and vote on the highly qualified judicial nominees before you, up or down.</w:t>
      </w:r>
    </w:p>
    <w:p w:rsidR="00A31137" w:rsidRPr="00A31137" w:rsidRDefault="00A31137" w:rsidP="00A31137">
      <w:r w:rsidRPr="00A31137">
        <w:t>Clinton, State of the Union Address, 1998, p.135</w:t>
      </w:r>
    </w:p>
    <w:p w:rsidR="00A31137" w:rsidRPr="00A31137" w:rsidRDefault="00A31137" w:rsidP="00A31137">
      <w:r w:rsidRPr="00A31137">
        <w:t>We must exercise responsibility not just at home but around the world. On the eve of a new century, we have the power and the duty to build a new era of peace and security. But make no mistake about it, today's possibilities are not tomorrow's guarantees. America must stand against the poisoned appeals of extreme nationalism. We must combat an unholy axis of new threats from terrorists, international criminals, and drug traffickers. These 21st century predators feed on technology and the free flow of information and ideas and people. And they will be all the more lethal if weapons of mass destruction fall into their hands.</w:t>
      </w:r>
    </w:p>
    <w:p w:rsidR="00A31137" w:rsidRPr="00A31137" w:rsidRDefault="00A31137" w:rsidP="00A31137">
      <w:r w:rsidRPr="00A31137">
        <w:t>Clinton, State of the Union Address, 1998, p.135</w:t>
      </w:r>
    </w:p>
    <w:p w:rsidR="00A31137" w:rsidRPr="00A31137" w:rsidRDefault="00A31137" w:rsidP="00A31137">
      <w:r w:rsidRPr="00A31137">
        <w:t>To meet these challenges, we are helping to write international rules of the road for the 21st century, protecting those who join the family of nations and isolating those who do not. Within days, I will ask the Senate for its advice and consent to make Hungary, Poland, and the Czech Republic the newest members of NATO. For 50 years, NATO contained communism and kept America and Europe secure. Now these three formerly Communist countries have said yes to democracy. I ask the Senate to say yes to them, our new allies. By taking in new members and working closely with new partners, including Russia and Ukraine, NATO can help to assure that Europe is a stronghold for peace in the 21st century.</w:t>
      </w:r>
    </w:p>
    <w:p w:rsidR="00A31137" w:rsidRPr="00A31137" w:rsidRDefault="00A31137" w:rsidP="00A31137">
      <w:r w:rsidRPr="00A31137">
        <w:t>Clinton, State of the Union Address, 1998, p.135</w:t>
      </w:r>
    </w:p>
    <w:p w:rsidR="00A31137" w:rsidRPr="00A31137" w:rsidRDefault="00A31137" w:rsidP="00A31137">
      <w:r w:rsidRPr="00A31137">
        <w:t>Next, I will ask Congress to continue its support of our troops and their mission in Bosnia. This Christmas, Hillary and I traveled to Sarajevo with Senator and Mrs. Dole and a bipartisan congressional delegation. We saw children playing in the streets, where 2 years ago they were hiding from snipers and shells. The shops are filled with food; the cafes were alive with conversation. The progress there is unmistakable, but it is not yet irreversible. To take firm root, Bosnia's fragile peace still needs the support of American and allied troops when the current NATO mission ends in June. I think Senator Dole actually said it best. He said, "This is like being ahead in the 4th quarter of a football game. Now is not the time to walk off the field and forfeit the victory."</w:t>
      </w:r>
    </w:p>
    <w:p w:rsidR="00A31137" w:rsidRPr="00A31137" w:rsidRDefault="00A31137" w:rsidP="00A31137">
      <w:r w:rsidRPr="00A31137">
        <w:t>Clinton, State of the Union Address, 1998, p.135</w:t>
      </w:r>
    </w:p>
    <w:p w:rsidR="00A31137" w:rsidRPr="00A31137" w:rsidRDefault="00A31137" w:rsidP="00A31137">
      <w:r w:rsidRPr="00A31137">
        <w:t>I wish all of you could have seen our troops in Tuzla. They're very proud of what they're doing in Bosnia, and we're all very proud of them. One of those—[applause]—thank you—one of those brave soldiers is sitting with the First Lady tonight: Army Sergeant Michael Tolbert. His father was a decorated Vietnam vet. After college in Colorado, he joined the Army. Last year he led an infantry unit that stopped a mob of extremists from taking over a radio station that is a voice of democracy and tolerance in Bosnia. Thank you very much, Sergeant, for what you represent. Please stand up. [Applause]</w:t>
      </w:r>
    </w:p>
    <w:p w:rsidR="00A31137" w:rsidRPr="00A31137" w:rsidRDefault="00A31137" w:rsidP="00A31137">
      <w:r w:rsidRPr="00A31137">
        <w:t>Clinton, State of the Union Address, 1998, p.135</w:t>
      </w:r>
    </w:p>
    <w:p w:rsidR="00A31137" w:rsidRPr="00A31137" w:rsidRDefault="00A31137" w:rsidP="00A31137">
      <w:r w:rsidRPr="00A31137">
        <w:t xml:space="preserve">In Bosnia and around the world, our men and women in uniform always do their mission well. Our mission must be to keep them well-trained and ready, to improve their quality of life, and to provide the 21st century weapons they need to defeat any enemy. [p.136] </w:t>
      </w:r>
    </w:p>
    <w:p w:rsidR="00A31137" w:rsidRPr="00A31137" w:rsidRDefault="00A31137" w:rsidP="00A31137">
      <w:r w:rsidRPr="00A31137">
        <w:t>Clinton, State of the Union Address, 1998, p.136</w:t>
      </w:r>
    </w:p>
    <w:p w:rsidR="00A31137" w:rsidRPr="00A31137" w:rsidRDefault="00A31137" w:rsidP="00A31137">
      <w:r w:rsidRPr="00A31137">
        <w:t>I ask Congress to join me in pursuing an ambitious agenda to reduce the serious threat of weapons of mass destruction. This year, four decades after it was first proposed by President Eisenhower, a comprehensive nuclear test ban is within reach. By ending nuclear testing, we can help to prevent the development of new and more dangerous weapons and make it more difficult for non-nuclear states to build them. I'm pleased to announce that four former Chairmen of the Joint Chiefs of Staff—Generals John Shalikashvili, Colin Powell, and David Jones and Admiral William Crowe—have endorsed this treaty. And I ask the Senate to approve it this year. [Applause] Thank you.</w:t>
      </w:r>
    </w:p>
    <w:p w:rsidR="00A31137" w:rsidRPr="00A31137" w:rsidRDefault="00A31137" w:rsidP="00A31137">
      <w:r w:rsidRPr="00A31137">
        <w:t>Clinton, State of the Union Address, 1998, p.136</w:t>
      </w:r>
    </w:p>
    <w:p w:rsidR="00A31137" w:rsidRPr="00A31137" w:rsidRDefault="00A31137" w:rsidP="00A31137">
      <w:r w:rsidRPr="00A31137">
        <w:t>Together, we must confront the new hazards of chemical and biological weapons and the outlaw states, terrorists, and organized criminals seeking to acquire them. Saddam Hussein has spent the better part of this decade and much of his nation's wealth not on providing for the Iraqi people but on developing nuclear, chemical, and biological weapons and the missiles to deliver them. The United Nations weapons inspectors have done a truly remarkable job finding and destroying more of Iraq's arsenal than was destroyed during the entire Gulf war. Now Saddam Hussein wants to stop them from completing their mission.</w:t>
      </w:r>
    </w:p>
    <w:p w:rsidR="00A31137" w:rsidRPr="00A31137" w:rsidRDefault="00A31137" w:rsidP="00A31137">
      <w:r w:rsidRPr="00A31137">
        <w:t>Clinton, State of the Union Address, 1998, p.136</w:t>
      </w:r>
    </w:p>
    <w:p w:rsidR="00A31137" w:rsidRPr="00A31137" w:rsidRDefault="00A31137" w:rsidP="00A31137">
      <w:r w:rsidRPr="00A31137">
        <w:t>I know I speak for everyone in this chamber, Republicans and Democrats, when I say to Saddam Hussein, "You cannot defy the will of the world," and when I say to him, "You have used weapons of mass destruction before. We are determined to deny you the capacity to use them again."</w:t>
      </w:r>
    </w:p>
    <w:p w:rsidR="00A31137" w:rsidRPr="00A31137" w:rsidRDefault="00A31137" w:rsidP="00A31137">
      <w:r w:rsidRPr="00A31137">
        <w:t>Clinton, State of the Union Address, 1998, p.136</w:t>
      </w:r>
    </w:p>
    <w:p w:rsidR="00A31137" w:rsidRPr="00A31137" w:rsidRDefault="00A31137" w:rsidP="00A31137">
      <w:r w:rsidRPr="00A31137">
        <w:t>Last year the Senate ratified the Chemical Weapons Convention to protect our soldiers and citizens from poison gas. Now we must act to prevent the use of disease as a weapon of war and terror. The Biological Weapons Convention has been in effect for 23 years now. The rules are good, but the enforcement is weak. We must strengthen it with a new international inspection system to detect and deter cheating.</w:t>
      </w:r>
    </w:p>
    <w:p w:rsidR="00A31137" w:rsidRPr="00A31137" w:rsidRDefault="00A31137" w:rsidP="00A31137">
      <w:r w:rsidRPr="00A31137">
        <w:t>Clinton, State of the Union Address, 1998, p.136</w:t>
      </w:r>
    </w:p>
    <w:p w:rsidR="00A31137" w:rsidRPr="00A31137" w:rsidRDefault="00A31137" w:rsidP="00A31137">
      <w:r w:rsidRPr="00A31137">
        <w:t>In the months ahead, I will pursue our security strategy with old allies in Asia and Europe and new partners from Africa to India and Pakistan, from South America to China. And from Belfast to Korea to the Middle East, America will continue to stand with those who stand for peace.</w:t>
      </w:r>
    </w:p>
    <w:p w:rsidR="00A31137" w:rsidRPr="00A31137" w:rsidRDefault="00A31137" w:rsidP="00A31137">
      <w:r w:rsidRPr="00A31137">
        <w:t>Clinton, State of the Union Address, 1998, p.136</w:t>
      </w:r>
    </w:p>
    <w:p w:rsidR="00A31137" w:rsidRPr="00A31137" w:rsidRDefault="00A31137" w:rsidP="00A31137">
      <w:r w:rsidRPr="00A31137">
        <w:t>Finally, it's long past time to make good on our debt to the United Nations. [Applause] Thank you. More and more, we are working with other nations to achieve common goals. If we want America to lead, we've got to set a good example. As we see so clearly in Bosnia, allies who share our goals can also share our burdens. In this new era, our freedom and independence are actually enriched, not weakened, by our increasing interdependence with other nations. But we have to do our part.</w:t>
      </w:r>
    </w:p>
    <w:p w:rsidR="00A31137" w:rsidRPr="00A31137" w:rsidRDefault="00A31137" w:rsidP="00A31137">
      <w:r w:rsidRPr="00A31137">
        <w:t>Clinton, State of the Union Address, 1998, p.136</w:t>
      </w:r>
    </w:p>
    <w:p w:rsidR="00A31137" w:rsidRPr="00A31137" w:rsidRDefault="00A31137" w:rsidP="00A31137">
      <w:r w:rsidRPr="00A31137">
        <w:t>Our Founders set America on a permanent course toward a more perfect Union. To all of you I say, it is a journey we can only make together, living as one community. First, we have to continue to reform our Government, the instrument of our national community. Everyone knows elections have become too expensive, fueling a fundraising arms race. This year, by March 6th, at long last the Senate will actually vote on bipartisan campaign finance reform proposed by Senators McCain and Feingold. Let's be clear: A vote against McCain-Feingold is a vote for soft money and for the status quo. I ask you to strengthen our democracy and pass campaign finance reform this year.</w:t>
      </w:r>
    </w:p>
    <w:p w:rsidR="00A31137" w:rsidRPr="00A31137" w:rsidRDefault="00A31137" w:rsidP="00A31137">
      <w:r w:rsidRPr="00A31137">
        <w:t>Clinton, State of the Union Address, 1998, p.136</w:t>
      </w:r>
    </w:p>
    <w:p w:rsidR="00A31137" w:rsidRPr="00A31137" w:rsidRDefault="00A31137" w:rsidP="00A31137">
      <w:r w:rsidRPr="00A31137">
        <w:t>At least equally important, we have to address the real reason for the explosion in campaign costs: the high cost of media advertising.</w:t>
      </w:r>
    </w:p>
    <w:p w:rsidR="00A31137" w:rsidRPr="00A31137" w:rsidRDefault="00A31137" w:rsidP="00A31137">
      <w:r w:rsidRPr="00A31137">
        <w:t>Clinton, State of the Union Address, 1998, p.136</w:t>
      </w:r>
    </w:p>
    <w:p w:rsidR="00A31137" w:rsidRPr="00A31137" w:rsidRDefault="00A31137" w:rsidP="00A31137">
      <w:r w:rsidRPr="00A31137">
        <w:t>[At this point, audience members responded.]</w:t>
      </w:r>
    </w:p>
    <w:p w:rsidR="00A31137" w:rsidRPr="00A31137" w:rsidRDefault="00A31137" w:rsidP="00A31137">
      <w:r w:rsidRPr="00A31137">
        <w:t>Clinton, State of the Union Address, 1998, p.136</w:t>
      </w:r>
    </w:p>
    <w:p w:rsidR="00A31137" w:rsidRPr="00A31137" w:rsidRDefault="00A31137" w:rsidP="00A31137">
      <w:r w:rsidRPr="00A31137">
        <w:t>To the folks watching at home, those were the groans of pain in the audience. [Laughter] I will formally request that the Federal Communications Commission act to provide free or reduced-cost television time for candidates who observe spending limits voluntarily. The airwaves are a public trust, and broadcasters also have to help us in this effort to strengthen our democracy.</w:t>
      </w:r>
    </w:p>
    <w:p w:rsidR="00A31137" w:rsidRPr="00A31137" w:rsidRDefault="00A31137" w:rsidP="00A31137">
      <w:r w:rsidRPr="00A31137">
        <w:t>Clinton, State of the Union Address, 1998, p.136</w:t>
      </w:r>
    </w:p>
    <w:p w:rsidR="00A31137" w:rsidRPr="00A31137" w:rsidRDefault="00A31137" w:rsidP="00A31137">
      <w:r w:rsidRPr="00A31137">
        <w:t>Under the leadership of Vice President Gore, we've reduced the Federal payroll by 300,000 workers, cut 16,000 pages of regulation, eliminated hundreds of programs, and improved the operations of virtually every Government agency. But we can do more. Like every taxpayer, I'm outraged by the reports of abuses by the IRS. We need some [p.137] changes there: new citizen advocacy panels, a stronger taxpayer advocate, phone lines open 24 hours a day, relief for innocent taxpayers. Last year, by an overwhelming bipartisan margin, the House of Representatives passed sweeping IRS reforms. This bill must not now languish in the Senate. Tonight I ask the Senate: Follow the House; pass the bipartisan package as your first order of business.</w:t>
      </w:r>
    </w:p>
    <w:p w:rsidR="00A31137" w:rsidRPr="00A31137" w:rsidRDefault="00A31137" w:rsidP="00A31137">
      <w:r w:rsidRPr="00A31137">
        <w:t>Clinton, State of the Union Address, 1998, p.137</w:t>
      </w:r>
    </w:p>
    <w:p w:rsidR="00A31137" w:rsidRPr="00A31137" w:rsidRDefault="00A31137" w:rsidP="00A31137">
      <w:r w:rsidRPr="00A31137">
        <w:t>I hope to goodness before I finish I can think of something to say "follow the Senate" on, so I'll be out of trouble. [Laughter]</w:t>
      </w:r>
    </w:p>
    <w:p w:rsidR="00A31137" w:rsidRPr="00A31137" w:rsidRDefault="00A31137" w:rsidP="00A31137">
      <w:r w:rsidRPr="00A31137">
        <w:t>Clinton, State of the Union Address, 1998, p.137</w:t>
      </w:r>
    </w:p>
    <w:p w:rsidR="00A31137" w:rsidRPr="00A31137" w:rsidRDefault="00A31137" w:rsidP="00A31137">
      <w:r w:rsidRPr="00A31137">
        <w:t>A nation that lives as a community must value all its communities. For the past 5 years, we have worked to bring the spark of private enterprise to inner city and poor rural areas, with community development banks, more commercial loans in the poor neighborhoods, cleanup of polluted sites for development. Under the continued leadership of the Vice President, we propose to triple the number of empowerment zones to give business incentives to invest in those areas. We should—[applause]—thank you—we should also give poor families more help to move into homes of their own, and we should use tax cuts to spur the construction of more low-income housing.</w:t>
      </w:r>
    </w:p>
    <w:p w:rsidR="00A31137" w:rsidRPr="00A31137" w:rsidRDefault="00A31137" w:rsidP="00A31137">
      <w:r w:rsidRPr="00A31137">
        <w:t>Clinton, State of the Union Address, 1998, p.137</w:t>
      </w:r>
    </w:p>
    <w:p w:rsidR="00A31137" w:rsidRPr="00A31137" w:rsidRDefault="00A31137" w:rsidP="00A31137">
      <w:r w:rsidRPr="00A31137">
        <w:t>Last year, this Congress took strong action to help the District of Columbia. Let us renew our resolve to make our Capital City a great city for all who live and visit here. Our cities are the vibrant hubs of great metropolitan areas. They are still the gateways for new immigrants, from every continent, who come here to work for their own American dreams. Let's keep our cities going strong into the 21st century; they're a very important part of our future.</w:t>
      </w:r>
    </w:p>
    <w:p w:rsidR="00A31137" w:rsidRPr="00A31137" w:rsidRDefault="00A31137" w:rsidP="00A31137">
      <w:r w:rsidRPr="00A31137">
        <w:t>Clinton, State of the Union Address, 1998, p.137</w:t>
      </w:r>
    </w:p>
    <w:p w:rsidR="00A31137" w:rsidRPr="00A31137" w:rsidRDefault="00A31137" w:rsidP="00A31137">
      <w:r w:rsidRPr="00A31137">
        <w:t>Our communities are only as healthy as the air our children breathe, the water they drink, the Earth they will inherit. Last year we put in place the toughest-ever controls on smog and soot. We moved to protect Yellowstone, the Everglades, Lake Tahoe. We expanded every community's right to know about the toxins that threaten their children. Just yesterday, our food safety plan took effect, using new science to protect consumers from dangers like E. coli and salmonella.</w:t>
      </w:r>
    </w:p>
    <w:p w:rsidR="00A31137" w:rsidRPr="00A31137" w:rsidRDefault="00A31137" w:rsidP="00A31137">
      <w:r w:rsidRPr="00A31137">
        <w:t>Clinton, State of the Union Address, 1998, p.137</w:t>
      </w:r>
    </w:p>
    <w:p w:rsidR="00A31137" w:rsidRPr="00A31137" w:rsidRDefault="00A31137" w:rsidP="00A31137">
      <w:r w:rsidRPr="00A31137">
        <w:t>Tonight I ask you to join me in launching a new clean water initiative, a far-reaching effort to clean our rivers, our lakes, and our coastal waters for our children. [Applause] Thank you.</w:t>
      </w:r>
    </w:p>
    <w:p w:rsidR="00A31137" w:rsidRPr="00A31137" w:rsidRDefault="00A31137" w:rsidP="00A31137">
      <w:r w:rsidRPr="00A31137">
        <w:t>Clinton, State of the Union Address, 1998, p.137</w:t>
      </w:r>
    </w:p>
    <w:p w:rsidR="00A31137" w:rsidRPr="00A31137" w:rsidRDefault="00A31137" w:rsidP="00A31137">
      <w:r w:rsidRPr="00A31137">
        <w:t>Our overriding environmental challenge tonight is the worldwide problem of climate change, global warming, the gathering crisis that requires worldwide action. The vast majority of scientists have concluded unequivocally that if we don't reduce the emission of greenhouse gases, at some point in the next century, we'll disrupt our climate and put our children and grandchildren at risk. This past December, America led the world to reach a historic agreement committing our Nation to reduce greenhouse gas emissions through market forces, new technologies, energy efficiency. We have it in our power to act right here, right now. I propose $6 billion in tax cuts and research and development to encourage innovation, renewable energy, fuel-efficient cars, energy-efficient homes.</w:t>
      </w:r>
    </w:p>
    <w:p w:rsidR="00A31137" w:rsidRPr="00A31137" w:rsidRDefault="00A31137" w:rsidP="00A31137">
      <w:r w:rsidRPr="00A31137">
        <w:t>Clinton, State of the Union Address, 1998, p.137</w:t>
      </w:r>
    </w:p>
    <w:p w:rsidR="00A31137" w:rsidRPr="00A31137" w:rsidRDefault="00A31137" w:rsidP="00A31137">
      <w:r w:rsidRPr="00A31137">
        <w:t>Every time we have acted to heal our environment, pessimists have told us it would hurt the economy. Well, today our economy is the strongest in a generation, and our environment is the cleanest in a generation. We have always found a way to clean the environment and grow the economy at the same time. And when it comes to global warming, we'll do it again.</w:t>
      </w:r>
    </w:p>
    <w:p w:rsidR="00A31137" w:rsidRPr="00A31137" w:rsidRDefault="00A31137" w:rsidP="00A31137">
      <w:r w:rsidRPr="00A31137">
        <w:t>Clinton, State of the Union Address, 1998, p.137</w:t>
      </w:r>
    </w:p>
    <w:p w:rsidR="00A31137" w:rsidRPr="00A31137" w:rsidRDefault="00A31137" w:rsidP="00A31137">
      <w:r w:rsidRPr="00A31137">
        <w:t>Finally, community means living by the defining American value, the ideal heard 'round the world that we are all created equal. Throughout our history, we haven't always honored that ideal and we've never fully lived up to it. Often it's easier to believe that our differences matter more than what we have in common. It may be easier, but it's wrong.</w:t>
      </w:r>
    </w:p>
    <w:p w:rsidR="00A31137" w:rsidRPr="00A31137" w:rsidRDefault="00A31137" w:rsidP="00A31137">
      <w:r w:rsidRPr="00A31137">
        <w:t>Clinton, State of the Union Address, 1998, p.137</w:t>
      </w:r>
    </w:p>
    <w:p w:rsidR="00A31137" w:rsidRPr="00A31137" w:rsidRDefault="00A31137" w:rsidP="00A31137">
      <w:r w:rsidRPr="00A31137">
        <w:t>What we have to do in our day and generation to make sure that America becomes truly one nation—what do we have to do? We're becoming more and more and more diverse. Do you believe we can become one nation? The answer cannot be to dwell on our differences but to build on our shared values. We all cherish family and faith, freedom and responsibility. We all want our children to grow up in a world where their talents are matched by their opportunities.</w:t>
      </w:r>
    </w:p>
    <w:p w:rsidR="00A31137" w:rsidRPr="00A31137" w:rsidRDefault="00A31137" w:rsidP="00A31137">
      <w:r w:rsidRPr="00A31137">
        <w:t>Clinton, State of the Union Address, 1998, p.137</w:t>
      </w:r>
    </w:p>
    <w:p w:rsidR="00A31137" w:rsidRPr="00A31137" w:rsidRDefault="00A31137" w:rsidP="00A31137">
      <w:r w:rsidRPr="00A31137">
        <w:t>I've launched this national initiative on race to help us recognize our common interests and to bridge the opportunity gaps that [p.138] are keeping us from becoming one America. Let us begin by recognizing what we still must overcome. Discrimination against any American is un-American. We must vigorously enforce the laws that make it illegal. I ask your help to end the backlog at the Equal Employment Opportunity Commission. Sixty thousand of our fellow citizens are waiting in line for justice, and we should act now to end their wait.</w:t>
      </w:r>
    </w:p>
    <w:p w:rsidR="00A31137" w:rsidRPr="00A31137" w:rsidRDefault="00A31137" w:rsidP="00A31137">
      <w:r w:rsidRPr="00A31137">
        <w:t>Clinton, State of the Union Address, 1998, p.138</w:t>
      </w:r>
    </w:p>
    <w:p w:rsidR="00A31137" w:rsidRPr="00A31137" w:rsidRDefault="00A31137" w:rsidP="00A31137">
      <w:r w:rsidRPr="00A31137">
        <w:t>We also should recognize that the greatest progress we can make toward building one America lies in the progress we make for all Americans, without regard to race. When we open the doors of college to all Americans, when we rid all our streets of crime, when there are jobs available to people from all our neighborhoods, when we make sure all parents have the child care they need, we're helping to build one nation.</w:t>
      </w:r>
    </w:p>
    <w:p w:rsidR="00A31137" w:rsidRPr="00A31137" w:rsidRDefault="00A31137" w:rsidP="00A31137">
      <w:r w:rsidRPr="00A31137">
        <w:t>Clinton, State of the Union Address, 1998, p.138</w:t>
      </w:r>
    </w:p>
    <w:p w:rsidR="00A31137" w:rsidRPr="00A31137" w:rsidRDefault="00A31137" w:rsidP="00A31137">
      <w:r w:rsidRPr="00A31137">
        <w:t>We, in this Chamber and in this Government, must do all we can to address the continuing American challenge to build one America. But we'll only move forward if all our fellow citizens, including every one of you at home watching tonight, is also committed to this cause. We must work together, learn together, live together, serve together. On the forge of common enterprise, Americans of all backgrounds can hammer out a common identity. We see it today in the United States military, in the Peace Corps, in AmeriCorps. Wherever people of all races and backgrounds come together in a shared endeavor and get a fair chance, we do just fine. With shared values and meaningful opportunities and honest communication and citizen service, we can unite a diverse people in freedom and mutual respect. We are many; we must be one.</w:t>
      </w:r>
    </w:p>
    <w:p w:rsidR="00A31137" w:rsidRPr="00A31137" w:rsidRDefault="00A31137" w:rsidP="00A31137">
      <w:r w:rsidRPr="00A31137">
        <w:t>Clinton, State of the Union Address, 1998, p.138</w:t>
      </w:r>
    </w:p>
    <w:p w:rsidR="00A31137" w:rsidRPr="00A31137" w:rsidRDefault="00A31137" w:rsidP="00A31137">
      <w:r w:rsidRPr="00A31137">
        <w:t>In that spirit, let us lift our eyes to the new millennium. How will we mark that passage? It just happens once every 1,000 years. This year Hillary and I launched the White House Millennium Program to promote America's creativity and innovation, and to preserve our heritage and culture into the 21st century. Our culture lives in every community, and every community has places of historic value that tell our stories as Americans. We should protect them. I am proposing a public-private partnership to advance our arts and humanities and to celebrate the millennium by saving American's treasures, great and small.</w:t>
      </w:r>
    </w:p>
    <w:p w:rsidR="00A31137" w:rsidRPr="00A31137" w:rsidRDefault="00A31137" w:rsidP="00A31137">
      <w:r w:rsidRPr="00A31137">
        <w:t>Clinton, State of the Union Address, 1998, p.138</w:t>
      </w:r>
    </w:p>
    <w:p w:rsidR="00A31137" w:rsidRPr="00A31137" w:rsidRDefault="00A31137" w:rsidP="00A31137">
      <w:r w:rsidRPr="00A31137">
        <w:t>And while we honor the past, let us imagine the future. Now, think about this: The entire store of human knowledge now doubles every 5 years. In the 1980's, scientists identified the gene causing cystic fibrosis; it took 9 years. Last year scientists located the gene that causes Parkinson's Disease—in only 9 days. Within a decade, "gene chips" will offer a roadmap for prevention of illnesses throughout a lifetime. Soon we'll be able to carry all the phone calls on Mother's Day on a single strand of fiber the width of a human hair. A child born in 1998 may well live to see the 22d century.</w:t>
      </w:r>
    </w:p>
    <w:p w:rsidR="00A31137" w:rsidRPr="00A31137" w:rsidRDefault="00A31137" w:rsidP="00A31137">
      <w:r w:rsidRPr="00A31137">
        <w:t>Clinton, State of the Union Address, 1998, p.138</w:t>
      </w:r>
    </w:p>
    <w:p w:rsidR="00A31137" w:rsidRPr="00A31137" w:rsidRDefault="00A31137" w:rsidP="00A31137">
      <w:r w:rsidRPr="00A31137">
        <w:t>Tonight, as part of our gift to the millennium, I propose a 21st century research fund for path-breaking scientific inquiry, the largest funding increase in history for the National Institutes of Health, the National Science Foundation, the National Cancer Institute. We have already discovered genes for breast cancer and diabetes. I ask you to support this initiative so ours will be the generation that finally wins the war against cancer and begins a revolution in our fight against all deadly diseases.</w:t>
      </w:r>
    </w:p>
    <w:p w:rsidR="00A31137" w:rsidRPr="00A31137" w:rsidRDefault="00A31137" w:rsidP="00A31137">
      <w:r w:rsidRPr="00A31137">
        <w:t>Clinton, State of the Union Address, 1998, p.138</w:t>
      </w:r>
    </w:p>
    <w:p w:rsidR="00A31137" w:rsidRPr="00A31137" w:rsidRDefault="00A31137" w:rsidP="00A31137">
      <w:r w:rsidRPr="00A31137">
        <w:t>As important as all this scientific progress is, we must continue to see that science serves humanity, not the other way around. We must prevent the misuse of genetic tests to discriminate against any American. And we must ratify the ethical consensus of the scientific and religious communities and ban the cloning of human beings.</w:t>
      </w:r>
    </w:p>
    <w:p w:rsidR="00A31137" w:rsidRPr="00A31137" w:rsidRDefault="00A31137" w:rsidP="00A31137">
      <w:r w:rsidRPr="00A31137">
        <w:t>Clinton, State of the Union Address, 1998, p.138</w:t>
      </w:r>
    </w:p>
    <w:p w:rsidR="00A31137" w:rsidRPr="00A31137" w:rsidRDefault="00A31137" w:rsidP="00A31137">
      <w:r w:rsidRPr="00A31137">
        <w:t xml:space="preserve">We should enable all the world's people to explore the far reaches of cyberspace. Think of this: The first time I made a State of the Union speech to you, only a handful of physicists used the World Wide Web—literally, just a handful of people. Now, in schools, in libraries, homes, and businesses, millions and millions of Americans surf the Net every day. We must give parents the tools they need to help protect their children from inappropriate material on the Internet, but we also must make sure that we protect the exploding global commercial potential of the Internet. We can do the kinds of things that we need to do and still protect our kids. [p.139] </w:t>
      </w:r>
    </w:p>
    <w:p w:rsidR="00A31137" w:rsidRPr="00A31137" w:rsidRDefault="00A31137" w:rsidP="00A31137">
      <w:r w:rsidRPr="00A31137">
        <w:t>Clinton, State of the Union Address, 1998, p.139</w:t>
      </w:r>
    </w:p>
    <w:p w:rsidR="00A31137" w:rsidRPr="00A31137" w:rsidRDefault="00A31137" w:rsidP="00A31137">
      <w:r w:rsidRPr="00A31137">
        <w:t>For one thing, I ask Congress to step up support for building the next-generation Internet. It's getting kind of clogged, you know, and the next-generation Internet will operate at speeds up to 1,000 times faster than today.</w:t>
      </w:r>
    </w:p>
    <w:p w:rsidR="00A31137" w:rsidRPr="00A31137" w:rsidRDefault="00A31137" w:rsidP="00A31137">
      <w:r w:rsidRPr="00A31137">
        <w:t>Clinton, State of the Union Address, 1998, p.139</w:t>
      </w:r>
    </w:p>
    <w:p w:rsidR="00A31137" w:rsidRPr="00A31137" w:rsidRDefault="00A31137" w:rsidP="00A31137">
      <w:r w:rsidRPr="00A31137">
        <w:t>Even as we explore this inner space in the new millennium, we're going to open new frontiers in outer space. Throughout all history, humankind has had only one place to call home, our planet, Earth. Beginning this year, 1998, men and women from 16 countries will build a foothold in the heavens, the international space station. With its vast expanses, scientists and engineers will actually set sail on an uncharted sea of limitless mystery and unlimited potential.</w:t>
      </w:r>
    </w:p>
    <w:p w:rsidR="00A31137" w:rsidRPr="00A31137" w:rsidRDefault="00A31137" w:rsidP="00A31137">
      <w:r w:rsidRPr="00A31137">
        <w:t>Clinton, State of the Union Address, 1998, p.139</w:t>
      </w:r>
    </w:p>
    <w:p w:rsidR="00A31137" w:rsidRPr="00A31137" w:rsidRDefault="00A31137" w:rsidP="00A31137">
      <w:r w:rsidRPr="00A31137">
        <w:t>And this October, a true American hero, a veteran pilot of 149 combat missions and one 5-hour space flight that changed the world, will return to the heavens. Godspeed, John Glenn. [Applause] John, you will carry with you America's hopes. And on your uniform, once again, you will carry America's flag, marking the unbroken connection between the deeds of America's past and the daring of America's future.</w:t>
      </w:r>
    </w:p>
    <w:p w:rsidR="00A31137" w:rsidRPr="00A31137" w:rsidRDefault="00A31137" w:rsidP="00A31137">
      <w:r w:rsidRPr="00A31137">
        <w:t>Clinton, State of the Union Address, 1998, p.139</w:t>
      </w:r>
    </w:p>
    <w:p w:rsidR="00A31137" w:rsidRPr="00A31137" w:rsidRDefault="00A31137" w:rsidP="00A31137">
      <w:r w:rsidRPr="00A31137">
        <w:t>Nearly 200 years ago, a tattered flag, its broad stripes and bright stars still gleaming through the smoke of a fierce battle, moved Francis Scott Key to scribble a few words on the back of an envelope, the words that became our national anthem. Today, that Star-Spangled Banner, along with the Declaration of Independence, the Constitution, and the Bill of Rights, are on display just a short walk from here. They are America's treasures, and we must also save them for the ages.</w:t>
      </w:r>
    </w:p>
    <w:p w:rsidR="00A31137" w:rsidRPr="00A31137" w:rsidRDefault="00A31137" w:rsidP="00A31137">
      <w:r w:rsidRPr="00A31137">
        <w:t>Clinton, State of the Union Address, 1998, p.139</w:t>
      </w:r>
    </w:p>
    <w:p w:rsidR="00A31137" w:rsidRPr="00A31137" w:rsidRDefault="00A31137" w:rsidP="00A31137">
      <w:r w:rsidRPr="00A31137">
        <w:t>I ask all Americans to support our project to restore all our treasures so that the generations of the 21st century can see for themselves the images and the words that are the old and continuing glory of America; an America that has continued to rise through every age, against every challenge, a people of great works and greater possibilities, who have always, always found the wisdom and strength to come together as one nation—to widen the circle of opportunity, to deepen the meaning of our freedom, to form that more perfect Union. Let that be our gift to the 21st century.</w:t>
      </w:r>
    </w:p>
    <w:p w:rsidR="00A31137" w:rsidRPr="00A31137" w:rsidRDefault="00A31137" w:rsidP="00A31137">
      <w:r w:rsidRPr="00A31137">
        <w:t>Clinton, State of the Union Address, 1998, p.139</w:t>
      </w:r>
    </w:p>
    <w:p w:rsidR="00A31137" w:rsidRPr="00A31137" w:rsidRDefault="00A31137" w:rsidP="00A31137">
      <w:r w:rsidRPr="00A31137">
        <w:t>God bless you, and God bless the United States.</w:t>
      </w:r>
    </w:p>
    <w:p w:rsidR="00A31137" w:rsidRPr="00A31137" w:rsidRDefault="00A31137" w:rsidP="00A31137">
      <w:r w:rsidRPr="00A31137">
        <w:t>Clinton, State of the Union Address, 1998, p.139</w:t>
      </w:r>
    </w:p>
    <w:p w:rsidR="00A31137" w:rsidRPr="00A31137" w:rsidRDefault="00A31137" w:rsidP="00A31137">
      <w:r w:rsidRPr="00A31137">
        <w:t>Note: The President spoke at 9:12 p.m. in the House Chamber of the Capitol. In his remarks, he referred to former Senator Bob Dole and his wife, Elizabeth; and President Saddam Hussein of Iraq.</w:t>
      </w:r>
    </w:p>
    <w:p w:rsidR="00A31137" w:rsidRPr="00A31137" w:rsidRDefault="00A31137" w:rsidP="00A31137">
      <w:r w:rsidRPr="00A31137">
        <w:t>Clinton's BBC Interview With Prime Minister Tony Blair, May 16, 1998</w:t>
      </w:r>
    </w:p>
    <w:p w:rsidR="00A31137" w:rsidRPr="00A31137" w:rsidRDefault="00A31137" w:rsidP="00A31137">
      <w:r w:rsidRPr="00A31137">
        <w:t>Title:</w:t>
      </w:r>
      <w:r w:rsidRPr="00A31137">
        <w:tab/>
        <w:t>Clinton's BBC Interview With Prime Minister Tony Blair</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May 16, 1998</w:t>
      </w:r>
    </w:p>
    <w:p w:rsidR="00A31137" w:rsidRPr="00A31137" w:rsidRDefault="00A31137" w:rsidP="00A31137">
      <w:r w:rsidRPr="00A31137">
        <w:t>Source:</w:t>
      </w:r>
      <w:r w:rsidRPr="00A31137">
        <w:tab/>
        <w:t>Weekly Compilation of Presidential Documents, 1998, pp.887-894</w:t>
      </w:r>
    </w:p>
    <w:p w:rsidR="00A31137" w:rsidRPr="00A31137" w:rsidRDefault="00A31137" w:rsidP="00A31137">
      <w:r w:rsidRPr="00A31137">
        <w:t>Clinton, BBC Interview, May 16, 1998, p.887</w:t>
      </w:r>
    </w:p>
    <w:p w:rsidR="00A31137" w:rsidRPr="00A31137" w:rsidRDefault="00A31137" w:rsidP="00A31137">
      <w:r w:rsidRPr="00A31137">
        <w:t>Northern Ireland Peace Process</w:t>
      </w:r>
    </w:p>
    <w:p w:rsidR="00A31137" w:rsidRPr="00A31137" w:rsidRDefault="00A31137" w:rsidP="00A31137">
      <w:r w:rsidRPr="00A31137">
        <w:t>Clinton, BBC Interview, May 16, 1998, p.887</w:t>
      </w:r>
    </w:p>
    <w:p w:rsidR="00A31137" w:rsidRPr="00A31137" w:rsidRDefault="00A31137" w:rsidP="00A31137">
      <w:r w:rsidRPr="00A31137">
        <w:t>Mr. Frost. Mr. Prime Minister, Mr. President, it's a great joy to be talking. And let's begin on the subject that's on everybody's minds today, the subject of Northern Ireland. The vote may be more perilously close than was hoped a week or 2 ago. What is your message that each of you have right now to persuade doubting Unionists or doubting Catholics to persuade? How would you both begin?</w:t>
      </w:r>
    </w:p>
    <w:p w:rsidR="00A31137" w:rsidRPr="00A31137" w:rsidRDefault="00A31137" w:rsidP="00A31137">
      <w:r w:rsidRPr="00A31137">
        <w:t>Clinton, BBC Interview, May 16, 1998, p.887</w:t>
      </w:r>
    </w:p>
    <w:p w:rsidR="00A31137" w:rsidRPr="00A31137" w:rsidRDefault="00A31137" w:rsidP="00A31137">
      <w:r w:rsidRPr="00A31137">
        <w:t>Prime Minister Blair. I think it's in many ways a battle between fear and emotion on the one hand and reason and hope on the other. And the fear and the emotion is totally understandable, but it is important that people vote for reason and hope. And I say that because people ask me for reassurances on certain of the key items of the agreement. They say, "Reassure us that the IUC is not going to be disbanded or stop being a proper police force." I give that reassurance. That will be plain.</w:t>
      </w:r>
    </w:p>
    <w:p w:rsidR="00A31137" w:rsidRPr="00A31137" w:rsidRDefault="00A31137" w:rsidP="00A31137">
      <w:r w:rsidRPr="00A31137">
        <w:t>Clinton, BBC Interview, May 16, 1998, p.887</w:t>
      </w:r>
    </w:p>
    <w:p w:rsidR="00A31137" w:rsidRPr="00A31137" w:rsidRDefault="00A31137" w:rsidP="00A31137">
      <w:r w:rsidRPr="00A31137">
        <w:t>I give the reassurance, the absolute commitment that if the cross-community provisions in the agreement to exclude people from office if they engage in violence, if those don't work, then they will be changed. That will be in the legislation. I give the explicit commitment to people that decommissioning will be a factor that we take into account, a factor there, specified in the legislation, so that if people aren't abiding by the decommissioning arrangements of the independent commission on decommissioning then that can mean their exclusion or removal from office.</w:t>
      </w:r>
    </w:p>
    <w:p w:rsidR="00A31137" w:rsidRPr="00A31137" w:rsidRDefault="00A31137" w:rsidP="00A31137">
      <w:r w:rsidRPr="00A31137">
        <w:t>Clinton, BBC Interview, May 16, 1998, p.887</w:t>
      </w:r>
    </w:p>
    <w:p w:rsidR="00A31137" w:rsidRPr="00A31137" w:rsidRDefault="00A31137" w:rsidP="00A31137">
      <w:r w:rsidRPr="00A31137">
        <w:t>I give the explicit commitment that people, whether in the assembly or the shadow [p.888] assembly, cannot sit in office in Northern Ireland if they're engaged in the ballot box and the gun as a twin strategy.</w:t>
      </w:r>
    </w:p>
    <w:p w:rsidR="00A31137" w:rsidRPr="00A31137" w:rsidRDefault="00A31137" w:rsidP="00A31137">
      <w:r w:rsidRPr="00A31137">
        <w:t>Clinton, BBC Interview, May 16, 1998, p.888</w:t>
      </w:r>
    </w:p>
    <w:p w:rsidR="00A31137" w:rsidRPr="00A31137" w:rsidRDefault="00A31137" w:rsidP="00A31137">
      <w:r w:rsidRPr="00A31137">
        <w:t>Now, all those reassurances I can give. But in the end, it depends whether people are really wanting to give themselves the chance for stability and prosperity in the future, because the alternative is not where we are now. The alternative</w:t>
      </w:r>
    </w:p>
    <w:p w:rsidR="00A31137" w:rsidRPr="00A31137" w:rsidRDefault="00A31137" w:rsidP="00A31137">
      <w:r w:rsidRPr="00A31137">
        <w:t>Clinton, BBC Interview, May 16, 1998, p.888</w:t>
      </w:r>
    </w:p>
    <w:p w:rsidR="00A31137" w:rsidRPr="00A31137" w:rsidRDefault="00A31137" w:rsidP="00A31137">
      <w:r w:rsidRPr="00A31137">
        <w:t>is for Northern Ireland to slip back. So I hope that people will take that chance for the future.</w:t>
      </w:r>
    </w:p>
    <w:p w:rsidR="00A31137" w:rsidRPr="00A31137" w:rsidRDefault="00A31137" w:rsidP="00A31137">
      <w:r w:rsidRPr="00A31137">
        <w:t>Clinton, BBC Interview, May 16, 1998, p.888</w:t>
      </w:r>
    </w:p>
    <w:p w:rsidR="00A31137" w:rsidRPr="00A31137" w:rsidRDefault="00A31137" w:rsidP="00A31137">
      <w:r w:rsidRPr="00A31137">
        <w:t>Mr. Frost. What's the reassurance? What's the message you want to get across?</w:t>
      </w:r>
    </w:p>
    <w:p w:rsidR="00A31137" w:rsidRPr="00A31137" w:rsidRDefault="00A31137" w:rsidP="00A31137">
      <w:r w:rsidRPr="00A31137">
        <w:t>Clinton, BBC Interview, May 16, 1998, p.888</w:t>
      </w:r>
    </w:p>
    <w:p w:rsidR="00A31137" w:rsidRPr="00A31137" w:rsidRDefault="00A31137" w:rsidP="00A31137">
      <w:r w:rsidRPr="00A31137">
        <w:t>President Clinton. Well, of course, the United States is the home of the largest Irish diaspora, you know, both Irish Protestants and Irish Catholics. And so I suppose outside of the people involved, we care more about it than any other people. And I've worked hard to create the conditions within which the Irish could make their own peace. And what I would like to say is, first, I'm convinced there will be a great deal of increased interest in and investment in, and partnership with, Northern Ireland if this matter can be carried forward.</w:t>
      </w:r>
    </w:p>
    <w:p w:rsidR="00A31137" w:rsidRPr="00A31137" w:rsidRDefault="00A31137" w:rsidP="00A31137">
      <w:r w:rsidRPr="00A31137">
        <w:t>Clinton, BBC Interview, May 16, 1998, p.888</w:t>
      </w:r>
    </w:p>
    <w:p w:rsidR="00A31137" w:rsidRPr="00A31137" w:rsidRDefault="00A31137" w:rsidP="00A31137">
      <w:r w:rsidRPr="00A31137">
        <w:t>Secondly, I have made it as clear as I can that anyone who abandons the peace—if this agreement is embraced, anybody who returns to violence is never going to be a friend of the United States. We won't tolerate it. We won't support it. We will do everything we can to affirmatively oppose it.</w:t>
      </w:r>
    </w:p>
    <w:p w:rsidR="00A31137" w:rsidRPr="00A31137" w:rsidRDefault="00A31137" w:rsidP="00A31137">
      <w:r w:rsidRPr="00A31137">
        <w:t>Clinton, BBC Interview, May 16, 1998, p.888</w:t>
      </w:r>
    </w:p>
    <w:p w:rsidR="00A31137" w:rsidRPr="00A31137" w:rsidRDefault="00A31137" w:rsidP="00A31137">
      <w:r w:rsidRPr="00A31137">
        <w:t>But finally—I remember when I went there in December of '95. I remember the looks on the faces of the people, especially the young people, the schoolchildren I spoke with, both the Protestant and the Catholic children. And I'd just like to ask the voters to imagine what will happen if they vote no, and what do they really have to lose by voting yes, by giving this a chance? I mean, their leaders came up with this plan. Prime Minister Blair worked very hard on it. Prime Minister Ahern did. But the leaders in Northern Ireland agreed to this plan. What have they got to lose, really, by trying it? Nothing. But they have a great deal to lose by walking away, and I hope that they won't walk away.</w:t>
      </w:r>
    </w:p>
    <w:p w:rsidR="00A31137" w:rsidRPr="00A31137" w:rsidRDefault="00A31137" w:rsidP="00A31137">
      <w:r w:rsidRPr="00A31137">
        <w:t>Clinton, BBC Interview, May 16, 1998, p.888</w:t>
      </w:r>
    </w:p>
    <w:p w:rsidR="00A31137" w:rsidRPr="00A31137" w:rsidRDefault="00A31137" w:rsidP="00A31137">
      <w:r w:rsidRPr="00A31137">
        <w:t>Mr. Frost. And you mention, in terms of investment and so on, there are ways in which the new Northern Ireland—you could help the new Northern Ireland?</w:t>
      </w:r>
    </w:p>
    <w:p w:rsidR="00A31137" w:rsidRPr="00A31137" w:rsidRDefault="00A31137" w:rsidP="00A31137">
      <w:r w:rsidRPr="00A31137">
        <w:t>Clinton, BBC Interview, May 16, 1998, p.888</w:t>
      </w:r>
    </w:p>
    <w:p w:rsidR="00A31137" w:rsidRPr="00A31137" w:rsidRDefault="00A31137" w:rsidP="00A31137">
      <w:r w:rsidRPr="00A31137">
        <w:t>President Clinton. Oh, absolutely. Of course, we try every year now. We have an International Fund for Ireland. We have a very active group of American citizens from both the Protestant and Catholic communities, Irish citizens who try to increase investment. But I can tell you that the wave of elation that will sweep the friends of Ireland in the United States, should this be accepted, will be enormous. And there will just be a lot more willingness to get involved here and try to help build a future.</w:t>
      </w:r>
    </w:p>
    <w:p w:rsidR="00A31137" w:rsidRPr="00A31137" w:rsidRDefault="00A31137" w:rsidP="00A31137">
      <w:r w:rsidRPr="00A31137">
        <w:t>Clinton, BBC Interview, May 16, 1998, p.888</w:t>
      </w:r>
    </w:p>
    <w:p w:rsidR="00A31137" w:rsidRPr="00A31137" w:rsidRDefault="00A31137" w:rsidP="00A31137">
      <w:r w:rsidRPr="00A31137">
        <w:t>Mr. Frost. And in terms of the people, Prime Minister, who say, well, you've got on the one hand Sinn Fein saying this is a step toward a united Ireland; you've got David Trimble saying on the other hand that this strengthens the Union. How can both be true?</w:t>
      </w:r>
    </w:p>
    <w:p w:rsidR="00A31137" w:rsidRPr="00A31137" w:rsidRDefault="00A31137" w:rsidP="00A31137">
      <w:r w:rsidRPr="00A31137">
        <w:t>Clinton, BBC Interview, May 16, 1998, p.888</w:t>
      </w:r>
    </w:p>
    <w:p w:rsidR="00A31137" w:rsidRPr="00A31137" w:rsidRDefault="00A31137" w:rsidP="00A31137">
      <w:r w:rsidRPr="00A31137">
        <w:t>Prime Minister Blair. Well, I think the point is the principle of consent—in other words, that you can argue your case, whether it's for Northern Ireland remaining inside the U.K. or a united Ireland—the principle of consent means you have to argue it by democracy, not violence. And so people are free to argue their case. But it's a way of arguing it that is peaceful.</w:t>
      </w:r>
    </w:p>
    <w:p w:rsidR="00A31137" w:rsidRPr="00A31137" w:rsidRDefault="00A31137" w:rsidP="00A31137">
      <w:r w:rsidRPr="00A31137">
        <w:t>Clinton, BBC Interview, May 16, 1998, p.888</w:t>
      </w:r>
    </w:p>
    <w:p w:rsidR="00A31137" w:rsidRPr="00A31137" w:rsidRDefault="00A31137" w:rsidP="00A31137">
      <w:r w:rsidRPr="00A31137">
        <w:t>And one of the strange things about the debate in Northern Ireland is that people aren't actually arguing now about the principle of consent. That was what for 50, 60 years divided people in Northern Ireland. People now accept that. They're not even arguing about the institutional structures, the cross-border bobbies, the Northern Ireland Assembly. That in a sense is agreed, as well. It is this fear and emotion, as I say. You see, prisoners is an example of it. And let me again try and go right to the heart of what I think people feel in Northern Ireland. They see the scenes of the Balcombe Street Gang or Michael Stone and they say, "Well, this is wrong," and the "no" campaign then say, "Oh well, the prisoners will be back on the street if you vote for this agreement."</w:t>
      </w:r>
    </w:p>
    <w:p w:rsidR="00A31137" w:rsidRPr="00A31137" w:rsidRDefault="00A31137" w:rsidP="00A31137">
      <w:r w:rsidRPr="00A31137">
        <w:t>Clinton, BBC Interview, May 16, 1998, p.888</w:t>
      </w:r>
    </w:p>
    <w:p w:rsidR="00A31137" w:rsidRPr="00A31137" w:rsidRDefault="00A31137" w:rsidP="00A31137">
      <w:r w:rsidRPr="00A31137">
        <w:t>Again, the facts are these: Michael Stone and the Balcombe Street Gang were allowed out under provisions on day release made many, many years ago before I even came to government. It had nothing to do with the [p.889] agreement. Most of the prisoners now in jail in Northern Ireland will be out within a few years anyway. But they'll be out, of course, without the agreement and without stability if there's no vote.</w:t>
      </w:r>
    </w:p>
    <w:p w:rsidR="00A31137" w:rsidRPr="00A31137" w:rsidRDefault="00A31137" w:rsidP="00A31137">
      <w:r w:rsidRPr="00A31137">
        <w:t>Clinton, BBC Interview, May 16, 1998, p.889</w:t>
      </w:r>
    </w:p>
    <w:p w:rsidR="00A31137" w:rsidRPr="00A31137" w:rsidRDefault="00A31137" w:rsidP="00A31137">
      <w:r w:rsidRPr="00A31137">
        <w:t>So again, I understand the concerns that people have, but I do ask them to realize that if no is the vote next week, what is the future? What are we going to offer children in Northern Ireland?</w:t>
      </w:r>
    </w:p>
    <w:p w:rsidR="00A31137" w:rsidRPr="00A31137" w:rsidRDefault="00A31137" w:rsidP="00A31137">
      <w:r w:rsidRPr="00A31137">
        <w:t>Clinton, BBC Interview, May 16, 1998, p.889</w:t>
      </w:r>
    </w:p>
    <w:p w:rsidR="00A31137" w:rsidRPr="00A31137" w:rsidRDefault="00A31137" w:rsidP="00A31137">
      <w:r w:rsidRPr="00A31137">
        <w:t>President Clinton. You know, if I could just say sort of as an interested friend, an outside observer—as you know, I've been very involved in the Bosnian peace, in the Middle East peace process—I think, essentially, the people that are for this want a better future for their children and don't want any more violence and like the fact that there is now a process which has been agreed upon for moving forward. If you really listen to the arguments of the people that are against it—and I've tried to listen very respectfully—it is that they still don't trust those on the other side because of all the things that have gone before.</w:t>
      </w:r>
    </w:p>
    <w:p w:rsidR="00A31137" w:rsidRPr="00A31137" w:rsidRDefault="00A31137" w:rsidP="00A31137">
      <w:r w:rsidRPr="00A31137">
        <w:t>Clinton, BBC Interview, May 16, 1998, p.889</w:t>
      </w:r>
    </w:p>
    <w:p w:rsidR="00A31137" w:rsidRPr="00A31137" w:rsidRDefault="00A31137" w:rsidP="00A31137">
      <w:r w:rsidRPr="00A31137">
        <w:t>In 1993 Yitzhak Rabin, right before we signed the agreement between Israel and the PLO, said to me, "I have spent my life as a soldier. I have killed a lot of these people, and they have killed a lot of my people. But," he said, "Mr. President, you don't make peace with your friends. You make peace, and then you make friends." And I think that's important here. But in Northern Ireland the people live much more closely together. They have in some ways—they haven't killed each other in the way the Bosnians did. With all the horrible things, they can get over this if they just will—it's a little bit of a leap of faith, but the risks of doing it are so much less than the risks of walking away.</w:t>
      </w:r>
    </w:p>
    <w:p w:rsidR="00A31137" w:rsidRPr="00A31137" w:rsidRDefault="00A31137" w:rsidP="00A31137">
      <w:r w:rsidRPr="00A31137">
        <w:t>Clinton, BBC Interview, May 16, 1998, p.889</w:t>
      </w:r>
    </w:p>
    <w:p w:rsidR="00A31137" w:rsidRPr="00A31137" w:rsidRDefault="00A31137" w:rsidP="00A31137">
      <w:r w:rsidRPr="00A31137">
        <w:t>Mr. Frost. And I think that example is a very relevant one, of Yitzhak Rabin, because that is the problem with the moderate Unionists, some of them, who've got concern. I think you've dealt with the point about the prisoners. You said that a lot of them would be coming out in the next few years anyway, and that links in with their fear of decommissioning of arms and that, therefore, there will be lots of killers running around with arms and so on. But how do you respond to that?</w:t>
      </w:r>
    </w:p>
    <w:p w:rsidR="00A31137" w:rsidRPr="00A31137" w:rsidRDefault="00A31137" w:rsidP="00A31137">
      <w:r w:rsidRPr="00A31137">
        <w:t>Clinton, BBC Interview, May 16, 1998, p.889</w:t>
      </w:r>
    </w:p>
    <w:p w:rsidR="00A31137" w:rsidRPr="00A31137" w:rsidRDefault="00A31137" w:rsidP="00A31137">
      <w:r w:rsidRPr="00A31137">
        <w:t>Prime Minister Blair. Well, I respond to it by saying that we will make it quite clear, explicitly in the legislation, that the twin strategy of ballot box and gun is not going to be permitted. And that all the things, in terms of seats in the Northern Ireland executive, in terms of accelerated prisoner release, they can only happen if there's real peace, a real end to violence, an end to violence for good. Not temporarily—permanently, an end to violence.</w:t>
      </w:r>
    </w:p>
    <w:p w:rsidR="00A31137" w:rsidRPr="00A31137" w:rsidRDefault="00A31137" w:rsidP="00A31137">
      <w:r w:rsidRPr="00A31137">
        <w:t>Clinton, BBC Interview, May 16, 1998, p.889</w:t>
      </w:r>
    </w:p>
    <w:p w:rsidR="00A31137" w:rsidRPr="00A31137" w:rsidRDefault="00A31137" w:rsidP="00A31137">
      <w:r w:rsidRPr="00A31137">
        <w:t>I think it's possible that we can achieve that. But we've got to achieve it with people really making this agreement work. And all the time that we spent trying to put this together, it was agonizingly difficult. And yet in the end, I think there is the will out there amongst people in Northern Ireland; there is the hope to make it work.</w:t>
      </w:r>
    </w:p>
    <w:p w:rsidR="00A31137" w:rsidRPr="00A31137" w:rsidRDefault="00A31137" w:rsidP="00A31137">
      <w:r w:rsidRPr="00A31137">
        <w:t>Clinton, BBC Interview, May 16, 1998, p.889</w:t>
      </w:r>
    </w:p>
    <w:p w:rsidR="00A31137" w:rsidRPr="00A31137" w:rsidRDefault="00A31137" w:rsidP="00A31137">
      <w:r w:rsidRPr="00A31137">
        <w:t>Nuclear Proliferation in South Asia</w:t>
      </w:r>
    </w:p>
    <w:p w:rsidR="00A31137" w:rsidRPr="00A31137" w:rsidRDefault="00A31137" w:rsidP="00A31137">
      <w:r w:rsidRPr="00A31137">
        <w:t>Clinton, BBC Interview, May 16, 1998, p.889</w:t>
      </w:r>
    </w:p>
    <w:p w:rsidR="00A31137" w:rsidRPr="00A31137" w:rsidRDefault="00A31137" w:rsidP="00A31137">
      <w:r w:rsidRPr="00A31137">
        <w:t>Mr. Frost. We'll come back to that subject before the end of the conversation. But you've been examining a lot of other issues and two issues have come up to take up a lot of your time at this conference. And obviously, one of them is India and, obviously, a slight difference of emphasis on what you think should be done and what you have done than the other members of G-8. Why do you feel the way you do, Mr. President?</w:t>
      </w:r>
    </w:p>
    <w:p w:rsidR="00A31137" w:rsidRPr="00A31137" w:rsidRDefault="00A31137" w:rsidP="00A31137">
      <w:r w:rsidRPr="00A31137">
        <w:t>Clinton, BBC Interview, May 16, 1998, p.889</w:t>
      </w:r>
    </w:p>
    <w:p w:rsidR="00A31137" w:rsidRPr="00A31137" w:rsidRDefault="00A31137" w:rsidP="00A31137">
      <w:r w:rsidRPr="00A31137">
        <w:t>President Clinton. Do you mean why do I think that we should not only condemn the Indian action but take some economic action against India?</w:t>
      </w:r>
    </w:p>
    <w:p w:rsidR="00A31137" w:rsidRPr="00A31137" w:rsidRDefault="00A31137" w:rsidP="00A31137">
      <w:r w:rsidRPr="00A31137">
        <w:t>Clinton, BBC Interview, May 16, 1998, p.889</w:t>
      </w:r>
    </w:p>
    <w:p w:rsidR="00A31137" w:rsidRPr="00A31137" w:rsidRDefault="00A31137" w:rsidP="00A31137">
      <w:r w:rsidRPr="00A31137">
        <w:t>Mr. Frost. Yes.</w:t>
      </w:r>
    </w:p>
    <w:p w:rsidR="00A31137" w:rsidRPr="00A31137" w:rsidRDefault="00A31137" w:rsidP="00A31137">
      <w:r w:rsidRPr="00A31137">
        <w:t>Clinton, BBC Interview, May 16, 1998, p.889</w:t>
      </w:r>
    </w:p>
    <w:p w:rsidR="00A31137" w:rsidRPr="00A31137" w:rsidRDefault="00A31137" w:rsidP="00A31137">
      <w:r w:rsidRPr="00A31137">
        <w:t>President Clinton. I just think we need to do as much as possible to make it clear that in the world of today and tomorrow it is simply unacceptable to build a nuclear arsenal. And it is unrealistic to believe you can build one, and you won't use it under any circumstances. Therefore, the main purpose of doing it is to establish yourself as a great nation. That is not</w:t>
      </w:r>
    </w:p>
    <w:p w:rsidR="00A31137" w:rsidRPr="00A31137" w:rsidRDefault="00A31137" w:rsidP="00A31137">
      <w:r w:rsidRPr="00A31137">
        <w:t>Clinton, BBC Interview, May 16, 1998, p.889</w:t>
      </w:r>
    </w:p>
    <w:p w:rsidR="00A31137" w:rsidRPr="00A31137" w:rsidRDefault="00A31137" w:rsidP="00A31137">
      <w:r w:rsidRPr="00A31137">
        <w:t xml:space="preserve">a way to define a nation's greatness in the 21st century. And I say that because I think the firmer we are here, the more likely we are to be able to persuade Pakistan, or perhaps other countries lining up behind Pakistan, that they should not test, that they should not try to become public members of the nuclear club. We need to move the world away from it. [p.890] </w:t>
      </w:r>
    </w:p>
    <w:p w:rsidR="00A31137" w:rsidRPr="00A31137" w:rsidRDefault="00A31137" w:rsidP="00A31137">
      <w:r w:rsidRPr="00A31137">
        <w:t>Clinton, BBC Interview, May 16, 1998, p.890</w:t>
      </w:r>
    </w:p>
    <w:p w:rsidR="00A31137" w:rsidRPr="00A31137" w:rsidRDefault="00A31137" w:rsidP="00A31137">
      <w:r w:rsidRPr="00A31137">
        <w:t>I'm trying to get Russia to ratify START II now so we can dismantle our arsenals further and then go to START III and dismantle our arsenals further. I'm trying to take America and Russia in the opposite direction. I'm afraid in our own countries, we'll have people who say, "Oh, we better not do that if India and Pakistan and other countries are going to build up their arsenals." It's just—it's not the way to the future.</w:t>
      </w:r>
    </w:p>
    <w:p w:rsidR="00A31137" w:rsidRPr="00A31137" w:rsidRDefault="00A31137" w:rsidP="00A31137">
      <w:r w:rsidRPr="00A31137">
        <w:t>Clinton, BBC Interview, May 16, 1998, p.890</w:t>
      </w:r>
    </w:p>
    <w:p w:rsidR="00A31137" w:rsidRPr="00A31137" w:rsidRDefault="00A31137" w:rsidP="00A31137">
      <w:r w:rsidRPr="00A31137">
        <w:t>Mr. Frost. And so the message to Pakistan—there's rumors that they may be testing next week in western Baluchistan, or whatever—would be that you would take—you feel you should take the same action against them if they did——</w:t>
      </w:r>
    </w:p>
    <w:p w:rsidR="00A31137" w:rsidRPr="00A31137" w:rsidRDefault="00A31137" w:rsidP="00A31137">
      <w:r w:rsidRPr="00A31137">
        <w:t>Clinton, BBC Interview, May 16, 1998, p.890</w:t>
      </w:r>
    </w:p>
    <w:p w:rsidR="00A31137" w:rsidRPr="00A31137" w:rsidRDefault="00A31137" w:rsidP="00A31137">
      <w:r w:rsidRPr="00A31137">
        <w:t>President Clinton. Well, under our law, we'll have no choice. In other words, it's an automatic under our law. But what I would say to them is, help us work with you to find a way, first of all, to guarantee your security without nuclear weapons, and secondly, to reconcile with India.</w:t>
      </w:r>
    </w:p>
    <w:p w:rsidR="00A31137" w:rsidRPr="00A31137" w:rsidRDefault="00A31137" w:rsidP="00A31137">
      <w:r w:rsidRPr="00A31137">
        <w:t>Clinton, BBC Interview, May 16, 1998, p.890</w:t>
      </w:r>
    </w:p>
    <w:p w:rsidR="00A31137" w:rsidRPr="00A31137" w:rsidRDefault="00A31137" w:rsidP="00A31137">
      <w:r w:rsidRPr="00A31137">
        <w:t>I mean, look at Pakistan and India. You've got one country with 950 million people, another country with nearly 140 million people. They are arguing principally over Kashmir, not entirely but principally. Now, if they could resolve this, if you look at the success of Indians and Pakistanis in the United Kingdom or in the United States and you look at the talent in those two countries and you realize if they would liberate themselves from this argument between themselves, it is quite conceivable that for the next 50 years they could have the highest growth rates and not just economic success but the richest and most textured quality of life on the Indian subcontinent of any place on the globe. And so I think they should be imagining a different future for themselves, both of them.</w:t>
      </w:r>
    </w:p>
    <w:p w:rsidR="00A31137" w:rsidRPr="00A31137" w:rsidRDefault="00A31137" w:rsidP="00A31137">
      <w:r w:rsidRPr="00A31137">
        <w:t>Clinton, BBC Interview, May 16, 1998, p.890</w:t>
      </w:r>
    </w:p>
    <w:p w:rsidR="00A31137" w:rsidRPr="00A31137" w:rsidRDefault="00A31137" w:rsidP="00A31137">
      <w:r w:rsidRPr="00A31137">
        <w:t>Have the rest of us failed to appreciate them as much as we should have? Probably. Have we failed to acknowledge India the incredible achievement of maintaining 50 years of democracy under the most adverse conceivable circumstances? Probably. We should do better. But the answer is not for India to become a nuclear power and then for Pakistan to match it stride for stride, and then for China to be brought in to support the Pakistanis and move troops to the Indian border, and then for Russia to come in and recreate in a different context the conflicts of the cold war. It is a nutty way to go. It is not the way to chart the future.</w:t>
      </w:r>
    </w:p>
    <w:p w:rsidR="00A31137" w:rsidRPr="00A31137" w:rsidRDefault="00A31137" w:rsidP="00A31137">
      <w:r w:rsidRPr="00A31137">
        <w:t>Clinton, BBC Interview, May 16, 1998, p.890</w:t>
      </w:r>
    </w:p>
    <w:p w:rsidR="00A31137" w:rsidRPr="00A31137" w:rsidRDefault="00A31137" w:rsidP="00A31137">
      <w:r w:rsidRPr="00A31137">
        <w:t>Mr. Frost. And in fact, you spoke to the Indian Prime Minister. Did you think that the optimists might have a point when they say that now they've done this test; maybe they'll sign the nonproliferation and the test ban treaties; they just needed to do this. So it's good news? Or is that just whistling in the wind?</w:t>
      </w:r>
    </w:p>
    <w:p w:rsidR="00A31137" w:rsidRPr="00A31137" w:rsidRDefault="00A31137" w:rsidP="00A31137">
      <w:r w:rsidRPr="00A31137">
        <w:t>Clinton, BBC Interview, May 16, 1998, p.890</w:t>
      </w:r>
    </w:p>
    <w:p w:rsidR="00A31137" w:rsidRPr="00A31137" w:rsidRDefault="00A31137" w:rsidP="00A31137">
      <w:r w:rsidRPr="00A31137">
        <w:t>Prime Minister Blair. Well, I certainly hope that they are prepared to do that, and there will be very, very strong pressure from the international community for them to come, unconditionally, into both treaties. And I think it's tremendously important they do so. Because as the President was saying, I mean, if we have nuclear proliferation in the world—India—then if Pakistan were again to defy what is a very, very strong plea to them from the rest of the world not to engage in this, then you've got the danger of other states as well. So I mean, we're dealing with extremely serious and threatening present dangers.</w:t>
      </w:r>
    </w:p>
    <w:p w:rsidR="00A31137" w:rsidRPr="00A31137" w:rsidRDefault="00A31137" w:rsidP="00A31137">
      <w:r w:rsidRPr="00A31137">
        <w:t>Clinton, BBC Interview, May 16, 1998, p.890</w:t>
      </w:r>
    </w:p>
    <w:p w:rsidR="00A31137" w:rsidRPr="00A31137" w:rsidRDefault="00A31137" w:rsidP="00A31137">
      <w:r w:rsidRPr="00A31137">
        <w:t>Situation in Indonesia</w:t>
      </w:r>
    </w:p>
    <w:p w:rsidR="00A31137" w:rsidRPr="00A31137" w:rsidRDefault="00A31137" w:rsidP="00A31137">
      <w:r w:rsidRPr="00A31137">
        <w:t>Clinton, BBC Interview, May 16, 1998, p.890</w:t>
      </w:r>
    </w:p>
    <w:p w:rsidR="00A31137" w:rsidRPr="00A31137" w:rsidRDefault="00A31137" w:rsidP="00A31137">
      <w:r w:rsidRPr="00A31137">
        <w:t>Mr. Frost. What about Indonesia—talking of serious and threatening dangers? I mean, there's not much that could be done, is there? I mean, you've all said you're not going to seek to get rid of Mr. Soeharto, although you probably wouldn't sob if he decided to step down of his own accord. But what is there that the rest of the world can do about a situation like that, or is it an example of where you can do nothing?</w:t>
      </w:r>
    </w:p>
    <w:p w:rsidR="00A31137" w:rsidRPr="00A31137" w:rsidRDefault="00A31137" w:rsidP="00A31137">
      <w:r w:rsidRPr="00A31137">
        <w:t>Clinton, BBC Interview, May 16, 1998, p.890</w:t>
      </w:r>
    </w:p>
    <w:p w:rsidR="00A31137" w:rsidRPr="00A31137" w:rsidRDefault="00A31137" w:rsidP="00A31137">
      <w:r w:rsidRPr="00A31137">
        <w:t>Prime Minister Blair. Well, I don't think you can do nothing. We can't interfere in their own internal politics, it is true, but a lot of the discussions that we have had over this past couple of days have been about we bring about greater stability in the financial systems of the world. Because the crisis in Asia that has rocked many of the economies there will have an impact right round the world—is already having, may have an even more serious impact in the future. So what we can do is try and devise the right architecture, if you like, for the financial systems of the world which lead to greater stability, more openness, more transparency, and [p.891] where we keep the advantages of global markets and trade, but try and make sure that that happens within a system that's properly regulated.</w:t>
      </w:r>
    </w:p>
    <w:p w:rsidR="00A31137" w:rsidRPr="00A31137" w:rsidRDefault="00A31137" w:rsidP="00A31137">
      <w:r w:rsidRPr="00A31137">
        <w:t>Clinton, BBC Interview, May 16, 1998, p.891</w:t>
      </w:r>
    </w:p>
    <w:p w:rsidR="00A31137" w:rsidRPr="00A31137" w:rsidRDefault="00A31137" w:rsidP="00A31137">
      <w:r w:rsidRPr="00A31137">
        <w:t>President Clinton. Keep in mind, Indonesia is the fourth or fifth largest country in the world in population. So, even though what we've seen on the television is very troubling, this is a vast country, the largest Muslim country in the world, with a very complex society that has been through a very traumatic several months. And I think it's important to point out that the world community has not been idle. We've been working hard since November—at least since November—to try to help Indonesia come out of its economic problems.</w:t>
      </w:r>
    </w:p>
    <w:p w:rsidR="00A31137" w:rsidRPr="00A31137" w:rsidRDefault="00A31137" w:rsidP="00A31137">
      <w:r w:rsidRPr="00A31137">
        <w:t>Clinton, BBC Interview, May 16, 1998, p.891</w:t>
      </w:r>
    </w:p>
    <w:p w:rsidR="00A31137" w:rsidRPr="00A31137" w:rsidRDefault="00A31137" w:rsidP="00A31137">
      <w:r w:rsidRPr="00A31137">
        <w:t>But we have felt all along that ultimately to build a stable modern economy and to avoid this crisis, there would have to be some way for the Government and the President to deal</w:t>
      </w:r>
    </w:p>
    <w:p w:rsidR="00A31137" w:rsidRPr="00A31137" w:rsidRDefault="00A31137" w:rsidP="00A31137">
      <w:r w:rsidRPr="00A31137">
        <w:t>Clinton, BBC Interview, May 16, 1998, p.891</w:t>
      </w:r>
    </w:p>
    <w:p w:rsidR="00A31137" w:rsidRPr="00A31137" w:rsidRDefault="00A31137" w:rsidP="00A31137">
      <w:r w:rsidRPr="00A31137">
        <w:t>with all elements of society on some sort of democratic basis. And that's what our statement says. So what we want is to see Indonesia come out of this whole and healthy. They should decide the fate of all their leaders; it should be up to the people to decide. But this is not a hopeless situation yet. This is a great country full of talented people with staggering economic achievements in the last 30 years—staggering. So I think that what we have to do is to hope for the best and try to guard against the worst and keep working with them.</w:t>
      </w:r>
    </w:p>
    <w:p w:rsidR="00A31137" w:rsidRPr="00A31137" w:rsidRDefault="00A31137" w:rsidP="00A31137">
      <w:r w:rsidRPr="00A31137">
        <w:t>Clinton, BBC Interview, May 16, 1998, p.891</w:t>
      </w:r>
    </w:p>
    <w:p w:rsidR="00A31137" w:rsidRPr="00A31137" w:rsidRDefault="00A31137" w:rsidP="00A31137">
      <w:r w:rsidRPr="00A31137">
        <w:t>Asian Economies</w:t>
      </w:r>
    </w:p>
    <w:p w:rsidR="00A31137" w:rsidRPr="00A31137" w:rsidRDefault="00A31137" w:rsidP="00A31137">
      <w:r w:rsidRPr="00A31137">
        <w:t>Clinton, BBC Interview, May 16, 1998, p.891</w:t>
      </w:r>
    </w:p>
    <w:p w:rsidR="00A31137" w:rsidRPr="00A31137" w:rsidRDefault="00A31137" w:rsidP="00A31137">
      <w:r w:rsidRPr="00A31137">
        <w:t>Mr. Frost. And do you feel—you mentioned there as we led into that, the subject of the Asian situation. Mr. President, do you feel that the worst is over in the Asian economic crisis, that it's on the mend, or is still on the jaws of——</w:t>
      </w:r>
    </w:p>
    <w:p w:rsidR="00A31137" w:rsidRPr="00A31137" w:rsidRDefault="00A31137" w:rsidP="00A31137">
      <w:r w:rsidRPr="00A31137">
        <w:t>Clinton, BBC Interview, May 16, 1998, p.891</w:t>
      </w:r>
    </w:p>
    <w:p w:rsidR="00A31137" w:rsidRPr="00A31137" w:rsidRDefault="00A31137" w:rsidP="00A31137">
      <w:r w:rsidRPr="00A31137">
        <w:t>President Clinton. I think it's hard to generalize. I think the Philippines have done very well and a tribute to their leadership. Thailand is doing better. Korea is clearly coming back, which is very good, because it's a big part of the economy. And Malaysia is having a difficult time, but they have a lot of strong economic underpinnings. And Indonesia is the big question. The other thing, of course, is that Japan—Prime Minister Hashimoto is struggling mightily now to put together a package that will restore growth in Japan. If growth comes back to the Japanese economy, that will—because it so dwarfs the others in size, it will cure a lot of these problems.</w:t>
      </w:r>
    </w:p>
    <w:p w:rsidR="00A31137" w:rsidRPr="00A31137" w:rsidRDefault="00A31137" w:rsidP="00A31137">
      <w:r w:rsidRPr="00A31137">
        <w:t>Clinton, BBC Interview, May 16, 1998, p.891</w:t>
      </w:r>
    </w:p>
    <w:p w:rsidR="00A31137" w:rsidRPr="00A31137" w:rsidRDefault="00A31137" w:rsidP="00A31137">
      <w:r w:rsidRPr="00A31137">
        <w:t>Prime Minister Blair. I mean, the fundamentals are strong, actually, in the Asian economies, but we've just got to work together to put the right system around it so that both systems are helped.</w:t>
      </w:r>
    </w:p>
    <w:p w:rsidR="00A31137" w:rsidRPr="00A31137" w:rsidRDefault="00A31137" w:rsidP="00A31137">
      <w:r w:rsidRPr="00A31137">
        <w:t>Clinton, BBC Interview, May 16, 1998, p.891</w:t>
      </w:r>
    </w:p>
    <w:p w:rsidR="00A31137" w:rsidRPr="00A31137" w:rsidRDefault="00A31137" w:rsidP="00A31137">
      <w:r w:rsidRPr="00A31137">
        <w:t>Third World Debt Relief</w:t>
      </w:r>
    </w:p>
    <w:p w:rsidR="00A31137" w:rsidRPr="00A31137" w:rsidRDefault="00A31137" w:rsidP="00A31137">
      <w:r w:rsidRPr="00A31137">
        <w:t>Clinton, BBC Interview, May 16, 1998, p.891</w:t>
      </w:r>
    </w:p>
    <w:p w:rsidR="00A31137" w:rsidRPr="00A31137" w:rsidRDefault="00A31137" w:rsidP="00A31137">
      <w:r w:rsidRPr="00A31137">
        <w:t>Mr. Frost. Does all these other issues mean that you'll make less progress on the whole area of Third World debt at this G-8 than you both hoped, or can you catch up?</w:t>
      </w:r>
    </w:p>
    <w:p w:rsidR="00A31137" w:rsidRPr="00A31137" w:rsidRDefault="00A31137" w:rsidP="00A31137">
      <w:r w:rsidRPr="00A31137">
        <w:t>Clinton, BBC Interview, May 16, 1998, p.891</w:t>
      </w:r>
    </w:p>
    <w:p w:rsidR="00A31137" w:rsidRPr="00A31137" w:rsidRDefault="00A31137" w:rsidP="00A31137">
      <w:r w:rsidRPr="00A31137">
        <w:t>Prime Minister Blair. No. I think, in fact, we've had a very good meeting on Third World debt, and we've agreed on a number of specific measures, including greater help for countries, particularly if they're in a post-conflict situation or there's been conflict there, and for the highly indebted countries. Because for many of these countries—in Africa—the President has just been there recently and so knows better than most of us—but there is tremendous potential there. But they're struggling under this huge burden of debt. Often their political systems have been a tremendous handicap to them, but there is progress on the democratic front there. But we've got to give them the help that we can, whilst making sure that we're not just channeling aid, but we're actually making sure that that money, when it goes in, is going to be used properly and where we're trying to alleviate the debt burden so that they can come out of this situation of crisis that they've been in.</w:t>
      </w:r>
    </w:p>
    <w:p w:rsidR="00A31137" w:rsidRPr="00A31137" w:rsidRDefault="00A31137" w:rsidP="00A31137">
      <w:r w:rsidRPr="00A31137">
        <w:t>Clinton, BBC Interview, May 16, 1998, p.891</w:t>
      </w:r>
    </w:p>
    <w:p w:rsidR="00A31137" w:rsidRPr="00A31137" w:rsidRDefault="00A31137" w:rsidP="00A31137">
      <w:r w:rsidRPr="00A31137">
        <w:t>President Clinton. I think to be fair, when Prime Minister Blair took over the head of the G-8, one of his initiatives was to have the right kind of debt relief. And we have embraced now for a little more than a year a strategy for the highly indebted poor countries that says we will—we know we should do debt relief, but it won't do any good unless they do things to help themselves. So we'll have a structured system where we'll give much, much more help to the highly indebted poor countries that actually undertake their own reform, so that we [p.892] believe the debt relief will actually amount to money being invested in their future in a positive way.</w:t>
      </w:r>
    </w:p>
    <w:p w:rsidR="00A31137" w:rsidRPr="00A31137" w:rsidRDefault="00A31137" w:rsidP="00A31137">
      <w:r w:rsidRPr="00A31137">
        <w:t>Clinton, BBC Interview, May 16, 1998, p.892</w:t>
      </w:r>
    </w:p>
    <w:p w:rsidR="00A31137" w:rsidRPr="00A31137" w:rsidRDefault="00A31137" w:rsidP="00A31137">
      <w:r w:rsidRPr="00A31137">
        <w:t>And when I went to Africa, one of the things I saw was the countries with honest governments can channel the energy, the intelligence, the passion of a wonderful people and get a lot done. So I'm more optimistic about Africa than I was before I went there. But I do believe that we should help those who are trying to help themselves.</w:t>
      </w:r>
    </w:p>
    <w:p w:rsidR="00A31137" w:rsidRPr="00A31137" w:rsidRDefault="00A31137" w:rsidP="00A31137">
      <w:r w:rsidRPr="00A31137">
        <w:t>Clinton, BBC Interview, May 16, 1998, p.892</w:t>
      </w:r>
    </w:p>
    <w:p w:rsidR="00A31137" w:rsidRPr="00A31137" w:rsidRDefault="00A31137" w:rsidP="00A31137">
      <w:r w:rsidRPr="00A31137">
        <w:t>Prime Minister Blair. It's interesting. It's one of the great lessons of the 20th century that democracy and prosperity in the end go together.</w:t>
      </w:r>
    </w:p>
    <w:p w:rsidR="00A31137" w:rsidRPr="00A31137" w:rsidRDefault="00A31137" w:rsidP="00A31137">
      <w:r w:rsidRPr="00A31137">
        <w:t>Clinton, BBC Interview, May 16, 1998, p.892</w:t>
      </w:r>
    </w:p>
    <w:p w:rsidR="00A31137" w:rsidRPr="00A31137" w:rsidRDefault="00A31137" w:rsidP="00A31137">
      <w:r w:rsidRPr="00A31137">
        <w:t>The Euro and the Dollar</w:t>
      </w:r>
    </w:p>
    <w:p w:rsidR="00A31137" w:rsidRPr="00A31137" w:rsidRDefault="00A31137" w:rsidP="00A31137">
      <w:r w:rsidRPr="00A31137">
        <w:t>Clinton, BBC Interview, May 16, 1998, p.892</w:t>
      </w:r>
    </w:p>
    <w:p w:rsidR="00A31137" w:rsidRPr="00A31137" w:rsidRDefault="00A31137" w:rsidP="00A31137">
      <w:r w:rsidRPr="00A31137">
        <w:t>Mr. Frost. In terms of prosperity, one lightening question occurs to me. The euro—we're talking about the euro here—what will be the implications of a strong euro on the dollar, Mr. President? Could it be bad news for the dollar?</w:t>
      </w:r>
    </w:p>
    <w:p w:rsidR="00A31137" w:rsidRPr="00A31137" w:rsidRDefault="00A31137" w:rsidP="00A31137">
      <w:r w:rsidRPr="00A31137">
        <w:t>Clinton, BBC Interview, May 16, 1998, p.892</w:t>
      </w:r>
    </w:p>
    <w:p w:rsidR="00A31137" w:rsidRPr="00A31137" w:rsidRDefault="00A31137" w:rsidP="00A31137">
      <w:r w:rsidRPr="00A31137">
        <w:t>President Clinton. I don't think so. It could become sometime in the future an alternative currency. You know, people might trade in the euro as well as the dollar. It could become—a lot of transactions might be done in the euro as well as the dollar. But I don't see that as a threatening thing. I think anything that brings free people closer together and increases prosperity in a democratic way, that makes it more likely to be broadly shared, is positive.</w:t>
      </w:r>
    </w:p>
    <w:p w:rsidR="00A31137" w:rsidRPr="00A31137" w:rsidRDefault="00A31137" w:rsidP="00A31137">
      <w:r w:rsidRPr="00A31137">
        <w:t>Clinton, BBC Interview, May 16, 1998, p.892</w:t>
      </w:r>
    </w:p>
    <w:p w:rsidR="00A31137" w:rsidRPr="00A31137" w:rsidRDefault="00A31137" w:rsidP="00A31137">
      <w:r w:rsidRPr="00A31137">
        <w:t>So I think as long as that's what's going on—you know, Europe—a unified Europe it seems to me is still committed to freedom, still committed to openness, still committed to a certain generosity of spirit, and I think that has to be good for the world. What we're trying to do, slowly but surely, is to integrate political and economic and social systems of the world not in ways that diminish national sovereignty but that alleviate the problems of the world and enable us to tackle together those things we can't solve alone.</w:t>
      </w:r>
    </w:p>
    <w:p w:rsidR="00A31137" w:rsidRPr="00A31137" w:rsidRDefault="00A31137" w:rsidP="00A31137">
      <w:r w:rsidRPr="00A31137">
        <w:t>Clinton, BBC Interview, May 16, 1998, p.892</w:t>
      </w:r>
    </w:p>
    <w:p w:rsidR="00A31137" w:rsidRPr="00A31137" w:rsidRDefault="00A31137" w:rsidP="00A31137">
      <w:r w:rsidRPr="00A31137">
        <w:t>Advice for Prime Minister Blair</w:t>
      </w:r>
    </w:p>
    <w:p w:rsidR="00A31137" w:rsidRPr="00A31137" w:rsidRDefault="00A31137" w:rsidP="00A31137">
      <w:r w:rsidRPr="00A31137">
        <w:t>Clinton, BBC Interview, May 16, 1998, p.892</w:t>
      </w:r>
    </w:p>
    <w:p w:rsidR="00A31137" w:rsidRPr="00A31137" w:rsidRDefault="00A31137" w:rsidP="00A31137">
      <w:r w:rsidRPr="00A31137">
        <w:t>Mr. Frost. And you have a great working relationship, the two of you, but one difference between you, of course, is that Mr. President, you are in your second term and the Prime Minister is early in his first term. What is the most important advice to someone in their first time in order to get into their second term?</w:t>
      </w:r>
    </w:p>
    <w:p w:rsidR="00A31137" w:rsidRPr="00A31137" w:rsidRDefault="00A31137" w:rsidP="00A31137">
      <w:r w:rsidRPr="00A31137">
        <w:t>Clinton, BBC Interview, May 16, 1998, p.892</w:t>
      </w:r>
    </w:p>
    <w:p w:rsidR="00A31137" w:rsidRPr="00A31137" w:rsidRDefault="00A31137" w:rsidP="00A31137">
      <w:r w:rsidRPr="00A31137">
        <w:t>President Clinton. Oh, I think he's doing it. I think that—the most important thing I think he can do is to keep the commitments he made in the campaign and to stay in touch with the people and to not be deterred from doing the public's business. You know, people, when they hire you to do these jobs, they want you to work on their affairs. And then when you get in them, there's all sorts of static designed to break your concentration. You have to ignore it and stay at the business.</w:t>
      </w:r>
    </w:p>
    <w:p w:rsidR="00A31137" w:rsidRPr="00A31137" w:rsidRDefault="00A31137" w:rsidP="00A31137">
      <w:r w:rsidRPr="00A31137">
        <w:t>Clinton, BBC Interview, May 16, 1998, p.892</w:t>
      </w:r>
    </w:p>
    <w:p w:rsidR="00A31137" w:rsidRPr="00A31137" w:rsidRDefault="00A31137" w:rsidP="00A31137">
      <w:r w:rsidRPr="00A31137">
        <w:t>But I think my advice would be to—he had a very detailed theory about why he wanted to be Prime Minister and where he wanted Great Britain to go, and of course, I have a lot of sympathy with the ideas he put forward, and he's doing a good job of doing what he promised to do. And I think that's the most important thing. And then I think as—the more you get into it, then I think the more you begin to think about what's it going to be like when my children are my age; what's it going to be like when my grandchildren are here. And the more he serves, the more he'll have an impact on that as well.</w:t>
      </w:r>
    </w:p>
    <w:p w:rsidR="00A31137" w:rsidRPr="00A31137" w:rsidRDefault="00A31137" w:rsidP="00A31137">
      <w:r w:rsidRPr="00A31137">
        <w:t>Clinton, BBC Interview, May 16, 1998, p.892</w:t>
      </w:r>
    </w:p>
    <w:p w:rsidR="00A31137" w:rsidRPr="00A31137" w:rsidRDefault="00A31137" w:rsidP="00A31137">
      <w:r w:rsidRPr="00A31137">
        <w:t>Northern Ireland Peace Process</w:t>
      </w:r>
    </w:p>
    <w:p w:rsidR="00A31137" w:rsidRPr="00A31137" w:rsidRDefault="00A31137" w:rsidP="00A31137">
      <w:r w:rsidRPr="00A31137">
        <w:t>Clinton, BBC Interview, May 16, 1998, p.892</w:t>
      </w:r>
    </w:p>
    <w:p w:rsidR="00A31137" w:rsidRPr="00A31137" w:rsidRDefault="00A31137" w:rsidP="00A31137">
      <w:r w:rsidRPr="00A31137">
        <w:t>Mr. Frost. And along the way, one of the things you've both had to also conquer is to bring up your families under the glare of all that publicity when the children go to school and all of that. But that's fascinating.</w:t>
      </w:r>
    </w:p>
    <w:p w:rsidR="00A31137" w:rsidRPr="00A31137" w:rsidRDefault="00A31137" w:rsidP="00A31137">
      <w:r w:rsidRPr="00A31137">
        <w:t>Clinton, BBC Interview, May 16, 1998, p.892</w:t>
      </w:r>
    </w:p>
    <w:p w:rsidR="00A31137" w:rsidRPr="00A31137" w:rsidRDefault="00A31137" w:rsidP="00A31137">
      <w:r w:rsidRPr="00A31137">
        <w:t>Well, at the end of our time, let's return for a moment to where we began. Are you both confident—but not complacent as politicians always say—are you confident that the Northern Ireland people on Friday will take a decision which you believe passionately is the right decision, a positive decision, that they will feel the hand of history on their shoulder? Are you confident about that?</w:t>
      </w:r>
    </w:p>
    <w:p w:rsidR="00A31137" w:rsidRPr="00A31137" w:rsidRDefault="00A31137" w:rsidP="00A31137">
      <w:r w:rsidRPr="00A31137">
        <w:t>Clinton, BBC Interview, May 16, 1998, p.892</w:t>
      </w:r>
    </w:p>
    <w:p w:rsidR="00A31137" w:rsidRPr="00A31137" w:rsidRDefault="00A31137" w:rsidP="00A31137">
      <w:r w:rsidRPr="00A31137">
        <w:t>Prime Minister Blair. I mean, I am confident, but I do know that they are considering this really with their heart and their head, and they're going into tremendous detail. And I think that over this next few days it's important that people put their concerns to people like myself and, perhaps, particularly to me and that I answer those concerns, so [p.893] that people go in and vote yes, in a spirit of real optimism and confidence themselves about the future. And they can do that.</w:t>
      </w:r>
    </w:p>
    <w:p w:rsidR="00A31137" w:rsidRPr="00A31137" w:rsidRDefault="00A31137" w:rsidP="00A31137">
      <w:r w:rsidRPr="00A31137">
        <w:t>Clinton, BBC Interview, May 16, 1998, p.893</w:t>
      </w:r>
    </w:p>
    <w:p w:rsidR="00A31137" w:rsidRPr="00A31137" w:rsidRDefault="00A31137" w:rsidP="00A31137">
      <w:r w:rsidRPr="00A31137">
        <w:t>Mr. Frost. And do you have to have, or not—you don't have to have a majority of over 50 percent in each community in Northern Ireland, don't have to have that. Do you want that? Do you need it?</w:t>
      </w:r>
    </w:p>
    <w:p w:rsidR="00A31137" w:rsidRPr="00A31137" w:rsidRDefault="00A31137" w:rsidP="00A31137">
      <w:r w:rsidRPr="00A31137">
        <w:t>Clinton, BBC Interview, May 16, 1998, p.893</w:t>
      </w:r>
    </w:p>
    <w:p w:rsidR="00A31137" w:rsidRPr="00A31137" w:rsidRDefault="00A31137" w:rsidP="00A31137">
      <w:r w:rsidRPr="00A31137">
        <w:t>Prime Minister Blair. No, we don't have to have it, but I want as big a vote as possible in both communities. And I want this to be an agreement where we, for once and for all, we get rid of the zero-sum game in Northern Ireland politics which says if one side is happy with something, that means I'm unhappy. Both communities, both traditions, if you like, within Northern Ireland can be satisfied with this, because for the Unionists,</w:t>
      </w:r>
    </w:p>
    <w:p w:rsidR="00A31137" w:rsidRPr="00A31137" w:rsidRDefault="00A31137" w:rsidP="00A31137">
      <w:r w:rsidRPr="00A31137">
        <w:t>Clinton, BBC Interview, May 16, 1998, p.893</w:t>
      </w:r>
    </w:p>
    <w:p w:rsidR="00A31137" w:rsidRPr="00A31137" w:rsidRDefault="00A31137" w:rsidP="00A31137">
      <w:r w:rsidRPr="00A31137">
        <w:t>the principle of consent is there; for the Nationalist community there is fairness and equity of treatment, the recognition of the Nationalist identity.</w:t>
      </w:r>
    </w:p>
    <w:p w:rsidR="00A31137" w:rsidRPr="00A31137" w:rsidRDefault="00A31137" w:rsidP="00A31137">
      <w:r w:rsidRPr="00A31137">
        <w:t>Clinton, BBC Interview, May 16, 1998, p.893</w:t>
      </w:r>
    </w:p>
    <w:p w:rsidR="00A31137" w:rsidRPr="00A31137" w:rsidRDefault="00A31137" w:rsidP="00A31137">
      <w:r w:rsidRPr="00A31137">
        <w:t>That's what this is—you know, I said this on Good Friday after that marathon negotiation we went through, that in the end it's not a fudge, this agreement; it is an historic settlement of Nationalist and Unionist aspirations. And what it means is that in a new world, 2 years off the millennium, where everything is changing around the Republic of Ireland, Europe, Britain, our relations with the rest of the world, where people can argue their case free in the knowledge that they can do so democratically rather than by resorting to violence—now, that's the historic settlement. And that's why I want as many people in both communities to come out and support it.</w:t>
      </w:r>
    </w:p>
    <w:p w:rsidR="00A31137" w:rsidRPr="00A31137" w:rsidRDefault="00A31137" w:rsidP="00A31137">
      <w:r w:rsidRPr="00A31137">
        <w:t>Clinton, BBC Interview, May 16, 1998, p.893</w:t>
      </w:r>
    </w:p>
    <w:p w:rsidR="00A31137" w:rsidRPr="00A31137" w:rsidRDefault="00A31137" w:rsidP="00A31137">
      <w:r w:rsidRPr="00A31137">
        <w:t>Mr. Frost. What are your thoughts, Mr. President? Are you confident? Can this be a win-win situation for both sides?</w:t>
      </w:r>
    </w:p>
    <w:p w:rsidR="00A31137" w:rsidRPr="00A31137" w:rsidRDefault="00A31137" w:rsidP="00A31137">
      <w:r w:rsidRPr="00A31137">
        <w:t>Clinton, BBC Interview, May 16, 1998, p.893</w:t>
      </w:r>
    </w:p>
    <w:p w:rsidR="00A31137" w:rsidRPr="00A31137" w:rsidRDefault="00A31137" w:rsidP="00A31137">
      <w:r w:rsidRPr="00A31137">
        <w:t>President Clinton. Oh, absolutely. There's no question in my view that, if they vote for the accord, it will turn out to be a win-win. I mean, think about where the world is going to be in 12 years. Just think about 12 years from now—2010. You will have a much more globalized economy; you'll have both Great Britain and the Republic of Ireland more involved in the European economy, more involved in the rest of the world, and more involved with each other, meeting at the tip of Northern Ireland, economically and psychologically, no matter what the legal framework is.</w:t>
      </w:r>
    </w:p>
    <w:p w:rsidR="00A31137" w:rsidRPr="00A31137" w:rsidRDefault="00A31137" w:rsidP="00A31137">
      <w:r w:rsidRPr="00A31137">
        <w:t>Clinton, BBC Interview, May 16, 1998, p.893</w:t>
      </w:r>
    </w:p>
    <w:p w:rsidR="00A31137" w:rsidRPr="00A31137" w:rsidRDefault="00A31137" w:rsidP="00A31137">
      <w:r w:rsidRPr="00A31137">
        <w:t>Now, the people that are at that vortex are going to have a very interesting, very rich, very good life if they vote to live it together. If they vote to stay apart, they're still going to be frustrated, distrustful, angry, and a little bit left out. And I think all of us, we have hope and fear inside. I say all the time, we all have little scales inside, and some days we wake up with hope weighing down, some days with fear weighing down. I think on election day the clearheadedness of the Irish people will prevail in Northern Ireland. I think that both communities will go in and vote for the future.</w:t>
      </w:r>
    </w:p>
    <w:p w:rsidR="00A31137" w:rsidRPr="00A31137" w:rsidRDefault="00A31137" w:rsidP="00A31137">
      <w:r w:rsidRPr="00A31137">
        <w:t>Clinton, BBC Interview, May 16, 1998, p.893</w:t>
      </w:r>
    </w:p>
    <w:p w:rsidR="00A31137" w:rsidRPr="00A31137" w:rsidRDefault="00A31137" w:rsidP="00A31137">
      <w:r w:rsidRPr="00A31137">
        <w:t>I just ask them to think about what the world will be like, what these islands will be like just 12 years from now, and what they want Northern Ireland to be. We know that democracies of diverse people are interesting places to be when your uniqueness is valued, but you understand that what you have in common as human beings is more important than what divides you. That's a fundamental thing we know. And I believe they'll accept that on election day.</w:t>
      </w:r>
    </w:p>
    <w:p w:rsidR="00A31137" w:rsidRPr="00A31137" w:rsidRDefault="00A31137" w:rsidP="00A31137">
      <w:r w:rsidRPr="00A31137">
        <w:t>Clinton, BBC Interview, May 16, 1998, p.893</w:t>
      </w:r>
    </w:p>
    <w:p w:rsidR="00A31137" w:rsidRPr="00A31137" w:rsidRDefault="00A31137" w:rsidP="00A31137">
      <w:r w:rsidRPr="00A31137">
        <w:t>Mr. Frost. Thank you so much. Because the other part of it is that when Mr. Willy Ross says, or is quoted as saying, "Look, if there's a no vote, then they'll all just get in and renegotiate it." That's not on, is it?</w:t>
      </w:r>
    </w:p>
    <w:p w:rsidR="00A31137" w:rsidRPr="00A31137" w:rsidRDefault="00A31137" w:rsidP="00A31137">
      <w:r w:rsidRPr="00A31137">
        <w:t>Clinton, BBC Interview, May 16, 1998, p.893</w:t>
      </w:r>
    </w:p>
    <w:p w:rsidR="00A31137" w:rsidRPr="00A31137" w:rsidRDefault="00A31137" w:rsidP="00A31137">
      <w:r w:rsidRPr="00A31137">
        <w:t>Prime Minister Blair. Well, no. I mean, look, I always say to people, of course, "We're here, and we'll try and pick up the pieces as best we can." But I mean it would be fundamentally wrong to say that to people. We would be in a situation, too, where it wouldn't be the status quo, where actually there is quite a lot of hope about, and people do feel they're making progress. We go backwards.</w:t>
      </w:r>
    </w:p>
    <w:p w:rsidR="00A31137" w:rsidRPr="00A31137" w:rsidRDefault="00A31137" w:rsidP="00A31137">
      <w:r w:rsidRPr="00A31137">
        <w:t>Clinton, BBC Interview, May 16, 1998, p.893</w:t>
      </w:r>
    </w:p>
    <w:p w:rsidR="00A31137" w:rsidRPr="00A31137" w:rsidRDefault="00A31137" w:rsidP="00A31137">
      <w:r w:rsidRPr="00A31137">
        <w:t>I mean the one thing I've learned in this whole process is if it doesn't go forward, it goes backwards. It never stays in the same place. So of course, we're the government, we pick up the pieces when everything goes wrong. But I think what the President has just said there, and has said as a visionist, what people can aspire to——</w:t>
      </w:r>
    </w:p>
    <w:p w:rsidR="00A31137" w:rsidRPr="00A31137" w:rsidRDefault="00A31137" w:rsidP="00A31137">
      <w:r w:rsidRPr="00A31137">
        <w:t>Clinton, BBC Interview, May 16, 1998, p.893</w:t>
      </w:r>
    </w:p>
    <w:p w:rsidR="00A31137" w:rsidRPr="00A31137" w:rsidRDefault="00A31137" w:rsidP="00A31137">
      <w:r w:rsidRPr="00A31137">
        <w:t>President Clinton. And the answer to that is, this agreement—I mean, I can see that even as an outsider—this agreement sets [p.894] up a framework to embody in a thousand ways the principle of consent. If he doesn't like some detail, then the people will be perfectly free to modify it in the future within the framework of the agreement. So why take the risk that this moment won't present itself again for another generation, when anything that he believes is wrong with it, if he thinks he can persuade a majority he's right, can be modified by the people themselves in the future?</w:t>
      </w:r>
    </w:p>
    <w:p w:rsidR="00A31137" w:rsidRPr="00A31137" w:rsidRDefault="00A31137" w:rsidP="00A31137">
      <w:r w:rsidRPr="00A31137">
        <w:t>Clinton, BBC Interview, May 16, 1998, p.894</w:t>
      </w:r>
    </w:p>
    <w:p w:rsidR="00A31137" w:rsidRPr="00A31137" w:rsidRDefault="00A31137" w:rsidP="00A31137">
      <w:r w:rsidRPr="00A31137">
        <w:t>Mr. Frost. Thank you, both, very much, indeed. Mr. Prime Minister, Mr. President, thank you so much.</w:t>
      </w:r>
    </w:p>
    <w:p w:rsidR="00A31137" w:rsidRPr="00A31137" w:rsidRDefault="00A31137" w:rsidP="00A31137">
      <w:r w:rsidRPr="00A31137">
        <w:t>Clinton, BBC Interview, May 16, 1998, p.894</w:t>
      </w:r>
    </w:p>
    <w:p w:rsidR="00A31137" w:rsidRPr="00A31137" w:rsidRDefault="00A31137" w:rsidP="00A31137">
      <w:r w:rsidRPr="00A31137">
        <w:t>President Clinton. Thank you, David.</w:t>
      </w:r>
    </w:p>
    <w:p w:rsidR="00A31137" w:rsidRPr="00A31137" w:rsidRDefault="00A31137" w:rsidP="00A31137">
      <w:r w:rsidRPr="00A31137">
        <w:t>Clinton, BBC Interview, May 16, 1998, p.894</w:t>
      </w:r>
    </w:p>
    <w:p w:rsidR="00A31137" w:rsidRPr="00A31137" w:rsidRDefault="00A31137" w:rsidP="00A31137">
      <w:r w:rsidRPr="00A31137">
        <w:t>Prime Minister Blair. Thank you.</w:t>
      </w:r>
    </w:p>
    <w:p w:rsidR="00A31137" w:rsidRPr="00A31137" w:rsidRDefault="00A31137" w:rsidP="00A31137">
      <w:r w:rsidRPr="00A31137">
        <w:t>Clinton, BBC Interview, May 16, 1998, p.894</w:t>
      </w:r>
    </w:p>
    <w:p w:rsidR="00A31137" w:rsidRPr="00A31137" w:rsidRDefault="00A31137" w:rsidP="00A31137">
      <w:r w:rsidRPr="00A31137">
        <w:t>Note: The interview began at 4:37 p.m. in the Weston Park estate for later broadcast on "Breakfast With Frost" on BBC1 television. In his remarks, the President referred to Prime Minister Bertie Ahern of Ireland; President Soeharto of Indonesia; and Prime Minister Ryutaro Hashimoto of Japan. A tape was not available for verification of the content of this interview.</w:t>
      </w:r>
    </w:p>
    <w:p w:rsidR="00A31137" w:rsidRPr="00A31137" w:rsidRDefault="00A31137" w:rsidP="00A31137">
      <w:r w:rsidRPr="00A31137">
        <w:t>Clinton's News Conference With President Jiang in Beijing, June 27, 1998</w:t>
      </w:r>
    </w:p>
    <w:p w:rsidR="00A31137" w:rsidRPr="00A31137" w:rsidRDefault="00A31137" w:rsidP="00A31137">
      <w:r w:rsidRPr="00A31137">
        <w:t>Title:</w:t>
      </w:r>
      <w:r w:rsidRPr="00A31137">
        <w:tab/>
        <w:t>Clinton's News Conference With President Jiang in Beijing</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June 27, 1998</w:t>
      </w:r>
    </w:p>
    <w:p w:rsidR="00A31137" w:rsidRPr="00A31137" w:rsidRDefault="00A31137" w:rsidP="00A31137">
      <w:r w:rsidRPr="00A31137">
        <w:t>Source:</w:t>
      </w:r>
      <w:r w:rsidRPr="00A31137">
        <w:tab/>
        <w:t>Weekly Compilation of Presidential Documents, 1998, pp.1245-1252</w:t>
      </w:r>
    </w:p>
    <w:p w:rsidR="00A31137" w:rsidRPr="00A31137" w:rsidRDefault="00A31137" w:rsidP="00A31137">
      <w:r w:rsidRPr="00A31137">
        <w:t>Clinton, News Conference with President Jiang, June 27, 1998, p.1245</w:t>
      </w:r>
    </w:p>
    <w:p w:rsidR="00A31137" w:rsidRPr="00A31137" w:rsidRDefault="00A31137" w:rsidP="00A31137">
      <w:r w:rsidRPr="00A31137">
        <w:t>President Jiang. Ladies and gentlemen, just now I've held official talks with President Clinton. The two sides have held an extensive and indepth exchange of views on China-U.S. relations and the major international and regional issues. The talks were positive, constructive, and productive.</w:t>
      </w:r>
    </w:p>
    <w:p w:rsidR="00A31137" w:rsidRPr="00A31137" w:rsidRDefault="00A31137" w:rsidP="00A31137">
      <w:r w:rsidRPr="00A31137">
        <w:t>Clinton, News Conference with President Jiang, June 27, 1998, p.1245</w:t>
      </w:r>
    </w:p>
    <w:p w:rsidR="00A31137" w:rsidRPr="00A31137" w:rsidRDefault="00A31137" w:rsidP="00A31137">
      <w:r w:rsidRPr="00A31137">
        <w:t>The successful exchange of visits between the two heads of state of China and the United States marks a new stage of growth for China-U.S. relations. This not only serves the common interests of China and the United States, but also will be of important significance to promoting peace, stability, and prosperity in the Asia-Pacific and the world at large.</w:t>
      </w:r>
    </w:p>
    <w:p w:rsidR="00A31137" w:rsidRPr="00A31137" w:rsidRDefault="00A31137" w:rsidP="00A31137">
      <w:r w:rsidRPr="00A31137">
        <w:t>Clinton, News Conference with President Jiang, June 27, 1998, p.1245</w:t>
      </w:r>
    </w:p>
    <w:p w:rsidR="00A31137" w:rsidRPr="00A31137" w:rsidRDefault="00A31137" w:rsidP="00A31137">
      <w:r w:rsidRPr="00A31137">
        <w:t>Peace and the development are the main themes of contemporary times. In the new historical conditions, the common interests between China and the United States are increasing, not decreasing. The foundation for cooperation between the two countries is reenforcing, not weakening.</w:t>
      </w:r>
    </w:p>
    <w:p w:rsidR="00A31137" w:rsidRPr="00A31137" w:rsidRDefault="00A31137" w:rsidP="00A31137">
      <w:r w:rsidRPr="00A31137">
        <w:t>Clinton, News Conference with President Jiang, June 27, 1998, p.1245</w:t>
      </w:r>
    </w:p>
    <w:p w:rsidR="00A31137" w:rsidRPr="00A31137" w:rsidRDefault="00A31137" w:rsidP="00A31137">
      <w:r w:rsidRPr="00A31137">
        <w:t xml:space="preserve">Both sides believe that China and the United States, as the permanent members of the U.N. Security Council, should continue to work together to promote peace and security in the world and the Asia-Pacific in particular, to ease and eliminate all kinds of tensions and to prevent the proliferation of weapons of mass destruction, to strengthen the efforts in protecting the environment, combating international crime, drug trafficking, and international terrorism. Our two sides have agreed to further step up cooperation and the dialog between the two countries on major international issues. [p.1246] </w:t>
      </w:r>
    </w:p>
    <w:p w:rsidR="00A31137" w:rsidRPr="00A31137" w:rsidRDefault="00A31137" w:rsidP="00A31137">
      <w:r w:rsidRPr="00A31137">
        <w:t>Clinton, News Conference with President Jiang, June 27, 1998, p.1246</w:t>
      </w:r>
    </w:p>
    <w:p w:rsidR="00A31137" w:rsidRPr="00A31137" w:rsidRDefault="00A31137" w:rsidP="00A31137">
      <w:r w:rsidRPr="00A31137">
        <w:t>China-U.S. relations are improving and growing. The cooperation between the two sides in many areas has made important progress. President Clinton and I have decided that China and the United States will not target the strategic nuclear weapons under their respective control at each other. This demonstrates to the entire world that China and the United States are partners, not adversaries.</w:t>
      </w:r>
    </w:p>
    <w:p w:rsidR="00A31137" w:rsidRPr="00A31137" w:rsidRDefault="00A31137" w:rsidP="00A31137">
      <w:r w:rsidRPr="00A31137">
        <w:t>Clinton, News Conference with President Jiang, June 27, 1998, p.1246</w:t>
      </w:r>
    </w:p>
    <w:p w:rsidR="00A31137" w:rsidRPr="00A31137" w:rsidRDefault="00A31137" w:rsidP="00A31137">
      <w:r w:rsidRPr="00A31137">
        <w:t>I hereby wish to reiterate that since the very first day when China came into possession of nuclear weapons, China has undertaken not to be the first to use nuclear weapons under any circumstances.</w:t>
      </w:r>
    </w:p>
    <w:p w:rsidR="00A31137" w:rsidRPr="00A31137" w:rsidRDefault="00A31137" w:rsidP="00A31137">
      <w:r w:rsidRPr="00A31137">
        <w:t>Clinton, News Conference with President Jiang, June 27, 1998, p.1246</w:t>
      </w:r>
    </w:p>
    <w:p w:rsidR="00A31137" w:rsidRPr="00A31137" w:rsidRDefault="00A31137" w:rsidP="00A31137">
      <w:r w:rsidRPr="00A31137">
        <w:t>President Clinton and I have reached a broad range of agreements and consensus on further increasing exchanges in cooperation between China and the United States in all areas in our bilateral relations. We have agreed to take positive steps to promote the growth of the mutually beneficial economic cooperation and trade between China and the United States and to expand the exchanges and the cooperation between the two countries in the energy, environment, scientific, educational, cultural, health, legal, and the military fields, and also to enhance the people-to-people exchanges and friendship.</w:t>
      </w:r>
    </w:p>
    <w:p w:rsidR="00A31137" w:rsidRPr="00A31137" w:rsidRDefault="00A31137" w:rsidP="00A31137">
      <w:r w:rsidRPr="00A31137">
        <w:t>Clinton, News Conference with President Jiang, June 27, 1998, p.1246</w:t>
      </w:r>
    </w:p>
    <w:p w:rsidR="00A31137" w:rsidRPr="00A31137" w:rsidRDefault="00A31137" w:rsidP="00A31137">
      <w:r w:rsidRPr="00A31137">
        <w:t>We have also agreed to enhance the consultations and the cooperation between China and the United States on the issues of disarmament, arms control, and nonproliferation. And we have issued joint statements on the BWC protocol, on the question of the antipersonnel landmines, and on the question of South Asia.</w:t>
      </w:r>
    </w:p>
    <w:p w:rsidR="00A31137" w:rsidRPr="00A31137" w:rsidRDefault="00A31137" w:rsidP="00A31137">
      <w:r w:rsidRPr="00A31137">
        <w:t>Clinton, News Conference with President Jiang, June 27, 1998, p.1246</w:t>
      </w:r>
    </w:p>
    <w:p w:rsidR="00A31137" w:rsidRPr="00A31137" w:rsidRDefault="00A31137" w:rsidP="00A31137">
      <w:r w:rsidRPr="00A31137">
        <w:t>The Taiwan question is the most important and the most sensitive issue at the core of China-U.S. relations. We hope that the U.S. side will adhere to the principles set forth in the three China-U.S. joint communiques and the joint China-U.S. statement, as well as the relevant commitments it has made in the interest of a smooth growth of China-U.S. relations.</w:t>
      </w:r>
    </w:p>
    <w:p w:rsidR="00A31137" w:rsidRPr="00A31137" w:rsidRDefault="00A31137" w:rsidP="00A31137">
      <w:r w:rsidRPr="00A31137">
        <w:t>Clinton, News Conference with President Jiang, June 27, 1998, p.1246</w:t>
      </w:r>
    </w:p>
    <w:p w:rsidR="00A31137" w:rsidRPr="00A31137" w:rsidRDefault="00A31137" w:rsidP="00A31137">
      <w:r w:rsidRPr="00A31137">
        <w:t>The improvement and the growth of China-U.S. relations have not come by easily. It is the result of the concerted efforts of the Governments and people of our two countries. So we should all the more treasure this good result.</w:t>
      </w:r>
    </w:p>
    <w:p w:rsidR="00A31137" w:rsidRPr="00A31137" w:rsidRDefault="00A31137" w:rsidP="00A31137">
      <w:r w:rsidRPr="00A31137">
        <w:t>Clinton, News Conference with President Jiang, June 27, 1998, p.1246</w:t>
      </w:r>
    </w:p>
    <w:p w:rsidR="00A31137" w:rsidRPr="00A31137" w:rsidRDefault="00A31137" w:rsidP="00A31137">
      <w:r w:rsidRPr="00A31137">
        <w:t>As China and the United States have different social systems, ideologies, values, and culture traditions, we have some difference of views on certain issues. However, they should not become the obstacles in the way of the growth of China-U.S. relations. The world is a colorful one. The development parts of the countries in the world should be chosen by the people of the countries concerned.</w:t>
      </w:r>
    </w:p>
    <w:p w:rsidR="00A31137" w:rsidRPr="00A31137" w:rsidRDefault="00A31137" w:rsidP="00A31137">
      <w:r w:rsidRPr="00A31137">
        <w:t>Clinton, News Conference with President Jiang, June 27, 1998, p.1246</w:t>
      </w:r>
    </w:p>
    <w:p w:rsidR="00A31137" w:rsidRPr="00A31137" w:rsidRDefault="00A31137" w:rsidP="00A31137">
      <w:r w:rsidRPr="00A31137">
        <w:t>China and the United States should view and handle the bilateral relations from a long-term and strategic perspective. We should promote the growth of China-U.S. relations in the spirit of mutual respect, equality, mutual benefit, seeking common ground while putting aside differences and developing cooperation. I believe that through the concerted efforts of both sides, we will make constant progress in the direction of building a constructive, strategic partnership between China and the United States oriented towards the 21st century.</w:t>
      </w:r>
    </w:p>
    <w:p w:rsidR="00A31137" w:rsidRPr="00A31137" w:rsidRDefault="00A31137" w:rsidP="00A31137">
      <w:r w:rsidRPr="00A31137">
        <w:t>Clinton, News Conference with President Jiang, June 27, 1998, p.1246</w:t>
      </w:r>
    </w:p>
    <w:p w:rsidR="00A31137" w:rsidRPr="00A31137" w:rsidRDefault="00A31137" w:rsidP="00A31137">
      <w:r w:rsidRPr="00A31137">
        <w:t>President Clinton. Thank you, Mr. President. And I also thank the Chinese people for their warm welcome to me, to my family, and to our delegation.</w:t>
      </w:r>
    </w:p>
    <w:p w:rsidR="00A31137" w:rsidRPr="00A31137" w:rsidRDefault="00A31137" w:rsidP="00A31137">
      <w:r w:rsidRPr="00A31137">
        <w:t>Clinton, News Conference with President Jiang, June 27, 1998, p.1246</w:t>
      </w:r>
    </w:p>
    <w:p w:rsidR="00A31137" w:rsidRPr="00A31137" w:rsidRDefault="00A31137" w:rsidP="00A31137">
      <w:r w:rsidRPr="00A31137">
        <w:t>Over the past 5 years, President Jiang and I have met seven times. Mr. President, your leadership is helping us to transform our nations' relationship for the future. Clearly, a stable, open, prosperous China, shouldering its responsibilities for a safer world is good for America. Nothing makes that point better than today's agreement not to target our nuclear missiles at each other. We also agreed to do more to shore up stability in Asia, on the Korean Peninsula, and the Indian subcontinent.</w:t>
      </w:r>
    </w:p>
    <w:p w:rsidR="00A31137" w:rsidRPr="00A31137" w:rsidRDefault="00A31137" w:rsidP="00A31137">
      <w:r w:rsidRPr="00A31137">
        <w:t>Clinton, News Conference with President Jiang, June 27, 1998, p.1246</w:t>
      </w:r>
    </w:p>
    <w:p w:rsidR="00A31137" w:rsidRPr="00A31137" w:rsidRDefault="00A31137" w:rsidP="00A31137">
      <w:r w:rsidRPr="00A31137">
        <w:t>I reaffirmed our longstanding "one China" policy to President Jiang and urged the pursuit of cross-strait discussions recently resumed as the best path to a peaceful resolution. In a similar vein, I urged President Jiang to assume a dialog with the Dalai Lama in return for the recognition that Tibet is a part of China and in recognition of the unique cultural and religious heritage of that region.</w:t>
      </w:r>
    </w:p>
    <w:p w:rsidR="00A31137" w:rsidRPr="00A31137" w:rsidRDefault="00A31137" w:rsidP="00A31137">
      <w:r w:rsidRPr="00A31137">
        <w:t>Clinton, News Conference with President Jiang, June 27, 1998, p.1246</w:t>
      </w:r>
    </w:p>
    <w:p w:rsidR="00A31137" w:rsidRPr="00A31137" w:rsidRDefault="00A31137" w:rsidP="00A31137">
      <w:r w:rsidRPr="00A31137">
        <w:t>I welcome the progress we made today in nonproliferation, including China's decision to actively study joining the Missile Technology Control Regime, our joint commitment not to provide assistance to ballistic [p.1247] missile programs in South Asia, and President Jiang's statement last week that China will not sell missiles to Iran.</w:t>
      </w:r>
    </w:p>
    <w:p w:rsidR="00A31137" w:rsidRPr="00A31137" w:rsidRDefault="00A31137" w:rsidP="00A31137">
      <w:r w:rsidRPr="00A31137">
        <w:t>Clinton, News Conference with President Jiang, June 27, 1998, p.1247</w:t>
      </w:r>
    </w:p>
    <w:p w:rsidR="00A31137" w:rsidRPr="00A31137" w:rsidRDefault="00A31137" w:rsidP="00A31137">
      <w:r w:rsidRPr="00A31137">
        <w:t>We also welcome the steps China recently has taken to tighten nuclear export controls, to strengthen controls on the export of chemicals that can be turned into weapons, and to work jointly with us to strengthen the Biological Weapons Convention.</w:t>
      </w:r>
    </w:p>
    <w:p w:rsidR="00A31137" w:rsidRPr="00A31137" w:rsidRDefault="00A31137" w:rsidP="00A31137">
      <w:r w:rsidRPr="00A31137">
        <w:t>Clinton, News Conference with President Jiang, June 27, 1998, p.1247</w:t>
      </w:r>
    </w:p>
    <w:p w:rsidR="00A31137" w:rsidRPr="00A31137" w:rsidRDefault="00A31137" w:rsidP="00A31137">
      <w:r w:rsidRPr="00A31137">
        <w:t>As the President said, we are also working together against international crime, drug trafficking, alien smuggling, stepping up our scientific cooperation, which already has produced remarkable breakthroughs in areas including the fight against birth defects like spina bifida. We're helping to eradicate polio and working to predict and to mitigate national disasters. And perhaps most important over the long run, we are committed to working together on clean energy to preserve our natural environment, a matter of urgent concern to both our nations. I am also very pleased by our cooperation on rule of law programs, from training lawyers and judges to providing legal assistance to the poor.</w:t>
      </w:r>
    </w:p>
    <w:p w:rsidR="00A31137" w:rsidRPr="00A31137" w:rsidRDefault="00A31137" w:rsidP="00A31137">
      <w:r w:rsidRPr="00A31137">
        <w:t>Clinton, News Conference with President Jiang, June 27, 1998, p.1247</w:t>
      </w:r>
    </w:p>
    <w:p w:rsidR="00A31137" w:rsidRPr="00A31137" w:rsidRDefault="00A31137" w:rsidP="00A31137">
      <w:r w:rsidRPr="00A31137">
        <w:t>President Jiang and I agree on the importance of China's entry into the World Trade Organization. I regret we did not make more progress on this front, and we must recommit ourselves to achieving that goal on strong terms. We agree that we need to work together to avoid another round of destabilizing currency devaluations in the region and to restore economic growth.</w:t>
      </w:r>
    </w:p>
    <w:p w:rsidR="00A31137" w:rsidRPr="00A31137" w:rsidRDefault="00A31137" w:rsidP="00A31137">
      <w:r w:rsidRPr="00A31137">
        <w:t>Clinton, News Conference with President Jiang, June 27, 1998, p.1247</w:t>
      </w:r>
    </w:p>
    <w:p w:rsidR="00A31137" w:rsidRPr="00A31137" w:rsidRDefault="00A31137" w:rsidP="00A31137">
      <w:r w:rsidRPr="00A31137">
        <w:t>As you can see, we are working together in many areas of cooperation. We have developed a relationship of openness and candor. When we differ, as we do from time to time, we speak openly and honestly in an effort to understand our differences and, if possible, to work toward a common approach to resolving them.</w:t>
      </w:r>
    </w:p>
    <w:p w:rsidR="00A31137" w:rsidRPr="00A31137" w:rsidRDefault="00A31137" w:rsidP="00A31137">
      <w:r w:rsidRPr="00A31137">
        <w:t>Clinton, News Conference with President Jiang, June 27, 1998, p.1247</w:t>
      </w:r>
    </w:p>
    <w:p w:rsidR="00A31137" w:rsidRPr="00A31137" w:rsidRDefault="00A31137" w:rsidP="00A31137">
      <w:r w:rsidRPr="00A31137">
        <w:t>It is well known that the principal area of our difference in recent years has been over human rights questions. America recognizes and applauds China's economic and social transformation which has expanded the rights of its citizens by lifting hundreds of millions from poverty, providing them greater access to information, giving them village elections, greater freedom to travel and to choose their own jobs, and better education for their children.</w:t>
      </w:r>
    </w:p>
    <w:p w:rsidR="00A31137" w:rsidRPr="00A31137" w:rsidRDefault="00A31137" w:rsidP="00A31137">
      <w:r w:rsidRPr="00A31137">
        <w:t>Clinton, News Conference with President Jiang, June 27, 1998, p.1247</w:t>
      </w:r>
    </w:p>
    <w:p w:rsidR="00A31137" w:rsidRPr="00A31137" w:rsidRDefault="00A31137" w:rsidP="00A31137">
      <w:r w:rsidRPr="00A31137">
        <w:t>As I said again to President Jiang, we Americans also firmly believe that individual rights, including the freedom of speech, association, and religion, are very important, not only to those who exercise them but also to nations whose success in the 21st century depends upon widespread individual knowledge, creativity, free exchange, and enterprise.</w:t>
      </w:r>
    </w:p>
    <w:p w:rsidR="00A31137" w:rsidRPr="00A31137" w:rsidRDefault="00A31137" w:rsidP="00A31137">
      <w:r w:rsidRPr="00A31137">
        <w:t>Clinton, News Conference with President Jiang, June 27, 1998, p.1247</w:t>
      </w:r>
    </w:p>
    <w:p w:rsidR="00A31137" w:rsidRPr="00A31137" w:rsidRDefault="00A31137" w:rsidP="00A31137">
      <w:r w:rsidRPr="00A31137">
        <w:t>Therefore, we welcome China's decision to sign the International Covenant on Civil and Political Rights, the recent release of several prominent political dissidents, the recent visit China graciously accorded American religious leaders, and the resumption of a human rights dialog between China and the United States.</w:t>
      </w:r>
    </w:p>
    <w:p w:rsidR="00A31137" w:rsidRPr="00A31137" w:rsidRDefault="00A31137" w:rsidP="00A31137">
      <w:r w:rsidRPr="00A31137">
        <w:t>Clinton, News Conference with President Jiang, June 27, 1998, p.1247</w:t>
      </w:r>
    </w:p>
    <w:p w:rsidR="00A31137" w:rsidRPr="00A31137" w:rsidRDefault="00A31137" w:rsidP="00A31137">
      <w:r w:rsidRPr="00A31137">
        <w:t>Earlier this morning, during my official welcome, I could hear and see the many echoes of China's past and the call of its promising future, for Tiananmen Square is an historical place. There, 100 years ago, China's quest for constitutional government was born. There, in 1919, young people rallied against foreign occupation and launched a powerful movement for China's political and cultural renewal. There, in 1976, public mourning for Zhou Enlai led to the Cultural Revolution's end and the beginning of your remarkable transformation. And there, 9 years ago, Chinese citizens of all ages raised their voices for democracy.</w:t>
      </w:r>
    </w:p>
    <w:p w:rsidR="00A31137" w:rsidRPr="00A31137" w:rsidRDefault="00A31137" w:rsidP="00A31137">
      <w:r w:rsidRPr="00A31137">
        <w:t>Clinton, News Conference with President Jiang, June 27, 1998, p.1247</w:t>
      </w:r>
    </w:p>
    <w:p w:rsidR="00A31137" w:rsidRPr="00A31137" w:rsidRDefault="00A31137" w:rsidP="00A31137">
      <w:r w:rsidRPr="00A31137">
        <w:t>For all of our agreements, we still disagree about the meaning of what happened then. I believe and the American people believe that the use of force and the tragic loss of life was wrong. I believe and the American people believe that freedom of speech, association, and religion are, as recognized by U.N. Charter, the right of people everywhere and should be protected by their governments.</w:t>
      </w:r>
    </w:p>
    <w:p w:rsidR="00A31137" w:rsidRPr="00A31137" w:rsidRDefault="00A31137" w:rsidP="00A31137">
      <w:r w:rsidRPr="00A31137">
        <w:t>Clinton, News Conference with President Jiang, June 27, 1998, p.1247</w:t>
      </w:r>
    </w:p>
    <w:p w:rsidR="00A31137" w:rsidRPr="00A31137" w:rsidRDefault="00A31137" w:rsidP="00A31137">
      <w:r w:rsidRPr="00A31137">
        <w:t>It was to advance these rights that our Founding Fathers in our Declaration of Independence pledged our lives, our fortunes, our sacred honor. Fifty years ago, the U.N. recognized these rights as the basic freedoms of people everywhere.</w:t>
      </w:r>
    </w:p>
    <w:p w:rsidR="00A31137" w:rsidRPr="00A31137" w:rsidRDefault="00A31137" w:rsidP="00A31137">
      <w:r w:rsidRPr="00A31137">
        <w:t>Clinton, News Conference with President Jiang, June 27, 1998, p.1247</w:t>
      </w:r>
    </w:p>
    <w:p w:rsidR="00A31137" w:rsidRPr="00A31137" w:rsidRDefault="00A31137" w:rsidP="00A31137">
      <w:r w:rsidRPr="00A31137">
        <w:t xml:space="preserve">The question for us now is how shall we deal with such disagreements and still succeed in the important work of deepening our friendship and our sense of mutual respect? [p.1248] </w:t>
      </w:r>
    </w:p>
    <w:p w:rsidR="00A31137" w:rsidRPr="00A31137" w:rsidRDefault="00A31137" w:rsidP="00A31137">
      <w:r w:rsidRPr="00A31137">
        <w:t>Clinton, News Conference with President Jiang, June 27, 1998, p.1248</w:t>
      </w:r>
    </w:p>
    <w:p w:rsidR="00A31137" w:rsidRPr="00A31137" w:rsidRDefault="00A31137" w:rsidP="00A31137">
      <w:r w:rsidRPr="00A31137">
        <w:t>First, we Americans must acknowledge the painful moments in our own history when fundamental human rights were denied. We must say that we know, still, we have to continue our work to advance the dignity and freedom and equality of our own people. And second, we must understand and respect the enormous challenges China has faced in trying to move forward against great odds, with a clear memory of the setbacks suffered in past periods of instability.</w:t>
      </w:r>
    </w:p>
    <w:p w:rsidR="00A31137" w:rsidRPr="00A31137" w:rsidRDefault="00A31137" w:rsidP="00A31137">
      <w:r w:rsidRPr="00A31137">
        <w:t>Clinton, News Conference with President Jiang, June 27, 1998, p.1248</w:t>
      </w:r>
    </w:p>
    <w:p w:rsidR="00A31137" w:rsidRPr="00A31137" w:rsidRDefault="00A31137" w:rsidP="00A31137">
      <w:r w:rsidRPr="00A31137">
        <w:t>Finally, it is important that whatever our disagreements over past action, China and the United States must go forward on the right side of history for the future sake of the world. The forces of history have brought us to a new age of human possibility, but our dreams can only be recognized by nations whose citizens are both responsible and free.</w:t>
      </w:r>
    </w:p>
    <w:p w:rsidR="00A31137" w:rsidRPr="00A31137" w:rsidRDefault="00A31137" w:rsidP="00A31137">
      <w:r w:rsidRPr="00A31137">
        <w:t>Clinton, News Conference with President Jiang, June 27, 1998, p.1248</w:t>
      </w:r>
    </w:p>
    <w:p w:rsidR="00A31137" w:rsidRPr="00A31137" w:rsidRDefault="00A31137" w:rsidP="00A31137">
      <w:r w:rsidRPr="00A31137">
        <w:t>Mr. President, that is the future America seeks to build with China, in partnership and honest friendship.</w:t>
      </w:r>
    </w:p>
    <w:p w:rsidR="00A31137" w:rsidRPr="00A31137" w:rsidRDefault="00A31137" w:rsidP="00A31137">
      <w:r w:rsidRPr="00A31137">
        <w:t>Clinton, News Conference with President Jiang, June 27, 1998, p.1248</w:t>
      </w:r>
    </w:p>
    <w:p w:rsidR="00A31137" w:rsidRPr="00A31137" w:rsidRDefault="00A31137" w:rsidP="00A31137">
      <w:r w:rsidRPr="00A31137">
        <w:t>Tomorrow, Hillary and I will visit the Great Wall. The wall's builders knew they were building a permanent monument, even if they were unable to see it finished in their lifetimes. Likewise, we know we are building a friendship that will serve our descendants well, even if we, ourselves, will not see its full development across the next century and into the new millennium. Our friendship may never be perfect; no friendship is. But I hope it will last forever.</w:t>
      </w:r>
    </w:p>
    <w:p w:rsidR="00A31137" w:rsidRPr="00A31137" w:rsidRDefault="00A31137" w:rsidP="00A31137">
      <w:r w:rsidRPr="00A31137">
        <w:t>Clinton, News Conference with President Jiang, June 27, 1998, p.1248</w:t>
      </w:r>
    </w:p>
    <w:p w:rsidR="00A31137" w:rsidRPr="00A31137" w:rsidRDefault="00A31137" w:rsidP="00A31137">
      <w:r w:rsidRPr="00A31137">
        <w:t>President Jiang. Now President Clinton and I are prepared to answer your questions, and now I'd like to give the first question to President Clinton.</w:t>
      </w:r>
    </w:p>
    <w:p w:rsidR="00A31137" w:rsidRPr="00A31137" w:rsidRDefault="00A31137" w:rsidP="00A31137">
      <w:r w:rsidRPr="00A31137">
        <w:t>Clinton, News Conference with President Jiang, June 27, 1998, p.1248</w:t>
      </w:r>
    </w:p>
    <w:p w:rsidR="00A31137" w:rsidRPr="00A31137" w:rsidRDefault="00A31137" w:rsidP="00A31137">
      <w:r w:rsidRPr="00A31137">
        <w:t>President Clinton. Which—Chinese journalists, one of you? In the back there, yes? Yes, ma'am, go ahead.</w:t>
      </w:r>
    </w:p>
    <w:p w:rsidR="00A31137" w:rsidRPr="00A31137" w:rsidRDefault="00A31137" w:rsidP="00A31137">
      <w:r w:rsidRPr="00A31137">
        <w:t>Clinton, News Conference with President Jiang, June 27, 1998, p.1248</w:t>
      </w:r>
    </w:p>
    <w:p w:rsidR="00A31137" w:rsidRPr="00A31137" w:rsidRDefault="00A31137" w:rsidP="00A31137">
      <w:r w:rsidRPr="00A31137">
        <w:t>Asian Financial Situation</w:t>
      </w:r>
    </w:p>
    <w:p w:rsidR="00A31137" w:rsidRPr="00A31137" w:rsidRDefault="00A31137" w:rsidP="00A31137">
      <w:r w:rsidRPr="00A31137">
        <w:t>Clinton, News Conference with President Jiang, June 27, 1998, p.1248</w:t>
      </w:r>
    </w:p>
    <w:p w:rsidR="00A31137" w:rsidRPr="00A31137" w:rsidRDefault="00A31137" w:rsidP="00A31137">
      <w:r w:rsidRPr="00A31137">
        <w:t>Q. Thank you. I'm a correspondent with the Phoenix TV of Hong Kong. In the recent Asian financial crisis, the Chinese Government has pledged to maintain the value of RMB Asian currency and, thus, making positive contribution to stabilizing the situation in Asia. And this has attracted positive reaction from the international community and from the U.S. Government. However, yesterday, the exchange rate between Japanese yen and the U.S. dollar dropped again to a low of 143 yen against one dollar, and which was closed at 141 yen against one dollar. So, what specific common measures are the Chinese and the U.S. Government prepared to take to stabilize the financial situation in Asia and the world?</w:t>
      </w:r>
    </w:p>
    <w:p w:rsidR="00A31137" w:rsidRPr="00A31137" w:rsidRDefault="00A31137" w:rsidP="00A31137">
      <w:r w:rsidRPr="00A31137">
        <w:t>Clinton, News Conference with President Jiang, June 27, 1998, p.1248</w:t>
      </w:r>
    </w:p>
    <w:p w:rsidR="00A31137" w:rsidRPr="00A31137" w:rsidRDefault="00A31137" w:rsidP="00A31137">
      <w:r w:rsidRPr="00A31137">
        <w:t>The President. Well, first of all, let me agree with you. I think that China has shown great statesmanship and strength in making a strong contribution to the stability not only of the Chinese people and their economy but the entire region, by maintaining the value of its currency.</w:t>
      </w:r>
    </w:p>
    <w:p w:rsidR="00A31137" w:rsidRPr="00A31137" w:rsidRDefault="00A31137" w:rsidP="00A31137">
      <w:r w:rsidRPr="00A31137">
        <w:t>Clinton, News Conference with President Jiang, June 27, 1998, p.1248</w:t>
      </w:r>
    </w:p>
    <w:p w:rsidR="00A31137" w:rsidRPr="00A31137" w:rsidRDefault="00A31137" w:rsidP="00A31137">
      <w:r w:rsidRPr="00A31137">
        <w:t>The United States, as you know, has worked hard to try to support the stability of the Japanese yen and to help growth resume in Japan. I think that what we have agreed to do is to continue to do whatever we can to promote stability and to support policies within Japan that will restore confidence in the economy, get investment going again, and get growth going.</w:t>
      </w:r>
    </w:p>
    <w:p w:rsidR="00A31137" w:rsidRPr="00A31137" w:rsidRDefault="00A31137" w:rsidP="00A31137">
      <w:r w:rsidRPr="00A31137">
        <w:t>Clinton, News Conference with President Jiang, June 27, 1998, p.1248</w:t>
      </w:r>
    </w:p>
    <w:p w:rsidR="00A31137" w:rsidRPr="00A31137" w:rsidRDefault="00A31137" w:rsidP="00A31137">
      <w:r w:rsidRPr="00A31137">
        <w:t>The key here, I believe, is for the plans to reform the financial institutions in Japan and take other steps that will get growth going and get investments going in Japan to be made. I think that, ultimately, President Jiang and I would give anything to be able to just wave a wand and have all of this go away. We are not the only actors in this drama, and a lot of this must be done by the Japanese Government and the Japanese people. We can be supportive, but they have to make the right decisions.</w:t>
      </w:r>
    </w:p>
    <w:p w:rsidR="00A31137" w:rsidRPr="00A31137" w:rsidRDefault="00A31137" w:rsidP="00A31137">
      <w:r w:rsidRPr="00A31137">
        <w:t>Clinton, News Conference with President Jiang, June 27, 1998, p.1248</w:t>
      </w:r>
    </w:p>
    <w:p w:rsidR="00A31137" w:rsidRPr="00A31137" w:rsidRDefault="00A31137" w:rsidP="00A31137">
      <w:r w:rsidRPr="00A31137">
        <w:t>Human Rights</w:t>
      </w:r>
    </w:p>
    <w:p w:rsidR="00A31137" w:rsidRPr="00A31137" w:rsidRDefault="00A31137" w:rsidP="00A31137">
      <w:r w:rsidRPr="00A31137">
        <w:t>Clinton, News Conference with President Jiang, June 27, 1998, p.1248</w:t>
      </w:r>
    </w:p>
    <w:p w:rsidR="00A31137" w:rsidRPr="00A31137" w:rsidRDefault="00A31137" w:rsidP="00A31137">
      <w:r w:rsidRPr="00A31137">
        <w:t>Q. My question to President Jiang and also to President Clinton is, we know that there were four dissidents in Xi'an who were arrested earlier and three were released, and one of them is still under detainment. And I would like to know if you talked about the issue. And what about the rest 2,000 dissidents who are being reported still under imprisonment right now in China? Can both of you elaborate on that? Thank you.</w:t>
      </w:r>
    </w:p>
    <w:p w:rsidR="00A31137" w:rsidRPr="00A31137" w:rsidRDefault="00A31137" w:rsidP="00A31137">
      <w:r w:rsidRPr="00A31137">
        <w:t>Clinton, News Conference with President Jiang, June 27, 1998, p.1248</w:t>
      </w:r>
    </w:p>
    <w:p w:rsidR="00A31137" w:rsidRPr="00A31137" w:rsidRDefault="00A31137" w:rsidP="00A31137">
      <w:r w:rsidRPr="00A31137">
        <w:t>President Jiang. In our talks just now, President Clinton raised this issue. We adopt an attitude of extending very warm welcome to the visit to China by President Clinton.</w:t>
      </w:r>
    </w:p>
    <w:p w:rsidR="00A31137" w:rsidRPr="00A31137" w:rsidRDefault="00A31137" w:rsidP="00A31137">
      <w:r w:rsidRPr="00A31137">
        <w:t>Clinton, News Conference with President Jiang, June 27, 1998, p.1248</w:t>
      </w:r>
    </w:p>
    <w:p w:rsidR="00A31137" w:rsidRPr="00A31137" w:rsidRDefault="00A31137" w:rsidP="00A31137">
      <w:r w:rsidRPr="00A31137">
        <w:t>As for the matter you raised, I think you're referring to the incident in Xi'an, and I think [p.1249] in China there is no question that there is no restriction whatsoever on the coverage and interview by the reporters and the correspondents within the scope of law. But as for some activities that have been detrimental or have prejudiced the security, then the local authorities should take measures to deal with them, and it is also understandable.</w:t>
      </w:r>
    </w:p>
    <w:p w:rsidR="00A31137" w:rsidRPr="00A31137" w:rsidRDefault="00A31137" w:rsidP="00A31137">
      <w:r w:rsidRPr="00A31137">
        <w:t>Clinton, News Conference with President Jiang, June 27, 1998, p.1249</w:t>
      </w:r>
    </w:p>
    <w:p w:rsidR="00A31137" w:rsidRPr="00A31137" w:rsidRDefault="00A31137" w:rsidP="00A31137">
      <w:r w:rsidRPr="00A31137">
        <w:t>As for the question you raised, actually, I do not have very detailed information in this regard. But as for the latter part of your question concerning 2,000 dissidents, I think in China we have our laws. And in China's constitution, it is clearly stipulated that the Chinese citizens have the freedom of speech, but any law-breaking activities must be dealt with according to law. I think this is true in any country of rule of law. And I think China's judicial departments will deal with the matter according to law.</w:t>
      </w:r>
    </w:p>
    <w:p w:rsidR="00A31137" w:rsidRPr="00A31137" w:rsidRDefault="00A31137" w:rsidP="00A31137">
      <w:r w:rsidRPr="00A31137">
        <w:t>Clinton, News Conference with President Jiang, June 27, 1998, p.1249</w:t>
      </w:r>
    </w:p>
    <w:p w:rsidR="00A31137" w:rsidRPr="00A31137" w:rsidRDefault="00A31137" w:rsidP="00A31137">
      <w:r w:rsidRPr="00A31137">
        <w:t>I want to ask that I believe that the vast majority of the correspondents and the reporters are willing to promote the friendship between China and the United States through President Clinton's visit to China this time. However, before President Clinton's visit, I read some reports from some media and newspapers saying—alleging China had been involved in so-called political contributions in the United States. I really think it very absurd and ridiculous, and I think they are sheer fabrications. China can never do such a thing and China never interferes in other country's internal affairs.</w:t>
      </w:r>
    </w:p>
    <w:p w:rsidR="00A31137" w:rsidRPr="00A31137" w:rsidRDefault="00A31137" w:rsidP="00A31137">
      <w:r w:rsidRPr="00A31137">
        <w:t>Clinton, News Conference with President Jiang, June 27, 1998, p.1249</w:t>
      </w:r>
    </w:p>
    <w:p w:rsidR="00A31137" w:rsidRPr="00A31137" w:rsidRDefault="00A31137" w:rsidP="00A31137">
      <w:r w:rsidRPr="00A31137">
        <w:t>Actually, at the talks this morning, President Clinton also asked me of this question. And I told him that after hearing of such an allegation, we conducted very earnest investigation into the matter. And the results of the investigation shows that there was never such a thing.</w:t>
      </w:r>
    </w:p>
    <w:p w:rsidR="00A31137" w:rsidRPr="00A31137" w:rsidRDefault="00A31137" w:rsidP="00A31137">
      <w:r w:rsidRPr="00A31137">
        <w:t>Clinton, News Conference with President Jiang, June 27, 1998, p.1249</w:t>
      </w:r>
    </w:p>
    <w:p w:rsidR="00A31137" w:rsidRPr="00A31137" w:rsidRDefault="00A31137" w:rsidP="00A31137">
      <w:r w:rsidRPr="00A31137">
        <w:t>Recently, in my meetings with many foreign visitors and visiting leaders of other countries, I often said to them that as countries in the world have different social systems and values, it is something that should be allowed that they may have different understandings about one fact. And this actually, itself, is a representation and the manifestation of democracy.</w:t>
      </w:r>
    </w:p>
    <w:p w:rsidR="00A31137" w:rsidRPr="00A31137" w:rsidRDefault="00A31137" w:rsidP="00A31137">
      <w:r w:rsidRPr="00A31137">
        <w:t>Clinton, News Conference with President Jiang, June 27, 1998, p.1249</w:t>
      </w:r>
    </w:p>
    <w:p w:rsidR="00A31137" w:rsidRPr="00A31137" w:rsidRDefault="00A31137" w:rsidP="00A31137">
      <w:r w:rsidRPr="00A31137">
        <w:t>However, what is important is that the fact itself should not be distorted.</w:t>
      </w:r>
    </w:p>
    <w:p w:rsidR="00A31137" w:rsidRPr="00A31137" w:rsidRDefault="00A31137" w:rsidP="00A31137">
      <w:r w:rsidRPr="00A31137">
        <w:t>Clinton, News Conference with President Jiang, June 27, 1998, p.1249</w:t>
      </w:r>
    </w:p>
    <w:p w:rsidR="00A31137" w:rsidRPr="00A31137" w:rsidRDefault="00A31137" w:rsidP="00A31137">
      <w:r w:rsidRPr="00A31137">
        <w:t>I'm sorry I've taken up too much of the time, and I now invite President Clinton to say a few words.</w:t>
      </w:r>
    </w:p>
    <w:p w:rsidR="00A31137" w:rsidRPr="00A31137" w:rsidRDefault="00A31137" w:rsidP="00A31137">
      <w:r w:rsidRPr="00A31137">
        <w:t>Clinton, News Conference with President Jiang, June 27, 1998, p.1249</w:t>
      </w:r>
    </w:p>
    <w:p w:rsidR="00A31137" w:rsidRPr="00A31137" w:rsidRDefault="00A31137" w:rsidP="00A31137">
      <w:r w:rsidRPr="00A31137">
        <w:t>President Clinton. Well, we did discuss the questions you raised. And of course, I made my views known about the recent detentions yesterday. On the larger question you raised, I actually made a couple of specific and practical suggestions about how we might take our dialog further there.</w:t>
      </w:r>
    </w:p>
    <w:p w:rsidR="00A31137" w:rsidRPr="00A31137" w:rsidRDefault="00A31137" w:rsidP="00A31137">
      <w:r w:rsidRPr="00A31137">
        <w:t>Clinton, News Conference with President Jiang, June 27, 1998, p.1249</w:t>
      </w:r>
    </w:p>
    <w:p w:rsidR="00A31137" w:rsidRPr="00A31137" w:rsidRDefault="00A31137" w:rsidP="00A31137">
      <w:r w:rsidRPr="00A31137">
        <w:t>There are some people who are incarcerated now for offensives no longer on the books in China, reflecting real progress in present Chinese practice and the Chinese, in my view; we should acknowledge that. But the question then arises is there some way that these people might be released? Is there some procedure through which we could move? There are some people imprisoned for nonviolent activities in June of '89. Is there something that could be done there?</w:t>
      </w:r>
    </w:p>
    <w:p w:rsidR="00A31137" w:rsidRPr="00A31137" w:rsidRDefault="00A31137" w:rsidP="00A31137">
      <w:r w:rsidRPr="00A31137">
        <w:t>Clinton, News Conference with President Jiang, June 27, 1998, p.1249</w:t>
      </w:r>
    </w:p>
    <w:p w:rsidR="00A31137" w:rsidRPr="00A31137" w:rsidRDefault="00A31137" w:rsidP="00A31137">
      <w:r w:rsidRPr="00A31137">
        <w:t>There are some other practical things we discussed, which I think it would be premature to ask the Chinese Government to make a statement on now because we just have had these discussions. But I want to say to all of you that the atmosphere—whatever your position on these issues is, and particularly if you agree with me, I think you should at least appreciate the fact that we now have an atmosphere in which it is possible for us to be open and honest and in great detail about this and that there are legitimate and honest differences in the way we look at this. But I believe that we are making progress, and I believe that we will make more.</w:t>
      </w:r>
    </w:p>
    <w:p w:rsidR="00A31137" w:rsidRPr="00A31137" w:rsidRDefault="00A31137" w:rsidP="00A31137">
      <w:r w:rsidRPr="00A31137">
        <w:t>Clinton, News Conference with President Jiang, June 27, 1998, p.1249</w:t>
      </w:r>
    </w:p>
    <w:p w:rsidR="00A31137" w:rsidRPr="00A31137" w:rsidRDefault="00A31137" w:rsidP="00A31137">
      <w:r w:rsidRPr="00A31137">
        <w:t>I remember the things that I specified in my statement about that. You can see that neither one of us are shy about being strong about how we believe about this. And I think that we have them in the public debate now, we have them in the private discussions, and we just have to keep pushing forward in trying to work through it.</w:t>
      </w:r>
    </w:p>
    <w:p w:rsidR="00A31137" w:rsidRPr="00A31137" w:rsidRDefault="00A31137" w:rsidP="00A31137">
      <w:r w:rsidRPr="00A31137">
        <w:t>Clinton, News Conference with President Jiang, June 27, 1998, p.1249</w:t>
      </w:r>
    </w:p>
    <w:p w:rsidR="00A31137" w:rsidRPr="00A31137" w:rsidRDefault="00A31137" w:rsidP="00A31137">
      <w:r w:rsidRPr="00A31137">
        <w:t>Nuclear Detargeting Agreement</w:t>
      </w:r>
    </w:p>
    <w:p w:rsidR="00A31137" w:rsidRPr="00A31137" w:rsidRDefault="00A31137" w:rsidP="00A31137">
      <w:r w:rsidRPr="00A31137">
        <w:t>Clinton, News Conference with President Jiang, June 27, 1998, p.1249</w:t>
      </w:r>
    </w:p>
    <w:p w:rsidR="00A31137" w:rsidRPr="00A31137" w:rsidRDefault="00A31137" w:rsidP="00A31137">
      <w:r w:rsidRPr="00A31137">
        <w:t>Q.  President Jiang spoke of China's position against the first use of nuclear weapons and the policy of the United States does not agree with. Was this discussed in the context of negotiations on the detargeting agreement? And where are any U.S. concessions [p.1250] in order to obtain the detargeting agreement?</w:t>
      </w:r>
    </w:p>
    <w:p w:rsidR="00A31137" w:rsidRPr="00A31137" w:rsidRDefault="00A31137" w:rsidP="00A31137">
      <w:r w:rsidRPr="00A31137">
        <w:t>Clinton, News Conference with President Jiang, June 27, 1998, p.1250</w:t>
      </w:r>
    </w:p>
    <w:p w:rsidR="00A31137" w:rsidRPr="00A31137" w:rsidRDefault="00A31137" w:rsidP="00A31137">
      <w:r w:rsidRPr="00A31137">
        <w:t>President Clinton. Well, the short answer to your question and the accurate one is, no, but I don't want it to be a misleading answer. That is, you well understand that our position on that issue is a product of decades of experience in a former time. We have not changed our position, nor are we prepared to do so on that.</w:t>
      </w:r>
    </w:p>
    <w:p w:rsidR="00A31137" w:rsidRPr="00A31137" w:rsidRDefault="00A31137" w:rsidP="00A31137">
      <w:r w:rsidRPr="00A31137">
        <w:t>Clinton, News Conference with President Jiang, June 27, 1998, p.1250</w:t>
      </w:r>
    </w:p>
    <w:p w:rsidR="00A31137" w:rsidRPr="00A31137" w:rsidRDefault="00A31137" w:rsidP="00A31137">
      <w:r w:rsidRPr="00A31137">
        <w:t>But this was a mutual decision we made because we both felt that, number one, if we detargeted, we would completely eliminate the prospect ever of any kind of accidental launch, and number two, we would take one more step in showing mutual confidence and trust in one another, and number three, it would be a helpful signal as a counterweight to the recent nuclear tests in India and Pakistan. And so we agreed that it was in both our interests to do this on its own terms.</w:t>
      </w:r>
    </w:p>
    <w:p w:rsidR="00A31137" w:rsidRPr="00A31137" w:rsidRDefault="00A31137" w:rsidP="00A31137">
      <w:r w:rsidRPr="00A31137">
        <w:t>Clinton, News Conference with President Jiang, June 27, 1998, p.1250</w:t>
      </w:r>
    </w:p>
    <w:p w:rsidR="00A31137" w:rsidRPr="00A31137" w:rsidRDefault="00A31137" w:rsidP="00A31137">
      <w:r w:rsidRPr="00A31137">
        <w:t>President Jiang. I would like to make a brief explanation. As I stated just now, President Clinton and I decided that China and the United States would not target the strategic nuclear weapons under their respective control at each other. Full stop—that's a full stop. And then this demonstrates to the entire world that China and the United States are partners, not adversaries. Full stop again. [Laughter] And then I said, I hereby reiterate, that since the very first day that China came into possession of nuclear weapons, China has undertaken not to be the first to use nuclear weapons under any circumstances. Full stop. That's my view. That's our view.</w:t>
      </w:r>
    </w:p>
    <w:p w:rsidR="00A31137" w:rsidRPr="00A31137" w:rsidRDefault="00A31137" w:rsidP="00A31137">
      <w:r w:rsidRPr="00A31137">
        <w:t>Clinton, News Conference with President Jiang, June 27, 1998, p.1250</w:t>
      </w:r>
    </w:p>
    <w:p w:rsidR="00A31137" w:rsidRPr="00A31137" w:rsidRDefault="00A31137" w:rsidP="00A31137">
      <w:r w:rsidRPr="00A31137">
        <w:t>Human Rights</w:t>
      </w:r>
    </w:p>
    <w:p w:rsidR="00A31137" w:rsidRPr="00A31137" w:rsidRDefault="00A31137" w:rsidP="00A31137">
      <w:r w:rsidRPr="00A31137">
        <w:t>Clinton, News Conference with President Jiang, June 27, 1998, p.1250</w:t>
      </w:r>
    </w:p>
    <w:p w:rsidR="00A31137" w:rsidRPr="00A31137" w:rsidRDefault="00A31137" w:rsidP="00A31137">
      <w:r w:rsidRPr="00A31137">
        <w:t>Q. My question is to President Jiang. At his opening statement, President Clinton expressed appreciation of the achievements made by the Chinese Government in respecting human rights. At the same time, he also said that China and the United States also had difference of views over this matter. So my question is, what is the position of the Chinese Government on the human rights issue?</w:t>
      </w:r>
    </w:p>
    <w:p w:rsidR="00A31137" w:rsidRPr="00A31137" w:rsidRDefault="00A31137" w:rsidP="00A31137">
      <w:r w:rsidRPr="00A31137">
        <w:t>Clinton, News Conference with President Jiang, June 27, 1998, p.1250</w:t>
      </w:r>
    </w:p>
    <w:p w:rsidR="00A31137" w:rsidRPr="00A31137" w:rsidRDefault="00A31137" w:rsidP="00A31137">
      <w:r w:rsidRPr="00A31137">
        <w:t>President Jiang. China and the United States have differences of views and also have common ground on the human rights issue. More than 2,000 years ago, a great thinker of China's Han Dynasty, Dong Zhongshu, once said, "Of all the living things nurtured between heaven and the Earth, the most valuable is human beings." So the Chinese nation always respects and maintains the dignity and rights of the people. Today the Chinese Government solemnly commits itself to the promotion and the protection of human rights and fundamental freedoms.</w:t>
      </w:r>
    </w:p>
    <w:p w:rsidR="00A31137" w:rsidRPr="00A31137" w:rsidRDefault="00A31137" w:rsidP="00A31137">
      <w:r w:rsidRPr="00A31137">
        <w:t>Clinton, News Conference with President Jiang, June 27, 1998, p.1250</w:t>
      </w:r>
    </w:p>
    <w:p w:rsidR="00A31137" w:rsidRPr="00A31137" w:rsidRDefault="00A31137" w:rsidP="00A31137">
      <w:r w:rsidRPr="00A31137">
        <w:t>The United States is the most developed country in the world, with a per capita GDP approaching 30,000 U.S. dollars, while China is a developing country with a population of 1.2 billion, with a per capita GDP of less than 700 U.S. dollars. As the two countries differ in social system, ideology, historical tradition, and cultural background, the two countries have different means and ways in realizing human rights and fundamental freedoms. So it's nothing strange that we may have some difference of views over some issues.</w:t>
      </w:r>
    </w:p>
    <w:p w:rsidR="00A31137" w:rsidRPr="00A31137" w:rsidRDefault="00A31137" w:rsidP="00A31137">
      <w:r w:rsidRPr="00A31137">
        <w:t>Clinton, News Conference with President Jiang, June 27, 1998, p.1250</w:t>
      </w:r>
    </w:p>
    <w:p w:rsidR="00A31137" w:rsidRPr="00A31137" w:rsidRDefault="00A31137" w:rsidP="00A31137">
      <w:r w:rsidRPr="00A31137">
        <w:t>China stresses that the top priority should be given to the right to subsistence and the right to development. Meanwhile, efforts should be made to strengthen democracy and the legal system building, and to protect the economic, social, cultural, civil, and the political rights of the people.</w:t>
      </w:r>
    </w:p>
    <w:p w:rsidR="00A31137" w:rsidRPr="00A31137" w:rsidRDefault="00A31137" w:rsidP="00A31137">
      <w:r w:rsidRPr="00A31137">
        <w:t>Clinton, News Conference with President Jiang, June 27, 1998, p.1250</w:t>
      </w:r>
    </w:p>
    <w:p w:rsidR="00A31137" w:rsidRPr="00A31137" w:rsidRDefault="00A31137" w:rsidP="00A31137">
      <w:r w:rsidRPr="00A31137">
        <w:t>I listened very carefully to what President Clinton said just now, and I noticed that he made mention of the political disturbances happened in Tiananmen in 1989, and he also told the history of Tiananmen and told of the things that happened in Tiananmen.</w:t>
      </w:r>
      <w:r w:rsidRPr="00A31137">
        <w:cr/>
      </w:r>
    </w:p>
    <w:p w:rsidR="00A31137" w:rsidRPr="00A31137" w:rsidRDefault="00A31137" w:rsidP="00A31137">
      <w:r w:rsidRPr="00A31137">
        <w:t>Clinton, News Conference with President Jiang, June 27, 1998, p.1250</w:t>
      </w:r>
    </w:p>
    <w:p w:rsidR="00A31137" w:rsidRPr="00A31137" w:rsidRDefault="00A31137" w:rsidP="00A31137">
      <w:r w:rsidRPr="00A31137">
        <w:t>With regard to the political disturbances in 1989, the Chinese people have long drawn a historical conclusion. During my visit to the United States last year and also on many international occasions, I have stated our position that with regard to the political disturbances in 1989, had the Chinese Government not taken the resolute measures, then we could not have enjoyed the stability that we are enjoying today.</w:t>
      </w:r>
    </w:p>
    <w:p w:rsidR="00A31137" w:rsidRPr="00A31137" w:rsidRDefault="00A31137" w:rsidP="00A31137">
      <w:r w:rsidRPr="00A31137">
        <w:t>Clinton, News Conference with President Jiang, June 27, 1998, p.1250</w:t>
      </w:r>
    </w:p>
    <w:p w:rsidR="00A31137" w:rsidRPr="00A31137" w:rsidRDefault="00A31137" w:rsidP="00A31137">
      <w:r w:rsidRPr="00A31137">
        <w:t>China is a socialist country in which its people are masters of the nation. The Chinese people can elect their own representatives to the people's congresses through direct or indirect means, and they can fully express their views and exercise their political rights. In the two decades since the reform [p.1251] and opening up program was started, the National People's Congress of China has adopted more than 320 laws and acts, thus, constantly strengthening the legal protection of the democracy, fundamental freedoms, and the various rights enjoyed by the Chinese people. Over the past two decades, another 200 million people in China were lifted out of poverty.</w:t>
      </w:r>
    </w:p>
    <w:p w:rsidR="00A31137" w:rsidRPr="00A31137" w:rsidRDefault="00A31137" w:rsidP="00A31137">
      <w:r w:rsidRPr="00A31137">
        <w:t>Clinton, News Conference with President Jiang, June 27, 1998, p.1251</w:t>
      </w:r>
    </w:p>
    <w:p w:rsidR="00A31137" w:rsidRPr="00A31137" w:rsidRDefault="00A31137" w:rsidP="00A31137">
      <w:r w:rsidRPr="00A31137">
        <w:t>No country's human rights situation is perfect. Since the founding of new China, the fundamental changes and the tremendous achievements that have been achieved, that have been scored in the human rights conditions in China are for all to see. I'd like to know whether President Clinton will have anything more to add.</w:t>
      </w:r>
    </w:p>
    <w:p w:rsidR="00A31137" w:rsidRPr="00A31137" w:rsidRDefault="00A31137" w:rsidP="00A31137">
      <w:r w:rsidRPr="00A31137">
        <w:t>Clinton, News Conference with President Jiang, June 27, 1998, p.1251</w:t>
      </w:r>
    </w:p>
    <w:p w:rsidR="00A31137" w:rsidRPr="00A31137" w:rsidRDefault="00A31137" w:rsidP="00A31137">
      <w:r w:rsidRPr="00A31137">
        <w:t>President Clinton. I would like to add a comment. First of all, I think this debate and discussion today has been a healthy thing and a good thing. Secondly, I think to understand the priority that each country attaches to its own interpretation of this issue of human rights, you have to understand something of our history.</w:t>
      </w:r>
    </w:p>
    <w:p w:rsidR="00A31137" w:rsidRPr="00A31137" w:rsidRDefault="00A31137" w:rsidP="00A31137">
      <w:r w:rsidRPr="00A31137">
        <w:t>Clinton, News Conference with President Jiang, June 27, 1998, p.1251</w:t>
      </w:r>
    </w:p>
    <w:p w:rsidR="00A31137" w:rsidRPr="00A31137" w:rsidRDefault="00A31137" w:rsidP="00A31137">
      <w:r w:rsidRPr="00A31137">
        <w:t>The Chinese who are here understand better than I the price paid over time at various moments in history for disruption and upheaval in China, so there is an understandable desire to have stability in the country. Every country wants stability.</w:t>
      </w:r>
    </w:p>
    <w:p w:rsidR="00A31137" w:rsidRPr="00A31137" w:rsidRDefault="00A31137" w:rsidP="00A31137">
      <w:r w:rsidRPr="00A31137">
        <w:t>Clinton, News Conference with President Jiang, June 27, 1998, p.1251</w:t>
      </w:r>
    </w:p>
    <w:p w:rsidR="00A31137" w:rsidRPr="00A31137" w:rsidRDefault="00A31137" w:rsidP="00A31137">
      <w:r w:rsidRPr="00A31137">
        <w:t>Our country was founded by people who felt they were abused by royal powers, by people in power, and they wanted to protect their personal liberties by putting limits on government. And they understood—they understood clearly, that any system—because human beings are imperfect, any system can be abused.</w:t>
      </w:r>
    </w:p>
    <w:p w:rsidR="00A31137" w:rsidRPr="00A31137" w:rsidRDefault="00A31137" w:rsidP="00A31137">
      <w:r w:rsidRPr="00A31137">
        <w:t>Clinton, News Conference with President Jiang, June 27, 1998, p.1251</w:t>
      </w:r>
    </w:p>
    <w:p w:rsidR="00A31137" w:rsidRPr="00A31137" w:rsidRDefault="00A31137" w:rsidP="00A31137">
      <w:r w:rsidRPr="00A31137">
        <w:t>So the question for all societies going forward into the 21st century is, which is the better gamble? If you have a lot of personal freedom, some people may abuse it. But if you are so afraid of personal freedom because of the abuse that you limit people's freedom too much, then you pay, I believe, an even greater price in a world where the whole economy is based on ideas and information and exchange and debate and children everywhere dreaming dreams and feeling they can live their dreams out.</w:t>
      </w:r>
    </w:p>
    <w:p w:rsidR="00A31137" w:rsidRPr="00A31137" w:rsidRDefault="00A31137" w:rsidP="00A31137">
      <w:r w:rsidRPr="00A31137">
        <w:t>Clinton, News Conference with President Jiang, June 27, 1998, p.1251</w:t>
      </w:r>
    </w:p>
    <w:p w:rsidR="00A31137" w:rsidRPr="00A31137" w:rsidRDefault="00A31137" w:rsidP="00A31137">
      <w:r w:rsidRPr="00A31137">
        <w:t>So I am trying to have a dialog here that will enable both of us to move forward so that the Chinese people will get the best possible result. I believe stability in the 21st century will require high levels of freedom.</w:t>
      </w:r>
    </w:p>
    <w:p w:rsidR="00A31137" w:rsidRPr="00A31137" w:rsidRDefault="00A31137" w:rsidP="00A31137">
      <w:r w:rsidRPr="00A31137">
        <w:t>Clinton, News Conference with President Jiang, June 27, 1998, p.1251</w:t>
      </w:r>
    </w:p>
    <w:p w:rsidR="00A31137" w:rsidRPr="00A31137" w:rsidRDefault="00A31137" w:rsidP="00A31137">
      <w:r w:rsidRPr="00A31137">
        <w:t>President Jiang. I'm sorry, I have to take up an additional 5 minutes. [Laughter] So I'd like to say a few words on Dalai Lama. President Clinton is also interested in this question, in Dalai Lama. Actually, since the Dalai Lama left in 1959, earth-shaking changes have taken place in Tibet.</w:t>
      </w:r>
    </w:p>
    <w:p w:rsidR="00A31137" w:rsidRPr="00A31137" w:rsidRDefault="00A31137" w:rsidP="00A31137">
      <w:r w:rsidRPr="00A31137">
        <w:t>Clinton, News Conference with President Jiang, June 27, 1998, p.1251</w:t>
      </w:r>
    </w:p>
    <w:p w:rsidR="00A31137" w:rsidRPr="00A31137" w:rsidRDefault="00A31137" w:rsidP="00A31137">
      <w:r w:rsidRPr="00A31137">
        <w:t>First, the system of bureaucracy has forever become bygones, though it is unfortunate that the disappearance of this bureaucracy was much later than the demise of bureaucracy in Europe before Renaissance. And the more than one million serfs under the rule of the Dalai Lama were liberated. In 1990 when I was in Tibet, I went to visit the liberated serfs. And now the system of national autonomy is in practice in Tibet, and the people there, they have their Tibetan autonomous region government.</w:t>
      </w:r>
    </w:p>
    <w:p w:rsidR="00A31137" w:rsidRPr="00A31137" w:rsidRDefault="00A31137" w:rsidP="00A31137">
      <w:r w:rsidRPr="00A31137">
        <w:t>Clinton, News Conference with President Jiang, June 27, 1998, p.1251</w:t>
      </w:r>
    </w:p>
    <w:p w:rsidR="00A31137" w:rsidRPr="00A31137" w:rsidRDefault="00A31137" w:rsidP="00A31137">
      <w:r w:rsidRPr="00A31137">
        <w:t>Since I came to work in the central government, I have urged the rest of the 29 provinces, municipalities, and autonomous regions to assist Tibet in its development, even including those provinces that are not very developed, such as Qinghai Province. So altogether, nearly 8 billion RMB-yuan financial resources were raised and already 62 projects have been completed in Tibet.</w:t>
      </w:r>
    </w:p>
    <w:p w:rsidR="00A31137" w:rsidRPr="00A31137" w:rsidRDefault="00A31137" w:rsidP="00A31137">
      <w:r w:rsidRPr="00A31137">
        <w:t>Clinton, News Conference with President Jiang, June 27, 1998, p.1251</w:t>
      </w:r>
    </w:p>
    <w:p w:rsidR="00A31137" w:rsidRPr="00A31137" w:rsidRDefault="00A31137" w:rsidP="00A31137">
      <w:r w:rsidRPr="00A31137">
        <w:t>As for the freedom of religious belief, there is fierce stipulations in our constitution for the protection of religious belief, and this also includes in Tibet. And we have also spent a lot of money in renovating the lamasis and temples in Tibet. And we have spent 100 million RMB-yuan and one ton of gold in renovating the Budala Palace.</w:t>
      </w:r>
    </w:p>
    <w:p w:rsidR="00A31137" w:rsidRPr="00A31137" w:rsidRDefault="00A31137" w:rsidP="00A31137">
      <w:r w:rsidRPr="00A31137">
        <w:t>Clinton, News Conference with President Jiang, June 27, 1998, p.1251</w:t>
      </w:r>
    </w:p>
    <w:p w:rsidR="00A31137" w:rsidRPr="00A31137" w:rsidRDefault="00A31137" w:rsidP="00A31137">
      <w:r w:rsidRPr="00A31137">
        <w:t xml:space="preserve">Just now President Clinton also mentioned the Tibetan issue and the dialog with the Dalai Lama. Actually, as long as the Dalai Lama can publicly make the statement and a commitment that Tibet is an inalienable part of China and he must also recognize Taiwan as a province of China, then the door to dialog and negotiation is open. Actually, we are having several channels of communications with the Dalai Lama. So I hope the Dalai Lama will make positive response in this regard. [p.1252] </w:t>
      </w:r>
    </w:p>
    <w:p w:rsidR="00A31137" w:rsidRPr="00A31137" w:rsidRDefault="00A31137" w:rsidP="00A31137">
      <w:r w:rsidRPr="00A31137">
        <w:t>Clinton, News Conference with President Jiang, June 27, 1998, p.1252</w:t>
      </w:r>
    </w:p>
    <w:p w:rsidR="00A31137" w:rsidRPr="00A31137" w:rsidRDefault="00A31137" w:rsidP="00A31137">
      <w:r w:rsidRPr="00A31137">
        <w:t>Finally, I want to emphasize that according to China's constitution, the freedom of religious belief in Tibet and also throughout China is protected. But as the President of the People's Republic of China and as a communist member, a member of the communist party, I myself am an atheist. But this will by no means affect my respect for the religious freedom in Tibet.</w:t>
      </w:r>
    </w:p>
    <w:p w:rsidR="00A31137" w:rsidRPr="00A31137" w:rsidRDefault="00A31137" w:rsidP="00A31137">
      <w:r w:rsidRPr="00A31137">
        <w:t>Clinton, News Conference with President Jiang, June 27, 1998, p.1252</w:t>
      </w:r>
    </w:p>
    <w:p w:rsidR="00A31137" w:rsidRPr="00A31137" w:rsidRDefault="00A31137" w:rsidP="00A31137">
      <w:r w:rsidRPr="00A31137">
        <w:t>But still, I have a question. That is, during my visit to the United States last year and also during my previous visits to other European countries, I found that although the education in science and technology have developed to a very high level, and people are now enjoying modern civilization, but still quite a number of them have a belief in Lamaism. So this is a question that I'm still studying and still looking into. I want to find out the reason why.</w:t>
      </w:r>
    </w:p>
    <w:p w:rsidR="00A31137" w:rsidRPr="00A31137" w:rsidRDefault="00A31137" w:rsidP="00A31137">
      <w:r w:rsidRPr="00A31137">
        <w:t>Clinton, News Conference with President Jiang, June 27, 1998, p.1252</w:t>
      </w:r>
    </w:p>
    <w:p w:rsidR="00A31137" w:rsidRPr="00A31137" w:rsidRDefault="00A31137" w:rsidP="00A31137">
      <w:r w:rsidRPr="00A31137">
        <w:t>I think President Clinton is a strong defender of the American interests, and I am a strong defender of the Chinese interests. But despite that, we still can have very friendly exchanges of views and discussions. And I think that is democracy. And I want to stress that, actually, there are a lot of areas in which we can learn from each other.</w:t>
      </w:r>
    </w:p>
    <w:p w:rsidR="00A31137" w:rsidRPr="00A31137" w:rsidRDefault="00A31137" w:rsidP="00A31137">
      <w:r w:rsidRPr="00A31137">
        <w:t>Clinton, News Conference with President Jiang, June 27, 1998, p.1252</w:t>
      </w:r>
    </w:p>
    <w:p w:rsidR="00A31137" w:rsidRPr="00A31137" w:rsidRDefault="00A31137" w:rsidP="00A31137">
      <w:r w:rsidRPr="00A31137">
        <w:t>If you agree, we will finish this. [Laughter]</w:t>
      </w:r>
    </w:p>
    <w:p w:rsidR="00A31137" w:rsidRPr="00A31137" w:rsidRDefault="00A31137" w:rsidP="00A31137">
      <w:r w:rsidRPr="00A31137">
        <w:t>Clinton, News Conference with President Jiang, June 27, 1998, p.1252</w:t>
      </w:r>
    </w:p>
    <w:p w:rsidR="00A31137" w:rsidRPr="00A31137" w:rsidRDefault="00A31137" w:rsidP="00A31137">
      <w:r w:rsidRPr="00A31137">
        <w:t>President Clinton. I agree, but I have—you have to let me say one thing about the Dalai Lama. [Laughter]</w:t>
      </w:r>
    </w:p>
    <w:p w:rsidR="00A31137" w:rsidRPr="00A31137" w:rsidRDefault="00A31137" w:rsidP="00A31137">
      <w:r w:rsidRPr="00A31137">
        <w:t>Clinton, News Conference with President Jiang, June 27, 1998, p.1252</w:t>
      </w:r>
    </w:p>
    <w:p w:rsidR="00A31137" w:rsidRPr="00A31137" w:rsidRDefault="00A31137" w:rsidP="00A31137">
      <w:r w:rsidRPr="00A31137">
        <w:t>First, I agree that Tibet is a part of China, an autonomous region of China. And I can understand why the acknowledgement of that would be a precondition of dialog with the Dalai Lama. But I also believe that there are many, many Tibetans who still revere the Dalai Lama and view him as their spiritual leader.</w:t>
      </w:r>
    </w:p>
    <w:p w:rsidR="00A31137" w:rsidRPr="00A31137" w:rsidRDefault="00A31137" w:rsidP="00A31137">
      <w:r w:rsidRPr="00A31137">
        <w:t>Clinton, News Conference with President Jiang, June 27, 1998, p.1252</w:t>
      </w:r>
    </w:p>
    <w:p w:rsidR="00A31137" w:rsidRPr="00A31137" w:rsidRDefault="00A31137" w:rsidP="00A31137">
      <w:r w:rsidRPr="00A31137">
        <w:t>President Jiang pointed out that he has a few followers of Tibetan Buddhism, even in the United States and Europe. But most of his followers have not given up their own religious faith. He has followers who are Christians—supporters, excuse me, not followers, supporters—who are Christians, who are Jews, who are Muslims, who believe in the unity of God, and who believe he is a holy man.</w:t>
      </w:r>
    </w:p>
    <w:p w:rsidR="00A31137" w:rsidRPr="00A31137" w:rsidRDefault="00A31137" w:rsidP="00A31137">
      <w:r w:rsidRPr="00A31137">
        <w:t>Clinton, News Conference with President Jiang, June 27, 1998, p.1252</w:t>
      </w:r>
    </w:p>
    <w:p w:rsidR="00A31137" w:rsidRPr="00A31137" w:rsidRDefault="00A31137" w:rsidP="00A31137">
      <w:r w:rsidRPr="00A31137">
        <w:t>But for us, the question is not fundamentally religious; it is political. That is, we believe that other people should have the right to fully practice their religious beliefs and that if he, in good faith, presents himself on those terms, it is a legitimate thing for China to engage him in dialog.</w:t>
      </w:r>
    </w:p>
    <w:p w:rsidR="00A31137" w:rsidRPr="00A31137" w:rsidRDefault="00A31137" w:rsidP="00A31137">
      <w:r w:rsidRPr="00A31137">
        <w:t>Clinton, News Conference with President Jiang, June 27, 1998, p.1252</w:t>
      </w:r>
    </w:p>
    <w:p w:rsidR="00A31137" w:rsidRPr="00A31137" w:rsidRDefault="00A31137" w:rsidP="00A31137">
      <w:r w:rsidRPr="00A31137">
        <w:t>And let me say something that will perhaps be unpopular with everyone. I have spent time with the Dalai Lama. I believe him to be an honest man, and I believe if he had a conversation with President Jiang, they would like each other very much. [Laughter]</w:t>
      </w:r>
    </w:p>
    <w:p w:rsidR="00A31137" w:rsidRPr="00A31137" w:rsidRDefault="00A31137" w:rsidP="00A31137">
      <w:r w:rsidRPr="00A31137">
        <w:t>Clinton, News Conference with President Jiang, June 27, 1998, p.1252</w:t>
      </w:r>
    </w:p>
    <w:p w:rsidR="00A31137" w:rsidRPr="00A31137" w:rsidRDefault="00A31137" w:rsidP="00A31137">
      <w:r w:rsidRPr="00A31137">
        <w:t>Note: The President's 161st news conference began at 12:05 p.m. in the Western Hall of the Great Hall of the People. President Jiang spoke in Chinese, and his remarks were translated by an interpreter. A portion of this news conference could not be verified because the tape was incomplete.</w:t>
      </w:r>
    </w:p>
    <w:p w:rsidR="00A31137" w:rsidRPr="00A31137" w:rsidRDefault="00A31137" w:rsidP="00A31137">
      <w:r w:rsidRPr="00A31137">
        <w:t>Clinton's Remarks with Students at Beijing University, June 29, 1998</w:t>
      </w:r>
    </w:p>
    <w:p w:rsidR="00A31137" w:rsidRPr="00A31137" w:rsidRDefault="00A31137" w:rsidP="00A31137">
      <w:r w:rsidRPr="00A31137">
        <w:t>Title:</w:t>
      </w:r>
      <w:r w:rsidRPr="00A31137">
        <w:tab/>
        <w:t>Clinton's Remarks with Students at Beijing University</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June 29, 1998</w:t>
      </w:r>
    </w:p>
    <w:p w:rsidR="00A31137" w:rsidRPr="00A31137" w:rsidRDefault="00A31137" w:rsidP="00A31137">
      <w:r w:rsidRPr="00A31137">
        <w:t>Source:</w:t>
      </w:r>
      <w:r w:rsidRPr="00A31137">
        <w:tab/>
        <w:t>Weekly Compilation of Presidential Documents, 1998, pp.1255-1265</w:t>
      </w:r>
    </w:p>
    <w:p w:rsidR="00A31137" w:rsidRPr="00A31137" w:rsidRDefault="00A31137" w:rsidP="00A31137">
      <w:r w:rsidRPr="00A31137">
        <w:t>Clinton, Remarks at Beijing University, June 29, 1998, p.1255</w:t>
      </w:r>
    </w:p>
    <w:p w:rsidR="00A31137" w:rsidRPr="00A31137" w:rsidRDefault="00A31137" w:rsidP="00A31137">
      <w:r w:rsidRPr="00A31137">
        <w:t>The President. Thank you. Thank you, President Chen, Chairman Ren, Vice President Chi, Vice Minister Wei. We are delighted to be here today with a very large American delegation, including the First Lady and our daughter, who is a student at Stanford, one of the schools with which Beijing University has a relationship. We have six Members of the United States Congress; the Secretary of State; Secretary of Commerce; the Secretary of Agriculture; the Chairman of our Council of Economic Advisers; Senator Sasser, our Ambassador; the National Security Adviser; and my Chief of Staff, among others. I say that to illustrate the importance that the United States places on our relationship with China.</w:t>
      </w:r>
    </w:p>
    <w:p w:rsidR="00A31137" w:rsidRPr="00A31137" w:rsidRDefault="00A31137" w:rsidP="00A31137">
      <w:r w:rsidRPr="00A31137">
        <w:t>Clinton, Remarks at Beijing University, June 29, 1998, p.1255</w:t>
      </w:r>
    </w:p>
    <w:p w:rsidR="00A31137" w:rsidRPr="00A31137" w:rsidRDefault="00A31137" w:rsidP="00A31137">
      <w:r w:rsidRPr="00A31137">
        <w:t>I would like to begin by congratulating all of you, the students, the faculty, the administrators, on celebrating the centennial year of your university. Gongxi, "Beida".</w:t>
      </w:r>
    </w:p>
    <w:p w:rsidR="00A31137" w:rsidRPr="00A31137" w:rsidRDefault="00A31137" w:rsidP="00A31137">
      <w:r w:rsidRPr="00A31137">
        <w:t>Clinton, Remarks at Beijing University, June 29, 1998, p.1255</w:t>
      </w:r>
    </w:p>
    <w:p w:rsidR="00A31137" w:rsidRPr="00A31137" w:rsidRDefault="00A31137" w:rsidP="00A31137">
      <w:r w:rsidRPr="00A31137">
        <w:t>As I'm sure all of you know, this campus was once home to Yenching University which was founded by American missionaries. Many of its wonderful buildings were designed by an American architect. Thousands of American students and professors have come here to study and teach. We feel a special kinship with you.</w:t>
      </w:r>
    </w:p>
    <w:p w:rsidR="00A31137" w:rsidRPr="00A31137" w:rsidRDefault="00A31137" w:rsidP="00A31137">
      <w:r w:rsidRPr="00A31137">
        <w:t>Clinton, Remarks at Beijing University, June 29, 1998, p.1255</w:t>
      </w:r>
    </w:p>
    <w:p w:rsidR="00A31137" w:rsidRPr="00A31137" w:rsidRDefault="00A31137" w:rsidP="00A31137">
      <w:r w:rsidRPr="00A31137">
        <w:t xml:space="preserve">I am, however, grateful that this day is different in one important respect from another important occasion 79 years ago. In June of 1919, the first president of Yenching University, John Leighton Stuart, was set to deliver the very first commencement address on these very grounds. At the appointed hour, he appeared, but no students appeared. They were all out leading the May 4th Movement for China's political and cultural renewal. When I read this, I hoped that when I walked into the auditorium today, someone would be sitting here. And I thank you for being here, very much. [p.1256] </w:t>
      </w:r>
    </w:p>
    <w:p w:rsidR="00A31137" w:rsidRPr="00A31137" w:rsidRDefault="00A31137" w:rsidP="00A31137">
      <w:r w:rsidRPr="00A31137">
        <w:t>Clinton, Remarks at Beijing University, June 29, 1998, p.1256</w:t>
      </w:r>
    </w:p>
    <w:p w:rsidR="00A31137" w:rsidRPr="00A31137" w:rsidRDefault="00A31137" w:rsidP="00A31137">
      <w:r w:rsidRPr="00A31137">
        <w:t>Over the last 100 years, this university has grown to more than 20,000 students. Your graduates are spread throughout China and around the world. You have built the largest university library in all of Asia. Last year 20 percent of your graduates went abroad to study, including half of your math and science majors. And in this anniversary year, more than a million people in China, Asia, and beyond have logged on to your Web site. At the dawn of a new century, this university is leading China into the future.</w:t>
      </w:r>
    </w:p>
    <w:p w:rsidR="00A31137" w:rsidRPr="00A31137" w:rsidRDefault="00A31137" w:rsidP="00A31137">
      <w:r w:rsidRPr="00A31137">
        <w:t>Clinton, Remarks at Beijing University, June 29, 1998, p.1256</w:t>
      </w:r>
    </w:p>
    <w:p w:rsidR="00A31137" w:rsidRPr="00A31137" w:rsidRDefault="00A31137" w:rsidP="00A31137">
      <w:r w:rsidRPr="00A31137">
        <w:t>I come here today to talk to you, the next generation of China's leaders, about the critical importance to your future of building a strong partnership between China and the United States.</w:t>
      </w:r>
    </w:p>
    <w:p w:rsidR="00A31137" w:rsidRPr="00A31137" w:rsidRDefault="00A31137" w:rsidP="00A31137">
      <w:r w:rsidRPr="00A31137">
        <w:t>Clinton, Remarks at Beijing University, June 29, 1998, p.1256</w:t>
      </w:r>
    </w:p>
    <w:p w:rsidR="00A31137" w:rsidRPr="00A31137" w:rsidRDefault="00A31137" w:rsidP="00A31137">
      <w:r w:rsidRPr="00A31137">
        <w:t>The American people deeply admire China for its thousands of years of contributions to culture and religion, to philosophy and the arts, to science and technology. We remember well our strong partnership in World War II. Now we see China at a moment in history when your glorious past is matched by your present sweeping transformation and the even greater promise of your future.</w:t>
      </w:r>
    </w:p>
    <w:p w:rsidR="00A31137" w:rsidRPr="00A31137" w:rsidRDefault="00A31137" w:rsidP="00A31137">
      <w:r w:rsidRPr="00A31137">
        <w:t>Clinton, Remarks at Beijing University, June 29, 1998, p.1256</w:t>
      </w:r>
    </w:p>
    <w:p w:rsidR="00A31137" w:rsidRPr="00A31137" w:rsidRDefault="00A31137" w:rsidP="00A31137">
      <w:r w:rsidRPr="00A31137">
        <w:t>Just three decades ago, China was virtually shut off from the world. Now, China is a member of more than 1,000 international organizations, enterprises that affect everything from air travel to agricultural development. You have opened your nation to trade and investment on a large scale. Today, 40,000 young Chinese study in the United States, with hundreds of thousands more learning in Asia, Africa, Europe, and Latin America.</w:t>
      </w:r>
    </w:p>
    <w:p w:rsidR="00A31137" w:rsidRPr="00A31137" w:rsidRDefault="00A31137" w:rsidP="00A31137">
      <w:r w:rsidRPr="00A31137">
        <w:t>Clinton, Remarks at Beijing University, June 29, 1998, p.1256</w:t>
      </w:r>
    </w:p>
    <w:p w:rsidR="00A31137" w:rsidRPr="00A31137" w:rsidRDefault="00A31137" w:rsidP="00A31137">
      <w:r w:rsidRPr="00A31137">
        <w:t>Your social and economic transformation has been even more remarkable, moving from a closed command economic system to a driving, increasingly market-based and driven economy, generating two decades of unprecedented growth, giving people greater freedom to travel within and outside China, to vote in village elections, to own a home, choose a job, attend a better school. As a result, you have lifted literally hundreds of millions of people from poverty. Per capita income has more than doubled in the last decade. Most Chinese people are leading lives they could not have imagined just 20 years ago.</w:t>
      </w:r>
    </w:p>
    <w:p w:rsidR="00A31137" w:rsidRPr="00A31137" w:rsidRDefault="00A31137" w:rsidP="00A31137">
      <w:r w:rsidRPr="00A31137">
        <w:t>Clinton, Remarks at Beijing University, June 29, 1998, p.1256</w:t>
      </w:r>
    </w:p>
    <w:p w:rsidR="00A31137" w:rsidRPr="00A31137" w:rsidRDefault="00A31137" w:rsidP="00A31137">
      <w:r w:rsidRPr="00A31137">
        <w:t>Of course, these changes have also brought disruptions in settled patterns of life and work and have imposed enormous strains on your environment. Once every urban Chinese was guaranteed employment in a state enterprise. Now you must compete in a job market. Once a Chinese worker had only to meet the demands of a central planner in Beijing. Now the global economy means all must match the quality and creativity of the rest of the world. For those who lack the right training and skills and support, this new world can be daunting.</w:t>
      </w:r>
    </w:p>
    <w:p w:rsidR="00A31137" w:rsidRPr="00A31137" w:rsidRDefault="00A31137" w:rsidP="00A31137">
      <w:r w:rsidRPr="00A31137">
        <w:t>Clinton, Remarks at Beijing University, June 29, 1998, p.1256</w:t>
      </w:r>
    </w:p>
    <w:p w:rsidR="00A31137" w:rsidRPr="00A31137" w:rsidRDefault="00A31137" w:rsidP="00A31137">
      <w:r w:rsidRPr="00A31137">
        <w:t>In the short term, good, hardworking people—some, at least, will find themselves unemployed. And as all of you can see, there have been enormous environmental and economic and health care costs to the development pattern and the energy use pattern of the last 20 years, from air pollution to deforestation to acid rain and water shortage.</w:t>
      </w:r>
    </w:p>
    <w:p w:rsidR="00A31137" w:rsidRPr="00A31137" w:rsidRDefault="00A31137" w:rsidP="00A31137">
      <w:r w:rsidRPr="00A31137">
        <w:t>Clinton, Remarks at Beijing University, June 29, 1998, p.1256</w:t>
      </w:r>
    </w:p>
    <w:p w:rsidR="00A31137" w:rsidRPr="00A31137" w:rsidRDefault="00A31137" w:rsidP="00A31137">
      <w:r w:rsidRPr="00A31137">
        <w:t>In the face of these challenges, new systems of training and social security will have to be devised, and new environmental policies and technologies will have to be introduced with the goal of growing your economy while improving the environment. Everything I know about the intelligence, the ingenuity, the enterprise of the Chinese people and everything I have heard these last few days in my discussions with President Jiang, Prime Minister Zhu, and others give me confidence that you will succeed.</w:t>
      </w:r>
    </w:p>
    <w:p w:rsidR="00A31137" w:rsidRPr="00A31137" w:rsidRDefault="00A31137" w:rsidP="00A31137">
      <w:r w:rsidRPr="00A31137">
        <w:t>Clinton, Remarks at Beijing University, June 29, 1998, p.1256</w:t>
      </w:r>
    </w:p>
    <w:p w:rsidR="00A31137" w:rsidRPr="00A31137" w:rsidRDefault="00A31137" w:rsidP="00A31137">
      <w:r w:rsidRPr="00A31137">
        <w:t>As you build a new China, America wants to build a new relationship with you. We want China to be successful, secure, and open, working with us for a more peaceful and prosperous world. I know there are those in China and the United States who question whether closer relations between our countries is a good thing. But everything all of us know about the way the world is changing and the challenges your generation will face tell us that our two nations will be far better off working together than apart.</w:t>
      </w:r>
    </w:p>
    <w:p w:rsidR="00A31137" w:rsidRPr="00A31137" w:rsidRDefault="00A31137" w:rsidP="00A31137">
      <w:r w:rsidRPr="00A31137">
        <w:t>Clinton, Remarks at Beijing University, June 29, 1998, p.1256</w:t>
      </w:r>
    </w:p>
    <w:p w:rsidR="00A31137" w:rsidRPr="00A31137" w:rsidRDefault="00A31137" w:rsidP="00A31137">
      <w:r w:rsidRPr="00A31137">
        <w:t xml:space="preserve">The late Deng Xiaoping counseled us to seek truth from facts. At the dawn of the new century, the facts are clear. The distance between our two nations, indeed between any nations, is shrinking. Where once an American clipper ship took months to cross from China to the United States, today, technology has made us all virtual neighbors. [p.1257] </w:t>
      </w:r>
    </w:p>
    <w:p w:rsidR="00A31137" w:rsidRPr="00A31137" w:rsidRDefault="00A31137" w:rsidP="00A31137">
      <w:r w:rsidRPr="00A31137">
        <w:t>Clinton, Remarks at Beijing University, June 29, 1998, p.1257</w:t>
      </w:r>
    </w:p>
    <w:p w:rsidR="00A31137" w:rsidRPr="00A31137" w:rsidRDefault="00A31137" w:rsidP="00A31137">
      <w:r w:rsidRPr="00A31137">
        <w:t>From laptops to lasers, from microchips to megabytes, an information revolution is lighting the landscape of human knowledge, bringing us all closer together. Ideas, information, and money cross the planet at the stroke of a computer key, bringing with them extraordinary opportunities to create wealth, to prevent and conquer disease, to foster greater understanding among peoples of different histories and different cultures.</w:t>
      </w:r>
    </w:p>
    <w:p w:rsidR="00A31137" w:rsidRPr="00A31137" w:rsidRDefault="00A31137" w:rsidP="00A31137">
      <w:r w:rsidRPr="00A31137">
        <w:t>Clinton, Remarks at Beijing University, June 29, 1998, p.1257</w:t>
      </w:r>
    </w:p>
    <w:p w:rsidR="00A31137" w:rsidRPr="00A31137" w:rsidRDefault="00A31137" w:rsidP="00A31137">
      <w:r w:rsidRPr="00A31137">
        <w:t>But we also know that this greater openness and faster change mean that problems which start beyond one nation's borders can quickly move inside them: the spread of weapons of mass destruction; the threats of organized crime and drug trafficking, of environmental degradation, and severe economic dislocation. No nation can isolate itself from these problems, and no nation can solve them alone. We, especially the younger generations of China and the United States, must make common cause of our common challenges, so that we can, together, shape a new century of brilliant possibilities.</w:t>
      </w:r>
    </w:p>
    <w:p w:rsidR="00A31137" w:rsidRPr="00A31137" w:rsidRDefault="00A31137" w:rsidP="00A31137">
      <w:r w:rsidRPr="00A31137">
        <w:t>Clinton, Remarks at Beijing University, June 29, 1998, p.1257</w:t>
      </w:r>
    </w:p>
    <w:p w:rsidR="00A31137" w:rsidRPr="00A31137" w:rsidRDefault="00A31137" w:rsidP="00A31137">
      <w:r w:rsidRPr="00A31137">
        <w:t>In the 21st century—your century—China and the United States will face the challenge of security in Asia. On the Korean Peninsula, where once we were adversaries, today, we are working together for a permanent peace and a future freer of nuclear weapons.</w:t>
      </w:r>
    </w:p>
    <w:p w:rsidR="00A31137" w:rsidRPr="00A31137" w:rsidRDefault="00A31137" w:rsidP="00A31137">
      <w:r w:rsidRPr="00A31137">
        <w:t>Clinton, Remarks at Beijing University, June 29, 1998, p.1257</w:t>
      </w:r>
    </w:p>
    <w:p w:rsidR="00A31137" w:rsidRPr="00A31137" w:rsidRDefault="00A31137" w:rsidP="00A31137">
      <w:r w:rsidRPr="00A31137">
        <w:t>On the Indian subcontinent, just as most of the rest of the world is moving away from nuclear danger, India and Pakistan risk sparking a new arms race. We are now pursuing a common strategy to move India and Pakistan away from further testing and toward a dialog to resolve their differences.</w:t>
      </w:r>
    </w:p>
    <w:p w:rsidR="00A31137" w:rsidRPr="00A31137" w:rsidRDefault="00A31137" w:rsidP="00A31137">
      <w:r w:rsidRPr="00A31137">
        <w:t>Clinton, Remarks at Beijing University, June 29, 1998, p.1257</w:t>
      </w:r>
    </w:p>
    <w:p w:rsidR="00A31137" w:rsidRPr="00A31137" w:rsidRDefault="00A31137" w:rsidP="00A31137">
      <w:r w:rsidRPr="00A31137">
        <w:t>In the 21st century, your generation must face the challenge of stopping the spread of deadlier nuclear, chemical, and biological weapons. In the wrong hands or the wrong places, these weapons can threaten the peace of nations large and small. Increasingly, China and the United States agree on the importance of stopping proliferation. That is why we are beginning to act in concert to control the world's most dangerous weapons.</w:t>
      </w:r>
    </w:p>
    <w:p w:rsidR="00A31137" w:rsidRPr="00A31137" w:rsidRDefault="00A31137" w:rsidP="00A31137">
      <w:r w:rsidRPr="00A31137">
        <w:t>Clinton, Remarks at Beijing University, June 29, 1998, p.1257</w:t>
      </w:r>
    </w:p>
    <w:p w:rsidR="00A31137" w:rsidRPr="00A31137" w:rsidRDefault="00A31137" w:rsidP="00A31137">
      <w:r w:rsidRPr="00A31137">
        <w:t>In the 21st century, your generation will have to reverse the international tide of crime and drugs. Around the world, organized crime robs people of billions of dollars every year and undermines trust in government. America knows all about the devastation and despair that drugs can bring to schools and neighborhoods. With borders on more than a dozen countries, China has become a crossroad for smugglers of all kinds.</w:t>
      </w:r>
    </w:p>
    <w:p w:rsidR="00A31137" w:rsidRPr="00A31137" w:rsidRDefault="00A31137" w:rsidP="00A31137">
      <w:r w:rsidRPr="00A31137">
        <w:t>Clinton, Remarks at Beijing University, June 29, 1998, p.1257</w:t>
      </w:r>
    </w:p>
    <w:p w:rsidR="00A31137" w:rsidRPr="00A31137" w:rsidRDefault="00A31137" w:rsidP="00A31137">
      <w:r w:rsidRPr="00A31137">
        <w:t>Last year, President Jiang and I asked senior Chinese and American law enforcement officials to step up our cooperation against these predators, to stop money from being laundered, to stop aliens from being cruelly smuggled, to stop currencies from being undermined by counterfeiting. Just this month, our Drug Enforcement Agency opened an office in Beijing, and soon Chinese counternarcotics experts will be working out of Washington.</w:t>
      </w:r>
    </w:p>
    <w:p w:rsidR="00A31137" w:rsidRPr="00A31137" w:rsidRDefault="00A31137" w:rsidP="00A31137">
      <w:r w:rsidRPr="00A31137">
        <w:t>Clinton, Remarks at Beijing University, June 29, 1998, p.1257</w:t>
      </w:r>
    </w:p>
    <w:p w:rsidR="00A31137" w:rsidRPr="00A31137" w:rsidRDefault="00A31137" w:rsidP="00A31137">
      <w:r w:rsidRPr="00A31137">
        <w:t>In the 21st century, your generation must make it your mission to ensure that today's progress does not come at tomorrow's expense. China's remarkable growth in the last two decades has come with a toxic cost, pollutants that foul the water you drink and the air you breathe. The cost is not only environmental; it is also serious in terms of the health consequences of your people and in terms of the drag on economic growth.</w:t>
      </w:r>
    </w:p>
    <w:p w:rsidR="00A31137" w:rsidRPr="00A31137" w:rsidRDefault="00A31137" w:rsidP="00A31137">
      <w:r w:rsidRPr="00A31137">
        <w:t>Clinton, Remarks at Beijing University, June 29, 1998, p.1257</w:t>
      </w:r>
    </w:p>
    <w:p w:rsidR="00A31137" w:rsidRPr="00A31137" w:rsidRDefault="00A31137" w:rsidP="00A31137">
      <w:r w:rsidRPr="00A31137">
        <w:t>Environmental problems are also increasingly global as well as national. For example, in the near future, if present energy use patterns persist, China will overtake the United States as the world's largest emitter of greenhouse gases, the gases which are the principal cause of global warming. If the nations of the world do not reduce the gases which are causing global warming, sometime in the next century there is a serious risk of dramatic changes in climate which will change the way we live and the way we work, which could literally bury some island nations under mountains of water and undermine the economic and social fabric of nations.</w:t>
      </w:r>
    </w:p>
    <w:p w:rsidR="00A31137" w:rsidRPr="00A31137" w:rsidRDefault="00A31137" w:rsidP="00A31137">
      <w:r w:rsidRPr="00A31137">
        <w:t>Clinton, Remarks at Beijing University, June 29, 1998, p.1257</w:t>
      </w:r>
    </w:p>
    <w:p w:rsidR="00A31137" w:rsidRPr="00A31137" w:rsidRDefault="00A31137" w:rsidP="00A31137">
      <w:r w:rsidRPr="00A31137">
        <w:t xml:space="preserve">We must work together. We Americans know from our own experience that it is possible to grow an economy while improving the environment. We must do that together for ourselves and for the world. Building on the work that our Vice President, Al Gore, has done previously with the Chinese Government, President Jiang and I are working together on ways to bring American clean energy technology to help improve air quality and grow the Chinese economy at the same time. [p.1258] </w:t>
      </w:r>
    </w:p>
    <w:p w:rsidR="00A31137" w:rsidRPr="00A31137" w:rsidRDefault="00A31137" w:rsidP="00A31137">
      <w:r w:rsidRPr="00A31137">
        <w:t>Clinton, Remarks at Beijing University, June 29, 1998, p.1258</w:t>
      </w:r>
    </w:p>
    <w:p w:rsidR="00A31137" w:rsidRPr="00A31137" w:rsidRDefault="00A31137" w:rsidP="00A31137">
      <w:r w:rsidRPr="00A31137">
        <w:t>But I will say this again—this is not on my remarks—your generation must do more about this. This is a huge challenge for you, for the American people, and for the future of the world. And it must be addressed at the university level, because political leaders will never be willing to adopt environmental measures if they believe it will lead to large-scale unemployment or more poverty. The evidence is clear; that does not have to happen. You will actually have more rapid economic growth and better paying jobs, leading to higher levels of education and technology if we do this in the proper way. But you and the university, communities in China, the United States, and throughout the world will have to lead the way.</w:t>
      </w:r>
    </w:p>
    <w:p w:rsidR="00A31137" w:rsidRPr="00A31137" w:rsidRDefault="00A31137" w:rsidP="00A31137">
      <w:r w:rsidRPr="00A31137">
        <w:t>Clinton, Remarks at Beijing University, June 29, 1998, p.1258</w:t>
      </w:r>
    </w:p>
    <w:p w:rsidR="00A31137" w:rsidRPr="00A31137" w:rsidRDefault="00A31137" w:rsidP="00A31137">
      <w:r w:rsidRPr="00A31137">
        <w:t>In the 21st century, your generation must also lead the challenge of an international financial system that has no respect for national borders. When stock markets fall in Hong Kong or Jakarta, the effects are no longer local; they are global. The vibrant growth of your own economy is tied closely, therefore, to the restoration of stability and growth in the Asia-Pacific region.</w:t>
      </w:r>
    </w:p>
    <w:p w:rsidR="00A31137" w:rsidRPr="00A31137" w:rsidRDefault="00A31137" w:rsidP="00A31137">
      <w:r w:rsidRPr="00A31137">
        <w:t>Clinton, Remarks at Beijing University, June 29, 1998, p.1258</w:t>
      </w:r>
    </w:p>
    <w:p w:rsidR="00A31137" w:rsidRPr="00A31137" w:rsidRDefault="00A31137" w:rsidP="00A31137">
      <w:r w:rsidRPr="00A31137">
        <w:t>China has steadfastly shouldered its responsibilities to the region and the world in this latest financial crisis, helping to prevent another cycle of dangerous devaluations. We must continue to work together to counter this threat to the global financial system and to the growth and prosperity which should be embracing all of this region.</w:t>
      </w:r>
    </w:p>
    <w:p w:rsidR="00A31137" w:rsidRPr="00A31137" w:rsidRDefault="00A31137" w:rsidP="00A31137">
      <w:r w:rsidRPr="00A31137">
        <w:t>Clinton, Remarks at Beijing University, June 29, 1998, p.1258</w:t>
      </w:r>
    </w:p>
    <w:p w:rsidR="00A31137" w:rsidRPr="00A31137" w:rsidRDefault="00A31137" w:rsidP="00A31137">
      <w:r w:rsidRPr="00A31137">
        <w:t>In the 21st century, your generation will have a remarkable opportunity to bring together the talents of our scientists, doctors, engineers into a shared quest for progress. Already the breakthroughs we have achieved in our areas of joint cooperation—in challenges from dealing with spina bifida to dealing with extreme weather conditions and earthquakes—have proved what we can do together to change the lives of millions of people in China and the United States and around the world. Expanding our cooperation in science and technology can be one of our greatest gifts to the future.</w:t>
      </w:r>
    </w:p>
    <w:p w:rsidR="00A31137" w:rsidRPr="00A31137" w:rsidRDefault="00A31137" w:rsidP="00A31137">
      <w:r w:rsidRPr="00A31137">
        <w:t>Clinton, Remarks at Beijing University, June 29, 1998, p.1258</w:t>
      </w:r>
    </w:p>
    <w:p w:rsidR="00A31137" w:rsidRPr="00A31137" w:rsidRDefault="00A31137" w:rsidP="00A31137">
      <w:r w:rsidRPr="00A31137">
        <w:t>In each of these vital areas that I have mentioned, we can clearly accomplish so much more by walking together rather than standing apart. That is why we should work to see that the productive relationship we now enjoy blossoms into a fuller partnership in the new century.</w:t>
      </w:r>
    </w:p>
    <w:p w:rsidR="00A31137" w:rsidRPr="00A31137" w:rsidRDefault="00A31137" w:rsidP="00A31137">
      <w:r w:rsidRPr="00A31137">
        <w:t>Clinton, Remarks at Beijing University, June 29, 1998, p.1258</w:t>
      </w:r>
    </w:p>
    <w:p w:rsidR="00A31137" w:rsidRPr="00A31137" w:rsidRDefault="00A31137" w:rsidP="00A31137">
      <w:r w:rsidRPr="00A31137">
        <w:t>If that is to happen, it is very important that we understand each other better, that we understand both our common interest and our shared aspirations and our honest differences. I believe the kind of open, direct exchange that President Jiang and I had on Saturday at our press conference, which I know many of you watched on television, can both clarify and narrow our differences, and more important, by allowing people to understand and debate and discuss these things, can give a greater sense of confidence to our people that we can make a better future.</w:t>
      </w:r>
    </w:p>
    <w:p w:rsidR="00A31137" w:rsidRPr="00A31137" w:rsidRDefault="00A31137" w:rsidP="00A31137">
      <w:r w:rsidRPr="00A31137">
        <w:t>Clinton, Remarks at Beijing University, June 29, 1998, p.1258</w:t>
      </w:r>
    </w:p>
    <w:p w:rsidR="00A31137" w:rsidRPr="00A31137" w:rsidRDefault="00A31137" w:rsidP="00A31137">
      <w:r w:rsidRPr="00A31137">
        <w:t>From the windows of the White House, where I live in Washington, DC, the monument to our first President, George Washington, dominates the skyline. It is a very tall obelisk. But very near this large monument there is a small stone which contains these words: "The United States neither established titles of nobility and royalty, nor created a hereditary system. State affairs are put to the vote of public opinion."</w:t>
      </w:r>
    </w:p>
    <w:p w:rsidR="00A31137" w:rsidRPr="00A31137" w:rsidRDefault="00A31137" w:rsidP="00A31137">
      <w:r w:rsidRPr="00A31137">
        <w:t>Clinton, Remarks at Beijing University, June 29, 1998, p.1258</w:t>
      </w:r>
    </w:p>
    <w:p w:rsidR="00A31137" w:rsidRPr="00A31137" w:rsidRDefault="00A31137" w:rsidP="00A31137">
      <w:r w:rsidRPr="00A31137">
        <w:t>This created a new political situation, unprecedented from ancient times to the present. How wonderful it is. Those words were not written by an American. They were written by Xu Jiyu, Governor of Fujian Province, inscribed as a gift from the Government of China to our Nation in 1853.</w:t>
      </w:r>
    </w:p>
    <w:p w:rsidR="00A31137" w:rsidRPr="00A31137" w:rsidRDefault="00A31137" w:rsidP="00A31137">
      <w:r w:rsidRPr="00A31137">
        <w:t>Clinton, Remarks at Beijing University, June 29, 1998, p.1258</w:t>
      </w:r>
    </w:p>
    <w:p w:rsidR="00A31137" w:rsidRPr="00A31137" w:rsidRDefault="00A31137" w:rsidP="00A31137">
      <w:r w:rsidRPr="00A31137">
        <w:t>I am very grateful for that gift from China. It goes to the heart of who we are as a people, the right to life, liberty, and the pursuit of happiness, the freedom to debate, to dissent, to associate, to worship without interference from the state. These are the ideals that were at the core of our founding over 220 years ago. These are the ideas that led us across our continent and onto the world stage. These are the ideals that Americans cherish today.</w:t>
      </w:r>
    </w:p>
    <w:p w:rsidR="00A31137" w:rsidRPr="00A31137" w:rsidRDefault="00A31137" w:rsidP="00A31137">
      <w:r w:rsidRPr="00A31137">
        <w:t>Clinton, Remarks at Beijing University, June 29, 1998, p.1258</w:t>
      </w:r>
    </w:p>
    <w:p w:rsidR="00A31137" w:rsidRPr="00A31137" w:rsidRDefault="00A31137" w:rsidP="00A31137">
      <w:r w:rsidRPr="00A31137">
        <w:t xml:space="preserve">As I said in my press conference with President Jiang, we have an ongoing quest ourselves to live up to those ideals. The people who framed our Constitution understood that we would never achieve perfection. They said that the mission of America would always be "to form a more perfect Union,"—in other words, that we would never be perfect, but we had to keep trying to do better. [p.1259] </w:t>
      </w:r>
    </w:p>
    <w:p w:rsidR="00A31137" w:rsidRPr="00A31137" w:rsidRDefault="00A31137" w:rsidP="00A31137">
      <w:r w:rsidRPr="00A31137">
        <w:t>Clinton, Remarks at Beijing University, June 29, 1998, p.1259</w:t>
      </w:r>
    </w:p>
    <w:p w:rsidR="00A31137" w:rsidRPr="00A31137" w:rsidRDefault="00A31137" w:rsidP="00A31137">
      <w:r w:rsidRPr="00A31137">
        <w:t>The darkest moments in our history have come when we abandoned the effort to do better, when we denied freedom to our people because of their race or their religion, because there were new immigrants or because they held unpopular opinions. The best moments in our history have come when we protected the freedom of people who held unpopular opinion or extended rights enjoyed by the many to the few who had previously been denied them, making, therefore, the promises of our Declaration of Independence and Constitution more than faded words on old parchment.</w:t>
      </w:r>
    </w:p>
    <w:p w:rsidR="00A31137" w:rsidRPr="00A31137" w:rsidRDefault="00A31137" w:rsidP="00A31137">
      <w:r w:rsidRPr="00A31137">
        <w:t>Clinton, Remarks at Beijing University, June 29, 1998, p.1259</w:t>
      </w:r>
    </w:p>
    <w:p w:rsidR="00A31137" w:rsidRPr="00A31137" w:rsidRDefault="00A31137" w:rsidP="00A31137">
      <w:r w:rsidRPr="00A31137">
        <w:t>Today, we do not seek to impose our vision on others, but we are convinced that certain rights are universal, not American rights or European rights or rights for developed nations but the birthrights of people everywhere, now enshrined in the United Nations Declaration on Human Rights, the right to be treated with dignity, the right to express one's opinions, to choose one's own leaders, to associate freely with others, and to worship or not, freely, however one chooses.</w:t>
      </w:r>
    </w:p>
    <w:p w:rsidR="00A31137" w:rsidRPr="00A31137" w:rsidRDefault="00A31137" w:rsidP="00A31137">
      <w:r w:rsidRPr="00A31137">
        <w:t>Clinton, Remarks at Beijing University, June 29, 1998, p.1259</w:t>
      </w:r>
    </w:p>
    <w:p w:rsidR="00A31137" w:rsidRPr="00A31137" w:rsidRDefault="00A31137" w:rsidP="00A31137">
      <w:r w:rsidRPr="00A31137">
        <w:t>In the last letter of his life, the author of our Declaration of Independence and our third President, Thomas Jefferson, said then that "all eyes are opening to the rights of man." I believe that in this time, at long last, 172 years after Jefferson wrote those words, all eyes are opening to the rights of men and women everywhere.</w:t>
      </w:r>
    </w:p>
    <w:p w:rsidR="00A31137" w:rsidRPr="00A31137" w:rsidRDefault="00A31137" w:rsidP="00A31137">
      <w:r w:rsidRPr="00A31137">
        <w:t>Clinton, Remarks at Beijing University, June 29, 1998, p.1259</w:t>
      </w:r>
    </w:p>
    <w:p w:rsidR="00A31137" w:rsidRPr="00A31137" w:rsidRDefault="00A31137" w:rsidP="00A31137">
      <w:r w:rsidRPr="00A31137">
        <w:t>Over the past two decades, a rising tide of freedom has lifted the lives of millions around the world, sweeping away failed dictatorial systems in the former Soviet Union, throughout Central Europe, ending a vicious cycle of military coups and civil wars in Latin America, giving more people in Africa the chance to make the most of their hard-won independence. And from the Philippines to South Korea, from Thailand to Mongolia, freedom has reached Asia's shores, powering a surge of growth and productivity.</w:t>
      </w:r>
    </w:p>
    <w:p w:rsidR="00A31137" w:rsidRPr="00A31137" w:rsidRDefault="00A31137" w:rsidP="00A31137">
      <w:r w:rsidRPr="00A31137">
        <w:t>Clinton, Remarks at Beijing University, June 29, 1998, p.1259</w:t>
      </w:r>
    </w:p>
    <w:p w:rsidR="00A31137" w:rsidRPr="00A31137" w:rsidRDefault="00A31137" w:rsidP="00A31137">
      <w:r w:rsidRPr="00A31137">
        <w:t>Economic security also can be an essential element of freedom. It is recognized in the United Nations Covenant on Economic, Social, and Cultural Rights. In China, you have made extraordinary strides in nurturing that liberty and spreading freedom from want, to be a source of strength to your people. Incomes are up, poverty is down; people do have more choices of jobs and the ability to travel, the ability to make a better life. But true freedom includes more than economic freedom. In America, we believe it is a concept which is indivisible.</w:t>
      </w:r>
    </w:p>
    <w:p w:rsidR="00A31137" w:rsidRPr="00A31137" w:rsidRDefault="00A31137" w:rsidP="00A31137">
      <w:r w:rsidRPr="00A31137">
        <w:t>Clinton, Remarks at Beijing University, June 29, 1998, p.1259</w:t>
      </w:r>
    </w:p>
    <w:p w:rsidR="00A31137" w:rsidRPr="00A31137" w:rsidRDefault="00A31137" w:rsidP="00A31137">
      <w:r w:rsidRPr="00A31137">
        <w:t>Over the past 4 days, I have seen freedom in many manifestations in China. I have seen the fresh shoots of democracy growing in the villages of your heartland. I have visited a village that chose its own leaders in free elections. I have also seen the cell phones, the video players, the fax machines carrying ideas, information, and images from all over the world. I've heard people speak their minds, and I have joined people in prayer in the faith of my own choosing. In all these ways, I felt a steady breeze of freedom.</w:t>
      </w:r>
    </w:p>
    <w:p w:rsidR="00A31137" w:rsidRPr="00A31137" w:rsidRDefault="00A31137" w:rsidP="00A31137">
      <w:r w:rsidRPr="00A31137">
        <w:t>Clinton, Remarks at Beijing University, June 29, 1998, p.1259</w:t>
      </w:r>
    </w:p>
    <w:p w:rsidR="00A31137" w:rsidRPr="00A31137" w:rsidRDefault="00A31137" w:rsidP="00A31137">
      <w:r w:rsidRPr="00A31137">
        <w:t>The question is, where do we go from here? How do we work together to be on the right side of history together? More than 50 years ago, Hu Shi, one of your great political thinkers and a teacher at this university, said these words: "Now some people say to me you must sacrifice your individual freedom so that the nation may be free. But I reply, the struggle for individual freedom is the struggle for the nation's freedom. The struggle for your own character is the struggle for the nation's character." We Americans believe Hu Shi was right. We believe and our experience demonstrates that freedom strengthens stability and helps nations to change.</w:t>
      </w:r>
    </w:p>
    <w:p w:rsidR="00A31137" w:rsidRPr="00A31137" w:rsidRDefault="00A31137" w:rsidP="00A31137">
      <w:r w:rsidRPr="00A31137">
        <w:t>Clinton, Remarks at Beijing University, June 29, 1998, p.1259</w:t>
      </w:r>
    </w:p>
    <w:p w:rsidR="00A31137" w:rsidRPr="00A31137" w:rsidRDefault="00A31137" w:rsidP="00A31137">
      <w:r w:rsidRPr="00A31137">
        <w:t>One of our Founding Fathers, Benjamin Franklin, once said, "Our critics are our friends, for they show us our faults." Now, if that is true, there are many days in the United States when the President has more friends than anyone else in America. [Laughter] But it is so.</w:t>
      </w:r>
    </w:p>
    <w:p w:rsidR="00A31137" w:rsidRPr="00A31137" w:rsidRDefault="00A31137" w:rsidP="00A31137">
      <w:r w:rsidRPr="00A31137">
        <w:t>Clinton, Remarks at Beijing University, June 29, 1998, p.1259</w:t>
      </w:r>
    </w:p>
    <w:p w:rsidR="00A31137" w:rsidRPr="00A31137" w:rsidRDefault="00A31137" w:rsidP="00A31137">
      <w:r w:rsidRPr="00A31137">
        <w:t>In the world we live in, this global information age, constant improvement and change is necessary to economic opportunity and to national strength. Therefore, the freest possible flow of information, ideas, and opinions and a greater respect for divergent political and religious convictions will actually breed strength and stability going forward.</w:t>
      </w:r>
    </w:p>
    <w:p w:rsidR="00A31137" w:rsidRPr="00A31137" w:rsidRDefault="00A31137" w:rsidP="00A31137">
      <w:r w:rsidRPr="00A31137">
        <w:t>Clinton, Remarks at Beijing University, June 29, 1998, p.1259</w:t>
      </w:r>
    </w:p>
    <w:p w:rsidR="00A31137" w:rsidRPr="00A31137" w:rsidRDefault="00A31137" w:rsidP="00A31137">
      <w:r w:rsidRPr="00A31137">
        <w:t>It is, therefore, profoundly in your interest, and the world's, that young Chinese minds be free to reach the fullness of their potential. That is the message of our time and the [p.1260] mandate of the new century and the new millennium.</w:t>
      </w:r>
    </w:p>
    <w:p w:rsidR="00A31137" w:rsidRPr="00A31137" w:rsidRDefault="00A31137" w:rsidP="00A31137">
      <w:r w:rsidRPr="00A31137">
        <w:t>Clinton, Remarks at Beijing University, June 29, 1998, p.1260</w:t>
      </w:r>
    </w:p>
    <w:p w:rsidR="00A31137" w:rsidRPr="00A31137" w:rsidRDefault="00A31137" w:rsidP="00A31137">
      <w:r w:rsidRPr="00A31137">
        <w:t>I hope China will more fully embrace this mandate. For all the grandeur of your history, I believe your greatest days are still ahead. Against great odds in the 20th century, China has not only survived, it is moving forward dramatically.</w:t>
      </w:r>
    </w:p>
    <w:p w:rsidR="00A31137" w:rsidRPr="00A31137" w:rsidRDefault="00A31137" w:rsidP="00A31137">
      <w:r w:rsidRPr="00A31137">
        <w:t>Clinton, Remarks at Beijing University, June 29, 1998, p.1260</w:t>
      </w:r>
    </w:p>
    <w:p w:rsidR="00A31137" w:rsidRPr="00A31137" w:rsidRDefault="00A31137" w:rsidP="00A31137">
      <w:r w:rsidRPr="00A31137">
        <w:t>Other ancient cultures failed because they failed to change. China has constantly proven the capacity to change and grow. Now, you must reimagine China again for a new century, and your generation must be at the heart of China's regeneration.</w:t>
      </w:r>
    </w:p>
    <w:p w:rsidR="00A31137" w:rsidRPr="00A31137" w:rsidRDefault="00A31137" w:rsidP="00A31137">
      <w:r w:rsidRPr="00A31137">
        <w:t>Clinton, Remarks at Beijing University, June 29, 1998, p.1260</w:t>
      </w:r>
    </w:p>
    <w:p w:rsidR="00A31137" w:rsidRPr="00A31137" w:rsidRDefault="00A31137" w:rsidP="00A31137">
      <w:r w:rsidRPr="00A31137">
        <w:t>The new century is upon us. All our sights are turned toward the future. Now, your country has known more millennia than the United States has known centuries. Today, however, China is as young as any nation on Earth. This new century can be the dawn of a new China, proud of your ancient greatness, proud of what you are doing, prouder still of the tomorrows to come. It can be a time when the world again looks to China for the vigor of its culture, the freshness of its thinking, the elevation of human dignity that is apparent in its works. It can be a time when the oldest of nations helps to make a new world.</w:t>
      </w:r>
    </w:p>
    <w:p w:rsidR="00A31137" w:rsidRPr="00A31137" w:rsidRDefault="00A31137" w:rsidP="00A31137">
      <w:r w:rsidRPr="00A31137">
        <w:t>Clinton, Remarks at Beijing University, June 29, 1998, p.1260</w:t>
      </w:r>
    </w:p>
    <w:p w:rsidR="00A31137" w:rsidRPr="00A31137" w:rsidRDefault="00A31137" w:rsidP="00A31137">
      <w:r w:rsidRPr="00A31137">
        <w:t>The United States wants to work with you to make that time a reality.</w:t>
      </w:r>
    </w:p>
    <w:p w:rsidR="00A31137" w:rsidRPr="00A31137" w:rsidRDefault="00A31137" w:rsidP="00A31137">
      <w:r w:rsidRPr="00A31137">
        <w:t>Clinton, Remarks at Beijing University, June 29, 1998, p.1260</w:t>
      </w:r>
    </w:p>
    <w:p w:rsidR="00A31137" w:rsidRPr="00A31137" w:rsidRDefault="00A31137" w:rsidP="00A31137">
      <w:r w:rsidRPr="00A31137">
        <w:t>Thank you very much.</w:t>
      </w:r>
    </w:p>
    <w:p w:rsidR="00A31137" w:rsidRPr="00A31137" w:rsidRDefault="00A31137" w:rsidP="00A31137">
      <w:r w:rsidRPr="00A31137">
        <w:t>Clinton, Remarks at Beijing University, June 29, 1998, p.1260</w:t>
      </w:r>
    </w:p>
    <w:p w:rsidR="00A31137" w:rsidRPr="00A31137" w:rsidRDefault="00A31137" w:rsidP="00A31137">
      <w:r w:rsidRPr="00A31137">
        <w:t>Expanding U.S. Understanding of China</w:t>
      </w:r>
    </w:p>
    <w:p w:rsidR="00A31137" w:rsidRPr="00A31137" w:rsidRDefault="00A31137" w:rsidP="00A31137">
      <w:r w:rsidRPr="00A31137">
        <w:t>Clinton, Remarks at Beijing University, June 29, 1998, p.1260</w:t>
      </w:r>
    </w:p>
    <w:p w:rsidR="00A31137" w:rsidRPr="00A31137" w:rsidRDefault="00A31137" w:rsidP="00A31137">
      <w:r w:rsidRPr="00A31137">
        <w:t>Q. Mr. President, I'm very honored to be the first one to raise question. Just as you mentioned in your address, Chinese and American people should join hands and move forward together. And what is most important in this process is for us to have more exchanges.</w:t>
      </w:r>
    </w:p>
    <w:p w:rsidR="00A31137" w:rsidRPr="00A31137" w:rsidRDefault="00A31137" w:rsidP="00A31137">
      <w:r w:rsidRPr="00A31137">
        <w:t>Clinton, Remarks at Beijing University, June 29, 1998, p.1260</w:t>
      </w:r>
    </w:p>
    <w:p w:rsidR="00A31137" w:rsidRPr="00A31137" w:rsidRDefault="00A31137" w:rsidP="00A31137">
      <w:r w:rsidRPr="00A31137">
        <w:t>In our view, since China is opening up in reform, we have had better understanding of the culture, history, and literature of America, and we have also learned a lot about you from the biography. And we have also learned about a lot of American Presidents. And we have also seen the movie Titanic. But it seems that the American people's understanding of the Chinese people is not as much as the other way around. Maybe they are only seeing China through several movies, describing the Cultural Revolution or the rural life.</w:t>
      </w:r>
    </w:p>
    <w:p w:rsidR="00A31137" w:rsidRPr="00A31137" w:rsidRDefault="00A31137" w:rsidP="00A31137">
      <w:r w:rsidRPr="00A31137">
        <w:t>Clinton, Remarks at Beijing University, June 29, 1998, p.1260</w:t>
      </w:r>
    </w:p>
    <w:p w:rsidR="00A31137" w:rsidRPr="00A31137" w:rsidRDefault="00A31137" w:rsidP="00A31137">
      <w:r w:rsidRPr="00A31137">
        <w:t>So my question is, as the first President of the United States visiting China in 10 years, what do you plan to do to enhance the real understanding and the respect between our two peoples?</w:t>
      </w:r>
    </w:p>
    <w:p w:rsidR="00A31137" w:rsidRPr="00A31137" w:rsidRDefault="00A31137" w:rsidP="00A31137">
      <w:r w:rsidRPr="00A31137">
        <w:t>Clinton, Remarks at Beijing University, June 29, 1998, p.1260</w:t>
      </w:r>
    </w:p>
    <w:p w:rsidR="00A31137" w:rsidRPr="00A31137" w:rsidRDefault="00A31137" w:rsidP="00A31137">
      <w:r w:rsidRPr="00A31137">
        <w:t>Thank you.</w:t>
      </w:r>
    </w:p>
    <w:p w:rsidR="00A31137" w:rsidRPr="00A31137" w:rsidRDefault="00A31137" w:rsidP="00A31137">
      <w:r w:rsidRPr="00A31137">
        <w:t>Clinton, Remarks at Beijing University, June 29, 1998, p.1260</w:t>
      </w:r>
    </w:p>
    <w:p w:rsidR="00A31137" w:rsidRPr="00A31137" w:rsidRDefault="00A31137" w:rsidP="00A31137">
      <w:r w:rsidRPr="00A31137">
        <w:t>The President. First of all, I think that's a very good point. And one of the reasons that I came here was to try to—because, as you can see, a few people come with me from the news media—I hope that my trip would help to show a full and balanced picture of modern China to the United States, and that by coming here, it would encourage others to come here and others to participate in the life of China.</w:t>
      </w:r>
    </w:p>
    <w:p w:rsidR="00A31137" w:rsidRPr="00A31137" w:rsidRDefault="00A31137" w:rsidP="00A31137">
      <w:r w:rsidRPr="00A31137">
        <w:t>Clinton, Remarks at Beijing University, June 29, 1998, p.1260</w:t>
      </w:r>
    </w:p>
    <w:p w:rsidR="00A31137" w:rsidRPr="00A31137" w:rsidRDefault="00A31137" w:rsidP="00A31137">
      <w:r w:rsidRPr="00A31137">
        <w:t>I see a young man out in the audience who introduced himself to me yesterday as the first American ever to be a law student in China. So I hope we will have many more Americans coming here to study, many more Americans coming here to be tourists, many more Americans coming here to do business. The First Lady this morning and the Secretary of State had a meeting on a legal project. We are doing a lot of projects together with the Chinese to help promote the rule of law. That should bring a lot more people here.</w:t>
      </w:r>
    </w:p>
    <w:p w:rsidR="00A31137" w:rsidRPr="00A31137" w:rsidRDefault="00A31137" w:rsidP="00A31137">
      <w:r w:rsidRPr="00A31137">
        <w:t>Clinton, Remarks at Beijing University, June 29, 1998, p.1260</w:t>
      </w:r>
    </w:p>
    <w:p w:rsidR="00A31137" w:rsidRPr="00A31137" w:rsidRDefault="00A31137" w:rsidP="00A31137">
      <w:r w:rsidRPr="00A31137">
        <w:t>I think there is no easy answer to your question. It's something we have to work at. We just need more people involved and more kinds of contacts. And I think the more we can do that, the better.</w:t>
      </w:r>
    </w:p>
    <w:p w:rsidR="00A31137" w:rsidRPr="00A31137" w:rsidRDefault="00A31137" w:rsidP="00A31137">
      <w:r w:rsidRPr="00A31137">
        <w:t>Clinton, Remarks at Beijing University, June 29, 1998, p.1260</w:t>
      </w:r>
    </w:p>
    <w:p w:rsidR="00A31137" w:rsidRPr="00A31137" w:rsidRDefault="00A31137" w:rsidP="00A31137">
      <w:r w:rsidRPr="00A31137">
        <w:t>Is there another question?</w:t>
      </w:r>
    </w:p>
    <w:p w:rsidR="00A31137" w:rsidRPr="00A31137" w:rsidRDefault="00A31137" w:rsidP="00A31137">
      <w:r w:rsidRPr="00A31137">
        <w:t>Clinton, Remarks at Beijing University, June 29, 1998, p.1260</w:t>
      </w:r>
    </w:p>
    <w:p w:rsidR="00A31137" w:rsidRPr="00A31137" w:rsidRDefault="00A31137" w:rsidP="00A31137">
      <w:r w:rsidRPr="00A31137">
        <w:t>Taiwan</w:t>
      </w:r>
    </w:p>
    <w:p w:rsidR="00A31137" w:rsidRPr="00A31137" w:rsidRDefault="00A31137" w:rsidP="00A31137">
      <w:r w:rsidRPr="00A31137">
        <w:t>Clinton, Remarks at Beijing University, June 29, 1998, p.1260</w:t>
      </w:r>
    </w:p>
    <w:p w:rsidR="00A31137" w:rsidRPr="00A31137" w:rsidRDefault="00A31137" w:rsidP="00A31137">
      <w:r w:rsidRPr="00A31137">
        <w:t>Q. Mr. President, as a Chinese, I'm very interested in the reunification of my motherland. Since 1972, progress has been made on the question of Taiwan question, but we have seen that the Americans repeatedly are selling advanced weapons to Taiwan. And to our great indignation, we have seen that the United States and Japan have renewed the U.S.-Japan security treaty. And according to some Japanese officials, this treaty even includes Taiwan Province of China. So I have to ask, if China were to send its naval facility to Hawaii, and if China were to sign a security treaty with other countries against one [p.1261] part of the United States, will the United States agree to such an act? Will the American people agree to such an act?</w:t>
      </w:r>
    </w:p>
    <w:p w:rsidR="00A31137" w:rsidRPr="00A31137" w:rsidRDefault="00A31137" w:rsidP="00A31137">
      <w:r w:rsidRPr="00A31137">
        <w:t>Clinton, Remarks at Beijing University, June 29, 1998, p.1261</w:t>
      </w:r>
    </w:p>
    <w:p w:rsidR="00A31137" w:rsidRPr="00A31137" w:rsidRDefault="00A31137" w:rsidP="00A31137">
      <w:r w:rsidRPr="00A31137">
        <w:t>The President. First of all, the United States policy is not an obstacle to the peaceful reunification of China and Taiwan. Our policy is embodied in the three communiques and in the Taiwan Relations Act. Our country recognized China and embraced a "one China" policy almost 20 years ago. And I reaffirmed our "one China" policy to President Jiang in our meetings.</w:t>
      </w:r>
    </w:p>
    <w:p w:rsidR="00A31137" w:rsidRPr="00A31137" w:rsidRDefault="00A31137" w:rsidP="00A31137">
      <w:r w:rsidRPr="00A31137">
        <w:t>Clinton, Remarks at Beijing University, June 29, 1998, p.1261</w:t>
      </w:r>
    </w:p>
    <w:p w:rsidR="00A31137" w:rsidRPr="00A31137" w:rsidRDefault="00A31137" w:rsidP="00A31137">
      <w:r w:rsidRPr="00A31137">
        <w:t>Now, when the United States and China reached agreement that we would have a "one China" policy, we also reached agreement that the reunification would occur by peaceful means, and we have encouraged the cross-strait dialog to achieve that. Our policy is that any weapon sales, therefore, to Taiwan must be for defensive purposes only, and that the country must not believe—China must not believe that we are in any way trying to undermine our own "one China" policy. It is our policy. But we do believe it should occur—any reunification should occur peacefully.</w:t>
      </w:r>
    </w:p>
    <w:p w:rsidR="00A31137" w:rsidRPr="00A31137" w:rsidRDefault="00A31137" w:rsidP="00A31137">
      <w:r w:rsidRPr="00A31137">
        <w:t>Clinton, Remarks at Beijing University, June 29, 1998, p.1261</w:t>
      </w:r>
    </w:p>
    <w:p w:rsidR="00A31137" w:rsidRPr="00A31137" w:rsidRDefault="00A31137" w:rsidP="00A31137">
      <w:r w:rsidRPr="00A31137">
        <w:t>Now, on Japan, if you read the security agreement we signed with Japan, I think it will be clear from its terms that the agreement is not directed against any country but rather in support of stability in Asia. We have forces in South Korea that are designed to deter a resumption of the Korean war across the dividing line between the two Koreas. Our forces in Japan are largely designed to help us promote stability anywhere in the Asia-Pacific region on short notice. But I believe that it is not fair to say that either Japan or the United States have a security relationship that is designed to contain China. Indeed, what both countries want is a security partnership with China for the 21st century.</w:t>
      </w:r>
    </w:p>
    <w:p w:rsidR="00A31137" w:rsidRPr="00A31137" w:rsidRDefault="00A31137" w:rsidP="00A31137">
      <w:r w:rsidRPr="00A31137">
        <w:t>Clinton, Remarks at Beijing University, June 29, 1998, p.1261</w:t>
      </w:r>
    </w:p>
    <w:p w:rsidR="00A31137" w:rsidRPr="00A31137" w:rsidRDefault="00A31137" w:rsidP="00A31137">
      <w:r w:rsidRPr="00A31137">
        <w:t>For example, you mentioned NATO, we have expanded NATO in Europe, but we also have made a treaty, an agreement between NATO and Russia, to prove that we are not against Russia anymore. And the most important thing NATO has done in the last 5 years is to work side by side with Russia to end the war in Bosnia. And I predict to you that what you see us doing with China now, working together to try to limit the tension from the Indian and the Pakistani nuclear tests, you will see more and more and more of that in the future. And I think you will see a lot of security cooperation in that area. And we can't see the agreements of today through the mirror of yesterday's conflicts.</w:t>
      </w:r>
    </w:p>
    <w:p w:rsidR="00A31137" w:rsidRPr="00A31137" w:rsidRDefault="00A31137" w:rsidP="00A31137">
      <w:r w:rsidRPr="00A31137">
        <w:t>Clinton, Remarks at Beijing University, June 29, 1998, p.1261</w:t>
      </w:r>
    </w:p>
    <w:p w:rsidR="00A31137" w:rsidRPr="00A31137" w:rsidRDefault="00A31137" w:rsidP="00A31137">
      <w:r w:rsidRPr="00A31137">
        <w:t>China-U.S. Relations</w:t>
      </w:r>
    </w:p>
    <w:p w:rsidR="00A31137" w:rsidRPr="00A31137" w:rsidRDefault="00A31137" w:rsidP="00A31137">
      <w:r w:rsidRPr="00A31137">
        <w:t>Clinton, Remarks at Beijing University, June 29, 1998, p.1261</w:t>
      </w:r>
    </w:p>
    <w:p w:rsidR="00A31137" w:rsidRPr="00A31137" w:rsidRDefault="00A31137" w:rsidP="00A31137">
      <w:r w:rsidRPr="00A31137">
        <w:t>Q. Mr. President, I've very glad to have this opportunity to ask you a question. With a friendly smile you have set foot on the soil of China, and you have come to the campus of "Beida", so we are very excited and honored by your presence, for the Chinese people really aspire for the friendship between China and the United States on the basis of equality. As I know that—before your departure from the States, you said that the reason for you to visit China is because China is too important, and engagement is better than containment.</w:t>
      </w:r>
    </w:p>
    <w:p w:rsidR="00A31137" w:rsidRPr="00A31137" w:rsidRDefault="00A31137" w:rsidP="00A31137">
      <w:r w:rsidRPr="00A31137">
        <w:t>Clinton, Remarks at Beijing University, June 29, 1998, p.1261</w:t>
      </w:r>
    </w:p>
    <w:p w:rsidR="00A31137" w:rsidRPr="00A31137" w:rsidRDefault="00A31137" w:rsidP="00A31137">
      <w:r w:rsidRPr="00A31137">
        <w:t>I'd like to ask you whether this sentence is kind of a commitment you made for your visit or do you have any other hidden sayings behind this smile. Do you have any other design to contain China? [Laughter]</w:t>
      </w:r>
    </w:p>
    <w:p w:rsidR="00A31137" w:rsidRPr="00A31137" w:rsidRDefault="00A31137" w:rsidP="00A31137">
      <w:r w:rsidRPr="00A31137">
        <w:t>Clinton, Remarks at Beijing University, June 29, 1998, p.1261</w:t>
      </w:r>
    </w:p>
    <w:p w:rsidR="00A31137" w:rsidRPr="00A31137" w:rsidRDefault="00A31137" w:rsidP="00A31137">
      <w:r w:rsidRPr="00A31137">
        <w:t>The President. If I did, I wouldn't mask it behind a smile. [Laughter] But I don't. That is, my words mean exactly what they say. We have to make a decision, all of us do, but especially the people who live in large nations with great influence must decide how to define their greatness.</w:t>
      </w:r>
    </w:p>
    <w:p w:rsidR="00A31137" w:rsidRPr="00A31137" w:rsidRDefault="00A31137" w:rsidP="00A31137">
      <w:r w:rsidRPr="00A31137">
        <w:t>Clinton, Remarks at Beijing University, June 29, 1998, p.1261</w:t>
      </w:r>
    </w:p>
    <w:p w:rsidR="00A31137" w:rsidRPr="00A31137" w:rsidRDefault="00A31137" w:rsidP="00A31137">
      <w:r w:rsidRPr="00A31137">
        <w:t>When the Soviet Union went away, Russia had to decide how to define its greatness. Would they attempt to develop the human capacity of the Russian people and work in partnership with their neighbors for a greater future, or would they remember the bad things that happened to them in the past 200 years and think the only way they could be great would be to dominate their neighbors militarily? They chose a forward course. The world is a better place.</w:t>
      </w:r>
    </w:p>
    <w:p w:rsidR="00A31137" w:rsidRPr="00A31137" w:rsidRDefault="00A31137" w:rsidP="00A31137">
      <w:r w:rsidRPr="00A31137">
        <w:t>Clinton, Remarks at Beijing University, June 29, 1998, p.1261</w:t>
      </w:r>
    </w:p>
    <w:p w:rsidR="00A31137" w:rsidRPr="00A31137" w:rsidRDefault="00A31137" w:rsidP="00A31137">
      <w:r w:rsidRPr="00A31137">
        <w:t>The same thing is true with China. You will decide, both in terms of your policies within your country and beyond, what does it mean that China will be a great power in the 21st century? Does it mean that you will have enormous economic success? Does it mean you will have enormous cultural influence? Does it mean that you will be able to play a large role in solving the problems of the world? Or does it mean you will be [p.1262] able to dominate your neighbors in some form or fashion, whether they like it or not? This is the decision that every great country has to make.</w:t>
      </w:r>
    </w:p>
    <w:p w:rsidR="00A31137" w:rsidRPr="00A31137" w:rsidRDefault="00A31137" w:rsidP="00A31137">
      <w:r w:rsidRPr="00A31137">
        <w:t>Clinton, Remarks at Beijing University, June 29, 1998, p.1262</w:t>
      </w:r>
    </w:p>
    <w:p w:rsidR="00A31137" w:rsidRPr="00A31137" w:rsidRDefault="00A31137" w:rsidP="00A31137">
      <w:r w:rsidRPr="00A31137">
        <w:t>You ask me, do I really want to contain China? The answer is no. The American people have always had a very warm feeling toward China that has been interrupted from time to time when we have had problems. But if you go back through the history of our country, there's always been a feeling on the part of our people that we ought to be close to the Chinese people. And I believe that it would be far better for the people of the United States to have a partnership on equal, respectful terms with China in the 21st century than to have to spend enormous amounts of time and money trying to contain China because we disagree with what's going on beyond our borders. So I do not want that. I want a partnership. I'm not hiding another design behind a smile; it's what I really believe, because I think it's good for the American people, and it's my job to do what's good for them. What's good for them is to have a good relationship with you.</w:t>
      </w:r>
    </w:p>
    <w:p w:rsidR="00A31137" w:rsidRPr="00A31137" w:rsidRDefault="00A31137" w:rsidP="00A31137">
      <w:r w:rsidRPr="00A31137">
        <w:t>Clinton, Remarks at Beijing University, June 29, 1998, p.1262</w:t>
      </w:r>
    </w:p>
    <w:p w:rsidR="00A31137" w:rsidRPr="00A31137" w:rsidRDefault="00A31137" w:rsidP="00A31137">
      <w:r w:rsidRPr="00A31137">
        <w:t>Education/Aspirations for Young People</w:t>
      </w:r>
    </w:p>
    <w:p w:rsidR="00A31137" w:rsidRPr="00A31137" w:rsidRDefault="00A31137" w:rsidP="00A31137">
      <w:r w:rsidRPr="00A31137">
        <w:t>Clinton, Remarks at Beijing University, June 29, 1998, p.1262</w:t>
      </w:r>
    </w:p>
    <w:p w:rsidR="00A31137" w:rsidRPr="00A31137" w:rsidRDefault="00A31137" w:rsidP="00A31137">
      <w:r w:rsidRPr="00A31137">
        <w:t>Q. Mr. President, I'm going to graduate this year, and I'm going to work in Bank of China. Just now, Mr. President, you mentioned the responsibilities of the young generation of the two countries for international security, environment, and the financial stability. I think they are really important. And I think the most important thing is for the young people to be well educated. And I know, Mr. President, you love your daughter very much, and she is now studying at Stanford. So, my question is—several years ago you proposed the concept of knowledge economy, so, my first question is, what do you think the education of higher learning, what kind of role can this play in the future knowledge economy?</w:t>
      </w:r>
    </w:p>
    <w:p w:rsidR="00A31137" w:rsidRPr="00A31137" w:rsidRDefault="00A31137" w:rsidP="00A31137">
      <w:r w:rsidRPr="00A31137">
        <w:t>Clinton, Remarks at Beijing University, June 29, 1998, p.1262</w:t>
      </w:r>
    </w:p>
    <w:p w:rsidR="00A31137" w:rsidRPr="00A31137" w:rsidRDefault="00A31137" w:rsidP="00A31137">
      <w:r w:rsidRPr="00A31137">
        <w:t>And the second question is, what expectations do you have, Mr. President, for the younger generation of our two countries?</w:t>
      </w:r>
    </w:p>
    <w:p w:rsidR="00A31137" w:rsidRPr="00A31137" w:rsidRDefault="00A31137" w:rsidP="00A31137">
      <w:r w:rsidRPr="00A31137">
        <w:t>Clinton, Remarks at Beijing University, June 29, 1998, p.1262</w:t>
      </w:r>
    </w:p>
    <w:p w:rsidR="00A31137" w:rsidRPr="00A31137" w:rsidRDefault="00A31137" w:rsidP="00A31137">
      <w:r w:rsidRPr="00A31137">
        <w:t>The President. Let me answer the knowledge economy question first. And let me answer by telling you what I have tried to do in the United States. I have tried to create a situation in America in which the doors of universities and colleges are open to every young person who has sufficient academic achievement to get in, that there are no financial burdens of any kind. And we have not completely achieved it, but we have made a great deal of progress.</w:t>
      </w:r>
    </w:p>
    <w:p w:rsidR="00A31137" w:rsidRPr="00A31137" w:rsidRDefault="00A31137" w:rsidP="00A31137">
      <w:r w:rsidRPr="00A31137">
        <w:t>Clinton, Remarks at Beijing University, June 29, 1998, p.1262</w:t>
      </w:r>
    </w:p>
    <w:p w:rsidR="00A31137" w:rsidRPr="00A31137" w:rsidRDefault="00A31137" w:rsidP="00A31137">
      <w:r w:rsidRPr="00A31137">
        <w:t>Now, why would I do that? Because I believe that the more advanced an economy becomes, the more important it is to have a higher and higher and higher percentage of people with a university education. Let me just tell you how important it is in the United States. We count our people—every 10 years we do a census and we count the numbers of the American people, and we get all kinds of information on them. In the 1990 census, younger Americans who had a college degree were overwhelmingly likely to get good jobs and have their incomes grow. Younger Americans who had 2 years or more of university were likely to get good jobs and have their incomes grow. Younger Americans who didn't go to university at all were likely to get jobs where their incomes declined and were much more likely to be unemployed.</w:t>
      </w:r>
    </w:p>
    <w:p w:rsidR="00A31137" w:rsidRPr="00A31137" w:rsidRDefault="00A31137" w:rsidP="00A31137">
      <w:r w:rsidRPr="00A31137">
        <w:t>Clinton, Remarks at Beijing University, June 29, 1998, p.1262</w:t>
      </w:r>
    </w:p>
    <w:p w:rsidR="00A31137" w:rsidRPr="00A31137" w:rsidRDefault="00A31137" w:rsidP="00A31137">
      <w:r w:rsidRPr="00A31137">
        <w:t>And the more advanced China's economy becomes, the more that will be true of China, the more you will need very large numbers of people getting university education and technical education. So I think it is very, very important.</w:t>
      </w:r>
    </w:p>
    <w:p w:rsidR="00A31137" w:rsidRPr="00A31137" w:rsidRDefault="00A31137" w:rsidP="00A31137">
      <w:r w:rsidRPr="00A31137">
        <w:t>Clinton, Remarks at Beijing University, June 29, 1998, p.1262</w:t>
      </w:r>
    </w:p>
    <w:p w:rsidR="00A31137" w:rsidRPr="00A31137" w:rsidRDefault="00A31137" w:rsidP="00A31137">
      <w:r w:rsidRPr="00A31137">
        <w:t>Now, let me say one expectation I have for the younger generation of Americans and Chinese that has nothing to do with economics. One of the biggest threats to your future is a world which is dominated not by modern problems but by ancient hatreds. Look around the world, and see how much trouble is being caused by people who dislike each other because of their racial or their religious or their ethnic differences, whether it's in Bosnia or the conflict between the Indians and the Pakistanis or in the Middle East or the tribal continents in Africa.</w:t>
      </w:r>
    </w:p>
    <w:p w:rsidR="00A31137" w:rsidRPr="00A31137" w:rsidRDefault="00A31137" w:rsidP="00A31137">
      <w:r w:rsidRPr="00A31137">
        <w:t>Clinton, Remarks at Beijing University, June 29, 1998, p.1262</w:t>
      </w:r>
    </w:p>
    <w:p w:rsidR="00A31137" w:rsidRPr="00A31137" w:rsidRDefault="00A31137" w:rsidP="00A31137">
      <w:r w:rsidRPr="00A31137">
        <w:t xml:space="preserve">You look all over the world, you see these kind of problems. Young people are more open to others who are different, more interested in people who are different. And I hope young people in China and young people in America that have a good education will be a strong voice in the world against giving in to this sort of hating people or looking down on them simply because they're different. [p.1263] </w:t>
      </w:r>
    </w:p>
    <w:p w:rsidR="00A31137" w:rsidRPr="00A31137" w:rsidRDefault="00A31137" w:rsidP="00A31137">
      <w:r w:rsidRPr="00A31137">
        <w:t>Clinton, Remarks at Beijing University, June 29, 1998, p.1263</w:t>
      </w:r>
    </w:p>
    <w:p w:rsidR="00A31137" w:rsidRPr="00A31137" w:rsidRDefault="00A31137" w:rsidP="00A31137">
      <w:r w:rsidRPr="00A31137">
        <w:t>Thank you. [Applause]</w:t>
      </w:r>
    </w:p>
    <w:p w:rsidR="00A31137" w:rsidRPr="00A31137" w:rsidRDefault="00A31137" w:rsidP="00A31137">
      <w:r w:rsidRPr="00A31137">
        <w:t>Clinton, Remarks at Beijing University, June 29, 1998, p.1263</w:t>
      </w:r>
    </w:p>
    <w:p w:rsidR="00A31137" w:rsidRPr="00A31137" w:rsidRDefault="00A31137" w:rsidP="00A31137">
      <w:r w:rsidRPr="00A31137">
        <w:t>U.S. Domestic Human Rights Issues</w:t>
      </w:r>
    </w:p>
    <w:p w:rsidR="00A31137" w:rsidRPr="00A31137" w:rsidRDefault="00A31137" w:rsidP="00A31137">
      <w:r w:rsidRPr="00A31137">
        <w:t>Clinton, Remarks at Beijing University, June 29, 1998, p.1263</w:t>
      </w:r>
    </w:p>
    <w:p w:rsidR="00A31137" w:rsidRPr="00A31137" w:rsidRDefault="00A31137" w:rsidP="00A31137">
      <w:r w:rsidRPr="00A31137">
        <w:t>Q. Mr. President, with regard to the question of democracy, human rights, and freedom, actually this is an issue of great interest to both the Chinese and American peoples. But to be honest, our two countries have some differences over these issues. In your address just now you made a very proud review and retrospection of the history of the American democracy in human rights. And you have also made some suggestions for China. Of course, for the sincere suggestions, we welcome. But I think I recall one saying, that is we should have both criticism and self-criticism.</w:t>
      </w:r>
    </w:p>
    <w:p w:rsidR="00A31137" w:rsidRPr="00A31137" w:rsidRDefault="00A31137" w:rsidP="00A31137">
      <w:r w:rsidRPr="00A31137">
        <w:t>Clinton, Remarks at Beijing University, June 29, 1998, p.1263</w:t>
      </w:r>
    </w:p>
    <w:p w:rsidR="00A31137" w:rsidRPr="00A31137" w:rsidRDefault="00A31137" w:rsidP="00A31137">
      <w:r w:rsidRPr="00A31137">
        <w:t>So now I'd like to ask you a question. Do you think that in the United States today, there are also some problems in the area of democracy, freedom, and human rights, and what your Government has done in improving the situation?</w:t>
      </w:r>
    </w:p>
    <w:p w:rsidR="00A31137" w:rsidRPr="00A31137" w:rsidRDefault="00A31137" w:rsidP="00A31137">
      <w:r w:rsidRPr="00A31137">
        <w:t>Clinton, Remarks at Beijing University, June 29, 1998, p.1263</w:t>
      </w:r>
    </w:p>
    <w:p w:rsidR="00A31137" w:rsidRPr="00A31137" w:rsidRDefault="00A31137" w:rsidP="00A31137">
      <w:r w:rsidRPr="00A31137">
        <w:t>The President. I do, and first of all, let me say, I never raise this question overseas in any country, not just China, without acknowledging first, that our country has had terrible problems in this area—keep in mind, slavery was legal in America for many years—and that we are still not perfect. I always say that, because I don't think it's right for any person to claim that he or she lives in a perfect country. We're all struggling toward ideals to live a better life. So I agree with the general point you made.</w:t>
      </w:r>
    </w:p>
    <w:p w:rsidR="00A31137" w:rsidRPr="00A31137" w:rsidRDefault="00A31137" w:rsidP="00A31137">
      <w:r w:rsidRPr="00A31137">
        <w:t>Clinton, Remarks at Beijing University, June 29, 1998, p.1263</w:t>
      </w:r>
    </w:p>
    <w:p w:rsidR="00A31137" w:rsidRPr="00A31137" w:rsidRDefault="00A31137" w:rsidP="00A31137">
      <w:r w:rsidRPr="00A31137">
        <w:t>Now, I will give you two examples. We still have some instances of discrimination in America, in housing or employment or other areas based on race. And we have a system set up to deal with it, but we have not totally eliminated it. And in the last year, I have been engaging the American people in a conversation on this subject, and we have tried to identify the things that Government should do, the things that the American people should do either through the local government or through other organizations, and the attitudes that should change the minds and hearts of the American people. So that's one example.</w:t>
      </w:r>
    </w:p>
    <w:p w:rsidR="00A31137" w:rsidRPr="00A31137" w:rsidRDefault="00A31137" w:rsidP="00A31137">
      <w:r w:rsidRPr="00A31137">
        <w:t>Clinton, Remarks at Beijing University, June 29, 1998, p.1263</w:t>
      </w:r>
    </w:p>
    <w:p w:rsidR="00A31137" w:rsidRPr="00A31137" w:rsidRDefault="00A31137" w:rsidP="00A31137">
      <w:r w:rsidRPr="00A31137">
        <w:t>Now, let me give you another example. We have—when I ran for President in 1992, I was in a hotel in New York City, and an American immigrant from Greece came up to me, and he said, "My son is 10 years old, and he studies the election in school, and he says I should vote for you." But he said, "If I vote for you, I want you to make my son free, because my son is not really free." So I asked this man, "What do you mean?" And he said, "Well, the crime is so high in my neighborhood, there are so many guns and gangs, that my son does not feel that he—I can't let him walk to school by himself or go across the street to play in the park. So if I vote for you, I want you to make my son free."</w:t>
      </w:r>
    </w:p>
    <w:p w:rsidR="00A31137" w:rsidRPr="00A31137" w:rsidRDefault="00A31137" w:rsidP="00A31137">
      <w:r w:rsidRPr="00A31137">
        <w:t>Clinton, Remarks at Beijing University, June 29, 1998, p.1263</w:t>
      </w:r>
    </w:p>
    <w:p w:rsidR="00A31137" w:rsidRPr="00A31137" w:rsidRDefault="00A31137" w:rsidP="00A31137">
      <w:r w:rsidRPr="00A31137">
        <w:t>I think that's important, because, you see, in America, we tend to view freedom as the freedom from Government abuse or from Government control. That is our heritage. Our Founders came here to escape the monarchy in England. But sometimes freedom requires affirmative steps by Government to give everyone an equal opportunity to have an education and make a decent living and to preserve a lawful environment. So I work very hard to try to bring the crime rate down in America, and it's now lower than it has been at any time in 25 years, which means that more of our children are free. But the crime rate is still high; there is still too much violence.</w:t>
      </w:r>
    </w:p>
    <w:p w:rsidR="00A31137" w:rsidRPr="00A31137" w:rsidRDefault="00A31137" w:rsidP="00A31137">
      <w:r w:rsidRPr="00A31137">
        <w:t>Clinton, Remarks at Beijing University, June 29, 1998, p.1263</w:t>
      </w:r>
    </w:p>
    <w:p w:rsidR="00A31137" w:rsidRPr="00A31137" w:rsidRDefault="00A31137" w:rsidP="00A31137">
      <w:r w:rsidRPr="00A31137">
        <w:t>So we Americans need to be sensitive not only to preserve the freedoms that we hold dear but also to create an environment in which people can build a truly good and free life.</w:t>
      </w:r>
    </w:p>
    <w:p w:rsidR="00A31137" w:rsidRPr="00A31137" w:rsidRDefault="00A31137" w:rsidP="00A31137">
      <w:r w:rsidRPr="00A31137">
        <w:t>Clinton, Remarks at Beijing University, June 29, 1998, p.1263</w:t>
      </w:r>
    </w:p>
    <w:p w:rsidR="00A31137" w:rsidRPr="00A31137" w:rsidRDefault="00A31137" w:rsidP="00A31137">
      <w:r w:rsidRPr="00A31137">
        <w:t>That's a good question.</w:t>
      </w:r>
    </w:p>
    <w:p w:rsidR="00A31137" w:rsidRPr="00A31137" w:rsidRDefault="00A31137" w:rsidP="00A31137">
      <w:r w:rsidRPr="00A31137">
        <w:t>Clinton, Remarks at Beijing University, June 29, 1998, p.1263</w:t>
      </w:r>
    </w:p>
    <w:p w:rsidR="00A31137" w:rsidRPr="00A31137" w:rsidRDefault="00A31137" w:rsidP="00A31137">
      <w:r w:rsidRPr="00A31137">
        <w:t>Freedom</w:t>
      </w:r>
    </w:p>
    <w:p w:rsidR="00A31137" w:rsidRPr="00A31137" w:rsidRDefault="00A31137" w:rsidP="00A31137">
      <w:r w:rsidRPr="00A31137">
        <w:t>Clinton, Remarks at Beijing University, June 29, 1998, p.1263</w:t>
      </w:r>
    </w:p>
    <w:p w:rsidR="00A31137" w:rsidRPr="00A31137" w:rsidRDefault="00A31137" w:rsidP="00A31137">
      <w:r w:rsidRPr="00A31137">
        <w:t>Q. Mr. President, you are warmly welcome to "Beida". You mentioned a sentence by Mr. Xu Jiyu, but our former President once said that when the great moral is in practice, the morals, they will not contradict each other. And I don't think the individual freedom and the collective freedom will contradict each other. But in China the prosperous development of the nation is actually the free choice of our people, and it's also the result of their efforts. So I think that freedom, real freedom, should mean for the people to freely choose the way of life they like and also to develop. And I also think that only those who can really respect the freedom of others can [p.1264] really say that they understand what freedom means.</w:t>
      </w:r>
    </w:p>
    <w:p w:rsidR="00A31137" w:rsidRPr="00A31137" w:rsidRDefault="00A31137" w:rsidP="00A31137">
      <w:r w:rsidRPr="00A31137">
        <w:t>Clinton, Remarks at Beijing University, June 29, 1998, p.1264</w:t>
      </w:r>
    </w:p>
    <w:p w:rsidR="00A31137" w:rsidRPr="00A31137" w:rsidRDefault="00A31137" w:rsidP="00A31137">
      <w:r w:rsidRPr="00A31137">
        <w:t>I don't know whether you agree with me or not.</w:t>
      </w:r>
    </w:p>
    <w:p w:rsidR="00A31137" w:rsidRPr="00A31137" w:rsidRDefault="00A31137" w:rsidP="00A31137">
      <w:r w:rsidRPr="00A31137">
        <w:t>Clinton, Remarks at Beijing University, June 29, 1998, p.1264</w:t>
      </w:r>
    </w:p>
    <w:p w:rsidR="00A31137" w:rsidRPr="00A31137" w:rsidRDefault="00A31137" w:rsidP="00A31137">
      <w:r w:rsidRPr="00A31137">
        <w:t>The President. First of all, if you believe in freedom, you have to respect the freedom of others to make another choice. And even societies that have rather radical views of individual freedom recognize limits on that freedom when it interferes with preserving other people's rights.</w:t>
      </w:r>
    </w:p>
    <w:p w:rsidR="00A31137" w:rsidRPr="00A31137" w:rsidRDefault="00A31137" w:rsidP="00A31137">
      <w:r w:rsidRPr="00A31137">
        <w:t>Clinton, Remarks at Beijing University, June 29, 1998, p.1264</w:t>
      </w:r>
    </w:p>
    <w:p w:rsidR="00A31137" w:rsidRPr="00A31137" w:rsidRDefault="00A31137" w:rsidP="00A31137">
      <w:r w:rsidRPr="00A31137">
        <w:t>For example, there's one of our famous court cases which says we have freedom of speech, but no one should be free to shout the word "fire" in a crowded movie theater where there is no fire and cause people to stampede over each other. There's another famous court decision that says my freedom ends where the other person's nose begins, meaning that you don't have the freedom to hit someone else.</w:t>
      </w:r>
    </w:p>
    <w:p w:rsidR="00A31137" w:rsidRPr="00A31137" w:rsidRDefault="00A31137" w:rsidP="00A31137">
      <w:r w:rsidRPr="00A31137">
        <w:t>Clinton, Remarks at Beijing University, June 29, 1998, p.1264</w:t>
      </w:r>
    </w:p>
    <w:p w:rsidR="00A31137" w:rsidRPr="00A31137" w:rsidRDefault="00A31137" w:rsidP="00A31137">
      <w:r w:rsidRPr="00A31137">
        <w:t>So I agree with that. People have the freedom to choose and you have to respect other people's freedom, and they have the right to make decisions that are different from yours. And there will never be a time when our systems and our cultures and our choices will be completely identical. That's one of the things that makes life interesting.</w:t>
      </w:r>
    </w:p>
    <w:p w:rsidR="00A31137" w:rsidRPr="00A31137" w:rsidRDefault="00A31137" w:rsidP="00A31137">
      <w:r w:rsidRPr="00A31137">
        <w:t>Clinton, Remarks at Beijing University, June 29, 1998, p.1264</w:t>
      </w:r>
    </w:p>
    <w:p w:rsidR="00A31137" w:rsidRPr="00A31137" w:rsidRDefault="00A31137" w:rsidP="00A31137">
      <w:r w:rsidRPr="00A31137">
        <w:t>U.S. Economic Expansion/Protest Demonstrations</w:t>
      </w:r>
    </w:p>
    <w:p w:rsidR="00A31137" w:rsidRPr="00A31137" w:rsidRDefault="00A31137" w:rsidP="00A31137">
      <w:r w:rsidRPr="00A31137">
        <w:t>Clinton, Remarks at Beijing University, June 29, 1998, p.1264</w:t>
      </w:r>
    </w:p>
    <w:p w:rsidR="00A31137" w:rsidRPr="00A31137" w:rsidRDefault="00A31137" w:rsidP="00A31137">
      <w:r w:rsidRPr="00A31137">
        <w:t>Q. Mr. President, I have two questions. The first question is, the U.S. economy has been growing for more than 18 months, so I'd like to ask, apart from your personal contribution to the United States, what other factors do you think important for the success of the U.S. economy? Maybe they can serve as good reference for China.</w:t>
      </w:r>
    </w:p>
    <w:p w:rsidR="00A31137" w:rsidRPr="00A31137" w:rsidRDefault="00A31137" w:rsidP="00A31137">
      <w:r w:rsidRPr="00A31137">
        <w:t>Clinton, Remarks at Beijing University, June 29, 1998, p.1264</w:t>
      </w:r>
    </w:p>
    <w:p w:rsidR="00A31137" w:rsidRPr="00A31137" w:rsidRDefault="00A31137" w:rsidP="00A31137">
      <w:r w:rsidRPr="00A31137">
        <w:t>The second question is, when President Jiang Zemin visited Harvard University last year, there were a lot of students outside the hall demonstrating, so I'd like you, Mr. President, if you are in Beijing University and if there were a lot of students outside protesting and demonstrating, what feeling would you have?</w:t>
      </w:r>
    </w:p>
    <w:p w:rsidR="00A31137" w:rsidRPr="00A31137" w:rsidRDefault="00A31137" w:rsidP="00A31137">
      <w:r w:rsidRPr="00A31137">
        <w:t>Clinton, Remarks at Beijing University, June 29, 1998, p.1264</w:t>
      </w:r>
    </w:p>
    <w:p w:rsidR="00A31137" w:rsidRPr="00A31137" w:rsidRDefault="00A31137" w:rsidP="00A31137">
      <w:r w:rsidRPr="00A31137">
        <w:t>The President. Well, first of all, on the United States economy, I believe that the principal role of Government policy since I've been President was to, first of all, get our big Government deficit—we had a huge annual deficit in spending—we got that under control. We're about to have the first balanced budget in 30 years. That drove interest rates down and freed up a lot of money to be invested in creating jobs in the private sector. Then the second thing we did was to expand trade a lot, so we began to sell a lot more around the world than we had before. And the third thing we did was to attempt to invest more in our people, in research, development, technology, and education.</w:t>
      </w:r>
    </w:p>
    <w:p w:rsidR="00A31137" w:rsidRPr="00A31137" w:rsidRDefault="00A31137" w:rsidP="00A31137">
      <w:r w:rsidRPr="00A31137">
        <w:t>Clinton, Remarks at Beijing University, June 29, 1998, p.1264</w:t>
      </w:r>
    </w:p>
    <w:p w:rsidR="00A31137" w:rsidRPr="00A31137" w:rsidRDefault="00A31137" w:rsidP="00A31137">
      <w:r w:rsidRPr="00A31137">
        <w:t>Now, in addition to that, however, a lot of the credit here goes to the American people themselves. We have a very sophisticated business community; they were investing money in new technologies and in new markets and in training people. We have an environment where it's quite easy for people to start a business, and perhaps this is the area that might be most helpful to China.</w:t>
      </w:r>
    </w:p>
    <w:p w:rsidR="00A31137" w:rsidRPr="00A31137" w:rsidRDefault="00A31137" w:rsidP="00A31137">
      <w:r w:rsidRPr="00A31137">
        <w:t>Clinton, Remarks at Beijing University, June 29, 1998, p.1264</w:t>
      </w:r>
    </w:p>
    <w:p w:rsidR="00A31137" w:rsidRPr="00A31137" w:rsidRDefault="00A31137" w:rsidP="00A31137">
      <w:r w:rsidRPr="00A31137">
        <w:t>I know that my wife has done a lot of work around the world in villages, trying to get credit to villagers so they could borrow money to start their own businesses, to try to take advantage of some skill they have. And we have seen this system work even in the poorest places in Africa and Latin America, where opportunity takes off.</w:t>
      </w:r>
    </w:p>
    <w:p w:rsidR="00A31137" w:rsidRPr="00A31137" w:rsidRDefault="00A31137" w:rsidP="00A31137">
      <w:r w:rsidRPr="00A31137">
        <w:t>Clinton, Remarks at Beijing University, June 29, 1998, p.1264</w:t>
      </w:r>
    </w:p>
    <w:p w:rsidR="00A31137" w:rsidRPr="00A31137" w:rsidRDefault="00A31137" w:rsidP="00A31137">
      <w:r w:rsidRPr="00A31137">
        <w:t>So we have tried to make it easy in America for people to start a business, to expand a business, and to do business. And then we have also tried very, very hard to get new opportunities into areas where there were none before. And all these things together—but especially, I give most of the credit to the people of my country. After all, a person in my position, we're supposed to have correct policies so that we create a framework within which the American people then create the future. And I think that is basically what has happened.</w:t>
      </w:r>
    </w:p>
    <w:p w:rsidR="00A31137" w:rsidRPr="00A31137" w:rsidRDefault="00A31137" w:rsidP="00A31137">
      <w:r w:rsidRPr="00A31137">
        <w:t>Clinton, Remarks at Beijing University, June 29, 1998, p.1264</w:t>
      </w:r>
    </w:p>
    <w:p w:rsidR="00A31137" w:rsidRPr="00A31137" w:rsidRDefault="00A31137" w:rsidP="00A31137">
      <w:r w:rsidRPr="00A31137">
        <w:t>Now, you asked me an interesting question. Actually, I have been demonstrated against quite a lot in the United States. I told President Jiang when he was there, I was glad they demonstrated against him, so I didn't feel so lonely. [Laughter]</w:t>
      </w:r>
    </w:p>
    <w:p w:rsidR="00A31137" w:rsidRPr="00A31137" w:rsidRDefault="00A31137" w:rsidP="00A31137">
      <w:r w:rsidRPr="00A31137">
        <w:t>Clinton, Remarks at Beijing University, June 29, 1998, p.1264</w:t>
      </w:r>
    </w:p>
    <w:p w:rsidR="00A31137" w:rsidRPr="00A31137" w:rsidRDefault="00A31137" w:rsidP="00A31137">
      <w:r w:rsidRPr="00A31137">
        <w:t>I'll give you a serious answer. If there were a lot of people demonstrating against me outside, suppose they were demonstrating over the question that the first gentleman asked [p.1265] me. Suppose they said, "Oh, President Clinton is trying to interfere with the peaceful reunification of China and Taiwan, and he shouldn't be selling them any weapons whatever." Well, I would try to find out what they were demonstrating against, and then I would ask my host if they minded if I would go over and talk to them, or if they would mind if one or two people from the group of demonstrators could be brought to see me, and they could say what is on their minds, and I could answer.</w:t>
      </w:r>
    </w:p>
    <w:p w:rsidR="00A31137" w:rsidRPr="00A31137" w:rsidRDefault="00A31137" w:rsidP="00A31137">
      <w:r w:rsidRPr="00A31137">
        <w:t>Clinton, Remarks at Beijing University, June 29, 1998, p.1265</w:t>
      </w:r>
    </w:p>
    <w:p w:rsidR="00A31137" w:rsidRPr="00A31137" w:rsidRDefault="00A31137" w:rsidP="00A31137">
      <w:r w:rsidRPr="00A31137">
        <w:t>Remember what I said before about what Benjamin Franklin said, "Our critics are our friends, for they show us our faults." You have asked me some very good questions today that have an element of criticism in them. They have been very helpful to me. They have helped me to understand how what I say is perceived by others, not just in China but around the world. They have helped me to focus on what I can do to be a more effective President for my people and for the things we believe in.</w:t>
      </w:r>
    </w:p>
    <w:p w:rsidR="00A31137" w:rsidRPr="00A31137" w:rsidRDefault="00A31137" w:rsidP="00A31137">
      <w:r w:rsidRPr="00A31137">
        <w:t>Clinton, Remarks at Beijing University, June 29, 1998, p.1265</w:t>
      </w:r>
    </w:p>
    <w:p w:rsidR="00A31137" w:rsidRPr="00A31137" w:rsidRDefault="00A31137" w:rsidP="00A31137">
      <w:r w:rsidRPr="00A31137">
        <w:t>And so I feel very good that we have had this interchange. And from my point of view, the questions were far more important than my speech. I never learn anything when I'm talking; I only learn things when I'm listening.</w:t>
      </w:r>
    </w:p>
    <w:p w:rsidR="00A31137" w:rsidRPr="00A31137" w:rsidRDefault="00A31137" w:rsidP="00A31137">
      <w:r w:rsidRPr="00A31137">
        <w:t>Clinton, Remarks at Beijing University, June 29, 1998, p.1265</w:t>
      </w:r>
    </w:p>
    <w:p w:rsidR="00A31137" w:rsidRPr="00A31137" w:rsidRDefault="00A31137" w:rsidP="00A31137">
      <w:r w:rsidRPr="00A31137">
        <w:t>Thank you very much. Thank you.</w:t>
      </w:r>
    </w:p>
    <w:p w:rsidR="00A31137" w:rsidRPr="00A31137" w:rsidRDefault="00A31137" w:rsidP="00A31137">
      <w:r w:rsidRPr="00A31137">
        <w:t>Clinton, Remarks at Beijing University, June 29, 1998, p.1265</w:t>
      </w:r>
    </w:p>
    <w:p w:rsidR="00A31137" w:rsidRPr="00A31137" w:rsidRDefault="00A31137" w:rsidP="00A31137">
      <w:r w:rsidRPr="00A31137">
        <w:t>Note: The President spoke at 10:25 a.m. in the Bangong Lou auditorium. In his remarks, he referred to Chen Jiaer, president, Ren Yansheng, university council chairman, and Chi Huisheng, vice president, Beijing University; President Jiang Zemin and Premier Zhu Rongji of China. A tape was not available for verification of the content of these remarks.</w:t>
      </w:r>
    </w:p>
    <w:p w:rsidR="00A31137" w:rsidRPr="00A31137" w:rsidRDefault="00A31137" w:rsidP="00A31137">
      <w:r w:rsidRPr="00A31137">
        <w:t>Clinton's Address to the Nation on Testimony Before the Independent Counsel's Grand Jury, August 17, 1998</w:t>
      </w:r>
    </w:p>
    <w:p w:rsidR="00A31137" w:rsidRPr="00A31137" w:rsidRDefault="00A31137" w:rsidP="00A31137">
      <w:r w:rsidRPr="00A31137">
        <w:t>Title:</w:t>
      </w:r>
      <w:r w:rsidRPr="00A31137">
        <w:tab/>
        <w:t>Clinton's Address to the Nation on Testimony Before the Independent Counsel's Grand Jury</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August 17, 1998</w:t>
      </w:r>
    </w:p>
    <w:p w:rsidR="00A31137" w:rsidRPr="00A31137" w:rsidRDefault="00A31137" w:rsidP="00A31137">
      <w:r w:rsidRPr="00A31137">
        <w:t>Source:</w:t>
      </w:r>
      <w:r w:rsidRPr="00A31137">
        <w:tab/>
        <w:t>Weekly Compilation of Presidential Documents, 1998, pp.1638-1639</w:t>
      </w:r>
    </w:p>
    <w:p w:rsidR="00A31137" w:rsidRPr="00A31137" w:rsidRDefault="00A31137" w:rsidP="00A31137">
      <w:r w:rsidRPr="00A31137">
        <w:t>Clinton, Address to the Nation, Aug. 17, 1998, p.1638</w:t>
      </w:r>
    </w:p>
    <w:p w:rsidR="00A31137" w:rsidRPr="00A31137" w:rsidRDefault="00A31137" w:rsidP="00A31137">
      <w:r w:rsidRPr="00A31137">
        <w:t>Good evening. This afternoon in this room, from this chair, I testified before the Office of Independent Counsel and the grand jury. I answered their questions truthfully, including questions about my private life, questions no American citizen would ever want to answer.</w:t>
      </w:r>
    </w:p>
    <w:p w:rsidR="00A31137" w:rsidRPr="00A31137" w:rsidRDefault="00A31137" w:rsidP="00A31137">
      <w:r w:rsidRPr="00A31137">
        <w:t>Clinton, Address to the Nation, Aug. 17, 1998, p.1638</w:t>
      </w:r>
    </w:p>
    <w:p w:rsidR="00A31137" w:rsidRPr="00A31137" w:rsidRDefault="00A31137" w:rsidP="00A31137">
      <w:r w:rsidRPr="00A31137">
        <w:t>Still I must take complete responsibility for all my actions, both public and private. And that is why I am speaking to you tonight.</w:t>
      </w:r>
    </w:p>
    <w:p w:rsidR="00A31137" w:rsidRPr="00A31137" w:rsidRDefault="00A31137" w:rsidP="00A31137">
      <w:r w:rsidRPr="00A31137">
        <w:t>Clinton, Address to the Nation, Aug. 17, 1998, p.1638</w:t>
      </w:r>
    </w:p>
    <w:p w:rsidR="00A31137" w:rsidRPr="00A31137" w:rsidRDefault="00A31137" w:rsidP="00A31137">
      <w:r w:rsidRPr="00A31137">
        <w:t>As you know, in a deposition in January I was asked questions about my relationship with Monica Lewinsky. While my answers were legally accurate, I did not volunteer information. Indeed, I did have a relationship with Ms. Lewinsky that was not appropriate. In fact, it was wrong. It constituted a critical lapse in judgment and a personal failure on my part for which I am solely and completely responsible.</w:t>
      </w:r>
    </w:p>
    <w:p w:rsidR="00A31137" w:rsidRPr="00A31137" w:rsidRDefault="00A31137" w:rsidP="00A31137">
      <w:r w:rsidRPr="00A31137">
        <w:t>Clinton, Address to the Nation, Aug. 17, 1998, p.1638</w:t>
      </w:r>
    </w:p>
    <w:p w:rsidR="00A31137" w:rsidRPr="00A31137" w:rsidRDefault="00A31137" w:rsidP="00A31137">
      <w:r w:rsidRPr="00A31137">
        <w:t>But I told the grand jury today, and I say to you now, that at no time did I ask anyone to lie, to hide or destroy evidence, or to take any other unlawful action.</w:t>
      </w:r>
    </w:p>
    <w:p w:rsidR="00A31137" w:rsidRPr="00A31137" w:rsidRDefault="00A31137" w:rsidP="00A31137">
      <w:r w:rsidRPr="00A31137">
        <w:t>Clinton, Address to the Nation, Aug. 17, 1998, p.1638</w:t>
      </w:r>
    </w:p>
    <w:p w:rsidR="00A31137" w:rsidRPr="00A31137" w:rsidRDefault="00A31137" w:rsidP="00A31137">
      <w:r w:rsidRPr="00A31137">
        <w:t>I know that my public comments and my silence about this matter gave a false impression. I misled people, including even my wife. I deeply regret that. I can only tell you I was motivated by many factors: first, by a desire to protect myself from the embarrassment of my own conduct. I was also very concerned about protecting my family. The fact that these questions were being asked in a politically inspired lawsuit which has since been dismissed was a consideration, too.</w:t>
      </w:r>
    </w:p>
    <w:p w:rsidR="00A31137" w:rsidRPr="00A31137" w:rsidRDefault="00A31137" w:rsidP="00A31137">
      <w:r w:rsidRPr="00A31137">
        <w:t>Clinton, Address to the Nation, Aug. 17, 1998, p.1638</w:t>
      </w:r>
    </w:p>
    <w:p w:rsidR="00A31137" w:rsidRPr="00A31137" w:rsidRDefault="00A31137" w:rsidP="00A31137">
      <w:r w:rsidRPr="00A31137">
        <w:t>In addition, I had real and serious concerns about an Independent Counsel investigation that began with private business dealings 20 years ago, dealings, I might add, about which an independent Federal agency found no evidence of any wrongdoing by me or my wife over 2 years ago. The Independent Counsel investigation moved on to my staff and friends, then into my private life. And now the investigation itself is under investigation. This has gone on too long, cost too much, and hurt too many innocent people.</w:t>
      </w:r>
    </w:p>
    <w:p w:rsidR="00A31137" w:rsidRPr="00A31137" w:rsidRDefault="00A31137" w:rsidP="00A31137">
      <w:r w:rsidRPr="00A31137">
        <w:t>Clinton, Address to the Nation, Aug. 17, 1998, p.1638</w:t>
      </w:r>
    </w:p>
    <w:p w:rsidR="00A31137" w:rsidRPr="00A31137" w:rsidRDefault="00A31137" w:rsidP="00A31137">
      <w:r w:rsidRPr="00A31137">
        <w:t>Now this matter is between me, the two people I love most, my wife and our daughter, and our God. I must put it right, and I am prepared to do whatever it takes to do so. Nothing is more important to me personally. But it is private. And I intend to reclaim my family life for my family. It's nobody's business but ours. Even Presidents have private lives.</w:t>
      </w:r>
    </w:p>
    <w:p w:rsidR="00A31137" w:rsidRPr="00A31137" w:rsidRDefault="00A31137" w:rsidP="00A31137">
      <w:r w:rsidRPr="00A31137">
        <w:t>Clinton, Address to the Nation, Aug. 17, 1998, p.1638</w:t>
      </w:r>
    </w:p>
    <w:p w:rsidR="00A31137" w:rsidRPr="00A31137" w:rsidRDefault="00A31137" w:rsidP="00A31137">
      <w:r w:rsidRPr="00A31137">
        <w:t>It is time to stop the pursuit of personal destruction and the prying into private lives and get on with our national life. Our country has been distracted by this matter for too long. And I take my responsibility for my part in all of this; this is all I can do. Now it is time—in fact, it is past time—to move on. We have important work to do, real opportunities to seize, real problems to solve, real security matters to face.</w:t>
      </w:r>
    </w:p>
    <w:p w:rsidR="00A31137" w:rsidRPr="00A31137" w:rsidRDefault="00A31137" w:rsidP="00A31137">
      <w:r w:rsidRPr="00A31137">
        <w:t>Clinton, Address to the Nation, Aug. 17, 1998, p.1638</w:t>
      </w:r>
    </w:p>
    <w:p w:rsidR="00A31137" w:rsidRPr="00A31137" w:rsidRDefault="00A31137" w:rsidP="00A31137">
      <w:r w:rsidRPr="00A31137">
        <w:t xml:space="preserve">And so, tonight I ask you to turn away from the spectacle of the past 7 months, to repair the fabric of our national discourse, and to return our attention to all the challenges and all the promise of the next American century. [p.1639] </w:t>
      </w:r>
    </w:p>
    <w:p w:rsidR="00A31137" w:rsidRPr="00A31137" w:rsidRDefault="00A31137" w:rsidP="00A31137">
      <w:r w:rsidRPr="00A31137">
        <w:t>Clinton, Address to the Nation, Aug. 17, 1998, p.1639</w:t>
      </w:r>
    </w:p>
    <w:p w:rsidR="00A31137" w:rsidRPr="00A31137" w:rsidRDefault="00A31137" w:rsidP="00A31137">
      <w:r w:rsidRPr="00A31137">
        <w:t>Thank you for watching, and good night.</w:t>
      </w:r>
    </w:p>
    <w:p w:rsidR="00A31137" w:rsidRPr="00A31137" w:rsidRDefault="00A31137" w:rsidP="00A31137">
      <w:r w:rsidRPr="00A31137">
        <w:t>Clinton, Address to the Nation, Aug. 17, 1998, p.1639</w:t>
      </w:r>
    </w:p>
    <w:p w:rsidR="00A31137" w:rsidRPr="00A31137" w:rsidRDefault="00A31137" w:rsidP="00A31137">
      <w:r w:rsidRPr="00A31137">
        <w:t>Note: The President spoke at 10:02 p.m. from the Map Room at the White House.</w:t>
      </w:r>
    </w:p>
    <w:p w:rsidR="00A31137" w:rsidRPr="00A31137" w:rsidRDefault="00A31137" w:rsidP="00A31137">
      <w:r w:rsidRPr="00A31137">
        <w:t>Clinton's Address on the State of the Union, January 19, 1999</w:t>
      </w:r>
    </w:p>
    <w:p w:rsidR="00A31137" w:rsidRPr="00A31137" w:rsidRDefault="00A31137" w:rsidP="00A31137">
      <w:r w:rsidRPr="00A31137">
        <w:t>Title:</w:t>
      </w:r>
      <w:r w:rsidRPr="00A31137">
        <w:tab/>
        <w:t>Clinton's Address on the State of the Union, 1999</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January 19, 1999</w:t>
      </w:r>
    </w:p>
    <w:p w:rsidR="00A31137" w:rsidRPr="00A31137" w:rsidRDefault="00A31137" w:rsidP="00A31137">
      <w:r w:rsidRPr="00A31137">
        <w:t>Source:</w:t>
      </w:r>
      <w:r w:rsidRPr="00A31137">
        <w:tab/>
        <w:t>Weekly Compilation of Presidential Documents, 1999, 35:78-88</w:t>
      </w:r>
    </w:p>
    <w:p w:rsidR="00A31137" w:rsidRPr="00A31137" w:rsidRDefault="00A31137" w:rsidP="00A31137">
      <w:r w:rsidRPr="00A31137">
        <w:t>Mr. Speaker, Mr. Vice President, Members of Congress, honored guests, my fellow Americans: Tonight, I have the honor of reporting to you on the State of the Union.</w:t>
      </w:r>
    </w:p>
    <w:p w:rsidR="00A31137" w:rsidRPr="00A31137" w:rsidRDefault="00A31137" w:rsidP="00A31137">
      <w:r w:rsidRPr="00A31137">
        <w:t>Let me begin by saluting the new Speaker of the House, and thanking him, especially tonight, for extending an invitation to two guests sitting in the gallery with Mrs. Hastert: Lyn Gibson and Wenling Chestnut are the widows of the two brave Capitol Hill police officers who gave their lives to defend freedom's house.</w:t>
      </w:r>
    </w:p>
    <w:p w:rsidR="00A31137" w:rsidRPr="00A31137" w:rsidRDefault="00A31137" w:rsidP="00A31137">
      <w:r w:rsidRPr="00A31137">
        <w:t>Mr. Speaker, at your swearing-in, you asked us all to work together in a spirit of civility and bipartisanship. Mr. Speaker, let's do exactly that.</w:t>
      </w:r>
    </w:p>
    <w:p w:rsidR="00A31137" w:rsidRPr="00A31137" w:rsidRDefault="00A31137" w:rsidP="00A31137">
      <w:r w:rsidRPr="00A31137">
        <w:t>Tonight, I stand before you to report that America has created the longest peacetime economic expansion in our history with nearly 18 million new jobs, wages rising at more than twice the rate of inflation, the highest homeownership in history, the smallest welfare rolls in 30 years, and the lowest peacetime unemployment since 1957.</w:t>
      </w:r>
    </w:p>
    <w:p w:rsidR="00A31137" w:rsidRPr="00A31137" w:rsidRDefault="00A31137" w:rsidP="00A31137">
      <w:r w:rsidRPr="00A31137">
        <w:t>For the first time in three decades, the budget is balanced. From a deficit of $290 billion in 1992, we had a surplus of $70 billion last year. And now we are on course for budget surpluses for the next 25 years.</w:t>
      </w:r>
    </w:p>
    <w:p w:rsidR="00A31137" w:rsidRPr="00A31137" w:rsidRDefault="00A31137" w:rsidP="00A31137">
      <w:r w:rsidRPr="00A31137">
        <w:t>Thanks to the pioneering leadership of all of you, we have the lowest violent crime rate in a quarter century and the cleanest environment in a quarter century. America is a strong force for peace from Northern Ireland to Bosnia to the Middle East.</w:t>
      </w:r>
    </w:p>
    <w:p w:rsidR="00A31137" w:rsidRPr="00A31137" w:rsidRDefault="00A31137" w:rsidP="00A31137">
      <w:r w:rsidRPr="00A31137">
        <w:t>Thanks to the leadership of Vice President Gore, we have a Government for the information age. Once again, a Government that is a progressive instrument of the common good, rooted in our oldest values of opportunity, responsibility, and community; devoted to fiscal responsibility; determined to give our people the tools they need to make the most of their own lives in the 21st century; a 21st century Government for 21st century America.</w:t>
      </w:r>
    </w:p>
    <w:p w:rsidR="00A31137" w:rsidRPr="00A31137" w:rsidRDefault="00A31137" w:rsidP="00A31137">
      <w:r w:rsidRPr="00A31137">
        <w:t>My fellow Americans, I stand before you tonight to report that the state of our Union is strong.</w:t>
      </w:r>
    </w:p>
    <w:p w:rsidR="00A31137" w:rsidRPr="00A31137" w:rsidRDefault="00A31137" w:rsidP="00A31137">
      <w:r w:rsidRPr="00A31137">
        <w:t>Now, America is working again. The promise of our future is limitless. But we cannot realize that promise if we allow the hum of our prosperity to lull us into complacency. How we fare as a nation far into the 21st century depends upon what we do as a nation today. So with our budget surplus growing, our economy expanding, our confidence rising, now is the moment for this generation to meet our historic responsibility to the 21st century.</w:t>
      </w:r>
    </w:p>
    <w:p w:rsidR="00A31137" w:rsidRPr="00A31137" w:rsidRDefault="00A31137" w:rsidP="00A31137">
      <w:r w:rsidRPr="00A31137">
        <w:t>Our fiscal discipline gives us an unsurpassed opportunity to address a remarkable new challenge, the aging of America. With the number of elderly Americans set to double by 2030, the baby boom will become a [p.79]  senior boom. So first, and above all, we must save Social Security for the 21st century.</w:t>
      </w:r>
    </w:p>
    <w:p w:rsidR="00A31137" w:rsidRPr="00A31137" w:rsidRDefault="00A31137" w:rsidP="00A31137">
      <w:r w:rsidRPr="00A31137">
        <w:t>Early in this century, being old meant being poor. When President Roosevelt created Social Security, thousands wrote to thank him for eliminating what one woman called "the stark terror of penniless, helpless old age." Even today, without Social Security, half our Nation's elderly would be forced into poverty.</w:t>
      </w:r>
    </w:p>
    <w:p w:rsidR="00A31137" w:rsidRPr="00A31137" w:rsidRDefault="00A31137" w:rsidP="00A31137">
      <w:r w:rsidRPr="00A31137">
        <w:t>Today, Social Security is strong. But by 2013, payroll taxes will no longer be sufficient to cover monthly payments. By 2032, the Trust Fund will be exhausted and Social Security will be unable to pay the full benefits older Americans have been promised.</w:t>
      </w:r>
    </w:p>
    <w:p w:rsidR="00A31137" w:rsidRPr="00A31137" w:rsidRDefault="00A31137" w:rsidP="00A31137">
      <w:r w:rsidRPr="00A31137">
        <w:t>The best way to keep Social Security a rock-solid guarantee is not to make drastic cuts in benefits, not to raise payroll tax rates, not to drain resources from Social Security in the name of saving it. Instead, I propose that we make the historic decision to invest the surplus to save Social Security.</w:t>
      </w:r>
    </w:p>
    <w:p w:rsidR="00A31137" w:rsidRPr="00A31137" w:rsidRDefault="00A31137" w:rsidP="00A31137">
      <w:r w:rsidRPr="00A31137">
        <w:t>Specifically, I propose that we commit 60 percent of the budget surplus for the next 15 years to Social Security, investing a small portion in the private sector, just as any private or State Government pension would do. This will earn a higher return and keep Social Security sound for 55 years.</w:t>
      </w:r>
    </w:p>
    <w:p w:rsidR="00A31137" w:rsidRPr="00A31137" w:rsidRDefault="00A31137" w:rsidP="00A31137">
      <w:r w:rsidRPr="00A31137">
        <w:t>But we must aim higher. We should put Social Security on a sound footing for the next 75 years. We should reduce poverty among elderly women, who are nearly twice as likely to be poor as our other seniors. And we should eliminate the limits on what seniors on Social Security can earn.</w:t>
      </w:r>
    </w:p>
    <w:p w:rsidR="00A31137" w:rsidRPr="00A31137" w:rsidRDefault="00A31137" w:rsidP="00A31137">
      <w:r w:rsidRPr="00A31137">
        <w:t>Now, these changes will require difficult but fully achievable choices over and above the dedication of the surplus. They must be made on a bipartisan basis. They should be made this year. So let me say to you tonight, I reach out my hand to all of you in both Houses, in both parties, and ask that we join together in saying to the American people: We will save Social Security now.</w:t>
      </w:r>
    </w:p>
    <w:p w:rsidR="00A31137" w:rsidRPr="00A31137" w:rsidRDefault="00A31137" w:rsidP="00A31137">
      <w:r w:rsidRPr="00A31137">
        <w:t>Now, last year we wisely reserved all of the surplus until we knew what it would take to save Social Security. Again, I say, we shouldn't spend any of it, not any of it, until after Social Security is truly saved. First things first.</w:t>
      </w:r>
    </w:p>
    <w:p w:rsidR="00A31137" w:rsidRPr="00A31137" w:rsidRDefault="00A31137" w:rsidP="00A31137">
      <w:r w:rsidRPr="00A31137">
        <w:t>Second, once we have saved Social Security, we must fulfill our obligation to save and improve Medicare. Already, we have extended the life of the Medicare Trust Fund by 10 years, but we should extend it for at least another decade. Tonight, I propose that we use one out of every $6 in the surplus for the next 15 years to guarantee the soundness of Medicare until the year 2020.</w:t>
      </w:r>
    </w:p>
    <w:p w:rsidR="00A31137" w:rsidRPr="00A31137" w:rsidRDefault="00A31137" w:rsidP="00A31137">
      <w:r w:rsidRPr="00A31137">
        <w:t>But again, we should aim higher. We must be willing to work in a bipartisan way and look at new ideas, including the upcoming report of the bipartisan Medicare Commission. If we work together, we can secure Medicare for the next two decades and cover the greatest growing need of seniors, affordable prescription drugs.</w:t>
      </w:r>
    </w:p>
    <w:p w:rsidR="00A31137" w:rsidRPr="00A31137" w:rsidRDefault="00A31137" w:rsidP="00A31137">
      <w:r w:rsidRPr="00A31137">
        <w:t>Third, we must help all Americans, from their first day on the job to save, to invest, to create wealth. From its beginning, Americans have supplemented Social Security with private pensions and savings. Yet, today, millions of people retire with little to live on other than Social Security. Americans living longer than ever simply must save more than ever.</w:t>
      </w:r>
    </w:p>
    <w:p w:rsidR="00A31137" w:rsidRPr="00A31137" w:rsidRDefault="00A31137" w:rsidP="00A31137">
      <w:r w:rsidRPr="00A31137">
        <w:t>Therefore, in addition to saving Social Security and Medicare, I propose a new pension initiative for retirement security in the 21st century. I propose that we use a little over 11 percent of the surplus to establish universal savings accounts—USA accounts—to give all Americans the means to save. With these new accounts Americans can invest as they choose and receive funds to match a portion of their savings, with extra help for those least able to save. USA accounts will help all Americans to share in our Nation's wealth and to enjoy a more secure retirement. I ask you to support them.</w:t>
      </w:r>
    </w:p>
    <w:p w:rsidR="00A31137" w:rsidRPr="00A31137" w:rsidRDefault="00A31137" w:rsidP="00A31137">
      <w:r w:rsidRPr="00A31137">
        <w:t>Fourth, we must invest in long-term care. I propose a tax credit of $1,000 for the aged, ailing or disabled, and the families who care for them. Long-term care will become a bigger and bigger challenge with the aging of America, and we must do more to help our families deal with it.</w:t>
      </w:r>
    </w:p>
    <w:p w:rsidR="00A31137" w:rsidRPr="00A31137" w:rsidRDefault="00A31137" w:rsidP="00A31137">
      <w:r w:rsidRPr="00A31137">
        <w:t>I was born in 1946, the first year of the baby boom. I can tell you that one of the greatest concerns of our generation is our absolute determination not to let our growing [p.80]  old place an intolerable burden on our children and their ability to raise our grandchildren. Our economic success and our fiscal discipline now give us an opportunity to lift that burden from their shoulders, and we should take it.</w:t>
      </w:r>
    </w:p>
    <w:p w:rsidR="00A31137" w:rsidRPr="00A31137" w:rsidRDefault="00A31137" w:rsidP="00A31137">
      <w:r w:rsidRPr="00A31137">
        <w:t>Saving Social Security, Medicare, creating USA accounts: This is the right way to use the surplus. If we do so—if we do so—we will still have resources to meet critical needs in education and defense. And I want to point out that this proposal is fiscally sound. Listen to this: If we set aside 60 percent of the surplus for Social Security and 16 percent for Medicare, over the next 15 years, that saving will achieve the lowest level of publicly held debt since right before World War I, in 1917.</w:t>
      </w:r>
    </w:p>
    <w:p w:rsidR="00A31137" w:rsidRPr="00A31137" w:rsidRDefault="00A31137" w:rsidP="00A31137">
      <w:r w:rsidRPr="00A31137">
        <w:t>So with these four measures—saving Social Security, strengthening Medicare, establishing the USA accounts, supporting long-term care—we can begin to meet our generation's historic responsibility to establish true security for 21st century seniors.</w:t>
      </w:r>
    </w:p>
    <w:p w:rsidR="00A31137" w:rsidRPr="00A31137" w:rsidRDefault="00A31137" w:rsidP="00A31137">
      <w:r w:rsidRPr="00A31137">
        <w:t>Now, there are more children from more diverse backgrounds in our public schools than at any time in our history. Their education must provide the knowledge and nurture the creativity that will allow our entire Nation to thrive in the new economy.</w:t>
      </w:r>
    </w:p>
    <w:p w:rsidR="00A31137" w:rsidRPr="00A31137" w:rsidRDefault="00A31137" w:rsidP="00A31137">
      <w:r w:rsidRPr="00A31137">
        <w:t>Today we can say something we couldn't say 6 years ago: With tax credits and more affordable student loans, with more work-study grants and more Pell grants, with education IRA's and the new HOPE scholarship tax cut that more than 5 million Americans will receive this year, we have finally opened the doors of college to all Americans.</w:t>
      </w:r>
    </w:p>
    <w:p w:rsidR="00A31137" w:rsidRPr="00A31137" w:rsidRDefault="00A31137" w:rsidP="00A31137">
      <w:r w:rsidRPr="00A31137">
        <w:t>With our support, nearly every State has set higher academic standards for public schools, and a voluntary national test is being developed to measure the progress of our students. With over $1 billion in discounts available this year, we are well on our way to our goal of connecting every classroom and library to the Internet.</w:t>
      </w:r>
    </w:p>
    <w:p w:rsidR="00A31137" w:rsidRPr="00A31137" w:rsidRDefault="00A31137" w:rsidP="00A31137">
      <w:r w:rsidRPr="00A31137">
        <w:t>Last fall, you passed our proposal to start hiring 100,000 new teachers to reduce class size in the early grades. Now I ask you to finish the job.</w:t>
      </w:r>
    </w:p>
    <w:p w:rsidR="00A31137" w:rsidRPr="00A31137" w:rsidRDefault="00A31137" w:rsidP="00A31137">
      <w:r w:rsidRPr="00A31137">
        <w:t>You know, our children are doing better. SAT scores are up; math scores have risen in nearly all grades. But there's a problem. While our fourth graders outperform their peers in other countries in math and science, our eighth graders are around average, and our twelfth graders rank near the bottom. We must do better. Now, each year the National Government invests more than $15 billion in our public schools. I believe we must change the way we invest that money, to support what works and to stop supporting what does not work.</w:t>
      </w:r>
    </w:p>
    <w:p w:rsidR="00A31137" w:rsidRPr="00A31137" w:rsidRDefault="00A31137" w:rsidP="00A31137">
      <w:r w:rsidRPr="00A31137">
        <w:t>First, later this year, I will send to Congress a plan that, for the first time, holds States and school districts accountable for progress and rewards them for results. My "Education Accountability Act" will require every school district receiving Federal help to take the following five steps.</w:t>
      </w:r>
    </w:p>
    <w:p w:rsidR="00A31137" w:rsidRPr="00A31137" w:rsidRDefault="00A31137" w:rsidP="00A31137">
      <w:r w:rsidRPr="00A31137">
        <w:t>First, all schools must end social promotion. No child should graduate from high school with a diploma he or she can't read. We do our children no favors when we allow them to pass from grade to grade without mastering the material. But we can't just hold students back because the system fails them. So my balanced budget triples the funding for summer school and after-school programs, to keep a million children learning.</w:t>
      </w:r>
    </w:p>
    <w:p w:rsidR="00A31137" w:rsidRPr="00A31137" w:rsidRDefault="00A31137" w:rsidP="00A31137">
      <w:r w:rsidRPr="00A31137">
        <w:t>Now, if you doubt this will work, just look at Chicago, which ended social promotion and made summer school mandatory for those who don't master the basics. Math and reading scores are up 3 years running with some of the biggest gains in some of the poorest neighborhoods. It will work, and we should do it.</w:t>
      </w:r>
    </w:p>
    <w:p w:rsidR="00A31137" w:rsidRPr="00A31137" w:rsidRDefault="00A31137" w:rsidP="00A31137">
      <w:r w:rsidRPr="00A31137">
        <w:t>Second, all States and school districts must turn around their worst-performing schools or shut them down. That's the policy established in North Carolina by Governor Jim Hunt. North Carolina made the biggest gains in test scores in the Nation last year. Our budget includes $200 million to help States turn around their own failing schools.</w:t>
      </w:r>
    </w:p>
    <w:p w:rsidR="00A31137" w:rsidRPr="00A31137" w:rsidRDefault="00A31137" w:rsidP="00A31137">
      <w:r w:rsidRPr="00A31137">
        <w:t>Third, all States and school districts must be held responsible for the quality of their teachers. The great majority of our teachers do a fine job. But in too many schools, teachers don't have college majors—or even minors—in the subjects they teach. New teachers should be required to pass performance exams, and all teachers should know the subjects they're teaching. This year's balanced [p.81]  budget contains resources to help them reach higher standards.</w:t>
      </w:r>
    </w:p>
    <w:p w:rsidR="00A31137" w:rsidRPr="00A31137" w:rsidRDefault="00A31137" w:rsidP="00A31137">
      <w:r w:rsidRPr="00A31137">
        <w:t>And to attract talented young teachers to the toughest assignments, I recommend a sixfold increase in our program for college scholarships for students who commit to teach in the inner cities and isolated rural areas and in Indian communities. Let us bring excellence in every part of America.</w:t>
      </w:r>
    </w:p>
    <w:p w:rsidR="00A31137" w:rsidRPr="00A31137" w:rsidRDefault="00A31137" w:rsidP="00A31137">
      <w:r w:rsidRPr="00A31137">
        <w:t>Fourth, we must empower parents with more information and more choices. In too many communities, it's easier to get information on the quality of the local restaurants than on the quality of the local schools. Every school district should issue report cards on every school. And parents should be given more choices in selecting their public school.</w:t>
      </w:r>
    </w:p>
    <w:p w:rsidR="00A31137" w:rsidRPr="00A31137" w:rsidRDefault="00A31137" w:rsidP="00A31137">
      <w:r w:rsidRPr="00A31137">
        <w:t>When I became President, there was just one independent public charter school in all America. With our support, on a bipartisan basis, today there are 1,100. My budget assures that early in the next century, there will be 3,000.</w:t>
      </w:r>
    </w:p>
    <w:p w:rsidR="00A31137" w:rsidRPr="00A31137" w:rsidRDefault="00A31137" w:rsidP="00A31137">
      <w:r w:rsidRPr="00A31137">
        <w:t>Fifth, to assure that our classrooms are truly places of learning and to respond to what teachers have been asking us to do for years, we should say that all States and school districts must both adopt and implement sensible discipline policies.</w:t>
      </w:r>
    </w:p>
    <w:p w:rsidR="00A31137" w:rsidRPr="00A31137" w:rsidRDefault="00A31137" w:rsidP="00A31137">
      <w:r w:rsidRPr="00A31137">
        <w:t>Now, let's do one more thing for our children. Today, too many schools are so old they're falling apart, or so over-crowded students are learning in trailers. Last fall, Congress missed the opportunity to change that. This year, with 53 million children in our schools, Congress must not miss that opportunity again. I ask you to help our communities build or modernize 5,000 schools.</w:t>
      </w:r>
    </w:p>
    <w:p w:rsidR="00A31137" w:rsidRPr="00A31137" w:rsidRDefault="00A31137" w:rsidP="00A31137">
      <w:r w:rsidRPr="00A31137">
        <w:t>If we do these things—end social promotion; turn around failing schools; build modern ones; support qualified teachers; promote innovation, competition and discipline—then we will begin to meet our generation's historic responsibility to create 21st century schools.</w:t>
      </w:r>
    </w:p>
    <w:p w:rsidR="00A31137" w:rsidRPr="00A31137" w:rsidRDefault="00A31137" w:rsidP="00A31137">
      <w:r w:rsidRPr="00A31137">
        <w:t>Now, we also have to do more to support the millions of parents who give their all every day at home and at work. The most basic tool of all is a decent income. So let's raise the minimum wage by a dollar an hour over the next 2 years. And let's make sure that women and men get equal pay for equal work by strengthening enforcement of equal pay laws.</w:t>
      </w:r>
    </w:p>
    <w:p w:rsidR="00A31137" w:rsidRPr="00A31137" w:rsidRDefault="00A31137" w:rsidP="00A31137">
      <w:r w:rsidRPr="00A31137">
        <w:t>That was encouraging, you know. [Laughter] There was more balance on the seesaw. I like that. Let's give them a hand. That's great. [Applause]</w:t>
      </w:r>
    </w:p>
    <w:p w:rsidR="00A31137" w:rsidRPr="00A31137" w:rsidRDefault="00A31137" w:rsidP="00A31137">
      <w:r w:rsidRPr="00A31137">
        <w:t>Working parents also need quality child care. So again this year, I ask Congress to support our plan for tax credits and subsidies for working families, for improved safety and quality, for expanded after-school programs. And our plan also includes a new tax credit for stay-at-home parents, too. They need support, as well.</w:t>
      </w:r>
    </w:p>
    <w:p w:rsidR="00A31137" w:rsidRPr="00A31137" w:rsidRDefault="00A31137" w:rsidP="00A31137">
      <w:r w:rsidRPr="00A31137">
        <w:t>Parents should never have to worry about choosing between their children and their work. Now, the Family and Medical Leave Act, the very first bill I signed into law, has now, since 1993, helped millions and millions of Americans to care for a newborn baby or an ailing relative without risking their jobs. I think it's time, with all the evidence that it has been so little burdensome to employers, to extend family leave to 10 million more Americans working for smaller companies. And I hope you will support it.</w:t>
      </w:r>
    </w:p>
    <w:p w:rsidR="00A31137" w:rsidRPr="00A31137" w:rsidRDefault="00A31137" w:rsidP="00A31137">
      <w:r w:rsidRPr="00A31137">
        <w:t>Finally on the matter of work, parents should never have to face discrimination in the workplace. So I want to ask Congress to prohibit companies from refusing to hire or promote workers simply because they have children. That is not right.</w:t>
      </w:r>
    </w:p>
    <w:p w:rsidR="00A31137" w:rsidRPr="00A31137" w:rsidRDefault="00A31137" w:rsidP="00A31137">
      <w:r w:rsidRPr="00A31137">
        <w:t>America's families deserve the world's best medical care. Thanks to bipartisan Federal support for medical research, we are now on the verge of new treatments to prevent or delay diseases from Parkinson's to Alzheimer's, to arthritis to cancer. But as we continue our advances in medical science, we can't let our medical system lag behind. Managed care has literally transformed medicine in America, driving down costs but threatening to drive down quality as well.</w:t>
      </w:r>
    </w:p>
    <w:p w:rsidR="00A31137" w:rsidRPr="00A31137" w:rsidRDefault="00A31137" w:rsidP="00A31137">
      <w:r w:rsidRPr="00A31137">
        <w:t>I think we ought to say to every American: You should have the right to know all your medical options, not just the cheapest. If you need a specialist, you should have a right to see one. You have a right to the nearest emergency care if you're in an accident. These are things that we ought to say. And I think we ought to say: You should have a right to keep your doctor during a period of treatment, whether it's a pregnancy or a [p.82]  chemotherapy treatment, or anything else. I believe this.</w:t>
      </w:r>
    </w:p>
    <w:p w:rsidR="00A31137" w:rsidRPr="00A31137" w:rsidRDefault="00A31137" w:rsidP="00A31137">
      <w:r w:rsidRPr="00A31137">
        <w:t>Now, I've ordered these rights to be extended to the 85 million Americans served by Medicare, Medicaid, and other Federal health programs. But only Congress can pass a Patients' Bill of Rights for all Americans. Now, last year, Congress missed that opportunity, and we must not miss that opportunity again. For the sake of our families, I ask us to join together across party lines and pass a strong, enforceable Patients' Bill of Rights.</w:t>
      </w:r>
    </w:p>
    <w:p w:rsidR="00A31137" w:rsidRPr="00A31137" w:rsidRDefault="00A31137" w:rsidP="00A31137">
      <w:r w:rsidRPr="00A31137">
        <w:t>As more of our medical records are stored electronically, the threats to all our privacy increase. Because Congress has given me the authority to act if it does not do so by August, one way or another, we can all say to the American people, "We will protect the privacy of medical records, and we will do it this year."</w:t>
      </w:r>
    </w:p>
    <w:p w:rsidR="00A31137" w:rsidRPr="00A31137" w:rsidRDefault="00A31137" w:rsidP="00A31137">
      <w:r w:rsidRPr="00A31137">
        <w:t>Now 2 years ago, the Congress extended health coverage to up to 5 million children. Now we should go beyond that. We should make it easier for small businesses to offer health insurance. We should give people between the ages of 55 and 65 who lose their health insurance the chance to buy into Medicare. And we should continue to ensure access to family planning.</w:t>
      </w:r>
    </w:p>
    <w:p w:rsidR="00A31137" w:rsidRPr="00A31137" w:rsidRDefault="00A31137" w:rsidP="00A31137">
      <w:r w:rsidRPr="00A31137">
        <w:t>No one should have to choose between keeping health care and taking a job. And therefore, I especially ask you tonight to join hands to pass the landmark bipartisan legislation, proposed by Senators Kennedy and Jeffords, Roth, and Moynihan to allow people with disabilities to keep their health insurance when they go to work.</w:t>
      </w:r>
    </w:p>
    <w:p w:rsidR="00A31137" w:rsidRPr="00A31137" w:rsidRDefault="00A31137" w:rsidP="00A31137">
      <w:r w:rsidRPr="00A31137">
        <w:t>We need to enable our public hospitals, our community, our university health centers to provide basic, affordable care for all the millions of working families who don't have any insurance. They do a lot of that today, but much more can be done. And my balanced budget makes a good down payment toward that goal. I hope you will think about them and support that provision.</w:t>
      </w:r>
    </w:p>
    <w:p w:rsidR="00A31137" w:rsidRPr="00A31137" w:rsidRDefault="00A31137" w:rsidP="00A31137">
      <w:r w:rsidRPr="00A31137">
        <w:t>Let me say we must step up our efforts to treat and prevent mental illness. No American should ever be afraid—ever—to address this disease. This year, we will host a White House Conference on Mental Health. With sensitivity, commitment, and passion, Tipper Gore is leading our efforts here, and I'd like to thank her for what she's done. Thank you. [Applause] Thank you.</w:t>
      </w:r>
    </w:p>
    <w:p w:rsidR="00A31137" w:rsidRPr="00A31137" w:rsidRDefault="00A31137" w:rsidP="00A31137">
      <w:r w:rsidRPr="00A31137">
        <w:t>As everyone knows, our children are targets of a massive media campaign to hook them on cigarettes. Now, I ask this Congress to resist the tobacco lobby, to reaffirm the FDA's authority to protect our children from tobacco, and to hold tobacco companies accountable while protecting tobacco farmers.</w:t>
      </w:r>
    </w:p>
    <w:p w:rsidR="00A31137" w:rsidRPr="00A31137" w:rsidRDefault="00A31137" w:rsidP="00A31137">
      <w:r w:rsidRPr="00A31137">
        <w:t>Smoking has cost taxpayers hundreds of billions of dollars under Medicare and other programs. You know, the States have been right about this: Taxpayers shouldn't pay for the cost of lung cancer, emphysema, and other smoking-related illnesses; the tobacco companies should. So tonight I announce that the Justice Department is preparing a litigation plan to take the tobacco companies to court and, with the funds we recover, to strengthen Medicare.</w:t>
      </w:r>
    </w:p>
    <w:p w:rsidR="00A31137" w:rsidRPr="00A31137" w:rsidRDefault="00A31137" w:rsidP="00A31137">
      <w:r w:rsidRPr="00A31137">
        <w:t>Now, if we act in these areas—minimum wage, family leave, child care, health care, the safety of our children—then we will begin to meet our generation's historic responsibilities to strengthen our families for the 21st century.</w:t>
      </w:r>
    </w:p>
    <w:p w:rsidR="00A31137" w:rsidRPr="00A31137" w:rsidRDefault="00A31137" w:rsidP="00A31137">
      <w:r w:rsidRPr="00A31137">
        <w:t>Today, America is the most dynamic, competitive, job-creating economy in history. But we can do even better in building a 21st century economy that embraces all Americans.</w:t>
      </w:r>
    </w:p>
    <w:p w:rsidR="00A31137" w:rsidRPr="00A31137" w:rsidRDefault="00A31137" w:rsidP="00A31137">
      <w:r w:rsidRPr="00A31137">
        <w:t>Today's income gap is largely a skills gap. Last year, the Congress passed a law enabling workers to get a skills grant to choose the training they need. And I applaud all of you here who were part of that. This year, I recommend a 5-year commitment to the new system so that we can provide, over the next 5 years, appropriate training opportunities for all Americans who lose their jobs and expand rapid response teams to help all towns which have been really hurt when businesses close. I hope you will support this.</w:t>
      </w:r>
    </w:p>
    <w:p w:rsidR="00A31137" w:rsidRPr="00A31137" w:rsidRDefault="00A31137" w:rsidP="00A31137">
      <w:r w:rsidRPr="00A31137">
        <w:t>Also, I ask your support for a dramatic increase in Federal support for adult literacy, to mount a national campaign aimed at helping the millions and millions of working people who still read at less than a fifth grade level. We need to do this.</w:t>
      </w:r>
    </w:p>
    <w:p w:rsidR="00A31137" w:rsidRPr="00A31137" w:rsidRDefault="00A31137" w:rsidP="00A31137">
      <w:r w:rsidRPr="00A31137">
        <w:t>Here's some good news: In the past 6 years, we have cut the welfare rolls nearly in half. You can all be proud of that. Two years ago, from this podium, I asked five companies to lead a national effort to hire [p.83]  people off welfare. Tonight, our Welfare to Work Partnership includes 10,000 companies who have hired hundreds of thousands of people. And our balanced budget will help another 200,000 people move to the dignity and pride of work. I hope you will support it.</w:t>
      </w:r>
    </w:p>
    <w:p w:rsidR="00A31137" w:rsidRPr="00A31137" w:rsidRDefault="00A31137" w:rsidP="00A31137">
      <w:r w:rsidRPr="00A31137">
        <w:t>We must do more to bring the spark of private enterprise to every corner of America, to build a bridge from Wall Street to Appalachia to the Mississippi Delta to our Native American communities, with more support for community development banks, for empowerment zones, for 100,000 more vouchers for affordable housing. And I ask Congress to support our bold new plan to help businesses raise up to $15 billion in private sector capital to bring jobs and opportunities to our inner cities and rural areas with tax credits, loan guarantees, including the new "American Private Investment Company," modeled on the Overseas Private Investment Company.</w:t>
      </w:r>
    </w:p>
    <w:p w:rsidR="00A31137" w:rsidRPr="00A31137" w:rsidRDefault="00A31137" w:rsidP="00A31137">
      <w:r w:rsidRPr="00A31137">
        <w:t>For years and years and years, we've had this OPIC, this Overseas Private Investment Corporation, because we knew we had untapped markets overseas. But our greatest untapped markets are not overseas; they are right here at home. And we should go after them.</w:t>
      </w:r>
    </w:p>
    <w:p w:rsidR="00A31137" w:rsidRPr="00A31137" w:rsidRDefault="00A31137" w:rsidP="00A31137">
      <w:r w:rsidRPr="00A31137">
        <w:t>We must work hard to help bring prosperity back to the family farm. As this Congress knows very well, dropping prices and the loss of foreign markets have devastated too many family farms. Last year, the Congress provided substantial assistance to help stave off a disaster in American agriculture. And I am ready to work with lawmakers of both parties to create a farm safety net that will include crop insurance reform and farm income assistance. I ask you to join with me and do this. This should not be a political issue. Everyone knows what an economic problem is going on out there in rural America today, and we need an appropriate means to address it.</w:t>
      </w:r>
    </w:p>
    <w:p w:rsidR="00A31137" w:rsidRPr="00A31137" w:rsidRDefault="00A31137" w:rsidP="00A31137">
      <w:r w:rsidRPr="00A31137">
        <w:t>We must strengthen our lead in technology. It was Government investment that led to the creation of the Internet. I propose a 28-percent increase in long-term computing research. We also must be ready for the 21st century from its very first moment, by solving the so-called Y2K computer problem.</w:t>
      </w:r>
    </w:p>
    <w:p w:rsidR="00A31137" w:rsidRPr="00A31137" w:rsidRDefault="00A31137" w:rsidP="00A31137">
      <w:r w:rsidRPr="00A31137">
        <w:t>We had one Member of Congress stand up and applaud. [Laughter] And we may have about that ratio out there applauding at home, in front of their television sets. But remember, this is a big, big problem. And we've been working hard on it. Already, we've made sure that the Social Security checks will come on time. But I want all the folks at home listening to this to know that we need every State and local government, every business, large and small, to work with us to make sure that this Y2K computer bug will be remembered as the last headache of the 20th century, not the first crisis of the 21st.</w:t>
      </w:r>
    </w:p>
    <w:p w:rsidR="00A31137" w:rsidRPr="00A31137" w:rsidRDefault="00A31137" w:rsidP="00A31137">
      <w:r w:rsidRPr="00A31137">
        <w:t>For our own prosperity, we must support economic growth abroad. You know, until recently, a third of our economic growth came from exports. But over the past year and a half, financial turmoil overseas has put that growth at risk. Today, much of the world is in recession, with Asia hit especially hard. This is the most serious financial crisis in half a century. To meet it, the United States and other nations have reduced interest rates and strengthened the International Monetary Fund. And while the turmoil is not over, we have worked very hard with other nations to contain it.</w:t>
      </w:r>
    </w:p>
    <w:p w:rsidR="00A31137" w:rsidRPr="00A31137" w:rsidRDefault="00A31137" w:rsidP="00A31137">
      <w:r w:rsidRPr="00A31137">
        <w:t>At the same time, we have to continue to work on the long-term project, building a global financial system for the 21st century that promotes prosperity and tames the cycle of boom and bust that has engulfed so much of Asia. This June I will meet with other world leaders to advance this historic purpose, and I ask all of you to support our endeavors.</w:t>
      </w:r>
    </w:p>
    <w:p w:rsidR="00A31137" w:rsidRPr="00A31137" w:rsidRDefault="00A31137" w:rsidP="00A31137">
      <w:r w:rsidRPr="00A31137">
        <w:t>I also ask you to support creating a freer and fairer trading system for 21st century America. I'd like to say something really serious to everyone in this Chamber in both parties. I think trade has divided us, and divided Americans outside this Chamber, for too long. Somehow we have to find a common ground on which business and workers and environmentalists and farmers and Government can stand together. I believe these are the things we ought to all agree on. So let me try.</w:t>
      </w:r>
    </w:p>
    <w:p w:rsidR="00A31137" w:rsidRPr="00A31137" w:rsidRDefault="00A31137" w:rsidP="00A31137">
      <w:r w:rsidRPr="00A31137">
        <w:t>First, we ought to tear down barriers, open markets, and expand trade. But at the same time, we must ensure that ordinary citizens [p.84]  in all countries actually benefit from trade, a trade that promotes the dignity of work and the rights of workers and protects the environment. We must insist that international trade organizations be more open to public scrutiny, instead of mysterious, secret things subject to wild criticism.</w:t>
      </w:r>
    </w:p>
    <w:p w:rsidR="00A31137" w:rsidRPr="00A31137" w:rsidRDefault="00A31137" w:rsidP="00A31137">
      <w:r w:rsidRPr="00A31137">
        <w:t>When you come right down to it, now that the world economy is becoming more and more integrated, we have to do in the world what we spent the better part of this century doing here at home. We have got to put a human face on the global economy.</w:t>
      </w:r>
    </w:p>
    <w:p w:rsidR="00A31137" w:rsidRPr="00A31137" w:rsidRDefault="00A31137" w:rsidP="00A31137">
      <w:r w:rsidRPr="00A31137">
        <w:t>We must enforce our trade laws when imports unlawfully flood our Nation. I have already informed the Government of Japan that if that nation's sudden surge of steel imports into our country is not reversed, America will respond.</w:t>
      </w:r>
    </w:p>
    <w:p w:rsidR="00A31137" w:rsidRPr="00A31137" w:rsidRDefault="00A31137" w:rsidP="00A31137">
      <w:r w:rsidRPr="00A31137">
        <w:t>We must help all manufacturers hit hard by the present crisis with loan guarantees and other incentives to increase American exports by nearly $2 billion. I'd like to believe we can achieve a new consensus on trade, based on these principles. And I ask the Congress again to join me in this common approach and to give the President the trade authority long used and now overdue and necessary to advance our prosperity in the 21st century.</w:t>
      </w:r>
    </w:p>
    <w:p w:rsidR="00A31137" w:rsidRPr="00A31137" w:rsidRDefault="00A31137" w:rsidP="00A31137">
      <w:r w:rsidRPr="00A31137">
        <w:t>Tonight I issue a call to the nations of the world to join the United States in a new round of global trade negotiations to expand exports of services, manufactures, and farm products. Tonight I say we will work with the International Labor Organization on a new initiative to raise labor standards around the world. And this year, we will lead the international community to conclude a treaty to ban abusive child labor everywhere in the world.</w:t>
      </w:r>
    </w:p>
    <w:p w:rsidR="00A31137" w:rsidRPr="00A31137" w:rsidRDefault="00A31137" w:rsidP="00A31137">
      <w:r w:rsidRPr="00A31137">
        <w:t>If we do these things—invest in our people, our communities, our technology, and lead in the global economy—then we will begin to meet our historic responsibility to build a 21st century prosperity for America.</w:t>
      </w:r>
    </w:p>
    <w:p w:rsidR="00A31137" w:rsidRPr="00A31137" w:rsidRDefault="00A31137" w:rsidP="00A31137">
      <w:r w:rsidRPr="00A31137">
        <w:t>You know, no nation in history has had the opportunity and the responsibility we now have to shape a world that is more peaceful, more secure, more free. All Americans can be proud that our leadership helped to bring peace in Northern Ireland. All Americans can be proud that our leadership has put Bosnia on the path to peace. And with our NATO allies, we are pressing the Serbian Government to stop its brutal repression in Kosovo, to bring those responsible to justice, and to give the people of Kosovo the self-government they deserve.</w:t>
      </w:r>
    </w:p>
    <w:p w:rsidR="00A31137" w:rsidRPr="00A31137" w:rsidRDefault="00A31137" w:rsidP="00A31137">
      <w:r w:rsidRPr="00A31137">
        <w:t>All Americans can be proud that our leadership renewed hope for lasting peace in the Middle East. Some of you were with me last December as we watched the Palestinian National Council completely renounce its call for the destruction of Israel. Now I ask Congress to provide resources so that all parties can implement the Wye agreement to protect Israel's security, to stimulate the Palestinian economy, to support our friends in Jordan. We must not—we dare not—let them down. I hope you will help.</w:t>
      </w:r>
    </w:p>
    <w:p w:rsidR="00A31137" w:rsidRPr="00A31137" w:rsidRDefault="00A31137" w:rsidP="00A31137">
      <w:r w:rsidRPr="00A31137">
        <w:t>As we work for peace, we must also meet threats to our Nation's security, including increased dangers from outlaw nations and terrorism. We will defend our security wherever we are threatened, as we did this summer when we struck at Usama bin Ladin's network of terror. The bombing of our Embassies in Kenya and Tanzania reminds us again of the risks faced every day by those who represent America to the world. So let's give them the support they need, the safest possible workplaces, and the resources they must have so America can continue to lead.</w:t>
      </w:r>
    </w:p>
    <w:p w:rsidR="00A31137" w:rsidRPr="00A31137" w:rsidRDefault="00A31137" w:rsidP="00A31137">
      <w:r w:rsidRPr="00A31137">
        <w:t>We must work to keep terrorists from disrupting computer networks. We must work to prepare local communities for biological and chemical emergenices, to support research into vaccines and treatments.</w:t>
      </w:r>
    </w:p>
    <w:p w:rsidR="00A31137" w:rsidRPr="00A31137" w:rsidRDefault="00A31137" w:rsidP="00A31137">
      <w:r w:rsidRPr="00A31137">
        <w:t>We must increase our efforts to restrain the spread of nuclear weapons and missiles, from Korea to India and Pakistan. We must expand our work with Russia, Ukraine, and other former Soviet nations to safeguard nuclear materials and technology so they never fall into the wrong hands. Our balanced budget will increase funding for these critical efforts by almost two-thirds over the next 5 years.</w:t>
      </w:r>
    </w:p>
    <w:p w:rsidR="00A31137" w:rsidRPr="00A31137" w:rsidRDefault="00A31137" w:rsidP="00A31137">
      <w:r w:rsidRPr="00A31137">
        <w:t>With Russia, we must continue to reduce our nuclear arsenals. The START II treaty and the framework we have already agreed to for START III could cut them by 80 percent from their cold war height.</w:t>
      </w:r>
    </w:p>
    <w:p w:rsidR="00A31137" w:rsidRPr="00A31137" w:rsidRDefault="00A31137" w:rsidP="00A31137">
      <w:r w:rsidRPr="00A31137">
        <w:t>It's been 2 years since I signed the Comprehensive Test Ban Treaty. If we don't do [p.85]  the right thing, other nations won't either. I ask the Senate to take this vital step: Approve the treaty now, to make it harder for other nations to develop nuclear arms, and to make sure we can end nuclear testing forever.</w:t>
      </w:r>
    </w:p>
    <w:p w:rsidR="00A31137" w:rsidRPr="00A31137" w:rsidRDefault="00A31137" w:rsidP="00A31137">
      <w:r w:rsidRPr="00A31137">
        <w:t>For nearly a decade, Iraq has defied its obligations to destroy its weapons of terror and the missiles to deliver them. America will continue to contain Saddam, and we will work for the day when Iraq has a Government worthy of its people.</w:t>
      </w:r>
    </w:p>
    <w:p w:rsidR="00A31137" w:rsidRPr="00A31137" w:rsidRDefault="00A31137" w:rsidP="00A31137">
      <w:r w:rsidRPr="00A31137">
        <w:t>Now, last month, in our action over Iraq, our troops were superb. Their mission was so flawlessly executed that we risk taking for granted the bravery and the skill it required. Captain Jeff Taliaferro, a 10-year veteran of the Air Force, flew a B-1B bomber over Iraq as we attacked Saddam's war machine. He's here with us tonight. I'd like to ask you to honor him and all the 33,000 men and women of Operation Desert Fox.</w:t>
      </w:r>
    </w:p>
    <w:p w:rsidR="00A31137" w:rsidRPr="00A31137" w:rsidRDefault="00A31137" w:rsidP="00A31137">
      <w:r w:rsidRPr="00A31137">
        <w:t>Captain Taliaferro. [Applause]</w:t>
      </w:r>
    </w:p>
    <w:p w:rsidR="00A31137" w:rsidRPr="00A31137" w:rsidRDefault="00A31137" w:rsidP="00A31137">
      <w:r w:rsidRPr="00A31137">
        <w:t>It is time to reverse the decline in defense spending that began in 1985. Since April, together we have added nearly $6 billion to maintain our military readiness. My balanced budget calls for a sustained increase over the next 6 years for readiness, for modernization, and for pay and benefits for our troops and their families.</w:t>
      </w:r>
    </w:p>
    <w:p w:rsidR="00A31137" w:rsidRPr="00A31137" w:rsidRDefault="00A31137" w:rsidP="00A31137">
      <w:r w:rsidRPr="00A31137">
        <w:t>We are the heirs of a legacy of bravery represented in every community in America by millions of our veterans. America's defenders today still stand ready at a moment's notice to go where comforts are few and dangers are many, to do what needs to be done as no one else can. They always come through for America. We must come through for them.</w:t>
      </w:r>
    </w:p>
    <w:p w:rsidR="00A31137" w:rsidRPr="00A31137" w:rsidRDefault="00A31137" w:rsidP="00A31137">
      <w:r w:rsidRPr="00A31137">
        <w:t>The new century demands new partnerships for peace and security. The United Nations plays a crucial role, with allies sharing burdens America might otherwise bear alone. America needs a strong and effective U.N. I want to work with this new Congress to pay our dues and our debts.</w:t>
      </w:r>
    </w:p>
    <w:p w:rsidR="00A31137" w:rsidRPr="00A31137" w:rsidRDefault="00A31137" w:rsidP="00A31137">
      <w:r w:rsidRPr="00A31137">
        <w:t>We must continue to support security and stability in Europe and Asia, expanding NATO and defining its new missions, maintaining our alliance with Japan, with Korea, with our other Asian allies, and engaging China.</w:t>
      </w:r>
    </w:p>
    <w:p w:rsidR="00A31137" w:rsidRPr="00A31137" w:rsidRDefault="00A31137" w:rsidP="00A31137">
      <w:r w:rsidRPr="00A31137">
        <w:t>In China, last year, I said to the leaders and the people what I'd like to say again tonight: Stability can no longer be bought at the expense of liberty. But I'd also like to say again to the American people: It's important not to isolate China. The more we bring China into the world, the more the world will bring change and freedom to China.</w:t>
      </w:r>
    </w:p>
    <w:p w:rsidR="00A31137" w:rsidRPr="00A31137" w:rsidRDefault="00A31137" w:rsidP="00A31137">
      <w:r w:rsidRPr="00A31137">
        <w:t>Last spring, with some of you, I traveled to Africa, where I saw democracy and reform rising but still held back by violence and disease. We must fortify African democracy and peace by launching Radio Democracy for Africa, supporting the transition to democracy now beginning to take place in Nigeria, and passing the "African Trade and Development Act."</w:t>
      </w:r>
    </w:p>
    <w:p w:rsidR="00A31137" w:rsidRPr="00A31137" w:rsidRDefault="00A31137" w:rsidP="00A31137">
      <w:r w:rsidRPr="00A31137">
        <w:t>We must continue to deepen our ties to the Americas and the Caribbean, our common work to educate children, fight drugs, strengthen democracy and increase trade. In this hemisphere, every government but one is freely chosen by its people. We are determined that Cuba, too, will know the blessings of liberty.</w:t>
      </w:r>
    </w:p>
    <w:p w:rsidR="00A31137" w:rsidRPr="00A31137" w:rsidRDefault="00A31137" w:rsidP="00A31137">
      <w:r w:rsidRPr="00A31137">
        <w:t>The American people have opened their hearts and their arms to our Central American and Caribbean neighbors who have been so devastated by the recent hurricanes. Working with Congress, I am committed to help them rebuild. When the First Lady and Tipper Gore visited the region, they saw thousands of our troops and thousands of American volunteers. In the Dominican Republic, Hillary helped to rededicate a hospital that had been rebuilt by Dominicans and Americans, working side-by-side. With her was someone else who has been very important to the relief efforts.</w:t>
      </w:r>
    </w:p>
    <w:p w:rsidR="00A31137" w:rsidRPr="00A31137" w:rsidRDefault="00A31137" w:rsidP="00A31137">
      <w:r w:rsidRPr="00A31137">
        <w:t>You know, sports records are made and, sooner or later, they're broken. But making other people's lives better, and showing our children the true meaning of brotherhood—that lasts forever. So, for far more than baseball, Sammy Sosa, you're a hero in two countries tonight. [Applause] Thank you.</w:t>
      </w:r>
    </w:p>
    <w:p w:rsidR="00A31137" w:rsidRPr="00A31137" w:rsidRDefault="00A31137" w:rsidP="00A31137">
      <w:r w:rsidRPr="00A31137">
        <w:t xml:space="preserve">So I say to all of you, if we do these things—if we pursue peace, fight terrorism, increase our strength, renew our alliances—we will begin to meet our generation's historic responsibility to build a stronger 21st century America in a freer, more peaceful world. [p.86] </w:t>
      </w:r>
    </w:p>
    <w:p w:rsidR="00A31137" w:rsidRPr="00A31137" w:rsidRDefault="00A31137" w:rsidP="00A31137">
      <w:r w:rsidRPr="00A31137">
        <w:t>As the world has changed, so have our own communities. We must make them safer, more livable, and more united. This year, we will reach our goal of 100,000 community police officers ahead of schedule and under budget. The Brady bill has stopped a quarter million felons, fugitives, and stalkers from buying handguns. And now, the murder rate is the lowest in 30 years and the crime rate has dropped for 6 straight years.</w:t>
      </w:r>
    </w:p>
    <w:p w:rsidR="00A31137" w:rsidRPr="00A31137" w:rsidRDefault="00A31137" w:rsidP="00A31137">
      <w:r w:rsidRPr="00A31137">
        <w:t>Tonight I propose a 21st century crime bill to deploy the latest technologies and tactics to make our communities even safer. Our balanced budget will help put up to 50,000 more police on the street in the areas hardest hit by crime and then to equip them with new tools, from crime-mapping computers to digital mug shots.</w:t>
      </w:r>
    </w:p>
    <w:p w:rsidR="00A31137" w:rsidRPr="00A31137" w:rsidRDefault="00A31137" w:rsidP="00A31137">
      <w:r w:rsidRPr="00A31137">
        <w:t>We must break the deadly cycle of drugs and crime. Our budget expands support for drug testing and treatment, saying to prisoners: If you stay on drugs, you have to stay behind bars; and to those on parole: If you want to keep your freedom, you must stay free of drugs.</w:t>
      </w:r>
    </w:p>
    <w:p w:rsidR="00A31137" w:rsidRPr="00A31137" w:rsidRDefault="00A31137" w:rsidP="00A31137">
      <w:r w:rsidRPr="00A31137">
        <w:t>I ask Congress to restore the 5-day waiting period for buying a handgun and extend the Brady bill to prevent juveniles who commit violent crimes from buying a gun.</w:t>
      </w:r>
    </w:p>
    <w:p w:rsidR="00A31137" w:rsidRPr="00A31137" w:rsidRDefault="00A31137" w:rsidP="00A31137">
      <w:r w:rsidRPr="00A31137">
        <w:t>We must do more to keep our schools the safest places in our communities. Last year, every American was horrified and heartbroken by the tragic killings in Jonesboro, Paducah, Pearl, Edinboro, Springfield. We were deeply moved by the courageous parents now working to keep guns out of the hands of children and to make other efforts so that other parents don't have to live through their loss.</w:t>
      </w:r>
    </w:p>
    <w:p w:rsidR="00A31137" w:rsidRPr="00A31137" w:rsidRDefault="00A31137" w:rsidP="00A31137">
      <w:r w:rsidRPr="00A31137">
        <w:t>After she lost her daughter, Suzann Wilson of Jonesboro, Arkansas, came here to the White House with a powerful plea. She said, "Please, please, for the sake of your children, lock up your guns. Don't let what happened in Jonesboro happen in your town." It's a message she is passionately advocating every day. Suzann is here with us tonight, with the First Lady. I'd like to thank her for her courage and her commitment. [Applause] Thank you.</w:t>
      </w:r>
    </w:p>
    <w:p w:rsidR="00A31137" w:rsidRPr="00A31137" w:rsidRDefault="00A31137" w:rsidP="00A31137">
      <w:r w:rsidRPr="00A31137">
        <w:t>In memory of all the children who lost their lives to school violence, I ask you to strengthen the Safe and Drug-Free School Act, to pass legislation to require child trigger locks, to do everything possible to keep our children safe.</w:t>
      </w:r>
    </w:p>
    <w:p w:rsidR="00A31137" w:rsidRPr="00A31137" w:rsidRDefault="00A31137" w:rsidP="00A31137">
      <w:r w:rsidRPr="00A31137">
        <w:t>A century ago, President Theodore Roosevelt defined our "great, central task" as "leaving this land even a better land for our descendants than it is for us." Today, we're restoring the Florida Everglades, saving Yellowstone, preserving the red rock canyons of Utah, protecting California's redwoods and our precious coasts. But our most fateful new challenge is the threat of global warming; 1998 was the warmest year ever recorded. Last year's heat waves, floods, and storms are but a hint of what future generations may endure if we do not act now.</w:t>
      </w:r>
    </w:p>
    <w:p w:rsidR="00A31137" w:rsidRPr="00A31137" w:rsidRDefault="00A31137" w:rsidP="00A31137">
      <w:r w:rsidRPr="00A31137">
        <w:t>Tonight I propose a new clean air fund to help communities reduce greenhouse and other pollution, and tax incentives and investments to spur clean energy technology. And I want to work with Members of Congress in both parties to reward companies that take early, voluntary action to reduce greenhouse gases.</w:t>
      </w:r>
    </w:p>
    <w:p w:rsidR="00A31137" w:rsidRPr="00A31137" w:rsidRDefault="00A31137" w:rsidP="00A31137">
      <w:r w:rsidRPr="00A31137">
        <w:t>All our communities face a preservation challenge, as they grow and green space shrinks. Seven thousand acres of farmland and open space are lost every day. In response, I propose two major initiatives: First, a $1-billion livability agenda to help communities save open space, ease traffic congestion, and grow in ways that enhance every citizen's quality of life; and second, a $1-billion lands legacy initiative to preserve places of natural beauty all across America from the most remote wilderness to the nearest city park.</w:t>
      </w:r>
    </w:p>
    <w:p w:rsidR="00A31137" w:rsidRPr="00A31137" w:rsidRDefault="00A31137" w:rsidP="00A31137">
      <w:r w:rsidRPr="00A31137">
        <w:t>These are truly landmark initiatives, which could not have been developed without the visionary leadership of the Vice President, and I want to thank him very much for his commitment here.</w:t>
      </w:r>
    </w:p>
    <w:p w:rsidR="00A31137" w:rsidRPr="00A31137" w:rsidRDefault="00A31137" w:rsidP="00A31137">
      <w:r w:rsidRPr="00A31137">
        <w:t>Now, to get the most out of your community, you have to give something back. That's why we created AmeriCorps, our national service program that gives today's generation a chance to serve their communities and earn money for college.</w:t>
      </w:r>
    </w:p>
    <w:p w:rsidR="00A31137" w:rsidRPr="00A31137" w:rsidRDefault="00A31137" w:rsidP="00A31137">
      <w:r w:rsidRPr="00A31137">
        <w:t>So far, in just 4 years, 100,000 young Americans have built low-income homes with Habitat for Humanity, helped to tutor children with churches, worked with FEMA to [p.87]  ease the burden of natural disasters, and performed countless other acts of service that have made America better. I ask Congress to give more young Americans the chance to follow their lead and serve America in AmeriCorps.</w:t>
      </w:r>
    </w:p>
    <w:p w:rsidR="00A31137" w:rsidRPr="00A31137" w:rsidRDefault="00A31137" w:rsidP="00A31137">
      <w:r w:rsidRPr="00A31137">
        <w:t>Now, we must work to renew our national community as well for the 21st century. Last year the House passed the bipartisan campaign finance reform legislation sponsored by Representatives Shays and Meehan and Senators McCain and Feingold. But a partisan minority in the Senate blocked reform. So I'd like to say to the House: Pass it again, quickly. And I'd like to say to the Senate: I hope you will say yes to a stronger American democracy in the year 2000.</w:t>
      </w:r>
    </w:p>
    <w:p w:rsidR="00A31137" w:rsidRPr="00A31137" w:rsidRDefault="00A31137" w:rsidP="00A31137">
      <w:r w:rsidRPr="00A31137">
        <w:t>Since 1997, our initiative on race has sought to bridge the divides between and among our people. In its report last fall, the initiative's advisory board found that Americans really do want to bring our people together across racial lines.</w:t>
      </w:r>
    </w:p>
    <w:p w:rsidR="00A31137" w:rsidRPr="00A31137" w:rsidRDefault="00A31137" w:rsidP="00A31137">
      <w:r w:rsidRPr="00A31137">
        <w:t>We know it's been a long journey. For some, it goes back to before the beginning of our Republic; for others, back since the Civil War; for others, throughout the 20th century. But for most of us alive today, in a very real sense, this journey began 43 years ago, when a woman named Rosa Parks sat down on a bus in Alabama and wouldn't get up. She's sitting down with the First Lady tonight, and she may get up or not, as she chooses. We thank her. [Applause] Thank you, Rosa.</w:t>
      </w:r>
    </w:p>
    <w:p w:rsidR="00A31137" w:rsidRPr="00A31137" w:rsidRDefault="00A31137" w:rsidP="00A31137">
      <w:r w:rsidRPr="00A31137">
        <w:t>We know that our continuing racial problems are aggravated, as the Presidential initiative said, by opportunity gaps. The initiative I've outlined tonight will help to close them. But we know that the discrimination gap has not been fully closed either. Discrimination or violence because of race or religion, ancestry or gender, disability or sexual orientation, is wrong, and it ought to be illegal. Therefore, I ask Congress to make the "Employment Non-Discrimination Act" and the "Hate Crimes Prevention Act" the law of the land.</w:t>
      </w:r>
    </w:p>
    <w:p w:rsidR="00A31137" w:rsidRPr="00A31137" w:rsidRDefault="00A31137" w:rsidP="00A31137">
      <w:r w:rsidRPr="00A31137">
        <w:t>Now, since every person in America counts, every American ought to be counted. We need a census that uses modern scientific methods to do that.</w:t>
      </w:r>
    </w:p>
    <w:p w:rsidR="00A31137" w:rsidRPr="00A31137" w:rsidRDefault="00A31137" w:rsidP="00A31137">
      <w:r w:rsidRPr="00A31137">
        <w:t>Our new immigrants must be part of our One America. After all, they're revitalizing our cities; they're energizing our culture; they're building up our economy. We have a responsibility to make them welcome here, and they have a responsibility to enter the mainstream of American life. That means learning English and learning about our democratic system of government. There are now long waiting lines of immigrants that are trying to do just that. Therefore, our budget significantly expands our efforts to help them meet their responsibility. I hope you will support it.</w:t>
      </w:r>
    </w:p>
    <w:p w:rsidR="00A31137" w:rsidRPr="00A31137" w:rsidRDefault="00A31137" w:rsidP="00A31137">
      <w:r w:rsidRPr="00A31137">
        <w:t>Whether our ancestors came here on the Mayflower, on slave ships, whether they came to Ellis Island or LAX in Los Angeles, whether they came yesterday or walked this land a thousand years ago, our great challenge for the 21st century is to find a way to be one America. We can meet all the other challenges if we can go forward as one America.</w:t>
      </w:r>
    </w:p>
    <w:p w:rsidR="00A31137" w:rsidRPr="00A31137" w:rsidRDefault="00A31137" w:rsidP="00A31137">
      <w:r w:rsidRPr="00A31137">
        <w:t>You know, barely more than 300 days from now, we will cross that bridge into the new millennium. This is a moment, as the First Lady has said, "to honor the past and imagine the future."</w:t>
      </w:r>
    </w:p>
    <w:p w:rsidR="00A31137" w:rsidRPr="00A31137" w:rsidRDefault="00A31137" w:rsidP="00A31137">
      <w:r w:rsidRPr="00A31137">
        <w:t>I'd like to take just a minute to honor her. For leading our Millennium Project, for all she's done for our children, for all she has done in her historic role to serve our Nation and our best ideals at home and abroad, I honor her. [Applause]</w:t>
      </w:r>
    </w:p>
    <w:p w:rsidR="00A31137" w:rsidRPr="00A31137" w:rsidRDefault="00A31137" w:rsidP="00A31137">
      <w:r w:rsidRPr="00A31137">
        <w:t>Last year, I called on Congress and every citizen to mark the millennium by saving America's treasures. Hillary has traveled all across the country to inspire recognition and support for saving places like Thomas Edison's invention factory or Harriet Tubman's home. Now we have to preserve our treasures in every community. And tonight, before I close, I want to invite every town, every city, every community to become a nationally recognized "millennium community," by launching projects that save our history, promote our arts and humanities, prepare our children for the 21st century.</w:t>
      </w:r>
    </w:p>
    <w:p w:rsidR="00A31137" w:rsidRPr="00A31137" w:rsidRDefault="00A31137" w:rsidP="00A31137">
      <w:r w:rsidRPr="00A31137">
        <w:t>Already, the response has been remarkable. And I want to say a special word of thanks to our private sector partners and to Members in Congress of both parties for their support. Just one example: Because of [p.88]  you, the Star-Spangled Banner will be preserved for the ages. In ways large and small, as we look to the millennium we are keeping alive what George Washington called "the sacred fire of liberty."</w:t>
      </w:r>
    </w:p>
    <w:p w:rsidR="00A31137" w:rsidRPr="00A31137" w:rsidRDefault="00A31137" w:rsidP="00A31137">
      <w:r w:rsidRPr="00A31137">
        <w:t>Six years ago, I came to office in a time of doubt for America, with our economy troubled, our deficit high, our people divided. Some even wondered whether our best days were behind us. But across this country, in a thousand neighborhoods, I have seen, even amidst the pain and uncertainty of recession, the real heart and character of America. I knew then that we Americans could renew this country.</w:t>
      </w:r>
    </w:p>
    <w:p w:rsidR="00A31137" w:rsidRPr="00A31137" w:rsidRDefault="00A31137" w:rsidP="00A31137">
      <w:r w:rsidRPr="00A31137">
        <w:t>Tonight, as I deliver the last State of the Union Address of the 20th century, no one anywhere in the world can doubt the enduring resolve and boundless capacity of the American people to work toward that "more perfect Union" of our Founders' dream.</w:t>
      </w:r>
    </w:p>
    <w:p w:rsidR="00A31137" w:rsidRPr="00A31137" w:rsidRDefault="00A31137" w:rsidP="00A31137">
      <w:r w:rsidRPr="00A31137">
        <w:t>We're now at the end of a century when generation after generation of Americans answered the call to greatness, overcoming depression, lifting up the disposed, bringing down barriers to racial prejudice, building the largest middle class in history, winning two World Wars and the long twilight struggle of the cold war. We must all be profoundly grateful for the magnificent achievement of our forebears in this century. Yet, perhaps, in the daily press of events, in the clash of controversy, we don't see our own time for what it truly is, a new dawn for America.</w:t>
      </w:r>
    </w:p>
    <w:p w:rsidR="00A31137" w:rsidRPr="00A31137" w:rsidRDefault="00A31137" w:rsidP="00A31137">
      <w:r w:rsidRPr="00A31137">
        <w:t>A hundred years from tonight, another American President will stand in this place and report on the state of the Union. He—or she—he or she will look back on a 21st century shaped in so many ways by the decisions we make here and now. So let it be said of us then that we were thinking not only of our time but of their time, that we reached as high as our ideals, that we put aside our divisions and found a new hour of healing and hopefulness, that we joined together to serve and strengthen the land we love.</w:t>
      </w:r>
      <w:r w:rsidRPr="00A31137">
        <w:cr/>
      </w:r>
    </w:p>
    <w:p w:rsidR="00A31137" w:rsidRPr="00A31137" w:rsidRDefault="00A31137" w:rsidP="00A31137">
      <w:r w:rsidRPr="00A31137">
        <w:t>My fellow Americans, this is our moment. Let us lift our eyes as one Nation, and from the mountaintop of this American Century, look ahead to the next one, asking God's blessing on our endeavors and on our beloved country.</w:t>
      </w:r>
    </w:p>
    <w:p w:rsidR="00A31137" w:rsidRPr="00A31137" w:rsidRDefault="00A31137" w:rsidP="00A31137">
      <w:r w:rsidRPr="00A31137">
        <w:t>Thank you, and good evening.</w:t>
      </w:r>
    </w:p>
    <w:p w:rsidR="00A31137" w:rsidRPr="00A31137" w:rsidRDefault="00A31137" w:rsidP="00A31137">
      <w:r w:rsidRPr="00A31137">
        <w:t>Note: The President spoke at 9:10 p.m. in the House Chamber of the Capitol. In his remarks, he referred to Jean Hastert, wife of Speaker J. Dennis Hastert; Evelyn M. (Lyn) Gibson, widow of Detective John M. Gibson, and Wenling Chestnut, widow of Officer Jacob J. Chestnut, whose husbands died as a result of gunshot wounds suffered during an attack at the Capitol on July 24, 1998; terrorist Usama bin Ladin, who allegedly sponsored bombing attacks on the U.S. Embassies in Kenya and Tanzania on August 7, 1998; President Saddam Hussein of Iraq; Capt. Jeffrey B. Taliaferro, USAF, Chief, Wing Weapons, 28th Operations Support Squadron, 28th Bomb Wing; and Sammy Sosa, National League Most Valuable Player in 1998.</w:t>
      </w:r>
    </w:p>
    <w:p w:rsidR="00A31137" w:rsidRPr="00A31137" w:rsidRDefault="00A31137" w:rsidP="00A31137">
      <w:r w:rsidRPr="00A31137">
        <w:t>Clinton's Radio Address to the People of Kosovo, May 27, 1999</w:t>
      </w:r>
    </w:p>
    <w:p w:rsidR="00A31137" w:rsidRPr="00A31137" w:rsidRDefault="00A31137" w:rsidP="00A31137">
      <w:r w:rsidRPr="00A31137">
        <w:t>Title:</w:t>
      </w:r>
      <w:r w:rsidRPr="00A31137">
        <w:tab/>
        <w:t>Clinton's Radio Address to the People of Kosovo</w:t>
      </w:r>
    </w:p>
    <w:p w:rsidR="00A31137" w:rsidRPr="00A31137" w:rsidRDefault="00A31137" w:rsidP="00A31137">
      <w:r w:rsidRPr="00A31137">
        <w:t>Author:</w:t>
      </w:r>
      <w:r w:rsidRPr="00A31137">
        <w:tab/>
        <w:t>William J. Clinton</w:t>
      </w:r>
    </w:p>
    <w:p w:rsidR="00A31137" w:rsidRPr="00A31137" w:rsidRDefault="00A31137" w:rsidP="00A31137">
      <w:r w:rsidRPr="00A31137">
        <w:t>Date:</w:t>
      </w:r>
      <w:r w:rsidRPr="00A31137">
        <w:tab/>
        <w:t>May 27, 1999</w:t>
      </w:r>
    </w:p>
    <w:p w:rsidR="00A31137" w:rsidRPr="00A31137" w:rsidRDefault="00A31137" w:rsidP="00A31137">
      <w:r w:rsidRPr="00A31137">
        <w:t>Source:</w:t>
      </w:r>
      <w:r w:rsidRPr="00A31137">
        <w:tab/>
        <w:t>Weekly Compilation of Presidential Documents, 1999, 35:992-993</w:t>
      </w:r>
    </w:p>
    <w:p w:rsidR="00A31137" w:rsidRPr="00A31137" w:rsidRDefault="00A31137" w:rsidP="00A31137">
      <w:r w:rsidRPr="00A31137">
        <w:t>On behalf of all Americans, Hillary and I send a message of hope and solidarity to the Kosovar people. Over the last few months, you have been forced from your homes. You have seen terrible violence. Many of you are still searching for friends and family members. I met with Kosovar refugees in Germany last month. My wife recently met with another group in Macedonia. Your stories filled us with sorrow, stories of decent people whose lives have been violently uprooted by scenes we thought we would never again see in Europe, stories of innocent people beaten and brutalized for no reason but their ethnicity and faith, people rounded up in the middle of the night, forced to board trains for unknown destinations, separated from their families, stories of people arriving in refugee camps with nothing but a fierce determination to find their loved ones and return to their villages with their culture intact.</w:t>
      </w:r>
    </w:p>
    <w:p w:rsidR="00A31137" w:rsidRPr="00A31137" w:rsidRDefault="00A31137" w:rsidP="00A31137">
      <w:r w:rsidRPr="00A31137">
        <w:t>But you have not been defeated. You have not given in to despair. And you have not allowed the horror you have seen to harden your hearts or destroy your faith in a better life in the land of your birth. You left Kosovo with one goal, to return in safety. The United States and its NATO Allies are working for the same goal. It will take time. But with your strength and our determination, there is no doubt what the outcome will be. The campaign of ethnic cleansing in Kosovo will end. You will return.</w:t>
      </w:r>
    </w:p>
    <w:p w:rsidR="00A31137" w:rsidRPr="00A31137" w:rsidRDefault="00A31137" w:rsidP="00A31137">
      <w:r w:rsidRPr="00A31137">
        <w:t>Our military campaign is daily increasing the pressure on the Serbian leadership and on Serbian forces in Kosovo. They know we will persevere until the Serbian forces leave, and you are allowed to return home, with NATO there to prevent a return to violence. In the meantime, nations across the world have come together to bring aid to you and your families. The United States has just finished building a new facility in Albania called [p.993]  Camp Hope, which will house up to 20,000 people. Our Congress has just approved more than $700 million in humanitarian assistance to make sure we can meet your needs both now and when you go home.</w:t>
      </w:r>
    </w:p>
    <w:p w:rsidR="00A31137" w:rsidRPr="00A31137" w:rsidRDefault="00A31137" w:rsidP="00A31137">
      <w:r w:rsidRPr="00A31137">
        <w:t>We are grateful to the people of Albania and Macedonia for accepting refugees into their countries and their homes. It is not easy for any nation to absorb huge numbers of people, and it is certainly not easy for two nations still struggling to meet the needs of their people. We recognize your sacrifices, and we are committed to help by easing your burden and helping you build security, prosperity, and democracy at home and in your neighborhood.</w:t>
      </w:r>
    </w:p>
    <w:p w:rsidR="00A31137" w:rsidRPr="00A31137" w:rsidRDefault="00A31137" w:rsidP="00A31137">
      <w:r w:rsidRPr="00A31137">
        <w:t>A great challenge can draw people together. The 19 NATO nations are not alike. But we hold the same essential values in common. And on the eve of a new century, we refuse to be intimidated by a dictator who is trying to revive the worst memories of the century we are leaving. Thank you for your strength, and remember that no matter what has happened to you, you are not alone. The United States and NATO are with you, and we will stay with you long after you return home.</w:t>
      </w:r>
    </w:p>
    <w:p w:rsidR="00A31137" w:rsidRPr="00A31137" w:rsidRDefault="00A31137" w:rsidP="00A31137">
      <w:r w:rsidRPr="00A31137">
        <w:t>Note: The President's remarks were recorded at 5:30 p.m. on May 26 in the Map Room at the White House for broadcast on the Voice of America and Radio Free Europe. This transcript was made available by the Office of the Press Secretary on May 26 but was embargoed for release until 12 a.m. on May 27. A tape was not available for verification of the content of this address.</w:t>
      </w:r>
    </w:p>
    <w:p w:rsidR="00A31137" w:rsidRPr="00A31137" w:rsidRDefault="00A31137" w:rsidP="00A31137">
      <w:r w:rsidRPr="00A31137">
        <w:t>===============================================================</w:t>
      </w:r>
    </w:p>
    <w:p w:rsidR="00A31137" w:rsidRPr="00A31137" w:rsidRDefault="00A31137" w:rsidP="00A31137"/>
    <w:p w:rsidR="00E6548A" w:rsidRPr="00A31137" w:rsidRDefault="00E6548A" w:rsidP="00A31137"/>
    <w:sectPr w:rsidR="00E6548A" w:rsidRPr="00A31137" w:rsidSect="007D59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compat/>
  <w:rsids>
    <w:rsidRoot w:val="00A31137"/>
    <w:rsid w:val="0025335A"/>
    <w:rsid w:val="0079416E"/>
    <w:rsid w:val="00A31137"/>
    <w:rsid w:val="00E654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8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2688</Pages>
  <Words>1605436</Words>
  <Characters>9150987</Characters>
  <Application>Microsoft Office Word</Application>
  <DocSecurity>0</DocSecurity>
  <Lines>76258</Lines>
  <Paragraphs>21469</Paragraphs>
  <ScaleCrop>false</ScaleCrop>
  <Company/>
  <LinksUpToDate>false</LinksUpToDate>
  <CharactersWithSpaces>10734954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2010-03-24T16:38:00Z</dcterms:created>
  <dcterms:modified xsi:type="dcterms:W3CDTF">2010-03-24T18:02:00Z</dcterms:modified>
</cp:coreProperties>
</file>